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5F5DE" w14:textId="2AA32953" w:rsidR="0071353E" w:rsidRDefault="0071353E" w:rsidP="0071353E">
      <w:pPr>
        <w:pStyle w:val="Title"/>
      </w:pPr>
      <w:r>
        <w:t xml:space="preserve">Evidence evaluation report — </w:t>
      </w:r>
      <w:r w:rsidR="005E7B72">
        <w:br/>
      </w:r>
      <w:r w:rsidR="008F17DA">
        <w:t>Diet</w:t>
      </w:r>
      <w:r w:rsidR="007D30D7">
        <w:t xml:space="preserve">, </w:t>
      </w:r>
      <w:r w:rsidR="00CE3EB9">
        <w:t>exercise</w:t>
      </w:r>
      <w:r w:rsidR="007D30D7">
        <w:t xml:space="preserve"> and weight management</w:t>
      </w:r>
      <w:r w:rsidR="00CE3EB9">
        <w:t xml:space="preserve"> in pregnancy</w:t>
      </w:r>
    </w:p>
    <w:p w14:paraId="303637FE" w14:textId="6319891D" w:rsidR="0071353E" w:rsidRPr="007F14E3" w:rsidRDefault="0071353E" w:rsidP="007F14E3">
      <w:pPr>
        <w:pStyle w:val="Subtitle"/>
      </w:pPr>
      <w:r>
        <w:t xml:space="preserve">Draft — </w:t>
      </w:r>
      <w:r w:rsidR="000652E1">
        <w:t>1 June</w:t>
      </w:r>
      <w:r w:rsidR="00CB0370">
        <w:t xml:space="preserve"> 20</w:t>
      </w:r>
      <w:r w:rsidR="00FC1B08">
        <w:t>20</w:t>
      </w:r>
    </w:p>
    <w:p w14:paraId="70C6D143" w14:textId="77777777" w:rsidR="0071353E" w:rsidRDefault="0071353E" w:rsidP="0071353E">
      <w:pPr>
        <w:rPr>
          <w:lang w:val="en-US" w:eastAsia="en-AU"/>
        </w:rPr>
      </w:pPr>
    </w:p>
    <w:p w14:paraId="1656F359" w14:textId="77777777" w:rsidR="0071353E" w:rsidRDefault="0071353E" w:rsidP="0071353E">
      <w:pPr>
        <w:rPr>
          <w:lang w:val="en-US" w:eastAsia="en-AU"/>
        </w:rPr>
      </w:pPr>
    </w:p>
    <w:p w14:paraId="20C2687D" w14:textId="77777777" w:rsidR="0071353E" w:rsidRDefault="0071353E" w:rsidP="0071353E">
      <w:pPr>
        <w:rPr>
          <w:lang w:val="en-US" w:eastAsia="en-AU"/>
        </w:rPr>
      </w:pPr>
    </w:p>
    <w:p w14:paraId="5D2F3E01" w14:textId="77777777" w:rsidR="0071353E" w:rsidRDefault="0071353E" w:rsidP="0071353E">
      <w:pPr>
        <w:rPr>
          <w:lang w:val="en-US" w:eastAsia="en-AU"/>
        </w:rPr>
      </w:pPr>
    </w:p>
    <w:p w14:paraId="786A87D9" w14:textId="77777777" w:rsidR="0071353E" w:rsidRDefault="0071353E" w:rsidP="0071353E">
      <w:pPr>
        <w:rPr>
          <w:lang w:val="en-US" w:eastAsia="en-AU"/>
        </w:rPr>
      </w:pPr>
    </w:p>
    <w:p w14:paraId="29EA87B8" w14:textId="77777777" w:rsidR="0071353E" w:rsidRDefault="0071353E" w:rsidP="0071353E">
      <w:pPr>
        <w:rPr>
          <w:lang w:val="en-US" w:eastAsia="en-AU"/>
        </w:rPr>
      </w:pPr>
    </w:p>
    <w:p w14:paraId="2565694C" w14:textId="77777777" w:rsidR="0071353E" w:rsidRDefault="0071353E" w:rsidP="0071353E">
      <w:pPr>
        <w:rPr>
          <w:lang w:val="en-US" w:eastAsia="en-AU"/>
        </w:rPr>
      </w:pPr>
    </w:p>
    <w:p w14:paraId="3E855F14" w14:textId="77777777" w:rsidR="0071353E" w:rsidRDefault="0071353E" w:rsidP="0071353E">
      <w:pPr>
        <w:rPr>
          <w:lang w:val="en-US" w:eastAsia="en-AU"/>
        </w:rPr>
      </w:pPr>
    </w:p>
    <w:p w14:paraId="1D9D4D45" w14:textId="77777777" w:rsidR="0071353E" w:rsidRDefault="0071353E" w:rsidP="0071353E">
      <w:pPr>
        <w:rPr>
          <w:lang w:val="en-US" w:eastAsia="en-AU"/>
        </w:rPr>
      </w:pPr>
    </w:p>
    <w:p w14:paraId="36AA2316" w14:textId="77777777" w:rsidR="0071353E" w:rsidRDefault="0071353E" w:rsidP="0071353E">
      <w:pPr>
        <w:rPr>
          <w:lang w:val="en-US" w:eastAsia="en-AU"/>
        </w:rPr>
      </w:pPr>
    </w:p>
    <w:p w14:paraId="1654CAAF" w14:textId="77777777" w:rsidR="00F636B4" w:rsidRDefault="00F636B4" w:rsidP="0071353E">
      <w:pPr>
        <w:rPr>
          <w:lang w:val="en-US" w:eastAsia="en-AU"/>
        </w:rPr>
      </w:pPr>
    </w:p>
    <w:p w14:paraId="4DF04E9A" w14:textId="77777777" w:rsidR="00F636B4" w:rsidRDefault="00F636B4" w:rsidP="0071353E">
      <w:pPr>
        <w:rPr>
          <w:lang w:val="en-US" w:eastAsia="en-AU"/>
        </w:rPr>
      </w:pPr>
    </w:p>
    <w:p w14:paraId="1704382C" w14:textId="77777777" w:rsidR="00F636B4" w:rsidRDefault="00F636B4" w:rsidP="0071353E">
      <w:pPr>
        <w:rPr>
          <w:lang w:val="en-US" w:eastAsia="en-AU"/>
        </w:rPr>
      </w:pPr>
    </w:p>
    <w:p w14:paraId="17EBBBBD" w14:textId="77777777" w:rsidR="00F636B4" w:rsidRDefault="00F636B4" w:rsidP="0071353E">
      <w:pPr>
        <w:rPr>
          <w:lang w:val="en-US" w:eastAsia="en-AU"/>
        </w:rPr>
      </w:pPr>
    </w:p>
    <w:p w14:paraId="498E0DA3" w14:textId="77777777" w:rsidR="00F636B4" w:rsidRDefault="00F636B4" w:rsidP="0071353E">
      <w:pPr>
        <w:rPr>
          <w:lang w:val="en-US" w:eastAsia="en-AU"/>
        </w:rPr>
      </w:pPr>
    </w:p>
    <w:p w14:paraId="69AE0718" w14:textId="77777777" w:rsidR="00F636B4" w:rsidRDefault="00F636B4" w:rsidP="0071353E">
      <w:pPr>
        <w:rPr>
          <w:lang w:val="en-US" w:eastAsia="en-AU"/>
        </w:rPr>
      </w:pPr>
    </w:p>
    <w:p w14:paraId="54531E9A" w14:textId="77777777" w:rsidR="0071353E" w:rsidRDefault="0071353E" w:rsidP="0071353E">
      <w:pPr>
        <w:rPr>
          <w:lang w:val="en-US" w:eastAsia="en-AU"/>
        </w:rPr>
      </w:pPr>
    </w:p>
    <w:p w14:paraId="13C9CF97" w14:textId="77777777" w:rsidR="0071353E" w:rsidRDefault="0071353E" w:rsidP="0071353E">
      <w:pPr>
        <w:rPr>
          <w:lang w:val="en-US" w:eastAsia="en-AU"/>
        </w:rPr>
      </w:pPr>
    </w:p>
    <w:p w14:paraId="402D9EEF" w14:textId="77777777" w:rsidR="0071353E" w:rsidRDefault="0071353E" w:rsidP="0071353E">
      <w:pPr>
        <w:rPr>
          <w:lang w:val="en-US" w:eastAsia="en-AU"/>
        </w:rPr>
      </w:pPr>
    </w:p>
    <w:p w14:paraId="313710D0" w14:textId="77777777" w:rsidR="0071353E" w:rsidRDefault="0071353E" w:rsidP="00CD1410">
      <w:pPr>
        <w:spacing w:line="240" w:lineRule="auto"/>
        <w:jc w:val="center"/>
        <w:rPr>
          <w:lang w:val="en-US" w:eastAsia="en-AU"/>
        </w:rPr>
      </w:pPr>
      <w:r>
        <w:rPr>
          <w:noProof/>
          <w:lang w:val="en-AU" w:eastAsia="en-AU"/>
        </w:rPr>
        <w:drawing>
          <wp:inline distT="0" distB="0" distL="0" distR="0" wp14:anchorId="618E92D6" wp14:editId="4F93FCA8">
            <wp:extent cx="502920" cy="502920"/>
            <wp:effectExtent l="0" t="0" r="0" b="0"/>
            <wp:docPr id="8" name="Picture 8" title="Image of Logo - Ampersand Health Wri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logo 1.5cm.jpg"/>
                    <pic:cNvPicPr/>
                  </pic:nvPicPr>
                  <pic:blipFill>
                    <a:blip r:embed="rId8">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p w14:paraId="288CDB2C" w14:textId="77777777" w:rsidR="0071353E" w:rsidRPr="00704A4A" w:rsidRDefault="0071353E" w:rsidP="0071353E">
      <w:pPr>
        <w:jc w:val="center"/>
        <w:rPr>
          <w:lang w:val="en-US" w:eastAsia="en-AU"/>
        </w:rPr>
      </w:pPr>
      <w:r>
        <w:rPr>
          <w:lang w:val="en-US" w:eastAsia="en-AU"/>
        </w:rPr>
        <w:t xml:space="preserve">Prepared by Ampersand Health Science Writing for the </w:t>
      </w:r>
      <w:r>
        <w:rPr>
          <w:lang w:val="en-US" w:eastAsia="en-AU"/>
        </w:rPr>
        <w:br/>
        <w:t>Australian Government Department of Health</w:t>
      </w:r>
    </w:p>
    <w:p w14:paraId="3EC0F822" w14:textId="77777777" w:rsidR="004A5194" w:rsidRDefault="004A5194" w:rsidP="00105BBD">
      <w:pPr>
        <w:pStyle w:val="Heading1"/>
        <w:rPr>
          <w:lang w:val="en-AU"/>
        </w:rPr>
        <w:sectPr w:rsidR="004A5194" w:rsidSect="00026031">
          <w:headerReference w:type="even" r:id="rId9"/>
          <w:headerReference w:type="default" r:id="rId10"/>
          <w:footerReference w:type="even" r:id="rId11"/>
          <w:footerReference w:type="default" r:id="rId12"/>
          <w:headerReference w:type="first" r:id="rId13"/>
          <w:pgSz w:w="11901" w:h="16817"/>
          <w:pgMar w:top="1134" w:right="1418" w:bottom="1134" w:left="1418" w:header="709" w:footer="709" w:gutter="0"/>
          <w:cols w:space="708"/>
          <w:titlePg/>
          <w:docGrid w:linePitch="360"/>
        </w:sectPr>
      </w:pPr>
    </w:p>
    <w:p w14:paraId="0BFBFF54" w14:textId="77777777" w:rsidR="0071353E" w:rsidRPr="00090A80" w:rsidRDefault="0071353E" w:rsidP="004A5194">
      <w:pPr>
        <w:rPr>
          <w:b/>
          <w:sz w:val="20"/>
          <w:szCs w:val="20"/>
          <w:lang w:val="en-AU"/>
        </w:rPr>
      </w:pPr>
      <w:r w:rsidRPr="00090A80">
        <w:rPr>
          <w:b/>
          <w:sz w:val="20"/>
          <w:szCs w:val="20"/>
          <w:lang w:val="en-AU"/>
        </w:rPr>
        <w:lastRenderedPageBreak/>
        <w:t>Contents</w:t>
      </w:r>
    </w:p>
    <w:p w14:paraId="670FB804" w14:textId="77777777" w:rsidR="00C8515B" w:rsidRDefault="00834372" w:rsidP="00C8515B">
      <w:pPr>
        <w:pStyle w:val="TOC1"/>
        <w:rPr>
          <w:rFonts w:asciiTheme="minorHAnsi" w:eastAsiaTheme="minorEastAsia" w:hAnsiTheme="minorHAnsi" w:cstheme="minorBidi"/>
          <w:color w:val="auto"/>
          <w:sz w:val="24"/>
          <w:lang w:val="en-GB"/>
        </w:rPr>
      </w:pPr>
      <w:r>
        <w:fldChar w:fldCharType="begin"/>
      </w:r>
      <w:r>
        <w:instrText xml:space="preserve"> TOC \o "2-3" \t "Heading 1,1" </w:instrText>
      </w:r>
      <w:r>
        <w:fldChar w:fldCharType="separate"/>
      </w:r>
      <w:r w:rsidR="00C8515B" w:rsidRPr="00446387">
        <w:t>1</w:t>
      </w:r>
      <w:r w:rsidR="00C8515B">
        <w:rPr>
          <w:rFonts w:asciiTheme="minorHAnsi" w:eastAsiaTheme="minorEastAsia" w:hAnsiTheme="minorHAnsi" w:cstheme="minorBidi"/>
          <w:color w:val="auto"/>
          <w:sz w:val="24"/>
          <w:lang w:val="en-GB"/>
        </w:rPr>
        <w:tab/>
      </w:r>
      <w:r w:rsidR="00C8515B" w:rsidRPr="00446387">
        <w:t>Process of the review</w:t>
      </w:r>
      <w:r w:rsidR="00C8515B">
        <w:tab/>
      </w:r>
      <w:r w:rsidR="00C8515B">
        <w:fldChar w:fldCharType="begin"/>
      </w:r>
      <w:r w:rsidR="00C8515B">
        <w:instrText xml:space="preserve"> PAGEREF _Toc40956463 \h </w:instrText>
      </w:r>
      <w:r w:rsidR="00C8515B">
        <w:fldChar w:fldCharType="separate"/>
      </w:r>
      <w:r w:rsidR="00C8515B">
        <w:t>8</w:t>
      </w:r>
      <w:r w:rsidR="00C8515B">
        <w:fldChar w:fldCharType="end"/>
      </w:r>
    </w:p>
    <w:p w14:paraId="61135196" w14:textId="77777777" w:rsidR="00C8515B" w:rsidRDefault="00C8515B">
      <w:pPr>
        <w:pStyle w:val="TOC2"/>
        <w:tabs>
          <w:tab w:val="left" w:pos="1418"/>
        </w:tabs>
        <w:rPr>
          <w:rFonts w:asciiTheme="minorHAnsi" w:eastAsiaTheme="minorEastAsia" w:hAnsiTheme="minorHAnsi" w:cstheme="minorBidi"/>
          <w:sz w:val="24"/>
          <w:lang w:val="en-GB"/>
        </w:rPr>
      </w:pPr>
      <w:r w:rsidRPr="00446387">
        <w:t>1.1</w:t>
      </w:r>
      <w:r>
        <w:rPr>
          <w:rFonts w:asciiTheme="minorHAnsi" w:eastAsiaTheme="minorEastAsia" w:hAnsiTheme="minorHAnsi" w:cstheme="minorBidi"/>
          <w:sz w:val="24"/>
          <w:lang w:val="en-GB"/>
        </w:rPr>
        <w:tab/>
      </w:r>
      <w:r w:rsidRPr="00446387">
        <w:t>Research questions</w:t>
      </w:r>
      <w:r>
        <w:tab/>
      </w:r>
      <w:r>
        <w:fldChar w:fldCharType="begin"/>
      </w:r>
      <w:r>
        <w:instrText xml:space="preserve"> PAGEREF _Toc40956464 \h </w:instrText>
      </w:r>
      <w:r>
        <w:fldChar w:fldCharType="separate"/>
      </w:r>
      <w:r>
        <w:t>8</w:t>
      </w:r>
      <w:r>
        <w:fldChar w:fldCharType="end"/>
      </w:r>
    </w:p>
    <w:p w14:paraId="3D2DC30E" w14:textId="77777777" w:rsidR="00C8515B" w:rsidRDefault="00C8515B">
      <w:pPr>
        <w:pStyle w:val="TOC2"/>
        <w:tabs>
          <w:tab w:val="left" w:pos="1418"/>
        </w:tabs>
        <w:rPr>
          <w:rFonts w:asciiTheme="minorHAnsi" w:eastAsiaTheme="minorEastAsia" w:hAnsiTheme="minorHAnsi" w:cstheme="minorBidi"/>
          <w:sz w:val="24"/>
          <w:lang w:val="en-GB"/>
        </w:rPr>
      </w:pPr>
      <w:r>
        <w:t>1.2</w:t>
      </w:r>
      <w:r>
        <w:rPr>
          <w:rFonts w:asciiTheme="minorHAnsi" w:eastAsiaTheme="minorEastAsia" w:hAnsiTheme="minorHAnsi" w:cstheme="minorBidi"/>
          <w:sz w:val="24"/>
          <w:lang w:val="en-GB"/>
        </w:rPr>
        <w:tab/>
      </w:r>
      <w:r>
        <w:t>Inclusion and exclusion criteria</w:t>
      </w:r>
      <w:r>
        <w:tab/>
      </w:r>
      <w:r>
        <w:fldChar w:fldCharType="begin"/>
      </w:r>
      <w:r>
        <w:instrText xml:space="preserve"> PAGEREF _Toc40956465 \h </w:instrText>
      </w:r>
      <w:r>
        <w:fldChar w:fldCharType="separate"/>
      </w:r>
      <w:r>
        <w:t>9</w:t>
      </w:r>
      <w:r>
        <w:fldChar w:fldCharType="end"/>
      </w:r>
    </w:p>
    <w:p w14:paraId="1FA0C894" w14:textId="77777777" w:rsidR="00C8515B" w:rsidRDefault="00C8515B">
      <w:pPr>
        <w:pStyle w:val="TOC2"/>
        <w:tabs>
          <w:tab w:val="left" w:pos="1418"/>
        </w:tabs>
        <w:rPr>
          <w:rFonts w:asciiTheme="minorHAnsi" w:eastAsiaTheme="minorEastAsia" w:hAnsiTheme="minorHAnsi" w:cstheme="minorBidi"/>
          <w:sz w:val="24"/>
          <w:lang w:val="en-GB"/>
        </w:rPr>
      </w:pPr>
      <w:r w:rsidRPr="00446387">
        <w:t>1.3</w:t>
      </w:r>
      <w:r>
        <w:rPr>
          <w:rFonts w:asciiTheme="minorHAnsi" w:eastAsiaTheme="minorEastAsia" w:hAnsiTheme="minorHAnsi" w:cstheme="minorBidi"/>
          <w:sz w:val="24"/>
          <w:lang w:val="en-GB"/>
        </w:rPr>
        <w:tab/>
      </w:r>
      <w:r w:rsidRPr="00446387">
        <w:t>Selection of outcomes for GRADE analysis</w:t>
      </w:r>
      <w:r>
        <w:tab/>
      </w:r>
      <w:r>
        <w:fldChar w:fldCharType="begin"/>
      </w:r>
      <w:r>
        <w:instrText xml:space="preserve"> PAGEREF _Toc40956466 \h </w:instrText>
      </w:r>
      <w:r>
        <w:fldChar w:fldCharType="separate"/>
      </w:r>
      <w:r>
        <w:t>10</w:t>
      </w:r>
      <w:r>
        <w:fldChar w:fldCharType="end"/>
      </w:r>
    </w:p>
    <w:p w14:paraId="763B9D18" w14:textId="77777777" w:rsidR="00C8515B" w:rsidRDefault="00C8515B">
      <w:pPr>
        <w:pStyle w:val="TOC2"/>
        <w:tabs>
          <w:tab w:val="left" w:pos="1418"/>
        </w:tabs>
        <w:rPr>
          <w:rFonts w:asciiTheme="minorHAnsi" w:eastAsiaTheme="minorEastAsia" w:hAnsiTheme="minorHAnsi" w:cstheme="minorBidi"/>
          <w:sz w:val="24"/>
          <w:lang w:val="en-GB"/>
        </w:rPr>
      </w:pPr>
      <w:r w:rsidRPr="00446387">
        <w:t>1.4</w:t>
      </w:r>
      <w:r>
        <w:rPr>
          <w:rFonts w:asciiTheme="minorHAnsi" w:eastAsiaTheme="minorEastAsia" w:hAnsiTheme="minorHAnsi" w:cstheme="minorBidi"/>
          <w:sz w:val="24"/>
          <w:lang w:val="en-GB"/>
        </w:rPr>
        <w:tab/>
      </w:r>
      <w:r w:rsidRPr="00446387">
        <w:t>Quality assessment</w:t>
      </w:r>
      <w:r>
        <w:tab/>
      </w:r>
      <w:r>
        <w:fldChar w:fldCharType="begin"/>
      </w:r>
      <w:r>
        <w:instrText xml:space="preserve"> PAGEREF _Toc40956467 \h </w:instrText>
      </w:r>
      <w:r>
        <w:fldChar w:fldCharType="separate"/>
      </w:r>
      <w:r>
        <w:t>11</w:t>
      </w:r>
      <w:r>
        <w:fldChar w:fldCharType="end"/>
      </w:r>
    </w:p>
    <w:p w14:paraId="68069EEC" w14:textId="77777777" w:rsidR="00C8515B" w:rsidRDefault="00C8515B">
      <w:pPr>
        <w:pStyle w:val="TOC2"/>
        <w:tabs>
          <w:tab w:val="left" w:pos="1418"/>
        </w:tabs>
        <w:rPr>
          <w:rFonts w:asciiTheme="minorHAnsi" w:eastAsiaTheme="minorEastAsia" w:hAnsiTheme="minorHAnsi" w:cstheme="minorBidi"/>
          <w:sz w:val="24"/>
          <w:lang w:val="en-GB"/>
        </w:rPr>
      </w:pPr>
      <w:r>
        <w:t>1.5</w:t>
      </w:r>
      <w:r>
        <w:rPr>
          <w:rFonts w:asciiTheme="minorHAnsi" w:eastAsiaTheme="minorEastAsia" w:hAnsiTheme="minorHAnsi" w:cstheme="minorBidi"/>
          <w:sz w:val="24"/>
          <w:lang w:val="en-GB"/>
        </w:rPr>
        <w:tab/>
      </w:r>
      <w:r>
        <w:t>Grading of the certainty of the body of evidence</w:t>
      </w:r>
      <w:r>
        <w:tab/>
      </w:r>
      <w:r>
        <w:fldChar w:fldCharType="begin"/>
      </w:r>
      <w:r>
        <w:instrText xml:space="preserve"> PAGEREF _Toc40956468 \h </w:instrText>
      </w:r>
      <w:r>
        <w:fldChar w:fldCharType="separate"/>
      </w:r>
      <w:r>
        <w:t>12</w:t>
      </w:r>
      <w:r>
        <w:fldChar w:fldCharType="end"/>
      </w:r>
    </w:p>
    <w:p w14:paraId="610BB1A7" w14:textId="77777777" w:rsidR="00C8515B" w:rsidRDefault="00C8515B" w:rsidP="00C8515B">
      <w:pPr>
        <w:pStyle w:val="TOC1"/>
        <w:rPr>
          <w:rFonts w:asciiTheme="minorHAnsi" w:eastAsiaTheme="minorEastAsia" w:hAnsiTheme="minorHAnsi" w:cstheme="minorBidi"/>
          <w:color w:val="auto"/>
          <w:sz w:val="24"/>
          <w:lang w:val="en-GB"/>
        </w:rPr>
      </w:pPr>
      <w:r>
        <w:t>2</w:t>
      </w:r>
      <w:r>
        <w:rPr>
          <w:rFonts w:asciiTheme="minorHAnsi" w:eastAsiaTheme="minorEastAsia" w:hAnsiTheme="minorHAnsi" w:cstheme="minorBidi"/>
          <w:color w:val="auto"/>
          <w:sz w:val="24"/>
          <w:lang w:val="en-GB"/>
        </w:rPr>
        <w:tab/>
      </w:r>
      <w:r>
        <w:t>Dietary advice</w:t>
      </w:r>
      <w:r>
        <w:tab/>
      </w:r>
      <w:r>
        <w:fldChar w:fldCharType="begin"/>
      </w:r>
      <w:r>
        <w:instrText xml:space="preserve"> PAGEREF _Toc40956469 \h </w:instrText>
      </w:r>
      <w:r>
        <w:fldChar w:fldCharType="separate"/>
      </w:r>
      <w:r>
        <w:t>13</w:t>
      </w:r>
      <w:r>
        <w:fldChar w:fldCharType="end"/>
      </w:r>
    </w:p>
    <w:p w14:paraId="18AB3F6B" w14:textId="77777777" w:rsidR="00C8515B" w:rsidRDefault="00C8515B" w:rsidP="00C8515B">
      <w:pPr>
        <w:pStyle w:val="TOC2"/>
        <w:rPr>
          <w:rFonts w:asciiTheme="minorHAnsi" w:eastAsiaTheme="minorEastAsia" w:hAnsiTheme="minorHAnsi" w:cstheme="minorBidi"/>
          <w:sz w:val="24"/>
          <w:lang w:val="en-GB"/>
        </w:rPr>
      </w:pPr>
      <w:r>
        <w:t>2.1</w:t>
      </w:r>
      <w:r>
        <w:rPr>
          <w:rFonts w:asciiTheme="minorHAnsi" w:eastAsiaTheme="minorEastAsia" w:hAnsiTheme="minorHAnsi" w:cstheme="minorBidi"/>
          <w:sz w:val="24"/>
          <w:lang w:val="en-GB"/>
        </w:rPr>
        <w:tab/>
      </w:r>
      <w:r w:rsidRPr="00446387">
        <w:rPr>
          <w:b/>
        </w:rPr>
        <w:t>Q1</w:t>
      </w:r>
      <w:r>
        <w:t>: What dietary advice should be provided to women in pregnancy, including population-specific groups</w:t>
      </w:r>
      <w:r w:rsidRPr="00446387">
        <w:t>?</w:t>
      </w:r>
      <w:r>
        <w:tab/>
      </w:r>
      <w:r>
        <w:fldChar w:fldCharType="begin"/>
      </w:r>
      <w:r>
        <w:instrText xml:space="preserve"> PAGEREF _Toc40956470 \h </w:instrText>
      </w:r>
      <w:r>
        <w:fldChar w:fldCharType="separate"/>
      </w:r>
      <w:r>
        <w:t>13</w:t>
      </w:r>
      <w:r>
        <w:fldChar w:fldCharType="end"/>
      </w:r>
    </w:p>
    <w:p w14:paraId="7CACA6FC" w14:textId="77777777" w:rsidR="00C8515B" w:rsidRDefault="00C8515B">
      <w:pPr>
        <w:pStyle w:val="TOC3"/>
        <w:tabs>
          <w:tab w:val="left" w:pos="1418"/>
        </w:tabs>
        <w:rPr>
          <w:rFonts w:asciiTheme="minorHAnsi" w:eastAsiaTheme="minorEastAsia" w:hAnsiTheme="minorHAnsi" w:cstheme="minorBidi"/>
          <w:sz w:val="24"/>
          <w:lang w:val="en-GB"/>
        </w:rPr>
      </w:pPr>
      <w:r>
        <w:t>2.1.1</w:t>
      </w:r>
      <w:r>
        <w:rPr>
          <w:rFonts w:asciiTheme="minorHAnsi" w:eastAsiaTheme="minorEastAsia" w:hAnsiTheme="minorHAnsi" w:cstheme="minorBidi"/>
          <w:sz w:val="24"/>
          <w:lang w:val="en-GB"/>
        </w:rPr>
        <w:tab/>
      </w:r>
      <w:r>
        <w:t>Background</w:t>
      </w:r>
      <w:r>
        <w:tab/>
      </w:r>
      <w:r>
        <w:fldChar w:fldCharType="begin"/>
      </w:r>
      <w:r>
        <w:instrText xml:space="preserve"> PAGEREF _Toc40956471 \h </w:instrText>
      </w:r>
      <w:r>
        <w:fldChar w:fldCharType="separate"/>
      </w:r>
      <w:r>
        <w:t>13</w:t>
      </w:r>
      <w:r>
        <w:fldChar w:fldCharType="end"/>
      </w:r>
    </w:p>
    <w:p w14:paraId="068F1DD1" w14:textId="77777777" w:rsidR="00C8515B" w:rsidRDefault="00C8515B">
      <w:pPr>
        <w:pStyle w:val="TOC3"/>
        <w:tabs>
          <w:tab w:val="left" w:pos="1418"/>
        </w:tabs>
        <w:rPr>
          <w:rFonts w:asciiTheme="minorHAnsi" w:eastAsiaTheme="minorEastAsia" w:hAnsiTheme="minorHAnsi" w:cstheme="minorBidi"/>
          <w:sz w:val="24"/>
          <w:lang w:val="en-GB"/>
        </w:rPr>
      </w:pPr>
      <w:r>
        <w:t>2.1.2</w:t>
      </w:r>
      <w:r>
        <w:rPr>
          <w:rFonts w:asciiTheme="minorHAnsi" w:eastAsiaTheme="minorEastAsia" w:hAnsiTheme="minorHAnsi" w:cstheme="minorBidi"/>
          <w:sz w:val="24"/>
          <w:lang w:val="en-GB"/>
        </w:rPr>
        <w:tab/>
      </w:r>
      <w:r>
        <w:t>Dietary patterns</w:t>
      </w:r>
      <w:r>
        <w:tab/>
      </w:r>
      <w:r>
        <w:fldChar w:fldCharType="begin"/>
      </w:r>
      <w:r>
        <w:instrText xml:space="preserve"> PAGEREF _Toc40956472 \h </w:instrText>
      </w:r>
      <w:r>
        <w:fldChar w:fldCharType="separate"/>
      </w:r>
      <w:r>
        <w:t>14</w:t>
      </w:r>
      <w:r>
        <w:fldChar w:fldCharType="end"/>
      </w:r>
    </w:p>
    <w:p w14:paraId="3B778F9A" w14:textId="77777777" w:rsidR="00C8515B" w:rsidRDefault="00C8515B">
      <w:pPr>
        <w:pStyle w:val="TOC3"/>
        <w:tabs>
          <w:tab w:val="left" w:pos="1418"/>
        </w:tabs>
        <w:rPr>
          <w:rFonts w:asciiTheme="minorHAnsi" w:eastAsiaTheme="minorEastAsia" w:hAnsiTheme="minorHAnsi" w:cstheme="minorBidi"/>
          <w:sz w:val="24"/>
          <w:lang w:val="en-GB"/>
        </w:rPr>
      </w:pPr>
      <w:r>
        <w:t>2.1.3</w:t>
      </w:r>
      <w:r>
        <w:rPr>
          <w:rFonts w:asciiTheme="minorHAnsi" w:eastAsiaTheme="minorEastAsia" w:hAnsiTheme="minorHAnsi" w:cstheme="minorBidi"/>
          <w:sz w:val="24"/>
          <w:lang w:val="en-GB"/>
        </w:rPr>
        <w:tab/>
      </w:r>
      <w:r>
        <w:t>Mediterranean diet</w:t>
      </w:r>
      <w:r>
        <w:tab/>
      </w:r>
      <w:r>
        <w:fldChar w:fldCharType="begin"/>
      </w:r>
      <w:r>
        <w:instrText xml:space="preserve"> PAGEREF _Toc40956473 \h </w:instrText>
      </w:r>
      <w:r>
        <w:fldChar w:fldCharType="separate"/>
      </w:r>
      <w:r>
        <w:t>15</w:t>
      </w:r>
      <w:r>
        <w:fldChar w:fldCharType="end"/>
      </w:r>
    </w:p>
    <w:p w14:paraId="74CCD505" w14:textId="77777777" w:rsidR="00C8515B" w:rsidRDefault="00C8515B">
      <w:pPr>
        <w:pStyle w:val="TOC3"/>
        <w:tabs>
          <w:tab w:val="left" w:pos="1418"/>
        </w:tabs>
        <w:rPr>
          <w:rFonts w:asciiTheme="minorHAnsi" w:eastAsiaTheme="minorEastAsia" w:hAnsiTheme="minorHAnsi" w:cstheme="minorBidi"/>
          <w:sz w:val="24"/>
          <w:lang w:val="en-GB"/>
        </w:rPr>
      </w:pPr>
      <w:r>
        <w:t>2.1.4</w:t>
      </w:r>
      <w:r>
        <w:rPr>
          <w:rFonts w:asciiTheme="minorHAnsi" w:eastAsiaTheme="minorEastAsia" w:hAnsiTheme="minorHAnsi" w:cstheme="minorBidi"/>
          <w:sz w:val="24"/>
          <w:lang w:val="en-GB"/>
        </w:rPr>
        <w:tab/>
      </w:r>
      <w:r>
        <w:t>Dietary Approaches to Stop Hypertension (DASH) diet</w:t>
      </w:r>
      <w:r>
        <w:tab/>
      </w:r>
      <w:r>
        <w:fldChar w:fldCharType="begin"/>
      </w:r>
      <w:r>
        <w:instrText xml:space="preserve"> PAGEREF _Toc40956474 \h </w:instrText>
      </w:r>
      <w:r>
        <w:fldChar w:fldCharType="separate"/>
      </w:r>
      <w:r>
        <w:t>16</w:t>
      </w:r>
      <w:r>
        <w:fldChar w:fldCharType="end"/>
      </w:r>
    </w:p>
    <w:p w14:paraId="711504FE" w14:textId="77777777" w:rsidR="00C8515B" w:rsidRDefault="00C8515B">
      <w:pPr>
        <w:pStyle w:val="TOC3"/>
        <w:tabs>
          <w:tab w:val="left" w:pos="1418"/>
        </w:tabs>
        <w:rPr>
          <w:rFonts w:asciiTheme="minorHAnsi" w:eastAsiaTheme="minorEastAsia" w:hAnsiTheme="minorHAnsi" w:cstheme="minorBidi"/>
          <w:sz w:val="24"/>
          <w:lang w:val="en-GB"/>
        </w:rPr>
      </w:pPr>
      <w:r>
        <w:t>2.1.5</w:t>
      </w:r>
      <w:r>
        <w:rPr>
          <w:rFonts w:asciiTheme="minorHAnsi" w:eastAsiaTheme="minorEastAsia" w:hAnsiTheme="minorHAnsi" w:cstheme="minorBidi"/>
          <w:sz w:val="24"/>
          <w:lang w:val="en-GB"/>
        </w:rPr>
        <w:tab/>
      </w:r>
      <w:r>
        <w:t>Vegetarian and vegan diets</w:t>
      </w:r>
      <w:r>
        <w:tab/>
      </w:r>
      <w:r>
        <w:fldChar w:fldCharType="begin"/>
      </w:r>
      <w:r>
        <w:instrText xml:space="preserve"> PAGEREF _Toc40956475 \h </w:instrText>
      </w:r>
      <w:r>
        <w:fldChar w:fldCharType="separate"/>
      </w:r>
      <w:r>
        <w:t>16</w:t>
      </w:r>
      <w:r>
        <w:fldChar w:fldCharType="end"/>
      </w:r>
    </w:p>
    <w:p w14:paraId="4E6D7EEE" w14:textId="77777777" w:rsidR="00C8515B" w:rsidRDefault="00C8515B">
      <w:pPr>
        <w:pStyle w:val="TOC3"/>
        <w:tabs>
          <w:tab w:val="left" w:pos="1418"/>
        </w:tabs>
        <w:rPr>
          <w:rFonts w:asciiTheme="minorHAnsi" w:eastAsiaTheme="minorEastAsia" w:hAnsiTheme="minorHAnsi" w:cstheme="minorBidi"/>
          <w:sz w:val="24"/>
          <w:lang w:val="en-GB"/>
        </w:rPr>
      </w:pPr>
      <w:r>
        <w:t>2.1.6</w:t>
      </w:r>
      <w:r>
        <w:rPr>
          <w:rFonts w:asciiTheme="minorHAnsi" w:eastAsiaTheme="minorEastAsia" w:hAnsiTheme="minorHAnsi" w:cstheme="minorBidi"/>
          <w:sz w:val="24"/>
          <w:lang w:val="en-GB"/>
        </w:rPr>
        <w:tab/>
      </w:r>
      <w:r>
        <w:t>Fasting</w:t>
      </w:r>
      <w:r>
        <w:tab/>
      </w:r>
      <w:r>
        <w:fldChar w:fldCharType="begin"/>
      </w:r>
      <w:r>
        <w:instrText xml:space="preserve"> PAGEREF _Toc40956476 \h </w:instrText>
      </w:r>
      <w:r>
        <w:fldChar w:fldCharType="separate"/>
      </w:r>
      <w:r>
        <w:t>16</w:t>
      </w:r>
      <w:r>
        <w:fldChar w:fldCharType="end"/>
      </w:r>
    </w:p>
    <w:p w14:paraId="59AB57A3" w14:textId="77777777" w:rsidR="00C8515B" w:rsidRDefault="00C8515B">
      <w:pPr>
        <w:pStyle w:val="TOC3"/>
        <w:tabs>
          <w:tab w:val="left" w:pos="1418"/>
        </w:tabs>
        <w:rPr>
          <w:rFonts w:asciiTheme="minorHAnsi" w:eastAsiaTheme="minorEastAsia" w:hAnsiTheme="minorHAnsi" w:cstheme="minorBidi"/>
          <w:sz w:val="24"/>
          <w:lang w:val="en-GB"/>
        </w:rPr>
      </w:pPr>
      <w:r>
        <w:t>2.1.7</w:t>
      </w:r>
      <w:r>
        <w:rPr>
          <w:rFonts w:asciiTheme="minorHAnsi" w:eastAsiaTheme="minorEastAsia" w:hAnsiTheme="minorHAnsi" w:cstheme="minorBidi"/>
          <w:sz w:val="24"/>
          <w:lang w:val="en-GB"/>
        </w:rPr>
        <w:tab/>
      </w:r>
      <w:r>
        <w:t>Evidence summary</w:t>
      </w:r>
      <w:r>
        <w:tab/>
      </w:r>
      <w:r>
        <w:fldChar w:fldCharType="begin"/>
      </w:r>
      <w:r>
        <w:instrText xml:space="preserve"> PAGEREF _Toc40956477 \h </w:instrText>
      </w:r>
      <w:r>
        <w:fldChar w:fldCharType="separate"/>
      </w:r>
      <w:r>
        <w:t>17</w:t>
      </w:r>
      <w:r>
        <w:fldChar w:fldCharType="end"/>
      </w:r>
    </w:p>
    <w:p w14:paraId="1D4DE6A0" w14:textId="77777777" w:rsidR="00C8515B" w:rsidRDefault="00C8515B">
      <w:pPr>
        <w:pStyle w:val="TOC3"/>
        <w:tabs>
          <w:tab w:val="left" w:pos="1418"/>
        </w:tabs>
        <w:rPr>
          <w:rFonts w:asciiTheme="minorHAnsi" w:eastAsiaTheme="minorEastAsia" w:hAnsiTheme="minorHAnsi" w:cstheme="minorBidi"/>
          <w:sz w:val="24"/>
          <w:lang w:val="en-GB"/>
        </w:rPr>
      </w:pPr>
      <w:r>
        <w:t>2.1.8</w:t>
      </w:r>
      <w:r>
        <w:rPr>
          <w:rFonts w:asciiTheme="minorHAnsi" w:eastAsiaTheme="minorEastAsia" w:hAnsiTheme="minorHAnsi" w:cstheme="minorBidi"/>
          <w:sz w:val="24"/>
          <w:lang w:val="en-GB"/>
        </w:rPr>
        <w:tab/>
      </w:r>
      <w:r>
        <w:t>Consumer summary</w:t>
      </w:r>
      <w:r>
        <w:tab/>
      </w:r>
      <w:r>
        <w:fldChar w:fldCharType="begin"/>
      </w:r>
      <w:r>
        <w:instrText xml:space="preserve"> PAGEREF _Toc40956478 \h </w:instrText>
      </w:r>
      <w:r>
        <w:fldChar w:fldCharType="separate"/>
      </w:r>
      <w:r>
        <w:t>17</w:t>
      </w:r>
      <w:r>
        <w:fldChar w:fldCharType="end"/>
      </w:r>
    </w:p>
    <w:p w14:paraId="50955CDE" w14:textId="77777777" w:rsidR="00C8515B" w:rsidRDefault="00C8515B">
      <w:pPr>
        <w:pStyle w:val="TOC3"/>
        <w:tabs>
          <w:tab w:val="left" w:pos="1418"/>
        </w:tabs>
        <w:rPr>
          <w:rFonts w:asciiTheme="minorHAnsi" w:eastAsiaTheme="minorEastAsia" w:hAnsiTheme="minorHAnsi" w:cstheme="minorBidi"/>
          <w:sz w:val="24"/>
          <w:lang w:val="en-GB"/>
        </w:rPr>
      </w:pPr>
      <w:r>
        <w:t>2.1.9</w:t>
      </w:r>
      <w:r>
        <w:rPr>
          <w:rFonts w:asciiTheme="minorHAnsi" w:eastAsiaTheme="minorEastAsia" w:hAnsiTheme="minorHAnsi" w:cstheme="minorBidi"/>
          <w:sz w:val="24"/>
          <w:lang w:val="en-GB"/>
        </w:rPr>
        <w:tab/>
      </w:r>
      <w:r>
        <w:t>Evidence tables</w:t>
      </w:r>
      <w:r>
        <w:tab/>
      </w:r>
      <w:r>
        <w:fldChar w:fldCharType="begin"/>
      </w:r>
      <w:r>
        <w:instrText xml:space="preserve"> PAGEREF _Toc40956479 \h </w:instrText>
      </w:r>
      <w:r>
        <w:fldChar w:fldCharType="separate"/>
      </w:r>
      <w:r>
        <w:t>18</w:t>
      </w:r>
      <w:r>
        <w:fldChar w:fldCharType="end"/>
      </w:r>
    </w:p>
    <w:p w14:paraId="0D189B33" w14:textId="77777777" w:rsidR="00C8515B" w:rsidRDefault="00C8515B">
      <w:pPr>
        <w:pStyle w:val="TOC2"/>
        <w:tabs>
          <w:tab w:val="left" w:pos="1418"/>
        </w:tabs>
        <w:rPr>
          <w:rFonts w:asciiTheme="minorHAnsi" w:eastAsiaTheme="minorEastAsia" w:hAnsiTheme="minorHAnsi" w:cstheme="minorBidi"/>
          <w:sz w:val="24"/>
          <w:lang w:val="en-GB"/>
        </w:rPr>
      </w:pPr>
      <w:r>
        <w:t>2.2</w:t>
      </w:r>
      <w:r>
        <w:rPr>
          <w:rFonts w:asciiTheme="minorHAnsi" w:eastAsiaTheme="minorEastAsia" w:hAnsiTheme="minorHAnsi" w:cstheme="minorBidi"/>
          <w:sz w:val="24"/>
          <w:lang w:val="en-GB"/>
        </w:rPr>
        <w:tab/>
      </w:r>
      <w:r w:rsidRPr="00446387">
        <w:rPr>
          <w:b/>
        </w:rPr>
        <w:t>Q2</w:t>
      </w:r>
      <w:r>
        <w:t>: Which foods should be promoted and which avoided during pregnancy?</w:t>
      </w:r>
      <w:r>
        <w:tab/>
      </w:r>
      <w:r>
        <w:fldChar w:fldCharType="begin"/>
      </w:r>
      <w:r>
        <w:instrText xml:space="preserve"> PAGEREF _Toc40956480 \h </w:instrText>
      </w:r>
      <w:r>
        <w:fldChar w:fldCharType="separate"/>
      </w:r>
      <w:r>
        <w:t>49</w:t>
      </w:r>
      <w:r>
        <w:fldChar w:fldCharType="end"/>
      </w:r>
    </w:p>
    <w:p w14:paraId="0406B23F" w14:textId="77777777" w:rsidR="00C8515B" w:rsidRDefault="00C8515B">
      <w:pPr>
        <w:pStyle w:val="TOC3"/>
        <w:tabs>
          <w:tab w:val="left" w:pos="1418"/>
        </w:tabs>
        <w:rPr>
          <w:rFonts w:asciiTheme="minorHAnsi" w:eastAsiaTheme="minorEastAsia" w:hAnsiTheme="minorHAnsi" w:cstheme="minorBidi"/>
          <w:sz w:val="24"/>
          <w:lang w:val="en-GB"/>
        </w:rPr>
      </w:pPr>
      <w:r>
        <w:t>2.2.1</w:t>
      </w:r>
      <w:r>
        <w:rPr>
          <w:rFonts w:asciiTheme="minorHAnsi" w:eastAsiaTheme="minorEastAsia" w:hAnsiTheme="minorHAnsi" w:cstheme="minorBidi"/>
          <w:sz w:val="24"/>
          <w:lang w:val="en-GB"/>
        </w:rPr>
        <w:tab/>
      </w:r>
      <w:r>
        <w:t>Background</w:t>
      </w:r>
      <w:r>
        <w:tab/>
      </w:r>
      <w:r>
        <w:fldChar w:fldCharType="begin"/>
      </w:r>
      <w:r>
        <w:instrText xml:space="preserve"> PAGEREF _Toc40956481 \h </w:instrText>
      </w:r>
      <w:r>
        <w:fldChar w:fldCharType="separate"/>
      </w:r>
      <w:r>
        <w:t>49</w:t>
      </w:r>
      <w:r>
        <w:fldChar w:fldCharType="end"/>
      </w:r>
    </w:p>
    <w:p w14:paraId="0FF0CFA4" w14:textId="77777777" w:rsidR="00C8515B" w:rsidRDefault="00C8515B">
      <w:pPr>
        <w:pStyle w:val="TOC3"/>
        <w:tabs>
          <w:tab w:val="left" w:pos="1418"/>
        </w:tabs>
        <w:rPr>
          <w:rFonts w:asciiTheme="minorHAnsi" w:eastAsiaTheme="minorEastAsia" w:hAnsiTheme="minorHAnsi" w:cstheme="minorBidi"/>
          <w:sz w:val="24"/>
          <w:lang w:val="en-GB"/>
        </w:rPr>
      </w:pPr>
      <w:r>
        <w:t>2.2.2</w:t>
      </w:r>
      <w:r>
        <w:rPr>
          <w:rFonts w:asciiTheme="minorHAnsi" w:eastAsiaTheme="minorEastAsia" w:hAnsiTheme="minorHAnsi" w:cstheme="minorBidi"/>
          <w:sz w:val="24"/>
          <w:lang w:val="en-GB"/>
        </w:rPr>
        <w:tab/>
      </w:r>
      <w:r>
        <w:t>Fruit and vegetables</w:t>
      </w:r>
      <w:r>
        <w:tab/>
      </w:r>
      <w:r>
        <w:fldChar w:fldCharType="begin"/>
      </w:r>
      <w:r>
        <w:instrText xml:space="preserve"> PAGEREF _Toc40956482 \h </w:instrText>
      </w:r>
      <w:r>
        <w:fldChar w:fldCharType="separate"/>
      </w:r>
      <w:r>
        <w:t>49</w:t>
      </w:r>
      <w:r>
        <w:fldChar w:fldCharType="end"/>
      </w:r>
    </w:p>
    <w:p w14:paraId="245A7543" w14:textId="77777777" w:rsidR="00C8515B" w:rsidRDefault="00C8515B">
      <w:pPr>
        <w:pStyle w:val="TOC3"/>
        <w:tabs>
          <w:tab w:val="left" w:pos="1418"/>
        </w:tabs>
        <w:rPr>
          <w:rFonts w:asciiTheme="minorHAnsi" w:eastAsiaTheme="minorEastAsia" w:hAnsiTheme="minorHAnsi" w:cstheme="minorBidi"/>
          <w:sz w:val="24"/>
          <w:lang w:val="en-GB"/>
        </w:rPr>
      </w:pPr>
      <w:r>
        <w:t>2.2.3</w:t>
      </w:r>
      <w:r>
        <w:rPr>
          <w:rFonts w:asciiTheme="minorHAnsi" w:eastAsiaTheme="minorEastAsia" w:hAnsiTheme="minorHAnsi" w:cstheme="minorBidi"/>
          <w:sz w:val="24"/>
          <w:lang w:val="en-GB"/>
        </w:rPr>
        <w:tab/>
      </w:r>
      <w:r>
        <w:t>Meat</w:t>
      </w:r>
      <w:r>
        <w:tab/>
      </w:r>
      <w:r>
        <w:fldChar w:fldCharType="begin"/>
      </w:r>
      <w:r>
        <w:instrText xml:space="preserve"> PAGEREF _Toc40956483 \h </w:instrText>
      </w:r>
      <w:r>
        <w:fldChar w:fldCharType="separate"/>
      </w:r>
      <w:r>
        <w:t>50</w:t>
      </w:r>
      <w:r>
        <w:fldChar w:fldCharType="end"/>
      </w:r>
    </w:p>
    <w:p w14:paraId="3D514509" w14:textId="77777777" w:rsidR="00C8515B" w:rsidRDefault="00C8515B">
      <w:pPr>
        <w:pStyle w:val="TOC3"/>
        <w:tabs>
          <w:tab w:val="left" w:pos="1418"/>
        </w:tabs>
        <w:rPr>
          <w:rFonts w:asciiTheme="minorHAnsi" w:eastAsiaTheme="minorEastAsia" w:hAnsiTheme="minorHAnsi" w:cstheme="minorBidi"/>
          <w:sz w:val="24"/>
          <w:lang w:val="en-GB"/>
        </w:rPr>
      </w:pPr>
      <w:r>
        <w:t>2.2.4</w:t>
      </w:r>
      <w:r>
        <w:rPr>
          <w:rFonts w:asciiTheme="minorHAnsi" w:eastAsiaTheme="minorEastAsia" w:hAnsiTheme="minorHAnsi" w:cstheme="minorBidi"/>
          <w:sz w:val="24"/>
          <w:lang w:val="en-GB"/>
        </w:rPr>
        <w:tab/>
      </w:r>
      <w:r>
        <w:t>Fish</w:t>
      </w:r>
      <w:r>
        <w:tab/>
      </w:r>
      <w:r>
        <w:fldChar w:fldCharType="begin"/>
      </w:r>
      <w:r>
        <w:instrText xml:space="preserve"> PAGEREF _Toc40956484 \h </w:instrText>
      </w:r>
      <w:r>
        <w:fldChar w:fldCharType="separate"/>
      </w:r>
      <w:r>
        <w:t>50</w:t>
      </w:r>
      <w:r>
        <w:fldChar w:fldCharType="end"/>
      </w:r>
    </w:p>
    <w:p w14:paraId="71D23EDC" w14:textId="77777777" w:rsidR="00C8515B" w:rsidRDefault="00C8515B">
      <w:pPr>
        <w:pStyle w:val="TOC3"/>
        <w:tabs>
          <w:tab w:val="left" w:pos="1418"/>
        </w:tabs>
        <w:rPr>
          <w:rFonts w:asciiTheme="minorHAnsi" w:eastAsiaTheme="minorEastAsia" w:hAnsiTheme="minorHAnsi" w:cstheme="minorBidi"/>
          <w:sz w:val="24"/>
          <w:lang w:val="en-GB"/>
        </w:rPr>
      </w:pPr>
      <w:r>
        <w:t>2.2.5</w:t>
      </w:r>
      <w:r>
        <w:rPr>
          <w:rFonts w:asciiTheme="minorHAnsi" w:eastAsiaTheme="minorEastAsia" w:hAnsiTheme="minorHAnsi" w:cstheme="minorBidi"/>
          <w:sz w:val="24"/>
          <w:lang w:val="en-GB"/>
        </w:rPr>
        <w:tab/>
      </w:r>
      <w:r>
        <w:t>Dairy products</w:t>
      </w:r>
      <w:r>
        <w:tab/>
      </w:r>
      <w:r>
        <w:fldChar w:fldCharType="begin"/>
      </w:r>
      <w:r>
        <w:instrText xml:space="preserve"> PAGEREF _Toc40956485 \h </w:instrText>
      </w:r>
      <w:r>
        <w:fldChar w:fldCharType="separate"/>
      </w:r>
      <w:r>
        <w:t>51</w:t>
      </w:r>
      <w:r>
        <w:fldChar w:fldCharType="end"/>
      </w:r>
    </w:p>
    <w:p w14:paraId="29C280E6" w14:textId="77777777" w:rsidR="00C8515B" w:rsidRDefault="00C8515B">
      <w:pPr>
        <w:pStyle w:val="TOC3"/>
        <w:tabs>
          <w:tab w:val="left" w:pos="1418"/>
        </w:tabs>
        <w:rPr>
          <w:rFonts w:asciiTheme="minorHAnsi" w:eastAsiaTheme="minorEastAsia" w:hAnsiTheme="minorHAnsi" w:cstheme="minorBidi"/>
          <w:sz w:val="24"/>
          <w:lang w:val="en-GB"/>
        </w:rPr>
      </w:pPr>
      <w:r>
        <w:t>2.2.6</w:t>
      </w:r>
      <w:r>
        <w:rPr>
          <w:rFonts w:asciiTheme="minorHAnsi" w:eastAsiaTheme="minorEastAsia" w:hAnsiTheme="minorHAnsi" w:cstheme="minorBidi"/>
          <w:sz w:val="24"/>
          <w:lang w:val="en-GB"/>
        </w:rPr>
        <w:tab/>
      </w:r>
      <w:r>
        <w:t>Carbohydrates</w:t>
      </w:r>
      <w:r>
        <w:tab/>
      </w:r>
      <w:r>
        <w:fldChar w:fldCharType="begin"/>
      </w:r>
      <w:r>
        <w:instrText xml:space="preserve"> PAGEREF _Toc40956486 \h </w:instrText>
      </w:r>
      <w:r>
        <w:fldChar w:fldCharType="separate"/>
      </w:r>
      <w:r>
        <w:t>51</w:t>
      </w:r>
      <w:r>
        <w:fldChar w:fldCharType="end"/>
      </w:r>
    </w:p>
    <w:p w14:paraId="25D7BE84" w14:textId="77777777" w:rsidR="00C8515B" w:rsidRDefault="00C8515B">
      <w:pPr>
        <w:pStyle w:val="TOC3"/>
        <w:tabs>
          <w:tab w:val="left" w:pos="1418"/>
        </w:tabs>
        <w:rPr>
          <w:rFonts w:asciiTheme="minorHAnsi" w:eastAsiaTheme="minorEastAsia" w:hAnsiTheme="minorHAnsi" w:cstheme="minorBidi"/>
          <w:sz w:val="24"/>
          <w:lang w:val="en-GB"/>
        </w:rPr>
      </w:pPr>
      <w:r>
        <w:t>2.2.7</w:t>
      </w:r>
      <w:r>
        <w:rPr>
          <w:rFonts w:asciiTheme="minorHAnsi" w:eastAsiaTheme="minorEastAsia" w:hAnsiTheme="minorHAnsi" w:cstheme="minorBidi"/>
          <w:sz w:val="24"/>
          <w:lang w:val="en-GB"/>
        </w:rPr>
        <w:tab/>
      </w:r>
      <w:r>
        <w:t>Protein</w:t>
      </w:r>
      <w:r>
        <w:tab/>
      </w:r>
      <w:r>
        <w:fldChar w:fldCharType="begin"/>
      </w:r>
      <w:r>
        <w:instrText xml:space="preserve"> PAGEREF _Toc40956487 \h </w:instrText>
      </w:r>
      <w:r>
        <w:fldChar w:fldCharType="separate"/>
      </w:r>
      <w:r>
        <w:t>52</w:t>
      </w:r>
      <w:r>
        <w:fldChar w:fldCharType="end"/>
      </w:r>
    </w:p>
    <w:p w14:paraId="60B481F4" w14:textId="77777777" w:rsidR="00C8515B" w:rsidRDefault="00C8515B">
      <w:pPr>
        <w:pStyle w:val="TOC3"/>
        <w:tabs>
          <w:tab w:val="left" w:pos="1418"/>
        </w:tabs>
        <w:rPr>
          <w:rFonts w:asciiTheme="minorHAnsi" w:eastAsiaTheme="minorEastAsia" w:hAnsiTheme="minorHAnsi" w:cstheme="minorBidi"/>
          <w:sz w:val="24"/>
          <w:lang w:val="en-GB"/>
        </w:rPr>
      </w:pPr>
      <w:r>
        <w:t>2.2.8</w:t>
      </w:r>
      <w:r>
        <w:rPr>
          <w:rFonts w:asciiTheme="minorHAnsi" w:eastAsiaTheme="minorEastAsia" w:hAnsiTheme="minorHAnsi" w:cstheme="minorBidi"/>
          <w:sz w:val="24"/>
          <w:lang w:val="en-GB"/>
        </w:rPr>
        <w:tab/>
      </w:r>
      <w:r>
        <w:t>Fats</w:t>
      </w:r>
      <w:r>
        <w:tab/>
      </w:r>
      <w:r>
        <w:fldChar w:fldCharType="begin"/>
      </w:r>
      <w:r>
        <w:instrText xml:space="preserve"> PAGEREF _Toc40956488 \h </w:instrText>
      </w:r>
      <w:r>
        <w:fldChar w:fldCharType="separate"/>
      </w:r>
      <w:r>
        <w:t>52</w:t>
      </w:r>
      <w:r>
        <w:fldChar w:fldCharType="end"/>
      </w:r>
    </w:p>
    <w:p w14:paraId="07EA49BB" w14:textId="77777777" w:rsidR="00C8515B" w:rsidRDefault="00C8515B">
      <w:pPr>
        <w:pStyle w:val="TOC3"/>
        <w:tabs>
          <w:tab w:val="left" w:pos="1418"/>
        </w:tabs>
        <w:rPr>
          <w:rFonts w:asciiTheme="minorHAnsi" w:eastAsiaTheme="minorEastAsia" w:hAnsiTheme="minorHAnsi" w:cstheme="minorBidi"/>
          <w:sz w:val="24"/>
          <w:lang w:val="en-GB"/>
        </w:rPr>
      </w:pPr>
      <w:r>
        <w:t>2.2.9</w:t>
      </w:r>
      <w:r>
        <w:rPr>
          <w:rFonts w:asciiTheme="minorHAnsi" w:eastAsiaTheme="minorEastAsia" w:hAnsiTheme="minorHAnsi" w:cstheme="minorBidi"/>
          <w:sz w:val="24"/>
          <w:lang w:val="en-GB"/>
        </w:rPr>
        <w:tab/>
      </w:r>
      <w:r>
        <w:t>Water</w:t>
      </w:r>
      <w:r>
        <w:tab/>
      </w:r>
      <w:r>
        <w:fldChar w:fldCharType="begin"/>
      </w:r>
      <w:r>
        <w:instrText xml:space="preserve"> PAGEREF _Toc40956489 \h </w:instrText>
      </w:r>
      <w:r>
        <w:fldChar w:fldCharType="separate"/>
      </w:r>
      <w:r>
        <w:t>52</w:t>
      </w:r>
      <w:r>
        <w:fldChar w:fldCharType="end"/>
      </w:r>
    </w:p>
    <w:p w14:paraId="421B477A" w14:textId="77777777" w:rsidR="00C8515B" w:rsidRDefault="00C8515B">
      <w:pPr>
        <w:pStyle w:val="TOC3"/>
        <w:tabs>
          <w:tab w:val="left" w:pos="1680"/>
        </w:tabs>
        <w:rPr>
          <w:rFonts w:asciiTheme="minorHAnsi" w:eastAsiaTheme="minorEastAsia" w:hAnsiTheme="minorHAnsi" w:cstheme="minorBidi"/>
          <w:sz w:val="24"/>
          <w:lang w:val="en-GB"/>
        </w:rPr>
      </w:pPr>
      <w:r>
        <w:t>2.2.10</w:t>
      </w:r>
      <w:r>
        <w:rPr>
          <w:rFonts w:asciiTheme="minorHAnsi" w:eastAsiaTheme="minorEastAsia" w:hAnsiTheme="minorHAnsi" w:cstheme="minorBidi"/>
          <w:sz w:val="24"/>
          <w:lang w:val="en-GB"/>
        </w:rPr>
        <w:tab/>
      </w:r>
      <w:r>
        <w:t>Sweetened foods and beverages</w:t>
      </w:r>
      <w:r>
        <w:tab/>
      </w:r>
      <w:r>
        <w:fldChar w:fldCharType="begin"/>
      </w:r>
      <w:r>
        <w:instrText xml:space="preserve"> PAGEREF _Toc40956490 \h </w:instrText>
      </w:r>
      <w:r>
        <w:fldChar w:fldCharType="separate"/>
      </w:r>
      <w:r>
        <w:t>52</w:t>
      </w:r>
      <w:r>
        <w:fldChar w:fldCharType="end"/>
      </w:r>
    </w:p>
    <w:p w14:paraId="2B91E42B" w14:textId="77777777" w:rsidR="00C8515B" w:rsidRDefault="00C8515B">
      <w:pPr>
        <w:pStyle w:val="TOC3"/>
        <w:tabs>
          <w:tab w:val="left" w:pos="1680"/>
        </w:tabs>
        <w:rPr>
          <w:rFonts w:asciiTheme="minorHAnsi" w:eastAsiaTheme="minorEastAsia" w:hAnsiTheme="minorHAnsi" w:cstheme="minorBidi"/>
          <w:sz w:val="24"/>
          <w:lang w:val="en-GB"/>
        </w:rPr>
      </w:pPr>
      <w:r>
        <w:t>2.2.11</w:t>
      </w:r>
      <w:r>
        <w:rPr>
          <w:rFonts w:asciiTheme="minorHAnsi" w:eastAsiaTheme="minorEastAsia" w:hAnsiTheme="minorHAnsi" w:cstheme="minorBidi"/>
          <w:sz w:val="24"/>
          <w:lang w:val="en-GB"/>
        </w:rPr>
        <w:tab/>
      </w:r>
      <w:r>
        <w:t>Fast foods</w:t>
      </w:r>
      <w:r>
        <w:tab/>
      </w:r>
      <w:r>
        <w:fldChar w:fldCharType="begin"/>
      </w:r>
      <w:r>
        <w:instrText xml:space="preserve"> PAGEREF _Toc40956491 \h </w:instrText>
      </w:r>
      <w:r>
        <w:fldChar w:fldCharType="separate"/>
      </w:r>
      <w:r>
        <w:t>53</w:t>
      </w:r>
      <w:r>
        <w:fldChar w:fldCharType="end"/>
      </w:r>
    </w:p>
    <w:p w14:paraId="16EB1F17" w14:textId="77777777" w:rsidR="00C8515B" w:rsidRDefault="00C8515B">
      <w:pPr>
        <w:pStyle w:val="TOC3"/>
        <w:tabs>
          <w:tab w:val="left" w:pos="1680"/>
        </w:tabs>
        <w:rPr>
          <w:rFonts w:asciiTheme="minorHAnsi" w:eastAsiaTheme="minorEastAsia" w:hAnsiTheme="minorHAnsi" w:cstheme="minorBidi"/>
          <w:sz w:val="24"/>
          <w:lang w:val="en-GB"/>
        </w:rPr>
      </w:pPr>
      <w:r>
        <w:t>2.2.12</w:t>
      </w:r>
      <w:r>
        <w:rPr>
          <w:rFonts w:asciiTheme="minorHAnsi" w:eastAsiaTheme="minorEastAsia" w:hAnsiTheme="minorHAnsi" w:cstheme="minorBidi"/>
          <w:sz w:val="24"/>
          <w:lang w:val="en-GB"/>
        </w:rPr>
        <w:tab/>
      </w:r>
      <w:r>
        <w:t>Caffeine</w:t>
      </w:r>
      <w:r>
        <w:tab/>
      </w:r>
      <w:r>
        <w:fldChar w:fldCharType="begin"/>
      </w:r>
      <w:r>
        <w:instrText xml:space="preserve"> PAGEREF _Toc40956492 \h </w:instrText>
      </w:r>
      <w:r>
        <w:fldChar w:fldCharType="separate"/>
      </w:r>
      <w:r>
        <w:t>53</w:t>
      </w:r>
      <w:r>
        <w:fldChar w:fldCharType="end"/>
      </w:r>
    </w:p>
    <w:p w14:paraId="5514642F" w14:textId="77777777" w:rsidR="00C8515B" w:rsidRDefault="00C8515B">
      <w:pPr>
        <w:pStyle w:val="TOC3"/>
        <w:tabs>
          <w:tab w:val="left" w:pos="1680"/>
        </w:tabs>
        <w:rPr>
          <w:rFonts w:asciiTheme="minorHAnsi" w:eastAsiaTheme="minorEastAsia" w:hAnsiTheme="minorHAnsi" w:cstheme="minorBidi"/>
          <w:sz w:val="24"/>
          <w:lang w:val="en-GB"/>
        </w:rPr>
      </w:pPr>
      <w:r>
        <w:t>2.2.13</w:t>
      </w:r>
      <w:r>
        <w:rPr>
          <w:rFonts w:asciiTheme="minorHAnsi" w:eastAsiaTheme="minorEastAsia" w:hAnsiTheme="minorHAnsi" w:cstheme="minorBidi"/>
          <w:sz w:val="24"/>
          <w:lang w:val="en-GB"/>
        </w:rPr>
        <w:tab/>
      </w:r>
      <w:r>
        <w:t>Potential allergens</w:t>
      </w:r>
      <w:r>
        <w:tab/>
      </w:r>
      <w:r>
        <w:fldChar w:fldCharType="begin"/>
      </w:r>
      <w:r>
        <w:instrText xml:space="preserve"> PAGEREF _Toc40956493 \h </w:instrText>
      </w:r>
      <w:r>
        <w:fldChar w:fldCharType="separate"/>
      </w:r>
      <w:r>
        <w:t>53</w:t>
      </w:r>
      <w:r>
        <w:fldChar w:fldCharType="end"/>
      </w:r>
    </w:p>
    <w:p w14:paraId="0A544D13" w14:textId="77777777" w:rsidR="00C8515B" w:rsidRDefault="00C8515B">
      <w:pPr>
        <w:pStyle w:val="TOC3"/>
        <w:tabs>
          <w:tab w:val="left" w:pos="1680"/>
        </w:tabs>
        <w:rPr>
          <w:rFonts w:asciiTheme="minorHAnsi" w:eastAsiaTheme="minorEastAsia" w:hAnsiTheme="minorHAnsi" w:cstheme="minorBidi"/>
          <w:sz w:val="24"/>
          <w:lang w:val="en-GB"/>
        </w:rPr>
      </w:pPr>
      <w:r>
        <w:t>2.2.14</w:t>
      </w:r>
      <w:r>
        <w:rPr>
          <w:rFonts w:asciiTheme="minorHAnsi" w:eastAsiaTheme="minorEastAsia" w:hAnsiTheme="minorHAnsi" w:cstheme="minorBidi"/>
          <w:sz w:val="24"/>
          <w:lang w:val="en-GB"/>
        </w:rPr>
        <w:tab/>
      </w:r>
      <w:r>
        <w:t>Evidence summary</w:t>
      </w:r>
      <w:r>
        <w:tab/>
      </w:r>
      <w:r>
        <w:fldChar w:fldCharType="begin"/>
      </w:r>
      <w:r>
        <w:instrText xml:space="preserve"> PAGEREF _Toc40956494 \h </w:instrText>
      </w:r>
      <w:r>
        <w:fldChar w:fldCharType="separate"/>
      </w:r>
      <w:r>
        <w:t>54</w:t>
      </w:r>
      <w:r>
        <w:fldChar w:fldCharType="end"/>
      </w:r>
    </w:p>
    <w:p w14:paraId="5F1D77E4" w14:textId="77777777" w:rsidR="00C8515B" w:rsidRDefault="00C8515B">
      <w:pPr>
        <w:pStyle w:val="TOC3"/>
        <w:tabs>
          <w:tab w:val="left" w:pos="1680"/>
        </w:tabs>
        <w:rPr>
          <w:rFonts w:asciiTheme="minorHAnsi" w:eastAsiaTheme="minorEastAsia" w:hAnsiTheme="minorHAnsi" w:cstheme="minorBidi"/>
          <w:sz w:val="24"/>
          <w:lang w:val="en-GB"/>
        </w:rPr>
      </w:pPr>
      <w:r>
        <w:t>2.2.15</w:t>
      </w:r>
      <w:r>
        <w:rPr>
          <w:rFonts w:asciiTheme="minorHAnsi" w:eastAsiaTheme="minorEastAsia" w:hAnsiTheme="minorHAnsi" w:cstheme="minorBidi"/>
          <w:sz w:val="24"/>
          <w:lang w:val="en-GB"/>
        </w:rPr>
        <w:tab/>
      </w:r>
      <w:r>
        <w:t>Consumer summary</w:t>
      </w:r>
      <w:r>
        <w:tab/>
      </w:r>
      <w:r>
        <w:fldChar w:fldCharType="begin"/>
      </w:r>
      <w:r>
        <w:instrText xml:space="preserve"> PAGEREF _Toc40956495 \h </w:instrText>
      </w:r>
      <w:r>
        <w:fldChar w:fldCharType="separate"/>
      </w:r>
      <w:r>
        <w:t>55</w:t>
      </w:r>
      <w:r>
        <w:fldChar w:fldCharType="end"/>
      </w:r>
    </w:p>
    <w:p w14:paraId="088D4331" w14:textId="77777777" w:rsidR="00C8515B" w:rsidRDefault="00C8515B">
      <w:pPr>
        <w:pStyle w:val="TOC3"/>
        <w:tabs>
          <w:tab w:val="left" w:pos="1680"/>
        </w:tabs>
        <w:rPr>
          <w:rFonts w:asciiTheme="minorHAnsi" w:eastAsiaTheme="minorEastAsia" w:hAnsiTheme="minorHAnsi" w:cstheme="minorBidi"/>
          <w:sz w:val="24"/>
          <w:lang w:val="en-GB"/>
        </w:rPr>
      </w:pPr>
      <w:r>
        <w:t>2.2.16</w:t>
      </w:r>
      <w:r>
        <w:rPr>
          <w:rFonts w:asciiTheme="minorHAnsi" w:eastAsiaTheme="minorEastAsia" w:hAnsiTheme="minorHAnsi" w:cstheme="minorBidi"/>
          <w:sz w:val="24"/>
          <w:lang w:val="en-GB"/>
        </w:rPr>
        <w:tab/>
      </w:r>
      <w:r>
        <w:t>Evidence tables</w:t>
      </w:r>
      <w:r>
        <w:tab/>
      </w:r>
      <w:r>
        <w:fldChar w:fldCharType="begin"/>
      </w:r>
      <w:r>
        <w:instrText xml:space="preserve"> PAGEREF _Toc40956496 \h </w:instrText>
      </w:r>
      <w:r>
        <w:fldChar w:fldCharType="separate"/>
      </w:r>
      <w:r>
        <w:t>56</w:t>
      </w:r>
      <w:r>
        <w:fldChar w:fldCharType="end"/>
      </w:r>
    </w:p>
    <w:p w14:paraId="2E576EB7" w14:textId="77777777" w:rsidR="00C8515B" w:rsidRDefault="00C8515B">
      <w:pPr>
        <w:pStyle w:val="TOC2"/>
        <w:tabs>
          <w:tab w:val="left" w:pos="1418"/>
        </w:tabs>
        <w:rPr>
          <w:rFonts w:asciiTheme="minorHAnsi" w:eastAsiaTheme="minorEastAsia" w:hAnsiTheme="minorHAnsi" w:cstheme="minorBidi"/>
          <w:sz w:val="24"/>
          <w:lang w:val="en-GB"/>
        </w:rPr>
      </w:pPr>
      <w:r>
        <w:t>2.3</w:t>
      </w:r>
      <w:r>
        <w:rPr>
          <w:rFonts w:asciiTheme="minorHAnsi" w:eastAsiaTheme="minorEastAsia" w:hAnsiTheme="minorHAnsi" w:cstheme="minorBidi"/>
          <w:sz w:val="24"/>
          <w:lang w:val="en-GB"/>
        </w:rPr>
        <w:tab/>
      </w:r>
      <w:r w:rsidRPr="00446387">
        <w:rPr>
          <w:b/>
        </w:rPr>
        <w:t>Q3</w:t>
      </w:r>
      <w:r>
        <w:t>: What are the harms and benefits of vitamin and mineral supplementation in pregnancy?</w:t>
      </w:r>
      <w:r>
        <w:tab/>
      </w:r>
      <w:r>
        <w:fldChar w:fldCharType="begin"/>
      </w:r>
      <w:r>
        <w:instrText xml:space="preserve"> PAGEREF _Toc40956497 \h </w:instrText>
      </w:r>
      <w:r>
        <w:fldChar w:fldCharType="separate"/>
      </w:r>
      <w:r>
        <w:t>92</w:t>
      </w:r>
      <w:r>
        <w:fldChar w:fldCharType="end"/>
      </w:r>
    </w:p>
    <w:p w14:paraId="6B3F39FF" w14:textId="77777777" w:rsidR="00C8515B" w:rsidRDefault="00C8515B">
      <w:pPr>
        <w:pStyle w:val="TOC3"/>
        <w:tabs>
          <w:tab w:val="left" w:pos="1418"/>
        </w:tabs>
        <w:rPr>
          <w:rFonts w:asciiTheme="minorHAnsi" w:eastAsiaTheme="minorEastAsia" w:hAnsiTheme="minorHAnsi" w:cstheme="minorBidi"/>
          <w:sz w:val="24"/>
          <w:lang w:val="en-GB"/>
        </w:rPr>
      </w:pPr>
      <w:r>
        <w:t>2.3.1</w:t>
      </w:r>
      <w:r>
        <w:rPr>
          <w:rFonts w:asciiTheme="minorHAnsi" w:eastAsiaTheme="minorEastAsia" w:hAnsiTheme="minorHAnsi" w:cstheme="minorBidi"/>
          <w:sz w:val="24"/>
          <w:lang w:val="en-GB"/>
        </w:rPr>
        <w:tab/>
      </w:r>
      <w:r>
        <w:t>Vitamins</w:t>
      </w:r>
      <w:r>
        <w:tab/>
      </w:r>
      <w:r>
        <w:fldChar w:fldCharType="begin"/>
      </w:r>
      <w:r>
        <w:instrText xml:space="preserve"> PAGEREF _Toc40956498 \h </w:instrText>
      </w:r>
      <w:r>
        <w:fldChar w:fldCharType="separate"/>
      </w:r>
      <w:r>
        <w:t>92</w:t>
      </w:r>
      <w:r>
        <w:fldChar w:fldCharType="end"/>
      </w:r>
    </w:p>
    <w:p w14:paraId="73A0CB78" w14:textId="77777777" w:rsidR="00C8515B" w:rsidRDefault="00C8515B">
      <w:pPr>
        <w:pStyle w:val="TOC3"/>
        <w:tabs>
          <w:tab w:val="left" w:pos="1418"/>
        </w:tabs>
        <w:rPr>
          <w:rFonts w:asciiTheme="minorHAnsi" w:eastAsiaTheme="minorEastAsia" w:hAnsiTheme="minorHAnsi" w:cstheme="minorBidi"/>
          <w:sz w:val="24"/>
          <w:lang w:val="en-GB"/>
        </w:rPr>
      </w:pPr>
      <w:r>
        <w:t>2.3.2</w:t>
      </w:r>
      <w:r>
        <w:rPr>
          <w:rFonts w:asciiTheme="minorHAnsi" w:eastAsiaTheme="minorEastAsia" w:hAnsiTheme="minorHAnsi" w:cstheme="minorBidi"/>
          <w:sz w:val="24"/>
          <w:lang w:val="en-GB"/>
        </w:rPr>
        <w:tab/>
      </w:r>
      <w:r>
        <w:t>Minerals</w:t>
      </w:r>
      <w:r>
        <w:tab/>
      </w:r>
      <w:r>
        <w:fldChar w:fldCharType="begin"/>
      </w:r>
      <w:r>
        <w:instrText xml:space="preserve"> PAGEREF _Toc40956499 \h </w:instrText>
      </w:r>
      <w:r>
        <w:fldChar w:fldCharType="separate"/>
      </w:r>
      <w:r>
        <w:t>97</w:t>
      </w:r>
      <w:r>
        <w:fldChar w:fldCharType="end"/>
      </w:r>
    </w:p>
    <w:p w14:paraId="7AAAA0B8" w14:textId="77777777" w:rsidR="00C8515B" w:rsidRDefault="00C8515B">
      <w:pPr>
        <w:pStyle w:val="TOC3"/>
        <w:tabs>
          <w:tab w:val="left" w:pos="1418"/>
        </w:tabs>
        <w:rPr>
          <w:rFonts w:asciiTheme="minorHAnsi" w:eastAsiaTheme="minorEastAsia" w:hAnsiTheme="minorHAnsi" w:cstheme="minorBidi"/>
          <w:sz w:val="24"/>
          <w:lang w:val="en-GB"/>
        </w:rPr>
      </w:pPr>
      <w:r>
        <w:t>2.3.3</w:t>
      </w:r>
      <w:r>
        <w:rPr>
          <w:rFonts w:asciiTheme="minorHAnsi" w:eastAsiaTheme="minorEastAsia" w:hAnsiTheme="minorHAnsi" w:cstheme="minorBidi"/>
          <w:sz w:val="24"/>
          <w:lang w:val="en-GB"/>
        </w:rPr>
        <w:tab/>
      </w:r>
      <w:r>
        <w:t>Evidence statements</w:t>
      </w:r>
      <w:r>
        <w:tab/>
      </w:r>
      <w:r>
        <w:fldChar w:fldCharType="begin"/>
      </w:r>
      <w:r>
        <w:instrText xml:space="preserve"> PAGEREF _Toc40956500 \h </w:instrText>
      </w:r>
      <w:r>
        <w:fldChar w:fldCharType="separate"/>
      </w:r>
      <w:r>
        <w:t>101</w:t>
      </w:r>
      <w:r>
        <w:fldChar w:fldCharType="end"/>
      </w:r>
    </w:p>
    <w:p w14:paraId="7EE4A2DC" w14:textId="77777777" w:rsidR="00C8515B" w:rsidRDefault="00C8515B">
      <w:pPr>
        <w:pStyle w:val="TOC3"/>
        <w:tabs>
          <w:tab w:val="left" w:pos="1418"/>
        </w:tabs>
        <w:rPr>
          <w:rFonts w:asciiTheme="minorHAnsi" w:eastAsiaTheme="minorEastAsia" w:hAnsiTheme="minorHAnsi" w:cstheme="minorBidi"/>
          <w:sz w:val="24"/>
          <w:lang w:val="en-GB"/>
        </w:rPr>
      </w:pPr>
      <w:r>
        <w:t>2.3.4</w:t>
      </w:r>
      <w:r>
        <w:rPr>
          <w:rFonts w:asciiTheme="minorHAnsi" w:eastAsiaTheme="minorEastAsia" w:hAnsiTheme="minorHAnsi" w:cstheme="minorBidi"/>
          <w:sz w:val="24"/>
          <w:lang w:val="en-GB"/>
        </w:rPr>
        <w:tab/>
      </w:r>
      <w:r>
        <w:t>Evidence tables</w:t>
      </w:r>
      <w:r>
        <w:tab/>
      </w:r>
      <w:r>
        <w:fldChar w:fldCharType="begin"/>
      </w:r>
      <w:r>
        <w:instrText xml:space="preserve"> PAGEREF _Toc40956501 \h </w:instrText>
      </w:r>
      <w:r>
        <w:fldChar w:fldCharType="separate"/>
      </w:r>
      <w:r>
        <w:t>103</w:t>
      </w:r>
      <w:r>
        <w:fldChar w:fldCharType="end"/>
      </w:r>
    </w:p>
    <w:p w14:paraId="2448C10B" w14:textId="03CFD576" w:rsidR="00C8515B" w:rsidRDefault="00C8515B" w:rsidP="00C8515B">
      <w:pPr>
        <w:pStyle w:val="TOC2"/>
        <w:rPr>
          <w:rFonts w:asciiTheme="minorHAnsi" w:eastAsiaTheme="minorEastAsia" w:hAnsiTheme="minorHAnsi" w:cstheme="minorBidi"/>
          <w:sz w:val="24"/>
          <w:lang w:val="en-GB"/>
        </w:rPr>
      </w:pPr>
      <w:r>
        <w:t>2.4</w:t>
      </w:r>
      <w:r>
        <w:rPr>
          <w:rFonts w:asciiTheme="minorHAnsi" w:eastAsiaTheme="minorEastAsia" w:hAnsiTheme="minorHAnsi" w:cstheme="minorBidi"/>
          <w:sz w:val="24"/>
          <w:lang w:val="en-GB"/>
        </w:rPr>
        <w:tab/>
      </w:r>
      <w:r w:rsidRPr="00446387">
        <w:rPr>
          <w:b/>
        </w:rPr>
        <w:t>Q4</w:t>
      </w:r>
      <w:r>
        <w:t xml:space="preserve">: What are the harms and benefits of nutritionally based complementary medicines in </w:t>
      </w:r>
      <w:r>
        <w:br/>
        <w:t>pregnancy?</w:t>
      </w:r>
      <w:r>
        <w:tab/>
      </w:r>
      <w:r>
        <w:fldChar w:fldCharType="begin"/>
      </w:r>
      <w:r>
        <w:instrText xml:space="preserve"> PAGEREF _Toc40956502 \h </w:instrText>
      </w:r>
      <w:r>
        <w:fldChar w:fldCharType="separate"/>
      </w:r>
      <w:r>
        <w:t>154</w:t>
      </w:r>
      <w:r>
        <w:fldChar w:fldCharType="end"/>
      </w:r>
    </w:p>
    <w:p w14:paraId="162284DC" w14:textId="77777777" w:rsidR="00C8515B" w:rsidRDefault="00C8515B">
      <w:pPr>
        <w:pStyle w:val="TOC3"/>
        <w:tabs>
          <w:tab w:val="left" w:pos="1418"/>
        </w:tabs>
        <w:rPr>
          <w:rFonts w:asciiTheme="minorHAnsi" w:eastAsiaTheme="minorEastAsia" w:hAnsiTheme="minorHAnsi" w:cstheme="minorBidi"/>
          <w:sz w:val="24"/>
          <w:lang w:val="en-GB"/>
        </w:rPr>
      </w:pPr>
      <w:r>
        <w:t>2.4.1</w:t>
      </w:r>
      <w:r>
        <w:rPr>
          <w:rFonts w:asciiTheme="minorHAnsi" w:eastAsiaTheme="minorEastAsia" w:hAnsiTheme="minorHAnsi" w:cstheme="minorBidi"/>
          <w:sz w:val="24"/>
          <w:lang w:val="en-GB"/>
        </w:rPr>
        <w:tab/>
      </w:r>
      <w:r>
        <w:t>Omega-3 fatty acids</w:t>
      </w:r>
      <w:r>
        <w:tab/>
      </w:r>
      <w:r>
        <w:fldChar w:fldCharType="begin"/>
      </w:r>
      <w:r>
        <w:instrText xml:space="preserve"> PAGEREF _Toc40956503 \h </w:instrText>
      </w:r>
      <w:r>
        <w:fldChar w:fldCharType="separate"/>
      </w:r>
      <w:r>
        <w:t>154</w:t>
      </w:r>
      <w:r>
        <w:fldChar w:fldCharType="end"/>
      </w:r>
    </w:p>
    <w:p w14:paraId="454FB8CC" w14:textId="77777777" w:rsidR="00C8515B" w:rsidRDefault="00C8515B">
      <w:pPr>
        <w:pStyle w:val="TOC3"/>
        <w:tabs>
          <w:tab w:val="left" w:pos="1418"/>
        </w:tabs>
        <w:rPr>
          <w:rFonts w:asciiTheme="minorHAnsi" w:eastAsiaTheme="minorEastAsia" w:hAnsiTheme="minorHAnsi" w:cstheme="minorBidi"/>
          <w:sz w:val="24"/>
          <w:lang w:val="en-GB"/>
        </w:rPr>
      </w:pPr>
      <w:r>
        <w:t>2.4.2</w:t>
      </w:r>
      <w:r>
        <w:rPr>
          <w:rFonts w:asciiTheme="minorHAnsi" w:eastAsiaTheme="minorEastAsia" w:hAnsiTheme="minorHAnsi" w:cstheme="minorBidi"/>
          <w:sz w:val="24"/>
          <w:lang w:val="en-GB"/>
        </w:rPr>
        <w:tab/>
      </w:r>
      <w:r>
        <w:t>Probiotics</w:t>
      </w:r>
      <w:r>
        <w:tab/>
      </w:r>
      <w:r>
        <w:fldChar w:fldCharType="begin"/>
      </w:r>
      <w:r>
        <w:instrText xml:space="preserve"> PAGEREF _Toc40956504 \h </w:instrText>
      </w:r>
      <w:r>
        <w:fldChar w:fldCharType="separate"/>
      </w:r>
      <w:r>
        <w:t>156</w:t>
      </w:r>
      <w:r>
        <w:fldChar w:fldCharType="end"/>
      </w:r>
    </w:p>
    <w:p w14:paraId="1E7151E3" w14:textId="77777777" w:rsidR="00C8515B" w:rsidRDefault="00C8515B">
      <w:pPr>
        <w:pStyle w:val="TOC3"/>
        <w:tabs>
          <w:tab w:val="left" w:pos="1418"/>
        </w:tabs>
        <w:rPr>
          <w:rFonts w:asciiTheme="minorHAnsi" w:eastAsiaTheme="minorEastAsia" w:hAnsiTheme="minorHAnsi" w:cstheme="minorBidi"/>
          <w:sz w:val="24"/>
          <w:lang w:val="en-GB"/>
        </w:rPr>
      </w:pPr>
      <w:r>
        <w:t>2.4.3</w:t>
      </w:r>
      <w:r>
        <w:rPr>
          <w:rFonts w:asciiTheme="minorHAnsi" w:eastAsiaTheme="minorEastAsia" w:hAnsiTheme="minorHAnsi" w:cstheme="minorBidi"/>
          <w:sz w:val="24"/>
          <w:lang w:val="en-GB"/>
        </w:rPr>
        <w:tab/>
      </w:r>
      <w:r>
        <w:t>Herbal preparations</w:t>
      </w:r>
      <w:r>
        <w:tab/>
      </w:r>
      <w:r>
        <w:fldChar w:fldCharType="begin"/>
      </w:r>
      <w:r>
        <w:instrText xml:space="preserve"> PAGEREF _Toc40956505 \h </w:instrText>
      </w:r>
      <w:r>
        <w:fldChar w:fldCharType="separate"/>
      </w:r>
      <w:r>
        <w:t>159</w:t>
      </w:r>
      <w:r>
        <w:fldChar w:fldCharType="end"/>
      </w:r>
    </w:p>
    <w:p w14:paraId="7C5F3AE4" w14:textId="77777777" w:rsidR="00C8515B" w:rsidRDefault="00C8515B">
      <w:pPr>
        <w:pStyle w:val="TOC3"/>
        <w:tabs>
          <w:tab w:val="left" w:pos="1418"/>
        </w:tabs>
        <w:rPr>
          <w:rFonts w:asciiTheme="minorHAnsi" w:eastAsiaTheme="minorEastAsia" w:hAnsiTheme="minorHAnsi" w:cstheme="minorBidi"/>
          <w:sz w:val="24"/>
          <w:lang w:val="en-GB"/>
        </w:rPr>
      </w:pPr>
      <w:r>
        <w:t>2.4.4</w:t>
      </w:r>
      <w:r>
        <w:rPr>
          <w:rFonts w:asciiTheme="minorHAnsi" w:eastAsiaTheme="minorEastAsia" w:hAnsiTheme="minorHAnsi" w:cstheme="minorBidi"/>
          <w:sz w:val="24"/>
          <w:lang w:val="en-GB"/>
        </w:rPr>
        <w:tab/>
      </w:r>
      <w:r>
        <w:t>Evidence statements</w:t>
      </w:r>
      <w:r>
        <w:tab/>
      </w:r>
      <w:r>
        <w:fldChar w:fldCharType="begin"/>
      </w:r>
      <w:r>
        <w:instrText xml:space="preserve"> PAGEREF _Toc40956506 \h </w:instrText>
      </w:r>
      <w:r>
        <w:fldChar w:fldCharType="separate"/>
      </w:r>
      <w:r>
        <w:t>160</w:t>
      </w:r>
      <w:r>
        <w:fldChar w:fldCharType="end"/>
      </w:r>
    </w:p>
    <w:p w14:paraId="6C633D54" w14:textId="77777777" w:rsidR="00C8515B" w:rsidRDefault="00C8515B">
      <w:pPr>
        <w:pStyle w:val="TOC3"/>
        <w:tabs>
          <w:tab w:val="left" w:pos="1418"/>
        </w:tabs>
        <w:rPr>
          <w:rFonts w:asciiTheme="minorHAnsi" w:eastAsiaTheme="minorEastAsia" w:hAnsiTheme="minorHAnsi" w:cstheme="minorBidi"/>
          <w:sz w:val="24"/>
          <w:lang w:val="en-GB"/>
        </w:rPr>
      </w:pPr>
      <w:r>
        <w:t>2.4.5</w:t>
      </w:r>
      <w:r>
        <w:rPr>
          <w:rFonts w:asciiTheme="minorHAnsi" w:eastAsiaTheme="minorEastAsia" w:hAnsiTheme="minorHAnsi" w:cstheme="minorBidi"/>
          <w:sz w:val="24"/>
          <w:lang w:val="en-GB"/>
        </w:rPr>
        <w:tab/>
      </w:r>
      <w:r>
        <w:t>Evidence tables</w:t>
      </w:r>
      <w:r>
        <w:tab/>
      </w:r>
      <w:r>
        <w:fldChar w:fldCharType="begin"/>
      </w:r>
      <w:r>
        <w:instrText xml:space="preserve"> PAGEREF _Toc40956507 \h </w:instrText>
      </w:r>
      <w:r>
        <w:fldChar w:fldCharType="separate"/>
      </w:r>
      <w:r>
        <w:t>161</w:t>
      </w:r>
      <w:r>
        <w:fldChar w:fldCharType="end"/>
      </w:r>
    </w:p>
    <w:p w14:paraId="3634AD23" w14:textId="77777777" w:rsidR="00C8515B" w:rsidRDefault="00C8515B" w:rsidP="00C8515B">
      <w:pPr>
        <w:pStyle w:val="TOC1"/>
        <w:rPr>
          <w:rFonts w:asciiTheme="minorHAnsi" w:eastAsiaTheme="minorEastAsia" w:hAnsiTheme="minorHAnsi" w:cstheme="minorBidi"/>
          <w:color w:val="auto"/>
          <w:sz w:val="24"/>
          <w:lang w:val="en-GB"/>
        </w:rPr>
      </w:pPr>
      <w:r>
        <w:t>3</w:t>
      </w:r>
      <w:r>
        <w:rPr>
          <w:rFonts w:asciiTheme="minorHAnsi" w:eastAsiaTheme="minorEastAsia" w:hAnsiTheme="minorHAnsi" w:cstheme="minorBidi"/>
          <w:color w:val="auto"/>
          <w:sz w:val="24"/>
          <w:lang w:val="en-GB"/>
        </w:rPr>
        <w:tab/>
      </w:r>
      <w:r>
        <w:t>Physical activity advice</w:t>
      </w:r>
      <w:r>
        <w:tab/>
      </w:r>
      <w:r>
        <w:fldChar w:fldCharType="begin"/>
      </w:r>
      <w:r>
        <w:instrText xml:space="preserve"> PAGEREF _Toc40956508 \h </w:instrText>
      </w:r>
      <w:r>
        <w:fldChar w:fldCharType="separate"/>
      </w:r>
      <w:r>
        <w:t>177</w:t>
      </w:r>
      <w:r>
        <w:fldChar w:fldCharType="end"/>
      </w:r>
    </w:p>
    <w:p w14:paraId="1DE2E7AA" w14:textId="77777777" w:rsidR="00C8515B" w:rsidRDefault="00C8515B">
      <w:pPr>
        <w:pStyle w:val="TOC2"/>
        <w:tabs>
          <w:tab w:val="left" w:pos="1418"/>
        </w:tabs>
        <w:rPr>
          <w:rFonts w:asciiTheme="minorHAnsi" w:eastAsiaTheme="minorEastAsia" w:hAnsiTheme="minorHAnsi" w:cstheme="minorBidi"/>
          <w:sz w:val="24"/>
          <w:lang w:val="en-GB"/>
        </w:rPr>
      </w:pPr>
      <w:r>
        <w:t>3.1</w:t>
      </w:r>
      <w:r>
        <w:rPr>
          <w:rFonts w:asciiTheme="minorHAnsi" w:eastAsiaTheme="minorEastAsia" w:hAnsiTheme="minorHAnsi" w:cstheme="minorBidi"/>
          <w:sz w:val="24"/>
          <w:lang w:val="en-GB"/>
        </w:rPr>
        <w:tab/>
      </w:r>
      <w:r w:rsidRPr="00446387">
        <w:rPr>
          <w:b/>
        </w:rPr>
        <w:t>Q5</w:t>
      </w:r>
      <w:r>
        <w:t>: What are the harms and benefits of physical activity during pregnancy?</w:t>
      </w:r>
      <w:r>
        <w:tab/>
      </w:r>
      <w:r>
        <w:fldChar w:fldCharType="begin"/>
      </w:r>
      <w:r>
        <w:instrText xml:space="preserve"> PAGEREF _Toc40956509 \h </w:instrText>
      </w:r>
      <w:r>
        <w:fldChar w:fldCharType="separate"/>
      </w:r>
      <w:r>
        <w:t>177</w:t>
      </w:r>
      <w:r>
        <w:fldChar w:fldCharType="end"/>
      </w:r>
    </w:p>
    <w:p w14:paraId="24DE3755" w14:textId="77777777" w:rsidR="00C8515B" w:rsidRDefault="00C8515B">
      <w:pPr>
        <w:pStyle w:val="TOC3"/>
        <w:tabs>
          <w:tab w:val="left" w:pos="1418"/>
        </w:tabs>
        <w:rPr>
          <w:rFonts w:asciiTheme="minorHAnsi" w:eastAsiaTheme="minorEastAsia" w:hAnsiTheme="minorHAnsi" w:cstheme="minorBidi"/>
          <w:sz w:val="24"/>
          <w:lang w:val="en-GB"/>
        </w:rPr>
      </w:pPr>
      <w:r>
        <w:t>3.1.1</w:t>
      </w:r>
      <w:r>
        <w:rPr>
          <w:rFonts w:asciiTheme="minorHAnsi" w:eastAsiaTheme="minorEastAsia" w:hAnsiTheme="minorHAnsi" w:cstheme="minorBidi"/>
          <w:sz w:val="24"/>
          <w:lang w:val="en-GB"/>
        </w:rPr>
        <w:tab/>
      </w:r>
      <w:r>
        <w:t>Background</w:t>
      </w:r>
      <w:r>
        <w:tab/>
      </w:r>
      <w:r>
        <w:fldChar w:fldCharType="begin"/>
      </w:r>
      <w:r>
        <w:instrText xml:space="preserve"> PAGEREF _Toc40956510 \h </w:instrText>
      </w:r>
      <w:r>
        <w:fldChar w:fldCharType="separate"/>
      </w:r>
      <w:r>
        <w:t>177</w:t>
      </w:r>
      <w:r>
        <w:fldChar w:fldCharType="end"/>
      </w:r>
    </w:p>
    <w:p w14:paraId="7BFD71CC" w14:textId="77777777" w:rsidR="00C8515B" w:rsidRDefault="00C8515B">
      <w:pPr>
        <w:pStyle w:val="TOC3"/>
        <w:tabs>
          <w:tab w:val="left" w:pos="1418"/>
        </w:tabs>
        <w:rPr>
          <w:rFonts w:asciiTheme="minorHAnsi" w:eastAsiaTheme="minorEastAsia" w:hAnsiTheme="minorHAnsi" w:cstheme="minorBidi"/>
          <w:sz w:val="24"/>
          <w:lang w:val="en-GB"/>
        </w:rPr>
      </w:pPr>
      <w:r>
        <w:t>3.1.2</w:t>
      </w:r>
      <w:r>
        <w:rPr>
          <w:rFonts w:asciiTheme="minorHAnsi" w:eastAsiaTheme="minorEastAsia" w:hAnsiTheme="minorHAnsi" w:cstheme="minorBidi"/>
          <w:sz w:val="24"/>
          <w:lang w:val="en-GB"/>
        </w:rPr>
        <w:tab/>
      </w:r>
      <w:r>
        <w:t>Effect on physical fitness and risk of injury</w:t>
      </w:r>
      <w:r>
        <w:tab/>
      </w:r>
      <w:r>
        <w:fldChar w:fldCharType="begin"/>
      </w:r>
      <w:r>
        <w:instrText xml:space="preserve"> PAGEREF _Toc40956511 \h </w:instrText>
      </w:r>
      <w:r>
        <w:fldChar w:fldCharType="separate"/>
      </w:r>
      <w:r>
        <w:t>177</w:t>
      </w:r>
      <w:r>
        <w:fldChar w:fldCharType="end"/>
      </w:r>
    </w:p>
    <w:p w14:paraId="4503889C" w14:textId="77777777" w:rsidR="00C8515B" w:rsidRDefault="00C8515B">
      <w:pPr>
        <w:pStyle w:val="TOC3"/>
        <w:tabs>
          <w:tab w:val="left" w:pos="1418"/>
        </w:tabs>
        <w:rPr>
          <w:rFonts w:asciiTheme="minorHAnsi" w:eastAsiaTheme="minorEastAsia" w:hAnsiTheme="minorHAnsi" w:cstheme="minorBidi"/>
          <w:sz w:val="24"/>
          <w:lang w:val="en-GB"/>
        </w:rPr>
      </w:pPr>
      <w:r>
        <w:t>3.1.3</w:t>
      </w:r>
      <w:r>
        <w:rPr>
          <w:rFonts w:asciiTheme="minorHAnsi" w:eastAsiaTheme="minorEastAsia" w:hAnsiTheme="minorHAnsi" w:cstheme="minorBidi"/>
          <w:sz w:val="24"/>
          <w:lang w:val="en-GB"/>
        </w:rPr>
        <w:tab/>
      </w:r>
      <w:r>
        <w:t>Effect on quality of life</w:t>
      </w:r>
      <w:r>
        <w:tab/>
      </w:r>
      <w:r>
        <w:fldChar w:fldCharType="begin"/>
      </w:r>
      <w:r>
        <w:instrText xml:space="preserve"> PAGEREF _Toc40956512 \h </w:instrText>
      </w:r>
      <w:r>
        <w:fldChar w:fldCharType="separate"/>
      </w:r>
      <w:r>
        <w:t>177</w:t>
      </w:r>
      <w:r>
        <w:fldChar w:fldCharType="end"/>
      </w:r>
    </w:p>
    <w:p w14:paraId="339C98EC" w14:textId="77777777" w:rsidR="00C8515B" w:rsidRDefault="00C8515B">
      <w:pPr>
        <w:pStyle w:val="TOC3"/>
        <w:tabs>
          <w:tab w:val="left" w:pos="1418"/>
        </w:tabs>
        <w:rPr>
          <w:rFonts w:asciiTheme="minorHAnsi" w:eastAsiaTheme="minorEastAsia" w:hAnsiTheme="minorHAnsi" w:cstheme="minorBidi"/>
          <w:sz w:val="24"/>
          <w:lang w:val="en-GB"/>
        </w:rPr>
      </w:pPr>
      <w:r>
        <w:t>3.1.4</w:t>
      </w:r>
      <w:r>
        <w:rPr>
          <w:rFonts w:asciiTheme="minorHAnsi" w:eastAsiaTheme="minorEastAsia" w:hAnsiTheme="minorHAnsi" w:cstheme="minorBidi"/>
          <w:sz w:val="24"/>
          <w:lang w:val="en-GB"/>
        </w:rPr>
        <w:tab/>
      </w:r>
      <w:r>
        <w:t>Effect on common conditions in pregnancy</w:t>
      </w:r>
      <w:r>
        <w:tab/>
      </w:r>
      <w:r>
        <w:fldChar w:fldCharType="begin"/>
      </w:r>
      <w:r>
        <w:instrText xml:space="preserve"> PAGEREF _Toc40956513 \h </w:instrText>
      </w:r>
      <w:r>
        <w:fldChar w:fldCharType="separate"/>
      </w:r>
      <w:r>
        <w:t>177</w:t>
      </w:r>
      <w:r>
        <w:fldChar w:fldCharType="end"/>
      </w:r>
    </w:p>
    <w:p w14:paraId="19A35DD1" w14:textId="77777777" w:rsidR="00C8515B" w:rsidRDefault="00C8515B">
      <w:pPr>
        <w:pStyle w:val="TOC3"/>
        <w:tabs>
          <w:tab w:val="left" w:pos="1418"/>
        </w:tabs>
        <w:rPr>
          <w:rFonts w:asciiTheme="minorHAnsi" w:eastAsiaTheme="minorEastAsia" w:hAnsiTheme="minorHAnsi" w:cstheme="minorBidi"/>
          <w:sz w:val="24"/>
          <w:lang w:val="en-GB"/>
        </w:rPr>
      </w:pPr>
      <w:r>
        <w:t>3.1.5</w:t>
      </w:r>
      <w:r>
        <w:rPr>
          <w:rFonts w:asciiTheme="minorHAnsi" w:eastAsiaTheme="minorEastAsia" w:hAnsiTheme="minorHAnsi" w:cstheme="minorBidi"/>
          <w:sz w:val="24"/>
          <w:lang w:val="en-GB"/>
        </w:rPr>
        <w:tab/>
      </w:r>
      <w:r>
        <w:t>Effect on labour</w:t>
      </w:r>
      <w:r>
        <w:tab/>
      </w:r>
      <w:r>
        <w:fldChar w:fldCharType="begin"/>
      </w:r>
      <w:r>
        <w:instrText xml:space="preserve"> PAGEREF _Toc40956514 \h </w:instrText>
      </w:r>
      <w:r>
        <w:fldChar w:fldCharType="separate"/>
      </w:r>
      <w:r>
        <w:t>178</w:t>
      </w:r>
      <w:r>
        <w:fldChar w:fldCharType="end"/>
      </w:r>
    </w:p>
    <w:p w14:paraId="2B52EABA" w14:textId="77777777" w:rsidR="00C8515B" w:rsidRDefault="00C8515B">
      <w:pPr>
        <w:pStyle w:val="TOC3"/>
        <w:tabs>
          <w:tab w:val="left" w:pos="1418"/>
        </w:tabs>
        <w:rPr>
          <w:rFonts w:asciiTheme="minorHAnsi" w:eastAsiaTheme="minorEastAsia" w:hAnsiTheme="minorHAnsi" w:cstheme="minorBidi"/>
          <w:sz w:val="24"/>
          <w:lang w:val="en-GB"/>
        </w:rPr>
      </w:pPr>
      <w:r>
        <w:t>3.1.6</w:t>
      </w:r>
      <w:r>
        <w:rPr>
          <w:rFonts w:asciiTheme="minorHAnsi" w:eastAsiaTheme="minorEastAsia" w:hAnsiTheme="minorHAnsi" w:cstheme="minorBidi"/>
          <w:sz w:val="24"/>
          <w:lang w:val="en-GB"/>
        </w:rPr>
        <w:tab/>
      </w:r>
      <w:r>
        <w:t>Effect on the infant and child</w:t>
      </w:r>
      <w:r>
        <w:tab/>
      </w:r>
      <w:r>
        <w:fldChar w:fldCharType="begin"/>
      </w:r>
      <w:r>
        <w:instrText xml:space="preserve"> PAGEREF _Toc40956515 \h </w:instrText>
      </w:r>
      <w:r>
        <w:fldChar w:fldCharType="separate"/>
      </w:r>
      <w:r>
        <w:t>179</w:t>
      </w:r>
      <w:r>
        <w:fldChar w:fldCharType="end"/>
      </w:r>
    </w:p>
    <w:p w14:paraId="2703A635" w14:textId="77777777" w:rsidR="00C8515B" w:rsidRDefault="00C8515B">
      <w:pPr>
        <w:pStyle w:val="TOC3"/>
        <w:tabs>
          <w:tab w:val="left" w:pos="1418"/>
        </w:tabs>
        <w:rPr>
          <w:rFonts w:asciiTheme="minorHAnsi" w:eastAsiaTheme="minorEastAsia" w:hAnsiTheme="minorHAnsi" w:cstheme="minorBidi"/>
          <w:sz w:val="24"/>
          <w:lang w:val="en-GB"/>
        </w:rPr>
      </w:pPr>
      <w:r>
        <w:t>3.1.7</w:t>
      </w:r>
      <w:r>
        <w:rPr>
          <w:rFonts w:asciiTheme="minorHAnsi" w:eastAsiaTheme="minorEastAsia" w:hAnsiTheme="minorHAnsi" w:cstheme="minorBidi"/>
          <w:sz w:val="24"/>
          <w:lang w:val="en-GB"/>
        </w:rPr>
        <w:tab/>
      </w:r>
      <w:r>
        <w:t>Summary</w:t>
      </w:r>
      <w:r>
        <w:tab/>
      </w:r>
      <w:r>
        <w:fldChar w:fldCharType="begin"/>
      </w:r>
      <w:r>
        <w:instrText xml:space="preserve"> PAGEREF _Toc40956516 \h </w:instrText>
      </w:r>
      <w:r>
        <w:fldChar w:fldCharType="separate"/>
      </w:r>
      <w:r>
        <w:t>179</w:t>
      </w:r>
      <w:r>
        <w:fldChar w:fldCharType="end"/>
      </w:r>
    </w:p>
    <w:p w14:paraId="520C016A" w14:textId="77777777" w:rsidR="00C8515B" w:rsidRDefault="00C8515B">
      <w:pPr>
        <w:pStyle w:val="TOC3"/>
        <w:tabs>
          <w:tab w:val="left" w:pos="1418"/>
        </w:tabs>
        <w:rPr>
          <w:rFonts w:asciiTheme="minorHAnsi" w:eastAsiaTheme="minorEastAsia" w:hAnsiTheme="minorHAnsi" w:cstheme="minorBidi"/>
          <w:sz w:val="24"/>
          <w:lang w:val="en-GB"/>
        </w:rPr>
      </w:pPr>
      <w:r>
        <w:t>3.1.8</w:t>
      </w:r>
      <w:r>
        <w:rPr>
          <w:rFonts w:asciiTheme="minorHAnsi" w:eastAsiaTheme="minorEastAsia" w:hAnsiTheme="minorHAnsi" w:cstheme="minorBidi"/>
          <w:sz w:val="24"/>
          <w:lang w:val="en-GB"/>
        </w:rPr>
        <w:tab/>
      </w:r>
      <w:r>
        <w:t>Evidence tables</w:t>
      </w:r>
      <w:r>
        <w:tab/>
      </w:r>
      <w:r>
        <w:fldChar w:fldCharType="begin"/>
      </w:r>
      <w:r>
        <w:instrText xml:space="preserve"> PAGEREF _Toc40956517 \h </w:instrText>
      </w:r>
      <w:r>
        <w:fldChar w:fldCharType="separate"/>
      </w:r>
      <w:r>
        <w:t>180</w:t>
      </w:r>
      <w:r>
        <w:fldChar w:fldCharType="end"/>
      </w:r>
    </w:p>
    <w:p w14:paraId="319F2842" w14:textId="77777777" w:rsidR="00C8515B" w:rsidRDefault="00C8515B">
      <w:pPr>
        <w:pStyle w:val="TOC2"/>
        <w:tabs>
          <w:tab w:val="left" w:pos="1418"/>
        </w:tabs>
        <w:rPr>
          <w:rFonts w:asciiTheme="minorHAnsi" w:eastAsiaTheme="minorEastAsia" w:hAnsiTheme="minorHAnsi" w:cstheme="minorBidi"/>
          <w:sz w:val="24"/>
          <w:lang w:val="en-GB"/>
        </w:rPr>
      </w:pPr>
      <w:r>
        <w:t>3.2</w:t>
      </w:r>
      <w:r>
        <w:rPr>
          <w:rFonts w:asciiTheme="minorHAnsi" w:eastAsiaTheme="minorEastAsia" w:hAnsiTheme="minorHAnsi" w:cstheme="minorBidi"/>
          <w:sz w:val="24"/>
          <w:lang w:val="en-GB"/>
        </w:rPr>
        <w:tab/>
      </w:r>
      <w:r w:rsidRPr="00446387">
        <w:rPr>
          <w:b/>
        </w:rPr>
        <w:t>Q6</w:t>
      </w:r>
      <w:r>
        <w:t>: What physical activities are associated with adverse maternal and perinatal outcomes?</w:t>
      </w:r>
      <w:r>
        <w:tab/>
      </w:r>
      <w:r>
        <w:fldChar w:fldCharType="begin"/>
      </w:r>
      <w:r>
        <w:instrText xml:space="preserve"> PAGEREF _Toc40956518 \h </w:instrText>
      </w:r>
      <w:r>
        <w:fldChar w:fldCharType="separate"/>
      </w:r>
      <w:r>
        <w:t>210</w:t>
      </w:r>
      <w:r>
        <w:fldChar w:fldCharType="end"/>
      </w:r>
    </w:p>
    <w:p w14:paraId="41D84345" w14:textId="77777777" w:rsidR="00C8515B" w:rsidRDefault="00C8515B">
      <w:pPr>
        <w:pStyle w:val="TOC3"/>
        <w:tabs>
          <w:tab w:val="left" w:pos="1418"/>
        </w:tabs>
        <w:rPr>
          <w:rFonts w:asciiTheme="minorHAnsi" w:eastAsiaTheme="minorEastAsia" w:hAnsiTheme="minorHAnsi" w:cstheme="minorBidi"/>
          <w:sz w:val="24"/>
          <w:lang w:val="en-GB"/>
        </w:rPr>
      </w:pPr>
      <w:r>
        <w:t>3.2.1</w:t>
      </w:r>
      <w:r>
        <w:rPr>
          <w:rFonts w:asciiTheme="minorHAnsi" w:eastAsiaTheme="minorEastAsia" w:hAnsiTheme="minorHAnsi" w:cstheme="minorBidi"/>
          <w:sz w:val="24"/>
          <w:lang w:val="en-GB"/>
        </w:rPr>
        <w:tab/>
      </w:r>
      <w:r>
        <w:t>Existing guidelines on exercise in pregnancy</w:t>
      </w:r>
      <w:r>
        <w:tab/>
      </w:r>
      <w:r>
        <w:fldChar w:fldCharType="begin"/>
      </w:r>
      <w:r>
        <w:instrText xml:space="preserve"> PAGEREF _Toc40956519 \h </w:instrText>
      </w:r>
      <w:r>
        <w:fldChar w:fldCharType="separate"/>
      </w:r>
      <w:r>
        <w:t>210</w:t>
      </w:r>
      <w:r>
        <w:fldChar w:fldCharType="end"/>
      </w:r>
    </w:p>
    <w:p w14:paraId="209978FF" w14:textId="77777777" w:rsidR="00C8515B" w:rsidRDefault="00C8515B">
      <w:pPr>
        <w:pStyle w:val="TOC3"/>
        <w:tabs>
          <w:tab w:val="left" w:pos="1418"/>
        </w:tabs>
        <w:rPr>
          <w:rFonts w:asciiTheme="minorHAnsi" w:eastAsiaTheme="minorEastAsia" w:hAnsiTheme="minorHAnsi" w:cstheme="minorBidi"/>
          <w:sz w:val="24"/>
          <w:lang w:val="en-GB"/>
        </w:rPr>
      </w:pPr>
      <w:r>
        <w:t>3.2.2</w:t>
      </w:r>
      <w:r>
        <w:rPr>
          <w:rFonts w:asciiTheme="minorHAnsi" w:eastAsiaTheme="minorEastAsia" w:hAnsiTheme="minorHAnsi" w:cstheme="minorBidi"/>
          <w:sz w:val="24"/>
          <w:lang w:val="en-GB"/>
        </w:rPr>
        <w:tab/>
      </w:r>
      <w:r>
        <w:t>Any exercise</w:t>
      </w:r>
      <w:r>
        <w:tab/>
      </w:r>
      <w:r>
        <w:fldChar w:fldCharType="begin"/>
      </w:r>
      <w:r>
        <w:instrText xml:space="preserve"> PAGEREF _Toc40956520 \h </w:instrText>
      </w:r>
      <w:r>
        <w:fldChar w:fldCharType="separate"/>
      </w:r>
      <w:r>
        <w:t>210</w:t>
      </w:r>
      <w:r>
        <w:fldChar w:fldCharType="end"/>
      </w:r>
    </w:p>
    <w:p w14:paraId="3AC39AB1" w14:textId="77777777" w:rsidR="00C8515B" w:rsidRDefault="00C8515B">
      <w:pPr>
        <w:pStyle w:val="TOC3"/>
        <w:tabs>
          <w:tab w:val="left" w:pos="1418"/>
        </w:tabs>
        <w:rPr>
          <w:rFonts w:asciiTheme="minorHAnsi" w:eastAsiaTheme="minorEastAsia" w:hAnsiTheme="minorHAnsi" w:cstheme="minorBidi"/>
          <w:sz w:val="24"/>
          <w:lang w:val="en-GB"/>
        </w:rPr>
      </w:pPr>
      <w:r>
        <w:t>3.2.3</w:t>
      </w:r>
      <w:r>
        <w:rPr>
          <w:rFonts w:asciiTheme="minorHAnsi" w:eastAsiaTheme="minorEastAsia" w:hAnsiTheme="minorHAnsi" w:cstheme="minorBidi"/>
          <w:sz w:val="24"/>
          <w:lang w:val="en-GB"/>
        </w:rPr>
        <w:tab/>
      </w:r>
      <w:r>
        <w:t>Vigorous exercise</w:t>
      </w:r>
      <w:r>
        <w:tab/>
      </w:r>
      <w:r>
        <w:fldChar w:fldCharType="begin"/>
      </w:r>
      <w:r>
        <w:instrText xml:space="preserve"> PAGEREF _Toc40956521 \h </w:instrText>
      </w:r>
      <w:r>
        <w:fldChar w:fldCharType="separate"/>
      </w:r>
      <w:r>
        <w:t>210</w:t>
      </w:r>
      <w:r>
        <w:fldChar w:fldCharType="end"/>
      </w:r>
    </w:p>
    <w:p w14:paraId="7D1239C9" w14:textId="77777777" w:rsidR="00C8515B" w:rsidRDefault="00C8515B">
      <w:pPr>
        <w:pStyle w:val="TOC3"/>
        <w:tabs>
          <w:tab w:val="left" w:pos="1418"/>
        </w:tabs>
        <w:rPr>
          <w:rFonts w:asciiTheme="minorHAnsi" w:eastAsiaTheme="minorEastAsia" w:hAnsiTheme="minorHAnsi" w:cstheme="minorBidi"/>
          <w:sz w:val="24"/>
          <w:lang w:val="en-GB"/>
        </w:rPr>
      </w:pPr>
      <w:r>
        <w:t>3.2.4</w:t>
      </w:r>
      <w:r>
        <w:rPr>
          <w:rFonts w:asciiTheme="minorHAnsi" w:eastAsiaTheme="minorEastAsia" w:hAnsiTheme="minorHAnsi" w:cstheme="minorBidi"/>
          <w:sz w:val="24"/>
          <w:lang w:val="en-GB"/>
        </w:rPr>
        <w:tab/>
      </w:r>
      <w:r>
        <w:t>Supine exercise</w:t>
      </w:r>
      <w:r>
        <w:tab/>
      </w:r>
      <w:r>
        <w:fldChar w:fldCharType="begin"/>
      </w:r>
      <w:r>
        <w:instrText xml:space="preserve"> PAGEREF _Toc40956522 \h </w:instrText>
      </w:r>
      <w:r>
        <w:fldChar w:fldCharType="separate"/>
      </w:r>
      <w:r>
        <w:t>210</w:t>
      </w:r>
      <w:r>
        <w:fldChar w:fldCharType="end"/>
      </w:r>
    </w:p>
    <w:p w14:paraId="3F3FCAC8" w14:textId="77777777" w:rsidR="00C8515B" w:rsidRDefault="00C8515B">
      <w:pPr>
        <w:pStyle w:val="TOC3"/>
        <w:tabs>
          <w:tab w:val="left" w:pos="1418"/>
        </w:tabs>
        <w:rPr>
          <w:rFonts w:asciiTheme="minorHAnsi" w:eastAsiaTheme="minorEastAsia" w:hAnsiTheme="minorHAnsi" w:cstheme="minorBidi"/>
          <w:sz w:val="24"/>
          <w:lang w:val="en-GB"/>
        </w:rPr>
      </w:pPr>
      <w:r>
        <w:t>3.2.5</w:t>
      </w:r>
      <w:r>
        <w:rPr>
          <w:rFonts w:asciiTheme="minorHAnsi" w:eastAsiaTheme="minorEastAsia" w:hAnsiTheme="minorHAnsi" w:cstheme="minorBidi"/>
          <w:sz w:val="24"/>
          <w:lang w:val="en-GB"/>
        </w:rPr>
        <w:tab/>
      </w:r>
      <w:r>
        <w:t>Swimming and aqua aerobics</w:t>
      </w:r>
      <w:r>
        <w:tab/>
      </w:r>
      <w:r>
        <w:fldChar w:fldCharType="begin"/>
      </w:r>
      <w:r>
        <w:instrText xml:space="preserve"> PAGEREF _Toc40956523 \h </w:instrText>
      </w:r>
      <w:r>
        <w:fldChar w:fldCharType="separate"/>
      </w:r>
      <w:r>
        <w:t>210</w:t>
      </w:r>
      <w:r>
        <w:fldChar w:fldCharType="end"/>
      </w:r>
    </w:p>
    <w:p w14:paraId="0D5330C1" w14:textId="77777777" w:rsidR="00C8515B" w:rsidRDefault="00C8515B">
      <w:pPr>
        <w:pStyle w:val="TOC3"/>
        <w:tabs>
          <w:tab w:val="left" w:pos="1418"/>
        </w:tabs>
        <w:rPr>
          <w:rFonts w:asciiTheme="minorHAnsi" w:eastAsiaTheme="minorEastAsia" w:hAnsiTheme="minorHAnsi" w:cstheme="minorBidi"/>
          <w:sz w:val="24"/>
          <w:lang w:val="en-GB"/>
        </w:rPr>
      </w:pPr>
      <w:r>
        <w:t>3.2.6</w:t>
      </w:r>
      <w:r>
        <w:rPr>
          <w:rFonts w:asciiTheme="minorHAnsi" w:eastAsiaTheme="minorEastAsia" w:hAnsiTheme="minorHAnsi" w:cstheme="minorBidi"/>
          <w:sz w:val="24"/>
          <w:lang w:val="en-GB"/>
        </w:rPr>
        <w:tab/>
      </w:r>
      <w:r>
        <w:t>Bicycling/horseback riding</w:t>
      </w:r>
      <w:r>
        <w:tab/>
      </w:r>
      <w:r>
        <w:fldChar w:fldCharType="begin"/>
      </w:r>
      <w:r>
        <w:instrText xml:space="preserve"> PAGEREF _Toc40956524 \h </w:instrText>
      </w:r>
      <w:r>
        <w:fldChar w:fldCharType="separate"/>
      </w:r>
      <w:r>
        <w:t>211</w:t>
      </w:r>
      <w:r>
        <w:fldChar w:fldCharType="end"/>
      </w:r>
    </w:p>
    <w:p w14:paraId="4B820446" w14:textId="77777777" w:rsidR="00C8515B" w:rsidRDefault="00C8515B">
      <w:pPr>
        <w:pStyle w:val="TOC3"/>
        <w:tabs>
          <w:tab w:val="left" w:pos="1418"/>
        </w:tabs>
        <w:rPr>
          <w:rFonts w:asciiTheme="minorHAnsi" w:eastAsiaTheme="minorEastAsia" w:hAnsiTheme="minorHAnsi" w:cstheme="minorBidi"/>
          <w:sz w:val="24"/>
          <w:lang w:val="en-GB"/>
        </w:rPr>
      </w:pPr>
      <w:r>
        <w:t>3.2.7</w:t>
      </w:r>
      <w:r>
        <w:rPr>
          <w:rFonts w:asciiTheme="minorHAnsi" w:eastAsiaTheme="minorEastAsia" w:hAnsiTheme="minorHAnsi" w:cstheme="minorBidi"/>
          <w:sz w:val="24"/>
          <w:lang w:val="en-GB"/>
        </w:rPr>
        <w:tab/>
      </w:r>
      <w:r>
        <w:t>Occupational activities</w:t>
      </w:r>
      <w:r>
        <w:tab/>
      </w:r>
      <w:r>
        <w:fldChar w:fldCharType="begin"/>
      </w:r>
      <w:r>
        <w:instrText xml:space="preserve"> PAGEREF _Toc40956525 \h </w:instrText>
      </w:r>
      <w:r>
        <w:fldChar w:fldCharType="separate"/>
      </w:r>
      <w:r>
        <w:t>211</w:t>
      </w:r>
      <w:r>
        <w:fldChar w:fldCharType="end"/>
      </w:r>
    </w:p>
    <w:p w14:paraId="55EAD90E" w14:textId="77777777" w:rsidR="00C8515B" w:rsidRDefault="00C8515B">
      <w:pPr>
        <w:pStyle w:val="TOC3"/>
        <w:tabs>
          <w:tab w:val="left" w:pos="1418"/>
        </w:tabs>
        <w:rPr>
          <w:rFonts w:asciiTheme="minorHAnsi" w:eastAsiaTheme="minorEastAsia" w:hAnsiTheme="minorHAnsi" w:cstheme="minorBidi"/>
          <w:sz w:val="24"/>
          <w:lang w:val="en-GB"/>
        </w:rPr>
      </w:pPr>
      <w:r>
        <w:t>3.2.8</w:t>
      </w:r>
      <w:r>
        <w:rPr>
          <w:rFonts w:asciiTheme="minorHAnsi" w:eastAsiaTheme="minorEastAsia" w:hAnsiTheme="minorHAnsi" w:cstheme="minorBidi"/>
          <w:sz w:val="24"/>
          <w:lang w:val="en-GB"/>
        </w:rPr>
        <w:tab/>
      </w:r>
      <w:r>
        <w:t>Evidence summary</w:t>
      </w:r>
      <w:r>
        <w:tab/>
      </w:r>
      <w:r>
        <w:fldChar w:fldCharType="begin"/>
      </w:r>
      <w:r>
        <w:instrText xml:space="preserve"> PAGEREF _Toc40956526 \h </w:instrText>
      </w:r>
      <w:r>
        <w:fldChar w:fldCharType="separate"/>
      </w:r>
      <w:r>
        <w:t>212</w:t>
      </w:r>
      <w:r>
        <w:fldChar w:fldCharType="end"/>
      </w:r>
    </w:p>
    <w:p w14:paraId="2D95CFF2" w14:textId="77777777" w:rsidR="00C8515B" w:rsidRDefault="00C8515B">
      <w:pPr>
        <w:pStyle w:val="TOC3"/>
        <w:tabs>
          <w:tab w:val="left" w:pos="1418"/>
        </w:tabs>
        <w:rPr>
          <w:rFonts w:asciiTheme="minorHAnsi" w:eastAsiaTheme="minorEastAsia" w:hAnsiTheme="minorHAnsi" w:cstheme="minorBidi"/>
          <w:sz w:val="24"/>
          <w:lang w:val="en-GB"/>
        </w:rPr>
      </w:pPr>
      <w:r>
        <w:t>3.2.9</w:t>
      </w:r>
      <w:r>
        <w:rPr>
          <w:rFonts w:asciiTheme="minorHAnsi" w:eastAsiaTheme="minorEastAsia" w:hAnsiTheme="minorHAnsi" w:cstheme="minorBidi"/>
          <w:sz w:val="24"/>
          <w:lang w:val="en-GB"/>
        </w:rPr>
        <w:tab/>
      </w:r>
      <w:r>
        <w:t>Evidence tables</w:t>
      </w:r>
      <w:r>
        <w:tab/>
      </w:r>
      <w:r>
        <w:fldChar w:fldCharType="begin"/>
      </w:r>
      <w:r>
        <w:instrText xml:space="preserve"> PAGEREF _Toc40956527 \h </w:instrText>
      </w:r>
      <w:r>
        <w:fldChar w:fldCharType="separate"/>
      </w:r>
      <w:r>
        <w:t>213</w:t>
      </w:r>
      <w:r>
        <w:fldChar w:fldCharType="end"/>
      </w:r>
    </w:p>
    <w:p w14:paraId="675732EE" w14:textId="77777777" w:rsidR="00C8515B" w:rsidRDefault="00C8515B" w:rsidP="00C8515B">
      <w:pPr>
        <w:pStyle w:val="TOC1"/>
        <w:rPr>
          <w:rFonts w:asciiTheme="minorHAnsi" w:eastAsiaTheme="minorEastAsia" w:hAnsiTheme="minorHAnsi" w:cstheme="minorBidi"/>
          <w:color w:val="auto"/>
          <w:sz w:val="24"/>
          <w:lang w:val="en-GB"/>
        </w:rPr>
      </w:pPr>
      <w:r>
        <w:t>4</w:t>
      </w:r>
      <w:r>
        <w:rPr>
          <w:rFonts w:asciiTheme="minorHAnsi" w:eastAsiaTheme="minorEastAsia" w:hAnsiTheme="minorHAnsi" w:cstheme="minorBidi"/>
          <w:color w:val="auto"/>
          <w:sz w:val="24"/>
          <w:lang w:val="en-GB"/>
        </w:rPr>
        <w:tab/>
      </w:r>
      <w:r>
        <w:t>Weight assessment and management</w:t>
      </w:r>
      <w:r>
        <w:tab/>
      </w:r>
      <w:r>
        <w:fldChar w:fldCharType="begin"/>
      </w:r>
      <w:r>
        <w:instrText xml:space="preserve"> PAGEREF _Toc40956528 \h </w:instrText>
      </w:r>
      <w:r>
        <w:fldChar w:fldCharType="separate"/>
      </w:r>
      <w:r>
        <w:t>231</w:t>
      </w:r>
      <w:r>
        <w:fldChar w:fldCharType="end"/>
      </w:r>
    </w:p>
    <w:p w14:paraId="1749C142" w14:textId="573CBF98" w:rsidR="00C8515B" w:rsidRDefault="00C8515B" w:rsidP="00C8515B">
      <w:pPr>
        <w:pStyle w:val="TOC2"/>
        <w:rPr>
          <w:rFonts w:asciiTheme="minorHAnsi" w:eastAsiaTheme="minorEastAsia" w:hAnsiTheme="minorHAnsi" w:cstheme="minorBidi"/>
          <w:sz w:val="24"/>
          <w:lang w:val="en-GB"/>
        </w:rPr>
      </w:pPr>
      <w:r>
        <w:t>4.1</w:t>
      </w:r>
      <w:r>
        <w:rPr>
          <w:rFonts w:asciiTheme="minorHAnsi" w:eastAsiaTheme="minorEastAsia" w:hAnsiTheme="minorHAnsi" w:cstheme="minorBidi"/>
          <w:sz w:val="24"/>
          <w:lang w:val="en-GB"/>
        </w:rPr>
        <w:tab/>
      </w:r>
      <w:r w:rsidRPr="00446387">
        <w:rPr>
          <w:b/>
        </w:rPr>
        <w:t>Q7</w:t>
      </w:r>
      <w:r>
        <w:t xml:space="preserve">: When should maternal weight and height be measured and BMI calculated in pregnant </w:t>
      </w:r>
      <w:r>
        <w:br/>
        <w:t>women?</w:t>
      </w:r>
      <w:r>
        <w:tab/>
      </w:r>
      <w:r>
        <w:fldChar w:fldCharType="begin"/>
      </w:r>
      <w:r>
        <w:instrText xml:space="preserve"> PAGEREF _Toc40956529 \h </w:instrText>
      </w:r>
      <w:r>
        <w:fldChar w:fldCharType="separate"/>
      </w:r>
      <w:r>
        <w:t>231</w:t>
      </w:r>
      <w:r>
        <w:fldChar w:fldCharType="end"/>
      </w:r>
    </w:p>
    <w:p w14:paraId="0387D0EE" w14:textId="77777777" w:rsidR="00C8515B" w:rsidRDefault="00C8515B">
      <w:pPr>
        <w:pStyle w:val="TOC3"/>
        <w:tabs>
          <w:tab w:val="left" w:pos="1418"/>
        </w:tabs>
        <w:rPr>
          <w:rFonts w:asciiTheme="minorHAnsi" w:eastAsiaTheme="minorEastAsia" w:hAnsiTheme="minorHAnsi" w:cstheme="minorBidi"/>
          <w:sz w:val="24"/>
          <w:lang w:val="en-GB"/>
        </w:rPr>
      </w:pPr>
      <w:r>
        <w:t>4.1.1</w:t>
      </w:r>
      <w:r>
        <w:rPr>
          <w:rFonts w:asciiTheme="minorHAnsi" w:eastAsiaTheme="minorEastAsia" w:hAnsiTheme="minorHAnsi" w:cstheme="minorBidi"/>
          <w:sz w:val="24"/>
          <w:lang w:val="en-GB"/>
        </w:rPr>
        <w:tab/>
      </w:r>
      <w:r>
        <w:t>Review of the IOM guidelines for weight gain in pregnancy</w:t>
      </w:r>
      <w:r>
        <w:tab/>
      </w:r>
      <w:r>
        <w:fldChar w:fldCharType="begin"/>
      </w:r>
      <w:r>
        <w:instrText xml:space="preserve"> PAGEREF _Toc40956530 \h </w:instrText>
      </w:r>
      <w:r>
        <w:fldChar w:fldCharType="separate"/>
      </w:r>
      <w:r>
        <w:t>231</w:t>
      </w:r>
      <w:r>
        <w:fldChar w:fldCharType="end"/>
      </w:r>
    </w:p>
    <w:p w14:paraId="0C66E6AC" w14:textId="77777777" w:rsidR="00C8515B" w:rsidRDefault="00C8515B">
      <w:pPr>
        <w:pStyle w:val="TOC3"/>
        <w:tabs>
          <w:tab w:val="left" w:pos="1418"/>
        </w:tabs>
        <w:rPr>
          <w:rFonts w:asciiTheme="minorHAnsi" w:eastAsiaTheme="minorEastAsia" w:hAnsiTheme="minorHAnsi" w:cstheme="minorBidi"/>
          <w:sz w:val="24"/>
          <w:lang w:val="en-GB"/>
        </w:rPr>
      </w:pPr>
      <w:r>
        <w:t>4.1.2</w:t>
      </w:r>
      <w:r>
        <w:rPr>
          <w:rFonts w:asciiTheme="minorHAnsi" w:eastAsiaTheme="minorEastAsia" w:hAnsiTheme="minorHAnsi" w:cstheme="minorBidi"/>
          <w:sz w:val="24"/>
          <w:lang w:val="en-GB"/>
        </w:rPr>
        <w:tab/>
      </w:r>
      <w:r>
        <w:t>Determinants of gestational weight gain</w:t>
      </w:r>
      <w:r>
        <w:tab/>
      </w:r>
      <w:r>
        <w:fldChar w:fldCharType="begin"/>
      </w:r>
      <w:r>
        <w:instrText xml:space="preserve"> PAGEREF _Toc40956531 \h </w:instrText>
      </w:r>
      <w:r>
        <w:fldChar w:fldCharType="separate"/>
      </w:r>
      <w:r>
        <w:t>231</w:t>
      </w:r>
      <w:r>
        <w:fldChar w:fldCharType="end"/>
      </w:r>
    </w:p>
    <w:p w14:paraId="62AC0E67" w14:textId="77777777" w:rsidR="00C8515B" w:rsidRDefault="00C8515B">
      <w:pPr>
        <w:pStyle w:val="TOC3"/>
        <w:tabs>
          <w:tab w:val="left" w:pos="1418"/>
        </w:tabs>
        <w:rPr>
          <w:rFonts w:asciiTheme="minorHAnsi" w:eastAsiaTheme="minorEastAsia" w:hAnsiTheme="minorHAnsi" w:cstheme="minorBidi"/>
          <w:sz w:val="24"/>
          <w:lang w:val="en-GB"/>
        </w:rPr>
      </w:pPr>
      <w:r>
        <w:t>4.1.3</w:t>
      </w:r>
      <w:r>
        <w:rPr>
          <w:rFonts w:asciiTheme="minorHAnsi" w:eastAsiaTheme="minorEastAsia" w:hAnsiTheme="minorHAnsi" w:cstheme="minorBidi"/>
          <w:sz w:val="24"/>
          <w:lang w:val="en-GB"/>
        </w:rPr>
        <w:tab/>
      </w:r>
      <w:r>
        <w:t>Risks associated with low or high gestational weight gain</w:t>
      </w:r>
      <w:r>
        <w:tab/>
      </w:r>
      <w:r>
        <w:fldChar w:fldCharType="begin"/>
      </w:r>
      <w:r>
        <w:instrText xml:space="preserve"> PAGEREF _Toc40956532 \h </w:instrText>
      </w:r>
      <w:r>
        <w:fldChar w:fldCharType="separate"/>
      </w:r>
      <w:r>
        <w:t>232</w:t>
      </w:r>
      <w:r>
        <w:fldChar w:fldCharType="end"/>
      </w:r>
    </w:p>
    <w:p w14:paraId="7DB16EEA" w14:textId="77777777" w:rsidR="00C8515B" w:rsidRDefault="00C8515B">
      <w:pPr>
        <w:pStyle w:val="TOC3"/>
        <w:tabs>
          <w:tab w:val="left" w:pos="1418"/>
        </w:tabs>
        <w:rPr>
          <w:rFonts w:asciiTheme="minorHAnsi" w:eastAsiaTheme="minorEastAsia" w:hAnsiTheme="minorHAnsi" w:cstheme="minorBidi"/>
          <w:sz w:val="24"/>
          <w:lang w:val="en-GB"/>
        </w:rPr>
      </w:pPr>
      <w:r>
        <w:t>4.1.4</w:t>
      </w:r>
      <w:r>
        <w:rPr>
          <w:rFonts w:asciiTheme="minorHAnsi" w:eastAsiaTheme="minorEastAsia" w:hAnsiTheme="minorHAnsi" w:cstheme="minorBidi"/>
          <w:sz w:val="24"/>
          <w:lang w:val="en-GB"/>
        </w:rPr>
        <w:tab/>
      </w:r>
      <w:r>
        <w:t>Women’s views on weight gain during pregnancy</w:t>
      </w:r>
      <w:r>
        <w:tab/>
      </w:r>
      <w:r>
        <w:fldChar w:fldCharType="begin"/>
      </w:r>
      <w:r>
        <w:instrText xml:space="preserve"> PAGEREF _Toc40956533 \h </w:instrText>
      </w:r>
      <w:r>
        <w:fldChar w:fldCharType="separate"/>
      </w:r>
      <w:r>
        <w:t>234</w:t>
      </w:r>
      <w:r>
        <w:fldChar w:fldCharType="end"/>
      </w:r>
    </w:p>
    <w:p w14:paraId="1AF8FD9F" w14:textId="77777777" w:rsidR="00C8515B" w:rsidRDefault="00C8515B">
      <w:pPr>
        <w:pStyle w:val="TOC3"/>
        <w:tabs>
          <w:tab w:val="left" w:pos="1418"/>
        </w:tabs>
        <w:rPr>
          <w:rFonts w:asciiTheme="minorHAnsi" w:eastAsiaTheme="minorEastAsia" w:hAnsiTheme="minorHAnsi" w:cstheme="minorBidi"/>
          <w:sz w:val="24"/>
          <w:lang w:val="en-GB"/>
        </w:rPr>
      </w:pPr>
      <w:r>
        <w:t>4.1.5</w:t>
      </w:r>
      <w:r>
        <w:rPr>
          <w:rFonts w:asciiTheme="minorHAnsi" w:eastAsiaTheme="minorEastAsia" w:hAnsiTheme="minorHAnsi" w:cstheme="minorBidi"/>
          <w:sz w:val="24"/>
          <w:lang w:val="en-GB"/>
        </w:rPr>
        <w:tab/>
      </w:r>
      <w:r>
        <w:t>Health professional’s views on regular weighing as part of pregnancy care</w:t>
      </w:r>
      <w:r>
        <w:tab/>
      </w:r>
      <w:r>
        <w:fldChar w:fldCharType="begin"/>
      </w:r>
      <w:r>
        <w:instrText xml:space="preserve"> PAGEREF _Toc40956534 \h </w:instrText>
      </w:r>
      <w:r>
        <w:fldChar w:fldCharType="separate"/>
      </w:r>
      <w:r>
        <w:t>234</w:t>
      </w:r>
      <w:r>
        <w:fldChar w:fldCharType="end"/>
      </w:r>
    </w:p>
    <w:p w14:paraId="5D2684EB" w14:textId="77777777" w:rsidR="00C8515B" w:rsidRDefault="00C8515B">
      <w:pPr>
        <w:pStyle w:val="TOC3"/>
        <w:tabs>
          <w:tab w:val="left" w:pos="1418"/>
        </w:tabs>
        <w:rPr>
          <w:rFonts w:asciiTheme="minorHAnsi" w:eastAsiaTheme="minorEastAsia" w:hAnsiTheme="minorHAnsi" w:cstheme="minorBidi"/>
          <w:sz w:val="24"/>
          <w:lang w:val="en-GB"/>
        </w:rPr>
      </w:pPr>
      <w:r>
        <w:t>4.1.6</w:t>
      </w:r>
      <w:r>
        <w:rPr>
          <w:rFonts w:asciiTheme="minorHAnsi" w:eastAsiaTheme="minorEastAsia" w:hAnsiTheme="minorHAnsi" w:cstheme="minorBidi"/>
          <w:sz w:val="24"/>
          <w:lang w:val="en-GB"/>
        </w:rPr>
        <w:tab/>
      </w:r>
      <w:r>
        <w:t>Regular weighing</w:t>
      </w:r>
      <w:r>
        <w:tab/>
      </w:r>
      <w:r>
        <w:fldChar w:fldCharType="begin"/>
      </w:r>
      <w:r>
        <w:instrText xml:space="preserve"> PAGEREF _Toc40956535 \h </w:instrText>
      </w:r>
      <w:r>
        <w:fldChar w:fldCharType="separate"/>
      </w:r>
      <w:r>
        <w:t>235</w:t>
      </w:r>
      <w:r>
        <w:fldChar w:fldCharType="end"/>
      </w:r>
    </w:p>
    <w:p w14:paraId="29C60224" w14:textId="77777777" w:rsidR="00C8515B" w:rsidRDefault="00C8515B">
      <w:pPr>
        <w:pStyle w:val="TOC3"/>
        <w:tabs>
          <w:tab w:val="left" w:pos="1418"/>
        </w:tabs>
        <w:rPr>
          <w:rFonts w:asciiTheme="minorHAnsi" w:eastAsiaTheme="minorEastAsia" w:hAnsiTheme="minorHAnsi" w:cstheme="minorBidi"/>
          <w:sz w:val="24"/>
          <w:lang w:val="en-GB"/>
        </w:rPr>
      </w:pPr>
      <w:r w:rsidRPr="00446387">
        <w:rPr>
          <w:lang w:val="en"/>
        </w:rPr>
        <w:t>4.1.7</w:t>
      </w:r>
      <w:r>
        <w:rPr>
          <w:rFonts w:asciiTheme="minorHAnsi" w:eastAsiaTheme="minorEastAsia" w:hAnsiTheme="minorHAnsi" w:cstheme="minorBidi"/>
          <w:sz w:val="24"/>
          <w:lang w:val="en-GB"/>
        </w:rPr>
        <w:tab/>
      </w:r>
      <w:r w:rsidRPr="00446387">
        <w:rPr>
          <w:lang w:val="en"/>
        </w:rPr>
        <w:t>Evidence statements</w:t>
      </w:r>
      <w:r>
        <w:tab/>
      </w:r>
      <w:r>
        <w:fldChar w:fldCharType="begin"/>
      </w:r>
      <w:r>
        <w:instrText xml:space="preserve"> PAGEREF _Toc40956536 \h </w:instrText>
      </w:r>
      <w:r>
        <w:fldChar w:fldCharType="separate"/>
      </w:r>
      <w:r>
        <w:t>236</w:t>
      </w:r>
      <w:r>
        <w:fldChar w:fldCharType="end"/>
      </w:r>
    </w:p>
    <w:p w14:paraId="2C4CDF98" w14:textId="77777777" w:rsidR="00C8515B" w:rsidRDefault="00C8515B">
      <w:pPr>
        <w:pStyle w:val="TOC3"/>
        <w:tabs>
          <w:tab w:val="left" w:pos="1418"/>
        </w:tabs>
        <w:rPr>
          <w:rFonts w:asciiTheme="minorHAnsi" w:eastAsiaTheme="minorEastAsia" w:hAnsiTheme="minorHAnsi" w:cstheme="minorBidi"/>
          <w:sz w:val="24"/>
          <w:lang w:val="en-GB"/>
        </w:rPr>
      </w:pPr>
      <w:r>
        <w:t>4.1.8</w:t>
      </w:r>
      <w:r>
        <w:rPr>
          <w:rFonts w:asciiTheme="minorHAnsi" w:eastAsiaTheme="minorEastAsia" w:hAnsiTheme="minorHAnsi" w:cstheme="minorBidi"/>
          <w:sz w:val="24"/>
          <w:lang w:val="en-GB"/>
        </w:rPr>
        <w:tab/>
      </w:r>
      <w:r>
        <w:t>Evidence tables</w:t>
      </w:r>
      <w:r>
        <w:tab/>
      </w:r>
      <w:r>
        <w:fldChar w:fldCharType="begin"/>
      </w:r>
      <w:r>
        <w:instrText xml:space="preserve"> PAGEREF _Toc40956537 \h </w:instrText>
      </w:r>
      <w:r>
        <w:fldChar w:fldCharType="separate"/>
      </w:r>
      <w:r>
        <w:t>238</w:t>
      </w:r>
      <w:r>
        <w:fldChar w:fldCharType="end"/>
      </w:r>
    </w:p>
    <w:p w14:paraId="1C2A8CC2" w14:textId="508F1F1B" w:rsidR="00C8515B" w:rsidRDefault="00C8515B">
      <w:pPr>
        <w:pStyle w:val="TOC2"/>
        <w:tabs>
          <w:tab w:val="left" w:pos="1418"/>
        </w:tabs>
        <w:rPr>
          <w:rFonts w:asciiTheme="minorHAnsi" w:eastAsiaTheme="minorEastAsia" w:hAnsiTheme="minorHAnsi" w:cstheme="minorBidi"/>
          <w:sz w:val="24"/>
          <w:lang w:val="en-GB"/>
        </w:rPr>
      </w:pPr>
      <w:r>
        <w:t>4.2</w:t>
      </w:r>
      <w:r>
        <w:rPr>
          <w:rFonts w:asciiTheme="minorHAnsi" w:eastAsiaTheme="minorEastAsia" w:hAnsiTheme="minorHAnsi" w:cstheme="minorBidi"/>
          <w:sz w:val="24"/>
          <w:lang w:val="en-GB"/>
        </w:rPr>
        <w:tab/>
      </w:r>
      <w:r w:rsidRPr="00446387">
        <w:rPr>
          <w:b/>
        </w:rPr>
        <w:t>Q8</w:t>
      </w:r>
      <w:r>
        <w:t xml:space="preserve">: What specific risk assessments are required for pregnant women with high or low BMI at the </w:t>
      </w:r>
      <w:r>
        <w:br/>
        <w:t>first antenatal visit?</w:t>
      </w:r>
      <w:r>
        <w:tab/>
      </w:r>
      <w:r>
        <w:fldChar w:fldCharType="begin"/>
      </w:r>
      <w:r>
        <w:instrText xml:space="preserve"> PAGEREF _Toc40956538 \h </w:instrText>
      </w:r>
      <w:r>
        <w:fldChar w:fldCharType="separate"/>
      </w:r>
      <w:r>
        <w:t>262</w:t>
      </w:r>
      <w:r>
        <w:fldChar w:fldCharType="end"/>
      </w:r>
    </w:p>
    <w:p w14:paraId="2766AD58" w14:textId="77777777" w:rsidR="00C8515B" w:rsidRDefault="00C8515B">
      <w:pPr>
        <w:pStyle w:val="TOC3"/>
        <w:tabs>
          <w:tab w:val="left" w:pos="1418"/>
        </w:tabs>
        <w:rPr>
          <w:rFonts w:asciiTheme="minorHAnsi" w:eastAsiaTheme="minorEastAsia" w:hAnsiTheme="minorHAnsi" w:cstheme="minorBidi"/>
          <w:sz w:val="24"/>
          <w:lang w:val="en-GB"/>
        </w:rPr>
      </w:pPr>
      <w:r>
        <w:t>4.2.1</w:t>
      </w:r>
      <w:r>
        <w:rPr>
          <w:rFonts w:asciiTheme="minorHAnsi" w:eastAsiaTheme="minorEastAsia" w:hAnsiTheme="minorHAnsi" w:cstheme="minorBidi"/>
          <w:sz w:val="24"/>
          <w:lang w:val="en-GB"/>
        </w:rPr>
        <w:tab/>
      </w:r>
      <w:r>
        <w:t>Risks associated with pre-pregancy underweight</w:t>
      </w:r>
      <w:r>
        <w:tab/>
      </w:r>
      <w:r>
        <w:fldChar w:fldCharType="begin"/>
      </w:r>
      <w:r>
        <w:instrText xml:space="preserve"> PAGEREF _Toc40956539 \h </w:instrText>
      </w:r>
      <w:r>
        <w:fldChar w:fldCharType="separate"/>
      </w:r>
      <w:r>
        <w:t>262</w:t>
      </w:r>
      <w:r>
        <w:fldChar w:fldCharType="end"/>
      </w:r>
    </w:p>
    <w:p w14:paraId="2914CBA8" w14:textId="77777777" w:rsidR="00C8515B" w:rsidRDefault="00C8515B">
      <w:pPr>
        <w:pStyle w:val="TOC3"/>
        <w:tabs>
          <w:tab w:val="left" w:pos="1418"/>
        </w:tabs>
        <w:rPr>
          <w:rFonts w:asciiTheme="minorHAnsi" w:eastAsiaTheme="minorEastAsia" w:hAnsiTheme="minorHAnsi" w:cstheme="minorBidi"/>
          <w:sz w:val="24"/>
          <w:lang w:val="en-GB"/>
        </w:rPr>
      </w:pPr>
      <w:r>
        <w:t>4.2.2</w:t>
      </w:r>
      <w:r>
        <w:rPr>
          <w:rFonts w:asciiTheme="minorHAnsi" w:eastAsiaTheme="minorEastAsia" w:hAnsiTheme="minorHAnsi" w:cstheme="minorBidi"/>
          <w:sz w:val="24"/>
          <w:lang w:val="en-GB"/>
        </w:rPr>
        <w:tab/>
      </w:r>
      <w:r>
        <w:t>Risks associated with pre-pregnancy healthy weight</w:t>
      </w:r>
      <w:r>
        <w:tab/>
      </w:r>
      <w:r>
        <w:fldChar w:fldCharType="begin"/>
      </w:r>
      <w:r>
        <w:instrText xml:space="preserve"> PAGEREF _Toc40956540 \h </w:instrText>
      </w:r>
      <w:r>
        <w:fldChar w:fldCharType="separate"/>
      </w:r>
      <w:r>
        <w:t>262</w:t>
      </w:r>
      <w:r>
        <w:fldChar w:fldCharType="end"/>
      </w:r>
    </w:p>
    <w:p w14:paraId="1DD5B8D6" w14:textId="77777777" w:rsidR="00C8515B" w:rsidRDefault="00C8515B">
      <w:pPr>
        <w:pStyle w:val="TOC3"/>
        <w:tabs>
          <w:tab w:val="left" w:pos="1418"/>
        </w:tabs>
        <w:rPr>
          <w:rFonts w:asciiTheme="minorHAnsi" w:eastAsiaTheme="minorEastAsia" w:hAnsiTheme="minorHAnsi" w:cstheme="minorBidi"/>
          <w:sz w:val="24"/>
          <w:lang w:val="en-GB"/>
        </w:rPr>
      </w:pPr>
      <w:r>
        <w:t>4.2.3</w:t>
      </w:r>
      <w:r>
        <w:rPr>
          <w:rFonts w:asciiTheme="minorHAnsi" w:eastAsiaTheme="minorEastAsia" w:hAnsiTheme="minorHAnsi" w:cstheme="minorBidi"/>
          <w:sz w:val="24"/>
          <w:lang w:val="en-GB"/>
        </w:rPr>
        <w:tab/>
      </w:r>
      <w:r>
        <w:t>Risk associated with pre-pregnancy overweight and obesity</w:t>
      </w:r>
      <w:r>
        <w:tab/>
      </w:r>
      <w:r>
        <w:fldChar w:fldCharType="begin"/>
      </w:r>
      <w:r>
        <w:instrText xml:space="preserve"> PAGEREF _Toc40956541 \h </w:instrText>
      </w:r>
      <w:r>
        <w:fldChar w:fldCharType="separate"/>
      </w:r>
      <w:r>
        <w:t>262</w:t>
      </w:r>
      <w:r>
        <w:fldChar w:fldCharType="end"/>
      </w:r>
    </w:p>
    <w:p w14:paraId="2B20A430" w14:textId="77777777" w:rsidR="00C8515B" w:rsidRDefault="00C8515B" w:rsidP="00C8515B">
      <w:pPr>
        <w:pStyle w:val="TOC1"/>
        <w:rPr>
          <w:rFonts w:asciiTheme="minorHAnsi" w:eastAsiaTheme="minorEastAsia" w:hAnsiTheme="minorHAnsi" w:cstheme="minorBidi"/>
          <w:color w:val="auto"/>
          <w:sz w:val="24"/>
          <w:lang w:val="en-GB"/>
        </w:rPr>
      </w:pPr>
      <w:r>
        <w:t>5</w:t>
      </w:r>
      <w:r>
        <w:rPr>
          <w:rFonts w:asciiTheme="minorHAnsi" w:eastAsiaTheme="minorEastAsia" w:hAnsiTheme="minorHAnsi" w:cstheme="minorBidi"/>
          <w:color w:val="auto"/>
          <w:sz w:val="24"/>
          <w:lang w:val="en-GB"/>
        </w:rPr>
        <w:tab/>
      </w:r>
      <w:r>
        <w:t>Interventions to prevent excessive weight gain in pregnancy</w:t>
      </w:r>
      <w:r>
        <w:tab/>
      </w:r>
      <w:r>
        <w:fldChar w:fldCharType="begin"/>
      </w:r>
      <w:r>
        <w:instrText xml:space="preserve"> PAGEREF _Toc40956542 \h </w:instrText>
      </w:r>
      <w:r>
        <w:fldChar w:fldCharType="separate"/>
      </w:r>
      <w:r>
        <w:t>276</w:t>
      </w:r>
      <w:r>
        <w:fldChar w:fldCharType="end"/>
      </w:r>
    </w:p>
    <w:p w14:paraId="1E4792FE" w14:textId="1DA93670" w:rsidR="00C8515B" w:rsidRDefault="00C8515B">
      <w:pPr>
        <w:pStyle w:val="TOC2"/>
        <w:tabs>
          <w:tab w:val="left" w:pos="1418"/>
        </w:tabs>
        <w:rPr>
          <w:rFonts w:asciiTheme="minorHAnsi" w:eastAsiaTheme="minorEastAsia" w:hAnsiTheme="minorHAnsi" w:cstheme="minorBidi"/>
          <w:sz w:val="24"/>
          <w:lang w:val="en-GB"/>
        </w:rPr>
      </w:pPr>
      <w:r>
        <w:t>5.1</w:t>
      </w:r>
      <w:r>
        <w:rPr>
          <w:rFonts w:asciiTheme="minorHAnsi" w:eastAsiaTheme="minorEastAsia" w:hAnsiTheme="minorHAnsi" w:cstheme="minorBidi"/>
          <w:sz w:val="24"/>
          <w:lang w:val="en-GB"/>
        </w:rPr>
        <w:tab/>
      </w:r>
      <w:r w:rsidRPr="00446387">
        <w:rPr>
          <w:b/>
        </w:rPr>
        <w:t>Q9</w:t>
      </w:r>
      <w:r>
        <w:t xml:space="preserve">: What lifestyle interventions are effective in preventing excessive weight gain and other </w:t>
      </w:r>
      <w:r>
        <w:br/>
        <w:t>adverse outcomes in pregnant women?</w:t>
      </w:r>
      <w:r>
        <w:tab/>
      </w:r>
      <w:r>
        <w:fldChar w:fldCharType="begin"/>
      </w:r>
      <w:r>
        <w:instrText xml:space="preserve"> PAGEREF _Toc40956543 \h </w:instrText>
      </w:r>
      <w:r>
        <w:fldChar w:fldCharType="separate"/>
      </w:r>
      <w:r>
        <w:t>276</w:t>
      </w:r>
      <w:r>
        <w:fldChar w:fldCharType="end"/>
      </w:r>
    </w:p>
    <w:p w14:paraId="3ADECDAD" w14:textId="77777777" w:rsidR="00C8515B" w:rsidRDefault="00C8515B">
      <w:pPr>
        <w:pStyle w:val="TOC3"/>
        <w:tabs>
          <w:tab w:val="left" w:pos="1418"/>
        </w:tabs>
        <w:rPr>
          <w:rFonts w:asciiTheme="minorHAnsi" w:eastAsiaTheme="minorEastAsia" w:hAnsiTheme="minorHAnsi" w:cstheme="minorBidi"/>
          <w:sz w:val="24"/>
          <w:lang w:val="en-GB"/>
        </w:rPr>
      </w:pPr>
      <w:r>
        <w:t>5.1.1</w:t>
      </w:r>
      <w:r>
        <w:rPr>
          <w:rFonts w:asciiTheme="minorHAnsi" w:eastAsiaTheme="minorEastAsia" w:hAnsiTheme="minorHAnsi" w:cstheme="minorBidi"/>
          <w:sz w:val="24"/>
          <w:lang w:val="en-GB"/>
        </w:rPr>
        <w:tab/>
      </w:r>
      <w:r>
        <w:t>Dietary interventions</w:t>
      </w:r>
      <w:r>
        <w:tab/>
      </w:r>
      <w:r>
        <w:fldChar w:fldCharType="begin"/>
      </w:r>
      <w:r>
        <w:instrText xml:space="preserve"> PAGEREF _Toc40956544 \h </w:instrText>
      </w:r>
      <w:r>
        <w:fldChar w:fldCharType="separate"/>
      </w:r>
      <w:r>
        <w:t>276</w:t>
      </w:r>
      <w:r>
        <w:fldChar w:fldCharType="end"/>
      </w:r>
    </w:p>
    <w:p w14:paraId="1085308E" w14:textId="77777777" w:rsidR="00C8515B" w:rsidRDefault="00C8515B">
      <w:pPr>
        <w:pStyle w:val="TOC3"/>
        <w:tabs>
          <w:tab w:val="left" w:pos="1418"/>
        </w:tabs>
        <w:rPr>
          <w:rFonts w:asciiTheme="minorHAnsi" w:eastAsiaTheme="minorEastAsia" w:hAnsiTheme="minorHAnsi" w:cstheme="minorBidi"/>
          <w:sz w:val="24"/>
          <w:lang w:val="en-GB"/>
        </w:rPr>
      </w:pPr>
      <w:r>
        <w:t>5.1.2</w:t>
      </w:r>
      <w:r>
        <w:rPr>
          <w:rFonts w:asciiTheme="minorHAnsi" w:eastAsiaTheme="minorEastAsia" w:hAnsiTheme="minorHAnsi" w:cstheme="minorBidi"/>
          <w:sz w:val="24"/>
          <w:lang w:val="en-GB"/>
        </w:rPr>
        <w:tab/>
      </w:r>
      <w:r>
        <w:t>Exercise interventions</w:t>
      </w:r>
      <w:r>
        <w:tab/>
      </w:r>
      <w:r>
        <w:fldChar w:fldCharType="begin"/>
      </w:r>
      <w:r>
        <w:instrText xml:space="preserve"> PAGEREF _Toc40956545 \h </w:instrText>
      </w:r>
      <w:r>
        <w:fldChar w:fldCharType="separate"/>
      </w:r>
      <w:r>
        <w:t>281</w:t>
      </w:r>
      <w:r>
        <w:fldChar w:fldCharType="end"/>
      </w:r>
    </w:p>
    <w:p w14:paraId="60A46EBB" w14:textId="77777777" w:rsidR="00C8515B" w:rsidRDefault="00C8515B">
      <w:pPr>
        <w:pStyle w:val="TOC3"/>
        <w:tabs>
          <w:tab w:val="left" w:pos="1418"/>
        </w:tabs>
        <w:rPr>
          <w:rFonts w:asciiTheme="minorHAnsi" w:eastAsiaTheme="minorEastAsia" w:hAnsiTheme="minorHAnsi" w:cstheme="minorBidi"/>
          <w:sz w:val="24"/>
          <w:lang w:val="en-GB"/>
        </w:rPr>
      </w:pPr>
      <w:r>
        <w:t>5.1.3</w:t>
      </w:r>
      <w:r>
        <w:rPr>
          <w:rFonts w:asciiTheme="minorHAnsi" w:eastAsiaTheme="minorEastAsia" w:hAnsiTheme="minorHAnsi" w:cstheme="minorBidi"/>
          <w:sz w:val="24"/>
          <w:lang w:val="en-GB"/>
        </w:rPr>
        <w:tab/>
      </w:r>
      <w:r>
        <w:t>Lifestyle counselling on weight gain, diet, exercise and self-monitoring</w:t>
      </w:r>
      <w:r>
        <w:tab/>
      </w:r>
      <w:r>
        <w:fldChar w:fldCharType="begin"/>
      </w:r>
      <w:r>
        <w:instrText xml:space="preserve"> PAGEREF _Toc40956546 \h </w:instrText>
      </w:r>
      <w:r>
        <w:fldChar w:fldCharType="separate"/>
      </w:r>
      <w:r>
        <w:t>288</w:t>
      </w:r>
      <w:r>
        <w:fldChar w:fldCharType="end"/>
      </w:r>
    </w:p>
    <w:p w14:paraId="1F38F026" w14:textId="77777777" w:rsidR="00C8515B" w:rsidRDefault="00C8515B">
      <w:pPr>
        <w:pStyle w:val="TOC3"/>
        <w:tabs>
          <w:tab w:val="left" w:pos="1418"/>
        </w:tabs>
        <w:rPr>
          <w:rFonts w:asciiTheme="minorHAnsi" w:eastAsiaTheme="minorEastAsia" w:hAnsiTheme="minorHAnsi" w:cstheme="minorBidi"/>
          <w:sz w:val="24"/>
          <w:lang w:val="en-GB"/>
        </w:rPr>
      </w:pPr>
      <w:r>
        <w:t>5.1.4</w:t>
      </w:r>
      <w:r>
        <w:rPr>
          <w:rFonts w:asciiTheme="minorHAnsi" w:eastAsiaTheme="minorEastAsia" w:hAnsiTheme="minorHAnsi" w:cstheme="minorBidi"/>
          <w:sz w:val="24"/>
          <w:lang w:val="en-GB"/>
        </w:rPr>
        <w:tab/>
      </w:r>
      <w:r>
        <w:t>Cost-effectiveness</w:t>
      </w:r>
      <w:r>
        <w:tab/>
      </w:r>
      <w:r>
        <w:fldChar w:fldCharType="begin"/>
      </w:r>
      <w:r>
        <w:instrText xml:space="preserve"> PAGEREF _Toc40956547 \h </w:instrText>
      </w:r>
      <w:r>
        <w:fldChar w:fldCharType="separate"/>
      </w:r>
      <w:r>
        <w:t>296</w:t>
      </w:r>
      <w:r>
        <w:fldChar w:fldCharType="end"/>
      </w:r>
    </w:p>
    <w:p w14:paraId="6661B114" w14:textId="77777777" w:rsidR="00C8515B" w:rsidRDefault="00C8515B">
      <w:pPr>
        <w:pStyle w:val="TOC3"/>
        <w:tabs>
          <w:tab w:val="left" w:pos="1418"/>
        </w:tabs>
        <w:rPr>
          <w:rFonts w:asciiTheme="minorHAnsi" w:eastAsiaTheme="minorEastAsia" w:hAnsiTheme="minorHAnsi" w:cstheme="minorBidi"/>
          <w:sz w:val="24"/>
          <w:lang w:val="en-GB"/>
        </w:rPr>
      </w:pPr>
      <w:r>
        <w:t>5.1.5</w:t>
      </w:r>
      <w:r>
        <w:rPr>
          <w:rFonts w:asciiTheme="minorHAnsi" w:eastAsiaTheme="minorEastAsia" w:hAnsiTheme="minorHAnsi" w:cstheme="minorBidi"/>
          <w:sz w:val="24"/>
          <w:lang w:val="en-GB"/>
        </w:rPr>
        <w:tab/>
      </w:r>
      <w:r>
        <w:t>Evidence summary</w:t>
      </w:r>
      <w:r>
        <w:tab/>
      </w:r>
      <w:r>
        <w:fldChar w:fldCharType="begin"/>
      </w:r>
      <w:r>
        <w:instrText xml:space="preserve"> PAGEREF _Toc40956548 \h </w:instrText>
      </w:r>
      <w:r>
        <w:fldChar w:fldCharType="separate"/>
      </w:r>
      <w:r>
        <w:t>296</w:t>
      </w:r>
      <w:r>
        <w:fldChar w:fldCharType="end"/>
      </w:r>
    </w:p>
    <w:p w14:paraId="4CD32CD9" w14:textId="77777777" w:rsidR="00C8515B" w:rsidRDefault="00C8515B">
      <w:pPr>
        <w:pStyle w:val="TOC3"/>
        <w:tabs>
          <w:tab w:val="left" w:pos="1418"/>
        </w:tabs>
        <w:rPr>
          <w:rFonts w:asciiTheme="minorHAnsi" w:eastAsiaTheme="minorEastAsia" w:hAnsiTheme="minorHAnsi" w:cstheme="minorBidi"/>
          <w:sz w:val="24"/>
          <w:lang w:val="en-GB"/>
        </w:rPr>
      </w:pPr>
      <w:r>
        <w:t>5.1.6</w:t>
      </w:r>
      <w:r>
        <w:rPr>
          <w:rFonts w:asciiTheme="minorHAnsi" w:eastAsiaTheme="minorEastAsia" w:hAnsiTheme="minorHAnsi" w:cstheme="minorBidi"/>
          <w:sz w:val="24"/>
          <w:lang w:val="en-GB"/>
        </w:rPr>
        <w:tab/>
      </w:r>
      <w:r>
        <w:t>Evidence tables</w:t>
      </w:r>
      <w:r>
        <w:tab/>
      </w:r>
      <w:r>
        <w:fldChar w:fldCharType="begin"/>
      </w:r>
      <w:r>
        <w:instrText xml:space="preserve"> PAGEREF _Toc40956549 \h </w:instrText>
      </w:r>
      <w:r>
        <w:fldChar w:fldCharType="separate"/>
      </w:r>
      <w:r>
        <w:t>300</w:t>
      </w:r>
      <w:r>
        <w:fldChar w:fldCharType="end"/>
      </w:r>
    </w:p>
    <w:p w14:paraId="5C6C5FD7" w14:textId="77777777" w:rsidR="00C8515B" w:rsidRDefault="00C8515B" w:rsidP="00C8515B">
      <w:pPr>
        <w:pStyle w:val="TOC1"/>
        <w:rPr>
          <w:rFonts w:asciiTheme="minorHAnsi" w:eastAsiaTheme="minorEastAsia" w:hAnsiTheme="minorHAnsi" w:cstheme="minorBidi"/>
          <w:color w:val="auto"/>
          <w:sz w:val="24"/>
          <w:lang w:val="en-GB"/>
        </w:rPr>
      </w:pPr>
      <w:r>
        <w:t>6</w:t>
      </w:r>
      <w:r>
        <w:rPr>
          <w:rFonts w:asciiTheme="minorHAnsi" w:eastAsiaTheme="minorEastAsia" w:hAnsiTheme="minorHAnsi" w:cstheme="minorBidi"/>
          <w:color w:val="auto"/>
          <w:sz w:val="24"/>
          <w:lang w:val="en-GB"/>
        </w:rPr>
        <w:tab/>
      </w:r>
      <w:r>
        <w:t>Additional considerations</w:t>
      </w:r>
      <w:r>
        <w:tab/>
      </w:r>
      <w:r>
        <w:fldChar w:fldCharType="begin"/>
      </w:r>
      <w:r>
        <w:instrText xml:space="preserve"> PAGEREF _Toc40956550 \h </w:instrText>
      </w:r>
      <w:r>
        <w:fldChar w:fldCharType="separate"/>
      </w:r>
      <w:r>
        <w:t>365</w:t>
      </w:r>
      <w:r>
        <w:fldChar w:fldCharType="end"/>
      </w:r>
    </w:p>
    <w:p w14:paraId="44A5A13C" w14:textId="77777777" w:rsidR="00C8515B" w:rsidRDefault="00C8515B">
      <w:pPr>
        <w:pStyle w:val="TOC2"/>
        <w:tabs>
          <w:tab w:val="left" w:pos="1418"/>
        </w:tabs>
        <w:rPr>
          <w:rFonts w:asciiTheme="minorHAnsi" w:eastAsiaTheme="minorEastAsia" w:hAnsiTheme="minorHAnsi" w:cstheme="minorBidi"/>
          <w:sz w:val="24"/>
          <w:lang w:val="en-GB"/>
        </w:rPr>
      </w:pPr>
      <w:r>
        <w:t>6.1</w:t>
      </w:r>
      <w:r>
        <w:rPr>
          <w:rFonts w:asciiTheme="minorHAnsi" w:eastAsiaTheme="minorEastAsia" w:hAnsiTheme="minorHAnsi" w:cstheme="minorBidi"/>
          <w:sz w:val="24"/>
          <w:lang w:val="en-GB"/>
        </w:rPr>
        <w:tab/>
      </w:r>
      <w:r w:rsidRPr="00446387">
        <w:rPr>
          <w:b/>
        </w:rPr>
        <w:t>Q10</w:t>
      </w:r>
      <w:r>
        <w:t>: What are the additional needs of Aboriginal and Torres Strait Islander women?</w:t>
      </w:r>
      <w:r>
        <w:tab/>
      </w:r>
      <w:r>
        <w:fldChar w:fldCharType="begin"/>
      </w:r>
      <w:r>
        <w:instrText xml:space="preserve"> PAGEREF _Toc40956551 \h </w:instrText>
      </w:r>
      <w:r>
        <w:fldChar w:fldCharType="separate"/>
      </w:r>
      <w:r>
        <w:t>365</w:t>
      </w:r>
      <w:r>
        <w:fldChar w:fldCharType="end"/>
      </w:r>
    </w:p>
    <w:p w14:paraId="21274461" w14:textId="77777777" w:rsidR="00C8515B" w:rsidRDefault="00C8515B">
      <w:pPr>
        <w:pStyle w:val="TOC2"/>
        <w:tabs>
          <w:tab w:val="left" w:pos="1418"/>
        </w:tabs>
        <w:rPr>
          <w:rFonts w:asciiTheme="minorHAnsi" w:eastAsiaTheme="minorEastAsia" w:hAnsiTheme="minorHAnsi" w:cstheme="minorBidi"/>
          <w:sz w:val="24"/>
          <w:lang w:val="en-GB"/>
        </w:rPr>
      </w:pPr>
      <w:r>
        <w:t>6.2</w:t>
      </w:r>
      <w:r>
        <w:rPr>
          <w:rFonts w:asciiTheme="minorHAnsi" w:eastAsiaTheme="minorEastAsia" w:hAnsiTheme="minorHAnsi" w:cstheme="minorBidi"/>
          <w:sz w:val="24"/>
          <w:lang w:val="en-GB"/>
        </w:rPr>
        <w:tab/>
      </w:r>
      <w:r w:rsidRPr="00446387">
        <w:rPr>
          <w:b/>
        </w:rPr>
        <w:t>Q11</w:t>
      </w:r>
      <w:r>
        <w:t>: What are the additional considerations for migrant and refugee women?</w:t>
      </w:r>
      <w:r>
        <w:tab/>
      </w:r>
      <w:r>
        <w:fldChar w:fldCharType="begin"/>
      </w:r>
      <w:r>
        <w:instrText xml:space="preserve"> PAGEREF _Toc40956552 \h </w:instrText>
      </w:r>
      <w:r>
        <w:fldChar w:fldCharType="separate"/>
      </w:r>
      <w:r>
        <w:t>366</w:t>
      </w:r>
      <w:r>
        <w:fldChar w:fldCharType="end"/>
      </w:r>
    </w:p>
    <w:p w14:paraId="7A76FEF2" w14:textId="77777777" w:rsidR="00C8515B" w:rsidRDefault="00C8515B" w:rsidP="00C8515B">
      <w:pPr>
        <w:pStyle w:val="TOC1"/>
        <w:rPr>
          <w:rFonts w:asciiTheme="minorHAnsi" w:eastAsiaTheme="minorEastAsia" w:hAnsiTheme="minorHAnsi" w:cstheme="minorBidi"/>
          <w:color w:val="auto"/>
          <w:sz w:val="24"/>
          <w:lang w:val="en-GB"/>
        </w:rPr>
      </w:pPr>
      <w:r w:rsidRPr="00446387">
        <w:t>Appendices</w:t>
      </w:r>
      <w:r>
        <w:tab/>
      </w:r>
      <w:r>
        <w:fldChar w:fldCharType="begin"/>
      </w:r>
      <w:r>
        <w:instrText xml:space="preserve"> PAGEREF _Toc40956553 \h </w:instrText>
      </w:r>
      <w:r>
        <w:fldChar w:fldCharType="separate"/>
      </w:r>
      <w:r>
        <w:t>367</w:t>
      </w:r>
      <w:r>
        <w:fldChar w:fldCharType="end"/>
      </w:r>
    </w:p>
    <w:p w14:paraId="421F9595" w14:textId="77777777" w:rsidR="00C8515B" w:rsidRDefault="00C8515B">
      <w:pPr>
        <w:pStyle w:val="TOC2"/>
        <w:rPr>
          <w:rFonts w:asciiTheme="minorHAnsi" w:eastAsiaTheme="minorEastAsia" w:hAnsiTheme="minorHAnsi" w:cstheme="minorBidi"/>
          <w:sz w:val="24"/>
          <w:lang w:val="en-GB"/>
        </w:rPr>
      </w:pPr>
      <w:r w:rsidRPr="00446387">
        <w:t>A</w:t>
      </w:r>
      <w:r>
        <w:rPr>
          <w:rFonts w:asciiTheme="minorHAnsi" w:eastAsiaTheme="minorEastAsia" w:hAnsiTheme="minorHAnsi" w:cstheme="minorBidi"/>
          <w:sz w:val="24"/>
          <w:lang w:val="en-GB"/>
        </w:rPr>
        <w:tab/>
      </w:r>
      <w:r w:rsidRPr="00446387">
        <w:t>Search strategies</w:t>
      </w:r>
      <w:r>
        <w:tab/>
      </w:r>
      <w:r>
        <w:fldChar w:fldCharType="begin"/>
      </w:r>
      <w:r>
        <w:instrText xml:space="preserve"> PAGEREF _Toc40956554 \h </w:instrText>
      </w:r>
      <w:r>
        <w:fldChar w:fldCharType="separate"/>
      </w:r>
      <w:r>
        <w:t>367</w:t>
      </w:r>
      <w:r>
        <w:fldChar w:fldCharType="end"/>
      </w:r>
    </w:p>
    <w:p w14:paraId="50BA3EC8" w14:textId="77777777" w:rsidR="00C8515B" w:rsidRDefault="00C8515B">
      <w:pPr>
        <w:pStyle w:val="TOC3"/>
        <w:rPr>
          <w:rFonts w:asciiTheme="minorHAnsi" w:eastAsiaTheme="minorEastAsia" w:hAnsiTheme="minorHAnsi" w:cstheme="minorBidi"/>
          <w:sz w:val="24"/>
          <w:lang w:val="en-GB"/>
        </w:rPr>
      </w:pPr>
      <w:r>
        <w:t>Dietary advice</w:t>
      </w:r>
      <w:r>
        <w:tab/>
      </w:r>
      <w:r>
        <w:fldChar w:fldCharType="begin"/>
      </w:r>
      <w:r>
        <w:instrText xml:space="preserve"> PAGEREF _Toc40956555 \h </w:instrText>
      </w:r>
      <w:r>
        <w:fldChar w:fldCharType="separate"/>
      </w:r>
      <w:r>
        <w:t>367</w:t>
      </w:r>
      <w:r>
        <w:fldChar w:fldCharType="end"/>
      </w:r>
    </w:p>
    <w:p w14:paraId="14076DB4" w14:textId="77777777" w:rsidR="00C8515B" w:rsidRDefault="00C8515B">
      <w:pPr>
        <w:pStyle w:val="TOC3"/>
        <w:rPr>
          <w:rFonts w:asciiTheme="minorHAnsi" w:eastAsiaTheme="minorEastAsia" w:hAnsiTheme="minorHAnsi" w:cstheme="minorBidi"/>
          <w:sz w:val="24"/>
          <w:lang w:val="en-GB"/>
        </w:rPr>
      </w:pPr>
      <w:r>
        <w:t>Physical activity advice (research questions 5, 6 and 9)</w:t>
      </w:r>
      <w:r>
        <w:tab/>
      </w:r>
      <w:r>
        <w:fldChar w:fldCharType="begin"/>
      </w:r>
      <w:r>
        <w:instrText xml:space="preserve"> PAGEREF _Toc40956556 \h </w:instrText>
      </w:r>
      <w:r>
        <w:fldChar w:fldCharType="separate"/>
      </w:r>
      <w:r>
        <w:t>392</w:t>
      </w:r>
      <w:r>
        <w:fldChar w:fldCharType="end"/>
      </w:r>
    </w:p>
    <w:p w14:paraId="7C084D35" w14:textId="77777777" w:rsidR="00C8515B" w:rsidRDefault="00C8515B">
      <w:pPr>
        <w:pStyle w:val="TOC3"/>
        <w:rPr>
          <w:rFonts w:asciiTheme="minorHAnsi" w:eastAsiaTheme="minorEastAsia" w:hAnsiTheme="minorHAnsi" w:cstheme="minorBidi"/>
          <w:sz w:val="24"/>
          <w:lang w:val="en-GB"/>
        </w:rPr>
      </w:pPr>
      <w:r>
        <w:t>Weight assessment and management</w:t>
      </w:r>
      <w:r>
        <w:tab/>
      </w:r>
      <w:r>
        <w:fldChar w:fldCharType="begin"/>
      </w:r>
      <w:r>
        <w:instrText xml:space="preserve"> PAGEREF _Toc40956557 \h </w:instrText>
      </w:r>
      <w:r>
        <w:fldChar w:fldCharType="separate"/>
      </w:r>
      <w:r>
        <w:t>394</w:t>
      </w:r>
      <w:r>
        <w:fldChar w:fldCharType="end"/>
      </w:r>
    </w:p>
    <w:p w14:paraId="6586DAA5" w14:textId="77777777" w:rsidR="00C8515B" w:rsidRDefault="00C8515B">
      <w:pPr>
        <w:pStyle w:val="TOC2"/>
        <w:rPr>
          <w:rFonts w:asciiTheme="minorHAnsi" w:eastAsiaTheme="minorEastAsia" w:hAnsiTheme="minorHAnsi" w:cstheme="minorBidi"/>
          <w:sz w:val="24"/>
          <w:lang w:val="en-GB"/>
        </w:rPr>
      </w:pPr>
      <w:r w:rsidRPr="00446387">
        <w:t>B</w:t>
      </w:r>
      <w:r>
        <w:rPr>
          <w:rFonts w:asciiTheme="minorHAnsi" w:eastAsiaTheme="minorEastAsia" w:hAnsiTheme="minorHAnsi" w:cstheme="minorBidi"/>
          <w:sz w:val="24"/>
          <w:lang w:val="en-GB"/>
        </w:rPr>
        <w:tab/>
      </w:r>
      <w:r w:rsidRPr="00446387">
        <w:t>Assessment of risk of bias in randomised controlled trials</w:t>
      </w:r>
      <w:r>
        <w:tab/>
      </w:r>
      <w:r>
        <w:fldChar w:fldCharType="begin"/>
      </w:r>
      <w:r>
        <w:instrText xml:space="preserve"> PAGEREF _Toc40956558 \h </w:instrText>
      </w:r>
      <w:r>
        <w:fldChar w:fldCharType="separate"/>
      </w:r>
      <w:r>
        <w:t>401</w:t>
      </w:r>
      <w:r>
        <w:fldChar w:fldCharType="end"/>
      </w:r>
    </w:p>
    <w:p w14:paraId="017ED778" w14:textId="77777777" w:rsidR="00C8515B" w:rsidRDefault="00C8515B">
      <w:pPr>
        <w:pStyle w:val="TOC3"/>
        <w:rPr>
          <w:rFonts w:asciiTheme="minorHAnsi" w:eastAsiaTheme="minorEastAsia" w:hAnsiTheme="minorHAnsi" w:cstheme="minorBidi"/>
          <w:sz w:val="24"/>
          <w:lang w:val="en-GB"/>
        </w:rPr>
      </w:pPr>
      <w:r w:rsidRPr="00446387">
        <w:rPr>
          <w:lang w:val="en"/>
        </w:rPr>
        <w:t>Probiotics studies</w:t>
      </w:r>
      <w:r>
        <w:tab/>
      </w:r>
      <w:r>
        <w:fldChar w:fldCharType="begin"/>
      </w:r>
      <w:r>
        <w:instrText xml:space="preserve"> PAGEREF _Toc40956559 \h </w:instrText>
      </w:r>
      <w:r>
        <w:fldChar w:fldCharType="separate"/>
      </w:r>
      <w:r>
        <w:t>403</w:t>
      </w:r>
      <w:r>
        <w:fldChar w:fldCharType="end"/>
      </w:r>
    </w:p>
    <w:p w14:paraId="7A1CBCCE" w14:textId="77777777" w:rsidR="00C8515B" w:rsidRDefault="00C8515B">
      <w:pPr>
        <w:pStyle w:val="TOC3"/>
        <w:rPr>
          <w:rFonts w:asciiTheme="minorHAnsi" w:eastAsiaTheme="minorEastAsia" w:hAnsiTheme="minorHAnsi" w:cstheme="minorBidi"/>
          <w:sz w:val="24"/>
          <w:lang w:val="en-GB"/>
        </w:rPr>
      </w:pPr>
      <w:r w:rsidRPr="00446387">
        <w:rPr>
          <w:lang w:val="en"/>
        </w:rPr>
        <w:t>Weight assessment studies</w:t>
      </w:r>
      <w:r>
        <w:tab/>
      </w:r>
      <w:r>
        <w:fldChar w:fldCharType="begin"/>
      </w:r>
      <w:r>
        <w:instrText xml:space="preserve"> PAGEREF _Toc40956560 \h </w:instrText>
      </w:r>
      <w:r>
        <w:fldChar w:fldCharType="separate"/>
      </w:r>
      <w:r>
        <w:t>407</w:t>
      </w:r>
      <w:r>
        <w:fldChar w:fldCharType="end"/>
      </w:r>
    </w:p>
    <w:p w14:paraId="3B841D1A" w14:textId="77777777" w:rsidR="00C8515B" w:rsidRDefault="00C8515B">
      <w:pPr>
        <w:pStyle w:val="TOC3"/>
        <w:rPr>
          <w:rFonts w:asciiTheme="minorHAnsi" w:eastAsiaTheme="minorEastAsia" w:hAnsiTheme="minorHAnsi" w:cstheme="minorBidi"/>
          <w:sz w:val="24"/>
          <w:lang w:val="en-GB"/>
        </w:rPr>
      </w:pPr>
      <w:r w:rsidRPr="00446387">
        <w:rPr>
          <w:lang w:val="en"/>
        </w:rPr>
        <w:t>Dietary intervention studies</w:t>
      </w:r>
      <w:r>
        <w:tab/>
      </w:r>
      <w:r>
        <w:fldChar w:fldCharType="begin"/>
      </w:r>
      <w:r>
        <w:instrText xml:space="preserve"> PAGEREF _Toc40956561 \h </w:instrText>
      </w:r>
      <w:r>
        <w:fldChar w:fldCharType="separate"/>
      </w:r>
      <w:r>
        <w:t>408</w:t>
      </w:r>
      <w:r>
        <w:fldChar w:fldCharType="end"/>
      </w:r>
    </w:p>
    <w:p w14:paraId="565D53F9" w14:textId="77777777" w:rsidR="00C8515B" w:rsidRDefault="00C8515B">
      <w:pPr>
        <w:pStyle w:val="TOC3"/>
        <w:rPr>
          <w:rFonts w:asciiTheme="minorHAnsi" w:eastAsiaTheme="minorEastAsia" w:hAnsiTheme="minorHAnsi" w:cstheme="minorBidi"/>
          <w:sz w:val="24"/>
          <w:lang w:val="en-GB"/>
        </w:rPr>
      </w:pPr>
      <w:r w:rsidRPr="00446387">
        <w:rPr>
          <w:lang w:val="en"/>
        </w:rPr>
        <w:t>Exercise intervention studies</w:t>
      </w:r>
      <w:r>
        <w:tab/>
      </w:r>
      <w:r>
        <w:fldChar w:fldCharType="begin"/>
      </w:r>
      <w:r>
        <w:instrText xml:space="preserve"> PAGEREF _Toc40956562 \h </w:instrText>
      </w:r>
      <w:r>
        <w:fldChar w:fldCharType="separate"/>
      </w:r>
      <w:r>
        <w:t>413</w:t>
      </w:r>
      <w:r>
        <w:fldChar w:fldCharType="end"/>
      </w:r>
    </w:p>
    <w:p w14:paraId="556B5604" w14:textId="77777777" w:rsidR="00C8515B" w:rsidRDefault="00C8515B">
      <w:pPr>
        <w:pStyle w:val="TOC3"/>
        <w:rPr>
          <w:rFonts w:asciiTheme="minorHAnsi" w:eastAsiaTheme="minorEastAsia" w:hAnsiTheme="minorHAnsi" w:cstheme="minorBidi"/>
          <w:sz w:val="24"/>
          <w:lang w:val="en-GB"/>
        </w:rPr>
      </w:pPr>
      <w:r>
        <w:t>Lifestyle counselling intervention studies</w:t>
      </w:r>
      <w:r>
        <w:tab/>
      </w:r>
      <w:r>
        <w:fldChar w:fldCharType="begin"/>
      </w:r>
      <w:r>
        <w:instrText xml:space="preserve"> PAGEREF _Toc40956563 \h </w:instrText>
      </w:r>
      <w:r>
        <w:fldChar w:fldCharType="separate"/>
      </w:r>
      <w:r>
        <w:t>434</w:t>
      </w:r>
      <w:r>
        <w:fldChar w:fldCharType="end"/>
      </w:r>
    </w:p>
    <w:p w14:paraId="11CFBA23" w14:textId="77777777" w:rsidR="00C8515B" w:rsidRDefault="00C8515B">
      <w:pPr>
        <w:pStyle w:val="TOC2"/>
        <w:rPr>
          <w:rFonts w:asciiTheme="minorHAnsi" w:eastAsiaTheme="minorEastAsia" w:hAnsiTheme="minorHAnsi" w:cstheme="minorBidi"/>
          <w:sz w:val="24"/>
          <w:lang w:val="en-GB"/>
        </w:rPr>
      </w:pPr>
      <w:r w:rsidRPr="00446387">
        <w:t>C</w:t>
      </w:r>
      <w:r>
        <w:rPr>
          <w:rFonts w:asciiTheme="minorHAnsi" w:eastAsiaTheme="minorEastAsia" w:hAnsiTheme="minorHAnsi" w:cstheme="minorBidi"/>
          <w:sz w:val="24"/>
          <w:lang w:val="en-GB"/>
        </w:rPr>
        <w:tab/>
      </w:r>
      <w:r w:rsidRPr="00446387">
        <w:t>Analyses</w:t>
      </w:r>
      <w:r>
        <w:tab/>
      </w:r>
      <w:r>
        <w:fldChar w:fldCharType="begin"/>
      </w:r>
      <w:r>
        <w:instrText xml:space="preserve"> PAGEREF _Toc40956564 \h </w:instrText>
      </w:r>
      <w:r>
        <w:fldChar w:fldCharType="separate"/>
      </w:r>
      <w:r>
        <w:t>455</w:t>
      </w:r>
      <w:r>
        <w:fldChar w:fldCharType="end"/>
      </w:r>
    </w:p>
    <w:p w14:paraId="69248CA8" w14:textId="77777777" w:rsidR="00C8515B" w:rsidRDefault="00C8515B">
      <w:pPr>
        <w:pStyle w:val="TOC3"/>
        <w:rPr>
          <w:rFonts w:asciiTheme="minorHAnsi" w:eastAsiaTheme="minorEastAsia" w:hAnsiTheme="minorHAnsi" w:cstheme="minorBidi"/>
          <w:sz w:val="24"/>
          <w:lang w:val="en-GB"/>
        </w:rPr>
      </w:pPr>
      <w:r w:rsidRPr="00446387">
        <w:t>Comparison 1: Probiotics versus placebo</w:t>
      </w:r>
      <w:r>
        <w:tab/>
      </w:r>
      <w:r>
        <w:fldChar w:fldCharType="begin"/>
      </w:r>
      <w:r>
        <w:instrText xml:space="preserve"> PAGEREF _Toc40956565 \h </w:instrText>
      </w:r>
      <w:r>
        <w:fldChar w:fldCharType="separate"/>
      </w:r>
      <w:r>
        <w:t>455</w:t>
      </w:r>
      <w:r>
        <w:fldChar w:fldCharType="end"/>
      </w:r>
    </w:p>
    <w:p w14:paraId="3A34EEDC" w14:textId="77777777" w:rsidR="00C8515B" w:rsidRDefault="00C8515B">
      <w:pPr>
        <w:pStyle w:val="TOC3"/>
        <w:rPr>
          <w:rFonts w:asciiTheme="minorHAnsi" w:eastAsiaTheme="minorEastAsia" w:hAnsiTheme="minorHAnsi" w:cstheme="minorBidi"/>
          <w:sz w:val="24"/>
          <w:lang w:val="en-GB"/>
        </w:rPr>
      </w:pPr>
      <w:r w:rsidRPr="00446387">
        <w:t>Comparison 2: Regular weighing and advice on weight gain versus usual care</w:t>
      </w:r>
      <w:r>
        <w:tab/>
      </w:r>
      <w:r>
        <w:fldChar w:fldCharType="begin"/>
      </w:r>
      <w:r>
        <w:instrText xml:space="preserve"> PAGEREF _Toc40956566 \h </w:instrText>
      </w:r>
      <w:r>
        <w:fldChar w:fldCharType="separate"/>
      </w:r>
      <w:r>
        <w:t>458</w:t>
      </w:r>
      <w:r>
        <w:fldChar w:fldCharType="end"/>
      </w:r>
    </w:p>
    <w:p w14:paraId="1BBC41FE" w14:textId="77777777" w:rsidR="00C8515B" w:rsidRDefault="00C8515B">
      <w:pPr>
        <w:pStyle w:val="TOC3"/>
        <w:rPr>
          <w:rFonts w:asciiTheme="minorHAnsi" w:eastAsiaTheme="minorEastAsia" w:hAnsiTheme="minorHAnsi" w:cstheme="minorBidi"/>
          <w:sz w:val="24"/>
          <w:lang w:val="en-GB"/>
        </w:rPr>
      </w:pPr>
      <w:r w:rsidRPr="00446387">
        <w:t>Comparison 3: Diet versus usual care</w:t>
      </w:r>
      <w:r>
        <w:tab/>
      </w:r>
      <w:r>
        <w:fldChar w:fldCharType="begin"/>
      </w:r>
      <w:r>
        <w:instrText xml:space="preserve"> PAGEREF _Toc40956567 \h </w:instrText>
      </w:r>
      <w:r>
        <w:fldChar w:fldCharType="separate"/>
      </w:r>
      <w:r>
        <w:t>459</w:t>
      </w:r>
      <w:r>
        <w:fldChar w:fldCharType="end"/>
      </w:r>
    </w:p>
    <w:p w14:paraId="203C7F79" w14:textId="77777777" w:rsidR="00C8515B" w:rsidRDefault="00C8515B">
      <w:pPr>
        <w:pStyle w:val="TOC3"/>
        <w:rPr>
          <w:rFonts w:asciiTheme="minorHAnsi" w:eastAsiaTheme="minorEastAsia" w:hAnsiTheme="minorHAnsi" w:cstheme="minorBidi"/>
          <w:sz w:val="24"/>
          <w:lang w:val="en-GB"/>
        </w:rPr>
      </w:pPr>
      <w:r w:rsidRPr="00446387">
        <w:t>Comparison 4: Exercise versus usual care</w:t>
      </w:r>
      <w:r>
        <w:tab/>
      </w:r>
      <w:r>
        <w:fldChar w:fldCharType="begin"/>
      </w:r>
      <w:r>
        <w:instrText xml:space="preserve"> PAGEREF _Toc40956568 \h </w:instrText>
      </w:r>
      <w:r>
        <w:fldChar w:fldCharType="separate"/>
      </w:r>
      <w:r>
        <w:t>463</w:t>
      </w:r>
      <w:r>
        <w:fldChar w:fldCharType="end"/>
      </w:r>
    </w:p>
    <w:p w14:paraId="4BF30266" w14:textId="77777777" w:rsidR="00C8515B" w:rsidRDefault="00C8515B">
      <w:pPr>
        <w:pStyle w:val="TOC3"/>
        <w:rPr>
          <w:rFonts w:asciiTheme="minorHAnsi" w:eastAsiaTheme="minorEastAsia" w:hAnsiTheme="minorHAnsi" w:cstheme="minorBidi"/>
          <w:sz w:val="24"/>
          <w:lang w:val="en-GB"/>
        </w:rPr>
      </w:pPr>
      <w:r w:rsidRPr="00446387">
        <w:t>Comparison 5: Lifestyle counselling as part of pregnancy care versus usual care alone</w:t>
      </w:r>
      <w:r>
        <w:tab/>
      </w:r>
      <w:r>
        <w:fldChar w:fldCharType="begin"/>
      </w:r>
      <w:r>
        <w:instrText xml:space="preserve"> PAGEREF _Toc40956569 \h </w:instrText>
      </w:r>
      <w:r>
        <w:fldChar w:fldCharType="separate"/>
      </w:r>
      <w:r>
        <w:t>470</w:t>
      </w:r>
      <w:r>
        <w:fldChar w:fldCharType="end"/>
      </w:r>
    </w:p>
    <w:p w14:paraId="44AFDACC" w14:textId="77777777" w:rsidR="00C8515B" w:rsidRDefault="00C8515B">
      <w:pPr>
        <w:pStyle w:val="TOC2"/>
        <w:rPr>
          <w:rFonts w:asciiTheme="minorHAnsi" w:eastAsiaTheme="minorEastAsia" w:hAnsiTheme="minorHAnsi" w:cstheme="minorBidi"/>
          <w:sz w:val="24"/>
          <w:lang w:val="en-GB"/>
        </w:rPr>
      </w:pPr>
      <w:r>
        <w:t>D</w:t>
      </w:r>
      <w:r>
        <w:rPr>
          <w:rFonts w:asciiTheme="minorHAnsi" w:eastAsiaTheme="minorEastAsia" w:hAnsiTheme="minorHAnsi" w:cstheme="minorBidi"/>
          <w:sz w:val="24"/>
          <w:lang w:val="en-GB"/>
        </w:rPr>
        <w:tab/>
      </w:r>
      <w:r>
        <w:t>Excluded studies</w:t>
      </w:r>
      <w:r>
        <w:tab/>
      </w:r>
      <w:r>
        <w:fldChar w:fldCharType="begin"/>
      </w:r>
      <w:r>
        <w:instrText xml:space="preserve"> PAGEREF _Toc40956570 \h </w:instrText>
      </w:r>
      <w:r>
        <w:fldChar w:fldCharType="separate"/>
      </w:r>
      <w:r>
        <w:t>478</w:t>
      </w:r>
      <w:r>
        <w:fldChar w:fldCharType="end"/>
      </w:r>
    </w:p>
    <w:p w14:paraId="2969927C" w14:textId="77777777" w:rsidR="00C8515B" w:rsidRDefault="00C8515B">
      <w:pPr>
        <w:pStyle w:val="TOC3"/>
        <w:rPr>
          <w:rFonts w:asciiTheme="minorHAnsi" w:eastAsiaTheme="minorEastAsia" w:hAnsiTheme="minorHAnsi" w:cstheme="minorBidi"/>
          <w:sz w:val="24"/>
          <w:lang w:val="en-GB"/>
        </w:rPr>
      </w:pPr>
      <w:r>
        <w:t>Diet (questions 1, 2 and 9)</w:t>
      </w:r>
      <w:r>
        <w:tab/>
      </w:r>
      <w:r>
        <w:fldChar w:fldCharType="begin"/>
      </w:r>
      <w:r>
        <w:instrText xml:space="preserve"> PAGEREF _Toc40956571 \h </w:instrText>
      </w:r>
      <w:r>
        <w:fldChar w:fldCharType="separate"/>
      </w:r>
      <w:r>
        <w:t>478</w:t>
      </w:r>
      <w:r>
        <w:fldChar w:fldCharType="end"/>
      </w:r>
    </w:p>
    <w:p w14:paraId="522578BC" w14:textId="77777777" w:rsidR="00C8515B" w:rsidRDefault="00C8515B">
      <w:pPr>
        <w:pStyle w:val="TOC3"/>
        <w:rPr>
          <w:rFonts w:asciiTheme="minorHAnsi" w:eastAsiaTheme="minorEastAsia" w:hAnsiTheme="minorHAnsi" w:cstheme="minorBidi"/>
          <w:sz w:val="24"/>
          <w:lang w:val="en-GB"/>
        </w:rPr>
      </w:pPr>
      <w:r>
        <w:t>Supplements (question 3)</w:t>
      </w:r>
      <w:r>
        <w:tab/>
      </w:r>
      <w:r>
        <w:fldChar w:fldCharType="begin"/>
      </w:r>
      <w:r>
        <w:instrText xml:space="preserve"> PAGEREF _Toc40956572 \h </w:instrText>
      </w:r>
      <w:r>
        <w:fldChar w:fldCharType="separate"/>
      </w:r>
      <w:r>
        <w:t>480</w:t>
      </w:r>
      <w:r>
        <w:fldChar w:fldCharType="end"/>
      </w:r>
    </w:p>
    <w:p w14:paraId="0295AE66" w14:textId="77777777" w:rsidR="00C8515B" w:rsidRDefault="00C8515B">
      <w:pPr>
        <w:pStyle w:val="TOC3"/>
        <w:rPr>
          <w:rFonts w:asciiTheme="minorHAnsi" w:eastAsiaTheme="minorEastAsia" w:hAnsiTheme="minorHAnsi" w:cstheme="minorBidi"/>
          <w:sz w:val="24"/>
          <w:lang w:val="en-GB"/>
        </w:rPr>
      </w:pPr>
      <w:r>
        <w:t>Nutritionally based complementary medicines (question 4)</w:t>
      </w:r>
      <w:r>
        <w:tab/>
      </w:r>
      <w:r>
        <w:fldChar w:fldCharType="begin"/>
      </w:r>
      <w:r>
        <w:instrText xml:space="preserve"> PAGEREF _Toc40956573 \h </w:instrText>
      </w:r>
      <w:r>
        <w:fldChar w:fldCharType="separate"/>
      </w:r>
      <w:r>
        <w:t>486</w:t>
      </w:r>
      <w:r>
        <w:fldChar w:fldCharType="end"/>
      </w:r>
    </w:p>
    <w:p w14:paraId="43503A53" w14:textId="77777777" w:rsidR="00C8515B" w:rsidRDefault="00C8515B">
      <w:pPr>
        <w:pStyle w:val="TOC3"/>
        <w:rPr>
          <w:rFonts w:asciiTheme="minorHAnsi" w:eastAsiaTheme="minorEastAsia" w:hAnsiTheme="minorHAnsi" w:cstheme="minorBidi"/>
          <w:sz w:val="24"/>
          <w:lang w:val="en-GB"/>
        </w:rPr>
      </w:pPr>
      <w:r>
        <w:t>Physical activity (questions 5, 6 and 9)</w:t>
      </w:r>
      <w:r>
        <w:tab/>
      </w:r>
      <w:r>
        <w:fldChar w:fldCharType="begin"/>
      </w:r>
      <w:r>
        <w:instrText xml:space="preserve"> PAGEREF _Toc40956574 \h </w:instrText>
      </w:r>
      <w:r>
        <w:fldChar w:fldCharType="separate"/>
      </w:r>
      <w:r>
        <w:t>490</w:t>
      </w:r>
      <w:r>
        <w:fldChar w:fldCharType="end"/>
      </w:r>
    </w:p>
    <w:p w14:paraId="77DA4FA1" w14:textId="77777777" w:rsidR="00C8515B" w:rsidRDefault="00C8515B">
      <w:pPr>
        <w:pStyle w:val="TOC3"/>
        <w:rPr>
          <w:rFonts w:asciiTheme="minorHAnsi" w:eastAsiaTheme="minorEastAsia" w:hAnsiTheme="minorHAnsi" w:cstheme="minorBidi"/>
          <w:sz w:val="24"/>
          <w:lang w:val="en-GB"/>
        </w:rPr>
      </w:pPr>
      <w:r>
        <w:t>Weight gain and monitoring (question 7)</w:t>
      </w:r>
      <w:r>
        <w:tab/>
      </w:r>
      <w:r>
        <w:fldChar w:fldCharType="begin"/>
      </w:r>
      <w:r>
        <w:instrText xml:space="preserve"> PAGEREF _Toc40956575 \h </w:instrText>
      </w:r>
      <w:r>
        <w:fldChar w:fldCharType="separate"/>
      </w:r>
      <w:r>
        <w:t>499</w:t>
      </w:r>
      <w:r>
        <w:fldChar w:fldCharType="end"/>
      </w:r>
    </w:p>
    <w:p w14:paraId="0D2DBD4A" w14:textId="77777777" w:rsidR="00C8515B" w:rsidRDefault="00C8515B">
      <w:pPr>
        <w:pStyle w:val="TOC3"/>
        <w:rPr>
          <w:rFonts w:asciiTheme="minorHAnsi" w:eastAsiaTheme="minorEastAsia" w:hAnsiTheme="minorHAnsi" w:cstheme="minorBidi"/>
          <w:sz w:val="24"/>
          <w:lang w:val="en-GB"/>
        </w:rPr>
      </w:pPr>
      <w:r>
        <w:t>Risk assessments (question 8)</w:t>
      </w:r>
      <w:r>
        <w:tab/>
      </w:r>
      <w:r>
        <w:fldChar w:fldCharType="begin"/>
      </w:r>
      <w:r>
        <w:instrText xml:space="preserve"> PAGEREF _Toc40956576 \h </w:instrText>
      </w:r>
      <w:r>
        <w:fldChar w:fldCharType="separate"/>
      </w:r>
      <w:r>
        <w:t>503</w:t>
      </w:r>
      <w:r>
        <w:fldChar w:fldCharType="end"/>
      </w:r>
    </w:p>
    <w:p w14:paraId="2EC385A4" w14:textId="77777777" w:rsidR="00C8515B" w:rsidRDefault="00C8515B">
      <w:pPr>
        <w:pStyle w:val="TOC3"/>
        <w:rPr>
          <w:rFonts w:asciiTheme="minorHAnsi" w:eastAsiaTheme="minorEastAsia" w:hAnsiTheme="minorHAnsi" w:cstheme="minorBidi"/>
          <w:sz w:val="24"/>
          <w:lang w:val="en-GB"/>
        </w:rPr>
      </w:pPr>
      <w:r>
        <w:t>Lifestyle counselling (question 9)</w:t>
      </w:r>
      <w:r>
        <w:tab/>
      </w:r>
      <w:r>
        <w:fldChar w:fldCharType="begin"/>
      </w:r>
      <w:r>
        <w:instrText xml:space="preserve"> PAGEREF _Toc40956577 \h </w:instrText>
      </w:r>
      <w:r>
        <w:fldChar w:fldCharType="separate"/>
      </w:r>
      <w:r>
        <w:t>506</w:t>
      </w:r>
      <w:r>
        <w:fldChar w:fldCharType="end"/>
      </w:r>
    </w:p>
    <w:p w14:paraId="1DEAC28A" w14:textId="77777777" w:rsidR="00C8515B" w:rsidRDefault="00C8515B" w:rsidP="00C8515B">
      <w:pPr>
        <w:pStyle w:val="TOC1"/>
        <w:rPr>
          <w:rFonts w:asciiTheme="minorHAnsi" w:eastAsiaTheme="minorEastAsia" w:hAnsiTheme="minorHAnsi" w:cstheme="minorBidi"/>
          <w:color w:val="auto"/>
          <w:sz w:val="24"/>
          <w:lang w:val="en-GB"/>
        </w:rPr>
      </w:pPr>
      <w:r>
        <w:t>References</w:t>
      </w:r>
      <w:r>
        <w:tab/>
      </w:r>
      <w:r>
        <w:fldChar w:fldCharType="begin"/>
      </w:r>
      <w:r>
        <w:instrText xml:space="preserve"> PAGEREF _Toc40956578 \h </w:instrText>
      </w:r>
      <w:r>
        <w:fldChar w:fldCharType="separate"/>
      </w:r>
      <w:r>
        <w:t>509</w:t>
      </w:r>
      <w:r>
        <w:fldChar w:fldCharType="end"/>
      </w:r>
    </w:p>
    <w:p w14:paraId="53FF8113" w14:textId="31F83B48" w:rsidR="00143B15" w:rsidRDefault="00834372" w:rsidP="004A5194">
      <w:pPr>
        <w:rPr>
          <w:b/>
          <w:noProof/>
          <w:color w:val="4472C4" w:themeColor="accent1"/>
          <w:lang w:val="en-AU"/>
        </w:rPr>
      </w:pPr>
      <w:r>
        <w:rPr>
          <w:b/>
          <w:noProof/>
          <w:color w:val="4472C4" w:themeColor="accent1"/>
          <w:lang w:val="en-AU"/>
        </w:rPr>
        <w:fldChar w:fldCharType="end"/>
      </w:r>
      <w:r w:rsidR="00143B15">
        <w:rPr>
          <w:b/>
          <w:noProof/>
          <w:color w:val="4472C4" w:themeColor="accent1"/>
          <w:lang w:val="en-AU"/>
        </w:rPr>
        <w:t>List of tables</w:t>
      </w:r>
    </w:p>
    <w:p w14:paraId="43F86F84" w14:textId="77777777" w:rsidR="00C8515B" w:rsidRDefault="00143B15" w:rsidP="00C8515B">
      <w:pPr>
        <w:pStyle w:val="TOC4"/>
        <w:rPr>
          <w:rFonts w:asciiTheme="minorHAnsi" w:eastAsiaTheme="minorEastAsia" w:hAnsiTheme="minorHAnsi" w:cstheme="minorBidi"/>
          <w:sz w:val="24"/>
          <w:lang w:val="en-GB"/>
        </w:rPr>
      </w:pPr>
      <w:r>
        <w:fldChar w:fldCharType="begin"/>
      </w:r>
      <w:r>
        <w:instrText xml:space="preserve"> TOC \t "TableName,4" </w:instrText>
      </w:r>
      <w:r>
        <w:fldChar w:fldCharType="separate"/>
      </w:r>
      <w:r w:rsidR="00C8515B">
        <w:t>Table 1:</w:t>
      </w:r>
      <w:r w:rsidR="00C8515B">
        <w:rPr>
          <w:rFonts w:asciiTheme="minorHAnsi" w:eastAsiaTheme="minorEastAsia" w:hAnsiTheme="minorHAnsi" w:cstheme="minorBidi"/>
          <w:sz w:val="24"/>
          <w:lang w:val="en-GB"/>
        </w:rPr>
        <w:tab/>
      </w:r>
      <w:r w:rsidR="00C8515B">
        <w:t>Mapping of searches to research questions and type of review</w:t>
      </w:r>
      <w:r w:rsidR="00C8515B">
        <w:tab/>
      </w:r>
      <w:r w:rsidR="00C8515B">
        <w:fldChar w:fldCharType="begin"/>
      </w:r>
      <w:r w:rsidR="00C8515B">
        <w:instrText xml:space="preserve"> PAGEREF _Toc40956579 \h </w:instrText>
      </w:r>
      <w:r w:rsidR="00C8515B">
        <w:fldChar w:fldCharType="separate"/>
      </w:r>
      <w:r w:rsidR="00C8515B">
        <w:t>8</w:t>
      </w:r>
      <w:r w:rsidR="00C8515B">
        <w:fldChar w:fldCharType="end"/>
      </w:r>
    </w:p>
    <w:p w14:paraId="2CDAE150" w14:textId="77777777" w:rsidR="00C8515B" w:rsidRDefault="00C8515B" w:rsidP="00C8515B">
      <w:pPr>
        <w:pStyle w:val="TOC4"/>
        <w:rPr>
          <w:rFonts w:asciiTheme="minorHAnsi" w:eastAsiaTheme="minorEastAsia" w:hAnsiTheme="minorHAnsi" w:cstheme="minorBidi"/>
          <w:sz w:val="24"/>
          <w:lang w:val="en-GB"/>
        </w:rPr>
      </w:pPr>
      <w:r>
        <w:t>Table 2:</w:t>
      </w:r>
      <w:r>
        <w:rPr>
          <w:rFonts w:asciiTheme="minorHAnsi" w:eastAsiaTheme="minorEastAsia" w:hAnsiTheme="minorHAnsi" w:cstheme="minorBidi"/>
          <w:sz w:val="24"/>
          <w:lang w:val="en-GB"/>
        </w:rPr>
        <w:tab/>
      </w:r>
      <w:r>
        <w:t>PICO criteria for inclusion of studies in meta-analyses</w:t>
      </w:r>
      <w:r>
        <w:tab/>
      </w:r>
      <w:r>
        <w:fldChar w:fldCharType="begin"/>
      </w:r>
      <w:r>
        <w:instrText xml:space="preserve"> PAGEREF _Toc40956580 \h </w:instrText>
      </w:r>
      <w:r>
        <w:fldChar w:fldCharType="separate"/>
      </w:r>
      <w:r>
        <w:t>9</w:t>
      </w:r>
      <w:r>
        <w:fldChar w:fldCharType="end"/>
      </w:r>
    </w:p>
    <w:p w14:paraId="6402830A" w14:textId="77777777" w:rsidR="00C8515B" w:rsidRDefault="00C8515B" w:rsidP="00C8515B">
      <w:pPr>
        <w:pStyle w:val="TOC4"/>
        <w:rPr>
          <w:rFonts w:asciiTheme="minorHAnsi" w:eastAsiaTheme="minorEastAsia" w:hAnsiTheme="minorHAnsi" w:cstheme="minorBidi"/>
          <w:sz w:val="24"/>
          <w:lang w:val="en-GB"/>
        </w:rPr>
      </w:pPr>
      <w:r>
        <w:t>Table 3:</w:t>
      </w:r>
      <w:r>
        <w:rPr>
          <w:rFonts w:asciiTheme="minorHAnsi" w:eastAsiaTheme="minorEastAsia" w:hAnsiTheme="minorHAnsi" w:cstheme="minorBidi"/>
          <w:sz w:val="24"/>
          <w:lang w:val="en-GB"/>
        </w:rPr>
        <w:tab/>
      </w:r>
      <w:r>
        <w:t>Probiotics — maternal outcomes</w:t>
      </w:r>
      <w:r>
        <w:tab/>
      </w:r>
      <w:r>
        <w:fldChar w:fldCharType="begin"/>
      </w:r>
      <w:r>
        <w:instrText xml:space="preserve"> PAGEREF _Toc40956581 \h </w:instrText>
      </w:r>
      <w:r>
        <w:fldChar w:fldCharType="separate"/>
      </w:r>
      <w:r>
        <w:t>10</w:t>
      </w:r>
      <w:r>
        <w:fldChar w:fldCharType="end"/>
      </w:r>
    </w:p>
    <w:p w14:paraId="4F6A13B0" w14:textId="77777777" w:rsidR="00C8515B" w:rsidRDefault="00C8515B" w:rsidP="00C8515B">
      <w:pPr>
        <w:pStyle w:val="TOC4"/>
        <w:rPr>
          <w:rFonts w:asciiTheme="minorHAnsi" w:eastAsiaTheme="minorEastAsia" w:hAnsiTheme="minorHAnsi" w:cstheme="minorBidi"/>
          <w:sz w:val="24"/>
          <w:lang w:val="en-GB"/>
        </w:rPr>
      </w:pPr>
      <w:r>
        <w:t>Table 4:</w:t>
      </w:r>
      <w:r>
        <w:rPr>
          <w:rFonts w:asciiTheme="minorHAnsi" w:eastAsiaTheme="minorEastAsia" w:hAnsiTheme="minorHAnsi" w:cstheme="minorBidi"/>
          <w:sz w:val="24"/>
          <w:lang w:val="en-GB"/>
        </w:rPr>
        <w:tab/>
      </w:r>
      <w:r>
        <w:t>Probiotics — infant outcomes</w:t>
      </w:r>
      <w:r>
        <w:tab/>
      </w:r>
      <w:r>
        <w:fldChar w:fldCharType="begin"/>
      </w:r>
      <w:r>
        <w:instrText xml:space="preserve"> PAGEREF _Toc40956582 \h </w:instrText>
      </w:r>
      <w:r>
        <w:fldChar w:fldCharType="separate"/>
      </w:r>
      <w:r>
        <w:t>10</w:t>
      </w:r>
      <w:r>
        <w:fldChar w:fldCharType="end"/>
      </w:r>
    </w:p>
    <w:p w14:paraId="338226D9" w14:textId="77777777" w:rsidR="00C8515B" w:rsidRDefault="00C8515B" w:rsidP="00C8515B">
      <w:pPr>
        <w:pStyle w:val="TOC4"/>
        <w:rPr>
          <w:rFonts w:asciiTheme="minorHAnsi" w:eastAsiaTheme="minorEastAsia" w:hAnsiTheme="minorHAnsi" w:cstheme="minorBidi"/>
          <w:sz w:val="24"/>
          <w:lang w:val="en-GB"/>
        </w:rPr>
      </w:pPr>
      <w:r>
        <w:t>Table 5:</w:t>
      </w:r>
      <w:r>
        <w:rPr>
          <w:rFonts w:asciiTheme="minorHAnsi" w:eastAsiaTheme="minorEastAsia" w:hAnsiTheme="minorHAnsi" w:cstheme="minorBidi"/>
          <w:sz w:val="24"/>
          <w:lang w:val="en-GB"/>
        </w:rPr>
        <w:tab/>
      </w:r>
      <w:r>
        <w:t>Weight monitoring — maternal and infant outcomes</w:t>
      </w:r>
      <w:r>
        <w:tab/>
      </w:r>
      <w:r>
        <w:fldChar w:fldCharType="begin"/>
      </w:r>
      <w:r>
        <w:instrText xml:space="preserve"> PAGEREF _Toc40956583 \h </w:instrText>
      </w:r>
      <w:r>
        <w:fldChar w:fldCharType="separate"/>
      </w:r>
      <w:r>
        <w:t>10</w:t>
      </w:r>
      <w:r>
        <w:fldChar w:fldCharType="end"/>
      </w:r>
    </w:p>
    <w:p w14:paraId="2319197E" w14:textId="77777777" w:rsidR="00C8515B" w:rsidRDefault="00C8515B" w:rsidP="00C8515B">
      <w:pPr>
        <w:pStyle w:val="TOC4"/>
        <w:rPr>
          <w:rFonts w:asciiTheme="minorHAnsi" w:eastAsiaTheme="minorEastAsia" w:hAnsiTheme="minorHAnsi" w:cstheme="minorBidi"/>
          <w:sz w:val="24"/>
          <w:lang w:val="en-GB"/>
        </w:rPr>
      </w:pPr>
      <w:r>
        <w:t>Table 6:</w:t>
      </w:r>
      <w:r>
        <w:rPr>
          <w:rFonts w:asciiTheme="minorHAnsi" w:eastAsiaTheme="minorEastAsia" w:hAnsiTheme="minorHAnsi" w:cstheme="minorBidi"/>
          <w:sz w:val="24"/>
          <w:lang w:val="en-GB"/>
        </w:rPr>
        <w:tab/>
      </w:r>
      <w:r>
        <w:t>Interventions to prevent weight gain — maternal outcomes</w:t>
      </w:r>
      <w:r>
        <w:tab/>
      </w:r>
      <w:r>
        <w:fldChar w:fldCharType="begin"/>
      </w:r>
      <w:r>
        <w:instrText xml:space="preserve"> PAGEREF _Toc40956584 \h </w:instrText>
      </w:r>
      <w:r>
        <w:fldChar w:fldCharType="separate"/>
      </w:r>
      <w:r>
        <w:t>11</w:t>
      </w:r>
      <w:r>
        <w:fldChar w:fldCharType="end"/>
      </w:r>
    </w:p>
    <w:p w14:paraId="14F3B544" w14:textId="77777777" w:rsidR="00C8515B" w:rsidRDefault="00C8515B" w:rsidP="00C8515B">
      <w:pPr>
        <w:pStyle w:val="TOC4"/>
        <w:rPr>
          <w:rFonts w:asciiTheme="minorHAnsi" w:eastAsiaTheme="minorEastAsia" w:hAnsiTheme="minorHAnsi" w:cstheme="minorBidi"/>
          <w:sz w:val="24"/>
          <w:lang w:val="en-GB"/>
        </w:rPr>
      </w:pPr>
      <w:r>
        <w:t>Table 7:</w:t>
      </w:r>
      <w:r>
        <w:rPr>
          <w:rFonts w:asciiTheme="minorHAnsi" w:eastAsiaTheme="minorEastAsia" w:hAnsiTheme="minorHAnsi" w:cstheme="minorBidi"/>
          <w:sz w:val="24"/>
          <w:lang w:val="en-GB"/>
        </w:rPr>
        <w:tab/>
      </w:r>
      <w:r>
        <w:t>Interventions to prevent gestational weight gain — infant outcomes</w:t>
      </w:r>
      <w:r>
        <w:tab/>
      </w:r>
      <w:r>
        <w:fldChar w:fldCharType="begin"/>
      </w:r>
      <w:r>
        <w:instrText xml:space="preserve"> PAGEREF _Toc40956585 \h </w:instrText>
      </w:r>
      <w:r>
        <w:fldChar w:fldCharType="separate"/>
      </w:r>
      <w:r>
        <w:t>11</w:t>
      </w:r>
      <w:r>
        <w:fldChar w:fldCharType="end"/>
      </w:r>
    </w:p>
    <w:p w14:paraId="647DB7E9" w14:textId="77777777" w:rsidR="00C8515B" w:rsidRDefault="00C8515B" w:rsidP="00C8515B">
      <w:pPr>
        <w:pStyle w:val="TOC4"/>
        <w:rPr>
          <w:rFonts w:asciiTheme="minorHAnsi" w:eastAsiaTheme="minorEastAsia" w:hAnsiTheme="minorHAnsi" w:cstheme="minorBidi"/>
          <w:sz w:val="24"/>
          <w:lang w:val="en-GB"/>
        </w:rPr>
      </w:pPr>
      <w:r>
        <w:t>Table 8:</w:t>
      </w:r>
      <w:r>
        <w:rPr>
          <w:rFonts w:asciiTheme="minorHAnsi" w:eastAsiaTheme="minorEastAsia" w:hAnsiTheme="minorHAnsi" w:cstheme="minorBidi"/>
          <w:sz w:val="24"/>
          <w:lang w:val="en-GB"/>
        </w:rPr>
        <w:tab/>
      </w:r>
      <w:r>
        <w:t>Assessment of quality of systematic literature reviews</w:t>
      </w:r>
      <w:r>
        <w:tab/>
      </w:r>
      <w:r>
        <w:fldChar w:fldCharType="begin"/>
      </w:r>
      <w:r>
        <w:instrText xml:space="preserve"> PAGEREF _Toc40956586 \h </w:instrText>
      </w:r>
      <w:r>
        <w:fldChar w:fldCharType="separate"/>
      </w:r>
      <w:r>
        <w:t>11</w:t>
      </w:r>
      <w:r>
        <w:fldChar w:fldCharType="end"/>
      </w:r>
    </w:p>
    <w:p w14:paraId="4605470D" w14:textId="77777777" w:rsidR="00C8515B" w:rsidRDefault="00C8515B" w:rsidP="00C8515B">
      <w:pPr>
        <w:pStyle w:val="TOC4"/>
        <w:rPr>
          <w:rFonts w:asciiTheme="minorHAnsi" w:eastAsiaTheme="minorEastAsia" w:hAnsiTheme="minorHAnsi" w:cstheme="minorBidi"/>
          <w:sz w:val="24"/>
          <w:lang w:val="en-GB"/>
        </w:rPr>
      </w:pPr>
      <w:r>
        <w:t>Table 9:</w:t>
      </w:r>
      <w:r>
        <w:rPr>
          <w:rFonts w:asciiTheme="minorHAnsi" w:eastAsiaTheme="minorEastAsia" w:hAnsiTheme="minorHAnsi" w:cstheme="minorBidi"/>
          <w:sz w:val="24"/>
          <w:lang w:val="en-GB"/>
        </w:rPr>
        <w:tab/>
      </w:r>
      <w:r>
        <w:t>Assessment of limitations of randomised controlled trials</w:t>
      </w:r>
      <w:r>
        <w:tab/>
      </w:r>
      <w:r>
        <w:fldChar w:fldCharType="begin"/>
      </w:r>
      <w:r>
        <w:instrText xml:space="preserve"> PAGEREF _Toc40956587 \h </w:instrText>
      </w:r>
      <w:r>
        <w:fldChar w:fldCharType="separate"/>
      </w:r>
      <w:r>
        <w:t>12</w:t>
      </w:r>
      <w:r>
        <w:fldChar w:fldCharType="end"/>
      </w:r>
    </w:p>
    <w:p w14:paraId="53839CA8" w14:textId="77777777" w:rsidR="00C8515B" w:rsidRDefault="00C8515B" w:rsidP="00C8515B">
      <w:pPr>
        <w:pStyle w:val="TOC4"/>
        <w:rPr>
          <w:rFonts w:asciiTheme="minorHAnsi" w:eastAsiaTheme="minorEastAsia" w:hAnsiTheme="minorHAnsi" w:cstheme="minorBidi"/>
          <w:sz w:val="24"/>
          <w:lang w:val="en-GB"/>
        </w:rPr>
      </w:pPr>
      <w:r>
        <w:t>Table 10:</w:t>
      </w:r>
      <w:r>
        <w:rPr>
          <w:rFonts w:asciiTheme="minorHAnsi" w:eastAsiaTheme="minorEastAsia" w:hAnsiTheme="minorHAnsi" w:cstheme="minorBidi"/>
          <w:sz w:val="24"/>
          <w:lang w:val="en-GB"/>
        </w:rPr>
        <w:tab/>
      </w:r>
      <w:r>
        <w:t>Q1 Dietary patterns in pregnancy — systematic reviews</w:t>
      </w:r>
      <w:r>
        <w:tab/>
      </w:r>
      <w:r>
        <w:fldChar w:fldCharType="begin"/>
      </w:r>
      <w:r>
        <w:instrText xml:space="preserve"> PAGEREF _Toc40956588 \h </w:instrText>
      </w:r>
      <w:r>
        <w:fldChar w:fldCharType="separate"/>
      </w:r>
      <w:r>
        <w:t>18</w:t>
      </w:r>
      <w:r>
        <w:fldChar w:fldCharType="end"/>
      </w:r>
    </w:p>
    <w:p w14:paraId="7B1DB830" w14:textId="77777777" w:rsidR="00C8515B" w:rsidRDefault="00C8515B" w:rsidP="00C8515B">
      <w:pPr>
        <w:pStyle w:val="TOC4"/>
        <w:rPr>
          <w:rFonts w:asciiTheme="minorHAnsi" w:eastAsiaTheme="minorEastAsia" w:hAnsiTheme="minorHAnsi" w:cstheme="minorBidi"/>
          <w:sz w:val="24"/>
          <w:lang w:val="en-GB"/>
        </w:rPr>
      </w:pPr>
      <w:r>
        <w:t>Table 11:</w:t>
      </w:r>
      <w:r>
        <w:rPr>
          <w:rFonts w:asciiTheme="minorHAnsi" w:eastAsiaTheme="minorEastAsia" w:hAnsiTheme="minorHAnsi" w:cstheme="minorBidi"/>
          <w:sz w:val="24"/>
          <w:lang w:val="en-GB"/>
        </w:rPr>
        <w:tab/>
      </w:r>
      <w:r>
        <w:t>Q1 Dietary patterns in pregnancy — RCT</w:t>
      </w:r>
      <w:r>
        <w:tab/>
      </w:r>
      <w:r>
        <w:fldChar w:fldCharType="begin"/>
      </w:r>
      <w:r>
        <w:instrText xml:space="preserve"> PAGEREF _Toc40956589 \h </w:instrText>
      </w:r>
      <w:r>
        <w:fldChar w:fldCharType="separate"/>
      </w:r>
      <w:r>
        <w:t>21</w:t>
      </w:r>
      <w:r>
        <w:fldChar w:fldCharType="end"/>
      </w:r>
    </w:p>
    <w:p w14:paraId="3E2FFD80" w14:textId="77777777" w:rsidR="00C8515B" w:rsidRDefault="00C8515B" w:rsidP="00C8515B">
      <w:pPr>
        <w:pStyle w:val="TOC4"/>
        <w:rPr>
          <w:rFonts w:asciiTheme="minorHAnsi" w:eastAsiaTheme="minorEastAsia" w:hAnsiTheme="minorHAnsi" w:cstheme="minorBidi"/>
          <w:sz w:val="24"/>
          <w:lang w:val="en-GB"/>
        </w:rPr>
      </w:pPr>
      <w:r>
        <w:t>Table 12:</w:t>
      </w:r>
      <w:r>
        <w:rPr>
          <w:rFonts w:asciiTheme="minorHAnsi" w:eastAsiaTheme="minorEastAsia" w:hAnsiTheme="minorHAnsi" w:cstheme="minorBidi"/>
          <w:sz w:val="24"/>
          <w:lang w:val="en-GB"/>
        </w:rPr>
        <w:tab/>
      </w:r>
      <w:r>
        <w:t>Q1 Dietary patterns in pregnancy — observational studies</w:t>
      </w:r>
      <w:r>
        <w:tab/>
      </w:r>
      <w:r>
        <w:fldChar w:fldCharType="begin"/>
      </w:r>
      <w:r>
        <w:instrText xml:space="preserve"> PAGEREF _Toc40956590 \h </w:instrText>
      </w:r>
      <w:r>
        <w:fldChar w:fldCharType="separate"/>
      </w:r>
      <w:r>
        <w:t>22</w:t>
      </w:r>
      <w:r>
        <w:fldChar w:fldCharType="end"/>
      </w:r>
    </w:p>
    <w:p w14:paraId="521CFF46" w14:textId="77777777" w:rsidR="00C8515B" w:rsidRDefault="00C8515B" w:rsidP="00C8515B">
      <w:pPr>
        <w:pStyle w:val="TOC4"/>
        <w:rPr>
          <w:rFonts w:asciiTheme="minorHAnsi" w:eastAsiaTheme="minorEastAsia" w:hAnsiTheme="minorHAnsi" w:cstheme="minorBidi"/>
          <w:sz w:val="24"/>
          <w:lang w:val="en-GB"/>
        </w:rPr>
      </w:pPr>
      <w:r>
        <w:t>Table 13:</w:t>
      </w:r>
      <w:r>
        <w:rPr>
          <w:rFonts w:asciiTheme="minorHAnsi" w:eastAsiaTheme="minorEastAsia" w:hAnsiTheme="minorHAnsi" w:cstheme="minorBidi"/>
          <w:sz w:val="24"/>
          <w:lang w:val="en-GB"/>
        </w:rPr>
        <w:tab/>
      </w:r>
      <w:r>
        <w:t>Q1 Mediterranean diet in pregnancy — systematic reviews</w:t>
      </w:r>
      <w:r>
        <w:tab/>
      </w:r>
      <w:r>
        <w:fldChar w:fldCharType="begin"/>
      </w:r>
      <w:r>
        <w:instrText xml:space="preserve"> PAGEREF _Toc40956591 \h </w:instrText>
      </w:r>
      <w:r>
        <w:fldChar w:fldCharType="separate"/>
      </w:r>
      <w:r>
        <w:t>33</w:t>
      </w:r>
      <w:r>
        <w:fldChar w:fldCharType="end"/>
      </w:r>
    </w:p>
    <w:p w14:paraId="3D7A1039" w14:textId="77777777" w:rsidR="00C8515B" w:rsidRDefault="00C8515B" w:rsidP="00C8515B">
      <w:pPr>
        <w:pStyle w:val="TOC4"/>
        <w:rPr>
          <w:rFonts w:asciiTheme="minorHAnsi" w:eastAsiaTheme="minorEastAsia" w:hAnsiTheme="minorHAnsi" w:cstheme="minorBidi"/>
          <w:sz w:val="24"/>
          <w:lang w:val="en-GB"/>
        </w:rPr>
      </w:pPr>
      <w:r>
        <w:t>Table 14:</w:t>
      </w:r>
      <w:r>
        <w:rPr>
          <w:rFonts w:asciiTheme="minorHAnsi" w:eastAsiaTheme="minorEastAsia" w:hAnsiTheme="minorHAnsi" w:cstheme="minorBidi"/>
          <w:sz w:val="24"/>
          <w:lang w:val="en-GB"/>
        </w:rPr>
        <w:tab/>
      </w:r>
      <w:r>
        <w:t>Q1 Mediterranean diet in pregnancy — RCT</w:t>
      </w:r>
      <w:r>
        <w:tab/>
      </w:r>
      <w:r>
        <w:fldChar w:fldCharType="begin"/>
      </w:r>
      <w:r>
        <w:instrText xml:space="preserve"> PAGEREF _Toc40956592 \h </w:instrText>
      </w:r>
      <w:r>
        <w:fldChar w:fldCharType="separate"/>
      </w:r>
      <w:r>
        <w:t>35</w:t>
      </w:r>
      <w:r>
        <w:fldChar w:fldCharType="end"/>
      </w:r>
    </w:p>
    <w:p w14:paraId="0ECD34D9" w14:textId="77777777" w:rsidR="00C8515B" w:rsidRDefault="00C8515B" w:rsidP="00C8515B">
      <w:pPr>
        <w:pStyle w:val="TOC4"/>
        <w:rPr>
          <w:rFonts w:asciiTheme="minorHAnsi" w:eastAsiaTheme="minorEastAsia" w:hAnsiTheme="minorHAnsi" w:cstheme="minorBidi"/>
          <w:sz w:val="24"/>
          <w:lang w:val="en-GB"/>
        </w:rPr>
      </w:pPr>
      <w:r>
        <w:t>Table 15:</w:t>
      </w:r>
      <w:r>
        <w:rPr>
          <w:rFonts w:asciiTheme="minorHAnsi" w:eastAsiaTheme="minorEastAsia" w:hAnsiTheme="minorHAnsi" w:cstheme="minorBidi"/>
          <w:sz w:val="24"/>
          <w:lang w:val="en-GB"/>
        </w:rPr>
        <w:tab/>
      </w:r>
      <w:r>
        <w:t>Q1 Mediterranean diet in pregnancy — observational studies</w:t>
      </w:r>
      <w:r>
        <w:tab/>
      </w:r>
      <w:r>
        <w:fldChar w:fldCharType="begin"/>
      </w:r>
      <w:r>
        <w:instrText xml:space="preserve"> PAGEREF _Toc40956593 \h </w:instrText>
      </w:r>
      <w:r>
        <w:fldChar w:fldCharType="separate"/>
      </w:r>
      <w:r>
        <w:t>38</w:t>
      </w:r>
      <w:r>
        <w:fldChar w:fldCharType="end"/>
      </w:r>
    </w:p>
    <w:p w14:paraId="71713003" w14:textId="77777777" w:rsidR="00C8515B" w:rsidRDefault="00C8515B" w:rsidP="00C8515B">
      <w:pPr>
        <w:pStyle w:val="TOC4"/>
        <w:rPr>
          <w:rFonts w:asciiTheme="minorHAnsi" w:eastAsiaTheme="minorEastAsia" w:hAnsiTheme="minorHAnsi" w:cstheme="minorBidi"/>
          <w:sz w:val="24"/>
          <w:lang w:val="en-GB"/>
        </w:rPr>
      </w:pPr>
      <w:r>
        <w:t>Table 16:</w:t>
      </w:r>
      <w:r>
        <w:rPr>
          <w:rFonts w:asciiTheme="minorHAnsi" w:eastAsiaTheme="minorEastAsia" w:hAnsiTheme="minorHAnsi" w:cstheme="minorBidi"/>
          <w:sz w:val="24"/>
          <w:lang w:val="en-GB"/>
        </w:rPr>
        <w:tab/>
      </w:r>
      <w:r>
        <w:t>Q1 Dietary Approaches to Stop Hypertension (DASH)</w:t>
      </w:r>
      <w:r w:rsidRPr="00B20332">
        <w:rPr>
          <w:rFonts w:eastAsiaTheme="majorEastAsia"/>
        </w:rPr>
        <w:t> </w:t>
      </w:r>
      <w:r>
        <w:t>diet in pregnancy — systematic reviews</w:t>
      </w:r>
      <w:r>
        <w:tab/>
      </w:r>
      <w:r>
        <w:fldChar w:fldCharType="begin"/>
      </w:r>
      <w:r>
        <w:instrText xml:space="preserve"> PAGEREF _Toc40956594 \h </w:instrText>
      </w:r>
      <w:r>
        <w:fldChar w:fldCharType="separate"/>
      </w:r>
      <w:r>
        <w:t>43</w:t>
      </w:r>
      <w:r>
        <w:fldChar w:fldCharType="end"/>
      </w:r>
    </w:p>
    <w:p w14:paraId="1E4BD25C" w14:textId="77777777" w:rsidR="00C8515B" w:rsidRDefault="00C8515B" w:rsidP="00C8515B">
      <w:pPr>
        <w:pStyle w:val="TOC4"/>
        <w:rPr>
          <w:rFonts w:asciiTheme="minorHAnsi" w:eastAsiaTheme="minorEastAsia" w:hAnsiTheme="minorHAnsi" w:cstheme="minorBidi"/>
          <w:sz w:val="24"/>
          <w:lang w:val="en-GB"/>
        </w:rPr>
      </w:pPr>
      <w:r>
        <w:t>Table 17:</w:t>
      </w:r>
      <w:r>
        <w:rPr>
          <w:rFonts w:asciiTheme="minorHAnsi" w:eastAsiaTheme="minorEastAsia" w:hAnsiTheme="minorHAnsi" w:cstheme="minorBidi"/>
          <w:sz w:val="24"/>
          <w:lang w:val="en-GB"/>
        </w:rPr>
        <w:tab/>
      </w:r>
      <w:r>
        <w:t>Q1 Dietary Approaches to Stop Hypertension (DASH)</w:t>
      </w:r>
      <w:r w:rsidRPr="00B20332">
        <w:rPr>
          <w:rFonts w:eastAsiaTheme="majorEastAsia"/>
        </w:rPr>
        <w:t> </w:t>
      </w:r>
      <w:r>
        <w:t>diet in pregnancy — observational studies</w:t>
      </w:r>
      <w:r>
        <w:tab/>
      </w:r>
      <w:r>
        <w:fldChar w:fldCharType="begin"/>
      </w:r>
      <w:r>
        <w:instrText xml:space="preserve"> PAGEREF _Toc40956595 \h </w:instrText>
      </w:r>
      <w:r>
        <w:fldChar w:fldCharType="separate"/>
      </w:r>
      <w:r>
        <w:t>44</w:t>
      </w:r>
      <w:r>
        <w:fldChar w:fldCharType="end"/>
      </w:r>
    </w:p>
    <w:p w14:paraId="5DD1E338" w14:textId="77777777" w:rsidR="00C8515B" w:rsidRDefault="00C8515B" w:rsidP="00C8515B">
      <w:pPr>
        <w:pStyle w:val="TOC4"/>
        <w:rPr>
          <w:rFonts w:asciiTheme="minorHAnsi" w:eastAsiaTheme="minorEastAsia" w:hAnsiTheme="minorHAnsi" w:cstheme="minorBidi"/>
          <w:sz w:val="24"/>
          <w:lang w:val="en-GB"/>
        </w:rPr>
      </w:pPr>
      <w:r>
        <w:t>Table 18:</w:t>
      </w:r>
      <w:r>
        <w:rPr>
          <w:rFonts w:asciiTheme="minorHAnsi" w:eastAsiaTheme="minorEastAsia" w:hAnsiTheme="minorHAnsi" w:cstheme="minorBidi"/>
          <w:sz w:val="24"/>
          <w:lang w:val="en-GB"/>
        </w:rPr>
        <w:tab/>
      </w:r>
      <w:r>
        <w:t>Q1 Vegetarian or vegan diets in pregnancy — systematic reviews</w:t>
      </w:r>
      <w:r>
        <w:tab/>
      </w:r>
      <w:r>
        <w:fldChar w:fldCharType="begin"/>
      </w:r>
      <w:r>
        <w:instrText xml:space="preserve"> PAGEREF _Toc40956596 \h </w:instrText>
      </w:r>
      <w:r>
        <w:fldChar w:fldCharType="separate"/>
      </w:r>
      <w:r>
        <w:t>45</w:t>
      </w:r>
      <w:r>
        <w:fldChar w:fldCharType="end"/>
      </w:r>
    </w:p>
    <w:p w14:paraId="5806C657" w14:textId="77777777" w:rsidR="00C8515B" w:rsidRDefault="00C8515B" w:rsidP="00C8515B">
      <w:pPr>
        <w:pStyle w:val="TOC4"/>
        <w:rPr>
          <w:rFonts w:asciiTheme="minorHAnsi" w:eastAsiaTheme="minorEastAsia" w:hAnsiTheme="minorHAnsi" w:cstheme="minorBidi"/>
          <w:sz w:val="24"/>
          <w:lang w:val="en-GB"/>
        </w:rPr>
      </w:pPr>
      <w:r>
        <w:t>Table 19:</w:t>
      </w:r>
      <w:r>
        <w:rPr>
          <w:rFonts w:asciiTheme="minorHAnsi" w:eastAsiaTheme="minorEastAsia" w:hAnsiTheme="minorHAnsi" w:cstheme="minorBidi"/>
          <w:sz w:val="24"/>
          <w:lang w:val="en-GB"/>
        </w:rPr>
        <w:tab/>
      </w:r>
      <w:r>
        <w:t>Q1 Vegetarian or vegan diets in pregnancy — observational studies</w:t>
      </w:r>
      <w:r>
        <w:tab/>
      </w:r>
      <w:r>
        <w:fldChar w:fldCharType="begin"/>
      </w:r>
      <w:r>
        <w:instrText xml:space="preserve"> PAGEREF _Toc40956597 \h </w:instrText>
      </w:r>
      <w:r>
        <w:fldChar w:fldCharType="separate"/>
      </w:r>
      <w:r>
        <w:t>47</w:t>
      </w:r>
      <w:r>
        <w:fldChar w:fldCharType="end"/>
      </w:r>
    </w:p>
    <w:p w14:paraId="16F3E022" w14:textId="77777777" w:rsidR="00C8515B" w:rsidRDefault="00C8515B" w:rsidP="00C8515B">
      <w:pPr>
        <w:pStyle w:val="TOC4"/>
        <w:rPr>
          <w:rFonts w:asciiTheme="minorHAnsi" w:eastAsiaTheme="minorEastAsia" w:hAnsiTheme="minorHAnsi" w:cstheme="minorBidi"/>
          <w:sz w:val="24"/>
          <w:lang w:val="en-GB"/>
        </w:rPr>
      </w:pPr>
      <w:r>
        <w:t>Table 20:</w:t>
      </w:r>
      <w:r>
        <w:rPr>
          <w:rFonts w:asciiTheme="minorHAnsi" w:eastAsiaTheme="minorEastAsia" w:hAnsiTheme="minorHAnsi" w:cstheme="minorBidi"/>
          <w:sz w:val="24"/>
          <w:lang w:val="en-GB"/>
        </w:rPr>
        <w:tab/>
      </w:r>
      <w:r>
        <w:t>Q1 Fasting in pregnancy — systematic review</w:t>
      </w:r>
      <w:r>
        <w:tab/>
      </w:r>
      <w:r>
        <w:fldChar w:fldCharType="begin"/>
      </w:r>
      <w:r>
        <w:instrText xml:space="preserve"> PAGEREF _Toc40956598 \h </w:instrText>
      </w:r>
      <w:r>
        <w:fldChar w:fldCharType="separate"/>
      </w:r>
      <w:r>
        <w:t>48</w:t>
      </w:r>
      <w:r>
        <w:fldChar w:fldCharType="end"/>
      </w:r>
    </w:p>
    <w:p w14:paraId="24EA3ABD" w14:textId="77777777" w:rsidR="00C8515B" w:rsidRDefault="00C8515B" w:rsidP="00C8515B">
      <w:pPr>
        <w:pStyle w:val="TOC4"/>
        <w:rPr>
          <w:rFonts w:asciiTheme="minorHAnsi" w:eastAsiaTheme="minorEastAsia" w:hAnsiTheme="minorHAnsi" w:cstheme="minorBidi"/>
          <w:sz w:val="24"/>
          <w:lang w:val="en-GB"/>
        </w:rPr>
      </w:pPr>
      <w:r>
        <w:t>Table 21:</w:t>
      </w:r>
      <w:r>
        <w:rPr>
          <w:rFonts w:asciiTheme="minorHAnsi" w:eastAsiaTheme="minorEastAsia" w:hAnsiTheme="minorHAnsi" w:cstheme="minorBidi"/>
          <w:sz w:val="24"/>
          <w:lang w:val="en-GB"/>
        </w:rPr>
        <w:tab/>
      </w:r>
      <w:r>
        <w:t>Q1 Fasting in pregnancy — observational study</w:t>
      </w:r>
      <w:r>
        <w:tab/>
      </w:r>
      <w:r>
        <w:fldChar w:fldCharType="begin"/>
      </w:r>
      <w:r>
        <w:instrText xml:space="preserve"> PAGEREF _Toc40956599 \h </w:instrText>
      </w:r>
      <w:r>
        <w:fldChar w:fldCharType="separate"/>
      </w:r>
      <w:r>
        <w:t>48</w:t>
      </w:r>
      <w:r>
        <w:fldChar w:fldCharType="end"/>
      </w:r>
    </w:p>
    <w:p w14:paraId="48DC3BF4" w14:textId="77777777" w:rsidR="00C8515B" w:rsidRDefault="00C8515B" w:rsidP="00C8515B">
      <w:pPr>
        <w:pStyle w:val="TOC4"/>
        <w:rPr>
          <w:rFonts w:asciiTheme="minorHAnsi" w:eastAsiaTheme="minorEastAsia" w:hAnsiTheme="minorHAnsi" w:cstheme="minorBidi"/>
          <w:sz w:val="24"/>
          <w:lang w:val="en-GB"/>
        </w:rPr>
      </w:pPr>
      <w:r>
        <w:t>Table 22:</w:t>
      </w:r>
      <w:r>
        <w:rPr>
          <w:rFonts w:asciiTheme="minorHAnsi" w:eastAsiaTheme="minorEastAsia" w:hAnsiTheme="minorHAnsi" w:cstheme="minorBidi"/>
          <w:sz w:val="24"/>
          <w:lang w:val="en-GB"/>
        </w:rPr>
        <w:tab/>
      </w:r>
      <w:r>
        <w:t>Q2 Consumption of fruit and vegetables during pregnancy</w:t>
      </w:r>
      <w:r>
        <w:tab/>
      </w:r>
      <w:r>
        <w:fldChar w:fldCharType="begin"/>
      </w:r>
      <w:r>
        <w:instrText xml:space="preserve"> PAGEREF _Toc40956600 \h </w:instrText>
      </w:r>
      <w:r>
        <w:fldChar w:fldCharType="separate"/>
      </w:r>
      <w:r>
        <w:t>56</w:t>
      </w:r>
      <w:r>
        <w:fldChar w:fldCharType="end"/>
      </w:r>
    </w:p>
    <w:p w14:paraId="43F4CA92" w14:textId="77777777" w:rsidR="00C8515B" w:rsidRDefault="00C8515B" w:rsidP="00C8515B">
      <w:pPr>
        <w:pStyle w:val="TOC4"/>
        <w:rPr>
          <w:rFonts w:asciiTheme="minorHAnsi" w:eastAsiaTheme="minorEastAsia" w:hAnsiTheme="minorHAnsi" w:cstheme="minorBidi"/>
          <w:sz w:val="24"/>
          <w:lang w:val="en-GB"/>
        </w:rPr>
      </w:pPr>
      <w:r>
        <w:t>Table 23:</w:t>
      </w:r>
      <w:r>
        <w:rPr>
          <w:rFonts w:asciiTheme="minorHAnsi" w:eastAsiaTheme="minorEastAsia" w:hAnsiTheme="minorHAnsi" w:cstheme="minorBidi"/>
          <w:sz w:val="24"/>
          <w:lang w:val="en-GB"/>
        </w:rPr>
        <w:tab/>
      </w:r>
      <w:r>
        <w:t>Q2 Consumption of meat during pregnancy</w:t>
      </w:r>
      <w:r>
        <w:tab/>
      </w:r>
      <w:r>
        <w:fldChar w:fldCharType="begin"/>
      </w:r>
      <w:r>
        <w:instrText xml:space="preserve"> PAGEREF _Toc40956601 \h </w:instrText>
      </w:r>
      <w:r>
        <w:fldChar w:fldCharType="separate"/>
      </w:r>
      <w:r>
        <w:t>63</w:t>
      </w:r>
      <w:r>
        <w:fldChar w:fldCharType="end"/>
      </w:r>
    </w:p>
    <w:p w14:paraId="210C0F18" w14:textId="77777777" w:rsidR="00C8515B" w:rsidRDefault="00C8515B" w:rsidP="00C8515B">
      <w:pPr>
        <w:pStyle w:val="TOC4"/>
        <w:rPr>
          <w:rFonts w:asciiTheme="minorHAnsi" w:eastAsiaTheme="minorEastAsia" w:hAnsiTheme="minorHAnsi" w:cstheme="minorBidi"/>
          <w:sz w:val="24"/>
          <w:lang w:val="en-GB"/>
        </w:rPr>
      </w:pPr>
      <w:r>
        <w:t>Table 24:</w:t>
      </w:r>
      <w:r>
        <w:rPr>
          <w:rFonts w:asciiTheme="minorHAnsi" w:eastAsiaTheme="minorEastAsia" w:hAnsiTheme="minorHAnsi" w:cstheme="minorBidi"/>
          <w:sz w:val="24"/>
          <w:lang w:val="en-GB"/>
        </w:rPr>
        <w:tab/>
      </w:r>
      <w:r>
        <w:t>Q2 Consumption of fish during pregnancy</w:t>
      </w:r>
      <w:r>
        <w:tab/>
      </w:r>
      <w:r>
        <w:fldChar w:fldCharType="begin"/>
      </w:r>
      <w:r>
        <w:instrText xml:space="preserve"> PAGEREF _Toc40956602 \h </w:instrText>
      </w:r>
      <w:r>
        <w:fldChar w:fldCharType="separate"/>
      </w:r>
      <w:r>
        <w:t>64</w:t>
      </w:r>
      <w:r>
        <w:fldChar w:fldCharType="end"/>
      </w:r>
    </w:p>
    <w:p w14:paraId="66ABCD34" w14:textId="77777777" w:rsidR="00C8515B" w:rsidRDefault="00C8515B" w:rsidP="00C8515B">
      <w:pPr>
        <w:pStyle w:val="TOC4"/>
        <w:rPr>
          <w:rFonts w:asciiTheme="minorHAnsi" w:eastAsiaTheme="minorEastAsia" w:hAnsiTheme="minorHAnsi" w:cstheme="minorBidi"/>
          <w:sz w:val="24"/>
          <w:lang w:val="en-GB"/>
        </w:rPr>
      </w:pPr>
      <w:r>
        <w:t>Table 25:</w:t>
      </w:r>
      <w:r>
        <w:rPr>
          <w:rFonts w:asciiTheme="minorHAnsi" w:eastAsiaTheme="minorEastAsia" w:hAnsiTheme="minorHAnsi" w:cstheme="minorBidi"/>
          <w:sz w:val="24"/>
          <w:lang w:val="en-GB"/>
        </w:rPr>
        <w:tab/>
      </w:r>
      <w:r>
        <w:t>Q2 Consumption of dairy products during pregnancy</w:t>
      </w:r>
      <w:r>
        <w:tab/>
      </w:r>
      <w:r>
        <w:fldChar w:fldCharType="begin"/>
      </w:r>
      <w:r>
        <w:instrText xml:space="preserve"> PAGEREF _Toc40956603 \h </w:instrText>
      </w:r>
      <w:r>
        <w:fldChar w:fldCharType="separate"/>
      </w:r>
      <w:r>
        <w:t>71</w:t>
      </w:r>
      <w:r>
        <w:fldChar w:fldCharType="end"/>
      </w:r>
    </w:p>
    <w:p w14:paraId="67EC3AA6" w14:textId="77777777" w:rsidR="00C8515B" w:rsidRDefault="00C8515B" w:rsidP="00C8515B">
      <w:pPr>
        <w:pStyle w:val="TOC4"/>
        <w:rPr>
          <w:rFonts w:asciiTheme="minorHAnsi" w:eastAsiaTheme="minorEastAsia" w:hAnsiTheme="minorHAnsi" w:cstheme="minorBidi"/>
          <w:sz w:val="24"/>
          <w:lang w:val="en-GB"/>
        </w:rPr>
      </w:pPr>
      <w:r>
        <w:t>Table 26:</w:t>
      </w:r>
      <w:r>
        <w:rPr>
          <w:rFonts w:asciiTheme="minorHAnsi" w:eastAsiaTheme="minorEastAsia" w:hAnsiTheme="minorHAnsi" w:cstheme="minorBidi"/>
          <w:sz w:val="24"/>
          <w:lang w:val="en-GB"/>
        </w:rPr>
        <w:tab/>
      </w:r>
      <w:r>
        <w:t>Q2 Consumption of carbohydrates during pregnancy</w:t>
      </w:r>
      <w:r>
        <w:tab/>
      </w:r>
      <w:r>
        <w:fldChar w:fldCharType="begin"/>
      </w:r>
      <w:r>
        <w:instrText xml:space="preserve"> PAGEREF _Toc40956604 \h </w:instrText>
      </w:r>
      <w:r>
        <w:fldChar w:fldCharType="separate"/>
      </w:r>
      <w:r>
        <w:t>74</w:t>
      </w:r>
      <w:r>
        <w:fldChar w:fldCharType="end"/>
      </w:r>
    </w:p>
    <w:p w14:paraId="6C92EEAF" w14:textId="77777777" w:rsidR="00C8515B" w:rsidRDefault="00C8515B" w:rsidP="00C8515B">
      <w:pPr>
        <w:pStyle w:val="TOC4"/>
        <w:rPr>
          <w:rFonts w:asciiTheme="minorHAnsi" w:eastAsiaTheme="minorEastAsia" w:hAnsiTheme="minorHAnsi" w:cstheme="minorBidi"/>
          <w:sz w:val="24"/>
          <w:lang w:val="en-GB"/>
        </w:rPr>
      </w:pPr>
      <w:r>
        <w:t>Table 27:</w:t>
      </w:r>
      <w:r>
        <w:rPr>
          <w:rFonts w:asciiTheme="minorHAnsi" w:eastAsiaTheme="minorEastAsia" w:hAnsiTheme="minorHAnsi" w:cstheme="minorBidi"/>
          <w:sz w:val="24"/>
          <w:lang w:val="en-GB"/>
        </w:rPr>
        <w:tab/>
      </w:r>
      <w:r>
        <w:t>Q2 Consumption of protein during pregnancy</w:t>
      </w:r>
      <w:r>
        <w:tab/>
      </w:r>
      <w:r>
        <w:fldChar w:fldCharType="begin"/>
      </w:r>
      <w:r>
        <w:instrText xml:space="preserve"> PAGEREF _Toc40956605 \h </w:instrText>
      </w:r>
      <w:r>
        <w:fldChar w:fldCharType="separate"/>
      </w:r>
      <w:r>
        <w:t>76</w:t>
      </w:r>
      <w:r>
        <w:fldChar w:fldCharType="end"/>
      </w:r>
    </w:p>
    <w:p w14:paraId="5BDB9D7E" w14:textId="77777777" w:rsidR="00C8515B" w:rsidRDefault="00C8515B" w:rsidP="00C8515B">
      <w:pPr>
        <w:pStyle w:val="TOC4"/>
        <w:rPr>
          <w:rFonts w:asciiTheme="minorHAnsi" w:eastAsiaTheme="minorEastAsia" w:hAnsiTheme="minorHAnsi" w:cstheme="minorBidi"/>
          <w:sz w:val="24"/>
          <w:lang w:val="en-GB"/>
        </w:rPr>
      </w:pPr>
      <w:r>
        <w:t>Table 28:</w:t>
      </w:r>
      <w:r>
        <w:rPr>
          <w:rFonts w:asciiTheme="minorHAnsi" w:eastAsiaTheme="minorEastAsia" w:hAnsiTheme="minorHAnsi" w:cstheme="minorBidi"/>
          <w:sz w:val="24"/>
          <w:lang w:val="en-GB"/>
        </w:rPr>
        <w:tab/>
      </w:r>
      <w:r>
        <w:t>Q2 Consumption of fats during pregnancy</w:t>
      </w:r>
      <w:r>
        <w:tab/>
      </w:r>
      <w:r>
        <w:fldChar w:fldCharType="begin"/>
      </w:r>
      <w:r>
        <w:instrText xml:space="preserve"> PAGEREF _Toc40956606 \h </w:instrText>
      </w:r>
      <w:r>
        <w:fldChar w:fldCharType="separate"/>
      </w:r>
      <w:r>
        <w:t>79</w:t>
      </w:r>
      <w:r>
        <w:fldChar w:fldCharType="end"/>
      </w:r>
    </w:p>
    <w:p w14:paraId="1335D699" w14:textId="77777777" w:rsidR="00C8515B" w:rsidRDefault="00C8515B" w:rsidP="00C8515B">
      <w:pPr>
        <w:pStyle w:val="TOC4"/>
        <w:rPr>
          <w:rFonts w:asciiTheme="minorHAnsi" w:eastAsiaTheme="minorEastAsia" w:hAnsiTheme="minorHAnsi" w:cstheme="minorBidi"/>
          <w:sz w:val="24"/>
          <w:lang w:val="en-GB"/>
        </w:rPr>
      </w:pPr>
      <w:r>
        <w:t>Table 29:</w:t>
      </w:r>
      <w:r>
        <w:rPr>
          <w:rFonts w:asciiTheme="minorHAnsi" w:eastAsiaTheme="minorEastAsia" w:hAnsiTheme="minorHAnsi" w:cstheme="minorBidi"/>
          <w:sz w:val="24"/>
          <w:lang w:val="en-GB"/>
        </w:rPr>
        <w:tab/>
      </w:r>
      <w:r>
        <w:t>Q2 Consumption of sweetened foods and beverages during pregnancy</w:t>
      </w:r>
      <w:r>
        <w:tab/>
      </w:r>
      <w:r>
        <w:fldChar w:fldCharType="begin"/>
      </w:r>
      <w:r>
        <w:instrText xml:space="preserve"> PAGEREF _Toc40956607 \h </w:instrText>
      </w:r>
      <w:r>
        <w:fldChar w:fldCharType="separate"/>
      </w:r>
      <w:r>
        <w:t>81</w:t>
      </w:r>
      <w:r>
        <w:fldChar w:fldCharType="end"/>
      </w:r>
    </w:p>
    <w:p w14:paraId="13766DAC" w14:textId="77777777" w:rsidR="00C8515B" w:rsidRDefault="00C8515B" w:rsidP="00C8515B">
      <w:pPr>
        <w:pStyle w:val="TOC4"/>
        <w:rPr>
          <w:rFonts w:asciiTheme="minorHAnsi" w:eastAsiaTheme="minorEastAsia" w:hAnsiTheme="minorHAnsi" w:cstheme="minorBidi"/>
          <w:sz w:val="24"/>
          <w:lang w:val="en-GB"/>
        </w:rPr>
      </w:pPr>
      <w:r>
        <w:t>Table 30:</w:t>
      </w:r>
      <w:r>
        <w:rPr>
          <w:rFonts w:asciiTheme="minorHAnsi" w:eastAsiaTheme="minorEastAsia" w:hAnsiTheme="minorHAnsi" w:cstheme="minorBidi"/>
          <w:sz w:val="24"/>
          <w:lang w:val="en-GB"/>
        </w:rPr>
        <w:tab/>
      </w:r>
      <w:r>
        <w:t>Q2 Consumption of fast foods during pregnancy</w:t>
      </w:r>
      <w:r>
        <w:tab/>
      </w:r>
      <w:r>
        <w:fldChar w:fldCharType="begin"/>
      </w:r>
      <w:r>
        <w:instrText xml:space="preserve"> PAGEREF _Toc40956608 \h </w:instrText>
      </w:r>
      <w:r>
        <w:fldChar w:fldCharType="separate"/>
      </w:r>
      <w:r>
        <w:t>85</w:t>
      </w:r>
      <w:r>
        <w:fldChar w:fldCharType="end"/>
      </w:r>
    </w:p>
    <w:p w14:paraId="415A1AE7" w14:textId="77777777" w:rsidR="00C8515B" w:rsidRDefault="00C8515B" w:rsidP="00C8515B">
      <w:pPr>
        <w:pStyle w:val="TOC4"/>
        <w:rPr>
          <w:rFonts w:asciiTheme="minorHAnsi" w:eastAsiaTheme="minorEastAsia" w:hAnsiTheme="minorHAnsi" w:cstheme="minorBidi"/>
          <w:sz w:val="24"/>
          <w:lang w:val="en-GB"/>
        </w:rPr>
      </w:pPr>
      <w:r>
        <w:t>Table 31:</w:t>
      </w:r>
      <w:r>
        <w:rPr>
          <w:rFonts w:asciiTheme="minorHAnsi" w:eastAsiaTheme="minorEastAsia" w:hAnsiTheme="minorHAnsi" w:cstheme="minorBidi"/>
          <w:sz w:val="24"/>
          <w:lang w:val="en-GB"/>
        </w:rPr>
        <w:tab/>
      </w:r>
      <w:r>
        <w:t>Q2 Consumption of water during pregnancy</w:t>
      </w:r>
      <w:r>
        <w:tab/>
      </w:r>
      <w:r>
        <w:fldChar w:fldCharType="begin"/>
      </w:r>
      <w:r>
        <w:instrText xml:space="preserve"> PAGEREF _Toc40956609 \h </w:instrText>
      </w:r>
      <w:r>
        <w:fldChar w:fldCharType="separate"/>
      </w:r>
      <w:r>
        <w:t>87</w:t>
      </w:r>
      <w:r>
        <w:fldChar w:fldCharType="end"/>
      </w:r>
    </w:p>
    <w:p w14:paraId="38C6EB55" w14:textId="77777777" w:rsidR="00C8515B" w:rsidRDefault="00C8515B" w:rsidP="00C8515B">
      <w:pPr>
        <w:pStyle w:val="TOC4"/>
        <w:rPr>
          <w:rFonts w:asciiTheme="minorHAnsi" w:eastAsiaTheme="minorEastAsia" w:hAnsiTheme="minorHAnsi" w:cstheme="minorBidi"/>
          <w:sz w:val="24"/>
          <w:lang w:val="en-GB"/>
        </w:rPr>
      </w:pPr>
      <w:r>
        <w:t>Table 32:</w:t>
      </w:r>
      <w:r>
        <w:rPr>
          <w:rFonts w:asciiTheme="minorHAnsi" w:eastAsiaTheme="minorEastAsia" w:hAnsiTheme="minorHAnsi" w:cstheme="minorBidi"/>
          <w:sz w:val="24"/>
          <w:lang w:val="en-GB"/>
        </w:rPr>
        <w:tab/>
      </w:r>
      <w:r>
        <w:t>Q2 Consumption of caffeine during pregnancy</w:t>
      </w:r>
      <w:r>
        <w:tab/>
      </w:r>
      <w:r>
        <w:fldChar w:fldCharType="begin"/>
      </w:r>
      <w:r>
        <w:instrText xml:space="preserve"> PAGEREF _Toc40956610 \h </w:instrText>
      </w:r>
      <w:r>
        <w:fldChar w:fldCharType="separate"/>
      </w:r>
      <w:r>
        <w:t>88</w:t>
      </w:r>
      <w:r>
        <w:fldChar w:fldCharType="end"/>
      </w:r>
    </w:p>
    <w:p w14:paraId="423EE66F" w14:textId="77777777" w:rsidR="00C8515B" w:rsidRDefault="00C8515B" w:rsidP="00C8515B">
      <w:pPr>
        <w:pStyle w:val="TOC4"/>
        <w:rPr>
          <w:rFonts w:asciiTheme="minorHAnsi" w:eastAsiaTheme="minorEastAsia" w:hAnsiTheme="minorHAnsi" w:cstheme="minorBidi"/>
          <w:sz w:val="24"/>
          <w:lang w:val="en-GB"/>
        </w:rPr>
      </w:pPr>
      <w:r>
        <w:t>Table 33:</w:t>
      </w:r>
      <w:r>
        <w:rPr>
          <w:rFonts w:asciiTheme="minorHAnsi" w:eastAsiaTheme="minorEastAsia" w:hAnsiTheme="minorHAnsi" w:cstheme="minorBidi"/>
          <w:sz w:val="24"/>
          <w:lang w:val="en-GB"/>
        </w:rPr>
        <w:tab/>
      </w:r>
      <w:r>
        <w:t>Q2 Potential allergens</w:t>
      </w:r>
      <w:r>
        <w:tab/>
      </w:r>
      <w:r>
        <w:fldChar w:fldCharType="begin"/>
      </w:r>
      <w:r>
        <w:instrText xml:space="preserve"> PAGEREF _Toc40956611 \h </w:instrText>
      </w:r>
      <w:r>
        <w:fldChar w:fldCharType="separate"/>
      </w:r>
      <w:r>
        <w:t>90</w:t>
      </w:r>
      <w:r>
        <w:fldChar w:fldCharType="end"/>
      </w:r>
    </w:p>
    <w:p w14:paraId="021AFFE7" w14:textId="77777777" w:rsidR="00C8515B" w:rsidRDefault="00C8515B" w:rsidP="00C8515B">
      <w:pPr>
        <w:pStyle w:val="TOC4"/>
        <w:rPr>
          <w:rFonts w:asciiTheme="minorHAnsi" w:eastAsiaTheme="minorEastAsia" w:hAnsiTheme="minorHAnsi" w:cstheme="minorBidi"/>
          <w:sz w:val="24"/>
          <w:lang w:val="en-GB"/>
        </w:rPr>
      </w:pPr>
      <w:r>
        <w:t>Table 34:</w:t>
      </w:r>
      <w:r>
        <w:rPr>
          <w:rFonts w:asciiTheme="minorHAnsi" w:eastAsiaTheme="minorEastAsia" w:hAnsiTheme="minorHAnsi" w:cstheme="minorBidi"/>
          <w:sz w:val="24"/>
          <w:lang w:val="en-GB"/>
        </w:rPr>
        <w:tab/>
      </w:r>
      <w:r>
        <w:t>Q3 Harms and benefits of vitamin B</w:t>
      </w:r>
      <w:r w:rsidRPr="00B20332">
        <w:rPr>
          <w:vertAlign w:val="subscript"/>
        </w:rPr>
        <w:t>9</w:t>
      </w:r>
      <w:r>
        <w:t xml:space="preserve"> (folic acid) supplementation in pregnancy — systematic reviews</w:t>
      </w:r>
      <w:r>
        <w:tab/>
      </w:r>
      <w:r>
        <w:fldChar w:fldCharType="begin"/>
      </w:r>
      <w:r>
        <w:instrText xml:space="preserve"> PAGEREF _Toc40956612 \h </w:instrText>
      </w:r>
      <w:r>
        <w:fldChar w:fldCharType="separate"/>
      </w:r>
      <w:r>
        <w:t>103</w:t>
      </w:r>
      <w:r>
        <w:fldChar w:fldCharType="end"/>
      </w:r>
    </w:p>
    <w:p w14:paraId="60D7F0A5" w14:textId="77777777" w:rsidR="00C8515B" w:rsidRDefault="00C8515B" w:rsidP="00C8515B">
      <w:pPr>
        <w:pStyle w:val="TOC4"/>
        <w:rPr>
          <w:rFonts w:asciiTheme="minorHAnsi" w:eastAsiaTheme="minorEastAsia" w:hAnsiTheme="minorHAnsi" w:cstheme="minorBidi"/>
          <w:sz w:val="24"/>
          <w:lang w:val="en-GB"/>
        </w:rPr>
      </w:pPr>
      <w:r>
        <w:t>Table 35:</w:t>
      </w:r>
      <w:r>
        <w:rPr>
          <w:rFonts w:asciiTheme="minorHAnsi" w:eastAsiaTheme="minorEastAsia" w:hAnsiTheme="minorHAnsi" w:cstheme="minorBidi"/>
          <w:sz w:val="24"/>
          <w:lang w:val="en-GB"/>
        </w:rPr>
        <w:tab/>
      </w:r>
      <w:r>
        <w:t>Q3 Harms and benefits of vitamin B</w:t>
      </w:r>
      <w:r w:rsidRPr="00B20332">
        <w:rPr>
          <w:vertAlign w:val="subscript"/>
        </w:rPr>
        <w:t>9</w:t>
      </w:r>
      <w:r>
        <w:t xml:space="preserve"> (folic acid) supplementation in pregnancy — RCTs</w:t>
      </w:r>
      <w:r>
        <w:tab/>
      </w:r>
      <w:r>
        <w:fldChar w:fldCharType="begin"/>
      </w:r>
      <w:r>
        <w:instrText xml:space="preserve"> PAGEREF _Toc40956613 \h </w:instrText>
      </w:r>
      <w:r>
        <w:fldChar w:fldCharType="separate"/>
      </w:r>
      <w:r>
        <w:t>113</w:t>
      </w:r>
      <w:r>
        <w:fldChar w:fldCharType="end"/>
      </w:r>
    </w:p>
    <w:p w14:paraId="5737DED5" w14:textId="77777777" w:rsidR="00C8515B" w:rsidRDefault="00C8515B" w:rsidP="00C8515B">
      <w:pPr>
        <w:pStyle w:val="TOC4"/>
        <w:rPr>
          <w:rFonts w:asciiTheme="minorHAnsi" w:eastAsiaTheme="minorEastAsia" w:hAnsiTheme="minorHAnsi" w:cstheme="minorBidi"/>
          <w:sz w:val="24"/>
          <w:lang w:val="en-GB"/>
        </w:rPr>
      </w:pPr>
      <w:r>
        <w:t>Table 36:</w:t>
      </w:r>
      <w:r>
        <w:rPr>
          <w:rFonts w:asciiTheme="minorHAnsi" w:eastAsiaTheme="minorEastAsia" w:hAnsiTheme="minorHAnsi" w:cstheme="minorBidi"/>
          <w:sz w:val="24"/>
          <w:lang w:val="en-GB"/>
        </w:rPr>
        <w:tab/>
      </w:r>
      <w:r>
        <w:t>Q3 Harms and benefits of vitamin B</w:t>
      </w:r>
      <w:r w:rsidRPr="00B20332">
        <w:rPr>
          <w:vertAlign w:val="subscript"/>
        </w:rPr>
        <w:t>6</w:t>
      </w:r>
      <w:r>
        <w:t xml:space="preserve"> supplementation in pregnancy — systematic review</w:t>
      </w:r>
      <w:r>
        <w:tab/>
      </w:r>
      <w:r>
        <w:fldChar w:fldCharType="begin"/>
      </w:r>
      <w:r>
        <w:instrText xml:space="preserve"> PAGEREF _Toc40956614 \h </w:instrText>
      </w:r>
      <w:r>
        <w:fldChar w:fldCharType="separate"/>
      </w:r>
      <w:r>
        <w:t>115</w:t>
      </w:r>
      <w:r>
        <w:fldChar w:fldCharType="end"/>
      </w:r>
    </w:p>
    <w:p w14:paraId="156C69A6" w14:textId="77777777" w:rsidR="00C8515B" w:rsidRDefault="00C8515B" w:rsidP="00C8515B">
      <w:pPr>
        <w:pStyle w:val="TOC4"/>
        <w:rPr>
          <w:rFonts w:asciiTheme="minorHAnsi" w:eastAsiaTheme="minorEastAsia" w:hAnsiTheme="minorHAnsi" w:cstheme="minorBidi"/>
          <w:sz w:val="24"/>
          <w:lang w:val="en-GB"/>
        </w:rPr>
      </w:pPr>
      <w:r>
        <w:t>Table 37:</w:t>
      </w:r>
      <w:r>
        <w:rPr>
          <w:rFonts w:asciiTheme="minorHAnsi" w:eastAsiaTheme="minorEastAsia" w:hAnsiTheme="minorHAnsi" w:cstheme="minorBidi"/>
          <w:sz w:val="24"/>
          <w:lang w:val="en-GB"/>
        </w:rPr>
        <w:tab/>
      </w:r>
      <w:r>
        <w:t>Q3 Harms and benefits of vitamin B</w:t>
      </w:r>
      <w:r w:rsidRPr="00B20332">
        <w:rPr>
          <w:vertAlign w:val="subscript"/>
        </w:rPr>
        <w:t>12</w:t>
      </w:r>
      <w:r>
        <w:t xml:space="preserve"> supplementation in pregnancy — RCTs</w:t>
      </w:r>
      <w:r>
        <w:tab/>
      </w:r>
      <w:r>
        <w:fldChar w:fldCharType="begin"/>
      </w:r>
      <w:r>
        <w:instrText xml:space="preserve"> PAGEREF _Toc40956615 \h </w:instrText>
      </w:r>
      <w:r>
        <w:fldChar w:fldCharType="separate"/>
      </w:r>
      <w:r>
        <w:t>117</w:t>
      </w:r>
      <w:r>
        <w:fldChar w:fldCharType="end"/>
      </w:r>
    </w:p>
    <w:p w14:paraId="7B1DB7BA" w14:textId="77777777" w:rsidR="00C8515B" w:rsidRDefault="00C8515B" w:rsidP="00C8515B">
      <w:pPr>
        <w:pStyle w:val="TOC4"/>
        <w:rPr>
          <w:rFonts w:asciiTheme="minorHAnsi" w:eastAsiaTheme="minorEastAsia" w:hAnsiTheme="minorHAnsi" w:cstheme="minorBidi"/>
          <w:sz w:val="24"/>
          <w:lang w:val="en-GB"/>
        </w:rPr>
      </w:pPr>
      <w:r>
        <w:t>Table 38:</w:t>
      </w:r>
      <w:r>
        <w:rPr>
          <w:rFonts w:asciiTheme="minorHAnsi" w:eastAsiaTheme="minorEastAsia" w:hAnsiTheme="minorHAnsi" w:cstheme="minorBidi"/>
          <w:sz w:val="24"/>
          <w:lang w:val="en-GB"/>
        </w:rPr>
        <w:tab/>
      </w:r>
      <w:r>
        <w:t>Q3 Harms and benefits of vitamin C supplementation in pregnancy — systematic reviews</w:t>
      </w:r>
      <w:r>
        <w:tab/>
      </w:r>
      <w:r>
        <w:fldChar w:fldCharType="begin"/>
      </w:r>
      <w:r>
        <w:instrText xml:space="preserve"> PAGEREF _Toc40956616 \h </w:instrText>
      </w:r>
      <w:r>
        <w:fldChar w:fldCharType="separate"/>
      </w:r>
      <w:r>
        <w:t>119</w:t>
      </w:r>
      <w:r>
        <w:fldChar w:fldCharType="end"/>
      </w:r>
    </w:p>
    <w:p w14:paraId="3E1E6424" w14:textId="77777777" w:rsidR="00C8515B" w:rsidRDefault="00C8515B" w:rsidP="00C8515B">
      <w:pPr>
        <w:pStyle w:val="TOC4"/>
        <w:rPr>
          <w:rFonts w:asciiTheme="minorHAnsi" w:eastAsiaTheme="minorEastAsia" w:hAnsiTheme="minorHAnsi" w:cstheme="minorBidi"/>
          <w:sz w:val="24"/>
          <w:lang w:val="en-GB"/>
        </w:rPr>
      </w:pPr>
      <w:r>
        <w:t>Table 39:</w:t>
      </w:r>
      <w:r>
        <w:rPr>
          <w:rFonts w:asciiTheme="minorHAnsi" w:eastAsiaTheme="minorEastAsia" w:hAnsiTheme="minorHAnsi" w:cstheme="minorBidi"/>
          <w:sz w:val="24"/>
          <w:lang w:val="en-GB"/>
        </w:rPr>
        <w:tab/>
      </w:r>
      <w:r>
        <w:t>Q3 Harms and benefits of vitamin C supplementation in pregnancy — RCT</w:t>
      </w:r>
      <w:r>
        <w:tab/>
      </w:r>
      <w:r>
        <w:fldChar w:fldCharType="begin"/>
      </w:r>
      <w:r>
        <w:instrText xml:space="preserve"> PAGEREF _Toc40956617 \h </w:instrText>
      </w:r>
      <w:r>
        <w:fldChar w:fldCharType="separate"/>
      </w:r>
      <w:r>
        <w:t>121</w:t>
      </w:r>
      <w:r>
        <w:fldChar w:fldCharType="end"/>
      </w:r>
    </w:p>
    <w:p w14:paraId="2EF47F70" w14:textId="77777777" w:rsidR="00C8515B" w:rsidRDefault="00C8515B" w:rsidP="00C8515B">
      <w:pPr>
        <w:pStyle w:val="TOC4"/>
        <w:rPr>
          <w:rFonts w:asciiTheme="minorHAnsi" w:eastAsiaTheme="minorEastAsia" w:hAnsiTheme="minorHAnsi" w:cstheme="minorBidi"/>
          <w:sz w:val="24"/>
          <w:lang w:val="en-GB"/>
        </w:rPr>
      </w:pPr>
      <w:r>
        <w:t>Table 40:</w:t>
      </w:r>
      <w:r>
        <w:rPr>
          <w:rFonts w:asciiTheme="minorHAnsi" w:eastAsiaTheme="minorEastAsia" w:hAnsiTheme="minorHAnsi" w:cstheme="minorBidi"/>
          <w:sz w:val="24"/>
          <w:lang w:val="en-GB"/>
        </w:rPr>
        <w:tab/>
      </w:r>
      <w:r>
        <w:t>Q3 Harms and benefits of vitamin E supplementation — systematic reviews</w:t>
      </w:r>
      <w:r>
        <w:tab/>
      </w:r>
      <w:r>
        <w:fldChar w:fldCharType="begin"/>
      </w:r>
      <w:r>
        <w:instrText xml:space="preserve"> PAGEREF _Toc40956618 \h </w:instrText>
      </w:r>
      <w:r>
        <w:fldChar w:fldCharType="separate"/>
      </w:r>
      <w:r>
        <w:t>121</w:t>
      </w:r>
      <w:r>
        <w:fldChar w:fldCharType="end"/>
      </w:r>
    </w:p>
    <w:p w14:paraId="74C9B4AA" w14:textId="7F9A222D" w:rsidR="00C8515B" w:rsidRDefault="00C8515B" w:rsidP="00C8515B">
      <w:pPr>
        <w:pStyle w:val="TOC4"/>
        <w:rPr>
          <w:rFonts w:asciiTheme="minorHAnsi" w:eastAsiaTheme="minorEastAsia" w:hAnsiTheme="minorHAnsi" w:cstheme="minorBidi"/>
          <w:sz w:val="24"/>
          <w:lang w:val="en-GB"/>
        </w:rPr>
      </w:pPr>
      <w:r>
        <w:t>Table 41:</w:t>
      </w:r>
      <w:r>
        <w:rPr>
          <w:rFonts w:asciiTheme="minorHAnsi" w:eastAsiaTheme="minorEastAsia" w:hAnsiTheme="minorHAnsi" w:cstheme="minorBidi"/>
          <w:sz w:val="24"/>
          <w:lang w:val="en-GB"/>
        </w:rPr>
        <w:tab/>
      </w:r>
      <w:r>
        <w:t xml:space="preserve">Q3 Harms and benefits of vitamin C and vitamin E supplementation in pregnancy — </w:t>
      </w:r>
      <w:r>
        <w:br/>
        <w:t>systematic reviews</w:t>
      </w:r>
      <w:r>
        <w:tab/>
      </w:r>
      <w:r>
        <w:fldChar w:fldCharType="begin"/>
      </w:r>
      <w:r>
        <w:instrText xml:space="preserve"> PAGEREF _Toc40956619 \h </w:instrText>
      </w:r>
      <w:r>
        <w:fldChar w:fldCharType="separate"/>
      </w:r>
      <w:r>
        <w:t>122</w:t>
      </w:r>
      <w:r>
        <w:fldChar w:fldCharType="end"/>
      </w:r>
    </w:p>
    <w:p w14:paraId="7924DACF" w14:textId="77777777" w:rsidR="00C8515B" w:rsidRDefault="00C8515B" w:rsidP="00C8515B">
      <w:pPr>
        <w:pStyle w:val="TOC4"/>
        <w:rPr>
          <w:rFonts w:asciiTheme="minorHAnsi" w:eastAsiaTheme="minorEastAsia" w:hAnsiTheme="minorHAnsi" w:cstheme="minorBidi"/>
          <w:sz w:val="24"/>
          <w:lang w:val="en-GB"/>
        </w:rPr>
      </w:pPr>
      <w:r>
        <w:t>Table 42:</w:t>
      </w:r>
      <w:r>
        <w:rPr>
          <w:rFonts w:asciiTheme="minorHAnsi" w:eastAsiaTheme="minorEastAsia" w:hAnsiTheme="minorHAnsi" w:cstheme="minorBidi"/>
          <w:sz w:val="24"/>
          <w:lang w:val="en-GB"/>
        </w:rPr>
        <w:tab/>
      </w:r>
      <w:r>
        <w:t>Q3 Harms and benefits of vitamin C and vitamin E supplementation in pregnancy — RCTs</w:t>
      </w:r>
      <w:r>
        <w:tab/>
      </w:r>
      <w:r>
        <w:fldChar w:fldCharType="begin"/>
      </w:r>
      <w:r>
        <w:instrText xml:space="preserve"> PAGEREF _Toc40956620 \h </w:instrText>
      </w:r>
      <w:r>
        <w:fldChar w:fldCharType="separate"/>
      </w:r>
      <w:r>
        <w:t>125</w:t>
      </w:r>
      <w:r>
        <w:fldChar w:fldCharType="end"/>
      </w:r>
    </w:p>
    <w:p w14:paraId="15EB3D8C" w14:textId="77777777" w:rsidR="00C8515B" w:rsidRDefault="00C8515B" w:rsidP="00C8515B">
      <w:pPr>
        <w:pStyle w:val="TOC4"/>
        <w:rPr>
          <w:rFonts w:asciiTheme="minorHAnsi" w:eastAsiaTheme="minorEastAsia" w:hAnsiTheme="minorHAnsi" w:cstheme="minorBidi"/>
          <w:sz w:val="24"/>
          <w:lang w:val="en-GB"/>
        </w:rPr>
      </w:pPr>
      <w:r>
        <w:t>Table 43:</w:t>
      </w:r>
      <w:r>
        <w:rPr>
          <w:rFonts w:asciiTheme="minorHAnsi" w:eastAsiaTheme="minorEastAsia" w:hAnsiTheme="minorHAnsi" w:cstheme="minorBidi"/>
          <w:sz w:val="24"/>
          <w:lang w:val="en-GB"/>
        </w:rPr>
        <w:tab/>
      </w:r>
      <w:r>
        <w:t>Q3 Harms and benefits of vitamin A supplementation in pregnancy — systematic reviews</w:t>
      </w:r>
      <w:r>
        <w:tab/>
      </w:r>
      <w:r>
        <w:fldChar w:fldCharType="begin"/>
      </w:r>
      <w:r>
        <w:instrText xml:space="preserve"> PAGEREF _Toc40956621 \h </w:instrText>
      </w:r>
      <w:r>
        <w:fldChar w:fldCharType="separate"/>
      </w:r>
      <w:r>
        <w:t>125</w:t>
      </w:r>
      <w:r>
        <w:fldChar w:fldCharType="end"/>
      </w:r>
    </w:p>
    <w:p w14:paraId="7CA4F18E" w14:textId="77777777" w:rsidR="00C8515B" w:rsidRDefault="00C8515B" w:rsidP="00C8515B">
      <w:pPr>
        <w:pStyle w:val="TOC4"/>
        <w:rPr>
          <w:rFonts w:asciiTheme="minorHAnsi" w:eastAsiaTheme="minorEastAsia" w:hAnsiTheme="minorHAnsi" w:cstheme="minorBidi"/>
          <w:sz w:val="24"/>
          <w:lang w:val="en-GB"/>
        </w:rPr>
      </w:pPr>
      <w:r>
        <w:t>Table 44:</w:t>
      </w:r>
      <w:r>
        <w:rPr>
          <w:rFonts w:asciiTheme="minorHAnsi" w:eastAsiaTheme="minorEastAsia" w:hAnsiTheme="minorHAnsi" w:cstheme="minorBidi"/>
          <w:sz w:val="24"/>
          <w:lang w:val="en-GB"/>
        </w:rPr>
        <w:tab/>
      </w:r>
      <w:r>
        <w:t>Q3 Harms and benefits of vitamin A supplementation in pregnancy — RCTs</w:t>
      </w:r>
      <w:r>
        <w:tab/>
      </w:r>
      <w:r>
        <w:fldChar w:fldCharType="begin"/>
      </w:r>
      <w:r>
        <w:instrText xml:space="preserve"> PAGEREF _Toc40956622 \h </w:instrText>
      </w:r>
      <w:r>
        <w:fldChar w:fldCharType="separate"/>
      </w:r>
      <w:r>
        <w:t>127</w:t>
      </w:r>
      <w:r>
        <w:fldChar w:fldCharType="end"/>
      </w:r>
    </w:p>
    <w:p w14:paraId="5ED3E2A6" w14:textId="571E2117" w:rsidR="00C8515B" w:rsidRDefault="00C8515B" w:rsidP="00C8515B">
      <w:pPr>
        <w:pStyle w:val="TOC4"/>
        <w:rPr>
          <w:rFonts w:asciiTheme="minorHAnsi" w:eastAsiaTheme="minorEastAsia" w:hAnsiTheme="minorHAnsi" w:cstheme="minorBidi"/>
          <w:sz w:val="24"/>
          <w:lang w:val="en-GB"/>
        </w:rPr>
      </w:pPr>
      <w:r>
        <w:t>Table 45:</w:t>
      </w:r>
      <w:r>
        <w:rPr>
          <w:rFonts w:asciiTheme="minorHAnsi" w:eastAsiaTheme="minorEastAsia" w:hAnsiTheme="minorHAnsi" w:cstheme="minorBidi"/>
          <w:sz w:val="24"/>
          <w:lang w:val="en-GB"/>
        </w:rPr>
        <w:tab/>
      </w:r>
      <w:r>
        <w:t xml:space="preserve">Q3 Harms and benefits of multiple micronutrient supplementation in pregnancy — </w:t>
      </w:r>
      <w:r>
        <w:br/>
        <w:t>systematic reviews</w:t>
      </w:r>
      <w:r>
        <w:tab/>
      </w:r>
      <w:r>
        <w:fldChar w:fldCharType="begin"/>
      </w:r>
      <w:r>
        <w:instrText xml:space="preserve"> PAGEREF _Toc40956623 \h </w:instrText>
      </w:r>
      <w:r>
        <w:fldChar w:fldCharType="separate"/>
      </w:r>
      <w:r>
        <w:t>127</w:t>
      </w:r>
      <w:r>
        <w:fldChar w:fldCharType="end"/>
      </w:r>
    </w:p>
    <w:p w14:paraId="01AAE322" w14:textId="77777777" w:rsidR="00C8515B" w:rsidRDefault="00C8515B" w:rsidP="00C8515B">
      <w:pPr>
        <w:pStyle w:val="TOC4"/>
        <w:rPr>
          <w:rFonts w:asciiTheme="minorHAnsi" w:eastAsiaTheme="minorEastAsia" w:hAnsiTheme="minorHAnsi" w:cstheme="minorBidi"/>
          <w:sz w:val="24"/>
          <w:lang w:val="en-GB"/>
        </w:rPr>
      </w:pPr>
      <w:r>
        <w:t>Table 46:</w:t>
      </w:r>
      <w:r>
        <w:rPr>
          <w:rFonts w:asciiTheme="minorHAnsi" w:eastAsiaTheme="minorEastAsia" w:hAnsiTheme="minorHAnsi" w:cstheme="minorBidi"/>
          <w:sz w:val="24"/>
          <w:lang w:val="en-GB"/>
        </w:rPr>
        <w:tab/>
      </w:r>
      <w:r>
        <w:t>Q3 Harms and benefits of multiple micronutrient supplementation in pregnancy — RCTs</w:t>
      </w:r>
      <w:r>
        <w:tab/>
      </w:r>
      <w:r>
        <w:fldChar w:fldCharType="begin"/>
      </w:r>
      <w:r>
        <w:instrText xml:space="preserve"> PAGEREF _Toc40956624 \h </w:instrText>
      </w:r>
      <w:r>
        <w:fldChar w:fldCharType="separate"/>
      </w:r>
      <w:r>
        <w:t>130</w:t>
      </w:r>
      <w:r>
        <w:fldChar w:fldCharType="end"/>
      </w:r>
    </w:p>
    <w:p w14:paraId="13D84740" w14:textId="77777777" w:rsidR="00C8515B" w:rsidRDefault="00C8515B" w:rsidP="00C8515B">
      <w:pPr>
        <w:pStyle w:val="TOC4"/>
        <w:rPr>
          <w:rFonts w:asciiTheme="minorHAnsi" w:eastAsiaTheme="minorEastAsia" w:hAnsiTheme="minorHAnsi" w:cstheme="minorBidi"/>
          <w:sz w:val="24"/>
          <w:lang w:val="en-GB"/>
        </w:rPr>
      </w:pPr>
      <w:r>
        <w:t>Table 47:</w:t>
      </w:r>
      <w:r>
        <w:rPr>
          <w:rFonts w:asciiTheme="minorHAnsi" w:eastAsiaTheme="minorEastAsia" w:hAnsiTheme="minorHAnsi" w:cstheme="minorBidi"/>
          <w:sz w:val="24"/>
          <w:lang w:val="en-GB"/>
        </w:rPr>
        <w:tab/>
      </w:r>
      <w:r>
        <w:t>Q3 Harms and benefits of iron supplementation in pregnancy — systematic reviews</w:t>
      </w:r>
      <w:r>
        <w:tab/>
      </w:r>
      <w:r>
        <w:fldChar w:fldCharType="begin"/>
      </w:r>
      <w:r>
        <w:instrText xml:space="preserve"> PAGEREF _Toc40956625 \h </w:instrText>
      </w:r>
      <w:r>
        <w:fldChar w:fldCharType="separate"/>
      </w:r>
      <w:r>
        <w:t>133</w:t>
      </w:r>
      <w:r>
        <w:fldChar w:fldCharType="end"/>
      </w:r>
    </w:p>
    <w:p w14:paraId="6B32290F" w14:textId="77777777" w:rsidR="00C8515B" w:rsidRDefault="00C8515B" w:rsidP="00C8515B">
      <w:pPr>
        <w:pStyle w:val="TOC4"/>
        <w:rPr>
          <w:rFonts w:asciiTheme="minorHAnsi" w:eastAsiaTheme="minorEastAsia" w:hAnsiTheme="minorHAnsi" w:cstheme="minorBidi"/>
          <w:sz w:val="24"/>
          <w:lang w:val="en-GB"/>
        </w:rPr>
      </w:pPr>
      <w:r>
        <w:t>Table 48:</w:t>
      </w:r>
      <w:r>
        <w:rPr>
          <w:rFonts w:asciiTheme="minorHAnsi" w:eastAsiaTheme="minorEastAsia" w:hAnsiTheme="minorHAnsi" w:cstheme="minorBidi"/>
          <w:sz w:val="24"/>
          <w:lang w:val="en-GB"/>
        </w:rPr>
        <w:tab/>
      </w:r>
      <w:r>
        <w:t>Q3 Harms and benefits of iron supplementation in pregnancy — RCTs</w:t>
      </w:r>
      <w:r>
        <w:tab/>
      </w:r>
      <w:r>
        <w:fldChar w:fldCharType="begin"/>
      </w:r>
      <w:r>
        <w:instrText xml:space="preserve"> PAGEREF _Toc40956626 \h </w:instrText>
      </w:r>
      <w:r>
        <w:fldChar w:fldCharType="separate"/>
      </w:r>
      <w:r>
        <w:t>136</w:t>
      </w:r>
      <w:r>
        <w:fldChar w:fldCharType="end"/>
      </w:r>
    </w:p>
    <w:p w14:paraId="7E5E07E0" w14:textId="77777777" w:rsidR="00C8515B" w:rsidRDefault="00C8515B" w:rsidP="00C8515B">
      <w:pPr>
        <w:pStyle w:val="TOC4"/>
        <w:rPr>
          <w:rFonts w:asciiTheme="minorHAnsi" w:eastAsiaTheme="minorEastAsia" w:hAnsiTheme="minorHAnsi" w:cstheme="minorBidi"/>
          <w:sz w:val="24"/>
          <w:lang w:val="en-GB"/>
        </w:rPr>
      </w:pPr>
      <w:r>
        <w:t>Table 49:</w:t>
      </w:r>
      <w:r>
        <w:rPr>
          <w:rFonts w:asciiTheme="minorHAnsi" w:eastAsiaTheme="minorEastAsia" w:hAnsiTheme="minorHAnsi" w:cstheme="minorBidi"/>
          <w:sz w:val="24"/>
          <w:lang w:val="en-GB"/>
        </w:rPr>
        <w:tab/>
      </w:r>
      <w:r>
        <w:t>Q3 Harms and benefits of calcium supplementation in pregnancy — systematic reviews</w:t>
      </w:r>
      <w:r>
        <w:tab/>
      </w:r>
      <w:r>
        <w:fldChar w:fldCharType="begin"/>
      </w:r>
      <w:r>
        <w:instrText xml:space="preserve"> PAGEREF _Toc40956627 \h </w:instrText>
      </w:r>
      <w:r>
        <w:fldChar w:fldCharType="separate"/>
      </w:r>
      <w:r>
        <w:t>139</w:t>
      </w:r>
      <w:r>
        <w:fldChar w:fldCharType="end"/>
      </w:r>
    </w:p>
    <w:p w14:paraId="78611E13" w14:textId="77777777" w:rsidR="00C8515B" w:rsidRDefault="00C8515B" w:rsidP="00C8515B">
      <w:pPr>
        <w:pStyle w:val="TOC4"/>
        <w:rPr>
          <w:rFonts w:asciiTheme="minorHAnsi" w:eastAsiaTheme="minorEastAsia" w:hAnsiTheme="minorHAnsi" w:cstheme="minorBidi"/>
          <w:sz w:val="24"/>
          <w:lang w:val="en-GB"/>
        </w:rPr>
      </w:pPr>
      <w:r>
        <w:t>Table 50:</w:t>
      </w:r>
      <w:r>
        <w:rPr>
          <w:rFonts w:asciiTheme="minorHAnsi" w:eastAsiaTheme="minorEastAsia" w:hAnsiTheme="minorHAnsi" w:cstheme="minorBidi"/>
          <w:sz w:val="24"/>
          <w:lang w:val="en-GB"/>
        </w:rPr>
        <w:tab/>
      </w:r>
      <w:r>
        <w:t>Q3 Harms and benefits of calcium supplementation in pregnancy — RCTs</w:t>
      </w:r>
      <w:r>
        <w:tab/>
      </w:r>
      <w:r>
        <w:fldChar w:fldCharType="begin"/>
      </w:r>
      <w:r>
        <w:instrText xml:space="preserve"> PAGEREF _Toc40956628 \h </w:instrText>
      </w:r>
      <w:r>
        <w:fldChar w:fldCharType="separate"/>
      </w:r>
      <w:r>
        <w:t>142</w:t>
      </w:r>
      <w:r>
        <w:fldChar w:fldCharType="end"/>
      </w:r>
    </w:p>
    <w:p w14:paraId="40CBA8ED" w14:textId="77777777" w:rsidR="00C8515B" w:rsidRDefault="00C8515B" w:rsidP="00C8515B">
      <w:pPr>
        <w:pStyle w:val="TOC4"/>
        <w:rPr>
          <w:rFonts w:asciiTheme="minorHAnsi" w:eastAsiaTheme="minorEastAsia" w:hAnsiTheme="minorHAnsi" w:cstheme="minorBidi"/>
          <w:sz w:val="24"/>
          <w:lang w:val="en-GB"/>
        </w:rPr>
      </w:pPr>
      <w:r>
        <w:t>Table 51:</w:t>
      </w:r>
      <w:r>
        <w:rPr>
          <w:rFonts w:asciiTheme="minorHAnsi" w:eastAsiaTheme="minorEastAsia" w:hAnsiTheme="minorHAnsi" w:cstheme="minorBidi"/>
          <w:sz w:val="24"/>
          <w:lang w:val="en-GB"/>
        </w:rPr>
        <w:tab/>
      </w:r>
      <w:r>
        <w:t>Q3 Harms and benefits of calcium supplementation in pregnancy — cost-effectiveness study</w:t>
      </w:r>
      <w:r>
        <w:tab/>
      </w:r>
      <w:r>
        <w:fldChar w:fldCharType="begin"/>
      </w:r>
      <w:r>
        <w:instrText xml:space="preserve"> PAGEREF _Toc40956629 \h </w:instrText>
      </w:r>
      <w:r>
        <w:fldChar w:fldCharType="separate"/>
      </w:r>
      <w:r>
        <w:t>143</w:t>
      </w:r>
      <w:r>
        <w:fldChar w:fldCharType="end"/>
      </w:r>
    </w:p>
    <w:p w14:paraId="601C66D6" w14:textId="77777777" w:rsidR="00C8515B" w:rsidRDefault="00C8515B" w:rsidP="00C8515B">
      <w:pPr>
        <w:pStyle w:val="TOC4"/>
        <w:rPr>
          <w:rFonts w:asciiTheme="minorHAnsi" w:eastAsiaTheme="minorEastAsia" w:hAnsiTheme="minorHAnsi" w:cstheme="minorBidi"/>
          <w:sz w:val="24"/>
          <w:lang w:val="en-GB"/>
        </w:rPr>
      </w:pPr>
      <w:r>
        <w:t>Table 52:</w:t>
      </w:r>
      <w:r>
        <w:rPr>
          <w:rFonts w:asciiTheme="minorHAnsi" w:eastAsiaTheme="minorEastAsia" w:hAnsiTheme="minorHAnsi" w:cstheme="minorBidi"/>
          <w:sz w:val="24"/>
          <w:lang w:val="en-GB"/>
        </w:rPr>
        <w:tab/>
      </w:r>
      <w:r>
        <w:t>Q3 Harms and benefits of iodine supplementation in pregnancy — systematic reviews</w:t>
      </w:r>
      <w:r>
        <w:tab/>
      </w:r>
      <w:r>
        <w:fldChar w:fldCharType="begin"/>
      </w:r>
      <w:r>
        <w:instrText xml:space="preserve"> PAGEREF _Toc40956630 \h </w:instrText>
      </w:r>
      <w:r>
        <w:fldChar w:fldCharType="separate"/>
      </w:r>
      <w:r>
        <w:t>144</w:t>
      </w:r>
      <w:r>
        <w:fldChar w:fldCharType="end"/>
      </w:r>
    </w:p>
    <w:p w14:paraId="3CA1F84F" w14:textId="77777777" w:rsidR="00C8515B" w:rsidRDefault="00C8515B" w:rsidP="00C8515B">
      <w:pPr>
        <w:pStyle w:val="TOC4"/>
        <w:rPr>
          <w:rFonts w:asciiTheme="minorHAnsi" w:eastAsiaTheme="minorEastAsia" w:hAnsiTheme="minorHAnsi" w:cstheme="minorBidi"/>
          <w:sz w:val="24"/>
          <w:lang w:val="en-GB"/>
        </w:rPr>
      </w:pPr>
      <w:r>
        <w:t>Table 53:</w:t>
      </w:r>
      <w:r>
        <w:rPr>
          <w:rFonts w:asciiTheme="minorHAnsi" w:eastAsiaTheme="minorEastAsia" w:hAnsiTheme="minorHAnsi" w:cstheme="minorBidi"/>
          <w:sz w:val="24"/>
          <w:lang w:val="en-GB"/>
        </w:rPr>
        <w:tab/>
      </w:r>
      <w:r>
        <w:t>Q3 Harms and benefits of iodine supplementation in pregnancy — RCTs</w:t>
      </w:r>
      <w:r>
        <w:tab/>
      </w:r>
      <w:r>
        <w:fldChar w:fldCharType="begin"/>
      </w:r>
      <w:r>
        <w:instrText xml:space="preserve"> PAGEREF _Toc40956631 \h </w:instrText>
      </w:r>
      <w:r>
        <w:fldChar w:fldCharType="separate"/>
      </w:r>
      <w:r>
        <w:t>145</w:t>
      </w:r>
      <w:r>
        <w:fldChar w:fldCharType="end"/>
      </w:r>
    </w:p>
    <w:p w14:paraId="2CBFBD00" w14:textId="77777777" w:rsidR="00C8515B" w:rsidRDefault="00C8515B" w:rsidP="00C8515B">
      <w:pPr>
        <w:pStyle w:val="TOC4"/>
        <w:rPr>
          <w:rFonts w:asciiTheme="minorHAnsi" w:eastAsiaTheme="minorEastAsia" w:hAnsiTheme="minorHAnsi" w:cstheme="minorBidi"/>
          <w:sz w:val="24"/>
          <w:lang w:val="en-GB"/>
        </w:rPr>
      </w:pPr>
      <w:r>
        <w:t>Table 54:</w:t>
      </w:r>
      <w:r>
        <w:rPr>
          <w:rFonts w:asciiTheme="minorHAnsi" w:eastAsiaTheme="minorEastAsia" w:hAnsiTheme="minorHAnsi" w:cstheme="minorBidi"/>
          <w:sz w:val="24"/>
          <w:lang w:val="en-GB"/>
        </w:rPr>
        <w:tab/>
      </w:r>
      <w:r>
        <w:t>Q3 Harms and benefits of zinc supplementation in pregnancy — systematic reviews</w:t>
      </w:r>
      <w:r>
        <w:tab/>
      </w:r>
      <w:r>
        <w:fldChar w:fldCharType="begin"/>
      </w:r>
      <w:r>
        <w:instrText xml:space="preserve"> PAGEREF _Toc40956632 \h </w:instrText>
      </w:r>
      <w:r>
        <w:fldChar w:fldCharType="separate"/>
      </w:r>
      <w:r>
        <w:t>147</w:t>
      </w:r>
      <w:r>
        <w:fldChar w:fldCharType="end"/>
      </w:r>
    </w:p>
    <w:p w14:paraId="52C27BB8" w14:textId="77777777" w:rsidR="00C8515B" w:rsidRDefault="00C8515B" w:rsidP="00C8515B">
      <w:pPr>
        <w:pStyle w:val="TOC4"/>
        <w:rPr>
          <w:rFonts w:asciiTheme="minorHAnsi" w:eastAsiaTheme="minorEastAsia" w:hAnsiTheme="minorHAnsi" w:cstheme="minorBidi"/>
          <w:sz w:val="24"/>
          <w:lang w:val="en-GB"/>
        </w:rPr>
      </w:pPr>
      <w:r>
        <w:t>Table 55:</w:t>
      </w:r>
      <w:r>
        <w:rPr>
          <w:rFonts w:asciiTheme="minorHAnsi" w:eastAsiaTheme="minorEastAsia" w:hAnsiTheme="minorHAnsi" w:cstheme="minorBidi"/>
          <w:sz w:val="24"/>
          <w:lang w:val="en-GB"/>
        </w:rPr>
        <w:tab/>
      </w:r>
      <w:r>
        <w:t>Q3 Harms and benefits of zinc supplementation in pregnancy — RCTs</w:t>
      </w:r>
      <w:r>
        <w:tab/>
      </w:r>
      <w:r>
        <w:fldChar w:fldCharType="begin"/>
      </w:r>
      <w:r>
        <w:instrText xml:space="preserve"> PAGEREF _Toc40956633 \h </w:instrText>
      </w:r>
      <w:r>
        <w:fldChar w:fldCharType="separate"/>
      </w:r>
      <w:r>
        <w:t>148</w:t>
      </w:r>
      <w:r>
        <w:fldChar w:fldCharType="end"/>
      </w:r>
    </w:p>
    <w:p w14:paraId="0A113011" w14:textId="77777777" w:rsidR="00C8515B" w:rsidRDefault="00C8515B" w:rsidP="00C8515B">
      <w:pPr>
        <w:pStyle w:val="TOC4"/>
        <w:rPr>
          <w:rFonts w:asciiTheme="minorHAnsi" w:eastAsiaTheme="minorEastAsia" w:hAnsiTheme="minorHAnsi" w:cstheme="minorBidi"/>
          <w:sz w:val="24"/>
          <w:lang w:val="en-GB"/>
        </w:rPr>
      </w:pPr>
      <w:r>
        <w:t>Table 56:</w:t>
      </w:r>
      <w:r>
        <w:rPr>
          <w:rFonts w:asciiTheme="minorHAnsi" w:eastAsiaTheme="minorEastAsia" w:hAnsiTheme="minorHAnsi" w:cstheme="minorBidi"/>
          <w:sz w:val="24"/>
          <w:lang w:val="en-GB"/>
        </w:rPr>
        <w:tab/>
      </w:r>
      <w:r>
        <w:t>Q3 Harms and benefits of magnesium supplementation in pregnancy — systematic reviews</w:t>
      </w:r>
      <w:r>
        <w:tab/>
      </w:r>
      <w:r>
        <w:fldChar w:fldCharType="begin"/>
      </w:r>
      <w:r>
        <w:instrText xml:space="preserve"> PAGEREF _Toc40956634 \h </w:instrText>
      </w:r>
      <w:r>
        <w:fldChar w:fldCharType="separate"/>
      </w:r>
      <w:r>
        <w:t>150</w:t>
      </w:r>
      <w:r>
        <w:fldChar w:fldCharType="end"/>
      </w:r>
    </w:p>
    <w:p w14:paraId="506DB712" w14:textId="77777777" w:rsidR="00C8515B" w:rsidRDefault="00C8515B" w:rsidP="00C8515B">
      <w:pPr>
        <w:pStyle w:val="TOC4"/>
        <w:rPr>
          <w:rFonts w:asciiTheme="minorHAnsi" w:eastAsiaTheme="minorEastAsia" w:hAnsiTheme="minorHAnsi" w:cstheme="minorBidi"/>
          <w:sz w:val="24"/>
          <w:lang w:val="en-GB"/>
        </w:rPr>
      </w:pPr>
      <w:r>
        <w:t>Table 57:</w:t>
      </w:r>
      <w:r>
        <w:rPr>
          <w:rFonts w:asciiTheme="minorHAnsi" w:eastAsiaTheme="minorEastAsia" w:hAnsiTheme="minorHAnsi" w:cstheme="minorBidi"/>
          <w:sz w:val="24"/>
          <w:lang w:val="en-GB"/>
        </w:rPr>
        <w:tab/>
      </w:r>
      <w:r>
        <w:t>Q3 Harms and benefits of magnesium supplementation in pregnancy — RCTs</w:t>
      </w:r>
      <w:r>
        <w:tab/>
      </w:r>
      <w:r>
        <w:fldChar w:fldCharType="begin"/>
      </w:r>
      <w:r>
        <w:instrText xml:space="preserve"> PAGEREF _Toc40956635 \h </w:instrText>
      </w:r>
      <w:r>
        <w:fldChar w:fldCharType="separate"/>
      </w:r>
      <w:r>
        <w:t>151</w:t>
      </w:r>
      <w:r>
        <w:fldChar w:fldCharType="end"/>
      </w:r>
    </w:p>
    <w:p w14:paraId="1C14FE8A" w14:textId="77777777" w:rsidR="00C8515B" w:rsidRDefault="00C8515B" w:rsidP="00C8515B">
      <w:pPr>
        <w:pStyle w:val="TOC4"/>
        <w:rPr>
          <w:rFonts w:asciiTheme="minorHAnsi" w:eastAsiaTheme="minorEastAsia" w:hAnsiTheme="minorHAnsi" w:cstheme="minorBidi"/>
          <w:sz w:val="24"/>
          <w:lang w:val="en-GB"/>
        </w:rPr>
      </w:pPr>
      <w:r>
        <w:t>Table 58:</w:t>
      </w:r>
      <w:r>
        <w:rPr>
          <w:rFonts w:asciiTheme="minorHAnsi" w:eastAsiaTheme="minorEastAsia" w:hAnsiTheme="minorHAnsi" w:cstheme="minorBidi"/>
          <w:sz w:val="24"/>
          <w:lang w:val="en-GB"/>
        </w:rPr>
        <w:tab/>
      </w:r>
      <w:r>
        <w:t>Q3 Harms and benefits of selenium supplementation in pregnancy — RCTs</w:t>
      </w:r>
      <w:r>
        <w:tab/>
      </w:r>
      <w:r>
        <w:fldChar w:fldCharType="begin"/>
      </w:r>
      <w:r>
        <w:instrText xml:space="preserve"> PAGEREF _Toc40956636 \h </w:instrText>
      </w:r>
      <w:r>
        <w:fldChar w:fldCharType="separate"/>
      </w:r>
      <w:r>
        <w:t>152</w:t>
      </w:r>
      <w:r>
        <w:fldChar w:fldCharType="end"/>
      </w:r>
    </w:p>
    <w:p w14:paraId="6C75B52B" w14:textId="77777777" w:rsidR="00C8515B" w:rsidRDefault="00C8515B" w:rsidP="00C8515B">
      <w:pPr>
        <w:pStyle w:val="TOC4"/>
        <w:rPr>
          <w:rFonts w:asciiTheme="minorHAnsi" w:eastAsiaTheme="minorEastAsia" w:hAnsiTheme="minorHAnsi" w:cstheme="minorBidi"/>
          <w:sz w:val="24"/>
          <w:lang w:val="en-GB"/>
        </w:rPr>
      </w:pPr>
      <w:r>
        <w:t>Table 59:</w:t>
      </w:r>
      <w:r>
        <w:rPr>
          <w:rFonts w:asciiTheme="minorHAnsi" w:eastAsiaTheme="minorEastAsia" w:hAnsiTheme="minorHAnsi" w:cstheme="minorBidi"/>
          <w:sz w:val="24"/>
          <w:lang w:val="en-GB"/>
        </w:rPr>
        <w:tab/>
      </w:r>
      <w:r>
        <w:t>Q4 Use of herbal preparations during pregnancy</w:t>
      </w:r>
      <w:r>
        <w:tab/>
      </w:r>
      <w:r>
        <w:fldChar w:fldCharType="begin"/>
      </w:r>
      <w:r>
        <w:instrText xml:space="preserve"> PAGEREF _Toc40956637 \h </w:instrText>
      </w:r>
      <w:r>
        <w:fldChar w:fldCharType="separate"/>
      </w:r>
      <w:r>
        <w:t>161</w:t>
      </w:r>
      <w:r>
        <w:fldChar w:fldCharType="end"/>
      </w:r>
    </w:p>
    <w:p w14:paraId="7AB425EF" w14:textId="77777777" w:rsidR="00C8515B" w:rsidRDefault="00C8515B" w:rsidP="00C8515B">
      <w:pPr>
        <w:pStyle w:val="TOC4"/>
        <w:rPr>
          <w:rFonts w:asciiTheme="minorHAnsi" w:eastAsiaTheme="minorEastAsia" w:hAnsiTheme="minorHAnsi" w:cstheme="minorBidi"/>
          <w:sz w:val="24"/>
          <w:lang w:val="en-GB"/>
        </w:rPr>
      </w:pPr>
      <w:r>
        <w:t>Table 60:</w:t>
      </w:r>
      <w:r>
        <w:rPr>
          <w:rFonts w:asciiTheme="minorHAnsi" w:eastAsiaTheme="minorEastAsia" w:hAnsiTheme="minorHAnsi" w:cstheme="minorBidi"/>
          <w:sz w:val="24"/>
          <w:lang w:val="en-GB"/>
        </w:rPr>
        <w:tab/>
      </w:r>
      <w:r>
        <w:t>Q4 Supplementation of probiotics during pregnancy — systematic reviews</w:t>
      </w:r>
      <w:r>
        <w:tab/>
      </w:r>
      <w:r>
        <w:fldChar w:fldCharType="begin"/>
      </w:r>
      <w:r>
        <w:instrText xml:space="preserve"> PAGEREF _Toc40956638 \h </w:instrText>
      </w:r>
      <w:r>
        <w:fldChar w:fldCharType="separate"/>
      </w:r>
      <w:r>
        <w:t>166</w:t>
      </w:r>
      <w:r>
        <w:fldChar w:fldCharType="end"/>
      </w:r>
    </w:p>
    <w:p w14:paraId="6C2030A4" w14:textId="77777777" w:rsidR="00C8515B" w:rsidRDefault="00C8515B" w:rsidP="00C8515B">
      <w:pPr>
        <w:pStyle w:val="TOC4"/>
        <w:rPr>
          <w:rFonts w:asciiTheme="minorHAnsi" w:eastAsiaTheme="minorEastAsia" w:hAnsiTheme="minorHAnsi" w:cstheme="minorBidi"/>
          <w:sz w:val="24"/>
          <w:lang w:val="en-GB"/>
        </w:rPr>
      </w:pPr>
      <w:r>
        <w:t>Table 61:</w:t>
      </w:r>
      <w:r>
        <w:rPr>
          <w:rFonts w:asciiTheme="minorHAnsi" w:eastAsiaTheme="minorEastAsia" w:hAnsiTheme="minorHAnsi" w:cstheme="minorBidi"/>
          <w:sz w:val="24"/>
          <w:lang w:val="en-GB"/>
        </w:rPr>
        <w:tab/>
      </w:r>
      <w:r>
        <w:t>Q4 Supplementation of probiotics during pregnancy — RCTs</w:t>
      </w:r>
      <w:r>
        <w:tab/>
      </w:r>
      <w:r>
        <w:fldChar w:fldCharType="begin"/>
      </w:r>
      <w:r>
        <w:instrText xml:space="preserve"> PAGEREF _Toc40956639 \h </w:instrText>
      </w:r>
      <w:r>
        <w:fldChar w:fldCharType="separate"/>
      </w:r>
      <w:r>
        <w:t>169</w:t>
      </w:r>
      <w:r>
        <w:fldChar w:fldCharType="end"/>
      </w:r>
    </w:p>
    <w:p w14:paraId="29F6F64C" w14:textId="77777777" w:rsidR="00C8515B" w:rsidRDefault="00C8515B" w:rsidP="00C8515B">
      <w:pPr>
        <w:pStyle w:val="TOC4"/>
        <w:rPr>
          <w:rFonts w:asciiTheme="minorHAnsi" w:eastAsiaTheme="minorEastAsia" w:hAnsiTheme="minorHAnsi" w:cstheme="minorBidi"/>
          <w:sz w:val="24"/>
          <w:lang w:val="en-GB"/>
        </w:rPr>
      </w:pPr>
      <w:r>
        <w:t>Table 62:</w:t>
      </w:r>
      <w:r>
        <w:rPr>
          <w:rFonts w:asciiTheme="minorHAnsi" w:eastAsiaTheme="minorEastAsia" w:hAnsiTheme="minorHAnsi" w:cstheme="minorBidi"/>
          <w:sz w:val="24"/>
          <w:lang w:val="en-GB"/>
        </w:rPr>
        <w:tab/>
      </w:r>
      <w:r>
        <w:t>Q4 Summary of RCTs included in the probiotics meta-analysis</w:t>
      </w:r>
      <w:r>
        <w:tab/>
      </w:r>
      <w:r>
        <w:fldChar w:fldCharType="begin"/>
      </w:r>
      <w:r>
        <w:instrText xml:space="preserve"> PAGEREF _Toc40956640 \h </w:instrText>
      </w:r>
      <w:r>
        <w:fldChar w:fldCharType="separate"/>
      </w:r>
      <w:r>
        <w:t>174</w:t>
      </w:r>
      <w:r>
        <w:fldChar w:fldCharType="end"/>
      </w:r>
    </w:p>
    <w:p w14:paraId="025378B0" w14:textId="77777777" w:rsidR="00C8515B" w:rsidRDefault="00C8515B" w:rsidP="00C8515B">
      <w:pPr>
        <w:pStyle w:val="TOC4"/>
        <w:rPr>
          <w:rFonts w:asciiTheme="minorHAnsi" w:eastAsiaTheme="minorEastAsia" w:hAnsiTheme="minorHAnsi" w:cstheme="minorBidi"/>
          <w:sz w:val="24"/>
          <w:lang w:val="en-GB"/>
        </w:rPr>
      </w:pPr>
      <w:r>
        <w:t>Table 63:</w:t>
      </w:r>
      <w:r>
        <w:rPr>
          <w:rFonts w:asciiTheme="minorHAnsi" w:eastAsiaTheme="minorEastAsia" w:hAnsiTheme="minorHAnsi" w:cstheme="minorBidi"/>
          <w:sz w:val="24"/>
          <w:lang w:val="en-GB"/>
        </w:rPr>
        <w:tab/>
      </w:r>
      <w:r>
        <w:t>Q5 Physical activity in pregnancy and physical fitness — systematic review</w:t>
      </w:r>
      <w:r>
        <w:tab/>
      </w:r>
      <w:r>
        <w:fldChar w:fldCharType="begin"/>
      </w:r>
      <w:r>
        <w:instrText xml:space="preserve"> PAGEREF _Toc40956641 \h </w:instrText>
      </w:r>
      <w:r>
        <w:fldChar w:fldCharType="separate"/>
      </w:r>
      <w:r>
        <w:t>180</w:t>
      </w:r>
      <w:r>
        <w:fldChar w:fldCharType="end"/>
      </w:r>
    </w:p>
    <w:p w14:paraId="57499875" w14:textId="77777777" w:rsidR="00C8515B" w:rsidRDefault="00C8515B" w:rsidP="00C8515B">
      <w:pPr>
        <w:pStyle w:val="TOC4"/>
        <w:rPr>
          <w:rFonts w:asciiTheme="minorHAnsi" w:eastAsiaTheme="minorEastAsia" w:hAnsiTheme="minorHAnsi" w:cstheme="minorBidi"/>
          <w:sz w:val="24"/>
          <w:lang w:val="en-GB"/>
        </w:rPr>
      </w:pPr>
      <w:r>
        <w:t>Table 64:</w:t>
      </w:r>
      <w:r>
        <w:rPr>
          <w:rFonts w:asciiTheme="minorHAnsi" w:eastAsiaTheme="minorEastAsia" w:hAnsiTheme="minorHAnsi" w:cstheme="minorBidi"/>
          <w:sz w:val="24"/>
          <w:lang w:val="en-GB"/>
        </w:rPr>
        <w:tab/>
      </w:r>
      <w:r>
        <w:t>Q5 Physical activity in pregnancy and physical fitness — RCTs</w:t>
      </w:r>
      <w:r>
        <w:tab/>
      </w:r>
      <w:r>
        <w:fldChar w:fldCharType="begin"/>
      </w:r>
      <w:r>
        <w:instrText xml:space="preserve"> PAGEREF _Toc40956642 \h </w:instrText>
      </w:r>
      <w:r>
        <w:fldChar w:fldCharType="separate"/>
      </w:r>
      <w:r>
        <w:t>181</w:t>
      </w:r>
      <w:r>
        <w:fldChar w:fldCharType="end"/>
      </w:r>
    </w:p>
    <w:p w14:paraId="3D6A93E7" w14:textId="77777777" w:rsidR="00C8515B" w:rsidRDefault="00C8515B" w:rsidP="00C8515B">
      <w:pPr>
        <w:pStyle w:val="TOC4"/>
        <w:rPr>
          <w:rFonts w:asciiTheme="minorHAnsi" w:eastAsiaTheme="minorEastAsia" w:hAnsiTheme="minorHAnsi" w:cstheme="minorBidi"/>
          <w:sz w:val="24"/>
          <w:lang w:val="en-GB"/>
        </w:rPr>
      </w:pPr>
      <w:r>
        <w:t>Table 65:</w:t>
      </w:r>
      <w:r>
        <w:rPr>
          <w:rFonts w:asciiTheme="minorHAnsi" w:eastAsiaTheme="minorEastAsia" w:hAnsiTheme="minorHAnsi" w:cstheme="minorBidi"/>
          <w:sz w:val="24"/>
          <w:lang w:val="en-GB"/>
        </w:rPr>
        <w:tab/>
      </w:r>
      <w:r>
        <w:t>Q5 Physical activity in pregnancy and quality of life — RCTs</w:t>
      </w:r>
      <w:r>
        <w:tab/>
      </w:r>
      <w:r>
        <w:fldChar w:fldCharType="begin"/>
      </w:r>
      <w:r>
        <w:instrText xml:space="preserve"> PAGEREF _Toc40956643 \h </w:instrText>
      </w:r>
      <w:r>
        <w:fldChar w:fldCharType="separate"/>
      </w:r>
      <w:r>
        <w:t>184</w:t>
      </w:r>
      <w:r>
        <w:fldChar w:fldCharType="end"/>
      </w:r>
    </w:p>
    <w:p w14:paraId="3CB8D5C4" w14:textId="77777777" w:rsidR="00C8515B" w:rsidRDefault="00C8515B" w:rsidP="00C8515B">
      <w:pPr>
        <w:pStyle w:val="TOC4"/>
        <w:rPr>
          <w:rFonts w:asciiTheme="minorHAnsi" w:eastAsiaTheme="minorEastAsia" w:hAnsiTheme="minorHAnsi" w:cstheme="minorBidi"/>
          <w:sz w:val="24"/>
          <w:lang w:val="en-GB"/>
        </w:rPr>
      </w:pPr>
      <w:r>
        <w:t>Table 66:</w:t>
      </w:r>
      <w:r>
        <w:rPr>
          <w:rFonts w:asciiTheme="minorHAnsi" w:eastAsiaTheme="minorEastAsia" w:hAnsiTheme="minorHAnsi" w:cstheme="minorBidi"/>
          <w:sz w:val="24"/>
          <w:lang w:val="en-GB"/>
        </w:rPr>
        <w:tab/>
      </w:r>
      <w:r>
        <w:t>Q5 Physical activity in pregnancy and injury — cohort study</w:t>
      </w:r>
      <w:r>
        <w:tab/>
      </w:r>
      <w:r>
        <w:fldChar w:fldCharType="begin"/>
      </w:r>
      <w:r>
        <w:instrText xml:space="preserve"> PAGEREF _Toc40956644 \h </w:instrText>
      </w:r>
      <w:r>
        <w:fldChar w:fldCharType="separate"/>
      </w:r>
      <w:r>
        <w:t>186</w:t>
      </w:r>
      <w:r>
        <w:fldChar w:fldCharType="end"/>
      </w:r>
    </w:p>
    <w:p w14:paraId="19ED99AC" w14:textId="77777777" w:rsidR="00C8515B" w:rsidRDefault="00C8515B" w:rsidP="00C8515B">
      <w:pPr>
        <w:pStyle w:val="TOC4"/>
        <w:rPr>
          <w:rFonts w:asciiTheme="minorHAnsi" w:eastAsiaTheme="minorEastAsia" w:hAnsiTheme="minorHAnsi" w:cstheme="minorBidi"/>
          <w:sz w:val="24"/>
          <w:lang w:val="en-GB"/>
        </w:rPr>
      </w:pPr>
      <w:r>
        <w:t>Table 67:</w:t>
      </w:r>
      <w:r>
        <w:rPr>
          <w:rFonts w:asciiTheme="minorHAnsi" w:eastAsiaTheme="minorEastAsia" w:hAnsiTheme="minorHAnsi" w:cstheme="minorBidi"/>
          <w:sz w:val="24"/>
          <w:lang w:val="en-GB"/>
        </w:rPr>
        <w:tab/>
      </w:r>
      <w:r>
        <w:t>Q5 Physical activity in pregnancy and incontinence — systematic reviews</w:t>
      </w:r>
      <w:r>
        <w:tab/>
      </w:r>
      <w:r>
        <w:fldChar w:fldCharType="begin"/>
      </w:r>
      <w:r>
        <w:instrText xml:space="preserve"> PAGEREF _Toc40956645 \h </w:instrText>
      </w:r>
      <w:r>
        <w:fldChar w:fldCharType="separate"/>
      </w:r>
      <w:r>
        <w:t>187</w:t>
      </w:r>
      <w:r>
        <w:fldChar w:fldCharType="end"/>
      </w:r>
    </w:p>
    <w:p w14:paraId="4B2D0A50" w14:textId="77777777" w:rsidR="00C8515B" w:rsidRDefault="00C8515B" w:rsidP="00C8515B">
      <w:pPr>
        <w:pStyle w:val="TOC4"/>
        <w:rPr>
          <w:rFonts w:asciiTheme="minorHAnsi" w:eastAsiaTheme="minorEastAsia" w:hAnsiTheme="minorHAnsi" w:cstheme="minorBidi"/>
          <w:sz w:val="24"/>
          <w:lang w:val="en-GB"/>
        </w:rPr>
      </w:pPr>
      <w:r>
        <w:t>Table 68:</w:t>
      </w:r>
      <w:r>
        <w:rPr>
          <w:rFonts w:asciiTheme="minorHAnsi" w:eastAsiaTheme="minorEastAsia" w:hAnsiTheme="minorHAnsi" w:cstheme="minorBidi"/>
          <w:sz w:val="24"/>
          <w:lang w:val="en-GB"/>
        </w:rPr>
        <w:tab/>
      </w:r>
      <w:r>
        <w:t>Q5 Physical activity in pregnancy and pelvic girdle/low back pain — systematic reviews</w:t>
      </w:r>
      <w:r>
        <w:tab/>
      </w:r>
      <w:r>
        <w:fldChar w:fldCharType="begin"/>
      </w:r>
      <w:r>
        <w:instrText xml:space="preserve"> PAGEREF _Toc40956646 \h </w:instrText>
      </w:r>
      <w:r>
        <w:fldChar w:fldCharType="separate"/>
      </w:r>
      <w:r>
        <w:t>189</w:t>
      </w:r>
      <w:r>
        <w:fldChar w:fldCharType="end"/>
      </w:r>
    </w:p>
    <w:p w14:paraId="19F18D0F" w14:textId="77777777" w:rsidR="00C8515B" w:rsidRDefault="00C8515B" w:rsidP="00C8515B">
      <w:pPr>
        <w:pStyle w:val="TOC4"/>
        <w:rPr>
          <w:rFonts w:asciiTheme="minorHAnsi" w:eastAsiaTheme="minorEastAsia" w:hAnsiTheme="minorHAnsi" w:cstheme="minorBidi"/>
          <w:sz w:val="24"/>
          <w:lang w:val="en-GB"/>
        </w:rPr>
      </w:pPr>
      <w:r>
        <w:t>Table 69:</w:t>
      </w:r>
      <w:r>
        <w:rPr>
          <w:rFonts w:asciiTheme="minorHAnsi" w:eastAsiaTheme="minorEastAsia" w:hAnsiTheme="minorHAnsi" w:cstheme="minorBidi"/>
          <w:sz w:val="24"/>
          <w:lang w:val="en-GB"/>
        </w:rPr>
        <w:tab/>
      </w:r>
      <w:r>
        <w:t>Q5 Physical activity in pregnancy and pelvic girdle/low back pain — RCT</w:t>
      </w:r>
      <w:r>
        <w:tab/>
      </w:r>
      <w:r>
        <w:fldChar w:fldCharType="begin"/>
      </w:r>
      <w:r>
        <w:instrText xml:space="preserve"> PAGEREF _Toc40956647 \h </w:instrText>
      </w:r>
      <w:r>
        <w:fldChar w:fldCharType="separate"/>
      </w:r>
      <w:r>
        <w:t>190</w:t>
      </w:r>
      <w:r>
        <w:fldChar w:fldCharType="end"/>
      </w:r>
    </w:p>
    <w:p w14:paraId="62BD44CD" w14:textId="77777777" w:rsidR="00C8515B" w:rsidRDefault="00C8515B" w:rsidP="00C8515B">
      <w:pPr>
        <w:pStyle w:val="TOC4"/>
        <w:rPr>
          <w:rFonts w:asciiTheme="minorHAnsi" w:eastAsiaTheme="minorEastAsia" w:hAnsiTheme="minorHAnsi" w:cstheme="minorBidi"/>
          <w:sz w:val="24"/>
          <w:lang w:val="en-GB"/>
        </w:rPr>
      </w:pPr>
      <w:r>
        <w:t>Table 70:</w:t>
      </w:r>
      <w:r>
        <w:rPr>
          <w:rFonts w:asciiTheme="minorHAnsi" w:eastAsiaTheme="minorEastAsia" w:hAnsiTheme="minorHAnsi" w:cstheme="minorBidi"/>
          <w:sz w:val="24"/>
          <w:lang w:val="en-GB"/>
        </w:rPr>
        <w:tab/>
      </w:r>
      <w:r>
        <w:t>Q5 Physical activity in pregnancy and pelvic girdle/low back pain — observational studies</w:t>
      </w:r>
      <w:r>
        <w:tab/>
      </w:r>
      <w:r>
        <w:fldChar w:fldCharType="begin"/>
      </w:r>
      <w:r>
        <w:instrText xml:space="preserve"> PAGEREF _Toc40956648 \h </w:instrText>
      </w:r>
      <w:r>
        <w:fldChar w:fldCharType="separate"/>
      </w:r>
      <w:r>
        <w:t>190</w:t>
      </w:r>
      <w:r>
        <w:fldChar w:fldCharType="end"/>
      </w:r>
    </w:p>
    <w:p w14:paraId="120549D6" w14:textId="77777777" w:rsidR="00C8515B" w:rsidRDefault="00C8515B" w:rsidP="00C8515B">
      <w:pPr>
        <w:pStyle w:val="TOC4"/>
        <w:rPr>
          <w:rFonts w:asciiTheme="minorHAnsi" w:eastAsiaTheme="minorEastAsia" w:hAnsiTheme="minorHAnsi" w:cstheme="minorBidi"/>
          <w:sz w:val="24"/>
          <w:lang w:val="en-GB"/>
        </w:rPr>
      </w:pPr>
      <w:r>
        <w:t>Table 71:</w:t>
      </w:r>
      <w:r>
        <w:rPr>
          <w:rFonts w:asciiTheme="minorHAnsi" w:eastAsiaTheme="minorEastAsia" w:hAnsiTheme="minorHAnsi" w:cstheme="minorBidi"/>
          <w:sz w:val="24"/>
          <w:lang w:val="en-GB"/>
        </w:rPr>
        <w:tab/>
      </w:r>
      <w:r>
        <w:t>Q5 Physical activity in pregnancy and anaemia — RCTs</w:t>
      </w:r>
      <w:r>
        <w:tab/>
      </w:r>
      <w:r>
        <w:fldChar w:fldCharType="begin"/>
      </w:r>
      <w:r>
        <w:instrText xml:space="preserve"> PAGEREF _Toc40956649 \h </w:instrText>
      </w:r>
      <w:r>
        <w:fldChar w:fldCharType="separate"/>
      </w:r>
      <w:r>
        <w:t>191</w:t>
      </w:r>
      <w:r>
        <w:fldChar w:fldCharType="end"/>
      </w:r>
    </w:p>
    <w:p w14:paraId="6FEE56A7" w14:textId="77777777" w:rsidR="00C8515B" w:rsidRDefault="00C8515B" w:rsidP="00C8515B">
      <w:pPr>
        <w:pStyle w:val="TOC4"/>
        <w:rPr>
          <w:rFonts w:asciiTheme="minorHAnsi" w:eastAsiaTheme="minorEastAsia" w:hAnsiTheme="minorHAnsi" w:cstheme="minorBidi"/>
          <w:sz w:val="24"/>
          <w:lang w:val="en-GB"/>
        </w:rPr>
      </w:pPr>
      <w:r>
        <w:t>Table 72:</w:t>
      </w:r>
      <w:r>
        <w:rPr>
          <w:rFonts w:asciiTheme="minorHAnsi" w:eastAsiaTheme="minorEastAsia" w:hAnsiTheme="minorHAnsi" w:cstheme="minorBidi"/>
          <w:sz w:val="24"/>
          <w:lang w:val="en-GB"/>
        </w:rPr>
        <w:tab/>
      </w:r>
      <w:r>
        <w:t>Q5 Physical activity in pregnancy and sleep — systematic review</w:t>
      </w:r>
      <w:r>
        <w:tab/>
      </w:r>
      <w:r>
        <w:fldChar w:fldCharType="begin"/>
      </w:r>
      <w:r>
        <w:instrText xml:space="preserve"> PAGEREF _Toc40956650 \h </w:instrText>
      </w:r>
      <w:r>
        <w:fldChar w:fldCharType="separate"/>
      </w:r>
      <w:r>
        <w:t>191</w:t>
      </w:r>
      <w:r>
        <w:fldChar w:fldCharType="end"/>
      </w:r>
    </w:p>
    <w:p w14:paraId="257F428D" w14:textId="77777777" w:rsidR="00C8515B" w:rsidRDefault="00C8515B" w:rsidP="00C8515B">
      <w:pPr>
        <w:pStyle w:val="TOC4"/>
        <w:rPr>
          <w:rFonts w:asciiTheme="minorHAnsi" w:eastAsiaTheme="minorEastAsia" w:hAnsiTheme="minorHAnsi" w:cstheme="minorBidi"/>
          <w:sz w:val="24"/>
          <w:lang w:val="en-GB"/>
        </w:rPr>
      </w:pPr>
      <w:r>
        <w:t>Table 73:</w:t>
      </w:r>
      <w:r>
        <w:rPr>
          <w:rFonts w:asciiTheme="minorHAnsi" w:eastAsiaTheme="minorEastAsia" w:hAnsiTheme="minorHAnsi" w:cstheme="minorBidi"/>
          <w:sz w:val="24"/>
          <w:lang w:val="en-GB"/>
        </w:rPr>
        <w:tab/>
      </w:r>
      <w:r>
        <w:t>Q5 Physical activity in pregnancy and sleep — RCT</w:t>
      </w:r>
      <w:r>
        <w:tab/>
      </w:r>
      <w:r>
        <w:fldChar w:fldCharType="begin"/>
      </w:r>
      <w:r>
        <w:instrText xml:space="preserve"> PAGEREF _Toc40956651 \h </w:instrText>
      </w:r>
      <w:r>
        <w:fldChar w:fldCharType="separate"/>
      </w:r>
      <w:r>
        <w:t>192</w:t>
      </w:r>
      <w:r>
        <w:fldChar w:fldCharType="end"/>
      </w:r>
    </w:p>
    <w:p w14:paraId="1E28D4B2" w14:textId="77777777" w:rsidR="00C8515B" w:rsidRDefault="00C8515B" w:rsidP="00C8515B">
      <w:pPr>
        <w:pStyle w:val="TOC4"/>
        <w:rPr>
          <w:rFonts w:asciiTheme="minorHAnsi" w:eastAsiaTheme="minorEastAsia" w:hAnsiTheme="minorHAnsi" w:cstheme="minorBidi"/>
          <w:sz w:val="24"/>
          <w:lang w:val="en-GB"/>
        </w:rPr>
      </w:pPr>
      <w:r>
        <w:t>Table 74:</w:t>
      </w:r>
      <w:r>
        <w:rPr>
          <w:rFonts w:asciiTheme="minorHAnsi" w:eastAsiaTheme="minorEastAsia" w:hAnsiTheme="minorHAnsi" w:cstheme="minorBidi"/>
          <w:sz w:val="24"/>
          <w:lang w:val="en-GB"/>
        </w:rPr>
        <w:tab/>
      </w:r>
      <w:r>
        <w:t>Q5 Physical activity in pregnancy and sleep — observational studies</w:t>
      </w:r>
      <w:r>
        <w:tab/>
      </w:r>
      <w:r>
        <w:fldChar w:fldCharType="begin"/>
      </w:r>
      <w:r>
        <w:instrText xml:space="preserve"> PAGEREF _Toc40956652 \h </w:instrText>
      </w:r>
      <w:r>
        <w:fldChar w:fldCharType="separate"/>
      </w:r>
      <w:r>
        <w:t>192</w:t>
      </w:r>
      <w:r>
        <w:fldChar w:fldCharType="end"/>
      </w:r>
    </w:p>
    <w:p w14:paraId="1F74705B" w14:textId="77777777" w:rsidR="00C8515B" w:rsidRDefault="00C8515B" w:rsidP="00C8515B">
      <w:pPr>
        <w:pStyle w:val="TOC4"/>
        <w:rPr>
          <w:rFonts w:asciiTheme="minorHAnsi" w:eastAsiaTheme="minorEastAsia" w:hAnsiTheme="minorHAnsi" w:cstheme="minorBidi"/>
          <w:sz w:val="24"/>
          <w:lang w:val="en-GB"/>
        </w:rPr>
      </w:pPr>
      <w:r>
        <w:t>Table 75:</w:t>
      </w:r>
      <w:r>
        <w:rPr>
          <w:rFonts w:asciiTheme="minorHAnsi" w:eastAsiaTheme="minorEastAsia" w:hAnsiTheme="minorHAnsi" w:cstheme="minorBidi"/>
          <w:sz w:val="24"/>
          <w:lang w:val="en-GB"/>
        </w:rPr>
        <w:tab/>
      </w:r>
      <w:r>
        <w:t>Q5 Physical activity in pregnancy and duration of labour — systematic review</w:t>
      </w:r>
      <w:r>
        <w:tab/>
      </w:r>
      <w:r>
        <w:fldChar w:fldCharType="begin"/>
      </w:r>
      <w:r>
        <w:instrText xml:space="preserve"> PAGEREF _Toc40956653 \h </w:instrText>
      </w:r>
      <w:r>
        <w:fldChar w:fldCharType="separate"/>
      </w:r>
      <w:r>
        <w:t>193</w:t>
      </w:r>
      <w:r>
        <w:fldChar w:fldCharType="end"/>
      </w:r>
    </w:p>
    <w:p w14:paraId="510715AB" w14:textId="77777777" w:rsidR="00C8515B" w:rsidRDefault="00C8515B" w:rsidP="00C8515B">
      <w:pPr>
        <w:pStyle w:val="TOC4"/>
        <w:rPr>
          <w:rFonts w:asciiTheme="minorHAnsi" w:eastAsiaTheme="minorEastAsia" w:hAnsiTheme="minorHAnsi" w:cstheme="minorBidi"/>
          <w:sz w:val="24"/>
          <w:lang w:val="en-GB"/>
        </w:rPr>
      </w:pPr>
      <w:r>
        <w:t>Table 76:</w:t>
      </w:r>
      <w:r>
        <w:rPr>
          <w:rFonts w:asciiTheme="minorHAnsi" w:eastAsiaTheme="minorEastAsia" w:hAnsiTheme="minorHAnsi" w:cstheme="minorBidi"/>
          <w:sz w:val="24"/>
          <w:lang w:val="en-GB"/>
        </w:rPr>
        <w:tab/>
      </w:r>
      <w:r>
        <w:t>Q5 Physical activity in pregnancy and duration of labour — RCTs</w:t>
      </w:r>
      <w:r>
        <w:tab/>
      </w:r>
      <w:r>
        <w:fldChar w:fldCharType="begin"/>
      </w:r>
      <w:r>
        <w:instrText xml:space="preserve"> PAGEREF _Toc40956654 \h </w:instrText>
      </w:r>
      <w:r>
        <w:fldChar w:fldCharType="separate"/>
      </w:r>
      <w:r>
        <w:t>193</w:t>
      </w:r>
      <w:r>
        <w:fldChar w:fldCharType="end"/>
      </w:r>
    </w:p>
    <w:p w14:paraId="17D72D52" w14:textId="77777777" w:rsidR="00C8515B" w:rsidRDefault="00C8515B" w:rsidP="00C8515B">
      <w:pPr>
        <w:pStyle w:val="TOC4"/>
        <w:rPr>
          <w:rFonts w:asciiTheme="minorHAnsi" w:eastAsiaTheme="minorEastAsia" w:hAnsiTheme="minorHAnsi" w:cstheme="minorBidi"/>
          <w:sz w:val="24"/>
          <w:lang w:val="en-GB"/>
        </w:rPr>
      </w:pPr>
      <w:r>
        <w:t>Table 77:</w:t>
      </w:r>
      <w:r>
        <w:rPr>
          <w:rFonts w:asciiTheme="minorHAnsi" w:eastAsiaTheme="minorEastAsia" w:hAnsiTheme="minorHAnsi" w:cstheme="minorBidi"/>
          <w:sz w:val="24"/>
          <w:lang w:val="en-GB"/>
        </w:rPr>
        <w:tab/>
      </w:r>
      <w:r>
        <w:t>Q5 Physical activity in pregnancy and pain during labour — RCTs</w:t>
      </w:r>
      <w:r>
        <w:tab/>
      </w:r>
      <w:r>
        <w:fldChar w:fldCharType="begin"/>
      </w:r>
      <w:r>
        <w:instrText xml:space="preserve"> PAGEREF _Toc40956655 \h </w:instrText>
      </w:r>
      <w:r>
        <w:fldChar w:fldCharType="separate"/>
      </w:r>
      <w:r>
        <w:t>200</w:t>
      </w:r>
      <w:r>
        <w:fldChar w:fldCharType="end"/>
      </w:r>
    </w:p>
    <w:p w14:paraId="34F2615B" w14:textId="77777777" w:rsidR="00C8515B" w:rsidRDefault="00C8515B" w:rsidP="00C8515B">
      <w:pPr>
        <w:pStyle w:val="TOC4"/>
        <w:rPr>
          <w:rFonts w:asciiTheme="minorHAnsi" w:eastAsiaTheme="minorEastAsia" w:hAnsiTheme="minorHAnsi" w:cstheme="minorBidi"/>
          <w:sz w:val="24"/>
          <w:lang w:val="en-GB"/>
        </w:rPr>
      </w:pPr>
      <w:r>
        <w:t>Table 78:</w:t>
      </w:r>
      <w:r>
        <w:rPr>
          <w:rFonts w:asciiTheme="minorHAnsi" w:eastAsiaTheme="minorEastAsia" w:hAnsiTheme="minorHAnsi" w:cstheme="minorBidi"/>
          <w:sz w:val="24"/>
          <w:lang w:val="en-GB"/>
        </w:rPr>
        <w:tab/>
      </w:r>
      <w:r>
        <w:t>Q5 Physical activity in pregnancy and perineal tears — RCTs</w:t>
      </w:r>
      <w:r>
        <w:tab/>
      </w:r>
      <w:r>
        <w:fldChar w:fldCharType="begin"/>
      </w:r>
      <w:r>
        <w:instrText xml:space="preserve"> PAGEREF _Toc40956656 \h </w:instrText>
      </w:r>
      <w:r>
        <w:fldChar w:fldCharType="separate"/>
      </w:r>
      <w:r>
        <w:t>203</w:t>
      </w:r>
      <w:r>
        <w:fldChar w:fldCharType="end"/>
      </w:r>
    </w:p>
    <w:p w14:paraId="518DAD3C" w14:textId="77777777" w:rsidR="00C8515B" w:rsidRDefault="00C8515B" w:rsidP="00C8515B">
      <w:pPr>
        <w:pStyle w:val="TOC4"/>
        <w:rPr>
          <w:rFonts w:asciiTheme="minorHAnsi" w:eastAsiaTheme="minorEastAsia" w:hAnsiTheme="minorHAnsi" w:cstheme="minorBidi"/>
          <w:sz w:val="24"/>
          <w:lang w:val="en-GB"/>
        </w:rPr>
      </w:pPr>
      <w:r>
        <w:t>Table 79:</w:t>
      </w:r>
      <w:r>
        <w:rPr>
          <w:rFonts w:asciiTheme="minorHAnsi" w:eastAsiaTheme="minorEastAsia" w:hAnsiTheme="minorHAnsi" w:cstheme="minorBidi"/>
          <w:sz w:val="24"/>
          <w:lang w:val="en-GB"/>
        </w:rPr>
        <w:tab/>
      </w:r>
      <w:r>
        <w:t>Q5 Physical activity in pregnancy and congenital anomaly — observational studies</w:t>
      </w:r>
      <w:r>
        <w:tab/>
      </w:r>
      <w:r>
        <w:fldChar w:fldCharType="begin"/>
      </w:r>
      <w:r>
        <w:instrText xml:space="preserve"> PAGEREF _Toc40956657 \h </w:instrText>
      </w:r>
      <w:r>
        <w:fldChar w:fldCharType="separate"/>
      </w:r>
      <w:r>
        <w:t>206</w:t>
      </w:r>
      <w:r>
        <w:fldChar w:fldCharType="end"/>
      </w:r>
    </w:p>
    <w:p w14:paraId="433BB415" w14:textId="77777777" w:rsidR="00C8515B" w:rsidRDefault="00C8515B" w:rsidP="00C8515B">
      <w:pPr>
        <w:pStyle w:val="TOC4"/>
        <w:rPr>
          <w:rFonts w:asciiTheme="minorHAnsi" w:eastAsiaTheme="minorEastAsia" w:hAnsiTheme="minorHAnsi" w:cstheme="minorBidi"/>
          <w:sz w:val="24"/>
          <w:lang w:val="en-GB"/>
        </w:rPr>
      </w:pPr>
      <w:r>
        <w:t>Table 80:</w:t>
      </w:r>
      <w:r>
        <w:rPr>
          <w:rFonts w:asciiTheme="minorHAnsi" w:eastAsiaTheme="minorEastAsia" w:hAnsiTheme="minorHAnsi" w:cstheme="minorBidi"/>
          <w:sz w:val="24"/>
          <w:lang w:val="en-GB"/>
        </w:rPr>
        <w:tab/>
      </w:r>
      <w:r>
        <w:t>Q5 Physical activity in pregnancy and macrosomia — observational studies</w:t>
      </w:r>
      <w:r>
        <w:tab/>
      </w:r>
      <w:r>
        <w:fldChar w:fldCharType="begin"/>
      </w:r>
      <w:r>
        <w:instrText xml:space="preserve"> PAGEREF _Toc40956658 \h </w:instrText>
      </w:r>
      <w:r>
        <w:fldChar w:fldCharType="separate"/>
      </w:r>
      <w:r>
        <w:t>207</w:t>
      </w:r>
      <w:r>
        <w:fldChar w:fldCharType="end"/>
      </w:r>
    </w:p>
    <w:p w14:paraId="647868F0" w14:textId="77777777" w:rsidR="00C8515B" w:rsidRDefault="00C8515B" w:rsidP="00C8515B">
      <w:pPr>
        <w:pStyle w:val="TOC4"/>
        <w:rPr>
          <w:rFonts w:asciiTheme="minorHAnsi" w:eastAsiaTheme="minorEastAsia" w:hAnsiTheme="minorHAnsi" w:cstheme="minorBidi"/>
          <w:sz w:val="24"/>
          <w:lang w:val="en-GB"/>
        </w:rPr>
      </w:pPr>
      <w:r>
        <w:t>Table 81:</w:t>
      </w:r>
      <w:r>
        <w:rPr>
          <w:rFonts w:asciiTheme="minorHAnsi" w:eastAsiaTheme="minorEastAsia" w:hAnsiTheme="minorHAnsi" w:cstheme="minorBidi"/>
          <w:sz w:val="24"/>
          <w:lang w:val="en-GB"/>
        </w:rPr>
        <w:tab/>
      </w:r>
      <w:r>
        <w:t>Q5 Physical activity in pregnancy and low birth weight — observational studies</w:t>
      </w:r>
      <w:r>
        <w:tab/>
      </w:r>
      <w:r>
        <w:fldChar w:fldCharType="begin"/>
      </w:r>
      <w:r>
        <w:instrText xml:space="preserve"> PAGEREF _Toc40956659 \h </w:instrText>
      </w:r>
      <w:r>
        <w:fldChar w:fldCharType="separate"/>
      </w:r>
      <w:r>
        <w:t>207</w:t>
      </w:r>
      <w:r>
        <w:fldChar w:fldCharType="end"/>
      </w:r>
    </w:p>
    <w:p w14:paraId="7A5E9AD2" w14:textId="77777777" w:rsidR="00C8515B" w:rsidRDefault="00C8515B" w:rsidP="00C8515B">
      <w:pPr>
        <w:pStyle w:val="TOC4"/>
        <w:rPr>
          <w:rFonts w:asciiTheme="minorHAnsi" w:eastAsiaTheme="minorEastAsia" w:hAnsiTheme="minorHAnsi" w:cstheme="minorBidi"/>
          <w:sz w:val="24"/>
          <w:lang w:val="en-GB"/>
        </w:rPr>
      </w:pPr>
      <w:r>
        <w:t>Table 82:</w:t>
      </w:r>
      <w:r>
        <w:rPr>
          <w:rFonts w:asciiTheme="minorHAnsi" w:eastAsiaTheme="minorEastAsia" w:hAnsiTheme="minorHAnsi" w:cstheme="minorBidi"/>
          <w:sz w:val="24"/>
          <w:lang w:val="en-GB"/>
        </w:rPr>
        <w:tab/>
      </w:r>
      <w:r>
        <w:t>Q5 Physical activity in pregnancy and childhood weight</w:t>
      </w:r>
      <w:r>
        <w:tab/>
      </w:r>
      <w:r>
        <w:fldChar w:fldCharType="begin"/>
      </w:r>
      <w:r>
        <w:instrText xml:space="preserve"> PAGEREF _Toc40956660 \h </w:instrText>
      </w:r>
      <w:r>
        <w:fldChar w:fldCharType="separate"/>
      </w:r>
      <w:r>
        <w:t>209</w:t>
      </w:r>
      <w:r>
        <w:fldChar w:fldCharType="end"/>
      </w:r>
    </w:p>
    <w:p w14:paraId="1A66701D" w14:textId="77777777" w:rsidR="00C8515B" w:rsidRDefault="00C8515B" w:rsidP="00C8515B">
      <w:pPr>
        <w:pStyle w:val="TOC4"/>
        <w:rPr>
          <w:rFonts w:asciiTheme="minorHAnsi" w:eastAsiaTheme="minorEastAsia" w:hAnsiTheme="minorHAnsi" w:cstheme="minorBidi"/>
          <w:sz w:val="24"/>
          <w:lang w:val="en-GB"/>
        </w:rPr>
      </w:pPr>
      <w:r>
        <w:t>Table 83:</w:t>
      </w:r>
      <w:r>
        <w:rPr>
          <w:rFonts w:asciiTheme="minorHAnsi" w:eastAsiaTheme="minorEastAsia" w:hAnsiTheme="minorHAnsi" w:cstheme="minorBidi"/>
          <w:sz w:val="24"/>
          <w:lang w:val="en-GB"/>
        </w:rPr>
        <w:tab/>
      </w:r>
      <w:r>
        <w:t>Q5 Physical activity in pregnancy and neurodevelopment of the child</w:t>
      </w:r>
      <w:r>
        <w:tab/>
      </w:r>
      <w:r>
        <w:fldChar w:fldCharType="begin"/>
      </w:r>
      <w:r>
        <w:instrText xml:space="preserve"> PAGEREF _Toc40956661 \h </w:instrText>
      </w:r>
      <w:r>
        <w:fldChar w:fldCharType="separate"/>
      </w:r>
      <w:r>
        <w:t>209</w:t>
      </w:r>
      <w:r>
        <w:fldChar w:fldCharType="end"/>
      </w:r>
    </w:p>
    <w:p w14:paraId="66E7CBE5" w14:textId="77777777" w:rsidR="00C8515B" w:rsidRDefault="00C8515B" w:rsidP="00C8515B">
      <w:pPr>
        <w:pStyle w:val="TOC4"/>
        <w:rPr>
          <w:rFonts w:asciiTheme="minorHAnsi" w:eastAsiaTheme="minorEastAsia" w:hAnsiTheme="minorHAnsi" w:cstheme="minorBidi"/>
          <w:sz w:val="24"/>
          <w:lang w:val="en-GB"/>
        </w:rPr>
      </w:pPr>
      <w:r>
        <w:t>Table 84:</w:t>
      </w:r>
      <w:r>
        <w:rPr>
          <w:rFonts w:asciiTheme="minorHAnsi" w:eastAsiaTheme="minorEastAsia" w:hAnsiTheme="minorHAnsi" w:cstheme="minorBidi"/>
          <w:sz w:val="24"/>
          <w:lang w:val="en-GB"/>
        </w:rPr>
        <w:tab/>
      </w:r>
      <w:r>
        <w:t>Q6 Potential adverse effects associated with any exercise — systematic review</w:t>
      </w:r>
      <w:r>
        <w:tab/>
      </w:r>
      <w:r>
        <w:fldChar w:fldCharType="begin"/>
      </w:r>
      <w:r>
        <w:instrText xml:space="preserve"> PAGEREF _Toc40956662 \h </w:instrText>
      </w:r>
      <w:r>
        <w:fldChar w:fldCharType="separate"/>
      </w:r>
      <w:r>
        <w:t>213</w:t>
      </w:r>
      <w:r>
        <w:fldChar w:fldCharType="end"/>
      </w:r>
    </w:p>
    <w:p w14:paraId="6585F558" w14:textId="77777777" w:rsidR="00C8515B" w:rsidRDefault="00C8515B" w:rsidP="00C8515B">
      <w:pPr>
        <w:pStyle w:val="TOC4"/>
        <w:rPr>
          <w:rFonts w:asciiTheme="minorHAnsi" w:eastAsiaTheme="minorEastAsia" w:hAnsiTheme="minorHAnsi" w:cstheme="minorBidi"/>
          <w:sz w:val="24"/>
          <w:lang w:val="en-GB"/>
        </w:rPr>
      </w:pPr>
      <w:r>
        <w:t>Table 85:</w:t>
      </w:r>
      <w:r>
        <w:rPr>
          <w:rFonts w:asciiTheme="minorHAnsi" w:eastAsiaTheme="minorEastAsia" w:hAnsiTheme="minorHAnsi" w:cstheme="minorBidi"/>
          <w:sz w:val="24"/>
          <w:lang w:val="en-GB"/>
        </w:rPr>
        <w:tab/>
      </w:r>
      <w:r>
        <w:t>Q6 Adverse effects associated with vigorous exercise during pregnancy — systematic review</w:t>
      </w:r>
      <w:r>
        <w:tab/>
      </w:r>
      <w:r>
        <w:fldChar w:fldCharType="begin"/>
      </w:r>
      <w:r>
        <w:instrText xml:space="preserve"> PAGEREF _Toc40956663 \h </w:instrText>
      </w:r>
      <w:r>
        <w:fldChar w:fldCharType="separate"/>
      </w:r>
      <w:r>
        <w:t>215</w:t>
      </w:r>
      <w:r>
        <w:fldChar w:fldCharType="end"/>
      </w:r>
    </w:p>
    <w:p w14:paraId="5F22130C" w14:textId="77777777" w:rsidR="00C8515B" w:rsidRDefault="00C8515B" w:rsidP="00C8515B">
      <w:pPr>
        <w:pStyle w:val="TOC4"/>
        <w:rPr>
          <w:rFonts w:asciiTheme="minorHAnsi" w:eastAsiaTheme="minorEastAsia" w:hAnsiTheme="minorHAnsi" w:cstheme="minorBidi"/>
          <w:sz w:val="24"/>
          <w:lang w:val="en-GB"/>
        </w:rPr>
      </w:pPr>
      <w:r>
        <w:t>Table 86:</w:t>
      </w:r>
      <w:r>
        <w:rPr>
          <w:rFonts w:asciiTheme="minorHAnsi" w:eastAsiaTheme="minorEastAsia" w:hAnsiTheme="minorHAnsi" w:cstheme="minorBidi"/>
          <w:sz w:val="24"/>
          <w:lang w:val="en-GB"/>
        </w:rPr>
        <w:tab/>
      </w:r>
      <w:r>
        <w:t>Q6 Adverse effects associated with vigorous exercise during pregnancy — RCT</w:t>
      </w:r>
      <w:r>
        <w:tab/>
      </w:r>
      <w:r>
        <w:fldChar w:fldCharType="begin"/>
      </w:r>
      <w:r>
        <w:instrText xml:space="preserve"> PAGEREF _Toc40956664 \h </w:instrText>
      </w:r>
      <w:r>
        <w:fldChar w:fldCharType="separate"/>
      </w:r>
      <w:r>
        <w:t>216</w:t>
      </w:r>
      <w:r>
        <w:fldChar w:fldCharType="end"/>
      </w:r>
    </w:p>
    <w:p w14:paraId="3941AAA5" w14:textId="39E85C3A" w:rsidR="00C8515B" w:rsidRDefault="00C8515B" w:rsidP="00C8515B">
      <w:pPr>
        <w:pStyle w:val="TOC4"/>
        <w:rPr>
          <w:rFonts w:asciiTheme="minorHAnsi" w:eastAsiaTheme="minorEastAsia" w:hAnsiTheme="minorHAnsi" w:cstheme="minorBidi"/>
          <w:sz w:val="24"/>
          <w:lang w:val="en-GB"/>
        </w:rPr>
      </w:pPr>
      <w:r>
        <w:t>Table 87:</w:t>
      </w:r>
      <w:r>
        <w:rPr>
          <w:rFonts w:asciiTheme="minorHAnsi" w:eastAsiaTheme="minorEastAsia" w:hAnsiTheme="minorHAnsi" w:cstheme="minorBidi"/>
          <w:sz w:val="24"/>
          <w:lang w:val="en-GB"/>
        </w:rPr>
        <w:tab/>
      </w:r>
      <w:r>
        <w:t xml:space="preserve">Q6 Adverse effects associated with vigorous exercise during pregnancy — </w:t>
      </w:r>
      <w:r>
        <w:br/>
        <w:t>observational studies</w:t>
      </w:r>
      <w:r>
        <w:tab/>
      </w:r>
      <w:r>
        <w:fldChar w:fldCharType="begin"/>
      </w:r>
      <w:r>
        <w:instrText xml:space="preserve"> PAGEREF _Toc40956665 \h </w:instrText>
      </w:r>
      <w:r>
        <w:fldChar w:fldCharType="separate"/>
      </w:r>
      <w:r>
        <w:t>217</w:t>
      </w:r>
      <w:r>
        <w:fldChar w:fldCharType="end"/>
      </w:r>
    </w:p>
    <w:p w14:paraId="273C5C60" w14:textId="77777777" w:rsidR="00C8515B" w:rsidRDefault="00C8515B" w:rsidP="00C8515B">
      <w:pPr>
        <w:pStyle w:val="TOC4"/>
        <w:rPr>
          <w:rFonts w:asciiTheme="minorHAnsi" w:eastAsiaTheme="minorEastAsia" w:hAnsiTheme="minorHAnsi" w:cstheme="minorBidi"/>
          <w:sz w:val="24"/>
          <w:lang w:val="en-GB"/>
        </w:rPr>
      </w:pPr>
      <w:r>
        <w:t>Table 88:</w:t>
      </w:r>
      <w:r>
        <w:rPr>
          <w:rFonts w:asciiTheme="minorHAnsi" w:eastAsiaTheme="minorEastAsia" w:hAnsiTheme="minorHAnsi" w:cstheme="minorBidi"/>
          <w:sz w:val="24"/>
          <w:lang w:val="en-GB"/>
        </w:rPr>
        <w:tab/>
      </w:r>
      <w:r>
        <w:t>Q6 Adverse effects associated with supine exercise during pregnancy — systematic review</w:t>
      </w:r>
      <w:r>
        <w:tab/>
      </w:r>
      <w:r>
        <w:fldChar w:fldCharType="begin"/>
      </w:r>
      <w:r>
        <w:instrText xml:space="preserve"> PAGEREF _Toc40956666 \h </w:instrText>
      </w:r>
      <w:r>
        <w:fldChar w:fldCharType="separate"/>
      </w:r>
      <w:r>
        <w:t>219</w:t>
      </w:r>
      <w:r>
        <w:fldChar w:fldCharType="end"/>
      </w:r>
    </w:p>
    <w:p w14:paraId="51B09FF2" w14:textId="77777777" w:rsidR="00C8515B" w:rsidRDefault="00C8515B" w:rsidP="00C8515B">
      <w:pPr>
        <w:pStyle w:val="TOC4"/>
        <w:rPr>
          <w:rFonts w:asciiTheme="minorHAnsi" w:eastAsiaTheme="minorEastAsia" w:hAnsiTheme="minorHAnsi" w:cstheme="minorBidi"/>
          <w:sz w:val="24"/>
          <w:lang w:val="en-GB"/>
        </w:rPr>
      </w:pPr>
      <w:r>
        <w:t>Table 89:</w:t>
      </w:r>
      <w:r>
        <w:rPr>
          <w:rFonts w:asciiTheme="minorHAnsi" w:eastAsiaTheme="minorEastAsia" w:hAnsiTheme="minorHAnsi" w:cstheme="minorBidi"/>
          <w:sz w:val="24"/>
          <w:lang w:val="en-GB"/>
        </w:rPr>
        <w:tab/>
      </w:r>
      <w:r>
        <w:t>Q6 Adverse effects associated with swimming during pregnancy — observational studies</w:t>
      </w:r>
      <w:r>
        <w:tab/>
      </w:r>
      <w:r>
        <w:fldChar w:fldCharType="begin"/>
      </w:r>
      <w:r>
        <w:instrText xml:space="preserve"> PAGEREF _Toc40956667 \h </w:instrText>
      </w:r>
      <w:r>
        <w:fldChar w:fldCharType="separate"/>
      </w:r>
      <w:r>
        <w:t>220</w:t>
      </w:r>
      <w:r>
        <w:fldChar w:fldCharType="end"/>
      </w:r>
    </w:p>
    <w:p w14:paraId="7FF4F548" w14:textId="2226F3FD" w:rsidR="00C8515B" w:rsidRDefault="00C8515B" w:rsidP="00C8515B">
      <w:pPr>
        <w:pStyle w:val="TOC4"/>
        <w:rPr>
          <w:rFonts w:asciiTheme="minorHAnsi" w:eastAsiaTheme="minorEastAsia" w:hAnsiTheme="minorHAnsi" w:cstheme="minorBidi"/>
          <w:sz w:val="24"/>
          <w:lang w:val="en-GB"/>
        </w:rPr>
      </w:pPr>
      <w:r>
        <w:t>Table 90:</w:t>
      </w:r>
      <w:r>
        <w:rPr>
          <w:rFonts w:asciiTheme="minorHAnsi" w:eastAsiaTheme="minorEastAsia" w:hAnsiTheme="minorHAnsi" w:cstheme="minorBidi"/>
          <w:sz w:val="24"/>
          <w:lang w:val="en-GB"/>
        </w:rPr>
        <w:tab/>
      </w:r>
      <w:r>
        <w:t xml:space="preserve">Q6 Adverse effects associated with bicycling/horseback riding during pregnancy — </w:t>
      </w:r>
      <w:r>
        <w:br/>
        <w:t>observational studies</w:t>
      </w:r>
      <w:r>
        <w:tab/>
      </w:r>
      <w:r>
        <w:fldChar w:fldCharType="begin"/>
      </w:r>
      <w:r>
        <w:instrText xml:space="preserve"> PAGEREF _Toc40956668 \h </w:instrText>
      </w:r>
      <w:r>
        <w:fldChar w:fldCharType="separate"/>
      </w:r>
      <w:r>
        <w:t>221</w:t>
      </w:r>
      <w:r>
        <w:fldChar w:fldCharType="end"/>
      </w:r>
    </w:p>
    <w:p w14:paraId="7372BA59" w14:textId="0C8B755D" w:rsidR="00C8515B" w:rsidRDefault="00C8515B" w:rsidP="00C8515B">
      <w:pPr>
        <w:pStyle w:val="TOC4"/>
        <w:rPr>
          <w:rFonts w:asciiTheme="minorHAnsi" w:eastAsiaTheme="minorEastAsia" w:hAnsiTheme="minorHAnsi" w:cstheme="minorBidi"/>
          <w:sz w:val="24"/>
          <w:lang w:val="en-GB"/>
        </w:rPr>
      </w:pPr>
      <w:r>
        <w:t>Table 91:</w:t>
      </w:r>
      <w:r>
        <w:rPr>
          <w:rFonts w:asciiTheme="minorHAnsi" w:eastAsiaTheme="minorEastAsia" w:hAnsiTheme="minorHAnsi" w:cstheme="minorBidi"/>
          <w:sz w:val="24"/>
          <w:lang w:val="en-GB"/>
        </w:rPr>
        <w:tab/>
      </w:r>
      <w:r>
        <w:t xml:space="preserve">Q6 Adverse effects associated with occupational activities during pregnancy — </w:t>
      </w:r>
      <w:r>
        <w:br/>
        <w:t>systematic reviews</w:t>
      </w:r>
      <w:r>
        <w:tab/>
      </w:r>
      <w:r>
        <w:fldChar w:fldCharType="begin"/>
      </w:r>
      <w:r>
        <w:instrText xml:space="preserve"> PAGEREF _Toc40956669 \h </w:instrText>
      </w:r>
      <w:r>
        <w:fldChar w:fldCharType="separate"/>
      </w:r>
      <w:r>
        <w:t>222</w:t>
      </w:r>
      <w:r>
        <w:fldChar w:fldCharType="end"/>
      </w:r>
    </w:p>
    <w:p w14:paraId="1363D774" w14:textId="5D222EF9" w:rsidR="00C8515B" w:rsidRDefault="00C8515B" w:rsidP="00C8515B">
      <w:pPr>
        <w:pStyle w:val="TOC4"/>
        <w:rPr>
          <w:rFonts w:asciiTheme="minorHAnsi" w:eastAsiaTheme="minorEastAsia" w:hAnsiTheme="minorHAnsi" w:cstheme="minorBidi"/>
          <w:sz w:val="24"/>
          <w:lang w:val="en-GB"/>
        </w:rPr>
      </w:pPr>
      <w:r>
        <w:t>Table 92:</w:t>
      </w:r>
      <w:r>
        <w:rPr>
          <w:rFonts w:asciiTheme="minorHAnsi" w:eastAsiaTheme="minorEastAsia" w:hAnsiTheme="minorHAnsi" w:cstheme="minorBidi"/>
          <w:sz w:val="24"/>
          <w:lang w:val="en-GB"/>
        </w:rPr>
        <w:tab/>
      </w:r>
      <w:r>
        <w:t xml:space="preserve">Q6 Adverse effects associated with occupational activities during pregnancy — </w:t>
      </w:r>
      <w:r>
        <w:br/>
        <w:t>observational studies</w:t>
      </w:r>
      <w:r>
        <w:tab/>
      </w:r>
      <w:r>
        <w:fldChar w:fldCharType="begin"/>
      </w:r>
      <w:r>
        <w:instrText xml:space="preserve"> PAGEREF _Toc40956670 \h </w:instrText>
      </w:r>
      <w:r>
        <w:fldChar w:fldCharType="separate"/>
      </w:r>
      <w:r>
        <w:t>223</w:t>
      </w:r>
      <w:r>
        <w:fldChar w:fldCharType="end"/>
      </w:r>
    </w:p>
    <w:p w14:paraId="784D3F00" w14:textId="77777777" w:rsidR="00C8515B" w:rsidRDefault="00C8515B" w:rsidP="00C8515B">
      <w:pPr>
        <w:pStyle w:val="TOC4"/>
        <w:rPr>
          <w:rFonts w:asciiTheme="minorHAnsi" w:eastAsiaTheme="minorEastAsia" w:hAnsiTheme="minorHAnsi" w:cstheme="minorBidi"/>
          <w:sz w:val="24"/>
          <w:lang w:val="en-GB"/>
        </w:rPr>
      </w:pPr>
      <w:r>
        <w:t>Table 93:</w:t>
      </w:r>
      <w:r>
        <w:rPr>
          <w:rFonts w:asciiTheme="minorHAnsi" w:eastAsiaTheme="minorEastAsia" w:hAnsiTheme="minorHAnsi" w:cstheme="minorBidi"/>
          <w:sz w:val="24"/>
          <w:lang w:val="en-GB"/>
        </w:rPr>
        <w:tab/>
      </w:r>
      <w:r>
        <w:t>Q7 Determinants of gestational weight gain</w:t>
      </w:r>
      <w:r>
        <w:tab/>
      </w:r>
      <w:r>
        <w:fldChar w:fldCharType="begin"/>
      </w:r>
      <w:r>
        <w:instrText xml:space="preserve"> PAGEREF _Toc40956671 \h </w:instrText>
      </w:r>
      <w:r>
        <w:fldChar w:fldCharType="separate"/>
      </w:r>
      <w:r>
        <w:t>238</w:t>
      </w:r>
      <w:r>
        <w:fldChar w:fldCharType="end"/>
      </w:r>
    </w:p>
    <w:p w14:paraId="4676D63D" w14:textId="77777777" w:rsidR="00C8515B" w:rsidRDefault="00C8515B" w:rsidP="00C8515B">
      <w:pPr>
        <w:pStyle w:val="TOC4"/>
        <w:rPr>
          <w:rFonts w:asciiTheme="minorHAnsi" w:eastAsiaTheme="minorEastAsia" w:hAnsiTheme="minorHAnsi" w:cstheme="minorBidi"/>
          <w:sz w:val="24"/>
          <w:lang w:val="en-GB"/>
        </w:rPr>
      </w:pPr>
      <w:r>
        <w:t>Table 94:</w:t>
      </w:r>
      <w:r>
        <w:rPr>
          <w:rFonts w:asciiTheme="minorHAnsi" w:eastAsiaTheme="minorEastAsia" w:hAnsiTheme="minorHAnsi" w:cstheme="minorBidi"/>
          <w:sz w:val="24"/>
          <w:lang w:val="en-GB"/>
        </w:rPr>
        <w:tab/>
      </w:r>
      <w:r>
        <w:t>Q7 Risks associated with weight gain above or below the IOM guidelines</w:t>
      </w:r>
      <w:r>
        <w:tab/>
      </w:r>
      <w:r>
        <w:fldChar w:fldCharType="begin"/>
      </w:r>
      <w:r>
        <w:instrText xml:space="preserve"> PAGEREF _Toc40956672 \h </w:instrText>
      </w:r>
      <w:r>
        <w:fldChar w:fldCharType="separate"/>
      </w:r>
      <w:r>
        <w:t>245</w:t>
      </w:r>
      <w:r>
        <w:fldChar w:fldCharType="end"/>
      </w:r>
    </w:p>
    <w:p w14:paraId="5805CA16" w14:textId="77777777" w:rsidR="00C8515B" w:rsidRDefault="00C8515B" w:rsidP="00C8515B">
      <w:pPr>
        <w:pStyle w:val="TOC4"/>
        <w:rPr>
          <w:rFonts w:asciiTheme="minorHAnsi" w:eastAsiaTheme="minorEastAsia" w:hAnsiTheme="minorHAnsi" w:cstheme="minorBidi"/>
          <w:sz w:val="24"/>
          <w:lang w:val="en-GB"/>
        </w:rPr>
      </w:pPr>
      <w:r>
        <w:t>Table 95:</w:t>
      </w:r>
      <w:r>
        <w:rPr>
          <w:rFonts w:asciiTheme="minorHAnsi" w:eastAsiaTheme="minorEastAsia" w:hAnsiTheme="minorHAnsi" w:cstheme="minorBidi"/>
          <w:sz w:val="24"/>
          <w:lang w:val="en-GB"/>
        </w:rPr>
        <w:tab/>
      </w:r>
      <w:r>
        <w:t>Q7 Women’s perceptions and views on weight gain in pregnancy</w:t>
      </w:r>
      <w:r>
        <w:tab/>
      </w:r>
      <w:r>
        <w:fldChar w:fldCharType="begin"/>
      </w:r>
      <w:r>
        <w:instrText xml:space="preserve"> PAGEREF _Toc40956673 \h </w:instrText>
      </w:r>
      <w:r>
        <w:fldChar w:fldCharType="separate"/>
      </w:r>
      <w:r>
        <w:t>254</w:t>
      </w:r>
      <w:r>
        <w:fldChar w:fldCharType="end"/>
      </w:r>
    </w:p>
    <w:p w14:paraId="7126855B" w14:textId="77777777" w:rsidR="00C8515B" w:rsidRDefault="00C8515B" w:rsidP="00C8515B">
      <w:pPr>
        <w:pStyle w:val="TOC4"/>
        <w:rPr>
          <w:rFonts w:asciiTheme="minorHAnsi" w:eastAsiaTheme="minorEastAsia" w:hAnsiTheme="minorHAnsi" w:cstheme="minorBidi"/>
          <w:sz w:val="24"/>
          <w:lang w:val="en-GB"/>
        </w:rPr>
      </w:pPr>
      <w:r>
        <w:t>Table 96:</w:t>
      </w:r>
      <w:r>
        <w:rPr>
          <w:rFonts w:asciiTheme="minorHAnsi" w:eastAsiaTheme="minorEastAsia" w:hAnsiTheme="minorHAnsi" w:cstheme="minorBidi"/>
          <w:sz w:val="24"/>
          <w:lang w:val="en-GB"/>
        </w:rPr>
        <w:tab/>
      </w:r>
      <w:r>
        <w:t>Q7 Health professionals’ views on regular weighing in pregnancy</w:t>
      </w:r>
      <w:r>
        <w:tab/>
      </w:r>
      <w:r>
        <w:fldChar w:fldCharType="begin"/>
      </w:r>
      <w:r>
        <w:instrText xml:space="preserve"> PAGEREF _Toc40956674 \h </w:instrText>
      </w:r>
      <w:r>
        <w:fldChar w:fldCharType="separate"/>
      </w:r>
      <w:r>
        <w:t>256</w:t>
      </w:r>
      <w:r>
        <w:fldChar w:fldCharType="end"/>
      </w:r>
    </w:p>
    <w:p w14:paraId="6DD6EC51" w14:textId="77777777" w:rsidR="00C8515B" w:rsidRDefault="00C8515B" w:rsidP="00C8515B">
      <w:pPr>
        <w:pStyle w:val="TOC4"/>
        <w:rPr>
          <w:rFonts w:asciiTheme="minorHAnsi" w:eastAsiaTheme="minorEastAsia" w:hAnsiTheme="minorHAnsi" w:cstheme="minorBidi"/>
          <w:sz w:val="24"/>
          <w:lang w:val="en-GB"/>
        </w:rPr>
      </w:pPr>
      <w:r>
        <w:t>Table 97:</w:t>
      </w:r>
      <w:r>
        <w:rPr>
          <w:rFonts w:asciiTheme="minorHAnsi" w:eastAsiaTheme="minorEastAsia" w:hAnsiTheme="minorHAnsi" w:cstheme="minorBidi"/>
          <w:sz w:val="24"/>
          <w:lang w:val="en-GB"/>
        </w:rPr>
        <w:tab/>
      </w:r>
      <w:r>
        <w:t>Q7 Weighing as a stand-alone intervention to reduce weight gain — SLRs</w:t>
      </w:r>
      <w:r>
        <w:tab/>
      </w:r>
      <w:r>
        <w:fldChar w:fldCharType="begin"/>
      </w:r>
      <w:r>
        <w:instrText xml:space="preserve"> PAGEREF _Toc40956675 \h </w:instrText>
      </w:r>
      <w:r>
        <w:fldChar w:fldCharType="separate"/>
      </w:r>
      <w:r>
        <w:t>257</w:t>
      </w:r>
      <w:r>
        <w:fldChar w:fldCharType="end"/>
      </w:r>
    </w:p>
    <w:p w14:paraId="6934CDCB" w14:textId="77777777" w:rsidR="00C8515B" w:rsidRDefault="00C8515B" w:rsidP="00C8515B">
      <w:pPr>
        <w:pStyle w:val="TOC4"/>
        <w:rPr>
          <w:rFonts w:asciiTheme="minorHAnsi" w:eastAsiaTheme="minorEastAsia" w:hAnsiTheme="minorHAnsi" w:cstheme="minorBidi"/>
          <w:sz w:val="24"/>
          <w:lang w:val="en-GB"/>
        </w:rPr>
      </w:pPr>
      <w:r>
        <w:t>Table 98:</w:t>
      </w:r>
      <w:r>
        <w:rPr>
          <w:rFonts w:asciiTheme="minorHAnsi" w:eastAsiaTheme="minorEastAsia" w:hAnsiTheme="minorHAnsi" w:cstheme="minorBidi"/>
          <w:sz w:val="24"/>
          <w:lang w:val="en-GB"/>
        </w:rPr>
        <w:tab/>
      </w:r>
      <w:r>
        <w:t>Q7 Regular weighing and advice on weight gain versus usual care — RCTs</w:t>
      </w:r>
      <w:r>
        <w:tab/>
      </w:r>
      <w:r>
        <w:fldChar w:fldCharType="begin"/>
      </w:r>
      <w:r>
        <w:instrText xml:space="preserve"> PAGEREF _Toc40956676 \h </w:instrText>
      </w:r>
      <w:r>
        <w:fldChar w:fldCharType="separate"/>
      </w:r>
      <w:r>
        <w:t>258</w:t>
      </w:r>
      <w:r>
        <w:fldChar w:fldCharType="end"/>
      </w:r>
    </w:p>
    <w:p w14:paraId="29C7D404" w14:textId="77777777" w:rsidR="00C8515B" w:rsidRDefault="00C8515B" w:rsidP="00C8515B">
      <w:pPr>
        <w:pStyle w:val="TOC4"/>
        <w:rPr>
          <w:rFonts w:asciiTheme="minorHAnsi" w:eastAsiaTheme="minorEastAsia" w:hAnsiTheme="minorHAnsi" w:cstheme="minorBidi"/>
          <w:sz w:val="24"/>
          <w:lang w:val="en-GB"/>
        </w:rPr>
      </w:pPr>
      <w:r>
        <w:t>Table 99:</w:t>
      </w:r>
      <w:r>
        <w:rPr>
          <w:rFonts w:asciiTheme="minorHAnsi" w:eastAsiaTheme="minorEastAsia" w:hAnsiTheme="minorHAnsi" w:cstheme="minorBidi"/>
          <w:sz w:val="24"/>
          <w:lang w:val="en-GB"/>
        </w:rPr>
        <w:tab/>
      </w:r>
      <w:r>
        <w:t>Q8 Risks associated with low pre-pregnancy BMI — SLRs</w:t>
      </w:r>
      <w:r>
        <w:tab/>
      </w:r>
      <w:r>
        <w:fldChar w:fldCharType="begin"/>
      </w:r>
      <w:r>
        <w:instrText xml:space="preserve"> PAGEREF _Toc40956677 \h </w:instrText>
      </w:r>
      <w:r>
        <w:fldChar w:fldCharType="separate"/>
      </w:r>
      <w:r>
        <w:t>263</w:t>
      </w:r>
      <w:r>
        <w:fldChar w:fldCharType="end"/>
      </w:r>
    </w:p>
    <w:p w14:paraId="721D6D2D" w14:textId="77777777" w:rsidR="00C8515B" w:rsidRDefault="00C8515B" w:rsidP="00C8515B">
      <w:pPr>
        <w:pStyle w:val="TOC4"/>
        <w:rPr>
          <w:rFonts w:asciiTheme="minorHAnsi" w:eastAsiaTheme="minorEastAsia" w:hAnsiTheme="minorHAnsi" w:cstheme="minorBidi"/>
          <w:sz w:val="24"/>
          <w:lang w:val="en-GB"/>
        </w:rPr>
      </w:pPr>
      <w:r>
        <w:t>Table 100:</w:t>
      </w:r>
      <w:r>
        <w:rPr>
          <w:rFonts w:asciiTheme="minorHAnsi" w:eastAsiaTheme="minorEastAsia" w:hAnsiTheme="minorHAnsi" w:cstheme="minorBidi"/>
          <w:sz w:val="24"/>
          <w:lang w:val="en-GB"/>
        </w:rPr>
        <w:tab/>
      </w:r>
      <w:r>
        <w:t>Q8 Risks associated with high pre-pregnancy BMI — SLRs</w:t>
      </w:r>
      <w:r>
        <w:tab/>
      </w:r>
      <w:r>
        <w:fldChar w:fldCharType="begin"/>
      </w:r>
      <w:r>
        <w:instrText xml:space="preserve"> PAGEREF _Toc40956678 \h </w:instrText>
      </w:r>
      <w:r>
        <w:fldChar w:fldCharType="separate"/>
      </w:r>
      <w:r>
        <w:t>269</w:t>
      </w:r>
      <w:r>
        <w:fldChar w:fldCharType="end"/>
      </w:r>
    </w:p>
    <w:p w14:paraId="6DF23B60" w14:textId="77777777" w:rsidR="00C8515B" w:rsidRDefault="00C8515B" w:rsidP="00C8515B">
      <w:pPr>
        <w:pStyle w:val="TOC4"/>
        <w:rPr>
          <w:rFonts w:asciiTheme="minorHAnsi" w:eastAsiaTheme="minorEastAsia" w:hAnsiTheme="minorHAnsi" w:cstheme="minorBidi"/>
          <w:sz w:val="24"/>
          <w:lang w:val="en-GB"/>
        </w:rPr>
      </w:pPr>
      <w:r>
        <w:t>Table 101:</w:t>
      </w:r>
      <w:r>
        <w:rPr>
          <w:rFonts w:asciiTheme="minorHAnsi" w:eastAsiaTheme="minorEastAsia" w:hAnsiTheme="minorHAnsi" w:cstheme="minorBidi"/>
          <w:sz w:val="24"/>
          <w:lang w:val="en-GB"/>
        </w:rPr>
        <w:tab/>
      </w:r>
      <w:r>
        <w:t>Q9 Findings of systematic reviews of dietary interventions — maternal outcomes</w:t>
      </w:r>
      <w:r>
        <w:tab/>
      </w:r>
      <w:r>
        <w:fldChar w:fldCharType="begin"/>
      </w:r>
      <w:r>
        <w:instrText xml:space="preserve"> PAGEREF _Toc40956679 \h </w:instrText>
      </w:r>
      <w:r>
        <w:fldChar w:fldCharType="separate"/>
      </w:r>
      <w:r>
        <w:t>279</w:t>
      </w:r>
      <w:r>
        <w:fldChar w:fldCharType="end"/>
      </w:r>
    </w:p>
    <w:p w14:paraId="00DCBE9A" w14:textId="77777777" w:rsidR="00C8515B" w:rsidRDefault="00C8515B" w:rsidP="00C8515B">
      <w:pPr>
        <w:pStyle w:val="TOC4"/>
        <w:rPr>
          <w:rFonts w:asciiTheme="minorHAnsi" w:eastAsiaTheme="minorEastAsia" w:hAnsiTheme="minorHAnsi" w:cstheme="minorBidi"/>
          <w:sz w:val="24"/>
          <w:lang w:val="en-GB"/>
        </w:rPr>
      </w:pPr>
      <w:r>
        <w:t>Table 102:</w:t>
      </w:r>
      <w:r>
        <w:rPr>
          <w:rFonts w:asciiTheme="minorHAnsi" w:eastAsiaTheme="minorEastAsia" w:hAnsiTheme="minorHAnsi" w:cstheme="minorBidi"/>
          <w:sz w:val="24"/>
          <w:lang w:val="en-GB"/>
        </w:rPr>
        <w:tab/>
      </w:r>
      <w:r>
        <w:t>Q9 Findings of systematic reviews of dietary interventions — infant outcomes</w:t>
      </w:r>
      <w:r>
        <w:tab/>
      </w:r>
      <w:r>
        <w:fldChar w:fldCharType="begin"/>
      </w:r>
      <w:r>
        <w:instrText xml:space="preserve"> PAGEREF _Toc40956680 \h </w:instrText>
      </w:r>
      <w:r>
        <w:fldChar w:fldCharType="separate"/>
      </w:r>
      <w:r>
        <w:t>280</w:t>
      </w:r>
      <w:r>
        <w:fldChar w:fldCharType="end"/>
      </w:r>
    </w:p>
    <w:p w14:paraId="2F88BCA3" w14:textId="77777777" w:rsidR="00C8515B" w:rsidRDefault="00C8515B" w:rsidP="00C8515B">
      <w:pPr>
        <w:pStyle w:val="TOC4"/>
        <w:rPr>
          <w:rFonts w:asciiTheme="minorHAnsi" w:eastAsiaTheme="minorEastAsia" w:hAnsiTheme="minorHAnsi" w:cstheme="minorBidi"/>
          <w:sz w:val="24"/>
          <w:lang w:val="en-GB"/>
        </w:rPr>
      </w:pPr>
      <w:r>
        <w:t>Table 103:</w:t>
      </w:r>
      <w:r>
        <w:rPr>
          <w:rFonts w:asciiTheme="minorHAnsi" w:eastAsiaTheme="minorEastAsia" w:hAnsiTheme="minorHAnsi" w:cstheme="minorBidi"/>
          <w:sz w:val="24"/>
          <w:lang w:val="en-GB"/>
        </w:rPr>
        <w:tab/>
      </w:r>
      <w:r>
        <w:t>Q9 Findings of systematic reviews of exercise interventions — maternal outcomes</w:t>
      </w:r>
      <w:r>
        <w:tab/>
      </w:r>
      <w:r>
        <w:fldChar w:fldCharType="begin"/>
      </w:r>
      <w:r>
        <w:instrText xml:space="preserve"> PAGEREF _Toc40956681 \h </w:instrText>
      </w:r>
      <w:r>
        <w:fldChar w:fldCharType="separate"/>
      </w:r>
      <w:r>
        <w:t>285</w:t>
      </w:r>
      <w:r>
        <w:fldChar w:fldCharType="end"/>
      </w:r>
    </w:p>
    <w:p w14:paraId="2BB996E1" w14:textId="77777777" w:rsidR="00C8515B" w:rsidRDefault="00C8515B" w:rsidP="00C8515B">
      <w:pPr>
        <w:pStyle w:val="TOC4"/>
        <w:rPr>
          <w:rFonts w:asciiTheme="minorHAnsi" w:eastAsiaTheme="minorEastAsia" w:hAnsiTheme="minorHAnsi" w:cstheme="minorBidi"/>
          <w:sz w:val="24"/>
          <w:lang w:val="en-GB"/>
        </w:rPr>
      </w:pPr>
      <w:r>
        <w:t>Table 104:</w:t>
      </w:r>
      <w:r>
        <w:rPr>
          <w:rFonts w:asciiTheme="minorHAnsi" w:eastAsiaTheme="minorEastAsia" w:hAnsiTheme="minorHAnsi" w:cstheme="minorBidi"/>
          <w:sz w:val="24"/>
          <w:lang w:val="en-GB"/>
        </w:rPr>
        <w:tab/>
      </w:r>
      <w:r>
        <w:t>Q9 Findings of systematic reviews of exercise interventions — infant outcomes</w:t>
      </w:r>
      <w:r>
        <w:tab/>
      </w:r>
      <w:r>
        <w:fldChar w:fldCharType="begin"/>
      </w:r>
      <w:r>
        <w:instrText xml:space="preserve"> PAGEREF _Toc40956682 \h </w:instrText>
      </w:r>
      <w:r>
        <w:fldChar w:fldCharType="separate"/>
      </w:r>
      <w:r>
        <w:t>287</w:t>
      </w:r>
      <w:r>
        <w:fldChar w:fldCharType="end"/>
      </w:r>
    </w:p>
    <w:p w14:paraId="09DDF6AB" w14:textId="77777777" w:rsidR="00C8515B" w:rsidRDefault="00C8515B" w:rsidP="00C8515B">
      <w:pPr>
        <w:pStyle w:val="TOC4"/>
        <w:rPr>
          <w:rFonts w:asciiTheme="minorHAnsi" w:eastAsiaTheme="minorEastAsia" w:hAnsiTheme="minorHAnsi" w:cstheme="minorBidi"/>
          <w:sz w:val="24"/>
          <w:lang w:val="en-GB"/>
        </w:rPr>
      </w:pPr>
      <w:r>
        <w:t>Table 105:</w:t>
      </w:r>
      <w:r>
        <w:rPr>
          <w:rFonts w:asciiTheme="minorHAnsi" w:eastAsiaTheme="minorEastAsia" w:hAnsiTheme="minorHAnsi" w:cstheme="minorBidi"/>
          <w:sz w:val="24"/>
          <w:lang w:val="en-GB"/>
        </w:rPr>
        <w:tab/>
      </w:r>
      <w:r>
        <w:t>Q9 Findings of systematic reviews of lifestyle counselling interventions — maternal outcomes</w:t>
      </w:r>
      <w:r>
        <w:tab/>
      </w:r>
      <w:r>
        <w:fldChar w:fldCharType="begin"/>
      </w:r>
      <w:r>
        <w:instrText xml:space="preserve"> PAGEREF _Toc40956683 \h </w:instrText>
      </w:r>
      <w:r>
        <w:fldChar w:fldCharType="separate"/>
      </w:r>
      <w:r>
        <w:t>293</w:t>
      </w:r>
      <w:r>
        <w:fldChar w:fldCharType="end"/>
      </w:r>
    </w:p>
    <w:p w14:paraId="234CAD71" w14:textId="77777777" w:rsidR="00C8515B" w:rsidRDefault="00C8515B" w:rsidP="00C8515B">
      <w:pPr>
        <w:pStyle w:val="TOC4"/>
        <w:rPr>
          <w:rFonts w:asciiTheme="minorHAnsi" w:eastAsiaTheme="minorEastAsia" w:hAnsiTheme="minorHAnsi" w:cstheme="minorBidi"/>
          <w:sz w:val="24"/>
          <w:lang w:val="en-GB"/>
        </w:rPr>
      </w:pPr>
      <w:r>
        <w:t>Table 106:</w:t>
      </w:r>
      <w:r>
        <w:rPr>
          <w:rFonts w:asciiTheme="minorHAnsi" w:eastAsiaTheme="minorEastAsia" w:hAnsiTheme="minorHAnsi" w:cstheme="minorBidi"/>
          <w:sz w:val="24"/>
          <w:lang w:val="en-GB"/>
        </w:rPr>
        <w:tab/>
      </w:r>
      <w:r>
        <w:t>Q9 Findings of systematic reviews of lifestyle counselling interventions — infant outcomes</w:t>
      </w:r>
      <w:r>
        <w:tab/>
      </w:r>
      <w:r>
        <w:fldChar w:fldCharType="begin"/>
      </w:r>
      <w:r>
        <w:instrText xml:space="preserve"> PAGEREF _Toc40956684 \h </w:instrText>
      </w:r>
      <w:r>
        <w:fldChar w:fldCharType="separate"/>
      </w:r>
      <w:r>
        <w:t>295</w:t>
      </w:r>
      <w:r>
        <w:fldChar w:fldCharType="end"/>
      </w:r>
    </w:p>
    <w:p w14:paraId="4FA6836E" w14:textId="77777777" w:rsidR="00C8515B" w:rsidRDefault="00C8515B" w:rsidP="00C8515B">
      <w:pPr>
        <w:pStyle w:val="TOC4"/>
        <w:rPr>
          <w:rFonts w:asciiTheme="minorHAnsi" w:eastAsiaTheme="minorEastAsia" w:hAnsiTheme="minorHAnsi" w:cstheme="minorBidi"/>
          <w:sz w:val="24"/>
          <w:lang w:val="en-GB"/>
        </w:rPr>
      </w:pPr>
      <w:r>
        <w:t>Table 107:</w:t>
      </w:r>
      <w:r>
        <w:rPr>
          <w:rFonts w:asciiTheme="minorHAnsi" w:eastAsiaTheme="minorEastAsia" w:hAnsiTheme="minorHAnsi" w:cstheme="minorBidi"/>
          <w:sz w:val="24"/>
          <w:lang w:val="en-GB"/>
        </w:rPr>
        <w:tab/>
      </w:r>
      <w:r>
        <w:t>Q9 Summary of maternal outcomes by intervention</w:t>
      </w:r>
      <w:r>
        <w:tab/>
      </w:r>
      <w:r>
        <w:fldChar w:fldCharType="begin"/>
      </w:r>
      <w:r>
        <w:instrText xml:space="preserve"> PAGEREF _Toc40956685 \h </w:instrText>
      </w:r>
      <w:r>
        <w:fldChar w:fldCharType="separate"/>
      </w:r>
      <w:r>
        <w:t>297</w:t>
      </w:r>
      <w:r>
        <w:fldChar w:fldCharType="end"/>
      </w:r>
    </w:p>
    <w:p w14:paraId="420CFE12" w14:textId="77777777" w:rsidR="00C8515B" w:rsidRDefault="00C8515B" w:rsidP="00C8515B">
      <w:pPr>
        <w:pStyle w:val="TOC4"/>
        <w:rPr>
          <w:rFonts w:asciiTheme="minorHAnsi" w:eastAsiaTheme="minorEastAsia" w:hAnsiTheme="minorHAnsi" w:cstheme="minorBidi"/>
          <w:sz w:val="24"/>
          <w:lang w:val="en-GB"/>
        </w:rPr>
      </w:pPr>
      <w:r>
        <w:t>Table 108:</w:t>
      </w:r>
      <w:r>
        <w:rPr>
          <w:rFonts w:asciiTheme="minorHAnsi" w:eastAsiaTheme="minorEastAsia" w:hAnsiTheme="minorHAnsi" w:cstheme="minorBidi"/>
          <w:sz w:val="24"/>
          <w:lang w:val="en-GB"/>
        </w:rPr>
        <w:tab/>
      </w:r>
      <w:r>
        <w:t>Q9 Summary of infant outcomes by intervention</w:t>
      </w:r>
      <w:r>
        <w:tab/>
      </w:r>
      <w:r>
        <w:fldChar w:fldCharType="begin"/>
      </w:r>
      <w:r>
        <w:instrText xml:space="preserve"> PAGEREF _Toc40956686 \h </w:instrText>
      </w:r>
      <w:r>
        <w:fldChar w:fldCharType="separate"/>
      </w:r>
      <w:r>
        <w:t>298</w:t>
      </w:r>
      <w:r>
        <w:fldChar w:fldCharType="end"/>
      </w:r>
    </w:p>
    <w:p w14:paraId="077BD84D" w14:textId="0370FD86" w:rsidR="00C8515B" w:rsidRDefault="00C8515B" w:rsidP="00C8515B">
      <w:pPr>
        <w:pStyle w:val="TOC4"/>
        <w:rPr>
          <w:rFonts w:asciiTheme="minorHAnsi" w:eastAsiaTheme="minorEastAsia" w:hAnsiTheme="minorHAnsi" w:cstheme="minorBidi"/>
          <w:sz w:val="24"/>
          <w:lang w:val="en-GB"/>
        </w:rPr>
      </w:pPr>
      <w:r>
        <w:t>Table 109:</w:t>
      </w:r>
      <w:r>
        <w:rPr>
          <w:rFonts w:asciiTheme="minorHAnsi" w:eastAsiaTheme="minorEastAsia" w:hAnsiTheme="minorHAnsi" w:cstheme="minorBidi"/>
          <w:sz w:val="24"/>
          <w:lang w:val="en-GB"/>
        </w:rPr>
        <w:tab/>
      </w:r>
      <w:r>
        <w:t xml:space="preserve">Q9 Outcomes associated with dietary intervention versus usual care in randomised </w:t>
      </w:r>
      <w:r>
        <w:br/>
        <w:t>controlled trials</w:t>
      </w:r>
      <w:r>
        <w:tab/>
      </w:r>
      <w:r>
        <w:fldChar w:fldCharType="begin"/>
      </w:r>
      <w:r>
        <w:instrText xml:space="preserve"> PAGEREF _Toc40956687 \h </w:instrText>
      </w:r>
      <w:r>
        <w:fldChar w:fldCharType="separate"/>
      </w:r>
      <w:r>
        <w:t>300</w:t>
      </w:r>
      <w:r>
        <w:fldChar w:fldCharType="end"/>
      </w:r>
    </w:p>
    <w:p w14:paraId="3525BAB2" w14:textId="20BAA2D9" w:rsidR="00C8515B" w:rsidRDefault="00C8515B" w:rsidP="00C8515B">
      <w:pPr>
        <w:pStyle w:val="TOC4"/>
        <w:rPr>
          <w:rFonts w:asciiTheme="minorHAnsi" w:eastAsiaTheme="minorEastAsia" w:hAnsiTheme="minorHAnsi" w:cstheme="minorBidi"/>
          <w:sz w:val="24"/>
          <w:lang w:val="en-GB"/>
        </w:rPr>
      </w:pPr>
      <w:r>
        <w:t>Table 110:</w:t>
      </w:r>
      <w:r>
        <w:rPr>
          <w:rFonts w:asciiTheme="minorHAnsi" w:eastAsiaTheme="minorEastAsia" w:hAnsiTheme="minorHAnsi" w:cstheme="minorBidi"/>
          <w:sz w:val="24"/>
          <w:lang w:val="en-GB"/>
        </w:rPr>
        <w:tab/>
      </w:r>
      <w:r>
        <w:t xml:space="preserve">Q9 Outcomes associated with exercise intervention versus usual care in randomised </w:t>
      </w:r>
      <w:r>
        <w:br/>
        <w:t>controlled trials</w:t>
      </w:r>
      <w:r>
        <w:tab/>
      </w:r>
      <w:r>
        <w:fldChar w:fldCharType="begin"/>
      </w:r>
      <w:r>
        <w:instrText xml:space="preserve"> PAGEREF _Toc40956688 \h </w:instrText>
      </w:r>
      <w:r>
        <w:fldChar w:fldCharType="separate"/>
      </w:r>
      <w:r>
        <w:t>305</w:t>
      </w:r>
      <w:r>
        <w:fldChar w:fldCharType="end"/>
      </w:r>
    </w:p>
    <w:p w14:paraId="03780567" w14:textId="77777777" w:rsidR="00C8515B" w:rsidRDefault="00C8515B" w:rsidP="00C8515B">
      <w:pPr>
        <w:pStyle w:val="TOC4"/>
        <w:rPr>
          <w:rFonts w:asciiTheme="minorHAnsi" w:eastAsiaTheme="minorEastAsia" w:hAnsiTheme="minorHAnsi" w:cstheme="minorBidi"/>
          <w:sz w:val="24"/>
          <w:lang w:val="en-GB"/>
        </w:rPr>
      </w:pPr>
      <w:r>
        <w:t>Table 111:</w:t>
      </w:r>
      <w:r>
        <w:rPr>
          <w:rFonts w:asciiTheme="minorHAnsi" w:eastAsiaTheme="minorEastAsia" w:hAnsiTheme="minorHAnsi" w:cstheme="minorBidi"/>
          <w:sz w:val="24"/>
          <w:lang w:val="en-GB"/>
        </w:rPr>
        <w:tab/>
      </w:r>
      <w:r>
        <w:t>Q9 Outcomes associated with lifestyle counselling interventions versus usual care</w:t>
      </w:r>
      <w:r>
        <w:tab/>
      </w:r>
      <w:r>
        <w:fldChar w:fldCharType="begin"/>
      </w:r>
      <w:r>
        <w:instrText xml:space="preserve"> PAGEREF _Toc40956689 \h </w:instrText>
      </w:r>
      <w:r>
        <w:fldChar w:fldCharType="separate"/>
      </w:r>
      <w:r>
        <w:t>327</w:t>
      </w:r>
      <w:r>
        <w:fldChar w:fldCharType="end"/>
      </w:r>
    </w:p>
    <w:p w14:paraId="2E73DF84" w14:textId="77777777" w:rsidR="00C8515B" w:rsidRDefault="00C8515B" w:rsidP="00C8515B">
      <w:pPr>
        <w:pStyle w:val="TOC4"/>
        <w:rPr>
          <w:rFonts w:asciiTheme="minorHAnsi" w:eastAsiaTheme="minorEastAsia" w:hAnsiTheme="minorHAnsi" w:cstheme="minorBidi"/>
          <w:sz w:val="24"/>
          <w:lang w:val="en-GB"/>
        </w:rPr>
      </w:pPr>
      <w:r>
        <w:t>Table 112:</w:t>
      </w:r>
      <w:r>
        <w:rPr>
          <w:rFonts w:asciiTheme="minorHAnsi" w:eastAsiaTheme="minorEastAsia" w:hAnsiTheme="minorHAnsi" w:cstheme="minorBidi"/>
          <w:sz w:val="24"/>
          <w:lang w:val="en-GB"/>
        </w:rPr>
        <w:tab/>
      </w:r>
      <w:r>
        <w:t>Summary of risk of bias across studies — probiotics</w:t>
      </w:r>
      <w:r>
        <w:tab/>
      </w:r>
      <w:r>
        <w:fldChar w:fldCharType="begin"/>
      </w:r>
      <w:r>
        <w:instrText xml:space="preserve"> PAGEREF _Toc40956690 \h </w:instrText>
      </w:r>
      <w:r>
        <w:fldChar w:fldCharType="separate"/>
      </w:r>
      <w:r>
        <w:t>401</w:t>
      </w:r>
      <w:r>
        <w:fldChar w:fldCharType="end"/>
      </w:r>
    </w:p>
    <w:p w14:paraId="2E528D0B" w14:textId="77777777" w:rsidR="00C8515B" w:rsidRDefault="00C8515B" w:rsidP="00C8515B">
      <w:pPr>
        <w:pStyle w:val="TOC4"/>
        <w:rPr>
          <w:rFonts w:asciiTheme="minorHAnsi" w:eastAsiaTheme="minorEastAsia" w:hAnsiTheme="minorHAnsi" w:cstheme="minorBidi"/>
          <w:sz w:val="24"/>
          <w:lang w:val="en-GB"/>
        </w:rPr>
      </w:pPr>
      <w:r>
        <w:t>Table 113:</w:t>
      </w:r>
      <w:r>
        <w:rPr>
          <w:rFonts w:asciiTheme="minorHAnsi" w:eastAsiaTheme="minorEastAsia" w:hAnsiTheme="minorHAnsi" w:cstheme="minorBidi"/>
          <w:sz w:val="24"/>
          <w:lang w:val="en-GB"/>
        </w:rPr>
        <w:tab/>
      </w:r>
      <w:r>
        <w:t>Summary of risk of bias across studies — weighing</w:t>
      </w:r>
      <w:r>
        <w:tab/>
      </w:r>
      <w:r>
        <w:fldChar w:fldCharType="begin"/>
      </w:r>
      <w:r>
        <w:instrText xml:space="preserve"> PAGEREF _Toc40956691 \h </w:instrText>
      </w:r>
      <w:r>
        <w:fldChar w:fldCharType="separate"/>
      </w:r>
      <w:r>
        <w:t>401</w:t>
      </w:r>
      <w:r>
        <w:fldChar w:fldCharType="end"/>
      </w:r>
    </w:p>
    <w:p w14:paraId="2FF99A6A" w14:textId="77777777" w:rsidR="00C8515B" w:rsidRDefault="00C8515B" w:rsidP="00C8515B">
      <w:pPr>
        <w:pStyle w:val="TOC4"/>
        <w:rPr>
          <w:rFonts w:asciiTheme="minorHAnsi" w:eastAsiaTheme="minorEastAsia" w:hAnsiTheme="minorHAnsi" w:cstheme="minorBidi"/>
          <w:sz w:val="24"/>
          <w:lang w:val="en-GB"/>
        </w:rPr>
      </w:pPr>
      <w:r>
        <w:t>Table 114:</w:t>
      </w:r>
      <w:r>
        <w:rPr>
          <w:rFonts w:asciiTheme="minorHAnsi" w:eastAsiaTheme="minorEastAsia" w:hAnsiTheme="minorHAnsi" w:cstheme="minorBidi"/>
          <w:sz w:val="24"/>
          <w:lang w:val="en-GB"/>
        </w:rPr>
        <w:tab/>
      </w:r>
      <w:r>
        <w:t>Summary of risk of bias across studies — dietary interventions</w:t>
      </w:r>
      <w:r>
        <w:tab/>
      </w:r>
      <w:r>
        <w:fldChar w:fldCharType="begin"/>
      </w:r>
      <w:r>
        <w:instrText xml:space="preserve"> PAGEREF _Toc40956692 \h </w:instrText>
      </w:r>
      <w:r>
        <w:fldChar w:fldCharType="separate"/>
      </w:r>
      <w:r>
        <w:t>402</w:t>
      </w:r>
      <w:r>
        <w:fldChar w:fldCharType="end"/>
      </w:r>
    </w:p>
    <w:p w14:paraId="15A5AFEC" w14:textId="77777777" w:rsidR="00C8515B" w:rsidRDefault="00C8515B" w:rsidP="00C8515B">
      <w:pPr>
        <w:pStyle w:val="TOC4"/>
        <w:rPr>
          <w:rFonts w:asciiTheme="minorHAnsi" w:eastAsiaTheme="minorEastAsia" w:hAnsiTheme="minorHAnsi" w:cstheme="minorBidi"/>
          <w:sz w:val="24"/>
          <w:lang w:val="en-GB"/>
        </w:rPr>
      </w:pPr>
      <w:r>
        <w:t>Table 115:</w:t>
      </w:r>
      <w:r>
        <w:rPr>
          <w:rFonts w:asciiTheme="minorHAnsi" w:eastAsiaTheme="minorEastAsia" w:hAnsiTheme="minorHAnsi" w:cstheme="minorBidi"/>
          <w:sz w:val="24"/>
          <w:lang w:val="en-GB"/>
        </w:rPr>
        <w:tab/>
      </w:r>
      <w:r>
        <w:t>Summary of risk of bias across studies — exercise interventions</w:t>
      </w:r>
      <w:r>
        <w:tab/>
      </w:r>
      <w:r>
        <w:fldChar w:fldCharType="begin"/>
      </w:r>
      <w:r>
        <w:instrText xml:space="preserve"> PAGEREF _Toc40956693 \h </w:instrText>
      </w:r>
      <w:r>
        <w:fldChar w:fldCharType="separate"/>
      </w:r>
      <w:r>
        <w:t>402</w:t>
      </w:r>
      <w:r>
        <w:fldChar w:fldCharType="end"/>
      </w:r>
    </w:p>
    <w:p w14:paraId="105ABB4B" w14:textId="77777777" w:rsidR="00C8515B" w:rsidRDefault="00C8515B" w:rsidP="00C8515B">
      <w:pPr>
        <w:pStyle w:val="TOC4"/>
        <w:rPr>
          <w:rFonts w:asciiTheme="minorHAnsi" w:eastAsiaTheme="minorEastAsia" w:hAnsiTheme="minorHAnsi" w:cstheme="minorBidi"/>
          <w:sz w:val="24"/>
          <w:lang w:val="en-GB"/>
        </w:rPr>
      </w:pPr>
      <w:r>
        <w:t>Table 116:</w:t>
      </w:r>
      <w:r>
        <w:rPr>
          <w:rFonts w:asciiTheme="minorHAnsi" w:eastAsiaTheme="minorEastAsia" w:hAnsiTheme="minorHAnsi" w:cstheme="minorBidi"/>
          <w:sz w:val="24"/>
          <w:lang w:val="en-GB"/>
        </w:rPr>
        <w:tab/>
      </w:r>
      <w:r>
        <w:t>Summary of risk of bias across studies — lifestyle counselling interventions</w:t>
      </w:r>
      <w:r>
        <w:tab/>
      </w:r>
      <w:r>
        <w:fldChar w:fldCharType="begin"/>
      </w:r>
      <w:r>
        <w:instrText xml:space="preserve"> PAGEREF _Toc40956694 \h </w:instrText>
      </w:r>
      <w:r>
        <w:fldChar w:fldCharType="separate"/>
      </w:r>
      <w:r>
        <w:t>402</w:t>
      </w:r>
      <w:r>
        <w:fldChar w:fldCharType="end"/>
      </w:r>
    </w:p>
    <w:p w14:paraId="0C07A3E7" w14:textId="77777777" w:rsidR="00143B15" w:rsidRDefault="00143B15" w:rsidP="004A5194">
      <w:pPr>
        <w:rPr>
          <w:lang w:val="en-AU"/>
        </w:rPr>
      </w:pPr>
      <w:r>
        <w:rPr>
          <w:lang w:val="en-AU"/>
        </w:rPr>
        <w:fldChar w:fldCharType="end"/>
      </w:r>
    </w:p>
    <w:p w14:paraId="61BFE561" w14:textId="77777777" w:rsidR="004A5194" w:rsidRDefault="004A5194" w:rsidP="00105BBD">
      <w:pPr>
        <w:pStyle w:val="Heading1"/>
        <w:rPr>
          <w:lang w:val="en-AU"/>
        </w:rPr>
        <w:sectPr w:rsidR="004A5194" w:rsidSect="008A6B17">
          <w:pgSz w:w="11901" w:h="16817"/>
          <w:pgMar w:top="1134" w:right="1418" w:bottom="1134" w:left="1418" w:header="709" w:footer="709" w:gutter="0"/>
          <w:cols w:space="708"/>
          <w:docGrid w:linePitch="360"/>
        </w:sectPr>
      </w:pPr>
    </w:p>
    <w:p w14:paraId="550D9039" w14:textId="77777777" w:rsidR="00105BBD" w:rsidRDefault="00105BBD" w:rsidP="00B5179D">
      <w:pPr>
        <w:pStyle w:val="Heading1"/>
        <w:rPr>
          <w:lang w:val="en-AU"/>
        </w:rPr>
      </w:pPr>
      <w:bookmarkStart w:id="0" w:name="_Toc40956463"/>
      <w:r>
        <w:rPr>
          <w:lang w:val="en-AU"/>
        </w:rPr>
        <w:t>Process of the review</w:t>
      </w:r>
      <w:bookmarkEnd w:id="0"/>
    </w:p>
    <w:p w14:paraId="773A53FB" w14:textId="4AE7DBC3" w:rsidR="00F643F4" w:rsidRPr="00F643F4" w:rsidRDefault="00F643F4" w:rsidP="00F643F4">
      <w:pPr>
        <w:rPr>
          <w:lang w:val="en-AU"/>
        </w:rPr>
      </w:pPr>
      <w:r>
        <w:rPr>
          <w:lang w:val="en-AU"/>
        </w:rPr>
        <w:t xml:space="preserve">This review comprises the results of 19 searches conducted to address 11 research questions. </w:t>
      </w:r>
      <w:r w:rsidR="002B6FAD">
        <w:rPr>
          <w:lang w:val="en-AU"/>
        </w:rPr>
        <w:t xml:space="preserve">Where possible (ie when a number of comparable randomised controlled trials [RCTs] were identified), meta-analyses were undertaken. The following sections outline the research questions, processes for including and excluding studies, selection of outcomes for GRADE assessment, assessment of study quality and grading of the </w:t>
      </w:r>
      <w:r w:rsidR="00836F2D">
        <w:rPr>
          <w:lang w:val="en-AU"/>
        </w:rPr>
        <w:t>certainty</w:t>
      </w:r>
      <w:r w:rsidR="002B6FAD">
        <w:rPr>
          <w:lang w:val="en-AU"/>
        </w:rPr>
        <w:t xml:space="preserve"> of the body of evidence. Search strategies are included in Appendix A, assessment of risk of bias of risk of bias in RCTs in Appendix B</w:t>
      </w:r>
      <w:r w:rsidR="00D07346">
        <w:rPr>
          <w:lang w:val="en-AU"/>
        </w:rPr>
        <w:t>,</w:t>
      </w:r>
      <w:r w:rsidR="002B6FAD">
        <w:rPr>
          <w:lang w:val="en-AU"/>
        </w:rPr>
        <w:t xml:space="preserve"> analyses for those topics where meta-analysis was conducted in Appendix C</w:t>
      </w:r>
      <w:r w:rsidR="00D07346">
        <w:rPr>
          <w:lang w:val="en-AU"/>
        </w:rPr>
        <w:t xml:space="preserve"> and lists of excluded studies in Appendix D</w:t>
      </w:r>
      <w:r w:rsidR="002B6FAD">
        <w:rPr>
          <w:lang w:val="en-AU"/>
        </w:rPr>
        <w:t>.</w:t>
      </w:r>
    </w:p>
    <w:p w14:paraId="0462CE53" w14:textId="77777777" w:rsidR="0054099C" w:rsidRDefault="0054099C" w:rsidP="0054099C">
      <w:pPr>
        <w:pStyle w:val="Heading2"/>
        <w:rPr>
          <w:lang w:val="en-AU"/>
        </w:rPr>
      </w:pPr>
      <w:bookmarkStart w:id="1" w:name="_Toc515528579"/>
      <w:bookmarkStart w:id="2" w:name="_Toc40956464"/>
      <w:r>
        <w:rPr>
          <w:lang w:val="en-AU"/>
        </w:rPr>
        <w:t>Research questions</w:t>
      </w:r>
      <w:bookmarkEnd w:id="1"/>
      <w:bookmarkEnd w:id="2"/>
    </w:p>
    <w:p w14:paraId="67E6FE73" w14:textId="38C16C24" w:rsidR="00113C8F" w:rsidRPr="00BF2BF6"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rPr>
          <w:b/>
        </w:rPr>
      </w:pPr>
      <w:bookmarkStart w:id="3" w:name="_Toc515528582"/>
      <w:r w:rsidRPr="00BF2BF6">
        <w:rPr>
          <w:b/>
        </w:rPr>
        <w:t>Nutrition</w:t>
      </w:r>
      <w:r w:rsidR="007D30D7" w:rsidRPr="00BF2BF6">
        <w:rPr>
          <w:b/>
        </w:rPr>
        <w:t xml:space="preserve"> advice</w:t>
      </w:r>
    </w:p>
    <w:p w14:paraId="23BC6B94" w14:textId="73AB1B6A" w:rsidR="00113C8F" w:rsidRPr="008869FE"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Q1</w:t>
      </w:r>
      <w:r>
        <w:tab/>
      </w:r>
      <w:r w:rsidRPr="008869FE">
        <w:t xml:space="preserve">What dietary advice should be provided to women in </w:t>
      </w:r>
      <w:r w:rsidR="00F43F44">
        <w:t>pregnancy, including population-</w:t>
      </w:r>
      <w:r w:rsidRPr="008869FE">
        <w:t xml:space="preserve">specific groups?  </w:t>
      </w:r>
    </w:p>
    <w:p w14:paraId="0E77D287" w14:textId="4DD30B15" w:rsidR="00113C8F"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Q2</w:t>
      </w:r>
      <w:r>
        <w:tab/>
      </w:r>
      <w:r w:rsidRPr="008869FE">
        <w:t xml:space="preserve">Which foods should be </w:t>
      </w:r>
      <w:r>
        <w:t xml:space="preserve">promoted and which </w:t>
      </w:r>
      <w:r w:rsidRPr="008869FE">
        <w:t xml:space="preserve">avoided during pregnancy?  </w:t>
      </w:r>
    </w:p>
    <w:p w14:paraId="25D43CA4" w14:textId="345D080F" w:rsidR="00113C8F" w:rsidRPr="00F16C5B"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Q3</w:t>
      </w:r>
      <w:r>
        <w:tab/>
      </w:r>
      <w:r w:rsidRPr="00F16C5B">
        <w:t xml:space="preserve">What are the </w:t>
      </w:r>
      <w:r>
        <w:t>harms and benefits</w:t>
      </w:r>
      <w:r w:rsidRPr="00F16C5B">
        <w:t xml:space="preserve"> of vitamin and mineral</w:t>
      </w:r>
      <w:r>
        <w:t xml:space="preserve"> supplementation in pregnancy? </w:t>
      </w:r>
      <w:r w:rsidRPr="00F16C5B">
        <w:t xml:space="preserve"> </w:t>
      </w:r>
    </w:p>
    <w:p w14:paraId="5A2730E0" w14:textId="700B02B6" w:rsidR="00113C8F" w:rsidRPr="00F16C5B"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Q4</w:t>
      </w:r>
      <w:r>
        <w:tab/>
      </w:r>
      <w:r w:rsidRPr="00F16C5B">
        <w:t xml:space="preserve">What are the </w:t>
      </w:r>
      <w:r>
        <w:t>harms and benefits</w:t>
      </w:r>
      <w:r w:rsidRPr="00F16C5B">
        <w:t xml:space="preserve"> of </w:t>
      </w:r>
      <w:r>
        <w:t xml:space="preserve">nutritionally based </w:t>
      </w:r>
      <w:r w:rsidRPr="00F16C5B">
        <w:t>complem</w:t>
      </w:r>
      <w:r>
        <w:t xml:space="preserve">entary medicines in pregnancy? </w:t>
      </w:r>
      <w:r w:rsidRPr="00F16C5B">
        <w:t xml:space="preserve"> </w:t>
      </w:r>
    </w:p>
    <w:p w14:paraId="2C8ADE4A" w14:textId="1D03E812" w:rsidR="00113C8F" w:rsidRPr="00BF2BF6" w:rsidRDefault="007D30D7"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BF2BF6">
        <w:rPr>
          <w:b/>
        </w:rPr>
        <w:t>Physical a</w:t>
      </w:r>
      <w:r w:rsidR="00113C8F" w:rsidRPr="00BF2BF6">
        <w:rPr>
          <w:b/>
        </w:rPr>
        <w:t>ctivity</w:t>
      </w:r>
      <w:r w:rsidRPr="00BF2BF6">
        <w:rPr>
          <w:b/>
        </w:rPr>
        <w:t xml:space="preserve"> advice</w:t>
      </w:r>
    </w:p>
    <w:p w14:paraId="667E7959" w14:textId="7173E318" w:rsidR="00113C8F" w:rsidRPr="008E3E3B"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Q5</w:t>
      </w:r>
      <w:r>
        <w:tab/>
      </w:r>
      <w:r w:rsidRPr="008E3E3B">
        <w:t xml:space="preserve">What </w:t>
      </w:r>
      <w:r>
        <w:t>are the harms and</w:t>
      </w:r>
      <w:r w:rsidRPr="008E3E3B">
        <w:t xml:space="preserve"> benefit</w:t>
      </w:r>
      <w:r>
        <w:t>s of physical activity</w:t>
      </w:r>
      <w:r w:rsidRPr="008E3E3B">
        <w:t xml:space="preserve"> during pregnancy?  </w:t>
      </w:r>
    </w:p>
    <w:p w14:paraId="1D023B94" w14:textId="05DC0DFA" w:rsidR="00113C8F"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Q6</w:t>
      </w:r>
      <w:r>
        <w:tab/>
      </w:r>
      <w:r w:rsidRPr="008E3E3B">
        <w:t xml:space="preserve">What </w:t>
      </w:r>
      <w:r>
        <w:t>physical activities</w:t>
      </w:r>
      <w:r w:rsidRPr="008E3E3B">
        <w:t xml:space="preserve"> are associated with adverse maternal and perinatal outcomes?  </w:t>
      </w:r>
    </w:p>
    <w:p w14:paraId="79B453FC" w14:textId="39EAC35F" w:rsidR="00113C8F" w:rsidRPr="00BF2BF6"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BF2BF6">
        <w:rPr>
          <w:b/>
        </w:rPr>
        <w:t>Weight</w:t>
      </w:r>
      <w:r w:rsidR="007D30D7" w:rsidRPr="00BF2BF6">
        <w:rPr>
          <w:b/>
        </w:rPr>
        <w:t xml:space="preserve"> assessment</w:t>
      </w:r>
    </w:p>
    <w:p w14:paraId="6054D7B9" w14:textId="25E7D310" w:rsidR="00113C8F"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w:t>
      </w:r>
      <w:r w:rsidR="007D30D7">
        <w:t>7</w:t>
      </w:r>
      <w:r>
        <w:tab/>
        <w:t>When should maternal weight and height be measured and BMI calculated in pregnant women?</w:t>
      </w:r>
    </w:p>
    <w:p w14:paraId="31E4C606" w14:textId="0911EF23" w:rsidR="00113C8F"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ind w:left="709" w:hanging="709"/>
      </w:pPr>
      <w:r>
        <w:t>Q</w:t>
      </w:r>
      <w:r w:rsidR="007D30D7">
        <w:t>8</w:t>
      </w:r>
      <w:r>
        <w:tab/>
        <w:t>What specific risk assessments are required for pregnant women with high or low BMI at the first antenatal visit?</w:t>
      </w:r>
    </w:p>
    <w:p w14:paraId="3EF004DB" w14:textId="77777777" w:rsidR="007D30D7" w:rsidRPr="00BF2BF6" w:rsidRDefault="007D30D7"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BF2BF6">
        <w:rPr>
          <w:b/>
          <w:lang w:val="en"/>
        </w:rPr>
        <w:t>Interventions</w:t>
      </w:r>
    </w:p>
    <w:p w14:paraId="58857FDE" w14:textId="4B3DF0E8" w:rsidR="007D30D7" w:rsidRDefault="007D30D7"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ind w:left="709" w:hanging="709"/>
      </w:pPr>
      <w:r>
        <w:t>Q9</w:t>
      </w:r>
      <w:r>
        <w:tab/>
        <w:t>What lifestyle interventions are effective in preventing excessive weight gain</w:t>
      </w:r>
      <w:r w:rsidR="00180846">
        <w:t xml:space="preserve"> and other adverse outcomes</w:t>
      </w:r>
      <w:r>
        <w:t xml:space="preserve"> in pregnant women?</w:t>
      </w:r>
    </w:p>
    <w:p w14:paraId="6B938BF6" w14:textId="18F70B9F" w:rsidR="0054099C" w:rsidRPr="00BF2BF6" w:rsidRDefault="0054099C"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rPr>
          <w:b/>
        </w:rPr>
      </w:pPr>
      <w:r w:rsidRPr="00BF2BF6">
        <w:rPr>
          <w:b/>
          <w:lang w:val="en"/>
        </w:rPr>
        <w:t>Additional considerations</w:t>
      </w:r>
      <w:bookmarkEnd w:id="3"/>
    </w:p>
    <w:p w14:paraId="166D5E85" w14:textId="506E0E4A" w:rsidR="0054099C"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Q10</w:t>
      </w:r>
      <w:r w:rsidR="0054099C">
        <w:tab/>
      </w:r>
      <w:r w:rsidR="0054099C" w:rsidRPr="00193E53">
        <w:t xml:space="preserve">What are the additional </w:t>
      </w:r>
      <w:r w:rsidR="0054099C">
        <w:t>considerations for</w:t>
      </w:r>
      <w:r w:rsidR="0054099C" w:rsidRPr="00193E53">
        <w:t xml:space="preserve"> Aboriginal and Torres Strait Islander women? </w:t>
      </w:r>
    </w:p>
    <w:p w14:paraId="7CCFDB6C" w14:textId="5B647FEB" w:rsidR="0054099C" w:rsidRDefault="00113C8F" w:rsidP="00BF2BF6">
      <w:pPr>
        <w:pStyle w:val="Tablecell"/>
        <w:pBdr>
          <w:top w:val="single" w:sz="4" w:space="1" w:color="auto"/>
          <w:left w:val="single" w:sz="4" w:space="4" w:color="auto"/>
          <w:bottom w:val="single" w:sz="4" w:space="1" w:color="auto"/>
          <w:right w:val="single" w:sz="4" w:space="4" w:color="auto"/>
        </w:pBdr>
        <w:shd w:val="clear" w:color="auto" w:fill="D9E2F3" w:themeFill="accent1" w:themeFillTint="33"/>
      </w:pPr>
      <w:r>
        <w:t>Q11</w:t>
      </w:r>
      <w:r w:rsidR="0054099C">
        <w:tab/>
      </w:r>
      <w:r w:rsidR="0054099C" w:rsidRPr="00C241BA">
        <w:t>What are the additional considerations for</w:t>
      </w:r>
      <w:r w:rsidR="0054099C">
        <w:t xml:space="preserve"> migrant and refugee women</w:t>
      </w:r>
    </w:p>
    <w:p w14:paraId="30FBF402" w14:textId="7637DFAD" w:rsidR="000D04A0" w:rsidRDefault="0041497E" w:rsidP="00932C6D">
      <w:pPr>
        <w:pStyle w:val="TableName"/>
      </w:pPr>
      <w:bookmarkStart w:id="4" w:name="_Toc40956579"/>
      <w:r>
        <w:t xml:space="preserve">Mapping of </w:t>
      </w:r>
      <w:r w:rsidR="00F643F4">
        <w:t xml:space="preserve">searches to </w:t>
      </w:r>
      <w:r>
        <w:t>researc</w:t>
      </w:r>
      <w:r w:rsidR="00F643F4">
        <w:t>h questions and type</w:t>
      </w:r>
      <w:r>
        <w:t xml:space="preserve"> of review</w:t>
      </w:r>
      <w:bookmarkEnd w:id="4"/>
    </w:p>
    <w:tbl>
      <w:tblPr>
        <w:tblStyle w:val="TableGrid"/>
        <w:tblW w:w="0" w:type="auto"/>
        <w:tblInd w:w="-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E7E6E6" w:themeFill="background2"/>
        <w:tblLook w:val="04A0" w:firstRow="1" w:lastRow="0" w:firstColumn="1" w:lastColumn="0" w:noHBand="0" w:noVBand="1"/>
        <w:tblCaption w:val="Table 1: Table 1: Mapping of searches to research questions and type of review"/>
      </w:tblPr>
      <w:tblGrid>
        <w:gridCol w:w="1135"/>
        <w:gridCol w:w="1842"/>
        <w:gridCol w:w="4536"/>
        <w:gridCol w:w="1799"/>
      </w:tblGrid>
      <w:tr w:rsidR="00E44521" w:rsidRPr="00065FDE" w14:paraId="5F7BA560" w14:textId="600C5918" w:rsidTr="000411FD">
        <w:trPr>
          <w:tblHeader/>
        </w:trPr>
        <w:tc>
          <w:tcPr>
            <w:tcW w:w="1135" w:type="dxa"/>
            <w:shd w:val="clear" w:color="auto" w:fill="E7E6E6" w:themeFill="background2"/>
          </w:tcPr>
          <w:p w14:paraId="3B301E81" w14:textId="55744F3B" w:rsidR="00DC6671" w:rsidRPr="00065FDE" w:rsidRDefault="00DC6671" w:rsidP="000D04A0">
            <w:pPr>
              <w:pStyle w:val="TableRCTs"/>
              <w:rPr>
                <w:b/>
              </w:rPr>
            </w:pPr>
            <w:r>
              <w:rPr>
                <w:b/>
              </w:rPr>
              <w:t>Q</w:t>
            </w:r>
            <w:r w:rsidRPr="00065FDE">
              <w:rPr>
                <w:b/>
              </w:rPr>
              <w:t>uestion</w:t>
            </w:r>
          </w:p>
        </w:tc>
        <w:tc>
          <w:tcPr>
            <w:tcW w:w="1842" w:type="dxa"/>
            <w:shd w:val="clear" w:color="auto" w:fill="E7E6E6" w:themeFill="background2"/>
          </w:tcPr>
          <w:p w14:paraId="400F1C1F" w14:textId="3DF322BA" w:rsidR="00DC6671" w:rsidRPr="00065FDE" w:rsidRDefault="00DC6671" w:rsidP="000D04A0">
            <w:pPr>
              <w:pStyle w:val="TableRCTs"/>
              <w:rPr>
                <w:b/>
              </w:rPr>
            </w:pPr>
            <w:r w:rsidRPr="00065FDE">
              <w:rPr>
                <w:b/>
              </w:rPr>
              <w:t>Search</w:t>
            </w:r>
          </w:p>
        </w:tc>
        <w:tc>
          <w:tcPr>
            <w:tcW w:w="4536" w:type="dxa"/>
            <w:shd w:val="clear" w:color="auto" w:fill="E7E6E6" w:themeFill="background2"/>
          </w:tcPr>
          <w:p w14:paraId="1EB6A243" w14:textId="671637FD" w:rsidR="00DC6671" w:rsidRPr="00065FDE" w:rsidRDefault="00DC6671" w:rsidP="000D04A0">
            <w:pPr>
              <w:pStyle w:val="TableRCTs"/>
              <w:rPr>
                <w:b/>
              </w:rPr>
            </w:pPr>
            <w:r w:rsidRPr="00065FDE">
              <w:rPr>
                <w:b/>
              </w:rPr>
              <w:t>Types of studies included</w:t>
            </w:r>
          </w:p>
        </w:tc>
        <w:tc>
          <w:tcPr>
            <w:tcW w:w="1799" w:type="dxa"/>
            <w:shd w:val="clear" w:color="auto" w:fill="E7E6E6" w:themeFill="background2"/>
          </w:tcPr>
          <w:p w14:paraId="54C2D26C" w14:textId="181D0171" w:rsidR="00DC6671" w:rsidRPr="00065FDE" w:rsidRDefault="00DC6671" w:rsidP="000D04A0">
            <w:pPr>
              <w:pStyle w:val="TableRCTs"/>
              <w:rPr>
                <w:b/>
              </w:rPr>
            </w:pPr>
            <w:r>
              <w:rPr>
                <w:b/>
              </w:rPr>
              <w:t>Review type</w:t>
            </w:r>
          </w:p>
        </w:tc>
      </w:tr>
      <w:tr w:rsidR="00E44521" w14:paraId="78A89D1D" w14:textId="510F57DE" w:rsidTr="000411FD">
        <w:tc>
          <w:tcPr>
            <w:tcW w:w="1135" w:type="dxa"/>
            <w:shd w:val="clear" w:color="auto" w:fill="E7E6E6" w:themeFill="background2"/>
          </w:tcPr>
          <w:p w14:paraId="25844731" w14:textId="4D395AFC" w:rsidR="00DC6671" w:rsidRDefault="00DC6671" w:rsidP="000D04A0">
            <w:pPr>
              <w:pStyle w:val="TableRCTs"/>
            </w:pPr>
            <w:r>
              <w:t>Question 1</w:t>
            </w:r>
          </w:p>
        </w:tc>
        <w:tc>
          <w:tcPr>
            <w:tcW w:w="1842" w:type="dxa"/>
            <w:shd w:val="clear" w:color="auto" w:fill="E7E6E6" w:themeFill="background2"/>
          </w:tcPr>
          <w:p w14:paraId="5EABEB2E" w14:textId="032479F0" w:rsidR="00DC6671" w:rsidRDefault="00DC6671" w:rsidP="000D04A0">
            <w:pPr>
              <w:pStyle w:val="TableRCTs"/>
            </w:pPr>
            <w:r>
              <w:t>Diet and pregnancy</w:t>
            </w:r>
          </w:p>
        </w:tc>
        <w:tc>
          <w:tcPr>
            <w:tcW w:w="4536" w:type="dxa"/>
            <w:shd w:val="clear" w:color="auto" w:fill="E7E6E6" w:themeFill="background2"/>
          </w:tcPr>
          <w:p w14:paraId="046A2F63" w14:textId="51E49A2D" w:rsidR="00DC6671" w:rsidRDefault="00DC6671" w:rsidP="000D04A0">
            <w:pPr>
              <w:pStyle w:val="TableRCTs"/>
            </w:pPr>
            <w:r>
              <w:t>Systematic reviews, RCTs, observational studies</w:t>
            </w:r>
          </w:p>
        </w:tc>
        <w:tc>
          <w:tcPr>
            <w:tcW w:w="1799" w:type="dxa"/>
            <w:shd w:val="clear" w:color="auto" w:fill="E7E6E6" w:themeFill="background2"/>
          </w:tcPr>
          <w:p w14:paraId="54AAC94C" w14:textId="08FF150F" w:rsidR="00DC6671" w:rsidRDefault="00DC6671" w:rsidP="000D04A0">
            <w:pPr>
              <w:pStyle w:val="TableRCTs"/>
            </w:pPr>
            <w:r>
              <w:t>Narrative review</w:t>
            </w:r>
          </w:p>
        </w:tc>
      </w:tr>
      <w:tr w:rsidR="00E44521" w14:paraId="017E5A0A" w14:textId="36F946CC" w:rsidTr="000411FD">
        <w:tc>
          <w:tcPr>
            <w:tcW w:w="1135" w:type="dxa"/>
            <w:shd w:val="clear" w:color="auto" w:fill="E7E6E6" w:themeFill="background2"/>
          </w:tcPr>
          <w:p w14:paraId="77A04B8E" w14:textId="7D8A0A85" w:rsidR="00DC6671" w:rsidRDefault="00DC6671" w:rsidP="000D04A0">
            <w:pPr>
              <w:pStyle w:val="TableRCTs"/>
            </w:pPr>
            <w:r>
              <w:t>Question 2</w:t>
            </w:r>
          </w:p>
        </w:tc>
        <w:tc>
          <w:tcPr>
            <w:tcW w:w="1842" w:type="dxa"/>
            <w:shd w:val="clear" w:color="auto" w:fill="E7E6E6" w:themeFill="background2"/>
          </w:tcPr>
          <w:p w14:paraId="5B7F87B0" w14:textId="33C27F5C" w:rsidR="00DC6671" w:rsidRDefault="00DC6671" w:rsidP="000D04A0">
            <w:pPr>
              <w:pStyle w:val="TableRCTs"/>
            </w:pPr>
            <w:r>
              <w:t>Diet and pregnancy</w:t>
            </w:r>
          </w:p>
        </w:tc>
        <w:tc>
          <w:tcPr>
            <w:tcW w:w="4536" w:type="dxa"/>
            <w:shd w:val="clear" w:color="auto" w:fill="E7E6E6" w:themeFill="background2"/>
          </w:tcPr>
          <w:p w14:paraId="46854394" w14:textId="1CCA0B8C" w:rsidR="00DC6671" w:rsidRDefault="00DC6671" w:rsidP="000D04A0">
            <w:pPr>
              <w:pStyle w:val="TableRCTs"/>
            </w:pPr>
            <w:r>
              <w:t>Systematic reviews, RCTs, observational studies</w:t>
            </w:r>
          </w:p>
        </w:tc>
        <w:tc>
          <w:tcPr>
            <w:tcW w:w="1799" w:type="dxa"/>
            <w:shd w:val="clear" w:color="auto" w:fill="E7E6E6" w:themeFill="background2"/>
          </w:tcPr>
          <w:p w14:paraId="141DBFF4" w14:textId="046E4786" w:rsidR="00DC6671" w:rsidRDefault="00DC6671" w:rsidP="000D04A0">
            <w:pPr>
              <w:pStyle w:val="TableRCTs"/>
            </w:pPr>
            <w:r>
              <w:t>Narrative review</w:t>
            </w:r>
          </w:p>
        </w:tc>
      </w:tr>
      <w:tr w:rsidR="00E44521" w14:paraId="65F86B56" w14:textId="54599DD3" w:rsidTr="000411FD">
        <w:tc>
          <w:tcPr>
            <w:tcW w:w="1135" w:type="dxa"/>
            <w:vMerge w:val="restart"/>
            <w:shd w:val="clear" w:color="auto" w:fill="E7E6E6" w:themeFill="background2"/>
          </w:tcPr>
          <w:p w14:paraId="0422E463" w14:textId="29A784D6" w:rsidR="00DC6671" w:rsidRDefault="00DC6671" w:rsidP="000D04A0">
            <w:pPr>
              <w:pStyle w:val="TableRCTs"/>
            </w:pPr>
            <w:r>
              <w:t>Question 3</w:t>
            </w:r>
          </w:p>
        </w:tc>
        <w:tc>
          <w:tcPr>
            <w:tcW w:w="1842" w:type="dxa"/>
            <w:shd w:val="clear" w:color="auto" w:fill="E7E6E6" w:themeFill="background2"/>
          </w:tcPr>
          <w:p w14:paraId="49A069F4" w14:textId="1A9FC8BB" w:rsidR="00DC6671" w:rsidRDefault="00DC6671" w:rsidP="000D04A0">
            <w:pPr>
              <w:pStyle w:val="TableRCTs"/>
            </w:pPr>
            <w:r>
              <w:t>Folic acid</w:t>
            </w:r>
          </w:p>
        </w:tc>
        <w:tc>
          <w:tcPr>
            <w:tcW w:w="4536" w:type="dxa"/>
            <w:shd w:val="clear" w:color="auto" w:fill="E7E6E6" w:themeFill="background2"/>
          </w:tcPr>
          <w:p w14:paraId="2A0D9420" w14:textId="41F249F4"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0D088B9C" w14:textId="60614595" w:rsidR="00DC6671" w:rsidRDefault="00DC6671" w:rsidP="000D04A0">
            <w:pPr>
              <w:pStyle w:val="TableRCTs"/>
            </w:pPr>
            <w:r>
              <w:t>Narrative review</w:t>
            </w:r>
          </w:p>
        </w:tc>
      </w:tr>
      <w:tr w:rsidR="00E44521" w14:paraId="0AA65214" w14:textId="1BE09EFD" w:rsidTr="000411FD">
        <w:tc>
          <w:tcPr>
            <w:tcW w:w="1135" w:type="dxa"/>
            <w:vMerge/>
            <w:shd w:val="clear" w:color="auto" w:fill="E7E6E6" w:themeFill="background2"/>
          </w:tcPr>
          <w:p w14:paraId="063AA8AC" w14:textId="77777777" w:rsidR="00DC6671" w:rsidRDefault="00DC6671" w:rsidP="000D04A0">
            <w:pPr>
              <w:pStyle w:val="TableRCTs"/>
            </w:pPr>
          </w:p>
        </w:tc>
        <w:tc>
          <w:tcPr>
            <w:tcW w:w="1842" w:type="dxa"/>
            <w:shd w:val="clear" w:color="auto" w:fill="E7E6E6" w:themeFill="background2"/>
          </w:tcPr>
          <w:p w14:paraId="13658D94" w14:textId="5CFCDF49" w:rsidR="00DC6671" w:rsidRDefault="00DC6671" w:rsidP="000D04A0">
            <w:pPr>
              <w:pStyle w:val="TableRCTs"/>
            </w:pPr>
            <w:r>
              <w:t>B</w:t>
            </w:r>
            <w:r w:rsidR="00D07346">
              <w:t xml:space="preserve"> vitamins</w:t>
            </w:r>
          </w:p>
        </w:tc>
        <w:tc>
          <w:tcPr>
            <w:tcW w:w="4536" w:type="dxa"/>
            <w:shd w:val="clear" w:color="auto" w:fill="E7E6E6" w:themeFill="background2"/>
          </w:tcPr>
          <w:p w14:paraId="39F517FF" w14:textId="73A61BC3"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1340160C" w14:textId="3065D3ED" w:rsidR="00DC6671" w:rsidRDefault="00DC6671" w:rsidP="000D04A0">
            <w:pPr>
              <w:pStyle w:val="TableRCTs"/>
            </w:pPr>
            <w:r>
              <w:t>Narrative review</w:t>
            </w:r>
          </w:p>
        </w:tc>
      </w:tr>
      <w:tr w:rsidR="00E44521" w14:paraId="3EA49AA1" w14:textId="1C9A7E70" w:rsidTr="000411FD">
        <w:tc>
          <w:tcPr>
            <w:tcW w:w="1135" w:type="dxa"/>
            <w:vMerge/>
            <w:shd w:val="clear" w:color="auto" w:fill="E7E6E6" w:themeFill="background2"/>
          </w:tcPr>
          <w:p w14:paraId="75FFA77B" w14:textId="77777777" w:rsidR="00DC6671" w:rsidRDefault="00DC6671" w:rsidP="000D04A0">
            <w:pPr>
              <w:pStyle w:val="TableRCTs"/>
            </w:pPr>
          </w:p>
        </w:tc>
        <w:tc>
          <w:tcPr>
            <w:tcW w:w="1842" w:type="dxa"/>
            <w:shd w:val="clear" w:color="auto" w:fill="E7E6E6" w:themeFill="background2"/>
          </w:tcPr>
          <w:p w14:paraId="6BC8FEC2" w14:textId="2C3CD6ED" w:rsidR="00DC6671" w:rsidRDefault="00DC6671" w:rsidP="000D04A0">
            <w:pPr>
              <w:pStyle w:val="TableRCTs"/>
            </w:pPr>
            <w:r>
              <w:t>Vitamin C</w:t>
            </w:r>
          </w:p>
        </w:tc>
        <w:tc>
          <w:tcPr>
            <w:tcW w:w="4536" w:type="dxa"/>
            <w:shd w:val="clear" w:color="auto" w:fill="E7E6E6" w:themeFill="background2"/>
          </w:tcPr>
          <w:p w14:paraId="18E25A08" w14:textId="29391586"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6DF14B60" w14:textId="116A5991" w:rsidR="00DC6671" w:rsidRDefault="00DC6671" w:rsidP="000D04A0">
            <w:pPr>
              <w:pStyle w:val="TableRCTs"/>
            </w:pPr>
            <w:r>
              <w:t>Narrative review</w:t>
            </w:r>
          </w:p>
        </w:tc>
      </w:tr>
      <w:tr w:rsidR="00E44521" w14:paraId="321D61C7" w14:textId="5CE5A705" w:rsidTr="000411FD">
        <w:tc>
          <w:tcPr>
            <w:tcW w:w="1135" w:type="dxa"/>
            <w:vMerge/>
            <w:shd w:val="clear" w:color="auto" w:fill="E7E6E6" w:themeFill="background2"/>
          </w:tcPr>
          <w:p w14:paraId="4BCCF565" w14:textId="77777777" w:rsidR="00DC6671" w:rsidRDefault="00DC6671" w:rsidP="000D04A0">
            <w:pPr>
              <w:pStyle w:val="TableRCTs"/>
            </w:pPr>
          </w:p>
        </w:tc>
        <w:tc>
          <w:tcPr>
            <w:tcW w:w="1842" w:type="dxa"/>
            <w:shd w:val="clear" w:color="auto" w:fill="E7E6E6" w:themeFill="background2"/>
          </w:tcPr>
          <w:p w14:paraId="10EEF48B" w14:textId="5A6EE2DD" w:rsidR="00DC6671" w:rsidRDefault="00DC6671" w:rsidP="000D04A0">
            <w:pPr>
              <w:pStyle w:val="TableRCTs"/>
            </w:pPr>
            <w:r>
              <w:t>Vitamin E</w:t>
            </w:r>
          </w:p>
        </w:tc>
        <w:tc>
          <w:tcPr>
            <w:tcW w:w="4536" w:type="dxa"/>
            <w:shd w:val="clear" w:color="auto" w:fill="E7E6E6" w:themeFill="background2"/>
          </w:tcPr>
          <w:p w14:paraId="3A282B99" w14:textId="75B053B5"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71456279" w14:textId="3E73F257" w:rsidR="00DC6671" w:rsidRDefault="00DC6671" w:rsidP="000D04A0">
            <w:pPr>
              <w:pStyle w:val="TableRCTs"/>
            </w:pPr>
            <w:r>
              <w:t>Narrative review</w:t>
            </w:r>
          </w:p>
        </w:tc>
      </w:tr>
      <w:tr w:rsidR="00E44521" w14:paraId="6C077F75" w14:textId="0DDFBF3C" w:rsidTr="000411FD">
        <w:tc>
          <w:tcPr>
            <w:tcW w:w="1135" w:type="dxa"/>
            <w:vMerge/>
            <w:shd w:val="clear" w:color="auto" w:fill="E7E6E6" w:themeFill="background2"/>
          </w:tcPr>
          <w:p w14:paraId="3655A92D" w14:textId="77777777" w:rsidR="00DC6671" w:rsidRDefault="00DC6671" w:rsidP="000D04A0">
            <w:pPr>
              <w:pStyle w:val="TableRCTs"/>
            </w:pPr>
          </w:p>
        </w:tc>
        <w:tc>
          <w:tcPr>
            <w:tcW w:w="1842" w:type="dxa"/>
            <w:shd w:val="clear" w:color="auto" w:fill="E7E6E6" w:themeFill="background2"/>
          </w:tcPr>
          <w:p w14:paraId="0F47EF8E" w14:textId="43E8C5B2" w:rsidR="00DC6671" w:rsidRDefault="00DC6671" w:rsidP="000D04A0">
            <w:pPr>
              <w:pStyle w:val="TableRCTs"/>
            </w:pPr>
            <w:r>
              <w:t>Vitamin A</w:t>
            </w:r>
          </w:p>
        </w:tc>
        <w:tc>
          <w:tcPr>
            <w:tcW w:w="4536" w:type="dxa"/>
            <w:shd w:val="clear" w:color="auto" w:fill="E7E6E6" w:themeFill="background2"/>
          </w:tcPr>
          <w:p w14:paraId="55BDC3A5" w14:textId="3A70F9CE"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5BB81D43" w14:textId="43A8F343" w:rsidR="00DC6671" w:rsidRDefault="00DC6671" w:rsidP="000D04A0">
            <w:pPr>
              <w:pStyle w:val="TableRCTs"/>
            </w:pPr>
            <w:r>
              <w:t>Narrative review</w:t>
            </w:r>
          </w:p>
        </w:tc>
      </w:tr>
      <w:tr w:rsidR="00E44521" w14:paraId="4D50D979" w14:textId="41478395" w:rsidTr="000411FD">
        <w:tc>
          <w:tcPr>
            <w:tcW w:w="1135" w:type="dxa"/>
            <w:vMerge/>
            <w:shd w:val="clear" w:color="auto" w:fill="E7E6E6" w:themeFill="background2"/>
          </w:tcPr>
          <w:p w14:paraId="76B1A8A2" w14:textId="77777777" w:rsidR="00DC6671" w:rsidRDefault="00DC6671" w:rsidP="000D04A0">
            <w:pPr>
              <w:pStyle w:val="TableRCTs"/>
            </w:pPr>
          </w:p>
        </w:tc>
        <w:tc>
          <w:tcPr>
            <w:tcW w:w="1842" w:type="dxa"/>
            <w:shd w:val="clear" w:color="auto" w:fill="E7E6E6" w:themeFill="background2"/>
          </w:tcPr>
          <w:p w14:paraId="189F35E1" w14:textId="112DB9F9" w:rsidR="00DC6671" w:rsidRDefault="00DC6671" w:rsidP="00D07346">
            <w:pPr>
              <w:pStyle w:val="TableRCTs"/>
            </w:pPr>
            <w:r>
              <w:t>Multi</w:t>
            </w:r>
            <w:r w:rsidR="00D07346">
              <w:t>ple micronutrients</w:t>
            </w:r>
          </w:p>
        </w:tc>
        <w:tc>
          <w:tcPr>
            <w:tcW w:w="4536" w:type="dxa"/>
            <w:shd w:val="clear" w:color="auto" w:fill="E7E6E6" w:themeFill="background2"/>
          </w:tcPr>
          <w:p w14:paraId="2EE2C94A" w14:textId="6082A9EF"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6F8FC8B6" w14:textId="34777463" w:rsidR="00DC6671" w:rsidRDefault="00DC6671" w:rsidP="000D04A0">
            <w:pPr>
              <w:pStyle w:val="TableRCTs"/>
            </w:pPr>
            <w:r>
              <w:t>Narrative review</w:t>
            </w:r>
          </w:p>
        </w:tc>
      </w:tr>
      <w:tr w:rsidR="00E44521" w14:paraId="7B0D2F9E" w14:textId="7A13E94C" w:rsidTr="000411FD">
        <w:tc>
          <w:tcPr>
            <w:tcW w:w="1135" w:type="dxa"/>
            <w:vMerge/>
            <w:shd w:val="clear" w:color="auto" w:fill="E7E6E6" w:themeFill="background2"/>
          </w:tcPr>
          <w:p w14:paraId="31B3DCA3" w14:textId="77777777" w:rsidR="00DC6671" w:rsidRDefault="00DC6671" w:rsidP="000D04A0">
            <w:pPr>
              <w:pStyle w:val="TableRCTs"/>
            </w:pPr>
          </w:p>
        </w:tc>
        <w:tc>
          <w:tcPr>
            <w:tcW w:w="1842" w:type="dxa"/>
            <w:shd w:val="clear" w:color="auto" w:fill="E7E6E6" w:themeFill="background2"/>
          </w:tcPr>
          <w:p w14:paraId="5C241F59" w14:textId="7D627838" w:rsidR="00DC6671" w:rsidRDefault="00DC6671" w:rsidP="000D04A0">
            <w:pPr>
              <w:pStyle w:val="TableRCTs"/>
            </w:pPr>
            <w:r>
              <w:t xml:space="preserve">Iron </w:t>
            </w:r>
          </w:p>
        </w:tc>
        <w:tc>
          <w:tcPr>
            <w:tcW w:w="4536" w:type="dxa"/>
            <w:shd w:val="clear" w:color="auto" w:fill="E7E6E6" w:themeFill="background2"/>
          </w:tcPr>
          <w:p w14:paraId="70D373C5" w14:textId="779E2108"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68E9FA20" w14:textId="72FD0D3E" w:rsidR="00DC6671" w:rsidRDefault="00DC6671" w:rsidP="000D04A0">
            <w:pPr>
              <w:pStyle w:val="TableRCTs"/>
            </w:pPr>
            <w:r>
              <w:t>Narrative review</w:t>
            </w:r>
          </w:p>
        </w:tc>
      </w:tr>
      <w:tr w:rsidR="00E44521" w14:paraId="62A9B2CB" w14:textId="732D7EA8" w:rsidTr="000411FD">
        <w:tc>
          <w:tcPr>
            <w:tcW w:w="1135" w:type="dxa"/>
            <w:vMerge/>
            <w:shd w:val="clear" w:color="auto" w:fill="E7E6E6" w:themeFill="background2"/>
          </w:tcPr>
          <w:p w14:paraId="1A3CAE96" w14:textId="77777777" w:rsidR="00DC6671" w:rsidRDefault="00DC6671" w:rsidP="000D04A0">
            <w:pPr>
              <w:pStyle w:val="TableRCTs"/>
            </w:pPr>
          </w:p>
        </w:tc>
        <w:tc>
          <w:tcPr>
            <w:tcW w:w="1842" w:type="dxa"/>
            <w:shd w:val="clear" w:color="auto" w:fill="E7E6E6" w:themeFill="background2"/>
          </w:tcPr>
          <w:p w14:paraId="25027F3E" w14:textId="33FBDA75" w:rsidR="00DC6671" w:rsidRDefault="00DC6671" w:rsidP="000D04A0">
            <w:pPr>
              <w:pStyle w:val="TableRCTs"/>
            </w:pPr>
            <w:r>
              <w:t>Calcium</w:t>
            </w:r>
          </w:p>
        </w:tc>
        <w:tc>
          <w:tcPr>
            <w:tcW w:w="4536" w:type="dxa"/>
            <w:shd w:val="clear" w:color="auto" w:fill="E7E6E6" w:themeFill="background2"/>
          </w:tcPr>
          <w:p w14:paraId="6BD843B0" w14:textId="74D8299C"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3360D57D" w14:textId="1FB98EAB" w:rsidR="00DC6671" w:rsidRDefault="00DC6671" w:rsidP="000D04A0">
            <w:pPr>
              <w:pStyle w:val="TableRCTs"/>
            </w:pPr>
            <w:r>
              <w:t>Narrative review</w:t>
            </w:r>
          </w:p>
        </w:tc>
      </w:tr>
      <w:tr w:rsidR="00E44521" w14:paraId="4EEDD3F7" w14:textId="24EAE9F7" w:rsidTr="000411FD">
        <w:trPr>
          <w:trHeight w:val="267"/>
        </w:trPr>
        <w:tc>
          <w:tcPr>
            <w:tcW w:w="1135" w:type="dxa"/>
            <w:vMerge/>
            <w:shd w:val="clear" w:color="auto" w:fill="E7E6E6" w:themeFill="background2"/>
          </w:tcPr>
          <w:p w14:paraId="233CF954" w14:textId="77777777" w:rsidR="00DC6671" w:rsidRDefault="00DC6671" w:rsidP="000D04A0">
            <w:pPr>
              <w:pStyle w:val="TableRCTs"/>
            </w:pPr>
          </w:p>
        </w:tc>
        <w:tc>
          <w:tcPr>
            <w:tcW w:w="1842" w:type="dxa"/>
            <w:shd w:val="clear" w:color="auto" w:fill="E7E6E6" w:themeFill="background2"/>
          </w:tcPr>
          <w:p w14:paraId="7535CE59" w14:textId="3FF7E5A4" w:rsidR="00DC6671" w:rsidRDefault="0039170F" w:rsidP="000D04A0">
            <w:pPr>
              <w:pStyle w:val="TableRCTs"/>
            </w:pPr>
            <w:r>
              <w:t>I</w:t>
            </w:r>
            <w:r w:rsidR="00DC6671">
              <w:t>odine</w:t>
            </w:r>
          </w:p>
        </w:tc>
        <w:tc>
          <w:tcPr>
            <w:tcW w:w="4536" w:type="dxa"/>
            <w:shd w:val="clear" w:color="auto" w:fill="E7E6E6" w:themeFill="background2"/>
          </w:tcPr>
          <w:p w14:paraId="2C3A2D6F" w14:textId="6EAD2066" w:rsidR="00DC6671" w:rsidRDefault="00725D89" w:rsidP="000D04A0">
            <w:pPr>
              <w:pStyle w:val="TableRCTs"/>
            </w:pPr>
            <w:r>
              <w:t xml:space="preserve">Systematic reviews, RCTs, </w:t>
            </w:r>
            <w:r w:rsidR="00C74ECD">
              <w:t xml:space="preserve">Australian </w:t>
            </w:r>
            <w:r>
              <w:t>observational studies</w:t>
            </w:r>
          </w:p>
        </w:tc>
        <w:tc>
          <w:tcPr>
            <w:tcW w:w="1799" w:type="dxa"/>
            <w:shd w:val="clear" w:color="auto" w:fill="E7E6E6" w:themeFill="background2"/>
          </w:tcPr>
          <w:p w14:paraId="631E5C21" w14:textId="74733FBB" w:rsidR="00DC6671" w:rsidRDefault="00DC6671" w:rsidP="000D04A0">
            <w:pPr>
              <w:pStyle w:val="TableRCTs"/>
            </w:pPr>
            <w:r>
              <w:t>Narrative review</w:t>
            </w:r>
          </w:p>
        </w:tc>
      </w:tr>
      <w:tr w:rsidR="00E44521" w14:paraId="0175C616" w14:textId="1EC14F0F" w:rsidTr="000411FD">
        <w:tc>
          <w:tcPr>
            <w:tcW w:w="1135" w:type="dxa"/>
            <w:vMerge/>
            <w:shd w:val="clear" w:color="auto" w:fill="E7E6E6" w:themeFill="background2"/>
          </w:tcPr>
          <w:p w14:paraId="14E98000" w14:textId="77777777" w:rsidR="00DC6671" w:rsidRDefault="00DC6671" w:rsidP="000D04A0">
            <w:pPr>
              <w:pStyle w:val="TableRCTs"/>
            </w:pPr>
          </w:p>
        </w:tc>
        <w:tc>
          <w:tcPr>
            <w:tcW w:w="1842" w:type="dxa"/>
            <w:shd w:val="clear" w:color="auto" w:fill="E7E6E6" w:themeFill="background2"/>
          </w:tcPr>
          <w:p w14:paraId="5CE04E99" w14:textId="5DB62D45" w:rsidR="00DC6671" w:rsidRDefault="00DC6671" w:rsidP="000D04A0">
            <w:pPr>
              <w:pStyle w:val="TableRCTs"/>
            </w:pPr>
            <w:r>
              <w:t>Zinc</w:t>
            </w:r>
          </w:p>
        </w:tc>
        <w:tc>
          <w:tcPr>
            <w:tcW w:w="4536" w:type="dxa"/>
            <w:shd w:val="clear" w:color="auto" w:fill="E7E6E6" w:themeFill="background2"/>
          </w:tcPr>
          <w:p w14:paraId="2434322E" w14:textId="67A3EF6A" w:rsidR="00DC6671" w:rsidRDefault="00725D89" w:rsidP="000D04A0">
            <w:pPr>
              <w:pStyle w:val="TableRCTs"/>
            </w:pPr>
            <w:r>
              <w:t xml:space="preserve">Systematic reviews, RCTs, </w:t>
            </w:r>
            <w:r w:rsidR="007B73E5">
              <w:t xml:space="preserve">Australian </w:t>
            </w:r>
            <w:r>
              <w:t>observational studies</w:t>
            </w:r>
          </w:p>
        </w:tc>
        <w:tc>
          <w:tcPr>
            <w:tcW w:w="1799" w:type="dxa"/>
            <w:shd w:val="clear" w:color="auto" w:fill="E7E6E6" w:themeFill="background2"/>
          </w:tcPr>
          <w:p w14:paraId="7902A998" w14:textId="6C343EFD" w:rsidR="00DC6671" w:rsidRDefault="00DC6671" w:rsidP="000D04A0">
            <w:pPr>
              <w:pStyle w:val="TableRCTs"/>
            </w:pPr>
            <w:r>
              <w:t>Narrative review</w:t>
            </w:r>
          </w:p>
        </w:tc>
      </w:tr>
      <w:tr w:rsidR="00E44521" w14:paraId="6AFE2338" w14:textId="7631206E" w:rsidTr="000411FD">
        <w:tc>
          <w:tcPr>
            <w:tcW w:w="1135" w:type="dxa"/>
            <w:vMerge/>
            <w:shd w:val="clear" w:color="auto" w:fill="E7E6E6" w:themeFill="background2"/>
          </w:tcPr>
          <w:p w14:paraId="1E3CF663" w14:textId="77777777" w:rsidR="00DC6671" w:rsidRDefault="00DC6671" w:rsidP="000D04A0">
            <w:pPr>
              <w:pStyle w:val="TableRCTs"/>
            </w:pPr>
          </w:p>
        </w:tc>
        <w:tc>
          <w:tcPr>
            <w:tcW w:w="1842" w:type="dxa"/>
            <w:shd w:val="clear" w:color="auto" w:fill="E7E6E6" w:themeFill="background2"/>
          </w:tcPr>
          <w:p w14:paraId="23C4F6E1" w14:textId="6DE32FC5" w:rsidR="00DC6671" w:rsidRDefault="00DC6671" w:rsidP="00E16418">
            <w:pPr>
              <w:pStyle w:val="TableRCTs"/>
              <w:keepNext/>
              <w:keepLines/>
            </w:pPr>
            <w:r>
              <w:t xml:space="preserve">Magnesium </w:t>
            </w:r>
          </w:p>
        </w:tc>
        <w:tc>
          <w:tcPr>
            <w:tcW w:w="4536" w:type="dxa"/>
            <w:shd w:val="clear" w:color="auto" w:fill="E7E6E6" w:themeFill="background2"/>
          </w:tcPr>
          <w:p w14:paraId="563FDC95" w14:textId="6DF8EFF0" w:rsidR="00DC6671" w:rsidRDefault="00725D89" w:rsidP="00E16418">
            <w:pPr>
              <w:pStyle w:val="TableRCTs"/>
              <w:keepNext/>
              <w:keepLines/>
            </w:pPr>
            <w:r>
              <w:t xml:space="preserve">Systematic reviews, RCTs, </w:t>
            </w:r>
            <w:r w:rsidR="007B73E5">
              <w:t xml:space="preserve">Australian </w:t>
            </w:r>
            <w:r>
              <w:t>observational studies</w:t>
            </w:r>
          </w:p>
        </w:tc>
        <w:tc>
          <w:tcPr>
            <w:tcW w:w="1799" w:type="dxa"/>
            <w:shd w:val="clear" w:color="auto" w:fill="E7E6E6" w:themeFill="background2"/>
          </w:tcPr>
          <w:p w14:paraId="55B611AC" w14:textId="078ACF30" w:rsidR="00DC6671" w:rsidRDefault="00DC6671" w:rsidP="00E16418">
            <w:pPr>
              <w:pStyle w:val="TableRCTs"/>
              <w:keepNext/>
              <w:keepLines/>
            </w:pPr>
            <w:r>
              <w:t>Narrative review</w:t>
            </w:r>
          </w:p>
        </w:tc>
      </w:tr>
      <w:tr w:rsidR="00E44521" w14:paraId="25785857" w14:textId="44D0DB1C" w:rsidTr="000411FD">
        <w:tc>
          <w:tcPr>
            <w:tcW w:w="1135" w:type="dxa"/>
            <w:vMerge/>
            <w:shd w:val="clear" w:color="auto" w:fill="E7E6E6" w:themeFill="background2"/>
          </w:tcPr>
          <w:p w14:paraId="329A10D5" w14:textId="77777777" w:rsidR="00DC6671" w:rsidRDefault="00DC6671" w:rsidP="000D04A0">
            <w:pPr>
              <w:pStyle w:val="TableRCTs"/>
            </w:pPr>
          </w:p>
        </w:tc>
        <w:tc>
          <w:tcPr>
            <w:tcW w:w="1842" w:type="dxa"/>
            <w:shd w:val="clear" w:color="auto" w:fill="E7E6E6" w:themeFill="background2"/>
          </w:tcPr>
          <w:p w14:paraId="5B848E06" w14:textId="3FAC7EFE" w:rsidR="00DC6671" w:rsidRDefault="00DC6671" w:rsidP="000D04A0">
            <w:pPr>
              <w:pStyle w:val="TableRCTs"/>
            </w:pPr>
            <w:r>
              <w:t>Selenium</w:t>
            </w:r>
          </w:p>
        </w:tc>
        <w:tc>
          <w:tcPr>
            <w:tcW w:w="4536" w:type="dxa"/>
            <w:shd w:val="clear" w:color="auto" w:fill="E7E6E6" w:themeFill="background2"/>
          </w:tcPr>
          <w:p w14:paraId="0749636F" w14:textId="2DA21511" w:rsidR="00DC6671" w:rsidRDefault="00725D89" w:rsidP="000D04A0">
            <w:pPr>
              <w:pStyle w:val="TableRCTs"/>
            </w:pPr>
            <w:r>
              <w:t xml:space="preserve">Systematic reviews, RCTs, </w:t>
            </w:r>
            <w:r w:rsidR="007B73E5">
              <w:t xml:space="preserve">Australian </w:t>
            </w:r>
            <w:r>
              <w:t>observational studies</w:t>
            </w:r>
          </w:p>
        </w:tc>
        <w:tc>
          <w:tcPr>
            <w:tcW w:w="1799" w:type="dxa"/>
            <w:shd w:val="clear" w:color="auto" w:fill="E7E6E6" w:themeFill="background2"/>
          </w:tcPr>
          <w:p w14:paraId="1B72A308" w14:textId="7F08624E" w:rsidR="00DC6671" w:rsidRDefault="00DC6671" w:rsidP="000D04A0">
            <w:pPr>
              <w:pStyle w:val="TableRCTs"/>
            </w:pPr>
            <w:r>
              <w:t>Narrative review</w:t>
            </w:r>
          </w:p>
        </w:tc>
      </w:tr>
      <w:tr w:rsidR="00E44521" w14:paraId="09E6EAA2" w14:textId="77777777" w:rsidTr="000411FD">
        <w:tc>
          <w:tcPr>
            <w:tcW w:w="1135" w:type="dxa"/>
            <w:vMerge w:val="restart"/>
            <w:shd w:val="clear" w:color="auto" w:fill="E7E6E6" w:themeFill="background2"/>
          </w:tcPr>
          <w:p w14:paraId="30AD1CE9" w14:textId="2B53266A" w:rsidR="0039170F" w:rsidRDefault="0039170F" w:rsidP="00F643F4">
            <w:pPr>
              <w:pStyle w:val="TableRCTs"/>
              <w:keepNext/>
            </w:pPr>
            <w:r>
              <w:t>Question 4</w:t>
            </w:r>
          </w:p>
        </w:tc>
        <w:tc>
          <w:tcPr>
            <w:tcW w:w="1842" w:type="dxa"/>
            <w:shd w:val="clear" w:color="auto" w:fill="E7E6E6" w:themeFill="background2"/>
          </w:tcPr>
          <w:p w14:paraId="7C3AD1AF" w14:textId="565DD509" w:rsidR="0039170F" w:rsidRDefault="0039170F" w:rsidP="00F643F4">
            <w:pPr>
              <w:pStyle w:val="TableRCTs"/>
              <w:keepNext/>
            </w:pPr>
            <w:r>
              <w:t>Omega-3 fatty acids</w:t>
            </w:r>
          </w:p>
        </w:tc>
        <w:tc>
          <w:tcPr>
            <w:tcW w:w="4536" w:type="dxa"/>
            <w:shd w:val="clear" w:color="auto" w:fill="E7E6E6" w:themeFill="background2"/>
          </w:tcPr>
          <w:p w14:paraId="778B2BDE" w14:textId="68C2A231" w:rsidR="0039170F" w:rsidRDefault="0039170F" w:rsidP="00F643F4">
            <w:pPr>
              <w:pStyle w:val="TableRCTs"/>
              <w:keepNext/>
            </w:pPr>
            <w:r>
              <w:t>Recent Cochrane review</w:t>
            </w:r>
          </w:p>
        </w:tc>
        <w:tc>
          <w:tcPr>
            <w:tcW w:w="1799" w:type="dxa"/>
            <w:shd w:val="clear" w:color="auto" w:fill="E7E6E6" w:themeFill="background2"/>
          </w:tcPr>
          <w:p w14:paraId="311EE93F" w14:textId="457E3332" w:rsidR="0039170F" w:rsidRDefault="0039170F" w:rsidP="0039170F">
            <w:pPr>
              <w:pStyle w:val="TableRCTs"/>
              <w:keepNext/>
            </w:pPr>
            <w:r>
              <w:t>Summary of Cochrane review</w:t>
            </w:r>
          </w:p>
        </w:tc>
      </w:tr>
      <w:tr w:rsidR="00E44521" w14:paraId="53530BE3" w14:textId="17E525ED" w:rsidTr="000411FD">
        <w:tc>
          <w:tcPr>
            <w:tcW w:w="1135" w:type="dxa"/>
            <w:vMerge/>
            <w:shd w:val="clear" w:color="auto" w:fill="E7E6E6" w:themeFill="background2"/>
          </w:tcPr>
          <w:p w14:paraId="14E1D23B" w14:textId="5B92D71C" w:rsidR="0039170F" w:rsidRDefault="0039170F" w:rsidP="00F643F4">
            <w:pPr>
              <w:pStyle w:val="TableRCTs"/>
              <w:keepNext/>
            </w:pPr>
          </w:p>
        </w:tc>
        <w:tc>
          <w:tcPr>
            <w:tcW w:w="1842" w:type="dxa"/>
            <w:shd w:val="clear" w:color="auto" w:fill="E7E6E6" w:themeFill="background2"/>
          </w:tcPr>
          <w:p w14:paraId="364AE5FE" w14:textId="66818608" w:rsidR="0039170F" w:rsidRDefault="0039170F" w:rsidP="00F643F4">
            <w:pPr>
              <w:pStyle w:val="TableRCTs"/>
              <w:keepNext/>
            </w:pPr>
            <w:r>
              <w:t>Herbal preparations</w:t>
            </w:r>
          </w:p>
        </w:tc>
        <w:tc>
          <w:tcPr>
            <w:tcW w:w="4536" w:type="dxa"/>
            <w:shd w:val="clear" w:color="auto" w:fill="E7E6E6" w:themeFill="background2"/>
          </w:tcPr>
          <w:p w14:paraId="726622D4" w14:textId="6ED4685C" w:rsidR="0039170F" w:rsidRDefault="0039170F" w:rsidP="00F643F4">
            <w:pPr>
              <w:pStyle w:val="TableRCTs"/>
              <w:keepNext/>
            </w:pPr>
            <w:r>
              <w:t>Systematic reviews, RCTs, observational studies</w:t>
            </w:r>
          </w:p>
        </w:tc>
        <w:tc>
          <w:tcPr>
            <w:tcW w:w="1799" w:type="dxa"/>
            <w:shd w:val="clear" w:color="auto" w:fill="E7E6E6" w:themeFill="background2"/>
          </w:tcPr>
          <w:p w14:paraId="4CECBB88" w14:textId="24F6A58A" w:rsidR="0039170F" w:rsidRDefault="0039170F" w:rsidP="00F643F4">
            <w:pPr>
              <w:pStyle w:val="TableRCTs"/>
              <w:keepNext/>
            </w:pPr>
            <w:r>
              <w:t>Narrative review</w:t>
            </w:r>
          </w:p>
        </w:tc>
      </w:tr>
      <w:tr w:rsidR="00E44521" w14:paraId="2A530720" w14:textId="30E3205B" w:rsidTr="000411FD">
        <w:tc>
          <w:tcPr>
            <w:tcW w:w="1135" w:type="dxa"/>
            <w:vMerge/>
            <w:shd w:val="clear" w:color="auto" w:fill="E7E6E6" w:themeFill="background2"/>
          </w:tcPr>
          <w:p w14:paraId="5EAB1141" w14:textId="77777777" w:rsidR="0039170F" w:rsidRDefault="0039170F" w:rsidP="00F643F4">
            <w:pPr>
              <w:pStyle w:val="TableRCTs"/>
              <w:keepNext/>
            </w:pPr>
          </w:p>
        </w:tc>
        <w:tc>
          <w:tcPr>
            <w:tcW w:w="1842" w:type="dxa"/>
            <w:shd w:val="clear" w:color="auto" w:fill="E7E6E6" w:themeFill="background2"/>
          </w:tcPr>
          <w:p w14:paraId="63C1E32C" w14:textId="17BEB663" w:rsidR="0039170F" w:rsidRDefault="0039170F" w:rsidP="00F643F4">
            <w:pPr>
              <w:pStyle w:val="TableRCTs"/>
              <w:keepNext/>
            </w:pPr>
            <w:r>
              <w:t>Probiotics</w:t>
            </w:r>
          </w:p>
        </w:tc>
        <w:tc>
          <w:tcPr>
            <w:tcW w:w="4536" w:type="dxa"/>
            <w:shd w:val="clear" w:color="auto" w:fill="E7E6E6" w:themeFill="background2"/>
          </w:tcPr>
          <w:p w14:paraId="2034F2CB" w14:textId="21A315A3" w:rsidR="0039170F" w:rsidRDefault="0039170F" w:rsidP="00F643F4">
            <w:pPr>
              <w:pStyle w:val="TableRCTs"/>
              <w:keepNext/>
            </w:pPr>
            <w:r>
              <w:t>Systematic reviews of RCTs, RCTs</w:t>
            </w:r>
          </w:p>
        </w:tc>
        <w:tc>
          <w:tcPr>
            <w:tcW w:w="1799" w:type="dxa"/>
            <w:shd w:val="clear" w:color="auto" w:fill="E7E6E6" w:themeFill="background2"/>
          </w:tcPr>
          <w:p w14:paraId="145D15A2" w14:textId="253963B2" w:rsidR="0039170F" w:rsidRDefault="0039170F" w:rsidP="00F643F4">
            <w:pPr>
              <w:pStyle w:val="TableRCTs"/>
              <w:keepNext/>
            </w:pPr>
            <w:r>
              <w:t>Meta-analysis</w:t>
            </w:r>
          </w:p>
        </w:tc>
      </w:tr>
      <w:tr w:rsidR="00E44521" w14:paraId="68AAE5FE" w14:textId="5213A1C5" w:rsidTr="000411FD">
        <w:tc>
          <w:tcPr>
            <w:tcW w:w="1135" w:type="dxa"/>
            <w:shd w:val="clear" w:color="auto" w:fill="E7E6E6" w:themeFill="background2"/>
          </w:tcPr>
          <w:p w14:paraId="78DD36E6" w14:textId="44B215AE" w:rsidR="00DC6671" w:rsidRDefault="00DC6671" w:rsidP="000D04A0">
            <w:pPr>
              <w:pStyle w:val="TableRCTs"/>
            </w:pPr>
            <w:r>
              <w:t>Question 5</w:t>
            </w:r>
          </w:p>
        </w:tc>
        <w:tc>
          <w:tcPr>
            <w:tcW w:w="1842" w:type="dxa"/>
            <w:shd w:val="clear" w:color="auto" w:fill="E7E6E6" w:themeFill="background2"/>
          </w:tcPr>
          <w:p w14:paraId="59900978" w14:textId="14C84D02" w:rsidR="00DC6671" w:rsidRDefault="00DC6671" w:rsidP="000D04A0">
            <w:pPr>
              <w:pStyle w:val="TableRCTs"/>
            </w:pPr>
            <w:r>
              <w:t>Physical activity and pregnancy</w:t>
            </w:r>
          </w:p>
        </w:tc>
        <w:tc>
          <w:tcPr>
            <w:tcW w:w="4536" w:type="dxa"/>
            <w:shd w:val="clear" w:color="auto" w:fill="E7E6E6" w:themeFill="background2"/>
          </w:tcPr>
          <w:p w14:paraId="05C81A70" w14:textId="66A24EA4" w:rsidR="00DC6671" w:rsidRDefault="00725D89" w:rsidP="000D04A0">
            <w:pPr>
              <w:pStyle w:val="TableRCTs"/>
            </w:pPr>
            <w:r>
              <w:t>Systematic reviews, RCTs, observational studies</w:t>
            </w:r>
          </w:p>
        </w:tc>
        <w:tc>
          <w:tcPr>
            <w:tcW w:w="1799" w:type="dxa"/>
            <w:shd w:val="clear" w:color="auto" w:fill="E7E6E6" w:themeFill="background2"/>
          </w:tcPr>
          <w:p w14:paraId="5631EC10" w14:textId="24A5E67B" w:rsidR="00DC6671" w:rsidRDefault="00725D89" w:rsidP="000D04A0">
            <w:pPr>
              <w:pStyle w:val="TableRCTs"/>
            </w:pPr>
            <w:r>
              <w:t>Narrative review</w:t>
            </w:r>
          </w:p>
        </w:tc>
      </w:tr>
      <w:tr w:rsidR="00E44521" w14:paraId="08C80C3D" w14:textId="543A186C" w:rsidTr="00D07346">
        <w:trPr>
          <w:cantSplit/>
        </w:trPr>
        <w:tc>
          <w:tcPr>
            <w:tcW w:w="1135" w:type="dxa"/>
            <w:shd w:val="clear" w:color="auto" w:fill="E7E6E6" w:themeFill="background2"/>
          </w:tcPr>
          <w:p w14:paraId="5177F1C4" w14:textId="5532A931" w:rsidR="00DC6671" w:rsidRDefault="00DC6671" w:rsidP="000D04A0">
            <w:pPr>
              <w:pStyle w:val="TableRCTs"/>
            </w:pPr>
            <w:r>
              <w:t>Question 6</w:t>
            </w:r>
          </w:p>
        </w:tc>
        <w:tc>
          <w:tcPr>
            <w:tcW w:w="1842" w:type="dxa"/>
            <w:shd w:val="clear" w:color="auto" w:fill="E7E6E6" w:themeFill="background2"/>
          </w:tcPr>
          <w:p w14:paraId="0182CD17" w14:textId="4CC9F3A6" w:rsidR="00DC6671" w:rsidRDefault="00DC6671" w:rsidP="000D04A0">
            <w:pPr>
              <w:pStyle w:val="TableRCTs"/>
            </w:pPr>
            <w:r>
              <w:t>Physical activity and pregnancy</w:t>
            </w:r>
          </w:p>
        </w:tc>
        <w:tc>
          <w:tcPr>
            <w:tcW w:w="4536" w:type="dxa"/>
            <w:shd w:val="clear" w:color="auto" w:fill="E7E6E6" w:themeFill="background2"/>
          </w:tcPr>
          <w:p w14:paraId="12029984" w14:textId="7BAFDC5D" w:rsidR="00DC6671" w:rsidRDefault="00725D89" w:rsidP="000D04A0">
            <w:pPr>
              <w:pStyle w:val="TableRCTs"/>
            </w:pPr>
            <w:r>
              <w:t>Systematic reviews, RCTs, observational studies</w:t>
            </w:r>
          </w:p>
        </w:tc>
        <w:tc>
          <w:tcPr>
            <w:tcW w:w="1799" w:type="dxa"/>
            <w:shd w:val="clear" w:color="auto" w:fill="E7E6E6" w:themeFill="background2"/>
          </w:tcPr>
          <w:p w14:paraId="53C7D5AE" w14:textId="6F39D65F" w:rsidR="00DC6671" w:rsidRDefault="00725D89" w:rsidP="000D04A0">
            <w:pPr>
              <w:pStyle w:val="TableRCTs"/>
            </w:pPr>
            <w:r>
              <w:t>Narrative review</w:t>
            </w:r>
          </w:p>
        </w:tc>
      </w:tr>
      <w:tr w:rsidR="00E44521" w14:paraId="0FE01F80" w14:textId="345D4403" w:rsidTr="000411FD">
        <w:tc>
          <w:tcPr>
            <w:tcW w:w="1135" w:type="dxa"/>
            <w:vMerge w:val="restart"/>
            <w:shd w:val="clear" w:color="auto" w:fill="E7E6E6" w:themeFill="background2"/>
          </w:tcPr>
          <w:p w14:paraId="261D44C5" w14:textId="5757B4B1" w:rsidR="00DD4C86" w:rsidRDefault="00DD4C86" w:rsidP="00E16418">
            <w:pPr>
              <w:pStyle w:val="TableRCTs"/>
              <w:keepNext/>
              <w:keepLines/>
            </w:pPr>
            <w:r>
              <w:t>Question 7</w:t>
            </w:r>
          </w:p>
        </w:tc>
        <w:tc>
          <w:tcPr>
            <w:tcW w:w="1842" w:type="dxa"/>
            <w:shd w:val="clear" w:color="auto" w:fill="E7E6E6" w:themeFill="background2"/>
          </w:tcPr>
          <w:p w14:paraId="4BE4120E" w14:textId="74647BB1" w:rsidR="00DD4C86" w:rsidRDefault="00DD4C86" w:rsidP="00E16418">
            <w:pPr>
              <w:pStyle w:val="TableRCTs"/>
              <w:keepNext/>
              <w:keepLines/>
            </w:pPr>
            <w:r>
              <w:t>Gestational weight gain</w:t>
            </w:r>
          </w:p>
        </w:tc>
        <w:tc>
          <w:tcPr>
            <w:tcW w:w="4536" w:type="dxa"/>
            <w:shd w:val="clear" w:color="auto" w:fill="E7E6E6" w:themeFill="background2"/>
          </w:tcPr>
          <w:p w14:paraId="788739C2" w14:textId="642309D8" w:rsidR="006702C7" w:rsidRDefault="006702C7" w:rsidP="00E16418">
            <w:pPr>
              <w:pStyle w:val="TableRCTs"/>
              <w:keepNext/>
              <w:keepLines/>
            </w:pPr>
            <w:r>
              <w:t>Determinants of gestational weight gain; women’s and health professionals</w:t>
            </w:r>
            <w:r w:rsidR="004A4B6B">
              <w:t>’</w:t>
            </w:r>
            <w:r>
              <w:t xml:space="preserve"> views on gestational weight gain: Systematic reviews, observational studies</w:t>
            </w:r>
          </w:p>
          <w:p w14:paraId="079590C9" w14:textId="6CED8D6D" w:rsidR="00DD4C86" w:rsidRDefault="006702C7" w:rsidP="00E16418">
            <w:pPr>
              <w:pStyle w:val="TableRCTs"/>
              <w:keepNext/>
              <w:keepLines/>
              <w:spacing w:before="60"/>
            </w:pPr>
            <w:r>
              <w:t xml:space="preserve">Risks associated with low or high gestational weight gain: </w:t>
            </w:r>
            <w:r w:rsidR="00DF5EF9">
              <w:t xml:space="preserve">Systematic reviews, RCTs </w:t>
            </w:r>
          </w:p>
        </w:tc>
        <w:tc>
          <w:tcPr>
            <w:tcW w:w="1799" w:type="dxa"/>
            <w:shd w:val="clear" w:color="auto" w:fill="E7E6E6" w:themeFill="background2"/>
          </w:tcPr>
          <w:p w14:paraId="7906EBB9" w14:textId="6D9B7A50" w:rsidR="00DD4C86" w:rsidRDefault="00DD4C86" w:rsidP="00E16418">
            <w:pPr>
              <w:pStyle w:val="TableRCTs"/>
              <w:keepNext/>
              <w:keepLines/>
            </w:pPr>
            <w:r>
              <w:t>Narrative review</w:t>
            </w:r>
          </w:p>
        </w:tc>
      </w:tr>
      <w:tr w:rsidR="00E44521" w14:paraId="2FF8163E" w14:textId="77777777" w:rsidTr="000411FD">
        <w:tc>
          <w:tcPr>
            <w:tcW w:w="1135" w:type="dxa"/>
            <w:vMerge/>
            <w:shd w:val="clear" w:color="auto" w:fill="E7E6E6" w:themeFill="background2"/>
          </w:tcPr>
          <w:p w14:paraId="195CFD97" w14:textId="76BFCEA3" w:rsidR="00DD4C86" w:rsidRDefault="00DD4C86" w:rsidP="000D04A0">
            <w:pPr>
              <w:pStyle w:val="TableRCTs"/>
            </w:pPr>
          </w:p>
        </w:tc>
        <w:tc>
          <w:tcPr>
            <w:tcW w:w="1842" w:type="dxa"/>
            <w:shd w:val="clear" w:color="auto" w:fill="E7E6E6" w:themeFill="background2"/>
          </w:tcPr>
          <w:p w14:paraId="1F79376A" w14:textId="5B7A1E04" w:rsidR="00DD4C86" w:rsidRDefault="00DD4C86" w:rsidP="000D04A0">
            <w:pPr>
              <w:pStyle w:val="TableRCTs"/>
            </w:pPr>
            <w:r>
              <w:t>Weight monitoring</w:t>
            </w:r>
          </w:p>
        </w:tc>
        <w:tc>
          <w:tcPr>
            <w:tcW w:w="4536" w:type="dxa"/>
            <w:shd w:val="clear" w:color="auto" w:fill="E7E6E6" w:themeFill="background2"/>
          </w:tcPr>
          <w:p w14:paraId="084FA1C5" w14:textId="5C328808" w:rsidR="00DD4C86" w:rsidRDefault="00DF5EF9" w:rsidP="000D04A0">
            <w:pPr>
              <w:pStyle w:val="TableRCTs"/>
            </w:pPr>
            <w:r>
              <w:t>Systematic reviews of RCTs, RCTs</w:t>
            </w:r>
          </w:p>
        </w:tc>
        <w:tc>
          <w:tcPr>
            <w:tcW w:w="1799" w:type="dxa"/>
            <w:shd w:val="clear" w:color="auto" w:fill="E7E6E6" w:themeFill="background2"/>
          </w:tcPr>
          <w:p w14:paraId="71FDC83F" w14:textId="3DFB5292" w:rsidR="00DD4C86" w:rsidRDefault="00DD4C86" w:rsidP="000D04A0">
            <w:pPr>
              <w:pStyle w:val="TableRCTs"/>
            </w:pPr>
            <w:r>
              <w:t>Meta-analysis</w:t>
            </w:r>
          </w:p>
        </w:tc>
      </w:tr>
      <w:tr w:rsidR="00E44521" w14:paraId="2E052DE7" w14:textId="198E00BC" w:rsidTr="000411FD">
        <w:trPr>
          <w:trHeight w:val="267"/>
        </w:trPr>
        <w:tc>
          <w:tcPr>
            <w:tcW w:w="1135" w:type="dxa"/>
            <w:shd w:val="clear" w:color="auto" w:fill="E7E6E6" w:themeFill="background2"/>
          </w:tcPr>
          <w:p w14:paraId="326FEA9F" w14:textId="01028DA5" w:rsidR="00DC6671" w:rsidRDefault="00DC6671" w:rsidP="000D04A0">
            <w:pPr>
              <w:pStyle w:val="TableRCTs"/>
            </w:pPr>
            <w:r>
              <w:t>Question 8</w:t>
            </w:r>
          </w:p>
        </w:tc>
        <w:tc>
          <w:tcPr>
            <w:tcW w:w="1842" w:type="dxa"/>
            <w:shd w:val="clear" w:color="auto" w:fill="E7E6E6" w:themeFill="background2"/>
          </w:tcPr>
          <w:p w14:paraId="0A88B453" w14:textId="5A00A12C" w:rsidR="00DC6671" w:rsidRDefault="00DC6671" w:rsidP="000D04A0">
            <w:pPr>
              <w:pStyle w:val="TableRCTs"/>
            </w:pPr>
            <w:r>
              <w:t>Risk assessments</w:t>
            </w:r>
          </w:p>
        </w:tc>
        <w:tc>
          <w:tcPr>
            <w:tcW w:w="4536" w:type="dxa"/>
            <w:shd w:val="clear" w:color="auto" w:fill="E7E6E6" w:themeFill="background2"/>
          </w:tcPr>
          <w:p w14:paraId="397A9078" w14:textId="2FF2675B" w:rsidR="00DC6671" w:rsidRDefault="00264B3E" w:rsidP="00D07346">
            <w:pPr>
              <w:pStyle w:val="TableRCTs"/>
            </w:pPr>
            <w:r>
              <w:t>Systematic reviews</w:t>
            </w:r>
            <w:r w:rsidR="00D07346">
              <w:t xml:space="preserve"> of RCTs</w:t>
            </w:r>
            <w:r>
              <w:t>, RCTs</w:t>
            </w:r>
          </w:p>
        </w:tc>
        <w:tc>
          <w:tcPr>
            <w:tcW w:w="1799" w:type="dxa"/>
            <w:shd w:val="clear" w:color="auto" w:fill="E7E6E6" w:themeFill="background2"/>
          </w:tcPr>
          <w:p w14:paraId="77BEEEC1" w14:textId="58C2EEE5" w:rsidR="00DC6671" w:rsidRDefault="00F666A5" w:rsidP="000D04A0">
            <w:pPr>
              <w:pStyle w:val="TableRCTs"/>
            </w:pPr>
            <w:r>
              <w:t>Narrative review</w:t>
            </w:r>
          </w:p>
        </w:tc>
      </w:tr>
      <w:tr w:rsidR="00E44521" w14:paraId="658573BF" w14:textId="72DA66BC" w:rsidTr="000411FD">
        <w:tc>
          <w:tcPr>
            <w:tcW w:w="1135" w:type="dxa"/>
            <w:vMerge w:val="restart"/>
            <w:shd w:val="clear" w:color="auto" w:fill="E7E6E6" w:themeFill="background2"/>
          </w:tcPr>
          <w:p w14:paraId="2B532D39" w14:textId="6533F198" w:rsidR="00DC6671" w:rsidRDefault="00DC6671" w:rsidP="000D04A0">
            <w:pPr>
              <w:pStyle w:val="TableRCTs"/>
            </w:pPr>
            <w:r>
              <w:t>Question 9</w:t>
            </w:r>
          </w:p>
        </w:tc>
        <w:tc>
          <w:tcPr>
            <w:tcW w:w="1842" w:type="dxa"/>
            <w:shd w:val="clear" w:color="auto" w:fill="E7E6E6" w:themeFill="background2"/>
          </w:tcPr>
          <w:p w14:paraId="30FA9F6D" w14:textId="7A950D17" w:rsidR="00DC6671" w:rsidRDefault="00DC6671" w:rsidP="000D04A0">
            <w:pPr>
              <w:pStyle w:val="TableRCTs"/>
            </w:pPr>
            <w:r>
              <w:t>Diet and pregnancy</w:t>
            </w:r>
          </w:p>
        </w:tc>
        <w:tc>
          <w:tcPr>
            <w:tcW w:w="4536" w:type="dxa"/>
            <w:vMerge w:val="restart"/>
            <w:shd w:val="clear" w:color="auto" w:fill="E7E6E6" w:themeFill="background2"/>
          </w:tcPr>
          <w:p w14:paraId="19C2E986" w14:textId="21733357" w:rsidR="00DC6671" w:rsidRDefault="00DC6671" w:rsidP="000D04A0">
            <w:pPr>
              <w:pStyle w:val="TableRCTs"/>
            </w:pPr>
            <w:r>
              <w:t>Systematic reviews of RCTs, RCTs</w:t>
            </w:r>
          </w:p>
        </w:tc>
        <w:tc>
          <w:tcPr>
            <w:tcW w:w="1799" w:type="dxa"/>
            <w:vMerge w:val="restart"/>
            <w:shd w:val="clear" w:color="auto" w:fill="E7E6E6" w:themeFill="background2"/>
          </w:tcPr>
          <w:p w14:paraId="3FA4279E" w14:textId="3B11FCB2" w:rsidR="00DC6671" w:rsidRDefault="00DC6671" w:rsidP="000D04A0">
            <w:pPr>
              <w:pStyle w:val="TableRCTs"/>
            </w:pPr>
            <w:r>
              <w:t>Meta-analysis</w:t>
            </w:r>
          </w:p>
        </w:tc>
      </w:tr>
      <w:tr w:rsidR="00E44521" w14:paraId="23FAAAAA" w14:textId="1790B2D7" w:rsidTr="000411FD">
        <w:tc>
          <w:tcPr>
            <w:tcW w:w="1135" w:type="dxa"/>
            <w:vMerge/>
            <w:shd w:val="clear" w:color="auto" w:fill="E7E6E6" w:themeFill="background2"/>
          </w:tcPr>
          <w:p w14:paraId="71778CD3" w14:textId="77777777" w:rsidR="00DC6671" w:rsidRDefault="00DC6671" w:rsidP="000D04A0">
            <w:pPr>
              <w:pStyle w:val="TableRCTs"/>
            </w:pPr>
          </w:p>
        </w:tc>
        <w:tc>
          <w:tcPr>
            <w:tcW w:w="1842" w:type="dxa"/>
            <w:shd w:val="clear" w:color="auto" w:fill="E7E6E6" w:themeFill="background2"/>
          </w:tcPr>
          <w:p w14:paraId="126262CE" w14:textId="56A9569C" w:rsidR="00DC6671" w:rsidRDefault="00DC6671" w:rsidP="000D04A0">
            <w:pPr>
              <w:pStyle w:val="TableRCTs"/>
            </w:pPr>
            <w:r>
              <w:t>Physical activity and pregnancy</w:t>
            </w:r>
          </w:p>
        </w:tc>
        <w:tc>
          <w:tcPr>
            <w:tcW w:w="4536" w:type="dxa"/>
            <w:vMerge/>
            <w:shd w:val="clear" w:color="auto" w:fill="E7E6E6" w:themeFill="background2"/>
          </w:tcPr>
          <w:p w14:paraId="63753EE4" w14:textId="77777777" w:rsidR="00DC6671" w:rsidRDefault="00DC6671" w:rsidP="000D04A0">
            <w:pPr>
              <w:pStyle w:val="TableRCTs"/>
            </w:pPr>
          </w:p>
        </w:tc>
        <w:tc>
          <w:tcPr>
            <w:tcW w:w="1799" w:type="dxa"/>
            <w:vMerge/>
            <w:shd w:val="clear" w:color="auto" w:fill="E7E6E6" w:themeFill="background2"/>
          </w:tcPr>
          <w:p w14:paraId="25299ECD" w14:textId="77777777" w:rsidR="00DC6671" w:rsidRDefault="00DC6671" w:rsidP="000D04A0">
            <w:pPr>
              <w:pStyle w:val="TableRCTs"/>
            </w:pPr>
          </w:p>
        </w:tc>
      </w:tr>
      <w:tr w:rsidR="00E44521" w14:paraId="09EDC09A" w14:textId="48BDD6E5" w:rsidTr="000411FD">
        <w:tc>
          <w:tcPr>
            <w:tcW w:w="1135" w:type="dxa"/>
            <w:shd w:val="clear" w:color="auto" w:fill="E7E6E6" w:themeFill="background2"/>
          </w:tcPr>
          <w:p w14:paraId="0ED18BDE" w14:textId="396C785D" w:rsidR="00DF5EF9" w:rsidRDefault="00DF5EF9" w:rsidP="000D04A0">
            <w:pPr>
              <w:pStyle w:val="TableRCTs"/>
            </w:pPr>
            <w:r>
              <w:t>Question 10</w:t>
            </w:r>
          </w:p>
        </w:tc>
        <w:tc>
          <w:tcPr>
            <w:tcW w:w="1842" w:type="dxa"/>
            <w:vMerge w:val="restart"/>
            <w:shd w:val="clear" w:color="auto" w:fill="E7E6E6" w:themeFill="background2"/>
          </w:tcPr>
          <w:p w14:paraId="17EF825E" w14:textId="199994D1" w:rsidR="00DF5EF9" w:rsidRDefault="00DF5EF9" w:rsidP="000D04A0">
            <w:pPr>
              <w:pStyle w:val="TableRCTs"/>
            </w:pPr>
            <w:r>
              <w:t>All searches</w:t>
            </w:r>
          </w:p>
        </w:tc>
        <w:tc>
          <w:tcPr>
            <w:tcW w:w="4536" w:type="dxa"/>
            <w:vMerge w:val="restart"/>
            <w:shd w:val="clear" w:color="auto" w:fill="E7E6E6" w:themeFill="background2"/>
          </w:tcPr>
          <w:p w14:paraId="5A6904E6" w14:textId="6AA648F4" w:rsidR="00DF5EF9" w:rsidRDefault="00DF5EF9" w:rsidP="000D04A0">
            <w:pPr>
              <w:pStyle w:val="TableRCTs"/>
            </w:pPr>
            <w:r>
              <w:t>All identified studies relevant to Australian context</w:t>
            </w:r>
          </w:p>
        </w:tc>
        <w:tc>
          <w:tcPr>
            <w:tcW w:w="1799" w:type="dxa"/>
            <w:vMerge w:val="restart"/>
            <w:shd w:val="clear" w:color="auto" w:fill="E7E6E6" w:themeFill="background2"/>
          </w:tcPr>
          <w:p w14:paraId="35E9E06A" w14:textId="1250D9C8" w:rsidR="00DF5EF9" w:rsidRDefault="00DF5EF9" w:rsidP="000D04A0">
            <w:pPr>
              <w:pStyle w:val="TableRCTs"/>
            </w:pPr>
            <w:r>
              <w:t>Narrative review</w:t>
            </w:r>
          </w:p>
        </w:tc>
      </w:tr>
      <w:tr w:rsidR="00E44521" w14:paraId="2F67234F" w14:textId="68531873" w:rsidTr="000411FD">
        <w:tc>
          <w:tcPr>
            <w:tcW w:w="1135" w:type="dxa"/>
            <w:shd w:val="clear" w:color="auto" w:fill="E7E6E6" w:themeFill="background2"/>
          </w:tcPr>
          <w:p w14:paraId="32FDB7E9" w14:textId="12D21B6F" w:rsidR="00DF5EF9" w:rsidRDefault="00DF5EF9" w:rsidP="000D04A0">
            <w:pPr>
              <w:pStyle w:val="TableRCTs"/>
            </w:pPr>
            <w:r>
              <w:t>Question 11</w:t>
            </w:r>
          </w:p>
        </w:tc>
        <w:tc>
          <w:tcPr>
            <w:tcW w:w="1842" w:type="dxa"/>
            <w:vMerge/>
            <w:shd w:val="clear" w:color="auto" w:fill="E7E6E6" w:themeFill="background2"/>
          </w:tcPr>
          <w:p w14:paraId="4A853478" w14:textId="6DBC430A" w:rsidR="00DF5EF9" w:rsidRDefault="00DF5EF9" w:rsidP="000D04A0">
            <w:pPr>
              <w:pStyle w:val="TableRCTs"/>
            </w:pPr>
          </w:p>
        </w:tc>
        <w:tc>
          <w:tcPr>
            <w:tcW w:w="4536" w:type="dxa"/>
            <w:vMerge/>
            <w:shd w:val="clear" w:color="auto" w:fill="E7E6E6" w:themeFill="background2"/>
          </w:tcPr>
          <w:p w14:paraId="733ABCBA" w14:textId="77777777" w:rsidR="00DF5EF9" w:rsidRDefault="00DF5EF9" w:rsidP="000D04A0">
            <w:pPr>
              <w:pStyle w:val="TableRCTs"/>
            </w:pPr>
          </w:p>
        </w:tc>
        <w:tc>
          <w:tcPr>
            <w:tcW w:w="1799" w:type="dxa"/>
            <w:vMerge/>
            <w:shd w:val="clear" w:color="auto" w:fill="E7E6E6" w:themeFill="background2"/>
          </w:tcPr>
          <w:p w14:paraId="56DDDABA" w14:textId="77777777" w:rsidR="00DF5EF9" w:rsidRDefault="00DF5EF9" w:rsidP="000D04A0">
            <w:pPr>
              <w:pStyle w:val="TableRCTs"/>
            </w:pPr>
          </w:p>
        </w:tc>
      </w:tr>
    </w:tbl>
    <w:p w14:paraId="5E8D2275" w14:textId="25C71F09" w:rsidR="004A5194" w:rsidRPr="002B4AA3" w:rsidRDefault="009B2C80" w:rsidP="000D0F65">
      <w:pPr>
        <w:pStyle w:val="Heading2"/>
      </w:pPr>
      <w:bookmarkStart w:id="5" w:name="_Toc40956465"/>
      <w:r>
        <w:t>Inclusion and e</w:t>
      </w:r>
      <w:r w:rsidR="004A5194" w:rsidRPr="002B4AA3">
        <w:t>xclusion criteria</w:t>
      </w:r>
      <w:bookmarkEnd w:id="5"/>
    </w:p>
    <w:p w14:paraId="1AB8F1DE" w14:textId="77777777" w:rsidR="00D07346" w:rsidRDefault="00D07346" w:rsidP="00D07346">
      <w:pPr>
        <w:pStyle w:val="TableName"/>
      </w:pPr>
      <w:bookmarkStart w:id="6" w:name="_Toc40956580"/>
      <w:r w:rsidRPr="003555ED">
        <w:t xml:space="preserve">PICO criteria </w:t>
      </w:r>
      <w:r>
        <w:t>for inclusion of studies in meta-analyses</w:t>
      </w:r>
      <w:bookmarkEnd w:id="6"/>
    </w:p>
    <w:p w14:paraId="4423A232" w14:textId="77777777" w:rsidR="00D07346" w:rsidRDefault="00D07346" w:rsidP="00D07346">
      <w:pPr>
        <w:pStyle w:val="Heading4"/>
      </w:pPr>
      <w:r>
        <w:t>Probiotics</w:t>
      </w:r>
    </w:p>
    <w:tbl>
      <w:tblPr>
        <w:tblStyle w:val="TableGrid"/>
        <w:tblW w:w="5000" w:type="pct"/>
        <w:tblBorders>
          <w:top w:val="none" w:sz="0" w:space="0" w:color="auto"/>
          <w:bottom w:val="none" w:sz="0" w:space="0" w:color="auto"/>
          <w:insideH w:val="single" w:sz="4" w:space="0" w:color="FFFFFF" w:themeColor="background1"/>
        </w:tblBorders>
        <w:shd w:val="clear" w:color="auto" w:fill="F2F2F2" w:themeFill="background1" w:themeFillShade="F2"/>
        <w:tblLook w:val="04A0" w:firstRow="1" w:lastRow="0" w:firstColumn="1" w:lastColumn="0" w:noHBand="0" w:noVBand="1"/>
        <w:tblCaption w:val="Probiotics"/>
      </w:tblPr>
      <w:tblGrid>
        <w:gridCol w:w="1519"/>
        <w:gridCol w:w="1986"/>
        <w:gridCol w:w="1841"/>
        <w:gridCol w:w="1986"/>
        <w:gridCol w:w="1949"/>
      </w:tblGrid>
      <w:tr w:rsidR="00D07346" w:rsidRPr="00F36862" w14:paraId="6488444C" w14:textId="77777777" w:rsidTr="00D07346">
        <w:tc>
          <w:tcPr>
            <w:tcW w:w="818" w:type="pct"/>
            <w:shd w:val="clear" w:color="auto" w:fill="F2F2F2" w:themeFill="background1" w:themeFillShade="F2"/>
          </w:tcPr>
          <w:p w14:paraId="26123C1F" w14:textId="77777777" w:rsidR="00D07346" w:rsidRPr="00F36862" w:rsidRDefault="00D07346" w:rsidP="00D07346">
            <w:pPr>
              <w:rPr>
                <w:b/>
                <w:sz w:val="16"/>
                <w:szCs w:val="16"/>
              </w:rPr>
            </w:pPr>
            <w:r w:rsidRPr="00F36862">
              <w:rPr>
                <w:b/>
                <w:sz w:val="16"/>
                <w:szCs w:val="16"/>
              </w:rPr>
              <w:t>Population</w:t>
            </w:r>
          </w:p>
        </w:tc>
        <w:tc>
          <w:tcPr>
            <w:tcW w:w="1070" w:type="pct"/>
            <w:shd w:val="clear" w:color="auto" w:fill="F2F2F2" w:themeFill="background1" w:themeFillShade="F2"/>
          </w:tcPr>
          <w:p w14:paraId="24993094" w14:textId="77777777" w:rsidR="00D07346" w:rsidRPr="00F36862" w:rsidRDefault="00D07346" w:rsidP="00D07346">
            <w:pPr>
              <w:rPr>
                <w:b/>
                <w:sz w:val="16"/>
                <w:szCs w:val="16"/>
              </w:rPr>
            </w:pPr>
            <w:r>
              <w:rPr>
                <w:b/>
                <w:sz w:val="16"/>
                <w:szCs w:val="16"/>
              </w:rPr>
              <w:t>Intervention</w:t>
            </w:r>
          </w:p>
        </w:tc>
        <w:tc>
          <w:tcPr>
            <w:tcW w:w="992" w:type="pct"/>
            <w:shd w:val="clear" w:color="auto" w:fill="F2F2F2" w:themeFill="background1" w:themeFillShade="F2"/>
          </w:tcPr>
          <w:p w14:paraId="23E963E7" w14:textId="77777777" w:rsidR="00D07346" w:rsidRPr="00F36862" w:rsidRDefault="00D07346" w:rsidP="00D07346">
            <w:pPr>
              <w:rPr>
                <w:b/>
                <w:sz w:val="16"/>
                <w:szCs w:val="16"/>
              </w:rPr>
            </w:pPr>
            <w:r w:rsidRPr="00F36862">
              <w:rPr>
                <w:b/>
                <w:sz w:val="16"/>
                <w:szCs w:val="16"/>
              </w:rPr>
              <w:t>Comparator</w:t>
            </w:r>
          </w:p>
        </w:tc>
        <w:tc>
          <w:tcPr>
            <w:tcW w:w="1070" w:type="pct"/>
            <w:shd w:val="clear" w:color="auto" w:fill="F2F2F2" w:themeFill="background1" w:themeFillShade="F2"/>
          </w:tcPr>
          <w:p w14:paraId="4BAA48FE" w14:textId="77777777" w:rsidR="00D07346" w:rsidRPr="00F36862" w:rsidRDefault="00D07346" w:rsidP="00D07346">
            <w:pPr>
              <w:rPr>
                <w:b/>
                <w:sz w:val="16"/>
                <w:szCs w:val="16"/>
              </w:rPr>
            </w:pPr>
            <w:r w:rsidRPr="00F36862">
              <w:rPr>
                <w:b/>
                <w:sz w:val="16"/>
                <w:szCs w:val="16"/>
              </w:rPr>
              <w:t>Outcomes</w:t>
            </w:r>
          </w:p>
        </w:tc>
        <w:tc>
          <w:tcPr>
            <w:tcW w:w="1050" w:type="pct"/>
            <w:shd w:val="clear" w:color="auto" w:fill="F2F2F2" w:themeFill="background1" w:themeFillShade="F2"/>
          </w:tcPr>
          <w:p w14:paraId="5EBF1B54" w14:textId="77777777" w:rsidR="00D07346" w:rsidRPr="00F36862" w:rsidRDefault="00D07346" w:rsidP="00D07346">
            <w:pPr>
              <w:rPr>
                <w:b/>
                <w:sz w:val="16"/>
                <w:szCs w:val="16"/>
              </w:rPr>
            </w:pPr>
            <w:r>
              <w:rPr>
                <w:b/>
                <w:sz w:val="16"/>
                <w:szCs w:val="16"/>
              </w:rPr>
              <w:t>Study designs</w:t>
            </w:r>
          </w:p>
        </w:tc>
      </w:tr>
      <w:tr w:rsidR="00D07346" w:rsidRPr="00F36862" w14:paraId="3F3509CC" w14:textId="77777777" w:rsidTr="00D07346">
        <w:tc>
          <w:tcPr>
            <w:tcW w:w="818" w:type="pct"/>
            <w:shd w:val="clear" w:color="auto" w:fill="F2F2F2" w:themeFill="background1" w:themeFillShade="F2"/>
          </w:tcPr>
          <w:p w14:paraId="5AB10F32" w14:textId="77777777" w:rsidR="00D07346" w:rsidRPr="00F36862" w:rsidRDefault="00D07346" w:rsidP="00D07346">
            <w:pPr>
              <w:rPr>
                <w:b/>
                <w:sz w:val="16"/>
                <w:szCs w:val="16"/>
              </w:rPr>
            </w:pPr>
            <w:r w:rsidRPr="00F36862">
              <w:rPr>
                <w:sz w:val="16"/>
                <w:szCs w:val="16"/>
              </w:rPr>
              <w:t>Pregnant women</w:t>
            </w:r>
            <w:r>
              <w:rPr>
                <w:sz w:val="16"/>
                <w:szCs w:val="16"/>
              </w:rPr>
              <w:t xml:space="preserve"> who are apparently healthy in early pregnancy</w:t>
            </w:r>
          </w:p>
        </w:tc>
        <w:tc>
          <w:tcPr>
            <w:tcW w:w="1070" w:type="pct"/>
            <w:shd w:val="clear" w:color="auto" w:fill="F2F2F2" w:themeFill="background1" w:themeFillShade="F2"/>
          </w:tcPr>
          <w:p w14:paraId="55A0C71B" w14:textId="77777777" w:rsidR="00D07346" w:rsidRPr="005044C2" w:rsidRDefault="00D07346" w:rsidP="00D07346">
            <w:pPr>
              <w:rPr>
                <w:sz w:val="16"/>
                <w:szCs w:val="16"/>
              </w:rPr>
            </w:pPr>
            <w:r w:rsidRPr="005044C2">
              <w:rPr>
                <w:sz w:val="16"/>
                <w:szCs w:val="16"/>
              </w:rPr>
              <w:t>Probiotic supplement</w:t>
            </w:r>
          </w:p>
        </w:tc>
        <w:tc>
          <w:tcPr>
            <w:tcW w:w="992" w:type="pct"/>
            <w:shd w:val="clear" w:color="auto" w:fill="F2F2F2" w:themeFill="background1" w:themeFillShade="F2"/>
          </w:tcPr>
          <w:p w14:paraId="14033DC3" w14:textId="77777777" w:rsidR="00D07346" w:rsidRPr="005044C2" w:rsidRDefault="00D07346" w:rsidP="00D07346">
            <w:pPr>
              <w:rPr>
                <w:sz w:val="16"/>
                <w:szCs w:val="16"/>
              </w:rPr>
            </w:pPr>
            <w:r w:rsidRPr="005044C2">
              <w:rPr>
                <w:sz w:val="16"/>
                <w:szCs w:val="16"/>
              </w:rPr>
              <w:t>Placebo or usual care</w:t>
            </w:r>
          </w:p>
        </w:tc>
        <w:tc>
          <w:tcPr>
            <w:tcW w:w="1070" w:type="pct"/>
            <w:shd w:val="clear" w:color="auto" w:fill="F2F2F2" w:themeFill="background1" w:themeFillShade="F2"/>
          </w:tcPr>
          <w:p w14:paraId="5B652B58" w14:textId="77777777" w:rsidR="00D07346" w:rsidRPr="00F36862" w:rsidRDefault="00D07346" w:rsidP="00D07346">
            <w:pPr>
              <w:rPr>
                <w:sz w:val="16"/>
                <w:szCs w:val="16"/>
              </w:rPr>
            </w:pPr>
            <w:r>
              <w:rPr>
                <w:sz w:val="16"/>
                <w:szCs w:val="16"/>
              </w:rPr>
              <w:t>Health or clinical outcomes, including longer term outcomes for the mother and child</w:t>
            </w:r>
          </w:p>
        </w:tc>
        <w:tc>
          <w:tcPr>
            <w:tcW w:w="1050" w:type="pct"/>
            <w:shd w:val="clear" w:color="auto" w:fill="F2F2F2" w:themeFill="background1" w:themeFillShade="F2"/>
          </w:tcPr>
          <w:p w14:paraId="533CB013" w14:textId="77777777" w:rsidR="00D07346" w:rsidRDefault="00D07346" w:rsidP="00D07346">
            <w:pPr>
              <w:rPr>
                <w:sz w:val="16"/>
                <w:szCs w:val="16"/>
              </w:rPr>
            </w:pPr>
            <w:r>
              <w:rPr>
                <w:sz w:val="16"/>
                <w:szCs w:val="16"/>
              </w:rPr>
              <w:t>RCTs</w:t>
            </w:r>
          </w:p>
          <w:p w14:paraId="5A3BB253" w14:textId="77777777" w:rsidR="00D07346" w:rsidRDefault="00D07346" w:rsidP="00D07346">
            <w:pPr>
              <w:rPr>
                <w:sz w:val="16"/>
                <w:szCs w:val="16"/>
              </w:rPr>
            </w:pPr>
            <w:r>
              <w:rPr>
                <w:sz w:val="16"/>
                <w:szCs w:val="16"/>
              </w:rPr>
              <w:t>Systematic reviews of RCTs</w:t>
            </w:r>
          </w:p>
        </w:tc>
      </w:tr>
    </w:tbl>
    <w:p w14:paraId="70C5A34F" w14:textId="77777777" w:rsidR="00D07346" w:rsidRDefault="00D07346" w:rsidP="00D07346">
      <w:pPr>
        <w:pStyle w:val="Heading4"/>
      </w:pPr>
      <w:r>
        <w:t>Weight assessment</w:t>
      </w:r>
    </w:p>
    <w:tbl>
      <w:tblPr>
        <w:tblStyle w:val="TableGrid"/>
        <w:tblW w:w="5000" w:type="pct"/>
        <w:tblBorders>
          <w:top w:val="none" w:sz="0" w:space="0" w:color="auto"/>
          <w:bottom w:val="none" w:sz="0" w:space="0" w:color="auto"/>
          <w:insideH w:val="single" w:sz="4" w:space="0" w:color="FFFFFF" w:themeColor="background1"/>
        </w:tblBorders>
        <w:shd w:val="clear" w:color="auto" w:fill="F2F2F2" w:themeFill="background1" w:themeFillShade="F2"/>
        <w:tblLook w:val="04A0" w:firstRow="1" w:lastRow="0" w:firstColumn="1" w:lastColumn="0" w:noHBand="0" w:noVBand="1"/>
        <w:tblCaption w:val="Weight assessment"/>
      </w:tblPr>
      <w:tblGrid>
        <w:gridCol w:w="1519"/>
        <w:gridCol w:w="1986"/>
        <w:gridCol w:w="1841"/>
        <w:gridCol w:w="1986"/>
        <w:gridCol w:w="1949"/>
      </w:tblGrid>
      <w:tr w:rsidR="00D07346" w:rsidRPr="00F36862" w14:paraId="606523DD" w14:textId="77777777" w:rsidTr="00D07346">
        <w:tc>
          <w:tcPr>
            <w:tcW w:w="818" w:type="pct"/>
            <w:shd w:val="clear" w:color="auto" w:fill="F2F2F2" w:themeFill="background1" w:themeFillShade="F2"/>
          </w:tcPr>
          <w:p w14:paraId="6917037C" w14:textId="77777777" w:rsidR="00D07346" w:rsidRPr="00F36862" w:rsidRDefault="00D07346" w:rsidP="00D07346">
            <w:pPr>
              <w:keepNext/>
              <w:rPr>
                <w:b/>
                <w:sz w:val="16"/>
                <w:szCs w:val="16"/>
              </w:rPr>
            </w:pPr>
            <w:r w:rsidRPr="00F36862">
              <w:rPr>
                <w:b/>
                <w:sz w:val="16"/>
                <w:szCs w:val="16"/>
              </w:rPr>
              <w:t>Population</w:t>
            </w:r>
          </w:p>
        </w:tc>
        <w:tc>
          <w:tcPr>
            <w:tcW w:w="1070" w:type="pct"/>
            <w:shd w:val="clear" w:color="auto" w:fill="F2F2F2" w:themeFill="background1" w:themeFillShade="F2"/>
          </w:tcPr>
          <w:p w14:paraId="32ED9A91" w14:textId="77777777" w:rsidR="00D07346" w:rsidRPr="00F36862" w:rsidRDefault="00D07346" w:rsidP="00D07346">
            <w:pPr>
              <w:keepNext/>
              <w:rPr>
                <w:b/>
                <w:sz w:val="16"/>
                <w:szCs w:val="16"/>
              </w:rPr>
            </w:pPr>
            <w:r>
              <w:rPr>
                <w:b/>
                <w:sz w:val="16"/>
                <w:szCs w:val="16"/>
              </w:rPr>
              <w:t>Intervention</w:t>
            </w:r>
          </w:p>
        </w:tc>
        <w:tc>
          <w:tcPr>
            <w:tcW w:w="992" w:type="pct"/>
            <w:shd w:val="clear" w:color="auto" w:fill="F2F2F2" w:themeFill="background1" w:themeFillShade="F2"/>
          </w:tcPr>
          <w:p w14:paraId="604F8371" w14:textId="77777777" w:rsidR="00D07346" w:rsidRPr="00F36862" w:rsidRDefault="00D07346" w:rsidP="00D07346">
            <w:pPr>
              <w:keepNext/>
              <w:rPr>
                <w:b/>
                <w:sz w:val="16"/>
                <w:szCs w:val="16"/>
              </w:rPr>
            </w:pPr>
            <w:r w:rsidRPr="00F36862">
              <w:rPr>
                <w:b/>
                <w:sz w:val="16"/>
                <w:szCs w:val="16"/>
              </w:rPr>
              <w:t>Comparator</w:t>
            </w:r>
          </w:p>
        </w:tc>
        <w:tc>
          <w:tcPr>
            <w:tcW w:w="1070" w:type="pct"/>
            <w:shd w:val="clear" w:color="auto" w:fill="F2F2F2" w:themeFill="background1" w:themeFillShade="F2"/>
          </w:tcPr>
          <w:p w14:paraId="65726CED" w14:textId="77777777" w:rsidR="00D07346" w:rsidRPr="00F36862" w:rsidRDefault="00D07346" w:rsidP="00D07346">
            <w:pPr>
              <w:keepNext/>
              <w:rPr>
                <w:b/>
                <w:sz w:val="16"/>
                <w:szCs w:val="16"/>
              </w:rPr>
            </w:pPr>
            <w:r w:rsidRPr="00F36862">
              <w:rPr>
                <w:b/>
                <w:sz w:val="16"/>
                <w:szCs w:val="16"/>
              </w:rPr>
              <w:t>Outcomes</w:t>
            </w:r>
          </w:p>
        </w:tc>
        <w:tc>
          <w:tcPr>
            <w:tcW w:w="1050" w:type="pct"/>
            <w:shd w:val="clear" w:color="auto" w:fill="F2F2F2" w:themeFill="background1" w:themeFillShade="F2"/>
          </w:tcPr>
          <w:p w14:paraId="71C9A8FF" w14:textId="77777777" w:rsidR="00D07346" w:rsidRPr="00F36862" w:rsidRDefault="00D07346" w:rsidP="00D07346">
            <w:pPr>
              <w:keepNext/>
              <w:rPr>
                <w:b/>
                <w:sz w:val="16"/>
                <w:szCs w:val="16"/>
              </w:rPr>
            </w:pPr>
            <w:r>
              <w:rPr>
                <w:b/>
                <w:sz w:val="16"/>
                <w:szCs w:val="16"/>
              </w:rPr>
              <w:t>Study designs</w:t>
            </w:r>
          </w:p>
        </w:tc>
      </w:tr>
      <w:tr w:rsidR="00D07346" w:rsidRPr="005044C2" w14:paraId="482C4208" w14:textId="77777777" w:rsidTr="00D07346">
        <w:trPr>
          <w:trHeight w:val="1410"/>
        </w:trPr>
        <w:tc>
          <w:tcPr>
            <w:tcW w:w="818" w:type="pct"/>
            <w:shd w:val="clear" w:color="auto" w:fill="F2F2F2" w:themeFill="background1" w:themeFillShade="F2"/>
          </w:tcPr>
          <w:p w14:paraId="231DBE69" w14:textId="77777777" w:rsidR="00D07346" w:rsidRPr="005044C2" w:rsidRDefault="00D07346" w:rsidP="00D07346">
            <w:pPr>
              <w:rPr>
                <w:sz w:val="16"/>
                <w:szCs w:val="16"/>
              </w:rPr>
            </w:pPr>
            <w:r w:rsidRPr="005044C2">
              <w:rPr>
                <w:sz w:val="16"/>
                <w:szCs w:val="16"/>
              </w:rPr>
              <w:t>Pregnant women who are apparently healthy in early pregnancy</w:t>
            </w:r>
          </w:p>
        </w:tc>
        <w:tc>
          <w:tcPr>
            <w:tcW w:w="1070" w:type="pct"/>
            <w:shd w:val="clear" w:color="auto" w:fill="F2F2F2" w:themeFill="background1" w:themeFillShade="F2"/>
          </w:tcPr>
          <w:p w14:paraId="471E95EA" w14:textId="77777777" w:rsidR="00D07346" w:rsidRPr="005044C2" w:rsidRDefault="00D07346" w:rsidP="00D07346">
            <w:pPr>
              <w:rPr>
                <w:sz w:val="16"/>
                <w:szCs w:val="16"/>
              </w:rPr>
            </w:pPr>
            <w:r>
              <w:rPr>
                <w:sz w:val="16"/>
                <w:szCs w:val="16"/>
              </w:rPr>
              <w:t>Regular</w:t>
            </w:r>
            <w:r w:rsidRPr="005044C2">
              <w:rPr>
                <w:sz w:val="16"/>
                <w:szCs w:val="16"/>
              </w:rPr>
              <w:t xml:space="preserve"> weighing as part of antenatal care</w:t>
            </w:r>
            <w:r>
              <w:rPr>
                <w:sz w:val="16"/>
                <w:szCs w:val="16"/>
              </w:rPr>
              <w:t xml:space="preserve"> plus advice on weight gain</w:t>
            </w:r>
          </w:p>
        </w:tc>
        <w:tc>
          <w:tcPr>
            <w:tcW w:w="992" w:type="pct"/>
            <w:shd w:val="clear" w:color="auto" w:fill="F2F2F2" w:themeFill="background1" w:themeFillShade="F2"/>
          </w:tcPr>
          <w:p w14:paraId="7B6A0EB1" w14:textId="77777777" w:rsidR="00D07346" w:rsidRPr="005044C2" w:rsidRDefault="00D07346" w:rsidP="00D07346">
            <w:pPr>
              <w:rPr>
                <w:sz w:val="16"/>
                <w:szCs w:val="16"/>
              </w:rPr>
            </w:pPr>
            <w:r>
              <w:rPr>
                <w:sz w:val="16"/>
                <w:szCs w:val="16"/>
              </w:rPr>
              <w:t>Usual care</w:t>
            </w:r>
          </w:p>
        </w:tc>
        <w:tc>
          <w:tcPr>
            <w:tcW w:w="1070" w:type="pct"/>
            <w:shd w:val="clear" w:color="auto" w:fill="F2F2F2" w:themeFill="background1" w:themeFillShade="F2"/>
          </w:tcPr>
          <w:p w14:paraId="2EC29097" w14:textId="77777777" w:rsidR="00D07346" w:rsidRPr="005044C2" w:rsidRDefault="00D07346" w:rsidP="00D07346">
            <w:pPr>
              <w:rPr>
                <w:sz w:val="16"/>
                <w:szCs w:val="16"/>
              </w:rPr>
            </w:pPr>
            <w:r>
              <w:rPr>
                <w:sz w:val="16"/>
                <w:szCs w:val="16"/>
              </w:rPr>
              <w:t>Health or clinical outcomes, including longer term outcomes for the mother and child</w:t>
            </w:r>
          </w:p>
        </w:tc>
        <w:tc>
          <w:tcPr>
            <w:tcW w:w="1050" w:type="pct"/>
            <w:shd w:val="clear" w:color="auto" w:fill="F2F2F2" w:themeFill="background1" w:themeFillShade="F2"/>
          </w:tcPr>
          <w:p w14:paraId="7931C718" w14:textId="77777777" w:rsidR="00D07346" w:rsidRDefault="00D07346" w:rsidP="00D07346">
            <w:pPr>
              <w:rPr>
                <w:sz w:val="16"/>
                <w:szCs w:val="16"/>
              </w:rPr>
            </w:pPr>
            <w:r>
              <w:rPr>
                <w:sz w:val="16"/>
                <w:szCs w:val="16"/>
              </w:rPr>
              <w:t>RCTs</w:t>
            </w:r>
          </w:p>
          <w:p w14:paraId="05AFE68C" w14:textId="77777777" w:rsidR="00D07346" w:rsidRPr="005044C2" w:rsidRDefault="00D07346" w:rsidP="00D07346">
            <w:pPr>
              <w:rPr>
                <w:sz w:val="16"/>
                <w:szCs w:val="16"/>
              </w:rPr>
            </w:pPr>
            <w:r>
              <w:rPr>
                <w:sz w:val="16"/>
                <w:szCs w:val="16"/>
              </w:rPr>
              <w:t>Systematic reviews of RCTs</w:t>
            </w:r>
          </w:p>
        </w:tc>
      </w:tr>
    </w:tbl>
    <w:p w14:paraId="64EDF715" w14:textId="77777777" w:rsidR="00D07346" w:rsidRDefault="00D07346" w:rsidP="00D07346">
      <w:pPr>
        <w:pStyle w:val="Heading4"/>
      </w:pPr>
      <w:r>
        <w:t>Interventions to prevent gestational weight gain</w:t>
      </w:r>
    </w:p>
    <w:tbl>
      <w:tblPr>
        <w:tblStyle w:val="TableGrid"/>
        <w:tblW w:w="5000" w:type="pct"/>
        <w:tblBorders>
          <w:top w:val="none" w:sz="0" w:space="0" w:color="auto"/>
          <w:bottom w:val="none" w:sz="0" w:space="0" w:color="auto"/>
          <w:insideH w:val="single" w:sz="4" w:space="0" w:color="FFFFFF" w:themeColor="background1"/>
        </w:tblBorders>
        <w:shd w:val="clear" w:color="auto" w:fill="F2F2F2" w:themeFill="background1" w:themeFillShade="F2"/>
        <w:tblLook w:val="04A0" w:firstRow="1" w:lastRow="0" w:firstColumn="1" w:lastColumn="0" w:noHBand="0" w:noVBand="1"/>
        <w:tblCaption w:val="Interventions to prevent gestational weight gain"/>
      </w:tblPr>
      <w:tblGrid>
        <w:gridCol w:w="1519"/>
        <w:gridCol w:w="1986"/>
        <w:gridCol w:w="1841"/>
        <w:gridCol w:w="1986"/>
        <w:gridCol w:w="1949"/>
      </w:tblGrid>
      <w:tr w:rsidR="00D07346" w:rsidRPr="00F36862" w14:paraId="25D7009F" w14:textId="77777777" w:rsidTr="00D07346">
        <w:tc>
          <w:tcPr>
            <w:tcW w:w="818" w:type="pct"/>
            <w:shd w:val="clear" w:color="auto" w:fill="F2F2F2" w:themeFill="background1" w:themeFillShade="F2"/>
          </w:tcPr>
          <w:p w14:paraId="182CDA17" w14:textId="77777777" w:rsidR="00D07346" w:rsidRPr="00F36862" w:rsidRDefault="00D07346" w:rsidP="00D07346">
            <w:pPr>
              <w:keepNext/>
              <w:rPr>
                <w:b/>
                <w:sz w:val="16"/>
                <w:szCs w:val="16"/>
              </w:rPr>
            </w:pPr>
            <w:r w:rsidRPr="00F36862">
              <w:rPr>
                <w:b/>
                <w:sz w:val="16"/>
                <w:szCs w:val="16"/>
              </w:rPr>
              <w:t>Population</w:t>
            </w:r>
          </w:p>
        </w:tc>
        <w:tc>
          <w:tcPr>
            <w:tcW w:w="1070" w:type="pct"/>
            <w:shd w:val="clear" w:color="auto" w:fill="F2F2F2" w:themeFill="background1" w:themeFillShade="F2"/>
          </w:tcPr>
          <w:p w14:paraId="0BB768B2" w14:textId="77777777" w:rsidR="00D07346" w:rsidRPr="00F36862" w:rsidRDefault="00D07346" w:rsidP="00D07346">
            <w:pPr>
              <w:keepNext/>
              <w:rPr>
                <w:b/>
                <w:sz w:val="16"/>
                <w:szCs w:val="16"/>
              </w:rPr>
            </w:pPr>
            <w:r>
              <w:rPr>
                <w:b/>
                <w:sz w:val="16"/>
                <w:szCs w:val="16"/>
              </w:rPr>
              <w:t>Intervention</w:t>
            </w:r>
          </w:p>
        </w:tc>
        <w:tc>
          <w:tcPr>
            <w:tcW w:w="992" w:type="pct"/>
            <w:shd w:val="clear" w:color="auto" w:fill="F2F2F2" w:themeFill="background1" w:themeFillShade="F2"/>
          </w:tcPr>
          <w:p w14:paraId="16381AF5" w14:textId="77777777" w:rsidR="00D07346" w:rsidRPr="00F36862" w:rsidRDefault="00D07346" w:rsidP="00D07346">
            <w:pPr>
              <w:keepNext/>
              <w:rPr>
                <w:b/>
                <w:sz w:val="16"/>
                <w:szCs w:val="16"/>
              </w:rPr>
            </w:pPr>
            <w:r w:rsidRPr="00F36862">
              <w:rPr>
                <w:b/>
                <w:sz w:val="16"/>
                <w:szCs w:val="16"/>
              </w:rPr>
              <w:t>Comparator</w:t>
            </w:r>
          </w:p>
        </w:tc>
        <w:tc>
          <w:tcPr>
            <w:tcW w:w="1070" w:type="pct"/>
            <w:shd w:val="clear" w:color="auto" w:fill="F2F2F2" w:themeFill="background1" w:themeFillShade="F2"/>
          </w:tcPr>
          <w:p w14:paraId="016ED584" w14:textId="77777777" w:rsidR="00D07346" w:rsidRPr="00F36862" w:rsidRDefault="00D07346" w:rsidP="00D07346">
            <w:pPr>
              <w:keepNext/>
              <w:rPr>
                <w:b/>
                <w:sz w:val="16"/>
                <w:szCs w:val="16"/>
              </w:rPr>
            </w:pPr>
            <w:r w:rsidRPr="00F36862">
              <w:rPr>
                <w:b/>
                <w:sz w:val="16"/>
                <w:szCs w:val="16"/>
              </w:rPr>
              <w:t>Outcomes</w:t>
            </w:r>
          </w:p>
        </w:tc>
        <w:tc>
          <w:tcPr>
            <w:tcW w:w="1050" w:type="pct"/>
            <w:shd w:val="clear" w:color="auto" w:fill="F2F2F2" w:themeFill="background1" w:themeFillShade="F2"/>
          </w:tcPr>
          <w:p w14:paraId="1401D863" w14:textId="77777777" w:rsidR="00D07346" w:rsidRPr="00F36862" w:rsidRDefault="00D07346" w:rsidP="00D07346">
            <w:pPr>
              <w:keepNext/>
              <w:rPr>
                <w:b/>
                <w:sz w:val="16"/>
                <w:szCs w:val="16"/>
              </w:rPr>
            </w:pPr>
            <w:r>
              <w:rPr>
                <w:b/>
                <w:sz w:val="16"/>
                <w:szCs w:val="16"/>
              </w:rPr>
              <w:t>Study designs</w:t>
            </w:r>
          </w:p>
        </w:tc>
      </w:tr>
      <w:tr w:rsidR="00D07346" w:rsidRPr="00F36862" w14:paraId="2F79888C" w14:textId="77777777" w:rsidTr="00D07346">
        <w:tc>
          <w:tcPr>
            <w:tcW w:w="818" w:type="pct"/>
            <w:vMerge w:val="restart"/>
            <w:shd w:val="clear" w:color="auto" w:fill="F2F2F2" w:themeFill="background1" w:themeFillShade="F2"/>
          </w:tcPr>
          <w:p w14:paraId="443F8AA6" w14:textId="77777777" w:rsidR="00D07346" w:rsidRPr="00F36862" w:rsidRDefault="00D07346" w:rsidP="00D07346">
            <w:pPr>
              <w:keepNext/>
              <w:rPr>
                <w:sz w:val="16"/>
                <w:szCs w:val="16"/>
              </w:rPr>
            </w:pPr>
            <w:r w:rsidRPr="00F36862">
              <w:rPr>
                <w:sz w:val="16"/>
                <w:szCs w:val="16"/>
              </w:rPr>
              <w:t>Pregnant women</w:t>
            </w:r>
            <w:r>
              <w:rPr>
                <w:sz w:val="16"/>
                <w:szCs w:val="16"/>
              </w:rPr>
              <w:t xml:space="preserve"> who are apparently healthy in early pregnancy</w:t>
            </w:r>
          </w:p>
        </w:tc>
        <w:tc>
          <w:tcPr>
            <w:tcW w:w="1070" w:type="pct"/>
            <w:shd w:val="clear" w:color="auto" w:fill="F2F2F2" w:themeFill="background1" w:themeFillShade="F2"/>
          </w:tcPr>
          <w:p w14:paraId="54B6CAF2" w14:textId="77777777" w:rsidR="00D07346" w:rsidRPr="00F36862" w:rsidRDefault="00D07346" w:rsidP="00D07346">
            <w:pPr>
              <w:keepNext/>
              <w:rPr>
                <w:sz w:val="16"/>
                <w:szCs w:val="16"/>
              </w:rPr>
            </w:pPr>
            <w:r>
              <w:rPr>
                <w:sz w:val="16"/>
                <w:szCs w:val="16"/>
              </w:rPr>
              <w:t>Intervention related to changes in diet</w:t>
            </w:r>
          </w:p>
        </w:tc>
        <w:tc>
          <w:tcPr>
            <w:tcW w:w="992" w:type="pct"/>
            <w:vMerge w:val="restart"/>
            <w:shd w:val="clear" w:color="auto" w:fill="F2F2F2" w:themeFill="background1" w:themeFillShade="F2"/>
          </w:tcPr>
          <w:p w14:paraId="039496C3" w14:textId="77777777" w:rsidR="00D07346" w:rsidRPr="00F36862" w:rsidRDefault="00D07346" w:rsidP="00D07346">
            <w:pPr>
              <w:keepNext/>
              <w:rPr>
                <w:sz w:val="16"/>
                <w:szCs w:val="16"/>
              </w:rPr>
            </w:pPr>
            <w:r>
              <w:rPr>
                <w:sz w:val="16"/>
                <w:szCs w:val="16"/>
              </w:rPr>
              <w:t>Usual care</w:t>
            </w:r>
          </w:p>
        </w:tc>
        <w:tc>
          <w:tcPr>
            <w:tcW w:w="1070" w:type="pct"/>
            <w:vMerge w:val="restart"/>
            <w:shd w:val="clear" w:color="auto" w:fill="F2F2F2" w:themeFill="background1" w:themeFillShade="F2"/>
          </w:tcPr>
          <w:p w14:paraId="76685914" w14:textId="77777777" w:rsidR="00D07346" w:rsidRPr="00F36862" w:rsidRDefault="00D07346" w:rsidP="00D07346">
            <w:pPr>
              <w:keepNext/>
              <w:rPr>
                <w:sz w:val="16"/>
                <w:szCs w:val="16"/>
              </w:rPr>
            </w:pPr>
            <w:r>
              <w:rPr>
                <w:sz w:val="16"/>
                <w:szCs w:val="16"/>
              </w:rPr>
              <w:t>Health or clinical outcomes, including longer term outcomes for the mother and child</w:t>
            </w:r>
          </w:p>
        </w:tc>
        <w:tc>
          <w:tcPr>
            <w:tcW w:w="1050" w:type="pct"/>
            <w:vMerge w:val="restart"/>
            <w:shd w:val="clear" w:color="auto" w:fill="F2F2F2" w:themeFill="background1" w:themeFillShade="F2"/>
          </w:tcPr>
          <w:p w14:paraId="1C2E54D8" w14:textId="77777777" w:rsidR="00D07346" w:rsidRDefault="00D07346" w:rsidP="00D07346">
            <w:pPr>
              <w:keepNext/>
              <w:rPr>
                <w:sz w:val="16"/>
                <w:szCs w:val="16"/>
              </w:rPr>
            </w:pPr>
            <w:r>
              <w:rPr>
                <w:sz w:val="16"/>
                <w:szCs w:val="16"/>
              </w:rPr>
              <w:t>RCTs</w:t>
            </w:r>
          </w:p>
          <w:p w14:paraId="3879B09F" w14:textId="77777777" w:rsidR="00D07346" w:rsidRDefault="00D07346" w:rsidP="00D07346">
            <w:pPr>
              <w:keepNext/>
              <w:rPr>
                <w:sz w:val="16"/>
                <w:szCs w:val="16"/>
              </w:rPr>
            </w:pPr>
            <w:r>
              <w:rPr>
                <w:sz w:val="16"/>
                <w:szCs w:val="16"/>
              </w:rPr>
              <w:t>Systematic reviews of RCTs</w:t>
            </w:r>
          </w:p>
        </w:tc>
      </w:tr>
      <w:tr w:rsidR="00D07346" w:rsidRPr="00F36862" w14:paraId="0C420AED" w14:textId="77777777" w:rsidTr="00D07346">
        <w:tc>
          <w:tcPr>
            <w:tcW w:w="818" w:type="pct"/>
            <w:vMerge/>
            <w:shd w:val="clear" w:color="auto" w:fill="F2F2F2" w:themeFill="background1" w:themeFillShade="F2"/>
          </w:tcPr>
          <w:p w14:paraId="647832F5" w14:textId="77777777" w:rsidR="00D07346" w:rsidRPr="00F36862" w:rsidRDefault="00D07346" w:rsidP="00D07346">
            <w:pPr>
              <w:rPr>
                <w:sz w:val="16"/>
                <w:szCs w:val="16"/>
              </w:rPr>
            </w:pPr>
          </w:p>
        </w:tc>
        <w:tc>
          <w:tcPr>
            <w:tcW w:w="1070" w:type="pct"/>
            <w:shd w:val="clear" w:color="auto" w:fill="F2F2F2" w:themeFill="background1" w:themeFillShade="F2"/>
          </w:tcPr>
          <w:p w14:paraId="7247C182" w14:textId="77777777" w:rsidR="00D07346" w:rsidRDefault="00D07346" w:rsidP="00D07346">
            <w:pPr>
              <w:rPr>
                <w:sz w:val="16"/>
                <w:szCs w:val="16"/>
              </w:rPr>
            </w:pPr>
            <w:r>
              <w:rPr>
                <w:sz w:val="16"/>
                <w:szCs w:val="16"/>
              </w:rPr>
              <w:t>Intervention to increase physical activity</w:t>
            </w:r>
          </w:p>
        </w:tc>
        <w:tc>
          <w:tcPr>
            <w:tcW w:w="992" w:type="pct"/>
            <w:vMerge/>
            <w:shd w:val="clear" w:color="auto" w:fill="F2F2F2" w:themeFill="background1" w:themeFillShade="F2"/>
          </w:tcPr>
          <w:p w14:paraId="45D796A1" w14:textId="77777777" w:rsidR="00D07346" w:rsidRDefault="00D07346" w:rsidP="00D07346">
            <w:pPr>
              <w:rPr>
                <w:sz w:val="16"/>
                <w:szCs w:val="16"/>
              </w:rPr>
            </w:pPr>
          </w:p>
        </w:tc>
        <w:tc>
          <w:tcPr>
            <w:tcW w:w="1070" w:type="pct"/>
            <w:vMerge/>
            <w:shd w:val="clear" w:color="auto" w:fill="F2F2F2" w:themeFill="background1" w:themeFillShade="F2"/>
          </w:tcPr>
          <w:p w14:paraId="7ABA88CF" w14:textId="77777777" w:rsidR="00D07346" w:rsidRDefault="00D07346" w:rsidP="00D07346">
            <w:pPr>
              <w:rPr>
                <w:sz w:val="16"/>
                <w:szCs w:val="16"/>
              </w:rPr>
            </w:pPr>
          </w:p>
        </w:tc>
        <w:tc>
          <w:tcPr>
            <w:tcW w:w="1050" w:type="pct"/>
            <w:vMerge/>
            <w:shd w:val="clear" w:color="auto" w:fill="F2F2F2" w:themeFill="background1" w:themeFillShade="F2"/>
          </w:tcPr>
          <w:p w14:paraId="611F63BC" w14:textId="77777777" w:rsidR="00D07346" w:rsidRDefault="00D07346" w:rsidP="00D07346">
            <w:pPr>
              <w:rPr>
                <w:sz w:val="16"/>
                <w:szCs w:val="16"/>
              </w:rPr>
            </w:pPr>
          </w:p>
        </w:tc>
      </w:tr>
      <w:tr w:rsidR="00D07346" w:rsidRPr="00F36862" w14:paraId="5A0A4D3B" w14:textId="77777777" w:rsidTr="00D07346">
        <w:trPr>
          <w:trHeight w:val="617"/>
        </w:trPr>
        <w:tc>
          <w:tcPr>
            <w:tcW w:w="818" w:type="pct"/>
            <w:vMerge/>
            <w:tcBorders>
              <w:bottom w:val="nil"/>
            </w:tcBorders>
            <w:shd w:val="clear" w:color="auto" w:fill="F2F2F2" w:themeFill="background1" w:themeFillShade="F2"/>
          </w:tcPr>
          <w:p w14:paraId="5CA9E197" w14:textId="77777777" w:rsidR="00D07346" w:rsidRPr="00F36862" w:rsidRDefault="00D07346" w:rsidP="00D07346">
            <w:pPr>
              <w:rPr>
                <w:sz w:val="16"/>
                <w:szCs w:val="16"/>
              </w:rPr>
            </w:pPr>
          </w:p>
        </w:tc>
        <w:tc>
          <w:tcPr>
            <w:tcW w:w="1070" w:type="pct"/>
            <w:tcBorders>
              <w:bottom w:val="nil"/>
            </w:tcBorders>
            <w:shd w:val="clear" w:color="auto" w:fill="F2F2F2" w:themeFill="background1" w:themeFillShade="F2"/>
          </w:tcPr>
          <w:p w14:paraId="7C40403C" w14:textId="77777777" w:rsidR="00D07346" w:rsidRDefault="00D07346" w:rsidP="00D07346">
            <w:pPr>
              <w:rPr>
                <w:sz w:val="16"/>
                <w:szCs w:val="16"/>
              </w:rPr>
            </w:pPr>
            <w:r>
              <w:rPr>
                <w:sz w:val="16"/>
                <w:szCs w:val="16"/>
              </w:rPr>
              <w:t>Combined intervention with dietary and physical activity components</w:t>
            </w:r>
          </w:p>
        </w:tc>
        <w:tc>
          <w:tcPr>
            <w:tcW w:w="992" w:type="pct"/>
            <w:vMerge/>
            <w:tcBorders>
              <w:bottom w:val="nil"/>
            </w:tcBorders>
            <w:shd w:val="clear" w:color="auto" w:fill="F2F2F2" w:themeFill="background1" w:themeFillShade="F2"/>
          </w:tcPr>
          <w:p w14:paraId="47ED2A98" w14:textId="77777777" w:rsidR="00D07346" w:rsidRDefault="00D07346" w:rsidP="00D07346">
            <w:pPr>
              <w:rPr>
                <w:sz w:val="16"/>
                <w:szCs w:val="16"/>
              </w:rPr>
            </w:pPr>
          </w:p>
        </w:tc>
        <w:tc>
          <w:tcPr>
            <w:tcW w:w="1070" w:type="pct"/>
            <w:vMerge/>
            <w:tcBorders>
              <w:bottom w:val="nil"/>
            </w:tcBorders>
            <w:shd w:val="clear" w:color="auto" w:fill="F2F2F2" w:themeFill="background1" w:themeFillShade="F2"/>
          </w:tcPr>
          <w:p w14:paraId="7087D92A" w14:textId="77777777" w:rsidR="00D07346" w:rsidRDefault="00D07346" w:rsidP="00D07346">
            <w:pPr>
              <w:rPr>
                <w:sz w:val="16"/>
                <w:szCs w:val="16"/>
              </w:rPr>
            </w:pPr>
          </w:p>
        </w:tc>
        <w:tc>
          <w:tcPr>
            <w:tcW w:w="1050" w:type="pct"/>
            <w:vMerge/>
            <w:tcBorders>
              <w:bottom w:val="nil"/>
            </w:tcBorders>
            <w:shd w:val="clear" w:color="auto" w:fill="F2F2F2" w:themeFill="background1" w:themeFillShade="F2"/>
          </w:tcPr>
          <w:p w14:paraId="26A31932" w14:textId="77777777" w:rsidR="00D07346" w:rsidRDefault="00D07346" w:rsidP="00D07346">
            <w:pPr>
              <w:rPr>
                <w:sz w:val="16"/>
                <w:szCs w:val="16"/>
              </w:rPr>
            </w:pPr>
          </w:p>
        </w:tc>
      </w:tr>
    </w:tbl>
    <w:p w14:paraId="676FD478" w14:textId="1FF5968C" w:rsidR="00BC4ECC" w:rsidRDefault="00F643F4" w:rsidP="00BC4ECC">
      <w:r>
        <w:t>E</w:t>
      </w:r>
      <w:r w:rsidR="00BC4ECC" w:rsidRPr="00E2553A">
        <w:t xml:space="preserve">xclusion criteria </w:t>
      </w:r>
      <w:r w:rsidR="00BC4ECC">
        <w:t xml:space="preserve">outlined below </w:t>
      </w:r>
      <w:r w:rsidR="002B6FAD">
        <w:t xml:space="preserve">were </w:t>
      </w:r>
      <w:r w:rsidR="00BC4ECC">
        <w:t>applied.</w:t>
      </w:r>
    </w:p>
    <w:p w14:paraId="4836E3FF" w14:textId="4BDD016E" w:rsidR="00BC4ECC" w:rsidRPr="00752C35" w:rsidRDefault="00F643F4" w:rsidP="00BC4ECC">
      <w:pPr>
        <w:pStyle w:val="bullet"/>
      </w:pPr>
      <w:r>
        <w:t>Not in English</w:t>
      </w:r>
    </w:p>
    <w:p w14:paraId="7CD596C2" w14:textId="72152753" w:rsidR="00BC4ECC" w:rsidRPr="00722E4A" w:rsidRDefault="00BC4ECC" w:rsidP="00BC4ECC">
      <w:pPr>
        <w:pStyle w:val="bullet"/>
        <w:rPr>
          <w:b/>
        </w:rPr>
      </w:pPr>
      <w:r w:rsidRPr="00722E4A">
        <w:t>Duplicate</w:t>
      </w:r>
    </w:p>
    <w:p w14:paraId="788CB6FE" w14:textId="473C18F0" w:rsidR="00F643F4" w:rsidRPr="00F643F4" w:rsidRDefault="00F643F4" w:rsidP="00BC4ECC">
      <w:pPr>
        <w:pStyle w:val="bullet"/>
        <w:rPr>
          <w:b/>
        </w:rPr>
      </w:pPr>
      <w:r>
        <w:t>Narrative review, opinion piece, letter, editorial</w:t>
      </w:r>
    </w:p>
    <w:p w14:paraId="63A872DB" w14:textId="5841C7DE" w:rsidR="00F643F4" w:rsidRPr="00F643F4" w:rsidRDefault="00F643F4" w:rsidP="00BC4ECC">
      <w:pPr>
        <w:pStyle w:val="bullet"/>
        <w:rPr>
          <w:b/>
        </w:rPr>
      </w:pPr>
      <w:r>
        <w:t xml:space="preserve">Wrong setting </w:t>
      </w:r>
      <w:r w:rsidR="00D07346">
        <w:t>(ie not antenatal care)</w:t>
      </w:r>
    </w:p>
    <w:p w14:paraId="6EFEB381" w14:textId="606274BA" w:rsidR="00F643F4" w:rsidRPr="00F643F4" w:rsidRDefault="00F643F4" w:rsidP="00BC4ECC">
      <w:pPr>
        <w:pStyle w:val="bullet"/>
        <w:rPr>
          <w:b/>
        </w:rPr>
      </w:pPr>
      <w:r>
        <w:t xml:space="preserve">Wrong intervention </w:t>
      </w:r>
    </w:p>
    <w:p w14:paraId="3C24F47D" w14:textId="6E9D7E04" w:rsidR="00F643F4" w:rsidRPr="00F643F4" w:rsidRDefault="00F643F4" w:rsidP="00BC4ECC">
      <w:pPr>
        <w:pStyle w:val="bullet"/>
        <w:rPr>
          <w:b/>
        </w:rPr>
      </w:pPr>
      <w:r>
        <w:t xml:space="preserve">Wrong study design </w:t>
      </w:r>
      <w:r w:rsidR="00D07346">
        <w:t>(question specific; see above)</w:t>
      </w:r>
    </w:p>
    <w:p w14:paraId="314B4FA4" w14:textId="77777777" w:rsidR="00F643F4" w:rsidRPr="00F643F4" w:rsidRDefault="00F643F4" w:rsidP="00BC4ECC">
      <w:pPr>
        <w:pStyle w:val="bullet"/>
        <w:rPr>
          <w:b/>
        </w:rPr>
      </w:pPr>
      <w:r>
        <w:t>Wrong outcomes</w:t>
      </w:r>
    </w:p>
    <w:p w14:paraId="42A84DF1" w14:textId="77777777" w:rsidR="00F643F4" w:rsidRPr="00F643F4" w:rsidRDefault="00F643F4" w:rsidP="00BC4ECC">
      <w:pPr>
        <w:pStyle w:val="bullet"/>
        <w:rPr>
          <w:b/>
        </w:rPr>
      </w:pPr>
      <w:r>
        <w:t>Wrong population</w:t>
      </w:r>
    </w:p>
    <w:p w14:paraId="4B227746" w14:textId="77777777" w:rsidR="00F643F4" w:rsidRPr="00F643F4" w:rsidRDefault="00F643F4" w:rsidP="00BC4ECC">
      <w:pPr>
        <w:pStyle w:val="bullet"/>
        <w:rPr>
          <w:b/>
        </w:rPr>
      </w:pPr>
      <w:r>
        <w:t>Wrong comparator</w:t>
      </w:r>
    </w:p>
    <w:p w14:paraId="24B65819" w14:textId="77777777" w:rsidR="00F643F4" w:rsidRPr="00F643F4" w:rsidRDefault="00F643F4" w:rsidP="00BC4ECC">
      <w:pPr>
        <w:pStyle w:val="bullet"/>
        <w:rPr>
          <w:b/>
        </w:rPr>
      </w:pPr>
      <w:r>
        <w:t>Systematic literature review with all studies included in another systematic review</w:t>
      </w:r>
    </w:p>
    <w:p w14:paraId="001B88B9" w14:textId="12EDFF10" w:rsidR="00F643F4" w:rsidRPr="00F643F4" w:rsidRDefault="00D07346" w:rsidP="00BC4ECC">
      <w:pPr>
        <w:pStyle w:val="bullet"/>
        <w:rPr>
          <w:b/>
        </w:rPr>
      </w:pPr>
      <w:r>
        <w:t>RCT i</w:t>
      </w:r>
      <w:r w:rsidR="00F643F4">
        <w:t>ncluded in a systematic review</w:t>
      </w:r>
    </w:p>
    <w:p w14:paraId="584BF89B" w14:textId="77777777" w:rsidR="00F643F4" w:rsidRPr="00F643F4" w:rsidRDefault="00F643F4" w:rsidP="00BC4ECC">
      <w:pPr>
        <w:pStyle w:val="bullet"/>
        <w:rPr>
          <w:b/>
        </w:rPr>
      </w:pPr>
      <w:r>
        <w:t>Does not answer research question</w:t>
      </w:r>
    </w:p>
    <w:p w14:paraId="0589EA46" w14:textId="7F7C20DF" w:rsidR="00852C9A" w:rsidRPr="00722E4A" w:rsidRDefault="00852C9A" w:rsidP="00852C9A">
      <w:pPr>
        <w:rPr>
          <w:b/>
        </w:rPr>
      </w:pPr>
      <w:r>
        <w:t xml:space="preserve">The excluded studies are listed in </w:t>
      </w:r>
      <w:r w:rsidR="00EB1984">
        <w:t>Appendix D</w:t>
      </w:r>
      <w:r>
        <w:t>.</w:t>
      </w:r>
    </w:p>
    <w:p w14:paraId="3EE7A9CC" w14:textId="6BD6610A" w:rsidR="000D0F65" w:rsidRDefault="000D0F65" w:rsidP="000D0F65">
      <w:pPr>
        <w:pStyle w:val="Heading2"/>
        <w:rPr>
          <w:lang w:val="en-AU"/>
        </w:rPr>
      </w:pPr>
      <w:bookmarkStart w:id="7" w:name="_Toc40956466"/>
      <w:r w:rsidRPr="008F13EC">
        <w:rPr>
          <w:lang w:val="en-AU"/>
        </w:rPr>
        <w:t>Selection of outcomes for GRADE analysis</w:t>
      </w:r>
      <w:bookmarkEnd w:id="7"/>
      <w:r w:rsidR="00BF2BF6">
        <w:rPr>
          <w:lang w:val="en-AU"/>
        </w:rPr>
        <w:t xml:space="preserve"> </w:t>
      </w:r>
    </w:p>
    <w:p w14:paraId="2D4F2CBE" w14:textId="51C2EAA6" w:rsidR="0019765E" w:rsidRDefault="0019765E" w:rsidP="00932C6D">
      <w:pPr>
        <w:pStyle w:val="TableName"/>
      </w:pPr>
      <w:bookmarkStart w:id="8" w:name="_Toc40956581"/>
      <w:r>
        <w:t>Probiotics — maternal outcomes</w:t>
      </w:r>
      <w:bookmarkEnd w:id="8"/>
    </w:p>
    <w:tbl>
      <w:tblPr>
        <w:tblW w:w="9256" w:type="dxa"/>
        <w:tblInd w:w="-2" w:type="dxa"/>
        <w:tblBorders>
          <w:top w:val="single" w:sz="4" w:space="0" w:color="FFFFFF"/>
          <w:bottom w:val="single" w:sz="4" w:space="0" w:color="FFFFFF"/>
          <w:insideH w:val="single" w:sz="4" w:space="0" w:color="FFFFFF"/>
        </w:tblBorders>
        <w:shd w:val="clear" w:color="auto" w:fill="F2F2F2" w:themeFill="background1" w:themeFillShade="F2"/>
        <w:tblLook w:val="00A0" w:firstRow="1" w:lastRow="0" w:firstColumn="1" w:lastColumn="0" w:noHBand="0" w:noVBand="0"/>
      </w:tblPr>
      <w:tblGrid>
        <w:gridCol w:w="5202"/>
        <w:gridCol w:w="2126"/>
        <w:gridCol w:w="1928"/>
      </w:tblGrid>
      <w:tr w:rsidR="0019765E" w:rsidRPr="009C0598" w14:paraId="355E57F7" w14:textId="77777777" w:rsidTr="003D49F2">
        <w:trPr>
          <w:tblHeader/>
        </w:trPr>
        <w:tc>
          <w:tcPr>
            <w:tcW w:w="5202" w:type="dxa"/>
            <w:shd w:val="clear" w:color="auto" w:fill="F2F2F2" w:themeFill="background1" w:themeFillShade="F2"/>
          </w:tcPr>
          <w:p w14:paraId="51743503" w14:textId="77777777" w:rsidR="0019765E" w:rsidRPr="009C0598" w:rsidRDefault="0019765E" w:rsidP="003D49F2">
            <w:pPr>
              <w:keepNext/>
              <w:spacing w:before="40" w:after="40"/>
              <w:rPr>
                <w:b/>
                <w:color w:val="000000" w:themeColor="text1"/>
                <w:sz w:val="16"/>
              </w:rPr>
            </w:pPr>
            <w:r w:rsidRPr="009C0598">
              <w:rPr>
                <w:b/>
                <w:color w:val="000000" w:themeColor="text1"/>
                <w:sz w:val="16"/>
              </w:rPr>
              <w:t>Outcome</w:t>
            </w:r>
          </w:p>
        </w:tc>
        <w:tc>
          <w:tcPr>
            <w:tcW w:w="2126" w:type="dxa"/>
            <w:shd w:val="clear" w:color="auto" w:fill="F2F2F2" w:themeFill="background1" w:themeFillShade="F2"/>
          </w:tcPr>
          <w:p w14:paraId="72229292" w14:textId="77777777" w:rsidR="0019765E" w:rsidRPr="009C0598" w:rsidRDefault="0019765E" w:rsidP="003D49F2">
            <w:pPr>
              <w:keepNext/>
              <w:spacing w:before="40" w:after="40"/>
              <w:jc w:val="center"/>
              <w:rPr>
                <w:b/>
                <w:color w:val="000000" w:themeColor="text1"/>
                <w:sz w:val="16"/>
              </w:rPr>
            </w:pPr>
            <w:r w:rsidRPr="009C0598">
              <w:rPr>
                <w:b/>
                <w:color w:val="000000" w:themeColor="text1"/>
                <w:sz w:val="16"/>
              </w:rPr>
              <w:t>Importance</w:t>
            </w:r>
          </w:p>
        </w:tc>
        <w:tc>
          <w:tcPr>
            <w:tcW w:w="1928" w:type="dxa"/>
            <w:shd w:val="clear" w:color="auto" w:fill="F2F2F2" w:themeFill="background1" w:themeFillShade="F2"/>
          </w:tcPr>
          <w:p w14:paraId="335DED1E" w14:textId="77777777" w:rsidR="0019765E" w:rsidRPr="009C0598" w:rsidRDefault="0019765E" w:rsidP="003D49F2">
            <w:pPr>
              <w:keepNext/>
              <w:spacing w:before="40" w:after="40"/>
              <w:jc w:val="center"/>
              <w:rPr>
                <w:b/>
                <w:color w:val="000000" w:themeColor="text1"/>
                <w:sz w:val="16"/>
              </w:rPr>
            </w:pPr>
            <w:r w:rsidRPr="009C0598">
              <w:rPr>
                <w:b/>
                <w:color w:val="000000" w:themeColor="text1"/>
                <w:sz w:val="16"/>
              </w:rPr>
              <w:t>Inclusion</w:t>
            </w:r>
          </w:p>
        </w:tc>
      </w:tr>
      <w:tr w:rsidR="0019765E" w:rsidRPr="00464CE0" w14:paraId="37FFF408" w14:textId="77777777" w:rsidTr="003D49F2">
        <w:tc>
          <w:tcPr>
            <w:tcW w:w="5202" w:type="dxa"/>
            <w:shd w:val="clear" w:color="auto" w:fill="F2F2F2" w:themeFill="background1" w:themeFillShade="F2"/>
          </w:tcPr>
          <w:p w14:paraId="625FF271" w14:textId="77777777" w:rsidR="0019765E" w:rsidRDefault="0019765E" w:rsidP="003D49F2">
            <w:pPr>
              <w:keepNext/>
              <w:spacing w:before="40" w:after="40"/>
              <w:rPr>
                <w:sz w:val="16"/>
              </w:rPr>
            </w:pPr>
            <w:r>
              <w:rPr>
                <w:sz w:val="16"/>
                <w:szCs w:val="16"/>
              </w:rPr>
              <w:t>Gestational diabetes</w:t>
            </w:r>
          </w:p>
        </w:tc>
        <w:tc>
          <w:tcPr>
            <w:tcW w:w="2126" w:type="dxa"/>
            <w:shd w:val="clear" w:color="auto" w:fill="F2F2F2" w:themeFill="background1" w:themeFillShade="F2"/>
          </w:tcPr>
          <w:p w14:paraId="15E4D50F" w14:textId="77777777" w:rsidR="0019765E" w:rsidRDefault="0019765E" w:rsidP="003D49F2">
            <w:pPr>
              <w:keepNext/>
              <w:spacing w:before="40" w:after="40"/>
              <w:jc w:val="center"/>
              <w:rPr>
                <w:sz w:val="16"/>
              </w:rPr>
            </w:pPr>
            <w:r>
              <w:rPr>
                <w:sz w:val="16"/>
              </w:rPr>
              <w:t>9</w:t>
            </w:r>
          </w:p>
        </w:tc>
        <w:tc>
          <w:tcPr>
            <w:tcW w:w="1928" w:type="dxa"/>
            <w:shd w:val="clear" w:color="auto" w:fill="F2F2F2" w:themeFill="background1" w:themeFillShade="F2"/>
          </w:tcPr>
          <w:p w14:paraId="06CE6B88" w14:textId="77777777" w:rsidR="0019765E" w:rsidRPr="00941AA8" w:rsidRDefault="0019765E" w:rsidP="003D49F2">
            <w:pPr>
              <w:keepNext/>
              <w:spacing w:before="40" w:after="40"/>
              <w:jc w:val="center"/>
              <w:rPr>
                <w:sz w:val="16"/>
              </w:rPr>
            </w:pPr>
            <w:r w:rsidRPr="00941AA8">
              <w:rPr>
                <w:sz w:val="16"/>
              </w:rPr>
              <w:sym w:font="Wingdings 2" w:char="F052"/>
            </w:r>
          </w:p>
        </w:tc>
      </w:tr>
      <w:tr w:rsidR="0019765E" w:rsidRPr="00464CE0" w14:paraId="7DEEE6D0" w14:textId="77777777" w:rsidTr="003D49F2">
        <w:tc>
          <w:tcPr>
            <w:tcW w:w="5202" w:type="dxa"/>
            <w:shd w:val="clear" w:color="auto" w:fill="F2F2F2" w:themeFill="background1" w:themeFillShade="F2"/>
          </w:tcPr>
          <w:p w14:paraId="7141B683" w14:textId="3F2914E2" w:rsidR="0019765E" w:rsidRDefault="0019765E" w:rsidP="003D49F2">
            <w:pPr>
              <w:keepNext/>
              <w:spacing w:before="40" w:after="40"/>
              <w:rPr>
                <w:sz w:val="16"/>
              </w:rPr>
            </w:pPr>
            <w:r>
              <w:rPr>
                <w:sz w:val="16"/>
                <w:szCs w:val="16"/>
              </w:rPr>
              <w:t>Gestational hypertension</w:t>
            </w:r>
          </w:p>
        </w:tc>
        <w:tc>
          <w:tcPr>
            <w:tcW w:w="2126" w:type="dxa"/>
            <w:shd w:val="clear" w:color="auto" w:fill="F2F2F2" w:themeFill="background1" w:themeFillShade="F2"/>
          </w:tcPr>
          <w:p w14:paraId="0103B71B" w14:textId="77777777" w:rsidR="0019765E" w:rsidRDefault="0019765E" w:rsidP="003D49F2">
            <w:pPr>
              <w:keepNext/>
              <w:spacing w:before="40" w:after="40"/>
              <w:jc w:val="center"/>
              <w:rPr>
                <w:sz w:val="16"/>
              </w:rPr>
            </w:pPr>
            <w:r>
              <w:rPr>
                <w:sz w:val="16"/>
              </w:rPr>
              <w:t>9</w:t>
            </w:r>
          </w:p>
        </w:tc>
        <w:tc>
          <w:tcPr>
            <w:tcW w:w="1928" w:type="dxa"/>
            <w:shd w:val="clear" w:color="auto" w:fill="F2F2F2" w:themeFill="background1" w:themeFillShade="F2"/>
          </w:tcPr>
          <w:p w14:paraId="06942F80" w14:textId="77777777" w:rsidR="0019765E" w:rsidRPr="00941AA8" w:rsidRDefault="0019765E" w:rsidP="003D49F2">
            <w:pPr>
              <w:keepNext/>
              <w:spacing w:before="40" w:after="40"/>
              <w:jc w:val="center"/>
              <w:rPr>
                <w:sz w:val="16"/>
              </w:rPr>
            </w:pPr>
            <w:r w:rsidRPr="00941AA8">
              <w:rPr>
                <w:sz w:val="16"/>
              </w:rPr>
              <w:sym w:font="Wingdings 2" w:char="F052"/>
            </w:r>
          </w:p>
        </w:tc>
      </w:tr>
      <w:tr w:rsidR="0019765E" w:rsidRPr="00464CE0" w14:paraId="13C7A018" w14:textId="77777777" w:rsidTr="000E72DF">
        <w:tc>
          <w:tcPr>
            <w:tcW w:w="5202" w:type="dxa"/>
            <w:tcBorders>
              <w:bottom w:val="single" w:sz="4" w:space="0" w:color="FFFFFF"/>
            </w:tcBorders>
            <w:shd w:val="clear" w:color="auto" w:fill="F2F2F2" w:themeFill="background1" w:themeFillShade="F2"/>
          </w:tcPr>
          <w:p w14:paraId="4DF186C6" w14:textId="6C557B7A" w:rsidR="0019765E" w:rsidRDefault="0019765E" w:rsidP="003D49F2">
            <w:pPr>
              <w:keepNext/>
              <w:spacing w:before="40" w:after="40"/>
              <w:rPr>
                <w:sz w:val="16"/>
                <w:szCs w:val="16"/>
              </w:rPr>
            </w:pPr>
            <w:r>
              <w:rPr>
                <w:sz w:val="16"/>
                <w:szCs w:val="16"/>
              </w:rPr>
              <w:t>Pre-eclampsia</w:t>
            </w:r>
          </w:p>
        </w:tc>
        <w:tc>
          <w:tcPr>
            <w:tcW w:w="2126" w:type="dxa"/>
            <w:tcBorders>
              <w:bottom w:val="single" w:sz="4" w:space="0" w:color="FFFFFF"/>
            </w:tcBorders>
            <w:shd w:val="clear" w:color="auto" w:fill="F2F2F2" w:themeFill="background1" w:themeFillShade="F2"/>
          </w:tcPr>
          <w:p w14:paraId="45CC29CE" w14:textId="35BA9FA6" w:rsidR="0019765E" w:rsidRDefault="007110D4" w:rsidP="003D49F2">
            <w:pPr>
              <w:keepNext/>
              <w:spacing w:before="40" w:after="40"/>
              <w:jc w:val="center"/>
              <w:rPr>
                <w:sz w:val="16"/>
              </w:rPr>
            </w:pPr>
            <w:r>
              <w:rPr>
                <w:sz w:val="16"/>
              </w:rPr>
              <w:t>5</w:t>
            </w:r>
          </w:p>
        </w:tc>
        <w:tc>
          <w:tcPr>
            <w:tcW w:w="1928" w:type="dxa"/>
            <w:tcBorders>
              <w:bottom w:val="single" w:sz="4" w:space="0" w:color="FFFFFF"/>
            </w:tcBorders>
            <w:shd w:val="clear" w:color="auto" w:fill="F2F2F2" w:themeFill="background1" w:themeFillShade="F2"/>
          </w:tcPr>
          <w:p w14:paraId="446C8F70" w14:textId="1D6BB1DC" w:rsidR="0019765E" w:rsidRPr="00941AA8" w:rsidRDefault="007110D4" w:rsidP="003D49F2">
            <w:pPr>
              <w:keepNext/>
              <w:spacing w:before="40" w:after="40"/>
              <w:jc w:val="center"/>
              <w:rPr>
                <w:sz w:val="16"/>
              </w:rPr>
            </w:pPr>
            <w:r w:rsidRPr="00941AA8">
              <w:rPr>
                <w:sz w:val="16"/>
              </w:rPr>
              <w:sym w:font="Wingdings 2" w:char="F052"/>
            </w:r>
          </w:p>
        </w:tc>
      </w:tr>
      <w:tr w:rsidR="0019765E" w:rsidRPr="00464CE0" w14:paraId="43036558" w14:textId="77777777" w:rsidTr="000E72DF">
        <w:tc>
          <w:tcPr>
            <w:tcW w:w="5202" w:type="dxa"/>
            <w:tcBorders>
              <w:top w:val="single" w:sz="4" w:space="0" w:color="FFFFFF"/>
              <w:bottom w:val="single" w:sz="4" w:space="0" w:color="FFFFFF"/>
              <w:right w:val="nil"/>
            </w:tcBorders>
            <w:shd w:val="clear" w:color="auto" w:fill="F2F2F2" w:themeFill="background1" w:themeFillShade="F2"/>
          </w:tcPr>
          <w:p w14:paraId="17237241" w14:textId="7453B08A" w:rsidR="0019765E" w:rsidRDefault="0019765E" w:rsidP="003D49F2">
            <w:pPr>
              <w:rPr>
                <w:sz w:val="16"/>
                <w:szCs w:val="16"/>
              </w:rPr>
            </w:pPr>
            <w:r>
              <w:rPr>
                <w:sz w:val="16"/>
                <w:szCs w:val="16"/>
              </w:rPr>
              <w:t>Bacterial vaginosis</w:t>
            </w:r>
          </w:p>
        </w:tc>
        <w:tc>
          <w:tcPr>
            <w:tcW w:w="2126" w:type="dxa"/>
            <w:tcBorders>
              <w:top w:val="single" w:sz="4" w:space="0" w:color="FFFFFF"/>
              <w:left w:val="nil"/>
              <w:bottom w:val="single" w:sz="4" w:space="0" w:color="FFFFFF"/>
              <w:right w:val="nil"/>
            </w:tcBorders>
            <w:shd w:val="clear" w:color="auto" w:fill="F2F2F2" w:themeFill="background1" w:themeFillShade="F2"/>
          </w:tcPr>
          <w:p w14:paraId="45E2E308" w14:textId="538B7FC4" w:rsidR="0019765E" w:rsidRPr="00785C5B" w:rsidRDefault="007110D4" w:rsidP="003D49F2">
            <w:pPr>
              <w:keepNext/>
              <w:spacing w:before="40" w:after="40"/>
              <w:jc w:val="center"/>
              <w:rPr>
                <w:sz w:val="16"/>
                <w:szCs w:val="16"/>
              </w:rPr>
            </w:pPr>
            <w:r>
              <w:rPr>
                <w:sz w:val="16"/>
                <w:szCs w:val="16"/>
              </w:rPr>
              <w:t>5</w:t>
            </w:r>
          </w:p>
        </w:tc>
        <w:tc>
          <w:tcPr>
            <w:tcW w:w="1928" w:type="dxa"/>
            <w:tcBorders>
              <w:top w:val="single" w:sz="4" w:space="0" w:color="FFFFFF"/>
              <w:left w:val="nil"/>
              <w:bottom w:val="single" w:sz="4" w:space="0" w:color="FFFFFF"/>
            </w:tcBorders>
            <w:shd w:val="clear" w:color="auto" w:fill="F2F2F2" w:themeFill="background1" w:themeFillShade="F2"/>
          </w:tcPr>
          <w:p w14:paraId="2C2C8552" w14:textId="479312FF" w:rsidR="0019765E" w:rsidRPr="00785C5B" w:rsidRDefault="007110D4" w:rsidP="003D49F2">
            <w:pPr>
              <w:keepNext/>
              <w:spacing w:before="40" w:after="40"/>
              <w:jc w:val="center"/>
              <w:rPr>
                <w:sz w:val="16"/>
                <w:szCs w:val="16"/>
              </w:rPr>
            </w:pPr>
            <w:r w:rsidRPr="00941AA8">
              <w:rPr>
                <w:sz w:val="16"/>
              </w:rPr>
              <w:sym w:font="Wingdings 2" w:char="F052"/>
            </w:r>
          </w:p>
        </w:tc>
      </w:tr>
      <w:tr w:rsidR="0019765E" w:rsidRPr="00464CE0" w14:paraId="159FCDA3" w14:textId="77777777" w:rsidTr="000E72DF">
        <w:tc>
          <w:tcPr>
            <w:tcW w:w="5202" w:type="dxa"/>
            <w:tcBorders>
              <w:top w:val="single" w:sz="4" w:space="0" w:color="FFFFFF"/>
              <w:bottom w:val="single" w:sz="4" w:space="0" w:color="FFFFFF"/>
              <w:right w:val="nil"/>
            </w:tcBorders>
            <w:shd w:val="clear" w:color="auto" w:fill="F2F2F2" w:themeFill="background1" w:themeFillShade="F2"/>
          </w:tcPr>
          <w:p w14:paraId="64923493" w14:textId="49A89A97" w:rsidR="0019765E" w:rsidRDefault="0019765E" w:rsidP="003D49F2">
            <w:pPr>
              <w:rPr>
                <w:sz w:val="16"/>
                <w:szCs w:val="16"/>
              </w:rPr>
            </w:pPr>
            <w:r>
              <w:rPr>
                <w:sz w:val="16"/>
                <w:szCs w:val="16"/>
              </w:rPr>
              <w:t>Group B streptococcus</w:t>
            </w:r>
          </w:p>
        </w:tc>
        <w:tc>
          <w:tcPr>
            <w:tcW w:w="2126" w:type="dxa"/>
            <w:tcBorders>
              <w:top w:val="single" w:sz="4" w:space="0" w:color="FFFFFF"/>
              <w:left w:val="nil"/>
              <w:bottom w:val="single" w:sz="4" w:space="0" w:color="FFFFFF"/>
              <w:right w:val="nil"/>
            </w:tcBorders>
            <w:shd w:val="clear" w:color="auto" w:fill="F2F2F2" w:themeFill="background1" w:themeFillShade="F2"/>
          </w:tcPr>
          <w:p w14:paraId="57F7C89D" w14:textId="29B16197" w:rsidR="0019765E" w:rsidRPr="00785C5B" w:rsidRDefault="007110D4" w:rsidP="003D49F2">
            <w:pPr>
              <w:keepNext/>
              <w:spacing w:before="40" w:after="40"/>
              <w:jc w:val="center"/>
              <w:rPr>
                <w:sz w:val="16"/>
                <w:szCs w:val="16"/>
              </w:rPr>
            </w:pPr>
            <w:r>
              <w:rPr>
                <w:sz w:val="16"/>
                <w:szCs w:val="16"/>
              </w:rPr>
              <w:t>7</w:t>
            </w:r>
          </w:p>
        </w:tc>
        <w:tc>
          <w:tcPr>
            <w:tcW w:w="1928" w:type="dxa"/>
            <w:tcBorders>
              <w:top w:val="single" w:sz="4" w:space="0" w:color="FFFFFF"/>
              <w:left w:val="nil"/>
              <w:bottom w:val="single" w:sz="4" w:space="0" w:color="FFFFFF"/>
            </w:tcBorders>
            <w:shd w:val="clear" w:color="auto" w:fill="F2F2F2" w:themeFill="background1" w:themeFillShade="F2"/>
          </w:tcPr>
          <w:p w14:paraId="57D80760" w14:textId="704CA4D0" w:rsidR="0019765E" w:rsidRPr="00785C5B" w:rsidRDefault="007110D4" w:rsidP="003D49F2">
            <w:pPr>
              <w:keepNext/>
              <w:spacing w:before="40" w:after="40"/>
              <w:jc w:val="center"/>
              <w:rPr>
                <w:sz w:val="16"/>
                <w:szCs w:val="16"/>
              </w:rPr>
            </w:pPr>
            <w:r w:rsidRPr="00941AA8">
              <w:rPr>
                <w:sz w:val="16"/>
              </w:rPr>
              <w:sym w:font="Wingdings 2" w:char="F052"/>
            </w:r>
          </w:p>
        </w:tc>
      </w:tr>
      <w:tr w:rsidR="0019765E" w:rsidRPr="00464CE0" w14:paraId="1F45A128" w14:textId="77777777" w:rsidTr="000E72DF">
        <w:tc>
          <w:tcPr>
            <w:tcW w:w="5202" w:type="dxa"/>
            <w:tcBorders>
              <w:top w:val="single" w:sz="4" w:space="0" w:color="FFFFFF"/>
              <w:bottom w:val="single" w:sz="4" w:space="0" w:color="FFFFFF"/>
              <w:right w:val="nil"/>
            </w:tcBorders>
            <w:shd w:val="clear" w:color="auto" w:fill="F2F2F2" w:themeFill="background1" w:themeFillShade="F2"/>
          </w:tcPr>
          <w:p w14:paraId="5119B06E" w14:textId="77777777" w:rsidR="0019765E" w:rsidRDefault="0019765E" w:rsidP="003D49F2">
            <w:pPr>
              <w:rPr>
                <w:sz w:val="16"/>
                <w:szCs w:val="16"/>
              </w:rPr>
            </w:pPr>
            <w:r>
              <w:rPr>
                <w:sz w:val="16"/>
                <w:szCs w:val="16"/>
              </w:rPr>
              <w:t>Caesarean section</w:t>
            </w:r>
          </w:p>
        </w:tc>
        <w:tc>
          <w:tcPr>
            <w:tcW w:w="2126" w:type="dxa"/>
            <w:tcBorders>
              <w:top w:val="single" w:sz="4" w:space="0" w:color="FFFFFF"/>
              <w:left w:val="nil"/>
              <w:bottom w:val="single" w:sz="4" w:space="0" w:color="FFFFFF"/>
              <w:right w:val="nil"/>
            </w:tcBorders>
            <w:shd w:val="clear" w:color="auto" w:fill="F2F2F2" w:themeFill="background1" w:themeFillShade="F2"/>
          </w:tcPr>
          <w:p w14:paraId="61925815" w14:textId="14F99A1A" w:rsidR="0019765E" w:rsidRPr="00785C5B" w:rsidRDefault="007110D4" w:rsidP="003D49F2">
            <w:pPr>
              <w:keepNext/>
              <w:spacing w:before="40" w:after="40"/>
              <w:jc w:val="center"/>
              <w:rPr>
                <w:sz w:val="16"/>
                <w:szCs w:val="16"/>
              </w:rPr>
            </w:pPr>
            <w:r>
              <w:rPr>
                <w:sz w:val="16"/>
                <w:szCs w:val="16"/>
              </w:rPr>
              <w:t>9</w:t>
            </w:r>
          </w:p>
        </w:tc>
        <w:tc>
          <w:tcPr>
            <w:tcW w:w="1928" w:type="dxa"/>
            <w:tcBorders>
              <w:top w:val="single" w:sz="4" w:space="0" w:color="FFFFFF"/>
              <w:left w:val="nil"/>
              <w:bottom w:val="single" w:sz="4" w:space="0" w:color="FFFFFF"/>
            </w:tcBorders>
            <w:shd w:val="clear" w:color="auto" w:fill="F2F2F2" w:themeFill="background1" w:themeFillShade="F2"/>
          </w:tcPr>
          <w:p w14:paraId="4649FB97" w14:textId="475BBA25" w:rsidR="0019765E" w:rsidRPr="00785C5B" w:rsidRDefault="007110D4" w:rsidP="003D49F2">
            <w:pPr>
              <w:keepNext/>
              <w:spacing w:before="40" w:after="40"/>
              <w:jc w:val="center"/>
              <w:rPr>
                <w:sz w:val="16"/>
                <w:szCs w:val="16"/>
              </w:rPr>
            </w:pPr>
            <w:r w:rsidRPr="00941AA8">
              <w:rPr>
                <w:sz w:val="16"/>
              </w:rPr>
              <w:sym w:font="Wingdings 2" w:char="F052"/>
            </w:r>
          </w:p>
        </w:tc>
      </w:tr>
    </w:tbl>
    <w:p w14:paraId="09980CE8" w14:textId="40E77E9D" w:rsidR="0019765E" w:rsidRDefault="0019765E" w:rsidP="004B6F7B">
      <w:pPr>
        <w:pStyle w:val="TableName"/>
        <w:ind w:left="993" w:hanging="993"/>
      </w:pPr>
      <w:bookmarkStart w:id="9" w:name="_Toc40956582"/>
      <w:r>
        <w:t>Probiotics — infant outcomes</w:t>
      </w:r>
      <w:bookmarkEnd w:id="9"/>
    </w:p>
    <w:tbl>
      <w:tblPr>
        <w:tblW w:w="9256" w:type="dxa"/>
        <w:tblInd w:w="-2" w:type="dxa"/>
        <w:tblBorders>
          <w:top w:val="single" w:sz="4" w:space="0" w:color="FFFFFF"/>
          <w:bottom w:val="single" w:sz="4" w:space="0" w:color="FFFFFF"/>
          <w:insideH w:val="single" w:sz="4" w:space="0" w:color="FFFFFF"/>
        </w:tblBorders>
        <w:shd w:val="clear" w:color="auto" w:fill="F2F2F2" w:themeFill="background1" w:themeFillShade="F2"/>
        <w:tblLook w:val="00A0" w:firstRow="1" w:lastRow="0" w:firstColumn="1" w:lastColumn="0" w:noHBand="0" w:noVBand="0"/>
      </w:tblPr>
      <w:tblGrid>
        <w:gridCol w:w="5202"/>
        <w:gridCol w:w="2126"/>
        <w:gridCol w:w="1928"/>
      </w:tblGrid>
      <w:tr w:rsidR="0019765E" w:rsidRPr="009C0598" w14:paraId="4466961D" w14:textId="77777777" w:rsidTr="003D49F2">
        <w:trPr>
          <w:tblHeader/>
        </w:trPr>
        <w:tc>
          <w:tcPr>
            <w:tcW w:w="5202" w:type="dxa"/>
            <w:shd w:val="clear" w:color="auto" w:fill="F2F2F2" w:themeFill="background1" w:themeFillShade="F2"/>
          </w:tcPr>
          <w:p w14:paraId="2933DC86" w14:textId="77777777" w:rsidR="0019765E" w:rsidRPr="009C0598" w:rsidRDefault="0019765E" w:rsidP="003D49F2">
            <w:pPr>
              <w:keepNext/>
              <w:spacing w:before="40" w:after="40"/>
              <w:rPr>
                <w:b/>
                <w:color w:val="000000" w:themeColor="text1"/>
                <w:sz w:val="16"/>
              </w:rPr>
            </w:pPr>
            <w:r w:rsidRPr="009C0598">
              <w:rPr>
                <w:b/>
                <w:color w:val="000000" w:themeColor="text1"/>
                <w:sz w:val="16"/>
              </w:rPr>
              <w:t>Outcome</w:t>
            </w:r>
          </w:p>
        </w:tc>
        <w:tc>
          <w:tcPr>
            <w:tcW w:w="2126" w:type="dxa"/>
            <w:shd w:val="clear" w:color="auto" w:fill="F2F2F2" w:themeFill="background1" w:themeFillShade="F2"/>
          </w:tcPr>
          <w:p w14:paraId="459FDC04" w14:textId="77777777" w:rsidR="0019765E" w:rsidRPr="009C0598" w:rsidRDefault="0019765E" w:rsidP="003D49F2">
            <w:pPr>
              <w:keepNext/>
              <w:spacing w:before="40" w:after="40"/>
              <w:jc w:val="center"/>
              <w:rPr>
                <w:b/>
                <w:color w:val="000000" w:themeColor="text1"/>
                <w:sz w:val="16"/>
              </w:rPr>
            </w:pPr>
            <w:r w:rsidRPr="009C0598">
              <w:rPr>
                <w:b/>
                <w:color w:val="000000" w:themeColor="text1"/>
                <w:sz w:val="16"/>
              </w:rPr>
              <w:t>Importance</w:t>
            </w:r>
          </w:p>
        </w:tc>
        <w:tc>
          <w:tcPr>
            <w:tcW w:w="1928" w:type="dxa"/>
            <w:shd w:val="clear" w:color="auto" w:fill="F2F2F2" w:themeFill="background1" w:themeFillShade="F2"/>
          </w:tcPr>
          <w:p w14:paraId="20C86F67" w14:textId="77777777" w:rsidR="0019765E" w:rsidRPr="009C0598" w:rsidRDefault="0019765E" w:rsidP="003D49F2">
            <w:pPr>
              <w:keepNext/>
              <w:spacing w:before="40" w:after="40"/>
              <w:jc w:val="center"/>
              <w:rPr>
                <w:b/>
                <w:color w:val="000000" w:themeColor="text1"/>
                <w:sz w:val="16"/>
              </w:rPr>
            </w:pPr>
            <w:r w:rsidRPr="009C0598">
              <w:rPr>
                <w:b/>
                <w:color w:val="000000" w:themeColor="text1"/>
                <w:sz w:val="16"/>
              </w:rPr>
              <w:t>Inclusion</w:t>
            </w:r>
          </w:p>
        </w:tc>
      </w:tr>
      <w:tr w:rsidR="0019765E" w:rsidRPr="00464CE0" w14:paraId="7AB37252" w14:textId="77777777" w:rsidTr="00875505">
        <w:trPr>
          <w:trHeight w:val="379"/>
        </w:trPr>
        <w:tc>
          <w:tcPr>
            <w:tcW w:w="5202" w:type="dxa"/>
            <w:shd w:val="clear" w:color="auto" w:fill="F2F2F2" w:themeFill="background1" w:themeFillShade="F2"/>
          </w:tcPr>
          <w:p w14:paraId="2E99AC41" w14:textId="3A6513F7" w:rsidR="0019765E" w:rsidRDefault="0019765E" w:rsidP="003D49F2">
            <w:pPr>
              <w:keepNext/>
              <w:spacing w:before="40" w:after="40"/>
              <w:rPr>
                <w:sz w:val="16"/>
              </w:rPr>
            </w:pPr>
            <w:r>
              <w:rPr>
                <w:sz w:val="16"/>
                <w:szCs w:val="16"/>
              </w:rPr>
              <w:t>Perinatal death</w:t>
            </w:r>
          </w:p>
        </w:tc>
        <w:tc>
          <w:tcPr>
            <w:tcW w:w="2126" w:type="dxa"/>
            <w:shd w:val="clear" w:color="auto" w:fill="F2F2F2" w:themeFill="background1" w:themeFillShade="F2"/>
          </w:tcPr>
          <w:p w14:paraId="58720BA9" w14:textId="77777777" w:rsidR="0019765E" w:rsidRDefault="0019765E" w:rsidP="003D49F2">
            <w:pPr>
              <w:keepNext/>
              <w:spacing w:before="40" w:after="40"/>
              <w:jc w:val="center"/>
              <w:rPr>
                <w:sz w:val="16"/>
              </w:rPr>
            </w:pPr>
            <w:r>
              <w:rPr>
                <w:sz w:val="16"/>
              </w:rPr>
              <w:t>9</w:t>
            </w:r>
          </w:p>
        </w:tc>
        <w:tc>
          <w:tcPr>
            <w:tcW w:w="1928" w:type="dxa"/>
            <w:shd w:val="clear" w:color="auto" w:fill="F2F2F2" w:themeFill="background1" w:themeFillShade="F2"/>
          </w:tcPr>
          <w:p w14:paraId="2A362844" w14:textId="77777777" w:rsidR="0019765E" w:rsidRPr="00941AA8" w:rsidRDefault="0019765E" w:rsidP="003D49F2">
            <w:pPr>
              <w:keepNext/>
              <w:spacing w:before="40" w:after="40"/>
              <w:jc w:val="center"/>
              <w:rPr>
                <w:sz w:val="16"/>
              </w:rPr>
            </w:pPr>
            <w:r w:rsidRPr="00941AA8">
              <w:rPr>
                <w:sz w:val="16"/>
              </w:rPr>
              <w:sym w:font="Wingdings 2" w:char="F052"/>
            </w:r>
          </w:p>
        </w:tc>
      </w:tr>
      <w:tr w:rsidR="0019765E" w:rsidRPr="00464CE0" w14:paraId="099B1E84" w14:textId="77777777" w:rsidTr="003D49F2">
        <w:tc>
          <w:tcPr>
            <w:tcW w:w="5202" w:type="dxa"/>
            <w:shd w:val="clear" w:color="auto" w:fill="F2F2F2" w:themeFill="background1" w:themeFillShade="F2"/>
          </w:tcPr>
          <w:p w14:paraId="5135A7C7" w14:textId="0865673B" w:rsidR="0019765E" w:rsidRDefault="0019765E" w:rsidP="003D49F2">
            <w:pPr>
              <w:keepNext/>
              <w:spacing w:before="40" w:after="40"/>
              <w:rPr>
                <w:sz w:val="16"/>
              </w:rPr>
            </w:pPr>
            <w:r>
              <w:rPr>
                <w:sz w:val="16"/>
                <w:szCs w:val="16"/>
              </w:rPr>
              <w:t>Preterm birth</w:t>
            </w:r>
          </w:p>
        </w:tc>
        <w:tc>
          <w:tcPr>
            <w:tcW w:w="2126" w:type="dxa"/>
            <w:shd w:val="clear" w:color="auto" w:fill="F2F2F2" w:themeFill="background1" w:themeFillShade="F2"/>
          </w:tcPr>
          <w:p w14:paraId="12725E07" w14:textId="77777777" w:rsidR="0019765E" w:rsidRDefault="0019765E" w:rsidP="003D49F2">
            <w:pPr>
              <w:keepNext/>
              <w:spacing w:before="40" w:after="40"/>
              <w:jc w:val="center"/>
              <w:rPr>
                <w:sz w:val="16"/>
              </w:rPr>
            </w:pPr>
            <w:r>
              <w:rPr>
                <w:sz w:val="16"/>
              </w:rPr>
              <w:t>9</w:t>
            </w:r>
          </w:p>
        </w:tc>
        <w:tc>
          <w:tcPr>
            <w:tcW w:w="1928" w:type="dxa"/>
            <w:shd w:val="clear" w:color="auto" w:fill="F2F2F2" w:themeFill="background1" w:themeFillShade="F2"/>
          </w:tcPr>
          <w:p w14:paraId="488DF920" w14:textId="77777777" w:rsidR="0019765E" w:rsidRPr="00941AA8" w:rsidRDefault="0019765E" w:rsidP="003D49F2">
            <w:pPr>
              <w:keepNext/>
              <w:spacing w:before="40" w:after="40"/>
              <w:jc w:val="center"/>
              <w:rPr>
                <w:sz w:val="16"/>
              </w:rPr>
            </w:pPr>
            <w:r w:rsidRPr="00941AA8">
              <w:rPr>
                <w:sz w:val="16"/>
              </w:rPr>
              <w:sym w:font="Wingdings 2" w:char="F052"/>
            </w:r>
          </w:p>
        </w:tc>
      </w:tr>
      <w:tr w:rsidR="0019765E" w:rsidRPr="00464CE0" w14:paraId="77E838C6" w14:textId="77777777" w:rsidTr="0019765E">
        <w:tc>
          <w:tcPr>
            <w:tcW w:w="5202" w:type="dxa"/>
            <w:tcBorders>
              <w:bottom w:val="single" w:sz="4" w:space="0" w:color="FFFFFF"/>
            </w:tcBorders>
            <w:shd w:val="clear" w:color="auto" w:fill="F2F2F2" w:themeFill="background1" w:themeFillShade="F2"/>
          </w:tcPr>
          <w:p w14:paraId="1EEE51EC" w14:textId="748EE1A3" w:rsidR="0019765E" w:rsidRDefault="0019765E" w:rsidP="003D49F2">
            <w:pPr>
              <w:keepNext/>
              <w:spacing w:before="40" w:after="40"/>
              <w:rPr>
                <w:sz w:val="16"/>
                <w:szCs w:val="16"/>
              </w:rPr>
            </w:pPr>
            <w:r>
              <w:rPr>
                <w:sz w:val="16"/>
                <w:szCs w:val="16"/>
              </w:rPr>
              <w:t>Small for gestational age</w:t>
            </w:r>
          </w:p>
        </w:tc>
        <w:tc>
          <w:tcPr>
            <w:tcW w:w="2126" w:type="dxa"/>
            <w:tcBorders>
              <w:bottom w:val="single" w:sz="4" w:space="0" w:color="FFFFFF"/>
            </w:tcBorders>
            <w:shd w:val="clear" w:color="auto" w:fill="F2F2F2" w:themeFill="background1" w:themeFillShade="F2"/>
          </w:tcPr>
          <w:p w14:paraId="37C98567" w14:textId="590C6556" w:rsidR="0019765E" w:rsidRDefault="007110D4" w:rsidP="003D49F2">
            <w:pPr>
              <w:keepNext/>
              <w:spacing w:before="40" w:after="40"/>
              <w:jc w:val="center"/>
              <w:rPr>
                <w:sz w:val="16"/>
              </w:rPr>
            </w:pPr>
            <w:r>
              <w:rPr>
                <w:sz w:val="16"/>
              </w:rPr>
              <w:t>9</w:t>
            </w:r>
          </w:p>
        </w:tc>
        <w:tc>
          <w:tcPr>
            <w:tcW w:w="1928" w:type="dxa"/>
            <w:tcBorders>
              <w:bottom w:val="single" w:sz="4" w:space="0" w:color="FFFFFF"/>
            </w:tcBorders>
            <w:shd w:val="clear" w:color="auto" w:fill="F2F2F2" w:themeFill="background1" w:themeFillShade="F2"/>
          </w:tcPr>
          <w:p w14:paraId="490FA2E0" w14:textId="2500FD94" w:rsidR="0019765E" w:rsidRPr="00941AA8" w:rsidRDefault="007110D4" w:rsidP="003D49F2">
            <w:pPr>
              <w:keepNext/>
              <w:spacing w:before="40" w:after="40"/>
              <w:jc w:val="center"/>
              <w:rPr>
                <w:sz w:val="16"/>
              </w:rPr>
            </w:pPr>
            <w:r w:rsidRPr="00941AA8">
              <w:rPr>
                <w:sz w:val="16"/>
              </w:rPr>
              <w:sym w:font="Wingdings 2" w:char="F052"/>
            </w:r>
          </w:p>
        </w:tc>
      </w:tr>
      <w:tr w:rsidR="0019765E" w:rsidRPr="00464CE0" w14:paraId="16E24A5A" w14:textId="77777777" w:rsidTr="0019765E">
        <w:tc>
          <w:tcPr>
            <w:tcW w:w="5202" w:type="dxa"/>
            <w:tcBorders>
              <w:top w:val="single" w:sz="4" w:space="0" w:color="FFFFFF"/>
              <w:bottom w:val="single" w:sz="4" w:space="0" w:color="FFFFFF"/>
              <w:right w:val="nil"/>
            </w:tcBorders>
            <w:shd w:val="clear" w:color="auto" w:fill="F2F2F2" w:themeFill="background1" w:themeFillShade="F2"/>
          </w:tcPr>
          <w:p w14:paraId="22D6F61F" w14:textId="652F1C9E" w:rsidR="0019765E" w:rsidRDefault="0019765E" w:rsidP="003D49F2">
            <w:pPr>
              <w:rPr>
                <w:sz w:val="16"/>
                <w:szCs w:val="16"/>
              </w:rPr>
            </w:pPr>
            <w:r>
              <w:rPr>
                <w:sz w:val="16"/>
                <w:szCs w:val="16"/>
              </w:rPr>
              <w:t>Large for gestational age</w:t>
            </w:r>
          </w:p>
        </w:tc>
        <w:tc>
          <w:tcPr>
            <w:tcW w:w="2126" w:type="dxa"/>
            <w:tcBorders>
              <w:top w:val="single" w:sz="4" w:space="0" w:color="FFFFFF"/>
              <w:left w:val="nil"/>
              <w:bottom w:val="single" w:sz="4" w:space="0" w:color="FFFFFF"/>
              <w:right w:val="nil"/>
            </w:tcBorders>
            <w:shd w:val="clear" w:color="auto" w:fill="F2F2F2" w:themeFill="background1" w:themeFillShade="F2"/>
          </w:tcPr>
          <w:p w14:paraId="2BACD635" w14:textId="4B988888" w:rsidR="0019765E" w:rsidRPr="00785C5B" w:rsidRDefault="007110D4" w:rsidP="003D49F2">
            <w:pPr>
              <w:keepNext/>
              <w:spacing w:before="40" w:after="40"/>
              <w:jc w:val="center"/>
              <w:rPr>
                <w:sz w:val="16"/>
                <w:szCs w:val="16"/>
              </w:rPr>
            </w:pPr>
            <w:r>
              <w:rPr>
                <w:sz w:val="16"/>
                <w:szCs w:val="16"/>
              </w:rPr>
              <w:t>9</w:t>
            </w:r>
          </w:p>
        </w:tc>
        <w:tc>
          <w:tcPr>
            <w:tcW w:w="1928" w:type="dxa"/>
            <w:tcBorders>
              <w:top w:val="single" w:sz="4" w:space="0" w:color="FFFFFF"/>
              <w:left w:val="nil"/>
              <w:bottom w:val="single" w:sz="4" w:space="0" w:color="FFFFFF"/>
            </w:tcBorders>
            <w:shd w:val="clear" w:color="auto" w:fill="F2F2F2" w:themeFill="background1" w:themeFillShade="F2"/>
          </w:tcPr>
          <w:p w14:paraId="20A28C04" w14:textId="320CCBF7" w:rsidR="0019765E" w:rsidRPr="00785C5B" w:rsidRDefault="007110D4" w:rsidP="003D49F2">
            <w:pPr>
              <w:keepNext/>
              <w:spacing w:before="40" w:after="40"/>
              <w:jc w:val="center"/>
              <w:rPr>
                <w:sz w:val="16"/>
                <w:szCs w:val="16"/>
              </w:rPr>
            </w:pPr>
            <w:r w:rsidRPr="00941AA8">
              <w:rPr>
                <w:sz w:val="16"/>
              </w:rPr>
              <w:sym w:font="Wingdings 2" w:char="F052"/>
            </w:r>
          </w:p>
        </w:tc>
      </w:tr>
      <w:tr w:rsidR="0019765E" w:rsidRPr="00464CE0" w14:paraId="3E66C894" w14:textId="77777777" w:rsidTr="0019765E">
        <w:tc>
          <w:tcPr>
            <w:tcW w:w="5202" w:type="dxa"/>
            <w:tcBorders>
              <w:top w:val="single" w:sz="4" w:space="0" w:color="FFFFFF"/>
              <w:bottom w:val="single" w:sz="4" w:space="0" w:color="FFFFFF"/>
              <w:right w:val="nil"/>
            </w:tcBorders>
            <w:shd w:val="clear" w:color="auto" w:fill="F2F2F2" w:themeFill="background1" w:themeFillShade="F2"/>
          </w:tcPr>
          <w:p w14:paraId="024B0A75" w14:textId="02081196" w:rsidR="0019765E" w:rsidRDefault="0019765E" w:rsidP="003D49F2">
            <w:pPr>
              <w:rPr>
                <w:sz w:val="16"/>
                <w:szCs w:val="16"/>
              </w:rPr>
            </w:pPr>
            <w:r>
              <w:rPr>
                <w:sz w:val="16"/>
                <w:szCs w:val="16"/>
              </w:rPr>
              <w:t>Macrosomia</w:t>
            </w:r>
          </w:p>
        </w:tc>
        <w:tc>
          <w:tcPr>
            <w:tcW w:w="2126" w:type="dxa"/>
            <w:tcBorders>
              <w:top w:val="single" w:sz="4" w:space="0" w:color="FFFFFF"/>
              <w:left w:val="nil"/>
              <w:bottom w:val="single" w:sz="4" w:space="0" w:color="FFFFFF"/>
              <w:right w:val="nil"/>
            </w:tcBorders>
            <w:shd w:val="clear" w:color="auto" w:fill="F2F2F2" w:themeFill="background1" w:themeFillShade="F2"/>
          </w:tcPr>
          <w:p w14:paraId="13DCE0FB" w14:textId="2E4CF2D3" w:rsidR="0019765E" w:rsidRPr="00785C5B" w:rsidRDefault="007110D4" w:rsidP="003D49F2">
            <w:pPr>
              <w:keepNext/>
              <w:spacing w:before="40" w:after="40"/>
              <w:jc w:val="center"/>
              <w:rPr>
                <w:sz w:val="16"/>
                <w:szCs w:val="16"/>
              </w:rPr>
            </w:pPr>
            <w:r>
              <w:rPr>
                <w:sz w:val="16"/>
                <w:szCs w:val="16"/>
              </w:rPr>
              <w:t>9</w:t>
            </w:r>
          </w:p>
        </w:tc>
        <w:tc>
          <w:tcPr>
            <w:tcW w:w="1928" w:type="dxa"/>
            <w:tcBorders>
              <w:top w:val="single" w:sz="4" w:space="0" w:color="FFFFFF"/>
              <w:left w:val="nil"/>
              <w:bottom w:val="single" w:sz="4" w:space="0" w:color="FFFFFF"/>
            </w:tcBorders>
            <w:shd w:val="clear" w:color="auto" w:fill="F2F2F2" w:themeFill="background1" w:themeFillShade="F2"/>
          </w:tcPr>
          <w:p w14:paraId="1BAFB2B0" w14:textId="2FF99B39" w:rsidR="0019765E" w:rsidRPr="00785C5B" w:rsidRDefault="007110D4" w:rsidP="003D49F2">
            <w:pPr>
              <w:keepNext/>
              <w:spacing w:before="40" w:after="40"/>
              <w:jc w:val="center"/>
              <w:rPr>
                <w:sz w:val="16"/>
                <w:szCs w:val="16"/>
              </w:rPr>
            </w:pPr>
            <w:r w:rsidRPr="00941AA8">
              <w:rPr>
                <w:sz w:val="16"/>
              </w:rPr>
              <w:sym w:font="Wingdings 2" w:char="F052"/>
            </w:r>
          </w:p>
        </w:tc>
      </w:tr>
    </w:tbl>
    <w:p w14:paraId="4003F5D5" w14:textId="69229778" w:rsidR="004B6F7B" w:rsidRDefault="004B6F7B" w:rsidP="004B6F7B">
      <w:pPr>
        <w:pStyle w:val="TableName"/>
        <w:ind w:left="993" w:hanging="993"/>
      </w:pPr>
      <w:bookmarkStart w:id="10" w:name="_Toc40956583"/>
      <w:r>
        <w:t>Weight monitoring — maternal and infant outcomes</w:t>
      </w:r>
      <w:bookmarkEnd w:id="10"/>
    </w:p>
    <w:tbl>
      <w:tblPr>
        <w:tblW w:w="9256" w:type="dxa"/>
        <w:tblInd w:w="-2" w:type="dxa"/>
        <w:tblBorders>
          <w:top w:val="single" w:sz="4" w:space="0" w:color="FFFFFF"/>
          <w:bottom w:val="single" w:sz="4" w:space="0" w:color="FFFFFF"/>
          <w:insideH w:val="single" w:sz="4" w:space="0" w:color="FFFFFF"/>
        </w:tblBorders>
        <w:shd w:val="clear" w:color="auto" w:fill="F2F2F2" w:themeFill="background1" w:themeFillShade="F2"/>
        <w:tblLook w:val="00A0" w:firstRow="1" w:lastRow="0" w:firstColumn="1" w:lastColumn="0" w:noHBand="0" w:noVBand="0"/>
      </w:tblPr>
      <w:tblGrid>
        <w:gridCol w:w="5202"/>
        <w:gridCol w:w="2126"/>
        <w:gridCol w:w="1928"/>
      </w:tblGrid>
      <w:tr w:rsidR="004B6F7B" w:rsidRPr="009C0598" w14:paraId="6CF01141" w14:textId="77777777" w:rsidTr="00875505">
        <w:tc>
          <w:tcPr>
            <w:tcW w:w="5202" w:type="dxa"/>
            <w:shd w:val="clear" w:color="auto" w:fill="F2F2F2" w:themeFill="background1" w:themeFillShade="F2"/>
          </w:tcPr>
          <w:p w14:paraId="72FAC8B0" w14:textId="77777777" w:rsidR="004B6F7B" w:rsidRPr="009C0598" w:rsidRDefault="004B6F7B" w:rsidP="00875505">
            <w:pPr>
              <w:keepNext/>
              <w:spacing w:before="40" w:after="40"/>
              <w:rPr>
                <w:b/>
                <w:color w:val="000000" w:themeColor="text1"/>
                <w:sz w:val="16"/>
              </w:rPr>
            </w:pPr>
            <w:r w:rsidRPr="009C0598">
              <w:rPr>
                <w:b/>
                <w:color w:val="000000" w:themeColor="text1"/>
                <w:sz w:val="16"/>
              </w:rPr>
              <w:t>Outcome</w:t>
            </w:r>
            <w:r>
              <w:rPr>
                <w:b/>
                <w:color w:val="000000" w:themeColor="text1"/>
                <w:sz w:val="16"/>
              </w:rPr>
              <w:t xml:space="preserve"> — Maternal</w:t>
            </w:r>
          </w:p>
        </w:tc>
        <w:tc>
          <w:tcPr>
            <w:tcW w:w="2126" w:type="dxa"/>
            <w:shd w:val="clear" w:color="auto" w:fill="F2F2F2" w:themeFill="background1" w:themeFillShade="F2"/>
          </w:tcPr>
          <w:p w14:paraId="19F1FFC0" w14:textId="77777777" w:rsidR="004B6F7B" w:rsidRPr="009C0598" w:rsidRDefault="004B6F7B" w:rsidP="00875505">
            <w:pPr>
              <w:keepNext/>
              <w:spacing w:before="40" w:after="40"/>
              <w:jc w:val="center"/>
              <w:rPr>
                <w:b/>
                <w:color w:val="000000" w:themeColor="text1"/>
                <w:sz w:val="16"/>
              </w:rPr>
            </w:pPr>
            <w:r w:rsidRPr="009C0598">
              <w:rPr>
                <w:b/>
                <w:color w:val="000000" w:themeColor="text1"/>
                <w:sz w:val="16"/>
              </w:rPr>
              <w:t>Importance</w:t>
            </w:r>
          </w:p>
        </w:tc>
        <w:tc>
          <w:tcPr>
            <w:tcW w:w="1928" w:type="dxa"/>
            <w:shd w:val="clear" w:color="auto" w:fill="F2F2F2" w:themeFill="background1" w:themeFillShade="F2"/>
          </w:tcPr>
          <w:p w14:paraId="73ED2D4E" w14:textId="77777777" w:rsidR="004B6F7B" w:rsidRPr="009C0598" w:rsidRDefault="004B6F7B" w:rsidP="00875505">
            <w:pPr>
              <w:keepNext/>
              <w:spacing w:before="40" w:after="40"/>
              <w:jc w:val="center"/>
              <w:rPr>
                <w:b/>
                <w:color w:val="000000" w:themeColor="text1"/>
                <w:sz w:val="16"/>
              </w:rPr>
            </w:pPr>
            <w:r w:rsidRPr="009C0598">
              <w:rPr>
                <w:b/>
                <w:color w:val="000000" w:themeColor="text1"/>
                <w:sz w:val="16"/>
              </w:rPr>
              <w:t>Inclusion</w:t>
            </w:r>
          </w:p>
        </w:tc>
      </w:tr>
      <w:tr w:rsidR="004B6F7B" w:rsidRPr="00464CE0" w14:paraId="29F84FAB" w14:textId="77777777" w:rsidTr="00875505">
        <w:tc>
          <w:tcPr>
            <w:tcW w:w="5202" w:type="dxa"/>
            <w:shd w:val="clear" w:color="auto" w:fill="F2F2F2" w:themeFill="background1" w:themeFillShade="F2"/>
          </w:tcPr>
          <w:p w14:paraId="50D2D7A2" w14:textId="77777777" w:rsidR="004B6F7B" w:rsidRDefault="004B6F7B" w:rsidP="00875505">
            <w:pPr>
              <w:keepNext/>
              <w:spacing w:before="40" w:after="40"/>
              <w:rPr>
                <w:sz w:val="16"/>
                <w:szCs w:val="16"/>
              </w:rPr>
            </w:pPr>
            <w:r>
              <w:rPr>
                <w:sz w:val="16"/>
                <w:szCs w:val="16"/>
              </w:rPr>
              <w:t>Excess gestational weight gain</w:t>
            </w:r>
          </w:p>
        </w:tc>
        <w:tc>
          <w:tcPr>
            <w:tcW w:w="2126" w:type="dxa"/>
            <w:shd w:val="clear" w:color="auto" w:fill="F2F2F2" w:themeFill="background1" w:themeFillShade="F2"/>
          </w:tcPr>
          <w:p w14:paraId="43A746C8" w14:textId="77777777" w:rsidR="004B6F7B" w:rsidRDefault="004B6F7B" w:rsidP="00875505">
            <w:pPr>
              <w:keepNext/>
              <w:spacing w:before="40" w:after="40"/>
              <w:jc w:val="center"/>
              <w:rPr>
                <w:sz w:val="16"/>
              </w:rPr>
            </w:pPr>
            <w:r>
              <w:rPr>
                <w:sz w:val="16"/>
              </w:rPr>
              <w:t>5</w:t>
            </w:r>
          </w:p>
        </w:tc>
        <w:tc>
          <w:tcPr>
            <w:tcW w:w="1928" w:type="dxa"/>
            <w:shd w:val="clear" w:color="auto" w:fill="F2F2F2" w:themeFill="background1" w:themeFillShade="F2"/>
          </w:tcPr>
          <w:p w14:paraId="035333D6" w14:textId="77777777" w:rsidR="004B6F7B" w:rsidRPr="00941AA8" w:rsidRDefault="004B6F7B" w:rsidP="00875505">
            <w:pPr>
              <w:keepNext/>
              <w:spacing w:before="40" w:after="40"/>
              <w:jc w:val="center"/>
              <w:rPr>
                <w:sz w:val="16"/>
              </w:rPr>
            </w:pPr>
            <w:r w:rsidRPr="00941AA8">
              <w:rPr>
                <w:sz w:val="16"/>
              </w:rPr>
              <w:sym w:font="Wingdings 2" w:char="F052"/>
            </w:r>
          </w:p>
        </w:tc>
      </w:tr>
      <w:tr w:rsidR="004B6F7B" w:rsidRPr="00464CE0" w14:paraId="1D0CBFD4" w14:textId="77777777" w:rsidTr="00875505">
        <w:tc>
          <w:tcPr>
            <w:tcW w:w="5202" w:type="dxa"/>
            <w:shd w:val="clear" w:color="auto" w:fill="F2F2F2" w:themeFill="background1" w:themeFillShade="F2"/>
          </w:tcPr>
          <w:p w14:paraId="36150C12" w14:textId="77777777" w:rsidR="004B6F7B" w:rsidRDefault="004B6F7B" w:rsidP="00875505">
            <w:pPr>
              <w:keepNext/>
              <w:spacing w:before="40" w:after="40"/>
              <w:rPr>
                <w:sz w:val="16"/>
              </w:rPr>
            </w:pPr>
            <w:r>
              <w:rPr>
                <w:sz w:val="16"/>
                <w:szCs w:val="16"/>
              </w:rPr>
              <w:t>Mean gestational weight gain (weekly)</w:t>
            </w:r>
          </w:p>
        </w:tc>
        <w:tc>
          <w:tcPr>
            <w:tcW w:w="2126" w:type="dxa"/>
            <w:shd w:val="clear" w:color="auto" w:fill="F2F2F2" w:themeFill="background1" w:themeFillShade="F2"/>
          </w:tcPr>
          <w:p w14:paraId="607CDAD0" w14:textId="77777777" w:rsidR="004B6F7B" w:rsidRDefault="004B6F7B" w:rsidP="00875505">
            <w:pPr>
              <w:keepNext/>
              <w:spacing w:before="40" w:after="40"/>
              <w:jc w:val="center"/>
              <w:rPr>
                <w:sz w:val="16"/>
              </w:rPr>
            </w:pPr>
            <w:r>
              <w:rPr>
                <w:sz w:val="16"/>
              </w:rPr>
              <w:t>5</w:t>
            </w:r>
          </w:p>
        </w:tc>
        <w:tc>
          <w:tcPr>
            <w:tcW w:w="1928" w:type="dxa"/>
            <w:shd w:val="clear" w:color="auto" w:fill="F2F2F2" w:themeFill="background1" w:themeFillShade="F2"/>
          </w:tcPr>
          <w:p w14:paraId="30E35A52" w14:textId="77777777" w:rsidR="004B6F7B" w:rsidRPr="00941AA8" w:rsidRDefault="004B6F7B" w:rsidP="00875505">
            <w:pPr>
              <w:keepNext/>
              <w:spacing w:before="40" w:after="40"/>
              <w:jc w:val="center"/>
              <w:rPr>
                <w:sz w:val="16"/>
              </w:rPr>
            </w:pPr>
            <w:r w:rsidRPr="00941AA8">
              <w:rPr>
                <w:sz w:val="16"/>
              </w:rPr>
              <w:sym w:font="Wingdings 2" w:char="F052"/>
            </w:r>
          </w:p>
        </w:tc>
      </w:tr>
      <w:tr w:rsidR="004B6F7B" w:rsidRPr="00464CE0" w14:paraId="158DADC4" w14:textId="77777777" w:rsidTr="00875505">
        <w:tc>
          <w:tcPr>
            <w:tcW w:w="5202" w:type="dxa"/>
            <w:shd w:val="clear" w:color="auto" w:fill="F2F2F2" w:themeFill="background1" w:themeFillShade="F2"/>
          </w:tcPr>
          <w:p w14:paraId="0D27D8CC" w14:textId="77777777" w:rsidR="004B6F7B" w:rsidRDefault="004B6F7B" w:rsidP="00875505">
            <w:pPr>
              <w:keepNext/>
              <w:spacing w:before="40" w:after="40"/>
              <w:rPr>
                <w:sz w:val="16"/>
              </w:rPr>
            </w:pPr>
            <w:r>
              <w:rPr>
                <w:sz w:val="16"/>
                <w:szCs w:val="16"/>
              </w:rPr>
              <w:t>Gestational diabetes</w:t>
            </w:r>
          </w:p>
        </w:tc>
        <w:tc>
          <w:tcPr>
            <w:tcW w:w="2126" w:type="dxa"/>
            <w:shd w:val="clear" w:color="auto" w:fill="F2F2F2" w:themeFill="background1" w:themeFillShade="F2"/>
          </w:tcPr>
          <w:p w14:paraId="4CB4C71A" w14:textId="77777777" w:rsidR="004B6F7B" w:rsidRDefault="004B6F7B" w:rsidP="00875505">
            <w:pPr>
              <w:keepNext/>
              <w:spacing w:before="40" w:after="40"/>
              <w:jc w:val="center"/>
              <w:rPr>
                <w:sz w:val="16"/>
              </w:rPr>
            </w:pPr>
            <w:r>
              <w:rPr>
                <w:sz w:val="16"/>
              </w:rPr>
              <w:t>9</w:t>
            </w:r>
          </w:p>
        </w:tc>
        <w:tc>
          <w:tcPr>
            <w:tcW w:w="1928" w:type="dxa"/>
            <w:shd w:val="clear" w:color="auto" w:fill="F2F2F2" w:themeFill="background1" w:themeFillShade="F2"/>
          </w:tcPr>
          <w:p w14:paraId="4E4704BD" w14:textId="77777777" w:rsidR="004B6F7B" w:rsidRPr="00941AA8" w:rsidRDefault="004B6F7B" w:rsidP="00875505">
            <w:pPr>
              <w:keepNext/>
              <w:spacing w:before="40" w:after="40"/>
              <w:jc w:val="center"/>
              <w:rPr>
                <w:sz w:val="16"/>
              </w:rPr>
            </w:pPr>
            <w:r w:rsidRPr="00941AA8">
              <w:rPr>
                <w:sz w:val="16"/>
              </w:rPr>
              <w:sym w:font="Wingdings 2" w:char="F052"/>
            </w:r>
          </w:p>
        </w:tc>
      </w:tr>
      <w:tr w:rsidR="004B6F7B" w:rsidRPr="00464CE0" w14:paraId="19C27F41" w14:textId="77777777" w:rsidTr="00875505">
        <w:tc>
          <w:tcPr>
            <w:tcW w:w="5202" w:type="dxa"/>
            <w:tcBorders>
              <w:bottom w:val="single" w:sz="4" w:space="0" w:color="FFFFFF"/>
            </w:tcBorders>
            <w:shd w:val="clear" w:color="auto" w:fill="F2F2F2" w:themeFill="background1" w:themeFillShade="F2"/>
          </w:tcPr>
          <w:p w14:paraId="774FE947" w14:textId="77777777" w:rsidR="004B6F7B" w:rsidRDefault="004B6F7B" w:rsidP="00875505">
            <w:pPr>
              <w:keepNext/>
              <w:spacing w:before="40" w:after="40"/>
              <w:rPr>
                <w:sz w:val="16"/>
              </w:rPr>
            </w:pPr>
            <w:r>
              <w:rPr>
                <w:sz w:val="16"/>
                <w:szCs w:val="16"/>
              </w:rPr>
              <w:t>Hypertensive disorders of pregnancy</w:t>
            </w:r>
          </w:p>
        </w:tc>
        <w:tc>
          <w:tcPr>
            <w:tcW w:w="2126" w:type="dxa"/>
            <w:tcBorders>
              <w:bottom w:val="single" w:sz="4" w:space="0" w:color="FFFFFF"/>
            </w:tcBorders>
            <w:shd w:val="clear" w:color="auto" w:fill="F2F2F2" w:themeFill="background1" w:themeFillShade="F2"/>
          </w:tcPr>
          <w:p w14:paraId="4FB54805" w14:textId="77777777" w:rsidR="004B6F7B" w:rsidRDefault="004B6F7B" w:rsidP="00875505">
            <w:pPr>
              <w:keepNext/>
              <w:spacing w:before="40" w:after="40"/>
              <w:jc w:val="center"/>
              <w:rPr>
                <w:sz w:val="16"/>
              </w:rPr>
            </w:pPr>
            <w:r>
              <w:rPr>
                <w:sz w:val="16"/>
              </w:rPr>
              <w:t>5</w:t>
            </w:r>
          </w:p>
        </w:tc>
        <w:tc>
          <w:tcPr>
            <w:tcW w:w="1928" w:type="dxa"/>
            <w:tcBorders>
              <w:bottom w:val="single" w:sz="4" w:space="0" w:color="FFFFFF"/>
            </w:tcBorders>
            <w:shd w:val="clear" w:color="auto" w:fill="F2F2F2" w:themeFill="background1" w:themeFillShade="F2"/>
          </w:tcPr>
          <w:p w14:paraId="7898D223" w14:textId="77777777" w:rsidR="004B6F7B" w:rsidRPr="00941AA8" w:rsidRDefault="004B6F7B" w:rsidP="00875505">
            <w:pPr>
              <w:keepNext/>
              <w:spacing w:before="40" w:after="40"/>
              <w:jc w:val="center"/>
              <w:rPr>
                <w:sz w:val="16"/>
              </w:rPr>
            </w:pPr>
            <w:r w:rsidRPr="00941AA8">
              <w:rPr>
                <w:sz w:val="16"/>
              </w:rPr>
              <w:sym w:font="Wingdings 2" w:char="F052"/>
            </w:r>
          </w:p>
        </w:tc>
      </w:tr>
      <w:tr w:rsidR="004B6F7B" w:rsidRPr="009726C4" w14:paraId="37A8BD5C" w14:textId="77777777" w:rsidTr="00875505">
        <w:tc>
          <w:tcPr>
            <w:tcW w:w="5202" w:type="dxa"/>
            <w:tcBorders>
              <w:bottom w:val="single" w:sz="4" w:space="0" w:color="FFFFFF"/>
            </w:tcBorders>
            <w:shd w:val="clear" w:color="auto" w:fill="F2F2F2" w:themeFill="background1" w:themeFillShade="F2"/>
          </w:tcPr>
          <w:p w14:paraId="5598A1E0" w14:textId="77777777" w:rsidR="004B6F7B" w:rsidRPr="009726C4" w:rsidRDefault="004B6F7B" w:rsidP="00875505">
            <w:pPr>
              <w:rPr>
                <w:sz w:val="16"/>
                <w:szCs w:val="16"/>
              </w:rPr>
            </w:pPr>
            <w:r w:rsidRPr="009726C4">
              <w:rPr>
                <w:sz w:val="16"/>
                <w:szCs w:val="16"/>
              </w:rPr>
              <w:t>Depression</w:t>
            </w:r>
          </w:p>
        </w:tc>
        <w:tc>
          <w:tcPr>
            <w:tcW w:w="2126" w:type="dxa"/>
            <w:tcBorders>
              <w:bottom w:val="single" w:sz="4" w:space="0" w:color="FFFFFF"/>
            </w:tcBorders>
            <w:shd w:val="clear" w:color="auto" w:fill="F2F2F2" w:themeFill="background1" w:themeFillShade="F2"/>
          </w:tcPr>
          <w:p w14:paraId="5B86F03B" w14:textId="77777777" w:rsidR="004B6F7B" w:rsidRPr="009726C4" w:rsidRDefault="004B6F7B" w:rsidP="00875505">
            <w:pPr>
              <w:keepNext/>
              <w:spacing w:before="40" w:after="40"/>
              <w:jc w:val="center"/>
              <w:rPr>
                <w:sz w:val="16"/>
                <w:szCs w:val="16"/>
              </w:rPr>
            </w:pPr>
            <w:r>
              <w:rPr>
                <w:sz w:val="16"/>
                <w:szCs w:val="16"/>
              </w:rPr>
              <w:t>7</w:t>
            </w:r>
          </w:p>
        </w:tc>
        <w:tc>
          <w:tcPr>
            <w:tcW w:w="1928" w:type="dxa"/>
            <w:tcBorders>
              <w:bottom w:val="single" w:sz="4" w:space="0" w:color="FFFFFF"/>
            </w:tcBorders>
            <w:shd w:val="clear" w:color="auto" w:fill="F2F2F2" w:themeFill="background1" w:themeFillShade="F2"/>
          </w:tcPr>
          <w:p w14:paraId="62BAE9D0" w14:textId="77777777" w:rsidR="004B6F7B" w:rsidRPr="009726C4" w:rsidRDefault="004B6F7B" w:rsidP="00875505">
            <w:pPr>
              <w:keepNext/>
              <w:spacing w:before="40" w:after="40"/>
              <w:jc w:val="center"/>
              <w:rPr>
                <w:sz w:val="16"/>
                <w:szCs w:val="16"/>
              </w:rPr>
            </w:pPr>
            <w:r w:rsidRPr="00941AA8">
              <w:rPr>
                <w:sz w:val="16"/>
              </w:rPr>
              <w:sym w:font="Wingdings 2" w:char="F052"/>
            </w:r>
          </w:p>
        </w:tc>
      </w:tr>
      <w:tr w:rsidR="004B6F7B" w:rsidRPr="00464CE0" w14:paraId="22EBB625" w14:textId="77777777" w:rsidTr="00875505">
        <w:tc>
          <w:tcPr>
            <w:tcW w:w="5202" w:type="dxa"/>
            <w:tcBorders>
              <w:top w:val="single" w:sz="4" w:space="0" w:color="FFFFFF"/>
              <w:bottom w:val="single" w:sz="4" w:space="0" w:color="FFFFFF"/>
              <w:right w:val="nil"/>
            </w:tcBorders>
            <w:shd w:val="clear" w:color="auto" w:fill="F2F2F2" w:themeFill="background1" w:themeFillShade="F2"/>
          </w:tcPr>
          <w:p w14:paraId="5F75425E" w14:textId="77777777" w:rsidR="004B6F7B" w:rsidRDefault="004B6F7B" w:rsidP="00875505">
            <w:pPr>
              <w:rPr>
                <w:sz w:val="16"/>
                <w:szCs w:val="16"/>
              </w:rPr>
            </w:pPr>
            <w:r>
              <w:rPr>
                <w:sz w:val="16"/>
                <w:szCs w:val="16"/>
              </w:rPr>
              <w:t>Anxiety</w:t>
            </w:r>
          </w:p>
        </w:tc>
        <w:tc>
          <w:tcPr>
            <w:tcW w:w="2126" w:type="dxa"/>
            <w:tcBorders>
              <w:top w:val="single" w:sz="4" w:space="0" w:color="FFFFFF"/>
              <w:left w:val="nil"/>
              <w:bottom w:val="single" w:sz="4" w:space="0" w:color="FFFFFF"/>
              <w:right w:val="nil"/>
            </w:tcBorders>
            <w:shd w:val="clear" w:color="auto" w:fill="F2F2F2" w:themeFill="background1" w:themeFillShade="F2"/>
          </w:tcPr>
          <w:p w14:paraId="30800915" w14:textId="77777777" w:rsidR="004B6F7B" w:rsidRPr="00703D8F" w:rsidRDefault="004B6F7B" w:rsidP="00875505">
            <w:pPr>
              <w:keepNext/>
              <w:spacing w:before="40" w:after="40"/>
              <w:jc w:val="center"/>
              <w:rPr>
                <w:sz w:val="16"/>
                <w:szCs w:val="16"/>
              </w:rPr>
            </w:pPr>
            <w:r>
              <w:rPr>
                <w:sz w:val="16"/>
                <w:szCs w:val="16"/>
              </w:rPr>
              <w:t>5</w:t>
            </w:r>
          </w:p>
        </w:tc>
        <w:tc>
          <w:tcPr>
            <w:tcW w:w="1928" w:type="dxa"/>
            <w:tcBorders>
              <w:top w:val="single" w:sz="4" w:space="0" w:color="FFFFFF"/>
              <w:left w:val="nil"/>
              <w:bottom w:val="single" w:sz="4" w:space="0" w:color="FFFFFF"/>
            </w:tcBorders>
            <w:shd w:val="clear" w:color="auto" w:fill="F2F2F2" w:themeFill="background1" w:themeFillShade="F2"/>
          </w:tcPr>
          <w:p w14:paraId="3AE94AEA" w14:textId="77777777" w:rsidR="004B6F7B" w:rsidRPr="00703D8F" w:rsidRDefault="004B6F7B" w:rsidP="00875505">
            <w:pPr>
              <w:keepNext/>
              <w:spacing w:before="40" w:after="40"/>
              <w:jc w:val="center"/>
              <w:rPr>
                <w:sz w:val="16"/>
                <w:szCs w:val="16"/>
              </w:rPr>
            </w:pPr>
            <w:r w:rsidRPr="00941AA8">
              <w:rPr>
                <w:sz w:val="16"/>
              </w:rPr>
              <w:sym w:font="Wingdings 2" w:char="F052"/>
            </w:r>
          </w:p>
        </w:tc>
      </w:tr>
      <w:tr w:rsidR="004B6F7B" w:rsidRPr="00464CE0" w14:paraId="0982F20E" w14:textId="77777777" w:rsidTr="00875505">
        <w:tc>
          <w:tcPr>
            <w:tcW w:w="5202" w:type="dxa"/>
            <w:tcBorders>
              <w:top w:val="single" w:sz="4" w:space="0" w:color="FFFFFF"/>
              <w:bottom w:val="single" w:sz="4" w:space="0" w:color="FFFFFF"/>
              <w:right w:val="nil"/>
            </w:tcBorders>
            <w:shd w:val="clear" w:color="auto" w:fill="F2F2F2" w:themeFill="background1" w:themeFillShade="F2"/>
          </w:tcPr>
          <w:p w14:paraId="47B779B1" w14:textId="77777777" w:rsidR="004B6F7B" w:rsidRDefault="004B6F7B" w:rsidP="00875505">
            <w:pPr>
              <w:rPr>
                <w:sz w:val="16"/>
                <w:szCs w:val="16"/>
              </w:rPr>
            </w:pPr>
            <w:r>
              <w:rPr>
                <w:sz w:val="16"/>
                <w:szCs w:val="16"/>
              </w:rPr>
              <w:t>Macrosomia</w:t>
            </w:r>
          </w:p>
        </w:tc>
        <w:tc>
          <w:tcPr>
            <w:tcW w:w="2126" w:type="dxa"/>
            <w:tcBorders>
              <w:top w:val="single" w:sz="4" w:space="0" w:color="FFFFFF"/>
              <w:left w:val="nil"/>
              <w:bottom w:val="single" w:sz="4" w:space="0" w:color="FFFFFF"/>
              <w:right w:val="nil"/>
            </w:tcBorders>
            <w:shd w:val="clear" w:color="auto" w:fill="F2F2F2" w:themeFill="background1" w:themeFillShade="F2"/>
          </w:tcPr>
          <w:p w14:paraId="64C44361" w14:textId="77777777" w:rsidR="004B6F7B" w:rsidRPr="008151AE" w:rsidRDefault="004B6F7B" w:rsidP="00875505">
            <w:pPr>
              <w:keepNext/>
              <w:spacing w:before="40" w:after="40"/>
              <w:jc w:val="center"/>
              <w:rPr>
                <w:sz w:val="16"/>
                <w:szCs w:val="16"/>
              </w:rPr>
            </w:pPr>
            <w:r w:rsidRPr="008151AE">
              <w:rPr>
                <w:sz w:val="16"/>
                <w:szCs w:val="16"/>
              </w:rPr>
              <w:t>9</w:t>
            </w:r>
          </w:p>
        </w:tc>
        <w:tc>
          <w:tcPr>
            <w:tcW w:w="1928" w:type="dxa"/>
            <w:tcBorders>
              <w:top w:val="single" w:sz="4" w:space="0" w:color="FFFFFF"/>
              <w:left w:val="nil"/>
              <w:bottom w:val="single" w:sz="4" w:space="0" w:color="FFFFFF"/>
            </w:tcBorders>
            <w:shd w:val="clear" w:color="auto" w:fill="F2F2F2" w:themeFill="background1" w:themeFillShade="F2"/>
          </w:tcPr>
          <w:p w14:paraId="5859D666" w14:textId="77777777" w:rsidR="004B6F7B" w:rsidRPr="00941AA8" w:rsidRDefault="004B6F7B" w:rsidP="00875505">
            <w:pPr>
              <w:keepNext/>
              <w:spacing w:before="40" w:after="40"/>
              <w:jc w:val="center"/>
              <w:rPr>
                <w:sz w:val="16"/>
              </w:rPr>
            </w:pPr>
            <w:r w:rsidRPr="00941AA8">
              <w:rPr>
                <w:sz w:val="16"/>
              </w:rPr>
              <w:sym w:font="Wingdings 2" w:char="F052"/>
            </w:r>
          </w:p>
        </w:tc>
      </w:tr>
    </w:tbl>
    <w:p w14:paraId="455F422F" w14:textId="52B083E2" w:rsidR="00C90C54" w:rsidRDefault="000E72DF" w:rsidP="00932C6D">
      <w:pPr>
        <w:pStyle w:val="TableName"/>
      </w:pPr>
      <w:bookmarkStart w:id="11" w:name="_Toc40956584"/>
      <w:r>
        <w:t>Interventions to prevent weight gain — m</w:t>
      </w:r>
      <w:r w:rsidR="00785C5B">
        <w:t>aternal</w:t>
      </w:r>
      <w:r w:rsidR="00426E14">
        <w:t xml:space="preserve"> outcomes</w:t>
      </w:r>
      <w:bookmarkEnd w:id="11"/>
    </w:p>
    <w:tbl>
      <w:tblPr>
        <w:tblW w:w="9256" w:type="dxa"/>
        <w:tblInd w:w="-2" w:type="dxa"/>
        <w:tblBorders>
          <w:top w:val="single" w:sz="4" w:space="0" w:color="FFFFFF"/>
          <w:bottom w:val="single" w:sz="4" w:space="0" w:color="FFFFFF"/>
          <w:insideH w:val="single" w:sz="4" w:space="0" w:color="FFFFFF"/>
        </w:tblBorders>
        <w:shd w:val="clear" w:color="auto" w:fill="F2F2F2" w:themeFill="background1" w:themeFillShade="F2"/>
        <w:tblLook w:val="00A0" w:firstRow="1" w:lastRow="0" w:firstColumn="1" w:lastColumn="0" w:noHBand="0" w:noVBand="0"/>
      </w:tblPr>
      <w:tblGrid>
        <w:gridCol w:w="5202"/>
        <w:gridCol w:w="2126"/>
        <w:gridCol w:w="1928"/>
      </w:tblGrid>
      <w:tr w:rsidR="00363E58" w:rsidRPr="009C0598" w14:paraId="469AB16F" w14:textId="77777777" w:rsidTr="00A866B7">
        <w:trPr>
          <w:tblHeader/>
        </w:trPr>
        <w:tc>
          <w:tcPr>
            <w:tcW w:w="5202" w:type="dxa"/>
            <w:shd w:val="clear" w:color="auto" w:fill="F2F2F2" w:themeFill="background1" w:themeFillShade="F2"/>
          </w:tcPr>
          <w:p w14:paraId="62DAC916" w14:textId="77777777" w:rsidR="00363E58" w:rsidRPr="009C0598" w:rsidRDefault="00363E58" w:rsidP="00A866B7">
            <w:pPr>
              <w:keepNext/>
              <w:spacing w:before="40" w:after="40"/>
              <w:rPr>
                <w:b/>
                <w:color w:val="000000" w:themeColor="text1"/>
                <w:sz w:val="16"/>
              </w:rPr>
            </w:pPr>
            <w:r w:rsidRPr="009C0598">
              <w:rPr>
                <w:b/>
                <w:color w:val="000000" w:themeColor="text1"/>
                <w:sz w:val="16"/>
              </w:rPr>
              <w:t>Outcome</w:t>
            </w:r>
          </w:p>
        </w:tc>
        <w:tc>
          <w:tcPr>
            <w:tcW w:w="2126" w:type="dxa"/>
            <w:shd w:val="clear" w:color="auto" w:fill="F2F2F2" w:themeFill="background1" w:themeFillShade="F2"/>
          </w:tcPr>
          <w:p w14:paraId="7E614354" w14:textId="77777777" w:rsidR="00363E58" w:rsidRPr="009C0598" w:rsidRDefault="00363E58" w:rsidP="00A866B7">
            <w:pPr>
              <w:keepNext/>
              <w:spacing w:before="40" w:after="40"/>
              <w:jc w:val="center"/>
              <w:rPr>
                <w:b/>
                <w:color w:val="000000" w:themeColor="text1"/>
                <w:sz w:val="16"/>
              </w:rPr>
            </w:pPr>
            <w:r w:rsidRPr="009C0598">
              <w:rPr>
                <w:b/>
                <w:color w:val="000000" w:themeColor="text1"/>
                <w:sz w:val="16"/>
              </w:rPr>
              <w:t>Importance</w:t>
            </w:r>
          </w:p>
        </w:tc>
        <w:tc>
          <w:tcPr>
            <w:tcW w:w="1928" w:type="dxa"/>
            <w:shd w:val="clear" w:color="auto" w:fill="F2F2F2" w:themeFill="background1" w:themeFillShade="F2"/>
          </w:tcPr>
          <w:p w14:paraId="7460F4C2" w14:textId="77777777" w:rsidR="00363E58" w:rsidRPr="009C0598" w:rsidRDefault="00363E58" w:rsidP="00A866B7">
            <w:pPr>
              <w:keepNext/>
              <w:spacing w:before="40" w:after="40"/>
              <w:jc w:val="center"/>
              <w:rPr>
                <w:b/>
                <w:color w:val="000000" w:themeColor="text1"/>
                <w:sz w:val="16"/>
              </w:rPr>
            </w:pPr>
            <w:r w:rsidRPr="009C0598">
              <w:rPr>
                <w:b/>
                <w:color w:val="000000" w:themeColor="text1"/>
                <w:sz w:val="16"/>
              </w:rPr>
              <w:t>Inclusion</w:t>
            </w:r>
          </w:p>
        </w:tc>
      </w:tr>
      <w:tr w:rsidR="00363E58" w:rsidRPr="00464CE0" w14:paraId="3434E120" w14:textId="77777777" w:rsidTr="00A866B7">
        <w:tc>
          <w:tcPr>
            <w:tcW w:w="5202" w:type="dxa"/>
            <w:shd w:val="clear" w:color="auto" w:fill="F2F2F2" w:themeFill="background1" w:themeFillShade="F2"/>
          </w:tcPr>
          <w:p w14:paraId="3795CC03" w14:textId="61B8A895" w:rsidR="00363E58" w:rsidRDefault="00B61E2E" w:rsidP="00A866B7">
            <w:pPr>
              <w:keepNext/>
              <w:spacing w:before="40" w:after="40"/>
              <w:rPr>
                <w:sz w:val="16"/>
              </w:rPr>
            </w:pPr>
            <w:r>
              <w:rPr>
                <w:sz w:val="16"/>
                <w:szCs w:val="16"/>
              </w:rPr>
              <w:t>Mean g</w:t>
            </w:r>
            <w:r w:rsidR="00363E58">
              <w:rPr>
                <w:sz w:val="16"/>
                <w:szCs w:val="16"/>
              </w:rPr>
              <w:t>estational weight gain</w:t>
            </w:r>
          </w:p>
        </w:tc>
        <w:tc>
          <w:tcPr>
            <w:tcW w:w="2126" w:type="dxa"/>
            <w:shd w:val="clear" w:color="auto" w:fill="F2F2F2" w:themeFill="background1" w:themeFillShade="F2"/>
          </w:tcPr>
          <w:p w14:paraId="08C05D05" w14:textId="30BEB745" w:rsidR="00363E58" w:rsidRDefault="007110D4" w:rsidP="00A866B7">
            <w:pPr>
              <w:keepNext/>
              <w:spacing w:before="40" w:after="40"/>
              <w:jc w:val="center"/>
              <w:rPr>
                <w:sz w:val="16"/>
              </w:rPr>
            </w:pPr>
            <w:r>
              <w:rPr>
                <w:sz w:val="16"/>
              </w:rPr>
              <w:t>5</w:t>
            </w:r>
          </w:p>
        </w:tc>
        <w:tc>
          <w:tcPr>
            <w:tcW w:w="1928" w:type="dxa"/>
            <w:shd w:val="clear" w:color="auto" w:fill="F2F2F2" w:themeFill="background1" w:themeFillShade="F2"/>
          </w:tcPr>
          <w:p w14:paraId="56BD38B2" w14:textId="77777777" w:rsidR="00363E58" w:rsidRPr="00941AA8" w:rsidRDefault="00363E58" w:rsidP="00A866B7">
            <w:pPr>
              <w:keepNext/>
              <w:spacing w:before="40" w:after="40"/>
              <w:jc w:val="center"/>
              <w:rPr>
                <w:sz w:val="16"/>
              </w:rPr>
            </w:pPr>
            <w:r w:rsidRPr="00941AA8">
              <w:rPr>
                <w:sz w:val="16"/>
              </w:rPr>
              <w:sym w:font="Wingdings 2" w:char="F052"/>
            </w:r>
          </w:p>
        </w:tc>
      </w:tr>
      <w:tr w:rsidR="00B61E2E" w:rsidRPr="00464CE0" w14:paraId="3F570029" w14:textId="77777777" w:rsidTr="00A866B7">
        <w:tc>
          <w:tcPr>
            <w:tcW w:w="5202" w:type="dxa"/>
            <w:shd w:val="clear" w:color="auto" w:fill="F2F2F2" w:themeFill="background1" w:themeFillShade="F2"/>
          </w:tcPr>
          <w:p w14:paraId="2C85E501" w14:textId="47B1FE3A" w:rsidR="00B61E2E" w:rsidRDefault="00426E14" w:rsidP="00A866B7">
            <w:pPr>
              <w:keepNext/>
              <w:spacing w:before="40" w:after="40"/>
              <w:rPr>
                <w:sz w:val="16"/>
                <w:szCs w:val="16"/>
              </w:rPr>
            </w:pPr>
            <w:r>
              <w:rPr>
                <w:sz w:val="16"/>
                <w:szCs w:val="16"/>
              </w:rPr>
              <w:t>Excess</w:t>
            </w:r>
            <w:r w:rsidR="00B61E2E">
              <w:rPr>
                <w:sz w:val="16"/>
                <w:szCs w:val="16"/>
              </w:rPr>
              <w:t xml:space="preserve"> gestational weight gain</w:t>
            </w:r>
          </w:p>
        </w:tc>
        <w:tc>
          <w:tcPr>
            <w:tcW w:w="2126" w:type="dxa"/>
            <w:shd w:val="clear" w:color="auto" w:fill="F2F2F2" w:themeFill="background1" w:themeFillShade="F2"/>
          </w:tcPr>
          <w:p w14:paraId="27AF1A47" w14:textId="60D81B05" w:rsidR="00B61E2E" w:rsidRDefault="007110D4" w:rsidP="00A866B7">
            <w:pPr>
              <w:keepNext/>
              <w:spacing w:before="40" w:after="40"/>
              <w:jc w:val="center"/>
              <w:rPr>
                <w:sz w:val="16"/>
              </w:rPr>
            </w:pPr>
            <w:r>
              <w:rPr>
                <w:sz w:val="16"/>
              </w:rPr>
              <w:t>5</w:t>
            </w:r>
          </w:p>
        </w:tc>
        <w:tc>
          <w:tcPr>
            <w:tcW w:w="1928" w:type="dxa"/>
            <w:shd w:val="clear" w:color="auto" w:fill="F2F2F2" w:themeFill="background1" w:themeFillShade="F2"/>
          </w:tcPr>
          <w:p w14:paraId="038FD124" w14:textId="15C4A10B" w:rsidR="00B61E2E" w:rsidRPr="00941AA8" w:rsidRDefault="007110D4" w:rsidP="00A866B7">
            <w:pPr>
              <w:keepNext/>
              <w:spacing w:before="40" w:after="40"/>
              <w:jc w:val="center"/>
              <w:rPr>
                <w:sz w:val="16"/>
              </w:rPr>
            </w:pPr>
            <w:r w:rsidRPr="00941AA8">
              <w:rPr>
                <w:sz w:val="16"/>
              </w:rPr>
              <w:sym w:font="Wingdings 2" w:char="F052"/>
            </w:r>
          </w:p>
        </w:tc>
      </w:tr>
      <w:tr w:rsidR="00363E58" w:rsidRPr="00464CE0" w14:paraId="15A14F02" w14:textId="77777777" w:rsidTr="00A866B7">
        <w:tc>
          <w:tcPr>
            <w:tcW w:w="5202" w:type="dxa"/>
            <w:shd w:val="clear" w:color="auto" w:fill="F2F2F2" w:themeFill="background1" w:themeFillShade="F2"/>
          </w:tcPr>
          <w:p w14:paraId="6BAD6802" w14:textId="77777777" w:rsidR="00363E58" w:rsidRDefault="00363E58" w:rsidP="00A866B7">
            <w:pPr>
              <w:keepNext/>
              <w:spacing w:before="40" w:after="40"/>
              <w:rPr>
                <w:sz w:val="16"/>
              </w:rPr>
            </w:pPr>
            <w:r>
              <w:rPr>
                <w:sz w:val="16"/>
                <w:szCs w:val="16"/>
              </w:rPr>
              <w:t>Gestational diabetes</w:t>
            </w:r>
          </w:p>
        </w:tc>
        <w:tc>
          <w:tcPr>
            <w:tcW w:w="2126" w:type="dxa"/>
            <w:shd w:val="clear" w:color="auto" w:fill="F2F2F2" w:themeFill="background1" w:themeFillShade="F2"/>
          </w:tcPr>
          <w:p w14:paraId="767BF754" w14:textId="77777777" w:rsidR="00363E58" w:rsidRDefault="00363E58" w:rsidP="00A866B7">
            <w:pPr>
              <w:keepNext/>
              <w:spacing w:before="40" w:after="40"/>
              <w:jc w:val="center"/>
              <w:rPr>
                <w:sz w:val="16"/>
              </w:rPr>
            </w:pPr>
            <w:r>
              <w:rPr>
                <w:sz w:val="16"/>
              </w:rPr>
              <w:t>9</w:t>
            </w:r>
          </w:p>
        </w:tc>
        <w:tc>
          <w:tcPr>
            <w:tcW w:w="1928" w:type="dxa"/>
            <w:shd w:val="clear" w:color="auto" w:fill="F2F2F2" w:themeFill="background1" w:themeFillShade="F2"/>
          </w:tcPr>
          <w:p w14:paraId="0CCC5338" w14:textId="77777777" w:rsidR="00363E58" w:rsidRPr="00941AA8" w:rsidRDefault="00363E58" w:rsidP="00A866B7">
            <w:pPr>
              <w:keepNext/>
              <w:spacing w:before="40" w:after="40"/>
              <w:jc w:val="center"/>
              <w:rPr>
                <w:sz w:val="16"/>
              </w:rPr>
            </w:pPr>
            <w:r w:rsidRPr="00941AA8">
              <w:rPr>
                <w:sz w:val="16"/>
              </w:rPr>
              <w:sym w:font="Wingdings 2" w:char="F052"/>
            </w:r>
          </w:p>
        </w:tc>
      </w:tr>
      <w:tr w:rsidR="00363E58" w:rsidRPr="00464CE0" w14:paraId="3434CDD9" w14:textId="77777777" w:rsidTr="000E72DF">
        <w:tc>
          <w:tcPr>
            <w:tcW w:w="5202" w:type="dxa"/>
            <w:tcBorders>
              <w:bottom w:val="single" w:sz="4" w:space="0" w:color="FFFFFF"/>
            </w:tcBorders>
            <w:shd w:val="clear" w:color="auto" w:fill="F2F2F2" w:themeFill="background1" w:themeFillShade="F2"/>
          </w:tcPr>
          <w:p w14:paraId="6860B406" w14:textId="2AAF2F1A" w:rsidR="00363E58" w:rsidRDefault="00BB7FB0" w:rsidP="00A866B7">
            <w:pPr>
              <w:keepNext/>
              <w:spacing w:before="40" w:after="40"/>
              <w:rPr>
                <w:sz w:val="16"/>
              </w:rPr>
            </w:pPr>
            <w:r>
              <w:rPr>
                <w:sz w:val="16"/>
                <w:szCs w:val="16"/>
              </w:rPr>
              <w:t>Hypertensive disorders of pregnancy</w:t>
            </w:r>
          </w:p>
        </w:tc>
        <w:tc>
          <w:tcPr>
            <w:tcW w:w="2126" w:type="dxa"/>
            <w:tcBorders>
              <w:bottom w:val="single" w:sz="4" w:space="0" w:color="FFFFFF"/>
            </w:tcBorders>
            <w:shd w:val="clear" w:color="auto" w:fill="F2F2F2" w:themeFill="background1" w:themeFillShade="F2"/>
          </w:tcPr>
          <w:p w14:paraId="60E74223" w14:textId="7C55FA53" w:rsidR="00363E58" w:rsidRDefault="007110D4" w:rsidP="00A866B7">
            <w:pPr>
              <w:keepNext/>
              <w:spacing w:before="40" w:after="40"/>
              <w:jc w:val="center"/>
              <w:rPr>
                <w:sz w:val="16"/>
              </w:rPr>
            </w:pPr>
            <w:r>
              <w:rPr>
                <w:sz w:val="16"/>
              </w:rPr>
              <w:t>5</w:t>
            </w:r>
          </w:p>
        </w:tc>
        <w:tc>
          <w:tcPr>
            <w:tcW w:w="1928" w:type="dxa"/>
            <w:tcBorders>
              <w:bottom w:val="single" w:sz="4" w:space="0" w:color="FFFFFF"/>
            </w:tcBorders>
            <w:shd w:val="clear" w:color="auto" w:fill="F2F2F2" w:themeFill="background1" w:themeFillShade="F2"/>
          </w:tcPr>
          <w:p w14:paraId="22E13180" w14:textId="77777777" w:rsidR="00363E58" w:rsidRPr="00941AA8" w:rsidRDefault="00363E58" w:rsidP="00A866B7">
            <w:pPr>
              <w:keepNext/>
              <w:spacing w:before="40" w:after="40"/>
              <w:jc w:val="center"/>
              <w:rPr>
                <w:sz w:val="16"/>
              </w:rPr>
            </w:pPr>
            <w:r w:rsidRPr="00941AA8">
              <w:rPr>
                <w:sz w:val="16"/>
              </w:rPr>
              <w:sym w:font="Wingdings 2" w:char="F052"/>
            </w:r>
          </w:p>
        </w:tc>
      </w:tr>
      <w:tr w:rsidR="004E593B" w:rsidRPr="00464CE0" w14:paraId="3D4A8BF4" w14:textId="77777777" w:rsidTr="000E72DF">
        <w:tc>
          <w:tcPr>
            <w:tcW w:w="5202" w:type="dxa"/>
            <w:tcBorders>
              <w:top w:val="single" w:sz="4" w:space="0" w:color="FFFFFF"/>
              <w:bottom w:val="single" w:sz="4" w:space="0" w:color="FFFFFF"/>
              <w:right w:val="nil"/>
            </w:tcBorders>
            <w:shd w:val="clear" w:color="auto" w:fill="F2F2F2" w:themeFill="background1" w:themeFillShade="F2"/>
          </w:tcPr>
          <w:p w14:paraId="335F0AC1" w14:textId="60F9E7AF" w:rsidR="004E593B" w:rsidRDefault="00EC0247" w:rsidP="00CD1410">
            <w:pPr>
              <w:rPr>
                <w:sz w:val="16"/>
                <w:szCs w:val="16"/>
              </w:rPr>
            </w:pPr>
            <w:r>
              <w:rPr>
                <w:sz w:val="16"/>
                <w:szCs w:val="16"/>
              </w:rPr>
              <w:t>Caesarean section</w:t>
            </w:r>
          </w:p>
        </w:tc>
        <w:tc>
          <w:tcPr>
            <w:tcW w:w="2126" w:type="dxa"/>
            <w:tcBorders>
              <w:top w:val="single" w:sz="4" w:space="0" w:color="FFFFFF"/>
              <w:left w:val="nil"/>
              <w:bottom w:val="single" w:sz="4" w:space="0" w:color="FFFFFF"/>
              <w:right w:val="nil"/>
            </w:tcBorders>
            <w:shd w:val="clear" w:color="auto" w:fill="F2F2F2" w:themeFill="background1" w:themeFillShade="F2"/>
          </w:tcPr>
          <w:p w14:paraId="602C6A59" w14:textId="097143A2" w:rsidR="004E593B" w:rsidRPr="00785C5B" w:rsidRDefault="007110D4" w:rsidP="00CD1410">
            <w:pPr>
              <w:keepNext/>
              <w:spacing w:before="40" w:after="40"/>
              <w:jc w:val="center"/>
              <w:rPr>
                <w:sz w:val="16"/>
                <w:szCs w:val="16"/>
              </w:rPr>
            </w:pPr>
            <w:r>
              <w:rPr>
                <w:sz w:val="16"/>
                <w:szCs w:val="16"/>
              </w:rPr>
              <w:t>9</w:t>
            </w:r>
          </w:p>
        </w:tc>
        <w:tc>
          <w:tcPr>
            <w:tcW w:w="1928" w:type="dxa"/>
            <w:tcBorders>
              <w:top w:val="single" w:sz="4" w:space="0" w:color="FFFFFF"/>
              <w:left w:val="nil"/>
              <w:bottom w:val="single" w:sz="4" w:space="0" w:color="FFFFFF"/>
            </w:tcBorders>
            <w:shd w:val="clear" w:color="auto" w:fill="F2F2F2" w:themeFill="background1" w:themeFillShade="F2"/>
          </w:tcPr>
          <w:p w14:paraId="22F8C92D" w14:textId="3362D37A" w:rsidR="004E593B" w:rsidRPr="00785C5B" w:rsidRDefault="007110D4" w:rsidP="00CD1410">
            <w:pPr>
              <w:keepNext/>
              <w:spacing w:before="40" w:after="40"/>
              <w:jc w:val="center"/>
              <w:rPr>
                <w:sz w:val="16"/>
                <w:szCs w:val="16"/>
              </w:rPr>
            </w:pPr>
            <w:r w:rsidRPr="00941AA8">
              <w:rPr>
                <w:sz w:val="16"/>
              </w:rPr>
              <w:sym w:font="Wingdings 2" w:char="F052"/>
            </w:r>
          </w:p>
        </w:tc>
      </w:tr>
      <w:tr w:rsidR="00785C5B" w:rsidRPr="009726C4" w14:paraId="08D66C7D" w14:textId="77777777" w:rsidTr="000E72DF">
        <w:tc>
          <w:tcPr>
            <w:tcW w:w="5202" w:type="dxa"/>
            <w:tcBorders>
              <w:bottom w:val="single" w:sz="4" w:space="0" w:color="FFFFFF"/>
            </w:tcBorders>
            <w:shd w:val="clear" w:color="auto" w:fill="F2F2F2" w:themeFill="background1" w:themeFillShade="F2"/>
          </w:tcPr>
          <w:p w14:paraId="067A83F9" w14:textId="4F5ECA99" w:rsidR="00785C5B" w:rsidRPr="009726C4" w:rsidRDefault="00785C5B" w:rsidP="00785C5B">
            <w:pPr>
              <w:rPr>
                <w:sz w:val="16"/>
                <w:szCs w:val="16"/>
              </w:rPr>
            </w:pPr>
            <w:r w:rsidRPr="009726C4">
              <w:rPr>
                <w:sz w:val="16"/>
                <w:szCs w:val="16"/>
              </w:rPr>
              <w:t>Depression</w:t>
            </w:r>
            <w:r w:rsidR="00D07346">
              <w:rPr>
                <w:sz w:val="16"/>
                <w:szCs w:val="16"/>
              </w:rPr>
              <w:t xml:space="preserve"> (antenatal and postnatal)</w:t>
            </w:r>
          </w:p>
        </w:tc>
        <w:tc>
          <w:tcPr>
            <w:tcW w:w="2126" w:type="dxa"/>
            <w:tcBorders>
              <w:bottom w:val="single" w:sz="4" w:space="0" w:color="FFFFFF"/>
            </w:tcBorders>
            <w:shd w:val="clear" w:color="auto" w:fill="F2F2F2" w:themeFill="background1" w:themeFillShade="F2"/>
          </w:tcPr>
          <w:p w14:paraId="2525A281" w14:textId="7950DD76" w:rsidR="00785C5B" w:rsidRPr="009726C4" w:rsidRDefault="007110D4" w:rsidP="00785C5B">
            <w:pPr>
              <w:keepNext/>
              <w:spacing w:before="40" w:after="40"/>
              <w:jc w:val="center"/>
              <w:rPr>
                <w:sz w:val="16"/>
                <w:szCs w:val="16"/>
              </w:rPr>
            </w:pPr>
            <w:r>
              <w:rPr>
                <w:sz w:val="16"/>
                <w:szCs w:val="16"/>
              </w:rPr>
              <w:t>7</w:t>
            </w:r>
          </w:p>
        </w:tc>
        <w:tc>
          <w:tcPr>
            <w:tcW w:w="1928" w:type="dxa"/>
            <w:tcBorders>
              <w:bottom w:val="single" w:sz="4" w:space="0" w:color="FFFFFF"/>
            </w:tcBorders>
            <w:shd w:val="clear" w:color="auto" w:fill="F2F2F2" w:themeFill="background1" w:themeFillShade="F2"/>
          </w:tcPr>
          <w:p w14:paraId="2FD7E76F" w14:textId="7157B6CD" w:rsidR="00785C5B" w:rsidRPr="009726C4" w:rsidRDefault="007110D4" w:rsidP="00785C5B">
            <w:pPr>
              <w:keepNext/>
              <w:spacing w:before="40" w:after="40"/>
              <w:jc w:val="center"/>
              <w:rPr>
                <w:sz w:val="16"/>
                <w:szCs w:val="16"/>
              </w:rPr>
            </w:pPr>
            <w:r w:rsidRPr="00941AA8">
              <w:rPr>
                <w:sz w:val="16"/>
              </w:rPr>
              <w:sym w:font="Wingdings 2" w:char="F052"/>
            </w:r>
          </w:p>
        </w:tc>
      </w:tr>
      <w:tr w:rsidR="00703D8F" w:rsidRPr="00464CE0" w14:paraId="356B0A26" w14:textId="77777777" w:rsidTr="000E72DF">
        <w:tc>
          <w:tcPr>
            <w:tcW w:w="5202" w:type="dxa"/>
            <w:tcBorders>
              <w:top w:val="single" w:sz="4" w:space="0" w:color="FFFFFF"/>
              <w:bottom w:val="single" w:sz="4" w:space="0" w:color="FFFFFF"/>
              <w:right w:val="nil"/>
            </w:tcBorders>
            <w:shd w:val="clear" w:color="auto" w:fill="F2F2F2" w:themeFill="background1" w:themeFillShade="F2"/>
          </w:tcPr>
          <w:p w14:paraId="4DD43A88" w14:textId="0B10CAD5" w:rsidR="00703D8F" w:rsidRDefault="002B4AA3" w:rsidP="00703D8F">
            <w:pPr>
              <w:rPr>
                <w:sz w:val="16"/>
                <w:szCs w:val="16"/>
              </w:rPr>
            </w:pPr>
            <w:r>
              <w:rPr>
                <w:sz w:val="16"/>
                <w:szCs w:val="16"/>
              </w:rPr>
              <w:t>Postnatal</w:t>
            </w:r>
            <w:r w:rsidR="00703D8F">
              <w:rPr>
                <w:sz w:val="16"/>
                <w:szCs w:val="16"/>
              </w:rPr>
              <w:t xml:space="preserve"> weight retention</w:t>
            </w:r>
          </w:p>
        </w:tc>
        <w:tc>
          <w:tcPr>
            <w:tcW w:w="2126" w:type="dxa"/>
            <w:tcBorders>
              <w:top w:val="single" w:sz="4" w:space="0" w:color="FFFFFF"/>
              <w:left w:val="nil"/>
              <w:bottom w:val="single" w:sz="4" w:space="0" w:color="FFFFFF"/>
              <w:right w:val="nil"/>
            </w:tcBorders>
            <w:shd w:val="clear" w:color="auto" w:fill="F2F2F2" w:themeFill="background1" w:themeFillShade="F2"/>
          </w:tcPr>
          <w:p w14:paraId="61D64527" w14:textId="593C4C88" w:rsidR="00703D8F" w:rsidRPr="00703D8F" w:rsidRDefault="007110D4" w:rsidP="005279C0">
            <w:pPr>
              <w:keepNext/>
              <w:spacing w:before="40" w:after="40"/>
              <w:jc w:val="center"/>
              <w:rPr>
                <w:sz w:val="16"/>
                <w:szCs w:val="16"/>
              </w:rPr>
            </w:pPr>
            <w:r>
              <w:rPr>
                <w:sz w:val="16"/>
                <w:szCs w:val="16"/>
              </w:rPr>
              <w:t>5</w:t>
            </w:r>
          </w:p>
        </w:tc>
        <w:tc>
          <w:tcPr>
            <w:tcW w:w="1928" w:type="dxa"/>
            <w:tcBorders>
              <w:top w:val="single" w:sz="4" w:space="0" w:color="FFFFFF"/>
              <w:left w:val="nil"/>
              <w:bottom w:val="single" w:sz="4" w:space="0" w:color="FFFFFF"/>
            </w:tcBorders>
            <w:shd w:val="clear" w:color="auto" w:fill="F2F2F2" w:themeFill="background1" w:themeFillShade="F2"/>
          </w:tcPr>
          <w:p w14:paraId="7427C986" w14:textId="4D0CBB40" w:rsidR="00703D8F" w:rsidRPr="00703D8F" w:rsidRDefault="007110D4" w:rsidP="005279C0">
            <w:pPr>
              <w:keepNext/>
              <w:spacing w:before="40" w:after="40"/>
              <w:jc w:val="center"/>
              <w:rPr>
                <w:sz w:val="16"/>
                <w:szCs w:val="16"/>
              </w:rPr>
            </w:pPr>
            <w:r w:rsidRPr="00941AA8">
              <w:rPr>
                <w:sz w:val="16"/>
              </w:rPr>
              <w:sym w:font="Wingdings 2" w:char="F052"/>
            </w:r>
          </w:p>
        </w:tc>
      </w:tr>
    </w:tbl>
    <w:p w14:paraId="6A609623" w14:textId="67224862" w:rsidR="00363E58" w:rsidRDefault="00785C5B" w:rsidP="00932C6D">
      <w:pPr>
        <w:pStyle w:val="TableName"/>
      </w:pPr>
      <w:r>
        <w:t xml:space="preserve"> </w:t>
      </w:r>
      <w:bookmarkStart w:id="12" w:name="_Toc40956585"/>
      <w:r>
        <w:t>I</w:t>
      </w:r>
      <w:r w:rsidR="000E72DF">
        <w:t>nterventions to prevent gestational weight gain — i</w:t>
      </w:r>
      <w:r>
        <w:t>nfant</w:t>
      </w:r>
      <w:r w:rsidR="00426E14">
        <w:t xml:space="preserve"> outcomes</w:t>
      </w:r>
      <w:bookmarkEnd w:id="12"/>
    </w:p>
    <w:tbl>
      <w:tblPr>
        <w:tblW w:w="9256" w:type="dxa"/>
        <w:tblInd w:w="-2" w:type="dxa"/>
        <w:tblBorders>
          <w:top w:val="single" w:sz="4" w:space="0" w:color="FFFFFF"/>
          <w:bottom w:val="single" w:sz="4" w:space="0" w:color="FFFFFF"/>
          <w:insideH w:val="single" w:sz="4" w:space="0" w:color="FFFFFF"/>
        </w:tblBorders>
        <w:shd w:val="clear" w:color="auto" w:fill="F2F2F2" w:themeFill="background1" w:themeFillShade="F2"/>
        <w:tblLook w:val="00A0" w:firstRow="1" w:lastRow="0" w:firstColumn="1" w:lastColumn="0" w:noHBand="0" w:noVBand="0"/>
      </w:tblPr>
      <w:tblGrid>
        <w:gridCol w:w="5202"/>
        <w:gridCol w:w="2126"/>
        <w:gridCol w:w="1928"/>
      </w:tblGrid>
      <w:tr w:rsidR="009C0598" w:rsidRPr="009C0598" w14:paraId="78201277" w14:textId="77777777" w:rsidTr="00E90F60">
        <w:trPr>
          <w:tblHeader/>
        </w:trPr>
        <w:tc>
          <w:tcPr>
            <w:tcW w:w="5202" w:type="dxa"/>
            <w:shd w:val="clear" w:color="auto" w:fill="F2F2F2" w:themeFill="background1" w:themeFillShade="F2"/>
          </w:tcPr>
          <w:p w14:paraId="5869CEC6" w14:textId="77777777" w:rsidR="000D0F65" w:rsidRPr="009C0598" w:rsidRDefault="000D0F65" w:rsidP="00F77136">
            <w:pPr>
              <w:keepNext/>
              <w:spacing w:before="40" w:after="40"/>
              <w:rPr>
                <w:b/>
                <w:color w:val="000000" w:themeColor="text1"/>
                <w:sz w:val="16"/>
              </w:rPr>
            </w:pPr>
            <w:r w:rsidRPr="009C0598">
              <w:rPr>
                <w:b/>
                <w:color w:val="000000" w:themeColor="text1"/>
                <w:sz w:val="16"/>
              </w:rPr>
              <w:t>Outcome</w:t>
            </w:r>
          </w:p>
        </w:tc>
        <w:tc>
          <w:tcPr>
            <w:tcW w:w="2126" w:type="dxa"/>
            <w:shd w:val="clear" w:color="auto" w:fill="F2F2F2" w:themeFill="background1" w:themeFillShade="F2"/>
          </w:tcPr>
          <w:p w14:paraId="6E2E6FB2" w14:textId="77777777" w:rsidR="000D0F65" w:rsidRPr="009C0598" w:rsidRDefault="000D0F65" w:rsidP="00F77136">
            <w:pPr>
              <w:keepNext/>
              <w:spacing w:before="40" w:after="40"/>
              <w:jc w:val="center"/>
              <w:rPr>
                <w:b/>
                <w:color w:val="000000" w:themeColor="text1"/>
                <w:sz w:val="16"/>
              </w:rPr>
            </w:pPr>
            <w:r w:rsidRPr="009C0598">
              <w:rPr>
                <w:b/>
                <w:color w:val="000000" w:themeColor="text1"/>
                <w:sz w:val="16"/>
              </w:rPr>
              <w:t>Importance</w:t>
            </w:r>
          </w:p>
        </w:tc>
        <w:tc>
          <w:tcPr>
            <w:tcW w:w="1928" w:type="dxa"/>
            <w:shd w:val="clear" w:color="auto" w:fill="F2F2F2" w:themeFill="background1" w:themeFillShade="F2"/>
          </w:tcPr>
          <w:p w14:paraId="068003D7" w14:textId="77777777" w:rsidR="000D0F65" w:rsidRPr="009C0598" w:rsidRDefault="000D0F65" w:rsidP="00F77136">
            <w:pPr>
              <w:keepNext/>
              <w:spacing w:before="40" w:after="40"/>
              <w:jc w:val="center"/>
              <w:rPr>
                <w:b/>
                <w:color w:val="000000" w:themeColor="text1"/>
                <w:sz w:val="16"/>
              </w:rPr>
            </w:pPr>
            <w:r w:rsidRPr="009C0598">
              <w:rPr>
                <w:b/>
                <w:color w:val="000000" w:themeColor="text1"/>
                <w:sz w:val="16"/>
              </w:rPr>
              <w:t>Inclusion</w:t>
            </w:r>
          </w:p>
        </w:tc>
      </w:tr>
      <w:tr w:rsidR="00785C5B" w:rsidRPr="00464CE0" w14:paraId="2AA229EA" w14:textId="77777777" w:rsidTr="00785C5B">
        <w:tc>
          <w:tcPr>
            <w:tcW w:w="5202" w:type="dxa"/>
            <w:shd w:val="clear" w:color="auto" w:fill="F2F2F2" w:themeFill="background1" w:themeFillShade="F2"/>
          </w:tcPr>
          <w:p w14:paraId="79B2AA5F" w14:textId="77777777" w:rsidR="00785C5B" w:rsidRDefault="00785C5B" w:rsidP="00785C5B">
            <w:pPr>
              <w:keepNext/>
              <w:spacing w:before="40" w:after="40"/>
              <w:rPr>
                <w:sz w:val="16"/>
                <w:szCs w:val="16"/>
              </w:rPr>
            </w:pPr>
            <w:r>
              <w:rPr>
                <w:sz w:val="16"/>
                <w:szCs w:val="16"/>
              </w:rPr>
              <w:t>Preterm birth</w:t>
            </w:r>
          </w:p>
        </w:tc>
        <w:tc>
          <w:tcPr>
            <w:tcW w:w="2126" w:type="dxa"/>
            <w:shd w:val="clear" w:color="auto" w:fill="F2F2F2" w:themeFill="background1" w:themeFillShade="F2"/>
          </w:tcPr>
          <w:p w14:paraId="563F0AA0" w14:textId="46998C6B" w:rsidR="00785C5B" w:rsidRDefault="007110D4" w:rsidP="00785C5B">
            <w:pPr>
              <w:keepNext/>
              <w:spacing w:before="40" w:after="40"/>
              <w:jc w:val="center"/>
              <w:rPr>
                <w:sz w:val="16"/>
              </w:rPr>
            </w:pPr>
            <w:r>
              <w:rPr>
                <w:sz w:val="16"/>
              </w:rPr>
              <w:t>9</w:t>
            </w:r>
          </w:p>
        </w:tc>
        <w:tc>
          <w:tcPr>
            <w:tcW w:w="1928" w:type="dxa"/>
            <w:shd w:val="clear" w:color="auto" w:fill="F2F2F2" w:themeFill="background1" w:themeFillShade="F2"/>
          </w:tcPr>
          <w:p w14:paraId="4B878FBD" w14:textId="7C786BED" w:rsidR="00785C5B" w:rsidRPr="00941AA8" w:rsidRDefault="007110D4" w:rsidP="00785C5B">
            <w:pPr>
              <w:keepNext/>
              <w:spacing w:before="40" w:after="40"/>
              <w:jc w:val="center"/>
              <w:rPr>
                <w:sz w:val="16"/>
              </w:rPr>
            </w:pPr>
            <w:r w:rsidRPr="00941AA8">
              <w:rPr>
                <w:sz w:val="16"/>
              </w:rPr>
              <w:sym w:font="Wingdings 2" w:char="F052"/>
            </w:r>
          </w:p>
        </w:tc>
      </w:tr>
      <w:tr w:rsidR="008165E7" w:rsidRPr="00464CE0" w14:paraId="3A0B4085" w14:textId="77777777" w:rsidTr="00785C5B">
        <w:tc>
          <w:tcPr>
            <w:tcW w:w="5202" w:type="dxa"/>
            <w:shd w:val="clear" w:color="auto" w:fill="F2F2F2" w:themeFill="background1" w:themeFillShade="F2"/>
          </w:tcPr>
          <w:p w14:paraId="5C6A8DFF" w14:textId="27B837A9" w:rsidR="008165E7" w:rsidRDefault="002B4AA3" w:rsidP="00785C5B">
            <w:pPr>
              <w:keepNext/>
              <w:spacing w:before="40" w:after="40"/>
              <w:rPr>
                <w:sz w:val="16"/>
                <w:szCs w:val="16"/>
              </w:rPr>
            </w:pPr>
            <w:r>
              <w:rPr>
                <w:sz w:val="16"/>
                <w:szCs w:val="16"/>
              </w:rPr>
              <w:t>Low birthweight</w:t>
            </w:r>
          </w:p>
        </w:tc>
        <w:tc>
          <w:tcPr>
            <w:tcW w:w="2126" w:type="dxa"/>
            <w:shd w:val="clear" w:color="auto" w:fill="F2F2F2" w:themeFill="background1" w:themeFillShade="F2"/>
          </w:tcPr>
          <w:p w14:paraId="7ED665B8" w14:textId="0BACCED3" w:rsidR="008165E7" w:rsidRDefault="007110D4" w:rsidP="00785C5B">
            <w:pPr>
              <w:keepNext/>
              <w:spacing w:before="40" w:after="40"/>
              <w:jc w:val="center"/>
              <w:rPr>
                <w:sz w:val="16"/>
              </w:rPr>
            </w:pPr>
            <w:r>
              <w:rPr>
                <w:sz w:val="16"/>
              </w:rPr>
              <w:t>9</w:t>
            </w:r>
          </w:p>
        </w:tc>
        <w:tc>
          <w:tcPr>
            <w:tcW w:w="1928" w:type="dxa"/>
            <w:shd w:val="clear" w:color="auto" w:fill="F2F2F2" w:themeFill="background1" w:themeFillShade="F2"/>
          </w:tcPr>
          <w:p w14:paraId="02094E3E" w14:textId="32D14F98" w:rsidR="008165E7" w:rsidRPr="00941AA8" w:rsidRDefault="007110D4" w:rsidP="00785C5B">
            <w:pPr>
              <w:keepNext/>
              <w:spacing w:before="40" w:after="40"/>
              <w:jc w:val="center"/>
              <w:rPr>
                <w:sz w:val="16"/>
              </w:rPr>
            </w:pPr>
            <w:r w:rsidRPr="00941AA8">
              <w:rPr>
                <w:sz w:val="16"/>
              </w:rPr>
              <w:sym w:font="Wingdings 2" w:char="F052"/>
            </w:r>
          </w:p>
        </w:tc>
      </w:tr>
      <w:tr w:rsidR="002B4AA3" w:rsidRPr="00464CE0" w14:paraId="69449CC6" w14:textId="77777777" w:rsidTr="00785C5B">
        <w:tc>
          <w:tcPr>
            <w:tcW w:w="5202" w:type="dxa"/>
            <w:shd w:val="clear" w:color="auto" w:fill="F2F2F2" w:themeFill="background1" w:themeFillShade="F2"/>
          </w:tcPr>
          <w:p w14:paraId="18598385" w14:textId="083F36F1" w:rsidR="002B4AA3" w:rsidRDefault="002B4AA3" w:rsidP="00785C5B">
            <w:pPr>
              <w:keepNext/>
              <w:spacing w:before="40" w:after="40"/>
              <w:rPr>
                <w:sz w:val="16"/>
                <w:szCs w:val="16"/>
              </w:rPr>
            </w:pPr>
            <w:r>
              <w:rPr>
                <w:sz w:val="16"/>
                <w:szCs w:val="16"/>
              </w:rPr>
              <w:t>Macrosomia</w:t>
            </w:r>
          </w:p>
        </w:tc>
        <w:tc>
          <w:tcPr>
            <w:tcW w:w="2126" w:type="dxa"/>
            <w:shd w:val="clear" w:color="auto" w:fill="F2F2F2" w:themeFill="background1" w:themeFillShade="F2"/>
          </w:tcPr>
          <w:p w14:paraId="3D17532B" w14:textId="7F8721FB" w:rsidR="002B4AA3" w:rsidRDefault="007110D4" w:rsidP="00785C5B">
            <w:pPr>
              <w:keepNext/>
              <w:spacing w:before="40" w:after="40"/>
              <w:jc w:val="center"/>
              <w:rPr>
                <w:sz w:val="16"/>
              </w:rPr>
            </w:pPr>
            <w:r>
              <w:rPr>
                <w:sz w:val="16"/>
              </w:rPr>
              <w:t>9</w:t>
            </w:r>
          </w:p>
        </w:tc>
        <w:tc>
          <w:tcPr>
            <w:tcW w:w="1928" w:type="dxa"/>
            <w:shd w:val="clear" w:color="auto" w:fill="F2F2F2" w:themeFill="background1" w:themeFillShade="F2"/>
          </w:tcPr>
          <w:p w14:paraId="42DE67E5" w14:textId="22E754A9" w:rsidR="002B4AA3" w:rsidRPr="00941AA8" w:rsidRDefault="007110D4" w:rsidP="00785C5B">
            <w:pPr>
              <w:keepNext/>
              <w:spacing w:before="40" w:after="40"/>
              <w:jc w:val="center"/>
              <w:rPr>
                <w:sz w:val="16"/>
              </w:rPr>
            </w:pPr>
            <w:r w:rsidRPr="00941AA8">
              <w:rPr>
                <w:sz w:val="16"/>
              </w:rPr>
              <w:sym w:font="Wingdings 2" w:char="F052"/>
            </w:r>
          </w:p>
        </w:tc>
      </w:tr>
      <w:tr w:rsidR="00785C5B" w:rsidRPr="00464CE0" w14:paraId="72B1767C" w14:textId="77777777" w:rsidTr="00785C5B">
        <w:tc>
          <w:tcPr>
            <w:tcW w:w="5202" w:type="dxa"/>
            <w:shd w:val="clear" w:color="auto" w:fill="F2F2F2" w:themeFill="background1" w:themeFillShade="F2"/>
          </w:tcPr>
          <w:p w14:paraId="2A2ED132" w14:textId="7C2B7B50" w:rsidR="00785C5B" w:rsidRDefault="00785C5B" w:rsidP="002B4AA3">
            <w:pPr>
              <w:keepNext/>
              <w:spacing w:before="40" w:after="40"/>
              <w:rPr>
                <w:sz w:val="16"/>
                <w:szCs w:val="16"/>
              </w:rPr>
            </w:pPr>
            <w:r>
              <w:rPr>
                <w:sz w:val="16"/>
                <w:szCs w:val="16"/>
              </w:rPr>
              <w:t>Large for gestational age</w:t>
            </w:r>
          </w:p>
        </w:tc>
        <w:tc>
          <w:tcPr>
            <w:tcW w:w="2126" w:type="dxa"/>
            <w:shd w:val="clear" w:color="auto" w:fill="F2F2F2" w:themeFill="background1" w:themeFillShade="F2"/>
          </w:tcPr>
          <w:p w14:paraId="611C472D" w14:textId="7E2F9643" w:rsidR="00785C5B" w:rsidRDefault="007110D4" w:rsidP="00785C5B">
            <w:pPr>
              <w:keepNext/>
              <w:spacing w:before="40" w:after="40"/>
              <w:jc w:val="center"/>
              <w:rPr>
                <w:sz w:val="16"/>
              </w:rPr>
            </w:pPr>
            <w:r>
              <w:rPr>
                <w:sz w:val="16"/>
              </w:rPr>
              <w:t>9</w:t>
            </w:r>
          </w:p>
        </w:tc>
        <w:tc>
          <w:tcPr>
            <w:tcW w:w="1928" w:type="dxa"/>
            <w:shd w:val="clear" w:color="auto" w:fill="F2F2F2" w:themeFill="background1" w:themeFillShade="F2"/>
          </w:tcPr>
          <w:p w14:paraId="14E3654A" w14:textId="1FA79417" w:rsidR="00785C5B" w:rsidRPr="00941AA8" w:rsidRDefault="007110D4" w:rsidP="00785C5B">
            <w:pPr>
              <w:keepNext/>
              <w:spacing w:before="40" w:after="40"/>
              <w:jc w:val="center"/>
              <w:rPr>
                <w:sz w:val="16"/>
              </w:rPr>
            </w:pPr>
            <w:r w:rsidRPr="00941AA8">
              <w:rPr>
                <w:sz w:val="16"/>
              </w:rPr>
              <w:sym w:font="Wingdings 2" w:char="F052"/>
            </w:r>
          </w:p>
        </w:tc>
      </w:tr>
      <w:tr w:rsidR="00785C5B" w:rsidRPr="00464CE0" w14:paraId="24CBC3B7" w14:textId="77777777" w:rsidTr="00785C5B">
        <w:tc>
          <w:tcPr>
            <w:tcW w:w="5202" w:type="dxa"/>
            <w:shd w:val="clear" w:color="auto" w:fill="F2F2F2" w:themeFill="background1" w:themeFillShade="F2"/>
          </w:tcPr>
          <w:p w14:paraId="1D1B7281" w14:textId="2B269C02" w:rsidR="00785C5B" w:rsidRDefault="00785C5B" w:rsidP="002B4AA3">
            <w:pPr>
              <w:keepNext/>
              <w:spacing w:before="40" w:after="40"/>
              <w:rPr>
                <w:sz w:val="16"/>
                <w:szCs w:val="16"/>
              </w:rPr>
            </w:pPr>
            <w:r>
              <w:rPr>
                <w:sz w:val="16"/>
                <w:szCs w:val="16"/>
              </w:rPr>
              <w:t>Small for gestational age</w:t>
            </w:r>
          </w:p>
        </w:tc>
        <w:tc>
          <w:tcPr>
            <w:tcW w:w="2126" w:type="dxa"/>
            <w:shd w:val="clear" w:color="auto" w:fill="F2F2F2" w:themeFill="background1" w:themeFillShade="F2"/>
          </w:tcPr>
          <w:p w14:paraId="4104714A" w14:textId="02A480C1" w:rsidR="00785C5B" w:rsidRDefault="007110D4" w:rsidP="00785C5B">
            <w:pPr>
              <w:keepNext/>
              <w:spacing w:before="40" w:after="40"/>
              <w:jc w:val="center"/>
              <w:rPr>
                <w:sz w:val="16"/>
              </w:rPr>
            </w:pPr>
            <w:r>
              <w:rPr>
                <w:sz w:val="16"/>
              </w:rPr>
              <w:t>9</w:t>
            </w:r>
          </w:p>
        </w:tc>
        <w:tc>
          <w:tcPr>
            <w:tcW w:w="1928" w:type="dxa"/>
            <w:shd w:val="clear" w:color="auto" w:fill="F2F2F2" w:themeFill="background1" w:themeFillShade="F2"/>
          </w:tcPr>
          <w:p w14:paraId="627B0716" w14:textId="7AE8EEC6" w:rsidR="00785C5B" w:rsidRPr="00941AA8" w:rsidRDefault="007110D4" w:rsidP="00785C5B">
            <w:pPr>
              <w:keepNext/>
              <w:spacing w:before="40" w:after="40"/>
              <w:jc w:val="center"/>
              <w:rPr>
                <w:sz w:val="16"/>
              </w:rPr>
            </w:pPr>
            <w:r w:rsidRPr="00941AA8">
              <w:rPr>
                <w:sz w:val="16"/>
              </w:rPr>
              <w:sym w:font="Wingdings 2" w:char="F052"/>
            </w:r>
          </w:p>
        </w:tc>
      </w:tr>
      <w:tr w:rsidR="004D49E0" w:rsidRPr="00464CE0" w14:paraId="279085F0" w14:textId="77777777" w:rsidTr="000E72DF">
        <w:tc>
          <w:tcPr>
            <w:tcW w:w="5202" w:type="dxa"/>
            <w:tcBorders>
              <w:bottom w:val="single" w:sz="4" w:space="0" w:color="FFFFFF"/>
            </w:tcBorders>
            <w:shd w:val="clear" w:color="auto" w:fill="F2F2F2" w:themeFill="background1" w:themeFillShade="F2"/>
          </w:tcPr>
          <w:p w14:paraId="5146BD55" w14:textId="51F70BD8" w:rsidR="004D49E0" w:rsidRDefault="004D49E0" w:rsidP="00785C5B">
            <w:pPr>
              <w:keepNext/>
              <w:spacing w:before="40" w:after="40"/>
              <w:rPr>
                <w:sz w:val="16"/>
                <w:szCs w:val="16"/>
              </w:rPr>
            </w:pPr>
            <w:r>
              <w:rPr>
                <w:sz w:val="16"/>
                <w:szCs w:val="16"/>
              </w:rPr>
              <w:t xml:space="preserve">Apgar score </w:t>
            </w:r>
            <w:r w:rsidR="002B4AA3">
              <w:rPr>
                <w:sz w:val="16"/>
                <w:szCs w:val="16"/>
              </w:rPr>
              <w:t xml:space="preserve">&lt;7 </w:t>
            </w:r>
            <w:r>
              <w:rPr>
                <w:sz w:val="16"/>
                <w:szCs w:val="16"/>
              </w:rPr>
              <w:t>at 5 minutes</w:t>
            </w:r>
          </w:p>
        </w:tc>
        <w:tc>
          <w:tcPr>
            <w:tcW w:w="2126" w:type="dxa"/>
            <w:tcBorders>
              <w:bottom w:val="single" w:sz="4" w:space="0" w:color="FFFFFF"/>
            </w:tcBorders>
            <w:shd w:val="clear" w:color="auto" w:fill="F2F2F2" w:themeFill="background1" w:themeFillShade="F2"/>
          </w:tcPr>
          <w:p w14:paraId="21DA415E" w14:textId="7BEC1BB0" w:rsidR="004D49E0" w:rsidRDefault="007110D4" w:rsidP="00785C5B">
            <w:pPr>
              <w:keepNext/>
              <w:spacing w:before="40" w:after="40"/>
              <w:jc w:val="center"/>
              <w:rPr>
                <w:sz w:val="16"/>
              </w:rPr>
            </w:pPr>
            <w:r>
              <w:rPr>
                <w:sz w:val="16"/>
              </w:rPr>
              <w:t>7</w:t>
            </w:r>
          </w:p>
        </w:tc>
        <w:tc>
          <w:tcPr>
            <w:tcW w:w="1928" w:type="dxa"/>
            <w:tcBorders>
              <w:bottom w:val="single" w:sz="4" w:space="0" w:color="FFFFFF"/>
            </w:tcBorders>
            <w:shd w:val="clear" w:color="auto" w:fill="F2F2F2" w:themeFill="background1" w:themeFillShade="F2"/>
          </w:tcPr>
          <w:p w14:paraId="4D0A84AC" w14:textId="551D1984" w:rsidR="004D49E0" w:rsidRPr="00941AA8" w:rsidRDefault="007110D4" w:rsidP="00785C5B">
            <w:pPr>
              <w:keepNext/>
              <w:spacing w:before="40" w:after="40"/>
              <w:jc w:val="center"/>
              <w:rPr>
                <w:sz w:val="16"/>
              </w:rPr>
            </w:pPr>
            <w:r w:rsidRPr="00941AA8">
              <w:rPr>
                <w:sz w:val="16"/>
              </w:rPr>
              <w:sym w:font="Wingdings 2" w:char="F052"/>
            </w:r>
          </w:p>
        </w:tc>
      </w:tr>
      <w:tr w:rsidR="00703D8F" w:rsidRPr="00464CE0" w14:paraId="16940B75" w14:textId="77777777" w:rsidTr="000E72DF">
        <w:tc>
          <w:tcPr>
            <w:tcW w:w="5202" w:type="dxa"/>
            <w:tcBorders>
              <w:top w:val="single" w:sz="4" w:space="0" w:color="FFFFFF"/>
              <w:bottom w:val="single" w:sz="4" w:space="0" w:color="FFFFFF"/>
              <w:right w:val="nil"/>
            </w:tcBorders>
            <w:shd w:val="clear" w:color="auto" w:fill="F2F2F2" w:themeFill="background1" w:themeFillShade="F2"/>
          </w:tcPr>
          <w:p w14:paraId="610D51FD" w14:textId="6769693C" w:rsidR="00703D8F" w:rsidRDefault="002B4AA3" w:rsidP="005279C0">
            <w:pPr>
              <w:keepNext/>
              <w:spacing w:before="40" w:after="40"/>
              <w:rPr>
                <w:sz w:val="16"/>
                <w:szCs w:val="16"/>
              </w:rPr>
            </w:pPr>
            <w:r>
              <w:rPr>
                <w:sz w:val="16"/>
                <w:szCs w:val="16"/>
              </w:rPr>
              <w:t>Early c</w:t>
            </w:r>
            <w:r w:rsidR="00703D8F">
              <w:rPr>
                <w:sz w:val="16"/>
                <w:szCs w:val="16"/>
              </w:rPr>
              <w:t>hildhood weight</w:t>
            </w:r>
          </w:p>
        </w:tc>
        <w:tc>
          <w:tcPr>
            <w:tcW w:w="2126" w:type="dxa"/>
            <w:tcBorders>
              <w:top w:val="single" w:sz="4" w:space="0" w:color="FFFFFF"/>
              <w:left w:val="nil"/>
              <w:bottom w:val="single" w:sz="4" w:space="0" w:color="FFFFFF"/>
              <w:right w:val="nil"/>
            </w:tcBorders>
            <w:shd w:val="clear" w:color="auto" w:fill="F2F2F2" w:themeFill="background1" w:themeFillShade="F2"/>
          </w:tcPr>
          <w:p w14:paraId="570F37B7" w14:textId="2BEF3C42" w:rsidR="00703D8F" w:rsidRDefault="007110D4" w:rsidP="005279C0">
            <w:pPr>
              <w:keepNext/>
              <w:spacing w:before="40" w:after="40"/>
              <w:jc w:val="center"/>
              <w:rPr>
                <w:sz w:val="16"/>
              </w:rPr>
            </w:pPr>
            <w:r>
              <w:rPr>
                <w:sz w:val="16"/>
              </w:rPr>
              <w:t>5</w:t>
            </w:r>
          </w:p>
        </w:tc>
        <w:tc>
          <w:tcPr>
            <w:tcW w:w="1928" w:type="dxa"/>
            <w:tcBorders>
              <w:top w:val="single" w:sz="4" w:space="0" w:color="FFFFFF"/>
              <w:left w:val="nil"/>
              <w:bottom w:val="single" w:sz="4" w:space="0" w:color="FFFFFF"/>
            </w:tcBorders>
            <w:shd w:val="clear" w:color="auto" w:fill="F2F2F2" w:themeFill="background1" w:themeFillShade="F2"/>
          </w:tcPr>
          <w:p w14:paraId="7DD95B64" w14:textId="5868B2E5" w:rsidR="00703D8F" w:rsidRPr="00941AA8" w:rsidRDefault="007110D4" w:rsidP="005279C0">
            <w:pPr>
              <w:keepNext/>
              <w:spacing w:before="40" w:after="40"/>
              <w:jc w:val="center"/>
              <w:rPr>
                <w:sz w:val="16"/>
              </w:rPr>
            </w:pPr>
            <w:r w:rsidRPr="00941AA8">
              <w:rPr>
                <w:sz w:val="16"/>
              </w:rPr>
              <w:sym w:font="Wingdings 2" w:char="F052"/>
            </w:r>
          </w:p>
        </w:tc>
      </w:tr>
    </w:tbl>
    <w:p w14:paraId="05F7BA97" w14:textId="38200C76" w:rsidR="000D0F65" w:rsidRPr="000D4333" w:rsidRDefault="00785C5B" w:rsidP="000D0F65">
      <w:pPr>
        <w:rPr>
          <w:lang w:val="en-US" w:eastAsia="en-AU"/>
        </w:rPr>
      </w:pPr>
      <w:r w:rsidRPr="00975703">
        <w:rPr>
          <w:b/>
          <w:sz w:val="16"/>
        </w:rPr>
        <w:t xml:space="preserve"> </w:t>
      </w:r>
      <w:r w:rsidR="000D0F65" w:rsidRPr="00975703">
        <w:rPr>
          <w:b/>
          <w:sz w:val="16"/>
        </w:rPr>
        <w:t>Key</w:t>
      </w:r>
      <w:r w:rsidR="000D0F65">
        <w:rPr>
          <w:sz w:val="16"/>
        </w:rPr>
        <w:t>:</w:t>
      </w:r>
      <w:r w:rsidR="000D0F65">
        <w:rPr>
          <w:sz w:val="16"/>
        </w:rPr>
        <w:tab/>
      </w:r>
      <w:r w:rsidR="000D0F65" w:rsidRPr="00975703">
        <w:rPr>
          <w:sz w:val="16"/>
        </w:rPr>
        <w:t>1 – 3 less important; 4 – 6 important but not critical for making a decision; 7 – 9 critical for making a decision</w:t>
      </w:r>
    </w:p>
    <w:p w14:paraId="0BBDE9EE" w14:textId="202DEDBF" w:rsidR="00016434" w:rsidRDefault="00016434" w:rsidP="00026031">
      <w:pPr>
        <w:pStyle w:val="Heading2"/>
        <w:rPr>
          <w:lang w:val="en-AU"/>
        </w:rPr>
      </w:pPr>
      <w:bookmarkStart w:id="13" w:name="_Toc40956467"/>
      <w:bookmarkStart w:id="14" w:name="_Toc490581389"/>
      <w:r>
        <w:rPr>
          <w:lang w:val="en-AU"/>
        </w:rPr>
        <w:t>Quality assessment</w:t>
      </w:r>
      <w:bookmarkEnd w:id="13"/>
    </w:p>
    <w:p w14:paraId="0FC41659" w14:textId="77777777" w:rsidR="006F2932" w:rsidRPr="006F2932" w:rsidRDefault="006F2932" w:rsidP="00026031">
      <w:pPr>
        <w:keepNext/>
        <w:rPr>
          <w:lang w:val="en-AU"/>
        </w:rPr>
      </w:pPr>
      <w:r>
        <w:rPr>
          <w:lang w:val="en-AU"/>
        </w:rPr>
        <w:t xml:space="preserve">Quality of included studies was assessed using </w:t>
      </w:r>
      <w:r>
        <w:t>adapted NHMRC criteria for quality assessment of systematic reviews and GRADE criteria for quality assessment of randomised controlled trials and observational studies.</w:t>
      </w:r>
    </w:p>
    <w:p w14:paraId="709A015C" w14:textId="77777777" w:rsidR="006F2932" w:rsidRPr="00CC52F7" w:rsidRDefault="006F2932" w:rsidP="00932C6D">
      <w:pPr>
        <w:pStyle w:val="TableName"/>
      </w:pPr>
      <w:bookmarkStart w:id="15" w:name="_Toc40956586"/>
      <w:r>
        <w:t>Assessment of quality of systematic literature reviews</w:t>
      </w:r>
      <w:bookmarkEnd w:id="15"/>
      <w:r>
        <w:t xml:space="preserve"> </w:t>
      </w:r>
    </w:p>
    <w:tbl>
      <w:tblPr>
        <w:tblStyle w:val="TableGrid"/>
        <w:tblW w:w="9214" w:type="dxa"/>
        <w:tblInd w:w="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Caption w:val="Table 8: Assessment of quality of systematic literature reviews "/>
      </w:tblPr>
      <w:tblGrid>
        <w:gridCol w:w="9214"/>
      </w:tblGrid>
      <w:tr w:rsidR="009C0598" w:rsidRPr="00B44E9F" w14:paraId="4951EECE" w14:textId="77777777" w:rsidTr="009C0598">
        <w:tc>
          <w:tcPr>
            <w:tcW w:w="9214" w:type="dxa"/>
            <w:shd w:val="clear" w:color="auto" w:fill="EDEDED" w:themeFill="accent3" w:themeFillTint="33"/>
          </w:tcPr>
          <w:p w14:paraId="5F332CFE" w14:textId="77777777" w:rsidR="006F2932" w:rsidRPr="00B44E9F" w:rsidRDefault="006F2932" w:rsidP="00026031">
            <w:pPr>
              <w:pStyle w:val="Tablecell"/>
              <w:keepNext/>
              <w:rPr>
                <w:b/>
                <w:sz w:val="16"/>
                <w:szCs w:val="16"/>
              </w:rPr>
            </w:pPr>
            <w:r w:rsidRPr="00B44E9F">
              <w:rPr>
                <w:b/>
                <w:sz w:val="16"/>
                <w:szCs w:val="16"/>
              </w:rPr>
              <w:t>Considerations in assessing quality of systematic reviews</w:t>
            </w:r>
          </w:p>
        </w:tc>
      </w:tr>
      <w:tr w:rsidR="009C0598" w:rsidRPr="00E705BC" w14:paraId="16909DF7" w14:textId="77777777" w:rsidTr="009C0598">
        <w:tc>
          <w:tcPr>
            <w:tcW w:w="9214" w:type="dxa"/>
            <w:shd w:val="clear" w:color="auto" w:fill="EDEDED" w:themeFill="accent3" w:themeFillTint="33"/>
          </w:tcPr>
          <w:p w14:paraId="67432934" w14:textId="77777777" w:rsidR="006F2932" w:rsidRPr="00EA4665" w:rsidRDefault="006F2932" w:rsidP="00026031">
            <w:pPr>
              <w:pStyle w:val="Tablecell"/>
              <w:keepNext/>
              <w:rPr>
                <w:sz w:val="16"/>
                <w:szCs w:val="16"/>
              </w:rPr>
            </w:pPr>
            <w:r w:rsidRPr="00EA4665">
              <w:rPr>
                <w:sz w:val="16"/>
                <w:szCs w:val="16"/>
              </w:rPr>
              <w:t>Questions and methods clearly stated</w:t>
            </w:r>
          </w:p>
        </w:tc>
      </w:tr>
      <w:tr w:rsidR="009C0598" w:rsidRPr="00E705BC" w14:paraId="7AC86E2D" w14:textId="77777777" w:rsidTr="009C0598">
        <w:tc>
          <w:tcPr>
            <w:tcW w:w="9214" w:type="dxa"/>
            <w:shd w:val="clear" w:color="auto" w:fill="EDEDED" w:themeFill="accent3" w:themeFillTint="33"/>
          </w:tcPr>
          <w:p w14:paraId="4508B9B0" w14:textId="77777777" w:rsidR="006F2932" w:rsidRPr="00EA4665" w:rsidRDefault="006F2932" w:rsidP="00026031">
            <w:pPr>
              <w:pStyle w:val="Tablecell"/>
              <w:keepNext/>
              <w:rPr>
                <w:sz w:val="16"/>
                <w:szCs w:val="16"/>
              </w:rPr>
            </w:pPr>
            <w:r w:rsidRPr="00EA4665">
              <w:rPr>
                <w:sz w:val="16"/>
                <w:szCs w:val="16"/>
              </w:rPr>
              <w:t>Search procedure sufficiently rigorous to identify all relevant studies</w:t>
            </w:r>
          </w:p>
        </w:tc>
      </w:tr>
      <w:tr w:rsidR="009C0598" w:rsidRPr="00E705BC" w14:paraId="4E422325" w14:textId="77777777" w:rsidTr="009C0598">
        <w:tc>
          <w:tcPr>
            <w:tcW w:w="9214" w:type="dxa"/>
            <w:shd w:val="clear" w:color="auto" w:fill="EDEDED" w:themeFill="accent3" w:themeFillTint="33"/>
          </w:tcPr>
          <w:p w14:paraId="76379AFF" w14:textId="77777777" w:rsidR="006F2932" w:rsidRPr="00EA4665" w:rsidRDefault="006F2932" w:rsidP="00026031">
            <w:pPr>
              <w:pStyle w:val="Tablecell"/>
              <w:keepNext/>
              <w:rPr>
                <w:sz w:val="16"/>
                <w:szCs w:val="16"/>
              </w:rPr>
            </w:pPr>
            <w:r w:rsidRPr="00EA4665">
              <w:rPr>
                <w:sz w:val="16"/>
                <w:szCs w:val="16"/>
              </w:rPr>
              <w:t>Review includes all the potential benefits and harms of the intervention</w:t>
            </w:r>
          </w:p>
        </w:tc>
      </w:tr>
      <w:tr w:rsidR="009C0598" w:rsidRPr="00E705BC" w14:paraId="0E71C8DE" w14:textId="77777777" w:rsidTr="009C0598">
        <w:tc>
          <w:tcPr>
            <w:tcW w:w="9214" w:type="dxa"/>
            <w:shd w:val="clear" w:color="auto" w:fill="EDEDED" w:themeFill="accent3" w:themeFillTint="33"/>
          </w:tcPr>
          <w:p w14:paraId="5A4B1BAE" w14:textId="77777777" w:rsidR="006F2932" w:rsidRPr="00EA4665" w:rsidRDefault="006F2932" w:rsidP="00026031">
            <w:pPr>
              <w:pStyle w:val="Tablecell"/>
              <w:keepNext/>
              <w:rPr>
                <w:sz w:val="16"/>
                <w:szCs w:val="16"/>
              </w:rPr>
            </w:pPr>
            <w:r w:rsidRPr="00EA4665">
              <w:rPr>
                <w:sz w:val="16"/>
                <w:szCs w:val="16"/>
              </w:rPr>
              <w:t>Review only includes randomised controlled trials</w:t>
            </w:r>
          </w:p>
        </w:tc>
      </w:tr>
      <w:tr w:rsidR="009C0598" w:rsidRPr="00E705BC" w14:paraId="5CB28762" w14:textId="77777777" w:rsidTr="009C0598">
        <w:tc>
          <w:tcPr>
            <w:tcW w:w="9214" w:type="dxa"/>
            <w:shd w:val="clear" w:color="auto" w:fill="EDEDED" w:themeFill="accent3" w:themeFillTint="33"/>
          </w:tcPr>
          <w:p w14:paraId="3E339A48" w14:textId="77777777" w:rsidR="006F2932" w:rsidRPr="00EA4665" w:rsidRDefault="006F2932" w:rsidP="00026031">
            <w:pPr>
              <w:pStyle w:val="Tablecell"/>
              <w:keepNext/>
              <w:rPr>
                <w:sz w:val="16"/>
                <w:szCs w:val="16"/>
              </w:rPr>
            </w:pPr>
            <w:r w:rsidRPr="00EA4665">
              <w:rPr>
                <w:sz w:val="16"/>
                <w:szCs w:val="16"/>
              </w:rPr>
              <w:t>Methodological quality of primary studies assessed</w:t>
            </w:r>
          </w:p>
        </w:tc>
      </w:tr>
      <w:tr w:rsidR="009C0598" w:rsidRPr="00E705BC" w14:paraId="5B67EC68" w14:textId="77777777" w:rsidTr="009C0598">
        <w:tc>
          <w:tcPr>
            <w:tcW w:w="9214" w:type="dxa"/>
            <w:shd w:val="clear" w:color="auto" w:fill="EDEDED" w:themeFill="accent3" w:themeFillTint="33"/>
          </w:tcPr>
          <w:p w14:paraId="4800A287" w14:textId="77777777" w:rsidR="006F2932" w:rsidRPr="00EA4665" w:rsidRDefault="006F2932" w:rsidP="00026031">
            <w:pPr>
              <w:pStyle w:val="Tablecell"/>
              <w:keepNext/>
              <w:rPr>
                <w:sz w:val="16"/>
                <w:szCs w:val="16"/>
              </w:rPr>
            </w:pPr>
            <w:r w:rsidRPr="00EA4665">
              <w:rPr>
                <w:sz w:val="16"/>
                <w:szCs w:val="16"/>
              </w:rPr>
              <w:t>Data summarised to give a point estimate of effect and confidence intervals</w:t>
            </w:r>
          </w:p>
        </w:tc>
      </w:tr>
      <w:tr w:rsidR="009C0598" w:rsidRPr="00E705BC" w14:paraId="43564FED" w14:textId="77777777" w:rsidTr="009C0598">
        <w:tc>
          <w:tcPr>
            <w:tcW w:w="9214" w:type="dxa"/>
            <w:shd w:val="clear" w:color="auto" w:fill="EDEDED" w:themeFill="accent3" w:themeFillTint="33"/>
          </w:tcPr>
          <w:p w14:paraId="3CE54A0B" w14:textId="77777777" w:rsidR="006F2932" w:rsidRPr="00EA4665" w:rsidRDefault="006F2932" w:rsidP="005F077D">
            <w:pPr>
              <w:pStyle w:val="Tablecell"/>
              <w:rPr>
                <w:sz w:val="16"/>
                <w:szCs w:val="16"/>
              </w:rPr>
            </w:pPr>
            <w:r w:rsidRPr="00EA4665">
              <w:rPr>
                <w:sz w:val="16"/>
                <w:szCs w:val="16"/>
              </w:rPr>
              <w:t>Differences in individual study results are adequately explained</w:t>
            </w:r>
          </w:p>
        </w:tc>
      </w:tr>
      <w:tr w:rsidR="009C0598" w:rsidRPr="00E705BC" w14:paraId="33CF8008" w14:textId="77777777" w:rsidTr="009C0598">
        <w:tc>
          <w:tcPr>
            <w:tcW w:w="9214" w:type="dxa"/>
            <w:shd w:val="clear" w:color="auto" w:fill="EDEDED" w:themeFill="accent3" w:themeFillTint="33"/>
          </w:tcPr>
          <w:p w14:paraId="61451F52" w14:textId="77777777" w:rsidR="006F2932" w:rsidRPr="00EA4665" w:rsidRDefault="006F2932" w:rsidP="005F077D">
            <w:pPr>
              <w:pStyle w:val="Tablecell"/>
              <w:rPr>
                <w:sz w:val="16"/>
                <w:szCs w:val="16"/>
              </w:rPr>
            </w:pPr>
            <w:r w:rsidRPr="00EA4665">
              <w:rPr>
                <w:sz w:val="16"/>
                <w:szCs w:val="16"/>
              </w:rPr>
              <w:t>Examination of which study population characteristics (disease subtypes, age/sex groups) determine the magnitude of effect of the intervention is included</w:t>
            </w:r>
          </w:p>
        </w:tc>
      </w:tr>
      <w:tr w:rsidR="009C0598" w:rsidRPr="00E705BC" w14:paraId="60CE3738" w14:textId="77777777" w:rsidTr="009C0598">
        <w:tc>
          <w:tcPr>
            <w:tcW w:w="9214" w:type="dxa"/>
            <w:shd w:val="clear" w:color="auto" w:fill="EDEDED" w:themeFill="accent3" w:themeFillTint="33"/>
          </w:tcPr>
          <w:p w14:paraId="3A6F7452" w14:textId="77777777" w:rsidR="006F2932" w:rsidRPr="00EA4665" w:rsidRDefault="006F2932" w:rsidP="005F077D">
            <w:pPr>
              <w:pStyle w:val="Tablecell"/>
              <w:rPr>
                <w:sz w:val="16"/>
                <w:szCs w:val="16"/>
              </w:rPr>
            </w:pPr>
            <w:r w:rsidRPr="00EA4665">
              <w:rPr>
                <w:sz w:val="16"/>
                <w:szCs w:val="16"/>
              </w:rPr>
              <w:t>Reviewers’ conclusions are supported by data cited</w:t>
            </w:r>
          </w:p>
        </w:tc>
      </w:tr>
      <w:tr w:rsidR="009C0598" w:rsidRPr="00E705BC" w14:paraId="628F113A" w14:textId="77777777" w:rsidTr="009C0598">
        <w:tc>
          <w:tcPr>
            <w:tcW w:w="9214" w:type="dxa"/>
            <w:shd w:val="clear" w:color="auto" w:fill="EDEDED" w:themeFill="accent3" w:themeFillTint="33"/>
          </w:tcPr>
          <w:p w14:paraId="6229397B" w14:textId="77777777" w:rsidR="006F2932" w:rsidRPr="00EA4665" w:rsidRDefault="006F2932" w:rsidP="005F077D">
            <w:pPr>
              <w:pStyle w:val="Tablecell"/>
              <w:rPr>
                <w:sz w:val="16"/>
                <w:szCs w:val="16"/>
              </w:rPr>
            </w:pPr>
            <w:r w:rsidRPr="00EA4665">
              <w:rPr>
                <w:sz w:val="16"/>
                <w:szCs w:val="16"/>
              </w:rPr>
              <w:t>Sources of heterogeneity are explored</w:t>
            </w:r>
          </w:p>
        </w:tc>
      </w:tr>
    </w:tbl>
    <w:p w14:paraId="2594CD57" w14:textId="37D379CD" w:rsidR="006F2932" w:rsidRPr="00E026BC" w:rsidRDefault="006F2932" w:rsidP="006F2932">
      <w:pPr>
        <w:pStyle w:val="source"/>
      </w:pPr>
      <w:r w:rsidRPr="0026255A">
        <w:t>Source</w:t>
      </w:r>
      <w:r>
        <w:t>:</w:t>
      </w:r>
      <w:r>
        <w:tab/>
        <w:t>Adapted from</w:t>
      </w:r>
      <w:r w:rsidR="00026031">
        <w:t xml:space="preserve"> NHMRC 2000a; 2000b; SIGN 2004</w:t>
      </w:r>
      <w:r>
        <w:fldChar w:fldCharType="begin"/>
      </w:r>
      <w:r w:rsidR="003E2D58">
        <w:instrText xml:space="preserve"> ADDIN EN.CITE &lt;EndNote&gt;&lt;Cite&gt;&lt;Author&gt;NHMRC&lt;/Author&gt;&lt;Year&gt;2000&lt;/Year&gt;&lt;RecNum&gt;1545&lt;/RecNum&gt;&lt;DisplayText&gt;&lt;style face="superscript" font="Trebuchet MS" size="9"&gt;1-3&lt;/style&gt;&lt;/DisplayText&gt;&lt;record&gt;&lt;rec-number&gt;1545&lt;/rec-number&gt;&lt;foreign-keys&gt;&lt;key app="EN" db-id="r0fwxaz05vavvyexrs5vxa5r2tr0afxwvt2w" timestamp="1491625647"&gt;1545&lt;/key&gt;&lt;/foreign-keys&gt;&lt;ref-type name="Report"&gt;27&lt;/ref-type&gt;&lt;contributors&gt;&lt;authors&gt;&lt;author&gt;NHMRC&lt;/author&gt;&lt;/authors&gt;&lt;/contributors&gt;&lt;titles&gt;&lt;title&gt;How to Review the Evidence: Systematic Identification and Review of the Scientific Literature&lt;/title&gt;&lt;/titles&gt;&lt;dates&gt;&lt;year&gt;2000&lt;/year&gt;&lt;/dates&gt;&lt;pub-location&gt;Canberra&lt;/pub-location&gt;&lt;publisher&gt;National Health and Medical Research Council&lt;/publisher&gt;&lt;urls&gt;&lt;/urls&gt;&lt;/record&gt;&lt;/Cite&gt;&lt;Cite&gt;&lt;Author&gt;NHMRC&lt;/Author&gt;&lt;Year&gt;2000&lt;/Year&gt;&lt;RecNum&gt;1546&lt;/RecNum&gt;&lt;record&gt;&lt;rec-number&gt;1546&lt;/rec-number&gt;&lt;foreign-keys&gt;&lt;key app="EN" db-id="r0fwxaz05vavvyexrs5vxa5r2tr0afxwvt2w" timestamp="1491625700"&gt;1546&lt;/key&gt;&lt;/foreign-keys&gt;&lt;ref-type name="Report"&gt;27&lt;/ref-type&gt;&lt;contributors&gt;&lt;authors&gt;&lt;author&gt;NHMRC&lt;/author&gt;&lt;/authors&gt;&lt;/contributors&gt;&lt;titles&gt;&lt;title&gt;How to use the Evidence: Assessment and Application of Scientific Evidence&lt;/title&gt;&lt;/titles&gt;&lt;dates&gt;&lt;year&gt;2000&lt;/year&gt;&lt;/dates&gt;&lt;pub-location&gt;Canberra&lt;/pub-location&gt;&lt;publisher&gt;National Health and Medical Research Council&lt;/publisher&gt;&lt;urls&gt;&lt;/urls&gt;&lt;/record&gt;&lt;/Cite&gt;&lt;Cite&gt;&lt;Author&gt;SIGN&lt;/Author&gt;&lt;Year&gt;2004&lt;/Year&gt;&lt;RecNum&gt;1547&lt;/RecNum&gt;&lt;record&gt;&lt;rec-number&gt;1547&lt;/rec-number&gt;&lt;foreign-keys&gt;&lt;key app="EN" db-id="r0fwxaz05vavvyexrs5vxa5r2tr0afxwvt2w" timestamp="1491625925"&gt;1547&lt;/key&gt;&lt;/foreign-keys&gt;&lt;ref-type name="Report"&gt;27&lt;/ref-type&gt;&lt;contributors&gt;&lt;authors&gt;&lt;author&gt;SIGN,&lt;/author&gt;&lt;/authors&gt;&lt;/contributors&gt;&lt;titles&gt;&lt;title&gt;Methodology Checklist 1: Systematic Reviews and Meta-analyses&lt;/title&gt;&lt;/titles&gt;&lt;dates&gt;&lt;year&gt;2004&lt;/year&gt;&lt;/dates&gt;&lt;pub-location&gt;Edinburgh&lt;/pub-location&gt;&lt;publisher&gt;Scottish Intercollegiate Guidelines Network&lt;/publisher&gt;&lt;urls&gt;&lt;/urls&gt;&lt;/record&gt;&lt;/Cite&gt;&lt;/EndNote&gt;</w:instrText>
      </w:r>
      <w:r>
        <w:fldChar w:fldCharType="separate"/>
      </w:r>
      <w:r w:rsidR="003E2D58" w:rsidRPr="003E2D58">
        <w:rPr>
          <w:rFonts w:ascii="Trebuchet MS" w:hAnsi="Trebuchet MS"/>
          <w:sz w:val="18"/>
          <w:vertAlign w:val="superscript"/>
        </w:rPr>
        <w:t>1-3</w:t>
      </w:r>
      <w:r>
        <w:fldChar w:fldCharType="end"/>
      </w:r>
      <w:r w:rsidRPr="00E026BC">
        <w:t>.</w:t>
      </w:r>
    </w:p>
    <w:p w14:paraId="58965254" w14:textId="77777777" w:rsidR="006F2932" w:rsidRDefault="006F2932" w:rsidP="005719CE">
      <w:pPr>
        <w:pStyle w:val="TableName"/>
        <w:keepLines/>
      </w:pPr>
      <w:bookmarkStart w:id="16" w:name="_Toc40956587"/>
      <w:r>
        <w:t>Assessment of limitations of randomised controlled trials</w:t>
      </w:r>
      <w:bookmarkEnd w:id="16"/>
      <w:r>
        <w:t xml:space="preserve"> </w:t>
      </w:r>
    </w:p>
    <w:tbl>
      <w:tblPr>
        <w:tblStyle w:val="TableGrid"/>
        <w:tblW w:w="0" w:type="auto"/>
        <w:tblInd w:w="5" w:type="dxa"/>
        <w:tblBorders>
          <w:top w:val="single" w:sz="4" w:space="0" w:color="FFFFFF" w:themeColor="background1"/>
          <w:bottom w:val="single" w:sz="4" w:space="0" w:color="FFFFFF" w:themeColor="background1"/>
          <w:insideH w:val="single" w:sz="4" w:space="0" w:color="FFFFFF" w:themeColor="background1"/>
        </w:tblBorders>
        <w:shd w:val="clear" w:color="auto" w:fill="EDEDED" w:themeFill="accent3" w:themeFillTint="33"/>
        <w:tblLook w:val="04A0" w:firstRow="1" w:lastRow="0" w:firstColumn="1" w:lastColumn="0" w:noHBand="0" w:noVBand="1"/>
        <w:tblCaption w:val="Table 9: Assessment of limitations of randomised controlled trials "/>
      </w:tblPr>
      <w:tblGrid>
        <w:gridCol w:w="1879"/>
        <w:gridCol w:w="7180"/>
      </w:tblGrid>
      <w:tr w:rsidR="006F2932" w:rsidRPr="00204F78" w14:paraId="560DCE74" w14:textId="77777777" w:rsidTr="006F2932">
        <w:trPr>
          <w:tblHeader/>
        </w:trPr>
        <w:tc>
          <w:tcPr>
            <w:tcW w:w="1879" w:type="dxa"/>
            <w:shd w:val="clear" w:color="auto" w:fill="EDEDED" w:themeFill="accent3" w:themeFillTint="33"/>
          </w:tcPr>
          <w:p w14:paraId="19E1448C" w14:textId="77777777" w:rsidR="006F2932" w:rsidRPr="00204F78" w:rsidRDefault="006F2932" w:rsidP="005719CE">
            <w:pPr>
              <w:pStyle w:val="Tablecell"/>
              <w:keepNext/>
              <w:rPr>
                <w:b/>
                <w:sz w:val="16"/>
                <w:szCs w:val="16"/>
              </w:rPr>
            </w:pPr>
            <w:r w:rsidRPr="00204F78">
              <w:rPr>
                <w:b/>
                <w:sz w:val="16"/>
                <w:szCs w:val="16"/>
              </w:rPr>
              <w:t>Study limitation</w:t>
            </w:r>
          </w:p>
        </w:tc>
        <w:tc>
          <w:tcPr>
            <w:tcW w:w="7180" w:type="dxa"/>
            <w:shd w:val="clear" w:color="auto" w:fill="EDEDED" w:themeFill="accent3" w:themeFillTint="33"/>
          </w:tcPr>
          <w:p w14:paraId="720F7524" w14:textId="77777777" w:rsidR="006F2932" w:rsidRPr="00204F78" w:rsidRDefault="006F2932" w:rsidP="005719CE">
            <w:pPr>
              <w:pStyle w:val="Tablecell"/>
              <w:keepNext/>
              <w:rPr>
                <w:b/>
                <w:sz w:val="16"/>
                <w:szCs w:val="16"/>
              </w:rPr>
            </w:pPr>
            <w:r w:rsidRPr="00204F78">
              <w:rPr>
                <w:b/>
                <w:sz w:val="16"/>
                <w:szCs w:val="16"/>
              </w:rPr>
              <w:t>Explanation</w:t>
            </w:r>
          </w:p>
        </w:tc>
      </w:tr>
      <w:tr w:rsidR="006F2932" w14:paraId="632DC46A" w14:textId="77777777" w:rsidTr="006F2932">
        <w:tc>
          <w:tcPr>
            <w:tcW w:w="1879" w:type="dxa"/>
            <w:shd w:val="clear" w:color="auto" w:fill="EDEDED" w:themeFill="accent3" w:themeFillTint="33"/>
          </w:tcPr>
          <w:p w14:paraId="6AB61307" w14:textId="77777777" w:rsidR="006F2932" w:rsidRPr="00204F78" w:rsidRDefault="006F2932" w:rsidP="005719CE">
            <w:pPr>
              <w:pStyle w:val="Tablecell"/>
              <w:keepNext/>
              <w:rPr>
                <w:sz w:val="16"/>
                <w:szCs w:val="16"/>
              </w:rPr>
            </w:pPr>
            <w:r w:rsidRPr="00204F78">
              <w:rPr>
                <w:rFonts w:eastAsiaTheme="minorHAnsi"/>
                <w:sz w:val="16"/>
                <w:szCs w:val="16"/>
              </w:rPr>
              <w:t xml:space="preserve">Lack of allocation concealment </w:t>
            </w:r>
          </w:p>
        </w:tc>
        <w:tc>
          <w:tcPr>
            <w:tcW w:w="7180" w:type="dxa"/>
            <w:shd w:val="clear" w:color="auto" w:fill="EDEDED" w:themeFill="accent3" w:themeFillTint="33"/>
          </w:tcPr>
          <w:p w14:paraId="6604DA0B" w14:textId="77777777" w:rsidR="006F2932" w:rsidRPr="00204F78" w:rsidRDefault="006F2932" w:rsidP="005719CE">
            <w:pPr>
              <w:pStyle w:val="Tablecell"/>
              <w:keepNext/>
              <w:rPr>
                <w:sz w:val="16"/>
                <w:szCs w:val="16"/>
              </w:rPr>
            </w:pPr>
            <w:r w:rsidRPr="00204F78">
              <w:rPr>
                <w:rFonts w:eastAsiaTheme="minorHAnsi"/>
                <w:sz w:val="16"/>
                <w:szCs w:val="16"/>
              </w:rPr>
              <w:t xml:space="preserve">Those enrolling patients are aware of the group (or period in a crossover trial) to which the next enrolled patient will be allocated (a major problem in “pseudo” or “quasi” randomised trials with allocation by day of week, birth date, chart number, etc.). </w:t>
            </w:r>
          </w:p>
        </w:tc>
      </w:tr>
      <w:tr w:rsidR="006F2932" w14:paraId="46509724" w14:textId="77777777" w:rsidTr="006F2932">
        <w:tc>
          <w:tcPr>
            <w:tcW w:w="1879" w:type="dxa"/>
            <w:shd w:val="clear" w:color="auto" w:fill="EDEDED" w:themeFill="accent3" w:themeFillTint="33"/>
          </w:tcPr>
          <w:p w14:paraId="6DD51057" w14:textId="77777777" w:rsidR="006F2932" w:rsidRPr="00204F78" w:rsidRDefault="006F2932" w:rsidP="005F077D">
            <w:pPr>
              <w:pStyle w:val="Tablecell"/>
              <w:rPr>
                <w:sz w:val="16"/>
                <w:szCs w:val="16"/>
              </w:rPr>
            </w:pPr>
            <w:r w:rsidRPr="00204F78">
              <w:rPr>
                <w:rFonts w:eastAsiaTheme="minorHAnsi"/>
                <w:sz w:val="16"/>
                <w:szCs w:val="16"/>
              </w:rPr>
              <w:t xml:space="preserve">Lack of blinding </w:t>
            </w:r>
          </w:p>
        </w:tc>
        <w:tc>
          <w:tcPr>
            <w:tcW w:w="7180" w:type="dxa"/>
            <w:shd w:val="clear" w:color="auto" w:fill="EDEDED" w:themeFill="accent3" w:themeFillTint="33"/>
          </w:tcPr>
          <w:p w14:paraId="21E0C0C9" w14:textId="24318E29" w:rsidR="006F2932" w:rsidRPr="00204F78" w:rsidRDefault="006F2932" w:rsidP="000F341D">
            <w:pPr>
              <w:pStyle w:val="Tablecell"/>
              <w:rPr>
                <w:sz w:val="16"/>
                <w:szCs w:val="16"/>
              </w:rPr>
            </w:pPr>
            <w:r w:rsidRPr="00204F78">
              <w:rPr>
                <w:rFonts w:eastAsiaTheme="minorHAnsi"/>
                <w:sz w:val="16"/>
                <w:szCs w:val="16"/>
              </w:rPr>
              <w:t xml:space="preserve">Patient, caregivers, those recording outcomes, those adjudicating outcomes, or data analysts are aware of the arm to which </w:t>
            </w:r>
            <w:r w:rsidR="000F341D">
              <w:rPr>
                <w:rFonts w:eastAsiaTheme="minorHAnsi"/>
                <w:sz w:val="16"/>
                <w:szCs w:val="16"/>
              </w:rPr>
              <w:t>participants</w:t>
            </w:r>
            <w:r w:rsidR="000F341D" w:rsidRPr="00204F78">
              <w:rPr>
                <w:rFonts w:eastAsiaTheme="minorHAnsi"/>
                <w:sz w:val="16"/>
                <w:szCs w:val="16"/>
              </w:rPr>
              <w:t xml:space="preserve"> </w:t>
            </w:r>
            <w:r w:rsidRPr="00204F78">
              <w:rPr>
                <w:rFonts w:eastAsiaTheme="minorHAnsi"/>
                <w:sz w:val="16"/>
                <w:szCs w:val="16"/>
              </w:rPr>
              <w:t xml:space="preserve">are allocated. </w:t>
            </w:r>
          </w:p>
        </w:tc>
      </w:tr>
      <w:tr w:rsidR="006F2932" w14:paraId="05612A43" w14:textId="77777777" w:rsidTr="006F2932">
        <w:tc>
          <w:tcPr>
            <w:tcW w:w="1879" w:type="dxa"/>
            <w:shd w:val="clear" w:color="auto" w:fill="EDEDED" w:themeFill="accent3" w:themeFillTint="33"/>
          </w:tcPr>
          <w:p w14:paraId="1CC31BCB" w14:textId="77777777" w:rsidR="006F2932" w:rsidRPr="00204F78" w:rsidRDefault="006F2932" w:rsidP="005F077D">
            <w:pPr>
              <w:pStyle w:val="Tablecell"/>
              <w:rPr>
                <w:sz w:val="16"/>
                <w:szCs w:val="16"/>
              </w:rPr>
            </w:pPr>
            <w:r w:rsidRPr="00204F78">
              <w:rPr>
                <w:rFonts w:eastAsiaTheme="minorHAnsi"/>
                <w:sz w:val="16"/>
                <w:szCs w:val="16"/>
              </w:rPr>
              <w:t xml:space="preserve">Incomplete accounting of patients and outcome events </w:t>
            </w:r>
          </w:p>
        </w:tc>
        <w:tc>
          <w:tcPr>
            <w:tcW w:w="7180" w:type="dxa"/>
            <w:shd w:val="clear" w:color="auto" w:fill="EDEDED" w:themeFill="accent3" w:themeFillTint="33"/>
          </w:tcPr>
          <w:p w14:paraId="040DFAD0" w14:textId="77777777" w:rsidR="006F2932" w:rsidRPr="00204F78" w:rsidRDefault="006F2932" w:rsidP="005F077D">
            <w:pPr>
              <w:pStyle w:val="Tablecell"/>
              <w:rPr>
                <w:rFonts w:eastAsiaTheme="minorHAnsi"/>
                <w:sz w:val="16"/>
                <w:szCs w:val="16"/>
              </w:rPr>
            </w:pPr>
            <w:r w:rsidRPr="00204F78">
              <w:rPr>
                <w:rFonts w:eastAsiaTheme="minorHAnsi"/>
                <w:sz w:val="16"/>
                <w:szCs w:val="16"/>
              </w:rPr>
              <w:t xml:space="preserve">Loss to follow-up and failure to adhere to the intention-to-treat principle in superiority trials; or in noninferiority trials, loss to follow-up, and failure to conduct both analyses considering only those who adhered to treatment, and all patients for whom outcome data are available. </w:t>
            </w:r>
          </w:p>
          <w:p w14:paraId="275BBCA7" w14:textId="77777777" w:rsidR="006F2932" w:rsidRPr="00204F78" w:rsidRDefault="006F2932" w:rsidP="005F077D">
            <w:pPr>
              <w:pStyle w:val="Tablecell"/>
              <w:rPr>
                <w:sz w:val="16"/>
                <w:szCs w:val="16"/>
              </w:rPr>
            </w:pPr>
            <w:r w:rsidRPr="00204F78">
              <w:rPr>
                <w:rFonts w:eastAsiaTheme="minorHAnsi"/>
                <w:sz w:val="16"/>
                <w:szCs w:val="16"/>
              </w:rPr>
              <w:t xml:space="preserve">The significance of particular rates of loss to follow-up, however, varies widely and is dependent on the relation between loss to follow-up and number of events. The higher the proportion lost to follow-up in relation to intervention and control group event rates, and differences between intervention and control groups, the greater the threat of bias. </w:t>
            </w:r>
          </w:p>
        </w:tc>
      </w:tr>
      <w:tr w:rsidR="006F2932" w14:paraId="400D4422" w14:textId="77777777" w:rsidTr="006F2932">
        <w:tc>
          <w:tcPr>
            <w:tcW w:w="1879" w:type="dxa"/>
            <w:shd w:val="clear" w:color="auto" w:fill="EDEDED" w:themeFill="accent3" w:themeFillTint="33"/>
          </w:tcPr>
          <w:p w14:paraId="7B9F0CC6" w14:textId="77777777" w:rsidR="006F2932" w:rsidRPr="00204F78" w:rsidRDefault="006F2932" w:rsidP="005F077D">
            <w:pPr>
              <w:pStyle w:val="Tablecell"/>
              <w:rPr>
                <w:sz w:val="16"/>
                <w:szCs w:val="16"/>
              </w:rPr>
            </w:pPr>
            <w:r w:rsidRPr="00204F78">
              <w:rPr>
                <w:rFonts w:eastAsiaTheme="minorHAnsi"/>
                <w:sz w:val="16"/>
                <w:szCs w:val="16"/>
              </w:rPr>
              <w:t xml:space="preserve">Selective outcome reporting </w:t>
            </w:r>
          </w:p>
        </w:tc>
        <w:tc>
          <w:tcPr>
            <w:tcW w:w="7180" w:type="dxa"/>
            <w:shd w:val="clear" w:color="auto" w:fill="EDEDED" w:themeFill="accent3" w:themeFillTint="33"/>
          </w:tcPr>
          <w:p w14:paraId="1FBA103A" w14:textId="77777777" w:rsidR="006F2932" w:rsidRPr="00204F78" w:rsidRDefault="006F2932" w:rsidP="005F077D">
            <w:pPr>
              <w:pStyle w:val="Tablecell"/>
              <w:rPr>
                <w:sz w:val="16"/>
                <w:szCs w:val="16"/>
              </w:rPr>
            </w:pPr>
            <w:r w:rsidRPr="00204F78">
              <w:rPr>
                <w:rFonts w:eastAsiaTheme="minorHAnsi"/>
                <w:sz w:val="16"/>
                <w:szCs w:val="16"/>
              </w:rPr>
              <w:t xml:space="preserve">Incomplete or absent reporting of some outcomes and not others on the basis of the results. </w:t>
            </w:r>
          </w:p>
        </w:tc>
      </w:tr>
      <w:tr w:rsidR="006F2932" w14:paraId="0569E9EB" w14:textId="77777777" w:rsidTr="006F2932">
        <w:tc>
          <w:tcPr>
            <w:tcW w:w="1879" w:type="dxa"/>
            <w:shd w:val="clear" w:color="auto" w:fill="EDEDED" w:themeFill="accent3" w:themeFillTint="33"/>
          </w:tcPr>
          <w:p w14:paraId="57FB95A1" w14:textId="77777777" w:rsidR="006F2932" w:rsidRPr="00204F78" w:rsidRDefault="006F2932" w:rsidP="005F077D">
            <w:pPr>
              <w:pStyle w:val="Tablecell"/>
              <w:rPr>
                <w:sz w:val="16"/>
                <w:szCs w:val="16"/>
              </w:rPr>
            </w:pPr>
            <w:r w:rsidRPr="00204F78">
              <w:rPr>
                <w:rFonts w:eastAsiaTheme="minorHAnsi"/>
                <w:sz w:val="16"/>
                <w:szCs w:val="16"/>
              </w:rPr>
              <w:t xml:space="preserve">Other limitations </w:t>
            </w:r>
          </w:p>
        </w:tc>
        <w:tc>
          <w:tcPr>
            <w:tcW w:w="7180" w:type="dxa"/>
            <w:shd w:val="clear" w:color="auto" w:fill="EDEDED" w:themeFill="accent3" w:themeFillTint="33"/>
          </w:tcPr>
          <w:p w14:paraId="69A8340D" w14:textId="77777777" w:rsidR="006F2932" w:rsidRPr="00204F78" w:rsidRDefault="006F2932" w:rsidP="005F077D">
            <w:pPr>
              <w:pStyle w:val="Tablecell"/>
              <w:rPr>
                <w:rFonts w:eastAsiaTheme="minorHAnsi"/>
                <w:sz w:val="16"/>
                <w:szCs w:val="16"/>
              </w:rPr>
            </w:pPr>
            <w:r w:rsidRPr="00204F78">
              <w:rPr>
                <w:rFonts w:eastAsiaTheme="minorHAnsi"/>
                <w:sz w:val="16"/>
                <w:szCs w:val="16"/>
              </w:rPr>
              <w:t xml:space="preserve">Stopping trial early for benefit. Substantial overestimates are likely in trials with fewer than 500 events and large overestimates are likely in trials with fewer than 200 events. Empirical evidence suggests that formal stopping rules do not reduce this bias. </w:t>
            </w:r>
          </w:p>
          <w:p w14:paraId="74E1CC82" w14:textId="77777777" w:rsidR="006F2932" w:rsidRPr="00204F78" w:rsidRDefault="006F2932" w:rsidP="005F077D">
            <w:pPr>
              <w:pStyle w:val="Tablecell"/>
              <w:rPr>
                <w:rFonts w:eastAsiaTheme="minorHAnsi"/>
                <w:sz w:val="16"/>
                <w:szCs w:val="16"/>
              </w:rPr>
            </w:pPr>
            <w:r w:rsidRPr="00204F78">
              <w:rPr>
                <w:rFonts w:eastAsiaTheme="minorHAnsi"/>
                <w:sz w:val="16"/>
                <w:szCs w:val="16"/>
              </w:rPr>
              <w:t xml:space="preserve">Use of unvalidated outcome measures (e.g. patient-reported outcomes) </w:t>
            </w:r>
          </w:p>
          <w:p w14:paraId="156F85C0" w14:textId="77777777" w:rsidR="006F2932" w:rsidRPr="00204F78" w:rsidRDefault="006F2932" w:rsidP="005F077D">
            <w:pPr>
              <w:pStyle w:val="Tablecell"/>
              <w:rPr>
                <w:rFonts w:eastAsiaTheme="minorHAnsi"/>
                <w:sz w:val="16"/>
                <w:szCs w:val="16"/>
              </w:rPr>
            </w:pPr>
            <w:r w:rsidRPr="00204F78">
              <w:rPr>
                <w:rFonts w:eastAsiaTheme="minorHAnsi"/>
                <w:sz w:val="16"/>
                <w:szCs w:val="16"/>
              </w:rPr>
              <w:t xml:space="preserve">Carryover effects in crossover trial </w:t>
            </w:r>
          </w:p>
          <w:p w14:paraId="726AC73A" w14:textId="77777777" w:rsidR="006F2932" w:rsidRPr="00204F78" w:rsidRDefault="006F2932" w:rsidP="005F077D">
            <w:pPr>
              <w:pStyle w:val="Tablecell"/>
              <w:rPr>
                <w:sz w:val="16"/>
                <w:szCs w:val="16"/>
              </w:rPr>
            </w:pPr>
            <w:r w:rsidRPr="00204F78">
              <w:rPr>
                <w:rFonts w:eastAsiaTheme="minorHAnsi"/>
                <w:sz w:val="16"/>
                <w:szCs w:val="16"/>
              </w:rPr>
              <w:t xml:space="preserve">Recruitment bias in cluster-randomised trials </w:t>
            </w:r>
          </w:p>
        </w:tc>
      </w:tr>
    </w:tbl>
    <w:p w14:paraId="4B3F9AF0" w14:textId="4B082BD8" w:rsidR="006F2932" w:rsidRDefault="006F2932" w:rsidP="006F2932">
      <w:pPr>
        <w:pStyle w:val="source"/>
        <w:rPr>
          <w:b/>
          <w:bCs/>
          <w:color w:val="878A8D"/>
          <w:sz w:val="22"/>
          <w:szCs w:val="22"/>
        </w:rPr>
      </w:pPr>
      <w:r>
        <w:t xml:space="preserve">Source: </w:t>
      </w:r>
      <w:r>
        <w:tab/>
      </w:r>
      <w:r w:rsidR="00026031">
        <w:t>Schünemann et al 2013</w:t>
      </w:r>
      <w:r>
        <w:fldChar w:fldCharType="begin"/>
      </w:r>
      <w:r w:rsidR="003E2D58">
        <w:instrText xml:space="preserve"> ADDIN EN.CITE &lt;EndNote&gt;&lt;Cite&gt;&lt;Author&gt;Schünemann&lt;/Author&gt;&lt;Year&gt;2013&lt;/Year&gt;&lt;RecNum&gt;1548&lt;/RecNum&gt;&lt;DisplayText&gt;&lt;style face="superscript" font="Trebuchet MS" size="9"&gt;4&lt;/style&gt;&lt;/DisplayText&gt;&lt;record&gt;&lt;rec-number&gt;1548&lt;/rec-number&gt;&lt;foreign-keys&gt;&lt;key app="EN" db-id="r0fwxaz05vavvyexrs5vxa5r2tr0afxwvt2w" timestamp="1491626232"&gt;1548&lt;/key&gt;&lt;/foreign-keys&gt;&lt;ref-type name="Report"&gt;27&lt;/ref-type&gt;&lt;contributors&gt;&lt;authors&gt;&lt;author&gt;Schünemann, H.,&lt;/author&gt;&lt;author&gt;Brożek, J.,&lt;/author&gt;&lt;author&gt;Guyatt, G.,&lt;/author&gt;&lt;author&gt;Oxman, A.,&lt;/author&gt;&lt;/authors&gt;&lt;/contributors&gt;&lt;titles&gt;&lt;title&gt;GRADE Handbook for Grading Quality of Evidence and Strength of Recommendations&lt;/title&gt;&lt;/titles&gt;&lt;dates&gt;&lt;year&gt;2013&lt;/year&gt;&lt;/dates&gt;&lt;publisher&gt;Grading of Recommendations, Assessment, Development and Evaluation (GRADE) Working Group &lt;/publisher&gt;&lt;urls&gt;&lt;/urls&gt;&lt;/record&gt;&lt;/Cite&gt;&lt;/EndNote&gt;</w:instrText>
      </w:r>
      <w:r>
        <w:fldChar w:fldCharType="separate"/>
      </w:r>
      <w:r w:rsidR="003E2D58" w:rsidRPr="003E2D58">
        <w:rPr>
          <w:rFonts w:ascii="Trebuchet MS" w:hAnsi="Trebuchet MS"/>
          <w:sz w:val="18"/>
          <w:vertAlign w:val="superscript"/>
        </w:rPr>
        <w:t>4</w:t>
      </w:r>
      <w:r>
        <w:fldChar w:fldCharType="end"/>
      </w:r>
      <w:r>
        <w:t xml:space="preserve">. </w:t>
      </w:r>
    </w:p>
    <w:p w14:paraId="71AA5F17" w14:textId="1AFA94B2" w:rsidR="00922A09" w:rsidRPr="005314B3" w:rsidRDefault="00922A09" w:rsidP="00803F59">
      <w:pPr>
        <w:pStyle w:val="Heading2"/>
      </w:pPr>
      <w:bookmarkStart w:id="17" w:name="_Toc490581390"/>
      <w:bookmarkStart w:id="18" w:name="_Toc40956468"/>
      <w:bookmarkEnd w:id="14"/>
      <w:r w:rsidRPr="005314B3">
        <w:t xml:space="preserve">Grading of the </w:t>
      </w:r>
      <w:r w:rsidR="00836F2D">
        <w:t>certainty</w:t>
      </w:r>
      <w:r w:rsidRPr="005314B3">
        <w:t xml:space="preserve"> of the </w:t>
      </w:r>
      <w:r>
        <w:t xml:space="preserve">body of </w:t>
      </w:r>
      <w:r w:rsidRPr="005314B3">
        <w:t>evidence</w:t>
      </w:r>
      <w:bookmarkEnd w:id="17"/>
      <w:bookmarkEnd w:id="18"/>
    </w:p>
    <w:p w14:paraId="300EEC45" w14:textId="6AD048AE" w:rsidR="008774F0" w:rsidRDefault="00922A09" w:rsidP="00026031">
      <w:pPr>
        <w:keepNext/>
      </w:pPr>
      <w:r>
        <w:t>Assessing</w:t>
      </w:r>
      <w:r w:rsidRPr="005314B3">
        <w:t xml:space="preserve"> </w:t>
      </w:r>
      <w:r>
        <w:t>t</w:t>
      </w:r>
      <w:r w:rsidRPr="005314B3">
        <w:t xml:space="preserve">he </w:t>
      </w:r>
      <w:r w:rsidR="00836F2D">
        <w:t>certainty</w:t>
      </w:r>
      <w:r w:rsidRPr="005314B3">
        <w:t xml:space="preserve"> of </w:t>
      </w:r>
      <w:r>
        <w:t xml:space="preserve">a body of </w:t>
      </w:r>
      <w:r w:rsidRPr="005314B3">
        <w:t xml:space="preserve">evidence </w:t>
      </w:r>
      <w:r>
        <w:t>using</w:t>
      </w:r>
      <w:r w:rsidRPr="005314B3">
        <w:t xml:space="preserve"> GRADE involves consideration of the following five domains: risk of bias, inconsistency, indirectness, imprecision and publication bias. </w:t>
      </w:r>
    </w:p>
    <w:p w14:paraId="478AE7A9" w14:textId="1B9E13A0" w:rsidR="00922A09" w:rsidRDefault="00922A09" w:rsidP="008774F0">
      <w:r w:rsidRPr="005314B3">
        <w:t>For an evidence base drawn from RCTs</w:t>
      </w:r>
      <w:r>
        <w:t>,</w:t>
      </w:r>
      <w:r w:rsidRPr="005314B3">
        <w:t xml:space="preserve"> the grading of the </w:t>
      </w:r>
      <w:r w:rsidR="00836F2D">
        <w:t>certainty</w:t>
      </w:r>
      <w:r w:rsidRPr="005314B3">
        <w:t xml:space="preserve"> of the </w:t>
      </w:r>
      <w:r>
        <w:t xml:space="preserve">body of </w:t>
      </w:r>
      <w:r w:rsidR="0052658E">
        <w:t>evidence starts at ‘high’</w:t>
      </w:r>
      <w:r w:rsidR="0092096B">
        <w:t xml:space="preserve">. </w:t>
      </w:r>
      <w:r w:rsidR="0061577B">
        <w:t xml:space="preserve">An evidence base </w:t>
      </w:r>
      <w:r w:rsidR="00432772">
        <w:t xml:space="preserve">drawn from observational studies </w:t>
      </w:r>
      <w:r w:rsidR="0092096B">
        <w:t>s</w:t>
      </w:r>
      <w:r w:rsidR="00432772">
        <w:t>tarts as ‘low’</w:t>
      </w:r>
      <w:r w:rsidR="0092096B">
        <w:t>. In both cases, the evidence</w:t>
      </w:r>
      <w:r w:rsidR="0092096B" w:rsidRPr="005314B3">
        <w:t xml:space="preserve"> can be downgraded for each of the five domains depending on whether the limitation is considered serious (downgrade one level) or very serious (downgrade two levels).</w:t>
      </w:r>
      <w:r w:rsidR="0092096B">
        <w:t xml:space="preserve"> Evidence can also be upgraded when the effect is large (upgrade one level) or very large (upgrade two levels), where confou</w:t>
      </w:r>
      <w:r w:rsidR="00803F59">
        <w:t>nders would reduce the effect or</w:t>
      </w:r>
      <w:r w:rsidR="0092096B">
        <w:t xml:space="preserve"> where there is a dose-response effect.</w:t>
      </w:r>
      <w:r w:rsidRPr="005314B3">
        <w:t xml:space="preserve"> </w:t>
      </w:r>
    </w:p>
    <w:p w14:paraId="36E61B02" w14:textId="5A1B9CDE" w:rsidR="006B3BFC" w:rsidRDefault="006B3BFC" w:rsidP="00427749">
      <w:pPr>
        <w:rPr>
          <w:shd w:val="clear" w:color="auto" w:fill="FFFFFF"/>
        </w:rPr>
      </w:pPr>
    </w:p>
    <w:p w14:paraId="6F162C46" w14:textId="77777777" w:rsidR="00922A09" w:rsidRPr="00941AA8" w:rsidRDefault="00922A09" w:rsidP="000D0F65">
      <w:pPr>
        <w:widowControl w:val="0"/>
        <w:autoSpaceDE w:val="0"/>
        <w:autoSpaceDN w:val="0"/>
        <w:adjustRightInd w:val="0"/>
        <w:rPr>
          <w:rFonts w:ascii="TimesNewRomanPS-BoldMT" w:eastAsia="Cambria" w:hAnsi="TimesNewRomanPS-BoldMT" w:cs="TimesNewRomanPS-BoldMT"/>
          <w:lang w:val="en-US"/>
        </w:rPr>
        <w:sectPr w:rsidR="00922A09" w:rsidRPr="00941AA8" w:rsidSect="008A6B17">
          <w:pgSz w:w="11901" w:h="16817"/>
          <w:pgMar w:top="1134" w:right="1418" w:bottom="1134" w:left="1418" w:header="709" w:footer="709" w:gutter="0"/>
          <w:cols w:space="708"/>
          <w:docGrid w:linePitch="360"/>
        </w:sectPr>
      </w:pPr>
    </w:p>
    <w:p w14:paraId="40AD5C56" w14:textId="336BB6A0" w:rsidR="002D04CE" w:rsidRDefault="007D30D7" w:rsidP="00B5179D">
      <w:pPr>
        <w:pStyle w:val="Heading1"/>
      </w:pPr>
      <w:bookmarkStart w:id="19" w:name="_Toc40956469"/>
      <w:r>
        <w:t>Dietary</w:t>
      </w:r>
      <w:r w:rsidR="008364A7">
        <w:t xml:space="preserve"> advice</w:t>
      </w:r>
      <w:bookmarkEnd w:id="19"/>
    </w:p>
    <w:p w14:paraId="55BC2BA1" w14:textId="3AFE2DE2" w:rsidR="004A5194" w:rsidRDefault="00854907" w:rsidP="001264BD">
      <w:pPr>
        <w:pStyle w:val="Heading2"/>
        <w:spacing w:after="0"/>
      </w:pPr>
      <w:bookmarkStart w:id="20" w:name="_Toc40956470"/>
      <w:r w:rsidRPr="00747D26">
        <w:rPr>
          <w:b/>
        </w:rPr>
        <w:t>Q1</w:t>
      </w:r>
      <w:r>
        <w:t>:</w:t>
      </w:r>
      <w:r w:rsidR="00F43F44" w:rsidRPr="00F43F44">
        <w:t xml:space="preserve"> </w:t>
      </w:r>
      <w:r w:rsidR="00F43F44" w:rsidRPr="008869FE">
        <w:t xml:space="preserve">What dietary advice should be provided to women in </w:t>
      </w:r>
      <w:r w:rsidR="00F43F44">
        <w:t>pregnancy, including population-</w:t>
      </w:r>
      <w:r w:rsidR="00F43F44" w:rsidRPr="008869FE">
        <w:t>specific groups</w:t>
      </w:r>
      <w:r w:rsidR="0054099C" w:rsidRPr="00B432DA">
        <w:rPr>
          <w:rFonts w:eastAsiaTheme="minorHAnsi"/>
        </w:rPr>
        <w:t>?</w:t>
      </w:r>
      <w:bookmarkEnd w:id="20"/>
    </w:p>
    <w:p w14:paraId="7385FD6D" w14:textId="77777777" w:rsidR="007E416F" w:rsidRDefault="007E416F" w:rsidP="00D12DD6">
      <w:pPr>
        <w:pStyle w:val="Heading3"/>
      </w:pPr>
      <w:bookmarkStart w:id="21" w:name="_Toc40956471"/>
      <w:r>
        <w:t>Background</w:t>
      </w:r>
      <w:bookmarkEnd w:id="21"/>
    </w:p>
    <w:p w14:paraId="42D739DE" w14:textId="56F72D62" w:rsidR="00FA7C1D" w:rsidRPr="00FA7C1D" w:rsidRDefault="008F17DA" w:rsidP="00FA7C1D">
      <w:r>
        <w:t>Australian c</w:t>
      </w:r>
      <w:r w:rsidR="00FA7C1D">
        <w:t>ross-sectional studies have identified low levels of awareness of dietary guidelines during pregnancy among women</w:t>
      </w:r>
      <w:r w:rsidR="003B3DE2">
        <w:t xml:space="preserve"> and limited </w:t>
      </w:r>
      <w:r w:rsidR="0074297B">
        <w:t>dietar</w:t>
      </w:r>
      <w:r>
        <w:t>y</w:t>
      </w:r>
      <w:r w:rsidR="003B3DE2">
        <w:t xml:space="preserve"> counselling by health professionals</w:t>
      </w:r>
      <w:r w:rsidR="00FA7C1D">
        <w:t>.</w:t>
      </w:r>
    </w:p>
    <w:p w14:paraId="7FD3E16B" w14:textId="63247B94" w:rsidR="00FA7C1D" w:rsidRDefault="00415BAB" w:rsidP="00FA7C1D">
      <w:pPr>
        <w:pStyle w:val="bullet"/>
      </w:pPr>
      <w:r>
        <w:t>Results from</w:t>
      </w:r>
      <w:r w:rsidR="00FA7C1D">
        <w:t xml:space="preserve"> a</w:t>
      </w:r>
      <w:r w:rsidR="00FA7C1D" w:rsidRPr="00FA7C1D">
        <w:t xml:space="preserve"> web-based questionnaire </w:t>
      </w:r>
      <w:r w:rsidR="0074297B">
        <w:t>(</w:t>
      </w:r>
      <w:r w:rsidR="0074297B" w:rsidRPr="003707D0">
        <w:rPr>
          <w:sz w:val="16"/>
          <w:szCs w:val="16"/>
        </w:rPr>
        <w:t>n=116</w:t>
      </w:r>
      <w:r w:rsidR="0074297B">
        <w:t>)</w:t>
      </w:r>
      <w:r w:rsidR="00FA7C1D">
        <w:t>,</w:t>
      </w:r>
      <w:r w:rsidR="003E2D58">
        <w:fldChar w:fldCharType="begin">
          <w:fldData xml:space="preserve">PEVuZE5vdGU+PENpdGU+PEF1dGhvcj5MZWU8L0F1dGhvcj48WWVhcj4yMDE2PC9ZZWFyPjxSZWNO
dW0+MTQ1MjwvUmVjTnVtPjxEaXNwbGF5VGV4dD48c3R5bGUgZmFjZT0ic3VwZXJzY3JpcHQiIGZv
bnQ9IlRyZWJ1Y2hldCBNUyIgc2l6ZT0iOSI+NTwvc3R5bGU+PC9EaXNwbGF5VGV4dD48cmVjb3Jk
PjxyZWMtbnVtYmVyPjE0NTI8L3JlYy1udW1iZXI+PGZvcmVpZ24ta2V5cz48a2V5IGFwcD0iRU4i
IGRiLWlkPSJleHZhc3JmeDJkdHJhb2VzYXN4cDJzenN4YTJkZjUwMjU5MngiIHRpbWVzdGFtcD0i
MTU3NDAzOTU1MSI+MTQ1Mjwva2V5PjxrZXkgYXBwPSJFTldlYiIgZGItaWQ9IiI+MDwva2V5Pjwv
Zm9yZWlnbi1rZXlzPjxyZWYtdHlwZSBuYW1lPSJKb3VybmFsIEFydGljbGUiPjE3PC9yZWYtdHlw
ZT48Y29udHJpYnV0b3JzPjxhdXRob3JzPjxhdXRob3I+TGVlLCBBLjwvYXV0aG9yPjxhdXRob3I+
QmVsc2tpLCBSLjwvYXV0aG9yPjxhdXRob3I+UmFkY2xpZmZlLCBKLjwvYXV0aG9yPjxhdXRob3I+
TmV3dG9uLCBNLjwvYXV0aG9yPjwvYXV0aG9ycz48L2NvbnRyaWJ1dG9ycz48YXV0aC1hZGRyZXNz
PlNjaG9vbCBvZiBBbGxpZWQgSGVhbHRoLCBMYSBUcm9iZSBVbml2ZXJzaXR5LCBCdW5kb29yYSwg
VklDLCAzMDg2LCBBdXN0cmFsaWEuIGFtZWxpYS5sZWVAbGF0cm9iZS5lZHUuYXUuJiN4RDtOdXRy
aXRpb24gRGVwYXJ0bWVudCwgUm95YWwgV29tZW4mYXBvcztzIEhvc3BpdGFsLCBQYXJrdmlsbGUs
IFZJQywgMzA1MiwgQXVzdHJhbGlhLiBhbWVsaWEubGVlQGxhdHJvYmUuZWR1LmF1LiYjeEQ7U2No
b29sIG9mIEFsbGllZCBIZWFsdGgsIExhIFRyb2JlIFVuaXZlcnNpdHksIEJ1bmRvb3JhLCBWSUMs
IDMwODYsIEF1c3RyYWxpYS4mI3hEO1NjaG9vbCBvZiBOdXJzaW5nIGFuZCBNaWR3aWZlcnksIExh
IFRyb2JlIFVuaXZlcnNpdHksIEJ1bmRvb3JhLCBWSUMsIDMwODYsIEF1c3RyYWxpYS48L2F1dGgt
YWRkcmVzcz48dGl0bGVzPjx0aXRsZT5XaGF0IGRvIHByZWduYW50IHdvbWVuIGtub3cgYWJvdXQg
dGhlIGhlYWx0aHkgZWF0aW5nIGd1aWRlbGluZXMgZm9yIHByZWduYW5jeT8gQSB3ZWItYmFzZWQg
cXVlc3Rpb25uYWlyZTwvdGl0bGU+PHNlY29uZGFyeS10aXRsZT5NYXRlcm4gQ2hpbGQgSGVhbHRo
IEo8L3NlY29uZGFyeS10aXRsZT48L3RpdGxlcz48cGVyaW9kaWNhbD48ZnVsbC10aXRsZT5NYXRl
cm4gQ2hpbGQgSGVhbHRoIEo8L2Z1bGwtdGl0bGU+PC9wZXJpb2RpY2FsPjxwYWdlcz4yMTc5LTg4
PC9wYWdlcz48dm9sdW1lPjIwPC92b2x1bWU+PG51bWJlcj4xMDwvbnVtYmVyPjxlZGl0aW9uPjIw
MTYvMDcvMTE8L2VkaXRpb24+PGtleXdvcmRzPjxrZXl3b3JkPkFkdWx0PC9rZXl3b3JkPjxrZXl3
b3JkPkF1c3RyYWxpYTwva2V5d29yZD48a2V5d29yZD5Dcm9zcy1TZWN0aW9uYWwgU3R1ZGllczwv
a2V5d29yZD48a2V5d29yZD5GZW1hbGU8L2tleXdvcmQ+PGtleXdvcmQ+KkhlYWx0aCBLbm93bGVk
Z2UsIEF0dGl0dWRlcywgUHJhY3RpY2U8L2tleXdvcmQ+PGtleXdvcmQ+KkhlYWx0aHkgRGlldDwv
a2V5d29yZD48a2V5d29yZD5IdW1hbnM8L2tleXdvcmQ+PGtleXdvcmQ+SW50ZXJuZXQ8L2tleXdv
cmQ+PGtleXdvcmQ+TW90aGVyczwva2V5d29yZD48a2V5d29yZD4qTnV0cml0aW9uIFBvbGljeTwv
a2V5d29yZD48a2V5d29yZD5OdXRyaXRpb24gU3VydmV5czwva2V5d29yZD48a2V5d29yZD5QcmVn
bmFuY3k8L2tleXdvcmQ+PGtleXdvcmQ+UHJlZ25hbnQgV29tZW4vKnBzeWNob2xvZ3k8L2tleXdv
cmQ+PGtleXdvcmQ+KlByZW5hdGFsIE51dHJpdGlvbmFsIFBoeXNpb2xvZ2ljYWwgUGhlbm9tZW5h
PC9rZXl3b3JkPjxrZXl3b3JkPlN1cnZleXMgYW5kIFF1ZXN0aW9ubmFpcmVzPC9rZXl3b3JkPjxr
ZXl3b3JkPllvdW5nIEFkdWx0PC9rZXl3b3JkPjxrZXl3b3JkPipBbnRlbmF0YWw8L2tleXdvcmQ+
PGtleXdvcmQ+KkRpZXRhcnkgZ3VpZGVsaW5lczwva2V5d29yZD48a2V5d29yZD4qTnV0cml0aW9u
IGtub3dsZWRnZTwva2V5d29yZD48a2V5d29yZD4qT25saW5lIHF1ZXN0aW9ubmFpcmU8L2tleXdv
cmQ+PGtleXdvcmQ+KlByZWduYW5jeTwva2V5d29yZD48L2tleXdvcmRzPjxkYXRlcz48eWVhcj4y
MDE2PC95ZWFyPjxwdWItZGF0ZXM+PGRhdGU+T2N0PC9kYXRlPjwvcHViLWRhdGVzPjwvZGF0ZXM+
PGlzYm4+MTU3My02NjI4IChFbGVjdHJvbmljKSYjeEQ7MTA5Mi03ODc1IChMaW5raW5nKTwvaXNi
bj48YWNjZXNzaW9uLW51bT4yNzM5NTM4MzwvYWNjZXNzaW9uLW51bT48dXJscz48cmVsYXRlZC11
cmxzPjx1cmw+aHR0cHM6Ly93d3cubmNiaS5ubG0ubmloLmdvdi9wdWJtZWQvMjczOTUzODM8L3Vy
bD48L3JlbGF0ZWQtdXJscz48L3VybHM+PGVsZWN0cm9uaWMtcmVzb3VyY2UtbnVtPjEwLjEwMDcv
czEwOTk1LTAxNi0yMDcxLTQ8L2VsZWN0cm9uaWMtcmVzb3VyY2UtbnVtPjwvcmVjb3JkPjwvQ2l0
ZT48L0VuZE5vdGU+AG==
</w:fldData>
        </w:fldChar>
      </w:r>
      <w:r w:rsidR="003E2D58">
        <w:instrText xml:space="preserve"> ADDIN EN.CITE </w:instrText>
      </w:r>
      <w:r w:rsidR="003E2D58">
        <w:fldChar w:fldCharType="begin">
          <w:fldData xml:space="preserve">PEVuZE5vdGU+PENpdGU+PEF1dGhvcj5MZWU8L0F1dGhvcj48WWVhcj4yMDE2PC9ZZWFyPjxSZWNO
dW0+MTQ1MjwvUmVjTnVtPjxEaXNwbGF5VGV4dD48c3R5bGUgZmFjZT0ic3VwZXJzY3JpcHQiIGZv
bnQ9IlRyZWJ1Y2hldCBNUyIgc2l6ZT0iOSI+NTwvc3R5bGU+PC9EaXNwbGF5VGV4dD48cmVjb3Jk
PjxyZWMtbnVtYmVyPjE0NTI8L3JlYy1udW1iZXI+PGZvcmVpZ24ta2V5cz48a2V5IGFwcD0iRU4i
IGRiLWlkPSJleHZhc3JmeDJkdHJhb2VzYXN4cDJzenN4YTJkZjUwMjU5MngiIHRpbWVzdGFtcD0i
MTU3NDAzOTU1MSI+MTQ1Mjwva2V5PjxrZXkgYXBwPSJFTldlYiIgZGItaWQ9IiI+MDwva2V5Pjwv
Zm9yZWlnbi1rZXlzPjxyZWYtdHlwZSBuYW1lPSJKb3VybmFsIEFydGljbGUiPjE3PC9yZWYtdHlw
ZT48Y29udHJpYnV0b3JzPjxhdXRob3JzPjxhdXRob3I+TGVlLCBBLjwvYXV0aG9yPjxhdXRob3I+
QmVsc2tpLCBSLjwvYXV0aG9yPjxhdXRob3I+UmFkY2xpZmZlLCBKLjwvYXV0aG9yPjxhdXRob3I+
TmV3dG9uLCBNLjwvYXV0aG9yPjwvYXV0aG9ycz48L2NvbnRyaWJ1dG9ycz48YXV0aC1hZGRyZXNz
PlNjaG9vbCBvZiBBbGxpZWQgSGVhbHRoLCBMYSBUcm9iZSBVbml2ZXJzaXR5LCBCdW5kb29yYSwg
VklDLCAzMDg2LCBBdXN0cmFsaWEuIGFtZWxpYS5sZWVAbGF0cm9iZS5lZHUuYXUuJiN4RDtOdXRy
aXRpb24gRGVwYXJ0bWVudCwgUm95YWwgV29tZW4mYXBvcztzIEhvc3BpdGFsLCBQYXJrdmlsbGUs
IFZJQywgMzA1MiwgQXVzdHJhbGlhLiBhbWVsaWEubGVlQGxhdHJvYmUuZWR1LmF1LiYjeEQ7U2No
b29sIG9mIEFsbGllZCBIZWFsdGgsIExhIFRyb2JlIFVuaXZlcnNpdHksIEJ1bmRvb3JhLCBWSUMs
IDMwODYsIEF1c3RyYWxpYS4mI3hEO1NjaG9vbCBvZiBOdXJzaW5nIGFuZCBNaWR3aWZlcnksIExh
IFRyb2JlIFVuaXZlcnNpdHksIEJ1bmRvb3JhLCBWSUMsIDMwODYsIEF1c3RyYWxpYS48L2F1dGgt
YWRkcmVzcz48dGl0bGVzPjx0aXRsZT5XaGF0IGRvIHByZWduYW50IHdvbWVuIGtub3cgYWJvdXQg
dGhlIGhlYWx0aHkgZWF0aW5nIGd1aWRlbGluZXMgZm9yIHByZWduYW5jeT8gQSB3ZWItYmFzZWQg
cXVlc3Rpb25uYWlyZTwvdGl0bGU+PHNlY29uZGFyeS10aXRsZT5NYXRlcm4gQ2hpbGQgSGVhbHRo
IEo8L3NlY29uZGFyeS10aXRsZT48L3RpdGxlcz48cGVyaW9kaWNhbD48ZnVsbC10aXRsZT5NYXRl
cm4gQ2hpbGQgSGVhbHRoIEo8L2Z1bGwtdGl0bGU+PC9wZXJpb2RpY2FsPjxwYWdlcz4yMTc5LTg4
PC9wYWdlcz48dm9sdW1lPjIwPC92b2x1bWU+PG51bWJlcj4xMDwvbnVtYmVyPjxlZGl0aW9uPjIw
MTYvMDcvMTE8L2VkaXRpb24+PGtleXdvcmRzPjxrZXl3b3JkPkFkdWx0PC9rZXl3b3JkPjxrZXl3
b3JkPkF1c3RyYWxpYTwva2V5d29yZD48a2V5d29yZD5Dcm9zcy1TZWN0aW9uYWwgU3R1ZGllczwv
a2V5d29yZD48a2V5d29yZD5GZW1hbGU8L2tleXdvcmQ+PGtleXdvcmQ+KkhlYWx0aCBLbm93bGVk
Z2UsIEF0dGl0dWRlcywgUHJhY3RpY2U8L2tleXdvcmQ+PGtleXdvcmQ+KkhlYWx0aHkgRGlldDwv
a2V5d29yZD48a2V5d29yZD5IdW1hbnM8L2tleXdvcmQ+PGtleXdvcmQ+SW50ZXJuZXQ8L2tleXdv
cmQ+PGtleXdvcmQ+TW90aGVyczwva2V5d29yZD48a2V5d29yZD4qTnV0cml0aW9uIFBvbGljeTwv
a2V5d29yZD48a2V5d29yZD5OdXRyaXRpb24gU3VydmV5czwva2V5d29yZD48a2V5d29yZD5QcmVn
bmFuY3k8L2tleXdvcmQ+PGtleXdvcmQ+UHJlZ25hbnQgV29tZW4vKnBzeWNob2xvZ3k8L2tleXdv
cmQ+PGtleXdvcmQ+KlByZW5hdGFsIE51dHJpdGlvbmFsIFBoeXNpb2xvZ2ljYWwgUGhlbm9tZW5h
PC9rZXl3b3JkPjxrZXl3b3JkPlN1cnZleXMgYW5kIFF1ZXN0aW9ubmFpcmVzPC9rZXl3b3JkPjxr
ZXl3b3JkPllvdW5nIEFkdWx0PC9rZXl3b3JkPjxrZXl3b3JkPipBbnRlbmF0YWw8L2tleXdvcmQ+
PGtleXdvcmQ+KkRpZXRhcnkgZ3VpZGVsaW5lczwva2V5d29yZD48a2V5d29yZD4qTnV0cml0aW9u
IGtub3dsZWRnZTwva2V5d29yZD48a2V5d29yZD4qT25saW5lIHF1ZXN0aW9ubmFpcmU8L2tleXdv
cmQ+PGtleXdvcmQ+KlByZWduYW5jeTwva2V5d29yZD48L2tleXdvcmRzPjxkYXRlcz48eWVhcj4y
MDE2PC95ZWFyPjxwdWItZGF0ZXM+PGRhdGU+T2N0PC9kYXRlPjwvcHViLWRhdGVzPjwvZGF0ZXM+
PGlzYm4+MTU3My02NjI4IChFbGVjdHJvbmljKSYjeEQ7MTA5Mi03ODc1IChMaW5raW5nKTwvaXNi
bj48YWNjZXNzaW9uLW51bT4yNzM5NTM4MzwvYWNjZXNzaW9uLW51bT48dXJscz48cmVsYXRlZC11
cmxzPjx1cmw+aHR0cHM6Ly93d3cubmNiaS5ubG0ubmloLmdvdi9wdWJtZWQvMjczOTUzODM8L3Vy
bD48L3JlbGF0ZWQtdXJscz48L3VybHM+PGVsZWN0cm9uaWMtcmVzb3VyY2UtbnVtPjEwLjEwMDcv
czEwOTk1LTAxNi0yMDcxLTQ8L2VsZWN0cm9uaWMtcmVzb3VyY2UtbnVtPjwvcmVjb3JkPjwvQ2l0
ZT48L0VuZE5vdGU+AG==
</w:fldData>
        </w:fldChar>
      </w:r>
      <w:r w:rsidR="003E2D58">
        <w:instrText xml:space="preserve"> ADDIN EN.CITE.DATA </w:instrText>
      </w:r>
      <w:r w:rsidR="003E2D58">
        <w:fldChar w:fldCharType="end"/>
      </w:r>
      <w:r w:rsidR="003E2D58">
        <w:fldChar w:fldCharType="separate"/>
      </w:r>
      <w:r w:rsidR="003E2D58" w:rsidRPr="003E2D58">
        <w:rPr>
          <w:noProof/>
          <w:vertAlign w:val="superscript"/>
        </w:rPr>
        <w:t>5</w:t>
      </w:r>
      <w:r w:rsidR="003E2D58">
        <w:fldChar w:fldCharType="end"/>
      </w:r>
      <w:r w:rsidR="00FA7C1D">
        <w:t xml:space="preserve"> </w:t>
      </w:r>
      <w:r>
        <w:t xml:space="preserve">showed that </w:t>
      </w:r>
      <w:r w:rsidR="00FA7C1D">
        <w:t>p</w:t>
      </w:r>
      <w:r w:rsidR="00FA7C1D" w:rsidRPr="00FA7C1D">
        <w:t>regnancy nutrition knowledge was associate</w:t>
      </w:r>
      <w:r w:rsidR="003B3DE2">
        <w:t>d with education (</w:t>
      </w:r>
      <w:r w:rsidR="003B3DE2" w:rsidRPr="00126C7F">
        <w:rPr>
          <w:sz w:val="16"/>
          <w:szCs w:val="16"/>
        </w:rPr>
        <w:t>p&lt;</w:t>
      </w:r>
      <w:r w:rsidR="00FA7C1D" w:rsidRPr="00126C7F">
        <w:rPr>
          <w:sz w:val="16"/>
          <w:szCs w:val="16"/>
        </w:rPr>
        <w:t>0.05</w:t>
      </w:r>
      <w:r w:rsidR="00FA7C1D" w:rsidRPr="00FA7C1D">
        <w:t>) and income</w:t>
      </w:r>
      <w:r w:rsidR="003B3DE2">
        <w:t xml:space="preserve"> (</w:t>
      </w:r>
      <w:r w:rsidR="003B3DE2" w:rsidRPr="00126C7F">
        <w:rPr>
          <w:sz w:val="15"/>
          <w:szCs w:val="15"/>
        </w:rPr>
        <w:t>p&lt;</w:t>
      </w:r>
      <w:r w:rsidR="00FA7C1D" w:rsidRPr="00126C7F">
        <w:rPr>
          <w:sz w:val="15"/>
          <w:szCs w:val="15"/>
        </w:rPr>
        <w:t>0.05</w:t>
      </w:r>
      <w:r w:rsidR="00FA7C1D">
        <w:t>). Only 2</w:t>
      </w:r>
      <w:r w:rsidR="00FA7C1D" w:rsidRPr="00FA7C1D">
        <w:t>% of pregnant women achieved nut</w:t>
      </w:r>
      <w:r w:rsidR="00FA7C1D">
        <w:t>rition knowledge scores over 80</w:t>
      </w:r>
      <w:r w:rsidR="00FA7C1D" w:rsidRPr="00FA7C1D">
        <w:t xml:space="preserve">%. Few women </w:t>
      </w:r>
      <w:r w:rsidR="0074297B">
        <w:t xml:space="preserve">(30%) </w:t>
      </w:r>
      <w:r w:rsidR="00FA7C1D" w:rsidRPr="00FA7C1D">
        <w:t xml:space="preserve">received nutrition advice during their pregnancy. </w:t>
      </w:r>
    </w:p>
    <w:p w14:paraId="5E9C293C" w14:textId="7FA1A92B" w:rsidR="003707D0" w:rsidRDefault="003707D0" w:rsidP="002F0A5A">
      <w:pPr>
        <w:pStyle w:val="bullet"/>
      </w:pPr>
      <w:r>
        <w:t>Another Australian</w:t>
      </w:r>
      <w:r w:rsidRPr="003707D0">
        <w:t xml:space="preserve"> web-based survey</w:t>
      </w:r>
      <w:r>
        <w:t xml:space="preserve"> (</w:t>
      </w:r>
      <w:r w:rsidRPr="00631ADA">
        <w:rPr>
          <w:sz w:val="16"/>
          <w:szCs w:val="16"/>
        </w:rPr>
        <w:t>n=857</w:t>
      </w:r>
      <w:r>
        <w:t>)</w:t>
      </w:r>
      <w:r w:rsidR="00201490">
        <w:fldChar w:fldCharType="begin">
          <w:fldData xml:space="preserve">PEVuZE5vdGU+PENpdGU+PEF1dGhvcj5NYWxlazwvQXV0aG9yPjxZZWFyPjIwMTY8L1llYXI+PFJl
Y051bT4xNTI0PC9SZWNOdW0+PERpc3BsYXlUZXh0PjxzdHlsZSBmYWNlPSJzdXBlcnNjcmlwdCIg
Zm9udD0iVHJlYnVjaGV0IE1TIiBzaXplPSI5Ij42PC9zdHlsZT48L0Rpc3BsYXlUZXh0PjxyZWNv
cmQ+PHJlYy1udW1iZXI+MTUyNDwvcmVjLW51bWJlcj48Zm9yZWlnbi1rZXlzPjxrZXkgYXBwPSJF
TiIgZGItaWQ9ImV4dmFzcmZ4MmR0cmFvZXNhc3hwMnN6c3hhMmRmNTAyNTkyeCIgdGltZXN0YW1w
PSIxNTc2NDczMzE3Ij4xNTI0PC9rZXk+PGtleSBhcHA9IkVOV2ViIiBkYi1pZD0iIj4wPC9rZXk+
PC9mb3JlaWduLWtleXM+PHJlZi10eXBlIG5hbWU9IkpvdXJuYWwgQXJ0aWNsZSI+MTc8L3JlZi10
eXBlPjxjb250cmlidXRvcnM+PGF1dGhvcnM+PGF1dGhvcj5NYWxlaywgTC48L2F1dGhvcj48YXV0
aG9yPlVtYmVyZ2VyLCBXLjwvYXV0aG9yPjxhdXRob3I+TWFrcmlkZXMsIE0uPC9hdXRob3I+PGF1
dGhvcj5aaG91LCBTLiBKLjwvYXV0aG9yPjwvYXV0aG9ycz48L2NvbnRyaWJ1dG9ycz48YXV0aC1h
ZGRyZXNzPjFHbG9iYWwgRm9vZCBTdHVkaWVzLCBGYWN1bHR5IG9mIHRoZSBQcm9mZXNzaW9ucyxV
bml2ZXJzaXR5IG9mIEFkZWxhaWRlLEFkZWxhaWRlLFNvdXRoIEF1c3RyYWxpYSxBdXN0cmFsaWEu
JiN4RDsyV29tZW4mYXBvcztzICZhbXA7IENoaWxkcmVuJmFwb3M7cyBIZWFsdGggUmVzZWFyY2gg
SW5zdGl0dXRlLE5vcnRoIEFkZWxhaWRlLFNvdXRoIEF1c3RyYWxpYSxBdXN0cmFsaWEuPC9hdXRo
LWFkZHJlc3M+PHRpdGxlcz48dGl0bGU+QWRoZXJlbmNlIHRvIHRoZSBBdXN0cmFsaWFuIGRpZXRh
cnkgZ3VpZGVsaW5lcyBkdXJpbmcgcHJlZ25hbmN5OiBldmlkZW5jZSBmcm9tIGEgbmF0aW9uYWwg
c3R1ZHk8L3RpdGxlPjxzZWNvbmRhcnktdGl0bGU+UHVibGljIEhlYWx0aCBOdXRyPC9zZWNvbmRh
cnktdGl0bGU+PC90aXRsZXM+PHBlcmlvZGljYWw+PGZ1bGwtdGl0bGU+UHVibGljIEhlYWx0aCBO
dXRyPC9mdWxsLXRpdGxlPjwvcGVyaW9kaWNhbD48cGFnZXM+MTE1NS02MzwvcGFnZXM+PHZvbHVt
ZT4xOTwvdm9sdW1lPjxudW1iZXI+NzwvbnVtYmVyPjxlZGl0aW9uPjIwMTUvMDgvMDE8L2VkaXRp
b24+PGtleXdvcmRzPjxrZXl3b3JkPkFkb2xlc2NlbnQ8L2tleXdvcmQ+PGtleXdvcmQ+QWR1bHQ8
L2tleXdvcmQ+PGtleXdvcmQ+QXVzdHJhbGlhPC9rZXl3b3JkPjxrZXl3b3JkPkNvaG9ydCBTdHVk
aWVzPC9rZXl3b3JkPjxrZXl3b3JkPkNyb3NzLVNlY3Rpb25hbCBTdHVkaWVzPC9rZXl3b3JkPjxr
ZXl3b3JkPkRhaXJ5IFByb2R1Y3RzPC9rZXl3b3JkPjxrZXl3b3JkPipEaWV0LCBIZWFsdGh5PC9r
ZXl3b3JkPjxrZXl3b3JkPkVuZXJneSBJbnRha2U8L2tleXdvcmQ+PGtleXdvcmQ+RmVtYWxlPC9r
ZXl3b3JkPjxrZXl3b3JkPkZydWl0PC9rZXl3b3JkPjxrZXl3b3JkPkh1bWFuczwva2V5d29yZD48
a2V5d29yZD5Mb2dpc3RpYyBNb2RlbHM8L2tleXdvcmQ+PGtleXdvcmQ+TWlkZGxlIEFnZWQ8L2tl
eXdvcmQ+PGtleXdvcmQ+Kk51dHJpdGlvbiBQb2xpY3k8L2tleXdvcmQ+PGtleXdvcmQ+TnV0cml0
aW9uIFN1cnZleXM8L2tleXdvcmQ+PGtleXdvcmQ+T3ZlcndlaWdodDwva2V5d29yZD48a2V5d29y
ZD5QYXRpZW50IENvbXBsaWFuY2UvKnN0YXRpc3RpY3MgJmFtcDsgbnVtZXJpY2FsIGRhdGE8L2tl
eXdvcmQ+PGtleXdvcmQ+UHJlZ25hbmN5PC9rZXl3b3JkPjxrZXl3b3JkPlByZWduYW50IFdvbWVu
PC9rZXl3b3JkPjxrZXl3b3JkPlNvY2lvZWNvbm9taWMgRmFjdG9yczwva2V5d29yZD48a2V5d29y
ZD5WZWdldGFibGVzPC9rZXl3b3JkPjxrZXl3b3JkPllvdW5nIEFkdWx0PC9rZXl3b3JkPjxrZXl3
b3JkPkRpZXQgY2hhbmdlPC9rZXl3b3JkPjxrZXl3b3JkPkRpZXRhcnkgZ3VpZGVsaW5lczwva2V5
d29yZD48a2V5d29yZD5Gb29kIGdyb3VwIHJlY29tbWVuZGF0aW9uczwva2V5d29yZD48L2tleXdv
cmRzPjxkYXRlcz48eWVhcj4yMDE2PC95ZWFyPjxwdWItZGF0ZXM+PGRhdGU+TWF5PC9kYXRlPjwv
cHViLWRhdGVzPjwvZGF0ZXM+PGlzYm4+MTQ3NS0yNzI3IChFbGVjdHJvbmljKSYjeEQ7MTM2OC05
ODAwIChMaW5raW5nKTwvaXNibj48YWNjZXNzaW9uLW51bT4yNjIyODUyNjwvYWNjZXNzaW9uLW51
bT48dXJscz48cmVsYXRlZC11cmxzPjx1cmw+aHR0cHM6Ly93d3cubmNiaS5ubG0ubmloLmdvdi9w
dWJtZWQvMjYyMjg1MjY8L3VybD48L3JlbGF0ZWQtdXJscz48L3VybHM+PGVsZWN0cm9uaWMtcmVz
b3VyY2UtbnVtPjEwLjEwMTcvUzEzNjg5ODAwMTUwMDIyMzI8L2VsZWN0cm9uaWMtcmVzb3VyY2Ut
bnVtPjwvcmVjb3JkPjwvQ2l0ZT48L0VuZE5vdGU+AG==
</w:fldData>
        </w:fldChar>
      </w:r>
      <w:r w:rsidR="00201490">
        <w:instrText xml:space="preserve"> ADDIN EN.CITE </w:instrText>
      </w:r>
      <w:r w:rsidR="00201490">
        <w:fldChar w:fldCharType="begin">
          <w:fldData xml:space="preserve">PEVuZE5vdGU+PENpdGU+PEF1dGhvcj5NYWxlazwvQXV0aG9yPjxZZWFyPjIwMTY8L1llYXI+PFJl
Y051bT4xNTI0PC9SZWNOdW0+PERpc3BsYXlUZXh0PjxzdHlsZSBmYWNlPSJzdXBlcnNjcmlwdCIg
Zm9udD0iVHJlYnVjaGV0IE1TIiBzaXplPSI5Ij42PC9zdHlsZT48L0Rpc3BsYXlUZXh0PjxyZWNv
cmQ+PHJlYy1udW1iZXI+MTUyNDwvcmVjLW51bWJlcj48Zm9yZWlnbi1rZXlzPjxrZXkgYXBwPSJF
TiIgZGItaWQ9ImV4dmFzcmZ4MmR0cmFvZXNhc3hwMnN6c3hhMmRmNTAyNTkyeCIgdGltZXN0YW1w
PSIxNTc2NDczMzE3Ij4xNTI0PC9rZXk+PGtleSBhcHA9IkVOV2ViIiBkYi1pZD0iIj4wPC9rZXk+
PC9mb3JlaWduLWtleXM+PHJlZi10eXBlIG5hbWU9IkpvdXJuYWwgQXJ0aWNsZSI+MTc8L3JlZi10
eXBlPjxjb250cmlidXRvcnM+PGF1dGhvcnM+PGF1dGhvcj5NYWxlaywgTC48L2F1dGhvcj48YXV0
aG9yPlVtYmVyZ2VyLCBXLjwvYXV0aG9yPjxhdXRob3I+TWFrcmlkZXMsIE0uPC9hdXRob3I+PGF1
dGhvcj5aaG91LCBTLiBKLjwvYXV0aG9yPjwvYXV0aG9ycz48L2NvbnRyaWJ1dG9ycz48YXV0aC1h
ZGRyZXNzPjFHbG9iYWwgRm9vZCBTdHVkaWVzLCBGYWN1bHR5IG9mIHRoZSBQcm9mZXNzaW9ucyxV
bml2ZXJzaXR5IG9mIEFkZWxhaWRlLEFkZWxhaWRlLFNvdXRoIEF1c3RyYWxpYSxBdXN0cmFsaWEu
JiN4RDsyV29tZW4mYXBvcztzICZhbXA7IENoaWxkcmVuJmFwb3M7cyBIZWFsdGggUmVzZWFyY2gg
SW5zdGl0dXRlLE5vcnRoIEFkZWxhaWRlLFNvdXRoIEF1c3RyYWxpYSxBdXN0cmFsaWEuPC9hdXRo
LWFkZHJlc3M+PHRpdGxlcz48dGl0bGU+QWRoZXJlbmNlIHRvIHRoZSBBdXN0cmFsaWFuIGRpZXRh
cnkgZ3VpZGVsaW5lcyBkdXJpbmcgcHJlZ25hbmN5OiBldmlkZW5jZSBmcm9tIGEgbmF0aW9uYWwg
c3R1ZHk8L3RpdGxlPjxzZWNvbmRhcnktdGl0bGU+UHVibGljIEhlYWx0aCBOdXRyPC9zZWNvbmRh
cnktdGl0bGU+PC90aXRsZXM+PHBlcmlvZGljYWw+PGZ1bGwtdGl0bGU+UHVibGljIEhlYWx0aCBO
dXRyPC9mdWxsLXRpdGxlPjwvcGVyaW9kaWNhbD48cGFnZXM+MTE1NS02MzwvcGFnZXM+PHZvbHVt
ZT4xOTwvdm9sdW1lPjxudW1iZXI+NzwvbnVtYmVyPjxlZGl0aW9uPjIwMTUvMDgvMDE8L2VkaXRp
b24+PGtleXdvcmRzPjxrZXl3b3JkPkFkb2xlc2NlbnQ8L2tleXdvcmQ+PGtleXdvcmQ+QWR1bHQ8
L2tleXdvcmQ+PGtleXdvcmQ+QXVzdHJhbGlhPC9rZXl3b3JkPjxrZXl3b3JkPkNvaG9ydCBTdHVk
aWVzPC9rZXl3b3JkPjxrZXl3b3JkPkNyb3NzLVNlY3Rpb25hbCBTdHVkaWVzPC9rZXl3b3JkPjxr
ZXl3b3JkPkRhaXJ5IFByb2R1Y3RzPC9rZXl3b3JkPjxrZXl3b3JkPipEaWV0LCBIZWFsdGh5PC9r
ZXl3b3JkPjxrZXl3b3JkPkVuZXJneSBJbnRha2U8L2tleXdvcmQ+PGtleXdvcmQ+RmVtYWxlPC9r
ZXl3b3JkPjxrZXl3b3JkPkZydWl0PC9rZXl3b3JkPjxrZXl3b3JkPkh1bWFuczwva2V5d29yZD48
a2V5d29yZD5Mb2dpc3RpYyBNb2RlbHM8L2tleXdvcmQ+PGtleXdvcmQ+TWlkZGxlIEFnZWQ8L2tl
eXdvcmQ+PGtleXdvcmQ+Kk51dHJpdGlvbiBQb2xpY3k8L2tleXdvcmQ+PGtleXdvcmQ+TnV0cml0
aW9uIFN1cnZleXM8L2tleXdvcmQ+PGtleXdvcmQ+T3ZlcndlaWdodDwva2V5d29yZD48a2V5d29y
ZD5QYXRpZW50IENvbXBsaWFuY2UvKnN0YXRpc3RpY3MgJmFtcDsgbnVtZXJpY2FsIGRhdGE8L2tl
eXdvcmQ+PGtleXdvcmQ+UHJlZ25hbmN5PC9rZXl3b3JkPjxrZXl3b3JkPlByZWduYW50IFdvbWVu
PC9rZXl3b3JkPjxrZXl3b3JkPlNvY2lvZWNvbm9taWMgRmFjdG9yczwva2V5d29yZD48a2V5d29y
ZD5WZWdldGFibGVzPC9rZXl3b3JkPjxrZXl3b3JkPllvdW5nIEFkdWx0PC9rZXl3b3JkPjxrZXl3
b3JkPkRpZXQgY2hhbmdlPC9rZXl3b3JkPjxrZXl3b3JkPkRpZXRhcnkgZ3VpZGVsaW5lczwva2V5
d29yZD48a2V5d29yZD5Gb29kIGdyb3VwIHJlY29tbWVuZGF0aW9uczwva2V5d29yZD48L2tleXdv
cmRzPjxkYXRlcz48eWVhcj4yMDE2PC95ZWFyPjxwdWItZGF0ZXM+PGRhdGU+TWF5PC9kYXRlPjwv
cHViLWRhdGVzPjwvZGF0ZXM+PGlzYm4+MTQ3NS0yNzI3IChFbGVjdHJvbmljKSYjeEQ7MTM2OC05
ODAwIChMaW5raW5nKTwvaXNibj48YWNjZXNzaW9uLW51bT4yNjIyODUyNjwvYWNjZXNzaW9uLW51
bT48dXJscz48cmVsYXRlZC11cmxzPjx1cmw+aHR0cHM6Ly93d3cubmNiaS5ubG0ubmloLmdvdi9w
dWJtZWQvMjYyMjg1MjY8L3VybD48L3JlbGF0ZWQtdXJscz48L3VybHM+PGVsZWN0cm9uaWMtcmVz
b3VyY2UtbnVtPjEwLjEwMTcvUzEzNjg5ODAwMTUwMDIyMzI8L2VsZWN0cm9uaWMtcmVzb3VyY2Ut
bnVtPjwvcmVjb3JkPjwvQ2l0ZT48L0VuZE5vdGU+AG==
</w:fldData>
        </w:fldChar>
      </w:r>
      <w:r w:rsidR="00201490">
        <w:instrText xml:space="preserve"> ADDIN EN.CITE.DATA </w:instrText>
      </w:r>
      <w:r w:rsidR="00201490">
        <w:fldChar w:fldCharType="end"/>
      </w:r>
      <w:r w:rsidR="00201490">
        <w:fldChar w:fldCharType="separate"/>
      </w:r>
      <w:r w:rsidR="00201490" w:rsidRPr="00201490">
        <w:rPr>
          <w:noProof/>
          <w:vertAlign w:val="superscript"/>
        </w:rPr>
        <w:t>6</w:t>
      </w:r>
      <w:r w:rsidR="00201490">
        <w:fldChar w:fldCharType="end"/>
      </w:r>
      <w:r>
        <w:t xml:space="preserve"> found that only some women met the </w:t>
      </w:r>
      <w:r w:rsidRPr="003707D0">
        <w:t>recommendations for fruit</w:t>
      </w:r>
      <w:r>
        <w:t xml:space="preserve"> (56%)</w:t>
      </w:r>
      <w:r w:rsidRPr="003707D0">
        <w:t xml:space="preserve">, dairy </w:t>
      </w:r>
      <w:r>
        <w:t xml:space="preserve">(29%) </w:t>
      </w:r>
      <w:r w:rsidRPr="003707D0">
        <w:t>and other core food groups</w:t>
      </w:r>
      <w:r>
        <w:t xml:space="preserve"> (&lt;10%)</w:t>
      </w:r>
      <w:r w:rsidRPr="003707D0">
        <w:t xml:space="preserve">. None of the women met the recommendations for all five food groups. Women who were born overseas and who were less physically active pre-pregnancy were less likely to adhere to the fruit and dairy recommendations. Women who smoked during pregnancy, were overweight pre-pregnancy and had lower household incomes were also less likely to meet the fruit recommendations; and women living in metropolitan areas were less likely to meet the vegetable recommendations. Sixty-one per cent believed their diet during this pregnancy was healthy. </w:t>
      </w:r>
    </w:p>
    <w:p w14:paraId="1916A9F7" w14:textId="66A63AB9" w:rsidR="006627CD" w:rsidRDefault="006627CD" w:rsidP="00B56378">
      <w:pPr>
        <w:pStyle w:val="bullet"/>
      </w:pPr>
      <w:r w:rsidRPr="006627CD">
        <w:t>In a study using data from the Australian Longitudinal Study on Women's Health</w:t>
      </w:r>
      <w:r w:rsidR="00631ADA">
        <w:t xml:space="preserve"> (</w:t>
      </w:r>
      <w:r w:rsidR="00631ADA" w:rsidRPr="00631ADA">
        <w:rPr>
          <w:sz w:val="16"/>
          <w:szCs w:val="16"/>
        </w:rPr>
        <w:t>n=1,999</w:t>
      </w:r>
      <w:r w:rsidR="00631ADA">
        <w:t>)</w:t>
      </w:r>
      <w:r>
        <w:t>,</w:t>
      </w:r>
      <w:r w:rsidR="00201490">
        <w:fldChar w:fldCharType="begin">
          <w:fldData xml:space="preserve">PEVuZE5vdGU+PENpdGU+PEF1dGhvcj5NaXNocmE8L0F1dGhvcj48WWVhcj4yMDE1PC9ZZWFyPjxS
ZWNOdW0+MTUyNTwvUmVjTnVtPjxEaXNwbGF5VGV4dD48c3R5bGUgZmFjZT0ic3VwZXJzY3JpcHQi
IGZvbnQ9IlRyZWJ1Y2hldCBNUyIgc2l6ZT0iOSI+Nzwvc3R5bGU+PC9EaXNwbGF5VGV4dD48cmVj
b3JkPjxyZWMtbnVtYmVyPjE1MjU8L3JlYy1udW1iZXI+PGZvcmVpZ24ta2V5cz48a2V5IGFwcD0i
RU4iIGRiLWlkPSJleHZhc3JmeDJkdHJhb2VzYXN4cDJzenN4YTJkZjUwMjU5MngiIHRpbWVzdGFt
cD0iMTU3NjQ3MzMyMCI+MTUyNTwva2V5PjxrZXkgYXBwPSJFTldlYiIgZGItaWQ9IiI+MDwva2V5
PjwvZm9yZWlnbi1rZXlzPjxyZWYtdHlwZSBuYW1lPSJKb3VybmFsIEFydGljbGUiPjE3PC9yZWYt
dHlwZT48Y29udHJpYnV0b3JzPjxhdXRob3JzPjxhdXRob3I+TWlzaHJhLCBHLiBELjwvYXV0aG9y
PjxhdXRob3I+U2Nob2VuYWtlciwgRC4gQS48L2F1dGhvcj48YXV0aG9yPk1paHJzaGFoaSwgUy48
L2F1dGhvcj48YXV0aG9yPkRvYnNvbiwgQS4gSi48L2F1dGhvcj48L2F1dGhvcnM+PC9jb250cmli
dXRvcnM+PGF1dGgtYWRkcmVzcz5TY2hvb2wgb2YgUG9wdWxhdGlvbiBIZWFsdGgsVW5pdmVyc2l0
eSBvZiBRdWVlbnNsYW5kLEhlcnN0b24sUUxEIDQwMDYsQXVzdHJhbGlhLjwvYXV0aC1hZGRyZXNz
Pjx0aXRsZXM+PHRpdGxlPkhvdyBkbyB3b21lbiZhcG9zO3MgZGlldHMgY29tcGFyZSB3aXRoIHRo
ZSBuZXcgQXVzdHJhbGlhbiBkaWV0YXJ5IGd1aWRlbGluZXM/PC90aXRsZT48c2Vjb25kYXJ5LXRp
dGxlPlB1YmxpYyBIZWFsdGggTnV0cjwvc2Vjb25kYXJ5LXRpdGxlPjwvdGl0bGVzPjxwZXJpb2Rp
Y2FsPjxmdWxsLXRpdGxlPlB1YmxpYyBIZWFsdGggTnV0cjwvZnVsbC10aXRsZT48L3BlcmlvZGlj
YWw+PHBhZ2VzPjIxOC0yNTwvcGFnZXM+PHZvbHVtZT4xODwvdm9sdW1lPjxudW1iZXI+MjwvbnVt
YmVyPjxlZGl0aW9uPjIwMTQvMDMvMDU8L2VkaXRpb24+PGtleXdvcmRzPjxrZXl3b3JkPkFkdWx0
PC9rZXl3b3JkPjxrZXl3b3JkPkFnZSBGYWN0b3JzPC9rZXl3b3JkPjxrZXl3b3JkPkFnZWQ8L2tl
eXdvcmQ+PGtleXdvcmQ+QXVzdHJhbGlhPC9rZXl3b3JkPjxrZXl3b3JkPkNvaG9ydCBTdHVkaWVz
PC9rZXl3b3JkPjxrZXl3b3JkPkNyb3NzLVNlY3Rpb25hbCBTdHVkaWVzPC9rZXl3b3JkPjxrZXl3
b3JkPkRhaXJ5IFByb2R1Y3RzPC9rZXl3b3JkPjxrZXl3b3JkPkRpZXQvKmFkdmVyc2UgZWZmZWN0
czwva2V5d29yZD48a2V5d29yZD5FZGlibGUgR3JhaW48L2tleXdvcmQ+PGtleXdvcmQ+RWxkZXIg
TnV0cml0aW9uYWwgUGh5c2lvbG9naWNhbCBQaGVub21lbmE8L2tleXdvcmQ+PGtleXdvcmQ+RmVt
YWxlPC9rZXl3b3JkPjxrZXl3b3JkPkZydWl0PC9rZXl3b3JkPjxrZXl3b3JkPkh1bWFuczwva2V5
d29yZD48a2V5d29yZD5Mb25naXR1ZGluYWwgU3R1ZGllczwva2V5d29yZD48a2V5d29yZD4qTWF0
ZXJuYWwgTnV0cml0aW9uYWwgUGh5c2lvbG9naWNhbCBQaGVub21lbmE8L2tleXdvcmQ+PGtleXdv
cmQ+TWlkZGxlIEFnZWQ8L2tleXdvcmQ+PGtleXdvcmQ+Kk51dHJpdGlvbiBQb2xpY3kvdHJlbmRz
PC9rZXl3b3JkPjxrZXl3b3JkPk51dHJpdGlvbiBTdXJ2ZXlzPC9rZXl3b3JkPjxrZXl3b3JkPipQ
YXRpZW50IENvbXBsaWFuY2U8L2tleXdvcmQ+PGtleXdvcmQ+UHJlZ25hbmN5PC9rZXl3b3JkPjxr
ZXl3b3JkPlZlZ2V0YWJsZXM8L2tleXdvcmQ+PGtleXdvcmQ+QWRoZXJlbmNlPC9rZXl3b3JkPjxr
ZXl3b3JkPkRpZXRhcnkgZ3VpZGVsaW5lczwva2V5d29yZD48L2tleXdvcmRzPjxkYXRlcz48eWVh
cj4yMDE1PC95ZWFyPjxwdWItZGF0ZXM+PGRhdGU+RmViPC9kYXRlPjwvcHViLWRhdGVzPjwvZGF0
ZXM+PGlzYm4+MTQ3NS0yNzI3IChFbGVjdHJvbmljKSYjeEQ7MTM2OC05ODAwIChMaW5raW5nKTwv
aXNibj48YWNjZXNzaW9uLW51bT4yNDU4OTIyNTwvYWNjZXNzaW9uLW51bT48dXJscz48cmVsYXRl
ZC11cmxzPjx1cmw+aHR0cHM6Ly93d3cubmNiaS5ubG0ubmloLmdvdi9wdWJtZWQvMjQ1ODkyMjU8
L3VybD48L3JlbGF0ZWQtdXJscz48L3VybHM+PGVsZWN0cm9uaWMtcmVzb3VyY2UtbnVtPjEwLjEw
MTcvUzEzNjg5ODAwMTQwMDAxMzU8L2VsZWN0cm9uaWMtcmVzb3VyY2UtbnVtPjwvcmVjb3JkPjwv
Q2l0ZT48L0VuZE5vdGU+AG==
</w:fldData>
        </w:fldChar>
      </w:r>
      <w:r w:rsidR="00201490">
        <w:instrText xml:space="preserve"> ADDIN EN.CITE </w:instrText>
      </w:r>
      <w:r w:rsidR="00201490">
        <w:fldChar w:fldCharType="begin">
          <w:fldData xml:space="preserve">PEVuZE5vdGU+PENpdGU+PEF1dGhvcj5NaXNocmE8L0F1dGhvcj48WWVhcj4yMDE1PC9ZZWFyPjxS
ZWNOdW0+MTUyNTwvUmVjTnVtPjxEaXNwbGF5VGV4dD48c3R5bGUgZmFjZT0ic3VwZXJzY3JpcHQi
IGZvbnQ9IlRyZWJ1Y2hldCBNUyIgc2l6ZT0iOSI+Nzwvc3R5bGU+PC9EaXNwbGF5VGV4dD48cmVj
b3JkPjxyZWMtbnVtYmVyPjE1MjU8L3JlYy1udW1iZXI+PGZvcmVpZ24ta2V5cz48a2V5IGFwcD0i
RU4iIGRiLWlkPSJleHZhc3JmeDJkdHJhb2VzYXN4cDJzenN4YTJkZjUwMjU5MngiIHRpbWVzdGFt
cD0iMTU3NjQ3MzMyMCI+MTUyNTwva2V5PjxrZXkgYXBwPSJFTldlYiIgZGItaWQ9IiI+MDwva2V5
PjwvZm9yZWlnbi1rZXlzPjxyZWYtdHlwZSBuYW1lPSJKb3VybmFsIEFydGljbGUiPjE3PC9yZWYt
dHlwZT48Y29udHJpYnV0b3JzPjxhdXRob3JzPjxhdXRob3I+TWlzaHJhLCBHLiBELjwvYXV0aG9y
PjxhdXRob3I+U2Nob2VuYWtlciwgRC4gQS48L2F1dGhvcj48YXV0aG9yPk1paHJzaGFoaSwgUy48
L2F1dGhvcj48YXV0aG9yPkRvYnNvbiwgQS4gSi48L2F1dGhvcj48L2F1dGhvcnM+PC9jb250cmli
dXRvcnM+PGF1dGgtYWRkcmVzcz5TY2hvb2wgb2YgUG9wdWxhdGlvbiBIZWFsdGgsVW5pdmVyc2l0
eSBvZiBRdWVlbnNsYW5kLEhlcnN0b24sUUxEIDQwMDYsQXVzdHJhbGlhLjwvYXV0aC1hZGRyZXNz
Pjx0aXRsZXM+PHRpdGxlPkhvdyBkbyB3b21lbiZhcG9zO3MgZGlldHMgY29tcGFyZSB3aXRoIHRo
ZSBuZXcgQXVzdHJhbGlhbiBkaWV0YXJ5IGd1aWRlbGluZXM/PC90aXRsZT48c2Vjb25kYXJ5LXRp
dGxlPlB1YmxpYyBIZWFsdGggTnV0cjwvc2Vjb25kYXJ5LXRpdGxlPjwvdGl0bGVzPjxwZXJpb2Rp
Y2FsPjxmdWxsLXRpdGxlPlB1YmxpYyBIZWFsdGggTnV0cjwvZnVsbC10aXRsZT48L3BlcmlvZGlj
YWw+PHBhZ2VzPjIxOC0yNTwvcGFnZXM+PHZvbHVtZT4xODwvdm9sdW1lPjxudW1iZXI+MjwvbnVt
YmVyPjxlZGl0aW9uPjIwMTQvMDMvMDU8L2VkaXRpb24+PGtleXdvcmRzPjxrZXl3b3JkPkFkdWx0
PC9rZXl3b3JkPjxrZXl3b3JkPkFnZSBGYWN0b3JzPC9rZXl3b3JkPjxrZXl3b3JkPkFnZWQ8L2tl
eXdvcmQ+PGtleXdvcmQ+QXVzdHJhbGlhPC9rZXl3b3JkPjxrZXl3b3JkPkNvaG9ydCBTdHVkaWVz
PC9rZXl3b3JkPjxrZXl3b3JkPkNyb3NzLVNlY3Rpb25hbCBTdHVkaWVzPC9rZXl3b3JkPjxrZXl3
b3JkPkRhaXJ5IFByb2R1Y3RzPC9rZXl3b3JkPjxrZXl3b3JkPkRpZXQvKmFkdmVyc2UgZWZmZWN0
czwva2V5d29yZD48a2V5d29yZD5FZGlibGUgR3JhaW48L2tleXdvcmQ+PGtleXdvcmQ+RWxkZXIg
TnV0cml0aW9uYWwgUGh5c2lvbG9naWNhbCBQaGVub21lbmE8L2tleXdvcmQ+PGtleXdvcmQ+RmVt
YWxlPC9rZXl3b3JkPjxrZXl3b3JkPkZydWl0PC9rZXl3b3JkPjxrZXl3b3JkPkh1bWFuczwva2V5
d29yZD48a2V5d29yZD5Mb25naXR1ZGluYWwgU3R1ZGllczwva2V5d29yZD48a2V5d29yZD4qTWF0
ZXJuYWwgTnV0cml0aW9uYWwgUGh5c2lvbG9naWNhbCBQaGVub21lbmE8L2tleXdvcmQ+PGtleXdv
cmQ+TWlkZGxlIEFnZWQ8L2tleXdvcmQ+PGtleXdvcmQ+Kk51dHJpdGlvbiBQb2xpY3kvdHJlbmRz
PC9rZXl3b3JkPjxrZXl3b3JkPk51dHJpdGlvbiBTdXJ2ZXlzPC9rZXl3b3JkPjxrZXl3b3JkPipQ
YXRpZW50IENvbXBsaWFuY2U8L2tleXdvcmQ+PGtleXdvcmQ+UHJlZ25hbmN5PC9rZXl3b3JkPjxr
ZXl3b3JkPlZlZ2V0YWJsZXM8L2tleXdvcmQ+PGtleXdvcmQ+QWRoZXJlbmNlPC9rZXl3b3JkPjxr
ZXl3b3JkPkRpZXRhcnkgZ3VpZGVsaW5lczwva2V5d29yZD48L2tleXdvcmRzPjxkYXRlcz48eWVh
cj4yMDE1PC95ZWFyPjxwdWItZGF0ZXM+PGRhdGU+RmViPC9kYXRlPjwvcHViLWRhdGVzPjwvZGF0
ZXM+PGlzYm4+MTQ3NS0yNzI3IChFbGVjdHJvbmljKSYjeEQ7MTM2OC05ODAwIChMaW5raW5nKTwv
aXNibj48YWNjZXNzaW9uLW51bT4yNDU4OTIyNTwvYWNjZXNzaW9uLW51bT48dXJscz48cmVsYXRl
ZC11cmxzPjx1cmw+aHR0cHM6Ly93d3cubmNiaS5ubG0ubmloLmdvdi9wdWJtZWQvMjQ1ODkyMjU8
L3VybD48L3JlbGF0ZWQtdXJscz48L3VybHM+PGVsZWN0cm9uaWMtcmVzb3VyY2UtbnVtPjEwLjEw
MTcvUzEzNjg5ODAwMTQwMDAxMzU8L2VsZWN0cm9uaWMtcmVzb3VyY2UtbnVtPjwvcmVjb3JkPjwv
Q2l0ZT48L0VuZE5vdGU+AG==
</w:fldData>
        </w:fldChar>
      </w:r>
      <w:r w:rsidR="00201490">
        <w:instrText xml:space="preserve"> ADDIN EN.CITE.DATA </w:instrText>
      </w:r>
      <w:r w:rsidR="00201490">
        <w:fldChar w:fldCharType="end"/>
      </w:r>
      <w:r w:rsidR="00201490">
        <w:fldChar w:fldCharType="separate"/>
      </w:r>
      <w:r w:rsidR="00201490" w:rsidRPr="00201490">
        <w:rPr>
          <w:noProof/>
          <w:vertAlign w:val="superscript"/>
        </w:rPr>
        <w:t>7</w:t>
      </w:r>
      <w:r w:rsidR="00201490">
        <w:fldChar w:fldCharType="end"/>
      </w:r>
      <w:r>
        <w:t xml:space="preserve"> half of pregnant women </w:t>
      </w:r>
      <w:r w:rsidRPr="006627CD">
        <w:t xml:space="preserve">met </w:t>
      </w:r>
      <w:r w:rsidRPr="003B3DE2">
        <w:t>2013 Australia</w:t>
      </w:r>
      <w:r>
        <w:t>n Dietary Guidelines</w:t>
      </w:r>
      <w:r w:rsidRPr="006627CD">
        <w:t xml:space="preserve"> </w:t>
      </w:r>
      <w:r>
        <w:t>for fruit</w:t>
      </w:r>
      <w:r w:rsidRPr="006627CD">
        <w:t xml:space="preserve"> but low percentages reached guidelines for dairy (2</w:t>
      </w:r>
      <w:r>
        <w:t>2%), meat and alternatives (10</w:t>
      </w:r>
      <w:r w:rsidR="00B56378">
        <w:t xml:space="preserve">%), </w:t>
      </w:r>
      <w:r>
        <w:t>cereals (2.5</w:t>
      </w:r>
      <w:r w:rsidRPr="006627CD">
        <w:t>%)</w:t>
      </w:r>
      <w:r w:rsidR="00B56378">
        <w:t xml:space="preserve"> and vegetables (1.7%)</w:t>
      </w:r>
      <w:r w:rsidRPr="006627CD">
        <w:t xml:space="preserve">. </w:t>
      </w:r>
    </w:p>
    <w:p w14:paraId="249511B7" w14:textId="1CA2A120" w:rsidR="003B3DE2" w:rsidRPr="003B3DE2" w:rsidRDefault="003B3DE2" w:rsidP="003B3DE2">
      <w:pPr>
        <w:pStyle w:val="bullet"/>
      </w:pPr>
      <w:r>
        <w:t>A Victorian study comparing</w:t>
      </w:r>
      <w:r w:rsidRPr="003B3DE2">
        <w:t xml:space="preserve"> the dietary intake of pregnant women to the 2013 Australia</w:t>
      </w:r>
      <w:r>
        <w:t>n Dietary Guidelines</w:t>
      </w:r>
      <w:r w:rsidR="00EA363D">
        <w:t xml:space="preserve"> (</w:t>
      </w:r>
      <w:r w:rsidR="00EA363D" w:rsidRPr="00EA363D">
        <w:rPr>
          <w:sz w:val="16"/>
          <w:szCs w:val="16"/>
        </w:rPr>
        <w:t>n=1,570</w:t>
      </w:r>
      <w:r w:rsidR="00EA363D">
        <w:t>)</w:t>
      </w:r>
      <w:r w:rsidR="003E2D58">
        <w:fldChar w:fldCharType="begin">
          <w:fldData xml:space="preserve">PEVuZE5vdGU+PENpdGU+PEF1dGhvcj5MZWU8L0F1dGhvcj48WWVhcj4yMDE4PC9ZZWFyPjxSZWNO
dW0+MTQ1MzwvUmVjTnVtPjxEaXNwbGF5VGV4dD48c3R5bGUgZmFjZT0ic3VwZXJzY3JpcHQiIGZv
bnQ9IlRyZWJ1Y2hldCBNUyIgc2l6ZT0iOSI+ODwvc3R5bGU+PC9EaXNwbGF5VGV4dD48cmVjb3Jk
PjxyZWMtbnVtYmVyPjE0NTM8L3JlYy1udW1iZXI+PGZvcmVpZ24ta2V5cz48a2V5IGFwcD0iRU4i
IGRiLWlkPSJleHZhc3JmeDJkdHJhb2VzYXN4cDJzenN4YTJkZjUwMjU5MngiIHRpbWVzdGFtcD0i
MTU3NDAzOTU1NiI+MTQ1Mzwva2V5PjxrZXkgYXBwPSJFTldlYiIgZGItaWQ9IiI+MDwva2V5Pjwv
Zm9yZWlnbi1rZXlzPjxyZWYtdHlwZSBuYW1lPSJKb3VybmFsIEFydGljbGUiPjE3PC9yZWYtdHlw
ZT48Y29udHJpYnV0b3JzPjxhdXRob3JzPjxhdXRob3I+TGVlLCBBLjwvYXV0aG9yPjxhdXRob3I+
TXVnZ2xpLCBFLjwvYXV0aG9yPjxhdXRob3I+SGFsbGlkYXksIEouPC9hdXRob3I+PGF1dGhvcj5M
ZXdpcywgUy48L2F1dGhvcj48YXV0aG9yPkdhc3BhcmluaSwgRS48L2F1dGhvcj48YXV0aG9yPkZv
cnN0ZXIsIEQuPC9hdXRob3I+PC9hdXRob3JzPjwvY29udHJpYnV0b3JzPjxhdXRoLWFkZHJlc3M+
Um95YWwgV29tZW4mYXBvcztzIEhvc3BpdGFsLCAyMCBGbGVtaW5ndG9uIFJvYWQsIFBhcmt2aWxs
ZSwgVmljdG9yaWEgMzA1MiwgQXVzdHJhbGlhLiBFbGVjdHJvbmljIGFkZHJlc3M6IEFtZWxpYS5s
ZWVAdGhld29tZW5zLm9yZy5hdS4mI3hEO011cmRvY2ggQ2hpbGRyZW4mYXBvcztzIFJlc2VhcmNo
IEluc3RpdHV0ZSwgUGFya3ZpbGxlLCBWaWN0b3JpYSAzMDUyLCBBdXN0cmFsaWE7IFVuaXZlcnNp
dHkgb2YgTWVsYm91cm5lLCBQYXJrdmlsbGUsIFZpY3RvcmlhIDMwNTIsIEF1c3RyYWxpYS4gRWxl
Y3Ryb25pYyBhZGRyZXNzOiBldmkubXVnZ2xpQG1jcmkuZWR1LmF1LiYjeEQ7TXVyZG9jaCBDaGls
ZHJlbiZhcG9zO3MgUmVzZWFyY2ggSW5zdGl0dXRlLCBQYXJrdmlsbGUsIFZpY3RvcmlhIDMwNTIs
IEF1c3RyYWxpYTsgVW5pdmVyc2l0eSBvZiBNZWxib3VybmUsIFBhcmt2aWxsZSwgVmljdG9yaWEg
MzA1MiwgQXVzdHJhbGlhLiBFbGVjdHJvbmljIGFkZHJlc3M6IGphbmVoYWxsaWRheS5oQG1jcmku
ZWR1LmF1LiYjeEQ7TXVyZG9jaCBDaGlsZHJlbiZhcG9zO3MgUmVzZWFyY2ggSW5zdGl0dXRlLCBQ
YXJrdmlsbGUsIFZpY3RvcmlhIDMwNTIsIEF1c3RyYWxpYTsgVW5pdmVyc2l0eSBvZiBNZWxib3Vy
bmUsIFBhcmt2aWxsZSwgVmljdG9yaWEgMzA1MiwgQXVzdHJhbGlhLiBFbGVjdHJvbmljIGFkZHJl
c3M6IHNoYXJvbi5sZXdpc0BtY3JpLmVkdS5hdS4mI3hEO1JveWFsIFdvbWVuJmFwb3M7cyBIb3Nw
aXRhbCwgMjAgRmxlbWluZ3RvbiBSb2FkLCBQYXJrdmlsbGUsIFZpY3RvcmlhIDMwNTIsIEF1c3Ry
YWxpYS4gRWxlY3Ryb25pYyBhZGRyZXNzOiBFbGlzYWJldGguZ2FzcGFyaW5pQHRoZXdvbWVucy5v
cmcuYXUuJiN4RDtSb3lhbCBXb21lbiZhcG9zO3MgSG9zcGl0YWwsIDIwIEZsZW1pbmd0b24gUm9h
ZCwgUGFya3ZpbGxlLCBWaWN0b3JpYSAzMDUyLCBBdXN0cmFsaWE7IExhdHJvYmUgVW5pdmVyc2l0
eSwgQnVuZG9vcmEsIFZpY3RvcmlhIDMwODYsIEF1c3RyYWxpYS4gRWxlY3Ryb25pYyBhZGRyZXNz
OiBEZWxsYS5Gb3JzdGVyQHRoZXdvbWVucy5vcmcuYXUuPC9hdXRoLWFkZHJlc3M+PHRpdGxlcz48
dGl0bGU+V2hhdCBkbyBwcmVnbmFudCB3b21lbiBlYXQsIGFuZCBhcmUgdGhleSBtZWV0aW5nIHRo
ZSByZWNvbW1lbmRlZCBkaWV0YXJ5IHJlcXVpcmVtZW50cyBmb3IgcHJlZ25hbmN5PzwvdGl0bGU+
PHNlY29uZGFyeS10aXRsZT5NaWR3aWZlcnk8L3NlY29uZGFyeS10aXRsZT48L3RpdGxlcz48cGVy
aW9kaWNhbD48ZnVsbC10aXRsZT5NaWR3aWZlcnk8L2Z1bGwtdGl0bGU+PC9wZXJpb2RpY2FsPjxw
YWdlcz43MC03NjwvcGFnZXM+PHZvbHVtZT42Nzwvdm9sdW1lPjxlZGl0aW9uPjIwMTgvMDkvMzA8
L2VkaXRpb24+PGtleXdvcmRzPjxrZXl3b3JkPkFkdWx0PC9rZXl3b3JkPjxrZXl3b3JkPkNvaG9y
dCBTdHVkaWVzPC9rZXl3b3JkPjxrZXl3b3JkPipFbmVyZ3kgSW50YWtlPC9rZXl3b3JkPjxrZXl3
b3JkPipGZWVkaW5nIEJlaGF2aW9yPC9rZXl3b3JkPjxrZXl3b3JkPkZlbWFsZTwva2V5d29yZD48
a2V5d29yZD5Gb29kPC9rZXl3b3JkPjxrZXl3b3JkPkh1bWFuczwva2V5d29yZD48a2V5d29yZD5N
aWR3aWZlcnk8L2tleXdvcmQ+PGtleXdvcmQ+Kk51dHJpdGlvbiBQb2xpY3k8L2tleXdvcmQ+PGtl
eXdvcmQ+Kk51dHJpdGlvbmFsIFJlcXVpcmVtZW50czwva2V5d29yZD48a2V5d29yZD5QcmVnbmFu
Y3k8L2tleXdvcmQ+PGtleXdvcmQ+UHJlbmF0YWwgQ2FyZTwva2V5d29yZD48a2V5d29yZD5Qcm9z
cGVjdGl2ZSBTdHVkaWVzPC9rZXl3b3JkPjxrZXl3b3JkPlN1cnZleXMgYW5kIFF1ZXN0aW9ubmFp
cmVzPC9rZXl3b3JkPjxrZXl3b3JkPlZpY3RvcmlhPC9rZXl3b3JkPjxrZXl3b3JkPllvdW5nIEFk
dWx0PC9rZXl3b3JkPjxrZXl3b3JkPkRpZXRhcnkgZ3VpZGVsaW5lczwva2V5d29yZD48a2V5d29y
ZD5EaWV0YXJ5IGludGFrZTwva2V5d29yZD48a2V5d29yZD5Gb29kIGZyZXF1ZW5jeSBxdWVzdGlv
bm5haXJlPC9rZXl3b3JkPjxrZXl3b3JkPlByZWduYW50IHdvbWVuPC9rZXl3b3JkPjwva2V5d29y
ZHM+PGRhdGVzPjx5ZWFyPjIwMTg8L3llYXI+PHB1Yi1kYXRlcz48ZGF0ZT5EZWM8L2RhdGU+PC9w
dWItZGF0ZXM+PC9kYXRlcz48aXNibj4xNTMyLTMwOTkgKEVsZWN0cm9uaWMpJiN4RDswMjY2LTYx
MzggKExpbmtpbmcpPC9pc2JuPjxhY2Nlc3Npb24tbnVtPjMwMjY3OTM2PC9hY2Nlc3Npb24tbnVt
Pjx1cmxzPjxyZWxhdGVkLXVybHM+PHVybD5odHRwczovL3d3dy5uY2JpLm5sbS5uaWguZ292L3B1
Ym1lZC8zMDI2NzkzNjwvdXJsPjwvcmVsYXRlZC11cmxzPjwvdXJscz48ZWxlY3Ryb25pYy1yZXNv
dXJjZS1udW0+MTAuMTAxNi9qLm1pZHcuMjAxOC4wOS4wMDU8L2VsZWN0cm9uaWMtcmVzb3VyY2Ut
bnVtPjwvcmVjb3JkPjwvQ2l0ZT48L0VuZE5vdGU+AG==
</w:fldData>
        </w:fldChar>
      </w:r>
      <w:r w:rsidR="00201490">
        <w:instrText xml:space="preserve"> ADDIN EN.CITE </w:instrText>
      </w:r>
      <w:r w:rsidR="00201490">
        <w:fldChar w:fldCharType="begin">
          <w:fldData xml:space="preserve">PEVuZE5vdGU+PENpdGU+PEF1dGhvcj5MZWU8L0F1dGhvcj48WWVhcj4yMDE4PC9ZZWFyPjxSZWNO
dW0+MTQ1MzwvUmVjTnVtPjxEaXNwbGF5VGV4dD48c3R5bGUgZmFjZT0ic3VwZXJzY3JpcHQiIGZv
bnQ9IlRyZWJ1Y2hldCBNUyIgc2l6ZT0iOSI+ODwvc3R5bGU+PC9EaXNwbGF5VGV4dD48cmVjb3Jk
PjxyZWMtbnVtYmVyPjE0NTM8L3JlYy1udW1iZXI+PGZvcmVpZ24ta2V5cz48a2V5IGFwcD0iRU4i
IGRiLWlkPSJleHZhc3JmeDJkdHJhb2VzYXN4cDJzenN4YTJkZjUwMjU5MngiIHRpbWVzdGFtcD0i
MTU3NDAzOTU1NiI+MTQ1Mzwva2V5PjxrZXkgYXBwPSJFTldlYiIgZGItaWQ9IiI+MDwva2V5Pjwv
Zm9yZWlnbi1rZXlzPjxyZWYtdHlwZSBuYW1lPSJKb3VybmFsIEFydGljbGUiPjE3PC9yZWYtdHlw
ZT48Y29udHJpYnV0b3JzPjxhdXRob3JzPjxhdXRob3I+TGVlLCBBLjwvYXV0aG9yPjxhdXRob3I+
TXVnZ2xpLCBFLjwvYXV0aG9yPjxhdXRob3I+SGFsbGlkYXksIEouPC9hdXRob3I+PGF1dGhvcj5M
ZXdpcywgUy48L2F1dGhvcj48YXV0aG9yPkdhc3BhcmluaSwgRS48L2F1dGhvcj48YXV0aG9yPkZv
cnN0ZXIsIEQuPC9hdXRob3I+PC9hdXRob3JzPjwvY29udHJpYnV0b3JzPjxhdXRoLWFkZHJlc3M+
Um95YWwgV29tZW4mYXBvcztzIEhvc3BpdGFsLCAyMCBGbGVtaW5ndG9uIFJvYWQsIFBhcmt2aWxs
ZSwgVmljdG9yaWEgMzA1MiwgQXVzdHJhbGlhLiBFbGVjdHJvbmljIGFkZHJlc3M6IEFtZWxpYS5s
ZWVAdGhld29tZW5zLm9yZy5hdS4mI3hEO011cmRvY2ggQ2hpbGRyZW4mYXBvcztzIFJlc2VhcmNo
IEluc3RpdHV0ZSwgUGFya3ZpbGxlLCBWaWN0b3JpYSAzMDUyLCBBdXN0cmFsaWE7IFVuaXZlcnNp
dHkgb2YgTWVsYm91cm5lLCBQYXJrdmlsbGUsIFZpY3RvcmlhIDMwNTIsIEF1c3RyYWxpYS4gRWxl
Y3Ryb25pYyBhZGRyZXNzOiBldmkubXVnZ2xpQG1jcmkuZWR1LmF1LiYjeEQ7TXVyZG9jaCBDaGls
ZHJlbiZhcG9zO3MgUmVzZWFyY2ggSW5zdGl0dXRlLCBQYXJrdmlsbGUsIFZpY3RvcmlhIDMwNTIs
IEF1c3RyYWxpYTsgVW5pdmVyc2l0eSBvZiBNZWxib3VybmUsIFBhcmt2aWxsZSwgVmljdG9yaWEg
MzA1MiwgQXVzdHJhbGlhLiBFbGVjdHJvbmljIGFkZHJlc3M6IGphbmVoYWxsaWRheS5oQG1jcmku
ZWR1LmF1LiYjeEQ7TXVyZG9jaCBDaGlsZHJlbiZhcG9zO3MgUmVzZWFyY2ggSW5zdGl0dXRlLCBQ
YXJrdmlsbGUsIFZpY3RvcmlhIDMwNTIsIEF1c3RyYWxpYTsgVW5pdmVyc2l0eSBvZiBNZWxib3Vy
bmUsIFBhcmt2aWxsZSwgVmljdG9yaWEgMzA1MiwgQXVzdHJhbGlhLiBFbGVjdHJvbmljIGFkZHJl
c3M6IHNoYXJvbi5sZXdpc0BtY3JpLmVkdS5hdS4mI3hEO1JveWFsIFdvbWVuJmFwb3M7cyBIb3Nw
aXRhbCwgMjAgRmxlbWluZ3RvbiBSb2FkLCBQYXJrdmlsbGUsIFZpY3RvcmlhIDMwNTIsIEF1c3Ry
YWxpYS4gRWxlY3Ryb25pYyBhZGRyZXNzOiBFbGlzYWJldGguZ2FzcGFyaW5pQHRoZXdvbWVucy5v
cmcuYXUuJiN4RDtSb3lhbCBXb21lbiZhcG9zO3MgSG9zcGl0YWwsIDIwIEZsZW1pbmd0b24gUm9h
ZCwgUGFya3ZpbGxlLCBWaWN0b3JpYSAzMDUyLCBBdXN0cmFsaWE7IExhdHJvYmUgVW5pdmVyc2l0
eSwgQnVuZG9vcmEsIFZpY3RvcmlhIDMwODYsIEF1c3RyYWxpYS4gRWxlY3Ryb25pYyBhZGRyZXNz
OiBEZWxsYS5Gb3JzdGVyQHRoZXdvbWVucy5vcmcuYXUuPC9hdXRoLWFkZHJlc3M+PHRpdGxlcz48
dGl0bGU+V2hhdCBkbyBwcmVnbmFudCB3b21lbiBlYXQsIGFuZCBhcmUgdGhleSBtZWV0aW5nIHRo
ZSByZWNvbW1lbmRlZCBkaWV0YXJ5IHJlcXVpcmVtZW50cyBmb3IgcHJlZ25hbmN5PzwvdGl0bGU+
PHNlY29uZGFyeS10aXRsZT5NaWR3aWZlcnk8L3NlY29uZGFyeS10aXRsZT48L3RpdGxlcz48cGVy
aW9kaWNhbD48ZnVsbC10aXRsZT5NaWR3aWZlcnk8L2Z1bGwtdGl0bGU+PC9wZXJpb2RpY2FsPjxw
YWdlcz43MC03NjwvcGFnZXM+PHZvbHVtZT42Nzwvdm9sdW1lPjxlZGl0aW9uPjIwMTgvMDkvMzA8
L2VkaXRpb24+PGtleXdvcmRzPjxrZXl3b3JkPkFkdWx0PC9rZXl3b3JkPjxrZXl3b3JkPkNvaG9y
dCBTdHVkaWVzPC9rZXl3b3JkPjxrZXl3b3JkPipFbmVyZ3kgSW50YWtlPC9rZXl3b3JkPjxrZXl3
b3JkPipGZWVkaW5nIEJlaGF2aW9yPC9rZXl3b3JkPjxrZXl3b3JkPkZlbWFsZTwva2V5d29yZD48
a2V5d29yZD5Gb29kPC9rZXl3b3JkPjxrZXl3b3JkPkh1bWFuczwva2V5d29yZD48a2V5d29yZD5N
aWR3aWZlcnk8L2tleXdvcmQ+PGtleXdvcmQ+Kk51dHJpdGlvbiBQb2xpY3k8L2tleXdvcmQ+PGtl
eXdvcmQ+Kk51dHJpdGlvbmFsIFJlcXVpcmVtZW50czwva2V5d29yZD48a2V5d29yZD5QcmVnbmFu
Y3k8L2tleXdvcmQ+PGtleXdvcmQ+UHJlbmF0YWwgQ2FyZTwva2V5d29yZD48a2V5d29yZD5Qcm9z
cGVjdGl2ZSBTdHVkaWVzPC9rZXl3b3JkPjxrZXl3b3JkPlN1cnZleXMgYW5kIFF1ZXN0aW9ubmFp
cmVzPC9rZXl3b3JkPjxrZXl3b3JkPlZpY3RvcmlhPC9rZXl3b3JkPjxrZXl3b3JkPllvdW5nIEFk
dWx0PC9rZXl3b3JkPjxrZXl3b3JkPkRpZXRhcnkgZ3VpZGVsaW5lczwva2V5d29yZD48a2V5d29y
ZD5EaWV0YXJ5IGludGFrZTwva2V5d29yZD48a2V5d29yZD5Gb29kIGZyZXF1ZW5jeSBxdWVzdGlv
bm5haXJlPC9rZXl3b3JkPjxrZXl3b3JkPlByZWduYW50IHdvbWVuPC9rZXl3b3JkPjwva2V5d29y
ZHM+PGRhdGVzPjx5ZWFyPjIwMTg8L3llYXI+PHB1Yi1kYXRlcz48ZGF0ZT5EZWM8L2RhdGU+PC9w
dWItZGF0ZXM+PC9kYXRlcz48aXNibj4xNTMyLTMwOTkgKEVsZWN0cm9uaWMpJiN4RDswMjY2LTYx
MzggKExpbmtpbmcpPC9pc2JuPjxhY2Nlc3Npb24tbnVtPjMwMjY3OTM2PC9hY2Nlc3Npb24tbnVt
Pjx1cmxzPjxyZWxhdGVkLXVybHM+PHVybD5odHRwczovL3d3dy5uY2JpLm5sbS5uaWguZ292L3B1
Ym1lZC8zMDI2NzkzNjwvdXJsPjwvcmVsYXRlZC11cmxzPjwvdXJscz48ZWxlY3Ryb25pYy1yZXNv
dXJjZS1udW0+MTAuMTAxNi9qLm1pZHcuMjAxOC4wOS4wMDU8L2VsZWN0cm9uaWMtcmVzb3VyY2Ut
bnVtPjwvcmVjb3JkPjwvQ2l0ZT48L0VuZE5vdGU+AG==
</w:fldData>
        </w:fldChar>
      </w:r>
      <w:r w:rsidR="00201490">
        <w:instrText xml:space="preserve"> ADDIN EN.CITE.DATA </w:instrText>
      </w:r>
      <w:r w:rsidR="00201490">
        <w:fldChar w:fldCharType="end"/>
      </w:r>
      <w:r w:rsidR="003E2D58">
        <w:fldChar w:fldCharType="separate"/>
      </w:r>
      <w:r w:rsidR="00201490" w:rsidRPr="00201490">
        <w:rPr>
          <w:noProof/>
          <w:vertAlign w:val="superscript"/>
        </w:rPr>
        <w:t>8</w:t>
      </w:r>
      <w:r w:rsidR="003E2D58">
        <w:fldChar w:fldCharType="end"/>
      </w:r>
      <w:r>
        <w:t xml:space="preserve"> found that </w:t>
      </w:r>
      <w:r w:rsidR="00BE3FAC">
        <w:t xml:space="preserve">only some women met </w:t>
      </w:r>
      <w:r w:rsidRPr="003B3DE2">
        <w:t>the recommended daily servings for fruit</w:t>
      </w:r>
      <w:r w:rsidR="00BE3FAC">
        <w:t xml:space="preserve"> (65.7%)</w:t>
      </w:r>
      <w:r w:rsidRPr="003B3DE2">
        <w:t>, dairy products</w:t>
      </w:r>
      <w:r w:rsidR="00BE3FAC">
        <w:t xml:space="preserve"> (55.2%)</w:t>
      </w:r>
      <w:r w:rsidRPr="003B3DE2">
        <w:t>, meat/meat alternatives</w:t>
      </w:r>
      <w:r w:rsidR="00BE3FAC">
        <w:t xml:space="preserve"> (31.1%), vegetables (10.3%)</w:t>
      </w:r>
      <w:r w:rsidRPr="003B3DE2">
        <w:t xml:space="preserve"> and </w:t>
      </w:r>
      <w:r w:rsidR="00126C7F">
        <w:t>grain foods (1.8%) and that</w:t>
      </w:r>
      <w:r w:rsidRPr="003B3DE2">
        <w:t xml:space="preserve"> </w:t>
      </w:r>
      <w:r w:rsidR="00126C7F">
        <w:t>m</w:t>
      </w:r>
      <w:r w:rsidR="00BE3FAC">
        <w:t>ost</w:t>
      </w:r>
      <w:r w:rsidRPr="003B3DE2">
        <w:t xml:space="preserve"> women (83.8%) regularly consumed up to 2.5 serves of discretionary foods per day. Only one woman met the minimum recommended daily servings for all five food groups. Women were more likely to c</w:t>
      </w:r>
      <w:r w:rsidR="0074297B">
        <w:t xml:space="preserve">onsume an inadequate diet </w:t>
      </w:r>
      <w:r w:rsidR="00126C7F">
        <w:t xml:space="preserve">if they were obese </w:t>
      </w:r>
      <w:r w:rsidR="0074297B">
        <w:t>(</w:t>
      </w:r>
      <w:r w:rsidR="0074297B" w:rsidRPr="00126C7F">
        <w:rPr>
          <w:sz w:val="16"/>
          <w:szCs w:val="16"/>
        </w:rPr>
        <w:t>aOR 2.13, 95% CI 1.53 to</w:t>
      </w:r>
      <w:r w:rsidR="00126C7F" w:rsidRPr="00126C7F">
        <w:rPr>
          <w:sz w:val="16"/>
          <w:szCs w:val="16"/>
        </w:rPr>
        <w:t xml:space="preserve"> 2.95</w:t>
      </w:r>
      <w:r w:rsidR="00126C7F">
        <w:t>)</w:t>
      </w:r>
      <w:r w:rsidRPr="003B3DE2">
        <w:t xml:space="preserve"> and </w:t>
      </w:r>
      <w:r w:rsidR="00126C7F">
        <w:t>less likely to consume an inadequate diet if they had</w:t>
      </w:r>
      <w:r w:rsidRPr="003B3DE2">
        <w:t xml:space="preserve"> a university degree </w:t>
      </w:r>
      <w:r>
        <w:t>(</w:t>
      </w:r>
      <w:r w:rsidRPr="00126C7F">
        <w:rPr>
          <w:sz w:val="16"/>
          <w:szCs w:val="16"/>
        </w:rPr>
        <w:t>a</w:t>
      </w:r>
      <w:r w:rsidR="0074297B" w:rsidRPr="00126C7F">
        <w:rPr>
          <w:sz w:val="16"/>
          <w:szCs w:val="16"/>
        </w:rPr>
        <w:t>OR 0.63, 95% CI 0.50 to</w:t>
      </w:r>
      <w:r w:rsidRPr="00126C7F">
        <w:rPr>
          <w:sz w:val="16"/>
          <w:szCs w:val="16"/>
        </w:rPr>
        <w:t xml:space="preserve"> 0.78</w:t>
      </w:r>
      <w:r w:rsidRPr="003B3DE2">
        <w:t xml:space="preserve">). </w:t>
      </w:r>
    </w:p>
    <w:p w14:paraId="0A391978" w14:textId="05D54C16" w:rsidR="003B3DE2" w:rsidRPr="003B3DE2" w:rsidRDefault="00895C45" w:rsidP="003B3DE2">
      <w:pPr>
        <w:pStyle w:val="bullet"/>
      </w:pPr>
      <w:r>
        <w:t>In a</w:t>
      </w:r>
      <w:r w:rsidR="003B3DE2">
        <w:t>nother Victorian study</w:t>
      </w:r>
      <w:r w:rsidR="00126C7F">
        <w:t xml:space="preserve"> </w:t>
      </w:r>
      <w:r w:rsidR="003B3DE2">
        <w:t>that</w:t>
      </w:r>
      <w:r w:rsidR="003B3DE2" w:rsidRPr="003B3DE2">
        <w:t xml:space="preserve"> assess</w:t>
      </w:r>
      <w:r w:rsidR="003B3DE2">
        <w:t>ed</w:t>
      </w:r>
      <w:r w:rsidR="003B3DE2" w:rsidRPr="003B3DE2">
        <w:t xml:space="preserve"> pregnancy nutriti</w:t>
      </w:r>
      <w:r w:rsidR="003B3DE2">
        <w:t>on recommendation knowledge an</w:t>
      </w:r>
      <w:r w:rsidR="003B3DE2" w:rsidRPr="003B3DE2">
        <w:t>d nutrition education practices of antenatal care providers</w:t>
      </w:r>
      <w:r w:rsidR="00EA363D">
        <w:t xml:space="preserve"> (</w:t>
      </w:r>
      <w:r w:rsidR="00EA363D" w:rsidRPr="00EA363D">
        <w:rPr>
          <w:sz w:val="16"/>
          <w:szCs w:val="16"/>
        </w:rPr>
        <w:t>n=202</w:t>
      </w:r>
      <w:r w:rsidR="00EA363D">
        <w:t>)</w:t>
      </w:r>
      <w:r w:rsidR="00126C7F">
        <w:fldChar w:fldCharType="begin">
          <w:fldData xml:space="preserve">PEVuZE5vdGU+PENpdGU+PEF1dGhvcj5MZWU8L0F1dGhvcj48WWVhcj4yMDE4PC9ZZWFyPjxSZWNO
dW0+MTQ1NDwvUmVjTnVtPjxEaXNwbGF5VGV4dD48c3R5bGUgZmFjZT0ic3VwZXJzY3JpcHQiIGZv
bnQ9IlRyZWJ1Y2hldCBNUyIgc2l6ZT0iOSI+OTwvc3R5bGU+PC9EaXNwbGF5VGV4dD48cmVjb3Jk
PjxyZWMtbnVtYmVyPjE0NTQ8L3JlYy1udW1iZXI+PGZvcmVpZ24ta2V5cz48a2V5IGFwcD0iRU4i
IGRiLWlkPSJleHZhc3JmeDJkdHJhb2VzYXN4cDJzenN4YTJkZjUwMjU5MngiIHRpbWVzdGFtcD0i
MTU3NDAzOTU2MiI+MTQ1NDwva2V5PjxrZXkgYXBwPSJFTldlYiIgZGItaWQ9IiI+MDwva2V5Pjwv
Zm9yZWlnbi1rZXlzPjxyZWYtdHlwZSBuYW1lPSJKb3VybmFsIEFydGljbGUiPjE3PC9yZWYtdHlw
ZT48Y29udHJpYnV0b3JzPjxhdXRob3JzPjxhdXRob3I+TGVlLCBBLjwvYXV0aG9yPjxhdXRob3I+
TmV3dG9uLCBNLjwvYXV0aG9yPjxhdXRob3I+UmFkY2xpZmZlLCBKLjwvYXV0aG9yPjxhdXRob3I+
QmVsc2tpLCBSLjwvYXV0aG9yPjwvYXV0aG9ycz48L2NvbnRyaWJ1dG9ycz48YXV0aC1hZGRyZXNz
Pk51dHJpdGlvbiBEZXBhcnRtZW50LCBSb3lhbCBXb21lbiZhcG9zO3MgSG9zcGl0YWwsIFBhcmt2
aWxsZSwgVmljdG9yaWEgMzA1MiwgQXVzdHJhbGlhOyBTY2hvb2wgb2YgQWxsaWVkIEhlYWx0aCwg
TGEgVHJvYmUgVW5pdmVyc2l0eSwgQnVuZG9vcmEsIFZpY3RvcmlhIDMwODYsIEF1c3RyYWxpYS4g
RWxlY3Ryb25pYyBhZGRyZXNzOiBBbWVsaWEubGVlQGxhdHJvYmUuZWR1LmF1LiYjeEQ7U2Nob29s
IG9mIE51cnNpbmcgYW5kIE1pZHdpZmVyeSwgTGEgVHJvYmUgVW5pdmVyc2l0eSwgQnVuZG9vcmEs
IFZpY3RvcmlhIDMwODYsIEF1c3RyYWxpYS4mI3hEO1NjaG9vbCBvZiBBbGxpZWQgSGVhbHRoLCBM
YSBUcm9iZSBVbml2ZXJzaXR5LCBCdW5kb29yYSwgVmljdG9yaWEgMzA4NiwgQXVzdHJhbGlhLjwv
YXV0aC1hZGRyZXNzPjx0aXRsZXM+PHRpdGxlPlByZWduYW5jeSBudXRyaXRpb24ga25vd2xlZGdl
IGFuZCBleHBlcmllbmNlcyBvZiBwcmVnbmFudCB3b21lbiBhbmQgYW50ZW5hdGFsIGNhcmUgY2xp
bmljaWFuczogQSBtaXhlZCBtZXRob2RzIGFwcHJvYWNoPC90aXRsZT48c2Vjb25kYXJ5LXRpdGxl
PldvbWVuIEJpcnRoPC9zZWNvbmRhcnktdGl0bGU+PC90aXRsZXM+PHBlcmlvZGljYWw+PGZ1bGwt
dGl0bGU+V29tZW4gQmlydGg8L2Z1bGwtdGl0bGU+PC9wZXJpb2RpY2FsPjxwYWdlcz4yNjktMjc3
PC9wYWdlcz48dm9sdW1lPjMxPC92b2x1bWU+PG51bWJlcj40PC9udW1iZXI+PGVkaXRpb24+MjAx
Ny8xMS8xMjwvZWRpdGlvbj48a2V5d29yZHM+PGtleXdvcmQ+QWR1bHQ8L2tleXdvcmQ+PGtleXdv
cmQ+QXVzdHJhbGlhPC9rZXl3b3JkPjxrZXl3b3JkPkNvdW5zZWxpbmc8L2tleXdvcmQ+PGtleXdv
cmQ+KkRpZXQ8L2tleXdvcmQ+PGtleXdvcmQ+RmVtYWxlPC9rZXl3b3JkPjxrZXl3b3JkPipIZWFs
dGggS25vd2xlZGdlLCBBdHRpdHVkZXMsIFByYWN0aWNlPC9rZXl3b3JkPjxrZXl3b3JkPkh1bWFu
czwva2V5d29yZD48a2V5d29yZD5OdXRyaXRpb24gUG9saWN5PC9rZXl3b3JkPjxrZXl3b3JkPk51
dHJpdGlvbmFsIFN0YXR1czwva2V5d29yZD48a2V5d29yZD5QcmVnbmFuY3k8L2tleXdvcmQ+PGtl
eXdvcmQ+UHJlZ25hbnQgV29tZW4vKnBzeWNob2xvZ3k8L2tleXdvcmQ+PGtleXdvcmQ+KlByZW5h
dGFsIENhcmU8L2tleXdvcmQ+PGtleXdvcmQ+UHJlbmF0YWwgTnV0cml0aW9uYWwgUGh5c2lvbG9n
aWNhbCBQaGVub21lbmE8L2tleXdvcmQ+PGtleXdvcmQ+U3VydmV5cyBhbmQgUXVlc3Rpb25uYWly
ZXM8L2tleXdvcmQ+PGtleXdvcmQ+WW91bmcgQWR1bHQ8L2tleXdvcmQ+PGtleXdvcmQ+QW50ZW5h
dGFsIGNhcmU8L2tleXdvcmQ+PGtleXdvcmQ+RGlldGFyeSBndWlkZWxpbmVzPC9rZXl3b3JkPjxr
ZXl3b3JkPktub3dsZWRnZTwva2V5d29yZD48a2V5d29yZD5OdXRyaXRpb24gZWR1Y2F0aW9uPC9r
ZXl3b3JkPjwva2V5d29yZHM+PGRhdGVzPjx5ZWFyPjIwMTg8L3llYXI+PHB1Yi1kYXRlcz48ZGF0
ZT5BdWc8L2RhdGU+PC9wdWItZGF0ZXM+PC9kYXRlcz48aXNibj4xODc4LTE3OTkgKEVsZWN0cm9u
aWMpJiN4RDsxODcxLTUxOTIgKExpbmtpbmcpPC9pc2JuPjxhY2Nlc3Npb24tbnVtPjI5MTI2Nzk2
PC9hY2Nlc3Npb24tbnVtPjx1cmxzPjxyZWxhdGVkLXVybHM+PHVybD5odHRwczovL3d3dy5uY2Jp
Lm5sbS5uaWguZ292L3B1Ym1lZC8yOTEyNjc5NjwvdXJsPjwvcmVsYXRlZC11cmxzPjwvdXJscz48
ZWxlY3Ryb25pYy1yZXNvdXJjZS1udW0+MTAuMTAxNi9qLndvbWJpLjIwMTcuMTAuMDEwPC9lbGVj
dHJvbmljLXJlc291cmNlLW51bT48L3JlY29yZD48L0NpdGU+PC9FbmROb3RlPgB=
</w:fldData>
        </w:fldChar>
      </w:r>
      <w:r w:rsidR="00201490">
        <w:instrText xml:space="preserve"> ADDIN EN.CITE </w:instrText>
      </w:r>
      <w:r w:rsidR="00201490">
        <w:fldChar w:fldCharType="begin">
          <w:fldData xml:space="preserve">PEVuZE5vdGU+PENpdGU+PEF1dGhvcj5MZWU8L0F1dGhvcj48WWVhcj4yMDE4PC9ZZWFyPjxSZWNO
dW0+MTQ1NDwvUmVjTnVtPjxEaXNwbGF5VGV4dD48c3R5bGUgZmFjZT0ic3VwZXJzY3JpcHQiIGZv
bnQ9IlRyZWJ1Y2hldCBNUyIgc2l6ZT0iOSI+OTwvc3R5bGU+PC9EaXNwbGF5VGV4dD48cmVjb3Jk
PjxyZWMtbnVtYmVyPjE0NTQ8L3JlYy1udW1iZXI+PGZvcmVpZ24ta2V5cz48a2V5IGFwcD0iRU4i
IGRiLWlkPSJleHZhc3JmeDJkdHJhb2VzYXN4cDJzenN4YTJkZjUwMjU5MngiIHRpbWVzdGFtcD0i
MTU3NDAzOTU2MiI+MTQ1NDwva2V5PjxrZXkgYXBwPSJFTldlYiIgZGItaWQ9IiI+MDwva2V5Pjwv
Zm9yZWlnbi1rZXlzPjxyZWYtdHlwZSBuYW1lPSJKb3VybmFsIEFydGljbGUiPjE3PC9yZWYtdHlw
ZT48Y29udHJpYnV0b3JzPjxhdXRob3JzPjxhdXRob3I+TGVlLCBBLjwvYXV0aG9yPjxhdXRob3I+
TmV3dG9uLCBNLjwvYXV0aG9yPjxhdXRob3I+UmFkY2xpZmZlLCBKLjwvYXV0aG9yPjxhdXRob3I+
QmVsc2tpLCBSLjwvYXV0aG9yPjwvYXV0aG9ycz48L2NvbnRyaWJ1dG9ycz48YXV0aC1hZGRyZXNz
Pk51dHJpdGlvbiBEZXBhcnRtZW50LCBSb3lhbCBXb21lbiZhcG9zO3MgSG9zcGl0YWwsIFBhcmt2
aWxsZSwgVmljdG9yaWEgMzA1MiwgQXVzdHJhbGlhOyBTY2hvb2wgb2YgQWxsaWVkIEhlYWx0aCwg
TGEgVHJvYmUgVW5pdmVyc2l0eSwgQnVuZG9vcmEsIFZpY3RvcmlhIDMwODYsIEF1c3RyYWxpYS4g
RWxlY3Ryb25pYyBhZGRyZXNzOiBBbWVsaWEubGVlQGxhdHJvYmUuZWR1LmF1LiYjeEQ7U2Nob29s
IG9mIE51cnNpbmcgYW5kIE1pZHdpZmVyeSwgTGEgVHJvYmUgVW5pdmVyc2l0eSwgQnVuZG9vcmEs
IFZpY3RvcmlhIDMwODYsIEF1c3RyYWxpYS4mI3hEO1NjaG9vbCBvZiBBbGxpZWQgSGVhbHRoLCBM
YSBUcm9iZSBVbml2ZXJzaXR5LCBCdW5kb29yYSwgVmljdG9yaWEgMzA4NiwgQXVzdHJhbGlhLjwv
YXV0aC1hZGRyZXNzPjx0aXRsZXM+PHRpdGxlPlByZWduYW5jeSBudXRyaXRpb24ga25vd2xlZGdl
IGFuZCBleHBlcmllbmNlcyBvZiBwcmVnbmFudCB3b21lbiBhbmQgYW50ZW5hdGFsIGNhcmUgY2xp
bmljaWFuczogQSBtaXhlZCBtZXRob2RzIGFwcHJvYWNoPC90aXRsZT48c2Vjb25kYXJ5LXRpdGxl
PldvbWVuIEJpcnRoPC9zZWNvbmRhcnktdGl0bGU+PC90aXRsZXM+PHBlcmlvZGljYWw+PGZ1bGwt
dGl0bGU+V29tZW4gQmlydGg8L2Z1bGwtdGl0bGU+PC9wZXJpb2RpY2FsPjxwYWdlcz4yNjktMjc3
PC9wYWdlcz48dm9sdW1lPjMxPC92b2x1bWU+PG51bWJlcj40PC9udW1iZXI+PGVkaXRpb24+MjAx
Ny8xMS8xMjwvZWRpdGlvbj48a2V5d29yZHM+PGtleXdvcmQ+QWR1bHQ8L2tleXdvcmQ+PGtleXdv
cmQ+QXVzdHJhbGlhPC9rZXl3b3JkPjxrZXl3b3JkPkNvdW5zZWxpbmc8L2tleXdvcmQ+PGtleXdv
cmQ+KkRpZXQ8L2tleXdvcmQ+PGtleXdvcmQ+RmVtYWxlPC9rZXl3b3JkPjxrZXl3b3JkPipIZWFs
dGggS25vd2xlZGdlLCBBdHRpdHVkZXMsIFByYWN0aWNlPC9rZXl3b3JkPjxrZXl3b3JkPkh1bWFu
czwva2V5d29yZD48a2V5d29yZD5OdXRyaXRpb24gUG9saWN5PC9rZXl3b3JkPjxrZXl3b3JkPk51
dHJpdGlvbmFsIFN0YXR1czwva2V5d29yZD48a2V5d29yZD5QcmVnbmFuY3k8L2tleXdvcmQ+PGtl
eXdvcmQ+UHJlZ25hbnQgV29tZW4vKnBzeWNob2xvZ3k8L2tleXdvcmQ+PGtleXdvcmQ+KlByZW5h
dGFsIENhcmU8L2tleXdvcmQ+PGtleXdvcmQ+UHJlbmF0YWwgTnV0cml0aW9uYWwgUGh5c2lvbG9n
aWNhbCBQaGVub21lbmE8L2tleXdvcmQ+PGtleXdvcmQ+U3VydmV5cyBhbmQgUXVlc3Rpb25uYWly
ZXM8L2tleXdvcmQ+PGtleXdvcmQ+WW91bmcgQWR1bHQ8L2tleXdvcmQ+PGtleXdvcmQ+QW50ZW5h
dGFsIGNhcmU8L2tleXdvcmQ+PGtleXdvcmQ+RGlldGFyeSBndWlkZWxpbmVzPC9rZXl3b3JkPjxr
ZXl3b3JkPktub3dsZWRnZTwva2V5d29yZD48a2V5d29yZD5OdXRyaXRpb24gZWR1Y2F0aW9uPC9r
ZXl3b3JkPjwva2V5d29yZHM+PGRhdGVzPjx5ZWFyPjIwMTg8L3llYXI+PHB1Yi1kYXRlcz48ZGF0
ZT5BdWc8L2RhdGU+PC9wdWItZGF0ZXM+PC9kYXRlcz48aXNibj4xODc4LTE3OTkgKEVsZWN0cm9u
aWMpJiN4RDsxODcxLTUxOTIgKExpbmtpbmcpPC9pc2JuPjxhY2Nlc3Npb24tbnVtPjI5MTI2Nzk2
PC9hY2Nlc3Npb24tbnVtPjx1cmxzPjxyZWxhdGVkLXVybHM+PHVybD5odHRwczovL3d3dy5uY2Jp
Lm5sbS5uaWguZ292L3B1Ym1lZC8yOTEyNjc5NjwvdXJsPjwvcmVsYXRlZC11cmxzPjwvdXJscz48
ZWxlY3Ryb25pYy1yZXNvdXJjZS1udW0+MTAuMTAxNi9qLndvbWJpLjIwMTcuMTAuMDEwPC9lbGVj
dHJvbmljLXJlc291cmNlLW51bT48L3JlY29yZD48L0NpdGU+PC9FbmROb3RlPgB=
</w:fldData>
        </w:fldChar>
      </w:r>
      <w:r w:rsidR="00201490">
        <w:instrText xml:space="preserve"> ADDIN EN.CITE.DATA </w:instrText>
      </w:r>
      <w:r w:rsidR="00201490">
        <w:fldChar w:fldCharType="end"/>
      </w:r>
      <w:r w:rsidR="00126C7F">
        <w:fldChar w:fldCharType="separate"/>
      </w:r>
      <w:r w:rsidR="00201490" w:rsidRPr="00201490">
        <w:rPr>
          <w:noProof/>
          <w:vertAlign w:val="superscript"/>
        </w:rPr>
        <w:t>9</w:t>
      </w:r>
      <w:r w:rsidR="00126C7F">
        <w:fldChar w:fldCharType="end"/>
      </w:r>
      <w:r w:rsidR="003B3DE2">
        <w:t xml:space="preserve"> </w:t>
      </w:r>
      <w:r>
        <w:t>w</w:t>
      </w:r>
      <w:r w:rsidR="003B3DE2" w:rsidRPr="003B3DE2">
        <w:t>omen reported receiving limited nutrition advice</w:t>
      </w:r>
      <w:r w:rsidR="00F40B1D">
        <w:t xml:space="preserve"> and clinicians reported</w:t>
      </w:r>
      <w:r w:rsidR="003B3DE2" w:rsidRPr="003B3DE2">
        <w:t xml:space="preserve"> </w:t>
      </w:r>
      <w:r>
        <w:t xml:space="preserve">that </w:t>
      </w:r>
      <w:r w:rsidR="003B3DE2" w:rsidRPr="003B3DE2">
        <w:t>they provided limited nutrition advice</w:t>
      </w:r>
      <w:r>
        <w:t xml:space="preserve"> due to</w:t>
      </w:r>
      <w:r w:rsidR="003B3DE2" w:rsidRPr="003B3DE2">
        <w:t xml:space="preserve"> time constraints, limited nutrition knowledge and a lack of nutrition training.</w:t>
      </w:r>
    </w:p>
    <w:p w14:paraId="483D24C9" w14:textId="226EB879" w:rsidR="00B64119" w:rsidRPr="00B64119" w:rsidRDefault="009B2846" w:rsidP="00FA7C1D">
      <w:pPr>
        <w:pStyle w:val="bullet"/>
      </w:pPr>
      <w:r>
        <w:t>In a</w:t>
      </w:r>
      <w:r w:rsidR="007E416F">
        <w:t xml:space="preserve"> cross-sectional study in New South Wales</w:t>
      </w:r>
      <w:r w:rsidR="00EA363D">
        <w:t xml:space="preserve"> (</w:t>
      </w:r>
      <w:r w:rsidR="00EA363D" w:rsidRPr="00EA363D">
        <w:rPr>
          <w:sz w:val="16"/>
          <w:szCs w:val="16"/>
        </w:rPr>
        <w:t>n=326</w:t>
      </w:r>
      <w:r w:rsidR="00EA363D">
        <w:t>)</w:t>
      </w:r>
      <w:r>
        <w:t>,</w:t>
      </w:r>
      <w:r w:rsidR="007E416F">
        <w:t xml:space="preserve"> </w:t>
      </w:r>
      <w:r w:rsidR="006D2B8C">
        <w:t xml:space="preserve">only some </w:t>
      </w:r>
      <w:r w:rsidR="00EA7EA9">
        <w:t xml:space="preserve">women </w:t>
      </w:r>
      <w:r w:rsidR="006D2B8C">
        <w:t>were aware</w:t>
      </w:r>
      <w:r w:rsidR="003B350D" w:rsidRPr="003B350D">
        <w:t xml:space="preserve"> of the recommended number of serves for fruit and vegetables (46.6%), bread and cereals (34.4%</w:t>
      </w:r>
      <w:r w:rsidR="003B350D">
        <w:t>)</w:t>
      </w:r>
      <w:r w:rsidR="003B350D" w:rsidRPr="003B350D">
        <w:t xml:space="preserve"> and </w:t>
      </w:r>
      <w:r w:rsidR="003B350D">
        <w:t>protein (28.8%</w:t>
      </w:r>
      <w:r w:rsidR="006D1FC4">
        <w:t>)</w:t>
      </w:r>
      <w:r w:rsidR="000F3F16">
        <w:fldChar w:fldCharType="begin">
          <w:fldData xml:space="preserve">PEVuZE5vdGU+PENpdGU+PEF1dGhvcj5Cb29rYXJpPC9BdXRob3I+PFllYXI+MjAxNjwvWWVhcj48
UmVjTnVtPjEzNDg8L1JlY051bT48RGlzcGxheVRleHQ+PHN0eWxlIGZhY2U9InN1cGVyc2NyaXB0
IiBmb250PSJUcmVidWNoZXQgTVMiIHNpemU9IjkiPjEwPC9zdHlsZT48L0Rpc3BsYXlUZXh0Pjxy
ZWNvcmQ+PHJlYy1udW1iZXI+MTM0ODwvcmVjLW51bWJlcj48Zm9yZWlnbi1rZXlzPjxrZXkgYXBw
PSJFTiIgZGItaWQ9ImV4dmFzcmZ4MmR0cmFvZXNhc3hwMnN6c3hhMmRmNTAyNTkyeCIgdGltZXN0
YW1wPSIxNTY3MDMwOTkyIj4xMzQ4PC9rZXk+PGtleSBhcHA9IkVOV2ViIiBkYi1pZD0iIj4wPC9r
ZXk+PC9mb3JlaWduLWtleXM+PHJlZi10eXBlIG5hbWU9IkpvdXJuYWwgQXJ0aWNsZSI+MTc8L3Jl
Zi10eXBlPjxjb250cmlidXRvcnM+PGF1dGhvcnM+PGF1dGhvcj5Cb29rYXJpLCBLLjwvYXV0aG9y
PjxhdXRob3I+WWVhdG1hbiwgSC48L2F1dGhvcj48YXV0aG9yPldpbGxpYW1zb24sIE0uPC9hdXRo
b3I+PC9hdXRob3JzPjwvY29udHJpYnV0b3JzPjxhdXRoLWFkZHJlc3M+U2Nob29sIG9mIEhlYWx0
aCBhbmQgU29jaWV0eSwgRmFjdWx0eSBvZiBTb2NpYWwgU2NpZW5jZXMsIFVuaXZlcnNpdHkgb2Yg
V29sbG9uZ29uZywgV29sbG9uZ29uZywgTlNXIDI1MjIsIEF1c3RyYWxpYS4mI3hEO1NjaG9vbCBv
ZiBOdXJzaW5nLCBVbml2ZXJzaXR5IG9mIFdvbGxvbmdvbmcsIFdvbGxvbmdvbmcsIE5TVyAyNTIy
LCBBdXN0cmFsaWE7IFNjaG9vbCBvZiBOdXJzaW5nIGFuZCBNaWR3aWZlcnksIENRIFVuaXZlcnNp
dHksIE5vb3NhdmlsbGUsIFFMRCA0NTY2LCBBdXN0cmFsaWEuPC9hdXRoLWFkZHJlc3M+PHRpdGxl
cz48dGl0bGU+QXVzdHJhbGlhbiBwcmVnbmFudCB3b21lbiZhcG9zO3MgYXdhcmVuZXNzIG9mIGdl
c3RhdGlvbmFsIHdlaWdodCBnYWluIGFuZCBkaWV0YXJ5IGd1aWRlbGluZXM6IG9wcG9ydHVuaXR5
IGZvciBhY3Rpb248L3RpdGxlPjxzZWNvbmRhcnktdGl0bGU+SiBQcmVnbmFuY3k8L3NlY29uZGFy
eS10aXRsZT48L3RpdGxlcz48cGVyaW9kaWNhbD48ZnVsbC10aXRsZT5KIFByZWduYW5jeTwvZnVs
bC10aXRsZT48L3BlcmlvZGljYWw+PHBhZ2VzPjgxNjI2NDU8L3BhZ2VzPjx2b2x1bWU+MjAxNjwv
dm9sdW1lPjxlZGl0aW9uPjIwMTYvMDIvMTg8L2VkaXRpb24+PGtleXdvcmRzPjxrZXl3b3JkPkFk
dWx0PC9rZXl3b3JkPjxrZXl3b3JkPkF1c3RyYWxpYTwva2V5d29yZD48a2V5d29yZD4qRXhlcmNp
c2U8L2tleXdvcmQ+PGtleXdvcmQ+RmVtYWxlPC9rZXl3b3JkPjxrZXl3b3JkPipIZWFsdGggS25v
d2xlZGdlLCBBdHRpdHVkZXMsIFByYWN0aWNlPC9rZXl3b3JkPjxrZXl3b3JkPipIZWFsdGh5IERp
ZXQ8L2tleXdvcmQ+PGtleXdvcmQ+SHVtYW5zPC9rZXl3b3JkPjxrZXl3b3JkPk5ldyBTb3V0aCBX
YWxlczwva2V5d29yZD48a2V5d29yZD5OdXRyaXRpb24gUG9saWN5PC9rZXl3b3JkPjxrZXl3b3Jk
Pk9iZXNpdHkvKnRoZXJhcHk8L2tleXdvcmQ+PGtleXdvcmQ+T3ZlcndlaWdodC90aGVyYXB5PC9r
ZXl3b3JkPjxrZXl3b3JkPlByZWduYW5jeTwva2V5d29yZD48a2V5d29yZD5QcmVnbmFuY3kgQ29t
cGxpY2F0aW9ucy8qdGhlcmFweTwva2V5d29yZD48a2V5d29yZD4qUHJlZ25hbnQgV29tZW48L2tl
eXdvcmQ+PGtleXdvcmQ+U3VydmV5cyBhbmQgUXVlc3Rpb25uYWlyZXM8L2tleXdvcmQ+PGtleXdv
cmQ+KldlaWdodCBHYWluPC9rZXl3b3JkPjxrZXl3b3JkPllvdW5nIEFkdWx0PC9rZXl3b3JkPjwv
a2V5d29yZHM+PGRhdGVzPjx5ZWFyPjIwMTY8L3llYXI+PC9kYXRlcz48aXNibj4yMDkwLTI3MzUg
KEVsZWN0cm9uaWMpJiN4RDsyMDkwLTI3MjcgKExpbmtpbmcpPC9pc2JuPjxhY2Nlc3Npb24tbnVt
PjI2ODgxMDgwPC9hY2Nlc3Npb24tbnVtPjx1cmxzPjxyZWxhdGVkLXVybHM+PHVybD5odHRwczov
L3d3dy5uY2JpLm5sbS5uaWguZ292L3B1Ym1lZC8yNjg4MTA4MDwvdXJsPjwvcmVsYXRlZC11cmxz
PjwvdXJscz48Y3VzdG9tMj5QTUM0NzM2NTg1PC9jdXN0b20yPjxlbGVjdHJvbmljLXJlc291cmNl
LW51bT4xMC4xMTU1LzIwMTYvODE2MjY0NTwvZWxlY3Ryb25pYy1yZXNvdXJjZS1udW0+PC9yZWNv
cmQ+PC9DaXRlPjwvRW5kTm90ZT4A
</w:fldData>
        </w:fldChar>
      </w:r>
      <w:r w:rsidR="00201490">
        <w:instrText xml:space="preserve"> ADDIN EN.CITE </w:instrText>
      </w:r>
      <w:r w:rsidR="00201490">
        <w:fldChar w:fldCharType="begin">
          <w:fldData xml:space="preserve">PEVuZE5vdGU+PENpdGU+PEF1dGhvcj5Cb29rYXJpPC9BdXRob3I+PFllYXI+MjAxNjwvWWVhcj48
UmVjTnVtPjEzNDg8L1JlY051bT48RGlzcGxheVRleHQ+PHN0eWxlIGZhY2U9InN1cGVyc2NyaXB0
IiBmb250PSJUcmVidWNoZXQgTVMiIHNpemU9IjkiPjEwPC9zdHlsZT48L0Rpc3BsYXlUZXh0Pjxy
ZWNvcmQ+PHJlYy1udW1iZXI+MTM0ODwvcmVjLW51bWJlcj48Zm9yZWlnbi1rZXlzPjxrZXkgYXBw
PSJFTiIgZGItaWQ9ImV4dmFzcmZ4MmR0cmFvZXNhc3hwMnN6c3hhMmRmNTAyNTkyeCIgdGltZXN0
YW1wPSIxNTY3MDMwOTkyIj4xMzQ4PC9rZXk+PGtleSBhcHA9IkVOV2ViIiBkYi1pZD0iIj4wPC9r
ZXk+PC9mb3JlaWduLWtleXM+PHJlZi10eXBlIG5hbWU9IkpvdXJuYWwgQXJ0aWNsZSI+MTc8L3Jl
Zi10eXBlPjxjb250cmlidXRvcnM+PGF1dGhvcnM+PGF1dGhvcj5Cb29rYXJpLCBLLjwvYXV0aG9y
PjxhdXRob3I+WWVhdG1hbiwgSC48L2F1dGhvcj48YXV0aG9yPldpbGxpYW1zb24sIE0uPC9hdXRo
b3I+PC9hdXRob3JzPjwvY29udHJpYnV0b3JzPjxhdXRoLWFkZHJlc3M+U2Nob29sIG9mIEhlYWx0
aCBhbmQgU29jaWV0eSwgRmFjdWx0eSBvZiBTb2NpYWwgU2NpZW5jZXMsIFVuaXZlcnNpdHkgb2Yg
V29sbG9uZ29uZywgV29sbG9uZ29uZywgTlNXIDI1MjIsIEF1c3RyYWxpYS4mI3hEO1NjaG9vbCBv
ZiBOdXJzaW5nLCBVbml2ZXJzaXR5IG9mIFdvbGxvbmdvbmcsIFdvbGxvbmdvbmcsIE5TVyAyNTIy
LCBBdXN0cmFsaWE7IFNjaG9vbCBvZiBOdXJzaW5nIGFuZCBNaWR3aWZlcnksIENRIFVuaXZlcnNp
dHksIE5vb3NhdmlsbGUsIFFMRCA0NTY2LCBBdXN0cmFsaWEuPC9hdXRoLWFkZHJlc3M+PHRpdGxl
cz48dGl0bGU+QXVzdHJhbGlhbiBwcmVnbmFudCB3b21lbiZhcG9zO3MgYXdhcmVuZXNzIG9mIGdl
c3RhdGlvbmFsIHdlaWdodCBnYWluIGFuZCBkaWV0YXJ5IGd1aWRlbGluZXM6IG9wcG9ydHVuaXR5
IGZvciBhY3Rpb248L3RpdGxlPjxzZWNvbmRhcnktdGl0bGU+SiBQcmVnbmFuY3k8L3NlY29uZGFy
eS10aXRsZT48L3RpdGxlcz48cGVyaW9kaWNhbD48ZnVsbC10aXRsZT5KIFByZWduYW5jeTwvZnVs
bC10aXRsZT48L3BlcmlvZGljYWw+PHBhZ2VzPjgxNjI2NDU8L3BhZ2VzPjx2b2x1bWU+MjAxNjwv
dm9sdW1lPjxlZGl0aW9uPjIwMTYvMDIvMTg8L2VkaXRpb24+PGtleXdvcmRzPjxrZXl3b3JkPkFk
dWx0PC9rZXl3b3JkPjxrZXl3b3JkPkF1c3RyYWxpYTwva2V5d29yZD48a2V5d29yZD4qRXhlcmNp
c2U8L2tleXdvcmQ+PGtleXdvcmQ+RmVtYWxlPC9rZXl3b3JkPjxrZXl3b3JkPipIZWFsdGggS25v
d2xlZGdlLCBBdHRpdHVkZXMsIFByYWN0aWNlPC9rZXl3b3JkPjxrZXl3b3JkPipIZWFsdGh5IERp
ZXQ8L2tleXdvcmQ+PGtleXdvcmQ+SHVtYW5zPC9rZXl3b3JkPjxrZXl3b3JkPk5ldyBTb3V0aCBX
YWxlczwva2V5d29yZD48a2V5d29yZD5OdXRyaXRpb24gUG9saWN5PC9rZXl3b3JkPjxrZXl3b3Jk
Pk9iZXNpdHkvKnRoZXJhcHk8L2tleXdvcmQ+PGtleXdvcmQ+T3ZlcndlaWdodC90aGVyYXB5PC9r
ZXl3b3JkPjxrZXl3b3JkPlByZWduYW5jeTwva2V5d29yZD48a2V5d29yZD5QcmVnbmFuY3kgQ29t
cGxpY2F0aW9ucy8qdGhlcmFweTwva2V5d29yZD48a2V5d29yZD4qUHJlZ25hbnQgV29tZW48L2tl
eXdvcmQ+PGtleXdvcmQ+U3VydmV5cyBhbmQgUXVlc3Rpb25uYWlyZXM8L2tleXdvcmQ+PGtleXdv
cmQ+KldlaWdodCBHYWluPC9rZXl3b3JkPjxrZXl3b3JkPllvdW5nIEFkdWx0PC9rZXl3b3JkPjwv
a2V5d29yZHM+PGRhdGVzPjx5ZWFyPjIwMTY8L3llYXI+PC9kYXRlcz48aXNibj4yMDkwLTI3MzUg
KEVsZWN0cm9uaWMpJiN4RDsyMDkwLTI3MjcgKExpbmtpbmcpPC9pc2JuPjxhY2Nlc3Npb24tbnVt
PjI2ODgxMDgwPC9hY2Nlc3Npb24tbnVtPjx1cmxzPjxyZWxhdGVkLXVybHM+PHVybD5odHRwczov
L3d3dy5uY2JpLm5sbS5uaWguZ292L3B1Ym1lZC8yNjg4MTA4MDwvdXJsPjwvcmVsYXRlZC11cmxz
PjwvdXJscz48Y3VzdG9tMj5QTUM0NzM2NTg1PC9jdXN0b20yPjxlbGVjdHJvbmljLXJlc291cmNl
LW51bT4xMC4xMTU1LzIwMTYvODE2MjY0NTwvZWxlY3Ryb25pYy1yZXNvdXJjZS1udW0+PC9yZWNv
cmQ+PC9DaXRlPjwvRW5kTm90ZT4A
</w:fldData>
        </w:fldChar>
      </w:r>
      <w:r w:rsidR="00201490">
        <w:instrText xml:space="preserve"> ADDIN EN.CITE.DATA </w:instrText>
      </w:r>
      <w:r w:rsidR="00201490">
        <w:fldChar w:fldCharType="end"/>
      </w:r>
      <w:r w:rsidR="000F3F16">
        <w:fldChar w:fldCharType="separate"/>
      </w:r>
      <w:r w:rsidR="00201490" w:rsidRPr="00201490">
        <w:rPr>
          <w:noProof/>
          <w:vertAlign w:val="superscript"/>
        </w:rPr>
        <w:t>10</w:t>
      </w:r>
      <w:r w:rsidR="000F3F16">
        <w:fldChar w:fldCharType="end"/>
      </w:r>
      <w:r w:rsidR="00B64119" w:rsidRPr="00B64119">
        <w:t xml:space="preserve"> </w:t>
      </w:r>
      <w:r w:rsidR="000F3F16">
        <w:t xml:space="preserve">and </w:t>
      </w:r>
      <w:r w:rsidR="00B64119" w:rsidRPr="00B64119">
        <w:t>demonstrated poor</w:t>
      </w:r>
      <w:r w:rsidR="00B64119">
        <w:t xml:space="preserve"> </w:t>
      </w:r>
      <w:r w:rsidR="00B64119" w:rsidRPr="00B64119">
        <w:t>adherence to guidelines</w:t>
      </w:r>
      <w:r w:rsidR="00B64119">
        <w:t>.</w:t>
      </w:r>
      <w:r w:rsidR="00767EBF">
        <w:fldChar w:fldCharType="begin">
          <w:fldData xml:space="preserve">PEVuZE5vdGU+PENpdGU+PEF1dGhvcj5Cb29rYXJpPC9BdXRob3I+PFllYXI+MjAxNzwvWWVhcj48
UmVjTnVtPjEzNDc8L1JlY051bT48RGlzcGxheVRleHQ+PHN0eWxlIGZhY2U9InN1cGVyc2NyaXB0
IiBmb250PSJUcmVidWNoZXQgTVMiIHNpemU9IjkiPjExPC9zdHlsZT48L0Rpc3BsYXlUZXh0Pjxy
ZWNvcmQ+PHJlYy1udW1iZXI+MTM0NzwvcmVjLW51bWJlcj48Zm9yZWlnbi1rZXlzPjxrZXkgYXBw
PSJFTiIgZGItaWQ9ImV4dmFzcmZ4MmR0cmFvZXNhc3hwMnN6c3hhMmRmNTAyNTkyeCIgdGltZXN0
YW1wPSIxNTY3MDMwOTg4Ij4xMzQ3PC9rZXk+PGtleSBhcHA9IkVOV2ViIiBkYi1pZD0iIj4wPC9r
ZXk+PC9mb3JlaWduLWtleXM+PHJlZi10eXBlIG5hbWU9IkpvdXJuYWwgQXJ0aWNsZSI+MTc8L3Jl
Zi10eXBlPjxjb250cmlidXRvcnM+PGF1dGhvcnM+PGF1dGhvcj5Cb29rYXJpLCBLLjwvYXV0aG9y
PjxhdXRob3I+WWVhdG1hbiwgSC48L2F1dGhvcj48YXV0aG9yPldpbGxpYW1zb24sIE0uPC9hdXRo
b3I+PC9hdXRob3JzPjwvY29udHJpYnV0b3JzPjxhdXRoLWFkZHJlc3M+U2Nob29sIG9mIEhlYWx0
aCBhbmQgU29jaWV0eSwgRmFjdWx0eSBvZiBTb2NpYWwgU2NpZW5jZXMsIFVuaXZlcnNpdHkgb2Yg
V29sbG9uZ29uZywgTm9ydGhmaWVsZHMgQXZlbnVlLCBXb2xsb25nb25nLCBOZXcgU291dGggV2Fs
ZXMgMjUyMiwgQXVzdHJhbGlhLiBFbGVjdHJvbmljIGFkZHJlc3M6IGtiMzkxQHVvd21haWwuZWR1
LmF1LiYjeEQ7U2Nob29sIG9mIEhlYWx0aCBhbmQgU29jaWV0eSwgRmFjdWx0eSBvZiBTb2NpYWwg
U2NpZW5jZXMsIFVuaXZlcnNpdHkgb2YgV29sbG9uZ29uZywgTm9ydGhmaWVsZHMgQXZlbnVlLCBX
b2xsb25nb25nLCBOZXcgU291dGggV2FsZXMgMjUyMiwgQXVzdHJhbGlhLiBFbGVjdHJvbmljIGFk
ZHJlc3M6IGh5ZWF0bWFuQHVvdy5lZHUuYXUuJiN4RDtTY2hvb2wgb2YgTnVyc2luZywgRmFjdWx0
eSBvZiBTY2llbmNlLCBNZWRpY2luZSAmYW1wOyBIZWFsdGgsIFVuaXZlcnNpdHkgb2YgV29sbG9u
Z29uZywgTm9ydGhmaWVsZHMgQXZlbnVlLCBXb2xsb25nb25nLCBOZXcgU291dGggV2FsZXMgMjUy
MiwgQXVzdHJhbGlhOyBTY2hvb2wgb2YgTnVyc2luZyBhbmQgTWlkd2lmZXJ5LCBIaWdoZXIgRWR1
Y2F0aW9uIERpdmlzaW9uLCBDUSBVbml2ZXJzaXR5LCA5MCBHb29kY2hhcCBTdHJlZXQsIE5vb3Nh
dmlsbGUsIFF1ZWVuc2xhbmQgNDU2NiwgQXVzdHJhbGlhLiBFbGVjdHJvbmljIGFkZHJlc3M6IG0u
d2lsbGlhbXNvbkBjcXUuZWR1LmF1LjwvYXV0aC1hZGRyZXNzPjx0aXRsZXM+PHRpdGxlPkZhbGxp
bmcgc2hvcnQgb2YgZGlldGFyeSBndWlkZWxpbmVzIC0gV2hhdCBkbyBBdXN0cmFsaWFuIHByZWdu
YW50IHdvbWVuIHJlYWxseSBrbm93PyBBIGNyb3NzIHNlY3Rpb25hbCBzdHVkeTwvdGl0bGU+PHNl
Y29uZGFyeS10aXRsZT5Xb21lbiBCaXJ0aDwvc2Vjb25kYXJ5LXRpdGxlPjwvdGl0bGVzPjxwZXJp
b2RpY2FsPjxmdWxsLXRpdGxlPldvbWVuIEJpcnRoPC9mdWxsLXRpdGxlPjwvcGVyaW9kaWNhbD48
cGFnZXM+OS0xNzwvcGFnZXM+PHZvbHVtZT4zMDwvdm9sdW1lPjxudW1iZXI+MTwvbnVtYmVyPjxl
ZGl0aW9uPjIwMTYvMDYvMTk8L2VkaXRpb24+PGtleXdvcmRzPjxrZXl3b3JkPkFkdWx0PC9rZXl3
b3JkPjxrZXl3b3JkPkF1c3RyYWxpYTwva2V5d29yZD48a2V5d29yZD5Dcm9zcy1TZWN0aW9uYWwg
U3R1ZGllczwva2V5d29yZD48a2V5d29yZD5EaWV0PC9rZXl3b3JkPjxrZXl3b3JkPkZlbWFsZTwv
a2V5d29yZD48a2V5d29yZD5GcnVpdDwva2V5d29yZD48a2V5d29yZD4qSGVhbHRoIEtub3dsZWRn
ZSwgQXR0aXR1ZGVzLCBQcmFjdGljZTwva2V5d29yZD48a2V5d29yZD4qSGVhbHRoeSBEaWV0PC9r
ZXl3b3JkPjxrZXl3b3JkPkh1bWFuczwva2V5d29yZD48a2V5d29yZD4qTW90aGVyczwva2V5d29y
ZD48a2V5d29yZD5OZXcgU291dGggV2FsZXM8L2tleXdvcmQ+PGtleXdvcmQ+Kk51dHJpdGlvbiBQ
b2xpY3k8L2tleXdvcmQ+PGtleXdvcmQ+TnV0cml0aW9uIFN1cnZleXM8L2tleXdvcmQ+PGtleXdv
cmQ+UGF0aWVudCBDb21wbGlhbmNlPC9rZXl3b3JkPjxrZXl3b3JkPlByZWduYW5jeTwva2V5d29y
ZD48a2V5d29yZD5QcmVnbmFudCBXb21lbi8qcHN5Y2hvbG9neTwva2V5d29yZD48a2V5d29yZD5T
dXJ2ZXlzIGFuZCBRdWVzdGlvbm5haXJlczwva2V5d29yZD48a2V5d29yZD5WZWdldGFibGVzPC9r
ZXl3b3JkPjxrZXl3b3JkPllvdW5nIEFkdWx0PC9rZXl3b3JkPjxrZXl3b3JkPkRpZXRhcnkgZ3Vp
ZGVsaW5lczwva2V5d29yZD48a2V5d29yZD5Lbm93bGVkZ2U8L2tleXdvcmQ+PGtleXdvcmQ+TW90
aXZhdGlvbjwva2V5d29yZD48a2V5d29yZD5OdXRyaXRpb248L2tleXdvcmQ+PC9rZXl3b3Jkcz48
ZGF0ZXM+PHllYXI+MjAxNzwveWVhcj48cHViLWRhdGVzPjxkYXRlPkZlYjwvZGF0ZT48L3B1Yi1k
YXRlcz48L2RhdGVzPjxpc2JuPjE4NzgtMTc5OSAoRWxlY3Ryb25pYykmI3hEOzE4NzEtNTE5MiAo
TGlua2luZyk8L2lzYm4+PGFjY2Vzc2lvbi1udW0+MjczMTcxMjk8L2FjY2Vzc2lvbi1udW0+PHVy
bHM+PHJlbGF0ZWQtdXJscz48dXJsPmh0dHBzOi8vd3d3Lm5jYmkubmxtLm5paC5nb3YvcHVibWVk
LzI3MzE3MTI5PC91cmw+PC9yZWxhdGVkLXVybHM+PC91cmxzPjxlbGVjdHJvbmljLXJlc291cmNl
LW51bT4xMC4xMDE2L2oud29tYmkuMjAxNi4wNS4wMTA8L2VsZWN0cm9uaWMtcmVzb3VyY2UtbnVt
PjwvcmVjb3JkPjwvQ2l0ZT48L0VuZE5vdGU+AG==
</w:fldData>
        </w:fldChar>
      </w:r>
      <w:r w:rsidR="00201490">
        <w:instrText xml:space="preserve"> ADDIN EN.CITE </w:instrText>
      </w:r>
      <w:r w:rsidR="00201490">
        <w:fldChar w:fldCharType="begin">
          <w:fldData xml:space="preserve">PEVuZE5vdGU+PENpdGU+PEF1dGhvcj5Cb29rYXJpPC9BdXRob3I+PFllYXI+MjAxNzwvWWVhcj48
UmVjTnVtPjEzNDc8L1JlY051bT48RGlzcGxheVRleHQ+PHN0eWxlIGZhY2U9InN1cGVyc2NyaXB0
IiBmb250PSJUcmVidWNoZXQgTVMiIHNpemU9IjkiPjExPC9zdHlsZT48L0Rpc3BsYXlUZXh0Pjxy
ZWNvcmQ+PHJlYy1udW1iZXI+MTM0NzwvcmVjLW51bWJlcj48Zm9yZWlnbi1rZXlzPjxrZXkgYXBw
PSJFTiIgZGItaWQ9ImV4dmFzcmZ4MmR0cmFvZXNhc3hwMnN6c3hhMmRmNTAyNTkyeCIgdGltZXN0
YW1wPSIxNTY3MDMwOTg4Ij4xMzQ3PC9rZXk+PGtleSBhcHA9IkVOV2ViIiBkYi1pZD0iIj4wPC9r
ZXk+PC9mb3JlaWduLWtleXM+PHJlZi10eXBlIG5hbWU9IkpvdXJuYWwgQXJ0aWNsZSI+MTc8L3Jl
Zi10eXBlPjxjb250cmlidXRvcnM+PGF1dGhvcnM+PGF1dGhvcj5Cb29rYXJpLCBLLjwvYXV0aG9y
PjxhdXRob3I+WWVhdG1hbiwgSC48L2F1dGhvcj48YXV0aG9yPldpbGxpYW1zb24sIE0uPC9hdXRo
b3I+PC9hdXRob3JzPjwvY29udHJpYnV0b3JzPjxhdXRoLWFkZHJlc3M+U2Nob29sIG9mIEhlYWx0
aCBhbmQgU29jaWV0eSwgRmFjdWx0eSBvZiBTb2NpYWwgU2NpZW5jZXMsIFVuaXZlcnNpdHkgb2Yg
V29sbG9uZ29uZywgTm9ydGhmaWVsZHMgQXZlbnVlLCBXb2xsb25nb25nLCBOZXcgU291dGggV2Fs
ZXMgMjUyMiwgQXVzdHJhbGlhLiBFbGVjdHJvbmljIGFkZHJlc3M6IGtiMzkxQHVvd21haWwuZWR1
LmF1LiYjeEQ7U2Nob29sIG9mIEhlYWx0aCBhbmQgU29jaWV0eSwgRmFjdWx0eSBvZiBTb2NpYWwg
U2NpZW5jZXMsIFVuaXZlcnNpdHkgb2YgV29sbG9uZ29uZywgTm9ydGhmaWVsZHMgQXZlbnVlLCBX
b2xsb25nb25nLCBOZXcgU291dGggV2FsZXMgMjUyMiwgQXVzdHJhbGlhLiBFbGVjdHJvbmljIGFk
ZHJlc3M6IGh5ZWF0bWFuQHVvdy5lZHUuYXUuJiN4RDtTY2hvb2wgb2YgTnVyc2luZywgRmFjdWx0
eSBvZiBTY2llbmNlLCBNZWRpY2luZSAmYW1wOyBIZWFsdGgsIFVuaXZlcnNpdHkgb2YgV29sbG9u
Z29uZywgTm9ydGhmaWVsZHMgQXZlbnVlLCBXb2xsb25nb25nLCBOZXcgU291dGggV2FsZXMgMjUy
MiwgQXVzdHJhbGlhOyBTY2hvb2wgb2YgTnVyc2luZyBhbmQgTWlkd2lmZXJ5LCBIaWdoZXIgRWR1
Y2F0aW9uIERpdmlzaW9uLCBDUSBVbml2ZXJzaXR5LCA5MCBHb29kY2hhcCBTdHJlZXQsIE5vb3Nh
dmlsbGUsIFF1ZWVuc2xhbmQgNDU2NiwgQXVzdHJhbGlhLiBFbGVjdHJvbmljIGFkZHJlc3M6IG0u
d2lsbGlhbXNvbkBjcXUuZWR1LmF1LjwvYXV0aC1hZGRyZXNzPjx0aXRsZXM+PHRpdGxlPkZhbGxp
bmcgc2hvcnQgb2YgZGlldGFyeSBndWlkZWxpbmVzIC0gV2hhdCBkbyBBdXN0cmFsaWFuIHByZWdu
YW50IHdvbWVuIHJlYWxseSBrbm93PyBBIGNyb3NzIHNlY3Rpb25hbCBzdHVkeTwvdGl0bGU+PHNl
Y29uZGFyeS10aXRsZT5Xb21lbiBCaXJ0aDwvc2Vjb25kYXJ5LXRpdGxlPjwvdGl0bGVzPjxwZXJp
b2RpY2FsPjxmdWxsLXRpdGxlPldvbWVuIEJpcnRoPC9mdWxsLXRpdGxlPjwvcGVyaW9kaWNhbD48
cGFnZXM+OS0xNzwvcGFnZXM+PHZvbHVtZT4zMDwvdm9sdW1lPjxudW1iZXI+MTwvbnVtYmVyPjxl
ZGl0aW9uPjIwMTYvMDYvMTk8L2VkaXRpb24+PGtleXdvcmRzPjxrZXl3b3JkPkFkdWx0PC9rZXl3
b3JkPjxrZXl3b3JkPkF1c3RyYWxpYTwva2V5d29yZD48a2V5d29yZD5Dcm9zcy1TZWN0aW9uYWwg
U3R1ZGllczwva2V5d29yZD48a2V5d29yZD5EaWV0PC9rZXl3b3JkPjxrZXl3b3JkPkZlbWFsZTwv
a2V5d29yZD48a2V5d29yZD5GcnVpdDwva2V5d29yZD48a2V5d29yZD4qSGVhbHRoIEtub3dsZWRn
ZSwgQXR0aXR1ZGVzLCBQcmFjdGljZTwva2V5d29yZD48a2V5d29yZD4qSGVhbHRoeSBEaWV0PC9r
ZXl3b3JkPjxrZXl3b3JkPkh1bWFuczwva2V5d29yZD48a2V5d29yZD4qTW90aGVyczwva2V5d29y
ZD48a2V5d29yZD5OZXcgU291dGggV2FsZXM8L2tleXdvcmQ+PGtleXdvcmQ+Kk51dHJpdGlvbiBQ
b2xpY3k8L2tleXdvcmQ+PGtleXdvcmQ+TnV0cml0aW9uIFN1cnZleXM8L2tleXdvcmQ+PGtleXdv
cmQ+UGF0aWVudCBDb21wbGlhbmNlPC9rZXl3b3JkPjxrZXl3b3JkPlByZWduYW5jeTwva2V5d29y
ZD48a2V5d29yZD5QcmVnbmFudCBXb21lbi8qcHN5Y2hvbG9neTwva2V5d29yZD48a2V5d29yZD5T
dXJ2ZXlzIGFuZCBRdWVzdGlvbm5haXJlczwva2V5d29yZD48a2V5d29yZD5WZWdldGFibGVzPC9r
ZXl3b3JkPjxrZXl3b3JkPllvdW5nIEFkdWx0PC9rZXl3b3JkPjxrZXl3b3JkPkRpZXRhcnkgZ3Vp
ZGVsaW5lczwva2V5d29yZD48a2V5d29yZD5Lbm93bGVkZ2U8L2tleXdvcmQ+PGtleXdvcmQ+TW90
aXZhdGlvbjwva2V5d29yZD48a2V5d29yZD5OdXRyaXRpb248L2tleXdvcmQ+PC9rZXl3b3Jkcz48
ZGF0ZXM+PHllYXI+MjAxNzwveWVhcj48cHViLWRhdGVzPjxkYXRlPkZlYjwvZGF0ZT48L3B1Yi1k
YXRlcz48L2RhdGVzPjxpc2JuPjE4NzgtMTc5OSAoRWxlY3Ryb25pYykmI3hEOzE4NzEtNTE5MiAo
TGlua2luZyk8L2lzYm4+PGFjY2Vzc2lvbi1udW0+MjczMTcxMjk8L2FjY2Vzc2lvbi1udW0+PHVy
bHM+PHJlbGF0ZWQtdXJscz48dXJsPmh0dHBzOi8vd3d3Lm5jYmkubmxtLm5paC5nb3YvcHVibWVk
LzI3MzE3MTI5PC91cmw+PC9yZWxhdGVkLXVybHM+PC91cmxzPjxlbGVjdHJvbmljLXJlc291cmNl
LW51bT4xMC4xMDE2L2oud29tYmkuMjAxNi4wNS4wMTA8L2VsZWN0cm9uaWMtcmVzb3VyY2UtbnVt
PjwvcmVjb3JkPjwvQ2l0ZT48L0VuZE5vdGU+AG==
</w:fldData>
        </w:fldChar>
      </w:r>
      <w:r w:rsidR="00201490">
        <w:instrText xml:space="preserve"> ADDIN EN.CITE.DATA </w:instrText>
      </w:r>
      <w:r w:rsidR="00201490">
        <w:fldChar w:fldCharType="end"/>
      </w:r>
      <w:r w:rsidR="00767EBF">
        <w:fldChar w:fldCharType="separate"/>
      </w:r>
      <w:r w:rsidR="00201490" w:rsidRPr="00201490">
        <w:rPr>
          <w:noProof/>
          <w:vertAlign w:val="superscript"/>
        </w:rPr>
        <w:t>11</w:t>
      </w:r>
      <w:r w:rsidR="00767EBF">
        <w:fldChar w:fldCharType="end"/>
      </w:r>
      <w:r w:rsidR="00B64119" w:rsidRPr="00B64119">
        <w:t xml:space="preserve"> Knowledge of selected recommendations increased the likelihood of consumption </w:t>
      </w:r>
      <w:r w:rsidR="00EE6724">
        <w:t>of fruit (</w:t>
      </w:r>
      <w:r w:rsidR="00EE6724" w:rsidRPr="00EE6724">
        <w:rPr>
          <w:sz w:val="16"/>
          <w:szCs w:val="16"/>
        </w:rPr>
        <w:t xml:space="preserve">OR </w:t>
      </w:r>
      <w:r w:rsidR="00B64119" w:rsidRPr="00EE6724">
        <w:rPr>
          <w:sz w:val="16"/>
          <w:szCs w:val="16"/>
        </w:rPr>
        <w:t>8</w:t>
      </w:r>
      <w:r w:rsidR="00EE6724" w:rsidRPr="00EE6724">
        <w:rPr>
          <w:sz w:val="16"/>
          <w:szCs w:val="16"/>
        </w:rPr>
        <w:t>; 95%CI</w:t>
      </w:r>
      <w:r w:rsidR="00B64119" w:rsidRPr="00EE6724">
        <w:rPr>
          <w:sz w:val="16"/>
          <w:szCs w:val="16"/>
        </w:rPr>
        <w:t xml:space="preserve"> 2.3</w:t>
      </w:r>
      <w:r w:rsidR="00EE6724" w:rsidRPr="00EE6724">
        <w:rPr>
          <w:sz w:val="16"/>
          <w:szCs w:val="16"/>
        </w:rPr>
        <w:t xml:space="preserve"> to </w:t>
      </w:r>
      <w:r w:rsidR="00B64119" w:rsidRPr="00EE6724">
        <w:rPr>
          <w:sz w:val="16"/>
          <w:szCs w:val="16"/>
        </w:rPr>
        <w:t>27.7</w:t>
      </w:r>
      <w:r w:rsidR="00B64119" w:rsidRPr="00B64119">
        <w:t xml:space="preserve">), </w:t>
      </w:r>
      <w:r w:rsidR="00EE6724">
        <w:t>vegetables (</w:t>
      </w:r>
      <w:r w:rsidR="00EE6724" w:rsidRPr="00EE6724">
        <w:rPr>
          <w:sz w:val="16"/>
          <w:szCs w:val="16"/>
        </w:rPr>
        <w:t xml:space="preserve">OR 9.1; </w:t>
      </w:r>
      <w:r w:rsidR="00B64119" w:rsidRPr="00EE6724">
        <w:rPr>
          <w:sz w:val="16"/>
          <w:szCs w:val="16"/>
        </w:rPr>
        <w:t>95%</w:t>
      </w:r>
      <w:r w:rsidR="00EE6724" w:rsidRPr="00EE6724">
        <w:rPr>
          <w:sz w:val="16"/>
          <w:szCs w:val="16"/>
        </w:rPr>
        <w:t>CI</w:t>
      </w:r>
      <w:r w:rsidR="00B64119" w:rsidRPr="00EE6724">
        <w:rPr>
          <w:sz w:val="16"/>
          <w:szCs w:val="16"/>
        </w:rPr>
        <w:t xml:space="preserve"> 2.6</w:t>
      </w:r>
      <w:r w:rsidR="00EE6724" w:rsidRPr="00EE6724">
        <w:rPr>
          <w:sz w:val="16"/>
          <w:szCs w:val="16"/>
        </w:rPr>
        <w:t xml:space="preserve"> to </w:t>
      </w:r>
      <w:r w:rsidR="00B64119" w:rsidRPr="00EE6724">
        <w:rPr>
          <w:sz w:val="16"/>
          <w:szCs w:val="16"/>
        </w:rPr>
        <w:t>31.3</w:t>
      </w:r>
      <w:r w:rsidR="00B64119" w:rsidRPr="00B64119">
        <w:t xml:space="preserve">) and </w:t>
      </w:r>
      <w:r w:rsidR="00EE6724">
        <w:t>bread and cereals (</w:t>
      </w:r>
      <w:r w:rsidR="00EE6724" w:rsidRPr="00EE6724">
        <w:rPr>
          <w:sz w:val="16"/>
          <w:szCs w:val="16"/>
        </w:rPr>
        <w:t>OR</w:t>
      </w:r>
      <w:r w:rsidR="00895C45">
        <w:rPr>
          <w:sz w:val="16"/>
          <w:szCs w:val="16"/>
        </w:rPr>
        <w:t> </w:t>
      </w:r>
      <w:r w:rsidR="00EE6724" w:rsidRPr="00EE6724">
        <w:rPr>
          <w:sz w:val="16"/>
          <w:szCs w:val="16"/>
        </w:rPr>
        <w:t>6.8; 95%CI</w:t>
      </w:r>
      <w:r w:rsidR="00B64119" w:rsidRPr="00EE6724">
        <w:rPr>
          <w:sz w:val="16"/>
          <w:szCs w:val="16"/>
        </w:rPr>
        <w:t xml:space="preserve"> 3.4</w:t>
      </w:r>
      <w:r w:rsidR="00EE6724" w:rsidRPr="00EE6724">
        <w:rPr>
          <w:sz w:val="16"/>
          <w:szCs w:val="16"/>
        </w:rPr>
        <w:t xml:space="preserve"> to </w:t>
      </w:r>
      <w:r w:rsidR="00B64119" w:rsidRPr="00EE6724">
        <w:rPr>
          <w:sz w:val="16"/>
          <w:szCs w:val="16"/>
        </w:rPr>
        <w:t>13.7</w:t>
      </w:r>
      <w:r w:rsidR="00B64119" w:rsidRPr="00B64119">
        <w:t>).</w:t>
      </w:r>
      <w:r w:rsidR="00767EBF">
        <w:fldChar w:fldCharType="begin">
          <w:fldData xml:space="preserve">PEVuZE5vdGU+PENpdGU+PEF1dGhvcj5Cb29rYXJpPC9BdXRob3I+PFllYXI+MjAxNzwvWWVhcj48
UmVjTnVtPjEzNDc8L1JlY051bT48RGlzcGxheVRleHQ+PHN0eWxlIGZhY2U9InN1cGVyc2NyaXB0
IiBmb250PSJUcmVidWNoZXQgTVMiIHNpemU9IjkiPjExPC9zdHlsZT48L0Rpc3BsYXlUZXh0Pjxy
ZWNvcmQ+PHJlYy1udW1iZXI+MTM0NzwvcmVjLW51bWJlcj48Zm9yZWlnbi1rZXlzPjxrZXkgYXBw
PSJFTiIgZGItaWQ9ImV4dmFzcmZ4MmR0cmFvZXNhc3hwMnN6c3hhMmRmNTAyNTkyeCIgdGltZXN0
YW1wPSIxNTY3MDMwOTg4Ij4xMzQ3PC9rZXk+PGtleSBhcHA9IkVOV2ViIiBkYi1pZD0iIj4wPC9r
ZXk+PC9mb3JlaWduLWtleXM+PHJlZi10eXBlIG5hbWU9IkpvdXJuYWwgQXJ0aWNsZSI+MTc8L3Jl
Zi10eXBlPjxjb250cmlidXRvcnM+PGF1dGhvcnM+PGF1dGhvcj5Cb29rYXJpLCBLLjwvYXV0aG9y
PjxhdXRob3I+WWVhdG1hbiwgSC48L2F1dGhvcj48YXV0aG9yPldpbGxpYW1zb24sIE0uPC9hdXRo
b3I+PC9hdXRob3JzPjwvY29udHJpYnV0b3JzPjxhdXRoLWFkZHJlc3M+U2Nob29sIG9mIEhlYWx0
aCBhbmQgU29jaWV0eSwgRmFjdWx0eSBvZiBTb2NpYWwgU2NpZW5jZXMsIFVuaXZlcnNpdHkgb2Yg
V29sbG9uZ29uZywgTm9ydGhmaWVsZHMgQXZlbnVlLCBXb2xsb25nb25nLCBOZXcgU291dGggV2Fs
ZXMgMjUyMiwgQXVzdHJhbGlhLiBFbGVjdHJvbmljIGFkZHJlc3M6IGtiMzkxQHVvd21haWwuZWR1
LmF1LiYjeEQ7U2Nob29sIG9mIEhlYWx0aCBhbmQgU29jaWV0eSwgRmFjdWx0eSBvZiBTb2NpYWwg
U2NpZW5jZXMsIFVuaXZlcnNpdHkgb2YgV29sbG9uZ29uZywgTm9ydGhmaWVsZHMgQXZlbnVlLCBX
b2xsb25nb25nLCBOZXcgU291dGggV2FsZXMgMjUyMiwgQXVzdHJhbGlhLiBFbGVjdHJvbmljIGFk
ZHJlc3M6IGh5ZWF0bWFuQHVvdy5lZHUuYXUuJiN4RDtTY2hvb2wgb2YgTnVyc2luZywgRmFjdWx0
eSBvZiBTY2llbmNlLCBNZWRpY2luZSAmYW1wOyBIZWFsdGgsIFVuaXZlcnNpdHkgb2YgV29sbG9u
Z29uZywgTm9ydGhmaWVsZHMgQXZlbnVlLCBXb2xsb25nb25nLCBOZXcgU291dGggV2FsZXMgMjUy
MiwgQXVzdHJhbGlhOyBTY2hvb2wgb2YgTnVyc2luZyBhbmQgTWlkd2lmZXJ5LCBIaWdoZXIgRWR1
Y2F0aW9uIERpdmlzaW9uLCBDUSBVbml2ZXJzaXR5LCA5MCBHb29kY2hhcCBTdHJlZXQsIE5vb3Nh
dmlsbGUsIFF1ZWVuc2xhbmQgNDU2NiwgQXVzdHJhbGlhLiBFbGVjdHJvbmljIGFkZHJlc3M6IG0u
d2lsbGlhbXNvbkBjcXUuZWR1LmF1LjwvYXV0aC1hZGRyZXNzPjx0aXRsZXM+PHRpdGxlPkZhbGxp
bmcgc2hvcnQgb2YgZGlldGFyeSBndWlkZWxpbmVzIC0gV2hhdCBkbyBBdXN0cmFsaWFuIHByZWdu
YW50IHdvbWVuIHJlYWxseSBrbm93PyBBIGNyb3NzIHNlY3Rpb25hbCBzdHVkeTwvdGl0bGU+PHNl
Y29uZGFyeS10aXRsZT5Xb21lbiBCaXJ0aDwvc2Vjb25kYXJ5LXRpdGxlPjwvdGl0bGVzPjxwZXJp
b2RpY2FsPjxmdWxsLXRpdGxlPldvbWVuIEJpcnRoPC9mdWxsLXRpdGxlPjwvcGVyaW9kaWNhbD48
cGFnZXM+OS0xNzwvcGFnZXM+PHZvbHVtZT4zMDwvdm9sdW1lPjxudW1iZXI+MTwvbnVtYmVyPjxl
ZGl0aW9uPjIwMTYvMDYvMTk8L2VkaXRpb24+PGtleXdvcmRzPjxrZXl3b3JkPkFkdWx0PC9rZXl3
b3JkPjxrZXl3b3JkPkF1c3RyYWxpYTwva2V5d29yZD48a2V5d29yZD5Dcm9zcy1TZWN0aW9uYWwg
U3R1ZGllczwva2V5d29yZD48a2V5d29yZD5EaWV0PC9rZXl3b3JkPjxrZXl3b3JkPkZlbWFsZTwv
a2V5d29yZD48a2V5d29yZD5GcnVpdDwva2V5d29yZD48a2V5d29yZD4qSGVhbHRoIEtub3dsZWRn
ZSwgQXR0aXR1ZGVzLCBQcmFjdGljZTwva2V5d29yZD48a2V5d29yZD4qSGVhbHRoeSBEaWV0PC9r
ZXl3b3JkPjxrZXl3b3JkPkh1bWFuczwva2V5d29yZD48a2V5d29yZD4qTW90aGVyczwva2V5d29y
ZD48a2V5d29yZD5OZXcgU291dGggV2FsZXM8L2tleXdvcmQ+PGtleXdvcmQ+Kk51dHJpdGlvbiBQ
b2xpY3k8L2tleXdvcmQ+PGtleXdvcmQ+TnV0cml0aW9uIFN1cnZleXM8L2tleXdvcmQ+PGtleXdv
cmQ+UGF0aWVudCBDb21wbGlhbmNlPC9rZXl3b3JkPjxrZXl3b3JkPlByZWduYW5jeTwva2V5d29y
ZD48a2V5d29yZD5QcmVnbmFudCBXb21lbi8qcHN5Y2hvbG9neTwva2V5d29yZD48a2V5d29yZD5T
dXJ2ZXlzIGFuZCBRdWVzdGlvbm5haXJlczwva2V5d29yZD48a2V5d29yZD5WZWdldGFibGVzPC9r
ZXl3b3JkPjxrZXl3b3JkPllvdW5nIEFkdWx0PC9rZXl3b3JkPjxrZXl3b3JkPkRpZXRhcnkgZ3Vp
ZGVsaW5lczwva2V5d29yZD48a2V5d29yZD5Lbm93bGVkZ2U8L2tleXdvcmQ+PGtleXdvcmQ+TW90
aXZhdGlvbjwva2V5d29yZD48a2V5d29yZD5OdXRyaXRpb248L2tleXdvcmQ+PC9rZXl3b3Jkcz48
ZGF0ZXM+PHllYXI+MjAxNzwveWVhcj48cHViLWRhdGVzPjxkYXRlPkZlYjwvZGF0ZT48L3B1Yi1k
YXRlcz48L2RhdGVzPjxpc2JuPjE4NzgtMTc5OSAoRWxlY3Ryb25pYykmI3hEOzE4NzEtNTE5MiAo
TGlua2luZyk8L2lzYm4+PGFjY2Vzc2lvbi1udW0+MjczMTcxMjk8L2FjY2Vzc2lvbi1udW0+PHVy
bHM+PHJlbGF0ZWQtdXJscz48dXJsPmh0dHBzOi8vd3d3Lm5jYmkubmxtLm5paC5nb3YvcHVibWVk
LzI3MzE3MTI5PC91cmw+PC9yZWxhdGVkLXVybHM+PC91cmxzPjxlbGVjdHJvbmljLXJlc291cmNl
LW51bT4xMC4xMDE2L2oud29tYmkuMjAxNi4wNS4wMTA8L2VsZWN0cm9uaWMtcmVzb3VyY2UtbnVt
PjwvcmVjb3JkPjwvQ2l0ZT48L0VuZE5vdGU+AG==
</w:fldData>
        </w:fldChar>
      </w:r>
      <w:r w:rsidR="00201490">
        <w:instrText xml:space="preserve"> ADDIN EN.CITE </w:instrText>
      </w:r>
      <w:r w:rsidR="00201490">
        <w:fldChar w:fldCharType="begin">
          <w:fldData xml:space="preserve">PEVuZE5vdGU+PENpdGU+PEF1dGhvcj5Cb29rYXJpPC9BdXRob3I+PFllYXI+MjAxNzwvWWVhcj48
UmVjTnVtPjEzNDc8L1JlY051bT48RGlzcGxheVRleHQ+PHN0eWxlIGZhY2U9InN1cGVyc2NyaXB0
IiBmb250PSJUcmVidWNoZXQgTVMiIHNpemU9IjkiPjExPC9zdHlsZT48L0Rpc3BsYXlUZXh0Pjxy
ZWNvcmQ+PHJlYy1udW1iZXI+MTM0NzwvcmVjLW51bWJlcj48Zm9yZWlnbi1rZXlzPjxrZXkgYXBw
PSJFTiIgZGItaWQ9ImV4dmFzcmZ4MmR0cmFvZXNhc3hwMnN6c3hhMmRmNTAyNTkyeCIgdGltZXN0
YW1wPSIxNTY3MDMwOTg4Ij4xMzQ3PC9rZXk+PGtleSBhcHA9IkVOV2ViIiBkYi1pZD0iIj4wPC9r
ZXk+PC9mb3JlaWduLWtleXM+PHJlZi10eXBlIG5hbWU9IkpvdXJuYWwgQXJ0aWNsZSI+MTc8L3Jl
Zi10eXBlPjxjb250cmlidXRvcnM+PGF1dGhvcnM+PGF1dGhvcj5Cb29rYXJpLCBLLjwvYXV0aG9y
PjxhdXRob3I+WWVhdG1hbiwgSC48L2F1dGhvcj48YXV0aG9yPldpbGxpYW1zb24sIE0uPC9hdXRo
b3I+PC9hdXRob3JzPjwvY29udHJpYnV0b3JzPjxhdXRoLWFkZHJlc3M+U2Nob29sIG9mIEhlYWx0
aCBhbmQgU29jaWV0eSwgRmFjdWx0eSBvZiBTb2NpYWwgU2NpZW5jZXMsIFVuaXZlcnNpdHkgb2Yg
V29sbG9uZ29uZywgTm9ydGhmaWVsZHMgQXZlbnVlLCBXb2xsb25nb25nLCBOZXcgU291dGggV2Fs
ZXMgMjUyMiwgQXVzdHJhbGlhLiBFbGVjdHJvbmljIGFkZHJlc3M6IGtiMzkxQHVvd21haWwuZWR1
LmF1LiYjeEQ7U2Nob29sIG9mIEhlYWx0aCBhbmQgU29jaWV0eSwgRmFjdWx0eSBvZiBTb2NpYWwg
U2NpZW5jZXMsIFVuaXZlcnNpdHkgb2YgV29sbG9uZ29uZywgTm9ydGhmaWVsZHMgQXZlbnVlLCBX
b2xsb25nb25nLCBOZXcgU291dGggV2FsZXMgMjUyMiwgQXVzdHJhbGlhLiBFbGVjdHJvbmljIGFk
ZHJlc3M6IGh5ZWF0bWFuQHVvdy5lZHUuYXUuJiN4RDtTY2hvb2wgb2YgTnVyc2luZywgRmFjdWx0
eSBvZiBTY2llbmNlLCBNZWRpY2luZSAmYW1wOyBIZWFsdGgsIFVuaXZlcnNpdHkgb2YgV29sbG9u
Z29uZywgTm9ydGhmaWVsZHMgQXZlbnVlLCBXb2xsb25nb25nLCBOZXcgU291dGggV2FsZXMgMjUy
MiwgQXVzdHJhbGlhOyBTY2hvb2wgb2YgTnVyc2luZyBhbmQgTWlkd2lmZXJ5LCBIaWdoZXIgRWR1
Y2F0aW9uIERpdmlzaW9uLCBDUSBVbml2ZXJzaXR5LCA5MCBHb29kY2hhcCBTdHJlZXQsIE5vb3Nh
dmlsbGUsIFF1ZWVuc2xhbmQgNDU2NiwgQXVzdHJhbGlhLiBFbGVjdHJvbmljIGFkZHJlc3M6IG0u
d2lsbGlhbXNvbkBjcXUuZWR1LmF1LjwvYXV0aC1hZGRyZXNzPjx0aXRsZXM+PHRpdGxlPkZhbGxp
bmcgc2hvcnQgb2YgZGlldGFyeSBndWlkZWxpbmVzIC0gV2hhdCBkbyBBdXN0cmFsaWFuIHByZWdu
YW50IHdvbWVuIHJlYWxseSBrbm93PyBBIGNyb3NzIHNlY3Rpb25hbCBzdHVkeTwvdGl0bGU+PHNl
Y29uZGFyeS10aXRsZT5Xb21lbiBCaXJ0aDwvc2Vjb25kYXJ5LXRpdGxlPjwvdGl0bGVzPjxwZXJp
b2RpY2FsPjxmdWxsLXRpdGxlPldvbWVuIEJpcnRoPC9mdWxsLXRpdGxlPjwvcGVyaW9kaWNhbD48
cGFnZXM+OS0xNzwvcGFnZXM+PHZvbHVtZT4zMDwvdm9sdW1lPjxudW1iZXI+MTwvbnVtYmVyPjxl
ZGl0aW9uPjIwMTYvMDYvMTk8L2VkaXRpb24+PGtleXdvcmRzPjxrZXl3b3JkPkFkdWx0PC9rZXl3
b3JkPjxrZXl3b3JkPkF1c3RyYWxpYTwva2V5d29yZD48a2V5d29yZD5Dcm9zcy1TZWN0aW9uYWwg
U3R1ZGllczwva2V5d29yZD48a2V5d29yZD5EaWV0PC9rZXl3b3JkPjxrZXl3b3JkPkZlbWFsZTwv
a2V5d29yZD48a2V5d29yZD5GcnVpdDwva2V5d29yZD48a2V5d29yZD4qSGVhbHRoIEtub3dsZWRn
ZSwgQXR0aXR1ZGVzLCBQcmFjdGljZTwva2V5d29yZD48a2V5d29yZD4qSGVhbHRoeSBEaWV0PC9r
ZXl3b3JkPjxrZXl3b3JkPkh1bWFuczwva2V5d29yZD48a2V5d29yZD4qTW90aGVyczwva2V5d29y
ZD48a2V5d29yZD5OZXcgU291dGggV2FsZXM8L2tleXdvcmQ+PGtleXdvcmQ+Kk51dHJpdGlvbiBQ
b2xpY3k8L2tleXdvcmQ+PGtleXdvcmQ+TnV0cml0aW9uIFN1cnZleXM8L2tleXdvcmQ+PGtleXdv
cmQ+UGF0aWVudCBDb21wbGlhbmNlPC9rZXl3b3JkPjxrZXl3b3JkPlByZWduYW5jeTwva2V5d29y
ZD48a2V5d29yZD5QcmVnbmFudCBXb21lbi8qcHN5Y2hvbG9neTwva2V5d29yZD48a2V5d29yZD5T
dXJ2ZXlzIGFuZCBRdWVzdGlvbm5haXJlczwva2V5d29yZD48a2V5d29yZD5WZWdldGFibGVzPC9r
ZXl3b3JkPjxrZXl3b3JkPllvdW5nIEFkdWx0PC9rZXl3b3JkPjxrZXl3b3JkPkRpZXRhcnkgZ3Vp
ZGVsaW5lczwva2V5d29yZD48a2V5d29yZD5Lbm93bGVkZ2U8L2tleXdvcmQ+PGtleXdvcmQ+TW90
aXZhdGlvbjwva2V5d29yZD48a2V5d29yZD5OdXRyaXRpb248L2tleXdvcmQ+PC9rZXl3b3Jkcz48
ZGF0ZXM+PHllYXI+MjAxNzwveWVhcj48cHViLWRhdGVzPjxkYXRlPkZlYjwvZGF0ZT48L3B1Yi1k
YXRlcz48L2RhdGVzPjxpc2JuPjE4NzgtMTc5OSAoRWxlY3Ryb25pYykmI3hEOzE4NzEtNTE5MiAo
TGlua2luZyk8L2lzYm4+PGFjY2Vzc2lvbi1udW0+MjczMTcxMjk8L2FjY2Vzc2lvbi1udW0+PHVy
bHM+PHJlbGF0ZWQtdXJscz48dXJsPmh0dHBzOi8vd3d3Lm5jYmkubmxtLm5paC5nb3YvcHVibWVk
LzI3MzE3MTI5PC91cmw+PC9yZWxhdGVkLXVybHM+PC91cmxzPjxlbGVjdHJvbmljLXJlc291cmNl
LW51bT4xMC4xMDE2L2oud29tYmkuMjAxNi4wNS4wMTA8L2VsZWN0cm9uaWMtcmVzb3VyY2UtbnVt
PjwvcmVjb3JkPjwvQ2l0ZT48L0VuZE5vdGU+AG==
</w:fldData>
        </w:fldChar>
      </w:r>
      <w:r w:rsidR="00201490">
        <w:instrText xml:space="preserve"> ADDIN EN.CITE.DATA </w:instrText>
      </w:r>
      <w:r w:rsidR="00201490">
        <w:fldChar w:fldCharType="end"/>
      </w:r>
      <w:r w:rsidR="00767EBF">
        <w:fldChar w:fldCharType="separate"/>
      </w:r>
      <w:r w:rsidR="00201490" w:rsidRPr="00201490">
        <w:rPr>
          <w:noProof/>
          <w:vertAlign w:val="superscript"/>
        </w:rPr>
        <w:t>11</w:t>
      </w:r>
      <w:r w:rsidR="00767EBF">
        <w:fldChar w:fldCharType="end"/>
      </w:r>
    </w:p>
    <w:p w14:paraId="0FF1FC36" w14:textId="32144DC4" w:rsidR="007307DE" w:rsidRDefault="00B4507E" w:rsidP="00EF06FA">
      <w:r>
        <w:t>Identifying women with an 'u</w:t>
      </w:r>
      <w:r w:rsidRPr="00EF06FA">
        <w:t xml:space="preserve">nhealthy' dietary pattern in early pregnancy affords the opportunity for a dietary intervention which may positively </w:t>
      </w:r>
      <w:r w:rsidR="00273185">
        <w:t>affect</w:t>
      </w:r>
      <w:r w:rsidRPr="00EF06FA">
        <w:t xml:space="preserve"> both maternal and infant health.</w:t>
      </w:r>
      <w:r>
        <w:t xml:space="preserve"> </w:t>
      </w:r>
      <w:r w:rsidR="001F1205">
        <w:t xml:space="preserve">An Irish </w:t>
      </w:r>
      <w:r w:rsidR="00EF06FA">
        <w:t>cohort stud</w:t>
      </w:r>
      <w:r w:rsidR="00273185">
        <w:t>y</w:t>
      </w:r>
      <w:r w:rsidR="00767EBF">
        <w:fldChar w:fldCharType="begin">
          <w:fldData xml:space="preserve">PEVuZE5vdGU+PENpdGU+PEF1dGhvcj5NY0dvd2FuPC9BdXRob3I+PFllYXI+MjAxMzwvWWVhcj48
UmVjTnVtPjEzNjc8L1JlY051bT48RGlzcGxheVRleHQ+PHN0eWxlIGZhY2U9InN1cGVyc2NyaXB0
IiBmb250PSJUcmVidWNoZXQgTVMiIHNpemU9IjkiPjEyPC9zdHlsZT48L0Rpc3BsYXlUZXh0Pjxy
ZWNvcmQ+PHJlYy1udW1iZXI+MTM2NzwvcmVjLW51bWJlcj48Zm9yZWlnbi1rZXlzPjxrZXkgYXBw
PSJFTiIgZGItaWQ9ImV4dmFzcmZ4MmR0cmFvZXNhc3hwMnN6c3hhMmRmNTAyNTkyeCIgdGltZXN0
YW1wPSIxNTY3MDMxMDc1Ij4xMzY3PC9rZXk+PGtleSBhcHA9IkVOV2ViIiBkYi1pZD0iIj4wPC9r
ZXk+PC9mb3JlaWduLWtleXM+PHJlZi10eXBlIG5hbWU9IkpvdXJuYWwgQXJ0aWNsZSI+MTc8L3Jl
Zi10eXBlPjxjb250cmlidXRvcnM+PGF1dGhvcnM+PGF1dGhvcj5NY0dvd2FuLCBDLiBBLjwvYXV0
aG9yPjxhdXRob3I+TWNBdWxpZmZlLCBGLiBNLjwvYXV0aG9yPjwvYXV0aG9ycz48L2NvbnRyaWJ1
dG9ycz48YXV0aC1hZGRyZXNzPlVDRCBPYnN0ZXRyaWNzIGFuZCBHeW5hZWNvbG9neSwgU2Nob29s
IG9mIE1lZGljaW5lIGFuZCBNZWRpY2FsIFNjaWVuY2UsIFVuaXZlcnNpdHkgQ29sbGVnZSBEdWJs
aW4sIE5hdGlvbmFsIE1hdGVybml0eSBIb3NwaXRhbCwgRHVibGluIDIsIElyZWxhbmQuIGNtY2dv
d2FAZ21haWwuY29tPC9hdXRoLWFkZHJlc3M+PHRpdGxlcz48dGl0bGU+TWF0ZXJuYWwgZGlldGFy
eSBwYXR0ZXJucyBhbmQgYXNzb2NpYXRlZCBudXRyaWVudCBpbnRha2VzIGR1cmluZyBlYWNoIHRy
aW1lc3RlciBvZiBwcmVnbmFuY3k8L3RpdGxlPjxzZWNvbmRhcnktdGl0bGU+UHVibGljIEhlYWx0
aCBOdXRyPC9zZWNvbmRhcnktdGl0bGU+PC90aXRsZXM+PHBlcmlvZGljYWw+PGZ1bGwtdGl0bGU+
UHVibGljIEhlYWx0aCBOdXRyPC9mdWxsLXRpdGxlPjwvcGVyaW9kaWNhbD48cGFnZXM+OTctMTA3
PC9wYWdlcz48dm9sdW1lPjE2PC92b2x1bWU+PG51bWJlcj4xPC9udW1iZXI+PGVkaXRpb24+MjAx
Mi8wNC8xMzwvZWRpdGlvbj48a2V5d29yZHM+PGtleXdvcmQ+QWR1bHQ8L2tleXdvcmQ+PGtleXdv
cmQ+QWdlIEZhY3RvcnM8L2tleXdvcmQ+PGtleXdvcmQ+Qm9keSBNYXNzIEluZGV4PC9rZXl3b3Jk
PjxrZXl3b3JkPkNsdXN0ZXIgQW5hbHlzaXM8L2tleXdvcmQ+PGtleXdvcmQ+RGlldC8qc3RhbmRh
cmRzPC9rZXl3b3JkPjxrZXl3b3JkPkRpZXQgUmVjb3Jkczwva2V5d29yZD48a2V5d29yZD5FZHVj
YXRpb25hbCBTdGF0dXM8L2tleXdvcmQ+PGtleXdvcmQ+KkVuZXJneSBJbnRha2U8L2tleXdvcmQ+
PGtleXdvcmQ+KkZlZWRpbmcgQmVoYXZpb3I8L2tleXdvcmQ+PGtleXdvcmQ+RmVtYWxlPC9rZXl3
b3JkPjxrZXl3b3JkPipIZWFsdGggQmVoYXZpb3I8L2tleXdvcmQ+PGtleXdvcmQ+SGVhbHRoIEtu
b3dsZWRnZSwgQXR0aXR1ZGVzLCBQcmFjdGljZTwva2V5d29yZD48a2V5d29yZD5IdW1hbnM8L2tl
eXdvcmQ+PGtleXdvcmQ+SXJlbGFuZDwva2V5d29yZD48a2V5d29yZD5PYmVzaXR5L2NvbXBsaWNh
dGlvbnM8L2tleXdvcmQ+PGtleXdvcmQ+UHJlZ25hbmN5PC9rZXl3b3JkPjxrZXl3b3JkPlByZWdu
YW5jeSBDb21wbGljYXRpb25zPC9rZXl3b3JkPjxrZXl3b3JkPipQcmVnbmFuY3kgVHJpbWVzdGVy
czwva2V5d29yZD48a2V5d29yZD4qUHJlbmF0YWwgQ2FyZTwva2V5d29yZD48a2V5d29yZD5Zb3Vu
ZyBBZHVsdDwva2V5d29yZD48L2tleXdvcmRzPjxkYXRlcz48eWVhcj4yMDEzPC95ZWFyPjxwdWIt
ZGF0ZXM+PGRhdGU+SmFuPC9kYXRlPjwvcHViLWRhdGVzPjwvZGF0ZXM+PGlzYm4+MTQ3NS0yNzI3
IChFbGVjdHJvbmljKSYjeEQ7MTM2OC05ODAwIChMaW5raW5nKTwvaXNibj48YWNjZXNzaW9uLW51
bT4yMjQ5NDkxNzwvYWNjZXNzaW9uLW51bT48dXJscz48cmVsYXRlZC11cmxzPjx1cmw+aHR0cHM6
Ly93d3cubmNiaS5ubG0ubmloLmdvdi9wdWJtZWQvMjI0OTQ5MTc8L3VybD48L3JlbGF0ZWQtdXJs
cz48L3VybHM+PGVsZWN0cm9uaWMtcmVzb3VyY2UtbnVtPjEwLjEwMTcvUzEzNjg5ODAwMTIwMDA5
OTc8L2VsZWN0cm9uaWMtcmVzb3VyY2UtbnVtPjwvcmVjb3JkPjwvQ2l0ZT48L0VuZE5vdGU+
</w:fldData>
        </w:fldChar>
      </w:r>
      <w:r w:rsidR="00201490">
        <w:instrText xml:space="preserve"> ADDIN EN.CITE </w:instrText>
      </w:r>
      <w:r w:rsidR="00201490">
        <w:fldChar w:fldCharType="begin">
          <w:fldData xml:space="preserve">PEVuZE5vdGU+PENpdGU+PEF1dGhvcj5NY0dvd2FuPC9BdXRob3I+PFllYXI+MjAxMzwvWWVhcj48
UmVjTnVtPjEzNjc8L1JlY051bT48RGlzcGxheVRleHQ+PHN0eWxlIGZhY2U9InN1cGVyc2NyaXB0
IiBmb250PSJUcmVidWNoZXQgTVMiIHNpemU9IjkiPjEyPC9zdHlsZT48L0Rpc3BsYXlUZXh0Pjxy
ZWNvcmQ+PHJlYy1udW1iZXI+MTM2NzwvcmVjLW51bWJlcj48Zm9yZWlnbi1rZXlzPjxrZXkgYXBw
PSJFTiIgZGItaWQ9ImV4dmFzcmZ4MmR0cmFvZXNhc3hwMnN6c3hhMmRmNTAyNTkyeCIgdGltZXN0
YW1wPSIxNTY3MDMxMDc1Ij4xMzY3PC9rZXk+PGtleSBhcHA9IkVOV2ViIiBkYi1pZD0iIj4wPC9r
ZXk+PC9mb3JlaWduLWtleXM+PHJlZi10eXBlIG5hbWU9IkpvdXJuYWwgQXJ0aWNsZSI+MTc8L3Jl
Zi10eXBlPjxjb250cmlidXRvcnM+PGF1dGhvcnM+PGF1dGhvcj5NY0dvd2FuLCBDLiBBLjwvYXV0
aG9yPjxhdXRob3I+TWNBdWxpZmZlLCBGLiBNLjwvYXV0aG9yPjwvYXV0aG9ycz48L2NvbnRyaWJ1
dG9ycz48YXV0aC1hZGRyZXNzPlVDRCBPYnN0ZXRyaWNzIGFuZCBHeW5hZWNvbG9neSwgU2Nob29s
IG9mIE1lZGljaW5lIGFuZCBNZWRpY2FsIFNjaWVuY2UsIFVuaXZlcnNpdHkgQ29sbGVnZSBEdWJs
aW4sIE5hdGlvbmFsIE1hdGVybml0eSBIb3NwaXRhbCwgRHVibGluIDIsIElyZWxhbmQuIGNtY2dv
d2FAZ21haWwuY29tPC9hdXRoLWFkZHJlc3M+PHRpdGxlcz48dGl0bGU+TWF0ZXJuYWwgZGlldGFy
eSBwYXR0ZXJucyBhbmQgYXNzb2NpYXRlZCBudXRyaWVudCBpbnRha2VzIGR1cmluZyBlYWNoIHRy
aW1lc3RlciBvZiBwcmVnbmFuY3k8L3RpdGxlPjxzZWNvbmRhcnktdGl0bGU+UHVibGljIEhlYWx0
aCBOdXRyPC9zZWNvbmRhcnktdGl0bGU+PC90aXRsZXM+PHBlcmlvZGljYWw+PGZ1bGwtdGl0bGU+
UHVibGljIEhlYWx0aCBOdXRyPC9mdWxsLXRpdGxlPjwvcGVyaW9kaWNhbD48cGFnZXM+OTctMTA3
PC9wYWdlcz48dm9sdW1lPjE2PC92b2x1bWU+PG51bWJlcj4xPC9udW1iZXI+PGVkaXRpb24+MjAx
Mi8wNC8xMzwvZWRpdGlvbj48a2V5d29yZHM+PGtleXdvcmQ+QWR1bHQ8L2tleXdvcmQ+PGtleXdv
cmQ+QWdlIEZhY3RvcnM8L2tleXdvcmQ+PGtleXdvcmQ+Qm9keSBNYXNzIEluZGV4PC9rZXl3b3Jk
PjxrZXl3b3JkPkNsdXN0ZXIgQW5hbHlzaXM8L2tleXdvcmQ+PGtleXdvcmQ+RGlldC8qc3RhbmRh
cmRzPC9rZXl3b3JkPjxrZXl3b3JkPkRpZXQgUmVjb3Jkczwva2V5d29yZD48a2V5d29yZD5FZHVj
YXRpb25hbCBTdGF0dXM8L2tleXdvcmQ+PGtleXdvcmQ+KkVuZXJneSBJbnRha2U8L2tleXdvcmQ+
PGtleXdvcmQ+KkZlZWRpbmcgQmVoYXZpb3I8L2tleXdvcmQ+PGtleXdvcmQ+RmVtYWxlPC9rZXl3
b3JkPjxrZXl3b3JkPipIZWFsdGggQmVoYXZpb3I8L2tleXdvcmQ+PGtleXdvcmQ+SGVhbHRoIEtu
b3dsZWRnZSwgQXR0aXR1ZGVzLCBQcmFjdGljZTwva2V5d29yZD48a2V5d29yZD5IdW1hbnM8L2tl
eXdvcmQ+PGtleXdvcmQ+SXJlbGFuZDwva2V5d29yZD48a2V5d29yZD5PYmVzaXR5L2NvbXBsaWNh
dGlvbnM8L2tleXdvcmQ+PGtleXdvcmQ+UHJlZ25hbmN5PC9rZXl3b3JkPjxrZXl3b3JkPlByZWdu
YW5jeSBDb21wbGljYXRpb25zPC9rZXl3b3JkPjxrZXl3b3JkPipQcmVnbmFuY3kgVHJpbWVzdGVy
czwva2V5d29yZD48a2V5d29yZD4qUHJlbmF0YWwgQ2FyZTwva2V5d29yZD48a2V5d29yZD5Zb3Vu
ZyBBZHVsdDwva2V5d29yZD48L2tleXdvcmRzPjxkYXRlcz48eWVhcj4yMDEzPC95ZWFyPjxwdWIt
ZGF0ZXM+PGRhdGU+SmFuPC9kYXRlPjwvcHViLWRhdGVzPjwvZGF0ZXM+PGlzYm4+MTQ3NS0yNzI3
IChFbGVjdHJvbmljKSYjeEQ7MTM2OC05ODAwIChMaW5raW5nKTwvaXNibj48YWNjZXNzaW9uLW51
bT4yMjQ5NDkxNzwvYWNjZXNzaW9uLW51bT48dXJscz48cmVsYXRlZC11cmxzPjx1cmw+aHR0cHM6
Ly93d3cubmNiaS5ubG0ubmloLmdvdi9wdWJtZWQvMjI0OTQ5MTc8L3VybD48L3JlbGF0ZWQtdXJs
cz48L3VybHM+PGVsZWN0cm9uaWMtcmVzb3VyY2UtbnVtPjEwLjEwMTcvUzEzNjg5ODAwMTIwMDA5
OTc8L2VsZWN0cm9uaWMtcmVzb3VyY2UtbnVtPjwvcmVjb3JkPjwvQ2l0ZT48L0VuZE5vdGU+
</w:fldData>
        </w:fldChar>
      </w:r>
      <w:r w:rsidR="00201490">
        <w:instrText xml:space="preserve"> ADDIN EN.CITE.DATA </w:instrText>
      </w:r>
      <w:r w:rsidR="00201490">
        <w:fldChar w:fldCharType="end"/>
      </w:r>
      <w:r w:rsidR="00767EBF">
        <w:fldChar w:fldCharType="separate"/>
      </w:r>
      <w:r w:rsidR="00201490" w:rsidRPr="00201490">
        <w:rPr>
          <w:noProof/>
          <w:vertAlign w:val="superscript"/>
        </w:rPr>
        <w:t>12</w:t>
      </w:r>
      <w:r w:rsidR="00767EBF">
        <w:fldChar w:fldCharType="end"/>
      </w:r>
      <w:r w:rsidR="000F3F16">
        <w:t xml:space="preserve"> found that w</w:t>
      </w:r>
      <w:r w:rsidR="00EF06FA" w:rsidRPr="00EF06FA">
        <w:t xml:space="preserve">omen </w:t>
      </w:r>
      <w:r w:rsidR="000F3F16">
        <w:t>with a</w:t>
      </w:r>
      <w:r w:rsidR="00EF06FA" w:rsidRPr="00EF06FA">
        <w:t xml:space="preserve"> '</w:t>
      </w:r>
      <w:r w:rsidRPr="00EF06FA">
        <w:t xml:space="preserve">health conscious' </w:t>
      </w:r>
      <w:r w:rsidR="000F3F16">
        <w:t>dietary pattern</w:t>
      </w:r>
      <w:r w:rsidR="00EF06FA" w:rsidRPr="00EF06FA">
        <w:t xml:space="preserve"> were </w:t>
      </w:r>
      <w:r w:rsidR="000F3F16">
        <w:t>older and</w:t>
      </w:r>
      <w:r w:rsidR="00EF06FA" w:rsidRPr="00EF06FA">
        <w:t xml:space="preserve"> had lower BMI and </w:t>
      </w:r>
      <w:r w:rsidR="000F3F16">
        <w:t>higher education</w:t>
      </w:r>
      <w:r w:rsidR="00EF06FA" w:rsidRPr="00EF06FA">
        <w:t xml:space="preserve"> than those </w:t>
      </w:r>
      <w:r w:rsidR="000F3F16">
        <w:t>with an</w:t>
      </w:r>
      <w:r w:rsidRPr="00EF06FA">
        <w:t xml:space="preserve"> 'unhealthy' </w:t>
      </w:r>
      <w:r w:rsidR="000F3F16">
        <w:t>dietary pattern</w:t>
      </w:r>
      <w:r w:rsidR="00EF06FA" w:rsidRPr="00EF06FA">
        <w:t xml:space="preserve">. </w:t>
      </w:r>
      <w:r w:rsidR="007307DE">
        <w:t>A study in New Zealand also found that a ‘health conscious’ dietary pattern was associated with</w:t>
      </w:r>
      <w:r w:rsidR="007307DE" w:rsidRPr="00577908">
        <w:t xml:space="preserve"> increasing age, better self-rated health, lower pre-pregnancy </w:t>
      </w:r>
      <w:r w:rsidR="007307DE">
        <w:t>BMI</w:t>
      </w:r>
      <w:r w:rsidR="007307DE" w:rsidRPr="00577908">
        <w:t xml:space="preserve"> and not smoking</w:t>
      </w:r>
      <w:r w:rsidR="007307DE">
        <w:t>.</w:t>
      </w:r>
      <w:r w:rsidR="00201490">
        <w:fldChar w:fldCharType="begin">
          <w:fldData xml:space="preserve">PEVuZE5vdGU+PENpdGU+PEF1dGhvcj5XYWxsPC9BdXRob3I+PFllYXI+MjAxNjwvWWVhcj48UmVj
TnVtPjE1MjI8L1JlY051bT48RGlzcGxheVRleHQ+PHN0eWxlIGZhY2U9InN1cGVyc2NyaXB0IiBm
b250PSJUcmVidWNoZXQgTVMiIHNpemU9IjkiPjEzPC9zdHlsZT48L0Rpc3BsYXlUZXh0PjxyZWNv
cmQ+PHJlYy1udW1iZXI+MTUyMjwvcmVjLW51bWJlcj48Zm9yZWlnbi1rZXlzPjxrZXkgYXBwPSJF
TiIgZGItaWQ9ImV4dmFzcmZ4MmR0cmFvZXNhc3hwMnN6c3hhMmRmNTAyNTkyeCIgdGltZXN0YW1w
PSIxNTc2NDcyOTI5Ij4xNTIyPC9rZXk+PGtleSBhcHA9IkVOV2ViIiBkYi1pZD0iIj4wPC9rZXk+
PC9mb3JlaWduLWtleXM+PHJlZi10eXBlIG5hbWU9IkpvdXJuYWwgQXJ0aWNsZSI+MTc8L3JlZi10
eXBlPjxjb250cmlidXRvcnM+PGF1dGhvcnM+PGF1dGhvcj5XYWxsLCBDLiBSLjwvYXV0aG9yPjxh
dXRob3I+R2FtbW9uLCBDLiBTLjwvYXV0aG9yPjxhdXRob3I+QmFuZGFyYSwgRC4gSy48L2F1dGhv
cj48YXV0aG9yPkdyYW50LCBDLiBDLjwvYXV0aG9yPjxhdXRob3I+QXRhdG9hIENhcnIsIFAuIEUu
PC9hdXRob3I+PGF1dGhvcj5Nb3J0b24sIFMuIE0uPC9hdXRob3I+PC9hdXRob3JzPjwvY29udHJp
YnV0b3JzPjxhdXRoLWFkZHJlc3M+Q2VudHJlIGZvciBMb25naXR1ZGluYWwgUmVzZWFyY2gtSGUg
QXJhIGtpIE11YSwgVW5pdmVyc2l0eSBvZiBBdWNrbGFuZCwgQXVja2xhbmQgMTA3MiwgTmV3IFpl
YWxhbmQuIGMud2FsbEBhdWNrbGFuZC5hYy5uei4mI3hEO0Rpc2NpcGxpbmUgb2YgTnV0cml0aW9u
IGFuZCBEaWV0ZXRpY3MsIFNjaG9vbCBvZiBNZWRpY2FsIFNjaWVuY2VzLCBVbml2ZXJzaXR5IG9m
IEF1Y2tsYW5kLCBBdWNrbGFuZCAxMDcyLCBOZXcgWmVhbGFuZC4gYy53YWxsQGF1Y2tsYW5kLmFj
Lm56LiYjeEQ7Q2VudHJlIGZvciBMb25naXR1ZGluYWwgUmVzZWFyY2gtSGUgQXJhIGtpIE11YSwg
VW5pdmVyc2l0eSBvZiBBdWNrbGFuZCwgQXVja2xhbmQgMTA3MiwgTmV3IFplYWxhbmQuIGMuZ2Ft
bW9uQGF1Y2tsYW5kLmFjLm56LiYjeEQ7Q2VudHJlIGZvciBMb25naXR1ZGluYWwgUmVzZWFyY2gt
SGUgQXJhIGtpIE11YSwgVW5pdmVyc2l0eSBvZiBBdWNrbGFuZCwgQXVja2xhbmQgMTA3MiwgTmV3
IFplYWxhbmQuIGQuYmFuZGFyYUBhdWNrbGFuZC5hYy5uei4mI3hEO0NlbnRyZSBmb3IgTG9uZ2l0
dWRpbmFsIFJlc2VhcmNoLUhlIEFyYSBraSBNdWEsIFVuaXZlcnNpdHkgb2YgQXVja2xhbmQsIEF1
Y2tsYW5kIDEwNzIsIE5ldyBaZWFsYW5kLiBjYy5ncmFudEBhdWNrbGFuZC5hYy5uei4mI3hEO0Rl
cGFydG1lbnQgb2YgUGFlZGlhdHJpY3MsIENoaWxkICZhbXA7YW1wOyBZb3V0aCBIZWFsdGgsIFVu
aXZlcnNpdHkgb2YgQXVja2xhbmQsIEF1Y2tsYW5kIDEwNzIsIE5ldyBaZWFsYW5kLiBjYy5ncmFu
dEBhdWNrbGFuZC5hYy5uei4mI3hEO1N0YXJzaGlwIENoaWxkcmVuJmFwb3M7cyBIb3NwaXRhbCwg
QXVja2xhbmQgRGlzdHJpY3QgSGVhbHRoIEJvYXJkLCBBdWNrbGFuZCAxMTQ4LCBOZXcgWmVhbGFu
ZC4gY2MuZ3JhbnRAYXVja2xhbmQuYWMubnouJiN4RDtDZW50cmUgZm9yIExvbmdpdHVkaW5hbCBS
ZXNlYXJjaC1IZSBBcmEga2kgTXVhLCBVbml2ZXJzaXR5IG9mIEF1Y2tsYW5kLCBBdWNrbGFuZCAx
MDcyLCBOZXcgWmVhbGFuZC4gcC5hdGF0b2FjYXJyQGF1Y2tsYW5kLmFjLm56LiYjeEQ7Q2hpbGQg
SGVhbHRoLCBXYWlrYXRvIERpc3RyaWN0IEhlYWx0aCBCb2FyZCwgSGFtaWx0b24gMzIwNCwgTmV3
IFplYWxhbmQuIHAuYXRhdG9hY2FyckBhdWNrbGFuZC5hYy5uei4mI3hEO0NlbnRyZSBmb3IgTG9u
Z2l0dWRpbmFsIFJlc2VhcmNoLUhlIEFyYSBraSBNdWEsIFVuaXZlcnNpdHkgb2YgQXVja2xhbmQs
IEF1Y2tsYW5kIDEwNzIsIE5ldyBaZWFsYW5kLiBzLm1vcnRvbkBhdWNrbGFuZC5hYy5uei48L2F1
dGgtYWRkcmVzcz48dGl0bGVzPjx0aXRsZT5EaWV0YXJ5IFBhdHRlcm5zIGluIFByZWduYW5jeSBp
biBOZXcgWmVhbGFuZC1JbmZsdWVuY2Ugb2YgTWF0ZXJuYWwgU29jaW8tRGVtb2dyYXBoaWMsIEhl
YWx0aCBhbmQgTGlmZXN0eWxlIEZhY3RvcnM8L3RpdGxlPjxzZWNvbmRhcnktdGl0bGU+TnV0cmll
bnRzPC9zZWNvbmRhcnktdGl0bGU+PC90aXRsZXM+PHBlcmlvZGljYWw+PGZ1bGwtdGl0bGU+TnV0
cmllbnRzPC9mdWxsLXRpdGxlPjwvcGVyaW9kaWNhbD48dm9sdW1lPjg8L3ZvbHVtZT48bnVtYmVy
PjU8L251bWJlcj48ZWRpdGlvbj4yMDE2LzA1LzI0PC9lZGl0aW9uPjxrZXl3b3Jkcz48a2V5d29y
ZD5BZG9sZXNjZW50PC9rZXl3b3JkPjxrZXl3b3JkPkFkdWx0PC9rZXl3b3JkPjxrZXl3b3JkPkRp
ZXQgU3VydmV5czwva2V5d29yZD48a2V5d29yZD4qRmVlZGluZyBCZWhhdmlvcjwva2V5d29yZD48
a2V5d29yZD5GZW1hbGU8L2tleXdvcmQ+PGtleXdvcmQ+Rm9vZC9jbGFzc2lmaWNhdGlvbjwva2V5
d29yZD48a2V5d29yZD4qSGVhbHRoIEJlaGF2aW9yPC9rZXl3b3JkPjxrZXl3b3JkPkh1bWFuczwv
a2V5d29yZD48a2V5d29yZD4qTGlmZSBTdHlsZTwva2V5d29yZD48a2V5d29yZD5NaWRkbGUgQWdl
ZDwva2V5d29yZD48a2V5d29yZD5OZXcgWmVhbGFuZDwva2V5d29yZD48a2V5d29yZD5QcmVnbmFu
Y3k8L2tleXdvcmQ+PGtleXdvcmQ+KlByZW5hdGFsIE51dHJpdGlvbmFsIFBoeXNpb2xvZ2ljYWwg
UGhlbm9tZW5hPC9rZXl3b3JkPjxrZXl3b3JkPipTb2NpYWwgQ2xhc3M8L2tleXdvcmQ+PGtleXdv
cmQ+U29jaW9lY29ub21pYyBGYWN0b3JzPC9rZXl3b3JkPjxrZXl3b3JkPllvdW5nIEFkdWx0PC9r
ZXl3b3JkPjxrZXl3b3JkPmRpZXRhcnkgcGF0dGVybnM8L2tleXdvcmQ+PGtleXdvcmQ+ZXRobmlj
aXR5PC9rZXl3b3JkPjxrZXl3b3JkPnByaW5jaXBhbCBjb21wb25lbnQgYW5hbHlzaXM8L2tleXdv
cmQ+PC9rZXl3b3Jkcz48ZGF0ZXM+PHllYXI+MjAxNjwveWVhcj48cHViLWRhdGVzPjxkYXRlPk1h
eSAxOTwvZGF0ZT48L3B1Yi1kYXRlcz48L2RhdGVzPjxpc2JuPjIwNzItNjY0MyAoRWxlY3Ryb25p
YykmI3hEOzIwNzItNjY0MyAoTGlua2luZyk8L2lzYm4+PGFjY2Vzc2lvbi1udW0+MjcyMTM0Mzg8
L2FjY2Vzc2lvbi1udW0+PHVybHM+PHJlbGF0ZWQtdXJscz48dXJsPmh0dHBzOi8vd3d3Lm5jYmku
bmxtLm5paC5nb3YvcHVibWVkLzI3MjEzNDM4PC91cmw+PC9yZWxhdGVkLXVybHM+PC91cmxzPjxj
dXN0b20yPlBNQzQ4ODI3MTI8L2N1c3RvbTI+PGVsZWN0cm9uaWMtcmVzb3VyY2UtbnVtPjEwLjMz
OTAvbnU4MDUwMzAwPC9lbGVjdHJvbmljLXJlc291cmNlLW51bT48L3JlY29yZD48L0NpdGU+PC9F
bmROb3RlPgB=
</w:fldData>
        </w:fldChar>
      </w:r>
      <w:r w:rsidR="00201490">
        <w:instrText xml:space="preserve"> ADDIN EN.CITE </w:instrText>
      </w:r>
      <w:r w:rsidR="00201490">
        <w:fldChar w:fldCharType="begin">
          <w:fldData xml:space="preserve">PEVuZE5vdGU+PENpdGU+PEF1dGhvcj5XYWxsPC9BdXRob3I+PFllYXI+MjAxNjwvWWVhcj48UmVj
TnVtPjE1MjI8L1JlY051bT48RGlzcGxheVRleHQ+PHN0eWxlIGZhY2U9InN1cGVyc2NyaXB0IiBm
b250PSJUcmVidWNoZXQgTVMiIHNpemU9IjkiPjEzPC9zdHlsZT48L0Rpc3BsYXlUZXh0PjxyZWNv
cmQ+PHJlYy1udW1iZXI+MTUyMjwvcmVjLW51bWJlcj48Zm9yZWlnbi1rZXlzPjxrZXkgYXBwPSJF
TiIgZGItaWQ9ImV4dmFzcmZ4MmR0cmFvZXNhc3hwMnN6c3hhMmRmNTAyNTkyeCIgdGltZXN0YW1w
PSIxNTc2NDcyOTI5Ij4xNTIyPC9rZXk+PGtleSBhcHA9IkVOV2ViIiBkYi1pZD0iIj4wPC9rZXk+
PC9mb3JlaWduLWtleXM+PHJlZi10eXBlIG5hbWU9IkpvdXJuYWwgQXJ0aWNsZSI+MTc8L3JlZi10
eXBlPjxjb250cmlidXRvcnM+PGF1dGhvcnM+PGF1dGhvcj5XYWxsLCBDLiBSLjwvYXV0aG9yPjxh
dXRob3I+R2FtbW9uLCBDLiBTLjwvYXV0aG9yPjxhdXRob3I+QmFuZGFyYSwgRC4gSy48L2F1dGhv
cj48YXV0aG9yPkdyYW50LCBDLiBDLjwvYXV0aG9yPjxhdXRob3I+QXRhdG9hIENhcnIsIFAuIEUu
PC9hdXRob3I+PGF1dGhvcj5Nb3J0b24sIFMuIE0uPC9hdXRob3I+PC9hdXRob3JzPjwvY29udHJp
YnV0b3JzPjxhdXRoLWFkZHJlc3M+Q2VudHJlIGZvciBMb25naXR1ZGluYWwgUmVzZWFyY2gtSGUg
QXJhIGtpIE11YSwgVW5pdmVyc2l0eSBvZiBBdWNrbGFuZCwgQXVja2xhbmQgMTA3MiwgTmV3IFpl
YWxhbmQuIGMud2FsbEBhdWNrbGFuZC5hYy5uei4mI3hEO0Rpc2NpcGxpbmUgb2YgTnV0cml0aW9u
IGFuZCBEaWV0ZXRpY3MsIFNjaG9vbCBvZiBNZWRpY2FsIFNjaWVuY2VzLCBVbml2ZXJzaXR5IG9m
IEF1Y2tsYW5kLCBBdWNrbGFuZCAxMDcyLCBOZXcgWmVhbGFuZC4gYy53YWxsQGF1Y2tsYW5kLmFj
Lm56LiYjeEQ7Q2VudHJlIGZvciBMb25naXR1ZGluYWwgUmVzZWFyY2gtSGUgQXJhIGtpIE11YSwg
VW5pdmVyc2l0eSBvZiBBdWNrbGFuZCwgQXVja2xhbmQgMTA3MiwgTmV3IFplYWxhbmQuIGMuZ2Ft
bW9uQGF1Y2tsYW5kLmFjLm56LiYjeEQ7Q2VudHJlIGZvciBMb25naXR1ZGluYWwgUmVzZWFyY2gt
SGUgQXJhIGtpIE11YSwgVW5pdmVyc2l0eSBvZiBBdWNrbGFuZCwgQXVja2xhbmQgMTA3MiwgTmV3
IFplYWxhbmQuIGQuYmFuZGFyYUBhdWNrbGFuZC5hYy5uei4mI3hEO0NlbnRyZSBmb3IgTG9uZ2l0
dWRpbmFsIFJlc2VhcmNoLUhlIEFyYSBraSBNdWEsIFVuaXZlcnNpdHkgb2YgQXVja2xhbmQsIEF1
Y2tsYW5kIDEwNzIsIE5ldyBaZWFsYW5kLiBjYy5ncmFudEBhdWNrbGFuZC5hYy5uei4mI3hEO0Rl
cGFydG1lbnQgb2YgUGFlZGlhdHJpY3MsIENoaWxkICZhbXA7YW1wOyBZb3V0aCBIZWFsdGgsIFVu
aXZlcnNpdHkgb2YgQXVja2xhbmQsIEF1Y2tsYW5kIDEwNzIsIE5ldyBaZWFsYW5kLiBjYy5ncmFu
dEBhdWNrbGFuZC5hYy5uei4mI3hEO1N0YXJzaGlwIENoaWxkcmVuJmFwb3M7cyBIb3NwaXRhbCwg
QXVja2xhbmQgRGlzdHJpY3QgSGVhbHRoIEJvYXJkLCBBdWNrbGFuZCAxMTQ4LCBOZXcgWmVhbGFu
ZC4gY2MuZ3JhbnRAYXVja2xhbmQuYWMubnouJiN4RDtDZW50cmUgZm9yIExvbmdpdHVkaW5hbCBS
ZXNlYXJjaC1IZSBBcmEga2kgTXVhLCBVbml2ZXJzaXR5IG9mIEF1Y2tsYW5kLCBBdWNrbGFuZCAx
MDcyLCBOZXcgWmVhbGFuZC4gcC5hdGF0b2FjYXJyQGF1Y2tsYW5kLmFjLm56LiYjeEQ7Q2hpbGQg
SGVhbHRoLCBXYWlrYXRvIERpc3RyaWN0IEhlYWx0aCBCb2FyZCwgSGFtaWx0b24gMzIwNCwgTmV3
IFplYWxhbmQuIHAuYXRhdG9hY2FyckBhdWNrbGFuZC5hYy5uei4mI3hEO0NlbnRyZSBmb3IgTG9u
Z2l0dWRpbmFsIFJlc2VhcmNoLUhlIEFyYSBraSBNdWEsIFVuaXZlcnNpdHkgb2YgQXVja2xhbmQs
IEF1Y2tsYW5kIDEwNzIsIE5ldyBaZWFsYW5kLiBzLm1vcnRvbkBhdWNrbGFuZC5hYy5uei48L2F1
dGgtYWRkcmVzcz48dGl0bGVzPjx0aXRsZT5EaWV0YXJ5IFBhdHRlcm5zIGluIFByZWduYW5jeSBp
biBOZXcgWmVhbGFuZC1JbmZsdWVuY2Ugb2YgTWF0ZXJuYWwgU29jaW8tRGVtb2dyYXBoaWMsIEhl
YWx0aCBhbmQgTGlmZXN0eWxlIEZhY3RvcnM8L3RpdGxlPjxzZWNvbmRhcnktdGl0bGU+TnV0cmll
bnRzPC9zZWNvbmRhcnktdGl0bGU+PC90aXRsZXM+PHBlcmlvZGljYWw+PGZ1bGwtdGl0bGU+TnV0
cmllbnRzPC9mdWxsLXRpdGxlPjwvcGVyaW9kaWNhbD48dm9sdW1lPjg8L3ZvbHVtZT48bnVtYmVy
PjU8L251bWJlcj48ZWRpdGlvbj4yMDE2LzA1LzI0PC9lZGl0aW9uPjxrZXl3b3Jkcz48a2V5d29y
ZD5BZG9sZXNjZW50PC9rZXl3b3JkPjxrZXl3b3JkPkFkdWx0PC9rZXl3b3JkPjxrZXl3b3JkPkRp
ZXQgU3VydmV5czwva2V5d29yZD48a2V5d29yZD4qRmVlZGluZyBCZWhhdmlvcjwva2V5d29yZD48
a2V5d29yZD5GZW1hbGU8L2tleXdvcmQ+PGtleXdvcmQ+Rm9vZC9jbGFzc2lmaWNhdGlvbjwva2V5
d29yZD48a2V5d29yZD4qSGVhbHRoIEJlaGF2aW9yPC9rZXl3b3JkPjxrZXl3b3JkPkh1bWFuczwv
a2V5d29yZD48a2V5d29yZD4qTGlmZSBTdHlsZTwva2V5d29yZD48a2V5d29yZD5NaWRkbGUgQWdl
ZDwva2V5d29yZD48a2V5d29yZD5OZXcgWmVhbGFuZDwva2V5d29yZD48a2V5d29yZD5QcmVnbmFu
Y3k8L2tleXdvcmQ+PGtleXdvcmQ+KlByZW5hdGFsIE51dHJpdGlvbmFsIFBoeXNpb2xvZ2ljYWwg
UGhlbm9tZW5hPC9rZXl3b3JkPjxrZXl3b3JkPipTb2NpYWwgQ2xhc3M8L2tleXdvcmQ+PGtleXdv
cmQ+U29jaW9lY29ub21pYyBGYWN0b3JzPC9rZXl3b3JkPjxrZXl3b3JkPllvdW5nIEFkdWx0PC9r
ZXl3b3JkPjxrZXl3b3JkPmRpZXRhcnkgcGF0dGVybnM8L2tleXdvcmQ+PGtleXdvcmQ+ZXRobmlj
aXR5PC9rZXl3b3JkPjxrZXl3b3JkPnByaW5jaXBhbCBjb21wb25lbnQgYW5hbHlzaXM8L2tleXdv
cmQ+PC9rZXl3b3Jkcz48ZGF0ZXM+PHllYXI+MjAxNjwveWVhcj48cHViLWRhdGVzPjxkYXRlPk1h
eSAxOTwvZGF0ZT48L3B1Yi1kYXRlcz48L2RhdGVzPjxpc2JuPjIwNzItNjY0MyAoRWxlY3Ryb25p
YykmI3hEOzIwNzItNjY0MyAoTGlua2luZyk8L2lzYm4+PGFjY2Vzc2lvbi1udW0+MjcyMTM0Mzg8
L2FjY2Vzc2lvbi1udW0+PHVybHM+PHJlbGF0ZWQtdXJscz48dXJsPmh0dHBzOi8vd3d3Lm5jYmku
bmxtLm5paC5nb3YvcHVibWVkLzI3MjEzNDM4PC91cmw+PC9yZWxhdGVkLXVybHM+PC91cmxzPjxj
dXN0b20yPlBNQzQ4ODI3MTI8L2N1c3RvbTI+PGVsZWN0cm9uaWMtcmVzb3VyY2UtbnVtPjEwLjMz
OTAvbnU4MDUwMzAwPC9lbGVjdHJvbmljLXJlc291cmNlLW51bT48L3JlY29yZD48L0NpdGU+PC9F
bmROb3RlPgB=
</w:fldData>
        </w:fldChar>
      </w:r>
      <w:r w:rsidR="00201490">
        <w:instrText xml:space="preserve"> ADDIN EN.CITE.DATA </w:instrText>
      </w:r>
      <w:r w:rsidR="00201490">
        <w:fldChar w:fldCharType="end"/>
      </w:r>
      <w:r w:rsidR="00201490">
        <w:fldChar w:fldCharType="separate"/>
      </w:r>
      <w:r w:rsidR="00201490" w:rsidRPr="00201490">
        <w:rPr>
          <w:noProof/>
          <w:vertAlign w:val="superscript"/>
        </w:rPr>
        <w:t>13</w:t>
      </w:r>
      <w:r w:rsidR="00201490">
        <w:fldChar w:fldCharType="end"/>
      </w:r>
    </w:p>
    <w:p w14:paraId="0D41179D" w14:textId="2A9BA08A" w:rsidR="00577908" w:rsidRDefault="00E302CE" w:rsidP="00EF06FA">
      <w:r>
        <w:t xml:space="preserve">Women tended to continue the dietary pattern they followed in the first trimester into subsequent trimesters — </w:t>
      </w:r>
      <w:r w:rsidR="00B4507E" w:rsidRPr="00EF06FA">
        <w:t xml:space="preserve">'unhealthy' </w:t>
      </w:r>
      <w:r>
        <w:t xml:space="preserve">dietary patterns were </w:t>
      </w:r>
      <w:r w:rsidR="00EF06FA" w:rsidRPr="00EF06FA">
        <w:t xml:space="preserve">continued </w:t>
      </w:r>
      <w:r>
        <w:t>by 72% of women in</w:t>
      </w:r>
      <w:r w:rsidR="00EF06FA" w:rsidRPr="00EF06FA">
        <w:t xml:space="preserve"> </w:t>
      </w:r>
      <w:r>
        <w:t>the second trimester and</w:t>
      </w:r>
      <w:r w:rsidR="00EF06FA" w:rsidRPr="00EF06FA">
        <w:t xml:space="preserve"> </w:t>
      </w:r>
      <w:r>
        <w:t>56.6% in the third trimester and</w:t>
      </w:r>
      <w:r w:rsidR="00B4507E" w:rsidRPr="00EF06FA">
        <w:t xml:space="preserve"> 'health conscious' </w:t>
      </w:r>
      <w:r>
        <w:t>dietary patterns were continued by 66.9</w:t>
      </w:r>
      <w:r w:rsidR="00B4507E">
        <w:t>%</w:t>
      </w:r>
      <w:r w:rsidR="00EF06FA" w:rsidRPr="00EF06FA">
        <w:t xml:space="preserve"> </w:t>
      </w:r>
      <w:r>
        <w:t>of women in</w:t>
      </w:r>
      <w:r w:rsidR="00EF06FA" w:rsidRPr="00EF06FA">
        <w:t xml:space="preserve"> </w:t>
      </w:r>
      <w:r>
        <w:t xml:space="preserve">the second trimester </w:t>
      </w:r>
      <w:r w:rsidR="00EF06FA" w:rsidRPr="00EF06FA">
        <w:t xml:space="preserve">and </w:t>
      </w:r>
      <w:r w:rsidR="00B4507E">
        <w:t>48.6 %</w:t>
      </w:r>
      <w:r>
        <w:t xml:space="preserve"> in</w:t>
      </w:r>
      <w:r w:rsidR="00EF06FA" w:rsidRPr="00EF06FA">
        <w:t xml:space="preserve"> </w:t>
      </w:r>
      <w:r>
        <w:t>the third trimester</w:t>
      </w:r>
      <w:r w:rsidR="00EF06FA" w:rsidRPr="00EF06FA">
        <w:t>.</w:t>
      </w:r>
      <w:r w:rsidR="007307DE">
        <w:fldChar w:fldCharType="begin">
          <w:fldData xml:space="preserve">PEVuZE5vdGU+PENpdGU+PEF1dGhvcj5NY0dvd2FuPC9BdXRob3I+PFllYXI+MjAxMzwvWWVhcj48
UmVjTnVtPjEzNjc8L1JlY051bT48RGlzcGxheVRleHQ+PHN0eWxlIGZhY2U9InN1cGVyc2NyaXB0
IiBmb250PSJUcmVidWNoZXQgTVMiIHNpemU9IjkiPjEyPC9zdHlsZT48L0Rpc3BsYXlUZXh0Pjxy
ZWNvcmQ+PHJlYy1udW1iZXI+MTM2NzwvcmVjLW51bWJlcj48Zm9yZWlnbi1rZXlzPjxrZXkgYXBw
PSJFTiIgZGItaWQ9ImV4dmFzcmZ4MmR0cmFvZXNhc3hwMnN6c3hhMmRmNTAyNTkyeCIgdGltZXN0
YW1wPSIxNTY3MDMxMDc1Ij4xMzY3PC9rZXk+PGtleSBhcHA9IkVOV2ViIiBkYi1pZD0iIj4wPC9r
ZXk+PC9mb3JlaWduLWtleXM+PHJlZi10eXBlIG5hbWU9IkpvdXJuYWwgQXJ0aWNsZSI+MTc8L3Jl
Zi10eXBlPjxjb250cmlidXRvcnM+PGF1dGhvcnM+PGF1dGhvcj5NY0dvd2FuLCBDLiBBLjwvYXV0
aG9yPjxhdXRob3I+TWNBdWxpZmZlLCBGLiBNLjwvYXV0aG9yPjwvYXV0aG9ycz48L2NvbnRyaWJ1
dG9ycz48YXV0aC1hZGRyZXNzPlVDRCBPYnN0ZXRyaWNzIGFuZCBHeW5hZWNvbG9neSwgU2Nob29s
IG9mIE1lZGljaW5lIGFuZCBNZWRpY2FsIFNjaWVuY2UsIFVuaXZlcnNpdHkgQ29sbGVnZSBEdWJs
aW4sIE5hdGlvbmFsIE1hdGVybml0eSBIb3NwaXRhbCwgRHVibGluIDIsIElyZWxhbmQuIGNtY2dv
d2FAZ21haWwuY29tPC9hdXRoLWFkZHJlc3M+PHRpdGxlcz48dGl0bGU+TWF0ZXJuYWwgZGlldGFy
eSBwYXR0ZXJucyBhbmQgYXNzb2NpYXRlZCBudXRyaWVudCBpbnRha2VzIGR1cmluZyBlYWNoIHRy
aW1lc3RlciBvZiBwcmVnbmFuY3k8L3RpdGxlPjxzZWNvbmRhcnktdGl0bGU+UHVibGljIEhlYWx0
aCBOdXRyPC9zZWNvbmRhcnktdGl0bGU+PC90aXRsZXM+PHBlcmlvZGljYWw+PGZ1bGwtdGl0bGU+
UHVibGljIEhlYWx0aCBOdXRyPC9mdWxsLXRpdGxlPjwvcGVyaW9kaWNhbD48cGFnZXM+OTctMTA3
PC9wYWdlcz48dm9sdW1lPjE2PC92b2x1bWU+PG51bWJlcj4xPC9udW1iZXI+PGVkaXRpb24+MjAx
Mi8wNC8xMzwvZWRpdGlvbj48a2V5d29yZHM+PGtleXdvcmQ+QWR1bHQ8L2tleXdvcmQ+PGtleXdv
cmQ+QWdlIEZhY3RvcnM8L2tleXdvcmQ+PGtleXdvcmQ+Qm9keSBNYXNzIEluZGV4PC9rZXl3b3Jk
PjxrZXl3b3JkPkNsdXN0ZXIgQW5hbHlzaXM8L2tleXdvcmQ+PGtleXdvcmQ+RGlldC8qc3RhbmRh
cmRzPC9rZXl3b3JkPjxrZXl3b3JkPkRpZXQgUmVjb3Jkczwva2V5d29yZD48a2V5d29yZD5FZHVj
YXRpb25hbCBTdGF0dXM8L2tleXdvcmQ+PGtleXdvcmQ+KkVuZXJneSBJbnRha2U8L2tleXdvcmQ+
PGtleXdvcmQ+KkZlZWRpbmcgQmVoYXZpb3I8L2tleXdvcmQ+PGtleXdvcmQ+RmVtYWxlPC9rZXl3
b3JkPjxrZXl3b3JkPipIZWFsdGggQmVoYXZpb3I8L2tleXdvcmQ+PGtleXdvcmQ+SGVhbHRoIEtu
b3dsZWRnZSwgQXR0aXR1ZGVzLCBQcmFjdGljZTwva2V5d29yZD48a2V5d29yZD5IdW1hbnM8L2tl
eXdvcmQ+PGtleXdvcmQ+SXJlbGFuZDwva2V5d29yZD48a2V5d29yZD5PYmVzaXR5L2NvbXBsaWNh
dGlvbnM8L2tleXdvcmQ+PGtleXdvcmQ+UHJlZ25hbmN5PC9rZXl3b3JkPjxrZXl3b3JkPlByZWdu
YW5jeSBDb21wbGljYXRpb25zPC9rZXl3b3JkPjxrZXl3b3JkPipQcmVnbmFuY3kgVHJpbWVzdGVy
czwva2V5d29yZD48a2V5d29yZD4qUHJlbmF0YWwgQ2FyZTwva2V5d29yZD48a2V5d29yZD5Zb3Vu
ZyBBZHVsdDwva2V5d29yZD48L2tleXdvcmRzPjxkYXRlcz48eWVhcj4yMDEzPC95ZWFyPjxwdWIt
ZGF0ZXM+PGRhdGU+SmFuPC9kYXRlPjwvcHViLWRhdGVzPjwvZGF0ZXM+PGlzYm4+MTQ3NS0yNzI3
IChFbGVjdHJvbmljKSYjeEQ7MTM2OC05ODAwIChMaW5raW5nKTwvaXNibj48YWNjZXNzaW9uLW51
bT4yMjQ5NDkxNzwvYWNjZXNzaW9uLW51bT48dXJscz48cmVsYXRlZC11cmxzPjx1cmw+aHR0cHM6
Ly93d3cubmNiaS5ubG0ubmloLmdvdi9wdWJtZWQvMjI0OTQ5MTc8L3VybD48L3JlbGF0ZWQtdXJs
cz48L3VybHM+PGVsZWN0cm9uaWMtcmVzb3VyY2UtbnVtPjEwLjEwMTcvUzEzNjg5ODAwMTIwMDA5
OTc8L2VsZWN0cm9uaWMtcmVzb3VyY2UtbnVtPjwvcmVjb3JkPjwvQ2l0ZT48L0VuZE5vdGU+
</w:fldData>
        </w:fldChar>
      </w:r>
      <w:r w:rsidR="00201490">
        <w:instrText xml:space="preserve"> ADDIN EN.CITE </w:instrText>
      </w:r>
      <w:r w:rsidR="00201490">
        <w:fldChar w:fldCharType="begin">
          <w:fldData xml:space="preserve">PEVuZE5vdGU+PENpdGU+PEF1dGhvcj5NY0dvd2FuPC9BdXRob3I+PFllYXI+MjAxMzwvWWVhcj48
UmVjTnVtPjEzNjc8L1JlY051bT48RGlzcGxheVRleHQ+PHN0eWxlIGZhY2U9InN1cGVyc2NyaXB0
IiBmb250PSJUcmVidWNoZXQgTVMiIHNpemU9IjkiPjEyPC9zdHlsZT48L0Rpc3BsYXlUZXh0Pjxy
ZWNvcmQ+PHJlYy1udW1iZXI+MTM2NzwvcmVjLW51bWJlcj48Zm9yZWlnbi1rZXlzPjxrZXkgYXBw
PSJFTiIgZGItaWQ9ImV4dmFzcmZ4MmR0cmFvZXNhc3hwMnN6c3hhMmRmNTAyNTkyeCIgdGltZXN0
YW1wPSIxNTY3MDMxMDc1Ij4xMzY3PC9rZXk+PGtleSBhcHA9IkVOV2ViIiBkYi1pZD0iIj4wPC9r
ZXk+PC9mb3JlaWduLWtleXM+PHJlZi10eXBlIG5hbWU9IkpvdXJuYWwgQXJ0aWNsZSI+MTc8L3Jl
Zi10eXBlPjxjb250cmlidXRvcnM+PGF1dGhvcnM+PGF1dGhvcj5NY0dvd2FuLCBDLiBBLjwvYXV0
aG9yPjxhdXRob3I+TWNBdWxpZmZlLCBGLiBNLjwvYXV0aG9yPjwvYXV0aG9ycz48L2NvbnRyaWJ1
dG9ycz48YXV0aC1hZGRyZXNzPlVDRCBPYnN0ZXRyaWNzIGFuZCBHeW5hZWNvbG9neSwgU2Nob29s
IG9mIE1lZGljaW5lIGFuZCBNZWRpY2FsIFNjaWVuY2UsIFVuaXZlcnNpdHkgQ29sbGVnZSBEdWJs
aW4sIE5hdGlvbmFsIE1hdGVybml0eSBIb3NwaXRhbCwgRHVibGluIDIsIElyZWxhbmQuIGNtY2dv
d2FAZ21haWwuY29tPC9hdXRoLWFkZHJlc3M+PHRpdGxlcz48dGl0bGU+TWF0ZXJuYWwgZGlldGFy
eSBwYXR0ZXJucyBhbmQgYXNzb2NpYXRlZCBudXRyaWVudCBpbnRha2VzIGR1cmluZyBlYWNoIHRy
aW1lc3RlciBvZiBwcmVnbmFuY3k8L3RpdGxlPjxzZWNvbmRhcnktdGl0bGU+UHVibGljIEhlYWx0
aCBOdXRyPC9zZWNvbmRhcnktdGl0bGU+PC90aXRsZXM+PHBlcmlvZGljYWw+PGZ1bGwtdGl0bGU+
UHVibGljIEhlYWx0aCBOdXRyPC9mdWxsLXRpdGxlPjwvcGVyaW9kaWNhbD48cGFnZXM+OTctMTA3
PC9wYWdlcz48dm9sdW1lPjE2PC92b2x1bWU+PG51bWJlcj4xPC9udW1iZXI+PGVkaXRpb24+MjAx
Mi8wNC8xMzwvZWRpdGlvbj48a2V5d29yZHM+PGtleXdvcmQ+QWR1bHQ8L2tleXdvcmQ+PGtleXdv
cmQ+QWdlIEZhY3RvcnM8L2tleXdvcmQ+PGtleXdvcmQ+Qm9keSBNYXNzIEluZGV4PC9rZXl3b3Jk
PjxrZXl3b3JkPkNsdXN0ZXIgQW5hbHlzaXM8L2tleXdvcmQ+PGtleXdvcmQ+RGlldC8qc3RhbmRh
cmRzPC9rZXl3b3JkPjxrZXl3b3JkPkRpZXQgUmVjb3Jkczwva2V5d29yZD48a2V5d29yZD5FZHVj
YXRpb25hbCBTdGF0dXM8L2tleXdvcmQ+PGtleXdvcmQ+KkVuZXJneSBJbnRha2U8L2tleXdvcmQ+
PGtleXdvcmQ+KkZlZWRpbmcgQmVoYXZpb3I8L2tleXdvcmQ+PGtleXdvcmQ+RmVtYWxlPC9rZXl3
b3JkPjxrZXl3b3JkPipIZWFsdGggQmVoYXZpb3I8L2tleXdvcmQ+PGtleXdvcmQ+SGVhbHRoIEtu
b3dsZWRnZSwgQXR0aXR1ZGVzLCBQcmFjdGljZTwva2V5d29yZD48a2V5d29yZD5IdW1hbnM8L2tl
eXdvcmQ+PGtleXdvcmQ+SXJlbGFuZDwva2V5d29yZD48a2V5d29yZD5PYmVzaXR5L2NvbXBsaWNh
dGlvbnM8L2tleXdvcmQ+PGtleXdvcmQ+UHJlZ25hbmN5PC9rZXl3b3JkPjxrZXl3b3JkPlByZWdu
YW5jeSBDb21wbGljYXRpb25zPC9rZXl3b3JkPjxrZXl3b3JkPipQcmVnbmFuY3kgVHJpbWVzdGVy
czwva2V5d29yZD48a2V5d29yZD4qUHJlbmF0YWwgQ2FyZTwva2V5d29yZD48a2V5d29yZD5Zb3Vu
ZyBBZHVsdDwva2V5d29yZD48L2tleXdvcmRzPjxkYXRlcz48eWVhcj4yMDEzPC95ZWFyPjxwdWIt
ZGF0ZXM+PGRhdGU+SmFuPC9kYXRlPjwvcHViLWRhdGVzPjwvZGF0ZXM+PGlzYm4+MTQ3NS0yNzI3
IChFbGVjdHJvbmljKSYjeEQ7MTM2OC05ODAwIChMaW5raW5nKTwvaXNibj48YWNjZXNzaW9uLW51
bT4yMjQ5NDkxNzwvYWNjZXNzaW9uLW51bT48dXJscz48cmVsYXRlZC11cmxzPjx1cmw+aHR0cHM6
Ly93d3cubmNiaS5ubG0ubmloLmdvdi9wdWJtZWQvMjI0OTQ5MTc8L3VybD48L3JlbGF0ZWQtdXJs
cz48L3VybHM+PGVsZWN0cm9uaWMtcmVzb3VyY2UtbnVtPjEwLjEwMTcvUzEzNjg5ODAwMTIwMDA5
OTc8L2VsZWN0cm9uaWMtcmVzb3VyY2UtbnVtPjwvcmVjb3JkPjwvQ2l0ZT48L0VuZE5vdGU+
</w:fldData>
        </w:fldChar>
      </w:r>
      <w:r w:rsidR="00201490">
        <w:instrText xml:space="preserve"> ADDIN EN.CITE.DATA </w:instrText>
      </w:r>
      <w:r w:rsidR="00201490">
        <w:fldChar w:fldCharType="end"/>
      </w:r>
      <w:r w:rsidR="007307DE">
        <w:fldChar w:fldCharType="separate"/>
      </w:r>
      <w:r w:rsidR="00201490" w:rsidRPr="00201490">
        <w:rPr>
          <w:noProof/>
          <w:vertAlign w:val="superscript"/>
        </w:rPr>
        <w:t>12</w:t>
      </w:r>
      <w:r w:rsidR="007307DE">
        <w:fldChar w:fldCharType="end"/>
      </w:r>
      <w:r w:rsidR="00EF06FA" w:rsidRPr="00EF06FA">
        <w:t xml:space="preserve"> </w:t>
      </w:r>
    </w:p>
    <w:p w14:paraId="1C8E0A3C" w14:textId="67387891" w:rsidR="001D7FD8" w:rsidRPr="00EF06FA" w:rsidRDefault="001D7FD8" w:rsidP="00EF06FA">
      <w:r>
        <w:t xml:space="preserve">A review </w:t>
      </w:r>
      <w:r w:rsidRPr="00A71D01">
        <w:t>interventions targeting improving nutrition-related outcomes for pregnant Indigenous women residing in Organisation for Economic Co-operation and Development countries,</w:t>
      </w:r>
      <w:r>
        <w:fldChar w:fldCharType="begin"/>
      </w:r>
      <w:r w:rsidR="002747EA">
        <w:instrText xml:space="preserve"> ADDIN EN.CITE &lt;EndNote&gt;&lt;Cite&gt;&lt;Author&gt;Ashman&lt;/Author&gt;&lt;Year&gt;2017&lt;/Year&gt;&lt;RecNum&gt;1337&lt;/RecNum&gt;&lt;DisplayText&gt;&lt;style face="superscript" font="Trebuchet MS" size="9"&gt;14&lt;/style&gt;&lt;/DisplayText&gt;&lt;record&gt;&lt;rec-number&gt;1337&lt;/rec-number&gt;&lt;foreign-keys&gt;&lt;key app="EN" db-id="exvasrfx2dtraoesasxp2szsxa2df502592x" timestamp="1567030945"&gt;1337&lt;/key&gt;&lt;key app="ENWeb" db-id=""&gt;0&lt;/key&gt;&lt;/foreign-keys&gt;&lt;ref-type name="Journal Article"&gt;17&lt;/ref-type&gt;&lt;contributors&gt;&lt;authors&gt;&lt;author&gt;Ashman, A. M.&lt;/author&gt;&lt;author&gt;Brown, L. J.&lt;/author&gt;&lt;author&gt;Collins, C. E.&lt;/author&gt;&lt;author&gt;Rollo, M. E.&lt;/author&gt;&lt;author&gt;Rae, K. M.&lt;/author&gt;&lt;/authors&gt;&lt;/contributors&gt;&lt;titles&gt;&lt;title&gt;Factors associated with effective nutrition interventions for pregnant indigenous women: a systematic review&lt;/title&gt;&lt;secondary-title&gt;J Acad Nutr Diet&lt;/secondary-title&gt;&lt;/titles&gt;&lt;periodical&gt;&lt;full-title&gt;J Acad Nutr Diet&lt;/full-title&gt;&lt;/periodical&gt;&lt;pages&gt;1222-1253 e2&lt;/pages&gt;&lt;volume&gt;117&lt;/volume&gt;&lt;number&gt;8&lt;/number&gt;&lt;edition&gt;2017/05/10&lt;/edition&gt;&lt;keywords&gt;&lt;keyword&gt;Australia&lt;/keyword&gt;&lt;keyword&gt;Breast Feeding&lt;/keyword&gt;&lt;keyword&gt;Canada&lt;/keyword&gt;&lt;keyword&gt;Counseling&lt;/keyword&gt;&lt;keyword&gt;Databases, Factual&lt;/keyword&gt;&lt;keyword&gt;*Diet&lt;/keyword&gt;&lt;keyword&gt;Female&lt;/keyword&gt;&lt;keyword&gt;Health Promotion/*methods&lt;/keyword&gt;&lt;keyword&gt;Humans&lt;/keyword&gt;&lt;keyword&gt;Maternal Nutritional Physiological Phenomena/*ethnology&lt;/keyword&gt;&lt;keyword&gt;*Pregnancy&lt;/keyword&gt;&lt;keyword&gt;Randomized Controlled Trials as Topic&lt;/keyword&gt;&lt;keyword&gt;United States&lt;/keyword&gt;&lt;keyword&gt;Aboriginal&lt;/keyword&gt;&lt;keyword&gt;Indigenous&lt;/keyword&gt;&lt;keyword&gt;Intervention&lt;/keyword&gt;&lt;keyword&gt;Nutrition&lt;/keyword&gt;&lt;keyword&gt;Pregnancy&lt;/keyword&gt;&lt;/keywords&gt;&lt;dates&gt;&lt;year&gt;2017&lt;/year&gt;&lt;pub-dates&gt;&lt;date&gt;Aug&lt;/date&gt;&lt;/pub-dates&gt;&lt;/dates&gt;&lt;isbn&gt;2212-2672 (Print)&amp;#xD;2212-2672 (Linking)&lt;/isbn&gt;&lt;accession-num&gt;28476322&lt;/accession-num&gt;&lt;urls&gt;&lt;related-urls&gt;&lt;url&gt;https://www.ncbi.nlm.nih.gov/pubmed/28476322&lt;/url&gt;&lt;/related-urls&gt;&lt;/urls&gt;&lt;electronic-resource-num&gt;10.1016/j.jand.2017.03.012&lt;/electronic-resource-num&gt;&lt;/record&gt;&lt;/Cite&gt;&lt;/EndNote&gt;</w:instrText>
      </w:r>
      <w:r>
        <w:fldChar w:fldCharType="separate"/>
      </w:r>
      <w:r w:rsidR="002747EA" w:rsidRPr="002747EA">
        <w:rPr>
          <w:noProof/>
          <w:vertAlign w:val="superscript"/>
        </w:rPr>
        <w:t>14</w:t>
      </w:r>
      <w:r>
        <w:fldChar w:fldCharType="end"/>
      </w:r>
      <w:r>
        <w:t xml:space="preserve"> found that p</w:t>
      </w:r>
      <w:r w:rsidRPr="00A71D01">
        <w:t xml:space="preserve">rograms with statistically significant results for </w:t>
      </w:r>
      <w:r>
        <w:t>low birthweight</w:t>
      </w:r>
      <w:r w:rsidRPr="00A71D01">
        <w:t xml:space="preserve"> employed the following nutrition activities: individual counse</w:t>
      </w:r>
      <w:r>
        <w:t>l</w:t>
      </w:r>
      <w:r w:rsidRPr="00A71D01">
        <w:t>ling/education; delivery by senior Indigenous woman, peer counsel</w:t>
      </w:r>
      <w:r>
        <w:t>l</w:t>
      </w:r>
      <w:r w:rsidRPr="00A71D01">
        <w:t>or or other Indigenous health worker; community-wide interventions; media campaigns; delivery by non-Indigenous health professional; and home visits.</w:t>
      </w:r>
    </w:p>
    <w:p w14:paraId="7E44C237" w14:textId="14F8AFB7" w:rsidR="00122B25" w:rsidRDefault="00CE1CBC" w:rsidP="00C8357D">
      <w:pPr>
        <w:pStyle w:val="Heading3"/>
      </w:pPr>
      <w:bookmarkStart w:id="22" w:name="_Toc40956472"/>
      <w:r>
        <w:t>D</w:t>
      </w:r>
      <w:r w:rsidR="00FB1FA0">
        <w:t>ietary patterns</w:t>
      </w:r>
      <w:bookmarkEnd w:id="22"/>
    </w:p>
    <w:p w14:paraId="477B1A0E" w14:textId="306BC72C" w:rsidR="00D72916" w:rsidRPr="00D72916" w:rsidRDefault="00D72916" w:rsidP="008B2048">
      <w:pPr>
        <w:keepNext/>
      </w:pPr>
      <w:r>
        <w:t xml:space="preserve">A range of studies have compared </w:t>
      </w:r>
      <w:r w:rsidR="00F447A7">
        <w:t>the outcomes associated with highest versus lowest tertiles or quartiles of specific dietary patterns.</w:t>
      </w:r>
    </w:p>
    <w:p w14:paraId="30A70A99" w14:textId="436D7197" w:rsidR="00FB1FA0" w:rsidRDefault="00FB1FA0" w:rsidP="00FB1FA0">
      <w:pPr>
        <w:pStyle w:val="Heading4"/>
      </w:pPr>
      <w:r>
        <w:t>Gestational diabetes</w:t>
      </w:r>
    </w:p>
    <w:p w14:paraId="77F9F24C" w14:textId="5A38784B" w:rsidR="00EB6A1E" w:rsidRDefault="00EB6A1E" w:rsidP="00D72916">
      <w:r>
        <w:t>A systematic review (without meta-analysis)</w:t>
      </w:r>
      <w:r w:rsidR="00201490">
        <w:fldChar w:fldCharType="begin">
          <w:fldData xml:space="preserve">PEVuZE5vdGU+PENpdGU+PEF1dGhvcj5TY2hvZW5ha2VyPC9BdXRob3I+PFllYXI+MjAxNjwvWWVh
cj48UmVjTnVtPjE1MTk8L1JlY051bT48RGlzcGxheVRleHQ+PHN0eWxlIGZhY2U9InN1cGVyc2Ny
aXB0IiBmb250PSJUcmVidWNoZXQgTVMiIHNpemU9IjkiPjE1PC9zdHlsZT48L0Rpc3BsYXlUZXh0
PjxyZWNvcmQ+PHJlYy1udW1iZXI+MTUxOTwvcmVjLW51bWJlcj48Zm9yZWlnbi1rZXlzPjxrZXkg
YXBwPSJFTiIgZGItaWQ9ImV4dmFzcmZ4MmR0cmFvZXNhc3hwMnN6c3hhMmRmNTAyNTkyeCIgdGlt
ZXN0YW1wPSIxNTc2NDcwODM0Ij4xNTE5PC9rZXk+PC9mb3JlaWduLWtleXM+PHJlZi10eXBlIG5h
bWU9IkpvdXJuYWwgQXJ0aWNsZSI+MTc8L3JlZi10eXBlPjxjb250cmlidXRvcnM+PGF1dGhvcnM+
PGF1dGhvcj5TY2hvZW5ha2VyLCBELiBBLjwvYXV0aG9yPjxhdXRob3I+TWlzaHJhLCBHLiBELjwv
YXV0aG9yPjxhdXRob3I+Q2FsbGF3YXksIEwuIEsuPC9hdXRob3I+PGF1dGhvcj5Tb2VkYW1haC1N
dXRodSwgUy4gUy48L2F1dGhvcj48L2F1dGhvcnM+PC9jb250cmlidXRvcnM+PGF1dGgtYWRkcmVz
cz5TY2hvb2wgb2YgUHVibGljIEhlYWx0aCwgVW5pdmVyc2l0eSBvZiBRdWVlbnNsYW5kLCBCcmlz
YmFuZSwgQXVzdHJhbGlhIGQuc2Nob2VuYWtlckB1cS5lZHUuYXUuJiN4RDtTY2hvb2wgb2YgUHVi
bGljIEhlYWx0aCwgVW5pdmVyc2l0eSBvZiBRdWVlbnNsYW5kLCBCcmlzYmFuZSwgQXVzdHJhbGlh
LiYjeEQ7U2Nob29sIG9mIE1lZGljaW5lLCBVbml2ZXJzaXR5IG9mIFF1ZWVuc2xhbmQsIEJyaXNi
YW5lLCBBdXN0cmFsaWEgRGVwYXJ0bWVudHMgb2YgT2JzdGV0cmljIGFuZCBJbnRlcm5hbCBNZWRp
Y2luZSwgUm95YWwgQnJpc2JhbmUgYW5kIFdvbWVuJmFwb3M7cyBIb3NwaXRhbCwgQnJpc2JhbmUs
IEF1c3RyYWxpYS4mI3hEO0RpdmlzaW9uIG9mIEh1bWFuIE51dHJpdGlvbiwgV2FnZW5pbmdlbiBV
bml2ZXJzaXR5LCBXYWdlbmluZ2VuLCB0aGUgTmV0aGVybGFuZHMuPC9hdXRoLWFkZHJlc3M+PHRp
dGxlcz48dGl0bGU+VGhlIHJvbGUgb2YgZW5lcmd5LCBudXRyaWVudHMsIGZvb2RzLCBhbmQgZGll
dGFyeSBwYXR0ZXJucyBpbiB0aGUgZGV2ZWxvcG1lbnQgb2YgZ2VzdGF0aW9uYWwgZGlhYmV0ZXMg
bWVsbGl0dXM6IEEgc3lzdGVtYXRpYyByZXZpZXcgb2Ygb2JzZXJ2YXRpb25hbCBzdHVkaWVzPC90
aXRsZT48c2Vjb25kYXJ5LXRpdGxlPkRpYWJldGVzIENhcmU8L3NlY29uZGFyeS10aXRsZT48L3Rp
dGxlcz48cGVyaW9kaWNhbD48ZnVsbC10aXRsZT5EaWFiZXRlcyBDYXJlPC9mdWxsLXRpdGxlPjwv
cGVyaW9kaWNhbD48cGFnZXM+MTYtMjM8L3BhZ2VzPjx2b2x1bWU+Mzk8L3ZvbHVtZT48bnVtYmVy
PjE8L251bWJlcj48ZWRpdGlvbj4yMDE1LzEyLzI0PC9lZGl0aW9uPjxrZXl3b3Jkcz48a2V5d29y
ZD5DaG9sZXN0ZXJvbCwgRGlldGFyeS9hZG1pbmlzdHJhdGlvbiAmYW1wOyBkb3NhZ2UvYWR2ZXJz
ZSBlZmZlY3RzPC9rZXl3b3JkPjxrZXl3b3JkPkNyb3NzLVNlY3Rpb25hbCBTdHVkaWVzPC9rZXl3
b3JkPjxrZXl3b3JkPkRpYWJldGVzLCBHZXN0YXRpb25hbC8qZXBpZGVtaW9sb2d5L2V0aW9sb2d5
PC9rZXl3b3JkPjxrZXl3b3JkPipEaWV0L2FkdmVyc2UgZWZmZWN0czwva2V5d29yZD48a2V5d29y
ZD5EaWV0YXJ5IEZhdHMvKmFkbWluaXN0cmF0aW9uICZhbXA7IGRvc2FnZS9hZHZlcnNlIGVmZmVj
dHM8L2tleXdvcmQ+PGtleXdvcmQ+RW5lcmd5IEludGFrZS8qcGh5c2lvbG9neTwva2V5d29yZD48
a2V5d29yZD5GZWVkaW5nIEJlaGF2aW9yPC9rZXl3b3JkPjxrZXl3b3JkPkZlbWFsZTwva2V5d29y
ZD48a2V5d29yZD5GcnVpdDwva2V5d29yZD48a2V5d29yZD5IdW1hbnM8L2tleXdvcmQ+PGtleXdv
cmQ+TWVhdDwva2V5d29yZD48a2V5d29yZD5QcmVnbmFuY3k8L2tleXdvcmQ+PGtleXdvcmQ+UHJv
c3BlY3RpdmUgU3R1ZGllczwva2V5d29yZD48a2V5d29yZD5SaXNrIEZhY3RvcnM8L2tleXdvcmQ+
PGtleXdvcmQ+VmVnZXRhYmxlczwva2V5d29yZD48L2tleXdvcmRzPjxkYXRlcz48eWVhcj4yMDE2
PC95ZWFyPjxwdWItZGF0ZXM+PGRhdGU+SmFuPC9kYXRlPjwvcHViLWRhdGVzPjwvZGF0ZXM+PGlz
Ym4+MTkzNS01NTQ4IChFbGVjdHJvbmljKSYjeEQ7MDE0OS01OTkyIChMaW5raW5nKTwvaXNibj48
YWNjZXNzaW9uLW51bT4yNjY5NjY1NzwvYWNjZXNzaW9uLW51bT48dXJscz48cmVsYXRlZC11cmxz
Pjx1cmw+aHR0cHM6Ly93d3cubmNiaS5ubG0ubmloLmdvdi9wdWJtZWQvMjY2OTY2NTc8L3VybD48
L3JlbGF0ZWQtdXJscz48L3VybHM+PGVsZWN0cm9uaWMtcmVzb3VyY2UtbnVtPjEwLjIzMzcvZGMx
NS0wNTQwPC9lbGVjdHJvbmljLXJlc291cmNlLW51bT48L3JlY29yZD48L0NpdGU+PC9FbmROb3Rl
PgB=
</w:fldData>
        </w:fldChar>
      </w:r>
      <w:r w:rsidR="002747EA">
        <w:instrText xml:space="preserve"> ADDIN EN.CITE </w:instrText>
      </w:r>
      <w:r w:rsidR="002747EA">
        <w:fldChar w:fldCharType="begin">
          <w:fldData xml:space="preserve">PEVuZE5vdGU+PENpdGU+PEF1dGhvcj5TY2hvZW5ha2VyPC9BdXRob3I+PFllYXI+MjAxNjwvWWVh
cj48UmVjTnVtPjE1MTk8L1JlY051bT48RGlzcGxheVRleHQ+PHN0eWxlIGZhY2U9InN1cGVyc2Ny
aXB0IiBmb250PSJUcmVidWNoZXQgTVMiIHNpemU9IjkiPjE1PC9zdHlsZT48L0Rpc3BsYXlUZXh0
PjxyZWNvcmQ+PHJlYy1udW1iZXI+MTUxOTwvcmVjLW51bWJlcj48Zm9yZWlnbi1rZXlzPjxrZXkg
YXBwPSJFTiIgZGItaWQ9ImV4dmFzcmZ4MmR0cmFvZXNhc3hwMnN6c3hhMmRmNTAyNTkyeCIgdGlt
ZXN0YW1wPSIxNTc2NDcwODM0Ij4xNTE5PC9rZXk+PC9mb3JlaWduLWtleXM+PHJlZi10eXBlIG5h
bWU9IkpvdXJuYWwgQXJ0aWNsZSI+MTc8L3JlZi10eXBlPjxjb250cmlidXRvcnM+PGF1dGhvcnM+
PGF1dGhvcj5TY2hvZW5ha2VyLCBELiBBLjwvYXV0aG9yPjxhdXRob3I+TWlzaHJhLCBHLiBELjwv
YXV0aG9yPjxhdXRob3I+Q2FsbGF3YXksIEwuIEsuPC9hdXRob3I+PGF1dGhvcj5Tb2VkYW1haC1N
dXRodSwgUy4gUy48L2F1dGhvcj48L2F1dGhvcnM+PC9jb250cmlidXRvcnM+PGF1dGgtYWRkcmVz
cz5TY2hvb2wgb2YgUHVibGljIEhlYWx0aCwgVW5pdmVyc2l0eSBvZiBRdWVlbnNsYW5kLCBCcmlz
YmFuZSwgQXVzdHJhbGlhIGQuc2Nob2VuYWtlckB1cS5lZHUuYXUuJiN4RDtTY2hvb2wgb2YgUHVi
bGljIEhlYWx0aCwgVW5pdmVyc2l0eSBvZiBRdWVlbnNsYW5kLCBCcmlzYmFuZSwgQXVzdHJhbGlh
LiYjeEQ7U2Nob29sIG9mIE1lZGljaW5lLCBVbml2ZXJzaXR5IG9mIFF1ZWVuc2xhbmQsIEJyaXNi
YW5lLCBBdXN0cmFsaWEgRGVwYXJ0bWVudHMgb2YgT2JzdGV0cmljIGFuZCBJbnRlcm5hbCBNZWRp
Y2luZSwgUm95YWwgQnJpc2JhbmUgYW5kIFdvbWVuJmFwb3M7cyBIb3NwaXRhbCwgQnJpc2JhbmUs
IEF1c3RyYWxpYS4mI3hEO0RpdmlzaW9uIG9mIEh1bWFuIE51dHJpdGlvbiwgV2FnZW5pbmdlbiBV
bml2ZXJzaXR5LCBXYWdlbmluZ2VuLCB0aGUgTmV0aGVybGFuZHMuPC9hdXRoLWFkZHJlc3M+PHRp
dGxlcz48dGl0bGU+VGhlIHJvbGUgb2YgZW5lcmd5LCBudXRyaWVudHMsIGZvb2RzLCBhbmQgZGll
dGFyeSBwYXR0ZXJucyBpbiB0aGUgZGV2ZWxvcG1lbnQgb2YgZ2VzdGF0aW9uYWwgZGlhYmV0ZXMg
bWVsbGl0dXM6IEEgc3lzdGVtYXRpYyByZXZpZXcgb2Ygb2JzZXJ2YXRpb25hbCBzdHVkaWVzPC90
aXRsZT48c2Vjb25kYXJ5LXRpdGxlPkRpYWJldGVzIENhcmU8L3NlY29uZGFyeS10aXRsZT48L3Rp
dGxlcz48cGVyaW9kaWNhbD48ZnVsbC10aXRsZT5EaWFiZXRlcyBDYXJlPC9mdWxsLXRpdGxlPjwv
cGVyaW9kaWNhbD48cGFnZXM+MTYtMjM8L3BhZ2VzPjx2b2x1bWU+Mzk8L3ZvbHVtZT48bnVtYmVy
PjE8L251bWJlcj48ZWRpdGlvbj4yMDE1LzEyLzI0PC9lZGl0aW9uPjxrZXl3b3Jkcz48a2V5d29y
ZD5DaG9sZXN0ZXJvbCwgRGlldGFyeS9hZG1pbmlzdHJhdGlvbiAmYW1wOyBkb3NhZ2UvYWR2ZXJz
ZSBlZmZlY3RzPC9rZXl3b3JkPjxrZXl3b3JkPkNyb3NzLVNlY3Rpb25hbCBTdHVkaWVzPC9rZXl3
b3JkPjxrZXl3b3JkPkRpYWJldGVzLCBHZXN0YXRpb25hbC8qZXBpZGVtaW9sb2d5L2V0aW9sb2d5
PC9rZXl3b3JkPjxrZXl3b3JkPipEaWV0L2FkdmVyc2UgZWZmZWN0czwva2V5d29yZD48a2V5d29y
ZD5EaWV0YXJ5IEZhdHMvKmFkbWluaXN0cmF0aW9uICZhbXA7IGRvc2FnZS9hZHZlcnNlIGVmZmVj
dHM8L2tleXdvcmQ+PGtleXdvcmQ+RW5lcmd5IEludGFrZS8qcGh5c2lvbG9neTwva2V5d29yZD48
a2V5d29yZD5GZWVkaW5nIEJlaGF2aW9yPC9rZXl3b3JkPjxrZXl3b3JkPkZlbWFsZTwva2V5d29y
ZD48a2V5d29yZD5GcnVpdDwva2V5d29yZD48a2V5d29yZD5IdW1hbnM8L2tleXdvcmQ+PGtleXdv
cmQ+TWVhdDwva2V5d29yZD48a2V5d29yZD5QcmVnbmFuY3k8L2tleXdvcmQ+PGtleXdvcmQ+UHJv
c3BlY3RpdmUgU3R1ZGllczwva2V5d29yZD48a2V5d29yZD5SaXNrIEZhY3RvcnM8L2tleXdvcmQ+
PGtleXdvcmQ+VmVnZXRhYmxlczwva2V5d29yZD48L2tleXdvcmRzPjxkYXRlcz48eWVhcj4yMDE2
PC95ZWFyPjxwdWItZGF0ZXM+PGRhdGU+SmFuPC9kYXRlPjwvcHViLWRhdGVzPjwvZGF0ZXM+PGlz
Ym4+MTkzNS01NTQ4IChFbGVjdHJvbmljKSYjeEQ7MDE0OS01OTkyIChMaW5raW5nKTwvaXNibj48
YWNjZXNzaW9uLW51bT4yNjY5NjY1NzwvYWNjZXNzaW9uLW51bT48dXJscz48cmVsYXRlZC11cmxz
Pjx1cmw+aHR0cHM6Ly93d3cubmNiaS5ubG0ubmloLmdvdi9wdWJtZWQvMjY2OTY2NTc8L3VybD48
L3JlbGF0ZWQtdXJscz48L3VybHM+PGVsZWN0cm9uaWMtcmVzb3VyY2UtbnVtPjEwLjIzMzcvZGMx
NS0wNTQwPC9lbGVjdHJvbmljLXJlc291cmNlLW51bT48L3JlY29yZD48L0NpdGU+PC9FbmROb3Rl
PgB=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15</w:t>
      </w:r>
      <w:r w:rsidR="00201490">
        <w:fldChar w:fldCharType="end"/>
      </w:r>
      <w:r>
        <w:t xml:space="preserve"> suggested that a</w:t>
      </w:r>
      <w:r w:rsidRPr="00EB6A1E">
        <w:t xml:space="preserve"> dietary pattern rich in fruit, vegetables, whole grains, and fish and low in red and</w:t>
      </w:r>
      <w:r>
        <w:t xml:space="preserve"> processed meat, refined grains</w:t>
      </w:r>
      <w:r w:rsidRPr="00EB6A1E">
        <w:t xml:space="preserve"> and high-fat dairy was beneficial</w:t>
      </w:r>
      <w:r>
        <w:t xml:space="preserve"> in reducing risk of gestational diabetes.</w:t>
      </w:r>
    </w:p>
    <w:p w14:paraId="67C91721" w14:textId="712D0C23" w:rsidR="00847488" w:rsidRDefault="00C37041" w:rsidP="00D72916">
      <w:r>
        <w:t>An RCT</w:t>
      </w:r>
      <w:r>
        <w:fldChar w:fldCharType="begin">
          <w:fldData xml:space="preserve">PEVuZE5vdGU+PENpdGU+PEF1dGhvcj5GbHlubjwvQXV0aG9yPjxZZWFyPjIwMTY8L1llYXI+PFJl
Y051bT4xMzY1PC9SZWNOdW0+PERpc3BsYXlUZXh0PjxzdHlsZSBmYWNlPSJzdXBlcnNjcmlwdCIg
Zm9udD0iVHJlYnVjaGV0IE1TIiBzaXplPSI5Ij4xNjwvc3R5bGU+PC9EaXNwbGF5VGV4dD48cmVj
b3JkPjxyZWMtbnVtYmVyPjEzNjU8L3JlYy1udW1iZXI+PGZvcmVpZ24ta2V5cz48a2V5IGFwcD0i
RU4iIGRiLWlkPSJleHZhc3JmeDJkdHJhb2VzYXN4cDJzenN4YTJkZjUwMjU5MngiIHRpbWVzdGFt
cD0iMTU2NzAzMTA2OCI+MTM2NTwva2V5PjxrZXkgYXBwPSJFTldlYiIgZGItaWQ9IiI+MDwva2V5
PjwvZm9yZWlnbi1rZXlzPjxyZWYtdHlwZSBuYW1lPSJKb3VybmFsIEFydGljbGUiPjE3PC9yZWYt
dHlwZT48Y29udHJpYnV0b3JzPjxhdXRob3JzPjxhdXRob3I+Rmx5bm4sIEEuIEMuPC9hdXRob3I+
PGF1dGhvcj5TZWVkLCBQLiBULjwvYXV0aG9yPjxhdXRob3I+UGF0ZWwsIE4uPC9hdXRob3I+PGF1
dGhvcj5CYXJyLCBTLjwvYXV0aG9yPjxhdXRob3I+QmVsbCwgUi48L2F1dGhvcj48YXV0aG9yPkJy
aWxleSwgQS4gTC48L2F1dGhvcj48YXV0aG9yPkdvZGZyZXksIEsuIE0uPC9hdXRob3I+PGF1dGhv
cj5OZWxzb24sIFMuIE0uPC9hdXRob3I+PGF1dGhvcj5PdGVuZy1OdGltLCBFLjwvYXV0aG9yPjxh
dXRob3I+Um9iaW5zb24sIFMuIE0uPC9hdXRob3I+PGF1dGhvcj5TYW5kZXJzLCBULiBBLjwvYXV0
aG9yPjxhdXRob3I+U2F0dGFyLCBOLjwvYXV0aG9yPjxhdXRob3I+V2FyZGxlLCBKLjwvYXV0aG9y
PjxhdXRob3I+UG9zdG9uLCBMLjwvYXV0aG9yPjxhdXRob3I+R29mZiwgTC4gTS48L2F1dGhvcj48
YXV0aG9yPlVwYmVhdCBjb25zb3J0aXVtPC9hdXRob3I+PC9hdXRob3JzPjwvY29udHJpYnV0b3Jz
PjxhdXRoLWFkZHJlc3M+RGl2aXNpb24gb2YgV29tZW4mYXBvcztzIEhlYWx0aCwgS2luZyZhcG9z
O3MgQ29sbGVnZSBMb25kb24sIDEwdGggRmxvb3IgTm9ydGggV2luZywgU3QuIFRob21hcyZhcG9z
OyBIb3NwaXRhbCwgTG9uZG9uLCBVSy4mI3hEO0RpdmlzaW9uIG9mIERpYWJldGVzIGFuZCBOdXRy
aXRpb25hbCBTY2llbmNlcywgS2luZyZhcG9zO3MgQ29sbGVnZSBMb25kb24sIEZyYW5rbGluLVdp
bGtpbnMgQnVpbGRpbmcsIDE1MCBTdGFtZm9yZCBTdHJlZXQsIExvbmRvbiwgVUsuJiN4RDtEZXBh
cnRtZW50IG9mIENhcmRpb3Zhc2N1bGFyIE1lZGljaW5lLCBJbXBlcmlhbCBDb2xsZWdlIExvbmRv
biwgTG9uZG9uLCBVSy4mI3hEO0luc3RpdHV0ZSBvZiBIZWFsdGggJmFtcDsgU29jaWV0eSBOZXdj
YXN0bGUgVW5pdmVyc2l0eSwgVUsgQmFkZGlsZXktQ2xhcmsgQnVpbGRpbmcgUmljaGFyZHNvbiBS
b2FkLCBOZXdjYXN0bGUgdXBvbiBUeW5lLCBVSy4mI3hEO01SQyBMaWZlY291cnNlIEVwaWRlbWlv
bG9neSBVbml0IGFuZCBOSUhSIFNvdXRoYW1wdG9uIEJpb21lZGljYWwgUmVzZWFyY2ggQ2VudHJl
LCBVbml2ZXJzaXR5IG9mIFNvdXRoYW1wdG9uIGFuZCBVbml2ZXJzaXR5IEhvc3BpdGFsIFNvdXRo
YW1wdG9uIE5IUyBGb3VuZGF0aW9uIFRydXN0LCBNYWlscG9pbnQgOTUsIFNvdXRoYW1wdG9uLCBV
Sy4mI3hEO1NjaG9vbCBvZiBNZWRpY2luZSwgVW5pdmVyc2l0eSBvZiBHbGFzZ293LCBOZXcgTGlz
dGVyIEJ1aWxkaW5nLCBHbGFzZ293IFJveWFsIEluZmlybWFyeSwgR2xhc2dvdywgVUsuJiN4RDtH
dXlzIGFuZCBTdCBUaG9tYXMmYXBvczsgTkhTIEZvdW5kYXRpb24gVHJ1c3QsIFdlc3RtaW5zdGVy
IEJyaWRnZSBSb2FkLCBMb25kb24sIFVLLiYjeEQ7SW5zdGl0dXRlIG9mIENhcmRpb3Zhc2N1bGFy
IGFuZCBNZWRpY2FsIFNjaWVuY2VzLCBSQzIxNCBMZXZlbCBDMiwgQnJpdGlzaCBIZWFydCBGb3Vu
ZGF0aW9uIEdsYXNnb3cgQ2FyZGlvdmFzY3VsYXIgUmVzZWFyY2ggQ2VudHJlLCBVbml2ZXJzaXR5
IG9mIEdsYXNnb3csIEdsYXNnb3csIFVLLiYjeEQ7SGVhbHRoIEJlaGF2aW91ciBSZXNlYXJjaCBD
ZW50cmUsIEluc3RpdHV0ZSBvZiBFcGlkZW1pb2xvZ3kgYW5kIEhlYWx0aCwgVW5pdmVyc2l0eSBD
b2xsZWdlIExvbmRvbiwgMS0xOSBUb3JyaW5ndG9uIFBsYWNlLCBMb25kb24sIFVLLiYjeEQ7RGl2
aXNpb24gb2YgRGlhYmV0ZXMgYW5kIE51dHJpdGlvbmFsIFNjaWVuY2VzLCBLaW5nJmFwb3M7cyBD
b2xsZWdlIExvbmRvbiwgRnJhbmtsaW4tV2lsa2lucyBCdWlsZGluZywgMTUwIFN0YW1mb3JkIFN0
cmVldCwgTG9uZG9uLCBVSy4gbG91aXNlLmdvZmZAa2NsLmFjLnVrLjwvYXV0aC1hZGRyZXNzPjx0
aXRsZXM+PHRpdGxlPkRpZXRhcnkgcGF0dGVybnMgaW4gb2Jlc2UgcHJlZ25hbnQgd29tZW47IGlu
Zmx1ZW5jZSBvZiBhIGJlaGF2aW9yYWwgaW50ZXJ2ZW50aW9uIG9mIGRpZXQgYW5kIHBoeXNpY2Fs
IGFjdGl2aXR5IGluIHRoZSBVUEJFQVQgcmFuZG9taXplZCBjb250cm9sbGVkIHRyaWFsPC90aXRs
ZT48c2Vjb25kYXJ5LXRpdGxlPkludCBKIEJlaGF2IE51dHIgUGh5cyBBY3Q8L3NlY29uZGFyeS10
aXRsZT48L3RpdGxlcz48cGVyaW9kaWNhbD48ZnVsbC10aXRsZT5JbnQgSiBCZWhhdiBOdXRyIFBo
eXMgQWN0PC9mdWxsLXRpdGxlPjwvcGVyaW9kaWNhbD48cGFnZXM+MTI0PC9wYWdlcz48dm9sdW1l
PjEzPC92b2x1bWU+PG51bWJlcj4xPC9udW1iZXI+PGVkaXRpb24+MjAxNi8xMS8zMDwvZWRpdGlv
bj48a2V5d29yZHM+PGtleXdvcmQ+QWR1bHQ8L2tleXdvcmQ+PGtleXdvcmQ+KkJlaGF2aW9yIFRo
ZXJhcHk8L2tleXdvcmQ+PGtleXdvcmQ+RGlhYmV0ZXMsIEdlc3RhdGlvbmFsL2V0aW9sb2d5L3By
ZXZlbnRpb24gJmFtcDsgY29udHJvbDwva2V5d29yZD48a2V5d29yZD4qRGlldDwva2V5d29yZD48
a2V5d29yZD4qRXhlcmNpc2U8L2tleXdvcmQ+PGtleXdvcmQ+RmFzdCBGb29kczwva2V5d29yZD48
a2V5d29yZD4qRmVlZGluZyBCZWhhdmlvcjwva2V5d29yZD48a2V5d29yZD5GZW1hbGU8L2tleXdv
cmQ+PGtleXdvcmQ+R2VzdGF0aW9uYWwgQWdlPC9rZXl3b3JkPjxrZXl3b3JkPkh1bWFuczwva2V5
d29yZD48a2V5d29yZD5PYmVzaXR5L2NvbXBsaWNhdGlvbnMvKnRoZXJhcHk8L2tleXdvcmQ+PGtl
eXdvcmQ+UHJlZ25hbmN5PC9rZXl3b3JkPjxrZXl3b3JkPlByZWduYW5jeSBDb21wbGljYXRpb25z
Lyp0aGVyYXB5PC9rZXl3b3JkPjxrZXl3b3JkPlByZWduYW5jeSBPdXRjb21lPC9rZXl3b3JkPjxr
ZXl3b3JkPlByZW5hdGFsIENhcmU8L2tleXdvcmQ+PGtleXdvcmQ+U25hY2tzPC9rZXl3b3JkPjxr
ZXl3b3JkPipEaWV0YXJ5IHBhdHRlcm5zPC9rZXl3b3JkPjxrZXl3b3JkPipHZXN0YXRpb25hbCBk
aWFiZXRlczwva2V5d29yZD48a2V5d29yZD4qT2Jlc2l0eTwva2V5d29yZD48a2V5d29yZD4qUHJl
Z25hbmN5PC9rZXl3b3JkPjwva2V5d29yZHM+PGRhdGVzPjx5ZWFyPjIwMTY8L3llYXI+PHB1Yi1k
YXRlcz48ZGF0ZT5Ob3YgMjk8L2RhdGU+PC9wdWItZGF0ZXM+PC9kYXRlcz48aXNibj4xNDc5LTU4
NjggKEVsZWN0cm9uaWMpJiN4RDsxNDc5LTU4NjggKExpbmtpbmcpPC9pc2JuPjxhY2Nlc3Npb24t
bnVtPjI3ODk0MzE2PC9hY2Nlc3Npb24tbnVtPjx1cmxzPjxyZWxhdGVkLXVybHM+PHVybD5odHRw
czovL3d3dy5uY2JpLm5sbS5uaWguZ292L3B1Ym1lZC8yNzg5NDMxNjwvdXJsPjwvcmVsYXRlZC11
cmxzPjwvdXJscz48Y3VzdG9tMj5QTUM1MTI2ODczPC9jdXN0b20yPjxlbGVjdHJvbmljLXJlc291
cmNlLW51bT4xMC4xMTg2L3MxMjk2Ni0wMTYtMDQ1MC0yPC9lbGVjdHJvbmljLXJlc291cmNlLW51
bT48L3JlY29yZD48L0NpdGU+PC9FbmROb3RlPn==
</w:fldData>
        </w:fldChar>
      </w:r>
      <w:r w:rsidR="002747EA">
        <w:instrText xml:space="preserve"> ADDIN EN.CITE </w:instrText>
      </w:r>
      <w:r w:rsidR="002747EA">
        <w:fldChar w:fldCharType="begin">
          <w:fldData xml:space="preserve">PEVuZE5vdGU+PENpdGU+PEF1dGhvcj5GbHlubjwvQXV0aG9yPjxZZWFyPjIwMTY8L1llYXI+PFJl
Y051bT4xMzY1PC9SZWNOdW0+PERpc3BsYXlUZXh0PjxzdHlsZSBmYWNlPSJzdXBlcnNjcmlwdCIg
Zm9udD0iVHJlYnVjaGV0IE1TIiBzaXplPSI5Ij4xNjwvc3R5bGU+PC9EaXNwbGF5VGV4dD48cmVj
b3JkPjxyZWMtbnVtYmVyPjEzNjU8L3JlYy1udW1iZXI+PGZvcmVpZ24ta2V5cz48a2V5IGFwcD0i
RU4iIGRiLWlkPSJleHZhc3JmeDJkdHJhb2VzYXN4cDJzenN4YTJkZjUwMjU5MngiIHRpbWVzdGFt
cD0iMTU2NzAzMTA2OCI+MTM2NTwva2V5PjxrZXkgYXBwPSJFTldlYiIgZGItaWQ9IiI+MDwva2V5
PjwvZm9yZWlnbi1rZXlzPjxyZWYtdHlwZSBuYW1lPSJKb3VybmFsIEFydGljbGUiPjE3PC9yZWYt
dHlwZT48Y29udHJpYnV0b3JzPjxhdXRob3JzPjxhdXRob3I+Rmx5bm4sIEEuIEMuPC9hdXRob3I+
PGF1dGhvcj5TZWVkLCBQLiBULjwvYXV0aG9yPjxhdXRob3I+UGF0ZWwsIE4uPC9hdXRob3I+PGF1
dGhvcj5CYXJyLCBTLjwvYXV0aG9yPjxhdXRob3I+QmVsbCwgUi48L2F1dGhvcj48YXV0aG9yPkJy
aWxleSwgQS4gTC48L2F1dGhvcj48YXV0aG9yPkdvZGZyZXksIEsuIE0uPC9hdXRob3I+PGF1dGhv
cj5OZWxzb24sIFMuIE0uPC9hdXRob3I+PGF1dGhvcj5PdGVuZy1OdGltLCBFLjwvYXV0aG9yPjxh
dXRob3I+Um9iaW5zb24sIFMuIE0uPC9hdXRob3I+PGF1dGhvcj5TYW5kZXJzLCBULiBBLjwvYXV0
aG9yPjxhdXRob3I+U2F0dGFyLCBOLjwvYXV0aG9yPjxhdXRob3I+V2FyZGxlLCBKLjwvYXV0aG9y
PjxhdXRob3I+UG9zdG9uLCBMLjwvYXV0aG9yPjxhdXRob3I+R29mZiwgTC4gTS48L2F1dGhvcj48
YXV0aG9yPlVwYmVhdCBjb25zb3J0aXVtPC9hdXRob3I+PC9hdXRob3JzPjwvY29udHJpYnV0b3Jz
PjxhdXRoLWFkZHJlc3M+RGl2aXNpb24gb2YgV29tZW4mYXBvcztzIEhlYWx0aCwgS2luZyZhcG9z
O3MgQ29sbGVnZSBMb25kb24sIDEwdGggRmxvb3IgTm9ydGggV2luZywgU3QuIFRob21hcyZhcG9z
OyBIb3NwaXRhbCwgTG9uZG9uLCBVSy4mI3hEO0RpdmlzaW9uIG9mIERpYWJldGVzIGFuZCBOdXRy
aXRpb25hbCBTY2llbmNlcywgS2luZyZhcG9zO3MgQ29sbGVnZSBMb25kb24sIEZyYW5rbGluLVdp
bGtpbnMgQnVpbGRpbmcsIDE1MCBTdGFtZm9yZCBTdHJlZXQsIExvbmRvbiwgVUsuJiN4RDtEZXBh
cnRtZW50IG9mIENhcmRpb3Zhc2N1bGFyIE1lZGljaW5lLCBJbXBlcmlhbCBDb2xsZWdlIExvbmRv
biwgTG9uZG9uLCBVSy4mI3hEO0luc3RpdHV0ZSBvZiBIZWFsdGggJmFtcDsgU29jaWV0eSBOZXdj
YXN0bGUgVW5pdmVyc2l0eSwgVUsgQmFkZGlsZXktQ2xhcmsgQnVpbGRpbmcgUmljaGFyZHNvbiBS
b2FkLCBOZXdjYXN0bGUgdXBvbiBUeW5lLCBVSy4mI3hEO01SQyBMaWZlY291cnNlIEVwaWRlbWlv
bG9neSBVbml0IGFuZCBOSUhSIFNvdXRoYW1wdG9uIEJpb21lZGljYWwgUmVzZWFyY2ggQ2VudHJl
LCBVbml2ZXJzaXR5IG9mIFNvdXRoYW1wdG9uIGFuZCBVbml2ZXJzaXR5IEhvc3BpdGFsIFNvdXRo
YW1wdG9uIE5IUyBGb3VuZGF0aW9uIFRydXN0LCBNYWlscG9pbnQgOTUsIFNvdXRoYW1wdG9uLCBV
Sy4mI3hEO1NjaG9vbCBvZiBNZWRpY2luZSwgVW5pdmVyc2l0eSBvZiBHbGFzZ293LCBOZXcgTGlz
dGVyIEJ1aWxkaW5nLCBHbGFzZ293IFJveWFsIEluZmlybWFyeSwgR2xhc2dvdywgVUsuJiN4RDtH
dXlzIGFuZCBTdCBUaG9tYXMmYXBvczsgTkhTIEZvdW5kYXRpb24gVHJ1c3QsIFdlc3RtaW5zdGVy
IEJyaWRnZSBSb2FkLCBMb25kb24sIFVLLiYjeEQ7SW5zdGl0dXRlIG9mIENhcmRpb3Zhc2N1bGFy
IGFuZCBNZWRpY2FsIFNjaWVuY2VzLCBSQzIxNCBMZXZlbCBDMiwgQnJpdGlzaCBIZWFydCBGb3Vu
ZGF0aW9uIEdsYXNnb3cgQ2FyZGlvdmFzY3VsYXIgUmVzZWFyY2ggQ2VudHJlLCBVbml2ZXJzaXR5
IG9mIEdsYXNnb3csIEdsYXNnb3csIFVLLiYjeEQ7SGVhbHRoIEJlaGF2aW91ciBSZXNlYXJjaCBD
ZW50cmUsIEluc3RpdHV0ZSBvZiBFcGlkZW1pb2xvZ3kgYW5kIEhlYWx0aCwgVW5pdmVyc2l0eSBD
b2xsZWdlIExvbmRvbiwgMS0xOSBUb3JyaW5ndG9uIFBsYWNlLCBMb25kb24sIFVLLiYjeEQ7RGl2
aXNpb24gb2YgRGlhYmV0ZXMgYW5kIE51dHJpdGlvbmFsIFNjaWVuY2VzLCBLaW5nJmFwb3M7cyBD
b2xsZWdlIExvbmRvbiwgRnJhbmtsaW4tV2lsa2lucyBCdWlsZGluZywgMTUwIFN0YW1mb3JkIFN0
cmVldCwgTG9uZG9uLCBVSy4gbG91aXNlLmdvZmZAa2NsLmFjLnVrLjwvYXV0aC1hZGRyZXNzPjx0
aXRsZXM+PHRpdGxlPkRpZXRhcnkgcGF0dGVybnMgaW4gb2Jlc2UgcHJlZ25hbnQgd29tZW47IGlu
Zmx1ZW5jZSBvZiBhIGJlaGF2aW9yYWwgaW50ZXJ2ZW50aW9uIG9mIGRpZXQgYW5kIHBoeXNpY2Fs
IGFjdGl2aXR5IGluIHRoZSBVUEJFQVQgcmFuZG9taXplZCBjb250cm9sbGVkIHRyaWFsPC90aXRs
ZT48c2Vjb25kYXJ5LXRpdGxlPkludCBKIEJlaGF2IE51dHIgUGh5cyBBY3Q8L3NlY29uZGFyeS10
aXRsZT48L3RpdGxlcz48cGVyaW9kaWNhbD48ZnVsbC10aXRsZT5JbnQgSiBCZWhhdiBOdXRyIFBo
eXMgQWN0PC9mdWxsLXRpdGxlPjwvcGVyaW9kaWNhbD48cGFnZXM+MTI0PC9wYWdlcz48dm9sdW1l
PjEzPC92b2x1bWU+PG51bWJlcj4xPC9udW1iZXI+PGVkaXRpb24+MjAxNi8xMS8zMDwvZWRpdGlv
bj48a2V5d29yZHM+PGtleXdvcmQ+QWR1bHQ8L2tleXdvcmQ+PGtleXdvcmQ+KkJlaGF2aW9yIFRo
ZXJhcHk8L2tleXdvcmQ+PGtleXdvcmQ+RGlhYmV0ZXMsIEdlc3RhdGlvbmFsL2V0aW9sb2d5L3By
ZXZlbnRpb24gJmFtcDsgY29udHJvbDwva2V5d29yZD48a2V5d29yZD4qRGlldDwva2V5d29yZD48
a2V5d29yZD4qRXhlcmNpc2U8L2tleXdvcmQ+PGtleXdvcmQ+RmFzdCBGb29kczwva2V5d29yZD48
a2V5d29yZD4qRmVlZGluZyBCZWhhdmlvcjwva2V5d29yZD48a2V5d29yZD5GZW1hbGU8L2tleXdv
cmQ+PGtleXdvcmQ+R2VzdGF0aW9uYWwgQWdlPC9rZXl3b3JkPjxrZXl3b3JkPkh1bWFuczwva2V5
d29yZD48a2V5d29yZD5PYmVzaXR5L2NvbXBsaWNhdGlvbnMvKnRoZXJhcHk8L2tleXdvcmQ+PGtl
eXdvcmQ+UHJlZ25hbmN5PC9rZXl3b3JkPjxrZXl3b3JkPlByZWduYW5jeSBDb21wbGljYXRpb25z
Lyp0aGVyYXB5PC9rZXl3b3JkPjxrZXl3b3JkPlByZWduYW5jeSBPdXRjb21lPC9rZXl3b3JkPjxr
ZXl3b3JkPlByZW5hdGFsIENhcmU8L2tleXdvcmQ+PGtleXdvcmQ+U25hY2tzPC9rZXl3b3JkPjxr
ZXl3b3JkPipEaWV0YXJ5IHBhdHRlcm5zPC9rZXl3b3JkPjxrZXl3b3JkPipHZXN0YXRpb25hbCBk
aWFiZXRlczwva2V5d29yZD48a2V5d29yZD4qT2Jlc2l0eTwva2V5d29yZD48a2V5d29yZD4qUHJl
Z25hbmN5PC9rZXl3b3JkPjwva2V5d29yZHM+PGRhdGVzPjx5ZWFyPjIwMTY8L3llYXI+PHB1Yi1k
YXRlcz48ZGF0ZT5Ob3YgMjk8L2RhdGU+PC9wdWItZGF0ZXM+PC9kYXRlcz48aXNibj4xNDc5LTU4
NjggKEVsZWN0cm9uaWMpJiN4RDsxNDc5LTU4NjggKExpbmtpbmcpPC9pc2JuPjxhY2Nlc3Npb24t
bnVtPjI3ODk0MzE2PC9hY2Nlc3Npb24tbnVtPjx1cmxzPjxyZWxhdGVkLXVybHM+PHVybD5odHRw
czovL3d3dy5uY2JpLm5sbS5uaWguZ292L3B1Ym1lZC8yNzg5NDMxNjwvdXJsPjwvcmVsYXRlZC11
cmxzPjwvdXJscz48Y3VzdG9tMj5QTUM1MTI2ODczPC9jdXN0b20yPjxlbGVjdHJvbmljLXJlc291
cmNlLW51bT4xMC4xMTg2L3MxMjk2Ni0wMTYtMDQ1MC0yPC9lbGVjdHJvbmljLXJlc291cmNlLW51
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16</w:t>
      </w:r>
      <w:r>
        <w:fldChar w:fldCharType="end"/>
      </w:r>
      <w:r>
        <w:t xml:space="preserve"> found an association between increased risk of gestational diabetes and</w:t>
      </w:r>
      <w:r w:rsidR="00D72916">
        <w:t xml:space="preserve"> a dietary pattern </w:t>
      </w:r>
      <w:r w:rsidR="00847488">
        <w:t>high</w:t>
      </w:r>
      <w:r w:rsidR="000A7CD9">
        <w:t xml:space="preserve"> in </w:t>
      </w:r>
      <w:r w:rsidR="00847488" w:rsidRPr="00F76BD9">
        <w:t xml:space="preserve">chocolate, </w:t>
      </w:r>
      <w:r w:rsidR="00D72916">
        <w:t>chips</w:t>
      </w:r>
      <w:r w:rsidR="00847488" w:rsidRPr="00F76BD9">
        <w:t>, green vegetables, potatoes,</w:t>
      </w:r>
      <w:r w:rsidR="00847488">
        <w:t xml:space="preserve"> </w:t>
      </w:r>
      <w:r w:rsidR="00847488" w:rsidRPr="00F76BD9">
        <w:t>processed meat and meat products, root vegetables,</w:t>
      </w:r>
      <w:r w:rsidR="00847488">
        <w:t xml:space="preserve"> sweetened beverages</w:t>
      </w:r>
      <w:r w:rsidR="00847488" w:rsidRPr="00F76BD9">
        <w:t xml:space="preserve">, </w:t>
      </w:r>
      <w:r w:rsidR="00847488">
        <w:t xml:space="preserve">artificially sweetened beverages </w:t>
      </w:r>
      <w:r w:rsidR="00847488" w:rsidRPr="00F76BD9">
        <w:t xml:space="preserve">and </w:t>
      </w:r>
      <w:r w:rsidR="005D1F16">
        <w:t xml:space="preserve">hot potato </w:t>
      </w:r>
      <w:r w:rsidR="00847488" w:rsidRPr="00F76BD9">
        <w:t>chips</w:t>
      </w:r>
      <w:r w:rsidR="00847488">
        <w:t xml:space="preserve"> </w:t>
      </w:r>
      <w:r w:rsidR="00847488" w:rsidRPr="00F76BD9">
        <w:t>(</w:t>
      </w:r>
      <w:r w:rsidR="00847488" w:rsidRPr="00847488">
        <w:rPr>
          <w:sz w:val="16"/>
          <w:szCs w:val="16"/>
        </w:rPr>
        <w:t>OR 2.05; 95% CI 1.23, 3.41</w:t>
      </w:r>
      <w:r w:rsidR="00847488" w:rsidRPr="00F76BD9">
        <w:t>)</w:t>
      </w:r>
      <w:r w:rsidR="00847488">
        <w:t>.</w:t>
      </w:r>
    </w:p>
    <w:p w14:paraId="71EED20A" w14:textId="6489B0AC" w:rsidR="00F447A7" w:rsidRDefault="00F447A7" w:rsidP="00FB1FA0">
      <w:r>
        <w:t>Cohort studies have found association</w:t>
      </w:r>
      <w:r w:rsidR="000A7CD9">
        <w:t>s</w:t>
      </w:r>
      <w:r>
        <w:t xml:space="preserve"> between increased risk of gestational diabetes and</w:t>
      </w:r>
      <w:r w:rsidR="00901201">
        <w:t xml:space="preserve"> dietary patterns:</w:t>
      </w:r>
    </w:p>
    <w:p w14:paraId="6C15B6B6" w14:textId="31CC9F14" w:rsidR="00F267BE" w:rsidRDefault="00F267BE" w:rsidP="00720200">
      <w:pPr>
        <w:pStyle w:val="bullet"/>
      </w:pPr>
      <w:r w:rsidRPr="003F03D5">
        <w:t xml:space="preserve">high </w:t>
      </w:r>
      <w:r>
        <w:t xml:space="preserve">in </w:t>
      </w:r>
      <w:r w:rsidRPr="003F03D5">
        <w:t xml:space="preserve">protein and low </w:t>
      </w:r>
      <w:r>
        <w:t xml:space="preserve">in </w:t>
      </w:r>
      <w:r w:rsidRPr="003F03D5">
        <w:t>carbohydrate intake (</w:t>
      </w:r>
      <w:r w:rsidRPr="00F267BE">
        <w:rPr>
          <w:sz w:val="16"/>
          <w:szCs w:val="16"/>
        </w:rPr>
        <w:t>aOR 1.83; 95%CI 1.21 to 2.79; P trend=0.007; n=2,755</w:t>
      </w:r>
      <w:r w:rsidRPr="003F03D5">
        <w:t>)</w:t>
      </w:r>
      <w:r>
        <w:fldChar w:fldCharType="begin">
          <w:fldData xml:space="preserve">PEVuZE5vdGU+PENpdGU+PEF1dGhvcj5aaG91PC9BdXRob3I+PFllYXI+MjAxODwvWWVhcj48UmVj
TnVtPjE0ODc8L1JlY051bT48RGlzcGxheVRleHQ+PHN0eWxlIGZhY2U9InN1cGVyc2NyaXB0IiBm
b250PSJUcmVidWNoZXQgTVMiIHNpemU9IjkiPjE3PC9zdHlsZT48L0Rpc3BsYXlUZXh0PjxyZWNv
cmQ+PHJlYy1udW1iZXI+MTQ4NzwvcmVjLW51bWJlcj48Zm9yZWlnbi1rZXlzPjxrZXkgYXBwPSJF
TiIgZGItaWQ9ImV4dmFzcmZ4MmR0cmFvZXNhc3hwMnN6c3hhMmRmNTAyNTkyeCIgdGltZXN0YW1w
PSIxNTc0MDM5NzI1Ij4xNDg3PC9rZXk+PGtleSBhcHA9IkVOV2ViIiBkYi1pZD0iIj4wPC9rZXk+
PC9mb3JlaWduLWtleXM+PHJlZi10eXBlIG5hbWU9IkpvdXJuYWwgQXJ0aWNsZSI+MTc8L3JlZi10
eXBlPjxjb250cmlidXRvcnM+PGF1dGhvcnM+PGF1dGhvcj5aaG91LCBYLjwvYXV0aG9yPjxhdXRo
b3I+Q2hlbiwgUi48L2F1dGhvcj48YXV0aG9yPlpob25nLCBDLjwvYXV0aG9yPjxhdXRob3I+V3Us
IEouPC9hdXRob3I+PGF1dGhvcj5MaSwgWC48L2F1dGhvcj48YXV0aG9yPkxpLCBRLjwvYXV0aG9y
PjxhdXRob3I+Q3VpLCBXLjwvYXV0aG9yPjxhdXRob3I+WWksIE4uPC9hdXRob3I+PGF1dGhvcj5Y
aWFvLCBNLjwvYXV0aG9yPjxhdXRob3I+WWluLCBILjwvYXV0aG9yPjxhdXRob3I+WGlvbmcsIEcu
PC9hdXRob3I+PGF1dGhvcj5IYW4sIFcuPC9hdXRob3I+PGF1dGhvcj5IYW8sIEwuPC9hdXRob3I+
PGF1dGhvcj5ZYW5nLCBYLjwvYXV0aG9yPjxhdXRob3I+WWFuZywgTi48L2F1dGhvcj48L2F1dGhv
cnM+PC9jb250cmlidXRvcnM+PGF1dGgtYWRkcmVzcz4xSHViZWkgS2V5IExhYm9yYXRvcnkgb2Yg
Rm9vZCBOdXRyaXRpb24gYW5kIFNhZmV0eSxNT0UgS2V5IExhYm9yYXRvcnkgb2YgRW52aXJvbm1l
bnQgYW5kIEhlYWx0aCxEZXBhcnRtZW50IG9mIE51dHJpdGlvbiBhbmQgRm9vZCBIeWdpZW5lLFNj
aG9vbCBvZiBQdWJsaWMgSGVhbHRoLFRvbmdqaSBNZWRpY2FsIENvbGxlZ2UsSHVhemhvbmcgVW5p
dmVyc2l0eSBvZiBTY2llbmNlIGFuZCBUZWNobm9sb2d5LDEzIEhhbmdrb25nIFJvYWQsV3VoYW4s
SHViZWk0MzAwMzAsUGVvcGxlJmFwb3M7cyBSZXB1YmxpYyBvZiBDaGluYS4mI3hEOzJEZXBhcnRt
ZW50IG9mIE9ic3RldHJpY3MgYW5kIEd5bmVjb2xvZ3ksIEh1YmVpIE1hdGVybmFsIGFuZCBDaGls
ZCBIZWFsdGggSG9zcGl0YWwsV3VoYW4sSHViZWk0MzAwNzAsUGVvcGxlJmFwb3M7cyBSZXB1Ymxp
YyBvZiBDaGluYS4mI3hEOzNEZXBhcnRtZW50IG9mIE9ic3RldHJpY3MgYW5kIEd5bmVjb2xvZ3ks
IFRoZSBDZW50cmFsIEhvc3BpdGFsIG9mIFd1aGFuLEh1YmVpNDMwMDE0LFBlb3BsZSZhcG9zO3Mg
UmVwdWJsaWMgb2YgQ2hpbmEuPC9hdXRoLWFkZHJlc3M+PHRpdGxlcz48dGl0bGU+TWF0ZXJuYWwg
ZGlldGFyeSBwYXR0ZXJuIGNoYXJhY3RlcmlzZWQgYnkgaGlnaCBwcm90ZWluIGFuZCBsb3cgY2Fy
Ym9oeWRyYXRlIGludGFrZSBpbiBwcmVnbmFuY3kgaXMgYXNzb2NpYXRlZCB3aXRoIGEgaGlnaGVy
IHJpc2sgb2YgZ2VzdGF0aW9uYWwgZGlhYmV0ZXMgbWVsbGl0dXMgaW4gQ2hpbmVzZSB3b21lbjog
YSBwcm9zcGVjdGl2ZSBjb2hvcnQgc3R1ZHk8L3RpdGxlPjxzZWNvbmRhcnktdGl0bGU+QnIgSiBO
dXRyPC9zZWNvbmRhcnktdGl0bGU+PC90aXRsZXM+PHBlcmlvZGljYWw+PGZ1bGwtdGl0bGU+QnIg
SiBOdXRyPC9mdWxsLXRpdGxlPjwvcGVyaW9kaWNhbD48cGFnZXM+MTA0NS0xMDU1PC9wYWdlcz48
dm9sdW1lPjEyMDwvdm9sdW1lPjxudW1iZXI+OTwvbnVtYmVyPjxlZGl0aW9uPjIwMTgvMTAvMjY8
L2VkaXRpb24+PGtleXdvcmRzPjxrZXl3b3JkPkJsb29kIEdsdWNvc2UvYW5hbHlzaXM8L2tleXdv
cmQ+PGtleXdvcmQ+Q2hpbmE8L2tleXdvcmQ+PGtleXdvcmQ+RGlhYmV0ZXMsIEdlc3RhdGlvbmFs
LypwcmV2ZW50aW9uICZhbXA7IGNvbnRyb2w8L2tleXdvcmQ+PGtleXdvcmQ+RGlldDwva2V5d29y
ZD48a2V5d29yZD5EaWV0YXJ5IENhcmJvaHlkcmF0ZXMvKmFkbWluaXN0cmF0aW9uICZhbXA7IGRv
c2FnZTwva2V5d29yZD48a2V5d29yZD5EaWV0YXJ5IFByb3RlaW5zLyphZG1pbmlzdHJhdGlvbiAm
YW1wOyBkb3NhZ2U8L2tleXdvcmQ+PGtleXdvcmQ+RmVtYWxlPC9rZXl3b3JkPjxrZXl3b3JkPkZy
dWl0PC9rZXl3b3JkPjxrZXl3b3JkPkdsdWNvc2UgVG9sZXJhbmNlIFRlc3Q8L2tleXdvcmQ+PGtl
eXdvcmQ+SHVtYW5zPC9rZXl3b3JkPjxrZXl3b3JkPk1hdGVybmFsIE51dHJpdGlvbmFsIFBoeXNp
b2xvZ2ljYWwgUGhlbm9tZW5hPC9rZXl3b3JkPjxrZXl3b3JkPk1lYXQ8L2tleXdvcmQ+PGtleXdv
cmQ+UHJlZ25hbmN5PC9rZXl3b3JkPjxrZXl3b3JkPlByaW5jaXBhbCBDb21wb25lbnQgQW5hbHlz
aXM8L2tleXdvcmQ+PGtleXdvcmQ+UHJvc3BlY3RpdmUgU3R1ZGllczwva2V5d29yZD48a2V5d29y
ZD5SaXNrPC9rZXl3b3JkPjxrZXl3b3JkPlRpbWUgRmFjdG9yczwva2V5d29yZD48a2V5d29yZD4q
IEdETSBnZXN0YXRpb25hbCBkaWFiZXRlcyBtZWxsaXR1czwva2V5d29yZD48a2V5d29yZD4qIE5I
U0lJIE51cnNlcyZhcG9zOyBIZWFsdGggU3R1ZHkgSUk8L2tleXdvcmQ+PGtleXdvcmQ+KiBPR1RU
IG9yYWwgZ2x1Y29zZSB0b2xlcmFuY2UgdGVzdDwva2V5d29yZD48a2V5d29yZD4qIFRNQ0hDIFRv
bmdqaSBNYXRlcm5hbCBhbmQgQ2hpbGQgSGVhbHRoIENvaG9ydDwva2V5d29yZD48a2V5d29yZD4q
RGlldGFyeSBwYXR0ZXJuczwva2V5d29yZD48a2V5d29yZD4qR2VzdGF0aW9uYWwgZGlhYmV0ZXMg
bWVsbGl0dXM8L2tleXdvcmQ+PGtleXdvcmQ+Kk1hY3JvbnV0cmllbnRzPC9rZXl3b3JkPjxrZXl3
b3JkPipQbGFzbWEgZ2x1Y29zZTwva2V5d29yZD48L2tleXdvcmRzPjxkYXRlcz48eWVhcj4yMDE4
PC95ZWFyPjxwdWItZGF0ZXM+PGRhdGU+Tm92PC9kYXRlPjwvcHViLWRhdGVzPjwvZGF0ZXM+PGlz
Ym4+MTQ3NS0yNjYyIChFbGVjdHJvbmljKSYjeEQ7MDAwNy0xMTQ1IChMaW5raW5nKTwvaXNibj48
YWNjZXNzaW9uLW51bT4zMDM1NTM5MjwvYWNjZXNzaW9uLW51bT48dXJscz48cmVsYXRlZC11cmxz
Pjx1cmw+aHR0cHM6Ly93d3cubmNiaS5ubG0ubmloLmdvdi9wdWJtZWQvMzAzNTUzOTI8L3VybD48
L3JlbGF0ZWQtdXJscz48L3VybHM+PGVsZWN0cm9uaWMtcmVzb3VyY2UtbnVtPjEwLjEwMTcvUzAw
MDcxMTQ1MTgwMDI0NTM8L2VsZWN0cm9uaWMtcmVzb3VyY2UtbnVtPjwvcmVjb3JkPjwvQ2l0ZT48
L0VuZE5vdGU+
</w:fldData>
        </w:fldChar>
      </w:r>
      <w:r w:rsidR="002747EA">
        <w:instrText xml:space="preserve"> ADDIN EN.CITE </w:instrText>
      </w:r>
      <w:r w:rsidR="002747EA">
        <w:fldChar w:fldCharType="begin">
          <w:fldData xml:space="preserve">PEVuZE5vdGU+PENpdGU+PEF1dGhvcj5aaG91PC9BdXRob3I+PFllYXI+MjAxODwvWWVhcj48UmVj
TnVtPjE0ODc8L1JlY051bT48RGlzcGxheVRleHQ+PHN0eWxlIGZhY2U9InN1cGVyc2NyaXB0IiBm
b250PSJUcmVidWNoZXQgTVMiIHNpemU9IjkiPjE3PC9zdHlsZT48L0Rpc3BsYXlUZXh0PjxyZWNv
cmQ+PHJlYy1udW1iZXI+MTQ4NzwvcmVjLW51bWJlcj48Zm9yZWlnbi1rZXlzPjxrZXkgYXBwPSJF
TiIgZGItaWQ9ImV4dmFzcmZ4MmR0cmFvZXNhc3hwMnN6c3hhMmRmNTAyNTkyeCIgdGltZXN0YW1w
PSIxNTc0MDM5NzI1Ij4xNDg3PC9rZXk+PGtleSBhcHA9IkVOV2ViIiBkYi1pZD0iIj4wPC9rZXk+
PC9mb3JlaWduLWtleXM+PHJlZi10eXBlIG5hbWU9IkpvdXJuYWwgQXJ0aWNsZSI+MTc8L3JlZi10
eXBlPjxjb250cmlidXRvcnM+PGF1dGhvcnM+PGF1dGhvcj5aaG91LCBYLjwvYXV0aG9yPjxhdXRo
b3I+Q2hlbiwgUi48L2F1dGhvcj48YXV0aG9yPlpob25nLCBDLjwvYXV0aG9yPjxhdXRob3I+V3Us
IEouPC9hdXRob3I+PGF1dGhvcj5MaSwgWC48L2F1dGhvcj48YXV0aG9yPkxpLCBRLjwvYXV0aG9y
PjxhdXRob3I+Q3VpLCBXLjwvYXV0aG9yPjxhdXRob3I+WWksIE4uPC9hdXRob3I+PGF1dGhvcj5Y
aWFvLCBNLjwvYXV0aG9yPjxhdXRob3I+WWluLCBILjwvYXV0aG9yPjxhdXRob3I+WGlvbmcsIEcu
PC9hdXRob3I+PGF1dGhvcj5IYW4sIFcuPC9hdXRob3I+PGF1dGhvcj5IYW8sIEwuPC9hdXRob3I+
PGF1dGhvcj5ZYW5nLCBYLjwvYXV0aG9yPjxhdXRob3I+WWFuZywgTi48L2F1dGhvcj48L2F1dGhv
cnM+PC9jb250cmlidXRvcnM+PGF1dGgtYWRkcmVzcz4xSHViZWkgS2V5IExhYm9yYXRvcnkgb2Yg
Rm9vZCBOdXRyaXRpb24gYW5kIFNhZmV0eSxNT0UgS2V5IExhYm9yYXRvcnkgb2YgRW52aXJvbm1l
bnQgYW5kIEhlYWx0aCxEZXBhcnRtZW50IG9mIE51dHJpdGlvbiBhbmQgRm9vZCBIeWdpZW5lLFNj
aG9vbCBvZiBQdWJsaWMgSGVhbHRoLFRvbmdqaSBNZWRpY2FsIENvbGxlZ2UsSHVhemhvbmcgVW5p
dmVyc2l0eSBvZiBTY2llbmNlIGFuZCBUZWNobm9sb2d5LDEzIEhhbmdrb25nIFJvYWQsV3VoYW4s
SHViZWk0MzAwMzAsUGVvcGxlJmFwb3M7cyBSZXB1YmxpYyBvZiBDaGluYS4mI3hEOzJEZXBhcnRt
ZW50IG9mIE9ic3RldHJpY3MgYW5kIEd5bmVjb2xvZ3ksIEh1YmVpIE1hdGVybmFsIGFuZCBDaGls
ZCBIZWFsdGggSG9zcGl0YWwsV3VoYW4sSHViZWk0MzAwNzAsUGVvcGxlJmFwb3M7cyBSZXB1Ymxp
YyBvZiBDaGluYS4mI3hEOzNEZXBhcnRtZW50IG9mIE9ic3RldHJpY3MgYW5kIEd5bmVjb2xvZ3ks
IFRoZSBDZW50cmFsIEhvc3BpdGFsIG9mIFd1aGFuLEh1YmVpNDMwMDE0LFBlb3BsZSZhcG9zO3Mg
UmVwdWJsaWMgb2YgQ2hpbmEuPC9hdXRoLWFkZHJlc3M+PHRpdGxlcz48dGl0bGU+TWF0ZXJuYWwg
ZGlldGFyeSBwYXR0ZXJuIGNoYXJhY3RlcmlzZWQgYnkgaGlnaCBwcm90ZWluIGFuZCBsb3cgY2Fy
Ym9oeWRyYXRlIGludGFrZSBpbiBwcmVnbmFuY3kgaXMgYXNzb2NpYXRlZCB3aXRoIGEgaGlnaGVy
IHJpc2sgb2YgZ2VzdGF0aW9uYWwgZGlhYmV0ZXMgbWVsbGl0dXMgaW4gQ2hpbmVzZSB3b21lbjog
YSBwcm9zcGVjdGl2ZSBjb2hvcnQgc3R1ZHk8L3RpdGxlPjxzZWNvbmRhcnktdGl0bGU+QnIgSiBO
dXRyPC9zZWNvbmRhcnktdGl0bGU+PC90aXRsZXM+PHBlcmlvZGljYWw+PGZ1bGwtdGl0bGU+QnIg
SiBOdXRyPC9mdWxsLXRpdGxlPjwvcGVyaW9kaWNhbD48cGFnZXM+MTA0NS0xMDU1PC9wYWdlcz48
dm9sdW1lPjEyMDwvdm9sdW1lPjxudW1iZXI+OTwvbnVtYmVyPjxlZGl0aW9uPjIwMTgvMTAvMjY8
L2VkaXRpb24+PGtleXdvcmRzPjxrZXl3b3JkPkJsb29kIEdsdWNvc2UvYW5hbHlzaXM8L2tleXdv
cmQ+PGtleXdvcmQ+Q2hpbmE8L2tleXdvcmQ+PGtleXdvcmQ+RGlhYmV0ZXMsIEdlc3RhdGlvbmFs
LypwcmV2ZW50aW9uICZhbXA7IGNvbnRyb2w8L2tleXdvcmQ+PGtleXdvcmQ+RGlldDwva2V5d29y
ZD48a2V5d29yZD5EaWV0YXJ5IENhcmJvaHlkcmF0ZXMvKmFkbWluaXN0cmF0aW9uICZhbXA7IGRv
c2FnZTwva2V5d29yZD48a2V5d29yZD5EaWV0YXJ5IFByb3RlaW5zLyphZG1pbmlzdHJhdGlvbiAm
YW1wOyBkb3NhZ2U8L2tleXdvcmQ+PGtleXdvcmQ+RmVtYWxlPC9rZXl3b3JkPjxrZXl3b3JkPkZy
dWl0PC9rZXl3b3JkPjxrZXl3b3JkPkdsdWNvc2UgVG9sZXJhbmNlIFRlc3Q8L2tleXdvcmQ+PGtl
eXdvcmQ+SHVtYW5zPC9rZXl3b3JkPjxrZXl3b3JkPk1hdGVybmFsIE51dHJpdGlvbmFsIFBoeXNp
b2xvZ2ljYWwgUGhlbm9tZW5hPC9rZXl3b3JkPjxrZXl3b3JkPk1lYXQ8L2tleXdvcmQ+PGtleXdv
cmQ+UHJlZ25hbmN5PC9rZXl3b3JkPjxrZXl3b3JkPlByaW5jaXBhbCBDb21wb25lbnQgQW5hbHlz
aXM8L2tleXdvcmQ+PGtleXdvcmQ+UHJvc3BlY3RpdmUgU3R1ZGllczwva2V5d29yZD48a2V5d29y
ZD5SaXNrPC9rZXl3b3JkPjxrZXl3b3JkPlRpbWUgRmFjdG9yczwva2V5d29yZD48a2V5d29yZD4q
IEdETSBnZXN0YXRpb25hbCBkaWFiZXRlcyBtZWxsaXR1czwva2V5d29yZD48a2V5d29yZD4qIE5I
U0lJIE51cnNlcyZhcG9zOyBIZWFsdGggU3R1ZHkgSUk8L2tleXdvcmQ+PGtleXdvcmQ+KiBPR1RU
IG9yYWwgZ2x1Y29zZSB0b2xlcmFuY2UgdGVzdDwva2V5d29yZD48a2V5d29yZD4qIFRNQ0hDIFRv
bmdqaSBNYXRlcm5hbCBhbmQgQ2hpbGQgSGVhbHRoIENvaG9ydDwva2V5d29yZD48a2V5d29yZD4q
RGlldGFyeSBwYXR0ZXJuczwva2V5d29yZD48a2V5d29yZD4qR2VzdGF0aW9uYWwgZGlhYmV0ZXMg
bWVsbGl0dXM8L2tleXdvcmQ+PGtleXdvcmQ+Kk1hY3JvbnV0cmllbnRzPC9rZXl3b3JkPjxrZXl3
b3JkPipQbGFzbWEgZ2x1Y29zZTwva2V5d29yZD48L2tleXdvcmRzPjxkYXRlcz48eWVhcj4yMDE4
PC95ZWFyPjxwdWItZGF0ZXM+PGRhdGU+Tm92PC9kYXRlPjwvcHViLWRhdGVzPjwvZGF0ZXM+PGlz
Ym4+MTQ3NS0yNjYyIChFbGVjdHJvbmljKSYjeEQ7MDAwNy0xMTQ1IChMaW5raW5nKTwvaXNibj48
YWNjZXNzaW9uLW51bT4zMDM1NTM5MjwvYWNjZXNzaW9uLW51bT48dXJscz48cmVsYXRlZC11cmxz
Pjx1cmw+aHR0cHM6Ly93d3cubmNiaS5ubG0ubmloLmdvdi9wdWJtZWQvMzAzNTUzOTI8L3VybD48
L3JlbGF0ZWQtdXJscz48L3VybHM+PGVsZWN0cm9uaWMtcmVzb3VyY2UtbnVtPjEwLjEwMTcvUzAw
MDcxMTQ1MTgwMDI0NTM8L2VsZWN0cm9uaWMtcmVzb3VyY2UtbnVtPjwvcmVjb3JkPjwvQ2l0ZT48
L0VuZE5vdGU+
</w:fldData>
        </w:fldChar>
      </w:r>
      <w:r w:rsidR="002747EA">
        <w:instrText xml:space="preserve"> ADDIN EN.CITE.DATA </w:instrText>
      </w:r>
      <w:r w:rsidR="002747EA">
        <w:fldChar w:fldCharType="end"/>
      </w:r>
      <w:r>
        <w:fldChar w:fldCharType="separate"/>
      </w:r>
      <w:r w:rsidR="002747EA" w:rsidRPr="002747EA">
        <w:rPr>
          <w:noProof/>
          <w:vertAlign w:val="superscript"/>
        </w:rPr>
        <w:t>17</w:t>
      </w:r>
      <w:r>
        <w:fldChar w:fldCharType="end"/>
      </w:r>
    </w:p>
    <w:p w14:paraId="7CAB63C1" w14:textId="7419B7A6" w:rsidR="00720200" w:rsidRDefault="00720200" w:rsidP="00720200">
      <w:pPr>
        <w:pStyle w:val="bullet"/>
      </w:pPr>
      <w:r w:rsidRPr="00F44E77">
        <w:t xml:space="preserve">high </w:t>
      </w:r>
      <w:r>
        <w:t xml:space="preserve">in </w:t>
      </w:r>
      <w:r w:rsidRPr="00F44E77">
        <w:t>refined grains, fats, oils and</w:t>
      </w:r>
      <w:r>
        <w:t xml:space="preserve"> fruit juice (</w:t>
      </w:r>
      <w:r w:rsidRPr="00F267BE">
        <w:rPr>
          <w:sz w:val="16"/>
          <w:szCs w:val="16"/>
        </w:rPr>
        <w:t>aOR 4.9; 95%CI 1.4 to 17.0</w:t>
      </w:r>
      <w:r w:rsidR="00901201" w:rsidRPr="00F267BE">
        <w:rPr>
          <w:sz w:val="16"/>
          <w:szCs w:val="16"/>
        </w:rPr>
        <w:t>; n=166</w:t>
      </w:r>
      <w:r w:rsidRPr="00F44E77">
        <w:t>)</w:t>
      </w:r>
      <w:r w:rsidR="00F267BE">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 </w:instrText>
      </w:r>
      <w:r w:rsidR="002747EA">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EN.CITE.DATA </w:instrText>
      </w:r>
      <w:r w:rsidR="002747EA">
        <w:fldChar w:fldCharType="end"/>
      </w:r>
      <w:r w:rsidR="00F267BE">
        <w:fldChar w:fldCharType="separate"/>
      </w:r>
      <w:r w:rsidR="002747EA" w:rsidRPr="002747EA">
        <w:rPr>
          <w:noProof/>
          <w:vertAlign w:val="superscript"/>
        </w:rPr>
        <w:t>18</w:t>
      </w:r>
      <w:r w:rsidR="00F267BE">
        <w:fldChar w:fldCharType="end"/>
      </w:r>
      <w:r w:rsidRPr="00F44E77">
        <w:t xml:space="preserve"> </w:t>
      </w:r>
    </w:p>
    <w:p w14:paraId="41EC1608" w14:textId="7691090D" w:rsidR="00720200" w:rsidRDefault="00720200" w:rsidP="00720200">
      <w:pPr>
        <w:pStyle w:val="bullet"/>
      </w:pPr>
      <w:r w:rsidRPr="00F44E77">
        <w:t xml:space="preserve">high </w:t>
      </w:r>
      <w:r>
        <w:t xml:space="preserve">in </w:t>
      </w:r>
      <w:r w:rsidR="00F2714D">
        <w:t>nuts, seeds, fat and soybean and</w:t>
      </w:r>
      <w:r w:rsidRPr="00F44E77">
        <w:t xml:space="preserve"> low </w:t>
      </w:r>
      <w:r>
        <w:t xml:space="preserve">in </w:t>
      </w:r>
      <w:r w:rsidRPr="00F44E77">
        <w:t>milk and</w:t>
      </w:r>
      <w:r>
        <w:t xml:space="preserve"> cheese (</w:t>
      </w:r>
      <w:r w:rsidRPr="00F267BE">
        <w:rPr>
          <w:sz w:val="16"/>
          <w:szCs w:val="16"/>
        </w:rPr>
        <w:t>aOR 7.5; 95%CI 1.8 to 32.3</w:t>
      </w:r>
      <w:r w:rsidR="00901201" w:rsidRPr="00F267BE">
        <w:rPr>
          <w:sz w:val="16"/>
          <w:szCs w:val="16"/>
        </w:rPr>
        <w:t>; n=166</w:t>
      </w:r>
      <w:r w:rsidRPr="00F44E77">
        <w:t>)</w:t>
      </w:r>
      <w:r w:rsidR="00F267BE">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 </w:instrText>
      </w:r>
      <w:r w:rsidR="002747EA">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EN.CITE.DATA </w:instrText>
      </w:r>
      <w:r w:rsidR="002747EA">
        <w:fldChar w:fldCharType="end"/>
      </w:r>
      <w:r w:rsidR="00F267BE">
        <w:fldChar w:fldCharType="separate"/>
      </w:r>
      <w:r w:rsidR="002747EA" w:rsidRPr="002747EA">
        <w:rPr>
          <w:noProof/>
          <w:vertAlign w:val="superscript"/>
        </w:rPr>
        <w:t>18</w:t>
      </w:r>
      <w:r w:rsidR="00F267BE">
        <w:fldChar w:fldCharType="end"/>
      </w:r>
    </w:p>
    <w:p w14:paraId="47DC214B" w14:textId="73C25E13" w:rsidR="00847488" w:rsidRDefault="00720200" w:rsidP="00720200">
      <w:pPr>
        <w:pStyle w:val="bullet"/>
      </w:pPr>
      <w:r w:rsidRPr="00F44E77">
        <w:t xml:space="preserve">high </w:t>
      </w:r>
      <w:r>
        <w:t xml:space="preserve">in </w:t>
      </w:r>
      <w:r w:rsidR="00F2714D">
        <w:t>added sugar and organ meats and</w:t>
      </w:r>
      <w:r w:rsidRPr="00F44E77">
        <w:t xml:space="preserve"> low </w:t>
      </w:r>
      <w:r>
        <w:t xml:space="preserve">in </w:t>
      </w:r>
      <w:r w:rsidRPr="00F44E77">
        <w:t>fruits, vegetables and seafood</w:t>
      </w:r>
      <w:r w:rsidR="00847488">
        <w:t xml:space="preserve"> </w:t>
      </w:r>
      <w:r>
        <w:t>(</w:t>
      </w:r>
      <w:r w:rsidRPr="00F267BE">
        <w:rPr>
          <w:sz w:val="16"/>
          <w:szCs w:val="16"/>
        </w:rPr>
        <w:t xml:space="preserve">aOR </w:t>
      </w:r>
      <w:r w:rsidR="00901201" w:rsidRPr="00F267BE">
        <w:rPr>
          <w:sz w:val="16"/>
          <w:szCs w:val="16"/>
        </w:rPr>
        <w:t xml:space="preserve">22.3; 95%CI </w:t>
      </w:r>
      <w:r w:rsidRPr="00F267BE">
        <w:rPr>
          <w:sz w:val="16"/>
          <w:szCs w:val="16"/>
        </w:rPr>
        <w:t>3.9 to 127.4</w:t>
      </w:r>
      <w:r w:rsidR="00901201" w:rsidRPr="00F267BE">
        <w:rPr>
          <w:sz w:val="16"/>
          <w:szCs w:val="16"/>
        </w:rPr>
        <w:t>; n=166</w:t>
      </w:r>
      <w:r w:rsidRPr="00F44E77">
        <w:t>)</w:t>
      </w:r>
      <w:r w:rsidR="00F267BE">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 </w:instrText>
      </w:r>
      <w:r w:rsidR="002747EA">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EN.CITE.DATA </w:instrText>
      </w:r>
      <w:r w:rsidR="002747EA">
        <w:fldChar w:fldCharType="end"/>
      </w:r>
      <w:r w:rsidR="00F267BE">
        <w:fldChar w:fldCharType="separate"/>
      </w:r>
      <w:r w:rsidR="002747EA" w:rsidRPr="002747EA">
        <w:rPr>
          <w:noProof/>
          <w:vertAlign w:val="superscript"/>
        </w:rPr>
        <w:t>18</w:t>
      </w:r>
      <w:r w:rsidR="00F267BE">
        <w:fldChar w:fldCharType="end"/>
      </w:r>
    </w:p>
    <w:p w14:paraId="42315B46" w14:textId="79DDFBE0" w:rsidR="00D72916" w:rsidRDefault="00D72916" w:rsidP="00D72916">
      <w:r>
        <w:t xml:space="preserve">A dietary pattern low in protein and high in carbohydrates was associated with a lower risk of gestational diabetes </w:t>
      </w:r>
      <w:r w:rsidRPr="003F03D5">
        <w:t>(</w:t>
      </w:r>
      <w:r w:rsidRPr="00F267BE">
        <w:rPr>
          <w:sz w:val="16"/>
          <w:szCs w:val="16"/>
        </w:rPr>
        <w:t>aOR 0.54; 95%CI 0.36 to 0.83; P trend=0.010</w:t>
      </w:r>
      <w:r w:rsidR="00F267BE" w:rsidRPr="00F267BE">
        <w:rPr>
          <w:sz w:val="16"/>
          <w:szCs w:val="16"/>
        </w:rPr>
        <w:t>; n=2,755</w:t>
      </w:r>
      <w:r w:rsidRPr="003F03D5">
        <w:t>)</w:t>
      </w:r>
      <w:r>
        <w:t>.</w:t>
      </w:r>
      <w:r w:rsidR="00F267BE">
        <w:fldChar w:fldCharType="begin">
          <w:fldData xml:space="preserve">PEVuZE5vdGU+PENpdGU+PEF1dGhvcj5aaG91PC9BdXRob3I+PFllYXI+MjAxODwvWWVhcj48UmVj
TnVtPjE0ODc8L1JlY051bT48RGlzcGxheVRleHQ+PHN0eWxlIGZhY2U9InN1cGVyc2NyaXB0IiBm
b250PSJUcmVidWNoZXQgTVMiIHNpemU9IjkiPjE3PC9zdHlsZT48L0Rpc3BsYXlUZXh0PjxyZWNv
cmQ+PHJlYy1udW1iZXI+MTQ4NzwvcmVjLW51bWJlcj48Zm9yZWlnbi1rZXlzPjxrZXkgYXBwPSJF
TiIgZGItaWQ9ImV4dmFzcmZ4MmR0cmFvZXNhc3hwMnN6c3hhMmRmNTAyNTkyeCIgdGltZXN0YW1w
PSIxNTc0MDM5NzI1Ij4xNDg3PC9rZXk+PGtleSBhcHA9IkVOV2ViIiBkYi1pZD0iIj4wPC9rZXk+
PC9mb3JlaWduLWtleXM+PHJlZi10eXBlIG5hbWU9IkpvdXJuYWwgQXJ0aWNsZSI+MTc8L3JlZi10
eXBlPjxjb250cmlidXRvcnM+PGF1dGhvcnM+PGF1dGhvcj5aaG91LCBYLjwvYXV0aG9yPjxhdXRo
b3I+Q2hlbiwgUi48L2F1dGhvcj48YXV0aG9yPlpob25nLCBDLjwvYXV0aG9yPjxhdXRob3I+V3Us
IEouPC9hdXRob3I+PGF1dGhvcj5MaSwgWC48L2F1dGhvcj48YXV0aG9yPkxpLCBRLjwvYXV0aG9y
PjxhdXRob3I+Q3VpLCBXLjwvYXV0aG9yPjxhdXRob3I+WWksIE4uPC9hdXRob3I+PGF1dGhvcj5Y
aWFvLCBNLjwvYXV0aG9yPjxhdXRob3I+WWluLCBILjwvYXV0aG9yPjxhdXRob3I+WGlvbmcsIEcu
PC9hdXRob3I+PGF1dGhvcj5IYW4sIFcuPC9hdXRob3I+PGF1dGhvcj5IYW8sIEwuPC9hdXRob3I+
PGF1dGhvcj5ZYW5nLCBYLjwvYXV0aG9yPjxhdXRob3I+WWFuZywgTi48L2F1dGhvcj48L2F1dGhv
cnM+PC9jb250cmlidXRvcnM+PGF1dGgtYWRkcmVzcz4xSHViZWkgS2V5IExhYm9yYXRvcnkgb2Yg
Rm9vZCBOdXRyaXRpb24gYW5kIFNhZmV0eSxNT0UgS2V5IExhYm9yYXRvcnkgb2YgRW52aXJvbm1l
bnQgYW5kIEhlYWx0aCxEZXBhcnRtZW50IG9mIE51dHJpdGlvbiBhbmQgRm9vZCBIeWdpZW5lLFNj
aG9vbCBvZiBQdWJsaWMgSGVhbHRoLFRvbmdqaSBNZWRpY2FsIENvbGxlZ2UsSHVhemhvbmcgVW5p
dmVyc2l0eSBvZiBTY2llbmNlIGFuZCBUZWNobm9sb2d5LDEzIEhhbmdrb25nIFJvYWQsV3VoYW4s
SHViZWk0MzAwMzAsUGVvcGxlJmFwb3M7cyBSZXB1YmxpYyBvZiBDaGluYS4mI3hEOzJEZXBhcnRt
ZW50IG9mIE9ic3RldHJpY3MgYW5kIEd5bmVjb2xvZ3ksIEh1YmVpIE1hdGVybmFsIGFuZCBDaGls
ZCBIZWFsdGggSG9zcGl0YWwsV3VoYW4sSHViZWk0MzAwNzAsUGVvcGxlJmFwb3M7cyBSZXB1Ymxp
YyBvZiBDaGluYS4mI3hEOzNEZXBhcnRtZW50IG9mIE9ic3RldHJpY3MgYW5kIEd5bmVjb2xvZ3ks
IFRoZSBDZW50cmFsIEhvc3BpdGFsIG9mIFd1aGFuLEh1YmVpNDMwMDE0LFBlb3BsZSZhcG9zO3Mg
UmVwdWJsaWMgb2YgQ2hpbmEuPC9hdXRoLWFkZHJlc3M+PHRpdGxlcz48dGl0bGU+TWF0ZXJuYWwg
ZGlldGFyeSBwYXR0ZXJuIGNoYXJhY3RlcmlzZWQgYnkgaGlnaCBwcm90ZWluIGFuZCBsb3cgY2Fy
Ym9oeWRyYXRlIGludGFrZSBpbiBwcmVnbmFuY3kgaXMgYXNzb2NpYXRlZCB3aXRoIGEgaGlnaGVy
IHJpc2sgb2YgZ2VzdGF0aW9uYWwgZGlhYmV0ZXMgbWVsbGl0dXMgaW4gQ2hpbmVzZSB3b21lbjog
YSBwcm9zcGVjdGl2ZSBjb2hvcnQgc3R1ZHk8L3RpdGxlPjxzZWNvbmRhcnktdGl0bGU+QnIgSiBO
dXRyPC9zZWNvbmRhcnktdGl0bGU+PC90aXRsZXM+PHBlcmlvZGljYWw+PGZ1bGwtdGl0bGU+QnIg
SiBOdXRyPC9mdWxsLXRpdGxlPjwvcGVyaW9kaWNhbD48cGFnZXM+MTA0NS0xMDU1PC9wYWdlcz48
dm9sdW1lPjEyMDwvdm9sdW1lPjxudW1iZXI+OTwvbnVtYmVyPjxlZGl0aW9uPjIwMTgvMTAvMjY8
L2VkaXRpb24+PGtleXdvcmRzPjxrZXl3b3JkPkJsb29kIEdsdWNvc2UvYW5hbHlzaXM8L2tleXdv
cmQ+PGtleXdvcmQ+Q2hpbmE8L2tleXdvcmQ+PGtleXdvcmQ+RGlhYmV0ZXMsIEdlc3RhdGlvbmFs
LypwcmV2ZW50aW9uICZhbXA7IGNvbnRyb2w8L2tleXdvcmQ+PGtleXdvcmQ+RGlldDwva2V5d29y
ZD48a2V5d29yZD5EaWV0YXJ5IENhcmJvaHlkcmF0ZXMvKmFkbWluaXN0cmF0aW9uICZhbXA7IGRv
c2FnZTwva2V5d29yZD48a2V5d29yZD5EaWV0YXJ5IFByb3RlaW5zLyphZG1pbmlzdHJhdGlvbiAm
YW1wOyBkb3NhZ2U8L2tleXdvcmQ+PGtleXdvcmQ+RmVtYWxlPC9rZXl3b3JkPjxrZXl3b3JkPkZy
dWl0PC9rZXl3b3JkPjxrZXl3b3JkPkdsdWNvc2UgVG9sZXJhbmNlIFRlc3Q8L2tleXdvcmQ+PGtl
eXdvcmQ+SHVtYW5zPC9rZXl3b3JkPjxrZXl3b3JkPk1hdGVybmFsIE51dHJpdGlvbmFsIFBoeXNp
b2xvZ2ljYWwgUGhlbm9tZW5hPC9rZXl3b3JkPjxrZXl3b3JkPk1lYXQ8L2tleXdvcmQ+PGtleXdv
cmQ+UHJlZ25hbmN5PC9rZXl3b3JkPjxrZXl3b3JkPlByaW5jaXBhbCBDb21wb25lbnQgQW5hbHlz
aXM8L2tleXdvcmQ+PGtleXdvcmQ+UHJvc3BlY3RpdmUgU3R1ZGllczwva2V5d29yZD48a2V5d29y
ZD5SaXNrPC9rZXl3b3JkPjxrZXl3b3JkPlRpbWUgRmFjdG9yczwva2V5d29yZD48a2V5d29yZD4q
IEdETSBnZXN0YXRpb25hbCBkaWFiZXRlcyBtZWxsaXR1czwva2V5d29yZD48a2V5d29yZD4qIE5I
U0lJIE51cnNlcyZhcG9zOyBIZWFsdGggU3R1ZHkgSUk8L2tleXdvcmQ+PGtleXdvcmQ+KiBPR1RU
IG9yYWwgZ2x1Y29zZSB0b2xlcmFuY2UgdGVzdDwva2V5d29yZD48a2V5d29yZD4qIFRNQ0hDIFRv
bmdqaSBNYXRlcm5hbCBhbmQgQ2hpbGQgSGVhbHRoIENvaG9ydDwva2V5d29yZD48a2V5d29yZD4q
RGlldGFyeSBwYXR0ZXJuczwva2V5d29yZD48a2V5d29yZD4qR2VzdGF0aW9uYWwgZGlhYmV0ZXMg
bWVsbGl0dXM8L2tleXdvcmQ+PGtleXdvcmQ+Kk1hY3JvbnV0cmllbnRzPC9rZXl3b3JkPjxrZXl3
b3JkPipQbGFzbWEgZ2x1Y29zZTwva2V5d29yZD48L2tleXdvcmRzPjxkYXRlcz48eWVhcj4yMDE4
PC95ZWFyPjxwdWItZGF0ZXM+PGRhdGU+Tm92PC9kYXRlPjwvcHViLWRhdGVzPjwvZGF0ZXM+PGlz
Ym4+MTQ3NS0yNjYyIChFbGVjdHJvbmljKSYjeEQ7MDAwNy0xMTQ1IChMaW5raW5nKTwvaXNibj48
YWNjZXNzaW9uLW51bT4zMDM1NTM5MjwvYWNjZXNzaW9uLW51bT48dXJscz48cmVsYXRlZC11cmxz
Pjx1cmw+aHR0cHM6Ly93d3cubmNiaS5ubG0ubmloLmdvdi9wdWJtZWQvMzAzNTUzOTI8L3VybD48
L3JlbGF0ZWQtdXJscz48L3VybHM+PGVsZWN0cm9uaWMtcmVzb3VyY2UtbnVtPjEwLjEwMTcvUzAw
MDcxMTQ1MTgwMDI0NTM8L2VsZWN0cm9uaWMtcmVzb3VyY2UtbnVtPjwvcmVjb3JkPjwvQ2l0ZT48
L0VuZE5vdGU+
</w:fldData>
        </w:fldChar>
      </w:r>
      <w:r w:rsidR="002747EA">
        <w:instrText xml:space="preserve"> ADDIN EN.CITE </w:instrText>
      </w:r>
      <w:r w:rsidR="002747EA">
        <w:fldChar w:fldCharType="begin">
          <w:fldData xml:space="preserve">PEVuZE5vdGU+PENpdGU+PEF1dGhvcj5aaG91PC9BdXRob3I+PFllYXI+MjAxODwvWWVhcj48UmVj
TnVtPjE0ODc8L1JlY051bT48RGlzcGxheVRleHQ+PHN0eWxlIGZhY2U9InN1cGVyc2NyaXB0IiBm
b250PSJUcmVidWNoZXQgTVMiIHNpemU9IjkiPjE3PC9zdHlsZT48L0Rpc3BsYXlUZXh0PjxyZWNv
cmQ+PHJlYy1udW1iZXI+MTQ4NzwvcmVjLW51bWJlcj48Zm9yZWlnbi1rZXlzPjxrZXkgYXBwPSJF
TiIgZGItaWQ9ImV4dmFzcmZ4MmR0cmFvZXNhc3hwMnN6c3hhMmRmNTAyNTkyeCIgdGltZXN0YW1w
PSIxNTc0MDM5NzI1Ij4xNDg3PC9rZXk+PGtleSBhcHA9IkVOV2ViIiBkYi1pZD0iIj4wPC9rZXk+
PC9mb3JlaWduLWtleXM+PHJlZi10eXBlIG5hbWU9IkpvdXJuYWwgQXJ0aWNsZSI+MTc8L3JlZi10
eXBlPjxjb250cmlidXRvcnM+PGF1dGhvcnM+PGF1dGhvcj5aaG91LCBYLjwvYXV0aG9yPjxhdXRo
b3I+Q2hlbiwgUi48L2F1dGhvcj48YXV0aG9yPlpob25nLCBDLjwvYXV0aG9yPjxhdXRob3I+V3Us
IEouPC9hdXRob3I+PGF1dGhvcj5MaSwgWC48L2F1dGhvcj48YXV0aG9yPkxpLCBRLjwvYXV0aG9y
PjxhdXRob3I+Q3VpLCBXLjwvYXV0aG9yPjxhdXRob3I+WWksIE4uPC9hdXRob3I+PGF1dGhvcj5Y
aWFvLCBNLjwvYXV0aG9yPjxhdXRob3I+WWluLCBILjwvYXV0aG9yPjxhdXRob3I+WGlvbmcsIEcu
PC9hdXRob3I+PGF1dGhvcj5IYW4sIFcuPC9hdXRob3I+PGF1dGhvcj5IYW8sIEwuPC9hdXRob3I+
PGF1dGhvcj5ZYW5nLCBYLjwvYXV0aG9yPjxhdXRob3I+WWFuZywgTi48L2F1dGhvcj48L2F1dGhv
cnM+PC9jb250cmlidXRvcnM+PGF1dGgtYWRkcmVzcz4xSHViZWkgS2V5IExhYm9yYXRvcnkgb2Yg
Rm9vZCBOdXRyaXRpb24gYW5kIFNhZmV0eSxNT0UgS2V5IExhYm9yYXRvcnkgb2YgRW52aXJvbm1l
bnQgYW5kIEhlYWx0aCxEZXBhcnRtZW50IG9mIE51dHJpdGlvbiBhbmQgRm9vZCBIeWdpZW5lLFNj
aG9vbCBvZiBQdWJsaWMgSGVhbHRoLFRvbmdqaSBNZWRpY2FsIENvbGxlZ2UsSHVhemhvbmcgVW5p
dmVyc2l0eSBvZiBTY2llbmNlIGFuZCBUZWNobm9sb2d5LDEzIEhhbmdrb25nIFJvYWQsV3VoYW4s
SHViZWk0MzAwMzAsUGVvcGxlJmFwb3M7cyBSZXB1YmxpYyBvZiBDaGluYS4mI3hEOzJEZXBhcnRt
ZW50IG9mIE9ic3RldHJpY3MgYW5kIEd5bmVjb2xvZ3ksIEh1YmVpIE1hdGVybmFsIGFuZCBDaGls
ZCBIZWFsdGggSG9zcGl0YWwsV3VoYW4sSHViZWk0MzAwNzAsUGVvcGxlJmFwb3M7cyBSZXB1Ymxp
YyBvZiBDaGluYS4mI3hEOzNEZXBhcnRtZW50IG9mIE9ic3RldHJpY3MgYW5kIEd5bmVjb2xvZ3ks
IFRoZSBDZW50cmFsIEhvc3BpdGFsIG9mIFd1aGFuLEh1YmVpNDMwMDE0LFBlb3BsZSZhcG9zO3Mg
UmVwdWJsaWMgb2YgQ2hpbmEuPC9hdXRoLWFkZHJlc3M+PHRpdGxlcz48dGl0bGU+TWF0ZXJuYWwg
ZGlldGFyeSBwYXR0ZXJuIGNoYXJhY3RlcmlzZWQgYnkgaGlnaCBwcm90ZWluIGFuZCBsb3cgY2Fy
Ym9oeWRyYXRlIGludGFrZSBpbiBwcmVnbmFuY3kgaXMgYXNzb2NpYXRlZCB3aXRoIGEgaGlnaGVy
IHJpc2sgb2YgZ2VzdGF0aW9uYWwgZGlhYmV0ZXMgbWVsbGl0dXMgaW4gQ2hpbmVzZSB3b21lbjog
YSBwcm9zcGVjdGl2ZSBjb2hvcnQgc3R1ZHk8L3RpdGxlPjxzZWNvbmRhcnktdGl0bGU+QnIgSiBO
dXRyPC9zZWNvbmRhcnktdGl0bGU+PC90aXRsZXM+PHBlcmlvZGljYWw+PGZ1bGwtdGl0bGU+QnIg
SiBOdXRyPC9mdWxsLXRpdGxlPjwvcGVyaW9kaWNhbD48cGFnZXM+MTA0NS0xMDU1PC9wYWdlcz48
dm9sdW1lPjEyMDwvdm9sdW1lPjxudW1iZXI+OTwvbnVtYmVyPjxlZGl0aW9uPjIwMTgvMTAvMjY8
L2VkaXRpb24+PGtleXdvcmRzPjxrZXl3b3JkPkJsb29kIEdsdWNvc2UvYW5hbHlzaXM8L2tleXdv
cmQ+PGtleXdvcmQ+Q2hpbmE8L2tleXdvcmQ+PGtleXdvcmQ+RGlhYmV0ZXMsIEdlc3RhdGlvbmFs
LypwcmV2ZW50aW9uICZhbXA7IGNvbnRyb2w8L2tleXdvcmQ+PGtleXdvcmQ+RGlldDwva2V5d29y
ZD48a2V5d29yZD5EaWV0YXJ5IENhcmJvaHlkcmF0ZXMvKmFkbWluaXN0cmF0aW9uICZhbXA7IGRv
c2FnZTwva2V5d29yZD48a2V5d29yZD5EaWV0YXJ5IFByb3RlaW5zLyphZG1pbmlzdHJhdGlvbiAm
YW1wOyBkb3NhZ2U8L2tleXdvcmQ+PGtleXdvcmQ+RmVtYWxlPC9rZXl3b3JkPjxrZXl3b3JkPkZy
dWl0PC9rZXl3b3JkPjxrZXl3b3JkPkdsdWNvc2UgVG9sZXJhbmNlIFRlc3Q8L2tleXdvcmQ+PGtl
eXdvcmQ+SHVtYW5zPC9rZXl3b3JkPjxrZXl3b3JkPk1hdGVybmFsIE51dHJpdGlvbmFsIFBoeXNp
b2xvZ2ljYWwgUGhlbm9tZW5hPC9rZXl3b3JkPjxrZXl3b3JkPk1lYXQ8L2tleXdvcmQ+PGtleXdv
cmQ+UHJlZ25hbmN5PC9rZXl3b3JkPjxrZXl3b3JkPlByaW5jaXBhbCBDb21wb25lbnQgQW5hbHlz
aXM8L2tleXdvcmQ+PGtleXdvcmQ+UHJvc3BlY3RpdmUgU3R1ZGllczwva2V5d29yZD48a2V5d29y
ZD5SaXNrPC9rZXl3b3JkPjxrZXl3b3JkPlRpbWUgRmFjdG9yczwva2V5d29yZD48a2V5d29yZD4q
IEdETSBnZXN0YXRpb25hbCBkaWFiZXRlcyBtZWxsaXR1czwva2V5d29yZD48a2V5d29yZD4qIE5I
U0lJIE51cnNlcyZhcG9zOyBIZWFsdGggU3R1ZHkgSUk8L2tleXdvcmQ+PGtleXdvcmQ+KiBPR1RU
IG9yYWwgZ2x1Y29zZSB0b2xlcmFuY2UgdGVzdDwva2V5d29yZD48a2V5d29yZD4qIFRNQ0hDIFRv
bmdqaSBNYXRlcm5hbCBhbmQgQ2hpbGQgSGVhbHRoIENvaG9ydDwva2V5d29yZD48a2V5d29yZD4q
RGlldGFyeSBwYXR0ZXJuczwva2V5d29yZD48a2V5d29yZD4qR2VzdGF0aW9uYWwgZGlhYmV0ZXMg
bWVsbGl0dXM8L2tleXdvcmQ+PGtleXdvcmQ+Kk1hY3JvbnV0cmllbnRzPC9rZXl3b3JkPjxrZXl3
b3JkPipQbGFzbWEgZ2x1Y29zZTwva2V5d29yZD48L2tleXdvcmRzPjxkYXRlcz48eWVhcj4yMDE4
PC95ZWFyPjxwdWItZGF0ZXM+PGRhdGU+Tm92PC9kYXRlPjwvcHViLWRhdGVzPjwvZGF0ZXM+PGlz
Ym4+MTQ3NS0yNjYyIChFbGVjdHJvbmljKSYjeEQ7MDAwNy0xMTQ1IChMaW5raW5nKTwvaXNibj48
YWNjZXNzaW9uLW51bT4zMDM1NTM5MjwvYWNjZXNzaW9uLW51bT48dXJscz48cmVsYXRlZC11cmxz
Pjx1cmw+aHR0cHM6Ly93d3cubmNiaS5ubG0ubmloLmdvdi9wdWJtZWQvMzAzNTUzOTI8L3VybD48
L3JlbGF0ZWQtdXJscz48L3VybHM+PGVsZWN0cm9uaWMtcmVzb3VyY2UtbnVtPjEwLjEwMTcvUzAw
MDcxMTQ1MTgwMDI0NTM8L2VsZWN0cm9uaWMtcmVzb3VyY2UtbnVtPjwvcmVjb3JkPjwvQ2l0ZT48
L0VuZE5vdGU+
</w:fldData>
        </w:fldChar>
      </w:r>
      <w:r w:rsidR="002747EA">
        <w:instrText xml:space="preserve"> ADDIN EN.CITE.DATA </w:instrText>
      </w:r>
      <w:r w:rsidR="002747EA">
        <w:fldChar w:fldCharType="end"/>
      </w:r>
      <w:r w:rsidR="00F267BE">
        <w:fldChar w:fldCharType="separate"/>
      </w:r>
      <w:r w:rsidR="002747EA" w:rsidRPr="002747EA">
        <w:rPr>
          <w:noProof/>
          <w:vertAlign w:val="superscript"/>
        </w:rPr>
        <w:t>17</w:t>
      </w:r>
      <w:r w:rsidR="00F267BE">
        <w:fldChar w:fldCharType="end"/>
      </w:r>
    </w:p>
    <w:p w14:paraId="7A8765F7" w14:textId="18A8C04C" w:rsidR="00D72916" w:rsidRPr="00FB1FA0" w:rsidRDefault="00F267BE" w:rsidP="00D72916">
      <w:r>
        <w:t>A</w:t>
      </w:r>
      <w:r w:rsidR="00D72916" w:rsidRPr="00DD53FF">
        <w:t xml:space="preserve"> diet</w:t>
      </w:r>
      <w:r>
        <w:t>ary pattern</w:t>
      </w:r>
      <w:r w:rsidR="00D72916" w:rsidRPr="00DD53FF">
        <w:t xml:space="preserve"> </w:t>
      </w:r>
      <w:r w:rsidR="00D72916">
        <w:t xml:space="preserve">high in </w:t>
      </w:r>
      <w:r w:rsidR="00D72916" w:rsidRPr="00DD53FF">
        <w:t>fruits, vegetables, whole grains, low-fat dairy, breakfast bars, and water</w:t>
      </w:r>
      <w:r w:rsidR="00D72916">
        <w:t xml:space="preserve"> </w:t>
      </w:r>
      <w:r w:rsidR="00D72916" w:rsidRPr="00DD53FF">
        <w:t xml:space="preserve">was negatively associated with </w:t>
      </w:r>
      <w:r w:rsidR="00D72916">
        <w:t>maternal insulin (</w:t>
      </w:r>
      <w:r w:rsidR="00501148">
        <w:rPr>
          <w:sz w:val="16"/>
          <w:szCs w:val="16"/>
        </w:rPr>
        <w:t>µ</w:t>
      </w:r>
      <w:r w:rsidR="00D72916" w:rsidRPr="000A7CD9">
        <w:rPr>
          <w:sz w:val="16"/>
          <w:szCs w:val="16"/>
        </w:rPr>
        <w:t xml:space="preserve">U/mL: </w:t>
      </w:r>
      <w:r w:rsidR="005A04B5">
        <w:rPr>
          <w:sz w:val="16"/>
          <w:szCs w:val="16"/>
        </w:rPr>
        <w:t>ß</w:t>
      </w:r>
      <w:r w:rsidR="00D72916" w:rsidRPr="000A7CD9">
        <w:rPr>
          <w:sz w:val="16"/>
          <w:szCs w:val="16"/>
        </w:rPr>
        <w:t xml:space="preserve"> -0.12; 95%CI -0.23 to -0.01</w:t>
      </w:r>
      <w:r w:rsidRPr="000A7CD9">
        <w:rPr>
          <w:sz w:val="16"/>
          <w:szCs w:val="16"/>
        </w:rPr>
        <w:t>; n=513</w:t>
      </w:r>
      <w:r w:rsidR="00D72916">
        <w:t>) and HOMA-IR (</w:t>
      </w:r>
      <w:r w:rsidR="005A04B5">
        <w:rPr>
          <w:sz w:val="16"/>
          <w:szCs w:val="16"/>
        </w:rPr>
        <w:t>ß</w:t>
      </w:r>
      <w:r w:rsidR="00D72916" w:rsidRPr="000A7CD9">
        <w:rPr>
          <w:sz w:val="16"/>
          <w:szCs w:val="16"/>
        </w:rPr>
        <w:t xml:space="preserve"> -0.13; 95%CI -0.25 to -0.00</w:t>
      </w:r>
      <w:r w:rsidRPr="000A7CD9">
        <w:rPr>
          <w:sz w:val="16"/>
          <w:szCs w:val="16"/>
        </w:rPr>
        <w:t>; n=513</w:t>
      </w:r>
      <w:r w:rsidR="00D72916">
        <w:t>) but not gluco</w:t>
      </w:r>
      <w:r w:rsidR="00D72916" w:rsidRPr="009F227E">
        <w:t xml:space="preserve">se </w:t>
      </w:r>
      <w:r w:rsidR="00D72916">
        <w:t>(</w:t>
      </w:r>
      <w:r w:rsidR="005A04B5">
        <w:rPr>
          <w:sz w:val="16"/>
          <w:szCs w:val="16"/>
        </w:rPr>
        <w:t>ß</w:t>
      </w:r>
      <w:r w:rsidR="00D72916" w:rsidRPr="000A7CD9">
        <w:rPr>
          <w:sz w:val="16"/>
          <w:szCs w:val="16"/>
        </w:rPr>
        <w:t xml:space="preserve"> 0.86; 95%CI </w:t>
      </w:r>
      <w:r w:rsidR="00462751">
        <w:rPr>
          <w:sz w:val="16"/>
          <w:szCs w:val="16"/>
        </w:rPr>
        <w:t>-</w:t>
      </w:r>
      <w:r w:rsidR="00D72916" w:rsidRPr="000A7CD9">
        <w:rPr>
          <w:sz w:val="16"/>
          <w:szCs w:val="16"/>
        </w:rPr>
        <w:t>2.64 to 0.92</w:t>
      </w:r>
      <w:r w:rsidRPr="000A7CD9">
        <w:rPr>
          <w:sz w:val="16"/>
          <w:szCs w:val="16"/>
        </w:rPr>
        <w:t>; n=513</w:t>
      </w:r>
      <w:r w:rsidR="00D72916" w:rsidRPr="009F227E">
        <w:t>)</w:t>
      </w:r>
      <w:r w:rsidR="00D72916">
        <w:t>.</w:t>
      </w:r>
      <w:r>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 </w:instrText>
      </w:r>
      <w:r w:rsidR="002747EA">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19</w:t>
      </w:r>
      <w:r>
        <w:fldChar w:fldCharType="end"/>
      </w:r>
    </w:p>
    <w:p w14:paraId="0B7E2ACD" w14:textId="77777777" w:rsidR="00160051" w:rsidRDefault="00F267BE" w:rsidP="00FB1FA0">
      <w:r>
        <w:t xml:space="preserve">Case-control studies have found an increased risk of gestational diabetes associated with </w:t>
      </w:r>
      <w:r w:rsidR="00160051">
        <w:t>dietary patterns:</w:t>
      </w:r>
    </w:p>
    <w:p w14:paraId="2D85CC85" w14:textId="313D7054" w:rsidR="00FB1FA0" w:rsidRDefault="000103D0" w:rsidP="000A7CD9">
      <w:pPr>
        <w:pStyle w:val="bullet"/>
      </w:pPr>
      <w:r>
        <w:t xml:space="preserve">high </w:t>
      </w:r>
      <w:r w:rsidRPr="00B634DC">
        <w:t>in sweets, jams, mayonnaise, soft drinks, salty snacks, solid fat, high-fat dairy products, potatoes, organ meat, eggs, red meat, processe</w:t>
      </w:r>
      <w:r w:rsidR="00056765">
        <w:t>d foods, tea</w:t>
      </w:r>
      <w:r w:rsidRPr="00B634DC">
        <w:t xml:space="preserve"> and coffee</w:t>
      </w:r>
      <w:r>
        <w:t xml:space="preserve"> (</w:t>
      </w:r>
      <w:r w:rsidRPr="005A04B5">
        <w:rPr>
          <w:sz w:val="16"/>
          <w:szCs w:val="16"/>
        </w:rPr>
        <w:t>aOR 1.68, 95%CI 1.04 to 2.27</w:t>
      </w:r>
      <w:r w:rsidR="000A7CD9" w:rsidRPr="005A04B5">
        <w:rPr>
          <w:sz w:val="16"/>
          <w:szCs w:val="16"/>
        </w:rPr>
        <w:t>; n=368</w:t>
      </w:r>
      <w:r>
        <w:t>)</w:t>
      </w:r>
      <w:r w:rsidR="000A7CD9">
        <w:fldChar w:fldCharType="begin">
          <w:fldData xml:space="preserve">PEVuZE5vdGU+PENpdGU+PEF1dGhvcj5TZWRhZ2hhdDwvQXV0aG9yPjxZZWFyPjIwMTc8L1llYXI+
PFJlY051bT4xNDc4PC9SZWNOdW0+PERpc3BsYXlUZXh0PjxzdHlsZSBmYWNlPSJzdXBlcnNjcmlw
dCIgZm9udD0iVHJlYnVjaGV0IE1TIiBzaXplPSI5Ij4yMDwvc3R5bGU+PC9EaXNwbGF5VGV4dD48
cmVjb3JkPjxyZWMtbnVtYmVyPjE0Nzg8L3JlYy1udW1iZXI+PGZvcmVpZ24ta2V5cz48a2V5IGFw
cD0iRU4iIGRiLWlkPSJleHZhc3JmeDJkdHJhb2VzYXN4cDJzenN4YTJkZjUwMjU5MngiIHRpbWVz
dGFtcD0iMTU3NDAzOTY3NCI+MTQ3ODwva2V5PjxrZXkgYXBwPSJFTldlYiIgZGItaWQ9IiI+MDwv
a2V5PjwvZm9yZWlnbi1rZXlzPjxyZWYtdHlwZSBuYW1lPSJKb3VybmFsIEFydGljbGUiPjE3PC9y
ZWYtdHlwZT48Y29udHJpYnV0b3JzPjxhdXRob3JzPjxhdXRob3I+U2VkYWdoYXQsIEYuPC9hdXRo
b3I+PGF1dGhvcj5Ba2hvb25kYW4sIE0uPC9hdXRob3I+PGF1dGhvcj5FaHRlc2hhbWksIE0uPC9h
dXRob3I+PGF1dGhvcj5BZ2hhbW9oYW1tYWRpLCBWLjwvYXV0aG9yPjxhdXRob3I+R2hhbmVpLCBO
LjwvYXV0aG9yPjxhdXRob3I+TWlybWlyYW4sIFAuPC9hdXRob3I+PGF1dGhvcj5SYXNoaWRraGFu
aSwgQi48L2F1dGhvcj48L2F1dGhvcnM+PC9jb250cmlidXRvcnM+PGF1dGgtYWRkcmVzcz5EZXBh
cnRtZW50IG9mIEJhc2ljIE1lZGljYWwgU2NpZW5jZXMsIEZhY3VsdHkgb2YgTnV0cml0aW9uIFNj
aWVuY2VzIGFuZCBGb29kIFRlY2hub2xvZ3ksIE5hdGlvbmFsIE51dHJpdGlvbiBhbmQgRm9vZCBU
ZWNobm9sb2d5IFJlc2VhcmNoIEluc3RpdHV0ZSwgU2hhaGlkIEJlaGVzaHRpIFVuaXZlcnNpdHkg
b2YgTWVkaWNhbCBTY2llbmNlcywgVGVocmFuLCBJcmFuLiYjeEQ7RGVwYXJ0bWVudCBvZiBDb21t
dW5pdHkgTnV0cml0aW9uLCBGYWN1bHR5IG9mIE51dHJpdGlvbiBTY2llbmNlcyBhbmQgRm9vZCBU
ZWNobm9sb2d5LCBOYXRpb25hbCBOdXRyaXRpb24gYW5kIEZvb2QgVGVjaG5vbG9neSBSZXNlYXJj
aCBJbnN0aXR1dGUsIFNoYWhpZCBCZWhlc2h0aSBVbml2ZXJzaXR5IG9mIE1lZGljYWwgU2NpZW5j
ZXMsIFRlaHJhbiwgSXJhbi4mI3hEO0RlcGFydG1lbnQgb2YgUGFyYW1lZGljYWwgU2NpZW5jZXMs
IEFodmF6IEp1bmRpc2hhcHVyIFVuaXZlcnNpdHkgb2YgTWVkaWNhbCBTY2llbmNlcywgQWh2YXos
IElyYW4uJiN4RDtOdXRyaXRpb24gYW5kIEVuZG9jcmluZSBSZXNlYXJjaCBDZW50ZXIsIFJlc2Vh
cmNoIEluc3RpdHV0ZSBmb3IgRW5kb2NyaW5lIFNjaWVuY2VzLCBTaGFoaWQgQmVoZXNodGkgVW5p
dmVyc2l0eSBvZiBNZWRpY2FsIFNjaWVuY2VzLCBUZWhyYW4sIElyYW4uPC9hdXRoLWFkZHJlc3M+
PHRpdGxlcz48dGl0bGU+TWF0ZXJuYWwgZGlldGFyeSBwYXR0ZXJucyBhbmQgZ2VzdGF0aW9uYWwg
ZGlhYmV0ZXMgcmlzazogQSBjYXNlLWNvbnRyb2wgc3R1ZHk8L3RpdGxlPjxzZWNvbmRhcnktdGl0
bGU+SiBEaWFiZXRlcyBSZXM8L3NlY29uZGFyeS10aXRsZT48L3RpdGxlcz48cGVyaW9kaWNhbD48
ZnVsbC10aXRsZT5KIERpYWJldGVzIFJlczwvZnVsbC10aXRsZT48L3BlcmlvZGljYWw+PHBhZ2Vz
PjUxNzM5MjY8L3BhZ2VzPjx2b2x1bWU+MjAxNzwvdm9sdW1lPjxlZGl0aW9uPjIwMTgvMDEvMjU8
L2VkaXRpb24+PGtleXdvcmRzPjxrZXl3b3JkPkFkb2xlc2NlbnQ8L2tleXdvcmQ+PGtleXdvcmQ+
QWR1bHQ8L2tleXdvcmQ+PGtleXdvcmQ+Q2FzZS1Db250cm9sIFN0dWRpZXM8L2tleXdvcmQ+PGtl
eXdvcmQ+RGlhYmV0ZXMsIEdlc3RhdGlvbmFsL2VwaWRlbWlvbG9neS8qZXRpb2xvZ3k8L2tleXdv
cmQ+PGtleXdvcmQ+RGlldC9hZHZlcnNlIGVmZmVjdHM8L2tleXdvcmQ+PGtleXdvcmQ+RGlldCwg
V2VzdGVybi9hZHZlcnNlIGVmZmVjdHMvc3RhdGlzdGljcyAmYW1wOyBudW1lcmljYWwgZGF0YTwv
a2V5d29yZD48a2V5d29yZD5GZWVkaW5nIEJlaGF2aW9yLypwaHlzaW9sb2d5PC9rZXl3b3JkPjxr
ZXl3b3JkPkZlbWFsZTwva2V5d29yZD48a2V5d29yZD5IdW1hbnM8L2tleXdvcmQ+PGtleXdvcmQ+
SXJhbi9lcGlkZW1pb2xvZ3k8L2tleXdvcmQ+PGtleXdvcmQ+Kk1hdGVybmFsIE51dHJpdGlvbmFs
IFBoeXNpb2xvZ2ljYWwgUGhlbm9tZW5hPC9rZXl3b3JkPjxrZXl3b3JkPlByZWduYW5jeTwva2V5
d29yZD48a2V5d29yZD5SaXNrIEZhY3RvcnM8L2tleXdvcmQ+PGtleXdvcmQ+WW91bmcgQWR1bHQ8
L2tleXdvcmQ+PC9rZXl3b3Jkcz48ZGF0ZXM+PHllYXI+MjAxNzwveWVhcj48L2RhdGVzPjxpc2Ju
PjIzMTQtNjc1MyAoRWxlY3Ryb25pYyk8L2lzYm4+PGFjY2Vzc2lvbi1udW0+MjkzNjI3MjA8L2Fj
Y2Vzc2lvbi1udW0+PHVybHM+PHJlbGF0ZWQtdXJscz48dXJsPmh0dHBzOi8vd3d3Lm5jYmkubmxt
Lm5paC5nb3YvcHVibWVkLzI5MzYyNzIwPC91cmw+PC9yZWxhdGVkLXVybHM+PC91cmxzPjxjdXN0
b20yPlBNQzU3MzY5NDA8L2N1c3RvbTI+PGVsZWN0cm9uaWMtcmVzb3VyY2UtbnVtPjEwLjExNTUv
MjAxNy81MTczOTI2PC9lbGVjdHJvbmljLXJlc291cmNlLW51bT48L3JlY29yZD48L0NpdGU+PC9F
bmROb3RlPn==
</w:fldData>
        </w:fldChar>
      </w:r>
      <w:r w:rsidR="002747EA">
        <w:instrText xml:space="preserve"> ADDIN EN.CITE </w:instrText>
      </w:r>
      <w:r w:rsidR="002747EA">
        <w:fldChar w:fldCharType="begin">
          <w:fldData xml:space="preserve">PEVuZE5vdGU+PENpdGU+PEF1dGhvcj5TZWRhZ2hhdDwvQXV0aG9yPjxZZWFyPjIwMTc8L1llYXI+
PFJlY051bT4xNDc4PC9SZWNOdW0+PERpc3BsYXlUZXh0PjxzdHlsZSBmYWNlPSJzdXBlcnNjcmlw
dCIgZm9udD0iVHJlYnVjaGV0IE1TIiBzaXplPSI5Ij4yMDwvc3R5bGU+PC9EaXNwbGF5VGV4dD48
cmVjb3JkPjxyZWMtbnVtYmVyPjE0Nzg8L3JlYy1udW1iZXI+PGZvcmVpZ24ta2V5cz48a2V5IGFw
cD0iRU4iIGRiLWlkPSJleHZhc3JmeDJkdHJhb2VzYXN4cDJzenN4YTJkZjUwMjU5MngiIHRpbWVz
dGFtcD0iMTU3NDAzOTY3NCI+MTQ3ODwva2V5PjxrZXkgYXBwPSJFTldlYiIgZGItaWQ9IiI+MDwv
a2V5PjwvZm9yZWlnbi1rZXlzPjxyZWYtdHlwZSBuYW1lPSJKb3VybmFsIEFydGljbGUiPjE3PC9y
ZWYtdHlwZT48Y29udHJpYnV0b3JzPjxhdXRob3JzPjxhdXRob3I+U2VkYWdoYXQsIEYuPC9hdXRo
b3I+PGF1dGhvcj5Ba2hvb25kYW4sIE0uPC9hdXRob3I+PGF1dGhvcj5FaHRlc2hhbWksIE0uPC9h
dXRob3I+PGF1dGhvcj5BZ2hhbW9oYW1tYWRpLCBWLjwvYXV0aG9yPjxhdXRob3I+R2hhbmVpLCBO
LjwvYXV0aG9yPjxhdXRob3I+TWlybWlyYW4sIFAuPC9hdXRob3I+PGF1dGhvcj5SYXNoaWRraGFu
aSwgQi48L2F1dGhvcj48L2F1dGhvcnM+PC9jb250cmlidXRvcnM+PGF1dGgtYWRkcmVzcz5EZXBh
cnRtZW50IG9mIEJhc2ljIE1lZGljYWwgU2NpZW5jZXMsIEZhY3VsdHkgb2YgTnV0cml0aW9uIFNj
aWVuY2VzIGFuZCBGb29kIFRlY2hub2xvZ3ksIE5hdGlvbmFsIE51dHJpdGlvbiBhbmQgRm9vZCBU
ZWNobm9sb2d5IFJlc2VhcmNoIEluc3RpdHV0ZSwgU2hhaGlkIEJlaGVzaHRpIFVuaXZlcnNpdHkg
b2YgTWVkaWNhbCBTY2llbmNlcywgVGVocmFuLCBJcmFuLiYjeEQ7RGVwYXJ0bWVudCBvZiBDb21t
dW5pdHkgTnV0cml0aW9uLCBGYWN1bHR5IG9mIE51dHJpdGlvbiBTY2llbmNlcyBhbmQgRm9vZCBU
ZWNobm9sb2d5LCBOYXRpb25hbCBOdXRyaXRpb24gYW5kIEZvb2QgVGVjaG5vbG9neSBSZXNlYXJj
aCBJbnN0aXR1dGUsIFNoYWhpZCBCZWhlc2h0aSBVbml2ZXJzaXR5IG9mIE1lZGljYWwgU2NpZW5j
ZXMsIFRlaHJhbiwgSXJhbi4mI3hEO0RlcGFydG1lbnQgb2YgUGFyYW1lZGljYWwgU2NpZW5jZXMs
IEFodmF6IEp1bmRpc2hhcHVyIFVuaXZlcnNpdHkgb2YgTWVkaWNhbCBTY2llbmNlcywgQWh2YXos
IElyYW4uJiN4RDtOdXRyaXRpb24gYW5kIEVuZG9jcmluZSBSZXNlYXJjaCBDZW50ZXIsIFJlc2Vh
cmNoIEluc3RpdHV0ZSBmb3IgRW5kb2NyaW5lIFNjaWVuY2VzLCBTaGFoaWQgQmVoZXNodGkgVW5p
dmVyc2l0eSBvZiBNZWRpY2FsIFNjaWVuY2VzLCBUZWhyYW4sIElyYW4uPC9hdXRoLWFkZHJlc3M+
PHRpdGxlcz48dGl0bGU+TWF0ZXJuYWwgZGlldGFyeSBwYXR0ZXJucyBhbmQgZ2VzdGF0aW9uYWwg
ZGlhYmV0ZXMgcmlzazogQSBjYXNlLWNvbnRyb2wgc3R1ZHk8L3RpdGxlPjxzZWNvbmRhcnktdGl0
bGU+SiBEaWFiZXRlcyBSZXM8L3NlY29uZGFyeS10aXRsZT48L3RpdGxlcz48cGVyaW9kaWNhbD48
ZnVsbC10aXRsZT5KIERpYWJldGVzIFJlczwvZnVsbC10aXRsZT48L3BlcmlvZGljYWw+PHBhZ2Vz
PjUxNzM5MjY8L3BhZ2VzPjx2b2x1bWU+MjAxNzwvdm9sdW1lPjxlZGl0aW9uPjIwMTgvMDEvMjU8
L2VkaXRpb24+PGtleXdvcmRzPjxrZXl3b3JkPkFkb2xlc2NlbnQ8L2tleXdvcmQ+PGtleXdvcmQ+
QWR1bHQ8L2tleXdvcmQ+PGtleXdvcmQ+Q2FzZS1Db250cm9sIFN0dWRpZXM8L2tleXdvcmQ+PGtl
eXdvcmQ+RGlhYmV0ZXMsIEdlc3RhdGlvbmFsL2VwaWRlbWlvbG9neS8qZXRpb2xvZ3k8L2tleXdv
cmQ+PGtleXdvcmQ+RGlldC9hZHZlcnNlIGVmZmVjdHM8L2tleXdvcmQ+PGtleXdvcmQ+RGlldCwg
V2VzdGVybi9hZHZlcnNlIGVmZmVjdHMvc3RhdGlzdGljcyAmYW1wOyBudW1lcmljYWwgZGF0YTwv
a2V5d29yZD48a2V5d29yZD5GZWVkaW5nIEJlaGF2aW9yLypwaHlzaW9sb2d5PC9rZXl3b3JkPjxr
ZXl3b3JkPkZlbWFsZTwva2V5d29yZD48a2V5d29yZD5IdW1hbnM8L2tleXdvcmQ+PGtleXdvcmQ+
SXJhbi9lcGlkZW1pb2xvZ3k8L2tleXdvcmQ+PGtleXdvcmQ+Kk1hdGVybmFsIE51dHJpdGlvbmFs
IFBoeXNpb2xvZ2ljYWwgUGhlbm9tZW5hPC9rZXl3b3JkPjxrZXl3b3JkPlByZWduYW5jeTwva2V5
d29yZD48a2V5d29yZD5SaXNrIEZhY3RvcnM8L2tleXdvcmQ+PGtleXdvcmQ+WW91bmcgQWR1bHQ8
L2tleXdvcmQ+PC9rZXl3b3Jkcz48ZGF0ZXM+PHllYXI+MjAxNzwveWVhcj48L2RhdGVzPjxpc2Ju
PjIzMTQtNjc1MyAoRWxlY3Ryb25pYyk8L2lzYm4+PGFjY2Vzc2lvbi1udW0+MjkzNjI3MjA8L2Fj
Y2Vzc2lvbi1udW0+PHVybHM+PHJlbGF0ZWQtdXJscz48dXJsPmh0dHBzOi8vd3d3Lm5jYmkubmxt
Lm5paC5nb3YvcHVibWVkLzI5MzYyNzIwPC91cmw+PC9yZWxhdGVkLXVybHM+PC91cmxzPjxjdXN0
b20yPlBNQzU3MzY5NDA8L2N1c3RvbTI+PGVsZWN0cm9uaWMtcmVzb3VyY2UtbnVtPjEwLjExNTUv
MjAxNy81MTczOTI2PC9lbGVjdHJvbmljLXJlc291cmNlLW51bT48L3JlY29yZD48L0NpdGU+PC9F
bmROb3RlPn==
</w:fldData>
        </w:fldChar>
      </w:r>
      <w:r w:rsidR="002747EA">
        <w:instrText xml:space="preserve"> ADDIN EN.CITE.DATA </w:instrText>
      </w:r>
      <w:r w:rsidR="002747EA">
        <w:fldChar w:fldCharType="end"/>
      </w:r>
      <w:r w:rsidR="000A7CD9">
        <w:fldChar w:fldCharType="separate"/>
      </w:r>
      <w:r w:rsidR="002747EA" w:rsidRPr="002747EA">
        <w:rPr>
          <w:noProof/>
          <w:vertAlign w:val="superscript"/>
        </w:rPr>
        <w:t>20</w:t>
      </w:r>
      <w:r w:rsidR="000A7CD9">
        <w:fldChar w:fldCharType="end"/>
      </w:r>
      <w:r>
        <w:t>.</w:t>
      </w:r>
    </w:p>
    <w:p w14:paraId="2F59F6A7" w14:textId="2F9961B1" w:rsidR="000A7CD9" w:rsidRDefault="00F25652" w:rsidP="000A7CD9">
      <w:pPr>
        <w:pStyle w:val="bullet"/>
      </w:pPr>
      <w:r>
        <w:t xml:space="preserve">high in </w:t>
      </w:r>
      <w:r w:rsidRPr="003F03D5">
        <w:t xml:space="preserve">mayonnaise, </w:t>
      </w:r>
      <w:r w:rsidR="00056765">
        <w:t>soft drinks</w:t>
      </w:r>
      <w:r w:rsidRPr="003F03D5">
        <w:t>, pizza, sugar</w:t>
      </w:r>
      <w:r>
        <w:t xml:space="preserve"> (</w:t>
      </w:r>
      <w:r w:rsidR="005E768B" w:rsidRPr="005E768B">
        <w:rPr>
          <w:sz w:val="16"/>
          <w:szCs w:val="16"/>
        </w:rPr>
        <w:t>a</w:t>
      </w:r>
      <w:r w:rsidRPr="005E768B">
        <w:rPr>
          <w:sz w:val="16"/>
          <w:szCs w:val="16"/>
        </w:rPr>
        <w:t>OR 2.838, 95% CI 1.039 to 7.751</w:t>
      </w:r>
      <w:r w:rsidR="00A6795D" w:rsidRPr="005E768B">
        <w:rPr>
          <w:sz w:val="16"/>
          <w:szCs w:val="16"/>
        </w:rPr>
        <w:t>; p=0.042</w:t>
      </w:r>
      <w:r w:rsidR="000A7CD9">
        <w:rPr>
          <w:sz w:val="16"/>
          <w:szCs w:val="16"/>
        </w:rPr>
        <w:t>; n=204</w:t>
      </w:r>
      <w:r w:rsidR="000A7CD9">
        <w:t>)</w:t>
      </w:r>
      <w:r w:rsidR="000A7CD9">
        <w:fldChar w:fldCharType="begin">
          <w:fldData xml:space="preserve">PEVuZE5vdGU+PENpdGU+PEF1dGhvcj5aYXJlZWk8L0F1dGhvcj48WWVhcj4yMDE4PC9ZZWFyPjxS
ZWNOdW0+MTQ4NDwvUmVjTnVtPjxEaXNwbGF5VGV4dD48c3R5bGUgZmFjZT0ic3VwZXJzY3JpcHQi
IGZvbnQ9IlRyZWJ1Y2hldCBNUyIgc2l6ZT0iOSI+MjE8L3N0eWxlPjwvRGlzcGxheVRleHQ+PHJl
Y29yZD48cmVjLW51bWJlcj4xNDg0PC9yZWMtbnVtYmVyPjxmb3JlaWduLWtleXM+PGtleSBhcHA9
IkVOIiBkYi1pZD0iZXh2YXNyZngyZHRyYW9lc2FzeHAyc3pzeGEyZGY1MDI1OTJ4IiB0aW1lc3Rh
bXA9IjE1NzQwMzk3MTIiPjE0ODQ8L2tleT48a2V5IGFwcD0iRU5XZWIiIGRiLWlkPSIiPjA8L2tl
eT48L2ZvcmVpZ24ta2V5cz48cmVmLXR5cGUgbmFtZT0iSm91cm5hbCBBcnRpY2xlIj4xNzwvcmVm
LXR5cGU+PGNvbnRyaWJ1dG9ycz48YXV0aG9ycz48YXV0aG9yPlphcmVlaSwgUy48L2F1dGhvcj48
YXV0aG9yPkhvbWF5b3VuZmFyLCBSLjwvYXV0aG9yPjxhdXRob3I+TmFnaGl6YWRlaCwgTS4gTS48
L2F1dGhvcj48YXV0aG9yPkVocmFtcG91c2gsIEUuPC9hdXRob3I+PGF1dGhvcj5SYWhpbWksIE0u
PC9hdXRob3I+PC9hdXRob3JzPjwvY29udHJpYnV0b3JzPjxhdXRoLWFkZHJlc3M+U3R1ZGVudCBS
ZXNlYXJjaCBDb21taXR0ZWUsIEZhc2EgVW5pdmVyc2l0eSBvZiBNZWRpY2FsIFNjaWVuY2VzLCBG
YXNhLCBJcmFuLiYjeEQ7Tm9uY29tbXVuaWNhYmxlIERpc2Vhc2VzIFJlc2VhcmNoIENlbnRlciwg
RmFzYSBVbml2ZXJzaXR5IG9mIE1lZGljYWwgU2NpZW5jZXMsIEZhc2EsIElyYW47IEhlYWx0aCBQ
b2xpY3kgUmVzZWFyY2ggQ2VudGVyLCBJbnN0aXR1dGUgb2YgSGVhbHRoLCBTaGlyYXogVW5pdmVy
c2l0eSBvZiBNZWRpY2FsIFNjaWVuY2VzLCBTaGlyYXosIElyYW4uIEVsZWN0cm9uaWMgYWRkcmVz
czogaG9tYXlvdW5mYXJAc2JtdS5hYy5pci4mI3hEO05vbmNvbW11bmljYWJsZSBEaXNlYXNlcyBS
ZXNlYXJjaCBDZW50ZXIsIEZhc2EgVW5pdmVyc2l0eSBvZiBNZWRpY2FsIFNjaWVuY2VzLCBGYXNh
LCBJcmFuLiYjeEQ7Tm9uY29tbXVuaWNhYmxlIERpc2Vhc2VzIFJlc2VhcmNoIENlbnRlciwgRmFz
YSBVbml2ZXJzaXR5IG9mIE1lZGljYWwgU2NpZW5jZXMsIEZhc2EsIElyYW47IEhlYWx0aCBQb2xp
Y3kgUmVzZWFyY2ggQ2VudGVyLCBJbnN0aXR1dGUgb2YgSGVhbHRoLCBTaGlyYXogVW5pdmVyc2l0
eSBvZiBNZWRpY2FsIFNjaWVuY2VzLCBTaGlyYXosIElyYW4uPC9hdXRoLWFkZHJlc3M+PHRpdGxl
cz48dGl0bGU+RGlldGFyeSBwYXR0ZXJuIGluIHByZWduYW5jeSBhbmQgcmlzayBvZiBnZXN0YXRp
b25hbCBkaWFiZXRlcyBtZWxsaXR1cyAoR0RNKTwvdGl0bGU+PHNlY29uZGFyeS10aXRsZT5EaWFi
ZXRlcyBNZXRhYiBTeW5kcjwvc2Vjb25kYXJ5LXRpdGxlPjwvdGl0bGVzPjxwZXJpb2RpY2FsPjxm
dWxsLXRpdGxlPkRpYWJldGVzIE1ldGFiIFN5bmRyPC9mdWxsLXRpdGxlPjwvcGVyaW9kaWNhbD48
cGFnZXM+Mzk5LTQwNDwvcGFnZXM+PHZvbHVtZT4xMjwvdm9sdW1lPjxudW1iZXI+MzwvbnVtYmVy
PjxlZGl0aW9uPjIwMTgvMDMvMjc8L2VkaXRpb24+PGtleXdvcmRzPjxrZXl3b3JkPkFkdWx0PC9r
ZXl3b3JkPjxrZXl3b3JkPkJvZHkgTWFzcyBJbmRleDwva2V5d29yZD48a2V5d29yZD5DYXNlLUNv
bnRyb2wgU3R1ZGllczwva2V5d29yZD48a2V5d29yZD5EaWFiZXRlcywgR2VzdGF0aW9uYWwvKmV0
aW9sb2d5PC9rZXl3b3JkPjxrZXl3b3JkPkRpZXQvKmFkdmVyc2UgZWZmZWN0czwva2V5d29yZD48
a2V5d29yZD5GZW1hbGU8L2tleXdvcmQ+PGtleXdvcmQ+Rm9sbG93LVVwIFN0dWRpZXM8L2tleXdv
cmQ+PGtleXdvcmQ+SHVtYW5zPC9rZXl3b3JkPjxrZXl3b3JkPipNYXRlcm5hbCBOdXRyaXRpb25h
bCBQaHlzaW9sb2dpY2FsIFBoZW5vbWVuYTwva2V5d29yZD48a2V5d29yZD5QcmVnbmFuY3k8L2tl
eXdvcmQ+PGtleXdvcmQ+UHJvZ25vc2lzPC9rZXl3b3JkPjxrZXl3b3JkPlJpc2sgRmFjdG9yczwv
a2V5d29yZD48a2V5d29yZD5EaWV0YXJ5IHBhdHRlcm5zPC9rZXl3b3JkPjxrZXl3b3JkPkZvb2Qg
ZnJlcXVlbmN5IHF1ZXN0aW9ubmFpcmU8L2tleXdvcmQ+PGtleXdvcmQ+R2VzdGF0aW9uYWwgZGlh
YmV0ZXMgbWVsbGl0dXMgKEdETSk8L2tleXdvcmQ+PGtleXdvcmQ+UHJlZ25hbnQgd29tZW48L2tl
eXdvcmQ+PC9rZXl3b3Jkcz48ZGF0ZXM+PHllYXI+MjAxODwveWVhcj48cHViLWRhdGVzPjxkYXRl
Pk1heTwvZGF0ZT48L3B1Yi1kYXRlcz48L2RhdGVzPjxpc2JuPjE4NzgtMDMzNCAoRWxlY3Ryb25p
YykmI3hEOzE4NzEtNDAyMSAoTGlua2luZyk8L2lzYm4+PGFjY2Vzc2lvbi1udW0+Mjk1NzY1MjI8
L2FjY2Vzc2lvbi1udW0+PHVybHM+PHJlbGF0ZWQtdXJscz48dXJsPmh0dHBzOi8vd3d3Lm5jYmku
bmxtLm5paC5nb3YvcHVibWVkLzI5NTc2NTIyPC91cmw+PC9yZWxhdGVkLXVybHM+PC91cmxzPjxl
bGVjdHJvbmljLXJlc291cmNlLW51bT4xMC4xMDE2L2ouZHN4LjIwMTguMDMuMDA0PC9lbGVjdHJv
bmljLXJlc291cmNlLW51bT48L3JlY29yZD48L0NpdGU+PC9FbmROb3RlPgB=
</w:fldData>
        </w:fldChar>
      </w:r>
      <w:r w:rsidR="002747EA">
        <w:instrText xml:space="preserve"> ADDIN EN.CITE </w:instrText>
      </w:r>
      <w:r w:rsidR="002747EA">
        <w:fldChar w:fldCharType="begin">
          <w:fldData xml:space="preserve">PEVuZE5vdGU+PENpdGU+PEF1dGhvcj5aYXJlZWk8L0F1dGhvcj48WWVhcj4yMDE4PC9ZZWFyPjxS
ZWNOdW0+MTQ4NDwvUmVjTnVtPjxEaXNwbGF5VGV4dD48c3R5bGUgZmFjZT0ic3VwZXJzY3JpcHQi
IGZvbnQ9IlRyZWJ1Y2hldCBNUyIgc2l6ZT0iOSI+MjE8L3N0eWxlPjwvRGlzcGxheVRleHQ+PHJl
Y29yZD48cmVjLW51bWJlcj4xNDg0PC9yZWMtbnVtYmVyPjxmb3JlaWduLWtleXM+PGtleSBhcHA9
IkVOIiBkYi1pZD0iZXh2YXNyZngyZHRyYW9lc2FzeHAyc3pzeGEyZGY1MDI1OTJ4IiB0aW1lc3Rh
bXA9IjE1NzQwMzk3MTIiPjE0ODQ8L2tleT48a2V5IGFwcD0iRU5XZWIiIGRiLWlkPSIiPjA8L2tl
eT48L2ZvcmVpZ24ta2V5cz48cmVmLXR5cGUgbmFtZT0iSm91cm5hbCBBcnRpY2xlIj4xNzwvcmVm
LXR5cGU+PGNvbnRyaWJ1dG9ycz48YXV0aG9ycz48YXV0aG9yPlphcmVlaSwgUy48L2F1dGhvcj48
YXV0aG9yPkhvbWF5b3VuZmFyLCBSLjwvYXV0aG9yPjxhdXRob3I+TmFnaGl6YWRlaCwgTS4gTS48
L2F1dGhvcj48YXV0aG9yPkVocmFtcG91c2gsIEUuPC9hdXRob3I+PGF1dGhvcj5SYWhpbWksIE0u
PC9hdXRob3I+PC9hdXRob3JzPjwvY29udHJpYnV0b3JzPjxhdXRoLWFkZHJlc3M+U3R1ZGVudCBS
ZXNlYXJjaCBDb21taXR0ZWUsIEZhc2EgVW5pdmVyc2l0eSBvZiBNZWRpY2FsIFNjaWVuY2VzLCBG
YXNhLCBJcmFuLiYjeEQ7Tm9uY29tbXVuaWNhYmxlIERpc2Vhc2VzIFJlc2VhcmNoIENlbnRlciwg
RmFzYSBVbml2ZXJzaXR5IG9mIE1lZGljYWwgU2NpZW5jZXMsIEZhc2EsIElyYW47IEhlYWx0aCBQ
b2xpY3kgUmVzZWFyY2ggQ2VudGVyLCBJbnN0aXR1dGUgb2YgSGVhbHRoLCBTaGlyYXogVW5pdmVy
c2l0eSBvZiBNZWRpY2FsIFNjaWVuY2VzLCBTaGlyYXosIElyYW4uIEVsZWN0cm9uaWMgYWRkcmVz
czogaG9tYXlvdW5mYXJAc2JtdS5hYy5pci4mI3hEO05vbmNvbW11bmljYWJsZSBEaXNlYXNlcyBS
ZXNlYXJjaCBDZW50ZXIsIEZhc2EgVW5pdmVyc2l0eSBvZiBNZWRpY2FsIFNjaWVuY2VzLCBGYXNh
LCBJcmFuLiYjeEQ7Tm9uY29tbXVuaWNhYmxlIERpc2Vhc2VzIFJlc2VhcmNoIENlbnRlciwgRmFz
YSBVbml2ZXJzaXR5IG9mIE1lZGljYWwgU2NpZW5jZXMsIEZhc2EsIElyYW47IEhlYWx0aCBQb2xp
Y3kgUmVzZWFyY2ggQ2VudGVyLCBJbnN0aXR1dGUgb2YgSGVhbHRoLCBTaGlyYXogVW5pdmVyc2l0
eSBvZiBNZWRpY2FsIFNjaWVuY2VzLCBTaGlyYXosIElyYW4uPC9hdXRoLWFkZHJlc3M+PHRpdGxl
cz48dGl0bGU+RGlldGFyeSBwYXR0ZXJuIGluIHByZWduYW5jeSBhbmQgcmlzayBvZiBnZXN0YXRp
b25hbCBkaWFiZXRlcyBtZWxsaXR1cyAoR0RNKTwvdGl0bGU+PHNlY29uZGFyeS10aXRsZT5EaWFi
ZXRlcyBNZXRhYiBTeW5kcjwvc2Vjb25kYXJ5LXRpdGxlPjwvdGl0bGVzPjxwZXJpb2RpY2FsPjxm
dWxsLXRpdGxlPkRpYWJldGVzIE1ldGFiIFN5bmRyPC9mdWxsLXRpdGxlPjwvcGVyaW9kaWNhbD48
cGFnZXM+Mzk5LTQwNDwvcGFnZXM+PHZvbHVtZT4xMjwvdm9sdW1lPjxudW1iZXI+MzwvbnVtYmVy
PjxlZGl0aW9uPjIwMTgvMDMvMjc8L2VkaXRpb24+PGtleXdvcmRzPjxrZXl3b3JkPkFkdWx0PC9r
ZXl3b3JkPjxrZXl3b3JkPkJvZHkgTWFzcyBJbmRleDwva2V5d29yZD48a2V5d29yZD5DYXNlLUNv
bnRyb2wgU3R1ZGllczwva2V5d29yZD48a2V5d29yZD5EaWFiZXRlcywgR2VzdGF0aW9uYWwvKmV0
aW9sb2d5PC9rZXl3b3JkPjxrZXl3b3JkPkRpZXQvKmFkdmVyc2UgZWZmZWN0czwva2V5d29yZD48
a2V5d29yZD5GZW1hbGU8L2tleXdvcmQ+PGtleXdvcmQ+Rm9sbG93LVVwIFN0dWRpZXM8L2tleXdv
cmQ+PGtleXdvcmQ+SHVtYW5zPC9rZXl3b3JkPjxrZXl3b3JkPipNYXRlcm5hbCBOdXRyaXRpb25h
bCBQaHlzaW9sb2dpY2FsIFBoZW5vbWVuYTwva2V5d29yZD48a2V5d29yZD5QcmVnbmFuY3k8L2tl
eXdvcmQ+PGtleXdvcmQ+UHJvZ25vc2lzPC9rZXl3b3JkPjxrZXl3b3JkPlJpc2sgRmFjdG9yczwv
a2V5d29yZD48a2V5d29yZD5EaWV0YXJ5IHBhdHRlcm5zPC9rZXl3b3JkPjxrZXl3b3JkPkZvb2Qg
ZnJlcXVlbmN5IHF1ZXN0aW9ubmFpcmU8L2tleXdvcmQ+PGtleXdvcmQ+R2VzdGF0aW9uYWwgZGlh
YmV0ZXMgbWVsbGl0dXMgKEdETSk8L2tleXdvcmQ+PGtleXdvcmQ+UHJlZ25hbnQgd29tZW48L2tl
eXdvcmQ+PC9rZXl3b3Jkcz48ZGF0ZXM+PHllYXI+MjAxODwveWVhcj48cHViLWRhdGVzPjxkYXRl
Pk1heTwvZGF0ZT48L3B1Yi1kYXRlcz48L2RhdGVzPjxpc2JuPjE4NzgtMDMzNCAoRWxlY3Ryb25p
YykmI3hEOzE4NzEtNDAyMSAoTGlua2luZyk8L2lzYm4+PGFjY2Vzc2lvbi1udW0+Mjk1NzY1MjI8
L2FjY2Vzc2lvbi1udW0+PHVybHM+PHJlbGF0ZWQtdXJscz48dXJsPmh0dHBzOi8vd3d3Lm5jYmku
bmxtLm5paC5nb3YvcHVibWVkLzI5NTc2NTIyPC91cmw+PC9yZWxhdGVkLXVybHM+PC91cmxzPjxl
bGVjdHJvbmljLXJlc291cmNlLW51bT4xMC4xMDE2L2ouZHN4LjIwMTguMDMuMDA0PC9lbGVjdHJv
bmljLXJlc291cmNlLW51bT48L3JlY29yZD48L0NpdGU+PC9FbmROb3RlPgB=
</w:fldData>
        </w:fldChar>
      </w:r>
      <w:r w:rsidR="002747EA">
        <w:instrText xml:space="preserve"> ADDIN EN.CITE.DATA </w:instrText>
      </w:r>
      <w:r w:rsidR="002747EA">
        <w:fldChar w:fldCharType="end"/>
      </w:r>
      <w:r w:rsidR="000A7CD9">
        <w:fldChar w:fldCharType="separate"/>
      </w:r>
      <w:r w:rsidR="002747EA" w:rsidRPr="002747EA">
        <w:rPr>
          <w:noProof/>
          <w:vertAlign w:val="superscript"/>
        </w:rPr>
        <w:t>21</w:t>
      </w:r>
      <w:r w:rsidR="000A7CD9">
        <w:fldChar w:fldCharType="end"/>
      </w:r>
      <w:r>
        <w:t xml:space="preserve"> </w:t>
      </w:r>
    </w:p>
    <w:p w14:paraId="50EA0DE7" w14:textId="05AD0AC1" w:rsidR="00F25652" w:rsidRDefault="000A7CD9" w:rsidP="00FB1FA0">
      <w:r>
        <w:t xml:space="preserve">A dietary pattern </w:t>
      </w:r>
      <w:r w:rsidR="00F25652" w:rsidRPr="003F03D5">
        <w:t>high i</w:t>
      </w:r>
      <w:r>
        <w:t>n</w:t>
      </w:r>
      <w:r w:rsidR="00F25652" w:rsidRPr="003F03D5">
        <w:t xml:space="preserve"> leafy green vegetables, fruits, poultry,</w:t>
      </w:r>
      <w:r w:rsidR="005A04B5">
        <w:t xml:space="preserve"> fish </w:t>
      </w:r>
      <w:r w:rsidR="00F25652">
        <w:t xml:space="preserve">was associated with a lower risk </w:t>
      </w:r>
      <w:r w:rsidR="00F356B4">
        <w:t xml:space="preserve">of gestational diabetes </w:t>
      </w:r>
      <w:r w:rsidR="00F25652">
        <w:t>(</w:t>
      </w:r>
      <w:r w:rsidR="005E768B" w:rsidRPr="005E768B">
        <w:rPr>
          <w:sz w:val="16"/>
          <w:szCs w:val="16"/>
        </w:rPr>
        <w:t>a</w:t>
      </w:r>
      <w:r w:rsidR="00F25652" w:rsidRPr="005E768B">
        <w:rPr>
          <w:sz w:val="16"/>
          <w:szCs w:val="16"/>
        </w:rPr>
        <w:t>OR</w:t>
      </w:r>
      <w:r w:rsidR="005A04B5">
        <w:rPr>
          <w:sz w:val="16"/>
          <w:szCs w:val="16"/>
        </w:rPr>
        <w:t> </w:t>
      </w:r>
      <w:r w:rsidR="00F25652" w:rsidRPr="005E768B">
        <w:rPr>
          <w:sz w:val="16"/>
          <w:szCs w:val="16"/>
        </w:rPr>
        <w:t>0.284, 95%CI 0.096 to 0.838</w:t>
      </w:r>
      <w:r w:rsidR="00A6795D" w:rsidRPr="005E768B">
        <w:rPr>
          <w:sz w:val="16"/>
          <w:szCs w:val="16"/>
        </w:rPr>
        <w:t>; p=</w:t>
      </w:r>
      <w:r w:rsidR="005E768B" w:rsidRPr="005E768B">
        <w:rPr>
          <w:sz w:val="16"/>
          <w:szCs w:val="16"/>
        </w:rPr>
        <w:t>0.023</w:t>
      </w:r>
      <w:r>
        <w:rPr>
          <w:sz w:val="16"/>
          <w:szCs w:val="16"/>
        </w:rPr>
        <w:t>; n=204</w:t>
      </w:r>
      <w:r w:rsidR="00F25652" w:rsidRPr="003F03D5">
        <w:t>)</w:t>
      </w:r>
      <w:r w:rsidR="00F25652">
        <w:t>.</w:t>
      </w:r>
      <w:r>
        <w:fldChar w:fldCharType="begin">
          <w:fldData xml:space="preserve">PEVuZE5vdGU+PENpdGU+PEF1dGhvcj5aYXJlZWk8L0F1dGhvcj48WWVhcj4yMDE4PC9ZZWFyPjxS
ZWNOdW0+MTQ4NDwvUmVjTnVtPjxEaXNwbGF5VGV4dD48c3R5bGUgZmFjZT0ic3VwZXJzY3JpcHQi
IGZvbnQ9IlRyZWJ1Y2hldCBNUyIgc2l6ZT0iOSI+MjE8L3N0eWxlPjwvRGlzcGxheVRleHQ+PHJl
Y29yZD48cmVjLW51bWJlcj4xNDg0PC9yZWMtbnVtYmVyPjxmb3JlaWduLWtleXM+PGtleSBhcHA9
IkVOIiBkYi1pZD0iZXh2YXNyZngyZHRyYW9lc2FzeHAyc3pzeGEyZGY1MDI1OTJ4IiB0aW1lc3Rh
bXA9IjE1NzQwMzk3MTIiPjE0ODQ8L2tleT48a2V5IGFwcD0iRU5XZWIiIGRiLWlkPSIiPjA8L2tl
eT48L2ZvcmVpZ24ta2V5cz48cmVmLXR5cGUgbmFtZT0iSm91cm5hbCBBcnRpY2xlIj4xNzwvcmVm
LXR5cGU+PGNvbnRyaWJ1dG9ycz48YXV0aG9ycz48YXV0aG9yPlphcmVlaSwgUy48L2F1dGhvcj48
YXV0aG9yPkhvbWF5b3VuZmFyLCBSLjwvYXV0aG9yPjxhdXRob3I+TmFnaGl6YWRlaCwgTS4gTS48
L2F1dGhvcj48YXV0aG9yPkVocmFtcG91c2gsIEUuPC9hdXRob3I+PGF1dGhvcj5SYWhpbWksIE0u
PC9hdXRob3I+PC9hdXRob3JzPjwvY29udHJpYnV0b3JzPjxhdXRoLWFkZHJlc3M+U3R1ZGVudCBS
ZXNlYXJjaCBDb21taXR0ZWUsIEZhc2EgVW5pdmVyc2l0eSBvZiBNZWRpY2FsIFNjaWVuY2VzLCBG
YXNhLCBJcmFuLiYjeEQ7Tm9uY29tbXVuaWNhYmxlIERpc2Vhc2VzIFJlc2VhcmNoIENlbnRlciwg
RmFzYSBVbml2ZXJzaXR5IG9mIE1lZGljYWwgU2NpZW5jZXMsIEZhc2EsIElyYW47IEhlYWx0aCBQ
b2xpY3kgUmVzZWFyY2ggQ2VudGVyLCBJbnN0aXR1dGUgb2YgSGVhbHRoLCBTaGlyYXogVW5pdmVy
c2l0eSBvZiBNZWRpY2FsIFNjaWVuY2VzLCBTaGlyYXosIElyYW4uIEVsZWN0cm9uaWMgYWRkcmVz
czogaG9tYXlvdW5mYXJAc2JtdS5hYy5pci4mI3hEO05vbmNvbW11bmljYWJsZSBEaXNlYXNlcyBS
ZXNlYXJjaCBDZW50ZXIsIEZhc2EgVW5pdmVyc2l0eSBvZiBNZWRpY2FsIFNjaWVuY2VzLCBGYXNh
LCBJcmFuLiYjeEQ7Tm9uY29tbXVuaWNhYmxlIERpc2Vhc2VzIFJlc2VhcmNoIENlbnRlciwgRmFz
YSBVbml2ZXJzaXR5IG9mIE1lZGljYWwgU2NpZW5jZXMsIEZhc2EsIElyYW47IEhlYWx0aCBQb2xp
Y3kgUmVzZWFyY2ggQ2VudGVyLCBJbnN0aXR1dGUgb2YgSGVhbHRoLCBTaGlyYXogVW5pdmVyc2l0
eSBvZiBNZWRpY2FsIFNjaWVuY2VzLCBTaGlyYXosIElyYW4uPC9hdXRoLWFkZHJlc3M+PHRpdGxl
cz48dGl0bGU+RGlldGFyeSBwYXR0ZXJuIGluIHByZWduYW5jeSBhbmQgcmlzayBvZiBnZXN0YXRp
b25hbCBkaWFiZXRlcyBtZWxsaXR1cyAoR0RNKTwvdGl0bGU+PHNlY29uZGFyeS10aXRsZT5EaWFi
ZXRlcyBNZXRhYiBTeW5kcjwvc2Vjb25kYXJ5LXRpdGxlPjwvdGl0bGVzPjxwZXJpb2RpY2FsPjxm
dWxsLXRpdGxlPkRpYWJldGVzIE1ldGFiIFN5bmRyPC9mdWxsLXRpdGxlPjwvcGVyaW9kaWNhbD48
cGFnZXM+Mzk5LTQwNDwvcGFnZXM+PHZvbHVtZT4xMjwvdm9sdW1lPjxudW1iZXI+MzwvbnVtYmVy
PjxlZGl0aW9uPjIwMTgvMDMvMjc8L2VkaXRpb24+PGtleXdvcmRzPjxrZXl3b3JkPkFkdWx0PC9r
ZXl3b3JkPjxrZXl3b3JkPkJvZHkgTWFzcyBJbmRleDwva2V5d29yZD48a2V5d29yZD5DYXNlLUNv
bnRyb2wgU3R1ZGllczwva2V5d29yZD48a2V5d29yZD5EaWFiZXRlcywgR2VzdGF0aW9uYWwvKmV0
aW9sb2d5PC9rZXl3b3JkPjxrZXl3b3JkPkRpZXQvKmFkdmVyc2UgZWZmZWN0czwva2V5d29yZD48
a2V5d29yZD5GZW1hbGU8L2tleXdvcmQ+PGtleXdvcmQ+Rm9sbG93LVVwIFN0dWRpZXM8L2tleXdv
cmQ+PGtleXdvcmQ+SHVtYW5zPC9rZXl3b3JkPjxrZXl3b3JkPipNYXRlcm5hbCBOdXRyaXRpb25h
bCBQaHlzaW9sb2dpY2FsIFBoZW5vbWVuYTwva2V5d29yZD48a2V5d29yZD5QcmVnbmFuY3k8L2tl
eXdvcmQ+PGtleXdvcmQ+UHJvZ25vc2lzPC9rZXl3b3JkPjxrZXl3b3JkPlJpc2sgRmFjdG9yczwv
a2V5d29yZD48a2V5d29yZD5EaWV0YXJ5IHBhdHRlcm5zPC9rZXl3b3JkPjxrZXl3b3JkPkZvb2Qg
ZnJlcXVlbmN5IHF1ZXN0aW9ubmFpcmU8L2tleXdvcmQ+PGtleXdvcmQ+R2VzdGF0aW9uYWwgZGlh
YmV0ZXMgbWVsbGl0dXMgKEdETSk8L2tleXdvcmQ+PGtleXdvcmQ+UHJlZ25hbnQgd29tZW48L2tl
eXdvcmQ+PC9rZXl3b3Jkcz48ZGF0ZXM+PHllYXI+MjAxODwveWVhcj48cHViLWRhdGVzPjxkYXRl
Pk1heTwvZGF0ZT48L3B1Yi1kYXRlcz48L2RhdGVzPjxpc2JuPjE4NzgtMDMzNCAoRWxlY3Ryb25p
YykmI3hEOzE4NzEtNDAyMSAoTGlua2luZyk8L2lzYm4+PGFjY2Vzc2lvbi1udW0+Mjk1NzY1MjI8
L2FjY2Vzc2lvbi1udW0+PHVybHM+PHJlbGF0ZWQtdXJscz48dXJsPmh0dHBzOi8vd3d3Lm5jYmku
bmxtLm5paC5nb3YvcHVibWVkLzI5NTc2NTIyPC91cmw+PC9yZWxhdGVkLXVybHM+PC91cmxzPjxl
bGVjdHJvbmljLXJlc291cmNlLW51bT4xMC4xMDE2L2ouZHN4LjIwMTguMDMuMDA0PC9lbGVjdHJv
bmljLXJlc291cmNlLW51bT48L3JlY29yZD48L0NpdGU+PC9FbmROb3RlPgB=
</w:fldData>
        </w:fldChar>
      </w:r>
      <w:r w:rsidR="002747EA">
        <w:instrText xml:space="preserve"> ADDIN EN.CITE </w:instrText>
      </w:r>
      <w:r w:rsidR="002747EA">
        <w:fldChar w:fldCharType="begin">
          <w:fldData xml:space="preserve">PEVuZE5vdGU+PENpdGU+PEF1dGhvcj5aYXJlZWk8L0F1dGhvcj48WWVhcj4yMDE4PC9ZZWFyPjxS
ZWNOdW0+MTQ4NDwvUmVjTnVtPjxEaXNwbGF5VGV4dD48c3R5bGUgZmFjZT0ic3VwZXJzY3JpcHQi
IGZvbnQ9IlRyZWJ1Y2hldCBNUyIgc2l6ZT0iOSI+MjE8L3N0eWxlPjwvRGlzcGxheVRleHQ+PHJl
Y29yZD48cmVjLW51bWJlcj4xNDg0PC9yZWMtbnVtYmVyPjxmb3JlaWduLWtleXM+PGtleSBhcHA9
IkVOIiBkYi1pZD0iZXh2YXNyZngyZHRyYW9lc2FzeHAyc3pzeGEyZGY1MDI1OTJ4IiB0aW1lc3Rh
bXA9IjE1NzQwMzk3MTIiPjE0ODQ8L2tleT48a2V5IGFwcD0iRU5XZWIiIGRiLWlkPSIiPjA8L2tl
eT48L2ZvcmVpZ24ta2V5cz48cmVmLXR5cGUgbmFtZT0iSm91cm5hbCBBcnRpY2xlIj4xNzwvcmVm
LXR5cGU+PGNvbnRyaWJ1dG9ycz48YXV0aG9ycz48YXV0aG9yPlphcmVlaSwgUy48L2F1dGhvcj48
YXV0aG9yPkhvbWF5b3VuZmFyLCBSLjwvYXV0aG9yPjxhdXRob3I+TmFnaGl6YWRlaCwgTS4gTS48
L2F1dGhvcj48YXV0aG9yPkVocmFtcG91c2gsIEUuPC9hdXRob3I+PGF1dGhvcj5SYWhpbWksIE0u
PC9hdXRob3I+PC9hdXRob3JzPjwvY29udHJpYnV0b3JzPjxhdXRoLWFkZHJlc3M+U3R1ZGVudCBS
ZXNlYXJjaCBDb21taXR0ZWUsIEZhc2EgVW5pdmVyc2l0eSBvZiBNZWRpY2FsIFNjaWVuY2VzLCBG
YXNhLCBJcmFuLiYjeEQ7Tm9uY29tbXVuaWNhYmxlIERpc2Vhc2VzIFJlc2VhcmNoIENlbnRlciwg
RmFzYSBVbml2ZXJzaXR5IG9mIE1lZGljYWwgU2NpZW5jZXMsIEZhc2EsIElyYW47IEhlYWx0aCBQ
b2xpY3kgUmVzZWFyY2ggQ2VudGVyLCBJbnN0aXR1dGUgb2YgSGVhbHRoLCBTaGlyYXogVW5pdmVy
c2l0eSBvZiBNZWRpY2FsIFNjaWVuY2VzLCBTaGlyYXosIElyYW4uIEVsZWN0cm9uaWMgYWRkcmVz
czogaG9tYXlvdW5mYXJAc2JtdS5hYy5pci4mI3hEO05vbmNvbW11bmljYWJsZSBEaXNlYXNlcyBS
ZXNlYXJjaCBDZW50ZXIsIEZhc2EgVW5pdmVyc2l0eSBvZiBNZWRpY2FsIFNjaWVuY2VzLCBGYXNh
LCBJcmFuLiYjeEQ7Tm9uY29tbXVuaWNhYmxlIERpc2Vhc2VzIFJlc2VhcmNoIENlbnRlciwgRmFz
YSBVbml2ZXJzaXR5IG9mIE1lZGljYWwgU2NpZW5jZXMsIEZhc2EsIElyYW47IEhlYWx0aCBQb2xp
Y3kgUmVzZWFyY2ggQ2VudGVyLCBJbnN0aXR1dGUgb2YgSGVhbHRoLCBTaGlyYXogVW5pdmVyc2l0
eSBvZiBNZWRpY2FsIFNjaWVuY2VzLCBTaGlyYXosIElyYW4uPC9hdXRoLWFkZHJlc3M+PHRpdGxl
cz48dGl0bGU+RGlldGFyeSBwYXR0ZXJuIGluIHByZWduYW5jeSBhbmQgcmlzayBvZiBnZXN0YXRp
b25hbCBkaWFiZXRlcyBtZWxsaXR1cyAoR0RNKTwvdGl0bGU+PHNlY29uZGFyeS10aXRsZT5EaWFi
ZXRlcyBNZXRhYiBTeW5kcjwvc2Vjb25kYXJ5LXRpdGxlPjwvdGl0bGVzPjxwZXJpb2RpY2FsPjxm
dWxsLXRpdGxlPkRpYWJldGVzIE1ldGFiIFN5bmRyPC9mdWxsLXRpdGxlPjwvcGVyaW9kaWNhbD48
cGFnZXM+Mzk5LTQwNDwvcGFnZXM+PHZvbHVtZT4xMjwvdm9sdW1lPjxudW1iZXI+MzwvbnVtYmVy
PjxlZGl0aW9uPjIwMTgvMDMvMjc8L2VkaXRpb24+PGtleXdvcmRzPjxrZXl3b3JkPkFkdWx0PC9r
ZXl3b3JkPjxrZXl3b3JkPkJvZHkgTWFzcyBJbmRleDwva2V5d29yZD48a2V5d29yZD5DYXNlLUNv
bnRyb2wgU3R1ZGllczwva2V5d29yZD48a2V5d29yZD5EaWFiZXRlcywgR2VzdGF0aW9uYWwvKmV0
aW9sb2d5PC9rZXl3b3JkPjxrZXl3b3JkPkRpZXQvKmFkdmVyc2UgZWZmZWN0czwva2V5d29yZD48
a2V5d29yZD5GZW1hbGU8L2tleXdvcmQ+PGtleXdvcmQ+Rm9sbG93LVVwIFN0dWRpZXM8L2tleXdv
cmQ+PGtleXdvcmQ+SHVtYW5zPC9rZXl3b3JkPjxrZXl3b3JkPipNYXRlcm5hbCBOdXRyaXRpb25h
bCBQaHlzaW9sb2dpY2FsIFBoZW5vbWVuYTwva2V5d29yZD48a2V5d29yZD5QcmVnbmFuY3k8L2tl
eXdvcmQ+PGtleXdvcmQ+UHJvZ25vc2lzPC9rZXl3b3JkPjxrZXl3b3JkPlJpc2sgRmFjdG9yczwv
a2V5d29yZD48a2V5d29yZD5EaWV0YXJ5IHBhdHRlcm5zPC9rZXl3b3JkPjxrZXl3b3JkPkZvb2Qg
ZnJlcXVlbmN5IHF1ZXN0aW9ubmFpcmU8L2tleXdvcmQ+PGtleXdvcmQ+R2VzdGF0aW9uYWwgZGlh
YmV0ZXMgbWVsbGl0dXMgKEdETSk8L2tleXdvcmQ+PGtleXdvcmQ+UHJlZ25hbnQgd29tZW48L2tl
eXdvcmQ+PC9rZXl3b3Jkcz48ZGF0ZXM+PHllYXI+MjAxODwveWVhcj48cHViLWRhdGVzPjxkYXRl
Pk1heTwvZGF0ZT48L3B1Yi1kYXRlcz48L2RhdGVzPjxpc2JuPjE4NzgtMDMzNCAoRWxlY3Ryb25p
YykmI3hEOzE4NzEtNDAyMSAoTGlua2luZyk8L2lzYm4+PGFjY2Vzc2lvbi1udW0+Mjk1NzY1MjI8
L2FjY2Vzc2lvbi1udW0+PHVybHM+PHJlbGF0ZWQtdXJscz48dXJsPmh0dHBzOi8vd3d3Lm5jYmku
bmxtLm5paC5nb3YvcHVibWVkLzI5NTc2NTIyPC91cmw+PC9yZWxhdGVkLXVybHM+PC91cmxzPjxl
bGVjdHJvbmljLXJlc291cmNlLW51bT4xMC4xMDE2L2ouZHN4LjIwMTguMDMuMDA0PC9lbGVjdHJv
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21</w:t>
      </w:r>
      <w:r>
        <w:fldChar w:fldCharType="end"/>
      </w:r>
    </w:p>
    <w:p w14:paraId="41ADCBBA" w14:textId="48FCF844" w:rsidR="00FB1FA0" w:rsidRDefault="00FB1FA0" w:rsidP="00FB1FA0">
      <w:pPr>
        <w:pStyle w:val="Heading4"/>
      </w:pPr>
      <w:r>
        <w:t>Gestational hypertension</w:t>
      </w:r>
    </w:p>
    <w:p w14:paraId="7651E38F" w14:textId="5B637684" w:rsidR="00EB6A1E" w:rsidRDefault="00EB6A1E" w:rsidP="00AB1A76">
      <w:r>
        <w:t>A systematic review (without meta-analysis)</w:t>
      </w:r>
      <w:r w:rsidR="00201490">
        <w:fldChar w:fldCharType="begin"/>
      </w:r>
      <w:r w:rsidR="002747EA">
        <w:instrText xml:space="preserve"> ADDIN EN.CITE &lt;EndNote&gt;&lt;Cite&gt;&lt;Author&gt;Schoenaker&lt;/Author&gt;&lt;Year&gt;2014&lt;/Year&gt;&lt;RecNum&gt;1518&lt;/RecNum&gt;&lt;DisplayText&gt;&lt;style face="superscript" font="Trebuchet MS" size="9"&gt;22&lt;/style&gt;&lt;/DisplayText&gt;&lt;record&gt;&lt;rec-number&gt;1518&lt;/rec-number&gt;&lt;foreign-keys&gt;&lt;key app="EN" db-id="exvasrfx2dtraoesasxp2szsxa2df502592x" timestamp="1576470741"&gt;1518&lt;/key&gt;&lt;/foreign-keys&gt;&lt;ref-type name="Journal Article"&gt;17&lt;/ref-type&gt;&lt;contributors&gt;&lt;authors&gt;&lt;author&gt;Schoenaker, D. A.&lt;/author&gt;&lt;author&gt;Soedamah-Muthu, S. S.&lt;/author&gt;&lt;author&gt;Mishra, G. D.&lt;/author&gt;&lt;/authors&gt;&lt;/contributors&gt;&lt;titles&gt;&lt;title&gt;The association between dietary factors and gestational hypertension and pre-eclampsia: a systematic review and meta-analysis of observational studies&lt;/title&gt;&lt;secondary-title&gt;BMC Med&lt;/secondary-title&gt;&lt;/titles&gt;&lt;periodical&gt;&lt;full-title&gt;BMC Med&lt;/full-title&gt;&lt;/periodical&gt;&lt;pages&gt;157&lt;/pages&gt;&lt;volume&gt;12&lt;/volume&gt;&lt;edition&gt;2014/09/23&lt;/edition&gt;&lt;keywords&gt;&lt;keyword&gt;Adult&lt;/keyword&gt;&lt;keyword&gt;*Diet&lt;/keyword&gt;&lt;keyword&gt;Dietary Supplements&lt;/keyword&gt;&lt;keyword&gt;Female&lt;/keyword&gt;&lt;keyword&gt;Humans&lt;/keyword&gt;&lt;keyword&gt;Hypertension, Pregnancy-Induced/*epidemiology&lt;/keyword&gt;&lt;keyword&gt;*Observational Studies as Topic&lt;/keyword&gt;&lt;keyword&gt;Pre-Eclampsia/*epidemiology&lt;/keyword&gt;&lt;keyword&gt;Pregnancy&lt;/keyword&gt;&lt;/keywords&gt;&lt;dates&gt;&lt;year&gt;2014&lt;/year&gt;&lt;pub-dates&gt;&lt;date&gt;Sep 22&lt;/date&gt;&lt;/pub-dates&gt;&lt;/dates&gt;&lt;isbn&gt;1741-7015 (Electronic)&amp;#xD;1741-7015 (Linking)&lt;/isbn&gt;&lt;accession-num&gt;25241701&lt;/accession-num&gt;&lt;urls&gt;&lt;related-urls&gt;&lt;url&gt;https://www.ncbi.nlm.nih.gov/pubmed/25241701&lt;/url&gt;&lt;/related-urls&gt;&lt;/urls&gt;&lt;custom2&gt;PMC4192458&lt;/custom2&gt;&lt;electronic-resource-num&gt;10.1186/s12916-014-0157-7&lt;/electronic-resource-num&gt;&lt;/record&gt;&lt;/Cite&gt;&lt;/EndNote&gt;</w:instrText>
      </w:r>
      <w:r w:rsidR="00201490">
        <w:fldChar w:fldCharType="separate"/>
      </w:r>
      <w:r w:rsidR="002747EA" w:rsidRPr="002747EA">
        <w:rPr>
          <w:noProof/>
          <w:vertAlign w:val="superscript"/>
        </w:rPr>
        <w:t>22</w:t>
      </w:r>
      <w:r w:rsidR="00201490">
        <w:fldChar w:fldCharType="end"/>
      </w:r>
      <w:r>
        <w:t xml:space="preserve"> </w:t>
      </w:r>
      <w:r w:rsidRPr="001450AD">
        <w:t>suggested a beneficial effect of a diet rich in fruit and vegetables on pre-eclampsia, although not all the results were statistically significant.</w:t>
      </w:r>
    </w:p>
    <w:p w14:paraId="1D230F23" w14:textId="4249C8FE" w:rsidR="00AB1A76" w:rsidRDefault="00056765" w:rsidP="00AB1A76">
      <w:r>
        <w:t>A large</w:t>
      </w:r>
      <w:r w:rsidR="00AB1A76">
        <w:t xml:space="preserve"> cohort study (</w:t>
      </w:r>
      <w:r w:rsidR="00AB1A76" w:rsidRPr="00056765">
        <w:rPr>
          <w:sz w:val="16"/>
          <w:szCs w:val="16"/>
        </w:rPr>
        <w:t>n=55,139</w:t>
      </w:r>
      <w:r w:rsidR="00AB1A76">
        <w:t>)</w:t>
      </w:r>
      <w:r w:rsidR="00AB1A76">
        <w:fldChar w:fldCharType="begin">
          <w:fldData xml:space="preserve">PEVuZE5vdGU+PENpdGU+PEF1dGhvcj5Ja2VtPC9BdXRob3I+PFllYXI+MjAxOTwvWWVhcj48UmVj
TnVtPjE0NTA8L1JlY051bT48RGlzcGxheVRleHQ+PHN0eWxlIGZhY2U9InN1cGVyc2NyaXB0IiBm
b250PSJUcmVidWNoZXQgTVMiIHNpemU9IjkiPjIzPC9zdHlsZT48L0Rpc3BsYXlUZXh0PjxyZWNv
cmQ+PHJlYy1udW1iZXI+MTQ1MDwvcmVjLW51bWJlcj48Zm9yZWlnbi1rZXlzPjxrZXkgYXBwPSJF
TiIgZGItaWQ9ImV4dmFzcmZ4MmR0cmFvZXNhc3hwMnN6c3hhMmRmNTAyNTkyeCIgdGltZXN0YW1w
PSIxNTc0MTk4NjcwIj4xNDUwPC9rZXk+PGtleSBhcHA9IkVOV2ViIiBkYi1pZD0iIj4wPC9rZXk+
PC9mb3JlaWduLWtleXM+PHJlZi10eXBlIG5hbWU9IkpvdXJuYWwgQXJ0aWNsZSI+MTc8L3JlZi10
eXBlPjxjb250cmlidXRvcnM+PGF1dGhvcnM+PGF1dGhvcj5Ja2VtLCBFLiw8L2F1dGhvcj48YXV0
aG9yPkhhbGxkb3Jzc29uLCBULkkuLDwvYXV0aG9yPjxhdXRob3I+QmlyZ2lzZMOzdHRpciwgQi5F
Liw8L2F1dGhvcj48YXV0aG9yPlJhc211c3NlbiwgTS5BLiw8L2F1dGhvcj48YXV0aG9yPk9sc2Vu
LCBTLkYuLDwvYXV0aG9yPjxhdXRob3I+TWFzbG92YSwgRS4sPC9hdXRob3I+PC9hdXRob3JzPjwv
Y29udHJpYnV0b3JzPjxhdXRoLWFkZHJlc3M+U2Nob29sIG9mIE1lZGljaW5lLCBGYWN1bHR5IG9m
IFNjaWVuY2UsIE1lZGljaW5lIGFuZCBIZWFsdGgsIFVuaXZlcnNpdHkgb2YgV29sbG9uZ29uZywg
V29sbG9uZ29uZywgTmV3IFNvdXRoIFdhbGVzLCBBdXN0cmFsaWEuJiN4RDtJbGxhd2FycmEgSGVh
bHRoIGFuZCBNZWRpY2FsIFJlc2VhcmNoIEluc3RpdHV0ZSwgV29sbG9uZ29uZywgTmV3IFNvdXRo
IFdhbGVzLCBBdXN0cmFsaWEuJiN4RDtEaXNjaXBsaW5lIG9mIE9ic3RldHJpY3MgYW5kIEd5bmFl
Y29sb2d5LCBSb2JpbnNvbiBSZXNlYXJjaCBJbnN0aXR1dGUsIFVuaXZlcnNpdHkgb2YgQWRlbGFp
ZGUsIEFkZWxhaWRlLCBTb3V0aCBBdXN0cmFsaWEsIEF1c3RyYWxpYS4mI3hEO0RlcGFydG1lbnQg
b2YgUGVyaW5hdGFsIE1lZGljaW5lLCBXb21lbiZhcG9zO3MgYW5kIEJhYmllcyBEaXZpc2lvbiwg
V29tZW4mYXBvcztzIGFuZCBDaGlsZHJlbiZhcG9zO3MgSG9zcGl0YWwsIEFkZWxhaWRlLCBTb3V0
aCBBdXN0cmFsaWEsIEF1c3RyYWxpYS48L2F1dGgtYWRkcmVzcz48dGl0bGVzPjx0aXRsZT5EaWV0
YXJ5IHBhdHRlcm5zIGFuZCB0aGUgcmlzayBvZiBwcmVnbmFuY3ktYXNzb2NpYXRlZCBoeXBlcnRl
bnNpb24gaW4gdGhlIERhbmlzaCBOYXRpb25hbCBCaXJ0aCBDb2hvcnQ6IGEgcHJvc3BlY3RpdmUg
bG9uZ2l0dWRpbmFsIHN0dWR5PC90aXRsZT48c2Vjb25kYXJ5LXRpdGxlPkJKT0c8L3NlY29uZGFy
eS10aXRsZT48L3RpdGxlcz48cGVyaW9kaWNhbD48ZnVsbC10aXRsZT5CSk9HPC9mdWxsLXRpdGxl
PjwvcGVyaW9kaWNhbD48cGFnZXM+NjYzLTczPC9wYWdlcz48dm9sdW1lPjEyNjwvdm9sdW1lPjxu
dW1iZXI+NTwvbnVtYmVyPjxlZGl0aW9uPjIwMTkvMDIvMDg8L2VkaXRpb24+PGtleXdvcmRzPjxr
ZXl3b3JkPkJvZHkgTWFzcyBJbmRleDwva2V5d29yZD48a2V5d29yZD5EaWV0PC9rZXl3b3JkPjxr
ZXl3b3JkPkZlbWFsZTwva2V5d29yZD48a2V5d29yZD5IdW1hbnM8L2tleXdvcmQ+PGtleXdvcmQ+
Kkh5cGVydGVuc2lvbiwgUHJlZ25hbmN5LUluZHVjZWQ8L2tleXdvcmQ+PGtleXdvcmQ+TG9uZ2l0
dWRpbmFsIFN0dWRpZXM8L2tleXdvcmQ+PGtleXdvcmQ+UHJlY29uY2VwdGlvbiBDYXJlPC9rZXl3
b3JkPjxrZXl3b3JkPlByZWduYW5jeTwva2V5d29yZD48a2V5d29yZD5Qcm9zcGVjdGl2ZSBTdHVk
aWVzPC9rZXl3b3JkPjwva2V5d29yZHM+PGRhdGVzPjx5ZWFyPjIwMTk8L3llYXI+PHB1Yi1kYXRl
cz48ZGF0ZT5BcHI8L2RhdGU+PC9wdWItZGF0ZXM+PC9kYXRlcz48aXNibj4xNDcxLTA1MjggKEVs
ZWN0cm9uaWMpJiN4RDsxNDcwLTAzMjggKExpbmtpbmcpPC9pc2JuPjxhY2Nlc3Npb24tbnVtPjMw
NzI5Njc0PC9hY2Nlc3Npb24tbnVtPjx1cmxzPjxyZWxhdGVkLXVybHM+PHVybD5odHRwczovL3d3
dy5uY2JpLm5sbS5uaWguZ292L3B1Ym1lZC8zMDcyOTY3NDwvdXJsPjwvcmVsYXRlZC11cmxzPjwv
dXJscz48ZWxlY3Ryb25pYy1yZXNvdXJjZS1udW0+MTAuMTExMS8xNDcxLTA1MjguMTU1OTY8L2Vs
ZWN0cm9uaWMtcmVzb3VyY2UtbnVtPjwvcmVjb3JkPjwvQ2l0ZT48L0VuZE5vdGU+
</w:fldData>
        </w:fldChar>
      </w:r>
      <w:r w:rsidR="002747EA">
        <w:instrText xml:space="preserve"> ADDIN EN.CITE </w:instrText>
      </w:r>
      <w:r w:rsidR="002747EA">
        <w:fldChar w:fldCharType="begin">
          <w:fldData xml:space="preserve">PEVuZE5vdGU+PENpdGU+PEF1dGhvcj5Ja2VtPC9BdXRob3I+PFllYXI+MjAxOTwvWWVhcj48UmVj
TnVtPjE0NTA8L1JlY051bT48RGlzcGxheVRleHQ+PHN0eWxlIGZhY2U9InN1cGVyc2NyaXB0IiBm
b250PSJUcmVidWNoZXQgTVMiIHNpemU9IjkiPjIzPC9zdHlsZT48L0Rpc3BsYXlUZXh0PjxyZWNv
cmQ+PHJlYy1udW1iZXI+MTQ1MDwvcmVjLW51bWJlcj48Zm9yZWlnbi1rZXlzPjxrZXkgYXBwPSJF
TiIgZGItaWQ9ImV4dmFzcmZ4MmR0cmFvZXNhc3hwMnN6c3hhMmRmNTAyNTkyeCIgdGltZXN0YW1w
PSIxNTc0MTk4NjcwIj4xNDUwPC9rZXk+PGtleSBhcHA9IkVOV2ViIiBkYi1pZD0iIj4wPC9rZXk+
PC9mb3JlaWduLWtleXM+PHJlZi10eXBlIG5hbWU9IkpvdXJuYWwgQXJ0aWNsZSI+MTc8L3JlZi10
eXBlPjxjb250cmlidXRvcnM+PGF1dGhvcnM+PGF1dGhvcj5Ja2VtLCBFLiw8L2F1dGhvcj48YXV0
aG9yPkhhbGxkb3Jzc29uLCBULkkuLDwvYXV0aG9yPjxhdXRob3I+QmlyZ2lzZMOzdHRpciwgQi5F
Liw8L2F1dGhvcj48YXV0aG9yPlJhc211c3NlbiwgTS5BLiw8L2F1dGhvcj48YXV0aG9yPk9sc2Vu
LCBTLkYuLDwvYXV0aG9yPjxhdXRob3I+TWFzbG92YSwgRS4sPC9hdXRob3I+PC9hdXRob3JzPjwv
Y29udHJpYnV0b3JzPjxhdXRoLWFkZHJlc3M+U2Nob29sIG9mIE1lZGljaW5lLCBGYWN1bHR5IG9m
IFNjaWVuY2UsIE1lZGljaW5lIGFuZCBIZWFsdGgsIFVuaXZlcnNpdHkgb2YgV29sbG9uZ29uZywg
V29sbG9uZ29uZywgTmV3IFNvdXRoIFdhbGVzLCBBdXN0cmFsaWEuJiN4RDtJbGxhd2FycmEgSGVh
bHRoIGFuZCBNZWRpY2FsIFJlc2VhcmNoIEluc3RpdHV0ZSwgV29sbG9uZ29uZywgTmV3IFNvdXRo
IFdhbGVzLCBBdXN0cmFsaWEuJiN4RDtEaXNjaXBsaW5lIG9mIE9ic3RldHJpY3MgYW5kIEd5bmFl
Y29sb2d5LCBSb2JpbnNvbiBSZXNlYXJjaCBJbnN0aXR1dGUsIFVuaXZlcnNpdHkgb2YgQWRlbGFp
ZGUsIEFkZWxhaWRlLCBTb3V0aCBBdXN0cmFsaWEsIEF1c3RyYWxpYS4mI3hEO0RlcGFydG1lbnQg
b2YgUGVyaW5hdGFsIE1lZGljaW5lLCBXb21lbiZhcG9zO3MgYW5kIEJhYmllcyBEaXZpc2lvbiwg
V29tZW4mYXBvcztzIGFuZCBDaGlsZHJlbiZhcG9zO3MgSG9zcGl0YWwsIEFkZWxhaWRlLCBTb3V0
aCBBdXN0cmFsaWEsIEF1c3RyYWxpYS48L2F1dGgtYWRkcmVzcz48dGl0bGVzPjx0aXRsZT5EaWV0
YXJ5IHBhdHRlcm5zIGFuZCB0aGUgcmlzayBvZiBwcmVnbmFuY3ktYXNzb2NpYXRlZCBoeXBlcnRl
bnNpb24gaW4gdGhlIERhbmlzaCBOYXRpb25hbCBCaXJ0aCBDb2hvcnQ6IGEgcHJvc3BlY3RpdmUg
bG9uZ2l0dWRpbmFsIHN0dWR5PC90aXRsZT48c2Vjb25kYXJ5LXRpdGxlPkJKT0c8L3NlY29uZGFy
eS10aXRsZT48L3RpdGxlcz48cGVyaW9kaWNhbD48ZnVsbC10aXRsZT5CSk9HPC9mdWxsLXRpdGxl
PjwvcGVyaW9kaWNhbD48cGFnZXM+NjYzLTczPC9wYWdlcz48dm9sdW1lPjEyNjwvdm9sdW1lPjxu
dW1iZXI+NTwvbnVtYmVyPjxlZGl0aW9uPjIwMTkvMDIvMDg8L2VkaXRpb24+PGtleXdvcmRzPjxr
ZXl3b3JkPkJvZHkgTWFzcyBJbmRleDwva2V5d29yZD48a2V5d29yZD5EaWV0PC9rZXl3b3JkPjxr
ZXl3b3JkPkZlbWFsZTwva2V5d29yZD48a2V5d29yZD5IdW1hbnM8L2tleXdvcmQ+PGtleXdvcmQ+
Kkh5cGVydGVuc2lvbiwgUHJlZ25hbmN5LUluZHVjZWQ8L2tleXdvcmQ+PGtleXdvcmQ+TG9uZ2l0
dWRpbmFsIFN0dWRpZXM8L2tleXdvcmQ+PGtleXdvcmQ+UHJlY29uY2VwdGlvbiBDYXJlPC9rZXl3
b3JkPjxrZXl3b3JkPlByZWduYW5jeTwva2V5d29yZD48a2V5d29yZD5Qcm9zcGVjdGl2ZSBTdHVk
aWVzPC9rZXl3b3JkPjwva2V5d29yZHM+PGRhdGVzPjx5ZWFyPjIwMTk8L3llYXI+PHB1Yi1kYXRl
cz48ZGF0ZT5BcHI8L2RhdGU+PC9wdWItZGF0ZXM+PC9kYXRlcz48aXNibj4xNDcxLTA1MjggKEVs
ZWN0cm9uaWMpJiN4RDsxNDcwLTAzMjggKExpbmtpbmcpPC9pc2JuPjxhY2Nlc3Npb24tbnVtPjMw
NzI5Njc0PC9hY2Nlc3Npb24tbnVtPjx1cmxzPjxyZWxhdGVkLXVybHM+PHVybD5odHRwczovL3d3
dy5uY2JpLm5sbS5uaWguZ292L3B1Ym1lZC8zMDcyOTY3NDwvdXJsPjwvcmVsYXRlZC11cmxzPjwv
dXJscz48ZWxlY3Ryb25pYy1yZXNvdXJjZS1udW0+MTAuMTExMS8xNDcxLTA1MjguMTU1OTY8L2Vs
ZWN0cm9uaWMtcmVzb3VyY2UtbnVtPjwvcmVjb3JkPjwvQ2l0ZT48L0VuZE5vdGU+
</w:fldData>
        </w:fldChar>
      </w:r>
      <w:r w:rsidR="002747EA">
        <w:instrText xml:space="preserve"> ADDIN EN.CITE.DATA </w:instrText>
      </w:r>
      <w:r w:rsidR="002747EA">
        <w:fldChar w:fldCharType="end"/>
      </w:r>
      <w:r w:rsidR="00AB1A76">
        <w:fldChar w:fldCharType="separate"/>
      </w:r>
      <w:r w:rsidR="002747EA" w:rsidRPr="002747EA">
        <w:rPr>
          <w:noProof/>
          <w:vertAlign w:val="superscript"/>
        </w:rPr>
        <w:t>23</w:t>
      </w:r>
      <w:r w:rsidR="00AB1A76">
        <w:fldChar w:fldCharType="end"/>
      </w:r>
      <w:r w:rsidR="00AB1A76">
        <w:t xml:space="preserve"> </w:t>
      </w:r>
      <w:r>
        <w:t>found that a dietary pattern</w:t>
      </w:r>
      <w:r w:rsidRPr="004D1571">
        <w:t xml:space="preserve"> characterised by high</w:t>
      </w:r>
      <w:r>
        <w:t xml:space="preserve"> </w:t>
      </w:r>
      <w:r w:rsidRPr="004D1571">
        <w:t>consumption of fish and vegetables</w:t>
      </w:r>
      <w:r>
        <w:t xml:space="preserve"> was associated with a lower risk of gestational hypertension (</w:t>
      </w:r>
      <w:r w:rsidRPr="00AB1A76">
        <w:rPr>
          <w:sz w:val="16"/>
          <w:szCs w:val="16"/>
        </w:rPr>
        <w:t>OR 0.86; 95%CI 0.77</w:t>
      </w:r>
      <w:r w:rsidRPr="00AB1A76">
        <w:rPr>
          <w:rFonts w:ascii="Helvetica" w:hAnsi="Helvetica"/>
          <w:sz w:val="16"/>
          <w:szCs w:val="16"/>
        </w:rPr>
        <w:t xml:space="preserve"> to </w:t>
      </w:r>
      <w:r w:rsidRPr="00AB1A76">
        <w:rPr>
          <w:sz w:val="16"/>
          <w:szCs w:val="16"/>
        </w:rPr>
        <w:t>0.95</w:t>
      </w:r>
      <w:r>
        <w:t>) and pre-eclampsia (</w:t>
      </w:r>
      <w:r w:rsidRPr="00AB1A76">
        <w:rPr>
          <w:sz w:val="16"/>
          <w:szCs w:val="16"/>
        </w:rPr>
        <w:t>OR 0.79; 95%CI 0.65</w:t>
      </w:r>
      <w:r w:rsidRPr="00AB1A76">
        <w:rPr>
          <w:rFonts w:ascii="Helvetica" w:hAnsi="Helvetica"/>
          <w:sz w:val="16"/>
          <w:szCs w:val="16"/>
        </w:rPr>
        <w:t xml:space="preserve"> to </w:t>
      </w:r>
      <w:r w:rsidRPr="00AB1A76">
        <w:rPr>
          <w:sz w:val="16"/>
          <w:szCs w:val="16"/>
        </w:rPr>
        <w:t>0.97</w:t>
      </w:r>
      <w:r w:rsidRPr="004D1571">
        <w:t>)</w:t>
      </w:r>
      <w:r>
        <w:t xml:space="preserve"> while a</w:t>
      </w:r>
      <w:r w:rsidR="00AB1A76">
        <w:t xml:space="preserve"> dietary pattern </w:t>
      </w:r>
      <w:r w:rsidR="00AB1A76" w:rsidRPr="004D1571">
        <w:t xml:space="preserve">characterised by high consumption of potatoes (including </w:t>
      </w:r>
      <w:r>
        <w:t>hot potato chips</w:t>
      </w:r>
      <w:r w:rsidR="00AB1A76" w:rsidRPr="004D1571">
        <w:t>), mixed meat</w:t>
      </w:r>
      <w:r>
        <w:t>s</w:t>
      </w:r>
      <w:r w:rsidR="00AB1A76" w:rsidRPr="004D1571">
        <w:t xml:space="preserve">, margarine and white bread </w:t>
      </w:r>
      <w:r>
        <w:t xml:space="preserve">increased risk </w:t>
      </w:r>
      <w:r w:rsidR="005B5A69">
        <w:t xml:space="preserve">of gestational hypertension </w:t>
      </w:r>
      <w:r w:rsidR="00AB1A76">
        <w:t>(</w:t>
      </w:r>
      <w:r w:rsidR="00AB1A76" w:rsidRPr="00AB1A76">
        <w:rPr>
          <w:sz w:val="16"/>
          <w:szCs w:val="16"/>
        </w:rPr>
        <w:t>OR 1.18; 95%CI 1.05</w:t>
      </w:r>
      <w:r w:rsidR="00AB1A76" w:rsidRPr="00AB1A76">
        <w:rPr>
          <w:rFonts w:ascii="Helvetica" w:hAnsi="Helvetica"/>
          <w:sz w:val="16"/>
          <w:szCs w:val="16"/>
        </w:rPr>
        <w:t xml:space="preserve"> to </w:t>
      </w:r>
      <w:r w:rsidR="00AB1A76" w:rsidRPr="00AB1A76">
        <w:rPr>
          <w:sz w:val="16"/>
          <w:szCs w:val="16"/>
        </w:rPr>
        <w:t>1.33</w:t>
      </w:r>
      <w:r w:rsidR="005B5A69" w:rsidRPr="005B5A69">
        <w:t>) and pre-eclampsia</w:t>
      </w:r>
      <w:r>
        <w:t xml:space="preserve"> </w:t>
      </w:r>
      <w:r w:rsidR="005B5A69">
        <w:t>(</w:t>
      </w:r>
      <w:r w:rsidR="00AB1A76" w:rsidRPr="00AB1A76">
        <w:rPr>
          <w:sz w:val="16"/>
          <w:szCs w:val="16"/>
        </w:rPr>
        <w:t>OR 1.40; 95% CI 1.11</w:t>
      </w:r>
      <w:r w:rsidR="00AB1A76" w:rsidRPr="00AB1A76">
        <w:rPr>
          <w:rFonts w:ascii="Helvetica" w:hAnsi="Helvetica"/>
          <w:sz w:val="16"/>
          <w:szCs w:val="16"/>
        </w:rPr>
        <w:t xml:space="preserve"> to </w:t>
      </w:r>
      <w:r w:rsidR="00AB1A76" w:rsidRPr="00AB1A76">
        <w:rPr>
          <w:sz w:val="16"/>
          <w:szCs w:val="16"/>
        </w:rPr>
        <w:t>1.76</w:t>
      </w:r>
      <w:r w:rsidR="00AB1A76" w:rsidRPr="004D1571">
        <w:t>).</w:t>
      </w:r>
    </w:p>
    <w:p w14:paraId="7C6DF53E" w14:textId="7D48AFBD" w:rsidR="00A54365" w:rsidRPr="00AB1A76" w:rsidRDefault="00056765" w:rsidP="00AB1A76">
      <w:r>
        <w:t>A</w:t>
      </w:r>
      <w:r w:rsidR="00A54365">
        <w:t>n Australian cohort study</w:t>
      </w:r>
      <w:r w:rsidR="006A1B23">
        <w:t xml:space="preserve"> (</w:t>
      </w:r>
      <w:r w:rsidR="006A1B23" w:rsidRPr="00A912D4">
        <w:rPr>
          <w:sz w:val="16"/>
          <w:szCs w:val="16"/>
        </w:rPr>
        <w:t>n=1,907</w:t>
      </w:r>
      <w:r w:rsidR="006A1B23">
        <w:t>)</w:t>
      </w:r>
      <w:r w:rsidR="00A54365">
        <w:t>,</w:t>
      </w:r>
      <w:r w:rsidR="0043325F">
        <w:fldChar w:fldCharType="begin">
          <w:fldData xml:space="preserve">PEVuZE5vdGU+PENpdGU+PEF1dGhvcj5HcmVzaGFtPC9BdXRob3I+PFllYXI+MjAxNjwvWWVhcj48
UmVjTnVtPjE0MDc8L1JlY051bT48RGlzcGxheVRleHQ+PHN0eWxlIGZhY2U9InN1cGVyc2NyaXB0
IiBmb250PSJUcmVidWNoZXQgTVMiIHNpemU9IjkiPjI0PC9zdHlsZT48L0Rpc3BsYXlUZXh0Pjxy
ZWNvcmQ+PHJlYy1udW1iZXI+MTQwNzwvcmVjLW51bWJlcj48Zm9yZWlnbi1rZXlzPjxrZXkgYXBw
PSJFTiIgZGItaWQ9ImV4dmFzcmZ4MmR0cmFvZXNhc3hwMnN6c3hhMmRmNTAyNTkyeCIgdGltZXN0
YW1wPSIxNTY3OTI0NTM2Ij4xNDA3PC9rZXk+PGtleSBhcHA9IkVOV2ViIiBkYi1pZD0iIj4wPC9r
ZXk+PC9mb3JlaWduLWtleXM+PHJlZi10eXBlIG5hbWU9IkpvdXJuYWwgQXJ0aWNsZSI+MTc8L3Jl
Zi10eXBlPjxjb250cmlidXRvcnM+PGF1dGhvcnM+PGF1dGhvcj5HcmVzaGFtLCBFLjwvYXV0aG9y
PjxhdXRob3I+Q29sbGlucywgQy4gRS48L2F1dGhvcj48YXV0aG9yPk1pc2hyYSwgRy4gRC48L2F1
dGhvcj48YXV0aG9yPkJ5bGVzLCBKLiBFLjwvYXV0aG9yPjxhdXRob3I+SHVyZSwgQS4gSi48L2F1
dGhvcj48L2F1dGhvcnM+PC9jb250cmlidXRvcnM+PGF1dGgtYWRkcmVzcz4xUmVzZWFyY2ggQ2Vu
dHJlIGZvciBHZW5kZXIsSGVhbHRoIGFuZCBBZ2VpbmcsU2Nob29sIG9mIE1lZGljaW5lIGFuZCBQ
dWJsaWMgSGVhbHRoLFRoZSBVbml2ZXJzaXR5IG9mIE5ld2Nhc3RsZSxIdW50ZXIgTWVkaWNhbCBS
ZXNlYXJjaCBJbnN0aXR1dGUgTGV2ZWwgNCxVbml2ZXJzaXR5IERyaXZlLENhbGxhZ2hhbixOU1cg
MjMwOCxBdXN0cmFsaWEuJiN4RDszU2Nob29sIG9mIEhlYWx0aCBTY2llbmNlcywgRmFjdWx0eSBv
ZiBIZWFsdGggYW5kIE1lZGljaW5lIGFuZCBQcmlvcml0eSBSZXNlYXJjaCBDZW50cmUgaW4gUGh5
c2ljYWwgQWN0aXZpdHkgYW5kIE51dHJpdGlvbixUaGUgVW5pdmVyc2l0eSBvZiBOZXdjYXN0bGUs
Q2FsbGFnaGFuLE5TVyxBdXN0cmFsaWEuJiN4RDs0U2Nob29sIG9mIFB1YmxpYyBIZWFsdGgsIEZh
Y3VsdHkgTWVkaWNpbmUgYW5kIEJpb21lZGljYWwgU2NpZW5jZXMsQ2VudHJlIGZvciBMb25naXR1
ZGluYWwgYW5kIExpZmUgQ291cnNlIFJlc2VhcmNoLFRoZSBVbml2ZXJzaXR5IG9mIFF1ZWVuc2xh
bmQsSGVyc3RvbixRTEQsQXVzdHJhbGlhLjwvYXV0aC1hZGRyZXNzPjx0aXRsZXM+PHRpdGxlPkRp
ZXQgcXVhbGl0eSBiZWZvcmUgb3IgZHVyaW5nIHByZWduYW5jeSBhbmQgdGhlIHJlbGF0aW9uc2hp
cCB3aXRoIHByZWduYW5jeSBhbmQgYmlydGggb3V0Y29tZXM6IHRoZSBBdXN0cmFsaWFuIExvbmdp
dHVkaW5hbCBTdHVkeSBvbiBXb21lbiZhcG9zO3MgSGVhbHRoPC90aXRsZT48c2Vjb25kYXJ5LXRp
dGxlPlB1YmxpYyBIZWFsdGggTnV0cjwvc2Vjb25kYXJ5LXRpdGxlPjwvdGl0bGVzPjxwZXJpb2Rp
Y2FsPjxmdWxsLXRpdGxlPlB1YmxpYyBIZWFsdGggTnV0cjwvZnVsbC10aXRsZT48L3BlcmlvZGlj
YWw+PHBhZ2VzPjI5NzUtMjk4MzwvcGFnZXM+PHZvbHVtZT4xOTwvdm9sdW1lPjxudW1iZXI+MTY8
L251bWJlcj48ZWRpdGlvbj4yMDE2LzA1LzMxPC9lZGl0aW9uPjxrZXl3b3Jkcz48a2V5d29yZD5B
ZHVsdDwva2V5d29yZD48a2V5d29yZD5BdXN0cmFsaWE8L2tleXdvcmQ+PGtleXdvcmQ+KkRpYWJl
dGVzLCBHZXN0YXRpb25hbDwva2V5d29yZD48a2V5d29yZD4qRGlldDwva2V5d29yZD48a2V5d29y
ZD5EaWV0IFN1cnZleXM8L2tleXdvcmQ+PGtleXdvcmQ+RmVtYWxlPC9rZXl3b3JkPjxrZXl3b3Jk
Pkh1bWFuczwva2V5d29yZD48a2V5d29yZD4qSHlwZXJ0ZW5zaW9uLCBQcmVnbmFuY3ktSW5kdWNl
ZDwva2V5d29yZD48a2V5d29yZD5JbmZhbnQsIExvdyBCaXJ0aCBXZWlnaHQ8L2tleXdvcmQ+PGtl
eXdvcmQ+SW5mYW50LCBOZXdib3JuPC9rZXl3b3JkPjxrZXl3b3JkPkxvbmdpdHVkaW5hbCBTdHVk
aWVzPC9rZXl3b3JkPjxrZXl3b3JkPlByZWduYW5jeTwva2V5d29yZD48a2V5d29yZD5Xb21lbiZh
cG9zO3MgSGVhbHRoPC9rZXl3b3JkPjxrZXl3b3JkPllvdW5nIEFkdWx0PC9rZXl3b3JkPjxrZXl3
b3JkPipCaXJ0aDwva2V5d29yZD48a2V5d29yZD4qRGlldCBxdWFsaXR5PC9rZXl3b3JkPjxrZXl3
b3JkPipmZnE8L2tleXdvcmQ+PGtleXdvcmQ+KlByZWduYW5jeTwva2V5d29yZD48a2V5d29yZD4q
V29tZW4mYXBvcztzIGhlYWx0aDwva2V5d29yZD48L2tleXdvcmRzPjxkYXRlcz48eWVhcj4yMDE2
PC95ZWFyPjxwdWItZGF0ZXM+PGRhdGU+Tm92PC9kYXRlPjwvcHViLWRhdGVzPjwvZGF0ZXM+PGlz
Ym4+MTQ3NS0yNzI3IChFbGVjdHJvbmljKSYjeEQ7MTM2OC05ODAwIChMaW5raW5nKTwvaXNibj48
YWNjZXNzaW9uLW51bT4yNzIzODc1NzwvYWNjZXNzaW9uLW51bT48dXJscz48cmVsYXRlZC11cmxz
Pjx1cmw+aHR0cHM6Ly93d3cubmNiaS5ubG0ubmloLmdvdi9wdWJtZWQvMjcyMzg3NTc8L3VybD48
L3JlbGF0ZWQtdXJscz48L3VybHM+PGVsZWN0cm9uaWMtcmVzb3VyY2UtbnVtPjEwLjEwMTcvUzEz
Njg5ODAwMTYwMDEyNDU8L2VsZWN0cm9uaWMtcmVzb3VyY2UtbnVtPjwvcmVjb3JkPjwvQ2l0ZT48
L0VuZE5vdGU+
</w:fldData>
        </w:fldChar>
      </w:r>
      <w:r w:rsidR="002747EA">
        <w:instrText xml:space="preserve"> ADDIN EN.CITE </w:instrText>
      </w:r>
      <w:r w:rsidR="002747EA">
        <w:fldChar w:fldCharType="begin">
          <w:fldData xml:space="preserve">PEVuZE5vdGU+PENpdGU+PEF1dGhvcj5HcmVzaGFtPC9BdXRob3I+PFllYXI+MjAxNjwvWWVhcj48
UmVjTnVtPjE0MDc8L1JlY051bT48RGlzcGxheVRleHQ+PHN0eWxlIGZhY2U9InN1cGVyc2NyaXB0
IiBmb250PSJUcmVidWNoZXQgTVMiIHNpemU9IjkiPjI0PC9zdHlsZT48L0Rpc3BsYXlUZXh0Pjxy
ZWNvcmQ+PHJlYy1udW1iZXI+MTQwNzwvcmVjLW51bWJlcj48Zm9yZWlnbi1rZXlzPjxrZXkgYXBw
PSJFTiIgZGItaWQ9ImV4dmFzcmZ4MmR0cmFvZXNhc3hwMnN6c3hhMmRmNTAyNTkyeCIgdGltZXN0
YW1wPSIxNTY3OTI0NTM2Ij4xNDA3PC9rZXk+PGtleSBhcHA9IkVOV2ViIiBkYi1pZD0iIj4wPC9r
ZXk+PC9mb3JlaWduLWtleXM+PHJlZi10eXBlIG5hbWU9IkpvdXJuYWwgQXJ0aWNsZSI+MTc8L3Jl
Zi10eXBlPjxjb250cmlidXRvcnM+PGF1dGhvcnM+PGF1dGhvcj5HcmVzaGFtLCBFLjwvYXV0aG9y
PjxhdXRob3I+Q29sbGlucywgQy4gRS48L2F1dGhvcj48YXV0aG9yPk1pc2hyYSwgRy4gRC48L2F1
dGhvcj48YXV0aG9yPkJ5bGVzLCBKLiBFLjwvYXV0aG9yPjxhdXRob3I+SHVyZSwgQS4gSi48L2F1
dGhvcj48L2F1dGhvcnM+PC9jb250cmlidXRvcnM+PGF1dGgtYWRkcmVzcz4xUmVzZWFyY2ggQ2Vu
dHJlIGZvciBHZW5kZXIsSGVhbHRoIGFuZCBBZ2VpbmcsU2Nob29sIG9mIE1lZGljaW5lIGFuZCBQ
dWJsaWMgSGVhbHRoLFRoZSBVbml2ZXJzaXR5IG9mIE5ld2Nhc3RsZSxIdW50ZXIgTWVkaWNhbCBS
ZXNlYXJjaCBJbnN0aXR1dGUgTGV2ZWwgNCxVbml2ZXJzaXR5IERyaXZlLENhbGxhZ2hhbixOU1cg
MjMwOCxBdXN0cmFsaWEuJiN4RDszU2Nob29sIG9mIEhlYWx0aCBTY2llbmNlcywgRmFjdWx0eSBv
ZiBIZWFsdGggYW5kIE1lZGljaW5lIGFuZCBQcmlvcml0eSBSZXNlYXJjaCBDZW50cmUgaW4gUGh5
c2ljYWwgQWN0aXZpdHkgYW5kIE51dHJpdGlvbixUaGUgVW5pdmVyc2l0eSBvZiBOZXdjYXN0bGUs
Q2FsbGFnaGFuLE5TVyxBdXN0cmFsaWEuJiN4RDs0U2Nob29sIG9mIFB1YmxpYyBIZWFsdGgsIEZh
Y3VsdHkgTWVkaWNpbmUgYW5kIEJpb21lZGljYWwgU2NpZW5jZXMsQ2VudHJlIGZvciBMb25naXR1
ZGluYWwgYW5kIExpZmUgQ291cnNlIFJlc2VhcmNoLFRoZSBVbml2ZXJzaXR5IG9mIFF1ZWVuc2xh
bmQsSGVyc3RvbixRTEQsQXVzdHJhbGlhLjwvYXV0aC1hZGRyZXNzPjx0aXRsZXM+PHRpdGxlPkRp
ZXQgcXVhbGl0eSBiZWZvcmUgb3IgZHVyaW5nIHByZWduYW5jeSBhbmQgdGhlIHJlbGF0aW9uc2hp
cCB3aXRoIHByZWduYW5jeSBhbmQgYmlydGggb3V0Y29tZXM6IHRoZSBBdXN0cmFsaWFuIExvbmdp
dHVkaW5hbCBTdHVkeSBvbiBXb21lbiZhcG9zO3MgSGVhbHRoPC90aXRsZT48c2Vjb25kYXJ5LXRp
dGxlPlB1YmxpYyBIZWFsdGggTnV0cjwvc2Vjb25kYXJ5LXRpdGxlPjwvdGl0bGVzPjxwZXJpb2Rp
Y2FsPjxmdWxsLXRpdGxlPlB1YmxpYyBIZWFsdGggTnV0cjwvZnVsbC10aXRsZT48L3BlcmlvZGlj
YWw+PHBhZ2VzPjI5NzUtMjk4MzwvcGFnZXM+PHZvbHVtZT4xOTwvdm9sdW1lPjxudW1iZXI+MTY8
L251bWJlcj48ZWRpdGlvbj4yMDE2LzA1LzMxPC9lZGl0aW9uPjxrZXl3b3Jkcz48a2V5d29yZD5B
ZHVsdDwva2V5d29yZD48a2V5d29yZD5BdXN0cmFsaWE8L2tleXdvcmQ+PGtleXdvcmQ+KkRpYWJl
dGVzLCBHZXN0YXRpb25hbDwva2V5d29yZD48a2V5d29yZD4qRGlldDwva2V5d29yZD48a2V5d29y
ZD5EaWV0IFN1cnZleXM8L2tleXdvcmQ+PGtleXdvcmQ+RmVtYWxlPC9rZXl3b3JkPjxrZXl3b3Jk
Pkh1bWFuczwva2V5d29yZD48a2V5d29yZD4qSHlwZXJ0ZW5zaW9uLCBQcmVnbmFuY3ktSW5kdWNl
ZDwva2V5d29yZD48a2V5d29yZD5JbmZhbnQsIExvdyBCaXJ0aCBXZWlnaHQ8L2tleXdvcmQ+PGtl
eXdvcmQ+SW5mYW50LCBOZXdib3JuPC9rZXl3b3JkPjxrZXl3b3JkPkxvbmdpdHVkaW5hbCBTdHVk
aWVzPC9rZXl3b3JkPjxrZXl3b3JkPlByZWduYW5jeTwva2V5d29yZD48a2V5d29yZD5Xb21lbiZh
cG9zO3MgSGVhbHRoPC9rZXl3b3JkPjxrZXl3b3JkPllvdW5nIEFkdWx0PC9rZXl3b3JkPjxrZXl3
b3JkPipCaXJ0aDwva2V5d29yZD48a2V5d29yZD4qRGlldCBxdWFsaXR5PC9rZXl3b3JkPjxrZXl3
b3JkPipmZnE8L2tleXdvcmQ+PGtleXdvcmQ+KlByZWduYW5jeTwva2V5d29yZD48a2V5d29yZD4q
V29tZW4mYXBvcztzIGhlYWx0aDwva2V5d29yZD48L2tleXdvcmRzPjxkYXRlcz48eWVhcj4yMDE2
PC95ZWFyPjxwdWItZGF0ZXM+PGRhdGU+Tm92PC9kYXRlPjwvcHViLWRhdGVzPjwvZGF0ZXM+PGlz
Ym4+MTQ3NS0yNzI3IChFbGVjdHJvbmljKSYjeEQ7MTM2OC05ODAwIChMaW5raW5nKTwvaXNibj48
YWNjZXNzaW9uLW51bT4yNzIzODc1NzwvYWNjZXNzaW9uLW51bT48dXJscz48cmVsYXRlZC11cmxz
Pjx1cmw+aHR0cHM6Ly93d3cubmNiaS5ubG0ubmloLmdvdi9wdWJtZWQvMjcyMzg3NTc8L3VybD48
L3JlbGF0ZWQtdXJscz48L3VybHM+PGVsZWN0cm9uaWMtcmVzb3VyY2UtbnVtPjEwLjEwMTcvUzEz
Njg5ODAwMTYwMDEyNDU8L2VsZWN0cm9uaWMtcmVzb3VyY2UtbnVtPjwvcmVjb3JkPjwvQ2l0ZT48
L0VuZE5vdGU+
</w:fldData>
        </w:fldChar>
      </w:r>
      <w:r w:rsidR="002747EA">
        <w:instrText xml:space="preserve"> ADDIN EN.CITE.DATA </w:instrText>
      </w:r>
      <w:r w:rsidR="002747EA">
        <w:fldChar w:fldCharType="end"/>
      </w:r>
      <w:r w:rsidR="0043325F">
        <w:fldChar w:fldCharType="separate"/>
      </w:r>
      <w:r w:rsidR="002747EA" w:rsidRPr="002747EA">
        <w:rPr>
          <w:noProof/>
          <w:vertAlign w:val="superscript"/>
        </w:rPr>
        <w:t>24</w:t>
      </w:r>
      <w:r w:rsidR="0043325F">
        <w:fldChar w:fldCharType="end"/>
      </w:r>
      <w:r w:rsidR="00A54365">
        <w:t xml:space="preserve"> </w:t>
      </w:r>
      <w:r>
        <w:t xml:space="preserve">found that </w:t>
      </w:r>
      <w:r w:rsidR="00A54365">
        <w:t>w</w:t>
      </w:r>
      <w:r w:rsidR="00A54365" w:rsidRPr="004843FE">
        <w:t xml:space="preserve">omen with the highest </w:t>
      </w:r>
      <w:r w:rsidR="0043325F" w:rsidRPr="004843FE">
        <w:t xml:space="preserve">Australian Recommended Food Score </w:t>
      </w:r>
      <w:r w:rsidR="00A54365" w:rsidRPr="004843FE">
        <w:t xml:space="preserve">had the lowest </w:t>
      </w:r>
      <w:r>
        <w:t>risk</w:t>
      </w:r>
      <w:r w:rsidR="00A54365" w:rsidRPr="004843FE">
        <w:t xml:space="preserve"> of developing gestational hy</w:t>
      </w:r>
      <w:r w:rsidR="0043325F">
        <w:t>pertension (</w:t>
      </w:r>
      <w:r w:rsidR="0043325F" w:rsidRPr="0043325F">
        <w:rPr>
          <w:sz w:val="16"/>
          <w:szCs w:val="16"/>
        </w:rPr>
        <w:t xml:space="preserve">OR </w:t>
      </w:r>
      <w:r w:rsidR="00A54365" w:rsidRPr="0043325F">
        <w:rPr>
          <w:sz w:val="16"/>
          <w:szCs w:val="16"/>
        </w:rPr>
        <w:t>0.4; 95 % CI 0.2 to 0.7</w:t>
      </w:r>
      <w:r w:rsidR="00A54365" w:rsidRPr="004843FE">
        <w:t>)</w:t>
      </w:r>
      <w:r w:rsidR="0043325F">
        <w:t>.</w:t>
      </w:r>
    </w:p>
    <w:p w14:paraId="4E7FE3D5" w14:textId="77777777" w:rsidR="005E768B" w:rsidRDefault="005E768B" w:rsidP="00FB1FA0">
      <w:pPr>
        <w:pStyle w:val="Heading4"/>
      </w:pPr>
      <w:r>
        <w:t>Depression</w:t>
      </w:r>
    </w:p>
    <w:p w14:paraId="21D4D67B" w14:textId="2E8907A3" w:rsidR="00E64026" w:rsidRDefault="00E64026" w:rsidP="005E768B">
      <w:r>
        <w:t>A cross-sectional study (</w:t>
      </w:r>
      <w:r w:rsidRPr="00836ACB">
        <w:rPr>
          <w:sz w:val="16"/>
          <w:szCs w:val="16"/>
        </w:rPr>
        <w:t>n=1,744</w:t>
      </w:r>
      <w:r>
        <w:t>)</w:t>
      </w:r>
      <w:r w:rsidR="00F32000">
        <w:fldChar w:fldCharType="begin"/>
      </w:r>
      <w:r w:rsidR="002747EA">
        <w:instrText xml:space="preserve"> ADDIN EN.CITE &lt;EndNote&gt;&lt;Cite&gt;&lt;Author&gt;Miyake&lt;/Author&gt;&lt;Year&gt;2018&lt;/Year&gt;&lt;RecNum&gt;1464&lt;/RecNum&gt;&lt;DisplayText&gt;&lt;style face="superscript" font="Trebuchet MS" size="9"&gt;25&lt;/style&gt;&lt;/DisplayText&gt;&lt;record&gt;&lt;rec-number&gt;1464&lt;/rec-number&gt;&lt;foreign-keys&gt;&lt;key app="EN" db-id="exvasrfx2dtraoesasxp2szsxa2df502592x" timestamp="1574039610"&gt;1464&lt;/key&gt;&lt;key app="ENWeb" db-id=""&gt;0&lt;/key&gt;&lt;/foreign-keys&gt;&lt;ref-type name="Journal Article"&gt;17&lt;/ref-type&gt;&lt;contributors&gt;&lt;authors&gt;&lt;author&gt;Miyake, Yoshihiro&lt;/author&gt;&lt;author&gt;Tanaka, Keiko&lt;/author&gt;&lt;author&gt;Okubo, Hitomi&lt;/author&gt;&lt;author&gt;Sasaki, Satoshi&lt;/author&gt;&lt;author&gt;Furukawa, Shinya&lt;/author&gt;&lt;author&gt;Arakawa, Masashi&lt;/author&gt;&lt;/authors&gt;&lt;/contributors&gt;&lt;titles&gt;&lt;title&gt;Dietary patterns and depressive symptoms during pregnancy in Japan: Baseline data from the Kyushu Okinawa Maternal and Child Health Study&lt;/title&gt;&lt;secondary-title&gt;Journal of Affective Disorders&lt;/secondary-title&gt;&lt;/titles&gt;&lt;periodical&gt;&lt;full-title&gt;Journal of Affective Disorders&lt;/full-title&gt;&lt;/periodical&gt;&lt;pages&gt;552-558&lt;/pages&gt;&lt;volume&gt;225&lt;/volume&gt;&lt;section&gt;552&lt;/section&gt;&lt;dates&gt;&lt;year&gt;2018&lt;/year&gt;&lt;/dates&gt;&lt;isbn&gt;01650327&lt;/isbn&gt;&lt;urls&gt;&lt;/urls&gt;&lt;electronic-resource-num&gt;10.1016/j.jad.2017.08.073&lt;/electronic-resource-num&gt;&lt;/record&gt;&lt;/Cite&gt;&lt;/EndNote&gt;</w:instrText>
      </w:r>
      <w:r w:rsidR="00F32000">
        <w:fldChar w:fldCharType="separate"/>
      </w:r>
      <w:r w:rsidR="002747EA" w:rsidRPr="002747EA">
        <w:rPr>
          <w:noProof/>
          <w:vertAlign w:val="superscript"/>
        </w:rPr>
        <w:t>25</w:t>
      </w:r>
      <w:r w:rsidR="00F32000">
        <w:fldChar w:fldCharType="end"/>
      </w:r>
      <w:r>
        <w:t xml:space="preserve"> found </w:t>
      </w:r>
      <w:r w:rsidR="00CC5F8B">
        <w:t>an association</w:t>
      </w:r>
      <w:r>
        <w:t xml:space="preserve"> betwe</w:t>
      </w:r>
      <w:r w:rsidR="00CC5F8B">
        <w:t xml:space="preserve">en lower risk of depression and </w:t>
      </w:r>
      <w:r w:rsidRPr="003A3C7D">
        <w:t>high intake of green and yellow vegetables,</w:t>
      </w:r>
      <w:r>
        <w:t xml:space="preserve"> </w:t>
      </w:r>
      <w:r w:rsidRPr="003A3C7D">
        <w:t xml:space="preserve">other vegetables, mushrooms, pulses, seaweed, potatoes, </w:t>
      </w:r>
      <w:r w:rsidRPr="003A3C7D">
        <w:rPr>
          <w:rFonts w:ascii="Helvetica" w:hAnsi="Helvetica"/>
        </w:rPr>
        <w:t>fi</w:t>
      </w:r>
      <w:r w:rsidRPr="003A3C7D">
        <w:t>sh, sea products, miso soup and</w:t>
      </w:r>
      <w:r>
        <w:t xml:space="preserve"> </w:t>
      </w:r>
      <w:r w:rsidRPr="003A3C7D">
        <w:t>shell</w:t>
      </w:r>
      <w:r w:rsidRPr="003A3C7D">
        <w:rPr>
          <w:rFonts w:ascii="Helvetica" w:hAnsi="Helvetica"/>
        </w:rPr>
        <w:t>fi</w:t>
      </w:r>
      <w:r w:rsidRPr="003A3C7D">
        <w:t>sh</w:t>
      </w:r>
      <w:r>
        <w:t xml:space="preserve"> (</w:t>
      </w:r>
      <w:r w:rsidRPr="007A00F9">
        <w:rPr>
          <w:sz w:val="16"/>
          <w:szCs w:val="16"/>
        </w:rPr>
        <w:t>aRR 0.56; 95%CI 0.43</w:t>
      </w:r>
      <w:r w:rsidRPr="007A00F9">
        <w:rPr>
          <w:rFonts w:ascii="Helvetica" w:hAnsi="Helvetica"/>
          <w:sz w:val="16"/>
          <w:szCs w:val="16"/>
        </w:rPr>
        <w:t xml:space="preserve"> to </w:t>
      </w:r>
      <w:r w:rsidRPr="007A00F9">
        <w:rPr>
          <w:sz w:val="16"/>
          <w:szCs w:val="16"/>
        </w:rPr>
        <w:t>0.73, p&lt;0.0001</w:t>
      </w:r>
      <w:r w:rsidRPr="003A3C7D">
        <w:t>)</w:t>
      </w:r>
      <w:r w:rsidR="00F32000">
        <w:t>.</w:t>
      </w:r>
      <w:r w:rsidR="00421757">
        <w:t xml:space="preserve"> Another cross-sectional study</w:t>
      </w:r>
      <w:r w:rsidR="00836ACB">
        <w:t xml:space="preserve"> (</w:t>
      </w:r>
      <w:r w:rsidR="00836ACB" w:rsidRPr="00836ACB">
        <w:rPr>
          <w:sz w:val="16"/>
          <w:szCs w:val="16"/>
        </w:rPr>
        <w:t>n=167</w:t>
      </w:r>
      <w:r w:rsidR="00836ACB">
        <w:t>)</w:t>
      </w:r>
      <w:r w:rsidR="00421757" w:rsidRPr="008A2B00">
        <w:fldChar w:fldCharType="begin">
          <w:fldData xml:space="preserve">PEVuZE5vdGU+PENpdGU+PEF1dGhvcj5CYXNraW48L0F1dGhvcj48WWVhcj4yMDE3PC9ZZWFyPjxS
ZWNOdW0+MTM0NDwvUmVjTnVtPjxEaXNwbGF5VGV4dD48c3R5bGUgZmFjZT0ic3VwZXJzY3JpcHQi
IGZvbnQ9IlRyZWJ1Y2hldCBNUyIgc2l6ZT0iOSI+MjY8L3N0eWxlPjwvRGlzcGxheVRleHQ+PHJl
Y29yZD48cmVjLW51bWJlcj4xMzQ0PC9yZWMtbnVtYmVyPjxmb3JlaWduLWtleXM+PGtleSBhcHA9
IkVOIiBkYi1pZD0iZXh2YXNyZngyZHRyYW9lc2FzeHAyc3pzeGEyZGY1MDI1OTJ4IiB0aW1lc3Rh
bXA9IjE1NjcwMzA5NzYiPjEzNDQ8L2tleT48a2V5IGFwcD0iRU5XZWIiIGRiLWlkPSIiPjA8L2tl
eT48L2ZvcmVpZ24ta2V5cz48cmVmLXR5cGUgbmFtZT0iSm91cm5hbCBBcnRpY2xlIj4xNzwvcmVm
LXR5cGU+PGNvbnRyaWJ1dG9ycz48YXV0aG9ycz48YXV0aG9yPkJhc2tpbiwgUi48L2F1dGhvcj48
YXV0aG9yPkhpbGwsIEIuPC9hdXRob3I+PGF1dGhvcj5KYWNrYSwgRi4gTi48L2F1dGhvcj48YXV0
aG9yPk8mYXBvcztOZWlsLCBBLjwvYXV0aG9yPjxhdXRob3I+U2tvdXRlcmlzLCBILjwvYXV0aG9y
PjwvYXV0aG9ycz48L2NvbnRyaWJ1dG9ycz48YXV0aC1hZGRyZXNzPlNjaG9vbCBvZiBQc3ljaG9s
b2d5LCBEZWFraW4gVW5pdmVyc2l0eSwgQnVyd29vZCwgVmljdG9yaWEsIEF1c3RyYWxpYS4mI3hE
O0RpdmlzaW9uIG9mIE51dHJpdGlvbmFsIFBzeWNoaWF0cnkgUmVzZWFyY2gsIElNUEFDVCBTdHJh
dGVnaWMgUmVzZWFyY2ggQ2VudHJlLCBHZWVsb25nLCBWaWN0b3JpYSwgQXVzdHJhbGlhLiYjeEQ7
RGVwYXJ0bWVudCBvZiBQc3ljaGlhdHJ5LCBUaGUgVW5pdmVyc2l0eSBvZiBNZWxib3VybmUsIE1l
bGJvdXJuZSwgVmljdG9yaWEsIEF1c3RyYWxpYS4mI3hEO0NlbnRyZSBmb3IgQWRvbGVzY2VudCBI
ZWFsdGgsIE11cmRvY2ggQ2hpbGRyZW4mYXBvcztzIFJlc2VhcmNoIENlbnRyZSwgUGFya3ZpbGxl
LCBWaWN0b3JpYSwgQXVzdHJhbGlhLiYjeEQ7QmxhY2sgRG9nIEluc3RpdHV0ZSwgTmV3IFNvdXRo
IFdhbGVzLCBBdXN0cmFsaWEuJiN4RDtTY2hvb2wgb2YgUG9wdWxhdGlvbiBhbmQgR2xvYmFsIEhl
YWx0aCwgVW5pdmVyc2l0eSBvZiBNZWxib3VybmUsIENhcmx0b24sIFZpY3RvcmlhLCBBdXN0cmFs
aWEuJiN4RDtTY2hvb2wgb2YgUHVibGljIEhlYWx0aCBhbmQgUHJldmVudGl2ZSBNZWRpY2luZSwg
TW9uYXNoIFVuaXZlcnNpdHksIFByYWhyYW4sIFZpY3RvcmlhLCBBdXN0cmFsaWEuPC9hdXRoLWFk
ZHJlc3M+PHRpdGxlcz48dGl0bGU+QW50ZW5hdGFsIGRpZXRhcnkgcGF0dGVybnMgYW5kIGRlcHJl
c3NpdmUgc3ltcHRvbXMgZHVyaW5nIHByZWduYW5jeSBhbmQgZWFybHkgcG9zdC1wYXJ0dW08L3Rp
dGxlPjxzZWNvbmRhcnktdGl0bGU+TWF0ZXJuIENoaWxkIE51dHI8L3NlY29uZGFyeS10aXRsZT48
L3RpdGxlcz48cGVyaW9kaWNhbD48ZnVsbC10aXRsZT5NYXRlcm4gQ2hpbGQgTnV0cjwvZnVsbC10
aXRsZT48L3BlcmlvZGljYWw+PHZvbHVtZT4xMzwvdm9sdW1lPjxudW1iZXI+MTwvbnVtYmVyPjxl
ZGl0aW9uPjIwMTYvMDEvMDU8L2VkaXRpb24+PGtleXdvcmRzPjxrZXl3b3JkPkFkb2xlc2NlbnQ8
L2tleXdvcmQ+PGtleXdvcmQ+QWR1bHQ8L2tleXdvcmQ+PGtleXdvcmQ+QW5pbWFsczwva2V5d29y
ZD48a2V5d29yZD5Dcm9zcy1TZWN0aW9uYWwgU3R1ZGllczwva2V5d29yZD48a2V5d29yZD5EZXBy
ZXNzaW9uLCBQb3N0cGFydHVtLypwcmV2ZW50aW9uICZhbXA7IGNvbnRyb2w8L2tleXdvcmQ+PGtl
eXdvcmQ+RmVtYWxlPC9rZXl3b3JkPjxrZXl3b3JkPkZpc2hlczwva2V5d29yZD48a2V5d29yZD5G
b29kIFF1YWxpdHk8L2tleXdvcmQ+PGtleXdvcmQ+RnJ1aXQ8L2tleXdvcmQ+PGtleXdvcmQ+Kkhl
YWx0aHkgRGlldDwva2V5d29yZD48a2V5d29yZD5IdW1hbnM8L2tleXdvcmQ+PGtleXdvcmQ+TGlm
ZSBTdHlsZTwva2V5d29yZD48a2V5d29yZD5OdXRyaXRpb24gQXNzZXNzbWVudDwva2V5d29yZD48
a2V5d29yZD4qUG9zdHBhcnR1bSBQZXJpb2Q8L2tleXdvcmQ+PGtleXdvcmQ+UHJlZ25hbmN5PC9r
ZXl3b3JkPjxrZXl3b3JkPipQcmVuYXRhbCBDYXJlPC9rZXl3b3JkPjxrZXl3b3JkPlByb3NwZWN0
aXZlIFN0dWRpZXM8L2tleXdvcmQ+PGtleXdvcmQ+U29jaW9lY29ub21pYyBGYWN0b3JzPC9rZXl3
b3JkPjxrZXl3b3JkPlN1cnZleXMgYW5kIFF1ZXN0aW9ubmFpcmVzPC9rZXl3b3JkPjxrZXl3b3Jk
PlZlZ2V0YWJsZXM8L2tleXdvcmQ+PGtleXdvcmQ+V2hvbGUgR3JhaW5zPC9rZXl3b3JkPjxrZXl3
b3JkPllvdW5nIEFkdWx0PC9rZXl3b3JkPjxrZXl3b3JkPiphbnRlbmF0YWw8L2tleXdvcmQ+PGtl
eXdvcmQ+KmRlcHJlc3Npb248L2tleXdvcmQ+PGtleXdvcmQ+KmRpZXQgcXVhbGl0eTwva2V5d29y
ZD48a2V5d29yZD4qbWF0ZXJuYWwgaGVhbHRoPC9rZXl3b3JkPjxrZXl3b3JkPipwZXJpbmF0YWw8
L2tleXdvcmQ+PGtleXdvcmQ+KnBvc3QtbmF0YWw8L2tleXdvcmQ+PC9rZXl3b3Jkcz48ZGF0ZXM+
PHllYXI+MjAxNzwveWVhcj48cHViLWRhdGVzPjxkYXRlPkphbjwvZGF0ZT48L3B1Yi1kYXRlcz48
L2RhdGVzPjxpc2JuPjE3NDAtODcwOSAoRWxlY3Ryb25pYykmI3hEOzE3NDAtODY5NSAoTGlua2lu
Zyk8L2lzYm4+PGFjY2Vzc2lvbi1udW0+MjY3MjUzNDc8L2FjY2Vzc2lvbi1udW0+PHVybHM+PHJl
bGF0ZWQtdXJscz48dXJsPmh0dHBzOi8vd3d3Lm5jYmkubmxtLm5paC5nb3YvcHVibWVkLzI2NzI1
MzQ3PC91cmw+PC9yZWxhdGVkLXVybHM+PC91cmxzPjxlbGVjdHJvbmljLXJlc291cmNlLW51bT4x
MC4xMTExL21jbi4xMjIxODwvZWxlY3Ryb25pYy1yZXNvdXJjZS1udW0+PC9yZWNvcmQ+PC9DaXRl
PjwvRW5kTm90ZT4A
</w:fldData>
        </w:fldChar>
      </w:r>
      <w:r w:rsidR="002747EA">
        <w:instrText xml:space="preserve"> ADDIN EN.CITE </w:instrText>
      </w:r>
      <w:r w:rsidR="002747EA">
        <w:fldChar w:fldCharType="begin">
          <w:fldData xml:space="preserve">PEVuZE5vdGU+PENpdGU+PEF1dGhvcj5CYXNraW48L0F1dGhvcj48WWVhcj4yMDE3PC9ZZWFyPjxS
ZWNOdW0+MTM0NDwvUmVjTnVtPjxEaXNwbGF5VGV4dD48c3R5bGUgZmFjZT0ic3VwZXJzY3JpcHQi
IGZvbnQ9IlRyZWJ1Y2hldCBNUyIgc2l6ZT0iOSI+MjY8L3N0eWxlPjwvRGlzcGxheVRleHQ+PHJl
Y29yZD48cmVjLW51bWJlcj4xMzQ0PC9yZWMtbnVtYmVyPjxmb3JlaWduLWtleXM+PGtleSBhcHA9
IkVOIiBkYi1pZD0iZXh2YXNyZngyZHRyYW9lc2FzeHAyc3pzeGEyZGY1MDI1OTJ4IiB0aW1lc3Rh
bXA9IjE1NjcwMzA5NzYiPjEzNDQ8L2tleT48a2V5IGFwcD0iRU5XZWIiIGRiLWlkPSIiPjA8L2tl
eT48L2ZvcmVpZ24ta2V5cz48cmVmLXR5cGUgbmFtZT0iSm91cm5hbCBBcnRpY2xlIj4xNzwvcmVm
LXR5cGU+PGNvbnRyaWJ1dG9ycz48YXV0aG9ycz48YXV0aG9yPkJhc2tpbiwgUi48L2F1dGhvcj48
YXV0aG9yPkhpbGwsIEIuPC9hdXRob3I+PGF1dGhvcj5KYWNrYSwgRi4gTi48L2F1dGhvcj48YXV0
aG9yPk8mYXBvcztOZWlsLCBBLjwvYXV0aG9yPjxhdXRob3I+U2tvdXRlcmlzLCBILjwvYXV0aG9y
PjwvYXV0aG9ycz48L2NvbnRyaWJ1dG9ycz48YXV0aC1hZGRyZXNzPlNjaG9vbCBvZiBQc3ljaG9s
b2d5LCBEZWFraW4gVW5pdmVyc2l0eSwgQnVyd29vZCwgVmljdG9yaWEsIEF1c3RyYWxpYS4mI3hE
O0RpdmlzaW9uIG9mIE51dHJpdGlvbmFsIFBzeWNoaWF0cnkgUmVzZWFyY2gsIElNUEFDVCBTdHJh
dGVnaWMgUmVzZWFyY2ggQ2VudHJlLCBHZWVsb25nLCBWaWN0b3JpYSwgQXVzdHJhbGlhLiYjeEQ7
RGVwYXJ0bWVudCBvZiBQc3ljaGlhdHJ5LCBUaGUgVW5pdmVyc2l0eSBvZiBNZWxib3VybmUsIE1l
bGJvdXJuZSwgVmljdG9yaWEsIEF1c3RyYWxpYS4mI3hEO0NlbnRyZSBmb3IgQWRvbGVzY2VudCBI
ZWFsdGgsIE11cmRvY2ggQ2hpbGRyZW4mYXBvcztzIFJlc2VhcmNoIENlbnRyZSwgUGFya3ZpbGxl
LCBWaWN0b3JpYSwgQXVzdHJhbGlhLiYjeEQ7QmxhY2sgRG9nIEluc3RpdHV0ZSwgTmV3IFNvdXRo
IFdhbGVzLCBBdXN0cmFsaWEuJiN4RDtTY2hvb2wgb2YgUG9wdWxhdGlvbiBhbmQgR2xvYmFsIEhl
YWx0aCwgVW5pdmVyc2l0eSBvZiBNZWxib3VybmUsIENhcmx0b24sIFZpY3RvcmlhLCBBdXN0cmFs
aWEuJiN4RDtTY2hvb2wgb2YgUHVibGljIEhlYWx0aCBhbmQgUHJldmVudGl2ZSBNZWRpY2luZSwg
TW9uYXNoIFVuaXZlcnNpdHksIFByYWhyYW4sIFZpY3RvcmlhLCBBdXN0cmFsaWEuPC9hdXRoLWFk
ZHJlc3M+PHRpdGxlcz48dGl0bGU+QW50ZW5hdGFsIGRpZXRhcnkgcGF0dGVybnMgYW5kIGRlcHJl
c3NpdmUgc3ltcHRvbXMgZHVyaW5nIHByZWduYW5jeSBhbmQgZWFybHkgcG9zdC1wYXJ0dW08L3Rp
dGxlPjxzZWNvbmRhcnktdGl0bGU+TWF0ZXJuIENoaWxkIE51dHI8L3NlY29uZGFyeS10aXRsZT48
L3RpdGxlcz48cGVyaW9kaWNhbD48ZnVsbC10aXRsZT5NYXRlcm4gQ2hpbGQgTnV0cjwvZnVsbC10
aXRsZT48L3BlcmlvZGljYWw+PHZvbHVtZT4xMzwvdm9sdW1lPjxudW1iZXI+MTwvbnVtYmVyPjxl
ZGl0aW9uPjIwMTYvMDEvMDU8L2VkaXRpb24+PGtleXdvcmRzPjxrZXl3b3JkPkFkb2xlc2NlbnQ8
L2tleXdvcmQ+PGtleXdvcmQ+QWR1bHQ8L2tleXdvcmQ+PGtleXdvcmQ+QW5pbWFsczwva2V5d29y
ZD48a2V5d29yZD5Dcm9zcy1TZWN0aW9uYWwgU3R1ZGllczwva2V5d29yZD48a2V5d29yZD5EZXBy
ZXNzaW9uLCBQb3N0cGFydHVtLypwcmV2ZW50aW9uICZhbXA7IGNvbnRyb2w8L2tleXdvcmQ+PGtl
eXdvcmQ+RmVtYWxlPC9rZXl3b3JkPjxrZXl3b3JkPkZpc2hlczwva2V5d29yZD48a2V5d29yZD5G
b29kIFF1YWxpdHk8L2tleXdvcmQ+PGtleXdvcmQ+RnJ1aXQ8L2tleXdvcmQ+PGtleXdvcmQ+Kkhl
YWx0aHkgRGlldDwva2V5d29yZD48a2V5d29yZD5IdW1hbnM8L2tleXdvcmQ+PGtleXdvcmQ+TGlm
ZSBTdHlsZTwva2V5d29yZD48a2V5d29yZD5OdXRyaXRpb24gQXNzZXNzbWVudDwva2V5d29yZD48
a2V5d29yZD4qUG9zdHBhcnR1bSBQZXJpb2Q8L2tleXdvcmQ+PGtleXdvcmQ+UHJlZ25hbmN5PC9r
ZXl3b3JkPjxrZXl3b3JkPipQcmVuYXRhbCBDYXJlPC9rZXl3b3JkPjxrZXl3b3JkPlByb3NwZWN0
aXZlIFN0dWRpZXM8L2tleXdvcmQ+PGtleXdvcmQ+U29jaW9lY29ub21pYyBGYWN0b3JzPC9rZXl3
b3JkPjxrZXl3b3JkPlN1cnZleXMgYW5kIFF1ZXN0aW9ubmFpcmVzPC9rZXl3b3JkPjxrZXl3b3Jk
PlZlZ2V0YWJsZXM8L2tleXdvcmQ+PGtleXdvcmQ+V2hvbGUgR3JhaW5zPC9rZXl3b3JkPjxrZXl3
b3JkPllvdW5nIEFkdWx0PC9rZXl3b3JkPjxrZXl3b3JkPiphbnRlbmF0YWw8L2tleXdvcmQ+PGtl
eXdvcmQ+KmRlcHJlc3Npb248L2tleXdvcmQ+PGtleXdvcmQ+KmRpZXQgcXVhbGl0eTwva2V5d29y
ZD48a2V5d29yZD4qbWF0ZXJuYWwgaGVhbHRoPC9rZXl3b3JkPjxrZXl3b3JkPipwZXJpbmF0YWw8
L2tleXdvcmQ+PGtleXdvcmQ+KnBvc3QtbmF0YWw8L2tleXdvcmQ+PC9rZXl3b3Jkcz48ZGF0ZXM+
PHllYXI+MjAxNzwveWVhcj48cHViLWRhdGVzPjxkYXRlPkphbjwvZGF0ZT48L3B1Yi1kYXRlcz48
L2RhdGVzPjxpc2JuPjE3NDAtODcwOSAoRWxlY3Ryb25pYykmI3hEOzE3NDAtODY5NSAoTGlua2lu
Zyk8L2lzYm4+PGFjY2Vzc2lvbi1udW0+MjY3MjUzNDc8L2FjY2Vzc2lvbi1udW0+PHVybHM+PHJl
bGF0ZWQtdXJscz48dXJsPmh0dHBzOi8vd3d3Lm5jYmkubmxtLm5paC5nb3YvcHVibWVkLzI2NzI1
MzQ3PC91cmw+PC9yZWxhdGVkLXVybHM+PC91cmxzPjxlbGVjdHJvbmljLXJlc291cmNlLW51bT4x
MC4xMTExL21jbi4xMjIxODwvZWxlY3Ryb25pYy1yZXNvdXJjZS1udW0+PC9yZWNvcmQ+PC9DaXRl
PjwvRW5kTm90ZT4A
</w:fldData>
        </w:fldChar>
      </w:r>
      <w:r w:rsidR="002747EA">
        <w:instrText xml:space="preserve"> ADDIN EN.CITE.DATA </w:instrText>
      </w:r>
      <w:r w:rsidR="002747EA">
        <w:fldChar w:fldCharType="end"/>
      </w:r>
      <w:r w:rsidR="00421757" w:rsidRPr="008A2B00">
        <w:fldChar w:fldCharType="separate"/>
      </w:r>
      <w:r w:rsidR="002747EA" w:rsidRPr="002747EA">
        <w:rPr>
          <w:noProof/>
          <w:vertAlign w:val="superscript"/>
        </w:rPr>
        <w:t>26</w:t>
      </w:r>
      <w:r w:rsidR="00421757" w:rsidRPr="008A2B00">
        <w:fldChar w:fldCharType="end"/>
      </w:r>
      <w:r w:rsidR="00421757">
        <w:t xml:space="preserve"> found a </w:t>
      </w:r>
      <w:r w:rsidR="00421757" w:rsidRPr="00F57770">
        <w:t>signi</w:t>
      </w:r>
      <w:r w:rsidR="00421757" w:rsidRPr="00F57770">
        <w:rPr>
          <w:rFonts w:ascii="Helvetica" w:hAnsi="Helvetica"/>
        </w:rPr>
        <w:t>fi</w:t>
      </w:r>
      <w:r w:rsidR="00421757" w:rsidRPr="00F57770">
        <w:t xml:space="preserve">cant path between an </w:t>
      </w:r>
      <w:r w:rsidR="00421757" w:rsidRPr="00F57770">
        <w:rPr>
          <w:rFonts w:ascii="Helvetica" w:hAnsi="Helvetica"/>
        </w:rPr>
        <w:t>‘</w:t>
      </w:r>
      <w:r w:rsidR="00421757" w:rsidRPr="00F57770">
        <w:t>unhealthy</w:t>
      </w:r>
      <w:r w:rsidR="00421757" w:rsidRPr="00F57770">
        <w:rPr>
          <w:rFonts w:ascii="Helvetica" w:hAnsi="Helvetica"/>
        </w:rPr>
        <w:t xml:space="preserve">’ </w:t>
      </w:r>
      <w:r w:rsidR="00421757" w:rsidRPr="00F57770">
        <w:t xml:space="preserve">diet at </w:t>
      </w:r>
      <w:r w:rsidR="00836ACB">
        <w:t>around 16 weeks gestation</w:t>
      </w:r>
      <w:r w:rsidR="00421757" w:rsidRPr="00F57770">
        <w:t xml:space="preserve"> and</w:t>
      </w:r>
      <w:r w:rsidR="00421757">
        <w:t xml:space="preserve"> </w:t>
      </w:r>
      <w:r w:rsidR="00DB7B36">
        <w:t xml:space="preserve">depressive symptoms at </w:t>
      </w:r>
      <w:r w:rsidR="00836ACB">
        <w:t>the same time</w:t>
      </w:r>
      <w:r w:rsidR="00DB7B36">
        <w:t xml:space="preserve"> </w:t>
      </w:r>
      <w:r w:rsidR="00836ACB">
        <w:t xml:space="preserve">point </w:t>
      </w:r>
      <w:r w:rsidR="00421757" w:rsidRPr="00F57770">
        <w:t>(</w:t>
      </w:r>
      <w:r w:rsidR="00421757" w:rsidRPr="00836ACB">
        <w:rPr>
          <w:rFonts w:ascii="Helvetica" w:hAnsi="Helvetica"/>
          <w:sz w:val="16"/>
          <w:szCs w:val="16"/>
        </w:rPr>
        <w:t xml:space="preserve">β </w:t>
      </w:r>
      <w:r w:rsidR="00421757" w:rsidRPr="00836ACB">
        <w:rPr>
          <w:sz w:val="16"/>
          <w:szCs w:val="16"/>
        </w:rPr>
        <w:t>0.16, p</w:t>
      </w:r>
      <w:r w:rsidR="00421757" w:rsidRPr="00836ACB">
        <w:rPr>
          <w:rFonts w:ascii="Helvetica" w:hAnsi="Helvetica"/>
          <w:sz w:val="16"/>
          <w:szCs w:val="16"/>
        </w:rPr>
        <w:t>&lt;</w:t>
      </w:r>
      <w:r w:rsidR="00421757" w:rsidRPr="00836ACB">
        <w:rPr>
          <w:sz w:val="16"/>
          <w:szCs w:val="16"/>
        </w:rPr>
        <w:t>0.05, 95%CI 0.02 to 0.30</w:t>
      </w:r>
      <w:r w:rsidR="00421757" w:rsidRPr="00F57770">
        <w:t xml:space="preserve">); higher </w:t>
      </w:r>
      <w:r w:rsidR="00421757" w:rsidRPr="00F57770">
        <w:rPr>
          <w:rFonts w:ascii="Helvetica" w:hAnsi="Helvetica"/>
        </w:rPr>
        <w:t>‘</w:t>
      </w:r>
      <w:r w:rsidR="00421757" w:rsidRPr="00F57770">
        <w:t>unhealthy</w:t>
      </w:r>
      <w:r w:rsidR="00421757" w:rsidRPr="00F57770">
        <w:rPr>
          <w:rFonts w:ascii="Helvetica" w:hAnsi="Helvetica"/>
        </w:rPr>
        <w:t xml:space="preserve">’ </w:t>
      </w:r>
      <w:r w:rsidR="00421757" w:rsidRPr="00F57770">
        <w:t>dietary pattern</w:t>
      </w:r>
      <w:r w:rsidR="00421757">
        <w:t xml:space="preserve"> </w:t>
      </w:r>
      <w:r w:rsidR="00421757" w:rsidRPr="00F57770">
        <w:t>scores were related to higher</w:t>
      </w:r>
      <w:r w:rsidR="00421757">
        <w:t xml:space="preserve"> </w:t>
      </w:r>
      <w:r w:rsidR="00421757" w:rsidRPr="00F57770">
        <w:t>depressive symptoms</w:t>
      </w:r>
      <w:r w:rsidR="000A7CD9">
        <w:t>.</w:t>
      </w:r>
      <w:r w:rsidR="00421757">
        <w:t xml:space="preserve"> </w:t>
      </w:r>
      <w:r w:rsidR="004C390A">
        <w:t>A third cross-sectional study (</w:t>
      </w:r>
      <w:r w:rsidR="004C390A" w:rsidRPr="004C390A">
        <w:rPr>
          <w:sz w:val="16"/>
          <w:szCs w:val="16"/>
        </w:rPr>
        <w:t>n=253</w:t>
      </w:r>
      <w:r w:rsidR="004C390A">
        <w:t>)</w:t>
      </w:r>
      <w:r w:rsidR="00774750">
        <w:fldChar w:fldCharType="begin">
          <w:fldData xml:space="preserve">PEVuZE5vdGU+PENpdGU+PEF1dGhvcj5OYXRoYW5zb248L0F1dGhvcj48WWVhcj4yMDE4PC9ZZWFy
PjxSZWNOdW0+MTcyNjwvUmVjTnVtPjxEaXNwbGF5VGV4dD48c3R5bGUgZmFjZT0ic3VwZXJzY3Jp
cHQiIGZvbnQ9IlRyZWJ1Y2hldCBNUyIgc2l6ZT0iOSI+Mjc8L3N0eWxlPjwvRGlzcGxheVRleHQ+
PHJlY29yZD48cmVjLW51bWJlcj4xNzI2PC9yZWMtbnVtYmVyPjxmb3JlaWduLWtleXM+PGtleSBh
cHA9IkVOIiBkYi1pZD0iZXh2YXNyZngyZHRyYW9lc2FzeHAyc3pzeGEyZGY1MDI1OTJ4IiB0aW1l
c3RhbXA9IjE1ODI1MDYxOTIiPjE3MjY8L2tleT48a2V5IGFwcD0iRU5XZWIiIGRiLWlkPSIiPjA8
L2tleT48L2ZvcmVpZ24ta2V5cz48cmVmLXR5cGUgbmFtZT0iSm91cm5hbCBBcnRpY2xlIj4xNzwv
cmVmLXR5cGU+PGNvbnRyaWJ1dG9ycz48YXV0aG9ycz48YXV0aG9yPk5hdGhhbnNvbiwgUi48L2F1
dGhvcj48YXV0aG9yPkhpbGwsIEIuPC9hdXRob3I+PGF1dGhvcj5Ta291dGVyaXMsIEguPC9hdXRo
b3I+PGF1dGhvcj5CYWlsZXksIEMuPC9hdXRob3I+PC9hdXRob3JzPjwvY29udHJpYnV0b3JzPjxh
dXRoLWFkZHJlc3M+TW9uYXNoIENlbnRyZSBmb3IgSGVhbHRoIFJlc2VhcmNoIGFuZCBJbXBsZW1l
bnRhdGlvbiBMZXZlbCAxLCA0My01MSBLYW5vb2thIEdyb3ZlLCBDbGF5dG9uIFZJQyAzMTY4LCBB
dXN0cmFsaWEuJiN4RDtNb25hc2ggQ2VudHJlIGZvciBIZWFsdGggUmVzZWFyY2ggYW5kIEltcGxl
bWVudGF0aW9uIExldmVsIDEsIDQzLTUxIEthbm9va2EgR3JvdmUsIENsYXl0b24gVklDIDMxNjgs
IEF1c3RyYWxpYS4gRWxlY3Ryb25pYyBhZGRyZXNzOiBicmlvbnkuaGlsbEBtb25hc2guZWR1Ljwv
YXV0aC1hZGRyZXNzPjx0aXRsZXM+PHRpdGxlPkFudGVuYXRhbCBkaWV0IGFuZCBwb3N0cGFydHVt
IGRlcHJlc3NpdmUgc3ltcHRvbXM6IEEgcHJvc3BlY3RpdmUgc3R1ZHk8L3RpdGxlPjxzZWNvbmRh
cnktdGl0bGU+TWlkd2lmZXJ5PC9zZWNvbmRhcnktdGl0bGU+PC90aXRsZXM+PHBlcmlvZGljYWw+
PGZ1bGwtdGl0bGU+TWlkd2lmZXJ5PC9mdWxsLXRpdGxlPjwvcGVyaW9kaWNhbD48cGFnZXM+Njkt
NzY8L3BhZ2VzPjx2b2x1bWU+NjI8L3ZvbHVtZT48ZWRpdGlvbj4yMDE4LzA0LzE1PC9lZGl0aW9u
PjxrZXl3b3Jkcz48a2V5d29yZD5BZHVsdDwva2V5d29yZD48a2V5d29yZD5BdXN0cmFsaWE8L2tl
eXdvcmQ+PGtleXdvcmQ+RGVwcmVzc2lvbi8qZXRpb2xvZ3kvcHN5Y2hvbG9neTwva2V5d29yZD48
a2V5d29yZD5EaWV0L3N0YW5kYXJkcy9zdGF0aXN0aWNzICZhbXA7IG51bWVyaWNhbCBkYXRhPC9r
ZXl3b3JkPjxrZXl3b3JkPkZlZWRpbmcgQmVoYXZpb3IvKnBzeWNob2xvZ3k8L2tleXdvcmQ+PGtl
eXdvcmQ+RmVtYWxlPC9rZXl3b3JkPjxrZXl3b3JkPkh1bWFuczwva2V5d29yZD48a2V5d29yZD5J
bmNvbWUvc3RhdGlzdGljcyAmYW1wOyBudW1lcmljYWwgZGF0YTwva2V5d29yZD48a2V5d29yZD5Q
cmVnbmFuY3k8L2tleXdvcmQ+PGtleXdvcmQ+UHJlbmF0YWwgQ2FyZS9tZXRob2RzLypwc3ljaG9s
b2d5PC9rZXl3b3JkPjxrZXl3b3JkPlByb3NwZWN0aXZlIFN0dWRpZXM8L2tleXdvcmQ+PGtleXdv
cmQ+U3VydmV5cyBhbmQgUXVlc3Rpb25uYWlyZXM8L2tleXdvcmQ+PGtleXdvcmQ+QW50ZW5hdGFs
PC9rZXl3b3JkPjxrZXl3b3JkPkRlcHJlc3Npb248L2tleXdvcmQ+PGtleXdvcmQ+RGlldCBxdWFs
aXR5PC9rZXl3b3JkPjxrZXl3b3JkPkZvb2QgZ3JvdXBzPC9rZXl3b3JkPjxrZXl3b3JkPk1hdGVy
bmFsIGhlYWx0aDwva2V5d29yZD48a2V5d29yZD5Qb3N0bmF0YWw8L2tleXdvcmQ+PC9rZXl3b3Jk
cz48ZGF0ZXM+PHllYXI+MjAxODwveWVhcj48cHViLWRhdGVzPjxkYXRlPkp1bDwvZGF0ZT48L3B1
Yi1kYXRlcz48L2RhdGVzPjxpc2JuPjE1MzItMzA5OSAoRWxlY3Ryb25pYykmI3hEOzAyNjYtNjEz
OCAoTGlua2luZyk8L2lzYm4+PGFjY2Vzc2lvbi1udW0+Mjk2NTUwMDc8L2FjY2Vzc2lvbi1udW0+
PHVybHM+PHJlbGF0ZWQtdXJscz48dXJsPmh0dHBzOi8vd3d3Lm5jYmkubmxtLm5paC5nb3YvcHVi
bWVkLzI5NjU1MDA3PC91cmw+PC9yZWxhdGVkLXVybHM+PC91cmxzPjxlbGVjdHJvbmljLXJlc291
cmNlLW51bT4xMC4xMDE2L2oubWlkdy4yMDE4LjAzLjAxNTwvZWxlY3Ryb25pYy1yZXNvdXJjZS1u
dW0+PC9yZWNvcmQ+PC9DaXRlPjwvRW5kTm90ZT4A
</w:fldData>
        </w:fldChar>
      </w:r>
      <w:r w:rsidR="002747EA">
        <w:instrText xml:space="preserve"> ADDIN EN.CITE </w:instrText>
      </w:r>
      <w:r w:rsidR="002747EA">
        <w:fldChar w:fldCharType="begin">
          <w:fldData xml:space="preserve">PEVuZE5vdGU+PENpdGU+PEF1dGhvcj5OYXRoYW5zb248L0F1dGhvcj48WWVhcj4yMDE4PC9ZZWFy
PjxSZWNOdW0+MTcyNjwvUmVjTnVtPjxEaXNwbGF5VGV4dD48c3R5bGUgZmFjZT0ic3VwZXJzY3Jp
cHQiIGZvbnQ9IlRyZWJ1Y2hldCBNUyIgc2l6ZT0iOSI+Mjc8L3N0eWxlPjwvRGlzcGxheVRleHQ+
PHJlY29yZD48cmVjLW51bWJlcj4xNzI2PC9yZWMtbnVtYmVyPjxmb3JlaWduLWtleXM+PGtleSBh
cHA9IkVOIiBkYi1pZD0iZXh2YXNyZngyZHRyYW9lc2FzeHAyc3pzeGEyZGY1MDI1OTJ4IiB0aW1l
c3RhbXA9IjE1ODI1MDYxOTIiPjE3MjY8L2tleT48a2V5IGFwcD0iRU5XZWIiIGRiLWlkPSIiPjA8
L2tleT48L2ZvcmVpZ24ta2V5cz48cmVmLXR5cGUgbmFtZT0iSm91cm5hbCBBcnRpY2xlIj4xNzwv
cmVmLXR5cGU+PGNvbnRyaWJ1dG9ycz48YXV0aG9ycz48YXV0aG9yPk5hdGhhbnNvbiwgUi48L2F1
dGhvcj48YXV0aG9yPkhpbGwsIEIuPC9hdXRob3I+PGF1dGhvcj5Ta291dGVyaXMsIEguPC9hdXRo
b3I+PGF1dGhvcj5CYWlsZXksIEMuPC9hdXRob3I+PC9hdXRob3JzPjwvY29udHJpYnV0b3JzPjxh
dXRoLWFkZHJlc3M+TW9uYXNoIENlbnRyZSBmb3IgSGVhbHRoIFJlc2VhcmNoIGFuZCBJbXBsZW1l
bnRhdGlvbiBMZXZlbCAxLCA0My01MSBLYW5vb2thIEdyb3ZlLCBDbGF5dG9uIFZJQyAzMTY4LCBB
dXN0cmFsaWEuJiN4RDtNb25hc2ggQ2VudHJlIGZvciBIZWFsdGggUmVzZWFyY2ggYW5kIEltcGxl
bWVudGF0aW9uIExldmVsIDEsIDQzLTUxIEthbm9va2EgR3JvdmUsIENsYXl0b24gVklDIDMxNjgs
IEF1c3RyYWxpYS4gRWxlY3Ryb25pYyBhZGRyZXNzOiBicmlvbnkuaGlsbEBtb25hc2guZWR1Ljwv
YXV0aC1hZGRyZXNzPjx0aXRsZXM+PHRpdGxlPkFudGVuYXRhbCBkaWV0IGFuZCBwb3N0cGFydHVt
IGRlcHJlc3NpdmUgc3ltcHRvbXM6IEEgcHJvc3BlY3RpdmUgc3R1ZHk8L3RpdGxlPjxzZWNvbmRh
cnktdGl0bGU+TWlkd2lmZXJ5PC9zZWNvbmRhcnktdGl0bGU+PC90aXRsZXM+PHBlcmlvZGljYWw+
PGZ1bGwtdGl0bGU+TWlkd2lmZXJ5PC9mdWxsLXRpdGxlPjwvcGVyaW9kaWNhbD48cGFnZXM+Njkt
NzY8L3BhZ2VzPjx2b2x1bWU+NjI8L3ZvbHVtZT48ZWRpdGlvbj4yMDE4LzA0LzE1PC9lZGl0aW9u
PjxrZXl3b3Jkcz48a2V5d29yZD5BZHVsdDwva2V5d29yZD48a2V5d29yZD5BdXN0cmFsaWE8L2tl
eXdvcmQ+PGtleXdvcmQ+RGVwcmVzc2lvbi8qZXRpb2xvZ3kvcHN5Y2hvbG9neTwva2V5d29yZD48
a2V5d29yZD5EaWV0L3N0YW5kYXJkcy9zdGF0aXN0aWNzICZhbXA7IG51bWVyaWNhbCBkYXRhPC9r
ZXl3b3JkPjxrZXl3b3JkPkZlZWRpbmcgQmVoYXZpb3IvKnBzeWNob2xvZ3k8L2tleXdvcmQ+PGtl
eXdvcmQ+RmVtYWxlPC9rZXl3b3JkPjxrZXl3b3JkPkh1bWFuczwva2V5d29yZD48a2V5d29yZD5J
bmNvbWUvc3RhdGlzdGljcyAmYW1wOyBudW1lcmljYWwgZGF0YTwva2V5d29yZD48a2V5d29yZD5Q
cmVnbmFuY3k8L2tleXdvcmQ+PGtleXdvcmQ+UHJlbmF0YWwgQ2FyZS9tZXRob2RzLypwc3ljaG9s
b2d5PC9rZXl3b3JkPjxrZXl3b3JkPlByb3NwZWN0aXZlIFN0dWRpZXM8L2tleXdvcmQ+PGtleXdv
cmQ+U3VydmV5cyBhbmQgUXVlc3Rpb25uYWlyZXM8L2tleXdvcmQ+PGtleXdvcmQ+QW50ZW5hdGFs
PC9rZXl3b3JkPjxrZXl3b3JkPkRlcHJlc3Npb248L2tleXdvcmQ+PGtleXdvcmQ+RGlldCBxdWFs
aXR5PC9rZXl3b3JkPjxrZXl3b3JkPkZvb2QgZ3JvdXBzPC9rZXl3b3JkPjxrZXl3b3JkPk1hdGVy
bmFsIGhlYWx0aDwva2V5d29yZD48a2V5d29yZD5Qb3N0bmF0YWw8L2tleXdvcmQ+PC9rZXl3b3Jk
cz48ZGF0ZXM+PHllYXI+MjAxODwveWVhcj48cHViLWRhdGVzPjxkYXRlPkp1bDwvZGF0ZT48L3B1
Yi1kYXRlcz48L2RhdGVzPjxpc2JuPjE1MzItMzA5OSAoRWxlY3Ryb25pYykmI3hEOzAyNjYtNjEz
OCAoTGlua2luZyk8L2lzYm4+PGFjY2Vzc2lvbi1udW0+Mjk2NTUwMDc8L2FjY2Vzc2lvbi1udW0+
PHVybHM+PHJlbGF0ZWQtdXJscz48dXJsPmh0dHBzOi8vd3d3Lm5jYmkubmxtLm5paC5nb3YvcHVi
bWVkLzI5NjU1MDA3PC91cmw+PC9yZWxhdGVkLXVybHM+PC91cmxzPjxlbGVjdHJvbmljLXJlc291
cmNlLW51bT4xMC4xMDE2L2oubWlkdy4yMDE4LjAzLjAxNTwvZWxlY3Ryb25pYy1yZXNvdXJjZS1u
dW0+PC9yZWNvcmQ+PC9DaXRlPjwvRW5kTm90ZT4A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27</w:t>
      </w:r>
      <w:r w:rsidR="00774750">
        <w:fldChar w:fldCharType="end"/>
      </w:r>
      <w:r w:rsidR="004C390A" w:rsidRPr="00511907">
        <w:t xml:space="preserve"> fou</w:t>
      </w:r>
      <w:r w:rsidR="004C390A">
        <w:t>nd that a</w:t>
      </w:r>
      <w:r w:rsidR="004C390A" w:rsidRPr="00EF4072">
        <w:t>ntenatal diet quality as measured by intake of food groups associated with a healthy diet was not associated with postpartum depressive symptoms at 12 months postpartum.</w:t>
      </w:r>
    </w:p>
    <w:p w14:paraId="58AB9195" w14:textId="3D0D5721" w:rsidR="00FB1FA0" w:rsidRDefault="00232A9D" w:rsidP="00FB1FA0">
      <w:pPr>
        <w:pStyle w:val="Heading4"/>
      </w:pPr>
      <w:r>
        <w:t>Fetal growth and p</w:t>
      </w:r>
      <w:r w:rsidR="00FB1FA0">
        <w:t>reterm birth</w:t>
      </w:r>
      <w:r w:rsidR="009654BD">
        <w:t xml:space="preserve"> </w:t>
      </w:r>
    </w:p>
    <w:p w14:paraId="7E9AC939" w14:textId="62EF0454" w:rsidR="00847488" w:rsidRPr="00FC624C" w:rsidRDefault="00847488" w:rsidP="00847488">
      <w:r>
        <w:t>A narrative systematic review</w:t>
      </w:r>
      <w:r>
        <w:fldChar w:fldCharType="begin">
          <w:fldData xml:space="preserve">PEVuZE5vdGU+PENpdGU+PEF1dGhvcj5SYWdoYXZhbjwvQXV0aG9yPjxZZWFyPjIwMTk8L1llYXI+
PFJlY051bT4xNDkxPC9SZWNOdW0+PERpc3BsYXlUZXh0PjxzdHlsZSBmYWNlPSJzdXBlcnNjcmlw
dCIgZm9udD0iVHJlYnVjaGV0IE1TIiBzaXplPSI5Ij4yODwvc3R5bGU+PC9EaXNwbGF5VGV4dD48
cmVjb3JkPjxyZWMtbnVtYmVyPjE0OTE8L3JlYy1udW1iZXI+PGZvcmVpZ24ta2V5cz48a2V5IGFw
cD0iRU4iIGRiLWlkPSJleHZhc3JmeDJkdHJhb2VzYXN4cDJzenN4YTJkZjUwMjU5MngiIHRpbWVz
dGFtcD0iMTU3NDIwNTk0NyI+MTQ5MTwva2V5PjwvZm9yZWlnbi1rZXlzPjxyZWYtdHlwZSBuYW1l
PSJKb3VybmFsIEFydGljbGUiPjE3PC9yZWYtdHlwZT48Y29udHJpYnV0b3JzPjxhdXRob3JzPjxh
dXRob3I+UmFnaGF2YW4sIFIuPC9hdXRob3I+PGF1dGhvcj5EcmVpYmVsYmlzLCBDLjwvYXV0aG9y
PjxhdXRob3I+S2luZ3NoaXBwLCBCLiBMLjwvYXV0aG9yPjxhdXRob3I+V29uZywgWS4gUC48L2F1
dGhvcj48YXV0aG9yPkFicmFtcywgQi48L2F1dGhvcj48YXV0aG9yPkdlcm5hbmQsIEEuIEQuPC9h
dXRob3I+PGF1dGhvcj5SYXNtdXNzZW4sIEsuIE0uPC9hdXRob3I+PGF1dGhvcj5TaWVnYS1SaXos
IEEuIE0uPC9hdXRob3I+PGF1dGhvcj5TdGFuZywgSi48L2F1dGhvcj48YXV0aG9yPkNhc2F2YWxl
LCBLLiBPLjwvYXV0aG9yPjxhdXRob3I+U3BhaG4sIEouIE0uPC9hdXRob3I+PGF1dGhvcj5TdG9v
ZHksIEUuIEUuPC9hdXRob3I+PC9hdXRob3JzPjwvY29udHJpYnV0b3JzPjxhdXRoLWFkZHJlc3M+
UGFudW0gR3JvdXAsIEJldGhlc2RhLCBNRC4mI3hEO0Zvb2QgYW5kIE51dHJpdGlvbiBTZXJ2aWNl
LCBVU0RBLCBBbGV4YW5kcmlhLCBWQS4mI3hEO0RpdmlzaW9uIG9mIEVwaWRlbWlvbG9neSwgVW5p
dmVyc2l0eSBvZiBDYWxpZm9ybmlhIEJlcmtlbGV5IFNjaG9vbCBvZiBQdWJsaWMgSGVhbHRoLCBC
ZXJrZWxleSwgQ0EuJiN4RDtEZXBhcnRtZW50IG9mIE51dHJpdGlvbmFsIFNjaWVuY2VzLCBUaGUg
UGVubnN5bHZhbmlhIFN0YXRlIFVuaXZlcnNpdHksIFVuaXZlcnNpdHkgUGFyaywgUEEuJiN4RDtE
aXZpc2lvbiBvZiBOdXRyaXRpb25hbCBTY2llbmNlcywgQ29ybmVsbCBVbml2ZXJzaXR5LCBJdGhh
Y2EsIE5ZLiYjeEQ7RGVwYXJ0bWVudCBvZiBGYW1pbHksIENvbW11bml0eSBhbmQgTWVudGFsIEhl
YWx0aCBTeXN0ZW1zLCBVbml2ZXJzaXR5IG9mIFZpcmdpbmlhIFNjaG9vbCBvZiBOdXJzaW5nLCBD
aGFybG90dGVzdmlsbGUsIFZBLiYjeEQ7RGl2aXNpb24gb2YgRXBpZGVtaW9sb2d5IGFuZCBDb21t
dW5pdHkgSGVhbHRoLCBVbml2ZXJzaXR5IG9mIE1pbm5lc290YSBTY2hvb2wgb2YgUHVibGljIEhl
YWx0aCwgTWlubmVhcG9saXMsIE1OLiYjeEQ7T2ZmaWNlIG9mIERpc2Vhc2UgUHJldmVudGlvbiBh
bmQgSGVhbHRoIFByb21vdGlvbiwgVVMgRGVwYXJ0bWVudCBvZiBIZWFsdGggYW5kIEh1bWFuIFNl
cnZpY2VzLCBSb2NrdmlsbGUsIE1ELjwvYXV0aC1hZGRyZXNzPjx0aXRsZXM+PHRpdGxlPkRpZXRh
cnkgcGF0dGVybnMgYmVmb3JlIGFuZCBkdXJpbmcgcHJlZ25hbmN5IGFuZCBiaXJ0aCBvdXRjb21l
czogYSBzeXN0ZW1hdGljIHJldmlldzwvdGl0bGU+PHNlY29uZGFyeS10aXRsZT5BbSBKIENsaW4g
TnV0cjwvc2Vjb25kYXJ5LXRpdGxlPjwvdGl0bGVzPjxwZXJpb2RpY2FsPjxmdWxsLXRpdGxlPkFt
IEogQ2xpbiBOdXRyPC9mdWxsLXRpdGxlPjwvcGVyaW9kaWNhbD48cGFnZXM+NzI5Uy03NTZTPC9w
YWdlcz48dm9sdW1lPjEwOTwvdm9sdW1lPjxudW1iZXI+U3VwcGxlbWVudF83PC9udW1iZXI+PGVk
aXRpb24+MjAxOS8wNC8xNjwvZWRpdGlvbj48a2V5d29yZHM+PGtleXdvcmQ+YmlydGggd2VpZ2h0
PC9rZXl3b3JkPjxrZXl3b3JkPmRpZXRhcnkgcGF0dGVybnM8L2tleXdvcmQ+PGtleXdvcmQ+bWF0
ZXJuYWw8L2tleXdvcmQ+PGtleXdvcmQ+cHJlZ25hbmN5PC9rZXl3b3JkPjxrZXl3b3JkPnByZXRl
cm08L2tleXdvcmQ+PGtleXdvcmQ+c3lzdGVtYXRpYyByZXZpZXc8L2tleXdvcmQ+PC9rZXl3b3Jk
cz48ZGF0ZXM+PHllYXI+MjAxOTwveWVhcj48cHViLWRhdGVzPjxkYXRlPk1hciAxPC9kYXRlPjwv
cHViLWRhdGVzPjwvZGF0ZXM+PGlzYm4+MTkzOC0zMjA3IChFbGVjdHJvbmljKSYjeEQ7MDAwMi05
MTY1IChMaW5raW5nKTwvaXNibj48YWNjZXNzaW9uLW51bT4zMDk4Mjg3MzwvYWNjZXNzaW9uLW51
bT48dXJscz48cmVsYXRlZC11cmxzPjx1cmw+aHR0cHM6Ly93d3cubmNiaS5ubG0ubmloLmdvdi9w
dWJtZWQvMzA5ODI4NzM8L3VybD48L3JlbGF0ZWQtdXJscz48L3VybHM+PGVsZWN0cm9uaWMtcmVz
b3VyY2UtbnVtPjEwLjEwOTMvYWpjbi9ucXkzNTM8L2VsZWN0cm9uaWMtcmVzb3VyY2UtbnVtPjwv
cmVjb3JkPjwvQ2l0ZT48L0VuZE5vdGU+
</w:fldData>
        </w:fldChar>
      </w:r>
      <w:r w:rsidR="002747EA">
        <w:instrText xml:space="preserve"> ADDIN EN.CITE </w:instrText>
      </w:r>
      <w:r w:rsidR="002747EA">
        <w:fldChar w:fldCharType="begin">
          <w:fldData xml:space="preserve">PEVuZE5vdGU+PENpdGU+PEF1dGhvcj5SYWdoYXZhbjwvQXV0aG9yPjxZZWFyPjIwMTk8L1llYXI+
PFJlY051bT4xNDkxPC9SZWNOdW0+PERpc3BsYXlUZXh0PjxzdHlsZSBmYWNlPSJzdXBlcnNjcmlw
dCIgZm9udD0iVHJlYnVjaGV0IE1TIiBzaXplPSI5Ij4yODwvc3R5bGU+PC9EaXNwbGF5VGV4dD48
cmVjb3JkPjxyZWMtbnVtYmVyPjE0OTE8L3JlYy1udW1iZXI+PGZvcmVpZ24ta2V5cz48a2V5IGFw
cD0iRU4iIGRiLWlkPSJleHZhc3JmeDJkdHJhb2VzYXN4cDJzenN4YTJkZjUwMjU5MngiIHRpbWVz
dGFtcD0iMTU3NDIwNTk0NyI+MTQ5MTwva2V5PjwvZm9yZWlnbi1rZXlzPjxyZWYtdHlwZSBuYW1l
PSJKb3VybmFsIEFydGljbGUiPjE3PC9yZWYtdHlwZT48Y29udHJpYnV0b3JzPjxhdXRob3JzPjxh
dXRob3I+UmFnaGF2YW4sIFIuPC9hdXRob3I+PGF1dGhvcj5EcmVpYmVsYmlzLCBDLjwvYXV0aG9y
PjxhdXRob3I+S2luZ3NoaXBwLCBCLiBMLjwvYXV0aG9yPjxhdXRob3I+V29uZywgWS4gUC48L2F1
dGhvcj48YXV0aG9yPkFicmFtcywgQi48L2F1dGhvcj48YXV0aG9yPkdlcm5hbmQsIEEuIEQuPC9h
dXRob3I+PGF1dGhvcj5SYXNtdXNzZW4sIEsuIE0uPC9hdXRob3I+PGF1dGhvcj5TaWVnYS1SaXos
IEEuIE0uPC9hdXRob3I+PGF1dGhvcj5TdGFuZywgSi48L2F1dGhvcj48YXV0aG9yPkNhc2F2YWxl
LCBLLiBPLjwvYXV0aG9yPjxhdXRob3I+U3BhaG4sIEouIE0uPC9hdXRob3I+PGF1dGhvcj5TdG9v
ZHksIEUuIEUuPC9hdXRob3I+PC9hdXRob3JzPjwvY29udHJpYnV0b3JzPjxhdXRoLWFkZHJlc3M+
UGFudW0gR3JvdXAsIEJldGhlc2RhLCBNRC4mI3hEO0Zvb2QgYW5kIE51dHJpdGlvbiBTZXJ2aWNl
LCBVU0RBLCBBbGV4YW5kcmlhLCBWQS4mI3hEO0RpdmlzaW9uIG9mIEVwaWRlbWlvbG9neSwgVW5p
dmVyc2l0eSBvZiBDYWxpZm9ybmlhIEJlcmtlbGV5IFNjaG9vbCBvZiBQdWJsaWMgSGVhbHRoLCBC
ZXJrZWxleSwgQ0EuJiN4RDtEZXBhcnRtZW50IG9mIE51dHJpdGlvbmFsIFNjaWVuY2VzLCBUaGUg
UGVubnN5bHZhbmlhIFN0YXRlIFVuaXZlcnNpdHksIFVuaXZlcnNpdHkgUGFyaywgUEEuJiN4RDtE
aXZpc2lvbiBvZiBOdXRyaXRpb25hbCBTY2llbmNlcywgQ29ybmVsbCBVbml2ZXJzaXR5LCBJdGhh
Y2EsIE5ZLiYjeEQ7RGVwYXJ0bWVudCBvZiBGYW1pbHksIENvbW11bml0eSBhbmQgTWVudGFsIEhl
YWx0aCBTeXN0ZW1zLCBVbml2ZXJzaXR5IG9mIFZpcmdpbmlhIFNjaG9vbCBvZiBOdXJzaW5nLCBD
aGFybG90dGVzdmlsbGUsIFZBLiYjeEQ7RGl2aXNpb24gb2YgRXBpZGVtaW9sb2d5IGFuZCBDb21t
dW5pdHkgSGVhbHRoLCBVbml2ZXJzaXR5IG9mIE1pbm5lc290YSBTY2hvb2wgb2YgUHVibGljIEhl
YWx0aCwgTWlubmVhcG9saXMsIE1OLiYjeEQ7T2ZmaWNlIG9mIERpc2Vhc2UgUHJldmVudGlvbiBh
bmQgSGVhbHRoIFByb21vdGlvbiwgVVMgRGVwYXJ0bWVudCBvZiBIZWFsdGggYW5kIEh1bWFuIFNl
cnZpY2VzLCBSb2NrdmlsbGUsIE1ELjwvYXV0aC1hZGRyZXNzPjx0aXRsZXM+PHRpdGxlPkRpZXRh
cnkgcGF0dGVybnMgYmVmb3JlIGFuZCBkdXJpbmcgcHJlZ25hbmN5IGFuZCBiaXJ0aCBvdXRjb21l
czogYSBzeXN0ZW1hdGljIHJldmlldzwvdGl0bGU+PHNlY29uZGFyeS10aXRsZT5BbSBKIENsaW4g
TnV0cjwvc2Vjb25kYXJ5LXRpdGxlPjwvdGl0bGVzPjxwZXJpb2RpY2FsPjxmdWxsLXRpdGxlPkFt
IEogQ2xpbiBOdXRyPC9mdWxsLXRpdGxlPjwvcGVyaW9kaWNhbD48cGFnZXM+NzI5Uy03NTZTPC9w
YWdlcz48dm9sdW1lPjEwOTwvdm9sdW1lPjxudW1iZXI+U3VwcGxlbWVudF83PC9udW1iZXI+PGVk
aXRpb24+MjAxOS8wNC8xNjwvZWRpdGlvbj48a2V5d29yZHM+PGtleXdvcmQ+YmlydGggd2VpZ2h0
PC9rZXl3b3JkPjxrZXl3b3JkPmRpZXRhcnkgcGF0dGVybnM8L2tleXdvcmQ+PGtleXdvcmQ+bWF0
ZXJuYWw8L2tleXdvcmQ+PGtleXdvcmQ+cHJlZ25hbmN5PC9rZXl3b3JkPjxrZXl3b3JkPnByZXRl
cm08L2tleXdvcmQ+PGtleXdvcmQ+c3lzdGVtYXRpYyByZXZpZXc8L2tleXdvcmQ+PC9rZXl3b3Jk
cz48ZGF0ZXM+PHllYXI+MjAxOTwveWVhcj48cHViLWRhdGVzPjxkYXRlPk1hciAxPC9kYXRlPjwv
cHViLWRhdGVzPjwvZGF0ZXM+PGlzYm4+MTkzOC0zMjA3IChFbGVjdHJvbmljKSYjeEQ7MDAwMi05
MTY1IChMaW5raW5nKTwvaXNibj48YWNjZXNzaW9uLW51bT4zMDk4Mjg3MzwvYWNjZXNzaW9uLW51
bT48dXJscz48cmVsYXRlZC11cmxzPjx1cmw+aHR0cHM6Ly93d3cubmNiaS5ubG0ubmloLmdvdi9w
dWJtZWQvMzA5ODI4NzM8L3VybD48L3JlbGF0ZWQtdXJscz48L3VybHM+PGVsZWN0cm9uaWMtcmVz
b3VyY2UtbnVtPjEwLjEwOTMvYWpjbi9ucXkzNTM8L2VsZWN0cm9uaWMtcmVzb3VyY2UtbnVtPjwv
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28</w:t>
      </w:r>
      <w:r>
        <w:fldChar w:fldCharType="end"/>
      </w:r>
      <w:r>
        <w:t xml:space="preserve"> found that diets higher in vegetables, fruits, whole grains, nuts</w:t>
      </w:r>
      <w:r w:rsidR="00836ACB">
        <w:t>,</w:t>
      </w:r>
      <w:r>
        <w:t xml:space="preserve"> legumes and seafood and lower in red and processed meats and fried foods were </w:t>
      </w:r>
      <w:r w:rsidRPr="00C5045B">
        <w:t>associated with a lower risk of preterm birth and spontaneous preterm birth</w:t>
      </w:r>
      <w:r>
        <w:t>.</w:t>
      </w:r>
    </w:p>
    <w:p w14:paraId="2DAEA4D6" w14:textId="560AA70C" w:rsidR="009654BD" w:rsidRDefault="00404390" w:rsidP="008B2048">
      <w:pPr>
        <w:keepNext/>
      </w:pPr>
      <w:r>
        <w:t>A systematic review of observational studies</w:t>
      </w:r>
      <w:r>
        <w:fldChar w:fldCharType="begin">
          <w:fldData xml:space="preserve">PEVuZE5vdGU+PENpdGU+PEF1dGhvcj5DaGlhPC9BdXRob3I+PFllYXI+MjAxOTwvWWVhcj48UmVj
TnVtPjEzNTM8L1JlY051bT48RGlzcGxheVRleHQ+PHN0eWxlIGZhY2U9InN1cGVyc2NyaXB0IiBm
b250PSJUcmVidWNoZXQgTVMiIHNpemU9IjkiPjI5PC9zdHlsZT48L0Rpc3BsYXlUZXh0PjxyZWNv
cmQ+PHJlYy1udW1iZXI+MTM1MzwvcmVjLW51bWJlcj48Zm9yZWlnbi1rZXlzPjxrZXkgYXBwPSJF
TiIgZGItaWQ9ImV4dmFzcmZ4MmR0cmFvZXNhc3hwMnN6c3hhMmRmNTAyNTkyeCIgdGltZXN0YW1w
PSIxNTY3MDMxMDE5Ij4xMzUzPC9rZXk+PGtleSBhcHA9IkVOV2ViIiBkYi1pZD0iIj4wPC9rZXk+
PC9mb3JlaWduLWtleXM+PHJlZi10eXBlIG5hbWU9IkpvdXJuYWwgQXJ0aWNsZSI+MTc8L3JlZi10
eXBlPjxjb250cmlidXRvcnM+PGF1dGhvcnM+PGF1dGhvcj5DaGlhLCBBLiBSLjwvYXV0aG9yPjxh
dXRob3I+Q2hlbiwgTC4gVy48L2F1dGhvcj48YXV0aG9yPkxhaSwgSi4gUy48L2F1dGhvcj48YXV0
aG9yPldvbmcsIEMuIEguPC9hdXRob3I+PGF1dGhvcj5OZWVsYWthbnRhbiwgTi48L2F1dGhvcj48
YXV0aG9yPnZhbiBEYW0sIFIuIE0uPC9hdXRob3I+PGF1dGhvcj5DaG9uZywgTS4gRi48L2F1dGhv
cj48L2F1dGhvcnM+PC9jb250cmlidXRvcnM+PGF1dGgtYWRkcmVzcz5EZXBhcnRtZW50cyBvZiBP
YnN0ZXRyaWNzICZhbXA7IEd5bmVjb2xvZ3kuJiN4RDtEZXBhcnRtZW50cyBvZiBQYWVkaWF0cmlj
cywgWW9uZyBMb28gTGluIFNjaG9vbCBvZiBNZWRpY2luZSwgTmF0aW9uYWwgVW5pdmVyc2l0eSBv
ZiBTaW5nYXBvcmUsIFNpbmdhcG9yZS4mI3hEO1NjaG9vbCBvZiBQdWJsaWMgSGVhbHRoLCBQaHlz
aW90aGVyYXB5IGFuZCBTcG9ydHMgU2NpZW5jZSwgVW5pdmVyc2l0eSBDb2xsZWdlIER1Ymxpbiwg
RHVibGluLCBJcmVsYW5kLiYjeEQ7U2luZ2Fwb3JlIEluc3RpdHV0ZSBmb3IgQ2xpbmljYWwgU2Np
ZW5jZXMsIEFnZW5jeSBmb3IgU2NpZW5jZSwgVGVjaG5vbG9neSwgYW5kIFJlc2VhcmNoLCBTaW5n
YXBvcmUuJiN4RDtGb29kIFNjaWVuY2UgYW5kIFRlY2hub2xvZ3kgUHJvZ3JhbSwgRGVwYXJ0bWVu
dCBvZiBDaGVtaXN0cnkuJiN4RDtTYXcgU3dlZSBIb2NrIFNjaG9vbCBvZiBQdWJsaWMgSGVhbHRo
LCBOYXRpb25hbCBVbml2ZXJzaXR5IG9mIFNpbmdhcG9yZSwgU2luZ2Fwb3JlLiYjeEQ7RGVwYXJ0
bWVudHMgb2YgTWVkaWNpbmUsIFlvbmcgTG9vIExpbiBTY2hvb2wgb2YgTWVkaWNpbmUsIE5hdGlv
bmFsIFVuaXZlcnNpdHkgb2YgU2luZ2Fwb3JlLCBTaW5nYXBvcmUuJiN4RDtEZXBhcnRtZW50IG9m
IE51dHJpdGlvbiwgSGFydmFyZCBULkguIENoYW4gU2Nob29sIG9mIFB1YmxpYyBIZWFsdGgsIEJv
c3RvbiwgTUEuPC9hdXRoLWFkZHJlc3M+PHRpdGxlcz48dGl0bGU+TWF0ZXJuYWwgZGlldGFyeSBw
YXR0ZXJucyBhbmQgYmlydGggb3V0Y29tZXM6IGEgc3lzdGVtYXRpYyByZXZpZXcgYW5kIG1ldGEt
YW5hbHlzaXM8L3RpdGxlPjxzZWNvbmRhcnktdGl0bGU+QWR2IE51dHI8L3NlY29uZGFyeS10aXRs
ZT48L3RpdGxlcz48cGVyaW9kaWNhbD48ZnVsbC10aXRsZT5BZHYgTnV0cjwvZnVsbC10aXRsZT48
L3BlcmlvZGljYWw+PHBhZ2VzPjY4NS02OTU8L3BhZ2VzPjx2b2x1bWU+MTA8L3ZvbHVtZT48bnVt
YmVyPjQ8L251bWJlcj48ZWRpdGlvbj4yMDE5LzA1LzAyPC9lZGl0aW9uPjxrZXl3b3Jkcz48a2V5
d29yZD5iaXJ0aCB3ZWlnaHQ8L2tleXdvcmQ+PGtleXdvcmQ+ZGlldCBxdWFsaXR5PC9rZXl3b3Jk
PjxrZXl3b3JkPmRpZXRhcnkgcGF0dGVybjwva2V5d29yZD48a2V5d29yZD5tYXRlcm5hbCBkaWV0
PC9rZXl3b3JkPjxrZXl3b3JkPnByZXRlcm0gYmlydGg8L2tleXdvcmQ+PC9rZXl3b3Jkcz48ZGF0
ZXM+PHllYXI+MjAxOTwveWVhcj48cHViLWRhdGVzPjxkYXRlPkp1bCAxPC9kYXRlPjwvcHViLWRh
dGVzPjwvZGF0ZXM+PGlzYm4+MjE1Ni01Mzc2IChFbGVjdHJvbmljKSYjeEQ7MjE2MS04MzEzIChM
aW5raW5nKTwvaXNibj48YWNjZXNzaW9uLW51bT4zMTA0MTQ0NjwvYWNjZXNzaW9uLW51bT48dXJs
cz48cmVsYXRlZC11cmxzPjx1cmw+aHR0cHM6Ly93d3cubmNiaS5ubG0ubmloLmdvdi9wdWJtZWQv
MzEwNDE0NDY8L3VybD48L3JlbGF0ZWQtdXJscz48L3VybHM+PGN1c3RvbTI+UE1DNjYyODg0Nzwv
Y3VzdG9tMj48ZWxlY3Ryb25pYy1yZXNvdXJjZS1udW0+MTAuMTA5My9hZHZhbmNlcy9ubXkxMjM8
L2VsZWN0cm9uaWMtcmVzb3VyY2UtbnVtPjwvcmVjb3JkPjwvQ2l0ZT48L0VuZE5vdGU+
</w:fldData>
        </w:fldChar>
      </w:r>
      <w:r w:rsidR="002747EA">
        <w:instrText xml:space="preserve"> ADDIN EN.CITE </w:instrText>
      </w:r>
      <w:r w:rsidR="002747EA">
        <w:fldChar w:fldCharType="begin">
          <w:fldData xml:space="preserve">PEVuZE5vdGU+PENpdGU+PEF1dGhvcj5DaGlhPC9BdXRob3I+PFllYXI+MjAxOTwvWWVhcj48UmVj
TnVtPjEzNTM8L1JlY051bT48RGlzcGxheVRleHQ+PHN0eWxlIGZhY2U9InN1cGVyc2NyaXB0IiBm
b250PSJUcmVidWNoZXQgTVMiIHNpemU9IjkiPjI5PC9zdHlsZT48L0Rpc3BsYXlUZXh0PjxyZWNv
cmQ+PHJlYy1udW1iZXI+MTM1MzwvcmVjLW51bWJlcj48Zm9yZWlnbi1rZXlzPjxrZXkgYXBwPSJF
TiIgZGItaWQ9ImV4dmFzcmZ4MmR0cmFvZXNhc3hwMnN6c3hhMmRmNTAyNTkyeCIgdGltZXN0YW1w
PSIxNTY3MDMxMDE5Ij4xMzUzPC9rZXk+PGtleSBhcHA9IkVOV2ViIiBkYi1pZD0iIj4wPC9rZXk+
PC9mb3JlaWduLWtleXM+PHJlZi10eXBlIG5hbWU9IkpvdXJuYWwgQXJ0aWNsZSI+MTc8L3JlZi10
eXBlPjxjb250cmlidXRvcnM+PGF1dGhvcnM+PGF1dGhvcj5DaGlhLCBBLiBSLjwvYXV0aG9yPjxh
dXRob3I+Q2hlbiwgTC4gVy48L2F1dGhvcj48YXV0aG9yPkxhaSwgSi4gUy48L2F1dGhvcj48YXV0
aG9yPldvbmcsIEMuIEguPC9hdXRob3I+PGF1dGhvcj5OZWVsYWthbnRhbiwgTi48L2F1dGhvcj48
YXV0aG9yPnZhbiBEYW0sIFIuIE0uPC9hdXRob3I+PGF1dGhvcj5DaG9uZywgTS4gRi48L2F1dGhv
cj48L2F1dGhvcnM+PC9jb250cmlidXRvcnM+PGF1dGgtYWRkcmVzcz5EZXBhcnRtZW50cyBvZiBP
YnN0ZXRyaWNzICZhbXA7IEd5bmVjb2xvZ3kuJiN4RDtEZXBhcnRtZW50cyBvZiBQYWVkaWF0cmlj
cywgWW9uZyBMb28gTGluIFNjaG9vbCBvZiBNZWRpY2luZSwgTmF0aW9uYWwgVW5pdmVyc2l0eSBv
ZiBTaW5nYXBvcmUsIFNpbmdhcG9yZS4mI3hEO1NjaG9vbCBvZiBQdWJsaWMgSGVhbHRoLCBQaHlz
aW90aGVyYXB5IGFuZCBTcG9ydHMgU2NpZW5jZSwgVW5pdmVyc2l0eSBDb2xsZWdlIER1Ymxpbiwg
RHVibGluLCBJcmVsYW5kLiYjeEQ7U2luZ2Fwb3JlIEluc3RpdHV0ZSBmb3IgQ2xpbmljYWwgU2Np
ZW5jZXMsIEFnZW5jeSBmb3IgU2NpZW5jZSwgVGVjaG5vbG9neSwgYW5kIFJlc2VhcmNoLCBTaW5n
YXBvcmUuJiN4RDtGb29kIFNjaWVuY2UgYW5kIFRlY2hub2xvZ3kgUHJvZ3JhbSwgRGVwYXJ0bWVu
dCBvZiBDaGVtaXN0cnkuJiN4RDtTYXcgU3dlZSBIb2NrIFNjaG9vbCBvZiBQdWJsaWMgSGVhbHRo
LCBOYXRpb25hbCBVbml2ZXJzaXR5IG9mIFNpbmdhcG9yZSwgU2luZ2Fwb3JlLiYjeEQ7RGVwYXJ0
bWVudHMgb2YgTWVkaWNpbmUsIFlvbmcgTG9vIExpbiBTY2hvb2wgb2YgTWVkaWNpbmUsIE5hdGlv
bmFsIFVuaXZlcnNpdHkgb2YgU2luZ2Fwb3JlLCBTaW5nYXBvcmUuJiN4RDtEZXBhcnRtZW50IG9m
IE51dHJpdGlvbiwgSGFydmFyZCBULkguIENoYW4gU2Nob29sIG9mIFB1YmxpYyBIZWFsdGgsIEJv
c3RvbiwgTUEuPC9hdXRoLWFkZHJlc3M+PHRpdGxlcz48dGl0bGU+TWF0ZXJuYWwgZGlldGFyeSBw
YXR0ZXJucyBhbmQgYmlydGggb3V0Y29tZXM6IGEgc3lzdGVtYXRpYyByZXZpZXcgYW5kIG1ldGEt
YW5hbHlzaXM8L3RpdGxlPjxzZWNvbmRhcnktdGl0bGU+QWR2IE51dHI8L3NlY29uZGFyeS10aXRs
ZT48L3RpdGxlcz48cGVyaW9kaWNhbD48ZnVsbC10aXRsZT5BZHYgTnV0cjwvZnVsbC10aXRsZT48
L3BlcmlvZGljYWw+PHBhZ2VzPjY4NS02OTU8L3BhZ2VzPjx2b2x1bWU+MTA8L3ZvbHVtZT48bnVt
YmVyPjQ8L251bWJlcj48ZWRpdGlvbj4yMDE5LzA1LzAyPC9lZGl0aW9uPjxrZXl3b3Jkcz48a2V5
d29yZD5iaXJ0aCB3ZWlnaHQ8L2tleXdvcmQ+PGtleXdvcmQ+ZGlldCBxdWFsaXR5PC9rZXl3b3Jk
PjxrZXl3b3JkPmRpZXRhcnkgcGF0dGVybjwva2V5d29yZD48a2V5d29yZD5tYXRlcm5hbCBkaWV0
PC9rZXl3b3JkPjxrZXl3b3JkPnByZXRlcm0gYmlydGg8L2tleXdvcmQ+PC9rZXl3b3Jkcz48ZGF0
ZXM+PHllYXI+MjAxOTwveWVhcj48cHViLWRhdGVzPjxkYXRlPkp1bCAxPC9kYXRlPjwvcHViLWRh
dGVzPjwvZGF0ZXM+PGlzYm4+MjE1Ni01Mzc2IChFbGVjdHJvbmljKSYjeEQ7MjE2MS04MzEzIChM
aW5raW5nKTwvaXNibj48YWNjZXNzaW9uLW51bT4zMTA0MTQ0NjwvYWNjZXNzaW9uLW51bT48dXJs
cz48cmVsYXRlZC11cmxzPjx1cmw+aHR0cHM6Ly93d3cubmNiaS5ubG0ubmloLmdvdi9wdWJtZWQv
MzEwNDE0NDY8L3VybD48L3JlbGF0ZWQtdXJscz48L3VybHM+PGN1c3RvbTI+UE1DNjYyODg0Nzwv
Y3VzdG9tMj48ZWxlY3Ryb25pYy1yZXNvdXJjZS1udW0+MTAuMTA5My9hZHZhbmNlcy9ubXkxMjM8
L2VsZWN0cm9uaWMtcmVzb3VyY2UtbnVtPjwvcmVjb3JkPjwvQ2l0ZT48L0VuZE5vdGU+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29</w:t>
      </w:r>
      <w:r>
        <w:fldChar w:fldCharType="end"/>
      </w:r>
      <w:r>
        <w:t xml:space="preserve"> </w:t>
      </w:r>
      <w:r w:rsidR="009654BD">
        <w:t>found that dietary patterns:</w:t>
      </w:r>
    </w:p>
    <w:p w14:paraId="4B9B0A8E" w14:textId="6E5D1259" w:rsidR="009654BD" w:rsidRDefault="009654BD" w:rsidP="009654BD">
      <w:pPr>
        <w:pStyle w:val="bullet"/>
      </w:pPr>
      <w:r w:rsidRPr="00976B14">
        <w:t>high in vegetables, fruits, wholegrains, low-fat dairy, and lean protein foods-were associated with lower risk of preterm birth (</w:t>
      </w:r>
      <w:r w:rsidRPr="009654BD">
        <w:rPr>
          <w:sz w:val="16"/>
          <w:szCs w:val="16"/>
        </w:rPr>
        <w:t xml:space="preserve">OR </w:t>
      </w:r>
      <w:r>
        <w:rPr>
          <w:sz w:val="16"/>
          <w:szCs w:val="16"/>
        </w:rPr>
        <w:t>0.79; 95% CI</w:t>
      </w:r>
      <w:r w:rsidRPr="009654BD">
        <w:rPr>
          <w:sz w:val="16"/>
          <w:szCs w:val="16"/>
        </w:rPr>
        <w:t xml:space="preserve"> 0.68 to 0.91</w:t>
      </w:r>
      <w:r w:rsidRPr="00976B14">
        <w:t>)</w:t>
      </w:r>
      <w:r>
        <w:t xml:space="preserve"> </w:t>
      </w:r>
      <w:r w:rsidRPr="00976B14">
        <w:t>and a weak trend towards a lower risk o</w:t>
      </w:r>
      <w:r>
        <w:t>f small-for-gestational-age (</w:t>
      </w:r>
      <w:r w:rsidRPr="009654BD">
        <w:rPr>
          <w:sz w:val="16"/>
          <w:szCs w:val="16"/>
        </w:rPr>
        <w:t xml:space="preserve">OR </w:t>
      </w:r>
      <w:r>
        <w:rPr>
          <w:sz w:val="16"/>
          <w:szCs w:val="16"/>
        </w:rPr>
        <w:t>0.86; 95%CI</w:t>
      </w:r>
      <w:r w:rsidRPr="009654BD">
        <w:rPr>
          <w:sz w:val="16"/>
          <w:szCs w:val="16"/>
        </w:rPr>
        <w:t xml:space="preserve"> 0.73 to 1.01</w:t>
      </w:r>
      <w:r>
        <w:t>)</w:t>
      </w:r>
    </w:p>
    <w:p w14:paraId="1ACFA57C" w14:textId="1917635E" w:rsidR="009654BD" w:rsidRDefault="000A7CD9" w:rsidP="009654BD">
      <w:pPr>
        <w:pStyle w:val="bullet"/>
      </w:pPr>
      <w:r>
        <w:t>high in</w:t>
      </w:r>
      <w:r w:rsidR="009654BD">
        <w:t xml:space="preserve"> refined grains, processed meat</w:t>
      </w:r>
      <w:r w:rsidR="009654BD" w:rsidRPr="00976B14">
        <w:t xml:space="preserve"> and foods high in saturated fat or sugar-were associated with lower birth weight (</w:t>
      </w:r>
      <w:r w:rsidR="00232A9D">
        <w:rPr>
          <w:sz w:val="16"/>
          <w:szCs w:val="16"/>
        </w:rPr>
        <w:t>MD -40 g; 95%CI -61 to</w:t>
      </w:r>
      <w:r w:rsidR="009654BD" w:rsidRPr="009654BD">
        <w:rPr>
          <w:sz w:val="16"/>
          <w:szCs w:val="16"/>
        </w:rPr>
        <w:t xml:space="preserve"> -20 g</w:t>
      </w:r>
      <w:r w:rsidR="009654BD" w:rsidRPr="00976B14">
        <w:t>) and a trend towards a h</w:t>
      </w:r>
      <w:r w:rsidR="009654BD">
        <w:t>igher risk of preterm birth (</w:t>
      </w:r>
      <w:r w:rsidR="009654BD" w:rsidRPr="009654BD">
        <w:rPr>
          <w:sz w:val="16"/>
          <w:szCs w:val="16"/>
        </w:rPr>
        <w:t>OR 1.17; 95%CI 0.99 to 1.39</w:t>
      </w:r>
      <w:r w:rsidR="009654BD">
        <w:t>)</w:t>
      </w:r>
      <w:r w:rsidR="00836ACB">
        <w:t>.</w:t>
      </w:r>
    </w:p>
    <w:p w14:paraId="405FDC53" w14:textId="46705A5E" w:rsidR="009654BD" w:rsidRDefault="009654BD" w:rsidP="009654BD">
      <w:r>
        <w:t>An RCT</w:t>
      </w:r>
      <w:r w:rsidR="00F70DC2">
        <w:t xml:space="preserve"> (</w:t>
      </w:r>
      <w:r w:rsidR="00F70DC2" w:rsidRPr="00A912D4">
        <w:rPr>
          <w:sz w:val="16"/>
          <w:szCs w:val="16"/>
        </w:rPr>
        <w:t>n=1,032</w:t>
      </w:r>
      <w:r w:rsidR="00F70DC2">
        <w:t>)</w:t>
      </w:r>
      <w:r>
        <w:fldChar w:fldCharType="begin">
          <w:fldData xml:space="preserve">PEVuZE5vdGU+PENpdGU+PEF1dGhvcj5GbHlubjwvQXV0aG9yPjxZZWFyPjIwMTY8L1llYXI+PFJl
Y051bT4xMzY1PC9SZWNOdW0+PERpc3BsYXlUZXh0PjxzdHlsZSBmYWNlPSJzdXBlcnNjcmlwdCIg
Zm9udD0iVHJlYnVjaGV0IE1TIiBzaXplPSI5Ij4xNjwvc3R5bGU+PC9EaXNwbGF5VGV4dD48cmVj
b3JkPjxyZWMtbnVtYmVyPjEzNjU8L3JlYy1udW1iZXI+PGZvcmVpZ24ta2V5cz48a2V5IGFwcD0i
RU4iIGRiLWlkPSJleHZhc3JmeDJkdHJhb2VzYXN4cDJzenN4YTJkZjUwMjU5MngiIHRpbWVzdGFt
cD0iMTU2NzAzMTA2OCI+MTM2NTwva2V5PjxrZXkgYXBwPSJFTldlYiIgZGItaWQ9IiI+MDwva2V5
PjwvZm9yZWlnbi1rZXlzPjxyZWYtdHlwZSBuYW1lPSJKb3VybmFsIEFydGljbGUiPjE3PC9yZWYt
dHlwZT48Y29udHJpYnV0b3JzPjxhdXRob3JzPjxhdXRob3I+Rmx5bm4sIEEuIEMuPC9hdXRob3I+
PGF1dGhvcj5TZWVkLCBQLiBULjwvYXV0aG9yPjxhdXRob3I+UGF0ZWwsIE4uPC9hdXRob3I+PGF1
dGhvcj5CYXJyLCBTLjwvYXV0aG9yPjxhdXRob3I+QmVsbCwgUi48L2F1dGhvcj48YXV0aG9yPkJy
aWxleSwgQS4gTC48L2F1dGhvcj48YXV0aG9yPkdvZGZyZXksIEsuIE0uPC9hdXRob3I+PGF1dGhv
cj5OZWxzb24sIFMuIE0uPC9hdXRob3I+PGF1dGhvcj5PdGVuZy1OdGltLCBFLjwvYXV0aG9yPjxh
dXRob3I+Um9iaW5zb24sIFMuIE0uPC9hdXRob3I+PGF1dGhvcj5TYW5kZXJzLCBULiBBLjwvYXV0
aG9yPjxhdXRob3I+U2F0dGFyLCBOLjwvYXV0aG9yPjxhdXRob3I+V2FyZGxlLCBKLjwvYXV0aG9y
PjxhdXRob3I+UG9zdG9uLCBMLjwvYXV0aG9yPjxhdXRob3I+R29mZiwgTC4gTS48L2F1dGhvcj48
YXV0aG9yPlVwYmVhdCBjb25zb3J0aXVtPC9hdXRob3I+PC9hdXRob3JzPjwvY29udHJpYnV0b3Jz
PjxhdXRoLWFkZHJlc3M+RGl2aXNpb24gb2YgV29tZW4mYXBvcztzIEhlYWx0aCwgS2luZyZhcG9z
O3MgQ29sbGVnZSBMb25kb24sIDEwdGggRmxvb3IgTm9ydGggV2luZywgU3QuIFRob21hcyZhcG9z
OyBIb3NwaXRhbCwgTG9uZG9uLCBVSy4mI3hEO0RpdmlzaW9uIG9mIERpYWJldGVzIGFuZCBOdXRy
aXRpb25hbCBTY2llbmNlcywgS2luZyZhcG9zO3MgQ29sbGVnZSBMb25kb24sIEZyYW5rbGluLVdp
bGtpbnMgQnVpbGRpbmcsIDE1MCBTdGFtZm9yZCBTdHJlZXQsIExvbmRvbiwgVUsuJiN4RDtEZXBh
cnRtZW50IG9mIENhcmRpb3Zhc2N1bGFyIE1lZGljaW5lLCBJbXBlcmlhbCBDb2xsZWdlIExvbmRv
biwgTG9uZG9uLCBVSy4mI3hEO0luc3RpdHV0ZSBvZiBIZWFsdGggJmFtcDsgU29jaWV0eSBOZXdj
YXN0bGUgVW5pdmVyc2l0eSwgVUsgQmFkZGlsZXktQ2xhcmsgQnVpbGRpbmcgUmljaGFyZHNvbiBS
b2FkLCBOZXdjYXN0bGUgdXBvbiBUeW5lLCBVSy4mI3hEO01SQyBMaWZlY291cnNlIEVwaWRlbWlv
bG9neSBVbml0IGFuZCBOSUhSIFNvdXRoYW1wdG9uIEJpb21lZGljYWwgUmVzZWFyY2ggQ2VudHJl
LCBVbml2ZXJzaXR5IG9mIFNvdXRoYW1wdG9uIGFuZCBVbml2ZXJzaXR5IEhvc3BpdGFsIFNvdXRo
YW1wdG9uIE5IUyBGb3VuZGF0aW9uIFRydXN0LCBNYWlscG9pbnQgOTUsIFNvdXRoYW1wdG9uLCBV
Sy4mI3hEO1NjaG9vbCBvZiBNZWRpY2luZSwgVW5pdmVyc2l0eSBvZiBHbGFzZ293LCBOZXcgTGlz
dGVyIEJ1aWxkaW5nLCBHbGFzZ293IFJveWFsIEluZmlybWFyeSwgR2xhc2dvdywgVUsuJiN4RDtH
dXlzIGFuZCBTdCBUaG9tYXMmYXBvczsgTkhTIEZvdW5kYXRpb24gVHJ1c3QsIFdlc3RtaW5zdGVy
IEJyaWRnZSBSb2FkLCBMb25kb24sIFVLLiYjeEQ7SW5zdGl0dXRlIG9mIENhcmRpb3Zhc2N1bGFy
IGFuZCBNZWRpY2FsIFNjaWVuY2VzLCBSQzIxNCBMZXZlbCBDMiwgQnJpdGlzaCBIZWFydCBGb3Vu
ZGF0aW9uIEdsYXNnb3cgQ2FyZGlvdmFzY3VsYXIgUmVzZWFyY2ggQ2VudHJlLCBVbml2ZXJzaXR5
IG9mIEdsYXNnb3csIEdsYXNnb3csIFVLLiYjeEQ7SGVhbHRoIEJlaGF2aW91ciBSZXNlYXJjaCBD
ZW50cmUsIEluc3RpdHV0ZSBvZiBFcGlkZW1pb2xvZ3kgYW5kIEhlYWx0aCwgVW5pdmVyc2l0eSBD
b2xsZWdlIExvbmRvbiwgMS0xOSBUb3JyaW5ndG9uIFBsYWNlLCBMb25kb24sIFVLLiYjeEQ7RGl2
aXNpb24gb2YgRGlhYmV0ZXMgYW5kIE51dHJpdGlvbmFsIFNjaWVuY2VzLCBLaW5nJmFwb3M7cyBD
b2xsZWdlIExvbmRvbiwgRnJhbmtsaW4tV2lsa2lucyBCdWlsZGluZywgMTUwIFN0YW1mb3JkIFN0
cmVldCwgTG9uZG9uLCBVSy4gbG91aXNlLmdvZmZAa2NsLmFjLnVrLjwvYXV0aC1hZGRyZXNzPjx0
aXRsZXM+PHRpdGxlPkRpZXRhcnkgcGF0dGVybnMgaW4gb2Jlc2UgcHJlZ25hbnQgd29tZW47IGlu
Zmx1ZW5jZSBvZiBhIGJlaGF2aW9yYWwgaW50ZXJ2ZW50aW9uIG9mIGRpZXQgYW5kIHBoeXNpY2Fs
IGFjdGl2aXR5IGluIHRoZSBVUEJFQVQgcmFuZG9taXplZCBjb250cm9sbGVkIHRyaWFsPC90aXRs
ZT48c2Vjb25kYXJ5LXRpdGxlPkludCBKIEJlaGF2IE51dHIgUGh5cyBBY3Q8L3NlY29uZGFyeS10
aXRsZT48L3RpdGxlcz48cGVyaW9kaWNhbD48ZnVsbC10aXRsZT5JbnQgSiBCZWhhdiBOdXRyIFBo
eXMgQWN0PC9mdWxsLXRpdGxlPjwvcGVyaW9kaWNhbD48cGFnZXM+MTI0PC9wYWdlcz48dm9sdW1l
PjEzPC92b2x1bWU+PG51bWJlcj4xPC9udW1iZXI+PGVkaXRpb24+MjAxNi8xMS8zMDwvZWRpdGlv
bj48a2V5d29yZHM+PGtleXdvcmQ+QWR1bHQ8L2tleXdvcmQ+PGtleXdvcmQ+KkJlaGF2aW9yIFRo
ZXJhcHk8L2tleXdvcmQ+PGtleXdvcmQ+RGlhYmV0ZXMsIEdlc3RhdGlvbmFsL2V0aW9sb2d5L3By
ZXZlbnRpb24gJmFtcDsgY29udHJvbDwva2V5d29yZD48a2V5d29yZD4qRGlldDwva2V5d29yZD48
a2V5d29yZD4qRXhlcmNpc2U8L2tleXdvcmQ+PGtleXdvcmQ+RmFzdCBGb29kczwva2V5d29yZD48
a2V5d29yZD4qRmVlZGluZyBCZWhhdmlvcjwva2V5d29yZD48a2V5d29yZD5GZW1hbGU8L2tleXdv
cmQ+PGtleXdvcmQ+R2VzdGF0aW9uYWwgQWdlPC9rZXl3b3JkPjxrZXl3b3JkPkh1bWFuczwva2V5
d29yZD48a2V5d29yZD5PYmVzaXR5L2NvbXBsaWNhdGlvbnMvKnRoZXJhcHk8L2tleXdvcmQ+PGtl
eXdvcmQ+UHJlZ25hbmN5PC9rZXl3b3JkPjxrZXl3b3JkPlByZWduYW5jeSBDb21wbGljYXRpb25z
Lyp0aGVyYXB5PC9rZXl3b3JkPjxrZXl3b3JkPlByZWduYW5jeSBPdXRjb21lPC9rZXl3b3JkPjxr
ZXl3b3JkPlByZW5hdGFsIENhcmU8L2tleXdvcmQ+PGtleXdvcmQ+U25hY2tzPC9rZXl3b3JkPjxr
ZXl3b3JkPipEaWV0YXJ5IHBhdHRlcm5zPC9rZXl3b3JkPjxrZXl3b3JkPipHZXN0YXRpb25hbCBk
aWFiZXRlczwva2V5d29yZD48a2V5d29yZD4qT2Jlc2l0eTwva2V5d29yZD48a2V5d29yZD4qUHJl
Z25hbmN5PC9rZXl3b3JkPjwva2V5d29yZHM+PGRhdGVzPjx5ZWFyPjIwMTY8L3llYXI+PHB1Yi1k
YXRlcz48ZGF0ZT5Ob3YgMjk8L2RhdGU+PC9wdWItZGF0ZXM+PC9kYXRlcz48aXNibj4xNDc5LTU4
NjggKEVsZWN0cm9uaWMpJiN4RDsxNDc5LTU4NjggKExpbmtpbmcpPC9pc2JuPjxhY2Nlc3Npb24t
bnVtPjI3ODk0MzE2PC9hY2Nlc3Npb24tbnVtPjx1cmxzPjxyZWxhdGVkLXVybHM+PHVybD5odHRw
czovL3d3dy5uY2JpLm5sbS5uaWguZ292L3B1Ym1lZC8yNzg5NDMxNjwvdXJsPjwvcmVsYXRlZC11
cmxzPjwvdXJscz48Y3VzdG9tMj5QTUM1MTI2ODczPC9jdXN0b20yPjxlbGVjdHJvbmljLXJlc291
cmNlLW51bT4xMC4xMTg2L3MxMjk2Ni0wMTYtMDQ1MC0yPC9lbGVjdHJvbmljLXJlc291cmNlLW51
bT48L3JlY29yZD48L0NpdGU+PC9FbmROb3RlPn==
</w:fldData>
        </w:fldChar>
      </w:r>
      <w:r w:rsidR="002747EA">
        <w:instrText xml:space="preserve"> ADDIN EN.CITE </w:instrText>
      </w:r>
      <w:r w:rsidR="002747EA">
        <w:fldChar w:fldCharType="begin">
          <w:fldData xml:space="preserve">PEVuZE5vdGU+PENpdGU+PEF1dGhvcj5GbHlubjwvQXV0aG9yPjxZZWFyPjIwMTY8L1llYXI+PFJl
Y051bT4xMzY1PC9SZWNOdW0+PERpc3BsYXlUZXh0PjxzdHlsZSBmYWNlPSJzdXBlcnNjcmlwdCIg
Zm9udD0iVHJlYnVjaGV0IE1TIiBzaXplPSI5Ij4xNjwvc3R5bGU+PC9EaXNwbGF5VGV4dD48cmVj
b3JkPjxyZWMtbnVtYmVyPjEzNjU8L3JlYy1udW1iZXI+PGZvcmVpZ24ta2V5cz48a2V5IGFwcD0i
RU4iIGRiLWlkPSJleHZhc3JmeDJkdHJhb2VzYXN4cDJzenN4YTJkZjUwMjU5MngiIHRpbWVzdGFt
cD0iMTU2NzAzMTA2OCI+MTM2NTwva2V5PjxrZXkgYXBwPSJFTldlYiIgZGItaWQ9IiI+MDwva2V5
PjwvZm9yZWlnbi1rZXlzPjxyZWYtdHlwZSBuYW1lPSJKb3VybmFsIEFydGljbGUiPjE3PC9yZWYt
dHlwZT48Y29udHJpYnV0b3JzPjxhdXRob3JzPjxhdXRob3I+Rmx5bm4sIEEuIEMuPC9hdXRob3I+
PGF1dGhvcj5TZWVkLCBQLiBULjwvYXV0aG9yPjxhdXRob3I+UGF0ZWwsIE4uPC9hdXRob3I+PGF1
dGhvcj5CYXJyLCBTLjwvYXV0aG9yPjxhdXRob3I+QmVsbCwgUi48L2F1dGhvcj48YXV0aG9yPkJy
aWxleSwgQS4gTC48L2F1dGhvcj48YXV0aG9yPkdvZGZyZXksIEsuIE0uPC9hdXRob3I+PGF1dGhv
cj5OZWxzb24sIFMuIE0uPC9hdXRob3I+PGF1dGhvcj5PdGVuZy1OdGltLCBFLjwvYXV0aG9yPjxh
dXRob3I+Um9iaW5zb24sIFMuIE0uPC9hdXRob3I+PGF1dGhvcj5TYW5kZXJzLCBULiBBLjwvYXV0
aG9yPjxhdXRob3I+U2F0dGFyLCBOLjwvYXV0aG9yPjxhdXRob3I+V2FyZGxlLCBKLjwvYXV0aG9y
PjxhdXRob3I+UG9zdG9uLCBMLjwvYXV0aG9yPjxhdXRob3I+R29mZiwgTC4gTS48L2F1dGhvcj48
YXV0aG9yPlVwYmVhdCBjb25zb3J0aXVtPC9hdXRob3I+PC9hdXRob3JzPjwvY29udHJpYnV0b3Jz
PjxhdXRoLWFkZHJlc3M+RGl2aXNpb24gb2YgV29tZW4mYXBvcztzIEhlYWx0aCwgS2luZyZhcG9z
O3MgQ29sbGVnZSBMb25kb24sIDEwdGggRmxvb3IgTm9ydGggV2luZywgU3QuIFRob21hcyZhcG9z
OyBIb3NwaXRhbCwgTG9uZG9uLCBVSy4mI3hEO0RpdmlzaW9uIG9mIERpYWJldGVzIGFuZCBOdXRy
aXRpb25hbCBTY2llbmNlcywgS2luZyZhcG9zO3MgQ29sbGVnZSBMb25kb24sIEZyYW5rbGluLVdp
bGtpbnMgQnVpbGRpbmcsIDE1MCBTdGFtZm9yZCBTdHJlZXQsIExvbmRvbiwgVUsuJiN4RDtEZXBh
cnRtZW50IG9mIENhcmRpb3Zhc2N1bGFyIE1lZGljaW5lLCBJbXBlcmlhbCBDb2xsZWdlIExvbmRv
biwgTG9uZG9uLCBVSy4mI3hEO0luc3RpdHV0ZSBvZiBIZWFsdGggJmFtcDsgU29jaWV0eSBOZXdj
YXN0bGUgVW5pdmVyc2l0eSwgVUsgQmFkZGlsZXktQ2xhcmsgQnVpbGRpbmcgUmljaGFyZHNvbiBS
b2FkLCBOZXdjYXN0bGUgdXBvbiBUeW5lLCBVSy4mI3hEO01SQyBMaWZlY291cnNlIEVwaWRlbWlv
bG9neSBVbml0IGFuZCBOSUhSIFNvdXRoYW1wdG9uIEJpb21lZGljYWwgUmVzZWFyY2ggQ2VudHJl
LCBVbml2ZXJzaXR5IG9mIFNvdXRoYW1wdG9uIGFuZCBVbml2ZXJzaXR5IEhvc3BpdGFsIFNvdXRo
YW1wdG9uIE5IUyBGb3VuZGF0aW9uIFRydXN0LCBNYWlscG9pbnQgOTUsIFNvdXRoYW1wdG9uLCBV
Sy4mI3hEO1NjaG9vbCBvZiBNZWRpY2luZSwgVW5pdmVyc2l0eSBvZiBHbGFzZ293LCBOZXcgTGlz
dGVyIEJ1aWxkaW5nLCBHbGFzZ293IFJveWFsIEluZmlybWFyeSwgR2xhc2dvdywgVUsuJiN4RDtH
dXlzIGFuZCBTdCBUaG9tYXMmYXBvczsgTkhTIEZvdW5kYXRpb24gVHJ1c3QsIFdlc3RtaW5zdGVy
IEJyaWRnZSBSb2FkLCBMb25kb24sIFVLLiYjeEQ7SW5zdGl0dXRlIG9mIENhcmRpb3Zhc2N1bGFy
IGFuZCBNZWRpY2FsIFNjaWVuY2VzLCBSQzIxNCBMZXZlbCBDMiwgQnJpdGlzaCBIZWFydCBGb3Vu
ZGF0aW9uIEdsYXNnb3cgQ2FyZGlvdmFzY3VsYXIgUmVzZWFyY2ggQ2VudHJlLCBVbml2ZXJzaXR5
IG9mIEdsYXNnb3csIEdsYXNnb3csIFVLLiYjeEQ7SGVhbHRoIEJlaGF2aW91ciBSZXNlYXJjaCBD
ZW50cmUsIEluc3RpdHV0ZSBvZiBFcGlkZW1pb2xvZ3kgYW5kIEhlYWx0aCwgVW5pdmVyc2l0eSBD
b2xsZWdlIExvbmRvbiwgMS0xOSBUb3JyaW5ndG9uIFBsYWNlLCBMb25kb24sIFVLLiYjeEQ7RGl2
aXNpb24gb2YgRGlhYmV0ZXMgYW5kIE51dHJpdGlvbmFsIFNjaWVuY2VzLCBLaW5nJmFwb3M7cyBD
b2xsZWdlIExvbmRvbiwgRnJhbmtsaW4tV2lsa2lucyBCdWlsZGluZywgMTUwIFN0YW1mb3JkIFN0
cmVldCwgTG9uZG9uLCBVSy4gbG91aXNlLmdvZmZAa2NsLmFjLnVrLjwvYXV0aC1hZGRyZXNzPjx0
aXRsZXM+PHRpdGxlPkRpZXRhcnkgcGF0dGVybnMgaW4gb2Jlc2UgcHJlZ25hbnQgd29tZW47IGlu
Zmx1ZW5jZSBvZiBhIGJlaGF2aW9yYWwgaW50ZXJ2ZW50aW9uIG9mIGRpZXQgYW5kIHBoeXNpY2Fs
IGFjdGl2aXR5IGluIHRoZSBVUEJFQVQgcmFuZG9taXplZCBjb250cm9sbGVkIHRyaWFsPC90aXRs
ZT48c2Vjb25kYXJ5LXRpdGxlPkludCBKIEJlaGF2IE51dHIgUGh5cyBBY3Q8L3NlY29uZGFyeS10
aXRsZT48L3RpdGxlcz48cGVyaW9kaWNhbD48ZnVsbC10aXRsZT5JbnQgSiBCZWhhdiBOdXRyIFBo
eXMgQWN0PC9mdWxsLXRpdGxlPjwvcGVyaW9kaWNhbD48cGFnZXM+MTI0PC9wYWdlcz48dm9sdW1l
PjEzPC92b2x1bWU+PG51bWJlcj4xPC9udW1iZXI+PGVkaXRpb24+MjAxNi8xMS8zMDwvZWRpdGlv
bj48a2V5d29yZHM+PGtleXdvcmQ+QWR1bHQ8L2tleXdvcmQ+PGtleXdvcmQ+KkJlaGF2aW9yIFRo
ZXJhcHk8L2tleXdvcmQ+PGtleXdvcmQ+RGlhYmV0ZXMsIEdlc3RhdGlvbmFsL2V0aW9sb2d5L3By
ZXZlbnRpb24gJmFtcDsgY29udHJvbDwva2V5d29yZD48a2V5d29yZD4qRGlldDwva2V5d29yZD48
a2V5d29yZD4qRXhlcmNpc2U8L2tleXdvcmQ+PGtleXdvcmQ+RmFzdCBGb29kczwva2V5d29yZD48
a2V5d29yZD4qRmVlZGluZyBCZWhhdmlvcjwva2V5d29yZD48a2V5d29yZD5GZW1hbGU8L2tleXdv
cmQ+PGtleXdvcmQ+R2VzdGF0aW9uYWwgQWdlPC9rZXl3b3JkPjxrZXl3b3JkPkh1bWFuczwva2V5
d29yZD48a2V5d29yZD5PYmVzaXR5L2NvbXBsaWNhdGlvbnMvKnRoZXJhcHk8L2tleXdvcmQ+PGtl
eXdvcmQ+UHJlZ25hbmN5PC9rZXl3b3JkPjxrZXl3b3JkPlByZWduYW5jeSBDb21wbGljYXRpb25z
Lyp0aGVyYXB5PC9rZXl3b3JkPjxrZXl3b3JkPlByZWduYW5jeSBPdXRjb21lPC9rZXl3b3JkPjxr
ZXl3b3JkPlByZW5hdGFsIENhcmU8L2tleXdvcmQ+PGtleXdvcmQ+U25hY2tzPC9rZXl3b3JkPjxr
ZXl3b3JkPipEaWV0YXJ5IHBhdHRlcm5zPC9rZXl3b3JkPjxrZXl3b3JkPipHZXN0YXRpb25hbCBk
aWFiZXRlczwva2V5d29yZD48a2V5d29yZD4qT2Jlc2l0eTwva2V5d29yZD48a2V5d29yZD4qUHJl
Z25hbmN5PC9rZXl3b3JkPjwva2V5d29yZHM+PGRhdGVzPjx5ZWFyPjIwMTY8L3llYXI+PHB1Yi1k
YXRlcz48ZGF0ZT5Ob3YgMjk8L2RhdGU+PC9wdWItZGF0ZXM+PC9kYXRlcz48aXNibj4xNDc5LTU4
NjggKEVsZWN0cm9uaWMpJiN4RDsxNDc5LTU4NjggKExpbmtpbmcpPC9pc2JuPjxhY2Nlc3Npb24t
bnVtPjI3ODk0MzE2PC9hY2Nlc3Npb24tbnVtPjx1cmxzPjxyZWxhdGVkLXVybHM+PHVybD5odHRw
czovL3d3dy5uY2JpLm5sbS5uaWguZ292L3B1Ym1lZC8yNzg5NDMxNjwvdXJsPjwvcmVsYXRlZC11
cmxzPjwvdXJscz48Y3VzdG9tMj5QTUM1MTI2ODczPC9jdXN0b20yPjxlbGVjdHJvbmljLXJlc291
cmNlLW51bT4xMC4xMTg2L3MxMjk2Ni0wMTYtMDQ1MC0yPC9lbGVjdHJvbmljLXJlc291cmNlLW51
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16</w:t>
      </w:r>
      <w:r>
        <w:fldChar w:fldCharType="end"/>
      </w:r>
      <w:r>
        <w:t xml:space="preserve"> found no clear increases or decreases in risk of </w:t>
      </w:r>
      <w:r w:rsidR="00836ACB">
        <w:t>large for gestational age</w:t>
      </w:r>
      <w:r>
        <w:t xml:space="preserve">, </w:t>
      </w:r>
      <w:r w:rsidR="00836ACB">
        <w:t>small for gestational age or</w:t>
      </w:r>
      <w:r>
        <w:t xml:space="preserve"> macrosomia for any dietary pattern.</w:t>
      </w:r>
    </w:p>
    <w:p w14:paraId="0D4FECB7" w14:textId="3DA331C5" w:rsidR="005E768B" w:rsidRDefault="005E768B" w:rsidP="009654BD">
      <w:r>
        <w:t>A cohort study (</w:t>
      </w:r>
      <w:r w:rsidRPr="00F73676">
        <w:rPr>
          <w:sz w:val="16"/>
          <w:szCs w:val="16"/>
        </w:rPr>
        <w:t>n=59,949</w:t>
      </w:r>
      <w:r>
        <w:t>)</w:t>
      </w:r>
      <w:r>
        <w:fldChar w:fldCharType="begin">
          <w:fldData xml:space="preserve">PEVuZE5vdGU+PENpdGU+PEF1dGhvcj5SYXNtdXNzZW48L0F1dGhvcj48WWVhcj4yMDE0PC9ZZWFy
PjxSZWNOdW0+MTQ3NTwvUmVjTnVtPjxEaXNwbGF5VGV4dD48c3R5bGUgZmFjZT0ic3VwZXJzY3Jp
cHQiIGZvbnQ9IlRyZWJ1Y2hldCBNUyIgc2l6ZT0iOSI+MzA8L3N0eWxlPjwvRGlzcGxheVRleHQ+
PHJlY29yZD48cmVjLW51bWJlcj4xNDc1PC9yZWMtbnVtYmVyPjxmb3JlaWduLWtleXM+PGtleSBh
cHA9IkVOIiBkYi1pZD0iZXh2YXNyZngyZHRyYW9lc2FzeHAyc3pzeGEyZGY1MDI1OTJ4IiB0aW1l
c3RhbXA9IjE1NzQwMzk2NTgiPjE0NzU8L2tleT48a2V5IGFwcD0iRU5XZWIiIGRiLWlkPSIiPjA8
L2tleT48L2ZvcmVpZ24ta2V5cz48cmVmLXR5cGUgbmFtZT0iSm91cm5hbCBBcnRpY2xlIj4xNzwv
cmVmLXR5cGU+PGNvbnRyaWJ1dG9ycz48YXV0aG9ycz48YXV0aG9yPlJhc211c3NlbiwgTS4gQS48
L2F1dGhvcj48YXV0aG9yPk1hc2xvdmEsIEUuPC9hdXRob3I+PGF1dGhvcj5IYWxsZG9yc3Nvbiwg
VC4gSS48L2F1dGhvcj48YXV0aG9yPk9sc2VuLCBTLiBGLjwvYXV0aG9yPjwvYXV0aG9ycz48L2Nv
bnRyaWJ1dG9ycz48YXV0aC1hZGRyZXNzPkZhY3VsdHkgb2YgU2NpZW5jZSwgVW5pdmVyc2l0eSBv
ZiBDb3BlbmhhZ2VuLCBGcmVkZXJpa3NiZXJnLCBEZW5tYXJrLiYjeEQ7Q2VudHJlIGZvciBGZXRh
bCBQcm9ncmFtbWluZywgRGl2aXNpb24gb2YgRXBpZGVtaW9sb2d5LCBTdGF0ZW5zIFNlcnVtIElu
c3RpdHV0LCBDb3BlbmhhZ2VuLCBEZW5tYXJrLiYjeEQ7Q2VudHJlIGZvciBGZXRhbCBQcm9ncmFt
bWluZywgRGl2aXNpb24gb2YgRXBpZGVtaW9sb2d5LCBTdGF0ZW5zIFNlcnVtIEluc3RpdHV0LCBD
b3BlbmhhZ2VuLCBEZW5tYXJrOyBUaGUgVW5pdCBmb3IgTnV0cml0aW9uIFJlc2VhcmNoLCBGYWN1
bHR5IG9mIEZvb2QgU2NpZW5jZSBhbmQgTnV0cml0aW9uLCBTY2hvb2wgb2YgSGVhbHRoIFNjaWVu
Y2VzLCBVbml2ZXJzaXR5IG9mIEljZWxhbmQsIFJleWtqYXZpaywgSWNlbGFuZC4mI3hEO0NlbnRy
ZSBmb3IgRmV0YWwgUHJvZ3JhbW1pbmcsIERpdmlzaW9uIG9mIEVwaWRlbWlvbG9neSwgU3RhdGVu
cyBTZXJ1bSBJbnN0aXR1dCwgQ29wZW5oYWdlbiwgRGVubWFyazsgRGVwYXJ0bWVudCBvZiBOdXRy
aXRpb24sIEhhcnZhcmQgU2Nob29sIG9mIFB1YmxpYyBIZWFsdGgsIEJvc3RvbiwgTWFzc2FjaHVz
ZXR0cywgVW5pdGVkIFN0YXRlcyBvZiBBbWVyaWNhLjwvYXV0aC1hZGRyZXNzPjx0aXRsZXM+PHRp
dGxlPkNoYXJhY3Rlcml6YXRpb24gb2YgZGlldGFyeSBwYXR0ZXJucyBpbiB0aGUgRGFuaXNoIG5h
dGlvbmFsIGJpcnRoIGNvaG9ydCBpbiByZWxhdGlvbiB0byBwcmV0ZXJtIGJpcnRoPC90aXRsZT48
c2Vjb25kYXJ5LXRpdGxlPlBMb1MgT25lPC9zZWNvbmRhcnktdGl0bGU+PC90aXRsZXM+PHBlcmlv
ZGljYWw+PGZ1bGwtdGl0bGU+UExvUyBPbmU8L2Z1bGwtdGl0bGU+PC9wZXJpb2RpY2FsPjxwYWdl
cz5lOTM2NDQ8L3BhZ2VzPjx2b2x1bWU+OTwvdm9sdW1lPjxudW1iZXI+NDwvbnVtYmVyPjxlZGl0
aW9uPjIwMTQvMDQvMjI8L2VkaXRpb24+PGtleXdvcmRzPjxrZXl3b3JkPkFkdWx0PC9rZXl3b3Jk
PjxrZXl3b3JkPkNvaG9ydCBTdHVkaWVzPC9rZXl3b3JkPjxrZXl3b3JkPkRlbm1hcmsvZXBpZGVt
aW9sb2d5PC9rZXl3b3JkPjxrZXl3b3JkPipEaWV0IFN1cnZleXM8L2tleXdvcmQ+PGtleXdvcmQ+
RWF0aW5nPC9rZXl3b3JkPjxrZXl3b3JkPkZlbWFsZTwva2V5d29yZD48a2V5d29yZD5IdW1hbnM8
L2tleXdvcmQ+PGtleXdvcmQ+TG9uZ2l0dWRpbmFsIFN0dWRpZXM8L2tleXdvcmQ+PGtleXdvcmQ+
Kk1vdGhlcnM8L2tleXdvcmQ+PGtleXdvcmQ+UHJlZ25hbmN5PC9rZXl3b3JkPjxrZXl3b3JkPlBy
ZW1hdHVyZSBCaXJ0aC8qZXBpZGVtaW9sb2d5PC9rZXl3b3JkPjxrZXl3b3JkPlByaW5jaXBhbCBD
b21wb25lbnQgQW5hbHlzaXM8L2tleXdvcmQ+PGtleXdvcmQ+UHJvc3BlY3RpdmUgU3R1ZGllczwv
a2V5d29yZD48a2V5d29yZD5Zb3VuZyBBZHVsdDwva2V5d29yZD48L2tleXdvcmRzPjxkYXRlcz48
eWVhcj4yMDE0PC95ZWFyPjwvZGF0ZXM+PGlzYm4+MTkzMi02MjAzIChFbGVjdHJvbmljKSYjeEQ7
MTkzMi02MjAzIChMaW5raW5nKTwvaXNibj48YWNjZXNzaW9uLW51bT4yNDc0NzcxNTwvYWNjZXNz
aW9uLW51bT48dXJscz48cmVsYXRlZC11cmxzPjx1cmw+aHR0cHM6Ly93d3cubmNiaS5ubG0ubmlo
Lmdvdi9wdWJtZWQvMjQ3NDc3MTU8L3VybD48L3JlbGF0ZWQtdXJscz48L3VybHM+PGN1c3RvbTI+
UE1DMzk5MTU4NjwvY3VzdG9tMj48ZWxlY3Ryb25pYy1yZXNvdXJjZS1udW0+MTAuMTM3MS9qb3Vy
bmFsLnBvbmUuMDA5MzY0NDwvZWxlY3Ryb25pYy1yZXNvdXJjZS1udW0+PC9yZWNvcmQ+PC9DaXRl
PjwvRW5kTm90ZT4A
</w:fldData>
        </w:fldChar>
      </w:r>
      <w:r w:rsidR="002747EA">
        <w:instrText xml:space="preserve"> ADDIN EN.CITE </w:instrText>
      </w:r>
      <w:r w:rsidR="002747EA">
        <w:fldChar w:fldCharType="begin">
          <w:fldData xml:space="preserve">PEVuZE5vdGU+PENpdGU+PEF1dGhvcj5SYXNtdXNzZW48L0F1dGhvcj48WWVhcj4yMDE0PC9ZZWFy
PjxSZWNOdW0+MTQ3NTwvUmVjTnVtPjxEaXNwbGF5VGV4dD48c3R5bGUgZmFjZT0ic3VwZXJzY3Jp
cHQiIGZvbnQ9IlRyZWJ1Y2hldCBNUyIgc2l6ZT0iOSI+MzA8L3N0eWxlPjwvRGlzcGxheVRleHQ+
PHJlY29yZD48cmVjLW51bWJlcj4xNDc1PC9yZWMtbnVtYmVyPjxmb3JlaWduLWtleXM+PGtleSBh
cHA9IkVOIiBkYi1pZD0iZXh2YXNyZngyZHRyYW9lc2FzeHAyc3pzeGEyZGY1MDI1OTJ4IiB0aW1l
c3RhbXA9IjE1NzQwMzk2NTgiPjE0NzU8L2tleT48a2V5IGFwcD0iRU5XZWIiIGRiLWlkPSIiPjA8
L2tleT48L2ZvcmVpZ24ta2V5cz48cmVmLXR5cGUgbmFtZT0iSm91cm5hbCBBcnRpY2xlIj4xNzwv
cmVmLXR5cGU+PGNvbnRyaWJ1dG9ycz48YXV0aG9ycz48YXV0aG9yPlJhc211c3NlbiwgTS4gQS48
L2F1dGhvcj48YXV0aG9yPk1hc2xvdmEsIEUuPC9hdXRob3I+PGF1dGhvcj5IYWxsZG9yc3Nvbiwg
VC4gSS48L2F1dGhvcj48YXV0aG9yPk9sc2VuLCBTLiBGLjwvYXV0aG9yPjwvYXV0aG9ycz48L2Nv
bnRyaWJ1dG9ycz48YXV0aC1hZGRyZXNzPkZhY3VsdHkgb2YgU2NpZW5jZSwgVW5pdmVyc2l0eSBv
ZiBDb3BlbmhhZ2VuLCBGcmVkZXJpa3NiZXJnLCBEZW5tYXJrLiYjeEQ7Q2VudHJlIGZvciBGZXRh
bCBQcm9ncmFtbWluZywgRGl2aXNpb24gb2YgRXBpZGVtaW9sb2d5LCBTdGF0ZW5zIFNlcnVtIElu
c3RpdHV0LCBDb3BlbmhhZ2VuLCBEZW5tYXJrLiYjeEQ7Q2VudHJlIGZvciBGZXRhbCBQcm9ncmFt
bWluZywgRGl2aXNpb24gb2YgRXBpZGVtaW9sb2d5LCBTdGF0ZW5zIFNlcnVtIEluc3RpdHV0LCBD
b3BlbmhhZ2VuLCBEZW5tYXJrOyBUaGUgVW5pdCBmb3IgTnV0cml0aW9uIFJlc2VhcmNoLCBGYWN1
bHR5IG9mIEZvb2QgU2NpZW5jZSBhbmQgTnV0cml0aW9uLCBTY2hvb2wgb2YgSGVhbHRoIFNjaWVu
Y2VzLCBVbml2ZXJzaXR5IG9mIEljZWxhbmQsIFJleWtqYXZpaywgSWNlbGFuZC4mI3hEO0NlbnRy
ZSBmb3IgRmV0YWwgUHJvZ3JhbW1pbmcsIERpdmlzaW9uIG9mIEVwaWRlbWlvbG9neSwgU3RhdGVu
cyBTZXJ1bSBJbnN0aXR1dCwgQ29wZW5oYWdlbiwgRGVubWFyazsgRGVwYXJ0bWVudCBvZiBOdXRy
aXRpb24sIEhhcnZhcmQgU2Nob29sIG9mIFB1YmxpYyBIZWFsdGgsIEJvc3RvbiwgTWFzc2FjaHVz
ZXR0cywgVW5pdGVkIFN0YXRlcyBvZiBBbWVyaWNhLjwvYXV0aC1hZGRyZXNzPjx0aXRsZXM+PHRp
dGxlPkNoYXJhY3Rlcml6YXRpb24gb2YgZGlldGFyeSBwYXR0ZXJucyBpbiB0aGUgRGFuaXNoIG5h
dGlvbmFsIGJpcnRoIGNvaG9ydCBpbiByZWxhdGlvbiB0byBwcmV0ZXJtIGJpcnRoPC90aXRsZT48
c2Vjb25kYXJ5LXRpdGxlPlBMb1MgT25lPC9zZWNvbmRhcnktdGl0bGU+PC90aXRsZXM+PHBlcmlv
ZGljYWw+PGZ1bGwtdGl0bGU+UExvUyBPbmU8L2Z1bGwtdGl0bGU+PC9wZXJpb2RpY2FsPjxwYWdl
cz5lOTM2NDQ8L3BhZ2VzPjx2b2x1bWU+OTwvdm9sdW1lPjxudW1iZXI+NDwvbnVtYmVyPjxlZGl0
aW9uPjIwMTQvMDQvMjI8L2VkaXRpb24+PGtleXdvcmRzPjxrZXl3b3JkPkFkdWx0PC9rZXl3b3Jk
PjxrZXl3b3JkPkNvaG9ydCBTdHVkaWVzPC9rZXl3b3JkPjxrZXl3b3JkPkRlbm1hcmsvZXBpZGVt
aW9sb2d5PC9rZXl3b3JkPjxrZXl3b3JkPipEaWV0IFN1cnZleXM8L2tleXdvcmQ+PGtleXdvcmQ+
RWF0aW5nPC9rZXl3b3JkPjxrZXl3b3JkPkZlbWFsZTwva2V5d29yZD48a2V5d29yZD5IdW1hbnM8
L2tleXdvcmQ+PGtleXdvcmQ+TG9uZ2l0dWRpbmFsIFN0dWRpZXM8L2tleXdvcmQ+PGtleXdvcmQ+
Kk1vdGhlcnM8L2tleXdvcmQ+PGtleXdvcmQ+UHJlZ25hbmN5PC9rZXl3b3JkPjxrZXl3b3JkPlBy
ZW1hdHVyZSBCaXJ0aC8qZXBpZGVtaW9sb2d5PC9rZXl3b3JkPjxrZXl3b3JkPlByaW5jaXBhbCBD
b21wb25lbnQgQW5hbHlzaXM8L2tleXdvcmQ+PGtleXdvcmQ+UHJvc3BlY3RpdmUgU3R1ZGllczwv
a2V5d29yZD48a2V5d29yZD5Zb3VuZyBBZHVsdDwva2V5d29yZD48L2tleXdvcmRzPjxkYXRlcz48
eWVhcj4yMDE0PC95ZWFyPjwvZGF0ZXM+PGlzYm4+MTkzMi02MjAzIChFbGVjdHJvbmljKSYjeEQ7
MTkzMi02MjAzIChMaW5raW5nKTwvaXNibj48YWNjZXNzaW9uLW51bT4yNDc0NzcxNTwvYWNjZXNz
aW9uLW51bT48dXJscz48cmVsYXRlZC11cmxzPjx1cmw+aHR0cHM6Ly93d3cubmNiaS5ubG0ubmlo
Lmdvdi9wdWJtZWQvMjQ3NDc3MTU8L3VybD48L3JlbGF0ZWQtdXJscz48L3VybHM+PGN1c3RvbTI+
UE1DMzk5MTU4NjwvY3VzdG9tMj48ZWxlY3Ryb25pYy1yZXNvdXJjZS1udW0+MTAuMTM3MS9qb3Vy
bmFsLnBvbmUuMDA5MzY0NDwvZWxlY3Ryb25pYy1yZXNvdXJjZS1udW0+PC9yZWNvcmQ+PC9DaXRl
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30</w:t>
      </w:r>
      <w:r>
        <w:fldChar w:fldCharType="end"/>
      </w:r>
      <w:r>
        <w:t xml:space="preserve"> observed a consistent dose-response association between a dietary pattern</w:t>
      </w:r>
      <w:r w:rsidRPr="001638BB">
        <w:t xml:space="preserve"> high in meat and fats and low in fruits and vegetables</w:t>
      </w:r>
      <w:r>
        <w:t xml:space="preserve"> and induced preterm birth </w:t>
      </w:r>
      <w:r w:rsidRPr="001638BB">
        <w:t>(</w:t>
      </w:r>
      <w:r w:rsidRPr="00BA0A27">
        <w:rPr>
          <w:sz w:val="16"/>
          <w:szCs w:val="16"/>
        </w:rPr>
        <w:t>aOR 1.66, 95%CI 1.30 to 2.11</w:t>
      </w:r>
      <w:r w:rsidRPr="001638BB">
        <w:t>)</w:t>
      </w:r>
      <w:r>
        <w:t xml:space="preserve"> but no clear association with spontaneous preterm birth </w:t>
      </w:r>
      <w:r w:rsidRPr="001638BB">
        <w:t>(</w:t>
      </w:r>
      <w:r w:rsidRPr="00BA0A27">
        <w:rPr>
          <w:sz w:val="16"/>
          <w:szCs w:val="16"/>
        </w:rPr>
        <w:t>aOR 1.18, 95%CI 0.99 to 1.39</w:t>
      </w:r>
      <w:r w:rsidRPr="001638BB">
        <w:t>)</w:t>
      </w:r>
      <w:r>
        <w:t>.</w:t>
      </w:r>
    </w:p>
    <w:p w14:paraId="1C6B3F7A" w14:textId="6F1B681D" w:rsidR="004B2F20" w:rsidRDefault="006A1B23" w:rsidP="009654BD">
      <w:r>
        <w:t>A cohort study (</w:t>
      </w:r>
      <w:r w:rsidRPr="00F73676">
        <w:rPr>
          <w:sz w:val="16"/>
          <w:szCs w:val="16"/>
        </w:rPr>
        <w:t>n=66,000</w:t>
      </w:r>
      <w:r>
        <w:t>)</w:t>
      </w:r>
      <w:r w:rsidR="00756DCF">
        <w:fldChar w:fldCharType="begin"/>
      </w:r>
      <w:r w:rsidR="002747EA">
        <w:instrText xml:space="preserve"> ADDIN EN.CITE &lt;EndNote&gt;&lt;Cite&gt;&lt;Author&gt;Englund-Ogge&lt;/Author&gt;&lt;Year&gt;2014&lt;/Year&gt;&lt;RecNum&gt;1361&lt;/RecNum&gt;&lt;DisplayText&gt;&lt;style face="superscript" font="Trebuchet MS" size="9"&gt;31&lt;/style&gt;&lt;/DisplayText&gt;&lt;record&gt;&lt;rec-number&gt;1361&lt;/rec-number&gt;&lt;foreign-keys&gt;&lt;key app="EN" db-id="exvasrfx2dtraoesasxp2szsxa2df502592x" timestamp="1567031053"&gt;1361&lt;/key&gt;&lt;key app="ENWeb" db-id=""&gt;0&lt;/key&gt;&lt;/foreign-keys&gt;&lt;ref-type name="Journal Article"&gt;17&lt;/ref-type&gt;&lt;contributors&gt;&lt;authors&gt;&lt;author&gt;Englund-Ogge, L.&lt;/author&gt;&lt;author&gt;Brantsaeter, A. L.&lt;/author&gt;&lt;author&gt;Sengpiel, V.&lt;/author&gt;&lt;author&gt;Haugen, M.&lt;/author&gt;&lt;author&gt;Birgisdottir, B. E.&lt;/author&gt;&lt;author&gt;Myhre, R.&lt;/author&gt;&lt;author&gt;Meltzer, H. M.&lt;/author&gt;&lt;author&gt;Jacobsson, B.&lt;/author&gt;&lt;/authors&gt;&lt;/contributors&gt;&lt;auth-address&gt;Department of Obstetrics and Gynecology, Institute of Clinical Sciences, Sahlgrenska Academy, Sahlgrenska University Hospital, SE-41685 Gothenburg, Sweden.&lt;/auth-address&gt;&lt;titles&gt;&lt;title&gt;Maternal dietary patterns and preterm delivery: results from large prospective cohort study&lt;/title&gt;&lt;secondary-title&gt;BMJ&lt;/secondary-title&gt;&lt;/titles&gt;&lt;periodical&gt;&lt;full-title&gt;BMJ&lt;/full-title&gt;&lt;/periodical&gt;&lt;pages&gt;g1446&lt;/pages&gt;&lt;volume&gt;348&lt;/volume&gt;&lt;edition&gt;2014/03/13&lt;/edition&gt;&lt;keywords&gt;&lt;keyword&gt;Adult&lt;/keyword&gt;&lt;keyword&gt;Diet&lt;/keyword&gt;&lt;keyword&gt;*Feeding Behavior&lt;/keyword&gt;&lt;keyword&gt;Female&lt;/keyword&gt;&lt;keyword&gt;Humans&lt;/keyword&gt;&lt;keyword&gt;Norway/epidemiology&lt;/keyword&gt;&lt;keyword&gt;Pregnancy&lt;/keyword&gt;&lt;keyword&gt;Premature Birth/*epidemiology&lt;/keyword&gt;&lt;keyword&gt;Prospective Studies&lt;/keyword&gt;&lt;keyword&gt;Risk Factors&lt;/keyword&gt;&lt;keyword&gt;Surveys and Questionnaires&lt;/keyword&gt;&lt;keyword&gt;Young Adult&lt;/keyword&gt;&lt;/keywords&gt;&lt;dates&gt;&lt;year&gt;2014&lt;/year&gt;&lt;pub-dates&gt;&lt;date&gt;Mar 4&lt;/date&gt;&lt;/pub-dates&gt;&lt;/dates&gt;&lt;isbn&gt;1756-1833 (Electronic)&amp;#xD;0959-8138 (Linking)&lt;/isbn&gt;&lt;accession-num&gt;24609054&lt;/accession-num&gt;&lt;urls&gt;&lt;related-urls&gt;&lt;url&gt;https://www.ncbi.nlm.nih.gov/pubmed/24609054&lt;/url&gt;&lt;/related-urls&gt;&lt;/urls&gt;&lt;custom2&gt;PMC3942565&lt;/custom2&gt;&lt;electronic-resource-num&gt;10.1136/bmj.g1446&lt;/electronic-resource-num&gt;&lt;/record&gt;&lt;/Cite&gt;&lt;/EndNote&gt;</w:instrText>
      </w:r>
      <w:r w:rsidR="00756DCF">
        <w:fldChar w:fldCharType="separate"/>
      </w:r>
      <w:r w:rsidR="002747EA" w:rsidRPr="002747EA">
        <w:rPr>
          <w:noProof/>
          <w:vertAlign w:val="superscript"/>
        </w:rPr>
        <w:t>31</w:t>
      </w:r>
      <w:r w:rsidR="00756DCF">
        <w:fldChar w:fldCharType="end"/>
      </w:r>
      <w:r>
        <w:t xml:space="preserve"> </w:t>
      </w:r>
      <w:r w:rsidR="00756DCF">
        <w:t xml:space="preserve">found that a </w:t>
      </w:r>
      <w:r w:rsidR="00D8055A">
        <w:t xml:space="preserve">“prudent” </w:t>
      </w:r>
      <w:r w:rsidR="00756DCF">
        <w:t xml:space="preserve">dietary pattern characterised by </w:t>
      </w:r>
      <w:r w:rsidR="00BF03FF">
        <w:t xml:space="preserve">high </w:t>
      </w:r>
      <w:r w:rsidR="00756DCF">
        <w:t xml:space="preserve">intake of </w:t>
      </w:r>
      <w:r w:rsidR="00756DCF" w:rsidRPr="00B03D4D">
        <w:t>vegetables, fruits, oils, water as bever</w:t>
      </w:r>
      <w:r w:rsidR="00756DCF">
        <w:t xml:space="preserve">age, </w:t>
      </w:r>
      <w:r w:rsidR="00DB7B36">
        <w:t>whole grain cereals and</w:t>
      </w:r>
      <w:r w:rsidR="00756DCF">
        <w:t xml:space="preserve"> fibre-</w:t>
      </w:r>
      <w:r w:rsidR="00756DCF" w:rsidRPr="00B03D4D">
        <w:t>rich bread</w:t>
      </w:r>
      <w:r w:rsidR="00756DCF">
        <w:t xml:space="preserve"> was </w:t>
      </w:r>
      <w:r w:rsidR="00756DCF" w:rsidRPr="00B03D4D">
        <w:t xml:space="preserve">associated with significantly reduced risk of preterm </w:t>
      </w:r>
      <w:r w:rsidR="00756DCF">
        <w:t>birth</w:t>
      </w:r>
      <w:r w:rsidR="00756DCF" w:rsidRPr="00B03D4D">
        <w:t xml:space="preserve"> for the highest versus the lowest third (</w:t>
      </w:r>
      <w:r w:rsidR="00756DCF" w:rsidRPr="00F73676">
        <w:rPr>
          <w:sz w:val="16"/>
          <w:szCs w:val="16"/>
        </w:rPr>
        <w:t>HR 0.88; 95%CI 0.80 to 0.97</w:t>
      </w:r>
      <w:r w:rsidR="00756DCF" w:rsidRPr="00B03D4D">
        <w:t>)</w:t>
      </w:r>
      <w:r w:rsidR="00756DCF">
        <w:t xml:space="preserve">. </w:t>
      </w:r>
      <w:r w:rsidR="00756DCF" w:rsidRPr="00B03D4D">
        <w:t xml:space="preserve">The "traditional" </w:t>
      </w:r>
      <w:r w:rsidR="00756DCF">
        <w:t xml:space="preserve">(Norwegian; fish, potatoes) </w:t>
      </w:r>
      <w:r w:rsidR="00756DCF" w:rsidRPr="00B03D4D">
        <w:t xml:space="preserve">pattern was </w:t>
      </w:r>
      <w:r w:rsidR="00756DCF">
        <w:t xml:space="preserve">also </w:t>
      </w:r>
      <w:r w:rsidR="00756DCF" w:rsidRPr="00B03D4D">
        <w:t xml:space="preserve">associated with reduced risk of preterm </w:t>
      </w:r>
      <w:r w:rsidR="00756DCF">
        <w:t>birth</w:t>
      </w:r>
      <w:r w:rsidR="00756DCF" w:rsidRPr="00B03D4D">
        <w:t xml:space="preserve"> for the highest versus the lowest third (</w:t>
      </w:r>
      <w:r w:rsidR="00756DCF" w:rsidRPr="00F73676">
        <w:rPr>
          <w:sz w:val="16"/>
          <w:szCs w:val="16"/>
        </w:rPr>
        <w:t>HR 0.91, 0.83 to 0.99</w:t>
      </w:r>
      <w:r w:rsidR="00756DCF" w:rsidRPr="00B03D4D">
        <w:t>).</w:t>
      </w:r>
      <w:r w:rsidR="00756DCF">
        <w:t xml:space="preserve"> </w:t>
      </w:r>
      <w:r w:rsidR="004A6A49">
        <w:t>A furth</w:t>
      </w:r>
      <w:r w:rsidR="00F73676">
        <w:t>er anal</w:t>
      </w:r>
      <w:r w:rsidR="004A6A49">
        <w:t>ysis</w:t>
      </w:r>
      <w:r w:rsidR="00BF03FF">
        <w:t xml:space="preserve"> (</w:t>
      </w:r>
      <w:r w:rsidR="00BF03FF" w:rsidRPr="00F73676">
        <w:rPr>
          <w:sz w:val="16"/>
          <w:szCs w:val="16"/>
        </w:rPr>
        <w:t>n=65,904</w:t>
      </w:r>
      <w:r w:rsidR="00BF03FF">
        <w:t>),</w:t>
      </w:r>
      <w:r w:rsidR="00BF03FF">
        <w:fldChar w:fldCharType="begin">
          <w:fldData xml:space="preserve">PEVuZE5vdGU+PENpdGU+PEF1dGhvcj5FbmdsdW5kLU9nZ2U8L0F1dGhvcj48WWVhcj4yMDE5PC9Z
ZWFyPjxSZWNOdW0+MTM5OTwvUmVjTnVtPjxEaXNwbGF5VGV4dD48c3R5bGUgZmFjZT0ic3VwZXJz
Y3JpcHQiIGZvbnQ9IlRyZWJ1Y2hldCBNUyIgc2l6ZT0iOSI+MzI8L3N0eWxlPjwvRGlzcGxheVRl
eHQ+PHJlY29yZD48cmVjLW51bWJlcj4xMzk5PC9yZWMtbnVtYmVyPjxmb3JlaWduLWtleXM+PGtl
eSBhcHA9IkVOIiBkYi1pZD0iZXh2YXNyZngyZHRyYW9lc2FzeHAyc3pzeGEyZGY1MDI1OTJ4IiB0
aW1lc3RhbXA9IjE1Njc5MjQ0NjkiPjEzOTk8L2tleT48a2V5IGFwcD0iRU5XZWIiIGRiLWlkPSIi
PjA8L2tleT48L2ZvcmVpZ24ta2V5cz48cmVmLXR5cGUgbmFtZT0iSm91cm5hbCBBcnRpY2xlIj4x
NzwvcmVmLXR5cGU+PGNvbnRyaWJ1dG9ycz48YXV0aG9ycz48YXV0aG9yPkVuZ2x1bmQtT2dnZSwg
TC48L2F1dGhvcj48YXV0aG9yPkJyYW50c2FldGVyLCBBLiBMLjwvYXV0aG9yPjxhdXRob3I+SnVv
ZGFraXMsIEouPC9hdXRob3I+PGF1dGhvcj5IYXVnZW4sIE0uPC9hdXRob3I+PGF1dGhvcj5NZWx0
emVyLCBILiBNLjwvYXV0aG9yPjxhdXRob3I+SmFjb2Jzc29uLCBCLjwvYXV0aG9yPjxhdXRob3I+
U2VuZ3BpZWwsIFYuPC9hdXRob3I+PC9hdXRob3JzPjwvY29udHJpYnV0b3JzPjxhdXRoLWFkZHJl
c3M+RGVwYXJ0bWVudCBvZiBPYnN0ZXRyaWNzIGFuZCBHeW5lY29sb2d5LCBTYWhsZ3JlbnNrYSBV
bml2ZXJzaXR5IEhvc3BpdGFsLCBHb3RoZW5idXJnLCBTd2VkZW4uIGxpbmRhLmVuZ2x1bmQtb2dn
ZUB2Z3JlZ2lvbi5zZS4mI3hEO0RlcGFydG1lbnQgb2YgT2JzdGV0cmljcyBhbmQgR3luZWNvbG9n
eSwgU2FobGdyZW5za2EgQWNhZGVteSwgR290aGVuYnVyZyBVbml2ZXJzaXR5LCBHb3RoZW5idXJn
LCBTd2VkZW4uIGxpbmRhLmVuZ2x1bmQtb2dnZUB2Z3JlZ2lvbi5zZS4mI3hEO0RpdmlzaW9uIG9m
IEluZmVjdGlvbiBDb250cm9sIGFuZCBFbnZpcm9ubWVudGFsIEhlYWx0aCwgTm9yd2VnaWFuIElu
c3RpdHV0ZSBvZiBQdWJsaWMgSGVhbHRoLCBPc2xvLCBOb3J3YXkuJiN4RDtEZXBhcnRtZW50IG9m
IE9ic3RldHJpY3MgYW5kIEd5bmVjb2xvZ3ksIFNhaGxncmVuc2thIEFjYWRlbXksIEdvdGhlbmJ1
cmcgVW5pdmVyc2l0eSwgR290aGVuYnVyZywgU3dlZGVuLiYjeEQ7RGVwYXJ0bWVudCBvZiBPYnN0
ZXRyaWNzIGFuZCBHeW5lY29sb2d5LCBTYWhsZ3JlbnNrYSBVbml2ZXJzaXR5IEhvc3BpdGFsLCBH
b3RoZW5idXJnLCBTd2VkZW4uJiN4RDtEb21haW4gb2YgSGVhbHRoIERhdGEgYW5kIERpZ2l0YWxp
c2F0aW9uLCBOb3J3ZWdpYW4gSW5zdGl0dXRlIG9mIFB1YmxpYyBIZWFsdGgsIE9zbG8sIE5vcndh
eS48L2F1dGgtYWRkcmVzcz48dGl0bGVzPjx0aXRsZT5Bc3NvY2lhdGlvbnMgYmV0d2VlbiBtYXRl
cm5hbCBkaWV0YXJ5IHBhdHRlcm5zIGFuZCBpbmZhbnQgYmlydGggd2VpZ2h0LCBzbWFsbCBhbmQg
bGFyZ2UgZm9yIGdlc3RhdGlvbmFsIGFnZSBpbiB0aGUgTm9yd2VnaWFuIE1vdGhlciBhbmQgQ2hp
bGQgQ29ob3J0IFN0dWR5PC90aXRsZT48c2Vjb25kYXJ5LXRpdGxlPkV1ciBKIENsaW4gTnV0cjwv
c2Vjb25kYXJ5LXRpdGxlPjwvdGl0bGVzPjxwZXJpb2RpY2FsPjxmdWxsLXRpdGxlPkV1ciBKIENs
aW4gTnV0cjwvZnVsbC10aXRsZT48L3BlcmlvZGljYWw+PHBhZ2VzPjEyNzAtMTI4MjwvcGFnZXM+
PHZvbHVtZT43Mzwvdm9sdW1lPjxudW1iZXI+OTwvbnVtYmVyPjxlZGl0aW9uPjIwMTgvMTEvMjI8
L2VkaXRpb24+PGRhdGVzPjx5ZWFyPjIwMTk8L3llYXI+PHB1Yi1kYXRlcz48ZGF0ZT5TZXA8L2Rh
dGU+PC9wdWItZGF0ZXM+PC9kYXRlcz48aXNibj4xNDc2LTU2NDAgKEVsZWN0cm9uaWMpJiN4RDsw
OTU0LTMwMDcgKExpbmtpbmcpPC9pc2JuPjxhY2Nlc3Npb24tbnVtPjMwNDU5MzM4PC9hY2Nlc3Np
b24tbnVtPjx1cmxzPjxyZWxhdGVkLXVybHM+PHVybD5odHRwczovL3d3dy5uY2JpLm5sbS5uaWgu
Z292L3B1Ym1lZC8zMDQ1OTMzODwvdXJsPjwvcmVsYXRlZC11cmxzPjwvdXJscz48ZWxlY3Ryb25p
Yy1yZXNvdXJjZS1udW0+MTAuMTAzOC9zNDE0MzAtMDE4LTAzNTYteTwvZWxlY3Ryb25pYy1yZXNv
dXJjZS1udW0+PC9yZWNvcmQ+PC9DaXRlPjwvRW5kTm90ZT5=
</w:fldData>
        </w:fldChar>
      </w:r>
      <w:r w:rsidR="002747EA">
        <w:instrText xml:space="preserve"> ADDIN EN.CITE </w:instrText>
      </w:r>
      <w:r w:rsidR="002747EA">
        <w:fldChar w:fldCharType="begin">
          <w:fldData xml:space="preserve">PEVuZE5vdGU+PENpdGU+PEF1dGhvcj5FbmdsdW5kLU9nZ2U8L0F1dGhvcj48WWVhcj4yMDE5PC9Z
ZWFyPjxSZWNOdW0+MTM5OTwvUmVjTnVtPjxEaXNwbGF5VGV4dD48c3R5bGUgZmFjZT0ic3VwZXJz
Y3JpcHQiIGZvbnQ9IlRyZWJ1Y2hldCBNUyIgc2l6ZT0iOSI+MzI8L3N0eWxlPjwvRGlzcGxheVRl
eHQ+PHJlY29yZD48cmVjLW51bWJlcj4xMzk5PC9yZWMtbnVtYmVyPjxmb3JlaWduLWtleXM+PGtl
eSBhcHA9IkVOIiBkYi1pZD0iZXh2YXNyZngyZHRyYW9lc2FzeHAyc3pzeGEyZGY1MDI1OTJ4IiB0
aW1lc3RhbXA9IjE1Njc5MjQ0NjkiPjEzOTk8L2tleT48a2V5IGFwcD0iRU5XZWIiIGRiLWlkPSIi
PjA8L2tleT48L2ZvcmVpZ24ta2V5cz48cmVmLXR5cGUgbmFtZT0iSm91cm5hbCBBcnRpY2xlIj4x
NzwvcmVmLXR5cGU+PGNvbnRyaWJ1dG9ycz48YXV0aG9ycz48YXV0aG9yPkVuZ2x1bmQtT2dnZSwg
TC48L2F1dGhvcj48YXV0aG9yPkJyYW50c2FldGVyLCBBLiBMLjwvYXV0aG9yPjxhdXRob3I+SnVv
ZGFraXMsIEouPC9hdXRob3I+PGF1dGhvcj5IYXVnZW4sIE0uPC9hdXRob3I+PGF1dGhvcj5NZWx0
emVyLCBILiBNLjwvYXV0aG9yPjxhdXRob3I+SmFjb2Jzc29uLCBCLjwvYXV0aG9yPjxhdXRob3I+
U2VuZ3BpZWwsIFYuPC9hdXRob3I+PC9hdXRob3JzPjwvY29udHJpYnV0b3JzPjxhdXRoLWFkZHJl
c3M+RGVwYXJ0bWVudCBvZiBPYnN0ZXRyaWNzIGFuZCBHeW5lY29sb2d5LCBTYWhsZ3JlbnNrYSBV
bml2ZXJzaXR5IEhvc3BpdGFsLCBHb3RoZW5idXJnLCBTd2VkZW4uIGxpbmRhLmVuZ2x1bmQtb2dn
ZUB2Z3JlZ2lvbi5zZS4mI3hEO0RlcGFydG1lbnQgb2YgT2JzdGV0cmljcyBhbmQgR3luZWNvbG9n
eSwgU2FobGdyZW5za2EgQWNhZGVteSwgR290aGVuYnVyZyBVbml2ZXJzaXR5LCBHb3RoZW5idXJn
LCBTd2VkZW4uIGxpbmRhLmVuZ2x1bmQtb2dnZUB2Z3JlZ2lvbi5zZS4mI3hEO0RpdmlzaW9uIG9m
IEluZmVjdGlvbiBDb250cm9sIGFuZCBFbnZpcm9ubWVudGFsIEhlYWx0aCwgTm9yd2VnaWFuIElu
c3RpdHV0ZSBvZiBQdWJsaWMgSGVhbHRoLCBPc2xvLCBOb3J3YXkuJiN4RDtEZXBhcnRtZW50IG9m
IE9ic3RldHJpY3MgYW5kIEd5bmVjb2xvZ3ksIFNhaGxncmVuc2thIEFjYWRlbXksIEdvdGhlbmJ1
cmcgVW5pdmVyc2l0eSwgR290aGVuYnVyZywgU3dlZGVuLiYjeEQ7RGVwYXJ0bWVudCBvZiBPYnN0
ZXRyaWNzIGFuZCBHeW5lY29sb2d5LCBTYWhsZ3JlbnNrYSBVbml2ZXJzaXR5IEhvc3BpdGFsLCBH
b3RoZW5idXJnLCBTd2VkZW4uJiN4RDtEb21haW4gb2YgSGVhbHRoIERhdGEgYW5kIERpZ2l0YWxp
c2F0aW9uLCBOb3J3ZWdpYW4gSW5zdGl0dXRlIG9mIFB1YmxpYyBIZWFsdGgsIE9zbG8sIE5vcndh
eS48L2F1dGgtYWRkcmVzcz48dGl0bGVzPjx0aXRsZT5Bc3NvY2lhdGlvbnMgYmV0d2VlbiBtYXRl
cm5hbCBkaWV0YXJ5IHBhdHRlcm5zIGFuZCBpbmZhbnQgYmlydGggd2VpZ2h0LCBzbWFsbCBhbmQg
bGFyZ2UgZm9yIGdlc3RhdGlvbmFsIGFnZSBpbiB0aGUgTm9yd2VnaWFuIE1vdGhlciBhbmQgQ2hp
bGQgQ29ob3J0IFN0dWR5PC90aXRsZT48c2Vjb25kYXJ5LXRpdGxlPkV1ciBKIENsaW4gTnV0cjwv
c2Vjb25kYXJ5LXRpdGxlPjwvdGl0bGVzPjxwZXJpb2RpY2FsPjxmdWxsLXRpdGxlPkV1ciBKIENs
aW4gTnV0cjwvZnVsbC10aXRsZT48L3BlcmlvZGljYWw+PHBhZ2VzPjEyNzAtMTI4MjwvcGFnZXM+
PHZvbHVtZT43Mzwvdm9sdW1lPjxudW1iZXI+OTwvbnVtYmVyPjxlZGl0aW9uPjIwMTgvMTEvMjI8
L2VkaXRpb24+PGRhdGVzPjx5ZWFyPjIwMTk8L3llYXI+PHB1Yi1kYXRlcz48ZGF0ZT5TZXA8L2Rh
dGU+PC9wdWItZGF0ZXM+PC9kYXRlcz48aXNibj4xNDc2LTU2NDAgKEVsZWN0cm9uaWMpJiN4RDsw
OTU0LTMwMDcgKExpbmtpbmcpPC9pc2JuPjxhY2Nlc3Npb24tbnVtPjMwNDU5MzM4PC9hY2Nlc3Np
b24tbnVtPjx1cmxzPjxyZWxhdGVkLXVybHM+PHVybD5odHRwczovL3d3dy5uY2JpLm5sbS5uaWgu
Z292L3B1Ym1lZC8zMDQ1OTMzODwvdXJsPjwvcmVsYXRlZC11cmxzPjwvdXJscz48ZWxlY3Ryb25p
Yy1yZXNvdXJjZS1udW0+MTAuMTAzOC9zNDE0MzAtMDE4LTAzNTYteTwvZWxlY3Ryb25pYy1yZXNv
dXJjZS1udW0+PC9yZWNvcmQ+PC9DaXRlPjwvRW5kTm90ZT5=
</w:fldData>
        </w:fldChar>
      </w:r>
      <w:r w:rsidR="002747EA">
        <w:instrText xml:space="preserve"> ADDIN EN.CITE.DATA </w:instrText>
      </w:r>
      <w:r w:rsidR="002747EA">
        <w:fldChar w:fldCharType="end"/>
      </w:r>
      <w:r w:rsidR="00BF03FF">
        <w:fldChar w:fldCharType="separate"/>
      </w:r>
      <w:r w:rsidR="002747EA" w:rsidRPr="002747EA">
        <w:rPr>
          <w:noProof/>
          <w:vertAlign w:val="superscript"/>
        </w:rPr>
        <w:t>32</w:t>
      </w:r>
      <w:r w:rsidR="00BF03FF">
        <w:fldChar w:fldCharType="end"/>
      </w:r>
      <w:r w:rsidR="00BF03FF">
        <w:t xml:space="preserve"> </w:t>
      </w:r>
      <w:r w:rsidR="004A6A49">
        <w:t xml:space="preserve">found that </w:t>
      </w:r>
      <w:r w:rsidR="00BF03FF">
        <w:t>t</w:t>
      </w:r>
      <w:r w:rsidR="00BF03FF" w:rsidRPr="00BC04EA">
        <w:t xml:space="preserve">he high prudent pattern was associated with increased risk </w:t>
      </w:r>
      <w:r w:rsidR="00F73676">
        <w:t xml:space="preserve">of small for gestational age </w:t>
      </w:r>
      <w:r w:rsidR="00BF03FF" w:rsidRPr="00BC04EA">
        <w:t>(</w:t>
      </w:r>
      <w:r w:rsidR="00BF03FF" w:rsidRPr="00F73676">
        <w:rPr>
          <w:sz w:val="16"/>
          <w:szCs w:val="16"/>
        </w:rPr>
        <w:t>OR 1.2</w:t>
      </w:r>
      <w:r w:rsidR="00F73676" w:rsidRPr="00F73676">
        <w:rPr>
          <w:sz w:val="16"/>
          <w:szCs w:val="16"/>
        </w:rPr>
        <w:t>5; 95%CI</w:t>
      </w:r>
      <w:r w:rsidR="00BF03FF" w:rsidRPr="00F73676">
        <w:rPr>
          <w:sz w:val="16"/>
          <w:szCs w:val="16"/>
        </w:rPr>
        <w:t xml:space="preserve"> 1.02 to 1.54</w:t>
      </w:r>
      <w:r w:rsidR="00F73676">
        <w:t>)</w:t>
      </w:r>
      <w:r w:rsidR="00BF03FF" w:rsidRPr="00BC04EA">
        <w:t xml:space="preserve"> and decreased risk </w:t>
      </w:r>
      <w:r w:rsidR="00F73676">
        <w:t xml:space="preserve">of large for gestational age </w:t>
      </w:r>
      <w:r w:rsidR="00BF03FF" w:rsidRPr="00BC04EA">
        <w:t>(</w:t>
      </w:r>
      <w:r w:rsidR="00F73676" w:rsidRPr="00F73676">
        <w:rPr>
          <w:sz w:val="16"/>
          <w:szCs w:val="16"/>
        </w:rPr>
        <w:t>OR 0.84; 95%CI</w:t>
      </w:r>
      <w:r w:rsidR="00BF03FF" w:rsidRPr="00F73676">
        <w:rPr>
          <w:sz w:val="16"/>
          <w:szCs w:val="16"/>
        </w:rPr>
        <w:t xml:space="preserve"> 0.75 to 0.9</w:t>
      </w:r>
      <w:r w:rsidR="00F73676" w:rsidRPr="00F73676">
        <w:rPr>
          <w:sz w:val="16"/>
          <w:szCs w:val="16"/>
        </w:rPr>
        <w:t>4</w:t>
      </w:r>
      <w:r w:rsidR="00BF03FF" w:rsidRPr="00BC04EA">
        <w:t xml:space="preserve">), while the high traditional group was associated with decreased </w:t>
      </w:r>
      <w:r w:rsidR="00F73676">
        <w:t>risk of small for gestational age</w:t>
      </w:r>
      <w:r w:rsidR="00BF03FF" w:rsidRPr="00BC04EA">
        <w:t xml:space="preserve"> (</w:t>
      </w:r>
      <w:r w:rsidR="00F73676" w:rsidRPr="00F73676">
        <w:rPr>
          <w:sz w:val="16"/>
          <w:szCs w:val="16"/>
        </w:rPr>
        <w:t>OR 0.92; 95% CI</w:t>
      </w:r>
      <w:r w:rsidR="00BF03FF" w:rsidRPr="00F73676">
        <w:rPr>
          <w:sz w:val="16"/>
          <w:szCs w:val="16"/>
        </w:rPr>
        <w:t xml:space="preserve"> 0.84 to</w:t>
      </w:r>
      <w:r w:rsidR="00F73676" w:rsidRPr="00F73676">
        <w:rPr>
          <w:sz w:val="16"/>
          <w:szCs w:val="16"/>
        </w:rPr>
        <w:t xml:space="preserve"> 0.99</w:t>
      </w:r>
      <w:r w:rsidR="00BF03FF" w:rsidRPr="00BC04EA">
        <w:t xml:space="preserve">) and increased risk </w:t>
      </w:r>
      <w:r w:rsidR="00F73676">
        <w:t xml:space="preserve">of large for gestational age </w:t>
      </w:r>
      <w:r w:rsidR="00BF03FF" w:rsidRPr="00BC04EA">
        <w:t>(</w:t>
      </w:r>
      <w:r w:rsidR="00F73676" w:rsidRPr="00F73676">
        <w:rPr>
          <w:sz w:val="16"/>
          <w:szCs w:val="16"/>
        </w:rPr>
        <w:t xml:space="preserve">OR 1.12; </w:t>
      </w:r>
      <w:r w:rsidR="00BF03FF" w:rsidRPr="00F73676">
        <w:rPr>
          <w:sz w:val="16"/>
          <w:szCs w:val="16"/>
        </w:rPr>
        <w:t>95%CI 1.02 to</w:t>
      </w:r>
      <w:r w:rsidR="00F73676" w:rsidRPr="00F73676">
        <w:rPr>
          <w:sz w:val="16"/>
          <w:szCs w:val="16"/>
        </w:rPr>
        <w:t xml:space="preserve"> 1.24</w:t>
      </w:r>
      <w:r w:rsidR="00BF03FF" w:rsidRPr="00BC04EA">
        <w:t>).</w:t>
      </w:r>
      <w:r w:rsidR="004A6A49">
        <w:t xml:space="preserve"> </w:t>
      </w:r>
      <w:r w:rsidR="00756DCF">
        <w:t xml:space="preserve">In the same study, the </w:t>
      </w:r>
      <w:r w:rsidR="00756DCF" w:rsidRPr="006E08A6">
        <w:t xml:space="preserve">"main meal" pattern was associated with a reduced risk of preterm </w:t>
      </w:r>
      <w:r w:rsidR="00756DCF">
        <w:t>birth</w:t>
      </w:r>
      <w:r w:rsidR="00F73676">
        <w:t xml:space="preserve"> (</w:t>
      </w:r>
      <w:r w:rsidR="00F73676" w:rsidRPr="008606F2">
        <w:rPr>
          <w:sz w:val="16"/>
          <w:szCs w:val="16"/>
        </w:rPr>
        <w:t xml:space="preserve">HR </w:t>
      </w:r>
      <w:r w:rsidR="008606F2" w:rsidRPr="008606F2">
        <w:rPr>
          <w:sz w:val="16"/>
          <w:szCs w:val="16"/>
        </w:rPr>
        <w:t>0.90; 95%CI</w:t>
      </w:r>
      <w:r w:rsidR="00756DCF" w:rsidRPr="008606F2">
        <w:rPr>
          <w:sz w:val="16"/>
          <w:szCs w:val="16"/>
        </w:rPr>
        <w:t xml:space="preserve"> 0.81 to 0.99</w:t>
      </w:r>
      <w:r w:rsidR="008606F2" w:rsidRPr="008606F2">
        <w:rPr>
          <w:sz w:val="16"/>
          <w:szCs w:val="16"/>
        </w:rPr>
        <w:t>; p for trend=0.028</w:t>
      </w:r>
      <w:r w:rsidR="00756DCF" w:rsidRPr="006E08A6">
        <w:t>).</w:t>
      </w:r>
      <w:r w:rsidR="00756DCF">
        <w:fldChar w:fldCharType="begin">
          <w:fldData xml:space="preserve">PEVuZE5vdGU+PENpdGU+PEF1dGhvcj5FbmdsdW5kLU9nZ2U8L0F1dGhvcj48WWVhcj4yMDE3PC9Z
ZWFyPjxSZWNOdW0+MTQwMDwvUmVjTnVtPjxEaXNwbGF5VGV4dD48c3R5bGUgZmFjZT0ic3VwZXJz
Y3JpcHQiIGZvbnQ9IlRyZWJ1Y2hldCBNUyIgc2l6ZT0iOSI+MzM8L3N0eWxlPjwvRGlzcGxheVRl
eHQ+PHJlY29yZD48cmVjLW51bWJlcj4xNDAwPC9yZWMtbnVtYmVyPjxmb3JlaWduLWtleXM+PGtl
eSBhcHA9IkVOIiBkYi1pZD0iZXh2YXNyZngyZHRyYW9lc2FzeHAyc3pzeGEyZGY1MDI1OTJ4IiB0
aW1lc3RhbXA9IjE1Njc5MjQ0ODEiPjE0MDA8L2tleT48a2V5IGFwcD0iRU5XZWIiIGRiLWlkPSIi
PjA8L2tleT48L2ZvcmVpZ24ta2V5cz48cmVmLXR5cGUgbmFtZT0iSm91cm5hbCBBcnRpY2xlIj4x
NzwvcmVmLXR5cGU+PGNvbnRyaWJ1dG9ycz48YXV0aG9ycz48YXV0aG9yPkVuZ2x1bmQtT2dnZSwg
TC48L2F1dGhvcj48YXV0aG9yPkJpcmdpc2RvdHRpciwgQi4gRS48L2F1dGhvcj48YXV0aG9yPlNl
bmdwaWVsLCBWLjwvYXV0aG9yPjxhdXRob3I+QnJhbnRzYWV0ZXIsIEEuIEwuPC9hdXRob3I+PGF1
dGhvcj5IYXVnZW4sIE0uPC9hdXRob3I+PGF1dGhvcj5NeWhyZSwgUi48L2F1dGhvcj48YXV0aG9y
Pk1lbHR6ZXIsIEguIE0uPC9hdXRob3I+PGF1dGhvcj5KYWNvYnNzb24sIEIuPC9hdXRob3I+PC9h
dXRob3JzPjwvY29udHJpYnV0b3JzPjxhdXRoLWFkZHJlc3M+RGVwYXJ0bWVudCBvZiBPYnN0ZXRy
aWNzIGFuZCBHeW5lY29sb2d5LCBTYWhsZ3JlbnNrYSBVbml2ZXJzaXR5IEhvc3BpdGFsLCBHb3Ro
ZW5idXJnLCBTd2VkZW4uJiN4RDtEZXBhcnRtZW50IG9mIEVudmlyb25tZW50YWwgRXhwb3N1cmUg
YW5kIEVwaWRlbWlvbG9neSwgRG9tYWluIG9mIEluZmVjdGlvbiBDb250cm9sIGFuZCBFbnZpcm9u
bWVudGFsIEhlYWx0aCwgT3NsbywgTm9yd2F5LiYjeEQ7VW5pdCBmb3IgTnV0cml0aW9uIFJlc2Vh
cmNoLCBOYXRpb25hbCBVbml2ZXJzaXR5IEhvc3BpdGFsLCBGYWN1bHR5IG9mIEZvb2QgU2NpZW5j
ZSBhbmQgTnV0cml0aW9uLCBVbml2ZXJzaXR5IG9mIEljZWxhbmQsIFJleWtqYXZpaywgSWNlbGFu
ZC4mI3hEO0RlcGFydG1lbnQgb2YgR2VuZXRpY3MgYW5kIEJpb2luZm9ybWF0aWNzLCBEb21haW4g
b2YgSGVhbHRoIERhdGEgYW5kIERpZ2l0YWxpemF0aW9uLCBJbnN0aXR1dGUgb2YgUHVibGljIEhl
YWx0aCwgT3NsbywgTm9yd2F5LiYjeEQ7RGVwYXJ0bWVudCBvZiBPYnN0ZXRyaWNzIGFuZCBHeW5l
Y29sb2d5LCBJbnN0aXR1dGUgb2YgQ2xpbmljYWwgU2NpZW5jZXMsIFNhaGxncmVuc2thIEFjYWRl
bXksIEdvdGhlbmJ1cmcgVW5pdmVyc2l0eSwgR290aGVuYnVyZywgU3dlZGVuLjwvYXV0aC1hZGRy
ZXNzPjx0aXRsZXM+PHRpdGxlPk1lYWwgZnJlcXVlbmN5IHBhdHRlcm5zIGFuZCBnbHljZW1pYyBw
cm9wZXJ0aWVzIG9mIG1hdGVybmFsIGRpZXQgaW4gcmVsYXRpb24gdG8gcHJldGVybSBkZWxpdmVy
eTogUmVzdWx0cyBmcm9tIGEgbGFyZ2UgcHJvc3BlY3RpdmUgY29ob3J0IHN0dWR5PC90aXRsZT48
c2Vjb25kYXJ5LXRpdGxlPlBMb1MgT25lPC9zZWNvbmRhcnktdGl0bGU+PC90aXRsZXM+PHBlcmlv
ZGljYWw+PGZ1bGwtdGl0bGU+UExvUyBPbmU8L2Z1bGwtdGl0bGU+PC9wZXJpb2RpY2FsPjxwYWdl
cz5lMDE3Mjg5NjwvcGFnZXM+PHZvbHVtZT4xMjwvdm9sdW1lPjxudW1iZXI+MzwvbnVtYmVyPjxl
ZGl0aW9uPjIwMTcvMDMvMDI8L2VkaXRpb24+PGtleXdvcmRzPjxrZXl3b3JkPkFkdWx0PC9rZXl3
b3JkPjxrZXl3b3JkPkNvaG9ydCBTdHVkaWVzPC9rZXl3b3JkPjxrZXl3b3JkPkRpZXQ8L2tleXdv
cmQ+PGtleXdvcmQ+RmVlZGluZyBCZWhhdmlvcjwva2V5d29yZD48a2V5d29yZD5GZW1hbGU8L2tl
eXdvcmQ+PGtleXdvcmQ+KkdseWNlbWljIEluZGV4PC9rZXl3b3JkPjxrZXl3b3JkPkh1bWFuczwv
a2V5d29yZD48a2V5d29yZD5JbmZhbnQsIE5ld2Jvcm48L2tleXdvcmQ+PGtleXdvcmQ+SW5mYW50
LCBQcmVtYXR1cmU8L2tleXdvcmQ+PGtleXdvcmQ+TWFsZTwva2V5d29yZD48a2V5d29yZD4qTWF0
ZXJuYWwgTnV0cml0aW9uYWwgUGh5c2lvbG9naWNhbCBQaGVub21lbmE8L2tleXdvcmQ+PGtleXdv
cmQ+Kk1lYWxzPC9rZXl3b3JkPjxrZXl3b3JkPlByZW1hdHVyZSBCaXJ0aC8qZXBpZGVtaW9sb2d5
PC9rZXl3b3JkPjxrZXl3b3JkPlByb3NwZWN0aXZlIFN0dWRpZXM8L2tleXdvcmQ+PC9rZXl3b3Jk
cz48ZGF0ZXM+PHllYXI+MjAxNzwveWVhcj48L2RhdGVzPjxpc2JuPjE5MzItNjIwMyAoRWxlY3Ry
b25pYykmI3hEOzE5MzItNjIwMyAoTGlua2luZyk8L2lzYm4+PGFjY2Vzc2lvbi1udW0+MjgyNDkw
MTg8L2FjY2Vzc2lvbi1udW0+PHVybHM+PHJlbGF0ZWQtdXJscz48dXJsPmh0dHBzOi8vd3d3Lm5j
YmkubmxtLm5paC5nb3YvcHVibWVkLzI4MjQ5MDE4PC91cmw+PC9yZWxhdGVkLXVybHM+PC91cmxz
PjxjdXN0b20yPlBNQzUzMzIwOTM8L2N1c3RvbTI+PGVsZWN0cm9uaWMtcmVzb3VyY2UtbnVtPjEw
LjEzNzEvam91cm5hbC5wb25lLjAxNzI4OTY8L2VsZWN0cm9uaWMtcmVzb3VyY2UtbnVtPjwvcmVj
b3JkPjwvQ2l0ZT48L0VuZE5vdGU+
</w:fldData>
        </w:fldChar>
      </w:r>
      <w:r w:rsidR="002747EA">
        <w:instrText xml:space="preserve"> ADDIN EN.CITE </w:instrText>
      </w:r>
      <w:r w:rsidR="002747EA">
        <w:fldChar w:fldCharType="begin">
          <w:fldData xml:space="preserve">PEVuZE5vdGU+PENpdGU+PEF1dGhvcj5FbmdsdW5kLU9nZ2U8L0F1dGhvcj48WWVhcj4yMDE3PC9Z
ZWFyPjxSZWNOdW0+MTQwMDwvUmVjTnVtPjxEaXNwbGF5VGV4dD48c3R5bGUgZmFjZT0ic3VwZXJz
Y3JpcHQiIGZvbnQ9IlRyZWJ1Y2hldCBNUyIgc2l6ZT0iOSI+MzM8L3N0eWxlPjwvRGlzcGxheVRl
eHQ+PHJlY29yZD48cmVjLW51bWJlcj4xNDAwPC9yZWMtbnVtYmVyPjxmb3JlaWduLWtleXM+PGtl
eSBhcHA9IkVOIiBkYi1pZD0iZXh2YXNyZngyZHRyYW9lc2FzeHAyc3pzeGEyZGY1MDI1OTJ4IiB0
aW1lc3RhbXA9IjE1Njc5MjQ0ODEiPjE0MDA8L2tleT48a2V5IGFwcD0iRU5XZWIiIGRiLWlkPSIi
PjA8L2tleT48L2ZvcmVpZ24ta2V5cz48cmVmLXR5cGUgbmFtZT0iSm91cm5hbCBBcnRpY2xlIj4x
NzwvcmVmLXR5cGU+PGNvbnRyaWJ1dG9ycz48YXV0aG9ycz48YXV0aG9yPkVuZ2x1bmQtT2dnZSwg
TC48L2F1dGhvcj48YXV0aG9yPkJpcmdpc2RvdHRpciwgQi4gRS48L2F1dGhvcj48YXV0aG9yPlNl
bmdwaWVsLCBWLjwvYXV0aG9yPjxhdXRob3I+QnJhbnRzYWV0ZXIsIEEuIEwuPC9hdXRob3I+PGF1
dGhvcj5IYXVnZW4sIE0uPC9hdXRob3I+PGF1dGhvcj5NeWhyZSwgUi48L2F1dGhvcj48YXV0aG9y
Pk1lbHR6ZXIsIEguIE0uPC9hdXRob3I+PGF1dGhvcj5KYWNvYnNzb24sIEIuPC9hdXRob3I+PC9h
dXRob3JzPjwvY29udHJpYnV0b3JzPjxhdXRoLWFkZHJlc3M+RGVwYXJ0bWVudCBvZiBPYnN0ZXRy
aWNzIGFuZCBHeW5lY29sb2d5LCBTYWhsZ3JlbnNrYSBVbml2ZXJzaXR5IEhvc3BpdGFsLCBHb3Ro
ZW5idXJnLCBTd2VkZW4uJiN4RDtEZXBhcnRtZW50IG9mIEVudmlyb25tZW50YWwgRXhwb3N1cmUg
YW5kIEVwaWRlbWlvbG9neSwgRG9tYWluIG9mIEluZmVjdGlvbiBDb250cm9sIGFuZCBFbnZpcm9u
bWVudGFsIEhlYWx0aCwgT3NsbywgTm9yd2F5LiYjeEQ7VW5pdCBmb3IgTnV0cml0aW9uIFJlc2Vh
cmNoLCBOYXRpb25hbCBVbml2ZXJzaXR5IEhvc3BpdGFsLCBGYWN1bHR5IG9mIEZvb2QgU2NpZW5j
ZSBhbmQgTnV0cml0aW9uLCBVbml2ZXJzaXR5IG9mIEljZWxhbmQsIFJleWtqYXZpaywgSWNlbGFu
ZC4mI3hEO0RlcGFydG1lbnQgb2YgR2VuZXRpY3MgYW5kIEJpb2luZm9ybWF0aWNzLCBEb21haW4g
b2YgSGVhbHRoIERhdGEgYW5kIERpZ2l0YWxpemF0aW9uLCBJbnN0aXR1dGUgb2YgUHVibGljIEhl
YWx0aCwgT3NsbywgTm9yd2F5LiYjeEQ7RGVwYXJ0bWVudCBvZiBPYnN0ZXRyaWNzIGFuZCBHeW5l
Y29sb2d5LCBJbnN0aXR1dGUgb2YgQ2xpbmljYWwgU2NpZW5jZXMsIFNhaGxncmVuc2thIEFjYWRl
bXksIEdvdGhlbmJ1cmcgVW5pdmVyc2l0eSwgR290aGVuYnVyZywgU3dlZGVuLjwvYXV0aC1hZGRy
ZXNzPjx0aXRsZXM+PHRpdGxlPk1lYWwgZnJlcXVlbmN5IHBhdHRlcm5zIGFuZCBnbHljZW1pYyBw
cm9wZXJ0aWVzIG9mIG1hdGVybmFsIGRpZXQgaW4gcmVsYXRpb24gdG8gcHJldGVybSBkZWxpdmVy
eTogUmVzdWx0cyBmcm9tIGEgbGFyZ2UgcHJvc3BlY3RpdmUgY29ob3J0IHN0dWR5PC90aXRsZT48
c2Vjb25kYXJ5LXRpdGxlPlBMb1MgT25lPC9zZWNvbmRhcnktdGl0bGU+PC90aXRsZXM+PHBlcmlv
ZGljYWw+PGZ1bGwtdGl0bGU+UExvUyBPbmU8L2Z1bGwtdGl0bGU+PC9wZXJpb2RpY2FsPjxwYWdl
cz5lMDE3Mjg5NjwvcGFnZXM+PHZvbHVtZT4xMjwvdm9sdW1lPjxudW1iZXI+MzwvbnVtYmVyPjxl
ZGl0aW9uPjIwMTcvMDMvMDI8L2VkaXRpb24+PGtleXdvcmRzPjxrZXl3b3JkPkFkdWx0PC9rZXl3
b3JkPjxrZXl3b3JkPkNvaG9ydCBTdHVkaWVzPC9rZXl3b3JkPjxrZXl3b3JkPkRpZXQ8L2tleXdv
cmQ+PGtleXdvcmQ+RmVlZGluZyBCZWhhdmlvcjwva2V5d29yZD48a2V5d29yZD5GZW1hbGU8L2tl
eXdvcmQ+PGtleXdvcmQ+KkdseWNlbWljIEluZGV4PC9rZXl3b3JkPjxrZXl3b3JkPkh1bWFuczwv
a2V5d29yZD48a2V5d29yZD5JbmZhbnQsIE5ld2Jvcm48L2tleXdvcmQ+PGtleXdvcmQ+SW5mYW50
LCBQcmVtYXR1cmU8L2tleXdvcmQ+PGtleXdvcmQ+TWFsZTwva2V5d29yZD48a2V5d29yZD4qTWF0
ZXJuYWwgTnV0cml0aW9uYWwgUGh5c2lvbG9naWNhbCBQaGVub21lbmE8L2tleXdvcmQ+PGtleXdv
cmQ+Kk1lYWxzPC9rZXl3b3JkPjxrZXl3b3JkPlByZW1hdHVyZSBCaXJ0aC8qZXBpZGVtaW9sb2d5
PC9rZXl3b3JkPjxrZXl3b3JkPlByb3NwZWN0aXZlIFN0dWRpZXM8L2tleXdvcmQ+PC9rZXl3b3Jk
cz48ZGF0ZXM+PHllYXI+MjAxNzwveWVhcj48L2RhdGVzPjxpc2JuPjE5MzItNjIwMyAoRWxlY3Ry
b25pYykmI3hEOzE5MzItNjIwMyAoTGlua2luZyk8L2lzYm4+PGFjY2Vzc2lvbi1udW0+MjgyNDkw
MTg8L2FjY2Vzc2lvbi1udW0+PHVybHM+PHJlbGF0ZWQtdXJscz48dXJsPmh0dHBzOi8vd3d3Lm5j
YmkubmxtLm5paC5nb3YvcHVibWVkLzI4MjQ5MDE4PC91cmw+PC9yZWxhdGVkLXVybHM+PC91cmxz
PjxjdXN0b20yPlBNQzUzMzIwOTM8L2N1c3RvbTI+PGVsZWN0cm9uaWMtcmVzb3VyY2UtbnVtPjEw
LjEzNzEvam91cm5hbC5wb25lLjAxNzI4OTY8L2VsZWN0cm9uaWMtcmVzb3VyY2UtbnVtPjwvcmVj
b3JkPjwvQ2l0ZT48L0VuZE5vdGU+
</w:fldData>
        </w:fldChar>
      </w:r>
      <w:r w:rsidR="002747EA">
        <w:instrText xml:space="preserve"> ADDIN EN.CITE.DATA </w:instrText>
      </w:r>
      <w:r w:rsidR="002747EA">
        <w:fldChar w:fldCharType="end"/>
      </w:r>
      <w:r w:rsidR="00756DCF">
        <w:fldChar w:fldCharType="separate"/>
      </w:r>
      <w:r w:rsidR="002747EA" w:rsidRPr="002747EA">
        <w:rPr>
          <w:noProof/>
          <w:vertAlign w:val="superscript"/>
        </w:rPr>
        <w:t>33</w:t>
      </w:r>
      <w:r w:rsidR="00756DCF">
        <w:fldChar w:fldCharType="end"/>
      </w:r>
      <w:r w:rsidR="00BF03FF">
        <w:t xml:space="preserve"> </w:t>
      </w:r>
    </w:p>
    <w:p w14:paraId="72B054C7" w14:textId="056E579C" w:rsidR="00CF42BA" w:rsidRDefault="002D79A1" w:rsidP="009654BD">
      <w:r>
        <w:t>A cohort study (n=1,051)</w:t>
      </w:r>
      <w:r>
        <w:fldChar w:fldCharType="begin">
          <w:fldData xml:space="preserve">PEVuZE5vdGU+PENpdGU+PEF1dGhvcj5DaGlhPC9BdXRob3I+PFllYXI+MjAxODwvWWVhcj48UmVj
TnVtPjE0MTI8L1JlY051bT48RGlzcGxheVRleHQ+PHN0eWxlIGZhY2U9InN1cGVyc2NyaXB0IiBm
b250PSJUcmVidWNoZXQgTVMiIHNpemU9IjkiPjM0PC9zdHlsZT48L0Rpc3BsYXlUZXh0PjxyZWNv
cmQ+PHJlYy1udW1iZXI+MTQxMjwvcmVjLW51bWJlcj48Zm9yZWlnbi1rZXlzPjxrZXkgYXBwPSJF
TiIgZGItaWQ9ImV4dmFzcmZ4MmR0cmFvZXNhc3hwMnN6c3hhMmRmNTAyNTkyeCIgdGltZXN0YW1w
PSIxNTY3OTI0Njk1Ij4xNDEyPC9rZXk+PC9mb3JlaWduLWtleXM+PHJlZi10eXBlIG5hbWU9Ikpv
dXJuYWwgQXJ0aWNsZSI+MTc8L3JlZi10eXBlPjxjb250cmlidXRvcnM+PGF1dGhvcnM+PGF1dGhv
cj5DaGlhLCBBLiBSLjwvYXV0aG9yPjxhdXRob3I+VGludCwgTS4gVC48L2F1dGhvcj48YXV0aG9y
PkhhbiwgQy4gWS48L2F1dGhvcj48YXV0aG9yPkNoZW4sIEwuIFcuPC9hdXRob3I+PGF1dGhvcj5D
b2xlZ2EsIE0uPC9hdXRob3I+PGF1dGhvcj5BcmlzLCBJLiBNLjwvYXV0aG9yPjxhdXRob3I+Q2h1
YSwgTS4gQy48L2F1dGhvcj48YXV0aG9yPlRhbiwgSy4gSC48L2F1dGhvcj48YXV0aG9yPllhcCwg
Ri48L2F1dGhvcj48YXV0aG9yPlNoZWssIEwuIFAuPC9hdXRob3I+PGF1dGhvcj5DaG9uZywgWS4g
Uy48L2F1dGhvcj48YXV0aG9yPkdvZGZyZXksIEsuIE0uPC9hdXRob3I+PGF1dGhvcj5Gb3J0aWVy
LCBNLiBWLjwvYXV0aG9yPjxhdXRob3I+TGVlLCBZLiBTLjwvYXV0aG9yPjxhdXRob3I+Q2hvbmcs
IE0uIEYuPC9hdXRob3I+PC9hdXRob3JzPjwvY29udHJpYnV0b3JzPjxhdXRoLWFkZHJlc3M+RGVw
YXJ0bWVudHMgb2YgT2JzdGV0cmljcyBhbmQgR3luZWNvbG9neSBhbmQgUGVkaWF0cmljcywgWW9u
ZyBMb28gTGluIFNjaG9vbCBvZiBNZWRpY2luZSwgTmF0aW9uYWwgVW5pdmVyc2l0eSBvZiBTaW5n
YXBvcmUsIFNpbmdhcG9yZS4mI3hEO0RlcGFydG1lbnQgb2YgRGlldGV0aWNzIGFuZCBOdXRyaXRp
b24sIE5nIFRlbmcgRm9uZyBHZW5lcmFsIEhvc3BpdGFsLCBOYXRpb25hbCBVbml2ZXJzaXR5IEhl
YWx0aCBTeXN0ZW0sIFNpbmdhcG9yZS4mI3hEO0RlcGFydG1lbnRzIG9mIFBlZGlhdHJpY3MsIFlv
bmcgTG9vIExpbiBTY2hvb2wgb2YgTWVkaWNpbmUsIE5hdGlvbmFsIFVuaXZlcnNpdHkgb2YgU2lu
Z2Fwb3JlLCBTaW5nYXBvcmUuJiN4RDtTaW5nYXBvcmUgSW5zdGl0dXRlIGZvciBDbGluaWNhbCBT
Y2llbmNlcywgQWdlbmN5IGZvciBTY2llbmNlLCBUZWNobm9sb2d5LCBhbmQgUmVzZWFyY2gsIFNp
bmdhcG9yZS4mI3hEO0RlcGFydG1lbnRzIG9mIE5lb25hdG9sb2d5LCBNYXRlcm5hbCBGZXRhbCBN
ZWRpY2luZSwgUGVkaWF0cmljcywgYW5kIERpYWdub3N0aWMgYW5kIEludGVydmVudGlvbmFsIElt
YWdpbmcsIEtLIFdvbWVuJmFwb3M7cyBhbmQgQ2hpbGRyZW4mYXBvcztzIEhvc3BpdGFsLCBTaW5n
YXBvcmUuJiN4RDtEZXBhcnRtZW50cyBvZiBNYXRlcm5hbCBGZXRhbCBNZWRpY2luZSwgUGVkaWF0
cmljcywgYW5kIERpYWdub3N0aWMgYW5kIEludGVydmVudGlvbmFsIEltYWdpbmcsIEtLIFdvbWVu
JmFwb3M7cyBhbmQgQ2hpbGRyZW4mYXBvcztzIEhvc3BpdGFsLCBTaW5nYXBvcmUuJiN4RDtEdWtl
LU5hdGlvbmFsIFVuaXZlcnNpdHkgb2YgU2luZ2Fwb3JlIEdyYWR1YXRlIE1lZGljYWwgU2Nob29s
LCBTaW5nYXBvcmUuJiN4RDtEZXBhcnRtZW50cyBvZiBQZWRpYXRyaWNzLCBhbmQgRGlhZ25vc3Rp
YyBhbmQgSW50ZXJ2ZW50aW9uYWwgSW1hZ2luZywgS0sgV29tZW4mYXBvcztzIGFuZCBDaGlsZHJl
biZhcG9zO3MgSG9zcGl0YWwsIFNpbmdhcG9yZS4mI3hEO0xlZSBLb25nIENoaWFuIFNjaG9vbCBv
ZiBNZWRpY2luZSwgTmFueWFuZyBUZWNobm9sb2dpY2FsIFVuaXZlcnNpdHksIFNpbmdhcG9yZS4m
I3hEO0RpdmlzaW9ucyBvZiBQZWRpYXRyaWMgQWxsZXJneSwgSW1tdW5vbG9neSwgYW5kIFJoZXVt
YXRvbG9neSBhbmQgUGVkaWF0cmljIEVuZG9jcmlub2xvZ3kgYW5kIERpYWJldGVzLCBLaG9vIFRl
Y2sgUHVhdC1OYXRpb25hbCBVbml2ZXJzaXR5IENoaWxkcmVuJmFwb3M7cyBNZWRpY2FsIEluc3Rp
dHV0ZSwgTmF0aW9uYWwgVW5pdmVyc2l0eSBIb3NwaXRhbCwgTmF0aW9uYWwgVW5pdmVyc2l0eSBI
ZWFsdGggU3lzdGVtLCBTaW5nYXBvcmUuJiN4RDtNZWRpY2FsIFJlc2VhcmNoIENvdW5jaWwgTGlm
ZWNvdXJzZSBFcGlkZW1pb2xvZ3kgVW5pdCBhbmQgTmF0aW9uYWwgSW5zdGl0dXRlIGZvciBIZWFs
dGggUmVzZWFyY2ggU291dGhhbXB0b24gQmlvbWVkaWNhbCBSZXNlYXJjaCBDZW50cmUsIFVuaXZl
cnNpdHkgb2YgU291dGhhbXB0b24gYW5kIFVuaXZlcnNpdHkgSG9zcGl0YWwgU291dGhhbXB0b24g
TmF0aW9uYWwgSGVhbHRoIFNlcnZpY2UgRm91bmRhdGlvbiBUcnVzdCwgU291dGhhbXB0b24sIFVu
aXRlZCBLaW5nZG9tLiYjeEQ7RGVwYXJ0bWVudHMgb2YgRGlhZ25vc3RpYyBhbmQgSW50ZXJ2ZW50
aW9uYWwgSW1hZ2luZywgS0sgV29tZW4mYXBvcztzIGFuZCBDaGlsZHJlbiZhcG9zO3MgSG9zcGl0
YWwsIFNpbmdhcG9yZS4mI3hEO0RpdmlzaW9ucyBvZiBQZWRpYXRyaWMgRW5kb2NyaW5vbG9neSBh
bmQgRGlhYmV0ZXMsIEtob28gVGVjayBQdWF0LU5hdGlvbmFsIFVuaXZlcnNpdHkgQ2hpbGRyZW4m
YXBvcztzIE1lZGljYWwgSW5zdGl0dXRlLCBOYXRpb25hbCBVbml2ZXJzaXR5IEhvc3BpdGFsLCBO
YXRpb25hbCBVbml2ZXJzaXR5IEhlYWx0aCBTeXN0ZW0sIFNpbmdhcG9yZS4mI3hEO1NhdyBTd2Vl
IEhvY2sgU2Nob29sIG9mIFB1YmxpYyBIZWFsdGgsIE5hdGlvbmFsIFVuaXZlcnNpdHkgb2YgU2lu
Z2Fwb3JlIGFuZCBOYXRpb25hbCBVbml2ZXJzaXR5IEhlYWx0aCBTeXN0ZW0sIFNpbmdhcG9yZS48
L2F1dGgtYWRkcmVzcz48dGl0bGVzPjx0aXRsZT5BZGhlcmVuY2UgdG8gYSBoZWFsdGh5IGVhdGlu
ZyBpbmRleCBmb3IgcHJlZ25hbnQgd29tZW4gaXMgYXNzb2NpYXRlZCB3aXRoIGxvd2VyIG5lb25h
dGFsIGFkaXBvc2l0eSBpbiBhIG11bHRpZXRobmljIEFzaWFuIGNvaG9ydDogdGhlIEdyb3dpbmcg
VXAgaW4gU2luZ2Fwb3JlIFRvd2FyZHMgaGVhbHRoeSBPdXRjb21lcyAoR1VTVE8pIFN0dWR5PC90
aXRsZT48c2Vjb25kYXJ5LXRpdGxlPkFtIEogQ2xpbiBOdXRyPC9zZWNvbmRhcnktdGl0bGU+PC90
aXRsZXM+PHBlcmlvZGljYWw+PGZ1bGwtdGl0bGU+QW0gSiBDbGluIE51dHI8L2Z1bGwtdGl0bGU+
PC9wZXJpb2RpY2FsPjxwYWdlcz43MS03OTwvcGFnZXM+PHZvbHVtZT4xMDc8L3ZvbHVtZT48bnVt
YmVyPjE8L251bWJlcj48ZWRpdGlvbj4yMDE4LzAxLzMxPC9lZGl0aW9uPjxrZXl3b3Jkcz48a2V5
d29yZD4qQWRpcG9zaXR5PC9rZXl3b3JkPjxrZXl3b3JkPkFkb2xlc2NlbnQ8L2tleXdvcmQ+PGtl
eXdvcmQ+QWR1bHQ8L2tleXdvcmQ+PGtleXdvcmQ+QXNpYW4gQ29udGluZW50YWwgQW5jZXN0cnkg
R3JvdXA8L2tleXdvcmQ+PGtleXdvcmQ+QmlydGggV2VpZ2h0PC9rZXl3b3JkPjxrZXl3b3JkPkJv
ZHkgQ29tcG9zaXRpb248L2tleXdvcmQ+PGtleXdvcmQ+Qm9keSBNYXNzIEluZGV4PC9rZXl3b3Jk
PjxrZXl3b3JkPkRpZXQgUmVjb3Jkczwva2V5d29yZD48a2V5d29yZD5FeGVyY2lzZTwva2V5d29y
ZD48a2V5d29yZD5GZW1hbGU8L2tleXdvcmQ+PGtleXdvcmQ+Rm9vZCBRdWFsaXR5PC9rZXl3b3Jk
PjxrZXl3b3JkPipIZWFsdGh5IERpZXQ8L2tleXdvcmQ+PGtleXdvcmQ+SHVtYW5zPC9rZXl3b3Jk
PjxrZXl3b3JkPkxvc3QgdG8gRm9sbG93LVVwPC9rZXl3b3JkPjxrZXl3b3JkPipNYXRlcm5hbCBO
dXRyaXRpb25hbCBQaHlzaW9sb2dpY2FsIFBoZW5vbWVuYTwva2V5d29yZD48a2V5d29yZD5NaWRk
bGUgQWdlZDwva2V5d29yZD48a2V5d29yZD5OdXRyaXRpb24gQXNzZXNzbWVudDwva2V5d29yZD48
a2V5d29yZD4qUGF0aWVudCBDb21wbGlhbmNlPC9rZXl3b3JkPjxrZXl3b3JkPlBlZGlhdHJpYyBP
YmVzaXR5LyplcGlkZW1pb2xvZ3kvKnByZXZlbnRpb24gJmFtcDsgY29udHJvbDwva2V5d29yZD48
a2V5d29yZD5QcmVnbmFuY3k8L2tleXdvcmQ+PGtleXdvcmQ+UHJlbWF0dXJlIEJpcnRoPC9rZXl3
b3JkPjxrZXl3b3JkPlByb3NwZWN0aXZlIFN0dWRpZXM8L2tleXdvcmQ+PGtleXdvcmQ+U2Vuc2l0
aXZpdHkgYW5kIFNwZWNpZmljaXR5PC9rZXl3b3JkPjxrZXl3b3JkPlNpbmdhcG9yZS9lcGlkZW1p
b2xvZ3k8L2tleXdvcmQ+PGtleXdvcmQ+WW91bmcgQWR1bHQ8L2tleXdvcmQ+PGtleXdvcmQ+KmJp
cnRoIHdlaWdodDwva2V5d29yZD48a2V5d29yZD4qZGlldCBxdWFsaXR5PC9rZXl3b3JkPjxrZXl3
b3JkPiptYXRlcm5hbCBkaWV0PC9rZXl3b3JkPjxrZXl3b3JkPipwcmV0ZXJtIGJpcnRoPC9rZXl3
b3JkPjwva2V5d29yZHM+PGRhdGVzPjx5ZWFyPjIwMTg8L3llYXI+PHB1Yi1kYXRlcz48ZGF0ZT5K
YW4gMTwvZGF0ZT48L3B1Yi1kYXRlcz48L2RhdGVzPjxpc2JuPjE5MzgtMzIwNyAoRWxlY3Ryb25p
YykmI3hEOzAwMDItOTE2NSAoTGlua2luZyk8L2lzYm4+PGFjY2Vzc2lvbi1udW0+MjkzODE3OTA8
L2FjY2Vzc2lvbi1udW0+PHVybHM+PHJlbGF0ZWQtdXJscz48dXJsPmh0dHBzOi8vd3d3Lm5jYmku
bmxtLm5paC5nb3YvcHVibWVkLzI5MzgxNzkwPC91cmw+PC9yZWxhdGVkLXVybHM+PC91cmxzPjxj
dXN0b20yPlBNQzU5NzI2NTY8L2N1c3RvbTI+PGVsZWN0cm9uaWMtcmVzb3VyY2UtbnVtPjEwLjEw
OTMvYWpjbi9ucXgwMDM8L2VsZWN0cm9uaWMtcmVzb3VyY2UtbnVtPjwvcmVjb3JkPjwvQ2l0ZT48
L0VuZE5vdGU+AG==
</w:fldData>
        </w:fldChar>
      </w:r>
      <w:r w:rsidR="002747EA">
        <w:instrText xml:space="preserve"> ADDIN EN.CITE </w:instrText>
      </w:r>
      <w:r w:rsidR="002747EA">
        <w:fldChar w:fldCharType="begin">
          <w:fldData xml:space="preserve">PEVuZE5vdGU+PENpdGU+PEF1dGhvcj5DaGlhPC9BdXRob3I+PFllYXI+MjAxODwvWWVhcj48UmVj
TnVtPjE0MTI8L1JlY051bT48RGlzcGxheVRleHQ+PHN0eWxlIGZhY2U9InN1cGVyc2NyaXB0IiBm
b250PSJUcmVidWNoZXQgTVMiIHNpemU9IjkiPjM0PC9zdHlsZT48L0Rpc3BsYXlUZXh0PjxyZWNv
cmQ+PHJlYy1udW1iZXI+MTQxMjwvcmVjLW51bWJlcj48Zm9yZWlnbi1rZXlzPjxrZXkgYXBwPSJF
TiIgZGItaWQ9ImV4dmFzcmZ4MmR0cmFvZXNhc3hwMnN6c3hhMmRmNTAyNTkyeCIgdGltZXN0YW1w
PSIxNTY3OTI0Njk1Ij4xNDEyPC9rZXk+PC9mb3JlaWduLWtleXM+PHJlZi10eXBlIG5hbWU9Ikpv
dXJuYWwgQXJ0aWNsZSI+MTc8L3JlZi10eXBlPjxjb250cmlidXRvcnM+PGF1dGhvcnM+PGF1dGhv
cj5DaGlhLCBBLiBSLjwvYXV0aG9yPjxhdXRob3I+VGludCwgTS4gVC48L2F1dGhvcj48YXV0aG9y
PkhhbiwgQy4gWS48L2F1dGhvcj48YXV0aG9yPkNoZW4sIEwuIFcuPC9hdXRob3I+PGF1dGhvcj5D
b2xlZ2EsIE0uPC9hdXRob3I+PGF1dGhvcj5BcmlzLCBJLiBNLjwvYXV0aG9yPjxhdXRob3I+Q2h1
YSwgTS4gQy48L2F1dGhvcj48YXV0aG9yPlRhbiwgSy4gSC48L2F1dGhvcj48YXV0aG9yPllhcCwg
Ri48L2F1dGhvcj48YXV0aG9yPlNoZWssIEwuIFAuPC9hdXRob3I+PGF1dGhvcj5DaG9uZywgWS4g
Uy48L2F1dGhvcj48YXV0aG9yPkdvZGZyZXksIEsuIE0uPC9hdXRob3I+PGF1dGhvcj5Gb3J0aWVy
LCBNLiBWLjwvYXV0aG9yPjxhdXRob3I+TGVlLCBZLiBTLjwvYXV0aG9yPjxhdXRob3I+Q2hvbmcs
IE0uIEYuPC9hdXRob3I+PC9hdXRob3JzPjwvY29udHJpYnV0b3JzPjxhdXRoLWFkZHJlc3M+RGVw
YXJ0bWVudHMgb2YgT2JzdGV0cmljcyBhbmQgR3luZWNvbG9neSBhbmQgUGVkaWF0cmljcywgWW9u
ZyBMb28gTGluIFNjaG9vbCBvZiBNZWRpY2luZSwgTmF0aW9uYWwgVW5pdmVyc2l0eSBvZiBTaW5n
YXBvcmUsIFNpbmdhcG9yZS4mI3hEO0RlcGFydG1lbnQgb2YgRGlldGV0aWNzIGFuZCBOdXRyaXRp
b24sIE5nIFRlbmcgRm9uZyBHZW5lcmFsIEhvc3BpdGFsLCBOYXRpb25hbCBVbml2ZXJzaXR5IEhl
YWx0aCBTeXN0ZW0sIFNpbmdhcG9yZS4mI3hEO0RlcGFydG1lbnRzIG9mIFBlZGlhdHJpY3MsIFlv
bmcgTG9vIExpbiBTY2hvb2wgb2YgTWVkaWNpbmUsIE5hdGlvbmFsIFVuaXZlcnNpdHkgb2YgU2lu
Z2Fwb3JlLCBTaW5nYXBvcmUuJiN4RDtTaW5nYXBvcmUgSW5zdGl0dXRlIGZvciBDbGluaWNhbCBT
Y2llbmNlcywgQWdlbmN5IGZvciBTY2llbmNlLCBUZWNobm9sb2d5LCBhbmQgUmVzZWFyY2gsIFNp
bmdhcG9yZS4mI3hEO0RlcGFydG1lbnRzIG9mIE5lb25hdG9sb2d5LCBNYXRlcm5hbCBGZXRhbCBN
ZWRpY2luZSwgUGVkaWF0cmljcywgYW5kIERpYWdub3N0aWMgYW5kIEludGVydmVudGlvbmFsIElt
YWdpbmcsIEtLIFdvbWVuJmFwb3M7cyBhbmQgQ2hpbGRyZW4mYXBvcztzIEhvc3BpdGFsLCBTaW5n
YXBvcmUuJiN4RDtEZXBhcnRtZW50cyBvZiBNYXRlcm5hbCBGZXRhbCBNZWRpY2luZSwgUGVkaWF0
cmljcywgYW5kIERpYWdub3N0aWMgYW5kIEludGVydmVudGlvbmFsIEltYWdpbmcsIEtLIFdvbWVu
JmFwb3M7cyBhbmQgQ2hpbGRyZW4mYXBvcztzIEhvc3BpdGFsLCBTaW5nYXBvcmUuJiN4RDtEdWtl
LU5hdGlvbmFsIFVuaXZlcnNpdHkgb2YgU2luZ2Fwb3JlIEdyYWR1YXRlIE1lZGljYWwgU2Nob29s
LCBTaW5nYXBvcmUuJiN4RDtEZXBhcnRtZW50cyBvZiBQZWRpYXRyaWNzLCBhbmQgRGlhZ25vc3Rp
YyBhbmQgSW50ZXJ2ZW50aW9uYWwgSW1hZ2luZywgS0sgV29tZW4mYXBvcztzIGFuZCBDaGlsZHJl
biZhcG9zO3MgSG9zcGl0YWwsIFNpbmdhcG9yZS4mI3hEO0xlZSBLb25nIENoaWFuIFNjaG9vbCBv
ZiBNZWRpY2luZSwgTmFueWFuZyBUZWNobm9sb2dpY2FsIFVuaXZlcnNpdHksIFNpbmdhcG9yZS4m
I3hEO0RpdmlzaW9ucyBvZiBQZWRpYXRyaWMgQWxsZXJneSwgSW1tdW5vbG9neSwgYW5kIFJoZXVt
YXRvbG9neSBhbmQgUGVkaWF0cmljIEVuZG9jcmlub2xvZ3kgYW5kIERpYWJldGVzLCBLaG9vIFRl
Y2sgUHVhdC1OYXRpb25hbCBVbml2ZXJzaXR5IENoaWxkcmVuJmFwb3M7cyBNZWRpY2FsIEluc3Rp
dHV0ZSwgTmF0aW9uYWwgVW5pdmVyc2l0eSBIb3NwaXRhbCwgTmF0aW9uYWwgVW5pdmVyc2l0eSBI
ZWFsdGggU3lzdGVtLCBTaW5nYXBvcmUuJiN4RDtNZWRpY2FsIFJlc2VhcmNoIENvdW5jaWwgTGlm
ZWNvdXJzZSBFcGlkZW1pb2xvZ3kgVW5pdCBhbmQgTmF0aW9uYWwgSW5zdGl0dXRlIGZvciBIZWFs
dGggUmVzZWFyY2ggU291dGhhbXB0b24gQmlvbWVkaWNhbCBSZXNlYXJjaCBDZW50cmUsIFVuaXZl
cnNpdHkgb2YgU291dGhhbXB0b24gYW5kIFVuaXZlcnNpdHkgSG9zcGl0YWwgU291dGhhbXB0b24g
TmF0aW9uYWwgSGVhbHRoIFNlcnZpY2UgRm91bmRhdGlvbiBUcnVzdCwgU291dGhhbXB0b24sIFVu
aXRlZCBLaW5nZG9tLiYjeEQ7RGVwYXJ0bWVudHMgb2YgRGlhZ25vc3RpYyBhbmQgSW50ZXJ2ZW50
aW9uYWwgSW1hZ2luZywgS0sgV29tZW4mYXBvcztzIGFuZCBDaGlsZHJlbiZhcG9zO3MgSG9zcGl0
YWwsIFNpbmdhcG9yZS4mI3hEO0RpdmlzaW9ucyBvZiBQZWRpYXRyaWMgRW5kb2NyaW5vbG9neSBh
bmQgRGlhYmV0ZXMsIEtob28gVGVjayBQdWF0LU5hdGlvbmFsIFVuaXZlcnNpdHkgQ2hpbGRyZW4m
YXBvcztzIE1lZGljYWwgSW5zdGl0dXRlLCBOYXRpb25hbCBVbml2ZXJzaXR5IEhvc3BpdGFsLCBO
YXRpb25hbCBVbml2ZXJzaXR5IEhlYWx0aCBTeXN0ZW0sIFNpbmdhcG9yZS4mI3hEO1NhdyBTd2Vl
IEhvY2sgU2Nob29sIG9mIFB1YmxpYyBIZWFsdGgsIE5hdGlvbmFsIFVuaXZlcnNpdHkgb2YgU2lu
Z2Fwb3JlIGFuZCBOYXRpb25hbCBVbml2ZXJzaXR5IEhlYWx0aCBTeXN0ZW0sIFNpbmdhcG9yZS48
L2F1dGgtYWRkcmVzcz48dGl0bGVzPjx0aXRsZT5BZGhlcmVuY2UgdG8gYSBoZWFsdGh5IGVhdGlu
ZyBpbmRleCBmb3IgcHJlZ25hbnQgd29tZW4gaXMgYXNzb2NpYXRlZCB3aXRoIGxvd2VyIG5lb25h
dGFsIGFkaXBvc2l0eSBpbiBhIG11bHRpZXRobmljIEFzaWFuIGNvaG9ydDogdGhlIEdyb3dpbmcg
VXAgaW4gU2luZ2Fwb3JlIFRvd2FyZHMgaGVhbHRoeSBPdXRjb21lcyAoR1VTVE8pIFN0dWR5PC90
aXRsZT48c2Vjb25kYXJ5LXRpdGxlPkFtIEogQ2xpbiBOdXRyPC9zZWNvbmRhcnktdGl0bGU+PC90
aXRsZXM+PHBlcmlvZGljYWw+PGZ1bGwtdGl0bGU+QW0gSiBDbGluIE51dHI8L2Z1bGwtdGl0bGU+
PC9wZXJpb2RpY2FsPjxwYWdlcz43MS03OTwvcGFnZXM+PHZvbHVtZT4xMDc8L3ZvbHVtZT48bnVt
YmVyPjE8L251bWJlcj48ZWRpdGlvbj4yMDE4LzAxLzMxPC9lZGl0aW9uPjxrZXl3b3Jkcz48a2V5
d29yZD4qQWRpcG9zaXR5PC9rZXl3b3JkPjxrZXl3b3JkPkFkb2xlc2NlbnQ8L2tleXdvcmQ+PGtl
eXdvcmQ+QWR1bHQ8L2tleXdvcmQ+PGtleXdvcmQ+QXNpYW4gQ29udGluZW50YWwgQW5jZXN0cnkg
R3JvdXA8L2tleXdvcmQ+PGtleXdvcmQ+QmlydGggV2VpZ2h0PC9rZXl3b3JkPjxrZXl3b3JkPkJv
ZHkgQ29tcG9zaXRpb248L2tleXdvcmQ+PGtleXdvcmQ+Qm9keSBNYXNzIEluZGV4PC9rZXl3b3Jk
PjxrZXl3b3JkPkRpZXQgUmVjb3Jkczwva2V5d29yZD48a2V5d29yZD5FeGVyY2lzZTwva2V5d29y
ZD48a2V5d29yZD5GZW1hbGU8L2tleXdvcmQ+PGtleXdvcmQ+Rm9vZCBRdWFsaXR5PC9rZXl3b3Jk
PjxrZXl3b3JkPipIZWFsdGh5IERpZXQ8L2tleXdvcmQ+PGtleXdvcmQ+SHVtYW5zPC9rZXl3b3Jk
PjxrZXl3b3JkPkxvc3QgdG8gRm9sbG93LVVwPC9rZXl3b3JkPjxrZXl3b3JkPipNYXRlcm5hbCBO
dXRyaXRpb25hbCBQaHlzaW9sb2dpY2FsIFBoZW5vbWVuYTwva2V5d29yZD48a2V5d29yZD5NaWRk
bGUgQWdlZDwva2V5d29yZD48a2V5d29yZD5OdXRyaXRpb24gQXNzZXNzbWVudDwva2V5d29yZD48
a2V5d29yZD4qUGF0aWVudCBDb21wbGlhbmNlPC9rZXl3b3JkPjxrZXl3b3JkPlBlZGlhdHJpYyBP
YmVzaXR5LyplcGlkZW1pb2xvZ3kvKnByZXZlbnRpb24gJmFtcDsgY29udHJvbDwva2V5d29yZD48
a2V5d29yZD5QcmVnbmFuY3k8L2tleXdvcmQ+PGtleXdvcmQ+UHJlbWF0dXJlIEJpcnRoPC9rZXl3
b3JkPjxrZXl3b3JkPlByb3NwZWN0aXZlIFN0dWRpZXM8L2tleXdvcmQ+PGtleXdvcmQ+U2Vuc2l0
aXZpdHkgYW5kIFNwZWNpZmljaXR5PC9rZXl3b3JkPjxrZXl3b3JkPlNpbmdhcG9yZS9lcGlkZW1p
b2xvZ3k8L2tleXdvcmQ+PGtleXdvcmQ+WW91bmcgQWR1bHQ8L2tleXdvcmQ+PGtleXdvcmQ+KmJp
cnRoIHdlaWdodDwva2V5d29yZD48a2V5d29yZD4qZGlldCBxdWFsaXR5PC9rZXl3b3JkPjxrZXl3
b3JkPiptYXRlcm5hbCBkaWV0PC9rZXl3b3JkPjxrZXl3b3JkPipwcmV0ZXJtIGJpcnRoPC9rZXl3
b3JkPjwva2V5d29yZHM+PGRhdGVzPjx5ZWFyPjIwMTg8L3llYXI+PHB1Yi1kYXRlcz48ZGF0ZT5K
YW4gMTwvZGF0ZT48L3B1Yi1kYXRlcz48L2RhdGVzPjxpc2JuPjE5MzgtMzIwNyAoRWxlY3Ryb25p
YykmI3hEOzAwMDItOTE2NSAoTGlua2luZyk8L2lzYm4+PGFjY2Vzc2lvbi1udW0+MjkzODE3OTA8
L2FjY2Vzc2lvbi1udW0+PHVybHM+PHJlbGF0ZWQtdXJscz48dXJsPmh0dHBzOi8vd3d3Lm5jYmku
bmxtLm5paC5nb3YvcHVibWVkLzI5MzgxNzkwPC91cmw+PC9yZWxhdGVkLXVybHM+PC91cmxzPjxj
dXN0b20yPlBNQzU5NzI2NTY8L2N1c3RvbTI+PGVsZWN0cm9uaWMtcmVzb3VyY2UtbnVtPjEwLjEw
OTMvYWpjbi9ucXgwMDM8L2VsZWN0cm9uaWMtcmVzb3VyY2UtbnVtPjwvcmVjb3JkPjwvQ2l0ZT48
L0VuZE5vdGU+AG==
</w:fldData>
        </w:fldChar>
      </w:r>
      <w:r w:rsidR="002747EA">
        <w:instrText xml:space="preserve"> ADDIN EN.CITE.DATA </w:instrText>
      </w:r>
      <w:r w:rsidR="002747EA">
        <w:fldChar w:fldCharType="end"/>
      </w:r>
      <w:r>
        <w:fldChar w:fldCharType="separate"/>
      </w:r>
      <w:r w:rsidR="002747EA" w:rsidRPr="002747EA">
        <w:rPr>
          <w:noProof/>
          <w:vertAlign w:val="superscript"/>
        </w:rPr>
        <w:t>34</w:t>
      </w:r>
      <w:r>
        <w:fldChar w:fldCharType="end"/>
      </w:r>
      <w:r>
        <w:t xml:space="preserve"> found no association between diet quality and </w:t>
      </w:r>
      <w:r w:rsidRPr="00A17A17">
        <w:t xml:space="preserve">preterm birth </w:t>
      </w:r>
      <w:r>
        <w:t>(</w:t>
      </w:r>
      <w:r w:rsidRPr="00BA0A27">
        <w:rPr>
          <w:sz w:val="16"/>
          <w:szCs w:val="16"/>
        </w:rPr>
        <w:t>ß 0.91; 0.75 to 1.11</w:t>
      </w:r>
      <w:r>
        <w:t xml:space="preserve">) </w:t>
      </w:r>
      <w:r w:rsidRPr="00A17A17">
        <w:t>or birth weight</w:t>
      </w:r>
      <w:r>
        <w:t xml:space="preserve"> (</w:t>
      </w:r>
      <w:r w:rsidRPr="00BA0A27">
        <w:rPr>
          <w:sz w:val="16"/>
          <w:szCs w:val="16"/>
        </w:rPr>
        <w:t>ß -2.00; -22.57 to 18.57</w:t>
      </w:r>
      <w:r>
        <w:t>)</w:t>
      </w:r>
      <w:r w:rsidRPr="00A17A17">
        <w:t>.</w:t>
      </w:r>
    </w:p>
    <w:p w14:paraId="7A2FDDCE" w14:textId="530B0BB7" w:rsidR="0043325F" w:rsidRDefault="0043325F" w:rsidP="009654BD">
      <w:r>
        <w:t>In an Australian cohort study</w:t>
      </w:r>
      <w:r w:rsidR="006A1B23">
        <w:t xml:space="preserve"> (</w:t>
      </w:r>
      <w:r w:rsidR="006A1B23" w:rsidRPr="00BA0A27">
        <w:rPr>
          <w:sz w:val="16"/>
          <w:szCs w:val="16"/>
        </w:rPr>
        <w:t>n=1,907</w:t>
      </w:r>
      <w:r w:rsidR="006A1B23">
        <w:t>)</w:t>
      </w:r>
      <w:r>
        <w:t>,</w:t>
      </w:r>
      <w:r>
        <w:fldChar w:fldCharType="begin">
          <w:fldData xml:space="preserve">PEVuZE5vdGU+PENpdGU+PEF1dGhvcj5HcmVzaGFtPC9BdXRob3I+PFllYXI+MjAxNjwvWWVhcj48
UmVjTnVtPjE0MDc8L1JlY051bT48RGlzcGxheVRleHQ+PHN0eWxlIGZhY2U9InN1cGVyc2NyaXB0
IiBmb250PSJUcmVidWNoZXQgTVMiIHNpemU9IjkiPjI0PC9zdHlsZT48L0Rpc3BsYXlUZXh0Pjxy
ZWNvcmQ+PHJlYy1udW1iZXI+MTQwNzwvcmVjLW51bWJlcj48Zm9yZWlnbi1rZXlzPjxrZXkgYXBw
PSJFTiIgZGItaWQ9ImV4dmFzcmZ4MmR0cmFvZXNhc3hwMnN6c3hhMmRmNTAyNTkyeCIgdGltZXN0
YW1wPSIxNTY3OTI0NTM2Ij4xNDA3PC9rZXk+PGtleSBhcHA9IkVOV2ViIiBkYi1pZD0iIj4wPC9r
ZXk+PC9mb3JlaWduLWtleXM+PHJlZi10eXBlIG5hbWU9IkpvdXJuYWwgQXJ0aWNsZSI+MTc8L3Jl
Zi10eXBlPjxjb250cmlidXRvcnM+PGF1dGhvcnM+PGF1dGhvcj5HcmVzaGFtLCBFLjwvYXV0aG9y
PjxhdXRob3I+Q29sbGlucywgQy4gRS48L2F1dGhvcj48YXV0aG9yPk1pc2hyYSwgRy4gRC48L2F1
dGhvcj48YXV0aG9yPkJ5bGVzLCBKLiBFLjwvYXV0aG9yPjxhdXRob3I+SHVyZSwgQS4gSi48L2F1
dGhvcj48L2F1dGhvcnM+PC9jb250cmlidXRvcnM+PGF1dGgtYWRkcmVzcz4xUmVzZWFyY2ggQ2Vu
dHJlIGZvciBHZW5kZXIsSGVhbHRoIGFuZCBBZ2VpbmcsU2Nob29sIG9mIE1lZGljaW5lIGFuZCBQ
dWJsaWMgSGVhbHRoLFRoZSBVbml2ZXJzaXR5IG9mIE5ld2Nhc3RsZSxIdW50ZXIgTWVkaWNhbCBS
ZXNlYXJjaCBJbnN0aXR1dGUgTGV2ZWwgNCxVbml2ZXJzaXR5IERyaXZlLENhbGxhZ2hhbixOU1cg
MjMwOCxBdXN0cmFsaWEuJiN4RDszU2Nob29sIG9mIEhlYWx0aCBTY2llbmNlcywgRmFjdWx0eSBv
ZiBIZWFsdGggYW5kIE1lZGljaW5lIGFuZCBQcmlvcml0eSBSZXNlYXJjaCBDZW50cmUgaW4gUGh5
c2ljYWwgQWN0aXZpdHkgYW5kIE51dHJpdGlvbixUaGUgVW5pdmVyc2l0eSBvZiBOZXdjYXN0bGUs
Q2FsbGFnaGFuLE5TVyxBdXN0cmFsaWEuJiN4RDs0U2Nob29sIG9mIFB1YmxpYyBIZWFsdGgsIEZh
Y3VsdHkgTWVkaWNpbmUgYW5kIEJpb21lZGljYWwgU2NpZW5jZXMsQ2VudHJlIGZvciBMb25naXR1
ZGluYWwgYW5kIExpZmUgQ291cnNlIFJlc2VhcmNoLFRoZSBVbml2ZXJzaXR5IG9mIFF1ZWVuc2xh
bmQsSGVyc3RvbixRTEQsQXVzdHJhbGlhLjwvYXV0aC1hZGRyZXNzPjx0aXRsZXM+PHRpdGxlPkRp
ZXQgcXVhbGl0eSBiZWZvcmUgb3IgZHVyaW5nIHByZWduYW5jeSBhbmQgdGhlIHJlbGF0aW9uc2hp
cCB3aXRoIHByZWduYW5jeSBhbmQgYmlydGggb3V0Y29tZXM6IHRoZSBBdXN0cmFsaWFuIExvbmdp
dHVkaW5hbCBTdHVkeSBvbiBXb21lbiZhcG9zO3MgSGVhbHRoPC90aXRsZT48c2Vjb25kYXJ5LXRp
dGxlPlB1YmxpYyBIZWFsdGggTnV0cjwvc2Vjb25kYXJ5LXRpdGxlPjwvdGl0bGVzPjxwZXJpb2Rp
Y2FsPjxmdWxsLXRpdGxlPlB1YmxpYyBIZWFsdGggTnV0cjwvZnVsbC10aXRsZT48L3BlcmlvZGlj
YWw+PHBhZ2VzPjI5NzUtMjk4MzwvcGFnZXM+PHZvbHVtZT4xOTwvdm9sdW1lPjxudW1iZXI+MTY8
L251bWJlcj48ZWRpdGlvbj4yMDE2LzA1LzMxPC9lZGl0aW9uPjxrZXl3b3Jkcz48a2V5d29yZD5B
ZHVsdDwva2V5d29yZD48a2V5d29yZD5BdXN0cmFsaWE8L2tleXdvcmQ+PGtleXdvcmQ+KkRpYWJl
dGVzLCBHZXN0YXRpb25hbDwva2V5d29yZD48a2V5d29yZD4qRGlldDwva2V5d29yZD48a2V5d29y
ZD5EaWV0IFN1cnZleXM8L2tleXdvcmQ+PGtleXdvcmQ+RmVtYWxlPC9rZXl3b3JkPjxrZXl3b3Jk
Pkh1bWFuczwva2V5d29yZD48a2V5d29yZD4qSHlwZXJ0ZW5zaW9uLCBQcmVnbmFuY3ktSW5kdWNl
ZDwva2V5d29yZD48a2V5d29yZD5JbmZhbnQsIExvdyBCaXJ0aCBXZWlnaHQ8L2tleXdvcmQ+PGtl
eXdvcmQ+SW5mYW50LCBOZXdib3JuPC9rZXl3b3JkPjxrZXl3b3JkPkxvbmdpdHVkaW5hbCBTdHVk
aWVzPC9rZXl3b3JkPjxrZXl3b3JkPlByZWduYW5jeTwva2V5d29yZD48a2V5d29yZD5Xb21lbiZh
cG9zO3MgSGVhbHRoPC9rZXl3b3JkPjxrZXl3b3JkPllvdW5nIEFkdWx0PC9rZXl3b3JkPjxrZXl3
b3JkPipCaXJ0aDwva2V5d29yZD48a2V5d29yZD4qRGlldCBxdWFsaXR5PC9rZXl3b3JkPjxrZXl3
b3JkPipmZnE8L2tleXdvcmQ+PGtleXdvcmQ+KlByZWduYW5jeTwva2V5d29yZD48a2V5d29yZD4q
V29tZW4mYXBvcztzIGhlYWx0aDwva2V5d29yZD48L2tleXdvcmRzPjxkYXRlcz48eWVhcj4yMDE2
PC95ZWFyPjxwdWItZGF0ZXM+PGRhdGU+Tm92PC9kYXRlPjwvcHViLWRhdGVzPjwvZGF0ZXM+PGlz
Ym4+MTQ3NS0yNzI3IChFbGVjdHJvbmljKSYjeEQ7MTM2OC05ODAwIChMaW5raW5nKTwvaXNibj48
YWNjZXNzaW9uLW51bT4yNzIzODc1NzwvYWNjZXNzaW9uLW51bT48dXJscz48cmVsYXRlZC11cmxz
Pjx1cmw+aHR0cHM6Ly93d3cubmNiaS5ubG0ubmloLmdvdi9wdWJtZWQvMjcyMzg3NTc8L3VybD48
L3JlbGF0ZWQtdXJscz48L3VybHM+PGVsZWN0cm9uaWMtcmVzb3VyY2UtbnVtPjEwLjEwMTcvUzEz
Njg5ODAwMTYwMDEyNDU8L2VsZWN0cm9uaWMtcmVzb3VyY2UtbnVtPjwvcmVjb3JkPjwvQ2l0ZT48
L0VuZE5vdGU+
</w:fldData>
        </w:fldChar>
      </w:r>
      <w:r w:rsidR="002747EA">
        <w:instrText xml:space="preserve"> ADDIN EN.CITE </w:instrText>
      </w:r>
      <w:r w:rsidR="002747EA">
        <w:fldChar w:fldCharType="begin">
          <w:fldData xml:space="preserve">PEVuZE5vdGU+PENpdGU+PEF1dGhvcj5HcmVzaGFtPC9BdXRob3I+PFllYXI+MjAxNjwvWWVhcj48
UmVjTnVtPjE0MDc8L1JlY051bT48RGlzcGxheVRleHQ+PHN0eWxlIGZhY2U9InN1cGVyc2NyaXB0
IiBmb250PSJUcmVidWNoZXQgTVMiIHNpemU9IjkiPjI0PC9zdHlsZT48L0Rpc3BsYXlUZXh0Pjxy
ZWNvcmQ+PHJlYy1udW1iZXI+MTQwNzwvcmVjLW51bWJlcj48Zm9yZWlnbi1rZXlzPjxrZXkgYXBw
PSJFTiIgZGItaWQ9ImV4dmFzcmZ4MmR0cmFvZXNhc3hwMnN6c3hhMmRmNTAyNTkyeCIgdGltZXN0
YW1wPSIxNTY3OTI0NTM2Ij4xNDA3PC9rZXk+PGtleSBhcHA9IkVOV2ViIiBkYi1pZD0iIj4wPC9r
ZXk+PC9mb3JlaWduLWtleXM+PHJlZi10eXBlIG5hbWU9IkpvdXJuYWwgQXJ0aWNsZSI+MTc8L3Jl
Zi10eXBlPjxjb250cmlidXRvcnM+PGF1dGhvcnM+PGF1dGhvcj5HcmVzaGFtLCBFLjwvYXV0aG9y
PjxhdXRob3I+Q29sbGlucywgQy4gRS48L2F1dGhvcj48YXV0aG9yPk1pc2hyYSwgRy4gRC48L2F1
dGhvcj48YXV0aG9yPkJ5bGVzLCBKLiBFLjwvYXV0aG9yPjxhdXRob3I+SHVyZSwgQS4gSi48L2F1
dGhvcj48L2F1dGhvcnM+PC9jb250cmlidXRvcnM+PGF1dGgtYWRkcmVzcz4xUmVzZWFyY2ggQ2Vu
dHJlIGZvciBHZW5kZXIsSGVhbHRoIGFuZCBBZ2VpbmcsU2Nob29sIG9mIE1lZGljaW5lIGFuZCBQ
dWJsaWMgSGVhbHRoLFRoZSBVbml2ZXJzaXR5IG9mIE5ld2Nhc3RsZSxIdW50ZXIgTWVkaWNhbCBS
ZXNlYXJjaCBJbnN0aXR1dGUgTGV2ZWwgNCxVbml2ZXJzaXR5IERyaXZlLENhbGxhZ2hhbixOU1cg
MjMwOCxBdXN0cmFsaWEuJiN4RDszU2Nob29sIG9mIEhlYWx0aCBTY2llbmNlcywgRmFjdWx0eSBv
ZiBIZWFsdGggYW5kIE1lZGljaW5lIGFuZCBQcmlvcml0eSBSZXNlYXJjaCBDZW50cmUgaW4gUGh5
c2ljYWwgQWN0aXZpdHkgYW5kIE51dHJpdGlvbixUaGUgVW5pdmVyc2l0eSBvZiBOZXdjYXN0bGUs
Q2FsbGFnaGFuLE5TVyxBdXN0cmFsaWEuJiN4RDs0U2Nob29sIG9mIFB1YmxpYyBIZWFsdGgsIEZh
Y3VsdHkgTWVkaWNpbmUgYW5kIEJpb21lZGljYWwgU2NpZW5jZXMsQ2VudHJlIGZvciBMb25naXR1
ZGluYWwgYW5kIExpZmUgQ291cnNlIFJlc2VhcmNoLFRoZSBVbml2ZXJzaXR5IG9mIFF1ZWVuc2xh
bmQsSGVyc3RvbixRTEQsQXVzdHJhbGlhLjwvYXV0aC1hZGRyZXNzPjx0aXRsZXM+PHRpdGxlPkRp
ZXQgcXVhbGl0eSBiZWZvcmUgb3IgZHVyaW5nIHByZWduYW5jeSBhbmQgdGhlIHJlbGF0aW9uc2hp
cCB3aXRoIHByZWduYW5jeSBhbmQgYmlydGggb3V0Y29tZXM6IHRoZSBBdXN0cmFsaWFuIExvbmdp
dHVkaW5hbCBTdHVkeSBvbiBXb21lbiZhcG9zO3MgSGVhbHRoPC90aXRsZT48c2Vjb25kYXJ5LXRp
dGxlPlB1YmxpYyBIZWFsdGggTnV0cjwvc2Vjb25kYXJ5LXRpdGxlPjwvdGl0bGVzPjxwZXJpb2Rp
Y2FsPjxmdWxsLXRpdGxlPlB1YmxpYyBIZWFsdGggTnV0cjwvZnVsbC10aXRsZT48L3BlcmlvZGlj
YWw+PHBhZ2VzPjI5NzUtMjk4MzwvcGFnZXM+PHZvbHVtZT4xOTwvdm9sdW1lPjxudW1iZXI+MTY8
L251bWJlcj48ZWRpdGlvbj4yMDE2LzA1LzMxPC9lZGl0aW9uPjxrZXl3b3Jkcz48a2V5d29yZD5B
ZHVsdDwva2V5d29yZD48a2V5d29yZD5BdXN0cmFsaWE8L2tleXdvcmQ+PGtleXdvcmQ+KkRpYWJl
dGVzLCBHZXN0YXRpb25hbDwva2V5d29yZD48a2V5d29yZD4qRGlldDwva2V5d29yZD48a2V5d29y
ZD5EaWV0IFN1cnZleXM8L2tleXdvcmQ+PGtleXdvcmQ+RmVtYWxlPC9rZXl3b3JkPjxrZXl3b3Jk
Pkh1bWFuczwva2V5d29yZD48a2V5d29yZD4qSHlwZXJ0ZW5zaW9uLCBQcmVnbmFuY3ktSW5kdWNl
ZDwva2V5d29yZD48a2V5d29yZD5JbmZhbnQsIExvdyBCaXJ0aCBXZWlnaHQ8L2tleXdvcmQ+PGtl
eXdvcmQ+SW5mYW50LCBOZXdib3JuPC9rZXl3b3JkPjxrZXl3b3JkPkxvbmdpdHVkaW5hbCBTdHVk
aWVzPC9rZXl3b3JkPjxrZXl3b3JkPlByZWduYW5jeTwva2V5d29yZD48a2V5d29yZD5Xb21lbiZh
cG9zO3MgSGVhbHRoPC9rZXl3b3JkPjxrZXl3b3JkPllvdW5nIEFkdWx0PC9rZXl3b3JkPjxrZXl3
b3JkPipCaXJ0aDwva2V5d29yZD48a2V5d29yZD4qRGlldCBxdWFsaXR5PC9rZXl3b3JkPjxrZXl3
b3JkPipmZnE8L2tleXdvcmQ+PGtleXdvcmQ+KlByZWduYW5jeTwva2V5d29yZD48a2V5d29yZD4q
V29tZW4mYXBvcztzIGhlYWx0aDwva2V5d29yZD48L2tleXdvcmRzPjxkYXRlcz48eWVhcj4yMDE2
PC95ZWFyPjxwdWItZGF0ZXM+PGRhdGU+Tm92PC9kYXRlPjwvcHViLWRhdGVzPjwvZGF0ZXM+PGlz
Ym4+MTQ3NS0yNzI3IChFbGVjdHJvbmljKSYjeEQ7MTM2OC05ODAwIChMaW5raW5nKTwvaXNibj48
YWNjZXNzaW9uLW51bT4yNzIzODc1NzwvYWNjZXNzaW9uLW51bT48dXJscz48cmVsYXRlZC11cmxz
Pjx1cmw+aHR0cHM6Ly93d3cubmNiaS5ubG0ubmloLmdvdi9wdWJtZWQvMjcyMzg3NTc8L3VybD48
L3JlbGF0ZWQtdXJscz48L3VybHM+PGVsZWN0cm9uaWMtcmVzb3VyY2UtbnVtPjEwLjEwMTcvUzEz
Njg5ODAwMTYwMDEyNDU8L2VsZWN0cm9uaWMtcmVzb3VyY2UtbnVtPjwvcmVjb3JkPjwvQ2l0ZT48
L0VuZE5vdGU+
</w:fldData>
        </w:fldChar>
      </w:r>
      <w:r w:rsidR="002747EA">
        <w:instrText xml:space="preserve"> ADDIN EN.CITE.DATA </w:instrText>
      </w:r>
      <w:r w:rsidR="002747EA">
        <w:fldChar w:fldCharType="end"/>
      </w:r>
      <w:r>
        <w:fldChar w:fldCharType="separate"/>
      </w:r>
      <w:r w:rsidR="002747EA" w:rsidRPr="002747EA">
        <w:rPr>
          <w:noProof/>
          <w:vertAlign w:val="superscript"/>
        </w:rPr>
        <w:t>24</w:t>
      </w:r>
      <w:r>
        <w:fldChar w:fldCharType="end"/>
      </w:r>
      <w:r>
        <w:t xml:space="preserve"> w</w:t>
      </w:r>
      <w:r w:rsidRPr="004843FE">
        <w:t xml:space="preserve">omen with the highest Australian Recommended Food Score had the lowest odds of </w:t>
      </w:r>
      <w:r>
        <w:t>having a baby of low birth weight (</w:t>
      </w:r>
      <w:r w:rsidRPr="0043325F">
        <w:rPr>
          <w:sz w:val="16"/>
          <w:szCs w:val="16"/>
        </w:rPr>
        <w:t>OR 0.4; 95%CI 0.2 to 0.9</w:t>
      </w:r>
      <w:r w:rsidRPr="004843FE">
        <w:t>)</w:t>
      </w:r>
      <w:r>
        <w:t>.</w:t>
      </w:r>
    </w:p>
    <w:p w14:paraId="074A79FE" w14:textId="1695DED2" w:rsidR="006A1B23" w:rsidRPr="00847488" w:rsidRDefault="006A1B23" w:rsidP="009654BD">
      <w:r>
        <w:t>In a cohort study (</w:t>
      </w:r>
      <w:r w:rsidRPr="00BA0A27">
        <w:rPr>
          <w:sz w:val="16"/>
          <w:szCs w:val="16"/>
        </w:rPr>
        <w:t>n=862</w:t>
      </w:r>
      <w:r>
        <w:t>)</w:t>
      </w:r>
      <w:r>
        <w:fldChar w:fldCharType="begin">
          <w:fldData xml:space="preserve">PEVuZE5vdGU+PENpdGU+PEF1dGhvcj5FbW9uZDwvQXV0aG9yPjxZZWFyPjIwMTg8L1llYXI+PFJl
Y051bT4xMzYwPC9SZWNOdW0+PERpc3BsYXlUZXh0PjxzdHlsZSBmYWNlPSJzdXBlcnNjcmlwdCIg
Zm9udD0iVHJlYnVjaGV0IE1TIiBzaXplPSI5Ij4zNTwvc3R5bGU+PC9EaXNwbGF5VGV4dD48cmVj
b3JkPjxyZWMtbnVtYmVyPjEzNjA8L3JlYy1udW1iZXI+PGZvcmVpZ24ta2V5cz48a2V5IGFwcD0i
RU4iIGRiLWlkPSJleHZhc3JmeDJkdHJhb2VzYXN4cDJzenN4YTJkZjUwMjU5MngiIHRpbWVzdGFt
cD0iMTU2NzAzMTA0OSI+MTM2MDwva2V5PjxrZXkgYXBwPSJFTldlYiIgZGItaWQ9IiI+MDwva2V5
PjwvZm9yZWlnbi1rZXlzPjxyZWYtdHlwZSBuYW1lPSJKb3VybmFsIEFydGljbGUiPjE3PC9yZWYt
dHlwZT48Y29udHJpYnV0b3JzPjxhdXRob3JzPjxhdXRob3I+RW1vbmQsIEouIEEuPC9hdXRob3I+
PGF1dGhvcj5LYXJhZ2FzLCBNLiBSLjwvYXV0aG9yPjxhdXRob3I+QmFrZXIsIEUuIFIuPC9hdXRo
b3I+PGF1dGhvcj5HaWxiZXJ0LURpYW1vbmQsIEQuPC9hdXRob3I+PC9hdXRob3JzPjwvY29udHJp
YnV0b3JzPjxhdXRoLWFkZHJlc3M+RGVwYXJ0bWVudHMgb2YgQmlvbWVkaWNhbCBEYXRhIFNjaWVu
Y2UsIFBlZGlhdHJpY3MsIGFuZCBFcGlkZW1pb2xvZ3ksIEdlaXNlbCBTY2hvb2wgb2YgTWVkaWNp
bmUgYXQgRGFydG1vdXRoIENvbGxlZ2UsIEhhbm92ZXIsIE5ILiYjeEQ7RGVwYXJ0bWVudHMgb2Yg
UGVkaWF0cmljcywgYW5kIEVwaWRlbWlvbG9neSwgR2Vpc2VsIFNjaG9vbCBvZiBNZWRpY2luZSBh
dCBEYXJ0bW91dGggQ29sbGVnZSwgSGFub3ZlciwgTkguJiN4RDtOb3JyaXMgQ290dG9uIENhbmNl
ciBDZW50ZXIsIExlYmFub24sIE5ILiYjeEQ7RGVwYXJ0bWVudHMgb2YgRXBpZGVtaW9sb2d5LCBH
ZWlzZWwgU2Nob29sIG9mIE1lZGljaW5lIGF0IERhcnRtb3V0aCBDb2xsZWdlLCBIYW5vdmVyLCBO
SC4mI3hEO0NoaWxkcmVuJmFwb3M7cyBFbnZpcm9ubWVudGFsIEhlYWx0aCBhbmQgRGlzZWFzZSBQ
cmV2ZW50aW9uIENlbnRlciBhdCBEYXJ0bW91dGggQ29sbGVnZSwgTGViYW5vbiwgTkguJiN4RDtE
ZXBhcnRtZW50IG9mIE9ic3RldHJpY3MgYW5kIEd5bmVjb2xvZ3ksIERhcnRtb3V0aC1IaXRjaGNv
Y2sgTWVkaWNhbCBDZW50ZXIsIExlYmFub24sIE5ILjwvYXV0aC1hZGRyZXNzPjx0aXRsZXM+PHRp
dGxlPkJldHRlciBkaWV0IHF1YWxpdHkgZHVyaW5nIHByZWduYW5jeSBpcyBhc3NvY2lhdGVkIHdp
dGggYSByZWR1Y2VkIGxpa2VsaWhvb2Qgb2YgYW4gaW5mYW50IGJvcm4gc21hbGwgZm9yIGdlc3Rh
dGlvbmFsIGFnZTogYW4gYW5hbHlzaXMgb2YgdGhlIHByb3NwZWN0aXZlIE5ldyBIYW1wc2hpcmUg
QmlydGggQ29ob3J0IFN0dWR5PC90aXRsZT48c2Vjb25kYXJ5LXRpdGxlPkogTnV0cjwvc2Vjb25k
YXJ5LXRpdGxlPjwvdGl0bGVzPjxwZXJpb2RpY2FsPjxmdWxsLXRpdGxlPkogTnV0cjwvZnVsbC10
aXRsZT48L3BlcmlvZGljYWw+PHBhZ2VzPjIyLTMwPC9wYWdlcz48dm9sdW1lPjE0ODwvdm9sdW1l
PjxudW1iZXI+MTwvbnVtYmVyPjxlZGl0aW9uPjIwMTgvMDEvMzA8L2VkaXRpb24+PGtleXdvcmRz
PjxrZXl3b3JkPkFkb2xlc2NlbnQ8L2tleXdvcmQ+PGtleXdvcmQ+QWR1bHQ8L2tleXdvcmQ+PGtl
eXdvcmQ+Qm9keSBNYXNzIEluZGV4PC9rZXl3b3JkPjxrZXl3b3JkPkJvZHkgV2VpZ2h0PC9rZXl3
b3JkPjxrZXl3b3JkPipEaWV0PC9rZXl3b3JkPjxrZXl3b3JkPkZlbWFsZTwva2V5d29yZD48a2V5
d29yZD5GZXRhbCBEZXZlbG9wbWVudDwva2V5d29yZD48a2V5d29yZD5GZXRhbCBNYWNyb3NvbWlh
L3ByZXZlbnRpb24gJmFtcDsgY29udHJvbDwva2V5d29yZD48a2V5d29yZD5IdW1hbnM8L2tleXdv
cmQ+PGtleXdvcmQ+SW5mYW50LCBTbWFsbCBmb3IgR2VzdGF0aW9uYWwgQWdlL2dyb3d0aCAmYW1w
OyBkZXZlbG9wbWVudDwva2V5d29yZD48a2V5d29yZD4qTWF0ZXJuYWwgTnV0cml0aW9uYWwgUGh5
c2lvbG9naWNhbCBQaGVub21lbmE8L2tleXdvcmQ+PGtleXdvcmQ+TWlkZGxlIEFnZWQ8L2tleXdv
cmQ+PGtleXdvcmQ+TmV3IEhhbXBzaGlyZTwva2V5d29yZD48a2V5d29yZD4qUHJlZ25hbmN5PC9r
ZXl3b3JkPjxrZXl3b3JkPlByb3NwZWN0aXZlIFN0dWRpZXM8L2tleXdvcmQ+PGtleXdvcmQ+Umlz
ayBGYWN0b3JzPC9rZXl3b3JkPjxrZXl3b3JkPllvdW5nIEFkdWx0PC9rZXl3b3JkPjxrZXl3b3Jk
PipBbHRlcm5hdGl2ZSBIZWFsdGh5IEVhdGluZyBJbmRleCAoQUhFSSk8L2tleXdvcmQ+PGtleXdv
cmQ+Kk5ldyBIYW1wc2hpcmUgQmlydGggQ29ob3J0PC9rZXl3b3JkPjxrZXl3b3JkPipjaGlsZGhv
b2Qgb2Jlc2l0eTwva2V5d29yZD48a2V5d29yZD4qZmV0YWwgb3JpZ2lucyBvZiBkaXNlYXNlPC9r
ZXl3b3JkPjxrZXl3b3JkPipwcmVnbmFuY3kgZGlldCBxdWFsaXR5PC9rZXl3b3JkPjwva2V5d29y
ZHM+PGRhdGVzPjx5ZWFyPjIwMTg8L3llYXI+PHB1Yi1kYXRlcz48ZGF0ZT5KYW4gMTwvZGF0ZT48
L3B1Yi1kYXRlcz48L2RhdGVzPjxpc2JuPjE1NDEtNjEwMCAoRWxlY3Ryb25pYykmI3hEOzAwMjIt
MzE2NiAoTGlua2luZyk8L2lzYm4+PGFjY2Vzc2lvbi1udW0+MjkzNzgwNDE8L2FjY2Vzc2lvbi1u
dW0+PHVybHM+PHJlbGF0ZWQtdXJscz48dXJsPmh0dHBzOi8vd3d3Lm5jYmkubmxtLm5paC5nb3Yv
cHVibWVkLzI5Mzc4MDQxPC91cmw+PC9yZWxhdGVkLXVybHM+PC91cmxzPjxjdXN0b20yPlBNQzYy
NTE1Nzg8L2N1c3RvbTI+PGVsZWN0cm9uaWMtcmVzb3VyY2UtbnVtPjEwLjEwOTMvam4vbnh4MDA1
PC9lbGVjdHJvbmljLXJlc291cmNlLW51bT48L3JlY29yZD48L0NpdGU+PC9FbmROb3RlPgB=
</w:fldData>
        </w:fldChar>
      </w:r>
      <w:r w:rsidR="002747EA">
        <w:instrText xml:space="preserve"> ADDIN EN.CITE </w:instrText>
      </w:r>
      <w:r w:rsidR="002747EA">
        <w:fldChar w:fldCharType="begin">
          <w:fldData xml:space="preserve">PEVuZE5vdGU+PENpdGU+PEF1dGhvcj5FbW9uZDwvQXV0aG9yPjxZZWFyPjIwMTg8L1llYXI+PFJl
Y051bT4xMzYwPC9SZWNOdW0+PERpc3BsYXlUZXh0PjxzdHlsZSBmYWNlPSJzdXBlcnNjcmlwdCIg
Zm9udD0iVHJlYnVjaGV0IE1TIiBzaXplPSI5Ij4zNTwvc3R5bGU+PC9EaXNwbGF5VGV4dD48cmVj
b3JkPjxyZWMtbnVtYmVyPjEzNjA8L3JlYy1udW1iZXI+PGZvcmVpZ24ta2V5cz48a2V5IGFwcD0i
RU4iIGRiLWlkPSJleHZhc3JmeDJkdHJhb2VzYXN4cDJzenN4YTJkZjUwMjU5MngiIHRpbWVzdGFt
cD0iMTU2NzAzMTA0OSI+MTM2MDwva2V5PjxrZXkgYXBwPSJFTldlYiIgZGItaWQ9IiI+MDwva2V5
PjwvZm9yZWlnbi1rZXlzPjxyZWYtdHlwZSBuYW1lPSJKb3VybmFsIEFydGljbGUiPjE3PC9yZWYt
dHlwZT48Y29udHJpYnV0b3JzPjxhdXRob3JzPjxhdXRob3I+RW1vbmQsIEouIEEuPC9hdXRob3I+
PGF1dGhvcj5LYXJhZ2FzLCBNLiBSLjwvYXV0aG9yPjxhdXRob3I+QmFrZXIsIEUuIFIuPC9hdXRo
b3I+PGF1dGhvcj5HaWxiZXJ0LURpYW1vbmQsIEQuPC9hdXRob3I+PC9hdXRob3JzPjwvY29udHJp
YnV0b3JzPjxhdXRoLWFkZHJlc3M+RGVwYXJ0bWVudHMgb2YgQmlvbWVkaWNhbCBEYXRhIFNjaWVu
Y2UsIFBlZGlhdHJpY3MsIGFuZCBFcGlkZW1pb2xvZ3ksIEdlaXNlbCBTY2hvb2wgb2YgTWVkaWNp
bmUgYXQgRGFydG1vdXRoIENvbGxlZ2UsIEhhbm92ZXIsIE5ILiYjeEQ7RGVwYXJ0bWVudHMgb2Yg
UGVkaWF0cmljcywgYW5kIEVwaWRlbWlvbG9neSwgR2Vpc2VsIFNjaG9vbCBvZiBNZWRpY2luZSBh
dCBEYXJ0bW91dGggQ29sbGVnZSwgSGFub3ZlciwgTkguJiN4RDtOb3JyaXMgQ290dG9uIENhbmNl
ciBDZW50ZXIsIExlYmFub24sIE5ILiYjeEQ7RGVwYXJ0bWVudHMgb2YgRXBpZGVtaW9sb2d5LCBH
ZWlzZWwgU2Nob29sIG9mIE1lZGljaW5lIGF0IERhcnRtb3V0aCBDb2xsZWdlLCBIYW5vdmVyLCBO
SC4mI3hEO0NoaWxkcmVuJmFwb3M7cyBFbnZpcm9ubWVudGFsIEhlYWx0aCBhbmQgRGlzZWFzZSBQ
cmV2ZW50aW9uIENlbnRlciBhdCBEYXJ0bW91dGggQ29sbGVnZSwgTGViYW5vbiwgTkguJiN4RDtE
ZXBhcnRtZW50IG9mIE9ic3RldHJpY3MgYW5kIEd5bmVjb2xvZ3ksIERhcnRtb3V0aC1IaXRjaGNv
Y2sgTWVkaWNhbCBDZW50ZXIsIExlYmFub24sIE5ILjwvYXV0aC1hZGRyZXNzPjx0aXRsZXM+PHRp
dGxlPkJldHRlciBkaWV0IHF1YWxpdHkgZHVyaW5nIHByZWduYW5jeSBpcyBhc3NvY2lhdGVkIHdp
dGggYSByZWR1Y2VkIGxpa2VsaWhvb2Qgb2YgYW4gaW5mYW50IGJvcm4gc21hbGwgZm9yIGdlc3Rh
dGlvbmFsIGFnZTogYW4gYW5hbHlzaXMgb2YgdGhlIHByb3NwZWN0aXZlIE5ldyBIYW1wc2hpcmUg
QmlydGggQ29ob3J0IFN0dWR5PC90aXRsZT48c2Vjb25kYXJ5LXRpdGxlPkogTnV0cjwvc2Vjb25k
YXJ5LXRpdGxlPjwvdGl0bGVzPjxwZXJpb2RpY2FsPjxmdWxsLXRpdGxlPkogTnV0cjwvZnVsbC10
aXRsZT48L3BlcmlvZGljYWw+PHBhZ2VzPjIyLTMwPC9wYWdlcz48dm9sdW1lPjE0ODwvdm9sdW1l
PjxudW1iZXI+MTwvbnVtYmVyPjxlZGl0aW9uPjIwMTgvMDEvMzA8L2VkaXRpb24+PGtleXdvcmRz
PjxrZXl3b3JkPkFkb2xlc2NlbnQ8L2tleXdvcmQ+PGtleXdvcmQ+QWR1bHQ8L2tleXdvcmQ+PGtl
eXdvcmQ+Qm9keSBNYXNzIEluZGV4PC9rZXl3b3JkPjxrZXl3b3JkPkJvZHkgV2VpZ2h0PC9rZXl3
b3JkPjxrZXl3b3JkPipEaWV0PC9rZXl3b3JkPjxrZXl3b3JkPkZlbWFsZTwva2V5d29yZD48a2V5
d29yZD5GZXRhbCBEZXZlbG9wbWVudDwva2V5d29yZD48a2V5d29yZD5GZXRhbCBNYWNyb3NvbWlh
L3ByZXZlbnRpb24gJmFtcDsgY29udHJvbDwva2V5d29yZD48a2V5d29yZD5IdW1hbnM8L2tleXdv
cmQ+PGtleXdvcmQ+SW5mYW50LCBTbWFsbCBmb3IgR2VzdGF0aW9uYWwgQWdlL2dyb3d0aCAmYW1w
OyBkZXZlbG9wbWVudDwva2V5d29yZD48a2V5d29yZD4qTWF0ZXJuYWwgTnV0cml0aW9uYWwgUGh5
c2lvbG9naWNhbCBQaGVub21lbmE8L2tleXdvcmQ+PGtleXdvcmQ+TWlkZGxlIEFnZWQ8L2tleXdv
cmQ+PGtleXdvcmQ+TmV3IEhhbXBzaGlyZTwva2V5d29yZD48a2V5d29yZD4qUHJlZ25hbmN5PC9r
ZXl3b3JkPjxrZXl3b3JkPlByb3NwZWN0aXZlIFN0dWRpZXM8L2tleXdvcmQ+PGtleXdvcmQ+Umlz
ayBGYWN0b3JzPC9rZXl3b3JkPjxrZXl3b3JkPllvdW5nIEFkdWx0PC9rZXl3b3JkPjxrZXl3b3Jk
PipBbHRlcm5hdGl2ZSBIZWFsdGh5IEVhdGluZyBJbmRleCAoQUhFSSk8L2tleXdvcmQ+PGtleXdv
cmQ+Kk5ldyBIYW1wc2hpcmUgQmlydGggQ29ob3J0PC9rZXl3b3JkPjxrZXl3b3JkPipjaGlsZGhv
b2Qgb2Jlc2l0eTwva2V5d29yZD48a2V5d29yZD4qZmV0YWwgb3JpZ2lucyBvZiBkaXNlYXNlPC9r
ZXl3b3JkPjxrZXl3b3JkPipwcmVnbmFuY3kgZGlldCBxdWFsaXR5PC9rZXl3b3JkPjwva2V5d29y
ZHM+PGRhdGVzPjx5ZWFyPjIwMTg8L3llYXI+PHB1Yi1kYXRlcz48ZGF0ZT5KYW4gMTwvZGF0ZT48
L3B1Yi1kYXRlcz48L2RhdGVzPjxpc2JuPjE1NDEtNjEwMCAoRWxlY3Ryb25pYykmI3hEOzAwMjIt
MzE2NiAoTGlua2luZyk8L2lzYm4+PGFjY2Vzc2lvbi1udW0+MjkzNzgwNDE8L2FjY2Vzc2lvbi1u
dW0+PHVybHM+PHJlbGF0ZWQtdXJscz48dXJsPmh0dHBzOi8vd3d3Lm5jYmkubmxtLm5paC5nb3Yv
cHVibWVkLzI5Mzc4MDQxPC91cmw+PC9yZWxhdGVkLXVybHM+PC91cmxzPjxjdXN0b20yPlBNQzYy
NTE1Nzg8L2N1c3RvbTI+PGVsZWN0cm9uaWMtcmVzb3VyY2UtbnVtPjEwLjEwOTMvam4vbnh4MDA1
PC9lbGVjdHJvbmljLXJlc291cmNlLW51bT48L3JlY29yZD48L0NpdGU+PC9FbmROb3RlPgB=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35</w:t>
      </w:r>
      <w:r>
        <w:fldChar w:fldCharType="end"/>
      </w:r>
      <w:r>
        <w:t xml:space="preserve"> </w:t>
      </w:r>
      <w:r w:rsidRPr="007B3A77">
        <w:t xml:space="preserve">increased diet quality appeared linearly associated with a reduced likelihood of </w:t>
      </w:r>
      <w:r>
        <w:t>small for gestational age</w:t>
      </w:r>
      <w:r w:rsidRPr="007B3A77">
        <w:t xml:space="preserve"> (</w:t>
      </w:r>
      <w:r w:rsidRPr="00232A9D">
        <w:rPr>
          <w:sz w:val="16"/>
          <w:szCs w:val="16"/>
        </w:rPr>
        <w:t>P-trend</w:t>
      </w:r>
      <w:r w:rsidR="00162E95">
        <w:rPr>
          <w:sz w:val="16"/>
          <w:szCs w:val="16"/>
        </w:rPr>
        <w:t>=</w:t>
      </w:r>
      <w:r w:rsidRPr="00232A9D">
        <w:rPr>
          <w:sz w:val="16"/>
          <w:szCs w:val="16"/>
        </w:rPr>
        <w:t>0.03</w:t>
      </w:r>
      <w:r w:rsidRPr="007B3A77">
        <w:t>), although each quartile comparison did not reach statistical significance</w:t>
      </w:r>
    </w:p>
    <w:p w14:paraId="3E140EC5" w14:textId="369AE8D2" w:rsidR="00923F1F" w:rsidRDefault="00275910" w:rsidP="001D4BD9">
      <w:pPr>
        <w:pStyle w:val="Heading4"/>
      </w:pPr>
      <w:r>
        <w:t xml:space="preserve">Childhood </w:t>
      </w:r>
      <w:r w:rsidR="00923F1F">
        <w:t>outcomes</w:t>
      </w:r>
    </w:p>
    <w:p w14:paraId="2E646A51" w14:textId="4C5D49C5" w:rsidR="000A7CD9" w:rsidRDefault="000A7CD9" w:rsidP="000A7CD9">
      <w:r>
        <w:t>Results of a systematic review</w:t>
      </w:r>
      <w:r>
        <w:fldChar w:fldCharType="begin">
          <w:fldData xml:space="preserve">PEVuZE5vdGU+PENpdGU+PEF1dGhvcj5Cb3JnZTwvQXV0aG9yPjxZZWFyPjIwMTc8L1llYXI+PFJl
Y051bT4xMzQ5PC9SZWNOdW0+PERpc3BsYXlUZXh0PjxzdHlsZSBmYWNlPSJzdXBlcnNjcmlwdCIg
Zm9udD0iVHJlYnVjaGV0IE1TIiBzaXplPSI5Ij4zNjwvc3R5bGU+PC9EaXNwbGF5VGV4dD48cmVj
b3JkPjxyZWMtbnVtYmVyPjEzNDk8L3JlYy1udW1iZXI+PGZvcmVpZ24ta2V5cz48a2V5IGFwcD0i
RU4iIGRiLWlkPSJleHZhc3JmeDJkdHJhb2VzYXN4cDJzenN4YTJkZjUwMjU5MngiIHRpbWVzdGFt
cD0iMTU2NzAzMTAwMSI+MTM0OTwva2V5PjxrZXkgYXBwPSJFTldlYiIgZGItaWQ9IiI+MDwva2V5
PjwvZm9yZWlnbi1rZXlzPjxyZWYtdHlwZSBuYW1lPSJKb3VybmFsIEFydGljbGUiPjE3PC9yZWYt
dHlwZT48Y29udHJpYnV0b3JzPjxhdXRob3JzPjxhdXRob3I+Qm9yZ2UsIFQuIEMuPC9hdXRob3I+
PGF1dGhvcj5BYXNlLCBILjwvYXV0aG9yPjxhdXRob3I+QnJhbnRzYWV0ZXIsIEEuIEwuPC9hdXRo
b3I+PGF1dGhvcj5CaWVsZSwgRy48L2F1dGhvcj48L2F1dGhvcnM+PC9jb250cmlidXRvcnM+PGF1
dGgtYWRkcmVzcz5EZXBhcnRtZW50IG9mIENoaWxkIEhlYWx0aCwgTm9yd2VnaWFuIEluc3RpdHV0
ZSBvZiBQdWJsaWMgSGVhbHRoLCBPc2xvLCBOb3J3YXkuJiN4RDtEZXBhcnRtZW50IG9mIENoaWxk
IERldmVsb3BtZW50LCBOb3J3ZWdpYW4gSW5zdGl0dXRlIG9mIFB1YmxpYyBIZWFsdGgsIE9zbG8s
IE5vcndheS4mI3hEO0RlcGFydG1lbnQgb2YgRW52aXJvbm1lbnRhbCBFeHBvc3VyZSBhbmQgRXBp
ZGVtaW9sb2d5LCBOb3J3ZWdpYW4gSW5zdGl0dXRlIG9mIFB1YmxpYyBIZWFsdGgsIE9zbG8sIE5v
cndheS48L2F1dGgtYWRkcmVzcz48dGl0bGVzPjx0aXRsZT5UaGUgaW1wb3J0YW5jZSBvZiBtYXRl
cm5hbCBkaWV0IHF1YWxpdHkgZHVyaW5nIHByZWduYW5jeSBvbiBjb2duaXRpdmUgYW5kIGJlaGF2
aW91cmFsIG91dGNvbWVzIGluIGNoaWxkcmVuOiBhIHN5c3RlbWF0aWMgcmV2aWV3IGFuZCBtZXRh
LWFuYWx5c2lzPC90aXRsZT48c2Vjb25kYXJ5LXRpdGxlPkJNSiBPcGVuPC9zZWNvbmRhcnktdGl0
bGU+PC90aXRsZXM+PHBlcmlvZGljYWw+PGZ1bGwtdGl0bGU+Qk1KIE9wZW48L2Z1bGwtdGl0bGU+
PC9wZXJpb2RpY2FsPjxwYWdlcz5lMDE2Nzc3PC9wYWdlcz48dm9sdW1lPjc8L3ZvbHVtZT48bnVt
YmVyPjk8L251bWJlcj48ZWRpdGlvbj4yMDE3LzA5LzI4PC9lZGl0aW9uPjxrZXl3b3Jkcz48a2V5
d29yZD5BZmZlY3QvcGh5c2lvbG9neTwva2V5d29yZD48a2V5d29yZD5DaGlsZDwva2V5d29yZD48
a2V5d29yZD5DaGlsZCBEZXZlbG9wbWVudC8qcGh5c2lvbG9neTwva2V5d29yZD48a2V5d29yZD5D
b2duaXRpb24vcGh5c2lvbG9neTwva2V5d29yZD48a2V5d29yZD5EaWV0LypzdGFuZGFyZHM8L2tl
eXdvcmQ+PGtleXdvcmQ+RmVtYWxlPC9rZXl3b3JkPjxrZXl3b3JkPkZvb2QgUXVhbGl0eTwva2V5
d29yZD48a2V5d29yZD5IdW1hbnM8L2tleXdvcmQ+PGtleXdvcmQ+UHJlZ25hbmN5PC9rZXl3b3Jk
PjxrZXl3b3JkPlByZWduYW5jeSBPdXRjb21lPC9rZXl3b3JkPjxrZXl3b3JkPlB1YmxpY2F0aW9u
IEJpYXM8L2tleXdvcmQ+PGtleXdvcmQ+YWZmZWN0aXZlIGZ1bmN0aW9uaW5nPC9rZXl3b3JkPjxr
ZXl3b3JkPmNvZ25pdGl2ZSBkZXZlbG9wbWVudDwva2V5d29yZD48a2V5d29yZD5tYXRlcm5hbCBk
aWV0IHF1YWxpdHk8L2tleXdvcmQ+PGtleXdvcmQ+bWV0YS1hbmFseXNpczwva2V5d29yZD48a2V5
d29yZD5yZXZpZXc8L2tleXdvcmQ+PGtleXdvcmQ+c3lzdGVtYXRpYzwva2V5d29yZD48L2tleXdv
cmRzPjxkYXRlcz48eWVhcj4yMDE3PC95ZWFyPjxwdWItZGF0ZXM+PGRhdGU+U2VwIDI0PC9kYXRl
PjwvcHViLWRhdGVzPjwvZGF0ZXM+PGlzYm4+MjA0NC02MDU1IChFbGVjdHJvbmljKSYjeEQ7MjA0
NC02MDU1IChMaW5raW5nKTwvaXNibj48YWNjZXNzaW9uLW51bT4yODk0NzQ1MDwvYWNjZXNzaW9u
LW51bT48dXJscz48cmVsYXRlZC11cmxzPjx1cmw+aHR0cHM6Ly93d3cubmNiaS5ubG0ubmloLmdv
di9wdWJtZWQvMjg5NDc0NTA8L3VybD48L3JlbGF0ZWQtdXJscz48L3VybHM+PGN1c3RvbTI+UE1D
NTYyMzU3MDwvY3VzdG9tMj48ZWxlY3Ryb25pYy1yZXNvdXJjZS1udW0+MTAuMTEzNi9ibWpvcGVu
LTIwMTctMDE2Nzc3PC9lbGVjdHJvbmljLXJlc291cmNlLW51bT48L3JlY29yZD48L0NpdGU+PC9F
bmROb3RlPn==
</w:fldData>
        </w:fldChar>
      </w:r>
      <w:r w:rsidR="002747EA">
        <w:instrText xml:space="preserve"> ADDIN EN.CITE </w:instrText>
      </w:r>
      <w:r w:rsidR="002747EA">
        <w:fldChar w:fldCharType="begin">
          <w:fldData xml:space="preserve">PEVuZE5vdGU+PENpdGU+PEF1dGhvcj5Cb3JnZTwvQXV0aG9yPjxZZWFyPjIwMTc8L1llYXI+PFJl
Y051bT4xMzQ5PC9SZWNOdW0+PERpc3BsYXlUZXh0PjxzdHlsZSBmYWNlPSJzdXBlcnNjcmlwdCIg
Zm9udD0iVHJlYnVjaGV0IE1TIiBzaXplPSI5Ij4zNjwvc3R5bGU+PC9EaXNwbGF5VGV4dD48cmVj
b3JkPjxyZWMtbnVtYmVyPjEzNDk8L3JlYy1udW1iZXI+PGZvcmVpZ24ta2V5cz48a2V5IGFwcD0i
RU4iIGRiLWlkPSJleHZhc3JmeDJkdHJhb2VzYXN4cDJzenN4YTJkZjUwMjU5MngiIHRpbWVzdGFt
cD0iMTU2NzAzMTAwMSI+MTM0OTwva2V5PjxrZXkgYXBwPSJFTldlYiIgZGItaWQ9IiI+MDwva2V5
PjwvZm9yZWlnbi1rZXlzPjxyZWYtdHlwZSBuYW1lPSJKb3VybmFsIEFydGljbGUiPjE3PC9yZWYt
dHlwZT48Y29udHJpYnV0b3JzPjxhdXRob3JzPjxhdXRob3I+Qm9yZ2UsIFQuIEMuPC9hdXRob3I+
PGF1dGhvcj5BYXNlLCBILjwvYXV0aG9yPjxhdXRob3I+QnJhbnRzYWV0ZXIsIEEuIEwuPC9hdXRo
b3I+PGF1dGhvcj5CaWVsZSwgRy48L2F1dGhvcj48L2F1dGhvcnM+PC9jb250cmlidXRvcnM+PGF1
dGgtYWRkcmVzcz5EZXBhcnRtZW50IG9mIENoaWxkIEhlYWx0aCwgTm9yd2VnaWFuIEluc3RpdHV0
ZSBvZiBQdWJsaWMgSGVhbHRoLCBPc2xvLCBOb3J3YXkuJiN4RDtEZXBhcnRtZW50IG9mIENoaWxk
IERldmVsb3BtZW50LCBOb3J3ZWdpYW4gSW5zdGl0dXRlIG9mIFB1YmxpYyBIZWFsdGgsIE9zbG8s
IE5vcndheS4mI3hEO0RlcGFydG1lbnQgb2YgRW52aXJvbm1lbnRhbCBFeHBvc3VyZSBhbmQgRXBp
ZGVtaW9sb2d5LCBOb3J3ZWdpYW4gSW5zdGl0dXRlIG9mIFB1YmxpYyBIZWFsdGgsIE9zbG8sIE5v
cndheS48L2F1dGgtYWRkcmVzcz48dGl0bGVzPjx0aXRsZT5UaGUgaW1wb3J0YW5jZSBvZiBtYXRl
cm5hbCBkaWV0IHF1YWxpdHkgZHVyaW5nIHByZWduYW5jeSBvbiBjb2duaXRpdmUgYW5kIGJlaGF2
aW91cmFsIG91dGNvbWVzIGluIGNoaWxkcmVuOiBhIHN5c3RlbWF0aWMgcmV2aWV3IGFuZCBtZXRh
LWFuYWx5c2lzPC90aXRsZT48c2Vjb25kYXJ5LXRpdGxlPkJNSiBPcGVuPC9zZWNvbmRhcnktdGl0
bGU+PC90aXRsZXM+PHBlcmlvZGljYWw+PGZ1bGwtdGl0bGU+Qk1KIE9wZW48L2Z1bGwtdGl0bGU+
PC9wZXJpb2RpY2FsPjxwYWdlcz5lMDE2Nzc3PC9wYWdlcz48dm9sdW1lPjc8L3ZvbHVtZT48bnVt
YmVyPjk8L251bWJlcj48ZWRpdGlvbj4yMDE3LzA5LzI4PC9lZGl0aW9uPjxrZXl3b3Jkcz48a2V5
d29yZD5BZmZlY3QvcGh5c2lvbG9neTwva2V5d29yZD48a2V5d29yZD5DaGlsZDwva2V5d29yZD48
a2V5d29yZD5DaGlsZCBEZXZlbG9wbWVudC8qcGh5c2lvbG9neTwva2V5d29yZD48a2V5d29yZD5D
b2duaXRpb24vcGh5c2lvbG9neTwva2V5d29yZD48a2V5d29yZD5EaWV0LypzdGFuZGFyZHM8L2tl
eXdvcmQ+PGtleXdvcmQ+RmVtYWxlPC9rZXl3b3JkPjxrZXl3b3JkPkZvb2QgUXVhbGl0eTwva2V5
d29yZD48a2V5d29yZD5IdW1hbnM8L2tleXdvcmQ+PGtleXdvcmQ+UHJlZ25hbmN5PC9rZXl3b3Jk
PjxrZXl3b3JkPlByZWduYW5jeSBPdXRjb21lPC9rZXl3b3JkPjxrZXl3b3JkPlB1YmxpY2F0aW9u
IEJpYXM8L2tleXdvcmQ+PGtleXdvcmQ+YWZmZWN0aXZlIGZ1bmN0aW9uaW5nPC9rZXl3b3JkPjxr
ZXl3b3JkPmNvZ25pdGl2ZSBkZXZlbG9wbWVudDwva2V5d29yZD48a2V5d29yZD5tYXRlcm5hbCBk
aWV0IHF1YWxpdHk8L2tleXdvcmQ+PGtleXdvcmQ+bWV0YS1hbmFseXNpczwva2V5d29yZD48a2V5
d29yZD5yZXZpZXc8L2tleXdvcmQ+PGtleXdvcmQ+c3lzdGVtYXRpYzwva2V5d29yZD48L2tleXdv
cmRzPjxkYXRlcz48eWVhcj4yMDE3PC95ZWFyPjxwdWItZGF0ZXM+PGRhdGU+U2VwIDI0PC9kYXRl
PjwvcHViLWRhdGVzPjwvZGF0ZXM+PGlzYm4+MjA0NC02MDU1IChFbGVjdHJvbmljKSYjeEQ7MjA0
NC02MDU1IChMaW5raW5nKTwvaXNibj48YWNjZXNzaW9uLW51bT4yODk0NzQ1MDwvYWNjZXNzaW9u
LW51bT48dXJscz48cmVsYXRlZC11cmxzPjx1cmw+aHR0cHM6Ly93d3cubmNiaS5ubG0ubmloLmdv
di9wdWJtZWQvMjg5NDc0NTA8L3VybD48L3JlbGF0ZWQtdXJscz48L3VybHM+PGN1c3RvbTI+UE1D
NTYyMzU3MDwvY3VzdG9tMj48ZWxlY3Ryb25pYy1yZXNvdXJjZS1udW0+MTAuMTEzNi9ibWpvcGVu
LTIwMTctMDE2Nzc3PC9lbGVjdHJvbmljLXJlc291cmNlLW51bT48L3JlY29yZD48L0NpdGU+PC9F
bmROb3RlPn==
</w:fldData>
        </w:fldChar>
      </w:r>
      <w:r w:rsidR="002747EA">
        <w:instrText xml:space="preserve"> ADDIN EN.CITE.DATA </w:instrText>
      </w:r>
      <w:r w:rsidR="002747EA">
        <w:fldChar w:fldCharType="end"/>
      </w:r>
      <w:r>
        <w:fldChar w:fldCharType="separate"/>
      </w:r>
      <w:r w:rsidR="002747EA" w:rsidRPr="002747EA">
        <w:rPr>
          <w:noProof/>
          <w:vertAlign w:val="superscript"/>
        </w:rPr>
        <w:t>36</w:t>
      </w:r>
      <w:r>
        <w:fldChar w:fldCharType="end"/>
      </w:r>
      <w:r>
        <w:t xml:space="preserve"> </w:t>
      </w:r>
      <w:r w:rsidRPr="00E34221">
        <w:t>indicated a small positive association between better maternal diet quality during pregnancy and child functionin</w:t>
      </w:r>
      <w:r>
        <w:t>g</w:t>
      </w:r>
      <w:r w:rsidRPr="00E34221">
        <w:t xml:space="preserve"> (</w:t>
      </w:r>
      <w:r w:rsidRPr="00275910">
        <w:rPr>
          <w:sz w:val="16"/>
          <w:szCs w:val="16"/>
        </w:rPr>
        <w:t>p&lt;0.0001</w:t>
      </w:r>
      <w:r w:rsidRPr="00E34221">
        <w:t>).</w:t>
      </w:r>
    </w:p>
    <w:p w14:paraId="420676D4" w14:textId="3D1AE452" w:rsidR="00693B1E" w:rsidRDefault="00693B1E" w:rsidP="000A7CD9">
      <w:r>
        <w:t>Cohort studies found associations between:</w:t>
      </w:r>
    </w:p>
    <w:p w14:paraId="6DDC7254" w14:textId="030144FC" w:rsidR="00693B1E" w:rsidRDefault="00301B7F" w:rsidP="00693B1E">
      <w:pPr>
        <w:pStyle w:val="bullet"/>
      </w:pPr>
      <w:r>
        <w:t xml:space="preserve">higher </w:t>
      </w:r>
      <w:r w:rsidR="00693B1E" w:rsidRPr="006D6911">
        <w:t>BMI-for-age z score at birth</w:t>
      </w:r>
      <w:r w:rsidR="00693B1E">
        <w:t xml:space="preserve"> and high intake of </w:t>
      </w:r>
      <w:r w:rsidR="00693B1E" w:rsidRPr="006D6911">
        <w:t>white bread, red and p</w:t>
      </w:r>
      <w:r w:rsidR="00F356B4">
        <w:t>rocessed meats, fried chicken, F</w:t>
      </w:r>
      <w:r w:rsidR="00693B1E" w:rsidRPr="006D6911">
        <w:t xml:space="preserve">rench fries, and vitamin C-rich drinks </w:t>
      </w:r>
      <w:r w:rsidR="00693B1E">
        <w:t xml:space="preserve">versus high intake of </w:t>
      </w:r>
      <w:r w:rsidR="00693B1E" w:rsidRPr="006D6911">
        <w:t>fruits, vegetables, baked chicken, w</w:t>
      </w:r>
      <w:r w:rsidR="00693B1E">
        <w:t>hole-wheat bread, low-fat dairy</w:t>
      </w:r>
      <w:r w:rsidR="00693B1E" w:rsidRPr="006D6911">
        <w:t xml:space="preserve"> and water (</w:t>
      </w:r>
      <w:r w:rsidR="00693B1E" w:rsidRPr="00693B1E">
        <w:rPr>
          <w:sz w:val="16"/>
          <w:szCs w:val="16"/>
        </w:rPr>
        <w:t>ß -0.41; 95% CI: -0.79 to -0.03; n=389</w:t>
      </w:r>
      <w:r w:rsidR="00693B1E" w:rsidRPr="006D6911">
        <w:t>)</w:t>
      </w:r>
      <w:r w:rsidR="00693B1E">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 </w:instrText>
      </w:r>
      <w:r w:rsidR="002747EA">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EN.CITE.DATA </w:instrText>
      </w:r>
      <w:r w:rsidR="002747EA">
        <w:fldChar w:fldCharType="end"/>
      </w:r>
      <w:r w:rsidR="00693B1E">
        <w:fldChar w:fldCharType="separate"/>
      </w:r>
      <w:r w:rsidR="002747EA" w:rsidRPr="002747EA">
        <w:rPr>
          <w:noProof/>
          <w:vertAlign w:val="superscript"/>
        </w:rPr>
        <w:t>37</w:t>
      </w:r>
      <w:r w:rsidR="00693B1E">
        <w:fldChar w:fldCharType="end"/>
      </w:r>
    </w:p>
    <w:p w14:paraId="20A015EF" w14:textId="32625E44" w:rsidR="00693B1E" w:rsidRDefault="00693B1E" w:rsidP="00693B1E">
      <w:pPr>
        <w:pStyle w:val="bullet"/>
      </w:pPr>
      <w:r w:rsidRPr="002436F2">
        <w:t>reduced risk</w:t>
      </w:r>
      <w:r>
        <w:t xml:space="preserve"> of developing allergen sensitis</w:t>
      </w:r>
      <w:r w:rsidRPr="002436F2">
        <w:t xml:space="preserve">ation at both 18 months </w:t>
      </w:r>
      <w:r>
        <w:t>(</w:t>
      </w:r>
      <w:r w:rsidRPr="00275910">
        <w:rPr>
          <w:sz w:val="16"/>
          <w:szCs w:val="16"/>
        </w:rPr>
        <w:t>aOR 0.7; 95%CI0.5 to 0.9</w:t>
      </w:r>
      <w:r w:rsidR="00275910">
        <w:rPr>
          <w:sz w:val="16"/>
          <w:szCs w:val="16"/>
        </w:rPr>
        <w:t>; n=735</w:t>
      </w:r>
      <w:r>
        <w:t>)</w:t>
      </w:r>
      <w:r w:rsidRPr="002436F2">
        <w:t xml:space="preserve"> </w:t>
      </w:r>
      <w:r w:rsidR="00F356B4">
        <w:t>at</w:t>
      </w:r>
      <w:r w:rsidRPr="002436F2">
        <w:t xml:space="preserve"> 36</w:t>
      </w:r>
      <w:r>
        <w:t> </w:t>
      </w:r>
      <w:r w:rsidRPr="002436F2">
        <w:t xml:space="preserve">months </w:t>
      </w:r>
      <w:r>
        <w:t>(</w:t>
      </w:r>
      <w:r w:rsidRPr="00275910">
        <w:rPr>
          <w:sz w:val="16"/>
          <w:szCs w:val="16"/>
        </w:rPr>
        <w:t>aOR 0.7; 95%CI0.6 to -0.9</w:t>
      </w:r>
      <w:r w:rsidR="00275910" w:rsidRPr="00275910">
        <w:rPr>
          <w:sz w:val="16"/>
          <w:szCs w:val="16"/>
        </w:rPr>
        <w:t>; n=735</w:t>
      </w:r>
      <w:r>
        <w:t xml:space="preserve">) </w:t>
      </w:r>
      <w:r w:rsidR="00F356B4">
        <w:t xml:space="preserve">and </w:t>
      </w:r>
      <w:r>
        <w:t>high intake of seafood and noodles.</w:t>
      </w:r>
      <w:r>
        <w:fldChar w:fldCharType="begin">
          <w:fldData xml:space="preserve">PEVuZE5vdGU+PENpdGU+PEF1dGhvcj5Mb288L0F1dGhvcj48WWVhcj4yMDE3PC9ZZWFyPjxSZWNO
dW0+MTQ1NjwvUmVjTnVtPjxEaXNwbGF5VGV4dD48c3R5bGUgZmFjZT0ic3VwZXJzY3JpcHQiIGZv
bnQ9IlRyZWJ1Y2hldCBNUyIgc2l6ZT0iOSI+Mzg8L3N0eWxlPjwvRGlzcGxheVRleHQ+PHJlY29y
ZD48cmVjLW51bWJlcj4xNDU2PC9yZWMtbnVtYmVyPjxmb3JlaWduLWtleXM+PGtleSBhcHA9IkVO
IiBkYi1pZD0iZXh2YXNyZngyZHRyYW9lc2FzeHAyc3pzeGEyZGY1MDI1OTJ4IiB0aW1lc3RhbXA9
IjE1NzQwMzk1NjkiPjE0NTY8L2tleT48a2V5IGFwcD0iRU5XZWIiIGRiLWlkPSIiPjA8L2tleT48
L2ZvcmVpZ24ta2V5cz48cmVmLXR5cGUgbmFtZT0iSm91cm5hbCBBcnRpY2xlIj4xNzwvcmVmLXR5
cGU+PGNvbnRyaWJ1dG9ycz48YXV0aG9ycz48YXV0aG9yPkxvbywgRS4gWC4gTC48L2F1dGhvcj48
YXV0aG9yPk9uZywgTC48L2F1dGhvcj48YXV0aG9yPkdvaCwgQS48L2F1dGhvcj48YXV0aG9yPkNo
aWEsIEEuIFIuPC9hdXRob3I+PGF1dGhvcj5UZW9oLCBPLiBILjwvYXV0aG9yPjxhdXRob3I+Q29s
ZWdhLCBNLiBULjwvYXV0aG9yPjxhdXRob3I+Q2hhbiwgWS4gSC48L2F1dGhvcj48YXV0aG9yPlNh
dywgUy4gTS48L2F1dGhvcj48YXV0aG9yPkt3ZWssIEsuPC9hdXRob3I+PGF1dGhvcj5HbHVja21h
biwgUC4gRC48L2F1dGhvcj48YXV0aG9yPkdvZGZyZXksIEsuIE0uPC9hdXRob3I+PGF1dGhvcj5W
YW4gQmV2ZXIsIEguPC9hdXRob3I+PGF1dGhvcj5MZWUsIEIuIFcuPC9hdXRob3I+PGF1dGhvcj5D
aG9uZywgWS4gUy48L2F1dGhvcj48YXV0aG9yPkNob25nLCBNLiBGLjwvYXV0aG9yPjxhdXRob3I+
U2hlaywgTC4gUC48L2F1dGhvcj48L2F1dGhvcnM+PC9jb250cmlidXRvcnM+PGF1dGgtYWRkcmVz
cz5TaW5nYXBvcmUgSW5zdGl0dXRlIGZvciBDbGluaWNhbCBTY2llbmNlcyAoU0lDUyksIEFnZW5j
eSBmb3IgU2NpZW5jZSwgVGVjaG5vbG9neSBhbmQgUmVzZWFyY2ggKEEqU1RBUiksIFNpbmdhcG9y
ZSwgU2luZ2Fwb3JlLjwvYXV0aC1hZGRyZXNzPjx0aXRsZXM+PHRpdGxlPkVmZmVjdCBvZiBtYXRl
cm5hbCBkaWV0YXJ5IHBhdHRlcm5zIGR1cmluZyBwcmVnbmFuY3kgb24gc2VsZi1yZXBvcnRlZCBh
bGxlcmdpYyBkaXNlYXNlcyBpbiB0aGUgZmlyc3QgMyB5ZWFycyBvZiBsaWZlOiBSZXN1bHRzIGZy
b20gdGhlIEdVU1RPIHN0dWR5PC90aXRsZT48c2Vjb25kYXJ5LXRpdGxlPkludCBBcmNoIEFsbGVy
Z3kgSW1tdW5vbDwvc2Vjb25kYXJ5LXRpdGxlPjwvdGl0bGVzPjxwZXJpb2RpY2FsPjxmdWxsLXRp
dGxlPkludCBBcmNoIEFsbGVyZ3kgSW1tdW5vbDwvZnVsbC10aXRsZT48L3BlcmlvZGljYWw+PHBh
Z2VzPjEwNS0xMTM8L3BhZ2VzPjx2b2x1bWU+MTczPC92b2x1bWU+PG51bWJlcj4yPC9udW1iZXI+
PGVkaXRpb24+MjAxNy8wNi8yODwvZWRpdGlvbj48a2V5d29yZHM+PGtleXdvcmQ+Q2hpbGQsIFBy
ZXNjaG9vbDwva2V5d29yZD48a2V5d29yZD5Db2hvcnQgU3R1ZGllczwva2V5d29yZD48a2V5d29y
ZD4qRGlldDwva2V5d29yZD48a2V5d29yZD5GZW1hbGU8L2tleXdvcmQ+PGtleXdvcmQ+SHVtYW5z
PC9rZXl3b3JkPjxrZXl3b3JkPkh5cGVyc2Vuc2l0aXZpdHkvKmVwaWRlbWlvbG9neTwva2V5d29y
ZD48a2V5d29yZD5JbmZhbnQ8L2tleXdvcmQ+PGtleXdvcmQ+TWFsZTwva2V5d29yZD48a2V5d29y
ZD4qTWF0ZXJuYWwgTnV0cml0aW9uYWwgUGh5c2lvbG9naWNhbCBQaGVub21lbmE8L2tleXdvcmQ+
PGtleXdvcmQ+T2RkcyBSYXRpbzwva2V5d29yZD48a2V5d29yZD5QcmVnbmFuY3k8L2tleXdvcmQ+
PGtleXdvcmQ+KlByZW5hdGFsIEV4cG9zdXJlIERlbGF5ZWQgRWZmZWN0czwva2V5d29yZD48a2V5
d29yZD5TZWxmIFJlcG9ydDwva2V5d29yZD48a2V5d29yZD5TaW5nYXBvcmUvZXBpZGVtaW9sb2d5
PC9rZXl3b3JkPjxrZXl3b3JkPlN1cnZleXMgYW5kIFF1ZXN0aW9ubmFpcmVzPC9rZXl3b3JkPjxr
ZXl3b3JkPkFsbGVyZ2ljIGRpc2Vhc2VzPC9rZXl3b3JkPjxrZXl3b3JkPkJpcnRoIGNvaG9ydHM8
L2tleXdvcmQ+PGtleXdvcmQ+TWF0ZXJuYWwgZGlldGFyeSBwYXR0ZXJuczwva2V5d29yZD48L2tl
eXdvcmRzPjxkYXRlcz48eWVhcj4yMDE3PC95ZWFyPjwvZGF0ZXM+PGlzYm4+MTQyMy0wMDk3IChF
bGVjdHJvbmljKSYjeEQ7MTAxOC0yNDM4IChMaW5raW5nKTwvaXNibj48YWNjZXNzaW9uLW51bT4y
ODY1NDkyMTwvYWNjZXNzaW9uLW51bT48dXJscz48cmVsYXRlZC11cmxzPjx1cmw+aHR0cHM6Ly93
d3cubmNiaS5ubG0ubmloLmdvdi9wdWJtZWQvMjg2NTQ5MjE8L3VybD48L3JlbGF0ZWQtdXJscz48
L3VybHM+PGN1c3RvbTI+UE1DNTUzMTI1ODwvY3VzdG9tMj48ZWxlY3Ryb25pYy1yZXNvdXJjZS1u
dW0+MTAuMTE1OS8wMDA0NzU0OTc8L2VsZWN0cm9uaWMtcmVzb3VyY2UtbnVtPjwvcmVjb3JkPjwv
Q2l0ZT48L0VuZE5vdGU+
</w:fldData>
        </w:fldChar>
      </w:r>
      <w:r w:rsidR="002747EA">
        <w:instrText xml:space="preserve"> ADDIN EN.CITE </w:instrText>
      </w:r>
      <w:r w:rsidR="002747EA">
        <w:fldChar w:fldCharType="begin">
          <w:fldData xml:space="preserve">PEVuZE5vdGU+PENpdGU+PEF1dGhvcj5Mb288L0F1dGhvcj48WWVhcj4yMDE3PC9ZZWFyPjxSZWNO
dW0+MTQ1NjwvUmVjTnVtPjxEaXNwbGF5VGV4dD48c3R5bGUgZmFjZT0ic3VwZXJzY3JpcHQiIGZv
bnQ9IlRyZWJ1Y2hldCBNUyIgc2l6ZT0iOSI+Mzg8L3N0eWxlPjwvRGlzcGxheVRleHQ+PHJlY29y
ZD48cmVjLW51bWJlcj4xNDU2PC9yZWMtbnVtYmVyPjxmb3JlaWduLWtleXM+PGtleSBhcHA9IkVO
IiBkYi1pZD0iZXh2YXNyZngyZHRyYW9lc2FzeHAyc3pzeGEyZGY1MDI1OTJ4IiB0aW1lc3RhbXA9
IjE1NzQwMzk1NjkiPjE0NTY8L2tleT48a2V5IGFwcD0iRU5XZWIiIGRiLWlkPSIiPjA8L2tleT48
L2ZvcmVpZ24ta2V5cz48cmVmLXR5cGUgbmFtZT0iSm91cm5hbCBBcnRpY2xlIj4xNzwvcmVmLXR5
cGU+PGNvbnRyaWJ1dG9ycz48YXV0aG9ycz48YXV0aG9yPkxvbywgRS4gWC4gTC48L2F1dGhvcj48
YXV0aG9yPk9uZywgTC48L2F1dGhvcj48YXV0aG9yPkdvaCwgQS48L2F1dGhvcj48YXV0aG9yPkNo
aWEsIEEuIFIuPC9hdXRob3I+PGF1dGhvcj5UZW9oLCBPLiBILjwvYXV0aG9yPjxhdXRob3I+Q29s
ZWdhLCBNLiBULjwvYXV0aG9yPjxhdXRob3I+Q2hhbiwgWS4gSC48L2F1dGhvcj48YXV0aG9yPlNh
dywgUy4gTS48L2F1dGhvcj48YXV0aG9yPkt3ZWssIEsuPC9hdXRob3I+PGF1dGhvcj5HbHVja21h
biwgUC4gRC48L2F1dGhvcj48YXV0aG9yPkdvZGZyZXksIEsuIE0uPC9hdXRob3I+PGF1dGhvcj5W
YW4gQmV2ZXIsIEguPC9hdXRob3I+PGF1dGhvcj5MZWUsIEIuIFcuPC9hdXRob3I+PGF1dGhvcj5D
aG9uZywgWS4gUy48L2F1dGhvcj48YXV0aG9yPkNob25nLCBNLiBGLjwvYXV0aG9yPjxhdXRob3I+
U2hlaywgTC4gUC48L2F1dGhvcj48L2F1dGhvcnM+PC9jb250cmlidXRvcnM+PGF1dGgtYWRkcmVz
cz5TaW5nYXBvcmUgSW5zdGl0dXRlIGZvciBDbGluaWNhbCBTY2llbmNlcyAoU0lDUyksIEFnZW5j
eSBmb3IgU2NpZW5jZSwgVGVjaG5vbG9neSBhbmQgUmVzZWFyY2ggKEEqU1RBUiksIFNpbmdhcG9y
ZSwgU2luZ2Fwb3JlLjwvYXV0aC1hZGRyZXNzPjx0aXRsZXM+PHRpdGxlPkVmZmVjdCBvZiBtYXRl
cm5hbCBkaWV0YXJ5IHBhdHRlcm5zIGR1cmluZyBwcmVnbmFuY3kgb24gc2VsZi1yZXBvcnRlZCBh
bGxlcmdpYyBkaXNlYXNlcyBpbiB0aGUgZmlyc3QgMyB5ZWFycyBvZiBsaWZlOiBSZXN1bHRzIGZy
b20gdGhlIEdVU1RPIHN0dWR5PC90aXRsZT48c2Vjb25kYXJ5LXRpdGxlPkludCBBcmNoIEFsbGVy
Z3kgSW1tdW5vbDwvc2Vjb25kYXJ5LXRpdGxlPjwvdGl0bGVzPjxwZXJpb2RpY2FsPjxmdWxsLXRp
dGxlPkludCBBcmNoIEFsbGVyZ3kgSW1tdW5vbDwvZnVsbC10aXRsZT48L3BlcmlvZGljYWw+PHBh
Z2VzPjEwNS0xMTM8L3BhZ2VzPjx2b2x1bWU+MTczPC92b2x1bWU+PG51bWJlcj4yPC9udW1iZXI+
PGVkaXRpb24+MjAxNy8wNi8yODwvZWRpdGlvbj48a2V5d29yZHM+PGtleXdvcmQ+Q2hpbGQsIFBy
ZXNjaG9vbDwva2V5d29yZD48a2V5d29yZD5Db2hvcnQgU3R1ZGllczwva2V5d29yZD48a2V5d29y
ZD4qRGlldDwva2V5d29yZD48a2V5d29yZD5GZW1hbGU8L2tleXdvcmQ+PGtleXdvcmQ+SHVtYW5z
PC9rZXl3b3JkPjxrZXl3b3JkPkh5cGVyc2Vuc2l0aXZpdHkvKmVwaWRlbWlvbG9neTwva2V5d29y
ZD48a2V5d29yZD5JbmZhbnQ8L2tleXdvcmQ+PGtleXdvcmQ+TWFsZTwva2V5d29yZD48a2V5d29y
ZD4qTWF0ZXJuYWwgTnV0cml0aW9uYWwgUGh5c2lvbG9naWNhbCBQaGVub21lbmE8L2tleXdvcmQ+
PGtleXdvcmQ+T2RkcyBSYXRpbzwva2V5d29yZD48a2V5d29yZD5QcmVnbmFuY3k8L2tleXdvcmQ+
PGtleXdvcmQ+KlByZW5hdGFsIEV4cG9zdXJlIERlbGF5ZWQgRWZmZWN0czwva2V5d29yZD48a2V5
d29yZD5TZWxmIFJlcG9ydDwva2V5d29yZD48a2V5d29yZD5TaW5nYXBvcmUvZXBpZGVtaW9sb2d5
PC9rZXl3b3JkPjxrZXl3b3JkPlN1cnZleXMgYW5kIFF1ZXN0aW9ubmFpcmVzPC9rZXl3b3JkPjxr
ZXl3b3JkPkFsbGVyZ2ljIGRpc2Vhc2VzPC9rZXl3b3JkPjxrZXl3b3JkPkJpcnRoIGNvaG9ydHM8
L2tleXdvcmQ+PGtleXdvcmQ+TWF0ZXJuYWwgZGlldGFyeSBwYXR0ZXJuczwva2V5d29yZD48L2tl
eXdvcmRzPjxkYXRlcz48eWVhcj4yMDE3PC95ZWFyPjwvZGF0ZXM+PGlzYm4+MTQyMy0wMDk3IChF
bGVjdHJvbmljKSYjeEQ7MTAxOC0yNDM4IChMaW5raW5nKTwvaXNibj48YWNjZXNzaW9uLW51bT4y
ODY1NDkyMTwvYWNjZXNzaW9uLW51bT48dXJscz48cmVsYXRlZC11cmxzPjx1cmw+aHR0cHM6Ly93
d3cubmNiaS5ubG0ubmloLmdvdi9wdWJtZWQvMjg2NTQ5MjE8L3VybD48L3JlbGF0ZWQtdXJscz48
L3VybHM+PGN1c3RvbTI+UE1DNTUzMTI1ODwvY3VzdG9tMj48ZWxlY3Ryb25pYy1yZXNvdXJjZS1u
dW0+MTAuMTE1OS8wMDA0NzU0OTc8L2VsZWN0cm9uaWMtcmVzb3VyY2UtbnVtPjwvcmVjb3JkPjwv
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38</w:t>
      </w:r>
      <w:r>
        <w:fldChar w:fldCharType="end"/>
      </w:r>
    </w:p>
    <w:p w14:paraId="11B6DCEE" w14:textId="67E799C5" w:rsidR="005E768B" w:rsidRDefault="005E768B" w:rsidP="00923F1F">
      <w:r>
        <w:t>A cohort study (</w:t>
      </w:r>
      <w:r w:rsidRPr="00275910">
        <w:rPr>
          <w:sz w:val="16"/>
          <w:szCs w:val="16"/>
        </w:rPr>
        <w:t>n=2,695</w:t>
      </w:r>
      <w:r>
        <w:t>)</w:t>
      </w:r>
      <w:r>
        <w:fldChar w:fldCharType="begin"/>
      </w:r>
      <w:r w:rsidR="002747EA">
        <w:instrText xml:space="preserve"> ADDIN EN.CITE &lt;EndNote&gt;&lt;Cite&gt;&lt;Author&gt;van den Broek&lt;/Author&gt;&lt;Year&gt;2015&lt;/Year&gt;&lt;RecNum&gt;1482&lt;/RecNum&gt;&lt;DisplayText&gt;&lt;style face="superscript" font="Trebuchet MS" size="9"&gt;39&lt;/style&gt;&lt;/DisplayText&gt;&lt;record&gt;&lt;rec-number&gt;1482&lt;/rec-number&gt;&lt;foreign-keys&gt;&lt;key app="EN" db-id="exvasrfx2dtraoesasxp2szsxa2df502592x" timestamp="1574039699"&gt;1482&lt;/key&gt;&lt;key app="ENWeb" db-id=""&gt;0&lt;/key&gt;&lt;/foreign-keys&gt;&lt;ref-type name="Journal Article"&gt;17&lt;/ref-type&gt;&lt;contributors&gt;&lt;authors&gt;&lt;author&gt;van den Broek, Marion&lt;/author&gt;&lt;author&gt;Leermakers, Elisabeth T. M.&lt;/author&gt;&lt;author&gt;Jaddoe, Vincent W. V.&lt;/author&gt;&lt;author&gt;Steegers, Eric A. P.&lt;/author&gt;&lt;author&gt;Rivadeneira, Fernando&lt;/author&gt;&lt;author&gt;Raat, Hein&lt;/author&gt;&lt;author&gt;Hofman, Albert&lt;/author&gt;&lt;author&gt;Franco, Oscar H.&lt;/author&gt;&lt;author&gt;Kiefte-de Jong, Jessica C.&lt;/author&gt;&lt;/authors&gt;&lt;/contributors&gt;&lt;titles&gt;&lt;title&gt;Maternal dietary patterns during pregnancy and body composition of the child at age 6 y: the Generation R Study&lt;/title&gt;&lt;secondary-title&gt;The American Journal of Clinical Nutrition&lt;/secondary-title&gt;&lt;/titles&gt;&lt;periodical&gt;&lt;full-title&gt;The American Journal of Clinical Nutrition&lt;/full-title&gt;&lt;/periodical&gt;&lt;pages&gt;873-880&lt;/pages&gt;&lt;volume&gt;102&lt;/volume&gt;&lt;number&gt;4&lt;/number&gt;&lt;section&gt;873&lt;/section&gt;&lt;dates&gt;&lt;year&gt;2015&lt;/year&gt;&lt;/dates&gt;&lt;isbn&gt;0002-9165&amp;#xD;1938-3207&lt;/isbn&gt;&lt;urls&gt;&lt;/urls&gt;&lt;electronic-resource-num&gt;10.3945/ajcn.114.102905&lt;/electronic-resource-num&gt;&lt;/record&gt;&lt;/Cite&gt;&lt;/EndNote&gt;</w:instrText>
      </w:r>
      <w:r>
        <w:fldChar w:fldCharType="separate"/>
      </w:r>
      <w:r w:rsidR="002747EA" w:rsidRPr="002747EA">
        <w:rPr>
          <w:noProof/>
          <w:vertAlign w:val="superscript"/>
        </w:rPr>
        <w:t>39</w:t>
      </w:r>
      <w:r>
        <w:fldChar w:fldCharType="end"/>
      </w:r>
      <w:r>
        <w:t xml:space="preserve"> found that </w:t>
      </w:r>
      <w:r w:rsidRPr="00D8594E">
        <w:t>associations between maternal</w:t>
      </w:r>
      <w:r>
        <w:t xml:space="preserve"> </w:t>
      </w:r>
      <w:r w:rsidRPr="00D8594E">
        <w:t>dietary patterns during pregnancy and body composition of</w:t>
      </w:r>
      <w:r>
        <w:t xml:space="preserve"> </w:t>
      </w:r>
      <w:r w:rsidRPr="00D8594E">
        <w:t>the child at age 6 y</w:t>
      </w:r>
      <w:r w:rsidR="00A11D8B">
        <w:t>ears</w:t>
      </w:r>
      <w:r w:rsidRPr="00D8594E">
        <w:t xml:space="preserve"> are to a large extent explained by sociodemographic</w:t>
      </w:r>
      <w:r>
        <w:t xml:space="preserve"> </w:t>
      </w:r>
      <w:r w:rsidRPr="00D8594E">
        <w:t>and lifestyle factors of mother and child</w:t>
      </w:r>
      <w:r>
        <w:t>.</w:t>
      </w:r>
      <w:r w:rsidR="00A11D8B">
        <w:t xml:space="preserve"> A cohort study (</w:t>
      </w:r>
      <w:r w:rsidR="00A11D8B" w:rsidRPr="00275910">
        <w:rPr>
          <w:sz w:val="16"/>
          <w:szCs w:val="16"/>
        </w:rPr>
        <w:t>n=2,592</w:t>
      </w:r>
      <w:r w:rsidR="00A11D8B">
        <w:t>)</w:t>
      </w:r>
      <w:r w:rsidR="00A11D8B">
        <w:fldChar w:fldCharType="begin">
          <w:fldData xml:space="preserve">PEVuZE5vdGU+PENpdGU+PEF1dGhvcj5MZWVybWFrZXJzPC9BdXRob3I+PFllYXI+MjAxNzwvWWVh
cj48UmVjTnVtPjE0NTU8L1JlY051bT48RGlzcGxheVRleHQ+PHN0eWxlIGZhY2U9InN1cGVyc2Ny
aXB0IiBmb250PSJUcmVidWNoZXQgTVMiIHNpemU9IjkiPjQwPC9zdHlsZT48L0Rpc3BsYXlUZXh0
PjxyZWNvcmQ+PHJlYy1udW1iZXI+MTQ1NTwvcmVjLW51bWJlcj48Zm9yZWlnbi1rZXlzPjxrZXkg
YXBwPSJFTiIgZGItaWQ9ImV4dmFzcmZ4MmR0cmFvZXNhc3hwMnN6c3hhMmRmNTAyNTkyeCIgdGlt
ZXN0YW1wPSIxNTc0MDM5NTY2Ij4xNDU1PC9rZXk+PGtleSBhcHA9IkVOV2ViIiBkYi1pZD0iIj4w
PC9rZXk+PC9mb3JlaWduLWtleXM+PHJlZi10eXBlIG5hbWU9IkpvdXJuYWwgQXJ0aWNsZSI+MTc8
L3JlZi10eXBlPjxjb250cmlidXRvcnM+PGF1dGhvcnM+PGF1dGhvcj5MZWVybWFrZXJzLCBFLiBU
LiBNLjwvYXV0aG9yPjxhdXRob3I+VGllbGVtYW5zLCBNLiBKLjwvYXV0aG9yPjxhdXRob3I+dmFu
IGRlbiBCcm9laywgTS48L2F1dGhvcj48YXV0aG9yPkphZGRvZSwgVi4gVy4gVi48L2F1dGhvcj48
YXV0aG9yPkZyYW5jbywgTy4gSC48L2F1dGhvcj48YXV0aG9yPktpZWZ0ZS1kZSBKb25nLCBKLiBD
LjwvYXV0aG9yPjwvYXV0aG9ycz48L2NvbnRyaWJ1dG9ycz48YXV0aC1hZGRyZXNzPkRlcGFydG1l
bnQgb2YgRXBpZGVtaW9sb2d5LCBFcmFzbXVzIE1lZGljYWwgQ2VudGVyLCBQTyBCb3ggMjA0MCwg
MzAwMCBDQSBSb3R0ZXJkYW0sIFRoZSBOZXRoZXJsYW5kczsgVGhlIEdlbmVyYXRpb24gUiBTdHVk
eSBHcm91cCwgRXJhc211cyBNZWRpY2FsIENlbnRlciwgUE8gQm94IDIwNDAsIDMwMDAgQ0EgUm90
dGVyZGFtLCBUaGUgTmV0aGVybGFuZHMuIEVsZWN0cm9uaWMgYWRkcmVzczogZS5sZWVybWFrZXJz
QGVyYXNtdXNtYy5ubC4mI3hEO0RlcGFydG1lbnQgb2YgRXBpZGVtaW9sb2d5LCBFcmFzbXVzIE1l
ZGljYWwgQ2VudGVyLCBQTyBCb3ggMjA0MCwgMzAwMCBDQSBSb3R0ZXJkYW0sIFRoZSBOZXRoZXJs
YW5kczsgVGhlIEdlbmVyYXRpb24gUiBTdHVkeSBHcm91cCwgRXJhc211cyBNZWRpY2FsIENlbnRl
ciwgUE8gQm94IDIwNDAsIDMwMDAgQ0EgUm90dGVyZGFtLCBUaGUgTmV0aGVybGFuZHMuJiN4RDtE
ZXBhcnRtZW50IG9mIEVwaWRlbWlvbG9neSwgRXJhc211cyBNZWRpY2FsIENlbnRlciwgUE8gQm94
IDIwNDAsIDMwMDAgQ0EgUm90dGVyZGFtLCBUaGUgTmV0aGVybGFuZHMuJiN4RDtEZXBhcnRtZW50
IG9mIEVwaWRlbWlvbG9neSwgRXJhc211cyBNZWRpY2FsIENlbnRlciwgUE8gQm94IDIwNDAsIDMw
MDAgQ0EgUm90dGVyZGFtLCBUaGUgTmV0aGVybGFuZHM7IFRoZSBHZW5lcmF0aW9uIFIgU3R1ZHkg
R3JvdXAsIEVyYXNtdXMgTWVkaWNhbCBDZW50ZXIsIFBPIEJveCAyMDQwLCAzMDAwIENBIFJvdHRl
cmRhbSwgVGhlIE5ldGhlcmxhbmRzOyBEZXBhcnRtZW50IG9mIFBlZGlhdHJpY3MsIEVyYXNtdXMg
TWVkaWNhbCBDZW50ZXIsIFBPIEJveCAyMDQwLCAzMDAwIENBIFJvdHRlcmRhbSwgVGhlIE5ldGhl
cmxhbmRzLiYjeEQ7RGVwYXJ0bWVudCBvZiBFcGlkZW1pb2xvZ3ksIEVyYXNtdXMgTWVkaWNhbCBD
ZW50ZXIsIFBPIEJveCAyMDQwLCAzMDAwIENBIFJvdHRlcmRhbSwgVGhlIE5ldGhlcmxhbmRzOyBM
ZWlkZW4gVW5pdmVyc2l0eSBDb2xsZWdlLCBUaGUgSGFndWUsIFRoZSBOZXRoZXJsYW5kcy48L2F1
dGgtYWRkcmVzcz48dGl0bGVzPjx0aXRsZT5NYXRlcm5hbCBkaWV0YXJ5IHBhdHRlcm5zIGR1cmlu
ZyBwcmVnbmFuY3kgYW5kIG9mZnNwcmluZyBjYXJkaW9tZXRhYm9saWMgaGVhbHRoIGF0IGFnZSA2
IHllYXJzOiBUaGUgZ2VuZXJhdGlvbiBSIHN0dWR5PC90aXRsZT48c2Vjb25kYXJ5LXRpdGxlPkNs
aW4gTnV0cjwvc2Vjb25kYXJ5LXRpdGxlPjwvdGl0bGVzPjxwZXJpb2RpY2FsPjxmdWxsLXRpdGxl
PkNsaW4gTnV0cjwvZnVsbC10aXRsZT48L3BlcmlvZGljYWw+PHBhZ2VzPjQ3Ny00ODQ8L3BhZ2Vz
Pjx2b2x1bWU+MzY8L3ZvbHVtZT48bnVtYmVyPjI8L251bWJlcj48ZWRpdGlvbj4yMDE2LzAyLzI2
PC9lZGl0aW9uPjxrZXl3b3Jkcz48a2V5d29yZD5CbG9vZCBQcmVzc3VyZTwva2V5d29yZD48a2V5
d29yZD5DYXJkaW92YXNjdWxhciBEaXNlYXNlcy8qZXBpZGVtaW9sb2d5PC9rZXl3b3JkPjxrZXl3
b3JkPkNoaWxkPC9rZXl3b3JkPjxrZXl3b3JkPkNob2xlc3Rlcm9sLCBIREwvYmxvb2Q8L2tleXdv
cmQ+PGtleXdvcmQ+RGlldDwva2V5d29yZD48a2V5d29yZD5GZW1hbGU8L2tleXdvcmQ+PGtleXdv
cmQ+SHVtYW5zPC9rZXl3b3JkPjxrZXl3b3JkPkluc3VsaW4vYmxvb2Q8L2tleXdvcmQ+PGtleXdv
cmQ+TGlmZSBTdHlsZTwva2V5d29yZD48a2V5d29yZD4qTWF0ZXJuYWwgTnV0cml0aW9uYWwgUGh5
c2lvbG9naWNhbCBQaGVub21lbmE8L2tleXdvcmQ+PGtleXdvcmQ+TWV0YWJvbGljIFN5bmRyb21l
LyplcGlkZW1pb2xvZ3k8L2tleXdvcmQ+PGtleXdvcmQ+TmV0aGVybGFuZHM8L2tleXdvcmQ+PGtl
eXdvcmQ+TnV0cml0aW9uIEFzc2Vzc21lbnQ8L2tleXdvcmQ+PGtleXdvcmQ+UHJlZ25hbmN5PC9r
ZXl3b3JkPjxrZXl3b3JkPipQcmVuYXRhbCBFeHBvc3VyZSBEZWxheWVkIEVmZmVjdHM8L2tleXdv
cmQ+PGtleXdvcmQ+UHJvc3BlY3RpdmUgU3R1ZGllczwva2V5d29yZD48a2V5d29yZD5QdWxzZSBX
YXZlIEFuYWx5c2lzPC9rZXl3b3JkPjxrZXl3b3JkPlJpc2sgRmFjdG9yczwva2V5d29yZD48a2V5
d29yZD5UcmlnbHljZXJpZGVzL2Jsb29kPC9rZXl3b3JkPjxrZXl3b3JkPipDYXJkaW9tZXRhYm9s
aWM8L2tleXdvcmQ+PGtleXdvcmQ+KkNvaG9ydDwva2V5d29yZD48a2V5d29yZD4qRGlldDwva2V5
d29yZD48a2V5d29yZD4qRXBpZGVtaW9sb2d5PC9rZXl3b3JkPjxrZXl3b3JkPipPZmZzcHJpbmc8
L2tleXdvcmQ+PGtleXdvcmQ+KlByZWduYW5jeTwva2V5d29yZD48L2tleXdvcmRzPjxkYXRlcz48
eWVhcj4yMDE3PC95ZWFyPjxwdWItZGF0ZXM+PGRhdGU+QXByPC9kYXRlPjwvcHViLWRhdGVzPjwv
ZGF0ZXM+PGlzYm4+MTUzMi0xOTgzIChFbGVjdHJvbmljKSYjeEQ7MDI2MS01NjE0IChMaW5raW5n
KTwvaXNibj48YWNjZXNzaW9uLW51bT4yNjkwNzU4MjwvYWNjZXNzaW9uLW51bT48dXJscz48cmVs
YXRlZC11cmxzPjx1cmw+aHR0cHM6Ly93d3cubmNiaS5ubG0ubmloLmdvdi9wdWJtZWQvMjY5MDc1
ODI8L3VybD48L3JlbGF0ZWQtdXJscz48L3VybHM+PGVsZWN0cm9uaWMtcmVzb3VyY2UtbnVtPjEw
LjEwMTYvai5jbG51LjIwMTUuMTIuMDE3PC9lbGVjdHJvbmljLXJlc291cmNlLW51bT48L3JlY29y
ZD48L0NpdGU+PC9FbmROb3RlPgB=
</w:fldData>
        </w:fldChar>
      </w:r>
      <w:r w:rsidR="002747EA">
        <w:instrText xml:space="preserve"> ADDIN EN.CITE </w:instrText>
      </w:r>
      <w:r w:rsidR="002747EA">
        <w:fldChar w:fldCharType="begin">
          <w:fldData xml:space="preserve">PEVuZE5vdGU+PENpdGU+PEF1dGhvcj5MZWVybWFrZXJzPC9BdXRob3I+PFllYXI+MjAxNzwvWWVh
cj48UmVjTnVtPjE0NTU8L1JlY051bT48RGlzcGxheVRleHQ+PHN0eWxlIGZhY2U9InN1cGVyc2Ny
aXB0IiBmb250PSJUcmVidWNoZXQgTVMiIHNpemU9IjkiPjQwPC9zdHlsZT48L0Rpc3BsYXlUZXh0
PjxyZWNvcmQ+PHJlYy1udW1iZXI+MTQ1NTwvcmVjLW51bWJlcj48Zm9yZWlnbi1rZXlzPjxrZXkg
YXBwPSJFTiIgZGItaWQ9ImV4dmFzcmZ4MmR0cmFvZXNhc3hwMnN6c3hhMmRmNTAyNTkyeCIgdGlt
ZXN0YW1wPSIxNTc0MDM5NTY2Ij4xNDU1PC9rZXk+PGtleSBhcHA9IkVOV2ViIiBkYi1pZD0iIj4w
PC9rZXk+PC9mb3JlaWduLWtleXM+PHJlZi10eXBlIG5hbWU9IkpvdXJuYWwgQXJ0aWNsZSI+MTc8
L3JlZi10eXBlPjxjb250cmlidXRvcnM+PGF1dGhvcnM+PGF1dGhvcj5MZWVybWFrZXJzLCBFLiBU
LiBNLjwvYXV0aG9yPjxhdXRob3I+VGllbGVtYW5zLCBNLiBKLjwvYXV0aG9yPjxhdXRob3I+dmFu
IGRlbiBCcm9laywgTS48L2F1dGhvcj48YXV0aG9yPkphZGRvZSwgVi4gVy4gVi48L2F1dGhvcj48
YXV0aG9yPkZyYW5jbywgTy4gSC48L2F1dGhvcj48YXV0aG9yPktpZWZ0ZS1kZSBKb25nLCBKLiBD
LjwvYXV0aG9yPjwvYXV0aG9ycz48L2NvbnRyaWJ1dG9ycz48YXV0aC1hZGRyZXNzPkRlcGFydG1l
bnQgb2YgRXBpZGVtaW9sb2d5LCBFcmFzbXVzIE1lZGljYWwgQ2VudGVyLCBQTyBCb3ggMjA0MCwg
MzAwMCBDQSBSb3R0ZXJkYW0sIFRoZSBOZXRoZXJsYW5kczsgVGhlIEdlbmVyYXRpb24gUiBTdHVk
eSBHcm91cCwgRXJhc211cyBNZWRpY2FsIENlbnRlciwgUE8gQm94IDIwNDAsIDMwMDAgQ0EgUm90
dGVyZGFtLCBUaGUgTmV0aGVybGFuZHMuIEVsZWN0cm9uaWMgYWRkcmVzczogZS5sZWVybWFrZXJz
QGVyYXNtdXNtYy5ubC4mI3hEO0RlcGFydG1lbnQgb2YgRXBpZGVtaW9sb2d5LCBFcmFzbXVzIE1l
ZGljYWwgQ2VudGVyLCBQTyBCb3ggMjA0MCwgMzAwMCBDQSBSb3R0ZXJkYW0sIFRoZSBOZXRoZXJs
YW5kczsgVGhlIEdlbmVyYXRpb24gUiBTdHVkeSBHcm91cCwgRXJhc211cyBNZWRpY2FsIENlbnRl
ciwgUE8gQm94IDIwNDAsIDMwMDAgQ0EgUm90dGVyZGFtLCBUaGUgTmV0aGVybGFuZHMuJiN4RDtE
ZXBhcnRtZW50IG9mIEVwaWRlbWlvbG9neSwgRXJhc211cyBNZWRpY2FsIENlbnRlciwgUE8gQm94
IDIwNDAsIDMwMDAgQ0EgUm90dGVyZGFtLCBUaGUgTmV0aGVybGFuZHMuJiN4RDtEZXBhcnRtZW50
IG9mIEVwaWRlbWlvbG9neSwgRXJhc211cyBNZWRpY2FsIENlbnRlciwgUE8gQm94IDIwNDAsIDMw
MDAgQ0EgUm90dGVyZGFtLCBUaGUgTmV0aGVybGFuZHM7IFRoZSBHZW5lcmF0aW9uIFIgU3R1ZHkg
R3JvdXAsIEVyYXNtdXMgTWVkaWNhbCBDZW50ZXIsIFBPIEJveCAyMDQwLCAzMDAwIENBIFJvdHRl
cmRhbSwgVGhlIE5ldGhlcmxhbmRzOyBEZXBhcnRtZW50IG9mIFBlZGlhdHJpY3MsIEVyYXNtdXMg
TWVkaWNhbCBDZW50ZXIsIFBPIEJveCAyMDQwLCAzMDAwIENBIFJvdHRlcmRhbSwgVGhlIE5ldGhl
cmxhbmRzLiYjeEQ7RGVwYXJ0bWVudCBvZiBFcGlkZW1pb2xvZ3ksIEVyYXNtdXMgTWVkaWNhbCBD
ZW50ZXIsIFBPIEJveCAyMDQwLCAzMDAwIENBIFJvdHRlcmRhbSwgVGhlIE5ldGhlcmxhbmRzOyBM
ZWlkZW4gVW5pdmVyc2l0eSBDb2xsZWdlLCBUaGUgSGFndWUsIFRoZSBOZXRoZXJsYW5kcy48L2F1
dGgtYWRkcmVzcz48dGl0bGVzPjx0aXRsZT5NYXRlcm5hbCBkaWV0YXJ5IHBhdHRlcm5zIGR1cmlu
ZyBwcmVnbmFuY3kgYW5kIG9mZnNwcmluZyBjYXJkaW9tZXRhYm9saWMgaGVhbHRoIGF0IGFnZSA2
IHllYXJzOiBUaGUgZ2VuZXJhdGlvbiBSIHN0dWR5PC90aXRsZT48c2Vjb25kYXJ5LXRpdGxlPkNs
aW4gTnV0cjwvc2Vjb25kYXJ5LXRpdGxlPjwvdGl0bGVzPjxwZXJpb2RpY2FsPjxmdWxsLXRpdGxl
PkNsaW4gTnV0cjwvZnVsbC10aXRsZT48L3BlcmlvZGljYWw+PHBhZ2VzPjQ3Ny00ODQ8L3BhZ2Vz
Pjx2b2x1bWU+MzY8L3ZvbHVtZT48bnVtYmVyPjI8L251bWJlcj48ZWRpdGlvbj4yMDE2LzAyLzI2
PC9lZGl0aW9uPjxrZXl3b3Jkcz48a2V5d29yZD5CbG9vZCBQcmVzc3VyZTwva2V5d29yZD48a2V5
d29yZD5DYXJkaW92YXNjdWxhciBEaXNlYXNlcy8qZXBpZGVtaW9sb2d5PC9rZXl3b3JkPjxrZXl3
b3JkPkNoaWxkPC9rZXl3b3JkPjxrZXl3b3JkPkNob2xlc3Rlcm9sLCBIREwvYmxvb2Q8L2tleXdv
cmQ+PGtleXdvcmQ+RGlldDwva2V5d29yZD48a2V5d29yZD5GZW1hbGU8L2tleXdvcmQ+PGtleXdv
cmQ+SHVtYW5zPC9rZXl3b3JkPjxrZXl3b3JkPkluc3VsaW4vYmxvb2Q8L2tleXdvcmQ+PGtleXdv
cmQ+TGlmZSBTdHlsZTwva2V5d29yZD48a2V5d29yZD4qTWF0ZXJuYWwgTnV0cml0aW9uYWwgUGh5
c2lvbG9naWNhbCBQaGVub21lbmE8L2tleXdvcmQ+PGtleXdvcmQ+TWV0YWJvbGljIFN5bmRyb21l
LyplcGlkZW1pb2xvZ3k8L2tleXdvcmQ+PGtleXdvcmQ+TmV0aGVybGFuZHM8L2tleXdvcmQ+PGtl
eXdvcmQ+TnV0cml0aW9uIEFzc2Vzc21lbnQ8L2tleXdvcmQ+PGtleXdvcmQ+UHJlZ25hbmN5PC9r
ZXl3b3JkPjxrZXl3b3JkPipQcmVuYXRhbCBFeHBvc3VyZSBEZWxheWVkIEVmZmVjdHM8L2tleXdv
cmQ+PGtleXdvcmQ+UHJvc3BlY3RpdmUgU3R1ZGllczwva2V5d29yZD48a2V5d29yZD5QdWxzZSBX
YXZlIEFuYWx5c2lzPC9rZXl3b3JkPjxrZXl3b3JkPlJpc2sgRmFjdG9yczwva2V5d29yZD48a2V5
d29yZD5UcmlnbHljZXJpZGVzL2Jsb29kPC9rZXl3b3JkPjxrZXl3b3JkPipDYXJkaW9tZXRhYm9s
aWM8L2tleXdvcmQ+PGtleXdvcmQ+KkNvaG9ydDwva2V5d29yZD48a2V5d29yZD4qRGlldDwva2V5
d29yZD48a2V5d29yZD4qRXBpZGVtaW9sb2d5PC9rZXl3b3JkPjxrZXl3b3JkPipPZmZzcHJpbmc8
L2tleXdvcmQ+PGtleXdvcmQ+KlByZWduYW5jeTwva2V5d29yZD48L2tleXdvcmRzPjxkYXRlcz48
eWVhcj4yMDE3PC95ZWFyPjxwdWItZGF0ZXM+PGRhdGU+QXByPC9kYXRlPjwvcHViLWRhdGVzPjwv
ZGF0ZXM+PGlzYm4+MTUzMi0xOTgzIChFbGVjdHJvbmljKSYjeEQ7MDI2MS01NjE0IChMaW5raW5n
KTwvaXNibj48YWNjZXNzaW9uLW51bT4yNjkwNzU4MjwvYWNjZXNzaW9uLW51bT48dXJscz48cmVs
YXRlZC11cmxzPjx1cmw+aHR0cHM6Ly93d3cubmNiaS5ubG0ubmloLmdvdi9wdWJtZWQvMjY5MDc1
ODI8L3VybD48L3JlbGF0ZWQtdXJscz48L3VybHM+PGVsZWN0cm9uaWMtcmVzb3VyY2UtbnVtPjEw
LjEwMTYvai5jbG51LjIwMTUuMTIuMDE3PC9lbGVjdHJvbmljLXJlc291cmNlLW51bT48L3JlY29y
ZD48L0NpdGU+PC9FbmROb3RlPgB=
</w:fldData>
        </w:fldChar>
      </w:r>
      <w:r w:rsidR="002747EA">
        <w:instrText xml:space="preserve"> ADDIN EN.CITE.DATA </w:instrText>
      </w:r>
      <w:r w:rsidR="002747EA">
        <w:fldChar w:fldCharType="end"/>
      </w:r>
      <w:r w:rsidR="00A11D8B">
        <w:fldChar w:fldCharType="separate"/>
      </w:r>
      <w:r w:rsidR="002747EA" w:rsidRPr="002747EA">
        <w:rPr>
          <w:noProof/>
          <w:vertAlign w:val="superscript"/>
        </w:rPr>
        <w:t>40</w:t>
      </w:r>
      <w:r w:rsidR="00A11D8B">
        <w:fldChar w:fldCharType="end"/>
      </w:r>
      <w:r w:rsidR="00A11D8B">
        <w:t xml:space="preserve"> suggested that </w:t>
      </w:r>
      <w:r w:rsidR="00A11D8B" w:rsidRPr="002436F2">
        <w:t>there are no consistent independent associations of maternal dietary patterns with offspring cardiometabolic health at 6 years.</w:t>
      </w:r>
    </w:p>
    <w:p w14:paraId="2F46E9A0" w14:textId="3C00CE11" w:rsidR="00122B25" w:rsidRDefault="00122B25" w:rsidP="00C8357D">
      <w:pPr>
        <w:pStyle w:val="Heading3"/>
      </w:pPr>
      <w:bookmarkStart w:id="23" w:name="_Toc40956473"/>
      <w:r>
        <w:t>Mediterranean diet</w:t>
      </w:r>
      <w:bookmarkEnd w:id="23"/>
    </w:p>
    <w:p w14:paraId="197FFA77" w14:textId="40637ADC" w:rsidR="00797890" w:rsidRDefault="00797890" w:rsidP="00014822">
      <w:pPr>
        <w:rPr>
          <w:shd w:val="clear" w:color="auto" w:fill="FFFFFF"/>
        </w:rPr>
      </w:pPr>
      <w:r w:rsidRPr="000D7230">
        <w:rPr>
          <w:shd w:val="clear" w:color="auto" w:fill="FFFFFF"/>
        </w:rPr>
        <w:t xml:space="preserve">The </w:t>
      </w:r>
      <w:r>
        <w:rPr>
          <w:shd w:val="clear" w:color="auto" w:fill="FFFFFF"/>
        </w:rPr>
        <w:t xml:space="preserve">Mediterranean </w:t>
      </w:r>
      <w:r w:rsidRPr="000D7230">
        <w:rPr>
          <w:shd w:val="clear" w:color="auto" w:fill="FFFFFF"/>
        </w:rPr>
        <w:t>diet is generally characterised by a high intake of fruit</w:t>
      </w:r>
      <w:r>
        <w:rPr>
          <w:shd w:val="clear" w:color="auto" w:fill="FFFFFF"/>
        </w:rPr>
        <w:t>,</w:t>
      </w:r>
      <w:r w:rsidRPr="000D7230">
        <w:rPr>
          <w:shd w:val="clear" w:color="auto" w:fill="FFFFFF"/>
        </w:rPr>
        <w:t xml:space="preserve"> vegetables, nuts, </w:t>
      </w:r>
      <w:r>
        <w:rPr>
          <w:shd w:val="clear" w:color="auto" w:fill="FFFFFF"/>
        </w:rPr>
        <w:t>cereals</w:t>
      </w:r>
      <w:r w:rsidRPr="000D7230">
        <w:rPr>
          <w:shd w:val="clear" w:color="auto" w:fill="FFFFFF"/>
        </w:rPr>
        <w:t xml:space="preserve"> and olive oil, a moderate intake of fish and poultry, and low intakes of dairy products</w:t>
      </w:r>
      <w:r>
        <w:rPr>
          <w:shd w:val="clear" w:color="auto" w:fill="FFFFFF"/>
        </w:rPr>
        <w:t>, red and processed meats</w:t>
      </w:r>
      <w:r w:rsidRPr="000D7230">
        <w:rPr>
          <w:shd w:val="clear" w:color="auto" w:fill="FFFFFF"/>
        </w:rPr>
        <w:t xml:space="preserve"> and sweets. </w:t>
      </w:r>
    </w:p>
    <w:p w14:paraId="3DF2CC0F" w14:textId="67EA93A7" w:rsidR="00014822" w:rsidRDefault="00014822" w:rsidP="00014822">
      <w:r>
        <w:t>Systematic reviews have found associations between adherence to the Mediterranean diet in pregnancy and reduced risk of gestational diabetes (</w:t>
      </w:r>
      <w:r w:rsidRPr="00C7031C">
        <w:rPr>
          <w:sz w:val="16"/>
          <w:szCs w:val="16"/>
        </w:rPr>
        <w:t>OR 0.57; 95%CI 0.41 to 0.79; 10 observational studies; n=124,959</w:t>
      </w:r>
      <w:r>
        <w:t>)</w:t>
      </w:r>
      <w:r w:rsidR="003E2D58">
        <w:fldChar w:fldCharType="begin"/>
      </w:r>
      <w:r w:rsidR="002747EA">
        <w:instrText xml:space="preserve"> ADDIN EN.CITE &lt;EndNote&gt;&lt;Cite&gt;&lt;Author&gt;Pham&lt;/Author&gt;&lt;Year&gt;2019&lt;/Year&gt;&lt;RecNum&gt;1472&lt;/RecNum&gt;&lt;DisplayText&gt;&lt;style face="superscript" font="Trebuchet MS" size="9"&gt;41&lt;/style&gt;&lt;/DisplayText&gt;&lt;record&gt;&lt;rec-number&gt;1472&lt;/rec-number&gt;&lt;foreign-keys&gt;&lt;key app="EN" db-id="exvasrfx2dtraoesasxp2szsxa2df502592x" timestamp="1574039644"&gt;1472&lt;/key&gt;&lt;key app="ENWeb" db-id=""&gt;0&lt;/key&gt;&lt;/foreign-keys&gt;&lt;ref-type name="Journal Article"&gt;17&lt;/ref-type&gt;&lt;contributors&gt;&lt;authors&gt;&lt;author&gt;Pham, N. M.&lt;/author&gt;&lt;author&gt;Do, V. V.&lt;/author&gt;&lt;author&gt;Lee, A. H.&lt;/author&gt;&lt;/authors&gt;&lt;/contributors&gt;&lt;auth-address&gt;School of Public Health, Faculty of Health Sciences, Curtin University, Bentley, WA, Australia. minh.pn@tnu.edu.vn.&amp;#xD;Thai Nguyen University of Medicine and Pharmacy, Thai Nguyen, Vietnam. minh.pn@tnu.edu.vn.&amp;#xD;Center for Population Health Sciences, Hanoi University of Public Health, Hanoi, Vietnam.&amp;#xD;School of Public Health, Faculty of Health Sciences, Curtin University, Bentley, WA, Australia.&lt;/auth-address&gt;&lt;titles&gt;&lt;title&gt;Polyphenol-rich foods and risk of gestational diabetes: a systematic review and meta-analysis&lt;/title&gt;&lt;secondary-title&gt;Eur J Clin Nutr&lt;/secondary-title&gt;&lt;/titles&gt;&lt;periodical&gt;&lt;full-title&gt;Eur J Clin Nutr&lt;/full-title&gt;&lt;/periodical&gt;&lt;pages&gt;647-56&lt;/pages&gt;&lt;volume&gt;73&lt;/volume&gt;&lt;number&gt;5&lt;/number&gt;&lt;edition&gt;2018/06/27&lt;/edition&gt;&lt;dates&gt;&lt;year&gt;2019&lt;/year&gt;&lt;pub-dates&gt;&lt;date&gt;May&lt;/date&gt;&lt;/pub-dates&gt;&lt;/dates&gt;&lt;isbn&gt;1476-5640 (Electronic)&amp;#xD;0954-3007 (Linking)&lt;/isbn&gt;&lt;accession-num&gt;29941912&lt;/accession-num&gt;&lt;urls&gt;&lt;related-urls&gt;&lt;url&gt;https://www.ncbi.nlm.nih.gov/pubmed/29941912&lt;/url&gt;&lt;/related-urls&gt;&lt;/urls&gt;&lt;electronic-resource-num&gt;10.1038/s41430-018-0218-7&lt;/electronic-resource-num&gt;&lt;/record&gt;&lt;/Cite&gt;&lt;/EndNote&gt;</w:instrText>
      </w:r>
      <w:r w:rsidR="003E2D58">
        <w:fldChar w:fldCharType="separate"/>
      </w:r>
      <w:r w:rsidR="002747EA" w:rsidRPr="002747EA">
        <w:rPr>
          <w:noProof/>
          <w:vertAlign w:val="superscript"/>
        </w:rPr>
        <w:t>41</w:t>
      </w:r>
      <w:r w:rsidR="003E2D58">
        <w:fldChar w:fldCharType="end"/>
      </w:r>
      <w:r>
        <w:t xml:space="preserve"> and wheeze in the infant in the</w:t>
      </w:r>
      <w:r w:rsidR="00D32475">
        <w:t xml:space="preserve"> first 12 months (</w:t>
      </w:r>
      <w:r w:rsidR="00D32475" w:rsidRPr="00C7031C">
        <w:rPr>
          <w:sz w:val="16"/>
          <w:szCs w:val="16"/>
        </w:rPr>
        <w:t>OR 0.92; 95%CI</w:t>
      </w:r>
      <w:r w:rsidRPr="00C7031C">
        <w:rPr>
          <w:sz w:val="16"/>
          <w:szCs w:val="16"/>
        </w:rPr>
        <w:t xml:space="preserve"> 0.88 to 0.95; </w:t>
      </w:r>
      <w:r w:rsidR="00BA338A" w:rsidRPr="00C7031C">
        <w:rPr>
          <w:sz w:val="16"/>
          <w:szCs w:val="16"/>
        </w:rPr>
        <w:t>3 studies</w:t>
      </w:r>
      <w:r w:rsidR="00BA338A">
        <w:t>)</w:t>
      </w:r>
      <w:r w:rsidR="00D32475">
        <w:t>.</w:t>
      </w:r>
      <w:r w:rsidR="003E2D58">
        <w:fldChar w:fldCharType="begin"/>
      </w:r>
      <w:r w:rsidR="002747EA">
        <w:instrText xml:space="preserve"> ADDIN EN.CITE &lt;EndNote&gt;&lt;Cite&gt;&lt;Author&gt;Zhang&lt;/Author&gt;&lt;Year&gt;2019&lt;/Year&gt;&lt;RecNum&gt;1486&lt;/RecNum&gt;&lt;DisplayText&gt;&lt;style face="superscript" font="Trebuchet MS" size="9"&gt;42&lt;/style&gt;&lt;/DisplayText&gt;&lt;record&gt;&lt;rec-number&gt;1486&lt;/rec-number&gt;&lt;foreign-keys&gt;&lt;key app="EN" db-id="exvasrfx2dtraoesasxp2szsxa2df502592x" timestamp="1574039722"&gt;1486&lt;/key&gt;&lt;key app="ENWeb" db-id=""&gt;0&lt;/key&gt;&lt;/foreign-keys&gt;&lt;ref-type name="Journal Article"&gt;17&lt;/ref-type&gt;&lt;contributors&gt;&lt;authors&gt;&lt;author&gt;Zhang, Y.&lt;/author&gt;&lt;author&gt;Lin, J.&lt;/author&gt;&lt;author&gt;Fu, W.&lt;/author&gt;&lt;author&gt;Liu, S.&lt;/author&gt;&lt;author&gt;Gong, C.&lt;/author&gt;&lt;author&gt;Dai, J.&lt;/author&gt;&lt;/authors&gt;&lt;/contributors&gt;&lt;auth-address&gt;Respiratory Department, Children&amp;apos;s Hospital of Chongqing Medical University, Chongqing, China.&amp;#xD;Key Laboratory of Pediatrics in Chongqing International Science and Technology Cooperation Center for Child Development and Disorders, Ministry of Education Key Laboratory of Child Development and Disorders, Chongqing, China.&lt;/auth-address&gt;&lt;titles&gt;&lt;title&gt;Mediterranean diet during pregnancy and childhood for asthma in children: A systematic review and meta-analysis of observational studies&lt;/title&gt;&lt;secondary-title&gt;Pediatr Pulmonol&lt;/secondary-title&gt;&lt;/titles&gt;&lt;periodical&gt;&lt;full-title&gt;Pediatr Pulmonol&lt;/full-title&gt;&lt;/periodical&gt;&lt;pages&gt;949-961&lt;/pages&gt;&lt;volume&gt;54&lt;/volume&gt;&lt;number&gt;7&lt;/number&gt;&lt;edition&gt;2019/04/19&lt;/edition&gt;&lt;keywords&gt;&lt;keyword&gt;Mediterranean diet&lt;/keyword&gt;&lt;keyword&gt;asthma&lt;/keyword&gt;&lt;keyword&gt;children&lt;/keyword&gt;&lt;keyword&gt;meta-analysis&lt;/keyword&gt;&lt;keyword&gt;wheeze&lt;/keyword&gt;&lt;/keywords&gt;&lt;dates&gt;&lt;year&gt;2019&lt;/year&gt;&lt;pub-dates&gt;&lt;date&gt;Jul&lt;/date&gt;&lt;/pub-dates&gt;&lt;/dates&gt;&lt;isbn&gt;1099-0496 (Electronic)&amp;#xD;1099-0496 (Linking)&lt;/isbn&gt;&lt;accession-num&gt;30997754&lt;/accession-num&gt;&lt;urls&gt;&lt;related-urls&gt;&lt;url&gt;https://www.ncbi.nlm.nih.gov/pubmed/30997754&lt;/url&gt;&lt;/related-urls&gt;&lt;/urls&gt;&lt;electronic-resource-num&gt;10.1002/ppul.24338&lt;/electronic-resource-num&gt;&lt;/record&gt;&lt;/Cite&gt;&lt;/EndNote&gt;</w:instrText>
      </w:r>
      <w:r w:rsidR="003E2D58">
        <w:fldChar w:fldCharType="separate"/>
      </w:r>
      <w:r w:rsidR="002747EA" w:rsidRPr="002747EA">
        <w:rPr>
          <w:noProof/>
          <w:vertAlign w:val="superscript"/>
        </w:rPr>
        <w:t>42</w:t>
      </w:r>
      <w:r w:rsidR="003E2D58">
        <w:fldChar w:fldCharType="end"/>
      </w:r>
    </w:p>
    <w:p w14:paraId="3B2716F4" w14:textId="2541069E" w:rsidR="002F09BB" w:rsidRPr="002F09BB" w:rsidRDefault="001341EB" w:rsidP="002F09BB">
      <w:r>
        <w:t xml:space="preserve">An RCT comparing the Mediterranean diet </w:t>
      </w:r>
      <w:r w:rsidR="00E170E6">
        <w:t>with additional</w:t>
      </w:r>
      <w:r w:rsidR="002F09BB">
        <w:t xml:space="preserve"> extra virgin olive oil </w:t>
      </w:r>
      <w:r w:rsidR="00E170E6">
        <w:t xml:space="preserve">and pistachios </w:t>
      </w:r>
      <w:r>
        <w:t>with a standard diet with limited fat intake</w:t>
      </w:r>
      <w:r w:rsidR="00E324C1">
        <w:t xml:space="preserve"> (</w:t>
      </w:r>
      <w:r w:rsidR="00E324C1" w:rsidRPr="00E324C1">
        <w:rPr>
          <w:sz w:val="16"/>
          <w:szCs w:val="16"/>
        </w:rPr>
        <w:t>n=874</w:t>
      </w:r>
      <w:r w:rsidR="00E324C1">
        <w:t>)</w:t>
      </w:r>
      <w:r>
        <w:fldChar w:fldCharType="begin">
          <w:fldData xml:space="preserve">PEVuZE5vdGU+PENpdGU+PEF1dGhvcj5Bc3NhZi1CYWx1dDwvQXV0aG9yPjxZZWFyPjIwMTc8L1ll
YXI+PFJlY051bT4xMzM4PC9SZWNOdW0+PERpc3BsYXlUZXh0PjxzdHlsZSBmYWNlPSJzdXBlcnNj
cmlwdCIgZm9udD0iVHJlYnVjaGV0IE1TIiBzaXplPSI5Ij40Mzwvc3R5bGU+PC9EaXNwbGF5VGV4
dD48cmVjb3JkPjxyZWMtbnVtYmVyPjEzMzg8L3JlYy1udW1iZXI+PGZvcmVpZ24ta2V5cz48a2V5
IGFwcD0iRU4iIGRiLWlkPSJleHZhc3JmeDJkdHJhb2VzYXN4cDJzenN4YTJkZjUwMjU5MngiIHRp
bWVzdGFtcD0iMTU2NzAzMDk1MSI+MTMzODwva2V5PjxrZXkgYXBwPSJFTldlYiIgZGItaWQ9IiI+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bGlhciwgQy48L2F1dGhvcj48YXV0aG9yPk9ydG9sYSwgQS48L2F1dGhvcj48YXV0aG9yPkppbWVu
ZXosIEkuPC9hdXRob3I+PGF1dGhvcj5IZXJyYWl6LCBNLiBBLjwvYXV0aG9yPjxhdXRob3I+SXpx
dWllcmRvLCBOLjwvYXV0aG9yPjxhdXRob3I+UGVyZXosIE4uPC9hdXRob3I+PGF1dGhvcj5Ub3Jy
ZWpvbiwgTS4gSi48L2F1dGhvcj48YXV0aG9yPk9ydGVnYSwgTS4gSS48L2F1dGhvcj48YXV0aG9y
PklsbGFuYSwgRi4gSi48L2F1dGhvcj48YXV0aG9yPlJ1bmtsZSwgSS48L2F1dGhvcj48YXV0aG9y
PmRlIE1pZ3VlbCwgTS4gUC48L2F1dGhvcj48YXV0aG9yPk1vbnRhbmV6LCBDLjwvYXV0aG9yPjxh
dXRob3I+QmFyYWJhc2gsIEEuPC9hdXRob3I+PGF1dGhvcj5DdWVzdGEsIE0uPC9hdXRob3I+PGF1
dGhvcj5SdWJpbywgTS4gQS48L2F1dGhvcj48YXV0aG9yPkNhbGxlLVBhc2N1YWwsIEEuIEwuPC9h
dXRob3I+PC9hdXRob3JzPjwvY29udHJpYnV0b3JzPjxhdXRoLWFkZHJlc3M+RW5kb2NyaW5vbG9n
eSBhbmQgTnV0cml0aW9uIERlcGFydG1lbnQsIEhvc3BpdGFsIENsaW5pY28gVW5pdmVyc2l0YXJp
byBTYW4gQ2FybG9zIGFuZCBJbnN0aXR1dG8gZGUgSW52ZXN0aWdhY2lvbiBTYW5pdGFyaWEgZGVs
IEhvc3BpdGFsIENsaW5pY28gU2FuIENhcmxvcyAoSWRJU1NDKSwgTWFkcmlkLCBTcGFpbi4mI3hE
O0ZhY3VsdGFkIGRlIE1lZGljaW5hLCBVbml2ZXJzaWRhZCBDb21wbHV0ZW5zZSBkZSBNYWRyaWQs
IE1hZHJpZCwgU3BhaW4uJiN4RDtDZW50cm8gZGUgSW52ZXN0aWdhY2lvbiBCaW9tZWRpY2EgZW4g
UmVkIGRlIERpYWJldGVzIHkgRW5mZXJtZWRhZGVzIE1ldGFib2xpY2FzIEFzb2NpYWRhcyAoQ0lC
RVJERU0pLCBNYWRyaWQsIFNwYWluLiYjeEQ7UHJldmVudGl2ZSBNZWRpY2luZSBEZXBhcnRtZW50
IEhvc3BpdGFsIENsaW5pY28gVW5pdmVyc2l0YXJpbyBTYW4gQ2FybG9zIGFuZCBJbnN0aXR1dG8g
ZGUgSW52ZXN0aWdhY2lvbiBTYW5pdGFyaWEgZGVsIEhvc3BpdGFsIENsaW5pY28gU2FuIENhcmxv
cyAoSWRJU1NDKSwgTWFkcmlkLCBTcGFpbi4mI3hEO0d5bmVjb2xvZ3kgYW5kIE9ic3RldHJpY3Mg
RGVwYXJ0bWVudCwgSG9zcGl0YWwgQ2xpbmljbyBVbml2ZXJzaXRhcmlvIFNhbiBDYXJsb3MgYW5k
IEluc3RpdHV0byBkZSBJbnZlc3RpZ2FjaW9uIFNhbml0YXJpYSBkZWwgSG9zcGl0YWwgQ2xpbmlj
byBTYW4gQ2FybG9zIChJZElTU0MpLCBNYWRyaWQsIFNwYWluLiYjeEQ7Q2xpbmljYWwgTGFib3Jh
dG9yeSBEZXBhcnRtZW50LCBIb3NwaXRhbCBDbGluaWNvIFVuaXZlcnNpdGFyaW8gU2FuIENhcmxv
cyBhbmQgSW5zdGl0dXRvIGRlIEludmVzdGlnYWNpb24gU2FuaXRhcmlhIGRlbCBIb3NwaXRhbCBD
bGluaWNvIFNhbiBDYXJsb3MgKElkSVNTQyksIE1hZHJpZCwgU3BhaW4uPC9hdXRoLWFkZHJlc3M+
PHRpdGxlcz48dGl0bGU+QSBNZWRpdGVycmFuZWFuIGRpZXQgd2l0aCBhZGRpdGlvbmFsIGV4dHJh
IHZpcmdpbiBvbGl2ZSBvaWwgYW5kIHBpc3RhY2hpb3MgcmVkdWNlcyB0aGUgaW5jaWRlbmNlIG9m
IGdlc3RhdGlvbmFsIGRpYWJldGVzIG1lbGxpdHVzIChHRE0pOiBBIHJhbmRvbWl6ZWQgY29udHJv
bGxlZCB0cmlhbDogVGhlIFN0LiBDYXJsb3MgR0RNIHByZXZlbnRpb24gc3R1ZHk8L3RpdGxlPjxz
ZWNvbmRhcnktdGl0bGU+UExvUyBPbmU8L3NlY29uZGFyeS10aXRsZT48L3RpdGxlcz48cGVyaW9k
aWNhbD48ZnVsbC10aXRsZT5QTG9TIE9uZTwvZnVsbC10aXRsZT48L3BlcmlvZGljYWw+PHBhZ2Vz
PmUwMTg1ODczPC9wYWdlcz48dm9sdW1lPjEyPC92b2x1bWU+PG51bWJlcj4xMDwvbnVtYmVyPjxl
ZGl0aW9uPjIwMTcvMTAvMjA8L2VkaXRpb24+PGtleXdvcmRzPjxrZXl3b3JkPkFkdWx0PC9rZXl3
b3JkPjxrZXl3b3JkPkRpYWJldGVzLCBHZXN0YXRpb25hbC8qZGlldCB0aGVyYXB5L2VwaWRlbWlv
bG9neTwva2V5d29yZD48a2V5d29yZD4qRGlldCwgTWVkaXRlcnJhbmVhbjwva2V5d29yZD48a2V5
d29yZD5GZW1hbGU8L2tleXdvcmQ+PGtleXdvcmQ+SHVtYW5zPC9rZXl3b3JkPjxrZXl3b3JkPklu
Y2lkZW5jZTwva2V5d29yZD48a2V5d29yZD5JbmZhbnQsIE5ld2Jvcm48L2tleXdvcmQ+PGtleXdv
cmQ+TGlmZSBTdHlsZTwva2V5d29yZD48a2V5d29yZD5PbGl2ZSBPaWwvKmFkbWluaXN0cmF0aW9u
ICZhbXA7IGRvc2FnZTwva2V5d29yZD48a2V5d29yZD4qUGlzdGFjaWE8L2tleXdvcmQ+PGtleXdv
cmQ+UHJlZ25hbmN5PC9rZXl3b3JkPjxrZXl3b3JkPlByZWduYW5jeSBPdXRjb21lPC9rZXl3b3Jk
PjxrZXl3b3JkPlByb3NwZWN0aXZlIFN0dWRpZXM8L2tleXdvcmQ+PC9rZXl3b3Jkcz48ZGF0ZXM+
PHllYXI+MjAxNzwveWVhcj48L2RhdGVzPjxpc2JuPjE5MzItNjIwMyAoRWxlY3Ryb25pYykmI3hE
OzE5MzItNjIwMyAoTGlua2luZyk8L2lzYm4+PGFjY2Vzc2lvbi1udW0+MjkwNDkzMDM8L2FjY2Vz
c2lvbi1udW0+PHVybHM+PHJlbGF0ZWQtdXJscz48dXJsPmh0dHBzOi8vd3d3Lm5jYmkubmxtLm5p
aC5nb3YvcHVibWVkLzI5MDQ5MzAzPC91cmw+PC9yZWxhdGVkLXVybHM+PC91cmxzPjxjdXN0b20y
PlBNQzU2NDgxMjg8L2N1c3RvbTI+PGVsZWN0cm9uaWMtcmVzb3VyY2UtbnVtPjEwLjEzNzEvam91
cm5hbC5wb25lLjAxODU4NzM8L2VsZWN0cm9uaWMtcmVzb3VyY2UtbnVtPjwvcmVjb3JkPjwvQ2l0
ZT48L0VuZE5vdGU+
</w:fldData>
        </w:fldChar>
      </w:r>
      <w:r w:rsidR="002747EA">
        <w:instrText xml:space="preserve"> ADDIN EN.CITE </w:instrText>
      </w:r>
      <w:r w:rsidR="002747EA">
        <w:fldChar w:fldCharType="begin">
          <w:fldData xml:space="preserve">PEVuZE5vdGU+PENpdGU+PEF1dGhvcj5Bc3NhZi1CYWx1dDwvQXV0aG9yPjxZZWFyPjIwMTc8L1ll
YXI+PFJlY051bT4xMzM4PC9SZWNOdW0+PERpc3BsYXlUZXh0PjxzdHlsZSBmYWNlPSJzdXBlcnNj
cmlwdCIgZm9udD0iVHJlYnVjaGV0IE1TIiBzaXplPSI5Ij40Mzwvc3R5bGU+PC9EaXNwbGF5VGV4
dD48cmVjb3JkPjxyZWMtbnVtYmVyPjEzMzg8L3JlYy1udW1iZXI+PGZvcmVpZ24ta2V5cz48a2V5
IGFwcD0iRU4iIGRiLWlkPSJleHZhc3JmeDJkdHJhb2VzYXN4cDJzenN4YTJkZjUwMjU5MngiIHRp
bWVzdGFtcD0iMTU2NzAzMDk1MSI+MTMzODwva2V5PjxrZXkgYXBwPSJFTldlYiIgZGItaWQ9IiI+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bGlhciwgQy48L2F1dGhvcj48YXV0aG9yPk9ydG9sYSwgQS48L2F1dGhvcj48YXV0aG9yPkppbWVu
ZXosIEkuPC9hdXRob3I+PGF1dGhvcj5IZXJyYWl6LCBNLiBBLjwvYXV0aG9yPjxhdXRob3I+SXpx
dWllcmRvLCBOLjwvYXV0aG9yPjxhdXRob3I+UGVyZXosIE4uPC9hdXRob3I+PGF1dGhvcj5Ub3Jy
ZWpvbiwgTS4gSi48L2F1dGhvcj48YXV0aG9yPk9ydGVnYSwgTS4gSS48L2F1dGhvcj48YXV0aG9y
PklsbGFuYSwgRi4gSi48L2F1dGhvcj48YXV0aG9yPlJ1bmtsZSwgSS48L2F1dGhvcj48YXV0aG9y
PmRlIE1pZ3VlbCwgTS4gUC48L2F1dGhvcj48YXV0aG9yPk1vbnRhbmV6LCBDLjwvYXV0aG9yPjxh
dXRob3I+QmFyYWJhc2gsIEEuPC9hdXRob3I+PGF1dGhvcj5DdWVzdGEsIE0uPC9hdXRob3I+PGF1
dGhvcj5SdWJpbywgTS4gQS48L2F1dGhvcj48YXV0aG9yPkNhbGxlLVBhc2N1YWwsIEEuIEwuPC9h
dXRob3I+PC9hdXRob3JzPjwvY29udHJpYnV0b3JzPjxhdXRoLWFkZHJlc3M+RW5kb2NyaW5vbG9n
eSBhbmQgTnV0cml0aW9uIERlcGFydG1lbnQsIEhvc3BpdGFsIENsaW5pY28gVW5pdmVyc2l0YXJp
byBTYW4gQ2FybG9zIGFuZCBJbnN0aXR1dG8gZGUgSW52ZXN0aWdhY2lvbiBTYW5pdGFyaWEgZGVs
IEhvc3BpdGFsIENsaW5pY28gU2FuIENhcmxvcyAoSWRJU1NDKSwgTWFkcmlkLCBTcGFpbi4mI3hE
O0ZhY3VsdGFkIGRlIE1lZGljaW5hLCBVbml2ZXJzaWRhZCBDb21wbHV0ZW5zZSBkZSBNYWRyaWQs
IE1hZHJpZCwgU3BhaW4uJiN4RDtDZW50cm8gZGUgSW52ZXN0aWdhY2lvbiBCaW9tZWRpY2EgZW4g
UmVkIGRlIERpYWJldGVzIHkgRW5mZXJtZWRhZGVzIE1ldGFib2xpY2FzIEFzb2NpYWRhcyAoQ0lC
RVJERU0pLCBNYWRyaWQsIFNwYWluLiYjeEQ7UHJldmVudGl2ZSBNZWRpY2luZSBEZXBhcnRtZW50
IEhvc3BpdGFsIENsaW5pY28gVW5pdmVyc2l0YXJpbyBTYW4gQ2FybG9zIGFuZCBJbnN0aXR1dG8g
ZGUgSW52ZXN0aWdhY2lvbiBTYW5pdGFyaWEgZGVsIEhvc3BpdGFsIENsaW5pY28gU2FuIENhcmxv
cyAoSWRJU1NDKSwgTWFkcmlkLCBTcGFpbi4mI3hEO0d5bmVjb2xvZ3kgYW5kIE9ic3RldHJpY3Mg
RGVwYXJ0bWVudCwgSG9zcGl0YWwgQ2xpbmljbyBVbml2ZXJzaXRhcmlvIFNhbiBDYXJsb3MgYW5k
IEluc3RpdHV0byBkZSBJbnZlc3RpZ2FjaW9uIFNhbml0YXJpYSBkZWwgSG9zcGl0YWwgQ2xpbmlj
byBTYW4gQ2FybG9zIChJZElTU0MpLCBNYWRyaWQsIFNwYWluLiYjeEQ7Q2xpbmljYWwgTGFib3Jh
dG9yeSBEZXBhcnRtZW50LCBIb3NwaXRhbCBDbGluaWNvIFVuaXZlcnNpdGFyaW8gU2FuIENhcmxv
cyBhbmQgSW5zdGl0dXRvIGRlIEludmVzdGlnYWNpb24gU2FuaXRhcmlhIGRlbCBIb3NwaXRhbCBD
bGluaWNvIFNhbiBDYXJsb3MgKElkSVNTQyksIE1hZHJpZCwgU3BhaW4uPC9hdXRoLWFkZHJlc3M+
PHRpdGxlcz48dGl0bGU+QSBNZWRpdGVycmFuZWFuIGRpZXQgd2l0aCBhZGRpdGlvbmFsIGV4dHJh
IHZpcmdpbiBvbGl2ZSBvaWwgYW5kIHBpc3RhY2hpb3MgcmVkdWNlcyB0aGUgaW5jaWRlbmNlIG9m
IGdlc3RhdGlvbmFsIGRpYWJldGVzIG1lbGxpdHVzIChHRE0pOiBBIHJhbmRvbWl6ZWQgY29udHJv
bGxlZCB0cmlhbDogVGhlIFN0LiBDYXJsb3MgR0RNIHByZXZlbnRpb24gc3R1ZHk8L3RpdGxlPjxz
ZWNvbmRhcnktdGl0bGU+UExvUyBPbmU8L3NlY29uZGFyeS10aXRsZT48L3RpdGxlcz48cGVyaW9k
aWNhbD48ZnVsbC10aXRsZT5QTG9TIE9uZTwvZnVsbC10aXRsZT48L3BlcmlvZGljYWw+PHBhZ2Vz
PmUwMTg1ODczPC9wYWdlcz48dm9sdW1lPjEyPC92b2x1bWU+PG51bWJlcj4xMDwvbnVtYmVyPjxl
ZGl0aW9uPjIwMTcvMTAvMjA8L2VkaXRpb24+PGtleXdvcmRzPjxrZXl3b3JkPkFkdWx0PC9rZXl3
b3JkPjxrZXl3b3JkPkRpYWJldGVzLCBHZXN0YXRpb25hbC8qZGlldCB0aGVyYXB5L2VwaWRlbWlv
bG9neTwva2V5d29yZD48a2V5d29yZD4qRGlldCwgTWVkaXRlcnJhbmVhbjwva2V5d29yZD48a2V5
d29yZD5GZW1hbGU8L2tleXdvcmQ+PGtleXdvcmQ+SHVtYW5zPC9rZXl3b3JkPjxrZXl3b3JkPklu
Y2lkZW5jZTwva2V5d29yZD48a2V5d29yZD5JbmZhbnQsIE5ld2Jvcm48L2tleXdvcmQ+PGtleXdv
cmQ+TGlmZSBTdHlsZTwva2V5d29yZD48a2V5d29yZD5PbGl2ZSBPaWwvKmFkbWluaXN0cmF0aW9u
ICZhbXA7IGRvc2FnZTwva2V5d29yZD48a2V5d29yZD4qUGlzdGFjaWE8L2tleXdvcmQ+PGtleXdv
cmQ+UHJlZ25hbmN5PC9rZXl3b3JkPjxrZXl3b3JkPlByZWduYW5jeSBPdXRjb21lPC9rZXl3b3Jk
PjxrZXl3b3JkPlByb3NwZWN0aXZlIFN0dWRpZXM8L2tleXdvcmQ+PC9rZXl3b3Jkcz48ZGF0ZXM+
PHllYXI+MjAxNzwveWVhcj48L2RhdGVzPjxpc2JuPjE5MzItNjIwMyAoRWxlY3Ryb25pYykmI3hE
OzE5MzItNjIwMyAoTGlua2luZyk8L2lzYm4+PGFjY2Vzc2lvbi1udW0+MjkwNDkzMDM8L2FjY2Vz
c2lvbi1udW0+PHVybHM+PHJlbGF0ZWQtdXJscz48dXJsPmh0dHBzOi8vd3d3Lm5jYmkubmxtLm5p
aC5nb3YvcHVibWVkLzI5MDQ5MzAzPC91cmw+PC9yZWxhdGVkLXVybHM+PC91cmxzPjxjdXN0b20y
PlBNQzU2NDgxMjg8L2N1c3RvbTI+PGVsZWN0cm9uaWMtcmVzb3VyY2UtbnVtPjEwLjEzNzEvam91
cm5hbC5wb25lLjAxODU4NzM8L2VsZWN0cm9uaWMtcmVzb3VyY2UtbnVtPjwvcmVjb3JkPjwvQ2l0
ZT48L0VuZE5vdGU+
</w:fldData>
        </w:fldChar>
      </w:r>
      <w:r w:rsidR="002747EA">
        <w:instrText xml:space="preserve"> ADDIN EN.CITE.DATA </w:instrText>
      </w:r>
      <w:r w:rsidR="002747EA">
        <w:fldChar w:fldCharType="end"/>
      </w:r>
      <w:r>
        <w:fldChar w:fldCharType="separate"/>
      </w:r>
      <w:r w:rsidR="002747EA" w:rsidRPr="002747EA">
        <w:rPr>
          <w:noProof/>
          <w:vertAlign w:val="superscript"/>
        </w:rPr>
        <w:t>43</w:t>
      </w:r>
      <w:r>
        <w:fldChar w:fldCharType="end"/>
      </w:r>
      <w:r>
        <w:t xml:space="preserve"> </w:t>
      </w:r>
      <w:r w:rsidR="002F09BB">
        <w:t xml:space="preserve">found a clear difference in </w:t>
      </w:r>
      <w:r w:rsidR="00092BBF">
        <w:t>risk</w:t>
      </w:r>
      <w:r w:rsidR="002F09BB">
        <w:t xml:space="preserve"> of gestational diabetes (</w:t>
      </w:r>
      <w:r w:rsidR="002F09BB" w:rsidRPr="002F09BB">
        <w:rPr>
          <w:sz w:val="16"/>
          <w:szCs w:val="16"/>
        </w:rPr>
        <w:t>aRR 0.75; 95%CI 0.57 to 0.98; p=0.039</w:t>
      </w:r>
      <w:r w:rsidR="002F09BB" w:rsidRPr="008930D8">
        <w:t>)</w:t>
      </w:r>
      <w:r w:rsidR="002F09BB">
        <w:t xml:space="preserve">. The intervention group also had </w:t>
      </w:r>
      <w:r w:rsidR="002F09BB" w:rsidRPr="002F09BB">
        <w:t xml:space="preserve">reduced rates of insulin-treated </w:t>
      </w:r>
      <w:r w:rsidR="002F09BB">
        <w:t>gestational diabetes</w:t>
      </w:r>
      <w:r w:rsidR="00092BBF">
        <w:t>, preterm birth</w:t>
      </w:r>
      <w:r w:rsidR="002F09BB" w:rsidRPr="002F09BB">
        <w:t xml:space="preserve">, emergency </w:t>
      </w:r>
      <w:r w:rsidR="002F09BB">
        <w:t>caesarean section</w:t>
      </w:r>
      <w:r w:rsidR="002F09BB" w:rsidRPr="002F09BB">
        <w:t xml:space="preserve">, perineal trauma, and </w:t>
      </w:r>
      <w:r w:rsidR="002F09BB">
        <w:t>small and large for gestational age</w:t>
      </w:r>
      <w:r w:rsidR="002F09BB" w:rsidRPr="002F09BB">
        <w:t xml:space="preserve"> newborns (</w:t>
      </w:r>
      <w:r w:rsidR="002F09BB" w:rsidRPr="00750DA3">
        <w:rPr>
          <w:sz w:val="16"/>
          <w:szCs w:val="16"/>
        </w:rPr>
        <w:t>all p&lt;0.05</w:t>
      </w:r>
      <w:r w:rsidR="002F09BB" w:rsidRPr="002F09BB">
        <w:t>).</w:t>
      </w:r>
    </w:p>
    <w:p w14:paraId="3B685446" w14:textId="28C75B07" w:rsidR="00A37C7D" w:rsidRPr="00A37C7D" w:rsidRDefault="004F7A33" w:rsidP="00FC5332">
      <w:r>
        <w:t>Post-hoc analysis of the RCT</w:t>
      </w:r>
      <w:r>
        <w:fldChar w:fldCharType="begin">
          <w:fldData xml:space="preserve">PEVuZE5vdGU+PENpdGU+PEF1dGhvcj5Bc3NhZi1CYWx1dDwvQXV0aG9yPjxZZWFyPjIwMTg8L1ll
YXI+PFJlY051bT4xMzM5PC9SZWNOdW0+PERpc3BsYXlUZXh0PjxzdHlsZSBmYWNlPSJzdXBlcnNj
cmlwdCIgZm9udD0iVHJlYnVjaGV0IE1TIiBzaXplPSI5Ij40NDwvc3R5bGU+PC9EaXNwbGF5VGV4
dD48cmVjb3JkPjxyZWMtbnVtYmVyPjEzMzk8L3JlYy1udW1iZXI+PGZvcmVpZ24ta2V5cz48a2V5
IGFwcD0iRU4iIGRiLWlkPSJleHZhc3JmeDJkdHJhb2VzYXN4cDJzenN4YTJkZjUwMjU5MngiIHRp
bWVzdGFtcD0iMTU2NzAzMDk1NSI+MTMzOTwva2V5PjxrZXkgYXBwPSJFTldlYiIgZGItaWQ9IiI+
MDwva2V5PjwvZm9yZWlnbi1rZXlzPjxyZWYtdHlwZSBuYW1lPSJKb3VybmFsIEFydGljbGUiPjE3
PC9yZWYtdHlwZT48Y29udHJpYnV0b3JzPjxhdXRob3JzPjxhdXRob3I+QXNzYWYtQmFsdXQsIEMu
PC9hdXRob3I+PGF1dGhvcj5HYXJjaWEgZGUgbGEgVG9ycmUsIE4uPC9hdXRob3I+PGF1dGhvcj5G
dWVudGVzLCBNLjwvYXV0aG9yPjxhdXRob3I+RHVyYW4sIEEuPC9hdXRob3I+PGF1dGhvcj5Cb3Jk
aXUsIEUuPC9hdXRob3I+PGF1dGhvcj5EZWwgVmFsbGUsIEwuPC9hdXRob3I+PGF1dGhvcj5WYWxl
cmlvLCBKLjwvYXV0aG9yPjxhdXRob3I+SmltZW5leiwgSS48L2F1dGhvcj48YXV0aG9yPkhlcnJh
aXosIE0uIEEuPC9hdXRob3I+PGF1dGhvcj5JenF1aWVyZG8sIE4uPC9hdXRob3I+PGF1dGhvcj5U
b3JyZWpvbiwgTS4gSi48L2F1dGhvcj48YXV0aG9yPmRlIE1pZ3VlbCwgTS4gUC48L2F1dGhvcj48
YXV0aG9yPkJhcmFiYXNoLCBBLjwvYXV0aG9yPjxhdXRob3I+Q3Vlc3RhLCBNLjwvYXV0aG9yPjxh
dXRob3I+UnViaW8sIE0uIEEuPC9hdXRob3I+PGF1dGhvcj5DYWxsZS1QYXNjdWFsLCBBLiBMLjwv
YXV0aG9yPjwvYXV0aG9ycz48L2NvbnRyaWJ1dG9ycz48YXV0aC1hZGRyZXNzPkVuZG9jcmlub2xv
Z3kgYW5kIE51dHJpdGlvbiBEZXBhcnRtZW50LCBIb3NwaXRhbCBDbGluaWNvIFNhbiBDYXJsb3Mg
YW5kIEluc3RpdHV0byBkZSBJbnZlc3RpZ2FjaW9uIFNhbml0YXJpYSBkZWwgSG9zcGl0YWwgQ2xp
bmljbyBTYW4gQ2FybG9zIChJZElTU0MpLCAyODA0MCBNYWRyaWQsIFNwYWluLiBjYXJsYWFzc2Fm
YmFsdXQ5MEBob3RtYWlsLmNvLnVrLiYjeEQ7RmFjdWx0eSBvZiBNZWRpY2luZSwgVW5pdmVyc2lk
YWQgQ29tcGx1dGVuc2UgZGUgTWFkcmlkLCAyODA0MCBNYWRyaWQsIFNwYWluLiBjYXJsYWFzc2Fm
YmFsdXQ5MEBob3RtYWlsLmNvLnVrLiYjeEQ7RW5kb2NyaW5vbG9neSBhbmQgTnV0cml0aW9uIERl
cGFydG1lbnQsIEhvc3BpdGFsIENsaW5pY28gU2FuIENhcmxvcyBhbmQgSW5zdGl0dXRvIGRlIElu
dmVzdGlnYWNpb24gU2FuaXRhcmlhIGRlbCBIb3NwaXRhbCBDbGluaWNvIFNhbiBDYXJsb3MgKElk
SVNTQyksIDI4MDQwIE1hZHJpZCwgU3BhaW4uIG51cmlhbG9ib0Bob3RtYWlsLmNvbS4mI3hEO1By
ZXZlbnRpdmUgTWVkaWNpbmUgRGVwYXJ0bWVudCwgSG9zcGl0YWwgQ2xpbmljbyBVbml2ZXJzaXRh
cmlvIFNhbiBDYXJsb3MgYW5kIEluc3RpdHV0byBkZSBJbnZlc3RpZ2FjaW9uIFNhbml0YXJpYSBk
ZWwgSG9zcGl0YWwgQ2xpbmljbyBTYW4gQ2FybG9zIChJZElTU0MpLCAyODA0MCBNYWRyaWQsIFNw
YWluLiBtZnVlbnRlc2ZlcnJlckBnbWFpbC5jb20uJiN4RDtFbmRvY3Jpbm9sb2d5IGFuZCBOdXRy
aXRpb24gRGVwYXJ0bWVudCwgSG9zcGl0YWwgQ2xpbmljbyBTYW4gQ2FybG9zIGFuZCBJbnN0aXR1
dG8gZGUgSW52ZXN0aWdhY2lvbiBTYW5pdGFyaWEgZGVsIEhvc3BpdGFsIENsaW5pY28gU2FuIENh
cmxvcyAoSWRJU1NDKSwgMjgwNDAgTWFkcmlkLCBTcGFpbi4gYWR1cmFucmhAaG90bWFpbC5jb20u
JiN4RDtGYWN1bHR5IG9mIE1lZGljaW5lLCBVbml2ZXJzaWRhZCBDb21wbHV0ZW5zZSBkZSBNYWRy
aWQsIDI4MDQwIE1hZHJpZCwgU3BhaW4uIGFkdXJhbnJoQGhvdG1haWwuY29tLiYjeEQ7RW5kb2Ny
aW5vbG9neSBhbmQgTnV0cml0aW9uIERlcGFydG1lbnQsIEhvc3BpdGFsIENsaW5pY28gU2FuIENh
cmxvcyBhbmQgSW5zdGl0dXRvIGRlIEludmVzdGlnYWNpb24gU2FuaXRhcmlhIGRlbCBIb3NwaXRh
bCBDbGluaWNvIFNhbiBDYXJsb3MgKElkSVNTQyksIDI4MDQwIE1hZHJpZCwgU3BhaW4uIGVsZW5h
LmJvcmRpdUBzYWx1ZC5tYWRyaWQub3JnLiYjeEQ7RmFjdWx0eSBvZiBNZWRpY2luZSwgVW5pdmVy
c2lkYWQgQ29tcGx1dGVuc2UgZGUgTWFkcmlkLCAyODA0MCBNYWRyaWQsIFNwYWluLiBlbGVuYS5i
b3JkaXVAc2FsdWQubWFkcmlkLm9yZy4mI3hEO0VuZG9jcmlub2xvZ3kgYW5kIE51dHJpdGlvbiBE
ZXBhcnRtZW50LCBIb3NwaXRhbCBDbGluaWNvIFNhbiBDYXJsb3MgYW5kIEluc3RpdHV0byBkZSBJ
bnZlc3RpZ2FjaW9uIFNhbml0YXJpYSBkZWwgSG9zcGl0YWwgQ2xpbmljbyBTYW4gQ2FybG9zIChJ
ZElTU0MpLCAyODA0MCBNYWRyaWQsIFNwYWluLiBsYXVyYWRlbF92YWxsZUBob3RtYWlsLmNvbS4m
I3hEO0VuZG9jcmlub2xvZ3kgYW5kIE51dHJpdGlvbiBEZXBhcnRtZW50LCBIb3NwaXRhbCBDbGlu
aWNvIFNhbiBDYXJsb3MgYW5kIEluc3RpdHV0byBkZSBJbnZlc3RpZ2FjaW9uIFNhbml0YXJpYSBk
ZWwgSG9zcGl0YWwgQ2xpbmljbyBTYW4gQ2FybG9zIChJZElTU0MpLCAyODA0MCBNYWRyaWQsIFNw
YWluLiB2YWxlcmlvam9oYW5uYUBnbWFpbC5jb20uJiN4RDtFbmRvY3Jpbm9sb2d5IGFuZCBOdXRy
aXRpb24gRGVwYXJ0bWVudCwgSG9zcGl0YWwgQ2xpbmljbyBTYW4gQ2FybG9zIGFuZCBJbnN0aXR1
dG8gZGUgSW52ZXN0aWdhY2lvbiBTYW5pdGFyaWEgZGVsIEhvc3BpdGFsIENsaW5pY28gU2FuIENh
cmxvcyAoSWRJU1NDKSwgMjgwNDAgTWFkcmlkLCBTcGFpbi4gaS5qaW1lbmV6LnZhcmFzQGdtYWls
LmNvbS4mI3hEO0ZhY3VsdHkgb2YgTWVkaWNpbmUsIFVuaXZlcnNpZGFkIENvbXBsdXRlbnNlIGRl
IE1hZHJpZCwgMjgwNDAgTWFkcmlkLCBTcGFpbi4gbWFoZXJyYWl6bUBnbWFpbC5jb20uJiN4RDtH
eW5lY29sb2d5IGFuZCBPYnN0ZXRyaWNzIERlcGFydG1lbnQsIEhvc3BpdGFsIENsaW5pY28gVW5p
dmVyc2l0YXJpbyBTYW4gQ2FybG9zIGFuZCBJbnN0aXR1dG8gZGUgSW52ZXN0aWdhY2lvbiBTYW5p
dGFyaWEgZGVsIEhvc3BpdGFsIENsaW5pY28gU2FuIENhcmxvcyAoSWRJU1NDKSwgMjgwNDAgTWFk
cmlkLCBTcGFpbi4gbWFoZXJyYWl6bUBnbWFpbC5jb20uJiN4RDtGYWN1bHR5IG9mIE1lZGljaW5l
LCBVbml2ZXJzaWRhZCBDb21wbHV0ZW5zZSBkZSBNYWRyaWQsIDI4MDQwIE1hZHJpZCwgU3BhaW4u
IG51cmlhaXpxdWllcmRvNEBnbWFpbC5jb20uJiN4RDtHeW5lY29sb2d5IGFuZCBPYnN0ZXRyaWNz
IERlcGFydG1lbnQsIEhvc3BpdGFsIENsaW5pY28gVW5pdmVyc2l0YXJpbyBTYW4gQ2FybG9zIGFu
ZCBJbnN0aXR1dG8gZGUgSW52ZXN0aWdhY2lvbiBTYW5pdGFyaWEgZGVsIEhvc3BpdGFsIENsaW5p
Y28gU2FuIENhcmxvcyAoSWRJU1NDKSwgMjgwNDAgTWFkcmlkLCBTcGFpbi4gbnVyaWFpenF1aWVy
ZG80QGdtYWlsLmNvbS4mI3hEO0NsaW5pY2FsIExhYm9yYXRvcnkgRGVwYXJ0bWVudCwgSG9zcGl0
YWwgQ2xpbmljbyBVbml2ZXJzaXRhcmlvIFNhbiBDYXJsb3MgYW5kIEluc3RpdHV0byBkZSBJbnZl
c3RpZ2FjaW9uIFNhbml0YXJpYSBkZWwgSG9zcGl0YWwgQ2xpbmljbyBTYW4gQ2FybG9zIChJZElT
U0MpLCAyODA0MCBNYWRyaWQsIFNwYWluLiBtam9zZXRvcnJlam9uQGdtYWlsLmNvbS4mI3hEO0Vu
ZG9jcmlub2xvZ3kgYW5kIE51dHJpdGlvbiBEZXBhcnRtZW50LCBIb3NwaXRhbCBDbGluaWNvIFNh
biBDYXJsb3MgYW5kIEluc3RpdHV0byBkZSBJbnZlc3RpZ2FjaW9uIFNhbml0YXJpYSBkZWwgSG9z
cGl0YWwgQ2xpbmljbyBTYW4gQ2FybG9zIChJZElTU0MpLCAyODA0MCBNYWRyaWQsIFNwYWluLiBw
YXpkZW1pZ3VlbEB0ZWxlZm9uaWNhLm5ldC4mI3hEO0ZhY3VsdHkgb2YgTWVkaWNpbmUsIFVuaXZl
cnNpZGFkIENvbXBsdXRlbnNlIGRlIE1hZHJpZCwgMjgwNDAgTWFkcmlkLCBTcGFpbi4gcGF6ZGVt
aWd1ZWxAdGVsZWZvbmljYS5uZXQuJiN4RDtFbmRvY3Jpbm9sb2d5IGFuZCBOdXRyaXRpb24gRGVw
YXJ0bWVudCwgSG9zcGl0YWwgQ2xpbmljbyBTYW4gQ2FybG9zIGFuZCBJbnN0aXR1dG8gZGUgSW52
ZXN0aWdhY2lvbiBTYW5pdGFyaWEgZGVsIEhvc3BpdGFsIENsaW5pY28gU2FuIENhcmxvcyAoSWRJ
U1NDKSwgMjgwNDAgTWFkcmlkLCBTcGFpbi4gYW5hLmJhcmFiYXNoQGdtYWlsLmNvbS4mI3hEO0Nl
bnRybyBkZSBJbnZlc3RpZ2FjaW9uIEJpb21lZGljYSBlbiBSZWQgZGUgRGlhYmV0ZXMgeSBFbmZl
cm1lZGFkZXMgTWV0YWJvbGljYXMgQXNvY2lhZGFzIChDSUJFUkRFTSksIDI4MDQwIE1hZHJpZCwg
U3BhaW4uIGFuYS5iYXJhYmFzaEBnbWFpbC5jb20uJiN4RDtFbmRvY3Jpbm9sb2d5IGFuZCBOdXRy
aXRpb24gRGVwYXJ0bWVudCwgSG9zcGl0YWwgQ2xpbmljbyBTYW4gQ2FybG9zIGFuZCBJbnN0aXR1
dG8gZGUgSW52ZXN0aWdhY2lvbiBTYW5pdGFyaWEgZGVsIEhvc3BpdGFsIENsaW5pY28gU2FuIENh
cmxvcyAoSWRJU1NDKSwgMjgwNDAgTWFkcmlkLCBTcGFpbi4gY3Vlc3RhbWFydGludHV0b3JAZ21h
aWwuY29tLiYjeEQ7Q2VudHJvIGRlIEludmVzdGlnYWNpb24gQmlvbWVkaWNhIGVuIFJlZCBkZSBE
aWFiZXRlcyB5IEVuZmVybWVkYWRlcyBNZXRhYm9saWNhcyBBc29jaWFkYXMgKENJQkVSREVNKSwg
MjgwNDAgTWFkcmlkLCBTcGFpbi4gY3Vlc3RhbWFydGludHV0b3JAZ21haWwuY29tLiYjeEQ7RW5k
b2NyaW5vbG9neSBhbmQgTnV0cml0aW9uIERlcGFydG1lbnQsIEhvc3BpdGFsIENsaW5pY28gU2Fu
IENhcmxvcyBhbmQgSW5zdGl0dXRvIGRlIEludmVzdGlnYWNpb24gU2FuaXRhcmlhIGRlbCBIb3Nw
aXRhbCBDbGluaWNvIFNhbiBDYXJsb3MgKElkSVNTQyksIDI4MDQwIE1hZHJpZCwgU3BhaW4uIG1h
cnViaW9oQGdtYWlsLmNvbS4mI3hEO0ZhY3VsdHkgb2YgTWVkaWNpbmUsIFVuaXZlcnNpZGFkIENv
bXBsdXRlbnNlIGRlIE1hZHJpZCwgMjgwNDAgTWFkcmlkLCBTcGFpbi4gbWFydWJpb2hAZ21haWwu
Y29tLiYjeEQ7RW5kb2NyaW5vbG9neSBhbmQgTnV0cml0aW9uIERlcGFydG1lbnQsIEhvc3BpdGFs
IENsaW5pY28gU2FuIENhcmxvcyBhbmQgSW5zdGl0dXRvIGRlIEludmVzdGlnYWNpb24gU2FuaXRh
cmlhIGRlbCBIb3NwaXRhbCBDbGluaWNvIFNhbiBDYXJsb3MgKElkSVNTQyksIDI4MDQwIE1hZHJp
ZCwgU3BhaW4uIGFjYWxsZS5lZHVAZ21haWwuY29tLiYjeEQ7RmFjdWx0eSBvZiBNZWRpY2luZSwg
VW5pdmVyc2lkYWQgQ29tcGx1dGVuc2UgZGUgTWFkcmlkLCAyODA0MCBNYWRyaWQsIFNwYWluLiBh
Y2FsbGUuZWR1QGdtYWlsLmNvbS4mI3hEO0NlbnRybyBkZSBJbnZlc3RpZ2FjaW9uIEJpb21lZGlj
YSBlbiBSZWQgZGUgRGlhYmV0ZXMgeSBFbmZlcm1lZGFkZXMgTWV0YWJvbGljYXMgQXNvY2lhZGFz
IChDSUJFUkRFTSksIDI4MDQwIE1hZHJpZCwgU3BhaW4uIGFjYWxsZS5lZHVAZ21haWwuY29tLjwv
YXV0aC1hZGRyZXNzPjx0aXRsZXM+PHRpdGxlPkEgaGlnaCBhZGhlcmVuY2UgdG8gc2l4IGZvb2Qg
dGFyZ2V0cyBvZiB0aGUgTWVkaXRlcnJhbmVhbiBkaWV0IGluIHRoZSBsYXRlIGZpcnN0IHRyaW1l
c3RlciBpcyBhc3NvY2lhdGVkIHdpdGggYSByZWR1Y3Rpb24gaW4gdGhlIHJpc2sgb2YgbWF0ZXJu
by1mb2V0YWwgb3V0Y29tZXM6IFRoZSBTdC4gQ2FybG9zIEdlc3RhdGlvbmFsIERpYWJldGVzIE1l
bGxpdHVzIFByZXZlbnRpb24gU3R1ZHk8L3RpdGxlPjxzZWNvbmRhcnktdGl0bGU+TnV0cmllbnRz
PC9zZWNvbmRhcnktdGl0bGU+PC90aXRsZXM+PHBlcmlvZGljYWw+PGZ1bGwtdGl0bGU+TnV0cmll
bnRzPC9mdWxsLXRpdGxlPjwvcGVyaW9kaWNhbD48dm9sdW1lPjExPC92b2x1bWU+PG51bWJlcj4x
PC9udW1iZXI+PGVkaXRpb24+MjAxOS8wMS8wNDwvZWRpdGlvbj48a2V5d29yZHM+PGtleXdvcmQ+
QWR1bHQ8L2tleXdvcmQ+PGtleXdvcmQ+RGlhYmV0ZXMsIEdlc3RhdGlvbmFsL3ByZXZlbnRpb24g
JmFtcDsgY29udHJvbDwva2V5d29yZD48a2V5d29yZD5EaWV0L2FkdmVyc2UgZWZmZWN0czwva2V5
d29yZD48a2V5d29yZD4qRGlldCwgTWVkaXRlcnJhbmVhbjwva2V5d29yZD48a2V5d29yZD5GZW1h
bGU8L2tleXdvcmQ+PGtleXdvcmQ+SHVtYW5zPC9rZXl3b3JkPjxrZXl3b3JkPk1hdGVybmFsIEV4
cG9zdXJlL2FkdmVyc2UgZWZmZWN0czwva2V5d29yZD48a2V5d29yZD4qTWF0ZXJuYWwgTnV0cml0
aW9uYWwgUGh5c2lvbG9naWNhbCBQaGVub21lbmE8L2tleXdvcmQ+PGtleXdvcmQ+UHJlZ25hbmN5
PC9rZXl3b3JkPjxrZXl3b3JkPipQcmVnbmFuY3kgVHJpbWVzdGVyLCBGaXJzdDwva2V5d29yZD48
a2V5d29yZD5QcmVuYXRhbCBDYXJlLyptZXRob2RzPC9rZXl3b3JkPjxrZXl3b3JkPlByZW5hdGFs
IEV4cG9zdXJlIERlbGF5ZWQgRWZmZWN0cy9ldGlvbG9neS8qcHJldmVudGlvbiAmYW1wOyBjb250
cm9sPC9rZXl3b3JkPjxrZXl3b3JkPlJpc2sgRmFjdG9yczwva2V5d29yZD48a2V5d29yZD5NZWRE
aWV0PC9rZXl3b3JkPjxrZXl3b3JkPmRpZXRhcnkgcGF0dGVybnM8L2tleXdvcmQ+PGtleXdvcmQ+
Z2VzdGF0aW9uYWwgZGlhYmV0ZXM8L2tleXdvcmQ+PGtleXdvcmQ+bWF0ZXJub2ZvZXRhbCBvdXRj
b21lczwva2V5d29yZD48a2V5d29yZD5udXRyaXRpb248L2tleXdvcmQ+PC9rZXl3b3Jkcz48ZGF0
ZXM+PHllYXI+MjAxODwveWVhcj48cHViLWRhdGVzPjxkYXRlPkRlYyAzMTwvZGF0ZT48L3B1Yi1k
YXRlcz48L2RhdGVzPjxpc2JuPjIwNzItNjY0MyAoRWxlY3Ryb25pYykmI3hEOzIwNzItNjY0MyAo
TGlua2luZyk8L2lzYm4+PGFjY2Vzc2lvbi1udW0+MzA2MDI2ODg8L2FjY2Vzc2lvbi1udW0+PHVy
bHM+PHJlbGF0ZWQtdXJscz48dXJsPmh0dHBzOi8vd3d3Lm5jYmkubmxtLm5paC5nb3YvcHVibWVk
LzMwNjAyNjg4PC91cmw+PC9yZWxhdGVkLXVybHM+PC91cmxzPjxjdXN0b20yPlBNQzYzNTYzMTc8
L2N1c3RvbTI+PGVsZWN0cm9uaWMtcmVzb3VyY2UtbnVtPjEwLjMzOTAvbnUxMTAxMDA2NjwvZWxl
Y3Ryb25pYy1yZXNvdXJjZS1udW0+PC9yZWNvcmQ+PC9DaXRlPjwvRW5kTm90ZT4A
</w:fldData>
        </w:fldChar>
      </w:r>
      <w:r w:rsidR="002747EA">
        <w:instrText xml:space="preserve"> ADDIN EN.CITE </w:instrText>
      </w:r>
      <w:r w:rsidR="002747EA">
        <w:fldChar w:fldCharType="begin">
          <w:fldData xml:space="preserve">PEVuZE5vdGU+PENpdGU+PEF1dGhvcj5Bc3NhZi1CYWx1dDwvQXV0aG9yPjxZZWFyPjIwMTg8L1ll
YXI+PFJlY051bT4xMzM5PC9SZWNOdW0+PERpc3BsYXlUZXh0PjxzdHlsZSBmYWNlPSJzdXBlcnNj
cmlwdCIgZm9udD0iVHJlYnVjaGV0IE1TIiBzaXplPSI5Ij40NDwvc3R5bGU+PC9EaXNwbGF5VGV4
dD48cmVjb3JkPjxyZWMtbnVtYmVyPjEzMzk8L3JlYy1udW1iZXI+PGZvcmVpZ24ta2V5cz48a2V5
IGFwcD0iRU4iIGRiLWlkPSJleHZhc3JmeDJkdHJhb2VzYXN4cDJzenN4YTJkZjUwMjU5MngiIHRp
bWVzdGFtcD0iMTU2NzAzMDk1NSI+MTMzOTwva2V5PjxrZXkgYXBwPSJFTldlYiIgZGItaWQ9IiI+
MDwva2V5PjwvZm9yZWlnbi1rZXlzPjxyZWYtdHlwZSBuYW1lPSJKb3VybmFsIEFydGljbGUiPjE3
PC9yZWYtdHlwZT48Y29udHJpYnV0b3JzPjxhdXRob3JzPjxhdXRob3I+QXNzYWYtQmFsdXQsIEMu
PC9hdXRob3I+PGF1dGhvcj5HYXJjaWEgZGUgbGEgVG9ycmUsIE4uPC9hdXRob3I+PGF1dGhvcj5G
dWVudGVzLCBNLjwvYXV0aG9yPjxhdXRob3I+RHVyYW4sIEEuPC9hdXRob3I+PGF1dGhvcj5Cb3Jk
aXUsIEUuPC9hdXRob3I+PGF1dGhvcj5EZWwgVmFsbGUsIEwuPC9hdXRob3I+PGF1dGhvcj5WYWxl
cmlvLCBKLjwvYXV0aG9yPjxhdXRob3I+SmltZW5leiwgSS48L2F1dGhvcj48YXV0aG9yPkhlcnJh
aXosIE0uIEEuPC9hdXRob3I+PGF1dGhvcj5JenF1aWVyZG8sIE4uPC9hdXRob3I+PGF1dGhvcj5U
b3JyZWpvbiwgTS4gSi48L2F1dGhvcj48YXV0aG9yPmRlIE1pZ3VlbCwgTS4gUC48L2F1dGhvcj48
YXV0aG9yPkJhcmFiYXNoLCBBLjwvYXV0aG9yPjxhdXRob3I+Q3Vlc3RhLCBNLjwvYXV0aG9yPjxh
dXRob3I+UnViaW8sIE0uIEEuPC9hdXRob3I+PGF1dGhvcj5DYWxsZS1QYXNjdWFsLCBBLiBMLjwv
YXV0aG9yPjwvYXV0aG9ycz48L2NvbnRyaWJ1dG9ycz48YXV0aC1hZGRyZXNzPkVuZG9jcmlub2xv
Z3kgYW5kIE51dHJpdGlvbiBEZXBhcnRtZW50LCBIb3NwaXRhbCBDbGluaWNvIFNhbiBDYXJsb3Mg
YW5kIEluc3RpdHV0byBkZSBJbnZlc3RpZ2FjaW9uIFNhbml0YXJpYSBkZWwgSG9zcGl0YWwgQ2xp
bmljbyBTYW4gQ2FybG9zIChJZElTU0MpLCAyODA0MCBNYWRyaWQsIFNwYWluLiBjYXJsYWFzc2Fm
YmFsdXQ5MEBob3RtYWlsLmNvLnVrLiYjeEQ7RmFjdWx0eSBvZiBNZWRpY2luZSwgVW5pdmVyc2lk
YWQgQ29tcGx1dGVuc2UgZGUgTWFkcmlkLCAyODA0MCBNYWRyaWQsIFNwYWluLiBjYXJsYWFzc2Fm
YmFsdXQ5MEBob3RtYWlsLmNvLnVrLiYjeEQ7RW5kb2NyaW5vbG9neSBhbmQgTnV0cml0aW9uIERl
cGFydG1lbnQsIEhvc3BpdGFsIENsaW5pY28gU2FuIENhcmxvcyBhbmQgSW5zdGl0dXRvIGRlIElu
dmVzdGlnYWNpb24gU2FuaXRhcmlhIGRlbCBIb3NwaXRhbCBDbGluaWNvIFNhbiBDYXJsb3MgKElk
SVNTQyksIDI4MDQwIE1hZHJpZCwgU3BhaW4uIG51cmlhbG9ib0Bob3RtYWlsLmNvbS4mI3hEO1By
ZXZlbnRpdmUgTWVkaWNpbmUgRGVwYXJ0bWVudCwgSG9zcGl0YWwgQ2xpbmljbyBVbml2ZXJzaXRh
cmlvIFNhbiBDYXJsb3MgYW5kIEluc3RpdHV0byBkZSBJbnZlc3RpZ2FjaW9uIFNhbml0YXJpYSBk
ZWwgSG9zcGl0YWwgQ2xpbmljbyBTYW4gQ2FybG9zIChJZElTU0MpLCAyODA0MCBNYWRyaWQsIFNw
YWluLiBtZnVlbnRlc2ZlcnJlckBnbWFpbC5jb20uJiN4RDtFbmRvY3Jpbm9sb2d5IGFuZCBOdXRy
aXRpb24gRGVwYXJ0bWVudCwgSG9zcGl0YWwgQ2xpbmljbyBTYW4gQ2FybG9zIGFuZCBJbnN0aXR1
dG8gZGUgSW52ZXN0aWdhY2lvbiBTYW5pdGFyaWEgZGVsIEhvc3BpdGFsIENsaW5pY28gU2FuIENh
cmxvcyAoSWRJU1NDKSwgMjgwNDAgTWFkcmlkLCBTcGFpbi4gYWR1cmFucmhAaG90bWFpbC5jb20u
JiN4RDtGYWN1bHR5IG9mIE1lZGljaW5lLCBVbml2ZXJzaWRhZCBDb21wbHV0ZW5zZSBkZSBNYWRy
aWQsIDI4MDQwIE1hZHJpZCwgU3BhaW4uIGFkdXJhbnJoQGhvdG1haWwuY29tLiYjeEQ7RW5kb2Ny
aW5vbG9neSBhbmQgTnV0cml0aW9uIERlcGFydG1lbnQsIEhvc3BpdGFsIENsaW5pY28gU2FuIENh
cmxvcyBhbmQgSW5zdGl0dXRvIGRlIEludmVzdGlnYWNpb24gU2FuaXRhcmlhIGRlbCBIb3NwaXRh
bCBDbGluaWNvIFNhbiBDYXJsb3MgKElkSVNTQyksIDI4MDQwIE1hZHJpZCwgU3BhaW4uIGVsZW5h
LmJvcmRpdUBzYWx1ZC5tYWRyaWQub3JnLiYjeEQ7RmFjdWx0eSBvZiBNZWRpY2luZSwgVW5pdmVy
c2lkYWQgQ29tcGx1dGVuc2UgZGUgTWFkcmlkLCAyODA0MCBNYWRyaWQsIFNwYWluLiBlbGVuYS5i
b3JkaXVAc2FsdWQubWFkcmlkLm9yZy4mI3hEO0VuZG9jcmlub2xvZ3kgYW5kIE51dHJpdGlvbiBE
ZXBhcnRtZW50LCBIb3NwaXRhbCBDbGluaWNvIFNhbiBDYXJsb3MgYW5kIEluc3RpdHV0byBkZSBJ
bnZlc3RpZ2FjaW9uIFNhbml0YXJpYSBkZWwgSG9zcGl0YWwgQ2xpbmljbyBTYW4gQ2FybG9zIChJ
ZElTU0MpLCAyODA0MCBNYWRyaWQsIFNwYWluLiBsYXVyYWRlbF92YWxsZUBob3RtYWlsLmNvbS4m
I3hEO0VuZG9jcmlub2xvZ3kgYW5kIE51dHJpdGlvbiBEZXBhcnRtZW50LCBIb3NwaXRhbCBDbGlu
aWNvIFNhbiBDYXJsb3MgYW5kIEluc3RpdHV0byBkZSBJbnZlc3RpZ2FjaW9uIFNhbml0YXJpYSBk
ZWwgSG9zcGl0YWwgQ2xpbmljbyBTYW4gQ2FybG9zIChJZElTU0MpLCAyODA0MCBNYWRyaWQsIFNw
YWluLiB2YWxlcmlvam9oYW5uYUBnbWFpbC5jb20uJiN4RDtFbmRvY3Jpbm9sb2d5IGFuZCBOdXRy
aXRpb24gRGVwYXJ0bWVudCwgSG9zcGl0YWwgQ2xpbmljbyBTYW4gQ2FybG9zIGFuZCBJbnN0aXR1
dG8gZGUgSW52ZXN0aWdhY2lvbiBTYW5pdGFyaWEgZGVsIEhvc3BpdGFsIENsaW5pY28gU2FuIENh
cmxvcyAoSWRJU1NDKSwgMjgwNDAgTWFkcmlkLCBTcGFpbi4gaS5qaW1lbmV6LnZhcmFzQGdtYWls
LmNvbS4mI3hEO0ZhY3VsdHkgb2YgTWVkaWNpbmUsIFVuaXZlcnNpZGFkIENvbXBsdXRlbnNlIGRl
IE1hZHJpZCwgMjgwNDAgTWFkcmlkLCBTcGFpbi4gbWFoZXJyYWl6bUBnbWFpbC5jb20uJiN4RDtH
eW5lY29sb2d5IGFuZCBPYnN0ZXRyaWNzIERlcGFydG1lbnQsIEhvc3BpdGFsIENsaW5pY28gVW5p
dmVyc2l0YXJpbyBTYW4gQ2FybG9zIGFuZCBJbnN0aXR1dG8gZGUgSW52ZXN0aWdhY2lvbiBTYW5p
dGFyaWEgZGVsIEhvc3BpdGFsIENsaW5pY28gU2FuIENhcmxvcyAoSWRJU1NDKSwgMjgwNDAgTWFk
cmlkLCBTcGFpbi4gbWFoZXJyYWl6bUBnbWFpbC5jb20uJiN4RDtGYWN1bHR5IG9mIE1lZGljaW5l
LCBVbml2ZXJzaWRhZCBDb21wbHV0ZW5zZSBkZSBNYWRyaWQsIDI4MDQwIE1hZHJpZCwgU3BhaW4u
IG51cmlhaXpxdWllcmRvNEBnbWFpbC5jb20uJiN4RDtHeW5lY29sb2d5IGFuZCBPYnN0ZXRyaWNz
IERlcGFydG1lbnQsIEhvc3BpdGFsIENsaW5pY28gVW5pdmVyc2l0YXJpbyBTYW4gQ2FybG9zIGFu
ZCBJbnN0aXR1dG8gZGUgSW52ZXN0aWdhY2lvbiBTYW5pdGFyaWEgZGVsIEhvc3BpdGFsIENsaW5p
Y28gU2FuIENhcmxvcyAoSWRJU1NDKSwgMjgwNDAgTWFkcmlkLCBTcGFpbi4gbnVyaWFpenF1aWVy
ZG80QGdtYWlsLmNvbS4mI3hEO0NsaW5pY2FsIExhYm9yYXRvcnkgRGVwYXJ0bWVudCwgSG9zcGl0
YWwgQ2xpbmljbyBVbml2ZXJzaXRhcmlvIFNhbiBDYXJsb3MgYW5kIEluc3RpdHV0byBkZSBJbnZl
c3RpZ2FjaW9uIFNhbml0YXJpYSBkZWwgSG9zcGl0YWwgQ2xpbmljbyBTYW4gQ2FybG9zIChJZElT
U0MpLCAyODA0MCBNYWRyaWQsIFNwYWluLiBtam9zZXRvcnJlam9uQGdtYWlsLmNvbS4mI3hEO0Vu
ZG9jcmlub2xvZ3kgYW5kIE51dHJpdGlvbiBEZXBhcnRtZW50LCBIb3NwaXRhbCBDbGluaWNvIFNh
biBDYXJsb3MgYW5kIEluc3RpdHV0byBkZSBJbnZlc3RpZ2FjaW9uIFNhbml0YXJpYSBkZWwgSG9z
cGl0YWwgQ2xpbmljbyBTYW4gQ2FybG9zIChJZElTU0MpLCAyODA0MCBNYWRyaWQsIFNwYWluLiBw
YXpkZW1pZ3VlbEB0ZWxlZm9uaWNhLm5ldC4mI3hEO0ZhY3VsdHkgb2YgTWVkaWNpbmUsIFVuaXZl
cnNpZGFkIENvbXBsdXRlbnNlIGRlIE1hZHJpZCwgMjgwNDAgTWFkcmlkLCBTcGFpbi4gcGF6ZGVt
aWd1ZWxAdGVsZWZvbmljYS5uZXQuJiN4RDtFbmRvY3Jpbm9sb2d5IGFuZCBOdXRyaXRpb24gRGVw
YXJ0bWVudCwgSG9zcGl0YWwgQ2xpbmljbyBTYW4gQ2FybG9zIGFuZCBJbnN0aXR1dG8gZGUgSW52
ZXN0aWdhY2lvbiBTYW5pdGFyaWEgZGVsIEhvc3BpdGFsIENsaW5pY28gU2FuIENhcmxvcyAoSWRJ
U1NDKSwgMjgwNDAgTWFkcmlkLCBTcGFpbi4gYW5hLmJhcmFiYXNoQGdtYWlsLmNvbS4mI3hEO0Nl
bnRybyBkZSBJbnZlc3RpZ2FjaW9uIEJpb21lZGljYSBlbiBSZWQgZGUgRGlhYmV0ZXMgeSBFbmZl
cm1lZGFkZXMgTWV0YWJvbGljYXMgQXNvY2lhZGFzIChDSUJFUkRFTSksIDI4MDQwIE1hZHJpZCwg
U3BhaW4uIGFuYS5iYXJhYmFzaEBnbWFpbC5jb20uJiN4RDtFbmRvY3Jpbm9sb2d5IGFuZCBOdXRy
aXRpb24gRGVwYXJ0bWVudCwgSG9zcGl0YWwgQ2xpbmljbyBTYW4gQ2FybG9zIGFuZCBJbnN0aXR1
dG8gZGUgSW52ZXN0aWdhY2lvbiBTYW5pdGFyaWEgZGVsIEhvc3BpdGFsIENsaW5pY28gU2FuIENh
cmxvcyAoSWRJU1NDKSwgMjgwNDAgTWFkcmlkLCBTcGFpbi4gY3Vlc3RhbWFydGludHV0b3JAZ21h
aWwuY29tLiYjeEQ7Q2VudHJvIGRlIEludmVzdGlnYWNpb24gQmlvbWVkaWNhIGVuIFJlZCBkZSBE
aWFiZXRlcyB5IEVuZmVybWVkYWRlcyBNZXRhYm9saWNhcyBBc29jaWFkYXMgKENJQkVSREVNKSwg
MjgwNDAgTWFkcmlkLCBTcGFpbi4gY3Vlc3RhbWFydGludHV0b3JAZ21haWwuY29tLiYjeEQ7RW5k
b2NyaW5vbG9neSBhbmQgTnV0cml0aW9uIERlcGFydG1lbnQsIEhvc3BpdGFsIENsaW5pY28gU2Fu
IENhcmxvcyBhbmQgSW5zdGl0dXRvIGRlIEludmVzdGlnYWNpb24gU2FuaXRhcmlhIGRlbCBIb3Nw
aXRhbCBDbGluaWNvIFNhbiBDYXJsb3MgKElkSVNTQyksIDI4MDQwIE1hZHJpZCwgU3BhaW4uIG1h
cnViaW9oQGdtYWlsLmNvbS4mI3hEO0ZhY3VsdHkgb2YgTWVkaWNpbmUsIFVuaXZlcnNpZGFkIENv
bXBsdXRlbnNlIGRlIE1hZHJpZCwgMjgwNDAgTWFkcmlkLCBTcGFpbi4gbWFydWJpb2hAZ21haWwu
Y29tLiYjeEQ7RW5kb2NyaW5vbG9neSBhbmQgTnV0cml0aW9uIERlcGFydG1lbnQsIEhvc3BpdGFs
IENsaW5pY28gU2FuIENhcmxvcyBhbmQgSW5zdGl0dXRvIGRlIEludmVzdGlnYWNpb24gU2FuaXRh
cmlhIGRlbCBIb3NwaXRhbCBDbGluaWNvIFNhbiBDYXJsb3MgKElkSVNTQyksIDI4MDQwIE1hZHJp
ZCwgU3BhaW4uIGFjYWxsZS5lZHVAZ21haWwuY29tLiYjeEQ7RmFjdWx0eSBvZiBNZWRpY2luZSwg
VW5pdmVyc2lkYWQgQ29tcGx1dGVuc2UgZGUgTWFkcmlkLCAyODA0MCBNYWRyaWQsIFNwYWluLiBh
Y2FsbGUuZWR1QGdtYWlsLmNvbS4mI3hEO0NlbnRybyBkZSBJbnZlc3RpZ2FjaW9uIEJpb21lZGlj
YSBlbiBSZWQgZGUgRGlhYmV0ZXMgeSBFbmZlcm1lZGFkZXMgTWV0YWJvbGljYXMgQXNvY2lhZGFz
IChDSUJFUkRFTSksIDI4MDQwIE1hZHJpZCwgU3BhaW4uIGFjYWxsZS5lZHVAZ21haWwuY29tLjwv
YXV0aC1hZGRyZXNzPjx0aXRsZXM+PHRpdGxlPkEgaGlnaCBhZGhlcmVuY2UgdG8gc2l4IGZvb2Qg
dGFyZ2V0cyBvZiB0aGUgTWVkaXRlcnJhbmVhbiBkaWV0IGluIHRoZSBsYXRlIGZpcnN0IHRyaW1l
c3RlciBpcyBhc3NvY2lhdGVkIHdpdGggYSByZWR1Y3Rpb24gaW4gdGhlIHJpc2sgb2YgbWF0ZXJu
by1mb2V0YWwgb3V0Y29tZXM6IFRoZSBTdC4gQ2FybG9zIEdlc3RhdGlvbmFsIERpYWJldGVzIE1l
bGxpdHVzIFByZXZlbnRpb24gU3R1ZHk8L3RpdGxlPjxzZWNvbmRhcnktdGl0bGU+TnV0cmllbnRz
PC9zZWNvbmRhcnktdGl0bGU+PC90aXRsZXM+PHBlcmlvZGljYWw+PGZ1bGwtdGl0bGU+TnV0cmll
bnRzPC9mdWxsLXRpdGxlPjwvcGVyaW9kaWNhbD48dm9sdW1lPjExPC92b2x1bWU+PG51bWJlcj4x
PC9udW1iZXI+PGVkaXRpb24+MjAxOS8wMS8wNDwvZWRpdGlvbj48a2V5d29yZHM+PGtleXdvcmQ+
QWR1bHQ8L2tleXdvcmQ+PGtleXdvcmQ+RGlhYmV0ZXMsIEdlc3RhdGlvbmFsL3ByZXZlbnRpb24g
JmFtcDsgY29udHJvbDwva2V5d29yZD48a2V5d29yZD5EaWV0L2FkdmVyc2UgZWZmZWN0czwva2V5
d29yZD48a2V5d29yZD4qRGlldCwgTWVkaXRlcnJhbmVhbjwva2V5d29yZD48a2V5d29yZD5GZW1h
bGU8L2tleXdvcmQ+PGtleXdvcmQ+SHVtYW5zPC9rZXl3b3JkPjxrZXl3b3JkPk1hdGVybmFsIEV4
cG9zdXJlL2FkdmVyc2UgZWZmZWN0czwva2V5d29yZD48a2V5d29yZD4qTWF0ZXJuYWwgTnV0cml0
aW9uYWwgUGh5c2lvbG9naWNhbCBQaGVub21lbmE8L2tleXdvcmQ+PGtleXdvcmQ+UHJlZ25hbmN5
PC9rZXl3b3JkPjxrZXl3b3JkPipQcmVnbmFuY3kgVHJpbWVzdGVyLCBGaXJzdDwva2V5d29yZD48
a2V5d29yZD5QcmVuYXRhbCBDYXJlLyptZXRob2RzPC9rZXl3b3JkPjxrZXl3b3JkPlByZW5hdGFs
IEV4cG9zdXJlIERlbGF5ZWQgRWZmZWN0cy9ldGlvbG9neS8qcHJldmVudGlvbiAmYW1wOyBjb250
cm9sPC9rZXl3b3JkPjxrZXl3b3JkPlJpc2sgRmFjdG9yczwva2V5d29yZD48a2V5d29yZD5NZWRE
aWV0PC9rZXl3b3JkPjxrZXl3b3JkPmRpZXRhcnkgcGF0dGVybnM8L2tleXdvcmQ+PGtleXdvcmQ+
Z2VzdGF0aW9uYWwgZGlhYmV0ZXM8L2tleXdvcmQ+PGtleXdvcmQ+bWF0ZXJub2ZvZXRhbCBvdXRj
b21lczwva2V5d29yZD48a2V5d29yZD5udXRyaXRpb248L2tleXdvcmQ+PC9rZXl3b3Jkcz48ZGF0
ZXM+PHllYXI+MjAxODwveWVhcj48cHViLWRhdGVzPjxkYXRlPkRlYyAzMTwvZGF0ZT48L3B1Yi1k
YXRlcz48L2RhdGVzPjxpc2JuPjIwNzItNjY0MyAoRWxlY3Ryb25pYykmI3hEOzIwNzItNjY0MyAo
TGlua2luZyk8L2lzYm4+PGFjY2Vzc2lvbi1udW0+MzA2MDI2ODg8L2FjY2Vzc2lvbi1udW0+PHVy
bHM+PHJlbGF0ZWQtdXJscz48dXJsPmh0dHBzOi8vd3d3Lm5jYmkubmxtLm5paC5nb3YvcHVibWVk
LzMwNjAyNjg4PC91cmw+PC9yZWxhdGVkLXVybHM+PC91cmxzPjxjdXN0b20yPlBNQzYzNTYzMTc8
L2N1c3RvbTI+PGVsZWN0cm9uaWMtcmVzb3VyY2UtbnVtPjEwLjMzOTAvbnUxMTAxMDA2NjwvZWxl
Y3Ryb25pYy1yZXNvdXJjZS1udW0+PC9yZWNvcmQ+PC9DaXRlPjwvRW5kTm90ZT4A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44</w:t>
      </w:r>
      <w:r>
        <w:fldChar w:fldCharType="end"/>
      </w:r>
      <w:r>
        <w:t xml:space="preserve"> found </w:t>
      </w:r>
      <w:r w:rsidR="001B6EF0" w:rsidRPr="001B6EF0">
        <w:t>a linear association between high,</w:t>
      </w:r>
      <w:r w:rsidR="001B6EF0">
        <w:t xml:space="preserve"> moderate, and low adherence to the Mediterranean diet</w:t>
      </w:r>
      <w:r w:rsidR="001B6EF0" w:rsidRPr="001B6EF0">
        <w:rPr>
          <w:rFonts w:ascii="Helvetica" w:hAnsi="Helvetica"/>
        </w:rPr>
        <w:t xml:space="preserve"> and a lower risk of </w:t>
      </w:r>
      <w:r w:rsidR="001D0142">
        <w:rPr>
          <w:rFonts w:ascii="Helvetica" w:hAnsi="Helvetica"/>
        </w:rPr>
        <w:t>gestational diabetes</w:t>
      </w:r>
      <w:r w:rsidR="001B6EF0" w:rsidRPr="001B6EF0">
        <w:rPr>
          <w:rFonts w:ascii="Helvetica" w:hAnsi="Helvetica"/>
        </w:rPr>
        <w:t>, urinary tract infections,</w:t>
      </w:r>
      <w:r w:rsidR="001B6EF0">
        <w:t xml:space="preserve"> </w:t>
      </w:r>
      <w:r w:rsidR="001D0142">
        <w:rPr>
          <w:rFonts w:ascii="Helvetica" w:hAnsi="Helvetica"/>
        </w:rPr>
        <w:t>preterm birth</w:t>
      </w:r>
      <w:r w:rsidR="001B6EF0" w:rsidRPr="001B6EF0">
        <w:rPr>
          <w:rFonts w:ascii="Helvetica" w:hAnsi="Helvetica"/>
        </w:rPr>
        <w:t xml:space="preserve"> and small-for-gestational-age (</w:t>
      </w:r>
      <w:r w:rsidR="001B6EF0" w:rsidRPr="00750DA3">
        <w:rPr>
          <w:rFonts w:ascii="Helvetica" w:hAnsi="Helvetica"/>
          <w:sz w:val="16"/>
          <w:szCs w:val="16"/>
        </w:rPr>
        <w:t>all p &lt; 0.05</w:t>
      </w:r>
      <w:r w:rsidR="001B6EF0" w:rsidRPr="001B6EF0">
        <w:rPr>
          <w:rFonts w:ascii="Helvetica" w:hAnsi="Helvetica"/>
        </w:rPr>
        <w:t xml:space="preserve">). </w:t>
      </w:r>
      <w:r w:rsidR="006A6DB0">
        <w:t xml:space="preserve">Sub-analysis of </w:t>
      </w:r>
      <w:r w:rsidR="00092BBF">
        <w:t>results for normoglycaemic women</w:t>
      </w:r>
      <w:r w:rsidR="00802EC5">
        <w:fldChar w:fldCharType="begin">
          <w:fldData xml:space="preserve">PEVuZE5vdGU+PENpdGU+PEF1dGhvcj5Bc3NhZi1CYWx1dDwvQXV0aG9yPjxZZWFyPjIwMTk8L1ll
YXI+PFJlY051bT4xMzQwPC9SZWNOdW0+PERpc3BsYXlUZXh0PjxzdHlsZSBmYWNlPSJzdXBlcnNj
cmlwdCIgZm9udD0iVHJlYnVjaGV0IE1TIiBzaXplPSI5Ij40NTwvc3R5bGU+PC9EaXNwbGF5VGV4
dD48cmVjb3JkPjxyZWMtbnVtYmVyPjEzNDA8L3JlYy1udW1iZXI+PGZvcmVpZ24ta2V5cz48a2V5
IGFwcD0iRU4iIGRiLWlkPSJleHZhc3JmeDJkdHJhb2VzYXN4cDJzenN4YTJkZjUwMjU5MngiIHRp
bWVzdGFtcD0iMTU2NzAzMDk2MCI+MTM0MDwva2V5PjxrZXkgYXBwPSJFTldlYiIgZGItaWQ9IiI+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bGlhciwgQy48L2F1dGhvcj48YXV0aG9yPlZhbGVyaW8sIEouPC9hdXRob3I+PGF1dGhvcj5KaW1l
bmV6LCBJLjwvYXV0aG9yPjxhdXRob3I+SGVycmFpeiwgTS4gQS48L2F1dGhvcj48YXV0aG9yPkl6
cXVpZXJkbywgTi48L2F1dGhvcj48YXV0aG9yPlRvcnJlam9uLCBNLiBKLjwvYXV0aG9yPjxhdXRo
b3I+Q3VhZHJhZG8sIE0uIEEuPC9hdXRob3I+PGF1dGhvcj5PcnRlZ2EsIEkuPC9hdXRob3I+PGF1
dGhvcj5JbGxhbmEsIEYuIEouPC9hdXRob3I+PGF1dGhvcj5SdW5rbGUsIEkuPC9hdXRob3I+PGF1
dGhvcj5kZSBNaWd1ZWwsIFAuPC9hdXRob3I+PGF1dGhvcj5Nb3JhZ2EsIEkuPC9hdXRob3I+PGF1
dGhvcj5Nb250YW5leiwgQy48L2F1dGhvcj48YXV0aG9yPkJhcmFiYXNoLCBBLjwvYXV0aG9yPjxh
dXRob3I+Q3Vlc3RhLCBNLjwvYXV0aG9yPjxhdXRob3I+UnViaW8sIE0uIEEuPC9hdXRob3I+PGF1
dGhvcj5DYWxsZS1QYXNjdWFsLCBBLiBMLjwvYXV0aG9yPjwvYXV0aG9ycz48L2NvbnRyaWJ1dG9y
cz48YXV0aC1hZGRyZXNzPkRlcGFydG1lbnQgb2YgRW5kb2NyaW5vbG9neSBhbmQgTnV0cml0aW9u
LCBIb3NwaXRhbCBDbGluaWNvIFVuaXZlcnNpdGFyaW8gU2FuIENhcmxvcyBhbmQgSW5zdGl0dXRv
IGRlIEludmVzdGlnYWNpb24gU2FuaXRhcmlhIGRlbCBIb3NwaXRhbCBDbGluaWNvIFNhbiBDYXJs
b3MgKElkSVNTQyksIE1hZHJpZCwgU3BhaW4uJiN4RDtGYWN1bHRhZCBkZSBNZWRpY2luYSwgVW5p
dmVyc2lkYWQgQ29tcGx1dGVuc2UgZGUgTWFkcmlkLCBNYWRyaWQsIFNwYWluLiYjeEQ7Q2VudHJv
IGRlIEludmVzdGlnYWNpb24gQmlvbWVkaWNhIGVuIFJlZCBkZSBEaWFiZXRlcyB5IEVuZmVybWVk
YWRlcyBNZXRhYm9saWNhcyBBc29jaWFkYXMgKENJQkVSREVNKSwgTWFkcmlkLCBTcGFpbi4mI3hE
O0RlcGFydG1lbnQgb2YgUHJldmVudGl2ZSBNZWRpY2luZSwgSG9zcGl0YWwgQ2xpbmljbyBVbml2
ZXJzaXRhcmlvIFNhbiBDYXJsb3MgYW5kIEluc3RpdHV0byBkZSBJbnZlc3RpZ2FjaW9uIFNhbml0
YXJpYSBkZWwgSG9zcGl0YWwgQ2xpbmljbyBTYW4gQ2FybG9zIChJZElTU0MpLCBNYWRyaWQsIFNw
YWluLiYjeEQ7RGVwYXJ0bWVudCBvZiBHeW5lY29sb2d5IGFuZCBPYnN0ZXRyaWNzLCBIb3NwaXRh
bCBDbGluaWNvIFVuaXZlcnNpdGFyaW8gU2FuIENhcmxvcyBhbmQgSW5zdGl0dXRvIGRlIEludmVz
dGlnYWNpb24gU2FuaXRhcmlhIGRlbCBIb3NwaXRhbCBDbGluaWNvIFNhbiBDYXJsb3MgKElkSVNT
QyksIE1hZHJpZCwgU3BhaW4uJiN4RDtEZXBhcnRtZW50IG9mIENsaW5pY2FsIExhYm9yYXRvcnks
IEhvc3BpdGFsIENsaW5pY28gVW5pdmVyc2l0YXJpbyBTYW4gQ2FybG9zIGFuZCBJbnN0aXR1dG8g
ZGUgSW52ZXN0aWdhY2lvbiBTYW5pdGFyaWEgZGVsIEhvc3BpdGFsIENsaW5pY28gU2FuIENhcmxv
cyAoSWRJU1NDKSwgTWFkcmlkLCBTcGFpbi4mI3hEO0RlcGFydG1lbnQgb2YgRW5kb2NyaW5vbG9n
eSBhbmQgTnV0cml0aW9uLCBIb3NwaXRhbCBDbGluaWNvIFVuaXZlcnNpdGFyaW8gU2FuIENhcmxv
cyBhbmQgSW5zdGl0dXRvIGRlIEludmVzdGlnYWNpb24gU2FuaXRhcmlhIGRlbCBIb3NwaXRhbCBD
bGluaWNvIFNhbiBDYXJsb3MgKElkSVNTQyksIE1hZHJpZCwgU3BhaW4sIGFjYWxsZS5lZHVAZ21h
aWwuY29tLiYjeEQ7RmFjdWx0YWQgZGUgTWVkaWNpbmEsIFVuaXZlcnNpZGFkIENvbXBsdXRlbnNl
IGRlIE1hZHJpZCwgTWFkcmlkLCBTcGFpbiwgYWNhbGxlLmVkdUBnbWFpbC5jb20uJiN4RDtDZW50
cm8gZGUgSW52ZXN0aWdhY2lvbiBCaW9tZWRpY2EgZW4gUmVkIGRlIERpYWJldGVzIHkgRW5mZXJt
ZWRhZGVzIE1ldGFib2xpY2FzIEFzb2NpYWRhcyAoQ0lCRVJERU0pLCBNYWRyaWQsIFNwYWluLCBh
Y2FsbGUuZWR1QGdtYWlsLmNvbS48L2F1dGgtYWRkcmVzcz48dGl0bGVzPjx0aXRsZT5BIE1lZGl0
ZXJyYW5lYW4gZGlldCB3aXRoIGFuIGVuaGFuY2VkIGNvbnN1bXB0aW9uIG9mIGV4dHJhIHZpcmdp
biBvbGl2ZSBvaWwgYW5kIHBpc3RhY2hpb3MgaW1wcm92ZXMgcHJlZ25hbmN5IG91dGNvbWVzIGlu
IHdvbWVuIHdpdGhvdXQgZ2VzdGF0aW9uYWwgZGlhYmV0ZXMgbWVsbGl0dXM6IGEgc3ViLWFuYWx5
c2lzIG9mIHRoZSBTdC4gQ2FybG9zIEdlc3RhdGlvbmFsIERpYWJldGVzIE1lbGxpdHVzIFByZXZl
bnRpb24gU3R1ZHk8L3RpdGxlPjxzZWNvbmRhcnktdGl0bGU+QW5uIE51dHIgTWV0YWI8L3NlY29u
ZGFyeS10aXRsZT48L3RpdGxlcz48cGVyaW9kaWNhbD48ZnVsbC10aXRsZT5Bbm4gTnV0ciBNZXRh
YjwvZnVsbC10aXRsZT48L3BlcmlvZGljYWw+PHBhZ2VzPjY5LTc5PC9wYWdlcz48dm9sdW1lPjc0
PC92b2x1bWU+PG51bWJlcj4xPC9udW1iZXI+PGVkaXRpb24+MjAxOC8xMi8xNzwvZWRpdGlvbj48
a2V5d29yZHM+PGtleXdvcmQ+RXh0cmEtdmlyZ2luIG9saXZlIG9pbDwva2V5d29yZD48a2V5d29y
ZD5NZWRpdGVycmFuZWFuIGRpZXQ8L2tleXdvcmQ+PGtleXdvcmQ+UHJlZ25hbmN5IG91dGNvbWVz
PC9rZXl3b3JkPjwva2V5d29yZHM+PGRhdGVzPjx5ZWFyPjIwMTk8L3llYXI+PC9kYXRlcz48aXNi
bj4xNDIxLTk2OTcgKEVsZWN0cm9uaWMpJiN4RDswMjUwLTY4MDcgKExpbmtpbmcpPC9pc2JuPjxh
Y2Nlc3Npb24tbnVtPjMwNTU0MjIwPC9hY2Nlc3Npb24tbnVtPjx1cmxzPjxyZWxhdGVkLXVybHM+
PHVybD5odHRwczovL3d3dy5uY2JpLm5sbS5uaWguZ292L3B1Ym1lZC8zMDU1NDIyMDwvdXJsPjwv
cmVsYXRlZC11cmxzPjwvdXJscz48Y3VzdG9tMj5QTUM2NDI1ODE4PC9jdXN0b20yPjxlbGVjdHJv
bmljLXJlc291cmNlLW51bT4xMC4xMTU5LzAwMDQ5NTc5MzwvZWxlY3Ryb25pYy1yZXNvdXJjZS1u
dW0+PC9yZWNvcmQ+PC9DaXRlPjwvRW5kTm90ZT5=
</w:fldData>
        </w:fldChar>
      </w:r>
      <w:r w:rsidR="002747EA">
        <w:instrText xml:space="preserve"> ADDIN EN.CITE </w:instrText>
      </w:r>
      <w:r w:rsidR="002747EA">
        <w:fldChar w:fldCharType="begin">
          <w:fldData xml:space="preserve">PEVuZE5vdGU+PENpdGU+PEF1dGhvcj5Bc3NhZi1CYWx1dDwvQXV0aG9yPjxZZWFyPjIwMTk8L1ll
YXI+PFJlY051bT4xMzQwPC9SZWNOdW0+PERpc3BsYXlUZXh0PjxzdHlsZSBmYWNlPSJzdXBlcnNj
cmlwdCIgZm9udD0iVHJlYnVjaGV0IE1TIiBzaXplPSI5Ij40NTwvc3R5bGU+PC9EaXNwbGF5VGV4
dD48cmVjb3JkPjxyZWMtbnVtYmVyPjEzNDA8L3JlYy1udW1iZXI+PGZvcmVpZ24ta2V5cz48a2V5
IGFwcD0iRU4iIGRiLWlkPSJleHZhc3JmeDJkdHJhb2VzYXN4cDJzenN4YTJkZjUwMjU5MngiIHRp
bWVzdGFtcD0iMTU2NzAzMDk2MCI+MTM0MDwva2V5PjxrZXkgYXBwPSJFTldlYiIgZGItaWQ9IiI+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bGlhciwgQy48L2F1dGhvcj48YXV0aG9yPlZhbGVyaW8sIEouPC9hdXRob3I+PGF1dGhvcj5KaW1l
bmV6LCBJLjwvYXV0aG9yPjxhdXRob3I+SGVycmFpeiwgTS4gQS48L2F1dGhvcj48YXV0aG9yPkl6
cXVpZXJkbywgTi48L2F1dGhvcj48YXV0aG9yPlRvcnJlam9uLCBNLiBKLjwvYXV0aG9yPjxhdXRo
b3I+Q3VhZHJhZG8sIE0uIEEuPC9hdXRob3I+PGF1dGhvcj5PcnRlZ2EsIEkuPC9hdXRob3I+PGF1
dGhvcj5JbGxhbmEsIEYuIEouPC9hdXRob3I+PGF1dGhvcj5SdW5rbGUsIEkuPC9hdXRob3I+PGF1
dGhvcj5kZSBNaWd1ZWwsIFAuPC9hdXRob3I+PGF1dGhvcj5Nb3JhZ2EsIEkuPC9hdXRob3I+PGF1
dGhvcj5Nb250YW5leiwgQy48L2F1dGhvcj48YXV0aG9yPkJhcmFiYXNoLCBBLjwvYXV0aG9yPjxh
dXRob3I+Q3Vlc3RhLCBNLjwvYXV0aG9yPjxhdXRob3I+UnViaW8sIE0uIEEuPC9hdXRob3I+PGF1
dGhvcj5DYWxsZS1QYXNjdWFsLCBBLiBMLjwvYXV0aG9yPjwvYXV0aG9ycz48L2NvbnRyaWJ1dG9y
cz48YXV0aC1hZGRyZXNzPkRlcGFydG1lbnQgb2YgRW5kb2NyaW5vbG9neSBhbmQgTnV0cml0aW9u
LCBIb3NwaXRhbCBDbGluaWNvIFVuaXZlcnNpdGFyaW8gU2FuIENhcmxvcyBhbmQgSW5zdGl0dXRv
IGRlIEludmVzdGlnYWNpb24gU2FuaXRhcmlhIGRlbCBIb3NwaXRhbCBDbGluaWNvIFNhbiBDYXJs
b3MgKElkSVNTQyksIE1hZHJpZCwgU3BhaW4uJiN4RDtGYWN1bHRhZCBkZSBNZWRpY2luYSwgVW5p
dmVyc2lkYWQgQ29tcGx1dGVuc2UgZGUgTWFkcmlkLCBNYWRyaWQsIFNwYWluLiYjeEQ7Q2VudHJv
IGRlIEludmVzdGlnYWNpb24gQmlvbWVkaWNhIGVuIFJlZCBkZSBEaWFiZXRlcyB5IEVuZmVybWVk
YWRlcyBNZXRhYm9saWNhcyBBc29jaWFkYXMgKENJQkVSREVNKSwgTWFkcmlkLCBTcGFpbi4mI3hE
O0RlcGFydG1lbnQgb2YgUHJldmVudGl2ZSBNZWRpY2luZSwgSG9zcGl0YWwgQ2xpbmljbyBVbml2
ZXJzaXRhcmlvIFNhbiBDYXJsb3MgYW5kIEluc3RpdHV0byBkZSBJbnZlc3RpZ2FjaW9uIFNhbml0
YXJpYSBkZWwgSG9zcGl0YWwgQ2xpbmljbyBTYW4gQ2FybG9zIChJZElTU0MpLCBNYWRyaWQsIFNw
YWluLiYjeEQ7RGVwYXJ0bWVudCBvZiBHeW5lY29sb2d5IGFuZCBPYnN0ZXRyaWNzLCBIb3NwaXRh
bCBDbGluaWNvIFVuaXZlcnNpdGFyaW8gU2FuIENhcmxvcyBhbmQgSW5zdGl0dXRvIGRlIEludmVz
dGlnYWNpb24gU2FuaXRhcmlhIGRlbCBIb3NwaXRhbCBDbGluaWNvIFNhbiBDYXJsb3MgKElkSVNT
QyksIE1hZHJpZCwgU3BhaW4uJiN4RDtEZXBhcnRtZW50IG9mIENsaW5pY2FsIExhYm9yYXRvcnks
IEhvc3BpdGFsIENsaW5pY28gVW5pdmVyc2l0YXJpbyBTYW4gQ2FybG9zIGFuZCBJbnN0aXR1dG8g
ZGUgSW52ZXN0aWdhY2lvbiBTYW5pdGFyaWEgZGVsIEhvc3BpdGFsIENsaW5pY28gU2FuIENhcmxv
cyAoSWRJU1NDKSwgTWFkcmlkLCBTcGFpbi4mI3hEO0RlcGFydG1lbnQgb2YgRW5kb2NyaW5vbG9n
eSBhbmQgTnV0cml0aW9uLCBIb3NwaXRhbCBDbGluaWNvIFVuaXZlcnNpdGFyaW8gU2FuIENhcmxv
cyBhbmQgSW5zdGl0dXRvIGRlIEludmVzdGlnYWNpb24gU2FuaXRhcmlhIGRlbCBIb3NwaXRhbCBD
bGluaWNvIFNhbiBDYXJsb3MgKElkSVNTQyksIE1hZHJpZCwgU3BhaW4sIGFjYWxsZS5lZHVAZ21h
aWwuY29tLiYjeEQ7RmFjdWx0YWQgZGUgTWVkaWNpbmEsIFVuaXZlcnNpZGFkIENvbXBsdXRlbnNl
IGRlIE1hZHJpZCwgTWFkcmlkLCBTcGFpbiwgYWNhbGxlLmVkdUBnbWFpbC5jb20uJiN4RDtDZW50
cm8gZGUgSW52ZXN0aWdhY2lvbiBCaW9tZWRpY2EgZW4gUmVkIGRlIERpYWJldGVzIHkgRW5mZXJt
ZWRhZGVzIE1ldGFib2xpY2FzIEFzb2NpYWRhcyAoQ0lCRVJERU0pLCBNYWRyaWQsIFNwYWluLCBh
Y2FsbGUuZWR1QGdtYWlsLmNvbS48L2F1dGgtYWRkcmVzcz48dGl0bGVzPjx0aXRsZT5BIE1lZGl0
ZXJyYW5lYW4gZGlldCB3aXRoIGFuIGVuaGFuY2VkIGNvbnN1bXB0aW9uIG9mIGV4dHJhIHZpcmdp
biBvbGl2ZSBvaWwgYW5kIHBpc3RhY2hpb3MgaW1wcm92ZXMgcHJlZ25hbmN5IG91dGNvbWVzIGlu
IHdvbWVuIHdpdGhvdXQgZ2VzdGF0aW9uYWwgZGlhYmV0ZXMgbWVsbGl0dXM6IGEgc3ViLWFuYWx5
c2lzIG9mIHRoZSBTdC4gQ2FybG9zIEdlc3RhdGlvbmFsIERpYWJldGVzIE1lbGxpdHVzIFByZXZl
bnRpb24gU3R1ZHk8L3RpdGxlPjxzZWNvbmRhcnktdGl0bGU+QW5uIE51dHIgTWV0YWI8L3NlY29u
ZGFyeS10aXRsZT48L3RpdGxlcz48cGVyaW9kaWNhbD48ZnVsbC10aXRsZT5Bbm4gTnV0ciBNZXRh
YjwvZnVsbC10aXRsZT48L3BlcmlvZGljYWw+PHBhZ2VzPjY5LTc5PC9wYWdlcz48dm9sdW1lPjc0
PC92b2x1bWU+PG51bWJlcj4xPC9udW1iZXI+PGVkaXRpb24+MjAxOC8xMi8xNzwvZWRpdGlvbj48
a2V5d29yZHM+PGtleXdvcmQ+RXh0cmEtdmlyZ2luIG9saXZlIG9pbDwva2V5d29yZD48a2V5d29y
ZD5NZWRpdGVycmFuZWFuIGRpZXQ8L2tleXdvcmQ+PGtleXdvcmQ+UHJlZ25hbmN5IG91dGNvbWVz
PC9rZXl3b3JkPjwva2V5d29yZHM+PGRhdGVzPjx5ZWFyPjIwMTk8L3llYXI+PC9kYXRlcz48aXNi
bj4xNDIxLTk2OTcgKEVsZWN0cm9uaWMpJiN4RDswMjUwLTY4MDcgKExpbmtpbmcpPC9pc2JuPjxh
Y2Nlc3Npb24tbnVtPjMwNTU0MjIwPC9hY2Nlc3Npb24tbnVtPjx1cmxzPjxyZWxhdGVkLXVybHM+
PHVybD5odHRwczovL3d3dy5uY2JpLm5sbS5uaWguZ292L3B1Ym1lZC8zMDU1NDIyMDwvdXJsPjwv
cmVsYXRlZC11cmxzPjwvdXJscz48Y3VzdG9tMj5QTUM2NDI1ODE4PC9jdXN0b20yPjxlbGVjdHJv
bmljLXJlc291cmNlLW51bT4xMC4xMTU5LzAwMDQ5NTc5MzwvZWxlY3Ryb25pYy1yZXNvdXJjZS1u
dW0+PC9yZWNvcmQ+PC9DaXRlPjwvRW5kTm90ZT5=
</w:fldData>
        </w:fldChar>
      </w:r>
      <w:r w:rsidR="002747EA">
        <w:instrText xml:space="preserve"> ADDIN EN.CITE.DATA </w:instrText>
      </w:r>
      <w:r w:rsidR="002747EA">
        <w:fldChar w:fldCharType="end"/>
      </w:r>
      <w:r w:rsidR="00802EC5">
        <w:fldChar w:fldCharType="separate"/>
      </w:r>
      <w:r w:rsidR="002747EA" w:rsidRPr="002747EA">
        <w:rPr>
          <w:noProof/>
          <w:vertAlign w:val="superscript"/>
        </w:rPr>
        <w:t>45</w:t>
      </w:r>
      <w:r w:rsidR="00802EC5">
        <w:fldChar w:fldCharType="end"/>
      </w:r>
      <w:r w:rsidR="00C7031C">
        <w:t xml:space="preserve"> found </w:t>
      </w:r>
      <w:r w:rsidR="007908BB">
        <w:t>t</w:t>
      </w:r>
      <w:r w:rsidR="0081109B">
        <w:t>hat</w:t>
      </w:r>
      <w:r w:rsidR="00FC5332">
        <w:t xml:space="preserve"> </w:t>
      </w:r>
      <w:r w:rsidR="001341EB">
        <w:t xml:space="preserve">high versus low </w:t>
      </w:r>
      <w:r w:rsidR="007908BB">
        <w:t xml:space="preserve">adherence </w:t>
      </w:r>
      <w:r w:rsidR="00A37C7D" w:rsidRPr="00A37C7D">
        <w:t>was associated with a significantly lower</w:t>
      </w:r>
      <w:r w:rsidR="00A37C7D">
        <w:t xml:space="preserve"> </w:t>
      </w:r>
      <w:r w:rsidR="00A37C7D" w:rsidRPr="00A37C7D">
        <w:t xml:space="preserve">risk of urinary tract infections, emergency </w:t>
      </w:r>
      <w:r w:rsidR="00802EC5">
        <w:t>caesarean-section</w:t>
      </w:r>
      <w:r w:rsidR="00A37C7D" w:rsidRPr="00A37C7D">
        <w:t>, perineal trauma, large-for-gestational-age and small-for-gestational-age</w:t>
      </w:r>
      <w:r w:rsidR="00802EC5">
        <w:t xml:space="preserve"> </w:t>
      </w:r>
      <w:r w:rsidR="0053600B">
        <w:t>(</w:t>
      </w:r>
      <w:r w:rsidR="0053600B" w:rsidRPr="00750DA3">
        <w:rPr>
          <w:sz w:val="16"/>
          <w:szCs w:val="16"/>
        </w:rPr>
        <w:t>all p&lt;0.05</w:t>
      </w:r>
      <w:r w:rsidR="0053600B">
        <w:t>)</w:t>
      </w:r>
      <w:r w:rsidR="00A37C7D" w:rsidRPr="00A37C7D">
        <w:t>.</w:t>
      </w:r>
      <w:r w:rsidR="00802EC5">
        <w:t xml:space="preserve"> </w:t>
      </w:r>
    </w:p>
    <w:p w14:paraId="7D02F75F" w14:textId="347CAADC" w:rsidR="00C7031C" w:rsidRDefault="008B63F8" w:rsidP="00014822">
      <w:r>
        <w:t>Observational</w:t>
      </w:r>
      <w:r w:rsidR="00A82933">
        <w:t xml:space="preserve"> studies were </w:t>
      </w:r>
      <w:r w:rsidR="00675580">
        <w:t xml:space="preserve">consistent in finding an association between adherence to the Mediterranean diet and lower </w:t>
      </w:r>
      <w:r w:rsidR="006478B5">
        <w:t>risk of</w:t>
      </w:r>
      <w:r>
        <w:t xml:space="preserve"> small for gestational age</w:t>
      </w:r>
      <w:r>
        <w:fldChar w:fldCharType="begin"/>
      </w:r>
      <w:r w:rsidR="002747EA">
        <w:instrText xml:space="preserve"> ADDIN EN.CITE &lt;EndNote&gt;&lt;Cite&gt;&lt;Author&gt;Martínez-Galiano&lt;/Author&gt;&lt;Year&gt;2018&lt;/Year&gt;&lt;RecNum&gt;1462&lt;/RecNum&gt;&lt;DisplayText&gt;&lt;style face="superscript" font="Trebuchet MS" size="9"&gt;46&lt;/style&gt;&lt;/DisplayText&gt;&lt;record&gt;&lt;rec-number&gt;1462&lt;/rec-number&gt;&lt;foreign-keys&gt;&lt;key app="EN" db-id="exvasrfx2dtraoesasxp2szsxa2df502592x" timestamp="1574039594"&gt;1462&lt;/key&gt;&lt;key app="ENWeb" db-id=""&gt;0&lt;/key&gt;&lt;/foreign-keys&gt;&lt;ref-type name="Journal Article"&gt;17&lt;/ref-type&gt;&lt;contributors&gt;&lt;authors&gt;&lt;author&gt;Martínez-Galiano, Juan&lt;/author&gt;&lt;author&gt;Olmedo-Requena, Rocío&lt;/author&gt;&lt;author&gt;Barrios-Rodríguez, Rocío&lt;/author&gt;&lt;author&gt;Amezcua-Prieto, Carmen&lt;/author&gt;&lt;author&gt;Bueno-Cavanillas, Aurora&lt;/author&gt;&lt;author&gt;Salcedo-Bellido, Inmaculada&lt;/author&gt;&lt;author&gt;Jimenez-Moleon, Jose&lt;/author&gt;&lt;author&gt;Delgado-Rodríguez, Miguel&lt;/author&gt;&lt;/authors&gt;&lt;/contributors&gt;&lt;titles&gt;&lt;title&gt;Effect of adherence to a Mediterranean diet and olive oil intake during pregnancy on risk of small for gestational age infants&lt;/title&gt;&lt;secondary-title&gt;Nutrients&lt;/secondary-title&gt;&lt;/titles&gt;&lt;periodical&gt;&lt;full-title&gt;Nutrients&lt;/full-title&gt;&lt;/periodical&gt;&lt;volume&gt;10&lt;/volume&gt;&lt;number&gt;9&lt;/number&gt;&lt;section&gt;1234&lt;/section&gt;&lt;dates&gt;&lt;year&gt;2018&lt;/year&gt;&lt;/dates&gt;&lt;isbn&gt;2072-6643&lt;/isbn&gt;&lt;urls&gt;&lt;/urls&gt;&lt;electronic-resource-num&gt;10.3390/nu10091234&lt;/electronic-resource-num&gt;&lt;/record&gt;&lt;/Cite&gt;&lt;/EndNote&gt;</w:instrText>
      </w:r>
      <w:r>
        <w:fldChar w:fldCharType="separate"/>
      </w:r>
      <w:r w:rsidR="002747EA" w:rsidRPr="002747EA">
        <w:rPr>
          <w:noProof/>
          <w:vertAlign w:val="superscript"/>
        </w:rPr>
        <w:t>46</w:t>
      </w:r>
      <w:r>
        <w:fldChar w:fldCharType="end"/>
      </w:r>
      <w:r>
        <w:t xml:space="preserve"> and preterm birth,</w:t>
      </w:r>
      <w:r>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instrText xml:space="preserve"> ADDIN EN.CITE </w:instrText>
      </w:r>
      <w:r w:rsidR="002747EA">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47</w:t>
      </w:r>
      <w:r>
        <w:fldChar w:fldCharType="end"/>
      </w:r>
      <w:r>
        <w:t xml:space="preserve"> although one study only found an association between reduced risk of preterm birth among women who were overweight or obese</w:t>
      </w:r>
      <w:r w:rsidR="00675580">
        <w:t>.</w:t>
      </w:r>
      <w:r>
        <w:fldChar w:fldCharType="begin">
          <w:fldData xml:space="preserve">PEVuZE5vdGU+PENpdGU+PEF1dGhvcj5TYXVuZGVyczwvQXV0aG9yPjxZZWFyPjIwMTQ8L1llYXI+
PFJlY051bT4xNDc2PC9SZWNOdW0+PERpc3BsYXlUZXh0PjxzdHlsZSBmYWNlPSJzdXBlcnNjcmlw
dCIgZm9udD0iVHJlYnVjaGV0IE1TIiBzaXplPSI5Ij40ODwvc3R5bGU+PC9EaXNwbGF5VGV4dD48
cmVjb3JkPjxyZWMtbnVtYmVyPjE0NzY8L3JlYy1udW1iZXI+PGZvcmVpZ24ta2V5cz48a2V5IGFw
cD0iRU4iIGRiLWlkPSJleHZhc3JmeDJkdHJhb2VzYXN4cDJzenN4YTJkZjUwMjU5MngiIHRpbWVz
dGFtcD0iMTU3NDAzOTY2NCI+MTQ3Njwva2V5PjxrZXkgYXBwPSJFTldlYiIgZGItaWQ9IiI+MDwv
a2V5PjwvZm9yZWlnbi1rZXlzPjxyZWYtdHlwZSBuYW1lPSJKb3VybmFsIEFydGljbGUiPjE3PC9y
ZWYtdHlwZT48Y29udHJpYnV0b3JzPjxhdXRob3JzPjxhdXRob3I+U2F1bmRlcnMsIEwuPC9hdXRo
b3I+PGF1dGhvcj5HdWxkbmVyLCBMLjwvYXV0aG9yPjxhdXRob3I+Q29zdGV0LCBOLjwvYXV0aG9y
PjxhdXRob3I+S2FkaGVsLCBQLjwvYXV0aG9yPjxhdXRob3I+Um91Z2V0LCBGLjwvYXV0aG9yPjxh
dXRob3I+TW9uZm9ydCwgQy48L2F1dGhvcj48YXV0aG9yPlRob21lLCBKLiBQLjwvYXV0aG9yPjxh
dXRob3I+TXVsdGlnbmVyLCBMLjwvYXV0aG9yPjxhdXRob3I+Q29yZGllciwgUy48L2F1dGhvcj48
L2F1dGhvcnM+PC9jb250cmlidXRvcnM+PGF1dGgtYWRkcmVzcz5UZWFtIG9mIEVwaWRlbWlvbG9n
aWNhbCBSZXNlYXJjaCBvbiBFbnZpcm9ubWVudCwgUmVwcm9kdWN0aW9uIGFuZCBEZXZlbG9wbWVu
dCwgTmF0aW9uYWwgSW5zdGl0dXRlIGZvciBIZWFsdGggYW5kIE1lZGljYWwgUmVzZWFyY2ggKElO
U0VSTSBVMTA4NSksIFJlbm5lcywgRnJhbmNlLjwvYXV0aC1hZGRyZXNzPjx0aXRsZXM+PHRpdGxl
PkVmZmVjdCBvZiBhIE1lZGl0ZXJyYW5lYW4gZGlldCBkdXJpbmcgcHJlZ25hbmN5IG9uIGZldGFs
IGdyb3d0aCBhbmQgcHJldGVybSBkZWxpdmVyeTogcmVzdWx0cyBmcm9tIGEgRnJlbmNoIENhcmli
YmVhbiBNb3RoZXItQ2hpbGQgQ29ob3J0IFN0dWR5IChUSU1PVU4pPC90aXRsZT48c2Vjb25kYXJ5
LXRpdGxlPlBhZWRpYXRyIFBlcmluYXQgRXBpZGVtaW9sPC9zZWNvbmRhcnktdGl0bGU+PC90aXRs
ZXM+PHBlcmlvZGljYWw+PGZ1bGwtdGl0bGU+UGFlZGlhdHIgUGVyaW5hdCBFcGlkZW1pb2w8L2Z1
bGwtdGl0bGU+PC9wZXJpb2RpY2FsPjxwYWdlcz4yMzUtNDQ8L3BhZ2VzPjx2b2x1bWU+Mjg8L3Zv
bHVtZT48bnVtYmVyPjM8L251bWJlcj48ZWRpdGlvbj4yMDE0LzA0LzI0PC9lZGl0aW9uPjxrZXl3
b3Jkcz48a2V5d29yZD5BZHVsdDwva2V5d29yZD48a2V5d29yZD5Cb2R5IE1hc3MgSW5kZXg8L2tl
eXdvcmQ+PGtleXdvcmQ+Q29ob3J0IFN0dWRpZXM8L2tleXdvcmQ+PGtleXdvcmQ+RGlldCBSZWNv
cmRzPC9rZXl3b3JkPjxrZXl3b3JkPipEaWV0LCBNZWRpdGVycmFuZWFuPC9rZXl3b3JkPjxrZXl3
b3JkPkZlbWFsZTwva2V5d29yZD48a2V5d29yZD4qRmV0YWwgRGV2ZWxvcG1lbnQ8L2tleXdvcmQ+
PGtleXdvcmQ+RmV0YWwgR3Jvd3RoIFJldGFyZGF0aW9uL2RpZXQgdGhlcmFweS9lcGlkZW1pb2xv
Z3kvKnByZXZlbnRpb24gJmFtcDsgY29udHJvbDwva2V5d29yZD48a2V5d29yZD5IdW1hbnM8L2tl
eXdvcmQ+PGtleXdvcmQ+SW5mYW50LCBOZXdib3JuPC9rZXl3b3JkPjxrZXl3b3JkPk1hdGVybmFs
IE51dHJpdGlvbmFsIFBoeXNpb2xvZ2ljYWwgUGhlbm9tZW5hPC9rZXl3b3JkPjxrZXl3b3JkPk1v
dGhlcnM8L2tleXdvcmQ+PGtleXdvcmQ+T2RkcyBSYXRpbzwva2V5d29yZD48a2V5d29yZD5QYXRp
ZW50IENvbXBsaWFuY2UvKnN0YXRpc3RpY3MgJmFtcDsgbnVtZXJpY2FsIGRhdGE8L2tleXdvcmQ+
PGtleXdvcmQ+UHJlZ25hbmN5PC9rZXl3b3JkPjxrZXl3b3JkPlByZWduYW5jeSBPdXRjb21lPC9r
ZXl3b3JkPjxrZXl3b3JkPlByZW1hdHVyZSBCaXJ0aC9kaWV0IHRoZXJhcHkvZXBpZGVtaW9sb2d5
LypwcmV2ZW50aW9uICZhbXA7IGNvbnRyb2w8L2tleXdvcmQ+PGtleXdvcmQ+UHJvc3BlY3RpdmUg
U3R1ZGllczwva2V5d29yZD48a2V5d29yZD5TdXJ2ZXlzIGFuZCBRdWVzdGlvbm5haXJlczwva2V5
d29yZD48a2V5d29yZD4qV2VpZ2h0IEdhaW48L2tleXdvcmQ+PGtleXdvcmQ+V2VzdCBJbmRpZXMv
ZXBpZGVtaW9sb2d5PC9rZXl3b3JkPjxrZXl3b3JkPkZyZW5jaCBXZXN0IEluZGllczwva2V5d29y
ZD48a2V5d29yZD5NZWRpdGVycmFuZWFuIGRpZXQ8L2tleXdvcmQ+PGtleXdvcmQ+ZmV0YWwgZGV2
ZWxvcG1lbnQ8L2tleXdvcmQ+PGtleXdvcmQ+cHJldGVybSBiaXJ0aDwva2V5d29yZD48L2tleXdv
cmRzPjxkYXRlcz48eWVhcj4yMDE0PC95ZWFyPjxwdWItZGF0ZXM+PGRhdGU+TWF5PC9kYXRlPjwv
cHViLWRhdGVzPjwvZGF0ZXM+PGlzYm4+MTM2NS0zMDE2IChFbGVjdHJvbmljKSYjeEQ7MDI2OS01
MDIyIChMaW5raW5nKTwvaXNibj48YWNjZXNzaW9uLW51bT4yNDc1NDMzNzwvYWNjZXNzaW9uLW51
bT48dXJscz48cmVsYXRlZC11cmxzPjx1cmw+aHR0cHM6Ly93d3cubmNiaS5ubG0ubmloLmdvdi9w
dWJtZWQvMjQ3NTQzMzc8L3VybD48L3JlbGF0ZWQtdXJscz48L3VybHM+PGVsZWN0cm9uaWMtcmVz
b3VyY2UtbnVtPjEwLjExMTEvcHBlLjEyMTEzPC9lbGVjdHJvbmljLXJlc291cmNlLW51bT48L3Jl
Y29yZD48L0NpdGU+PC9FbmROb3RlPgB=
</w:fldData>
        </w:fldChar>
      </w:r>
      <w:r w:rsidR="002747EA">
        <w:instrText xml:space="preserve"> ADDIN EN.CITE </w:instrText>
      </w:r>
      <w:r w:rsidR="002747EA">
        <w:fldChar w:fldCharType="begin">
          <w:fldData xml:space="preserve">PEVuZE5vdGU+PENpdGU+PEF1dGhvcj5TYXVuZGVyczwvQXV0aG9yPjxZZWFyPjIwMTQ8L1llYXI+
PFJlY051bT4xNDc2PC9SZWNOdW0+PERpc3BsYXlUZXh0PjxzdHlsZSBmYWNlPSJzdXBlcnNjcmlw
dCIgZm9udD0iVHJlYnVjaGV0IE1TIiBzaXplPSI5Ij40ODwvc3R5bGU+PC9EaXNwbGF5VGV4dD48
cmVjb3JkPjxyZWMtbnVtYmVyPjE0NzY8L3JlYy1udW1iZXI+PGZvcmVpZ24ta2V5cz48a2V5IGFw
cD0iRU4iIGRiLWlkPSJleHZhc3JmeDJkdHJhb2VzYXN4cDJzenN4YTJkZjUwMjU5MngiIHRpbWVz
dGFtcD0iMTU3NDAzOTY2NCI+MTQ3Njwva2V5PjxrZXkgYXBwPSJFTldlYiIgZGItaWQ9IiI+MDwv
a2V5PjwvZm9yZWlnbi1rZXlzPjxyZWYtdHlwZSBuYW1lPSJKb3VybmFsIEFydGljbGUiPjE3PC9y
ZWYtdHlwZT48Y29udHJpYnV0b3JzPjxhdXRob3JzPjxhdXRob3I+U2F1bmRlcnMsIEwuPC9hdXRo
b3I+PGF1dGhvcj5HdWxkbmVyLCBMLjwvYXV0aG9yPjxhdXRob3I+Q29zdGV0LCBOLjwvYXV0aG9y
PjxhdXRob3I+S2FkaGVsLCBQLjwvYXV0aG9yPjxhdXRob3I+Um91Z2V0LCBGLjwvYXV0aG9yPjxh
dXRob3I+TW9uZm9ydCwgQy48L2F1dGhvcj48YXV0aG9yPlRob21lLCBKLiBQLjwvYXV0aG9yPjxh
dXRob3I+TXVsdGlnbmVyLCBMLjwvYXV0aG9yPjxhdXRob3I+Q29yZGllciwgUy48L2F1dGhvcj48
L2F1dGhvcnM+PC9jb250cmlidXRvcnM+PGF1dGgtYWRkcmVzcz5UZWFtIG9mIEVwaWRlbWlvbG9n
aWNhbCBSZXNlYXJjaCBvbiBFbnZpcm9ubWVudCwgUmVwcm9kdWN0aW9uIGFuZCBEZXZlbG9wbWVu
dCwgTmF0aW9uYWwgSW5zdGl0dXRlIGZvciBIZWFsdGggYW5kIE1lZGljYWwgUmVzZWFyY2ggKElO
U0VSTSBVMTA4NSksIFJlbm5lcywgRnJhbmNlLjwvYXV0aC1hZGRyZXNzPjx0aXRsZXM+PHRpdGxl
PkVmZmVjdCBvZiBhIE1lZGl0ZXJyYW5lYW4gZGlldCBkdXJpbmcgcHJlZ25hbmN5IG9uIGZldGFs
IGdyb3d0aCBhbmQgcHJldGVybSBkZWxpdmVyeTogcmVzdWx0cyBmcm9tIGEgRnJlbmNoIENhcmli
YmVhbiBNb3RoZXItQ2hpbGQgQ29ob3J0IFN0dWR5IChUSU1PVU4pPC90aXRsZT48c2Vjb25kYXJ5
LXRpdGxlPlBhZWRpYXRyIFBlcmluYXQgRXBpZGVtaW9sPC9zZWNvbmRhcnktdGl0bGU+PC90aXRs
ZXM+PHBlcmlvZGljYWw+PGZ1bGwtdGl0bGU+UGFlZGlhdHIgUGVyaW5hdCBFcGlkZW1pb2w8L2Z1
bGwtdGl0bGU+PC9wZXJpb2RpY2FsPjxwYWdlcz4yMzUtNDQ8L3BhZ2VzPjx2b2x1bWU+Mjg8L3Zv
bHVtZT48bnVtYmVyPjM8L251bWJlcj48ZWRpdGlvbj4yMDE0LzA0LzI0PC9lZGl0aW9uPjxrZXl3
b3Jkcz48a2V5d29yZD5BZHVsdDwva2V5d29yZD48a2V5d29yZD5Cb2R5IE1hc3MgSW5kZXg8L2tl
eXdvcmQ+PGtleXdvcmQ+Q29ob3J0IFN0dWRpZXM8L2tleXdvcmQ+PGtleXdvcmQ+RGlldCBSZWNv
cmRzPC9rZXl3b3JkPjxrZXl3b3JkPipEaWV0LCBNZWRpdGVycmFuZWFuPC9rZXl3b3JkPjxrZXl3
b3JkPkZlbWFsZTwva2V5d29yZD48a2V5d29yZD4qRmV0YWwgRGV2ZWxvcG1lbnQ8L2tleXdvcmQ+
PGtleXdvcmQ+RmV0YWwgR3Jvd3RoIFJldGFyZGF0aW9uL2RpZXQgdGhlcmFweS9lcGlkZW1pb2xv
Z3kvKnByZXZlbnRpb24gJmFtcDsgY29udHJvbDwva2V5d29yZD48a2V5d29yZD5IdW1hbnM8L2tl
eXdvcmQ+PGtleXdvcmQ+SW5mYW50LCBOZXdib3JuPC9rZXl3b3JkPjxrZXl3b3JkPk1hdGVybmFs
IE51dHJpdGlvbmFsIFBoeXNpb2xvZ2ljYWwgUGhlbm9tZW5hPC9rZXl3b3JkPjxrZXl3b3JkPk1v
dGhlcnM8L2tleXdvcmQ+PGtleXdvcmQ+T2RkcyBSYXRpbzwva2V5d29yZD48a2V5d29yZD5QYXRp
ZW50IENvbXBsaWFuY2UvKnN0YXRpc3RpY3MgJmFtcDsgbnVtZXJpY2FsIGRhdGE8L2tleXdvcmQ+
PGtleXdvcmQ+UHJlZ25hbmN5PC9rZXl3b3JkPjxrZXl3b3JkPlByZWduYW5jeSBPdXRjb21lPC9r
ZXl3b3JkPjxrZXl3b3JkPlByZW1hdHVyZSBCaXJ0aC9kaWV0IHRoZXJhcHkvZXBpZGVtaW9sb2d5
LypwcmV2ZW50aW9uICZhbXA7IGNvbnRyb2w8L2tleXdvcmQ+PGtleXdvcmQ+UHJvc3BlY3RpdmUg
U3R1ZGllczwva2V5d29yZD48a2V5d29yZD5TdXJ2ZXlzIGFuZCBRdWVzdGlvbm5haXJlczwva2V5
d29yZD48a2V5d29yZD4qV2VpZ2h0IEdhaW48L2tleXdvcmQ+PGtleXdvcmQ+V2VzdCBJbmRpZXMv
ZXBpZGVtaW9sb2d5PC9rZXl3b3JkPjxrZXl3b3JkPkZyZW5jaCBXZXN0IEluZGllczwva2V5d29y
ZD48a2V5d29yZD5NZWRpdGVycmFuZWFuIGRpZXQ8L2tleXdvcmQ+PGtleXdvcmQ+ZmV0YWwgZGV2
ZWxvcG1lbnQ8L2tleXdvcmQ+PGtleXdvcmQ+cHJldGVybSBiaXJ0aDwva2V5d29yZD48L2tleXdv
cmRzPjxkYXRlcz48eWVhcj4yMDE0PC95ZWFyPjxwdWItZGF0ZXM+PGRhdGU+TWF5PC9kYXRlPjwv
cHViLWRhdGVzPjwvZGF0ZXM+PGlzYm4+MTM2NS0zMDE2IChFbGVjdHJvbmljKSYjeEQ7MDI2OS01
MDIyIChMaW5raW5nKTwvaXNibj48YWNjZXNzaW9uLW51bT4yNDc1NDMzNzwvYWNjZXNzaW9uLW51
bT48dXJscz48cmVsYXRlZC11cmxzPjx1cmw+aHR0cHM6Ly93d3cubmNiaS5ubG0ubmloLmdvdi9w
dWJtZWQvMjQ3NTQzMzc8L3VybD48L3JlbGF0ZWQtdXJscz48L3VybHM+PGVsZWN0cm9uaWMtcmVz
b3VyY2UtbnVtPjEwLjExMTEvcHBlLjEyMTEzPC9lbGVjdHJvbmljLXJlc291cmNlLW51bT48L3Jl
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48</w:t>
      </w:r>
      <w:r>
        <w:fldChar w:fldCharType="end"/>
      </w:r>
    </w:p>
    <w:p w14:paraId="3ECC6C90" w14:textId="292C7B03" w:rsidR="00970E6B" w:rsidRPr="00014822" w:rsidRDefault="00970E6B" w:rsidP="00970E6B">
      <w:r>
        <w:t>Studies into childhood growth found an association between maternal Mediterranean diet score and lower waist circumference,</w:t>
      </w:r>
      <w:r w:rsidRPr="003F3087">
        <w:t xml:space="preserve"> </w:t>
      </w:r>
      <w:r>
        <w:fldChar w:fldCharType="begin">
          <w:fldData xml:space="preserve">PEVuZE5vdGU+PENpdGU+PEF1dGhvcj5DaGF0emk8L0F1dGhvcj48WWVhcj4yMDE3PC9ZZWFyPjxS
ZWNOdW0+MTM1MjwvUmVjTnVtPjxEaXNwbGF5VGV4dD48c3R5bGUgZmFjZT0ic3VwZXJzY3JpcHQi
IGZvbnQ9IlRyZWJ1Y2hldCBNUyIgc2l6ZT0iOSI+NDksNTA8L3N0eWxlPjwvRGlzcGxheVRleHQ+
PHJlY29yZD48cmVjLW51bWJlcj4xMzUyPC9yZWMtbnVtYmVyPjxmb3JlaWduLWtleXM+PGtleSBh
cHA9IkVOIiBkYi1pZD0iZXh2YXNyZngyZHRyYW9lc2FzeHAyc3pzeGEyZGY1MDI1OTJ4IiB0aW1l
c3RhbXA9IjE1NjcwMzEwMTUiPjEzNTI8L2tleT48a2V5IGFwcD0iRU5XZWIiIGRiLWlkPSIiPjA8
L2tleT48L2ZvcmVpZ24ta2V5cz48cmVmLXR5cGUgbmFtZT0iSm91cm5hbCBBcnRpY2xlIj4xNzwv
cmVmLXR5cGU+PGNvbnRyaWJ1dG9ycz48YXV0aG9ycz48YXV0aG9yPkNoYXR6aSwgTC48L2F1dGhv
cj48YXV0aG9yPlJpZmFzLVNoaW1hbiwgUy4gTC48L2F1dGhvcj48YXV0aG9yPkdlb3JnaW91LCBW
LjwvYXV0aG9yPjxhdXRob3I+Sm91bmcsIEsuIEUuPC9hdXRob3I+PGF1dGhvcj5Lb2luYWtpLCBT
LjwvYXV0aG9yPjxhdXRob3I+Q2hhbGtpYWRha2ksIEcuPC9hdXRob3I+PGF1dGhvcj5NYXJnaW9y
aXMsIEEuPC9hdXRob3I+PGF1dGhvcj5TYXJyaSwgSy48L2F1dGhvcj48YXV0aG9yPlZhc3NpbGFr
aSwgTS48L2F1dGhvcj48YXV0aG9yPlZhZmVpYWRpLCBNLjwvYXV0aG9yPjxhdXRob3I+S29nZXZp
bmFzLCBNLjwvYXV0aG9yPjxhdXRob3I+TWFudHpvcm9zLCBDLjwvYXV0aG9yPjxhdXRob3I+R2ls
bG1hbiwgTS4gVy48L2F1dGhvcj48YXV0aG9yPk9rZW4sIEUuPC9hdXRob3I+PC9hdXRob3JzPjwv
Y29udHJpYnV0b3JzPjxhdXRoLWFkZHJlc3M+RGVwYXJ0bWVudCBvZiBTb2NpYWwgTWVkaWNpbmUs
IFVuaXZlcnNpdHkgb2YgQ3JldGUsIEhlcmFrbGlvbiwgR3JlZWNlLiYjeEQ7T2Jlc2l0eSBQcmV2
ZW50aW9uIFByb2dyYW0sIERlcGFydG1lbnQgb2YgUG9wdWxhdGlvbiBNZWRpY2luZSwgSGFydmFy
ZCBNZWRpY2FsIFNjaG9vbCBhbmQgSGFydmFyZCBQaWxncmltIEhlYWx0aCBDYXJlIEluc3RpdHV0
ZSwgQm9zdG9uLCBNQSwgVVNBLiYjeEQ7RGl2aXNpb24gb2YgRW5kb2NyaW5vbG9neSwgRGlhYmV0
ZXMsICZhbXA7IE1ldGFib2xpc20sIERlcGFydG1lbnQgb2YgTWVkaWNpbmUsIEJldGggSXNyYWVs
IERlYWNvbmVzcyBNZWRpY2FsIENlbnRlciwgSGFydmFyZCBNZWRpY2FsIFNjaG9vbCwgQm9zdG9u
LCBNQSwgVVNBLiYjeEQ7RGVwYXJ0bWVudCBvZiBMYWJvcmF0b3J5IE1lZGljaW5lLCBVbml2ZXJz
aXR5IG9mIENyZXRlLCBIZXJha2xpb24sIEdyZWVjZS4mI3hEO0NlbnRyZSBmb3IgUmVzZWFyY2gg
aW4gRW52aXJvbm1lbnRhbCBFcGlkZW1pb2xvZ3ksIENSRUFMLCBCYXJjZWxvbmEsIFNwYWluLjwv
YXV0aC1hZGRyZXNzPjx0aXRsZXM+PHRpdGxlPkFkaGVyZW5jZSB0byB0aGUgTWVkaXRlcnJhbmVh
biBkaWV0IGR1cmluZyBwcmVnbmFuY3kgYW5kIG9mZnNwcmluZyBhZGlwb3NpdHkgYW5kIGNhcmRp
b21ldGFib2xpYyB0cmFpdHMgaW4gY2hpbGRob29kPC90aXRsZT48c2Vjb25kYXJ5LXRpdGxlPlBl
ZGlhdHIgT2Jlczwvc2Vjb25kYXJ5LXRpdGxlPjwvdGl0bGVzPjxwZXJpb2RpY2FsPjxmdWxsLXRp
dGxlPlBlZGlhdHIgT2JlczwvZnVsbC10aXRsZT48L3BlcmlvZGljYWw+PHBhZ2VzPjQ3LTU2PC9w
YWdlcz48dm9sdW1lPjEyIFN1cHBsIDE8L3ZvbHVtZT48ZWRpdGlvbj4yMDE3LzAyLzA2PC9lZGl0
aW9uPjxrZXl3b3Jkcz48a2V5d29yZD5BZGlwb3NpdHkvKnBoeXNpb2xvZ3k8L2tleXdvcmQ+PGtl
eXdvcmQ+QWR1bHQ8L2tleXdvcmQ+PGtleXdvcmQ+QW50aHJvcG9tZXRyeTwva2V5d29yZD48a2V5
d29yZD5CbG9vZCBQcmVzc3VyZTwva2V5d29yZD48a2V5d29yZD5DLVJlYWN0aXZlIFByb3RlaW48
L2tleXdvcmQ+PGtleXdvcmQ+Q2FyZGlvdmFzY3VsYXIgRGlzZWFzZXMvKnByZXZlbnRpb24gJmFt
cDsgY29udHJvbDwva2V5d29yZD48a2V5d29yZD5DaGlsZDwva2V5d29yZD48a2V5d29yZD5DaGls
ZCwgUHJlc2Nob29sPC9rZXl3b3JkPjxrZXl3b3JkPipEaWV0LCBNZWRpdGVycmFuZWFuPC9rZXl3
b3JkPjxrZXl3b3JkPkZlZWRpbmcgQmVoYXZpb3I8L2tleXdvcmQ+PGtleXdvcmQ+RmVtYWxlPC9r
ZXl3b3JkPjxrZXl3b3JkPkdyZWVjZTwva2V5d29yZD48a2V5d29yZD5IdW1hbnM8L2tleXdvcmQ+
PGtleXdvcmQ+TGlwaWRzL2Jsb29kPC9rZXl3b3JkPjxrZXl3b3JkPk1hbGU8L2tleXdvcmQ+PGtl
eXdvcmQ+TWFzc2FjaHVzZXR0czwva2V5d29yZD48a2V5d29yZD5NaWRkbGUgQWdlZDwva2V5d29y
ZD48a2V5d29yZD5QYXRpZW50IENvbXBsaWFuY2UvKnN0YXRpc3RpY3MgJmFtcDsgbnVtZXJpY2Fs
IGRhdGE8L2tleXdvcmQ+PGtleXdvcmQ+UGVkaWF0cmljIE9iZXNpdHkvZGlldCB0aGVyYXB5Lypl
cGlkZW1pb2xvZ3k8L2tleXdvcmQ+PGtleXdvcmQ+UHJlZ25hbmN5PC9rZXl3b3JkPjxrZXl3b3Jk
PlByb3NwZWN0aXZlIFN0dWRpZXM8L2tleXdvcmQ+PGtleXdvcmQ+UmlzayBGYWN0b3JzPC9rZXl3
b3JkPjxrZXl3b3JkPipCbG9vZCBwcmVzc3VyZTwva2V5d29yZD48a2V5d29yZD4qY29ob3J0IHN0
dWR5PC9rZXl3b3JkPjxrZXl3b3JkPipkaWV0PC9rZXl3b3JkPjxrZXl3b3JkPipsaXBpZHM8L2tl
eXdvcmQ+PGtleXdvcmQ+Km9iZXNpdHk8L2tleXdvcmQ+PGtleXdvcmQ+KnByZWduYW5jeTwva2V5
d29yZD48L2tleXdvcmRzPjxkYXRlcz48eWVhcj4yMDE3PC95ZWFyPjxwdWItZGF0ZXM+PGRhdGU+
QXVnPC9kYXRlPjwvcHViLWRhdGVzPjwvZGF0ZXM+PGlzYm4+MjA0Ny02MzEwIChFbGVjdHJvbmlj
KSYjeEQ7MjA0Ny02MzAyIChMaW5raW5nKTwvaXNibj48YWNjZXNzaW9uLW51bT4yODE2MDQ1MDwv
YWNjZXNzaW9uLW51bT48dXJscz48cmVsYXRlZC11cmxzPjx1cmw+aHR0cHM6Ly93d3cubmNiaS5u
bG0ubmloLmdvdi9wdWJtZWQvMjgxNjA0NTA8L3VybD48L3JlbGF0ZWQtdXJscz48L3VybHM+PGN1
c3RvbTI+UE1DNTY5Nzc0NDwvY3VzdG9tMj48ZWxlY3Ryb25pYy1yZXNvdXJjZS1udW0+MTAuMTEx
MS9panBvLjEyMTkxPC9lbGVjdHJvbmljLXJlc291cmNlLW51bT48L3JlY29yZD48L0NpdGU+PENp
dGU+PEF1dGhvcj5GZXJuYW5kZXotQmFycmVzPC9BdXRob3I+PFllYXI+MjAxNjwvWWVhcj48UmVj
TnVtPjEzNjI8L1JlY051bT48cmVjb3JkPjxyZWMtbnVtYmVyPjEzNjI8L3JlYy1udW1iZXI+PGZv
cmVpZ24ta2V5cz48a2V5IGFwcD0iRU4iIGRiLWlkPSJleHZhc3JmeDJkdHJhb2VzYXN4cDJzenN4
YTJkZjUwMjU5MngiIHRpbWVzdGFtcD0iMTU2NzAzMTA1NyI+MTM2Mjwva2V5PjxrZXkgYXBwPSJF
TldlYiIgZGItaWQ9IiI+MDwva2V5PjwvZm9yZWlnbi1rZXlzPjxyZWYtdHlwZSBuYW1lPSJKb3Vy
bmFsIEFydGljbGUiPjE3PC9yZWYtdHlwZT48Y29udHJpYnV0b3JzPjxhdXRob3JzPjxhdXRob3I+
RmVybmFuZGV6LUJhcnJlcywgUy48L2F1dGhvcj48YXV0aG9yPlJvbWFndWVyYSwgRC48L2F1dGhv
cj48YXV0aG9yPlZhbHZpLCBELjwvYXV0aG9yPjxhdXRob3I+TWFydGluZXosIEQuPC9hdXRob3I+
PGF1dGhvcj5WaW9xdWUsIEouPC9hdXRob3I+PGF1dGhvcj5OYXZhcnJldGUtTXVub3osIEUuIE0u
PC9hdXRob3I+PGF1dGhvcj5BbWlhbm8sIFAuPC9hdXRob3I+PGF1dGhvcj5Hb256YWxlei1QYWxh
Y2lvcywgUy48L2F1dGhvcj48YXV0aG9yPkd1eGVucywgTS48L2F1dGhvcj48YXV0aG9yPlBlcmVk
YSwgRS48L2F1dGhvcj48YXV0aG9yPlJpYW5vLCBJLjwvYXV0aG9yPjxhdXRob3I+VGFyZG9uLCBB
LjwvYXV0aG9yPjxhdXRob3I+SW5pZ3VleiwgQy48L2F1dGhvcj48YXV0aG9yPkFyaWphLCBWLjwv
YXV0aG9yPjxhdXRob3I+U3VueWVyLCBKLjwvYXV0aG9yPjxhdXRob3I+VnJpamhlaWQsIE0uPC9h
dXRob3I+PGF1dGhvcj5Jbm1hIFByb2plY3Q8L2F1dGhvcj48L2F1dGhvcnM+PC9jb250cmlidXRv
cnM+PGF1dGgtYWRkcmVzcz5DZW50cmUgZm9yIFJlc2VhcmNoIGluIEVudmlyb25tZW50YWwgRXBp
ZGVtaW9sb2d5IChDUkVBTCksIEJhcmNlbG9uYSwgU3BhaW4uJiN4RDtOdXRyaXRpb24gYW5kIE1l
bnRhbCBIZWFsdGggR3JvdXAsIFVuaXZlcnNpdGF0IFJvdmlyYSBJIFZpcmdpbGkgKFVSViksIFJl
dXMsIFNwYWluLiYjeEQ7SW5zdGl0dXRvIGRlIEludmVzdGlnYWNpb24gU2FuaXRhcmlhIGRlIFBh
bG1hIChJZElTUGEpLCBIb3NwaXRhbCBVbml2ZXJzaXRhcmkgU29uIEVzcGFzZXMsIFBhbG1hIGRl
IE1hbGxvcmNhLCBTcGFpbi4mI3hEO0NJQkVSIEZpc2lvcGF0b2xvZ2lhIGRlIGxhIE9iZXNpZGFk
IHkgTnV0cmljaW9uIChDSUJFUk9CTiksIE1hZHJpZCwgU3BhaW4uJiN4RDtDSUJFUiBFcGlkZW1p
b2xvZ2lhIHkgU2FsdWQgUHVibGljYSAoQ0lCRVJFU1ApLCBNYWRyaWQsIFNwYWluLiYjeEQ7VW5p
dmVyc2l0YXQgUG9tcGV1IEZhYnJhIChVUEYpLCBCYXJjZWxvbmEsIFNwYWluLiYjeEQ7SGFydmFy
ZCBULkguIENoYW4gU2Nob29sIG9mIFB1YmxpYyBIZWFsdGgsIEJvc3RvbiwgTUEsIFVTQS4mI3hE
O1VuaXZlcnNpZGFkIE1pZ3VlbCBIZXJuYW5kZXosIEFsaWNhbnRlLCBTcGFpbi4mI3hEO1B1Ymxp
YyBIZWFsdGggRGl2aXNpb24gb2YgR2lwdXprb2EsIEJpb0Rvbm9zdGlhIFJlc2VhcmNoIEluc3Rp
dHV0ZSwgU2FuIFNlYmFzdGlhbiwgU3BhaW4uJiN4RDtEZXBhcnRtZW50IG9mIENoaWxkIGFuZCBB
ZG9sZXNjZW50IFBzeWNoaWF0cnkvUHN5Y2hvbG9neSwgRXJhc211cyBVbml2ZXJzaXR5IE1lZGlj
YWwgQ2VudHJlLVNvcGhpYSBDaGlsZHJlbiZhcG9zO3MgSG9zcGl0YWwsIFJvdHRlcmRhbSwgVGhl
IE5ldGhlcmxhbmRzLiYjeEQ7RmFjdWx0YWQgZGUgUHNpY29sb2dpYSwgVW5pdmVyc2lkYWQgZGVs
IFBhaXMgVmFzY28tRXVza2FsIEhlcnJpa28gVW5pYmVydHNpdGF0ZWEgKFVQVi1FSFUpLCBCaXpr
YWlhLCBTcGFpbi4mI3hEO0hvc3BpdGFsIFNhbiBBZ3VzdGluLCBTRVNQQSwgQXN0dXJpYXMsIFNw
YWluLiYjeEQ7VW5pdmVyc2lkYWQgZGUgT3ZpZWRvLCBBc3R1cmlhcywgU3BhaW4uJiN4RDtGSVNB
QklPIC0gVW5pdmVyc2l0YXQgSmF1bWUgSSAtIFVuaXZlcnNpdGF0IGRlIFZhbGVuY2lhIEVwaWRl
bWlvbG9neSBhbmQgRW52aXJvbm1lbnRhbCBIZWFsdGggSm9pbnQgUmVzZWFyY2ggVW5pdCwgVmFs
ZW5jaWEsIFNwYWluLiYjeEQ7SW5zdGl0dXQgSG9zcGl0YWwgZGVsIE1hciBkJmFwb3M7SW52ZXN0
aWdhY2lvbnMgTWVkaXF1ZXMtUGFyYyBkZSBTYWx1dCBNYXIsIEJhcmNlbG9uYSwgU3BhaW4uPC9h
dXRoLWFkZHJlc3M+PHRpdGxlcz48dGl0bGU+TWVkaXRlcnJhbmVhbiBkaWV0YXJ5IHBhdHRlcm4g
aW4gcHJlZ25hbnQgd29tZW4gYW5kIG9mZnNwcmluZyByaXNrIG9mIG92ZXJ3ZWlnaHQgYW5kIGFi
ZG9taW5hbCBvYmVzaXR5IGluIGVhcmx5IGNoaWxkaG9vZDogdGhlIElOTUEgYmlydGggY29ob3J0
IHN0dWR5PC90aXRsZT48c2Vjb25kYXJ5LXRpdGxlPlBlZGlhdHIgT2Jlczwvc2Vjb25kYXJ5LXRp
dGxlPjwvdGl0bGVzPjxwZXJpb2RpY2FsPjxmdWxsLXRpdGxlPlBlZGlhdHIgT2JlczwvZnVsbC10
aXRsZT48L3BlcmlvZGljYWw+PHBhZ2VzPjQ5MS00OTk8L3BhZ2VzPjx2b2x1bWU+MTE8L3ZvbHVt
ZT48bnVtYmVyPjY8L251bWJlcj48ZWRpdGlvbj4yMDE2LzAxLzE1PC9lZGl0aW9uPjxrZXl3b3Jk
cz48a2V5d29yZD5BZHVsdDwva2V5d29yZD48a2V5d29yZD5BbnRocm9wb21ldHJ5PC9rZXl3b3Jk
PjxrZXl3b3JkPkNoaWxkPC9rZXl3b3JkPjxrZXl3b3JkPkNvaG9ydCBTdHVkaWVzPC9rZXl3b3Jk
PjxrZXl3b3JkPipEaWV0LCBNZWRpdGVycmFuZWFuPC9rZXl3b3JkPjxrZXl3b3JkPkZlbWFsZTwv
a2V5d29yZD48a2V5d29yZD5IdW1hbnM8L2tleXdvcmQ+PGtleXdvcmQ+TG9naXN0aWMgTW9kZWxz
PC9rZXl3b3JkPjxrZXl3b3JkPk1hbGU8L2tleXdvcmQ+PGtleXdvcmQ+T2Jlc2l0eSwgQWJkb21p
bmFsL2VwaWRlbWlvbG9neS8qZXRpb2xvZ3k8L2tleXdvcmQ+PGtleXdvcmQ+T3ZlcndlaWdodC9l
cGlkZW1pb2xvZ3kvKmV0aW9sb2d5PC9rZXl3b3JkPjxrZXl3b3JkPlBhdGllbnQgQ29tcGxpYW5j
ZTwva2V5d29yZD48a2V5d29yZD5QZWRpYXRyaWMgT2Jlc2l0eS8qZXBpZGVtaW9sb2d5LypldGlv
bG9neTwva2V5d29yZD48a2V5d29yZD5QcmVnbmFuY3k8L2tleXdvcmQ+PGtleXdvcmQ+UmlzayBG
YWN0b3JzPC9rZXl3b3JkPjxrZXl3b3JkPlNwYWluPC9rZXl3b3JkPjxrZXl3b3JkPlN1cnZleXMg
YW5kIFF1ZXN0aW9ubmFpcmVzPC9rZXl3b3JkPjxrZXl3b3JkPipBYmRvbWluYWwgb2Jlc2l0eTwv
a2V5d29yZD48a2V5d29yZD4qTWVkaXRlcnJhbmVhbiBkaWV0PC9rZXl3b3JkPjxrZXl3b3JkPipj
aGlsZGhvb2Qgb2Jlc2l0eTwva2V5d29yZD48a2V5d29yZD4qcHJlZ25hbmN5PC9rZXl3b3JkPjwv
a2V5d29yZHM+PGRhdGVzPjx5ZWFyPjIwMTY8L3llYXI+PHB1Yi1kYXRlcz48ZGF0ZT5EZWM8L2Rh
dGU+PC9wdWItZGF0ZXM+PC9kYXRlcz48aXNibj4yMDQ3LTYzMTAgKEVsZWN0cm9uaWMpJiN4RDsy
MDQ3LTYzMDIgKExpbmtpbmcpPC9pc2JuPjxhY2Nlc3Npb24tbnVtPjI2NzYzNzY3PC9hY2Nlc3Np
b24tbnVtPjx1cmxzPjxyZWxhdGVkLXVybHM+PHVybD5odHRwczovL3d3dy5uY2JpLm5sbS5uaWgu
Z292L3B1Ym1lZC8yNjc2Mzc2NzwvdXJsPjwvcmVsYXRlZC11cmxzPjwvdXJscz48ZWxlY3Ryb25p
Yy1yZXNvdXJjZS1udW0+MTAuMTExMS9panBvLjEyMDkyPC9lbGVjdHJvbmljLXJlc291cmNlLW51
bT48L3JlY29yZD48L0NpdGU+PC9FbmROb3RlPgB=
</w:fldData>
        </w:fldChar>
      </w:r>
      <w:r w:rsidR="002747EA">
        <w:instrText xml:space="preserve"> ADDIN EN.CITE </w:instrText>
      </w:r>
      <w:r w:rsidR="002747EA">
        <w:fldChar w:fldCharType="begin">
          <w:fldData xml:space="preserve">PEVuZE5vdGU+PENpdGU+PEF1dGhvcj5DaGF0emk8L0F1dGhvcj48WWVhcj4yMDE3PC9ZZWFyPjxS
ZWNOdW0+MTM1MjwvUmVjTnVtPjxEaXNwbGF5VGV4dD48c3R5bGUgZmFjZT0ic3VwZXJzY3JpcHQi
IGZvbnQ9IlRyZWJ1Y2hldCBNUyIgc2l6ZT0iOSI+NDksNTA8L3N0eWxlPjwvRGlzcGxheVRleHQ+
PHJlY29yZD48cmVjLW51bWJlcj4xMzUyPC9yZWMtbnVtYmVyPjxmb3JlaWduLWtleXM+PGtleSBh
cHA9IkVOIiBkYi1pZD0iZXh2YXNyZngyZHRyYW9lc2FzeHAyc3pzeGEyZGY1MDI1OTJ4IiB0aW1l
c3RhbXA9IjE1NjcwMzEwMTUiPjEzNTI8L2tleT48a2V5IGFwcD0iRU5XZWIiIGRiLWlkPSIiPjA8
L2tleT48L2ZvcmVpZ24ta2V5cz48cmVmLXR5cGUgbmFtZT0iSm91cm5hbCBBcnRpY2xlIj4xNzwv
cmVmLXR5cGU+PGNvbnRyaWJ1dG9ycz48YXV0aG9ycz48YXV0aG9yPkNoYXR6aSwgTC48L2F1dGhv
cj48YXV0aG9yPlJpZmFzLVNoaW1hbiwgUy4gTC48L2F1dGhvcj48YXV0aG9yPkdlb3JnaW91LCBW
LjwvYXV0aG9yPjxhdXRob3I+Sm91bmcsIEsuIEUuPC9hdXRob3I+PGF1dGhvcj5Lb2luYWtpLCBT
LjwvYXV0aG9yPjxhdXRob3I+Q2hhbGtpYWRha2ksIEcuPC9hdXRob3I+PGF1dGhvcj5NYXJnaW9y
aXMsIEEuPC9hdXRob3I+PGF1dGhvcj5TYXJyaSwgSy48L2F1dGhvcj48YXV0aG9yPlZhc3NpbGFr
aSwgTS48L2F1dGhvcj48YXV0aG9yPlZhZmVpYWRpLCBNLjwvYXV0aG9yPjxhdXRob3I+S29nZXZp
bmFzLCBNLjwvYXV0aG9yPjxhdXRob3I+TWFudHpvcm9zLCBDLjwvYXV0aG9yPjxhdXRob3I+R2ls
bG1hbiwgTS4gVy48L2F1dGhvcj48YXV0aG9yPk9rZW4sIEUuPC9hdXRob3I+PC9hdXRob3JzPjwv
Y29udHJpYnV0b3JzPjxhdXRoLWFkZHJlc3M+RGVwYXJ0bWVudCBvZiBTb2NpYWwgTWVkaWNpbmUs
IFVuaXZlcnNpdHkgb2YgQ3JldGUsIEhlcmFrbGlvbiwgR3JlZWNlLiYjeEQ7T2Jlc2l0eSBQcmV2
ZW50aW9uIFByb2dyYW0sIERlcGFydG1lbnQgb2YgUG9wdWxhdGlvbiBNZWRpY2luZSwgSGFydmFy
ZCBNZWRpY2FsIFNjaG9vbCBhbmQgSGFydmFyZCBQaWxncmltIEhlYWx0aCBDYXJlIEluc3RpdHV0
ZSwgQm9zdG9uLCBNQSwgVVNBLiYjeEQ7RGl2aXNpb24gb2YgRW5kb2NyaW5vbG9neSwgRGlhYmV0
ZXMsICZhbXA7IE1ldGFib2xpc20sIERlcGFydG1lbnQgb2YgTWVkaWNpbmUsIEJldGggSXNyYWVs
IERlYWNvbmVzcyBNZWRpY2FsIENlbnRlciwgSGFydmFyZCBNZWRpY2FsIFNjaG9vbCwgQm9zdG9u
LCBNQSwgVVNBLiYjeEQ7RGVwYXJ0bWVudCBvZiBMYWJvcmF0b3J5IE1lZGljaW5lLCBVbml2ZXJz
aXR5IG9mIENyZXRlLCBIZXJha2xpb24sIEdyZWVjZS4mI3hEO0NlbnRyZSBmb3IgUmVzZWFyY2gg
aW4gRW52aXJvbm1lbnRhbCBFcGlkZW1pb2xvZ3ksIENSRUFMLCBCYXJjZWxvbmEsIFNwYWluLjwv
YXV0aC1hZGRyZXNzPjx0aXRsZXM+PHRpdGxlPkFkaGVyZW5jZSB0byB0aGUgTWVkaXRlcnJhbmVh
biBkaWV0IGR1cmluZyBwcmVnbmFuY3kgYW5kIG9mZnNwcmluZyBhZGlwb3NpdHkgYW5kIGNhcmRp
b21ldGFib2xpYyB0cmFpdHMgaW4gY2hpbGRob29kPC90aXRsZT48c2Vjb25kYXJ5LXRpdGxlPlBl
ZGlhdHIgT2Jlczwvc2Vjb25kYXJ5LXRpdGxlPjwvdGl0bGVzPjxwZXJpb2RpY2FsPjxmdWxsLXRp
dGxlPlBlZGlhdHIgT2JlczwvZnVsbC10aXRsZT48L3BlcmlvZGljYWw+PHBhZ2VzPjQ3LTU2PC9w
YWdlcz48dm9sdW1lPjEyIFN1cHBsIDE8L3ZvbHVtZT48ZWRpdGlvbj4yMDE3LzAyLzA2PC9lZGl0
aW9uPjxrZXl3b3Jkcz48a2V5d29yZD5BZGlwb3NpdHkvKnBoeXNpb2xvZ3k8L2tleXdvcmQ+PGtl
eXdvcmQ+QWR1bHQ8L2tleXdvcmQ+PGtleXdvcmQ+QW50aHJvcG9tZXRyeTwva2V5d29yZD48a2V5
d29yZD5CbG9vZCBQcmVzc3VyZTwva2V5d29yZD48a2V5d29yZD5DLVJlYWN0aXZlIFByb3RlaW48
L2tleXdvcmQ+PGtleXdvcmQ+Q2FyZGlvdmFzY3VsYXIgRGlzZWFzZXMvKnByZXZlbnRpb24gJmFt
cDsgY29udHJvbDwva2V5d29yZD48a2V5d29yZD5DaGlsZDwva2V5d29yZD48a2V5d29yZD5DaGls
ZCwgUHJlc2Nob29sPC9rZXl3b3JkPjxrZXl3b3JkPipEaWV0LCBNZWRpdGVycmFuZWFuPC9rZXl3
b3JkPjxrZXl3b3JkPkZlZWRpbmcgQmVoYXZpb3I8L2tleXdvcmQ+PGtleXdvcmQ+RmVtYWxlPC9r
ZXl3b3JkPjxrZXl3b3JkPkdyZWVjZTwva2V5d29yZD48a2V5d29yZD5IdW1hbnM8L2tleXdvcmQ+
PGtleXdvcmQ+TGlwaWRzL2Jsb29kPC9rZXl3b3JkPjxrZXl3b3JkPk1hbGU8L2tleXdvcmQ+PGtl
eXdvcmQ+TWFzc2FjaHVzZXR0czwva2V5d29yZD48a2V5d29yZD5NaWRkbGUgQWdlZDwva2V5d29y
ZD48a2V5d29yZD5QYXRpZW50IENvbXBsaWFuY2UvKnN0YXRpc3RpY3MgJmFtcDsgbnVtZXJpY2Fs
IGRhdGE8L2tleXdvcmQ+PGtleXdvcmQ+UGVkaWF0cmljIE9iZXNpdHkvZGlldCB0aGVyYXB5Lypl
cGlkZW1pb2xvZ3k8L2tleXdvcmQ+PGtleXdvcmQ+UHJlZ25hbmN5PC9rZXl3b3JkPjxrZXl3b3Jk
PlByb3NwZWN0aXZlIFN0dWRpZXM8L2tleXdvcmQ+PGtleXdvcmQ+UmlzayBGYWN0b3JzPC9rZXl3
b3JkPjxrZXl3b3JkPipCbG9vZCBwcmVzc3VyZTwva2V5d29yZD48a2V5d29yZD4qY29ob3J0IHN0
dWR5PC9rZXl3b3JkPjxrZXl3b3JkPipkaWV0PC9rZXl3b3JkPjxrZXl3b3JkPipsaXBpZHM8L2tl
eXdvcmQ+PGtleXdvcmQ+Km9iZXNpdHk8L2tleXdvcmQ+PGtleXdvcmQ+KnByZWduYW5jeTwva2V5
d29yZD48L2tleXdvcmRzPjxkYXRlcz48eWVhcj4yMDE3PC95ZWFyPjxwdWItZGF0ZXM+PGRhdGU+
QXVnPC9kYXRlPjwvcHViLWRhdGVzPjwvZGF0ZXM+PGlzYm4+MjA0Ny02MzEwIChFbGVjdHJvbmlj
KSYjeEQ7MjA0Ny02MzAyIChMaW5raW5nKTwvaXNibj48YWNjZXNzaW9uLW51bT4yODE2MDQ1MDwv
YWNjZXNzaW9uLW51bT48dXJscz48cmVsYXRlZC11cmxzPjx1cmw+aHR0cHM6Ly93d3cubmNiaS5u
bG0ubmloLmdvdi9wdWJtZWQvMjgxNjA0NTA8L3VybD48L3JlbGF0ZWQtdXJscz48L3VybHM+PGN1
c3RvbTI+UE1DNTY5Nzc0NDwvY3VzdG9tMj48ZWxlY3Ryb25pYy1yZXNvdXJjZS1udW0+MTAuMTEx
MS9panBvLjEyMTkxPC9lbGVjdHJvbmljLXJlc291cmNlLW51bT48L3JlY29yZD48L0NpdGU+PENp
dGU+PEF1dGhvcj5GZXJuYW5kZXotQmFycmVzPC9BdXRob3I+PFllYXI+MjAxNjwvWWVhcj48UmVj
TnVtPjEzNjI8L1JlY051bT48cmVjb3JkPjxyZWMtbnVtYmVyPjEzNjI8L3JlYy1udW1iZXI+PGZv
cmVpZ24ta2V5cz48a2V5IGFwcD0iRU4iIGRiLWlkPSJleHZhc3JmeDJkdHJhb2VzYXN4cDJzenN4
YTJkZjUwMjU5MngiIHRpbWVzdGFtcD0iMTU2NzAzMTA1NyI+MTM2Mjwva2V5PjxrZXkgYXBwPSJF
TldlYiIgZGItaWQ9IiI+MDwva2V5PjwvZm9yZWlnbi1rZXlzPjxyZWYtdHlwZSBuYW1lPSJKb3Vy
bmFsIEFydGljbGUiPjE3PC9yZWYtdHlwZT48Y29udHJpYnV0b3JzPjxhdXRob3JzPjxhdXRob3I+
RmVybmFuZGV6LUJhcnJlcywgUy48L2F1dGhvcj48YXV0aG9yPlJvbWFndWVyYSwgRC48L2F1dGhv
cj48YXV0aG9yPlZhbHZpLCBELjwvYXV0aG9yPjxhdXRob3I+TWFydGluZXosIEQuPC9hdXRob3I+
PGF1dGhvcj5WaW9xdWUsIEouPC9hdXRob3I+PGF1dGhvcj5OYXZhcnJldGUtTXVub3osIEUuIE0u
PC9hdXRob3I+PGF1dGhvcj5BbWlhbm8sIFAuPC9hdXRob3I+PGF1dGhvcj5Hb256YWxlei1QYWxh
Y2lvcywgUy48L2F1dGhvcj48YXV0aG9yPkd1eGVucywgTS48L2F1dGhvcj48YXV0aG9yPlBlcmVk
YSwgRS48L2F1dGhvcj48YXV0aG9yPlJpYW5vLCBJLjwvYXV0aG9yPjxhdXRob3I+VGFyZG9uLCBB
LjwvYXV0aG9yPjxhdXRob3I+SW5pZ3VleiwgQy48L2F1dGhvcj48YXV0aG9yPkFyaWphLCBWLjwv
YXV0aG9yPjxhdXRob3I+U3VueWVyLCBKLjwvYXV0aG9yPjxhdXRob3I+VnJpamhlaWQsIE0uPC9h
dXRob3I+PGF1dGhvcj5Jbm1hIFByb2plY3Q8L2F1dGhvcj48L2F1dGhvcnM+PC9jb250cmlidXRv
cnM+PGF1dGgtYWRkcmVzcz5DZW50cmUgZm9yIFJlc2VhcmNoIGluIEVudmlyb25tZW50YWwgRXBp
ZGVtaW9sb2d5IChDUkVBTCksIEJhcmNlbG9uYSwgU3BhaW4uJiN4RDtOdXRyaXRpb24gYW5kIE1l
bnRhbCBIZWFsdGggR3JvdXAsIFVuaXZlcnNpdGF0IFJvdmlyYSBJIFZpcmdpbGkgKFVSViksIFJl
dXMsIFNwYWluLiYjeEQ7SW5zdGl0dXRvIGRlIEludmVzdGlnYWNpb24gU2FuaXRhcmlhIGRlIFBh
bG1hIChJZElTUGEpLCBIb3NwaXRhbCBVbml2ZXJzaXRhcmkgU29uIEVzcGFzZXMsIFBhbG1hIGRl
IE1hbGxvcmNhLCBTcGFpbi4mI3hEO0NJQkVSIEZpc2lvcGF0b2xvZ2lhIGRlIGxhIE9iZXNpZGFk
IHkgTnV0cmljaW9uIChDSUJFUk9CTiksIE1hZHJpZCwgU3BhaW4uJiN4RDtDSUJFUiBFcGlkZW1p
b2xvZ2lhIHkgU2FsdWQgUHVibGljYSAoQ0lCRVJFU1ApLCBNYWRyaWQsIFNwYWluLiYjeEQ7VW5p
dmVyc2l0YXQgUG9tcGV1IEZhYnJhIChVUEYpLCBCYXJjZWxvbmEsIFNwYWluLiYjeEQ7SGFydmFy
ZCBULkguIENoYW4gU2Nob29sIG9mIFB1YmxpYyBIZWFsdGgsIEJvc3RvbiwgTUEsIFVTQS4mI3hE
O1VuaXZlcnNpZGFkIE1pZ3VlbCBIZXJuYW5kZXosIEFsaWNhbnRlLCBTcGFpbi4mI3hEO1B1Ymxp
YyBIZWFsdGggRGl2aXNpb24gb2YgR2lwdXprb2EsIEJpb0Rvbm9zdGlhIFJlc2VhcmNoIEluc3Rp
dHV0ZSwgU2FuIFNlYmFzdGlhbiwgU3BhaW4uJiN4RDtEZXBhcnRtZW50IG9mIENoaWxkIGFuZCBB
ZG9sZXNjZW50IFBzeWNoaWF0cnkvUHN5Y2hvbG9neSwgRXJhc211cyBVbml2ZXJzaXR5IE1lZGlj
YWwgQ2VudHJlLVNvcGhpYSBDaGlsZHJlbiZhcG9zO3MgSG9zcGl0YWwsIFJvdHRlcmRhbSwgVGhl
IE5ldGhlcmxhbmRzLiYjeEQ7RmFjdWx0YWQgZGUgUHNpY29sb2dpYSwgVW5pdmVyc2lkYWQgZGVs
IFBhaXMgVmFzY28tRXVza2FsIEhlcnJpa28gVW5pYmVydHNpdGF0ZWEgKFVQVi1FSFUpLCBCaXpr
YWlhLCBTcGFpbi4mI3hEO0hvc3BpdGFsIFNhbiBBZ3VzdGluLCBTRVNQQSwgQXN0dXJpYXMsIFNw
YWluLiYjeEQ7VW5pdmVyc2lkYWQgZGUgT3ZpZWRvLCBBc3R1cmlhcywgU3BhaW4uJiN4RDtGSVNB
QklPIC0gVW5pdmVyc2l0YXQgSmF1bWUgSSAtIFVuaXZlcnNpdGF0IGRlIFZhbGVuY2lhIEVwaWRl
bWlvbG9neSBhbmQgRW52aXJvbm1lbnRhbCBIZWFsdGggSm9pbnQgUmVzZWFyY2ggVW5pdCwgVmFs
ZW5jaWEsIFNwYWluLiYjeEQ7SW5zdGl0dXQgSG9zcGl0YWwgZGVsIE1hciBkJmFwb3M7SW52ZXN0
aWdhY2lvbnMgTWVkaXF1ZXMtUGFyYyBkZSBTYWx1dCBNYXIsIEJhcmNlbG9uYSwgU3BhaW4uPC9h
dXRoLWFkZHJlc3M+PHRpdGxlcz48dGl0bGU+TWVkaXRlcnJhbmVhbiBkaWV0YXJ5IHBhdHRlcm4g
aW4gcHJlZ25hbnQgd29tZW4gYW5kIG9mZnNwcmluZyByaXNrIG9mIG92ZXJ3ZWlnaHQgYW5kIGFi
ZG9taW5hbCBvYmVzaXR5IGluIGVhcmx5IGNoaWxkaG9vZDogdGhlIElOTUEgYmlydGggY29ob3J0
IHN0dWR5PC90aXRsZT48c2Vjb25kYXJ5LXRpdGxlPlBlZGlhdHIgT2Jlczwvc2Vjb25kYXJ5LXRp
dGxlPjwvdGl0bGVzPjxwZXJpb2RpY2FsPjxmdWxsLXRpdGxlPlBlZGlhdHIgT2JlczwvZnVsbC10
aXRsZT48L3BlcmlvZGljYWw+PHBhZ2VzPjQ5MS00OTk8L3BhZ2VzPjx2b2x1bWU+MTE8L3ZvbHVt
ZT48bnVtYmVyPjY8L251bWJlcj48ZWRpdGlvbj4yMDE2LzAxLzE1PC9lZGl0aW9uPjxrZXl3b3Jk
cz48a2V5d29yZD5BZHVsdDwva2V5d29yZD48a2V5d29yZD5BbnRocm9wb21ldHJ5PC9rZXl3b3Jk
PjxrZXl3b3JkPkNoaWxkPC9rZXl3b3JkPjxrZXl3b3JkPkNvaG9ydCBTdHVkaWVzPC9rZXl3b3Jk
PjxrZXl3b3JkPipEaWV0LCBNZWRpdGVycmFuZWFuPC9rZXl3b3JkPjxrZXl3b3JkPkZlbWFsZTwv
a2V5d29yZD48a2V5d29yZD5IdW1hbnM8L2tleXdvcmQ+PGtleXdvcmQ+TG9naXN0aWMgTW9kZWxz
PC9rZXl3b3JkPjxrZXl3b3JkPk1hbGU8L2tleXdvcmQ+PGtleXdvcmQ+T2Jlc2l0eSwgQWJkb21p
bmFsL2VwaWRlbWlvbG9neS8qZXRpb2xvZ3k8L2tleXdvcmQ+PGtleXdvcmQ+T3ZlcndlaWdodC9l
cGlkZW1pb2xvZ3kvKmV0aW9sb2d5PC9rZXl3b3JkPjxrZXl3b3JkPlBhdGllbnQgQ29tcGxpYW5j
ZTwva2V5d29yZD48a2V5d29yZD5QZWRpYXRyaWMgT2Jlc2l0eS8qZXBpZGVtaW9sb2d5LypldGlv
bG9neTwva2V5d29yZD48a2V5d29yZD5QcmVnbmFuY3k8L2tleXdvcmQ+PGtleXdvcmQ+UmlzayBG
YWN0b3JzPC9rZXl3b3JkPjxrZXl3b3JkPlNwYWluPC9rZXl3b3JkPjxrZXl3b3JkPlN1cnZleXMg
YW5kIFF1ZXN0aW9ubmFpcmVzPC9rZXl3b3JkPjxrZXl3b3JkPipBYmRvbWluYWwgb2Jlc2l0eTwv
a2V5d29yZD48a2V5d29yZD4qTWVkaXRlcnJhbmVhbiBkaWV0PC9rZXl3b3JkPjxrZXl3b3JkPipj
aGlsZGhvb2Qgb2Jlc2l0eTwva2V5d29yZD48a2V5d29yZD4qcHJlZ25hbmN5PC9rZXl3b3JkPjwv
a2V5d29yZHM+PGRhdGVzPjx5ZWFyPjIwMTY8L3llYXI+PHB1Yi1kYXRlcz48ZGF0ZT5EZWM8L2Rh
dGU+PC9wdWItZGF0ZXM+PC9kYXRlcz48aXNibj4yMDQ3LTYzMTAgKEVsZWN0cm9uaWMpJiN4RDsy
MDQ3LTYzMDIgKExpbmtpbmcpPC9pc2JuPjxhY2Nlc3Npb24tbnVtPjI2NzYzNzY3PC9hY2Nlc3Np
b24tbnVtPjx1cmxzPjxyZWxhdGVkLXVybHM+PHVybD5odHRwczovL3d3dy5uY2JpLm5sbS5uaWgu
Z292L3B1Ym1lZC8yNjc2Mzc2NzwvdXJsPjwvcmVsYXRlZC11cmxzPjwvdXJscz48ZWxlY3Ryb25p
Yy1yZXNvdXJjZS1udW0+MTAuMTExMS9panBvLjEyMDkyPC9lbGVjdHJvbmljLXJlc291cmNlLW51
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49,50</w:t>
      </w:r>
      <w:r>
        <w:fldChar w:fldCharType="end"/>
      </w:r>
      <w:r>
        <w:t xml:space="preserve"> skinfold thickness</w:t>
      </w:r>
      <w:r>
        <w:fldChar w:fldCharType="begin">
          <w:fldData xml:space="preserve">PEVuZE5vdGU+PENpdGU+PEF1dGhvcj5DaGF0emk8L0F1dGhvcj48WWVhcj4yMDE3PC9ZZWFyPjxS
ZWNOdW0+MTM1MjwvUmVjTnVtPjxEaXNwbGF5VGV4dD48c3R5bGUgZmFjZT0ic3VwZXJzY3JpcHQi
IGZvbnQ9IlRyZWJ1Y2hldCBNUyIgc2l6ZT0iOSI+NDk8L3N0eWxlPjwvRGlzcGxheVRleHQ+PHJl
Y29yZD48cmVjLW51bWJlcj4xMzUyPC9yZWMtbnVtYmVyPjxmb3JlaWduLWtleXM+PGtleSBhcHA9
IkVOIiBkYi1pZD0iZXh2YXNyZngyZHRyYW9lc2FzeHAyc3pzeGEyZGY1MDI1OTJ4IiB0aW1lc3Rh
bXA9IjE1NjcwMzEwMTUiPjEzNTI8L2tleT48a2V5IGFwcD0iRU5XZWIiIGRiLWlkPSIiPjA8L2tl
eT48L2ZvcmVpZ24ta2V5cz48cmVmLXR5cGUgbmFtZT0iSm91cm5hbCBBcnRpY2xlIj4xNzwvcmVm
LXR5cGU+PGNvbnRyaWJ1dG9ycz48YXV0aG9ycz48YXV0aG9yPkNoYXR6aSwgTC48L2F1dGhvcj48
YXV0aG9yPlJpZmFzLVNoaW1hbiwgUy4gTC48L2F1dGhvcj48YXV0aG9yPkdlb3JnaW91LCBWLjwv
YXV0aG9yPjxhdXRob3I+Sm91bmcsIEsuIEUuPC9hdXRob3I+PGF1dGhvcj5Lb2luYWtpLCBTLjwv
YXV0aG9yPjxhdXRob3I+Q2hhbGtpYWRha2ksIEcuPC9hdXRob3I+PGF1dGhvcj5NYXJnaW9yaXMs
IEEuPC9hdXRob3I+PGF1dGhvcj5TYXJyaSwgSy48L2F1dGhvcj48YXV0aG9yPlZhc3NpbGFraSwg
TS48L2F1dGhvcj48YXV0aG9yPlZhZmVpYWRpLCBNLjwvYXV0aG9yPjxhdXRob3I+S29nZXZpbmFz
LCBNLjwvYXV0aG9yPjxhdXRob3I+TWFudHpvcm9zLCBDLjwvYXV0aG9yPjxhdXRob3I+R2lsbG1h
biwgTS4gVy48L2F1dGhvcj48YXV0aG9yPk9rZW4sIEUuPC9hdXRob3I+PC9hdXRob3JzPjwvY29u
dHJpYnV0b3JzPjxhdXRoLWFkZHJlc3M+RGVwYXJ0bWVudCBvZiBTb2NpYWwgTWVkaWNpbmUsIFVu
aXZlcnNpdHkgb2YgQ3JldGUsIEhlcmFrbGlvbiwgR3JlZWNlLiYjeEQ7T2Jlc2l0eSBQcmV2ZW50
aW9uIFByb2dyYW0sIERlcGFydG1lbnQgb2YgUG9wdWxhdGlvbiBNZWRpY2luZSwgSGFydmFyZCBN
ZWRpY2FsIFNjaG9vbCBhbmQgSGFydmFyZCBQaWxncmltIEhlYWx0aCBDYXJlIEluc3RpdHV0ZSwg
Qm9zdG9uLCBNQSwgVVNBLiYjeEQ7RGl2aXNpb24gb2YgRW5kb2NyaW5vbG9neSwgRGlhYmV0ZXMs
ICZhbXA7IE1ldGFib2xpc20sIERlcGFydG1lbnQgb2YgTWVkaWNpbmUsIEJldGggSXNyYWVsIERl
YWNvbmVzcyBNZWRpY2FsIENlbnRlciwgSGFydmFyZCBNZWRpY2FsIFNjaG9vbCwgQm9zdG9uLCBN
QSwgVVNBLiYjeEQ7RGVwYXJ0bWVudCBvZiBMYWJvcmF0b3J5IE1lZGljaW5lLCBVbml2ZXJzaXR5
IG9mIENyZXRlLCBIZXJha2xpb24sIEdyZWVjZS4mI3hEO0NlbnRyZSBmb3IgUmVzZWFyY2ggaW4g
RW52aXJvbm1lbnRhbCBFcGlkZW1pb2xvZ3ksIENSRUFMLCBCYXJjZWxvbmEsIFNwYWluLjwvYXV0
aC1hZGRyZXNzPjx0aXRsZXM+PHRpdGxlPkFkaGVyZW5jZSB0byB0aGUgTWVkaXRlcnJhbmVhbiBk
aWV0IGR1cmluZyBwcmVnbmFuY3kgYW5kIG9mZnNwcmluZyBhZGlwb3NpdHkgYW5kIGNhcmRpb21l
dGFib2xpYyB0cmFpdHMgaW4gY2hpbGRob29kPC90aXRsZT48c2Vjb25kYXJ5LXRpdGxlPlBlZGlh
dHIgT2Jlczwvc2Vjb25kYXJ5LXRpdGxlPjwvdGl0bGVzPjxwZXJpb2RpY2FsPjxmdWxsLXRpdGxl
PlBlZGlhdHIgT2JlczwvZnVsbC10aXRsZT48L3BlcmlvZGljYWw+PHBhZ2VzPjQ3LTU2PC9wYWdl
cz48dm9sdW1lPjEyIFN1cHBsIDE8L3ZvbHVtZT48ZWRpdGlvbj4yMDE3LzAyLzA2PC9lZGl0aW9u
PjxrZXl3b3Jkcz48a2V5d29yZD5BZGlwb3NpdHkvKnBoeXNpb2xvZ3k8L2tleXdvcmQ+PGtleXdv
cmQ+QWR1bHQ8L2tleXdvcmQ+PGtleXdvcmQ+QW50aHJvcG9tZXRyeTwva2V5d29yZD48a2V5d29y
ZD5CbG9vZCBQcmVzc3VyZTwva2V5d29yZD48a2V5d29yZD5DLVJlYWN0aXZlIFByb3RlaW48L2tl
eXdvcmQ+PGtleXdvcmQ+Q2FyZGlvdmFzY3VsYXIgRGlzZWFzZXMvKnByZXZlbnRpb24gJmFtcDsg
Y29udHJvbDwva2V5d29yZD48a2V5d29yZD5DaGlsZDwva2V5d29yZD48a2V5d29yZD5DaGlsZCwg
UHJlc2Nob29sPC9rZXl3b3JkPjxrZXl3b3JkPipEaWV0LCBNZWRpdGVycmFuZWFuPC9rZXl3b3Jk
PjxrZXl3b3JkPkZlZWRpbmcgQmVoYXZpb3I8L2tleXdvcmQ+PGtleXdvcmQ+RmVtYWxlPC9rZXl3
b3JkPjxrZXl3b3JkPkdyZWVjZTwva2V5d29yZD48a2V5d29yZD5IdW1hbnM8L2tleXdvcmQ+PGtl
eXdvcmQ+TGlwaWRzL2Jsb29kPC9rZXl3b3JkPjxrZXl3b3JkPk1hbGU8L2tleXdvcmQ+PGtleXdv
cmQ+TWFzc2FjaHVzZXR0czwva2V5d29yZD48a2V5d29yZD5NaWRkbGUgQWdlZDwva2V5d29yZD48
a2V5d29yZD5QYXRpZW50IENvbXBsaWFuY2UvKnN0YXRpc3RpY3MgJmFtcDsgbnVtZXJpY2FsIGRh
dGE8L2tleXdvcmQ+PGtleXdvcmQ+UGVkaWF0cmljIE9iZXNpdHkvZGlldCB0aGVyYXB5LyplcGlk
ZW1pb2xvZ3k8L2tleXdvcmQ+PGtleXdvcmQ+UHJlZ25hbmN5PC9rZXl3b3JkPjxrZXl3b3JkPlBy
b3NwZWN0aXZlIFN0dWRpZXM8L2tleXdvcmQ+PGtleXdvcmQ+UmlzayBGYWN0b3JzPC9rZXl3b3Jk
PjxrZXl3b3JkPipCbG9vZCBwcmVzc3VyZTwva2V5d29yZD48a2V5d29yZD4qY29ob3J0IHN0dWR5
PC9rZXl3b3JkPjxrZXl3b3JkPipkaWV0PC9rZXl3b3JkPjxrZXl3b3JkPipsaXBpZHM8L2tleXdv
cmQ+PGtleXdvcmQ+Km9iZXNpdHk8L2tleXdvcmQ+PGtleXdvcmQ+KnByZWduYW5jeTwva2V5d29y
ZD48L2tleXdvcmRzPjxkYXRlcz48eWVhcj4yMDE3PC95ZWFyPjxwdWItZGF0ZXM+PGRhdGU+QXVn
PC9kYXRlPjwvcHViLWRhdGVzPjwvZGF0ZXM+PGlzYm4+MjA0Ny02MzEwIChFbGVjdHJvbmljKSYj
eEQ7MjA0Ny02MzAyIChMaW5raW5nKTwvaXNibj48YWNjZXNzaW9uLW51bT4yODE2MDQ1MDwvYWNj
ZXNzaW9uLW51bT48dXJscz48cmVsYXRlZC11cmxzPjx1cmw+aHR0cHM6Ly93d3cubmNiaS5ubG0u
bmloLmdvdi9wdWJtZWQvMjgxNjA0NTA8L3VybD48L3JlbGF0ZWQtdXJscz48L3VybHM+PGN1c3Rv
bTI+UE1DNTY5Nzc0NDwvY3VzdG9tMj48ZWxlY3Ryb25pYy1yZXNvdXJjZS1udW0+MTAuMTExMS9p
anBvLjEyMTkxPC9lbGVjdHJvbmljLXJlc291cmNlLW51bT48L3JlY29yZD48L0NpdGU+PC9FbmRO
b3RlPgB=
</w:fldData>
        </w:fldChar>
      </w:r>
      <w:r w:rsidR="002747EA">
        <w:instrText xml:space="preserve"> ADDIN EN.CITE </w:instrText>
      </w:r>
      <w:r w:rsidR="002747EA">
        <w:fldChar w:fldCharType="begin">
          <w:fldData xml:space="preserve">PEVuZE5vdGU+PENpdGU+PEF1dGhvcj5DaGF0emk8L0F1dGhvcj48WWVhcj4yMDE3PC9ZZWFyPjxS
ZWNOdW0+MTM1MjwvUmVjTnVtPjxEaXNwbGF5VGV4dD48c3R5bGUgZmFjZT0ic3VwZXJzY3JpcHQi
IGZvbnQ9IlRyZWJ1Y2hldCBNUyIgc2l6ZT0iOSI+NDk8L3N0eWxlPjwvRGlzcGxheVRleHQ+PHJl
Y29yZD48cmVjLW51bWJlcj4xMzUyPC9yZWMtbnVtYmVyPjxmb3JlaWduLWtleXM+PGtleSBhcHA9
IkVOIiBkYi1pZD0iZXh2YXNyZngyZHRyYW9lc2FzeHAyc3pzeGEyZGY1MDI1OTJ4IiB0aW1lc3Rh
bXA9IjE1NjcwMzEwMTUiPjEzNTI8L2tleT48a2V5IGFwcD0iRU5XZWIiIGRiLWlkPSIiPjA8L2tl
eT48L2ZvcmVpZ24ta2V5cz48cmVmLXR5cGUgbmFtZT0iSm91cm5hbCBBcnRpY2xlIj4xNzwvcmVm
LXR5cGU+PGNvbnRyaWJ1dG9ycz48YXV0aG9ycz48YXV0aG9yPkNoYXR6aSwgTC48L2F1dGhvcj48
YXV0aG9yPlJpZmFzLVNoaW1hbiwgUy4gTC48L2F1dGhvcj48YXV0aG9yPkdlb3JnaW91LCBWLjwv
YXV0aG9yPjxhdXRob3I+Sm91bmcsIEsuIEUuPC9hdXRob3I+PGF1dGhvcj5Lb2luYWtpLCBTLjwv
YXV0aG9yPjxhdXRob3I+Q2hhbGtpYWRha2ksIEcuPC9hdXRob3I+PGF1dGhvcj5NYXJnaW9yaXMs
IEEuPC9hdXRob3I+PGF1dGhvcj5TYXJyaSwgSy48L2F1dGhvcj48YXV0aG9yPlZhc3NpbGFraSwg
TS48L2F1dGhvcj48YXV0aG9yPlZhZmVpYWRpLCBNLjwvYXV0aG9yPjxhdXRob3I+S29nZXZpbmFz
LCBNLjwvYXV0aG9yPjxhdXRob3I+TWFudHpvcm9zLCBDLjwvYXV0aG9yPjxhdXRob3I+R2lsbG1h
biwgTS4gVy48L2F1dGhvcj48YXV0aG9yPk9rZW4sIEUuPC9hdXRob3I+PC9hdXRob3JzPjwvY29u
dHJpYnV0b3JzPjxhdXRoLWFkZHJlc3M+RGVwYXJ0bWVudCBvZiBTb2NpYWwgTWVkaWNpbmUsIFVu
aXZlcnNpdHkgb2YgQ3JldGUsIEhlcmFrbGlvbiwgR3JlZWNlLiYjeEQ7T2Jlc2l0eSBQcmV2ZW50
aW9uIFByb2dyYW0sIERlcGFydG1lbnQgb2YgUG9wdWxhdGlvbiBNZWRpY2luZSwgSGFydmFyZCBN
ZWRpY2FsIFNjaG9vbCBhbmQgSGFydmFyZCBQaWxncmltIEhlYWx0aCBDYXJlIEluc3RpdHV0ZSwg
Qm9zdG9uLCBNQSwgVVNBLiYjeEQ7RGl2aXNpb24gb2YgRW5kb2NyaW5vbG9neSwgRGlhYmV0ZXMs
ICZhbXA7IE1ldGFib2xpc20sIERlcGFydG1lbnQgb2YgTWVkaWNpbmUsIEJldGggSXNyYWVsIERl
YWNvbmVzcyBNZWRpY2FsIENlbnRlciwgSGFydmFyZCBNZWRpY2FsIFNjaG9vbCwgQm9zdG9uLCBN
QSwgVVNBLiYjeEQ7RGVwYXJ0bWVudCBvZiBMYWJvcmF0b3J5IE1lZGljaW5lLCBVbml2ZXJzaXR5
IG9mIENyZXRlLCBIZXJha2xpb24sIEdyZWVjZS4mI3hEO0NlbnRyZSBmb3IgUmVzZWFyY2ggaW4g
RW52aXJvbm1lbnRhbCBFcGlkZW1pb2xvZ3ksIENSRUFMLCBCYXJjZWxvbmEsIFNwYWluLjwvYXV0
aC1hZGRyZXNzPjx0aXRsZXM+PHRpdGxlPkFkaGVyZW5jZSB0byB0aGUgTWVkaXRlcnJhbmVhbiBk
aWV0IGR1cmluZyBwcmVnbmFuY3kgYW5kIG9mZnNwcmluZyBhZGlwb3NpdHkgYW5kIGNhcmRpb21l
dGFib2xpYyB0cmFpdHMgaW4gY2hpbGRob29kPC90aXRsZT48c2Vjb25kYXJ5LXRpdGxlPlBlZGlh
dHIgT2Jlczwvc2Vjb25kYXJ5LXRpdGxlPjwvdGl0bGVzPjxwZXJpb2RpY2FsPjxmdWxsLXRpdGxl
PlBlZGlhdHIgT2JlczwvZnVsbC10aXRsZT48L3BlcmlvZGljYWw+PHBhZ2VzPjQ3LTU2PC9wYWdl
cz48dm9sdW1lPjEyIFN1cHBsIDE8L3ZvbHVtZT48ZWRpdGlvbj4yMDE3LzAyLzA2PC9lZGl0aW9u
PjxrZXl3b3Jkcz48a2V5d29yZD5BZGlwb3NpdHkvKnBoeXNpb2xvZ3k8L2tleXdvcmQ+PGtleXdv
cmQ+QWR1bHQ8L2tleXdvcmQ+PGtleXdvcmQ+QW50aHJvcG9tZXRyeTwva2V5d29yZD48a2V5d29y
ZD5CbG9vZCBQcmVzc3VyZTwva2V5d29yZD48a2V5d29yZD5DLVJlYWN0aXZlIFByb3RlaW48L2tl
eXdvcmQ+PGtleXdvcmQ+Q2FyZGlvdmFzY3VsYXIgRGlzZWFzZXMvKnByZXZlbnRpb24gJmFtcDsg
Y29udHJvbDwva2V5d29yZD48a2V5d29yZD5DaGlsZDwva2V5d29yZD48a2V5d29yZD5DaGlsZCwg
UHJlc2Nob29sPC9rZXl3b3JkPjxrZXl3b3JkPipEaWV0LCBNZWRpdGVycmFuZWFuPC9rZXl3b3Jk
PjxrZXl3b3JkPkZlZWRpbmcgQmVoYXZpb3I8L2tleXdvcmQ+PGtleXdvcmQ+RmVtYWxlPC9rZXl3
b3JkPjxrZXl3b3JkPkdyZWVjZTwva2V5d29yZD48a2V5d29yZD5IdW1hbnM8L2tleXdvcmQ+PGtl
eXdvcmQ+TGlwaWRzL2Jsb29kPC9rZXl3b3JkPjxrZXl3b3JkPk1hbGU8L2tleXdvcmQ+PGtleXdv
cmQ+TWFzc2FjaHVzZXR0czwva2V5d29yZD48a2V5d29yZD5NaWRkbGUgQWdlZDwva2V5d29yZD48
a2V5d29yZD5QYXRpZW50IENvbXBsaWFuY2UvKnN0YXRpc3RpY3MgJmFtcDsgbnVtZXJpY2FsIGRh
dGE8L2tleXdvcmQ+PGtleXdvcmQ+UGVkaWF0cmljIE9iZXNpdHkvZGlldCB0aGVyYXB5LyplcGlk
ZW1pb2xvZ3k8L2tleXdvcmQ+PGtleXdvcmQ+UHJlZ25hbmN5PC9rZXl3b3JkPjxrZXl3b3JkPlBy
b3NwZWN0aXZlIFN0dWRpZXM8L2tleXdvcmQ+PGtleXdvcmQ+UmlzayBGYWN0b3JzPC9rZXl3b3Jk
PjxrZXl3b3JkPipCbG9vZCBwcmVzc3VyZTwva2V5d29yZD48a2V5d29yZD4qY29ob3J0IHN0dWR5
PC9rZXl3b3JkPjxrZXl3b3JkPipkaWV0PC9rZXl3b3JkPjxrZXl3b3JkPipsaXBpZHM8L2tleXdv
cmQ+PGtleXdvcmQ+Km9iZXNpdHk8L2tleXdvcmQ+PGtleXdvcmQ+KnByZWduYW5jeTwva2V5d29y
ZD48L2tleXdvcmRzPjxkYXRlcz48eWVhcj4yMDE3PC95ZWFyPjxwdWItZGF0ZXM+PGRhdGU+QXVn
PC9kYXRlPjwvcHViLWRhdGVzPjwvZGF0ZXM+PGlzYm4+MjA0Ny02MzEwIChFbGVjdHJvbmljKSYj
eEQ7MjA0Ny02MzAyIChMaW5raW5nKTwvaXNibj48YWNjZXNzaW9uLW51bT4yODE2MDQ1MDwvYWNj
ZXNzaW9uLW51bT48dXJscz48cmVsYXRlZC11cmxzPjx1cmw+aHR0cHM6Ly93d3cubmNiaS5ubG0u
bmloLmdvdi9wdWJtZWQvMjgxNjA0NTA8L3VybD48L3JlbGF0ZWQtdXJscz48L3VybHM+PGN1c3Rv
bTI+UE1DNTY5Nzc0NDwvY3VzdG9tMj48ZWxlY3Ryb25pYy1yZXNvdXJjZS1udW0+MTAuMTExMS9p
anBvLjEyMTkxPC9lbGVjdHJvbmljLXJlc291cmNlLW51bT48L3JlY29yZD48L0NpdGU+PC9FbmRO
b3RlPgB=
</w:fldData>
        </w:fldChar>
      </w:r>
      <w:r w:rsidR="002747EA">
        <w:instrText xml:space="preserve"> ADDIN EN.CITE.DATA </w:instrText>
      </w:r>
      <w:r w:rsidR="002747EA">
        <w:fldChar w:fldCharType="end"/>
      </w:r>
      <w:r>
        <w:fldChar w:fldCharType="separate"/>
      </w:r>
      <w:r w:rsidR="002747EA" w:rsidRPr="002747EA">
        <w:rPr>
          <w:noProof/>
          <w:vertAlign w:val="superscript"/>
        </w:rPr>
        <w:t>49</w:t>
      </w:r>
      <w:r>
        <w:fldChar w:fldCharType="end"/>
      </w:r>
      <w:r>
        <w:t xml:space="preserve"> and risk of accelerated growth</w:t>
      </w:r>
      <w:r>
        <w:fldChar w:fldCharType="begin">
          <w:fldData xml:space="preserve">PEVuZE5vdGU+PENpdGU+PEF1dGhvcj5GZXJuYW5kZXotQmFycmVzPC9BdXRob3I+PFllYXI+MjAx
OTwvWWVhcj48UmVjTnVtPjEzNjM8L1JlY051bT48RGlzcGxheVRleHQ+PHN0eWxlIGZhY2U9InN1
cGVyc2NyaXB0IiBmb250PSJUcmVidWNoZXQgTVMiIHNpemU9IjkiPjUxPC9zdHlsZT48L0Rpc3Bs
YXlUZXh0PjxyZWNvcmQ+PHJlYy1udW1iZXI+MTM2MzwvcmVjLW51bWJlcj48Zm9yZWlnbi1rZXlz
PjxrZXkgYXBwPSJFTiIgZGItaWQ9ImV4dmFzcmZ4MmR0cmFvZXNhc3hwMnN6c3hhMmRmNTAyNTky
eCIgdGltZXN0YW1wPSIxNTY3MDMxMDYxIj4xMzYzPC9rZXk+PGtleSBhcHA9IkVOV2ViIiBkYi1p
ZD0iIj4wPC9rZXk+PC9mb3JlaWduLWtleXM+PHJlZi10eXBlIG5hbWU9IkpvdXJuYWwgQXJ0aWNs
ZSI+MTc8L3JlZi10eXBlPjxjb250cmlidXRvcnM+PGF1dGhvcnM+PGF1dGhvcj5GZXJuYW5kZXot
QmFycmVzLCBTLjwvYXV0aG9yPjxhdXRob3I+VnJpamhlaWQsIE0uPC9hdXRob3I+PGF1dGhvcj5N
YW56YW5vLVNhbGdhZG8sIEMuIEIuPC9hdXRob3I+PGF1dGhvcj5WYWx2aSwgRC48L2F1dGhvcj48
YXV0aG9yPk1hcnRpbmV6LCBELjwvYXV0aG9yPjxhdXRob3I+SW5pZ3VleiwgQy48L2F1dGhvcj48
YXV0aG9yPkppbWVuZXotWmFiYWxhLCBBLjwvYXV0aG9yPjxhdXRob3I+Umlhbm8tR2FsYW4sIEku
PC9hdXRob3I+PGF1dGhvcj5OYXZhcnJldGUtTXVub3osIEUuIE0uPC9hdXRob3I+PGF1dGhvcj5T
YW50YS1NYXJpbmEsIEwuPC9hdXRob3I+PGF1dGhvcj5UYXJkb24sIEEuPC9hdXRob3I+PGF1dGhv
cj5WaW9xdWUsIEouPC9hdXRob3I+PGF1dGhvcj5BcmlqYSwgVi48L2F1dGhvcj48YXV0aG9yPlN1
bnllciwgSi48L2F1dGhvcj48YXV0aG9yPlJvbWFndWVyYSwgRC48L2F1dGhvcj48YXV0aG9yPklu
ZmFuY2lhIHkgTWVkaW8gQW1iaWVudGUsIFByb2plY3Q8L2F1dGhvcj48L2F1dGhvcnM+PC9jb250
cmlidXRvcnM+PGF1dGgtYWRkcmVzcz5JU0dsb2JhbCwgQmFyY2Vsb25hLCBTcGFpbjsgVW5pdmVy
c2l0YXQgUG9tcGV1IEZhYnJhLCBCYXJjZWxvbmEsIFNwYWluOyBDSUJFUiBFcGlkZW1pb2xvZ2lh
IHkgU2FsdWQgUHVibGljYSAoQ0lCRVJFU1ApLCBNYWRyaWQsIFNwYWluOyBEZXBhcnRhbWVudCBk
ZSBDaWVuY2llcyBNZWRpcXVlcyBCYXNpcXVlcywgTnV0cml0aW9uIGFuZCBNZW50YWwgSGVhbHRo
IFJlc2VhcmNoIEdyb3VwIChOVVRSSVNBTSksIEZhY3VsdGF0IGRlIE1lZGljaW5hIGkgQ2llbmNp
ZXMgZGUgbGEgU2FsdXQgKEZNQ1MpLCBVbml2ZXJzaXRhdCBSb3ZpcmEgaSBWaXJnaWxpIChVUlYp
LCBSZXVzLCBTcGFpbi4gRWxlY3Ryb25pYyBhZGRyZXNzOiBzaWx2aWEuZmVybmFuZGV6QGlzZ2xv
YmFsLm9yZy4mI3hEO0lTR2xvYmFsLCBCYXJjZWxvbmEsIFNwYWluOyBVbml2ZXJzaXRhdCBQb21w
ZXUgRmFicmEsIEJhcmNlbG9uYSwgU3BhaW47IENJQkVSIEVwaWRlbWlvbG9naWEgeSBTYWx1ZCBQ
dWJsaWNhIChDSUJFUkVTUCksIE1hZHJpZCwgU3BhaW4uJiN4RDtEZXBhcnRtZW50IG9mIEVudmly
b25tZW50YWwgSGVhbHRoLCBIYXJ2YXJkIFQuSC4gQ2hhbiBTY2hvb2wgb2YgUHVibGljIEhlYWx0
aCwgQm9zdG9uLCBNQS4mI3hEO0NJQkVSIEVwaWRlbWlvbG9naWEgeSBTYWx1ZCBQdWJsaWNhIChD
SUJFUkVTUCksIE1hZHJpZCwgU3BhaW47IEVwaWRlbWlvbG9neSBhbmQgRW52aXJvbm1lbnRhbCBI
ZWFsdGggSm9pbnQgUmVzZWFyY2ggVW5pdCwgRklTQUJJTy1Vbml2ZXJzaXRhdCBKYXVtZSBJLVVu
aXZlcnNpdGF0IGRlIFZhbGVuY2lhLCBWYWxlbmNpYSwgU3BhaW4uJiN4RDtCSU9ET05PU1RJQSBI
ZWFsdGggUmVzZWFyY2ggSW5zdGl0dXRlLCBTYW4gU2ViYXN0aWFuLCBTcGFpbjsgUHVibGljIEhl
YWx0aCBEaXZpc2lvbiBvZiBHaXB1emtvYSwgQmFzcXVlIEdvdmVybm1lbnQsIFNhbiBTZWJhc3Rp
YW4sIFNwYWluLiYjeEQ7Q0lCRVIgRXBpZGVtaW9sb2dpYSB5IFNhbHVkIFB1YmxpY2EgKENJQkVS
RVNQKSwgTWFkcmlkLCBTcGFpbjsgUGVkaWF0cmljIFVuaXQsIEhvc3BpdGFsIFNhbiBBZ3VzdGlu
LCBBdmlsZXMsIFNwYWluLiYjeEQ7Q0lCRVIgRXBpZGVtaW9sb2dpYSB5IFNhbHVkIFB1YmxpY2Eg
KENJQkVSRVNQKSwgTWFkcmlkLCBTcGFpbjsgRGVwYXJ0bWVudCBvZiBQdWJsaWMgSGVhbHRoLCBI
aXN0b3J5IG9mIE1lZGljaW5lIGFuZCBHeW5lY29sb2d5LCBVbml2ZXJzaWRhZCBNaWd1ZWwgSGVy
bmFuZGV6LCBBbGljYW50ZSBJbnN0aXR1dGUgZm9yIEhlYWx0aCBhbmQgQmlvbWVkaWNhbCBSZXNl
YXJjaCAoSVNBQklBTC1GSVNBQklPIEZvdW5kYXRpb24pLCBBbGljYW50ZSwgU3BhaW4uJiN4RDtD
SUJFUiBFcGlkZW1pb2xvZ2lhIHkgU2FsdWQgUHVibGljYSAoQ0lCRVJFU1ApLCBNYWRyaWQsIFNw
YWluOyBCSU9ET05PU1RJQSBIZWFsdGggUmVzZWFyY2ggSW5zdGl0dXRlLCBTYW4gU2ViYXN0aWFu
LCBTcGFpbjsgUHVibGljIEhlYWx0aCBEaXZpc2lvbiBvZiBHaXB1emtvYSwgQmFzcXVlIEdvdmVy
bm1lbnQsIFNhbiBTZWJhc3RpYW4sIFNwYWluLiYjeEQ7Q0lCRVIgRXBpZGVtaW9sb2dpYSB5IFNh
bHVkIFB1YmxpY2EgKENJQkVSRVNQKSwgTWFkcmlkLCBTcGFpbjsgSVVPUEEgYW5kIFVuaXZlcnNp
dHkgb2YgT3ZpZWRvLCBBc3R1cmlhcywgU3BhaW4uJiN4RDtEZXBhcnRhbWVudCBkZSBDaWVuY2ll
cyBNZWRpcXVlcyBCYXNpcXVlcywgTnV0cml0aW9uIGFuZCBNZW50YWwgSGVhbHRoIFJlc2VhcmNo
IEdyb3VwIChOVVRSSVNBTSksIEZhY3VsdGF0IGRlIE1lZGljaW5hIGkgQ2llbmNpZXMgZGUgbGEg
U2FsdXQgKEZNQ1MpLCBVbml2ZXJzaXRhdCBSb3ZpcmEgaSBWaXJnaWxpIChVUlYpLCBSZXVzLCBT
cGFpbi4mI3hEO0lTR2xvYmFsLCBCYXJjZWxvbmEsIFNwYWluOyBVbml2ZXJzaXRhdCBQb21wZXUg
RmFicmEsIEJhcmNlbG9uYSwgU3BhaW47IENJQkVSIEVwaWRlbWlvbG9naWEgeSBTYWx1ZCBQdWJs
aWNhIChDSUJFUkVTUCksIE1hZHJpZCwgU3BhaW47IEhvc3BpdGFsIGRlbCBNYXIgTWVkaWNhbCBS
ZXNlYXJjaCBJbnN0aXR1dGUsIEJhcmNlbG9uYSwgU3BhaW4uJiN4RDtJU0dsb2JhbCwgQmFyY2Vs
b25hLCBTcGFpbjsgSW5zdGl0dXRvIGRlIEludmVzdGlnYWNpb24gU2FuaXRhcmlhIElsbGVzIEJh
bGVhcnMsIEhvc3BpdGFsIFVuaXZlcnNpdGFyaSBTb24gRXNwYXNlcywgUGFsbWEgZGUgTWFsbG9y
Y2EsIFNwYWluOyBDSUJFUiBGaXNpb3BhdG9sb2dpYSBkZSBsYSBPYmVzaWRhZCB5IE51dHJpY2lv
biAoQ0lCRVJPQk4pLCBNYWRyaWQsIFNwYWluLjwvYXV0aC1hZGRyZXNzPjx0aXRsZXM+PHRpdGxl
PlRoZSBhc3NvY2lhdGlvbiBvZiBtZWRpdGVycmFuZWFuIGRpZXQgZHVyaW5nIHByZWduYW5jeSB3
aXRoIGxvbmdpdHVkaW5hbCBib2R5IG1hc3MgaW5kZXggdHJhamVjdG9yaWVzIGFuZCBjYXJkaW9t
ZXRhYm9saWMgcmlzayBpbiBlYXJseSBjaGlsZGhvb2Q8L3RpdGxlPjxzZWNvbmRhcnktdGl0bGU+
SiBQZWRpYXRyPC9zZWNvbmRhcnktdGl0bGU+PC90aXRsZXM+PHBlcmlvZGljYWw+PGZ1bGwtdGl0
bGU+SiBQZWRpYXRyPC9mdWxsLXRpdGxlPjwvcGVyaW9kaWNhbD48cGFnZXM+MTE5LTEyNyBlNjwv
cGFnZXM+PHZvbHVtZT4yMDY8L3ZvbHVtZT48ZWRpdGlvbj4yMDE4LzExLzE2PC9lZGl0aW9uPjxr
ZXl3b3Jkcz48a2V5d29yZD5NZWRpdGVycmFuZWFuIGRpZXQ8L2tleXdvcmQ+PGtleXdvcmQ+Y2Fy
ZGlvbWV0YWJvbGljIHJpc2s8L2tleXdvcmQ+PGtleXdvcmQ+Y2hpbGRob29kPC9rZXl3b3JkPjxr
ZXl3b3JkPmNvaG9ydDwva2V5d29yZD48a2V5d29yZD5ncm93dGg8L2tleXdvcmQ+PC9rZXl3b3Jk
cz48ZGF0ZXM+PHllYXI+MjAxOTwveWVhcj48cHViLWRhdGVzPjxkYXRlPk1hcjwvZGF0ZT48L3B1
Yi1kYXRlcz48L2RhdGVzPjxpc2JuPjEwOTctNjgzMyAoRWxlY3Ryb25pYykmI3hEOzAwMjItMzQ3
NiAoTGlua2luZyk8L2lzYm4+PGFjY2Vzc2lvbi1udW0+MzA0MjkwNzk8L2FjY2Vzc2lvbi1udW0+
PHVybHM+PHJlbGF0ZWQtdXJscz48dXJsPmh0dHBzOi8vd3d3Lm5jYmkubmxtLm5paC5nb3YvcHVi
bWVkLzMwNDI5MDc5PC91cmw+PC9yZWxhdGVkLXVybHM+PC91cmxzPjxlbGVjdHJvbmljLXJlc291
cmNlLW51bT4xMC4xMDE2L2ouanBlZHMuMjAxOC4xMC4wMDU8L2VsZWN0cm9uaWMtcmVzb3VyY2Ut
bnVtPjwvcmVjb3JkPjwvQ2l0ZT48L0VuZE5vdGU+AG==
</w:fldData>
        </w:fldChar>
      </w:r>
      <w:r w:rsidR="002747EA">
        <w:instrText xml:space="preserve"> ADDIN EN.CITE </w:instrText>
      </w:r>
      <w:r w:rsidR="002747EA">
        <w:fldChar w:fldCharType="begin">
          <w:fldData xml:space="preserve">PEVuZE5vdGU+PENpdGU+PEF1dGhvcj5GZXJuYW5kZXotQmFycmVzPC9BdXRob3I+PFllYXI+MjAx
OTwvWWVhcj48UmVjTnVtPjEzNjM8L1JlY051bT48RGlzcGxheVRleHQ+PHN0eWxlIGZhY2U9InN1
cGVyc2NyaXB0IiBmb250PSJUcmVidWNoZXQgTVMiIHNpemU9IjkiPjUxPC9zdHlsZT48L0Rpc3Bs
YXlUZXh0PjxyZWNvcmQ+PHJlYy1udW1iZXI+MTM2MzwvcmVjLW51bWJlcj48Zm9yZWlnbi1rZXlz
PjxrZXkgYXBwPSJFTiIgZGItaWQ9ImV4dmFzcmZ4MmR0cmFvZXNhc3hwMnN6c3hhMmRmNTAyNTky
eCIgdGltZXN0YW1wPSIxNTY3MDMxMDYxIj4xMzYzPC9rZXk+PGtleSBhcHA9IkVOV2ViIiBkYi1p
ZD0iIj4wPC9rZXk+PC9mb3JlaWduLWtleXM+PHJlZi10eXBlIG5hbWU9IkpvdXJuYWwgQXJ0aWNs
ZSI+MTc8L3JlZi10eXBlPjxjb250cmlidXRvcnM+PGF1dGhvcnM+PGF1dGhvcj5GZXJuYW5kZXot
QmFycmVzLCBTLjwvYXV0aG9yPjxhdXRob3I+VnJpamhlaWQsIE0uPC9hdXRob3I+PGF1dGhvcj5N
YW56YW5vLVNhbGdhZG8sIEMuIEIuPC9hdXRob3I+PGF1dGhvcj5WYWx2aSwgRC48L2F1dGhvcj48
YXV0aG9yPk1hcnRpbmV6LCBELjwvYXV0aG9yPjxhdXRob3I+SW5pZ3VleiwgQy48L2F1dGhvcj48
YXV0aG9yPkppbWVuZXotWmFiYWxhLCBBLjwvYXV0aG9yPjxhdXRob3I+Umlhbm8tR2FsYW4sIEku
PC9hdXRob3I+PGF1dGhvcj5OYXZhcnJldGUtTXVub3osIEUuIE0uPC9hdXRob3I+PGF1dGhvcj5T
YW50YS1NYXJpbmEsIEwuPC9hdXRob3I+PGF1dGhvcj5UYXJkb24sIEEuPC9hdXRob3I+PGF1dGhv
cj5WaW9xdWUsIEouPC9hdXRob3I+PGF1dGhvcj5BcmlqYSwgVi48L2F1dGhvcj48YXV0aG9yPlN1
bnllciwgSi48L2F1dGhvcj48YXV0aG9yPlJvbWFndWVyYSwgRC48L2F1dGhvcj48YXV0aG9yPklu
ZmFuY2lhIHkgTWVkaW8gQW1iaWVudGUsIFByb2plY3Q8L2F1dGhvcj48L2F1dGhvcnM+PC9jb250
cmlidXRvcnM+PGF1dGgtYWRkcmVzcz5JU0dsb2JhbCwgQmFyY2Vsb25hLCBTcGFpbjsgVW5pdmVy
c2l0YXQgUG9tcGV1IEZhYnJhLCBCYXJjZWxvbmEsIFNwYWluOyBDSUJFUiBFcGlkZW1pb2xvZ2lh
IHkgU2FsdWQgUHVibGljYSAoQ0lCRVJFU1ApLCBNYWRyaWQsIFNwYWluOyBEZXBhcnRhbWVudCBk
ZSBDaWVuY2llcyBNZWRpcXVlcyBCYXNpcXVlcywgTnV0cml0aW9uIGFuZCBNZW50YWwgSGVhbHRo
IFJlc2VhcmNoIEdyb3VwIChOVVRSSVNBTSksIEZhY3VsdGF0IGRlIE1lZGljaW5hIGkgQ2llbmNp
ZXMgZGUgbGEgU2FsdXQgKEZNQ1MpLCBVbml2ZXJzaXRhdCBSb3ZpcmEgaSBWaXJnaWxpIChVUlYp
LCBSZXVzLCBTcGFpbi4gRWxlY3Ryb25pYyBhZGRyZXNzOiBzaWx2aWEuZmVybmFuZGV6QGlzZ2xv
YmFsLm9yZy4mI3hEO0lTR2xvYmFsLCBCYXJjZWxvbmEsIFNwYWluOyBVbml2ZXJzaXRhdCBQb21w
ZXUgRmFicmEsIEJhcmNlbG9uYSwgU3BhaW47IENJQkVSIEVwaWRlbWlvbG9naWEgeSBTYWx1ZCBQ
dWJsaWNhIChDSUJFUkVTUCksIE1hZHJpZCwgU3BhaW4uJiN4RDtEZXBhcnRtZW50IG9mIEVudmly
b25tZW50YWwgSGVhbHRoLCBIYXJ2YXJkIFQuSC4gQ2hhbiBTY2hvb2wgb2YgUHVibGljIEhlYWx0
aCwgQm9zdG9uLCBNQS4mI3hEO0NJQkVSIEVwaWRlbWlvbG9naWEgeSBTYWx1ZCBQdWJsaWNhIChD
SUJFUkVTUCksIE1hZHJpZCwgU3BhaW47IEVwaWRlbWlvbG9neSBhbmQgRW52aXJvbm1lbnRhbCBI
ZWFsdGggSm9pbnQgUmVzZWFyY2ggVW5pdCwgRklTQUJJTy1Vbml2ZXJzaXRhdCBKYXVtZSBJLVVu
aXZlcnNpdGF0IGRlIFZhbGVuY2lhLCBWYWxlbmNpYSwgU3BhaW4uJiN4RDtCSU9ET05PU1RJQSBI
ZWFsdGggUmVzZWFyY2ggSW5zdGl0dXRlLCBTYW4gU2ViYXN0aWFuLCBTcGFpbjsgUHVibGljIEhl
YWx0aCBEaXZpc2lvbiBvZiBHaXB1emtvYSwgQmFzcXVlIEdvdmVybm1lbnQsIFNhbiBTZWJhc3Rp
YW4sIFNwYWluLiYjeEQ7Q0lCRVIgRXBpZGVtaW9sb2dpYSB5IFNhbHVkIFB1YmxpY2EgKENJQkVS
RVNQKSwgTWFkcmlkLCBTcGFpbjsgUGVkaWF0cmljIFVuaXQsIEhvc3BpdGFsIFNhbiBBZ3VzdGlu
LCBBdmlsZXMsIFNwYWluLiYjeEQ7Q0lCRVIgRXBpZGVtaW9sb2dpYSB5IFNhbHVkIFB1YmxpY2Eg
KENJQkVSRVNQKSwgTWFkcmlkLCBTcGFpbjsgRGVwYXJ0bWVudCBvZiBQdWJsaWMgSGVhbHRoLCBI
aXN0b3J5IG9mIE1lZGljaW5lIGFuZCBHeW5lY29sb2d5LCBVbml2ZXJzaWRhZCBNaWd1ZWwgSGVy
bmFuZGV6LCBBbGljYW50ZSBJbnN0aXR1dGUgZm9yIEhlYWx0aCBhbmQgQmlvbWVkaWNhbCBSZXNl
YXJjaCAoSVNBQklBTC1GSVNBQklPIEZvdW5kYXRpb24pLCBBbGljYW50ZSwgU3BhaW4uJiN4RDtD
SUJFUiBFcGlkZW1pb2xvZ2lhIHkgU2FsdWQgUHVibGljYSAoQ0lCRVJFU1ApLCBNYWRyaWQsIFNw
YWluOyBCSU9ET05PU1RJQSBIZWFsdGggUmVzZWFyY2ggSW5zdGl0dXRlLCBTYW4gU2ViYXN0aWFu
LCBTcGFpbjsgUHVibGljIEhlYWx0aCBEaXZpc2lvbiBvZiBHaXB1emtvYSwgQmFzcXVlIEdvdmVy
bm1lbnQsIFNhbiBTZWJhc3RpYW4sIFNwYWluLiYjeEQ7Q0lCRVIgRXBpZGVtaW9sb2dpYSB5IFNh
bHVkIFB1YmxpY2EgKENJQkVSRVNQKSwgTWFkcmlkLCBTcGFpbjsgSVVPUEEgYW5kIFVuaXZlcnNp
dHkgb2YgT3ZpZWRvLCBBc3R1cmlhcywgU3BhaW4uJiN4RDtEZXBhcnRhbWVudCBkZSBDaWVuY2ll
cyBNZWRpcXVlcyBCYXNpcXVlcywgTnV0cml0aW9uIGFuZCBNZW50YWwgSGVhbHRoIFJlc2VhcmNo
IEdyb3VwIChOVVRSSVNBTSksIEZhY3VsdGF0IGRlIE1lZGljaW5hIGkgQ2llbmNpZXMgZGUgbGEg
U2FsdXQgKEZNQ1MpLCBVbml2ZXJzaXRhdCBSb3ZpcmEgaSBWaXJnaWxpIChVUlYpLCBSZXVzLCBT
cGFpbi4mI3hEO0lTR2xvYmFsLCBCYXJjZWxvbmEsIFNwYWluOyBVbml2ZXJzaXRhdCBQb21wZXUg
RmFicmEsIEJhcmNlbG9uYSwgU3BhaW47IENJQkVSIEVwaWRlbWlvbG9naWEgeSBTYWx1ZCBQdWJs
aWNhIChDSUJFUkVTUCksIE1hZHJpZCwgU3BhaW47IEhvc3BpdGFsIGRlbCBNYXIgTWVkaWNhbCBS
ZXNlYXJjaCBJbnN0aXR1dGUsIEJhcmNlbG9uYSwgU3BhaW4uJiN4RDtJU0dsb2JhbCwgQmFyY2Vs
b25hLCBTcGFpbjsgSW5zdGl0dXRvIGRlIEludmVzdGlnYWNpb24gU2FuaXRhcmlhIElsbGVzIEJh
bGVhcnMsIEhvc3BpdGFsIFVuaXZlcnNpdGFyaSBTb24gRXNwYXNlcywgUGFsbWEgZGUgTWFsbG9y
Y2EsIFNwYWluOyBDSUJFUiBGaXNpb3BhdG9sb2dpYSBkZSBsYSBPYmVzaWRhZCB5IE51dHJpY2lv
biAoQ0lCRVJPQk4pLCBNYWRyaWQsIFNwYWluLjwvYXV0aC1hZGRyZXNzPjx0aXRsZXM+PHRpdGxl
PlRoZSBhc3NvY2lhdGlvbiBvZiBtZWRpdGVycmFuZWFuIGRpZXQgZHVyaW5nIHByZWduYW5jeSB3
aXRoIGxvbmdpdHVkaW5hbCBib2R5IG1hc3MgaW5kZXggdHJhamVjdG9yaWVzIGFuZCBjYXJkaW9t
ZXRhYm9saWMgcmlzayBpbiBlYXJseSBjaGlsZGhvb2Q8L3RpdGxlPjxzZWNvbmRhcnktdGl0bGU+
SiBQZWRpYXRyPC9zZWNvbmRhcnktdGl0bGU+PC90aXRsZXM+PHBlcmlvZGljYWw+PGZ1bGwtdGl0
bGU+SiBQZWRpYXRyPC9mdWxsLXRpdGxlPjwvcGVyaW9kaWNhbD48cGFnZXM+MTE5LTEyNyBlNjwv
cGFnZXM+PHZvbHVtZT4yMDY8L3ZvbHVtZT48ZWRpdGlvbj4yMDE4LzExLzE2PC9lZGl0aW9uPjxr
ZXl3b3Jkcz48a2V5d29yZD5NZWRpdGVycmFuZWFuIGRpZXQ8L2tleXdvcmQ+PGtleXdvcmQ+Y2Fy
ZGlvbWV0YWJvbGljIHJpc2s8L2tleXdvcmQ+PGtleXdvcmQ+Y2hpbGRob29kPC9rZXl3b3JkPjxr
ZXl3b3JkPmNvaG9ydDwva2V5d29yZD48a2V5d29yZD5ncm93dGg8L2tleXdvcmQ+PC9rZXl3b3Jk
cz48ZGF0ZXM+PHllYXI+MjAxOTwveWVhcj48cHViLWRhdGVzPjxkYXRlPk1hcjwvZGF0ZT48L3B1
Yi1kYXRlcz48L2RhdGVzPjxpc2JuPjEwOTctNjgzMyAoRWxlY3Ryb25pYykmI3hEOzAwMjItMzQ3
NiAoTGlua2luZyk8L2lzYm4+PGFjY2Vzc2lvbi1udW0+MzA0MjkwNzk8L2FjY2Vzc2lvbi1udW0+
PHVybHM+PHJlbGF0ZWQtdXJscz48dXJsPmh0dHBzOi8vd3d3Lm5jYmkubmxtLm5paC5nb3YvcHVi
bWVkLzMwNDI5MDc5PC91cmw+PC9yZWxhdGVkLXVybHM+PC91cmxzPjxlbGVjdHJvbmljLXJlc291
cmNlLW51bT4xMC4xMDE2L2ouanBlZHMuMjAxOC4xMC4wMDU8L2VsZWN0cm9uaWMtcmVzb3VyY2Ut
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51</w:t>
      </w:r>
      <w:r>
        <w:fldChar w:fldCharType="end"/>
      </w:r>
      <w:r>
        <w:t xml:space="preserve"> but were inconsistent about the effect on BMI z-score.</w:t>
      </w:r>
      <w:r>
        <w:fldChar w:fldCharType="begin">
          <w:fldData xml:space="preserve">PEVuZE5vdGU+PENpdGU+PEF1dGhvcj5DaGF0emk8L0F1dGhvcj48WWVhcj4yMDE3PC9ZZWFyPjxS
ZWNOdW0+MTM1MjwvUmVjTnVtPjxEaXNwbGF5VGV4dD48c3R5bGUgZmFjZT0ic3VwZXJzY3JpcHQi
IGZvbnQ9IlRyZWJ1Y2hldCBNUyIgc2l6ZT0iOSI+NDksNTA8L3N0eWxlPjwvRGlzcGxheVRleHQ+
PHJlY29yZD48cmVjLW51bWJlcj4xMzUyPC9yZWMtbnVtYmVyPjxmb3JlaWduLWtleXM+PGtleSBh
cHA9IkVOIiBkYi1pZD0iZXh2YXNyZngyZHRyYW9lc2FzeHAyc3pzeGEyZGY1MDI1OTJ4IiB0aW1l
c3RhbXA9IjE1NjcwMzEwMTUiPjEzNTI8L2tleT48a2V5IGFwcD0iRU5XZWIiIGRiLWlkPSIiPjA8
L2tleT48L2ZvcmVpZ24ta2V5cz48cmVmLXR5cGUgbmFtZT0iSm91cm5hbCBBcnRpY2xlIj4xNzwv
cmVmLXR5cGU+PGNvbnRyaWJ1dG9ycz48YXV0aG9ycz48YXV0aG9yPkNoYXR6aSwgTC48L2F1dGhv
cj48YXV0aG9yPlJpZmFzLVNoaW1hbiwgUy4gTC48L2F1dGhvcj48YXV0aG9yPkdlb3JnaW91LCBW
LjwvYXV0aG9yPjxhdXRob3I+Sm91bmcsIEsuIEUuPC9hdXRob3I+PGF1dGhvcj5Lb2luYWtpLCBT
LjwvYXV0aG9yPjxhdXRob3I+Q2hhbGtpYWRha2ksIEcuPC9hdXRob3I+PGF1dGhvcj5NYXJnaW9y
aXMsIEEuPC9hdXRob3I+PGF1dGhvcj5TYXJyaSwgSy48L2F1dGhvcj48YXV0aG9yPlZhc3NpbGFr
aSwgTS48L2F1dGhvcj48YXV0aG9yPlZhZmVpYWRpLCBNLjwvYXV0aG9yPjxhdXRob3I+S29nZXZp
bmFzLCBNLjwvYXV0aG9yPjxhdXRob3I+TWFudHpvcm9zLCBDLjwvYXV0aG9yPjxhdXRob3I+R2ls
bG1hbiwgTS4gVy48L2F1dGhvcj48YXV0aG9yPk9rZW4sIEUuPC9hdXRob3I+PC9hdXRob3JzPjwv
Y29udHJpYnV0b3JzPjxhdXRoLWFkZHJlc3M+RGVwYXJ0bWVudCBvZiBTb2NpYWwgTWVkaWNpbmUs
IFVuaXZlcnNpdHkgb2YgQ3JldGUsIEhlcmFrbGlvbiwgR3JlZWNlLiYjeEQ7T2Jlc2l0eSBQcmV2
ZW50aW9uIFByb2dyYW0sIERlcGFydG1lbnQgb2YgUG9wdWxhdGlvbiBNZWRpY2luZSwgSGFydmFy
ZCBNZWRpY2FsIFNjaG9vbCBhbmQgSGFydmFyZCBQaWxncmltIEhlYWx0aCBDYXJlIEluc3RpdHV0
ZSwgQm9zdG9uLCBNQSwgVVNBLiYjeEQ7RGl2aXNpb24gb2YgRW5kb2NyaW5vbG9neSwgRGlhYmV0
ZXMsICZhbXA7IE1ldGFib2xpc20sIERlcGFydG1lbnQgb2YgTWVkaWNpbmUsIEJldGggSXNyYWVs
IERlYWNvbmVzcyBNZWRpY2FsIENlbnRlciwgSGFydmFyZCBNZWRpY2FsIFNjaG9vbCwgQm9zdG9u
LCBNQSwgVVNBLiYjeEQ7RGVwYXJ0bWVudCBvZiBMYWJvcmF0b3J5IE1lZGljaW5lLCBVbml2ZXJz
aXR5IG9mIENyZXRlLCBIZXJha2xpb24sIEdyZWVjZS4mI3hEO0NlbnRyZSBmb3IgUmVzZWFyY2gg
aW4gRW52aXJvbm1lbnRhbCBFcGlkZW1pb2xvZ3ksIENSRUFMLCBCYXJjZWxvbmEsIFNwYWluLjwv
YXV0aC1hZGRyZXNzPjx0aXRsZXM+PHRpdGxlPkFkaGVyZW5jZSB0byB0aGUgTWVkaXRlcnJhbmVh
biBkaWV0IGR1cmluZyBwcmVnbmFuY3kgYW5kIG9mZnNwcmluZyBhZGlwb3NpdHkgYW5kIGNhcmRp
b21ldGFib2xpYyB0cmFpdHMgaW4gY2hpbGRob29kPC90aXRsZT48c2Vjb25kYXJ5LXRpdGxlPlBl
ZGlhdHIgT2Jlczwvc2Vjb25kYXJ5LXRpdGxlPjwvdGl0bGVzPjxwZXJpb2RpY2FsPjxmdWxsLXRp
dGxlPlBlZGlhdHIgT2JlczwvZnVsbC10aXRsZT48L3BlcmlvZGljYWw+PHBhZ2VzPjQ3LTU2PC9w
YWdlcz48dm9sdW1lPjEyIFN1cHBsIDE8L3ZvbHVtZT48ZWRpdGlvbj4yMDE3LzAyLzA2PC9lZGl0
aW9uPjxrZXl3b3Jkcz48a2V5d29yZD5BZGlwb3NpdHkvKnBoeXNpb2xvZ3k8L2tleXdvcmQ+PGtl
eXdvcmQ+QWR1bHQ8L2tleXdvcmQ+PGtleXdvcmQ+QW50aHJvcG9tZXRyeTwva2V5d29yZD48a2V5
d29yZD5CbG9vZCBQcmVzc3VyZTwva2V5d29yZD48a2V5d29yZD5DLVJlYWN0aXZlIFByb3RlaW48
L2tleXdvcmQ+PGtleXdvcmQ+Q2FyZGlvdmFzY3VsYXIgRGlzZWFzZXMvKnByZXZlbnRpb24gJmFt
cDsgY29udHJvbDwva2V5d29yZD48a2V5d29yZD5DaGlsZDwva2V5d29yZD48a2V5d29yZD5DaGls
ZCwgUHJlc2Nob29sPC9rZXl3b3JkPjxrZXl3b3JkPipEaWV0LCBNZWRpdGVycmFuZWFuPC9rZXl3
b3JkPjxrZXl3b3JkPkZlZWRpbmcgQmVoYXZpb3I8L2tleXdvcmQ+PGtleXdvcmQ+RmVtYWxlPC9r
ZXl3b3JkPjxrZXl3b3JkPkdyZWVjZTwva2V5d29yZD48a2V5d29yZD5IdW1hbnM8L2tleXdvcmQ+
PGtleXdvcmQ+TGlwaWRzL2Jsb29kPC9rZXl3b3JkPjxrZXl3b3JkPk1hbGU8L2tleXdvcmQ+PGtl
eXdvcmQ+TWFzc2FjaHVzZXR0czwva2V5d29yZD48a2V5d29yZD5NaWRkbGUgQWdlZDwva2V5d29y
ZD48a2V5d29yZD5QYXRpZW50IENvbXBsaWFuY2UvKnN0YXRpc3RpY3MgJmFtcDsgbnVtZXJpY2Fs
IGRhdGE8L2tleXdvcmQ+PGtleXdvcmQ+UGVkaWF0cmljIE9iZXNpdHkvZGlldCB0aGVyYXB5Lypl
cGlkZW1pb2xvZ3k8L2tleXdvcmQ+PGtleXdvcmQ+UHJlZ25hbmN5PC9rZXl3b3JkPjxrZXl3b3Jk
PlByb3NwZWN0aXZlIFN0dWRpZXM8L2tleXdvcmQ+PGtleXdvcmQ+UmlzayBGYWN0b3JzPC9rZXl3
b3JkPjxrZXl3b3JkPipCbG9vZCBwcmVzc3VyZTwva2V5d29yZD48a2V5d29yZD4qY29ob3J0IHN0
dWR5PC9rZXl3b3JkPjxrZXl3b3JkPipkaWV0PC9rZXl3b3JkPjxrZXl3b3JkPipsaXBpZHM8L2tl
eXdvcmQ+PGtleXdvcmQ+Km9iZXNpdHk8L2tleXdvcmQ+PGtleXdvcmQ+KnByZWduYW5jeTwva2V5
d29yZD48L2tleXdvcmRzPjxkYXRlcz48eWVhcj4yMDE3PC95ZWFyPjxwdWItZGF0ZXM+PGRhdGU+
QXVnPC9kYXRlPjwvcHViLWRhdGVzPjwvZGF0ZXM+PGlzYm4+MjA0Ny02MzEwIChFbGVjdHJvbmlj
KSYjeEQ7MjA0Ny02MzAyIChMaW5raW5nKTwvaXNibj48YWNjZXNzaW9uLW51bT4yODE2MDQ1MDwv
YWNjZXNzaW9uLW51bT48dXJscz48cmVsYXRlZC11cmxzPjx1cmw+aHR0cHM6Ly93d3cubmNiaS5u
bG0ubmloLmdvdi9wdWJtZWQvMjgxNjA0NTA8L3VybD48L3JlbGF0ZWQtdXJscz48L3VybHM+PGN1
c3RvbTI+UE1DNTY5Nzc0NDwvY3VzdG9tMj48ZWxlY3Ryb25pYy1yZXNvdXJjZS1udW0+MTAuMTEx
MS9panBvLjEyMTkxPC9lbGVjdHJvbmljLXJlc291cmNlLW51bT48L3JlY29yZD48L0NpdGU+PENp
dGU+PEF1dGhvcj5GZXJuYW5kZXotQmFycmVzPC9BdXRob3I+PFllYXI+MjAxNjwvWWVhcj48UmVj
TnVtPjEzNjI8L1JlY051bT48cmVjb3JkPjxyZWMtbnVtYmVyPjEzNjI8L3JlYy1udW1iZXI+PGZv
cmVpZ24ta2V5cz48a2V5IGFwcD0iRU4iIGRiLWlkPSJleHZhc3JmeDJkdHJhb2VzYXN4cDJzenN4
YTJkZjUwMjU5MngiIHRpbWVzdGFtcD0iMTU2NzAzMTA1NyI+MTM2Mjwva2V5PjxrZXkgYXBwPSJF
TldlYiIgZGItaWQ9IiI+MDwva2V5PjwvZm9yZWlnbi1rZXlzPjxyZWYtdHlwZSBuYW1lPSJKb3Vy
bmFsIEFydGljbGUiPjE3PC9yZWYtdHlwZT48Y29udHJpYnV0b3JzPjxhdXRob3JzPjxhdXRob3I+
RmVybmFuZGV6LUJhcnJlcywgUy48L2F1dGhvcj48YXV0aG9yPlJvbWFndWVyYSwgRC48L2F1dGhv
cj48YXV0aG9yPlZhbHZpLCBELjwvYXV0aG9yPjxhdXRob3I+TWFydGluZXosIEQuPC9hdXRob3I+
PGF1dGhvcj5WaW9xdWUsIEouPC9hdXRob3I+PGF1dGhvcj5OYXZhcnJldGUtTXVub3osIEUuIE0u
PC9hdXRob3I+PGF1dGhvcj5BbWlhbm8sIFAuPC9hdXRob3I+PGF1dGhvcj5Hb256YWxlei1QYWxh
Y2lvcywgUy48L2F1dGhvcj48YXV0aG9yPkd1eGVucywgTS48L2F1dGhvcj48YXV0aG9yPlBlcmVk
YSwgRS48L2F1dGhvcj48YXV0aG9yPlJpYW5vLCBJLjwvYXV0aG9yPjxhdXRob3I+VGFyZG9uLCBB
LjwvYXV0aG9yPjxhdXRob3I+SW5pZ3VleiwgQy48L2F1dGhvcj48YXV0aG9yPkFyaWphLCBWLjwv
YXV0aG9yPjxhdXRob3I+U3VueWVyLCBKLjwvYXV0aG9yPjxhdXRob3I+VnJpamhlaWQsIE0uPC9h
dXRob3I+PGF1dGhvcj5Jbm1hIFByb2plY3Q8L2F1dGhvcj48L2F1dGhvcnM+PC9jb250cmlidXRv
cnM+PGF1dGgtYWRkcmVzcz5DZW50cmUgZm9yIFJlc2VhcmNoIGluIEVudmlyb25tZW50YWwgRXBp
ZGVtaW9sb2d5IChDUkVBTCksIEJhcmNlbG9uYSwgU3BhaW4uJiN4RDtOdXRyaXRpb24gYW5kIE1l
bnRhbCBIZWFsdGggR3JvdXAsIFVuaXZlcnNpdGF0IFJvdmlyYSBJIFZpcmdpbGkgKFVSViksIFJl
dXMsIFNwYWluLiYjeEQ7SW5zdGl0dXRvIGRlIEludmVzdGlnYWNpb24gU2FuaXRhcmlhIGRlIFBh
bG1hIChJZElTUGEpLCBIb3NwaXRhbCBVbml2ZXJzaXRhcmkgU29uIEVzcGFzZXMsIFBhbG1hIGRl
IE1hbGxvcmNhLCBTcGFpbi4mI3hEO0NJQkVSIEZpc2lvcGF0b2xvZ2lhIGRlIGxhIE9iZXNpZGFk
IHkgTnV0cmljaW9uIChDSUJFUk9CTiksIE1hZHJpZCwgU3BhaW4uJiN4RDtDSUJFUiBFcGlkZW1p
b2xvZ2lhIHkgU2FsdWQgUHVibGljYSAoQ0lCRVJFU1ApLCBNYWRyaWQsIFNwYWluLiYjeEQ7VW5p
dmVyc2l0YXQgUG9tcGV1IEZhYnJhIChVUEYpLCBCYXJjZWxvbmEsIFNwYWluLiYjeEQ7SGFydmFy
ZCBULkguIENoYW4gU2Nob29sIG9mIFB1YmxpYyBIZWFsdGgsIEJvc3RvbiwgTUEsIFVTQS4mI3hE
O1VuaXZlcnNpZGFkIE1pZ3VlbCBIZXJuYW5kZXosIEFsaWNhbnRlLCBTcGFpbi4mI3hEO1B1Ymxp
YyBIZWFsdGggRGl2aXNpb24gb2YgR2lwdXprb2EsIEJpb0Rvbm9zdGlhIFJlc2VhcmNoIEluc3Rp
dHV0ZSwgU2FuIFNlYmFzdGlhbiwgU3BhaW4uJiN4RDtEZXBhcnRtZW50IG9mIENoaWxkIGFuZCBB
ZG9sZXNjZW50IFBzeWNoaWF0cnkvUHN5Y2hvbG9neSwgRXJhc211cyBVbml2ZXJzaXR5IE1lZGlj
YWwgQ2VudHJlLVNvcGhpYSBDaGlsZHJlbiZhcG9zO3MgSG9zcGl0YWwsIFJvdHRlcmRhbSwgVGhl
IE5ldGhlcmxhbmRzLiYjeEQ7RmFjdWx0YWQgZGUgUHNpY29sb2dpYSwgVW5pdmVyc2lkYWQgZGVs
IFBhaXMgVmFzY28tRXVza2FsIEhlcnJpa28gVW5pYmVydHNpdGF0ZWEgKFVQVi1FSFUpLCBCaXpr
YWlhLCBTcGFpbi4mI3hEO0hvc3BpdGFsIFNhbiBBZ3VzdGluLCBTRVNQQSwgQXN0dXJpYXMsIFNw
YWluLiYjeEQ7VW5pdmVyc2lkYWQgZGUgT3ZpZWRvLCBBc3R1cmlhcywgU3BhaW4uJiN4RDtGSVNB
QklPIC0gVW5pdmVyc2l0YXQgSmF1bWUgSSAtIFVuaXZlcnNpdGF0IGRlIFZhbGVuY2lhIEVwaWRl
bWlvbG9neSBhbmQgRW52aXJvbm1lbnRhbCBIZWFsdGggSm9pbnQgUmVzZWFyY2ggVW5pdCwgVmFs
ZW5jaWEsIFNwYWluLiYjeEQ7SW5zdGl0dXQgSG9zcGl0YWwgZGVsIE1hciBkJmFwb3M7SW52ZXN0
aWdhY2lvbnMgTWVkaXF1ZXMtUGFyYyBkZSBTYWx1dCBNYXIsIEJhcmNlbG9uYSwgU3BhaW4uPC9h
dXRoLWFkZHJlc3M+PHRpdGxlcz48dGl0bGU+TWVkaXRlcnJhbmVhbiBkaWV0YXJ5IHBhdHRlcm4g
aW4gcHJlZ25hbnQgd29tZW4gYW5kIG9mZnNwcmluZyByaXNrIG9mIG92ZXJ3ZWlnaHQgYW5kIGFi
ZG9taW5hbCBvYmVzaXR5IGluIGVhcmx5IGNoaWxkaG9vZDogdGhlIElOTUEgYmlydGggY29ob3J0
IHN0dWR5PC90aXRsZT48c2Vjb25kYXJ5LXRpdGxlPlBlZGlhdHIgT2Jlczwvc2Vjb25kYXJ5LXRp
dGxlPjwvdGl0bGVzPjxwZXJpb2RpY2FsPjxmdWxsLXRpdGxlPlBlZGlhdHIgT2JlczwvZnVsbC10
aXRsZT48L3BlcmlvZGljYWw+PHBhZ2VzPjQ5MS00OTk8L3BhZ2VzPjx2b2x1bWU+MTE8L3ZvbHVt
ZT48bnVtYmVyPjY8L251bWJlcj48ZWRpdGlvbj4yMDE2LzAxLzE1PC9lZGl0aW9uPjxrZXl3b3Jk
cz48a2V5d29yZD5BZHVsdDwva2V5d29yZD48a2V5d29yZD5BbnRocm9wb21ldHJ5PC9rZXl3b3Jk
PjxrZXl3b3JkPkNoaWxkPC9rZXl3b3JkPjxrZXl3b3JkPkNvaG9ydCBTdHVkaWVzPC9rZXl3b3Jk
PjxrZXl3b3JkPipEaWV0LCBNZWRpdGVycmFuZWFuPC9rZXl3b3JkPjxrZXl3b3JkPkZlbWFsZTwv
a2V5d29yZD48a2V5d29yZD5IdW1hbnM8L2tleXdvcmQ+PGtleXdvcmQ+TG9naXN0aWMgTW9kZWxz
PC9rZXl3b3JkPjxrZXl3b3JkPk1hbGU8L2tleXdvcmQ+PGtleXdvcmQ+T2Jlc2l0eSwgQWJkb21p
bmFsL2VwaWRlbWlvbG9neS8qZXRpb2xvZ3k8L2tleXdvcmQ+PGtleXdvcmQ+T3ZlcndlaWdodC9l
cGlkZW1pb2xvZ3kvKmV0aW9sb2d5PC9rZXl3b3JkPjxrZXl3b3JkPlBhdGllbnQgQ29tcGxpYW5j
ZTwva2V5d29yZD48a2V5d29yZD5QZWRpYXRyaWMgT2Jlc2l0eS8qZXBpZGVtaW9sb2d5LypldGlv
bG9neTwva2V5d29yZD48a2V5d29yZD5QcmVnbmFuY3k8L2tleXdvcmQ+PGtleXdvcmQ+UmlzayBG
YWN0b3JzPC9rZXl3b3JkPjxrZXl3b3JkPlNwYWluPC9rZXl3b3JkPjxrZXl3b3JkPlN1cnZleXMg
YW5kIFF1ZXN0aW9ubmFpcmVzPC9rZXl3b3JkPjxrZXl3b3JkPipBYmRvbWluYWwgb2Jlc2l0eTwv
a2V5d29yZD48a2V5d29yZD4qTWVkaXRlcnJhbmVhbiBkaWV0PC9rZXl3b3JkPjxrZXl3b3JkPipj
aGlsZGhvb2Qgb2Jlc2l0eTwva2V5d29yZD48a2V5d29yZD4qcHJlZ25hbmN5PC9rZXl3b3JkPjwv
a2V5d29yZHM+PGRhdGVzPjx5ZWFyPjIwMTY8L3llYXI+PHB1Yi1kYXRlcz48ZGF0ZT5EZWM8L2Rh
dGU+PC9wdWItZGF0ZXM+PC9kYXRlcz48aXNibj4yMDQ3LTYzMTAgKEVsZWN0cm9uaWMpJiN4RDsy
MDQ3LTYzMDIgKExpbmtpbmcpPC9pc2JuPjxhY2Nlc3Npb24tbnVtPjI2NzYzNzY3PC9hY2Nlc3Np
b24tbnVtPjx1cmxzPjxyZWxhdGVkLXVybHM+PHVybD5odHRwczovL3d3dy5uY2JpLm5sbS5uaWgu
Z292L3B1Ym1lZC8yNjc2Mzc2NzwvdXJsPjwvcmVsYXRlZC11cmxzPjwvdXJscz48ZWxlY3Ryb25p
Yy1yZXNvdXJjZS1udW0+MTAuMTExMS9panBvLjEyMDkyPC9lbGVjdHJvbmljLXJlc291cmNlLW51
bT48L3JlY29yZD48L0NpdGU+PC9FbmROb3RlPgB=
</w:fldData>
        </w:fldChar>
      </w:r>
      <w:r w:rsidR="002747EA">
        <w:instrText xml:space="preserve"> ADDIN EN.CITE </w:instrText>
      </w:r>
      <w:r w:rsidR="002747EA">
        <w:fldChar w:fldCharType="begin">
          <w:fldData xml:space="preserve">PEVuZE5vdGU+PENpdGU+PEF1dGhvcj5DaGF0emk8L0F1dGhvcj48WWVhcj4yMDE3PC9ZZWFyPjxS
ZWNOdW0+MTM1MjwvUmVjTnVtPjxEaXNwbGF5VGV4dD48c3R5bGUgZmFjZT0ic3VwZXJzY3JpcHQi
IGZvbnQ9IlRyZWJ1Y2hldCBNUyIgc2l6ZT0iOSI+NDksNTA8L3N0eWxlPjwvRGlzcGxheVRleHQ+
PHJlY29yZD48cmVjLW51bWJlcj4xMzUyPC9yZWMtbnVtYmVyPjxmb3JlaWduLWtleXM+PGtleSBh
cHA9IkVOIiBkYi1pZD0iZXh2YXNyZngyZHRyYW9lc2FzeHAyc3pzeGEyZGY1MDI1OTJ4IiB0aW1l
c3RhbXA9IjE1NjcwMzEwMTUiPjEzNTI8L2tleT48a2V5IGFwcD0iRU5XZWIiIGRiLWlkPSIiPjA8
L2tleT48L2ZvcmVpZ24ta2V5cz48cmVmLXR5cGUgbmFtZT0iSm91cm5hbCBBcnRpY2xlIj4xNzwv
cmVmLXR5cGU+PGNvbnRyaWJ1dG9ycz48YXV0aG9ycz48YXV0aG9yPkNoYXR6aSwgTC48L2F1dGhv
cj48YXV0aG9yPlJpZmFzLVNoaW1hbiwgUy4gTC48L2F1dGhvcj48YXV0aG9yPkdlb3JnaW91LCBW
LjwvYXV0aG9yPjxhdXRob3I+Sm91bmcsIEsuIEUuPC9hdXRob3I+PGF1dGhvcj5Lb2luYWtpLCBT
LjwvYXV0aG9yPjxhdXRob3I+Q2hhbGtpYWRha2ksIEcuPC9hdXRob3I+PGF1dGhvcj5NYXJnaW9y
aXMsIEEuPC9hdXRob3I+PGF1dGhvcj5TYXJyaSwgSy48L2F1dGhvcj48YXV0aG9yPlZhc3NpbGFr
aSwgTS48L2F1dGhvcj48YXV0aG9yPlZhZmVpYWRpLCBNLjwvYXV0aG9yPjxhdXRob3I+S29nZXZp
bmFzLCBNLjwvYXV0aG9yPjxhdXRob3I+TWFudHpvcm9zLCBDLjwvYXV0aG9yPjxhdXRob3I+R2ls
bG1hbiwgTS4gVy48L2F1dGhvcj48YXV0aG9yPk9rZW4sIEUuPC9hdXRob3I+PC9hdXRob3JzPjwv
Y29udHJpYnV0b3JzPjxhdXRoLWFkZHJlc3M+RGVwYXJ0bWVudCBvZiBTb2NpYWwgTWVkaWNpbmUs
IFVuaXZlcnNpdHkgb2YgQ3JldGUsIEhlcmFrbGlvbiwgR3JlZWNlLiYjeEQ7T2Jlc2l0eSBQcmV2
ZW50aW9uIFByb2dyYW0sIERlcGFydG1lbnQgb2YgUG9wdWxhdGlvbiBNZWRpY2luZSwgSGFydmFy
ZCBNZWRpY2FsIFNjaG9vbCBhbmQgSGFydmFyZCBQaWxncmltIEhlYWx0aCBDYXJlIEluc3RpdHV0
ZSwgQm9zdG9uLCBNQSwgVVNBLiYjeEQ7RGl2aXNpb24gb2YgRW5kb2NyaW5vbG9neSwgRGlhYmV0
ZXMsICZhbXA7IE1ldGFib2xpc20sIERlcGFydG1lbnQgb2YgTWVkaWNpbmUsIEJldGggSXNyYWVs
IERlYWNvbmVzcyBNZWRpY2FsIENlbnRlciwgSGFydmFyZCBNZWRpY2FsIFNjaG9vbCwgQm9zdG9u
LCBNQSwgVVNBLiYjeEQ7RGVwYXJ0bWVudCBvZiBMYWJvcmF0b3J5IE1lZGljaW5lLCBVbml2ZXJz
aXR5IG9mIENyZXRlLCBIZXJha2xpb24sIEdyZWVjZS4mI3hEO0NlbnRyZSBmb3IgUmVzZWFyY2gg
aW4gRW52aXJvbm1lbnRhbCBFcGlkZW1pb2xvZ3ksIENSRUFMLCBCYXJjZWxvbmEsIFNwYWluLjwv
YXV0aC1hZGRyZXNzPjx0aXRsZXM+PHRpdGxlPkFkaGVyZW5jZSB0byB0aGUgTWVkaXRlcnJhbmVh
biBkaWV0IGR1cmluZyBwcmVnbmFuY3kgYW5kIG9mZnNwcmluZyBhZGlwb3NpdHkgYW5kIGNhcmRp
b21ldGFib2xpYyB0cmFpdHMgaW4gY2hpbGRob29kPC90aXRsZT48c2Vjb25kYXJ5LXRpdGxlPlBl
ZGlhdHIgT2Jlczwvc2Vjb25kYXJ5LXRpdGxlPjwvdGl0bGVzPjxwZXJpb2RpY2FsPjxmdWxsLXRp
dGxlPlBlZGlhdHIgT2JlczwvZnVsbC10aXRsZT48L3BlcmlvZGljYWw+PHBhZ2VzPjQ3LTU2PC9w
YWdlcz48dm9sdW1lPjEyIFN1cHBsIDE8L3ZvbHVtZT48ZWRpdGlvbj4yMDE3LzAyLzA2PC9lZGl0
aW9uPjxrZXl3b3Jkcz48a2V5d29yZD5BZGlwb3NpdHkvKnBoeXNpb2xvZ3k8L2tleXdvcmQ+PGtl
eXdvcmQ+QWR1bHQ8L2tleXdvcmQ+PGtleXdvcmQ+QW50aHJvcG9tZXRyeTwva2V5d29yZD48a2V5
d29yZD5CbG9vZCBQcmVzc3VyZTwva2V5d29yZD48a2V5d29yZD5DLVJlYWN0aXZlIFByb3RlaW48
L2tleXdvcmQ+PGtleXdvcmQ+Q2FyZGlvdmFzY3VsYXIgRGlzZWFzZXMvKnByZXZlbnRpb24gJmFt
cDsgY29udHJvbDwva2V5d29yZD48a2V5d29yZD5DaGlsZDwva2V5d29yZD48a2V5d29yZD5DaGls
ZCwgUHJlc2Nob29sPC9rZXl3b3JkPjxrZXl3b3JkPipEaWV0LCBNZWRpdGVycmFuZWFuPC9rZXl3
b3JkPjxrZXl3b3JkPkZlZWRpbmcgQmVoYXZpb3I8L2tleXdvcmQ+PGtleXdvcmQ+RmVtYWxlPC9r
ZXl3b3JkPjxrZXl3b3JkPkdyZWVjZTwva2V5d29yZD48a2V5d29yZD5IdW1hbnM8L2tleXdvcmQ+
PGtleXdvcmQ+TGlwaWRzL2Jsb29kPC9rZXl3b3JkPjxrZXl3b3JkPk1hbGU8L2tleXdvcmQ+PGtl
eXdvcmQ+TWFzc2FjaHVzZXR0czwva2V5d29yZD48a2V5d29yZD5NaWRkbGUgQWdlZDwva2V5d29y
ZD48a2V5d29yZD5QYXRpZW50IENvbXBsaWFuY2UvKnN0YXRpc3RpY3MgJmFtcDsgbnVtZXJpY2Fs
IGRhdGE8L2tleXdvcmQ+PGtleXdvcmQ+UGVkaWF0cmljIE9iZXNpdHkvZGlldCB0aGVyYXB5Lypl
cGlkZW1pb2xvZ3k8L2tleXdvcmQ+PGtleXdvcmQ+UHJlZ25hbmN5PC9rZXl3b3JkPjxrZXl3b3Jk
PlByb3NwZWN0aXZlIFN0dWRpZXM8L2tleXdvcmQ+PGtleXdvcmQ+UmlzayBGYWN0b3JzPC9rZXl3
b3JkPjxrZXl3b3JkPipCbG9vZCBwcmVzc3VyZTwva2V5d29yZD48a2V5d29yZD4qY29ob3J0IHN0
dWR5PC9rZXl3b3JkPjxrZXl3b3JkPipkaWV0PC9rZXl3b3JkPjxrZXl3b3JkPipsaXBpZHM8L2tl
eXdvcmQ+PGtleXdvcmQ+Km9iZXNpdHk8L2tleXdvcmQ+PGtleXdvcmQ+KnByZWduYW5jeTwva2V5
d29yZD48L2tleXdvcmRzPjxkYXRlcz48eWVhcj4yMDE3PC95ZWFyPjxwdWItZGF0ZXM+PGRhdGU+
QXVnPC9kYXRlPjwvcHViLWRhdGVzPjwvZGF0ZXM+PGlzYm4+MjA0Ny02MzEwIChFbGVjdHJvbmlj
KSYjeEQ7MjA0Ny02MzAyIChMaW5raW5nKTwvaXNibj48YWNjZXNzaW9uLW51bT4yODE2MDQ1MDwv
YWNjZXNzaW9uLW51bT48dXJscz48cmVsYXRlZC11cmxzPjx1cmw+aHR0cHM6Ly93d3cubmNiaS5u
bG0ubmloLmdvdi9wdWJtZWQvMjgxNjA0NTA8L3VybD48L3JlbGF0ZWQtdXJscz48L3VybHM+PGN1
c3RvbTI+UE1DNTY5Nzc0NDwvY3VzdG9tMj48ZWxlY3Ryb25pYy1yZXNvdXJjZS1udW0+MTAuMTEx
MS9panBvLjEyMTkxPC9lbGVjdHJvbmljLXJlc291cmNlLW51bT48L3JlY29yZD48L0NpdGU+PENp
dGU+PEF1dGhvcj5GZXJuYW5kZXotQmFycmVzPC9BdXRob3I+PFllYXI+MjAxNjwvWWVhcj48UmVj
TnVtPjEzNjI8L1JlY051bT48cmVjb3JkPjxyZWMtbnVtYmVyPjEzNjI8L3JlYy1udW1iZXI+PGZv
cmVpZ24ta2V5cz48a2V5IGFwcD0iRU4iIGRiLWlkPSJleHZhc3JmeDJkdHJhb2VzYXN4cDJzenN4
YTJkZjUwMjU5MngiIHRpbWVzdGFtcD0iMTU2NzAzMTA1NyI+MTM2Mjwva2V5PjxrZXkgYXBwPSJF
TldlYiIgZGItaWQ9IiI+MDwva2V5PjwvZm9yZWlnbi1rZXlzPjxyZWYtdHlwZSBuYW1lPSJKb3Vy
bmFsIEFydGljbGUiPjE3PC9yZWYtdHlwZT48Y29udHJpYnV0b3JzPjxhdXRob3JzPjxhdXRob3I+
RmVybmFuZGV6LUJhcnJlcywgUy48L2F1dGhvcj48YXV0aG9yPlJvbWFndWVyYSwgRC48L2F1dGhv
cj48YXV0aG9yPlZhbHZpLCBELjwvYXV0aG9yPjxhdXRob3I+TWFydGluZXosIEQuPC9hdXRob3I+
PGF1dGhvcj5WaW9xdWUsIEouPC9hdXRob3I+PGF1dGhvcj5OYXZhcnJldGUtTXVub3osIEUuIE0u
PC9hdXRob3I+PGF1dGhvcj5BbWlhbm8sIFAuPC9hdXRob3I+PGF1dGhvcj5Hb256YWxlei1QYWxh
Y2lvcywgUy48L2F1dGhvcj48YXV0aG9yPkd1eGVucywgTS48L2F1dGhvcj48YXV0aG9yPlBlcmVk
YSwgRS48L2F1dGhvcj48YXV0aG9yPlJpYW5vLCBJLjwvYXV0aG9yPjxhdXRob3I+VGFyZG9uLCBB
LjwvYXV0aG9yPjxhdXRob3I+SW5pZ3VleiwgQy48L2F1dGhvcj48YXV0aG9yPkFyaWphLCBWLjwv
YXV0aG9yPjxhdXRob3I+U3VueWVyLCBKLjwvYXV0aG9yPjxhdXRob3I+VnJpamhlaWQsIE0uPC9h
dXRob3I+PGF1dGhvcj5Jbm1hIFByb2plY3Q8L2F1dGhvcj48L2F1dGhvcnM+PC9jb250cmlidXRv
cnM+PGF1dGgtYWRkcmVzcz5DZW50cmUgZm9yIFJlc2VhcmNoIGluIEVudmlyb25tZW50YWwgRXBp
ZGVtaW9sb2d5IChDUkVBTCksIEJhcmNlbG9uYSwgU3BhaW4uJiN4RDtOdXRyaXRpb24gYW5kIE1l
bnRhbCBIZWFsdGggR3JvdXAsIFVuaXZlcnNpdGF0IFJvdmlyYSBJIFZpcmdpbGkgKFVSViksIFJl
dXMsIFNwYWluLiYjeEQ7SW5zdGl0dXRvIGRlIEludmVzdGlnYWNpb24gU2FuaXRhcmlhIGRlIFBh
bG1hIChJZElTUGEpLCBIb3NwaXRhbCBVbml2ZXJzaXRhcmkgU29uIEVzcGFzZXMsIFBhbG1hIGRl
IE1hbGxvcmNhLCBTcGFpbi4mI3hEO0NJQkVSIEZpc2lvcGF0b2xvZ2lhIGRlIGxhIE9iZXNpZGFk
IHkgTnV0cmljaW9uIChDSUJFUk9CTiksIE1hZHJpZCwgU3BhaW4uJiN4RDtDSUJFUiBFcGlkZW1p
b2xvZ2lhIHkgU2FsdWQgUHVibGljYSAoQ0lCRVJFU1ApLCBNYWRyaWQsIFNwYWluLiYjeEQ7VW5p
dmVyc2l0YXQgUG9tcGV1IEZhYnJhIChVUEYpLCBCYXJjZWxvbmEsIFNwYWluLiYjeEQ7SGFydmFy
ZCBULkguIENoYW4gU2Nob29sIG9mIFB1YmxpYyBIZWFsdGgsIEJvc3RvbiwgTUEsIFVTQS4mI3hE
O1VuaXZlcnNpZGFkIE1pZ3VlbCBIZXJuYW5kZXosIEFsaWNhbnRlLCBTcGFpbi4mI3hEO1B1Ymxp
YyBIZWFsdGggRGl2aXNpb24gb2YgR2lwdXprb2EsIEJpb0Rvbm9zdGlhIFJlc2VhcmNoIEluc3Rp
dHV0ZSwgU2FuIFNlYmFzdGlhbiwgU3BhaW4uJiN4RDtEZXBhcnRtZW50IG9mIENoaWxkIGFuZCBB
ZG9sZXNjZW50IFBzeWNoaWF0cnkvUHN5Y2hvbG9neSwgRXJhc211cyBVbml2ZXJzaXR5IE1lZGlj
YWwgQ2VudHJlLVNvcGhpYSBDaGlsZHJlbiZhcG9zO3MgSG9zcGl0YWwsIFJvdHRlcmRhbSwgVGhl
IE5ldGhlcmxhbmRzLiYjeEQ7RmFjdWx0YWQgZGUgUHNpY29sb2dpYSwgVW5pdmVyc2lkYWQgZGVs
IFBhaXMgVmFzY28tRXVza2FsIEhlcnJpa28gVW5pYmVydHNpdGF0ZWEgKFVQVi1FSFUpLCBCaXpr
YWlhLCBTcGFpbi4mI3hEO0hvc3BpdGFsIFNhbiBBZ3VzdGluLCBTRVNQQSwgQXN0dXJpYXMsIFNw
YWluLiYjeEQ7VW5pdmVyc2lkYWQgZGUgT3ZpZWRvLCBBc3R1cmlhcywgU3BhaW4uJiN4RDtGSVNB
QklPIC0gVW5pdmVyc2l0YXQgSmF1bWUgSSAtIFVuaXZlcnNpdGF0IGRlIFZhbGVuY2lhIEVwaWRl
bWlvbG9neSBhbmQgRW52aXJvbm1lbnRhbCBIZWFsdGggSm9pbnQgUmVzZWFyY2ggVW5pdCwgVmFs
ZW5jaWEsIFNwYWluLiYjeEQ7SW5zdGl0dXQgSG9zcGl0YWwgZGVsIE1hciBkJmFwb3M7SW52ZXN0
aWdhY2lvbnMgTWVkaXF1ZXMtUGFyYyBkZSBTYWx1dCBNYXIsIEJhcmNlbG9uYSwgU3BhaW4uPC9h
dXRoLWFkZHJlc3M+PHRpdGxlcz48dGl0bGU+TWVkaXRlcnJhbmVhbiBkaWV0YXJ5IHBhdHRlcm4g
aW4gcHJlZ25hbnQgd29tZW4gYW5kIG9mZnNwcmluZyByaXNrIG9mIG92ZXJ3ZWlnaHQgYW5kIGFi
ZG9taW5hbCBvYmVzaXR5IGluIGVhcmx5IGNoaWxkaG9vZDogdGhlIElOTUEgYmlydGggY29ob3J0
IHN0dWR5PC90aXRsZT48c2Vjb25kYXJ5LXRpdGxlPlBlZGlhdHIgT2Jlczwvc2Vjb25kYXJ5LXRp
dGxlPjwvdGl0bGVzPjxwZXJpb2RpY2FsPjxmdWxsLXRpdGxlPlBlZGlhdHIgT2JlczwvZnVsbC10
aXRsZT48L3BlcmlvZGljYWw+PHBhZ2VzPjQ5MS00OTk8L3BhZ2VzPjx2b2x1bWU+MTE8L3ZvbHVt
ZT48bnVtYmVyPjY8L251bWJlcj48ZWRpdGlvbj4yMDE2LzAxLzE1PC9lZGl0aW9uPjxrZXl3b3Jk
cz48a2V5d29yZD5BZHVsdDwva2V5d29yZD48a2V5d29yZD5BbnRocm9wb21ldHJ5PC9rZXl3b3Jk
PjxrZXl3b3JkPkNoaWxkPC9rZXl3b3JkPjxrZXl3b3JkPkNvaG9ydCBTdHVkaWVzPC9rZXl3b3Jk
PjxrZXl3b3JkPipEaWV0LCBNZWRpdGVycmFuZWFuPC9rZXl3b3JkPjxrZXl3b3JkPkZlbWFsZTwv
a2V5d29yZD48a2V5d29yZD5IdW1hbnM8L2tleXdvcmQ+PGtleXdvcmQ+TG9naXN0aWMgTW9kZWxz
PC9rZXl3b3JkPjxrZXl3b3JkPk1hbGU8L2tleXdvcmQ+PGtleXdvcmQ+T2Jlc2l0eSwgQWJkb21p
bmFsL2VwaWRlbWlvbG9neS8qZXRpb2xvZ3k8L2tleXdvcmQ+PGtleXdvcmQ+T3ZlcndlaWdodC9l
cGlkZW1pb2xvZ3kvKmV0aW9sb2d5PC9rZXl3b3JkPjxrZXl3b3JkPlBhdGllbnQgQ29tcGxpYW5j
ZTwva2V5d29yZD48a2V5d29yZD5QZWRpYXRyaWMgT2Jlc2l0eS8qZXBpZGVtaW9sb2d5LypldGlv
bG9neTwva2V5d29yZD48a2V5d29yZD5QcmVnbmFuY3k8L2tleXdvcmQ+PGtleXdvcmQ+UmlzayBG
YWN0b3JzPC9rZXl3b3JkPjxrZXl3b3JkPlNwYWluPC9rZXl3b3JkPjxrZXl3b3JkPlN1cnZleXMg
YW5kIFF1ZXN0aW9ubmFpcmVzPC9rZXl3b3JkPjxrZXl3b3JkPipBYmRvbWluYWwgb2Jlc2l0eTwv
a2V5d29yZD48a2V5d29yZD4qTWVkaXRlcnJhbmVhbiBkaWV0PC9rZXl3b3JkPjxrZXl3b3JkPipj
aGlsZGhvb2Qgb2Jlc2l0eTwva2V5d29yZD48a2V5d29yZD4qcHJlZ25hbmN5PC9rZXl3b3JkPjwv
a2V5d29yZHM+PGRhdGVzPjx5ZWFyPjIwMTY8L3llYXI+PHB1Yi1kYXRlcz48ZGF0ZT5EZWM8L2Rh
dGU+PC9wdWItZGF0ZXM+PC9kYXRlcz48aXNibj4yMDQ3LTYzMTAgKEVsZWN0cm9uaWMpJiN4RDsy
MDQ3LTYzMDIgKExpbmtpbmcpPC9pc2JuPjxhY2Nlc3Npb24tbnVtPjI2NzYzNzY3PC9hY2Nlc3Np
b24tbnVtPjx1cmxzPjxyZWxhdGVkLXVybHM+PHVybD5odHRwczovL3d3dy5uY2JpLm5sbS5uaWgu
Z292L3B1Ym1lZC8yNjc2Mzc2NzwvdXJsPjwvcmVsYXRlZC11cmxzPjwvdXJscz48ZWxlY3Ryb25p
Yy1yZXNvdXJjZS1udW0+MTAuMTExMS9panBvLjEyMDkyPC9lbGVjdHJvbmljLXJlc291cmNlLW51
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49,50</w:t>
      </w:r>
      <w:r>
        <w:fldChar w:fldCharType="end"/>
      </w:r>
      <w:r>
        <w:t xml:space="preserve"> Studies into child cardiometabolic risk were also inconsistent, with one study finding a potential protective effect</w:t>
      </w:r>
      <w:r>
        <w:fldChar w:fldCharType="begin">
          <w:fldData xml:space="preserve">PEVuZE5vdGU+PENpdGU+PEF1dGhvcj5DaGF0emk8L0F1dGhvcj48WWVhcj4yMDE3PC9ZZWFyPjxS
ZWNOdW0+MTM1MjwvUmVjTnVtPjxEaXNwbGF5VGV4dD48c3R5bGUgZmFjZT0ic3VwZXJzY3JpcHQi
IGZvbnQ9IlRyZWJ1Y2hldCBNUyIgc2l6ZT0iOSI+NDk8L3N0eWxlPjwvRGlzcGxheVRleHQ+PHJl
Y29yZD48cmVjLW51bWJlcj4xMzUyPC9yZWMtbnVtYmVyPjxmb3JlaWduLWtleXM+PGtleSBhcHA9
IkVOIiBkYi1pZD0iZXh2YXNyZngyZHRyYW9lc2FzeHAyc3pzeGEyZGY1MDI1OTJ4IiB0aW1lc3Rh
bXA9IjE1NjcwMzEwMTUiPjEzNTI8L2tleT48a2V5IGFwcD0iRU5XZWIiIGRiLWlkPSIiPjA8L2tl
eT48L2ZvcmVpZ24ta2V5cz48cmVmLXR5cGUgbmFtZT0iSm91cm5hbCBBcnRpY2xlIj4xNzwvcmVm
LXR5cGU+PGNvbnRyaWJ1dG9ycz48YXV0aG9ycz48YXV0aG9yPkNoYXR6aSwgTC48L2F1dGhvcj48
YXV0aG9yPlJpZmFzLVNoaW1hbiwgUy4gTC48L2F1dGhvcj48YXV0aG9yPkdlb3JnaW91LCBWLjwv
YXV0aG9yPjxhdXRob3I+Sm91bmcsIEsuIEUuPC9hdXRob3I+PGF1dGhvcj5Lb2luYWtpLCBTLjwv
YXV0aG9yPjxhdXRob3I+Q2hhbGtpYWRha2ksIEcuPC9hdXRob3I+PGF1dGhvcj5NYXJnaW9yaXMs
IEEuPC9hdXRob3I+PGF1dGhvcj5TYXJyaSwgSy48L2F1dGhvcj48YXV0aG9yPlZhc3NpbGFraSwg
TS48L2F1dGhvcj48YXV0aG9yPlZhZmVpYWRpLCBNLjwvYXV0aG9yPjxhdXRob3I+S29nZXZpbmFz
LCBNLjwvYXV0aG9yPjxhdXRob3I+TWFudHpvcm9zLCBDLjwvYXV0aG9yPjxhdXRob3I+R2lsbG1h
biwgTS4gVy48L2F1dGhvcj48YXV0aG9yPk9rZW4sIEUuPC9hdXRob3I+PC9hdXRob3JzPjwvY29u
dHJpYnV0b3JzPjxhdXRoLWFkZHJlc3M+RGVwYXJ0bWVudCBvZiBTb2NpYWwgTWVkaWNpbmUsIFVu
aXZlcnNpdHkgb2YgQ3JldGUsIEhlcmFrbGlvbiwgR3JlZWNlLiYjeEQ7T2Jlc2l0eSBQcmV2ZW50
aW9uIFByb2dyYW0sIERlcGFydG1lbnQgb2YgUG9wdWxhdGlvbiBNZWRpY2luZSwgSGFydmFyZCBN
ZWRpY2FsIFNjaG9vbCBhbmQgSGFydmFyZCBQaWxncmltIEhlYWx0aCBDYXJlIEluc3RpdHV0ZSwg
Qm9zdG9uLCBNQSwgVVNBLiYjeEQ7RGl2aXNpb24gb2YgRW5kb2NyaW5vbG9neSwgRGlhYmV0ZXMs
ICZhbXA7IE1ldGFib2xpc20sIERlcGFydG1lbnQgb2YgTWVkaWNpbmUsIEJldGggSXNyYWVsIERl
YWNvbmVzcyBNZWRpY2FsIENlbnRlciwgSGFydmFyZCBNZWRpY2FsIFNjaG9vbCwgQm9zdG9uLCBN
QSwgVVNBLiYjeEQ7RGVwYXJ0bWVudCBvZiBMYWJvcmF0b3J5IE1lZGljaW5lLCBVbml2ZXJzaXR5
IG9mIENyZXRlLCBIZXJha2xpb24sIEdyZWVjZS4mI3hEO0NlbnRyZSBmb3IgUmVzZWFyY2ggaW4g
RW52aXJvbm1lbnRhbCBFcGlkZW1pb2xvZ3ksIENSRUFMLCBCYXJjZWxvbmEsIFNwYWluLjwvYXV0
aC1hZGRyZXNzPjx0aXRsZXM+PHRpdGxlPkFkaGVyZW5jZSB0byB0aGUgTWVkaXRlcnJhbmVhbiBk
aWV0IGR1cmluZyBwcmVnbmFuY3kgYW5kIG9mZnNwcmluZyBhZGlwb3NpdHkgYW5kIGNhcmRpb21l
dGFib2xpYyB0cmFpdHMgaW4gY2hpbGRob29kPC90aXRsZT48c2Vjb25kYXJ5LXRpdGxlPlBlZGlh
dHIgT2Jlczwvc2Vjb25kYXJ5LXRpdGxlPjwvdGl0bGVzPjxwZXJpb2RpY2FsPjxmdWxsLXRpdGxl
PlBlZGlhdHIgT2JlczwvZnVsbC10aXRsZT48L3BlcmlvZGljYWw+PHBhZ2VzPjQ3LTU2PC9wYWdl
cz48dm9sdW1lPjEyIFN1cHBsIDE8L3ZvbHVtZT48ZWRpdGlvbj4yMDE3LzAyLzA2PC9lZGl0aW9u
PjxrZXl3b3Jkcz48a2V5d29yZD5BZGlwb3NpdHkvKnBoeXNpb2xvZ3k8L2tleXdvcmQ+PGtleXdv
cmQ+QWR1bHQ8L2tleXdvcmQ+PGtleXdvcmQ+QW50aHJvcG9tZXRyeTwva2V5d29yZD48a2V5d29y
ZD5CbG9vZCBQcmVzc3VyZTwva2V5d29yZD48a2V5d29yZD5DLVJlYWN0aXZlIFByb3RlaW48L2tl
eXdvcmQ+PGtleXdvcmQ+Q2FyZGlvdmFzY3VsYXIgRGlzZWFzZXMvKnByZXZlbnRpb24gJmFtcDsg
Y29udHJvbDwva2V5d29yZD48a2V5d29yZD5DaGlsZDwva2V5d29yZD48a2V5d29yZD5DaGlsZCwg
UHJlc2Nob29sPC9rZXl3b3JkPjxrZXl3b3JkPipEaWV0LCBNZWRpdGVycmFuZWFuPC9rZXl3b3Jk
PjxrZXl3b3JkPkZlZWRpbmcgQmVoYXZpb3I8L2tleXdvcmQ+PGtleXdvcmQ+RmVtYWxlPC9rZXl3
b3JkPjxrZXl3b3JkPkdyZWVjZTwva2V5d29yZD48a2V5d29yZD5IdW1hbnM8L2tleXdvcmQ+PGtl
eXdvcmQ+TGlwaWRzL2Jsb29kPC9rZXl3b3JkPjxrZXl3b3JkPk1hbGU8L2tleXdvcmQ+PGtleXdv
cmQ+TWFzc2FjaHVzZXR0czwva2V5d29yZD48a2V5d29yZD5NaWRkbGUgQWdlZDwva2V5d29yZD48
a2V5d29yZD5QYXRpZW50IENvbXBsaWFuY2UvKnN0YXRpc3RpY3MgJmFtcDsgbnVtZXJpY2FsIGRh
dGE8L2tleXdvcmQ+PGtleXdvcmQ+UGVkaWF0cmljIE9iZXNpdHkvZGlldCB0aGVyYXB5LyplcGlk
ZW1pb2xvZ3k8L2tleXdvcmQ+PGtleXdvcmQ+UHJlZ25hbmN5PC9rZXl3b3JkPjxrZXl3b3JkPlBy
b3NwZWN0aXZlIFN0dWRpZXM8L2tleXdvcmQ+PGtleXdvcmQ+UmlzayBGYWN0b3JzPC9rZXl3b3Jk
PjxrZXl3b3JkPipCbG9vZCBwcmVzc3VyZTwva2V5d29yZD48a2V5d29yZD4qY29ob3J0IHN0dWR5
PC9rZXl3b3JkPjxrZXl3b3JkPipkaWV0PC9rZXl3b3JkPjxrZXl3b3JkPipsaXBpZHM8L2tleXdv
cmQ+PGtleXdvcmQ+Km9iZXNpdHk8L2tleXdvcmQ+PGtleXdvcmQ+KnByZWduYW5jeTwva2V5d29y
ZD48L2tleXdvcmRzPjxkYXRlcz48eWVhcj4yMDE3PC95ZWFyPjxwdWItZGF0ZXM+PGRhdGU+QXVn
PC9kYXRlPjwvcHViLWRhdGVzPjwvZGF0ZXM+PGlzYm4+MjA0Ny02MzEwIChFbGVjdHJvbmljKSYj
eEQ7MjA0Ny02MzAyIChMaW5raW5nKTwvaXNibj48YWNjZXNzaW9uLW51bT4yODE2MDQ1MDwvYWNj
ZXNzaW9uLW51bT48dXJscz48cmVsYXRlZC11cmxzPjx1cmw+aHR0cHM6Ly93d3cubmNiaS5ubG0u
bmloLmdvdi9wdWJtZWQvMjgxNjA0NTA8L3VybD48L3JlbGF0ZWQtdXJscz48L3VybHM+PGN1c3Rv
bTI+UE1DNTY5Nzc0NDwvY3VzdG9tMj48ZWxlY3Ryb25pYy1yZXNvdXJjZS1udW0+MTAuMTExMS9p
anBvLjEyMTkxPC9lbGVjdHJvbmljLXJlc291cmNlLW51bT48L3JlY29yZD48L0NpdGU+PC9FbmRO
b3RlPgB=
</w:fldData>
        </w:fldChar>
      </w:r>
      <w:r w:rsidR="002747EA">
        <w:instrText xml:space="preserve"> ADDIN EN.CITE </w:instrText>
      </w:r>
      <w:r w:rsidR="002747EA">
        <w:fldChar w:fldCharType="begin">
          <w:fldData xml:space="preserve">PEVuZE5vdGU+PENpdGU+PEF1dGhvcj5DaGF0emk8L0F1dGhvcj48WWVhcj4yMDE3PC9ZZWFyPjxS
ZWNOdW0+MTM1MjwvUmVjTnVtPjxEaXNwbGF5VGV4dD48c3R5bGUgZmFjZT0ic3VwZXJzY3JpcHQi
IGZvbnQ9IlRyZWJ1Y2hldCBNUyIgc2l6ZT0iOSI+NDk8L3N0eWxlPjwvRGlzcGxheVRleHQ+PHJl
Y29yZD48cmVjLW51bWJlcj4xMzUyPC9yZWMtbnVtYmVyPjxmb3JlaWduLWtleXM+PGtleSBhcHA9
IkVOIiBkYi1pZD0iZXh2YXNyZngyZHRyYW9lc2FzeHAyc3pzeGEyZGY1MDI1OTJ4IiB0aW1lc3Rh
bXA9IjE1NjcwMzEwMTUiPjEzNTI8L2tleT48a2V5IGFwcD0iRU5XZWIiIGRiLWlkPSIiPjA8L2tl
eT48L2ZvcmVpZ24ta2V5cz48cmVmLXR5cGUgbmFtZT0iSm91cm5hbCBBcnRpY2xlIj4xNzwvcmVm
LXR5cGU+PGNvbnRyaWJ1dG9ycz48YXV0aG9ycz48YXV0aG9yPkNoYXR6aSwgTC48L2F1dGhvcj48
YXV0aG9yPlJpZmFzLVNoaW1hbiwgUy4gTC48L2F1dGhvcj48YXV0aG9yPkdlb3JnaW91LCBWLjwv
YXV0aG9yPjxhdXRob3I+Sm91bmcsIEsuIEUuPC9hdXRob3I+PGF1dGhvcj5Lb2luYWtpLCBTLjwv
YXV0aG9yPjxhdXRob3I+Q2hhbGtpYWRha2ksIEcuPC9hdXRob3I+PGF1dGhvcj5NYXJnaW9yaXMs
IEEuPC9hdXRob3I+PGF1dGhvcj5TYXJyaSwgSy48L2F1dGhvcj48YXV0aG9yPlZhc3NpbGFraSwg
TS48L2F1dGhvcj48YXV0aG9yPlZhZmVpYWRpLCBNLjwvYXV0aG9yPjxhdXRob3I+S29nZXZpbmFz
LCBNLjwvYXV0aG9yPjxhdXRob3I+TWFudHpvcm9zLCBDLjwvYXV0aG9yPjxhdXRob3I+R2lsbG1h
biwgTS4gVy48L2F1dGhvcj48YXV0aG9yPk9rZW4sIEUuPC9hdXRob3I+PC9hdXRob3JzPjwvY29u
dHJpYnV0b3JzPjxhdXRoLWFkZHJlc3M+RGVwYXJ0bWVudCBvZiBTb2NpYWwgTWVkaWNpbmUsIFVu
aXZlcnNpdHkgb2YgQ3JldGUsIEhlcmFrbGlvbiwgR3JlZWNlLiYjeEQ7T2Jlc2l0eSBQcmV2ZW50
aW9uIFByb2dyYW0sIERlcGFydG1lbnQgb2YgUG9wdWxhdGlvbiBNZWRpY2luZSwgSGFydmFyZCBN
ZWRpY2FsIFNjaG9vbCBhbmQgSGFydmFyZCBQaWxncmltIEhlYWx0aCBDYXJlIEluc3RpdHV0ZSwg
Qm9zdG9uLCBNQSwgVVNBLiYjeEQ7RGl2aXNpb24gb2YgRW5kb2NyaW5vbG9neSwgRGlhYmV0ZXMs
ICZhbXA7IE1ldGFib2xpc20sIERlcGFydG1lbnQgb2YgTWVkaWNpbmUsIEJldGggSXNyYWVsIERl
YWNvbmVzcyBNZWRpY2FsIENlbnRlciwgSGFydmFyZCBNZWRpY2FsIFNjaG9vbCwgQm9zdG9uLCBN
QSwgVVNBLiYjeEQ7RGVwYXJ0bWVudCBvZiBMYWJvcmF0b3J5IE1lZGljaW5lLCBVbml2ZXJzaXR5
IG9mIENyZXRlLCBIZXJha2xpb24sIEdyZWVjZS4mI3hEO0NlbnRyZSBmb3IgUmVzZWFyY2ggaW4g
RW52aXJvbm1lbnRhbCBFcGlkZW1pb2xvZ3ksIENSRUFMLCBCYXJjZWxvbmEsIFNwYWluLjwvYXV0
aC1hZGRyZXNzPjx0aXRsZXM+PHRpdGxlPkFkaGVyZW5jZSB0byB0aGUgTWVkaXRlcnJhbmVhbiBk
aWV0IGR1cmluZyBwcmVnbmFuY3kgYW5kIG9mZnNwcmluZyBhZGlwb3NpdHkgYW5kIGNhcmRpb21l
dGFib2xpYyB0cmFpdHMgaW4gY2hpbGRob29kPC90aXRsZT48c2Vjb25kYXJ5LXRpdGxlPlBlZGlh
dHIgT2Jlczwvc2Vjb25kYXJ5LXRpdGxlPjwvdGl0bGVzPjxwZXJpb2RpY2FsPjxmdWxsLXRpdGxl
PlBlZGlhdHIgT2JlczwvZnVsbC10aXRsZT48L3BlcmlvZGljYWw+PHBhZ2VzPjQ3LTU2PC9wYWdl
cz48dm9sdW1lPjEyIFN1cHBsIDE8L3ZvbHVtZT48ZWRpdGlvbj4yMDE3LzAyLzA2PC9lZGl0aW9u
PjxrZXl3b3Jkcz48a2V5d29yZD5BZGlwb3NpdHkvKnBoeXNpb2xvZ3k8L2tleXdvcmQ+PGtleXdv
cmQ+QWR1bHQ8L2tleXdvcmQ+PGtleXdvcmQ+QW50aHJvcG9tZXRyeTwva2V5d29yZD48a2V5d29y
ZD5CbG9vZCBQcmVzc3VyZTwva2V5d29yZD48a2V5d29yZD5DLVJlYWN0aXZlIFByb3RlaW48L2tl
eXdvcmQ+PGtleXdvcmQ+Q2FyZGlvdmFzY3VsYXIgRGlzZWFzZXMvKnByZXZlbnRpb24gJmFtcDsg
Y29udHJvbDwva2V5d29yZD48a2V5d29yZD5DaGlsZDwva2V5d29yZD48a2V5d29yZD5DaGlsZCwg
UHJlc2Nob29sPC9rZXl3b3JkPjxrZXl3b3JkPipEaWV0LCBNZWRpdGVycmFuZWFuPC9rZXl3b3Jk
PjxrZXl3b3JkPkZlZWRpbmcgQmVoYXZpb3I8L2tleXdvcmQ+PGtleXdvcmQ+RmVtYWxlPC9rZXl3
b3JkPjxrZXl3b3JkPkdyZWVjZTwva2V5d29yZD48a2V5d29yZD5IdW1hbnM8L2tleXdvcmQ+PGtl
eXdvcmQ+TGlwaWRzL2Jsb29kPC9rZXl3b3JkPjxrZXl3b3JkPk1hbGU8L2tleXdvcmQ+PGtleXdv
cmQ+TWFzc2FjaHVzZXR0czwva2V5d29yZD48a2V5d29yZD5NaWRkbGUgQWdlZDwva2V5d29yZD48
a2V5d29yZD5QYXRpZW50IENvbXBsaWFuY2UvKnN0YXRpc3RpY3MgJmFtcDsgbnVtZXJpY2FsIGRh
dGE8L2tleXdvcmQ+PGtleXdvcmQ+UGVkaWF0cmljIE9iZXNpdHkvZGlldCB0aGVyYXB5LyplcGlk
ZW1pb2xvZ3k8L2tleXdvcmQ+PGtleXdvcmQ+UHJlZ25hbmN5PC9rZXl3b3JkPjxrZXl3b3JkPlBy
b3NwZWN0aXZlIFN0dWRpZXM8L2tleXdvcmQ+PGtleXdvcmQ+UmlzayBGYWN0b3JzPC9rZXl3b3Jk
PjxrZXl3b3JkPipCbG9vZCBwcmVzc3VyZTwva2V5d29yZD48a2V5d29yZD4qY29ob3J0IHN0dWR5
PC9rZXl3b3JkPjxrZXl3b3JkPipkaWV0PC9rZXl3b3JkPjxrZXl3b3JkPipsaXBpZHM8L2tleXdv
cmQ+PGtleXdvcmQ+Km9iZXNpdHk8L2tleXdvcmQ+PGtleXdvcmQ+KnByZWduYW5jeTwva2V5d29y
ZD48L2tleXdvcmRzPjxkYXRlcz48eWVhcj4yMDE3PC95ZWFyPjxwdWItZGF0ZXM+PGRhdGU+QXVn
PC9kYXRlPjwvcHViLWRhdGVzPjwvZGF0ZXM+PGlzYm4+MjA0Ny02MzEwIChFbGVjdHJvbmljKSYj
eEQ7MjA0Ny02MzAyIChMaW5raW5nKTwvaXNibj48YWNjZXNzaW9uLW51bT4yODE2MDQ1MDwvYWNj
ZXNzaW9uLW51bT48dXJscz48cmVsYXRlZC11cmxzPjx1cmw+aHR0cHM6Ly93d3cubmNiaS5ubG0u
bmloLmdvdi9wdWJtZWQvMjgxNjA0NTA8L3VybD48L3JlbGF0ZWQtdXJscz48L3VybHM+PGN1c3Rv
bTI+UE1DNTY5Nzc0NDwvY3VzdG9tMj48ZWxlY3Ryb25pYy1yZXNvdXJjZS1udW0+MTAuMTExMS9p
anBvLjEyMTkxPC9lbGVjdHJvbmljLXJlc291cmNlLW51bT48L3JlY29yZD48L0NpdGU+PC9FbmRO
b3RlPgB=
</w:fldData>
        </w:fldChar>
      </w:r>
      <w:r w:rsidR="002747EA">
        <w:instrText xml:space="preserve"> ADDIN EN.CITE.DATA </w:instrText>
      </w:r>
      <w:r w:rsidR="002747EA">
        <w:fldChar w:fldCharType="end"/>
      </w:r>
      <w:r>
        <w:fldChar w:fldCharType="separate"/>
      </w:r>
      <w:r w:rsidR="002747EA" w:rsidRPr="002747EA">
        <w:rPr>
          <w:noProof/>
          <w:vertAlign w:val="superscript"/>
        </w:rPr>
        <w:t>49</w:t>
      </w:r>
      <w:r>
        <w:fldChar w:fldCharType="end"/>
      </w:r>
      <w:r>
        <w:t xml:space="preserve"> and another finding no association with child cardiometabolic risk.</w:t>
      </w:r>
      <w:r>
        <w:fldChar w:fldCharType="begin">
          <w:fldData xml:space="preserve">PEVuZE5vdGU+PENpdGU+PEF1dGhvcj5GZXJuYW5kZXotQmFycmVzPC9BdXRob3I+PFllYXI+MjAx
OTwvWWVhcj48UmVjTnVtPjEzNjM8L1JlY051bT48RGlzcGxheVRleHQ+PHN0eWxlIGZhY2U9InN1
cGVyc2NyaXB0IiBmb250PSJUcmVidWNoZXQgTVMiIHNpemU9IjkiPjUxPC9zdHlsZT48L0Rpc3Bs
YXlUZXh0PjxyZWNvcmQ+PHJlYy1udW1iZXI+MTM2MzwvcmVjLW51bWJlcj48Zm9yZWlnbi1rZXlz
PjxrZXkgYXBwPSJFTiIgZGItaWQ9ImV4dmFzcmZ4MmR0cmFvZXNhc3hwMnN6c3hhMmRmNTAyNTky
eCIgdGltZXN0YW1wPSIxNTY3MDMxMDYxIj4xMzYzPC9rZXk+PGtleSBhcHA9IkVOV2ViIiBkYi1p
ZD0iIj4wPC9rZXk+PC9mb3JlaWduLWtleXM+PHJlZi10eXBlIG5hbWU9IkpvdXJuYWwgQXJ0aWNs
ZSI+MTc8L3JlZi10eXBlPjxjb250cmlidXRvcnM+PGF1dGhvcnM+PGF1dGhvcj5GZXJuYW5kZXot
QmFycmVzLCBTLjwvYXV0aG9yPjxhdXRob3I+VnJpamhlaWQsIE0uPC9hdXRob3I+PGF1dGhvcj5N
YW56YW5vLVNhbGdhZG8sIEMuIEIuPC9hdXRob3I+PGF1dGhvcj5WYWx2aSwgRC48L2F1dGhvcj48
YXV0aG9yPk1hcnRpbmV6LCBELjwvYXV0aG9yPjxhdXRob3I+SW5pZ3VleiwgQy48L2F1dGhvcj48
YXV0aG9yPkppbWVuZXotWmFiYWxhLCBBLjwvYXV0aG9yPjxhdXRob3I+Umlhbm8tR2FsYW4sIEku
PC9hdXRob3I+PGF1dGhvcj5OYXZhcnJldGUtTXVub3osIEUuIE0uPC9hdXRob3I+PGF1dGhvcj5T
YW50YS1NYXJpbmEsIEwuPC9hdXRob3I+PGF1dGhvcj5UYXJkb24sIEEuPC9hdXRob3I+PGF1dGhv
cj5WaW9xdWUsIEouPC9hdXRob3I+PGF1dGhvcj5BcmlqYSwgVi48L2F1dGhvcj48YXV0aG9yPlN1
bnllciwgSi48L2F1dGhvcj48YXV0aG9yPlJvbWFndWVyYSwgRC48L2F1dGhvcj48YXV0aG9yPklu
ZmFuY2lhIHkgTWVkaW8gQW1iaWVudGUsIFByb2plY3Q8L2F1dGhvcj48L2F1dGhvcnM+PC9jb250
cmlidXRvcnM+PGF1dGgtYWRkcmVzcz5JU0dsb2JhbCwgQmFyY2Vsb25hLCBTcGFpbjsgVW5pdmVy
c2l0YXQgUG9tcGV1IEZhYnJhLCBCYXJjZWxvbmEsIFNwYWluOyBDSUJFUiBFcGlkZW1pb2xvZ2lh
IHkgU2FsdWQgUHVibGljYSAoQ0lCRVJFU1ApLCBNYWRyaWQsIFNwYWluOyBEZXBhcnRhbWVudCBk
ZSBDaWVuY2llcyBNZWRpcXVlcyBCYXNpcXVlcywgTnV0cml0aW9uIGFuZCBNZW50YWwgSGVhbHRo
IFJlc2VhcmNoIEdyb3VwIChOVVRSSVNBTSksIEZhY3VsdGF0IGRlIE1lZGljaW5hIGkgQ2llbmNp
ZXMgZGUgbGEgU2FsdXQgKEZNQ1MpLCBVbml2ZXJzaXRhdCBSb3ZpcmEgaSBWaXJnaWxpIChVUlYp
LCBSZXVzLCBTcGFpbi4gRWxlY3Ryb25pYyBhZGRyZXNzOiBzaWx2aWEuZmVybmFuZGV6QGlzZ2xv
YmFsLm9yZy4mI3hEO0lTR2xvYmFsLCBCYXJjZWxvbmEsIFNwYWluOyBVbml2ZXJzaXRhdCBQb21w
ZXUgRmFicmEsIEJhcmNlbG9uYSwgU3BhaW47IENJQkVSIEVwaWRlbWlvbG9naWEgeSBTYWx1ZCBQ
dWJsaWNhIChDSUJFUkVTUCksIE1hZHJpZCwgU3BhaW4uJiN4RDtEZXBhcnRtZW50IG9mIEVudmly
b25tZW50YWwgSGVhbHRoLCBIYXJ2YXJkIFQuSC4gQ2hhbiBTY2hvb2wgb2YgUHVibGljIEhlYWx0
aCwgQm9zdG9uLCBNQS4mI3hEO0NJQkVSIEVwaWRlbWlvbG9naWEgeSBTYWx1ZCBQdWJsaWNhIChD
SUJFUkVTUCksIE1hZHJpZCwgU3BhaW47IEVwaWRlbWlvbG9neSBhbmQgRW52aXJvbm1lbnRhbCBI
ZWFsdGggSm9pbnQgUmVzZWFyY2ggVW5pdCwgRklTQUJJTy1Vbml2ZXJzaXRhdCBKYXVtZSBJLVVu
aXZlcnNpdGF0IGRlIFZhbGVuY2lhLCBWYWxlbmNpYSwgU3BhaW4uJiN4RDtCSU9ET05PU1RJQSBI
ZWFsdGggUmVzZWFyY2ggSW5zdGl0dXRlLCBTYW4gU2ViYXN0aWFuLCBTcGFpbjsgUHVibGljIEhl
YWx0aCBEaXZpc2lvbiBvZiBHaXB1emtvYSwgQmFzcXVlIEdvdmVybm1lbnQsIFNhbiBTZWJhc3Rp
YW4sIFNwYWluLiYjeEQ7Q0lCRVIgRXBpZGVtaW9sb2dpYSB5IFNhbHVkIFB1YmxpY2EgKENJQkVS
RVNQKSwgTWFkcmlkLCBTcGFpbjsgUGVkaWF0cmljIFVuaXQsIEhvc3BpdGFsIFNhbiBBZ3VzdGlu
LCBBdmlsZXMsIFNwYWluLiYjeEQ7Q0lCRVIgRXBpZGVtaW9sb2dpYSB5IFNhbHVkIFB1YmxpY2Eg
KENJQkVSRVNQKSwgTWFkcmlkLCBTcGFpbjsgRGVwYXJ0bWVudCBvZiBQdWJsaWMgSGVhbHRoLCBI
aXN0b3J5IG9mIE1lZGljaW5lIGFuZCBHeW5lY29sb2d5LCBVbml2ZXJzaWRhZCBNaWd1ZWwgSGVy
bmFuZGV6LCBBbGljYW50ZSBJbnN0aXR1dGUgZm9yIEhlYWx0aCBhbmQgQmlvbWVkaWNhbCBSZXNl
YXJjaCAoSVNBQklBTC1GSVNBQklPIEZvdW5kYXRpb24pLCBBbGljYW50ZSwgU3BhaW4uJiN4RDtD
SUJFUiBFcGlkZW1pb2xvZ2lhIHkgU2FsdWQgUHVibGljYSAoQ0lCRVJFU1ApLCBNYWRyaWQsIFNw
YWluOyBCSU9ET05PU1RJQSBIZWFsdGggUmVzZWFyY2ggSW5zdGl0dXRlLCBTYW4gU2ViYXN0aWFu
LCBTcGFpbjsgUHVibGljIEhlYWx0aCBEaXZpc2lvbiBvZiBHaXB1emtvYSwgQmFzcXVlIEdvdmVy
bm1lbnQsIFNhbiBTZWJhc3RpYW4sIFNwYWluLiYjeEQ7Q0lCRVIgRXBpZGVtaW9sb2dpYSB5IFNh
bHVkIFB1YmxpY2EgKENJQkVSRVNQKSwgTWFkcmlkLCBTcGFpbjsgSVVPUEEgYW5kIFVuaXZlcnNp
dHkgb2YgT3ZpZWRvLCBBc3R1cmlhcywgU3BhaW4uJiN4RDtEZXBhcnRhbWVudCBkZSBDaWVuY2ll
cyBNZWRpcXVlcyBCYXNpcXVlcywgTnV0cml0aW9uIGFuZCBNZW50YWwgSGVhbHRoIFJlc2VhcmNo
IEdyb3VwIChOVVRSSVNBTSksIEZhY3VsdGF0IGRlIE1lZGljaW5hIGkgQ2llbmNpZXMgZGUgbGEg
U2FsdXQgKEZNQ1MpLCBVbml2ZXJzaXRhdCBSb3ZpcmEgaSBWaXJnaWxpIChVUlYpLCBSZXVzLCBT
cGFpbi4mI3hEO0lTR2xvYmFsLCBCYXJjZWxvbmEsIFNwYWluOyBVbml2ZXJzaXRhdCBQb21wZXUg
RmFicmEsIEJhcmNlbG9uYSwgU3BhaW47IENJQkVSIEVwaWRlbWlvbG9naWEgeSBTYWx1ZCBQdWJs
aWNhIChDSUJFUkVTUCksIE1hZHJpZCwgU3BhaW47IEhvc3BpdGFsIGRlbCBNYXIgTWVkaWNhbCBS
ZXNlYXJjaCBJbnN0aXR1dGUsIEJhcmNlbG9uYSwgU3BhaW4uJiN4RDtJU0dsb2JhbCwgQmFyY2Vs
b25hLCBTcGFpbjsgSW5zdGl0dXRvIGRlIEludmVzdGlnYWNpb24gU2FuaXRhcmlhIElsbGVzIEJh
bGVhcnMsIEhvc3BpdGFsIFVuaXZlcnNpdGFyaSBTb24gRXNwYXNlcywgUGFsbWEgZGUgTWFsbG9y
Y2EsIFNwYWluOyBDSUJFUiBGaXNpb3BhdG9sb2dpYSBkZSBsYSBPYmVzaWRhZCB5IE51dHJpY2lv
biAoQ0lCRVJPQk4pLCBNYWRyaWQsIFNwYWluLjwvYXV0aC1hZGRyZXNzPjx0aXRsZXM+PHRpdGxl
PlRoZSBhc3NvY2lhdGlvbiBvZiBtZWRpdGVycmFuZWFuIGRpZXQgZHVyaW5nIHByZWduYW5jeSB3
aXRoIGxvbmdpdHVkaW5hbCBib2R5IG1hc3MgaW5kZXggdHJhamVjdG9yaWVzIGFuZCBjYXJkaW9t
ZXRhYm9saWMgcmlzayBpbiBlYXJseSBjaGlsZGhvb2Q8L3RpdGxlPjxzZWNvbmRhcnktdGl0bGU+
SiBQZWRpYXRyPC9zZWNvbmRhcnktdGl0bGU+PC90aXRsZXM+PHBlcmlvZGljYWw+PGZ1bGwtdGl0
bGU+SiBQZWRpYXRyPC9mdWxsLXRpdGxlPjwvcGVyaW9kaWNhbD48cGFnZXM+MTE5LTEyNyBlNjwv
cGFnZXM+PHZvbHVtZT4yMDY8L3ZvbHVtZT48ZWRpdGlvbj4yMDE4LzExLzE2PC9lZGl0aW9uPjxr
ZXl3b3Jkcz48a2V5d29yZD5NZWRpdGVycmFuZWFuIGRpZXQ8L2tleXdvcmQ+PGtleXdvcmQ+Y2Fy
ZGlvbWV0YWJvbGljIHJpc2s8L2tleXdvcmQ+PGtleXdvcmQ+Y2hpbGRob29kPC9rZXl3b3JkPjxr
ZXl3b3JkPmNvaG9ydDwva2V5d29yZD48a2V5d29yZD5ncm93dGg8L2tleXdvcmQ+PC9rZXl3b3Jk
cz48ZGF0ZXM+PHllYXI+MjAxOTwveWVhcj48cHViLWRhdGVzPjxkYXRlPk1hcjwvZGF0ZT48L3B1
Yi1kYXRlcz48L2RhdGVzPjxpc2JuPjEwOTctNjgzMyAoRWxlY3Ryb25pYykmI3hEOzAwMjItMzQ3
NiAoTGlua2luZyk8L2lzYm4+PGFjY2Vzc2lvbi1udW0+MzA0MjkwNzk8L2FjY2Vzc2lvbi1udW0+
PHVybHM+PHJlbGF0ZWQtdXJscz48dXJsPmh0dHBzOi8vd3d3Lm5jYmkubmxtLm5paC5nb3YvcHVi
bWVkLzMwNDI5MDc5PC91cmw+PC9yZWxhdGVkLXVybHM+PC91cmxzPjxlbGVjdHJvbmljLXJlc291
cmNlLW51bT4xMC4xMDE2L2ouanBlZHMuMjAxOC4xMC4wMDU8L2VsZWN0cm9uaWMtcmVzb3VyY2Ut
bnVtPjwvcmVjb3JkPjwvQ2l0ZT48L0VuZE5vdGU+AG==
</w:fldData>
        </w:fldChar>
      </w:r>
      <w:r w:rsidR="002747EA">
        <w:instrText xml:space="preserve"> ADDIN EN.CITE </w:instrText>
      </w:r>
      <w:r w:rsidR="002747EA">
        <w:fldChar w:fldCharType="begin">
          <w:fldData xml:space="preserve">PEVuZE5vdGU+PENpdGU+PEF1dGhvcj5GZXJuYW5kZXotQmFycmVzPC9BdXRob3I+PFllYXI+MjAx
OTwvWWVhcj48UmVjTnVtPjEzNjM8L1JlY051bT48RGlzcGxheVRleHQ+PHN0eWxlIGZhY2U9InN1
cGVyc2NyaXB0IiBmb250PSJUcmVidWNoZXQgTVMiIHNpemU9IjkiPjUxPC9zdHlsZT48L0Rpc3Bs
YXlUZXh0PjxyZWNvcmQ+PHJlYy1udW1iZXI+MTM2MzwvcmVjLW51bWJlcj48Zm9yZWlnbi1rZXlz
PjxrZXkgYXBwPSJFTiIgZGItaWQ9ImV4dmFzcmZ4MmR0cmFvZXNhc3hwMnN6c3hhMmRmNTAyNTky
eCIgdGltZXN0YW1wPSIxNTY3MDMxMDYxIj4xMzYzPC9rZXk+PGtleSBhcHA9IkVOV2ViIiBkYi1p
ZD0iIj4wPC9rZXk+PC9mb3JlaWduLWtleXM+PHJlZi10eXBlIG5hbWU9IkpvdXJuYWwgQXJ0aWNs
ZSI+MTc8L3JlZi10eXBlPjxjb250cmlidXRvcnM+PGF1dGhvcnM+PGF1dGhvcj5GZXJuYW5kZXot
QmFycmVzLCBTLjwvYXV0aG9yPjxhdXRob3I+VnJpamhlaWQsIE0uPC9hdXRob3I+PGF1dGhvcj5N
YW56YW5vLVNhbGdhZG8sIEMuIEIuPC9hdXRob3I+PGF1dGhvcj5WYWx2aSwgRC48L2F1dGhvcj48
YXV0aG9yPk1hcnRpbmV6LCBELjwvYXV0aG9yPjxhdXRob3I+SW5pZ3VleiwgQy48L2F1dGhvcj48
YXV0aG9yPkppbWVuZXotWmFiYWxhLCBBLjwvYXV0aG9yPjxhdXRob3I+Umlhbm8tR2FsYW4sIEku
PC9hdXRob3I+PGF1dGhvcj5OYXZhcnJldGUtTXVub3osIEUuIE0uPC9hdXRob3I+PGF1dGhvcj5T
YW50YS1NYXJpbmEsIEwuPC9hdXRob3I+PGF1dGhvcj5UYXJkb24sIEEuPC9hdXRob3I+PGF1dGhv
cj5WaW9xdWUsIEouPC9hdXRob3I+PGF1dGhvcj5BcmlqYSwgVi48L2F1dGhvcj48YXV0aG9yPlN1
bnllciwgSi48L2F1dGhvcj48YXV0aG9yPlJvbWFndWVyYSwgRC48L2F1dGhvcj48YXV0aG9yPklu
ZmFuY2lhIHkgTWVkaW8gQW1iaWVudGUsIFByb2plY3Q8L2F1dGhvcj48L2F1dGhvcnM+PC9jb250
cmlidXRvcnM+PGF1dGgtYWRkcmVzcz5JU0dsb2JhbCwgQmFyY2Vsb25hLCBTcGFpbjsgVW5pdmVy
c2l0YXQgUG9tcGV1IEZhYnJhLCBCYXJjZWxvbmEsIFNwYWluOyBDSUJFUiBFcGlkZW1pb2xvZ2lh
IHkgU2FsdWQgUHVibGljYSAoQ0lCRVJFU1ApLCBNYWRyaWQsIFNwYWluOyBEZXBhcnRhbWVudCBk
ZSBDaWVuY2llcyBNZWRpcXVlcyBCYXNpcXVlcywgTnV0cml0aW9uIGFuZCBNZW50YWwgSGVhbHRo
IFJlc2VhcmNoIEdyb3VwIChOVVRSSVNBTSksIEZhY3VsdGF0IGRlIE1lZGljaW5hIGkgQ2llbmNp
ZXMgZGUgbGEgU2FsdXQgKEZNQ1MpLCBVbml2ZXJzaXRhdCBSb3ZpcmEgaSBWaXJnaWxpIChVUlYp
LCBSZXVzLCBTcGFpbi4gRWxlY3Ryb25pYyBhZGRyZXNzOiBzaWx2aWEuZmVybmFuZGV6QGlzZ2xv
YmFsLm9yZy4mI3hEO0lTR2xvYmFsLCBCYXJjZWxvbmEsIFNwYWluOyBVbml2ZXJzaXRhdCBQb21w
ZXUgRmFicmEsIEJhcmNlbG9uYSwgU3BhaW47IENJQkVSIEVwaWRlbWlvbG9naWEgeSBTYWx1ZCBQ
dWJsaWNhIChDSUJFUkVTUCksIE1hZHJpZCwgU3BhaW4uJiN4RDtEZXBhcnRtZW50IG9mIEVudmly
b25tZW50YWwgSGVhbHRoLCBIYXJ2YXJkIFQuSC4gQ2hhbiBTY2hvb2wgb2YgUHVibGljIEhlYWx0
aCwgQm9zdG9uLCBNQS4mI3hEO0NJQkVSIEVwaWRlbWlvbG9naWEgeSBTYWx1ZCBQdWJsaWNhIChD
SUJFUkVTUCksIE1hZHJpZCwgU3BhaW47IEVwaWRlbWlvbG9neSBhbmQgRW52aXJvbm1lbnRhbCBI
ZWFsdGggSm9pbnQgUmVzZWFyY2ggVW5pdCwgRklTQUJJTy1Vbml2ZXJzaXRhdCBKYXVtZSBJLVVu
aXZlcnNpdGF0IGRlIFZhbGVuY2lhLCBWYWxlbmNpYSwgU3BhaW4uJiN4RDtCSU9ET05PU1RJQSBI
ZWFsdGggUmVzZWFyY2ggSW5zdGl0dXRlLCBTYW4gU2ViYXN0aWFuLCBTcGFpbjsgUHVibGljIEhl
YWx0aCBEaXZpc2lvbiBvZiBHaXB1emtvYSwgQmFzcXVlIEdvdmVybm1lbnQsIFNhbiBTZWJhc3Rp
YW4sIFNwYWluLiYjeEQ7Q0lCRVIgRXBpZGVtaW9sb2dpYSB5IFNhbHVkIFB1YmxpY2EgKENJQkVS
RVNQKSwgTWFkcmlkLCBTcGFpbjsgUGVkaWF0cmljIFVuaXQsIEhvc3BpdGFsIFNhbiBBZ3VzdGlu
LCBBdmlsZXMsIFNwYWluLiYjeEQ7Q0lCRVIgRXBpZGVtaW9sb2dpYSB5IFNhbHVkIFB1YmxpY2Eg
KENJQkVSRVNQKSwgTWFkcmlkLCBTcGFpbjsgRGVwYXJ0bWVudCBvZiBQdWJsaWMgSGVhbHRoLCBI
aXN0b3J5IG9mIE1lZGljaW5lIGFuZCBHeW5lY29sb2d5LCBVbml2ZXJzaWRhZCBNaWd1ZWwgSGVy
bmFuZGV6LCBBbGljYW50ZSBJbnN0aXR1dGUgZm9yIEhlYWx0aCBhbmQgQmlvbWVkaWNhbCBSZXNl
YXJjaCAoSVNBQklBTC1GSVNBQklPIEZvdW5kYXRpb24pLCBBbGljYW50ZSwgU3BhaW4uJiN4RDtD
SUJFUiBFcGlkZW1pb2xvZ2lhIHkgU2FsdWQgUHVibGljYSAoQ0lCRVJFU1ApLCBNYWRyaWQsIFNw
YWluOyBCSU9ET05PU1RJQSBIZWFsdGggUmVzZWFyY2ggSW5zdGl0dXRlLCBTYW4gU2ViYXN0aWFu
LCBTcGFpbjsgUHVibGljIEhlYWx0aCBEaXZpc2lvbiBvZiBHaXB1emtvYSwgQmFzcXVlIEdvdmVy
bm1lbnQsIFNhbiBTZWJhc3RpYW4sIFNwYWluLiYjeEQ7Q0lCRVIgRXBpZGVtaW9sb2dpYSB5IFNh
bHVkIFB1YmxpY2EgKENJQkVSRVNQKSwgTWFkcmlkLCBTcGFpbjsgSVVPUEEgYW5kIFVuaXZlcnNp
dHkgb2YgT3ZpZWRvLCBBc3R1cmlhcywgU3BhaW4uJiN4RDtEZXBhcnRhbWVudCBkZSBDaWVuY2ll
cyBNZWRpcXVlcyBCYXNpcXVlcywgTnV0cml0aW9uIGFuZCBNZW50YWwgSGVhbHRoIFJlc2VhcmNo
IEdyb3VwIChOVVRSSVNBTSksIEZhY3VsdGF0IGRlIE1lZGljaW5hIGkgQ2llbmNpZXMgZGUgbGEg
U2FsdXQgKEZNQ1MpLCBVbml2ZXJzaXRhdCBSb3ZpcmEgaSBWaXJnaWxpIChVUlYpLCBSZXVzLCBT
cGFpbi4mI3hEO0lTR2xvYmFsLCBCYXJjZWxvbmEsIFNwYWluOyBVbml2ZXJzaXRhdCBQb21wZXUg
RmFicmEsIEJhcmNlbG9uYSwgU3BhaW47IENJQkVSIEVwaWRlbWlvbG9naWEgeSBTYWx1ZCBQdWJs
aWNhIChDSUJFUkVTUCksIE1hZHJpZCwgU3BhaW47IEhvc3BpdGFsIGRlbCBNYXIgTWVkaWNhbCBS
ZXNlYXJjaCBJbnN0aXR1dGUsIEJhcmNlbG9uYSwgU3BhaW4uJiN4RDtJU0dsb2JhbCwgQmFyY2Vs
b25hLCBTcGFpbjsgSW5zdGl0dXRvIGRlIEludmVzdGlnYWNpb24gU2FuaXRhcmlhIElsbGVzIEJh
bGVhcnMsIEhvc3BpdGFsIFVuaXZlcnNpdGFyaSBTb24gRXNwYXNlcywgUGFsbWEgZGUgTWFsbG9y
Y2EsIFNwYWluOyBDSUJFUiBGaXNpb3BhdG9sb2dpYSBkZSBsYSBPYmVzaWRhZCB5IE51dHJpY2lv
biAoQ0lCRVJPQk4pLCBNYWRyaWQsIFNwYWluLjwvYXV0aC1hZGRyZXNzPjx0aXRsZXM+PHRpdGxl
PlRoZSBhc3NvY2lhdGlvbiBvZiBtZWRpdGVycmFuZWFuIGRpZXQgZHVyaW5nIHByZWduYW5jeSB3
aXRoIGxvbmdpdHVkaW5hbCBib2R5IG1hc3MgaW5kZXggdHJhamVjdG9yaWVzIGFuZCBjYXJkaW9t
ZXRhYm9saWMgcmlzayBpbiBlYXJseSBjaGlsZGhvb2Q8L3RpdGxlPjxzZWNvbmRhcnktdGl0bGU+
SiBQZWRpYXRyPC9zZWNvbmRhcnktdGl0bGU+PC90aXRsZXM+PHBlcmlvZGljYWw+PGZ1bGwtdGl0
bGU+SiBQZWRpYXRyPC9mdWxsLXRpdGxlPjwvcGVyaW9kaWNhbD48cGFnZXM+MTE5LTEyNyBlNjwv
cGFnZXM+PHZvbHVtZT4yMDY8L3ZvbHVtZT48ZWRpdGlvbj4yMDE4LzExLzE2PC9lZGl0aW9uPjxr
ZXl3b3Jkcz48a2V5d29yZD5NZWRpdGVycmFuZWFuIGRpZXQ8L2tleXdvcmQ+PGtleXdvcmQ+Y2Fy
ZGlvbWV0YWJvbGljIHJpc2s8L2tleXdvcmQ+PGtleXdvcmQ+Y2hpbGRob29kPC9rZXl3b3JkPjxr
ZXl3b3JkPmNvaG9ydDwva2V5d29yZD48a2V5d29yZD5ncm93dGg8L2tleXdvcmQ+PC9rZXl3b3Jk
cz48ZGF0ZXM+PHllYXI+MjAxOTwveWVhcj48cHViLWRhdGVzPjxkYXRlPk1hcjwvZGF0ZT48L3B1
Yi1kYXRlcz48L2RhdGVzPjxpc2JuPjEwOTctNjgzMyAoRWxlY3Ryb25pYykmI3hEOzAwMjItMzQ3
NiAoTGlua2luZyk8L2lzYm4+PGFjY2Vzc2lvbi1udW0+MzA0MjkwNzk8L2FjY2Vzc2lvbi1udW0+
PHVybHM+PHJlbGF0ZWQtdXJscz48dXJsPmh0dHBzOi8vd3d3Lm5jYmkubmxtLm5paC5nb3YvcHVi
bWVkLzMwNDI5MDc5PC91cmw+PC9yZWxhdGVkLXVybHM+PC91cmxzPjxlbGVjdHJvbmljLXJlc291
cmNlLW51bT4xMC4xMDE2L2ouanBlZHMuMjAxOC4xMC4wMDU8L2VsZWN0cm9uaWMtcmVzb3VyY2Ut
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51</w:t>
      </w:r>
      <w:r>
        <w:fldChar w:fldCharType="end"/>
      </w:r>
    </w:p>
    <w:p w14:paraId="7F822BB8" w14:textId="7FAE3026" w:rsidR="00BA0A27" w:rsidRDefault="009C16D1" w:rsidP="00014822">
      <w:r>
        <w:t>Observational studies did not find an association between adherence to the Mediter</w:t>
      </w:r>
      <w:r w:rsidR="00936E83">
        <w:t>r</w:t>
      </w:r>
      <w:r>
        <w:t>anean</w:t>
      </w:r>
      <w:r w:rsidR="00936E83">
        <w:t xml:space="preserve"> and childhood wheeze,</w:t>
      </w:r>
      <w:r w:rsidR="00936E83">
        <w:fldChar w:fldCharType="begin">
          <w:fldData xml:space="preserve">PEVuZE5vdGU+PENpdGU+PEF1dGhvcj5BbHZhcmV6IFphbGxvPC9BdXRob3I+PFllYXI+MjAxODwv
WWVhcj48UmVjTnVtPjEzMzU8L1JlY051bT48RGlzcGxheVRleHQ+PHN0eWxlIGZhY2U9InN1cGVy
c2NyaXB0IiBmb250PSJUcmVidWNoZXQgTVMiIHNpemU9IjkiPjUyLDUzPC9zdHlsZT48L0Rpc3Bs
YXlUZXh0PjxyZWNvcmQ+PHJlYy1udW1iZXI+MTMzNTwvcmVjLW51bWJlcj48Zm9yZWlnbi1rZXlz
PjxrZXkgYXBwPSJFTiIgZGItaWQ9ImV4dmFzcmZ4MmR0cmFvZXNhc3hwMnN6c3hhMmRmNTAyNTky
eCIgdGltZXN0YW1wPSIxNTY3MDMwOTM3Ij4xMzM1PC9rZXk+PGtleSBhcHA9IkVOV2ViIiBkYi1p
ZD0iIj4wPC9rZXk+PC9mb3JlaWduLWtleXM+PHJlZi10eXBlIG5hbWU9IkpvdXJuYWwgQXJ0aWNs
ZSI+MTc8L3JlZi10eXBlPjxjb250cmlidXRvcnM+PGF1dGhvcnM+PGF1dGhvcj5BbHZhcmV6IFph
bGxvLCBOLjwvYXV0aG9yPjxhdXRob3I+QWd1aW5hZ2EtT250b3NvLCBJLjwvYXV0aG9yPjxhdXRo
b3I+QWx2YXJlei1BbHZhcmV6LCBJLjwvYXV0aG9yPjxhdXRob3I+TWFyaW4tRmVybmFuZGV6LCBC
LjwvYXV0aG9yPjxhdXRob3I+R3VpbGxlbi1HcmltYSwgRi48L2F1dGhvcj48YXV0aG9yPkF6Y29u
YS1TYW4gSnVsaWFuLCBDLjwvYXV0aG9yPjwvYXV0aG9ycz48L2NvbnRyaWJ1dG9ycz48YXV0aC1h
ZGRyZXNzPkV4dHJhaG9zcGl0YWxhcnkgUGFlZGlhdHJpYyBFbWVyZ2VuY3kgU2VydmljZSwgT3Nh
c3VuYmlkZWEsIFBhbXBsb25hLCBOYXZhcnJhLCBTcGFpbi4gRWxlY3Ryb25pYyBhZGRyZXNzOiBu
b2VhbHphQGdtYWlsLmNvbS4mI3hEO0RlcGFydG1lbnQgb2YgSGVhbHRoIFNjaWVuY2VzLCBQdWJs
aWMgVW5pdmVyc2l0eSBvZiBOYXZhcnJhLCBTcGFpbi4mI3hEO0RlcGFydG1lbnQgb2YgSGVhbHRo
IFNjaWVuY2VzLCBQdWJsaWMgVW5pdmVyc2l0eSBvZiBOYXZhcnJhLCBTcGFpbjsgUHJldmVudGl2
ZSBNZWRpY2luZSwgQ2xpbmljYSBVbml2ZXJzaWRhZCBkZSBOYXZhcnJhLCBQYW1wbG9uYSwgTmF2
YXJyYSwgU3BhaW47IE5hdmFycmEgSW5zdGl0dXRlIGZvciBIZWFsdGggUmVzZWFyY2ggKElkaVNO
QSksIFNwYWluLiYjeEQ7TmF2YXJyYSBJbnN0aXR1dGUgZm9yIEhlYWx0aCBSZXNlYXJjaCAoSWRp
U05BKSwgU3BhaW47IFBhZWRpYXRyaWMgRW5kb2NyaW5vbG9neSBVbml0LCBEZXBhcnRtZW50IG9m
IFBlZGlhdHJpY3MsIENsaW5pY2EgVW5pdmVyc2lkYWQgZGUgTmF2YXJyYSwgUGFtcGxvbmEsIE5h
dmFycmEsIFNwYWluLjwvYXV0aC1hZGRyZXNzPjx0aXRsZXM+PHRpdGxlPkluZmx1ZW5jZSBvZiB0
aGUgTWVkaXRlcnJhbmVhbiBkaWV0IGR1cmluZyBwcmVnbmFuY3kgaW4gdGhlIGRldmVsb3BtZW50
IG9mIHdoZWV6aW5nIGFuZCBlY3plbWEgaW4gaW5mYW50cyBpbiBQYW1wbG9uYSwgU3BhaW48L3Rp
dGxlPjxzZWNvbmRhcnktdGl0bGU+QWxsZXJnb2wgSW1tdW5vcGF0aG9sIChNYWRyKTwvc2Vjb25k
YXJ5LXRpdGxlPjwvdGl0bGVzPjxwZXJpb2RpY2FsPjxmdWxsLXRpdGxlPkFsbGVyZ29sIEltbXVu
b3BhdGhvbCAoTWFkcik8L2Z1bGwtdGl0bGU+PC9wZXJpb2RpY2FsPjxwYWdlcz45LTE0PC9wYWdl
cz48dm9sdW1lPjQ2PC92b2x1bWU+PG51bWJlcj4xPC9udW1iZXI+PGVkaXRpb24+MjAxNy8wNi8y
MTwvZWRpdGlvbj48a2V5d29yZHM+PGtleXdvcmQ+Q3Jvc3MtU2VjdGlvbmFsIFN0dWRpZXM8L2tl
eXdvcmQ+PGtleXdvcmQ+RGlldCwgTWVkaXRlcnJhbmVhbi8qc3RhdGlzdGljcyAmYW1wOyBudW1l
cmljYWwgZGF0YTwva2V5d29yZD48a2V5d29yZD5FY3plbWEvKmVwaWRlbWlvbG9neTwva2V5d29y
ZD48a2V5d29yZD5GZW1hbGU8L2tleXdvcmQ+PGtleXdvcmQ+RnJ1aXQ8L2tleXdvcmQ+PGtleXdv
cmQ+SHVtYW5zPC9rZXl3b3JkPjxrZXl3b3JkPkluZmFudDwva2V5d29yZD48a2V5d29yZD5NYWxl
PC9rZXl3b3JkPjxrZXl3b3JkPk1hdGVybmFsIEV4cG9zdXJlLypzdGF0aXN0aWNzICZhbXA7IG51
bWVyaWNhbCBkYXRhPC9rZXl3b3JkPjxrZXl3b3JkPk9kZHMgUmF0aW88L2tleXdvcmQ+PGtleXdv
cmQ+UHJlZ25hbmN5PC9rZXl3b3JkPjxrZXl3b3JkPlByZXZhbGVuY2U8L2tleXdvcmQ+PGtleXdv
cmQ+UmVzcGlyYXRvcnkgU291bmRzPC9rZXl3b3JkPjxrZXl3b3JkPlJpc2sgRmFjdG9yczwva2V5
d29yZD48a2V5d29yZD5TcGFpbi9lcGlkZW1pb2xvZ3k8L2tleXdvcmQ+PGtleXdvcmQ+Q2hpbGQ8
L2tleXdvcmQ+PGtleXdvcmQ+RWN6ZW1hPC9rZXl3b3JkPjxrZXl3b3JkPk1lZGl0ZXJyYW5lYW4g
ZGlldDwva2V5d29yZD48a2V5d29yZD5XaGVlemluZzwva2V5d29yZD48L2tleXdvcmRzPjxkYXRl
cz48eWVhcj4yMDE4PC95ZWFyPjxwdWItZGF0ZXM+PGRhdGU+SmFuIC0gRmViPC9kYXRlPjwvcHVi
LWRhdGVzPjwvZGF0ZXM+PGlzYm4+MTU3OC0xMjY3IChFbGVjdHJvbmljKSYjeEQ7MDMwMS0wNTQ2
IChMaW5raW5nKTwvaXNibj48YWNjZXNzaW9uLW51bT4yODYyOTY2OTwvYWNjZXNzaW9uLW51bT48
dXJscz48cmVsYXRlZC11cmxzPjx1cmw+aHR0cHM6Ly93d3cubmNiaS5ubG0ubmloLmdvdi9wdWJt
ZWQvMjg2Mjk2Njk8L3VybD48L3JlbGF0ZWQtdXJscz48L3VybHM+PGVsZWN0cm9uaWMtcmVzb3Vy
Y2UtbnVtPjEwLjEwMTYvai5hbGxlci4yMDE3LjAyLjAwOTwvZWxlY3Ryb25pYy1yZXNvdXJjZS1u
dW0+PC9yZWNvcmQ+PC9DaXRlPjxDaXRlPjxBdXRob3I+Q2FzdHJvLVJvZHJpZ3VlejwvQXV0aG9y
PjxZZWFyPjIwMTY8L1llYXI+PFJlY051bT4xMzkyPC9SZWNOdW0+PHJlY29yZD48cmVjLW51bWJl
cj4xMzkyPC9yZWMtbnVtYmVyPjxmb3JlaWduLWtleXM+PGtleSBhcHA9IkVOIiBkYi1pZD0iZXh2
YXNyZngyZHRyYW9lc2FzeHAyc3pzeGEyZGY1MDI1OTJ4IiB0aW1lc3RhbXA9IjE1Njc5MjQzODIi
PjEzOTI8L2tleT48a2V5IGFwcD0iRU5XZWIiIGRiLWlkPSIiPjA8L2tleT48L2ZvcmVpZ24ta2V5
cz48cmVmLXR5cGUgbmFtZT0iSm91cm5hbCBBcnRpY2xlIj4xNzwvcmVmLXR5cGU+PGNvbnRyaWJ1
dG9ycz48YXV0aG9ycz48YXV0aG9yPkNhc3Ryby1Sb2RyaWd1ZXosIEouIEEuPC9hdXRob3I+PGF1
dGhvcj5SYW1pcmV6LUhlcm5hbmRleiwgTS48L2F1dGhvcj48YXV0aG9yPlBhZGlsbGEsIE8uPC9h
dXRob3I+PGF1dGhvcj5QYWNoZWNvLUdvbnphbGV6LCBSLiBNLjwvYXV0aG9yPjxhdXRob3I+UGVy
ZXotRmVybmFuZGV6LCBWLjwvYXV0aG9yPjxhdXRob3I+R2FyY2lhLU1hcmNvcywgTC48L2F1dGhv
cj48L2F1dGhvcnM+PC9jb250cmlidXRvcnM+PGF1dGgtYWRkcmVzcz5EaXZpc2lvbiBvZiBQZWRp
YXRyaWNzLCBTY2hvb2wgb2YgTWVkaWNpbmUsIFBvbnRpZmljaWEgVW5pdmVyc2lkYWQgQ2F0b2xp
Y2EgZGUgQ2hpbGUsIFNhbnRpYWdvLCBDaGlsZTsgRGl2aXNpb24gb2YgUHVibGljIEhlYWx0aCwg
U2Nob29sIG9mIE1lZGljaW5lLCBQb250aWZpY2lhIFVuaXZlcnNpZGFkIENhdG9saWNhIGRlIENo
aWxlLCBTYW50aWFnbywgQ2hpbGUuIEVsZWN0cm9uaWMgYWRkcmVzczogamFjYXN0cm8xN0Bob3Rt
YWlsLmNvbS4mI3hEO0FsbGVyeSBVbml0LCBTYW50YSBMdWNpYSBVbml2ZXJzaXR5IEhvc3BpdGFs
LCBDYXJ0YWdlbmEsIFNwYWluLiYjeEQ7RGl2aXNpb24gb2YgUHVibGljIEhlYWx0aCwgU2Nob29s
IG9mIE1lZGljaW5lLCBQb250aWZpY2lhIFVuaXZlcnNpZGFkIENhdG9saWNhIGRlIENoaWxlLCBT
YW50aWFnbywgQ2hpbGUuJiN4RDtQZWRpYXRyaWMgQWxsZXJneSBhbmQgUHVsbW9ub2xvZ3kgVW5p
dHMsICZxdW90O1ZpcmdlbiBkZSBsYSBBcnJpeGFjYSZxdW90OyBVbml2ZXJzaXR5IENoaWxkcmVu
JmFwb3M7cyBIb3NwaXRhbCwgVW5pdmVyc2l0eSBvZiBNdXJjaWEgYW5kIElNSUItQXJyaXhhY2Eg
UmVzZWFyY2ggSW5zdGl0dXRlLCBNdXJjaWEsIFNwYWluLjwvYXV0aC1hZGRyZXNzPjx0aXRsZXM+
PHRpdGxlPkVmZmVjdCBvZiBmb29kcyBhbmQgTWVkaXRlcnJhbmVhbiBkaWV0IGR1cmluZyBwcmVn
bmFuY3kgYW5kIGZpcnN0IHllYXJzIG9mIGxpZmUgb24gd2hlZXppbmcsIHJoaW5pdGlzIGFuZCBk
ZXJtYXRpdGlzIGluIHByZXNjaG9vbGVyczwvdGl0bGU+PHNlY29uZGFyeS10aXRsZT5BbGxlcmdv
bCBJbW11bm9wYXRob2wgKE1hZHIpPC9zZWNvbmRhcnktdGl0bGU+PC90aXRsZXM+PHBlcmlvZGlj
YWw+PGZ1bGwtdGl0bGU+QWxsZXJnb2wgSW1tdW5vcGF0aG9sIChNYWRyKTwvZnVsbC10aXRsZT48
L3BlcmlvZGljYWw+PHBhZ2VzPjQwMC05PC9wYWdlcz48dm9sdW1lPjQ0PC92b2x1bWU+PG51bWJl
cj41PC9udW1iZXI+PGVkaXRpb24+MjAxNi8wNC8xOTwvZWRpdGlvbj48a2V5d29yZHM+PGtleXdv
cmQ+QWR1bHQ8L2tleXdvcmQ+PGtleXdvcmQ+Q2hpbGQsIFByZXNjaG9vbDwva2V5d29yZD48a2V5
d29yZD5EZXJtYXRpdGlzLyplcGlkZW1pb2xvZ3k8L2tleXdvcmQ+PGtleXdvcmQ+KkRpZXQsIE1l
ZGl0ZXJyYW5lYW48L2tleXdvcmQ+PGtleXdvcmQ+RmVtYWxlPC9rZXl3b3JkPjxrZXl3b3JkPkZv
b2Q8L2tleXdvcmQ+PGtleXdvcmQ+SHVtYW5zPC9rZXl3b3JkPjxrZXl3b3JkPkluZmFudDwva2V5
d29yZD48a2V5d29yZD5NYWxlPC9rZXl3b3JkPjxrZXl3b3JkPk1hdGVybmFsIEV4cG9zdXJlL2Fk
dmVyc2UgZWZmZWN0czwva2V5d29yZD48a2V5d29yZD5NaWRkbGUgQWdlZDwva2V5d29yZD48a2V5
d29yZD5QYXRlcm5hbCBFeHBvc3VyZS9hZHZlcnNlIGVmZmVjdHM8L2tleXdvcmQ+PGtleXdvcmQ+
UHJlZ25hbmN5PC9rZXl3b3JkPjxrZXl3b3JkPlByZXZhbGVuY2U8L2tleXdvcmQ+PGtleXdvcmQ+
KlJlc3BpcmF0b3J5IFNvdW5kczwva2V5d29yZD48a2V5d29yZD5SaGluaXRpcy8qZXBpZGVtaW9s
b2d5PC9rZXl3b3JkPjxrZXl3b3JkPlJpc2sgRmFjdG9yczwva2V5d29yZD48a2V5d29yZD5TdXJ2
ZXlzIGFuZCBRdWVzdGlvbm5haXJlczwva2V5d29yZD48a2V5d29yZD5Bc3RobWE8L2tleXdvcmQ+
PGtleXdvcmQ+Q2hpbGRob29kPC9rZXl3b3JkPjxrZXl3b3JkPkRlcm1hdGl0aXM8L2tleXdvcmQ+
PGtleXdvcmQ+Rm9vZCBkdXJpbmcgcHJlZ25hbmN5PC9rZXl3b3JkPjxrZXl3b3JkPk1lZGl0ZXJy
YW5lYW4gZGlldDwva2V5d29yZD48a2V5d29yZD5QcmltYXJ5IHByZXZlbnRpb248L2tleXdvcmQ+
PGtleXdvcmQ+Umhpbml0aXM8L2tleXdvcmQ+PGtleXdvcmQ+V2hlZXplPC9rZXl3b3JkPjwva2V5
d29yZHM+PGRhdGVzPjx5ZWFyPjIwMTY8L3llYXI+PHB1Yi1kYXRlcz48ZGF0ZT5TZXAtT2N0PC9k
YXRlPjwvcHViLWRhdGVzPjwvZGF0ZXM+PGlzYm4+MTU3OC0xMjY3IChFbGVjdHJvbmljKSYjeEQ7
MDMwMS0wNTQ2IChMaW5raW5nKTwvaXNibj48YWNjZXNzaW9uLW51bT4yNzA4NzU2NjwvYWNjZXNz
aW9uLW51bT48dXJscz48cmVsYXRlZC11cmxzPjx1cmw+aHR0cHM6Ly93d3cubmNiaS5ubG0ubmlo
Lmdvdi9wdWJtZWQvMjcwODc1NjY8L3VybD48L3JlbGF0ZWQtdXJscz48L3VybHM+PGVsZWN0cm9u
aWMtcmVzb3VyY2UtbnVtPjEwLjEwMTYvai5hbGxlci4yMDE1LjEyLjAwMjwvZWxlY3Ryb25pYy1y
ZXNvdXJjZS1udW0+PC9yZWNvcmQ+PC9DaXRlPjwvRW5kTm90ZT4A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c2NyaXB0IiBmb250PSJUcmVidWNoZXQgTVMiIHNpemU9IjkiPjUyLDUzPC9zdHlsZT48L0Rpc3Bs
YXlUZXh0PjxyZWNvcmQ+PHJlYy1udW1iZXI+MTMzNTwvcmVjLW51bWJlcj48Zm9yZWlnbi1rZXlz
PjxrZXkgYXBwPSJFTiIgZGItaWQ9ImV4dmFzcmZ4MmR0cmFvZXNhc3hwMnN6c3hhMmRmNTAyNTky
eCIgdGltZXN0YW1wPSIxNTY3MDMwOTM3Ij4xMzM1PC9rZXk+PGtleSBhcHA9IkVOV2ViIiBkYi1p
ZD0iIj4wPC9rZXk+PC9mb3JlaWduLWtleXM+PHJlZi10eXBlIG5hbWU9IkpvdXJuYWwgQXJ0aWNs
ZSI+MTc8L3JlZi10eXBlPjxjb250cmlidXRvcnM+PGF1dGhvcnM+PGF1dGhvcj5BbHZhcmV6IFph
bGxvLCBOLjwvYXV0aG9yPjxhdXRob3I+QWd1aW5hZ2EtT250b3NvLCBJLjwvYXV0aG9yPjxhdXRo
b3I+QWx2YXJlei1BbHZhcmV6LCBJLjwvYXV0aG9yPjxhdXRob3I+TWFyaW4tRmVybmFuZGV6LCBC
LjwvYXV0aG9yPjxhdXRob3I+R3VpbGxlbi1HcmltYSwgRi48L2F1dGhvcj48YXV0aG9yPkF6Y29u
YS1TYW4gSnVsaWFuLCBDLjwvYXV0aG9yPjwvYXV0aG9ycz48L2NvbnRyaWJ1dG9ycz48YXV0aC1h
ZGRyZXNzPkV4dHJhaG9zcGl0YWxhcnkgUGFlZGlhdHJpYyBFbWVyZ2VuY3kgU2VydmljZSwgT3Nh
c3VuYmlkZWEsIFBhbXBsb25hLCBOYXZhcnJhLCBTcGFpbi4gRWxlY3Ryb25pYyBhZGRyZXNzOiBu
b2VhbHphQGdtYWlsLmNvbS4mI3hEO0RlcGFydG1lbnQgb2YgSGVhbHRoIFNjaWVuY2VzLCBQdWJs
aWMgVW5pdmVyc2l0eSBvZiBOYXZhcnJhLCBTcGFpbi4mI3hEO0RlcGFydG1lbnQgb2YgSGVhbHRo
IFNjaWVuY2VzLCBQdWJsaWMgVW5pdmVyc2l0eSBvZiBOYXZhcnJhLCBTcGFpbjsgUHJldmVudGl2
ZSBNZWRpY2luZSwgQ2xpbmljYSBVbml2ZXJzaWRhZCBkZSBOYXZhcnJhLCBQYW1wbG9uYSwgTmF2
YXJyYSwgU3BhaW47IE5hdmFycmEgSW5zdGl0dXRlIGZvciBIZWFsdGggUmVzZWFyY2ggKElkaVNO
QSksIFNwYWluLiYjeEQ7TmF2YXJyYSBJbnN0aXR1dGUgZm9yIEhlYWx0aCBSZXNlYXJjaCAoSWRp
U05BKSwgU3BhaW47IFBhZWRpYXRyaWMgRW5kb2NyaW5vbG9neSBVbml0LCBEZXBhcnRtZW50IG9m
IFBlZGlhdHJpY3MsIENsaW5pY2EgVW5pdmVyc2lkYWQgZGUgTmF2YXJyYSwgUGFtcGxvbmEsIE5h
dmFycmEsIFNwYWluLjwvYXV0aC1hZGRyZXNzPjx0aXRsZXM+PHRpdGxlPkluZmx1ZW5jZSBvZiB0
aGUgTWVkaXRlcnJhbmVhbiBkaWV0IGR1cmluZyBwcmVnbmFuY3kgaW4gdGhlIGRldmVsb3BtZW50
IG9mIHdoZWV6aW5nIGFuZCBlY3plbWEgaW4gaW5mYW50cyBpbiBQYW1wbG9uYSwgU3BhaW48L3Rp
dGxlPjxzZWNvbmRhcnktdGl0bGU+QWxsZXJnb2wgSW1tdW5vcGF0aG9sIChNYWRyKTwvc2Vjb25k
YXJ5LXRpdGxlPjwvdGl0bGVzPjxwZXJpb2RpY2FsPjxmdWxsLXRpdGxlPkFsbGVyZ29sIEltbXVu
b3BhdGhvbCAoTWFkcik8L2Z1bGwtdGl0bGU+PC9wZXJpb2RpY2FsPjxwYWdlcz45LTE0PC9wYWdl
cz48dm9sdW1lPjQ2PC92b2x1bWU+PG51bWJlcj4xPC9udW1iZXI+PGVkaXRpb24+MjAxNy8wNi8y
MTwvZWRpdGlvbj48a2V5d29yZHM+PGtleXdvcmQ+Q3Jvc3MtU2VjdGlvbmFsIFN0dWRpZXM8L2tl
eXdvcmQ+PGtleXdvcmQ+RGlldCwgTWVkaXRlcnJhbmVhbi8qc3RhdGlzdGljcyAmYW1wOyBudW1l
cmljYWwgZGF0YTwva2V5d29yZD48a2V5d29yZD5FY3plbWEvKmVwaWRlbWlvbG9neTwva2V5d29y
ZD48a2V5d29yZD5GZW1hbGU8L2tleXdvcmQ+PGtleXdvcmQ+RnJ1aXQ8L2tleXdvcmQ+PGtleXdv
cmQ+SHVtYW5zPC9rZXl3b3JkPjxrZXl3b3JkPkluZmFudDwva2V5d29yZD48a2V5d29yZD5NYWxl
PC9rZXl3b3JkPjxrZXl3b3JkPk1hdGVybmFsIEV4cG9zdXJlLypzdGF0aXN0aWNzICZhbXA7IG51
bWVyaWNhbCBkYXRhPC9rZXl3b3JkPjxrZXl3b3JkPk9kZHMgUmF0aW88L2tleXdvcmQ+PGtleXdv
cmQ+UHJlZ25hbmN5PC9rZXl3b3JkPjxrZXl3b3JkPlByZXZhbGVuY2U8L2tleXdvcmQ+PGtleXdv
cmQ+UmVzcGlyYXRvcnkgU291bmRzPC9rZXl3b3JkPjxrZXl3b3JkPlJpc2sgRmFjdG9yczwva2V5
d29yZD48a2V5d29yZD5TcGFpbi9lcGlkZW1pb2xvZ3k8L2tleXdvcmQ+PGtleXdvcmQ+Q2hpbGQ8
L2tleXdvcmQ+PGtleXdvcmQ+RWN6ZW1hPC9rZXl3b3JkPjxrZXl3b3JkPk1lZGl0ZXJyYW5lYW4g
ZGlldDwva2V5d29yZD48a2V5d29yZD5XaGVlemluZzwva2V5d29yZD48L2tleXdvcmRzPjxkYXRl
cz48eWVhcj4yMDE4PC95ZWFyPjxwdWItZGF0ZXM+PGRhdGU+SmFuIC0gRmViPC9kYXRlPjwvcHVi
LWRhdGVzPjwvZGF0ZXM+PGlzYm4+MTU3OC0xMjY3IChFbGVjdHJvbmljKSYjeEQ7MDMwMS0wNTQ2
IChMaW5raW5nKTwvaXNibj48YWNjZXNzaW9uLW51bT4yODYyOTY2OTwvYWNjZXNzaW9uLW51bT48
dXJscz48cmVsYXRlZC11cmxzPjx1cmw+aHR0cHM6Ly93d3cubmNiaS5ubG0ubmloLmdvdi9wdWJt
ZWQvMjg2Mjk2Njk8L3VybD48L3JlbGF0ZWQtdXJscz48L3VybHM+PGVsZWN0cm9uaWMtcmVzb3Vy
Y2UtbnVtPjEwLjEwMTYvai5hbGxlci4yMDE3LjAyLjAwOTwvZWxlY3Ryb25pYy1yZXNvdXJjZS1u
dW0+PC9yZWNvcmQ+PC9DaXRlPjxDaXRlPjxBdXRob3I+Q2FzdHJvLVJvZHJpZ3VlejwvQXV0aG9y
PjxZZWFyPjIwMTY8L1llYXI+PFJlY051bT4xMzkyPC9SZWNOdW0+PHJlY29yZD48cmVjLW51bWJl
cj4xMzkyPC9yZWMtbnVtYmVyPjxmb3JlaWduLWtleXM+PGtleSBhcHA9IkVOIiBkYi1pZD0iZXh2
YXNyZngyZHRyYW9lc2FzeHAyc3pzeGEyZGY1MDI1OTJ4IiB0aW1lc3RhbXA9IjE1Njc5MjQzODIi
PjEzOTI8L2tleT48a2V5IGFwcD0iRU5XZWIiIGRiLWlkPSIiPjA8L2tleT48L2ZvcmVpZ24ta2V5
cz48cmVmLXR5cGUgbmFtZT0iSm91cm5hbCBBcnRpY2xlIj4xNzwvcmVmLXR5cGU+PGNvbnRyaWJ1
dG9ycz48YXV0aG9ycz48YXV0aG9yPkNhc3Ryby1Sb2RyaWd1ZXosIEouIEEuPC9hdXRob3I+PGF1
dGhvcj5SYW1pcmV6LUhlcm5hbmRleiwgTS48L2F1dGhvcj48YXV0aG9yPlBhZGlsbGEsIE8uPC9h
dXRob3I+PGF1dGhvcj5QYWNoZWNvLUdvbnphbGV6LCBSLiBNLjwvYXV0aG9yPjxhdXRob3I+UGVy
ZXotRmVybmFuZGV6LCBWLjwvYXV0aG9yPjxhdXRob3I+R2FyY2lhLU1hcmNvcywgTC48L2F1dGhv
cj48L2F1dGhvcnM+PC9jb250cmlidXRvcnM+PGF1dGgtYWRkcmVzcz5EaXZpc2lvbiBvZiBQZWRp
YXRyaWNzLCBTY2hvb2wgb2YgTWVkaWNpbmUsIFBvbnRpZmljaWEgVW5pdmVyc2lkYWQgQ2F0b2xp
Y2EgZGUgQ2hpbGUsIFNhbnRpYWdvLCBDaGlsZTsgRGl2aXNpb24gb2YgUHVibGljIEhlYWx0aCwg
U2Nob29sIG9mIE1lZGljaW5lLCBQb250aWZpY2lhIFVuaXZlcnNpZGFkIENhdG9saWNhIGRlIENo
aWxlLCBTYW50aWFnbywgQ2hpbGUuIEVsZWN0cm9uaWMgYWRkcmVzczogamFjYXN0cm8xN0Bob3Rt
YWlsLmNvbS4mI3hEO0FsbGVyeSBVbml0LCBTYW50YSBMdWNpYSBVbml2ZXJzaXR5IEhvc3BpdGFs
LCBDYXJ0YWdlbmEsIFNwYWluLiYjeEQ7RGl2aXNpb24gb2YgUHVibGljIEhlYWx0aCwgU2Nob29s
IG9mIE1lZGljaW5lLCBQb250aWZpY2lhIFVuaXZlcnNpZGFkIENhdG9saWNhIGRlIENoaWxlLCBT
YW50aWFnbywgQ2hpbGUuJiN4RDtQZWRpYXRyaWMgQWxsZXJneSBhbmQgUHVsbW9ub2xvZ3kgVW5p
dHMsICZxdW90O1ZpcmdlbiBkZSBsYSBBcnJpeGFjYSZxdW90OyBVbml2ZXJzaXR5IENoaWxkcmVu
JmFwb3M7cyBIb3NwaXRhbCwgVW5pdmVyc2l0eSBvZiBNdXJjaWEgYW5kIElNSUItQXJyaXhhY2Eg
UmVzZWFyY2ggSW5zdGl0dXRlLCBNdXJjaWEsIFNwYWluLjwvYXV0aC1hZGRyZXNzPjx0aXRsZXM+
PHRpdGxlPkVmZmVjdCBvZiBmb29kcyBhbmQgTWVkaXRlcnJhbmVhbiBkaWV0IGR1cmluZyBwcmVn
bmFuY3kgYW5kIGZpcnN0IHllYXJzIG9mIGxpZmUgb24gd2hlZXppbmcsIHJoaW5pdGlzIGFuZCBk
ZXJtYXRpdGlzIGluIHByZXNjaG9vbGVyczwvdGl0bGU+PHNlY29uZGFyeS10aXRsZT5BbGxlcmdv
bCBJbW11bm9wYXRob2wgKE1hZHIpPC9zZWNvbmRhcnktdGl0bGU+PC90aXRsZXM+PHBlcmlvZGlj
YWw+PGZ1bGwtdGl0bGU+QWxsZXJnb2wgSW1tdW5vcGF0aG9sIChNYWRyKTwvZnVsbC10aXRsZT48
L3BlcmlvZGljYWw+PHBhZ2VzPjQwMC05PC9wYWdlcz48dm9sdW1lPjQ0PC92b2x1bWU+PG51bWJl
cj41PC9udW1iZXI+PGVkaXRpb24+MjAxNi8wNC8xOTwvZWRpdGlvbj48a2V5d29yZHM+PGtleXdv
cmQ+QWR1bHQ8L2tleXdvcmQ+PGtleXdvcmQ+Q2hpbGQsIFByZXNjaG9vbDwva2V5d29yZD48a2V5
d29yZD5EZXJtYXRpdGlzLyplcGlkZW1pb2xvZ3k8L2tleXdvcmQ+PGtleXdvcmQ+KkRpZXQsIE1l
ZGl0ZXJyYW5lYW48L2tleXdvcmQ+PGtleXdvcmQ+RmVtYWxlPC9rZXl3b3JkPjxrZXl3b3JkPkZv
b2Q8L2tleXdvcmQ+PGtleXdvcmQ+SHVtYW5zPC9rZXl3b3JkPjxrZXl3b3JkPkluZmFudDwva2V5
d29yZD48a2V5d29yZD5NYWxlPC9rZXl3b3JkPjxrZXl3b3JkPk1hdGVybmFsIEV4cG9zdXJlL2Fk
dmVyc2UgZWZmZWN0czwva2V5d29yZD48a2V5d29yZD5NaWRkbGUgQWdlZDwva2V5d29yZD48a2V5
d29yZD5QYXRlcm5hbCBFeHBvc3VyZS9hZHZlcnNlIGVmZmVjdHM8L2tleXdvcmQ+PGtleXdvcmQ+
UHJlZ25hbmN5PC9rZXl3b3JkPjxrZXl3b3JkPlByZXZhbGVuY2U8L2tleXdvcmQ+PGtleXdvcmQ+
KlJlc3BpcmF0b3J5IFNvdW5kczwva2V5d29yZD48a2V5d29yZD5SaGluaXRpcy8qZXBpZGVtaW9s
b2d5PC9rZXl3b3JkPjxrZXl3b3JkPlJpc2sgRmFjdG9yczwva2V5d29yZD48a2V5d29yZD5TdXJ2
ZXlzIGFuZCBRdWVzdGlvbm5haXJlczwva2V5d29yZD48a2V5d29yZD5Bc3RobWE8L2tleXdvcmQ+
PGtleXdvcmQ+Q2hpbGRob29kPC9rZXl3b3JkPjxrZXl3b3JkPkRlcm1hdGl0aXM8L2tleXdvcmQ+
PGtleXdvcmQ+Rm9vZCBkdXJpbmcgcHJlZ25hbmN5PC9rZXl3b3JkPjxrZXl3b3JkPk1lZGl0ZXJy
YW5lYW4gZGlldDwva2V5d29yZD48a2V5d29yZD5QcmltYXJ5IHByZXZlbnRpb248L2tleXdvcmQ+
PGtleXdvcmQ+Umhpbml0aXM8L2tleXdvcmQ+PGtleXdvcmQ+V2hlZXplPC9rZXl3b3JkPjwva2V5
d29yZHM+PGRhdGVzPjx5ZWFyPjIwMTY8L3llYXI+PHB1Yi1kYXRlcz48ZGF0ZT5TZXAtT2N0PC9k
YXRlPjwvcHViLWRhdGVzPjwvZGF0ZXM+PGlzYm4+MTU3OC0xMjY3IChFbGVjdHJvbmljKSYjeEQ7
MDMwMS0wNTQ2IChMaW5raW5nKTwvaXNibj48YWNjZXNzaW9uLW51bT4yNzA4NzU2NjwvYWNjZXNz
aW9uLW51bT48dXJscz48cmVsYXRlZC11cmxzPjx1cmw+aHR0cHM6Ly93d3cubmNiaS5ubG0ubmlo
Lmdvdi9wdWJtZWQvMjcwODc1NjY8L3VybD48L3JlbGF0ZWQtdXJscz48L3VybHM+PGVsZWN0cm9u
aWMtcmVzb3VyY2UtbnVtPjEwLjEwMTYvai5hbGxlci4yMDE1LjEyLjAwMjwvZWxlY3Ryb25pYy1y
ZXNvdXJjZS1udW0+PC9yZWNvcmQ+PC9DaXRlPjwvRW5kTm90ZT4A
</w:fldData>
        </w:fldChar>
      </w:r>
      <w:r w:rsidR="002747EA">
        <w:instrText xml:space="preserve"> ADDIN EN.CITE.DATA </w:instrText>
      </w:r>
      <w:r w:rsidR="002747EA">
        <w:fldChar w:fldCharType="end"/>
      </w:r>
      <w:r w:rsidR="00936E83">
        <w:fldChar w:fldCharType="separate"/>
      </w:r>
      <w:r w:rsidR="002747EA" w:rsidRPr="002747EA">
        <w:rPr>
          <w:noProof/>
          <w:vertAlign w:val="superscript"/>
        </w:rPr>
        <w:t>52,53</w:t>
      </w:r>
      <w:r w:rsidR="00936E83">
        <w:fldChar w:fldCharType="end"/>
      </w:r>
      <w:r w:rsidR="00936E83">
        <w:t xml:space="preserve"> rhinitis,</w:t>
      </w:r>
      <w:r w:rsidR="00936E83">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936E83">
        <w:fldChar w:fldCharType="separate"/>
      </w:r>
      <w:r w:rsidR="002747EA" w:rsidRPr="002747EA">
        <w:rPr>
          <w:noProof/>
          <w:vertAlign w:val="superscript"/>
        </w:rPr>
        <w:t>53</w:t>
      </w:r>
      <w:r w:rsidR="00936E83">
        <w:fldChar w:fldCharType="end"/>
      </w:r>
      <w:r w:rsidR="00936E83">
        <w:t xml:space="preserve"> dermatitis</w:t>
      </w:r>
      <w:r w:rsidR="00936E83">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936E83">
        <w:fldChar w:fldCharType="separate"/>
      </w:r>
      <w:r w:rsidR="002747EA" w:rsidRPr="002747EA">
        <w:rPr>
          <w:noProof/>
          <w:vertAlign w:val="superscript"/>
        </w:rPr>
        <w:t>53</w:t>
      </w:r>
      <w:r w:rsidR="00936E83">
        <w:fldChar w:fldCharType="end"/>
      </w:r>
      <w:r w:rsidR="00936E83">
        <w:t xml:space="preserve"> or eczema.</w:t>
      </w:r>
      <w:r w:rsidR="00936E83">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rsidR="00936E83">
        <w:fldChar w:fldCharType="separate"/>
      </w:r>
      <w:r w:rsidR="002747EA" w:rsidRPr="002747EA">
        <w:rPr>
          <w:noProof/>
          <w:vertAlign w:val="superscript"/>
        </w:rPr>
        <w:t>52</w:t>
      </w:r>
      <w:r w:rsidR="00936E83">
        <w:fldChar w:fldCharType="end"/>
      </w:r>
      <w:r w:rsidR="00936E83">
        <w:t xml:space="preserve"> </w:t>
      </w:r>
    </w:p>
    <w:p w14:paraId="3B5DA486" w14:textId="127D89B7" w:rsidR="00122B25" w:rsidRDefault="00122B25" w:rsidP="00122B25">
      <w:pPr>
        <w:pStyle w:val="Heading3"/>
      </w:pPr>
      <w:bookmarkStart w:id="24" w:name="_Toc40956474"/>
      <w:r>
        <w:t>Dietary Approaches to Stop Hypertension (DASH) diet</w:t>
      </w:r>
      <w:bookmarkEnd w:id="24"/>
    </w:p>
    <w:p w14:paraId="49338EB8" w14:textId="77777777" w:rsidR="00913970" w:rsidRPr="005D5540" w:rsidRDefault="00913970" w:rsidP="00913970">
      <w:pPr>
        <w:rPr>
          <w:rFonts w:ascii="Times New Roman" w:hAnsi="Times New Roman"/>
        </w:rPr>
      </w:pPr>
      <w:r w:rsidRPr="005D5540">
        <w:t>The</w:t>
      </w:r>
      <w:r w:rsidRPr="009901C9">
        <w:t> DASH </w:t>
      </w:r>
      <w:r>
        <w:t>diet is characterised by high intake of</w:t>
      </w:r>
      <w:r w:rsidRPr="005D5540">
        <w:t xml:space="preserve"> vegetables, </w:t>
      </w:r>
      <w:r>
        <w:t>fruits and low-fat dairy foods</w:t>
      </w:r>
      <w:r w:rsidRPr="005D5540">
        <w:t xml:space="preserve"> and moderate amounts of whole grains, fish, poultry and nuts.</w:t>
      </w:r>
    </w:p>
    <w:p w14:paraId="12D712FF" w14:textId="2A4C83AB" w:rsidR="00972F81" w:rsidRDefault="00972F81" w:rsidP="00972F81">
      <w:r>
        <w:t>A systematic review</w:t>
      </w:r>
      <w:r>
        <w:fldChar w:fldCharType="begin">
          <w:fldData xml:space="preserve">PEVuZE5vdGU+PENpdGU+PEF1dGhvcj5IYTwvQXV0aG9yPjxZZWFyPjIwMTc8L1llYXI+PFJlY051
bT4xMzY2PC9SZWNOdW0+PERpc3BsYXlUZXh0PjxzdHlsZSBmYWNlPSJzdXBlcnNjcmlwdCIgZm9u
dD0iVHJlYnVjaGV0IE1TIiBzaXplPSI5Ij41NDwvc3R5bGU+PC9EaXNwbGF5VGV4dD48cmVjb3Jk
PjxyZWMtbnVtYmVyPjEzNjY8L3JlYy1udW1iZXI+PGZvcmVpZ24ta2V5cz48a2V5IGFwcD0iRU4i
IGRiLWlkPSJleHZhc3JmeDJkdHJhb2VzYXN4cDJzenN4YTJkZjUwMjU5MngiIHRpbWVzdGFtcD0i
MTU2NzAzMTA3MiI+MTM2Njwva2V5PjxrZXkgYXBwPSJFTldlYiIgZGItaWQ9IiI+MDwva2V5Pjwv
Zm9yZWlnbi1rZXlzPjxyZWYtdHlwZSBuYW1lPSJKb3VybmFsIEFydGljbGUiPjE3PC9yZWYtdHlw
ZT48Y29udHJpYnV0b3JzPjxhdXRob3JzPjxhdXRob3I+SGEsIFYuPC9hdXRob3I+PGF1dGhvcj5C
b25uZXIsIEEuIEouPC9hdXRob3I+PGF1dGhvcj5KYWRvbywgSi4gSy48L2F1dGhvcj48YXV0aG9y
PkJleWVuZSwgSi48L2F1dGhvcj48YXV0aG9yPkFuYW5kLCBTLiBTLjwvYXV0aG9yPjxhdXRob3I+
ZGUgU291emEsIFIuIEouPC9hdXRob3I+PC9hdXRob3JzPjwvY29udHJpYnV0b3JzPjxhdXRoLWFk
ZHJlc3M+RGVwYXJ0bWVudCBvZiBIZWFsdGggUmVzZWFyY2ggTWV0aG9kcywgRXZpZGVuY2UsIGFu
ZCBJbXBhY3QsIEZhY3VsdHkgb2YgSGVhbHRoIFNjaWVuY2VzLCBNY01hc3RlciBVbml2ZXJzaXR5
LCBIYW1pbHRvbiwgT250YXJpbywgQ2FuYWRhLiYjeEQ7UG9wdWxhdGlvbiBHZW5vbWljcyBQcm9n
cmFtLCBDaGFuY2hsYW5pIFJlc2VhcmNoIENlbnRyZSwgTWNNYXN0ZXIgVW5pdmVyc2l0eSwgSGFt
aWx0b24sIE9udGFyaW8sIENhbmFkYS4mI3hEO1RoZSBEYWxsYSBMYW5hIFNjaG9vbCBvZiBQdWJs
aWMgSGVhbHRoLCBGYWN1bHR5IG9mIE1lZGljaW5lLCBVbml2ZXJzaXR5IG9mIFRvcm9udG8sIFRv
cm9udG8sIE9OLCBDYW5hZGEuJiN4RDtUaGUgSG9zcGl0YWwgZm9yIFNpY2sgQ2hpbGRyZW4gUmVz
ZWFyY2ggSW5zdGl0dXRlLCBUb3JvbnRvLCBPTiwgQ2FuYWRhLiYjeEQ7RGVwYXJ0bWVudCBvZiBN
ZWRpY2luZSwgRmFjdWx0eSBvZiBIZWFsdGggU2NpZW5jZXMsIE1jTWFzdGVyIFVuaXZlcnNpdHks
IEhhbWlsdG9uLCBPbnRhcmlvLCBDYW5hZGEuJiN4RDtQb3B1bGF0aW9uIEhlYWx0aCBSZXNlYXJj
aCBJbnN0aXR1dGUsIEhhbWlsdG9uIEhlYWx0aCBTY2llbmNlcywgTWNNYXN0ZXIgVW5pdmVyc2l0
eSwgSGFtaWx0b24sIE9udGFyaW8sIENhbmFkYS4mI3hEO0dlbmVyYWwgSG9zcGl0YWwgQ2FtcHVz
LCBIYW1pbHRvbiwgT250YXJpbywgQ2FuYWRhLjwvYXV0aC1hZGRyZXNzPjx0aXRsZXM+PHRpdGxl
PlRoZSBlZmZlY3RzIG9mIHZhcmlvdXMgZGlldHMgb24gZ2x5Y2VtaWMgb3V0Y29tZXMgZHVyaW5n
IHByZWduYW5jeTogQSBzeXN0ZW1hdGljIHJldmlldyBhbmQgbmV0d29yayBtZXRhLWFuYWx5c2lz
PC90aXRsZT48c2Vjb25kYXJ5LXRpdGxlPlBMb1MgT25lPC9zZWNvbmRhcnktdGl0bGU+PC90aXRs
ZXM+PHBlcmlvZGljYWw+PGZ1bGwtdGl0bGU+UExvUyBPbmU8L2Z1bGwtdGl0bGU+PC9wZXJpb2Rp
Y2FsPjxwYWdlcz5lMDE4MjA5NTwvcGFnZXM+PHZvbHVtZT4xMjwvdm9sdW1lPjxudW1iZXI+ODwv
bnVtYmVyPjxlZGl0aW9uPjIwMTcvMDgvMDU8L2VkaXRpb24+PGtleXdvcmRzPjxrZXl3b3JkPkJh
eWVzIFRoZW9yZW08L2tleXdvcmQ+PGtleXdvcmQ+Qmxvb2QgR2x1Y29zZS9hbmFseXNpczwva2V5
d29yZD48a2V5d29yZD5EYXRhYmFzZXMsIEZhY3R1YWw8L2tleXdvcmQ+PGtleXdvcmQ+RGlhYmV0
ZXMsIEdlc3RhdGlvbmFsL2RydWcgdGhlcmFweTwva2V5d29yZD48a2V5d29yZD4qRGlldDwva2V5
d29yZD48a2V5d29yZD5GZW1hbGU8L2tleXdvcmQ+PGtleXdvcmQ+R2x5Y2F0ZWQgSGVtb2dsb2Jp
biBBL2FuYWx5c2lzPC9rZXl3b3JkPjxrZXl3b3JkPkh1bWFuczwva2V5d29yZD48a2V5d29yZD5J
bnN1bGluL2Jsb29kL3RoZXJhcGV1dGljIHVzZTwva2V5d29yZD48a2V5d29yZD5QcmVnbmFuY3k8
L2tleXdvcmQ+PGtleXdvcmQ+V2VpZ2h0IEdhaW48L2tleXdvcmQ+PC9rZXl3b3Jkcz48ZGF0ZXM+
PHllYXI+MjAxNzwveWVhcj48L2RhdGVzPjxpc2JuPjE5MzItNjIwMyAoRWxlY3Ryb25pYykmI3hE
OzE5MzItNjIwMyAoTGlua2luZyk8L2lzYm4+PGFjY2Vzc2lvbi1udW0+Mjg3NzE1MTk8L2FjY2Vz
c2lvbi1udW0+PHVybHM+PHJlbGF0ZWQtdXJscz48dXJsPmh0dHBzOi8vd3d3Lm5jYmkubmxtLm5p
aC5nb3YvcHVibWVkLzI4NzcxNTE5PC91cmw+PC9yZWxhdGVkLXVybHM+PC91cmxzPjxjdXN0b20y
PlBNQzU1NDI0MzI8L2N1c3RvbTI+PGVsZWN0cm9uaWMtcmVzb3VyY2UtbnVtPjEwLjEzNzEvam91
cm5hbC5wb25lLjAxODIwOTU8L2VsZWN0cm9uaWMtcmVzb3VyY2UtbnVtPjwvcmVjb3JkPjwvQ2l0
ZT48L0VuZE5vdGU+AG==
</w:fldData>
        </w:fldChar>
      </w:r>
      <w:r w:rsidR="002747EA">
        <w:instrText xml:space="preserve"> ADDIN EN.CITE </w:instrText>
      </w:r>
      <w:r w:rsidR="002747EA">
        <w:fldChar w:fldCharType="begin">
          <w:fldData xml:space="preserve">PEVuZE5vdGU+PENpdGU+PEF1dGhvcj5IYTwvQXV0aG9yPjxZZWFyPjIwMTc8L1llYXI+PFJlY051
bT4xMzY2PC9SZWNOdW0+PERpc3BsYXlUZXh0PjxzdHlsZSBmYWNlPSJzdXBlcnNjcmlwdCIgZm9u
dD0iVHJlYnVjaGV0IE1TIiBzaXplPSI5Ij41NDwvc3R5bGU+PC9EaXNwbGF5VGV4dD48cmVjb3Jk
PjxyZWMtbnVtYmVyPjEzNjY8L3JlYy1udW1iZXI+PGZvcmVpZ24ta2V5cz48a2V5IGFwcD0iRU4i
IGRiLWlkPSJleHZhc3JmeDJkdHJhb2VzYXN4cDJzenN4YTJkZjUwMjU5MngiIHRpbWVzdGFtcD0i
MTU2NzAzMTA3MiI+MTM2Njwva2V5PjxrZXkgYXBwPSJFTldlYiIgZGItaWQ9IiI+MDwva2V5Pjwv
Zm9yZWlnbi1rZXlzPjxyZWYtdHlwZSBuYW1lPSJKb3VybmFsIEFydGljbGUiPjE3PC9yZWYtdHlw
ZT48Y29udHJpYnV0b3JzPjxhdXRob3JzPjxhdXRob3I+SGEsIFYuPC9hdXRob3I+PGF1dGhvcj5C
b25uZXIsIEEuIEouPC9hdXRob3I+PGF1dGhvcj5KYWRvbywgSi4gSy48L2F1dGhvcj48YXV0aG9y
PkJleWVuZSwgSi48L2F1dGhvcj48YXV0aG9yPkFuYW5kLCBTLiBTLjwvYXV0aG9yPjxhdXRob3I+
ZGUgU291emEsIFIuIEouPC9hdXRob3I+PC9hdXRob3JzPjwvY29udHJpYnV0b3JzPjxhdXRoLWFk
ZHJlc3M+RGVwYXJ0bWVudCBvZiBIZWFsdGggUmVzZWFyY2ggTWV0aG9kcywgRXZpZGVuY2UsIGFu
ZCBJbXBhY3QsIEZhY3VsdHkgb2YgSGVhbHRoIFNjaWVuY2VzLCBNY01hc3RlciBVbml2ZXJzaXR5
LCBIYW1pbHRvbiwgT250YXJpbywgQ2FuYWRhLiYjeEQ7UG9wdWxhdGlvbiBHZW5vbWljcyBQcm9n
cmFtLCBDaGFuY2hsYW5pIFJlc2VhcmNoIENlbnRyZSwgTWNNYXN0ZXIgVW5pdmVyc2l0eSwgSGFt
aWx0b24sIE9udGFyaW8sIENhbmFkYS4mI3hEO1RoZSBEYWxsYSBMYW5hIFNjaG9vbCBvZiBQdWJs
aWMgSGVhbHRoLCBGYWN1bHR5IG9mIE1lZGljaW5lLCBVbml2ZXJzaXR5IG9mIFRvcm9udG8sIFRv
cm9udG8sIE9OLCBDYW5hZGEuJiN4RDtUaGUgSG9zcGl0YWwgZm9yIFNpY2sgQ2hpbGRyZW4gUmVz
ZWFyY2ggSW5zdGl0dXRlLCBUb3JvbnRvLCBPTiwgQ2FuYWRhLiYjeEQ7RGVwYXJ0bWVudCBvZiBN
ZWRpY2luZSwgRmFjdWx0eSBvZiBIZWFsdGggU2NpZW5jZXMsIE1jTWFzdGVyIFVuaXZlcnNpdHks
IEhhbWlsdG9uLCBPbnRhcmlvLCBDYW5hZGEuJiN4RDtQb3B1bGF0aW9uIEhlYWx0aCBSZXNlYXJj
aCBJbnN0aXR1dGUsIEhhbWlsdG9uIEhlYWx0aCBTY2llbmNlcywgTWNNYXN0ZXIgVW5pdmVyc2l0
eSwgSGFtaWx0b24sIE9udGFyaW8sIENhbmFkYS4mI3hEO0dlbmVyYWwgSG9zcGl0YWwgQ2FtcHVz
LCBIYW1pbHRvbiwgT250YXJpbywgQ2FuYWRhLjwvYXV0aC1hZGRyZXNzPjx0aXRsZXM+PHRpdGxl
PlRoZSBlZmZlY3RzIG9mIHZhcmlvdXMgZGlldHMgb24gZ2x5Y2VtaWMgb3V0Y29tZXMgZHVyaW5n
IHByZWduYW5jeTogQSBzeXN0ZW1hdGljIHJldmlldyBhbmQgbmV0d29yayBtZXRhLWFuYWx5c2lz
PC90aXRsZT48c2Vjb25kYXJ5LXRpdGxlPlBMb1MgT25lPC9zZWNvbmRhcnktdGl0bGU+PC90aXRs
ZXM+PHBlcmlvZGljYWw+PGZ1bGwtdGl0bGU+UExvUyBPbmU8L2Z1bGwtdGl0bGU+PC9wZXJpb2Rp
Y2FsPjxwYWdlcz5lMDE4MjA5NTwvcGFnZXM+PHZvbHVtZT4xMjwvdm9sdW1lPjxudW1iZXI+ODwv
bnVtYmVyPjxlZGl0aW9uPjIwMTcvMDgvMDU8L2VkaXRpb24+PGtleXdvcmRzPjxrZXl3b3JkPkJh
eWVzIFRoZW9yZW08L2tleXdvcmQ+PGtleXdvcmQ+Qmxvb2QgR2x1Y29zZS9hbmFseXNpczwva2V5
d29yZD48a2V5d29yZD5EYXRhYmFzZXMsIEZhY3R1YWw8L2tleXdvcmQ+PGtleXdvcmQ+RGlhYmV0
ZXMsIEdlc3RhdGlvbmFsL2RydWcgdGhlcmFweTwva2V5d29yZD48a2V5d29yZD4qRGlldDwva2V5
d29yZD48a2V5d29yZD5GZW1hbGU8L2tleXdvcmQ+PGtleXdvcmQ+R2x5Y2F0ZWQgSGVtb2dsb2Jp
biBBL2FuYWx5c2lzPC9rZXl3b3JkPjxrZXl3b3JkPkh1bWFuczwva2V5d29yZD48a2V5d29yZD5J
bnN1bGluL2Jsb29kL3RoZXJhcGV1dGljIHVzZTwva2V5d29yZD48a2V5d29yZD5QcmVnbmFuY3k8
L2tleXdvcmQ+PGtleXdvcmQ+V2VpZ2h0IEdhaW48L2tleXdvcmQ+PC9rZXl3b3Jkcz48ZGF0ZXM+
PHllYXI+MjAxNzwveWVhcj48L2RhdGVzPjxpc2JuPjE5MzItNjIwMyAoRWxlY3Ryb25pYykmI3hE
OzE5MzItNjIwMyAoTGlua2luZyk8L2lzYm4+PGFjY2Vzc2lvbi1udW0+Mjg3NzE1MTk8L2FjY2Vz
c2lvbi1udW0+PHVybHM+PHJlbGF0ZWQtdXJscz48dXJsPmh0dHBzOi8vd3d3Lm5jYmkubmxtLm5p
aC5nb3YvcHVibWVkLzI4NzcxNTE5PC91cmw+PC9yZWxhdGVkLXVybHM+PC91cmxzPjxjdXN0b20y
PlBNQzU1NDI0MzI8L2N1c3RvbTI+PGVsZWN0cm9uaWMtcmVzb3VyY2UtbnVtPjEwLjEzNzEvam91
cm5hbC5wb25lLjAxODIwOTU8L2VsZWN0cm9uaWMtcmVzb3VyY2UtbnVtPjwvcmVjb3JkPjwvQ2l0
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54</w:t>
      </w:r>
      <w:r>
        <w:fldChar w:fldCharType="end"/>
      </w:r>
      <w:r>
        <w:t xml:space="preserve"> found that, i</w:t>
      </w:r>
      <w:r w:rsidRPr="00343DBA">
        <w:t xml:space="preserve">n the absence of gestational weight gain </w:t>
      </w:r>
      <w:r>
        <w:t>advice</w:t>
      </w:r>
      <w:r w:rsidRPr="00343DBA">
        <w:t>, fasting glucose improved in DASH-styl</w:t>
      </w:r>
      <w:r>
        <w:t xml:space="preserve">e diets compared to standard </w:t>
      </w:r>
      <w:r w:rsidRPr="00343DBA">
        <w:t>care</w:t>
      </w:r>
      <w:r>
        <w:t xml:space="preserve"> (</w:t>
      </w:r>
      <w:r w:rsidRPr="00972F81">
        <w:rPr>
          <w:sz w:val="16"/>
          <w:szCs w:val="16"/>
        </w:rPr>
        <w:t xml:space="preserve">MD -0.47; 95%CI -0.73 to -0.21; 3 studies; n=99; moderate </w:t>
      </w:r>
      <w:r w:rsidR="00836F2D">
        <w:rPr>
          <w:sz w:val="16"/>
          <w:szCs w:val="16"/>
        </w:rPr>
        <w:t>certainty</w:t>
      </w:r>
      <w:r>
        <w:t>).</w:t>
      </w:r>
      <w:r w:rsidR="00D81E09">
        <w:t xml:space="preserve"> However, a small cohort study (</w:t>
      </w:r>
      <w:r w:rsidR="00D81E09" w:rsidRPr="00BA0A27">
        <w:rPr>
          <w:sz w:val="16"/>
          <w:szCs w:val="16"/>
        </w:rPr>
        <w:t>n=513</w:t>
      </w:r>
      <w:r w:rsidR="00D81E09">
        <w:t xml:space="preserve">) </w:t>
      </w:r>
      <w:r w:rsidR="00B6662D">
        <w:t xml:space="preserve">found no </w:t>
      </w:r>
      <w:r w:rsidR="00C63D16">
        <w:t xml:space="preserve">association between DASH score and </w:t>
      </w:r>
      <w:r w:rsidR="00B6662D">
        <w:t>fasting glucose (</w:t>
      </w:r>
      <w:r w:rsidR="00B6662D" w:rsidRPr="00B6662D">
        <w:rPr>
          <w:sz w:val="16"/>
          <w:szCs w:val="16"/>
        </w:rPr>
        <w:t>ß</w:t>
      </w:r>
      <w:r w:rsidR="00DB7B36">
        <w:rPr>
          <w:sz w:val="16"/>
          <w:szCs w:val="16"/>
        </w:rPr>
        <w:t> </w:t>
      </w:r>
      <w:r w:rsidR="00B6662D" w:rsidRPr="00B6662D">
        <w:rPr>
          <w:sz w:val="16"/>
          <w:szCs w:val="16"/>
        </w:rPr>
        <w:t>0.29; 95%CI -1.46 to 2.04</w:t>
      </w:r>
      <w:r w:rsidR="00B6662D" w:rsidRPr="00733370">
        <w:t>)</w:t>
      </w:r>
      <w:r w:rsidR="00B6662D">
        <w:t>.</w:t>
      </w:r>
    </w:p>
    <w:p w14:paraId="06CE9E7E" w14:textId="34584383" w:rsidR="00972F81" w:rsidRDefault="00972F81" w:rsidP="00972F81">
      <w:r>
        <w:t>Cohort studies found that</w:t>
      </w:r>
      <w:r w:rsidR="001E044A">
        <w:t xml:space="preserve"> greater adherence to the DASH diet was</w:t>
      </w:r>
      <w:r>
        <w:t>:</w:t>
      </w:r>
    </w:p>
    <w:p w14:paraId="0ED1FAB0" w14:textId="7BF82178" w:rsidR="001E044A" w:rsidRDefault="001E044A" w:rsidP="001E044A">
      <w:pPr>
        <w:pStyle w:val="bullet"/>
      </w:pPr>
      <w:r>
        <w:t>not associated with reductions in risk of hypertensive disorders of pregnancy (</w:t>
      </w:r>
      <w:r w:rsidRPr="001E044A">
        <w:rPr>
          <w:sz w:val="16"/>
          <w:szCs w:val="16"/>
        </w:rPr>
        <w:t>OR 1.00; 95%CI 0.96 to 1.03</w:t>
      </w:r>
      <w:r>
        <w:t>), gestational diabetes (</w:t>
      </w:r>
      <w:r w:rsidRPr="001E044A">
        <w:rPr>
          <w:sz w:val="16"/>
          <w:szCs w:val="16"/>
        </w:rPr>
        <w:t>OR 1.01; 95%CI 0.96 to 1.06</w:t>
      </w:r>
      <w:r>
        <w:t>), preterm birth (</w:t>
      </w:r>
      <w:r w:rsidRPr="001E044A">
        <w:rPr>
          <w:sz w:val="16"/>
          <w:szCs w:val="16"/>
        </w:rPr>
        <w:t>OR 0.99; 95%CI 0.95 to 1.03</w:t>
      </w:r>
      <w:r>
        <w:t>), small for gestational age (</w:t>
      </w:r>
      <w:r w:rsidRPr="001E044A">
        <w:rPr>
          <w:sz w:val="16"/>
          <w:szCs w:val="16"/>
        </w:rPr>
        <w:t>OR 0.97; 95%CI 0.93 to 1.02</w:t>
      </w:r>
      <w:r>
        <w:t>) or large for gestational age (</w:t>
      </w:r>
      <w:r w:rsidRPr="001E044A">
        <w:rPr>
          <w:sz w:val="16"/>
          <w:szCs w:val="16"/>
        </w:rPr>
        <w:t>OR 0.99; 95%CI 0.96 to 1.02</w:t>
      </w:r>
      <w:r>
        <w:t>)</w:t>
      </w:r>
    </w:p>
    <w:p w14:paraId="5B54BE37" w14:textId="77ED6420" w:rsidR="001E044A" w:rsidRDefault="001E044A" w:rsidP="001E044A">
      <w:pPr>
        <w:pStyle w:val="bullet"/>
      </w:pPr>
      <w:r w:rsidRPr="00733370">
        <w:t>negatively associated with maternal triglycerides (mg/dL) (</w:t>
      </w:r>
      <w:r w:rsidRPr="001E044A">
        <w:rPr>
          <w:sz w:val="16"/>
          <w:szCs w:val="16"/>
        </w:rPr>
        <w:t>ß 0.11; 95%CI 0.19 to 0.02</w:t>
      </w:r>
      <w:r w:rsidRPr="00733370">
        <w:t xml:space="preserve">), insulin </w:t>
      </w:r>
      <w:r>
        <w:t>(</w:t>
      </w:r>
      <w:r w:rsidRPr="001E044A">
        <w:rPr>
          <w:sz w:val="16"/>
          <w:szCs w:val="16"/>
        </w:rPr>
        <w:t>ß 0.07; 95%CI 0.18 to 0.04</w:t>
      </w:r>
      <w:r w:rsidRPr="00733370">
        <w:t xml:space="preserve">), HOMA-IR </w:t>
      </w:r>
      <w:r>
        <w:t>(</w:t>
      </w:r>
      <w:r w:rsidRPr="001E044A">
        <w:rPr>
          <w:sz w:val="16"/>
          <w:szCs w:val="16"/>
        </w:rPr>
        <w:t>ß 0.06; 95%CI 0.18 to 0.06</w:t>
      </w:r>
      <w:r w:rsidRPr="00733370">
        <w:t xml:space="preserve">) or cholesterol </w:t>
      </w:r>
      <w:r>
        <w:t>(</w:t>
      </w:r>
      <w:r w:rsidRPr="001E044A">
        <w:rPr>
          <w:sz w:val="16"/>
          <w:szCs w:val="16"/>
        </w:rPr>
        <w:t>ß</w:t>
      </w:r>
      <w:r w:rsidR="00D81E09">
        <w:t> </w:t>
      </w:r>
      <w:r w:rsidRPr="001E044A">
        <w:rPr>
          <w:sz w:val="16"/>
          <w:szCs w:val="16"/>
        </w:rPr>
        <w:t>2.93; 95%CI 13.95 to 8.08</w:t>
      </w:r>
      <w:r w:rsidRPr="00733370">
        <w:t>)</w:t>
      </w:r>
      <w:r w:rsidR="003E2D58">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 </w:instrText>
      </w:r>
      <w:r w:rsidR="002747EA">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EN.CITE.DATA </w:instrText>
      </w:r>
      <w:r w:rsidR="002747EA">
        <w:fldChar w:fldCharType="end"/>
      </w:r>
      <w:r w:rsidR="003E2D58">
        <w:fldChar w:fldCharType="separate"/>
      </w:r>
      <w:r w:rsidR="002747EA" w:rsidRPr="002747EA">
        <w:rPr>
          <w:noProof/>
          <w:vertAlign w:val="superscript"/>
        </w:rPr>
        <w:t>19</w:t>
      </w:r>
      <w:r w:rsidR="003E2D58">
        <w:fldChar w:fldCharType="end"/>
      </w:r>
    </w:p>
    <w:p w14:paraId="69E6DF6C" w14:textId="55298B02" w:rsidR="00972F81" w:rsidRPr="00972F81" w:rsidRDefault="00972F81" w:rsidP="001E044A">
      <w:pPr>
        <w:pStyle w:val="bullet"/>
      </w:pPr>
      <w:r w:rsidRPr="00F859DE">
        <w:t>associated with decreased odds of preterm birth (</w:t>
      </w:r>
      <w:r w:rsidRPr="001E044A">
        <w:rPr>
          <w:sz w:val="16"/>
          <w:szCs w:val="16"/>
        </w:rPr>
        <w:t>aOR for quartile 4 vs quartile 1: 0.59; 95% CI 0.40 to 0.85</w:t>
      </w:r>
      <w:r w:rsidRPr="00F859DE">
        <w:t>).</w:t>
      </w:r>
      <w:r w:rsidR="003E2D58">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 </w:instrText>
      </w:r>
      <w:r w:rsidR="002747EA">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EN.CITE.DATA </w:instrText>
      </w:r>
      <w:r w:rsidR="002747EA">
        <w:fldChar w:fldCharType="end"/>
      </w:r>
      <w:r w:rsidR="003E2D58">
        <w:fldChar w:fldCharType="separate"/>
      </w:r>
      <w:r w:rsidR="002747EA" w:rsidRPr="002747EA">
        <w:rPr>
          <w:noProof/>
          <w:vertAlign w:val="superscript"/>
        </w:rPr>
        <w:t>37</w:t>
      </w:r>
      <w:r w:rsidR="003E2D58">
        <w:fldChar w:fldCharType="end"/>
      </w:r>
      <w:r w:rsidRPr="00F859DE">
        <w:t> </w:t>
      </w:r>
    </w:p>
    <w:p w14:paraId="365F8899" w14:textId="0103DCF7" w:rsidR="007A2453" w:rsidRDefault="007A2453" w:rsidP="00C8357D">
      <w:pPr>
        <w:pStyle w:val="Heading3"/>
      </w:pPr>
      <w:bookmarkStart w:id="25" w:name="_Toc40956475"/>
      <w:r>
        <w:t xml:space="preserve">Vegetarian </w:t>
      </w:r>
      <w:r w:rsidR="00FB1FA0">
        <w:t xml:space="preserve">and vegan </w:t>
      </w:r>
      <w:r>
        <w:t>diets</w:t>
      </w:r>
      <w:bookmarkEnd w:id="25"/>
    </w:p>
    <w:p w14:paraId="3E92EA3B" w14:textId="232D7FA5" w:rsidR="005A650B" w:rsidRDefault="005A650B" w:rsidP="005A650B">
      <w:r>
        <w:t>A narrative review of vegetarian and vegan diets in pregnancy</w:t>
      </w:r>
      <w:r w:rsidR="009411D4">
        <w:t xml:space="preserve"> found inconsistency in results on birthweight, similar duration of pregnancy between vegan-vegetarian and omnivorous diets and a suggestion of risk of vitamin B</w:t>
      </w:r>
      <w:r w:rsidR="009411D4" w:rsidRPr="00F7746D">
        <w:rPr>
          <w:vertAlign w:val="superscript"/>
        </w:rPr>
        <w:t>12</w:t>
      </w:r>
      <w:r w:rsidR="009411D4">
        <w:t xml:space="preserve"> and iron deficiency with vegan-vegetarian diets.</w:t>
      </w:r>
      <w:r w:rsidR="009411D4">
        <w:fldChar w:fldCharType="begin"/>
      </w:r>
      <w:r w:rsidR="002747EA">
        <w:instrText xml:space="preserve"> ADDIN EN.CITE &lt;EndNote&gt;&lt;Cite&gt;&lt;Author&gt;Piccoli&lt;/Author&gt;&lt;Year&gt;2015&lt;/Year&gt;&lt;RecNum&gt;1473&lt;/RecNum&gt;&lt;DisplayText&gt;&lt;style face="superscript" font="Trebuchet MS" size="9"&gt;55&lt;/style&gt;&lt;/DisplayText&gt;&lt;record&gt;&lt;rec-number&gt;1473&lt;/rec-number&gt;&lt;foreign-keys&gt;&lt;key app="EN" db-id="exvasrfx2dtraoesasxp2szsxa2df502592x" timestamp="1574039648"&gt;1473&lt;/key&gt;&lt;key app="ENWeb" db-id=""&gt;0&lt;/key&gt;&lt;/foreign-keys&gt;&lt;ref-type name="Journal Article"&gt;17&lt;/ref-type&gt;&lt;contributors&gt;&lt;authors&gt;&lt;author&gt;Piccoli, G. B.&lt;/author&gt;&lt;author&gt;Clari, R.&lt;/author&gt;&lt;author&gt;Vigotti, F. N.&lt;/author&gt;&lt;author&gt;Leone, F.&lt;/author&gt;&lt;author&gt;Attini, R.&lt;/author&gt;&lt;author&gt;Cabiddu, G.&lt;/author&gt;&lt;author&gt;Mauro, G.&lt;/author&gt;&lt;author&gt;Castelluccia, N.&lt;/author&gt;&lt;author&gt;Colombi, N.&lt;/author&gt;&lt;author&gt;Capizzi, I.&lt;/author&gt;&lt;author&gt;Pani, A.&lt;/author&gt;&lt;author&gt;Todros, T.&lt;/author&gt;&lt;author&gt;Avagnina, P.&lt;/author&gt;&lt;/authors&gt;&lt;/contributors&gt;&lt;titles&gt;&lt;title&gt;Vegan-vegetarian diets in pregnancy: danger or panacea? A systematic narrative review&lt;/title&gt;&lt;secondary-title&gt;BJOG: An International Journal of Obstetrics &amp;amp; Gynaecology&lt;/secondary-title&gt;&lt;/titles&gt;&lt;periodical&gt;&lt;full-title&gt;BJOG: An International Journal of Obstetrics &amp;amp; Gynaecology&lt;/full-title&gt;&lt;/periodical&gt;&lt;pages&gt;623-633&lt;/pages&gt;&lt;volume&gt;122&lt;/volume&gt;&lt;number&gt;5&lt;/number&gt;&lt;section&gt;623&lt;/section&gt;&lt;dates&gt;&lt;year&gt;2015&lt;/year&gt;&lt;/dates&gt;&lt;isbn&gt;14700328&lt;/isbn&gt;&lt;urls&gt;&lt;/urls&gt;&lt;electronic-resource-num&gt;10.1111/1471-0528.13280&lt;/electronic-resource-num&gt;&lt;/record&gt;&lt;/Cite&gt;&lt;/EndNote&gt;</w:instrText>
      </w:r>
      <w:r w:rsidR="009411D4">
        <w:fldChar w:fldCharType="separate"/>
      </w:r>
      <w:r w:rsidR="002747EA" w:rsidRPr="002747EA">
        <w:rPr>
          <w:noProof/>
          <w:vertAlign w:val="superscript"/>
        </w:rPr>
        <w:t>55</w:t>
      </w:r>
      <w:r w:rsidR="009411D4">
        <w:fldChar w:fldCharType="end"/>
      </w:r>
      <w:r w:rsidR="009411D4">
        <w:t xml:space="preserve"> Another review found lower zinc intakes among vegetarian versus non-vegetarian women</w:t>
      </w:r>
      <w:r w:rsidR="00BA0A27">
        <w:t>.</w:t>
      </w:r>
      <w:r w:rsidR="00BA0A27">
        <w:fldChar w:fldCharType="begin">
          <w:fldData xml:space="preserve">PEVuZE5vdGU+PENpdGU+PEF1dGhvcj5Gb3N0ZXI8L0F1dGhvcj48WWVhcj4yMDE1PC9ZZWFyPjxS
ZWNOdW0+MTM3NTwvUmVjTnVtPjxEaXNwbGF5VGV4dD48c3R5bGUgZmFjZT0ic3VwZXJzY3JpcHQi
IGZvbnQ9IlRyZWJ1Y2hldCBNUyIgc2l6ZT0iOSI+NTY8L3N0eWxlPjwvRGlzcGxheVRleHQ+PHJl
Y29yZD48cmVjLW51bWJlcj4xMzc1PC9yZWMtbnVtYmVyPjxmb3JlaWduLWtleXM+PGtleSBhcHA9
IkVOIiBkYi1pZD0iZXh2YXNyZngyZHRyYW9lc2FzeHAyc3pzeGEyZGY1MDI1OTJ4IiB0aW1lc3Rh
bXA9IjE1NjcwMzEzMTYiPjEzNzU8L2tleT48a2V5IGFwcD0iRU5XZWIiIGRiLWlkPSIiPjA8L2tl
eT48L2ZvcmVpZ24ta2V5cz48cmVmLXR5cGUgbmFtZT0iSm91cm5hbCBBcnRpY2xlIj4xNzwvcmVm
LXR5cGU+PGNvbnRyaWJ1dG9ycz48YXV0aG9ycz48YXV0aG9yPkZvc3RlciwgTS48L2F1dGhvcj48
YXV0aG9yPkhlcnVsYWgsIFUuIE4uPC9hdXRob3I+PGF1dGhvcj5QcmFzYWQsIEEuPC9hdXRob3I+
PGF1dGhvcj5QZXRvY3osIFAuPC9hdXRob3I+PGF1dGhvcj5TYW1tYW4sIFMuPC9hdXRob3I+PC9h
dXRob3JzPjwvY29udHJpYnV0b3JzPjxhdXRoLWFkZHJlc3M+RGVwYXJ0bWVudCBvZiBIdW1hbiBO
dXRyaXRpb24sIFVuaXZlcnNpdHkgb2YgT3RhZ28sIFBPIEJveCA1NiwgRHVuZWRpbiA5MDU0LCBO
ZXcgWmVhbGFuZC4gbWVpa2EuZm9zdGVyQG90YWdvLmFjLm56LiYjeEQ7RGlzY2lwbGluZSBvZiBO
dXRyaXRpb24gYW5kIE1ldGFib2xpc20sIFNjaG9vbCBvZiBNb2xlY3VsYXIgQmlvc2NpZW5jZSwg
VW5pdmVyc2l0eSBvZiBTeWRuZXksIE5TVyAyMDA2LCBBdXN0cmFsaWEuIHVoZXI5Mjk3QHVuaS5z
eWRuZXkuZWR1LmF1LiYjeEQ7RGVwYXJ0bWVudCBvZiBTdGF0aXN0aWNzLCBNYWNxdWFyaWUgVW5p
dmVyc2l0eSwgTlNXIDIxMDksIEF1c3RyYWxpYS4gYXNobGluaS1hc2hpa2EucHJhc2FkQHN0dWRl
bnRzLm1xLmVkdS5hdS4mI3hEO0RlcGFydG1lbnQgb2YgU3RhdGlzdGljcywgTWFjcXVhcmllIFVu
aXZlcnNpdHksIE5TVyAyMTA5LCBBdXN0cmFsaWEuIHBldGVyLnBldG9jekBtcS5lZHUuYXUuJiN4
RDtEZXBhcnRtZW50IG9mIEh1bWFuIE51dHJpdGlvbiwgVW5pdmVyc2l0eSBvZiBPdGFnbywgUE8g
Qm94IDU2LCBEdW5lZGluIDkwNTQsIE5ldyBaZWFsYW5kLiBzYW1pci5zYW1tYW5Ab3RhZ28uYWMu
bnouJiN4RDtEaXNjaXBsaW5lIG9mIE51dHJpdGlvbiBhbmQgTWV0YWJvbGlzbSwgU2Nob29sIG9m
IE1vbGVjdWxhciBCaW9zY2llbmNlLCBVbml2ZXJzaXR5IG9mIFN5ZG5leSwgTlNXIDIwMDYsIEF1
c3RyYWxpYS4gc2FtaXIuc2FtbWFuQG90YWdvLmFjLm56LjwvYXV0aC1hZGRyZXNzPjx0aXRsZXM+
PHRpdGxlPlppbmMgU3RhdHVzIG9mIFZlZ2V0YXJpYW5zIGR1cmluZyBQcmVnbmFuY3k6IEEgU3lz
dGVtYXRpYyBSZXZpZXcgb2YgT2JzZXJ2YXRpb25hbCBTdHVkaWVzIGFuZCBNZXRhLUFuYWx5c2lz
IG9mIFppbmMgSW50YWtlPC90aXRsZT48c2Vjb25kYXJ5LXRpdGxlPk51dHJpZW50czwvc2Vjb25k
YXJ5LXRpdGxlPjwvdGl0bGVzPjxwZXJpb2RpY2FsPjxmdWxsLXRpdGxlPk51dHJpZW50czwvZnVs
bC10aXRsZT48L3BlcmlvZGljYWw+PHBhZ2VzPjQ1MTItMjU8L3BhZ2VzPjx2b2x1bWU+Nzwvdm9s
dW1lPjxudW1iZXI+NjwvbnVtYmVyPjxlZGl0aW9uPjIwMTUvMDYvMTA8L2VkaXRpb24+PGtleXdv
cmRzPjxrZXl3b3JkPkJpb21hcmtlcnMvYmxvb2Q8L2tleXdvcmQ+PGtleXdvcmQ+RGlldCwgVmVn
ZXRhcmlhbjwva2V5d29yZD48a2V5d29yZD5GZW1hbGU8L2tleXdvcmQ+PGtleXdvcmQ+SHVtYW5z
PC9rZXl3b3JkPjxrZXl3b3JkPipNYXRlcm5hbCBOdXRyaXRpb25hbCBQaHlzaW9sb2dpY2FsIFBo
ZW5vbWVuYTwva2V5d29yZD48a2V5d29yZD5OdXRyaXRpb25hbCBSZXF1aXJlbWVudHM8L2tleXdv
cmQ+PGtleXdvcmQ+TnV0cml0aW9uYWwgU3RhdHVzPC9rZXl3b3JkPjxrZXl3b3JkPk9ic2VydmF0
aW9uYWwgU3R1ZGllcyBhcyBUb3BpYzwva2V5d29yZD48a2V5d29yZD5QcmVnbmFuY3k8L2tleXdv
cmQ+PGtleXdvcmQ+UHJlZ25hbmN5IE91dGNvbWU8L2tleXdvcmQ+PGtleXdvcmQ+KlZlZ2V0YXJp
YW5zPC9rZXl3b3JkPjxrZXl3b3JkPlppbmMvKmFkbWluaXN0cmF0aW9uICZhbXA7IGRvc2FnZS9i
bG9vZDwva2V5d29yZD48a2V5d29yZD5iaW9tYXJrZXI8L2tleXdvcmQ+PGtleXdvcmQ+ZGlldDwv
a2V5d29yZD48a2V5d29yZD5pbnRha2U8L2tleXdvcmQ+PGtleXdvcmQ+cmVxdWlyZW1lbnQ8L2tl
eXdvcmQ+PGtleXdvcmQ+c3RhdHVzPC9rZXl3b3JkPjxrZXl3b3JkPnZlZ2V0YXJpYW48L2tleXdv
cmQ+PGtleXdvcmQ+emluYzwva2V5d29yZD48L2tleXdvcmRzPjxkYXRlcz48eWVhcj4yMDE1PC95
ZWFyPjxwdWItZGF0ZXM+PGRhdGU+SnVuIDU8L2RhdGU+PC9wdWItZGF0ZXM+PC9kYXRlcz48aXNi
bj4yMDcyLTY2NDMgKEVsZWN0cm9uaWMpJiN4RDsyMDcyLTY2NDMgKExpbmtpbmcpPC9pc2JuPjxh
Y2Nlc3Npb24tbnVtPjI2MDU2OTE4PC9hY2Nlc3Npb24tbnVtPjx1cmxzPjxyZWxhdGVkLXVybHM+
PHVybD5odHRwczovL3d3dy5uY2JpLm5sbS5uaWguZ292L3B1Ym1lZC8yNjA1NjkxODwvdXJsPjwv
cmVsYXRlZC11cmxzPjwvdXJscz48Y3VzdG9tMj5QTUM0NDg4Nzk5PC9jdXN0b20yPjxlbGVjdHJv
bmljLXJlc291cmNlLW51bT4xMC4zMzkwL251NzA2NDUxMjwvZWxlY3Ryb25pYy1yZXNvdXJjZS1u
dW0+PC9yZWNvcmQ+PC9DaXRlPjwvRW5kTm90ZT4A
</w:fldData>
        </w:fldChar>
      </w:r>
      <w:r w:rsidR="002747EA">
        <w:instrText xml:space="preserve"> ADDIN EN.CITE </w:instrText>
      </w:r>
      <w:r w:rsidR="002747EA">
        <w:fldChar w:fldCharType="begin">
          <w:fldData xml:space="preserve">PEVuZE5vdGU+PENpdGU+PEF1dGhvcj5Gb3N0ZXI8L0F1dGhvcj48WWVhcj4yMDE1PC9ZZWFyPjxS
ZWNOdW0+MTM3NTwvUmVjTnVtPjxEaXNwbGF5VGV4dD48c3R5bGUgZmFjZT0ic3VwZXJzY3JpcHQi
IGZvbnQ9IlRyZWJ1Y2hldCBNUyIgc2l6ZT0iOSI+NTY8L3N0eWxlPjwvRGlzcGxheVRleHQ+PHJl
Y29yZD48cmVjLW51bWJlcj4xMzc1PC9yZWMtbnVtYmVyPjxmb3JlaWduLWtleXM+PGtleSBhcHA9
IkVOIiBkYi1pZD0iZXh2YXNyZngyZHRyYW9lc2FzeHAyc3pzeGEyZGY1MDI1OTJ4IiB0aW1lc3Rh
bXA9IjE1NjcwMzEzMTYiPjEzNzU8L2tleT48a2V5IGFwcD0iRU5XZWIiIGRiLWlkPSIiPjA8L2tl
eT48L2ZvcmVpZ24ta2V5cz48cmVmLXR5cGUgbmFtZT0iSm91cm5hbCBBcnRpY2xlIj4xNzwvcmVm
LXR5cGU+PGNvbnRyaWJ1dG9ycz48YXV0aG9ycz48YXV0aG9yPkZvc3RlciwgTS48L2F1dGhvcj48
YXV0aG9yPkhlcnVsYWgsIFUuIE4uPC9hdXRob3I+PGF1dGhvcj5QcmFzYWQsIEEuPC9hdXRob3I+
PGF1dGhvcj5QZXRvY3osIFAuPC9hdXRob3I+PGF1dGhvcj5TYW1tYW4sIFMuPC9hdXRob3I+PC9h
dXRob3JzPjwvY29udHJpYnV0b3JzPjxhdXRoLWFkZHJlc3M+RGVwYXJ0bWVudCBvZiBIdW1hbiBO
dXRyaXRpb24sIFVuaXZlcnNpdHkgb2YgT3RhZ28sIFBPIEJveCA1NiwgRHVuZWRpbiA5MDU0LCBO
ZXcgWmVhbGFuZC4gbWVpa2EuZm9zdGVyQG90YWdvLmFjLm56LiYjeEQ7RGlzY2lwbGluZSBvZiBO
dXRyaXRpb24gYW5kIE1ldGFib2xpc20sIFNjaG9vbCBvZiBNb2xlY3VsYXIgQmlvc2NpZW5jZSwg
VW5pdmVyc2l0eSBvZiBTeWRuZXksIE5TVyAyMDA2LCBBdXN0cmFsaWEuIHVoZXI5Mjk3QHVuaS5z
eWRuZXkuZWR1LmF1LiYjeEQ7RGVwYXJ0bWVudCBvZiBTdGF0aXN0aWNzLCBNYWNxdWFyaWUgVW5p
dmVyc2l0eSwgTlNXIDIxMDksIEF1c3RyYWxpYS4gYXNobGluaS1hc2hpa2EucHJhc2FkQHN0dWRl
bnRzLm1xLmVkdS5hdS4mI3hEO0RlcGFydG1lbnQgb2YgU3RhdGlzdGljcywgTWFjcXVhcmllIFVu
aXZlcnNpdHksIE5TVyAyMTA5LCBBdXN0cmFsaWEuIHBldGVyLnBldG9jekBtcS5lZHUuYXUuJiN4
RDtEZXBhcnRtZW50IG9mIEh1bWFuIE51dHJpdGlvbiwgVW5pdmVyc2l0eSBvZiBPdGFnbywgUE8g
Qm94IDU2LCBEdW5lZGluIDkwNTQsIE5ldyBaZWFsYW5kLiBzYW1pci5zYW1tYW5Ab3RhZ28uYWMu
bnouJiN4RDtEaXNjaXBsaW5lIG9mIE51dHJpdGlvbiBhbmQgTWV0YWJvbGlzbSwgU2Nob29sIG9m
IE1vbGVjdWxhciBCaW9zY2llbmNlLCBVbml2ZXJzaXR5IG9mIFN5ZG5leSwgTlNXIDIwMDYsIEF1
c3RyYWxpYS4gc2FtaXIuc2FtbWFuQG90YWdvLmFjLm56LjwvYXV0aC1hZGRyZXNzPjx0aXRsZXM+
PHRpdGxlPlppbmMgU3RhdHVzIG9mIFZlZ2V0YXJpYW5zIGR1cmluZyBQcmVnbmFuY3k6IEEgU3lz
dGVtYXRpYyBSZXZpZXcgb2YgT2JzZXJ2YXRpb25hbCBTdHVkaWVzIGFuZCBNZXRhLUFuYWx5c2lz
IG9mIFppbmMgSW50YWtlPC90aXRsZT48c2Vjb25kYXJ5LXRpdGxlPk51dHJpZW50czwvc2Vjb25k
YXJ5LXRpdGxlPjwvdGl0bGVzPjxwZXJpb2RpY2FsPjxmdWxsLXRpdGxlPk51dHJpZW50czwvZnVs
bC10aXRsZT48L3BlcmlvZGljYWw+PHBhZ2VzPjQ1MTItMjU8L3BhZ2VzPjx2b2x1bWU+Nzwvdm9s
dW1lPjxudW1iZXI+NjwvbnVtYmVyPjxlZGl0aW9uPjIwMTUvMDYvMTA8L2VkaXRpb24+PGtleXdv
cmRzPjxrZXl3b3JkPkJpb21hcmtlcnMvYmxvb2Q8L2tleXdvcmQ+PGtleXdvcmQ+RGlldCwgVmVn
ZXRhcmlhbjwva2V5d29yZD48a2V5d29yZD5GZW1hbGU8L2tleXdvcmQ+PGtleXdvcmQ+SHVtYW5z
PC9rZXl3b3JkPjxrZXl3b3JkPipNYXRlcm5hbCBOdXRyaXRpb25hbCBQaHlzaW9sb2dpY2FsIFBo
ZW5vbWVuYTwva2V5d29yZD48a2V5d29yZD5OdXRyaXRpb25hbCBSZXF1aXJlbWVudHM8L2tleXdv
cmQ+PGtleXdvcmQ+TnV0cml0aW9uYWwgU3RhdHVzPC9rZXl3b3JkPjxrZXl3b3JkPk9ic2VydmF0
aW9uYWwgU3R1ZGllcyBhcyBUb3BpYzwva2V5d29yZD48a2V5d29yZD5QcmVnbmFuY3k8L2tleXdv
cmQ+PGtleXdvcmQ+UHJlZ25hbmN5IE91dGNvbWU8L2tleXdvcmQ+PGtleXdvcmQ+KlZlZ2V0YXJp
YW5zPC9rZXl3b3JkPjxrZXl3b3JkPlppbmMvKmFkbWluaXN0cmF0aW9uICZhbXA7IGRvc2FnZS9i
bG9vZDwva2V5d29yZD48a2V5d29yZD5iaW9tYXJrZXI8L2tleXdvcmQ+PGtleXdvcmQ+ZGlldDwv
a2V5d29yZD48a2V5d29yZD5pbnRha2U8L2tleXdvcmQ+PGtleXdvcmQ+cmVxdWlyZW1lbnQ8L2tl
eXdvcmQ+PGtleXdvcmQ+c3RhdHVzPC9rZXl3b3JkPjxrZXl3b3JkPnZlZ2V0YXJpYW48L2tleXdv
cmQ+PGtleXdvcmQ+emluYzwva2V5d29yZD48L2tleXdvcmRzPjxkYXRlcz48eWVhcj4yMDE1PC95
ZWFyPjxwdWItZGF0ZXM+PGRhdGU+SnVuIDU8L2RhdGU+PC9wdWItZGF0ZXM+PC9kYXRlcz48aXNi
bj4yMDcyLTY2NDMgKEVsZWN0cm9uaWMpJiN4RDsyMDcyLTY2NDMgKExpbmtpbmcpPC9pc2JuPjxh
Y2Nlc3Npb24tbnVtPjI2MDU2OTE4PC9hY2Nlc3Npb24tbnVtPjx1cmxzPjxyZWxhdGVkLXVybHM+
PHVybD5odHRwczovL3d3dy5uY2JpLm5sbS5uaWguZ292L3B1Ym1lZC8yNjA1NjkxODwvdXJsPjwv
cmVsYXRlZC11cmxzPjwvdXJscz48Y3VzdG9tMj5QTUM0NDg4Nzk5PC9jdXN0b20yPjxlbGVjdHJv
bmljLXJlc291cmNlLW51bT4xMC4zMzkwL251NzA2NDUxMjwvZWxlY3Ryb25pYy1yZXNvdXJjZS1u
dW0+PC9yZWNvcmQ+PC9DaXRlPjwvRW5kTm90ZT4A
</w:fldData>
        </w:fldChar>
      </w:r>
      <w:r w:rsidR="002747EA">
        <w:instrText xml:space="preserve"> ADDIN EN.CITE.DATA </w:instrText>
      </w:r>
      <w:r w:rsidR="002747EA">
        <w:fldChar w:fldCharType="end"/>
      </w:r>
      <w:r w:rsidR="00BA0A27">
        <w:fldChar w:fldCharType="separate"/>
      </w:r>
      <w:r w:rsidR="002747EA" w:rsidRPr="002747EA">
        <w:rPr>
          <w:noProof/>
          <w:vertAlign w:val="superscript"/>
        </w:rPr>
        <w:t>56</w:t>
      </w:r>
      <w:r w:rsidR="00BA0A27">
        <w:fldChar w:fldCharType="end"/>
      </w:r>
      <w:r w:rsidR="009411D4">
        <w:t xml:space="preserve"> </w:t>
      </w:r>
      <w:r w:rsidR="00BA0A27">
        <w:t>However,</w:t>
      </w:r>
      <w:r w:rsidR="009411D4">
        <w:t xml:space="preserve"> neither group met the recommended daily allowance for zinc and there were no differences in serum/plasma zinc or in functional outcomes associated with pregnancy.</w:t>
      </w:r>
      <w:r w:rsidR="009411D4">
        <w:fldChar w:fldCharType="begin">
          <w:fldData xml:space="preserve">PEVuZE5vdGU+PENpdGU+PEF1dGhvcj5Gb3N0ZXI8L0F1dGhvcj48WWVhcj4yMDE1PC9ZZWFyPjxS
ZWNOdW0+MTM3NTwvUmVjTnVtPjxEaXNwbGF5VGV4dD48c3R5bGUgZmFjZT0ic3VwZXJzY3JpcHQi
IGZvbnQ9IlRyZWJ1Y2hldCBNUyIgc2l6ZT0iOSI+NTY8L3N0eWxlPjwvRGlzcGxheVRleHQ+PHJl
Y29yZD48cmVjLW51bWJlcj4xMzc1PC9yZWMtbnVtYmVyPjxmb3JlaWduLWtleXM+PGtleSBhcHA9
IkVOIiBkYi1pZD0iZXh2YXNyZngyZHRyYW9lc2FzeHAyc3pzeGEyZGY1MDI1OTJ4IiB0aW1lc3Rh
bXA9IjE1NjcwMzEzMTYiPjEzNzU8L2tleT48a2V5IGFwcD0iRU5XZWIiIGRiLWlkPSIiPjA8L2tl
eT48L2ZvcmVpZ24ta2V5cz48cmVmLXR5cGUgbmFtZT0iSm91cm5hbCBBcnRpY2xlIj4xNzwvcmVm
LXR5cGU+PGNvbnRyaWJ1dG9ycz48YXV0aG9ycz48YXV0aG9yPkZvc3RlciwgTS48L2F1dGhvcj48
YXV0aG9yPkhlcnVsYWgsIFUuIE4uPC9hdXRob3I+PGF1dGhvcj5QcmFzYWQsIEEuPC9hdXRob3I+
PGF1dGhvcj5QZXRvY3osIFAuPC9hdXRob3I+PGF1dGhvcj5TYW1tYW4sIFMuPC9hdXRob3I+PC9h
dXRob3JzPjwvY29udHJpYnV0b3JzPjxhdXRoLWFkZHJlc3M+RGVwYXJ0bWVudCBvZiBIdW1hbiBO
dXRyaXRpb24sIFVuaXZlcnNpdHkgb2YgT3RhZ28sIFBPIEJveCA1NiwgRHVuZWRpbiA5MDU0LCBO
ZXcgWmVhbGFuZC4gbWVpa2EuZm9zdGVyQG90YWdvLmFjLm56LiYjeEQ7RGlzY2lwbGluZSBvZiBO
dXRyaXRpb24gYW5kIE1ldGFib2xpc20sIFNjaG9vbCBvZiBNb2xlY3VsYXIgQmlvc2NpZW5jZSwg
VW5pdmVyc2l0eSBvZiBTeWRuZXksIE5TVyAyMDA2LCBBdXN0cmFsaWEuIHVoZXI5Mjk3QHVuaS5z
eWRuZXkuZWR1LmF1LiYjeEQ7RGVwYXJ0bWVudCBvZiBTdGF0aXN0aWNzLCBNYWNxdWFyaWUgVW5p
dmVyc2l0eSwgTlNXIDIxMDksIEF1c3RyYWxpYS4gYXNobGluaS1hc2hpa2EucHJhc2FkQHN0dWRl
bnRzLm1xLmVkdS5hdS4mI3hEO0RlcGFydG1lbnQgb2YgU3RhdGlzdGljcywgTWFjcXVhcmllIFVu
aXZlcnNpdHksIE5TVyAyMTA5LCBBdXN0cmFsaWEuIHBldGVyLnBldG9jekBtcS5lZHUuYXUuJiN4
RDtEZXBhcnRtZW50IG9mIEh1bWFuIE51dHJpdGlvbiwgVW5pdmVyc2l0eSBvZiBPdGFnbywgUE8g
Qm94IDU2LCBEdW5lZGluIDkwNTQsIE5ldyBaZWFsYW5kLiBzYW1pci5zYW1tYW5Ab3RhZ28uYWMu
bnouJiN4RDtEaXNjaXBsaW5lIG9mIE51dHJpdGlvbiBhbmQgTWV0YWJvbGlzbSwgU2Nob29sIG9m
IE1vbGVjdWxhciBCaW9zY2llbmNlLCBVbml2ZXJzaXR5IG9mIFN5ZG5leSwgTlNXIDIwMDYsIEF1
c3RyYWxpYS4gc2FtaXIuc2FtbWFuQG90YWdvLmFjLm56LjwvYXV0aC1hZGRyZXNzPjx0aXRsZXM+
PHRpdGxlPlppbmMgU3RhdHVzIG9mIFZlZ2V0YXJpYW5zIGR1cmluZyBQcmVnbmFuY3k6IEEgU3lz
dGVtYXRpYyBSZXZpZXcgb2YgT2JzZXJ2YXRpb25hbCBTdHVkaWVzIGFuZCBNZXRhLUFuYWx5c2lz
IG9mIFppbmMgSW50YWtlPC90aXRsZT48c2Vjb25kYXJ5LXRpdGxlPk51dHJpZW50czwvc2Vjb25k
YXJ5LXRpdGxlPjwvdGl0bGVzPjxwZXJpb2RpY2FsPjxmdWxsLXRpdGxlPk51dHJpZW50czwvZnVs
bC10aXRsZT48L3BlcmlvZGljYWw+PHBhZ2VzPjQ1MTItMjU8L3BhZ2VzPjx2b2x1bWU+Nzwvdm9s
dW1lPjxudW1iZXI+NjwvbnVtYmVyPjxlZGl0aW9uPjIwMTUvMDYvMTA8L2VkaXRpb24+PGtleXdv
cmRzPjxrZXl3b3JkPkJpb21hcmtlcnMvYmxvb2Q8L2tleXdvcmQ+PGtleXdvcmQ+RGlldCwgVmVn
ZXRhcmlhbjwva2V5d29yZD48a2V5d29yZD5GZW1hbGU8L2tleXdvcmQ+PGtleXdvcmQ+SHVtYW5z
PC9rZXl3b3JkPjxrZXl3b3JkPipNYXRlcm5hbCBOdXRyaXRpb25hbCBQaHlzaW9sb2dpY2FsIFBo
ZW5vbWVuYTwva2V5d29yZD48a2V5d29yZD5OdXRyaXRpb25hbCBSZXF1aXJlbWVudHM8L2tleXdv
cmQ+PGtleXdvcmQ+TnV0cml0aW9uYWwgU3RhdHVzPC9rZXl3b3JkPjxrZXl3b3JkPk9ic2VydmF0
aW9uYWwgU3R1ZGllcyBhcyBUb3BpYzwva2V5d29yZD48a2V5d29yZD5QcmVnbmFuY3k8L2tleXdv
cmQ+PGtleXdvcmQ+UHJlZ25hbmN5IE91dGNvbWU8L2tleXdvcmQ+PGtleXdvcmQ+KlZlZ2V0YXJp
YW5zPC9rZXl3b3JkPjxrZXl3b3JkPlppbmMvKmFkbWluaXN0cmF0aW9uICZhbXA7IGRvc2FnZS9i
bG9vZDwva2V5d29yZD48a2V5d29yZD5iaW9tYXJrZXI8L2tleXdvcmQ+PGtleXdvcmQ+ZGlldDwv
a2V5d29yZD48a2V5d29yZD5pbnRha2U8L2tleXdvcmQ+PGtleXdvcmQ+cmVxdWlyZW1lbnQ8L2tl
eXdvcmQ+PGtleXdvcmQ+c3RhdHVzPC9rZXl3b3JkPjxrZXl3b3JkPnZlZ2V0YXJpYW48L2tleXdv
cmQ+PGtleXdvcmQ+emluYzwva2V5d29yZD48L2tleXdvcmRzPjxkYXRlcz48eWVhcj4yMDE1PC95
ZWFyPjxwdWItZGF0ZXM+PGRhdGU+SnVuIDU8L2RhdGU+PC9wdWItZGF0ZXM+PC9kYXRlcz48aXNi
bj4yMDcyLTY2NDMgKEVsZWN0cm9uaWMpJiN4RDsyMDcyLTY2NDMgKExpbmtpbmcpPC9pc2JuPjxh
Y2Nlc3Npb24tbnVtPjI2MDU2OTE4PC9hY2Nlc3Npb24tbnVtPjx1cmxzPjxyZWxhdGVkLXVybHM+
PHVybD5odHRwczovL3d3dy5uY2JpLm5sbS5uaWguZ292L3B1Ym1lZC8yNjA1NjkxODwvdXJsPjwv
cmVsYXRlZC11cmxzPjwvdXJscz48Y3VzdG9tMj5QTUM0NDg4Nzk5PC9jdXN0b20yPjxlbGVjdHJv
bmljLXJlc291cmNlLW51bT4xMC4zMzkwL251NzA2NDUxMjwvZWxlY3Ryb25pYy1yZXNvdXJjZS1u
dW0+PC9yZWNvcmQ+PC9DaXRlPjwvRW5kTm90ZT4A
</w:fldData>
        </w:fldChar>
      </w:r>
      <w:r w:rsidR="002747EA">
        <w:instrText xml:space="preserve"> ADDIN EN.CITE </w:instrText>
      </w:r>
      <w:r w:rsidR="002747EA">
        <w:fldChar w:fldCharType="begin">
          <w:fldData xml:space="preserve">PEVuZE5vdGU+PENpdGU+PEF1dGhvcj5Gb3N0ZXI8L0F1dGhvcj48WWVhcj4yMDE1PC9ZZWFyPjxS
ZWNOdW0+MTM3NTwvUmVjTnVtPjxEaXNwbGF5VGV4dD48c3R5bGUgZmFjZT0ic3VwZXJzY3JpcHQi
IGZvbnQ9IlRyZWJ1Y2hldCBNUyIgc2l6ZT0iOSI+NTY8L3N0eWxlPjwvRGlzcGxheVRleHQ+PHJl
Y29yZD48cmVjLW51bWJlcj4xMzc1PC9yZWMtbnVtYmVyPjxmb3JlaWduLWtleXM+PGtleSBhcHA9
IkVOIiBkYi1pZD0iZXh2YXNyZngyZHRyYW9lc2FzeHAyc3pzeGEyZGY1MDI1OTJ4IiB0aW1lc3Rh
bXA9IjE1NjcwMzEzMTYiPjEzNzU8L2tleT48a2V5IGFwcD0iRU5XZWIiIGRiLWlkPSIiPjA8L2tl
eT48L2ZvcmVpZ24ta2V5cz48cmVmLXR5cGUgbmFtZT0iSm91cm5hbCBBcnRpY2xlIj4xNzwvcmVm
LXR5cGU+PGNvbnRyaWJ1dG9ycz48YXV0aG9ycz48YXV0aG9yPkZvc3RlciwgTS48L2F1dGhvcj48
YXV0aG9yPkhlcnVsYWgsIFUuIE4uPC9hdXRob3I+PGF1dGhvcj5QcmFzYWQsIEEuPC9hdXRob3I+
PGF1dGhvcj5QZXRvY3osIFAuPC9hdXRob3I+PGF1dGhvcj5TYW1tYW4sIFMuPC9hdXRob3I+PC9h
dXRob3JzPjwvY29udHJpYnV0b3JzPjxhdXRoLWFkZHJlc3M+RGVwYXJ0bWVudCBvZiBIdW1hbiBO
dXRyaXRpb24sIFVuaXZlcnNpdHkgb2YgT3RhZ28sIFBPIEJveCA1NiwgRHVuZWRpbiA5MDU0LCBO
ZXcgWmVhbGFuZC4gbWVpa2EuZm9zdGVyQG90YWdvLmFjLm56LiYjeEQ7RGlzY2lwbGluZSBvZiBO
dXRyaXRpb24gYW5kIE1ldGFib2xpc20sIFNjaG9vbCBvZiBNb2xlY3VsYXIgQmlvc2NpZW5jZSwg
VW5pdmVyc2l0eSBvZiBTeWRuZXksIE5TVyAyMDA2LCBBdXN0cmFsaWEuIHVoZXI5Mjk3QHVuaS5z
eWRuZXkuZWR1LmF1LiYjeEQ7RGVwYXJ0bWVudCBvZiBTdGF0aXN0aWNzLCBNYWNxdWFyaWUgVW5p
dmVyc2l0eSwgTlNXIDIxMDksIEF1c3RyYWxpYS4gYXNobGluaS1hc2hpa2EucHJhc2FkQHN0dWRl
bnRzLm1xLmVkdS5hdS4mI3hEO0RlcGFydG1lbnQgb2YgU3RhdGlzdGljcywgTWFjcXVhcmllIFVu
aXZlcnNpdHksIE5TVyAyMTA5LCBBdXN0cmFsaWEuIHBldGVyLnBldG9jekBtcS5lZHUuYXUuJiN4
RDtEZXBhcnRtZW50IG9mIEh1bWFuIE51dHJpdGlvbiwgVW5pdmVyc2l0eSBvZiBPdGFnbywgUE8g
Qm94IDU2LCBEdW5lZGluIDkwNTQsIE5ldyBaZWFsYW5kLiBzYW1pci5zYW1tYW5Ab3RhZ28uYWMu
bnouJiN4RDtEaXNjaXBsaW5lIG9mIE51dHJpdGlvbiBhbmQgTWV0YWJvbGlzbSwgU2Nob29sIG9m
IE1vbGVjdWxhciBCaW9zY2llbmNlLCBVbml2ZXJzaXR5IG9mIFN5ZG5leSwgTlNXIDIwMDYsIEF1
c3RyYWxpYS4gc2FtaXIuc2FtbWFuQG90YWdvLmFjLm56LjwvYXV0aC1hZGRyZXNzPjx0aXRsZXM+
PHRpdGxlPlppbmMgU3RhdHVzIG9mIFZlZ2V0YXJpYW5zIGR1cmluZyBQcmVnbmFuY3k6IEEgU3lz
dGVtYXRpYyBSZXZpZXcgb2YgT2JzZXJ2YXRpb25hbCBTdHVkaWVzIGFuZCBNZXRhLUFuYWx5c2lz
IG9mIFppbmMgSW50YWtlPC90aXRsZT48c2Vjb25kYXJ5LXRpdGxlPk51dHJpZW50czwvc2Vjb25k
YXJ5LXRpdGxlPjwvdGl0bGVzPjxwZXJpb2RpY2FsPjxmdWxsLXRpdGxlPk51dHJpZW50czwvZnVs
bC10aXRsZT48L3BlcmlvZGljYWw+PHBhZ2VzPjQ1MTItMjU8L3BhZ2VzPjx2b2x1bWU+Nzwvdm9s
dW1lPjxudW1iZXI+NjwvbnVtYmVyPjxlZGl0aW9uPjIwMTUvMDYvMTA8L2VkaXRpb24+PGtleXdv
cmRzPjxrZXl3b3JkPkJpb21hcmtlcnMvYmxvb2Q8L2tleXdvcmQ+PGtleXdvcmQ+RGlldCwgVmVn
ZXRhcmlhbjwva2V5d29yZD48a2V5d29yZD5GZW1hbGU8L2tleXdvcmQ+PGtleXdvcmQ+SHVtYW5z
PC9rZXl3b3JkPjxrZXl3b3JkPipNYXRlcm5hbCBOdXRyaXRpb25hbCBQaHlzaW9sb2dpY2FsIFBo
ZW5vbWVuYTwva2V5d29yZD48a2V5d29yZD5OdXRyaXRpb25hbCBSZXF1aXJlbWVudHM8L2tleXdv
cmQ+PGtleXdvcmQ+TnV0cml0aW9uYWwgU3RhdHVzPC9rZXl3b3JkPjxrZXl3b3JkPk9ic2VydmF0
aW9uYWwgU3R1ZGllcyBhcyBUb3BpYzwva2V5d29yZD48a2V5d29yZD5QcmVnbmFuY3k8L2tleXdv
cmQ+PGtleXdvcmQ+UHJlZ25hbmN5IE91dGNvbWU8L2tleXdvcmQ+PGtleXdvcmQ+KlZlZ2V0YXJp
YW5zPC9rZXl3b3JkPjxrZXl3b3JkPlppbmMvKmFkbWluaXN0cmF0aW9uICZhbXA7IGRvc2FnZS9i
bG9vZDwva2V5d29yZD48a2V5d29yZD5iaW9tYXJrZXI8L2tleXdvcmQ+PGtleXdvcmQ+ZGlldDwv
a2V5d29yZD48a2V5d29yZD5pbnRha2U8L2tleXdvcmQ+PGtleXdvcmQ+cmVxdWlyZW1lbnQ8L2tl
eXdvcmQ+PGtleXdvcmQ+c3RhdHVzPC9rZXl3b3JkPjxrZXl3b3JkPnZlZ2V0YXJpYW48L2tleXdv
cmQ+PGtleXdvcmQ+emluYzwva2V5d29yZD48L2tleXdvcmRzPjxkYXRlcz48eWVhcj4yMDE1PC95
ZWFyPjxwdWItZGF0ZXM+PGRhdGU+SnVuIDU8L2RhdGU+PC9wdWItZGF0ZXM+PC9kYXRlcz48aXNi
bj4yMDcyLTY2NDMgKEVsZWN0cm9uaWMpJiN4RDsyMDcyLTY2NDMgKExpbmtpbmcpPC9pc2JuPjxh
Y2Nlc3Npb24tbnVtPjI2MDU2OTE4PC9hY2Nlc3Npb24tbnVtPjx1cmxzPjxyZWxhdGVkLXVybHM+
PHVybD5odHRwczovL3d3dy5uY2JpLm5sbS5uaWguZ292L3B1Ym1lZC8yNjA1NjkxODwvdXJsPjwv
cmVsYXRlZC11cmxzPjwvdXJscz48Y3VzdG9tMj5QTUM0NDg4Nzk5PC9jdXN0b20yPjxlbGVjdHJv
bmljLXJlc291cmNlLW51bT4xMC4zMzkwL251NzA2NDUxMjwvZWxlY3Ryb25pYy1yZXNvdXJjZS1u
dW0+PC9yZWNvcmQ+PC9DaXRlPjwvRW5kTm90ZT4A
</w:fldData>
        </w:fldChar>
      </w:r>
      <w:r w:rsidR="002747EA">
        <w:instrText xml:space="preserve"> ADDIN EN.CITE.DATA </w:instrText>
      </w:r>
      <w:r w:rsidR="002747EA">
        <w:fldChar w:fldCharType="end"/>
      </w:r>
      <w:r w:rsidR="009411D4">
        <w:fldChar w:fldCharType="separate"/>
      </w:r>
      <w:r w:rsidR="002747EA" w:rsidRPr="002747EA">
        <w:rPr>
          <w:noProof/>
          <w:vertAlign w:val="superscript"/>
        </w:rPr>
        <w:t>56</w:t>
      </w:r>
      <w:r w:rsidR="009411D4">
        <w:fldChar w:fldCharType="end"/>
      </w:r>
    </w:p>
    <w:p w14:paraId="2449122C" w14:textId="52C84D9F" w:rsidR="00693B1E" w:rsidRPr="005A650B" w:rsidRDefault="00693B1E" w:rsidP="005A650B">
      <w:r>
        <w:t>A cohort study</w:t>
      </w:r>
      <w:r>
        <w:fldChar w:fldCharType="begin">
          <w:fldData xml:space="preserve">PEVuZE5vdGU+PENpdGU+PEF1dGhvcj5adWx5bmlhazwvQXV0aG9yPjxZZWFyPjIwMTc8L1llYXI+
PFJlY051bT4xNDg4PC9SZWNOdW0+PERpc3BsYXlUZXh0PjxzdHlsZSBmYWNlPSJzdXBlcnNjcmlw
dCIgZm9udD0iVHJlYnVjaGV0IE1TIiBzaXplPSI5Ij41Nzwvc3R5bGU+PC9EaXNwbGF5VGV4dD48
cmVjb3JkPjxyZWMtbnVtYmVyPjE0ODg8L3JlYy1udW1iZXI+PGZvcmVpZ24ta2V5cz48a2V5IGFw
cD0iRU4iIGRiLWlkPSJleHZhc3JmeDJkdHJhb2VzYXN4cDJzenN4YTJkZjUwMjU5MngiIHRpbWVz
dGFtcD0iMTU3NDAzOTczNiI+MTQ4ODwva2V5PjxrZXkgYXBwPSJFTldlYiIgZGItaWQ9IiI+MDwv
a2V5PjwvZm9yZWlnbi1rZXlzPjxyZWYtdHlwZSBuYW1lPSJKb3VybmFsIEFydGljbGUiPjE3PC9y
ZWYtdHlwZT48Y29udHJpYnV0b3JzPjxhdXRob3JzPjxhdXRob3I+WnVseW5pYWssIE0uIEEuPC9h
dXRob3I+PGF1dGhvcj5kZSBTb3V6YSwgUi4gSi48L2F1dGhvcj48YXV0aG9yPlNoYWlraCwgTS48
L2F1dGhvcj48YXV0aG9yPkRlc2FpLCBELjwvYXV0aG9yPjxhdXRob3I+TGVmZWJ2cmUsIEQuIEwu
PC9hdXRob3I+PGF1dGhvcj5HdXB0YSwgTS48L2F1dGhvcj48YXV0aG9yPldpbHNvbiwgSi48L2F1
dGhvcj48YXV0aG9yPldhaGksIEcuPC9hdXRob3I+PGF1dGhvcj5TdWJiYXJhbywgUC48L2F1dGhv
cj48YXV0aG9yPkJlY2tlciwgQS4gQi48L2F1dGhvcj48YXV0aG9yPk1hbmRoYW5lLCBQLjwvYXV0
aG9yPjxhdXRob3I+VHVydmV5LCBTLiBFLjwvYXV0aG9yPjxhdXRob3I+QmV5ZW5lLCBKLjwvYXV0
aG9yPjxhdXRob3I+QXRraW5zb24sIFMuPC9hdXRob3I+PGF1dGhvcj5Nb3JyaXNvbiwgSy4gTS48
L2F1dGhvcj48YXV0aG9yPk1jRG9uYWxkLCBTLjwvYXV0aG9yPjxhdXRob3I+VGVvLCBLLiBLLjwv
YXV0aG9yPjxhdXRob3I+U2VhcnMsIE0uIFIuPC9hdXRob3I+PGF1dGhvcj5BbmFuZCwgUy4gUy48
L2F1dGhvcj48YXV0aG9yPk51dHJpR2VuIEFsbGlhbmNlLCBpbnZlc3RpZ2F0b3JzPC9hdXRob3I+
PC9hdXRob3JzPjwvY29udHJpYnV0b3JzPjxhdXRoLWFkZHJlc3M+RGVwYXJ0bWVudCBvZiBNZWRp
Y2luZSwgTWNNYXN0ZXIgVW5pdmVyc2l0eSwgSGFtaWx0b24sIE9udGFyaW8sIENhbmFkYS4mI3hE
O1NjaG9vbCBvZiBGb29kIFNjaWVuY2UgYW5kIE51dHJpdGlvbiwgVW5pdmVyc2l0eSBvZiBMZWVk
cywgTGVlZHMsIFVLLiYjeEQ7RGVwYXJ0bWVudCBvZiBIZWFsdGggUmVzZWFyY2ggTWV0aG9kcywg
RXZpZGVuY2UsIGFuZCBJbXBhY3QsIE1jTWFzdGVyIFVuaXZlcnNpdHksIEhhbWlsdG9uLCBPbnRh
cmlvLCBDYW5hZGEuJiN4RDtQb3B1bGF0aW9uIEhlYWx0aCBSZXNlYXJjaCBJbnN0aXR1dGUsIEhh
bWlsdG9uIEhlYWx0aCBTY2llbmNlcyBhbmQgTWNNYXN0ZXIgVW5pdmVyc2l0eSwgSGFtaWx0b24s
IE9udGFyaW8sIENhbmFkYS4mI3hEO0NhbmFkaWFuIENhcmRpb3Zhc2N1bGFyIFJlc2VhcmNoIE5l
dHdvcmssIEJyYW1wdG9uLCBPbnRhcmlvLCBDYW5hZGEuJiN4RDtTaXggTmF0aW9ucyBIZWFsdGgg
U2VydmljZXMsIE9oc3dla2VuLCBPbnRhcmlvLCBDYW5hZGEuJiN4RDtEZXBhcnRtZW50IG9mIFBh
ZWRpYXRyaWNzLCBNY01hc3RlciBVbml2ZXJzaXR5LCBIYW1pbHRvbiwgT250YXJpbywgQ2FuYWRh
LiYjeEQ7SG9zcGl0YWwgZm9yIFNpY2sgQ2hpbGRyZW4gYW5kIERlcGFydG1lbnQgb2YgUGFlZGlh
dHJpY3MsIFVuaXZlcnNpdHkgb2YgVG9yb250bywgVG9yb250bywgT250YXJpbywgQ2FuYWRhLiYj
eEQ7RGVwYXJ0bWVudCBvZiBJbW11bm9sb2d5LCBGYWN1bHR5IG9mIE1lZGljaW5lLCBVbml2ZXJz
aXR5IG9mIE1hbml0b2JhLCBXaW5uaXBlZywgTWFuaXRvYmEsIENhbmFkYS4mI3hEO0RlcGFydG1l
bnQgb2YgUGVkaWF0cmljcywgRmFjdWx0eSBvZiBNZWRpY2luZSBhbmQgRGVudGlzdHJ5LCBVbml2
ZXJzaXR5IG9mIEFsYmVydGEsIEVkbW9udG9uLCBBbGJlcnRhLCBDYW5hZGEuJiN4RDtEZXBhcnRt
ZW50IG9mIFBhZWRpYXRyaWNzLCBGYWN1bHR5IG9mIE1lZGljaW5lLCBVbml2ZXJzaXR5IG9mIEJy
aXRpc2ggQ29sdW1iaWEsIEJDIENoaWxkcmVuJmFwb3M7cyBIb3NwaXRhbCwgVmFuY291dmVyLCBC
cml0aXNoIENvbHVtYmlhLCBDYW5hZGEuPC9hdXRoLWFkZHJlc3M+PHRpdGxlcz48dGl0bGU+RG9l
cyB0aGUgaW1wYWN0IG9mIGEgcGxhbnQtYmFzZWQgZGlldCBkdXJpbmcgcHJlZ25hbmN5IG9uIGJp
cnRoIHdlaWdodCBkaWZmZXIgYnkgZXRobmljaXR5PyBBIGRpZXRhcnkgcGF0dGVybiBhbmFseXNp
cyBmcm9tIGEgcHJvc3BlY3RpdmUgQ2FuYWRpYW4gYmlydGggY29ob3J0IGFsbGlhbmNlPC90aXRs
ZT48c2Vjb25kYXJ5LXRpdGxlPkJNSiBPcGVuPC9zZWNvbmRhcnktdGl0bGU+PC90aXRsZXM+PHBl
cmlvZGljYWw+PGZ1bGwtdGl0bGU+Qk1KIE9wZW48L2Z1bGwtdGl0bGU+PC9wZXJpb2RpY2FsPjxw
YWdlcz5lMDE3NzUzPC9wYWdlcz48dm9sdW1lPjc8L3ZvbHVtZT48bnVtYmVyPjExPC9udW1iZXI+
PGVkaXRpb24+MjAxNy8xMS8xNjwvZWRpdGlvbj48a2V5d29yZHM+PGtleXdvcmQ+QWR1bHQ8L2tl
eXdvcmQ+PGtleXdvcmQ+QXNpYW4gQ29udGluZW50YWwgQW5jZXN0cnkgR3JvdXA8L2tleXdvcmQ+
PGtleXdvcmQ+KkJpcnRoIFdlaWdodDwva2V5d29yZD48a2V5d29yZD5DYW5hZGEvZXBpZGVtaW9s
b2d5PC9rZXl3b3JkPjxrZXl3b3JkPkNvb2tpbmc8L2tleXdvcmQ+PGtleXdvcmQ+RGlldCwgVmVn
ZXRhcmlhbi8qZXRobm9sb2d5PC9rZXl3b3JkPjxrZXl3b3JkPkRpZXQsIFdlc3Rlcm4vKmV0aG5v
bG9neTwva2V5d29yZD48a2V5d29yZD5FbmVyZ3kgSW50YWtlPC9rZXl3b3JkPjxrZXl3b3JkPkV1
cm9wZWFuIENvbnRpbmVudGFsIEFuY2VzdHJ5IEdyb3VwPC9rZXl3b3JkPjxrZXl3b3JkPkZlbWFs
ZTwva2V5d29yZD48a2V5d29yZD5GZXRhbCBNYWNyb3NvbWlhL2V0aG5vbG9neTwva2V5d29yZD48
a2V5d29yZD5Gb29kPC9rZXl3b3JkPjxrZXl3b3JkPkhlYWx0aHkgRGlldC8qZXRobm9sb2d5PC9r
ZXl3b3JkPjxrZXl3b3JkPkh1bWFuczwva2V5d29yZD48a2V5d29yZD5JbmZhbnQsIFNtYWxsIGZv
ciBHZXN0YXRpb25hbCBBZ2U8L2tleXdvcmQ+PGtleXdvcmQ+UHJlZ25hbmN5PC9rZXl3b3JkPjxr
ZXl3b3JkPlRlcm0gQmlydGg8L2tleXdvcmQ+PGtleXdvcmQ+WW91bmcgQWR1bHQ8L2tleXdvcmQ+
PGtleXdvcmQ+UGNhPC9rZXl3b3JkPjxrZXl3b3JkPmJpcnRoIHdlaWdodDwva2V5d29yZD48a2V5
d29yZD5kaWV0IHBhdHRlcm48L2tleXdvcmQ+PGtleXdvcmQ+bnV0cml0aW9uPC9rZXl3b3JkPjwv
a2V5d29yZHM+PGRhdGVzPjx5ZWFyPjIwMTc8L3llYXI+PHB1Yi1kYXRlcz48ZGF0ZT5Ob3YgMTQ8
L2RhdGU+PC9wdWItZGF0ZXM+PC9kYXRlcz48aXNibj4yMDQ0LTYwNTUgKEVsZWN0cm9uaWMpJiN4
RDsyMDQ0LTYwNTUgKExpbmtpbmcpPC9pc2JuPjxhY2Nlc3Npb24tbnVtPjI5MTM4MjAzPC9hY2Nl
c3Npb24tbnVtPjx1cmxzPjxyZWxhdGVkLXVybHM+PHVybD5odHRwczovL3d3dy5uY2JpLm5sbS5u
aWguZ292L3B1Ym1lZC8yOTEzODIwMzwvdXJsPjwvcmVsYXRlZC11cmxzPjwvdXJscz48Y3VzdG9t
Mj5QTUM1Njk1NDQ4PC9jdXN0b20yPjxlbGVjdHJvbmljLXJlc291cmNlLW51bT4xMC4xMTM2L2Jt
am9wZW4tMjAxNy0wMTc3NTM8L2VsZWN0cm9uaWMtcmVzb3VyY2UtbnVtPjwvcmVjb3JkPjwvQ2l0
ZT48L0VuZE5vdGU+AG==
</w:fldData>
        </w:fldChar>
      </w:r>
      <w:r w:rsidR="002747EA">
        <w:instrText xml:space="preserve"> ADDIN EN.CITE </w:instrText>
      </w:r>
      <w:r w:rsidR="002747EA">
        <w:fldChar w:fldCharType="begin">
          <w:fldData xml:space="preserve">PEVuZE5vdGU+PENpdGU+PEF1dGhvcj5adWx5bmlhazwvQXV0aG9yPjxZZWFyPjIwMTc8L1llYXI+
PFJlY051bT4xNDg4PC9SZWNOdW0+PERpc3BsYXlUZXh0PjxzdHlsZSBmYWNlPSJzdXBlcnNjcmlw
dCIgZm9udD0iVHJlYnVjaGV0IE1TIiBzaXplPSI5Ij41Nzwvc3R5bGU+PC9EaXNwbGF5VGV4dD48
cmVjb3JkPjxyZWMtbnVtYmVyPjE0ODg8L3JlYy1udW1iZXI+PGZvcmVpZ24ta2V5cz48a2V5IGFw
cD0iRU4iIGRiLWlkPSJleHZhc3JmeDJkdHJhb2VzYXN4cDJzenN4YTJkZjUwMjU5MngiIHRpbWVz
dGFtcD0iMTU3NDAzOTczNiI+MTQ4ODwva2V5PjxrZXkgYXBwPSJFTldlYiIgZGItaWQ9IiI+MDwv
a2V5PjwvZm9yZWlnbi1rZXlzPjxyZWYtdHlwZSBuYW1lPSJKb3VybmFsIEFydGljbGUiPjE3PC9y
ZWYtdHlwZT48Y29udHJpYnV0b3JzPjxhdXRob3JzPjxhdXRob3I+WnVseW5pYWssIE0uIEEuPC9h
dXRob3I+PGF1dGhvcj5kZSBTb3V6YSwgUi4gSi48L2F1dGhvcj48YXV0aG9yPlNoYWlraCwgTS48
L2F1dGhvcj48YXV0aG9yPkRlc2FpLCBELjwvYXV0aG9yPjxhdXRob3I+TGVmZWJ2cmUsIEQuIEwu
PC9hdXRob3I+PGF1dGhvcj5HdXB0YSwgTS48L2F1dGhvcj48YXV0aG9yPldpbHNvbiwgSi48L2F1
dGhvcj48YXV0aG9yPldhaGksIEcuPC9hdXRob3I+PGF1dGhvcj5TdWJiYXJhbywgUC48L2F1dGhv
cj48YXV0aG9yPkJlY2tlciwgQS4gQi48L2F1dGhvcj48YXV0aG9yPk1hbmRoYW5lLCBQLjwvYXV0
aG9yPjxhdXRob3I+VHVydmV5LCBTLiBFLjwvYXV0aG9yPjxhdXRob3I+QmV5ZW5lLCBKLjwvYXV0
aG9yPjxhdXRob3I+QXRraW5zb24sIFMuPC9hdXRob3I+PGF1dGhvcj5Nb3JyaXNvbiwgSy4gTS48
L2F1dGhvcj48YXV0aG9yPk1jRG9uYWxkLCBTLjwvYXV0aG9yPjxhdXRob3I+VGVvLCBLLiBLLjwv
YXV0aG9yPjxhdXRob3I+U2VhcnMsIE0uIFIuPC9hdXRob3I+PGF1dGhvcj5BbmFuZCwgUy4gUy48
L2F1dGhvcj48YXV0aG9yPk51dHJpR2VuIEFsbGlhbmNlLCBpbnZlc3RpZ2F0b3JzPC9hdXRob3I+
PC9hdXRob3JzPjwvY29udHJpYnV0b3JzPjxhdXRoLWFkZHJlc3M+RGVwYXJ0bWVudCBvZiBNZWRp
Y2luZSwgTWNNYXN0ZXIgVW5pdmVyc2l0eSwgSGFtaWx0b24sIE9udGFyaW8sIENhbmFkYS4mI3hE
O1NjaG9vbCBvZiBGb29kIFNjaWVuY2UgYW5kIE51dHJpdGlvbiwgVW5pdmVyc2l0eSBvZiBMZWVk
cywgTGVlZHMsIFVLLiYjeEQ7RGVwYXJ0bWVudCBvZiBIZWFsdGggUmVzZWFyY2ggTWV0aG9kcywg
RXZpZGVuY2UsIGFuZCBJbXBhY3QsIE1jTWFzdGVyIFVuaXZlcnNpdHksIEhhbWlsdG9uLCBPbnRh
cmlvLCBDYW5hZGEuJiN4RDtQb3B1bGF0aW9uIEhlYWx0aCBSZXNlYXJjaCBJbnN0aXR1dGUsIEhh
bWlsdG9uIEhlYWx0aCBTY2llbmNlcyBhbmQgTWNNYXN0ZXIgVW5pdmVyc2l0eSwgSGFtaWx0b24s
IE9udGFyaW8sIENhbmFkYS4mI3hEO0NhbmFkaWFuIENhcmRpb3Zhc2N1bGFyIFJlc2VhcmNoIE5l
dHdvcmssIEJyYW1wdG9uLCBPbnRhcmlvLCBDYW5hZGEuJiN4RDtTaXggTmF0aW9ucyBIZWFsdGgg
U2VydmljZXMsIE9oc3dla2VuLCBPbnRhcmlvLCBDYW5hZGEuJiN4RDtEZXBhcnRtZW50IG9mIFBh
ZWRpYXRyaWNzLCBNY01hc3RlciBVbml2ZXJzaXR5LCBIYW1pbHRvbiwgT250YXJpbywgQ2FuYWRh
LiYjeEQ7SG9zcGl0YWwgZm9yIFNpY2sgQ2hpbGRyZW4gYW5kIERlcGFydG1lbnQgb2YgUGFlZGlh
dHJpY3MsIFVuaXZlcnNpdHkgb2YgVG9yb250bywgVG9yb250bywgT250YXJpbywgQ2FuYWRhLiYj
eEQ7RGVwYXJ0bWVudCBvZiBJbW11bm9sb2d5LCBGYWN1bHR5IG9mIE1lZGljaW5lLCBVbml2ZXJz
aXR5IG9mIE1hbml0b2JhLCBXaW5uaXBlZywgTWFuaXRvYmEsIENhbmFkYS4mI3hEO0RlcGFydG1l
bnQgb2YgUGVkaWF0cmljcywgRmFjdWx0eSBvZiBNZWRpY2luZSBhbmQgRGVudGlzdHJ5LCBVbml2
ZXJzaXR5IG9mIEFsYmVydGEsIEVkbW9udG9uLCBBbGJlcnRhLCBDYW5hZGEuJiN4RDtEZXBhcnRt
ZW50IG9mIFBhZWRpYXRyaWNzLCBGYWN1bHR5IG9mIE1lZGljaW5lLCBVbml2ZXJzaXR5IG9mIEJy
aXRpc2ggQ29sdW1iaWEsIEJDIENoaWxkcmVuJmFwb3M7cyBIb3NwaXRhbCwgVmFuY291dmVyLCBC
cml0aXNoIENvbHVtYmlhLCBDYW5hZGEuPC9hdXRoLWFkZHJlc3M+PHRpdGxlcz48dGl0bGU+RG9l
cyB0aGUgaW1wYWN0IG9mIGEgcGxhbnQtYmFzZWQgZGlldCBkdXJpbmcgcHJlZ25hbmN5IG9uIGJp
cnRoIHdlaWdodCBkaWZmZXIgYnkgZXRobmljaXR5PyBBIGRpZXRhcnkgcGF0dGVybiBhbmFseXNp
cyBmcm9tIGEgcHJvc3BlY3RpdmUgQ2FuYWRpYW4gYmlydGggY29ob3J0IGFsbGlhbmNlPC90aXRs
ZT48c2Vjb25kYXJ5LXRpdGxlPkJNSiBPcGVuPC9zZWNvbmRhcnktdGl0bGU+PC90aXRsZXM+PHBl
cmlvZGljYWw+PGZ1bGwtdGl0bGU+Qk1KIE9wZW48L2Z1bGwtdGl0bGU+PC9wZXJpb2RpY2FsPjxw
YWdlcz5lMDE3NzUzPC9wYWdlcz48dm9sdW1lPjc8L3ZvbHVtZT48bnVtYmVyPjExPC9udW1iZXI+
PGVkaXRpb24+MjAxNy8xMS8xNjwvZWRpdGlvbj48a2V5d29yZHM+PGtleXdvcmQ+QWR1bHQ8L2tl
eXdvcmQ+PGtleXdvcmQ+QXNpYW4gQ29udGluZW50YWwgQW5jZXN0cnkgR3JvdXA8L2tleXdvcmQ+
PGtleXdvcmQ+KkJpcnRoIFdlaWdodDwva2V5d29yZD48a2V5d29yZD5DYW5hZGEvZXBpZGVtaW9s
b2d5PC9rZXl3b3JkPjxrZXl3b3JkPkNvb2tpbmc8L2tleXdvcmQ+PGtleXdvcmQ+RGlldCwgVmVn
ZXRhcmlhbi8qZXRobm9sb2d5PC9rZXl3b3JkPjxrZXl3b3JkPkRpZXQsIFdlc3Rlcm4vKmV0aG5v
bG9neTwva2V5d29yZD48a2V5d29yZD5FbmVyZ3kgSW50YWtlPC9rZXl3b3JkPjxrZXl3b3JkPkV1
cm9wZWFuIENvbnRpbmVudGFsIEFuY2VzdHJ5IEdyb3VwPC9rZXl3b3JkPjxrZXl3b3JkPkZlbWFs
ZTwva2V5d29yZD48a2V5d29yZD5GZXRhbCBNYWNyb3NvbWlhL2V0aG5vbG9neTwva2V5d29yZD48
a2V5d29yZD5Gb29kPC9rZXl3b3JkPjxrZXl3b3JkPkhlYWx0aHkgRGlldC8qZXRobm9sb2d5PC9r
ZXl3b3JkPjxrZXl3b3JkPkh1bWFuczwva2V5d29yZD48a2V5d29yZD5JbmZhbnQsIFNtYWxsIGZv
ciBHZXN0YXRpb25hbCBBZ2U8L2tleXdvcmQ+PGtleXdvcmQ+UHJlZ25hbmN5PC9rZXl3b3JkPjxr
ZXl3b3JkPlRlcm0gQmlydGg8L2tleXdvcmQ+PGtleXdvcmQ+WW91bmcgQWR1bHQ8L2tleXdvcmQ+
PGtleXdvcmQ+UGNhPC9rZXl3b3JkPjxrZXl3b3JkPmJpcnRoIHdlaWdodDwva2V5d29yZD48a2V5
d29yZD5kaWV0IHBhdHRlcm48L2tleXdvcmQ+PGtleXdvcmQ+bnV0cml0aW9uPC9rZXl3b3JkPjwv
a2V5d29yZHM+PGRhdGVzPjx5ZWFyPjIwMTc8L3llYXI+PHB1Yi1kYXRlcz48ZGF0ZT5Ob3YgMTQ8
L2RhdGU+PC9wdWItZGF0ZXM+PC9kYXRlcz48aXNibj4yMDQ0LTYwNTUgKEVsZWN0cm9uaWMpJiN4
RDsyMDQ0LTYwNTUgKExpbmtpbmcpPC9pc2JuPjxhY2Nlc3Npb24tbnVtPjI5MTM4MjAzPC9hY2Nl
c3Npb24tbnVtPjx1cmxzPjxyZWxhdGVkLXVybHM+PHVybD5odHRwczovL3d3dy5uY2JpLm5sbS5u
aWguZ292L3B1Ym1lZC8yOTEzODIwMzwvdXJsPjwvcmVsYXRlZC11cmxzPjwvdXJscz48Y3VzdG9t
Mj5QTUM1Njk1NDQ4PC9jdXN0b20yPjxlbGVjdHJvbmljLXJlc291cmNlLW51bT4xMC4xMTM2L2Jt
am9wZW4tMjAxNy0wMTc3NTM8L2VsZWN0cm9uaWMtcmVzb3VyY2UtbnVtPjwvcmVjb3JkPjwvQ2l0
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57</w:t>
      </w:r>
      <w:r>
        <w:fldChar w:fldCharType="end"/>
      </w:r>
      <w:r>
        <w:t xml:space="preserve"> found that a </w:t>
      </w:r>
      <w:r w:rsidRPr="007D0CB6">
        <w:t>plant-based dietary pattern was inversely ass</w:t>
      </w:r>
      <w:r>
        <w:t>ociated with birth weight (</w:t>
      </w:r>
      <w:r w:rsidRPr="00750DA3">
        <w:rPr>
          <w:sz w:val="16"/>
          <w:szCs w:val="16"/>
        </w:rPr>
        <w:t>ß -67.6 g per 1-unit increase; P&lt;0.001</w:t>
      </w:r>
      <w:r>
        <w:t>). A</w:t>
      </w:r>
      <w:r w:rsidRPr="007D0CB6">
        <w:t>n interaction with non-white ethnicity and birth weight was observed</w:t>
      </w:r>
      <w:r>
        <w:t xml:space="preserve"> — </w:t>
      </w:r>
      <w:r w:rsidRPr="007D0CB6">
        <w:t xml:space="preserve">among white Europeans, maternal consumption of a plant-based diet </w:t>
      </w:r>
      <w:r>
        <w:t xml:space="preserve">was </w:t>
      </w:r>
      <w:r w:rsidRPr="007D0CB6">
        <w:t>associated with lower birth weight (</w:t>
      </w:r>
      <w:r w:rsidR="00750DA3" w:rsidRPr="00750DA3">
        <w:rPr>
          <w:sz w:val="16"/>
          <w:szCs w:val="16"/>
        </w:rPr>
        <w:t xml:space="preserve">ß </w:t>
      </w:r>
      <w:r w:rsidRPr="00750DA3">
        <w:rPr>
          <w:sz w:val="16"/>
          <w:szCs w:val="16"/>
        </w:rPr>
        <w:t>-65.9 g per 1-unit increase; P&lt;0.001</w:t>
      </w:r>
      <w:r w:rsidRPr="007D0CB6">
        <w:t>), increased risk of small-for-gestational age (</w:t>
      </w:r>
      <w:r w:rsidR="00750DA3" w:rsidRPr="00750DA3">
        <w:rPr>
          <w:sz w:val="16"/>
          <w:szCs w:val="16"/>
        </w:rPr>
        <w:t xml:space="preserve">OR </w:t>
      </w:r>
      <w:r w:rsidRPr="00750DA3">
        <w:rPr>
          <w:sz w:val="16"/>
          <w:szCs w:val="16"/>
        </w:rPr>
        <w:t>1.46; 95% CI 1.08 to 1.54;</w:t>
      </w:r>
      <w:r w:rsidR="00750DA3" w:rsidRPr="00750DA3">
        <w:rPr>
          <w:sz w:val="16"/>
          <w:szCs w:val="16"/>
        </w:rPr>
        <w:t xml:space="preserve"> </w:t>
      </w:r>
      <w:r w:rsidRPr="00750DA3">
        <w:rPr>
          <w:sz w:val="16"/>
          <w:szCs w:val="16"/>
        </w:rPr>
        <w:t>P=0.005</w:t>
      </w:r>
      <w:r w:rsidRPr="007D0CB6">
        <w:t xml:space="preserve">) and reduced risk of </w:t>
      </w:r>
      <w:r w:rsidR="00750DA3">
        <w:t>large-for-gestational age (</w:t>
      </w:r>
      <w:r w:rsidR="00750DA3" w:rsidRPr="00750DA3">
        <w:rPr>
          <w:sz w:val="16"/>
          <w:szCs w:val="16"/>
        </w:rPr>
        <w:t xml:space="preserve">OR </w:t>
      </w:r>
      <w:r w:rsidRPr="00750DA3">
        <w:rPr>
          <w:sz w:val="16"/>
          <w:szCs w:val="16"/>
        </w:rPr>
        <w:t>0.71; 95% CI 0.53 to 0.95; P=0.02</w:t>
      </w:r>
      <w:r w:rsidRPr="007D0CB6">
        <w:t xml:space="preserve">). Among South Asians, maternal consumption of a plant-based diet </w:t>
      </w:r>
      <w:r w:rsidR="00750DA3">
        <w:t xml:space="preserve">was </w:t>
      </w:r>
      <w:r w:rsidRPr="007D0CB6">
        <w:t>associated with a higher birth weight (</w:t>
      </w:r>
      <w:r w:rsidR="00750DA3">
        <w:t xml:space="preserve">ß </w:t>
      </w:r>
      <w:r w:rsidRPr="007D0CB6">
        <w:t>+40.5 g per 1-unit increase; P=0.01), partially explained by cooked vegetable consumption.</w:t>
      </w:r>
    </w:p>
    <w:p w14:paraId="6A257B5B" w14:textId="317951A0" w:rsidR="007A2453" w:rsidRDefault="00122B25" w:rsidP="00122B25">
      <w:pPr>
        <w:pStyle w:val="Heading3"/>
      </w:pPr>
      <w:bookmarkStart w:id="26" w:name="_Toc40956476"/>
      <w:r>
        <w:t>Fasting</w:t>
      </w:r>
      <w:bookmarkEnd w:id="26"/>
    </w:p>
    <w:p w14:paraId="61E464FB" w14:textId="635B07B2" w:rsidR="003077B9" w:rsidRDefault="00CD0392" w:rsidP="00CD0392">
      <w:r>
        <w:t>A systematic review</w:t>
      </w:r>
      <w:r>
        <w:fldChar w:fldCharType="begin">
          <w:fldData xml:space="preserve">PEVuZE5vdGU+PENpdGU+PEF1dGhvcj5HbGF6aWVyPC9BdXRob3I+PFllYXI+MjAxODwvWWVhcj48
UmVjTnVtPjE0MDQ8L1JlY051bT48RGlzcGxheVRleHQ+PHN0eWxlIGZhY2U9InN1cGVyc2NyaXB0
IiBmb250PSJUcmVidWNoZXQgTVMiIHNpemU9IjkiPjU4PC9zdHlsZT48L0Rpc3BsYXlUZXh0Pjxy
ZWNvcmQ+PHJlYy1udW1iZXI+MTQwNDwvcmVjLW51bWJlcj48Zm9yZWlnbi1rZXlzPjxrZXkgYXBw
PSJFTiIgZGItaWQ9ImV4dmFzcmZ4MmR0cmFvZXNhc3hwMnN6c3hhMmRmNTAyNTkyeCIgdGltZXN0
YW1wPSIxNTY3OTI0NTIyIj4xNDA0PC9rZXk+PGtleSBhcHA9IkVOV2ViIiBkYi1pZD0iIj4wPC9r
ZXk+PC9mb3JlaWduLWtleXM+PHJlZi10eXBlIG5hbWU9IkpvdXJuYWwgQXJ0aWNsZSI+MTc8L3Jl
Zi10eXBlPjxjb250cmlidXRvcnM+PGF1dGhvcnM+PGF1dGhvcj5HbGF6aWVyLCBKLiBELjwvYXV0
aG9yPjxhdXRob3I+SGF5ZXMsIEQuIEouIEwuPC9hdXRob3I+PGF1dGhvcj5IdXNzYWluLCBTLjwv
YXV0aG9yPjxhdXRob3I+RCZhcG9zO1NvdXphLCBTLiBXLjwvYXV0aG9yPjxhdXRob3I+V2hpdGNv
bWJlLCBKLjwvYXV0aG9yPjxhdXRob3I+SGVhemVsbCwgQS4gRS4gUC48L2F1dGhvcj48YXV0aG9y
PkFzaHRvbiwgTi48L2F1dGhvcj48L2F1dGhvcnM+PC9jb250cmlidXRvcnM+PGF1dGgtYWRkcmVz
cz5NYXRlcm5hbCBhbmQgRmV0YWwgSGVhbHRoIFJlc2VhcmNoIENlbnRyZSwgRGl2aXNpb24gb2Yg
RGV2ZWxvcG1lbnRhbCBCaW9sb2d5IGFuZCBNZWRpY2luZSwgRmFjdWx0eSBvZiBCaW9sb2d5LCBN
ZWRpY2luZSBhbmQgSGVhbHRoLCBVbml2ZXJzaXR5IG9mIE1hbmNoZXN0ZXIsIDV0aCBGbG9vciAo
UmVzZWFyY2gpLCBTdCBNYXJ5JmFwb3M7cyBIb3NwaXRhbCwgT3hmb3JkIFJvYWQsIE1hbmNoZXN0
ZXIsIE0xMyA5V0wsIFVLLiYjeEQ7VHJ1c3QgTGlicmFyeSwgQ2VudHJhbCBNYW5jaGVzdGVyIFVu
aXZlcnNpdHkgSG9zcGl0YWxzIE5IUyBGb3VuZGF0aW9uIFRydXN0LCBFZHVjYXRpb24gU291dGgs
IE94Zm9yZCBSb2FkLCBNYW5jaGVzdGVyLCBNMTMgOVdMLCBVSy4mI3hEO0RpdmlzaW9uIG9mIENh
cmRpb3Zhc2N1bGFyIFNjaWVuY2VzLCBGYWN1bHR5IG9mIEJpb2xvZ3ksIE1lZGljaW5lIGFuZCBI
ZWFsdGgsIFVuaXZlcnNpdHkgb2YgTWFuY2hlc3RlciwgM3JkIEZsb29yIENvcmUgVGVjaG5vbG9n
eSBGYWNpbGl0eSwgNDYgR3JhZnRvbiBTdHJlZXQsIE1hbmNoZXN0ZXIsIE0xMyA5TlQsIFVLLiBu
aWNrLmFzaHRvbkBtYW5jaGVzdGVyLmFjLnVrLjwvYXV0aC1hZGRyZXNzPjx0aXRsZXM+PHRpdGxl
PlRoZSBlZmZlY3Qgb2YgUmFtYWRhbiBmYXN0aW5nIGR1cmluZyBwcmVnbmFuY3kgb24gcGVyaW5h
dGFsIG91dGNvbWVzOiBhIHN5c3RlbWF0aWMgcmV2aWV3IGFuZCBtZXRhLWFuYWx5c2lzPC90aXRs
ZT48c2Vjb25kYXJ5LXRpdGxlPkJNQyBQcmVnbmFuY3kgQ2hpbGRiaXJ0aDwvc2Vjb25kYXJ5LXRp
dGxlPjwvdGl0bGVzPjxwZXJpb2RpY2FsPjxmdWxsLXRpdGxlPkJNQyBQcmVnbmFuY3kgQ2hpbGRi
aXJ0aDwvZnVsbC10aXRsZT48L3BlcmlvZGljYWw+PHBhZ2VzPjQyMTwvcGFnZXM+PHZvbHVtZT4x
ODwvdm9sdW1lPjxudW1iZXI+MTwvbnVtYmVyPjxlZGl0aW9uPjIwMTgvMTAvMjY8L2VkaXRpb24+
PGtleXdvcmRzPjxrZXl3b3JkPkJpcnRoIFdlaWdodC9waHlzaW9sb2d5PC9rZXl3b3JkPjxrZXl3
b3JkPkZhc3RpbmcvKnBoeXNpb2xvZ3k8L2tleXdvcmQ+PGtleXdvcmQ+RmVtYWxlPC9rZXl3b3Jk
PjxrZXl3b3JkPkh1bWFuczwva2V5d29yZD48a2V5d29yZD5JbmZhbnQsIE5ld2Jvcm48L2tleXdv
cmQ+PGtleXdvcmQ+SXNsYW08L2tleXdvcmQ+PGtleXdvcmQ+UGVyaW5hdGFsIE1vcnRhbGl0eTwv
a2V5d29yZD48a2V5d29yZD5QcmVnbmFuY3k8L2tleXdvcmQ+PGtleXdvcmQ+UHJlZ25hbmN5IE91
dGNvbWUvKmVwaWRlbWlvbG9neTwva2V5d29yZD48a2V5d29yZD5CaXJ0aCB3ZWlnaHQ8L2tleXdv
cmQ+PGtleXdvcmQ+RmFzdGluZzwva2V5d29yZD48a2V5d29yZD5QbGFjZW50YTwva2V5d29yZD48
a2V5d29yZD5SYW1hZGFuPC9rZXl3b3JkPjwva2V5d29yZHM+PGRhdGVzPjx5ZWFyPjIwMTg8L3ll
YXI+PHB1Yi1kYXRlcz48ZGF0ZT5PY3QgMjU8L2RhdGU+PC9wdWItZGF0ZXM+PC9kYXRlcz48aXNi
bj4xNDcxLTIzOTMgKEVsZWN0cm9uaWMpJiN4RDsxNDcxLTIzOTMgKExpbmtpbmcpPC9pc2JuPjxh
Y2Nlc3Npb24tbnVtPjMwMzU5MjI4PC9hY2Nlc3Npb24tbnVtPjx1cmxzPjxyZWxhdGVkLXVybHM+
PHVybD5odHRwczovL3d3dy5uY2JpLm5sbS5uaWguZ292L3B1Ym1lZC8zMDM1OTIyODwvdXJsPjwv
cmVsYXRlZC11cmxzPjwvdXJscz48Y3VzdG9tMj5QTUM2MjAyODA4PC9jdXN0b20yPjxlbGVjdHJv
bmljLXJlc291cmNlLW51bT4xMC4xMTg2L3MxMjg4NC0wMTgtMjA0OC15PC9lbGVjdHJvbmljLXJl
c291cmNlLW51bT48L3JlY29yZD48L0NpdGU+PC9FbmROb3RlPn==
</w:fldData>
        </w:fldChar>
      </w:r>
      <w:r w:rsidR="002747EA">
        <w:instrText xml:space="preserve"> ADDIN EN.CITE </w:instrText>
      </w:r>
      <w:r w:rsidR="002747EA">
        <w:fldChar w:fldCharType="begin">
          <w:fldData xml:space="preserve">PEVuZE5vdGU+PENpdGU+PEF1dGhvcj5HbGF6aWVyPC9BdXRob3I+PFllYXI+MjAxODwvWWVhcj48
UmVjTnVtPjE0MDQ8L1JlY051bT48RGlzcGxheVRleHQ+PHN0eWxlIGZhY2U9InN1cGVyc2NyaXB0
IiBmb250PSJUcmVidWNoZXQgTVMiIHNpemU9IjkiPjU4PC9zdHlsZT48L0Rpc3BsYXlUZXh0Pjxy
ZWNvcmQ+PHJlYy1udW1iZXI+MTQwNDwvcmVjLW51bWJlcj48Zm9yZWlnbi1rZXlzPjxrZXkgYXBw
PSJFTiIgZGItaWQ9ImV4dmFzcmZ4MmR0cmFvZXNhc3hwMnN6c3hhMmRmNTAyNTkyeCIgdGltZXN0
YW1wPSIxNTY3OTI0NTIyIj4xNDA0PC9rZXk+PGtleSBhcHA9IkVOV2ViIiBkYi1pZD0iIj4wPC9r
ZXk+PC9mb3JlaWduLWtleXM+PHJlZi10eXBlIG5hbWU9IkpvdXJuYWwgQXJ0aWNsZSI+MTc8L3Jl
Zi10eXBlPjxjb250cmlidXRvcnM+PGF1dGhvcnM+PGF1dGhvcj5HbGF6aWVyLCBKLiBELjwvYXV0
aG9yPjxhdXRob3I+SGF5ZXMsIEQuIEouIEwuPC9hdXRob3I+PGF1dGhvcj5IdXNzYWluLCBTLjwv
YXV0aG9yPjxhdXRob3I+RCZhcG9zO1NvdXphLCBTLiBXLjwvYXV0aG9yPjxhdXRob3I+V2hpdGNv
bWJlLCBKLjwvYXV0aG9yPjxhdXRob3I+SGVhemVsbCwgQS4gRS4gUC48L2F1dGhvcj48YXV0aG9y
PkFzaHRvbiwgTi48L2F1dGhvcj48L2F1dGhvcnM+PC9jb250cmlidXRvcnM+PGF1dGgtYWRkcmVz
cz5NYXRlcm5hbCBhbmQgRmV0YWwgSGVhbHRoIFJlc2VhcmNoIENlbnRyZSwgRGl2aXNpb24gb2Yg
RGV2ZWxvcG1lbnRhbCBCaW9sb2d5IGFuZCBNZWRpY2luZSwgRmFjdWx0eSBvZiBCaW9sb2d5LCBN
ZWRpY2luZSBhbmQgSGVhbHRoLCBVbml2ZXJzaXR5IG9mIE1hbmNoZXN0ZXIsIDV0aCBGbG9vciAo
UmVzZWFyY2gpLCBTdCBNYXJ5JmFwb3M7cyBIb3NwaXRhbCwgT3hmb3JkIFJvYWQsIE1hbmNoZXN0
ZXIsIE0xMyA5V0wsIFVLLiYjeEQ7VHJ1c3QgTGlicmFyeSwgQ2VudHJhbCBNYW5jaGVzdGVyIFVu
aXZlcnNpdHkgSG9zcGl0YWxzIE5IUyBGb3VuZGF0aW9uIFRydXN0LCBFZHVjYXRpb24gU291dGgs
IE94Zm9yZCBSb2FkLCBNYW5jaGVzdGVyLCBNMTMgOVdMLCBVSy4mI3hEO0RpdmlzaW9uIG9mIENh
cmRpb3Zhc2N1bGFyIFNjaWVuY2VzLCBGYWN1bHR5IG9mIEJpb2xvZ3ksIE1lZGljaW5lIGFuZCBI
ZWFsdGgsIFVuaXZlcnNpdHkgb2YgTWFuY2hlc3RlciwgM3JkIEZsb29yIENvcmUgVGVjaG5vbG9n
eSBGYWNpbGl0eSwgNDYgR3JhZnRvbiBTdHJlZXQsIE1hbmNoZXN0ZXIsIE0xMyA5TlQsIFVLLiBu
aWNrLmFzaHRvbkBtYW5jaGVzdGVyLmFjLnVrLjwvYXV0aC1hZGRyZXNzPjx0aXRsZXM+PHRpdGxl
PlRoZSBlZmZlY3Qgb2YgUmFtYWRhbiBmYXN0aW5nIGR1cmluZyBwcmVnbmFuY3kgb24gcGVyaW5h
dGFsIG91dGNvbWVzOiBhIHN5c3RlbWF0aWMgcmV2aWV3IGFuZCBtZXRhLWFuYWx5c2lzPC90aXRs
ZT48c2Vjb25kYXJ5LXRpdGxlPkJNQyBQcmVnbmFuY3kgQ2hpbGRiaXJ0aDwvc2Vjb25kYXJ5LXRp
dGxlPjwvdGl0bGVzPjxwZXJpb2RpY2FsPjxmdWxsLXRpdGxlPkJNQyBQcmVnbmFuY3kgQ2hpbGRi
aXJ0aDwvZnVsbC10aXRsZT48L3BlcmlvZGljYWw+PHBhZ2VzPjQyMTwvcGFnZXM+PHZvbHVtZT4x
ODwvdm9sdW1lPjxudW1iZXI+MTwvbnVtYmVyPjxlZGl0aW9uPjIwMTgvMTAvMjY8L2VkaXRpb24+
PGtleXdvcmRzPjxrZXl3b3JkPkJpcnRoIFdlaWdodC9waHlzaW9sb2d5PC9rZXl3b3JkPjxrZXl3
b3JkPkZhc3RpbmcvKnBoeXNpb2xvZ3k8L2tleXdvcmQ+PGtleXdvcmQ+RmVtYWxlPC9rZXl3b3Jk
PjxrZXl3b3JkPkh1bWFuczwva2V5d29yZD48a2V5d29yZD5JbmZhbnQsIE5ld2Jvcm48L2tleXdv
cmQ+PGtleXdvcmQ+SXNsYW08L2tleXdvcmQ+PGtleXdvcmQ+UGVyaW5hdGFsIE1vcnRhbGl0eTwv
a2V5d29yZD48a2V5d29yZD5QcmVnbmFuY3k8L2tleXdvcmQ+PGtleXdvcmQ+UHJlZ25hbmN5IE91
dGNvbWUvKmVwaWRlbWlvbG9neTwva2V5d29yZD48a2V5d29yZD5CaXJ0aCB3ZWlnaHQ8L2tleXdv
cmQ+PGtleXdvcmQ+RmFzdGluZzwva2V5d29yZD48a2V5d29yZD5QbGFjZW50YTwva2V5d29yZD48
a2V5d29yZD5SYW1hZGFuPC9rZXl3b3JkPjwva2V5d29yZHM+PGRhdGVzPjx5ZWFyPjIwMTg8L3ll
YXI+PHB1Yi1kYXRlcz48ZGF0ZT5PY3QgMjU8L2RhdGU+PC9wdWItZGF0ZXM+PC9kYXRlcz48aXNi
bj4xNDcxLTIzOTMgKEVsZWN0cm9uaWMpJiN4RDsxNDcxLTIzOTMgKExpbmtpbmcpPC9pc2JuPjxh
Y2Nlc3Npb24tbnVtPjMwMzU5MjI4PC9hY2Nlc3Npb24tbnVtPjx1cmxzPjxyZWxhdGVkLXVybHM+
PHVybD5odHRwczovL3d3dy5uY2JpLm5sbS5uaWguZ292L3B1Ym1lZC8zMDM1OTIyODwvdXJsPjwv
cmVsYXRlZC11cmxzPjwvdXJscz48Y3VzdG9tMj5QTUM2MjAyODA4PC9jdXN0b20yPjxlbGVjdHJv
bmljLXJlc291cmNlLW51bT4xMC4xMTg2L3MxMjg4NC0wMTgtMjA0OC15PC9lbGVjdHJvbmljLXJl
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58</w:t>
      </w:r>
      <w:r>
        <w:fldChar w:fldCharType="end"/>
      </w:r>
      <w:r>
        <w:t xml:space="preserve"> found that fasting during Ramadan did not increase the risk of preterm birth (</w:t>
      </w:r>
      <w:r w:rsidRPr="00CD0392">
        <w:rPr>
          <w:sz w:val="16"/>
          <w:szCs w:val="16"/>
        </w:rPr>
        <w:t>OR 0.99, 95% CI 0.72 to 1.37; 5 studies</w:t>
      </w:r>
      <w:r>
        <w:t>) or low birth weight (</w:t>
      </w:r>
      <w:r w:rsidRPr="00CD0392">
        <w:rPr>
          <w:sz w:val="16"/>
          <w:szCs w:val="16"/>
        </w:rPr>
        <w:t>OR 1.05; 95%CI 0.87 to 1.28; 8 studies</w:t>
      </w:r>
      <w:r>
        <w:t>).</w:t>
      </w:r>
      <w:r w:rsidR="003077B9">
        <w:t xml:space="preserve"> </w:t>
      </w:r>
    </w:p>
    <w:p w14:paraId="584512DF" w14:textId="2799A363" w:rsidR="00142208" w:rsidRDefault="003218E3" w:rsidP="00142208">
      <w:pPr>
        <w:pStyle w:val="Heading3"/>
      </w:pPr>
      <w:bookmarkStart w:id="27" w:name="_Toc40956477"/>
      <w:r>
        <w:t>Evidence s</w:t>
      </w:r>
      <w:r w:rsidR="00142208">
        <w:t>ummary</w:t>
      </w:r>
      <w:bookmarkEnd w:id="27"/>
    </w:p>
    <w:p w14:paraId="5FFA866D" w14:textId="77777777" w:rsidR="00DB7B36" w:rsidRDefault="00DB7B36" w:rsidP="00AB21F5">
      <w:pPr>
        <w:keepNext/>
      </w:pPr>
      <w:r>
        <w:t>Australian cross-sectional studies have identified low levels of awareness of dietary guidelines during pregnancy among women and limited dietary counselling by health professionals.</w:t>
      </w:r>
    </w:p>
    <w:p w14:paraId="4678A968" w14:textId="77777777" w:rsidR="009A4320" w:rsidRDefault="009F06FD" w:rsidP="00F356B4">
      <w:r>
        <w:t>Studies investigating outcomes associated with dietary patterns were heterogeneous in the patterns that they identified</w:t>
      </w:r>
      <w:r w:rsidR="00DB7B36">
        <w:t>. However,</w:t>
      </w:r>
      <w:r>
        <w:t xml:space="preserve"> </w:t>
      </w:r>
      <w:r w:rsidR="00F356B4">
        <w:t xml:space="preserve">dietary </w:t>
      </w:r>
      <w:r w:rsidR="00750DA3">
        <w:t xml:space="preserve">patterns associated with </w:t>
      </w:r>
      <w:r w:rsidR="00F356B4">
        <w:t>positive</w:t>
      </w:r>
      <w:r w:rsidR="00750DA3">
        <w:t xml:space="preserve"> outcomes </w:t>
      </w:r>
      <w:r>
        <w:t xml:space="preserve">were </w:t>
      </w:r>
      <w:r w:rsidR="009A4320">
        <w:t xml:space="preserve">generally </w:t>
      </w:r>
      <w:r>
        <w:t>characterised by</w:t>
      </w:r>
      <w:r w:rsidR="00F356B4">
        <w:t xml:space="preserve"> high intake of fruits, vegetables, legumes, wholegrains, fish, seafood, lean meats</w:t>
      </w:r>
      <w:r w:rsidR="00232A9D">
        <w:t>, low-fat dairy</w:t>
      </w:r>
      <w:r w:rsidR="00F356B4">
        <w:t xml:space="preserve"> and water. Dietary patterns associated with poorer outcomes included those high in sweetened foods and beverages, foods high in saturated fats (eg fried foods), red and processed</w:t>
      </w:r>
      <w:r w:rsidR="009A4320">
        <w:t xml:space="preserve"> meats and</w:t>
      </w:r>
      <w:r w:rsidR="00F356B4">
        <w:t xml:space="preserve"> refined grains. </w:t>
      </w:r>
    </w:p>
    <w:p w14:paraId="151BFC24" w14:textId="6C75A90A" w:rsidR="00F356B4" w:rsidRDefault="00F356B4" w:rsidP="00F356B4">
      <w:r>
        <w:t xml:space="preserve">Outcomes </w:t>
      </w:r>
      <w:r w:rsidR="00457E0B">
        <w:t xml:space="preserve">positively </w:t>
      </w:r>
      <w:r>
        <w:t xml:space="preserve">affected by </w:t>
      </w:r>
      <w:r w:rsidR="00265722">
        <w:t xml:space="preserve">a healthy </w:t>
      </w:r>
      <w:r>
        <w:t>diet</w:t>
      </w:r>
      <w:r w:rsidR="00457E0B">
        <w:t>ary pattern</w:t>
      </w:r>
      <w:r w:rsidR="00265722">
        <w:t xml:space="preserve"> and negatively affected by an unhealthy dietary pattern</w:t>
      </w:r>
      <w:r>
        <w:t xml:space="preserve"> included gestational dia</w:t>
      </w:r>
      <w:r w:rsidR="00A912D4">
        <w:t>betes, gestational hypertension and</w:t>
      </w:r>
      <w:r>
        <w:t xml:space="preserve"> </w:t>
      </w:r>
      <w:r w:rsidR="00265722">
        <w:t xml:space="preserve">antenatal </w:t>
      </w:r>
      <w:r>
        <w:t>depression</w:t>
      </w:r>
      <w:r w:rsidR="00232A9D">
        <w:t xml:space="preserve">. The </w:t>
      </w:r>
      <w:r w:rsidR="00265722">
        <w:t xml:space="preserve">evidence was inconsistent on the </w:t>
      </w:r>
      <w:r w:rsidR="00232A9D">
        <w:t>association between dietary pattern in pregnancy and</w:t>
      </w:r>
      <w:r w:rsidR="00A912D4">
        <w:t xml:space="preserve"> preterm birth,</w:t>
      </w:r>
      <w:r w:rsidR="00232A9D">
        <w:t xml:space="preserve"> </w:t>
      </w:r>
      <w:r w:rsidR="00265722">
        <w:t>fetal and childhood growth,</w:t>
      </w:r>
      <w:r w:rsidR="009A4320">
        <w:t xml:space="preserve"> cardiometabolic health </w:t>
      </w:r>
      <w:r w:rsidR="00265722">
        <w:t>and childhood wheeze</w:t>
      </w:r>
      <w:r w:rsidR="009A4320">
        <w:t>.</w:t>
      </w:r>
    </w:p>
    <w:p w14:paraId="247ACD91" w14:textId="39E36F79" w:rsidR="00142208" w:rsidRDefault="00457E0B" w:rsidP="00EA47E6">
      <w:r>
        <w:t>Systematic reviews into vegan-vegetarian diets found inconsistency in results on birthweight, similar duration of pregnancy between vegan-vegetarian and omnivorous diets and a suggestion of risk of iron, zinc and vitamin</w:t>
      </w:r>
      <w:r w:rsidR="00AD6771">
        <w:t> </w:t>
      </w:r>
      <w:r>
        <w:t>B</w:t>
      </w:r>
      <w:r w:rsidRPr="00F7746D">
        <w:rPr>
          <w:vertAlign w:val="superscript"/>
        </w:rPr>
        <w:t>12</w:t>
      </w:r>
      <w:r>
        <w:t xml:space="preserve"> deficiency with vegan-vegetarian diets.</w:t>
      </w:r>
    </w:p>
    <w:p w14:paraId="3176D48A" w14:textId="3B975B06" w:rsidR="00457E0B" w:rsidRDefault="00457E0B" w:rsidP="00EA47E6">
      <w:r>
        <w:t>A systematic review found that fasting during Ramadan did not increase the risk of preterm birth or low birth weight.</w:t>
      </w:r>
    </w:p>
    <w:p w14:paraId="3C700149" w14:textId="596F9944" w:rsidR="00C97E3A" w:rsidRDefault="00F5087C" w:rsidP="00F5087C">
      <w:pPr>
        <w:pStyle w:val="Heading3"/>
      </w:pPr>
      <w:bookmarkStart w:id="28" w:name="_Ref31282672"/>
      <w:bookmarkStart w:id="29" w:name="_Toc40956478"/>
      <w:r>
        <w:t>Consumer summary</w:t>
      </w:r>
      <w:bookmarkEnd w:id="28"/>
      <w:bookmarkEnd w:id="29"/>
    </w:p>
    <w:p w14:paraId="385FD2F5" w14:textId="2150C5DF" w:rsidR="00F5087C" w:rsidRDefault="00F5087C" w:rsidP="00EA47E6">
      <w:r>
        <w:t>Dietary patterns characterised by high intake of fruits, vegetables, legumes, wholegrains, fish, seafood, lean meats, low-fat dairy and water are associated with positive pregnancy outcomes (including lower risk of gestational diabetes, gestational hypertension, depression, preterm birth and low birth weight). Dietary patterns high in sweetened foods and beverages, foods high in saturated fats (eg fried foods), red and processed meats and refined grains are associated with poorer outcomes</w:t>
      </w:r>
      <w:r w:rsidR="00DA7BC4">
        <w:t xml:space="preserve"> (eg gestational diabetes, depression</w:t>
      </w:r>
      <w:r w:rsidR="000B5604">
        <w:t>)</w:t>
      </w:r>
      <w:r>
        <w:t>.</w:t>
      </w:r>
    </w:p>
    <w:p w14:paraId="155744EE" w14:textId="1673B275" w:rsidR="00AD6771" w:rsidRDefault="00AD6771" w:rsidP="00EA47E6">
      <w:r>
        <w:t>Women with</w:t>
      </w:r>
      <w:r w:rsidRPr="00AD6771">
        <w:t xml:space="preserve"> </w:t>
      </w:r>
      <w:r>
        <w:t>vegan-vegetarian diets may be at risk of iron, zinc and vitamin B</w:t>
      </w:r>
      <w:r w:rsidRPr="007110D4">
        <w:rPr>
          <w:vertAlign w:val="subscript"/>
        </w:rPr>
        <w:t>12</w:t>
      </w:r>
      <w:r>
        <w:t xml:space="preserve"> deficiency.</w:t>
      </w:r>
    </w:p>
    <w:p w14:paraId="6FEDF242" w14:textId="480CF33C" w:rsidR="00AD6771" w:rsidRDefault="00AD6771" w:rsidP="00EA47E6">
      <w:r>
        <w:t>Fasting during Ramadan does not appear to increase the risk of preterm birth or low birth w</w:t>
      </w:r>
      <w:r w:rsidR="00DB4002">
        <w:t>e</w:t>
      </w:r>
      <w:r>
        <w:t>ight.</w:t>
      </w:r>
    </w:p>
    <w:p w14:paraId="54A0C9F1" w14:textId="77777777" w:rsidR="00EA47E6" w:rsidRDefault="00EA47E6" w:rsidP="00EA47E6">
      <w:pPr>
        <w:pStyle w:val="Heading2"/>
        <w:rPr>
          <w:b/>
        </w:rPr>
        <w:sectPr w:rsidR="00EA47E6" w:rsidSect="008A6B17">
          <w:pgSz w:w="11901" w:h="16817"/>
          <w:pgMar w:top="1134" w:right="1418" w:bottom="1134" w:left="1418" w:header="709" w:footer="709" w:gutter="0"/>
          <w:cols w:space="708"/>
          <w:docGrid w:linePitch="360"/>
        </w:sectPr>
      </w:pPr>
    </w:p>
    <w:p w14:paraId="277E8C69" w14:textId="77777777" w:rsidR="00C8357D" w:rsidRPr="00C8357D" w:rsidRDefault="00C8357D" w:rsidP="00C8357D">
      <w:pPr>
        <w:pStyle w:val="Heading3"/>
      </w:pPr>
      <w:bookmarkStart w:id="30" w:name="_Toc40956479"/>
      <w:r>
        <w:t>Evidence tables</w:t>
      </w:r>
      <w:bookmarkEnd w:id="30"/>
    </w:p>
    <w:p w14:paraId="54EF2974" w14:textId="4EEA87C4" w:rsidR="00343DBA" w:rsidRDefault="009C163D" w:rsidP="005719CE">
      <w:pPr>
        <w:pStyle w:val="TableName"/>
        <w:ind w:left="1134" w:hanging="1134"/>
      </w:pPr>
      <w:bookmarkStart w:id="31" w:name="_Toc40956588"/>
      <w:r>
        <w:t xml:space="preserve">Q1 </w:t>
      </w:r>
      <w:r w:rsidR="00142208">
        <w:t>D</w:t>
      </w:r>
      <w:r w:rsidR="004754C4">
        <w:t>ietary patterns in pregnancy</w:t>
      </w:r>
      <w:r w:rsidR="00343DBA">
        <w:t xml:space="preserve"> — </w:t>
      </w:r>
      <w:r w:rsidR="00205C8B">
        <w:t>systematic reviews</w:t>
      </w:r>
      <w:bookmarkEnd w:id="31"/>
      <w:r w:rsidR="00205C8B">
        <w:t xml:space="preserve"> </w:t>
      </w:r>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0: Q1 Dietary patterns in pregnancy — systematic reviews "/>
      </w:tblPr>
      <w:tblGrid>
        <w:gridCol w:w="1422"/>
        <w:gridCol w:w="1412"/>
        <w:gridCol w:w="4678"/>
        <w:gridCol w:w="4537"/>
        <w:gridCol w:w="1843"/>
      </w:tblGrid>
      <w:tr w:rsidR="00343DBA" w:rsidRPr="00F350A6" w14:paraId="2C34919C" w14:textId="77777777" w:rsidTr="00142208">
        <w:trPr>
          <w:cantSplit/>
          <w:trHeight w:val="390"/>
          <w:tblHeader/>
        </w:trPr>
        <w:tc>
          <w:tcPr>
            <w:tcW w:w="1422" w:type="dxa"/>
          </w:tcPr>
          <w:p w14:paraId="76161F8E" w14:textId="77777777" w:rsidR="00343DBA" w:rsidRPr="00F350A6" w:rsidRDefault="00343DBA" w:rsidP="00F20A8C">
            <w:pPr>
              <w:keepNext/>
              <w:rPr>
                <w:b/>
              </w:rPr>
            </w:pPr>
            <w:r>
              <w:rPr>
                <w:b/>
              </w:rPr>
              <w:t>Study ref</w:t>
            </w:r>
          </w:p>
        </w:tc>
        <w:tc>
          <w:tcPr>
            <w:tcW w:w="1412" w:type="dxa"/>
          </w:tcPr>
          <w:p w14:paraId="49C57CC7" w14:textId="77777777" w:rsidR="00343DBA" w:rsidRPr="00F350A6" w:rsidRDefault="00343DBA" w:rsidP="00F20A8C">
            <w:pPr>
              <w:keepNext/>
              <w:rPr>
                <w:b/>
              </w:rPr>
            </w:pPr>
            <w:r>
              <w:rPr>
                <w:b/>
              </w:rPr>
              <w:t>N</w:t>
            </w:r>
          </w:p>
        </w:tc>
        <w:tc>
          <w:tcPr>
            <w:tcW w:w="4678" w:type="dxa"/>
          </w:tcPr>
          <w:p w14:paraId="3850B13D" w14:textId="77777777" w:rsidR="00343DBA" w:rsidRPr="00F350A6" w:rsidRDefault="00343DBA" w:rsidP="00F20A8C">
            <w:pPr>
              <w:keepNext/>
              <w:rPr>
                <w:b/>
              </w:rPr>
            </w:pPr>
            <w:r>
              <w:rPr>
                <w:b/>
              </w:rPr>
              <w:t>Aim/methods</w:t>
            </w:r>
          </w:p>
        </w:tc>
        <w:tc>
          <w:tcPr>
            <w:tcW w:w="4537" w:type="dxa"/>
          </w:tcPr>
          <w:p w14:paraId="0AAC4DED" w14:textId="77777777" w:rsidR="00343DBA" w:rsidRPr="00F350A6" w:rsidRDefault="00343DBA" w:rsidP="00F20A8C">
            <w:pPr>
              <w:keepNext/>
              <w:rPr>
                <w:b/>
              </w:rPr>
            </w:pPr>
            <w:r>
              <w:rPr>
                <w:b/>
              </w:rPr>
              <w:t>Results</w:t>
            </w:r>
          </w:p>
        </w:tc>
        <w:tc>
          <w:tcPr>
            <w:tcW w:w="1843" w:type="dxa"/>
          </w:tcPr>
          <w:p w14:paraId="0F362BA2" w14:textId="77777777" w:rsidR="00343DBA" w:rsidRPr="00F350A6" w:rsidRDefault="00343DBA" w:rsidP="00F20A8C">
            <w:pPr>
              <w:keepNext/>
              <w:rPr>
                <w:b/>
              </w:rPr>
            </w:pPr>
            <w:r>
              <w:rPr>
                <w:b/>
              </w:rPr>
              <w:t>Comments</w:t>
            </w:r>
          </w:p>
        </w:tc>
      </w:tr>
      <w:tr w:rsidR="00C97E3A" w:rsidRPr="00343DBA" w14:paraId="0308322F" w14:textId="77777777" w:rsidTr="00142208">
        <w:trPr>
          <w:cantSplit/>
          <w:trHeight w:val="390"/>
        </w:trPr>
        <w:tc>
          <w:tcPr>
            <w:tcW w:w="1422" w:type="dxa"/>
          </w:tcPr>
          <w:p w14:paraId="0FE6D6A9" w14:textId="40D5F796" w:rsidR="00C97E3A" w:rsidRDefault="00C97E3A" w:rsidP="002747EA">
            <w:r>
              <w:t>Borge et al 2017</w:t>
            </w:r>
            <w:r>
              <w:fldChar w:fldCharType="begin">
                <w:fldData xml:space="preserve">PEVuZE5vdGU+PENpdGU+PEF1dGhvcj5Cb3JnZTwvQXV0aG9yPjxZZWFyPjIwMTc8L1llYXI+PFJl
Y051bT4xMzQ5PC9SZWNOdW0+PERpc3BsYXlUZXh0PjxzdHlsZSBmYWNlPSJzdXBlcnNjcmlwdCIg
Zm9udD0iVHJlYnVjaGV0IE1TIiBzaXplPSI5Ij4zNjwvc3R5bGU+PC9EaXNwbGF5VGV4dD48cmVj
b3JkPjxyZWMtbnVtYmVyPjEzNDk8L3JlYy1udW1iZXI+PGZvcmVpZ24ta2V5cz48a2V5IGFwcD0i
RU4iIGRiLWlkPSJleHZhc3JmeDJkdHJhb2VzYXN4cDJzenN4YTJkZjUwMjU5MngiIHRpbWVzdGFt
cD0iMTU2NzAzMTAwMSI+MTM0OTwva2V5PjxrZXkgYXBwPSJFTldlYiIgZGItaWQ9IiI+MDwva2V5
PjwvZm9yZWlnbi1rZXlzPjxyZWYtdHlwZSBuYW1lPSJKb3VybmFsIEFydGljbGUiPjE3PC9yZWYt
dHlwZT48Y29udHJpYnV0b3JzPjxhdXRob3JzPjxhdXRob3I+Qm9yZ2UsIFQuIEMuPC9hdXRob3I+
PGF1dGhvcj5BYXNlLCBILjwvYXV0aG9yPjxhdXRob3I+QnJhbnRzYWV0ZXIsIEEuIEwuPC9hdXRo
b3I+PGF1dGhvcj5CaWVsZSwgRy48L2F1dGhvcj48L2F1dGhvcnM+PC9jb250cmlidXRvcnM+PGF1
dGgtYWRkcmVzcz5EZXBhcnRtZW50IG9mIENoaWxkIEhlYWx0aCwgTm9yd2VnaWFuIEluc3RpdHV0
ZSBvZiBQdWJsaWMgSGVhbHRoLCBPc2xvLCBOb3J3YXkuJiN4RDtEZXBhcnRtZW50IG9mIENoaWxk
IERldmVsb3BtZW50LCBOb3J3ZWdpYW4gSW5zdGl0dXRlIG9mIFB1YmxpYyBIZWFsdGgsIE9zbG8s
IE5vcndheS4mI3hEO0RlcGFydG1lbnQgb2YgRW52aXJvbm1lbnRhbCBFeHBvc3VyZSBhbmQgRXBp
ZGVtaW9sb2d5LCBOb3J3ZWdpYW4gSW5zdGl0dXRlIG9mIFB1YmxpYyBIZWFsdGgsIE9zbG8sIE5v
cndheS48L2F1dGgtYWRkcmVzcz48dGl0bGVzPjx0aXRsZT5UaGUgaW1wb3J0YW5jZSBvZiBtYXRl
cm5hbCBkaWV0IHF1YWxpdHkgZHVyaW5nIHByZWduYW5jeSBvbiBjb2duaXRpdmUgYW5kIGJlaGF2
aW91cmFsIG91dGNvbWVzIGluIGNoaWxkcmVuOiBhIHN5c3RlbWF0aWMgcmV2aWV3IGFuZCBtZXRh
LWFuYWx5c2lzPC90aXRsZT48c2Vjb25kYXJ5LXRpdGxlPkJNSiBPcGVuPC9zZWNvbmRhcnktdGl0
bGU+PC90aXRsZXM+PHBlcmlvZGljYWw+PGZ1bGwtdGl0bGU+Qk1KIE9wZW48L2Z1bGwtdGl0bGU+
PC9wZXJpb2RpY2FsPjxwYWdlcz5lMDE2Nzc3PC9wYWdlcz48dm9sdW1lPjc8L3ZvbHVtZT48bnVt
YmVyPjk8L251bWJlcj48ZWRpdGlvbj4yMDE3LzA5LzI4PC9lZGl0aW9uPjxrZXl3b3Jkcz48a2V5
d29yZD5BZmZlY3QvcGh5c2lvbG9neTwva2V5d29yZD48a2V5d29yZD5DaGlsZDwva2V5d29yZD48
a2V5d29yZD5DaGlsZCBEZXZlbG9wbWVudC8qcGh5c2lvbG9neTwva2V5d29yZD48a2V5d29yZD5D
b2duaXRpb24vcGh5c2lvbG9neTwva2V5d29yZD48a2V5d29yZD5EaWV0LypzdGFuZGFyZHM8L2tl
eXdvcmQ+PGtleXdvcmQ+RmVtYWxlPC9rZXl3b3JkPjxrZXl3b3JkPkZvb2QgUXVhbGl0eTwva2V5
d29yZD48a2V5d29yZD5IdW1hbnM8L2tleXdvcmQ+PGtleXdvcmQ+UHJlZ25hbmN5PC9rZXl3b3Jk
PjxrZXl3b3JkPlByZWduYW5jeSBPdXRjb21lPC9rZXl3b3JkPjxrZXl3b3JkPlB1YmxpY2F0aW9u
IEJpYXM8L2tleXdvcmQ+PGtleXdvcmQ+YWZmZWN0aXZlIGZ1bmN0aW9uaW5nPC9rZXl3b3JkPjxr
ZXl3b3JkPmNvZ25pdGl2ZSBkZXZlbG9wbWVudDwva2V5d29yZD48a2V5d29yZD5tYXRlcm5hbCBk
aWV0IHF1YWxpdHk8L2tleXdvcmQ+PGtleXdvcmQ+bWV0YS1hbmFseXNpczwva2V5d29yZD48a2V5
d29yZD5yZXZpZXc8L2tleXdvcmQ+PGtleXdvcmQ+c3lzdGVtYXRpYzwva2V5d29yZD48L2tleXdv
cmRzPjxkYXRlcz48eWVhcj4yMDE3PC95ZWFyPjxwdWItZGF0ZXM+PGRhdGU+U2VwIDI0PC9kYXRl
PjwvcHViLWRhdGVzPjwvZGF0ZXM+PGlzYm4+MjA0NC02MDU1IChFbGVjdHJvbmljKSYjeEQ7MjA0
NC02MDU1IChMaW5raW5nKTwvaXNibj48YWNjZXNzaW9uLW51bT4yODk0NzQ1MDwvYWNjZXNzaW9u
LW51bT48dXJscz48cmVsYXRlZC11cmxzPjx1cmw+aHR0cHM6Ly93d3cubmNiaS5ubG0ubmloLmdv
di9wdWJtZWQvMjg5NDc0NTA8L3VybD48L3JlbGF0ZWQtdXJscz48L3VybHM+PGN1c3RvbTI+UE1D
NTYyMzU3MDwvY3VzdG9tMj48ZWxlY3Ryb25pYy1yZXNvdXJjZS1udW0+MTAuMTEzNi9ibWpvcGVu
LTIwMTctMDE2Nzc3PC9lbGVjdHJvbmljLXJlc291cmNlLW51bT48L3JlY29yZD48L0NpdGU+PC9F
bmROb3RlPn==
</w:fldData>
              </w:fldChar>
            </w:r>
            <w:r w:rsidR="002747EA">
              <w:instrText xml:space="preserve"> ADDIN EN.CITE </w:instrText>
            </w:r>
            <w:r w:rsidR="002747EA">
              <w:fldChar w:fldCharType="begin">
                <w:fldData xml:space="preserve">PEVuZE5vdGU+PENpdGU+PEF1dGhvcj5Cb3JnZTwvQXV0aG9yPjxZZWFyPjIwMTc8L1llYXI+PFJl
Y051bT4xMzQ5PC9SZWNOdW0+PERpc3BsYXlUZXh0PjxzdHlsZSBmYWNlPSJzdXBlcnNjcmlwdCIg
Zm9udD0iVHJlYnVjaGV0IE1TIiBzaXplPSI5Ij4zNjwvc3R5bGU+PC9EaXNwbGF5VGV4dD48cmVj
b3JkPjxyZWMtbnVtYmVyPjEzNDk8L3JlYy1udW1iZXI+PGZvcmVpZ24ta2V5cz48a2V5IGFwcD0i
RU4iIGRiLWlkPSJleHZhc3JmeDJkdHJhb2VzYXN4cDJzenN4YTJkZjUwMjU5MngiIHRpbWVzdGFt
cD0iMTU2NzAzMTAwMSI+MTM0OTwva2V5PjxrZXkgYXBwPSJFTldlYiIgZGItaWQ9IiI+MDwva2V5
PjwvZm9yZWlnbi1rZXlzPjxyZWYtdHlwZSBuYW1lPSJKb3VybmFsIEFydGljbGUiPjE3PC9yZWYt
dHlwZT48Y29udHJpYnV0b3JzPjxhdXRob3JzPjxhdXRob3I+Qm9yZ2UsIFQuIEMuPC9hdXRob3I+
PGF1dGhvcj5BYXNlLCBILjwvYXV0aG9yPjxhdXRob3I+QnJhbnRzYWV0ZXIsIEEuIEwuPC9hdXRo
b3I+PGF1dGhvcj5CaWVsZSwgRy48L2F1dGhvcj48L2F1dGhvcnM+PC9jb250cmlidXRvcnM+PGF1
dGgtYWRkcmVzcz5EZXBhcnRtZW50IG9mIENoaWxkIEhlYWx0aCwgTm9yd2VnaWFuIEluc3RpdHV0
ZSBvZiBQdWJsaWMgSGVhbHRoLCBPc2xvLCBOb3J3YXkuJiN4RDtEZXBhcnRtZW50IG9mIENoaWxk
IERldmVsb3BtZW50LCBOb3J3ZWdpYW4gSW5zdGl0dXRlIG9mIFB1YmxpYyBIZWFsdGgsIE9zbG8s
IE5vcndheS4mI3hEO0RlcGFydG1lbnQgb2YgRW52aXJvbm1lbnRhbCBFeHBvc3VyZSBhbmQgRXBp
ZGVtaW9sb2d5LCBOb3J3ZWdpYW4gSW5zdGl0dXRlIG9mIFB1YmxpYyBIZWFsdGgsIE9zbG8sIE5v
cndheS48L2F1dGgtYWRkcmVzcz48dGl0bGVzPjx0aXRsZT5UaGUgaW1wb3J0YW5jZSBvZiBtYXRl
cm5hbCBkaWV0IHF1YWxpdHkgZHVyaW5nIHByZWduYW5jeSBvbiBjb2duaXRpdmUgYW5kIGJlaGF2
aW91cmFsIG91dGNvbWVzIGluIGNoaWxkcmVuOiBhIHN5c3RlbWF0aWMgcmV2aWV3IGFuZCBtZXRh
LWFuYWx5c2lzPC90aXRsZT48c2Vjb25kYXJ5LXRpdGxlPkJNSiBPcGVuPC9zZWNvbmRhcnktdGl0
bGU+PC90aXRsZXM+PHBlcmlvZGljYWw+PGZ1bGwtdGl0bGU+Qk1KIE9wZW48L2Z1bGwtdGl0bGU+
PC9wZXJpb2RpY2FsPjxwYWdlcz5lMDE2Nzc3PC9wYWdlcz48dm9sdW1lPjc8L3ZvbHVtZT48bnVt
YmVyPjk8L251bWJlcj48ZWRpdGlvbj4yMDE3LzA5LzI4PC9lZGl0aW9uPjxrZXl3b3Jkcz48a2V5
d29yZD5BZmZlY3QvcGh5c2lvbG9neTwva2V5d29yZD48a2V5d29yZD5DaGlsZDwva2V5d29yZD48
a2V5d29yZD5DaGlsZCBEZXZlbG9wbWVudC8qcGh5c2lvbG9neTwva2V5d29yZD48a2V5d29yZD5D
b2duaXRpb24vcGh5c2lvbG9neTwva2V5d29yZD48a2V5d29yZD5EaWV0LypzdGFuZGFyZHM8L2tl
eXdvcmQ+PGtleXdvcmQ+RmVtYWxlPC9rZXl3b3JkPjxrZXl3b3JkPkZvb2QgUXVhbGl0eTwva2V5
d29yZD48a2V5d29yZD5IdW1hbnM8L2tleXdvcmQ+PGtleXdvcmQ+UHJlZ25hbmN5PC9rZXl3b3Jk
PjxrZXl3b3JkPlByZWduYW5jeSBPdXRjb21lPC9rZXl3b3JkPjxrZXl3b3JkPlB1YmxpY2F0aW9u
IEJpYXM8L2tleXdvcmQ+PGtleXdvcmQ+YWZmZWN0aXZlIGZ1bmN0aW9uaW5nPC9rZXl3b3JkPjxr
ZXl3b3JkPmNvZ25pdGl2ZSBkZXZlbG9wbWVudDwva2V5d29yZD48a2V5d29yZD5tYXRlcm5hbCBk
aWV0IHF1YWxpdHk8L2tleXdvcmQ+PGtleXdvcmQ+bWV0YS1hbmFseXNpczwva2V5d29yZD48a2V5
d29yZD5yZXZpZXc8L2tleXdvcmQ+PGtleXdvcmQ+c3lzdGVtYXRpYzwva2V5d29yZD48L2tleXdv
cmRzPjxkYXRlcz48eWVhcj4yMDE3PC95ZWFyPjxwdWItZGF0ZXM+PGRhdGU+U2VwIDI0PC9kYXRl
PjwvcHViLWRhdGVzPjwvZGF0ZXM+PGlzYm4+MjA0NC02MDU1IChFbGVjdHJvbmljKSYjeEQ7MjA0
NC02MDU1IChMaW5raW5nKTwvaXNibj48YWNjZXNzaW9uLW51bT4yODk0NzQ1MDwvYWNjZXNzaW9u
LW51bT48dXJscz48cmVsYXRlZC11cmxzPjx1cmw+aHR0cHM6Ly93d3cubmNiaS5ubG0ubmloLmdv
di9wdWJtZWQvMjg5NDc0NTA8L3VybD48L3JlbGF0ZWQtdXJscz48L3VybHM+PGN1c3RvbTI+UE1D
NTYyMzU3MDwvY3VzdG9tMj48ZWxlY3Ryb25pYy1yZXNvdXJjZS1udW0+MTAuMTEzNi9ibWpvcGVu
LTIwMTctMDE2Nzc3PC9lbGVjdHJvbmljLXJlc291cmNlLW51bT48L3JlY29yZD48L0NpdGU+PC9F
bmROb3RlPn==
</w:fldData>
              </w:fldChar>
            </w:r>
            <w:r w:rsidR="002747EA">
              <w:instrText xml:space="preserve"> ADDIN EN.CITE.DATA </w:instrText>
            </w:r>
            <w:r w:rsidR="002747EA">
              <w:fldChar w:fldCharType="end"/>
            </w:r>
            <w:r>
              <w:fldChar w:fldCharType="separate"/>
            </w:r>
            <w:r w:rsidR="002747EA" w:rsidRPr="002747EA">
              <w:rPr>
                <w:noProof/>
                <w:vertAlign w:val="superscript"/>
              </w:rPr>
              <w:t>36</w:t>
            </w:r>
            <w:r>
              <w:fldChar w:fldCharType="end"/>
            </w:r>
          </w:p>
        </w:tc>
        <w:tc>
          <w:tcPr>
            <w:tcW w:w="1412" w:type="dxa"/>
          </w:tcPr>
          <w:p w14:paraId="25C5C4F2" w14:textId="77777777" w:rsidR="00C97E3A" w:rsidRDefault="00C97E3A" w:rsidP="00343DBA">
            <w:r>
              <w:t>18 studies</w:t>
            </w:r>
          </w:p>
          <w:p w14:paraId="2F21508E" w14:textId="77777777" w:rsidR="00C97E3A" w:rsidRDefault="00C97E3A" w:rsidP="00343DBA">
            <w:r>
              <w:t>63,861 women</w:t>
            </w:r>
          </w:p>
        </w:tc>
        <w:tc>
          <w:tcPr>
            <w:tcW w:w="4678" w:type="dxa"/>
          </w:tcPr>
          <w:p w14:paraId="2C1C2CDB" w14:textId="77777777" w:rsidR="00C97E3A" w:rsidRDefault="00C97E3A" w:rsidP="00E34221">
            <w:r w:rsidRPr="00E34221">
              <w:rPr>
                <w:b/>
              </w:rPr>
              <w:t>Aim</w:t>
            </w:r>
            <w:r>
              <w:t>: To provide</w:t>
            </w:r>
            <w:r w:rsidRPr="00E34221">
              <w:t xml:space="preserve"> a quantitative summary of the literature exploring the relationship between maternal diet quality during pregnancy and child cognitive and affective outcomes. </w:t>
            </w:r>
          </w:p>
          <w:p w14:paraId="4FF19C28" w14:textId="77777777" w:rsidR="00C97E3A" w:rsidRDefault="00C97E3A" w:rsidP="00E34221">
            <w:pPr>
              <w:rPr>
                <w:b/>
              </w:rPr>
            </w:pPr>
            <w:r w:rsidRPr="00E34221">
              <w:rPr>
                <w:b/>
              </w:rPr>
              <w:t>Methods</w:t>
            </w:r>
            <w:r w:rsidRPr="00E34221">
              <w:t xml:space="preserve">: Relevant studies were identified through a systematic literature search in relevant databases. All studies investigating maternal diet quality during pregnancy in relation to child cognitive or affective functioning in children of elementary school age or younger were assessed for inclusion. </w:t>
            </w:r>
          </w:p>
        </w:tc>
        <w:tc>
          <w:tcPr>
            <w:tcW w:w="4537" w:type="dxa"/>
          </w:tcPr>
          <w:p w14:paraId="03009921" w14:textId="77777777" w:rsidR="00C97E3A" w:rsidRPr="00976B14" w:rsidRDefault="00C97E3A" w:rsidP="00976B14">
            <w:r w:rsidRPr="00E34221">
              <w:t xml:space="preserve">The results indicated a small positive association between better maternal diet quality during pregnancy and child functioning. The overall summary effect size was </w:t>
            </w:r>
            <w:r>
              <w:t xml:space="preserve">Hedges’ </w:t>
            </w:r>
            <w:r w:rsidRPr="00E34221">
              <w:t xml:space="preserve">g=0.075 (p&lt;0.0001) adjusted for publication bias (unadjusted g=0.112 (p=0.0001)). </w:t>
            </w:r>
          </w:p>
        </w:tc>
        <w:tc>
          <w:tcPr>
            <w:tcW w:w="1843" w:type="dxa"/>
          </w:tcPr>
          <w:p w14:paraId="48FF3E5C" w14:textId="77777777" w:rsidR="00C97E3A" w:rsidRDefault="00C97E3A" w:rsidP="00343DBA">
            <w:r w:rsidRPr="00E34221">
              <w:t>Child diet was not systematically controlled for in the majority of the studies.</w:t>
            </w:r>
          </w:p>
        </w:tc>
      </w:tr>
      <w:tr w:rsidR="00C97E3A" w:rsidRPr="00343DBA" w14:paraId="0ACBBBDB" w14:textId="77777777" w:rsidTr="00142208">
        <w:trPr>
          <w:cantSplit/>
          <w:trHeight w:val="390"/>
        </w:trPr>
        <w:tc>
          <w:tcPr>
            <w:tcW w:w="1422" w:type="dxa"/>
          </w:tcPr>
          <w:p w14:paraId="6C79E89F" w14:textId="3CEECFB2" w:rsidR="00C97E3A" w:rsidRDefault="00C97E3A" w:rsidP="00343DBA">
            <w:r>
              <w:t>Chia et al 2019</w:t>
            </w:r>
            <w:r>
              <w:fldChar w:fldCharType="begin">
                <w:fldData xml:space="preserve">PEVuZE5vdGU+PENpdGU+PEF1dGhvcj5DaGlhPC9BdXRob3I+PFllYXI+MjAxOTwvWWVhcj48UmVj
TnVtPjEzNTM8L1JlY051bT48RGlzcGxheVRleHQ+PHN0eWxlIGZhY2U9InN1cGVyc2NyaXB0IiBm
b250PSJUcmVidWNoZXQgTVMiIHNpemU9IjkiPjI5PC9zdHlsZT48L0Rpc3BsYXlUZXh0PjxyZWNv
cmQ+PHJlYy1udW1iZXI+MTM1MzwvcmVjLW51bWJlcj48Zm9yZWlnbi1rZXlzPjxrZXkgYXBwPSJF
TiIgZGItaWQ9ImV4dmFzcmZ4MmR0cmFvZXNhc3hwMnN6c3hhMmRmNTAyNTkyeCIgdGltZXN0YW1w
PSIxNTY3MDMxMDE5Ij4xMzUzPC9rZXk+PGtleSBhcHA9IkVOV2ViIiBkYi1pZD0iIj4wPC9rZXk+
PC9mb3JlaWduLWtleXM+PHJlZi10eXBlIG5hbWU9IkpvdXJuYWwgQXJ0aWNsZSI+MTc8L3JlZi10
eXBlPjxjb250cmlidXRvcnM+PGF1dGhvcnM+PGF1dGhvcj5DaGlhLCBBLiBSLjwvYXV0aG9yPjxh
dXRob3I+Q2hlbiwgTC4gVy48L2F1dGhvcj48YXV0aG9yPkxhaSwgSi4gUy48L2F1dGhvcj48YXV0
aG9yPldvbmcsIEMuIEguPC9hdXRob3I+PGF1dGhvcj5OZWVsYWthbnRhbiwgTi48L2F1dGhvcj48
YXV0aG9yPnZhbiBEYW0sIFIuIE0uPC9hdXRob3I+PGF1dGhvcj5DaG9uZywgTS4gRi48L2F1dGhv
cj48L2F1dGhvcnM+PC9jb250cmlidXRvcnM+PGF1dGgtYWRkcmVzcz5EZXBhcnRtZW50cyBvZiBP
YnN0ZXRyaWNzICZhbXA7IEd5bmVjb2xvZ3kuJiN4RDtEZXBhcnRtZW50cyBvZiBQYWVkaWF0cmlj
cywgWW9uZyBMb28gTGluIFNjaG9vbCBvZiBNZWRpY2luZSwgTmF0aW9uYWwgVW5pdmVyc2l0eSBv
ZiBTaW5nYXBvcmUsIFNpbmdhcG9yZS4mI3hEO1NjaG9vbCBvZiBQdWJsaWMgSGVhbHRoLCBQaHlz
aW90aGVyYXB5IGFuZCBTcG9ydHMgU2NpZW5jZSwgVW5pdmVyc2l0eSBDb2xsZWdlIER1Ymxpbiwg
RHVibGluLCBJcmVsYW5kLiYjeEQ7U2luZ2Fwb3JlIEluc3RpdHV0ZSBmb3IgQ2xpbmljYWwgU2Np
ZW5jZXMsIEFnZW5jeSBmb3IgU2NpZW5jZSwgVGVjaG5vbG9neSwgYW5kIFJlc2VhcmNoLCBTaW5n
YXBvcmUuJiN4RDtGb29kIFNjaWVuY2UgYW5kIFRlY2hub2xvZ3kgUHJvZ3JhbSwgRGVwYXJ0bWVu
dCBvZiBDaGVtaXN0cnkuJiN4RDtTYXcgU3dlZSBIb2NrIFNjaG9vbCBvZiBQdWJsaWMgSGVhbHRo
LCBOYXRpb25hbCBVbml2ZXJzaXR5IG9mIFNpbmdhcG9yZSwgU2luZ2Fwb3JlLiYjeEQ7RGVwYXJ0
bWVudHMgb2YgTWVkaWNpbmUsIFlvbmcgTG9vIExpbiBTY2hvb2wgb2YgTWVkaWNpbmUsIE5hdGlv
bmFsIFVuaXZlcnNpdHkgb2YgU2luZ2Fwb3JlLCBTaW5nYXBvcmUuJiN4RDtEZXBhcnRtZW50IG9m
IE51dHJpdGlvbiwgSGFydmFyZCBULkguIENoYW4gU2Nob29sIG9mIFB1YmxpYyBIZWFsdGgsIEJv
c3RvbiwgTUEuPC9hdXRoLWFkZHJlc3M+PHRpdGxlcz48dGl0bGU+TWF0ZXJuYWwgZGlldGFyeSBw
YXR0ZXJucyBhbmQgYmlydGggb3V0Y29tZXM6IGEgc3lzdGVtYXRpYyByZXZpZXcgYW5kIG1ldGEt
YW5hbHlzaXM8L3RpdGxlPjxzZWNvbmRhcnktdGl0bGU+QWR2IE51dHI8L3NlY29uZGFyeS10aXRs
ZT48L3RpdGxlcz48cGVyaW9kaWNhbD48ZnVsbC10aXRsZT5BZHYgTnV0cjwvZnVsbC10aXRsZT48
L3BlcmlvZGljYWw+PHBhZ2VzPjY4NS02OTU8L3BhZ2VzPjx2b2x1bWU+MTA8L3ZvbHVtZT48bnVt
YmVyPjQ8L251bWJlcj48ZWRpdGlvbj4yMDE5LzA1LzAyPC9lZGl0aW9uPjxrZXl3b3Jkcz48a2V5
d29yZD5iaXJ0aCB3ZWlnaHQ8L2tleXdvcmQ+PGtleXdvcmQ+ZGlldCBxdWFsaXR5PC9rZXl3b3Jk
PjxrZXl3b3JkPmRpZXRhcnkgcGF0dGVybjwva2V5d29yZD48a2V5d29yZD5tYXRlcm5hbCBkaWV0
PC9rZXl3b3JkPjxrZXl3b3JkPnByZXRlcm0gYmlydGg8L2tleXdvcmQ+PC9rZXl3b3Jkcz48ZGF0
ZXM+PHllYXI+MjAxOTwveWVhcj48cHViLWRhdGVzPjxkYXRlPkp1bCAxPC9kYXRlPjwvcHViLWRh
dGVzPjwvZGF0ZXM+PGlzYm4+MjE1Ni01Mzc2IChFbGVjdHJvbmljKSYjeEQ7MjE2MS04MzEzIChM
aW5raW5nKTwvaXNibj48YWNjZXNzaW9uLW51bT4zMTA0MTQ0NjwvYWNjZXNzaW9uLW51bT48dXJs
cz48cmVsYXRlZC11cmxzPjx1cmw+aHR0cHM6Ly93d3cubmNiaS5ubG0ubmloLmdvdi9wdWJtZWQv
MzEwNDE0NDY8L3VybD48L3JlbGF0ZWQtdXJscz48L3VybHM+PGN1c3RvbTI+UE1DNjYyODg0Nzwv
Y3VzdG9tMj48ZWxlY3Ryb25pYy1yZXNvdXJjZS1udW0+MTAuMTA5My9hZHZhbmNlcy9ubXkxMjM8
L2VsZWN0cm9uaWMtcmVzb3VyY2UtbnVtPjwvcmVjb3JkPjwvQ2l0ZT48L0VuZE5vdGU+
</w:fldData>
              </w:fldChar>
            </w:r>
            <w:r w:rsidR="002747EA">
              <w:instrText xml:space="preserve"> ADDIN EN.CITE </w:instrText>
            </w:r>
            <w:r w:rsidR="002747EA">
              <w:fldChar w:fldCharType="begin">
                <w:fldData xml:space="preserve">PEVuZE5vdGU+PENpdGU+PEF1dGhvcj5DaGlhPC9BdXRob3I+PFllYXI+MjAxOTwvWWVhcj48UmVj
TnVtPjEzNTM8L1JlY051bT48RGlzcGxheVRleHQ+PHN0eWxlIGZhY2U9InN1cGVyc2NyaXB0IiBm
b250PSJUcmVidWNoZXQgTVMiIHNpemU9IjkiPjI5PC9zdHlsZT48L0Rpc3BsYXlUZXh0PjxyZWNv
cmQ+PHJlYy1udW1iZXI+MTM1MzwvcmVjLW51bWJlcj48Zm9yZWlnbi1rZXlzPjxrZXkgYXBwPSJF
TiIgZGItaWQ9ImV4dmFzcmZ4MmR0cmFvZXNhc3hwMnN6c3hhMmRmNTAyNTkyeCIgdGltZXN0YW1w
PSIxNTY3MDMxMDE5Ij4xMzUzPC9rZXk+PGtleSBhcHA9IkVOV2ViIiBkYi1pZD0iIj4wPC9rZXk+
PC9mb3JlaWduLWtleXM+PHJlZi10eXBlIG5hbWU9IkpvdXJuYWwgQXJ0aWNsZSI+MTc8L3JlZi10
eXBlPjxjb250cmlidXRvcnM+PGF1dGhvcnM+PGF1dGhvcj5DaGlhLCBBLiBSLjwvYXV0aG9yPjxh
dXRob3I+Q2hlbiwgTC4gVy48L2F1dGhvcj48YXV0aG9yPkxhaSwgSi4gUy48L2F1dGhvcj48YXV0
aG9yPldvbmcsIEMuIEguPC9hdXRob3I+PGF1dGhvcj5OZWVsYWthbnRhbiwgTi48L2F1dGhvcj48
YXV0aG9yPnZhbiBEYW0sIFIuIE0uPC9hdXRob3I+PGF1dGhvcj5DaG9uZywgTS4gRi48L2F1dGhv
cj48L2F1dGhvcnM+PC9jb250cmlidXRvcnM+PGF1dGgtYWRkcmVzcz5EZXBhcnRtZW50cyBvZiBP
YnN0ZXRyaWNzICZhbXA7IEd5bmVjb2xvZ3kuJiN4RDtEZXBhcnRtZW50cyBvZiBQYWVkaWF0cmlj
cywgWW9uZyBMb28gTGluIFNjaG9vbCBvZiBNZWRpY2luZSwgTmF0aW9uYWwgVW5pdmVyc2l0eSBv
ZiBTaW5nYXBvcmUsIFNpbmdhcG9yZS4mI3hEO1NjaG9vbCBvZiBQdWJsaWMgSGVhbHRoLCBQaHlz
aW90aGVyYXB5IGFuZCBTcG9ydHMgU2NpZW5jZSwgVW5pdmVyc2l0eSBDb2xsZWdlIER1Ymxpbiwg
RHVibGluLCBJcmVsYW5kLiYjeEQ7U2luZ2Fwb3JlIEluc3RpdHV0ZSBmb3IgQ2xpbmljYWwgU2Np
ZW5jZXMsIEFnZW5jeSBmb3IgU2NpZW5jZSwgVGVjaG5vbG9neSwgYW5kIFJlc2VhcmNoLCBTaW5n
YXBvcmUuJiN4RDtGb29kIFNjaWVuY2UgYW5kIFRlY2hub2xvZ3kgUHJvZ3JhbSwgRGVwYXJ0bWVu
dCBvZiBDaGVtaXN0cnkuJiN4RDtTYXcgU3dlZSBIb2NrIFNjaG9vbCBvZiBQdWJsaWMgSGVhbHRo
LCBOYXRpb25hbCBVbml2ZXJzaXR5IG9mIFNpbmdhcG9yZSwgU2luZ2Fwb3JlLiYjeEQ7RGVwYXJ0
bWVudHMgb2YgTWVkaWNpbmUsIFlvbmcgTG9vIExpbiBTY2hvb2wgb2YgTWVkaWNpbmUsIE5hdGlv
bmFsIFVuaXZlcnNpdHkgb2YgU2luZ2Fwb3JlLCBTaW5nYXBvcmUuJiN4RDtEZXBhcnRtZW50IG9m
IE51dHJpdGlvbiwgSGFydmFyZCBULkguIENoYW4gU2Nob29sIG9mIFB1YmxpYyBIZWFsdGgsIEJv
c3RvbiwgTUEuPC9hdXRoLWFkZHJlc3M+PHRpdGxlcz48dGl0bGU+TWF0ZXJuYWwgZGlldGFyeSBw
YXR0ZXJucyBhbmQgYmlydGggb3V0Y29tZXM6IGEgc3lzdGVtYXRpYyByZXZpZXcgYW5kIG1ldGEt
YW5hbHlzaXM8L3RpdGxlPjxzZWNvbmRhcnktdGl0bGU+QWR2IE51dHI8L3NlY29uZGFyeS10aXRs
ZT48L3RpdGxlcz48cGVyaW9kaWNhbD48ZnVsbC10aXRsZT5BZHYgTnV0cjwvZnVsbC10aXRsZT48
L3BlcmlvZGljYWw+PHBhZ2VzPjY4NS02OTU8L3BhZ2VzPjx2b2x1bWU+MTA8L3ZvbHVtZT48bnVt
YmVyPjQ8L251bWJlcj48ZWRpdGlvbj4yMDE5LzA1LzAyPC9lZGl0aW9uPjxrZXl3b3Jkcz48a2V5
d29yZD5iaXJ0aCB3ZWlnaHQ8L2tleXdvcmQ+PGtleXdvcmQ+ZGlldCBxdWFsaXR5PC9rZXl3b3Jk
PjxrZXl3b3JkPmRpZXRhcnkgcGF0dGVybjwva2V5d29yZD48a2V5d29yZD5tYXRlcm5hbCBkaWV0
PC9rZXl3b3JkPjxrZXl3b3JkPnByZXRlcm0gYmlydGg8L2tleXdvcmQ+PC9rZXl3b3Jkcz48ZGF0
ZXM+PHllYXI+MjAxOTwveWVhcj48cHViLWRhdGVzPjxkYXRlPkp1bCAxPC9kYXRlPjwvcHViLWRh
dGVzPjwvZGF0ZXM+PGlzYm4+MjE1Ni01Mzc2IChFbGVjdHJvbmljKSYjeEQ7MjE2MS04MzEzIChM
aW5raW5nKTwvaXNibj48YWNjZXNzaW9uLW51bT4zMTA0MTQ0NjwvYWNjZXNzaW9uLW51bT48dXJs
cz48cmVsYXRlZC11cmxzPjx1cmw+aHR0cHM6Ly93d3cubmNiaS5ubG0ubmloLmdvdi9wdWJtZWQv
MzEwNDE0NDY8L3VybD48L3JlbGF0ZWQtdXJscz48L3VybHM+PGN1c3RvbTI+UE1DNjYyODg0Nzwv
Y3VzdG9tMj48ZWxlY3Ryb25pYy1yZXNvdXJjZS1udW0+MTAuMTA5My9hZHZhbmNlcy9ubXkxMjM8
L2VsZWN0cm9uaWMtcmVzb3VyY2UtbnVtPjwvcmVjb3JkPjwvQ2l0ZT48L0VuZE5vdGU+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29</w:t>
            </w:r>
            <w:r>
              <w:fldChar w:fldCharType="end"/>
            </w:r>
          </w:p>
          <w:p w14:paraId="1BDE1AC5" w14:textId="77777777" w:rsidR="00C97E3A" w:rsidRDefault="00C97E3A" w:rsidP="00343DBA">
            <w:r>
              <w:t>SLR of observational studies</w:t>
            </w:r>
          </w:p>
        </w:tc>
        <w:tc>
          <w:tcPr>
            <w:tcW w:w="1412" w:type="dxa"/>
          </w:tcPr>
          <w:p w14:paraId="32B5BD7A" w14:textId="77777777" w:rsidR="00C97E3A" w:rsidRDefault="00C97E3A" w:rsidP="00343DBA">
            <w:r>
              <w:t>25 studies</w:t>
            </w:r>
          </w:p>
          <w:p w14:paraId="0132B6DC" w14:textId="77777777" w:rsidR="00C97E3A" w:rsidRDefault="00C97E3A" w:rsidP="00343DBA">
            <w:r>
              <w:t>167,507 women</w:t>
            </w:r>
          </w:p>
        </w:tc>
        <w:tc>
          <w:tcPr>
            <w:tcW w:w="4678" w:type="dxa"/>
          </w:tcPr>
          <w:p w14:paraId="119DB89E" w14:textId="77777777" w:rsidR="00C97E3A" w:rsidRDefault="00C97E3A" w:rsidP="005C39B9">
            <w:r>
              <w:rPr>
                <w:b/>
              </w:rPr>
              <w:t xml:space="preserve">Aim: </w:t>
            </w:r>
            <w:r w:rsidRPr="00976B14">
              <w:t xml:space="preserve">Findings on the relations of maternal dietary patterns during pregnancy and risk of preterm birth and offspring birth size remain inconclusive. We aimed to systematically review and quantify these associations. </w:t>
            </w:r>
          </w:p>
          <w:p w14:paraId="6AC03CB2" w14:textId="77777777" w:rsidR="00C97E3A" w:rsidRPr="005C39B9" w:rsidRDefault="00C97E3A" w:rsidP="00976B14">
            <w:pPr>
              <w:rPr>
                <w:b/>
              </w:rPr>
            </w:pPr>
            <w:r w:rsidRPr="00976B14">
              <w:rPr>
                <w:b/>
              </w:rPr>
              <w:t>Methods</w:t>
            </w:r>
            <w:r>
              <w:t xml:space="preserve">: </w:t>
            </w:r>
            <w:r w:rsidRPr="00976B14">
              <w:t xml:space="preserve">We searched MEDLINE, Embase, CENTRAL, and CINAHL up to December 2017. Summary effect sizes were calculated with random effects </w:t>
            </w:r>
            <w:r>
              <w:t>models and studies were summaris</w:t>
            </w:r>
            <w:r w:rsidRPr="00976B14">
              <w:t>ed narratively if results could not be pooled.</w:t>
            </w:r>
          </w:p>
        </w:tc>
        <w:tc>
          <w:tcPr>
            <w:tcW w:w="4537" w:type="dxa"/>
          </w:tcPr>
          <w:p w14:paraId="6BE55FF3" w14:textId="5450D8CC" w:rsidR="00C97E3A" w:rsidRDefault="00C97E3A" w:rsidP="00976B14">
            <w:r w:rsidRPr="00976B14">
              <w:t>Heal</w:t>
            </w:r>
            <w:r>
              <w:t>thy dietary patterns-characteris</w:t>
            </w:r>
            <w:r w:rsidRPr="00976B14">
              <w:t>ed by high intakes of vegetables, fruits, wholegrains, low-fat dairy, and lean protein foods-were associated with lower risk of preterm birth (OR for top compared with bot</w:t>
            </w:r>
            <w:r>
              <w:t>tom tertile: 0.79; 95% CI: 0.68 to 0.91; I</w:t>
            </w:r>
            <w:r w:rsidRPr="00976B14">
              <w:rPr>
                <w:vertAlign w:val="superscript"/>
              </w:rPr>
              <w:t>2</w:t>
            </w:r>
            <w:r>
              <w:t>=</w:t>
            </w:r>
            <w:r w:rsidRPr="00976B14">
              <w:t xml:space="preserve">32%) and a weak trend towards a lower risk of small-for-gestational-age (OR: </w:t>
            </w:r>
            <w:r>
              <w:t>0.86; 95%CI: 0.73 to</w:t>
            </w:r>
            <w:r w:rsidRPr="00976B14">
              <w:t xml:space="preserve"> 1.01; I</w:t>
            </w:r>
            <w:r w:rsidRPr="00976B14">
              <w:rPr>
                <w:vertAlign w:val="superscript"/>
              </w:rPr>
              <w:t>2</w:t>
            </w:r>
            <w:r w:rsidR="00162E95">
              <w:t>=</w:t>
            </w:r>
            <w:r w:rsidRPr="00976B14">
              <w:t xml:space="preserve">34%). </w:t>
            </w:r>
          </w:p>
          <w:p w14:paraId="599EE95B" w14:textId="77777777" w:rsidR="00C97E3A" w:rsidRDefault="00C97E3A" w:rsidP="00976B14">
            <w:r w:rsidRPr="00976B14">
              <w:t>Unhealthy dietary patterns-cha</w:t>
            </w:r>
            <w:r>
              <w:t>racteris</w:t>
            </w:r>
            <w:r w:rsidRPr="00976B14">
              <w:t>ed by high intakes of refined grains, processed meat, and foods high in saturated fat or sugar-were associated with lower birth weight (</w:t>
            </w:r>
            <w:r>
              <w:t>MD</w:t>
            </w:r>
            <w:r w:rsidRPr="00976B14">
              <w:t xml:space="preserve"> -40 g; 95% CI: -61, -20 g; I</w:t>
            </w:r>
            <w:r w:rsidRPr="00635890">
              <w:rPr>
                <w:vertAlign w:val="superscript"/>
              </w:rPr>
              <w:t>2</w:t>
            </w:r>
            <w:r>
              <w:t>=</w:t>
            </w:r>
            <w:r w:rsidRPr="00976B14">
              <w:t>0%) and a trend towards a higher risk of preterm birth (OR: 1.1</w:t>
            </w:r>
            <w:r>
              <w:t>7; 95%CI: 0.99 to</w:t>
            </w:r>
            <w:r w:rsidRPr="00976B14">
              <w:t xml:space="preserve"> 1.39; I</w:t>
            </w:r>
            <w:r w:rsidRPr="00635890">
              <w:rPr>
                <w:vertAlign w:val="superscript"/>
              </w:rPr>
              <w:t>2</w:t>
            </w:r>
            <w:r>
              <w:t>=</w:t>
            </w:r>
            <w:r w:rsidRPr="00976B14">
              <w:t xml:space="preserve">76%). </w:t>
            </w:r>
          </w:p>
          <w:p w14:paraId="406B4078" w14:textId="77777777" w:rsidR="00C97E3A" w:rsidRPr="00976B14" w:rsidRDefault="00C97E3A" w:rsidP="00976B14">
            <w:r w:rsidRPr="00976B14">
              <w:t xml:space="preserve">No consistent associations with birth weight </w:t>
            </w:r>
            <w:r>
              <w:t>or</w:t>
            </w:r>
            <w:r w:rsidRPr="00976B14">
              <w:t xml:space="preserve"> small- or large-for-gestational-age were observed.</w:t>
            </w:r>
          </w:p>
        </w:tc>
        <w:tc>
          <w:tcPr>
            <w:tcW w:w="1843" w:type="dxa"/>
          </w:tcPr>
          <w:p w14:paraId="6D951176" w14:textId="77777777" w:rsidR="00C97E3A" w:rsidRDefault="00C97E3A" w:rsidP="00343DBA"/>
        </w:tc>
      </w:tr>
      <w:tr w:rsidR="00C97E3A" w:rsidRPr="00343DBA" w14:paraId="41EF3D94" w14:textId="77777777" w:rsidTr="00142208">
        <w:trPr>
          <w:cantSplit/>
          <w:trHeight w:val="390"/>
        </w:trPr>
        <w:tc>
          <w:tcPr>
            <w:tcW w:w="1422" w:type="dxa"/>
          </w:tcPr>
          <w:p w14:paraId="44F267E5" w14:textId="0EE40D61" w:rsidR="00C97E3A" w:rsidRDefault="00C97E3A" w:rsidP="002747EA">
            <w:r>
              <w:t>Raghavan et al 2019</w:t>
            </w:r>
            <w:r>
              <w:fldChar w:fldCharType="begin">
                <w:fldData xml:space="preserve">PEVuZE5vdGU+PENpdGU+PEF1dGhvcj5SYWdoYXZhbjwvQXV0aG9yPjxZZWFyPjIwMTk8L1llYXI+
PFJlY051bT4xNDkxPC9SZWNOdW0+PERpc3BsYXlUZXh0PjxzdHlsZSBmYWNlPSJzdXBlcnNjcmlw
dCIgZm9udD0iVHJlYnVjaGV0IE1TIiBzaXplPSI5Ij4yODwvc3R5bGU+PC9EaXNwbGF5VGV4dD48
cmVjb3JkPjxyZWMtbnVtYmVyPjE0OTE8L3JlYy1udW1iZXI+PGZvcmVpZ24ta2V5cz48a2V5IGFw
cD0iRU4iIGRiLWlkPSJleHZhc3JmeDJkdHJhb2VzYXN4cDJzenN4YTJkZjUwMjU5MngiIHRpbWVz
dGFtcD0iMTU3NDIwNTk0NyI+MTQ5MTwva2V5PjwvZm9yZWlnbi1rZXlzPjxyZWYtdHlwZSBuYW1l
PSJKb3VybmFsIEFydGljbGUiPjE3PC9yZWYtdHlwZT48Y29udHJpYnV0b3JzPjxhdXRob3JzPjxh
dXRob3I+UmFnaGF2YW4sIFIuPC9hdXRob3I+PGF1dGhvcj5EcmVpYmVsYmlzLCBDLjwvYXV0aG9y
PjxhdXRob3I+S2luZ3NoaXBwLCBCLiBMLjwvYXV0aG9yPjxhdXRob3I+V29uZywgWS4gUC48L2F1
dGhvcj48YXV0aG9yPkFicmFtcywgQi48L2F1dGhvcj48YXV0aG9yPkdlcm5hbmQsIEEuIEQuPC9h
dXRob3I+PGF1dGhvcj5SYXNtdXNzZW4sIEsuIE0uPC9hdXRob3I+PGF1dGhvcj5TaWVnYS1SaXos
IEEuIE0uPC9hdXRob3I+PGF1dGhvcj5TdGFuZywgSi48L2F1dGhvcj48YXV0aG9yPkNhc2F2YWxl
LCBLLiBPLjwvYXV0aG9yPjxhdXRob3I+U3BhaG4sIEouIE0uPC9hdXRob3I+PGF1dGhvcj5TdG9v
ZHksIEUuIEUuPC9hdXRob3I+PC9hdXRob3JzPjwvY29udHJpYnV0b3JzPjxhdXRoLWFkZHJlc3M+
UGFudW0gR3JvdXAsIEJldGhlc2RhLCBNRC4mI3hEO0Zvb2QgYW5kIE51dHJpdGlvbiBTZXJ2aWNl
LCBVU0RBLCBBbGV4YW5kcmlhLCBWQS4mI3hEO0RpdmlzaW9uIG9mIEVwaWRlbWlvbG9neSwgVW5p
dmVyc2l0eSBvZiBDYWxpZm9ybmlhIEJlcmtlbGV5IFNjaG9vbCBvZiBQdWJsaWMgSGVhbHRoLCBC
ZXJrZWxleSwgQ0EuJiN4RDtEZXBhcnRtZW50IG9mIE51dHJpdGlvbmFsIFNjaWVuY2VzLCBUaGUg
UGVubnN5bHZhbmlhIFN0YXRlIFVuaXZlcnNpdHksIFVuaXZlcnNpdHkgUGFyaywgUEEuJiN4RDtE
aXZpc2lvbiBvZiBOdXRyaXRpb25hbCBTY2llbmNlcywgQ29ybmVsbCBVbml2ZXJzaXR5LCBJdGhh
Y2EsIE5ZLiYjeEQ7RGVwYXJ0bWVudCBvZiBGYW1pbHksIENvbW11bml0eSBhbmQgTWVudGFsIEhl
YWx0aCBTeXN0ZW1zLCBVbml2ZXJzaXR5IG9mIFZpcmdpbmlhIFNjaG9vbCBvZiBOdXJzaW5nLCBD
aGFybG90dGVzdmlsbGUsIFZBLiYjeEQ7RGl2aXNpb24gb2YgRXBpZGVtaW9sb2d5IGFuZCBDb21t
dW5pdHkgSGVhbHRoLCBVbml2ZXJzaXR5IG9mIE1pbm5lc290YSBTY2hvb2wgb2YgUHVibGljIEhl
YWx0aCwgTWlubmVhcG9saXMsIE1OLiYjeEQ7T2ZmaWNlIG9mIERpc2Vhc2UgUHJldmVudGlvbiBh
bmQgSGVhbHRoIFByb21vdGlvbiwgVVMgRGVwYXJ0bWVudCBvZiBIZWFsdGggYW5kIEh1bWFuIFNl
cnZpY2VzLCBSb2NrdmlsbGUsIE1ELjwvYXV0aC1hZGRyZXNzPjx0aXRsZXM+PHRpdGxlPkRpZXRh
cnkgcGF0dGVybnMgYmVmb3JlIGFuZCBkdXJpbmcgcHJlZ25hbmN5IGFuZCBiaXJ0aCBvdXRjb21l
czogYSBzeXN0ZW1hdGljIHJldmlldzwvdGl0bGU+PHNlY29uZGFyeS10aXRsZT5BbSBKIENsaW4g
TnV0cjwvc2Vjb25kYXJ5LXRpdGxlPjwvdGl0bGVzPjxwZXJpb2RpY2FsPjxmdWxsLXRpdGxlPkFt
IEogQ2xpbiBOdXRyPC9mdWxsLXRpdGxlPjwvcGVyaW9kaWNhbD48cGFnZXM+NzI5Uy03NTZTPC9w
YWdlcz48dm9sdW1lPjEwOTwvdm9sdW1lPjxudW1iZXI+U3VwcGxlbWVudF83PC9udW1iZXI+PGVk
aXRpb24+MjAxOS8wNC8xNjwvZWRpdGlvbj48a2V5d29yZHM+PGtleXdvcmQ+YmlydGggd2VpZ2h0
PC9rZXl3b3JkPjxrZXl3b3JkPmRpZXRhcnkgcGF0dGVybnM8L2tleXdvcmQ+PGtleXdvcmQ+bWF0
ZXJuYWw8L2tleXdvcmQ+PGtleXdvcmQ+cHJlZ25hbmN5PC9rZXl3b3JkPjxrZXl3b3JkPnByZXRl
cm08L2tleXdvcmQ+PGtleXdvcmQ+c3lzdGVtYXRpYyByZXZpZXc8L2tleXdvcmQ+PC9rZXl3b3Jk
cz48ZGF0ZXM+PHllYXI+MjAxOTwveWVhcj48cHViLWRhdGVzPjxkYXRlPk1hciAxPC9kYXRlPjwv
cHViLWRhdGVzPjwvZGF0ZXM+PGlzYm4+MTkzOC0zMjA3IChFbGVjdHJvbmljKSYjeEQ7MDAwMi05
MTY1IChMaW5raW5nKTwvaXNibj48YWNjZXNzaW9uLW51bT4zMDk4Mjg3MzwvYWNjZXNzaW9uLW51
bT48dXJscz48cmVsYXRlZC11cmxzPjx1cmw+aHR0cHM6Ly93d3cubmNiaS5ubG0ubmloLmdvdi9w
dWJtZWQvMzA5ODI4NzM8L3VybD48L3JlbGF0ZWQtdXJscz48L3VybHM+PGVsZWN0cm9uaWMtcmVz
b3VyY2UtbnVtPjEwLjEwOTMvYWpjbi9ucXkzNTM8L2VsZWN0cm9uaWMtcmVzb3VyY2UtbnVtPjwv
cmVjb3JkPjwvQ2l0ZT48L0VuZE5vdGU+
</w:fldData>
              </w:fldChar>
            </w:r>
            <w:r w:rsidR="002747EA">
              <w:instrText xml:space="preserve"> ADDIN EN.CITE </w:instrText>
            </w:r>
            <w:r w:rsidR="002747EA">
              <w:fldChar w:fldCharType="begin">
                <w:fldData xml:space="preserve">PEVuZE5vdGU+PENpdGU+PEF1dGhvcj5SYWdoYXZhbjwvQXV0aG9yPjxZZWFyPjIwMTk8L1llYXI+
PFJlY051bT4xNDkxPC9SZWNOdW0+PERpc3BsYXlUZXh0PjxzdHlsZSBmYWNlPSJzdXBlcnNjcmlw
dCIgZm9udD0iVHJlYnVjaGV0IE1TIiBzaXplPSI5Ij4yODwvc3R5bGU+PC9EaXNwbGF5VGV4dD48
cmVjb3JkPjxyZWMtbnVtYmVyPjE0OTE8L3JlYy1udW1iZXI+PGZvcmVpZ24ta2V5cz48a2V5IGFw
cD0iRU4iIGRiLWlkPSJleHZhc3JmeDJkdHJhb2VzYXN4cDJzenN4YTJkZjUwMjU5MngiIHRpbWVz
dGFtcD0iMTU3NDIwNTk0NyI+MTQ5MTwva2V5PjwvZm9yZWlnbi1rZXlzPjxyZWYtdHlwZSBuYW1l
PSJKb3VybmFsIEFydGljbGUiPjE3PC9yZWYtdHlwZT48Y29udHJpYnV0b3JzPjxhdXRob3JzPjxh
dXRob3I+UmFnaGF2YW4sIFIuPC9hdXRob3I+PGF1dGhvcj5EcmVpYmVsYmlzLCBDLjwvYXV0aG9y
PjxhdXRob3I+S2luZ3NoaXBwLCBCLiBMLjwvYXV0aG9yPjxhdXRob3I+V29uZywgWS4gUC48L2F1
dGhvcj48YXV0aG9yPkFicmFtcywgQi48L2F1dGhvcj48YXV0aG9yPkdlcm5hbmQsIEEuIEQuPC9h
dXRob3I+PGF1dGhvcj5SYXNtdXNzZW4sIEsuIE0uPC9hdXRob3I+PGF1dGhvcj5TaWVnYS1SaXos
IEEuIE0uPC9hdXRob3I+PGF1dGhvcj5TdGFuZywgSi48L2F1dGhvcj48YXV0aG9yPkNhc2F2YWxl
LCBLLiBPLjwvYXV0aG9yPjxhdXRob3I+U3BhaG4sIEouIE0uPC9hdXRob3I+PGF1dGhvcj5TdG9v
ZHksIEUuIEUuPC9hdXRob3I+PC9hdXRob3JzPjwvY29udHJpYnV0b3JzPjxhdXRoLWFkZHJlc3M+
UGFudW0gR3JvdXAsIEJldGhlc2RhLCBNRC4mI3hEO0Zvb2QgYW5kIE51dHJpdGlvbiBTZXJ2aWNl
LCBVU0RBLCBBbGV4YW5kcmlhLCBWQS4mI3hEO0RpdmlzaW9uIG9mIEVwaWRlbWlvbG9neSwgVW5p
dmVyc2l0eSBvZiBDYWxpZm9ybmlhIEJlcmtlbGV5IFNjaG9vbCBvZiBQdWJsaWMgSGVhbHRoLCBC
ZXJrZWxleSwgQ0EuJiN4RDtEZXBhcnRtZW50IG9mIE51dHJpdGlvbmFsIFNjaWVuY2VzLCBUaGUg
UGVubnN5bHZhbmlhIFN0YXRlIFVuaXZlcnNpdHksIFVuaXZlcnNpdHkgUGFyaywgUEEuJiN4RDtE
aXZpc2lvbiBvZiBOdXRyaXRpb25hbCBTY2llbmNlcywgQ29ybmVsbCBVbml2ZXJzaXR5LCBJdGhh
Y2EsIE5ZLiYjeEQ7RGVwYXJ0bWVudCBvZiBGYW1pbHksIENvbW11bml0eSBhbmQgTWVudGFsIEhl
YWx0aCBTeXN0ZW1zLCBVbml2ZXJzaXR5IG9mIFZpcmdpbmlhIFNjaG9vbCBvZiBOdXJzaW5nLCBD
aGFybG90dGVzdmlsbGUsIFZBLiYjeEQ7RGl2aXNpb24gb2YgRXBpZGVtaW9sb2d5IGFuZCBDb21t
dW5pdHkgSGVhbHRoLCBVbml2ZXJzaXR5IG9mIE1pbm5lc290YSBTY2hvb2wgb2YgUHVibGljIEhl
YWx0aCwgTWlubmVhcG9saXMsIE1OLiYjeEQ7T2ZmaWNlIG9mIERpc2Vhc2UgUHJldmVudGlvbiBh
bmQgSGVhbHRoIFByb21vdGlvbiwgVVMgRGVwYXJ0bWVudCBvZiBIZWFsdGggYW5kIEh1bWFuIFNl
cnZpY2VzLCBSb2NrdmlsbGUsIE1ELjwvYXV0aC1hZGRyZXNzPjx0aXRsZXM+PHRpdGxlPkRpZXRh
cnkgcGF0dGVybnMgYmVmb3JlIGFuZCBkdXJpbmcgcHJlZ25hbmN5IGFuZCBiaXJ0aCBvdXRjb21l
czogYSBzeXN0ZW1hdGljIHJldmlldzwvdGl0bGU+PHNlY29uZGFyeS10aXRsZT5BbSBKIENsaW4g
TnV0cjwvc2Vjb25kYXJ5LXRpdGxlPjwvdGl0bGVzPjxwZXJpb2RpY2FsPjxmdWxsLXRpdGxlPkFt
IEogQ2xpbiBOdXRyPC9mdWxsLXRpdGxlPjwvcGVyaW9kaWNhbD48cGFnZXM+NzI5Uy03NTZTPC9w
YWdlcz48dm9sdW1lPjEwOTwvdm9sdW1lPjxudW1iZXI+U3VwcGxlbWVudF83PC9udW1iZXI+PGVk
aXRpb24+MjAxOS8wNC8xNjwvZWRpdGlvbj48a2V5d29yZHM+PGtleXdvcmQ+YmlydGggd2VpZ2h0
PC9rZXl3b3JkPjxrZXl3b3JkPmRpZXRhcnkgcGF0dGVybnM8L2tleXdvcmQ+PGtleXdvcmQ+bWF0
ZXJuYWw8L2tleXdvcmQ+PGtleXdvcmQ+cHJlZ25hbmN5PC9rZXl3b3JkPjxrZXl3b3JkPnByZXRl
cm08L2tleXdvcmQ+PGtleXdvcmQ+c3lzdGVtYXRpYyByZXZpZXc8L2tleXdvcmQ+PC9rZXl3b3Jk
cz48ZGF0ZXM+PHllYXI+MjAxOTwveWVhcj48cHViLWRhdGVzPjxkYXRlPk1hciAxPC9kYXRlPjwv
cHViLWRhdGVzPjwvZGF0ZXM+PGlzYm4+MTkzOC0zMjA3IChFbGVjdHJvbmljKSYjeEQ7MDAwMi05
MTY1IChMaW5raW5nKTwvaXNibj48YWNjZXNzaW9uLW51bT4zMDk4Mjg3MzwvYWNjZXNzaW9uLW51
bT48dXJscz48cmVsYXRlZC11cmxzPjx1cmw+aHR0cHM6Ly93d3cubmNiaS5ubG0ubmloLmdvdi9w
dWJtZWQvMzA5ODI4NzM8L3VybD48L3JlbGF0ZWQtdXJscz48L3VybHM+PGVsZWN0cm9uaWMtcmVz
b3VyY2UtbnVtPjEwLjEwOTMvYWpjbi9ucXkzNTM8L2VsZWN0cm9uaWMtcmVzb3VyY2UtbnVtPjwv
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28</w:t>
            </w:r>
            <w:r>
              <w:fldChar w:fldCharType="end"/>
            </w:r>
          </w:p>
        </w:tc>
        <w:tc>
          <w:tcPr>
            <w:tcW w:w="1412" w:type="dxa"/>
          </w:tcPr>
          <w:p w14:paraId="2288A3E5" w14:textId="77777777" w:rsidR="00C97E3A" w:rsidRDefault="00C97E3A" w:rsidP="00343DBA">
            <w:r>
              <w:t>11 gestational age:</w:t>
            </w:r>
          </w:p>
          <w:p w14:paraId="6F044AA6" w14:textId="77777777" w:rsidR="00C97E3A" w:rsidRDefault="00C97E3A" w:rsidP="00343DBA">
            <w:r>
              <w:t>1 RCT</w:t>
            </w:r>
          </w:p>
          <w:p w14:paraId="12B0C6EE" w14:textId="77777777" w:rsidR="00C97E3A" w:rsidRDefault="00C97E3A" w:rsidP="00343DBA">
            <w:r>
              <w:t>7 cohort</w:t>
            </w:r>
          </w:p>
          <w:p w14:paraId="22CC5F6C" w14:textId="77777777" w:rsidR="00C97E3A" w:rsidRDefault="00C97E3A" w:rsidP="00343DBA">
            <w:r>
              <w:t>21 birthweight:</w:t>
            </w:r>
          </w:p>
          <w:p w14:paraId="1575663D" w14:textId="77777777" w:rsidR="00C97E3A" w:rsidRDefault="00C97E3A" w:rsidP="00343DBA">
            <w:r>
              <w:t>2 RCTs</w:t>
            </w:r>
          </w:p>
          <w:p w14:paraId="53DFE7E2" w14:textId="77777777" w:rsidR="00C97E3A" w:rsidRDefault="00C97E3A" w:rsidP="00343DBA">
            <w:r>
              <w:t>19 cohorts</w:t>
            </w:r>
          </w:p>
        </w:tc>
        <w:tc>
          <w:tcPr>
            <w:tcW w:w="4678" w:type="dxa"/>
          </w:tcPr>
          <w:p w14:paraId="4FCFAC02" w14:textId="77777777" w:rsidR="00C97E3A" w:rsidRDefault="00C97E3A" w:rsidP="00C5045B">
            <w:r>
              <w:rPr>
                <w:b/>
              </w:rPr>
              <w:t xml:space="preserve">Aim: </w:t>
            </w:r>
            <w:r>
              <w:t>T</w:t>
            </w:r>
            <w:r w:rsidRPr="00C5045B">
              <w:t xml:space="preserve">o assess the relationships between dietary patterns before and during pregnancy and 1) gestational age at birth and 2) gestational age- and sex-specific birth weight. </w:t>
            </w:r>
          </w:p>
          <w:p w14:paraId="6D069992" w14:textId="77777777" w:rsidR="00C97E3A" w:rsidRPr="00E34221" w:rsidRDefault="00C97E3A" w:rsidP="00C5045B">
            <w:pPr>
              <w:rPr>
                <w:b/>
              </w:rPr>
            </w:pPr>
            <w:r w:rsidRPr="00C5045B">
              <w:rPr>
                <w:b/>
              </w:rPr>
              <w:t>Methods</w:t>
            </w:r>
            <w:r w:rsidRPr="00C5045B">
              <w:t>: Liter</w:t>
            </w:r>
            <w:r>
              <w:t>ature was searched from January 1980 to January</w:t>
            </w:r>
            <w:r w:rsidRPr="00C5045B">
              <w:t xml:space="preserve"> 2017 in 9 databases including PubMed, Embase, and Cochrane. Two analysts independently screened articles using predetermined inclusion and exclusion criteria. Data were extracted from included articles and risk of bias w</w:t>
            </w:r>
            <w:r>
              <w:t>as assessed. Data were synthesis</w:t>
            </w:r>
            <w:r w:rsidRPr="00C5045B">
              <w:t xml:space="preserve">ed qualitatively, a conclusion statement was drafted for each question, and evidence supporting each conclusion was graded. </w:t>
            </w:r>
          </w:p>
        </w:tc>
        <w:tc>
          <w:tcPr>
            <w:tcW w:w="4537" w:type="dxa"/>
          </w:tcPr>
          <w:p w14:paraId="313E75DE" w14:textId="77777777" w:rsidR="00C97E3A" w:rsidRDefault="00C97E3A" w:rsidP="00C5045B">
            <w:r w:rsidRPr="00C5045B">
              <w:t xml:space="preserve">Limited but consistent evidence suggests that certain dietary patterns during pregnancy are associated with a lower risk of preterm birth and spontaneous preterm birth. These protective dietary patterns are higher in vegetables; fruits; whole grains; nuts, legumes, and seeds; and seafood (preterm birth, only), and lower in red and processed meats, and fried foods. </w:t>
            </w:r>
          </w:p>
          <w:p w14:paraId="443C9AFE" w14:textId="77777777" w:rsidR="00C97E3A" w:rsidRPr="00C5045B" w:rsidRDefault="00C97E3A" w:rsidP="00C5045B">
            <w:r w:rsidRPr="00C5045B">
              <w:t xml:space="preserve">No conclusion can be drawn on the association between dietary patterns during pregnancy and birth weight outcomes. Although research is available, the ability to draw a conclusion is restricted by inconsistency in study findings, inadequate adjustment of birth weight for gestational age and sex, and variation in study design, dietary assessment methodology, and adjustment for key confounding factors. </w:t>
            </w:r>
          </w:p>
        </w:tc>
        <w:tc>
          <w:tcPr>
            <w:tcW w:w="1843" w:type="dxa"/>
          </w:tcPr>
          <w:p w14:paraId="6412D7D7" w14:textId="77777777" w:rsidR="00C97E3A" w:rsidRPr="00E34221" w:rsidRDefault="00C97E3A" w:rsidP="00343DBA"/>
        </w:tc>
      </w:tr>
      <w:tr w:rsidR="00C97E3A" w:rsidRPr="00343DBA" w14:paraId="6405802F" w14:textId="77777777" w:rsidTr="00142208">
        <w:trPr>
          <w:cantSplit/>
          <w:trHeight w:val="390"/>
        </w:trPr>
        <w:tc>
          <w:tcPr>
            <w:tcW w:w="1422" w:type="dxa"/>
          </w:tcPr>
          <w:p w14:paraId="121A34E1" w14:textId="6A5D3B01" w:rsidR="00C97E3A" w:rsidRDefault="00C97E3A" w:rsidP="002747EA">
            <w:r>
              <w:t>Schoenaker et al 2014</w:t>
            </w:r>
            <w:r w:rsidR="00201490">
              <w:fldChar w:fldCharType="begin"/>
            </w:r>
            <w:r w:rsidR="002747EA">
              <w:instrText xml:space="preserve"> ADDIN EN.CITE &lt;EndNote&gt;&lt;Cite&gt;&lt;Author&gt;Schoenaker&lt;/Author&gt;&lt;Year&gt;2014&lt;/Year&gt;&lt;RecNum&gt;1518&lt;/RecNum&gt;&lt;DisplayText&gt;&lt;style face="superscript" font="Trebuchet MS" size="9"&gt;22&lt;/style&gt;&lt;/DisplayText&gt;&lt;record&gt;&lt;rec-number&gt;1518&lt;/rec-number&gt;&lt;foreign-keys&gt;&lt;key app="EN" db-id="exvasrfx2dtraoesasxp2szsxa2df502592x" timestamp="1576470741"&gt;1518&lt;/key&gt;&lt;/foreign-keys&gt;&lt;ref-type name="Journal Article"&gt;17&lt;/ref-type&gt;&lt;contributors&gt;&lt;authors&gt;&lt;author&gt;Schoenaker, D. A.&lt;/author&gt;&lt;author&gt;Soedamah-Muthu, S. S.&lt;/author&gt;&lt;author&gt;Mishra, G. D.&lt;/author&gt;&lt;/authors&gt;&lt;/contributors&gt;&lt;titles&gt;&lt;title&gt;The association between dietary factors and gestational hypertension and pre-eclampsia: a systematic review and meta-analysis of observational studies&lt;/title&gt;&lt;secondary-title&gt;BMC Med&lt;/secondary-title&gt;&lt;/titles&gt;&lt;periodical&gt;&lt;full-title&gt;BMC Med&lt;/full-title&gt;&lt;/periodical&gt;&lt;pages&gt;157&lt;/pages&gt;&lt;volume&gt;12&lt;/volume&gt;&lt;edition&gt;2014/09/23&lt;/edition&gt;&lt;keywords&gt;&lt;keyword&gt;Adult&lt;/keyword&gt;&lt;keyword&gt;*Diet&lt;/keyword&gt;&lt;keyword&gt;Dietary Supplements&lt;/keyword&gt;&lt;keyword&gt;Female&lt;/keyword&gt;&lt;keyword&gt;Humans&lt;/keyword&gt;&lt;keyword&gt;Hypertension, Pregnancy-Induced/*epidemiology&lt;/keyword&gt;&lt;keyword&gt;*Observational Studies as Topic&lt;/keyword&gt;&lt;keyword&gt;Pre-Eclampsia/*epidemiology&lt;/keyword&gt;&lt;keyword&gt;Pregnancy&lt;/keyword&gt;&lt;/keywords&gt;&lt;dates&gt;&lt;year&gt;2014&lt;/year&gt;&lt;pub-dates&gt;&lt;date&gt;Sep 22&lt;/date&gt;&lt;/pub-dates&gt;&lt;/dates&gt;&lt;isbn&gt;1741-7015 (Electronic)&amp;#xD;1741-7015 (Linking)&lt;/isbn&gt;&lt;accession-num&gt;25241701&lt;/accession-num&gt;&lt;urls&gt;&lt;related-urls&gt;&lt;url&gt;https://www.ncbi.nlm.nih.gov/pubmed/25241701&lt;/url&gt;&lt;/related-urls&gt;&lt;/urls&gt;&lt;custom2&gt;PMC4192458&lt;/custom2&gt;&lt;electronic-resource-num&gt;10.1186/s12916-014-0157-7&lt;/electronic-resource-num&gt;&lt;/record&gt;&lt;/Cite&gt;&lt;/EndNote&gt;</w:instrText>
            </w:r>
            <w:r w:rsidR="00201490">
              <w:fldChar w:fldCharType="separate"/>
            </w:r>
            <w:r w:rsidR="002747EA" w:rsidRPr="002747EA">
              <w:rPr>
                <w:noProof/>
                <w:vertAlign w:val="superscript"/>
              </w:rPr>
              <w:t>22</w:t>
            </w:r>
            <w:r w:rsidR="00201490">
              <w:fldChar w:fldCharType="end"/>
            </w:r>
          </w:p>
        </w:tc>
        <w:tc>
          <w:tcPr>
            <w:tcW w:w="1412" w:type="dxa"/>
          </w:tcPr>
          <w:p w14:paraId="126B549D" w14:textId="77777777" w:rsidR="00C97E3A" w:rsidRDefault="00C97E3A" w:rsidP="00343DBA">
            <w:r>
              <w:t>16 studies</w:t>
            </w:r>
          </w:p>
        </w:tc>
        <w:tc>
          <w:tcPr>
            <w:tcW w:w="4678" w:type="dxa"/>
          </w:tcPr>
          <w:p w14:paraId="3A99B957" w14:textId="77777777" w:rsidR="00C97E3A" w:rsidRDefault="00C97E3A" w:rsidP="001450AD">
            <w:r>
              <w:t>Aim</w:t>
            </w:r>
            <w:r w:rsidRPr="001450AD">
              <w:rPr>
                <w:b/>
              </w:rPr>
              <w:t>:</w:t>
            </w:r>
            <w:r>
              <w:t xml:space="preserve"> To synthesis</w:t>
            </w:r>
            <w:r w:rsidRPr="001450AD">
              <w:t xml:space="preserve">e evidence from observational studies of reproductive-aged women on the association between dietary factors and HDP. </w:t>
            </w:r>
          </w:p>
          <w:p w14:paraId="36682230" w14:textId="77777777" w:rsidR="00C97E3A" w:rsidRDefault="00C97E3A" w:rsidP="001450AD">
            <w:pPr>
              <w:rPr>
                <w:b/>
              </w:rPr>
            </w:pPr>
            <w:r w:rsidRPr="001450AD">
              <w:rPr>
                <w:b/>
              </w:rPr>
              <w:t>Methods</w:t>
            </w:r>
            <w:r w:rsidRPr="001450AD">
              <w:t>: MEDLINE and EMBASE were searched to identify studies published until the end of May 2014. Studies were included if they were observational studies of reproductive-age women and reported results on dietary factors (energy, nutrients, foods or overall dietary patterns, alone or in combination with dietary supplements) and gestational hypertension and/or pre-eclampsia. Studies were excluded if they reported on supplements not in combination with dietary intake, or examined a biomarker of dietary intake. Random effects meta-analyses were performed on calculated weighted mean differences (WMD) of dietary intake between cases and non-cases, and effect estimates were pooled.</w:t>
            </w:r>
          </w:p>
        </w:tc>
        <w:tc>
          <w:tcPr>
            <w:tcW w:w="4537" w:type="dxa"/>
          </w:tcPr>
          <w:p w14:paraId="53F44E46" w14:textId="77777777" w:rsidR="00C97E3A" w:rsidRPr="00C5045B" w:rsidRDefault="00C97E3A" w:rsidP="00A13245">
            <w:r w:rsidRPr="001450AD">
              <w:t xml:space="preserve">A few studies examining foods and dietary patterns suggested a beneficial effect of a diet rich in fruit and vegetables on pre-eclampsia, although not all the results were statistically significant. </w:t>
            </w:r>
          </w:p>
        </w:tc>
        <w:tc>
          <w:tcPr>
            <w:tcW w:w="1843" w:type="dxa"/>
          </w:tcPr>
          <w:p w14:paraId="5E6BAE2B" w14:textId="77777777" w:rsidR="00C97E3A" w:rsidRPr="00E34221" w:rsidRDefault="00C97E3A" w:rsidP="00343DBA">
            <w:r>
              <w:t>S</w:t>
            </w:r>
            <w:r w:rsidRPr="00EB6A1E">
              <w:t>tudies could not be pooled</w:t>
            </w:r>
            <w:r>
              <w:t xml:space="preserve"> </w:t>
            </w:r>
            <w:r w:rsidRPr="00EB6A1E">
              <w:t>in a meta-analysis because of differences in the foods</w:t>
            </w:r>
            <w:r>
              <w:t xml:space="preserve"> </w:t>
            </w:r>
            <w:r w:rsidRPr="00EB6A1E">
              <w:t>or patterns examined or different units of exposure</w:t>
            </w:r>
            <w:r>
              <w:t>.</w:t>
            </w:r>
          </w:p>
        </w:tc>
      </w:tr>
      <w:tr w:rsidR="00C97E3A" w:rsidRPr="00343DBA" w14:paraId="0585389D" w14:textId="77777777" w:rsidTr="00142208">
        <w:trPr>
          <w:cantSplit/>
          <w:trHeight w:val="390"/>
        </w:trPr>
        <w:tc>
          <w:tcPr>
            <w:tcW w:w="1422" w:type="dxa"/>
          </w:tcPr>
          <w:p w14:paraId="42137FBD" w14:textId="1D4C5144" w:rsidR="00C97E3A" w:rsidRDefault="00C97E3A" w:rsidP="002747EA">
            <w:r>
              <w:t>Schoenaker et al 2016</w:t>
            </w:r>
            <w:r w:rsidR="00201490">
              <w:fldChar w:fldCharType="begin">
                <w:fldData xml:space="preserve">PEVuZE5vdGU+PENpdGU+PEF1dGhvcj5TY2hvZW5ha2VyPC9BdXRob3I+PFllYXI+MjAxNjwvWWVh
cj48UmVjTnVtPjE1MTk8L1JlY051bT48RGlzcGxheVRleHQ+PHN0eWxlIGZhY2U9InN1cGVyc2Ny
aXB0IiBmb250PSJUcmVidWNoZXQgTVMiIHNpemU9IjkiPjE1PC9zdHlsZT48L0Rpc3BsYXlUZXh0
PjxyZWNvcmQ+PHJlYy1udW1iZXI+MTUxOTwvcmVjLW51bWJlcj48Zm9yZWlnbi1rZXlzPjxrZXkg
YXBwPSJFTiIgZGItaWQ9ImV4dmFzcmZ4MmR0cmFvZXNhc3hwMnN6c3hhMmRmNTAyNTkyeCIgdGlt
ZXN0YW1wPSIxNTc2NDcwODM0Ij4xNTE5PC9rZXk+PC9mb3JlaWduLWtleXM+PHJlZi10eXBlIG5h
bWU9IkpvdXJuYWwgQXJ0aWNsZSI+MTc8L3JlZi10eXBlPjxjb250cmlidXRvcnM+PGF1dGhvcnM+
PGF1dGhvcj5TY2hvZW5ha2VyLCBELiBBLjwvYXV0aG9yPjxhdXRob3I+TWlzaHJhLCBHLiBELjwv
YXV0aG9yPjxhdXRob3I+Q2FsbGF3YXksIEwuIEsuPC9hdXRob3I+PGF1dGhvcj5Tb2VkYW1haC1N
dXRodSwgUy4gUy48L2F1dGhvcj48L2F1dGhvcnM+PC9jb250cmlidXRvcnM+PGF1dGgtYWRkcmVz
cz5TY2hvb2wgb2YgUHVibGljIEhlYWx0aCwgVW5pdmVyc2l0eSBvZiBRdWVlbnNsYW5kLCBCcmlz
YmFuZSwgQXVzdHJhbGlhIGQuc2Nob2VuYWtlckB1cS5lZHUuYXUuJiN4RDtTY2hvb2wgb2YgUHVi
bGljIEhlYWx0aCwgVW5pdmVyc2l0eSBvZiBRdWVlbnNsYW5kLCBCcmlzYmFuZSwgQXVzdHJhbGlh
LiYjeEQ7U2Nob29sIG9mIE1lZGljaW5lLCBVbml2ZXJzaXR5IG9mIFF1ZWVuc2xhbmQsIEJyaXNi
YW5lLCBBdXN0cmFsaWEgRGVwYXJ0bWVudHMgb2YgT2JzdGV0cmljIGFuZCBJbnRlcm5hbCBNZWRp
Y2luZSwgUm95YWwgQnJpc2JhbmUgYW5kIFdvbWVuJmFwb3M7cyBIb3NwaXRhbCwgQnJpc2JhbmUs
IEF1c3RyYWxpYS4mI3hEO0RpdmlzaW9uIG9mIEh1bWFuIE51dHJpdGlvbiwgV2FnZW5pbmdlbiBV
bml2ZXJzaXR5LCBXYWdlbmluZ2VuLCB0aGUgTmV0aGVybGFuZHMuPC9hdXRoLWFkZHJlc3M+PHRp
dGxlcz48dGl0bGU+VGhlIHJvbGUgb2YgZW5lcmd5LCBudXRyaWVudHMsIGZvb2RzLCBhbmQgZGll
dGFyeSBwYXR0ZXJucyBpbiB0aGUgZGV2ZWxvcG1lbnQgb2YgZ2VzdGF0aW9uYWwgZGlhYmV0ZXMg
bWVsbGl0dXM6IEEgc3lzdGVtYXRpYyByZXZpZXcgb2Ygb2JzZXJ2YXRpb25hbCBzdHVkaWVzPC90
aXRsZT48c2Vjb25kYXJ5LXRpdGxlPkRpYWJldGVzIENhcmU8L3NlY29uZGFyeS10aXRsZT48L3Rp
dGxlcz48cGVyaW9kaWNhbD48ZnVsbC10aXRsZT5EaWFiZXRlcyBDYXJlPC9mdWxsLXRpdGxlPjwv
cGVyaW9kaWNhbD48cGFnZXM+MTYtMjM8L3BhZ2VzPjx2b2x1bWU+Mzk8L3ZvbHVtZT48bnVtYmVy
PjE8L251bWJlcj48ZWRpdGlvbj4yMDE1LzEyLzI0PC9lZGl0aW9uPjxrZXl3b3Jkcz48a2V5d29y
ZD5DaG9sZXN0ZXJvbCwgRGlldGFyeS9hZG1pbmlzdHJhdGlvbiAmYW1wOyBkb3NhZ2UvYWR2ZXJz
ZSBlZmZlY3RzPC9rZXl3b3JkPjxrZXl3b3JkPkNyb3NzLVNlY3Rpb25hbCBTdHVkaWVzPC9rZXl3
b3JkPjxrZXl3b3JkPkRpYWJldGVzLCBHZXN0YXRpb25hbC8qZXBpZGVtaW9sb2d5L2V0aW9sb2d5
PC9rZXl3b3JkPjxrZXl3b3JkPipEaWV0L2FkdmVyc2UgZWZmZWN0czwva2V5d29yZD48a2V5d29y
ZD5EaWV0YXJ5IEZhdHMvKmFkbWluaXN0cmF0aW9uICZhbXA7IGRvc2FnZS9hZHZlcnNlIGVmZmVj
dHM8L2tleXdvcmQ+PGtleXdvcmQ+RW5lcmd5IEludGFrZS8qcGh5c2lvbG9neTwva2V5d29yZD48
a2V5d29yZD5GZWVkaW5nIEJlaGF2aW9yPC9rZXl3b3JkPjxrZXl3b3JkPkZlbWFsZTwva2V5d29y
ZD48a2V5d29yZD5GcnVpdDwva2V5d29yZD48a2V5d29yZD5IdW1hbnM8L2tleXdvcmQ+PGtleXdv
cmQ+TWVhdDwva2V5d29yZD48a2V5d29yZD5QcmVnbmFuY3k8L2tleXdvcmQ+PGtleXdvcmQ+UHJv
c3BlY3RpdmUgU3R1ZGllczwva2V5d29yZD48a2V5d29yZD5SaXNrIEZhY3RvcnM8L2tleXdvcmQ+
PGtleXdvcmQ+VmVnZXRhYmxlczwva2V5d29yZD48L2tleXdvcmRzPjxkYXRlcz48eWVhcj4yMDE2
PC95ZWFyPjxwdWItZGF0ZXM+PGRhdGU+SmFuPC9kYXRlPjwvcHViLWRhdGVzPjwvZGF0ZXM+PGlz
Ym4+MTkzNS01NTQ4IChFbGVjdHJvbmljKSYjeEQ7MDE0OS01OTkyIChMaW5raW5nKTwvaXNibj48
YWNjZXNzaW9uLW51bT4yNjY5NjY1NzwvYWNjZXNzaW9uLW51bT48dXJscz48cmVsYXRlZC11cmxz
Pjx1cmw+aHR0cHM6Ly93d3cubmNiaS5ubG0ubmloLmdvdi9wdWJtZWQvMjY2OTY2NTc8L3VybD48
L3JlbGF0ZWQtdXJscz48L3VybHM+PGVsZWN0cm9uaWMtcmVzb3VyY2UtbnVtPjEwLjIzMzcvZGMx
NS0wNTQwPC9lbGVjdHJvbmljLXJlc291cmNlLW51bT48L3JlY29yZD48L0NpdGU+PC9FbmROb3Rl
PgB=
</w:fldData>
              </w:fldChar>
            </w:r>
            <w:r w:rsidR="002747EA">
              <w:instrText xml:space="preserve"> ADDIN EN.CITE </w:instrText>
            </w:r>
            <w:r w:rsidR="002747EA">
              <w:fldChar w:fldCharType="begin">
                <w:fldData xml:space="preserve">PEVuZE5vdGU+PENpdGU+PEF1dGhvcj5TY2hvZW5ha2VyPC9BdXRob3I+PFllYXI+MjAxNjwvWWVh
cj48UmVjTnVtPjE1MTk8L1JlY051bT48RGlzcGxheVRleHQ+PHN0eWxlIGZhY2U9InN1cGVyc2Ny
aXB0IiBmb250PSJUcmVidWNoZXQgTVMiIHNpemU9IjkiPjE1PC9zdHlsZT48L0Rpc3BsYXlUZXh0
PjxyZWNvcmQ+PHJlYy1udW1iZXI+MTUxOTwvcmVjLW51bWJlcj48Zm9yZWlnbi1rZXlzPjxrZXkg
YXBwPSJFTiIgZGItaWQ9ImV4dmFzcmZ4MmR0cmFvZXNhc3hwMnN6c3hhMmRmNTAyNTkyeCIgdGlt
ZXN0YW1wPSIxNTc2NDcwODM0Ij4xNTE5PC9rZXk+PC9mb3JlaWduLWtleXM+PHJlZi10eXBlIG5h
bWU9IkpvdXJuYWwgQXJ0aWNsZSI+MTc8L3JlZi10eXBlPjxjb250cmlidXRvcnM+PGF1dGhvcnM+
PGF1dGhvcj5TY2hvZW5ha2VyLCBELiBBLjwvYXV0aG9yPjxhdXRob3I+TWlzaHJhLCBHLiBELjwv
YXV0aG9yPjxhdXRob3I+Q2FsbGF3YXksIEwuIEsuPC9hdXRob3I+PGF1dGhvcj5Tb2VkYW1haC1N
dXRodSwgUy4gUy48L2F1dGhvcj48L2F1dGhvcnM+PC9jb250cmlidXRvcnM+PGF1dGgtYWRkcmVz
cz5TY2hvb2wgb2YgUHVibGljIEhlYWx0aCwgVW5pdmVyc2l0eSBvZiBRdWVlbnNsYW5kLCBCcmlz
YmFuZSwgQXVzdHJhbGlhIGQuc2Nob2VuYWtlckB1cS5lZHUuYXUuJiN4RDtTY2hvb2wgb2YgUHVi
bGljIEhlYWx0aCwgVW5pdmVyc2l0eSBvZiBRdWVlbnNsYW5kLCBCcmlzYmFuZSwgQXVzdHJhbGlh
LiYjeEQ7U2Nob29sIG9mIE1lZGljaW5lLCBVbml2ZXJzaXR5IG9mIFF1ZWVuc2xhbmQsIEJyaXNi
YW5lLCBBdXN0cmFsaWEgRGVwYXJ0bWVudHMgb2YgT2JzdGV0cmljIGFuZCBJbnRlcm5hbCBNZWRp
Y2luZSwgUm95YWwgQnJpc2JhbmUgYW5kIFdvbWVuJmFwb3M7cyBIb3NwaXRhbCwgQnJpc2JhbmUs
IEF1c3RyYWxpYS4mI3hEO0RpdmlzaW9uIG9mIEh1bWFuIE51dHJpdGlvbiwgV2FnZW5pbmdlbiBV
bml2ZXJzaXR5LCBXYWdlbmluZ2VuLCB0aGUgTmV0aGVybGFuZHMuPC9hdXRoLWFkZHJlc3M+PHRp
dGxlcz48dGl0bGU+VGhlIHJvbGUgb2YgZW5lcmd5LCBudXRyaWVudHMsIGZvb2RzLCBhbmQgZGll
dGFyeSBwYXR0ZXJucyBpbiB0aGUgZGV2ZWxvcG1lbnQgb2YgZ2VzdGF0aW9uYWwgZGlhYmV0ZXMg
bWVsbGl0dXM6IEEgc3lzdGVtYXRpYyByZXZpZXcgb2Ygb2JzZXJ2YXRpb25hbCBzdHVkaWVzPC90
aXRsZT48c2Vjb25kYXJ5LXRpdGxlPkRpYWJldGVzIENhcmU8L3NlY29uZGFyeS10aXRsZT48L3Rp
dGxlcz48cGVyaW9kaWNhbD48ZnVsbC10aXRsZT5EaWFiZXRlcyBDYXJlPC9mdWxsLXRpdGxlPjwv
cGVyaW9kaWNhbD48cGFnZXM+MTYtMjM8L3BhZ2VzPjx2b2x1bWU+Mzk8L3ZvbHVtZT48bnVtYmVy
PjE8L251bWJlcj48ZWRpdGlvbj4yMDE1LzEyLzI0PC9lZGl0aW9uPjxrZXl3b3Jkcz48a2V5d29y
ZD5DaG9sZXN0ZXJvbCwgRGlldGFyeS9hZG1pbmlzdHJhdGlvbiAmYW1wOyBkb3NhZ2UvYWR2ZXJz
ZSBlZmZlY3RzPC9rZXl3b3JkPjxrZXl3b3JkPkNyb3NzLVNlY3Rpb25hbCBTdHVkaWVzPC9rZXl3
b3JkPjxrZXl3b3JkPkRpYWJldGVzLCBHZXN0YXRpb25hbC8qZXBpZGVtaW9sb2d5L2V0aW9sb2d5
PC9rZXl3b3JkPjxrZXl3b3JkPipEaWV0L2FkdmVyc2UgZWZmZWN0czwva2V5d29yZD48a2V5d29y
ZD5EaWV0YXJ5IEZhdHMvKmFkbWluaXN0cmF0aW9uICZhbXA7IGRvc2FnZS9hZHZlcnNlIGVmZmVj
dHM8L2tleXdvcmQ+PGtleXdvcmQ+RW5lcmd5IEludGFrZS8qcGh5c2lvbG9neTwva2V5d29yZD48
a2V5d29yZD5GZWVkaW5nIEJlaGF2aW9yPC9rZXl3b3JkPjxrZXl3b3JkPkZlbWFsZTwva2V5d29y
ZD48a2V5d29yZD5GcnVpdDwva2V5d29yZD48a2V5d29yZD5IdW1hbnM8L2tleXdvcmQ+PGtleXdv
cmQ+TWVhdDwva2V5d29yZD48a2V5d29yZD5QcmVnbmFuY3k8L2tleXdvcmQ+PGtleXdvcmQ+UHJv
c3BlY3RpdmUgU3R1ZGllczwva2V5d29yZD48a2V5d29yZD5SaXNrIEZhY3RvcnM8L2tleXdvcmQ+
PGtleXdvcmQ+VmVnZXRhYmxlczwva2V5d29yZD48L2tleXdvcmRzPjxkYXRlcz48eWVhcj4yMDE2
PC95ZWFyPjxwdWItZGF0ZXM+PGRhdGU+SmFuPC9kYXRlPjwvcHViLWRhdGVzPjwvZGF0ZXM+PGlz
Ym4+MTkzNS01NTQ4IChFbGVjdHJvbmljKSYjeEQ7MDE0OS01OTkyIChMaW5raW5nKTwvaXNibj48
YWNjZXNzaW9uLW51bT4yNjY5NjY1NzwvYWNjZXNzaW9uLW51bT48dXJscz48cmVsYXRlZC11cmxz
Pjx1cmw+aHR0cHM6Ly93d3cubmNiaS5ubG0ubmloLmdvdi9wdWJtZWQvMjY2OTY2NTc8L3VybD48
L3JlbGF0ZWQtdXJscz48L3VybHM+PGVsZWN0cm9uaWMtcmVzb3VyY2UtbnVtPjEwLjIzMzcvZGMx
NS0wNTQwPC9lbGVjdHJvbmljLXJlc291cmNlLW51bT48L3JlY29yZD48L0NpdGU+PC9FbmROb3Rl
PgB=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15</w:t>
            </w:r>
            <w:r w:rsidR="00201490">
              <w:fldChar w:fldCharType="end"/>
            </w:r>
          </w:p>
        </w:tc>
        <w:tc>
          <w:tcPr>
            <w:tcW w:w="1412" w:type="dxa"/>
          </w:tcPr>
          <w:p w14:paraId="01184863" w14:textId="77777777" w:rsidR="00C97E3A" w:rsidRDefault="00C97E3A" w:rsidP="00343DBA">
            <w:r>
              <w:t>21 studies</w:t>
            </w:r>
          </w:p>
        </w:tc>
        <w:tc>
          <w:tcPr>
            <w:tcW w:w="4678" w:type="dxa"/>
          </w:tcPr>
          <w:p w14:paraId="1B9D9F76" w14:textId="77777777" w:rsidR="00C97E3A" w:rsidRDefault="00C97E3A" w:rsidP="00EB6A1E">
            <w:r w:rsidRPr="00EB6A1E">
              <w:rPr>
                <w:b/>
              </w:rPr>
              <w:t>Aim</w:t>
            </w:r>
            <w:r>
              <w:t>: To synthesis</w:t>
            </w:r>
            <w:r w:rsidRPr="00EB6A1E">
              <w:t xml:space="preserve">e evidence from observational studies on the associations between dietary factors and GDM. </w:t>
            </w:r>
          </w:p>
          <w:p w14:paraId="08FB2CC4" w14:textId="77777777" w:rsidR="00C97E3A" w:rsidRDefault="00C97E3A" w:rsidP="00EB6A1E">
            <w:r w:rsidRPr="00EB6A1E">
              <w:rPr>
                <w:b/>
              </w:rPr>
              <w:t>Methods</w:t>
            </w:r>
            <w:r w:rsidRPr="00EB6A1E">
              <w:t xml:space="preserve">: Medline and Embase were searched for articles published until January 2015. We included observational studies of reproductive-aged women that reported on associations of maternal dietary intake before or during pregnancy, including energy, nutrients, foods, and dietary patterns, with GDM. All relevant results were extracted from each article. The number of comparable studies that adjusted for confounders was insufficient to perform a meta-analysis. </w:t>
            </w:r>
          </w:p>
        </w:tc>
        <w:tc>
          <w:tcPr>
            <w:tcW w:w="4537" w:type="dxa"/>
          </w:tcPr>
          <w:p w14:paraId="26F11157" w14:textId="77777777" w:rsidR="00C97E3A" w:rsidRPr="00EB6A1E" w:rsidRDefault="00C97E3A" w:rsidP="00EB6A1E">
            <w:r w:rsidRPr="00EB6A1E">
              <w:t>A limited number of prospective cohort studies adjusting for confounders indicated associations with a higher risk of GDM for replacing 1-5% of energy from carbohydrates with fat and for high consumption of cholesterol (&gt;/=300 mg/day), heme iron (&gt;/=1.1 mg/day), red and processed meat (increment of 1 serving/day), and eggs (&gt;/=7 per week). A dietary pattern rich in fruit, vegetables, whole grains, and fish and low in red and processed meat, refined grains, and high-fat dairy was found to be beneficial. The current evidence is based on a limited number of studies that are he</w:t>
            </w:r>
            <w:r>
              <w:t>terogeneous in design, exposure</w:t>
            </w:r>
            <w:r w:rsidRPr="00EB6A1E">
              <w:t xml:space="preserve"> and outcome measures. </w:t>
            </w:r>
          </w:p>
        </w:tc>
        <w:tc>
          <w:tcPr>
            <w:tcW w:w="1843" w:type="dxa"/>
          </w:tcPr>
          <w:p w14:paraId="0933064C" w14:textId="77777777" w:rsidR="00C97E3A" w:rsidRDefault="00C97E3A" w:rsidP="00343DBA">
            <w:r w:rsidRPr="00EB6A1E">
              <w:t>The number of comparable studies that adjusted for confounders was insufficient to perform a meta-analysis.</w:t>
            </w:r>
          </w:p>
        </w:tc>
      </w:tr>
    </w:tbl>
    <w:p w14:paraId="4D1C74EE" w14:textId="16673CA1" w:rsidR="00D30EBC" w:rsidRDefault="009C163D" w:rsidP="005719CE">
      <w:pPr>
        <w:pStyle w:val="TableName"/>
        <w:ind w:left="1134" w:hanging="1134"/>
      </w:pPr>
      <w:bookmarkStart w:id="32" w:name="_Toc40956589"/>
      <w:r>
        <w:t xml:space="preserve">Q1 </w:t>
      </w:r>
      <w:r w:rsidR="000103D0">
        <w:t>D</w:t>
      </w:r>
      <w:r w:rsidR="00B40B7D">
        <w:t>ietary patterns in pregnancy</w:t>
      </w:r>
      <w:r w:rsidR="00D30EBC">
        <w:t xml:space="preserve"> — </w:t>
      </w:r>
      <w:r w:rsidR="00F76BD9">
        <w:t>RCT</w:t>
      </w:r>
      <w:bookmarkEnd w:id="3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1: Q1 Dietary patterns in pregnancy — RCT"/>
      </w:tblPr>
      <w:tblGrid>
        <w:gridCol w:w="1420"/>
        <w:gridCol w:w="1131"/>
        <w:gridCol w:w="4964"/>
        <w:gridCol w:w="4535"/>
        <w:gridCol w:w="1842"/>
      </w:tblGrid>
      <w:tr w:rsidR="00D30EBC" w:rsidRPr="00F350A6" w14:paraId="12183B6C" w14:textId="77777777" w:rsidTr="009533F7">
        <w:trPr>
          <w:cantSplit/>
          <w:trHeight w:val="390"/>
          <w:tblHeader/>
        </w:trPr>
        <w:tc>
          <w:tcPr>
            <w:tcW w:w="1420" w:type="dxa"/>
          </w:tcPr>
          <w:p w14:paraId="57BEB69C" w14:textId="77777777" w:rsidR="00D30EBC" w:rsidRPr="00F350A6" w:rsidRDefault="00D30EBC" w:rsidP="00A62BCD">
            <w:pPr>
              <w:keepNext/>
              <w:rPr>
                <w:b/>
              </w:rPr>
            </w:pPr>
            <w:r>
              <w:rPr>
                <w:b/>
              </w:rPr>
              <w:t>Study ref</w:t>
            </w:r>
          </w:p>
        </w:tc>
        <w:tc>
          <w:tcPr>
            <w:tcW w:w="1131" w:type="dxa"/>
          </w:tcPr>
          <w:p w14:paraId="4A706AF1" w14:textId="77777777" w:rsidR="00D30EBC" w:rsidRPr="00F350A6" w:rsidRDefault="00D30EBC" w:rsidP="00A62BCD">
            <w:pPr>
              <w:keepNext/>
              <w:rPr>
                <w:b/>
              </w:rPr>
            </w:pPr>
            <w:r>
              <w:rPr>
                <w:b/>
              </w:rPr>
              <w:t>N</w:t>
            </w:r>
          </w:p>
        </w:tc>
        <w:tc>
          <w:tcPr>
            <w:tcW w:w="4964" w:type="dxa"/>
          </w:tcPr>
          <w:p w14:paraId="55C38B72" w14:textId="77777777" w:rsidR="00D30EBC" w:rsidRPr="00F350A6" w:rsidRDefault="00D30EBC" w:rsidP="00A62BCD">
            <w:pPr>
              <w:keepNext/>
              <w:rPr>
                <w:b/>
              </w:rPr>
            </w:pPr>
            <w:r>
              <w:rPr>
                <w:b/>
              </w:rPr>
              <w:t>Aim/methods</w:t>
            </w:r>
          </w:p>
        </w:tc>
        <w:tc>
          <w:tcPr>
            <w:tcW w:w="4535" w:type="dxa"/>
          </w:tcPr>
          <w:p w14:paraId="49C983D5" w14:textId="77777777" w:rsidR="00D30EBC" w:rsidRPr="00F350A6" w:rsidRDefault="00D30EBC" w:rsidP="00A62BCD">
            <w:pPr>
              <w:keepNext/>
              <w:rPr>
                <w:b/>
              </w:rPr>
            </w:pPr>
            <w:r>
              <w:rPr>
                <w:b/>
              </w:rPr>
              <w:t>Results</w:t>
            </w:r>
          </w:p>
        </w:tc>
        <w:tc>
          <w:tcPr>
            <w:tcW w:w="1842" w:type="dxa"/>
          </w:tcPr>
          <w:p w14:paraId="52D3600A" w14:textId="77777777" w:rsidR="00D30EBC" w:rsidRPr="00F350A6" w:rsidRDefault="00D30EBC" w:rsidP="00A62BCD">
            <w:pPr>
              <w:keepNext/>
              <w:rPr>
                <w:b/>
              </w:rPr>
            </w:pPr>
            <w:r>
              <w:rPr>
                <w:b/>
              </w:rPr>
              <w:t>Comments</w:t>
            </w:r>
          </w:p>
        </w:tc>
      </w:tr>
      <w:tr w:rsidR="00F76BD9" w:rsidRPr="00F76BD9" w14:paraId="029B4460" w14:textId="77777777" w:rsidTr="009533F7">
        <w:trPr>
          <w:cantSplit/>
          <w:trHeight w:val="390"/>
          <w:tblHeader/>
        </w:trPr>
        <w:tc>
          <w:tcPr>
            <w:tcW w:w="1420" w:type="dxa"/>
            <w:tcBorders>
              <w:top w:val="single" w:sz="4" w:space="0" w:color="auto"/>
            </w:tcBorders>
          </w:tcPr>
          <w:p w14:paraId="05C1ADA8" w14:textId="56BE0B03" w:rsidR="00F76BD9" w:rsidRDefault="00F76BD9" w:rsidP="00F76BD9">
            <w:r>
              <w:t>Flynn et al 2016</w:t>
            </w:r>
            <w:r w:rsidR="00767EBF">
              <w:fldChar w:fldCharType="begin">
                <w:fldData xml:space="preserve">PEVuZE5vdGU+PENpdGU+PEF1dGhvcj5GbHlubjwvQXV0aG9yPjxZZWFyPjIwMTY8L1llYXI+PFJl
Y051bT4xMzY1PC9SZWNOdW0+PERpc3BsYXlUZXh0PjxzdHlsZSBmYWNlPSJzdXBlcnNjcmlwdCIg
Zm9udD0iVHJlYnVjaGV0IE1TIiBzaXplPSI5Ij4xNjwvc3R5bGU+PC9EaXNwbGF5VGV4dD48cmVj
b3JkPjxyZWMtbnVtYmVyPjEzNjU8L3JlYy1udW1iZXI+PGZvcmVpZ24ta2V5cz48a2V5IGFwcD0i
RU4iIGRiLWlkPSJleHZhc3JmeDJkdHJhb2VzYXN4cDJzenN4YTJkZjUwMjU5MngiIHRpbWVzdGFt
cD0iMTU2NzAzMTA2OCI+MTM2NTwva2V5PjxrZXkgYXBwPSJFTldlYiIgZGItaWQ9IiI+MDwva2V5
PjwvZm9yZWlnbi1rZXlzPjxyZWYtdHlwZSBuYW1lPSJKb3VybmFsIEFydGljbGUiPjE3PC9yZWYt
dHlwZT48Y29udHJpYnV0b3JzPjxhdXRob3JzPjxhdXRob3I+Rmx5bm4sIEEuIEMuPC9hdXRob3I+
PGF1dGhvcj5TZWVkLCBQLiBULjwvYXV0aG9yPjxhdXRob3I+UGF0ZWwsIE4uPC9hdXRob3I+PGF1
dGhvcj5CYXJyLCBTLjwvYXV0aG9yPjxhdXRob3I+QmVsbCwgUi48L2F1dGhvcj48YXV0aG9yPkJy
aWxleSwgQS4gTC48L2F1dGhvcj48YXV0aG9yPkdvZGZyZXksIEsuIE0uPC9hdXRob3I+PGF1dGhv
cj5OZWxzb24sIFMuIE0uPC9hdXRob3I+PGF1dGhvcj5PdGVuZy1OdGltLCBFLjwvYXV0aG9yPjxh
dXRob3I+Um9iaW5zb24sIFMuIE0uPC9hdXRob3I+PGF1dGhvcj5TYW5kZXJzLCBULiBBLjwvYXV0
aG9yPjxhdXRob3I+U2F0dGFyLCBOLjwvYXV0aG9yPjxhdXRob3I+V2FyZGxlLCBKLjwvYXV0aG9y
PjxhdXRob3I+UG9zdG9uLCBMLjwvYXV0aG9yPjxhdXRob3I+R29mZiwgTC4gTS48L2F1dGhvcj48
YXV0aG9yPlVwYmVhdCBjb25zb3J0aXVtPC9hdXRob3I+PC9hdXRob3JzPjwvY29udHJpYnV0b3Jz
PjxhdXRoLWFkZHJlc3M+RGl2aXNpb24gb2YgV29tZW4mYXBvcztzIEhlYWx0aCwgS2luZyZhcG9z
O3MgQ29sbGVnZSBMb25kb24sIDEwdGggRmxvb3IgTm9ydGggV2luZywgU3QuIFRob21hcyZhcG9z
OyBIb3NwaXRhbCwgTG9uZG9uLCBVSy4mI3hEO0RpdmlzaW9uIG9mIERpYWJldGVzIGFuZCBOdXRy
aXRpb25hbCBTY2llbmNlcywgS2luZyZhcG9zO3MgQ29sbGVnZSBMb25kb24sIEZyYW5rbGluLVdp
bGtpbnMgQnVpbGRpbmcsIDE1MCBTdGFtZm9yZCBTdHJlZXQsIExvbmRvbiwgVUsuJiN4RDtEZXBh
cnRtZW50IG9mIENhcmRpb3Zhc2N1bGFyIE1lZGljaW5lLCBJbXBlcmlhbCBDb2xsZWdlIExvbmRv
biwgTG9uZG9uLCBVSy4mI3hEO0luc3RpdHV0ZSBvZiBIZWFsdGggJmFtcDsgU29jaWV0eSBOZXdj
YXN0bGUgVW5pdmVyc2l0eSwgVUsgQmFkZGlsZXktQ2xhcmsgQnVpbGRpbmcgUmljaGFyZHNvbiBS
b2FkLCBOZXdjYXN0bGUgdXBvbiBUeW5lLCBVSy4mI3hEO01SQyBMaWZlY291cnNlIEVwaWRlbWlv
bG9neSBVbml0IGFuZCBOSUhSIFNvdXRoYW1wdG9uIEJpb21lZGljYWwgUmVzZWFyY2ggQ2VudHJl
LCBVbml2ZXJzaXR5IG9mIFNvdXRoYW1wdG9uIGFuZCBVbml2ZXJzaXR5IEhvc3BpdGFsIFNvdXRo
YW1wdG9uIE5IUyBGb3VuZGF0aW9uIFRydXN0LCBNYWlscG9pbnQgOTUsIFNvdXRoYW1wdG9uLCBV
Sy4mI3hEO1NjaG9vbCBvZiBNZWRpY2luZSwgVW5pdmVyc2l0eSBvZiBHbGFzZ293LCBOZXcgTGlz
dGVyIEJ1aWxkaW5nLCBHbGFzZ293IFJveWFsIEluZmlybWFyeSwgR2xhc2dvdywgVUsuJiN4RDtH
dXlzIGFuZCBTdCBUaG9tYXMmYXBvczsgTkhTIEZvdW5kYXRpb24gVHJ1c3QsIFdlc3RtaW5zdGVy
IEJyaWRnZSBSb2FkLCBMb25kb24sIFVLLiYjeEQ7SW5zdGl0dXRlIG9mIENhcmRpb3Zhc2N1bGFy
IGFuZCBNZWRpY2FsIFNjaWVuY2VzLCBSQzIxNCBMZXZlbCBDMiwgQnJpdGlzaCBIZWFydCBGb3Vu
ZGF0aW9uIEdsYXNnb3cgQ2FyZGlvdmFzY3VsYXIgUmVzZWFyY2ggQ2VudHJlLCBVbml2ZXJzaXR5
IG9mIEdsYXNnb3csIEdsYXNnb3csIFVLLiYjeEQ7SGVhbHRoIEJlaGF2aW91ciBSZXNlYXJjaCBD
ZW50cmUsIEluc3RpdHV0ZSBvZiBFcGlkZW1pb2xvZ3kgYW5kIEhlYWx0aCwgVW5pdmVyc2l0eSBD
b2xsZWdlIExvbmRvbiwgMS0xOSBUb3JyaW5ndG9uIFBsYWNlLCBMb25kb24sIFVLLiYjeEQ7RGl2
aXNpb24gb2YgRGlhYmV0ZXMgYW5kIE51dHJpdGlvbmFsIFNjaWVuY2VzLCBLaW5nJmFwb3M7cyBD
b2xsZWdlIExvbmRvbiwgRnJhbmtsaW4tV2lsa2lucyBCdWlsZGluZywgMTUwIFN0YW1mb3JkIFN0
cmVldCwgTG9uZG9uLCBVSy4gbG91aXNlLmdvZmZAa2NsLmFjLnVrLjwvYXV0aC1hZGRyZXNzPjx0
aXRsZXM+PHRpdGxlPkRpZXRhcnkgcGF0dGVybnMgaW4gb2Jlc2UgcHJlZ25hbnQgd29tZW47IGlu
Zmx1ZW5jZSBvZiBhIGJlaGF2aW9yYWwgaW50ZXJ2ZW50aW9uIG9mIGRpZXQgYW5kIHBoeXNpY2Fs
IGFjdGl2aXR5IGluIHRoZSBVUEJFQVQgcmFuZG9taXplZCBjb250cm9sbGVkIHRyaWFsPC90aXRs
ZT48c2Vjb25kYXJ5LXRpdGxlPkludCBKIEJlaGF2IE51dHIgUGh5cyBBY3Q8L3NlY29uZGFyeS10
aXRsZT48L3RpdGxlcz48cGVyaW9kaWNhbD48ZnVsbC10aXRsZT5JbnQgSiBCZWhhdiBOdXRyIFBo
eXMgQWN0PC9mdWxsLXRpdGxlPjwvcGVyaW9kaWNhbD48cGFnZXM+MTI0PC9wYWdlcz48dm9sdW1l
PjEzPC92b2x1bWU+PG51bWJlcj4xPC9udW1iZXI+PGVkaXRpb24+MjAxNi8xMS8zMDwvZWRpdGlv
bj48a2V5d29yZHM+PGtleXdvcmQ+QWR1bHQ8L2tleXdvcmQ+PGtleXdvcmQ+KkJlaGF2aW9yIFRo
ZXJhcHk8L2tleXdvcmQ+PGtleXdvcmQ+RGlhYmV0ZXMsIEdlc3RhdGlvbmFsL2V0aW9sb2d5L3By
ZXZlbnRpb24gJmFtcDsgY29udHJvbDwva2V5d29yZD48a2V5d29yZD4qRGlldDwva2V5d29yZD48
a2V5d29yZD4qRXhlcmNpc2U8L2tleXdvcmQ+PGtleXdvcmQ+RmFzdCBGb29kczwva2V5d29yZD48
a2V5d29yZD4qRmVlZGluZyBCZWhhdmlvcjwva2V5d29yZD48a2V5d29yZD5GZW1hbGU8L2tleXdv
cmQ+PGtleXdvcmQ+R2VzdGF0aW9uYWwgQWdlPC9rZXl3b3JkPjxrZXl3b3JkPkh1bWFuczwva2V5
d29yZD48a2V5d29yZD5PYmVzaXR5L2NvbXBsaWNhdGlvbnMvKnRoZXJhcHk8L2tleXdvcmQ+PGtl
eXdvcmQ+UHJlZ25hbmN5PC9rZXl3b3JkPjxrZXl3b3JkPlByZWduYW5jeSBDb21wbGljYXRpb25z
Lyp0aGVyYXB5PC9rZXl3b3JkPjxrZXl3b3JkPlByZWduYW5jeSBPdXRjb21lPC9rZXl3b3JkPjxr
ZXl3b3JkPlByZW5hdGFsIENhcmU8L2tleXdvcmQ+PGtleXdvcmQ+U25hY2tzPC9rZXl3b3JkPjxr
ZXl3b3JkPipEaWV0YXJ5IHBhdHRlcm5zPC9rZXl3b3JkPjxrZXl3b3JkPipHZXN0YXRpb25hbCBk
aWFiZXRlczwva2V5d29yZD48a2V5d29yZD4qT2Jlc2l0eTwva2V5d29yZD48a2V5d29yZD4qUHJl
Z25hbmN5PC9rZXl3b3JkPjwva2V5d29yZHM+PGRhdGVzPjx5ZWFyPjIwMTY8L3llYXI+PHB1Yi1k
YXRlcz48ZGF0ZT5Ob3YgMjk8L2RhdGU+PC9wdWItZGF0ZXM+PC9kYXRlcz48aXNibj4xNDc5LTU4
NjggKEVsZWN0cm9uaWMpJiN4RDsxNDc5LTU4NjggKExpbmtpbmcpPC9pc2JuPjxhY2Nlc3Npb24t
bnVtPjI3ODk0MzE2PC9hY2Nlc3Npb24tbnVtPjx1cmxzPjxyZWxhdGVkLXVybHM+PHVybD5odHRw
czovL3d3dy5uY2JpLm5sbS5uaWguZ292L3B1Ym1lZC8yNzg5NDMxNjwvdXJsPjwvcmVsYXRlZC11
cmxzPjwvdXJscz48Y3VzdG9tMj5QTUM1MTI2ODczPC9jdXN0b20yPjxlbGVjdHJvbmljLXJlc291
cmNlLW51bT4xMC4xMTg2L3MxMjk2Ni0wMTYtMDQ1MC0yPC9lbGVjdHJvbmljLXJlc291cmNlLW51
bT48L3JlY29yZD48L0NpdGU+PC9FbmROb3RlPn==
</w:fldData>
              </w:fldChar>
            </w:r>
            <w:r w:rsidR="002747EA">
              <w:instrText xml:space="preserve"> ADDIN EN.CITE </w:instrText>
            </w:r>
            <w:r w:rsidR="002747EA">
              <w:fldChar w:fldCharType="begin">
                <w:fldData xml:space="preserve">PEVuZE5vdGU+PENpdGU+PEF1dGhvcj5GbHlubjwvQXV0aG9yPjxZZWFyPjIwMTY8L1llYXI+PFJl
Y051bT4xMzY1PC9SZWNOdW0+PERpc3BsYXlUZXh0PjxzdHlsZSBmYWNlPSJzdXBlcnNjcmlwdCIg
Zm9udD0iVHJlYnVjaGV0IE1TIiBzaXplPSI5Ij4xNjwvc3R5bGU+PC9EaXNwbGF5VGV4dD48cmVj
b3JkPjxyZWMtbnVtYmVyPjEzNjU8L3JlYy1udW1iZXI+PGZvcmVpZ24ta2V5cz48a2V5IGFwcD0i
RU4iIGRiLWlkPSJleHZhc3JmeDJkdHJhb2VzYXN4cDJzenN4YTJkZjUwMjU5MngiIHRpbWVzdGFt
cD0iMTU2NzAzMTA2OCI+MTM2NTwva2V5PjxrZXkgYXBwPSJFTldlYiIgZGItaWQ9IiI+MDwva2V5
PjwvZm9yZWlnbi1rZXlzPjxyZWYtdHlwZSBuYW1lPSJKb3VybmFsIEFydGljbGUiPjE3PC9yZWYt
dHlwZT48Y29udHJpYnV0b3JzPjxhdXRob3JzPjxhdXRob3I+Rmx5bm4sIEEuIEMuPC9hdXRob3I+
PGF1dGhvcj5TZWVkLCBQLiBULjwvYXV0aG9yPjxhdXRob3I+UGF0ZWwsIE4uPC9hdXRob3I+PGF1
dGhvcj5CYXJyLCBTLjwvYXV0aG9yPjxhdXRob3I+QmVsbCwgUi48L2F1dGhvcj48YXV0aG9yPkJy
aWxleSwgQS4gTC48L2F1dGhvcj48YXV0aG9yPkdvZGZyZXksIEsuIE0uPC9hdXRob3I+PGF1dGhv
cj5OZWxzb24sIFMuIE0uPC9hdXRob3I+PGF1dGhvcj5PdGVuZy1OdGltLCBFLjwvYXV0aG9yPjxh
dXRob3I+Um9iaW5zb24sIFMuIE0uPC9hdXRob3I+PGF1dGhvcj5TYW5kZXJzLCBULiBBLjwvYXV0
aG9yPjxhdXRob3I+U2F0dGFyLCBOLjwvYXV0aG9yPjxhdXRob3I+V2FyZGxlLCBKLjwvYXV0aG9y
PjxhdXRob3I+UG9zdG9uLCBMLjwvYXV0aG9yPjxhdXRob3I+R29mZiwgTC4gTS48L2F1dGhvcj48
YXV0aG9yPlVwYmVhdCBjb25zb3J0aXVtPC9hdXRob3I+PC9hdXRob3JzPjwvY29udHJpYnV0b3Jz
PjxhdXRoLWFkZHJlc3M+RGl2aXNpb24gb2YgV29tZW4mYXBvcztzIEhlYWx0aCwgS2luZyZhcG9z
O3MgQ29sbGVnZSBMb25kb24sIDEwdGggRmxvb3IgTm9ydGggV2luZywgU3QuIFRob21hcyZhcG9z
OyBIb3NwaXRhbCwgTG9uZG9uLCBVSy4mI3hEO0RpdmlzaW9uIG9mIERpYWJldGVzIGFuZCBOdXRy
aXRpb25hbCBTY2llbmNlcywgS2luZyZhcG9zO3MgQ29sbGVnZSBMb25kb24sIEZyYW5rbGluLVdp
bGtpbnMgQnVpbGRpbmcsIDE1MCBTdGFtZm9yZCBTdHJlZXQsIExvbmRvbiwgVUsuJiN4RDtEZXBh
cnRtZW50IG9mIENhcmRpb3Zhc2N1bGFyIE1lZGljaW5lLCBJbXBlcmlhbCBDb2xsZWdlIExvbmRv
biwgTG9uZG9uLCBVSy4mI3hEO0luc3RpdHV0ZSBvZiBIZWFsdGggJmFtcDsgU29jaWV0eSBOZXdj
YXN0bGUgVW5pdmVyc2l0eSwgVUsgQmFkZGlsZXktQ2xhcmsgQnVpbGRpbmcgUmljaGFyZHNvbiBS
b2FkLCBOZXdjYXN0bGUgdXBvbiBUeW5lLCBVSy4mI3hEO01SQyBMaWZlY291cnNlIEVwaWRlbWlv
bG9neSBVbml0IGFuZCBOSUhSIFNvdXRoYW1wdG9uIEJpb21lZGljYWwgUmVzZWFyY2ggQ2VudHJl
LCBVbml2ZXJzaXR5IG9mIFNvdXRoYW1wdG9uIGFuZCBVbml2ZXJzaXR5IEhvc3BpdGFsIFNvdXRo
YW1wdG9uIE5IUyBGb3VuZGF0aW9uIFRydXN0LCBNYWlscG9pbnQgOTUsIFNvdXRoYW1wdG9uLCBV
Sy4mI3hEO1NjaG9vbCBvZiBNZWRpY2luZSwgVW5pdmVyc2l0eSBvZiBHbGFzZ293LCBOZXcgTGlz
dGVyIEJ1aWxkaW5nLCBHbGFzZ293IFJveWFsIEluZmlybWFyeSwgR2xhc2dvdywgVUsuJiN4RDtH
dXlzIGFuZCBTdCBUaG9tYXMmYXBvczsgTkhTIEZvdW5kYXRpb24gVHJ1c3QsIFdlc3RtaW5zdGVy
IEJyaWRnZSBSb2FkLCBMb25kb24sIFVLLiYjeEQ7SW5zdGl0dXRlIG9mIENhcmRpb3Zhc2N1bGFy
IGFuZCBNZWRpY2FsIFNjaWVuY2VzLCBSQzIxNCBMZXZlbCBDMiwgQnJpdGlzaCBIZWFydCBGb3Vu
ZGF0aW9uIEdsYXNnb3cgQ2FyZGlvdmFzY3VsYXIgUmVzZWFyY2ggQ2VudHJlLCBVbml2ZXJzaXR5
IG9mIEdsYXNnb3csIEdsYXNnb3csIFVLLiYjeEQ7SGVhbHRoIEJlaGF2aW91ciBSZXNlYXJjaCBD
ZW50cmUsIEluc3RpdHV0ZSBvZiBFcGlkZW1pb2xvZ3kgYW5kIEhlYWx0aCwgVW5pdmVyc2l0eSBD
b2xsZWdlIExvbmRvbiwgMS0xOSBUb3JyaW5ndG9uIFBsYWNlLCBMb25kb24sIFVLLiYjeEQ7RGl2
aXNpb24gb2YgRGlhYmV0ZXMgYW5kIE51dHJpdGlvbmFsIFNjaWVuY2VzLCBLaW5nJmFwb3M7cyBD
b2xsZWdlIExvbmRvbiwgRnJhbmtsaW4tV2lsa2lucyBCdWlsZGluZywgMTUwIFN0YW1mb3JkIFN0
cmVldCwgTG9uZG9uLCBVSy4gbG91aXNlLmdvZmZAa2NsLmFjLnVrLjwvYXV0aC1hZGRyZXNzPjx0
aXRsZXM+PHRpdGxlPkRpZXRhcnkgcGF0dGVybnMgaW4gb2Jlc2UgcHJlZ25hbnQgd29tZW47IGlu
Zmx1ZW5jZSBvZiBhIGJlaGF2aW9yYWwgaW50ZXJ2ZW50aW9uIG9mIGRpZXQgYW5kIHBoeXNpY2Fs
IGFjdGl2aXR5IGluIHRoZSBVUEJFQVQgcmFuZG9taXplZCBjb250cm9sbGVkIHRyaWFsPC90aXRs
ZT48c2Vjb25kYXJ5LXRpdGxlPkludCBKIEJlaGF2IE51dHIgUGh5cyBBY3Q8L3NlY29uZGFyeS10
aXRsZT48L3RpdGxlcz48cGVyaW9kaWNhbD48ZnVsbC10aXRsZT5JbnQgSiBCZWhhdiBOdXRyIFBo
eXMgQWN0PC9mdWxsLXRpdGxlPjwvcGVyaW9kaWNhbD48cGFnZXM+MTI0PC9wYWdlcz48dm9sdW1l
PjEzPC92b2x1bWU+PG51bWJlcj4xPC9udW1iZXI+PGVkaXRpb24+MjAxNi8xMS8zMDwvZWRpdGlv
bj48a2V5d29yZHM+PGtleXdvcmQ+QWR1bHQ8L2tleXdvcmQ+PGtleXdvcmQ+KkJlaGF2aW9yIFRo
ZXJhcHk8L2tleXdvcmQ+PGtleXdvcmQ+RGlhYmV0ZXMsIEdlc3RhdGlvbmFsL2V0aW9sb2d5L3By
ZXZlbnRpb24gJmFtcDsgY29udHJvbDwva2V5d29yZD48a2V5d29yZD4qRGlldDwva2V5d29yZD48
a2V5d29yZD4qRXhlcmNpc2U8L2tleXdvcmQ+PGtleXdvcmQ+RmFzdCBGb29kczwva2V5d29yZD48
a2V5d29yZD4qRmVlZGluZyBCZWhhdmlvcjwva2V5d29yZD48a2V5d29yZD5GZW1hbGU8L2tleXdv
cmQ+PGtleXdvcmQ+R2VzdGF0aW9uYWwgQWdlPC9rZXl3b3JkPjxrZXl3b3JkPkh1bWFuczwva2V5
d29yZD48a2V5d29yZD5PYmVzaXR5L2NvbXBsaWNhdGlvbnMvKnRoZXJhcHk8L2tleXdvcmQ+PGtl
eXdvcmQ+UHJlZ25hbmN5PC9rZXl3b3JkPjxrZXl3b3JkPlByZWduYW5jeSBDb21wbGljYXRpb25z
Lyp0aGVyYXB5PC9rZXl3b3JkPjxrZXl3b3JkPlByZWduYW5jeSBPdXRjb21lPC9rZXl3b3JkPjxr
ZXl3b3JkPlByZW5hdGFsIENhcmU8L2tleXdvcmQ+PGtleXdvcmQ+U25hY2tzPC9rZXl3b3JkPjxr
ZXl3b3JkPipEaWV0YXJ5IHBhdHRlcm5zPC9rZXl3b3JkPjxrZXl3b3JkPipHZXN0YXRpb25hbCBk
aWFiZXRlczwva2V5d29yZD48a2V5d29yZD4qT2Jlc2l0eTwva2V5d29yZD48a2V5d29yZD4qUHJl
Z25hbmN5PC9rZXl3b3JkPjwva2V5d29yZHM+PGRhdGVzPjx5ZWFyPjIwMTY8L3llYXI+PHB1Yi1k
YXRlcz48ZGF0ZT5Ob3YgMjk8L2RhdGU+PC9wdWItZGF0ZXM+PC9kYXRlcz48aXNibj4xNDc5LTU4
NjggKEVsZWN0cm9uaWMpJiN4RDsxNDc5LTU4NjggKExpbmtpbmcpPC9pc2JuPjxhY2Nlc3Npb24t
bnVtPjI3ODk0MzE2PC9hY2Nlc3Npb24tbnVtPjx1cmxzPjxyZWxhdGVkLXVybHM+PHVybD5odHRw
czovL3d3dy5uY2JpLm5sbS5uaWguZ292L3B1Ym1lZC8yNzg5NDMxNjwvdXJsPjwvcmVsYXRlZC11
cmxzPjwvdXJscz48Y3VzdG9tMj5QTUM1MTI2ODczPC9jdXN0b20yPjxlbGVjdHJvbmljLXJlc291
cmNlLW51bT4xMC4xMTg2L3MxMjk2Ni0wMTYtMDQ1MC0yPC9lbGVjdHJvbmljLXJlc291cmNlLW51
bT48L3JlY29yZD48L0NpdGU+PC9FbmROb3RlPn==
</w:fldData>
              </w:fldChar>
            </w:r>
            <w:r w:rsidR="002747EA">
              <w:instrText xml:space="preserve"> ADDIN EN.CITE.DATA </w:instrText>
            </w:r>
            <w:r w:rsidR="002747EA">
              <w:fldChar w:fldCharType="end"/>
            </w:r>
            <w:r w:rsidR="00767EBF">
              <w:fldChar w:fldCharType="separate"/>
            </w:r>
            <w:r w:rsidR="002747EA" w:rsidRPr="002747EA">
              <w:rPr>
                <w:noProof/>
                <w:vertAlign w:val="superscript"/>
              </w:rPr>
              <w:t>16</w:t>
            </w:r>
            <w:r w:rsidR="00767EBF">
              <w:fldChar w:fldCharType="end"/>
            </w:r>
          </w:p>
          <w:p w14:paraId="722FBA07" w14:textId="77777777" w:rsidR="00F76BD9" w:rsidRDefault="00F76BD9" w:rsidP="00F76BD9">
            <w:r>
              <w:t>UPBEAT</w:t>
            </w:r>
          </w:p>
          <w:p w14:paraId="2F2D1341" w14:textId="77777777" w:rsidR="00F76BD9" w:rsidRDefault="00F76BD9" w:rsidP="00F76BD9">
            <w:r>
              <w:t>United Kingdom</w:t>
            </w:r>
          </w:p>
          <w:p w14:paraId="535D8B74" w14:textId="4ADA5D4E" w:rsidR="00F76BD9" w:rsidRPr="00F76BD9" w:rsidRDefault="00F76BD9" w:rsidP="00F76BD9">
            <w:r>
              <w:t>RCT</w:t>
            </w:r>
          </w:p>
        </w:tc>
        <w:tc>
          <w:tcPr>
            <w:tcW w:w="1131" w:type="dxa"/>
            <w:tcBorders>
              <w:top w:val="single" w:sz="4" w:space="0" w:color="auto"/>
            </w:tcBorders>
          </w:tcPr>
          <w:p w14:paraId="46BBC445" w14:textId="7A5B5D61" w:rsidR="00F76BD9" w:rsidRPr="00F76BD9" w:rsidRDefault="00F76BD9" w:rsidP="00F76BD9">
            <w:r>
              <w:t>1,032 women</w:t>
            </w:r>
          </w:p>
        </w:tc>
        <w:tc>
          <w:tcPr>
            <w:tcW w:w="4964" w:type="dxa"/>
            <w:tcBorders>
              <w:top w:val="single" w:sz="4" w:space="0" w:color="auto"/>
            </w:tcBorders>
          </w:tcPr>
          <w:p w14:paraId="42A944B7" w14:textId="363A4EFB" w:rsidR="00F76BD9" w:rsidRDefault="00F76BD9" w:rsidP="00F76BD9">
            <w:r w:rsidRPr="00F76BD9">
              <w:rPr>
                <w:b/>
              </w:rPr>
              <w:t>Aim</w:t>
            </w:r>
            <w:r>
              <w:t>: T</w:t>
            </w:r>
            <w:r w:rsidRPr="00F76BD9">
              <w:t>o investigate the effect of a behavio</w:t>
            </w:r>
            <w:r>
              <w:t>u</w:t>
            </w:r>
            <w:r w:rsidRPr="00F76BD9">
              <w:t xml:space="preserve">ral intervention of diet and physical activity advice on dietary patterns in obese pregnant woman participating in the UPBEAT study, and to explore associations of dietary patterns with pregnancy outcomes. </w:t>
            </w:r>
          </w:p>
          <w:p w14:paraId="43A7F447" w14:textId="14B386AC" w:rsidR="00F76BD9" w:rsidRDefault="00F76BD9" w:rsidP="00F76BD9">
            <w:r w:rsidRPr="00F76BD9">
              <w:rPr>
                <w:b/>
              </w:rPr>
              <w:t>Methods</w:t>
            </w:r>
            <w:r>
              <w:t xml:space="preserve">: </w:t>
            </w:r>
            <w:r w:rsidRPr="00F76BD9">
              <w:t>Diet was assessed using a food frequency questionnaire (FFQ) at baseline (15(+0)-18(+6) weeks' gestation), post intervention (27(+0)-28(+6) weeks) and in late pregnancy (34(+0)-36(+0) weeks). D</w:t>
            </w:r>
            <w:r>
              <w:t>ietary patterns were characteris</w:t>
            </w:r>
            <w:r w:rsidRPr="00F76BD9">
              <w:t xml:space="preserve">ed using factor analysis of the baseline FFQ data, and changes compared in the control and intervention arms. </w:t>
            </w:r>
            <w:r w:rsidR="00E65CBF">
              <w:t>Four dietary patterns were identified.</w:t>
            </w:r>
          </w:p>
          <w:p w14:paraId="7B2A689F" w14:textId="36BA1F63" w:rsidR="00E65CBF" w:rsidRDefault="00E65CBF" w:rsidP="00E65CBF">
            <w:r>
              <w:t>‘Fruit and vegetables’ — h</w:t>
            </w:r>
            <w:r w:rsidR="00F76BD9" w:rsidRPr="00F76BD9">
              <w:t>igh intakes of bananas, citrus fruit, dried</w:t>
            </w:r>
            <w:r w:rsidR="00F76BD9">
              <w:t xml:space="preserve"> </w:t>
            </w:r>
            <w:r w:rsidR="00F76BD9" w:rsidRPr="00F76BD9">
              <w:t>fruit, fresh fruit, green vegetables, pulses, root vegetables,</w:t>
            </w:r>
            <w:r w:rsidR="00F76BD9">
              <w:t xml:space="preserve"> </w:t>
            </w:r>
            <w:r w:rsidR="00F76BD9" w:rsidRPr="00F76BD9">
              <w:t>salad vegetables, tropical fruit and yoghurt.</w:t>
            </w:r>
            <w:r w:rsidR="00F76BD9">
              <w:t xml:space="preserve"> </w:t>
            </w:r>
          </w:p>
          <w:p w14:paraId="1270380E" w14:textId="77777777" w:rsidR="00E65CBF" w:rsidRDefault="00F76BD9" w:rsidP="00E65CBF">
            <w:r w:rsidRPr="00F76BD9">
              <w:rPr>
                <w:rFonts w:ascii="Helvetica" w:hAnsi="Helvetica"/>
              </w:rPr>
              <w:t>‘</w:t>
            </w:r>
            <w:r w:rsidRPr="00F76BD9">
              <w:t>African/Caribbean</w:t>
            </w:r>
            <w:r w:rsidRPr="00F76BD9">
              <w:rPr>
                <w:rFonts w:ascii="Helvetica" w:hAnsi="Helvetica"/>
              </w:rPr>
              <w:t xml:space="preserve">’ </w:t>
            </w:r>
            <w:r w:rsidR="00E65CBF">
              <w:t>—</w:t>
            </w:r>
            <w:r w:rsidRPr="00F76BD9">
              <w:t xml:space="preserve"> high loadings on red meat, cassava,</w:t>
            </w:r>
            <w:r>
              <w:t xml:space="preserve"> </w:t>
            </w:r>
            <w:r w:rsidRPr="00F76BD9">
              <w:t>white meat, rice including pilau, fried or jollof rice, plantain</w:t>
            </w:r>
            <w:r>
              <w:t xml:space="preserve"> </w:t>
            </w:r>
            <w:r w:rsidRPr="00F76BD9">
              <w:t xml:space="preserve">and fish. </w:t>
            </w:r>
          </w:p>
          <w:p w14:paraId="4C0ACB56" w14:textId="77777777" w:rsidR="00E65CBF" w:rsidRDefault="00F76BD9" w:rsidP="00E65CBF">
            <w:r>
              <w:t xml:space="preserve">‘Processed’ </w:t>
            </w:r>
            <w:r w:rsidR="00E65CBF">
              <w:t>— high</w:t>
            </w:r>
            <w:r w:rsidRPr="00F76BD9">
              <w:t xml:space="preserve"> intakes of chocolate, crisps, green vegetables, potatoes,</w:t>
            </w:r>
            <w:r>
              <w:t xml:space="preserve"> </w:t>
            </w:r>
            <w:r w:rsidRPr="00F76BD9">
              <w:t>processed meat and meat products, root vegetables,</w:t>
            </w:r>
            <w:r>
              <w:t xml:space="preserve"> </w:t>
            </w:r>
            <w:r w:rsidRPr="00F76BD9">
              <w:t>squash and fizzy drinks, sugar free squash and fizzy drinks</w:t>
            </w:r>
            <w:r>
              <w:t xml:space="preserve"> </w:t>
            </w:r>
            <w:r w:rsidRPr="00F76BD9">
              <w:t xml:space="preserve">and chips. </w:t>
            </w:r>
          </w:p>
          <w:p w14:paraId="2C6570D2" w14:textId="1F72439C" w:rsidR="00F76BD9" w:rsidRPr="00F76BD9" w:rsidRDefault="00F76BD9" w:rsidP="00E65CBF">
            <w:r w:rsidRPr="00F76BD9">
              <w:rPr>
                <w:rFonts w:ascii="Helvetica" w:hAnsi="Helvetica"/>
              </w:rPr>
              <w:t>‘</w:t>
            </w:r>
            <w:r w:rsidRPr="00F76BD9">
              <w:t>Snacks</w:t>
            </w:r>
            <w:r w:rsidRPr="00F76BD9">
              <w:rPr>
                <w:rFonts w:ascii="Helvetica" w:hAnsi="Helvetica"/>
              </w:rPr>
              <w:t xml:space="preserve">’ </w:t>
            </w:r>
            <w:r w:rsidR="00E65CBF">
              <w:t>—</w:t>
            </w:r>
            <w:r w:rsidRPr="00F76BD9">
              <w:t xml:space="preserve"> high loadings on biscuits, cookies, cakes,</w:t>
            </w:r>
            <w:r>
              <w:t xml:space="preserve"> </w:t>
            </w:r>
            <w:r w:rsidRPr="00F76BD9">
              <w:t>pastries, chocolate, full fat cheese and sweets.</w:t>
            </w:r>
            <w:r>
              <w:t xml:space="preserve"> </w:t>
            </w:r>
          </w:p>
        </w:tc>
        <w:tc>
          <w:tcPr>
            <w:tcW w:w="4535" w:type="dxa"/>
            <w:tcBorders>
              <w:top w:val="single" w:sz="4" w:space="0" w:color="auto"/>
            </w:tcBorders>
          </w:tcPr>
          <w:p w14:paraId="5F403C8F" w14:textId="32662C05" w:rsidR="00F76BD9" w:rsidRDefault="00F76BD9" w:rsidP="00F76BD9">
            <w:r w:rsidRPr="00F76BD9">
              <w:t>In the adjusted model, baseline scores for the African/Caribbean (quartile 4 compared with qua</w:t>
            </w:r>
            <w:r w:rsidR="00E65CBF">
              <w:t>rtile 1: OR</w:t>
            </w:r>
            <w:r>
              <w:t xml:space="preserve"> 2.46; 95% CI 1.41 to</w:t>
            </w:r>
            <w:r w:rsidRPr="00F76BD9">
              <w:t xml:space="preserve"> 4.30) and Processed (quartile </w:t>
            </w:r>
            <w:r>
              <w:t>4 compared with quartile 1: OR</w:t>
            </w:r>
            <w:r w:rsidRPr="00F76BD9">
              <w:t xml:space="preserve"> 2.05; 95% CI 1.23, 3.41) patterns in the entire cohort were associated with increased risk of gestational diabetes. </w:t>
            </w:r>
          </w:p>
          <w:p w14:paraId="4AA5F564" w14:textId="0A68E93F" w:rsidR="00E65CBF" w:rsidRPr="00F76BD9" w:rsidRDefault="00E65CBF" w:rsidP="00F76BD9">
            <w:r>
              <w:t>There were no clear increases or decreases in risk for other outcomes (pre-eclampsia, LGA, SGA, macrosomia) for any dietary pattern.</w:t>
            </w:r>
          </w:p>
        </w:tc>
        <w:tc>
          <w:tcPr>
            <w:tcW w:w="1842" w:type="dxa"/>
            <w:tcBorders>
              <w:top w:val="single" w:sz="4" w:space="0" w:color="auto"/>
            </w:tcBorders>
          </w:tcPr>
          <w:p w14:paraId="5BC3D3A5" w14:textId="36EC4FAD" w:rsidR="00F76BD9" w:rsidRPr="00F76BD9" w:rsidRDefault="00F76BD9" w:rsidP="00F76BD9"/>
        </w:tc>
      </w:tr>
    </w:tbl>
    <w:p w14:paraId="61496282" w14:textId="118D9879" w:rsidR="007B3A77" w:rsidRDefault="009C163D" w:rsidP="005719CE">
      <w:pPr>
        <w:pStyle w:val="TableName"/>
        <w:ind w:left="1134" w:hanging="1134"/>
      </w:pPr>
      <w:bookmarkStart w:id="33" w:name="_Toc40956590"/>
      <w:r>
        <w:t xml:space="preserve">Q1 </w:t>
      </w:r>
      <w:r w:rsidR="004633B7">
        <w:t>D</w:t>
      </w:r>
      <w:r w:rsidR="00B40B7D">
        <w:t xml:space="preserve">ietary patterns in pregnancy </w:t>
      </w:r>
      <w:r w:rsidR="00343DBA">
        <w:t>— observational studies</w:t>
      </w:r>
      <w:bookmarkEnd w:id="3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2: Q1 Dietary patterns in pregnancy — observational studies"/>
      </w:tblPr>
      <w:tblGrid>
        <w:gridCol w:w="1560"/>
        <w:gridCol w:w="992"/>
        <w:gridCol w:w="4961"/>
        <w:gridCol w:w="4536"/>
        <w:gridCol w:w="1843"/>
      </w:tblGrid>
      <w:tr w:rsidR="007B3A77" w:rsidRPr="00F350A6" w14:paraId="39E8083C" w14:textId="77777777" w:rsidTr="004C390A">
        <w:trPr>
          <w:cantSplit/>
          <w:trHeight w:val="418"/>
          <w:tblHeader/>
        </w:trPr>
        <w:tc>
          <w:tcPr>
            <w:tcW w:w="1560" w:type="dxa"/>
          </w:tcPr>
          <w:p w14:paraId="5755041F" w14:textId="77777777" w:rsidR="007B3A77" w:rsidRPr="00F350A6" w:rsidRDefault="007B3A77" w:rsidP="00F20A8C">
            <w:pPr>
              <w:keepNext/>
              <w:rPr>
                <w:b/>
              </w:rPr>
            </w:pPr>
            <w:r>
              <w:rPr>
                <w:b/>
              </w:rPr>
              <w:t>Study ref</w:t>
            </w:r>
          </w:p>
        </w:tc>
        <w:tc>
          <w:tcPr>
            <w:tcW w:w="992" w:type="dxa"/>
          </w:tcPr>
          <w:p w14:paraId="738BEC81" w14:textId="77777777" w:rsidR="007B3A77" w:rsidRPr="00F350A6" w:rsidRDefault="007B3A77" w:rsidP="00F20A8C">
            <w:pPr>
              <w:keepNext/>
              <w:rPr>
                <w:b/>
              </w:rPr>
            </w:pPr>
            <w:r>
              <w:rPr>
                <w:b/>
              </w:rPr>
              <w:t>N</w:t>
            </w:r>
          </w:p>
        </w:tc>
        <w:tc>
          <w:tcPr>
            <w:tcW w:w="4961" w:type="dxa"/>
          </w:tcPr>
          <w:p w14:paraId="59FD097F" w14:textId="77777777" w:rsidR="007B3A77" w:rsidRPr="00F350A6" w:rsidRDefault="007B3A77" w:rsidP="00F20A8C">
            <w:pPr>
              <w:keepNext/>
              <w:rPr>
                <w:b/>
              </w:rPr>
            </w:pPr>
            <w:r>
              <w:rPr>
                <w:b/>
              </w:rPr>
              <w:t>Aim/methods</w:t>
            </w:r>
          </w:p>
        </w:tc>
        <w:tc>
          <w:tcPr>
            <w:tcW w:w="4536" w:type="dxa"/>
          </w:tcPr>
          <w:p w14:paraId="5B62380F" w14:textId="77777777" w:rsidR="007B3A77" w:rsidRPr="00F350A6" w:rsidRDefault="007B3A77" w:rsidP="00F20A8C">
            <w:pPr>
              <w:keepNext/>
              <w:rPr>
                <w:b/>
              </w:rPr>
            </w:pPr>
            <w:r>
              <w:rPr>
                <w:b/>
              </w:rPr>
              <w:t>Results</w:t>
            </w:r>
          </w:p>
        </w:tc>
        <w:tc>
          <w:tcPr>
            <w:tcW w:w="1843" w:type="dxa"/>
          </w:tcPr>
          <w:p w14:paraId="620D7901" w14:textId="77777777" w:rsidR="007B3A77" w:rsidRPr="00F350A6" w:rsidRDefault="007B3A77" w:rsidP="00F20A8C">
            <w:pPr>
              <w:keepNext/>
              <w:rPr>
                <w:b/>
              </w:rPr>
            </w:pPr>
            <w:r>
              <w:rPr>
                <w:b/>
              </w:rPr>
              <w:t>Comments</w:t>
            </w:r>
          </w:p>
        </w:tc>
      </w:tr>
      <w:tr w:rsidR="004C390A" w:rsidRPr="007B3A77" w14:paraId="12ABFBEE" w14:textId="77777777" w:rsidTr="004C390A">
        <w:trPr>
          <w:cantSplit/>
          <w:trHeight w:val="390"/>
        </w:trPr>
        <w:tc>
          <w:tcPr>
            <w:tcW w:w="1560" w:type="dxa"/>
          </w:tcPr>
          <w:p w14:paraId="267DB7F7" w14:textId="134EE6ED" w:rsidR="004C390A" w:rsidRPr="008A2B00" w:rsidRDefault="004C390A" w:rsidP="007B3A77">
            <w:r w:rsidRPr="008A2B00">
              <w:t>Baskin et al 2017</w:t>
            </w:r>
            <w:r w:rsidRPr="008A2B00">
              <w:fldChar w:fldCharType="begin">
                <w:fldData xml:space="preserve">PEVuZE5vdGU+PENpdGU+PEF1dGhvcj5CYXNraW48L0F1dGhvcj48WWVhcj4yMDE3PC9ZZWFyPjxS
ZWNOdW0+MTM0NDwvUmVjTnVtPjxEaXNwbGF5VGV4dD48c3R5bGUgZmFjZT0ic3VwZXJzY3JpcHQi
IGZvbnQ9IlRyZWJ1Y2hldCBNUyIgc2l6ZT0iOSI+MjY8L3N0eWxlPjwvRGlzcGxheVRleHQ+PHJl
Y29yZD48cmVjLW51bWJlcj4xMzQ0PC9yZWMtbnVtYmVyPjxmb3JlaWduLWtleXM+PGtleSBhcHA9
IkVOIiBkYi1pZD0iZXh2YXNyZngyZHRyYW9lc2FzeHAyc3pzeGEyZGY1MDI1OTJ4IiB0aW1lc3Rh
bXA9IjE1NjcwMzA5NzYiPjEzNDQ8L2tleT48a2V5IGFwcD0iRU5XZWIiIGRiLWlkPSIiPjA8L2tl
eT48L2ZvcmVpZ24ta2V5cz48cmVmLXR5cGUgbmFtZT0iSm91cm5hbCBBcnRpY2xlIj4xNzwvcmVm
LXR5cGU+PGNvbnRyaWJ1dG9ycz48YXV0aG9ycz48YXV0aG9yPkJhc2tpbiwgUi48L2F1dGhvcj48
YXV0aG9yPkhpbGwsIEIuPC9hdXRob3I+PGF1dGhvcj5KYWNrYSwgRi4gTi48L2F1dGhvcj48YXV0
aG9yPk8mYXBvcztOZWlsLCBBLjwvYXV0aG9yPjxhdXRob3I+U2tvdXRlcmlzLCBILjwvYXV0aG9y
PjwvYXV0aG9ycz48L2NvbnRyaWJ1dG9ycz48YXV0aC1hZGRyZXNzPlNjaG9vbCBvZiBQc3ljaG9s
b2d5LCBEZWFraW4gVW5pdmVyc2l0eSwgQnVyd29vZCwgVmljdG9yaWEsIEF1c3RyYWxpYS4mI3hE
O0RpdmlzaW9uIG9mIE51dHJpdGlvbmFsIFBzeWNoaWF0cnkgUmVzZWFyY2gsIElNUEFDVCBTdHJh
dGVnaWMgUmVzZWFyY2ggQ2VudHJlLCBHZWVsb25nLCBWaWN0b3JpYSwgQXVzdHJhbGlhLiYjeEQ7
RGVwYXJ0bWVudCBvZiBQc3ljaGlhdHJ5LCBUaGUgVW5pdmVyc2l0eSBvZiBNZWxib3VybmUsIE1l
bGJvdXJuZSwgVmljdG9yaWEsIEF1c3RyYWxpYS4mI3hEO0NlbnRyZSBmb3IgQWRvbGVzY2VudCBI
ZWFsdGgsIE11cmRvY2ggQ2hpbGRyZW4mYXBvcztzIFJlc2VhcmNoIENlbnRyZSwgUGFya3ZpbGxl
LCBWaWN0b3JpYSwgQXVzdHJhbGlhLiYjeEQ7QmxhY2sgRG9nIEluc3RpdHV0ZSwgTmV3IFNvdXRo
IFdhbGVzLCBBdXN0cmFsaWEuJiN4RDtTY2hvb2wgb2YgUG9wdWxhdGlvbiBhbmQgR2xvYmFsIEhl
YWx0aCwgVW5pdmVyc2l0eSBvZiBNZWxib3VybmUsIENhcmx0b24sIFZpY3RvcmlhLCBBdXN0cmFs
aWEuJiN4RDtTY2hvb2wgb2YgUHVibGljIEhlYWx0aCBhbmQgUHJldmVudGl2ZSBNZWRpY2luZSwg
TW9uYXNoIFVuaXZlcnNpdHksIFByYWhyYW4sIFZpY3RvcmlhLCBBdXN0cmFsaWEuPC9hdXRoLWFk
ZHJlc3M+PHRpdGxlcz48dGl0bGU+QW50ZW5hdGFsIGRpZXRhcnkgcGF0dGVybnMgYW5kIGRlcHJl
c3NpdmUgc3ltcHRvbXMgZHVyaW5nIHByZWduYW5jeSBhbmQgZWFybHkgcG9zdC1wYXJ0dW08L3Rp
dGxlPjxzZWNvbmRhcnktdGl0bGU+TWF0ZXJuIENoaWxkIE51dHI8L3NlY29uZGFyeS10aXRsZT48
L3RpdGxlcz48cGVyaW9kaWNhbD48ZnVsbC10aXRsZT5NYXRlcm4gQ2hpbGQgTnV0cjwvZnVsbC10
aXRsZT48L3BlcmlvZGljYWw+PHZvbHVtZT4xMzwvdm9sdW1lPjxudW1iZXI+MTwvbnVtYmVyPjxl
ZGl0aW9uPjIwMTYvMDEvMDU8L2VkaXRpb24+PGtleXdvcmRzPjxrZXl3b3JkPkFkb2xlc2NlbnQ8
L2tleXdvcmQ+PGtleXdvcmQ+QWR1bHQ8L2tleXdvcmQ+PGtleXdvcmQ+QW5pbWFsczwva2V5d29y
ZD48a2V5d29yZD5Dcm9zcy1TZWN0aW9uYWwgU3R1ZGllczwva2V5d29yZD48a2V5d29yZD5EZXBy
ZXNzaW9uLCBQb3N0cGFydHVtLypwcmV2ZW50aW9uICZhbXA7IGNvbnRyb2w8L2tleXdvcmQ+PGtl
eXdvcmQ+RmVtYWxlPC9rZXl3b3JkPjxrZXl3b3JkPkZpc2hlczwva2V5d29yZD48a2V5d29yZD5G
b29kIFF1YWxpdHk8L2tleXdvcmQ+PGtleXdvcmQ+RnJ1aXQ8L2tleXdvcmQ+PGtleXdvcmQ+Kkhl
YWx0aHkgRGlldDwva2V5d29yZD48a2V5d29yZD5IdW1hbnM8L2tleXdvcmQ+PGtleXdvcmQ+TGlm
ZSBTdHlsZTwva2V5d29yZD48a2V5d29yZD5OdXRyaXRpb24gQXNzZXNzbWVudDwva2V5d29yZD48
a2V5d29yZD4qUG9zdHBhcnR1bSBQZXJpb2Q8L2tleXdvcmQ+PGtleXdvcmQ+UHJlZ25hbmN5PC9r
ZXl3b3JkPjxrZXl3b3JkPipQcmVuYXRhbCBDYXJlPC9rZXl3b3JkPjxrZXl3b3JkPlByb3NwZWN0
aXZlIFN0dWRpZXM8L2tleXdvcmQ+PGtleXdvcmQ+U29jaW9lY29ub21pYyBGYWN0b3JzPC9rZXl3
b3JkPjxrZXl3b3JkPlN1cnZleXMgYW5kIFF1ZXN0aW9ubmFpcmVzPC9rZXl3b3JkPjxrZXl3b3Jk
PlZlZ2V0YWJsZXM8L2tleXdvcmQ+PGtleXdvcmQ+V2hvbGUgR3JhaW5zPC9rZXl3b3JkPjxrZXl3
b3JkPllvdW5nIEFkdWx0PC9rZXl3b3JkPjxrZXl3b3JkPiphbnRlbmF0YWw8L2tleXdvcmQ+PGtl
eXdvcmQ+KmRlcHJlc3Npb248L2tleXdvcmQ+PGtleXdvcmQ+KmRpZXQgcXVhbGl0eTwva2V5d29y
ZD48a2V5d29yZD4qbWF0ZXJuYWwgaGVhbHRoPC9rZXl3b3JkPjxrZXl3b3JkPipwZXJpbmF0YWw8
L2tleXdvcmQ+PGtleXdvcmQ+KnBvc3QtbmF0YWw8L2tleXdvcmQ+PC9rZXl3b3Jkcz48ZGF0ZXM+
PHllYXI+MjAxNzwveWVhcj48cHViLWRhdGVzPjxkYXRlPkphbjwvZGF0ZT48L3B1Yi1kYXRlcz48
L2RhdGVzPjxpc2JuPjE3NDAtODcwOSAoRWxlY3Ryb25pYykmI3hEOzE3NDAtODY5NSAoTGlua2lu
Zyk8L2lzYm4+PGFjY2Vzc2lvbi1udW0+MjY3MjUzNDc8L2FjY2Vzc2lvbi1udW0+PHVybHM+PHJl
bGF0ZWQtdXJscz48dXJsPmh0dHBzOi8vd3d3Lm5jYmkubmxtLm5paC5nb3YvcHVibWVkLzI2NzI1
MzQ3PC91cmw+PC9yZWxhdGVkLXVybHM+PC91cmxzPjxlbGVjdHJvbmljLXJlc291cmNlLW51bT4x
MC4xMTExL21jbi4xMjIxODwvZWxlY3Ryb25pYy1yZXNvdXJjZS1udW0+PC9yZWNvcmQ+PC9DaXRl
PjwvRW5kTm90ZT4A
</w:fldData>
              </w:fldChar>
            </w:r>
            <w:r w:rsidR="002747EA">
              <w:instrText xml:space="preserve"> ADDIN EN.CITE </w:instrText>
            </w:r>
            <w:r w:rsidR="002747EA">
              <w:fldChar w:fldCharType="begin">
                <w:fldData xml:space="preserve">PEVuZE5vdGU+PENpdGU+PEF1dGhvcj5CYXNraW48L0F1dGhvcj48WWVhcj4yMDE3PC9ZZWFyPjxS
ZWNOdW0+MTM0NDwvUmVjTnVtPjxEaXNwbGF5VGV4dD48c3R5bGUgZmFjZT0ic3VwZXJzY3JpcHQi
IGZvbnQ9IlRyZWJ1Y2hldCBNUyIgc2l6ZT0iOSI+MjY8L3N0eWxlPjwvRGlzcGxheVRleHQ+PHJl
Y29yZD48cmVjLW51bWJlcj4xMzQ0PC9yZWMtbnVtYmVyPjxmb3JlaWduLWtleXM+PGtleSBhcHA9
IkVOIiBkYi1pZD0iZXh2YXNyZngyZHRyYW9lc2FzeHAyc3pzeGEyZGY1MDI1OTJ4IiB0aW1lc3Rh
bXA9IjE1NjcwMzA5NzYiPjEzNDQ8L2tleT48a2V5IGFwcD0iRU5XZWIiIGRiLWlkPSIiPjA8L2tl
eT48L2ZvcmVpZ24ta2V5cz48cmVmLXR5cGUgbmFtZT0iSm91cm5hbCBBcnRpY2xlIj4xNzwvcmVm
LXR5cGU+PGNvbnRyaWJ1dG9ycz48YXV0aG9ycz48YXV0aG9yPkJhc2tpbiwgUi48L2F1dGhvcj48
YXV0aG9yPkhpbGwsIEIuPC9hdXRob3I+PGF1dGhvcj5KYWNrYSwgRi4gTi48L2F1dGhvcj48YXV0
aG9yPk8mYXBvcztOZWlsLCBBLjwvYXV0aG9yPjxhdXRob3I+U2tvdXRlcmlzLCBILjwvYXV0aG9y
PjwvYXV0aG9ycz48L2NvbnRyaWJ1dG9ycz48YXV0aC1hZGRyZXNzPlNjaG9vbCBvZiBQc3ljaG9s
b2d5LCBEZWFraW4gVW5pdmVyc2l0eSwgQnVyd29vZCwgVmljdG9yaWEsIEF1c3RyYWxpYS4mI3hE
O0RpdmlzaW9uIG9mIE51dHJpdGlvbmFsIFBzeWNoaWF0cnkgUmVzZWFyY2gsIElNUEFDVCBTdHJh
dGVnaWMgUmVzZWFyY2ggQ2VudHJlLCBHZWVsb25nLCBWaWN0b3JpYSwgQXVzdHJhbGlhLiYjeEQ7
RGVwYXJ0bWVudCBvZiBQc3ljaGlhdHJ5LCBUaGUgVW5pdmVyc2l0eSBvZiBNZWxib3VybmUsIE1l
bGJvdXJuZSwgVmljdG9yaWEsIEF1c3RyYWxpYS4mI3hEO0NlbnRyZSBmb3IgQWRvbGVzY2VudCBI
ZWFsdGgsIE11cmRvY2ggQ2hpbGRyZW4mYXBvcztzIFJlc2VhcmNoIENlbnRyZSwgUGFya3ZpbGxl
LCBWaWN0b3JpYSwgQXVzdHJhbGlhLiYjeEQ7QmxhY2sgRG9nIEluc3RpdHV0ZSwgTmV3IFNvdXRo
IFdhbGVzLCBBdXN0cmFsaWEuJiN4RDtTY2hvb2wgb2YgUG9wdWxhdGlvbiBhbmQgR2xvYmFsIEhl
YWx0aCwgVW5pdmVyc2l0eSBvZiBNZWxib3VybmUsIENhcmx0b24sIFZpY3RvcmlhLCBBdXN0cmFs
aWEuJiN4RDtTY2hvb2wgb2YgUHVibGljIEhlYWx0aCBhbmQgUHJldmVudGl2ZSBNZWRpY2luZSwg
TW9uYXNoIFVuaXZlcnNpdHksIFByYWhyYW4sIFZpY3RvcmlhLCBBdXN0cmFsaWEuPC9hdXRoLWFk
ZHJlc3M+PHRpdGxlcz48dGl0bGU+QW50ZW5hdGFsIGRpZXRhcnkgcGF0dGVybnMgYW5kIGRlcHJl
c3NpdmUgc3ltcHRvbXMgZHVyaW5nIHByZWduYW5jeSBhbmQgZWFybHkgcG9zdC1wYXJ0dW08L3Rp
dGxlPjxzZWNvbmRhcnktdGl0bGU+TWF0ZXJuIENoaWxkIE51dHI8L3NlY29uZGFyeS10aXRsZT48
L3RpdGxlcz48cGVyaW9kaWNhbD48ZnVsbC10aXRsZT5NYXRlcm4gQ2hpbGQgTnV0cjwvZnVsbC10
aXRsZT48L3BlcmlvZGljYWw+PHZvbHVtZT4xMzwvdm9sdW1lPjxudW1iZXI+MTwvbnVtYmVyPjxl
ZGl0aW9uPjIwMTYvMDEvMDU8L2VkaXRpb24+PGtleXdvcmRzPjxrZXl3b3JkPkFkb2xlc2NlbnQ8
L2tleXdvcmQ+PGtleXdvcmQ+QWR1bHQ8L2tleXdvcmQ+PGtleXdvcmQ+QW5pbWFsczwva2V5d29y
ZD48a2V5d29yZD5Dcm9zcy1TZWN0aW9uYWwgU3R1ZGllczwva2V5d29yZD48a2V5d29yZD5EZXBy
ZXNzaW9uLCBQb3N0cGFydHVtLypwcmV2ZW50aW9uICZhbXA7IGNvbnRyb2w8L2tleXdvcmQ+PGtl
eXdvcmQ+RmVtYWxlPC9rZXl3b3JkPjxrZXl3b3JkPkZpc2hlczwva2V5d29yZD48a2V5d29yZD5G
b29kIFF1YWxpdHk8L2tleXdvcmQ+PGtleXdvcmQ+RnJ1aXQ8L2tleXdvcmQ+PGtleXdvcmQ+Kkhl
YWx0aHkgRGlldDwva2V5d29yZD48a2V5d29yZD5IdW1hbnM8L2tleXdvcmQ+PGtleXdvcmQ+TGlm
ZSBTdHlsZTwva2V5d29yZD48a2V5d29yZD5OdXRyaXRpb24gQXNzZXNzbWVudDwva2V5d29yZD48
a2V5d29yZD4qUG9zdHBhcnR1bSBQZXJpb2Q8L2tleXdvcmQ+PGtleXdvcmQ+UHJlZ25hbmN5PC9r
ZXl3b3JkPjxrZXl3b3JkPipQcmVuYXRhbCBDYXJlPC9rZXl3b3JkPjxrZXl3b3JkPlByb3NwZWN0
aXZlIFN0dWRpZXM8L2tleXdvcmQ+PGtleXdvcmQ+U29jaW9lY29ub21pYyBGYWN0b3JzPC9rZXl3
b3JkPjxrZXl3b3JkPlN1cnZleXMgYW5kIFF1ZXN0aW9ubmFpcmVzPC9rZXl3b3JkPjxrZXl3b3Jk
PlZlZ2V0YWJsZXM8L2tleXdvcmQ+PGtleXdvcmQ+V2hvbGUgR3JhaW5zPC9rZXl3b3JkPjxrZXl3
b3JkPllvdW5nIEFkdWx0PC9rZXl3b3JkPjxrZXl3b3JkPiphbnRlbmF0YWw8L2tleXdvcmQ+PGtl
eXdvcmQ+KmRlcHJlc3Npb248L2tleXdvcmQ+PGtleXdvcmQ+KmRpZXQgcXVhbGl0eTwva2V5d29y
ZD48a2V5d29yZD4qbWF0ZXJuYWwgaGVhbHRoPC9rZXl3b3JkPjxrZXl3b3JkPipwZXJpbmF0YWw8
L2tleXdvcmQ+PGtleXdvcmQ+KnBvc3QtbmF0YWw8L2tleXdvcmQ+PC9rZXl3b3Jkcz48ZGF0ZXM+
PHllYXI+MjAxNzwveWVhcj48cHViLWRhdGVzPjxkYXRlPkphbjwvZGF0ZT48L3B1Yi1kYXRlcz48
L2RhdGVzPjxpc2JuPjE3NDAtODcwOSAoRWxlY3Ryb25pYykmI3hEOzE3NDAtODY5NSAoTGlua2lu
Zyk8L2lzYm4+PGFjY2Vzc2lvbi1udW0+MjY3MjUzNDc8L2FjY2Vzc2lvbi1udW0+PHVybHM+PHJl
bGF0ZWQtdXJscz48dXJsPmh0dHBzOi8vd3d3Lm5jYmkubmxtLm5paC5nb3YvcHVibWVkLzI2NzI1
MzQ3PC91cmw+PC9yZWxhdGVkLXVybHM+PC91cmxzPjxlbGVjdHJvbmljLXJlc291cmNlLW51bT4x
MC4xMTExL21jbi4xMjIxODwvZWxlY3Ryb25pYy1yZXNvdXJjZS1udW0+PC9yZWNvcmQ+PC9DaXRl
PjwvRW5kTm90ZT4A
</w:fldData>
              </w:fldChar>
            </w:r>
            <w:r w:rsidR="002747EA">
              <w:instrText xml:space="preserve"> ADDIN EN.CITE.DATA </w:instrText>
            </w:r>
            <w:r w:rsidR="002747EA">
              <w:fldChar w:fldCharType="end"/>
            </w:r>
            <w:r w:rsidRPr="008A2B00">
              <w:fldChar w:fldCharType="separate"/>
            </w:r>
            <w:r w:rsidR="002747EA" w:rsidRPr="002747EA">
              <w:rPr>
                <w:noProof/>
                <w:vertAlign w:val="superscript"/>
              </w:rPr>
              <w:t>26</w:t>
            </w:r>
            <w:r w:rsidRPr="008A2B00">
              <w:fldChar w:fldCharType="end"/>
            </w:r>
          </w:p>
          <w:p w14:paraId="400735F4" w14:textId="77777777" w:rsidR="004C390A" w:rsidRPr="008A2B00" w:rsidRDefault="004C390A" w:rsidP="007B3A77">
            <w:r w:rsidRPr="008A2B00">
              <w:t>Australia</w:t>
            </w:r>
          </w:p>
          <w:p w14:paraId="6FADB418" w14:textId="77777777" w:rsidR="004C390A" w:rsidRPr="008A2B00" w:rsidRDefault="004C390A" w:rsidP="007B3A77">
            <w:r w:rsidRPr="008A2B00">
              <w:t>Cross-section</w:t>
            </w:r>
          </w:p>
        </w:tc>
        <w:tc>
          <w:tcPr>
            <w:tcW w:w="992" w:type="dxa"/>
          </w:tcPr>
          <w:p w14:paraId="75E2F07B" w14:textId="77777777" w:rsidR="004C390A" w:rsidRPr="008A2B00" w:rsidRDefault="004C390A" w:rsidP="007B3A77">
            <w:r w:rsidRPr="008A2B00">
              <w:t>167 women</w:t>
            </w:r>
          </w:p>
        </w:tc>
        <w:tc>
          <w:tcPr>
            <w:tcW w:w="4961" w:type="dxa"/>
          </w:tcPr>
          <w:p w14:paraId="1E3090F4" w14:textId="77777777" w:rsidR="004C390A" w:rsidRPr="008A2B00" w:rsidRDefault="004C390A" w:rsidP="00D05CB6">
            <w:pPr>
              <w:rPr>
                <w:rFonts w:ascii="Helvetica" w:hAnsi="Helvetica"/>
                <w:szCs w:val="18"/>
              </w:rPr>
            </w:pPr>
            <w:r w:rsidRPr="008A2B00">
              <w:rPr>
                <w:b/>
              </w:rPr>
              <w:t xml:space="preserve">Aim: </w:t>
            </w:r>
            <w:r w:rsidRPr="008A2B00">
              <w:rPr>
                <w:rFonts w:ascii="Helvetica" w:hAnsi="Helvetica"/>
                <w:szCs w:val="18"/>
              </w:rPr>
              <w:t xml:space="preserve">To explore the predictive role of antenatal diet quality for antenatal and postnatal depressive symptoms. </w:t>
            </w:r>
          </w:p>
          <w:p w14:paraId="48359444" w14:textId="77777777" w:rsidR="004C390A" w:rsidRPr="008A2B00" w:rsidRDefault="004C390A" w:rsidP="00C97E3A">
            <w:pPr>
              <w:rPr>
                <w:b/>
              </w:rPr>
            </w:pPr>
            <w:r w:rsidRPr="008A2B00">
              <w:rPr>
                <w:b/>
              </w:rPr>
              <w:t>Methods</w:t>
            </w:r>
            <w:r w:rsidRPr="008A2B00">
              <w:t>: Pregnant women completed the Edinburgh Postnatal Depression Scale at time 1 [T1, mean weeks gestation</w:t>
            </w:r>
            <w:r>
              <w:t>=</w:t>
            </w:r>
            <w:r w:rsidRPr="008A2B00">
              <w:t>16.70±0.91], time 2 (T2, mean weeks gestation</w:t>
            </w:r>
            <w:r>
              <w:t>=</w:t>
            </w:r>
            <w:r w:rsidRPr="008A2B00">
              <w:t>32.89±0.89) and time 3 (T3, mean weeks post-partum</w:t>
            </w:r>
            <w:r>
              <w:t>=</w:t>
            </w:r>
            <w:r w:rsidRPr="008A2B00">
              <w:t>13.51±1.97) and a food frequency questionnaire at T1 and T2. Diet quality was determined by extracting dietary patterns via principal components analysis. Two dietary patterns were identified: 'healthy' (including fruit, vegetables, fish and whole grains) and 'unhealthy' (including sweets, refined grains, high-energy drinks and fast foods). Associations between dietary patterns and depressive symptoms were investigated by path analyses.</w:t>
            </w:r>
          </w:p>
        </w:tc>
        <w:tc>
          <w:tcPr>
            <w:tcW w:w="4536" w:type="dxa"/>
          </w:tcPr>
          <w:p w14:paraId="4A85D450" w14:textId="77777777" w:rsidR="004C390A" w:rsidRDefault="004C390A" w:rsidP="00180C1C">
            <w:r w:rsidRPr="00B778E9">
              <w:t>Examination of beta weights (</w:t>
            </w:r>
            <w:r w:rsidRPr="00B778E9">
              <w:rPr>
                <w:rFonts w:ascii="Helvetica" w:hAnsi="Helvetica"/>
              </w:rPr>
              <w:t>β</w:t>
            </w:r>
            <w:r w:rsidRPr="00B778E9">
              <w:t>)</w:t>
            </w:r>
            <w:r>
              <w:t xml:space="preserve"> </w:t>
            </w:r>
            <w:r w:rsidRPr="00B778E9">
              <w:t xml:space="preserve">revealed that </w:t>
            </w:r>
            <w:r w:rsidRPr="00B778E9">
              <w:rPr>
                <w:rFonts w:ascii="Helvetica" w:hAnsi="Helvetica"/>
              </w:rPr>
              <w:t>‘</w:t>
            </w:r>
            <w:r w:rsidRPr="00B778E9">
              <w:t>healthy</w:t>
            </w:r>
            <w:r w:rsidRPr="00B778E9">
              <w:rPr>
                <w:rFonts w:ascii="Helvetica" w:hAnsi="Helvetica"/>
              </w:rPr>
              <w:t xml:space="preserve">’ </w:t>
            </w:r>
            <w:r w:rsidRPr="00B778E9">
              <w:t>dietary pattern scores at T1</w:t>
            </w:r>
            <w:r>
              <w:t xml:space="preserve"> </w:t>
            </w:r>
            <w:r w:rsidRPr="00B778E9">
              <w:t xml:space="preserve">positively predicted </w:t>
            </w:r>
            <w:r w:rsidRPr="00B778E9">
              <w:rPr>
                <w:rFonts w:ascii="Helvetica" w:hAnsi="Helvetica"/>
              </w:rPr>
              <w:t>‘</w:t>
            </w:r>
            <w:r w:rsidRPr="00B778E9">
              <w:t>healthy</w:t>
            </w:r>
            <w:r w:rsidRPr="00B778E9">
              <w:rPr>
                <w:rFonts w:ascii="Helvetica" w:hAnsi="Helvetica"/>
              </w:rPr>
              <w:t xml:space="preserve">’ </w:t>
            </w:r>
            <w:r w:rsidRPr="00B778E9">
              <w:t>dietary pattern scores at</w:t>
            </w:r>
            <w:r>
              <w:t xml:space="preserve"> </w:t>
            </w:r>
            <w:r w:rsidRPr="00B778E9">
              <w:t>T2 (</w:t>
            </w:r>
            <w:r w:rsidRPr="00B778E9">
              <w:rPr>
                <w:rFonts w:ascii="Helvetica" w:hAnsi="Helvetica"/>
              </w:rPr>
              <w:t xml:space="preserve">β </w:t>
            </w:r>
            <w:r w:rsidRPr="00B778E9">
              <w:t>=0.30, p</w:t>
            </w:r>
            <w:r w:rsidRPr="00B778E9">
              <w:rPr>
                <w:rFonts w:ascii="Helvetica" w:hAnsi="Helvetica"/>
              </w:rPr>
              <w:t>&lt;</w:t>
            </w:r>
            <w:r>
              <w:t>0.01, 95%CI</w:t>
            </w:r>
            <w:r w:rsidRPr="00B778E9">
              <w:t xml:space="preserve"> 0.14 to 0.46). Similarly</w:t>
            </w:r>
            <w:r>
              <w:t xml:space="preserve"> </w:t>
            </w:r>
            <w:r w:rsidRPr="00180C1C">
              <w:t>depressive symptoms at T1 positively predicted depressive</w:t>
            </w:r>
            <w:r>
              <w:t xml:space="preserve"> </w:t>
            </w:r>
            <w:r w:rsidRPr="00180C1C">
              <w:t>symptoms at both T2 (</w:t>
            </w:r>
            <w:r w:rsidRPr="00180C1C">
              <w:rPr>
                <w:rFonts w:ascii="Helvetica" w:hAnsi="Helvetica"/>
              </w:rPr>
              <w:t xml:space="preserve">β </w:t>
            </w:r>
            <w:r w:rsidRPr="00180C1C">
              <w:t>=0.48, p</w:t>
            </w:r>
            <w:r w:rsidRPr="00180C1C">
              <w:rPr>
                <w:rFonts w:ascii="Helvetica" w:hAnsi="Helvetica"/>
              </w:rPr>
              <w:t>&lt;</w:t>
            </w:r>
            <w:r w:rsidRPr="00180C1C">
              <w:t>0.01, 95%</w:t>
            </w:r>
            <w:r>
              <w:t>CI</w:t>
            </w:r>
            <w:r w:rsidRPr="00180C1C">
              <w:t xml:space="preserve"> 0.34 to 0.62) and T3 (</w:t>
            </w:r>
            <w:r w:rsidRPr="00180C1C">
              <w:rPr>
                <w:rFonts w:ascii="Helvetica" w:hAnsi="Helvetica"/>
              </w:rPr>
              <w:t xml:space="preserve">β </w:t>
            </w:r>
            <w:r w:rsidRPr="00180C1C">
              <w:t>=0.40, p</w:t>
            </w:r>
            <w:r w:rsidRPr="00180C1C">
              <w:rPr>
                <w:rFonts w:ascii="Helvetica" w:hAnsi="Helvetica"/>
              </w:rPr>
              <w:t>&lt;</w:t>
            </w:r>
            <w:r w:rsidRPr="00180C1C">
              <w:t>0.01, 95%</w:t>
            </w:r>
            <w:r>
              <w:t>CI</w:t>
            </w:r>
            <w:r w:rsidRPr="00180C1C">
              <w:t xml:space="preserve"> 0.25 to 0.55). There were no signi</w:t>
            </w:r>
            <w:r w:rsidRPr="00180C1C">
              <w:rPr>
                <w:rFonts w:ascii="Helvetica" w:hAnsi="Helvetica"/>
              </w:rPr>
              <w:t>fi</w:t>
            </w:r>
            <w:r w:rsidRPr="00180C1C">
              <w:t>cant paths between</w:t>
            </w:r>
            <w:r>
              <w:t xml:space="preserve"> </w:t>
            </w:r>
            <w:r w:rsidRPr="00180C1C">
              <w:t xml:space="preserve">a </w:t>
            </w:r>
            <w:r w:rsidRPr="00180C1C">
              <w:rPr>
                <w:rFonts w:ascii="Helvetica" w:hAnsi="Helvetica"/>
              </w:rPr>
              <w:t>‘</w:t>
            </w:r>
            <w:r w:rsidRPr="00180C1C">
              <w:t>healthy</w:t>
            </w:r>
            <w:r w:rsidRPr="00180C1C">
              <w:rPr>
                <w:rFonts w:ascii="Helvetica" w:hAnsi="Helvetica"/>
              </w:rPr>
              <w:t xml:space="preserve">’ </w:t>
            </w:r>
            <w:r w:rsidRPr="00180C1C">
              <w:t>dietary pattern and depressive scores.</w:t>
            </w:r>
            <w:r>
              <w:t xml:space="preserve"> </w:t>
            </w:r>
          </w:p>
          <w:p w14:paraId="0B2ED237" w14:textId="77777777" w:rsidR="004C390A" w:rsidRPr="008A2B00" w:rsidRDefault="004C390A" w:rsidP="00180C1C">
            <w:r w:rsidRPr="00F57770">
              <w:t>Examination of beta</w:t>
            </w:r>
            <w:r>
              <w:t xml:space="preserve"> </w:t>
            </w:r>
            <w:r w:rsidRPr="00F57770">
              <w:t xml:space="preserve">weights revealed that </w:t>
            </w:r>
            <w:r w:rsidRPr="00F57770">
              <w:rPr>
                <w:rFonts w:ascii="Helvetica" w:hAnsi="Helvetica"/>
              </w:rPr>
              <w:t>‘</w:t>
            </w:r>
            <w:r w:rsidRPr="00F57770">
              <w:t>unhealthy</w:t>
            </w:r>
            <w:r w:rsidRPr="00F57770">
              <w:rPr>
                <w:rFonts w:ascii="Helvetica" w:hAnsi="Helvetica"/>
              </w:rPr>
              <w:t xml:space="preserve">’ </w:t>
            </w:r>
            <w:r w:rsidRPr="00F57770">
              <w:t>dietary pattern scores</w:t>
            </w:r>
            <w:r>
              <w:t xml:space="preserve"> </w:t>
            </w:r>
            <w:r w:rsidRPr="00F57770">
              <w:t xml:space="preserve">at T1 positively predicted </w:t>
            </w:r>
            <w:r w:rsidRPr="00F57770">
              <w:rPr>
                <w:rFonts w:ascii="Helvetica" w:hAnsi="Helvetica"/>
              </w:rPr>
              <w:t>‘</w:t>
            </w:r>
            <w:r w:rsidRPr="00F57770">
              <w:t>unhealthy</w:t>
            </w:r>
            <w:r w:rsidRPr="00F57770">
              <w:rPr>
                <w:rFonts w:ascii="Helvetica" w:hAnsi="Helvetica"/>
              </w:rPr>
              <w:t xml:space="preserve">’ </w:t>
            </w:r>
            <w:r w:rsidRPr="00F57770">
              <w:t>dietary pattern</w:t>
            </w:r>
            <w:r>
              <w:t xml:space="preserve"> </w:t>
            </w:r>
            <w:r w:rsidRPr="00F57770">
              <w:t>scores at T2 (</w:t>
            </w:r>
            <w:r w:rsidRPr="00F57770">
              <w:rPr>
                <w:rFonts w:ascii="Helvetica" w:hAnsi="Helvetica"/>
              </w:rPr>
              <w:t xml:space="preserve">β </w:t>
            </w:r>
            <w:r w:rsidRPr="00F57770">
              <w:t>=0.24, p</w:t>
            </w:r>
            <w:r w:rsidRPr="00F57770">
              <w:rPr>
                <w:rFonts w:ascii="Helvetica" w:hAnsi="Helvetica"/>
              </w:rPr>
              <w:t>&lt;</w:t>
            </w:r>
            <w:r>
              <w:t>0.01, 95%CI</w:t>
            </w:r>
            <w:r w:rsidRPr="00F57770">
              <w:t xml:space="preserve"> 0.08 to 0.40).</w:t>
            </w:r>
            <w:r>
              <w:t xml:space="preserve"> </w:t>
            </w:r>
            <w:r w:rsidRPr="00F57770">
              <w:t>Similarly, depressive symptoms at T1 positively predicted</w:t>
            </w:r>
            <w:r>
              <w:t xml:space="preserve"> </w:t>
            </w:r>
            <w:r w:rsidRPr="00F57770">
              <w:t>depressive symptoms at both T2 (</w:t>
            </w:r>
            <w:r w:rsidRPr="00F57770">
              <w:rPr>
                <w:rFonts w:ascii="Helvetica" w:hAnsi="Helvetica"/>
              </w:rPr>
              <w:t xml:space="preserve">β </w:t>
            </w:r>
            <w:r w:rsidRPr="00F57770">
              <w:t>=0.49,</w:t>
            </w:r>
            <w:r>
              <w:t xml:space="preserve"> </w:t>
            </w:r>
            <w:r w:rsidRPr="00F57770">
              <w:t>p</w:t>
            </w:r>
            <w:r w:rsidRPr="00F57770">
              <w:rPr>
                <w:rFonts w:ascii="Helvetica" w:hAnsi="Helvetica"/>
              </w:rPr>
              <w:t>&lt;</w:t>
            </w:r>
            <w:r>
              <w:t>0.01, 95%CI</w:t>
            </w:r>
            <w:r w:rsidRPr="00F57770">
              <w:t xml:space="preserve"> 0.35 to 0.63) and T3 (</w:t>
            </w:r>
            <w:r w:rsidRPr="00F57770">
              <w:rPr>
                <w:rFonts w:ascii="Helvetica" w:hAnsi="Helvetica"/>
              </w:rPr>
              <w:t xml:space="preserve">β </w:t>
            </w:r>
            <w:r w:rsidRPr="00F57770">
              <w:t>=0.37,</w:t>
            </w:r>
            <w:r>
              <w:t xml:space="preserve"> </w:t>
            </w:r>
            <w:r w:rsidRPr="00F57770">
              <w:t>p</w:t>
            </w:r>
            <w:r w:rsidRPr="00F57770">
              <w:rPr>
                <w:rFonts w:ascii="Helvetica" w:hAnsi="Helvetica"/>
              </w:rPr>
              <w:t>&lt;</w:t>
            </w:r>
            <w:r>
              <w:t>0.01, 95%CI</w:t>
            </w:r>
            <w:r w:rsidRPr="00F57770">
              <w:t xml:space="preserve"> 0.22 to 0.52). There was one</w:t>
            </w:r>
            <w:r>
              <w:t xml:space="preserve"> </w:t>
            </w:r>
            <w:r w:rsidRPr="00F57770">
              <w:t>signi</w:t>
            </w:r>
            <w:r w:rsidRPr="00F57770">
              <w:rPr>
                <w:rFonts w:ascii="Helvetica" w:hAnsi="Helvetica"/>
              </w:rPr>
              <w:t>fi</w:t>
            </w:r>
            <w:r w:rsidRPr="00F57770">
              <w:t xml:space="preserve">cant path between an </w:t>
            </w:r>
            <w:r w:rsidRPr="00F57770">
              <w:rPr>
                <w:rFonts w:ascii="Helvetica" w:hAnsi="Helvetica"/>
              </w:rPr>
              <w:t>‘</w:t>
            </w:r>
            <w:r w:rsidRPr="00F57770">
              <w:t>unhealthy</w:t>
            </w:r>
            <w:r w:rsidRPr="00F57770">
              <w:rPr>
                <w:rFonts w:ascii="Helvetica" w:hAnsi="Helvetica"/>
              </w:rPr>
              <w:t xml:space="preserve">’ </w:t>
            </w:r>
            <w:r w:rsidRPr="00F57770">
              <w:t>diet at T2 and</w:t>
            </w:r>
            <w:r>
              <w:t xml:space="preserve"> </w:t>
            </w:r>
            <w:r w:rsidRPr="00F57770">
              <w:t>depressive symptoms at T2 (</w:t>
            </w:r>
            <w:r w:rsidRPr="00F57770">
              <w:rPr>
                <w:rFonts w:ascii="Helvetica" w:hAnsi="Helvetica"/>
              </w:rPr>
              <w:t xml:space="preserve">β </w:t>
            </w:r>
            <w:r w:rsidRPr="00F57770">
              <w:t>=0.16, p</w:t>
            </w:r>
            <w:r w:rsidRPr="00F57770">
              <w:rPr>
                <w:rFonts w:ascii="Helvetica" w:hAnsi="Helvetica"/>
              </w:rPr>
              <w:t>&lt;</w:t>
            </w:r>
            <w:r w:rsidRPr="00F57770">
              <w:t>0.05, 95%</w:t>
            </w:r>
            <w:r>
              <w:t>CI</w:t>
            </w:r>
            <w:r w:rsidRPr="00F57770">
              <w:t xml:space="preserve"> 0.02 to 0.30); higher </w:t>
            </w:r>
            <w:r w:rsidRPr="00F57770">
              <w:rPr>
                <w:rFonts w:ascii="Helvetica" w:hAnsi="Helvetica"/>
              </w:rPr>
              <w:t>‘</w:t>
            </w:r>
            <w:r w:rsidRPr="00F57770">
              <w:t>unhealthy</w:t>
            </w:r>
            <w:r w:rsidRPr="00F57770">
              <w:rPr>
                <w:rFonts w:ascii="Helvetica" w:hAnsi="Helvetica"/>
              </w:rPr>
              <w:t xml:space="preserve">’ </w:t>
            </w:r>
            <w:r w:rsidRPr="00F57770">
              <w:t>dietary pattern</w:t>
            </w:r>
            <w:r>
              <w:t xml:space="preserve"> </w:t>
            </w:r>
            <w:r w:rsidRPr="00F57770">
              <w:t>scores were cross-sectionally related to higher</w:t>
            </w:r>
            <w:r>
              <w:t xml:space="preserve"> </w:t>
            </w:r>
            <w:r w:rsidRPr="00F57770">
              <w:t>depressive symptoms.</w:t>
            </w:r>
            <w:r>
              <w:t xml:space="preserve"> </w:t>
            </w:r>
          </w:p>
        </w:tc>
        <w:tc>
          <w:tcPr>
            <w:tcW w:w="1843" w:type="dxa"/>
          </w:tcPr>
          <w:p w14:paraId="1E433098" w14:textId="77777777" w:rsidR="004C390A" w:rsidRPr="007B3A77" w:rsidRDefault="004C390A" w:rsidP="007B3A77"/>
        </w:tc>
      </w:tr>
      <w:tr w:rsidR="004C390A" w:rsidRPr="007B3A77" w14:paraId="4F1E1317" w14:textId="77777777" w:rsidTr="004C390A">
        <w:trPr>
          <w:cantSplit/>
          <w:trHeight w:val="390"/>
        </w:trPr>
        <w:tc>
          <w:tcPr>
            <w:tcW w:w="1560" w:type="dxa"/>
          </w:tcPr>
          <w:p w14:paraId="6AECA297" w14:textId="14B2C1C7" w:rsidR="004C390A" w:rsidRDefault="004C390A" w:rsidP="007B3A77">
            <w:r>
              <w:t>Chia et al 2018</w:t>
            </w:r>
            <w:r>
              <w:fldChar w:fldCharType="begin">
                <w:fldData xml:space="preserve">PEVuZE5vdGU+PENpdGU+PEF1dGhvcj5DaGlhPC9BdXRob3I+PFllYXI+MjAxODwvWWVhcj48UmVj
TnVtPjE0MTI8L1JlY051bT48RGlzcGxheVRleHQ+PHN0eWxlIGZhY2U9InN1cGVyc2NyaXB0IiBm
b250PSJUcmVidWNoZXQgTVMiIHNpemU9IjkiPjM0PC9zdHlsZT48L0Rpc3BsYXlUZXh0PjxyZWNv
cmQ+PHJlYy1udW1iZXI+MTQxMjwvcmVjLW51bWJlcj48Zm9yZWlnbi1rZXlzPjxrZXkgYXBwPSJF
TiIgZGItaWQ9ImV4dmFzcmZ4MmR0cmFvZXNhc3hwMnN6c3hhMmRmNTAyNTkyeCIgdGltZXN0YW1w
PSIxNTY3OTI0Njk1Ij4xNDEyPC9rZXk+PC9mb3JlaWduLWtleXM+PHJlZi10eXBlIG5hbWU9Ikpv
dXJuYWwgQXJ0aWNsZSI+MTc8L3JlZi10eXBlPjxjb250cmlidXRvcnM+PGF1dGhvcnM+PGF1dGhv
cj5DaGlhLCBBLiBSLjwvYXV0aG9yPjxhdXRob3I+VGludCwgTS4gVC48L2F1dGhvcj48YXV0aG9y
PkhhbiwgQy4gWS48L2F1dGhvcj48YXV0aG9yPkNoZW4sIEwuIFcuPC9hdXRob3I+PGF1dGhvcj5D
b2xlZ2EsIE0uPC9hdXRob3I+PGF1dGhvcj5BcmlzLCBJLiBNLjwvYXV0aG9yPjxhdXRob3I+Q2h1
YSwgTS4gQy48L2F1dGhvcj48YXV0aG9yPlRhbiwgSy4gSC48L2F1dGhvcj48YXV0aG9yPllhcCwg
Ri48L2F1dGhvcj48YXV0aG9yPlNoZWssIEwuIFAuPC9hdXRob3I+PGF1dGhvcj5DaG9uZywgWS4g
Uy48L2F1dGhvcj48YXV0aG9yPkdvZGZyZXksIEsuIE0uPC9hdXRob3I+PGF1dGhvcj5Gb3J0aWVy
LCBNLiBWLjwvYXV0aG9yPjxhdXRob3I+TGVlLCBZLiBTLjwvYXV0aG9yPjxhdXRob3I+Q2hvbmcs
IE0uIEYuPC9hdXRob3I+PC9hdXRob3JzPjwvY29udHJpYnV0b3JzPjxhdXRoLWFkZHJlc3M+RGVw
YXJ0bWVudHMgb2YgT2JzdGV0cmljcyBhbmQgR3luZWNvbG9neSBhbmQgUGVkaWF0cmljcywgWW9u
ZyBMb28gTGluIFNjaG9vbCBvZiBNZWRpY2luZSwgTmF0aW9uYWwgVW5pdmVyc2l0eSBvZiBTaW5n
YXBvcmUsIFNpbmdhcG9yZS4mI3hEO0RlcGFydG1lbnQgb2YgRGlldGV0aWNzIGFuZCBOdXRyaXRp
b24sIE5nIFRlbmcgRm9uZyBHZW5lcmFsIEhvc3BpdGFsLCBOYXRpb25hbCBVbml2ZXJzaXR5IEhl
YWx0aCBTeXN0ZW0sIFNpbmdhcG9yZS4mI3hEO0RlcGFydG1lbnRzIG9mIFBlZGlhdHJpY3MsIFlv
bmcgTG9vIExpbiBTY2hvb2wgb2YgTWVkaWNpbmUsIE5hdGlvbmFsIFVuaXZlcnNpdHkgb2YgU2lu
Z2Fwb3JlLCBTaW5nYXBvcmUuJiN4RDtTaW5nYXBvcmUgSW5zdGl0dXRlIGZvciBDbGluaWNhbCBT
Y2llbmNlcywgQWdlbmN5IGZvciBTY2llbmNlLCBUZWNobm9sb2d5LCBhbmQgUmVzZWFyY2gsIFNp
bmdhcG9yZS4mI3hEO0RlcGFydG1lbnRzIG9mIE5lb25hdG9sb2d5LCBNYXRlcm5hbCBGZXRhbCBN
ZWRpY2luZSwgUGVkaWF0cmljcywgYW5kIERpYWdub3N0aWMgYW5kIEludGVydmVudGlvbmFsIElt
YWdpbmcsIEtLIFdvbWVuJmFwb3M7cyBhbmQgQ2hpbGRyZW4mYXBvcztzIEhvc3BpdGFsLCBTaW5n
YXBvcmUuJiN4RDtEZXBhcnRtZW50cyBvZiBNYXRlcm5hbCBGZXRhbCBNZWRpY2luZSwgUGVkaWF0
cmljcywgYW5kIERpYWdub3N0aWMgYW5kIEludGVydmVudGlvbmFsIEltYWdpbmcsIEtLIFdvbWVu
JmFwb3M7cyBhbmQgQ2hpbGRyZW4mYXBvcztzIEhvc3BpdGFsLCBTaW5nYXBvcmUuJiN4RDtEdWtl
LU5hdGlvbmFsIFVuaXZlcnNpdHkgb2YgU2luZ2Fwb3JlIEdyYWR1YXRlIE1lZGljYWwgU2Nob29s
LCBTaW5nYXBvcmUuJiN4RDtEZXBhcnRtZW50cyBvZiBQZWRpYXRyaWNzLCBhbmQgRGlhZ25vc3Rp
YyBhbmQgSW50ZXJ2ZW50aW9uYWwgSW1hZ2luZywgS0sgV29tZW4mYXBvcztzIGFuZCBDaGlsZHJl
biZhcG9zO3MgSG9zcGl0YWwsIFNpbmdhcG9yZS4mI3hEO0xlZSBLb25nIENoaWFuIFNjaG9vbCBv
ZiBNZWRpY2luZSwgTmFueWFuZyBUZWNobm9sb2dpY2FsIFVuaXZlcnNpdHksIFNpbmdhcG9yZS4m
I3hEO0RpdmlzaW9ucyBvZiBQZWRpYXRyaWMgQWxsZXJneSwgSW1tdW5vbG9neSwgYW5kIFJoZXVt
YXRvbG9neSBhbmQgUGVkaWF0cmljIEVuZG9jcmlub2xvZ3kgYW5kIERpYWJldGVzLCBLaG9vIFRl
Y2sgUHVhdC1OYXRpb25hbCBVbml2ZXJzaXR5IENoaWxkcmVuJmFwb3M7cyBNZWRpY2FsIEluc3Rp
dHV0ZSwgTmF0aW9uYWwgVW5pdmVyc2l0eSBIb3NwaXRhbCwgTmF0aW9uYWwgVW5pdmVyc2l0eSBI
ZWFsdGggU3lzdGVtLCBTaW5nYXBvcmUuJiN4RDtNZWRpY2FsIFJlc2VhcmNoIENvdW5jaWwgTGlm
ZWNvdXJzZSBFcGlkZW1pb2xvZ3kgVW5pdCBhbmQgTmF0aW9uYWwgSW5zdGl0dXRlIGZvciBIZWFs
dGggUmVzZWFyY2ggU291dGhhbXB0b24gQmlvbWVkaWNhbCBSZXNlYXJjaCBDZW50cmUsIFVuaXZl
cnNpdHkgb2YgU291dGhhbXB0b24gYW5kIFVuaXZlcnNpdHkgSG9zcGl0YWwgU291dGhhbXB0b24g
TmF0aW9uYWwgSGVhbHRoIFNlcnZpY2UgRm91bmRhdGlvbiBUcnVzdCwgU291dGhhbXB0b24sIFVu
aXRlZCBLaW5nZG9tLiYjeEQ7RGVwYXJ0bWVudHMgb2YgRGlhZ25vc3RpYyBhbmQgSW50ZXJ2ZW50
aW9uYWwgSW1hZ2luZywgS0sgV29tZW4mYXBvcztzIGFuZCBDaGlsZHJlbiZhcG9zO3MgSG9zcGl0
YWwsIFNpbmdhcG9yZS4mI3hEO0RpdmlzaW9ucyBvZiBQZWRpYXRyaWMgRW5kb2NyaW5vbG9neSBh
bmQgRGlhYmV0ZXMsIEtob28gVGVjayBQdWF0LU5hdGlvbmFsIFVuaXZlcnNpdHkgQ2hpbGRyZW4m
YXBvcztzIE1lZGljYWwgSW5zdGl0dXRlLCBOYXRpb25hbCBVbml2ZXJzaXR5IEhvc3BpdGFsLCBO
YXRpb25hbCBVbml2ZXJzaXR5IEhlYWx0aCBTeXN0ZW0sIFNpbmdhcG9yZS4mI3hEO1NhdyBTd2Vl
IEhvY2sgU2Nob29sIG9mIFB1YmxpYyBIZWFsdGgsIE5hdGlvbmFsIFVuaXZlcnNpdHkgb2YgU2lu
Z2Fwb3JlIGFuZCBOYXRpb25hbCBVbml2ZXJzaXR5IEhlYWx0aCBTeXN0ZW0sIFNpbmdhcG9yZS48
L2F1dGgtYWRkcmVzcz48dGl0bGVzPjx0aXRsZT5BZGhlcmVuY2UgdG8gYSBoZWFsdGh5IGVhdGlu
ZyBpbmRleCBmb3IgcHJlZ25hbnQgd29tZW4gaXMgYXNzb2NpYXRlZCB3aXRoIGxvd2VyIG5lb25h
dGFsIGFkaXBvc2l0eSBpbiBhIG11bHRpZXRobmljIEFzaWFuIGNvaG9ydDogdGhlIEdyb3dpbmcg
VXAgaW4gU2luZ2Fwb3JlIFRvd2FyZHMgaGVhbHRoeSBPdXRjb21lcyAoR1VTVE8pIFN0dWR5PC90
aXRsZT48c2Vjb25kYXJ5LXRpdGxlPkFtIEogQ2xpbiBOdXRyPC9zZWNvbmRhcnktdGl0bGU+PC90
aXRsZXM+PHBlcmlvZGljYWw+PGZ1bGwtdGl0bGU+QW0gSiBDbGluIE51dHI8L2Z1bGwtdGl0bGU+
PC9wZXJpb2RpY2FsPjxwYWdlcz43MS03OTwvcGFnZXM+PHZvbHVtZT4xMDc8L3ZvbHVtZT48bnVt
YmVyPjE8L251bWJlcj48ZWRpdGlvbj4yMDE4LzAxLzMxPC9lZGl0aW9uPjxrZXl3b3Jkcz48a2V5
d29yZD4qQWRpcG9zaXR5PC9rZXl3b3JkPjxrZXl3b3JkPkFkb2xlc2NlbnQ8L2tleXdvcmQ+PGtl
eXdvcmQ+QWR1bHQ8L2tleXdvcmQ+PGtleXdvcmQ+QXNpYW4gQ29udGluZW50YWwgQW5jZXN0cnkg
R3JvdXA8L2tleXdvcmQ+PGtleXdvcmQ+QmlydGggV2VpZ2h0PC9rZXl3b3JkPjxrZXl3b3JkPkJv
ZHkgQ29tcG9zaXRpb248L2tleXdvcmQ+PGtleXdvcmQ+Qm9keSBNYXNzIEluZGV4PC9rZXl3b3Jk
PjxrZXl3b3JkPkRpZXQgUmVjb3Jkczwva2V5d29yZD48a2V5d29yZD5FeGVyY2lzZTwva2V5d29y
ZD48a2V5d29yZD5GZW1hbGU8L2tleXdvcmQ+PGtleXdvcmQ+Rm9vZCBRdWFsaXR5PC9rZXl3b3Jk
PjxrZXl3b3JkPipIZWFsdGh5IERpZXQ8L2tleXdvcmQ+PGtleXdvcmQ+SHVtYW5zPC9rZXl3b3Jk
PjxrZXl3b3JkPkxvc3QgdG8gRm9sbG93LVVwPC9rZXl3b3JkPjxrZXl3b3JkPipNYXRlcm5hbCBO
dXRyaXRpb25hbCBQaHlzaW9sb2dpY2FsIFBoZW5vbWVuYTwva2V5d29yZD48a2V5d29yZD5NaWRk
bGUgQWdlZDwva2V5d29yZD48a2V5d29yZD5OdXRyaXRpb24gQXNzZXNzbWVudDwva2V5d29yZD48
a2V5d29yZD4qUGF0aWVudCBDb21wbGlhbmNlPC9rZXl3b3JkPjxrZXl3b3JkPlBlZGlhdHJpYyBP
YmVzaXR5LyplcGlkZW1pb2xvZ3kvKnByZXZlbnRpb24gJmFtcDsgY29udHJvbDwva2V5d29yZD48
a2V5d29yZD5QcmVnbmFuY3k8L2tleXdvcmQ+PGtleXdvcmQ+UHJlbWF0dXJlIEJpcnRoPC9rZXl3
b3JkPjxrZXl3b3JkPlByb3NwZWN0aXZlIFN0dWRpZXM8L2tleXdvcmQ+PGtleXdvcmQ+U2Vuc2l0
aXZpdHkgYW5kIFNwZWNpZmljaXR5PC9rZXl3b3JkPjxrZXl3b3JkPlNpbmdhcG9yZS9lcGlkZW1p
b2xvZ3k8L2tleXdvcmQ+PGtleXdvcmQ+WW91bmcgQWR1bHQ8L2tleXdvcmQ+PGtleXdvcmQ+KmJp
cnRoIHdlaWdodDwva2V5d29yZD48a2V5d29yZD4qZGlldCBxdWFsaXR5PC9rZXl3b3JkPjxrZXl3
b3JkPiptYXRlcm5hbCBkaWV0PC9rZXl3b3JkPjxrZXl3b3JkPipwcmV0ZXJtIGJpcnRoPC9rZXl3
b3JkPjwva2V5d29yZHM+PGRhdGVzPjx5ZWFyPjIwMTg8L3llYXI+PHB1Yi1kYXRlcz48ZGF0ZT5K
YW4gMTwvZGF0ZT48L3B1Yi1kYXRlcz48L2RhdGVzPjxpc2JuPjE5MzgtMzIwNyAoRWxlY3Ryb25p
YykmI3hEOzAwMDItOTE2NSAoTGlua2luZyk8L2lzYm4+PGFjY2Vzc2lvbi1udW0+MjkzODE3OTA8
L2FjY2Vzc2lvbi1udW0+PHVybHM+PHJlbGF0ZWQtdXJscz48dXJsPmh0dHBzOi8vd3d3Lm5jYmku
bmxtLm5paC5nb3YvcHVibWVkLzI5MzgxNzkwPC91cmw+PC9yZWxhdGVkLXVybHM+PC91cmxzPjxj
dXN0b20yPlBNQzU5NzI2NTY8L2N1c3RvbTI+PGVsZWN0cm9uaWMtcmVzb3VyY2UtbnVtPjEwLjEw
OTMvYWpjbi9ucXgwMDM8L2VsZWN0cm9uaWMtcmVzb3VyY2UtbnVtPjwvcmVjb3JkPjwvQ2l0ZT48
L0VuZE5vdGU+AG==
</w:fldData>
              </w:fldChar>
            </w:r>
            <w:r w:rsidR="002747EA">
              <w:instrText xml:space="preserve"> ADDIN EN.CITE </w:instrText>
            </w:r>
            <w:r w:rsidR="002747EA">
              <w:fldChar w:fldCharType="begin">
                <w:fldData xml:space="preserve">PEVuZE5vdGU+PENpdGU+PEF1dGhvcj5DaGlhPC9BdXRob3I+PFllYXI+MjAxODwvWWVhcj48UmVj
TnVtPjE0MTI8L1JlY051bT48RGlzcGxheVRleHQ+PHN0eWxlIGZhY2U9InN1cGVyc2NyaXB0IiBm
b250PSJUcmVidWNoZXQgTVMiIHNpemU9IjkiPjM0PC9zdHlsZT48L0Rpc3BsYXlUZXh0PjxyZWNv
cmQ+PHJlYy1udW1iZXI+MTQxMjwvcmVjLW51bWJlcj48Zm9yZWlnbi1rZXlzPjxrZXkgYXBwPSJF
TiIgZGItaWQ9ImV4dmFzcmZ4MmR0cmFvZXNhc3hwMnN6c3hhMmRmNTAyNTkyeCIgdGltZXN0YW1w
PSIxNTY3OTI0Njk1Ij4xNDEyPC9rZXk+PC9mb3JlaWduLWtleXM+PHJlZi10eXBlIG5hbWU9Ikpv
dXJuYWwgQXJ0aWNsZSI+MTc8L3JlZi10eXBlPjxjb250cmlidXRvcnM+PGF1dGhvcnM+PGF1dGhv
cj5DaGlhLCBBLiBSLjwvYXV0aG9yPjxhdXRob3I+VGludCwgTS4gVC48L2F1dGhvcj48YXV0aG9y
PkhhbiwgQy4gWS48L2F1dGhvcj48YXV0aG9yPkNoZW4sIEwuIFcuPC9hdXRob3I+PGF1dGhvcj5D
b2xlZ2EsIE0uPC9hdXRob3I+PGF1dGhvcj5BcmlzLCBJLiBNLjwvYXV0aG9yPjxhdXRob3I+Q2h1
YSwgTS4gQy48L2F1dGhvcj48YXV0aG9yPlRhbiwgSy4gSC48L2F1dGhvcj48YXV0aG9yPllhcCwg
Ri48L2F1dGhvcj48YXV0aG9yPlNoZWssIEwuIFAuPC9hdXRob3I+PGF1dGhvcj5DaG9uZywgWS4g
Uy48L2F1dGhvcj48YXV0aG9yPkdvZGZyZXksIEsuIE0uPC9hdXRob3I+PGF1dGhvcj5Gb3J0aWVy
LCBNLiBWLjwvYXV0aG9yPjxhdXRob3I+TGVlLCBZLiBTLjwvYXV0aG9yPjxhdXRob3I+Q2hvbmcs
IE0uIEYuPC9hdXRob3I+PC9hdXRob3JzPjwvY29udHJpYnV0b3JzPjxhdXRoLWFkZHJlc3M+RGVw
YXJ0bWVudHMgb2YgT2JzdGV0cmljcyBhbmQgR3luZWNvbG9neSBhbmQgUGVkaWF0cmljcywgWW9u
ZyBMb28gTGluIFNjaG9vbCBvZiBNZWRpY2luZSwgTmF0aW9uYWwgVW5pdmVyc2l0eSBvZiBTaW5n
YXBvcmUsIFNpbmdhcG9yZS4mI3hEO0RlcGFydG1lbnQgb2YgRGlldGV0aWNzIGFuZCBOdXRyaXRp
b24sIE5nIFRlbmcgRm9uZyBHZW5lcmFsIEhvc3BpdGFsLCBOYXRpb25hbCBVbml2ZXJzaXR5IEhl
YWx0aCBTeXN0ZW0sIFNpbmdhcG9yZS4mI3hEO0RlcGFydG1lbnRzIG9mIFBlZGlhdHJpY3MsIFlv
bmcgTG9vIExpbiBTY2hvb2wgb2YgTWVkaWNpbmUsIE5hdGlvbmFsIFVuaXZlcnNpdHkgb2YgU2lu
Z2Fwb3JlLCBTaW5nYXBvcmUuJiN4RDtTaW5nYXBvcmUgSW5zdGl0dXRlIGZvciBDbGluaWNhbCBT
Y2llbmNlcywgQWdlbmN5IGZvciBTY2llbmNlLCBUZWNobm9sb2d5LCBhbmQgUmVzZWFyY2gsIFNp
bmdhcG9yZS4mI3hEO0RlcGFydG1lbnRzIG9mIE5lb25hdG9sb2d5LCBNYXRlcm5hbCBGZXRhbCBN
ZWRpY2luZSwgUGVkaWF0cmljcywgYW5kIERpYWdub3N0aWMgYW5kIEludGVydmVudGlvbmFsIElt
YWdpbmcsIEtLIFdvbWVuJmFwb3M7cyBhbmQgQ2hpbGRyZW4mYXBvcztzIEhvc3BpdGFsLCBTaW5n
YXBvcmUuJiN4RDtEZXBhcnRtZW50cyBvZiBNYXRlcm5hbCBGZXRhbCBNZWRpY2luZSwgUGVkaWF0
cmljcywgYW5kIERpYWdub3N0aWMgYW5kIEludGVydmVudGlvbmFsIEltYWdpbmcsIEtLIFdvbWVu
JmFwb3M7cyBhbmQgQ2hpbGRyZW4mYXBvcztzIEhvc3BpdGFsLCBTaW5nYXBvcmUuJiN4RDtEdWtl
LU5hdGlvbmFsIFVuaXZlcnNpdHkgb2YgU2luZ2Fwb3JlIEdyYWR1YXRlIE1lZGljYWwgU2Nob29s
LCBTaW5nYXBvcmUuJiN4RDtEZXBhcnRtZW50cyBvZiBQZWRpYXRyaWNzLCBhbmQgRGlhZ25vc3Rp
YyBhbmQgSW50ZXJ2ZW50aW9uYWwgSW1hZ2luZywgS0sgV29tZW4mYXBvcztzIGFuZCBDaGlsZHJl
biZhcG9zO3MgSG9zcGl0YWwsIFNpbmdhcG9yZS4mI3hEO0xlZSBLb25nIENoaWFuIFNjaG9vbCBv
ZiBNZWRpY2luZSwgTmFueWFuZyBUZWNobm9sb2dpY2FsIFVuaXZlcnNpdHksIFNpbmdhcG9yZS4m
I3hEO0RpdmlzaW9ucyBvZiBQZWRpYXRyaWMgQWxsZXJneSwgSW1tdW5vbG9neSwgYW5kIFJoZXVt
YXRvbG9neSBhbmQgUGVkaWF0cmljIEVuZG9jcmlub2xvZ3kgYW5kIERpYWJldGVzLCBLaG9vIFRl
Y2sgUHVhdC1OYXRpb25hbCBVbml2ZXJzaXR5IENoaWxkcmVuJmFwb3M7cyBNZWRpY2FsIEluc3Rp
dHV0ZSwgTmF0aW9uYWwgVW5pdmVyc2l0eSBIb3NwaXRhbCwgTmF0aW9uYWwgVW5pdmVyc2l0eSBI
ZWFsdGggU3lzdGVtLCBTaW5nYXBvcmUuJiN4RDtNZWRpY2FsIFJlc2VhcmNoIENvdW5jaWwgTGlm
ZWNvdXJzZSBFcGlkZW1pb2xvZ3kgVW5pdCBhbmQgTmF0aW9uYWwgSW5zdGl0dXRlIGZvciBIZWFs
dGggUmVzZWFyY2ggU291dGhhbXB0b24gQmlvbWVkaWNhbCBSZXNlYXJjaCBDZW50cmUsIFVuaXZl
cnNpdHkgb2YgU291dGhhbXB0b24gYW5kIFVuaXZlcnNpdHkgSG9zcGl0YWwgU291dGhhbXB0b24g
TmF0aW9uYWwgSGVhbHRoIFNlcnZpY2UgRm91bmRhdGlvbiBUcnVzdCwgU291dGhhbXB0b24sIFVu
aXRlZCBLaW5nZG9tLiYjeEQ7RGVwYXJ0bWVudHMgb2YgRGlhZ25vc3RpYyBhbmQgSW50ZXJ2ZW50
aW9uYWwgSW1hZ2luZywgS0sgV29tZW4mYXBvcztzIGFuZCBDaGlsZHJlbiZhcG9zO3MgSG9zcGl0
YWwsIFNpbmdhcG9yZS4mI3hEO0RpdmlzaW9ucyBvZiBQZWRpYXRyaWMgRW5kb2NyaW5vbG9neSBh
bmQgRGlhYmV0ZXMsIEtob28gVGVjayBQdWF0LU5hdGlvbmFsIFVuaXZlcnNpdHkgQ2hpbGRyZW4m
YXBvcztzIE1lZGljYWwgSW5zdGl0dXRlLCBOYXRpb25hbCBVbml2ZXJzaXR5IEhvc3BpdGFsLCBO
YXRpb25hbCBVbml2ZXJzaXR5IEhlYWx0aCBTeXN0ZW0sIFNpbmdhcG9yZS4mI3hEO1NhdyBTd2Vl
IEhvY2sgU2Nob29sIG9mIFB1YmxpYyBIZWFsdGgsIE5hdGlvbmFsIFVuaXZlcnNpdHkgb2YgU2lu
Z2Fwb3JlIGFuZCBOYXRpb25hbCBVbml2ZXJzaXR5IEhlYWx0aCBTeXN0ZW0sIFNpbmdhcG9yZS48
L2F1dGgtYWRkcmVzcz48dGl0bGVzPjx0aXRsZT5BZGhlcmVuY2UgdG8gYSBoZWFsdGh5IGVhdGlu
ZyBpbmRleCBmb3IgcHJlZ25hbnQgd29tZW4gaXMgYXNzb2NpYXRlZCB3aXRoIGxvd2VyIG5lb25h
dGFsIGFkaXBvc2l0eSBpbiBhIG11bHRpZXRobmljIEFzaWFuIGNvaG9ydDogdGhlIEdyb3dpbmcg
VXAgaW4gU2luZ2Fwb3JlIFRvd2FyZHMgaGVhbHRoeSBPdXRjb21lcyAoR1VTVE8pIFN0dWR5PC90
aXRsZT48c2Vjb25kYXJ5LXRpdGxlPkFtIEogQ2xpbiBOdXRyPC9zZWNvbmRhcnktdGl0bGU+PC90
aXRsZXM+PHBlcmlvZGljYWw+PGZ1bGwtdGl0bGU+QW0gSiBDbGluIE51dHI8L2Z1bGwtdGl0bGU+
PC9wZXJpb2RpY2FsPjxwYWdlcz43MS03OTwvcGFnZXM+PHZvbHVtZT4xMDc8L3ZvbHVtZT48bnVt
YmVyPjE8L251bWJlcj48ZWRpdGlvbj4yMDE4LzAxLzMxPC9lZGl0aW9uPjxrZXl3b3Jkcz48a2V5
d29yZD4qQWRpcG9zaXR5PC9rZXl3b3JkPjxrZXl3b3JkPkFkb2xlc2NlbnQ8L2tleXdvcmQ+PGtl
eXdvcmQ+QWR1bHQ8L2tleXdvcmQ+PGtleXdvcmQ+QXNpYW4gQ29udGluZW50YWwgQW5jZXN0cnkg
R3JvdXA8L2tleXdvcmQ+PGtleXdvcmQ+QmlydGggV2VpZ2h0PC9rZXl3b3JkPjxrZXl3b3JkPkJv
ZHkgQ29tcG9zaXRpb248L2tleXdvcmQ+PGtleXdvcmQ+Qm9keSBNYXNzIEluZGV4PC9rZXl3b3Jk
PjxrZXl3b3JkPkRpZXQgUmVjb3Jkczwva2V5d29yZD48a2V5d29yZD5FeGVyY2lzZTwva2V5d29y
ZD48a2V5d29yZD5GZW1hbGU8L2tleXdvcmQ+PGtleXdvcmQ+Rm9vZCBRdWFsaXR5PC9rZXl3b3Jk
PjxrZXl3b3JkPipIZWFsdGh5IERpZXQ8L2tleXdvcmQ+PGtleXdvcmQ+SHVtYW5zPC9rZXl3b3Jk
PjxrZXl3b3JkPkxvc3QgdG8gRm9sbG93LVVwPC9rZXl3b3JkPjxrZXl3b3JkPipNYXRlcm5hbCBO
dXRyaXRpb25hbCBQaHlzaW9sb2dpY2FsIFBoZW5vbWVuYTwva2V5d29yZD48a2V5d29yZD5NaWRk
bGUgQWdlZDwva2V5d29yZD48a2V5d29yZD5OdXRyaXRpb24gQXNzZXNzbWVudDwva2V5d29yZD48
a2V5d29yZD4qUGF0aWVudCBDb21wbGlhbmNlPC9rZXl3b3JkPjxrZXl3b3JkPlBlZGlhdHJpYyBP
YmVzaXR5LyplcGlkZW1pb2xvZ3kvKnByZXZlbnRpb24gJmFtcDsgY29udHJvbDwva2V5d29yZD48
a2V5d29yZD5QcmVnbmFuY3k8L2tleXdvcmQ+PGtleXdvcmQ+UHJlbWF0dXJlIEJpcnRoPC9rZXl3
b3JkPjxrZXl3b3JkPlByb3NwZWN0aXZlIFN0dWRpZXM8L2tleXdvcmQ+PGtleXdvcmQ+U2Vuc2l0
aXZpdHkgYW5kIFNwZWNpZmljaXR5PC9rZXl3b3JkPjxrZXl3b3JkPlNpbmdhcG9yZS9lcGlkZW1p
b2xvZ3k8L2tleXdvcmQ+PGtleXdvcmQ+WW91bmcgQWR1bHQ8L2tleXdvcmQ+PGtleXdvcmQ+KmJp
cnRoIHdlaWdodDwva2V5d29yZD48a2V5d29yZD4qZGlldCBxdWFsaXR5PC9rZXl3b3JkPjxrZXl3
b3JkPiptYXRlcm5hbCBkaWV0PC9rZXl3b3JkPjxrZXl3b3JkPipwcmV0ZXJtIGJpcnRoPC9rZXl3
b3JkPjwva2V5d29yZHM+PGRhdGVzPjx5ZWFyPjIwMTg8L3llYXI+PHB1Yi1kYXRlcz48ZGF0ZT5K
YW4gMTwvZGF0ZT48L3B1Yi1kYXRlcz48L2RhdGVzPjxpc2JuPjE5MzgtMzIwNyAoRWxlY3Ryb25p
YykmI3hEOzAwMDItOTE2NSAoTGlua2luZyk8L2lzYm4+PGFjY2Vzc2lvbi1udW0+MjkzODE3OTA8
L2FjY2Vzc2lvbi1udW0+PHVybHM+PHJlbGF0ZWQtdXJscz48dXJsPmh0dHBzOi8vd3d3Lm5jYmku
bmxtLm5paC5nb3YvcHVibWVkLzI5MzgxNzkwPC91cmw+PC9yZWxhdGVkLXVybHM+PC91cmxzPjxj
dXN0b20yPlBNQzU5NzI2NTY8L2N1c3RvbTI+PGVsZWN0cm9uaWMtcmVzb3VyY2UtbnVtPjEwLjEw
OTMvYWpjbi9ucXgwMDM8L2VsZWN0cm9uaWMtcmVzb3VyY2UtbnVtPjwvcmVjb3JkPjwvQ2l0ZT48
L0VuZE5vdGU+AG==
</w:fldData>
              </w:fldChar>
            </w:r>
            <w:r w:rsidR="002747EA">
              <w:instrText xml:space="preserve"> ADDIN EN.CITE.DATA </w:instrText>
            </w:r>
            <w:r w:rsidR="002747EA">
              <w:fldChar w:fldCharType="end"/>
            </w:r>
            <w:r>
              <w:fldChar w:fldCharType="separate"/>
            </w:r>
            <w:r w:rsidR="002747EA" w:rsidRPr="002747EA">
              <w:rPr>
                <w:noProof/>
                <w:vertAlign w:val="superscript"/>
              </w:rPr>
              <w:t>34</w:t>
            </w:r>
            <w:r>
              <w:fldChar w:fldCharType="end"/>
            </w:r>
          </w:p>
          <w:p w14:paraId="13265F7D" w14:textId="77777777" w:rsidR="004C390A" w:rsidRDefault="004C390A" w:rsidP="007B3A77">
            <w:r>
              <w:t>Singapore</w:t>
            </w:r>
          </w:p>
          <w:p w14:paraId="4229EFCA" w14:textId="77777777" w:rsidR="004C390A" w:rsidRDefault="004C390A" w:rsidP="007B3A77">
            <w:r>
              <w:t>Cohort</w:t>
            </w:r>
          </w:p>
        </w:tc>
        <w:tc>
          <w:tcPr>
            <w:tcW w:w="992" w:type="dxa"/>
          </w:tcPr>
          <w:p w14:paraId="5DE0E6C2" w14:textId="77777777" w:rsidR="004C390A" w:rsidRDefault="004C390A" w:rsidP="007B3A77">
            <w:r>
              <w:t>1,051 women</w:t>
            </w:r>
          </w:p>
        </w:tc>
        <w:tc>
          <w:tcPr>
            <w:tcW w:w="4961" w:type="dxa"/>
          </w:tcPr>
          <w:p w14:paraId="18017A2B" w14:textId="77777777" w:rsidR="004C390A" w:rsidRDefault="004C390A" w:rsidP="00A17A17">
            <w:r>
              <w:rPr>
                <w:b/>
              </w:rPr>
              <w:t xml:space="preserve">Aim: </w:t>
            </w:r>
            <w:r>
              <w:t>To investigate</w:t>
            </w:r>
            <w:r w:rsidRPr="00A17A17">
              <w:t xml:space="preserve"> the association of maternal diet quality with the risk of preterm birth, offspring birth size, and adiposity in a multiethnic Asian birth cohort. </w:t>
            </w:r>
          </w:p>
          <w:p w14:paraId="0BB8875C" w14:textId="77777777" w:rsidR="004C390A" w:rsidRDefault="004C390A" w:rsidP="00A17A17">
            <w:pPr>
              <w:rPr>
                <w:b/>
              </w:rPr>
            </w:pPr>
            <w:r w:rsidRPr="00A17A17">
              <w:rPr>
                <w:b/>
              </w:rPr>
              <w:t>Methods</w:t>
            </w:r>
            <w:r w:rsidRPr="00A17A17">
              <w:t xml:space="preserve">: Dietary intakes were ascertained at 26-28 wk of gestation with the use of 24-h recalls and 3-d food diaries, from which diet quality (score range: 0-100) was measured by the Healthy Eating Index for pregnant women in Singapore (HEI-SGP). </w:t>
            </w:r>
          </w:p>
        </w:tc>
        <w:tc>
          <w:tcPr>
            <w:tcW w:w="4536" w:type="dxa"/>
          </w:tcPr>
          <w:p w14:paraId="412D8FB1" w14:textId="77777777" w:rsidR="004C390A" w:rsidRPr="004843FE" w:rsidRDefault="004C390A" w:rsidP="000925F9">
            <w:r w:rsidRPr="00A17A17">
              <w:t xml:space="preserve">Maternal diet quality during pregnancy was not associated with preterm birth </w:t>
            </w:r>
            <w:r>
              <w:t xml:space="preserve">(ß 0.91; 0.75 to 1.11) </w:t>
            </w:r>
            <w:r w:rsidRPr="00A17A17">
              <w:t>or birth weight</w:t>
            </w:r>
            <w:r>
              <w:t xml:space="preserve"> (-2.00; -22.57 to 18.57)</w:t>
            </w:r>
            <w:r w:rsidRPr="00A17A17">
              <w:t>. Greater adherence to the HEI-SGP (per 10-point increment in HEI-SGP score) was associated with longer birth length [beta (95% CI): 0.14 (0.03, 0.24 cm)], lower body mass index (in kg/m2) at birth [-0.07 (-0.13, -0.01)], lower sum of triceps and subscapular skinfold thickness [-0.15 (-0.26, -0.05 mm)], lower percentage body fat [-0.52% (-0.84%, -0.20%)], lower fat mass [-17.23 (-29.52, -4.94 g)], lower percentage abdominal superficial subcutaneous adipose tissue [-0.16% (-0.30%, -0.01%)], and lower percentage deep subcutaneous adipose tissue [-0.06% (-0.10%, -0.01%)].</w:t>
            </w:r>
          </w:p>
        </w:tc>
        <w:tc>
          <w:tcPr>
            <w:tcW w:w="1843" w:type="dxa"/>
          </w:tcPr>
          <w:p w14:paraId="0BEE46C8" w14:textId="77777777" w:rsidR="004C390A" w:rsidRPr="007B3A77" w:rsidRDefault="004C390A" w:rsidP="007B3A77"/>
        </w:tc>
      </w:tr>
      <w:tr w:rsidR="004C390A" w:rsidRPr="007B3A77" w14:paraId="4F963297" w14:textId="77777777" w:rsidTr="004C390A">
        <w:trPr>
          <w:cantSplit/>
          <w:trHeight w:val="390"/>
        </w:trPr>
        <w:tc>
          <w:tcPr>
            <w:tcW w:w="1560" w:type="dxa"/>
          </w:tcPr>
          <w:p w14:paraId="4FCF282E" w14:textId="5BA79E00" w:rsidR="004C390A" w:rsidRDefault="004C390A" w:rsidP="007B3A77">
            <w:r>
              <w:t>Emond et al 2018</w:t>
            </w:r>
            <w:r>
              <w:fldChar w:fldCharType="begin">
                <w:fldData xml:space="preserve">PEVuZE5vdGU+PENpdGU+PEF1dGhvcj5FbW9uZDwvQXV0aG9yPjxZZWFyPjIwMTg8L1llYXI+PFJl
Y051bT4xMzYwPC9SZWNOdW0+PERpc3BsYXlUZXh0PjxzdHlsZSBmYWNlPSJzdXBlcnNjcmlwdCIg
Zm9udD0iVHJlYnVjaGV0IE1TIiBzaXplPSI5Ij4zNTwvc3R5bGU+PC9EaXNwbGF5VGV4dD48cmVj
b3JkPjxyZWMtbnVtYmVyPjEzNjA8L3JlYy1udW1iZXI+PGZvcmVpZ24ta2V5cz48a2V5IGFwcD0i
RU4iIGRiLWlkPSJleHZhc3JmeDJkdHJhb2VzYXN4cDJzenN4YTJkZjUwMjU5MngiIHRpbWVzdGFt
cD0iMTU2NzAzMTA0OSI+MTM2MDwva2V5PjxrZXkgYXBwPSJFTldlYiIgZGItaWQ9IiI+MDwva2V5
PjwvZm9yZWlnbi1rZXlzPjxyZWYtdHlwZSBuYW1lPSJKb3VybmFsIEFydGljbGUiPjE3PC9yZWYt
dHlwZT48Y29udHJpYnV0b3JzPjxhdXRob3JzPjxhdXRob3I+RW1vbmQsIEouIEEuPC9hdXRob3I+
PGF1dGhvcj5LYXJhZ2FzLCBNLiBSLjwvYXV0aG9yPjxhdXRob3I+QmFrZXIsIEUuIFIuPC9hdXRo
b3I+PGF1dGhvcj5HaWxiZXJ0LURpYW1vbmQsIEQuPC9hdXRob3I+PC9hdXRob3JzPjwvY29udHJp
YnV0b3JzPjxhdXRoLWFkZHJlc3M+RGVwYXJ0bWVudHMgb2YgQmlvbWVkaWNhbCBEYXRhIFNjaWVu
Y2UsIFBlZGlhdHJpY3MsIGFuZCBFcGlkZW1pb2xvZ3ksIEdlaXNlbCBTY2hvb2wgb2YgTWVkaWNp
bmUgYXQgRGFydG1vdXRoIENvbGxlZ2UsIEhhbm92ZXIsIE5ILiYjeEQ7RGVwYXJ0bWVudHMgb2Yg
UGVkaWF0cmljcywgYW5kIEVwaWRlbWlvbG9neSwgR2Vpc2VsIFNjaG9vbCBvZiBNZWRpY2luZSBh
dCBEYXJ0bW91dGggQ29sbGVnZSwgSGFub3ZlciwgTkguJiN4RDtOb3JyaXMgQ290dG9uIENhbmNl
ciBDZW50ZXIsIExlYmFub24sIE5ILiYjeEQ7RGVwYXJ0bWVudHMgb2YgRXBpZGVtaW9sb2d5LCBH
ZWlzZWwgU2Nob29sIG9mIE1lZGljaW5lIGF0IERhcnRtb3V0aCBDb2xsZWdlLCBIYW5vdmVyLCBO
SC4mI3hEO0NoaWxkcmVuJmFwb3M7cyBFbnZpcm9ubWVudGFsIEhlYWx0aCBhbmQgRGlzZWFzZSBQ
cmV2ZW50aW9uIENlbnRlciBhdCBEYXJ0bW91dGggQ29sbGVnZSwgTGViYW5vbiwgTkguJiN4RDtE
ZXBhcnRtZW50IG9mIE9ic3RldHJpY3MgYW5kIEd5bmVjb2xvZ3ksIERhcnRtb3V0aC1IaXRjaGNv
Y2sgTWVkaWNhbCBDZW50ZXIsIExlYmFub24sIE5ILjwvYXV0aC1hZGRyZXNzPjx0aXRsZXM+PHRp
dGxlPkJldHRlciBkaWV0IHF1YWxpdHkgZHVyaW5nIHByZWduYW5jeSBpcyBhc3NvY2lhdGVkIHdp
dGggYSByZWR1Y2VkIGxpa2VsaWhvb2Qgb2YgYW4gaW5mYW50IGJvcm4gc21hbGwgZm9yIGdlc3Rh
dGlvbmFsIGFnZTogYW4gYW5hbHlzaXMgb2YgdGhlIHByb3NwZWN0aXZlIE5ldyBIYW1wc2hpcmUg
QmlydGggQ29ob3J0IFN0dWR5PC90aXRsZT48c2Vjb25kYXJ5LXRpdGxlPkogTnV0cjwvc2Vjb25k
YXJ5LXRpdGxlPjwvdGl0bGVzPjxwZXJpb2RpY2FsPjxmdWxsLXRpdGxlPkogTnV0cjwvZnVsbC10
aXRsZT48L3BlcmlvZGljYWw+PHBhZ2VzPjIyLTMwPC9wYWdlcz48dm9sdW1lPjE0ODwvdm9sdW1l
PjxudW1iZXI+MTwvbnVtYmVyPjxlZGl0aW9uPjIwMTgvMDEvMzA8L2VkaXRpb24+PGtleXdvcmRz
PjxrZXl3b3JkPkFkb2xlc2NlbnQ8L2tleXdvcmQ+PGtleXdvcmQ+QWR1bHQ8L2tleXdvcmQ+PGtl
eXdvcmQ+Qm9keSBNYXNzIEluZGV4PC9rZXl3b3JkPjxrZXl3b3JkPkJvZHkgV2VpZ2h0PC9rZXl3
b3JkPjxrZXl3b3JkPipEaWV0PC9rZXl3b3JkPjxrZXl3b3JkPkZlbWFsZTwva2V5d29yZD48a2V5
d29yZD5GZXRhbCBEZXZlbG9wbWVudDwva2V5d29yZD48a2V5d29yZD5GZXRhbCBNYWNyb3NvbWlh
L3ByZXZlbnRpb24gJmFtcDsgY29udHJvbDwva2V5d29yZD48a2V5d29yZD5IdW1hbnM8L2tleXdv
cmQ+PGtleXdvcmQ+SW5mYW50LCBTbWFsbCBmb3IgR2VzdGF0aW9uYWwgQWdlL2dyb3d0aCAmYW1w
OyBkZXZlbG9wbWVudDwva2V5d29yZD48a2V5d29yZD4qTWF0ZXJuYWwgTnV0cml0aW9uYWwgUGh5
c2lvbG9naWNhbCBQaGVub21lbmE8L2tleXdvcmQ+PGtleXdvcmQ+TWlkZGxlIEFnZWQ8L2tleXdv
cmQ+PGtleXdvcmQ+TmV3IEhhbXBzaGlyZTwva2V5d29yZD48a2V5d29yZD4qUHJlZ25hbmN5PC9r
ZXl3b3JkPjxrZXl3b3JkPlByb3NwZWN0aXZlIFN0dWRpZXM8L2tleXdvcmQ+PGtleXdvcmQ+Umlz
ayBGYWN0b3JzPC9rZXl3b3JkPjxrZXl3b3JkPllvdW5nIEFkdWx0PC9rZXl3b3JkPjxrZXl3b3Jk
PipBbHRlcm5hdGl2ZSBIZWFsdGh5IEVhdGluZyBJbmRleCAoQUhFSSk8L2tleXdvcmQ+PGtleXdv
cmQ+Kk5ldyBIYW1wc2hpcmUgQmlydGggQ29ob3J0PC9rZXl3b3JkPjxrZXl3b3JkPipjaGlsZGhv
b2Qgb2Jlc2l0eTwva2V5d29yZD48a2V5d29yZD4qZmV0YWwgb3JpZ2lucyBvZiBkaXNlYXNlPC9r
ZXl3b3JkPjxrZXl3b3JkPipwcmVnbmFuY3kgZGlldCBxdWFsaXR5PC9rZXl3b3JkPjwva2V5d29y
ZHM+PGRhdGVzPjx5ZWFyPjIwMTg8L3llYXI+PHB1Yi1kYXRlcz48ZGF0ZT5KYW4gMTwvZGF0ZT48
L3B1Yi1kYXRlcz48L2RhdGVzPjxpc2JuPjE1NDEtNjEwMCAoRWxlY3Ryb25pYykmI3hEOzAwMjIt
MzE2NiAoTGlua2luZyk8L2lzYm4+PGFjY2Vzc2lvbi1udW0+MjkzNzgwNDE8L2FjY2Vzc2lvbi1u
dW0+PHVybHM+PHJlbGF0ZWQtdXJscz48dXJsPmh0dHBzOi8vd3d3Lm5jYmkubmxtLm5paC5nb3Yv
cHVibWVkLzI5Mzc4MDQxPC91cmw+PC9yZWxhdGVkLXVybHM+PC91cmxzPjxjdXN0b20yPlBNQzYy
NTE1Nzg8L2N1c3RvbTI+PGVsZWN0cm9uaWMtcmVzb3VyY2UtbnVtPjEwLjEwOTMvam4vbnh4MDA1
PC9lbGVjdHJvbmljLXJlc291cmNlLW51bT48L3JlY29yZD48L0NpdGU+PC9FbmROb3RlPgB=
</w:fldData>
              </w:fldChar>
            </w:r>
            <w:r w:rsidR="002747EA">
              <w:instrText xml:space="preserve"> ADDIN EN.CITE </w:instrText>
            </w:r>
            <w:r w:rsidR="002747EA">
              <w:fldChar w:fldCharType="begin">
                <w:fldData xml:space="preserve">PEVuZE5vdGU+PENpdGU+PEF1dGhvcj5FbW9uZDwvQXV0aG9yPjxZZWFyPjIwMTg8L1llYXI+PFJl
Y051bT4xMzYwPC9SZWNOdW0+PERpc3BsYXlUZXh0PjxzdHlsZSBmYWNlPSJzdXBlcnNjcmlwdCIg
Zm9udD0iVHJlYnVjaGV0IE1TIiBzaXplPSI5Ij4zNTwvc3R5bGU+PC9EaXNwbGF5VGV4dD48cmVj
b3JkPjxyZWMtbnVtYmVyPjEzNjA8L3JlYy1udW1iZXI+PGZvcmVpZ24ta2V5cz48a2V5IGFwcD0i
RU4iIGRiLWlkPSJleHZhc3JmeDJkdHJhb2VzYXN4cDJzenN4YTJkZjUwMjU5MngiIHRpbWVzdGFt
cD0iMTU2NzAzMTA0OSI+MTM2MDwva2V5PjxrZXkgYXBwPSJFTldlYiIgZGItaWQ9IiI+MDwva2V5
PjwvZm9yZWlnbi1rZXlzPjxyZWYtdHlwZSBuYW1lPSJKb3VybmFsIEFydGljbGUiPjE3PC9yZWYt
dHlwZT48Y29udHJpYnV0b3JzPjxhdXRob3JzPjxhdXRob3I+RW1vbmQsIEouIEEuPC9hdXRob3I+
PGF1dGhvcj5LYXJhZ2FzLCBNLiBSLjwvYXV0aG9yPjxhdXRob3I+QmFrZXIsIEUuIFIuPC9hdXRo
b3I+PGF1dGhvcj5HaWxiZXJ0LURpYW1vbmQsIEQuPC9hdXRob3I+PC9hdXRob3JzPjwvY29udHJp
YnV0b3JzPjxhdXRoLWFkZHJlc3M+RGVwYXJ0bWVudHMgb2YgQmlvbWVkaWNhbCBEYXRhIFNjaWVu
Y2UsIFBlZGlhdHJpY3MsIGFuZCBFcGlkZW1pb2xvZ3ksIEdlaXNlbCBTY2hvb2wgb2YgTWVkaWNp
bmUgYXQgRGFydG1vdXRoIENvbGxlZ2UsIEhhbm92ZXIsIE5ILiYjeEQ7RGVwYXJ0bWVudHMgb2Yg
UGVkaWF0cmljcywgYW5kIEVwaWRlbWlvbG9neSwgR2Vpc2VsIFNjaG9vbCBvZiBNZWRpY2luZSBh
dCBEYXJ0bW91dGggQ29sbGVnZSwgSGFub3ZlciwgTkguJiN4RDtOb3JyaXMgQ290dG9uIENhbmNl
ciBDZW50ZXIsIExlYmFub24sIE5ILiYjeEQ7RGVwYXJ0bWVudHMgb2YgRXBpZGVtaW9sb2d5LCBH
ZWlzZWwgU2Nob29sIG9mIE1lZGljaW5lIGF0IERhcnRtb3V0aCBDb2xsZWdlLCBIYW5vdmVyLCBO
SC4mI3hEO0NoaWxkcmVuJmFwb3M7cyBFbnZpcm9ubWVudGFsIEhlYWx0aCBhbmQgRGlzZWFzZSBQ
cmV2ZW50aW9uIENlbnRlciBhdCBEYXJ0bW91dGggQ29sbGVnZSwgTGViYW5vbiwgTkguJiN4RDtE
ZXBhcnRtZW50IG9mIE9ic3RldHJpY3MgYW5kIEd5bmVjb2xvZ3ksIERhcnRtb3V0aC1IaXRjaGNv
Y2sgTWVkaWNhbCBDZW50ZXIsIExlYmFub24sIE5ILjwvYXV0aC1hZGRyZXNzPjx0aXRsZXM+PHRp
dGxlPkJldHRlciBkaWV0IHF1YWxpdHkgZHVyaW5nIHByZWduYW5jeSBpcyBhc3NvY2lhdGVkIHdp
dGggYSByZWR1Y2VkIGxpa2VsaWhvb2Qgb2YgYW4gaW5mYW50IGJvcm4gc21hbGwgZm9yIGdlc3Rh
dGlvbmFsIGFnZTogYW4gYW5hbHlzaXMgb2YgdGhlIHByb3NwZWN0aXZlIE5ldyBIYW1wc2hpcmUg
QmlydGggQ29ob3J0IFN0dWR5PC90aXRsZT48c2Vjb25kYXJ5LXRpdGxlPkogTnV0cjwvc2Vjb25k
YXJ5LXRpdGxlPjwvdGl0bGVzPjxwZXJpb2RpY2FsPjxmdWxsLXRpdGxlPkogTnV0cjwvZnVsbC10
aXRsZT48L3BlcmlvZGljYWw+PHBhZ2VzPjIyLTMwPC9wYWdlcz48dm9sdW1lPjE0ODwvdm9sdW1l
PjxudW1iZXI+MTwvbnVtYmVyPjxlZGl0aW9uPjIwMTgvMDEvMzA8L2VkaXRpb24+PGtleXdvcmRz
PjxrZXl3b3JkPkFkb2xlc2NlbnQ8L2tleXdvcmQ+PGtleXdvcmQ+QWR1bHQ8L2tleXdvcmQ+PGtl
eXdvcmQ+Qm9keSBNYXNzIEluZGV4PC9rZXl3b3JkPjxrZXl3b3JkPkJvZHkgV2VpZ2h0PC9rZXl3
b3JkPjxrZXl3b3JkPipEaWV0PC9rZXl3b3JkPjxrZXl3b3JkPkZlbWFsZTwva2V5d29yZD48a2V5
d29yZD5GZXRhbCBEZXZlbG9wbWVudDwva2V5d29yZD48a2V5d29yZD5GZXRhbCBNYWNyb3NvbWlh
L3ByZXZlbnRpb24gJmFtcDsgY29udHJvbDwva2V5d29yZD48a2V5d29yZD5IdW1hbnM8L2tleXdv
cmQ+PGtleXdvcmQ+SW5mYW50LCBTbWFsbCBmb3IgR2VzdGF0aW9uYWwgQWdlL2dyb3d0aCAmYW1w
OyBkZXZlbG9wbWVudDwva2V5d29yZD48a2V5d29yZD4qTWF0ZXJuYWwgTnV0cml0aW9uYWwgUGh5
c2lvbG9naWNhbCBQaGVub21lbmE8L2tleXdvcmQ+PGtleXdvcmQ+TWlkZGxlIEFnZWQ8L2tleXdv
cmQ+PGtleXdvcmQ+TmV3IEhhbXBzaGlyZTwva2V5d29yZD48a2V5d29yZD4qUHJlZ25hbmN5PC9r
ZXl3b3JkPjxrZXl3b3JkPlByb3NwZWN0aXZlIFN0dWRpZXM8L2tleXdvcmQ+PGtleXdvcmQ+Umlz
ayBGYWN0b3JzPC9rZXl3b3JkPjxrZXl3b3JkPllvdW5nIEFkdWx0PC9rZXl3b3JkPjxrZXl3b3Jk
PipBbHRlcm5hdGl2ZSBIZWFsdGh5IEVhdGluZyBJbmRleCAoQUhFSSk8L2tleXdvcmQ+PGtleXdv
cmQ+Kk5ldyBIYW1wc2hpcmUgQmlydGggQ29ob3J0PC9rZXl3b3JkPjxrZXl3b3JkPipjaGlsZGhv
b2Qgb2Jlc2l0eTwva2V5d29yZD48a2V5d29yZD4qZmV0YWwgb3JpZ2lucyBvZiBkaXNlYXNlPC9r
ZXl3b3JkPjxrZXl3b3JkPipwcmVnbmFuY3kgZGlldCBxdWFsaXR5PC9rZXl3b3JkPjwva2V5d29y
ZHM+PGRhdGVzPjx5ZWFyPjIwMTg8L3llYXI+PHB1Yi1kYXRlcz48ZGF0ZT5KYW4gMTwvZGF0ZT48
L3B1Yi1kYXRlcz48L2RhdGVzPjxpc2JuPjE1NDEtNjEwMCAoRWxlY3Ryb25pYykmI3hEOzAwMjIt
MzE2NiAoTGlua2luZyk8L2lzYm4+PGFjY2Vzc2lvbi1udW0+MjkzNzgwNDE8L2FjY2Vzc2lvbi1u
dW0+PHVybHM+PHJlbGF0ZWQtdXJscz48dXJsPmh0dHBzOi8vd3d3Lm5jYmkubmxtLm5paC5nb3Yv
cHVibWVkLzI5Mzc4MDQxPC91cmw+PC9yZWxhdGVkLXVybHM+PC91cmxzPjxjdXN0b20yPlBNQzYy
NTE1Nzg8L2N1c3RvbTI+PGVsZWN0cm9uaWMtcmVzb3VyY2UtbnVtPjEwLjEwOTMvam4vbnh4MDA1
PC9lbGVjdHJvbmljLXJlc291cmNlLW51bT48L3JlY29yZD48L0NpdGU+PC9FbmROb3RlPgB=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35</w:t>
            </w:r>
            <w:r>
              <w:fldChar w:fldCharType="end"/>
            </w:r>
          </w:p>
          <w:p w14:paraId="594549D8" w14:textId="77777777" w:rsidR="004C390A" w:rsidRDefault="004C390A" w:rsidP="007B3A77">
            <w:r>
              <w:t>United Kingdom</w:t>
            </w:r>
          </w:p>
          <w:p w14:paraId="522EDB34" w14:textId="77777777" w:rsidR="004C390A" w:rsidRPr="007B3A77" w:rsidRDefault="004C390A" w:rsidP="007B3A77">
            <w:r>
              <w:t>Cohort</w:t>
            </w:r>
          </w:p>
        </w:tc>
        <w:tc>
          <w:tcPr>
            <w:tcW w:w="992" w:type="dxa"/>
          </w:tcPr>
          <w:p w14:paraId="6A9C3DC5" w14:textId="77777777" w:rsidR="004C390A" w:rsidRPr="007B3A77" w:rsidRDefault="004C390A" w:rsidP="007B3A77">
            <w:r>
              <w:t>862 women and infants</w:t>
            </w:r>
          </w:p>
        </w:tc>
        <w:tc>
          <w:tcPr>
            <w:tcW w:w="4961" w:type="dxa"/>
          </w:tcPr>
          <w:p w14:paraId="06FA8D48" w14:textId="77777777" w:rsidR="004C390A" w:rsidRDefault="004C390A" w:rsidP="007B3A77">
            <w:r w:rsidRPr="007B3A77">
              <w:rPr>
                <w:b/>
              </w:rPr>
              <w:t>Aim</w:t>
            </w:r>
            <w:r>
              <w:t>: To examine</w:t>
            </w:r>
            <w:r w:rsidRPr="007B3A77">
              <w:t xml:space="preserve"> the relation between maternal diet quality during pregnancy and infant birth size among women enrolled in a prospective birth cohort. </w:t>
            </w:r>
          </w:p>
          <w:p w14:paraId="550AA70C" w14:textId="39706D8B" w:rsidR="004C390A" w:rsidRPr="007B3A77" w:rsidRDefault="004C390A" w:rsidP="007B3A77">
            <w:r w:rsidRPr="007B3A77">
              <w:rPr>
                <w:b/>
              </w:rPr>
              <w:t>Methods</w:t>
            </w:r>
            <w:r w:rsidRPr="007B3A77">
              <w:t xml:space="preserve">: Women 18-45 y old with a singleton pregnancy were recruited at 24-28 wk of gestation from prenatal clinics in New Hampshire. Women completed a validated food frequency questionnaire at </w:t>
            </w:r>
            <w:r w:rsidR="00501148" w:rsidRPr="007B3A77">
              <w:t>enrolment</w:t>
            </w:r>
            <w:r w:rsidRPr="007B3A77">
              <w:t xml:space="preserve">. Diet quality was computed as adherence to the Alternative Healthy Eating Index. Infant birth outcomes (sex, head circumference, weight, and length) were extracted from medical records. </w:t>
            </w:r>
          </w:p>
        </w:tc>
        <w:tc>
          <w:tcPr>
            <w:tcW w:w="4536" w:type="dxa"/>
          </w:tcPr>
          <w:p w14:paraId="14B7516D" w14:textId="77777777" w:rsidR="004C390A" w:rsidRPr="007B3A77" w:rsidRDefault="004C390A" w:rsidP="007B3A77">
            <w:r w:rsidRPr="007B3A77">
              <w:t>In an adjusted model, increased diet quality appeared linearly associated with a reduced likelihood of SGA (P-trend</w:t>
            </w:r>
            <w:r>
              <w:t>=</w:t>
            </w:r>
            <w:r w:rsidRPr="007B3A77">
              <w:t xml:space="preserve">0.03), although each quartile comparison did not reach statistical significance. Specifically, ORs </w:t>
            </w:r>
            <w:r>
              <w:t>for SGA were 0.89 (95%CI 0.37 to 2.15), 0.73 (95%CI 0.28 to 1.89), and 0.35 (95%CI 0.11 to</w:t>
            </w:r>
            <w:r w:rsidRPr="007B3A77">
              <w:t xml:space="preserve"> 1.08) for each increasing quartile of diet quality compared to the lowest quartile. Similar trends for SGA wer</w:t>
            </w:r>
            <w:r>
              <w:t>e observed among non-smokers (n=</w:t>
            </w:r>
            <w:r w:rsidRPr="007B3A77">
              <w:t>756; P-trend</w:t>
            </w:r>
            <w:r>
              <w:t>=</w:t>
            </w:r>
            <w:r w:rsidRPr="007B3A77">
              <w:t>0.07). Also among non-smokers, increased diet quality was associated with lower infant birth weight (P-trend</w:t>
            </w:r>
            <w:r>
              <w:t>=</w:t>
            </w:r>
            <w:r w:rsidRPr="007B3A77">
              <w:t>0.03) and a suggested reduction in macrosomia (P-trend</w:t>
            </w:r>
            <w:r>
              <w:t>=</w:t>
            </w:r>
            <w:r w:rsidRPr="007B3A77">
              <w:t xml:space="preserve">0.07). </w:t>
            </w:r>
          </w:p>
        </w:tc>
        <w:tc>
          <w:tcPr>
            <w:tcW w:w="1843" w:type="dxa"/>
          </w:tcPr>
          <w:p w14:paraId="57BB82CF" w14:textId="77777777" w:rsidR="004C390A" w:rsidRPr="007B3A77" w:rsidRDefault="004C390A" w:rsidP="007B3A77"/>
        </w:tc>
      </w:tr>
      <w:tr w:rsidR="004C390A" w:rsidRPr="007B3A77" w14:paraId="01FBDCAD" w14:textId="77777777" w:rsidTr="004C390A">
        <w:trPr>
          <w:cantSplit/>
          <w:trHeight w:val="390"/>
        </w:trPr>
        <w:tc>
          <w:tcPr>
            <w:tcW w:w="1560" w:type="dxa"/>
          </w:tcPr>
          <w:p w14:paraId="501F9A34" w14:textId="39A3039F" w:rsidR="004C390A" w:rsidRDefault="004C390A" w:rsidP="00B03D4D">
            <w:r w:rsidRPr="00B03D4D">
              <w:t>Englund-Ogge</w:t>
            </w:r>
            <w:r>
              <w:t xml:space="preserve"> et al 2014</w:t>
            </w:r>
            <w:r>
              <w:fldChar w:fldCharType="begin"/>
            </w:r>
            <w:r w:rsidR="002747EA">
              <w:instrText xml:space="preserve"> ADDIN EN.CITE &lt;EndNote&gt;&lt;Cite&gt;&lt;Author&gt;Englund-Ogge&lt;/Author&gt;&lt;Year&gt;2014&lt;/Year&gt;&lt;RecNum&gt;1361&lt;/RecNum&gt;&lt;DisplayText&gt;&lt;style face="superscript" font="Trebuchet MS" size="9"&gt;31&lt;/style&gt;&lt;/DisplayText&gt;&lt;record&gt;&lt;rec-number&gt;1361&lt;/rec-number&gt;&lt;foreign-keys&gt;&lt;key app="EN" db-id="exvasrfx2dtraoesasxp2szsxa2df502592x" timestamp="1567031053"&gt;1361&lt;/key&gt;&lt;key app="ENWeb" db-id=""&gt;0&lt;/key&gt;&lt;/foreign-keys&gt;&lt;ref-type name="Journal Article"&gt;17&lt;/ref-type&gt;&lt;contributors&gt;&lt;authors&gt;&lt;author&gt;Englund-Ogge, L.&lt;/author&gt;&lt;author&gt;Brantsaeter, A. L.&lt;/author&gt;&lt;author&gt;Sengpiel, V.&lt;/author&gt;&lt;author&gt;Haugen, M.&lt;/author&gt;&lt;author&gt;Birgisdottir, B. E.&lt;/author&gt;&lt;author&gt;Myhre, R.&lt;/author&gt;&lt;author&gt;Meltzer, H. M.&lt;/author&gt;&lt;author&gt;Jacobsson, B.&lt;/author&gt;&lt;/authors&gt;&lt;/contributors&gt;&lt;auth-address&gt;Department of Obstetrics and Gynecology, Institute of Clinical Sciences, Sahlgrenska Academy, Sahlgrenska University Hospital, SE-41685 Gothenburg, Sweden.&lt;/auth-address&gt;&lt;titles&gt;&lt;title&gt;Maternal dietary patterns and preterm delivery: results from large prospective cohort study&lt;/title&gt;&lt;secondary-title&gt;BMJ&lt;/secondary-title&gt;&lt;/titles&gt;&lt;periodical&gt;&lt;full-title&gt;BMJ&lt;/full-title&gt;&lt;/periodical&gt;&lt;pages&gt;g1446&lt;/pages&gt;&lt;volume&gt;348&lt;/volume&gt;&lt;edition&gt;2014/03/13&lt;/edition&gt;&lt;keywords&gt;&lt;keyword&gt;Adult&lt;/keyword&gt;&lt;keyword&gt;Diet&lt;/keyword&gt;&lt;keyword&gt;*Feeding Behavior&lt;/keyword&gt;&lt;keyword&gt;Female&lt;/keyword&gt;&lt;keyword&gt;Humans&lt;/keyword&gt;&lt;keyword&gt;Norway/epidemiology&lt;/keyword&gt;&lt;keyword&gt;Pregnancy&lt;/keyword&gt;&lt;keyword&gt;Premature Birth/*epidemiology&lt;/keyword&gt;&lt;keyword&gt;Prospective Studies&lt;/keyword&gt;&lt;keyword&gt;Risk Factors&lt;/keyword&gt;&lt;keyword&gt;Surveys and Questionnaires&lt;/keyword&gt;&lt;keyword&gt;Young Adult&lt;/keyword&gt;&lt;/keywords&gt;&lt;dates&gt;&lt;year&gt;2014&lt;/year&gt;&lt;pub-dates&gt;&lt;date&gt;Mar 4&lt;/date&gt;&lt;/pub-dates&gt;&lt;/dates&gt;&lt;isbn&gt;1756-1833 (Electronic)&amp;#xD;0959-8138 (Linking)&lt;/isbn&gt;&lt;accession-num&gt;24609054&lt;/accession-num&gt;&lt;urls&gt;&lt;related-urls&gt;&lt;url&gt;https://www.ncbi.nlm.nih.gov/pubmed/24609054&lt;/url&gt;&lt;/related-urls&gt;&lt;/urls&gt;&lt;custom2&gt;PMC3942565&lt;/custom2&gt;&lt;electronic-resource-num&gt;10.1136/bmj.g1446&lt;/electronic-resource-num&gt;&lt;/record&gt;&lt;/Cite&gt;&lt;/EndNote&gt;</w:instrText>
            </w:r>
            <w:r>
              <w:fldChar w:fldCharType="separate"/>
            </w:r>
            <w:r w:rsidR="002747EA" w:rsidRPr="002747EA">
              <w:rPr>
                <w:noProof/>
                <w:vertAlign w:val="superscript"/>
              </w:rPr>
              <w:t>31</w:t>
            </w:r>
            <w:r>
              <w:fldChar w:fldCharType="end"/>
            </w:r>
          </w:p>
          <w:p w14:paraId="676BA470" w14:textId="77777777" w:rsidR="004C390A" w:rsidRDefault="004C390A" w:rsidP="00B03D4D">
            <w:r>
              <w:t>Norway</w:t>
            </w:r>
          </w:p>
          <w:p w14:paraId="27905DF1" w14:textId="77777777" w:rsidR="004C390A" w:rsidRPr="00B03D4D" w:rsidRDefault="004C390A" w:rsidP="00B03D4D">
            <w:r>
              <w:t>Cohort</w:t>
            </w:r>
          </w:p>
        </w:tc>
        <w:tc>
          <w:tcPr>
            <w:tcW w:w="992" w:type="dxa"/>
          </w:tcPr>
          <w:p w14:paraId="6870A6B0" w14:textId="77777777" w:rsidR="004C390A" w:rsidRDefault="004C390A" w:rsidP="007B3A77">
            <w:r>
              <w:t>66,000</w:t>
            </w:r>
          </w:p>
        </w:tc>
        <w:tc>
          <w:tcPr>
            <w:tcW w:w="4961" w:type="dxa"/>
          </w:tcPr>
          <w:p w14:paraId="44B79A5C" w14:textId="77777777" w:rsidR="004C390A" w:rsidRDefault="004C390A" w:rsidP="007B3A77">
            <w:r w:rsidRPr="00B03D4D">
              <w:rPr>
                <w:b/>
              </w:rPr>
              <w:t>Aim</w:t>
            </w:r>
            <w:r>
              <w:t xml:space="preserve">: </w:t>
            </w:r>
            <w:r w:rsidRPr="00B03D4D">
              <w:t xml:space="preserve">To examine whether an association exists between maternal dietary patterns and risk of preterm delivery. </w:t>
            </w:r>
          </w:p>
          <w:p w14:paraId="52A98EE4" w14:textId="77777777" w:rsidR="004C390A" w:rsidRPr="007B3A77" w:rsidRDefault="004C390A" w:rsidP="004C390A">
            <w:pPr>
              <w:rPr>
                <w:b/>
              </w:rPr>
            </w:pPr>
            <w:r w:rsidRPr="00352189">
              <w:rPr>
                <w:b/>
              </w:rPr>
              <w:t>Methods</w:t>
            </w:r>
            <w:r>
              <w:t>: P</w:t>
            </w:r>
            <w:r w:rsidRPr="00B03D4D">
              <w:t>regnant women (singletons, answered food frequency questionnaire, no missing information about parity or previously preterm delivery, pregnancy duration between 22+0 and 41+6 gestational weeks, no diabetes, first enrolment pregnancy). Hazard ratio for preterm delivery according to level of adherence to three distinct dietary patterns interpreted as "prudent" (for example, vegetables, fruits, oils, water as beverage, whole grain cereals, fibre rich bread), "Western" (salty and sweet snacks, white bread, desserts, processed meat products), and "t</w:t>
            </w:r>
            <w:r>
              <w:t xml:space="preserve">raditional" (potatoes, fish). </w:t>
            </w:r>
          </w:p>
        </w:tc>
        <w:tc>
          <w:tcPr>
            <w:tcW w:w="4536" w:type="dxa"/>
          </w:tcPr>
          <w:p w14:paraId="4DDBA801" w14:textId="77777777" w:rsidR="004C390A" w:rsidRPr="00B03D4D" w:rsidRDefault="004C390A" w:rsidP="00756DCF">
            <w:r w:rsidRPr="00B03D4D">
              <w:t xml:space="preserve">After adjustment for covariates, high scores on the "prudent" pattern were associated with significantly reduced risk of preterm </w:t>
            </w:r>
            <w:r>
              <w:t>birth</w:t>
            </w:r>
            <w:r w:rsidRPr="00B03D4D">
              <w:t xml:space="preserve"> for the highest versus the lowest third (</w:t>
            </w:r>
            <w:r>
              <w:t xml:space="preserve">HR </w:t>
            </w:r>
            <w:r w:rsidRPr="00B03D4D">
              <w:t>0.88</w:t>
            </w:r>
            <w:r>
              <w:t xml:space="preserve">; </w:t>
            </w:r>
            <w:r w:rsidRPr="00B03D4D">
              <w:t>95%</w:t>
            </w:r>
            <w:r>
              <w:t xml:space="preserve">CI </w:t>
            </w:r>
            <w:r w:rsidRPr="00B03D4D">
              <w:t xml:space="preserve">0.80 to 0.97). The prudent pattern was also associated with a significantly lower risk of late and spontaneous preterm </w:t>
            </w:r>
            <w:r>
              <w:t>birth</w:t>
            </w:r>
            <w:r w:rsidRPr="00B03D4D">
              <w:t xml:space="preserve">. No independent association with preterm delivery was found for the "Western" pattern. The "traditional" pattern was associated with reduced risk of preterm </w:t>
            </w:r>
            <w:r>
              <w:t>birth</w:t>
            </w:r>
            <w:r w:rsidRPr="00B03D4D">
              <w:t xml:space="preserve"> for the highest versus the lowest third (</w:t>
            </w:r>
            <w:r>
              <w:t>HR</w:t>
            </w:r>
            <w:r w:rsidRPr="00B03D4D">
              <w:t xml:space="preserve"> 0.91, 0.83 to 0.99). </w:t>
            </w:r>
          </w:p>
        </w:tc>
        <w:tc>
          <w:tcPr>
            <w:tcW w:w="1843" w:type="dxa"/>
          </w:tcPr>
          <w:p w14:paraId="7EC90CC5" w14:textId="77777777" w:rsidR="004C390A" w:rsidRPr="007B3A77" w:rsidRDefault="004C390A" w:rsidP="007B3A77"/>
        </w:tc>
      </w:tr>
      <w:tr w:rsidR="004C390A" w:rsidRPr="007B3A77" w14:paraId="4AD52F29" w14:textId="77777777" w:rsidTr="004C390A">
        <w:trPr>
          <w:cantSplit/>
          <w:trHeight w:val="390"/>
        </w:trPr>
        <w:tc>
          <w:tcPr>
            <w:tcW w:w="1560" w:type="dxa"/>
          </w:tcPr>
          <w:p w14:paraId="364D9D1C" w14:textId="555932CE" w:rsidR="004C390A" w:rsidRDefault="004C390A" w:rsidP="00B03D4D">
            <w:r w:rsidRPr="00B03D4D">
              <w:t>Englund-Ogge</w:t>
            </w:r>
            <w:r>
              <w:t xml:space="preserve"> et al 2017</w:t>
            </w:r>
            <w:r>
              <w:fldChar w:fldCharType="begin">
                <w:fldData xml:space="preserve">PEVuZE5vdGU+PENpdGU+PEF1dGhvcj5FbmdsdW5kLU9nZ2U8L0F1dGhvcj48WWVhcj4yMDE3PC9Z
ZWFyPjxSZWNOdW0+MTQwMDwvUmVjTnVtPjxEaXNwbGF5VGV4dD48c3R5bGUgZmFjZT0ic3VwZXJz
Y3JpcHQiIGZvbnQ9IlRyZWJ1Y2hldCBNUyIgc2l6ZT0iOSI+MzM8L3N0eWxlPjwvRGlzcGxheVRl
eHQ+PHJlY29yZD48cmVjLW51bWJlcj4xNDAwPC9yZWMtbnVtYmVyPjxmb3JlaWduLWtleXM+PGtl
eSBhcHA9IkVOIiBkYi1pZD0iZXh2YXNyZngyZHRyYW9lc2FzeHAyc3pzeGEyZGY1MDI1OTJ4IiB0
aW1lc3RhbXA9IjE1Njc5MjQ0ODEiPjE0MDA8L2tleT48a2V5IGFwcD0iRU5XZWIiIGRiLWlkPSIi
PjA8L2tleT48L2ZvcmVpZ24ta2V5cz48cmVmLXR5cGUgbmFtZT0iSm91cm5hbCBBcnRpY2xlIj4x
NzwvcmVmLXR5cGU+PGNvbnRyaWJ1dG9ycz48YXV0aG9ycz48YXV0aG9yPkVuZ2x1bmQtT2dnZSwg
TC48L2F1dGhvcj48YXV0aG9yPkJpcmdpc2RvdHRpciwgQi4gRS48L2F1dGhvcj48YXV0aG9yPlNl
bmdwaWVsLCBWLjwvYXV0aG9yPjxhdXRob3I+QnJhbnRzYWV0ZXIsIEEuIEwuPC9hdXRob3I+PGF1
dGhvcj5IYXVnZW4sIE0uPC9hdXRob3I+PGF1dGhvcj5NeWhyZSwgUi48L2F1dGhvcj48YXV0aG9y
Pk1lbHR6ZXIsIEguIE0uPC9hdXRob3I+PGF1dGhvcj5KYWNvYnNzb24sIEIuPC9hdXRob3I+PC9h
dXRob3JzPjwvY29udHJpYnV0b3JzPjxhdXRoLWFkZHJlc3M+RGVwYXJ0bWVudCBvZiBPYnN0ZXRy
aWNzIGFuZCBHeW5lY29sb2d5LCBTYWhsZ3JlbnNrYSBVbml2ZXJzaXR5IEhvc3BpdGFsLCBHb3Ro
ZW5idXJnLCBTd2VkZW4uJiN4RDtEZXBhcnRtZW50IG9mIEVudmlyb25tZW50YWwgRXhwb3N1cmUg
YW5kIEVwaWRlbWlvbG9neSwgRG9tYWluIG9mIEluZmVjdGlvbiBDb250cm9sIGFuZCBFbnZpcm9u
bWVudGFsIEhlYWx0aCwgT3NsbywgTm9yd2F5LiYjeEQ7VW5pdCBmb3IgTnV0cml0aW9uIFJlc2Vh
cmNoLCBOYXRpb25hbCBVbml2ZXJzaXR5IEhvc3BpdGFsLCBGYWN1bHR5IG9mIEZvb2QgU2NpZW5j
ZSBhbmQgTnV0cml0aW9uLCBVbml2ZXJzaXR5IG9mIEljZWxhbmQsIFJleWtqYXZpaywgSWNlbGFu
ZC4mI3hEO0RlcGFydG1lbnQgb2YgR2VuZXRpY3MgYW5kIEJpb2luZm9ybWF0aWNzLCBEb21haW4g
b2YgSGVhbHRoIERhdGEgYW5kIERpZ2l0YWxpemF0aW9uLCBJbnN0aXR1dGUgb2YgUHVibGljIEhl
YWx0aCwgT3NsbywgTm9yd2F5LiYjeEQ7RGVwYXJ0bWVudCBvZiBPYnN0ZXRyaWNzIGFuZCBHeW5l
Y29sb2d5LCBJbnN0aXR1dGUgb2YgQ2xpbmljYWwgU2NpZW5jZXMsIFNhaGxncmVuc2thIEFjYWRl
bXksIEdvdGhlbmJ1cmcgVW5pdmVyc2l0eSwgR290aGVuYnVyZywgU3dlZGVuLjwvYXV0aC1hZGRy
ZXNzPjx0aXRsZXM+PHRpdGxlPk1lYWwgZnJlcXVlbmN5IHBhdHRlcm5zIGFuZCBnbHljZW1pYyBw
cm9wZXJ0aWVzIG9mIG1hdGVybmFsIGRpZXQgaW4gcmVsYXRpb24gdG8gcHJldGVybSBkZWxpdmVy
eTogUmVzdWx0cyBmcm9tIGEgbGFyZ2UgcHJvc3BlY3RpdmUgY29ob3J0IHN0dWR5PC90aXRsZT48
c2Vjb25kYXJ5LXRpdGxlPlBMb1MgT25lPC9zZWNvbmRhcnktdGl0bGU+PC90aXRsZXM+PHBlcmlv
ZGljYWw+PGZ1bGwtdGl0bGU+UExvUyBPbmU8L2Z1bGwtdGl0bGU+PC9wZXJpb2RpY2FsPjxwYWdl
cz5lMDE3Mjg5NjwvcGFnZXM+PHZvbHVtZT4xMjwvdm9sdW1lPjxudW1iZXI+MzwvbnVtYmVyPjxl
ZGl0aW9uPjIwMTcvMDMvMDI8L2VkaXRpb24+PGtleXdvcmRzPjxrZXl3b3JkPkFkdWx0PC9rZXl3
b3JkPjxrZXl3b3JkPkNvaG9ydCBTdHVkaWVzPC9rZXl3b3JkPjxrZXl3b3JkPkRpZXQ8L2tleXdv
cmQ+PGtleXdvcmQ+RmVlZGluZyBCZWhhdmlvcjwva2V5d29yZD48a2V5d29yZD5GZW1hbGU8L2tl
eXdvcmQ+PGtleXdvcmQ+KkdseWNlbWljIEluZGV4PC9rZXl3b3JkPjxrZXl3b3JkPkh1bWFuczwv
a2V5d29yZD48a2V5d29yZD5JbmZhbnQsIE5ld2Jvcm48L2tleXdvcmQ+PGtleXdvcmQ+SW5mYW50
LCBQcmVtYXR1cmU8L2tleXdvcmQ+PGtleXdvcmQ+TWFsZTwva2V5d29yZD48a2V5d29yZD4qTWF0
ZXJuYWwgTnV0cml0aW9uYWwgUGh5c2lvbG9naWNhbCBQaGVub21lbmE8L2tleXdvcmQ+PGtleXdv
cmQ+Kk1lYWxzPC9rZXl3b3JkPjxrZXl3b3JkPlByZW1hdHVyZSBCaXJ0aC8qZXBpZGVtaW9sb2d5
PC9rZXl3b3JkPjxrZXl3b3JkPlByb3NwZWN0aXZlIFN0dWRpZXM8L2tleXdvcmQ+PC9rZXl3b3Jk
cz48ZGF0ZXM+PHllYXI+MjAxNzwveWVhcj48L2RhdGVzPjxpc2JuPjE5MzItNjIwMyAoRWxlY3Ry
b25pYykmI3hEOzE5MzItNjIwMyAoTGlua2luZyk8L2lzYm4+PGFjY2Vzc2lvbi1udW0+MjgyNDkw
MTg8L2FjY2Vzc2lvbi1udW0+PHVybHM+PHJlbGF0ZWQtdXJscz48dXJsPmh0dHBzOi8vd3d3Lm5j
YmkubmxtLm5paC5nb3YvcHVibWVkLzI4MjQ5MDE4PC91cmw+PC9yZWxhdGVkLXVybHM+PC91cmxz
PjxjdXN0b20yPlBNQzUzMzIwOTM8L2N1c3RvbTI+PGVsZWN0cm9uaWMtcmVzb3VyY2UtbnVtPjEw
LjEzNzEvam91cm5hbC5wb25lLjAxNzI4OTY8L2VsZWN0cm9uaWMtcmVzb3VyY2UtbnVtPjwvcmVj
b3JkPjwvQ2l0ZT48L0VuZE5vdGU+
</w:fldData>
              </w:fldChar>
            </w:r>
            <w:r w:rsidR="002747EA">
              <w:instrText xml:space="preserve"> ADDIN EN.CITE </w:instrText>
            </w:r>
            <w:r w:rsidR="002747EA">
              <w:fldChar w:fldCharType="begin">
                <w:fldData xml:space="preserve">PEVuZE5vdGU+PENpdGU+PEF1dGhvcj5FbmdsdW5kLU9nZ2U8L0F1dGhvcj48WWVhcj4yMDE3PC9Z
ZWFyPjxSZWNOdW0+MTQwMDwvUmVjTnVtPjxEaXNwbGF5VGV4dD48c3R5bGUgZmFjZT0ic3VwZXJz
Y3JpcHQiIGZvbnQ9IlRyZWJ1Y2hldCBNUyIgc2l6ZT0iOSI+MzM8L3N0eWxlPjwvRGlzcGxheVRl
eHQ+PHJlY29yZD48cmVjLW51bWJlcj4xNDAwPC9yZWMtbnVtYmVyPjxmb3JlaWduLWtleXM+PGtl
eSBhcHA9IkVOIiBkYi1pZD0iZXh2YXNyZngyZHRyYW9lc2FzeHAyc3pzeGEyZGY1MDI1OTJ4IiB0
aW1lc3RhbXA9IjE1Njc5MjQ0ODEiPjE0MDA8L2tleT48a2V5IGFwcD0iRU5XZWIiIGRiLWlkPSIi
PjA8L2tleT48L2ZvcmVpZ24ta2V5cz48cmVmLXR5cGUgbmFtZT0iSm91cm5hbCBBcnRpY2xlIj4x
NzwvcmVmLXR5cGU+PGNvbnRyaWJ1dG9ycz48YXV0aG9ycz48YXV0aG9yPkVuZ2x1bmQtT2dnZSwg
TC48L2F1dGhvcj48YXV0aG9yPkJpcmdpc2RvdHRpciwgQi4gRS48L2F1dGhvcj48YXV0aG9yPlNl
bmdwaWVsLCBWLjwvYXV0aG9yPjxhdXRob3I+QnJhbnRzYWV0ZXIsIEEuIEwuPC9hdXRob3I+PGF1
dGhvcj5IYXVnZW4sIE0uPC9hdXRob3I+PGF1dGhvcj5NeWhyZSwgUi48L2F1dGhvcj48YXV0aG9y
Pk1lbHR6ZXIsIEguIE0uPC9hdXRob3I+PGF1dGhvcj5KYWNvYnNzb24sIEIuPC9hdXRob3I+PC9h
dXRob3JzPjwvY29udHJpYnV0b3JzPjxhdXRoLWFkZHJlc3M+RGVwYXJ0bWVudCBvZiBPYnN0ZXRy
aWNzIGFuZCBHeW5lY29sb2d5LCBTYWhsZ3JlbnNrYSBVbml2ZXJzaXR5IEhvc3BpdGFsLCBHb3Ro
ZW5idXJnLCBTd2VkZW4uJiN4RDtEZXBhcnRtZW50IG9mIEVudmlyb25tZW50YWwgRXhwb3N1cmUg
YW5kIEVwaWRlbWlvbG9neSwgRG9tYWluIG9mIEluZmVjdGlvbiBDb250cm9sIGFuZCBFbnZpcm9u
bWVudGFsIEhlYWx0aCwgT3NsbywgTm9yd2F5LiYjeEQ7VW5pdCBmb3IgTnV0cml0aW9uIFJlc2Vh
cmNoLCBOYXRpb25hbCBVbml2ZXJzaXR5IEhvc3BpdGFsLCBGYWN1bHR5IG9mIEZvb2QgU2NpZW5j
ZSBhbmQgTnV0cml0aW9uLCBVbml2ZXJzaXR5IG9mIEljZWxhbmQsIFJleWtqYXZpaywgSWNlbGFu
ZC4mI3hEO0RlcGFydG1lbnQgb2YgR2VuZXRpY3MgYW5kIEJpb2luZm9ybWF0aWNzLCBEb21haW4g
b2YgSGVhbHRoIERhdGEgYW5kIERpZ2l0YWxpemF0aW9uLCBJbnN0aXR1dGUgb2YgUHVibGljIEhl
YWx0aCwgT3NsbywgTm9yd2F5LiYjeEQ7RGVwYXJ0bWVudCBvZiBPYnN0ZXRyaWNzIGFuZCBHeW5l
Y29sb2d5LCBJbnN0aXR1dGUgb2YgQ2xpbmljYWwgU2NpZW5jZXMsIFNhaGxncmVuc2thIEFjYWRl
bXksIEdvdGhlbmJ1cmcgVW5pdmVyc2l0eSwgR290aGVuYnVyZywgU3dlZGVuLjwvYXV0aC1hZGRy
ZXNzPjx0aXRsZXM+PHRpdGxlPk1lYWwgZnJlcXVlbmN5IHBhdHRlcm5zIGFuZCBnbHljZW1pYyBw
cm9wZXJ0aWVzIG9mIG1hdGVybmFsIGRpZXQgaW4gcmVsYXRpb24gdG8gcHJldGVybSBkZWxpdmVy
eTogUmVzdWx0cyBmcm9tIGEgbGFyZ2UgcHJvc3BlY3RpdmUgY29ob3J0IHN0dWR5PC90aXRsZT48
c2Vjb25kYXJ5LXRpdGxlPlBMb1MgT25lPC9zZWNvbmRhcnktdGl0bGU+PC90aXRsZXM+PHBlcmlv
ZGljYWw+PGZ1bGwtdGl0bGU+UExvUyBPbmU8L2Z1bGwtdGl0bGU+PC9wZXJpb2RpY2FsPjxwYWdl
cz5lMDE3Mjg5NjwvcGFnZXM+PHZvbHVtZT4xMjwvdm9sdW1lPjxudW1iZXI+MzwvbnVtYmVyPjxl
ZGl0aW9uPjIwMTcvMDMvMDI8L2VkaXRpb24+PGtleXdvcmRzPjxrZXl3b3JkPkFkdWx0PC9rZXl3
b3JkPjxrZXl3b3JkPkNvaG9ydCBTdHVkaWVzPC9rZXl3b3JkPjxrZXl3b3JkPkRpZXQ8L2tleXdv
cmQ+PGtleXdvcmQ+RmVlZGluZyBCZWhhdmlvcjwva2V5d29yZD48a2V5d29yZD5GZW1hbGU8L2tl
eXdvcmQ+PGtleXdvcmQ+KkdseWNlbWljIEluZGV4PC9rZXl3b3JkPjxrZXl3b3JkPkh1bWFuczwv
a2V5d29yZD48a2V5d29yZD5JbmZhbnQsIE5ld2Jvcm48L2tleXdvcmQ+PGtleXdvcmQ+SW5mYW50
LCBQcmVtYXR1cmU8L2tleXdvcmQ+PGtleXdvcmQ+TWFsZTwva2V5d29yZD48a2V5d29yZD4qTWF0
ZXJuYWwgTnV0cml0aW9uYWwgUGh5c2lvbG9naWNhbCBQaGVub21lbmE8L2tleXdvcmQ+PGtleXdv
cmQ+Kk1lYWxzPC9rZXl3b3JkPjxrZXl3b3JkPlByZW1hdHVyZSBCaXJ0aC8qZXBpZGVtaW9sb2d5
PC9rZXl3b3JkPjxrZXl3b3JkPlByb3NwZWN0aXZlIFN0dWRpZXM8L2tleXdvcmQ+PC9rZXl3b3Jk
cz48ZGF0ZXM+PHllYXI+MjAxNzwveWVhcj48L2RhdGVzPjxpc2JuPjE5MzItNjIwMyAoRWxlY3Ry
b25pYykmI3hEOzE5MzItNjIwMyAoTGlua2luZyk8L2lzYm4+PGFjY2Vzc2lvbi1udW0+MjgyNDkw
MTg8L2FjY2Vzc2lvbi1udW0+PHVybHM+PHJlbGF0ZWQtdXJscz48dXJsPmh0dHBzOi8vd3d3Lm5j
YmkubmxtLm5paC5nb3YvcHVibWVkLzI4MjQ5MDE4PC91cmw+PC9yZWxhdGVkLXVybHM+PC91cmxz
PjxjdXN0b20yPlBNQzUzMzIwOTM8L2N1c3RvbTI+PGVsZWN0cm9uaWMtcmVzb3VyY2UtbnVtPjEw
LjEzNzEvam91cm5hbC5wb25lLjAxNzI4OTY8L2VsZWN0cm9uaWMtcmVzb3VyY2UtbnVtPjwvcmVj
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33</w:t>
            </w:r>
            <w:r>
              <w:fldChar w:fldCharType="end"/>
            </w:r>
          </w:p>
          <w:p w14:paraId="5A9100DB" w14:textId="77777777" w:rsidR="004C390A" w:rsidRDefault="004C390A" w:rsidP="00B03D4D">
            <w:r>
              <w:t>Norway</w:t>
            </w:r>
          </w:p>
          <w:p w14:paraId="07DABF8F" w14:textId="77777777" w:rsidR="004C390A" w:rsidRPr="00B03D4D" w:rsidRDefault="004C390A" w:rsidP="00B03D4D">
            <w:r>
              <w:t>Cohort</w:t>
            </w:r>
          </w:p>
        </w:tc>
        <w:tc>
          <w:tcPr>
            <w:tcW w:w="992" w:type="dxa"/>
          </w:tcPr>
          <w:p w14:paraId="6DF376EF" w14:textId="77777777" w:rsidR="004C390A" w:rsidRDefault="004C390A" w:rsidP="007B3A77">
            <w:r>
              <w:t>66,000</w:t>
            </w:r>
          </w:p>
        </w:tc>
        <w:tc>
          <w:tcPr>
            <w:tcW w:w="4961" w:type="dxa"/>
          </w:tcPr>
          <w:p w14:paraId="3026B28D" w14:textId="77777777" w:rsidR="004C390A" w:rsidRDefault="004C390A" w:rsidP="00BC04EA">
            <w:r>
              <w:rPr>
                <w:b/>
              </w:rPr>
              <w:t xml:space="preserve">Aim: </w:t>
            </w:r>
            <w:r w:rsidRPr="006E08A6">
              <w:t>to examine the associations between meal frequency and glyc</w:t>
            </w:r>
            <w:r>
              <w:t>a</w:t>
            </w:r>
            <w:r w:rsidRPr="006E08A6">
              <w:t xml:space="preserve">emic properties of maternal diet in relation to preterm delivery. </w:t>
            </w:r>
          </w:p>
          <w:p w14:paraId="579C8B49" w14:textId="77777777" w:rsidR="004C390A" w:rsidRPr="00B03D4D" w:rsidRDefault="004C390A" w:rsidP="00BC04EA">
            <w:pPr>
              <w:rPr>
                <w:b/>
              </w:rPr>
            </w:pPr>
            <w:r w:rsidRPr="00BC04EA">
              <w:rPr>
                <w:b/>
              </w:rPr>
              <w:t>Methods</w:t>
            </w:r>
            <w:r w:rsidRPr="006E08A6">
              <w:t xml:space="preserve">: Meal frequency and food intake data were obtained from a validated food frequency questionnaire during mid-pregnancy. </w:t>
            </w:r>
            <w:r>
              <w:t>T</w:t>
            </w:r>
            <w:r w:rsidRPr="006E08A6">
              <w:t>hree meal frequency patterns were identified: "snack meal", "main meal", and "evening meal". Pattern scores were ranked in quartiles. Glyc</w:t>
            </w:r>
            <w:r>
              <w:t>a</w:t>
            </w:r>
            <w:r w:rsidRPr="006E08A6">
              <w:t>emic index and glyc</w:t>
            </w:r>
            <w:r>
              <w:t>a</w:t>
            </w:r>
            <w:r w:rsidRPr="006E08A6">
              <w:t>emic load were estimated from table values. Intakes of carbo</w:t>
            </w:r>
            <w:r>
              <w:t>hydrates, added sugar, and fibre</w:t>
            </w:r>
            <w:r w:rsidRPr="006E08A6">
              <w:t xml:space="preserve"> were reported in grams per day and divided into quartiles. </w:t>
            </w:r>
          </w:p>
        </w:tc>
        <w:tc>
          <w:tcPr>
            <w:tcW w:w="4536" w:type="dxa"/>
          </w:tcPr>
          <w:p w14:paraId="2B9854F9" w14:textId="77777777" w:rsidR="004C390A" w:rsidRPr="006E08A6" w:rsidRDefault="004C390A" w:rsidP="00BC04EA">
            <w:r w:rsidRPr="006E08A6">
              <w:t xml:space="preserve">After adjustments, the "main meal" pattern was associated with a reduced risk of preterm </w:t>
            </w:r>
            <w:r>
              <w:t>birth</w:t>
            </w:r>
            <w:r w:rsidRPr="006E08A6">
              <w:t>, with hazard ratios (HRs) of 0.89 (95%</w:t>
            </w:r>
            <w:r>
              <w:t>CI 0.80 to 0.98) and 0.90 (95%CI: 0.81 to</w:t>
            </w:r>
            <w:r w:rsidRPr="006E08A6">
              <w:t xml:space="preserve"> 0.99) for the third and fourth quartiles, respectively, and p for trend of 0.028. This was mainly attributed to the group of women with BMI </w:t>
            </w:r>
            <w:r>
              <w:t>≥</w:t>
            </w:r>
            <w:r w:rsidRPr="006E08A6">
              <w:t>25 kg/m2, with HRs of 0.87 (</w:t>
            </w:r>
            <w:r>
              <w:t>95%CI: 0.79 to 0.96) and 0.89 (95% CI: 0.80 to</w:t>
            </w:r>
            <w:r w:rsidRPr="006E08A6">
              <w:t xml:space="preserve"> 0.98) for the third and fourth quartiles, respectively, and p for trend of 0.010. There was no association between glyc</w:t>
            </w:r>
            <w:r>
              <w:t>a</w:t>
            </w:r>
            <w:r w:rsidRPr="006E08A6">
              <w:t>emic index, glyc</w:t>
            </w:r>
            <w:r>
              <w:t>a</w:t>
            </w:r>
            <w:r w:rsidRPr="006E08A6">
              <w:t>emic load, c</w:t>
            </w:r>
            <w:r>
              <w:t>arbohydrates, added sugar, fibre</w:t>
            </w:r>
            <w:r w:rsidRPr="006E08A6">
              <w:t xml:space="preserve">, or the remaining meal frequency patterns and preterm </w:t>
            </w:r>
            <w:r>
              <w:t>birth</w:t>
            </w:r>
            <w:r w:rsidRPr="006E08A6">
              <w:t xml:space="preserve">. </w:t>
            </w:r>
          </w:p>
        </w:tc>
        <w:tc>
          <w:tcPr>
            <w:tcW w:w="1843" w:type="dxa"/>
          </w:tcPr>
          <w:p w14:paraId="0E00AC0D" w14:textId="77777777" w:rsidR="004C390A" w:rsidRPr="007B3A77" w:rsidRDefault="004C390A" w:rsidP="007B3A77"/>
        </w:tc>
      </w:tr>
      <w:tr w:rsidR="004C390A" w:rsidRPr="007B3A77" w14:paraId="3808410A" w14:textId="77777777" w:rsidTr="004C390A">
        <w:trPr>
          <w:cantSplit/>
          <w:trHeight w:val="390"/>
        </w:trPr>
        <w:tc>
          <w:tcPr>
            <w:tcW w:w="1560" w:type="dxa"/>
            <w:tcBorders>
              <w:bottom w:val="single" w:sz="4" w:space="0" w:color="538135" w:themeColor="accent6" w:themeShade="BF"/>
            </w:tcBorders>
          </w:tcPr>
          <w:p w14:paraId="6F7F19D3" w14:textId="746D9145" w:rsidR="004C390A" w:rsidRDefault="004C390A" w:rsidP="00B03D4D">
            <w:r w:rsidRPr="00B03D4D">
              <w:t>Englund-Ogge</w:t>
            </w:r>
            <w:r>
              <w:t xml:space="preserve"> et al 2019</w:t>
            </w:r>
            <w:r>
              <w:fldChar w:fldCharType="begin">
                <w:fldData xml:space="preserve">PEVuZE5vdGU+PENpdGU+PEF1dGhvcj5FbmdsdW5kLU9nZ2U8L0F1dGhvcj48WWVhcj4yMDE5PC9Z
ZWFyPjxSZWNOdW0+MTM5OTwvUmVjTnVtPjxEaXNwbGF5VGV4dD48c3R5bGUgZmFjZT0ic3VwZXJz
Y3JpcHQiIGZvbnQ9IlRyZWJ1Y2hldCBNUyIgc2l6ZT0iOSI+MzI8L3N0eWxlPjwvRGlzcGxheVRl
eHQ+PHJlY29yZD48cmVjLW51bWJlcj4xMzk5PC9yZWMtbnVtYmVyPjxmb3JlaWduLWtleXM+PGtl
eSBhcHA9IkVOIiBkYi1pZD0iZXh2YXNyZngyZHRyYW9lc2FzeHAyc3pzeGEyZGY1MDI1OTJ4IiB0
aW1lc3RhbXA9IjE1Njc5MjQ0NjkiPjEzOTk8L2tleT48a2V5IGFwcD0iRU5XZWIiIGRiLWlkPSIi
PjA8L2tleT48L2ZvcmVpZ24ta2V5cz48cmVmLXR5cGUgbmFtZT0iSm91cm5hbCBBcnRpY2xlIj4x
NzwvcmVmLXR5cGU+PGNvbnRyaWJ1dG9ycz48YXV0aG9ycz48YXV0aG9yPkVuZ2x1bmQtT2dnZSwg
TC48L2F1dGhvcj48YXV0aG9yPkJyYW50c2FldGVyLCBBLiBMLjwvYXV0aG9yPjxhdXRob3I+SnVv
ZGFraXMsIEouPC9hdXRob3I+PGF1dGhvcj5IYXVnZW4sIE0uPC9hdXRob3I+PGF1dGhvcj5NZWx0
emVyLCBILiBNLjwvYXV0aG9yPjxhdXRob3I+SmFjb2Jzc29uLCBCLjwvYXV0aG9yPjxhdXRob3I+
U2VuZ3BpZWwsIFYuPC9hdXRob3I+PC9hdXRob3JzPjwvY29udHJpYnV0b3JzPjxhdXRoLWFkZHJl
c3M+RGVwYXJ0bWVudCBvZiBPYnN0ZXRyaWNzIGFuZCBHeW5lY29sb2d5LCBTYWhsZ3JlbnNrYSBV
bml2ZXJzaXR5IEhvc3BpdGFsLCBHb3RoZW5idXJnLCBTd2VkZW4uIGxpbmRhLmVuZ2x1bmQtb2dn
ZUB2Z3JlZ2lvbi5zZS4mI3hEO0RlcGFydG1lbnQgb2YgT2JzdGV0cmljcyBhbmQgR3luZWNvbG9n
eSwgU2FobGdyZW5za2EgQWNhZGVteSwgR290aGVuYnVyZyBVbml2ZXJzaXR5LCBHb3RoZW5idXJn
LCBTd2VkZW4uIGxpbmRhLmVuZ2x1bmQtb2dnZUB2Z3JlZ2lvbi5zZS4mI3hEO0RpdmlzaW9uIG9m
IEluZmVjdGlvbiBDb250cm9sIGFuZCBFbnZpcm9ubWVudGFsIEhlYWx0aCwgTm9yd2VnaWFuIElu
c3RpdHV0ZSBvZiBQdWJsaWMgSGVhbHRoLCBPc2xvLCBOb3J3YXkuJiN4RDtEZXBhcnRtZW50IG9m
IE9ic3RldHJpY3MgYW5kIEd5bmVjb2xvZ3ksIFNhaGxncmVuc2thIEFjYWRlbXksIEdvdGhlbmJ1
cmcgVW5pdmVyc2l0eSwgR290aGVuYnVyZywgU3dlZGVuLiYjeEQ7RGVwYXJ0bWVudCBvZiBPYnN0
ZXRyaWNzIGFuZCBHeW5lY29sb2d5LCBTYWhsZ3JlbnNrYSBVbml2ZXJzaXR5IEhvc3BpdGFsLCBH
b3RoZW5idXJnLCBTd2VkZW4uJiN4RDtEb21haW4gb2YgSGVhbHRoIERhdGEgYW5kIERpZ2l0YWxp
c2F0aW9uLCBOb3J3ZWdpYW4gSW5zdGl0dXRlIG9mIFB1YmxpYyBIZWFsdGgsIE9zbG8sIE5vcndh
eS48L2F1dGgtYWRkcmVzcz48dGl0bGVzPjx0aXRsZT5Bc3NvY2lhdGlvbnMgYmV0d2VlbiBtYXRl
cm5hbCBkaWV0YXJ5IHBhdHRlcm5zIGFuZCBpbmZhbnQgYmlydGggd2VpZ2h0LCBzbWFsbCBhbmQg
bGFyZ2UgZm9yIGdlc3RhdGlvbmFsIGFnZSBpbiB0aGUgTm9yd2VnaWFuIE1vdGhlciBhbmQgQ2hp
bGQgQ29ob3J0IFN0dWR5PC90aXRsZT48c2Vjb25kYXJ5LXRpdGxlPkV1ciBKIENsaW4gTnV0cjwv
c2Vjb25kYXJ5LXRpdGxlPjwvdGl0bGVzPjxwZXJpb2RpY2FsPjxmdWxsLXRpdGxlPkV1ciBKIENs
aW4gTnV0cjwvZnVsbC10aXRsZT48L3BlcmlvZGljYWw+PHBhZ2VzPjEyNzAtMTI4MjwvcGFnZXM+
PHZvbHVtZT43Mzwvdm9sdW1lPjxudW1iZXI+OTwvbnVtYmVyPjxlZGl0aW9uPjIwMTgvMTEvMjI8
L2VkaXRpb24+PGRhdGVzPjx5ZWFyPjIwMTk8L3llYXI+PHB1Yi1kYXRlcz48ZGF0ZT5TZXA8L2Rh
dGU+PC9wdWItZGF0ZXM+PC9kYXRlcz48aXNibj4xNDc2LTU2NDAgKEVsZWN0cm9uaWMpJiN4RDsw
OTU0LTMwMDcgKExpbmtpbmcpPC9pc2JuPjxhY2Nlc3Npb24tbnVtPjMwNDU5MzM4PC9hY2Nlc3Np
b24tbnVtPjx1cmxzPjxyZWxhdGVkLXVybHM+PHVybD5odHRwczovL3d3dy5uY2JpLm5sbS5uaWgu
Z292L3B1Ym1lZC8zMDQ1OTMzODwvdXJsPjwvcmVsYXRlZC11cmxzPjwvdXJscz48ZWxlY3Ryb25p
Yy1yZXNvdXJjZS1udW0+MTAuMTAzOC9zNDE0MzAtMDE4LTAzNTYteTwvZWxlY3Ryb25pYy1yZXNv
dXJjZS1udW0+PC9yZWNvcmQ+PC9DaXRlPjwvRW5kTm90ZT5=
</w:fldData>
              </w:fldChar>
            </w:r>
            <w:r w:rsidR="002747EA">
              <w:instrText xml:space="preserve"> ADDIN EN.CITE </w:instrText>
            </w:r>
            <w:r w:rsidR="002747EA">
              <w:fldChar w:fldCharType="begin">
                <w:fldData xml:space="preserve">PEVuZE5vdGU+PENpdGU+PEF1dGhvcj5FbmdsdW5kLU9nZ2U8L0F1dGhvcj48WWVhcj4yMDE5PC9Z
ZWFyPjxSZWNOdW0+MTM5OTwvUmVjTnVtPjxEaXNwbGF5VGV4dD48c3R5bGUgZmFjZT0ic3VwZXJz
Y3JpcHQiIGZvbnQ9IlRyZWJ1Y2hldCBNUyIgc2l6ZT0iOSI+MzI8L3N0eWxlPjwvRGlzcGxheVRl
eHQ+PHJlY29yZD48cmVjLW51bWJlcj4xMzk5PC9yZWMtbnVtYmVyPjxmb3JlaWduLWtleXM+PGtl
eSBhcHA9IkVOIiBkYi1pZD0iZXh2YXNyZngyZHRyYW9lc2FzeHAyc3pzeGEyZGY1MDI1OTJ4IiB0
aW1lc3RhbXA9IjE1Njc5MjQ0NjkiPjEzOTk8L2tleT48a2V5IGFwcD0iRU5XZWIiIGRiLWlkPSIi
PjA8L2tleT48L2ZvcmVpZ24ta2V5cz48cmVmLXR5cGUgbmFtZT0iSm91cm5hbCBBcnRpY2xlIj4x
NzwvcmVmLXR5cGU+PGNvbnRyaWJ1dG9ycz48YXV0aG9ycz48YXV0aG9yPkVuZ2x1bmQtT2dnZSwg
TC48L2F1dGhvcj48YXV0aG9yPkJyYW50c2FldGVyLCBBLiBMLjwvYXV0aG9yPjxhdXRob3I+SnVv
ZGFraXMsIEouPC9hdXRob3I+PGF1dGhvcj5IYXVnZW4sIE0uPC9hdXRob3I+PGF1dGhvcj5NZWx0
emVyLCBILiBNLjwvYXV0aG9yPjxhdXRob3I+SmFjb2Jzc29uLCBCLjwvYXV0aG9yPjxhdXRob3I+
U2VuZ3BpZWwsIFYuPC9hdXRob3I+PC9hdXRob3JzPjwvY29udHJpYnV0b3JzPjxhdXRoLWFkZHJl
c3M+RGVwYXJ0bWVudCBvZiBPYnN0ZXRyaWNzIGFuZCBHeW5lY29sb2d5LCBTYWhsZ3JlbnNrYSBV
bml2ZXJzaXR5IEhvc3BpdGFsLCBHb3RoZW5idXJnLCBTd2VkZW4uIGxpbmRhLmVuZ2x1bmQtb2dn
ZUB2Z3JlZ2lvbi5zZS4mI3hEO0RlcGFydG1lbnQgb2YgT2JzdGV0cmljcyBhbmQgR3luZWNvbG9n
eSwgU2FobGdyZW5za2EgQWNhZGVteSwgR290aGVuYnVyZyBVbml2ZXJzaXR5LCBHb3RoZW5idXJn
LCBTd2VkZW4uIGxpbmRhLmVuZ2x1bmQtb2dnZUB2Z3JlZ2lvbi5zZS4mI3hEO0RpdmlzaW9uIG9m
IEluZmVjdGlvbiBDb250cm9sIGFuZCBFbnZpcm9ubWVudGFsIEhlYWx0aCwgTm9yd2VnaWFuIElu
c3RpdHV0ZSBvZiBQdWJsaWMgSGVhbHRoLCBPc2xvLCBOb3J3YXkuJiN4RDtEZXBhcnRtZW50IG9m
IE9ic3RldHJpY3MgYW5kIEd5bmVjb2xvZ3ksIFNhaGxncmVuc2thIEFjYWRlbXksIEdvdGhlbmJ1
cmcgVW5pdmVyc2l0eSwgR290aGVuYnVyZywgU3dlZGVuLiYjeEQ7RGVwYXJ0bWVudCBvZiBPYnN0
ZXRyaWNzIGFuZCBHeW5lY29sb2d5LCBTYWhsZ3JlbnNrYSBVbml2ZXJzaXR5IEhvc3BpdGFsLCBH
b3RoZW5idXJnLCBTd2VkZW4uJiN4RDtEb21haW4gb2YgSGVhbHRoIERhdGEgYW5kIERpZ2l0YWxp
c2F0aW9uLCBOb3J3ZWdpYW4gSW5zdGl0dXRlIG9mIFB1YmxpYyBIZWFsdGgsIE9zbG8sIE5vcndh
eS48L2F1dGgtYWRkcmVzcz48dGl0bGVzPjx0aXRsZT5Bc3NvY2lhdGlvbnMgYmV0d2VlbiBtYXRl
cm5hbCBkaWV0YXJ5IHBhdHRlcm5zIGFuZCBpbmZhbnQgYmlydGggd2VpZ2h0LCBzbWFsbCBhbmQg
bGFyZ2UgZm9yIGdlc3RhdGlvbmFsIGFnZSBpbiB0aGUgTm9yd2VnaWFuIE1vdGhlciBhbmQgQ2hp
bGQgQ29ob3J0IFN0dWR5PC90aXRsZT48c2Vjb25kYXJ5LXRpdGxlPkV1ciBKIENsaW4gTnV0cjwv
c2Vjb25kYXJ5LXRpdGxlPjwvdGl0bGVzPjxwZXJpb2RpY2FsPjxmdWxsLXRpdGxlPkV1ciBKIENs
aW4gTnV0cjwvZnVsbC10aXRsZT48L3BlcmlvZGljYWw+PHBhZ2VzPjEyNzAtMTI4MjwvcGFnZXM+
PHZvbHVtZT43Mzwvdm9sdW1lPjxudW1iZXI+OTwvbnVtYmVyPjxlZGl0aW9uPjIwMTgvMTEvMjI8
L2VkaXRpb24+PGRhdGVzPjx5ZWFyPjIwMTk8L3llYXI+PHB1Yi1kYXRlcz48ZGF0ZT5TZXA8L2Rh
dGU+PC9wdWItZGF0ZXM+PC9kYXRlcz48aXNibj4xNDc2LTU2NDAgKEVsZWN0cm9uaWMpJiN4RDsw
OTU0LTMwMDcgKExpbmtpbmcpPC9pc2JuPjxhY2Nlc3Npb24tbnVtPjMwNDU5MzM4PC9hY2Nlc3Np
b24tbnVtPjx1cmxzPjxyZWxhdGVkLXVybHM+PHVybD5odHRwczovL3d3dy5uY2JpLm5sbS5uaWgu
Z292L3B1Ym1lZC8zMDQ1OTMzODwvdXJsPjwvcmVsYXRlZC11cmxzPjwvdXJscz48ZWxlY3Ryb25p
Yy1yZXNvdXJjZS1udW0+MTAuMTAzOC9zNDE0MzAtMDE4LTAzNTYteTwvZWxlY3Ryb25pYy1yZXNv
dXJjZS1udW0+PC9yZWNvcmQ+PC9DaXRlPjwvRW5kTm90ZT5=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32</w:t>
            </w:r>
            <w:r>
              <w:fldChar w:fldCharType="end"/>
            </w:r>
          </w:p>
          <w:p w14:paraId="7A0E9D00" w14:textId="77777777" w:rsidR="004C390A" w:rsidRDefault="004C390A" w:rsidP="00B03D4D">
            <w:r>
              <w:t>Norway</w:t>
            </w:r>
          </w:p>
          <w:p w14:paraId="1DA9F1D4" w14:textId="77777777" w:rsidR="004C390A" w:rsidRPr="00B03D4D" w:rsidRDefault="004C390A" w:rsidP="00B03D4D">
            <w:r>
              <w:t>Cohort</w:t>
            </w:r>
          </w:p>
        </w:tc>
        <w:tc>
          <w:tcPr>
            <w:tcW w:w="992" w:type="dxa"/>
            <w:tcBorders>
              <w:bottom w:val="single" w:sz="4" w:space="0" w:color="538135" w:themeColor="accent6" w:themeShade="BF"/>
            </w:tcBorders>
          </w:tcPr>
          <w:p w14:paraId="1BAF09FD" w14:textId="77777777" w:rsidR="004C390A" w:rsidRDefault="004C390A" w:rsidP="007B3A77">
            <w:r>
              <w:t>65,904</w:t>
            </w:r>
          </w:p>
        </w:tc>
        <w:tc>
          <w:tcPr>
            <w:tcW w:w="4961" w:type="dxa"/>
            <w:tcBorders>
              <w:bottom w:val="single" w:sz="4" w:space="0" w:color="538135" w:themeColor="accent6" w:themeShade="BF"/>
            </w:tcBorders>
          </w:tcPr>
          <w:p w14:paraId="251EFCB0" w14:textId="77777777" w:rsidR="004C390A" w:rsidRDefault="004C390A" w:rsidP="00BC04EA">
            <w:r>
              <w:rPr>
                <w:b/>
              </w:rPr>
              <w:t xml:space="preserve">Aim: </w:t>
            </w:r>
            <w:r w:rsidRPr="00BC04EA">
              <w:t xml:space="preserve">To assess whether quality of maternal diet affects birth weight and the risk of small for gestational age (SGA) and/or large for gestational age (LGA) babies. </w:t>
            </w:r>
          </w:p>
          <w:p w14:paraId="30D0B43F" w14:textId="77777777" w:rsidR="004C390A" w:rsidRPr="00B03D4D" w:rsidRDefault="004C390A" w:rsidP="00BC04EA">
            <w:pPr>
              <w:rPr>
                <w:b/>
              </w:rPr>
            </w:pPr>
            <w:r w:rsidRPr="00BC04EA">
              <w:rPr>
                <w:b/>
              </w:rPr>
              <w:t>Methods</w:t>
            </w:r>
            <w:r w:rsidRPr="00BC04EA">
              <w:t xml:space="preserve">: </w:t>
            </w:r>
            <w:r>
              <w:t>P</w:t>
            </w:r>
            <w:r w:rsidRPr="00BC04EA">
              <w:t xml:space="preserve">regnant women answered a validated food frequency questionnaire at mid-pregnancy. Three maternal dietary patterns were extracted based on characteristics of food items in each pattern. From these we created four non-overlapping groups: "high prudent," "high Western," "high traditional," and "mixed". </w:t>
            </w:r>
          </w:p>
        </w:tc>
        <w:tc>
          <w:tcPr>
            <w:tcW w:w="4536" w:type="dxa"/>
            <w:tcBorders>
              <w:bottom w:val="single" w:sz="4" w:space="0" w:color="538135" w:themeColor="accent6" w:themeShade="BF"/>
            </w:tcBorders>
          </w:tcPr>
          <w:p w14:paraId="519F933A" w14:textId="77777777" w:rsidR="004C390A" w:rsidRPr="00BC04EA" w:rsidRDefault="004C390A" w:rsidP="00BC04EA">
            <w:r w:rsidRPr="00BC04EA">
              <w:t>Compared to the high Western group, the high prudent group was associated with lower birth weight (beta</w:t>
            </w:r>
            <w:r>
              <w:t>-</w:t>
            </w:r>
            <w:r w:rsidRPr="00BC04EA">
              <w:t>ultrasound z-scores -0.041 (95%</w:t>
            </w:r>
            <w:r>
              <w:t>CI</w:t>
            </w:r>
            <w:r w:rsidRPr="00BC04EA">
              <w:t xml:space="preserve"> </w:t>
            </w:r>
            <w:r>
              <w:t>-0.068 to</w:t>
            </w:r>
            <w:r w:rsidRPr="00BC04EA">
              <w:t xml:space="preserve"> -0.013)) and the high traditional group with higher birth weight (beta</w:t>
            </w:r>
            <w:r>
              <w:t>-ultrasound 0.067 (95%CI 0.040 to</w:t>
            </w:r>
            <w:r w:rsidRPr="00BC04EA">
              <w:t xml:space="preserve"> 0.094)) for all three growth standards. The high prudent pattern was associated with increased SGA risk (SGA</w:t>
            </w:r>
            <w:r>
              <w:t>-</w:t>
            </w:r>
            <w:r w:rsidRPr="00BC04EA">
              <w:t xml:space="preserve">ultrasound </w:t>
            </w:r>
            <w:r>
              <w:t>OR</w:t>
            </w:r>
            <w:r w:rsidRPr="00BC04EA">
              <w:t xml:space="preserve"> 1.2</w:t>
            </w:r>
            <w:r>
              <w:t>5 (95%CI: 1.02 to</w:t>
            </w:r>
            <w:r w:rsidRPr="00BC04EA">
              <w:t xml:space="preserve"> 1.54)) and decreased LGA risk (LGA</w:t>
            </w:r>
            <w:r>
              <w:t>-population OR 0.84 (95%CI: 0.75 to</w:t>
            </w:r>
            <w:r w:rsidRPr="00BC04EA">
              <w:t xml:space="preserve"> 0.94)), while the high traditional group on the contrary was associated with decreased SGA (SGA</w:t>
            </w:r>
            <w:r>
              <w:t>-customised OR 0.92 (95% CI: 0.84 to</w:t>
            </w:r>
            <w:r w:rsidRPr="00BC04EA">
              <w:t xml:space="preserve"> 0.99)) and increased LGA risk (LGA</w:t>
            </w:r>
            <w:r>
              <w:t xml:space="preserve"> </w:t>
            </w:r>
            <w:r w:rsidRPr="00BC04EA">
              <w:t>populati</w:t>
            </w:r>
            <w:r>
              <w:t>on OR 1.12 (95%CI 1.02 to</w:t>
            </w:r>
            <w:r w:rsidRPr="00BC04EA">
              <w:t xml:space="preserve"> 1.24)). </w:t>
            </w:r>
          </w:p>
        </w:tc>
        <w:tc>
          <w:tcPr>
            <w:tcW w:w="1843" w:type="dxa"/>
            <w:tcBorders>
              <w:bottom w:val="single" w:sz="4" w:space="0" w:color="538135" w:themeColor="accent6" w:themeShade="BF"/>
            </w:tcBorders>
          </w:tcPr>
          <w:p w14:paraId="71DFF6B4" w14:textId="77777777" w:rsidR="004C390A" w:rsidRPr="007B3A77" w:rsidRDefault="004C390A" w:rsidP="007B3A77"/>
        </w:tc>
      </w:tr>
      <w:tr w:rsidR="004C390A" w:rsidRPr="007B3A77" w14:paraId="4498747C" w14:textId="77777777" w:rsidTr="004C390A">
        <w:trPr>
          <w:cantSplit/>
          <w:trHeight w:val="390"/>
        </w:trPr>
        <w:tc>
          <w:tcPr>
            <w:tcW w:w="1560" w:type="dxa"/>
          </w:tcPr>
          <w:p w14:paraId="2FB3FAF8" w14:textId="52FB0BCB" w:rsidR="004C390A" w:rsidRDefault="004C390A" w:rsidP="007B3A77">
            <w:r>
              <w:t>Gresham et al 2016</w:t>
            </w:r>
            <w:r>
              <w:fldChar w:fldCharType="begin">
                <w:fldData xml:space="preserve">PEVuZE5vdGU+PENpdGU+PEF1dGhvcj5HcmVzaGFtPC9BdXRob3I+PFllYXI+MjAxNjwvWWVhcj48
UmVjTnVtPjE0MDc8L1JlY051bT48RGlzcGxheVRleHQ+PHN0eWxlIGZhY2U9InN1cGVyc2NyaXB0
IiBmb250PSJUcmVidWNoZXQgTVMiIHNpemU9IjkiPjI0PC9zdHlsZT48L0Rpc3BsYXlUZXh0Pjxy
ZWNvcmQ+PHJlYy1udW1iZXI+MTQwNzwvcmVjLW51bWJlcj48Zm9yZWlnbi1rZXlzPjxrZXkgYXBw
PSJFTiIgZGItaWQ9ImV4dmFzcmZ4MmR0cmFvZXNhc3hwMnN6c3hhMmRmNTAyNTkyeCIgdGltZXN0
YW1wPSIxNTY3OTI0NTM2Ij4xNDA3PC9rZXk+PGtleSBhcHA9IkVOV2ViIiBkYi1pZD0iIj4wPC9r
ZXk+PC9mb3JlaWduLWtleXM+PHJlZi10eXBlIG5hbWU9IkpvdXJuYWwgQXJ0aWNsZSI+MTc8L3Jl
Zi10eXBlPjxjb250cmlidXRvcnM+PGF1dGhvcnM+PGF1dGhvcj5HcmVzaGFtLCBFLjwvYXV0aG9y
PjxhdXRob3I+Q29sbGlucywgQy4gRS48L2F1dGhvcj48YXV0aG9yPk1pc2hyYSwgRy4gRC48L2F1
dGhvcj48YXV0aG9yPkJ5bGVzLCBKLiBFLjwvYXV0aG9yPjxhdXRob3I+SHVyZSwgQS4gSi48L2F1
dGhvcj48L2F1dGhvcnM+PC9jb250cmlidXRvcnM+PGF1dGgtYWRkcmVzcz4xUmVzZWFyY2ggQ2Vu
dHJlIGZvciBHZW5kZXIsSGVhbHRoIGFuZCBBZ2VpbmcsU2Nob29sIG9mIE1lZGljaW5lIGFuZCBQ
dWJsaWMgSGVhbHRoLFRoZSBVbml2ZXJzaXR5IG9mIE5ld2Nhc3RsZSxIdW50ZXIgTWVkaWNhbCBS
ZXNlYXJjaCBJbnN0aXR1dGUgTGV2ZWwgNCxVbml2ZXJzaXR5IERyaXZlLENhbGxhZ2hhbixOU1cg
MjMwOCxBdXN0cmFsaWEuJiN4RDszU2Nob29sIG9mIEhlYWx0aCBTY2llbmNlcywgRmFjdWx0eSBv
ZiBIZWFsdGggYW5kIE1lZGljaW5lIGFuZCBQcmlvcml0eSBSZXNlYXJjaCBDZW50cmUgaW4gUGh5
c2ljYWwgQWN0aXZpdHkgYW5kIE51dHJpdGlvbixUaGUgVW5pdmVyc2l0eSBvZiBOZXdjYXN0bGUs
Q2FsbGFnaGFuLE5TVyxBdXN0cmFsaWEuJiN4RDs0U2Nob29sIG9mIFB1YmxpYyBIZWFsdGgsIEZh
Y3VsdHkgTWVkaWNpbmUgYW5kIEJpb21lZGljYWwgU2NpZW5jZXMsQ2VudHJlIGZvciBMb25naXR1
ZGluYWwgYW5kIExpZmUgQ291cnNlIFJlc2VhcmNoLFRoZSBVbml2ZXJzaXR5IG9mIFF1ZWVuc2xh
bmQsSGVyc3RvbixRTEQsQXVzdHJhbGlhLjwvYXV0aC1hZGRyZXNzPjx0aXRsZXM+PHRpdGxlPkRp
ZXQgcXVhbGl0eSBiZWZvcmUgb3IgZHVyaW5nIHByZWduYW5jeSBhbmQgdGhlIHJlbGF0aW9uc2hp
cCB3aXRoIHByZWduYW5jeSBhbmQgYmlydGggb3V0Y29tZXM6IHRoZSBBdXN0cmFsaWFuIExvbmdp
dHVkaW5hbCBTdHVkeSBvbiBXb21lbiZhcG9zO3MgSGVhbHRoPC90aXRsZT48c2Vjb25kYXJ5LXRp
dGxlPlB1YmxpYyBIZWFsdGggTnV0cjwvc2Vjb25kYXJ5LXRpdGxlPjwvdGl0bGVzPjxwZXJpb2Rp
Y2FsPjxmdWxsLXRpdGxlPlB1YmxpYyBIZWFsdGggTnV0cjwvZnVsbC10aXRsZT48L3BlcmlvZGlj
YWw+PHBhZ2VzPjI5NzUtMjk4MzwvcGFnZXM+PHZvbHVtZT4xOTwvdm9sdW1lPjxudW1iZXI+MTY8
L251bWJlcj48ZWRpdGlvbj4yMDE2LzA1LzMxPC9lZGl0aW9uPjxrZXl3b3Jkcz48a2V5d29yZD5B
ZHVsdDwva2V5d29yZD48a2V5d29yZD5BdXN0cmFsaWE8L2tleXdvcmQ+PGtleXdvcmQ+KkRpYWJl
dGVzLCBHZXN0YXRpb25hbDwva2V5d29yZD48a2V5d29yZD4qRGlldDwva2V5d29yZD48a2V5d29y
ZD5EaWV0IFN1cnZleXM8L2tleXdvcmQ+PGtleXdvcmQ+RmVtYWxlPC9rZXl3b3JkPjxrZXl3b3Jk
Pkh1bWFuczwva2V5d29yZD48a2V5d29yZD4qSHlwZXJ0ZW5zaW9uLCBQcmVnbmFuY3ktSW5kdWNl
ZDwva2V5d29yZD48a2V5d29yZD5JbmZhbnQsIExvdyBCaXJ0aCBXZWlnaHQ8L2tleXdvcmQ+PGtl
eXdvcmQ+SW5mYW50LCBOZXdib3JuPC9rZXl3b3JkPjxrZXl3b3JkPkxvbmdpdHVkaW5hbCBTdHVk
aWVzPC9rZXl3b3JkPjxrZXl3b3JkPlByZWduYW5jeTwva2V5d29yZD48a2V5d29yZD5Xb21lbiZh
cG9zO3MgSGVhbHRoPC9rZXl3b3JkPjxrZXl3b3JkPllvdW5nIEFkdWx0PC9rZXl3b3JkPjxrZXl3
b3JkPipCaXJ0aDwva2V5d29yZD48a2V5d29yZD4qRGlldCBxdWFsaXR5PC9rZXl3b3JkPjxrZXl3
b3JkPipmZnE8L2tleXdvcmQ+PGtleXdvcmQ+KlByZWduYW5jeTwva2V5d29yZD48a2V5d29yZD4q
V29tZW4mYXBvcztzIGhlYWx0aDwva2V5d29yZD48L2tleXdvcmRzPjxkYXRlcz48eWVhcj4yMDE2
PC95ZWFyPjxwdWItZGF0ZXM+PGRhdGU+Tm92PC9kYXRlPjwvcHViLWRhdGVzPjwvZGF0ZXM+PGlz
Ym4+MTQ3NS0yNzI3IChFbGVjdHJvbmljKSYjeEQ7MTM2OC05ODAwIChMaW5raW5nKTwvaXNibj48
YWNjZXNzaW9uLW51bT4yNzIzODc1NzwvYWNjZXNzaW9uLW51bT48dXJscz48cmVsYXRlZC11cmxz
Pjx1cmw+aHR0cHM6Ly93d3cubmNiaS5ubG0ubmloLmdvdi9wdWJtZWQvMjcyMzg3NTc8L3VybD48
L3JlbGF0ZWQtdXJscz48L3VybHM+PGVsZWN0cm9uaWMtcmVzb3VyY2UtbnVtPjEwLjEwMTcvUzEz
Njg5ODAwMTYwMDEyNDU8L2VsZWN0cm9uaWMtcmVzb3VyY2UtbnVtPjwvcmVjb3JkPjwvQ2l0ZT48
L0VuZE5vdGU+
</w:fldData>
              </w:fldChar>
            </w:r>
            <w:r w:rsidR="002747EA">
              <w:instrText xml:space="preserve"> ADDIN EN.CITE </w:instrText>
            </w:r>
            <w:r w:rsidR="002747EA">
              <w:fldChar w:fldCharType="begin">
                <w:fldData xml:space="preserve">PEVuZE5vdGU+PENpdGU+PEF1dGhvcj5HcmVzaGFtPC9BdXRob3I+PFllYXI+MjAxNjwvWWVhcj48
UmVjTnVtPjE0MDc8L1JlY051bT48RGlzcGxheVRleHQ+PHN0eWxlIGZhY2U9InN1cGVyc2NyaXB0
IiBmb250PSJUcmVidWNoZXQgTVMiIHNpemU9IjkiPjI0PC9zdHlsZT48L0Rpc3BsYXlUZXh0Pjxy
ZWNvcmQ+PHJlYy1udW1iZXI+MTQwNzwvcmVjLW51bWJlcj48Zm9yZWlnbi1rZXlzPjxrZXkgYXBw
PSJFTiIgZGItaWQ9ImV4dmFzcmZ4MmR0cmFvZXNhc3hwMnN6c3hhMmRmNTAyNTkyeCIgdGltZXN0
YW1wPSIxNTY3OTI0NTM2Ij4xNDA3PC9rZXk+PGtleSBhcHA9IkVOV2ViIiBkYi1pZD0iIj4wPC9r
ZXk+PC9mb3JlaWduLWtleXM+PHJlZi10eXBlIG5hbWU9IkpvdXJuYWwgQXJ0aWNsZSI+MTc8L3Jl
Zi10eXBlPjxjb250cmlidXRvcnM+PGF1dGhvcnM+PGF1dGhvcj5HcmVzaGFtLCBFLjwvYXV0aG9y
PjxhdXRob3I+Q29sbGlucywgQy4gRS48L2F1dGhvcj48YXV0aG9yPk1pc2hyYSwgRy4gRC48L2F1
dGhvcj48YXV0aG9yPkJ5bGVzLCBKLiBFLjwvYXV0aG9yPjxhdXRob3I+SHVyZSwgQS4gSi48L2F1
dGhvcj48L2F1dGhvcnM+PC9jb250cmlidXRvcnM+PGF1dGgtYWRkcmVzcz4xUmVzZWFyY2ggQ2Vu
dHJlIGZvciBHZW5kZXIsSGVhbHRoIGFuZCBBZ2VpbmcsU2Nob29sIG9mIE1lZGljaW5lIGFuZCBQ
dWJsaWMgSGVhbHRoLFRoZSBVbml2ZXJzaXR5IG9mIE5ld2Nhc3RsZSxIdW50ZXIgTWVkaWNhbCBS
ZXNlYXJjaCBJbnN0aXR1dGUgTGV2ZWwgNCxVbml2ZXJzaXR5IERyaXZlLENhbGxhZ2hhbixOU1cg
MjMwOCxBdXN0cmFsaWEuJiN4RDszU2Nob29sIG9mIEhlYWx0aCBTY2llbmNlcywgRmFjdWx0eSBv
ZiBIZWFsdGggYW5kIE1lZGljaW5lIGFuZCBQcmlvcml0eSBSZXNlYXJjaCBDZW50cmUgaW4gUGh5
c2ljYWwgQWN0aXZpdHkgYW5kIE51dHJpdGlvbixUaGUgVW5pdmVyc2l0eSBvZiBOZXdjYXN0bGUs
Q2FsbGFnaGFuLE5TVyxBdXN0cmFsaWEuJiN4RDs0U2Nob29sIG9mIFB1YmxpYyBIZWFsdGgsIEZh
Y3VsdHkgTWVkaWNpbmUgYW5kIEJpb21lZGljYWwgU2NpZW5jZXMsQ2VudHJlIGZvciBMb25naXR1
ZGluYWwgYW5kIExpZmUgQ291cnNlIFJlc2VhcmNoLFRoZSBVbml2ZXJzaXR5IG9mIFF1ZWVuc2xh
bmQsSGVyc3RvbixRTEQsQXVzdHJhbGlhLjwvYXV0aC1hZGRyZXNzPjx0aXRsZXM+PHRpdGxlPkRp
ZXQgcXVhbGl0eSBiZWZvcmUgb3IgZHVyaW5nIHByZWduYW5jeSBhbmQgdGhlIHJlbGF0aW9uc2hp
cCB3aXRoIHByZWduYW5jeSBhbmQgYmlydGggb3V0Y29tZXM6IHRoZSBBdXN0cmFsaWFuIExvbmdp
dHVkaW5hbCBTdHVkeSBvbiBXb21lbiZhcG9zO3MgSGVhbHRoPC90aXRsZT48c2Vjb25kYXJ5LXRp
dGxlPlB1YmxpYyBIZWFsdGggTnV0cjwvc2Vjb25kYXJ5LXRpdGxlPjwvdGl0bGVzPjxwZXJpb2Rp
Y2FsPjxmdWxsLXRpdGxlPlB1YmxpYyBIZWFsdGggTnV0cjwvZnVsbC10aXRsZT48L3BlcmlvZGlj
YWw+PHBhZ2VzPjI5NzUtMjk4MzwvcGFnZXM+PHZvbHVtZT4xOTwvdm9sdW1lPjxudW1iZXI+MTY8
L251bWJlcj48ZWRpdGlvbj4yMDE2LzA1LzMxPC9lZGl0aW9uPjxrZXl3b3Jkcz48a2V5d29yZD5B
ZHVsdDwva2V5d29yZD48a2V5d29yZD5BdXN0cmFsaWE8L2tleXdvcmQ+PGtleXdvcmQ+KkRpYWJl
dGVzLCBHZXN0YXRpb25hbDwva2V5d29yZD48a2V5d29yZD4qRGlldDwva2V5d29yZD48a2V5d29y
ZD5EaWV0IFN1cnZleXM8L2tleXdvcmQ+PGtleXdvcmQ+RmVtYWxlPC9rZXl3b3JkPjxrZXl3b3Jk
Pkh1bWFuczwva2V5d29yZD48a2V5d29yZD4qSHlwZXJ0ZW5zaW9uLCBQcmVnbmFuY3ktSW5kdWNl
ZDwva2V5d29yZD48a2V5d29yZD5JbmZhbnQsIExvdyBCaXJ0aCBXZWlnaHQ8L2tleXdvcmQ+PGtl
eXdvcmQ+SW5mYW50LCBOZXdib3JuPC9rZXl3b3JkPjxrZXl3b3JkPkxvbmdpdHVkaW5hbCBTdHVk
aWVzPC9rZXl3b3JkPjxrZXl3b3JkPlByZWduYW5jeTwva2V5d29yZD48a2V5d29yZD5Xb21lbiZh
cG9zO3MgSGVhbHRoPC9rZXl3b3JkPjxrZXl3b3JkPllvdW5nIEFkdWx0PC9rZXl3b3JkPjxrZXl3
b3JkPipCaXJ0aDwva2V5d29yZD48a2V5d29yZD4qRGlldCBxdWFsaXR5PC9rZXl3b3JkPjxrZXl3
b3JkPipmZnE8L2tleXdvcmQ+PGtleXdvcmQ+KlByZWduYW5jeTwva2V5d29yZD48a2V5d29yZD4q
V29tZW4mYXBvcztzIGhlYWx0aDwva2V5d29yZD48L2tleXdvcmRzPjxkYXRlcz48eWVhcj4yMDE2
PC95ZWFyPjxwdWItZGF0ZXM+PGRhdGU+Tm92PC9kYXRlPjwvcHViLWRhdGVzPjwvZGF0ZXM+PGlz
Ym4+MTQ3NS0yNzI3IChFbGVjdHJvbmljKSYjeEQ7MTM2OC05ODAwIChMaW5raW5nKTwvaXNibj48
YWNjZXNzaW9uLW51bT4yNzIzODc1NzwvYWNjZXNzaW9uLW51bT48dXJscz48cmVsYXRlZC11cmxz
Pjx1cmw+aHR0cHM6Ly93d3cubmNiaS5ubG0ubmloLmdvdi9wdWJtZWQvMjcyMzg3NTc8L3VybD48
L3JlbGF0ZWQtdXJscz48L3VybHM+PGVsZWN0cm9uaWMtcmVzb3VyY2UtbnVtPjEwLjEwMTcvUzEz
Njg5ODAwMTYwMDEyNDU8L2VsZWN0cm9uaWMtcmVzb3VyY2UtbnVtPjwvcmVjb3JkPjwvQ2l0ZT48
L0VuZE5vdGU+
</w:fldData>
              </w:fldChar>
            </w:r>
            <w:r w:rsidR="002747EA">
              <w:instrText xml:space="preserve"> ADDIN EN.CITE.DATA </w:instrText>
            </w:r>
            <w:r w:rsidR="002747EA">
              <w:fldChar w:fldCharType="end"/>
            </w:r>
            <w:r>
              <w:fldChar w:fldCharType="separate"/>
            </w:r>
            <w:r w:rsidR="002747EA" w:rsidRPr="002747EA">
              <w:rPr>
                <w:noProof/>
                <w:vertAlign w:val="superscript"/>
              </w:rPr>
              <w:t>24</w:t>
            </w:r>
            <w:r>
              <w:fldChar w:fldCharType="end"/>
            </w:r>
          </w:p>
          <w:p w14:paraId="26AFC9DF" w14:textId="77777777" w:rsidR="004C390A" w:rsidRDefault="004C390A" w:rsidP="007B3A77">
            <w:r>
              <w:t>Australia</w:t>
            </w:r>
          </w:p>
          <w:p w14:paraId="40E03851" w14:textId="77777777" w:rsidR="004C390A" w:rsidRDefault="004C390A" w:rsidP="007B3A77">
            <w:r>
              <w:t>Cohort</w:t>
            </w:r>
          </w:p>
        </w:tc>
        <w:tc>
          <w:tcPr>
            <w:tcW w:w="992" w:type="dxa"/>
          </w:tcPr>
          <w:p w14:paraId="74DD6020" w14:textId="77777777" w:rsidR="004C390A" w:rsidRDefault="004C390A" w:rsidP="007B3A77">
            <w:r>
              <w:t>1,907 women</w:t>
            </w:r>
          </w:p>
        </w:tc>
        <w:tc>
          <w:tcPr>
            <w:tcW w:w="4961" w:type="dxa"/>
          </w:tcPr>
          <w:p w14:paraId="6BBDB09F" w14:textId="77777777" w:rsidR="004C390A" w:rsidRDefault="004C390A" w:rsidP="004843FE">
            <w:r>
              <w:rPr>
                <w:b/>
              </w:rPr>
              <w:t xml:space="preserve">Aim: </w:t>
            </w:r>
            <w:r w:rsidRPr="004843FE">
              <w:t xml:space="preserve">To assess whether diet quality before or during pregnancy predicts adverse pregnancy and birth outcomes in a sample of Australian women. </w:t>
            </w:r>
          </w:p>
          <w:p w14:paraId="672DAD7C" w14:textId="77777777" w:rsidR="004C390A" w:rsidRPr="004843FE" w:rsidRDefault="004C390A" w:rsidP="004843FE">
            <w:r w:rsidRPr="004843FE">
              <w:rPr>
                <w:b/>
              </w:rPr>
              <w:t>Methods</w:t>
            </w:r>
            <w:r w:rsidRPr="004843FE">
              <w:t>: The Dietary Questionnaire for Epidemiological Studies was used to calculate diet quality using the Australian Recommended Food Score (ARFS) methodology modified for pregnancy. A national sample of Australian women, aged 20-25 and 31-36 years, who were classified as preconception or pregnant when completing Survey 3 or Survey 5 of the ALSWH, respectively. The women with biologically plausible energy intake estimates were included in regression analyses of associations between preconception and pregnancy ARFS and subsequent pregnan</w:t>
            </w:r>
            <w:r>
              <w:t xml:space="preserve">cy outcomes. </w:t>
            </w:r>
          </w:p>
        </w:tc>
        <w:tc>
          <w:tcPr>
            <w:tcW w:w="4536" w:type="dxa"/>
          </w:tcPr>
          <w:p w14:paraId="5E655346" w14:textId="77777777" w:rsidR="004C390A" w:rsidRPr="004843FE" w:rsidRDefault="004C390A" w:rsidP="00F22A8E">
            <w:r w:rsidRPr="004843FE">
              <w:t>Women with the highest ARFS had the lowest odds of developing gestational hy</w:t>
            </w:r>
            <w:r>
              <w:t>pertension (OR=0.4; 95 % CI 0.2 to</w:t>
            </w:r>
            <w:r w:rsidRPr="004843FE">
              <w:t xml:space="preserve"> 0.7) or </w:t>
            </w:r>
            <w:r>
              <w:t>having</w:t>
            </w:r>
            <w:r w:rsidRPr="004843FE">
              <w:t xml:space="preserve"> a </w:t>
            </w:r>
            <w:r>
              <w:t>baby</w:t>
            </w:r>
            <w:r w:rsidRPr="004843FE">
              <w:t xml:space="preserve"> of low bi</w:t>
            </w:r>
            <w:r>
              <w:t>rth weight (OR=0.4; 95 % CI 0.2 to</w:t>
            </w:r>
            <w:r w:rsidRPr="004843FE">
              <w:t xml:space="preserve"> 0.9), which remained significant for gestational hypertension after adjustment for potential confounders. </w:t>
            </w:r>
          </w:p>
        </w:tc>
        <w:tc>
          <w:tcPr>
            <w:tcW w:w="1843" w:type="dxa"/>
          </w:tcPr>
          <w:p w14:paraId="70388D7A" w14:textId="77777777" w:rsidR="004C390A" w:rsidRPr="007B3A77" w:rsidRDefault="004C390A" w:rsidP="007B3A77"/>
        </w:tc>
      </w:tr>
      <w:tr w:rsidR="004C390A" w:rsidRPr="007B3A77" w14:paraId="3C2DCA5B" w14:textId="77777777" w:rsidTr="004C390A">
        <w:trPr>
          <w:cantSplit/>
          <w:trHeight w:val="390"/>
        </w:trPr>
        <w:tc>
          <w:tcPr>
            <w:tcW w:w="1560" w:type="dxa"/>
          </w:tcPr>
          <w:p w14:paraId="27B999EE" w14:textId="49457023" w:rsidR="004C390A" w:rsidRDefault="004C390A" w:rsidP="007B3A77">
            <w:r>
              <w:t>Ikem et al 2019</w:t>
            </w:r>
            <w:r>
              <w:fldChar w:fldCharType="begin">
                <w:fldData xml:space="preserve">PEVuZE5vdGU+PENpdGU+PEF1dGhvcj5Ja2VtPC9BdXRob3I+PFllYXI+MjAxOTwvWWVhcj48UmVj
TnVtPjE0NTA8L1JlY051bT48RGlzcGxheVRleHQ+PHN0eWxlIGZhY2U9InN1cGVyc2NyaXB0IiBm
b250PSJUcmVidWNoZXQgTVMiIHNpemU9IjkiPjIzPC9zdHlsZT48L0Rpc3BsYXlUZXh0PjxyZWNv
cmQ+PHJlYy1udW1iZXI+MTQ1MDwvcmVjLW51bWJlcj48Zm9yZWlnbi1rZXlzPjxrZXkgYXBwPSJF
TiIgZGItaWQ9ImV4dmFzcmZ4MmR0cmFvZXNhc3hwMnN6c3hhMmRmNTAyNTkyeCIgdGltZXN0YW1w
PSIxNTc0MTk4NjcwIj4xNDUwPC9rZXk+PGtleSBhcHA9IkVOV2ViIiBkYi1pZD0iIj4wPC9rZXk+
PC9mb3JlaWduLWtleXM+PHJlZi10eXBlIG5hbWU9IkpvdXJuYWwgQXJ0aWNsZSI+MTc8L3JlZi10
eXBlPjxjb250cmlidXRvcnM+PGF1dGhvcnM+PGF1dGhvcj5Ja2VtLCBFLiw8L2F1dGhvcj48YXV0
aG9yPkhhbGxkb3Jzc29uLCBULkkuLDwvYXV0aG9yPjxhdXRob3I+QmlyZ2lzZMOzdHRpciwgQi5F
Liw8L2F1dGhvcj48YXV0aG9yPlJhc211c3NlbiwgTS5BLiw8L2F1dGhvcj48YXV0aG9yPk9sc2Vu
LCBTLkYuLDwvYXV0aG9yPjxhdXRob3I+TWFzbG92YSwgRS4sPC9hdXRob3I+PC9hdXRob3JzPjwv
Y29udHJpYnV0b3JzPjxhdXRoLWFkZHJlc3M+U2Nob29sIG9mIE1lZGljaW5lLCBGYWN1bHR5IG9m
IFNjaWVuY2UsIE1lZGljaW5lIGFuZCBIZWFsdGgsIFVuaXZlcnNpdHkgb2YgV29sbG9uZ29uZywg
V29sbG9uZ29uZywgTmV3IFNvdXRoIFdhbGVzLCBBdXN0cmFsaWEuJiN4RDtJbGxhd2FycmEgSGVh
bHRoIGFuZCBNZWRpY2FsIFJlc2VhcmNoIEluc3RpdHV0ZSwgV29sbG9uZ29uZywgTmV3IFNvdXRo
IFdhbGVzLCBBdXN0cmFsaWEuJiN4RDtEaXNjaXBsaW5lIG9mIE9ic3RldHJpY3MgYW5kIEd5bmFl
Y29sb2d5LCBSb2JpbnNvbiBSZXNlYXJjaCBJbnN0aXR1dGUsIFVuaXZlcnNpdHkgb2YgQWRlbGFp
ZGUsIEFkZWxhaWRlLCBTb3V0aCBBdXN0cmFsaWEsIEF1c3RyYWxpYS4mI3hEO0RlcGFydG1lbnQg
b2YgUGVyaW5hdGFsIE1lZGljaW5lLCBXb21lbiZhcG9zO3MgYW5kIEJhYmllcyBEaXZpc2lvbiwg
V29tZW4mYXBvcztzIGFuZCBDaGlsZHJlbiZhcG9zO3MgSG9zcGl0YWwsIEFkZWxhaWRlLCBTb3V0
aCBBdXN0cmFsaWEsIEF1c3RyYWxpYS48L2F1dGgtYWRkcmVzcz48dGl0bGVzPjx0aXRsZT5EaWV0
YXJ5IHBhdHRlcm5zIGFuZCB0aGUgcmlzayBvZiBwcmVnbmFuY3ktYXNzb2NpYXRlZCBoeXBlcnRl
bnNpb24gaW4gdGhlIERhbmlzaCBOYXRpb25hbCBCaXJ0aCBDb2hvcnQ6IGEgcHJvc3BlY3RpdmUg
bG9uZ2l0dWRpbmFsIHN0dWR5PC90aXRsZT48c2Vjb25kYXJ5LXRpdGxlPkJKT0c8L3NlY29uZGFy
eS10aXRsZT48L3RpdGxlcz48cGVyaW9kaWNhbD48ZnVsbC10aXRsZT5CSk9HPC9mdWxsLXRpdGxl
PjwvcGVyaW9kaWNhbD48cGFnZXM+NjYzLTczPC9wYWdlcz48dm9sdW1lPjEyNjwvdm9sdW1lPjxu
dW1iZXI+NTwvbnVtYmVyPjxlZGl0aW9uPjIwMTkvMDIvMDg8L2VkaXRpb24+PGtleXdvcmRzPjxr
ZXl3b3JkPkJvZHkgTWFzcyBJbmRleDwva2V5d29yZD48a2V5d29yZD5EaWV0PC9rZXl3b3JkPjxr
ZXl3b3JkPkZlbWFsZTwva2V5d29yZD48a2V5d29yZD5IdW1hbnM8L2tleXdvcmQ+PGtleXdvcmQ+
Kkh5cGVydGVuc2lvbiwgUHJlZ25hbmN5LUluZHVjZWQ8L2tleXdvcmQ+PGtleXdvcmQ+TG9uZ2l0
dWRpbmFsIFN0dWRpZXM8L2tleXdvcmQ+PGtleXdvcmQ+UHJlY29uY2VwdGlvbiBDYXJlPC9rZXl3
b3JkPjxrZXl3b3JkPlByZWduYW5jeTwva2V5d29yZD48a2V5d29yZD5Qcm9zcGVjdGl2ZSBTdHVk
aWVzPC9rZXl3b3JkPjwva2V5d29yZHM+PGRhdGVzPjx5ZWFyPjIwMTk8L3llYXI+PHB1Yi1kYXRl
cz48ZGF0ZT5BcHI8L2RhdGU+PC9wdWItZGF0ZXM+PC9kYXRlcz48aXNibj4xNDcxLTA1MjggKEVs
ZWN0cm9uaWMpJiN4RDsxNDcwLTAzMjggKExpbmtpbmcpPC9pc2JuPjxhY2Nlc3Npb24tbnVtPjMw
NzI5Njc0PC9hY2Nlc3Npb24tbnVtPjx1cmxzPjxyZWxhdGVkLXVybHM+PHVybD5odHRwczovL3d3
dy5uY2JpLm5sbS5uaWguZ292L3B1Ym1lZC8zMDcyOTY3NDwvdXJsPjwvcmVsYXRlZC11cmxzPjwv
dXJscz48ZWxlY3Ryb25pYy1yZXNvdXJjZS1udW0+MTAuMTExMS8xNDcxLTA1MjguMTU1OTY8L2Vs
ZWN0cm9uaWMtcmVzb3VyY2UtbnVtPjwvcmVjb3JkPjwvQ2l0ZT48L0VuZE5vdGU+
</w:fldData>
              </w:fldChar>
            </w:r>
            <w:r w:rsidR="002747EA">
              <w:instrText xml:space="preserve"> ADDIN EN.CITE </w:instrText>
            </w:r>
            <w:r w:rsidR="002747EA">
              <w:fldChar w:fldCharType="begin">
                <w:fldData xml:space="preserve">PEVuZE5vdGU+PENpdGU+PEF1dGhvcj5Ja2VtPC9BdXRob3I+PFllYXI+MjAxOTwvWWVhcj48UmVj
TnVtPjE0NTA8L1JlY051bT48RGlzcGxheVRleHQ+PHN0eWxlIGZhY2U9InN1cGVyc2NyaXB0IiBm
b250PSJUcmVidWNoZXQgTVMiIHNpemU9IjkiPjIzPC9zdHlsZT48L0Rpc3BsYXlUZXh0PjxyZWNv
cmQ+PHJlYy1udW1iZXI+MTQ1MDwvcmVjLW51bWJlcj48Zm9yZWlnbi1rZXlzPjxrZXkgYXBwPSJF
TiIgZGItaWQ9ImV4dmFzcmZ4MmR0cmFvZXNhc3hwMnN6c3hhMmRmNTAyNTkyeCIgdGltZXN0YW1w
PSIxNTc0MTk4NjcwIj4xNDUwPC9rZXk+PGtleSBhcHA9IkVOV2ViIiBkYi1pZD0iIj4wPC9rZXk+
PC9mb3JlaWduLWtleXM+PHJlZi10eXBlIG5hbWU9IkpvdXJuYWwgQXJ0aWNsZSI+MTc8L3JlZi10
eXBlPjxjb250cmlidXRvcnM+PGF1dGhvcnM+PGF1dGhvcj5Ja2VtLCBFLiw8L2F1dGhvcj48YXV0
aG9yPkhhbGxkb3Jzc29uLCBULkkuLDwvYXV0aG9yPjxhdXRob3I+QmlyZ2lzZMOzdHRpciwgQi5F
Liw8L2F1dGhvcj48YXV0aG9yPlJhc211c3NlbiwgTS5BLiw8L2F1dGhvcj48YXV0aG9yPk9sc2Vu
LCBTLkYuLDwvYXV0aG9yPjxhdXRob3I+TWFzbG92YSwgRS4sPC9hdXRob3I+PC9hdXRob3JzPjwv
Y29udHJpYnV0b3JzPjxhdXRoLWFkZHJlc3M+U2Nob29sIG9mIE1lZGljaW5lLCBGYWN1bHR5IG9m
IFNjaWVuY2UsIE1lZGljaW5lIGFuZCBIZWFsdGgsIFVuaXZlcnNpdHkgb2YgV29sbG9uZ29uZywg
V29sbG9uZ29uZywgTmV3IFNvdXRoIFdhbGVzLCBBdXN0cmFsaWEuJiN4RDtJbGxhd2FycmEgSGVh
bHRoIGFuZCBNZWRpY2FsIFJlc2VhcmNoIEluc3RpdHV0ZSwgV29sbG9uZ29uZywgTmV3IFNvdXRo
IFdhbGVzLCBBdXN0cmFsaWEuJiN4RDtEaXNjaXBsaW5lIG9mIE9ic3RldHJpY3MgYW5kIEd5bmFl
Y29sb2d5LCBSb2JpbnNvbiBSZXNlYXJjaCBJbnN0aXR1dGUsIFVuaXZlcnNpdHkgb2YgQWRlbGFp
ZGUsIEFkZWxhaWRlLCBTb3V0aCBBdXN0cmFsaWEsIEF1c3RyYWxpYS4mI3hEO0RlcGFydG1lbnQg
b2YgUGVyaW5hdGFsIE1lZGljaW5lLCBXb21lbiZhcG9zO3MgYW5kIEJhYmllcyBEaXZpc2lvbiwg
V29tZW4mYXBvcztzIGFuZCBDaGlsZHJlbiZhcG9zO3MgSG9zcGl0YWwsIEFkZWxhaWRlLCBTb3V0
aCBBdXN0cmFsaWEsIEF1c3RyYWxpYS48L2F1dGgtYWRkcmVzcz48dGl0bGVzPjx0aXRsZT5EaWV0
YXJ5IHBhdHRlcm5zIGFuZCB0aGUgcmlzayBvZiBwcmVnbmFuY3ktYXNzb2NpYXRlZCBoeXBlcnRl
bnNpb24gaW4gdGhlIERhbmlzaCBOYXRpb25hbCBCaXJ0aCBDb2hvcnQ6IGEgcHJvc3BlY3RpdmUg
bG9uZ2l0dWRpbmFsIHN0dWR5PC90aXRsZT48c2Vjb25kYXJ5LXRpdGxlPkJKT0c8L3NlY29uZGFy
eS10aXRsZT48L3RpdGxlcz48cGVyaW9kaWNhbD48ZnVsbC10aXRsZT5CSk9HPC9mdWxsLXRpdGxl
PjwvcGVyaW9kaWNhbD48cGFnZXM+NjYzLTczPC9wYWdlcz48dm9sdW1lPjEyNjwvdm9sdW1lPjxu
dW1iZXI+NTwvbnVtYmVyPjxlZGl0aW9uPjIwMTkvMDIvMDg8L2VkaXRpb24+PGtleXdvcmRzPjxr
ZXl3b3JkPkJvZHkgTWFzcyBJbmRleDwva2V5d29yZD48a2V5d29yZD5EaWV0PC9rZXl3b3JkPjxr
ZXl3b3JkPkZlbWFsZTwva2V5d29yZD48a2V5d29yZD5IdW1hbnM8L2tleXdvcmQ+PGtleXdvcmQ+
Kkh5cGVydGVuc2lvbiwgUHJlZ25hbmN5LUluZHVjZWQ8L2tleXdvcmQ+PGtleXdvcmQ+TG9uZ2l0
dWRpbmFsIFN0dWRpZXM8L2tleXdvcmQ+PGtleXdvcmQ+UHJlY29uY2VwdGlvbiBDYXJlPC9rZXl3
b3JkPjxrZXl3b3JkPlByZWduYW5jeTwva2V5d29yZD48a2V5d29yZD5Qcm9zcGVjdGl2ZSBTdHVk
aWVzPC9rZXl3b3JkPjwva2V5d29yZHM+PGRhdGVzPjx5ZWFyPjIwMTk8L3llYXI+PHB1Yi1kYXRl
cz48ZGF0ZT5BcHI8L2RhdGU+PC9wdWItZGF0ZXM+PC9kYXRlcz48aXNibj4xNDcxLTA1MjggKEVs
ZWN0cm9uaWMpJiN4RDsxNDcwLTAzMjggKExpbmtpbmcpPC9pc2JuPjxhY2Nlc3Npb24tbnVtPjMw
NzI5Njc0PC9hY2Nlc3Npb24tbnVtPjx1cmxzPjxyZWxhdGVkLXVybHM+PHVybD5odHRwczovL3d3
dy5uY2JpLm5sbS5uaWguZ292L3B1Ym1lZC8zMDcyOTY3NDwvdXJsPjwvcmVsYXRlZC11cmxzPjwv
dXJscz48ZWxlY3Ryb25pYy1yZXNvdXJjZS1udW0+MTAuMTExMS8xNDcxLTA1MjguMTU1OTY8L2Vs
ZWN0cm9uaWMtcmVzb3VyY2UtbnVtPjwvcmVjb3JkPjwvQ2l0ZT48L0VuZE5vdGU+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23</w:t>
            </w:r>
            <w:r>
              <w:fldChar w:fldCharType="end"/>
            </w:r>
          </w:p>
          <w:p w14:paraId="165313FC" w14:textId="77777777" w:rsidR="004C390A" w:rsidRDefault="004C390A" w:rsidP="007B3A77">
            <w:r>
              <w:t>Denmark</w:t>
            </w:r>
          </w:p>
          <w:p w14:paraId="0C3259D5" w14:textId="77777777" w:rsidR="004C390A" w:rsidRDefault="004C390A" w:rsidP="007B3A77">
            <w:r>
              <w:t>Cohort</w:t>
            </w:r>
          </w:p>
        </w:tc>
        <w:tc>
          <w:tcPr>
            <w:tcW w:w="992" w:type="dxa"/>
          </w:tcPr>
          <w:p w14:paraId="02ACE519" w14:textId="77777777" w:rsidR="004C390A" w:rsidRDefault="004C390A" w:rsidP="007B3A77">
            <w:r>
              <w:t>55,139</w:t>
            </w:r>
          </w:p>
        </w:tc>
        <w:tc>
          <w:tcPr>
            <w:tcW w:w="4961" w:type="dxa"/>
          </w:tcPr>
          <w:p w14:paraId="3DDDA3B5" w14:textId="77777777" w:rsidR="004C390A" w:rsidRDefault="004C390A" w:rsidP="004D1571">
            <w:pPr>
              <w:rPr>
                <w:rFonts w:ascii="Helvetica" w:hAnsi="Helvetica"/>
                <w:sz w:val="11"/>
                <w:szCs w:val="11"/>
              </w:rPr>
            </w:pPr>
            <w:r w:rsidRPr="004D1571">
              <w:rPr>
                <w:b/>
              </w:rPr>
              <w:t>Aim</w:t>
            </w:r>
            <w:r>
              <w:t xml:space="preserve">: </w:t>
            </w:r>
            <w:r w:rsidRPr="004D1571">
              <w:t>To examine the association between midpregnancy</w:t>
            </w:r>
            <w:r>
              <w:t xml:space="preserve"> </w:t>
            </w:r>
            <w:r w:rsidRPr="004D1571">
              <w:t>dietary patterns and pregnancy-associated</w:t>
            </w:r>
            <w:r>
              <w:t xml:space="preserve"> hypertension</w:t>
            </w:r>
            <w:r w:rsidRPr="004D1571">
              <w:t>.</w:t>
            </w:r>
            <w:r>
              <w:t xml:space="preserve"> </w:t>
            </w:r>
          </w:p>
          <w:p w14:paraId="7ADE365D" w14:textId="77777777" w:rsidR="004C390A" w:rsidRDefault="004C390A" w:rsidP="004D1571">
            <w:pPr>
              <w:rPr>
                <w:b/>
              </w:rPr>
            </w:pPr>
            <w:r w:rsidRPr="004D1571">
              <w:rPr>
                <w:b/>
              </w:rPr>
              <w:t>Methods</w:t>
            </w:r>
            <w:r w:rsidRPr="004D1571">
              <w:t>: Diet was assessed using a</w:t>
            </w:r>
            <w:r>
              <w:t xml:space="preserve"> </w:t>
            </w:r>
            <w:r w:rsidRPr="004D1571">
              <w:t>validated semi-quantitative 360-item food frequency questionnaire</w:t>
            </w:r>
            <w:r>
              <w:t xml:space="preserve"> </w:t>
            </w:r>
            <w:r w:rsidRPr="004D1571">
              <w:t>and dietary patterns were derived using factor analysis.</w:t>
            </w:r>
            <w:r>
              <w:t xml:space="preserve"> </w:t>
            </w:r>
          </w:p>
        </w:tc>
        <w:tc>
          <w:tcPr>
            <w:tcW w:w="4536" w:type="dxa"/>
          </w:tcPr>
          <w:p w14:paraId="39D875F0" w14:textId="77777777" w:rsidR="004C390A" w:rsidRPr="00B74ACB" w:rsidRDefault="004C390A" w:rsidP="004D1571">
            <w:r w:rsidRPr="004D1571">
              <w:t>Seven</w:t>
            </w:r>
            <w:r>
              <w:t xml:space="preserve"> </w:t>
            </w:r>
            <w:r w:rsidRPr="004D1571">
              <w:t>dietary patterns were characterised in the population, of which two</w:t>
            </w:r>
            <w:r>
              <w:t xml:space="preserve"> </w:t>
            </w:r>
            <w:r w:rsidRPr="004D1571">
              <w:t>were associated with PAH. The Seafood diet characterised by high</w:t>
            </w:r>
            <w:r>
              <w:t xml:space="preserve"> </w:t>
            </w:r>
            <w:r w:rsidRPr="004D1571">
              <w:t>consumption of fish and vegetables was inversely associated with the</w:t>
            </w:r>
            <w:r>
              <w:t xml:space="preserve"> odds of developing gestational hypertension</w:t>
            </w:r>
            <w:r w:rsidRPr="004D1571">
              <w:t xml:space="preserve"> </w:t>
            </w:r>
            <w:r>
              <w:t>(OR 0.86; 95%</w:t>
            </w:r>
            <w:r w:rsidRPr="004D1571">
              <w:t>CI 0.77</w:t>
            </w:r>
            <w:r>
              <w:rPr>
                <w:rFonts w:ascii="Helvetica" w:hAnsi="Helvetica"/>
              </w:rPr>
              <w:t xml:space="preserve"> to </w:t>
            </w:r>
            <w:r w:rsidRPr="004D1571">
              <w:t>0.95)]</w:t>
            </w:r>
            <w:r>
              <w:t xml:space="preserve"> </w:t>
            </w:r>
            <w:r w:rsidRPr="004D1571">
              <w:t xml:space="preserve">and </w:t>
            </w:r>
            <w:r>
              <w:t>pre-eclampsia (PE) (OR 0.79; 95%</w:t>
            </w:r>
            <w:r w:rsidRPr="004D1571">
              <w:t>CI 0.65</w:t>
            </w:r>
            <w:r>
              <w:rPr>
                <w:rFonts w:ascii="Helvetica" w:hAnsi="Helvetica"/>
              </w:rPr>
              <w:t xml:space="preserve"> to </w:t>
            </w:r>
            <w:r w:rsidRPr="004D1571">
              <w:t>0.97). The Western diet</w:t>
            </w:r>
            <w:r>
              <w:t xml:space="preserve"> </w:t>
            </w:r>
            <w:r w:rsidRPr="004D1571">
              <w:t>characterised by high consumption of potatoes (including French</w:t>
            </w:r>
            <w:r>
              <w:t xml:space="preserve"> </w:t>
            </w:r>
            <w:r w:rsidRPr="004D1571">
              <w:t>fries), mixed meat, margarine and white bread increased the odds</w:t>
            </w:r>
            <w:r>
              <w:t xml:space="preserve"> of developing GH (OR 1.18; 95%</w:t>
            </w:r>
            <w:r w:rsidRPr="004D1571">
              <w:t>CI 1.05</w:t>
            </w:r>
            <w:r>
              <w:rPr>
                <w:rFonts w:ascii="Helvetica" w:hAnsi="Helvetica"/>
              </w:rPr>
              <w:t xml:space="preserve"> to </w:t>
            </w:r>
            <w:r w:rsidRPr="004D1571">
              <w:t>1.33) and PE (OR 1.40;</w:t>
            </w:r>
            <w:r>
              <w:t xml:space="preserve"> </w:t>
            </w:r>
            <w:r w:rsidRPr="004D1571">
              <w:t>95% CI 1.11</w:t>
            </w:r>
            <w:r>
              <w:rPr>
                <w:rFonts w:ascii="Helvetica" w:hAnsi="Helvetica"/>
              </w:rPr>
              <w:t xml:space="preserve"> to </w:t>
            </w:r>
            <w:r w:rsidRPr="004D1571">
              <w:t>1.76). No association was seen with severe PE.</w:t>
            </w:r>
            <w:r>
              <w:t xml:space="preserve"> </w:t>
            </w:r>
          </w:p>
        </w:tc>
        <w:tc>
          <w:tcPr>
            <w:tcW w:w="1843" w:type="dxa"/>
          </w:tcPr>
          <w:p w14:paraId="40313E3F" w14:textId="77777777" w:rsidR="004C390A" w:rsidRPr="007B3A77" w:rsidRDefault="004C390A" w:rsidP="007B3A77"/>
        </w:tc>
      </w:tr>
      <w:tr w:rsidR="004C390A" w:rsidRPr="007B3A77" w14:paraId="573079D3" w14:textId="77777777" w:rsidTr="004C390A">
        <w:trPr>
          <w:cantSplit/>
          <w:trHeight w:val="390"/>
        </w:trPr>
        <w:tc>
          <w:tcPr>
            <w:tcW w:w="1560" w:type="dxa"/>
          </w:tcPr>
          <w:p w14:paraId="43B8EC3C" w14:textId="66B6E632" w:rsidR="004C390A" w:rsidRDefault="004C390A" w:rsidP="007B3A77">
            <w:r>
              <w:t>Leermakers et al 2017</w:t>
            </w:r>
            <w:r>
              <w:fldChar w:fldCharType="begin">
                <w:fldData xml:space="preserve">PEVuZE5vdGU+PENpdGU+PEF1dGhvcj5MZWVybWFrZXJzPC9BdXRob3I+PFllYXI+MjAxNzwvWWVh
cj48UmVjTnVtPjE0NTU8L1JlY051bT48RGlzcGxheVRleHQ+PHN0eWxlIGZhY2U9InN1cGVyc2Ny
aXB0IiBmb250PSJUcmVidWNoZXQgTVMiIHNpemU9IjkiPjQwPC9zdHlsZT48L0Rpc3BsYXlUZXh0
PjxyZWNvcmQ+PHJlYy1udW1iZXI+MTQ1NTwvcmVjLW51bWJlcj48Zm9yZWlnbi1rZXlzPjxrZXkg
YXBwPSJFTiIgZGItaWQ9ImV4dmFzcmZ4MmR0cmFvZXNhc3hwMnN6c3hhMmRmNTAyNTkyeCIgdGlt
ZXN0YW1wPSIxNTc0MDM5NTY2Ij4xNDU1PC9rZXk+PGtleSBhcHA9IkVOV2ViIiBkYi1pZD0iIj4w
PC9rZXk+PC9mb3JlaWduLWtleXM+PHJlZi10eXBlIG5hbWU9IkpvdXJuYWwgQXJ0aWNsZSI+MTc8
L3JlZi10eXBlPjxjb250cmlidXRvcnM+PGF1dGhvcnM+PGF1dGhvcj5MZWVybWFrZXJzLCBFLiBU
LiBNLjwvYXV0aG9yPjxhdXRob3I+VGllbGVtYW5zLCBNLiBKLjwvYXV0aG9yPjxhdXRob3I+dmFu
IGRlbiBCcm9laywgTS48L2F1dGhvcj48YXV0aG9yPkphZGRvZSwgVi4gVy4gVi48L2F1dGhvcj48
YXV0aG9yPkZyYW5jbywgTy4gSC48L2F1dGhvcj48YXV0aG9yPktpZWZ0ZS1kZSBKb25nLCBKLiBD
LjwvYXV0aG9yPjwvYXV0aG9ycz48L2NvbnRyaWJ1dG9ycz48YXV0aC1hZGRyZXNzPkRlcGFydG1l
bnQgb2YgRXBpZGVtaW9sb2d5LCBFcmFzbXVzIE1lZGljYWwgQ2VudGVyLCBQTyBCb3ggMjA0MCwg
MzAwMCBDQSBSb3R0ZXJkYW0sIFRoZSBOZXRoZXJsYW5kczsgVGhlIEdlbmVyYXRpb24gUiBTdHVk
eSBHcm91cCwgRXJhc211cyBNZWRpY2FsIENlbnRlciwgUE8gQm94IDIwNDAsIDMwMDAgQ0EgUm90
dGVyZGFtLCBUaGUgTmV0aGVybGFuZHMuIEVsZWN0cm9uaWMgYWRkcmVzczogZS5sZWVybWFrZXJz
QGVyYXNtdXNtYy5ubC4mI3hEO0RlcGFydG1lbnQgb2YgRXBpZGVtaW9sb2d5LCBFcmFzbXVzIE1l
ZGljYWwgQ2VudGVyLCBQTyBCb3ggMjA0MCwgMzAwMCBDQSBSb3R0ZXJkYW0sIFRoZSBOZXRoZXJs
YW5kczsgVGhlIEdlbmVyYXRpb24gUiBTdHVkeSBHcm91cCwgRXJhc211cyBNZWRpY2FsIENlbnRl
ciwgUE8gQm94IDIwNDAsIDMwMDAgQ0EgUm90dGVyZGFtLCBUaGUgTmV0aGVybGFuZHMuJiN4RDtE
ZXBhcnRtZW50IG9mIEVwaWRlbWlvbG9neSwgRXJhc211cyBNZWRpY2FsIENlbnRlciwgUE8gQm94
IDIwNDAsIDMwMDAgQ0EgUm90dGVyZGFtLCBUaGUgTmV0aGVybGFuZHMuJiN4RDtEZXBhcnRtZW50
IG9mIEVwaWRlbWlvbG9neSwgRXJhc211cyBNZWRpY2FsIENlbnRlciwgUE8gQm94IDIwNDAsIDMw
MDAgQ0EgUm90dGVyZGFtLCBUaGUgTmV0aGVybGFuZHM7IFRoZSBHZW5lcmF0aW9uIFIgU3R1ZHkg
R3JvdXAsIEVyYXNtdXMgTWVkaWNhbCBDZW50ZXIsIFBPIEJveCAyMDQwLCAzMDAwIENBIFJvdHRl
cmRhbSwgVGhlIE5ldGhlcmxhbmRzOyBEZXBhcnRtZW50IG9mIFBlZGlhdHJpY3MsIEVyYXNtdXMg
TWVkaWNhbCBDZW50ZXIsIFBPIEJveCAyMDQwLCAzMDAwIENBIFJvdHRlcmRhbSwgVGhlIE5ldGhl
cmxhbmRzLiYjeEQ7RGVwYXJ0bWVudCBvZiBFcGlkZW1pb2xvZ3ksIEVyYXNtdXMgTWVkaWNhbCBD
ZW50ZXIsIFBPIEJveCAyMDQwLCAzMDAwIENBIFJvdHRlcmRhbSwgVGhlIE5ldGhlcmxhbmRzOyBM
ZWlkZW4gVW5pdmVyc2l0eSBDb2xsZWdlLCBUaGUgSGFndWUsIFRoZSBOZXRoZXJsYW5kcy48L2F1
dGgtYWRkcmVzcz48dGl0bGVzPjx0aXRsZT5NYXRlcm5hbCBkaWV0YXJ5IHBhdHRlcm5zIGR1cmlu
ZyBwcmVnbmFuY3kgYW5kIG9mZnNwcmluZyBjYXJkaW9tZXRhYm9saWMgaGVhbHRoIGF0IGFnZSA2
IHllYXJzOiBUaGUgZ2VuZXJhdGlvbiBSIHN0dWR5PC90aXRsZT48c2Vjb25kYXJ5LXRpdGxlPkNs
aW4gTnV0cjwvc2Vjb25kYXJ5LXRpdGxlPjwvdGl0bGVzPjxwZXJpb2RpY2FsPjxmdWxsLXRpdGxl
PkNsaW4gTnV0cjwvZnVsbC10aXRsZT48L3BlcmlvZGljYWw+PHBhZ2VzPjQ3Ny00ODQ8L3BhZ2Vz
Pjx2b2x1bWU+MzY8L3ZvbHVtZT48bnVtYmVyPjI8L251bWJlcj48ZWRpdGlvbj4yMDE2LzAyLzI2
PC9lZGl0aW9uPjxrZXl3b3Jkcz48a2V5d29yZD5CbG9vZCBQcmVzc3VyZTwva2V5d29yZD48a2V5
d29yZD5DYXJkaW92YXNjdWxhciBEaXNlYXNlcy8qZXBpZGVtaW9sb2d5PC9rZXl3b3JkPjxrZXl3
b3JkPkNoaWxkPC9rZXl3b3JkPjxrZXl3b3JkPkNob2xlc3Rlcm9sLCBIREwvYmxvb2Q8L2tleXdv
cmQ+PGtleXdvcmQ+RGlldDwva2V5d29yZD48a2V5d29yZD5GZW1hbGU8L2tleXdvcmQ+PGtleXdv
cmQ+SHVtYW5zPC9rZXl3b3JkPjxrZXl3b3JkPkluc3VsaW4vYmxvb2Q8L2tleXdvcmQ+PGtleXdv
cmQ+TGlmZSBTdHlsZTwva2V5d29yZD48a2V5d29yZD4qTWF0ZXJuYWwgTnV0cml0aW9uYWwgUGh5
c2lvbG9naWNhbCBQaGVub21lbmE8L2tleXdvcmQ+PGtleXdvcmQ+TWV0YWJvbGljIFN5bmRyb21l
LyplcGlkZW1pb2xvZ3k8L2tleXdvcmQ+PGtleXdvcmQ+TmV0aGVybGFuZHM8L2tleXdvcmQ+PGtl
eXdvcmQ+TnV0cml0aW9uIEFzc2Vzc21lbnQ8L2tleXdvcmQ+PGtleXdvcmQ+UHJlZ25hbmN5PC9r
ZXl3b3JkPjxrZXl3b3JkPipQcmVuYXRhbCBFeHBvc3VyZSBEZWxheWVkIEVmZmVjdHM8L2tleXdv
cmQ+PGtleXdvcmQ+UHJvc3BlY3RpdmUgU3R1ZGllczwva2V5d29yZD48a2V5d29yZD5QdWxzZSBX
YXZlIEFuYWx5c2lzPC9rZXl3b3JkPjxrZXl3b3JkPlJpc2sgRmFjdG9yczwva2V5d29yZD48a2V5
d29yZD5UcmlnbHljZXJpZGVzL2Jsb29kPC9rZXl3b3JkPjxrZXl3b3JkPipDYXJkaW9tZXRhYm9s
aWM8L2tleXdvcmQ+PGtleXdvcmQ+KkNvaG9ydDwva2V5d29yZD48a2V5d29yZD4qRGlldDwva2V5
d29yZD48a2V5d29yZD4qRXBpZGVtaW9sb2d5PC9rZXl3b3JkPjxrZXl3b3JkPipPZmZzcHJpbmc8
L2tleXdvcmQ+PGtleXdvcmQ+KlByZWduYW5jeTwva2V5d29yZD48L2tleXdvcmRzPjxkYXRlcz48
eWVhcj4yMDE3PC95ZWFyPjxwdWItZGF0ZXM+PGRhdGU+QXByPC9kYXRlPjwvcHViLWRhdGVzPjwv
ZGF0ZXM+PGlzYm4+MTUzMi0xOTgzIChFbGVjdHJvbmljKSYjeEQ7MDI2MS01NjE0IChMaW5raW5n
KTwvaXNibj48YWNjZXNzaW9uLW51bT4yNjkwNzU4MjwvYWNjZXNzaW9uLW51bT48dXJscz48cmVs
YXRlZC11cmxzPjx1cmw+aHR0cHM6Ly93d3cubmNiaS5ubG0ubmloLmdvdi9wdWJtZWQvMjY5MDc1
ODI8L3VybD48L3JlbGF0ZWQtdXJscz48L3VybHM+PGVsZWN0cm9uaWMtcmVzb3VyY2UtbnVtPjEw
LjEwMTYvai5jbG51LjIwMTUuMTIuMDE3PC9lbGVjdHJvbmljLXJlc291cmNlLW51bT48L3JlY29y
ZD48L0NpdGU+PC9FbmROb3RlPgB=
</w:fldData>
              </w:fldChar>
            </w:r>
            <w:r w:rsidR="002747EA">
              <w:instrText xml:space="preserve"> ADDIN EN.CITE </w:instrText>
            </w:r>
            <w:r w:rsidR="002747EA">
              <w:fldChar w:fldCharType="begin">
                <w:fldData xml:space="preserve">PEVuZE5vdGU+PENpdGU+PEF1dGhvcj5MZWVybWFrZXJzPC9BdXRob3I+PFllYXI+MjAxNzwvWWVh
cj48UmVjTnVtPjE0NTU8L1JlY051bT48RGlzcGxheVRleHQ+PHN0eWxlIGZhY2U9InN1cGVyc2Ny
aXB0IiBmb250PSJUcmVidWNoZXQgTVMiIHNpemU9IjkiPjQwPC9zdHlsZT48L0Rpc3BsYXlUZXh0
PjxyZWNvcmQ+PHJlYy1udW1iZXI+MTQ1NTwvcmVjLW51bWJlcj48Zm9yZWlnbi1rZXlzPjxrZXkg
YXBwPSJFTiIgZGItaWQ9ImV4dmFzcmZ4MmR0cmFvZXNhc3hwMnN6c3hhMmRmNTAyNTkyeCIgdGlt
ZXN0YW1wPSIxNTc0MDM5NTY2Ij4xNDU1PC9rZXk+PGtleSBhcHA9IkVOV2ViIiBkYi1pZD0iIj4w
PC9rZXk+PC9mb3JlaWduLWtleXM+PHJlZi10eXBlIG5hbWU9IkpvdXJuYWwgQXJ0aWNsZSI+MTc8
L3JlZi10eXBlPjxjb250cmlidXRvcnM+PGF1dGhvcnM+PGF1dGhvcj5MZWVybWFrZXJzLCBFLiBU
LiBNLjwvYXV0aG9yPjxhdXRob3I+VGllbGVtYW5zLCBNLiBKLjwvYXV0aG9yPjxhdXRob3I+dmFu
IGRlbiBCcm9laywgTS48L2F1dGhvcj48YXV0aG9yPkphZGRvZSwgVi4gVy4gVi48L2F1dGhvcj48
YXV0aG9yPkZyYW5jbywgTy4gSC48L2F1dGhvcj48YXV0aG9yPktpZWZ0ZS1kZSBKb25nLCBKLiBD
LjwvYXV0aG9yPjwvYXV0aG9ycz48L2NvbnRyaWJ1dG9ycz48YXV0aC1hZGRyZXNzPkRlcGFydG1l
bnQgb2YgRXBpZGVtaW9sb2d5LCBFcmFzbXVzIE1lZGljYWwgQ2VudGVyLCBQTyBCb3ggMjA0MCwg
MzAwMCBDQSBSb3R0ZXJkYW0sIFRoZSBOZXRoZXJsYW5kczsgVGhlIEdlbmVyYXRpb24gUiBTdHVk
eSBHcm91cCwgRXJhc211cyBNZWRpY2FsIENlbnRlciwgUE8gQm94IDIwNDAsIDMwMDAgQ0EgUm90
dGVyZGFtLCBUaGUgTmV0aGVybGFuZHMuIEVsZWN0cm9uaWMgYWRkcmVzczogZS5sZWVybWFrZXJz
QGVyYXNtdXNtYy5ubC4mI3hEO0RlcGFydG1lbnQgb2YgRXBpZGVtaW9sb2d5LCBFcmFzbXVzIE1l
ZGljYWwgQ2VudGVyLCBQTyBCb3ggMjA0MCwgMzAwMCBDQSBSb3R0ZXJkYW0sIFRoZSBOZXRoZXJs
YW5kczsgVGhlIEdlbmVyYXRpb24gUiBTdHVkeSBHcm91cCwgRXJhc211cyBNZWRpY2FsIENlbnRl
ciwgUE8gQm94IDIwNDAsIDMwMDAgQ0EgUm90dGVyZGFtLCBUaGUgTmV0aGVybGFuZHMuJiN4RDtE
ZXBhcnRtZW50IG9mIEVwaWRlbWlvbG9neSwgRXJhc211cyBNZWRpY2FsIENlbnRlciwgUE8gQm94
IDIwNDAsIDMwMDAgQ0EgUm90dGVyZGFtLCBUaGUgTmV0aGVybGFuZHMuJiN4RDtEZXBhcnRtZW50
IG9mIEVwaWRlbWlvbG9neSwgRXJhc211cyBNZWRpY2FsIENlbnRlciwgUE8gQm94IDIwNDAsIDMw
MDAgQ0EgUm90dGVyZGFtLCBUaGUgTmV0aGVybGFuZHM7IFRoZSBHZW5lcmF0aW9uIFIgU3R1ZHkg
R3JvdXAsIEVyYXNtdXMgTWVkaWNhbCBDZW50ZXIsIFBPIEJveCAyMDQwLCAzMDAwIENBIFJvdHRl
cmRhbSwgVGhlIE5ldGhlcmxhbmRzOyBEZXBhcnRtZW50IG9mIFBlZGlhdHJpY3MsIEVyYXNtdXMg
TWVkaWNhbCBDZW50ZXIsIFBPIEJveCAyMDQwLCAzMDAwIENBIFJvdHRlcmRhbSwgVGhlIE5ldGhl
cmxhbmRzLiYjeEQ7RGVwYXJ0bWVudCBvZiBFcGlkZW1pb2xvZ3ksIEVyYXNtdXMgTWVkaWNhbCBD
ZW50ZXIsIFBPIEJveCAyMDQwLCAzMDAwIENBIFJvdHRlcmRhbSwgVGhlIE5ldGhlcmxhbmRzOyBM
ZWlkZW4gVW5pdmVyc2l0eSBDb2xsZWdlLCBUaGUgSGFndWUsIFRoZSBOZXRoZXJsYW5kcy48L2F1
dGgtYWRkcmVzcz48dGl0bGVzPjx0aXRsZT5NYXRlcm5hbCBkaWV0YXJ5IHBhdHRlcm5zIGR1cmlu
ZyBwcmVnbmFuY3kgYW5kIG9mZnNwcmluZyBjYXJkaW9tZXRhYm9saWMgaGVhbHRoIGF0IGFnZSA2
IHllYXJzOiBUaGUgZ2VuZXJhdGlvbiBSIHN0dWR5PC90aXRsZT48c2Vjb25kYXJ5LXRpdGxlPkNs
aW4gTnV0cjwvc2Vjb25kYXJ5LXRpdGxlPjwvdGl0bGVzPjxwZXJpb2RpY2FsPjxmdWxsLXRpdGxl
PkNsaW4gTnV0cjwvZnVsbC10aXRsZT48L3BlcmlvZGljYWw+PHBhZ2VzPjQ3Ny00ODQ8L3BhZ2Vz
Pjx2b2x1bWU+MzY8L3ZvbHVtZT48bnVtYmVyPjI8L251bWJlcj48ZWRpdGlvbj4yMDE2LzAyLzI2
PC9lZGl0aW9uPjxrZXl3b3Jkcz48a2V5d29yZD5CbG9vZCBQcmVzc3VyZTwva2V5d29yZD48a2V5
d29yZD5DYXJkaW92YXNjdWxhciBEaXNlYXNlcy8qZXBpZGVtaW9sb2d5PC9rZXl3b3JkPjxrZXl3
b3JkPkNoaWxkPC9rZXl3b3JkPjxrZXl3b3JkPkNob2xlc3Rlcm9sLCBIREwvYmxvb2Q8L2tleXdv
cmQ+PGtleXdvcmQ+RGlldDwva2V5d29yZD48a2V5d29yZD5GZW1hbGU8L2tleXdvcmQ+PGtleXdv
cmQ+SHVtYW5zPC9rZXl3b3JkPjxrZXl3b3JkPkluc3VsaW4vYmxvb2Q8L2tleXdvcmQ+PGtleXdv
cmQ+TGlmZSBTdHlsZTwva2V5d29yZD48a2V5d29yZD4qTWF0ZXJuYWwgTnV0cml0aW9uYWwgUGh5
c2lvbG9naWNhbCBQaGVub21lbmE8L2tleXdvcmQ+PGtleXdvcmQ+TWV0YWJvbGljIFN5bmRyb21l
LyplcGlkZW1pb2xvZ3k8L2tleXdvcmQ+PGtleXdvcmQ+TmV0aGVybGFuZHM8L2tleXdvcmQ+PGtl
eXdvcmQ+TnV0cml0aW9uIEFzc2Vzc21lbnQ8L2tleXdvcmQ+PGtleXdvcmQ+UHJlZ25hbmN5PC9r
ZXl3b3JkPjxrZXl3b3JkPipQcmVuYXRhbCBFeHBvc3VyZSBEZWxheWVkIEVmZmVjdHM8L2tleXdv
cmQ+PGtleXdvcmQ+UHJvc3BlY3RpdmUgU3R1ZGllczwva2V5d29yZD48a2V5d29yZD5QdWxzZSBX
YXZlIEFuYWx5c2lzPC9rZXl3b3JkPjxrZXl3b3JkPlJpc2sgRmFjdG9yczwva2V5d29yZD48a2V5
d29yZD5UcmlnbHljZXJpZGVzL2Jsb29kPC9rZXl3b3JkPjxrZXl3b3JkPipDYXJkaW9tZXRhYm9s
aWM8L2tleXdvcmQ+PGtleXdvcmQ+KkNvaG9ydDwva2V5d29yZD48a2V5d29yZD4qRGlldDwva2V5
d29yZD48a2V5d29yZD4qRXBpZGVtaW9sb2d5PC9rZXl3b3JkPjxrZXl3b3JkPipPZmZzcHJpbmc8
L2tleXdvcmQ+PGtleXdvcmQ+KlByZWduYW5jeTwva2V5d29yZD48L2tleXdvcmRzPjxkYXRlcz48
eWVhcj4yMDE3PC95ZWFyPjxwdWItZGF0ZXM+PGRhdGU+QXByPC9kYXRlPjwvcHViLWRhdGVzPjwv
ZGF0ZXM+PGlzYm4+MTUzMi0xOTgzIChFbGVjdHJvbmljKSYjeEQ7MDI2MS01NjE0IChMaW5raW5n
KTwvaXNibj48YWNjZXNzaW9uLW51bT4yNjkwNzU4MjwvYWNjZXNzaW9uLW51bT48dXJscz48cmVs
YXRlZC11cmxzPjx1cmw+aHR0cHM6Ly93d3cubmNiaS5ubG0ubmloLmdvdi9wdWJtZWQvMjY5MDc1
ODI8L3VybD48L3JlbGF0ZWQtdXJscz48L3VybHM+PGVsZWN0cm9uaWMtcmVzb3VyY2UtbnVtPjEw
LjEwMTYvai5jbG51LjIwMTUuMTIuMDE3PC9lbGVjdHJvbmljLXJlc291cmNlLW51bT48L3JlY29y
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40</w:t>
            </w:r>
            <w:r>
              <w:fldChar w:fldCharType="end"/>
            </w:r>
          </w:p>
          <w:p w14:paraId="284B9835" w14:textId="77777777" w:rsidR="004C390A" w:rsidRDefault="004C390A" w:rsidP="007B3A77">
            <w:r>
              <w:t>Netherlands</w:t>
            </w:r>
          </w:p>
          <w:p w14:paraId="771AFDFF" w14:textId="77777777" w:rsidR="004C390A" w:rsidRDefault="004C390A" w:rsidP="007B3A77">
            <w:r>
              <w:t>Cohort</w:t>
            </w:r>
          </w:p>
        </w:tc>
        <w:tc>
          <w:tcPr>
            <w:tcW w:w="992" w:type="dxa"/>
          </w:tcPr>
          <w:p w14:paraId="618F0A2F" w14:textId="77777777" w:rsidR="004C390A" w:rsidRDefault="004C390A" w:rsidP="007B3A77">
            <w:r>
              <w:t>2,592 mother-child pairs</w:t>
            </w:r>
          </w:p>
        </w:tc>
        <w:tc>
          <w:tcPr>
            <w:tcW w:w="4961" w:type="dxa"/>
          </w:tcPr>
          <w:p w14:paraId="4786924D" w14:textId="77777777" w:rsidR="004C390A" w:rsidRDefault="004C390A" w:rsidP="002436F2">
            <w:r>
              <w:rPr>
                <w:b/>
              </w:rPr>
              <w:t xml:space="preserve">Aim: </w:t>
            </w:r>
            <w:r>
              <w:t>T</w:t>
            </w:r>
            <w:r w:rsidRPr="002436F2">
              <w:t>o assess the associations between different dietary patterns during pregnancy and offspring cardiometa</w:t>
            </w:r>
            <w:r>
              <w:t>bolic health among</w:t>
            </w:r>
            <w:r w:rsidRPr="002436F2">
              <w:t xml:space="preserve"> mother-child pairs. </w:t>
            </w:r>
          </w:p>
          <w:p w14:paraId="10A77D06" w14:textId="61789077" w:rsidR="004C390A" w:rsidRPr="004D1571" w:rsidRDefault="004C390A" w:rsidP="002436F2">
            <w:pPr>
              <w:rPr>
                <w:b/>
              </w:rPr>
            </w:pPr>
            <w:r w:rsidRPr="002436F2">
              <w:rPr>
                <w:b/>
              </w:rPr>
              <w:t>Methods</w:t>
            </w:r>
            <w:r w:rsidRPr="002436F2">
              <w:t>: Maternal diet was assessed in early pregnancy with a food-frequency questionnaire. We identified three a posteriori-dietary patterns, namely a 'Vegetable, fish and oil', 'Nuts, soy and high-</w:t>
            </w:r>
            <w:r w:rsidR="00501148" w:rsidRPr="002436F2">
              <w:t>fibre</w:t>
            </w:r>
            <w:r w:rsidRPr="002436F2">
              <w:t xml:space="preserve"> cereals' and 'Margarine, snacks and sugar'-pattern. An a priori-pattern was created based on the 'Dutch Healthy Diet Index'. Cardiometabolic health (pulse wave velocity, blood pressure, insulin, HDL-cholesterol and triglycerides) was measured at the child's age of 6 years. </w:t>
            </w:r>
          </w:p>
        </w:tc>
        <w:tc>
          <w:tcPr>
            <w:tcW w:w="4536" w:type="dxa"/>
          </w:tcPr>
          <w:p w14:paraId="04741BFC" w14:textId="0166B654" w:rsidR="004C390A" w:rsidRPr="002436F2" w:rsidRDefault="004C390A" w:rsidP="002436F2">
            <w:r w:rsidRPr="002436F2">
              <w:t>In the crude models, the 'Vegetable, fish and oil', 'Nuts, soy and high-</w:t>
            </w:r>
            <w:r w:rsidR="00501148" w:rsidRPr="002436F2">
              <w:t>fibre</w:t>
            </w:r>
            <w:r w:rsidRPr="002436F2">
              <w:t xml:space="preserve"> cereals' and 'Dutch Healthy Diet Index' seemed beneficial, as higher adherence to these patterns was significantly associated with lower blood pressure and lower pulse wave velocity. After adjustment for other socio-demographic and lifestyle factors, most associations disappeared, except for lower pulse wave velocity with the 'Vegetable, fish and oil'-dietary p</w:t>
            </w:r>
            <w:r>
              <w:t xml:space="preserve">attern (-0.19 SD (95% CI -0.33 to </w:t>
            </w:r>
            <w:r w:rsidRPr="002436F2">
              <w:t>-0.06), highest quartile of adherence vs. lowest quartile). No associations were found between maternal dietary patterns and offspring blood lipids or insulin levels. CONCLUSIONS: Our results suggest that there are no consistent independent associations of maternal dietary patterns with offspring cardiometabolic health at 6 years.</w:t>
            </w:r>
          </w:p>
        </w:tc>
        <w:tc>
          <w:tcPr>
            <w:tcW w:w="1843" w:type="dxa"/>
          </w:tcPr>
          <w:p w14:paraId="75624CFD" w14:textId="77777777" w:rsidR="004C390A" w:rsidRPr="007B3A77" w:rsidRDefault="004C390A" w:rsidP="007B3A77"/>
        </w:tc>
      </w:tr>
      <w:tr w:rsidR="004C390A" w:rsidRPr="007B3A77" w14:paraId="2825F50C" w14:textId="77777777" w:rsidTr="004C390A">
        <w:trPr>
          <w:cantSplit/>
          <w:trHeight w:val="390"/>
        </w:trPr>
        <w:tc>
          <w:tcPr>
            <w:tcW w:w="1560" w:type="dxa"/>
          </w:tcPr>
          <w:p w14:paraId="79BE6D7D" w14:textId="5A5CCE05" w:rsidR="004C390A" w:rsidRDefault="004C390A" w:rsidP="007B3A77">
            <w:r>
              <w:t>Loo et al 2017</w:t>
            </w:r>
            <w:r>
              <w:fldChar w:fldCharType="begin">
                <w:fldData xml:space="preserve">PEVuZE5vdGU+PENpdGU+PEF1dGhvcj5Mb288L0F1dGhvcj48WWVhcj4yMDE3PC9ZZWFyPjxSZWNO
dW0+MTQ1NjwvUmVjTnVtPjxEaXNwbGF5VGV4dD48c3R5bGUgZmFjZT0ic3VwZXJzY3JpcHQiIGZv
bnQ9IlRyZWJ1Y2hldCBNUyIgc2l6ZT0iOSI+Mzg8L3N0eWxlPjwvRGlzcGxheVRleHQ+PHJlY29y
ZD48cmVjLW51bWJlcj4xNDU2PC9yZWMtbnVtYmVyPjxmb3JlaWduLWtleXM+PGtleSBhcHA9IkVO
IiBkYi1pZD0iZXh2YXNyZngyZHRyYW9lc2FzeHAyc3pzeGEyZGY1MDI1OTJ4IiB0aW1lc3RhbXA9
IjE1NzQwMzk1NjkiPjE0NTY8L2tleT48a2V5IGFwcD0iRU5XZWIiIGRiLWlkPSIiPjA8L2tleT48
L2ZvcmVpZ24ta2V5cz48cmVmLXR5cGUgbmFtZT0iSm91cm5hbCBBcnRpY2xlIj4xNzwvcmVmLXR5
cGU+PGNvbnRyaWJ1dG9ycz48YXV0aG9ycz48YXV0aG9yPkxvbywgRS4gWC4gTC48L2F1dGhvcj48
YXV0aG9yPk9uZywgTC48L2F1dGhvcj48YXV0aG9yPkdvaCwgQS48L2F1dGhvcj48YXV0aG9yPkNo
aWEsIEEuIFIuPC9hdXRob3I+PGF1dGhvcj5UZW9oLCBPLiBILjwvYXV0aG9yPjxhdXRob3I+Q29s
ZWdhLCBNLiBULjwvYXV0aG9yPjxhdXRob3I+Q2hhbiwgWS4gSC48L2F1dGhvcj48YXV0aG9yPlNh
dywgUy4gTS48L2F1dGhvcj48YXV0aG9yPkt3ZWssIEsuPC9hdXRob3I+PGF1dGhvcj5HbHVja21h
biwgUC4gRC48L2F1dGhvcj48YXV0aG9yPkdvZGZyZXksIEsuIE0uPC9hdXRob3I+PGF1dGhvcj5W
YW4gQmV2ZXIsIEguPC9hdXRob3I+PGF1dGhvcj5MZWUsIEIuIFcuPC9hdXRob3I+PGF1dGhvcj5D
aG9uZywgWS4gUy48L2F1dGhvcj48YXV0aG9yPkNob25nLCBNLiBGLjwvYXV0aG9yPjxhdXRob3I+
U2hlaywgTC4gUC48L2F1dGhvcj48L2F1dGhvcnM+PC9jb250cmlidXRvcnM+PGF1dGgtYWRkcmVz
cz5TaW5nYXBvcmUgSW5zdGl0dXRlIGZvciBDbGluaWNhbCBTY2llbmNlcyAoU0lDUyksIEFnZW5j
eSBmb3IgU2NpZW5jZSwgVGVjaG5vbG9neSBhbmQgUmVzZWFyY2ggKEEqU1RBUiksIFNpbmdhcG9y
ZSwgU2luZ2Fwb3JlLjwvYXV0aC1hZGRyZXNzPjx0aXRsZXM+PHRpdGxlPkVmZmVjdCBvZiBtYXRl
cm5hbCBkaWV0YXJ5IHBhdHRlcm5zIGR1cmluZyBwcmVnbmFuY3kgb24gc2VsZi1yZXBvcnRlZCBh
bGxlcmdpYyBkaXNlYXNlcyBpbiB0aGUgZmlyc3QgMyB5ZWFycyBvZiBsaWZlOiBSZXN1bHRzIGZy
b20gdGhlIEdVU1RPIHN0dWR5PC90aXRsZT48c2Vjb25kYXJ5LXRpdGxlPkludCBBcmNoIEFsbGVy
Z3kgSW1tdW5vbDwvc2Vjb25kYXJ5LXRpdGxlPjwvdGl0bGVzPjxwZXJpb2RpY2FsPjxmdWxsLXRp
dGxlPkludCBBcmNoIEFsbGVyZ3kgSW1tdW5vbDwvZnVsbC10aXRsZT48L3BlcmlvZGljYWw+PHBh
Z2VzPjEwNS0xMTM8L3BhZ2VzPjx2b2x1bWU+MTczPC92b2x1bWU+PG51bWJlcj4yPC9udW1iZXI+
PGVkaXRpb24+MjAxNy8wNi8yODwvZWRpdGlvbj48a2V5d29yZHM+PGtleXdvcmQ+Q2hpbGQsIFBy
ZXNjaG9vbDwva2V5d29yZD48a2V5d29yZD5Db2hvcnQgU3R1ZGllczwva2V5d29yZD48a2V5d29y
ZD4qRGlldDwva2V5d29yZD48a2V5d29yZD5GZW1hbGU8L2tleXdvcmQ+PGtleXdvcmQ+SHVtYW5z
PC9rZXl3b3JkPjxrZXl3b3JkPkh5cGVyc2Vuc2l0aXZpdHkvKmVwaWRlbWlvbG9neTwva2V5d29y
ZD48a2V5d29yZD5JbmZhbnQ8L2tleXdvcmQ+PGtleXdvcmQ+TWFsZTwva2V5d29yZD48a2V5d29y
ZD4qTWF0ZXJuYWwgTnV0cml0aW9uYWwgUGh5c2lvbG9naWNhbCBQaGVub21lbmE8L2tleXdvcmQ+
PGtleXdvcmQ+T2RkcyBSYXRpbzwva2V5d29yZD48a2V5d29yZD5QcmVnbmFuY3k8L2tleXdvcmQ+
PGtleXdvcmQ+KlByZW5hdGFsIEV4cG9zdXJlIERlbGF5ZWQgRWZmZWN0czwva2V5d29yZD48a2V5
d29yZD5TZWxmIFJlcG9ydDwva2V5d29yZD48a2V5d29yZD5TaW5nYXBvcmUvZXBpZGVtaW9sb2d5
PC9rZXl3b3JkPjxrZXl3b3JkPlN1cnZleXMgYW5kIFF1ZXN0aW9ubmFpcmVzPC9rZXl3b3JkPjxr
ZXl3b3JkPkFsbGVyZ2ljIGRpc2Vhc2VzPC9rZXl3b3JkPjxrZXl3b3JkPkJpcnRoIGNvaG9ydHM8
L2tleXdvcmQ+PGtleXdvcmQ+TWF0ZXJuYWwgZGlldGFyeSBwYXR0ZXJuczwva2V5d29yZD48L2tl
eXdvcmRzPjxkYXRlcz48eWVhcj4yMDE3PC95ZWFyPjwvZGF0ZXM+PGlzYm4+MTQyMy0wMDk3IChF
bGVjdHJvbmljKSYjeEQ7MTAxOC0yNDM4IChMaW5raW5nKTwvaXNibj48YWNjZXNzaW9uLW51bT4y
ODY1NDkyMTwvYWNjZXNzaW9uLW51bT48dXJscz48cmVsYXRlZC11cmxzPjx1cmw+aHR0cHM6Ly93
d3cubmNiaS5ubG0ubmloLmdvdi9wdWJtZWQvMjg2NTQ5MjE8L3VybD48L3JlbGF0ZWQtdXJscz48
L3VybHM+PGN1c3RvbTI+UE1DNTUzMTI1ODwvY3VzdG9tMj48ZWxlY3Ryb25pYy1yZXNvdXJjZS1u
dW0+MTAuMTE1OS8wMDA0NzU0OTc8L2VsZWN0cm9uaWMtcmVzb3VyY2UtbnVtPjwvcmVjb3JkPjwv
Q2l0ZT48L0VuZE5vdGU+
</w:fldData>
              </w:fldChar>
            </w:r>
            <w:r w:rsidR="002747EA">
              <w:instrText xml:space="preserve"> ADDIN EN.CITE </w:instrText>
            </w:r>
            <w:r w:rsidR="002747EA">
              <w:fldChar w:fldCharType="begin">
                <w:fldData xml:space="preserve">PEVuZE5vdGU+PENpdGU+PEF1dGhvcj5Mb288L0F1dGhvcj48WWVhcj4yMDE3PC9ZZWFyPjxSZWNO
dW0+MTQ1NjwvUmVjTnVtPjxEaXNwbGF5VGV4dD48c3R5bGUgZmFjZT0ic3VwZXJzY3JpcHQiIGZv
bnQ9IlRyZWJ1Y2hldCBNUyIgc2l6ZT0iOSI+Mzg8L3N0eWxlPjwvRGlzcGxheVRleHQ+PHJlY29y
ZD48cmVjLW51bWJlcj4xNDU2PC9yZWMtbnVtYmVyPjxmb3JlaWduLWtleXM+PGtleSBhcHA9IkVO
IiBkYi1pZD0iZXh2YXNyZngyZHRyYW9lc2FzeHAyc3pzeGEyZGY1MDI1OTJ4IiB0aW1lc3RhbXA9
IjE1NzQwMzk1NjkiPjE0NTY8L2tleT48a2V5IGFwcD0iRU5XZWIiIGRiLWlkPSIiPjA8L2tleT48
L2ZvcmVpZ24ta2V5cz48cmVmLXR5cGUgbmFtZT0iSm91cm5hbCBBcnRpY2xlIj4xNzwvcmVmLXR5
cGU+PGNvbnRyaWJ1dG9ycz48YXV0aG9ycz48YXV0aG9yPkxvbywgRS4gWC4gTC48L2F1dGhvcj48
YXV0aG9yPk9uZywgTC48L2F1dGhvcj48YXV0aG9yPkdvaCwgQS48L2F1dGhvcj48YXV0aG9yPkNo
aWEsIEEuIFIuPC9hdXRob3I+PGF1dGhvcj5UZW9oLCBPLiBILjwvYXV0aG9yPjxhdXRob3I+Q29s
ZWdhLCBNLiBULjwvYXV0aG9yPjxhdXRob3I+Q2hhbiwgWS4gSC48L2F1dGhvcj48YXV0aG9yPlNh
dywgUy4gTS48L2F1dGhvcj48YXV0aG9yPkt3ZWssIEsuPC9hdXRob3I+PGF1dGhvcj5HbHVja21h
biwgUC4gRC48L2F1dGhvcj48YXV0aG9yPkdvZGZyZXksIEsuIE0uPC9hdXRob3I+PGF1dGhvcj5W
YW4gQmV2ZXIsIEguPC9hdXRob3I+PGF1dGhvcj5MZWUsIEIuIFcuPC9hdXRob3I+PGF1dGhvcj5D
aG9uZywgWS4gUy48L2F1dGhvcj48YXV0aG9yPkNob25nLCBNLiBGLjwvYXV0aG9yPjxhdXRob3I+
U2hlaywgTC4gUC48L2F1dGhvcj48L2F1dGhvcnM+PC9jb250cmlidXRvcnM+PGF1dGgtYWRkcmVz
cz5TaW5nYXBvcmUgSW5zdGl0dXRlIGZvciBDbGluaWNhbCBTY2llbmNlcyAoU0lDUyksIEFnZW5j
eSBmb3IgU2NpZW5jZSwgVGVjaG5vbG9neSBhbmQgUmVzZWFyY2ggKEEqU1RBUiksIFNpbmdhcG9y
ZSwgU2luZ2Fwb3JlLjwvYXV0aC1hZGRyZXNzPjx0aXRsZXM+PHRpdGxlPkVmZmVjdCBvZiBtYXRl
cm5hbCBkaWV0YXJ5IHBhdHRlcm5zIGR1cmluZyBwcmVnbmFuY3kgb24gc2VsZi1yZXBvcnRlZCBh
bGxlcmdpYyBkaXNlYXNlcyBpbiB0aGUgZmlyc3QgMyB5ZWFycyBvZiBsaWZlOiBSZXN1bHRzIGZy
b20gdGhlIEdVU1RPIHN0dWR5PC90aXRsZT48c2Vjb25kYXJ5LXRpdGxlPkludCBBcmNoIEFsbGVy
Z3kgSW1tdW5vbDwvc2Vjb25kYXJ5LXRpdGxlPjwvdGl0bGVzPjxwZXJpb2RpY2FsPjxmdWxsLXRp
dGxlPkludCBBcmNoIEFsbGVyZ3kgSW1tdW5vbDwvZnVsbC10aXRsZT48L3BlcmlvZGljYWw+PHBh
Z2VzPjEwNS0xMTM8L3BhZ2VzPjx2b2x1bWU+MTczPC92b2x1bWU+PG51bWJlcj4yPC9udW1iZXI+
PGVkaXRpb24+MjAxNy8wNi8yODwvZWRpdGlvbj48a2V5d29yZHM+PGtleXdvcmQ+Q2hpbGQsIFBy
ZXNjaG9vbDwva2V5d29yZD48a2V5d29yZD5Db2hvcnQgU3R1ZGllczwva2V5d29yZD48a2V5d29y
ZD4qRGlldDwva2V5d29yZD48a2V5d29yZD5GZW1hbGU8L2tleXdvcmQ+PGtleXdvcmQ+SHVtYW5z
PC9rZXl3b3JkPjxrZXl3b3JkPkh5cGVyc2Vuc2l0aXZpdHkvKmVwaWRlbWlvbG9neTwva2V5d29y
ZD48a2V5d29yZD5JbmZhbnQ8L2tleXdvcmQ+PGtleXdvcmQ+TWFsZTwva2V5d29yZD48a2V5d29y
ZD4qTWF0ZXJuYWwgTnV0cml0aW9uYWwgUGh5c2lvbG9naWNhbCBQaGVub21lbmE8L2tleXdvcmQ+
PGtleXdvcmQ+T2RkcyBSYXRpbzwva2V5d29yZD48a2V5d29yZD5QcmVnbmFuY3k8L2tleXdvcmQ+
PGtleXdvcmQ+KlByZW5hdGFsIEV4cG9zdXJlIERlbGF5ZWQgRWZmZWN0czwva2V5d29yZD48a2V5
d29yZD5TZWxmIFJlcG9ydDwva2V5d29yZD48a2V5d29yZD5TaW5nYXBvcmUvZXBpZGVtaW9sb2d5
PC9rZXl3b3JkPjxrZXl3b3JkPlN1cnZleXMgYW5kIFF1ZXN0aW9ubmFpcmVzPC9rZXl3b3JkPjxr
ZXl3b3JkPkFsbGVyZ2ljIGRpc2Vhc2VzPC9rZXl3b3JkPjxrZXl3b3JkPkJpcnRoIGNvaG9ydHM8
L2tleXdvcmQ+PGtleXdvcmQ+TWF0ZXJuYWwgZGlldGFyeSBwYXR0ZXJuczwva2V5d29yZD48L2tl
eXdvcmRzPjxkYXRlcz48eWVhcj4yMDE3PC95ZWFyPjwvZGF0ZXM+PGlzYm4+MTQyMy0wMDk3IChF
bGVjdHJvbmljKSYjeEQ7MTAxOC0yNDM4IChMaW5raW5nKTwvaXNibj48YWNjZXNzaW9uLW51bT4y
ODY1NDkyMTwvYWNjZXNzaW9uLW51bT48dXJscz48cmVsYXRlZC11cmxzPjx1cmw+aHR0cHM6Ly93
d3cubmNiaS5ubG0ubmloLmdvdi9wdWJtZWQvMjg2NTQ5MjE8L3VybD48L3JlbGF0ZWQtdXJscz48
L3VybHM+PGN1c3RvbTI+UE1DNTUzMTI1ODwvY3VzdG9tMj48ZWxlY3Ryb25pYy1yZXNvdXJjZS1u
dW0+MTAuMTE1OS8wMDA0NzU0OTc8L2VsZWN0cm9uaWMtcmVzb3VyY2UtbnVtPjwvcmVjb3JkPjwv
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38</w:t>
            </w:r>
            <w:r>
              <w:fldChar w:fldCharType="end"/>
            </w:r>
          </w:p>
          <w:p w14:paraId="197B4C73" w14:textId="77777777" w:rsidR="004C390A" w:rsidRDefault="004C390A" w:rsidP="007B3A77">
            <w:r>
              <w:t>Singapore</w:t>
            </w:r>
          </w:p>
          <w:p w14:paraId="2A308AF4" w14:textId="77777777" w:rsidR="004C390A" w:rsidRDefault="004C390A" w:rsidP="007B3A77">
            <w:r>
              <w:t>GUSTO</w:t>
            </w:r>
          </w:p>
          <w:p w14:paraId="234F8ECE" w14:textId="77777777" w:rsidR="004C390A" w:rsidRDefault="004C390A" w:rsidP="007B3A77">
            <w:r>
              <w:t>Cohort</w:t>
            </w:r>
          </w:p>
        </w:tc>
        <w:tc>
          <w:tcPr>
            <w:tcW w:w="992" w:type="dxa"/>
          </w:tcPr>
          <w:p w14:paraId="3E263859" w14:textId="77777777" w:rsidR="004C390A" w:rsidRDefault="004C390A" w:rsidP="007B3A77">
            <w:r>
              <w:t>735 children</w:t>
            </w:r>
          </w:p>
        </w:tc>
        <w:tc>
          <w:tcPr>
            <w:tcW w:w="4961" w:type="dxa"/>
          </w:tcPr>
          <w:p w14:paraId="5B4C7B0F" w14:textId="77777777" w:rsidR="004C390A" w:rsidRPr="002436F2" w:rsidRDefault="004C390A" w:rsidP="006E3D3E">
            <w:pPr>
              <w:rPr>
                <w:szCs w:val="18"/>
              </w:rPr>
            </w:pPr>
            <w:r w:rsidRPr="006E3D3E">
              <w:rPr>
                <w:b/>
                <w:szCs w:val="18"/>
              </w:rPr>
              <w:t>Aim</w:t>
            </w:r>
            <w:r>
              <w:rPr>
                <w:szCs w:val="18"/>
              </w:rPr>
              <w:t xml:space="preserve">: </w:t>
            </w:r>
            <w:r>
              <w:t>To examine the role of m</w:t>
            </w:r>
            <w:r w:rsidRPr="002436F2">
              <w:t xml:space="preserve">aternal diet during pregnancy </w:t>
            </w:r>
            <w:r>
              <w:t>on</w:t>
            </w:r>
            <w:r w:rsidRPr="002436F2">
              <w:t xml:space="preserve"> immune tolerance and the development of allergic diseases in the offspring.</w:t>
            </w:r>
          </w:p>
          <w:p w14:paraId="2019C84A" w14:textId="77777777" w:rsidR="004C390A" w:rsidRPr="006E3D3E" w:rsidRDefault="004C390A" w:rsidP="002436F2">
            <w:r w:rsidRPr="006E3D3E">
              <w:rPr>
                <w:rFonts w:eastAsiaTheme="majorEastAsia"/>
                <w:b/>
              </w:rPr>
              <w:t>Methods</w:t>
            </w:r>
            <w:r>
              <w:rPr>
                <w:rFonts w:eastAsiaTheme="majorEastAsia"/>
              </w:rPr>
              <w:t xml:space="preserve">: </w:t>
            </w:r>
            <w:r w:rsidRPr="006E3D3E">
              <w:t xml:space="preserve">We examined the relation between maternal dietary patterns </w:t>
            </w:r>
            <w:r w:rsidRPr="002436F2">
              <w:t>assessed using 24 hr recalls and food diaries at 26-28 weeks of pregnancy and the subsequent development of allergic outcomes in the offspring. Exploratory factor analysis was used to characterise maternal dietary patterns during pregnancy. During repeated visits in the first 36 months of life, questionnaires were administered to ascertain allergic symptoms, namely, eczema, rhinitis and wheezing. At ages 18 and 36 months, we administered skin prick testing to inhalant and food allergens.</w:t>
            </w:r>
          </w:p>
        </w:tc>
        <w:tc>
          <w:tcPr>
            <w:tcW w:w="4536" w:type="dxa"/>
          </w:tcPr>
          <w:p w14:paraId="1825908F" w14:textId="77777777" w:rsidR="004C390A" w:rsidRPr="002436F2" w:rsidRDefault="004C390A" w:rsidP="006E3D3E">
            <w:r w:rsidRPr="002436F2">
              <w:t>Of the three maternal dietary patterns that emerged, the Seafood and Noodle (SfN) pattern was associated with a reduced risk</w:t>
            </w:r>
            <w:r>
              <w:t xml:space="preserve"> of developing allergen sensitis</w:t>
            </w:r>
            <w:r w:rsidRPr="002436F2">
              <w:t xml:space="preserve">ation at both 18 months </w:t>
            </w:r>
            <w:r>
              <w:t>(OR 0.7; 95%CI0.5 to 0.9)</w:t>
            </w:r>
            <w:r w:rsidRPr="002436F2">
              <w:t xml:space="preserve"> and 36 months </w:t>
            </w:r>
            <w:r>
              <w:t>(OR 0.7; 95%CI</w:t>
            </w:r>
            <w:r w:rsidRPr="002436F2">
              <w:t xml:space="preserve">0.6 </w:t>
            </w:r>
            <w:r>
              <w:t>to -0.9)</w:t>
            </w:r>
            <w:r w:rsidRPr="002436F2">
              <w:t xml:space="preserve"> after adjustment for family history of allergy, ethnicity, sex and maternal education levels. No associations between Vegetable, Fruit and white Rice and Pasta, Cheese and Processed meat patterns were observed with any of the allergic outcomes in the first 18 and 36 months of life.</w:t>
            </w:r>
          </w:p>
        </w:tc>
        <w:tc>
          <w:tcPr>
            <w:tcW w:w="1843" w:type="dxa"/>
          </w:tcPr>
          <w:p w14:paraId="742770F9" w14:textId="77777777" w:rsidR="004C390A" w:rsidRPr="007B3A77" w:rsidRDefault="004C390A" w:rsidP="007B3A77"/>
        </w:tc>
      </w:tr>
      <w:tr w:rsidR="004C390A" w:rsidRPr="00343DBA" w14:paraId="00ABDE4F" w14:textId="77777777" w:rsidTr="004C390A">
        <w:trPr>
          <w:cantSplit/>
          <w:trHeight w:val="390"/>
        </w:trPr>
        <w:tc>
          <w:tcPr>
            <w:tcW w:w="1560" w:type="dxa"/>
          </w:tcPr>
          <w:p w14:paraId="5336991C" w14:textId="17EDB1E5" w:rsidR="004C390A" w:rsidRDefault="004C390A" w:rsidP="00142208">
            <w:r>
              <w:t>Martin et al 2016</w:t>
            </w:r>
            <w:r>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 </w:instrText>
            </w:r>
            <w:r w:rsidR="002747EA">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19</w:t>
            </w:r>
            <w:r>
              <w:fldChar w:fldCharType="end"/>
            </w:r>
          </w:p>
          <w:p w14:paraId="709CB983" w14:textId="77777777" w:rsidR="004C390A" w:rsidRDefault="004C390A" w:rsidP="00142208">
            <w:r>
              <w:t>United States</w:t>
            </w:r>
          </w:p>
          <w:p w14:paraId="4785B779" w14:textId="77777777" w:rsidR="004C390A" w:rsidRDefault="004C390A" w:rsidP="00142208">
            <w:r>
              <w:t>Cohort</w:t>
            </w:r>
          </w:p>
        </w:tc>
        <w:tc>
          <w:tcPr>
            <w:tcW w:w="992" w:type="dxa"/>
          </w:tcPr>
          <w:p w14:paraId="6FDC718C" w14:textId="77777777" w:rsidR="004C390A" w:rsidRDefault="004C390A" w:rsidP="00142208">
            <w:r>
              <w:t>513 women</w:t>
            </w:r>
          </w:p>
        </w:tc>
        <w:tc>
          <w:tcPr>
            <w:tcW w:w="4961" w:type="dxa"/>
          </w:tcPr>
          <w:p w14:paraId="76FD0AD5" w14:textId="77777777" w:rsidR="004C390A" w:rsidRDefault="004C390A" w:rsidP="00142208">
            <w:r>
              <w:rPr>
                <w:b/>
              </w:rPr>
              <w:t xml:space="preserve">Aim: </w:t>
            </w:r>
            <w:r w:rsidRPr="00DD53FF">
              <w:t xml:space="preserve">investigated the association between dietary patterns and cardiometabolic markers (glucose, insulin, insulin resistance (HOMA-IR), triglycerides, and cholesterol) during pregnancy. </w:t>
            </w:r>
          </w:p>
          <w:p w14:paraId="64957AB3" w14:textId="77777777" w:rsidR="004C390A" w:rsidRPr="005C39B9" w:rsidRDefault="004C390A" w:rsidP="00142208">
            <w:pPr>
              <w:rPr>
                <w:b/>
              </w:rPr>
            </w:pPr>
            <w:r w:rsidRPr="00DD53FF">
              <w:rPr>
                <w:b/>
              </w:rPr>
              <w:t>Methods</w:t>
            </w:r>
            <w:r w:rsidRPr="00DD53FF">
              <w:t>: Diet was assessed using a food frequency questionnaire. Dietary patterns were derived using latent class analysis (LCA) and the Dietary Approaches to Stop Hypertension (DASH) diet. Linear regression was used to examine the dietary patterns-cardiometabolic markers association during pregnancy.</w:t>
            </w:r>
          </w:p>
        </w:tc>
        <w:tc>
          <w:tcPr>
            <w:tcW w:w="4536" w:type="dxa"/>
          </w:tcPr>
          <w:p w14:paraId="5590FF77" w14:textId="6E6EB399" w:rsidR="004C390A" w:rsidRPr="009F227E" w:rsidRDefault="004C390A" w:rsidP="00501148">
            <w:r w:rsidRPr="00DD53FF">
              <w:t xml:space="preserve">After adjustment for potential confounders including prepregnancy </w:t>
            </w:r>
            <w:r>
              <w:t>BMI</w:t>
            </w:r>
            <w:r w:rsidRPr="00DD53FF">
              <w:t xml:space="preserve">, a diet consistent with Latent Class 3 </w:t>
            </w:r>
            <w:r>
              <w:t>(</w:t>
            </w:r>
            <w:r w:rsidRPr="00DD53FF">
              <w:t>fruits, vegetables, whole grains, low-fat dairy, breakfast bars, and water</w:t>
            </w:r>
            <w:r>
              <w:t xml:space="preserve">) </w:t>
            </w:r>
            <w:r w:rsidRPr="00DD53FF">
              <w:t xml:space="preserve">was negatively associated with </w:t>
            </w:r>
            <w:r>
              <w:t>maternal insulin (</w:t>
            </w:r>
            <w:r w:rsidR="00501148">
              <w:t>µ</w:t>
            </w:r>
            <w:r>
              <w:t>U/mL: beta -0.12; 95%CI -0.23 to -0.01) and HOMA-IR (beta -0.13; 95%CI -0.25 to -0.00) but not gluco</w:t>
            </w:r>
            <w:r w:rsidRPr="009F227E">
              <w:t xml:space="preserve">se </w:t>
            </w:r>
            <w:r>
              <w:t>(beta 0.86; 95%CI 2.64 to</w:t>
            </w:r>
            <w:r w:rsidRPr="009F227E">
              <w:t xml:space="preserve"> 0.92)</w:t>
            </w:r>
            <w:r>
              <w:t>,</w:t>
            </w:r>
            <w:r w:rsidRPr="009F227E">
              <w:t xml:space="preserve"> triglycerides </w:t>
            </w:r>
            <w:r>
              <w:t xml:space="preserve">(beta 0.01; 95%CI </w:t>
            </w:r>
            <w:r w:rsidRPr="009F227E">
              <w:t>0.10, 0.08) or cholesterol (</w:t>
            </w:r>
            <w:r>
              <w:t>beta 5.58; 95%CI 5.63 to</w:t>
            </w:r>
            <w:r w:rsidRPr="009F227E">
              <w:t xml:space="preserve"> 16.79)</w:t>
            </w:r>
            <w:r>
              <w:t>.</w:t>
            </w:r>
          </w:p>
        </w:tc>
        <w:tc>
          <w:tcPr>
            <w:tcW w:w="1843" w:type="dxa"/>
          </w:tcPr>
          <w:p w14:paraId="36A55B49" w14:textId="77777777" w:rsidR="004C390A" w:rsidRDefault="004C390A" w:rsidP="00142208"/>
        </w:tc>
      </w:tr>
      <w:tr w:rsidR="004C390A" w:rsidRPr="007B3A77" w14:paraId="11FDC547" w14:textId="77777777" w:rsidTr="004C390A">
        <w:trPr>
          <w:cantSplit/>
          <w:trHeight w:val="390"/>
        </w:trPr>
        <w:tc>
          <w:tcPr>
            <w:tcW w:w="1560" w:type="dxa"/>
          </w:tcPr>
          <w:p w14:paraId="5C7C278F" w14:textId="377B9B29" w:rsidR="004C390A" w:rsidRDefault="004C390A" w:rsidP="007B3A77">
            <w:r>
              <w:t>Martin et al 2016</w:t>
            </w:r>
            <w:r>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 </w:instrText>
            </w:r>
            <w:r w:rsidR="002747EA">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37</w:t>
            </w:r>
            <w:r>
              <w:fldChar w:fldCharType="end"/>
            </w:r>
          </w:p>
          <w:p w14:paraId="22066EE5" w14:textId="77777777" w:rsidR="004C390A" w:rsidRDefault="004C390A" w:rsidP="007B3A77">
            <w:r>
              <w:t>United States</w:t>
            </w:r>
          </w:p>
          <w:p w14:paraId="6BD9133E" w14:textId="77777777" w:rsidR="004C390A" w:rsidRDefault="004C390A" w:rsidP="007B3A77">
            <w:r>
              <w:t>Cohort</w:t>
            </w:r>
          </w:p>
        </w:tc>
        <w:tc>
          <w:tcPr>
            <w:tcW w:w="992" w:type="dxa"/>
          </w:tcPr>
          <w:p w14:paraId="01C41961" w14:textId="77777777" w:rsidR="004C390A" w:rsidRDefault="004C390A" w:rsidP="007B3A77">
            <w:r>
              <w:t>389 mother-child pairs</w:t>
            </w:r>
          </w:p>
        </w:tc>
        <w:tc>
          <w:tcPr>
            <w:tcW w:w="4961" w:type="dxa"/>
          </w:tcPr>
          <w:p w14:paraId="5B0E486C" w14:textId="77777777" w:rsidR="004C390A" w:rsidRDefault="004C390A" w:rsidP="006D6911">
            <w:r>
              <w:rPr>
                <w:b/>
              </w:rPr>
              <w:t xml:space="preserve">Aim: </w:t>
            </w:r>
            <w:r w:rsidRPr="006D6911">
              <w:t>To</w:t>
            </w:r>
            <w:r>
              <w:rPr>
                <w:b/>
              </w:rPr>
              <w:t xml:space="preserve"> </w:t>
            </w:r>
            <w:r>
              <w:t>investigate</w:t>
            </w:r>
            <w:r w:rsidRPr="006D6911">
              <w:t xml:space="preserve"> the influence of maternal dietary patterns during pregnancy on child growth in the first 3 y of life in 389 mother-child pairs from the Pregnancy, Infection, and Nutrition study. </w:t>
            </w:r>
          </w:p>
          <w:p w14:paraId="4DFD3B31" w14:textId="77777777" w:rsidR="004C390A" w:rsidRPr="004D1571" w:rsidRDefault="004C390A" w:rsidP="006D6911">
            <w:pPr>
              <w:rPr>
                <w:b/>
              </w:rPr>
            </w:pPr>
            <w:r w:rsidRPr="006D6911">
              <w:rPr>
                <w:b/>
              </w:rPr>
              <w:t>Methods</w:t>
            </w:r>
            <w:r w:rsidRPr="006D6911">
              <w:t xml:space="preserve">: Dietary patterns were derived with the use of latent class analysis (LCA) based on maternal diet, collected with the use of a food-frequency questionnaire at 26-29 wk gestation. Associations between maternal dietary patterns and child body mass index (BMI)-for-age z score and overweight or obesity were assessed with the use of linear regression and log-binomial regression, respectively. We used linear mixed models to estimate childhood growth patterns in relation to maternal dietary patterns. </w:t>
            </w:r>
          </w:p>
        </w:tc>
        <w:tc>
          <w:tcPr>
            <w:tcW w:w="4536" w:type="dxa"/>
          </w:tcPr>
          <w:p w14:paraId="06D49D1F" w14:textId="371BBF9F" w:rsidR="004C390A" w:rsidRDefault="004C390A" w:rsidP="006D6911">
            <w:r w:rsidRPr="006D6911">
              <w:t xml:space="preserve">Three patterns were identified from LCA: 1) fruits, vegetables, refined grains, red and processed meats, pizza, </w:t>
            </w:r>
            <w:r w:rsidR="00501148" w:rsidRPr="006D6911">
              <w:t>French</w:t>
            </w:r>
            <w:r w:rsidRPr="006D6911">
              <w:t xml:space="preserve"> fries, sweets, salty snacks, and soft drinks (latent class 1); 2) fruits, vegetables, baked chicken, whole-wheat bread, low-fat dairy, and water (latent class 2); and 3) white bread, red and processed meats, fried chicken, </w:t>
            </w:r>
            <w:r w:rsidR="00501148" w:rsidRPr="006D6911">
              <w:t>French</w:t>
            </w:r>
            <w:r w:rsidRPr="006D6911">
              <w:t xml:space="preserve"> fries, and vitamin C-rich drinks (latent class 3). </w:t>
            </w:r>
          </w:p>
          <w:p w14:paraId="259C6B55" w14:textId="77777777" w:rsidR="004C390A" w:rsidRPr="006D6911" w:rsidRDefault="004C390A" w:rsidP="00715FEF">
            <w:r w:rsidRPr="006D6911">
              <w:t>In crude analyses, the latent class 3 diet was associated with a higher BMI-for-age z score at 1 and 3 y of age and a higher risk of overweight or obesity at 3 y of age than was the latent class 2 diet. These associations were not detectable after adjustment for confounding factors. We observed an inverse association between the latent class 3 diet and BMI-for-age z score at birth after adjustment for confounding factors that was not evident in the crude analysis (latent class 3 compared with latent class 2-beta: -0.</w:t>
            </w:r>
            <w:r>
              <w:t>41; 95% CI: -0.79 to</w:t>
            </w:r>
            <w:r w:rsidRPr="006D6911">
              <w:t xml:space="preserve"> -0.03). </w:t>
            </w:r>
          </w:p>
        </w:tc>
        <w:tc>
          <w:tcPr>
            <w:tcW w:w="1843" w:type="dxa"/>
          </w:tcPr>
          <w:p w14:paraId="7CCE50C6" w14:textId="77777777" w:rsidR="004C390A" w:rsidRPr="007B3A77" w:rsidRDefault="004C390A" w:rsidP="007B3A77"/>
        </w:tc>
      </w:tr>
      <w:tr w:rsidR="004C390A" w:rsidRPr="007B3A77" w14:paraId="6BCDF201" w14:textId="77777777" w:rsidTr="004C390A">
        <w:trPr>
          <w:cantSplit/>
          <w:trHeight w:val="390"/>
        </w:trPr>
        <w:tc>
          <w:tcPr>
            <w:tcW w:w="1560" w:type="dxa"/>
          </w:tcPr>
          <w:p w14:paraId="4F85E652" w14:textId="047A5621" w:rsidR="004C390A" w:rsidRDefault="004C390A" w:rsidP="007B3A77">
            <w:r>
              <w:t>Miyake et al 2018</w:t>
            </w:r>
            <w:r>
              <w:fldChar w:fldCharType="begin"/>
            </w:r>
            <w:r w:rsidR="002747EA">
              <w:instrText xml:space="preserve"> ADDIN EN.CITE &lt;EndNote&gt;&lt;Cite&gt;&lt;Author&gt;Miyake&lt;/Author&gt;&lt;Year&gt;2018&lt;/Year&gt;&lt;RecNum&gt;1464&lt;/RecNum&gt;&lt;DisplayText&gt;&lt;style face="superscript" font="Trebuchet MS" size="9"&gt;25&lt;/style&gt;&lt;/DisplayText&gt;&lt;record&gt;&lt;rec-number&gt;1464&lt;/rec-number&gt;&lt;foreign-keys&gt;&lt;key app="EN" db-id="exvasrfx2dtraoesasxp2szsxa2df502592x" timestamp="1574039610"&gt;1464&lt;/key&gt;&lt;key app="ENWeb" db-id=""&gt;0&lt;/key&gt;&lt;/foreign-keys&gt;&lt;ref-type name="Journal Article"&gt;17&lt;/ref-type&gt;&lt;contributors&gt;&lt;authors&gt;&lt;author&gt;Miyake, Yoshihiro&lt;/author&gt;&lt;author&gt;Tanaka, Keiko&lt;/author&gt;&lt;author&gt;Okubo, Hitomi&lt;/author&gt;&lt;author&gt;Sasaki, Satoshi&lt;/author&gt;&lt;author&gt;Furukawa, Shinya&lt;/author&gt;&lt;author&gt;Arakawa, Masashi&lt;/author&gt;&lt;/authors&gt;&lt;/contributors&gt;&lt;titles&gt;&lt;title&gt;Dietary patterns and depressive symptoms during pregnancy in Japan: Baseline data from the Kyushu Okinawa Maternal and Child Health Study&lt;/title&gt;&lt;secondary-title&gt;Journal of Affective Disorders&lt;/secondary-title&gt;&lt;/titles&gt;&lt;periodical&gt;&lt;full-title&gt;Journal of Affective Disorders&lt;/full-title&gt;&lt;/periodical&gt;&lt;pages&gt;552-558&lt;/pages&gt;&lt;volume&gt;225&lt;/volume&gt;&lt;section&gt;552&lt;/section&gt;&lt;dates&gt;&lt;year&gt;2018&lt;/year&gt;&lt;/dates&gt;&lt;isbn&gt;01650327&lt;/isbn&gt;&lt;urls&gt;&lt;/urls&gt;&lt;electronic-resource-num&gt;10.1016/j.jad.2017.08.073&lt;/electronic-resource-num&gt;&lt;/record&gt;&lt;/Cite&gt;&lt;/EndNote&gt;</w:instrText>
            </w:r>
            <w:r>
              <w:fldChar w:fldCharType="separate"/>
            </w:r>
            <w:r w:rsidR="002747EA" w:rsidRPr="002747EA">
              <w:rPr>
                <w:noProof/>
                <w:vertAlign w:val="superscript"/>
              </w:rPr>
              <w:t>25</w:t>
            </w:r>
            <w:r>
              <w:fldChar w:fldCharType="end"/>
            </w:r>
          </w:p>
          <w:p w14:paraId="5EE1B419" w14:textId="77777777" w:rsidR="004C390A" w:rsidRDefault="004C390A" w:rsidP="007B3A77">
            <w:r>
              <w:t>Japan</w:t>
            </w:r>
          </w:p>
          <w:p w14:paraId="13C71AE5" w14:textId="77777777" w:rsidR="004C390A" w:rsidRDefault="004C390A" w:rsidP="007B3A77">
            <w:r>
              <w:t>Cross-section</w:t>
            </w:r>
          </w:p>
        </w:tc>
        <w:tc>
          <w:tcPr>
            <w:tcW w:w="992" w:type="dxa"/>
          </w:tcPr>
          <w:p w14:paraId="585F87AD" w14:textId="77777777" w:rsidR="004C390A" w:rsidRDefault="004C390A" w:rsidP="007B3A77">
            <w:r>
              <w:t>1,744 women</w:t>
            </w:r>
          </w:p>
        </w:tc>
        <w:tc>
          <w:tcPr>
            <w:tcW w:w="4961" w:type="dxa"/>
          </w:tcPr>
          <w:p w14:paraId="63E4D26F" w14:textId="77777777" w:rsidR="004C390A" w:rsidRDefault="004C390A" w:rsidP="003A3C7D">
            <w:r>
              <w:rPr>
                <w:b/>
              </w:rPr>
              <w:t xml:space="preserve">Aim: </w:t>
            </w:r>
            <w:r>
              <w:t>To examine</w:t>
            </w:r>
            <w:r w:rsidRPr="003A3C7D">
              <w:t xml:space="preserve"> the association between dietary patterns and depressive</w:t>
            </w:r>
            <w:r>
              <w:t xml:space="preserve"> </w:t>
            </w:r>
            <w:r w:rsidRPr="003A3C7D">
              <w:t>symptoms during pregnancy. The current cross-sectional study examined this issue in Japan.</w:t>
            </w:r>
            <w:r>
              <w:t xml:space="preserve"> </w:t>
            </w:r>
          </w:p>
          <w:p w14:paraId="5C69DD51" w14:textId="0F38C8FD" w:rsidR="004C390A" w:rsidRDefault="004C390A" w:rsidP="003A3C7D">
            <w:pPr>
              <w:rPr>
                <w:b/>
              </w:rPr>
            </w:pPr>
            <w:r w:rsidRPr="003A3C7D">
              <w:rPr>
                <w:b/>
              </w:rPr>
              <w:t>Methods</w:t>
            </w:r>
            <w:r w:rsidRPr="003A3C7D">
              <w:t>: Dietary patterns were derived from a factor analysis of 33 prede</w:t>
            </w:r>
            <w:r w:rsidRPr="003A3C7D">
              <w:rPr>
                <w:rFonts w:ascii="Helvetica" w:hAnsi="Helvetica"/>
              </w:rPr>
              <w:t>fi</w:t>
            </w:r>
            <w:r w:rsidRPr="003A3C7D">
              <w:t>ned food groups based on a</w:t>
            </w:r>
            <w:r>
              <w:t xml:space="preserve"> </w:t>
            </w:r>
            <w:r w:rsidRPr="003A3C7D">
              <w:t>self-administered diet history questionnaire. Depressive symptoms were de</w:t>
            </w:r>
            <w:r w:rsidRPr="003A3C7D">
              <w:rPr>
                <w:rFonts w:ascii="Helvetica" w:hAnsi="Helvetica"/>
              </w:rPr>
              <w:t>fi</w:t>
            </w:r>
            <w:r w:rsidRPr="003A3C7D">
              <w:t>ned as a Center for Epidemiological</w:t>
            </w:r>
            <w:r>
              <w:t xml:space="preserve"> </w:t>
            </w:r>
            <w:r w:rsidRPr="003A3C7D">
              <w:t xml:space="preserve">Studies Depression Scale score </w:t>
            </w:r>
            <w:r w:rsidRPr="003A3C7D">
              <w:rPr>
                <w:rFonts w:ascii="Helvetica" w:hAnsi="Helvetica"/>
              </w:rPr>
              <w:t xml:space="preserve">≥ </w:t>
            </w:r>
            <w:r w:rsidRPr="003A3C7D">
              <w:t>16. Adjustment was made for age, gestation, region of residence, number of</w:t>
            </w:r>
            <w:r>
              <w:t xml:space="preserve"> </w:t>
            </w:r>
            <w:r w:rsidRPr="003A3C7D">
              <w:t xml:space="preserve">children, family structure, history of depression, family history of depression, smoking, </w:t>
            </w:r>
            <w:r w:rsidR="00501148" w:rsidRPr="003A3C7D">
              <w:t>second-hand</w:t>
            </w:r>
            <w:r w:rsidRPr="003A3C7D">
              <w:t xml:space="preserve"> smoke exposure,</w:t>
            </w:r>
            <w:r>
              <w:t xml:space="preserve"> </w:t>
            </w:r>
            <w:r w:rsidRPr="003A3C7D">
              <w:t>employment, household income, education, and body mass index.</w:t>
            </w:r>
            <w:r>
              <w:t xml:space="preserve"> </w:t>
            </w:r>
          </w:p>
        </w:tc>
        <w:tc>
          <w:tcPr>
            <w:tcW w:w="4536" w:type="dxa"/>
          </w:tcPr>
          <w:p w14:paraId="645C42F7" w14:textId="77777777" w:rsidR="004C390A" w:rsidRDefault="004C390A" w:rsidP="003A3C7D">
            <w:r w:rsidRPr="003A3C7D">
              <w:t>Three dietary patterns were identi</w:t>
            </w:r>
            <w:r w:rsidRPr="003A3C7D">
              <w:rPr>
                <w:rFonts w:ascii="Helvetica" w:hAnsi="Helvetica"/>
              </w:rPr>
              <w:t>fi</w:t>
            </w:r>
            <w:r w:rsidRPr="003A3C7D">
              <w:t xml:space="preserve">ed: </w:t>
            </w:r>
            <w:r w:rsidRPr="003A3C7D">
              <w:rPr>
                <w:rFonts w:ascii="Helvetica" w:hAnsi="Helvetica"/>
              </w:rPr>
              <w:t>‘</w:t>
            </w:r>
            <w:r w:rsidRPr="003A3C7D">
              <w:t>healthy</w:t>
            </w:r>
            <w:r w:rsidRPr="003A3C7D">
              <w:rPr>
                <w:rFonts w:ascii="Helvetica" w:hAnsi="Helvetica"/>
              </w:rPr>
              <w:t>’</w:t>
            </w:r>
            <w:r>
              <w:t>, characteris</w:t>
            </w:r>
            <w:r w:rsidRPr="003A3C7D">
              <w:t>ed by high intake of green and yellow vegetables,</w:t>
            </w:r>
            <w:r>
              <w:t xml:space="preserve"> </w:t>
            </w:r>
            <w:r w:rsidRPr="003A3C7D">
              <w:t xml:space="preserve">other vegetables, mushrooms, pulses, seaweed, potatoes, </w:t>
            </w:r>
            <w:r w:rsidRPr="003A3C7D">
              <w:rPr>
                <w:rFonts w:ascii="Helvetica" w:hAnsi="Helvetica"/>
              </w:rPr>
              <w:t>fi</w:t>
            </w:r>
            <w:r w:rsidRPr="003A3C7D">
              <w:t>sh, sea products, miso soup, sugar, and</w:t>
            </w:r>
            <w:r>
              <w:t xml:space="preserve"> </w:t>
            </w:r>
            <w:r w:rsidRPr="003A3C7D">
              <w:t>shell</w:t>
            </w:r>
            <w:r w:rsidRPr="003A3C7D">
              <w:rPr>
                <w:rFonts w:ascii="Helvetica" w:hAnsi="Helvetica"/>
              </w:rPr>
              <w:t>fi</w:t>
            </w:r>
            <w:r w:rsidRPr="003A3C7D">
              <w:t xml:space="preserve">sh; </w:t>
            </w:r>
            <w:r w:rsidRPr="003A3C7D">
              <w:rPr>
                <w:rFonts w:ascii="Helvetica" w:hAnsi="Helvetica"/>
              </w:rPr>
              <w:t>‘</w:t>
            </w:r>
            <w:r w:rsidRPr="003A3C7D">
              <w:t>Japanese</w:t>
            </w:r>
            <w:r w:rsidRPr="003A3C7D">
              <w:rPr>
                <w:rFonts w:ascii="Helvetica" w:hAnsi="Helvetica"/>
              </w:rPr>
              <w:t>’</w:t>
            </w:r>
            <w:r>
              <w:t>, characteris</w:t>
            </w:r>
            <w:r w:rsidRPr="003A3C7D">
              <w:t xml:space="preserve">ed by high intake of rice and miso soup; and </w:t>
            </w:r>
            <w:r w:rsidRPr="003A3C7D">
              <w:rPr>
                <w:rFonts w:ascii="Helvetica" w:hAnsi="Helvetica"/>
              </w:rPr>
              <w:t>‘</w:t>
            </w:r>
            <w:r w:rsidRPr="003A3C7D">
              <w:t>Western</w:t>
            </w:r>
            <w:r w:rsidRPr="003A3C7D">
              <w:rPr>
                <w:rFonts w:ascii="Helvetica" w:hAnsi="Helvetica"/>
              </w:rPr>
              <w:t>’</w:t>
            </w:r>
            <w:r>
              <w:t>, characteris</w:t>
            </w:r>
            <w:r w:rsidRPr="003A3C7D">
              <w:t>ed by high</w:t>
            </w:r>
            <w:r>
              <w:t xml:space="preserve"> </w:t>
            </w:r>
            <w:r w:rsidRPr="003A3C7D">
              <w:t>intake of beef and pork, processed meat, vegetable oil, chicken, eggs, shell</w:t>
            </w:r>
            <w:r w:rsidRPr="003A3C7D">
              <w:rPr>
                <w:rFonts w:ascii="Helvetica" w:hAnsi="Helvetica"/>
              </w:rPr>
              <w:t>fi</w:t>
            </w:r>
            <w:r w:rsidRPr="003A3C7D">
              <w:t>sh, and salt-containing seasonings.</w:t>
            </w:r>
            <w:r>
              <w:t xml:space="preserve"> </w:t>
            </w:r>
          </w:p>
          <w:p w14:paraId="4281F611" w14:textId="77777777" w:rsidR="004C390A" w:rsidRPr="003A3C7D" w:rsidRDefault="004C390A" w:rsidP="004D05C5">
            <w:r w:rsidRPr="003A3C7D">
              <w:t>The healthy and Japanese patterns were independently inversely associated with depressive symptoms during</w:t>
            </w:r>
            <w:r>
              <w:t xml:space="preserve"> </w:t>
            </w:r>
            <w:r w:rsidRPr="003A3C7D">
              <w:t>pregnancy: the adjusted prevalence ratios between extreme quartiles</w:t>
            </w:r>
            <w:r>
              <w:t xml:space="preserve"> </w:t>
            </w:r>
            <w:r w:rsidRPr="003A3C7D">
              <w:t xml:space="preserve">were </w:t>
            </w:r>
            <w:r>
              <w:t xml:space="preserve">aRR </w:t>
            </w:r>
            <w:r w:rsidRPr="003A3C7D">
              <w:t>0.56 (0.43</w:t>
            </w:r>
            <w:r>
              <w:rPr>
                <w:rFonts w:ascii="Helvetica" w:hAnsi="Helvetica"/>
              </w:rPr>
              <w:t xml:space="preserve"> to </w:t>
            </w:r>
            <w:r w:rsidRPr="003A3C7D">
              <w:t>0.73,</w:t>
            </w:r>
            <w:r>
              <w:t xml:space="preserve"> p</w:t>
            </w:r>
            <w:r w:rsidRPr="003A3C7D">
              <w:t xml:space="preserve">&lt;0.0001) and </w:t>
            </w:r>
            <w:r>
              <w:t xml:space="preserve">aRR </w:t>
            </w:r>
            <w:r w:rsidRPr="003A3C7D">
              <w:t>0.72 (0.55</w:t>
            </w:r>
            <w:r>
              <w:rPr>
                <w:rFonts w:ascii="Helvetica" w:hAnsi="Helvetica"/>
              </w:rPr>
              <w:t xml:space="preserve"> to </w:t>
            </w:r>
            <w:r w:rsidRPr="003A3C7D">
              <w:t xml:space="preserve">0.94, </w:t>
            </w:r>
            <w:r>
              <w:t>p=</w:t>
            </w:r>
            <w:r w:rsidRPr="003A3C7D">
              <w:t>0.008), respectively. No association was observed between</w:t>
            </w:r>
            <w:r>
              <w:t xml:space="preserve"> </w:t>
            </w:r>
            <w:r w:rsidRPr="003A3C7D">
              <w:t>the Western pattern and depressive symptoms during pregnancy.</w:t>
            </w:r>
            <w:r>
              <w:t xml:space="preserve"> </w:t>
            </w:r>
          </w:p>
        </w:tc>
        <w:tc>
          <w:tcPr>
            <w:tcW w:w="1843" w:type="dxa"/>
          </w:tcPr>
          <w:p w14:paraId="0EC9B914" w14:textId="77777777" w:rsidR="004C390A" w:rsidRPr="007B3A77" w:rsidRDefault="004C390A" w:rsidP="007B3A77"/>
        </w:tc>
      </w:tr>
      <w:tr w:rsidR="004C390A" w:rsidRPr="00C17B92" w14:paraId="273C3E06" w14:textId="77777777" w:rsidTr="004C390A">
        <w:trPr>
          <w:cantSplit/>
          <w:trHeight w:val="390"/>
        </w:trPr>
        <w:tc>
          <w:tcPr>
            <w:tcW w:w="1560" w:type="dxa"/>
          </w:tcPr>
          <w:p w14:paraId="56CA03FA" w14:textId="2DA216FD" w:rsidR="004C390A" w:rsidRPr="004C390A" w:rsidRDefault="004C390A" w:rsidP="00C67C59">
            <w:r w:rsidRPr="004C390A">
              <w:t xml:space="preserve">Nathanson et al </w:t>
            </w:r>
            <w:r w:rsidR="00774750">
              <w:fldChar w:fldCharType="begin">
                <w:fldData xml:space="preserve">PEVuZE5vdGU+PENpdGU+PEF1dGhvcj5OYXRoYW5zb248L0F1dGhvcj48WWVhcj4yMDE4PC9ZZWFy
PjxSZWNOdW0+MTcyNjwvUmVjTnVtPjxEaXNwbGF5VGV4dD48c3R5bGUgZmFjZT0ic3VwZXJzY3Jp
cHQiIGZvbnQ9IlRyZWJ1Y2hldCBNUyIgc2l6ZT0iOSI+Mjc8L3N0eWxlPjwvRGlzcGxheVRleHQ+
PHJlY29yZD48cmVjLW51bWJlcj4xNzI2PC9yZWMtbnVtYmVyPjxmb3JlaWduLWtleXM+PGtleSBh
cHA9IkVOIiBkYi1pZD0iZXh2YXNyZngyZHRyYW9lc2FzeHAyc3pzeGEyZGY1MDI1OTJ4IiB0aW1l
c3RhbXA9IjE1ODI1MDYxOTIiPjE3MjY8L2tleT48a2V5IGFwcD0iRU5XZWIiIGRiLWlkPSIiPjA8
L2tleT48L2ZvcmVpZ24ta2V5cz48cmVmLXR5cGUgbmFtZT0iSm91cm5hbCBBcnRpY2xlIj4xNzwv
cmVmLXR5cGU+PGNvbnRyaWJ1dG9ycz48YXV0aG9ycz48YXV0aG9yPk5hdGhhbnNvbiwgUi48L2F1
dGhvcj48YXV0aG9yPkhpbGwsIEIuPC9hdXRob3I+PGF1dGhvcj5Ta291dGVyaXMsIEguPC9hdXRo
b3I+PGF1dGhvcj5CYWlsZXksIEMuPC9hdXRob3I+PC9hdXRob3JzPjwvY29udHJpYnV0b3JzPjxh
dXRoLWFkZHJlc3M+TW9uYXNoIENlbnRyZSBmb3IgSGVhbHRoIFJlc2VhcmNoIGFuZCBJbXBsZW1l
bnRhdGlvbiBMZXZlbCAxLCA0My01MSBLYW5vb2thIEdyb3ZlLCBDbGF5dG9uIFZJQyAzMTY4LCBB
dXN0cmFsaWEuJiN4RDtNb25hc2ggQ2VudHJlIGZvciBIZWFsdGggUmVzZWFyY2ggYW5kIEltcGxl
bWVudGF0aW9uIExldmVsIDEsIDQzLTUxIEthbm9va2EgR3JvdmUsIENsYXl0b24gVklDIDMxNjgs
IEF1c3RyYWxpYS4gRWxlY3Ryb25pYyBhZGRyZXNzOiBicmlvbnkuaGlsbEBtb25hc2guZWR1Ljwv
YXV0aC1hZGRyZXNzPjx0aXRsZXM+PHRpdGxlPkFudGVuYXRhbCBkaWV0IGFuZCBwb3N0cGFydHVt
IGRlcHJlc3NpdmUgc3ltcHRvbXM6IEEgcHJvc3BlY3RpdmUgc3R1ZHk8L3RpdGxlPjxzZWNvbmRh
cnktdGl0bGU+TWlkd2lmZXJ5PC9zZWNvbmRhcnktdGl0bGU+PC90aXRsZXM+PHBlcmlvZGljYWw+
PGZ1bGwtdGl0bGU+TWlkd2lmZXJ5PC9mdWxsLXRpdGxlPjwvcGVyaW9kaWNhbD48cGFnZXM+Njkt
NzY8L3BhZ2VzPjx2b2x1bWU+NjI8L3ZvbHVtZT48ZWRpdGlvbj4yMDE4LzA0LzE1PC9lZGl0aW9u
PjxrZXl3b3Jkcz48a2V5d29yZD5BZHVsdDwva2V5d29yZD48a2V5d29yZD5BdXN0cmFsaWE8L2tl
eXdvcmQ+PGtleXdvcmQ+RGVwcmVzc2lvbi8qZXRpb2xvZ3kvcHN5Y2hvbG9neTwva2V5d29yZD48
a2V5d29yZD5EaWV0L3N0YW5kYXJkcy9zdGF0aXN0aWNzICZhbXA7IG51bWVyaWNhbCBkYXRhPC9r
ZXl3b3JkPjxrZXl3b3JkPkZlZWRpbmcgQmVoYXZpb3IvKnBzeWNob2xvZ3k8L2tleXdvcmQ+PGtl
eXdvcmQ+RmVtYWxlPC9rZXl3b3JkPjxrZXl3b3JkPkh1bWFuczwva2V5d29yZD48a2V5d29yZD5J
bmNvbWUvc3RhdGlzdGljcyAmYW1wOyBudW1lcmljYWwgZGF0YTwva2V5d29yZD48a2V5d29yZD5Q
cmVnbmFuY3k8L2tleXdvcmQ+PGtleXdvcmQ+UHJlbmF0YWwgQ2FyZS9tZXRob2RzLypwc3ljaG9s
b2d5PC9rZXl3b3JkPjxrZXl3b3JkPlByb3NwZWN0aXZlIFN0dWRpZXM8L2tleXdvcmQ+PGtleXdv
cmQ+U3VydmV5cyBhbmQgUXVlc3Rpb25uYWlyZXM8L2tleXdvcmQ+PGtleXdvcmQ+QW50ZW5hdGFs
PC9rZXl3b3JkPjxrZXl3b3JkPkRlcHJlc3Npb248L2tleXdvcmQ+PGtleXdvcmQ+RGlldCBxdWFs
aXR5PC9rZXl3b3JkPjxrZXl3b3JkPkZvb2QgZ3JvdXBzPC9rZXl3b3JkPjxrZXl3b3JkPk1hdGVy
bmFsIGhlYWx0aDwva2V5d29yZD48a2V5d29yZD5Qb3N0bmF0YWw8L2tleXdvcmQ+PC9rZXl3b3Jk
cz48ZGF0ZXM+PHllYXI+MjAxODwveWVhcj48cHViLWRhdGVzPjxkYXRlPkp1bDwvZGF0ZT48L3B1
Yi1kYXRlcz48L2RhdGVzPjxpc2JuPjE1MzItMzA5OSAoRWxlY3Ryb25pYykmI3hEOzAyNjYtNjEz
OCAoTGlua2luZyk8L2lzYm4+PGFjY2Vzc2lvbi1udW0+Mjk2NTUwMDc8L2FjY2Vzc2lvbi1udW0+
PHVybHM+PHJlbGF0ZWQtdXJscz48dXJsPmh0dHBzOi8vd3d3Lm5jYmkubmxtLm5paC5nb3YvcHVi
bWVkLzI5NjU1MDA3PC91cmw+PC9yZWxhdGVkLXVybHM+PC91cmxzPjxlbGVjdHJvbmljLXJlc291
cmNlLW51bT4xMC4xMDE2L2oubWlkdy4yMDE4LjAzLjAxNTwvZWxlY3Ryb25pYy1yZXNvdXJjZS1u
dW0+PC9yZWNvcmQ+PC9DaXRlPjwvRW5kTm90ZT4A
</w:fldData>
              </w:fldChar>
            </w:r>
            <w:r w:rsidR="002747EA">
              <w:instrText xml:space="preserve"> ADDIN EN.CITE </w:instrText>
            </w:r>
            <w:r w:rsidR="002747EA">
              <w:fldChar w:fldCharType="begin">
                <w:fldData xml:space="preserve">PEVuZE5vdGU+PENpdGU+PEF1dGhvcj5OYXRoYW5zb248L0F1dGhvcj48WWVhcj4yMDE4PC9ZZWFy
PjxSZWNOdW0+MTcyNjwvUmVjTnVtPjxEaXNwbGF5VGV4dD48c3R5bGUgZmFjZT0ic3VwZXJzY3Jp
cHQiIGZvbnQ9IlRyZWJ1Y2hldCBNUyIgc2l6ZT0iOSI+Mjc8L3N0eWxlPjwvRGlzcGxheVRleHQ+
PHJlY29yZD48cmVjLW51bWJlcj4xNzI2PC9yZWMtbnVtYmVyPjxmb3JlaWduLWtleXM+PGtleSBh
cHA9IkVOIiBkYi1pZD0iZXh2YXNyZngyZHRyYW9lc2FzeHAyc3pzeGEyZGY1MDI1OTJ4IiB0aW1l
c3RhbXA9IjE1ODI1MDYxOTIiPjE3MjY8L2tleT48a2V5IGFwcD0iRU5XZWIiIGRiLWlkPSIiPjA8
L2tleT48L2ZvcmVpZ24ta2V5cz48cmVmLXR5cGUgbmFtZT0iSm91cm5hbCBBcnRpY2xlIj4xNzwv
cmVmLXR5cGU+PGNvbnRyaWJ1dG9ycz48YXV0aG9ycz48YXV0aG9yPk5hdGhhbnNvbiwgUi48L2F1
dGhvcj48YXV0aG9yPkhpbGwsIEIuPC9hdXRob3I+PGF1dGhvcj5Ta291dGVyaXMsIEguPC9hdXRo
b3I+PGF1dGhvcj5CYWlsZXksIEMuPC9hdXRob3I+PC9hdXRob3JzPjwvY29udHJpYnV0b3JzPjxh
dXRoLWFkZHJlc3M+TW9uYXNoIENlbnRyZSBmb3IgSGVhbHRoIFJlc2VhcmNoIGFuZCBJbXBsZW1l
bnRhdGlvbiBMZXZlbCAxLCA0My01MSBLYW5vb2thIEdyb3ZlLCBDbGF5dG9uIFZJQyAzMTY4LCBB
dXN0cmFsaWEuJiN4RDtNb25hc2ggQ2VudHJlIGZvciBIZWFsdGggUmVzZWFyY2ggYW5kIEltcGxl
bWVudGF0aW9uIExldmVsIDEsIDQzLTUxIEthbm9va2EgR3JvdmUsIENsYXl0b24gVklDIDMxNjgs
IEF1c3RyYWxpYS4gRWxlY3Ryb25pYyBhZGRyZXNzOiBicmlvbnkuaGlsbEBtb25hc2guZWR1Ljwv
YXV0aC1hZGRyZXNzPjx0aXRsZXM+PHRpdGxlPkFudGVuYXRhbCBkaWV0IGFuZCBwb3N0cGFydHVt
IGRlcHJlc3NpdmUgc3ltcHRvbXM6IEEgcHJvc3BlY3RpdmUgc3R1ZHk8L3RpdGxlPjxzZWNvbmRh
cnktdGl0bGU+TWlkd2lmZXJ5PC9zZWNvbmRhcnktdGl0bGU+PC90aXRsZXM+PHBlcmlvZGljYWw+
PGZ1bGwtdGl0bGU+TWlkd2lmZXJ5PC9mdWxsLXRpdGxlPjwvcGVyaW9kaWNhbD48cGFnZXM+Njkt
NzY8L3BhZ2VzPjx2b2x1bWU+NjI8L3ZvbHVtZT48ZWRpdGlvbj4yMDE4LzA0LzE1PC9lZGl0aW9u
PjxrZXl3b3Jkcz48a2V5d29yZD5BZHVsdDwva2V5d29yZD48a2V5d29yZD5BdXN0cmFsaWE8L2tl
eXdvcmQ+PGtleXdvcmQ+RGVwcmVzc2lvbi8qZXRpb2xvZ3kvcHN5Y2hvbG9neTwva2V5d29yZD48
a2V5d29yZD5EaWV0L3N0YW5kYXJkcy9zdGF0aXN0aWNzICZhbXA7IG51bWVyaWNhbCBkYXRhPC9r
ZXl3b3JkPjxrZXl3b3JkPkZlZWRpbmcgQmVoYXZpb3IvKnBzeWNob2xvZ3k8L2tleXdvcmQ+PGtl
eXdvcmQ+RmVtYWxlPC9rZXl3b3JkPjxrZXl3b3JkPkh1bWFuczwva2V5d29yZD48a2V5d29yZD5J
bmNvbWUvc3RhdGlzdGljcyAmYW1wOyBudW1lcmljYWwgZGF0YTwva2V5d29yZD48a2V5d29yZD5Q
cmVnbmFuY3k8L2tleXdvcmQ+PGtleXdvcmQ+UHJlbmF0YWwgQ2FyZS9tZXRob2RzLypwc3ljaG9s
b2d5PC9rZXl3b3JkPjxrZXl3b3JkPlByb3NwZWN0aXZlIFN0dWRpZXM8L2tleXdvcmQ+PGtleXdv
cmQ+U3VydmV5cyBhbmQgUXVlc3Rpb25uYWlyZXM8L2tleXdvcmQ+PGtleXdvcmQ+QW50ZW5hdGFs
PC9rZXl3b3JkPjxrZXl3b3JkPkRlcHJlc3Npb248L2tleXdvcmQ+PGtleXdvcmQ+RGlldCBxdWFs
aXR5PC9rZXl3b3JkPjxrZXl3b3JkPkZvb2QgZ3JvdXBzPC9rZXl3b3JkPjxrZXl3b3JkPk1hdGVy
bmFsIGhlYWx0aDwva2V5d29yZD48a2V5d29yZD5Qb3N0bmF0YWw8L2tleXdvcmQ+PC9rZXl3b3Jk
cz48ZGF0ZXM+PHllYXI+MjAxODwveWVhcj48cHViLWRhdGVzPjxkYXRlPkp1bDwvZGF0ZT48L3B1
Yi1kYXRlcz48L2RhdGVzPjxpc2JuPjE1MzItMzA5OSAoRWxlY3Ryb25pYykmI3hEOzAyNjYtNjEz
OCAoTGlua2luZyk8L2lzYm4+PGFjY2Vzc2lvbi1udW0+Mjk2NTUwMDc8L2FjY2Vzc2lvbi1udW0+
PHVybHM+PHJlbGF0ZWQtdXJscz48dXJsPmh0dHBzOi8vd3d3Lm5jYmkubmxtLm5paC5nb3YvcHVi
bWVkLzI5NjU1MDA3PC91cmw+PC9yZWxhdGVkLXVybHM+PC91cmxzPjxlbGVjdHJvbmljLXJlc291
cmNlLW51bT4xMC4xMDE2L2oubWlkdy4yMDE4LjAzLjAxNTwvZWxlY3Ryb25pYy1yZXNvdXJjZS1u
dW0+PC9yZWNvcmQ+PC9DaXRlPjwvRW5kTm90ZT4A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27</w:t>
            </w:r>
            <w:r w:rsidR="00774750">
              <w:fldChar w:fldCharType="end"/>
            </w:r>
          </w:p>
          <w:p w14:paraId="1F077227" w14:textId="77777777" w:rsidR="004C390A" w:rsidRPr="004C390A" w:rsidRDefault="004C390A" w:rsidP="00C67C59">
            <w:r w:rsidRPr="004C390A">
              <w:t>Australia</w:t>
            </w:r>
          </w:p>
          <w:p w14:paraId="7BB2FDF5" w14:textId="77777777" w:rsidR="004C390A" w:rsidRPr="004C390A" w:rsidRDefault="004C390A" w:rsidP="00C67C59">
            <w:r w:rsidRPr="004C390A">
              <w:t>Cross-section</w:t>
            </w:r>
          </w:p>
        </w:tc>
        <w:tc>
          <w:tcPr>
            <w:tcW w:w="992" w:type="dxa"/>
          </w:tcPr>
          <w:p w14:paraId="1CC59E43" w14:textId="77777777" w:rsidR="004C390A" w:rsidRPr="004C390A" w:rsidRDefault="004C390A" w:rsidP="00C67C59">
            <w:r w:rsidRPr="004C390A">
              <w:t>253</w:t>
            </w:r>
          </w:p>
        </w:tc>
        <w:tc>
          <w:tcPr>
            <w:tcW w:w="4961" w:type="dxa"/>
          </w:tcPr>
          <w:p w14:paraId="6455265C" w14:textId="77777777" w:rsidR="004C390A" w:rsidRPr="004C390A" w:rsidRDefault="004C390A" w:rsidP="00C67C59">
            <w:r w:rsidRPr="004C390A">
              <w:rPr>
                <w:b/>
              </w:rPr>
              <w:t>Aim</w:t>
            </w:r>
            <w:r w:rsidRPr="004C390A">
              <w:t xml:space="preserve">: To examine the association between consumption of food groups characteristic of a quality diet during pregnancy (that is fruit, vegetable and fish intake) and postnatal depressive symptoms at 12 months postpartum. </w:t>
            </w:r>
          </w:p>
          <w:p w14:paraId="31AD9634" w14:textId="77777777" w:rsidR="004C390A" w:rsidRPr="004C390A" w:rsidRDefault="004C390A" w:rsidP="00C67C59">
            <w:pPr>
              <w:rPr>
                <w:b/>
              </w:rPr>
            </w:pPr>
            <w:r w:rsidRPr="004C390A">
              <w:rPr>
                <w:b/>
              </w:rPr>
              <w:t>Methods</w:t>
            </w:r>
            <w:r w:rsidRPr="004C390A">
              <w:t>: Pregnant women were recruited at 10-18 weeks gestation and completed self-report questionnaires assessing fruit, vegetable and fish intake as well as depressive symptoms at early- to mid- pregnancy. Path analyses were conducted to examine whether fruit, vegetable and fish intake during pregnancy were associated with depressive symptom scores at 12 months postpartum.</w:t>
            </w:r>
          </w:p>
        </w:tc>
        <w:tc>
          <w:tcPr>
            <w:tcW w:w="4536" w:type="dxa"/>
          </w:tcPr>
          <w:p w14:paraId="6B680940" w14:textId="77777777" w:rsidR="004C390A" w:rsidRPr="00EF4072" w:rsidRDefault="004C390A" w:rsidP="00C67C59">
            <w:r w:rsidRPr="004C390A">
              <w:t>There were no associations between fruit, vegetable or fish intake in pregnancy and postnatal depressive symptoms. Antenatal diet quality as measured by intake of food groups associated with a healthy diet was not associated with postpartum depressive symptoms at 12 months postpartum.</w:t>
            </w:r>
            <w:r w:rsidRPr="00EF4072">
              <w:t xml:space="preserve"> </w:t>
            </w:r>
          </w:p>
        </w:tc>
        <w:tc>
          <w:tcPr>
            <w:tcW w:w="1843" w:type="dxa"/>
          </w:tcPr>
          <w:p w14:paraId="1137DD94" w14:textId="77777777" w:rsidR="004C390A" w:rsidRPr="00C17B92" w:rsidRDefault="004C390A" w:rsidP="00C67C59"/>
        </w:tc>
      </w:tr>
      <w:tr w:rsidR="004C390A" w:rsidRPr="007B3A77" w14:paraId="4A4AE8BD" w14:textId="77777777" w:rsidTr="004C390A">
        <w:trPr>
          <w:cantSplit/>
          <w:trHeight w:val="390"/>
        </w:trPr>
        <w:tc>
          <w:tcPr>
            <w:tcW w:w="1560" w:type="dxa"/>
          </w:tcPr>
          <w:p w14:paraId="4D243C0E" w14:textId="37964432" w:rsidR="004C390A" w:rsidRDefault="004C390A" w:rsidP="007B3A77">
            <w:r>
              <w:t>Rasmussen et al 2014</w:t>
            </w:r>
            <w:r>
              <w:fldChar w:fldCharType="begin">
                <w:fldData xml:space="preserve">PEVuZE5vdGU+PENpdGU+PEF1dGhvcj5SYXNtdXNzZW48L0F1dGhvcj48WWVhcj4yMDE0PC9ZZWFy
PjxSZWNOdW0+MTQ3NTwvUmVjTnVtPjxEaXNwbGF5VGV4dD48c3R5bGUgZmFjZT0ic3VwZXJzY3Jp
cHQiIGZvbnQ9IlRyZWJ1Y2hldCBNUyIgc2l6ZT0iOSI+MzA8L3N0eWxlPjwvRGlzcGxheVRleHQ+
PHJlY29yZD48cmVjLW51bWJlcj4xNDc1PC9yZWMtbnVtYmVyPjxmb3JlaWduLWtleXM+PGtleSBh
cHA9IkVOIiBkYi1pZD0iZXh2YXNyZngyZHRyYW9lc2FzeHAyc3pzeGEyZGY1MDI1OTJ4IiB0aW1l
c3RhbXA9IjE1NzQwMzk2NTgiPjE0NzU8L2tleT48a2V5IGFwcD0iRU5XZWIiIGRiLWlkPSIiPjA8
L2tleT48L2ZvcmVpZ24ta2V5cz48cmVmLXR5cGUgbmFtZT0iSm91cm5hbCBBcnRpY2xlIj4xNzwv
cmVmLXR5cGU+PGNvbnRyaWJ1dG9ycz48YXV0aG9ycz48YXV0aG9yPlJhc211c3NlbiwgTS4gQS48
L2F1dGhvcj48YXV0aG9yPk1hc2xvdmEsIEUuPC9hdXRob3I+PGF1dGhvcj5IYWxsZG9yc3Nvbiwg
VC4gSS48L2F1dGhvcj48YXV0aG9yPk9sc2VuLCBTLiBGLjwvYXV0aG9yPjwvYXV0aG9ycz48L2Nv
bnRyaWJ1dG9ycz48YXV0aC1hZGRyZXNzPkZhY3VsdHkgb2YgU2NpZW5jZSwgVW5pdmVyc2l0eSBv
ZiBDb3BlbmhhZ2VuLCBGcmVkZXJpa3NiZXJnLCBEZW5tYXJrLiYjeEQ7Q2VudHJlIGZvciBGZXRh
bCBQcm9ncmFtbWluZywgRGl2aXNpb24gb2YgRXBpZGVtaW9sb2d5LCBTdGF0ZW5zIFNlcnVtIElu
c3RpdHV0LCBDb3BlbmhhZ2VuLCBEZW5tYXJrLiYjeEQ7Q2VudHJlIGZvciBGZXRhbCBQcm9ncmFt
bWluZywgRGl2aXNpb24gb2YgRXBpZGVtaW9sb2d5LCBTdGF0ZW5zIFNlcnVtIEluc3RpdHV0LCBD
b3BlbmhhZ2VuLCBEZW5tYXJrOyBUaGUgVW5pdCBmb3IgTnV0cml0aW9uIFJlc2VhcmNoLCBGYWN1
bHR5IG9mIEZvb2QgU2NpZW5jZSBhbmQgTnV0cml0aW9uLCBTY2hvb2wgb2YgSGVhbHRoIFNjaWVu
Y2VzLCBVbml2ZXJzaXR5IG9mIEljZWxhbmQsIFJleWtqYXZpaywgSWNlbGFuZC4mI3hEO0NlbnRy
ZSBmb3IgRmV0YWwgUHJvZ3JhbW1pbmcsIERpdmlzaW9uIG9mIEVwaWRlbWlvbG9neSwgU3RhdGVu
cyBTZXJ1bSBJbnN0aXR1dCwgQ29wZW5oYWdlbiwgRGVubWFyazsgRGVwYXJ0bWVudCBvZiBOdXRy
aXRpb24sIEhhcnZhcmQgU2Nob29sIG9mIFB1YmxpYyBIZWFsdGgsIEJvc3RvbiwgTWFzc2FjaHVz
ZXR0cywgVW5pdGVkIFN0YXRlcyBvZiBBbWVyaWNhLjwvYXV0aC1hZGRyZXNzPjx0aXRsZXM+PHRp
dGxlPkNoYXJhY3Rlcml6YXRpb24gb2YgZGlldGFyeSBwYXR0ZXJucyBpbiB0aGUgRGFuaXNoIG5h
dGlvbmFsIGJpcnRoIGNvaG9ydCBpbiByZWxhdGlvbiB0byBwcmV0ZXJtIGJpcnRoPC90aXRsZT48
c2Vjb25kYXJ5LXRpdGxlPlBMb1MgT25lPC9zZWNvbmRhcnktdGl0bGU+PC90aXRsZXM+PHBlcmlv
ZGljYWw+PGZ1bGwtdGl0bGU+UExvUyBPbmU8L2Z1bGwtdGl0bGU+PC9wZXJpb2RpY2FsPjxwYWdl
cz5lOTM2NDQ8L3BhZ2VzPjx2b2x1bWU+OTwvdm9sdW1lPjxudW1iZXI+NDwvbnVtYmVyPjxlZGl0
aW9uPjIwMTQvMDQvMjI8L2VkaXRpb24+PGtleXdvcmRzPjxrZXl3b3JkPkFkdWx0PC9rZXl3b3Jk
PjxrZXl3b3JkPkNvaG9ydCBTdHVkaWVzPC9rZXl3b3JkPjxrZXl3b3JkPkRlbm1hcmsvZXBpZGVt
aW9sb2d5PC9rZXl3b3JkPjxrZXl3b3JkPipEaWV0IFN1cnZleXM8L2tleXdvcmQ+PGtleXdvcmQ+
RWF0aW5nPC9rZXl3b3JkPjxrZXl3b3JkPkZlbWFsZTwva2V5d29yZD48a2V5d29yZD5IdW1hbnM8
L2tleXdvcmQ+PGtleXdvcmQ+TG9uZ2l0dWRpbmFsIFN0dWRpZXM8L2tleXdvcmQ+PGtleXdvcmQ+
Kk1vdGhlcnM8L2tleXdvcmQ+PGtleXdvcmQ+UHJlZ25hbmN5PC9rZXl3b3JkPjxrZXl3b3JkPlBy
ZW1hdHVyZSBCaXJ0aC8qZXBpZGVtaW9sb2d5PC9rZXl3b3JkPjxrZXl3b3JkPlByaW5jaXBhbCBD
b21wb25lbnQgQW5hbHlzaXM8L2tleXdvcmQ+PGtleXdvcmQ+UHJvc3BlY3RpdmUgU3R1ZGllczwv
a2V5d29yZD48a2V5d29yZD5Zb3VuZyBBZHVsdDwva2V5d29yZD48L2tleXdvcmRzPjxkYXRlcz48
eWVhcj4yMDE0PC95ZWFyPjwvZGF0ZXM+PGlzYm4+MTkzMi02MjAzIChFbGVjdHJvbmljKSYjeEQ7
MTkzMi02MjAzIChMaW5raW5nKTwvaXNibj48YWNjZXNzaW9uLW51bT4yNDc0NzcxNTwvYWNjZXNz
aW9uLW51bT48dXJscz48cmVsYXRlZC11cmxzPjx1cmw+aHR0cHM6Ly93d3cubmNiaS5ubG0ubmlo
Lmdvdi9wdWJtZWQvMjQ3NDc3MTU8L3VybD48L3JlbGF0ZWQtdXJscz48L3VybHM+PGN1c3RvbTI+
UE1DMzk5MTU4NjwvY3VzdG9tMj48ZWxlY3Ryb25pYy1yZXNvdXJjZS1udW0+MTAuMTM3MS9qb3Vy
bmFsLnBvbmUuMDA5MzY0NDwvZWxlY3Ryb25pYy1yZXNvdXJjZS1udW0+PC9yZWNvcmQ+PC9DaXRl
PjwvRW5kTm90ZT4A
</w:fldData>
              </w:fldChar>
            </w:r>
            <w:r w:rsidR="002747EA">
              <w:instrText xml:space="preserve"> ADDIN EN.CITE </w:instrText>
            </w:r>
            <w:r w:rsidR="002747EA">
              <w:fldChar w:fldCharType="begin">
                <w:fldData xml:space="preserve">PEVuZE5vdGU+PENpdGU+PEF1dGhvcj5SYXNtdXNzZW48L0F1dGhvcj48WWVhcj4yMDE0PC9ZZWFy
PjxSZWNOdW0+MTQ3NTwvUmVjTnVtPjxEaXNwbGF5VGV4dD48c3R5bGUgZmFjZT0ic3VwZXJzY3Jp
cHQiIGZvbnQ9IlRyZWJ1Y2hldCBNUyIgc2l6ZT0iOSI+MzA8L3N0eWxlPjwvRGlzcGxheVRleHQ+
PHJlY29yZD48cmVjLW51bWJlcj4xNDc1PC9yZWMtbnVtYmVyPjxmb3JlaWduLWtleXM+PGtleSBh
cHA9IkVOIiBkYi1pZD0iZXh2YXNyZngyZHRyYW9lc2FzeHAyc3pzeGEyZGY1MDI1OTJ4IiB0aW1l
c3RhbXA9IjE1NzQwMzk2NTgiPjE0NzU8L2tleT48a2V5IGFwcD0iRU5XZWIiIGRiLWlkPSIiPjA8
L2tleT48L2ZvcmVpZ24ta2V5cz48cmVmLXR5cGUgbmFtZT0iSm91cm5hbCBBcnRpY2xlIj4xNzwv
cmVmLXR5cGU+PGNvbnRyaWJ1dG9ycz48YXV0aG9ycz48YXV0aG9yPlJhc211c3NlbiwgTS4gQS48
L2F1dGhvcj48YXV0aG9yPk1hc2xvdmEsIEUuPC9hdXRob3I+PGF1dGhvcj5IYWxsZG9yc3Nvbiwg
VC4gSS48L2F1dGhvcj48YXV0aG9yPk9sc2VuLCBTLiBGLjwvYXV0aG9yPjwvYXV0aG9ycz48L2Nv
bnRyaWJ1dG9ycz48YXV0aC1hZGRyZXNzPkZhY3VsdHkgb2YgU2NpZW5jZSwgVW5pdmVyc2l0eSBv
ZiBDb3BlbmhhZ2VuLCBGcmVkZXJpa3NiZXJnLCBEZW5tYXJrLiYjeEQ7Q2VudHJlIGZvciBGZXRh
bCBQcm9ncmFtbWluZywgRGl2aXNpb24gb2YgRXBpZGVtaW9sb2d5LCBTdGF0ZW5zIFNlcnVtIElu
c3RpdHV0LCBDb3BlbmhhZ2VuLCBEZW5tYXJrLiYjeEQ7Q2VudHJlIGZvciBGZXRhbCBQcm9ncmFt
bWluZywgRGl2aXNpb24gb2YgRXBpZGVtaW9sb2d5LCBTdGF0ZW5zIFNlcnVtIEluc3RpdHV0LCBD
b3BlbmhhZ2VuLCBEZW5tYXJrOyBUaGUgVW5pdCBmb3IgTnV0cml0aW9uIFJlc2VhcmNoLCBGYWN1
bHR5IG9mIEZvb2QgU2NpZW5jZSBhbmQgTnV0cml0aW9uLCBTY2hvb2wgb2YgSGVhbHRoIFNjaWVu
Y2VzLCBVbml2ZXJzaXR5IG9mIEljZWxhbmQsIFJleWtqYXZpaywgSWNlbGFuZC4mI3hEO0NlbnRy
ZSBmb3IgRmV0YWwgUHJvZ3JhbW1pbmcsIERpdmlzaW9uIG9mIEVwaWRlbWlvbG9neSwgU3RhdGVu
cyBTZXJ1bSBJbnN0aXR1dCwgQ29wZW5oYWdlbiwgRGVubWFyazsgRGVwYXJ0bWVudCBvZiBOdXRy
aXRpb24sIEhhcnZhcmQgU2Nob29sIG9mIFB1YmxpYyBIZWFsdGgsIEJvc3RvbiwgTWFzc2FjaHVz
ZXR0cywgVW5pdGVkIFN0YXRlcyBvZiBBbWVyaWNhLjwvYXV0aC1hZGRyZXNzPjx0aXRsZXM+PHRp
dGxlPkNoYXJhY3Rlcml6YXRpb24gb2YgZGlldGFyeSBwYXR0ZXJucyBpbiB0aGUgRGFuaXNoIG5h
dGlvbmFsIGJpcnRoIGNvaG9ydCBpbiByZWxhdGlvbiB0byBwcmV0ZXJtIGJpcnRoPC90aXRsZT48
c2Vjb25kYXJ5LXRpdGxlPlBMb1MgT25lPC9zZWNvbmRhcnktdGl0bGU+PC90aXRsZXM+PHBlcmlv
ZGljYWw+PGZ1bGwtdGl0bGU+UExvUyBPbmU8L2Z1bGwtdGl0bGU+PC9wZXJpb2RpY2FsPjxwYWdl
cz5lOTM2NDQ8L3BhZ2VzPjx2b2x1bWU+OTwvdm9sdW1lPjxudW1iZXI+NDwvbnVtYmVyPjxlZGl0
aW9uPjIwMTQvMDQvMjI8L2VkaXRpb24+PGtleXdvcmRzPjxrZXl3b3JkPkFkdWx0PC9rZXl3b3Jk
PjxrZXl3b3JkPkNvaG9ydCBTdHVkaWVzPC9rZXl3b3JkPjxrZXl3b3JkPkRlbm1hcmsvZXBpZGVt
aW9sb2d5PC9rZXl3b3JkPjxrZXl3b3JkPipEaWV0IFN1cnZleXM8L2tleXdvcmQ+PGtleXdvcmQ+
RWF0aW5nPC9rZXl3b3JkPjxrZXl3b3JkPkZlbWFsZTwva2V5d29yZD48a2V5d29yZD5IdW1hbnM8
L2tleXdvcmQ+PGtleXdvcmQ+TG9uZ2l0dWRpbmFsIFN0dWRpZXM8L2tleXdvcmQ+PGtleXdvcmQ+
Kk1vdGhlcnM8L2tleXdvcmQ+PGtleXdvcmQ+UHJlZ25hbmN5PC9rZXl3b3JkPjxrZXl3b3JkPlBy
ZW1hdHVyZSBCaXJ0aC8qZXBpZGVtaW9sb2d5PC9rZXl3b3JkPjxrZXl3b3JkPlByaW5jaXBhbCBD
b21wb25lbnQgQW5hbHlzaXM8L2tleXdvcmQ+PGtleXdvcmQ+UHJvc3BlY3RpdmUgU3R1ZGllczwv
a2V5d29yZD48a2V5d29yZD5Zb3VuZyBBZHVsdDwva2V5d29yZD48L2tleXdvcmRzPjxkYXRlcz48
eWVhcj4yMDE0PC95ZWFyPjwvZGF0ZXM+PGlzYm4+MTkzMi02MjAzIChFbGVjdHJvbmljKSYjeEQ7
MTkzMi02MjAzIChMaW5raW5nKTwvaXNibj48YWNjZXNzaW9uLW51bT4yNDc0NzcxNTwvYWNjZXNz
aW9uLW51bT48dXJscz48cmVsYXRlZC11cmxzPjx1cmw+aHR0cHM6Ly93d3cubmNiaS5ubG0ubmlo
Lmdvdi9wdWJtZWQvMjQ3NDc3MTU8L3VybD48L3JlbGF0ZWQtdXJscz48L3VybHM+PGN1c3RvbTI+
UE1DMzk5MTU4NjwvY3VzdG9tMj48ZWxlY3Ryb25pYy1yZXNvdXJjZS1udW0+MTAuMTM3MS9qb3Vy
bmFsLnBvbmUuMDA5MzY0NDwvZWxlY3Ryb25pYy1yZXNvdXJjZS1udW0+PC9yZWNvcmQ+PC9DaXRl
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30</w:t>
            </w:r>
            <w:r>
              <w:fldChar w:fldCharType="end"/>
            </w:r>
          </w:p>
          <w:p w14:paraId="0220B0B1" w14:textId="77777777" w:rsidR="004C390A" w:rsidRDefault="004C390A" w:rsidP="007B3A77">
            <w:r>
              <w:t>Denmark</w:t>
            </w:r>
          </w:p>
          <w:p w14:paraId="3B273458" w14:textId="77777777" w:rsidR="004C390A" w:rsidRDefault="004C390A" w:rsidP="007B3A77">
            <w:r>
              <w:t>Cohort</w:t>
            </w:r>
          </w:p>
        </w:tc>
        <w:tc>
          <w:tcPr>
            <w:tcW w:w="992" w:type="dxa"/>
          </w:tcPr>
          <w:p w14:paraId="6A0FD6BB" w14:textId="77777777" w:rsidR="004C390A" w:rsidRPr="00B24E86" w:rsidRDefault="004C390A" w:rsidP="00B24E86">
            <w:r w:rsidRPr="00B24E86">
              <w:t>59,949 women</w:t>
            </w:r>
          </w:p>
        </w:tc>
        <w:tc>
          <w:tcPr>
            <w:tcW w:w="4961" w:type="dxa"/>
          </w:tcPr>
          <w:p w14:paraId="7CADAEB4" w14:textId="77777777" w:rsidR="004C390A" w:rsidRDefault="004C390A" w:rsidP="001638BB">
            <w:r w:rsidRPr="001638BB">
              <w:rPr>
                <w:b/>
              </w:rPr>
              <w:t>Aim</w:t>
            </w:r>
            <w:r>
              <w:t>: To extract and visualise</w:t>
            </w:r>
            <w:r w:rsidRPr="001638BB">
              <w:t xml:space="preserve"> dietary patterns from self-reported dietary data collected in mid-pregnancy (25th week of gestation) </w:t>
            </w:r>
            <w:r>
              <w:t>and examine</w:t>
            </w:r>
            <w:r w:rsidRPr="001638BB">
              <w:t xml:space="preserve"> their associations with spontaneous and induced preterm birth (gestational age&lt;259 days (&lt;37 weeks)). </w:t>
            </w:r>
          </w:p>
          <w:p w14:paraId="2E142960" w14:textId="18FDE223" w:rsidR="004C390A" w:rsidRDefault="004C390A" w:rsidP="00B24E86">
            <w:pPr>
              <w:rPr>
                <w:b/>
              </w:rPr>
            </w:pPr>
            <w:r w:rsidRPr="001638BB">
              <w:rPr>
                <w:b/>
              </w:rPr>
              <w:t>Methods</w:t>
            </w:r>
            <w:r w:rsidRPr="001638BB">
              <w:t>: A total of seven dietary patterns were extracted by principal component anal</w:t>
            </w:r>
            <w:r>
              <w:t xml:space="preserve">ysis, </w:t>
            </w:r>
            <w:r w:rsidR="00501148">
              <w:t>characterised</w:t>
            </w:r>
            <w:r>
              <w:t xml:space="preserve"> and visualis</w:t>
            </w:r>
            <w:r w:rsidRPr="001638BB">
              <w:t>ed by color-coded spider plots, and referred to as: Vegetables/Prudent, Alcohol, Western, Nordic, Seafood, Candy and Rice/Pasta/Poultry.</w:t>
            </w:r>
          </w:p>
        </w:tc>
        <w:tc>
          <w:tcPr>
            <w:tcW w:w="4536" w:type="dxa"/>
          </w:tcPr>
          <w:p w14:paraId="568416A0" w14:textId="77777777" w:rsidR="004C390A" w:rsidRPr="001638BB" w:rsidRDefault="004C390A" w:rsidP="00B24E86">
            <w:r w:rsidRPr="001638BB">
              <w:t xml:space="preserve">A consistent dose-response association with preterm birth was only observed for Western diet </w:t>
            </w:r>
            <w:r>
              <w:t>(aOR 1.30; 95%CI 1.13 to</w:t>
            </w:r>
            <w:r w:rsidRPr="001638BB">
              <w:t xml:space="preserve"> 1.49) comparing the highest to the lowest quintile. This association was primarily driven by induced preterm </w:t>
            </w:r>
            <w:r>
              <w:t>births</w:t>
            </w:r>
            <w:r w:rsidRPr="001638BB">
              <w:t xml:space="preserve"> (</w:t>
            </w:r>
            <w:r>
              <w:t>aOR 1.66, 95%CI</w:t>
            </w:r>
            <w:r w:rsidRPr="001638BB">
              <w:t xml:space="preserve"> </w:t>
            </w:r>
            <w:r>
              <w:t>1.30 to</w:t>
            </w:r>
            <w:r w:rsidRPr="001638BB">
              <w:t xml:space="preserve"> 2.11, comparing the highest to the lowest quintile) while the corresponding odds ratio for spontaneous preterm deliveries was more modest (</w:t>
            </w:r>
            <w:r>
              <w:t>aOR 1.18, 95%CI 0.99 to</w:t>
            </w:r>
            <w:r w:rsidRPr="001638BB">
              <w:t xml:space="preserve"> 1.39). </w:t>
            </w:r>
          </w:p>
        </w:tc>
        <w:tc>
          <w:tcPr>
            <w:tcW w:w="1843" w:type="dxa"/>
          </w:tcPr>
          <w:p w14:paraId="2464CE4B" w14:textId="77777777" w:rsidR="004C390A" w:rsidRPr="007B3A77" w:rsidRDefault="004C390A" w:rsidP="007B3A77"/>
        </w:tc>
      </w:tr>
      <w:tr w:rsidR="004C390A" w:rsidRPr="00C8357D" w14:paraId="152490C9" w14:textId="77777777" w:rsidTr="004C390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0" w:type="dxa"/>
            <w:tcBorders>
              <w:top w:val="single" w:sz="4" w:space="0" w:color="auto"/>
              <w:left w:val="single" w:sz="4" w:space="0" w:color="auto"/>
              <w:bottom w:val="single" w:sz="4" w:space="0" w:color="auto"/>
              <w:right w:val="single" w:sz="4" w:space="0" w:color="auto"/>
            </w:tcBorders>
          </w:tcPr>
          <w:p w14:paraId="36CF7E2A" w14:textId="32A97DDE" w:rsidR="004C390A" w:rsidRDefault="004C390A" w:rsidP="00715FEF">
            <w:r>
              <w:t>Sedaghat et al 2017</w:t>
            </w:r>
            <w:r>
              <w:fldChar w:fldCharType="begin">
                <w:fldData xml:space="preserve">PEVuZE5vdGU+PENpdGU+PEF1dGhvcj5TZWRhZ2hhdDwvQXV0aG9yPjxZZWFyPjIwMTc8L1llYXI+
PFJlY051bT4xNDc4PC9SZWNOdW0+PERpc3BsYXlUZXh0PjxzdHlsZSBmYWNlPSJzdXBlcnNjcmlw
dCIgZm9udD0iVHJlYnVjaGV0IE1TIiBzaXplPSI5Ij4yMDwvc3R5bGU+PC9EaXNwbGF5VGV4dD48
cmVjb3JkPjxyZWMtbnVtYmVyPjE0Nzg8L3JlYy1udW1iZXI+PGZvcmVpZ24ta2V5cz48a2V5IGFw
cD0iRU4iIGRiLWlkPSJleHZhc3JmeDJkdHJhb2VzYXN4cDJzenN4YTJkZjUwMjU5MngiIHRpbWVz
dGFtcD0iMTU3NDAzOTY3NCI+MTQ3ODwva2V5PjxrZXkgYXBwPSJFTldlYiIgZGItaWQ9IiI+MDwv
a2V5PjwvZm9yZWlnbi1rZXlzPjxyZWYtdHlwZSBuYW1lPSJKb3VybmFsIEFydGljbGUiPjE3PC9y
ZWYtdHlwZT48Y29udHJpYnV0b3JzPjxhdXRob3JzPjxhdXRob3I+U2VkYWdoYXQsIEYuPC9hdXRo
b3I+PGF1dGhvcj5Ba2hvb25kYW4sIE0uPC9hdXRob3I+PGF1dGhvcj5FaHRlc2hhbWksIE0uPC9h
dXRob3I+PGF1dGhvcj5BZ2hhbW9oYW1tYWRpLCBWLjwvYXV0aG9yPjxhdXRob3I+R2hhbmVpLCBO
LjwvYXV0aG9yPjxhdXRob3I+TWlybWlyYW4sIFAuPC9hdXRob3I+PGF1dGhvcj5SYXNoaWRraGFu
aSwgQi48L2F1dGhvcj48L2F1dGhvcnM+PC9jb250cmlidXRvcnM+PGF1dGgtYWRkcmVzcz5EZXBh
cnRtZW50IG9mIEJhc2ljIE1lZGljYWwgU2NpZW5jZXMsIEZhY3VsdHkgb2YgTnV0cml0aW9uIFNj
aWVuY2VzIGFuZCBGb29kIFRlY2hub2xvZ3ksIE5hdGlvbmFsIE51dHJpdGlvbiBhbmQgRm9vZCBU
ZWNobm9sb2d5IFJlc2VhcmNoIEluc3RpdHV0ZSwgU2hhaGlkIEJlaGVzaHRpIFVuaXZlcnNpdHkg
b2YgTWVkaWNhbCBTY2llbmNlcywgVGVocmFuLCBJcmFuLiYjeEQ7RGVwYXJ0bWVudCBvZiBDb21t
dW5pdHkgTnV0cml0aW9uLCBGYWN1bHR5IG9mIE51dHJpdGlvbiBTY2llbmNlcyBhbmQgRm9vZCBU
ZWNobm9sb2d5LCBOYXRpb25hbCBOdXRyaXRpb24gYW5kIEZvb2QgVGVjaG5vbG9neSBSZXNlYXJj
aCBJbnN0aXR1dGUsIFNoYWhpZCBCZWhlc2h0aSBVbml2ZXJzaXR5IG9mIE1lZGljYWwgU2NpZW5j
ZXMsIFRlaHJhbiwgSXJhbi4mI3hEO0RlcGFydG1lbnQgb2YgUGFyYW1lZGljYWwgU2NpZW5jZXMs
IEFodmF6IEp1bmRpc2hhcHVyIFVuaXZlcnNpdHkgb2YgTWVkaWNhbCBTY2llbmNlcywgQWh2YXos
IElyYW4uJiN4RDtOdXRyaXRpb24gYW5kIEVuZG9jcmluZSBSZXNlYXJjaCBDZW50ZXIsIFJlc2Vh
cmNoIEluc3RpdHV0ZSBmb3IgRW5kb2NyaW5lIFNjaWVuY2VzLCBTaGFoaWQgQmVoZXNodGkgVW5p
dmVyc2l0eSBvZiBNZWRpY2FsIFNjaWVuY2VzLCBUZWhyYW4sIElyYW4uPC9hdXRoLWFkZHJlc3M+
PHRpdGxlcz48dGl0bGU+TWF0ZXJuYWwgZGlldGFyeSBwYXR0ZXJucyBhbmQgZ2VzdGF0aW9uYWwg
ZGlhYmV0ZXMgcmlzazogQSBjYXNlLWNvbnRyb2wgc3R1ZHk8L3RpdGxlPjxzZWNvbmRhcnktdGl0
bGU+SiBEaWFiZXRlcyBSZXM8L3NlY29uZGFyeS10aXRsZT48L3RpdGxlcz48cGVyaW9kaWNhbD48
ZnVsbC10aXRsZT5KIERpYWJldGVzIFJlczwvZnVsbC10aXRsZT48L3BlcmlvZGljYWw+PHBhZ2Vz
PjUxNzM5MjY8L3BhZ2VzPjx2b2x1bWU+MjAxNzwvdm9sdW1lPjxlZGl0aW9uPjIwMTgvMDEvMjU8
L2VkaXRpb24+PGtleXdvcmRzPjxrZXl3b3JkPkFkb2xlc2NlbnQ8L2tleXdvcmQ+PGtleXdvcmQ+
QWR1bHQ8L2tleXdvcmQ+PGtleXdvcmQ+Q2FzZS1Db250cm9sIFN0dWRpZXM8L2tleXdvcmQ+PGtl
eXdvcmQ+RGlhYmV0ZXMsIEdlc3RhdGlvbmFsL2VwaWRlbWlvbG9neS8qZXRpb2xvZ3k8L2tleXdv
cmQ+PGtleXdvcmQ+RGlldC9hZHZlcnNlIGVmZmVjdHM8L2tleXdvcmQ+PGtleXdvcmQ+RGlldCwg
V2VzdGVybi9hZHZlcnNlIGVmZmVjdHMvc3RhdGlzdGljcyAmYW1wOyBudW1lcmljYWwgZGF0YTwv
a2V5d29yZD48a2V5d29yZD5GZWVkaW5nIEJlaGF2aW9yLypwaHlzaW9sb2d5PC9rZXl3b3JkPjxr
ZXl3b3JkPkZlbWFsZTwva2V5d29yZD48a2V5d29yZD5IdW1hbnM8L2tleXdvcmQ+PGtleXdvcmQ+
SXJhbi9lcGlkZW1pb2xvZ3k8L2tleXdvcmQ+PGtleXdvcmQ+Kk1hdGVybmFsIE51dHJpdGlvbmFs
IFBoeXNpb2xvZ2ljYWwgUGhlbm9tZW5hPC9rZXl3b3JkPjxrZXl3b3JkPlByZWduYW5jeTwva2V5
d29yZD48a2V5d29yZD5SaXNrIEZhY3RvcnM8L2tleXdvcmQ+PGtleXdvcmQ+WW91bmcgQWR1bHQ8
L2tleXdvcmQ+PC9rZXl3b3Jkcz48ZGF0ZXM+PHllYXI+MjAxNzwveWVhcj48L2RhdGVzPjxpc2Ju
PjIzMTQtNjc1MyAoRWxlY3Ryb25pYyk8L2lzYm4+PGFjY2Vzc2lvbi1udW0+MjkzNjI3MjA8L2Fj
Y2Vzc2lvbi1udW0+PHVybHM+PHJlbGF0ZWQtdXJscz48dXJsPmh0dHBzOi8vd3d3Lm5jYmkubmxt
Lm5paC5nb3YvcHVibWVkLzI5MzYyNzIwPC91cmw+PC9yZWxhdGVkLXVybHM+PC91cmxzPjxjdXN0
b20yPlBNQzU3MzY5NDA8L2N1c3RvbTI+PGVsZWN0cm9uaWMtcmVzb3VyY2UtbnVtPjEwLjExNTUv
MjAxNy81MTczOTI2PC9lbGVjdHJvbmljLXJlc291cmNlLW51bT48L3JlY29yZD48L0NpdGU+PC9F
bmROb3RlPn==
</w:fldData>
              </w:fldChar>
            </w:r>
            <w:r w:rsidR="002747EA">
              <w:instrText xml:space="preserve"> ADDIN EN.CITE </w:instrText>
            </w:r>
            <w:r w:rsidR="002747EA">
              <w:fldChar w:fldCharType="begin">
                <w:fldData xml:space="preserve">PEVuZE5vdGU+PENpdGU+PEF1dGhvcj5TZWRhZ2hhdDwvQXV0aG9yPjxZZWFyPjIwMTc8L1llYXI+
PFJlY051bT4xNDc4PC9SZWNOdW0+PERpc3BsYXlUZXh0PjxzdHlsZSBmYWNlPSJzdXBlcnNjcmlw
dCIgZm9udD0iVHJlYnVjaGV0IE1TIiBzaXplPSI5Ij4yMDwvc3R5bGU+PC9EaXNwbGF5VGV4dD48
cmVjb3JkPjxyZWMtbnVtYmVyPjE0Nzg8L3JlYy1udW1iZXI+PGZvcmVpZ24ta2V5cz48a2V5IGFw
cD0iRU4iIGRiLWlkPSJleHZhc3JmeDJkdHJhb2VzYXN4cDJzenN4YTJkZjUwMjU5MngiIHRpbWVz
dGFtcD0iMTU3NDAzOTY3NCI+MTQ3ODwva2V5PjxrZXkgYXBwPSJFTldlYiIgZGItaWQ9IiI+MDwv
a2V5PjwvZm9yZWlnbi1rZXlzPjxyZWYtdHlwZSBuYW1lPSJKb3VybmFsIEFydGljbGUiPjE3PC9y
ZWYtdHlwZT48Y29udHJpYnV0b3JzPjxhdXRob3JzPjxhdXRob3I+U2VkYWdoYXQsIEYuPC9hdXRo
b3I+PGF1dGhvcj5Ba2hvb25kYW4sIE0uPC9hdXRob3I+PGF1dGhvcj5FaHRlc2hhbWksIE0uPC9h
dXRob3I+PGF1dGhvcj5BZ2hhbW9oYW1tYWRpLCBWLjwvYXV0aG9yPjxhdXRob3I+R2hhbmVpLCBO
LjwvYXV0aG9yPjxhdXRob3I+TWlybWlyYW4sIFAuPC9hdXRob3I+PGF1dGhvcj5SYXNoaWRraGFu
aSwgQi48L2F1dGhvcj48L2F1dGhvcnM+PC9jb250cmlidXRvcnM+PGF1dGgtYWRkcmVzcz5EZXBh
cnRtZW50IG9mIEJhc2ljIE1lZGljYWwgU2NpZW5jZXMsIEZhY3VsdHkgb2YgTnV0cml0aW9uIFNj
aWVuY2VzIGFuZCBGb29kIFRlY2hub2xvZ3ksIE5hdGlvbmFsIE51dHJpdGlvbiBhbmQgRm9vZCBU
ZWNobm9sb2d5IFJlc2VhcmNoIEluc3RpdHV0ZSwgU2hhaGlkIEJlaGVzaHRpIFVuaXZlcnNpdHkg
b2YgTWVkaWNhbCBTY2llbmNlcywgVGVocmFuLCBJcmFuLiYjeEQ7RGVwYXJ0bWVudCBvZiBDb21t
dW5pdHkgTnV0cml0aW9uLCBGYWN1bHR5IG9mIE51dHJpdGlvbiBTY2llbmNlcyBhbmQgRm9vZCBU
ZWNobm9sb2d5LCBOYXRpb25hbCBOdXRyaXRpb24gYW5kIEZvb2QgVGVjaG5vbG9neSBSZXNlYXJj
aCBJbnN0aXR1dGUsIFNoYWhpZCBCZWhlc2h0aSBVbml2ZXJzaXR5IG9mIE1lZGljYWwgU2NpZW5j
ZXMsIFRlaHJhbiwgSXJhbi4mI3hEO0RlcGFydG1lbnQgb2YgUGFyYW1lZGljYWwgU2NpZW5jZXMs
IEFodmF6IEp1bmRpc2hhcHVyIFVuaXZlcnNpdHkgb2YgTWVkaWNhbCBTY2llbmNlcywgQWh2YXos
IElyYW4uJiN4RDtOdXRyaXRpb24gYW5kIEVuZG9jcmluZSBSZXNlYXJjaCBDZW50ZXIsIFJlc2Vh
cmNoIEluc3RpdHV0ZSBmb3IgRW5kb2NyaW5lIFNjaWVuY2VzLCBTaGFoaWQgQmVoZXNodGkgVW5p
dmVyc2l0eSBvZiBNZWRpY2FsIFNjaWVuY2VzLCBUZWhyYW4sIElyYW4uPC9hdXRoLWFkZHJlc3M+
PHRpdGxlcz48dGl0bGU+TWF0ZXJuYWwgZGlldGFyeSBwYXR0ZXJucyBhbmQgZ2VzdGF0aW9uYWwg
ZGlhYmV0ZXMgcmlzazogQSBjYXNlLWNvbnRyb2wgc3R1ZHk8L3RpdGxlPjxzZWNvbmRhcnktdGl0
bGU+SiBEaWFiZXRlcyBSZXM8L3NlY29uZGFyeS10aXRsZT48L3RpdGxlcz48cGVyaW9kaWNhbD48
ZnVsbC10aXRsZT5KIERpYWJldGVzIFJlczwvZnVsbC10aXRsZT48L3BlcmlvZGljYWw+PHBhZ2Vz
PjUxNzM5MjY8L3BhZ2VzPjx2b2x1bWU+MjAxNzwvdm9sdW1lPjxlZGl0aW9uPjIwMTgvMDEvMjU8
L2VkaXRpb24+PGtleXdvcmRzPjxrZXl3b3JkPkFkb2xlc2NlbnQ8L2tleXdvcmQ+PGtleXdvcmQ+
QWR1bHQ8L2tleXdvcmQ+PGtleXdvcmQ+Q2FzZS1Db250cm9sIFN0dWRpZXM8L2tleXdvcmQ+PGtl
eXdvcmQ+RGlhYmV0ZXMsIEdlc3RhdGlvbmFsL2VwaWRlbWlvbG9neS8qZXRpb2xvZ3k8L2tleXdv
cmQ+PGtleXdvcmQ+RGlldC9hZHZlcnNlIGVmZmVjdHM8L2tleXdvcmQ+PGtleXdvcmQ+RGlldCwg
V2VzdGVybi9hZHZlcnNlIGVmZmVjdHMvc3RhdGlzdGljcyAmYW1wOyBudW1lcmljYWwgZGF0YTwv
a2V5d29yZD48a2V5d29yZD5GZWVkaW5nIEJlaGF2aW9yLypwaHlzaW9sb2d5PC9rZXl3b3JkPjxr
ZXl3b3JkPkZlbWFsZTwva2V5d29yZD48a2V5d29yZD5IdW1hbnM8L2tleXdvcmQ+PGtleXdvcmQ+
SXJhbi9lcGlkZW1pb2xvZ3k8L2tleXdvcmQ+PGtleXdvcmQ+Kk1hdGVybmFsIE51dHJpdGlvbmFs
IFBoeXNpb2xvZ2ljYWwgUGhlbm9tZW5hPC9rZXl3b3JkPjxrZXl3b3JkPlByZWduYW5jeTwva2V5
d29yZD48a2V5d29yZD5SaXNrIEZhY3RvcnM8L2tleXdvcmQ+PGtleXdvcmQ+WW91bmcgQWR1bHQ8
L2tleXdvcmQ+PC9rZXl3b3Jkcz48ZGF0ZXM+PHllYXI+MjAxNzwveWVhcj48L2RhdGVzPjxpc2Ju
PjIzMTQtNjc1MyAoRWxlY3Ryb25pYyk8L2lzYm4+PGFjY2Vzc2lvbi1udW0+MjkzNjI3MjA8L2Fj
Y2Vzc2lvbi1udW0+PHVybHM+PHJlbGF0ZWQtdXJscz48dXJsPmh0dHBzOi8vd3d3Lm5jYmkubmxt
Lm5paC5nb3YvcHVibWVkLzI5MzYyNzIwPC91cmw+PC9yZWxhdGVkLXVybHM+PC91cmxzPjxjdXN0
b20yPlBNQzU3MzY5NDA8L2N1c3RvbTI+PGVsZWN0cm9uaWMtcmVzb3VyY2UtbnVtPjEwLjExNTUv
MjAxNy81MTczOTI2PC9lbGVjdHJvbmljLXJlc291cmNlLW51bT48L3JlY29yZD48L0NpdGU+PC9F
bmROb3RlPn==
</w:fldData>
              </w:fldChar>
            </w:r>
            <w:r w:rsidR="002747EA">
              <w:instrText xml:space="preserve"> ADDIN EN.CITE.DATA </w:instrText>
            </w:r>
            <w:r w:rsidR="002747EA">
              <w:fldChar w:fldCharType="end"/>
            </w:r>
            <w:r>
              <w:fldChar w:fldCharType="separate"/>
            </w:r>
            <w:r w:rsidR="002747EA" w:rsidRPr="002747EA">
              <w:rPr>
                <w:noProof/>
                <w:vertAlign w:val="superscript"/>
              </w:rPr>
              <w:t>20</w:t>
            </w:r>
            <w:r>
              <w:fldChar w:fldCharType="end"/>
            </w:r>
          </w:p>
          <w:p w14:paraId="5127F37D" w14:textId="77777777" w:rsidR="004C390A" w:rsidRDefault="004C390A" w:rsidP="00715FEF">
            <w:r>
              <w:t>Iran</w:t>
            </w:r>
          </w:p>
          <w:p w14:paraId="04B4E146" w14:textId="77777777" w:rsidR="004C390A" w:rsidRDefault="004C390A" w:rsidP="00715FEF">
            <w:r>
              <w:t>Case control</w:t>
            </w:r>
          </w:p>
        </w:tc>
        <w:tc>
          <w:tcPr>
            <w:tcW w:w="992" w:type="dxa"/>
            <w:tcBorders>
              <w:top w:val="single" w:sz="4" w:space="0" w:color="auto"/>
              <w:left w:val="single" w:sz="4" w:space="0" w:color="auto"/>
              <w:bottom w:val="single" w:sz="4" w:space="0" w:color="auto"/>
              <w:right w:val="single" w:sz="4" w:space="0" w:color="auto"/>
            </w:tcBorders>
          </w:tcPr>
          <w:p w14:paraId="2A32EC42" w14:textId="77777777" w:rsidR="004C390A" w:rsidRDefault="004C390A" w:rsidP="00715FEF">
            <w:r>
              <w:t>122 cases</w:t>
            </w:r>
          </w:p>
          <w:p w14:paraId="7E9E71CB" w14:textId="77777777" w:rsidR="004C390A" w:rsidRDefault="004C390A" w:rsidP="00715FEF">
            <w:r>
              <w:t>266 control</w:t>
            </w:r>
          </w:p>
        </w:tc>
        <w:tc>
          <w:tcPr>
            <w:tcW w:w="4961" w:type="dxa"/>
            <w:tcBorders>
              <w:top w:val="single" w:sz="4" w:space="0" w:color="auto"/>
              <w:left w:val="single" w:sz="4" w:space="0" w:color="auto"/>
              <w:bottom w:val="single" w:sz="4" w:space="0" w:color="auto"/>
              <w:right w:val="single" w:sz="4" w:space="0" w:color="auto"/>
            </w:tcBorders>
          </w:tcPr>
          <w:p w14:paraId="1F808670" w14:textId="77777777" w:rsidR="004C390A" w:rsidRDefault="004C390A" w:rsidP="00715FEF">
            <w:r>
              <w:rPr>
                <w:b/>
              </w:rPr>
              <w:t xml:space="preserve">Aim: </w:t>
            </w:r>
            <w:r>
              <w:t>T</w:t>
            </w:r>
            <w:r w:rsidRPr="00B634DC">
              <w:t xml:space="preserve">o explore </w:t>
            </w:r>
            <w:r>
              <w:t>the</w:t>
            </w:r>
            <w:r w:rsidRPr="00B634DC">
              <w:t xml:space="preserve"> association</w:t>
            </w:r>
            <w:r>
              <w:t xml:space="preserve"> between dietary pattern and risk of gestational diabetes</w:t>
            </w:r>
            <w:r w:rsidRPr="00B634DC">
              <w:t xml:space="preserve">. </w:t>
            </w:r>
          </w:p>
          <w:p w14:paraId="20B23CBF" w14:textId="77777777" w:rsidR="004C390A" w:rsidRPr="00572E2A" w:rsidRDefault="004C390A" w:rsidP="00715FEF">
            <w:pPr>
              <w:rPr>
                <w:b/>
              </w:rPr>
            </w:pPr>
            <w:r w:rsidRPr="00B634DC">
              <w:rPr>
                <w:b/>
              </w:rPr>
              <w:t>Method</w:t>
            </w:r>
            <w:r w:rsidRPr="00B634DC">
              <w:t xml:space="preserve">: Dietary intake </w:t>
            </w:r>
            <w:r>
              <w:t>was</w:t>
            </w:r>
            <w:r w:rsidRPr="00B634DC">
              <w:t xml:space="preserve"> collected using a food frequency questionnaire (FFQ). GDM was diagnosed using a 100-gram, 3-hour oral glucose tolerance test. Dietary pattern was identified by factor analysis. To investigate the relation between each of the independent variables with gestational diabetes, the </w:t>
            </w:r>
            <w:r>
              <w:t>odds ratio (OR) was calculated.</w:t>
            </w:r>
          </w:p>
        </w:tc>
        <w:tc>
          <w:tcPr>
            <w:tcW w:w="4536" w:type="dxa"/>
            <w:tcBorders>
              <w:top w:val="single" w:sz="4" w:space="0" w:color="auto"/>
              <w:left w:val="single" w:sz="4" w:space="0" w:color="auto"/>
              <w:bottom w:val="single" w:sz="4" w:space="0" w:color="auto"/>
              <w:right w:val="single" w:sz="4" w:space="0" w:color="auto"/>
            </w:tcBorders>
          </w:tcPr>
          <w:p w14:paraId="70D13EDB" w14:textId="77777777" w:rsidR="004C390A" w:rsidRPr="00B634DC" w:rsidRDefault="004C390A" w:rsidP="00715FEF">
            <w:r w:rsidRPr="00B634DC">
              <w:t>Western dietary pattern was high in sweets, jams, mayonnaise, soft drinks, salty snacks, solid fat, high-fat dairy products, potatoes, organ meat, eggs, red meat, processed foods, tea, and coffee. The prudent</w:t>
            </w:r>
            <w:r>
              <w:t xml:space="preserve"> dietary pattern was characteris</w:t>
            </w:r>
            <w:r w:rsidRPr="00B634DC">
              <w:t>ed by higher intake of liquid oils, legumes, nuts and seeds, fruits and dried fruits, fish and poultry whole, and refined grains. Western dietary pattern was associated with increased risk of gestational diabetes mellitus before and after a</w:t>
            </w:r>
            <w:r>
              <w:t>djustment for confounders (OR 1.97, 95%CI</w:t>
            </w:r>
            <w:r w:rsidRPr="00B634DC">
              <w:t xml:space="preserve"> 1.27</w:t>
            </w:r>
            <w:r>
              <w:t xml:space="preserve"> to </w:t>
            </w:r>
            <w:r w:rsidRPr="00B634DC">
              <w:t xml:space="preserve">3.04, </w:t>
            </w:r>
            <w:r>
              <w:t>a</w:t>
            </w:r>
            <w:r w:rsidRPr="00B634DC">
              <w:t xml:space="preserve">OR </w:t>
            </w:r>
            <w:r>
              <w:t>1.68, 95%CI</w:t>
            </w:r>
            <w:r w:rsidRPr="00B634DC">
              <w:t xml:space="preserve"> 1.04</w:t>
            </w:r>
            <w:r>
              <w:t xml:space="preserve"> to </w:t>
            </w:r>
            <w:r w:rsidRPr="00B634DC">
              <w:t>2.27). However, no significant association was found for a prudent pattern.</w:t>
            </w:r>
          </w:p>
        </w:tc>
        <w:tc>
          <w:tcPr>
            <w:tcW w:w="1843" w:type="dxa"/>
            <w:tcBorders>
              <w:top w:val="single" w:sz="4" w:space="0" w:color="auto"/>
              <w:left w:val="single" w:sz="4" w:space="0" w:color="auto"/>
              <w:bottom w:val="single" w:sz="4" w:space="0" w:color="auto"/>
              <w:right w:val="single" w:sz="4" w:space="0" w:color="auto"/>
            </w:tcBorders>
          </w:tcPr>
          <w:p w14:paraId="26653EBD" w14:textId="77777777" w:rsidR="004C390A" w:rsidRPr="00C8357D" w:rsidRDefault="004C390A" w:rsidP="00715FEF"/>
        </w:tc>
      </w:tr>
      <w:tr w:rsidR="004C390A" w:rsidRPr="00C8357D" w14:paraId="3C715901" w14:textId="77777777" w:rsidTr="004C390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0"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36D3245F" w14:textId="591179A1" w:rsidR="004C390A" w:rsidRDefault="004C390A" w:rsidP="00715FEF">
            <w:r>
              <w:t>Shin et al 2015</w:t>
            </w:r>
            <w:r>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 </w:instrText>
            </w:r>
            <w:r w:rsidR="002747EA">
              <w:fldChar w:fldCharType="begin">
                <w:fldData xml:space="preserve">PEVuZE5vdGU+PENpdGU+PEF1dGhvcj5TaGluPC9BdXRob3I+PFllYXI+MjAxNTwvWWVhcj48UmVj
TnVtPjE0ODA8L1JlY051bT48RGlzcGxheVRleHQ+PHN0eWxlIGZhY2U9InN1cGVyc2NyaXB0IiBm
b250PSJUcmVidWNoZXQgTVMiIHNpemU9IjkiPjE4PC9zdHlsZT48L0Rpc3BsYXlUZXh0PjxyZWNv
cmQ+PHJlYy1udW1iZXI+MTQ4MDwvcmVjLW51bWJlcj48Zm9yZWlnbi1rZXlzPjxrZXkgYXBwPSJF
TiIgZGItaWQ9ImV4dmFzcmZ4MmR0cmFvZXNhc3hwMnN6c3hhMmRmNTAyNTkyeCIgdGltZXN0YW1w
PSIxNTc0MDM5Njg2Ij4xNDgwPC9rZXk+PGtleSBhcHA9IkVOV2ViIiBkYi1pZD0iIj4wPC9rZXk+
PC9mb3JlaWduLWtleXM+PHJlZi10eXBlIG5hbWU9IkpvdXJuYWwgQXJ0aWNsZSI+MTc8L3JlZi10
eXBlPjxjb250cmlidXRvcnM+PGF1dGhvcnM+PGF1dGhvcj5TaGluLCBELjwvYXV0aG9yPjxhdXRo
b3I+TGVlLCBLLiBXLjwvYXV0aG9yPjxhdXRob3I+U29uZywgVy4gTy48L2F1dGhvcj48L2F1dGhv
cnM+PC9jb250cmlidXRvcnM+PGF1dGgtYWRkcmVzcz5EZXBhcnRtZW50IG9mIEZvb2QgU2NpZW5j
ZSBhbmQgSHVtYW4gTnV0cml0aW9uLCBNaWNoaWdhbiBTdGF0ZSBVbml2ZXJzaXR5LCA0NjkgV2ls
c29uIFJvYWQsIFRyb3V0IEZTSE4gQnVpbGRpbmcsIEVhc3QgTGFuc2luZywgTUkgNDg4MjQsIFVT
QS4gc2hpbmRhQG1zdS5lZHUuJiN4RDtEZXBhcnRtZW50IG9mIEZvb2QgU2NpZW5jZSBhbmQgSHVt
YW4gTnV0cml0aW9uLCBNaWNoaWdhbiBTdGF0ZSBVbml2ZXJzaXR5LCA0NjkgV2lsc29uIFJvYWQs
IFRyb3V0IEZTSE4gQnVpbGRpbmcsIEVhc3QgTGFuc2luZywgTUkgNDg4MjQsIFVTQS4ga3l1bmd3
b25AbXN1LmVkdS4mI3hEO0RlcGFydG1lbnQgb2YgRm9vZCBTY2llbmNlIGFuZCBIdW1hbiBOdXRy
aXRpb24sIE1pY2hpZ2FuIFN0YXRlIFVuaXZlcnNpdHksIDQ2OSBXaWxzb24gUm9hZCwgVHJvdXQg
RlNITiBCdWlsZGluZywgRWFzdCBMYW5zaW5nLCBNSSA0ODgyNCwgVVNBLiBzb25nQG1zdS5lZHUu
PC9hdXRoLWFkZHJlc3M+PHRpdGxlcz48dGl0bGU+RGlldGFyeSBwYXR0ZXJucyBkdXJpbmcgcHJl
Z25hbmN5IGFyZSBhc3NvY2lhdGVkIHdpdGggcmlzayBvZiBnZXN0YXRpb25hbCBkaWFiZXRlcyBt
ZWxsaXR1czwvdGl0bGU+PHNlY29uZGFyeS10aXRsZT5OdXRyaWVudHM8L3NlY29uZGFyeS10aXRs
ZT48L3RpdGxlcz48cGVyaW9kaWNhbD48ZnVsbC10aXRsZT5OdXRyaWVudHM8L2Z1bGwtdGl0bGU+
PC9wZXJpb2RpY2FsPjxwYWdlcz45MzY5LTgyPC9wYWdlcz48dm9sdW1lPjc8L3ZvbHVtZT48bnVt
YmVyPjExPC9udW1iZXI+PGVkaXRpb24+MjAxNS8xMS8xNzwvZWRpdGlvbj48a2V5d29yZHM+PGtl
eXdvcmQ+QWRvbGVzY2VudDwva2V5d29yZD48a2V5d29yZD5BZHVsdDwva2V5d29yZD48a2V5d29y
ZD5CaW9tYXJrZXJzL2Jsb29kPC9rZXl3b3JkPjxrZXl3b3JkPkJsb29kIEdsdWNvc2UvbWV0YWJv
bGlzbTwva2V5d29yZD48a2V5d29yZD5Cb2R5IE1hc3MgSW5kZXg8L2tleXdvcmQ+PGtleXdvcmQ+
Qy1SZWFjdGl2ZSBQcm90ZWluL21ldGFib2xpc208L2tleXdvcmQ+PGtleXdvcmQ+Q3Jvc3MtU2Vj
dGlvbmFsIFN0dWRpZXM8L2tleXdvcmQ+PGtleXdvcmQ+RGlhYmV0ZXMsIEdlc3RhdGlvbmFsPC9r
ZXl3b3JkPjxrZXl3b3JkPipEaWV0PC9rZXl3b3JkPjxrZXl3b3JkPkRpZXRhcnkgRmliZXIvYWRt
aW5pc3RyYXRpb24gJmFtcDsgZG9zYWdlPC9rZXl3b3JkPjxrZXl3b3JkPkVuZXJneSBJbnRha2U8
L2tleXdvcmQ+PGtleXdvcmQ+RmF0dHkgQWNpZHMvYWRtaW5pc3RyYXRpb24gJmFtcDsgZG9zYWdl
PC9rZXl3b3JkPjxrZXl3b3JkPkZhdHR5IEFjaWRzLCBNb25vdW5zYXR1cmF0ZWQvYWRtaW5pc3Ry
YXRpb24gJmFtcDsgZG9zYWdlPC9rZXl3b3JkPjxrZXl3b3JkPkZlbWFsZTwva2V5d29yZD48a2V5
d29yZD5GcnVpdDwva2V5d29yZD48a2V5d29yZD5IdW1hbnM8L2tleXdvcmQ+PGtleXdvcmQ+TG9n
aXN0aWMgTW9kZWxzPC9rZXl3b3JkPjxrZXl3b3JkPipNYXRlcm5hbCBOdXRyaXRpb25hbCBQaHlz
aW9sb2dpY2FsIFBoZW5vbWVuYTwva2V5d29yZD48a2V5d29yZD5NZW50YWwgUmVjYWxsPC9rZXl3
b3JkPjxrZXl3b3JkPk1vdG9yIEFjdGl2aXR5PC9rZXl3b3JkPjxrZXl3b3JkPk51dHJpdGlvbiBB
c3Nlc3NtZW50PC9rZXl3b3JkPjxrZXl3b3JkPk51dHJpdGlvbiBTdXJ2ZXlzPC9rZXl3b3JkPjxr
ZXl3b3JkPlByZWduYW5jeTwva2V5d29yZD48a2V5d29yZD5SaXNrIEZhY3RvcnM8L2tleXdvcmQ+
PGtleXdvcmQ+U29jaW9lY29ub21pYyBGYWN0b3JzPC9rZXl3b3JkPjxrZXl3b3JkPlVuaXRlZCBT
dGF0ZXM8L2tleXdvcmQ+PGtleXdvcmQ+VmVnZXRhYmxlczwva2V5d29yZD48a2V5d29yZD5XZWln
aHQgR2Fpbjwva2V5d29yZD48a2V5d29yZD5Zb3VuZyBBZHVsdDwva2V5d29yZD48a2V5d29yZD5O
YXRpb25hbCBIZWFsdGggYW5kIE51dHJpdGlvbiBFeGFtaW5hdGlvbiBTdXJ2ZXk8L2tleXdvcmQ+
PGtleXdvcmQ+ZGlldGFyeSBwYXR0ZXJuczwva2V5d29yZD48a2V5d29yZD5nZXN0YXRpb25hbCBk
aWFiZXRlcyBtZWxsaXR1czwva2V5d29yZD48a2V5d29yZD5yZWR1Y2VkIHJhbmsgcmVncmVzc2lv
bjwva2V5d29yZD48L2tleXdvcmRzPjxkYXRlcz48eWVhcj4yMDE1PC95ZWFyPjxwdWItZGF0ZXM+
PGRhdGU+Tm92IDEyPC9kYXRlPjwvcHViLWRhdGVzPjwvZGF0ZXM+PGlzYm4+MjA3Mi02NjQzIChF
bGVjdHJvbmljKSYjeEQ7MjA3Mi02NjQzIChMaW5raW5nKTwvaXNibj48YWNjZXNzaW9uLW51bT4y
NjU2OTMwMjwvYWNjZXNzaW9uLW51bT48dXJscz48cmVsYXRlZC11cmxzPjx1cmw+aHR0cHM6Ly93
d3cubmNiaS5ubG0ubmloLmdvdi9wdWJtZWQvMjY1NjkzMDI8L3VybD48L3JlbGF0ZWQtdXJscz48
L3VybHM+PGN1c3RvbTI+UE1DNDY2MzYwMDwvY3VzdG9tMj48ZWxlY3Ryb25pYy1yZXNvdXJjZS1u
dW0+MTAuMzM5MC9udTcxMTU0NzI8L2VsZWN0cm9uaWMtcmVzb3VyY2UtbnVtPjwvcmVjb3JkPjwv
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18</w:t>
            </w:r>
            <w:r>
              <w:fldChar w:fldCharType="end"/>
            </w:r>
          </w:p>
          <w:p w14:paraId="5D271093" w14:textId="77777777" w:rsidR="004C390A" w:rsidRDefault="004C390A" w:rsidP="00715FEF">
            <w:r>
              <w:t xml:space="preserve">United States </w:t>
            </w:r>
          </w:p>
          <w:p w14:paraId="3EB3BCDB" w14:textId="77777777" w:rsidR="004C390A" w:rsidRDefault="004C390A" w:rsidP="00715FEF">
            <w:r>
              <w:t>Cohort</w:t>
            </w:r>
          </w:p>
        </w:tc>
        <w:tc>
          <w:tcPr>
            <w:tcW w:w="992"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1060F527" w14:textId="77777777" w:rsidR="004C390A" w:rsidRDefault="004C390A" w:rsidP="00715FEF">
            <w:r>
              <w:t>249 women</w:t>
            </w:r>
          </w:p>
        </w:tc>
        <w:tc>
          <w:tcPr>
            <w:tcW w:w="4961"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72A9999B" w14:textId="77777777" w:rsidR="004C390A" w:rsidRDefault="004C390A" w:rsidP="00715FEF">
            <w:r>
              <w:rPr>
                <w:b/>
              </w:rPr>
              <w:t xml:space="preserve">Aim: </w:t>
            </w:r>
            <w:r>
              <w:t>T</w:t>
            </w:r>
            <w:r w:rsidRPr="00F44E77">
              <w:t xml:space="preserve">o identify dietary patterns during pregnancy that are associated with GDM risk in pregnant women. </w:t>
            </w:r>
          </w:p>
          <w:p w14:paraId="6F76B13D" w14:textId="77777777" w:rsidR="004C390A" w:rsidRDefault="004C390A" w:rsidP="00590A9E">
            <w:pPr>
              <w:rPr>
                <w:b/>
              </w:rPr>
            </w:pPr>
            <w:r w:rsidRPr="00F44E77">
              <w:rPr>
                <w:b/>
              </w:rPr>
              <w:t>Methods</w:t>
            </w:r>
            <w:r>
              <w:t xml:space="preserve">: </w:t>
            </w:r>
            <w:r w:rsidRPr="00F44E77">
              <w:t>Food items were aggregated into 28 food groups based on Food Patterns Equivalents Database. Three dietary patterns were identified by reduced rank regression with responses including prepregnancy body</w:t>
            </w:r>
            <w:r>
              <w:t xml:space="preserve"> mass index (BMI), dietary fibre</w:t>
            </w:r>
            <w:r w:rsidRPr="00F44E77">
              <w:t xml:space="preserve">, and ratio of poly- and monounsaturated fatty acids to saturated fatty acid: "high refined grains, fats, oils and fruit juice", "high nuts, seeds, fat and soybean; low milk and cheese", and "high added sugar and organ meats; low fruits, vegetables and seafood". GDM was diagnosed using fasting plasma glucose levels &gt;/=5.1 mmol/L for gestation &lt;24 weeks. </w:t>
            </w:r>
          </w:p>
        </w:tc>
        <w:tc>
          <w:tcPr>
            <w:tcW w:w="4536"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377A5A96" w14:textId="77777777" w:rsidR="004C390A" w:rsidRPr="00B634DC" w:rsidRDefault="004C390A" w:rsidP="00F2714D">
            <w:r w:rsidRPr="00F44E77">
              <w:t>Multivariable AOR (95% CIs) of GDM for comparisons between the highest vs</w:t>
            </w:r>
            <w:r>
              <w:t xml:space="preserve">. lowest tertiles were 4.9 (1.4 to </w:t>
            </w:r>
            <w:r w:rsidRPr="00F44E77">
              <w:t>17.0) for "high refined grains, fats, oils and</w:t>
            </w:r>
            <w:r>
              <w:t xml:space="preserve"> fruit juice" pattern, 7.5 (1.8 to </w:t>
            </w:r>
            <w:r w:rsidRPr="00F44E77">
              <w:t>32.3) for "high nuts, seeds, fat and soybean; low milk and</w:t>
            </w:r>
            <w:r>
              <w:t xml:space="preserve"> cheese" pattern, and 22.3 (3.9 to </w:t>
            </w:r>
            <w:r w:rsidRPr="00F44E77">
              <w:t xml:space="preserve">127.4) for "high added sugar and organ meats; low fruits, vegetables and seafood" pattern after controlling for maternal sociodemographic variables, prepregnancy BMI, gestational weight gain, energy intake and log-transformed CRP. </w:t>
            </w:r>
          </w:p>
        </w:tc>
        <w:tc>
          <w:tcPr>
            <w:tcW w:w="1843"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6BF1F5D8" w14:textId="77777777" w:rsidR="004C390A" w:rsidRPr="00C8357D" w:rsidRDefault="004C390A" w:rsidP="00715FEF"/>
        </w:tc>
      </w:tr>
      <w:tr w:rsidR="004C390A" w:rsidRPr="007B3A77" w14:paraId="2DF173CA" w14:textId="77777777" w:rsidTr="004C390A">
        <w:trPr>
          <w:cantSplit/>
          <w:trHeight w:val="390"/>
        </w:trPr>
        <w:tc>
          <w:tcPr>
            <w:tcW w:w="1560" w:type="dxa"/>
          </w:tcPr>
          <w:p w14:paraId="637046D0" w14:textId="64057564" w:rsidR="004C390A" w:rsidRDefault="004C390A" w:rsidP="007B3A77">
            <w:r>
              <w:t>Van den Broek et al 2015</w:t>
            </w:r>
            <w:r>
              <w:fldChar w:fldCharType="begin"/>
            </w:r>
            <w:r w:rsidR="002747EA">
              <w:instrText xml:space="preserve"> ADDIN EN.CITE &lt;EndNote&gt;&lt;Cite&gt;&lt;Author&gt;van den Broek&lt;/Author&gt;&lt;Year&gt;2015&lt;/Year&gt;&lt;RecNum&gt;1482&lt;/RecNum&gt;&lt;DisplayText&gt;&lt;style face="superscript" font="Trebuchet MS" size="9"&gt;39&lt;/style&gt;&lt;/DisplayText&gt;&lt;record&gt;&lt;rec-number&gt;1482&lt;/rec-number&gt;&lt;foreign-keys&gt;&lt;key app="EN" db-id="exvasrfx2dtraoesasxp2szsxa2df502592x" timestamp="1574039699"&gt;1482&lt;/key&gt;&lt;key app="ENWeb" db-id=""&gt;0&lt;/key&gt;&lt;/foreign-keys&gt;&lt;ref-type name="Journal Article"&gt;17&lt;/ref-type&gt;&lt;contributors&gt;&lt;authors&gt;&lt;author&gt;van den Broek, Marion&lt;/author&gt;&lt;author&gt;Leermakers, Elisabeth T. M.&lt;/author&gt;&lt;author&gt;Jaddoe, Vincent W. V.&lt;/author&gt;&lt;author&gt;Steegers, Eric A. P.&lt;/author&gt;&lt;author&gt;Rivadeneira, Fernando&lt;/author&gt;&lt;author&gt;Raat, Hein&lt;/author&gt;&lt;author&gt;Hofman, Albert&lt;/author&gt;&lt;author&gt;Franco, Oscar H.&lt;/author&gt;&lt;author&gt;Kiefte-de Jong, Jessica C.&lt;/author&gt;&lt;/authors&gt;&lt;/contributors&gt;&lt;titles&gt;&lt;title&gt;Maternal dietary patterns during pregnancy and body composition of the child at age 6 y: the Generation R Study&lt;/title&gt;&lt;secondary-title&gt;The American Journal of Clinical Nutrition&lt;/secondary-title&gt;&lt;/titles&gt;&lt;periodical&gt;&lt;full-title&gt;The American Journal of Clinical Nutrition&lt;/full-title&gt;&lt;/periodical&gt;&lt;pages&gt;873-880&lt;/pages&gt;&lt;volume&gt;102&lt;/volume&gt;&lt;number&gt;4&lt;/number&gt;&lt;section&gt;873&lt;/section&gt;&lt;dates&gt;&lt;year&gt;2015&lt;/year&gt;&lt;/dates&gt;&lt;isbn&gt;0002-9165&amp;#xD;1938-3207&lt;/isbn&gt;&lt;urls&gt;&lt;/urls&gt;&lt;electronic-resource-num&gt;10.3945/ajcn.114.102905&lt;/electronic-resource-num&gt;&lt;/record&gt;&lt;/Cite&gt;&lt;/EndNote&gt;</w:instrText>
            </w:r>
            <w:r>
              <w:fldChar w:fldCharType="separate"/>
            </w:r>
            <w:r w:rsidR="002747EA" w:rsidRPr="002747EA">
              <w:rPr>
                <w:noProof/>
                <w:vertAlign w:val="superscript"/>
              </w:rPr>
              <w:t>39</w:t>
            </w:r>
            <w:r>
              <w:fldChar w:fldCharType="end"/>
            </w:r>
          </w:p>
          <w:p w14:paraId="65599664" w14:textId="77777777" w:rsidR="004C390A" w:rsidRDefault="004C390A" w:rsidP="007B3A77">
            <w:r>
              <w:t>Denmark</w:t>
            </w:r>
          </w:p>
          <w:p w14:paraId="38EB6BB2" w14:textId="77777777" w:rsidR="004C390A" w:rsidRDefault="004C390A" w:rsidP="007B3A77">
            <w:r>
              <w:t>Cohort</w:t>
            </w:r>
          </w:p>
        </w:tc>
        <w:tc>
          <w:tcPr>
            <w:tcW w:w="992" w:type="dxa"/>
          </w:tcPr>
          <w:p w14:paraId="3A8F5EAF" w14:textId="77777777" w:rsidR="004C390A" w:rsidRPr="00B24E86" w:rsidRDefault="004C390A" w:rsidP="00B24E86">
            <w:r>
              <w:t>2,695 mother-child pairs</w:t>
            </w:r>
          </w:p>
        </w:tc>
        <w:tc>
          <w:tcPr>
            <w:tcW w:w="4961" w:type="dxa"/>
          </w:tcPr>
          <w:p w14:paraId="2930434E" w14:textId="77777777" w:rsidR="004C390A" w:rsidRDefault="004C390A" w:rsidP="00D8594E">
            <w:r>
              <w:rPr>
                <w:b/>
              </w:rPr>
              <w:t xml:space="preserve">Aim: </w:t>
            </w:r>
            <w:r>
              <w:t>T</w:t>
            </w:r>
            <w:r w:rsidRPr="00D8594E">
              <w:t>o examine whether maternal dietary patterns</w:t>
            </w:r>
            <w:r>
              <w:t xml:space="preserve"> </w:t>
            </w:r>
            <w:r w:rsidRPr="00D8594E">
              <w:t>during pregnancy are associated with body composition of the child</w:t>
            </w:r>
            <w:r>
              <w:t xml:space="preserve"> </w:t>
            </w:r>
            <w:r w:rsidRPr="00D8594E">
              <w:t>at age 6 y</w:t>
            </w:r>
            <w:r>
              <w:t>ears</w:t>
            </w:r>
            <w:r w:rsidRPr="00D8594E">
              <w:t>.</w:t>
            </w:r>
            <w:r>
              <w:t xml:space="preserve"> </w:t>
            </w:r>
          </w:p>
          <w:p w14:paraId="3B92D81C" w14:textId="496A71D1" w:rsidR="004C390A" w:rsidRPr="001638BB" w:rsidRDefault="004C390A" w:rsidP="00D8594E">
            <w:pPr>
              <w:rPr>
                <w:b/>
              </w:rPr>
            </w:pPr>
            <w:r w:rsidRPr="00D8594E">
              <w:rPr>
                <w:b/>
              </w:rPr>
              <w:t>Methods</w:t>
            </w:r>
            <w:r w:rsidRPr="00D8594E">
              <w:t>: Maternal diet was assessed in early pregnancy by</w:t>
            </w:r>
            <w:r>
              <w:t xml:space="preserve"> </w:t>
            </w:r>
            <w:r w:rsidRPr="00D8594E">
              <w:t>a 293-item semiquantitative food-frequency questionnaire. Vegetable,</w:t>
            </w:r>
            <w:r>
              <w:t xml:space="preserve"> </w:t>
            </w:r>
            <w:r w:rsidRPr="00D8594E">
              <w:t>fish, and oil; nuts, soy, and high-</w:t>
            </w:r>
            <w:r w:rsidR="00501148" w:rsidRPr="00D8594E">
              <w:t>fibre</w:t>
            </w:r>
            <w:r w:rsidRPr="00D8594E">
              <w:t xml:space="preserve"> cereals; and margarine, snacks,</w:t>
            </w:r>
            <w:r>
              <w:t xml:space="preserve"> </w:t>
            </w:r>
            <w:r w:rsidRPr="00D8594E">
              <w:t>and sugar dietary patterns were derived from principal component</w:t>
            </w:r>
            <w:r>
              <w:t xml:space="preserve"> </w:t>
            </w:r>
            <w:r w:rsidRPr="00D8594E">
              <w:t>analysis.</w:t>
            </w:r>
            <w:r>
              <w:t xml:space="preserve"> </w:t>
            </w:r>
            <w:r w:rsidRPr="00D8594E">
              <w:t>We measured weight and height of the child at age 6 y. Total body fat and regional fat mass percentages of</w:t>
            </w:r>
            <w:r>
              <w:t xml:space="preserve"> </w:t>
            </w:r>
            <w:r w:rsidRPr="00D8594E">
              <w:t>the child were assessed with dual-energy X-ray absorptiometry.</w:t>
            </w:r>
            <w:r>
              <w:t xml:space="preserve"> </w:t>
            </w:r>
          </w:p>
        </w:tc>
        <w:tc>
          <w:tcPr>
            <w:tcW w:w="4536" w:type="dxa"/>
          </w:tcPr>
          <w:p w14:paraId="0B797CAC" w14:textId="77777777" w:rsidR="004C390A" w:rsidRDefault="004C390A" w:rsidP="00D8594E">
            <w:r w:rsidRPr="00D8594E">
              <w:t>In the crude models, statistically significant associations</w:t>
            </w:r>
            <w:r>
              <w:t xml:space="preserve"> </w:t>
            </w:r>
            <w:r w:rsidRPr="00D8594E">
              <w:t>were found for higher adherence to the vegetable, fish, and oil dietary</w:t>
            </w:r>
            <w:r>
              <w:t xml:space="preserve"> </w:t>
            </w:r>
            <w:r w:rsidRPr="00D8594E">
              <w:t>pattern a</w:t>
            </w:r>
            <w:r>
              <w:t>nd the nuts, soy, and high-fibre</w:t>
            </w:r>
            <w:r w:rsidRPr="00D8594E">
              <w:t xml:space="preserve"> cereals dietary pattern</w:t>
            </w:r>
            <w:r>
              <w:t xml:space="preserve"> </w:t>
            </w:r>
            <w:r w:rsidRPr="00D8594E">
              <w:t>with lower body mass index, lower fat mass index, and lower risk of</w:t>
            </w:r>
            <w:r>
              <w:t xml:space="preserve"> </w:t>
            </w:r>
            <w:r w:rsidRPr="00D8594E">
              <w:t>being overweight, but none of these associations remained significant</w:t>
            </w:r>
            <w:r>
              <w:t xml:space="preserve"> </w:t>
            </w:r>
            <w:r w:rsidRPr="00D8594E">
              <w:t>after adjustment for sociodemographic and lifestyle factors.</w:t>
            </w:r>
          </w:p>
          <w:p w14:paraId="4EB0856F" w14:textId="77777777" w:rsidR="004C390A" w:rsidRPr="001638BB" w:rsidRDefault="004C390A" w:rsidP="00D8594E">
            <w:r w:rsidRPr="00D8594E">
              <w:t>We</w:t>
            </w:r>
            <w:r>
              <w:t xml:space="preserve"> </w:t>
            </w:r>
            <w:r w:rsidRPr="00D8594E">
              <w:t>found no associations between the margarine, snacks, and sugar</w:t>
            </w:r>
            <w:r>
              <w:t xml:space="preserve"> </w:t>
            </w:r>
            <w:r w:rsidRPr="00D8594E">
              <w:t>dietary pattern and any of the outcomes.</w:t>
            </w:r>
            <w:r>
              <w:t xml:space="preserve"> </w:t>
            </w:r>
          </w:p>
        </w:tc>
        <w:tc>
          <w:tcPr>
            <w:tcW w:w="1843" w:type="dxa"/>
          </w:tcPr>
          <w:p w14:paraId="64FBE0F1" w14:textId="77777777" w:rsidR="004C390A" w:rsidRPr="007B3A77" w:rsidRDefault="004C390A" w:rsidP="00C56FF8"/>
        </w:tc>
      </w:tr>
      <w:tr w:rsidR="004C390A" w:rsidRPr="007B3A77" w14:paraId="57F35BAA" w14:textId="77777777" w:rsidTr="004C390A">
        <w:trPr>
          <w:cantSplit/>
          <w:trHeight w:val="390"/>
        </w:trPr>
        <w:tc>
          <w:tcPr>
            <w:tcW w:w="1560" w:type="dxa"/>
          </w:tcPr>
          <w:p w14:paraId="22F3D7FD" w14:textId="00119C13" w:rsidR="004C390A" w:rsidRDefault="004C390A" w:rsidP="003F03D5">
            <w:r w:rsidRPr="003F03D5">
              <w:t>Zareei</w:t>
            </w:r>
            <w:r>
              <w:t xml:space="preserve"> et al 2018</w:t>
            </w:r>
            <w:r>
              <w:fldChar w:fldCharType="begin">
                <w:fldData xml:space="preserve">PEVuZE5vdGU+PENpdGU+PEF1dGhvcj5aYXJlZWk8L0F1dGhvcj48WWVhcj4yMDE4PC9ZZWFyPjxS
ZWNOdW0+MTQ4NDwvUmVjTnVtPjxEaXNwbGF5VGV4dD48c3R5bGUgZmFjZT0ic3VwZXJzY3JpcHQi
IGZvbnQ9IlRyZWJ1Y2hldCBNUyIgc2l6ZT0iOSI+MjE8L3N0eWxlPjwvRGlzcGxheVRleHQ+PHJl
Y29yZD48cmVjLW51bWJlcj4xNDg0PC9yZWMtbnVtYmVyPjxmb3JlaWduLWtleXM+PGtleSBhcHA9
IkVOIiBkYi1pZD0iZXh2YXNyZngyZHRyYW9lc2FzeHAyc3pzeGEyZGY1MDI1OTJ4IiB0aW1lc3Rh
bXA9IjE1NzQwMzk3MTIiPjE0ODQ8L2tleT48a2V5IGFwcD0iRU5XZWIiIGRiLWlkPSIiPjA8L2tl
eT48L2ZvcmVpZ24ta2V5cz48cmVmLXR5cGUgbmFtZT0iSm91cm5hbCBBcnRpY2xlIj4xNzwvcmVm
LXR5cGU+PGNvbnRyaWJ1dG9ycz48YXV0aG9ycz48YXV0aG9yPlphcmVlaSwgUy48L2F1dGhvcj48
YXV0aG9yPkhvbWF5b3VuZmFyLCBSLjwvYXV0aG9yPjxhdXRob3I+TmFnaGl6YWRlaCwgTS4gTS48
L2F1dGhvcj48YXV0aG9yPkVocmFtcG91c2gsIEUuPC9hdXRob3I+PGF1dGhvcj5SYWhpbWksIE0u
PC9hdXRob3I+PC9hdXRob3JzPjwvY29udHJpYnV0b3JzPjxhdXRoLWFkZHJlc3M+U3R1ZGVudCBS
ZXNlYXJjaCBDb21taXR0ZWUsIEZhc2EgVW5pdmVyc2l0eSBvZiBNZWRpY2FsIFNjaWVuY2VzLCBG
YXNhLCBJcmFuLiYjeEQ7Tm9uY29tbXVuaWNhYmxlIERpc2Vhc2VzIFJlc2VhcmNoIENlbnRlciwg
RmFzYSBVbml2ZXJzaXR5IG9mIE1lZGljYWwgU2NpZW5jZXMsIEZhc2EsIElyYW47IEhlYWx0aCBQ
b2xpY3kgUmVzZWFyY2ggQ2VudGVyLCBJbnN0aXR1dGUgb2YgSGVhbHRoLCBTaGlyYXogVW5pdmVy
c2l0eSBvZiBNZWRpY2FsIFNjaWVuY2VzLCBTaGlyYXosIElyYW4uIEVsZWN0cm9uaWMgYWRkcmVz
czogaG9tYXlvdW5mYXJAc2JtdS5hYy5pci4mI3hEO05vbmNvbW11bmljYWJsZSBEaXNlYXNlcyBS
ZXNlYXJjaCBDZW50ZXIsIEZhc2EgVW5pdmVyc2l0eSBvZiBNZWRpY2FsIFNjaWVuY2VzLCBGYXNh
LCBJcmFuLiYjeEQ7Tm9uY29tbXVuaWNhYmxlIERpc2Vhc2VzIFJlc2VhcmNoIENlbnRlciwgRmFz
YSBVbml2ZXJzaXR5IG9mIE1lZGljYWwgU2NpZW5jZXMsIEZhc2EsIElyYW47IEhlYWx0aCBQb2xp
Y3kgUmVzZWFyY2ggQ2VudGVyLCBJbnN0aXR1dGUgb2YgSGVhbHRoLCBTaGlyYXogVW5pdmVyc2l0
eSBvZiBNZWRpY2FsIFNjaWVuY2VzLCBTaGlyYXosIElyYW4uPC9hdXRoLWFkZHJlc3M+PHRpdGxl
cz48dGl0bGU+RGlldGFyeSBwYXR0ZXJuIGluIHByZWduYW5jeSBhbmQgcmlzayBvZiBnZXN0YXRp
b25hbCBkaWFiZXRlcyBtZWxsaXR1cyAoR0RNKTwvdGl0bGU+PHNlY29uZGFyeS10aXRsZT5EaWFi
ZXRlcyBNZXRhYiBTeW5kcjwvc2Vjb25kYXJ5LXRpdGxlPjwvdGl0bGVzPjxwZXJpb2RpY2FsPjxm
dWxsLXRpdGxlPkRpYWJldGVzIE1ldGFiIFN5bmRyPC9mdWxsLXRpdGxlPjwvcGVyaW9kaWNhbD48
cGFnZXM+Mzk5LTQwNDwvcGFnZXM+PHZvbHVtZT4xMjwvdm9sdW1lPjxudW1iZXI+MzwvbnVtYmVy
PjxlZGl0aW9uPjIwMTgvMDMvMjc8L2VkaXRpb24+PGtleXdvcmRzPjxrZXl3b3JkPkFkdWx0PC9r
ZXl3b3JkPjxrZXl3b3JkPkJvZHkgTWFzcyBJbmRleDwva2V5d29yZD48a2V5d29yZD5DYXNlLUNv
bnRyb2wgU3R1ZGllczwva2V5d29yZD48a2V5d29yZD5EaWFiZXRlcywgR2VzdGF0aW9uYWwvKmV0
aW9sb2d5PC9rZXl3b3JkPjxrZXl3b3JkPkRpZXQvKmFkdmVyc2UgZWZmZWN0czwva2V5d29yZD48
a2V5d29yZD5GZW1hbGU8L2tleXdvcmQ+PGtleXdvcmQ+Rm9sbG93LVVwIFN0dWRpZXM8L2tleXdv
cmQ+PGtleXdvcmQ+SHVtYW5zPC9rZXl3b3JkPjxrZXl3b3JkPipNYXRlcm5hbCBOdXRyaXRpb25h
bCBQaHlzaW9sb2dpY2FsIFBoZW5vbWVuYTwva2V5d29yZD48a2V5d29yZD5QcmVnbmFuY3k8L2tl
eXdvcmQ+PGtleXdvcmQ+UHJvZ25vc2lzPC9rZXl3b3JkPjxrZXl3b3JkPlJpc2sgRmFjdG9yczwv
a2V5d29yZD48a2V5d29yZD5EaWV0YXJ5IHBhdHRlcm5zPC9rZXl3b3JkPjxrZXl3b3JkPkZvb2Qg
ZnJlcXVlbmN5IHF1ZXN0aW9ubmFpcmU8L2tleXdvcmQ+PGtleXdvcmQ+R2VzdGF0aW9uYWwgZGlh
YmV0ZXMgbWVsbGl0dXMgKEdETSk8L2tleXdvcmQ+PGtleXdvcmQ+UHJlZ25hbnQgd29tZW48L2tl
eXdvcmQ+PC9rZXl3b3Jkcz48ZGF0ZXM+PHllYXI+MjAxODwveWVhcj48cHViLWRhdGVzPjxkYXRl
Pk1heTwvZGF0ZT48L3B1Yi1kYXRlcz48L2RhdGVzPjxpc2JuPjE4NzgtMDMzNCAoRWxlY3Ryb25p
YykmI3hEOzE4NzEtNDAyMSAoTGlua2luZyk8L2lzYm4+PGFjY2Vzc2lvbi1udW0+Mjk1NzY1MjI8
L2FjY2Vzc2lvbi1udW0+PHVybHM+PHJlbGF0ZWQtdXJscz48dXJsPmh0dHBzOi8vd3d3Lm5jYmku
bmxtLm5paC5nb3YvcHVibWVkLzI5NTc2NTIyPC91cmw+PC9yZWxhdGVkLXVybHM+PC91cmxzPjxl
bGVjdHJvbmljLXJlc291cmNlLW51bT4xMC4xMDE2L2ouZHN4LjIwMTguMDMuMDA0PC9lbGVjdHJv
bmljLXJlc291cmNlLW51bT48L3JlY29yZD48L0NpdGU+PC9FbmROb3RlPgB=
</w:fldData>
              </w:fldChar>
            </w:r>
            <w:r w:rsidR="002747EA">
              <w:instrText xml:space="preserve"> ADDIN EN.CITE </w:instrText>
            </w:r>
            <w:r w:rsidR="002747EA">
              <w:fldChar w:fldCharType="begin">
                <w:fldData xml:space="preserve">PEVuZE5vdGU+PENpdGU+PEF1dGhvcj5aYXJlZWk8L0F1dGhvcj48WWVhcj4yMDE4PC9ZZWFyPjxS
ZWNOdW0+MTQ4NDwvUmVjTnVtPjxEaXNwbGF5VGV4dD48c3R5bGUgZmFjZT0ic3VwZXJzY3JpcHQi
IGZvbnQ9IlRyZWJ1Y2hldCBNUyIgc2l6ZT0iOSI+MjE8L3N0eWxlPjwvRGlzcGxheVRleHQ+PHJl
Y29yZD48cmVjLW51bWJlcj4xNDg0PC9yZWMtbnVtYmVyPjxmb3JlaWduLWtleXM+PGtleSBhcHA9
IkVOIiBkYi1pZD0iZXh2YXNyZngyZHRyYW9lc2FzeHAyc3pzeGEyZGY1MDI1OTJ4IiB0aW1lc3Rh
bXA9IjE1NzQwMzk3MTIiPjE0ODQ8L2tleT48a2V5IGFwcD0iRU5XZWIiIGRiLWlkPSIiPjA8L2tl
eT48L2ZvcmVpZ24ta2V5cz48cmVmLXR5cGUgbmFtZT0iSm91cm5hbCBBcnRpY2xlIj4xNzwvcmVm
LXR5cGU+PGNvbnRyaWJ1dG9ycz48YXV0aG9ycz48YXV0aG9yPlphcmVlaSwgUy48L2F1dGhvcj48
YXV0aG9yPkhvbWF5b3VuZmFyLCBSLjwvYXV0aG9yPjxhdXRob3I+TmFnaGl6YWRlaCwgTS4gTS48
L2F1dGhvcj48YXV0aG9yPkVocmFtcG91c2gsIEUuPC9hdXRob3I+PGF1dGhvcj5SYWhpbWksIE0u
PC9hdXRob3I+PC9hdXRob3JzPjwvY29udHJpYnV0b3JzPjxhdXRoLWFkZHJlc3M+U3R1ZGVudCBS
ZXNlYXJjaCBDb21taXR0ZWUsIEZhc2EgVW5pdmVyc2l0eSBvZiBNZWRpY2FsIFNjaWVuY2VzLCBG
YXNhLCBJcmFuLiYjeEQ7Tm9uY29tbXVuaWNhYmxlIERpc2Vhc2VzIFJlc2VhcmNoIENlbnRlciwg
RmFzYSBVbml2ZXJzaXR5IG9mIE1lZGljYWwgU2NpZW5jZXMsIEZhc2EsIElyYW47IEhlYWx0aCBQ
b2xpY3kgUmVzZWFyY2ggQ2VudGVyLCBJbnN0aXR1dGUgb2YgSGVhbHRoLCBTaGlyYXogVW5pdmVy
c2l0eSBvZiBNZWRpY2FsIFNjaWVuY2VzLCBTaGlyYXosIElyYW4uIEVsZWN0cm9uaWMgYWRkcmVz
czogaG9tYXlvdW5mYXJAc2JtdS5hYy5pci4mI3hEO05vbmNvbW11bmljYWJsZSBEaXNlYXNlcyBS
ZXNlYXJjaCBDZW50ZXIsIEZhc2EgVW5pdmVyc2l0eSBvZiBNZWRpY2FsIFNjaWVuY2VzLCBGYXNh
LCBJcmFuLiYjeEQ7Tm9uY29tbXVuaWNhYmxlIERpc2Vhc2VzIFJlc2VhcmNoIENlbnRlciwgRmFz
YSBVbml2ZXJzaXR5IG9mIE1lZGljYWwgU2NpZW5jZXMsIEZhc2EsIElyYW47IEhlYWx0aCBQb2xp
Y3kgUmVzZWFyY2ggQ2VudGVyLCBJbnN0aXR1dGUgb2YgSGVhbHRoLCBTaGlyYXogVW5pdmVyc2l0
eSBvZiBNZWRpY2FsIFNjaWVuY2VzLCBTaGlyYXosIElyYW4uPC9hdXRoLWFkZHJlc3M+PHRpdGxl
cz48dGl0bGU+RGlldGFyeSBwYXR0ZXJuIGluIHByZWduYW5jeSBhbmQgcmlzayBvZiBnZXN0YXRp
b25hbCBkaWFiZXRlcyBtZWxsaXR1cyAoR0RNKTwvdGl0bGU+PHNlY29uZGFyeS10aXRsZT5EaWFi
ZXRlcyBNZXRhYiBTeW5kcjwvc2Vjb25kYXJ5LXRpdGxlPjwvdGl0bGVzPjxwZXJpb2RpY2FsPjxm
dWxsLXRpdGxlPkRpYWJldGVzIE1ldGFiIFN5bmRyPC9mdWxsLXRpdGxlPjwvcGVyaW9kaWNhbD48
cGFnZXM+Mzk5LTQwNDwvcGFnZXM+PHZvbHVtZT4xMjwvdm9sdW1lPjxudW1iZXI+MzwvbnVtYmVy
PjxlZGl0aW9uPjIwMTgvMDMvMjc8L2VkaXRpb24+PGtleXdvcmRzPjxrZXl3b3JkPkFkdWx0PC9r
ZXl3b3JkPjxrZXl3b3JkPkJvZHkgTWFzcyBJbmRleDwva2V5d29yZD48a2V5d29yZD5DYXNlLUNv
bnRyb2wgU3R1ZGllczwva2V5d29yZD48a2V5d29yZD5EaWFiZXRlcywgR2VzdGF0aW9uYWwvKmV0
aW9sb2d5PC9rZXl3b3JkPjxrZXl3b3JkPkRpZXQvKmFkdmVyc2UgZWZmZWN0czwva2V5d29yZD48
a2V5d29yZD5GZW1hbGU8L2tleXdvcmQ+PGtleXdvcmQ+Rm9sbG93LVVwIFN0dWRpZXM8L2tleXdv
cmQ+PGtleXdvcmQ+SHVtYW5zPC9rZXl3b3JkPjxrZXl3b3JkPipNYXRlcm5hbCBOdXRyaXRpb25h
bCBQaHlzaW9sb2dpY2FsIFBoZW5vbWVuYTwva2V5d29yZD48a2V5d29yZD5QcmVnbmFuY3k8L2tl
eXdvcmQ+PGtleXdvcmQ+UHJvZ25vc2lzPC9rZXl3b3JkPjxrZXl3b3JkPlJpc2sgRmFjdG9yczwv
a2V5d29yZD48a2V5d29yZD5EaWV0YXJ5IHBhdHRlcm5zPC9rZXl3b3JkPjxrZXl3b3JkPkZvb2Qg
ZnJlcXVlbmN5IHF1ZXN0aW9ubmFpcmU8L2tleXdvcmQ+PGtleXdvcmQ+R2VzdGF0aW9uYWwgZGlh
YmV0ZXMgbWVsbGl0dXMgKEdETSk8L2tleXdvcmQ+PGtleXdvcmQ+UHJlZ25hbnQgd29tZW48L2tl
eXdvcmQ+PC9rZXl3b3Jkcz48ZGF0ZXM+PHllYXI+MjAxODwveWVhcj48cHViLWRhdGVzPjxkYXRl
Pk1heTwvZGF0ZT48L3B1Yi1kYXRlcz48L2RhdGVzPjxpc2JuPjE4NzgtMDMzNCAoRWxlY3Ryb25p
YykmI3hEOzE4NzEtNDAyMSAoTGlua2luZyk8L2lzYm4+PGFjY2Vzc2lvbi1udW0+Mjk1NzY1MjI8
L2FjY2Vzc2lvbi1udW0+PHVybHM+PHJlbGF0ZWQtdXJscz48dXJsPmh0dHBzOi8vd3d3Lm5jYmku
bmxtLm5paC5nb3YvcHVibWVkLzI5NTc2NTIyPC91cmw+PC9yZWxhdGVkLXVybHM+PC91cmxzPjxl
bGVjdHJvbmljLXJlc291cmNlLW51bT4xMC4xMDE2L2ouZHN4LjIwMTguMDMuMDA0PC9lbGVjdHJv
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21</w:t>
            </w:r>
            <w:r>
              <w:fldChar w:fldCharType="end"/>
            </w:r>
          </w:p>
          <w:p w14:paraId="7FB1C2F2" w14:textId="77777777" w:rsidR="004C390A" w:rsidRDefault="004C390A" w:rsidP="003F03D5">
            <w:r>
              <w:t>Iran</w:t>
            </w:r>
          </w:p>
          <w:p w14:paraId="6190CD66" w14:textId="77777777" w:rsidR="004C390A" w:rsidRPr="003F03D5" w:rsidRDefault="004C390A" w:rsidP="003F03D5">
            <w:r>
              <w:t>Case-control</w:t>
            </w:r>
          </w:p>
        </w:tc>
        <w:tc>
          <w:tcPr>
            <w:tcW w:w="992" w:type="dxa"/>
          </w:tcPr>
          <w:p w14:paraId="0B24BC44" w14:textId="77777777" w:rsidR="004C390A" w:rsidRDefault="004C390A" w:rsidP="00B24E86">
            <w:r>
              <w:t>204 women</w:t>
            </w:r>
          </w:p>
        </w:tc>
        <w:tc>
          <w:tcPr>
            <w:tcW w:w="4961" w:type="dxa"/>
          </w:tcPr>
          <w:p w14:paraId="1B5739FF" w14:textId="77777777" w:rsidR="004C390A" w:rsidRDefault="004C390A" w:rsidP="003F03D5">
            <w:r>
              <w:rPr>
                <w:b/>
              </w:rPr>
              <w:t xml:space="preserve">Aim: </w:t>
            </w:r>
            <w:r>
              <w:t>T</w:t>
            </w:r>
            <w:r w:rsidRPr="003F03D5">
              <w:t xml:space="preserve">o examine the dietary pattern in women with GDM. </w:t>
            </w:r>
          </w:p>
          <w:p w14:paraId="7C58B570" w14:textId="77777777" w:rsidR="004C390A" w:rsidRDefault="004C390A" w:rsidP="003F03D5">
            <w:pPr>
              <w:rPr>
                <w:b/>
              </w:rPr>
            </w:pPr>
            <w:r w:rsidRPr="00590A9E">
              <w:rPr>
                <w:b/>
              </w:rPr>
              <w:t>Methods</w:t>
            </w:r>
            <w:r w:rsidRPr="003F03D5">
              <w:t xml:space="preserve">: </w:t>
            </w:r>
            <w:r>
              <w:t>Participants</w:t>
            </w:r>
            <w:r w:rsidRPr="003F03D5">
              <w:t xml:space="preserve">' food intakes were assessed using semi-quantitative food frequency questionnaire, while their activities evaluated by physical activity questionnaire. Anthropometric indices were measured based on standard instructions, and the body mass index was calculated. The dietary patterns were determined using principal component analysis and its relationship with preeclampsia was tested using logistic regression method. </w:t>
            </w:r>
          </w:p>
        </w:tc>
        <w:tc>
          <w:tcPr>
            <w:tcW w:w="4536" w:type="dxa"/>
          </w:tcPr>
          <w:p w14:paraId="723586AA" w14:textId="77777777" w:rsidR="004C390A" w:rsidRPr="003F03D5" w:rsidRDefault="004C390A" w:rsidP="003F03D5">
            <w:pPr>
              <w:rPr>
                <w:rFonts w:ascii="Times" w:hAnsi="Times"/>
                <w:sz w:val="12"/>
                <w:szCs w:val="12"/>
              </w:rPr>
            </w:pPr>
            <w:r w:rsidRPr="003F03D5">
              <w:t xml:space="preserve">Unhealthy (high intake of mayonnaise, soda, pizza, sugar, etc) and healthy (high intake of leafy green vegetables, fruits, poultry, fish, etc) dietary patterns were </w:t>
            </w:r>
            <w:r>
              <w:t>identified</w:t>
            </w:r>
            <w:r w:rsidRPr="003F03D5">
              <w:t xml:space="preserve">. In the unhealthy group, after modifying the effect of confounding variables, a significant relationship was observed between dietary pattern and </w:t>
            </w:r>
            <w:r>
              <w:t xml:space="preserve">having gestational diabetes (OR </w:t>
            </w:r>
            <w:r w:rsidRPr="003F03D5">
              <w:t>2.838,</w:t>
            </w:r>
            <w:r>
              <w:t xml:space="preserve"> 95% CI </w:t>
            </w:r>
            <w:r w:rsidRPr="003F03D5">
              <w:t>1.039</w:t>
            </w:r>
            <w:r>
              <w:t xml:space="preserve"> to 7.751). In the healthy group, women</w:t>
            </w:r>
            <w:r w:rsidRPr="003F03D5">
              <w:t xml:space="preserve"> in the fourth quartile had 149% and 184% higher chance not to </w:t>
            </w:r>
            <w:r>
              <w:t>experience</w:t>
            </w:r>
            <w:r w:rsidRPr="003F03D5">
              <w:t xml:space="preserve"> gestational diabetes before and after modification wit</w:t>
            </w:r>
            <w:r>
              <w:t xml:space="preserve">h confounders, respectively (OR </w:t>
            </w:r>
            <w:r w:rsidRPr="003F03D5">
              <w:t>0.284,</w:t>
            </w:r>
            <w:r>
              <w:t xml:space="preserve"> 95%CI </w:t>
            </w:r>
            <w:r w:rsidRPr="003F03D5">
              <w:t>0.096</w:t>
            </w:r>
            <w:r>
              <w:t xml:space="preserve"> to </w:t>
            </w:r>
            <w:r w:rsidRPr="003F03D5">
              <w:t xml:space="preserve">0.838), when compared with </w:t>
            </w:r>
            <w:r>
              <w:t>women</w:t>
            </w:r>
            <w:r w:rsidRPr="003F03D5">
              <w:t xml:space="preserve"> in the first quartile. </w:t>
            </w:r>
          </w:p>
        </w:tc>
        <w:tc>
          <w:tcPr>
            <w:tcW w:w="1843" w:type="dxa"/>
          </w:tcPr>
          <w:p w14:paraId="0A7C2711" w14:textId="77777777" w:rsidR="004C390A" w:rsidRPr="007B3A77" w:rsidRDefault="004C390A" w:rsidP="007B3A77"/>
        </w:tc>
      </w:tr>
      <w:tr w:rsidR="004C390A" w:rsidRPr="007B3A77" w14:paraId="4D171A68" w14:textId="77777777" w:rsidTr="004C390A">
        <w:trPr>
          <w:cantSplit/>
          <w:trHeight w:val="390"/>
        </w:trPr>
        <w:tc>
          <w:tcPr>
            <w:tcW w:w="1560" w:type="dxa"/>
          </w:tcPr>
          <w:p w14:paraId="2E107435" w14:textId="612FAB16" w:rsidR="004C390A" w:rsidRDefault="004C390A" w:rsidP="003F03D5">
            <w:r>
              <w:t>Zhou et al 2018</w:t>
            </w:r>
            <w:r>
              <w:fldChar w:fldCharType="begin">
                <w:fldData xml:space="preserve">PEVuZE5vdGU+PENpdGU+PEF1dGhvcj5aaG91PC9BdXRob3I+PFllYXI+MjAxODwvWWVhcj48UmVj
TnVtPjE0ODc8L1JlY051bT48RGlzcGxheVRleHQ+PHN0eWxlIGZhY2U9InN1cGVyc2NyaXB0IiBm
b250PSJUcmVidWNoZXQgTVMiIHNpemU9IjkiPjE3PC9zdHlsZT48L0Rpc3BsYXlUZXh0PjxyZWNv
cmQ+PHJlYy1udW1iZXI+MTQ4NzwvcmVjLW51bWJlcj48Zm9yZWlnbi1rZXlzPjxrZXkgYXBwPSJF
TiIgZGItaWQ9ImV4dmFzcmZ4MmR0cmFvZXNhc3hwMnN6c3hhMmRmNTAyNTkyeCIgdGltZXN0YW1w
PSIxNTc0MDM5NzI1Ij4xNDg3PC9rZXk+PGtleSBhcHA9IkVOV2ViIiBkYi1pZD0iIj4wPC9rZXk+
PC9mb3JlaWduLWtleXM+PHJlZi10eXBlIG5hbWU9IkpvdXJuYWwgQXJ0aWNsZSI+MTc8L3JlZi10
eXBlPjxjb250cmlidXRvcnM+PGF1dGhvcnM+PGF1dGhvcj5aaG91LCBYLjwvYXV0aG9yPjxhdXRo
b3I+Q2hlbiwgUi48L2F1dGhvcj48YXV0aG9yPlpob25nLCBDLjwvYXV0aG9yPjxhdXRob3I+V3Us
IEouPC9hdXRob3I+PGF1dGhvcj5MaSwgWC48L2F1dGhvcj48YXV0aG9yPkxpLCBRLjwvYXV0aG9y
PjxhdXRob3I+Q3VpLCBXLjwvYXV0aG9yPjxhdXRob3I+WWksIE4uPC9hdXRob3I+PGF1dGhvcj5Y
aWFvLCBNLjwvYXV0aG9yPjxhdXRob3I+WWluLCBILjwvYXV0aG9yPjxhdXRob3I+WGlvbmcsIEcu
PC9hdXRob3I+PGF1dGhvcj5IYW4sIFcuPC9hdXRob3I+PGF1dGhvcj5IYW8sIEwuPC9hdXRob3I+
PGF1dGhvcj5ZYW5nLCBYLjwvYXV0aG9yPjxhdXRob3I+WWFuZywgTi48L2F1dGhvcj48L2F1dGhv
cnM+PC9jb250cmlidXRvcnM+PGF1dGgtYWRkcmVzcz4xSHViZWkgS2V5IExhYm9yYXRvcnkgb2Yg
Rm9vZCBOdXRyaXRpb24gYW5kIFNhZmV0eSxNT0UgS2V5IExhYm9yYXRvcnkgb2YgRW52aXJvbm1l
bnQgYW5kIEhlYWx0aCxEZXBhcnRtZW50IG9mIE51dHJpdGlvbiBhbmQgRm9vZCBIeWdpZW5lLFNj
aG9vbCBvZiBQdWJsaWMgSGVhbHRoLFRvbmdqaSBNZWRpY2FsIENvbGxlZ2UsSHVhemhvbmcgVW5p
dmVyc2l0eSBvZiBTY2llbmNlIGFuZCBUZWNobm9sb2d5LDEzIEhhbmdrb25nIFJvYWQsV3VoYW4s
SHViZWk0MzAwMzAsUGVvcGxlJmFwb3M7cyBSZXB1YmxpYyBvZiBDaGluYS4mI3hEOzJEZXBhcnRt
ZW50IG9mIE9ic3RldHJpY3MgYW5kIEd5bmVjb2xvZ3ksIEh1YmVpIE1hdGVybmFsIGFuZCBDaGls
ZCBIZWFsdGggSG9zcGl0YWwsV3VoYW4sSHViZWk0MzAwNzAsUGVvcGxlJmFwb3M7cyBSZXB1Ymxp
YyBvZiBDaGluYS4mI3hEOzNEZXBhcnRtZW50IG9mIE9ic3RldHJpY3MgYW5kIEd5bmVjb2xvZ3ks
IFRoZSBDZW50cmFsIEhvc3BpdGFsIG9mIFd1aGFuLEh1YmVpNDMwMDE0LFBlb3BsZSZhcG9zO3Mg
UmVwdWJsaWMgb2YgQ2hpbmEuPC9hdXRoLWFkZHJlc3M+PHRpdGxlcz48dGl0bGU+TWF0ZXJuYWwg
ZGlldGFyeSBwYXR0ZXJuIGNoYXJhY3RlcmlzZWQgYnkgaGlnaCBwcm90ZWluIGFuZCBsb3cgY2Fy
Ym9oeWRyYXRlIGludGFrZSBpbiBwcmVnbmFuY3kgaXMgYXNzb2NpYXRlZCB3aXRoIGEgaGlnaGVy
IHJpc2sgb2YgZ2VzdGF0aW9uYWwgZGlhYmV0ZXMgbWVsbGl0dXMgaW4gQ2hpbmVzZSB3b21lbjog
YSBwcm9zcGVjdGl2ZSBjb2hvcnQgc3R1ZHk8L3RpdGxlPjxzZWNvbmRhcnktdGl0bGU+QnIgSiBO
dXRyPC9zZWNvbmRhcnktdGl0bGU+PC90aXRsZXM+PHBlcmlvZGljYWw+PGZ1bGwtdGl0bGU+QnIg
SiBOdXRyPC9mdWxsLXRpdGxlPjwvcGVyaW9kaWNhbD48cGFnZXM+MTA0NS0xMDU1PC9wYWdlcz48
dm9sdW1lPjEyMDwvdm9sdW1lPjxudW1iZXI+OTwvbnVtYmVyPjxlZGl0aW9uPjIwMTgvMTAvMjY8
L2VkaXRpb24+PGtleXdvcmRzPjxrZXl3b3JkPkJsb29kIEdsdWNvc2UvYW5hbHlzaXM8L2tleXdv
cmQ+PGtleXdvcmQ+Q2hpbmE8L2tleXdvcmQ+PGtleXdvcmQ+RGlhYmV0ZXMsIEdlc3RhdGlvbmFs
LypwcmV2ZW50aW9uICZhbXA7IGNvbnRyb2w8L2tleXdvcmQ+PGtleXdvcmQ+RGlldDwva2V5d29y
ZD48a2V5d29yZD5EaWV0YXJ5IENhcmJvaHlkcmF0ZXMvKmFkbWluaXN0cmF0aW9uICZhbXA7IGRv
c2FnZTwva2V5d29yZD48a2V5d29yZD5EaWV0YXJ5IFByb3RlaW5zLyphZG1pbmlzdHJhdGlvbiAm
YW1wOyBkb3NhZ2U8L2tleXdvcmQ+PGtleXdvcmQ+RmVtYWxlPC9rZXl3b3JkPjxrZXl3b3JkPkZy
dWl0PC9rZXl3b3JkPjxrZXl3b3JkPkdsdWNvc2UgVG9sZXJhbmNlIFRlc3Q8L2tleXdvcmQ+PGtl
eXdvcmQ+SHVtYW5zPC9rZXl3b3JkPjxrZXl3b3JkPk1hdGVybmFsIE51dHJpdGlvbmFsIFBoeXNp
b2xvZ2ljYWwgUGhlbm9tZW5hPC9rZXl3b3JkPjxrZXl3b3JkPk1lYXQ8L2tleXdvcmQ+PGtleXdv
cmQ+UHJlZ25hbmN5PC9rZXl3b3JkPjxrZXl3b3JkPlByaW5jaXBhbCBDb21wb25lbnQgQW5hbHlz
aXM8L2tleXdvcmQ+PGtleXdvcmQ+UHJvc3BlY3RpdmUgU3R1ZGllczwva2V5d29yZD48a2V5d29y
ZD5SaXNrPC9rZXl3b3JkPjxrZXl3b3JkPlRpbWUgRmFjdG9yczwva2V5d29yZD48a2V5d29yZD4q
IEdETSBnZXN0YXRpb25hbCBkaWFiZXRlcyBtZWxsaXR1czwva2V5d29yZD48a2V5d29yZD4qIE5I
U0lJIE51cnNlcyZhcG9zOyBIZWFsdGggU3R1ZHkgSUk8L2tleXdvcmQ+PGtleXdvcmQ+KiBPR1RU
IG9yYWwgZ2x1Y29zZSB0b2xlcmFuY2UgdGVzdDwva2V5d29yZD48a2V5d29yZD4qIFRNQ0hDIFRv
bmdqaSBNYXRlcm5hbCBhbmQgQ2hpbGQgSGVhbHRoIENvaG9ydDwva2V5d29yZD48a2V5d29yZD4q
RGlldGFyeSBwYXR0ZXJuczwva2V5d29yZD48a2V5d29yZD4qR2VzdGF0aW9uYWwgZGlhYmV0ZXMg
bWVsbGl0dXM8L2tleXdvcmQ+PGtleXdvcmQ+Kk1hY3JvbnV0cmllbnRzPC9rZXl3b3JkPjxrZXl3
b3JkPipQbGFzbWEgZ2x1Y29zZTwva2V5d29yZD48L2tleXdvcmRzPjxkYXRlcz48eWVhcj4yMDE4
PC95ZWFyPjxwdWItZGF0ZXM+PGRhdGU+Tm92PC9kYXRlPjwvcHViLWRhdGVzPjwvZGF0ZXM+PGlz
Ym4+MTQ3NS0yNjYyIChFbGVjdHJvbmljKSYjeEQ7MDAwNy0xMTQ1IChMaW5raW5nKTwvaXNibj48
YWNjZXNzaW9uLW51bT4zMDM1NTM5MjwvYWNjZXNzaW9uLW51bT48dXJscz48cmVsYXRlZC11cmxz
Pjx1cmw+aHR0cHM6Ly93d3cubmNiaS5ubG0ubmloLmdvdi9wdWJtZWQvMzAzNTUzOTI8L3VybD48
L3JlbGF0ZWQtdXJscz48L3VybHM+PGVsZWN0cm9uaWMtcmVzb3VyY2UtbnVtPjEwLjEwMTcvUzAw
MDcxMTQ1MTgwMDI0NTM8L2VsZWN0cm9uaWMtcmVzb3VyY2UtbnVtPjwvcmVjb3JkPjwvQ2l0ZT48
L0VuZE5vdGU+
</w:fldData>
              </w:fldChar>
            </w:r>
            <w:r w:rsidR="002747EA">
              <w:instrText xml:space="preserve"> ADDIN EN.CITE </w:instrText>
            </w:r>
            <w:r w:rsidR="002747EA">
              <w:fldChar w:fldCharType="begin">
                <w:fldData xml:space="preserve">PEVuZE5vdGU+PENpdGU+PEF1dGhvcj5aaG91PC9BdXRob3I+PFllYXI+MjAxODwvWWVhcj48UmVj
TnVtPjE0ODc8L1JlY051bT48RGlzcGxheVRleHQ+PHN0eWxlIGZhY2U9InN1cGVyc2NyaXB0IiBm
b250PSJUcmVidWNoZXQgTVMiIHNpemU9IjkiPjE3PC9zdHlsZT48L0Rpc3BsYXlUZXh0PjxyZWNv
cmQ+PHJlYy1udW1iZXI+MTQ4NzwvcmVjLW51bWJlcj48Zm9yZWlnbi1rZXlzPjxrZXkgYXBwPSJF
TiIgZGItaWQ9ImV4dmFzcmZ4MmR0cmFvZXNhc3hwMnN6c3hhMmRmNTAyNTkyeCIgdGltZXN0YW1w
PSIxNTc0MDM5NzI1Ij4xNDg3PC9rZXk+PGtleSBhcHA9IkVOV2ViIiBkYi1pZD0iIj4wPC9rZXk+
PC9mb3JlaWduLWtleXM+PHJlZi10eXBlIG5hbWU9IkpvdXJuYWwgQXJ0aWNsZSI+MTc8L3JlZi10
eXBlPjxjb250cmlidXRvcnM+PGF1dGhvcnM+PGF1dGhvcj5aaG91LCBYLjwvYXV0aG9yPjxhdXRo
b3I+Q2hlbiwgUi48L2F1dGhvcj48YXV0aG9yPlpob25nLCBDLjwvYXV0aG9yPjxhdXRob3I+V3Us
IEouPC9hdXRob3I+PGF1dGhvcj5MaSwgWC48L2F1dGhvcj48YXV0aG9yPkxpLCBRLjwvYXV0aG9y
PjxhdXRob3I+Q3VpLCBXLjwvYXV0aG9yPjxhdXRob3I+WWksIE4uPC9hdXRob3I+PGF1dGhvcj5Y
aWFvLCBNLjwvYXV0aG9yPjxhdXRob3I+WWluLCBILjwvYXV0aG9yPjxhdXRob3I+WGlvbmcsIEcu
PC9hdXRob3I+PGF1dGhvcj5IYW4sIFcuPC9hdXRob3I+PGF1dGhvcj5IYW8sIEwuPC9hdXRob3I+
PGF1dGhvcj5ZYW5nLCBYLjwvYXV0aG9yPjxhdXRob3I+WWFuZywgTi48L2F1dGhvcj48L2F1dGhv
cnM+PC9jb250cmlidXRvcnM+PGF1dGgtYWRkcmVzcz4xSHViZWkgS2V5IExhYm9yYXRvcnkgb2Yg
Rm9vZCBOdXRyaXRpb24gYW5kIFNhZmV0eSxNT0UgS2V5IExhYm9yYXRvcnkgb2YgRW52aXJvbm1l
bnQgYW5kIEhlYWx0aCxEZXBhcnRtZW50IG9mIE51dHJpdGlvbiBhbmQgRm9vZCBIeWdpZW5lLFNj
aG9vbCBvZiBQdWJsaWMgSGVhbHRoLFRvbmdqaSBNZWRpY2FsIENvbGxlZ2UsSHVhemhvbmcgVW5p
dmVyc2l0eSBvZiBTY2llbmNlIGFuZCBUZWNobm9sb2d5LDEzIEhhbmdrb25nIFJvYWQsV3VoYW4s
SHViZWk0MzAwMzAsUGVvcGxlJmFwb3M7cyBSZXB1YmxpYyBvZiBDaGluYS4mI3hEOzJEZXBhcnRt
ZW50IG9mIE9ic3RldHJpY3MgYW5kIEd5bmVjb2xvZ3ksIEh1YmVpIE1hdGVybmFsIGFuZCBDaGls
ZCBIZWFsdGggSG9zcGl0YWwsV3VoYW4sSHViZWk0MzAwNzAsUGVvcGxlJmFwb3M7cyBSZXB1Ymxp
YyBvZiBDaGluYS4mI3hEOzNEZXBhcnRtZW50IG9mIE9ic3RldHJpY3MgYW5kIEd5bmVjb2xvZ3ks
IFRoZSBDZW50cmFsIEhvc3BpdGFsIG9mIFd1aGFuLEh1YmVpNDMwMDE0LFBlb3BsZSZhcG9zO3Mg
UmVwdWJsaWMgb2YgQ2hpbmEuPC9hdXRoLWFkZHJlc3M+PHRpdGxlcz48dGl0bGU+TWF0ZXJuYWwg
ZGlldGFyeSBwYXR0ZXJuIGNoYXJhY3RlcmlzZWQgYnkgaGlnaCBwcm90ZWluIGFuZCBsb3cgY2Fy
Ym9oeWRyYXRlIGludGFrZSBpbiBwcmVnbmFuY3kgaXMgYXNzb2NpYXRlZCB3aXRoIGEgaGlnaGVy
IHJpc2sgb2YgZ2VzdGF0aW9uYWwgZGlhYmV0ZXMgbWVsbGl0dXMgaW4gQ2hpbmVzZSB3b21lbjog
YSBwcm9zcGVjdGl2ZSBjb2hvcnQgc3R1ZHk8L3RpdGxlPjxzZWNvbmRhcnktdGl0bGU+QnIgSiBO
dXRyPC9zZWNvbmRhcnktdGl0bGU+PC90aXRsZXM+PHBlcmlvZGljYWw+PGZ1bGwtdGl0bGU+QnIg
SiBOdXRyPC9mdWxsLXRpdGxlPjwvcGVyaW9kaWNhbD48cGFnZXM+MTA0NS0xMDU1PC9wYWdlcz48
dm9sdW1lPjEyMDwvdm9sdW1lPjxudW1iZXI+OTwvbnVtYmVyPjxlZGl0aW9uPjIwMTgvMTAvMjY8
L2VkaXRpb24+PGtleXdvcmRzPjxrZXl3b3JkPkJsb29kIEdsdWNvc2UvYW5hbHlzaXM8L2tleXdv
cmQ+PGtleXdvcmQ+Q2hpbmE8L2tleXdvcmQ+PGtleXdvcmQ+RGlhYmV0ZXMsIEdlc3RhdGlvbmFs
LypwcmV2ZW50aW9uICZhbXA7IGNvbnRyb2w8L2tleXdvcmQ+PGtleXdvcmQ+RGlldDwva2V5d29y
ZD48a2V5d29yZD5EaWV0YXJ5IENhcmJvaHlkcmF0ZXMvKmFkbWluaXN0cmF0aW9uICZhbXA7IGRv
c2FnZTwva2V5d29yZD48a2V5d29yZD5EaWV0YXJ5IFByb3RlaW5zLyphZG1pbmlzdHJhdGlvbiAm
YW1wOyBkb3NhZ2U8L2tleXdvcmQ+PGtleXdvcmQ+RmVtYWxlPC9rZXl3b3JkPjxrZXl3b3JkPkZy
dWl0PC9rZXl3b3JkPjxrZXl3b3JkPkdsdWNvc2UgVG9sZXJhbmNlIFRlc3Q8L2tleXdvcmQ+PGtl
eXdvcmQ+SHVtYW5zPC9rZXl3b3JkPjxrZXl3b3JkPk1hdGVybmFsIE51dHJpdGlvbmFsIFBoeXNp
b2xvZ2ljYWwgUGhlbm9tZW5hPC9rZXl3b3JkPjxrZXl3b3JkPk1lYXQ8L2tleXdvcmQ+PGtleXdv
cmQ+UHJlZ25hbmN5PC9rZXl3b3JkPjxrZXl3b3JkPlByaW5jaXBhbCBDb21wb25lbnQgQW5hbHlz
aXM8L2tleXdvcmQ+PGtleXdvcmQ+UHJvc3BlY3RpdmUgU3R1ZGllczwva2V5d29yZD48a2V5d29y
ZD5SaXNrPC9rZXl3b3JkPjxrZXl3b3JkPlRpbWUgRmFjdG9yczwva2V5d29yZD48a2V5d29yZD4q
IEdETSBnZXN0YXRpb25hbCBkaWFiZXRlcyBtZWxsaXR1czwva2V5d29yZD48a2V5d29yZD4qIE5I
U0lJIE51cnNlcyZhcG9zOyBIZWFsdGggU3R1ZHkgSUk8L2tleXdvcmQ+PGtleXdvcmQ+KiBPR1RU
IG9yYWwgZ2x1Y29zZSB0b2xlcmFuY2UgdGVzdDwva2V5d29yZD48a2V5d29yZD4qIFRNQ0hDIFRv
bmdqaSBNYXRlcm5hbCBhbmQgQ2hpbGQgSGVhbHRoIENvaG9ydDwva2V5d29yZD48a2V5d29yZD4q
RGlldGFyeSBwYXR0ZXJuczwva2V5d29yZD48a2V5d29yZD4qR2VzdGF0aW9uYWwgZGlhYmV0ZXMg
bWVsbGl0dXM8L2tleXdvcmQ+PGtleXdvcmQ+Kk1hY3JvbnV0cmllbnRzPC9rZXl3b3JkPjxrZXl3
b3JkPipQbGFzbWEgZ2x1Y29zZTwva2V5d29yZD48L2tleXdvcmRzPjxkYXRlcz48eWVhcj4yMDE4
PC95ZWFyPjxwdWItZGF0ZXM+PGRhdGU+Tm92PC9kYXRlPjwvcHViLWRhdGVzPjwvZGF0ZXM+PGlz
Ym4+MTQ3NS0yNjYyIChFbGVjdHJvbmljKSYjeEQ7MDAwNy0xMTQ1IChMaW5raW5nKTwvaXNibj48
YWNjZXNzaW9uLW51bT4zMDM1NTM5MjwvYWNjZXNzaW9uLW51bT48dXJscz48cmVsYXRlZC11cmxz
Pjx1cmw+aHR0cHM6Ly93d3cubmNiaS5ubG0ubmloLmdvdi9wdWJtZWQvMzAzNTUzOTI8L3VybD48
L3JlbGF0ZWQtdXJscz48L3VybHM+PGVsZWN0cm9uaWMtcmVzb3VyY2UtbnVtPjEwLjEwMTcvUzAw
MDcxMTQ1MTgwMDI0NTM8L2VsZWN0cm9uaWMtcmVzb3VyY2UtbnVtPjwvcmVjb3JkPjwvQ2l0ZT48
L0VuZE5vdGU+
</w:fldData>
              </w:fldChar>
            </w:r>
            <w:r w:rsidR="002747EA">
              <w:instrText xml:space="preserve"> ADDIN EN.CITE.DATA </w:instrText>
            </w:r>
            <w:r w:rsidR="002747EA">
              <w:fldChar w:fldCharType="end"/>
            </w:r>
            <w:r>
              <w:fldChar w:fldCharType="separate"/>
            </w:r>
            <w:r w:rsidR="002747EA" w:rsidRPr="002747EA">
              <w:rPr>
                <w:noProof/>
                <w:vertAlign w:val="superscript"/>
              </w:rPr>
              <w:t>17</w:t>
            </w:r>
            <w:r>
              <w:fldChar w:fldCharType="end"/>
            </w:r>
          </w:p>
          <w:p w14:paraId="4846DADD" w14:textId="77777777" w:rsidR="004C390A" w:rsidRDefault="004C390A" w:rsidP="003F03D5">
            <w:r>
              <w:t>China</w:t>
            </w:r>
          </w:p>
          <w:p w14:paraId="6147204F" w14:textId="77777777" w:rsidR="004C390A" w:rsidRPr="003F03D5" w:rsidRDefault="004C390A" w:rsidP="003F03D5">
            <w:r>
              <w:t>Cohort</w:t>
            </w:r>
          </w:p>
        </w:tc>
        <w:tc>
          <w:tcPr>
            <w:tcW w:w="992" w:type="dxa"/>
          </w:tcPr>
          <w:p w14:paraId="00AF503E" w14:textId="77777777" w:rsidR="004C390A" w:rsidRDefault="004C390A" w:rsidP="00B24E86">
            <w:r>
              <w:t>2,755 women</w:t>
            </w:r>
          </w:p>
        </w:tc>
        <w:tc>
          <w:tcPr>
            <w:tcW w:w="4961" w:type="dxa"/>
          </w:tcPr>
          <w:p w14:paraId="60A61052" w14:textId="77777777" w:rsidR="004C390A" w:rsidRDefault="004C390A" w:rsidP="003F03D5">
            <w:r>
              <w:rPr>
                <w:b/>
              </w:rPr>
              <w:t xml:space="preserve">Aim: </w:t>
            </w:r>
            <w:r>
              <w:t>T</w:t>
            </w:r>
            <w:r w:rsidRPr="003F03D5">
              <w:t xml:space="preserve">o identify maternal dietary patterns and examine their associations with GDM risk, and to evaluate the contributions of macronutrients intake to these associations. </w:t>
            </w:r>
          </w:p>
          <w:p w14:paraId="5DCD03AA" w14:textId="77777777" w:rsidR="004C390A" w:rsidRDefault="004C390A" w:rsidP="003F03D5">
            <w:pPr>
              <w:rPr>
                <w:b/>
              </w:rPr>
            </w:pPr>
            <w:r w:rsidRPr="003F03D5">
              <w:rPr>
                <w:b/>
              </w:rPr>
              <w:t>Methods</w:t>
            </w:r>
            <w:r>
              <w:t xml:space="preserve">: </w:t>
            </w:r>
            <w:r w:rsidRPr="003F03D5">
              <w:t>Dietary intakes were assessed using a validated semi-quantitative FFQ 2 weeks before the diagnosis of GDM. GDM was diagnosed based on the results of a 75-g, 2-h oral glucose tolerance test at 24-28 weeks gestation. We derived five different dietary patterns from a principal component analysis.</w:t>
            </w:r>
          </w:p>
        </w:tc>
        <w:tc>
          <w:tcPr>
            <w:tcW w:w="4536" w:type="dxa"/>
          </w:tcPr>
          <w:p w14:paraId="1D1268F3" w14:textId="77777777" w:rsidR="004C390A" w:rsidRPr="003F03D5" w:rsidRDefault="004C390A" w:rsidP="0019022D">
            <w:r w:rsidRPr="003F03D5">
              <w:t>The results showed that high fish-meat-eggs scores, which were positively related to protein intake and inversely related to carbohydrate intake, were associated with a higher risk of GDM (</w:t>
            </w:r>
            <w:r>
              <w:t>quartile 4 vs</w:t>
            </w:r>
            <w:r w:rsidRPr="003F03D5">
              <w:t xml:space="preserve"> quartile 1: </w:t>
            </w:r>
            <w:r>
              <w:t>aOR 1.83; 95%CI 1.21 to</w:t>
            </w:r>
            <w:r w:rsidRPr="003F03D5">
              <w:t xml:space="preserve"> 2.79; P trend=0.007) and higher plasma glucose levels. In contrast, high rice-wheat-fruits scores, which were positively related to carbohydrate intake and inversely related to protein intake, were associated with lower risk of GDM (quarti</w:t>
            </w:r>
            <w:r>
              <w:t>le 3 vs</w:t>
            </w:r>
            <w:r w:rsidRPr="003F03D5">
              <w:t xml:space="preserve"> quartile 1: </w:t>
            </w:r>
            <w:r>
              <w:t>aOR 0.54; 95%CI 0.36 to</w:t>
            </w:r>
            <w:r w:rsidRPr="003F03D5">
              <w:t xml:space="preserve"> 0.83; P trend=0.010) and lower plasma glucose levels. </w:t>
            </w:r>
          </w:p>
        </w:tc>
        <w:tc>
          <w:tcPr>
            <w:tcW w:w="1843" w:type="dxa"/>
          </w:tcPr>
          <w:p w14:paraId="66510419" w14:textId="77777777" w:rsidR="004C390A" w:rsidRPr="007B3A77" w:rsidRDefault="004C390A" w:rsidP="007B3A77">
            <w:r>
              <w:t>GDM</w:t>
            </w:r>
          </w:p>
        </w:tc>
      </w:tr>
    </w:tbl>
    <w:p w14:paraId="062C25C8" w14:textId="001F2557" w:rsidR="00DD599F" w:rsidRDefault="009C163D" w:rsidP="005719CE">
      <w:pPr>
        <w:pStyle w:val="TableName"/>
        <w:ind w:left="1134" w:hanging="1134"/>
      </w:pPr>
      <w:bookmarkStart w:id="34" w:name="_Toc40956591"/>
      <w:r>
        <w:t xml:space="preserve">Q1 </w:t>
      </w:r>
      <w:r w:rsidR="00DD599F">
        <w:t xml:space="preserve">Mediterranean diet </w:t>
      </w:r>
      <w:r w:rsidR="00264503">
        <w:t xml:space="preserve">in pregnancy </w:t>
      </w:r>
      <w:r w:rsidR="00DD599F">
        <w:t>— systematic reviews</w:t>
      </w:r>
      <w:bookmarkEnd w:id="3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3: Q1 Mediterranean diet in pregnancy — systematic reviews"/>
      </w:tblPr>
      <w:tblGrid>
        <w:gridCol w:w="1422"/>
        <w:gridCol w:w="1129"/>
        <w:gridCol w:w="4962"/>
        <w:gridCol w:w="4536"/>
        <w:gridCol w:w="1843"/>
      </w:tblGrid>
      <w:tr w:rsidR="00DD599F" w:rsidRPr="00F350A6" w14:paraId="743FE7DC" w14:textId="77777777" w:rsidTr="004C390A">
        <w:trPr>
          <w:cantSplit/>
          <w:trHeight w:val="390"/>
          <w:tblHeader/>
        </w:trPr>
        <w:tc>
          <w:tcPr>
            <w:tcW w:w="1422" w:type="dxa"/>
            <w:tcBorders>
              <w:bottom w:val="single" w:sz="4" w:space="0" w:color="auto"/>
            </w:tcBorders>
          </w:tcPr>
          <w:p w14:paraId="66B22C0A" w14:textId="77777777" w:rsidR="00DD599F" w:rsidRPr="00F350A6" w:rsidRDefault="00DD599F" w:rsidP="002436F2">
            <w:pPr>
              <w:keepNext/>
              <w:rPr>
                <w:b/>
              </w:rPr>
            </w:pPr>
            <w:r>
              <w:rPr>
                <w:b/>
              </w:rPr>
              <w:t>Study ref</w:t>
            </w:r>
          </w:p>
        </w:tc>
        <w:tc>
          <w:tcPr>
            <w:tcW w:w="1129" w:type="dxa"/>
            <w:tcBorders>
              <w:bottom w:val="single" w:sz="4" w:space="0" w:color="auto"/>
            </w:tcBorders>
          </w:tcPr>
          <w:p w14:paraId="5C507949" w14:textId="77777777" w:rsidR="00DD599F" w:rsidRPr="00F350A6" w:rsidRDefault="00DD599F" w:rsidP="002436F2">
            <w:pPr>
              <w:keepNext/>
              <w:rPr>
                <w:b/>
              </w:rPr>
            </w:pPr>
            <w:r>
              <w:rPr>
                <w:b/>
              </w:rPr>
              <w:t>N</w:t>
            </w:r>
          </w:p>
        </w:tc>
        <w:tc>
          <w:tcPr>
            <w:tcW w:w="4962" w:type="dxa"/>
            <w:tcBorders>
              <w:bottom w:val="single" w:sz="4" w:space="0" w:color="auto"/>
            </w:tcBorders>
          </w:tcPr>
          <w:p w14:paraId="1649D6D0" w14:textId="77777777" w:rsidR="00DD599F" w:rsidRPr="00F350A6" w:rsidRDefault="00DD599F" w:rsidP="002436F2">
            <w:pPr>
              <w:keepNext/>
              <w:rPr>
                <w:b/>
              </w:rPr>
            </w:pPr>
            <w:r>
              <w:rPr>
                <w:b/>
              </w:rPr>
              <w:t>Aim/methods</w:t>
            </w:r>
          </w:p>
        </w:tc>
        <w:tc>
          <w:tcPr>
            <w:tcW w:w="4536" w:type="dxa"/>
            <w:tcBorders>
              <w:bottom w:val="single" w:sz="4" w:space="0" w:color="auto"/>
            </w:tcBorders>
          </w:tcPr>
          <w:p w14:paraId="29C2B59E" w14:textId="77777777" w:rsidR="00DD599F" w:rsidRPr="00F350A6" w:rsidRDefault="00DD599F" w:rsidP="002436F2">
            <w:pPr>
              <w:keepNext/>
              <w:rPr>
                <w:b/>
              </w:rPr>
            </w:pPr>
            <w:r>
              <w:rPr>
                <w:b/>
              </w:rPr>
              <w:t>Results</w:t>
            </w:r>
          </w:p>
        </w:tc>
        <w:tc>
          <w:tcPr>
            <w:tcW w:w="1843" w:type="dxa"/>
            <w:tcBorders>
              <w:bottom w:val="single" w:sz="4" w:space="0" w:color="auto"/>
            </w:tcBorders>
          </w:tcPr>
          <w:p w14:paraId="2DBE2FE3" w14:textId="77777777" w:rsidR="00DD599F" w:rsidRPr="00F350A6" w:rsidRDefault="00DD599F" w:rsidP="002436F2">
            <w:pPr>
              <w:keepNext/>
              <w:rPr>
                <w:b/>
              </w:rPr>
            </w:pPr>
            <w:r>
              <w:rPr>
                <w:b/>
              </w:rPr>
              <w:t>Comments</w:t>
            </w:r>
          </w:p>
        </w:tc>
      </w:tr>
      <w:tr w:rsidR="00EC59F2" w:rsidRPr="00C8357D" w14:paraId="4624D9EC" w14:textId="77777777" w:rsidTr="004C390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22" w:type="dxa"/>
            <w:tcBorders>
              <w:top w:val="single" w:sz="4" w:space="0" w:color="auto"/>
              <w:left w:val="single" w:sz="4" w:space="0" w:color="auto"/>
              <w:bottom w:val="single" w:sz="4" w:space="0" w:color="auto"/>
              <w:right w:val="single" w:sz="4" w:space="0" w:color="auto"/>
            </w:tcBorders>
          </w:tcPr>
          <w:p w14:paraId="37207684" w14:textId="334F0C6E" w:rsidR="00683907" w:rsidRDefault="00EC59F2" w:rsidP="002436F2">
            <w:r>
              <w:t xml:space="preserve">Pham et al </w:t>
            </w:r>
            <w:r w:rsidR="00683907">
              <w:t>2019</w:t>
            </w:r>
            <w:r w:rsidR="003E2D58">
              <w:fldChar w:fldCharType="begin"/>
            </w:r>
            <w:r w:rsidR="002747EA">
              <w:instrText xml:space="preserve"> ADDIN EN.CITE &lt;EndNote&gt;&lt;Cite&gt;&lt;Author&gt;Pham&lt;/Author&gt;&lt;Year&gt;2019&lt;/Year&gt;&lt;RecNum&gt;1472&lt;/RecNum&gt;&lt;DisplayText&gt;&lt;style face="superscript" font="Trebuchet MS" size="9"&gt;41&lt;/style&gt;&lt;/DisplayText&gt;&lt;record&gt;&lt;rec-number&gt;1472&lt;/rec-number&gt;&lt;foreign-keys&gt;&lt;key app="EN" db-id="exvasrfx2dtraoesasxp2szsxa2df502592x" timestamp="1574039644"&gt;1472&lt;/key&gt;&lt;key app="ENWeb" db-id=""&gt;0&lt;/key&gt;&lt;/foreign-keys&gt;&lt;ref-type name="Journal Article"&gt;17&lt;/ref-type&gt;&lt;contributors&gt;&lt;authors&gt;&lt;author&gt;Pham, N. M.&lt;/author&gt;&lt;author&gt;Do, V. V.&lt;/author&gt;&lt;author&gt;Lee, A. H.&lt;/author&gt;&lt;/authors&gt;&lt;/contributors&gt;&lt;auth-address&gt;School of Public Health, Faculty of Health Sciences, Curtin University, Bentley, WA, Australia. minh.pn@tnu.edu.vn.&amp;#xD;Thai Nguyen University of Medicine and Pharmacy, Thai Nguyen, Vietnam. minh.pn@tnu.edu.vn.&amp;#xD;Center for Population Health Sciences, Hanoi University of Public Health, Hanoi, Vietnam.&amp;#xD;School of Public Health, Faculty of Health Sciences, Curtin University, Bentley, WA, Australia.&lt;/auth-address&gt;&lt;titles&gt;&lt;title&gt;Polyphenol-rich foods and risk of gestational diabetes: a systematic review and meta-analysis&lt;/title&gt;&lt;secondary-title&gt;Eur J Clin Nutr&lt;/secondary-title&gt;&lt;/titles&gt;&lt;periodical&gt;&lt;full-title&gt;Eur J Clin Nutr&lt;/full-title&gt;&lt;/periodical&gt;&lt;pages&gt;647-56&lt;/pages&gt;&lt;volume&gt;73&lt;/volume&gt;&lt;number&gt;5&lt;/number&gt;&lt;edition&gt;2018/06/27&lt;/edition&gt;&lt;dates&gt;&lt;year&gt;2019&lt;/year&gt;&lt;pub-dates&gt;&lt;date&gt;May&lt;/date&gt;&lt;/pub-dates&gt;&lt;/dates&gt;&lt;isbn&gt;1476-5640 (Electronic)&amp;#xD;0954-3007 (Linking)&lt;/isbn&gt;&lt;accession-num&gt;29941912&lt;/accession-num&gt;&lt;urls&gt;&lt;related-urls&gt;&lt;url&gt;https://www.ncbi.nlm.nih.gov/pubmed/29941912&lt;/url&gt;&lt;/related-urls&gt;&lt;/urls&gt;&lt;electronic-resource-num&gt;10.1038/s41430-018-0218-7&lt;/electronic-resource-num&gt;&lt;/record&gt;&lt;/Cite&gt;&lt;/EndNote&gt;</w:instrText>
            </w:r>
            <w:r w:rsidR="003E2D58">
              <w:fldChar w:fldCharType="separate"/>
            </w:r>
            <w:r w:rsidR="002747EA" w:rsidRPr="002747EA">
              <w:rPr>
                <w:noProof/>
                <w:vertAlign w:val="superscript"/>
              </w:rPr>
              <w:t>41</w:t>
            </w:r>
            <w:r w:rsidR="003E2D58">
              <w:fldChar w:fldCharType="end"/>
            </w:r>
          </w:p>
          <w:p w14:paraId="7B15A51C" w14:textId="6F374A0B" w:rsidR="00EC59F2" w:rsidRDefault="00FD3C5B" w:rsidP="002436F2">
            <w:r>
              <w:t>SLR</w:t>
            </w:r>
          </w:p>
        </w:tc>
        <w:tc>
          <w:tcPr>
            <w:tcW w:w="1129" w:type="dxa"/>
            <w:tcBorders>
              <w:top w:val="single" w:sz="4" w:space="0" w:color="auto"/>
              <w:left w:val="single" w:sz="4" w:space="0" w:color="auto"/>
              <w:bottom w:val="single" w:sz="4" w:space="0" w:color="auto"/>
              <w:right w:val="single" w:sz="4" w:space="0" w:color="auto"/>
            </w:tcBorders>
          </w:tcPr>
          <w:p w14:paraId="2762BF1E" w14:textId="77777777" w:rsidR="00EC59F2" w:rsidRDefault="00FD3C5B" w:rsidP="002436F2">
            <w:r>
              <w:t>12 studies:</w:t>
            </w:r>
          </w:p>
          <w:p w14:paraId="575E2366" w14:textId="77777777" w:rsidR="00FD3C5B" w:rsidRDefault="00FD3C5B" w:rsidP="002436F2">
            <w:r>
              <w:t>10 cohort</w:t>
            </w:r>
          </w:p>
          <w:p w14:paraId="5B58A824" w14:textId="77777777" w:rsidR="00FD3C5B" w:rsidRDefault="00FD3C5B" w:rsidP="002436F2">
            <w:r>
              <w:t>1 cross-section</w:t>
            </w:r>
          </w:p>
          <w:p w14:paraId="2CAAFFE5" w14:textId="77777777" w:rsidR="00FD3C5B" w:rsidRDefault="00FD3C5B" w:rsidP="002436F2">
            <w:r>
              <w:t>1 case-control</w:t>
            </w:r>
          </w:p>
          <w:p w14:paraId="086C1F68" w14:textId="0BB92A5C" w:rsidR="00FD3C5B" w:rsidRDefault="00FD3C5B" w:rsidP="002436F2">
            <w:r>
              <w:t>124,959 women</w:t>
            </w:r>
          </w:p>
        </w:tc>
        <w:tc>
          <w:tcPr>
            <w:tcW w:w="4962" w:type="dxa"/>
            <w:tcBorders>
              <w:top w:val="single" w:sz="4" w:space="0" w:color="auto"/>
              <w:left w:val="single" w:sz="4" w:space="0" w:color="auto"/>
              <w:bottom w:val="single" w:sz="4" w:space="0" w:color="auto"/>
              <w:right w:val="single" w:sz="4" w:space="0" w:color="auto"/>
            </w:tcBorders>
          </w:tcPr>
          <w:p w14:paraId="5DAAE655" w14:textId="77777777" w:rsidR="00FD3C5B" w:rsidRDefault="00FD3C5B" w:rsidP="00B0025B">
            <w:r>
              <w:rPr>
                <w:b/>
              </w:rPr>
              <w:t xml:space="preserve">Aim: </w:t>
            </w:r>
            <w:r>
              <w:t>T</w:t>
            </w:r>
            <w:r w:rsidRPr="00EC59F2">
              <w:t xml:space="preserve">o review and meta-analyse evidence concerning the effect of the intake of several polyphenol-rich foods on gestational diabetes (GDM) risk. </w:t>
            </w:r>
          </w:p>
          <w:p w14:paraId="36FD928D" w14:textId="12C84098" w:rsidR="00EC59F2" w:rsidRDefault="00FD3C5B" w:rsidP="00B0025B">
            <w:pPr>
              <w:rPr>
                <w:b/>
              </w:rPr>
            </w:pPr>
            <w:r w:rsidRPr="00FD3C5B">
              <w:rPr>
                <w:b/>
              </w:rPr>
              <w:t>Methods</w:t>
            </w:r>
            <w:r>
              <w:t xml:space="preserve">: </w:t>
            </w:r>
            <w:r w:rsidRPr="00EC59F2">
              <w:t>A systematic literature search was conducted in PubMed, Web of Science and Embase databases for observational studies on the association between dietary intake of foods/diets rich in polyphenols and GDM risk. Inclusion criteria were original research articles with full texts published in peer-reviewed English language journals, which investigated foods within the top 100 richest dietary sources of polyphenols and reported odds ratio/relative risk with their corresponding 95% confidence intervals. The quality of included studies was assessed using the Newcastle-Ottawa Scale. The intake of polyphenol-rich foods and dietary patterns in relation to GDM were pooled with fixed- and random-effects models. In total, 12 (10 cohort, 1 cross-sectional and 1 case-control) studies were included for the final systematic review, comprising 124,959 participants and including 5,786 women with GDM.</w:t>
            </w:r>
          </w:p>
        </w:tc>
        <w:tc>
          <w:tcPr>
            <w:tcW w:w="4536" w:type="dxa"/>
            <w:tcBorders>
              <w:top w:val="single" w:sz="4" w:space="0" w:color="auto"/>
              <w:left w:val="single" w:sz="4" w:space="0" w:color="auto"/>
              <w:bottom w:val="single" w:sz="4" w:space="0" w:color="auto"/>
              <w:right w:val="single" w:sz="4" w:space="0" w:color="auto"/>
            </w:tcBorders>
          </w:tcPr>
          <w:p w14:paraId="38EC06C9" w14:textId="2F502372" w:rsidR="00EC59F2" w:rsidRPr="00EC59F2" w:rsidRDefault="00EC59F2" w:rsidP="00FD3C5B">
            <w:r w:rsidRPr="00EC59F2">
              <w:t>Meta-analyses showed that the risk of GDM was about halved amongst women with the highest score of Mediterranean diet compared to those with the lowest score</w:t>
            </w:r>
            <w:r w:rsidR="00FD3C5B">
              <w:t xml:space="preserve"> (OR 0.57; 95%CI 0.41 to 0.79)</w:t>
            </w:r>
            <w:r w:rsidRPr="00EC59F2">
              <w:t xml:space="preserve">. </w:t>
            </w:r>
          </w:p>
        </w:tc>
        <w:tc>
          <w:tcPr>
            <w:tcW w:w="1843" w:type="dxa"/>
            <w:tcBorders>
              <w:top w:val="single" w:sz="4" w:space="0" w:color="auto"/>
              <w:left w:val="single" w:sz="4" w:space="0" w:color="auto"/>
              <w:bottom w:val="single" w:sz="4" w:space="0" w:color="auto"/>
              <w:right w:val="single" w:sz="4" w:space="0" w:color="auto"/>
            </w:tcBorders>
          </w:tcPr>
          <w:p w14:paraId="51CD2582" w14:textId="0DCE757C" w:rsidR="00EC59F2" w:rsidRPr="00C8357D" w:rsidRDefault="00FB1FA0" w:rsidP="002436F2">
            <w:r>
              <w:t>GDM</w:t>
            </w:r>
          </w:p>
        </w:tc>
      </w:tr>
      <w:tr w:rsidR="00DD599F" w:rsidRPr="00C8357D" w14:paraId="6BD33F07" w14:textId="77777777" w:rsidTr="004C390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22" w:type="dxa"/>
            <w:tcBorders>
              <w:top w:val="single" w:sz="4" w:space="0" w:color="auto"/>
              <w:left w:val="single" w:sz="4" w:space="0" w:color="auto"/>
              <w:bottom w:val="single" w:sz="4" w:space="0" w:color="auto"/>
              <w:right w:val="single" w:sz="4" w:space="0" w:color="auto"/>
            </w:tcBorders>
          </w:tcPr>
          <w:p w14:paraId="1A75AAA7" w14:textId="131F59CA" w:rsidR="00DD599F" w:rsidRDefault="00DD599F" w:rsidP="002747EA">
            <w:r>
              <w:t>Zhang et al 2019</w:t>
            </w:r>
            <w:r w:rsidR="003E2D58">
              <w:fldChar w:fldCharType="begin"/>
            </w:r>
            <w:r w:rsidR="002747EA">
              <w:instrText xml:space="preserve"> ADDIN EN.CITE &lt;EndNote&gt;&lt;Cite&gt;&lt;Author&gt;Zhang&lt;/Author&gt;&lt;Year&gt;2019&lt;/Year&gt;&lt;RecNum&gt;1486&lt;/RecNum&gt;&lt;DisplayText&gt;&lt;style face="superscript" font="Trebuchet MS" size="9"&gt;42&lt;/style&gt;&lt;/DisplayText&gt;&lt;record&gt;&lt;rec-number&gt;1486&lt;/rec-number&gt;&lt;foreign-keys&gt;&lt;key app="EN" db-id="exvasrfx2dtraoesasxp2szsxa2df502592x" timestamp="1574039722"&gt;1486&lt;/key&gt;&lt;key app="ENWeb" db-id=""&gt;0&lt;/key&gt;&lt;/foreign-keys&gt;&lt;ref-type name="Journal Article"&gt;17&lt;/ref-type&gt;&lt;contributors&gt;&lt;authors&gt;&lt;author&gt;Zhang, Y.&lt;/author&gt;&lt;author&gt;Lin, J.&lt;/author&gt;&lt;author&gt;Fu, W.&lt;/author&gt;&lt;author&gt;Liu, S.&lt;/author&gt;&lt;author&gt;Gong, C.&lt;/author&gt;&lt;author&gt;Dai, J.&lt;/author&gt;&lt;/authors&gt;&lt;/contributors&gt;&lt;auth-address&gt;Respiratory Department, Children&amp;apos;s Hospital of Chongqing Medical University, Chongqing, China.&amp;#xD;Key Laboratory of Pediatrics in Chongqing International Science and Technology Cooperation Center for Child Development and Disorders, Ministry of Education Key Laboratory of Child Development and Disorders, Chongqing, China.&lt;/auth-address&gt;&lt;titles&gt;&lt;title&gt;Mediterranean diet during pregnancy and childhood for asthma in children: A systematic review and meta-analysis of observational studies&lt;/title&gt;&lt;secondary-title&gt;Pediatr Pulmonol&lt;/secondary-title&gt;&lt;/titles&gt;&lt;periodical&gt;&lt;full-title&gt;Pediatr Pulmonol&lt;/full-title&gt;&lt;/periodical&gt;&lt;pages&gt;949-961&lt;/pages&gt;&lt;volume&gt;54&lt;/volume&gt;&lt;number&gt;7&lt;/number&gt;&lt;edition&gt;2019/04/19&lt;/edition&gt;&lt;keywords&gt;&lt;keyword&gt;Mediterranean diet&lt;/keyword&gt;&lt;keyword&gt;asthma&lt;/keyword&gt;&lt;keyword&gt;children&lt;/keyword&gt;&lt;keyword&gt;meta-analysis&lt;/keyword&gt;&lt;keyword&gt;wheeze&lt;/keyword&gt;&lt;/keywords&gt;&lt;dates&gt;&lt;year&gt;2019&lt;/year&gt;&lt;pub-dates&gt;&lt;date&gt;Jul&lt;/date&gt;&lt;/pub-dates&gt;&lt;/dates&gt;&lt;isbn&gt;1099-0496 (Electronic)&amp;#xD;1099-0496 (Linking)&lt;/isbn&gt;&lt;accession-num&gt;30997754&lt;/accession-num&gt;&lt;urls&gt;&lt;related-urls&gt;&lt;url&gt;https://www.ncbi.nlm.nih.gov/pubmed/30997754&lt;/url&gt;&lt;/related-urls&gt;&lt;/urls&gt;&lt;electronic-resource-num&gt;10.1002/ppul.24338&lt;/electronic-resource-num&gt;&lt;/record&gt;&lt;/Cite&gt;&lt;/EndNote&gt;</w:instrText>
            </w:r>
            <w:r w:rsidR="003E2D58">
              <w:fldChar w:fldCharType="separate"/>
            </w:r>
            <w:r w:rsidR="002747EA" w:rsidRPr="002747EA">
              <w:rPr>
                <w:noProof/>
                <w:vertAlign w:val="superscript"/>
              </w:rPr>
              <w:t>42</w:t>
            </w:r>
            <w:r w:rsidR="003E2D58">
              <w:fldChar w:fldCharType="end"/>
            </w:r>
          </w:p>
        </w:tc>
        <w:tc>
          <w:tcPr>
            <w:tcW w:w="1129" w:type="dxa"/>
            <w:tcBorders>
              <w:top w:val="single" w:sz="4" w:space="0" w:color="auto"/>
              <w:left w:val="single" w:sz="4" w:space="0" w:color="auto"/>
              <w:bottom w:val="single" w:sz="4" w:space="0" w:color="auto"/>
              <w:right w:val="single" w:sz="4" w:space="0" w:color="auto"/>
            </w:tcBorders>
          </w:tcPr>
          <w:p w14:paraId="2F207F97" w14:textId="461B7236" w:rsidR="00DD599F" w:rsidRDefault="00B0025B" w:rsidP="002436F2">
            <w:r>
              <w:t xml:space="preserve">18 </w:t>
            </w:r>
            <w:r w:rsidR="00014822">
              <w:t>studies</w:t>
            </w:r>
          </w:p>
        </w:tc>
        <w:tc>
          <w:tcPr>
            <w:tcW w:w="4962" w:type="dxa"/>
            <w:tcBorders>
              <w:top w:val="single" w:sz="4" w:space="0" w:color="auto"/>
              <w:left w:val="single" w:sz="4" w:space="0" w:color="auto"/>
              <w:bottom w:val="single" w:sz="4" w:space="0" w:color="auto"/>
              <w:right w:val="single" w:sz="4" w:space="0" w:color="auto"/>
            </w:tcBorders>
          </w:tcPr>
          <w:p w14:paraId="7A86FF95" w14:textId="77777777" w:rsidR="00B0025B" w:rsidRDefault="00B0025B" w:rsidP="00B0025B">
            <w:r>
              <w:rPr>
                <w:b/>
              </w:rPr>
              <w:t xml:space="preserve">Aim: </w:t>
            </w:r>
            <w:r w:rsidRPr="00B0025B">
              <w:t xml:space="preserve">To evaluate the relationship between high adherence to the Mediterranean diet in pregnancy and childhood and the risk of asthma and wheeze in children. </w:t>
            </w:r>
          </w:p>
          <w:p w14:paraId="0CCBA32B" w14:textId="66213BFD" w:rsidR="00DD599F" w:rsidRPr="00572E2A" w:rsidRDefault="00B0025B" w:rsidP="00B0025B">
            <w:pPr>
              <w:rPr>
                <w:b/>
              </w:rPr>
            </w:pPr>
            <w:r w:rsidRPr="00B0025B">
              <w:rPr>
                <w:b/>
              </w:rPr>
              <w:t>Methods</w:t>
            </w:r>
            <w:r w:rsidRPr="00B0025B">
              <w:t>: We conducted searches of PubMed, EMBASE, and Cochrane Central Register of Controlled Trials from inception to 30 October 2018. Observational studies providing risk estimates and corresponding confidence intervals on the association of high adherence to the Mediterranean diet in pregnancy or childhood and the risk of asthma or wheeze in childhood were included. The methodological quality of all included studies was assessed. Summary odds ratios (OR) were calculate</w:t>
            </w:r>
            <w:r>
              <w:t>d using a random-effects model.</w:t>
            </w:r>
          </w:p>
        </w:tc>
        <w:tc>
          <w:tcPr>
            <w:tcW w:w="4536" w:type="dxa"/>
            <w:tcBorders>
              <w:top w:val="single" w:sz="4" w:space="0" w:color="auto"/>
              <w:left w:val="single" w:sz="4" w:space="0" w:color="auto"/>
              <w:bottom w:val="single" w:sz="4" w:space="0" w:color="auto"/>
              <w:right w:val="single" w:sz="4" w:space="0" w:color="auto"/>
            </w:tcBorders>
          </w:tcPr>
          <w:p w14:paraId="6AC3AA10" w14:textId="77777777" w:rsidR="00B0025B" w:rsidRDefault="00B0025B" w:rsidP="00B0025B">
            <w:r w:rsidRPr="00B0025B">
              <w:t>The pooled data suggested high adherence to the Mediterranean diet during pregnancy was associated with a reduced incidence of wh</w:t>
            </w:r>
            <w:r>
              <w:t>eeze in the first 12 months (OR</w:t>
            </w:r>
            <w:r w:rsidRPr="00B0025B">
              <w:t xml:space="preserve"> 0.92; 95%</w:t>
            </w:r>
            <w:r>
              <w:t xml:space="preserve">CI 0.88 to </w:t>
            </w:r>
            <w:r w:rsidRPr="00B0025B">
              <w:t xml:space="preserve">0.95; P &lt; 0.001). However, there was no significant association between high adherence of the Mediterranean diet in pregnancy and any of the other meta-analysis end points including diagnosed asthma. </w:t>
            </w:r>
          </w:p>
          <w:p w14:paraId="7B3F5DE4" w14:textId="16691C46" w:rsidR="00DD599F" w:rsidRPr="00B0025B" w:rsidRDefault="00DD599F" w:rsidP="00B0025B"/>
        </w:tc>
        <w:tc>
          <w:tcPr>
            <w:tcW w:w="1843" w:type="dxa"/>
            <w:tcBorders>
              <w:top w:val="single" w:sz="4" w:space="0" w:color="auto"/>
              <w:left w:val="single" w:sz="4" w:space="0" w:color="auto"/>
              <w:bottom w:val="single" w:sz="4" w:space="0" w:color="auto"/>
              <w:right w:val="single" w:sz="4" w:space="0" w:color="auto"/>
            </w:tcBorders>
          </w:tcPr>
          <w:p w14:paraId="4901F9A6" w14:textId="77777777" w:rsidR="00DD599F" w:rsidRPr="00C8357D" w:rsidRDefault="00DD599F" w:rsidP="002436F2"/>
        </w:tc>
      </w:tr>
    </w:tbl>
    <w:p w14:paraId="150FD70F" w14:textId="45E823BE" w:rsidR="00DA229D" w:rsidRDefault="009C163D" w:rsidP="005719CE">
      <w:pPr>
        <w:pStyle w:val="TableName"/>
        <w:ind w:left="1134" w:hanging="1134"/>
      </w:pPr>
      <w:bookmarkStart w:id="35" w:name="_Toc40956592"/>
      <w:r>
        <w:t xml:space="preserve">Q1 </w:t>
      </w:r>
      <w:r w:rsidR="00DA229D">
        <w:t>Mediterranean diet in pregnancy — RCT</w:t>
      </w:r>
      <w:bookmarkEnd w:id="3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4: Q1 Mediterranean diet in pregnancy — RCT"/>
      </w:tblPr>
      <w:tblGrid>
        <w:gridCol w:w="1416"/>
        <w:gridCol w:w="1417"/>
        <w:gridCol w:w="4679"/>
        <w:gridCol w:w="4537"/>
        <w:gridCol w:w="1843"/>
      </w:tblGrid>
      <w:tr w:rsidR="00DA229D" w:rsidRPr="00F350A6" w14:paraId="368A2E40" w14:textId="77777777" w:rsidTr="008D2B5D">
        <w:trPr>
          <w:cantSplit/>
          <w:trHeight w:val="390"/>
          <w:tblHeader/>
        </w:trPr>
        <w:tc>
          <w:tcPr>
            <w:tcW w:w="1416" w:type="dxa"/>
            <w:tcBorders>
              <w:bottom w:val="single" w:sz="4" w:space="0" w:color="auto"/>
            </w:tcBorders>
          </w:tcPr>
          <w:p w14:paraId="1BBA0ADB" w14:textId="77777777" w:rsidR="00DA229D" w:rsidRPr="00F350A6" w:rsidRDefault="00DA229D" w:rsidP="008D2B5D">
            <w:pPr>
              <w:keepNext/>
              <w:rPr>
                <w:b/>
              </w:rPr>
            </w:pPr>
            <w:r>
              <w:rPr>
                <w:b/>
              </w:rPr>
              <w:t>Study ref</w:t>
            </w:r>
          </w:p>
        </w:tc>
        <w:tc>
          <w:tcPr>
            <w:tcW w:w="1417" w:type="dxa"/>
            <w:tcBorders>
              <w:bottom w:val="single" w:sz="4" w:space="0" w:color="auto"/>
            </w:tcBorders>
          </w:tcPr>
          <w:p w14:paraId="4B3F3412" w14:textId="77777777" w:rsidR="00DA229D" w:rsidRPr="00F350A6" w:rsidRDefault="00DA229D" w:rsidP="008D2B5D">
            <w:pPr>
              <w:keepNext/>
              <w:rPr>
                <w:b/>
              </w:rPr>
            </w:pPr>
            <w:r>
              <w:rPr>
                <w:b/>
              </w:rPr>
              <w:t>N</w:t>
            </w:r>
          </w:p>
        </w:tc>
        <w:tc>
          <w:tcPr>
            <w:tcW w:w="4679" w:type="dxa"/>
            <w:tcBorders>
              <w:bottom w:val="single" w:sz="4" w:space="0" w:color="auto"/>
            </w:tcBorders>
          </w:tcPr>
          <w:p w14:paraId="52BD7F70" w14:textId="77777777" w:rsidR="00DA229D" w:rsidRPr="00F350A6" w:rsidRDefault="00DA229D" w:rsidP="008D2B5D">
            <w:pPr>
              <w:keepNext/>
              <w:rPr>
                <w:b/>
              </w:rPr>
            </w:pPr>
            <w:r>
              <w:rPr>
                <w:b/>
              </w:rPr>
              <w:t>Aim/methods</w:t>
            </w:r>
          </w:p>
        </w:tc>
        <w:tc>
          <w:tcPr>
            <w:tcW w:w="4537" w:type="dxa"/>
            <w:tcBorders>
              <w:bottom w:val="single" w:sz="4" w:space="0" w:color="auto"/>
            </w:tcBorders>
          </w:tcPr>
          <w:p w14:paraId="4ACED0EA" w14:textId="77777777" w:rsidR="00DA229D" w:rsidRPr="00F350A6" w:rsidRDefault="00DA229D" w:rsidP="008D2B5D">
            <w:pPr>
              <w:keepNext/>
              <w:rPr>
                <w:b/>
              </w:rPr>
            </w:pPr>
            <w:r>
              <w:rPr>
                <w:b/>
              </w:rPr>
              <w:t>Results</w:t>
            </w:r>
          </w:p>
        </w:tc>
        <w:tc>
          <w:tcPr>
            <w:tcW w:w="1843" w:type="dxa"/>
            <w:tcBorders>
              <w:bottom w:val="single" w:sz="4" w:space="0" w:color="auto"/>
            </w:tcBorders>
          </w:tcPr>
          <w:p w14:paraId="7B318A0E" w14:textId="77777777" w:rsidR="00DA229D" w:rsidRPr="00F350A6" w:rsidRDefault="00DA229D" w:rsidP="008D2B5D">
            <w:pPr>
              <w:keepNext/>
              <w:rPr>
                <w:b/>
              </w:rPr>
            </w:pPr>
            <w:r>
              <w:rPr>
                <w:b/>
              </w:rPr>
              <w:t>Comments</w:t>
            </w:r>
          </w:p>
        </w:tc>
      </w:tr>
      <w:tr w:rsidR="00A82933" w:rsidRPr="00C8357D" w14:paraId="4332A1D7" w14:textId="77777777" w:rsidTr="008D2B5D">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296F222F" w14:textId="6BFF090A" w:rsidR="00A82933" w:rsidRDefault="00A82933" w:rsidP="008D2B5D">
            <w:r w:rsidRPr="00814460">
              <w:t>Assaf-Balut</w:t>
            </w:r>
            <w:r>
              <w:t xml:space="preserve"> et al 2017</w:t>
            </w:r>
            <w:r>
              <w:fldChar w:fldCharType="begin">
                <w:fldData xml:space="preserve">PEVuZE5vdGU+PENpdGU+PEF1dGhvcj5Bc3NhZi1CYWx1dDwvQXV0aG9yPjxZZWFyPjIwMTc8L1ll
YXI+PFJlY051bT4xMzM4PC9SZWNOdW0+PERpc3BsYXlUZXh0PjxzdHlsZSBmYWNlPSJzdXBlcnNj
cmlwdCIgZm9udD0iVHJlYnVjaGV0IE1TIiBzaXplPSI5Ij40Mzwvc3R5bGU+PC9EaXNwbGF5VGV4
dD48cmVjb3JkPjxyZWMtbnVtYmVyPjEzMzg8L3JlYy1udW1iZXI+PGZvcmVpZ24ta2V5cz48a2V5
IGFwcD0iRU4iIGRiLWlkPSJleHZhc3JmeDJkdHJhb2VzYXN4cDJzenN4YTJkZjUwMjU5MngiIHRp
bWVzdGFtcD0iMTU2NzAzMDk1MSI+MTMzODwva2V5PjxrZXkgYXBwPSJFTldlYiIgZGItaWQ9IiI+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bGlhciwgQy48L2F1dGhvcj48YXV0aG9yPk9ydG9sYSwgQS48L2F1dGhvcj48YXV0aG9yPkppbWVu
ZXosIEkuPC9hdXRob3I+PGF1dGhvcj5IZXJyYWl6LCBNLiBBLjwvYXV0aG9yPjxhdXRob3I+SXpx
dWllcmRvLCBOLjwvYXV0aG9yPjxhdXRob3I+UGVyZXosIE4uPC9hdXRob3I+PGF1dGhvcj5Ub3Jy
ZWpvbiwgTS4gSi48L2F1dGhvcj48YXV0aG9yPk9ydGVnYSwgTS4gSS48L2F1dGhvcj48YXV0aG9y
PklsbGFuYSwgRi4gSi48L2F1dGhvcj48YXV0aG9yPlJ1bmtsZSwgSS48L2F1dGhvcj48YXV0aG9y
PmRlIE1pZ3VlbCwgTS4gUC48L2F1dGhvcj48YXV0aG9yPk1vbnRhbmV6LCBDLjwvYXV0aG9yPjxh
dXRob3I+QmFyYWJhc2gsIEEuPC9hdXRob3I+PGF1dGhvcj5DdWVzdGEsIE0uPC9hdXRob3I+PGF1
dGhvcj5SdWJpbywgTS4gQS48L2F1dGhvcj48YXV0aG9yPkNhbGxlLVBhc2N1YWwsIEEuIEwuPC9h
dXRob3I+PC9hdXRob3JzPjwvY29udHJpYnV0b3JzPjxhdXRoLWFkZHJlc3M+RW5kb2NyaW5vbG9n
eSBhbmQgTnV0cml0aW9uIERlcGFydG1lbnQsIEhvc3BpdGFsIENsaW5pY28gVW5pdmVyc2l0YXJp
byBTYW4gQ2FybG9zIGFuZCBJbnN0aXR1dG8gZGUgSW52ZXN0aWdhY2lvbiBTYW5pdGFyaWEgZGVs
IEhvc3BpdGFsIENsaW5pY28gU2FuIENhcmxvcyAoSWRJU1NDKSwgTWFkcmlkLCBTcGFpbi4mI3hE
O0ZhY3VsdGFkIGRlIE1lZGljaW5hLCBVbml2ZXJzaWRhZCBDb21wbHV0ZW5zZSBkZSBNYWRyaWQs
IE1hZHJpZCwgU3BhaW4uJiN4RDtDZW50cm8gZGUgSW52ZXN0aWdhY2lvbiBCaW9tZWRpY2EgZW4g
UmVkIGRlIERpYWJldGVzIHkgRW5mZXJtZWRhZGVzIE1ldGFib2xpY2FzIEFzb2NpYWRhcyAoQ0lC
RVJERU0pLCBNYWRyaWQsIFNwYWluLiYjeEQ7UHJldmVudGl2ZSBNZWRpY2luZSBEZXBhcnRtZW50
IEhvc3BpdGFsIENsaW5pY28gVW5pdmVyc2l0YXJpbyBTYW4gQ2FybG9zIGFuZCBJbnN0aXR1dG8g
ZGUgSW52ZXN0aWdhY2lvbiBTYW5pdGFyaWEgZGVsIEhvc3BpdGFsIENsaW5pY28gU2FuIENhcmxv
cyAoSWRJU1NDKSwgTWFkcmlkLCBTcGFpbi4mI3hEO0d5bmVjb2xvZ3kgYW5kIE9ic3RldHJpY3Mg
RGVwYXJ0bWVudCwgSG9zcGl0YWwgQ2xpbmljbyBVbml2ZXJzaXRhcmlvIFNhbiBDYXJsb3MgYW5k
IEluc3RpdHV0byBkZSBJbnZlc3RpZ2FjaW9uIFNhbml0YXJpYSBkZWwgSG9zcGl0YWwgQ2xpbmlj
byBTYW4gQ2FybG9zIChJZElTU0MpLCBNYWRyaWQsIFNwYWluLiYjeEQ7Q2xpbmljYWwgTGFib3Jh
dG9yeSBEZXBhcnRtZW50LCBIb3NwaXRhbCBDbGluaWNvIFVuaXZlcnNpdGFyaW8gU2FuIENhcmxv
cyBhbmQgSW5zdGl0dXRvIGRlIEludmVzdGlnYWNpb24gU2FuaXRhcmlhIGRlbCBIb3NwaXRhbCBD
bGluaWNvIFNhbiBDYXJsb3MgKElkSVNTQyksIE1hZHJpZCwgU3BhaW4uPC9hdXRoLWFkZHJlc3M+
PHRpdGxlcz48dGl0bGU+QSBNZWRpdGVycmFuZWFuIGRpZXQgd2l0aCBhZGRpdGlvbmFsIGV4dHJh
IHZpcmdpbiBvbGl2ZSBvaWwgYW5kIHBpc3RhY2hpb3MgcmVkdWNlcyB0aGUgaW5jaWRlbmNlIG9m
IGdlc3RhdGlvbmFsIGRpYWJldGVzIG1lbGxpdHVzIChHRE0pOiBBIHJhbmRvbWl6ZWQgY29udHJv
bGxlZCB0cmlhbDogVGhlIFN0LiBDYXJsb3MgR0RNIHByZXZlbnRpb24gc3R1ZHk8L3RpdGxlPjxz
ZWNvbmRhcnktdGl0bGU+UExvUyBPbmU8L3NlY29uZGFyeS10aXRsZT48L3RpdGxlcz48cGVyaW9k
aWNhbD48ZnVsbC10aXRsZT5QTG9TIE9uZTwvZnVsbC10aXRsZT48L3BlcmlvZGljYWw+PHBhZ2Vz
PmUwMTg1ODczPC9wYWdlcz48dm9sdW1lPjEyPC92b2x1bWU+PG51bWJlcj4xMDwvbnVtYmVyPjxl
ZGl0aW9uPjIwMTcvMTAvMjA8L2VkaXRpb24+PGtleXdvcmRzPjxrZXl3b3JkPkFkdWx0PC9rZXl3
b3JkPjxrZXl3b3JkPkRpYWJldGVzLCBHZXN0YXRpb25hbC8qZGlldCB0aGVyYXB5L2VwaWRlbWlv
bG9neTwva2V5d29yZD48a2V5d29yZD4qRGlldCwgTWVkaXRlcnJhbmVhbjwva2V5d29yZD48a2V5
d29yZD5GZW1hbGU8L2tleXdvcmQ+PGtleXdvcmQ+SHVtYW5zPC9rZXl3b3JkPjxrZXl3b3JkPklu
Y2lkZW5jZTwva2V5d29yZD48a2V5d29yZD5JbmZhbnQsIE5ld2Jvcm48L2tleXdvcmQ+PGtleXdv
cmQ+TGlmZSBTdHlsZTwva2V5d29yZD48a2V5d29yZD5PbGl2ZSBPaWwvKmFkbWluaXN0cmF0aW9u
ICZhbXA7IGRvc2FnZTwva2V5d29yZD48a2V5d29yZD4qUGlzdGFjaWE8L2tleXdvcmQ+PGtleXdv
cmQ+UHJlZ25hbmN5PC9rZXl3b3JkPjxrZXl3b3JkPlByZWduYW5jeSBPdXRjb21lPC9rZXl3b3Jk
PjxrZXl3b3JkPlByb3NwZWN0aXZlIFN0dWRpZXM8L2tleXdvcmQ+PC9rZXl3b3Jkcz48ZGF0ZXM+
PHllYXI+MjAxNzwveWVhcj48L2RhdGVzPjxpc2JuPjE5MzItNjIwMyAoRWxlY3Ryb25pYykmI3hE
OzE5MzItNjIwMyAoTGlua2luZyk8L2lzYm4+PGFjY2Vzc2lvbi1udW0+MjkwNDkzMDM8L2FjY2Vz
c2lvbi1udW0+PHVybHM+PHJlbGF0ZWQtdXJscz48dXJsPmh0dHBzOi8vd3d3Lm5jYmkubmxtLm5p
aC5nb3YvcHVibWVkLzI5MDQ5MzAzPC91cmw+PC9yZWxhdGVkLXVybHM+PC91cmxzPjxjdXN0b20y
PlBNQzU2NDgxMjg8L2N1c3RvbTI+PGVsZWN0cm9uaWMtcmVzb3VyY2UtbnVtPjEwLjEzNzEvam91
cm5hbC5wb25lLjAxODU4NzM8L2VsZWN0cm9uaWMtcmVzb3VyY2UtbnVtPjwvcmVjb3JkPjwvQ2l0
ZT48L0VuZE5vdGU+
</w:fldData>
              </w:fldChar>
            </w:r>
            <w:r w:rsidR="002747EA">
              <w:instrText xml:space="preserve"> ADDIN EN.CITE </w:instrText>
            </w:r>
            <w:r w:rsidR="002747EA">
              <w:fldChar w:fldCharType="begin">
                <w:fldData xml:space="preserve">PEVuZE5vdGU+PENpdGU+PEF1dGhvcj5Bc3NhZi1CYWx1dDwvQXV0aG9yPjxZZWFyPjIwMTc8L1ll
YXI+PFJlY051bT4xMzM4PC9SZWNOdW0+PERpc3BsYXlUZXh0PjxzdHlsZSBmYWNlPSJzdXBlcnNj
cmlwdCIgZm9udD0iVHJlYnVjaGV0IE1TIiBzaXplPSI5Ij40Mzwvc3R5bGU+PC9EaXNwbGF5VGV4
dD48cmVjb3JkPjxyZWMtbnVtYmVyPjEzMzg8L3JlYy1udW1iZXI+PGZvcmVpZ24ta2V5cz48a2V5
IGFwcD0iRU4iIGRiLWlkPSJleHZhc3JmeDJkdHJhb2VzYXN4cDJzenN4YTJkZjUwMjU5MngiIHRp
bWVzdGFtcD0iMTU2NzAzMDk1MSI+MTMzODwva2V5PjxrZXkgYXBwPSJFTldlYiIgZGItaWQ9IiI+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bGlhciwgQy48L2F1dGhvcj48YXV0aG9yPk9ydG9sYSwgQS48L2F1dGhvcj48YXV0aG9yPkppbWVu
ZXosIEkuPC9hdXRob3I+PGF1dGhvcj5IZXJyYWl6LCBNLiBBLjwvYXV0aG9yPjxhdXRob3I+SXpx
dWllcmRvLCBOLjwvYXV0aG9yPjxhdXRob3I+UGVyZXosIE4uPC9hdXRob3I+PGF1dGhvcj5Ub3Jy
ZWpvbiwgTS4gSi48L2F1dGhvcj48YXV0aG9yPk9ydGVnYSwgTS4gSS48L2F1dGhvcj48YXV0aG9y
PklsbGFuYSwgRi4gSi48L2F1dGhvcj48YXV0aG9yPlJ1bmtsZSwgSS48L2F1dGhvcj48YXV0aG9y
PmRlIE1pZ3VlbCwgTS4gUC48L2F1dGhvcj48YXV0aG9yPk1vbnRhbmV6LCBDLjwvYXV0aG9yPjxh
dXRob3I+QmFyYWJhc2gsIEEuPC9hdXRob3I+PGF1dGhvcj5DdWVzdGEsIE0uPC9hdXRob3I+PGF1
dGhvcj5SdWJpbywgTS4gQS48L2F1dGhvcj48YXV0aG9yPkNhbGxlLVBhc2N1YWwsIEEuIEwuPC9h
dXRob3I+PC9hdXRob3JzPjwvY29udHJpYnV0b3JzPjxhdXRoLWFkZHJlc3M+RW5kb2NyaW5vbG9n
eSBhbmQgTnV0cml0aW9uIERlcGFydG1lbnQsIEhvc3BpdGFsIENsaW5pY28gVW5pdmVyc2l0YXJp
byBTYW4gQ2FybG9zIGFuZCBJbnN0aXR1dG8gZGUgSW52ZXN0aWdhY2lvbiBTYW5pdGFyaWEgZGVs
IEhvc3BpdGFsIENsaW5pY28gU2FuIENhcmxvcyAoSWRJU1NDKSwgTWFkcmlkLCBTcGFpbi4mI3hE
O0ZhY3VsdGFkIGRlIE1lZGljaW5hLCBVbml2ZXJzaWRhZCBDb21wbHV0ZW5zZSBkZSBNYWRyaWQs
IE1hZHJpZCwgU3BhaW4uJiN4RDtDZW50cm8gZGUgSW52ZXN0aWdhY2lvbiBCaW9tZWRpY2EgZW4g
UmVkIGRlIERpYWJldGVzIHkgRW5mZXJtZWRhZGVzIE1ldGFib2xpY2FzIEFzb2NpYWRhcyAoQ0lC
RVJERU0pLCBNYWRyaWQsIFNwYWluLiYjeEQ7UHJldmVudGl2ZSBNZWRpY2luZSBEZXBhcnRtZW50
IEhvc3BpdGFsIENsaW5pY28gVW5pdmVyc2l0YXJpbyBTYW4gQ2FybG9zIGFuZCBJbnN0aXR1dG8g
ZGUgSW52ZXN0aWdhY2lvbiBTYW5pdGFyaWEgZGVsIEhvc3BpdGFsIENsaW5pY28gU2FuIENhcmxv
cyAoSWRJU1NDKSwgTWFkcmlkLCBTcGFpbi4mI3hEO0d5bmVjb2xvZ3kgYW5kIE9ic3RldHJpY3Mg
RGVwYXJ0bWVudCwgSG9zcGl0YWwgQ2xpbmljbyBVbml2ZXJzaXRhcmlvIFNhbiBDYXJsb3MgYW5k
IEluc3RpdHV0byBkZSBJbnZlc3RpZ2FjaW9uIFNhbml0YXJpYSBkZWwgSG9zcGl0YWwgQ2xpbmlj
byBTYW4gQ2FybG9zIChJZElTU0MpLCBNYWRyaWQsIFNwYWluLiYjeEQ7Q2xpbmljYWwgTGFib3Jh
dG9yeSBEZXBhcnRtZW50LCBIb3NwaXRhbCBDbGluaWNvIFVuaXZlcnNpdGFyaW8gU2FuIENhcmxv
cyBhbmQgSW5zdGl0dXRvIGRlIEludmVzdGlnYWNpb24gU2FuaXRhcmlhIGRlbCBIb3NwaXRhbCBD
bGluaWNvIFNhbiBDYXJsb3MgKElkSVNTQyksIE1hZHJpZCwgU3BhaW4uPC9hdXRoLWFkZHJlc3M+
PHRpdGxlcz48dGl0bGU+QSBNZWRpdGVycmFuZWFuIGRpZXQgd2l0aCBhZGRpdGlvbmFsIGV4dHJh
IHZpcmdpbiBvbGl2ZSBvaWwgYW5kIHBpc3RhY2hpb3MgcmVkdWNlcyB0aGUgaW5jaWRlbmNlIG9m
IGdlc3RhdGlvbmFsIGRpYWJldGVzIG1lbGxpdHVzIChHRE0pOiBBIHJhbmRvbWl6ZWQgY29udHJv
bGxlZCB0cmlhbDogVGhlIFN0LiBDYXJsb3MgR0RNIHByZXZlbnRpb24gc3R1ZHk8L3RpdGxlPjxz
ZWNvbmRhcnktdGl0bGU+UExvUyBPbmU8L3NlY29uZGFyeS10aXRsZT48L3RpdGxlcz48cGVyaW9k
aWNhbD48ZnVsbC10aXRsZT5QTG9TIE9uZTwvZnVsbC10aXRsZT48L3BlcmlvZGljYWw+PHBhZ2Vz
PmUwMTg1ODczPC9wYWdlcz48dm9sdW1lPjEyPC92b2x1bWU+PG51bWJlcj4xMDwvbnVtYmVyPjxl
ZGl0aW9uPjIwMTcvMTAvMjA8L2VkaXRpb24+PGtleXdvcmRzPjxrZXl3b3JkPkFkdWx0PC9rZXl3
b3JkPjxrZXl3b3JkPkRpYWJldGVzLCBHZXN0YXRpb25hbC8qZGlldCB0aGVyYXB5L2VwaWRlbWlv
bG9neTwva2V5d29yZD48a2V5d29yZD4qRGlldCwgTWVkaXRlcnJhbmVhbjwva2V5d29yZD48a2V5
d29yZD5GZW1hbGU8L2tleXdvcmQ+PGtleXdvcmQ+SHVtYW5zPC9rZXl3b3JkPjxrZXl3b3JkPklu
Y2lkZW5jZTwva2V5d29yZD48a2V5d29yZD5JbmZhbnQsIE5ld2Jvcm48L2tleXdvcmQ+PGtleXdv
cmQ+TGlmZSBTdHlsZTwva2V5d29yZD48a2V5d29yZD5PbGl2ZSBPaWwvKmFkbWluaXN0cmF0aW9u
ICZhbXA7IGRvc2FnZTwva2V5d29yZD48a2V5d29yZD4qUGlzdGFjaWE8L2tleXdvcmQ+PGtleXdv
cmQ+UHJlZ25hbmN5PC9rZXl3b3JkPjxrZXl3b3JkPlByZWduYW5jeSBPdXRjb21lPC9rZXl3b3Jk
PjxrZXl3b3JkPlByb3NwZWN0aXZlIFN0dWRpZXM8L2tleXdvcmQ+PC9rZXl3b3Jkcz48ZGF0ZXM+
PHllYXI+MjAxNzwveWVhcj48L2RhdGVzPjxpc2JuPjE5MzItNjIwMyAoRWxlY3Ryb25pYykmI3hE
OzE5MzItNjIwMyAoTGlua2luZyk8L2lzYm4+PGFjY2Vzc2lvbi1udW0+MjkwNDkzMDM8L2FjY2Vz
c2lvbi1udW0+PHVybHM+PHJlbGF0ZWQtdXJscz48dXJsPmh0dHBzOi8vd3d3Lm5jYmkubmxtLm5p
aC5nb3YvcHVibWVkLzI5MDQ5MzAzPC91cmw+PC9yZWxhdGVkLXVybHM+PC91cmxzPjxjdXN0b20y
PlBNQzU2NDgxMjg8L2N1c3RvbTI+PGVsZWN0cm9uaWMtcmVzb3VyY2UtbnVtPjEwLjEzNzEvam91
cm5hbC5wb25lLjAxODU4NzM8L2VsZWN0cm9uaWMtcmVzb3VyY2UtbnVtPjwvcmVjb3JkPjwvQ2l0
ZT48L0VuZE5vdGU+
</w:fldData>
              </w:fldChar>
            </w:r>
            <w:r w:rsidR="002747EA">
              <w:instrText xml:space="preserve"> ADDIN EN.CITE.DATA </w:instrText>
            </w:r>
            <w:r w:rsidR="002747EA">
              <w:fldChar w:fldCharType="end"/>
            </w:r>
            <w:r>
              <w:fldChar w:fldCharType="separate"/>
            </w:r>
            <w:r w:rsidR="002747EA" w:rsidRPr="002747EA">
              <w:rPr>
                <w:noProof/>
                <w:vertAlign w:val="superscript"/>
              </w:rPr>
              <w:t>43</w:t>
            </w:r>
            <w:r>
              <w:fldChar w:fldCharType="end"/>
            </w:r>
          </w:p>
          <w:p w14:paraId="277F3420" w14:textId="77777777" w:rsidR="00A82933" w:rsidRDefault="00A82933" w:rsidP="008D2B5D">
            <w:r>
              <w:t xml:space="preserve">Spain </w:t>
            </w:r>
          </w:p>
          <w:p w14:paraId="55FF7B4D" w14:textId="77777777" w:rsidR="00A82933" w:rsidRDefault="00A82933" w:rsidP="008D2B5D">
            <w:r>
              <w:t>RCT</w:t>
            </w:r>
          </w:p>
          <w:p w14:paraId="452A2458" w14:textId="77777777" w:rsidR="00A82933" w:rsidRPr="00814460" w:rsidRDefault="00A82933" w:rsidP="008D2B5D">
            <w:r w:rsidRPr="000C2B4C">
              <w:t>St. Carlos</w:t>
            </w:r>
            <w:r>
              <w:t xml:space="preserve"> </w:t>
            </w:r>
            <w:r w:rsidRPr="000C2B4C">
              <w:t>Gestational Diabetes Mellitus Prevention Study</w:t>
            </w:r>
          </w:p>
        </w:tc>
        <w:tc>
          <w:tcPr>
            <w:tcW w:w="1417" w:type="dxa"/>
            <w:tcBorders>
              <w:top w:val="single" w:sz="4" w:space="0" w:color="auto"/>
              <w:left w:val="single" w:sz="4" w:space="0" w:color="auto"/>
              <w:bottom w:val="single" w:sz="4" w:space="0" w:color="auto"/>
              <w:right w:val="single" w:sz="4" w:space="0" w:color="auto"/>
            </w:tcBorders>
          </w:tcPr>
          <w:p w14:paraId="7CC128F8" w14:textId="77777777" w:rsidR="00A82933" w:rsidRDefault="00A82933" w:rsidP="008D2B5D">
            <w:r>
              <w:t>Intervention 434</w:t>
            </w:r>
          </w:p>
          <w:p w14:paraId="194DAC9B" w14:textId="77777777" w:rsidR="00A82933" w:rsidRDefault="00A82933" w:rsidP="008D2B5D">
            <w:r>
              <w:t>Control 440</w:t>
            </w:r>
          </w:p>
        </w:tc>
        <w:tc>
          <w:tcPr>
            <w:tcW w:w="4679" w:type="dxa"/>
            <w:tcBorders>
              <w:top w:val="single" w:sz="4" w:space="0" w:color="auto"/>
              <w:left w:val="single" w:sz="4" w:space="0" w:color="auto"/>
              <w:bottom w:val="single" w:sz="4" w:space="0" w:color="auto"/>
              <w:right w:val="single" w:sz="4" w:space="0" w:color="auto"/>
            </w:tcBorders>
          </w:tcPr>
          <w:p w14:paraId="53E3692F" w14:textId="77777777" w:rsidR="00A82933" w:rsidRDefault="00A82933" w:rsidP="008D2B5D">
            <w:r w:rsidRPr="008930D8">
              <w:rPr>
                <w:b/>
              </w:rPr>
              <w:t>Aim</w:t>
            </w:r>
            <w:r>
              <w:t>: To assess w</w:t>
            </w:r>
            <w:r w:rsidRPr="008930D8">
              <w:t xml:space="preserve">hether a Mediterranean diet can help prevent GDM in unselected pregnant women. </w:t>
            </w:r>
          </w:p>
          <w:p w14:paraId="564716BA" w14:textId="0FA35F62" w:rsidR="00A82933" w:rsidRDefault="00A82933" w:rsidP="00D331D8">
            <w:pPr>
              <w:rPr>
                <w:b/>
              </w:rPr>
            </w:pPr>
            <w:r w:rsidRPr="008930D8">
              <w:rPr>
                <w:b/>
              </w:rPr>
              <w:t>Methods</w:t>
            </w:r>
            <w:r w:rsidRPr="008930D8">
              <w:t>: We c</w:t>
            </w:r>
            <w:r w:rsidR="00145B96">
              <w:t>onducted a prospective, randomis</w:t>
            </w:r>
            <w:r w:rsidRPr="008930D8">
              <w:t xml:space="preserve">ed controlled trial to evaluate the incidence of GDM with two different dietary models. All consecutive </w:t>
            </w:r>
            <w:r w:rsidR="00501148" w:rsidRPr="008930D8">
              <w:t>normoglyc</w:t>
            </w:r>
            <w:r w:rsidR="00501148">
              <w:t>a</w:t>
            </w:r>
            <w:r w:rsidR="00501148" w:rsidRPr="008930D8">
              <w:t>emic</w:t>
            </w:r>
            <w:r w:rsidRPr="008930D8">
              <w:t xml:space="preserve"> (&lt;92 mg/dL) pregnant women at 8-12 gestational weeks (GW) were assigned to Intervention Group: MedDiet supplemented with extra virgin olive oil (EVOO) and pistachios; or Control Group: standard diet with limited fat intake. Primary outcome was to assess the effect of the intervention on GDM incidence at 24-28 GW. Gestational weight gain (GWG), pregnancy-induced hypertension, caesarean section (CS), preterm delivery, perineal trauma, small and large for gestational age (SGA and LGA) and admissions to neonatal intensive care unit were also assessed. Analysis was by intention-to-treat. </w:t>
            </w:r>
          </w:p>
        </w:tc>
        <w:tc>
          <w:tcPr>
            <w:tcW w:w="4537" w:type="dxa"/>
            <w:tcBorders>
              <w:top w:val="single" w:sz="4" w:space="0" w:color="auto"/>
              <w:left w:val="single" w:sz="4" w:space="0" w:color="auto"/>
              <w:bottom w:val="single" w:sz="4" w:space="0" w:color="auto"/>
              <w:right w:val="single" w:sz="4" w:space="0" w:color="auto"/>
            </w:tcBorders>
          </w:tcPr>
          <w:p w14:paraId="003FB192" w14:textId="77777777" w:rsidR="00A82933" w:rsidRDefault="00A82933" w:rsidP="008D2B5D">
            <w:r>
              <w:t>Intervention vs control:</w:t>
            </w:r>
            <w:r w:rsidRPr="008930D8">
              <w:t xml:space="preserve"> </w:t>
            </w:r>
          </w:p>
          <w:p w14:paraId="5D26CFD8" w14:textId="726D03CD" w:rsidR="00A82933" w:rsidRDefault="00A82933" w:rsidP="008D2B5D">
            <w:pPr>
              <w:pStyle w:val="bullet"/>
            </w:pPr>
            <w:r>
              <w:t>Gestational diabetes: aRR</w:t>
            </w:r>
            <w:r w:rsidRPr="008930D8">
              <w:t xml:space="preserve"> 0.75</w:t>
            </w:r>
            <w:r>
              <w:t xml:space="preserve"> (</w:t>
            </w:r>
            <w:r w:rsidRPr="008930D8">
              <w:t>0.57</w:t>
            </w:r>
            <w:r w:rsidR="008178BB">
              <w:t xml:space="preserve"> to 0.98);</w:t>
            </w:r>
            <w:r>
              <w:t xml:space="preserve"> p=</w:t>
            </w:r>
            <w:r w:rsidR="008178BB">
              <w:t>0.039</w:t>
            </w:r>
          </w:p>
          <w:p w14:paraId="24DDCA38" w14:textId="6BA38AC0" w:rsidR="008178BB" w:rsidRDefault="008178BB" w:rsidP="008D2B5D">
            <w:pPr>
              <w:pStyle w:val="bullet"/>
            </w:pPr>
            <w:r>
              <w:t>Insulin-treated gestational diabetes aRR 0.43 (0.24 to 0.78); p=0.005</w:t>
            </w:r>
          </w:p>
          <w:p w14:paraId="3B909333" w14:textId="56F1175B" w:rsidR="008178BB" w:rsidRPr="008D2B5D" w:rsidRDefault="008178BB" w:rsidP="008178BB">
            <w:pPr>
              <w:pStyle w:val="bullet"/>
            </w:pPr>
            <w:r>
              <w:t xml:space="preserve">Preterm birth: aRR </w:t>
            </w:r>
            <w:r w:rsidRPr="008D2B5D">
              <w:t xml:space="preserve">0.29 </w:t>
            </w:r>
            <w:r>
              <w:t>(</w:t>
            </w:r>
            <w:r w:rsidRPr="008D2B5D">
              <w:t>0.11</w:t>
            </w:r>
            <w:r>
              <w:t xml:space="preserve"> to </w:t>
            </w:r>
            <w:r w:rsidRPr="008D2B5D">
              <w:t>0.77</w:t>
            </w:r>
            <w:r>
              <w:t>); p=</w:t>
            </w:r>
            <w:r w:rsidRPr="008D2B5D">
              <w:t>0.013</w:t>
            </w:r>
          </w:p>
          <w:p w14:paraId="346BD149" w14:textId="50172A5A" w:rsidR="008178BB" w:rsidRPr="008D2B5D" w:rsidRDefault="00C97E3A" w:rsidP="008178BB">
            <w:pPr>
              <w:pStyle w:val="bullet"/>
            </w:pPr>
            <w:r>
              <w:t>Small for gestational age</w:t>
            </w:r>
            <w:r w:rsidR="008178BB">
              <w:t xml:space="preserve">: aRR </w:t>
            </w:r>
            <w:r w:rsidR="008178BB" w:rsidRPr="008D2B5D">
              <w:t xml:space="preserve">0.21 </w:t>
            </w:r>
            <w:r w:rsidR="008178BB">
              <w:t>(</w:t>
            </w:r>
            <w:r w:rsidR="008178BB" w:rsidRPr="008D2B5D">
              <w:t>0.08</w:t>
            </w:r>
            <w:r w:rsidR="008178BB">
              <w:t xml:space="preserve"> to </w:t>
            </w:r>
            <w:r w:rsidR="008178BB" w:rsidRPr="008D2B5D">
              <w:t>0.54</w:t>
            </w:r>
            <w:r w:rsidR="008178BB">
              <w:t>); p=</w:t>
            </w:r>
            <w:r w:rsidR="008178BB" w:rsidRPr="008D2B5D">
              <w:t>0.001</w:t>
            </w:r>
          </w:p>
          <w:p w14:paraId="2748BB7B" w14:textId="2F12ECA8" w:rsidR="008178BB" w:rsidRPr="008D2B5D" w:rsidRDefault="00C97E3A" w:rsidP="008178BB">
            <w:pPr>
              <w:pStyle w:val="bullet"/>
            </w:pPr>
            <w:r>
              <w:t>Large for gestational age</w:t>
            </w:r>
            <w:r w:rsidR="008178BB">
              <w:t xml:space="preserve">: aRR </w:t>
            </w:r>
            <w:r w:rsidR="008178BB" w:rsidRPr="008D2B5D">
              <w:t xml:space="preserve">0.19 </w:t>
            </w:r>
            <w:r w:rsidR="008178BB">
              <w:t>(</w:t>
            </w:r>
            <w:r w:rsidR="008178BB" w:rsidRPr="008D2B5D">
              <w:t>0.07</w:t>
            </w:r>
            <w:r w:rsidR="008178BB">
              <w:t xml:space="preserve"> to 0.57); p=</w:t>
            </w:r>
            <w:r w:rsidR="008178BB" w:rsidRPr="008D2B5D">
              <w:t>0.003</w:t>
            </w:r>
          </w:p>
          <w:p w14:paraId="2C4D2EFB" w14:textId="26188342" w:rsidR="008178BB" w:rsidRPr="008D2B5D" w:rsidRDefault="008178BB" w:rsidP="008178BB">
            <w:pPr>
              <w:pStyle w:val="bullet"/>
            </w:pPr>
            <w:r>
              <w:t>Emergency cesarean section: aRR</w:t>
            </w:r>
            <w:r w:rsidRPr="008D2B5D">
              <w:t xml:space="preserve"> 0.30 </w:t>
            </w:r>
            <w:r>
              <w:t>(</w:t>
            </w:r>
            <w:r w:rsidRPr="008D2B5D">
              <w:t>0.14</w:t>
            </w:r>
            <w:r>
              <w:t xml:space="preserve"> to 0.63) p=</w:t>
            </w:r>
            <w:r w:rsidRPr="008D2B5D">
              <w:t>0.001</w:t>
            </w:r>
          </w:p>
          <w:p w14:paraId="4152C2A9" w14:textId="509749A5" w:rsidR="00A82933" w:rsidRPr="008178BB" w:rsidRDefault="008178BB" w:rsidP="008178BB">
            <w:pPr>
              <w:pStyle w:val="bullet"/>
            </w:pPr>
            <w:r>
              <w:t xml:space="preserve">Perineal trauma: aRR </w:t>
            </w:r>
            <w:r w:rsidRPr="008D2B5D">
              <w:t xml:space="preserve">0.21 </w:t>
            </w:r>
            <w:r>
              <w:t>(</w:t>
            </w:r>
            <w:r w:rsidRPr="008D2B5D">
              <w:t>0.12</w:t>
            </w:r>
            <w:r>
              <w:t xml:space="preserve"> to 0.36); p=</w:t>
            </w:r>
            <w:r w:rsidRPr="008D2B5D">
              <w:t>0.001</w:t>
            </w:r>
          </w:p>
        </w:tc>
        <w:tc>
          <w:tcPr>
            <w:tcW w:w="1843" w:type="dxa"/>
            <w:tcBorders>
              <w:top w:val="single" w:sz="4" w:space="0" w:color="auto"/>
              <w:left w:val="single" w:sz="4" w:space="0" w:color="auto"/>
              <w:bottom w:val="single" w:sz="4" w:space="0" w:color="auto"/>
              <w:right w:val="single" w:sz="4" w:space="0" w:color="auto"/>
            </w:tcBorders>
          </w:tcPr>
          <w:p w14:paraId="1F02A2F7" w14:textId="040DC366" w:rsidR="00A82933" w:rsidRPr="00C8357D" w:rsidRDefault="00A82933" w:rsidP="008D2B5D"/>
        </w:tc>
      </w:tr>
      <w:tr w:rsidR="00A82933" w:rsidRPr="00C8357D" w14:paraId="7B5ED865" w14:textId="77777777" w:rsidTr="008D2B5D">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08779338" w14:textId="6CD765AD" w:rsidR="00A82933" w:rsidRDefault="00A82933" w:rsidP="008D2B5D">
            <w:r w:rsidRPr="00814460">
              <w:t>Assaf-Balut</w:t>
            </w:r>
            <w:r>
              <w:t xml:space="preserve"> et al 2018</w:t>
            </w:r>
            <w:r>
              <w:fldChar w:fldCharType="begin">
                <w:fldData xml:space="preserve">PEVuZE5vdGU+PENpdGU+PEF1dGhvcj5Bc3NhZi1CYWx1dDwvQXV0aG9yPjxZZWFyPjIwMTg8L1ll
YXI+PFJlY051bT4xMzM5PC9SZWNOdW0+PERpc3BsYXlUZXh0PjxzdHlsZSBmYWNlPSJzdXBlcnNj
cmlwdCIgZm9udD0iVHJlYnVjaGV0IE1TIiBzaXplPSI5Ij40NDwvc3R5bGU+PC9EaXNwbGF5VGV4
dD48cmVjb3JkPjxyZWMtbnVtYmVyPjEzMzk8L3JlYy1udW1iZXI+PGZvcmVpZ24ta2V5cz48a2V5
IGFwcD0iRU4iIGRiLWlkPSJleHZhc3JmeDJkdHJhb2VzYXN4cDJzenN4YTJkZjUwMjU5MngiIHRp
bWVzdGFtcD0iMTU2NzAzMDk1NSI+MTMzOTwva2V5PjxrZXkgYXBwPSJFTldlYiIgZGItaWQ9IiI+
MDwva2V5PjwvZm9yZWlnbi1rZXlzPjxyZWYtdHlwZSBuYW1lPSJKb3VybmFsIEFydGljbGUiPjE3
PC9yZWYtdHlwZT48Y29udHJpYnV0b3JzPjxhdXRob3JzPjxhdXRob3I+QXNzYWYtQmFsdXQsIEMu
PC9hdXRob3I+PGF1dGhvcj5HYXJjaWEgZGUgbGEgVG9ycmUsIE4uPC9hdXRob3I+PGF1dGhvcj5G
dWVudGVzLCBNLjwvYXV0aG9yPjxhdXRob3I+RHVyYW4sIEEuPC9hdXRob3I+PGF1dGhvcj5Cb3Jk
aXUsIEUuPC9hdXRob3I+PGF1dGhvcj5EZWwgVmFsbGUsIEwuPC9hdXRob3I+PGF1dGhvcj5WYWxl
cmlvLCBKLjwvYXV0aG9yPjxhdXRob3I+SmltZW5leiwgSS48L2F1dGhvcj48YXV0aG9yPkhlcnJh
aXosIE0uIEEuPC9hdXRob3I+PGF1dGhvcj5JenF1aWVyZG8sIE4uPC9hdXRob3I+PGF1dGhvcj5U
b3JyZWpvbiwgTS4gSi48L2F1dGhvcj48YXV0aG9yPmRlIE1pZ3VlbCwgTS4gUC48L2F1dGhvcj48
YXV0aG9yPkJhcmFiYXNoLCBBLjwvYXV0aG9yPjxhdXRob3I+Q3Vlc3RhLCBNLjwvYXV0aG9yPjxh
dXRob3I+UnViaW8sIE0uIEEuPC9hdXRob3I+PGF1dGhvcj5DYWxsZS1QYXNjdWFsLCBBLiBMLjwv
YXV0aG9yPjwvYXV0aG9ycz48L2NvbnRyaWJ1dG9ycz48YXV0aC1hZGRyZXNzPkVuZG9jcmlub2xv
Z3kgYW5kIE51dHJpdGlvbiBEZXBhcnRtZW50LCBIb3NwaXRhbCBDbGluaWNvIFNhbiBDYXJsb3Mg
YW5kIEluc3RpdHV0byBkZSBJbnZlc3RpZ2FjaW9uIFNhbml0YXJpYSBkZWwgSG9zcGl0YWwgQ2xp
bmljbyBTYW4gQ2FybG9zIChJZElTU0MpLCAyODA0MCBNYWRyaWQsIFNwYWluLiBjYXJsYWFzc2Fm
YmFsdXQ5MEBob3RtYWlsLmNvLnVrLiYjeEQ7RmFjdWx0eSBvZiBNZWRpY2luZSwgVW5pdmVyc2lk
YWQgQ29tcGx1dGVuc2UgZGUgTWFkcmlkLCAyODA0MCBNYWRyaWQsIFNwYWluLiBjYXJsYWFzc2Fm
YmFsdXQ5MEBob3RtYWlsLmNvLnVrLiYjeEQ7RW5kb2NyaW5vbG9neSBhbmQgTnV0cml0aW9uIERl
cGFydG1lbnQsIEhvc3BpdGFsIENsaW5pY28gU2FuIENhcmxvcyBhbmQgSW5zdGl0dXRvIGRlIElu
dmVzdGlnYWNpb24gU2FuaXRhcmlhIGRlbCBIb3NwaXRhbCBDbGluaWNvIFNhbiBDYXJsb3MgKElk
SVNTQyksIDI4MDQwIE1hZHJpZCwgU3BhaW4uIG51cmlhbG9ib0Bob3RtYWlsLmNvbS4mI3hEO1By
ZXZlbnRpdmUgTWVkaWNpbmUgRGVwYXJ0bWVudCwgSG9zcGl0YWwgQ2xpbmljbyBVbml2ZXJzaXRh
cmlvIFNhbiBDYXJsb3MgYW5kIEluc3RpdHV0byBkZSBJbnZlc3RpZ2FjaW9uIFNhbml0YXJpYSBk
ZWwgSG9zcGl0YWwgQ2xpbmljbyBTYW4gQ2FybG9zIChJZElTU0MpLCAyODA0MCBNYWRyaWQsIFNw
YWluLiBtZnVlbnRlc2ZlcnJlckBnbWFpbC5jb20uJiN4RDtFbmRvY3Jpbm9sb2d5IGFuZCBOdXRy
aXRpb24gRGVwYXJ0bWVudCwgSG9zcGl0YWwgQ2xpbmljbyBTYW4gQ2FybG9zIGFuZCBJbnN0aXR1
dG8gZGUgSW52ZXN0aWdhY2lvbiBTYW5pdGFyaWEgZGVsIEhvc3BpdGFsIENsaW5pY28gU2FuIENh
cmxvcyAoSWRJU1NDKSwgMjgwNDAgTWFkcmlkLCBTcGFpbi4gYWR1cmFucmhAaG90bWFpbC5jb20u
JiN4RDtGYWN1bHR5IG9mIE1lZGljaW5lLCBVbml2ZXJzaWRhZCBDb21wbHV0ZW5zZSBkZSBNYWRy
aWQsIDI4MDQwIE1hZHJpZCwgU3BhaW4uIGFkdXJhbnJoQGhvdG1haWwuY29tLiYjeEQ7RW5kb2Ny
aW5vbG9neSBhbmQgTnV0cml0aW9uIERlcGFydG1lbnQsIEhvc3BpdGFsIENsaW5pY28gU2FuIENh
cmxvcyBhbmQgSW5zdGl0dXRvIGRlIEludmVzdGlnYWNpb24gU2FuaXRhcmlhIGRlbCBIb3NwaXRh
bCBDbGluaWNvIFNhbiBDYXJsb3MgKElkSVNTQyksIDI4MDQwIE1hZHJpZCwgU3BhaW4uIGVsZW5h
LmJvcmRpdUBzYWx1ZC5tYWRyaWQub3JnLiYjeEQ7RmFjdWx0eSBvZiBNZWRpY2luZSwgVW5pdmVy
c2lkYWQgQ29tcGx1dGVuc2UgZGUgTWFkcmlkLCAyODA0MCBNYWRyaWQsIFNwYWluLiBlbGVuYS5i
b3JkaXVAc2FsdWQubWFkcmlkLm9yZy4mI3hEO0VuZG9jcmlub2xvZ3kgYW5kIE51dHJpdGlvbiBE
ZXBhcnRtZW50LCBIb3NwaXRhbCBDbGluaWNvIFNhbiBDYXJsb3MgYW5kIEluc3RpdHV0byBkZSBJ
bnZlc3RpZ2FjaW9uIFNhbml0YXJpYSBkZWwgSG9zcGl0YWwgQ2xpbmljbyBTYW4gQ2FybG9zIChJ
ZElTU0MpLCAyODA0MCBNYWRyaWQsIFNwYWluLiBsYXVyYWRlbF92YWxsZUBob3RtYWlsLmNvbS4m
I3hEO0VuZG9jcmlub2xvZ3kgYW5kIE51dHJpdGlvbiBEZXBhcnRtZW50LCBIb3NwaXRhbCBDbGlu
aWNvIFNhbiBDYXJsb3MgYW5kIEluc3RpdHV0byBkZSBJbnZlc3RpZ2FjaW9uIFNhbml0YXJpYSBk
ZWwgSG9zcGl0YWwgQ2xpbmljbyBTYW4gQ2FybG9zIChJZElTU0MpLCAyODA0MCBNYWRyaWQsIFNw
YWluLiB2YWxlcmlvam9oYW5uYUBnbWFpbC5jb20uJiN4RDtFbmRvY3Jpbm9sb2d5IGFuZCBOdXRy
aXRpb24gRGVwYXJ0bWVudCwgSG9zcGl0YWwgQ2xpbmljbyBTYW4gQ2FybG9zIGFuZCBJbnN0aXR1
dG8gZGUgSW52ZXN0aWdhY2lvbiBTYW5pdGFyaWEgZGVsIEhvc3BpdGFsIENsaW5pY28gU2FuIENh
cmxvcyAoSWRJU1NDKSwgMjgwNDAgTWFkcmlkLCBTcGFpbi4gaS5qaW1lbmV6LnZhcmFzQGdtYWls
LmNvbS4mI3hEO0ZhY3VsdHkgb2YgTWVkaWNpbmUsIFVuaXZlcnNpZGFkIENvbXBsdXRlbnNlIGRl
IE1hZHJpZCwgMjgwNDAgTWFkcmlkLCBTcGFpbi4gbWFoZXJyYWl6bUBnbWFpbC5jb20uJiN4RDtH
eW5lY29sb2d5IGFuZCBPYnN0ZXRyaWNzIERlcGFydG1lbnQsIEhvc3BpdGFsIENsaW5pY28gVW5p
dmVyc2l0YXJpbyBTYW4gQ2FybG9zIGFuZCBJbnN0aXR1dG8gZGUgSW52ZXN0aWdhY2lvbiBTYW5p
dGFyaWEgZGVsIEhvc3BpdGFsIENsaW5pY28gU2FuIENhcmxvcyAoSWRJU1NDKSwgMjgwNDAgTWFk
cmlkLCBTcGFpbi4gbWFoZXJyYWl6bUBnbWFpbC5jb20uJiN4RDtGYWN1bHR5IG9mIE1lZGljaW5l
LCBVbml2ZXJzaWRhZCBDb21wbHV0ZW5zZSBkZSBNYWRyaWQsIDI4MDQwIE1hZHJpZCwgU3BhaW4u
IG51cmlhaXpxdWllcmRvNEBnbWFpbC5jb20uJiN4RDtHeW5lY29sb2d5IGFuZCBPYnN0ZXRyaWNz
IERlcGFydG1lbnQsIEhvc3BpdGFsIENsaW5pY28gVW5pdmVyc2l0YXJpbyBTYW4gQ2FybG9zIGFu
ZCBJbnN0aXR1dG8gZGUgSW52ZXN0aWdhY2lvbiBTYW5pdGFyaWEgZGVsIEhvc3BpdGFsIENsaW5p
Y28gU2FuIENhcmxvcyAoSWRJU1NDKSwgMjgwNDAgTWFkcmlkLCBTcGFpbi4gbnVyaWFpenF1aWVy
ZG80QGdtYWlsLmNvbS4mI3hEO0NsaW5pY2FsIExhYm9yYXRvcnkgRGVwYXJ0bWVudCwgSG9zcGl0
YWwgQ2xpbmljbyBVbml2ZXJzaXRhcmlvIFNhbiBDYXJsb3MgYW5kIEluc3RpdHV0byBkZSBJbnZl
c3RpZ2FjaW9uIFNhbml0YXJpYSBkZWwgSG9zcGl0YWwgQ2xpbmljbyBTYW4gQ2FybG9zIChJZElT
U0MpLCAyODA0MCBNYWRyaWQsIFNwYWluLiBtam9zZXRvcnJlam9uQGdtYWlsLmNvbS4mI3hEO0Vu
ZG9jcmlub2xvZ3kgYW5kIE51dHJpdGlvbiBEZXBhcnRtZW50LCBIb3NwaXRhbCBDbGluaWNvIFNh
biBDYXJsb3MgYW5kIEluc3RpdHV0byBkZSBJbnZlc3RpZ2FjaW9uIFNhbml0YXJpYSBkZWwgSG9z
cGl0YWwgQ2xpbmljbyBTYW4gQ2FybG9zIChJZElTU0MpLCAyODA0MCBNYWRyaWQsIFNwYWluLiBw
YXpkZW1pZ3VlbEB0ZWxlZm9uaWNhLm5ldC4mI3hEO0ZhY3VsdHkgb2YgTWVkaWNpbmUsIFVuaXZl
cnNpZGFkIENvbXBsdXRlbnNlIGRlIE1hZHJpZCwgMjgwNDAgTWFkcmlkLCBTcGFpbi4gcGF6ZGVt
aWd1ZWxAdGVsZWZvbmljYS5uZXQuJiN4RDtFbmRvY3Jpbm9sb2d5IGFuZCBOdXRyaXRpb24gRGVw
YXJ0bWVudCwgSG9zcGl0YWwgQ2xpbmljbyBTYW4gQ2FybG9zIGFuZCBJbnN0aXR1dG8gZGUgSW52
ZXN0aWdhY2lvbiBTYW5pdGFyaWEgZGVsIEhvc3BpdGFsIENsaW5pY28gU2FuIENhcmxvcyAoSWRJ
U1NDKSwgMjgwNDAgTWFkcmlkLCBTcGFpbi4gYW5hLmJhcmFiYXNoQGdtYWlsLmNvbS4mI3hEO0Nl
bnRybyBkZSBJbnZlc3RpZ2FjaW9uIEJpb21lZGljYSBlbiBSZWQgZGUgRGlhYmV0ZXMgeSBFbmZl
cm1lZGFkZXMgTWV0YWJvbGljYXMgQXNvY2lhZGFzIChDSUJFUkRFTSksIDI4MDQwIE1hZHJpZCwg
U3BhaW4uIGFuYS5iYXJhYmFzaEBnbWFpbC5jb20uJiN4RDtFbmRvY3Jpbm9sb2d5IGFuZCBOdXRy
aXRpb24gRGVwYXJ0bWVudCwgSG9zcGl0YWwgQ2xpbmljbyBTYW4gQ2FybG9zIGFuZCBJbnN0aXR1
dG8gZGUgSW52ZXN0aWdhY2lvbiBTYW5pdGFyaWEgZGVsIEhvc3BpdGFsIENsaW5pY28gU2FuIENh
cmxvcyAoSWRJU1NDKSwgMjgwNDAgTWFkcmlkLCBTcGFpbi4gY3Vlc3RhbWFydGludHV0b3JAZ21h
aWwuY29tLiYjeEQ7Q2VudHJvIGRlIEludmVzdGlnYWNpb24gQmlvbWVkaWNhIGVuIFJlZCBkZSBE
aWFiZXRlcyB5IEVuZmVybWVkYWRlcyBNZXRhYm9saWNhcyBBc29jaWFkYXMgKENJQkVSREVNKSwg
MjgwNDAgTWFkcmlkLCBTcGFpbi4gY3Vlc3RhbWFydGludHV0b3JAZ21haWwuY29tLiYjeEQ7RW5k
b2NyaW5vbG9neSBhbmQgTnV0cml0aW9uIERlcGFydG1lbnQsIEhvc3BpdGFsIENsaW5pY28gU2Fu
IENhcmxvcyBhbmQgSW5zdGl0dXRvIGRlIEludmVzdGlnYWNpb24gU2FuaXRhcmlhIGRlbCBIb3Nw
aXRhbCBDbGluaWNvIFNhbiBDYXJsb3MgKElkSVNTQyksIDI4MDQwIE1hZHJpZCwgU3BhaW4uIG1h
cnViaW9oQGdtYWlsLmNvbS4mI3hEO0ZhY3VsdHkgb2YgTWVkaWNpbmUsIFVuaXZlcnNpZGFkIENv
bXBsdXRlbnNlIGRlIE1hZHJpZCwgMjgwNDAgTWFkcmlkLCBTcGFpbi4gbWFydWJpb2hAZ21haWwu
Y29tLiYjeEQ7RW5kb2NyaW5vbG9neSBhbmQgTnV0cml0aW9uIERlcGFydG1lbnQsIEhvc3BpdGFs
IENsaW5pY28gU2FuIENhcmxvcyBhbmQgSW5zdGl0dXRvIGRlIEludmVzdGlnYWNpb24gU2FuaXRh
cmlhIGRlbCBIb3NwaXRhbCBDbGluaWNvIFNhbiBDYXJsb3MgKElkSVNTQyksIDI4MDQwIE1hZHJp
ZCwgU3BhaW4uIGFjYWxsZS5lZHVAZ21haWwuY29tLiYjeEQ7RmFjdWx0eSBvZiBNZWRpY2luZSwg
VW5pdmVyc2lkYWQgQ29tcGx1dGVuc2UgZGUgTWFkcmlkLCAyODA0MCBNYWRyaWQsIFNwYWluLiBh
Y2FsbGUuZWR1QGdtYWlsLmNvbS4mI3hEO0NlbnRybyBkZSBJbnZlc3RpZ2FjaW9uIEJpb21lZGlj
YSBlbiBSZWQgZGUgRGlhYmV0ZXMgeSBFbmZlcm1lZGFkZXMgTWV0YWJvbGljYXMgQXNvY2lhZGFz
IChDSUJFUkRFTSksIDI4MDQwIE1hZHJpZCwgU3BhaW4uIGFjYWxsZS5lZHVAZ21haWwuY29tLjwv
YXV0aC1hZGRyZXNzPjx0aXRsZXM+PHRpdGxlPkEgaGlnaCBhZGhlcmVuY2UgdG8gc2l4IGZvb2Qg
dGFyZ2V0cyBvZiB0aGUgTWVkaXRlcnJhbmVhbiBkaWV0IGluIHRoZSBsYXRlIGZpcnN0IHRyaW1l
c3RlciBpcyBhc3NvY2lhdGVkIHdpdGggYSByZWR1Y3Rpb24gaW4gdGhlIHJpc2sgb2YgbWF0ZXJu
by1mb2V0YWwgb3V0Y29tZXM6IFRoZSBTdC4gQ2FybG9zIEdlc3RhdGlvbmFsIERpYWJldGVzIE1l
bGxpdHVzIFByZXZlbnRpb24gU3R1ZHk8L3RpdGxlPjxzZWNvbmRhcnktdGl0bGU+TnV0cmllbnRz
PC9zZWNvbmRhcnktdGl0bGU+PC90aXRsZXM+PHBlcmlvZGljYWw+PGZ1bGwtdGl0bGU+TnV0cmll
bnRzPC9mdWxsLXRpdGxlPjwvcGVyaW9kaWNhbD48dm9sdW1lPjExPC92b2x1bWU+PG51bWJlcj4x
PC9udW1iZXI+PGVkaXRpb24+MjAxOS8wMS8wNDwvZWRpdGlvbj48a2V5d29yZHM+PGtleXdvcmQ+
QWR1bHQ8L2tleXdvcmQ+PGtleXdvcmQ+RGlhYmV0ZXMsIEdlc3RhdGlvbmFsL3ByZXZlbnRpb24g
JmFtcDsgY29udHJvbDwva2V5d29yZD48a2V5d29yZD5EaWV0L2FkdmVyc2UgZWZmZWN0czwva2V5
d29yZD48a2V5d29yZD4qRGlldCwgTWVkaXRlcnJhbmVhbjwva2V5d29yZD48a2V5d29yZD5GZW1h
bGU8L2tleXdvcmQ+PGtleXdvcmQ+SHVtYW5zPC9rZXl3b3JkPjxrZXl3b3JkPk1hdGVybmFsIEV4
cG9zdXJlL2FkdmVyc2UgZWZmZWN0czwva2V5d29yZD48a2V5d29yZD4qTWF0ZXJuYWwgTnV0cml0
aW9uYWwgUGh5c2lvbG9naWNhbCBQaGVub21lbmE8L2tleXdvcmQ+PGtleXdvcmQ+UHJlZ25hbmN5
PC9rZXl3b3JkPjxrZXl3b3JkPipQcmVnbmFuY3kgVHJpbWVzdGVyLCBGaXJzdDwva2V5d29yZD48
a2V5d29yZD5QcmVuYXRhbCBDYXJlLyptZXRob2RzPC9rZXl3b3JkPjxrZXl3b3JkPlByZW5hdGFs
IEV4cG9zdXJlIERlbGF5ZWQgRWZmZWN0cy9ldGlvbG9neS8qcHJldmVudGlvbiAmYW1wOyBjb250
cm9sPC9rZXl3b3JkPjxrZXl3b3JkPlJpc2sgRmFjdG9yczwva2V5d29yZD48a2V5d29yZD5NZWRE
aWV0PC9rZXl3b3JkPjxrZXl3b3JkPmRpZXRhcnkgcGF0dGVybnM8L2tleXdvcmQ+PGtleXdvcmQ+
Z2VzdGF0aW9uYWwgZGlhYmV0ZXM8L2tleXdvcmQ+PGtleXdvcmQ+bWF0ZXJub2ZvZXRhbCBvdXRj
b21lczwva2V5d29yZD48a2V5d29yZD5udXRyaXRpb248L2tleXdvcmQ+PC9rZXl3b3Jkcz48ZGF0
ZXM+PHllYXI+MjAxODwveWVhcj48cHViLWRhdGVzPjxkYXRlPkRlYyAzMTwvZGF0ZT48L3B1Yi1k
YXRlcz48L2RhdGVzPjxpc2JuPjIwNzItNjY0MyAoRWxlY3Ryb25pYykmI3hEOzIwNzItNjY0MyAo
TGlua2luZyk8L2lzYm4+PGFjY2Vzc2lvbi1udW0+MzA2MDI2ODg8L2FjY2Vzc2lvbi1udW0+PHVy
bHM+PHJlbGF0ZWQtdXJscz48dXJsPmh0dHBzOi8vd3d3Lm5jYmkubmxtLm5paC5nb3YvcHVibWVk
LzMwNjAyNjg4PC91cmw+PC9yZWxhdGVkLXVybHM+PC91cmxzPjxjdXN0b20yPlBNQzYzNTYzMTc8
L2N1c3RvbTI+PGVsZWN0cm9uaWMtcmVzb3VyY2UtbnVtPjEwLjMzOTAvbnUxMTAxMDA2NjwvZWxl
Y3Ryb25pYy1yZXNvdXJjZS1udW0+PC9yZWNvcmQ+PC9DaXRlPjwvRW5kTm90ZT4A
</w:fldData>
              </w:fldChar>
            </w:r>
            <w:r w:rsidR="002747EA">
              <w:instrText xml:space="preserve"> ADDIN EN.CITE </w:instrText>
            </w:r>
            <w:r w:rsidR="002747EA">
              <w:fldChar w:fldCharType="begin">
                <w:fldData xml:space="preserve">PEVuZE5vdGU+PENpdGU+PEF1dGhvcj5Bc3NhZi1CYWx1dDwvQXV0aG9yPjxZZWFyPjIwMTg8L1ll
YXI+PFJlY051bT4xMzM5PC9SZWNOdW0+PERpc3BsYXlUZXh0PjxzdHlsZSBmYWNlPSJzdXBlcnNj
cmlwdCIgZm9udD0iVHJlYnVjaGV0IE1TIiBzaXplPSI5Ij40NDwvc3R5bGU+PC9EaXNwbGF5VGV4
dD48cmVjb3JkPjxyZWMtbnVtYmVyPjEzMzk8L3JlYy1udW1iZXI+PGZvcmVpZ24ta2V5cz48a2V5
IGFwcD0iRU4iIGRiLWlkPSJleHZhc3JmeDJkdHJhb2VzYXN4cDJzenN4YTJkZjUwMjU5MngiIHRp
bWVzdGFtcD0iMTU2NzAzMDk1NSI+MTMzOTwva2V5PjxrZXkgYXBwPSJFTldlYiIgZGItaWQ9IiI+
MDwva2V5PjwvZm9yZWlnbi1rZXlzPjxyZWYtdHlwZSBuYW1lPSJKb3VybmFsIEFydGljbGUiPjE3
PC9yZWYtdHlwZT48Y29udHJpYnV0b3JzPjxhdXRob3JzPjxhdXRob3I+QXNzYWYtQmFsdXQsIEMu
PC9hdXRob3I+PGF1dGhvcj5HYXJjaWEgZGUgbGEgVG9ycmUsIE4uPC9hdXRob3I+PGF1dGhvcj5G
dWVudGVzLCBNLjwvYXV0aG9yPjxhdXRob3I+RHVyYW4sIEEuPC9hdXRob3I+PGF1dGhvcj5Cb3Jk
aXUsIEUuPC9hdXRob3I+PGF1dGhvcj5EZWwgVmFsbGUsIEwuPC9hdXRob3I+PGF1dGhvcj5WYWxl
cmlvLCBKLjwvYXV0aG9yPjxhdXRob3I+SmltZW5leiwgSS48L2F1dGhvcj48YXV0aG9yPkhlcnJh
aXosIE0uIEEuPC9hdXRob3I+PGF1dGhvcj5JenF1aWVyZG8sIE4uPC9hdXRob3I+PGF1dGhvcj5U
b3JyZWpvbiwgTS4gSi48L2F1dGhvcj48YXV0aG9yPmRlIE1pZ3VlbCwgTS4gUC48L2F1dGhvcj48
YXV0aG9yPkJhcmFiYXNoLCBBLjwvYXV0aG9yPjxhdXRob3I+Q3Vlc3RhLCBNLjwvYXV0aG9yPjxh
dXRob3I+UnViaW8sIE0uIEEuPC9hdXRob3I+PGF1dGhvcj5DYWxsZS1QYXNjdWFsLCBBLiBMLjwv
YXV0aG9yPjwvYXV0aG9ycz48L2NvbnRyaWJ1dG9ycz48YXV0aC1hZGRyZXNzPkVuZG9jcmlub2xv
Z3kgYW5kIE51dHJpdGlvbiBEZXBhcnRtZW50LCBIb3NwaXRhbCBDbGluaWNvIFNhbiBDYXJsb3Mg
YW5kIEluc3RpdHV0byBkZSBJbnZlc3RpZ2FjaW9uIFNhbml0YXJpYSBkZWwgSG9zcGl0YWwgQ2xp
bmljbyBTYW4gQ2FybG9zIChJZElTU0MpLCAyODA0MCBNYWRyaWQsIFNwYWluLiBjYXJsYWFzc2Fm
YmFsdXQ5MEBob3RtYWlsLmNvLnVrLiYjeEQ7RmFjdWx0eSBvZiBNZWRpY2luZSwgVW5pdmVyc2lk
YWQgQ29tcGx1dGVuc2UgZGUgTWFkcmlkLCAyODA0MCBNYWRyaWQsIFNwYWluLiBjYXJsYWFzc2Fm
YmFsdXQ5MEBob3RtYWlsLmNvLnVrLiYjeEQ7RW5kb2NyaW5vbG9neSBhbmQgTnV0cml0aW9uIERl
cGFydG1lbnQsIEhvc3BpdGFsIENsaW5pY28gU2FuIENhcmxvcyBhbmQgSW5zdGl0dXRvIGRlIElu
dmVzdGlnYWNpb24gU2FuaXRhcmlhIGRlbCBIb3NwaXRhbCBDbGluaWNvIFNhbiBDYXJsb3MgKElk
SVNTQyksIDI4MDQwIE1hZHJpZCwgU3BhaW4uIG51cmlhbG9ib0Bob3RtYWlsLmNvbS4mI3hEO1By
ZXZlbnRpdmUgTWVkaWNpbmUgRGVwYXJ0bWVudCwgSG9zcGl0YWwgQ2xpbmljbyBVbml2ZXJzaXRh
cmlvIFNhbiBDYXJsb3MgYW5kIEluc3RpdHV0byBkZSBJbnZlc3RpZ2FjaW9uIFNhbml0YXJpYSBk
ZWwgSG9zcGl0YWwgQ2xpbmljbyBTYW4gQ2FybG9zIChJZElTU0MpLCAyODA0MCBNYWRyaWQsIFNw
YWluLiBtZnVlbnRlc2ZlcnJlckBnbWFpbC5jb20uJiN4RDtFbmRvY3Jpbm9sb2d5IGFuZCBOdXRy
aXRpb24gRGVwYXJ0bWVudCwgSG9zcGl0YWwgQ2xpbmljbyBTYW4gQ2FybG9zIGFuZCBJbnN0aXR1
dG8gZGUgSW52ZXN0aWdhY2lvbiBTYW5pdGFyaWEgZGVsIEhvc3BpdGFsIENsaW5pY28gU2FuIENh
cmxvcyAoSWRJU1NDKSwgMjgwNDAgTWFkcmlkLCBTcGFpbi4gYWR1cmFucmhAaG90bWFpbC5jb20u
JiN4RDtGYWN1bHR5IG9mIE1lZGljaW5lLCBVbml2ZXJzaWRhZCBDb21wbHV0ZW5zZSBkZSBNYWRy
aWQsIDI4MDQwIE1hZHJpZCwgU3BhaW4uIGFkdXJhbnJoQGhvdG1haWwuY29tLiYjeEQ7RW5kb2Ny
aW5vbG9neSBhbmQgTnV0cml0aW9uIERlcGFydG1lbnQsIEhvc3BpdGFsIENsaW5pY28gU2FuIENh
cmxvcyBhbmQgSW5zdGl0dXRvIGRlIEludmVzdGlnYWNpb24gU2FuaXRhcmlhIGRlbCBIb3NwaXRh
bCBDbGluaWNvIFNhbiBDYXJsb3MgKElkSVNTQyksIDI4MDQwIE1hZHJpZCwgU3BhaW4uIGVsZW5h
LmJvcmRpdUBzYWx1ZC5tYWRyaWQub3JnLiYjeEQ7RmFjdWx0eSBvZiBNZWRpY2luZSwgVW5pdmVy
c2lkYWQgQ29tcGx1dGVuc2UgZGUgTWFkcmlkLCAyODA0MCBNYWRyaWQsIFNwYWluLiBlbGVuYS5i
b3JkaXVAc2FsdWQubWFkcmlkLm9yZy4mI3hEO0VuZG9jcmlub2xvZ3kgYW5kIE51dHJpdGlvbiBE
ZXBhcnRtZW50LCBIb3NwaXRhbCBDbGluaWNvIFNhbiBDYXJsb3MgYW5kIEluc3RpdHV0byBkZSBJ
bnZlc3RpZ2FjaW9uIFNhbml0YXJpYSBkZWwgSG9zcGl0YWwgQ2xpbmljbyBTYW4gQ2FybG9zIChJ
ZElTU0MpLCAyODA0MCBNYWRyaWQsIFNwYWluLiBsYXVyYWRlbF92YWxsZUBob3RtYWlsLmNvbS4m
I3hEO0VuZG9jcmlub2xvZ3kgYW5kIE51dHJpdGlvbiBEZXBhcnRtZW50LCBIb3NwaXRhbCBDbGlu
aWNvIFNhbiBDYXJsb3MgYW5kIEluc3RpdHV0byBkZSBJbnZlc3RpZ2FjaW9uIFNhbml0YXJpYSBk
ZWwgSG9zcGl0YWwgQ2xpbmljbyBTYW4gQ2FybG9zIChJZElTU0MpLCAyODA0MCBNYWRyaWQsIFNw
YWluLiB2YWxlcmlvam9oYW5uYUBnbWFpbC5jb20uJiN4RDtFbmRvY3Jpbm9sb2d5IGFuZCBOdXRy
aXRpb24gRGVwYXJ0bWVudCwgSG9zcGl0YWwgQ2xpbmljbyBTYW4gQ2FybG9zIGFuZCBJbnN0aXR1
dG8gZGUgSW52ZXN0aWdhY2lvbiBTYW5pdGFyaWEgZGVsIEhvc3BpdGFsIENsaW5pY28gU2FuIENh
cmxvcyAoSWRJU1NDKSwgMjgwNDAgTWFkcmlkLCBTcGFpbi4gaS5qaW1lbmV6LnZhcmFzQGdtYWls
LmNvbS4mI3hEO0ZhY3VsdHkgb2YgTWVkaWNpbmUsIFVuaXZlcnNpZGFkIENvbXBsdXRlbnNlIGRl
IE1hZHJpZCwgMjgwNDAgTWFkcmlkLCBTcGFpbi4gbWFoZXJyYWl6bUBnbWFpbC5jb20uJiN4RDtH
eW5lY29sb2d5IGFuZCBPYnN0ZXRyaWNzIERlcGFydG1lbnQsIEhvc3BpdGFsIENsaW5pY28gVW5p
dmVyc2l0YXJpbyBTYW4gQ2FybG9zIGFuZCBJbnN0aXR1dG8gZGUgSW52ZXN0aWdhY2lvbiBTYW5p
dGFyaWEgZGVsIEhvc3BpdGFsIENsaW5pY28gU2FuIENhcmxvcyAoSWRJU1NDKSwgMjgwNDAgTWFk
cmlkLCBTcGFpbi4gbWFoZXJyYWl6bUBnbWFpbC5jb20uJiN4RDtGYWN1bHR5IG9mIE1lZGljaW5l
LCBVbml2ZXJzaWRhZCBDb21wbHV0ZW5zZSBkZSBNYWRyaWQsIDI4MDQwIE1hZHJpZCwgU3BhaW4u
IG51cmlhaXpxdWllcmRvNEBnbWFpbC5jb20uJiN4RDtHeW5lY29sb2d5IGFuZCBPYnN0ZXRyaWNz
IERlcGFydG1lbnQsIEhvc3BpdGFsIENsaW5pY28gVW5pdmVyc2l0YXJpbyBTYW4gQ2FybG9zIGFu
ZCBJbnN0aXR1dG8gZGUgSW52ZXN0aWdhY2lvbiBTYW5pdGFyaWEgZGVsIEhvc3BpdGFsIENsaW5p
Y28gU2FuIENhcmxvcyAoSWRJU1NDKSwgMjgwNDAgTWFkcmlkLCBTcGFpbi4gbnVyaWFpenF1aWVy
ZG80QGdtYWlsLmNvbS4mI3hEO0NsaW5pY2FsIExhYm9yYXRvcnkgRGVwYXJ0bWVudCwgSG9zcGl0
YWwgQ2xpbmljbyBVbml2ZXJzaXRhcmlvIFNhbiBDYXJsb3MgYW5kIEluc3RpdHV0byBkZSBJbnZl
c3RpZ2FjaW9uIFNhbml0YXJpYSBkZWwgSG9zcGl0YWwgQ2xpbmljbyBTYW4gQ2FybG9zIChJZElT
U0MpLCAyODA0MCBNYWRyaWQsIFNwYWluLiBtam9zZXRvcnJlam9uQGdtYWlsLmNvbS4mI3hEO0Vu
ZG9jcmlub2xvZ3kgYW5kIE51dHJpdGlvbiBEZXBhcnRtZW50LCBIb3NwaXRhbCBDbGluaWNvIFNh
biBDYXJsb3MgYW5kIEluc3RpdHV0byBkZSBJbnZlc3RpZ2FjaW9uIFNhbml0YXJpYSBkZWwgSG9z
cGl0YWwgQ2xpbmljbyBTYW4gQ2FybG9zIChJZElTU0MpLCAyODA0MCBNYWRyaWQsIFNwYWluLiBw
YXpkZW1pZ3VlbEB0ZWxlZm9uaWNhLm5ldC4mI3hEO0ZhY3VsdHkgb2YgTWVkaWNpbmUsIFVuaXZl
cnNpZGFkIENvbXBsdXRlbnNlIGRlIE1hZHJpZCwgMjgwNDAgTWFkcmlkLCBTcGFpbi4gcGF6ZGVt
aWd1ZWxAdGVsZWZvbmljYS5uZXQuJiN4RDtFbmRvY3Jpbm9sb2d5IGFuZCBOdXRyaXRpb24gRGVw
YXJ0bWVudCwgSG9zcGl0YWwgQ2xpbmljbyBTYW4gQ2FybG9zIGFuZCBJbnN0aXR1dG8gZGUgSW52
ZXN0aWdhY2lvbiBTYW5pdGFyaWEgZGVsIEhvc3BpdGFsIENsaW5pY28gU2FuIENhcmxvcyAoSWRJ
U1NDKSwgMjgwNDAgTWFkcmlkLCBTcGFpbi4gYW5hLmJhcmFiYXNoQGdtYWlsLmNvbS4mI3hEO0Nl
bnRybyBkZSBJbnZlc3RpZ2FjaW9uIEJpb21lZGljYSBlbiBSZWQgZGUgRGlhYmV0ZXMgeSBFbmZl
cm1lZGFkZXMgTWV0YWJvbGljYXMgQXNvY2lhZGFzIChDSUJFUkRFTSksIDI4MDQwIE1hZHJpZCwg
U3BhaW4uIGFuYS5iYXJhYmFzaEBnbWFpbC5jb20uJiN4RDtFbmRvY3Jpbm9sb2d5IGFuZCBOdXRy
aXRpb24gRGVwYXJ0bWVudCwgSG9zcGl0YWwgQ2xpbmljbyBTYW4gQ2FybG9zIGFuZCBJbnN0aXR1
dG8gZGUgSW52ZXN0aWdhY2lvbiBTYW5pdGFyaWEgZGVsIEhvc3BpdGFsIENsaW5pY28gU2FuIENh
cmxvcyAoSWRJU1NDKSwgMjgwNDAgTWFkcmlkLCBTcGFpbi4gY3Vlc3RhbWFydGludHV0b3JAZ21h
aWwuY29tLiYjeEQ7Q2VudHJvIGRlIEludmVzdGlnYWNpb24gQmlvbWVkaWNhIGVuIFJlZCBkZSBE
aWFiZXRlcyB5IEVuZmVybWVkYWRlcyBNZXRhYm9saWNhcyBBc29jaWFkYXMgKENJQkVSREVNKSwg
MjgwNDAgTWFkcmlkLCBTcGFpbi4gY3Vlc3RhbWFydGludHV0b3JAZ21haWwuY29tLiYjeEQ7RW5k
b2NyaW5vbG9neSBhbmQgTnV0cml0aW9uIERlcGFydG1lbnQsIEhvc3BpdGFsIENsaW5pY28gU2Fu
IENhcmxvcyBhbmQgSW5zdGl0dXRvIGRlIEludmVzdGlnYWNpb24gU2FuaXRhcmlhIGRlbCBIb3Nw
aXRhbCBDbGluaWNvIFNhbiBDYXJsb3MgKElkSVNTQyksIDI4MDQwIE1hZHJpZCwgU3BhaW4uIG1h
cnViaW9oQGdtYWlsLmNvbS4mI3hEO0ZhY3VsdHkgb2YgTWVkaWNpbmUsIFVuaXZlcnNpZGFkIENv
bXBsdXRlbnNlIGRlIE1hZHJpZCwgMjgwNDAgTWFkcmlkLCBTcGFpbi4gbWFydWJpb2hAZ21haWwu
Y29tLiYjeEQ7RW5kb2NyaW5vbG9neSBhbmQgTnV0cml0aW9uIERlcGFydG1lbnQsIEhvc3BpdGFs
IENsaW5pY28gU2FuIENhcmxvcyBhbmQgSW5zdGl0dXRvIGRlIEludmVzdGlnYWNpb24gU2FuaXRh
cmlhIGRlbCBIb3NwaXRhbCBDbGluaWNvIFNhbiBDYXJsb3MgKElkSVNTQyksIDI4MDQwIE1hZHJp
ZCwgU3BhaW4uIGFjYWxsZS5lZHVAZ21haWwuY29tLiYjeEQ7RmFjdWx0eSBvZiBNZWRpY2luZSwg
VW5pdmVyc2lkYWQgQ29tcGx1dGVuc2UgZGUgTWFkcmlkLCAyODA0MCBNYWRyaWQsIFNwYWluLiBh
Y2FsbGUuZWR1QGdtYWlsLmNvbS4mI3hEO0NlbnRybyBkZSBJbnZlc3RpZ2FjaW9uIEJpb21lZGlj
YSBlbiBSZWQgZGUgRGlhYmV0ZXMgeSBFbmZlcm1lZGFkZXMgTWV0YWJvbGljYXMgQXNvY2lhZGFz
IChDSUJFUkRFTSksIDI4MDQwIE1hZHJpZCwgU3BhaW4uIGFjYWxsZS5lZHVAZ21haWwuY29tLjwv
YXV0aC1hZGRyZXNzPjx0aXRsZXM+PHRpdGxlPkEgaGlnaCBhZGhlcmVuY2UgdG8gc2l4IGZvb2Qg
dGFyZ2V0cyBvZiB0aGUgTWVkaXRlcnJhbmVhbiBkaWV0IGluIHRoZSBsYXRlIGZpcnN0IHRyaW1l
c3RlciBpcyBhc3NvY2lhdGVkIHdpdGggYSByZWR1Y3Rpb24gaW4gdGhlIHJpc2sgb2YgbWF0ZXJu
by1mb2V0YWwgb3V0Y29tZXM6IFRoZSBTdC4gQ2FybG9zIEdlc3RhdGlvbmFsIERpYWJldGVzIE1l
bGxpdHVzIFByZXZlbnRpb24gU3R1ZHk8L3RpdGxlPjxzZWNvbmRhcnktdGl0bGU+TnV0cmllbnRz
PC9zZWNvbmRhcnktdGl0bGU+PC90aXRsZXM+PHBlcmlvZGljYWw+PGZ1bGwtdGl0bGU+TnV0cmll
bnRzPC9mdWxsLXRpdGxlPjwvcGVyaW9kaWNhbD48dm9sdW1lPjExPC92b2x1bWU+PG51bWJlcj4x
PC9udW1iZXI+PGVkaXRpb24+MjAxOS8wMS8wNDwvZWRpdGlvbj48a2V5d29yZHM+PGtleXdvcmQ+
QWR1bHQ8L2tleXdvcmQ+PGtleXdvcmQ+RGlhYmV0ZXMsIEdlc3RhdGlvbmFsL3ByZXZlbnRpb24g
JmFtcDsgY29udHJvbDwva2V5d29yZD48a2V5d29yZD5EaWV0L2FkdmVyc2UgZWZmZWN0czwva2V5
d29yZD48a2V5d29yZD4qRGlldCwgTWVkaXRlcnJhbmVhbjwva2V5d29yZD48a2V5d29yZD5GZW1h
bGU8L2tleXdvcmQ+PGtleXdvcmQ+SHVtYW5zPC9rZXl3b3JkPjxrZXl3b3JkPk1hdGVybmFsIEV4
cG9zdXJlL2FkdmVyc2UgZWZmZWN0czwva2V5d29yZD48a2V5d29yZD4qTWF0ZXJuYWwgTnV0cml0
aW9uYWwgUGh5c2lvbG9naWNhbCBQaGVub21lbmE8L2tleXdvcmQ+PGtleXdvcmQ+UHJlZ25hbmN5
PC9rZXl3b3JkPjxrZXl3b3JkPipQcmVnbmFuY3kgVHJpbWVzdGVyLCBGaXJzdDwva2V5d29yZD48
a2V5d29yZD5QcmVuYXRhbCBDYXJlLyptZXRob2RzPC9rZXl3b3JkPjxrZXl3b3JkPlByZW5hdGFs
IEV4cG9zdXJlIERlbGF5ZWQgRWZmZWN0cy9ldGlvbG9neS8qcHJldmVudGlvbiAmYW1wOyBjb250
cm9sPC9rZXl3b3JkPjxrZXl3b3JkPlJpc2sgRmFjdG9yczwva2V5d29yZD48a2V5d29yZD5NZWRE
aWV0PC9rZXl3b3JkPjxrZXl3b3JkPmRpZXRhcnkgcGF0dGVybnM8L2tleXdvcmQ+PGtleXdvcmQ+
Z2VzdGF0aW9uYWwgZGlhYmV0ZXM8L2tleXdvcmQ+PGtleXdvcmQ+bWF0ZXJub2ZvZXRhbCBvdXRj
b21lczwva2V5d29yZD48a2V5d29yZD5udXRyaXRpb248L2tleXdvcmQ+PC9rZXl3b3Jkcz48ZGF0
ZXM+PHllYXI+MjAxODwveWVhcj48cHViLWRhdGVzPjxkYXRlPkRlYyAzMTwvZGF0ZT48L3B1Yi1k
YXRlcz48L2RhdGVzPjxpc2JuPjIwNzItNjY0MyAoRWxlY3Ryb25pYykmI3hEOzIwNzItNjY0MyAo
TGlua2luZyk8L2lzYm4+PGFjY2Vzc2lvbi1udW0+MzA2MDI2ODg8L2FjY2Vzc2lvbi1udW0+PHVy
bHM+PHJlbGF0ZWQtdXJscz48dXJsPmh0dHBzOi8vd3d3Lm5jYmkubmxtLm5paC5nb3YvcHVibWVk
LzMwNjAyNjg4PC91cmw+PC9yZWxhdGVkLXVybHM+PC91cmxzPjxjdXN0b20yPlBNQzYzNTYzMTc8
L2N1c3RvbTI+PGVsZWN0cm9uaWMtcmVzb3VyY2UtbnVtPjEwLjMzOTAvbnUxMTAxMDA2NjwvZWxl
Y3Ryb25pYy1yZXNvdXJjZS1udW0+PC9yZWNvcmQ+PC9DaXRlPjwvRW5kTm90ZT4A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44</w:t>
            </w:r>
            <w:r>
              <w:fldChar w:fldCharType="end"/>
            </w:r>
          </w:p>
          <w:p w14:paraId="6E578436" w14:textId="77777777" w:rsidR="00A82933" w:rsidRDefault="00A82933" w:rsidP="008D2B5D">
            <w:r>
              <w:t xml:space="preserve">Spain </w:t>
            </w:r>
          </w:p>
          <w:p w14:paraId="2E7806A7" w14:textId="77777777" w:rsidR="00A82933" w:rsidRPr="00814460" w:rsidRDefault="00A82933" w:rsidP="008D2B5D">
            <w:r>
              <w:t xml:space="preserve">Post-hoc analysis of </w:t>
            </w:r>
            <w:r w:rsidRPr="000C2B4C">
              <w:t>St. Carlos</w:t>
            </w:r>
            <w:r>
              <w:t xml:space="preserve"> </w:t>
            </w:r>
            <w:r w:rsidRPr="000C2B4C">
              <w:t>Gestational Diabetes Mellitus Prevention Study</w:t>
            </w:r>
          </w:p>
        </w:tc>
        <w:tc>
          <w:tcPr>
            <w:tcW w:w="1417" w:type="dxa"/>
            <w:tcBorders>
              <w:top w:val="single" w:sz="4" w:space="0" w:color="auto"/>
              <w:left w:val="single" w:sz="4" w:space="0" w:color="auto"/>
              <w:bottom w:val="single" w:sz="4" w:space="0" w:color="auto"/>
              <w:right w:val="single" w:sz="4" w:space="0" w:color="auto"/>
            </w:tcBorders>
          </w:tcPr>
          <w:p w14:paraId="4DA3F209" w14:textId="77777777" w:rsidR="00A82933" w:rsidRDefault="00A82933" w:rsidP="008D2B5D">
            <w:r>
              <w:t>874 women</w:t>
            </w:r>
          </w:p>
        </w:tc>
        <w:tc>
          <w:tcPr>
            <w:tcW w:w="4679" w:type="dxa"/>
            <w:tcBorders>
              <w:top w:val="single" w:sz="4" w:space="0" w:color="auto"/>
              <w:left w:val="single" w:sz="4" w:space="0" w:color="auto"/>
              <w:bottom w:val="single" w:sz="4" w:space="0" w:color="auto"/>
              <w:right w:val="single" w:sz="4" w:space="0" w:color="auto"/>
            </w:tcBorders>
          </w:tcPr>
          <w:p w14:paraId="2589140B" w14:textId="643EB046" w:rsidR="00A82933" w:rsidRDefault="00A82933" w:rsidP="008D2B5D">
            <w:r>
              <w:rPr>
                <w:b/>
              </w:rPr>
              <w:t xml:space="preserve">Aim: </w:t>
            </w:r>
            <w:r w:rsidR="001341EB">
              <w:t xml:space="preserve">To evaluate the effect of </w:t>
            </w:r>
            <w:r w:rsidRPr="00814460">
              <w:t xml:space="preserve">late first-trimester (&gt;12 gestational weeks) degree of adherence to a MedDiet pattern-based on six food targets-on a composite of materno-foetal outcomes (CMFCs). </w:t>
            </w:r>
          </w:p>
          <w:p w14:paraId="16D2BC7F" w14:textId="77777777" w:rsidR="00A82933" w:rsidRPr="008E7258" w:rsidRDefault="00A82933" w:rsidP="008D2B5D">
            <w:pPr>
              <w:rPr>
                <w:b/>
              </w:rPr>
            </w:pPr>
            <w:r w:rsidRPr="00814460">
              <w:rPr>
                <w:b/>
              </w:rPr>
              <w:t>Methods</w:t>
            </w:r>
            <w:r>
              <w:t xml:space="preserve">: </w:t>
            </w:r>
            <w:r w:rsidRPr="00814460">
              <w:t xml:space="preserve">The CMFCs were defined as having emergency C-section, perineal trauma, pregnancy-induced hypertension and preeclampsia, prematurity, large-for-gestational-age, and/or small-for-gestational-age. </w:t>
            </w:r>
            <w:r>
              <w:t>W</w:t>
            </w:r>
            <w:r w:rsidRPr="00814460">
              <w:t xml:space="preserve">omen were stratified into three groups according to late first-trimester compliance with six food targets: &gt;12 servings/week of vegetables, &gt;12 servings/week of fruits, &lt;2 servings/week of juice, &gt;3 servings/week of nuts, &gt;6 days/week consumption of extra virgin olive oil (EVOO), and </w:t>
            </w:r>
            <w:r>
              <w:t>≥</w:t>
            </w:r>
            <w:r w:rsidRPr="00814460">
              <w:t>40 mL/day of EVOO. High adherence was defined as complying with 5(-)6 targets; moderate adherence 2(-)4 targets; low adherence 0(-)1 targets.</w:t>
            </w:r>
          </w:p>
        </w:tc>
        <w:tc>
          <w:tcPr>
            <w:tcW w:w="4537" w:type="dxa"/>
            <w:tcBorders>
              <w:top w:val="single" w:sz="4" w:space="0" w:color="auto"/>
              <w:left w:val="single" w:sz="4" w:space="0" w:color="auto"/>
              <w:bottom w:val="single" w:sz="4" w:space="0" w:color="auto"/>
              <w:right w:val="single" w:sz="4" w:space="0" w:color="auto"/>
            </w:tcBorders>
          </w:tcPr>
          <w:p w14:paraId="3B213908" w14:textId="43B80BDC" w:rsidR="002C0BF3" w:rsidRDefault="002C0BF3" w:rsidP="008D2B5D">
            <w:r>
              <w:t xml:space="preserve">High adherence vs </w:t>
            </w:r>
            <w:r w:rsidR="00092BBF">
              <w:t>low adherence:</w:t>
            </w:r>
          </w:p>
          <w:p w14:paraId="2D960717" w14:textId="25F7D434" w:rsidR="00A82933" w:rsidRPr="00494C43" w:rsidRDefault="00092BBF" w:rsidP="008D2B5D">
            <w:pPr>
              <w:pStyle w:val="bullet"/>
            </w:pPr>
            <w:r>
              <w:t xml:space="preserve">Gestational diabetes: OR </w:t>
            </w:r>
            <w:r w:rsidRPr="00092BBF">
              <w:t>0.35 (0.18</w:t>
            </w:r>
            <w:r w:rsidR="00494C43">
              <w:t xml:space="preserve"> to </w:t>
            </w:r>
            <w:r w:rsidRPr="00092BBF">
              <w:t>0.67)</w:t>
            </w:r>
            <w:r>
              <w:t>, p=0.002</w:t>
            </w:r>
          </w:p>
          <w:p w14:paraId="0FDC2CEE" w14:textId="733F94F1" w:rsidR="00092BBF" w:rsidRPr="00092BBF" w:rsidRDefault="00092BBF" w:rsidP="00494C43">
            <w:pPr>
              <w:pStyle w:val="bullet"/>
            </w:pPr>
            <w:r>
              <w:t xml:space="preserve">Urinary tract infection: </w:t>
            </w:r>
            <w:r w:rsidRPr="00092BBF">
              <w:t>0.19 (0.07</w:t>
            </w:r>
            <w:r w:rsidR="00494C43">
              <w:t xml:space="preserve"> to </w:t>
            </w:r>
            <w:r w:rsidRPr="00092BBF">
              <w:t>0.52)</w:t>
            </w:r>
            <w:r>
              <w:t>, p=0.001</w:t>
            </w:r>
          </w:p>
          <w:p w14:paraId="0B2100F1" w14:textId="7ED11382" w:rsidR="00092BBF" w:rsidRDefault="00092BBF" w:rsidP="008D2B5D">
            <w:r>
              <w:t>Moderate adherence vs low adherence:</w:t>
            </w:r>
          </w:p>
          <w:p w14:paraId="68A9650C" w14:textId="5D177FDC" w:rsidR="00092BBF" w:rsidRPr="00092BBF" w:rsidRDefault="00092BBF" w:rsidP="00494C43">
            <w:pPr>
              <w:pStyle w:val="bullet"/>
              <w:rPr>
                <w:rFonts w:ascii="Helvetica" w:hAnsi="Helvetica"/>
              </w:rPr>
            </w:pPr>
            <w:r>
              <w:t>Preterm birth: 0.30 (0.13</w:t>
            </w:r>
            <w:r w:rsidR="00494C43">
              <w:t xml:space="preserve"> to </w:t>
            </w:r>
            <w:r>
              <w:t>0.72), p=0.007</w:t>
            </w:r>
          </w:p>
          <w:p w14:paraId="6F9AC49C" w14:textId="7D12A015" w:rsidR="00A82933" w:rsidRPr="00494C43" w:rsidRDefault="00092BBF" w:rsidP="00494C43">
            <w:pPr>
              <w:pStyle w:val="bullet"/>
            </w:pPr>
            <w:r>
              <w:t xml:space="preserve">Small for gestational age: </w:t>
            </w:r>
            <w:r w:rsidRPr="00092BBF">
              <w:t>0.36 (0.17</w:t>
            </w:r>
            <w:r w:rsidR="00494C43">
              <w:t xml:space="preserve"> to </w:t>
            </w:r>
            <w:r w:rsidRPr="00092BBF">
              <w:t>0.77)</w:t>
            </w:r>
            <w:r w:rsidR="00494C43">
              <w:t>, p=</w:t>
            </w:r>
            <w:r w:rsidRPr="00092BBF">
              <w:rPr>
                <w:rFonts w:ascii="Helvetica" w:hAnsi="Helvetica"/>
              </w:rPr>
              <w:t>0.009</w:t>
            </w:r>
          </w:p>
        </w:tc>
        <w:tc>
          <w:tcPr>
            <w:tcW w:w="1843" w:type="dxa"/>
            <w:tcBorders>
              <w:top w:val="single" w:sz="4" w:space="0" w:color="auto"/>
              <w:left w:val="single" w:sz="4" w:space="0" w:color="auto"/>
              <w:bottom w:val="single" w:sz="4" w:space="0" w:color="auto"/>
              <w:right w:val="single" w:sz="4" w:space="0" w:color="auto"/>
            </w:tcBorders>
          </w:tcPr>
          <w:p w14:paraId="1F758AE9" w14:textId="77777777" w:rsidR="00A82933" w:rsidRPr="00C8357D" w:rsidRDefault="00A82933" w:rsidP="008D2B5D">
            <w:r>
              <w:t>GDM</w:t>
            </w:r>
          </w:p>
        </w:tc>
      </w:tr>
      <w:tr w:rsidR="00DA229D" w:rsidRPr="00C8357D" w14:paraId="66E28203" w14:textId="77777777" w:rsidTr="008D2B5D">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6E1D2E21" w14:textId="335E81C0" w:rsidR="00DA229D" w:rsidRDefault="00DA229D" w:rsidP="008D2B5D">
            <w:r w:rsidRPr="00814460">
              <w:t>Assaf-Balut</w:t>
            </w:r>
            <w:r>
              <w:t xml:space="preserve"> et al 2019</w:t>
            </w:r>
            <w:r>
              <w:fldChar w:fldCharType="begin">
                <w:fldData xml:space="preserve">PEVuZE5vdGU+PENpdGU+PEF1dGhvcj5Bc3NhZi1CYWx1dDwvQXV0aG9yPjxZZWFyPjIwMTk8L1ll
YXI+PFJlY051bT4xMzQwPC9SZWNOdW0+PERpc3BsYXlUZXh0PjxzdHlsZSBmYWNlPSJzdXBlcnNj
cmlwdCIgZm9udD0iVHJlYnVjaGV0IE1TIiBzaXplPSI5Ij40NTwvc3R5bGU+PC9EaXNwbGF5VGV4
dD48cmVjb3JkPjxyZWMtbnVtYmVyPjEzNDA8L3JlYy1udW1iZXI+PGZvcmVpZ24ta2V5cz48a2V5
IGFwcD0iRU4iIGRiLWlkPSJleHZhc3JmeDJkdHJhb2VzYXN4cDJzenN4YTJkZjUwMjU5MngiIHRp
bWVzdGFtcD0iMTU2NzAzMDk2MCI+MTM0MDwva2V5PjxrZXkgYXBwPSJFTldlYiIgZGItaWQ9IiI+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bGlhciwgQy48L2F1dGhvcj48YXV0aG9yPlZhbGVyaW8sIEouPC9hdXRob3I+PGF1dGhvcj5KaW1l
bmV6LCBJLjwvYXV0aG9yPjxhdXRob3I+SGVycmFpeiwgTS4gQS48L2F1dGhvcj48YXV0aG9yPkl6
cXVpZXJkbywgTi48L2F1dGhvcj48YXV0aG9yPlRvcnJlam9uLCBNLiBKLjwvYXV0aG9yPjxhdXRo
b3I+Q3VhZHJhZG8sIE0uIEEuPC9hdXRob3I+PGF1dGhvcj5PcnRlZ2EsIEkuPC9hdXRob3I+PGF1
dGhvcj5JbGxhbmEsIEYuIEouPC9hdXRob3I+PGF1dGhvcj5SdW5rbGUsIEkuPC9hdXRob3I+PGF1
dGhvcj5kZSBNaWd1ZWwsIFAuPC9hdXRob3I+PGF1dGhvcj5Nb3JhZ2EsIEkuPC9hdXRob3I+PGF1
dGhvcj5Nb250YW5leiwgQy48L2F1dGhvcj48YXV0aG9yPkJhcmFiYXNoLCBBLjwvYXV0aG9yPjxh
dXRob3I+Q3Vlc3RhLCBNLjwvYXV0aG9yPjxhdXRob3I+UnViaW8sIE0uIEEuPC9hdXRob3I+PGF1
dGhvcj5DYWxsZS1QYXNjdWFsLCBBLiBMLjwvYXV0aG9yPjwvYXV0aG9ycz48L2NvbnRyaWJ1dG9y
cz48YXV0aC1hZGRyZXNzPkRlcGFydG1lbnQgb2YgRW5kb2NyaW5vbG9neSBhbmQgTnV0cml0aW9u
LCBIb3NwaXRhbCBDbGluaWNvIFVuaXZlcnNpdGFyaW8gU2FuIENhcmxvcyBhbmQgSW5zdGl0dXRv
IGRlIEludmVzdGlnYWNpb24gU2FuaXRhcmlhIGRlbCBIb3NwaXRhbCBDbGluaWNvIFNhbiBDYXJs
b3MgKElkSVNTQyksIE1hZHJpZCwgU3BhaW4uJiN4RDtGYWN1bHRhZCBkZSBNZWRpY2luYSwgVW5p
dmVyc2lkYWQgQ29tcGx1dGVuc2UgZGUgTWFkcmlkLCBNYWRyaWQsIFNwYWluLiYjeEQ7Q2VudHJv
IGRlIEludmVzdGlnYWNpb24gQmlvbWVkaWNhIGVuIFJlZCBkZSBEaWFiZXRlcyB5IEVuZmVybWVk
YWRlcyBNZXRhYm9saWNhcyBBc29jaWFkYXMgKENJQkVSREVNKSwgTWFkcmlkLCBTcGFpbi4mI3hE
O0RlcGFydG1lbnQgb2YgUHJldmVudGl2ZSBNZWRpY2luZSwgSG9zcGl0YWwgQ2xpbmljbyBVbml2
ZXJzaXRhcmlvIFNhbiBDYXJsb3MgYW5kIEluc3RpdHV0byBkZSBJbnZlc3RpZ2FjaW9uIFNhbml0
YXJpYSBkZWwgSG9zcGl0YWwgQ2xpbmljbyBTYW4gQ2FybG9zIChJZElTU0MpLCBNYWRyaWQsIFNw
YWluLiYjeEQ7RGVwYXJ0bWVudCBvZiBHeW5lY29sb2d5IGFuZCBPYnN0ZXRyaWNzLCBIb3NwaXRh
bCBDbGluaWNvIFVuaXZlcnNpdGFyaW8gU2FuIENhcmxvcyBhbmQgSW5zdGl0dXRvIGRlIEludmVz
dGlnYWNpb24gU2FuaXRhcmlhIGRlbCBIb3NwaXRhbCBDbGluaWNvIFNhbiBDYXJsb3MgKElkSVNT
QyksIE1hZHJpZCwgU3BhaW4uJiN4RDtEZXBhcnRtZW50IG9mIENsaW5pY2FsIExhYm9yYXRvcnks
IEhvc3BpdGFsIENsaW5pY28gVW5pdmVyc2l0YXJpbyBTYW4gQ2FybG9zIGFuZCBJbnN0aXR1dG8g
ZGUgSW52ZXN0aWdhY2lvbiBTYW5pdGFyaWEgZGVsIEhvc3BpdGFsIENsaW5pY28gU2FuIENhcmxv
cyAoSWRJU1NDKSwgTWFkcmlkLCBTcGFpbi4mI3hEO0RlcGFydG1lbnQgb2YgRW5kb2NyaW5vbG9n
eSBhbmQgTnV0cml0aW9uLCBIb3NwaXRhbCBDbGluaWNvIFVuaXZlcnNpdGFyaW8gU2FuIENhcmxv
cyBhbmQgSW5zdGl0dXRvIGRlIEludmVzdGlnYWNpb24gU2FuaXRhcmlhIGRlbCBIb3NwaXRhbCBD
bGluaWNvIFNhbiBDYXJsb3MgKElkSVNTQyksIE1hZHJpZCwgU3BhaW4sIGFjYWxsZS5lZHVAZ21h
aWwuY29tLiYjeEQ7RmFjdWx0YWQgZGUgTWVkaWNpbmEsIFVuaXZlcnNpZGFkIENvbXBsdXRlbnNl
IGRlIE1hZHJpZCwgTWFkcmlkLCBTcGFpbiwgYWNhbGxlLmVkdUBnbWFpbC5jb20uJiN4RDtDZW50
cm8gZGUgSW52ZXN0aWdhY2lvbiBCaW9tZWRpY2EgZW4gUmVkIGRlIERpYWJldGVzIHkgRW5mZXJt
ZWRhZGVzIE1ldGFib2xpY2FzIEFzb2NpYWRhcyAoQ0lCRVJERU0pLCBNYWRyaWQsIFNwYWluLCBh
Y2FsbGUuZWR1QGdtYWlsLmNvbS48L2F1dGgtYWRkcmVzcz48dGl0bGVzPjx0aXRsZT5BIE1lZGl0
ZXJyYW5lYW4gZGlldCB3aXRoIGFuIGVuaGFuY2VkIGNvbnN1bXB0aW9uIG9mIGV4dHJhIHZpcmdp
biBvbGl2ZSBvaWwgYW5kIHBpc3RhY2hpb3MgaW1wcm92ZXMgcHJlZ25hbmN5IG91dGNvbWVzIGlu
IHdvbWVuIHdpdGhvdXQgZ2VzdGF0aW9uYWwgZGlhYmV0ZXMgbWVsbGl0dXM6IGEgc3ViLWFuYWx5
c2lzIG9mIHRoZSBTdC4gQ2FybG9zIEdlc3RhdGlvbmFsIERpYWJldGVzIE1lbGxpdHVzIFByZXZl
bnRpb24gU3R1ZHk8L3RpdGxlPjxzZWNvbmRhcnktdGl0bGU+QW5uIE51dHIgTWV0YWI8L3NlY29u
ZGFyeS10aXRsZT48L3RpdGxlcz48cGVyaW9kaWNhbD48ZnVsbC10aXRsZT5Bbm4gTnV0ciBNZXRh
YjwvZnVsbC10aXRsZT48L3BlcmlvZGljYWw+PHBhZ2VzPjY5LTc5PC9wYWdlcz48dm9sdW1lPjc0
PC92b2x1bWU+PG51bWJlcj4xPC9udW1iZXI+PGVkaXRpb24+MjAxOC8xMi8xNzwvZWRpdGlvbj48
a2V5d29yZHM+PGtleXdvcmQ+RXh0cmEtdmlyZ2luIG9saXZlIG9pbDwva2V5d29yZD48a2V5d29y
ZD5NZWRpdGVycmFuZWFuIGRpZXQ8L2tleXdvcmQ+PGtleXdvcmQ+UHJlZ25hbmN5IG91dGNvbWVz
PC9rZXl3b3JkPjwva2V5d29yZHM+PGRhdGVzPjx5ZWFyPjIwMTk8L3llYXI+PC9kYXRlcz48aXNi
bj4xNDIxLTk2OTcgKEVsZWN0cm9uaWMpJiN4RDswMjUwLTY4MDcgKExpbmtpbmcpPC9pc2JuPjxh
Y2Nlc3Npb24tbnVtPjMwNTU0MjIwPC9hY2Nlc3Npb24tbnVtPjx1cmxzPjxyZWxhdGVkLXVybHM+
PHVybD5odHRwczovL3d3dy5uY2JpLm5sbS5uaWguZ292L3B1Ym1lZC8zMDU1NDIyMDwvdXJsPjwv
cmVsYXRlZC11cmxzPjwvdXJscz48Y3VzdG9tMj5QTUM2NDI1ODE4PC9jdXN0b20yPjxlbGVjdHJv
bmljLXJlc291cmNlLW51bT4xMC4xMTU5LzAwMDQ5NTc5MzwvZWxlY3Ryb25pYy1yZXNvdXJjZS1u
dW0+PC9yZWNvcmQ+PC9DaXRlPjwvRW5kTm90ZT5=
</w:fldData>
              </w:fldChar>
            </w:r>
            <w:r w:rsidR="002747EA">
              <w:instrText xml:space="preserve"> ADDIN EN.CITE </w:instrText>
            </w:r>
            <w:r w:rsidR="002747EA">
              <w:fldChar w:fldCharType="begin">
                <w:fldData xml:space="preserve">PEVuZE5vdGU+PENpdGU+PEF1dGhvcj5Bc3NhZi1CYWx1dDwvQXV0aG9yPjxZZWFyPjIwMTk8L1ll
YXI+PFJlY051bT4xMzQwPC9SZWNOdW0+PERpc3BsYXlUZXh0PjxzdHlsZSBmYWNlPSJzdXBlcnNj
cmlwdCIgZm9udD0iVHJlYnVjaGV0IE1TIiBzaXplPSI5Ij40NTwvc3R5bGU+PC9EaXNwbGF5VGV4
dD48cmVjb3JkPjxyZWMtbnVtYmVyPjEzNDA8L3JlYy1udW1iZXI+PGZvcmVpZ24ta2V5cz48a2V5
IGFwcD0iRU4iIGRiLWlkPSJleHZhc3JmeDJkdHJhb2VzYXN4cDJzenN4YTJkZjUwMjU5MngiIHRp
bWVzdGFtcD0iMTU2NzAzMDk2MCI+MTM0MDwva2V5PjxrZXkgYXBwPSJFTldlYiIgZGItaWQ9IiI+
MDwva2V5PjwvZm9yZWlnbi1rZXlzPjxyZWYtdHlwZSBuYW1lPSJKb3VybmFsIEFydGljbGUiPjE3
PC9yZWYtdHlwZT48Y29udHJpYnV0b3JzPjxhdXRob3JzPjxhdXRob3I+QXNzYWYtQmFsdXQsIEMu
PC9hdXRob3I+PGF1dGhvcj5HYXJjaWEgZGUgbGEgVG9ycmUsIE4uPC9hdXRob3I+PGF1dGhvcj5E
dXJhbiwgQS48L2F1dGhvcj48YXV0aG9yPkZ1ZW50ZXMsIE0uPC9hdXRob3I+PGF1dGhvcj5Cb3Jk
aXUsIEUuPC9hdXRob3I+PGF1dGhvcj5EZWwgVmFsbGUsIEwuPC9hdXRob3I+PGF1dGhvcj5GYW1p
bGlhciwgQy48L2F1dGhvcj48YXV0aG9yPlZhbGVyaW8sIEouPC9hdXRob3I+PGF1dGhvcj5KaW1l
bmV6LCBJLjwvYXV0aG9yPjxhdXRob3I+SGVycmFpeiwgTS4gQS48L2F1dGhvcj48YXV0aG9yPkl6
cXVpZXJkbywgTi48L2F1dGhvcj48YXV0aG9yPlRvcnJlam9uLCBNLiBKLjwvYXV0aG9yPjxhdXRo
b3I+Q3VhZHJhZG8sIE0uIEEuPC9hdXRob3I+PGF1dGhvcj5PcnRlZ2EsIEkuPC9hdXRob3I+PGF1
dGhvcj5JbGxhbmEsIEYuIEouPC9hdXRob3I+PGF1dGhvcj5SdW5rbGUsIEkuPC9hdXRob3I+PGF1
dGhvcj5kZSBNaWd1ZWwsIFAuPC9hdXRob3I+PGF1dGhvcj5Nb3JhZ2EsIEkuPC9hdXRob3I+PGF1
dGhvcj5Nb250YW5leiwgQy48L2F1dGhvcj48YXV0aG9yPkJhcmFiYXNoLCBBLjwvYXV0aG9yPjxh
dXRob3I+Q3Vlc3RhLCBNLjwvYXV0aG9yPjxhdXRob3I+UnViaW8sIE0uIEEuPC9hdXRob3I+PGF1
dGhvcj5DYWxsZS1QYXNjdWFsLCBBLiBMLjwvYXV0aG9yPjwvYXV0aG9ycz48L2NvbnRyaWJ1dG9y
cz48YXV0aC1hZGRyZXNzPkRlcGFydG1lbnQgb2YgRW5kb2NyaW5vbG9neSBhbmQgTnV0cml0aW9u
LCBIb3NwaXRhbCBDbGluaWNvIFVuaXZlcnNpdGFyaW8gU2FuIENhcmxvcyBhbmQgSW5zdGl0dXRv
IGRlIEludmVzdGlnYWNpb24gU2FuaXRhcmlhIGRlbCBIb3NwaXRhbCBDbGluaWNvIFNhbiBDYXJs
b3MgKElkSVNTQyksIE1hZHJpZCwgU3BhaW4uJiN4RDtGYWN1bHRhZCBkZSBNZWRpY2luYSwgVW5p
dmVyc2lkYWQgQ29tcGx1dGVuc2UgZGUgTWFkcmlkLCBNYWRyaWQsIFNwYWluLiYjeEQ7Q2VudHJv
IGRlIEludmVzdGlnYWNpb24gQmlvbWVkaWNhIGVuIFJlZCBkZSBEaWFiZXRlcyB5IEVuZmVybWVk
YWRlcyBNZXRhYm9saWNhcyBBc29jaWFkYXMgKENJQkVSREVNKSwgTWFkcmlkLCBTcGFpbi4mI3hE
O0RlcGFydG1lbnQgb2YgUHJldmVudGl2ZSBNZWRpY2luZSwgSG9zcGl0YWwgQ2xpbmljbyBVbml2
ZXJzaXRhcmlvIFNhbiBDYXJsb3MgYW5kIEluc3RpdHV0byBkZSBJbnZlc3RpZ2FjaW9uIFNhbml0
YXJpYSBkZWwgSG9zcGl0YWwgQ2xpbmljbyBTYW4gQ2FybG9zIChJZElTU0MpLCBNYWRyaWQsIFNw
YWluLiYjeEQ7RGVwYXJ0bWVudCBvZiBHeW5lY29sb2d5IGFuZCBPYnN0ZXRyaWNzLCBIb3NwaXRh
bCBDbGluaWNvIFVuaXZlcnNpdGFyaW8gU2FuIENhcmxvcyBhbmQgSW5zdGl0dXRvIGRlIEludmVz
dGlnYWNpb24gU2FuaXRhcmlhIGRlbCBIb3NwaXRhbCBDbGluaWNvIFNhbiBDYXJsb3MgKElkSVNT
QyksIE1hZHJpZCwgU3BhaW4uJiN4RDtEZXBhcnRtZW50IG9mIENsaW5pY2FsIExhYm9yYXRvcnks
IEhvc3BpdGFsIENsaW5pY28gVW5pdmVyc2l0YXJpbyBTYW4gQ2FybG9zIGFuZCBJbnN0aXR1dG8g
ZGUgSW52ZXN0aWdhY2lvbiBTYW5pdGFyaWEgZGVsIEhvc3BpdGFsIENsaW5pY28gU2FuIENhcmxv
cyAoSWRJU1NDKSwgTWFkcmlkLCBTcGFpbi4mI3hEO0RlcGFydG1lbnQgb2YgRW5kb2NyaW5vbG9n
eSBhbmQgTnV0cml0aW9uLCBIb3NwaXRhbCBDbGluaWNvIFVuaXZlcnNpdGFyaW8gU2FuIENhcmxv
cyBhbmQgSW5zdGl0dXRvIGRlIEludmVzdGlnYWNpb24gU2FuaXRhcmlhIGRlbCBIb3NwaXRhbCBD
bGluaWNvIFNhbiBDYXJsb3MgKElkSVNTQyksIE1hZHJpZCwgU3BhaW4sIGFjYWxsZS5lZHVAZ21h
aWwuY29tLiYjeEQ7RmFjdWx0YWQgZGUgTWVkaWNpbmEsIFVuaXZlcnNpZGFkIENvbXBsdXRlbnNl
IGRlIE1hZHJpZCwgTWFkcmlkLCBTcGFpbiwgYWNhbGxlLmVkdUBnbWFpbC5jb20uJiN4RDtDZW50
cm8gZGUgSW52ZXN0aWdhY2lvbiBCaW9tZWRpY2EgZW4gUmVkIGRlIERpYWJldGVzIHkgRW5mZXJt
ZWRhZGVzIE1ldGFib2xpY2FzIEFzb2NpYWRhcyAoQ0lCRVJERU0pLCBNYWRyaWQsIFNwYWluLCBh
Y2FsbGUuZWR1QGdtYWlsLmNvbS48L2F1dGgtYWRkcmVzcz48dGl0bGVzPjx0aXRsZT5BIE1lZGl0
ZXJyYW5lYW4gZGlldCB3aXRoIGFuIGVuaGFuY2VkIGNvbnN1bXB0aW9uIG9mIGV4dHJhIHZpcmdp
biBvbGl2ZSBvaWwgYW5kIHBpc3RhY2hpb3MgaW1wcm92ZXMgcHJlZ25hbmN5IG91dGNvbWVzIGlu
IHdvbWVuIHdpdGhvdXQgZ2VzdGF0aW9uYWwgZGlhYmV0ZXMgbWVsbGl0dXM6IGEgc3ViLWFuYWx5
c2lzIG9mIHRoZSBTdC4gQ2FybG9zIEdlc3RhdGlvbmFsIERpYWJldGVzIE1lbGxpdHVzIFByZXZl
bnRpb24gU3R1ZHk8L3RpdGxlPjxzZWNvbmRhcnktdGl0bGU+QW5uIE51dHIgTWV0YWI8L3NlY29u
ZGFyeS10aXRsZT48L3RpdGxlcz48cGVyaW9kaWNhbD48ZnVsbC10aXRsZT5Bbm4gTnV0ciBNZXRh
YjwvZnVsbC10aXRsZT48L3BlcmlvZGljYWw+PHBhZ2VzPjY5LTc5PC9wYWdlcz48dm9sdW1lPjc0
PC92b2x1bWU+PG51bWJlcj4xPC9udW1iZXI+PGVkaXRpb24+MjAxOC8xMi8xNzwvZWRpdGlvbj48
a2V5d29yZHM+PGtleXdvcmQ+RXh0cmEtdmlyZ2luIG9saXZlIG9pbDwva2V5d29yZD48a2V5d29y
ZD5NZWRpdGVycmFuZWFuIGRpZXQ8L2tleXdvcmQ+PGtleXdvcmQ+UHJlZ25hbmN5IG91dGNvbWVz
PC9rZXl3b3JkPjwva2V5d29yZHM+PGRhdGVzPjx5ZWFyPjIwMTk8L3llYXI+PC9kYXRlcz48aXNi
bj4xNDIxLTk2OTcgKEVsZWN0cm9uaWMpJiN4RDswMjUwLTY4MDcgKExpbmtpbmcpPC9pc2JuPjxh
Y2Nlc3Npb24tbnVtPjMwNTU0MjIwPC9hY2Nlc3Npb24tbnVtPjx1cmxzPjxyZWxhdGVkLXVybHM+
PHVybD5odHRwczovL3d3dy5uY2JpLm5sbS5uaWguZ292L3B1Ym1lZC8zMDU1NDIyMDwvdXJsPjwv
cmVsYXRlZC11cmxzPjwvdXJscz48Y3VzdG9tMj5QTUM2NDI1ODE4PC9jdXN0b20yPjxlbGVjdHJv
bmljLXJlc291cmNlLW51bT4xMC4xMTU5LzAwMDQ5NTc5MzwvZWxlY3Ryb25pYy1yZXNvdXJjZS1u
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45</w:t>
            </w:r>
            <w:r>
              <w:fldChar w:fldCharType="end"/>
            </w:r>
          </w:p>
          <w:p w14:paraId="707FA2DE" w14:textId="77777777" w:rsidR="00DA229D" w:rsidRDefault="00DA229D" w:rsidP="008D2B5D">
            <w:r>
              <w:t xml:space="preserve">Spain </w:t>
            </w:r>
          </w:p>
          <w:p w14:paraId="6B981AA7" w14:textId="77777777" w:rsidR="00DA229D" w:rsidRPr="000C2B4C" w:rsidRDefault="00DA229D" w:rsidP="008D2B5D">
            <w:r>
              <w:t xml:space="preserve">Sub-analysis of </w:t>
            </w:r>
            <w:r w:rsidRPr="000C2B4C">
              <w:t>St. Carlos</w:t>
            </w:r>
            <w:r>
              <w:t xml:space="preserve"> </w:t>
            </w:r>
            <w:r w:rsidRPr="000C2B4C">
              <w:t>Gestational Diabetes Mellitus Prevention Study</w:t>
            </w:r>
          </w:p>
        </w:tc>
        <w:tc>
          <w:tcPr>
            <w:tcW w:w="1417" w:type="dxa"/>
            <w:tcBorders>
              <w:top w:val="single" w:sz="4" w:space="0" w:color="auto"/>
              <w:left w:val="single" w:sz="4" w:space="0" w:color="auto"/>
              <w:bottom w:val="single" w:sz="4" w:space="0" w:color="auto"/>
              <w:right w:val="single" w:sz="4" w:space="0" w:color="auto"/>
            </w:tcBorders>
          </w:tcPr>
          <w:p w14:paraId="45436A2F" w14:textId="77777777" w:rsidR="00DA229D" w:rsidRDefault="00DA229D" w:rsidP="008D2B5D">
            <w:r>
              <w:t>697 women</w:t>
            </w:r>
          </w:p>
          <w:p w14:paraId="464D6E1B" w14:textId="77777777" w:rsidR="00DA229D" w:rsidRDefault="00DA229D" w:rsidP="008D2B5D">
            <w:r>
              <w:t>Intervention 360</w:t>
            </w:r>
          </w:p>
          <w:p w14:paraId="2385E444" w14:textId="77777777" w:rsidR="00DA229D" w:rsidRDefault="00DA229D" w:rsidP="008D2B5D">
            <w:r>
              <w:t>Control 337</w:t>
            </w:r>
          </w:p>
        </w:tc>
        <w:tc>
          <w:tcPr>
            <w:tcW w:w="4679" w:type="dxa"/>
            <w:tcBorders>
              <w:top w:val="single" w:sz="4" w:space="0" w:color="auto"/>
              <w:left w:val="single" w:sz="4" w:space="0" w:color="auto"/>
              <w:bottom w:val="single" w:sz="4" w:space="0" w:color="auto"/>
              <w:right w:val="single" w:sz="4" w:space="0" w:color="auto"/>
            </w:tcBorders>
          </w:tcPr>
          <w:p w14:paraId="6292D21A" w14:textId="56A04443" w:rsidR="00DA229D" w:rsidRDefault="00DA229D" w:rsidP="008D2B5D">
            <w:r>
              <w:rPr>
                <w:b/>
              </w:rPr>
              <w:t xml:space="preserve">Aim: </w:t>
            </w:r>
            <w:r>
              <w:t>T</w:t>
            </w:r>
            <w:r w:rsidRPr="000C2B4C">
              <w:t>o evaluate the effect of a Mediterranean diet (MedDiet), enhanced with extra virgin olive oil (EVOO) and nuts, on a composite of adverse maternofoetal outcomes of women with normoglyc</w:t>
            </w:r>
            <w:r w:rsidR="00092BBF">
              <w:t>a</w:t>
            </w:r>
            <w:r w:rsidRPr="000C2B4C">
              <w:t xml:space="preserve">emia during pregnancy. </w:t>
            </w:r>
          </w:p>
          <w:p w14:paraId="359321A3" w14:textId="77777777" w:rsidR="00DA229D" w:rsidRDefault="00DA229D" w:rsidP="008D2B5D">
            <w:pPr>
              <w:rPr>
                <w:b/>
              </w:rPr>
            </w:pPr>
            <w:r w:rsidRPr="000C2B4C">
              <w:rPr>
                <w:b/>
              </w:rPr>
              <w:t>Methods</w:t>
            </w:r>
            <w:r>
              <w:t>: Women were randomis</w:t>
            </w:r>
            <w:r w:rsidRPr="000C2B4C">
              <w:t>ed (at 8-12th gestational weeks) to: standard-care control group (337), where fat consumption was limited to 30% of total caloric intake; or in</w:t>
            </w:r>
            <w:r>
              <w:t>tervention group</w:t>
            </w:r>
            <w:r w:rsidRPr="000C2B4C">
              <w:t xml:space="preserve">, where a MedDiet, enhanced with EVOO and pistachios (40-42% fats of total caloric intake) was recommended. </w:t>
            </w:r>
          </w:p>
        </w:tc>
        <w:tc>
          <w:tcPr>
            <w:tcW w:w="4537" w:type="dxa"/>
            <w:tcBorders>
              <w:top w:val="single" w:sz="4" w:space="0" w:color="auto"/>
              <w:left w:val="single" w:sz="4" w:space="0" w:color="auto"/>
              <w:bottom w:val="single" w:sz="4" w:space="0" w:color="auto"/>
              <w:right w:val="single" w:sz="4" w:space="0" w:color="auto"/>
            </w:tcBorders>
          </w:tcPr>
          <w:p w14:paraId="687E3D29" w14:textId="3F8FE124" w:rsidR="00DA229D" w:rsidRDefault="00092BBF" w:rsidP="008D2B5D">
            <w:r>
              <w:t>High adherence vs low adherence among normoglycaemic women</w:t>
            </w:r>
            <w:r w:rsidR="00DA229D">
              <w:t>:</w:t>
            </w:r>
          </w:p>
          <w:p w14:paraId="4DFD2AA8" w14:textId="77777777" w:rsidR="00DA229D" w:rsidRPr="007C08CE" w:rsidRDefault="00DA229D" w:rsidP="008D2B5D">
            <w:pPr>
              <w:pStyle w:val="bullet"/>
            </w:pPr>
            <w:r w:rsidRPr="007C08CE">
              <w:t>Pregnancy-induced hypertension: 13 (3.6) vs 11 (3.3); p=0.484</w:t>
            </w:r>
          </w:p>
          <w:p w14:paraId="045A43EE" w14:textId="77777777" w:rsidR="00DA229D" w:rsidRPr="007C08CE" w:rsidRDefault="00DA229D" w:rsidP="008D2B5D">
            <w:pPr>
              <w:pStyle w:val="bullet"/>
            </w:pPr>
            <w:r w:rsidRPr="007C08CE">
              <w:t>Pre-eclampsia: 7 (1.9) vs 4 (1.2); p=0.311</w:t>
            </w:r>
          </w:p>
          <w:p w14:paraId="15ECAD39" w14:textId="77777777" w:rsidR="00DA229D" w:rsidRPr="007C08CE" w:rsidRDefault="00DA229D" w:rsidP="008D2B5D">
            <w:pPr>
              <w:pStyle w:val="bullet"/>
            </w:pPr>
            <w:r w:rsidRPr="007C08CE">
              <w:t>Urinary tract infection: 17 (4.7) vs 40 (11.9); p=0.001; RR 0.37 (0.20 to 0.66)</w:t>
            </w:r>
            <w:r>
              <w:t>, p=0.001</w:t>
            </w:r>
          </w:p>
          <w:p w14:paraId="33BE1A2E" w14:textId="77777777" w:rsidR="00DA229D" w:rsidRDefault="00DA229D" w:rsidP="008D2B5D">
            <w:pPr>
              <w:pStyle w:val="bullet"/>
            </w:pPr>
            <w:r>
              <w:t>Emergency c</w:t>
            </w:r>
            <w:r w:rsidRPr="007C08CE">
              <w:t>aesarean section: 8 (2.2) vs 25 (7.4); p=0.002; RR 0.28 (0.13 to 0.64)</w:t>
            </w:r>
          </w:p>
          <w:p w14:paraId="1EFF3293" w14:textId="77777777" w:rsidR="00DA229D" w:rsidRPr="00802EC5" w:rsidRDefault="00DA229D" w:rsidP="008D2B5D">
            <w:pPr>
              <w:pStyle w:val="bullet"/>
            </w:pPr>
            <w:r>
              <w:t xml:space="preserve">Perineal trauma: </w:t>
            </w:r>
            <w:r w:rsidRPr="00802EC5">
              <w:t xml:space="preserve">49 (14.5) </w:t>
            </w:r>
            <w:r>
              <w:t>vs 13 (3.6; p= 0.001; RR 0.22 (0.12–0.41); p=0.001</w:t>
            </w:r>
          </w:p>
          <w:p w14:paraId="3F43FF67" w14:textId="77777777" w:rsidR="00DA229D" w:rsidRPr="007C08CE" w:rsidRDefault="00DA229D" w:rsidP="008D2B5D">
            <w:pPr>
              <w:pStyle w:val="bullet"/>
            </w:pPr>
            <w:r w:rsidRPr="007C08CE">
              <w:t>Preterm birth (&lt;37 weeks): 4 (1.1) vs 11 (3.6); p=0.067</w:t>
            </w:r>
          </w:p>
          <w:p w14:paraId="2EA9EFA1" w14:textId="77777777" w:rsidR="00DA229D" w:rsidRPr="007C08CE" w:rsidRDefault="00DA229D" w:rsidP="008D2B5D">
            <w:pPr>
              <w:pStyle w:val="bullet"/>
            </w:pPr>
            <w:r w:rsidRPr="007C08CE">
              <w:t>Large for gestational age: 3 (0.8) vs 11 (3.3); p=0.034; RR 0.25 (0.07 to 0.90)</w:t>
            </w:r>
          </w:p>
          <w:p w14:paraId="485ACBD4" w14:textId="77777777" w:rsidR="00DA229D" w:rsidRPr="00BD72E9" w:rsidRDefault="00DA229D" w:rsidP="008D2B5D">
            <w:pPr>
              <w:pStyle w:val="bullet"/>
              <w:rPr>
                <w:rFonts w:ascii="Times" w:hAnsi="Times"/>
              </w:rPr>
            </w:pPr>
            <w:r w:rsidRPr="007C08CE">
              <w:t>Small for gestational age: 4 (1.1) vs 14 (4.2); p=0.018; RR 0.26 (0.08 to 0.80)</w:t>
            </w:r>
          </w:p>
        </w:tc>
        <w:tc>
          <w:tcPr>
            <w:tcW w:w="1843" w:type="dxa"/>
            <w:tcBorders>
              <w:top w:val="single" w:sz="4" w:space="0" w:color="auto"/>
              <w:left w:val="single" w:sz="4" w:space="0" w:color="auto"/>
              <w:bottom w:val="single" w:sz="4" w:space="0" w:color="auto"/>
              <w:right w:val="single" w:sz="4" w:space="0" w:color="auto"/>
            </w:tcBorders>
          </w:tcPr>
          <w:p w14:paraId="5E4A63C6" w14:textId="77777777" w:rsidR="00DA229D" w:rsidRPr="00C8357D" w:rsidRDefault="00DA229D" w:rsidP="008D2B5D"/>
        </w:tc>
      </w:tr>
    </w:tbl>
    <w:p w14:paraId="707531A9" w14:textId="75AFFF25" w:rsidR="00367198" w:rsidRDefault="009C163D" w:rsidP="005719CE">
      <w:pPr>
        <w:pStyle w:val="TableName"/>
        <w:ind w:left="1134" w:hanging="1134"/>
      </w:pPr>
      <w:bookmarkStart w:id="36" w:name="_Toc40956593"/>
      <w:r>
        <w:t xml:space="preserve">Q1 </w:t>
      </w:r>
      <w:r w:rsidR="00014822">
        <w:t>M</w:t>
      </w:r>
      <w:r w:rsidR="00367198">
        <w:t>editerranean diet</w:t>
      </w:r>
      <w:r w:rsidR="00014822">
        <w:t xml:space="preserve"> in pregnancy</w:t>
      </w:r>
      <w:r w:rsidR="0097700A">
        <w:t xml:space="preserve"> — observational studies</w:t>
      </w:r>
      <w:bookmarkEnd w:id="36"/>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5: Q1 Mediterranean diet in pregnancy — observational studies"/>
      </w:tblPr>
      <w:tblGrid>
        <w:gridCol w:w="1416"/>
        <w:gridCol w:w="1417"/>
        <w:gridCol w:w="4679"/>
        <w:gridCol w:w="4537"/>
        <w:gridCol w:w="1843"/>
      </w:tblGrid>
      <w:tr w:rsidR="00367198" w:rsidRPr="00F350A6" w14:paraId="75F27A2D" w14:textId="77777777" w:rsidTr="00C7031C">
        <w:trPr>
          <w:cantSplit/>
          <w:trHeight w:val="390"/>
          <w:tblHeader/>
        </w:trPr>
        <w:tc>
          <w:tcPr>
            <w:tcW w:w="1416" w:type="dxa"/>
            <w:tcBorders>
              <w:bottom w:val="single" w:sz="4" w:space="0" w:color="auto"/>
            </w:tcBorders>
          </w:tcPr>
          <w:p w14:paraId="5AFF0792" w14:textId="77777777" w:rsidR="00367198" w:rsidRPr="00F350A6" w:rsidRDefault="00367198" w:rsidP="009F7A26">
            <w:pPr>
              <w:keepNext/>
              <w:rPr>
                <w:b/>
              </w:rPr>
            </w:pPr>
            <w:r>
              <w:rPr>
                <w:b/>
              </w:rPr>
              <w:t>Study ref</w:t>
            </w:r>
          </w:p>
        </w:tc>
        <w:tc>
          <w:tcPr>
            <w:tcW w:w="1417" w:type="dxa"/>
            <w:tcBorders>
              <w:bottom w:val="single" w:sz="4" w:space="0" w:color="auto"/>
            </w:tcBorders>
          </w:tcPr>
          <w:p w14:paraId="04D26175" w14:textId="77777777" w:rsidR="00367198" w:rsidRPr="00F350A6" w:rsidRDefault="00367198" w:rsidP="009F7A26">
            <w:pPr>
              <w:keepNext/>
              <w:rPr>
                <w:b/>
              </w:rPr>
            </w:pPr>
            <w:r>
              <w:rPr>
                <w:b/>
              </w:rPr>
              <w:t>N</w:t>
            </w:r>
          </w:p>
        </w:tc>
        <w:tc>
          <w:tcPr>
            <w:tcW w:w="4679" w:type="dxa"/>
            <w:tcBorders>
              <w:bottom w:val="single" w:sz="4" w:space="0" w:color="auto"/>
            </w:tcBorders>
          </w:tcPr>
          <w:p w14:paraId="15F16AD2" w14:textId="43BA3F07" w:rsidR="00367198" w:rsidRPr="00F350A6" w:rsidRDefault="00367198" w:rsidP="009F7A26">
            <w:pPr>
              <w:keepNext/>
              <w:rPr>
                <w:b/>
              </w:rPr>
            </w:pPr>
            <w:r>
              <w:rPr>
                <w:b/>
              </w:rPr>
              <w:t>Aim/methods</w:t>
            </w:r>
          </w:p>
        </w:tc>
        <w:tc>
          <w:tcPr>
            <w:tcW w:w="4537" w:type="dxa"/>
            <w:tcBorders>
              <w:bottom w:val="single" w:sz="4" w:space="0" w:color="auto"/>
            </w:tcBorders>
          </w:tcPr>
          <w:p w14:paraId="699BBF4C" w14:textId="77777777" w:rsidR="00367198" w:rsidRPr="00F350A6" w:rsidRDefault="00367198" w:rsidP="009F7A26">
            <w:pPr>
              <w:keepNext/>
              <w:rPr>
                <w:b/>
              </w:rPr>
            </w:pPr>
            <w:r>
              <w:rPr>
                <w:b/>
              </w:rPr>
              <w:t>Results</w:t>
            </w:r>
          </w:p>
        </w:tc>
        <w:tc>
          <w:tcPr>
            <w:tcW w:w="1843" w:type="dxa"/>
            <w:tcBorders>
              <w:bottom w:val="single" w:sz="4" w:space="0" w:color="auto"/>
            </w:tcBorders>
          </w:tcPr>
          <w:p w14:paraId="1706AB9E" w14:textId="77777777" w:rsidR="00367198" w:rsidRPr="00F350A6" w:rsidRDefault="00367198" w:rsidP="009F7A26">
            <w:pPr>
              <w:keepNext/>
              <w:rPr>
                <w:b/>
              </w:rPr>
            </w:pPr>
            <w:r>
              <w:rPr>
                <w:b/>
              </w:rPr>
              <w:t>Comments</w:t>
            </w:r>
          </w:p>
        </w:tc>
      </w:tr>
      <w:tr w:rsidR="00C7031C" w:rsidRPr="00C8357D" w14:paraId="2F670987"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78DE945C" w14:textId="5C18DAE2" w:rsidR="00C7031C" w:rsidRPr="00880A17" w:rsidRDefault="00C7031C" w:rsidP="00880A17">
            <w:r w:rsidRPr="00880A17">
              <w:t>Castro-Rodriguez</w:t>
            </w:r>
            <w:r>
              <w:t xml:space="preserve"> et al 2016</w:t>
            </w:r>
            <w:r>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fldChar w:fldCharType="separate"/>
            </w:r>
            <w:r w:rsidR="002747EA" w:rsidRPr="002747EA">
              <w:rPr>
                <w:noProof/>
                <w:vertAlign w:val="superscript"/>
              </w:rPr>
              <w:t>53</w:t>
            </w:r>
            <w:r>
              <w:fldChar w:fldCharType="end"/>
            </w:r>
          </w:p>
          <w:p w14:paraId="0DEE8529" w14:textId="77777777" w:rsidR="00C7031C" w:rsidRDefault="00C7031C" w:rsidP="00304D42">
            <w:r>
              <w:t>Cohort</w:t>
            </w:r>
          </w:p>
        </w:tc>
        <w:tc>
          <w:tcPr>
            <w:tcW w:w="1417" w:type="dxa"/>
            <w:tcBorders>
              <w:top w:val="single" w:sz="4" w:space="0" w:color="auto"/>
              <w:left w:val="single" w:sz="4" w:space="0" w:color="auto"/>
              <w:bottom w:val="single" w:sz="4" w:space="0" w:color="auto"/>
              <w:right w:val="single" w:sz="4" w:space="0" w:color="auto"/>
            </w:tcBorders>
          </w:tcPr>
          <w:p w14:paraId="12773390" w14:textId="77777777" w:rsidR="00C7031C" w:rsidRDefault="00C7031C" w:rsidP="009F7A26">
            <w:r>
              <w:t>1,000 preschool children</w:t>
            </w:r>
          </w:p>
        </w:tc>
        <w:tc>
          <w:tcPr>
            <w:tcW w:w="4679" w:type="dxa"/>
            <w:tcBorders>
              <w:top w:val="single" w:sz="4" w:space="0" w:color="auto"/>
              <w:left w:val="single" w:sz="4" w:space="0" w:color="auto"/>
              <w:bottom w:val="single" w:sz="4" w:space="0" w:color="auto"/>
              <w:right w:val="single" w:sz="4" w:space="0" w:color="auto"/>
            </w:tcBorders>
          </w:tcPr>
          <w:p w14:paraId="0201E199" w14:textId="77777777" w:rsidR="00C7031C" w:rsidRDefault="00C7031C" w:rsidP="00880A17">
            <w:r w:rsidRPr="008E7258">
              <w:rPr>
                <w:b/>
              </w:rPr>
              <w:t>Aim</w:t>
            </w:r>
            <w:r>
              <w:t xml:space="preserve">: To examine whether </w:t>
            </w:r>
            <w:r w:rsidRPr="00880A17">
              <w:t xml:space="preserve">some foods and Mediterranean diet (MedDiet) consumed by the mother during pregnancy and by the child during the first years of life can be protective for current wheezing, rhinitis and dermatitis at preschool age. </w:t>
            </w:r>
          </w:p>
          <w:p w14:paraId="1D386C99" w14:textId="77777777" w:rsidR="00C7031C" w:rsidRDefault="00C7031C" w:rsidP="008E7258">
            <w:pPr>
              <w:rPr>
                <w:b/>
              </w:rPr>
            </w:pPr>
            <w:r w:rsidRPr="008E7258">
              <w:rPr>
                <w:b/>
              </w:rPr>
              <w:t>Methods</w:t>
            </w:r>
            <w:r w:rsidRPr="00880A17">
              <w:t>: Questionnaires of epidemiological factors and food intake by the mother during pregnancy and later by the child were filled in by parents in two surveys at two different time points (1.5 yrs and 4 yrs of life)</w:t>
            </w:r>
            <w:r>
              <w:t>.</w:t>
            </w:r>
            <w:r w:rsidRPr="00880A17">
              <w:t xml:space="preserve"> </w:t>
            </w:r>
          </w:p>
        </w:tc>
        <w:tc>
          <w:tcPr>
            <w:tcW w:w="4537" w:type="dxa"/>
            <w:tcBorders>
              <w:top w:val="single" w:sz="4" w:space="0" w:color="auto"/>
              <w:left w:val="single" w:sz="4" w:space="0" w:color="auto"/>
              <w:bottom w:val="single" w:sz="4" w:space="0" w:color="auto"/>
              <w:right w:val="single" w:sz="4" w:space="0" w:color="auto"/>
            </w:tcBorders>
          </w:tcPr>
          <w:p w14:paraId="18AADE09" w14:textId="4695D5AB" w:rsidR="00C7031C" w:rsidRPr="00880A17" w:rsidRDefault="00C97E3A" w:rsidP="00936E83">
            <w:r>
              <w:t>Maternal a</w:t>
            </w:r>
            <w:r w:rsidR="00C7031C" w:rsidRPr="00880A17">
              <w:t xml:space="preserve">dherence </w:t>
            </w:r>
            <w:r w:rsidR="00936E83">
              <w:t>to the Mediterranean diet</w:t>
            </w:r>
            <w:r w:rsidR="00C7031C" w:rsidRPr="00880A17">
              <w:t xml:space="preserve"> </w:t>
            </w:r>
            <w:r w:rsidR="00936E83">
              <w:t>was not</w:t>
            </w:r>
            <w:r w:rsidR="00C7031C" w:rsidRPr="00880A17">
              <w:t xml:space="preserve"> a protective factor for </w:t>
            </w:r>
            <w:r w:rsidR="00936E83">
              <w:t>wheeze (p=0.892), dermatitis (p=0.145) or rhinitis (p=0.637)</w:t>
            </w:r>
            <w:r>
              <w:t xml:space="preserve"> in the child</w:t>
            </w:r>
            <w:r w:rsidR="00C7031C" w:rsidRPr="00880A17">
              <w:t xml:space="preserve">. </w:t>
            </w:r>
          </w:p>
        </w:tc>
        <w:tc>
          <w:tcPr>
            <w:tcW w:w="1843" w:type="dxa"/>
            <w:tcBorders>
              <w:top w:val="single" w:sz="4" w:space="0" w:color="auto"/>
              <w:left w:val="single" w:sz="4" w:space="0" w:color="auto"/>
              <w:bottom w:val="single" w:sz="4" w:space="0" w:color="auto"/>
              <w:right w:val="single" w:sz="4" w:space="0" w:color="auto"/>
            </w:tcBorders>
          </w:tcPr>
          <w:p w14:paraId="6E14CF71" w14:textId="7D32EAFE" w:rsidR="00C7031C" w:rsidRPr="00C8357D" w:rsidRDefault="00C7031C" w:rsidP="009F7A26"/>
        </w:tc>
      </w:tr>
      <w:tr w:rsidR="00C7031C" w:rsidRPr="00C8357D" w14:paraId="37946FED"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1EE5540A" w14:textId="21ED9A2B" w:rsidR="00C7031C" w:rsidRDefault="00C7031C" w:rsidP="009F7A26">
            <w:r>
              <w:t>Steenweg-de Graaff et al 2014</w:t>
            </w:r>
            <w:r>
              <w:fldChar w:fldCharType="begin">
                <w:fldData xml:space="preserve">PEVuZE5vdGU+PENpdGU+PEF1dGhvcj5TdGVlbndlZy1kZSBHcmFhZmY8L0F1dGhvcj48WWVhcj4y
MDE0PC9ZZWFyPjxSZWNOdW0+MTM3MzwvUmVjTnVtPjxEaXNwbGF5VGV4dD48c3R5bGUgZmFjZT0i
c3VwZXJzY3JpcHQiIGZvbnQ9IlRyZWJ1Y2hldCBNUyIgc2l6ZT0iOSI+NTk8L3N0eWxlPjwvRGlz
cGxheVRleHQ+PHJlY29yZD48cmVjLW51bWJlcj4xMzczPC9yZWMtbnVtYmVyPjxmb3JlaWduLWtl
eXM+PGtleSBhcHA9IkVOIiBkYi1pZD0iZXh2YXNyZngyZHRyYW9lc2FzeHAyc3pzeGEyZGY1MDI1
OTJ4IiB0aW1lc3RhbXA9IjE1NjcwMzExMDIiPjEzNzM8L2tleT48a2V5IGFwcD0iRU5XZWIiIGRi
LWlkPSIiPjA8L2tleT48L2ZvcmVpZ24ta2V5cz48cmVmLXR5cGUgbmFtZT0iSm91cm5hbCBBcnRp
Y2xlIj4xNzwvcmVmLXR5cGU+PGNvbnRyaWJ1dG9ycz48YXV0aG9ycz48YXV0aG9yPlN0ZWVud2Vn
LWRlIEdyYWFmZiwgSi48L2F1dGhvcj48YXV0aG9yPlRpZW1laWVyLCBILjwvYXV0aG9yPjxhdXRo
b3I+U3RlZWdlcnMtVGhldW5pc3NlbiwgUi4gUC48L2F1dGhvcj48YXV0aG9yPkhvZm1hbiwgQS48
L2F1dGhvcj48YXV0aG9yPkphZGRvZSwgVi4gVy48L2F1dGhvcj48YXV0aG9yPlZlcmh1bHN0LCBG
LiBDLjwvYXV0aG9yPjxhdXRob3I+Um96YSwgUy4gSi48L2F1dGhvcj48L2F1dGhvcnM+PC9jb250
cmlidXRvcnM+PGF1dGgtYWRkcmVzcz5UaGUgR2VuZXJhdGlvbiBSIFN0dWR5IEdyb3VwLCBFcmFz
bXVzIE1lZGljYWwgQ2VudHJlLCBSb3R0ZXJkYW0sIFRoZSBOZXRoZXJsYW5kczsgRGVwYXJ0bWVu
dCBvZiBDaGlsZCBhbmQgQWRvbGVzY2VudCBQc3ljaGlhdHJ5L1BzeWNob2xvZ3ksIEVyYXNtdXMg
TWVkaWNhbCBDZW50cmUsIFJvdHRlcmRhbSwgVGhlIE5ldGhlcmxhbmRzLiBFbGVjdHJvbmljIGFk
ZHJlc3M6IGouc3RlZW53ZWctZGVncmFhZmZAZXJhc211c21jLm5sLiYjeEQ7RGVwYXJ0bWVudCBv
ZiBDaGlsZCBhbmQgQWRvbGVzY2VudCBQc3ljaGlhdHJ5L1BzeWNob2xvZ3ksIEVyYXNtdXMgTWVk
aWNhbCBDZW50cmUsIFJvdHRlcmRhbSwgVGhlIE5ldGhlcmxhbmRzOyBEZXBhcnRtZW50IG9mIEVw
aWRlbWlvbG9neSwgRXJhc211cyBNZWRpY2FsIENlbnRyZSwgUm90dGVyZGFtLCBUaGUgTmV0aGVy
bGFuZHM7IERlcGFydG1lbnQgb2YgUHN5Y2hpYXRyeSwgRXJhc211cyBNZWRpY2FsIENlbnRyZSwg
Um90dGVyZGFtLCBUaGUgTmV0aGVybGFuZHMuIEVsZWN0cm9uaWMgYWRkcmVzczogaC50aWVtZWll
ckBlcmFzbXVzbWMubmwuJiN4RDtEZXBhcnRtZW50IG9mIE9ic3RldHJpY3MgYW5kIEd5bmFlY29s
b2d5LCBFcmFzbXVzIE1lZGljYWwgQ2VudHJlLCBSb3R0ZXJkYW0sIFRoZSBOZXRoZXJsYW5kczsg
RGVwYXJ0bWVudCBvZiBDbGluaWNhbCBHZW5ldGljcywgRXJhc211cyBNZWRpY2FsIENlbnRyZSwg
Um90dGVyZGFtLCBUaGUgTmV0aGVybGFuZHMuIEVsZWN0cm9uaWMgYWRkcmVzczogci5zdGVlZ2Vy
c0BlcmFzbXVzbWMubmwuJiN4RDtEZXBhcnRtZW50IG9mIEVwaWRlbWlvbG9neSwgRXJhc211cyBN
ZWRpY2FsIENlbnRyZSwgUm90dGVyZGFtLCBUaGUgTmV0aGVybGFuZHMuIEVsZWN0cm9uaWMgYWRk
cmVzczogYS5ob2ZtYW5AZXJhc211c21jLm5sLiYjeEQ7VGhlIEdlbmVyYXRpb24gUiBTdHVkeSBH
cm91cCwgRXJhc211cyBNZWRpY2FsIENlbnRyZSwgUm90dGVyZGFtLCBUaGUgTmV0aGVybGFuZHM7
IERlcGFydG1lbnQgb2YgRXBpZGVtaW9sb2d5LCBFcmFzbXVzIE1lZGljYWwgQ2VudHJlLCBSb3R0
ZXJkYW0sIFRoZSBOZXRoZXJsYW5kczsgRGVwYXJ0bWVudCBvZiBQYWVkaWF0cmljcywgRXJhc211
cyBNZWRpY2FsIENlbnRyZSwgUm90dGVyZGFtLCBUaGUgTmV0aGVybGFuZHMuIEVsZWN0cm9uaWMg
YWRkcmVzczogdi5qYWRkb2VAZXJhc211c21jLm5sLiYjeEQ7RGVwYXJ0bWVudCBvZiBDaGlsZCBh
bmQgQWRvbGVzY2VudCBQc3ljaGlhdHJ5L1BzeWNob2xvZ3ksIEVyYXNtdXMgTWVkaWNhbCBDZW50
cmUsIFJvdHRlcmRhbSwgVGhlIE5ldGhlcmxhbmRzLiBFbGVjdHJvbmljIGFkZHJlc3M6IGYudmVy
aHVsc3RAZXJhc211c21jLm5sLiYjeEQ7RGVwYXJ0bWVudCBvZiBDaGlsZCBhbmQgQWRvbGVzY2Vu
dCBQc3ljaGlhdHJ5L1BzeWNob2xvZ3ksIEVyYXNtdXMgTWVkaWNhbCBDZW50cmUsIFJvdHRlcmRh
bSwgVGhlIE5ldGhlcmxhbmRzOyBEZXBhcnRtZW50IG9mIFBzeWNoaWF0cnksIEVyYXNtdXMgTWVk
aWNhbCBDZW50cmUsIFJvdHRlcmRhbSwgVGhlIE5ldGhlcmxhbmRzLiBFbGVjdHJvbmljIGFkZHJl
c3M6IHMucm96YUBlcmFzbXVzbWMubmwuPC9hdXRoLWFkZHJlc3M+PHRpdGxlcz48dGl0bGU+TWF0
ZXJuYWwgZGlldGFyeSBwYXR0ZXJucyBkdXJpbmcgcHJlZ25hbmN5IGFuZCBjaGlsZCBpbnRlcm5h
bGlzaW5nIGFuZCBleHRlcm5hbGlzaW5nIHByb2JsZW1zLiBUaGUgR2VuZXJhdGlvbiBSIFN0dWR5
PC90aXRsZT48c2Vjb25kYXJ5LXRpdGxlPkNsaW4gTnV0cjwvc2Vjb25kYXJ5LXRpdGxlPjwvdGl0
bGVzPjxwZXJpb2RpY2FsPjxmdWxsLXRpdGxlPkNsaW4gTnV0cjwvZnVsbC10aXRsZT48L3Blcmlv
ZGljYWw+PHBhZ2VzPjExNS0yMTwvcGFnZXM+PHZvbHVtZT4zMzwvdm9sdW1lPjxudW1iZXI+MTwv
bnVtYmVyPjxlZGl0aW9uPjIwMTMvMDQvMDI8L2VkaXRpb24+PGtleXdvcmRzPjxrZXl3b3JkPkNo
aWxkPC9rZXl3b3JkPjxrZXl3b3JkPipDaGlsZCBCZWhhdmlvcjwva2V5d29yZD48a2V5d29yZD4q
Q2hpbGQgRGV2ZWxvcG1lbnQ8L2tleXdvcmQ+PGtleXdvcmQ+Q2hpbGQsIFByZXNjaG9vbDwva2V5
d29yZD48a2V5d29yZD5Db2hvcnQgU3R1ZGllczwva2V5d29yZD48a2V5d29yZD4qRGlldCwgTWVk
aXRlcnJhbmVhbjwva2V5d29yZD48a2V5d29yZD4qRmVlZGluZyBCZWhhdmlvcjwva2V5d29yZD48
a2V5d29yZD5GZW1hbGU8L2tleXdvcmQ+PGtleXdvcmQ+SHVtYW5zPC9rZXl3b3JkPjxrZXl3b3Jk
PkluZmFudDwva2V5d29yZD48a2V5d29yZD5Mb2dpc3RpYyBNb2RlbHM8L2tleXdvcmQ+PGtleXdv
cmQ+TWFsZTwva2V5d29yZD48a2V5d29yZD4qTWF0ZXJuYWwgTnV0cml0aW9uYWwgUGh5c2lvbG9n
aWNhbCBQaGVub21lbmE8L2tleXdvcmQ+PGtleXdvcmQ+TWVudGFsIERpc29yZGVycy8qcGh5c2lv
cGF0aG9sb2d5PC9rZXl3b3JkPjxrZXl3b3JkPk11bHRpdmFyaWF0ZSBBbmFseXNpczwva2V5d29y
ZD48a2V5d29yZD5OdXRyaXRpb24gQXNzZXNzbWVudDwva2V5d29yZD48a2V5d29yZD5QYXRpZW50
IENvbXBsaWFuY2U8L2tleXdvcmQ+PGtleXdvcmQ+UHJlZ25hbmN5PC9rZXl3b3JkPjxrZXl3b3Jk
PlByaW5jaXBhbCBDb21wb25lbnQgQW5hbHlzaXM8L2tleXdvcmQ+PGtleXdvcmQ+UmlzayBGYWN0
b3JzPC9rZXl3b3JkPjxrZXl3b3JkPlN1cnZleXMgYW5kIFF1ZXN0aW9ubmFpcmVzPC9rZXl3b3Jk
PjxrZXl3b3JkPkNiY2w8L2tleXdvcmQ+PGtleXdvcmQ+RGlldGFyeSBwYXR0ZXJuczwva2V5d29y
ZD48a2V5d29yZD5FeHRlcm5hbGlzaW5nIHByb2JsZW1zPC9rZXl3b3JkPjxrZXl3b3JkPkZmcTwv
a2V5d29yZD48a2V5d29yZD5HZWU8L2tleXdvcmQ+PGtleXdvcmQ+SW50ZXJuYWxpc2luZyBwcm9i
bGVtczwva2V5d29yZD48a2V5d29yZD5QY2E8L2tleXdvcmQ+PGtleXdvcmQ+UHJlbmF0YWw8L2tl
eXdvcmQ+PGtleXdvcmQ+Y2hpbGQgYmVoYXZpb3VyIGNoZWNrbGlzdDwva2V5d29yZD48a2V5d29y
ZD5mb29kIGZyZXF1ZW5jeSBxdWVzdGlvbm5haXJlPC9rZXl3b3JkPjxrZXl3b3JkPmdlbmVyYWxp
c2VkIGVzdGltYXRpbmcgZXF1YXRpb25zPC9rZXl3b3JkPjwva2V5d29yZHM+PGRhdGVzPjx5ZWFy
PjIwMTQ8L3llYXI+PHB1Yi1kYXRlcz48ZGF0ZT5GZWI8L2RhdGU+PC9wdWItZGF0ZXM+PC9kYXRl
cz48aXNibj4xNTMyLTE5ODMgKEVsZWN0cm9uaWMpJiN4RDswMjYxLTU2MTQgKExpbmtpbmcpPC9p
c2JuPjxhY2Nlc3Npb24tbnVtPjIzNTQxOTEyPC9hY2Nlc3Npb24tbnVtPjx1cmxzPjxyZWxhdGVk
LXVybHM+PHVybD5odHRwczovL3d3dy5uY2JpLm5sbS5uaWguZ292L3B1Ym1lZC8yMzU0MTkxMjwv
dXJsPjwvcmVsYXRlZC11cmxzPjwvdXJscz48ZWxlY3Ryb25pYy1yZXNvdXJjZS1udW0+MTAuMTAx
Ni9qLmNsbnUuMjAxMy4wMy4wMDI8L2VsZWN0cm9uaWMtcmVzb3VyY2UtbnVtPjwvcmVjb3JkPjwv
Q2l0ZT48L0VuZE5vdGU+
</w:fldData>
              </w:fldChar>
            </w:r>
            <w:r w:rsidR="002747EA">
              <w:instrText xml:space="preserve"> ADDIN EN.CITE </w:instrText>
            </w:r>
            <w:r w:rsidR="002747EA">
              <w:fldChar w:fldCharType="begin">
                <w:fldData xml:space="preserve">PEVuZE5vdGU+PENpdGU+PEF1dGhvcj5TdGVlbndlZy1kZSBHcmFhZmY8L0F1dGhvcj48WWVhcj4y
MDE0PC9ZZWFyPjxSZWNOdW0+MTM3MzwvUmVjTnVtPjxEaXNwbGF5VGV4dD48c3R5bGUgZmFjZT0i
c3VwZXJzY3JpcHQiIGZvbnQ9IlRyZWJ1Y2hldCBNUyIgc2l6ZT0iOSI+NTk8L3N0eWxlPjwvRGlz
cGxheVRleHQ+PHJlY29yZD48cmVjLW51bWJlcj4xMzczPC9yZWMtbnVtYmVyPjxmb3JlaWduLWtl
eXM+PGtleSBhcHA9IkVOIiBkYi1pZD0iZXh2YXNyZngyZHRyYW9lc2FzeHAyc3pzeGEyZGY1MDI1
OTJ4IiB0aW1lc3RhbXA9IjE1NjcwMzExMDIiPjEzNzM8L2tleT48a2V5IGFwcD0iRU5XZWIiIGRi
LWlkPSIiPjA8L2tleT48L2ZvcmVpZ24ta2V5cz48cmVmLXR5cGUgbmFtZT0iSm91cm5hbCBBcnRp
Y2xlIj4xNzwvcmVmLXR5cGU+PGNvbnRyaWJ1dG9ycz48YXV0aG9ycz48YXV0aG9yPlN0ZWVud2Vn
LWRlIEdyYWFmZiwgSi48L2F1dGhvcj48YXV0aG9yPlRpZW1laWVyLCBILjwvYXV0aG9yPjxhdXRo
b3I+U3RlZWdlcnMtVGhldW5pc3NlbiwgUi4gUC48L2F1dGhvcj48YXV0aG9yPkhvZm1hbiwgQS48
L2F1dGhvcj48YXV0aG9yPkphZGRvZSwgVi4gVy48L2F1dGhvcj48YXV0aG9yPlZlcmh1bHN0LCBG
LiBDLjwvYXV0aG9yPjxhdXRob3I+Um96YSwgUy4gSi48L2F1dGhvcj48L2F1dGhvcnM+PC9jb250
cmlidXRvcnM+PGF1dGgtYWRkcmVzcz5UaGUgR2VuZXJhdGlvbiBSIFN0dWR5IEdyb3VwLCBFcmFz
bXVzIE1lZGljYWwgQ2VudHJlLCBSb3R0ZXJkYW0sIFRoZSBOZXRoZXJsYW5kczsgRGVwYXJ0bWVu
dCBvZiBDaGlsZCBhbmQgQWRvbGVzY2VudCBQc3ljaGlhdHJ5L1BzeWNob2xvZ3ksIEVyYXNtdXMg
TWVkaWNhbCBDZW50cmUsIFJvdHRlcmRhbSwgVGhlIE5ldGhlcmxhbmRzLiBFbGVjdHJvbmljIGFk
ZHJlc3M6IGouc3RlZW53ZWctZGVncmFhZmZAZXJhc211c21jLm5sLiYjeEQ7RGVwYXJ0bWVudCBv
ZiBDaGlsZCBhbmQgQWRvbGVzY2VudCBQc3ljaGlhdHJ5L1BzeWNob2xvZ3ksIEVyYXNtdXMgTWVk
aWNhbCBDZW50cmUsIFJvdHRlcmRhbSwgVGhlIE5ldGhlcmxhbmRzOyBEZXBhcnRtZW50IG9mIEVw
aWRlbWlvbG9neSwgRXJhc211cyBNZWRpY2FsIENlbnRyZSwgUm90dGVyZGFtLCBUaGUgTmV0aGVy
bGFuZHM7IERlcGFydG1lbnQgb2YgUHN5Y2hpYXRyeSwgRXJhc211cyBNZWRpY2FsIENlbnRyZSwg
Um90dGVyZGFtLCBUaGUgTmV0aGVybGFuZHMuIEVsZWN0cm9uaWMgYWRkcmVzczogaC50aWVtZWll
ckBlcmFzbXVzbWMubmwuJiN4RDtEZXBhcnRtZW50IG9mIE9ic3RldHJpY3MgYW5kIEd5bmFlY29s
b2d5LCBFcmFzbXVzIE1lZGljYWwgQ2VudHJlLCBSb3R0ZXJkYW0sIFRoZSBOZXRoZXJsYW5kczsg
RGVwYXJ0bWVudCBvZiBDbGluaWNhbCBHZW5ldGljcywgRXJhc211cyBNZWRpY2FsIENlbnRyZSwg
Um90dGVyZGFtLCBUaGUgTmV0aGVybGFuZHMuIEVsZWN0cm9uaWMgYWRkcmVzczogci5zdGVlZ2Vy
c0BlcmFzbXVzbWMubmwuJiN4RDtEZXBhcnRtZW50IG9mIEVwaWRlbWlvbG9neSwgRXJhc211cyBN
ZWRpY2FsIENlbnRyZSwgUm90dGVyZGFtLCBUaGUgTmV0aGVybGFuZHMuIEVsZWN0cm9uaWMgYWRk
cmVzczogYS5ob2ZtYW5AZXJhc211c21jLm5sLiYjeEQ7VGhlIEdlbmVyYXRpb24gUiBTdHVkeSBH
cm91cCwgRXJhc211cyBNZWRpY2FsIENlbnRyZSwgUm90dGVyZGFtLCBUaGUgTmV0aGVybGFuZHM7
IERlcGFydG1lbnQgb2YgRXBpZGVtaW9sb2d5LCBFcmFzbXVzIE1lZGljYWwgQ2VudHJlLCBSb3R0
ZXJkYW0sIFRoZSBOZXRoZXJsYW5kczsgRGVwYXJ0bWVudCBvZiBQYWVkaWF0cmljcywgRXJhc211
cyBNZWRpY2FsIENlbnRyZSwgUm90dGVyZGFtLCBUaGUgTmV0aGVybGFuZHMuIEVsZWN0cm9uaWMg
YWRkcmVzczogdi5qYWRkb2VAZXJhc211c21jLm5sLiYjeEQ7RGVwYXJ0bWVudCBvZiBDaGlsZCBh
bmQgQWRvbGVzY2VudCBQc3ljaGlhdHJ5L1BzeWNob2xvZ3ksIEVyYXNtdXMgTWVkaWNhbCBDZW50
cmUsIFJvdHRlcmRhbSwgVGhlIE5ldGhlcmxhbmRzLiBFbGVjdHJvbmljIGFkZHJlc3M6IGYudmVy
aHVsc3RAZXJhc211c21jLm5sLiYjeEQ7RGVwYXJ0bWVudCBvZiBDaGlsZCBhbmQgQWRvbGVzY2Vu
dCBQc3ljaGlhdHJ5L1BzeWNob2xvZ3ksIEVyYXNtdXMgTWVkaWNhbCBDZW50cmUsIFJvdHRlcmRh
bSwgVGhlIE5ldGhlcmxhbmRzOyBEZXBhcnRtZW50IG9mIFBzeWNoaWF0cnksIEVyYXNtdXMgTWVk
aWNhbCBDZW50cmUsIFJvdHRlcmRhbSwgVGhlIE5ldGhlcmxhbmRzLiBFbGVjdHJvbmljIGFkZHJl
c3M6IHMucm96YUBlcmFzbXVzbWMubmwuPC9hdXRoLWFkZHJlc3M+PHRpdGxlcz48dGl0bGU+TWF0
ZXJuYWwgZGlldGFyeSBwYXR0ZXJucyBkdXJpbmcgcHJlZ25hbmN5IGFuZCBjaGlsZCBpbnRlcm5h
bGlzaW5nIGFuZCBleHRlcm5hbGlzaW5nIHByb2JsZW1zLiBUaGUgR2VuZXJhdGlvbiBSIFN0dWR5
PC90aXRsZT48c2Vjb25kYXJ5LXRpdGxlPkNsaW4gTnV0cjwvc2Vjb25kYXJ5LXRpdGxlPjwvdGl0
bGVzPjxwZXJpb2RpY2FsPjxmdWxsLXRpdGxlPkNsaW4gTnV0cjwvZnVsbC10aXRsZT48L3Blcmlv
ZGljYWw+PHBhZ2VzPjExNS0yMTwvcGFnZXM+PHZvbHVtZT4zMzwvdm9sdW1lPjxudW1iZXI+MTwv
bnVtYmVyPjxlZGl0aW9uPjIwMTMvMDQvMDI8L2VkaXRpb24+PGtleXdvcmRzPjxrZXl3b3JkPkNo
aWxkPC9rZXl3b3JkPjxrZXl3b3JkPipDaGlsZCBCZWhhdmlvcjwva2V5d29yZD48a2V5d29yZD4q
Q2hpbGQgRGV2ZWxvcG1lbnQ8L2tleXdvcmQ+PGtleXdvcmQ+Q2hpbGQsIFByZXNjaG9vbDwva2V5
d29yZD48a2V5d29yZD5Db2hvcnQgU3R1ZGllczwva2V5d29yZD48a2V5d29yZD4qRGlldCwgTWVk
aXRlcnJhbmVhbjwva2V5d29yZD48a2V5d29yZD4qRmVlZGluZyBCZWhhdmlvcjwva2V5d29yZD48
a2V5d29yZD5GZW1hbGU8L2tleXdvcmQ+PGtleXdvcmQ+SHVtYW5zPC9rZXl3b3JkPjxrZXl3b3Jk
PkluZmFudDwva2V5d29yZD48a2V5d29yZD5Mb2dpc3RpYyBNb2RlbHM8L2tleXdvcmQ+PGtleXdv
cmQ+TWFsZTwva2V5d29yZD48a2V5d29yZD4qTWF0ZXJuYWwgTnV0cml0aW9uYWwgUGh5c2lvbG9n
aWNhbCBQaGVub21lbmE8L2tleXdvcmQ+PGtleXdvcmQ+TWVudGFsIERpc29yZGVycy8qcGh5c2lv
cGF0aG9sb2d5PC9rZXl3b3JkPjxrZXl3b3JkPk11bHRpdmFyaWF0ZSBBbmFseXNpczwva2V5d29y
ZD48a2V5d29yZD5OdXRyaXRpb24gQXNzZXNzbWVudDwva2V5d29yZD48a2V5d29yZD5QYXRpZW50
IENvbXBsaWFuY2U8L2tleXdvcmQ+PGtleXdvcmQ+UHJlZ25hbmN5PC9rZXl3b3JkPjxrZXl3b3Jk
PlByaW5jaXBhbCBDb21wb25lbnQgQW5hbHlzaXM8L2tleXdvcmQ+PGtleXdvcmQ+UmlzayBGYWN0
b3JzPC9rZXl3b3JkPjxrZXl3b3JkPlN1cnZleXMgYW5kIFF1ZXN0aW9ubmFpcmVzPC9rZXl3b3Jk
PjxrZXl3b3JkPkNiY2w8L2tleXdvcmQ+PGtleXdvcmQ+RGlldGFyeSBwYXR0ZXJuczwva2V5d29y
ZD48a2V5d29yZD5FeHRlcm5hbGlzaW5nIHByb2JsZW1zPC9rZXl3b3JkPjxrZXl3b3JkPkZmcTwv
a2V5d29yZD48a2V5d29yZD5HZWU8L2tleXdvcmQ+PGtleXdvcmQ+SW50ZXJuYWxpc2luZyBwcm9i
bGVtczwva2V5d29yZD48a2V5d29yZD5QY2E8L2tleXdvcmQ+PGtleXdvcmQ+UHJlbmF0YWw8L2tl
eXdvcmQ+PGtleXdvcmQ+Y2hpbGQgYmVoYXZpb3VyIGNoZWNrbGlzdDwva2V5d29yZD48a2V5d29y
ZD5mb29kIGZyZXF1ZW5jeSBxdWVzdGlvbm5haXJlPC9rZXl3b3JkPjxrZXl3b3JkPmdlbmVyYWxp
c2VkIGVzdGltYXRpbmcgZXF1YXRpb25zPC9rZXl3b3JkPjwva2V5d29yZHM+PGRhdGVzPjx5ZWFy
PjIwMTQ8L3llYXI+PHB1Yi1kYXRlcz48ZGF0ZT5GZWI8L2RhdGU+PC9wdWItZGF0ZXM+PC9kYXRl
cz48aXNibj4xNTMyLTE5ODMgKEVsZWN0cm9uaWMpJiN4RDswMjYxLTU2MTQgKExpbmtpbmcpPC9p
c2JuPjxhY2Nlc3Npb24tbnVtPjIzNTQxOTEyPC9hY2Nlc3Npb24tbnVtPjx1cmxzPjxyZWxhdGVk
LXVybHM+PHVybD5odHRwczovL3d3dy5uY2JpLm5sbS5uaWguZ292L3B1Ym1lZC8yMzU0MTkxMjwv
dXJsPjwvcmVsYXRlZC11cmxzPjwvdXJscz48ZWxlY3Ryb25pYy1yZXNvdXJjZS1udW0+MTAuMTAx
Ni9qLmNsbnUuMjAxMy4wMy4wMDI8L2VsZWN0cm9uaWMtcmVzb3VyY2UtbnVtPjwvcmVjb3JkPjwv
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59</w:t>
            </w:r>
            <w:r>
              <w:fldChar w:fldCharType="end"/>
            </w:r>
          </w:p>
          <w:p w14:paraId="5ED5CEDC" w14:textId="77777777" w:rsidR="00C7031C" w:rsidRDefault="00C7031C" w:rsidP="009F7A26">
            <w:r>
              <w:t>Netherlands</w:t>
            </w:r>
          </w:p>
          <w:p w14:paraId="4B6DB5D9" w14:textId="77777777" w:rsidR="00C7031C" w:rsidRPr="00C8357D" w:rsidRDefault="00C7031C" w:rsidP="009F7A26">
            <w:r>
              <w:t>Cohort</w:t>
            </w:r>
          </w:p>
        </w:tc>
        <w:tc>
          <w:tcPr>
            <w:tcW w:w="1417" w:type="dxa"/>
            <w:tcBorders>
              <w:top w:val="single" w:sz="4" w:space="0" w:color="auto"/>
              <w:left w:val="single" w:sz="4" w:space="0" w:color="auto"/>
              <w:bottom w:val="single" w:sz="4" w:space="0" w:color="auto"/>
              <w:right w:val="single" w:sz="4" w:space="0" w:color="auto"/>
            </w:tcBorders>
          </w:tcPr>
          <w:p w14:paraId="4AE61D33" w14:textId="77777777" w:rsidR="00C7031C" w:rsidRPr="00C8357D" w:rsidRDefault="00C7031C" w:rsidP="009F7A26">
            <w:r>
              <w:t>3,104 children</w:t>
            </w:r>
          </w:p>
        </w:tc>
        <w:tc>
          <w:tcPr>
            <w:tcW w:w="4679" w:type="dxa"/>
            <w:tcBorders>
              <w:top w:val="single" w:sz="4" w:space="0" w:color="auto"/>
              <w:left w:val="single" w:sz="4" w:space="0" w:color="auto"/>
              <w:bottom w:val="single" w:sz="4" w:space="0" w:color="auto"/>
              <w:right w:val="single" w:sz="4" w:space="0" w:color="auto"/>
            </w:tcBorders>
          </w:tcPr>
          <w:p w14:paraId="78FAFF6C" w14:textId="77777777" w:rsidR="00C7031C" w:rsidRDefault="00C7031C" w:rsidP="00572E2A">
            <w:r w:rsidRPr="00572E2A">
              <w:rPr>
                <w:b/>
              </w:rPr>
              <w:t>Aim</w:t>
            </w:r>
            <w:r>
              <w:t>: To assess the links between m</w:t>
            </w:r>
            <w:r w:rsidRPr="00BA0030">
              <w:t>aternal nutrit</w:t>
            </w:r>
            <w:r>
              <w:t>ional factors during pregnancy and</w:t>
            </w:r>
            <w:r w:rsidRPr="00BA0030">
              <w:t xml:space="preserve"> foetal brain development and subsequent offspring behaviour. </w:t>
            </w:r>
          </w:p>
          <w:p w14:paraId="5025C087" w14:textId="77777777" w:rsidR="00C7031C" w:rsidRPr="00C8357D" w:rsidRDefault="00C7031C" w:rsidP="00572E2A">
            <w:r w:rsidRPr="00572E2A">
              <w:rPr>
                <w:b/>
              </w:rPr>
              <w:t>Methods</w:t>
            </w:r>
            <w:r>
              <w:t xml:space="preserve">: </w:t>
            </w:r>
            <w:r w:rsidRPr="00BA0030">
              <w:t>Within a population-based cohort, we assessed maternal diet using a food frequency questionnaire. Three dietary patterns were derived by means of Principal Component Analysis</w:t>
            </w:r>
            <w:r>
              <w:t xml:space="preserve"> </w:t>
            </w:r>
            <w:r w:rsidRPr="003045D6">
              <w:t xml:space="preserve">— The first pattern has been labelled ‘Mediterranean’, because of its high loadings on vegetables, fish &amp; shellfish, vegetable oil, fruit, and eggs, and relatively high negative loading on processed meat. The second </w:t>
            </w:r>
            <w:r>
              <w:t xml:space="preserve">pattern, labelled </w:t>
            </w:r>
            <w:r w:rsidRPr="003045D6">
              <w:t>traditional Dutch</w:t>
            </w:r>
            <w:r>
              <w:t>,</w:t>
            </w:r>
            <w:r w:rsidRPr="003045D6">
              <w:t xml:space="preserve"> was </w:t>
            </w:r>
            <w:r>
              <w:t>characteris</w:t>
            </w:r>
            <w:r w:rsidRPr="003045D6">
              <w:t xml:space="preserve">ed by high intakes of fresh and processed meat and potatoes, a relatively high intake of margarines and a very low intake of soy and diet products. The third </w:t>
            </w:r>
            <w:r>
              <w:t>pattern, ‘Confectionary’, was</w:t>
            </w:r>
            <w:r w:rsidRPr="003045D6">
              <w:t xml:space="preserve"> high in the consumption of cakes, sugar &amp; confectionary products, tea, cereals, fruit and dairy products. </w:t>
            </w:r>
          </w:p>
        </w:tc>
        <w:tc>
          <w:tcPr>
            <w:tcW w:w="4537" w:type="dxa"/>
            <w:tcBorders>
              <w:top w:val="single" w:sz="4" w:space="0" w:color="auto"/>
              <w:left w:val="single" w:sz="4" w:space="0" w:color="auto"/>
              <w:bottom w:val="single" w:sz="4" w:space="0" w:color="auto"/>
              <w:right w:val="single" w:sz="4" w:space="0" w:color="auto"/>
            </w:tcBorders>
          </w:tcPr>
          <w:p w14:paraId="5357E344" w14:textId="77777777" w:rsidR="00C7031C" w:rsidRDefault="00C7031C" w:rsidP="000B3CD4">
            <w:r w:rsidRPr="00BA0030">
              <w:t>After adjustment, the Mediterranean diet was negatively associated (0.90, 95% CI: 0.83</w:t>
            </w:r>
            <w:r>
              <w:t xml:space="preserve"> to </w:t>
            </w:r>
            <w:r w:rsidRPr="00BA0030">
              <w:t>0.97) and the Traditionally Dutch diet (1.11, 95% CI: 1.03</w:t>
            </w:r>
            <w:r>
              <w:t xml:space="preserve"> to </w:t>
            </w:r>
            <w:r w:rsidRPr="00BA0030">
              <w:t>1.21)</w:t>
            </w:r>
            <w:r>
              <w:t xml:space="preserve"> </w:t>
            </w:r>
            <w:r w:rsidRPr="00BA0030">
              <w:t>was positively associated with child externalising problems</w:t>
            </w:r>
            <w:r>
              <w:t xml:space="preserve"> (problem behaviours directed toward the environment such as aggression, cheating, disobeying rules)</w:t>
            </w:r>
            <w:r w:rsidRPr="00BA0030">
              <w:t xml:space="preserve">. </w:t>
            </w:r>
          </w:p>
          <w:p w14:paraId="6DB69AF1" w14:textId="77777777" w:rsidR="00C7031C" w:rsidRPr="00304D42" w:rsidRDefault="00C7031C" w:rsidP="00304D42">
            <w:r w:rsidRPr="00304D42">
              <w:t>Both low adherence to the Mediterranean diet and high adherence to the Traditionally Dutch diet during pregnancy are associated with an increased risk of child externalising problems.</w:t>
            </w:r>
          </w:p>
          <w:p w14:paraId="1162F754" w14:textId="77777777" w:rsidR="00C7031C" w:rsidRPr="00BA0030" w:rsidRDefault="00C7031C" w:rsidP="000B3CD4"/>
        </w:tc>
        <w:tc>
          <w:tcPr>
            <w:tcW w:w="1843" w:type="dxa"/>
            <w:tcBorders>
              <w:top w:val="single" w:sz="4" w:space="0" w:color="auto"/>
              <w:left w:val="single" w:sz="4" w:space="0" w:color="auto"/>
              <w:bottom w:val="single" w:sz="4" w:space="0" w:color="auto"/>
              <w:right w:val="single" w:sz="4" w:space="0" w:color="auto"/>
            </w:tcBorders>
          </w:tcPr>
          <w:p w14:paraId="1CB71B06" w14:textId="70CF1632" w:rsidR="00C7031C" w:rsidRPr="00C8357D" w:rsidRDefault="00C7031C" w:rsidP="009F7A26"/>
        </w:tc>
      </w:tr>
      <w:tr w:rsidR="00C7031C" w:rsidRPr="00C8357D" w14:paraId="29EBFB8F"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54969A28" w14:textId="7C20804C" w:rsidR="00C7031C" w:rsidRDefault="00C7031C" w:rsidP="00304D42">
            <w:r>
              <w:t>Chatzi et al 2017</w:t>
            </w:r>
            <w:r>
              <w:fldChar w:fldCharType="begin">
                <w:fldData xml:space="preserve">PEVuZE5vdGU+PENpdGU+PEF1dGhvcj5DaGF0emk8L0F1dGhvcj48WWVhcj4yMDE3PC9ZZWFyPjxS
ZWNOdW0+MTM1MjwvUmVjTnVtPjxEaXNwbGF5VGV4dD48c3R5bGUgZmFjZT0ic3VwZXJzY3JpcHQi
IGZvbnQ9IlRyZWJ1Y2hldCBNUyIgc2l6ZT0iOSI+NDk8L3N0eWxlPjwvRGlzcGxheVRleHQ+PHJl
Y29yZD48cmVjLW51bWJlcj4xMzUyPC9yZWMtbnVtYmVyPjxmb3JlaWduLWtleXM+PGtleSBhcHA9
IkVOIiBkYi1pZD0iZXh2YXNyZngyZHRyYW9lc2FzeHAyc3pzeGEyZGY1MDI1OTJ4IiB0aW1lc3Rh
bXA9IjE1NjcwMzEwMTUiPjEzNTI8L2tleT48a2V5IGFwcD0iRU5XZWIiIGRiLWlkPSIiPjA8L2tl
eT48L2ZvcmVpZ24ta2V5cz48cmVmLXR5cGUgbmFtZT0iSm91cm5hbCBBcnRpY2xlIj4xNzwvcmVm
LXR5cGU+PGNvbnRyaWJ1dG9ycz48YXV0aG9ycz48YXV0aG9yPkNoYXR6aSwgTC48L2F1dGhvcj48
YXV0aG9yPlJpZmFzLVNoaW1hbiwgUy4gTC48L2F1dGhvcj48YXV0aG9yPkdlb3JnaW91LCBWLjwv
YXV0aG9yPjxhdXRob3I+Sm91bmcsIEsuIEUuPC9hdXRob3I+PGF1dGhvcj5Lb2luYWtpLCBTLjwv
YXV0aG9yPjxhdXRob3I+Q2hhbGtpYWRha2ksIEcuPC9hdXRob3I+PGF1dGhvcj5NYXJnaW9yaXMs
IEEuPC9hdXRob3I+PGF1dGhvcj5TYXJyaSwgSy48L2F1dGhvcj48YXV0aG9yPlZhc3NpbGFraSwg
TS48L2F1dGhvcj48YXV0aG9yPlZhZmVpYWRpLCBNLjwvYXV0aG9yPjxhdXRob3I+S29nZXZpbmFz
LCBNLjwvYXV0aG9yPjxhdXRob3I+TWFudHpvcm9zLCBDLjwvYXV0aG9yPjxhdXRob3I+R2lsbG1h
biwgTS4gVy48L2F1dGhvcj48YXV0aG9yPk9rZW4sIEUuPC9hdXRob3I+PC9hdXRob3JzPjwvY29u
dHJpYnV0b3JzPjxhdXRoLWFkZHJlc3M+RGVwYXJ0bWVudCBvZiBTb2NpYWwgTWVkaWNpbmUsIFVu
aXZlcnNpdHkgb2YgQ3JldGUsIEhlcmFrbGlvbiwgR3JlZWNlLiYjeEQ7T2Jlc2l0eSBQcmV2ZW50
aW9uIFByb2dyYW0sIERlcGFydG1lbnQgb2YgUG9wdWxhdGlvbiBNZWRpY2luZSwgSGFydmFyZCBN
ZWRpY2FsIFNjaG9vbCBhbmQgSGFydmFyZCBQaWxncmltIEhlYWx0aCBDYXJlIEluc3RpdHV0ZSwg
Qm9zdG9uLCBNQSwgVVNBLiYjeEQ7RGl2aXNpb24gb2YgRW5kb2NyaW5vbG9neSwgRGlhYmV0ZXMs
ICZhbXA7IE1ldGFib2xpc20sIERlcGFydG1lbnQgb2YgTWVkaWNpbmUsIEJldGggSXNyYWVsIERl
YWNvbmVzcyBNZWRpY2FsIENlbnRlciwgSGFydmFyZCBNZWRpY2FsIFNjaG9vbCwgQm9zdG9uLCBN
QSwgVVNBLiYjeEQ7RGVwYXJ0bWVudCBvZiBMYWJvcmF0b3J5IE1lZGljaW5lLCBVbml2ZXJzaXR5
IG9mIENyZXRlLCBIZXJha2xpb24sIEdyZWVjZS4mI3hEO0NlbnRyZSBmb3IgUmVzZWFyY2ggaW4g
RW52aXJvbm1lbnRhbCBFcGlkZW1pb2xvZ3ksIENSRUFMLCBCYXJjZWxvbmEsIFNwYWluLjwvYXV0
aC1hZGRyZXNzPjx0aXRsZXM+PHRpdGxlPkFkaGVyZW5jZSB0byB0aGUgTWVkaXRlcnJhbmVhbiBk
aWV0IGR1cmluZyBwcmVnbmFuY3kgYW5kIG9mZnNwcmluZyBhZGlwb3NpdHkgYW5kIGNhcmRpb21l
dGFib2xpYyB0cmFpdHMgaW4gY2hpbGRob29kPC90aXRsZT48c2Vjb25kYXJ5LXRpdGxlPlBlZGlh
dHIgT2Jlczwvc2Vjb25kYXJ5LXRpdGxlPjwvdGl0bGVzPjxwZXJpb2RpY2FsPjxmdWxsLXRpdGxl
PlBlZGlhdHIgT2JlczwvZnVsbC10aXRsZT48L3BlcmlvZGljYWw+PHBhZ2VzPjQ3LTU2PC9wYWdl
cz48dm9sdW1lPjEyIFN1cHBsIDE8L3ZvbHVtZT48ZWRpdGlvbj4yMDE3LzAyLzA2PC9lZGl0aW9u
PjxrZXl3b3Jkcz48a2V5d29yZD5BZGlwb3NpdHkvKnBoeXNpb2xvZ3k8L2tleXdvcmQ+PGtleXdv
cmQ+QWR1bHQ8L2tleXdvcmQ+PGtleXdvcmQ+QW50aHJvcG9tZXRyeTwva2V5d29yZD48a2V5d29y
ZD5CbG9vZCBQcmVzc3VyZTwva2V5d29yZD48a2V5d29yZD5DLVJlYWN0aXZlIFByb3RlaW48L2tl
eXdvcmQ+PGtleXdvcmQ+Q2FyZGlvdmFzY3VsYXIgRGlzZWFzZXMvKnByZXZlbnRpb24gJmFtcDsg
Y29udHJvbDwva2V5d29yZD48a2V5d29yZD5DaGlsZDwva2V5d29yZD48a2V5d29yZD5DaGlsZCwg
UHJlc2Nob29sPC9rZXl3b3JkPjxrZXl3b3JkPipEaWV0LCBNZWRpdGVycmFuZWFuPC9rZXl3b3Jk
PjxrZXl3b3JkPkZlZWRpbmcgQmVoYXZpb3I8L2tleXdvcmQ+PGtleXdvcmQ+RmVtYWxlPC9rZXl3
b3JkPjxrZXl3b3JkPkdyZWVjZTwva2V5d29yZD48a2V5d29yZD5IdW1hbnM8L2tleXdvcmQ+PGtl
eXdvcmQ+TGlwaWRzL2Jsb29kPC9rZXl3b3JkPjxrZXl3b3JkPk1hbGU8L2tleXdvcmQ+PGtleXdv
cmQ+TWFzc2FjaHVzZXR0czwva2V5d29yZD48a2V5d29yZD5NaWRkbGUgQWdlZDwva2V5d29yZD48
a2V5d29yZD5QYXRpZW50IENvbXBsaWFuY2UvKnN0YXRpc3RpY3MgJmFtcDsgbnVtZXJpY2FsIGRh
dGE8L2tleXdvcmQ+PGtleXdvcmQ+UGVkaWF0cmljIE9iZXNpdHkvZGlldCB0aGVyYXB5LyplcGlk
ZW1pb2xvZ3k8L2tleXdvcmQ+PGtleXdvcmQ+UHJlZ25hbmN5PC9rZXl3b3JkPjxrZXl3b3JkPlBy
b3NwZWN0aXZlIFN0dWRpZXM8L2tleXdvcmQ+PGtleXdvcmQ+UmlzayBGYWN0b3JzPC9rZXl3b3Jk
PjxrZXl3b3JkPipCbG9vZCBwcmVzc3VyZTwva2V5d29yZD48a2V5d29yZD4qY29ob3J0IHN0dWR5
PC9rZXl3b3JkPjxrZXl3b3JkPipkaWV0PC9rZXl3b3JkPjxrZXl3b3JkPipsaXBpZHM8L2tleXdv
cmQ+PGtleXdvcmQ+Km9iZXNpdHk8L2tleXdvcmQ+PGtleXdvcmQ+KnByZWduYW5jeTwva2V5d29y
ZD48L2tleXdvcmRzPjxkYXRlcz48eWVhcj4yMDE3PC95ZWFyPjxwdWItZGF0ZXM+PGRhdGU+QXVn
PC9kYXRlPjwvcHViLWRhdGVzPjwvZGF0ZXM+PGlzYm4+MjA0Ny02MzEwIChFbGVjdHJvbmljKSYj
eEQ7MjA0Ny02MzAyIChMaW5raW5nKTwvaXNibj48YWNjZXNzaW9uLW51bT4yODE2MDQ1MDwvYWNj
ZXNzaW9uLW51bT48dXJscz48cmVsYXRlZC11cmxzPjx1cmw+aHR0cHM6Ly93d3cubmNiaS5ubG0u
bmloLmdvdi9wdWJtZWQvMjgxNjA0NTA8L3VybD48L3JlbGF0ZWQtdXJscz48L3VybHM+PGN1c3Rv
bTI+UE1DNTY5Nzc0NDwvY3VzdG9tMj48ZWxlY3Ryb25pYy1yZXNvdXJjZS1udW0+MTAuMTExMS9p
anBvLjEyMTkxPC9lbGVjdHJvbmljLXJlc291cmNlLW51bT48L3JlY29yZD48L0NpdGU+PC9FbmRO
b3RlPgB=
</w:fldData>
              </w:fldChar>
            </w:r>
            <w:r w:rsidR="002747EA">
              <w:instrText xml:space="preserve"> ADDIN EN.CITE </w:instrText>
            </w:r>
            <w:r w:rsidR="002747EA">
              <w:fldChar w:fldCharType="begin">
                <w:fldData xml:space="preserve">PEVuZE5vdGU+PENpdGU+PEF1dGhvcj5DaGF0emk8L0F1dGhvcj48WWVhcj4yMDE3PC9ZZWFyPjxS
ZWNOdW0+MTM1MjwvUmVjTnVtPjxEaXNwbGF5VGV4dD48c3R5bGUgZmFjZT0ic3VwZXJzY3JpcHQi
IGZvbnQ9IlRyZWJ1Y2hldCBNUyIgc2l6ZT0iOSI+NDk8L3N0eWxlPjwvRGlzcGxheVRleHQ+PHJl
Y29yZD48cmVjLW51bWJlcj4xMzUyPC9yZWMtbnVtYmVyPjxmb3JlaWduLWtleXM+PGtleSBhcHA9
IkVOIiBkYi1pZD0iZXh2YXNyZngyZHRyYW9lc2FzeHAyc3pzeGEyZGY1MDI1OTJ4IiB0aW1lc3Rh
bXA9IjE1NjcwMzEwMTUiPjEzNTI8L2tleT48a2V5IGFwcD0iRU5XZWIiIGRiLWlkPSIiPjA8L2tl
eT48L2ZvcmVpZ24ta2V5cz48cmVmLXR5cGUgbmFtZT0iSm91cm5hbCBBcnRpY2xlIj4xNzwvcmVm
LXR5cGU+PGNvbnRyaWJ1dG9ycz48YXV0aG9ycz48YXV0aG9yPkNoYXR6aSwgTC48L2F1dGhvcj48
YXV0aG9yPlJpZmFzLVNoaW1hbiwgUy4gTC48L2F1dGhvcj48YXV0aG9yPkdlb3JnaW91LCBWLjwv
YXV0aG9yPjxhdXRob3I+Sm91bmcsIEsuIEUuPC9hdXRob3I+PGF1dGhvcj5Lb2luYWtpLCBTLjwv
YXV0aG9yPjxhdXRob3I+Q2hhbGtpYWRha2ksIEcuPC9hdXRob3I+PGF1dGhvcj5NYXJnaW9yaXMs
IEEuPC9hdXRob3I+PGF1dGhvcj5TYXJyaSwgSy48L2F1dGhvcj48YXV0aG9yPlZhc3NpbGFraSwg
TS48L2F1dGhvcj48YXV0aG9yPlZhZmVpYWRpLCBNLjwvYXV0aG9yPjxhdXRob3I+S29nZXZpbmFz
LCBNLjwvYXV0aG9yPjxhdXRob3I+TWFudHpvcm9zLCBDLjwvYXV0aG9yPjxhdXRob3I+R2lsbG1h
biwgTS4gVy48L2F1dGhvcj48YXV0aG9yPk9rZW4sIEUuPC9hdXRob3I+PC9hdXRob3JzPjwvY29u
dHJpYnV0b3JzPjxhdXRoLWFkZHJlc3M+RGVwYXJ0bWVudCBvZiBTb2NpYWwgTWVkaWNpbmUsIFVu
aXZlcnNpdHkgb2YgQ3JldGUsIEhlcmFrbGlvbiwgR3JlZWNlLiYjeEQ7T2Jlc2l0eSBQcmV2ZW50
aW9uIFByb2dyYW0sIERlcGFydG1lbnQgb2YgUG9wdWxhdGlvbiBNZWRpY2luZSwgSGFydmFyZCBN
ZWRpY2FsIFNjaG9vbCBhbmQgSGFydmFyZCBQaWxncmltIEhlYWx0aCBDYXJlIEluc3RpdHV0ZSwg
Qm9zdG9uLCBNQSwgVVNBLiYjeEQ7RGl2aXNpb24gb2YgRW5kb2NyaW5vbG9neSwgRGlhYmV0ZXMs
ICZhbXA7IE1ldGFib2xpc20sIERlcGFydG1lbnQgb2YgTWVkaWNpbmUsIEJldGggSXNyYWVsIERl
YWNvbmVzcyBNZWRpY2FsIENlbnRlciwgSGFydmFyZCBNZWRpY2FsIFNjaG9vbCwgQm9zdG9uLCBN
QSwgVVNBLiYjeEQ7RGVwYXJ0bWVudCBvZiBMYWJvcmF0b3J5IE1lZGljaW5lLCBVbml2ZXJzaXR5
IG9mIENyZXRlLCBIZXJha2xpb24sIEdyZWVjZS4mI3hEO0NlbnRyZSBmb3IgUmVzZWFyY2ggaW4g
RW52aXJvbm1lbnRhbCBFcGlkZW1pb2xvZ3ksIENSRUFMLCBCYXJjZWxvbmEsIFNwYWluLjwvYXV0
aC1hZGRyZXNzPjx0aXRsZXM+PHRpdGxlPkFkaGVyZW5jZSB0byB0aGUgTWVkaXRlcnJhbmVhbiBk
aWV0IGR1cmluZyBwcmVnbmFuY3kgYW5kIG9mZnNwcmluZyBhZGlwb3NpdHkgYW5kIGNhcmRpb21l
dGFib2xpYyB0cmFpdHMgaW4gY2hpbGRob29kPC90aXRsZT48c2Vjb25kYXJ5LXRpdGxlPlBlZGlh
dHIgT2Jlczwvc2Vjb25kYXJ5LXRpdGxlPjwvdGl0bGVzPjxwZXJpb2RpY2FsPjxmdWxsLXRpdGxl
PlBlZGlhdHIgT2JlczwvZnVsbC10aXRsZT48L3BlcmlvZGljYWw+PHBhZ2VzPjQ3LTU2PC9wYWdl
cz48dm9sdW1lPjEyIFN1cHBsIDE8L3ZvbHVtZT48ZWRpdGlvbj4yMDE3LzAyLzA2PC9lZGl0aW9u
PjxrZXl3b3Jkcz48a2V5d29yZD5BZGlwb3NpdHkvKnBoeXNpb2xvZ3k8L2tleXdvcmQ+PGtleXdv
cmQ+QWR1bHQ8L2tleXdvcmQ+PGtleXdvcmQ+QW50aHJvcG9tZXRyeTwva2V5d29yZD48a2V5d29y
ZD5CbG9vZCBQcmVzc3VyZTwva2V5d29yZD48a2V5d29yZD5DLVJlYWN0aXZlIFByb3RlaW48L2tl
eXdvcmQ+PGtleXdvcmQ+Q2FyZGlvdmFzY3VsYXIgRGlzZWFzZXMvKnByZXZlbnRpb24gJmFtcDsg
Y29udHJvbDwva2V5d29yZD48a2V5d29yZD5DaGlsZDwva2V5d29yZD48a2V5d29yZD5DaGlsZCwg
UHJlc2Nob29sPC9rZXl3b3JkPjxrZXl3b3JkPipEaWV0LCBNZWRpdGVycmFuZWFuPC9rZXl3b3Jk
PjxrZXl3b3JkPkZlZWRpbmcgQmVoYXZpb3I8L2tleXdvcmQ+PGtleXdvcmQ+RmVtYWxlPC9rZXl3
b3JkPjxrZXl3b3JkPkdyZWVjZTwva2V5d29yZD48a2V5d29yZD5IdW1hbnM8L2tleXdvcmQ+PGtl
eXdvcmQ+TGlwaWRzL2Jsb29kPC9rZXl3b3JkPjxrZXl3b3JkPk1hbGU8L2tleXdvcmQ+PGtleXdv
cmQ+TWFzc2FjaHVzZXR0czwva2V5d29yZD48a2V5d29yZD5NaWRkbGUgQWdlZDwva2V5d29yZD48
a2V5d29yZD5QYXRpZW50IENvbXBsaWFuY2UvKnN0YXRpc3RpY3MgJmFtcDsgbnVtZXJpY2FsIGRh
dGE8L2tleXdvcmQ+PGtleXdvcmQ+UGVkaWF0cmljIE9iZXNpdHkvZGlldCB0aGVyYXB5LyplcGlk
ZW1pb2xvZ3k8L2tleXdvcmQ+PGtleXdvcmQ+UHJlZ25hbmN5PC9rZXl3b3JkPjxrZXl3b3JkPlBy
b3NwZWN0aXZlIFN0dWRpZXM8L2tleXdvcmQ+PGtleXdvcmQ+UmlzayBGYWN0b3JzPC9rZXl3b3Jk
PjxrZXl3b3JkPipCbG9vZCBwcmVzc3VyZTwva2V5d29yZD48a2V5d29yZD4qY29ob3J0IHN0dWR5
PC9rZXl3b3JkPjxrZXl3b3JkPipkaWV0PC9rZXl3b3JkPjxrZXl3b3JkPipsaXBpZHM8L2tleXdv
cmQ+PGtleXdvcmQ+Km9iZXNpdHk8L2tleXdvcmQ+PGtleXdvcmQ+KnByZWduYW5jeTwva2V5d29y
ZD48L2tleXdvcmRzPjxkYXRlcz48eWVhcj4yMDE3PC95ZWFyPjxwdWItZGF0ZXM+PGRhdGU+QXVn
PC9kYXRlPjwvcHViLWRhdGVzPjwvZGF0ZXM+PGlzYm4+MjA0Ny02MzEwIChFbGVjdHJvbmljKSYj
eEQ7MjA0Ny02MzAyIChMaW5raW5nKTwvaXNibj48YWNjZXNzaW9uLW51bT4yODE2MDQ1MDwvYWNj
ZXNzaW9uLW51bT48dXJscz48cmVsYXRlZC11cmxzPjx1cmw+aHR0cHM6Ly93d3cubmNiaS5ubG0u
bmloLmdvdi9wdWJtZWQvMjgxNjA0NTA8L3VybD48L3JlbGF0ZWQtdXJscz48L3VybHM+PGN1c3Rv
bTI+UE1DNTY5Nzc0NDwvY3VzdG9tMj48ZWxlY3Ryb25pYy1yZXNvdXJjZS1udW0+MTAuMTExMS9p
anBvLjEyMTkxPC9lbGVjdHJvbmljLXJlc291cmNlLW51bT48L3JlY29yZD48L0NpdGU+PC9FbmRO
b3RlPgB=
</w:fldData>
              </w:fldChar>
            </w:r>
            <w:r w:rsidR="002747EA">
              <w:instrText xml:space="preserve"> ADDIN EN.CITE.DATA </w:instrText>
            </w:r>
            <w:r w:rsidR="002747EA">
              <w:fldChar w:fldCharType="end"/>
            </w:r>
            <w:r>
              <w:fldChar w:fldCharType="separate"/>
            </w:r>
            <w:r w:rsidR="002747EA" w:rsidRPr="002747EA">
              <w:rPr>
                <w:noProof/>
                <w:vertAlign w:val="superscript"/>
              </w:rPr>
              <w:t>49</w:t>
            </w:r>
            <w:r>
              <w:fldChar w:fldCharType="end"/>
            </w:r>
          </w:p>
          <w:p w14:paraId="30A4E02D" w14:textId="77777777" w:rsidR="00C7031C" w:rsidRDefault="00C7031C" w:rsidP="00304D42">
            <w:r>
              <w:t>United States (Viva), Greece (Rhea)</w:t>
            </w:r>
          </w:p>
          <w:p w14:paraId="4038EA8D" w14:textId="77777777" w:rsidR="00C7031C" w:rsidRPr="00C6721E" w:rsidRDefault="00C7031C" w:rsidP="00304D42">
            <w:r>
              <w:t>Cohort</w:t>
            </w:r>
          </w:p>
        </w:tc>
        <w:tc>
          <w:tcPr>
            <w:tcW w:w="1417" w:type="dxa"/>
            <w:tcBorders>
              <w:top w:val="single" w:sz="4" w:space="0" w:color="auto"/>
              <w:left w:val="single" w:sz="4" w:space="0" w:color="auto"/>
              <w:bottom w:val="single" w:sz="4" w:space="0" w:color="auto"/>
              <w:right w:val="single" w:sz="4" w:space="0" w:color="auto"/>
            </w:tcBorders>
          </w:tcPr>
          <w:p w14:paraId="628AF2A5" w14:textId="77777777" w:rsidR="00C7031C" w:rsidRDefault="00C7031C" w:rsidP="009F7A26">
            <w:r>
              <w:t>997 mother-child pairs in United States</w:t>
            </w:r>
          </w:p>
          <w:p w14:paraId="078B9277" w14:textId="77777777" w:rsidR="00C7031C" w:rsidRDefault="00C7031C" w:rsidP="009F7A26">
            <w:r>
              <w:t>569 pairs in Greece</w:t>
            </w:r>
          </w:p>
        </w:tc>
        <w:tc>
          <w:tcPr>
            <w:tcW w:w="4679" w:type="dxa"/>
            <w:tcBorders>
              <w:top w:val="single" w:sz="4" w:space="0" w:color="auto"/>
              <w:left w:val="single" w:sz="4" w:space="0" w:color="auto"/>
              <w:bottom w:val="single" w:sz="4" w:space="0" w:color="auto"/>
              <w:right w:val="single" w:sz="4" w:space="0" w:color="auto"/>
            </w:tcBorders>
          </w:tcPr>
          <w:p w14:paraId="107E8FA3" w14:textId="77777777" w:rsidR="00C7031C" w:rsidRDefault="00C7031C" w:rsidP="00060D24">
            <w:r>
              <w:rPr>
                <w:b/>
              </w:rPr>
              <w:t xml:space="preserve">Aim: </w:t>
            </w:r>
            <w:r>
              <w:t>T</w:t>
            </w:r>
            <w:r w:rsidRPr="00060D24">
              <w:t xml:space="preserve">o investigate the association between adherence to Mediterranean diet in pregnancy and offspring cardiometabolic traits in two pregnancy cohorts. </w:t>
            </w:r>
          </w:p>
          <w:p w14:paraId="625920BA" w14:textId="77777777" w:rsidR="00C7031C" w:rsidRPr="00304D42" w:rsidRDefault="00C7031C" w:rsidP="008879A2">
            <w:pPr>
              <w:rPr>
                <w:b/>
              </w:rPr>
            </w:pPr>
            <w:r w:rsidRPr="00060D24">
              <w:rPr>
                <w:b/>
              </w:rPr>
              <w:t>Methods</w:t>
            </w:r>
            <w:r w:rsidRPr="00060D24">
              <w:t xml:space="preserve">: We estimated adherence to the Mediterranean diet with an a priori defined score (MDS) of nine foods and nutrients (0 to 9). We measured child weight, height, waist circumference, skin-fold thicknesses, blood pressure, and blood levels of lipids, c-reactive protein and adipokines in mid-childhood (median 7.7 years) in Viva, and in early childhood (median 4.2 years) in Rhea. We calculated cohort-specific effects and pooled effects estimates with random-effects models for cohort and child age. </w:t>
            </w:r>
          </w:p>
        </w:tc>
        <w:tc>
          <w:tcPr>
            <w:tcW w:w="4537" w:type="dxa"/>
            <w:tcBorders>
              <w:top w:val="single" w:sz="4" w:space="0" w:color="auto"/>
              <w:left w:val="single" w:sz="4" w:space="0" w:color="auto"/>
              <w:bottom w:val="single" w:sz="4" w:space="0" w:color="auto"/>
              <w:right w:val="single" w:sz="4" w:space="0" w:color="auto"/>
            </w:tcBorders>
          </w:tcPr>
          <w:p w14:paraId="10496879" w14:textId="77777777" w:rsidR="00C7031C" w:rsidRDefault="00C7031C" w:rsidP="008879A2">
            <w:r w:rsidRPr="00060D24">
              <w:t xml:space="preserve">In Project Viva, the mean (SD, standard deviation) MDS was 2.7 (1.6); in Rhea it was 3.8 (1.7). In the pooled analysis, for each 3-point increment in the MDS, offspring BMI z-score was lower by 0.14 units (95% CI, -0.15 to -0.13), waist circumference by 0.39 cm (95% CI, -0.64 to -0.14), and the sum of skin-fold thicknesses by 0.63 mm (95% CI, -0.98 to -0.28). We also observed lower offspring systolic (-1.03 mmHg; 95% CI, -1.65 to -0.42) and diastolic blood pressure (-0.57 mmHg; 95% CI, -0.98 to -0.16). </w:t>
            </w:r>
          </w:p>
          <w:p w14:paraId="6B39A8D2" w14:textId="77777777" w:rsidR="00C7031C" w:rsidRPr="00060D24" w:rsidRDefault="00C7031C" w:rsidP="008879A2">
            <w:r w:rsidRPr="00060D24">
              <w:t>Greater adherence to Mediterranean diet during pregnancy may protect against excess offspring cardiometabolic risk.</w:t>
            </w:r>
          </w:p>
        </w:tc>
        <w:tc>
          <w:tcPr>
            <w:tcW w:w="1843" w:type="dxa"/>
            <w:tcBorders>
              <w:top w:val="single" w:sz="4" w:space="0" w:color="auto"/>
              <w:left w:val="single" w:sz="4" w:space="0" w:color="auto"/>
              <w:bottom w:val="single" w:sz="4" w:space="0" w:color="auto"/>
              <w:right w:val="single" w:sz="4" w:space="0" w:color="auto"/>
            </w:tcBorders>
          </w:tcPr>
          <w:p w14:paraId="1E0E6957" w14:textId="1F0DD5C8" w:rsidR="00C7031C" w:rsidRPr="00C8357D" w:rsidRDefault="00C7031C" w:rsidP="009F7A26"/>
        </w:tc>
      </w:tr>
      <w:tr w:rsidR="00C7031C" w:rsidRPr="00C8357D" w14:paraId="3917BF42"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5D1E6554" w14:textId="46DF41F5" w:rsidR="00C7031C" w:rsidRDefault="00C7031C" w:rsidP="005033E8">
            <w:r w:rsidRPr="00C6721E">
              <w:t>Fernandez-Barres</w:t>
            </w:r>
            <w:r>
              <w:t xml:space="preserve"> et al 2019</w:t>
            </w:r>
            <w:r>
              <w:fldChar w:fldCharType="begin">
                <w:fldData xml:space="preserve">PEVuZE5vdGU+PENpdGU+PEF1dGhvcj5GZXJuYW5kZXotQmFycmVzPC9BdXRob3I+PFllYXI+MjAx
OTwvWWVhcj48UmVjTnVtPjEzNjM8L1JlY051bT48RGlzcGxheVRleHQ+PHN0eWxlIGZhY2U9InN1
cGVyc2NyaXB0IiBmb250PSJUcmVidWNoZXQgTVMiIHNpemU9IjkiPjUxPC9zdHlsZT48L0Rpc3Bs
YXlUZXh0PjxyZWNvcmQ+PHJlYy1udW1iZXI+MTM2MzwvcmVjLW51bWJlcj48Zm9yZWlnbi1rZXlz
PjxrZXkgYXBwPSJFTiIgZGItaWQ9ImV4dmFzcmZ4MmR0cmFvZXNhc3hwMnN6c3hhMmRmNTAyNTky
eCIgdGltZXN0YW1wPSIxNTY3MDMxMDYxIj4xMzYzPC9rZXk+PGtleSBhcHA9IkVOV2ViIiBkYi1p
ZD0iIj4wPC9rZXk+PC9mb3JlaWduLWtleXM+PHJlZi10eXBlIG5hbWU9IkpvdXJuYWwgQXJ0aWNs
ZSI+MTc8L3JlZi10eXBlPjxjb250cmlidXRvcnM+PGF1dGhvcnM+PGF1dGhvcj5GZXJuYW5kZXot
QmFycmVzLCBTLjwvYXV0aG9yPjxhdXRob3I+VnJpamhlaWQsIE0uPC9hdXRob3I+PGF1dGhvcj5N
YW56YW5vLVNhbGdhZG8sIEMuIEIuPC9hdXRob3I+PGF1dGhvcj5WYWx2aSwgRC48L2F1dGhvcj48
YXV0aG9yPk1hcnRpbmV6LCBELjwvYXV0aG9yPjxhdXRob3I+SW5pZ3VleiwgQy48L2F1dGhvcj48
YXV0aG9yPkppbWVuZXotWmFiYWxhLCBBLjwvYXV0aG9yPjxhdXRob3I+Umlhbm8tR2FsYW4sIEku
PC9hdXRob3I+PGF1dGhvcj5OYXZhcnJldGUtTXVub3osIEUuIE0uPC9hdXRob3I+PGF1dGhvcj5T
YW50YS1NYXJpbmEsIEwuPC9hdXRob3I+PGF1dGhvcj5UYXJkb24sIEEuPC9hdXRob3I+PGF1dGhv
cj5WaW9xdWUsIEouPC9hdXRob3I+PGF1dGhvcj5BcmlqYSwgVi48L2F1dGhvcj48YXV0aG9yPlN1
bnllciwgSi48L2F1dGhvcj48YXV0aG9yPlJvbWFndWVyYSwgRC48L2F1dGhvcj48YXV0aG9yPklu
ZmFuY2lhIHkgTWVkaW8gQW1iaWVudGUsIFByb2plY3Q8L2F1dGhvcj48L2F1dGhvcnM+PC9jb250
cmlidXRvcnM+PGF1dGgtYWRkcmVzcz5JU0dsb2JhbCwgQmFyY2Vsb25hLCBTcGFpbjsgVW5pdmVy
c2l0YXQgUG9tcGV1IEZhYnJhLCBCYXJjZWxvbmEsIFNwYWluOyBDSUJFUiBFcGlkZW1pb2xvZ2lh
IHkgU2FsdWQgUHVibGljYSAoQ0lCRVJFU1ApLCBNYWRyaWQsIFNwYWluOyBEZXBhcnRhbWVudCBk
ZSBDaWVuY2llcyBNZWRpcXVlcyBCYXNpcXVlcywgTnV0cml0aW9uIGFuZCBNZW50YWwgSGVhbHRo
IFJlc2VhcmNoIEdyb3VwIChOVVRSSVNBTSksIEZhY3VsdGF0IGRlIE1lZGljaW5hIGkgQ2llbmNp
ZXMgZGUgbGEgU2FsdXQgKEZNQ1MpLCBVbml2ZXJzaXRhdCBSb3ZpcmEgaSBWaXJnaWxpIChVUlYp
LCBSZXVzLCBTcGFpbi4gRWxlY3Ryb25pYyBhZGRyZXNzOiBzaWx2aWEuZmVybmFuZGV6QGlzZ2xv
YmFsLm9yZy4mI3hEO0lTR2xvYmFsLCBCYXJjZWxvbmEsIFNwYWluOyBVbml2ZXJzaXRhdCBQb21w
ZXUgRmFicmEsIEJhcmNlbG9uYSwgU3BhaW47IENJQkVSIEVwaWRlbWlvbG9naWEgeSBTYWx1ZCBQ
dWJsaWNhIChDSUJFUkVTUCksIE1hZHJpZCwgU3BhaW4uJiN4RDtEZXBhcnRtZW50IG9mIEVudmly
b25tZW50YWwgSGVhbHRoLCBIYXJ2YXJkIFQuSC4gQ2hhbiBTY2hvb2wgb2YgUHVibGljIEhlYWx0
aCwgQm9zdG9uLCBNQS4mI3hEO0NJQkVSIEVwaWRlbWlvbG9naWEgeSBTYWx1ZCBQdWJsaWNhIChD
SUJFUkVTUCksIE1hZHJpZCwgU3BhaW47IEVwaWRlbWlvbG9neSBhbmQgRW52aXJvbm1lbnRhbCBI
ZWFsdGggSm9pbnQgUmVzZWFyY2ggVW5pdCwgRklTQUJJTy1Vbml2ZXJzaXRhdCBKYXVtZSBJLVVu
aXZlcnNpdGF0IGRlIFZhbGVuY2lhLCBWYWxlbmNpYSwgU3BhaW4uJiN4RDtCSU9ET05PU1RJQSBI
ZWFsdGggUmVzZWFyY2ggSW5zdGl0dXRlLCBTYW4gU2ViYXN0aWFuLCBTcGFpbjsgUHVibGljIEhl
YWx0aCBEaXZpc2lvbiBvZiBHaXB1emtvYSwgQmFzcXVlIEdvdmVybm1lbnQsIFNhbiBTZWJhc3Rp
YW4sIFNwYWluLiYjeEQ7Q0lCRVIgRXBpZGVtaW9sb2dpYSB5IFNhbHVkIFB1YmxpY2EgKENJQkVS
RVNQKSwgTWFkcmlkLCBTcGFpbjsgUGVkaWF0cmljIFVuaXQsIEhvc3BpdGFsIFNhbiBBZ3VzdGlu
LCBBdmlsZXMsIFNwYWluLiYjeEQ7Q0lCRVIgRXBpZGVtaW9sb2dpYSB5IFNhbHVkIFB1YmxpY2Eg
KENJQkVSRVNQKSwgTWFkcmlkLCBTcGFpbjsgRGVwYXJ0bWVudCBvZiBQdWJsaWMgSGVhbHRoLCBI
aXN0b3J5IG9mIE1lZGljaW5lIGFuZCBHeW5lY29sb2d5LCBVbml2ZXJzaWRhZCBNaWd1ZWwgSGVy
bmFuZGV6LCBBbGljYW50ZSBJbnN0aXR1dGUgZm9yIEhlYWx0aCBhbmQgQmlvbWVkaWNhbCBSZXNl
YXJjaCAoSVNBQklBTC1GSVNBQklPIEZvdW5kYXRpb24pLCBBbGljYW50ZSwgU3BhaW4uJiN4RDtD
SUJFUiBFcGlkZW1pb2xvZ2lhIHkgU2FsdWQgUHVibGljYSAoQ0lCRVJFU1ApLCBNYWRyaWQsIFNw
YWluOyBCSU9ET05PU1RJQSBIZWFsdGggUmVzZWFyY2ggSW5zdGl0dXRlLCBTYW4gU2ViYXN0aWFu
LCBTcGFpbjsgUHVibGljIEhlYWx0aCBEaXZpc2lvbiBvZiBHaXB1emtvYSwgQmFzcXVlIEdvdmVy
bm1lbnQsIFNhbiBTZWJhc3RpYW4sIFNwYWluLiYjeEQ7Q0lCRVIgRXBpZGVtaW9sb2dpYSB5IFNh
bHVkIFB1YmxpY2EgKENJQkVSRVNQKSwgTWFkcmlkLCBTcGFpbjsgSVVPUEEgYW5kIFVuaXZlcnNp
dHkgb2YgT3ZpZWRvLCBBc3R1cmlhcywgU3BhaW4uJiN4RDtEZXBhcnRhbWVudCBkZSBDaWVuY2ll
cyBNZWRpcXVlcyBCYXNpcXVlcywgTnV0cml0aW9uIGFuZCBNZW50YWwgSGVhbHRoIFJlc2VhcmNo
IEdyb3VwIChOVVRSSVNBTSksIEZhY3VsdGF0IGRlIE1lZGljaW5hIGkgQ2llbmNpZXMgZGUgbGEg
U2FsdXQgKEZNQ1MpLCBVbml2ZXJzaXRhdCBSb3ZpcmEgaSBWaXJnaWxpIChVUlYpLCBSZXVzLCBT
cGFpbi4mI3hEO0lTR2xvYmFsLCBCYXJjZWxvbmEsIFNwYWluOyBVbml2ZXJzaXRhdCBQb21wZXUg
RmFicmEsIEJhcmNlbG9uYSwgU3BhaW47IENJQkVSIEVwaWRlbWlvbG9naWEgeSBTYWx1ZCBQdWJs
aWNhIChDSUJFUkVTUCksIE1hZHJpZCwgU3BhaW47IEhvc3BpdGFsIGRlbCBNYXIgTWVkaWNhbCBS
ZXNlYXJjaCBJbnN0aXR1dGUsIEJhcmNlbG9uYSwgU3BhaW4uJiN4RDtJU0dsb2JhbCwgQmFyY2Vs
b25hLCBTcGFpbjsgSW5zdGl0dXRvIGRlIEludmVzdGlnYWNpb24gU2FuaXRhcmlhIElsbGVzIEJh
bGVhcnMsIEhvc3BpdGFsIFVuaXZlcnNpdGFyaSBTb24gRXNwYXNlcywgUGFsbWEgZGUgTWFsbG9y
Y2EsIFNwYWluOyBDSUJFUiBGaXNpb3BhdG9sb2dpYSBkZSBsYSBPYmVzaWRhZCB5IE51dHJpY2lv
biAoQ0lCRVJPQk4pLCBNYWRyaWQsIFNwYWluLjwvYXV0aC1hZGRyZXNzPjx0aXRsZXM+PHRpdGxl
PlRoZSBhc3NvY2lhdGlvbiBvZiBtZWRpdGVycmFuZWFuIGRpZXQgZHVyaW5nIHByZWduYW5jeSB3
aXRoIGxvbmdpdHVkaW5hbCBib2R5IG1hc3MgaW5kZXggdHJhamVjdG9yaWVzIGFuZCBjYXJkaW9t
ZXRhYm9saWMgcmlzayBpbiBlYXJseSBjaGlsZGhvb2Q8L3RpdGxlPjxzZWNvbmRhcnktdGl0bGU+
SiBQZWRpYXRyPC9zZWNvbmRhcnktdGl0bGU+PC90aXRsZXM+PHBlcmlvZGljYWw+PGZ1bGwtdGl0
bGU+SiBQZWRpYXRyPC9mdWxsLXRpdGxlPjwvcGVyaW9kaWNhbD48cGFnZXM+MTE5LTEyNyBlNjwv
cGFnZXM+PHZvbHVtZT4yMDY8L3ZvbHVtZT48ZWRpdGlvbj4yMDE4LzExLzE2PC9lZGl0aW9uPjxr
ZXl3b3Jkcz48a2V5d29yZD5NZWRpdGVycmFuZWFuIGRpZXQ8L2tleXdvcmQ+PGtleXdvcmQ+Y2Fy
ZGlvbWV0YWJvbGljIHJpc2s8L2tleXdvcmQ+PGtleXdvcmQ+Y2hpbGRob29kPC9rZXl3b3JkPjxr
ZXl3b3JkPmNvaG9ydDwva2V5d29yZD48a2V5d29yZD5ncm93dGg8L2tleXdvcmQ+PC9rZXl3b3Jk
cz48ZGF0ZXM+PHllYXI+MjAxOTwveWVhcj48cHViLWRhdGVzPjxkYXRlPk1hcjwvZGF0ZT48L3B1
Yi1kYXRlcz48L2RhdGVzPjxpc2JuPjEwOTctNjgzMyAoRWxlY3Ryb25pYykmI3hEOzAwMjItMzQ3
NiAoTGlua2luZyk8L2lzYm4+PGFjY2Vzc2lvbi1udW0+MzA0MjkwNzk8L2FjY2Vzc2lvbi1udW0+
PHVybHM+PHJlbGF0ZWQtdXJscz48dXJsPmh0dHBzOi8vd3d3Lm5jYmkubmxtLm5paC5nb3YvcHVi
bWVkLzMwNDI5MDc5PC91cmw+PC9yZWxhdGVkLXVybHM+PC91cmxzPjxlbGVjdHJvbmljLXJlc291
cmNlLW51bT4xMC4xMDE2L2ouanBlZHMuMjAxOC4xMC4wMDU8L2VsZWN0cm9uaWMtcmVzb3VyY2Ut
bnVtPjwvcmVjb3JkPjwvQ2l0ZT48L0VuZE5vdGU+AG==
</w:fldData>
              </w:fldChar>
            </w:r>
            <w:r w:rsidR="002747EA">
              <w:instrText xml:space="preserve"> ADDIN EN.CITE </w:instrText>
            </w:r>
            <w:r w:rsidR="002747EA">
              <w:fldChar w:fldCharType="begin">
                <w:fldData xml:space="preserve">PEVuZE5vdGU+PENpdGU+PEF1dGhvcj5GZXJuYW5kZXotQmFycmVzPC9BdXRob3I+PFllYXI+MjAx
OTwvWWVhcj48UmVjTnVtPjEzNjM8L1JlY051bT48RGlzcGxheVRleHQ+PHN0eWxlIGZhY2U9InN1
cGVyc2NyaXB0IiBmb250PSJUcmVidWNoZXQgTVMiIHNpemU9IjkiPjUxPC9zdHlsZT48L0Rpc3Bs
YXlUZXh0PjxyZWNvcmQ+PHJlYy1udW1iZXI+MTM2MzwvcmVjLW51bWJlcj48Zm9yZWlnbi1rZXlz
PjxrZXkgYXBwPSJFTiIgZGItaWQ9ImV4dmFzcmZ4MmR0cmFvZXNhc3hwMnN6c3hhMmRmNTAyNTky
eCIgdGltZXN0YW1wPSIxNTY3MDMxMDYxIj4xMzYzPC9rZXk+PGtleSBhcHA9IkVOV2ViIiBkYi1p
ZD0iIj4wPC9rZXk+PC9mb3JlaWduLWtleXM+PHJlZi10eXBlIG5hbWU9IkpvdXJuYWwgQXJ0aWNs
ZSI+MTc8L3JlZi10eXBlPjxjb250cmlidXRvcnM+PGF1dGhvcnM+PGF1dGhvcj5GZXJuYW5kZXot
QmFycmVzLCBTLjwvYXV0aG9yPjxhdXRob3I+VnJpamhlaWQsIE0uPC9hdXRob3I+PGF1dGhvcj5N
YW56YW5vLVNhbGdhZG8sIEMuIEIuPC9hdXRob3I+PGF1dGhvcj5WYWx2aSwgRC48L2F1dGhvcj48
YXV0aG9yPk1hcnRpbmV6LCBELjwvYXV0aG9yPjxhdXRob3I+SW5pZ3VleiwgQy48L2F1dGhvcj48
YXV0aG9yPkppbWVuZXotWmFiYWxhLCBBLjwvYXV0aG9yPjxhdXRob3I+Umlhbm8tR2FsYW4sIEku
PC9hdXRob3I+PGF1dGhvcj5OYXZhcnJldGUtTXVub3osIEUuIE0uPC9hdXRob3I+PGF1dGhvcj5T
YW50YS1NYXJpbmEsIEwuPC9hdXRob3I+PGF1dGhvcj5UYXJkb24sIEEuPC9hdXRob3I+PGF1dGhv
cj5WaW9xdWUsIEouPC9hdXRob3I+PGF1dGhvcj5BcmlqYSwgVi48L2F1dGhvcj48YXV0aG9yPlN1
bnllciwgSi48L2F1dGhvcj48YXV0aG9yPlJvbWFndWVyYSwgRC48L2F1dGhvcj48YXV0aG9yPklu
ZmFuY2lhIHkgTWVkaW8gQW1iaWVudGUsIFByb2plY3Q8L2F1dGhvcj48L2F1dGhvcnM+PC9jb250
cmlidXRvcnM+PGF1dGgtYWRkcmVzcz5JU0dsb2JhbCwgQmFyY2Vsb25hLCBTcGFpbjsgVW5pdmVy
c2l0YXQgUG9tcGV1IEZhYnJhLCBCYXJjZWxvbmEsIFNwYWluOyBDSUJFUiBFcGlkZW1pb2xvZ2lh
IHkgU2FsdWQgUHVibGljYSAoQ0lCRVJFU1ApLCBNYWRyaWQsIFNwYWluOyBEZXBhcnRhbWVudCBk
ZSBDaWVuY2llcyBNZWRpcXVlcyBCYXNpcXVlcywgTnV0cml0aW9uIGFuZCBNZW50YWwgSGVhbHRo
IFJlc2VhcmNoIEdyb3VwIChOVVRSSVNBTSksIEZhY3VsdGF0IGRlIE1lZGljaW5hIGkgQ2llbmNp
ZXMgZGUgbGEgU2FsdXQgKEZNQ1MpLCBVbml2ZXJzaXRhdCBSb3ZpcmEgaSBWaXJnaWxpIChVUlYp
LCBSZXVzLCBTcGFpbi4gRWxlY3Ryb25pYyBhZGRyZXNzOiBzaWx2aWEuZmVybmFuZGV6QGlzZ2xv
YmFsLm9yZy4mI3hEO0lTR2xvYmFsLCBCYXJjZWxvbmEsIFNwYWluOyBVbml2ZXJzaXRhdCBQb21w
ZXUgRmFicmEsIEJhcmNlbG9uYSwgU3BhaW47IENJQkVSIEVwaWRlbWlvbG9naWEgeSBTYWx1ZCBQ
dWJsaWNhIChDSUJFUkVTUCksIE1hZHJpZCwgU3BhaW4uJiN4RDtEZXBhcnRtZW50IG9mIEVudmly
b25tZW50YWwgSGVhbHRoLCBIYXJ2YXJkIFQuSC4gQ2hhbiBTY2hvb2wgb2YgUHVibGljIEhlYWx0
aCwgQm9zdG9uLCBNQS4mI3hEO0NJQkVSIEVwaWRlbWlvbG9naWEgeSBTYWx1ZCBQdWJsaWNhIChD
SUJFUkVTUCksIE1hZHJpZCwgU3BhaW47IEVwaWRlbWlvbG9neSBhbmQgRW52aXJvbm1lbnRhbCBI
ZWFsdGggSm9pbnQgUmVzZWFyY2ggVW5pdCwgRklTQUJJTy1Vbml2ZXJzaXRhdCBKYXVtZSBJLVVu
aXZlcnNpdGF0IGRlIFZhbGVuY2lhLCBWYWxlbmNpYSwgU3BhaW4uJiN4RDtCSU9ET05PU1RJQSBI
ZWFsdGggUmVzZWFyY2ggSW5zdGl0dXRlLCBTYW4gU2ViYXN0aWFuLCBTcGFpbjsgUHVibGljIEhl
YWx0aCBEaXZpc2lvbiBvZiBHaXB1emtvYSwgQmFzcXVlIEdvdmVybm1lbnQsIFNhbiBTZWJhc3Rp
YW4sIFNwYWluLiYjeEQ7Q0lCRVIgRXBpZGVtaW9sb2dpYSB5IFNhbHVkIFB1YmxpY2EgKENJQkVS
RVNQKSwgTWFkcmlkLCBTcGFpbjsgUGVkaWF0cmljIFVuaXQsIEhvc3BpdGFsIFNhbiBBZ3VzdGlu
LCBBdmlsZXMsIFNwYWluLiYjeEQ7Q0lCRVIgRXBpZGVtaW9sb2dpYSB5IFNhbHVkIFB1YmxpY2Eg
KENJQkVSRVNQKSwgTWFkcmlkLCBTcGFpbjsgRGVwYXJ0bWVudCBvZiBQdWJsaWMgSGVhbHRoLCBI
aXN0b3J5IG9mIE1lZGljaW5lIGFuZCBHeW5lY29sb2d5LCBVbml2ZXJzaWRhZCBNaWd1ZWwgSGVy
bmFuZGV6LCBBbGljYW50ZSBJbnN0aXR1dGUgZm9yIEhlYWx0aCBhbmQgQmlvbWVkaWNhbCBSZXNl
YXJjaCAoSVNBQklBTC1GSVNBQklPIEZvdW5kYXRpb24pLCBBbGljYW50ZSwgU3BhaW4uJiN4RDtD
SUJFUiBFcGlkZW1pb2xvZ2lhIHkgU2FsdWQgUHVibGljYSAoQ0lCRVJFU1ApLCBNYWRyaWQsIFNw
YWluOyBCSU9ET05PU1RJQSBIZWFsdGggUmVzZWFyY2ggSW5zdGl0dXRlLCBTYW4gU2ViYXN0aWFu
LCBTcGFpbjsgUHVibGljIEhlYWx0aCBEaXZpc2lvbiBvZiBHaXB1emtvYSwgQmFzcXVlIEdvdmVy
bm1lbnQsIFNhbiBTZWJhc3RpYW4sIFNwYWluLiYjeEQ7Q0lCRVIgRXBpZGVtaW9sb2dpYSB5IFNh
bHVkIFB1YmxpY2EgKENJQkVSRVNQKSwgTWFkcmlkLCBTcGFpbjsgSVVPUEEgYW5kIFVuaXZlcnNp
dHkgb2YgT3ZpZWRvLCBBc3R1cmlhcywgU3BhaW4uJiN4RDtEZXBhcnRhbWVudCBkZSBDaWVuY2ll
cyBNZWRpcXVlcyBCYXNpcXVlcywgTnV0cml0aW9uIGFuZCBNZW50YWwgSGVhbHRoIFJlc2VhcmNo
IEdyb3VwIChOVVRSSVNBTSksIEZhY3VsdGF0IGRlIE1lZGljaW5hIGkgQ2llbmNpZXMgZGUgbGEg
U2FsdXQgKEZNQ1MpLCBVbml2ZXJzaXRhdCBSb3ZpcmEgaSBWaXJnaWxpIChVUlYpLCBSZXVzLCBT
cGFpbi4mI3hEO0lTR2xvYmFsLCBCYXJjZWxvbmEsIFNwYWluOyBVbml2ZXJzaXRhdCBQb21wZXUg
RmFicmEsIEJhcmNlbG9uYSwgU3BhaW47IENJQkVSIEVwaWRlbWlvbG9naWEgeSBTYWx1ZCBQdWJs
aWNhIChDSUJFUkVTUCksIE1hZHJpZCwgU3BhaW47IEhvc3BpdGFsIGRlbCBNYXIgTWVkaWNhbCBS
ZXNlYXJjaCBJbnN0aXR1dGUsIEJhcmNlbG9uYSwgU3BhaW4uJiN4RDtJU0dsb2JhbCwgQmFyY2Vs
b25hLCBTcGFpbjsgSW5zdGl0dXRvIGRlIEludmVzdGlnYWNpb24gU2FuaXRhcmlhIElsbGVzIEJh
bGVhcnMsIEhvc3BpdGFsIFVuaXZlcnNpdGFyaSBTb24gRXNwYXNlcywgUGFsbWEgZGUgTWFsbG9y
Y2EsIFNwYWluOyBDSUJFUiBGaXNpb3BhdG9sb2dpYSBkZSBsYSBPYmVzaWRhZCB5IE51dHJpY2lv
biAoQ0lCRVJPQk4pLCBNYWRyaWQsIFNwYWluLjwvYXV0aC1hZGRyZXNzPjx0aXRsZXM+PHRpdGxl
PlRoZSBhc3NvY2lhdGlvbiBvZiBtZWRpdGVycmFuZWFuIGRpZXQgZHVyaW5nIHByZWduYW5jeSB3
aXRoIGxvbmdpdHVkaW5hbCBib2R5IG1hc3MgaW5kZXggdHJhamVjdG9yaWVzIGFuZCBjYXJkaW9t
ZXRhYm9saWMgcmlzayBpbiBlYXJseSBjaGlsZGhvb2Q8L3RpdGxlPjxzZWNvbmRhcnktdGl0bGU+
SiBQZWRpYXRyPC9zZWNvbmRhcnktdGl0bGU+PC90aXRsZXM+PHBlcmlvZGljYWw+PGZ1bGwtdGl0
bGU+SiBQZWRpYXRyPC9mdWxsLXRpdGxlPjwvcGVyaW9kaWNhbD48cGFnZXM+MTE5LTEyNyBlNjwv
cGFnZXM+PHZvbHVtZT4yMDY8L3ZvbHVtZT48ZWRpdGlvbj4yMDE4LzExLzE2PC9lZGl0aW9uPjxr
ZXl3b3Jkcz48a2V5d29yZD5NZWRpdGVycmFuZWFuIGRpZXQ8L2tleXdvcmQ+PGtleXdvcmQ+Y2Fy
ZGlvbWV0YWJvbGljIHJpc2s8L2tleXdvcmQ+PGtleXdvcmQ+Y2hpbGRob29kPC9rZXl3b3JkPjxr
ZXl3b3JkPmNvaG9ydDwva2V5d29yZD48a2V5d29yZD5ncm93dGg8L2tleXdvcmQ+PC9rZXl3b3Jk
cz48ZGF0ZXM+PHllYXI+MjAxOTwveWVhcj48cHViLWRhdGVzPjxkYXRlPk1hcjwvZGF0ZT48L3B1
Yi1kYXRlcz48L2RhdGVzPjxpc2JuPjEwOTctNjgzMyAoRWxlY3Ryb25pYykmI3hEOzAwMjItMzQ3
NiAoTGlua2luZyk8L2lzYm4+PGFjY2Vzc2lvbi1udW0+MzA0MjkwNzk8L2FjY2Vzc2lvbi1udW0+
PHVybHM+PHJlbGF0ZWQtdXJscz48dXJsPmh0dHBzOi8vd3d3Lm5jYmkubmxtLm5paC5nb3YvcHVi
bWVkLzMwNDI5MDc5PC91cmw+PC9yZWxhdGVkLXVybHM+PC91cmxzPjxlbGVjdHJvbmljLXJlc291
cmNlLW51bT4xMC4xMDE2L2ouanBlZHMuMjAxOC4xMC4wMDU8L2VsZWN0cm9uaWMtcmVzb3VyY2Ut
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51</w:t>
            </w:r>
            <w:r>
              <w:fldChar w:fldCharType="end"/>
            </w:r>
          </w:p>
          <w:p w14:paraId="7222332F" w14:textId="77777777" w:rsidR="00C7031C" w:rsidRDefault="00C7031C" w:rsidP="005033E8">
            <w:r>
              <w:t>Spain</w:t>
            </w:r>
          </w:p>
          <w:p w14:paraId="251292F4" w14:textId="77777777" w:rsidR="00C7031C" w:rsidRPr="00C6721E" w:rsidRDefault="00C7031C" w:rsidP="005033E8">
            <w:r>
              <w:t>Cohort</w:t>
            </w:r>
          </w:p>
        </w:tc>
        <w:tc>
          <w:tcPr>
            <w:tcW w:w="1417" w:type="dxa"/>
            <w:tcBorders>
              <w:top w:val="single" w:sz="4" w:space="0" w:color="auto"/>
              <w:left w:val="single" w:sz="4" w:space="0" w:color="auto"/>
              <w:bottom w:val="single" w:sz="4" w:space="0" w:color="auto"/>
              <w:right w:val="single" w:sz="4" w:space="0" w:color="auto"/>
            </w:tcBorders>
          </w:tcPr>
          <w:p w14:paraId="549C5E4D" w14:textId="77777777" w:rsidR="00C7031C" w:rsidRDefault="00C7031C" w:rsidP="009F7A26">
            <w:r>
              <w:t>2,195 mother-child pairs</w:t>
            </w:r>
          </w:p>
          <w:p w14:paraId="0DDA8AA4" w14:textId="77777777" w:rsidR="00C7031C" w:rsidRDefault="00C7031C" w:rsidP="009F7A26">
            <w:r>
              <w:t>697 children at 4 years</w:t>
            </w:r>
          </w:p>
        </w:tc>
        <w:tc>
          <w:tcPr>
            <w:tcW w:w="4679" w:type="dxa"/>
            <w:tcBorders>
              <w:top w:val="single" w:sz="4" w:space="0" w:color="auto"/>
              <w:left w:val="single" w:sz="4" w:space="0" w:color="auto"/>
              <w:bottom w:val="single" w:sz="4" w:space="0" w:color="auto"/>
              <w:right w:val="single" w:sz="4" w:space="0" w:color="auto"/>
            </w:tcBorders>
          </w:tcPr>
          <w:p w14:paraId="140560D1" w14:textId="77777777" w:rsidR="00C7031C" w:rsidRDefault="00C7031C" w:rsidP="00C6721E">
            <w:r>
              <w:rPr>
                <w:b/>
              </w:rPr>
              <w:t xml:space="preserve">Aim: </w:t>
            </w:r>
            <w:r w:rsidRPr="00C6721E">
              <w:t xml:space="preserve">To evaluate the associations between maternal adherence to the Mediterranean diet during pregnancy and their offspring's longitudinal body mass index (BMI) trajectories and cardiometabolic risk in early childhood. </w:t>
            </w:r>
          </w:p>
          <w:p w14:paraId="2D5FDDFC" w14:textId="4ACF2681" w:rsidR="00C7031C" w:rsidRPr="000B3CD4" w:rsidRDefault="00C7031C" w:rsidP="00C6721E">
            <w:pPr>
              <w:rPr>
                <w:b/>
              </w:rPr>
            </w:pPr>
            <w:r w:rsidRPr="00C6721E">
              <w:rPr>
                <w:b/>
              </w:rPr>
              <w:t>Methods</w:t>
            </w:r>
            <w:r w:rsidRPr="00C6721E">
              <w:t>: We included mother-child pairs from the Infancia y Medio Ambiente (INMA) longitudinal cohort study in Spain. We measured dietary intake during pregnancy using a validated food frequency questionnaire and calculated the relative Mediterranean diet score (rMED). We estimated offspring's BMI z score trajectories from birth to age 4 years using latent class growth analyses. We measured blood pressure, waist circumference, and cardiometabolic biomarkers to construct a cardiometabolic risk score at 4 years (n</w:t>
            </w:r>
            <w:r w:rsidR="00162E95">
              <w:t>=</w:t>
            </w:r>
            <w:r w:rsidRPr="00C6721E">
              <w:t>697 mother-child pairs). We used multivariable adjusted linear and multinomial regression models. RESULTS:</w:t>
            </w:r>
          </w:p>
        </w:tc>
        <w:tc>
          <w:tcPr>
            <w:tcW w:w="4537" w:type="dxa"/>
            <w:tcBorders>
              <w:top w:val="single" w:sz="4" w:space="0" w:color="auto"/>
              <w:left w:val="single" w:sz="4" w:space="0" w:color="auto"/>
              <w:bottom w:val="single" w:sz="4" w:space="0" w:color="auto"/>
              <w:right w:val="single" w:sz="4" w:space="0" w:color="auto"/>
            </w:tcBorders>
          </w:tcPr>
          <w:p w14:paraId="51D3DEE4" w14:textId="22A48279" w:rsidR="00C7031C" w:rsidRDefault="00C7031C" w:rsidP="00304D42">
            <w:r w:rsidRPr="00C6721E">
              <w:t>A higher maternal rMED in pregnancy was associated with a lower risk in offspring of larger birth size, followed by accelerated BMI gain (reference trajectory group: children with average birth size and subsequent slower BMI gain) (relative risk of high vs low</w:t>
            </w:r>
            <w:r w:rsidR="00936E83">
              <w:t xml:space="preserve"> rMED score, 0.68; 95% CI, 0.47 to </w:t>
            </w:r>
            <w:r w:rsidRPr="00C6721E">
              <w:t xml:space="preserve">0.99). rMED score during pregnancy was not associated with the cardiometabolic risk score, its components, or related biomarkers. </w:t>
            </w:r>
          </w:p>
          <w:p w14:paraId="481AC292" w14:textId="77777777" w:rsidR="00C7031C" w:rsidRPr="00C6721E" w:rsidRDefault="00C7031C" w:rsidP="00304D42">
            <w:r w:rsidRPr="00C6721E">
              <w:t>Higher adherence to the Mediterranean diet in pregnancy was associated with lower risk of having offspring with an accelerated growth pattern. This dietary pattern was not associated with the offspring's cardiometabolic risk at 4 years.</w:t>
            </w:r>
          </w:p>
        </w:tc>
        <w:tc>
          <w:tcPr>
            <w:tcW w:w="1843" w:type="dxa"/>
            <w:tcBorders>
              <w:top w:val="single" w:sz="4" w:space="0" w:color="auto"/>
              <w:left w:val="single" w:sz="4" w:space="0" w:color="auto"/>
              <w:bottom w:val="single" w:sz="4" w:space="0" w:color="auto"/>
              <w:right w:val="single" w:sz="4" w:space="0" w:color="auto"/>
            </w:tcBorders>
          </w:tcPr>
          <w:p w14:paraId="45A72A8A" w14:textId="77777777" w:rsidR="00C7031C" w:rsidRPr="00C8357D" w:rsidRDefault="00C7031C" w:rsidP="009F7A26">
            <w:r>
              <w:t>Child growth</w:t>
            </w:r>
          </w:p>
        </w:tc>
      </w:tr>
      <w:tr w:rsidR="00C7031C" w:rsidRPr="00C8357D" w14:paraId="40539346"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5F11199F" w14:textId="11AB007F" w:rsidR="00C7031C" w:rsidRDefault="00C7031C" w:rsidP="00304D42">
            <w:r w:rsidRPr="00C6721E">
              <w:t>Fernandez-Barres</w:t>
            </w:r>
            <w:r>
              <w:t xml:space="preserve"> et al 2016</w:t>
            </w:r>
            <w:r>
              <w:fldChar w:fldCharType="begin">
                <w:fldData xml:space="preserve">PEVuZE5vdGU+PENpdGU+PEF1dGhvcj5GZXJuYW5kZXotQmFycmVzPC9BdXRob3I+PFllYXI+MjAx
NjwvWWVhcj48UmVjTnVtPjEzNjI8L1JlY051bT48RGlzcGxheVRleHQ+PHN0eWxlIGZhY2U9InN1
cGVyc2NyaXB0IiBmb250PSJUcmVidWNoZXQgTVMiIHNpemU9IjkiPjUwPC9zdHlsZT48L0Rpc3Bs
YXlUZXh0PjxyZWNvcmQ+PHJlYy1udW1iZXI+MTM2MjwvcmVjLW51bWJlcj48Zm9yZWlnbi1rZXlz
PjxrZXkgYXBwPSJFTiIgZGItaWQ9ImV4dmFzcmZ4MmR0cmFvZXNhc3hwMnN6c3hhMmRmNTAyNTky
eCIgdGltZXN0YW1wPSIxNTY3MDMxMDU3Ij4xMzYyPC9rZXk+PGtleSBhcHA9IkVOV2ViIiBkYi1p
ZD0iIj4wPC9rZXk+PC9mb3JlaWduLWtleXM+PHJlZi10eXBlIG5hbWU9IkpvdXJuYWwgQXJ0aWNs
ZSI+MTc8L3JlZi10eXBlPjxjb250cmlidXRvcnM+PGF1dGhvcnM+PGF1dGhvcj5GZXJuYW5kZXot
QmFycmVzLCBTLjwvYXV0aG9yPjxhdXRob3I+Um9tYWd1ZXJhLCBELjwvYXV0aG9yPjxhdXRob3I+
VmFsdmksIEQuPC9hdXRob3I+PGF1dGhvcj5NYXJ0aW5leiwgRC48L2F1dGhvcj48YXV0aG9yPlZp
b3F1ZSwgSi48L2F1dGhvcj48YXV0aG9yPk5hdmFycmV0ZS1NdW5veiwgRS4gTS48L2F1dGhvcj48
YXV0aG9yPkFtaWFubywgUC48L2F1dGhvcj48YXV0aG9yPkdvbnphbGV6LVBhbGFjaW9zLCBTLjwv
YXV0aG9yPjxhdXRob3I+R3V4ZW5zLCBNLjwvYXV0aG9yPjxhdXRob3I+UGVyZWRhLCBFLjwvYXV0
aG9yPjxhdXRob3I+Umlhbm8sIEkuPC9hdXRob3I+PGF1dGhvcj5UYXJkb24sIEEuPC9hdXRob3I+
PGF1dGhvcj5JbmlndWV6LCBDLjwvYXV0aG9yPjxhdXRob3I+QXJpamEsIFYuPC9hdXRob3I+PGF1
dGhvcj5TdW55ZXIsIEouPC9hdXRob3I+PGF1dGhvcj5WcmlqaGVpZCwgTS48L2F1dGhvcj48YXV0
aG9yPklubWEgUHJvamVjdDwvYXV0aG9yPjwvYXV0aG9ycz48L2NvbnRyaWJ1dG9ycz48YXV0aC1h
ZGRyZXNzPkNlbnRyZSBmb3IgUmVzZWFyY2ggaW4gRW52aXJvbm1lbnRhbCBFcGlkZW1pb2xvZ3kg
KENSRUFMKSwgQmFyY2Vsb25hLCBTcGFpbi4mI3hEO051dHJpdGlvbiBhbmQgTWVudGFsIEhlYWx0
aCBHcm91cCwgVW5pdmVyc2l0YXQgUm92aXJhIEkgVmlyZ2lsaSAoVVJWKSwgUmV1cywgU3BhaW4u
JiN4RDtJbnN0aXR1dG8gZGUgSW52ZXN0aWdhY2lvbiBTYW5pdGFyaWEgZGUgUGFsbWEgKElkSVNQ
YSksIEhvc3BpdGFsIFVuaXZlcnNpdGFyaSBTb24gRXNwYXNlcywgUGFsbWEgZGUgTWFsbG9yY2Es
IFNwYWluLiYjeEQ7Q0lCRVIgRmlzaW9wYXRvbG9naWEgZGUgbGEgT2Jlc2lkYWQgeSBOdXRyaWNp
b24gKENJQkVST0JOKSwgTWFkcmlkLCBTcGFpbi4mI3hEO0NJQkVSIEVwaWRlbWlvbG9naWEgeSBT
YWx1ZCBQdWJsaWNhIChDSUJFUkVTUCksIE1hZHJpZCwgU3BhaW4uJiN4RDtVbml2ZXJzaXRhdCBQ
b21wZXUgRmFicmEgKFVQRiksIEJhcmNlbG9uYSwgU3BhaW4uJiN4RDtIYXJ2YXJkIFQuSC4gQ2hh
biBTY2hvb2wgb2YgUHVibGljIEhlYWx0aCwgQm9zdG9uLCBNQSwgVVNBLiYjeEQ7VW5pdmVyc2lk
YWQgTWlndWVsIEhlcm5hbmRleiwgQWxpY2FudGUsIFNwYWluLiYjeEQ7UHVibGljIEhlYWx0aCBE
aXZpc2lvbiBvZiBHaXB1emtvYSwgQmlvRG9ub3N0aWEgUmVzZWFyY2ggSW5zdGl0dXRlLCBTYW4g
U2ViYXN0aWFuLCBTcGFpbi4mI3hEO0RlcGFydG1lbnQgb2YgQ2hpbGQgYW5kIEFkb2xlc2NlbnQg
UHN5Y2hpYXRyeS9Qc3ljaG9sb2d5LCBFcmFzbXVzIFVuaXZlcnNpdHkgTWVkaWNhbCBDZW50cmUt
U29waGlhIENoaWxkcmVuJmFwb3M7cyBIb3NwaXRhbCwgUm90dGVyZGFtLCBUaGUgTmV0aGVybGFu
ZHMuJiN4RDtGYWN1bHRhZCBkZSBQc2ljb2xvZ2lhLCBVbml2ZXJzaWRhZCBkZWwgUGFpcyBWYXNj
by1FdXNrYWwgSGVycmlrbyBVbmliZXJ0c2l0YXRlYSAoVVBWLUVIVSksIEJpemthaWEsIFNwYWlu
LiYjeEQ7SG9zcGl0YWwgU2FuIEFndXN0aW4sIFNFU1BBLCBBc3R1cmlhcywgU3BhaW4uJiN4RDtV
bml2ZXJzaWRhZCBkZSBPdmllZG8sIEFzdHVyaWFzLCBTcGFpbi4mI3hEO0ZJU0FCSU8gLSBVbml2
ZXJzaXRhdCBKYXVtZSBJIC0gVW5pdmVyc2l0YXQgZGUgVmFsZW5jaWEgRXBpZGVtaW9sb2d5IGFu
ZCBFbnZpcm9ubWVudGFsIEhlYWx0aCBKb2ludCBSZXNlYXJjaCBVbml0LCBWYWxlbmNpYSwgU3Bh
aW4uJiN4RDtJbnN0aXR1dCBIb3NwaXRhbCBkZWwgTWFyIGQmYXBvcztJbnZlc3RpZ2FjaW9ucyBN
ZWRpcXVlcy1QYXJjIGRlIFNhbHV0IE1hciwgQmFyY2Vsb25hLCBTcGFpbi48L2F1dGgtYWRkcmVz
cz48dGl0bGVzPjx0aXRsZT5NZWRpdGVycmFuZWFuIGRpZXRhcnkgcGF0dGVybiBpbiBwcmVnbmFu
dCB3b21lbiBhbmQgb2Zmc3ByaW5nIHJpc2sgb2Ygb3ZlcndlaWdodCBhbmQgYWJkb21pbmFsIG9i
ZXNpdHkgaW4gZWFybHkgY2hpbGRob29kOiB0aGUgSU5NQSBiaXJ0aCBjb2hvcnQgc3R1ZHk8L3Rp
dGxlPjxzZWNvbmRhcnktdGl0bGU+UGVkaWF0ciBPYmVzPC9zZWNvbmRhcnktdGl0bGU+PC90aXRs
ZXM+PHBlcmlvZGljYWw+PGZ1bGwtdGl0bGU+UGVkaWF0ciBPYmVzPC9mdWxsLXRpdGxlPjwvcGVy
aW9kaWNhbD48cGFnZXM+NDkxLTQ5OTwvcGFnZXM+PHZvbHVtZT4xMTwvdm9sdW1lPjxudW1iZXI+
NjwvbnVtYmVyPjxlZGl0aW9uPjIwMTYvMDEvMTU8L2VkaXRpb24+PGtleXdvcmRzPjxrZXl3b3Jk
PkFkdWx0PC9rZXl3b3JkPjxrZXl3b3JkPkFudGhyb3BvbWV0cnk8L2tleXdvcmQ+PGtleXdvcmQ+
Q2hpbGQ8L2tleXdvcmQ+PGtleXdvcmQ+Q29ob3J0IFN0dWRpZXM8L2tleXdvcmQ+PGtleXdvcmQ+
KkRpZXQsIE1lZGl0ZXJyYW5lYW48L2tleXdvcmQ+PGtleXdvcmQ+RmVtYWxlPC9rZXl3b3JkPjxr
ZXl3b3JkPkh1bWFuczwva2V5d29yZD48a2V5d29yZD5Mb2dpc3RpYyBNb2RlbHM8L2tleXdvcmQ+
PGtleXdvcmQ+TWFsZTwva2V5d29yZD48a2V5d29yZD5PYmVzaXR5LCBBYmRvbWluYWwvZXBpZGVt
aW9sb2d5LypldGlvbG9neTwva2V5d29yZD48a2V5d29yZD5PdmVyd2VpZ2h0L2VwaWRlbWlvbG9n
eS8qZXRpb2xvZ3k8L2tleXdvcmQ+PGtleXdvcmQ+UGF0aWVudCBDb21wbGlhbmNlPC9rZXl3b3Jk
PjxrZXl3b3JkPlBlZGlhdHJpYyBPYmVzaXR5LyplcGlkZW1pb2xvZ3kvKmV0aW9sb2d5PC9rZXl3
b3JkPjxrZXl3b3JkPlByZWduYW5jeTwva2V5d29yZD48a2V5d29yZD5SaXNrIEZhY3RvcnM8L2tl
eXdvcmQ+PGtleXdvcmQ+U3BhaW48L2tleXdvcmQ+PGtleXdvcmQ+U3VydmV5cyBhbmQgUXVlc3Rp
b25uYWlyZXM8L2tleXdvcmQ+PGtleXdvcmQ+KkFiZG9taW5hbCBvYmVzaXR5PC9rZXl3b3JkPjxr
ZXl3b3JkPipNZWRpdGVycmFuZWFuIGRpZXQ8L2tleXdvcmQ+PGtleXdvcmQ+KmNoaWxkaG9vZCBv
YmVzaXR5PC9rZXl3b3JkPjxrZXl3b3JkPipwcmVnbmFuY3k8L2tleXdvcmQ+PC9rZXl3b3Jkcz48
ZGF0ZXM+PHllYXI+MjAxNjwveWVhcj48cHViLWRhdGVzPjxkYXRlPkRlYzwvZGF0ZT48L3B1Yi1k
YXRlcz48L2RhdGVzPjxpc2JuPjIwNDctNjMxMCAoRWxlY3Ryb25pYykmI3hEOzIwNDctNjMwMiAo
TGlua2luZyk8L2lzYm4+PGFjY2Vzc2lvbi1udW0+MjY3NjM3Njc8L2FjY2Vzc2lvbi1udW0+PHVy
bHM+PHJlbGF0ZWQtdXJscz48dXJsPmh0dHBzOi8vd3d3Lm5jYmkubmxtLm5paC5nb3YvcHVibWVk
LzI2NzYzNzY3PC91cmw+PC9yZWxhdGVkLXVybHM+PC91cmxzPjxlbGVjdHJvbmljLXJlc291cmNl
LW51bT4xMC4xMTExL2lqcG8uMTIwOTI8L2VsZWN0cm9uaWMtcmVzb3VyY2UtbnVtPjwvcmVjb3Jk
PjwvQ2l0ZT48L0VuZE5vdGU+
</w:fldData>
              </w:fldChar>
            </w:r>
            <w:r w:rsidR="002747EA">
              <w:instrText xml:space="preserve"> ADDIN EN.CITE </w:instrText>
            </w:r>
            <w:r w:rsidR="002747EA">
              <w:fldChar w:fldCharType="begin">
                <w:fldData xml:space="preserve">PEVuZE5vdGU+PENpdGU+PEF1dGhvcj5GZXJuYW5kZXotQmFycmVzPC9BdXRob3I+PFllYXI+MjAx
NjwvWWVhcj48UmVjTnVtPjEzNjI8L1JlY051bT48RGlzcGxheVRleHQ+PHN0eWxlIGZhY2U9InN1
cGVyc2NyaXB0IiBmb250PSJUcmVidWNoZXQgTVMiIHNpemU9IjkiPjUwPC9zdHlsZT48L0Rpc3Bs
YXlUZXh0PjxyZWNvcmQ+PHJlYy1udW1iZXI+MTM2MjwvcmVjLW51bWJlcj48Zm9yZWlnbi1rZXlz
PjxrZXkgYXBwPSJFTiIgZGItaWQ9ImV4dmFzcmZ4MmR0cmFvZXNhc3hwMnN6c3hhMmRmNTAyNTky
eCIgdGltZXN0YW1wPSIxNTY3MDMxMDU3Ij4xMzYyPC9rZXk+PGtleSBhcHA9IkVOV2ViIiBkYi1p
ZD0iIj4wPC9rZXk+PC9mb3JlaWduLWtleXM+PHJlZi10eXBlIG5hbWU9IkpvdXJuYWwgQXJ0aWNs
ZSI+MTc8L3JlZi10eXBlPjxjb250cmlidXRvcnM+PGF1dGhvcnM+PGF1dGhvcj5GZXJuYW5kZXot
QmFycmVzLCBTLjwvYXV0aG9yPjxhdXRob3I+Um9tYWd1ZXJhLCBELjwvYXV0aG9yPjxhdXRob3I+
VmFsdmksIEQuPC9hdXRob3I+PGF1dGhvcj5NYXJ0aW5leiwgRC48L2F1dGhvcj48YXV0aG9yPlZp
b3F1ZSwgSi48L2F1dGhvcj48YXV0aG9yPk5hdmFycmV0ZS1NdW5veiwgRS4gTS48L2F1dGhvcj48
YXV0aG9yPkFtaWFubywgUC48L2F1dGhvcj48YXV0aG9yPkdvbnphbGV6LVBhbGFjaW9zLCBTLjwv
YXV0aG9yPjxhdXRob3I+R3V4ZW5zLCBNLjwvYXV0aG9yPjxhdXRob3I+UGVyZWRhLCBFLjwvYXV0
aG9yPjxhdXRob3I+Umlhbm8sIEkuPC9hdXRob3I+PGF1dGhvcj5UYXJkb24sIEEuPC9hdXRob3I+
PGF1dGhvcj5JbmlndWV6LCBDLjwvYXV0aG9yPjxhdXRob3I+QXJpamEsIFYuPC9hdXRob3I+PGF1
dGhvcj5TdW55ZXIsIEouPC9hdXRob3I+PGF1dGhvcj5WcmlqaGVpZCwgTS48L2F1dGhvcj48YXV0
aG9yPklubWEgUHJvamVjdDwvYXV0aG9yPjwvYXV0aG9ycz48L2NvbnRyaWJ1dG9ycz48YXV0aC1h
ZGRyZXNzPkNlbnRyZSBmb3IgUmVzZWFyY2ggaW4gRW52aXJvbm1lbnRhbCBFcGlkZW1pb2xvZ3kg
KENSRUFMKSwgQmFyY2Vsb25hLCBTcGFpbi4mI3hEO051dHJpdGlvbiBhbmQgTWVudGFsIEhlYWx0
aCBHcm91cCwgVW5pdmVyc2l0YXQgUm92aXJhIEkgVmlyZ2lsaSAoVVJWKSwgUmV1cywgU3BhaW4u
JiN4RDtJbnN0aXR1dG8gZGUgSW52ZXN0aWdhY2lvbiBTYW5pdGFyaWEgZGUgUGFsbWEgKElkSVNQ
YSksIEhvc3BpdGFsIFVuaXZlcnNpdGFyaSBTb24gRXNwYXNlcywgUGFsbWEgZGUgTWFsbG9yY2Es
IFNwYWluLiYjeEQ7Q0lCRVIgRmlzaW9wYXRvbG9naWEgZGUgbGEgT2Jlc2lkYWQgeSBOdXRyaWNp
b24gKENJQkVST0JOKSwgTWFkcmlkLCBTcGFpbi4mI3hEO0NJQkVSIEVwaWRlbWlvbG9naWEgeSBT
YWx1ZCBQdWJsaWNhIChDSUJFUkVTUCksIE1hZHJpZCwgU3BhaW4uJiN4RDtVbml2ZXJzaXRhdCBQ
b21wZXUgRmFicmEgKFVQRiksIEJhcmNlbG9uYSwgU3BhaW4uJiN4RDtIYXJ2YXJkIFQuSC4gQ2hh
biBTY2hvb2wgb2YgUHVibGljIEhlYWx0aCwgQm9zdG9uLCBNQSwgVVNBLiYjeEQ7VW5pdmVyc2lk
YWQgTWlndWVsIEhlcm5hbmRleiwgQWxpY2FudGUsIFNwYWluLiYjeEQ7UHVibGljIEhlYWx0aCBE
aXZpc2lvbiBvZiBHaXB1emtvYSwgQmlvRG9ub3N0aWEgUmVzZWFyY2ggSW5zdGl0dXRlLCBTYW4g
U2ViYXN0aWFuLCBTcGFpbi4mI3hEO0RlcGFydG1lbnQgb2YgQ2hpbGQgYW5kIEFkb2xlc2NlbnQg
UHN5Y2hpYXRyeS9Qc3ljaG9sb2d5LCBFcmFzbXVzIFVuaXZlcnNpdHkgTWVkaWNhbCBDZW50cmUt
U29waGlhIENoaWxkcmVuJmFwb3M7cyBIb3NwaXRhbCwgUm90dGVyZGFtLCBUaGUgTmV0aGVybGFu
ZHMuJiN4RDtGYWN1bHRhZCBkZSBQc2ljb2xvZ2lhLCBVbml2ZXJzaWRhZCBkZWwgUGFpcyBWYXNj
by1FdXNrYWwgSGVycmlrbyBVbmliZXJ0c2l0YXRlYSAoVVBWLUVIVSksIEJpemthaWEsIFNwYWlu
LiYjeEQ7SG9zcGl0YWwgU2FuIEFndXN0aW4sIFNFU1BBLCBBc3R1cmlhcywgU3BhaW4uJiN4RDtV
bml2ZXJzaWRhZCBkZSBPdmllZG8sIEFzdHVyaWFzLCBTcGFpbi4mI3hEO0ZJU0FCSU8gLSBVbml2
ZXJzaXRhdCBKYXVtZSBJIC0gVW5pdmVyc2l0YXQgZGUgVmFsZW5jaWEgRXBpZGVtaW9sb2d5IGFu
ZCBFbnZpcm9ubWVudGFsIEhlYWx0aCBKb2ludCBSZXNlYXJjaCBVbml0LCBWYWxlbmNpYSwgU3Bh
aW4uJiN4RDtJbnN0aXR1dCBIb3NwaXRhbCBkZWwgTWFyIGQmYXBvcztJbnZlc3RpZ2FjaW9ucyBN
ZWRpcXVlcy1QYXJjIGRlIFNhbHV0IE1hciwgQmFyY2Vsb25hLCBTcGFpbi48L2F1dGgtYWRkcmVz
cz48dGl0bGVzPjx0aXRsZT5NZWRpdGVycmFuZWFuIGRpZXRhcnkgcGF0dGVybiBpbiBwcmVnbmFu
dCB3b21lbiBhbmQgb2Zmc3ByaW5nIHJpc2sgb2Ygb3ZlcndlaWdodCBhbmQgYWJkb21pbmFsIG9i
ZXNpdHkgaW4gZWFybHkgY2hpbGRob29kOiB0aGUgSU5NQSBiaXJ0aCBjb2hvcnQgc3R1ZHk8L3Rp
dGxlPjxzZWNvbmRhcnktdGl0bGU+UGVkaWF0ciBPYmVzPC9zZWNvbmRhcnktdGl0bGU+PC90aXRs
ZXM+PHBlcmlvZGljYWw+PGZ1bGwtdGl0bGU+UGVkaWF0ciBPYmVzPC9mdWxsLXRpdGxlPjwvcGVy
aW9kaWNhbD48cGFnZXM+NDkxLTQ5OTwvcGFnZXM+PHZvbHVtZT4xMTwvdm9sdW1lPjxudW1iZXI+
NjwvbnVtYmVyPjxlZGl0aW9uPjIwMTYvMDEvMTU8L2VkaXRpb24+PGtleXdvcmRzPjxrZXl3b3Jk
PkFkdWx0PC9rZXl3b3JkPjxrZXl3b3JkPkFudGhyb3BvbWV0cnk8L2tleXdvcmQ+PGtleXdvcmQ+
Q2hpbGQ8L2tleXdvcmQ+PGtleXdvcmQ+Q29ob3J0IFN0dWRpZXM8L2tleXdvcmQ+PGtleXdvcmQ+
KkRpZXQsIE1lZGl0ZXJyYW5lYW48L2tleXdvcmQ+PGtleXdvcmQ+RmVtYWxlPC9rZXl3b3JkPjxr
ZXl3b3JkPkh1bWFuczwva2V5d29yZD48a2V5d29yZD5Mb2dpc3RpYyBNb2RlbHM8L2tleXdvcmQ+
PGtleXdvcmQ+TWFsZTwva2V5d29yZD48a2V5d29yZD5PYmVzaXR5LCBBYmRvbWluYWwvZXBpZGVt
aW9sb2d5LypldGlvbG9neTwva2V5d29yZD48a2V5d29yZD5PdmVyd2VpZ2h0L2VwaWRlbWlvbG9n
eS8qZXRpb2xvZ3k8L2tleXdvcmQ+PGtleXdvcmQ+UGF0aWVudCBDb21wbGlhbmNlPC9rZXl3b3Jk
PjxrZXl3b3JkPlBlZGlhdHJpYyBPYmVzaXR5LyplcGlkZW1pb2xvZ3kvKmV0aW9sb2d5PC9rZXl3
b3JkPjxrZXl3b3JkPlByZWduYW5jeTwva2V5d29yZD48a2V5d29yZD5SaXNrIEZhY3RvcnM8L2tl
eXdvcmQ+PGtleXdvcmQ+U3BhaW48L2tleXdvcmQ+PGtleXdvcmQ+U3VydmV5cyBhbmQgUXVlc3Rp
b25uYWlyZXM8L2tleXdvcmQ+PGtleXdvcmQ+KkFiZG9taW5hbCBvYmVzaXR5PC9rZXl3b3JkPjxr
ZXl3b3JkPipNZWRpdGVycmFuZWFuIGRpZXQ8L2tleXdvcmQ+PGtleXdvcmQ+KmNoaWxkaG9vZCBv
YmVzaXR5PC9rZXl3b3JkPjxrZXl3b3JkPipwcmVnbmFuY3k8L2tleXdvcmQ+PC9rZXl3b3Jkcz48
ZGF0ZXM+PHllYXI+MjAxNjwveWVhcj48cHViLWRhdGVzPjxkYXRlPkRlYzwvZGF0ZT48L3B1Yi1k
YXRlcz48L2RhdGVzPjxpc2JuPjIwNDctNjMxMCAoRWxlY3Ryb25pYykmI3hEOzIwNDctNjMwMiAo
TGlua2luZyk8L2lzYm4+PGFjY2Vzc2lvbi1udW0+MjY3NjM3Njc8L2FjY2Vzc2lvbi1udW0+PHVy
bHM+PHJlbGF0ZWQtdXJscz48dXJsPmh0dHBzOi8vd3d3Lm5jYmkubmxtLm5paC5nb3YvcHVibWVk
LzI2NzYzNzY3PC91cmw+PC9yZWxhdGVkLXVybHM+PC91cmxzPjxlbGVjdHJvbmljLXJlc291cmNl
LW51bT4xMC4xMTExL2lqcG8uMTIwOTI8L2VsZWN0cm9uaWMtcmVzb3VyY2UtbnVtPjwvcmVjb3Jk
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50</w:t>
            </w:r>
            <w:r>
              <w:fldChar w:fldCharType="end"/>
            </w:r>
          </w:p>
          <w:p w14:paraId="2E10D004" w14:textId="77777777" w:rsidR="00C7031C" w:rsidRPr="00C6721E" w:rsidRDefault="00C7031C" w:rsidP="00304D42">
            <w:r>
              <w:t>Cohort</w:t>
            </w:r>
          </w:p>
        </w:tc>
        <w:tc>
          <w:tcPr>
            <w:tcW w:w="1417" w:type="dxa"/>
            <w:tcBorders>
              <w:top w:val="single" w:sz="4" w:space="0" w:color="auto"/>
              <w:left w:val="single" w:sz="4" w:space="0" w:color="auto"/>
              <w:bottom w:val="single" w:sz="4" w:space="0" w:color="auto"/>
              <w:right w:val="single" w:sz="4" w:space="0" w:color="auto"/>
            </w:tcBorders>
          </w:tcPr>
          <w:p w14:paraId="5608E878" w14:textId="77777777" w:rsidR="00C7031C" w:rsidRDefault="00C7031C" w:rsidP="009F7A26">
            <w:r>
              <w:t>1,827 mother-child pairs</w:t>
            </w:r>
          </w:p>
        </w:tc>
        <w:tc>
          <w:tcPr>
            <w:tcW w:w="4679" w:type="dxa"/>
            <w:tcBorders>
              <w:top w:val="single" w:sz="4" w:space="0" w:color="auto"/>
              <w:left w:val="single" w:sz="4" w:space="0" w:color="auto"/>
              <w:bottom w:val="single" w:sz="4" w:space="0" w:color="auto"/>
              <w:right w:val="single" w:sz="4" w:space="0" w:color="auto"/>
            </w:tcBorders>
          </w:tcPr>
          <w:p w14:paraId="2ECB1438" w14:textId="77777777" w:rsidR="00C7031C" w:rsidRDefault="00C7031C" w:rsidP="00304D42">
            <w:r w:rsidRPr="00304D42">
              <w:rPr>
                <w:b/>
              </w:rPr>
              <w:t>Aim</w:t>
            </w:r>
            <w:r>
              <w:t>: T</w:t>
            </w:r>
            <w:r w:rsidRPr="00304D42">
              <w:t xml:space="preserve">o evaluate associations between adherence to the Mediterranean diet (MD) during pregnancy and childhood overweight and abdominal obesity risk at 4 years of age. </w:t>
            </w:r>
          </w:p>
          <w:p w14:paraId="3FD36CE7" w14:textId="77777777" w:rsidR="00C7031C" w:rsidRDefault="00C7031C" w:rsidP="00304D42">
            <w:pPr>
              <w:rPr>
                <w:b/>
              </w:rPr>
            </w:pPr>
            <w:r w:rsidRPr="00304D42">
              <w:rPr>
                <w:b/>
              </w:rPr>
              <w:t>Methods</w:t>
            </w:r>
            <w:r w:rsidRPr="00304D42">
              <w:t>: We analysed mother-child pairs from the Spanish 'Infancia</w:t>
            </w:r>
            <w:r>
              <w:t xml:space="preserve"> y Medio Ambiente' cohort study</w:t>
            </w:r>
            <w:r w:rsidRPr="00304D42">
              <w:t xml:space="preserve">. Diet was assessed during pregnancy using a food frequency questionnaire and MD adherence by the relative Mediterranean diet score (rMED). Overweight (including obesity) was defined as an age-specific and sex-specific body mass index </w:t>
            </w:r>
            <w:r>
              <w:t>≥</w:t>
            </w:r>
            <w:r w:rsidRPr="00304D42">
              <w:t xml:space="preserve">85th percentile (World Health Organization referent), and abdominal obesity as a waist circumference (WC) &gt;90th percentile. </w:t>
            </w:r>
          </w:p>
        </w:tc>
        <w:tc>
          <w:tcPr>
            <w:tcW w:w="4537" w:type="dxa"/>
            <w:tcBorders>
              <w:top w:val="single" w:sz="4" w:space="0" w:color="auto"/>
              <w:left w:val="single" w:sz="4" w:space="0" w:color="auto"/>
              <w:bottom w:val="single" w:sz="4" w:space="0" w:color="auto"/>
              <w:right w:val="single" w:sz="4" w:space="0" w:color="auto"/>
            </w:tcBorders>
          </w:tcPr>
          <w:p w14:paraId="2D05BB7A" w14:textId="43E64579" w:rsidR="00C7031C" w:rsidRDefault="00C7031C" w:rsidP="00304D42">
            <w:r w:rsidRPr="00304D42">
              <w:t>There was no association between rMED and body mass index z-score, whereas there was a significant association between higher adherence to MD and lower WC (beta of high vs. low rMED: -0.62 cm; 95% confidence interval: -1.10, -0.14 cm, P for trend</w:t>
            </w:r>
            <w:r w:rsidR="00162E95">
              <w:t>=</w:t>
            </w:r>
            <w:r w:rsidRPr="00304D42">
              <w:t xml:space="preserve">0.009). </w:t>
            </w:r>
          </w:p>
          <w:p w14:paraId="4FF5FDD4" w14:textId="77777777" w:rsidR="00C7031C" w:rsidRPr="00304D42" w:rsidRDefault="00C7031C" w:rsidP="00304D42">
            <w:r w:rsidRPr="00304D42">
              <w:t>Pregnancy adherence to the MD was not associated with childhood overweight risk, but it was associated with lower WC, a marker of abdominal obesity.</w:t>
            </w:r>
          </w:p>
        </w:tc>
        <w:tc>
          <w:tcPr>
            <w:tcW w:w="1843" w:type="dxa"/>
            <w:tcBorders>
              <w:top w:val="single" w:sz="4" w:space="0" w:color="auto"/>
              <w:left w:val="single" w:sz="4" w:space="0" w:color="auto"/>
              <w:bottom w:val="single" w:sz="4" w:space="0" w:color="auto"/>
              <w:right w:val="single" w:sz="4" w:space="0" w:color="auto"/>
            </w:tcBorders>
          </w:tcPr>
          <w:p w14:paraId="2B1784EF" w14:textId="77777777" w:rsidR="00C7031C" w:rsidRPr="00C8357D" w:rsidRDefault="00C7031C" w:rsidP="009F7A26">
            <w:r>
              <w:t>Child growth</w:t>
            </w:r>
          </w:p>
        </w:tc>
      </w:tr>
      <w:tr w:rsidR="00C7031C" w:rsidRPr="00C8357D" w14:paraId="1F08D6B0"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59EA2A0C" w14:textId="6A7CE873" w:rsidR="00C7031C" w:rsidRDefault="00C7031C" w:rsidP="00A0545D">
            <w:r>
              <w:t>Smith et al 2015</w:t>
            </w:r>
            <w:r>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instrText xml:space="preserve"> ADDIN EN.CITE </w:instrText>
            </w:r>
            <w:r w:rsidR="002747EA">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47</w:t>
            </w:r>
            <w:r>
              <w:fldChar w:fldCharType="end"/>
            </w:r>
          </w:p>
          <w:p w14:paraId="075BEB33" w14:textId="77777777" w:rsidR="00C7031C" w:rsidRDefault="00C7031C" w:rsidP="00A0545D">
            <w:r>
              <w:t>United Kingdom</w:t>
            </w:r>
          </w:p>
          <w:p w14:paraId="6C5AB906" w14:textId="77777777" w:rsidR="00C7031C" w:rsidRDefault="00C7031C" w:rsidP="00A0545D">
            <w:r>
              <w:t>Case-cohort</w:t>
            </w:r>
          </w:p>
        </w:tc>
        <w:tc>
          <w:tcPr>
            <w:tcW w:w="1417" w:type="dxa"/>
            <w:tcBorders>
              <w:top w:val="single" w:sz="4" w:space="0" w:color="auto"/>
              <w:left w:val="single" w:sz="4" w:space="0" w:color="auto"/>
              <w:bottom w:val="single" w:sz="4" w:space="0" w:color="auto"/>
              <w:right w:val="single" w:sz="4" w:space="0" w:color="auto"/>
            </w:tcBorders>
          </w:tcPr>
          <w:p w14:paraId="6F790F8A" w14:textId="77777777" w:rsidR="00C7031C" w:rsidRDefault="00C7031C" w:rsidP="009F7A26">
            <w:r>
              <w:t>922 LMPT</w:t>
            </w:r>
          </w:p>
          <w:p w14:paraId="125624C9" w14:textId="77777777" w:rsidR="00C7031C" w:rsidRDefault="00C7031C" w:rsidP="009F7A26">
            <w:r>
              <w:t>965 term</w:t>
            </w:r>
          </w:p>
        </w:tc>
        <w:tc>
          <w:tcPr>
            <w:tcW w:w="4679" w:type="dxa"/>
            <w:tcBorders>
              <w:top w:val="single" w:sz="4" w:space="0" w:color="auto"/>
              <w:left w:val="single" w:sz="4" w:space="0" w:color="auto"/>
              <w:bottom w:val="single" w:sz="4" w:space="0" w:color="auto"/>
              <w:right w:val="single" w:sz="4" w:space="0" w:color="auto"/>
            </w:tcBorders>
          </w:tcPr>
          <w:p w14:paraId="0DCDEC0B" w14:textId="77777777" w:rsidR="00C7031C" w:rsidRDefault="00C7031C" w:rsidP="00607E2F">
            <w:r w:rsidRPr="00607E2F">
              <w:rPr>
                <w:b/>
              </w:rPr>
              <w:t>Aim</w:t>
            </w:r>
            <w:r>
              <w:t>: To explore</w:t>
            </w:r>
            <w:r w:rsidRPr="00607E2F">
              <w:t xml:space="preserve"> the associations between lifestyle factors and late and moderate preterm birth (LMPT: 32(+0)-36(+6) weeks' gestation). </w:t>
            </w:r>
          </w:p>
          <w:p w14:paraId="2FE51E3D" w14:textId="77777777" w:rsidR="00C7031C" w:rsidRPr="00607E2F" w:rsidRDefault="00C7031C" w:rsidP="00607E2F">
            <w:r w:rsidRPr="00607E2F">
              <w:rPr>
                <w:b/>
              </w:rPr>
              <w:t>Methods</w:t>
            </w:r>
            <w:r w:rsidRPr="00607E2F">
              <w:t xml:space="preserve">: Poisson multivariable regression models were fitted to estimate relative risks (RR) of LMPT birth associated with maternal smoking, alcohol and recreational drug use, and diet. </w:t>
            </w:r>
          </w:p>
        </w:tc>
        <w:tc>
          <w:tcPr>
            <w:tcW w:w="4537" w:type="dxa"/>
            <w:tcBorders>
              <w:top w:val="single" w:sz="4" w:space="0" w:color="auto"/>
              <w:left w:val="single" w:sz="4" w:space="0" w:color="auto"/>
              <w:bottom w:val="single" w:sz="4" w:space="0" w:color="auto"/>
              <w:right w:val="single" w:sz="4" w:space="0" w:color="auto"/>
            </w:tcBorders>
          </w:tcPr>
          <w:p w14:paraId="03C5E580" w14:textId="77777777" w:rsidR="00C7031C" w:rsidRPr="00B24E86" w:rsidRDefault="00C7031C" w:rsidP="00607E2F">
            <w:r w:rsidRPr="00607E2F">
              <w:t xml:space="preserve">Women who did not have any aspects of a Mediterranean diet were nearly twice as likely to </w:t>
            </w:r>
            <w:r>
              <w:t>give birth</w:t>
            </w:r>
            <w:r w:rsidRPr="00607E2F">
              <w:t xml:space="preserve"> LMPT compared with those whose diet included </w:t>
            </w:r>
            <w:r>
              <w:t>≥</w:t>
            </w:r>
            <w:r w:rsidRPr="00607E2F">
              <w:t xml:space="preserve"> Mediterranean characteristics (aRR </w:t>
            </w:r>
            <w:r>
              <w:t xml:space="preserve">1.81; 95%CI </w:t>
            </w:r>
            <w:r w:rsidRPr="00607E2F">
              <w:t>1.04 to 3.14</w:t>
            </w:r>
            <w:r>
              <w:t>; p=0.036).</w:t>
            </w:r>
          </w:p>
        </w:tc>
        <w:tc>
          <w:tcPr>
            <w:tcW w:w="1843" w:type="dxa"/>
            <w:tcBorders>
              <w:top w:val="single" w:sz="4" w:space="0" w:color="auto"/>
              <w:left w:val="single" w:sz="4" w:space="0" w:color="auto"/>
              <w:bottom w:val="single" w:sz="4" w:space="0" w:color="auto"/>
              <w:right w:val="single" w:sz="4" w:space="0" w:color="auto"/>
            </w:tcBorders>
          </w:tcPr>
          <w:p w14:paraId="5A022316" w14:textId="77777777" w:rsidR="00C7031C" w:rsidRPr="00C8357D" w:rsidRDefault="00C7031C" w:rsidP="009F7A26">
            <w:r>
              <w:t>preterm</w:t>
            </w:r>
          </w:p>
        </w:tc>
      </w:tr>
      <w:tr w:rsidR="00C7031C" w:rsidRPr="00C8357D" w14:paraId="2615E170"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3120F3A8" w14:textId="39FCDF26" w:rsidR="00C7031C" w:rsidRDefault="00C7031C" w:rsidP="00A0545D">
            <w:r>
              <w:t>Saunders et al 2014</w:t>
            </w:r>
            <w:r>
              <w:fldChar w:fldCharType="begin">
                <w:fldData xml:space="preserve">PEVuZE5vdGU+PENpdGU+PEF1dGhvcj5TYXVuZGVyczwvQXV0aG9yPjxZZWFyPjIwMTQ8L1llYXI+
PFJlY051bT4xNDc2PC9SZWNOdW0+PERpc3BsYXlUZXh0PjxzdHlsZSBmYWNlPSJzdXBlcnNjcmlw
dCIgZm9udD0iVHJlYnVjaGV0IE1TIiBzaXplPSI5Ij40ODwvc3R5bGU+PC9EaXNwbGF5VGV4dD48
cmVjb3JkPjxyZWMtbnVtYmVyPjE0NzY8L3JlYy1udW1iZXI+PGZvcmVpZ24ta2V5cz48a2V5IGFw
cD0iRU4iIGRiLWlkPSJleHZhc3JmeDJkdHJhb2VzYXN4cDJzenN4YTJkZjUwMjU5MngiIHRpbWVz
dGFtcD0iMTU3NDAzOTY2NCI+MTQ3Njwva2V5PjxrZXkgYXBwPSJFTldlYiIgZGItaWQ9IiI+MDwv
a2V5PjwvZm9yZWlnbi1rZXlzPjxyZWYtdHlwZSBuYW1lPSJKb3VybmFsIEFydGljbGUiPjE3PC9y
ZWYtdHlwZT48Y29udHJpYnV0b3JzPjxhdXRob3JzPjxhdXRob3I+U2F1bmRlcnMsIEwuPC9hdXRo
b3I+PGF1dGhvcj5HdWxkbmVyLCBMLjwvYXV0aG9yPjxhdXRob3I+Q29zdGV0LCBOLjwvYXV0aG9y
PjxhdXRob3I+S2FkaGVsLCBQLjwvYXV0aG9yPjxhdXRob3I+Um91Z2V0LCBGLjwvYXV0aG9yPjxh
dXRob3I+TW9uZm9ydCwgQy48L2F1dGhvcj48YXV0aG9yPlRob21lLCBKLiBQLjwvYXV0aG9yPjxh
dXRob3I+TXVsdGlnbmVyLCBMLjwvYXV0aG9yPjxhdXRob3I+Q29yZGllciwgUy48L2F1dGhvcj48
L2F1dGhvcnM+PC9jb250cmlidXRvcnM+PGF1dGgtYWRkcmVzcz5UZWFtIG9mIEVwaWRlbWlvbG9n
aWNhbCBSZXNlYXJjaCBvbiBFbnZpcm9ubWVudCwgUmVwcm9kdWN0aW9uIGFuZCBEZXZlbG9wbWVu
dCwgTmF0aW9uYWwgSW5zdGl0dXRlIGZvciBIZWFsdGggYW5kIE1lZGljYWwgUmVzZWFyY2ggKElO
U0VSTSBVMTA4NSksIFJlbm5lcywgRnJhbmNlLjwvYXV0aC1hZGRyZXNzPjx0aXRsZXM+PHRpdGxl
PkVmZmVjdCBvZiBhIE1lZGl0ZXJyYW5lYW4gZGlldCBkdXJpbmcgcHJlZ25hbmN5IG9uIGZldGFs
IGdyb3d0aCBhbmQgcHJldGVybSBkZWxpdmVyeTogcmVzdWx0cyBmcm9tIGEgRnJlbmNoIENhcmli
YmVhbiBNb3RoZXItQ2hpbGQgQ29ob3J0IFN0dWR5IChUSU1PVU4pPC90aXRsZT48c2Vjb25kYXJ5
LXRpdGxlPlBhZWRpYXRyIFBlcmluYXQgRXBpZGVtaW9sPC9zZWNvbmRhcnktdGl0bGU+PC90aXRs
ZXM+PHBlcmlvZGljYWw+PGZ1bGwtdGl0bGU+UGFlZGlhdHIgUGVyaW5hdCBFcGlkZW1pb2w8L2Z1
bGwtdGl0bGU+PC9wZXJpb2RpY2FsPjxwYWdlcz4yMzUtNDQ8L3BhZ2VzPjx2b2x1bWU+Mjg8L3Zv
bHVtZT48bnVtYmVyPjM8L251bWJlcj48ZWRpdGlvbj4yMDE0LzA0LzI0PC9lZGl0aW9uPjxrZXl3
b3Jkcz48a2V5d29yZD5BZHVsdDwva2V5d29yZD48a2V5d29yZD5Cb2R5IE1hc3MgSW5kZXg8L2tl
eXdvcmQ+PGtleXdvcmQ+Q29ob3J0IFN0dWRpZXM8L2tleXdvcmQ+PGtleXdvcmQ+RGlldCBSZWNv
cmRzPC9rZXl3b3JkPjxrZXl3b3JkPipEaWV0LCBNZWRpdGVycmFuZWFuPC9rZXl3b3JkPjxrZXl3
b3JkPkZlbWFsZTwva2V5d29yZD48a2V5d29yZD4qRmV0YWwgRGV2ZWxvcG1lbnQ8L2tleXdvcmQ+
PGtleXdvcmQ+RmV0YWwgR3Jvd3RoIFJldGFyZGF0aW9uL2RpZXQgdGhlcmFweS9lcGlkZW1pb2xv
Z3kvKnByZXZlbnRpb24gJmFtcDsgY29udHJvbDwva2V5d29yZD48a2V5d29yZD5IdW1hbnM8L2tl
eXdvcmQ+PGtleXdvcmQ+SW5mYW50LCBOZXdib3JuPC9rZXl3b3JkPjxrZXl3b3JkPk1hdGVybmFs
IE51dHJpdGlvbmFsIFBoeXNpb2xvZ2ljYWwgUGhlbm9tZW5hPC9rZXl3b3JkPjxrZXl3b3JkPk1v
dGhlcnM8L2tleXdvcmQ+PGtleXdvcmQ+T2RkcyBSYXRpbzwva2V5d29yZD48a2V5d29yZD5QYXRp
ZW50IENvbXBsaWFuY2UvKnN0YXRpc3RpY3MgJmFtcDsgbnVtZXJpY2FsIGRhdGE8L2tleXdvcmQ+
PGtleXdvcmQ+UHJlZ25hbmN5PC9rZXl3b3JkPjxrZXl3b3JkPlByZWduYW5jeSBPdXRjb21lPC9r
ZXl3b3JkPjxrZXl3b3JkPlByZW1hdHVyZSBCaXJ0aC9kaWV0IHRoZXJhcHkvZXBpZGVtaW9sb2d5
LypwcmV2ZW50aW9uICZhbXA7IGNvbnRyb2w8L2tleXdvcmQ+PGtleXdvcmQ+UHJvc3BlY3RpdmUg
U3R1ZGllczwva2V5d29yZD48a2V5d29yZD5TdXJ2ZXlzIGFuZCBRdWVzdGlvbm5haXJlczwva2V5
d29yZD48a2V5d29yZD4qV2VpZ2h0IEdhaW48L2tleXdvcmQ+PGtleXdvcmQ+V2VzdCBJbmRpZXMv
ZXBpZGVtaW9sb2d5PC9rZXl3b3JkPjxrZXl3b3JkPkZyZW5jaCBXZXN0IEluZGllczwva2V5d29y
ZD48a2V5d29yZD5NZWRpdGVycmFuZWFuIGRpZXQ8L2tleXdvcmQ+PGtleXdvcmQ+ZmV0YWwgZGV2
ZWxvcG1lbnQ8L2tleXdvcmQ+PGtleXdvcmQ+cHJldGVybSBiaXJ0aDwva2V5d29yZD48L2tleXdv
cmRzPjxkYXRlcz48eWVhcj4yMDE0PC95ZWFyPjxwdWItZGF0ZXM+PGRhdGU+TWF5PC9kYXRlPjwv
cHViLWRhdGVzPjwvZGF0ZXM+PGlzYm4+MTM2NS0zMDE2IChFbGVjdHJvbmljKSYjeEQ7MDI2OS01
MDIyIChMaW5raW5nKTwvaXNibj48YWNjZXNzaW9uLW51bT4yNDc1NDMzNzwvYWNjZXNzaW9uLW51
bT48dXJscz48cmVsYXRlZC11cmxzPjx1cmw+aHR0cHM6Ly93d3cubmNiaS5ubG0ubmloLmdvdi9w
dWJtZWQvMjQ3NTQzMzc8L3VybD48L3JlbGF0ZWQtdXJscz48L3VybHM+PGVsZWN0cm9uaWMtcmVz
b3VyY2UtbnVtPjEwLjExMTEvcHBlLjEyMTEzPC9lbGVjdHJvbmljLXJlc291cmNlLW51bT48L3Jl
Y29yZD48L0NpdGU+PC9FbmROb3RlPgB=
</w:fldData>
              </w:fldChar>
            </w:r>
            <w:r w:rsidR="002747EA">
              <w:instrText xml:space="preserve"> ADDIN EN.CITE </w:instrText>
            </w:r>
            <w:r w:rsidR="002747EA">
              <w:fldChar w:fldCharType="begin">
                <w:fldData xml:space="preserve">PEVuZE5vdGU+PENpdGU+PEF1dGhvcj5TYXVuZGVyczwvQXV0aG9yPjxZZWFyPjIwMTQ8L1llYXI+
PFJlY051bT4xNDc2PC9SZWNOdW0+PERpc3BsYXlUZXh0PjxzdHlsZSBmYWNlPSJzdXBlcnNjcmlw
dCIgZm9udD0iVHJlYnVjaGV0IE1TIiBzaXplPSI5Ij40ODwvc3R5bGU+PC9EaXNwbGF5VGV4dD48
cmVjb3JkPjxyZWMtbnVtYmVyPjE0NzY8L3JlYy1udW1iZXI+PGZvcmVpZ24ta2V5cz48a2V5IGFw
cD0iRU4iIGRiLWlkPSJleHZhc3JmeDJkdHJhb2VzYXN4cDJzenN4YTJkZjUwMjU5MngiIHRpbWVz
dGFtcD0iMTU3NDAzOTY2NCI+MTQ3Njwva2V5PjxrZXkgYXBwPSJFTldlYiIgZGItaWQ9IiI+MDwv
a2V5PjwvZm9yZWlnbi1rZXlzPjxyZWYtdHlwZSBuYW1lPSJKb3VybmFsIEFydGljbGUiPjE3PC9y
ZWYtdHlwZT48Y29udHJpYnV0b3JzPjxhdXRob3JzPjxhdXRob3I+U2F1bmRlcnMsIEwuPC9hdXRo
b3I+PGF1dGhvcj5HdWxkbmVyLCBMLjwvYXV0aG9yPjxhdXRob3I+Q29zdGV0LCBOLjwvYXV0aG9y
PjxhdXRob3I+S2FkaGVsLCBQLjwvYXV0aG9yPjxhdXRob3I+Um91Z2V0LCBGLjwvYXV0aG9yPjxh
dXRob3I+TW9uZm9ydCwgQy48L2F1dGhvcj48YXV0aG9yPlRob21lLCBKLiBQLjwvYXV0aG9yPjxh
dXRob3I+TXVsdGlnbmVyLCBMLjwvYXV0aG9yPjxhdXRob3I+Q29yZGllciwgUy48L2F1dGhvcj48
L2F1dGhvcnM+PC9jb250cmlidXRvcnM+PGF1dGgtYWRkcmVzcz5UZWFtIG9mIEVwaWRlbWlvbG9n
aWNhbCBSZXNlYXJjaCBvbiBFbnZpcm9ubWVudCwgUmVwcm9kdWN0aW9uIGFuZCBEZXZlbG9wbWVu
dCwgTmF0aW9uYWwgSW5zdGl0dXRlIGZvciBIZWFsdGggYW5kIE1lZGljYWwgUmVzZWFyY2ggKElO
U0VSTSBVMTA4NSksIFJlbm5lcywgRnJhbmNlLjwvYXV0aC1hZGRyZXNzPjx0aXRsZXM+PHRpdGxl
PkVmZmVjdCBvZiBhIE1lZGl0ZXJyYW5lYW4gZGlldCBkdXJpbmcgcHJlZ25hbmN5IG9uIGZldGFs
IGdyb3d0aCBhbmQgcHJldGVybSBkZWxpdmVyeTogcmVzdWx0cyBmcm9tIGEgRnJlbmNoIENhcmli
YmVhbiBNb3RoZXItQ2hpbGQgQ29ob3J0IFN0dWR5IChUSU1PVU4pPC90aXRsZT48c2Vjb25kYXJ5
LXRpdGxlPlBhZWRpYXRyIFBlcmluYXQgRXBpZGVtaW9sPC9zZWNvbmRhcnktdGl0bGU+PC90aXRs
ZXM+PHBlcmlvZGljYWw+PGZ1bGwtdGl0bGU+UGFlZGlhdHIgUGVyaW5hdCBFcGlkZW1pb2w8L2Z1
bGwtdGl0bGU+PC9wZXJpb2RpY2FsPjxwYWdlcz4yMzUtNDQ8L3BhZ2VzPjx2b2x1bWU+Mjg8L3Zv
bHVtZT48bnVtYmVyPjM8L251bWJlcj48ZWRpdGlvbj4yMDE0LzA0LzI0PC9lZGl0aW9uPjxrZXl3
b3Jkcz48a2V5d29yZD5BZHVsdDwva2V5d29yZD48a2V5d29yZD5Cb2R5IE1hc3MgSW5kZXg8L2tl
eXdvcmQ+PGtleXdvcmQ+Q29ob3J0IFN0dWRpZXM8L2tleXdvcmQ+PGtleXdvcmQ+RGlldCBSZWNv
cmRzPC9rZXl3b3JkPjxrZXl3b3JkPipEaWV0LCBNZWRpdGVycmFuZWFuPC9rZXl3b3JkPjxrZXl3
b3JkPkZlbWFsZTwva2V5d29yZD48a2V5d29yZD4qRmV0YWwgRGV2ZWxvcG1lbnQ8L2tleXdvcmQ+
PGtleXdvcmQ+RmV0YWwgR3Jvd3RoIFJldGFyZGF0aW9uL2RpZXQgdGhlcmFweS9lcGlkZW1pb2xv
Z3kvKnByZXZlbnRpb24gJmFtcDsgY29udHJvbDwva2V5d29yZD48a2V5d29yZD5IdW1hbnM8L2tl
eXdvcmQ+PGtleXdvcmQ+SW5mYW50LCBOZXdib3JuPC9rZXl3b3JkPjxrZXl3b3JkPk1hdGVybmFs
IE51dHJpdGlvbmFsIFBoeXNpb2xvZ2ljYWwgUGhlbm9tZW5hPC9rZXl3b3JkPjxrZXl3b3JkPk1v
dGhlcnM8L2tleXdvcmQ+PGtleXdvcmQ+T2RkcyBSYXRpbzwva2V5d29yZD48a2V5d29yZD5QYXRp
ZW50IENvbXBsaWFuY2UvKnN0YXRpc3RpY3MgJmFtcDsgbnVtZXJpY2FsIGRhdGE8L2tleXdvcmQ+
PGtleXdvcmQ+UHJlZ25hbmN5PC9rZXl3b3JkPjxrZXl3b3JkPlByZWduYW5jeSBPdXRjb21lPC9r
ZXl3b3JkPjxrZXl3b3JkPlByZW1hdHVyZSBCaXJ0aC9kaWV0IHRoZXJhcHkvZXBpZGVtaW9sb2d5
LypwcmV2ZW50aW9uICZhbXA7IGNvbnRyb2w8L2tleXdvcmQ+PGtleXdvcmQ+UHJvc3BlY3RpdmUg
U3R1ZGllczwva2V5d29yZD48a2V5d29yZD5TdXJ2ZXlzIGFuZCBRdWVzdGlvbm5haXJlczwva2V5
d29yZD48a2V5d29yZD4qV2VpZ2h0IEdhaW48L2tleXdvcmQ+PGtleXdvcmQ+V2VzdCBJbmRpZXMv
ZXBpZGVtaW9sb2d5PC9rZXl3b3JkPjxrZXl3b3JkPkZyZW5jaCBXZXN0IEluZGllczwva2V5d29y
ZD48a2V5d29yZD5NZWRpdGVycmFuZWFuIGRpZXQ8L2tleXdvcmQ+PGtleXdvcmQ+ZmV0YWwgZGV2
ZWxvcG1lbnQ8L2tleXdvcmQ+PGtleXdvcmQ+cHJldGVybSBiaXJ0aDwva2V5d29yZD48L2tleXdv
cmRzPjxkYXRlcz48eWVhcj4yMDE0PC95ZWFyPjxwdWItZGF0ZXM+PGRhdGU+TWF5PC9kYXRlPjwv
cHViLWRhdGVzPjwvZGF0ZXM+PGlzYm4+MTM2NS0zMDE2IChFbGVjdHJvbmljKSYjeEQ7MDI2OS01
MDIyIChMaW5raW5nKTwvaXNibj48YWNjZXNzaW9uLW51bT4yNDc1NDMzNzwvYWNjZXNzaW9uLW51
bT48dXJscz48cmVsYXRlZC11cmxzPjx1cmw+aHR0cHM6Ly93d3cubmNiaS5ubG0ubmloLmdvdi9w
dWJtZWQvMjQ3NTQzMzc8L3VybD48L3JlbGF0ZWQtdXJscz48L3VybHM+PGVsZWN0cm9uaWMtcmVz
b3VyY2UtbnVtPjEwLjExMTEvcHBlLjEyMTEzPC9lbGVjdHJvbmljLXJlc291cmNlLW51bT48L3Jl
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48</w:t>
            </w:r>
            <w:r>
              <w:fldChar w:fldCharType="end"/>
            </w:r>
          </w:p>
          <w:p w14:paraId="58304614" w14:textId="77777777" w:rsidR="00C7031C" w:rsidRDefault="00C7031C" w:rsidP="00A0545D">
            <w:r>
              <w:t>Guadeloupe</w:t>
            </w:r>
          </w:p>
          <w:p w14:paraId="4EFD4322" w14:textId="77777777" w:rsidR="00C7031C" w:rsidRDefault="00C7031C" w:rsidP="00A0545D">
            <w:r>
              <w:t>Cohort</w:t>
            </w:r>
          </w:p>
        </w:tc>
        <w:tc>
          <w:tcPr>
            <w:tcW w:w="1417" w:type="dxa"/>
            <w:tcBorders>
              <w:top w:val="single" w:sz="4" w:space="0" w:color="auto"/>
              <w:left w:val="single" w:sz="4" w:space="0" w:color="auto"/>
              <w:bottom w:val="single" w:sz="4" w:space="0" w:color="auto"/>
              <w:right w:val="single" w:sz="4" w:space="0" w:color="auto"/>
            </w:tcBorders>
          </w:tcPr>
          <w:p w14:paraId="65054F55" w14:textId="77777777" w:rsidR="00C7031C" w:rsidRDefault="00C7031C" w:rsidP="009F7A26">
            <w:r>
              <w:t>728 women</w:t>
            </w:r>
          </w:p>
        </w:tc>
        <w:tc>
          <w:tcPr>
            <w:tcW w:w="4679" w:type="dxa"/>
            <w:tcBorders>
              <w:top w:val="single" w:sz="4" w:space="0" w:color="auto"/>
              <w:left w:val="single" w:sz="4" w:space="0" w:color="auto"/>
              <w:bottom w:val="single" w:sz="4" w:space="0" w:color="auto"/>
              <w:right w:val="single" w:sz="4" w:space="0" w:color="auto"/>
            </w:tcBorders>
          </w:tcPr>
          <w:p w14:paraId="17C163DF" w14:textId="77777777" w:rsidR="00C7031C" w:rsidRDefault="00C7031C" w:rsidP="00B24E86">
            <w:r>
              <w:rPr>
                <w:b/>
              </w:rPr>
              <w:t xml:space="preserve">Aim: </w:t>
            </w:r>
            <w:r>
              <w:t>T</w:t>
            </w:r>
            <w:r w:rsidRPr="00B24E86">
              <w:t>o evaluate the effect of adherence to a Mediterranean diet (MD) during pregnancy on fetal growth restriction</w:t>
            </w:r>
            <w:r>
              <w:t xml:space="preserve"> (FGR) and preterm birth (PTB</w:t>
            </w:r>
            <w:r w:rsidRPr="00B24E86">
              <w:t>)</w:t>
            </w:r>
            <w:r>
              <w:t xml:space="preserve"> in a population </w:t>
            </w:r>
            <w:r w:rsidRPr="00B24E86">
              <w:t xml:space="preserve">largely </w:t>
            </w:r>
            <w:r>
              <w:t xml:space="preserve">of African descent and present </w:t>
            </w:r>
            <w:r w:rsidRPr="00B24E86">
              <w:t xml:space="preserve">dietary patterns similar to MD. </w:t>
            </w:r>
          </w:p>
          <w:p w14:paraId="71211C61" w14:textId="77777777" w:rsidR="00C7031C" w:rsidRDefault="00C7031C" w:rsidP="00B24E86">
            <w:pPr>
              <w:rPr>
                <w:b/>
              </w:rPr>
            </w:pPr>
            <w:r w:rsidRPr="00B24E86">
              <w:rPr>
                <w:b/>
              </w:rPr>
              <w:t>Methods</w:t>
            </w:r>
            <w:r w:rsidRPr="00B24E86">
              <w:t xml:space="preserve">: </w:t>
            </w:r>
            <w:r>
              <w:t>W</w:t>
            </w:r>
            <w:r w:rsidRPr="00B24E86">
              <w:t xml:space="preserve">e analysed data for pregnant women who </w:t>
            </w:r>
            <w:r>
              <w:t>had</w:t>
            </w:r>
            <w:r w:rsidRPr="00B24E86">
              <w:t xml:space="preserve"> liveborn singletons without any major congenital malformations. Degree of adherence to MD during pregnancy was evaluated with a semi-quantitative food frequency questionnaire based on nine dietary criteria. Multiple logistic regression models were used to analyse birth outcomes while taking potential confounders into account. </w:t>
            </w:r>
          </w:p>
        </w:tc>
        <w:tc>
          <w:tcPr>
            <w:tcW w:w="4537" w:type="dxa"/>
            <w:tcBorders>
              <w:top w:val="single" w:sz="4" w:space="0" w:color="auto"/>
              <w:left w:val="single" w:sz="4" w:space="0" w:color="auto"/>
              <w:bottom w:val="single" w:sz="4" w:space="0" w:color="auto"/>
              <w:right w:val="single" w:sz="4" w:space="0" w:color="auto"/>
            </w:tcBorders>
          </w:tcPr>
          <w:p w14:paraId="1E4AA230" w14:textId="77777777" w:rsidR="00C7031C" w:rsidRPr="00B24E86" w:rsidRDefault="00C7031C" w:rsidP="00714D0D">
            <w:r w:rsidRPr="00B24E86">
              <w:t>Overall there was no association between MD adherence duri</w:t>
            </w:r>
            <w:r>
              <w:t>ng pregnancy and the risk of PTB</w:t>
            </w:r>
            <w:r w:rsidRPr="00B24E86">
              <w:t xml:space="preserve"> </w:t>
            </w:r>
            <w:r>
              <w:t xml:space="preserve">(non-stratified by BMI: aOR 0.9; 95%CI 0.8 to 1.0) </w:t>
            </w:r>
            <w:r w:rsidRPr="00B24E86">
              <w:t>or FGR</w:t>
            </w:r>
            <w:r>
              <w:t xml:space="preserve"> (non-stratified by BMI, term births: aOR 1.0; 95%CI 0.8 to 1.2)</w:t>
            </w:r>
            <w:r w:rsidRPr="00B24E86">
              <w:t xml:space="preserve">. However, pre-pregnancy </w:t>
            </w:r>
            <w:r>
              <w:t>BMI was a strong effect modifier</w:t>
            </w:r>
            <w:r w:rsidRPr="00B24E86">
              <w:t xml:space="preserve"> and MD adherence was associa</w:t>
            </w:r>
            <w:r>
              <w:t>ted with a decreased risk of PTB</w:t>
            </w:r>
            <w:r w:rsidRPr="00B24E86">
              <w:t xml:space="preserve"> in overweight and obese women (a</w:t>
            </w:r>
            <w:r>
              <w:t>OR 0.7, 95%CI 0.6 to 0.9) (P</w:t>
            </w:r>
            <w:r w:rsidRPr="00B24E86">
              <w:t>&lt;0.01)</w:t>
            </w:r>
            <w:r>
              <w:t xml:space="preserve"> but not women with underweight/normal BMI (aOR 1.1; 95%CI 0.9 to 1.3)</w:t>
            </w:r>
            <w:r w:rsidRPr="00B24E86">
              <w:t xml:space="preserve">. </w:t>
            </w:r>
          </w:p>
        </w:tc>
        <w:tc>
          <w:tcPr>
            <w:tcW w:w="1843" w:type="dxa"/>
            <w:tcBorders>
              <w:top w:val="single" w:sz="4" w:space="0" w:color="auto"/>
              <w:left w:val="single" w:sz="4" w:space="0" w:color="auto"/>
              <w:bottom w:val="single" w:sz="4" w:space="0" w:color="auto"/>
              <w:right w:val="single" w:sz="4" w:space="0" w:color="auto"/>
            </w:tcBorders>
          </w:tcPr>
          <w:p w14:paraId="303CC31C" w14:textId="77777777" w:rsidR="00C7031C" w:rsidRPr="00C8357D" w:rsidRDefault="00C7031C" w:rsidP="009F7A26">
            <w:r>
              <w:t>preterm</w:t>
            </w:r>
          </w:p>
        </w:tc>
      </w:tr>
      <w:tr w:rsidR="00C7031C" w:rsidRPr="00C8357D" w14:paraId="79AAF2EF"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30765E7B" w14:textId="7ECBD099" w:rsidR="00C7031C" w:rsidRDefault="00C7031C" w:rsidP="00A0545D">
            <w:r>
              <w:t>Martí</w:t>
            </w:r>
            <w:r w:rsidRPr="00A0545D">
              <w:t>nez-Galiano</w:t>
            </w:r>
            <w:r>
              <w:t xml:space="preserve"> et al 2018</w:t>
            </w:r>
            <w:r>
              <w:fldChar w:fldCharType="begin"/>
            </w:r>
            <w:r w:rsidR="002747EA">
              <w:instrText xml:space="preserve"> ADDIN EN.CITE &lt;EndNote&gt;&lt;Cite&gt;&lt;Author&gt;Martínez-Galiano&lt;/Author&gt;&lt;Year&gt;2018&lt;/Year&gt;&lt;RecNum&gt;1462&lt;/RecNum&gt;&lt;DisplayText&gt;&lt;style face="superscript" font="Trebuchet MS" size="9"&gt;46&lt;/style&gt;&lt;/DisplayText&gt;&lt;record&gt;&lt;rec-number&gt;1462&lt;/rec-number&gt;&lt;foreign-keys&gt;&lt;key app="EN" db-id="exvasrfx2dtraoesasxp2szsxa2df502592x" timestamp="1574039594"&gt;1462&lt;/key&gt;&lt;key app="ENWeb" db-id=""&gt;0&lt;/key&gt;&lt;/foreign-keys&gt;&lt;ref-type name="Journal Article"&gt;17&lt;/ref-type&gt;&lt;contributors&gt;&lt;authors&gt;&lt;author&gt;Martínez-Galiano, Juan&lt;/author&gt;&lt;author&gt;Olmedo-Requena, Rocío&lt;/author&gt;&lt;author&gt;Barrios-Rodríguez, Rocío&lt;/author&gt;&lt;author&gt;Amezcua-Prieto, Carmen&lt;/author&gt;&lt;author&gt;Bueno-Cavanillas, Aurora&lt;/author&gt;&lt;author&gt;Salcedo-Bellido, Inmaculada&lt;/author&gt;&lt;author&gt;Jimenez-Moleon, Jose&lt;/author&gt;&lt;author&gt;Delgado-Rodríguez, Miguel&lt;/author&gt;&lt;/authors&gt;&lt;/contributors&gt;&lt;titles&gt;&lt;title&gt;Effect of adherence to a Mediterranean diet and olive oil intake during pregnancy on risk of small for gestational age infants&lt;/title&gt;&lt;secondary-title&gt;Nutrients&lt;/secondary-title&gt;&lt;/titles&gt;&lt;periodical&gt;&lt;full-title&gt;Nutrients&lt;/full-title&gt;&lt;/periodical&gt;&lt;volume&gt;10&lt;/volume&gt;&lt;number&gt;9&lt;/number&gt;&lt;section&gt;1234&lt;/section&gt;&lt;dates&gt;&lt;year&gt;2018&lt;/year&gt;&lt;/dates&gt;&lt;isbn&gt;2072-6643&lt;/isbn&gt;&lt;urls&gt;&lt;/urls&gt;&lt;electronic-resource-num&gt;10.3390/nu10091234&lt;/electronic-resource-num&gt;&lt;/record&gt;&lt;/Cite&gt;&lt;/EndNote&gt;</w:instrText>
            </w:r>
            <w:r>
              <w:fldChar w:fldCharType="separate"/>
            </w:r>
            <w:r w:rsidR="002747EA" w:rsidRPr="002747EA">
              <w:rPr>
                <w:noProof/>
                <w:vertAlign w:val="superscript"/>
              </w:rPr>
              <w:t>46</w:t>
            </w:r>
            <w:r>
              <w:fldChar w:fldCharType="end"/>
            </w:r>
          </w:p>
          <w:p w14:paraId="48135186" w14:textId="77777777" w:rsidR="00C7031C" w:rsidRDefault="00C7031C" w:rsidP="00A0545D">
            <w:r>
              <w:t>Spain</w:t>
            </w:r>
          </w:p>
          <w:p w14:paraId="282B6E67" w14:textId="77777777" w:rsidR="00C7031C" w:rsidRPr="00A0545D" w:rsidRDefault="00C7031C" w:rsidP="00A0545D">
            <w:r>
              <w:t>Case-control</w:t>
            </w:r>
          </w:p>
          <w:p w14:paraId="25372E66" w14:textId="77777777" w:rsidR="00C7031C" w:rsidRDefault="00C7031C" w:rsidP="009F7A26"/>
        </w:tc>
        <w:tc>
          <w:tcPr>
            <w:tcW w:w="1417" w:type="dxa"/>
            <w:tcBorders>
              <w:top w:val="single" w:sz="4" w:space="0" w:color="auto"/>
              <w:left w:val="single" w:sz="4" w:space="0" w:color="auto"/>
              <w:bottom w:val="single" w:sz="4" w:space="0" w:color="auto"/>
              <w:right w:val="single" w:sz="4" w:space="0" w:color="auto"/>
            </w:tcBorders>
          </w:tcPr>
          <w:p w14:paraId="50FBD5BF" w14:textId="77777777" w:rsidR="00C7031C" w:rsidRDefault="00C7031C" w:rsidP="009F7A26">
            <w:r>
              <w:t>518 case-control pairs</w:t>
            </w:r>
          </w:p>
        </w:tc>
        <w:tc>
          <w:tcPr>
            <w:tcW w:w="4679" w:type="dxa"/>
            <w:tcBorders>
              <w:top w:val="single" w:sz="4" w:space="0" w:color="auto"/>
              <w:left w:val="single" w:sz="4" w:space="0" w:color="auto"/>
              <w:bottom w:val="single" w:sz="4" w:space="0" w:color="auto"/>
              <w:right w:val="single" w:sz="4" w:space="0" w:color="auto"/>
            </w:tcBorders>
          </w:tcPr>
          <w:p w14:paraId="6843E04B" w14:textId="77777777" w:rsidR="00C7031C" w:rsidRDefault="00C7031C" w:rsidP="00A0545D">
            <w:r>
              <w:rPr>
                <w:b/>
              </w:rPr>
              <w:t xml:space="preserve">Aim: </w:t>
            </w:r>
            <w:r w:rsidRPr="00A0545D">
              <w:t>To quantify the effect of a Mediterranean dietary pattern, as well as the consumption of</w:t>
            </w:r>
            <w:r>
              <w:t xml:space="preserve"> </w:t>
            </w:r>
            <w:r w:rsidRPr="00A0545D">
              <w:t xml:space="preserve">olive oil (OO), on the risk of having a small for gestational age infants (SGA). </w:t>
            </w:r>
          </w:p>
          <w:p w14:paraId="0F008A45" w14:textId="77777777" w:rsidR="00C7031C" w:rsidRDefault="00C7031C" w:rsidP="00A0545D">
            <w:pPr>
              <w:rPr>
                <w:b/>
              </w:rPr>
            </w:pPr>
            <w:r w:rsidRPr="00A0545D">
              <w:rPr>
                <w:b/>
              </w:rPr>
              <w:t>Methods</w:t>
            </w:r>
            <w:r>
              <w:t xml:space="preserve">: </w:t>
            </w:r>
            <w:r w:rsidRPr="00A0545D">
              <w:t>Dietary intake during pregnancy was assessed using a validated</w:t>
            </w:r>
            <w:r>
              <w:t xml:space="preserve"> </w:t>
            </w:r>
            <w:r w:rsidRPr="00A0545D">
              <w:t>food frequency questionnaire. Three indices were used to evaluate the adherence to Mediterranean</w:t>
            </w:r>
            <w:r>
              <w:t xml:space="preserve"> </w:t>
            </w:r>
            <w:r w:rsidRPr="00A0545D">
              <w:t>diet (MD) (Predimed, Trichopoulou and Panagiotakos). Crude odds ratios (cOR) and adjusted</w:t>
            </w:r>
            <w:r>
              <w:t xml:space="preserve"> </w:t>
            </w:r>
            <w:r w:rsidRPr="00A0545D">
              <w:t>odds ratios (aOR) and their 95% confidence intervals (CI) were estimated using conditional logistic</w:t>
            </w:r>
            <w:r>
              <w:t xml:space="preserve"> </w:t>
            </w:r>
            <w:r w:rsidRPr="00A0545D">
              <w:t>regression models.</w:t>
            </w:r>
          </w:p>
        </w:tc>
        <w:tc>
          <w:tcPr>
            <w:tcW w:w="4537" w:type="dxa"/>
            <w:tcBorders>
              <w:top w:val="single" w:sz="4" w:space="0" w:color="auto"/>
              <w:left w:val="single" w:sz="4" w:space="0" w:color="auto"/>
              <w:bottom w:val="single" w:sz="4" w:space="0" w:color="auto"/>
              <w:right w:val="single" w:sz="4" w:space="0" w:color="auto"/>
            </w:tcBorders>
          </w:tcPr>
          <w:p w14:paraId="22C5378F" w14:textId="77777777" w:rsidR="00C7031C" w:rsidRPr="00A0545D" w:rsidRDefault="00C7031C" w:rsidP="00A0545D">
            <w:r w:rsidRPr="00A0545D">
              <w:t>Results were stratified by severity of SGA: moderate (percentiles 6–10), and severe</w:t>
            </w:r>
            <w:r>
              <w:t xml:space="preserve"> </w:t>
            </w:r>
            <w:r w:rsidRPr="00A0545D">
              <w:t>(percentiles 5). For moderate, four or more points in the Predimed´s index was associated with a</w:t>
            </w:r>
            <w:r>
              <w:t xml:space="preserve"> </w:t>
            </w:r>
            <w:r w:rsidRPr="00A0545D">
              <w:t xml:space="preserve">41% reduction of having SGA compared </w:t>
            </w:r>
            <w:r>
              <w:t xml:space="preserve">with women with a score 3, aOR 0.59 (95%CI 0.38 to </w:t>
            </w:r>
            <w:r w:rsidRPr="00A0545D">
              <w:t>0.98);</w:t>
            </w:r>
            <w:r>
              <w:t xml:space="preserve"> </w:t>
            </w:r>
            <w:r w:rsidRPr="00A0545D">
              <w:t>for severe, the reduction in risk was not statistically significant. Similar results were found when the</w:t>
            </w:r>
            <w:r>
              <w:t xml:space="preserve"> </w:t>
            </w:r>
            <w:r w:rsidRPr="00A0545D">
              <w:t>other MD indexes were used. An intake of OO above 5 g/day was associated with a lower risk of SGA</w:t>
            </w:r>
            <w:r>
              <w:t xml:space="preserve"> (aOR 0.53, 95% CI 0.34 to </w:t>
            </w:r>
            <w:r w:rsidRPr="00A0545D">
              <w:t xml:space="preserve">0.85); statistical significance was </w:t>
            </w:r>
            <w:r>
              <w:t>observed for moderate SGA (aOR</w:t>
            </w:r>
            <w:r w:rsidRPr="00A0545D">
              <w:t xml:space="preserve"> 0.53,</w:t>
            </w:r>
            <w:r>
              <w:t xml:space="preserve"> 95% CI 0.30 to </w:t>
            </w:r>
            <w:r w:rsidRPr="00A0545D">
              <w:t>0.96</w:t>
            </w:r>
            <w:r>
              <w:t xml:space="preserve">), but not for severe SGA (aOR 0.51, 95% CI 0.24 to </w:t>
            </w:r>
            <w:r w:rsidRPr="00A0545D">
              <w:t>1.07), although the magnitude of</w:t>
            </w:r>
            <w:r>
              <w:t xml:space="preserve"> </w:t>
            </w:r>
            <w:r w:rsidRPr="00A0545D">
              <w:t>ORs were quite similar. Adherence to a MD and OO intake is associated with a reduced risk of SGA.</w:t>
            </w:r>
          </w:p>
        </w:tc>
        <w:tc>
          <w:tcPr>
            <w:tcW w:w="1843" w:type="dxa"/>
            <w:tcBorders>
              <w:top w:val="single" w:sz="4" w:space="0" w:color="auto"/>
              <w:left w:val="single" w:sz="4" w:space="0" w:color="auto"/>
              <w:bottom w:val="single" w:sz="4" w:space="0" w:color="auto"/>
              <w:right w:val="single" w:sz="4" w:space="0" w:color="auto"/>
            </w:tcBorders>
          </w:tcPr>
          <w:p w14:paraId="02F12F29" w14:textId="77777777" w:rsidR="00C7031C" w:rsidRPr="00C8357D" w:rsidRDefault="00C7031C" w:rsidP="009F7A26">
            <w:r>
              <w:t>SGA</w:t>
            </w:r>
          </w:p>
        </w:tc>
      </w:tr>
      <w:tr w:rsidR="00C7031C" w:rsidRPr="00C8357D" w14:paraId="3A664379" w14:textId="77777777" w:rsidTr="00C7031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6" w:type="dxa"/>
            <w:tcBorders>
              <w:top w:val="single" w:sz="4" w:space="0" w:color="auto"/>
              <w:left w:val="single" w:sz="4" w:space="0" w:color="auto"/>
              <w:bottom w:val="single" w:sz="4" w:space="0" w:color="auto"/>
              <w:right w:val="single" w:sz="4" w:space="0" w:color="auto"/>
            </w:tcBorders>
          </w:tcPr>
          <w:p w14:paraId="2E36C020" w14:textId="58FBF22E" w:rsidR="00C7031C" w:rsidRDefault="00C7031C" w:rsidP="000C2B4C">
            <w:r>
              <w:t>Alvarez Zallo et al 2018</w:t>
            </w:r>
            <w:r>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52</w:t>
            </w:r>
            <w:r>
              <w:fldChar w:fldCharType="end"/>
            </w:r>
          </w:p>
          <w:p w14:paraId="05755B6D" w14:textId="77777777" w:rsidR="00C7031C" w:rsidRDefault="00C7031C" w:rsidP="000C2B4C">
            <w:r>
              <w:t>Europe and Latin America</w:t>
            </w:r>
          </w:p>
          <w:p w14:paraId="0241293C" w14:textId="77777777" w:rsidR="00C7031C" w:rsidRDefault="00C7031C" w:rsidP="000C2B4C">
            <w:r w:rsidRPr="00000A5C">
              <w:t>International Study of Wheezing in Infants</w:t>
            </w:r>
          </w:p>
          <w:p w14:paraId="18D7A4F6" w14:textId="77777777" w:rsidR="00C7031C" w:rsidRPr="00814460" w:rsidRDefault="00C7031C" w:rsidP="000C2B4C">
            <w:r>
              <w:t>Cross-section</w:t>
            </w:r>
          </w:p>
        </w:tc>
        <w:tc>
          <w:tcPr>
            <w:tcW w:w="1417" w:type="dxa"/>
            <w:tcBorders>
              <w:top w:val="single" w:sz="4" w:space="0" w:color="auto"/>
              <w:left w:val="single" w:sz="4" w:space="0" w:color="auto"/>
              <w:bottom w:val="single" w:sz="4" w:space="0" w:color="auto"/>
              <w:right w:val="single" w:sz="4" w:space="0" w:color="auto"/>
            </w:tcBorders>
          </w:tcPr>
          <w:p w14:paraId="23E033C2" w14:textId="77777777" w:rsidR="00C7031C" w:rsidRDefault="00C7031C" w:rsidP="009F7A26">
            <w:r>
              <w:t>1,087 infants 12-15 months of age</w:t>
            </w:r>
          </w:p>
        </w:tc>
        <w:tc>
          <w:tcPr>
            <w:tcW w:w="4679" w:type="dxa"/>
            <w:tcBorders>
              <w:top w:val="single" w:sz="4" w:space="0" w:color="auto"/>
              <w:left w:val="single" w:sz="4" w:space="0" w:color="auto"/>
              <w:bottom w:val="single" w:sz="4" w:space="0" w:color="auto"/>
              <w:right w:val="single" w:sz="4" w:space="0" w:color="auto"/>
            </w:tcBorders>
          </w:tcPr>
          <w:p w14:paraId="6B2E6168" w14:textId="77777777" w:rsidR="00C7031C" w:rsidRDefault="00C7031C" w:rsidP="00000A5C">
            <w:r>
              <w:rPr>
                <w:b/>
              </w:rPr>
              <w:t xml:space="preserve">Aim: </w:t>
            </w:r>
            <w:r>
              <w:t>To examine</w:t>
            </w:r>
            <w:r w:rsidRPr="00000A5C">
              <w:t xml:space="preserve"> the relationship between different food groups and the adherence to a Mediterranean diet during pregnancy and the risk of wheezing and eczema in children aged 12-15 months. </w:t>
            </w:r>
          </w:p>
          <w:p w14:paraId="6D5BBB01" w14:textId="77777777" w:rsidR="00C7031C" w:rsidRDefault="00C7031C" w:rsidP="00510DED">
            <w:pPr>
              <w:rPr>
                <w:b/>
              </w:rPr>
            </w:pPr>
            <w:r w:rsidRPr="00000A5C">
              <w:rPr>
                <w:b/>
              </w:rPr>
              <w:t>Methods</w:t>
            </w:r>
            <w:r w:rsidRPr="00000A5C">
              <w:t xml:space="preserve">: </w:t>
            </w:r>
            <w:r>
              <w:t>T</w:t>
            </w:r>
            <w:r w:rsidRPr="00000A5C">
              <w:t xml:space="preserve">he study of the association of the different food consumption and Mediterranean diet with wheezing, recurrent wheezing and eczema was performed using different models of unconditional logistic regression to obtain adjusted prevalence odds ratios (OR) and 95% confidence intervals (95% CI). </w:t>
            </w:r>
          </w:p>
        </w:tc>
        <w:tc>
          <w:tcPr>
            <w:tcW w:w="4537" w:type="dxa"/>
            <w:tcBorders>
              <w:top w:val="single" w:sz="4" w:space="0" w:color="auto"/>
              <w:left w:val="single" w:sz="4" w:space="0" w:color="auto"/>
              <w:bottom w:val="single" w:sz="4" w:space="0" w:color="auto"/>
              <w:right w:val="single" w:sz="4" w:space="0" w:color="auto"/>
            </w:tcBorders>
          </w:tcPr>
          <w:p w14:paraId="732208AD" w14:textId="77777777" w:rsidR="00C7031C" w:rsidRPr="00000A5C" w:rsidRDefault="00C7031C" w:rsidP="00510DED">
            <w:r w:rsidRPr="00000A5C">
              <w:t xml:space="preserve">No association was found between a good adherence to the Mediterranean diet during pregnancy and the development of wheezing (p=0.372), recurrent wheezing (p=0.118) </w:t>
            </w:r>
            <w:r>
              <w:t>or</w:t>
            </w:r>
            <w:r w:rsidRPr="00000A5C">
              <w:t xml:space="preserve"> eczema (p=0.315). </w:t>
            </w:r>
          </w:p>
        </w:tc>
        <w:tc>
          <w:tcPr>
            <w:tcW w:w="1843" w:type="dxa"/>
            <w:tcBorders>
              <w:top w:val="single" w:sz="4" w:space="0" w:color="auto"/>
              <w:left w:val="single" w:sz="4" w:space="0" w:color="auto"/>
              <w:bottom w:val="single" w:sz="4" w:space="0" w:color="auto"/>
              <w:right w:val="single" w:sz="4" w:space="0" w:color="auto"/>
            </w:tcBorders>
          </w:tcPr>
          <w:p w14:paraId="7BB3C3AA" w14:textId="77777777" w:rsidR="00C7031C" w:rsidRPr="00C8357D" w:rsidRDefault="00C7031C" w:rsidP="009F7A26">
            <w:r>
              <w:t>Wheeze</w:t>
            </w:r>
          </w:p>
        </w:tc>
      </w:tr>
    </w:tbl>
    <w:p w14:paraId="2440E6A4" w14:textId="7BDC35D5" w:rsidR="006914B2" w:rsidRDefault="009C163D" w:rsidP="005719CE">
      <w:pPr>
        <w:pStyle w:val="TableName"/>
        <w:ind w:left="1134" w:hanging="1134"/>
      </w:pPr>
      <w:bookmarkStart w:id="37" w:name="_Toc40956594"/>
      <w:r>
        <w:t xml:space="preserve">Q1 </w:t>
      </w:r>
      <w:r w:rsidR="0024655E" w:rsidRPr="0024655E">
        <w:t>Dietary Approaches to Stop Hypertension (DASH)</w:t>
      </w:r>
      <w:r w:rsidR="0024655E" w:rsidRPr="0024655E">
        <w:rPr>
          <w:rFonts w:eastAsiaTheme="majorEastAsia"/>
        </w:rPr>
        <w:t> </w:t>
      </w:r>
      <w:r w:rsidR="006914B2" w:rsidRPr="0024655E">
        <w:t xml:space="preserve">diet </w:t>
      </w:r>
      <w:r w:rsidR="00CD0392">
        <w:t xml:space="preserve">in pregnancy </w:t>
      </w:r>
      <w:r w:rsidR="006914B2" w:rsidRPr="0024655E">
        <w:t>— syst</w:t>
      </w:r>
      <w:r w:rsidR="006914B2">
        <w:t>ematic reviews</w:t>
      </w:r>
      <w:bookmarkEnd w:id="3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6: Q1 Dietary Approaches to Stop Hypertension (DASH) diet in pregnancy — systematic reviews"/>
      </w:tblPr>
      <w:tblGrid>
        <w:gridCol w:w="1280"/>
        <w:gridCol w:w="1271"/>
        <w:gridCol w:w="4962"/>
        <w:gridCol w:w="4536"/>
        <w:gridCol w:w="1843"/>
      </w:tblGrid>
      <w:tr w:rsidR="006914B2" w:rsidRPr="00F350A6" w14:paraId="6A6E200D" w14:textId="77777777" w:rsidTr="0097700A">
        <w:trPr>
          <w:cantSplit/>
          <w:trHeight w:val="390"/>
          <w:tblHeader/>
        </w:trPr>
        <w:tc>
          <w:tcPr>
            <w:tcW w:w="1280" w:type="dxa"/>
            <w:tcBorders>
              <w:bottom w:val="single" w:sz="4" w:space="0" w:color="538135" w:themeColor="accent6" w:themeShade="BF"/>
            </w:tcBorders>
          </w:tcPr>
          <w:p w14:paraId="68DCF9FE" w14:textId="77777777" w:rsidR="006914B2" w:rsidRPr="00F350A6" w:rsidRDefault="006914B2" w:rsidP="007C08CE">
            <w:pPr>
              <w:keepNext/>
              <w:rPr>
                <w:b/>
              </w:rPr>
            </w:pPr>
            <w:r>
              <w:rPr>
                <w:b/>
              </w:rPr>
              <w:t>Study ref</w:t>
            </w:r>
          </w:p>
        </w:tc>
        <w:tc>
          <w:tcPr>
            <w:tcW w:w="1271" w:type="dxa"/>
            <w:tcBorders>
              <w:bottom w:val="single" w:sz="4" w:space="0" w:color="538135" w:themeColor="accent6" w:themeShade="BF"/>
            </w:tcBorders>
          </w:tcPr>
          <w:p w14:paraId="006F6C01" w14:textId="77777777" w:rsidR="006914B2" w:rsidRPr="00F350A6" w:rsidRDefault="006914B2" w:rsidP="007C08CE">
            <w:pPr>
              <w:keepNext/>
              <w:rPr>
                <w:b/>
              </w:rPr>
            </w:pPr>
            <w:r>
              <w:rPr>
                <w:b/>
              </w:rPr>
              <w:t>N</w:t>
            </w:r>
          </w:p>
        </w:tc>
        <w:tc>
          <w:tcPr>
            <w:tcW w:w="4962" w:type="dxa"/>
            <w:tcBorders>
              <w:bottom w:val="single" w:sz="4" w:space="0" w:color="538135" w:themeColor="accent6" w:themeShade="BF"/>
            </w:tcBorders>
          </w:tcPr>
          <w:p w14:paraId="4D8F16F6" w14:textId="77777777" w:rsidR="006914B2" w:rsidRPr="00F350A6" w:rsidRDefault="006914B2" w:rsidP="007C08CE">
            <w:pPr>
              <w:keepNext/>
              <w:rPr>
                <w:b/>
              </w:rPr>
            </w:pPr>
            <w:r>
              <w:rPr>
                <w:b/>
              </w:rPr>
              <w:t>Aim/methods</w:t>
            </w:r>
          </w:p>
        </w:tc>
        <w:tc>
          <w:tcPr>
            <w:tcW w:w="4536" w:type="dxa"/>
            <w:tcBorders>
              <w:bottom w:val="single" w:sz="4" w:space="0" w:color="538135" w:themeColor="accent6" w:themeShade="BF"/>
            </w:tcBorders>
          </w:tcPr>
          <w:p w14:paraId="0570C8D8" w14:textId="77777777" w:rsidR="006914B2" w:rsidRPr="00F350A6" w:rsidRDefault="006914B2" w:rsidP="007C08CE">
            <w:pPr>
              <w:keepNext/>
              <w:rPr>
                <w:b/>
              </w:rPr>
            </w:pPr>
            <w:r>
              <w:rPr>
                <w:b/>
              </w:rPr>
              <w:t>Results</w:t>
            </w:r>
          </w:p>
        </w:tc>
        <w:tc>
          <w:tcPr>
            <w:tcW w:w="1843" w:type="dxa"/>
            <w:tcBorders>
              <w:bottom w:val="single" w:sz="4" w:space="0" w:color="538135" w:themeColor="accent6" w:themeShade="BF"/>
            </w:tcBorders>
          </w:tcPr>
          <w:p w14:paraId="52D5AD81" w14:textId="77777777" w:rsidR="006914B2" w:rsidRPr="00F350A6" w:rsidRDefault="006914B2" w:rsidP="007C08CE">
            <w:pPr>
              <w:keepNext/>
              <w:rPr>
                <w:b/>
              </w:rPr>
            </w:pPr>
            <w:r>
              <w:rPr>
                <w:b/>
              </w:rPr>
              <w:t>Comments</w:t>
            </w:r>
          </w:p>
        </w:tc>
      </w:tr>
      <w:tr w:rsidR="00205C8B" w:rsidRPr="00343DBA" w14:paraId="4122683C" w14:textId="77777777" w:rsidTr="0097700A">
        <w:trPr>
          <w:cantSplit/>
          <w:trHeight w:val="390"/>
        </w:trPr>
        <w:tc>
          <w:tcPr>
            <w:tcW w:w="1280" w:type="dxa"/>
          </w:tcPr>
          <w:p w14:paraId="60059C43" w14:textId="31E60502" w:rsidR="00205C8B" w:rsidRDefault="00205C8B" w:rsidP="00F20A8C">
            <w:r>
              <w:t>Ha et al 2017</w:t>
            </w:r>
            <w:r w:rsidR="00767EBF">
              <w:fldChar w:fldCharType="begin">
                <w:fldData xml:space="preserve">PEVuZE5vdGU+PENpdGU+PEF1dGhvcj5IYTwvQXV0aG9yPjxZZWFyPjIwMTc8L1llYXI+PFJlY051
bT4xMzY2PC9SZWNOdW0+PERpc3BsYXlUZXh0PjxzdHlsZSBmYWNlPSJzdXBlcnNjcmlwdCIgZm9u
dD0iVHJlYnVjaGV0IE1TIiBzaXplPSI5Ij41NDwvc3R5bGU+PC9EaXNwbGF5VGV4dD48cmVjb3Jk
PjxyZWMtbnVtYmVyPjEzNjY8L3JlYy1udW1iZXI+PGZvcmVpZ24ta2V5cz48a2V5IGFwcD0iRU4i
IGRiLWlkPSJleHZhc3JmeDJkdHJhb2VzYXN4cDJzenN4YTJkZjUwMjU5MngiIHRpbWVzdGFtcD0i
MTU2NzAzMTA3MiI+MTM2Njwva2V5PjxrZXkgYXBwPSJFTldlYiIgZGItaWQ9IiI+MDwva2V5Pjwv
Zm9yZWlnbi1rZXlzPjxyZWYtdHlwZSBuYW1lPSJKb3VybmFsIEFydGljbGUiPjE3PC9yZWYtdHlw
ZT48Y29udHJpYnV0b3JzPjxhdXRob3JzPjxhdXRob3I+SGEsIFYuPC9hdXRob3I+PGF1dGhvcj5C
b25uZXIsIEEuIEouPC9hdXRob3I+PGF1dGhvcj5KYWRvbywgSi4gSy48L2F1dGhvcj48YXV0aG9y
PkJleWVuZSwgSi48L2F1dGhvcj48YXV0aG9yPkFuYW5kLCBTLiBTLjwvYXV0aG9yPjxhdXRob3I+
ZGUgU291emEsIFIuIEouPC9hdXRob3I+PC9hdXRob3JzPjwvY29udHJpYnV0b3JzPjxhdXRoLWFk
ZHJlc3M+RGVwYXJ0bWVudCBvZiBIZWFsdGggUmVzZWFyY2ggTWV0aG9kcywgRXZpZGVuY2UsIGFu
ZCBJbXBhY3QsIEZhY3VsdHkgb2YgSGVhbHRoIFNjaWVuY2VzLCBNY01hc3RlciBVbml2ZXJzaXR5
LCBIYW1pbHRvbiwgT250YXJpbywgQ2FuYWRhLiYjeEQ7UG9wdWxhdGlvbiBHZW5vbWljcyBQcm9n
cmFtLCBDaGFuY2hsYW5pIFJlc2VhcmNoIENlbnRyZSwgTWNNYXN0ZXIgVW5pdmVyc2l0eSwgSGFt
aWx0b24sIE9udGFyaW8sIENhbmFkYS4mI3hEO1RoZSBEYWxsYSBMYW5hIFNjaG9vbCBvZiBQdWJs
aWMgSGVhbHRoLCBGYWN1bHR5IG9mIE1lZGljaW5lLCBVbml2ZXJzaXR5IG9mIFRvcm9udG8sIFRv
cm9udG8sIE9OLCBDYW5hZGEuJiN4RDtUaGUgSG9zcGl0YWwgZm9yIFNpY2sgQ2hpbGRyZW4gUmVz
ZWFyY2ggSW5zdGl0dXRlLCBUb3JvbnRvLCBPTiwgQ2FuYWRhLiYjeEQ7RGVwYXJ0bWVudCBvZiBN
ZWRpY2luZSwgRmFjdWx0eSBvZiBIZWFsdGggU2NpZW5jZXMsIE1jTWFzdGVyIFVuaXZlcnNpdHks
IEhhbWlsdG9uLCBPbnRhcmlvLCBDYW5hZGEuJiN4RDtQb3B1bGF0aW9uIEhlYWx0aCBSZXNlYXJj
aCBJbnN0aXR1dGUsIEhhbWlsdG9uIEhlYWx0aCBTY2llbmNlcywgTWNNYXN0ZXIgVW5pdmVyc2l0
eSwgSGFtaWx0b24sIE9udGFyaW8sIENhbmFkYS4mI3hEO0dlbmVyYWwgSG9zcGl0YWwgQ2FtcHVz
LCBIYW1pbHRvbiwgT250YXJpbywgQ2FuYWRhLjwvYXV0aC1hZGRyZXNzPjx0aXRsZXM+PHRpdGxl
PlRoZSBlZmZlY3RzIG9mIHZhcmlvdXMgZGlldHMgb24gZ2x5Y2VtaWMgb3V0Y29tZXMgZHVyaW5n
IHByZWduYW5jeTogQSBzeXN0ZW1hdGljIHJldmlldyBhbmQgbmV0d29yayBtZXRhLWFuYWx5c2lz
PC90aXRsZT48c2Vjb25kYXJ5LXRpdGxlPlBMb1MgT25lPC9zZWNvbmRhcnktdGl0bGU+PC90aXRs
ZXM+PHBlcmlvZGljYWw+PGZ1bGwtdGl0bGU+UExvUyBPbmU8L2Z1bGwtdGl0bGU+PC9wZXJpb2Rp
Y2FsPjxwYWdlcz5lMDE4MjA5NTwvcGFnZXM+PHZvbHVtZT4xMjwvdm9sdW1lPjxudW1iZXI+ODwv
bnVtYmVyPjxlZGl0aW9uPjIwMTcvMDgvMDU8L2VkaXRpb24+PGtleXdvcmRzPjxrZXl3b3JkPkJh
eWVzIFRoZW9yZW08L2tleXdvcmQ+PGtleXdvcmQ+Qmxvb2QgR2x1Y29zZS9hbmFseXNpczwva2V5
d29yZD48a2V5d29yZD5EYXRhYmFzZXMsIEZhY3R1YWw8L2tleXdvcmQ+PGtleXdvcmQ+RGlhYmV0
ZXMsIEdlc3RhdGlvbmFsL2RydWcgdGhlcmFweTwva2V5d29yZD48a2V5d29yZD4qRGlldDwva2V5
d29yZD48a2V5d29yZD5GZW1hbGU8L2tleXdvcmQ+PGtleXdvcmQ+R2x5Y2F0ZWQgSGVtb2dsb2Jp
biBBL2FuYWx5c2lzPC9rZXl3b3JkPjxrZXl3b3JkPkh1bWFuczwva2V5d29yZD48a2V5d29yZD5J
bnN1bGluL2Jsb29kL3RoZXJhcGV1dGljIHVzZTwva2V5d29yZD48a2V5d29yZD5QcmVnbmFuY3k8
L2tleXdvcmQ+PGtleXdvcmQ+V2VpZ2h0IEdhaW48L2tleXdvcmQ+PC9rZXl3b3Jkcz48ZGF0ZXM+
PHllYXI+MjAxNzwveWVhcj48L2RhdGVzPjxpc2JuPjE5MzItNjIwMyAoRWxlY3Ryb25pYykmI3hE
OzE5MzItNjIwMyAoTGlua2luZyk8L2lzYm4+PGFjY2Vzc2lvbi1udW0+Mjg3NzE1MTk8L2FjY2Vz
c2lvbi1udW0+PHVybHM+PHJlbGF0ZWQtdXJscz48dXJsPmh0dHBzOi8vd3d3Lm5jYmkubmxtLm5p
aC5nb3YvcHVibWVkLzI4NzcxNTE5PC91cmw+PC9yZWxhdGVkLXVybHM+PC91cmxzPjxjdXN0b20y
PlBNQzU1NDI0MzI8L2N1c3RvbTI+PGVsZWN0cm9uaWMtcmVzb3VyY2UtbnVtPjEwLjEzNzEvam91
cm5hbC5wb25lLjAxODIwOTU8L2VsZWN0cm9uaWMtcmVzb3VyY2UtbnVtPjwvcmVjb3JkPjwvQ2l0
ZT48L0VuZE5vdGU+AG==
</w:fldData>
              </w:fldChar>
            </w:r>
            <w:r w:rsidR="002747EA">
              <w:instrText xml:space="preserve"> ADDIN EN.CITE </w:instrText>
            </w:r>
            <w:r w:rsidR="002747EA">
              <w:fldChar w:fldCharType="begin">
                <w:fldData xml:space="preserve">PEVuZE5vdGU+PENpdGU+PEF1dGhvcj5IYTwvQXV0aG9yPjxZZWFyPjIwMTc8L1llYXI+PFJlY051
bT4xMzY2PC9SZWNOdW0+PERpc3BsYXlUZXh0PjxzdHlsZSBmYWNlPSJzdXBlcnNjcmlwdCIgZm9u
dD0iVHJlYnVjaGV0IE1TIiBzaXplPSI5Ij41NDwvc3R5bGU+PC9EaXNwbGF5VGV4dD48cmVjb3Jk
PjxyZWMtbnVtYmVyPjEzNjY8L3JlYy1udW1iZXI+PGZvcmVpZ24ta2V5cz48a2V5IGFwcD0iRU4i
IGRiLWlkPSJleHZhc3JmeDJkdHJhb2VzYXN4cDJzenN4YTJkZjUwMjU5MngiIHRpbWVzdGFtcD0i
MTU2NzAzMTA3MiI+MTM2Njwva2V5PjxrZXkgYXBwPSJFTldlYiIgZGItaWQ9IiI+MDwva2V5Pjwv
Zm9yZWlnbi1rZXlzPjxyZWYtdHlwZSBuYW1lPSJKb3VybmFsIEFydGljbGUiPjE3PC9yZWYtdHlw
ZT48Y29udHJpYnV0b3JzPjxhdXRob3JzPjxhdXRob3I+SGEsIFYuPC9hdXRob3I+PGF1dGhvcj5C
b25uZXIsIEEuIEouPC9hdXRob3I+PGF1dGhvcj5KYWRvbywgSi4gSy48L2F1dGhvcj48YXV0aG9y
PkJleWVuZSwgSi48L2F1dGhvcj48YXV0aG9yPkFuYW5kLCBTLiBTLjwvYXV0aG9yPjxhdXRob3I+
ZGUgU291emEsIFIuIEouPC9hdXRob3I+PC9hdXRob3JzPjwvY29udHJpYnV0b3JzPjxhdXRoLWFk
ZHJlc3M+RGVwYXJ0bWVudCBvZiBIZWFsdGggUmVzZWFyY2ggTWV0aG9kcywgRXZpZGVuY2UsIGFu
ZCBJbXBhY3QsIEZhY3VsdHkgb2YgSGVhbHRoIFNjaWVuY2VzLCBNY01hc3RlciBVbml2ZXJzaXR5
LCBIYW1pbHRvbiwgT250YXJpbywgQ2FuYWRhLiYjeEQ7UG9wdWxhdGlvbiBHZW5vbWljcyBQcm9n
cmFtLCBDaGFuY2hsYW5pIFJlc2VhcmNoIENlbnRyZSwgTWNNYXN0ZXIgVW5pdmVyc2l0eSwgSGFt
aWx0b24sIE9udGFyaW8sIENhbmFkYS4mI3hEO1RoZSBEYWxsYSBMYW5hIFNjaG9vbCBvZiBQdWJs
aWMgSGVhbHRoLCBGYWN1bHR5IG9mIE1lZGljaW5lLCBVbml2ZXJzaXR5IG9mIFRvcm9udG8sIFRv
cm9udG8sIE9OLCBDYW5hZGEuJiN4RDtUaGUgSG9zcGl0YWwgZm9yIFNpY2sgQ2hpbGRyZW4gUmVz
ZWFyY2ggSW5zdGl0dXRlLCBUb3JvbnRvLCBPTiwgQ2FuYWRhLiYjeEQ7RGVwYXJ0bWVudCBvZiBN
ZWRpY2luZSwgRmFjdWx0eSBvZiBIZWFsdGggU2NpZW5jZXMsIE1jTWFzdGVyIFVuaXZlcnNpdHks
IEhhbWlsdG9uLCBPbnRhcmlvLCBDYW5hZGEuJiN4RDtQb3B1bGF0aW9uIEhlYWx0aCBSZXNlYXJj
aCBJbnN0aXR1dGUsIEhhbWlsdG9uIEhlYWx0aCBTY2llbmNlcywgTWNNYXN0ZXIgVW5pdmVyc2l0
eSwgSGFtaWx0b24sIE9udGFyaW8sIENhbmFkYS4mI3hEO0dlbmVyYWwgSG9zcGl0YWwgQ2FtcHVz
LCBIYW1pbHRvbiwgT250YXJpbywgQ2FuYWRhLjwvYXV0aC1hZGRyZXNzPjx0aXRsZXM+PHRpdGxl
PlRoZSBlZmZlY3RzIG9mIHZhcmlvdXMgZGlldHMgb24gZ2x5Y2VtaWMgb3V0Y29tZXMgZHVyaW5n
IHByZWduYW5jeTogQSBzeXN0ZW1hdGljIHJldmlldyBhbmQgbmV0d29yayBtZXRhLWFuYWx5c2lz
PC90aXRsZT48c2Vjb25kYXJ5LXRpdGxlPlBMb1MgT25lPC9zZWNvbmRhcnktdGl0bGU+PC90aXRs
ZXM+PHBlcmlvZGljYWw+PGZ1bGwtdGl0bGU+UExvUyBPbmU8L2Z1bGwtdGl0bGU+PC9wZXJpb2Rp
Y2FsPjxwYWdlcz5lMDE4MjA5NTwvcGFnZXM+PHZvbHVtZT4xMjwvdm9sdW1lPjxudW1iZXI+ODwv
bnVtYmVyPjxlZGl0aW9uPjIwMTcvMDgvMDU8L2VkaXRpb24+PGtleXdvcmRzPjxrZXl3b3JkPkJh
eWVzIFRoZW9yZW08L2tleXdvcmQ+PGtleXdvcmQ+Qmxvb2QgR2x1Y29zZS9hbmFseXNpczwva2V5
d29yZD48a2V5d29yZD5EYXRhYmFzZXMsIEZhY3R1YWw8L2tleXdvcmQ+PGtleXdvcmQ+RGlhYmV0
ZXMsIEdlc3RhdGlvbmFsL2RydWcgdGhlcmFweTwva2V5d29yZD48a2V5d29yZD4qRGlldDwva2V5
d29yZD48a2V5d29yZD5GZW1hbGU8L2tleXdvcmQ+PGtleXdvcmQ+R2x5Y2F0ZWQgSGVtb2dsb2Jp
biBBL2FuYWx5c2lzPC9rZXl3b3JkPjxrZXl3b3JkPkh1bWFuczwva2V5d29yZD48a2V5d29yZD5J
bnN1bGluL2Jsb29kL3RoZXJhcGV1dGljIHVzZTwva2V5d29yZD48a2V5d29yZD5QcmVnbmFuY3k8
L2tleXdvcmQ+PGtleXdvcmQ+V2VpZ2h0IEdhaW48L2tleXdvcmQ+PC9rZXl3b3Jkcz48ZGF0ZXM+
PHllYXI+MjAxNzwveWVhcj48L2RhdGVzPjxpc2JuPjE5MzItNjIwMyAoRWxlY3Ryb25pYykmI3hE
OzE5MzItNjIwMyAoTGlua2luZyk8L2lzYm4+PGFjY2Vzc2lvbi1udW0+Mjg3NzE1MTk8L2FjY2Vz
c2lvbi1udW0+PHVybHM+PHJlbGF0ZWQtdXJscz48dXJsPmh0dHBzOi8vd3d3Lm5jYmkubmxtLm5p
aC5nb3YvcHVibWVkLzI4NzcxNTE5PC91cmw+PC9yZWxhdGVkLXVybHM+PC91cmxzPjxjdXN0b20y
PlBNQzU1NDI0MzI8L2N1c3RvbTI+PGVsZWN0cm9uaWMtcmVzb3VyY2UtbnVtPjEwLjEzNzEvam91
cm5hbC5wb25lLjAxODIwOTU8L2VsZWN0cm9uaWMtcmVzb3VyY2UtbnVtPjwvcmVjb3JkPjwvQ2l0
ZT48L0VuZE5vdGU+AG==
</w:fldData>
              </w:fldChar>
            </w:r>
            <w:r w:rsidR="002747EA">
              <w:instrText xml:space="preserve"> ADDIN EN.CITE.DATA </w:instrText>
            </w:r>
            <w:r w:rsidR="002747EA">
              <w:fldChar w:fldCharType="end"/>
            </w:r>
            <w:r w:rsidR="00767EBF">
              <w:fldChar w:fldCharType="separate"/>
            </w:r>
            <w:r w:rsidR="002747EA" w:rsidRPr="002747EA">
              <w:rPr>
                <w:noProof/>
                <w:vertAlign w:val="superscript"/>
              </w:rPr>
              <w:t>54</w:t>
            </w:r>
            <w:r w:rsidR="00767EBF">
              <w:fldChar w:fldCharType="end"/>
            </w:r>
          </w:p>
          <w:p w14:paraId="6848DD1E" w14:textId="64A2D5E5" w:rsidR="00205C8B" w:rsidRPr="00343DBA" w:rsidRDefault="00205C8B" w:rsidP="0097700A">
            <w:r>
              <w:t>SLR</w:t>
            </w:r>
          </w:p>
        </w:tc>
        <w:tc>
          <w:tcPr>
            <w:tcW w:w="1271" w:type="dxa"/>
          </w:tcPr>
          <w:p w14:paraId="4E57C866" w14:textId="77777777" w:rsidR="00205C8B" w:rsidRDefault="00205C8B" w:rsidP="00F20A8C">
            <w:r>
              <w:t>21 studies</w:t>
            </w:r>
          </w:p>
          <w:p w14:paraId="18AFDE9A" w14:textId="77777777" w:rsidR="00205C8B" w:rsidRPr="00343DBA" w:rsidRDefault="00205C8B" w:rsidP="00F20A8C">
            <w:r>
              <w:t>1,865 women</w:t>
            </w:r>
          </w:p>
        </w:tc>
        <w:tc>
          <w:tcPr>
            <w:tcW w:w="4962" w:type="dxa"/>
          </w:tcPr>
          <w:p w14:paraId="2DFB82DA" w14:textId="3EB42082" w:rsidR="00205C8B" w:rsidRDefault="00205C8B" w:rsidP="00F20A8C">
            <w:r w:rsidRPr="005C39B9">
              <w:rPr>
                <w:b/>
              </w:rPr>
              <w:t>Aim</w:t>
            </w:r>
            <w:r>
              <w:t>: T</w:t>
            </w:r>
            <w:r w:rsidRPr="00343DBA">
              <w:t xml:space="preserve">o compare the effects of various common diets, stratified by the addition of gestational weight gain advice, on fasting glucose and insulin, </w:t>
            </w:r>
            <w:r w:rsidR="00501148" w:rsidRPr="00343DBA">
              <w:t>haemoglobin</w:t>
            </w:r>
            <w:r w:rsidRPr="00343DBA">
              <w:t xml:space="preserve"> A1c (HbA1c), and homeostatic model assessment for insulin resistance (HOMA-IR) in pregnant women. </w:t>
            </w:r>
          </w:p>
          <w:p w14:paraId="24D7B4EC" w14:textId="046D170E" w:rsidR="00205C8B" w:rsidRPr="00343DBA" w:rsidRDefault="00205C8B" w:rsidP="00F20A8C">
            <w:r w:rsidRPr="005C39B9">
              <w:rPr>
                <w:b/>
              </w:rPr>
              <w:t>Methods</w:t>
            </w:r>
            <w:r w:rsidRPr="00343DBA">
              <w:t>: MEDLINE, EMBASE, Cochrane database, and reference lists of published studies were searc</w:t>
            </w:r>
            <w:r>
              <w:t>hed through April 2017. Randomis</w:t>
            </w:r>
            <w:r w:rsidRPr="00343DBA">
              <w:t xml:space="preserve">ed trials directly comparing two or more diets for </w:t>
            </w:r>
            <w:r>
              <w:t>≥</w:t>
            </w:r>
            <w:r w:rsidRPr="00343DBA">
              <w:t>2-weeks were eligible. Bayesian network meta-analysis was performed for fasting glucose. Owing to a lack of similar dietary comparisons, a standard pairwise meta-analysis for the other glyc</w:t>
            </w:r>
            <w:r>
              <w:t>a</w:t>
            </w:r>
            <w:r w:rsidRPr="00343DBA">
              <w:t xml:space="preserve">emic outcomes was performed. The </w:t>
            </w:r>
            <w:r w:rsidR="00655EFD">
              <w:t>quality</w:t>
            </w:r>
            <w:r w:rsidRPr="00343DBA">
              <w:t xml:space="preserve"> of the pooled effect estimates was assessed using the GRADE tool. </w:t>
            </w:r>
          </w:p>
        </w:tc>
        <w:tc>
          <w:tcPr>
            <w:tcW w:w="4536" w:type="dxa"/>
          </w:tcPr>
          <w:p w14:paraId="18D858B4" w14:textId="20E8E6A6" w:rsidR="00205C8B" w:rsidRPr="00343DBA" w:rsidRDefault="00205C8B" w:rsidP="00F20A8C">
            <w:r w:rsidRPr="00343DBA">
              <w:t xml:space="preserve">In the absence of gestational weight gain </w:t>
            </w:r>
            <w:r>
              <w:t>advice</w:t>
            </w:r>
            <w:r w:rsidRPr="00343DBA">
              <w:t>, fasting glucose improved in DASH-styl</w:t>
            </w:r>
            <w:r>
              <w:t xml:space="preserve">e diets compared to standard </w:t>
            </w:r>
            <w:r w:rsidRPr="00343DBA">
              <w:t>care</w:t>
            </w:r>
            <w:r>
              <w:t xml:space="preserve"> (MD -0.47; 95%CI -0.73 to -0.21; 3 studies; n=99; moderate </w:t>
            </w:r>
            <w:r w:rsidR="00836F2D">
              <w:t>certainty</w:t>
            </w:r>
            <w:r>
              <w:t>)</w:t>
            </w:r>
            <w:r w:rsidRPr="00343DBA">
              <w:t xml:space="preserve">. </w:t>
            </w:r>
          </w:p>
        </w:tc>
        <w:tc>
          <w:tcPr>
            <w:tcW w:w="1843" w:type="dxa"/>
          </w:tcPr>
          <w:p w14:paraId="3ECFB368" w14:textId="77777777" w:rsidR="00205C8B" w:rsidRPr="00343DBA" w:rsidRDefault="00205C8B" w:rsidP="00F20A8C">
            <w:r>
              <w:t>M</w:t>
            </w:r>
            <w:r w:rsidRPr="00343DBA">
              <w:t>ost dietary comparisons were underpowered to detect differences in glyc</w:t>
            </w:r>
            <w:r>
              <w:t>a</w:t>
            </w:r>
            <w:r w:rsidRPr="00343DBA">
              <w:t xml:space="preserve">emic outcomes. </w:t>
            </w:r>
          </w:p>
        </w:tc>
      </w:tr>
    </w:tbl>
    <w:p w14:paraId="7CC55F73" w14:textId="4A0A3546" w:rsidR="00DD53FF" w:rsidRDefault="009C163D" w:rsidP="005719CE">
      <w:pPr>
        <w:pStyle w:val="TableName"/>
        <w:ind w:left="1134" w:hanging="1134"/>
      </w:pPr>
      <w:bookmarkStart w:id="38" w:name="_Toc40956595"/>
      <w:r>
        <w:t xml:space="preserve">Q1 </w:t>
      </w:r>
      <w:r w:rsidR="00DD53FF" w:rsidRPr="0024655E">
        <w:t>Dietary Approaches to Stop Hypertension (DASH)</w:t>
      </w:r>
      <w:r w:rsidR="00DD53FF" w:rsidRPr="0024655E">
        <w:rPr>
          <w:rFonts w:eastAsiaTheme="majorEastAsia"/>
        </w:rPr>
        <w:t> </w:t>
      </w:r>
      <w:r w:rsidR="00DD53FF" w:rsidRPr="0024655E">
        <w:t xml:space="preserve">diet </w:t>
      </w:r>
      <w:r w:rsidR="00CD0392">
        <w:t xml:space="preserve">in pregnancy </w:t>
      </w:r>
      <w:r w:rsidR="00DD53FF" w:rsidRPr="0024655E">
        <w:t xml:space="preserve">— </w:t>
      </w:r>
      <w:r w:rsidR="00DD53FF">
        <w:t>observational studies</w:t>
      </w:r>
      <w:bookmarkEnd w:id="3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7: Q1 Dietary Approaches to Stop Hypertension (DASH) diet in pregnancy — observational studies"/>
      </w:tblPr>
      <w:tblGrid>
        <w:gridCol w:w="1280"/>
        <w:gridCol w:w="1271"/>
        <w:gridCol w:w="4962"/>
        <w:gridCol w:w="4536"/>
        <w:gridCol w:w="1843"/>
      </w:tblGrid>
      <w:tr w:rsidR="00DD53FF" w:rsidRPr="00F350A6" w14:paraId="42FC698C" w14:textId="77777777" w:rsidTr="003A3C7D">
        <w:trPr>
          <w:cantSplit/>
          <w:trHeight w:val="390"/>
          <w:tblHeader/>
        </w:trPr>
        <w:tc>
          <w:tcPr>
            <w:tcW w:w="1280" w:type="dxa"/>
            <w:tcBorders>
              <w:bottom w:val="single" w:sz="4" w:space="0" w:color="538135" w:themeColor="accent6" w:themeShade="BF"/>
            </w:tcBorders>
          </w:tcPr>
          <w:p w14:paraId="3AEBB1A5" w14:textId="77777777" w:rsidR="00DD53FF" w:rsidRPr="00F350A6" w:rsidRDefault="00DD53FF" w:rsidP="003A3C7D">
            <w:pPr>
              <w:keepNext/>
              <w:rPr>
                <w:b/>
              </w:rPr>
            </w:pPr>
            <w:r>
              <w:rPr>
                <w:b/>
              </w:rPr>
              <w:t>Study ref</w:t>
            </w:r>
          </w:p>
        </w:tc>
        <w:tc>
          <w:tcPr>
            <w:tcW w:w="1271" w:type="dxa"/>
            <w:tcBorders>
              <w:bottom w:val="single" w:sz="4" w:space="0" w:color="538135" w:themeColor="accent6" w:themeShade="BF"/>
            </w:tcBorders>
          </w:tcPr>
          <w:p w14:paraId="7F0ACBF2" w14:textId="77777777" w:rsidR="00DD53FF" w:rsidRPr="00F350A6" w:rsidRDefault="00DD53FF" w:rsidP="003A3C7D">
            <w:pPr>
              <w:keepNext/>
              <w:rPr>
                <w:b/>
              </w:rPr>
            </w:pPr>
            <w:r>
              <w:rPr>
                <w:b/>
              </w:rPr>
              <w:t>N</w:t>
            </w:r>
          </w:p>
        </w:tc>
        <w:tc>
          <w:tcPr>
            <w:tcW w:w="4962" w:type="dxa"/>
            <w:tcBorders>
              <w:bottom w:val="single" w:sz="4" w:space="0" w:color="538135" w:themeColor="accent6" w:themeShade="BF"/>
            </w:tcBorders>
          </w:tcPr>
          <w:p w14:paraId="5C3F0E47" w14:textId="77777777" w:rsidR="00DD53FF" w:rsidRPr="00F350A6" w:rsidRDefault="00DD53FF" w:rsidP="003A3C7D">
            <w:pPr>
              <w:keepNext/>
              <w:rPr>
                <w:b/>
              </w:rPr>
            </w:pPr>
            <w:r>
              <w:rPr>
                <w:b/>
              </w:rPr>
              <w:t>Aim/methods</w:t>
            </w:r>
          </w:p>
        </w:tc>
        <w:tc>
          <w:tcPr>
            <w:tcW w:w="4536" w:type="dxa"/>
            <w:tcBorders>
              <w:bottom w:val="single" w:sz="4" w:space="0" w:color="538135" w:themeColor="accent6" w:themeShade="BF"/>
            </w:tcBorders>
          </w:tcPr>
          <w:p w14:paraId="7A13B44C" w14:textId="77777777" w:rsidR="00DD53FF" w:rsidRPr="00F350A6" w:rsidRDefault="00DD53FF" w:rsidP="003A3C7D">
            <w:pPr>
              <w:keepNext/>
              <w:rPr>
                <w:b/>
              </w:rPr>
            </w:pPr>
            <w:r>
              <w:rPr>
                <w:b/>
              </w:rPr>
              <w:t>Results</w:t>
            </w:r>
          </w:p>
        </w:tc>
        <w:tc>
          <w:tcPr>
            <w:tcW w:w="1843" w:type="dxa"/>
            <w:tcBorders>
              <w:bottom w:val="single" w:sz="4" w:space="0" w:color="538135" w:themeColor="accent6" w:themeShade="BF"/>
            </w:tcBorders>
          </w:tcPr>
          <w:p w14:paraId="60F8C723" w14:textId="77777777" w:rsidR="00DD53FF" w:rsidRPr="00F350A6" w:rsidRDefault="00DD53FF" w:rsidP="003A3C7D">
            <w:pPr>
              <w:keepNext/>
              <w:rPr>
                <w:b/>
              </w:rPr>
            </w:pPr>
            <w:r>
              <w:rPr>
                <w:b/>
              </w:rPr>
              <w:t>Comments</w:t>
            </w:r>
          </w:p>
        </w:tc>
      </w:tr>
      <w:tr w:rsidR="00790D63" w:rsidRPr="00C8357D" w14:paraId="30F4A979" w14:textId="77777777" w:rsidTr="001E044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280"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56BB8F8" w14:textId="4B023E97" w:rsidR="00790D63" w:rsidRDefault="00790D63" w:rsidP="00142208">
            <w:r>
              <w:t>Fulay et al 2018</w:t>
            </w:r>
            <w:r>
              <w:fldChar w:fldCharType="begin">
                <w:fldData xml:space="preserve">PEVuZE5vdGU+PENpdGU+PEF1dGhvcj5GdWxheTwvQXV0aG9yPjxZZWFyPjIwMTg8L1llYXI+PFJl
Y051bT4xNDAxPC9SZWNOdW0+PERpc3BsYXlUZXh0PjxzdHlsZSBmYWNlPSJzdXBlcnNjcmlwdCIg
Zm9udD0iVHJlYnVjaGV0IE1TIiBzaXplPSI5Ij42MDwvc3R5bGU+PC9EaXNwbGF5VGV4dD48cmVj
b3JkPjxyZWMtbnVtYmVyPjE0MDE8L3JlYy1udW1iZXI+PGZvcmVpZ24ta2V5cz48a2V5IGFwcD0i
RU4iIGRiLWlkPSJleHZhc3JmeDJkdHJhb2VzYXN4cDJzenN4YTJkZjUwMjU5MngiIHRpbWVzdGFt
cD0iMTU2NzkyNDUwOCI+MTQwMTwva2V5PjxrZXkgYXBwPSJFTldlYiIgZGItaWQ9IiI+MDwva2V5
PjwvZm9yZWlnbi1rZXlzPjxyZWYtdHlwZSBuYW1lPSJKb3VybmFsIEFydGljbGUiPjE3PC9yZWYt
dHlwZT48Y29udHJpYnV0b3JzPjxhdXRob3JzPjxhdXRob3I+RnVsYXksIEEuIFAuPC9hdXRob3I+
PGF1dGhvcj5SaWZhcy1TaGltYW4sIFMuIEwuPC9hdXRob3I+PGF1dGhvcj5Pa2VuLCBFLjwvYXV0
aG9yPjxhdXRob3I+UGVybmcsIFcuPC9hdXRob3I+PC9hdXRob3JzPjwvY29udHJpYnV0b3JzPjxh
dXRoLWFkZHJlc3M+RGVwYXJ0bWVudCBvZiBOdXRyaXRpb25hbCBTY2llbmNlcywgVW5pdmVyc2l0
eSBvZiBNaWNoaWdhbiBTY2hvb2wgb2YgUHVibGljIEhlYWx0aCwgMTQxNSBXYXNoaW5ndG9uIEhl
aWdodHMsIEFubiBBcmJvciwgTUksIDQxODA5LCBVU0EuJiN4RDtUaGUgRGl2aXNpb24gb2YgQ2hy
b25pYyBEaXNlYXNlIFJlc2VhcmNoIEFjcm9zcyB0aGUgTGlmZWNvdXJzZSAoQ29SQUwpLCBEZXBh
cnRtZW50IG9mIFBvcHVsYXRpb24gTWVkaWNpbmUsIEhhcnZhcmQgTWVkaWNhbCBTY2hvb2wgYW5k
IEhhcnZhcmQgUGlsZ3JpbSBIZWFsdGhjYXJlIEluc3RpdHV0ZSwgNDAxIFBhcmsgRHJpdmUsIEJv
c3RvbiwgTUEsIDAyMjE1LCBVU0EuJiN4RDtEZXBhcnRtZW50IG9mIE51dHJpdGlvbiwgSGFydmFy
ZCBULkguIENoYW4gU2Nob29sIG9mIFB1YmxpYyBIZWFsdGgsIEJvc3RvbiwgTUEsIDAyMTE1LCBV
U0EuJiN4RDtEZXBhcnRtZW50IG9mIE51dHJpdGlvbmFsIFNjaWVuY2VzLCBVbml2ZXJzaXR5IG9m
IE1pY2hpZ2FuIFNjaG9vbCBvZiBQdWJsaWMgSGVhbHRoLCAxNDE1IFdhc2hpbmd0b24gSGVpZ2h0
cywgQW5uIEFyYm9yLCBNSSwgNDE4MDksIFVTQS4gcGVybmd3ZWlAdW1pY2guZWR1LiYjeEQ7RGVw
YXJ0bWVudCBvZiBFcGlkZW1pb2xvZ3ksIFVuaXZlcnNpdHkgb2YgTWljaGlnYW4gU2Nob29sIG9m
IFB1YmxpYyBIZWFsdGgsIDE0MTUgV2FzaGluZ3RvbiBIZWlnaHRzLCBBbm4gQXJib3IsIE1JLCA0
MTgwOSwgVVNBLiBwZXJuZ3dlaUB1bWljaC5lZHUuPC9hdXRoLWFkZHJlc3M+PHRpdGxlcz48dGl0
bGU+QXNzb2NpYXRpb25zIG9mIHRoZSBkaWV0YXJ5IGFwcHJvYWNoZXMgdG8gc3RvcCBoeXBlcnRl
bnNpb24gKERBU0gpIGRpZXQgd2l0aCBwcmVnbmFuY3kgY29tcGxpY2F0aW9ucyBpbiBQcm9qZWN0
IFZpdmE8L3RpdGxlPjxzZWNvbmRhcnktdGl0bGU+RXVyIEogQ2xpbiBOdXRyPC9zZWNvbmRhcnkt
dGl0bGU+PC90aXRsZXM+PHBlcmlvZGljYWw+PGZ1bGwtdGl0bGU+RXVyIEogQ2xpbiBOdXRyPC9m
dWxsLXRpdGxlPjwvcGVyaW9kaWNhbD48cGFnZXM+MTM4NS0xMzk1PC9wYWdlcz48dm9sdW1lPjcy
PC92b2x1bWU+PG51bWJlcj4xMDwvbnVtYmVyPjxlZGl0aW9uPjIwMTgvMDEvMTg8L2VkaXRpb24+
PGtleXdvcmRzPjxrZXl3b3JkPkFkdWx0PC9rZXl3b3JkPjxrZXl3b3JkPkJpcnRoIFdlaWdodDwv
a2V5d29yZD48a2V5d29yZD4qQm9keSBNYXNzIEluZGV4PC9rZXl3b3JkPjxrZXl3b3JkPkJvc3Rv
bjwva2V5d29yZD48a2V5d29yZD5Db2hvcnQgU3R1ZGllczwva2V5d29yZD48a2V5d29yZD4qRGll
dGFyeSBBcHByb2FjaGVzIFRvIFN0b3AgSHlwZXJ0ZW5zaW9uPC9rZXl3b3JkPjxrZXl3b3JkPkZl
bWFsZTwva2V5d29yZD48a2V5d29yZD4qR2VzdGF0aW9uYWwgV2VpZ2h0IEdhaW48L2tleXdvcmQ+
PGtleXdvcmQ+SHVtYW5zPC9rZXl3b3JkPjxrZXl3b3JkPipIeXBlcnRlbnNpb24sIFByZWduYW5j
eS1JbmR1Y2VkL2RpZXQgdGhlcmFweTwva2V5d29yZD48a2V5d29yZD5JbmZhbnQsIE5ld2Jvcm48
L2tleXdvcmQ+PGtleXdvcmQ+T2Jlc2l0eS9jb21wbGljYXRpb25zPC9rZXl3b3JkPjxrZXl3b3Jk
PlByZWduYW5jeTwva2V5d29yZD48a2V5d29yZD4qUHJlZ25hbmN5IE91dGNvbWU8L2tleXdvcmQ+
PGtleXdvcmQ+UHJlbWF0dXJlIEJpcnRoPC9rZXl3b3JkPjxrZXl3b3JkPlN1cnZleXMgYW5kIFF1
ZXN0aW9ubmFpcmVzPC9rZXl3b3JkPjxrZXl3b3JkPipXZWlnaHQgR2Fpbjwva2V5d29yZD48L2tl
eXdvcmRzPjxkYXRlcz48eWVhcj4yMDE4PC95ZWFyPjxwdWItZGF0ZXM+PGRhdGU+T2N0PC9kYXRl
PjwvcHViLWRhdGVzPjwvZGF0ZXM+PGlzYm4+MTQ3Ni01NjQwIChFbGVjdHJvbmljKSYjeEQ7MDk1
NC0zMDA3IChMaW5raW5nKTwvaXNibj48YWNjZXNzaW9uLW51bT4yOTMzOTgyOTwvYWNjZXNzaW9u
LW51bT48dXJscz48cmVsYXRlZC11cmxzPjx1cmw+aHR0cHM6Ly93d3cubmNiaS5ubG0ubmloLmdv
di9wdWJtZWQvMjkzMzk4Mjk8L3VybD48L3JlbGF0ZWQtdXJscz48L3VybHM+PGN1c3RvbTI+UE1D
NjA1MDE1NjwvY3VzdG9tMj48ZWxlY3Ryb25pYy1yZXNvdXJjZS1udW0+MTAuMTAzOC9zNDE0MzAt
MDE3LTAwNjgtODwvZWxlY3Ryb25pYy1yZXNvdXJjZS1udW0+PC9yZWNvcmQ+PC9DaXRlPjwvRW5k
Tm90ZT4A
</w:fldData>
              </w:fldChar>
            </w:r>
            <w:r w:rsidR="002747EA">
              <w:instrText xml:space="preserve"> ADDIN EN.CITE </w:instrText>
            </w:r>
            <w:r w:rsidR="002747EA">
              <w:fldChar w:fldCharType="begin">
                <w:fldData xml:space="preserve">PEVuZE5vdGU+PENpdGU+PEF1dGhvcj5GdWxheTwvQXV0aG9yPjxZZWFyPjIwMTg8L1llYXI+PFJl
Y051bT4xNDAxPC9SZWNOdW0+PERpc3BsYXlUZXh0PjxzdHlsZSBmYWNlPSJzdXBlcnNjcmlwdCIg
Zm9udD0iVHJlYnVjaGV0IE1TIiBzaXplPSI5Ij42MDwvc3R5bGU+PC9EaXNwbGF5VGV4dD48cmVj
b3JkPjxyZWMtbnVtYmVyPjE0MDE8L3JlYy1udW1iZXI+PGZvcmVpZ24ta2V5cz48a2V5IGFwcD0i
RU4iIGRiLWlkPSJleHZhc3JmeDJkdHJhb2VzYXN4cDJzenN4YTJkZjUwMjU5MngiIHRpbWVzdGFt
cD0iMTU2NzkyNDUwOCI+MTQwMTwva2V5PjxrZXkgYXBwPSJFTldlYiIgZGItaWQ9IiI+MDwva2V5
PjwvZm9yZWlnbi1rZXlzPjxyZWYtdHlwZSBuYW1lPSJKb3VybmFsIEFydGljbGUiPjE3PC9yZWYt
dHlwZT48Y29udHJpYnV0b3JzPjxhdXRob3JzPjxhdXRob3I+RnVsYXksIEEuIFAuPC9hdXRob3I+
PGF1dGhvcj5SaWZhcy1TaGltYW4sIFMuIEwuPC9hdXRob3I+PGF1dGhvcj5Pa2VuLCBFLjwvYXV0
aG9yPjxhdXRob3I+UGVybmcsIFcuPC9hdXRob3I+PC9hdXRob3JzPjwvY29udHJpYnV0b3JzPjxh
dXRoLWFkZHJlc3M+RGVwYXJ0bWVudCBvZiBOdXRyaXRpb25hbCBTY2llbmNlcywgVW5pdmVyc2l0
eSBvZiBNaWNoaWdhbiBTY2hvb2wgb2YgUHVibGljIEhlYWx0aCwgMTQxNSBXYXNoaW5ndG9uIEhl
aWdodHMsIEFubiBBcmJvciwgTUksIDQxODA5LCBVU0EuJiN4RDtUaGUgRGl2aXNpb24gb2YgQ2hy
b25pYyBEaXNlYXNlIFJlc2VhcmNoIEFjcm9zcyB0aGUgTGlmZWNvdXJzZSAoQ29SQUwpLCBEZXBh
cnRtZW50IG9mIFBvcHVsYXRpb24gTWVkaWNpbmUsIEhhcnZhcmQgTWVkaWNhbCBTY2hvb2wgYW5k
IEhhcnZhcmQgUGlsZ3JpbSBIZWFsdGhjYXJlIEluc3RpdHV0ZSwgNDAxIFBhcmsgRHJpdmUsIEJv
c3RvbiwgTUEsIDAyMjE1LCBVU0EuJiN4RDtEZXBhcnRtZW50IG9mIE51dHJpdGlvbiwgSGFydmFy
ZCBULkguIENoYW4gU2Nob29sIG9mIFB1YmxpYyBIZWFsdGgsIEJvc3RvbiwgTUEsIDAyMTE1LCBV
U0EuJiN4RDtEZXBhcnRtZW50IG9mIE51dHJpdGlvbmFsIFNjaWVuY2VzLCBVbml2ZXJzaXR5IG9m
IE1pY2hpZ2FuIFNjaG9vbCBvZiBQdWJsaWMgSGVhbHRoLCAxNDE1IFdhc2hpbmd0b24gSGVpZ2h0
cywgQW5uIEFyYm9yLCBNSSwgNDE4MDksIFVTQS4gcGVybmd3ZWlAdW1pY2guZWR1LiYjeEQ7RGVw
YXJ0bWVudCBvZiBFcGlkZW1pb2xvZ3ksIFVuaXZlcnNpdHkgb2YgTWljaGlnYW4gU2Nob29sIG9m
IFB1YmxpYyBIZWFsdGgsIDE0MTUgV2FzaGluZ3RvbiBIZWlnaHRzLCBBbm4gQXJib3IsIE1JLCA0
MTgwOSwgVVNBLiBwZXJuZ3dlaUB1bWljaC5lZHUuPC9hdXRoLWFkZHJlc3M+PHRpdGxlcz48dGl0
bGU+QXNzb2NpYXRpb25zIG9mIHRoZSBkaWV0YXJ5IGFwcHJvYWNoZXMgdG8gc3RvcCBoeXBlcnRl
bnNpb24gKERBU0gpIGRpZXQgd2l0aCBwcmVnbmFuY3kgY29tcGxpY2F0aW9ucyBpbiBQcm9qZWN0
IFZpdmE8L3RpdGxlPjxzZWNvbmRhcnktdGl0bGU+RXVyIEogQ2xpbiBOdXRyPC9zZWNvbmRhcnkt
dGl0bGU+PC90aXRsZXM+PHBlcmlvZGljYWw+PGZ1bGwtdGl0bGU+RXVyIEogQ2xpbiBOdXRyPC9m
dWxsLXRpdGxlPjwvcGVyaW9kaWNhbD48cGFnZXM+MTM4NS0xMzk1PC9wYWdlcz48dm9sdW1lPjcy
PC92b2x1bWU+PG51bWJlcj4xMDwvbnVtYmVyPjxlZGl0aW9uPjIwMTgvMDEvMTg8L2VkaXRpb24+
PGtleXdvcmRzPjxrZXl3b3JkPkFkdWx0PC9rZXl3b3JkPjxrZXl3b3JkPkJpcnRoIFdlaWdodDwv
a2V5d29yZD48a2V5d29yZD4qQm9keSBNYXNzIEluZGV4PC9rZXl3b3JkPjxrZXl3b3JkPkJvc3Rv
bjwva2V5d29yZD48a2V5d29yZD5Db2hvcnQgU3R1ZGllczwva2V5d29yZD48a2V5d29yZD4qRGll
dGFyeSBBcHByb2FjaGVzIFRvIFN0b3AgSHlwZXJ0ZW5zaW9uPC9rZXl3b3JkPjxrZXl3b3JkPkZl
bWFsZTwva2V5d29yZD48a2V5d29yZD4qR2VzdGF0aW9uYWwgV2VpZ2h0IEdhaW48L2tleXdvcmQ+
PGtleXdvcmQ+SHVtYW5zPC9rZXl3b3JkPjxrZXl3b3JkPipIeXBlcnRlbnNpb24sIFByZWduYW5j
eS1JbmR1Y2VkL2RpZXQgdGhlcmFweTwva2V5d29yZD48a2V5d29yZD5JbmZhbnQsIE5ld2Jvcm48
L2tleXdvcmQ+PGtleXdvcmQ+T2Jlc2l0eS9jb21wbGljYXRpb25zPC9rZXl3b3JkPjxrZXl3b3Jk
PlByZWduYW5jeTwva2V5d29yZD48a2V5d29yZD4qUHJlZ25hbmN5IE91dGNvbWU8L2tleXdvcmQ+
PGtleXdvcmQ+UHJlbWF0dXJlIEJpcnRoPC9rZXl3b3JkPjxrZXl3b3JkPlN1cnZleXMgYW5kIFF1
ZXN0aW9ubmFpcmVzPC9rZXl3b3JkPjxrZXl3b3JkPipXZWlnaHQgR2Fpbjwva2V5d29yZD48L2tl
eXdvcmRzPjxkYXRlcz48eWVhcj4yMDE4PC95ZWFyPjxwdWItZGF0ZXM+PGRhdGU+T2N0PC9kYXRl
PjwvcHViLWRhdGVzPjwvZGF0ZXM+PGlzYm4+MTQ3Ni01NjQwIChFbGVjdHJvbmljKSYjeEQ7MDk1
NC0zMDA3IChMaW5raW5nKTwvaXNibj48YWNjZXNzaW9uLW51bT4yOTMzOTgyOTwvYWNjZXNzaW9u
LW51bT48dXJscz48cmVsYXRlZC11cmxzPjx1cmw+aHR0cHM6Ly93d3cubmNiaS5ubG0ubmloLmdv
di9wdWJtZWQvMjkzMzk4Mjk8L3VybD48L3JlbGF0ZWQtdXJscz48L3VybHM+PGN1c3RvbTI+UE1D
NjA1MDE1NjwvY3VzdG9tMj48ZWxlY3Ryb25pYy1yZXNvdXJjZS1udW0+MTAuMTAzOC9zNDE0MzAt
MDE3LTAwNjgtODwvZWxlY3Ryb25pYy1yZXNvdXJjZS1udW0+PC9yZWNvcmQ+PC9DaXRlPjwvRW5k
Tm90ZT4A
</w:fldData>
              </w:fldChar>
            </w:r>
            <w:r w:rsidR="002747EA">
              <w:instrText xml:space="preserve"> ADDIN EN.CITE.DATA </w:instrText>
            </w:r>
            <w:r w:rsidR="002747EA">
              <w:fldChar w:fldCharType="end"/>
            </w:r>
            <w:r>
              <w:fldChar w:fldCharType="separate"/>
            </w:r>
            <w:r w:rsidR="002747EA" w:rsidRPr="002747EA">
              <w:rPr>
                <w:noProof/>
                <w:vertAlign w:val="superscript"/>
              </w:rPr>
              <w:t>60</w:t>
            </w:r>
            <w:r>
              <w:fldChar w:fldCharType="end"/>
            </w:r>
          </w:p>
          <w:p w14:paraId="00A3BF77" w14:textId="77777777" w:rsidR="00790D63" w:rsidRDefault="00790D63" w:rsidP="00142208">
            <w:r>
              <w:t>United States</w:t>
            </w:r>
          </w:p>
          <w:p w14:paraId="24F4E2A4" w14:textId="77777777" w:rsidR="00790D63" w:rsidRPr="00C8357D" w:rsidRDefault="00790D63" w:rsidP="00142208">
            <w:r>
              <w:t xml:space="preserve">Cohort </w:t>
            </w:r>
          </w:p>
        </w:tc>
        <w:tc>
          <w:tcPr>
            <w:tcW w:w="127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1A78013" w14:textId="77777777" w:rsidR="00790D63" w:rsidRPr="00C8357D" w:rsidRDefault="00790D63" w:rsidP="00142208">
            <w:r>
              <w:t>1,760 women</w:t>
            </w:r>
          </w:p>
        </w:tc>
        <w:tc>
          <w:tcPr>
            <w:tcW w:w="496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1E93DB7" w14:textId="77777777" w:rsidR="00790D63" w:rsidRDefault="00790D63" w:rsidP="00142208">
            <w:r w:rsidRPr="006812F9">
              <w:rPr>
                <w:b/>
              </w:rPr>
              <w:t>Aim</w:t>
            </w:r>
            <w:r>
              <w:t>: T</w:t>
            </w:r>
            <w:r w:rsidRPr="006812F9">
              <w:t xml:space="preserve">o examine associations of adherence to the DASH diet with hypertensive disorders of pregnancy (HDP) and other pregnancy outcomes. </w:t>
            </w:r>
          </w:p>
          <w:p w14:paraId="1BF191B7" w14:textId="77777777" w:rsidR="00790D63" w:rsidRPr="00C8357D" w:rsidRDefault="00790D63" w:rsidP="00142208">
            <w:r w:rsidRPr="006812F9">
              <w:rPr>
                <w:b/>
              </w:rPr>
              <w:t>Methods</w:t>
            </w:r>
            <w:r w:rsidRPr="006812F9">
              <w:t xml:space="preserve">: We derived a DASH score using data from a food frequency questionnaire (FFQ) administered at median 11.1 weeks gestation. </w:t>
            </w:r>
            <w:r>
              <w:t>W</w:t>
            </w:r>
            <w:r w:rsidRPr="006812F9">
              <w:t xml:space="preserve">e </w:t>
            </w:r>
            <w:r>
              <w:t xml:space="preserve">then </w:t>
            </w:r>
            <w:r w:rsidRPr="006812F9">
              <w:t>used multivariable linear regression models that account</w:t>
            </w:r>
            <w:r>
              <w:t>ed for the woman's age at enrol</w:t>
            </w:r>
            <w:r w:rsidRPr="006812F9">
              <w:t xml:space="preserve">ment, pre-pregnancy body mass index (BMI), education, smoking habits, race/ethnicity, gestational weight gain (GWG) up until the time of the FFQ, and total energy intake to examine associations of the DASH score with HDP, gestational diabetes, preterm delivery (&lt;37 weeks), birth size, and GWG from FFQ to delivery. </w:t>
            </w:r>
          </w:p>
        </w:tc>
        <w:tc>
          <w:tcPr>
            <w:tcW w:w="453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D6FD341" w14:textId="77777777" w:rsidR="00790D63" w:rsidRDefault="00790D63" w:rsidP="00142208">
            <w:r>
              <w:t>Overall, the DASH diet score was not associated with reductions in risk of:</w:t>
            </w:r>
          </w:p>
          <w:p w14:paraId="660819CF" w14:textId="77777777" w:rsidR="00790D63" w:rsidRPr="00E65625" w:rsidRDefault="00790D63" w:rsidP="00142208">
            <w:pPr>
              <w:pStyle w:val="bullet"/>
              <w:rPr>
                <w:rFonts w:ascii="Times New Roman" w:hAnsi="Times New Roman"/>
                <w:szCs w:val="18"/>
              </w:rPr>
            </w:pPr>
            <w:r>
              <w:t>Hypertensive disorders of pregnancy: OR 1.00 (0.96 to 1.03)</w:t>
            </w:r>
          </w:p>
          <w:p w14:paraId="5FD3190D" w14:textId="77777777" w:rsidR="00790D63" w:rsidRPr="00E65625" w:rsidRDefault="00790D63" w:rsidP="00142208">
            <w:pPr>
              <w:pStyle w:val="bullet"/>
              <w:rPr>
                <w:rFonts w:ascii="Times New Roman" w:hAnsi="Times New Roman"/>
                <w:szCs w:val="18"/>
              </w:rPr>
            </w:pPr>
            <w:r>
              <w:t>Gestational diabetes: OR 1.01 (0.96 to 1.06)</w:t>
            </w:r>
          </w:p>
          <w:p w14:paraId="4074F56B" w14:textId="77777777" w:rsidR="00790D63" w:rsidRDefault="00790D63" w:rsidP="00142208">
            <w:pPr>
              <w:pStyle w:val="bullet"/>
            </w:pPr>
            <w:r>
              <w:t>Preterm birth: OR 0.99 (0.95 to 1.03)</w:t>
            </w:r>
          </w:p>
          <w:p w14:paraId="61F7E0B6" w14:textId="77777777" w:rsidR="00790D63" w:rsidRDefault="00790D63" w:rsidP="00142208">
            <w:pPr>
              <w:pStyle w:val="bullet"/>
            </w:pPr>
            <w:r>
              <w:t>Small for gestational age: OR 0.97 (0.93 to 1.02)</w:t>
            </w:r>
          </w:p>
          <w:p w14:paraId="7D7493F5" w14:textId="77777777" w:rsidR="00790D63" w:rsidRPr="00E65625" w:rsidRDefault="00790D63" w:rsidP="00142208">
            <w:pPr>
              <w:pStyle w:val="bullet"/>
            </w:pPr>
            <w:r>
              <w:t>Large for gestational age: OR 0.99 (0.96 to 1.02)</w:t>
            </w:r>
          </w:p>
          <w:p w14:paraId="7C5D2924" w14:textId="77777777" w:rsidR="00790D63" w:rsidRPr="006812F9" w:rsidRDefault="00790D63" w:rsidP="00142208">
            <w:r w:rsidRPr="006812F9">
              <w:t xml:space="preserve">However, </w:t>
            </w:r>
            <w:r>
              <w:t>there was</w:t>
            </w:r>
            <w:r w:rsidRPr="006812F9">
              <w:t xml:space="preserve"> a positive association between the DASH diet and subsequent </w:t>
            </w:r>
            <w:r>
              <w:t>gestational weight gain</w:t>
            </w:r>
            <w:r w:rsidRPr="006812F9">
              <w:t xml:space="preserve"> among women who were obese before pregnancy (</w:t>
            </w:r>
            <w:r>
              <w:t>0.19 [95%CI 0.05 to</w:t>
            </w:r>
            <w:r w:rsidRPr="006812F9">
              <w:t xml:space="preserve"> 0.34], P</w:t>
            </w:r>
            <w:r>
              <w:t>≤</w:t>
            </w:r>
            <w:r w:rsidRPr="006812F9">
              <w:t xml:space="preserve">0.05 kg higher GWG per 1 unit DASH score). </w:t>
            </w:r>
          </w:p>
        </w:tc>
        <w:tc>
          <w:tcPr>
            <w:tcW w:w="1843"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D00561F" w14:textId="77777777" w:rsidR="00790D63" w:rsidRPr="00C8357D" w:rsidRDefault="00790D63" w:rsidP="00142208"/>
        </w:tc>
      </w:tr>
      <w:tr w:rsidR="00DD53FF" w:rsidRPr="00343DBA" w14:paraId="307205D2" w14:textId="77777777" w:rsidTr="003A3C7D">
        <w:trPr>
          <w:cantSplit/>
          <w:trHeight w:val="390"/>
        </w:trPr>
        <w:tc>
          <w:tcPr>
            <w:tcW w:w="1280" w:type="dxa"/>
          </w:tcPr>
          <w:p w14:paraId="527ED33D" w14:textId="7F3822AB" w:rsidR="00DD53FF" w:rsidRDefault="00DD53FF" w:rsidP="003A3C7D">
            <w:r>
              <w:t>Martin et al 2016</w:t>
            </w:r>
            <w:r w:rsidR="003E2D58">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 </w:instrText>
            </w:r>
            <w:r w:rsidR="002747EA">
              <w:fldChar w:fldCharType="begin">
                <w:fldData xml:space="preserve">PEVuZE5vdGU+PENpdGU+PEF1dGhvcj5NYXJ0aW48L0F1dGhvcj48WWVhcj4yMDE2PC9ZZWFyPjxS
ZWNOdW0+MTQ1OTwvUmVjTnVtPjxEaXNwbGF5VGV4dD48c3R5bGUgZmFjZT0ic3VwZXJzY3JpcHQi
IGZvbnQ9IlRyZWJ1Y2hldCBNUyIgc2l6ZT0iOSI+MTk8L3N0eWxlPjwvRGlzcGxheVRleHQ+PHJl
Y29yZD48cmVjLW51bWJlcj4xNDU5PC9yZWMtbnVtYmVyPjxmb3JlaWduLWtleXM+PGtleSBhcHA9
IkVOIiBkYi1pZD0iZXh2YXNyZngyZHRyYW9lc2FzeHAyc3pzeGEyZGY1MDI1OTJ4IiB0aW1lc3Rh
bXA9IjE1NzQwMzk1ODMiPjE0NTk8L2tleT48a2V5IGFwcD0iRU5XZWIiIGRiLWlkPSIiPjA8L2tl
eT48L2ZvcmVpZ24ta2V5cz48cmVmLXR5cGUgbmFtZT0iSm91cm5hbCBBcnRpY2xlIj4xNzwvcmVm
LXR5cGU+PGNvbnRyaWJ1dG9ycz48YXV0aG9ycz48YXV0aG9yPk1hcnRpbiwgQy4gTC48L2F1dGhv
cj48YXV0aG9yPlNpZWdhLVJpeiwgQS4gTS48L2F1dGhvcj48YXV0aG9yPlNvdHJlcy1BbHZhcmV6
LCBELjwvYXV0aG9yPjxhdXRob3I+Um9iaW5zb24sIFcuIFIuPC9hdXRob3I+PGF1dGhvcj5EYW5p
ZWxzLCBKLiBMLjwvYXV0aG9yPjxhdXRob3I+UGVycmluLCBFLiBNLjwvYXV0aG9yPjxhdXRob3I+
U3R1ZWJlLCBBLiBNLjwvYXV0aG9yPjwvYXV0aG9ycz48L2NvbnRyaWJ1dG9ycz48YXV0aC1hZGRy
ZXNzPkRlcGFydG1lbnQgb2YgRXBpZGVtaW9sb2d5LCBHaWxsaW5ncyBTY2hvb2wgb2YgR2xvYmFs
IFB1YmxpYyBIZWFsdGgsIFVuaXZlcnNpdHkgb2YgTm9ydGggQ2Fyb2xpbmEgYXQgQ2hhcGVsIEhp
bGwsIENoYXBlbCBIaWxsLCBOQy4mI3hEO0RlcGFydG1lbnQgb2YgTnV0cml0aW9uLCBHaWxsaW5n
cyBTY2hvb2wgb2YgR2xvYmFsIFB1YmxpYyBIZWFsdGgsIFVuaXZlcnNpdHkgb2YgTm9ydGggQ2Fy
b2xpbmEgYXQgQ2hhcGVsIEhpbGwsIENoYXBlbCBIaWxsLCBOQy4mI3hEO0RlcGFydG1lbnQgb2Yg
Qmlvc3RhdGlzdGljcywgR2lsbGluZ3MgU2Nob29sIG9mIEdsb2JhbCBQdWJsaWMgSGVhbHRoLCBV
bml2ZXJzaXR5IG9mIE5vcnRoIENhcm9saW5hIGF0IENoYXBlbCBIaWxsLCBDaGFwZWwgSGlsbCwg
TkMuJiN4RDtEaXZpc2lvbiBvZiBHZW5lcmFsIFBlZGlhdHJpY3MgYW5kIEFkb2xlc2NlbnQgTWVk
aWNpbmUsIERlcGFydG1lbnQgb2YgUGVkaWF0cmljcywgVW5pdmVyc2l0eSBvZiBOb3J0aCBDYXJv
bGluYSBhdCBDaGFwZWwgSGlsbCwgQ2hhcGVsIEhpbGwsIE5DLiYjeEQ7RGl2aXNpb24gb2YgTWF0
ZXJuYWwtRmV0YWwgTWVkaWNpbmUsIERlcGFydG1lbnQgb2YgT2JzdGV0cmljcyBhbmQgR3luZWNv
bG9neSwgVW5pdmVyc2l0eSBvZiBOb3J0aCBDYXJvbGluYSBTY2hvb2wgb2YgTWVkaWNpbmUsIFVu
aXZlcnNpdHkgb2YgTm9ydGggQ2Fyb2xpbmEgYXQgQ2hhcGVsIEhpbGwsIE5DLjwvYXV0aC1hZGRy
ZXNzPjx0aXRsZXM+PHRpdGxlPk1hdGVybmFsIGRpZXRhcnkgcGF0dGVybnMgYXJlIGFzc29jaWF0
ZWQgd2l0aCBsb3dlciBsZXZlbHMgb2YgY2FyZGlvbWV0YWJvbGljIG1hcmtlcnMgZHVyaW5nIHBy
ZWduYW5jeTwvdGl0bGU+PHNlY29uZGFyeS10aXRsZT5QYWVkaWF0ciBQZXJpbmF0IEVwaWRlbWlv
bDwvc2Vjb25kYXJ5LXRpdGxlPjwvdGl0bGVzPjxwZXJpb2RpY2FsPjxmdWxsLXRpdGxlPlBhZWRp
YXRyIFBlcmluYXQgRXBpZGVtaW9sPC9mdWxsLXRpdGxlPjwvcGVyaW9kaWNhbD48cGFnZXM+MjQ2
LTU1PC9wYWdlcz48dm9sdW1lPjMwPC92b2x1bWU+PG51bWJlcj4zPC9udW1iZXI+PGVkaXRpb24+
MjAxNi8wMi8wNjwvZWRpdGlvbj48a2V5d29yZHM+PGtleXdvcmQ+QWR1bHQ8L2tleXdvcmQ+PGtl
eXdvcmQ+QmlvbWFya2Vycy9ibG9vZDwva2V5d29yZD48a2V5d29yZD5CbG9vZCBHbHVjb3NlLypt
ZXRhYm9saXNtPC9rZXl3b3JkPjxrZXl3b3JkPkJvZHkgTWFzcyBJbmRleDwva2V5d29yZD48a2V5
d29yZD5EaWV0LyphZHZlcnNlIGVmZmVjdHM8L2tleXdvcmQ+PGtleXdvcmQ+RmVlZGluZyBCZWhh
dmlvcjwva2V5d29yZD48a2V5d29yZD5GZW1hbGU8L2tleXdvcmQ+PGtleXdvcmQ+SHVtYW5zPC9r
ZXl3b3JkPjxrZXl3b3JkPkluc3VsaW4gUmVzaXN0YW5jZTwva2V5d29yZD48a2V5d29yZD5NYXRl
cm5hbCBOdXRyaXRpb25hbCBQaHlzaW9sb2dpY2FsIFBoZW5vbWVuYTwva2V5d29yZD48a2V5d29y
ZD5Ob3J0aCBDYXJvbGluYS9lcGlkZW1pb2xvZ3k8L2tleXdvcmQ+PGtleXdvcmQ+TnV0cml0aW9u
IEFzc2Vzc21lbnQ8L2tleXdvcmQ+PGtleXdvcmQ+TnV0cml0aW9uIFN1cnZleXM8L2tleXdvcmQ+
PGtleXdvcmQ+UHJlZ25hbmN5PC9rZXl3b3JkPjxrZXl3b3JkPlByZWduYW5jeSBDb21wbGljYXRp
b25zLCBDYXJkaW92YXNjdWxhci9ibG9vZC8qZXRpb2xvZ3kvcHJldmVudGlvbiAmYW1wOyBjb250
cm9sPC9rZXl3b3JkPjxrZXl3b3JkPipQcmVnbmFudCBXb21lbjwva2V5d29yZD48a2V5d29yZD5Q
cm9zcGVjdGl2ZSBTdHVkaWVzPC9rZXl3b3JkPjxrZXl3b3JkPlJpc2sgRmFjdG9yczwva2V5d29y
ZD48a2V5d29yZD5UcmlnbHljZXJpZGVzLypibG9vZDwva2V5d29yZD48a2V5d29yZD5EaWV0YXJ5
IEFwcHJvYWNoZXMgdG8gU3RvcCBIeXBlcnRlbnNpb24gKERBU0gpIGRpZXQ8L2tleXdvcmQ+PGtl
eXdvcmQ+Y2FyZGlvbWV0YWJvbGljIGhlYWx0aDwva2V5d29yZD48a2V5d29yZD5kaWV0YXJ5IHBh
dHRlcm5zPC9rZXl3b3JkPjxrZXl3b3JkPmdsdWNvc2U8L2tleXdvcmQ+PGtleXdvcmQ+aW5zdWxp
bjwva2V5d29yZD48a2V5d29yZD5sYXRlbnQgY2xhc3MgYW5hbHlzaXM8L2tleXdvcmQ+PGtleXdv
cmQ+bGlwaWRzPC9rZXl3b3JkPjwva2V5d29yZHM+PGRhdGVzPjx5ZWFyPjIwMTY8L3llYXI+PHB1
Yi1kYXRlcz48ZGF0ZT5NYXk8L2RhdGU+PC9wdWItZGF0ZXM+PC9kYXRlcz48aXNibj4xMzY1LTMw
MTYgKEVsZWN0cm9uaWMpJiN4RDswMjY5LTUwMjIgKExpbmtpbmcpPC9pc2JuPjxhY2Nlc3Npb24t
bnVtPjI2ODQ4OTMyPC9hY2Nlc3Npb24tbnVtPjx1cmxzPjxyZWxhdGVkLXVybHM+PHVybD5odHRw
czovL3d3dy5uY2JpLm5sbS5uaWguZ292L3B1Ym1lZC8yNjg0ODkzMjwvdXJsPjwvcmVsYXRlZC11
cmxzPjwvdXJscz48Y3VzdG9tMj5QTUM0ODE4NjYxPC9jdXN0b20yPjxlbGVjdHJvbmljLXJlc291
cmNlLW51bT4xMC4xMTExL3BwZS4xMjI3OTwvZWxlY3Ryb25pYy1yZXNvdXJjZS1udW0+PC9yZWNv
cmQ+PC9DaXRlPjwvRW5kTm90ZT5=
</w:fldData>
              </w:fldChar>
            </w:r>
            <w:r w:rsidR="002747EA">
              <w:instrText xml:space="preserve"> ADDIN EN.CITE.DATA </w:instrText>
            </w:r>
            <w:r w:rsidR="002747EA">
              <w:fldChar w:fldCharType="end"/>
            </w:r>
            <w:r w:rsidR="003E2D58">
              <w:fldChar w:fldCharType="separate"/>
            </w:r>
            <w:r w:rsidR="002747EA" w:rsidRPr="002747EA">
              <w:rPr>
                <w:noProof/>
                <w:vertAlign w:val="superscript"/>
              </w:rPr>
              <w:t>19</w:t>
            </w:r>
            <w:r w:rsidR="003E2D58">
              <w:fldChar w:fldCharType="end"/>
            </w:r>
          </w:p>
          <w:p w14:paraId="667AB0D6" w14:textId="77777777" w:rsidR="00DD53FF" w:rsidRDefault="00DD53FF" w:rsidP="003A3C7D">
            <w:r>
              <w:t>United States</w:t>
            </w:r>
          </w:p>
          <w:p w14:paraId="5E2E8A8E" w14:textId="0266749A" w:rsidR="00DD53FF" w:rsidRDefault="00DD53FF" w:rsidP="003A3C7D">
            <w:r>
              <w:t>Cohort</w:t>
            </w:r>
          </w:p>
        </w:tc>
        <w:tc>
          <w:tcPr>
            <w:tcW w:w="1271" w:type="dxa"/>
          </w:tcPr>
          <w:p w14:paraId="3A865482" w14:textId="606020FE" w:rsidR="00DD53FF" w:rsidRDefault="00007215" w:rsidP="003A3C7D">
            <w:r>
              <w:t>513 women</w:t>
            </w:r>
          </w:p>
        </w:tc>
        <w:tc>
          <w:tcPr>
            <w:tcW w:w="4962" w:type="dxa"/>
          </w:tcPr>
          <w:p w14:paraId="64A76BC8" w14:textId="77777777" w:rsidR="00DD53FF" w:rsidRDefault="00DD53FF" w:rsidP="00DD53FF">
            <w:r>
              <w:rPr>
                <w:b/>
              </w:rPr>
              <w:t xml:space="preserve">Aim: </w:t>
            </w:r>
            <w:r w:rsidRPr="00DD53FF">
              <w:t xml:space="preserve">investigated the association between dietary patterns and cardiometabolic markers (glucose, insulin, insulin resistance (HOMA-IR), triglycerides, and cholesterol) during pregnancy. </w:t>
            </w:r>
          </w:p>
          <w:p w14:paraId="4E64E0C8" w14:textId="65C505DD" w:rsidR="00DD53FF" w:rsidRPr="005C39B9" w:rsidRDefault="00DD53FF" w:rsidP="00DD53FF">
            <w:pPr>
              <w:rPr>
                <w:b/>
              </w:rPr>
            </w:pPr>
            <w:r w:rsidRPr="00DD53FF">
              <w:rPr>
                <w:b/>
              </w:rPr>
              <w:t>Methods</w:t>
            </w:r>
            <w:r w:rsidRPr="00DD53FF">
              <w:t>: Diet was assessed using a food frequency questionnaire. Dietary patterns were derived using latent class analysis (LCA) and the Dietary Approaches to Stop Hypertension (DASH) diet. Linear regression was used to examine the dietary patterns-cardiometabolic markers association during pregnancy.</w:t>
            </w:r>
          </w:p>
        </w:tc>
        <w:tc>
          <w:tcPr>
            <w:tcW w:w="4536" w:type="dxa"/>
          </w:tcPr>
          <w:p w14:paraId="0F104588" w14:textId="6102360D" w:rsidR="00DD53FF" w:rsidRPr="002D2B24" w:rsidRDefault="00D528F7" w:rsidP="00733370">
            <w:pPr>
              <w:rPr>
                <w:rFonts w:ascii="Times" w:hAnsi="Times"/>
                <w:sz w:val="12"/>
                <w:szCs w:val="12"/>
              </w:rPr>
            </w:pPr>
            <w:r>
              <w:t xml:space="preserve">After adjustment for confounders including </w:t>
            </w:r>
            <w:r w:rsidR="00733370">
              <w:t xml:space="preserve">prepregnancy BMI, </w:t>
            </w:r>
            <w:r w:rsidR="00DD53FF" w:rsidRPr="00DD53FF">
              <w:t>DASH scores within Tertile 3 (higher dietary qua</w:t>
            </w:r>
            <w:r w:rsidR="00DD53FF" w:rsidRPr="00733370">
              <w:t>lity) were negatively associated with maternal triglycerides (mg/dL)</w:t>
            </w:r>
            <w:r w:rsidR="002D2B24" w:rsidRPr="00733370">
              <w:t xml:space="preserve"> (ß 0.11; 95%CI 0.19 to 0.02)</w:t>
            </w:r>
            <w:r w:rsidR="002A53BE" w:rsidRPr="00733370">
              <w:t xml:space="preserve"> but not </w:t>
            </w:r>
            <w:r w:rsidR="00440127">
              <w:t xml:space="preserve">fasting </w:t>
            </w:r>
            <w:r w:rsidR="00733370" w:rsidRPr="00733370">
              <w:t xml:space="preserve">glucose </w:t>
            </w:r>
            <w:r w:rsidR="00733370">
              <w:t>(</w:t>
            </w:r>
            <w:r w:rsidR="00733370" w:rsidRPr="00733370">
              <w:t xml:space="preserve">ß </w:t>
            </w:r>
            <w:r w:rsidR="00733370">
              <w:t>0.29; 95%CI 1.46 to</w:t>
            </w:r>
            <w:r w:rsidR="00733370" w:rsidRPr="00733370">
              <w:t xml:space="preserve"> 2.04), insulin </w:t>
            </w:r>
            <w:r w:rsidR="00733370">
              <w:t>(</w:t>
            </w:r>
            <w:r w:rsidR="00733370" w:rsidRPr="00733370">
              <w:t xml:space="preserve">ß </w:t>
            </w:r>
            <w:r w:rsidR="00733370">
              <w:t>0.07; 95%CI 0.18 to</w:t>
            </w:r>
            <w:r w:rsidR="00733370" w:rsidRPr="00733370">
              <w:t xml:space="preserve"> 0.04), HOMA-IR </w:t>
            </w:r>
            <w:r w:rsidR="00733370">
              <w:t>(</w:t>
            </w:r>
            <w:r w:rsidR="00733370" w:rsidRPr="00733370">
              <w:t xml:space="preserve">ß </w:t>
            </w:r>
            <w:r w:rsidR="00733370">
              <w:t>0.06; 95%CI 0.18 to</w:t>
            </w:r>
            <w:r w:rsidR="00733370" w:rsidRPr="00733370">
              <w:t xml:space="preserve"> 0.06) or cholesterol </w:t>
            </w:r>
            <w:r w:rsidR="00733370">
              <w:t>(</w:t>
            </w:r>
            <w:r w:rsidR="00733370" w:rsidRPr="00733370">
              <w:t xml:space="preserve">ß </w:t>
            </w:r>
            <w:r w:rsidR="00733370">
              <w:t>2.93; 95%CI 13.95 to</w:t>
            </w:r>
            <w:r w:rsidR="00733370" w:rsidRPr="00733370">
              <w:t xml:space="preserve"> 8.08).</w:t>
            </w:r>
          </w:p>
        </w:tc>
        <w:tc>
          <w:tcPr>
            <w:tcW w:w="1843" w:type="dxa"/>
          </w:tcPr>
          <w:p w14:paraId="7E4822F5" w14:textId="77777777" w:rsidR="00DD53FF" w:rsidRDefault="00DD53FF" w:rsidP="003A3C7D"/>
        </w:tc>
      </w:tr>
      <w:tr w:rsidR="00F859DE" w:rsidRPr="00343DBA" w14:paraId="47C6FB9B" w14:textId="77777777" w:rsidTr="003A3C7D">
        <w:trPr>
          <w:cantSplit/>
          <w:trHeight w:val="390"/>
        </w:trPr>
        <w:tc>
          <w:tcPr>
            <w:tcW w:w="1280" w:type="dxa"/>
          </w:tcPr>
          <w:p w14:paraId="600476C0" w14:textId="2A884576" w:rsidR="00F859DE" w:rsidRDefault="00F859DE" w:rsidP="003A3C7D">
            <w:r>
              <w:t>Martin et al 2015</w:t>
            </w:r>
            <w:r w:rsidR="003E2D58">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 </w:instrText>
            </w:r>
            <w:r w:rsidR="002747EA">
              <w:fldChar w:fldCharType="begin">
                <w:fldData xml:space="preserve">PEVuZE5vdGU+PENpdGU+PEF1dGhvcj5NYXJ0aW48L0F1dGhvcj48WWVhcj4yMDE1PC9ZZWFyPjxS
ZWNOdW0+MTQ2MDwvUmVjTnVtPjxEaXNwbGF5VGV4dD48c3R5bGUgZmFjZT0ic3VwZXJzY3JpcHQi
IGZvbnQ9IlRyZWJ1Y2hldCBNUyIgc2l6ZT0iOSI+Mzc8L3N0eWxlPjwvRGlzcGxheVRleHQ+PHJl
Y29yZD48cmVjLW51bWJlcj4xNDYwPC9yZWMtbnVtYmVyPjxmb3JlaWduLWtleXM+PGtleSBhcHA9
IkVOIiBkYi1pZD0iZXh2YXNyZngyZHRyYW9lc2FzeHAyc3pzeGEyZGY1MDI1OTJ4IiB0aW1lc3Rh
bXA9IjE1NzQwMzk1ODciPjE0NjA8L2tleT48a2V5IGFwcD0iRU5XZWIiIGRiLWlkPSIiPjA8L2tl
eT48L2ZvcmVpZ24ta2V5cz48cmVmLXR5cGUgbmFtZT0iSm91cm5hbCBBcnRpY2xlIj4xNzwvcmVm
LXR5cGU+PGNvbnRyaWJ1dG9ycz48YXV0aG9ycz48YXV0aG9yPk1hcnRpbiwgQy4gTC48L2F1dGhv
cj48YXV0aG9yPlNvdHJlcy1BbHZhcmV6LCBELjwvYXV0aG9yPjxhdXRob3I+U2llZ2EtUml6LCBB
LiBNLjwvYXV0aG9yPjwvYXV0aG9ycz48L2NvbnRyaWJ1dG9ycz48YXV0aC1hZGRyZXNzPkRlcGFy
dG1lbnRzIG9mIEVwaWRlbWlvbG9neS4mI3hEO0Jpb3N0YXRpc3RpY3MsIGFuZC4mI3hEO0RlcGFy
dG1lbnRzIG9mIEVwaWRlbWlvbG9neSwgTnV0cml0aW9uLCBHaWxsaW5ncyBTY2hvb2wgb2YgR2xv
YmFsIFB1YmxpYyBIZWFsdGgsIFVuaXZlcnNpdHkgb2YgTm9ydGggQ2Fyb2xpbmEgQ2hhcGVsIEhp
bGwsIENoYXBlbCBIaWxsLCBOQyBhbV9zaWVnYXJpekB1bmMuZWR1LjwvYXV0aC1hZGRyZXNzPjx0
aXRsZXM+PHRpdGxlPk1hdGVybmFsIGRpZXRhcnkgcGF0dGVybnMgZHVyaW5nIHRoZSBzZWNvbmQg
dHJpbWVzdGVyIGFyZSBhc3NvY2lhdGVkIHdpdGggcHJldGVybSBiaXJ0aDwvdGl0bGU+PHNlY29u
ZGFyeS10aXRsZT5KIE51dHI8L3NlY29uZGFyeS10aXRsZT48L3RpdGxlcz48cGVyaW9kaWNhbD48
ZnVsbC10aXRsZT5KIE51dHI8L2Z1bGwtdGl0bGU+PC9wZXJpb2RpY2FsPjxwYWdlcz4xODU3LTY0
PC9wYWdlcz48dm9sdW1lPjE0NTwvdm9sdW1lPjxudW1iZXI+ODwvbnVtYmVyPjxlZGl0aW9uPjIw
MTUvMDYvMTk8L2VkaXRpb24+PGtleXdvcmRzPjxrZXl3b3JkPkNvaG9ydCBTdHVkaWVzPC9rZXl3
b3JkPjxrZXl3b3JkPkRpZXQvKmFkdmVyc2UgZWZmZWN0czwva2V5d29yZD48a2V5d29yZD5EaWV0
IFN1cnZleXM8L2tleXdvcmQ+PGtleXdvcmQ+RmVlZGluZyBCZWhhdmlvcjwva2V5d29yZD48a2V5
d29yZD5GZW1hbGU8L2tleXdvcmQ+PGtleXdvcmQ+SHVtYW5zPC9rZXl3b3JkPjxrZXl3b3JkPklu
ZmFudCwgTmV3Ym9ybjwva2V5d29yZD48a2V5d29yZD4qTWF0ZXJuYWwgTnV0cml0aW9uYWwgUGh5
c2lvbG9naWNhbCBQaGVub21lbmE8L2tleXdvcmQ+PGtleXdvcmQ+T2RkcyBSYXRpbzwva2V5d29y
ZD48a2V5d29yZD5QcmVnbmFuY3k8L2tleXdvcmQ+PGtleXdvcmQ+KlByZWduYW5jeSBUcmltZXN0
ZXIsIFNlY29uZDwva2V5d29yZD48a2V5d29yZD5QcmVtYXR1cmUgQmlydGgvKmV0aW9sb2d5PC9r
ZXl3b3JkPjxrZXl3b3JkPkRpZXRhcnkgQXBwcm9hY2hlcyB0byBTdG9wIEh5cGVydGVuc2lvbjwv
a2V5d29yZD48a2V5d29yZD5kaWV0YXJ5IHBhdHRlcm5zPC9rZXl3b3JkPjxrZXl3b3JkPmZhY3Rv
ciBhbmFseXNpczwva2V5d29yZD48a2V5d29yZD5tYXRlcm5hbCBkaWV0PC9rZXl3b3JkPjxrZXl3
b3JkPnByZXRlcm0gYmlydGg8L2tleXdvcmQ+PC9rZXl3b3Jkcz48ZGF0ZXM+PHllYXI+MjAxNTwv
eWVhcj48cHViLWRhdGVzPjxkYXRlPkF1ZzwvZGF0ZT48L3B1Yi1kYXRlcz48L2RhdGVzPjxpc2Ju
PjE1NDEtNjEwMCAoRWxlY3Ryb25pYykmI3hEOzAwMjItMzE2NiAoTGlua2luZyk8L2lzYm4+PGFj
Y2Vzc2lvbi1udW0+MjYwODQzNjI8L2FjY2Vzc2lvbi1udW0+PHVybHM+PHJlbGF0ZWQtdXJscz48
dXJsPmh0dHBzOi8vd3d3Lm5jYmkubmxtLm5paC5nb3YvcHVibWVkLzI2MDg0MzYyPC91cmw+PC9y
ZWxhdGVkLXVybHM+PC91cmxzPjxjdXN0b20yPlBNQzQ1MTY3NzE8L2N1c3RvbTI+PGVsZWN0cm9u
aWMtcmVzb3VyY2UtbnVtPjEwLjM5NDUvam4uMTE1LjIxMjAxOTwvZWxlY3Ryb25pYy1yZXNvdXJj
ZS1udW0+PC9yZWNvcmQ+PC9DaXRlPjwvRW5kTm90ZT4A
</w:fldData>
              </w:fldChar>
            </w:r>
            <w:r w:rsidR="002747EA">
              <w:instrText xml:space="preserve"> ADDIN EN.CITE.DATA </w:instrText>
            </w:r>
            <w:r w:rsidR="002747EA">
              <w:fldChar w:fldCharType="end"/>
            </w:r>
            <w:r w:rsidR="003E2D58">
              <w:fldChar w:fldCharType="separate"/>
            </w:r>
            <w:r w:rsidR="002747EA" w:rsidRPr="002747EA">
              <w:rPr>
                <w:noProof/>
                <w:vertAlign w:val="superscript"/>
              </w:rPr>
              <w:t>37</w:t>
            </w:r>
            <w:r w:rsidR="003E2D58">
              <w:fldChar w:fldCharType="end"/>
            </w:r>
          </w:p>
          <w:p w14:paraId="1662B1BE" w14:textId="11F9F25A" w:rsidR="00F859DE" w:rsidRDefault="00F859DE" w:rsidP="003A3C7D">
            <w:r>
              <w:t>United States</w:t>
            </w:r>
          </w:p>
          <w:p w14:paraId="68B4FDBE" w14:textId="3CD31168" w:rsidR="00F859DE" w:rsidRDefault="00F859DE" w:rsidP="003A3C7D">
            <w:r>
              <w:t>Cohort</w:t>
            </w:r>
          </w:p>
        </w:tc>
        <w:tc>
          <w:tcPr>
            <w:tcW w:w="1271" w:type="dxa"/>
          </w:tcPr>
          <w:p w14:paraId="0277460F" w14:textId="55AA97D9" w:rsidR="00F859DE" w:rsidRDefault="00F859DE" w:rsidP="003A3C7D">
            <w:r>
              <w:t>3,143</w:t>
            </w:r>
          </w:p>
        </w:tc>
        <w:tc>
          <w:tcPr>
            <w:tcW w:w="4962" w:type="dxa"/>
          </w:tcPr>
          <w:p w14:paraId="476418BA" w14:textId="77777777" w:rsidR="00F859DE" w:rsidRDefault="00F859DE" w:rsidP="00F859DE">
            <w:r>
              <w:rPr>
                <w:b/>
              </w:rPr>
              <w:t xml:space="preserve">Aim: </w:t>
            </w:r>
            <w:r>
              <w:t>T</w:t>
            </w:r>
            <w:r w:rsidRPr="00F859DE">
              <w:t xml:space="preserve">o examine the association between maternal dietary patterns during pregnancy and preterm birth. </w:t>
            </w:r>
          </w:p>
          <w:p w14:paraId="34C74D5F" w14:textId="3FAB051F" w:rsidR="00972F81" w:rsidRPr="00972F81" w:rsidRDefault="00F859DE" w:rsidP="00F859DE">
            <w:r w:rsidRPr="00F859DE">
              <w:rPr>
                <w:b/>
              </w:rPr>
              <w:t>Methods</w:t>
            </w:r>
            <w:r w:rsidRPr="00F859DE">
              <w:t>: Dietary intake was assessed at 26-29 wk of gestation by using a food-frequency questionnaire, and patterns were derived by using factor analysis and the Dietary Approaches to Stop Hypertension (DASH) diet. Associations between dietary patterns and preterm birth were assessed by logistic regression.</w:t>
            </w:r>
          </w:p>
        </w:tc>
        <w:tc>
          <w:tcPr>
            <w:tcW w:w="4536" w:type="dxa"/>
          </w:tcPr>
          <w:p w14:paraId="5CEFF786" w14:textId="7B125993" w:rsidR="00F859DE" w:rsidRPr="00F859DE" w:rsidRDefault="00F859DE" w:rsidP="00F859DE">
            <w:r w:rsidRPr="00F859DE">
              <w:t>Greater adherence to the DASH diet was associated with decreased odds of preterm birth compared with women in the lowest quartile (a</w:t>
            </w:r>
            <w:r>
              <w:t>OR for quartile 4 vs quartile 1: 0.59; 95% CI 0.40 to</w:t>
            </w:r>
            <w:r w:rsidRPr="00F859DE">
              <w:t xml:space="preserve"> 0.85). </w:t>
            </w:r>
          </w:p>
        </w:tc>
        <w:tc>
          <w:tcPr>
            <w:tcW w:w="1843" w:type="dxa"/>
          </w:tcPr>
          <w:p w14:paraId="7CF7C17E" w14:textId="3416FE3C" w:rsidR="00F859DE" w:rsidRDefault="00790D63" w:rsidP="003A3C7D">
            <w:r>
              <w:t>Preterm</w:t>
            </w:r>
          </w:p>
        </w:tc>
      </w:tr>
    </w:tbl>
    <w:p w14:paraId="52AE6239" w14:textId="04AA92E1" w:rsidR="00C8357D" w:rsidRDefault="009C163D" w:rsidP="005719CE">
      <w:pPr>
        <w:pStyle w:val="TableName"/>
        <w:ind w:left="1134" w:hanging="1134"/>
      </w:pPr>
      <w:bookmarkStart w:id="39" w:name="_Toc40956596"/>
      <w:r>
        <w:t xml:space="preserve">Q1 </w:t>
      </w:r>
      <w:r w:rsidR="00CD0392">
        <w:t>V</w:t>
      </w:r>
      <w:r w:rsidR="00C8357D">
        <w:t xml:space="preserve">egetarian </w:t>
      </w:r>
      <w:r w:rsidR="00926598">
        <w:t xml:space="preserve">or vegan </w:t>
      </w:r>
      <w:r w:rsidR="00C8357D">
        <w:t>diets</w:t>
      </w:r>
      <w:r w:rsidR="00CD0392">
        <w:t xml:space="preserve"> in pregnancy</w:t>
      </w:r>
      <w:r w:rsidR="00C8357D">
        <w:t xml:space="preserve"> — systematic reviews</w:t>
      </w:r>
      <w:bookmarkEnd w:id="3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7: Q1 Dietary Approaches to Stop Hypertension (DASH) diet in pregnancy — observational studies"/>
      </w:tblPr>
      <w:tblGrid>
        <w:gridCol w:w="1304"/>
        <w:gridCol w:w="1247"/>
        <w:gridCol w:w="4962"/>
        <w:gridCol w:w="4536"/>
        <w:gridCol w:w="1843"/>
      </w:tblGrid>
      <w:tr w:rsidR="00C8357D" w:rsidRPr="00F350A6" w14:paraId="7F3A546D" w14:textId="77777777" w:rsidTr="00926598">
        <w:trPr>
          <w:cantSplit/>
          <w:trHeight w:val="390"/>
          <w:tblHeader/>
        </w:trPr>
        <w:tc>
          <w:tcPr>
            <w:tcW w:w="1304" w:type="dxa"/>
          </w:tcPr>
          <w:p w14:paraId="06FB1853" w14:textId="77777777" w:rsidR="00C8357D" w:rsidRPr="00F350A6" w:rsidRDefault="00C8357D" w:rsidP="009F7A26">
            <w:pPr>
              <w:keepNext/>
              <w:rPr>
                <w:b/>
              </w:rPr>
            </w:pPr>
            <w:r>
              <w:rPr>
                <w:b/>
              </w:rPr>
              <w:t>Study ref</w:t>
            </w:r>
          </w:p>
        </w:tc>
        <w:tc>
          <w:tcPr>
            <w:tcW w:w="1247" w:type="dxa"/>
          </w:tcPr>
          <w:p w14:paraId="69E0E60A" w14:textId="77777777" w:rsidR="00C8357D" w:rsidRPr="00F350A6" w:rsidRDefault="00C8357D" w:rsidP="009F7A26">
            <w:pPr>
              <w:keepNext/>
              <w:rPr>
                <w:b/>
              </w:rPr>
            </w:pPr>
            <w:r>
              <w:rPr>
                <w:b/>
              </w:rPr>
              <w:t>N</w:t>
            </w:r>
          </w:p>
        </w:tc>
        <w:tc>
          <w:tcPr>
            <w:tcW w:w="4962" w:type="dxa"/>
          </w:tcPr>
          <w:p w14:paraId="73E60F2E" w14:textId="77777777" w:rsidR="00C8357D" w:rsidRPr="00F350A6" w:rsidRDefault="00C8357D" w:rsidP="009F7A26">
            <w:pPr>
              <w:keepNext/>
              <w:rPr>
                <w:b/>
              </w:rPr>
            </w:pPr>
            <w:r>
              <w:rPr>
                <w:b/>
              </w:rPr>
              <w:t>Aim/methods</w:t>
            </w:r>
          </w:p>
        </w:tc>
        <w:tc>
          <w:tcPr>
            <w:tcW w:w="4536" w:type="dxa"/>
          </w:tcPr>
          <w:p w14:paraId="5BE15A16" w14:textId="77777777" w:rsidR="00C8357D" w:rsidRPr="00F350A6" w:rsidRDefault="00C8357D" w:rsidP="009F7A26">
            <w:pPr>
              <w:keepNext/>
              <w:rPr>
                <w:b/>
              </w:rPr>
            </w:pPr>
            <w:r>
              <w:rPr>
                <w:b/>
              </w:rPr>
              <w:t>Results</w:t>
            </w:r>
          </w:p>
        </w:tc>
        <w:tc>
          <w:tcPr>
            <w:tcW w:w="1843" w:type="dxa"/>
          </w:tcPr>
          <w:p w14:paraId="6F49D9ED" w14:textId="77777777" w:rsidR="00C8357D" w:rsidRPr="00F350A6" w:rsidRDefault="00C8357D" w:rsidP="009F7A26">
            <w:pPr>
              <w:keepNext/>
              <w:rPr>
                <w:b/>
              </w:rPr>
            </w:pPr>
            <w:r>
              <w:rPr>
                <w:b/>
              </w:rPr>
              <w:t>Comments</w:t>
            </w:r>
          </w:p>
        </w:tc>
      </w:tr>
      <w:tr w:rsidR="00926598" w:rsidRPr="00C8357D" w14:paraId="41511120" w14:textId="77777777" w:rsidTr="00926598">
        <w:trPr>
          <w:cantSplit/>
          <w:trHeight w:val="390"/>
        </w:trPr>
        <w:tc>
          <w:tcPr>
            <w:tcW w:w="1304" w:type="dxa"/>
          </w:tcPr>
          <w:p w14:paraId="5E1F6916" w14:textId="5E64D162" w:rsidR="00926598" w:rsidRDefault="00926598" w:rsidP="00767EBF">
            <w:r>
              <w:t>Piccoli et al 2015</w:t>
            </w:r>
            <w:r w:rsidR="003E2D58">
              <w:fldChar w:fldCharType="begin"/>
            </w:r>
            <w:r w:rsidR="002747EA">
              <w:instrText xml:space="preserve"> ADDIN EN.CITE &lt;EndNote&gt;&lt;Cite&gt;&lt;Author&gt;Piccoli&lt;/Author&gt;&lt;Year&gt;2015&lt;/Year&gt;&lt;RecNum&gt;1473&lt;/RecNum&gt;&lt;DisplayText&gt;&lt;style face="superscript" font="Trebuchet MS" size="9"&gt;55&lt;/style&gt;&lt;/DisplayText&gt;&lt;record&gt;&lt;rec-number&gt;1473&lt;/rec-number&gt;&lt;foreign-keys&gt;&lt;key app="EN" db-id="exvasrfx2dtraoesasxp2szsxa2df502592x" timestamp="1574039648"&gt;1473&lt;/key&gt;&lt;key app="ENWeb" db-id=""&gt;0&lt;/key&gt;&lt;/foreign-keys&gt;&lt;ref-type name="Journal Article"&gt;17&lt;/ref-type&gt;&lt;contributors&gt;&lt;authors&gt;&lt;author&gt;Piccoli, G. B.&lt;/author&gt;&lt;author&gt;Clari, R.&lt;/author&gt;&lt;author&gt;Vigotti, F. N.&lt;/author&gt;&lt;author&gt;Leone, F.&lt;/author&gt;&lt;author&gt;Attini, R.&lt;/author&gt;&lt;author&gt;Cabiddu, G.&lt;/author&gt;&lt;author&gt;Mauro, G.&lt;/author&gt;&lt;author&gt;Castelluccia, N.&lt;/author&gt;&lt;author&gt;Colombi, N.&lt;/author&gt;&lt;author&gt;Capizzi, I.&lt;/author&gt;&lt;author&gt;Pani, A.&lt;/author&gt;&lt;author&gt;Todros, T.&lt;/author&gt;&lt;author&gt;Avagnina, P.&lt;/author&gt;&lt;/authors&gt;&lt;/contributors&gt;&lt;titles&gt;&lt;title&gt;Vegan-vegetarian diets in pregnancy: danger or panacea? A systematic narrative review&lt;/title&gt;&lt;secondary-title&gt;BJOG: An International Journal of Obstetrics &amp;amp; Gynaecology&lt;/secondary-title&gt;&lt;/titles&gt;&lt;periodical&gt;&lt;full-title&gt;BJOG: An International Journal of Obstetrics &amp;amp; Gynaecology&lt;/full-title&gt;&lt;/periodical&gt;&lt;pages&gt;623-633&lt;/pages&gt;&lt;volume&gt;122&lt;/volume&gt;&lt;number&gt;5&lt;/number&gt;&lt;section&gt;623&lt;/section&gt;&lt;dates&gt;&lt;year&gt;2015&lt;/year&gt;&lt;/dates&gt;&lt;isbn&gt;14700328&lt;/isbn&gt;&lt;urls&gt;&lt;/urls&gt;&lt;electronic-resource-num&gt;10.1111/1471-0528.13280&lt;/electronic-resource-num&gt;&lt;/record&gt;&lt;/Cite&gt;&lt;/EndNote&gt;</w:instrText>
            </w:r>
            <w:r w:rsidR="003E2D58">
              <w:fldChar w:fldCharType="separate"/>
            </w:r>
            <w:r w:rsidR="002747EA" w:rsidRPr="002747EA">
              <w:rPr>
                <w:noProof/>
                <w:vertAlign w:val="superscript"/>
              </w:rPr>
              <w:t>55</w:t>
            </w:r>
            <w:r w:rsidR="003E2D58">
              <w:fldChar w:fldCharType="end"/>
            </w:r>
          </w:p>
          <w:p w14:paraId="3CE480BD" w14:textId="4426BA02" w:rsidR="00926598" w:rsidRDefault="00926598" w:rsidP="00767EBF">
            <w:r>
              <w:t>SLR</w:t>
            </w:r>
          </w:p>
        </w:tc>
        <w:tc>
          <w:tcPr>
            <w:tcW w:w="1247" w:type="dxa"/>
          </w:tcPr>
          <w:p w14:paraId="252BB08C" w14:textId="55872D0D" w:rsidR="00926598" w:rsidRDefault="00926598" w:rsidP="00C8357D">
            <w:r>
              <w:t>22 studies</w:t>
            </w:r>
          </w:p>
        </w:tc>
        <w:tc>
          <w:tcPr>
            <w:tcW w:w="4962" w:type="dxa"/>
          </w:tcPr>
          <w:p w14:paraId="3F971EA8" w14:textId="77777777" w:rsidR="00926598" w:rsidRDefault="00926598" w:rsidP="00926598">
            <w:pPr>
              <w:rPr>
                <w:rFonts w:ascii="Helvetica" w:eastAsiaTheme="majorEastAsia" w:hAnsi="Helvetica"/>
                <w:sz w:val="11"/>
                <w:szCs w:val="11"/>
              </w:rPr>
            </w:pPr>
            <w:r w:rsidRPr="00926598">
              <w:rPr>
                <w:b/>
              </w:rPr>
              <w:t>Aim</w:t>
            </w:r>
            <w:r>
              <w:t xml:space="preserve">: </w:t>
            </w:r>
            <w:r w:rsidRPr="00926598">
              <w:t>To review the literature on vegan</w:t>
            </w:r>
            <w:r w:rsidRPr="00926598">
              <w:rPr>
                <w:rFonts w:ascii="Helvetica" w:hAnsi="Helvetica"/>
              </w:rPr>
              <w:t>–</w:t>
            </w:r>
            <w:r w:rsidRPr="00926598">
              <w:t>vegetarian diets and</w:t>
            </w:r>
            <w:r>
              <w:t xml:space="preserve"> </w:t>
            </w:r>
            <w:r w:rsidRPr="00926598">
              <w:t>pregnancy outcomes.</w:t>
            </w:r>
            <w:r>
              <w:t xml:space="preserve"> </w:t>
            </w:r>
          </w:p>
          <w:p w14:paraId="1820B531" w14:textId="0A7B0AE7" w:rsidR="00926598" w:rsidRPr="00FC40DB" w:rsidRDefault="00926598" w:rsidP="00926598">
            <w:pPr>
              <w:rPr>
                <w:b/>
              </w:rPr>
            </w:pPr>
            <w:r w:rsidRPr="00926598">
              <w:rPr>
                <w:rFonts w:eastAsiaTheme="majorEastAsia"/>
                <w:b/>
              </w:rPr>
              <w:t>Methods</w:t>
            </w:r>
            <w:r w:rsidRPr="00926598">
              <w:rPr>
                <w:rFonts w:eastAsiaTheme="majorEastAsia"/>
              </w:rPr>
              <w:t xml:space="preserve">: </w:t>
            </w:r>
            <w:r w:rsidRPr="00926598">
              <w:t>PubMed, Embase, and the Cochrane library were</w:t>
            </w:r>
            <w:r>
              <w:t xml:space="preserve"> </w:t>
            </w:r>
            <w:r w:rsidRPr="00926598">
              <w:t>searched from inception to September 2013 for pregnancy and</w:t>
            </w:r>
            <w:r>
              <w:t xml:space="preserve"> </w:t>
            </w:r>
            <w:r w:rsidRPr="00926598">
              <w:t>vegan or vegetarian Medical Subject Headings (MeSH) and freetext</w:t>
            </w:r>
            <w:r>
              <w:t xml:space="preserve"> </w:t>
            </w:r>
            <w:r w:rsidRPr="00926598">
              <w:t>terms.</w:t>
            </w:r>
            <w:r>
              <w:t xml:space="preserve"> </w:t>
            </w:r>
            <w:r w:rsidRPr="00926598">
              <w:t>We excluded case reports and papers analysing vegan</w:t>
            </w:r>
            <w:r w:rsidRPr="00926598">
              <w:rPr>
                <w:rFonts w:ascii="Helvetica" w:hAnsi="Helvetica"/>
              </w:rPr>
              <w:t>–</w:t>
            </w:r>
            <w:r>
              <w:t xml:space="preserve"> </w:t>
            </w:r>
            <w:r w:rsidRPr="00926598">
              <w:t>vegetarian diets in poverty and malnutrition. Searching, paper</w:t>
            </w:r>
            <w:r>
              <w:t xml:space="preserve"> </w:t>
            </w:r>
            <w:r w:rsidRPr="00926598">
              <w:t>selection, and data extraction were performed in duplicate.</w:t>
            </w:r>
            <w:r>
              <w:t xml:space="preserve"> </w:t>
            </w:r>
          </w:p>
        </w:tc>
        <w:tc>
          <w:tcPr>
            <w:tcW w:w="4536" w:type="dxa"/>
          </w:tcPr>
          <w:p w14:paraId="39D3D378" w14:textId="2B64919C" w:rsidR="00926598" w:rsidRDefault="00926598" w:rsidP="00926598">
            <w:r w:rsidRPr="00926598">
              <w:t>None of the</w:t>
            </w:r>
            <w:r>
              <w:t xml:space="preserve"> </w:t>
            </w:r>
            <w:r w:rsidRPr="00926598">
              <w:t>studies reported an increase in severe adverse outcomes or in</w:t>
            </w:r>
            <w:r>
              <w:t xml:space="preserve"> </w:t>
            </w:r>
            <w:r w:rsidRPr="00926598">
              <w:t>major malformations, except one report of increased hypospadias</w:t>
            </w:r>
            <w:r>
              <w:t xml:space="preserve"> </w:t>
            </w:r>
            <w:r w:rsidRPr="00926598">
              <w:t>in infants of vegetarian mothers. Five studies reported vegetarian</w:t>
            </w:r>
            <w:r>
              <w:t xml:space="preserve"> </w:t>
            </w:r>
            <w:r w:rsidRPr="00926598">
              <w:t>mothers had lower birthweight babies, yet two studies reported</w:t>
            </w:r>
            <w:r>
              <w:t xml:space="preserve"> </w:t>
            </w:r>
            <w:r w:rsidRPr="00926598">
              <w:t>higher birthweights. The duration of pregnancy was available in</w:t>
            </w:r>
            <w:r>
              <w:t xml:space="preserve"> </w:t>
            </w:r>
            <w:r w:rsidRPr="00926598">
              <w:t>six studies and was similar between vegan</w:t>
            </w:r>
            <w:r w:rsidRPr="00926598">
              <w:rPr>
                <w:rFonts w:ascii="Helvetica" w:hAnsi="Helvetica"/>
              </w:rPr>
              <w:t>–</w:t>
            </w:r>
            <w:r w:rsidRPr="00926598">
              <w:t>vegetarians and</w:t>
            </w:r>
            <w:r>
              <w:t xml:space="preserve"> </w:t>
            </w:r>
            <w:r w:rsidRPr="00926598">
              <w:t>omnivores. The nine heterogeneous studies on microelements and</w:t>
            </w:r>
            <w:r>
              <w:t xml:space="preserve"> </w:t>
            </w:r>
            <w:r w:rsidRPr="00926598">
              <w:t>vitamins suggest vegan</w:t>
            </w:r>
            <w:r w:rsidRPr="00926598">
              <w:rPr>
                <w:rFonts w:ascii="Helvetica" w:hAnsi="Helvetica"/>
              </w:rPr>
              <w:t>–</w:t>
            </w:r>
            <w:r w:rsidRPr="00926598">
              <w:t>vegetarian women may be at risk of</w:t>
            </w:r>
            <w:r>
              <w:t xml:space="preserve"> </w:t>
            </w:r>
            <w:r w:rsidRPr="00926598">
              <w:t>vitamin B</w:t>
            </w:r>
            <w:r w:rsidRPr="00926598">
              <w:rPr>
                <w:vertAlign w:val="superscript"/>
              </w:rPr>
              <w:t>12</w:t>
            </w:r>
            <w:r w:rsidRPr="00926598">
              <w:t xml:space="preserve"> and iron deficiencies.</w:t>
            </w:r>
            <w:r>
              <w:t xml:space="preserve"> </w:t>
            </w:r>
          </w:p>
        </w:tc>
        <w:tc>
          <w:tcPr>
            <w:tcW w:w="1843" w:type="dxa"/>
          </w:tcPr>
          <w:p w14:paraId="0E64850E" w14:textId="2D5E0348" w:rsidR="00926598" w:rsidRPr="00C8357D" w:rsidRDefault="00926598" w:rsidP="00C8357D">
            <w:r w:rsidRPr="00926598">
              <w:t>The high heterogeneity of the studies</w:t>
            </w:r>
            <w:r>
              <w:t xml:space="preserve"> </w:t>
            </w:r>
            <w:r w:rsidRPr="00926598">
              <w:t>led to a narrative review.</w:t>
            </w:r>
          </w:p>
        </w:tc>
      </w:tr>
      <w:tr w:rsidR="00C8357D" w:rsidRPr="00C8357D" w14:paraId="4917E8EB" w14:textId="77777777" w:rsidTr="00926598">
        <w:trPr>
          <w:cantSplit/>
          <w:trHeight w:val="390"/>
        </w:trPr>
        <w:tc>
          <w:tcPr>
            <w:tcW w:w="1304" w:type="dxa"/>
          </w:tcPr>
          <w:p w14:paraId="3C7FC145" w14:textId="445D30F8" w:rsidR="00C8357D" w:rsidRPr="00C8357D" w:rsidRDefault="002F14B1" w:rsidP="002747EA">
            <w:r>
              <w:t>Foster et al 2015</w:t>
            </w:r>
            <w:r w:rsidR="00E37D04">
              <w:fldChar w:fldCharType="begin">
                <w:fldData xml:space="preserve">PEVuZE5vdGU+PENpdGU+PEF1dGhvcj5Gb3N0ZXI8L0F1dGhvcj48WWVhcj4yMDE1PC9ZZWFyPjxS
ZWNOdW0+MTM3NTwvUmVjTnVtPjxEaXNwbGF5VGV4dD48c3R5bGUgZmFjZT0ic3VwZXJzY3JpcHQi
IGZvbnQ9IlRyZWJ1Y2hldCBNUyIgc2l6ZT0iOSI+NTY8L3N0eWxlPjwvRGlzcGxheVRleHQ+PHJl
Y29yZD48cmVjLW51bWJlcj4xMzc1PC9yZWMtbnVtYmVyPjxmb3JlaWduLWtleXM+PGtleSBhcHA9
IkVOIiBkYi1pZD0iZXh2YXNyZngyZHRyYW9lc2FzeHAyc3pzeGEyZGY1MDI1OTJ4IiB0aW1lc3Rh
bXA9IjE1NjcwMzEzMTYiPjEzNzU8L2tleT48a2V5IGFwcD0iRU5XZWIiIGRiLWlkPSIiPjA8L2tl
eT48L2ZvcmVpZ24ta2V5cz48cmVmLXR5cGUgbmFtZT0iSm91cm5hbCBBcnRpY2xlIj4xNzwvcmVm
LXR5cGU+PGNvbnRyaWJ1dG9ycz48YXV0aG9ycz48YXV0aG9yPkZvc3RlciwgTS48L2F1dGhvcj48
YXV0aG9yPkhlcnVsYWgsIFUuIE4uPC9hdXRob3I+PGF1dGhvcj5QcmFzYWQsIEEuPC9hdXRob3I+
PGF1dGhvcj5QZXRvY3osIFAuPC9hdXRob3I+PGF1dGhvcj5TYW1tYW4sIFMuPC9hdXRob3I+PC9h
dXRob3JzPjwvY29udHJpYnV0b3JzPjxhdXRoLWFkZHJlc3M+RGVwYXJ0bWVudCBvZiBIdW1hbiBO
dXRyaXRpb24sIFVuaXZlcnNpdHkgb2YgT3RhZ28sIFBPIEJveCA1NiwgRHVuZWRpbiA5MDU0LCBO
ZXcgWmVhbGFuZC4gbWVpa2EuZm9zdGVyQG90YWdvLmFjLm56LiYjeEQ7RGlzY2lwbGluZSBvZiBO
dXRyaXRpb24gYW5kIE1ldGFib2xpc20sIFNjaG9vbCBvZiBNb2xlY3VsYXIgQmlvc2NpZW5jZSwg
VW5pdmVyc2l0eSBvZiBTeWRuZXksIE5TVyAyMDA2LCBBdXN0cmFsaWEuIHVoZXI5Mjk3QHVuaS5z
eWRuZXkuZWR1LmF1LiYjeEQ7RGVwYXJ0bWVudCBvZiBTdGF0aXN0aWNzLCBNYWNxdWFyaWUgVW5p
dmVyc2l0eSwgTlNXIDIxMDksIEF1c3RyYWxpYS4gYXNobGluaS1hc2hpa2EucHJhc2FkQHN0dWRl
bnRzLm1xLmVkdS5hdS4mI3hEO0RlcGFydG1lbnQgb2YgU3RhdGlzdGljcywgTWFjcXVhcmllIFVu
aXZlcnNpdHksIE5TVyAyMTA5LCBBdXN0cmFsaWEuIHBldGVyLnBldG9jekBtcS5lZHUuYXUuJiN4
RDtEZXBhcnRtZW50IG9mIEh1bWFuIE51dHJpdGlvbiwgVW5pdmVyc2l0eSBvZiBPdGFnbywgUE8g
Qm94IDU2LCBEdW5lZGluIDkwNTQsIE5ldyBaZWFsYW5kLiBzYW1pci5zYW1tYW5Ab3RhZ28uYWMu
bnouJiN4RDtEaXNjaXBsaW5lIG9mIE51dHJpdGlvbiBhbmQgTWV0YWJvbGlzbSwgU2Nob29sIG9m
IE1vbGVjdWxhciBCaW9zY2llbmNlLCBVbml2ZXJzaXR5IG9mIFN5ZG5leSwgTlNXIDIwMDYsIEF1
c3RyYWxpYS4gc2FtaXIuc2FtbWFuQG90YWdvLmFjLm56LjwvYXV0aC1hZGRyZXNzPjx0aXRsZXM+
PHRpdGxlPlppbmMgU3RhdHVzIG9mIFZlZ2V0YXJpYW5zIGR1cmluZyBQcmVnbmFuY3k6IEEgU3lz
dGVtYXRpYyBSZXZpZXcgb2YgT2JzZXJ2YXRpb25hbCBTdHVkaWVzIGFuZCBNZXRhLUFuYWx5c2lz
IG9mIFppbmMgSW50YWtlPC90aXRsZT48c2Vjb25kYXJ5LXRpdGxlPk51dHJpZW50czwvc2Vjb25k
YXJ5LXRpdGxlPjwvdGl0bGVzPjxwZXJpb2RpY2FsPjxmdWxsLXRpdGxlPk51dHJpZW50czwvZnVs
bC10aXRsZT48L3BlcmlvZGljYWw+PHBhZ2VzPjQ1MTItMjU8L3BhZ2VzPjx2b2x1bWU+Nzwvdm9s
dW1lPjxudW1iZXI+NjwvbnVtYmVyPjxlZGl0aW9uPjIwMTUvMDYvMTA8L2VkaXRpb24+PGtleXdv
cmRzPjxrZXl3b3JkPkJpb21hcmtlcnMvYmxvb2Q8L2tleXdvcmQ+PGtleXdvcmQ+RGlldCwgVmVn
ZXRhcmlhbjwva2V5d29yZD48a2V5d29yZD5GZW1hbGU8L2tleXdvcmQ+PGtleXdvcmQ+SHVtYW5z
PC9rZXl3b3JkPjxrZXl3b3JkPipNYXRlcm5hbCBOdXRyaXRpb25hbCBQaHlzaW9sb2dpY2FsIFBo
ZW5vbWVuYTwva2V5d29yZD48a2V5d29yZD5OdXRyaXRpb25hbCBSZXF1aXJlbWVudHM8L2tleXdv
cmQ+PGtleXdvcmQ+TnV0cml0aW9uYWwgU3RhdHVzPC9rZXl3b3JkPjxrZXl3b3JkPk9ic2VydmF0
aW9uYWwgU3R1ZGllcyBhcyBUb3BpYzwva2V5d29yZD48a2V5d29yZD5QcmVnbmFuY3k8L2tleXdv
cmQ+PGtleXdvcmQ+UHJlZ25hbmN5IE91dGNvbWU8L2tleXdvcmQ+PGtleXdvcmQ+KlZlZ2V0YXJp
YW5zPC9rZXl3b3JkPjxrZXl3b3JkPlppbmMvKmFkbWluaXN0cmF0aW9uICZhbXA7IGRvc2FnZS9i
bG9vZDwva2V5d29yZD48a2V5d29yZD5iaW9tYXJrZXI8L2tleXdvcmQ+PGtleXdvcmQ+ZGlldDwv
a2V5d29yZD48a2V5d29yZD5pbnRha2U8L2tleXdvcmQ+PGtleXdvcmQ+cmVxdWlyZW1lbnQ8L2tl
eXdvcmQ+PGtleXdvcmQ+c3RhdHVzPC9rZXl3b3JkPjxrZXl3b3JkPnZlZ2V0YXJpYW48L2tleXdv
cmQ+PGtleXdvcmQ+emluYzwva2V5d29yZD48L2tleXdvcmRzPjxkYXRlcz48eWVhcj4yMDE1PC95
ZWFyPjxwdWItZGF0ZXM+PGRhdGU+SnVuIDU8L2RhdGU+PC9wdWItZGF0ZXM+PC9kYXRlcz48aXNi
bj4yMDcyLTY2NDMgKEVsZWN0cm9uaWMpJiN4RDsyMDcyLTY2NDMgKExpbmtpbmcpPC9pc2JuPjxh
Y2Nlc3Npb24tbnVtPjI2MDU2OTE4PC9hY2Nlc3Npb24tbnVtPjx1cmxzPjxyZWxhdGVkLXVybHM+
PHVybD5odHRwczovL3d3dy5uY2JpLm5sbS5uaWguZ292L3B1Ym1lZC8yNjA1NjkxODwvdXJsPjwv
cmVsYXRlZC11cmxzPjwvdXJscz48Y3VzdG9tMj5QTUM0NDg4Nzk5PC9jdXN0b20yPjxlbGVjdHJv
bmljLXJlc291cmNlLW51bT4xMC4zMzkwL251NzA2NDUxMjwvZWxlY3Ryb25pYy1yZXNvdXJjZS1u
dW0+PC9yZWNvcmQ+PC9DaXRlPjwvRW5kTm90ZT4A
</w:fldData>
              </w:fldChar>
            </w:r>
            <w:r w:rsidR="002747EA">
              <w:instrText xml:space="preserve"> ADDIN EN.CITE </w:instrText>
            </w:r>
            <w:r w:rsidR="002747EA">
              <w:fldChar w:fldCharType="begin">
                <w:fldData xml:space="preserve">PEVuZE5vdGU+PENpdGU+PEF1dGhvcj5Gb3N0ZXI8L0F1dGhvcj48WWVhcj4yMDE1PC9ZZWFyPjxS
ZWNOdW0+MTM3NTwvUmVjTnVtPjxEaXNwbGF5VGV4dD48c3R5bGUgZmFjZT0ic3VwZXJzY3JpcHQi
IGZvbnQ9IlRyZWJ1Y2hldCBNUyIgc2l6ZT0iOSI+NTY8L3N0eWxlPjwvRGlzcGxheVRleHQ+PHJl
Y29yZD48cmVjLW51bWJlcj4xMzc1PC9yZWMtbnVtYmVyPjxmb3JlaWduLWtleXM+PGtleSBhcHA9
IkVOIiBkYi1pZD0iZXh2YXNyZngyZHRyYW9lc2FzeHAyc3pzeGEyZGY1MDI1OTJ4IiB0aW1lc3Rh
bXA9IjE1NjcwMzEzMTYiPjEzNzU8L2tleT48a2V5IGFwcD0iRU5XZWIiIGRiLWlkPSIiPjA8L2tl
eT48L2ZvcmVpZ24ta2V5cz48cmVmLXR5cGUgbmFtZT0iSm91cm5hbCBBcnRpY2xlIj4xNzwvcmVm
LXR5cGU+PGNvbnRyaWJ1dG9ycz48YXV0aG9ycz48YXV0aG9yPkZvc3RlciwgTS48L2F1dGhvcj48
YXV0aG9yPkhlcnVsYWgsIFUuIE4uPC9hdXRob3I+PGF1dGhvcj5QcmFzYWQsIEEuPC9hdXRob3I+
PGF1dGhvcj5QZXRvY3osIFAuPC9hdXRob3I+PGF1dGhvcj5TYW1tYW4sIFMuPC9hdXRob3I+PC9h
dXRob3JzPjwvY29udHJpYnV0b3JzPjxhdXRoLWFkZHJlc3M+RGVwYXJ0bWVudCBvZiBIdW1hbiBO
dXRyaXRpb24sIFVuaXZlcnNpdHkgb2YgT3RhZ28sIFBPIEJveCA1NiwgRHVuZWRpbiA5MDU0LCBO
ZXcgWmVhbGFuZC4gbWVpa2EuZm9zdGVyQG90YWdvLmFjLm56LiYjeEQ7RGlzY2lwbGluZSBvZiBO
dXRyaXRpb24gYW5kIE1ldGFib2xpc20sIFNjaG9vbCBvZiBNb2xlY3VsYXIgQmlvc2NpZW5jZSwg
VW5pdmVyc2l0eSBvZiBTeWRuZXksIE5TVyAyMDA2LCBBdXN0cmFsaWEuIHVoZXI5Mjk3QHVuaS5z
eWRuZXkuZWR1LmF1LiYjeEQ7RGVwYXJ0bWVudCBvZiBTdGF0aXN0aWNzLCBNYWNxdWFyaWUgVW5p
dmVyc2l0eSwgTlNXIDIxMDksIEF1c3RyYWxpYS4gYXNobGluaS1hc2hpa2EucHJhc2FkQHN0dWRl
bnRzLm1xLmVkdS5hdS4mI3hEO0RlcGFydG1lbnQgb2YgU3RhdGlzdGljcywgTWFjcXVhcmllIFVu
aXZlcnNpdHksIE5TVyAyMTA5LCBBdXN0cmFsaWEuIHBldGVyLnBldG9jekBtcS5lZHUuYXUuJiN4
RDtEZXBhcnRtZW50IG9mIEh1bWFuIE51dHJpdGlvbiwgVW5pdmVyc2l0eSBvZiBPdGFnbywgUE8g
Qm94IDU2LCBEdW5lZGluIDkwNTQsIE5ldyBaZWFsYW5kLiBzYW1pci5zYW1tYW5Ab3RhZ28uYWMu
bnouJiN4RDtEaXNjaXBsaW5lIG9mIE51dHJpdGlvbiBhbmQgTWV0YWJvbGlzbSwgU2Nob29sIG9m
IE1vbGVjdWxhciBCaW9zY2llbmNlLCBVbml2ZXJzaXR5IG9mIFN5ZG5leSwgTlNXIDIwMDYsIEF1
c3RyYWxpYS4gc2FtaXIuc2FtbWFuQG90YWdvLmFjLm56LjwvYXV0aC1hZGRyZXNzPjx0aXRsZXM+
PHRpdGxlPlppbmMgU3RhdHVzIG9mIFZlZ2V0YXJpYW5zIGR1cmluZyBQcmVnbmFuY3k6IEEgU3lz
dGVtYXRpYyBSZXZpZXcgb2YgT2JzZXJ2YXRpb25hbCBTdHVkaWVzIGFuZCBNZXRhLUFuYWx5c2lz
IG9mIFppbmMgSW50YWtlPC90aXRsZT48c2Vjb25kYXJ5LXRpdGxlPk51dHJpZW50czwvc2Vjb25k
YXJ5LXRpdGxlPjwvdGl0bGVzPjxwZXJpb2RpY2FsPjxmdWxsLXRpdGxlPk51dHJpZW50czwvZnVs
bC10aXRsZT48L3BlcmlvZGljYWw+PHBhZ2VzPjQ1MTItMjU8L3BhZ2VzPjx2b2x1bWU+Nzwvdm9s
dW1lPjxudW1iZXI+NjwvbnVtYmVyPjxlZGl0aW9uPjIwMTUvMDYvMTA8L2VkaXRpb24+PGtleXdv
cmRzPjxrZXl3b3JkPkJpb21hcmtlcnMvYmxvb2Q8L2tleXdvcmQ+PGtleXdvcmQ+RGlldCwgVmVn
ZXRhcmlhbjwva2V5d29yZD48a2V5d29yZD5GZW1hbGU8L2tleXdvcmQ+PGtleXdvcmQ+SHVtYW5z
PC9rZXl3b3JkPjxrZXl3b3JkPipNYXRlcm5hbCBOdXRyaXRpb25hbCBQaHlzaW9sb2dpY2FsIFBo
ZW5vbWVuYTwva2V5d29yZD48a2V5d29yZD5OdXRyaXRpb25hbCBSZXF1aXJlbWVudHM8L2tleXdv
cmQ+PGtleXdvcmQ+TnV0cml0aW9uYWwgU3RhdHVzPC9rZXl3b3JkPjxrZXl3b3JkPk9ic2VydmF0
aW9uYWwgU3R1ZGllcyBhcyBUb3BpYzwva2V5d29yZD48a2V5d29yZD5QcmVnbmFuY3k8L2tleXdv
cmQ+PGtleXdvcmQ+UHJlZ25hbmN5IE91dGNvbWU8L2tleXdvcmQ+PGtleXdvcmQ+KlZlZ2V0YXJp
YW5zPC9rZXl3b3JkPjxrZXl3b3JkPlppbmMvKmFkbWluaXN0cmF0aW9uICZhbXA7IGRvc2FnZS9i
bG9vZDwva2V5d29yZD48a2V5d29yZD5iaW9tYXJrZXI8L2tleXdvcmQ+PGtleXdvcmQ+ZGlldDwv
a2V5d29yZD48a2V5d29yZD5pbnRha2U8L2tleXdvcmQ+PGtleXdvcmQ+cmVxdWlyZW1lbnQ8L2tl
eXdvcmQ+PGtleXdvcmQ+c3RhdHVzPC9rZXl3b3JkPjxrZXl3b3JkPnZlZ2V0YXJpYW48L2tleXdv
cmQ+PGtleXdvcmQ+emluYzwva2V5d29yZD48L2tleXdvcmRzPjxkYXRlcz48eWVhcj4yMDE1PC95
ZWFyPjxwdWItZGF0ZXM+PGRhdGU+SnVuIDU8L2RhdGU+PC9wdWItZGF0ZXM+PC9kYXRlcz48aXNi
bj4yMDcyLTY2NDMgKEVsZWN0cm9uaWMpJiN4RDsyMDcyLTY2NDMgKExpbmtpbmcpPC9pc2JuPjxh
Y2Nlc3Npb24tbnVtPjI2MDU2OTE4PC9hY2Nlc3Npb24tbnVtPjx1cmxzPjxyZWxhdGVkLXVybHM+
PHVybD5odHRwczovL3d3dy5uY2JpLm5sbS5uaWguZ292L3B1Ym1lZC8yNjA1NjkxODwvdXJsPjwv
cmVsYXRlZC11cmxzPjwvdXJscz48Y3VzdG9tMj5QTUM0NDg4Nzk5PC9jdXN0b20yPjxlbGVjdHJv
bmljLXJlc291cmNlLW51bT4xMC4zMzkwL251NzA2NDUxMjwvZWxlY3Ryb25pYy1yZXNvdXJjZS1u
dW0+PC9yZWNvcmQ+PC9DaXRlPjwvRW5kTm90ZT4A
</w:fldData>
              </w:fldChar>
            </w:r>
            <w:r w:rsidR="002747EA">
              <w:instrText xml:space="preserve"> ADDIN EN.CITE.DATA </w:instrText>
            </w:r>
            <w:r w:rsidR="002747EA">
              <w:fldChar w:fldCharType="end"/>
            </w:r>
            <w:r w:rsidR="00E37D04">
              <w:fldChar w:fldCharType="separate"/>
            </w:r>
            <w:r w:rsidR="002747EA" w:rsidRPr="002747EA">
              <w:rPr>
                <w:noProof/>
                <w:vertAlign w:val="superscript"/>
              </w:rPr>
              <w:t>56</w:t>
            </w:r>
            <w:r w:rsidR="00E37D04">
              <w:fldChar w:fldCharType="end"/>
            </w:r>
          </w:p>
        </w:tc>
        <w:tc>
          <w:tcPr>
            <w:tcW w:w="1247" w:type="dxa"/>
          </w:tcPr>
          <w:p w14:paraId="0C2637F5" w14:textId="6D319315" w:rsidR="00C8357D" w:rsidRPr="00C8357D" w:rsidRDefault="00FC40DB" w:rsidP="00C8357D">
            <w:r>
              <w:t>6 studies</w:t>
            </w:r>
          </w:p>
        </w:tc>
        <w:tc>
          <w:tcPr>
            <w:tcW w:w="4962" w:type="dxa"/>
          </w:tcPr>
          <w:p w14:paraId="0A409AEE" w14:textId="77777777" w:rsidR="00FC40DB" w:rsidRDefault="00FC40DB" w:rsidP="00C8357D">
            <w:r w:rsidRPr="00FC40DB">
              <w:rPr>
                <w:b/>
              </w:rPr>
              <w:t>Aim</w:t>
            </w:r>
            <w:r>
              <w:t>: To explore</w:t>
            </w:r>
            <w:r w:rsidRPr="00FC40DB">
              <w:t xml:space="preserve"> the relationship between habitual vegetarian diets and dietary zinc intake/status during pregnancy. The association between vegetarian diets and functional pregnancy outcome also is considered. </w:t>
            </w:r>
          </w:p>
          <w:p w14:paraId="313D633C" w14:textId="21E4862A" w:rsidR="00C8357D" w:rsidRPr="00C8357D" w:rsidRDefault="00FC40DB" w:rsidP="00FC40DB">
            <w:r w:rsidRPr="00FC40DB">
              <w:rPr>
                <w:b/>
              </w:rPr>
              <w:t>Methods</w:t>
            </w:r>
            <w:r>
              <w:t xml:space="preserve">: </w:t>
            </w:r>
            <w:r w:rsidRPr="00FC40DB">
              <w:t xml:space="preserve">A literature search was conducted of MEDLINE; PubMed; Embase; the Cochrane Library; Web of Science; and Scopus electronic databases up to September 2014. </w:t>
            </w:r>
          </w:p>
        </w:tc>
        <w:tc>
          <w:tcPr>
            <w:tcW w:w="4536" w:type="dxa"/>
          </w:tcPr>
          <w:p w14:paraId="543E557F" w14:textId="7E1A23A5" w:rsidR="00FC40DB" w:rsidRDefault="00FC40DB" w:rsidP="00FC40DB">
            <w:r>
              <w:t>T</w:t>
            </w:r>
            <w:r w:rsidRPr="00FC40DB">
              <w:t>he zinc intake of vegetarians was f</w:t>
            </w:r>
            <w:r w:rsidR="009411D4">
              <w:t>ound to be lower than that of non-vegetarian women</w:t>
            </w:r>
            <w:r w:rsidRPr="00FC40DB">
              <w:t xml:space="preserve"> (-1.38</w:t>
            </w:r>
            <w:r w:rsidR="009411D4">
              <w:t>±0.35 mg/day; p&lt;</w:t>
            </w:r>
            <w:r w:rsidRPr="00FC40DB">
              <w:t>0.001); and the exclusion of low meat eaters from the analysis revealed a greater difference (-1.53</w:t>
            </w:r>
            <w:r w:rsidR="009411D4">
              <w:t>±0.44 mg/day; p=</w:t>
            </w:r>
            <w:r w:rsidRPr="00FC40DB">
              <w:t xml:space="preserve">0.001). </w:t>
            </w:r>
          </w:p>
          <w:p w14:paraId="1B14B53D" w14:textId="7D3DE47F" w:rsidR="00C8357D" w:rsidRPr="00FC40DB" w:rsidRDefault="00FC40DB" w:rsidP="009411D4">
            <w:r w:rsidRPr="00FC40DB">
              <w:t xml:space="preserve">Neither vegetarian nor </w:t>
            </w:r>
            <w:r w:rsidR="009411D4">
              <w:t>non-vegetarian</w:t>
            </w:r>
            <w:r w:rsidRPr="00FC40DB">
              <w:t xml:space="preserve"> groups met the recommended dietary allowance (RDA) for zinc. In a qualitative synthesis; no differences were found between groups in serum/plasma zinc or in functional outcomes associated with pregnancy. </w:t>
            </w:r>
          </w:p>
        </w:tc>
        <w:tc>
          <w:tcPr>
            <w:tcW w:w="1843" w:type="dxa"/>
          </w:tcPr>
          <w:p w14:paraId="0479A0BB" w14:textId="77777777" w:rsidR="00C8357D" w:rsidRPr="00C8357D" w:rsidRDefault="00C8357D" w:rsidP="00C8357D"/>
        </w:tc>
      </w:tr>
    </w:tbl>
    <w:p w14:paraId="07CF2F76" w14:textId="1ED16A0D" w:rsidR="00693B1E" w:rsidRDefault="009C163D" w:rsidP="005719CE">
      <w:pPr>
        <w:pStyle w:val="TableName"/>
        <w:ind w:left="1134" w:hanging="1134"/>
      </w:pPr>
      <w:bookmarkStart w:id="40" w:name="_Toc40956597"/>
      <w:r>
        <w:t xml:space="preserve">Q1 </w:t>
      </w:r>
      <w:r w:rsidR="00693B1E">
        <w:t>Vegetarian or vegan diets in pregnancy — observational studies</w:t>
      </w:r>
      <w:bookmarkEnd w:id="4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9: Q1 Vegetarian or vegan diets in pregnancy — observational studies"/>
      </w:tblPr>
      <w:tblGrid>
        <w:gridCol w:w="1275"/>
        <w:gridCol w:w="1275"/>
        <w:gridCol w:w="4963"/>
        <w:gridCol w:w="4536"/>
        <w:gridCol w:w="1843"/>
      </w:tblGrid>
      <w:tr w:rsidR="00693B1E" w:rsidRPr="00F350A6" w14:paraId="65C08328" w14:textId="77777777" w:rsidTr="00693B1E">
        <w:trPr>
          <w:cantSplit/>
          <w:trHeight w:val="390"/>
          <w:tblHeader/>
        </w:trPr>
        <w:tc>
          <w:tcPr>
            <w:tcW w:w="1275" w:type="dxa"/>
          </w:tcPr>
          <w:p w14:paraId="325C73FF" w14:textId="77777777" w:rsidR="00693B1E" w:rsidRPr="00F350A6" w:rsidRDefault="00693B1E" w:rsidP="007A69A9">
            <w:pPr>
              <w:keepNext/>
              <w:rPr>
                <w:b/>
              </w:rPr>
            </w:pPr>
            <w:r>
              <w:rPr>
                <w:b/>
              </w:rPr>
              <w:t>Study ref</w:t>
            </w:r>
          </w:p>
        </w:tc>
        <w:tc>
          <w:tcPr>
            <w:tcW w:w="1275" w:type="dxa"/>
          </w:tcPr>
          <w:p w14:paraId="1FDAC4F9" w14:textId="77777777" w:rsidR="00693B1E" w:rsidRPr="00F350A6" w:rsidRDefault="00693B1E" w:rsidP="007A69A9">
            <w:pPr>
              <w:keepNext/>
              <w:rPr>
                <w:b/>
              </w:rPr>
            </w:pPr>
            <w:r>
              <w:rPr>
                <w:b/>
              </w:rPr>
              <w:t>N</w:t>
            </w:r>
          </w:p>
        </w:tc>
        <w:tc>
          <w:tcPr>
            <w:tcW w:w="4963" w:type="dxa"/>
          </w:tcPr>
          <w:p w14:paraId="26C334F0" w14:textId="77777777" w:rsidR="00693B1E" w:rsidRPr="00F350A6" w:rsidRDefault="00693B1E" w:rsidP="007A69A9">
            <w:pPr>
              <w:keepNext/>
              <w:rPr>
                <w:b/>
              </w:rPr>
            </w:pPr>
            <w:r>
              <w:rPr>
                <w:b/>
              </w:rPr>
              <w:t>Aim/methods</w:t>
            </w:r>
          </w:p>
        </w:tc>
        <w:tc>
          <w:tcPr>
            <w:tcW w:w="4536" w:type="dxa"/>
          </w:tcPr>
          <w:p w14:paraId="29D2A2AC" w14:textId="77777777" w:rsidR="00693B1E" w:rsidRPr="00F350A6" w:rsidRDefault="00693B1E" w:rsidP="007A69A9">
            <w:pPr>
              <w:keepNext/>
              <w:rPr>
                <w:b/>
              </w:rPr>
            </w:pPr>
            <w:r>
              <w:rPr>
                <w:b/>
              </w:rPr>
              <w:t>Results</w:t>
            </w:r>
          </w:p>
        </w:tc>
        <w:tc>
          <w:tcPr>
            <w:tcW w:w="1843" w:type="dxa"/>
          </w:tcPr>
          <w:p w14:paraId="10B75EE7" w14:textId="77777777" w:rsidR="00693B1E" w:rsidRPr="00F350A6" w:rsidRDefault="00693B1E" w:rsidP="007A69A9">
            <w:pPr>
              <w:keepNext/>
              <w:rPr>
                <w:b/>
              </w:rPr>
            </w:pPr>
            <w:r>
              <w:rPr>
                <w:b/>
              </w:rPr>
              <w:t>Comments</w:t>
            </w:r>
          </w:p>
        </w:tc>
      </w:tr>
      <w:tr w:rsidR="00693B1E" w:rsidRPr="007B3A77" w14:paraId="56495302" w14:textId="77777777" w:rsidTr="00693B1E">
        <w:trPr>
          <w:cantSplit/>
          <w:trHeight w:val="390"/>
        </w:trPr>
        <w:tc>
          <w:tcPr>
            <w:tcW w:w="1275" w:type="dxa"/>
          </w:tcPr>
          <w:p w14:paraId="2E449423" w14:textId="1396220F" w:rsidR="00693B1E" w:rsidRDefault="00693B1E" w:rsidP="007A69A9">
            <w:r>
              <w:t>Zulyniak et al 2017</w:t>
            </w:r>
            <w:r>
              <w:fldChar w:fldCharType="begin">
                <w:fldData xml:space="preserve">PEVuZE5vdGU+PENpdGU+PEF1dGhvcj5adWx5bmlhazwvQXV0aG9yPjxZZWFyPjIwMTc8L1llYXI+
PFJlY051bT4xNDg4PC9SZWNOdW0+PERpc3BsYXlUZXh0PjxzdHlsZSBmYWNlPSJzdXBlcnNjcmlw
dCIgZm9udD0iVHJlYnVjaGV0IE1TIiBzaXplPSI5Ij41Nzwvc3R5bGU+PC9EaXNwbGF5VGV4dD48
cmVjb3JkPjxyZWMtbnVtYmVyPjE0ODg8L3JlYy1udW1iZXI+PGZvcmVpZ24ta2V5cz48a2V5IGFw
cD0iRU4iIGRiLWlkPSJleHZhc3JmeDJkdHJhb2VzYXN4cDJzenN4YTJkZjUwMjU5MngiIHRpbWVz
dGFtcD0iMTU3NDAzOTczNiI+MTQ4ODwva2V5PjxrZXkgYXBwPSJFTldlYiIgZGItaWQ9IiI+MDwv
a2V5PjwvZm9yZWlnbi1rZXlzPjxyZWYtdHlwZSBuYW1lPSJKb3VybmFsIEFydGljbGUiPjE3PC9y
ZWYtdHlwZT48Y29udHJpYnV0b3JzPjxhdXRob3JzPjxhdXRob3I+WnVseW5pYWssIE0uIEEuPC9h
dXRob3I+PGF1dGhvcj5kZSBTb3V6YSwgUi4gSi48L2F1dGhvcj48YXV0aG9yPlNoYWlraCwgTS48
L2F1dGhvcj48YXV0aG9yPkRlc2FpLCBELjwvYXV0aG9yPjxhdXRob3I+TGVmZWJ2cmUsIEQuIEwu
PC9hdXRob3I+PGF1dGhvcj5HdXB0YSwgTS48L2F1dGhvcj48YXV0aG9yPldpbHNvbiwgSi48L2F1
dGhvcj48YXV0aG9yPldhaGksIEcuPC9hdXRob3I+PGF1dGhvcj5TdWJiYXJhbywgUC48L2F1dGhv
cj48YXV0aG9yPkJlY2tlciwgQS4gQi48L2F1dGhvcj48YXV0aG9yPk1hbmRoYW5lLCBQLjwvYXV0
aG9yPjxhdXRob3I+VHVydmV5LCBTLiBFLjwvYXV0aG9yPjxhdXRob3I+QmV5ZW5lLCBKLjwvYXV0
aG9yPjxhdXRob3I+QXRraW5zb24sIFMuPC9hdXRob3I+PGF1dGhvcj5Nb3JyaXNvbiwgSy4gTS48
L2F1dGhvcj48YXV0aG9yPk1jRG9uYWxkLCBTLjwvYXV0aG9yPjxhdXRob3I+VGVvLCBLLiBLLjwv
YXV0aG9yPjxhdXRob3I+U2VhcnMsIE0uIFIuPC9hdXRob3I+PGF1dGhvcj5BbmFuZCwgUy4gUy48
L2F1dGhvcj48YXV0aG9yPk51dHJpR2VuIEFsbGlhbmNlLCBpbnZlc3RpZ2F0b3JzPC9hdXRob3I+
PC9hdXRob3JzPjwvY29udHJpYnV0b3JzPjxhdXRoLWFkZHJlc3M+RGVwYXJ0bWVudCBvZiBNZWRp
Y2luZSwgTWNNYXN0ZXIgVW5pdmVyc2l0eSwgSGFtaWx0b24sIE9udGFyaW8sIENhbmFkYS4mI3hE
O1NjaG9vbCBvZiBGb29kIFNjaWVuY2UgYW5kIE51dHJpdGlvbiwgVW5pdmVyc2l0eSBvZiBMZWVk
cywgTGVlZHMsIFVLLiYjeEQ7RGVwYXJ0bWVudCBvZiBIZWFsdGggUmVzZWFyY2ggTWV0aG9kcywg
RXZpZGVuY2UsIGFuZCBJbXBhY3QsIE1jTWFzdGVyIFVuaXZlcnNpdHksIEhhbWlsdG9uLCBPbnRh
cmlvLCBDYW5hZGEuJiN4RDtQb3B1bGF0aW9uIEhlYWx0aCBSZXNlYXJjaCBJbnN0aXR1dGUsIEhh
bWlsdG9uIEhlYWx0aCBTY2llbmNlcyBhbmQgTWNNYXN0ZXIgVW5pdmVyc2l0eSwgSGFtaWx0b24s
IE9udGFyaW8sIENhbmFkYS4mI3hEO0NhbmFkaWFuIENhcmRpb3Zhc2N1bGFyIFJlc2VhcmNoIE5l
dHdvcmssIEJyYW1wdG9uLCBPbnRhcmlvLCBDYW5hZGEuJiN4RDtTaXggTmF0aW9ucyBIZWFsdGgg
U2VydmljZXMsIE9oc3dla2VuLCBPbnRhcmlvLCBDYW5hZGEuJiN4RDtEZXBhcnRtZW50IG9mIFBh
ZWRpYXRyaWNzLCBNY01hc3RlciBVbml2ZXJzaXR5LCBIYW1pbHRvbiwgT250YXJpbywgQ2FuYWRh
LiYjeEQ7SG9zcGl0YWwgZm9yIFNpY2sgQ2hpbGRyZW4gYW5kIERlcGFydG1lbnQgb2YgUGFlZGlh
dHJpY3MsIFVuaXZlcnNpdHkgb2YgVG9yb250bywgVG9yb250bywgT250YXJpbywgQ2FuYWRhLiYj
eEQ7RGVwYXJ0bWVudCBvZiBJbW11bm9sb2d5LCBGYWN1bHR5IG9mIE1lZGljaW5lLCBVbml2ZXJz
aXR5IG9mIE1hbml0b2JhLCBXaW5uaXBlZywgTWFuaXRvYmEsIENhbmFkYS4mI3hEO0RlcGFydG1l
bnQgb2YgUGVkaWF0cmljcywgRmFjdWx0eSBvZiBNZWRpY2luZSBhbmQgRGVudGlzdHJ5LCBVbml2
ZXJzaXR5IG9mIEFsYmVydGEsIEVkbW9udG9uLCBBbGJlcnRhLCBDYW5hZGEuJiN4RDtEZXBhcnRt
ZW50IG9mIFBhZWRpYXRyaWNzLCBGYWN1bHR5IG9mIE1lZGljaW5lLCBVbml2ZXJzaXR5IG9mIEJy
aXRpc2ggQ29sdW1iaWEsIEJDIENoaWxkcmVuJmFwb3M7cyBIb3NwaXRhbCwgVmFuY291dmVyLCBC
cml0aXNoIENvbHVtYmlhLCBDYW5hZGEuPC9hdXRoLWFkZHJlc3M+PHRpdGxlcz48dGl0bGU+RG9l
cyB0aGUgaW1wYWN0IG9mIGEgcGxhbnQtYmFzZWQgZGlldCBkdXJpbmcgcHJlZ25hbmN5IG9uIGJp
cnRoIHdlaWdodCBkaWZmZXIgYnkgZXRobmljaXR5PyBBIGRpZXRhcnkgcGF0dGVybiBhbmFseXNp
cyBmcm9tIGEgcHJvc3BlY3RpdmUgQ2FuYWRpYW4gYmlydGggY29ob3J0IGFsbGlhbmNlPC90aXRs
ZT48c2Vjb25kYXJ5LXRpdGxlPkJNSiBPcGVuPC9zZWNvbmRhcnktdGl0bGU+PC90aXRsZXM+PHBl
cmlvZGljYWw+PGZ1bGwtdGl0bGU+Qk1KIE9wZW48L2Z1bGwtdGl0bGU+PC9wZXJpb2RpY2FsPjxw
YWdlcz5lMDE3NzUzPC9wYWdlcz48dm9sdW1lPjc8L3ZvbHVtZT48bnVtYmVyPjExPC9udW1iZXI+
PGVkaXRpb24+MjAxNy8xMS8xNjwvZWRpdGlvbj48a2V5d29yZHM+PGtleXdvcmQ+QWR1bHQ8L2tl
eXdvcmQ+PGtleXdvcmQ+QXNpYW4gQ29udGluZW50YWwgQW5jZXN0cnkgR3JvdXA8L2tleXdvcmQ+
PGtleXdvcmQ+KkJpcnRoIFdlaWdodDwva2V5d29yZD48a2V5d29yZD5DYW5hZGEvZXBpZGVtaW9s
b2d5PC9rZXl3b3JkPjxrZXl3b3JkPkNvb2tpbmc8L2tleXdvcmQ+PGtleXdvcmQ+RGlldCwgVmVn
ZXRhcmlhbi8qZXRobm9sb2d5PC9rZXl3b3JkPjxrZXl3b3JkPkRpZXQsIFdlc3Rlcm4vKmV0aG5v
bG9neTwva2V5d29yZD48a2V5d29yZD5FbmVyZ3kgSW50YWtlPC9rZXl3b3JkPjxrZXl3b3JkPkV1
cm9wZWFuIENvbnRpbmVudGFsIEFuY2VzdHJ5IEdyb3VwPC9rZXl3b3JkPjxrZXl3b3JkPkZlbWFs
ZTwva2V5d29yZD48a2V5d29yZD5GZXRhbCBNYWNyb3NvbWlhL2V0aG5vbG9neTwva2V5d29yZD48
a2V5d29yZD5Gb29kPC9rZXl3b3JkPjxrZXl3b3JkPkhlYWx0aHkgRGlldC8qZXRobm9sb2d5PC9r
ZXl3b3JkPjxrZXl3b3JkPkh1bWFuczwva2V5d29yZD48a2V5d29yZD5JbmZhbnQsIFNtYWxsIGZv
ciBHZXN0YXRpb25hbCBBZ2U8L2tleXdvcmQ+PGtleXdvcmQ+UHJlZ25hbmN5PC9rZXl3b3JkPjxr
ZXl3b3JkPlRlcm0gQmlydGg8L2tleXdvcmQ+PGtleXdvcmQ+WW91bmcgQWR1bHQ8L2tleXdvcmQ+
PGtleXdvcmQ+UGNhPC9rZXl3b3JkPjxrZXl3b3JkPmJpcnRoIHdlaWdodDwva2V5d29yZD48a2V5
d29yZD5kaWV0IHBhdHRlcm48L2tleXdvcmQ+PGtleXdvcmQ+bnV0cml0aW9uPC9rZXl3b3JkPjwv
a2V5d29yZHM+PGRhdGVzPjx5ZWFyPjIwMTc8L3llYXI+PHB1Yi1kYXRlcz48ZGF0ZT5Ob3YgMTQ8
L2RhdGU+PC9wdWItZGF0ZXM+PC9kYXRlcz48aXNibj4yMDQ0LTYwNTUgKEVsZWN0cm9uaWMpJiN4
RDsyMDQ0LTYwNTUgKExpbmtpbmcpPC9pc2JuPjxhY2Nlc3Npb24tbnVtPjI5MTM4MjAzPC9hY2Nl
c3Npb24tbnVtPjx1cmxzPjxyZWxhdGVkLXVybHM+PHVybD5odHRwczovL3d3dy5uY2JpLm5sbS5u
aWguZ292L3B1Ym1lZC8yOTEzODIwMzwvdXJsPjwvcmVsYXRlZC11cmxzPjwvdXJscz48Y3VzdG9t
Mj5QTUM1Njk1NDQ4PC9jdXN0b20yPjxlbGVjdHJvbmljLXJlc291cmNlLW51bT4xMC4xMTM2L2Jt
am9wZW4tMjAxNy0wMTc3NTM8L2VsZWN0cm9uaWMtcmVzb3VyY2UtbnVtPjwvcmVjb3JkPjwvQ2l0
ZT48L0VuZE5vdGU+AG==
</w:fldData>
              </w:fldChar>
            </w:r>
            <w:r w:rsidR="002747EA">
              <w:instrText xml:space="preserve"> ADDIN EN.CITE </w:instrText>
            </w:r>
            <w:r w:rsidR="002747EA">
              <w:fldChar w:fldCharType="begin">
                <w:fldData xml:space="preserve">PEVuZE5vdGU+PENpdGU+PEF1dGhvcj5adWx5bmlhazwvQXV0aG9yPjxZZWFyPjIwMTc8L1llYXI+
PFJlY051bT4xNDg4PC9SZWNOdW0+PERpc3BsYXlUZXh0PjxzdHlsZSBmYWNlPSJzdXBlcnNjcmlw
dCIgZm9udD0iVHJlYnVjaGV0IE1TIiBzaXplPSI5Ij41Nzwvc3R5bGU+PC9EaXNwbGF5VGV4dD48
cmVjb3JkPjxyZWMtbnVtYmVyPjE0ODg8L3JlYy1udW1iZXI+PGZvcmVpZ24ta2V5cz48a2V5IGFw
cD0iRU4iIGRiLWlkPSJleHZhc3JmeDJkdHJhb2VzYXN4cDJzenN4YTJkZjUwMjU5MngiIHRpbWVz
dGFtcD0iMTU3NDAzOTczNiI+MTQ4ODwva2V5PjxrZXkgYXBwPSJFTldlYiIgZGItaWQ9IiI+MDwv
a2V5PjwvZm9yZWlnbi1rZXlzPjxyZWYtdHlwZSBuYW1lPSJKb3VybmFsIEFydGljbGUiPjE3PC9y
ZWYtdHlwZT48Y29udHJpYnV0b3JzPjxhdXRob3JzPjxhdXRob3I+WnVseW5pYWssIE0uIEEuPC9h
dXRob3I+PGF1dGhvcj5kZSBTb3V6YSwgUi4gSi48L2F1dGhvcj48YXV0aG9yPlNoYWlraCwgTS48
L2F1dGhvcj48YXV0aG9yPkRlc2FpLCBELjwvYXV0aG9yPjxhdXRob3I+TGVmZWJ2cmUsIEQuIEwu
PC9hdXRob3I+PGF1dGhvcj5HdXB0YSwgTS48L2F1dGhvcj48YXV0aG9yPldpbHNvbiwgSi48L2F1
dGhvcj48YXV0aG9yPldhaGksIEcuPC9hdXRob3I+PGF1dGhvcj5TdWJiYXJhbywgUC48L2F1dGhv
cj48YXV0aG9yPkJlY2tlciwgQS4gQi48L2F1dGhvcj48YXV0aG9yPk1hbmRoYW5lLCBQLjwvYXV0
aG9yPjxhdXRob3I+VHVydmV5LCBTLiBFLjwvYXV0aG9yPjxhdXRob3I+QmV5ZW5lLCBKLjwvYXV0
aG9yPjxhdXRob3I+QXRraW5zb24sIFMuPC9hdXRob3I+PGF1dGhvcj5Nb3JyaXNvbiwgSy4gTS48
L2F1dGhvcj48YXV0aG9yPk1jRG9uYWxkLCBTLjwvYXV0aG9yPjxhdXRob3I+VGVvLCBLLiBLLjwv
YXV0aG9yPjxhdXRob3I+U2VhcnMsIE0uIFIuPC9hdXRob3I+PGF1dGhvcj5BbmFuZCwgUy4gUy48
L2F1dGhvcj48YXV0aG9yPk51dHJpR2VuIEFsbGlhbmNlLCBpbnZlc3RpZ2F0b3JzPC9hdXRob3I+
PC9hdXRob3JzPjwvY29udHJpYnV0b3JzPjxhdXRoLWFkZHJlc3M+RGVwYXJ0bWVudCBvZiBNZWRp
Y2luZSwgTWNNYXN0ZXIgVW5pdmVyc2l0eSwgSGFtaWx0b24sIE9udGFyaW8sIENhbmFkYS4mI3hE
O1NjaG9vbCBvZiBGb29kIFNjaWVuY2UgYW5kIE51dHJpdGlvbiwgVW5pdmVyc2l0eSBvZiBMZWVk
cywgTGVlZHMsIFVLLiYjeEQ7RGVwYXJ0bWVudCBvZiBIZWFsdGggUmVzZWFyY2ggTWV0aG9kcywg
RXZpZGVuY2UsIGFuZCBJbXBhY3QsIE1jTWFzdGVyIFVuaXZlcnNpdHksIEhhbWlsdG9uLCBPbnRh
cmlvLCBDYW5hZGEuJiN4RDtQb3B1bGF0aW9uIEhlYWx0aCBSZXNlYXJjaCBJbnN0aXR1dGUsIEhh
bWlsdG9uIEhlYWx0aCBTY2llbmNlcyBhbmQgTWNNYXN0ZXIgVW5pdmVyc2l0eSwgSGFtaWx0b24s
IE9udGFyaW8sIENhbmFkYS4mI3hEO0NhbmFkaWFuIENhcmRpb3Zhc2N1bGFyIFJlc2VhcmNoIE5l
dHdvcmssIEJyYW1wdG9uLCBPbnRhcmlvLCBDYW5hZGEuJiN4RDtTaXggTmF0aW9ucyBIZWFsdGgg
U2VydmljZXMsIE9oc3dla2VuLCBPbnRhcmlvLCBDYW5hZGEuJiN4RDtEZXBhcnRtZW50IG9mIFBh
ZWRpYXRyaWNzLCBNY01hc3RlciBVbml2ZXJzaXR5LCBIYW1pbHRvbiwgT250YXJpbywgQ2FuYWRh
LiYjeEQ7SG9zcGl0YWwgZm9yIFNpY2sgQ2hpbGRyZW4gYW5kIERlcGFydG1lbnQgb2YgUGFlZGlh
dHJpY3MsIFVuaXZlcnNpdHkgb2YgVG9yb250bywgVG9yb250bywgT250YXJpbywgQ2FuYWRhLiYj
eEQ7RGVwYXJ0bWVudCBvZiBJbW11bm9sb2d5LCBGYWN1bHR5IG9mIE1lZGljaW5lLCBVbml2ZXJz
aXR5IG9mIE1hbml0b2JhLCBXaW5uaXBlZywgTWFuaXRvYmEsIENhbmFkYS4mI3hEO0RlcGFydG1l
bnQgb2YgUGVkaWF0cmljcywgRmFjdWx0eSBvZiBNZWRpY2luZSBhbmQgRGVudGlzdHJ5LCBVbml2
ZXJzaXR5IG9mIEFsYmVydGEsIEVkbW9udG9uLCBBbGJlcnRhLCBDYW5hZGEuJiN4RDtEZXBhcnRt
ZW50IG9mIFBhZWRpYXRyaWNzLCBGYWN1bHR5IG9mIE1lZGljaW5lLCBVbml2ZXJzaXR5IG9mIEJy
aXRpc2ggQ29sdW1iaWEsIEJDIENoaWxkcmVuJmFwb3M7cyBIb3NwaXRhbCwgVmFuY291dmVyLCBC
cml0aXNoIENvbHVtYmlhLCBDYW5hZGEuPC9hdXRoLWFkZHJlc3M+PHRpdGxlcz48dGl0bGU+RG9l
cyB0aGUgaW1wYWN0IG9mIGEgcGxhbnQtYmFzZWQgZGlldCBkdXJpbmcgcHJlZ25hbmN5IG9uIGJp
cnRoIHdlaWdodCBkaWZmZXIgYnkgZXRobmljaXR5PyBBIGRpZXRhcnkgcGF0dGVybiBhbmFseXNp
cyBmcm9tIGEgcHJvc3BlY3RpdmUgQ2FuYWRpYW4gYmlydGggY29ob3J0IGFsbGlhbmNlPC90aXRs
ZT48c2Vjb25kYXJ5LXRpdGxlPkJNSiBPcGVuPC9zZWNvbmRhcnktdGl0bGU+PC90aXRsZXM+PHBl
cmlvZGljYWw+PGZ1bGwtdGl0bGU+Qk1KIE9wZW48L2Z1bGwtdGl0bGU+PC9wZXJpb2RpY2FsPjxw
YWdlcz5lMDE3NzUzPC9wYWdlcz48dm9sdW1lPjc8L3ZvbHVtZT48bnVtYmVyPjExPC9udW1iZXI+
PGVkaXRpb24+MjAxNy8xMS8xNjwvZWRpdGlvbj48a2V5d29yZHM+PGtleXdvcmQ+QWR1bHQ8L2tl
eXdvcmQ+PGtleXdvcmQ+QXNpYW4gQ29udGluZW50YWwgQW5jZXN0cnkgR3JvdXA8L2tleXdvcmQ+
PGtleXdvcmQ+KkJpcnRoIFdlaWdodDwva2V5d29yZD48a2V5d29yZD5DYW5hZGEvZXBpZGVtaW9s
b2d5PC9rZXl3b3JkPjxrZXl3b3JkPkNvb2tpbmc8L2tleXdvcmQ+PGtleXdvcmQ+RGlldCwgVmVn
ZXRhcmlhbi8qZXRobm9sb2d5PC9rZXl3b3JkPjxrZXl3b3JkPkRpZXQsIFdlc3Rlcm4vKmV0aG5v
bG9neTwva2V5d29yZD48a2V5d29yZD5FbmVyZ3kgSW50YWtlPC9rZXl3b3JkPjxrZXl3b3JkPkV1
cm9wZWFuIENvbnRpbmVudGFsIEFuY2VzdHJ5IEdyb3VwPC9rZXl3b3JkPjxrZXl3b3JkPkZlbWFs
ZTwva2V5d29yZD48a2V5d29yZD5GZXRhbCBNYWNyb3NvbWlhL2V0aG5vbG9neTwva2V5d29yZD48
a2V5d29yZD5Gb29kPC9rZXl3b3JkPjxrZXl3b3JkPkhlYWx0aHkgRGlldC8qZXRobm9sb2d5PC9r
ZXl3b3JkPjxrZXl3b3JkPkh1bWFuczwva2V5d29yZD48a2V5d29yZD5JbmZhbnQsIFNtYWxsIGZv
ciBHZXN0YXRpb25hbCBBZ2U8L2tleXdvcmQ+PGtleXdvcmQ+UHJlZ25hbmN5PC9rZXl3b3JkPjxr
ZXl3b3JkPlRlcm0gQmlydGg8L2tleXdvcmQ+PGtleXdvcmQ+WW91bmcgQWR1bHQ8L2tleXdvcmQ+
PGtleXdvcmQ+UGNhPC9rZXl3b3JkPjxrZXl3b3JkPmJpcnRoIHdlaWdodDwva2V5d29yZD48a2V5
d29yZD5kaWV0IHBhdHRlcm48L2tleXdvcmQ+PGtleXdvcmQ+bnV0cml0aW9uPC9rZXl3b3JkPjwv
a2V5d29yZHM+PGRhdGVzPjx5ZWFyPjIwMTc8L3llYXI+PHB1Yi1kYXRlcz48ZGF0ZT5Ob3YgMTQ8
L2RhdGU+PC9wdWItZGF0ZXM+PC9kYXRlcz48aXNibj4yMDQ0LTYwNTUgKEVsZWN0cm9uaWMpJiN4
RDsyMDQ0LTYwNTUgKExpbmtpbmcpPC9pc2JuPjxhY2Nlc3Npb24tbnVtPjI5MTM4MjAzPC9hY2Nl
c3Npb24tbnVtPjx1cmxzPjxyZWxhdGVkLXVybHM+PHVybD5odHRwczovL3d3dy5uY2JpLm5sbS5u
aWguZ292L3B1Ym1lZC8yOTEzODIwMzwvdXJsPjwvcmVsYXRlZC11cmxzPjwvdXJscz48Y3VzdG9t
Mj5QTUM1Njk1NDQ4PC9jdXN0b20yPjxlbGVjdHJvbmljLXJlc291cmNlLW51bT4xMC4xMTM2L2Jt
am9wZW4tMjAxNy0wMTc3NTM8L2VsZWN0cm9uaWMtcmVzb3VyY2UtbnVtPjwvcmVjb3JkPjwvQ2l0
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57</w:t>
            </w:r>
            <w:r>
              <w:fldChar w:fldCharType="end"/>
            </w:r>
          </w:p>
          <w:p w14:paraId="17F3C51B" w14:textId="77777777" w:rsidR="00693B1E" w:rsidRDefault="00693B1E" w:rsidP="007A69A9">
            <w:r>
              <w:t>Canada</w:t>
            </w:r>
          </w:p>
          <w:p w14:paraId="7DDD4DBC" w14:textId="77777777" w:rsidR="00693B1E" w:rsidRDefault="00693B1E" w:rsidP="007A69A9">
            <w:r>
              <w:t>Cohort</w:t>
            </w:r>
          </w:p>
        </w:tc>
        <w:tc>
          <w:tcPr>
            <w:tcW w:w="1275" w:type="dxa"/>
          </w:tcPr>
          <w:p w14:paraId="2DFC1697" w14:textId="5A063882" w:rsidR="00693B1E" w:rsidRDefault="00693B1E" w:rsidP="007A69A9">
            <w:r>
              <w:t xml:space="preserve">3,997 mother-infant </w:t>
            </w:r>
            <w:r w:rsidR="00501148">
              <w:t>pairs</w:t>
            </w:r>
          </w:p>
        </w:tc>
        <w:tc>
          <w:tcPr>
            <w:tcW w:w="4963" w:type="dxa"/>
          </w:tcPr>
          <w:p w14:paraId="3AFB6AE9" w14:textId="77777777" w:rsidR="00693B1E" w:rsidRDefault="00693B1E" w:rsidP="007A69A9">
            <w:r>
              <w:rPr>
                <w:b/>
              </w:rPr>
              <w:t xml:space="preserve">Aim: </w:t>
            </w:r>
            <w:r w:rsidRPr="007D0CB6">
              <w:t xml:space="preserve">to investigate the influence of maternal diet on birth weight. </w:t>
            </w:r>
          </w:p>
          <w:p w14:paraId="5A412E21" w14:textId="77777777" w:rsidR="00693B1E" w:rsidRDefault="00693B1E" w:rsidP="007A69A9">
            <w:pPr>
              <w:rPr>
                <w:b/>
              </w:rPr>
            </w:pPr>
            <w:r w:rsidRPr="001375C6">
              <w:rPr>
                <w:b/>
              </w:rPr>
              <w:t>Methods</w:t>
            </w:r>
            <w:r>
              <w:t xml:space="preserve">: </w:t>
            </w:r>
            <w:r w:rsidRPr="006413F2">
              <w:t xml:space="preserve">Dietary information during pregnancy was collected </w:t>
            </w:r>
            <w:r>
              <w:t>at</w:t>
            </w:r>
            <w:r w:rsidRPr="006413F2">
              <w:t xml:space="preserve"> 24–28 weeks’ gestation using a validated</w:t>
            </w:r>
            <w:r>
              <w:t xml:space="preserve"> </w:t>
            </w:r>
            <w:r w:rsidRPr="006413F2">
              <w:t>semiquantitative Food Frequency Questionnaire (FFQ).</w:t>
            </w:r>
            <w:r>
              <w:t xml:space="preserve"> </w:t>
            </w:r>
            <w:r w:rsidRPr="006413F2">
              <w:t>We performed principal</w:t>
            </w:r>
            <w:r>
              <w:t xml:space="preserve"> </w:t>
            </w:r>
            <w:r w:rsidRPr="006413F2">
              <w:t>component ana</w:t>
            </w:r>
            <w:r>
              <w:t xml:space="preserve">lysis (PCA) to identify three dietary patterns: </w:t>
            </w:r>
            <w:r w:rsidRPr="006413F2">
              <w:t xml:space="preserve">‘plant-based’, ‘western’ and ‘health-conscious’. </w:t>
            </w:r>
          </w:p>
        </w:tc>
        <w:tc>
          <w:tcPr>
            <w:tcW w:w="4536" w:type="dxa"/>
          </w:tcPr>
          <w:p w14:paraId="11939EC1" w14:textId="77777777" w:rsidR="00693B1E" w:rsidRDefault="00693B1E" w:rsidP="007A69A9">
            <w:r w:rsidRPr="007D0CB6">
              <w:t xml:space="preserve">No associations were identified between the Western and health-conscious diet patterns and birth weight; however, the plant-based dietary pattern was inversely associated with birth weight (beta=-67.6 g per 1-unit increase; P&lt;0.001), and an interaction with non-white ethnicity and birth weight was observed. </w:t>
            </w:r>
          </w:p>
          <w:p w14:paraId="673E01C4" w14:textId="77777777" w:rsidR="00693B1E" w:rsidRPr="007D0CB6" w:rsidRDefault="00693B1E" w:rsidP="007A69A9">
            <w:r w:rsidRPr="007D0CB6">
              <w:t>Ethnically stratified analyses demonstrated that among white Europeans, maternal consumption of a plant-based diet associated with lower birth weight (beta=-65.9 g per 1-unit increase; P&lt;0.001), increased risk of small-for-gestational age (SGA; OR=1.46; 95% CI 1.08 to 1.54;P=0.005) and reduced risk of large-for-gestational age (LGA; OR=0.71; 95% CI 0.53 to 0.95;</w:t>
            </w:r>
            <w:r>
              <w:t xml:space="preserve"> </w:t>
            </w:r>
            <w:r w:rsidRPr="007D0CB6">
              <w:t xml:space="preserve">P=0.02). Among South Asians, maternal consumption of a plant-based diet associated with a higher birth weight (beta=+40.5 g per 1-unit increase; P=0.01), partially explained by cooked vegetable consumption. </w:t>
            </w:r>
          </w:p>
        </w:tc>
        <w:tc>
          <w:tcPr>
            <w:tcW w:w="1843" w:type="dxa"/>
          </w:tcPr>
          <w:p w14:paraId="50D6AA1F" w14:textId="77777777" w:rsidR="00693B1E" w:rsidRDefault="00693B1E" w:rsidP="007A69A9"/>
        </w:tc>
      </w:tr>
    </w:tbl>
    <w:p w14:paraId="156C0D36" w14:textId="62DE43EC" w:rsidR="00D9151E" w:rsidRDefault="009C163D" w:rsidP="005719CE">
      <w:pPr>
        <w:pStyle w:val="TableName"/>
        <w:ind w:left="1134" w:hanging="1134"/>
      </w:pPr>
      <w:bookmarkStart w:id="41" w:name="_Toc40956598"/>
      <w:r>
        <w:t xml:space="preserve">Q1 </w:t>
      </w:r>
      <w:r w:rsidR="00CD0392">
        <w:t>F</w:t>
      </w:r>
      <w:r w:rsidR="00D9151E">
        <w:t xml:space="preserve">asting </w:t>
      </w:r>
      <w:r w:rsidR="00CD0392">
        <w:t xml:space="preserve">in pregnancy </w:t>
      </w:r>
      <w:r w:rsidR="00D9151E">
        <w:t>— systematic review</w:t>
      </w:r>
      <w:bookmarkEnd w:id="4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0: Q1 Fasting in pregnancy — systematic review"/>
      </w:tblPr>
      <w:tblGrid>
        <w:gridCol w:w="1304"/>
        <w:gridCol w:w="1247"/>
        <w:gridCol w:w="4962"/>
        <w:gridCol w:w="4536"/>
        <w:gridCol w:w="1843"/>
      </w:tblGrid>
      <w:tr w:rsidR="00D9151E" w:rsidRPr="00F350A6" w14:paraId="6BF6D102" w14:textId="77777777" w:rsidTr="00AB0E44">
        <w:trPr>
          <w:cantSplit/>
          <w:trHeight w:val="390"/>
          <w:tblHeader/>
        </w:trPr>
        <w:tc>
          <w:tcPr>
            <w:tcW w:w="1304" w:type="dxa"/>
          </w:tcPr>
          <w:p w14:paraId="6D438630" w14:textId="77777777" w:rsidR="00D9151E" w:rsidRPr="00F350A6" w:rsidRDefault="00D9151E" w:rsidP="00AB0E44">
            <w:pPr>
              <w:keepNext/>
              <w:rPr>
                <w:b/>
              </w:rPr>
            </w:pPr>
            <w:r>
              <w:rPr>
                <w:b/>
              </w:rPr>
              <w:t>Study ref</w:t>
            </w:r>
          </w:p>
        </w:tc>
        <w:tc>
          <w:tcPr>
            <w:tcW w:w="1247" w:type="dxa"/>
          </w:tcPr>
          <w:p w14:paraId="527FDAC5" w14:textId="77777777" w:rsidR="00D9151E" w:rsidRPr="00F350A6" w:rsidRDefault="00D9151E" w:rsidP="00AB0E44">
            <w:pPr>
              <w:keepNext/>
              <w:rPr>
                <w:b/>
              </w:rPr>
            </w:pPr>
            <w:r>
              <w:rPr>
                <w:b/>
              </w:rPr>
              <w:t>N</w:t>
            </w:r>
          </w:p>
        </w:tc>
        <w:tc>
          <w:tcPr>
            <w:tcW w:w="4962" w:type="dxa"/>
          </w:tcPr>
          <w:p w14:paraId="0DF890CF" w14:textId="77777777" w:rsidR="00D9151E" w:rsidRPr="00F350A6" w:rsidRDefault="00D9151E" w:rsidP="00AB0E44">
            <w:pPr>
              <w:keepNext/>
              <w:rPr>
                <w:b/>
              </w:rPr>
            </w:pPr>
            <w:r>
              <w:rPr>
                <w:b/>
              </w:rPr>
              <w:t>Aim/methods</w:t>
            </w:r>
          </w:p>
        </w:tc>
        <w:tc>
          <w:tcPr>
            <w:tcW w:w="4536" w:type="dxa"/>
          </w:tcPr>
          <w:p w14:paraId="13D8157E" w14:textId="77777777" w:rsidR="00D9151E" w:rsidRPr="00F350A6" w:rsidRDefault="00D9151E" w:rsidP="00AB0E44">
            <w:pPr>
              <w:keepNext/>
              <w:rPr>
                <w:b/>
              </w:rPr>
            </w:pPr>
            <w:r>
              <w:rPr>
                <w:b/>
              </w:rPr>
              <w:t>Results</w:t>
            </w:r>
          </w:p>
        </w:tc>
        <w:tc>
          <w:tcPr>
            <w:tcW w:w="1843" w:type="dxa"/>
          </w:tcPr>
          <w:p w14:paraId="63BD3067" w14:textId="77777777" w:rsidR="00D9151E" w:rsidRPr="00F350A6" w:rsidRDefault="00D9151E" w:rsidP="00AB0E44">
            <w:pPr>
              <w:keepNext/>
              <w:rPr>
                <w:b/>
              </w:rPr>
            </w:pPr>
            <w:r>
              <w:rPr>
                <w:b/>
              </w:rPr>
              <w:t>Comments</w:t>
            </w:r>
          </w:p>
        </w:tc>
      </w:tr>
      <w:tr w:rsidR="00D9151E" w:rsidRPr="00C8357D" w14:paraId="7759D839" w14:textId="77777777" w:rsidTr="00AB0E44">
        <w:trPr>
          <w:cantSplit/>
          <w:trHeight w:val="390"/>
          <w:tblHeader/>
        </w:trPr>
        <w:tc>
          <w:tcPr>
            <w:tcW w:w="1304" w:type="dxa"/>
          </w:tcPr>
          <w:p w14:paraId="76BD21A6" w14:textId="5205F453" w:rsidR="00D9151E" w:rsidRPr="00C8357D" w:rsidRDefault="00D9151E" w:rsidP="002747EA">
            <w:r>
              <w:t>Glazier et al 2018</w:t>
            </w:r>
            <w:r w:rsidR="00767EBF">
              <w:fldChar w:fldCharType="begin">
                <w:fldData xml:space="preserve">PEVuZE5vdGU+PENpdGU+PEF1dGhvcj5HbGF6aWVyPC9BdXRob3I+PFllYXI+MjAxODwvWWVhcj48
UmVjTnVtPjE0MDQ8L1JlY051bT48RGlzcGxheVRleHQ+PHN0eWxlIGZhY2U9InN1cGVyc2NyaXB0
IiBmb250PSJUcmVidWNoZXQgTVMiIHNpemU9IjkiPjU4PC9zdHlsZT48L0Rpc3BsYXlUZXh0Pjxy
ZWNvcmQ+PHJlYy1udW1iZXI+MTQwNDwvcmVjLW51bWJlcj48Zm9yZWlnbi1rZXlzPjxrZXkgYXBw
PSJFTiIgZGItaWQ9ImV4dmFzcmZ4MmR0cmFvZXNhc3hwMnN6c3hhMmRmNTAyNTkyeCIgdGltZXN0
YW1wPSIxNTY3OTI0NTIyIj4xNDA0PC9rZXk+PGtleSBhcHA9IkVOV2ViIiBkYi1pZD0iIj4wPC9r
ZXk+PC9mb3JlaWduLWtleXM+PHJlZi10eXBlIG5hbWU9IkpvdXJuYWwgQXJ0aWNsZSI+MTc8L3Jl
Zi10eXBlPjxjb250cmlidXRvcnM+PGF1dGhvcnM+PGF1dGhvcj5HbGF6aWVyLCBKLiBELjwvYXV0
aG9yPjxhdXRob3I+SGF5ZXMsIEQuIEouIEwuPC9hdXRob3I+PGF1dGhvcj5IdXNzYWluLCBTLjwv
YXV0aG9yPjxhdXRob3I+RCZhcG9zO1NvdXphLCBTLiBXLjwvYXV0aG9yPjxhdXRob3I+V2hpdGNv
bWJlLCBKLjwvYXV0aG9yPjxhdXRob3I+SGVhemVsbCwgQS4gRS4gUC48L2F1dGhvcj48YXV0aG9y
PkFzaHRvbiwgTi48L2F1dGhvcj48L2F1dGhvcnM+PC9jb250cmlidXRvcnM+PGF1dGgtYWRkcmVz
cz5NYXRlcm5hbCBhbmQgRmV0YWwgSGVhbHRoIFJlc2VhcmNoIENlbnRyZSwgRGl2aXNpb24gb2Yg
RGV2ZWxvcG1lbnRhbCBCaW9sb2d5IGFuZCBNZWRpY2luZSwgRmFjdWx0eSBvZiBCaW9sb2d5LCBN
ZWRpY2luZSBhbmQgSGVhbHRoLCBVbml2ZXJzaXR5IG9mIE1hbmNoZXN0ZXIsIDV0aCBGbG9vciAo
UmVzZWFyY2gpLCBTdCBNYXJ5JmFwb3M7cyBIb3NwaXRhbCwgT3hmb3JkIFJvYWQsIE1hbmNoZXN0
ZXIsIE0xMyA5V0wsIFVLLiYjeEQ7VHJ1c3QgTGlicmFyeSwgQ2VudHJhbCBNYW5jaGVzdGVyIFVu
aXZlcnNpdHkgSG9zcGl0YWxzIE5IUyBGb3VuZGF0aW9uIFRydXN0LCBFZHVjYXRpb24gU291dGgs
IE94Zm9yZCBSb2FkLCBNYW5jaGVzdGVyLCBNMTMgOVdMLCBVSy4mI3hEO0RpdmlzaW9uIG9mIENh
cmRpb3Zhc2N1bGFyIFNjaWVuY2VzLCBGYWN1bHR5IG9mIEJpb2xvZ3ksIE1lZGljaW5lIGFuZCBI
ZWFsdGgsIFVuaXZlcnNpdHkgb2YgTWFuY2hlc3RlciwgM3JkIEZsb29yIENvcmUgVGVjaG5vbG9n
eSBGYWNpbGl0eSwgNDYgR3JhZnRvbiBTdHJlZXQsIE1hbmNoZXN0ZXIsIE0xMyA5TlQsIFVLLiBu
aWNrLmFzaHRvbkBtYW5jaGVzdGVyLmFjLnVrLjwvYXV0aC1hZGRyZXNzPjx0aXRsZXM+PHRpdGxl
PlRoZSBlZmZlY3Qgb2YgUmFtYWRhbiBmYXN0aW5nIGR1cmluZyBwcmVnbmFuY3kgb24gcGVyaW5h
dGFsIG91dGNvbWVzOiBhIHN5c3RlbWF0aWMgcmV2aWV3IGFuZCBtZXRhLWFuYWx5c2lzPC90aXRs
ZT48c2Vjb25kYXJ5LXRpdGxlPkJNQyBQcmVnbmFuY3kgQ2hpbGRiaXJ0aDwvc2Vjb25kYXJ5LXRp
dGxlPjwvdGl0bGVzPjxwZXJpb2RpY2FsPjxmdWxsLXRpdGxlPkJNQyBQcmVnbmFuY3kgQ2hpbGRi
aXJ0aDwvZnVsbC10aXRsZT48L3BlcmlvZGljYWw+PHBhZ2VzPjQyMTwvcGFnZXM+PHZvbHVtZT4x
ODwvdm9sdW1lPjxudW1iZXI+MTwvbnVtYmVyPjxlZGl0aW9uPjIwMTgvMTAvMjY8L2VkaXRpb24+
PGtleXdvcmRzPjxrZXl3b3JkPkJpcnRoIFdlaWdodC9waHlzaW9sb2d5PC9rZXl3b3JkPjxrZXl3
b3JkPkZhc3RpbmcvKnBoeXNpb2xvZ3k8L2tleXdvcmQ+PGtleXdvcmQ+RmVtYWxlPC9rZXl3b3Jk
PjxrZXl3b3JkPkh1bWFuczwva2V5d29yZD48a2V5d29yZD5JbmZhbnQsIE5ld2Jvcm48L2tleXdv
cmQ+PGtleXdvcmQ+SXNsYW08L2tleXdvcmQ+PGtleXdvcmQ+UGVyaW5hdGFsIE1vcnRhbGl0eTwv
a2V5d29yZD48a2V5d29yZD5QcmVnbmFuY3k8L2tleXdvcmQ+PGtleXdvcmQ+UHJlZ25hbmN5IE91
dGNvbWUvKmVwaWRlbWlvbG9neTwva2V5d29yZD48a2V5d29yZD5CaXJ0aCB3ZWlnaHQ8L2tleXdv
cmQ+PGtleXdvcmQ+RmFzdGluZzwva2V5d29yZD48a2V5d29yZD5QbGFjZW50YTwva2V5d29yZD48
a2V5d29yZD5SYW1hZGFuPC9rZXl3b3JkPjwva2V5d29yZHM+PGRhdGVzPjx5ZWFyPjIwMTg8L3ll
YXI+PHB1Yi1kYXRlcz48ZGF0ZT5PY3QgMjU8L2RhdGU+PC9wdWItZGF0ZXM+PC9kYXRlcz48aXNi
bj4xNDcxLTIzOTMgKEVsZWN0cm9uaWMpJiN4RDsxNDcxLTIzOTMgKExpbmtpbmcpPC9pc2JuPjxh
Y2Nlc3Npb24tbnVtPjMwMzU5MjI4PC9hY2Nlc3Npb24tbnVtPjx1cmxzPjxyZWxhdGVkLXVybHM+
PHVybD5odHRwczovL3d3dy5uY2JpLm5sbS5uaWguZ292L3B1Ym1lZC8zMDM1OTIyODwvdXJsPjwv
cmVsYXRlZC11cmxzPjwvdXJscz48Y3VzdG9tMj5QTUM2MjAyODA4PC9jdXN0b20yPjxlbGVjdHJv
bmljLXJlc291cmNlLW51bT4xMC4xMTg2L3MxMjg4NC0wMTgtMjA0OC15PC9lbGVjdHJvbmljLXJl
c291cmNlLW51bT48L3JlY29yZD48L0NpdGU+PC9FbmROb3RlPn==
</w:fldData>
              </w:fldChar>
            </w:r>
            <w:r w:rsidR="002747EA">
              <w:instrText xml:space="preserve"> ADDIN EN.CITE </w:instrText>
            </w:r>
            <w:r w:rsidR="002747EA">
              <w:fldChar w:fldCharType="begin">
                <w:fldData xml:space="preserve">PEVuZE5vdGU+PENpdGU+PEF1dGhvcj5HbGF6aWVyPC9BdXRob3I+PFllYXI+MjAxODwvWWVhcj48
UmVjTnVtPjE0MDQ8L1JlY051bT48RGlzcGxheVRleHQ+PHN0eWxlIGZhY2U9InN1cGVyc2NyaXB0
IiBmb250PSJUcmVidWNoZXQgTVMiIHNpemU9IjkiPjU4PC9zdHlsZT48L0Rpc3BsYXlUZXh0Pjxy
ZWNvcmQ+PHJlYy1udW1iZXI+MTQwNDwvcmVjLW51bWJlcj48Zm9yZWlnbi1rZXlzPjxrZXkgYXBw
PSJFTiIgZGItaWQ9ImV4dmFzcmZ4MmR0cmFvZXNhc3hwMnN6c3hhMmRmNTAyNTkyeCIgdGltZXN0
YW1wPSIxNTY3OTI0NTIyIj4xNDA0PC9rZXk+PGtleSBhcHA9IkVOV2ViIiBkYi1pZD0iIj4wPC9r
ZXk+PC9mb3JlaWduLWtleXM+PHJlZi10eXBlIG5hbWU9IkpvdXJuYWwgQXJ0aWNsZSI+MTc8L3Jl
Zi10eXBlPjxjb250cmlidXRvcnM+PGF1dGhvcnM+PGF1dGhvcj5HbGF6aWVyLCBKLiBELjwvYXV0
aG9yPjxhdXRob3I+SGF5ZXMsIEQuIEouIEwuPC9hdXRob3I+PGF1dGhvcj5IdXNzYWluLCBTLjwv
YXV0aG9yPjxhdXRob3I+RCZhcG9zO1NvdXphLCBTLiBXLjwvYXV0aG9yPjxhdXRob3I+V2hpdGNv
bWJlLCBKLjwvYXV0aG9yPjxhdXRob3I+SGVhemVsbCwgQS4gRS4gUC48L2F1dGhvcj48YXV0aG9y
PkFzaHRvbiwgTi48L2F1dGhvcj48L2F1dGhvcnM+PC9jb250cmlidXRvcnM+PGF1dGgtYWRkcmVz
cz5NYXRlcm5hbCBhbmQgRmV0YWwgSGVhbHRoIFJlc2VhcmNoIENlbnRyZSwgRGl2aXNpb24gb2Yg
RGV2ZWxvcG1lbnRhbCBCaW9sb2d5IGFuZCBNZWRpY2luZSwgRmFjdWx0eSBvZiBCaW9sb2d5LCBN
ZWRpY2luZSBhbmQgSGVhbHRoLCBVbml2ZXJzaXR5IG9mIE1hbmNoZXN0ZXIsIDV0aCBGbG9vciAo
UmVzZWFyY2gpLCBTdCBNYXJ5JmFwb3M7cyBIb3NwaXRhbCwgT3hmb3JkIFJvYWQsIE1hbmNoZXN0
ZXIsIE0xMyA5V0wsIFVLLiYjeEQ7VHJ1c3QgTGlicmFyeSwgQ2VudHJhbCBNYW5jaGVzdGVyIFVu
aXZlcnNpdHkgSG9zcGl0YWxzIE5IUyBGb3VuZGF0aW9uIFRydXN0LCBFZHVjYXRpb24gU291dGgs
IE94Zm9yZCBSb2FkLCBNYW5jaGVzdGVyLCBNMTMgOVdMLCBVSy4mI3hEO0RpdmlzaW9uIG9mIENh
cmRpb3Zhc2N1bGFyIFNjaWVuY2VzLCBGYWN1bHR5IG9mIEJpb2xvZ3ksIE1lZGljaW5lIGFuZCBI
ZWFsdGgsIFVuaXZlcnNpdHkgb2YgTWFuY2hlc3RlciwgM3JkIEZsb29yIENvcmUgVGVjaG5vbG9n
eSBGYWNpbGl0eSwgNDYgR3JhZnRvbiBTdHJlZXQsIE1hbmNoZXN0ZXIsIE0xMyA5TlQsIFVLLiBu
aWNrLmFzaHRvbkBtYW5jaGVzdGVyLmFjLnVrLjwvYXV0aC1hZGRyZXNzPjx0aXRsZXM+PHRpdGxl
PlRoZSBlZmZlY3Qgb2YgUmFtYWRhbiBmYXN0aW5nIGR1cmluZyBwcmVnbmFuY3kgb24gcGVyaW5h
dGFsIG91dGNvbWVzOiBhIHN5c3RlbWF0aWMgcmV2aWV3IGFuZCBtZXRhLWFuYWx5c2lzPC90aXRs
ZT48c2Vjb25kYXJ5LXRpdGxlPkJNQyBQcmVnbmFuY3kgQ2hpbGRiaXJ0aDwvc2Vjb25kYXJ5LXRp
dGxlPjwvdGl0bGVzPjxwZXJpb2RpY2FsPjxmdWxsLXRpdGxlPkJNQyBQcmVnbmFuY3kgQ2hpbGRi
aXJ0aDwvZnVsbC10aXRsZT48L3BlcmlvZGljYWw+PHBhZ2VzPjQyMTwvcGFnZXM+PHZvbHVtZT4x
ODwvdm9sdW1lPjxudW1iZXI+MTwvbnVtYmVyPjxlZGl0aW9uPjIwMTgvMTAvMjY8L2VkaXRpb24+
PGtleXdvcmRzPjxrZXl3b3JkPkJpcnRoIFdlaWdodC9waHlzaW9sb2d5PC9rZXl3b3JkPjxrZXl3
b3JkPkZhc3RpbmcvKnBoeXNpb2xvZ3k8L2tleXdvcmQ+PGtleXdvcmQ+RmVtYWxlPC9rZXl3b3Jk
PjxrZXl3b3JkPkh1bWFuczwva2V5d29yZD48a2V5d29yZD5JbmZhbnQsIE5ld2Jvcm48L2tleXdv
cmQ+PGtleXdvcmQ+SXNsYW08L2tleXdvcmQ+PGtleXdvcmQ+UGVyaW5hdGFsIE1vcnRhbGl0eTwv
a2V5d29yZD48a2V5d29yZD5QcmVnbmFuY3k8L2tleXdvcmQ+PGtleXdvcmQ+UHJlZ25hbmN5IE91
dGNvbWUvKmVwaWRlbWlvbG9neTwva2V5d29yZD48a2V5d29yZD5CaXJ0aCB3ZWlnaHQ8L2tleXdv
cmQ+PGtleXdvcmQ+RmFzdGluZzwva2V5d29yZD48a2V5d29yZD5QbGFjZW50YTwva2V5d29yZD48
a2V5d29yZD5SYW1hZGFuPC9rZXl3b3JkPjwva2V5d29yZHM+PGRhdGVzPjx5ZWFyPjIwMTg8L3ll
YXI+PHB1Yi1kYXRlcz48ZGF0ZT5PY3QgMjU8L2RhdGU+PC9wdWItZGF0ZXM+PC9kYXRlcz48aXNi
bj4xNDcxLTIzOTMgKEVsZWN0cm9uaWMpJiN4RDsxNDcxLTIzOTMgKExpbmtpbmcpPC9pc2JuPjxh
Y2Nlc3Npb24tbnVtPjMwMzU5MjI4PC9hY2Nlc3Npb24tbnVtPjx1cmxzPjxyZWxhdGVkLXVybHM+
PHVybD5odHRwczovL3d3dy5uY2JpLm5sbS5uaWguZ292L3B1Ym1lZC8zMDM1OTIyODwvdXJsPjwv
cmVsYXRlZC11cmxzPjwvdXJscz48Y3VzdG9tMj5QTUM2MjAyODA4PC9jdXN0b20yPjxlbGVjdHJv
bmljLXJlc291cmNlLW51bT4xMC4xMTg2L3MxMjg4NC0wMTgtMjA0OC15PC9lbGVjdHJvbmljLXJl
c291cmNlLW51bT48L3JlY29yZD48L0NpdGU+PC9FbmROb3RlPn==
</w:fldData>
              </w:fldChar>
            </w:r>
            <w:r w:rsidR="002747EA">
              <w:instrText xml:space="preserve"> ADDIN EN.CITE.DATA </w:instrText>
            </w:r>
            <w:r w:rsidR="002747EA">
              <w:fldChar w:fldCharType="end"/>
            </w:r>
            <w:r w:rsidR="00767EBF">
              <w:fldChar w:fldCharType="separate"/>
            </w:r>
            <w:r w:rsidR="002747EA" w:rsidRPr="002747EA">
              <w:rPr>
                <w:noProof/>
                <w:vertAlign w:val="superscript"/>
              </w:rPr>
              <w:t>58</w:t>
            </w:r>
            <w:r w:rsidR="00767EBF">
              <w:fldChar w:fldCharType="end"/>
            </w:r>
          </w:p>
        </w:tc>
        <w:tc>
          <w:tcPr>
            <w:tcW w:w="1247" w:type="dxa"/>
          </w:tcPr>
          <w:p w14:paraId="17E04D2E" w14:textId="77777777" w:rsidR="00D9151E" w:rsidRDefault="00D9151E" w:rsidP="00AB0E44">
            <w:r>
              <w:t>22 studies</w:t>
            </w:r>
          </w:p>
          <w:p w14:paraId="50C0DB1C" w14:textId="14217932" w:rsidR="00D9151E" w:rsidRPr="00C8357D" w:rsidRDefault="00D9151E" w:rsidP="00AB0E44">
            <w:r>
              <w:t>31,374 women of whom 18,920 were exposed to Ramadan fasting</w:t>
            </w:r>
          </w:p>
        </w:tc>
        <w:tc>
          <w:tcPr>
            <w:tcW w:w="4962" w:type="dxa"/>
          </w:tcPr>
          <w:p w14:paraId="18AA61A7" w14:textId="77777777" w:rsidR="00D9151E" w:rsidRDefault="00D9151E" w:rsidP="00D9151E">
            <w:r w:rsidRPr="00D9151E">
              <w:rPr>
                <w:b/>
              </w:rPr>
              <w:t>Aim</w:t>
            </w:r>
            <w:r>
              <w:t>: T</w:t>
            </w:r>
            <w:r w:rsidRPr="00D9151E">
              <w:t>o determine whether Ramadan fasting by pregnant w</w:t>
            </w:r>
            <w:r>
              <w:t>omen affects perinatal outcomes</w:t>
            </w:r>
            <w:r w:rsidRPr="00D9151E">
              <w:t xml:space="preserve">. </w:t>
            </w:r>
          </w:p>
          <w:p w14:paraId="11A29A1D" w14:textId="706B2798" w:rsidR="00D9151E" w:rsidRPr="00C8357D" w:rsidRDefault="00D9151E" w:rsidP="00D9151E">
            <w:r w:rsidRPr="00D9151E">
              <w:rPr>
                <w:b/>
              </w:rPr>
              <w:t>Methods</w:t>
            </w:r>
            <w:r w:rsidRPr="00D9151E">
              <w:t xml:space="preserve">: Systematic review and meta-analysis of observational studies and randomised controlled trials was conducted in EMBASE, MEDLINE, CINAHL, Web of Science, Google Scholar, the Health Management Information Consortium and Applied Social Sciences Index and Abstracts. Studies from any year were eligible. Studies reporting predefined perinatal outcomes in pregnancies exposed to Ramadan fasting were included. Cohort studies with no comparator group or that considered fasting outside pregnancy were excluded, as were studies assuming fasting practice based solely upon family name. Quality of included studies was assessed using the ROBINS-I tool for assessing risk of bias in non-randomised studies. Analyses were performed in STATA. </w:t>
            </w:r>
          </w:p>
        </w:tc>
        <w:tc>
          <w:tcPr>
            <w:tcW w:w="4536" w:type="dxa"/>
          </w:tcPr>
          <w:p w14:paraId="7731F374" w14:textId="621EC056" w:rsidR="00D9151E" w:rsidRDefault="00D9151E" w:rsidP="00CD0392">
            <w:pPr>
              <w:pStyle w:val="bullet"/>
            </w:pPr>
            <w:r>
              <w:t>Birth weight: SMD 0.03, 95%</w:t>
            </w:r>
            <w:r w:rsidRPr="00D9151E">
              <w:t>CI 0.00 to 0.05</w:t>
            </w:r>
            <w:r>
              <w:t>; 21 studies</w:t>
            </w:r>
            <w:r w:rsidRPr="00D9151E">
              <w:t xml:space="preserve">. </w:t>
            </w:r>
          </w:p>
          <w:p w14:paraId="42C52B0B" w14:textId="0FFCE2D5" w:rsidR="00D9151E" w:rsidRPr="00D9151E" w:rsidRDefault="00D9151E" w:rsidP="00CD0392">
            <w:pPr>
              <w:pStyle w:val="bullet"/>
            </w:pPr>
            <w:r>
              <w:t>P</w:t>
            </w:r>
            <w:r w:rsidRPr="00D9151E">
              <w:t xml:space="preserve">reterm </w:t>
            </w:r>
            <w:r>
              <w:t>birth: OR</w:t>
            </w:r>
            <w:r w:rsidRPr="00D9151E">
              <w:t xml:space="preserve"> 0.99, 95% CI 0.72 to 1.37</w:t>
            </w:r>
            <w:r>
              <w:t>; 5 studies</w:t>
            </w:r>
            <w:r w:rsidRPr="00D9151E">
              <w:t xml:space="preserve">. </w:t>
            </w:r>
          </w:p>
          <w:p w14:paraId="25FF1551" w14:textId="76F83BF5" w:rsidR="00D9151E" w:rsidRPr="00C8357D" w:rsidRDefault="00D9151E" w:rsidP="00CD0392">
            <w:pPr>
              <w:pStyle w:val="bullet"/>
            </w:pPr>
            <w:r>
              <w:t>Low birth weight: OR 1.05; 95%CI 0.87 to 1.28; 8 studies</w:t>
            </w:r>
          </w:p>
        </w:tc>
        <w:tc>
          <w:tcPr>
            <w:tcW w:w="1843" w:type="dxa"/>
          </w:tcPr>
          <w:p w14:paraId="45E1828B" w14:textId="2466E537" w:rsidR="00D9151E" w:rsidRPr="00C8357D" w:rsidRDefault="00D9151E" w:rsidP="00AB0E44">
            <w:r w:rsidRPr="00D9151E">
              <w:t>Further studies are needed to accurately determine whether Ramadan fasting is associated with adverse maternal or neonatal outcome.</w:t>
            </w:r>
          </w:p>
        </w:tc>
      </w:tr>
    </w:tbl>
    <w:p w14:paraId="551224E6" w14:textId="03E08E5A" w:rsidR="00B3465D" w:rsidRDefault="009C163D" w:rsidP="005719CE">
      <w:pPr>
        <w:pStyle w:val="TableName"/>
        <w:ind w:left="1134" w:hanging="1134"/>
      </w:pPr>
      <w:bookmarkStart w:id="42" w:name="_Toc40956599"/>
      <w:r>
        <w:t xml:space="preserve">Q1 </w:t>
      </w:r>
      <w:r w:rsidR="0028304D">
        <w:t>F</w:t>
      </w:r>
      <w:r w:rsidR="00B3465D">
        <w:t xml:space="preserve">asting </w:t>
      </w:r>
      <w:r w:rsidR="0028304D">
        <w:t xml:space="preserve">in pregnancy </w:t>
      </w:r>
      <w:r w:rsidR="00B3465D">
        <w:t>— observational stud</w:t>
      </w:r>
      <w:r w:rsidR="007110D4">
        <w:t>y</w:t>
      </w:r>
      <w:bookmarkEnd w:id="4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1: Q1 Fasting in pregnancy — observational study"/>
      </w:tblPr>
      <w:tblGrid>
        <w:gridCol w:w="1304"/>
        <w:gridCol w:w="1247"/>
        <w:gridCol w:w="4962"/>
        <w:gridCol w:w="4536"/>
        <w:gridCol w:w="1843"/>
      </w:tblGrid>
      <w:tr w:rsidR="00B3465D" w:rsidRPr="00F350A6" w14:paraId="7A67D400" w14:textId="77777777" w:rsidTr="008E3D1E">
        <w:trPr>
          <w:cantSplit/>
          <w:trHeight w:val="390"/>
          <w:tblHeader/>
        </w:trPr>
        <w:tc>
          <w:tcPr>
            <w:tcW w:w="1304" w:type="dxa"/>
          </w:tcPr>
          <w:p w14:paraId="341E65EB" w14:textId="77777777" w:rsidR="00B3465D" w:rsidRPr="00F350A6" w:rsidRDefault="00B3465D" w:rsidP="002436F2">
            <w:pPr>
              <w:keepNext/>
              <w:rPr>
                <w:b/>
              </w:rPr>
            </w:pPr>
            <w:r>
              <w:rPr>
                <w:b/>
              </w:rPr>
              <w:t>Study ref</w:t>
            </w:r>
          </w:p>
        </w:tc>
        <w:tc>
          <w:tcPr>
            <w:tcW w:w="1247" w:type="dxa"/>
          </w:tcPr>
          <w:p w14:paraId="0D38C476" w14:textId="77777777" w:rsidR="00B3465D" w:rsidRPr="00F350A6" w:rsidRDefault="00B3465D" w:rsidP="002436F2">
            <w:pPr>
              <w:keepNext/>
              <w:rPr>
                <w:b/>
              </w:rPr>
            </w:pPr>
            <w:r>
              <w:rPr>
                <w:b/>
              </w:rPr>
              <w:t>N</w:t>
            </w:r>
          </w:p>
        </w:tc>
        <w:tc>
          <w:tcPr>
            <w:tcW w:w="4962" w:type="dxa"/>
          </w:tcPr>
          <w:p w14:paraId="55D59F69" w14:textId="77777777" w:rsidR="00B3465D" w:rsidRPr="00F350A6" w:rsidRDefault="00B3465D" w:rsidP="002436F2">
            <w:pPr>
              <w:keepNext/>
              <w:rPr>
                <w:b/>
              </w:rPr>
            </w:pPr>
            <w:r>
              <w:rPr>
                <w:b/>
              </w:rPr>
              <w:t>Aim/methods</w:t>
            </w:r>
          </w:p>
        </w:tc>
        <w:tc>
          <w:tcPr>
            <w:tcW w:w="4536" w:type="dxa"/>
          </w:tcPr>
          <w:p w14:paraId="7F514FFD" w14:textId="77777777" w:rsidR="00B3465D" w:rsidRPr="00F350A6" w:rsidRDefault="00B3465D" w:rsidP="002436F2">
            <w:pPr>
              <w:keepNext/>
              <w:rPr>
                <w:b/>
              </w:rPr>
            </w:pPr>
            <w:r>
              <w:rPr>
                <w:b/>
              </w:rPr>
              <w:t>Results</w:t>
            </w:r>
          </w:p>
        </w:tc>
        <w:tc>
          <w:tcPr>
            <w:tcW w:w="1843" w:type="dxa"/>
          </w:tcPr>
          <w:p w14:paraId="6D769CBC" w14:textId="77777777" w:rsidR="00B3465D" w:rsidRPr="00F350A6" w:rsidRDefault="00B3465D" w:rsidP="002436F2">
            <w:pPr>
              <w:keepNext/>
              <w:rPr>
                <w:b/>
              </w:rPr>
            </w:pPr>
            <w:r>
              <w:rPr>
                <w:b/>
              </w:rPr>
              <w:t>Comments</w:t>
            </w:r>
          </w:p>
        </w:tc>
      </w:tr>
      <w:tr w:rsidR="008E3D1E" w:rsidRPr="00C8357D" w14:paraId="559E1075" w14:textId="77777777" w:rsidTr="00B3465D">
        <w:trPr>
          <w:cantSplit/>
          <w:trHeight w:val="390"/>
        </w:trPr>
        <w:tc>
          <w:tcPr>
            <w:tcW w:w="1304" w:type="dxa"/>
          </w:tcPr>
          <w:p w14:paraId="5883CB43" w14:textId="761260EE" w:rsidR="008E3D1E" w:rsidRDefault="008E3D1E" w:rsidP="002436F2">
            <w:r>
              <w:t>Shalit et al 2015</w:t>
            </w:r>
            <w:r w:rsidR="003E2D58">
              <w:fldChar w:fldCharType="begin"/>
            </w:r>
            <w:r w:rsidR="002747EA">
              <w:instrText xml:space="preserve"> ADDIN EN.CITE &lt;EndNote&gt;&lt;Cite&gt;&lt;Author&gt;Shalit&lt;/Author&gt;&lt;Year&gt;2015&lt;/Year&gt;&lt;RecNum&gt;1479&lt;/RecNum&gt;&lt;DisplayText&gt;&lt;style face="superscript" font="Trebuchet MS" size="9"&gt;61&lt;/style&gt;&lt;/DisplayText&gt;&lt;record&gt;&lt;rec-number&gt;1479&lt;/rec-number&gt;&lt;foreign-keys&gt;&lt;key app="EN" db-id="exvasrfx2dtraoesasxp2szsxa2df502592x" timestamp="1574039680"&gt;1479&lt;/key&gt;&lt;key app="ENWeb" db-id=""&gt;0&lt;/key&gt;&lt;/foreign-keys&gt;&lt;ref-type name="Journal Article"&gt;17&lt;/ref-type&gt;&lt;contributors&gt;&lt;authors&gt;&lt;author&gt;Shalit, N.&lt;/author&gt;&lt;author&gt;Shalit, R.&lt;/author&gt;&lt;author&gt;Sheiner, E.&lt;/author&gt;&lt;/authors&gt;&lt;/contributors&gt;&lt;auth-address&gt;a Joyce and Irving Goldman Medical School, Faculty of Health Sciences, Ben Gurion University of the Negev , Beer-Sheva , Israel and.&lt;/auth-address&gt;&lt;titles&gt;&lt;title&gt;The effect of a 25-hour fast during the Day of Atonement on preterm delivery&lt;/title&gt;&lt;secondary-title&gt;J Matern Fetal Neonatal Med&lt;/secondary-title&gt;&lt;/titles&gt;&lt;periodical&gt;&lt;full-title&gt;J Matern Fetal Neonatal Med&lt;/full-title&gt;&lt;/periodical&gt;&lt;pages&gt;1410-3&lt;/pages&gt;&lt;volume&gt;28&lt;/volume&gt;&lt;number&gt;12&lt;/number&gt;&lt;edition&gt;2014/08/16&lt;/edition&gt;&lt;keywords&gt;&lt;keyword&gt;Abruptio Placentae/epidemiology&lt;/keyword&gt;&lt;keyword&gt;Adult&lt;/keyword&gt;&lt;keyword&gt;Fasting/*adverse effects&lt;/keyword&gt;&lt;keyword&gt;Female&lt;/keyword&gt;&lt;keyword&gt;Fetal Growth Retardation/epidemiology&lt;/keyword&gt;&lt;keyword&gt;Gestational Age&lt;/keyword&gt;&lt;keyword&gt;Humans&lt;/keyword&gt;&lt;keyword&gt;Jews&lt;/keyword&gt;&lt;keyword&gt;*Judaism&lt;/keyword&gt;&lt;keyword&gt;Logistic Models&lt;/keyword&gt;&lt;keyword&gt;Pregnancy&lt;/keyword&gt;&lt;keyword&gt;Premature Birth/*epidemiology&lt;/keyword&gt;&lt;keyword&gt;Risk Factors&lt;/keyword&gt;&lt;keyword&gt;Day of Atonement&lt;/keyword&gt;&lt;keyword&gt;Yom Kippur&lt;/keyword&gt;&lt;keyword&gt;fast&lt;/keyword&gt;&lt;keyword&gt;preterm delivery&lt;/keyword&gt;&lt;keyword&gt;preterm labor&lt;/keyword&gt;&lt;/keywords&gt;&lt;dates&gt;&lt;year&gt;2015&lt;/year&gt;&lt;pub-dates&gt;&lt;date&gt;Aug&lt;/date&gt;&lt;/pub-dates&gt;&lt;/dates&gt;&lt;isbn&gt;1476-4954 (Electronic)&amp;#xD;1476-4954 (Linking)&lt;/isbn&gt;&lt;accession-num&gt;25123516&lt;/accession-num&gt;&lt;urls&gt;&lt;related-urls&gt;&lt;url&gt;https://www.ncbi.nlm.nih.gov/pubmed/25123516&lt;/url&gt;&lt;/related-urls&gt;&lt;/urls&gt;&lt;electronic-resource-num&gt;10.3109/14767058.2014.954998&lt;/electronic-resource-num&gt;&lt;/record&gt;&lt;/Cite&gt;&lt;/EndNote&gt;</w:instrText>
            </w:r>
            <w:r w:rsidR="003E2D58">
              <w:fldChar w:fldCharType="separate"/>
            </w:r>
            <w:r w:rsidR="002747EA" w:rsidRPr="002747EA">
              <w:rPr>
                <w:noProof/>
                <w:vertAlign w:val="superscript"/>
              </w:rPr>
              <w:t>61</w:t>
            </w:r>
            <w:r w:rsidR="003E2D58">
              <w:fldChar w:fldCharType="end"/>
            </w:r>
          </w:p>
          <w:p w14:paraId="1FFB1FA2" w14:textId="77777777" w:rsidR="00C8556F" w:rsidRDefault="00C8556F" w:rsidP="002436F2">
            <w:r>
              <w:t>Israel</w:t>
            </w:r>
          </w:p>
          <w:p w14:paraId="6F6BD2C5" w14:textId="1EE56870" w:rsidR="003077B9" w:rsidRDefault="003077B9" w:rsidP="002436F2">
            <w:r>
              <w:t>Cross-section</w:t>
            </w:r>
          </w:p>
        </w:tc>
        <w:tc>
          <w:tcPr>
            <w:tcW w:w="1247" w:type="dxa"/>
          </w:tcPr>
          <w:p w14:paraId="1681C38F" w14:textId="16CAE139" w:rsidR="008E3D1E" w:rsidRDefault="008E3D1E" w:rsidP="002436F2">
            <w:r>
              <w:t>744 births</w:t>
            </w:r>
          </w:p>
        </w:tc>
        <w:tc>
          <w:tcPr>
            <w:tcW w:w="4962" w:type="dxa"/>
          </w:tcPr>
          <w:p w14:paraId="49B91983" w14:textId="0780497A" w:rsidR="008E3D1E" w:rsidRDefault="008E3D1E" w:rsidP="004C390A">
            <w:r w:rsidRPr="008E3D1E">
              <w:rPr>
                <w:b/>
              </w:rPr>
              <w:t>Aim</w:t>
            </w:r>
            <w:r>
              <w:t xml:space="preserve">: </w:t>
            </w:r>
            <w:r w:rsidRPr="008E3D1E">
              <w:t xml:space="preserve">To determine the effect of the Day of Atonement fast (a 25-hour Jewish fast), on preterm </w:t>
            </w:r>
            <w:r w:rsidR="003077B9">
              <w:t>birth (&lt;37 weeks)</w:t>
            </w:r>
            <w:r w:rsidRPr="008E3D1E">
              <w:t xml:space="preserve">. </w:t>
            </w:r>
          </w:p>
          <w:p w14:paraId="0B37FF52" w14:textId="5F8F7E19" w:rsidR="008E3D1E" w:rsidRDefault="008E3D1E" w:rsidP="004C390A">
            <w:r w:rsidRPr="008E3D1E">
              <w:rPr>
                <w:b/>
              </w:rPr>
              <w:t>Methods</w:t>
            </w:r>
            <w:r w:rsidRPr="008E3D1E">
              <w:t xml:space="preserve">: A comprehensive analysis of all </w:t>
            </w:r>
            <w:r w:rsidR="003077B9">
              <w:t>births</w:t>
            </w:r>
            <w:r w:rsidRPr="008E3D1E">
              <w:t xml:space="preserve"> during the Day of Atonement and during the corresponding day a week earlier, between the years 1988 and 2011, was performed. Data on fasting status was deduced from the ethnicity (as only Jewish parturients fast during the Day of Atonement). Multivariable logistic regression model was us</w:t>
            </w:r>
            <w:r>
              <w:t xml:space="preserve">ed to control for confounders. </w:t>
            </w:r>
          </w:p>
        </w:tc>
        <w:tc>
          <w:tcPr>
            <w:tcW w:w="4536" w:type="dxa"/>
          </w:tcPr>
          <w:p w14:paraId="7E4AB35E" w14:textId="7A5B9A86" w:rsidR="008E3D1E" w:rsidRPr="008E3D1E" w:rsidRDefault="008E3D1E" w:rsidP="004C390A">
            <w:r w:rsidRPr="008E3D1E">
              <w:t xml:space="preserve">Jewish parturients </w:t>
            </w:r>
            <w:r>
              <w:t xml:space="preserve">(fasting group) </w:t>
            </w:r>
            <w:r w:rsidRPr="008E3D1E">
              <w:t xml:space="preserve">were at significantly higher risk for preterm </w:t>
            </w:r>
            <w:r w:rsidR="003077B9">
              <w:t>birth</w:t>
            </w:r>
            <w:r w:rsidRPr="008E3D1E">
              <w:t xml:space="preserve"> during the</w:t>
            </w:r>
            <w:r w:rsidR="00B013E3">
              <w:t xml:space="preserve"> Day of Atonement (aOR </w:t>
            </w:r>
            <w:r w:rsidR="00FC218E">
              <w:t>1.99</w:t>
            </w:r>
            <w:r w:rsidR="00B013E3">
              <w:t>; 95%CI</w:t>
            </w:r>
            <w:r w:rsidRPr="008E3D1E">
              <w:t xml:space="preserve"> 1.03</w:t>
            </w:r>
            <w:r w:rsidR="00B013E3">
              <w:t xml:space="preserve"> to 3.83; p=</w:t>
            </w:r>
            <w:r w:rsidRPr="008E3D1E">
              <w:t>0.041). In the corresponding day, a week before the Day of Atonement, Jewish ethnicity was not found to be a risk factor for preterm delivery (</w:t>
            </w:r>
            <w:r w:rsidR="0079448D">
              <w:t>a</w:t>
            </w:r>
            <w:r w:rsidR="00B013E3">
              <w:t>OR 0.92; 95%CI 0.50 to 1.69; p=</w:t>
            </w:r>
            <w:r w:rsidRPr="008E3D1E">
              <w:t xml:space="preserve">0.789). </w:t>
            </w:r>
          </w:p>
        </w:tc>
        <w:tc>
          <w:tcPr>
            <w:tcW w:w="1843" w:type="dxa"/>
          </w:tcPr>
          <w:p w14:paraId="12D02166" w14:textId="090EABA2" w:rsidR="008E3D1E" w:rsidRPr="00D9151E" w:rsidRDefault="007B1D24" w:rsidP="002436F2">
            <w:r>
              <w:t>Fasting status was extrapolated from ethnicity.</w:t>
            </w:r>
          </w:p>
        </w:tc>
      </w:tr>
    </w:tbl>
    <w:p w14:paraId="2EF4D569" w14:textId="12FD9DC7" w:rsidR="00C8357D" w:rsidRDefault="00C8357D" w:rsidP="00C8357D">
      <w:pPr>
        <w:pStyle w:val="Heading2"/>
        <w:numPr>
          <w:ilvl w:val="0"/>
          <w:numId w:val="0"/>
        </w:numPr>
        <w:rPr>
          <w:b/>
        </w:rPr>
        <w:sectPr w:rsidR="00C8357D" w:rsidSect="00C8357D">
          <w:pgSz w:w="16820" w:h="11900" w:orient="landscape"/>
          <w:pgMar w:top="1418" w:right="1134" w:bottom="1418" w:left="1134" w:header="709" w:footer="709" w:gutter="0"/>
          <w:cols w:space="708"/>
          <w:docGrid w:linePitch="360"/>
        </w:sectPr>
      </w:pPr>
    </w:p>
    <w:p w14:paraId="2BADD7C2" w14:textId="657E078F" w:rsidR="002D04CE" w:rsidRDefault="00854907" w:rsidP="002D04CE">
      <w:pPr>
        <w:pStyle w:val="Heading2"/>
      </w:pPr>
      <w:bookmarkStart w:id="43" w:name="_Toc40956480"/>
      <w:r w:rsidRPr="007B2353">
        <w:rPr>
          <w:b/>
        </w:rPr>
        <w:t>Q2</w:t>
      </w:r>
      <w:r>
        <w:t xml:space="preserve">: </w:t>
      </w:r>
      <w:r w:rsidR="00F43F44" w:rsidRPr="008869FE">
        <w:t xml:space="preserve">Which foods should be </w:t>
      </w:r>
      <w:r w:rsidR="00F43F44">
        <w:t xml:space="preserve">promoted and which </w:t>
      </w:r>
      <w:r w:rsidR="00F43F44" w:rsidRPr="008869FE">
        <w:t>avoided during pregnancy?</w:t>
      </w:r>
      <w:bookmarkEnd w:id="43"/>
    </w:p>
    <w:p w14:paraId="503CBCF2" w14:textId="77777777" w:rsidR="00707500" w:rsidRDefault="00707500" w:rsidP="00FC10D1">
      <w:pPr>
        <w:pStyle w:val="Heading3"/>
      </w:pPr>
      <w:bookmarkStart w:id="44" w:name="_Toc40956481"/>
      <w:r>
        <w:t>Background</w:t>
      </w:r>
      <w:bookmarkEnd w:id="44"/>
    </w:p>
    <w:p w14:paraId="1E8D2198" w14:textId="6E5AEEC7" w:rsidR="00707500" w:rsidRDefault="00707500" w:rsidP="00AE684F">
      <w:r>
        <w:t>An Australian cross-sectional survey</w:t>
      </w:r>
      <w:r w:rsidR="00767EBF">
        <w:fldChar w:fldCharType="begin">
          <w:fldData xml:space="preserve">PEVuZE5vdGU+PENpdGU+PEF1dGhvcj5CcnlhbnQ8L0F1dGhvcj48WWVhcj4yMDE3PC9ZZWFyPjxS
ZWNOdW0+MTM1MDwvUmVjTnVtPjxEaXNwbGF5VGV4dD48c3R5bGUgZmFjZT0ic3VwZXJzY3JpcHQi
IGZvbnQ9IlRyZWJ1Y2hldCBNUyIgc2l6ZT0iOSI+NjI8L3N0eWxlPjwvRGlzcGxheVRleHQ+PHJl
Y29yZD48cmVjLW51bWJlcj4xMzUwPC9yZWMtbnVtYmVyPjxmb3JlaWduLWtleXM+PGtleSBhcHA9
IkVOIiBkYi1pZD0iZXh2YXNyZngyZHRyYW9lc2FzeHAyc3pzeGEyZGY1MDI1OTJ4IiB0aW1lc3Rh
bXA9IjE1NjcwMzEwMDciPjEzNTA8L2tleT48a2V5IGFwcD0iRU5XZWIiIGRiLWlkPSIiPjA8L2tl
eT48L2ZvcmVpZ24ta2V5cz48cmVmLXR5cGUgbmFtZT0iSm91cm5hbCBBcnRpY2xlIj4xNzwvcmVm
LXR5cGU+PGNvbnRyaWJ1dG9ycz48YXV0aG9ycz48YXV0aG9yPkJyeWFudCwgSi48L2F1dGhvcj48
YXV0aG9yPldhbGxlciwgQS48L2F1dGhvcj48YXV0aG9yPkNhbWVyb24sIEUuPC9hdXRob3I+PGF1
dGhvcj5IdXJlLCBBLjwvYXV0aG9yPjxhdXRob3I+U2Fuc29uLUZpc2hlciwgUi48L2F1dGhvcj48
L2F1dGhvcnM+PC9jb250cmlidXRvcnM+PGF1dGgtYWRkcmVzcz5IZWFsdGggQmVoYXZpb3VyIFJl
c2VhcmNoIEdyb3VwLCBQcmlvcml0eSBSZXNlYXJjaCBDZW50cmUgZm9yIEhlYWx0aCBCZWhhdmlv
dXIsIFVuaXZlcnNpdHkgb2YgTmV3Y2FzdGxlICZhbXA7IEh1bnRlciBNZWRpY2FsIFJlc2VhcmNo
IEluc3RpdHV0ZSwgVW5pdmVyc2l0eSBvZiBOZXdjYXN0bGUsIE5ld2Nhc3RsZSwgTmV3IFNvdXRo
IFdhbGVzLCBBdXN0cmFsaWEuJiN4RDtQcmlvcml0eSBSZXNlYXJjaCBDZW50cmUgZm9yIEdlbmRl
ciwgSGVhbHRoIGFuZCBBZ2VpbmcsIFVuaXZlcnNpdHkgb2YgTmV3Y2FzdGxlICZhbXA7IEh1bnRl
ciBNZWRpY2FsIFJlc2VhcmNoIEluc3RpdHV0ZSwgVW5pdmVyc2l0eSBvZiBOZXdjYXN0bGUsIE5l
d2Nhc3RsZSwgTmV3IFNvdXRoIFdhbGVzLCBBdXN0cmFsaWEuPC9hdXRoLWFkZHJlc3M+PHRpdGxl
cz48dGl0bGU+RGlldCBkdXJpbmcgcHJlZ25hbmN5OiBXb21lbiZhcG9zO3Mga25vd2xlZGdlIG9m
IGFuZCBhZGhlcmVuY2UgdG8gZm9vZCBzYWZldHkgZ3VpZGVsaW5lczwvdGl0bGU+PHNlY29uZGFy
eS10aXRsZT5BdXN0IE4gWiBKIE9ic3RldCBHeW5hZWNvbDwvc2Vjb25kYXJ5LXRpdGxlPjwvdGl0
bGVzPjxwZXJpb2RpY2FsPjxmdWxsLXRpdGxlPkF1c3QgTiBaIEogT2JzdGV0IEd5bmFlY29sPC9m
dWxsLXRpdGxlPjwvcGVyaW9kaWNhbD48cGFnZXM+MzE1LTMyMjwvcGFnZXM+PHZvbHVtZT41Nzwv
dm9sdW1lPjxudW1iZXI+MzwvbnVtYmVyPjxlZGl0aW9uPjIwMTYvMDkvMTU8L2VkaXRpb24+PGtl
eXdvcmRzPjxrZXl3b3JkPkFkdWx0PC9rZXl3b3JkPjxrZXl3b3JkPkNyb3NzLVNlY3Rpb25hbCBT
dHVkaWVzPC9rZXl3b3JkPjxrZXl3b3JkPkRpZXQvYWR2ZXJzZSBlZmZlY3RzPC9rZXl3b3JkPjxr
ZXl3b3JkPkZlbWFsZTwva2V5d29yZD48a2V5d29yZD5Gb29kLyphZHZlcnNlIGVmZmVjdHM8L2tl
eXdvcmQ+PGtleXdvcmQ+Rm9vZGJvcm5lIERpc2Vhc2VzLypwcmV2ZW50aW9uICZhbXA7IGNvbnRy
b2w8L2tleXdvcmQ+PGtleXdvcmQ+R2VuZXJhbCBQcmFjdGljZS9zdGF0aXN0aWNzICZhbXA7IG51
bWVyaWNhbCBkYXRhPC9rZXl3b3JkPjxrZXl3b3JkPkd1aWRlbGluZXMgYXMgVG9waWM8L2tleXdv
cmQ+PGtleXdvcmQ+KkhlYWx0aCBLbm93bGVkZ2UsIEF0dGl0dWRlcywgUHJhY3RpY2U8L2tleXdv
cmQ+PGtleXdvcmQ+SHVtYW5zPC9rZXl3b3JkPjxrZXl3b3JkPk9mZmljZSBWaXNpdHMvc3RhdGlz
dGljcyAmYW1wOyBudW1lcmljYWwgZGF0YTwva2V5d29yZD48a2V5d29yZD5QYXRpZW50IENvbXBs
aWFuY2UvKnN0YXRpc3RpY3MgJmFtcDsgbnVtZXJpY2FsIGRhdGE8L2tleXdvcmQ+PGtleXdvcmQ+
UHJlZ25hbmN5PC9rZXl3b3JkPjxrZXl3b3JkPlByZW5hdGFsIENhcmUvc3RhdGlzdGljcyAmYW1w
OyBudW1lcmljYWwgZGF0YTwva2V5d29yZD48a2V5d29yZD5TZWxmIFJlcG9ydDwva2V5d29yZD48
a2V5d29yZD5UZXJ0aWFyeSBIZWFsdGhjYXJlL3N0YXRpc3RpY3MgJmFtcDsgbnVtZXJpY2FsIGRh
dGE8L2tleXdvcmQ+PGtleXdvcmQ+WW91bmcgQWR1bHQ8L2tleXdvcmQ+PGtleXdvcmQ+YWRoZXJl
bmNlPC9rZXl3b3JkPjxrZXl3b3JkPmZvb2Qgc2FmZXR5PC9rZXl3b3JkPjxrZXl3b3JkPmtub3ds
ZWRnZTwva2V5d29yZD48a2V5d29yZD5udXRyaXRpb24gZ3VpZGVsaW5lczwva2V5d29yZD48L2tl
eXdvcmRzPjxkYXRlcz48eWVhcj4yMDE3PC95ZWFyPjxwdWItZGF0ZXM+PGRhdGU+SnVuPC9kYXRl
PjwvcHViLWRhdGVzPjwvZGF0ZXM+PGlzYm4+MTQ3OS04MjhYIChFbGVjdHJvbmljKSYjeEQ7MDAw
NC04NjY2IChMaW5raW5nKTwvaXNibj48YWNjZXNzaW9uLW51bT4yNzYyNDUxODwvYWNjZXNzaW9u
LW51bT48dXJscz48cmVsYXRlZC11cmxzPjx1cmw+aHR0cHM6Ly93d3cubmNiaS5ubG0ubmloLmdv
di9wdWJtZWQvMjc2MjQ1MTg8L3VybD48L3JlbGF0ZWQtdXJscz48L3VybHM+PGVsZWN0cm9uaWMt
cmVzb3VyY2UtbnVtPjEwLjExMTEvYWpvLjEyNTIzPC9lbGVjdHJvbmljLXJlc291cmNlLW51bT48
L3JlY29yZD48L0NpdGU+PC9FbmROb3RlPgB=
</w:fldData>
        </w:fldChar>
      </w:r>
      <w:r w:rsidR="002747EA">
        <w:instrText xml:space="preserve"> ADDIN EN.CITE </w:instrText>
      </w:r>
      <w:r w:rsidR="002747EA">
        <w:fldChar w:fldCharType="begin">
          <w:fldData xml:space="preserve">PEVuZE5vdGU+PENpdGU+PEF1dGhvcj5CcnlhbnQ8L0F1dGhvcj48WWVhcj4yMDE3PC9ZZWFyPjxS
ZWNOdW0+MTM1MDwvUmVjTnVtPjxEaXNwbGF5VGV4dD48c3R5bGUgZmFjZT0ic3VwZXJzY3JpcHQi
IGZvbnQ9IlRyZWJ1Y2hldCBNUyIgc2l6ZT0iOSI+NjI8L3N0eWxlPjwvRGlzcGxheVRleHQ+PHJl
Y29yZD48cmVjLW51bWJlcj4xMzUwPC9yZWMtbnVtYmVyPjxmb3JlaWduLWtleXM+PGtleSBhcHA9
IkVOIiBkYi1pZD0iZXh2YXNyZngyZHRyYW9lc2FzeHAyc3pzeGEyZGY1MDI1OTJ4IiB0aW1lc3Rh
bXA9IjE1NjcwMzEwMDciPjEzNTA8L2tleT48a2V5IGFwcD0iRU5XZWIiIGRiLWlkPSIiPjA8L2tl
eT48L2ZvcmVpZ24ta2V5cz48cmVmLXR5cGUgbmFtZT0iSm91cm5hbCBBcnRpY2xlIj4xNzwvcmVm
LXR5cGU+PGNvbnRyaWJ1dG9ycz48YXV0aG9ycz48YXV0aG9yPkJyeWFudCwgSi48L2F1dGhvcj48
YXV0aG9yPldhbGxlciwgQS48L2F1dGhvcj48YXV0aG9yPkNhbWVyb24sIEUuPC9hdXRob3I+PGF1
dGhvcj5IdXJlLCBBLjwvYXV0aG9yPjxhdXRob3I+U2Fuc29uLUZpc2hlciwgUi48L2F1dGhvcj48
L2F1dGhvcnM+PC9jb250cmlidXRvcnM+PGF1dGgtYWRkcmVzcz5IZWFsdGggQmVoYXZpb3VyIFJl
c2VhcmNoIEdyb3VwLCBQcmlvcml0eSBSZXNlYXJjaCBDZW50cmUgZm9yIEhlYWx0aCBCZWhhdmlv
dXIsIFVuaXZlcnNpdHkgb2YgTmV3Y2FzdGxlICZhbXA7IEh1bnRlciBNZWRpY2FsIFJlc2VhcmNo
IEluc3RpdHV0ZSwgVW5pdmVyc2l0eSBvZiBOZXdjYXN0bGUsIE5ld2Nhc3RsZSwgTmV3IFNvdXRo
IFdhbGVzLCBBdXN0cmFsaWEuJiN4RDtQcmlvcml0eSBSZXNlYXJjaCBDZW50cmUgZm9yIEdlbmRl
ciwgSGVhbHRoIGFuZCBBZ2VpbmcsIFVuaXZlcnNpdHkgb2YgTmV3Y2FzdGxlICZhbXA7IEh1bnRl
ciBNZWRpY2FsIFJlc2VhcmNoIEluc3RpdHV0ZSwgVW5pdmVyc2l0eSBvZiBOZXdjYXN0bGUsIE5l
d2Nhc3RsZSwgTmV3IFNvdXRoIFdhbGVzLCBBdXN0cmFsaWEuPC9hdXRoLWFkZHJlc3M+PHRpdGxl
cz48dGl0bGU+RGlldCBkdXJpbmcgcHJlZ25hbmN5OiBXb21lbiZhcG9zO3Mga25vd2xlZGdlIG9m
IGFuZCBhZGhlcmVuY2UgdG8gZm9vZCBzYWZldHkgZ3VpZGVsaW5lczwvdGl0bGU+PHNlY29uZGFy
eS10aXRsZT5BdXN0IE4gWiBKIE9ic3RldCBHeW5hZWNvbDwvc2Vjb25kYXJ5LXRpdGxlPjwvdGl0
bGVzPjxwZXJpb2RpY2FsPjxmdWxsLXRpdGxlPkF1c3QgTiBaIEogT2JzdGV0IEd5bmFlY29sPC9m
dWxsLXRpdGxlPjwvcGVyaW9kaWNhbD48cGFnZXM+MzE1LTMyMjwvcGFnZXM+PHZvbHVtZT41Nzwv
dm9sdW1lPjxudW1iZXI+MzwvbnVtYmVyPjxlZGl0aW9uPjIwMTYvMDkvMTU8L2VkaXRpb24+PGtl
eXdvcmRzPjxrZXl3b3JkPkFkdWx0PC9rZXl3b3JkPjxrZXl3b3JkPkNyb3NzLVNlY3Rpb25hbCBT
dHVkaWVzPC9rZXl3b3JkPjxrZXl3b3JkPkRpZXQvYWR2ZXJzZSBlZmZlY3RzPC9rZXl3b3JkPjxr
ZXl3b3JkPkZlbWFsZTwva2V5d29yZD48a2V5d29yZD5Gb29kLyphZHZlcnNlIGVmZmVjdHM8L2tl
eXdvcmQ+PGtleXdvcmQ+Rm9vZGJvcm5lIERpc2Vhc2VzLypwcmV2ZW50aW9uICZhbXA7IGNvbnRy
b2w8L2tleXdvcmQ+PGtleXdvcmQ+R2VuZXJhbCBQcmFjdGljZS9zdGF0aXN0aWNzICZhbXA7IG51
bWVyaWNhbCBkYXRhPC9rZXl3b3JkPjxrZXl3b3JkPkd1aWRlbGluZXMgYXMgVG9waWM8L2tleXdv
cmQ+PGtleXdvcmQ+KkhlYWx0aCBLbm93bGVkZ2UsIEF0dGl0dWRlcywgUHJhY3RpY2U8L2tleXdv
cmQ+PGtleXdvcmQ+SHVtYW5zPC9rZXl3b3JkPjxrZXl3b3JkPk9mZmljZSBWaXNpdHMvc3RhdGlz
dGljcyAmYW1wOyBudW1lcmljYWwgZGF0YTwva2V5d29yZD48a2V5d29yZD5QYXRpZW50IENvbXBs
aWFuY2UvKnN0YXRpc3RpY3MgJmFtcDsgbnVtZXJpY2FsIGRhdGE8L2tleXdvcmQ+PGtleXdvcmQ+
UHJlZ25hbmN5PC9rZXl3b3JkPjxrZXl3b3JkPlByZW5hdGFsIENhcmUvc3RhdGlzdGljcyAmYW1w
OyBudW1lcmljYWwgZGF0YTwva2V5d29yZD48a2V5d29yZD5TZWxmIFJlcG9ydDwva2V5d29yZD48
a2V5d29yZD5UZXJ0aWFyeSBIZWFsdGhjYXJlL3N0YXRpc3RpY3MgJmFtcDsgbnVtZXJpY2FsIGRh
dGE8L2tleXdvcmQ+PGtleXdvcmQ+WW91bmcgQWR1bHQ8L2tleXdvcmQ+PGtleXdvcmQ+YWRoZXJl
bmNlPC9rZXl3b3JkPjxrZXl3b3JkPmZvb2Qgc2FmZXR5PC9rZXl3b3JkPjxrZXl3b3JkPmtub3ds
ZWRnZTwva2V5d29yZD48a2V5d29yZD5udXRyaXRpb24gZ3VpZGVsaW5lczwva2V5d29yZD48L2tl
eXdvcmRzPjxkYXRlcz48eWVhcj4yMDE3PC95ZWFyPjxwdWItZGF0ZXM+PGRhdGU+SnVuPC9kYXRl
PjwvcHViLWRhdGVzPjwvZGF0ZXM+PGlzYm4+MTQ3OS04MjhYIChFbGVjdHJvbmljKSYjeEQ7MDAw
NC04NjY2IChMaW5raW5nKTwvaXNibj48YWNjZXNzaW9uLW51bT4yNzYyNDUxODwvYWNjZXNzaW9u
LW51bT48dXJscz48cmVsYXRlZC11cmxzPjx1cmw+aHR0cHM6Ly93d3cubmNiaS5ubG0ubmloLmdv
di9wdWJtZWQvMjc2MjQ1MTg8L3VybD48L3JlbGF0ZWQtdXJscz48L3VybHM+PGVsZWN0cm9uaWMt
cmVzb3VyY2UtbnVtPjEwLjExMTEvYWpvLjEyNTIzPC9lbGVjdHJvbmljLXJlc291cmNlLW51bT48
L3JlY29yZD48L0NpdGU+PC9FbmROb3RlPgB=
</w:fldData>
        </w:fldChar>
      </w:r>
      <w:r w:rsidR="002747EA">
        <w:instrText xml:space="preserve"> ADDIN EN.CITE.DATA </w:instrText>
      </w:r>
      <w:r w:rsidR="002747EA">
        <w:fldChar w:fldCharType="end"/>
      </w:r>
      <w:r w:rsidR="00767EBF">
        <w:fldChar w:fldCharType="separate"/>
      </w:r>
      <w:r w:rsidR="002747EA" w:rsidRPr="002747EA">
        <w:rPr>
          <w:noProof/>
          <w:vertAlign w:val="superscript"/>
        </w:rPr>
        <w:t>62</w:t>
      </w:r>
      <w:r w:rsidR="00767EBF">
        <w:fldChar w:fldCharType="end"/>
      </w:r>
      <w:r>
        <w:t xml:space="preserve"> found that women’s k</w:t>
      </w:r>
      <w:r w:rsidRPr="00707500">
        <w:t>nowledge of foods to avoid during pregnancy was poor, with 83% of women incorrectly identifying at least one unsafe food as safe to consume. The average knowledge score for foods to avoid during pregnancy was 7.9</w:t>
      </w:r>
      <w:r>
        <w:t>±3.4</w:t>
      </w:r>
      <w:r w:rsidRPr="00707500">
        <w:t xml:space="preserve"> out of a possible score of 12. Women with a higher number of GP visits and those receiving care in a high-risk clinic were more likely to be adherent to guidelines. </w:t>
      </w:r>
    </w:p>
    <w:p w14:paraId="2F20C069" w14:textId="4EB9737E" w:rsidR="00AE684F" w:rsidRPr="00AE684F" w:rsidRDefault="00AE684F" w:rsidP="00F66919">
      <w:pPr>
        <w:rPr>
          <w:rFonts w:ascii="Helvetica" w:hAnsi="Helvetica"/>
          <w:szCs w:val="18"/>
        </w:rPr>
      </w:pPr>
      <w:r>
        <w:t xml:space="preserve">A cross-sectional </w:t>
      </w:r>
      <w:r w:rsidR="00F66919">
        <w:t xml:space="preserve">study in the United States </w:t>
      </w:r>
      <w:r w:rsidR="00F66919">
        <w:rPr>
          <w:rFonts w:ascii="Helvetica" w:hAnsi="Helvetica"/>
          <w:szCs w:val="18"/>
        </w:rPr>
        <w:t xml:space="preserve">found that </w:t>
      </w:r>
      <w:r w:rsidRPr="00AE684F">
        <w:rPr>
          <w:rFonts w:ascii="Helvetica" w:hAnsi="Helvetica"/>
          <w:szCs w:val="18"/>
        </w:rPr>
        <w:t>food security status was associated with the daily intake of fresh fruits</w:t>
      </w:r>
      <w:r w:rsidR="00F66919">
        <w:rPr>
          <w:rFonts w:ascii="Helvetica" w:hAnsi="Helvetica"/>
          <w:szCs w:val="18"/>
        </w:rPr>
        <w:t xml:space="preserve"> (</w:t>
      </w:r>
      <w:r w:rsidR="000013E7" w:rsidRPr="00F83E91">
        <w:rPr>
          <w:rFonts w:ascii="Helvetica" w:hAnsi="Helvetica"/>
          <w:sz w:val="16"/>
          <w:szCs w:val="16"/>
        </w:rPr>
        <w:t xml:space="preserve">indirect effect </w:t>
      </w:r>
      <w:r w:rsidR="00F66919" w:rsidRPr="00F83E91">
        <w:rPr>
          <w:rFonts w:ascii="Helvetica" w:hAnsi="Helvetica"/>
          <w:sz w:val="16"/>
          <w:szCs w:val="16"/>
        </w:rPr>
        <w:t xml:space="preserve">-0.039; 95%CI </w:t>
      </w:r>
      <w:r w:rsidR="000013E7" w:rsidRPr="00F83E91">
        <w:rPr>
          <w:rFonts w:ascii="Helvetica" w:hAnsi="Helvetica"/>
          <w:sz w:val="16"/>
          <w:szCs w:val="16"/>
        </w:rPr>
        <w:t>-0.074 to</w:t>
      </w:r>
      <w:r w:rsidR="00F66919" w:rsidRPr="00F83E91">
        <w:rPr>
          <w:rFonts w:ascii="Helvetica" w:hAnsi="Helvetica"/>
          <w:sz w:val="16"/>
          <w:szCs w:val="16"/>
        </w:rPr>
        <w:t xml:space="preserve"> -0.013</w:t>
      </w:r>
      <w:r w:rsidR="00F66919">
        <w:rPr>
          <w:rFonts w:ascii="Helvetica" w:hAnsi="Helvetica"/>
          <w:szCs w:val="18"/>
        </w:rPr>
        <w:t>) and fresh vegetables (</w:t>
      </w:r>
      <w:r w:rsidR="000013E7" w:rsidRPr="00F83E91">
        <w:rPr>
          <w:rFonts w:ascii="Helvetica" w:hAnsi="Helvetica"/>
          <w:sz w:val="16"/>
          <w:szCs w:val="16"/>
        </w:rPr>
        <w:t xml:space="preserve">indirect effect </w:t>
      </w:r>
      <w:r w:rsidR="00F66919" w:rsidRPr="00F83E91">
        <w:rPr>
          <w:rFonts w:ascii="Helvetica" w:hAnsi="Helvetica"/>
          <w:sz w:val="16"/>
          <w:szCs w:val="16"/>
        </w:rPr>
        <w:t xml:space="preserve">-0.048; 95%CI </w:t>
      </w:r>
      <w:r w:rsidR="000013E7" w:rsidRPr="00F83E91">
        <w:rPr>
          <w:rFonts w:ascii="Helvetica" w:hAnsi="Helvetica"/>
          <w:sz w:val="16"/>
          <w:szCs w:val="16"/>
        </w:rPr>
        <w:noBreakHyphen/>
        <w:t>0.083 to</w:t>
      </w:r>
      <w:r w:rsidR="00F83E91" w:rsidRPr="00F83E91">
        <w:rPr>
          <w:rFonts w:ascii="Helvetica" w:hAnsi="Helvetica"/>
          <w:sz w:val="16"/>
          <w:szCs w:val="16"/>
        </w:rPr>
        <w:t xml:space="preserve"> -0.023</w:t>
      </w:r>
      <w:r w:rsidRPr="00AE684F">
        <w:rPr>
          <w:rFonts w:ascii="Helvetica" w:hAnsi="Helvetica"/>
          <w:szCs w:val="18"/>
        </w:rPr>
        <w:t>).</w:t>
      </w:r>
      <w:r w:rsidR="00767EBF">
        <w:rPr>
          <w:rFonts w:ascii="Helvetica" w:hAnsi="Helvetica"/>
          <w:szCs w:val="18"/>
        </w:rPr>
        <w:fldChar w:fldCharType="begin">
          <w:fldData xml:space="preserve">PEVuZE5vdGU+PENpdGU+PEF1dGhvcj5OdW5uZXJ5PC9BdXRob3I+PFllYXI+MjAxODwvWWVhcj48
UmVjTnVtPjEzNzA8L1JlY051bT48RGlzcGxheVRleHQ+PHN0eWxlIGZhY2U9InN1cGVyc2NyaXB0
IiBmb250PSJUcmVidWNoZXQgTVMiIHNpemU9IjkiPjYzPC9zdHlsZT48L0Rpc3BsYXlUZXh0Pjxy
ZWNvcmQ+PHJlYy1udW1iZXI+MTM3MDwvcmVjLW51bWJlcj48Zm9yZWlnbi1rZXlzPjxrZXkgYXBw
PSJFTiIgZGItaWQ9ImV4dmFzcmZ4MmR0cmFvZXNhc3hwMnN6c3hhMmRmNTAyNTkyeCIgdGltZXN0
YW1wPSIxNTY3MDMxMDg2Ij4xMzcwPC9rZXk+PGtleSBhcHA9IkVOV2ViIiBkYi1pZD0iIj4wPC9r
ZXk+PC9mb3JlaWduLWtleXM+PHJlZi10eXBlIG5hbWU9IkpvdXJuYWwgQXJ0aWNsZSI+MTc8L3Jl
Zi10eXBlPjxjb250cmlidXRvcnM+PGF1dGhvcnM+PGF1dGhvcj5OdW5uZXJ5LCBELiBMLjwvYXV0
aG9yPjxhdXRob3I+TGFiYmFuLCBKLiBELjwvYXV0aG9yPjxhdXRob3I+RGhhcm9kLCBKLiBNLjwv
YXV0aG9yPjwvYXV0aG9ycz48L2NvbnRyaWJ1dG9ycz48YXV0aC1hZGRyZXNzPjFEZXBhcnRtZW50
IG9mIE51dHJpdGlvbixVbml2ZXJzaXR5IG9mIE5vcnRoIENhcm9saW5hIGF0IEdyZWVuc2Jvcm8s
MzE5IENvbGxlZ2UgQXZlbnVlLDMxNyBTdG9uZSBCdWlsZGluZyxHcmVlbnNib3JvLE5DIDI3NDEy
LFVTQS4mI3hEOzJPZmZpY2Ugb2YgUmVzZWFyY2gsVW5pdmVyc2l0eSBvZiBOb3J0aCBDYXJvbGlu
YSBhdCBHcmVlbnNib3JvLEdyZWVuc2Jvcm8sTkMsVVNBLjwvYXV0aC1hZGRyZXNzPjx0aXRsZXM+
PHRpdGxlPkludGVycmVsYXRpb25zaGlwIGJldHdlZW4gZm9vZCBzZWN1cml0eSBzdGF0dXMsIGhv
bWUgYXZhaWxhYmlsaXR5IG9mIHZhcmlldHkgb2YgZnJ1aXRzIGFuZCB2ZWdldGFibGVzIGFuZCB0
aGVpciBkaWV0YXJ5IGludGFrZSBhbW9uZyBsb3ctaW5jb21lIHByZWduYW50IHdvbWVuPC90aXRs
ZT48c2Vjb25kYXJ5LXRpdGxlPlB1YmxpYyBIZWFsdGggTnV0cjwvc2Vjb25kYXJ5LXRpdGxlPjwv
dGl0bGVzPjxwZXJpb2RpY2FsPjxmdWxsLXRpdGxlPlB1YmxpYyBIZWFsdGggTnV0cjwvZnVsbC10
aXRsZT48L3BlcmlvZGljYWw+PHBhZ2VzPjgwNy04MTU8L3BhZ2VzPjx2b2x1bWU+MjE8L3ZvbHVt
ZT48bnVtYmVyPjQ8L251bWJlcj48ZWRpdGlvbj4yMDE3LzExLzExPC9lZGl0aW9uPjxrZXl3b3Jk
cz48a2V5d29yZD5BZHVsdDwva2V5d29yZD48a2V5d29yZD4qRGlldDwva2V5d29yZD48a2V5d29y
ZD5EaWV0IFN1cnZleXM8L2tleXdvcmQ+PGtleXdvcmQ+RW5lcmd5IEludGFrZTwva2V5d29yZD48
a2V5d29yZD4qRW52aXJvbm1lbnQ8L2tleXdvcmQ+PGtleXdvcmQ+KkZhbWlseSBDaGFyYWN0ZXJp
c3RpY3M8L2tleXdvcmQ+PGtleXdvcmQ+RmVlZGluZyBCZWhhdmlvcjwva2V5d29yZD48a2V5d29y
ZD5GZW1hbGU8L2tleXdvcmQ+PGtleXdvcmQ+KkZvb2QgU3VwcGx5PC9rZXl3b3JkPjxrZXl3b3Jk
PipGcnVpdDwva2V5d29yZD48a2V5d29yZD5IdW1hbnM8L2tleXdvcmQ+PGtleXdvcmQ+KlBvdmVy
dHk8L2tleXdvcmQ+PGtleXdvcmQ+UHJlZ25hbmN5PC9rZXl3b3JkPjxrZXl3b3JkPipWZWdldGFi
bGVzPC9rZXl3b3JkPjxrZXl3b3JkPipGb29kIHNlY3VyaXR5PC9rZXl3b3JkPjxrZXl3b3JkPipG
cnVpdCBhbmQgdmVnZXRhYmxlIGludGFrZTwva2V5d29yZD48a2V5d29yZD4qSG9tZSBmb29kIGF2
YWlsYWJpbGl0eTwva2V5d29yZD48a2V5d29yZD4qTG93LWluY29tZSBwcmVnbmFudCB3b21lbjwv
a2V5d29yZD48L2tleXdvcmRzPjxkYXRlcz48eWVhcj4yMDE4PC95ZWFyPjxwdWItZGF0ZXM+PGRh
dGU+TWFyPC9kYXRlPjwvcHViLWRhdGVzPjwvZGF0ZXM+PGlzYm4+MTQ3NS0yNzI3IChFbGVjdHJv
bmljKSYjeEQ7MTM2OC05ODAwIChMaW5raW5nKTwvaXNibj48YWNjZXNzaW9uLW51bT4yOTEyNTA5
MzwvYWNjZXNzaW9uLW51bT48dXJscz48cmVsYXRlZC11cmxzPjx1cmw+aHR0cHM6Ly93d3cubmNi
aS5ubG0ubmloLmdvdi9wdWJtZWQvMjkxMjUwOTM8L3VybD48L3JlbGF0ZWQtdXJscz48L3VybHM+
PGVsZWN0cm9uaWMtcmVzb3VyY2UtbnVtPjEwLjEwMTcvUzEzNjg5ODAwMTcwMDMwMzI8L2VsZWN0
cm9uaWMtcmVzb3VyY2UtbnVtPjwvcmVjb3JkPjwvQ2l0ZT48L0VuZE5vdGU+
</w:fldData>
        </w:fldChar>
      </w:r>
      <w:r w:rsidR="002747EA">
        <w:rPr>
          <w:rFonts w:ascii="Helvetica" w:hAnsi="Helvetica"/>
          <w:szCs w:val="18"/>
        </w:rPr>
        <w:instrText xml:space="preserve"> ADDIN EN.CITE </w:instrText>
      </w:r>
      <w:r w:rsidR="002747EA">
        <w:rPr>
          <w:rFonts w:ascii="Helvetica" w:hAnsi="Helvetica"/>
          <w:szCs w:val="18"/>
        </w:rPr>
        <w:fldChar w:fldCharType="begin">
          <w:fldData xml:space="preserve">PEVuZE5vdGU+PENpdGU+PEF1dGhvcj5OdW5uZXJ5PC9BdXRob3I+PFllYXI+MjAxODwvWWVhcj48
UmVjTnVtPjEzNzA8L1JlY051bT48RGlzcGxheVRleHQ+PHN0eWxlIGZhY2U9InN1cGVyc2NyaXB0
IiBmb250PSJUcmVidWNoZXQgTVMiIHNpemU9IjkiPjYzPC9zdHlsZT48L0Rpc3BsYXlUZXh0Pjxy
ZWNvcmQ+PHJlYy1udW1iZXI+MTM3MDwvcmVjLW51bWJlcj48Zm9yZWlnbi1rZXlzPjxrZXkgYXBw
PSJFTiIgZGItaWQ9ImV4dmFzcmZ4MmR0cmFvZXNhc3hwMnN6c3hhMmRmNTAyNTkyeCIgdGltZXN0
YW1wPSIxNTY3MDMxMDg2Ij4xMzcwPC9rZXk+PGtleSBhcHA9IkVOV2ViIiBkYi1pZD0iIj4wPC9r
ZXk+PC9mb3JlaWduLWtleXM+PHJlZi10eXBlIG5hbWU9IkpvdXJuYWwgQXJ0aWNsZSI+MTc8L3Jl
Zi10eXBlPjxjb250cmlidXRvcnM+PGF1dGhvcnM+PGF1dGhvcj5OdW5uZXJ5LCBELiBMLjwvYXV0
aG9yPjxhdXRob3I+TGFiYmFuLCBKLiBELjwvYXV0aG9yPjxhdXRob3I+RGhhcm9kLCBKLiBNLjwv
YXV0aG9yPjwvYXV0aG9ycz48L2NvbnRyaWJ1dG9ycz48YXV0aC1hZGRyZXNzPjFEZXBhcnRtZW50
IG9mIE51dHJpdGlvbixVbml2ZXJzaXR5IG9mIE5vcnRoIENhcm9saW5hIGF0IEdyZWVuc2Jvcm8s
MzE5IENvbGxlZ2UgQXZlbnVlLDMxNyBTdG9uZSBCdWlsZGluZyxHcmVlbnNib3JvLE5DIDI3NDEy
LFVTQS4mI3hEOzJPZmZpY2Ugb2YgUmVzZWFyY2gsVW5pdmVyc2l0eSBvZiBOb3J0aCBDYXJvbGlu
YSBhdCBHcmVlbnNib3JvLEdyZWVuc2Jvcm8sTkMsVVNBLjwvYXV0aC1hZGRyZXNzPjx0aXRsZXM+
PHRpdGxlPkludGVycmVsYXRpb25zaGlwIGJldHdlZW4gZm9vZCBzZWN1cml0eSBzdGF0dXMsIGhv
bWUgYXZhaWxhYmlsaXR5IG9mIHZhcmlldHkgb2YgZnJ1aXRzIGFuZCB2ZWdldGFibGVzIGFuZCB0
aGVpciBkaWV0YXJ5IGludGFrZSBhbW9uZyBsb3ctaW5jb21lIHByZWduYW50IHdvbWVuPC90aXRs
ZT48c2Vjb25kYXJ5LXRpdGxlPlB1YmxpYyBIZWFsdGggTnV0cjwvc2Vjb25kYXJ5LXRpdGxlPjwv
dGl0bGVzPjxwZXJpb2RpY2FsPjxmdWxsLXRpdGxlPlB1YmxpYyBIZWFsdGggTnV0cjwvZnVsbC10
aXRsZT48L3BlcmlvZGljYWw+PHBhZ2VzPjgwNy04MTU8L3BhZ2VzPjx2b2x1bWU+MjE8L3ZvbHVt
ZT48bnVtYmVyPjQ8L251bWJlcj48ZWRpdGlvbj4yMDE3LzExLzExPC9lZGl0aW9uPjxrZXl3b3Jk
cz48a2V5d29yZD5BZHVsdDwva2V5d29yZD48a2V5d29yZD4qRGlldDwva2V5d29yZD48a2V5d29y
ZD5EaWV0IFN1cnZleXM8L2tleXdvcmQ+PGtleXdvcmQ+RW5lcmd5IEludGFrZTwva2V5d29yZD48
a2V5d29yZD4qRW52aXJvbm1lbnQ8L2tleXdvcmQ+PGtleXdvcmQ+KkZhbWlseSBDaGFyYWN0ZXJp
c3RpY3M8L2tleXdvcmQ+PGtleXdvcmQ+RmVlZGluZyBCZWhhdmlvcjwva2V5d29yZD48a2V5d29y
ZD5GZW1hbGU8L2tleXdvcmQ+PGtleXdvcmQ+KkZvb2QgU3VwcGx5PC9rZXl3b3JkPjxrZXl3b3Jk
PipGcnVpdDwva2V5d29yZD48a2V5d29yZD5IdW1hbnM8L2tleXdvcmQ+PGtleXdvcmQ+KlBvdmVy
dHk8L2tleXdvcmQ+PGtleXdvcmQ+UHJlZ25hbmN5PC9rZXl3b3JkPjxrZXl3b3JkPipWZWdldGFi
bGVzPC9rZXl3b3JkPjxrZXl3b3JkPipGb29kIHNlY3VyaXR5PC9rZXl3b3JkPjxrZXl3b3JkPipG
cnVpdCBhbmQgdmVnZXRhYmxlIGludGFrZTwva2V5d29yZD48a2V5d29yZD4qSG9tZSBmb29kIGF2
YWlsYWJpbGl0eTwva2V5d29yZD48a2V5d29yZD4qTG93LWluY29tZSBwcmVnbmFudCB3b21lbjwv
a2V5d29yZD48L2tleXdvcmRzPjxkYXRlcz48eWVhcj4yMDE4PC95ZWFyPjxwdWItZGF0ZXM+PGRh
dGU+TWFyPC9kYXRlPjwvcHViLWRhdGVzPjwvZGF0ZXM+PGlzYm4+MTQ3NS0yNzI3IChFbGVjdHJv
bmljKSYjeEQ7MTM2OC05ODAwIChMaW5raW5nKTwvaXNibj48YWNjZXNzaW9uLW51bT4yOTEyNTA5
MzwvYWNjZXNzaW9uLW51bT48dXJscz48cmVsYXRlZC11cmxzPjx1cmw+aHR0cHM6Ly93d3cubmNi
aS5ubG0ubmloLmdvdi9wdWJtZWQvMjkxMjUwOTM8L3VybD48L3JlbGF0ZWQtdXJscz48L3VybHM+
PGVsZWN0cm9uaWMtcmVzb3VyY2UtbnVtPjEwLjEwMTcvUzEzNjg5ODAwMTcwMDMwMzI8L2VsZWN0
cm9uaWMtcmVzb3VyY2UtbnVtPjwvcmVjb3JkPjwvQ2l0ZT48L0VuZE5vdGU+
</w:fldData>
        </w:fldChar>
      </w:r>
      <w:r w:rsidR="002747EA">
        <w:rPr>
          <w:rFonts w:ascii="Helvetica" w:hAnsi="Helvetica"/>
          <w:szCs w:val="18"/>
        </w:rPr>
        <w:instrText xml:space="preserve"> ADDIN EN.CITE.DATA </w:instrText>
      </w:r>
      <w:r w:rsidR="002747EA">
        <w:rPr>
          <w:rFonts w:ascii="Helvetica" w:hAnsi="Helvetica"/>
          <w:szCs w:val="18"/>
        </w:rPr>
      </w:r>
      <w:r w:rsidR="002747EA">
        <w:rPr>
          <w:rFonts w:ascii="Helvetica" w:hAnsi="Helvetica"/>
          <w:szCs w:val="18"/>
        </w:rPr>
        <w:fldChar w:fldCharType="end"/>
      </w:r>
      <w:r w:rsidR="00767EBF">
        <w:rPr>
          <w:rFonts w:ascii="Helvetica" w:hAnsi="Helvetica"/>
          <w:szCs w:val="18"/>
        </w:rPr>
      </w:r>
      <w:r w:rsidR="00767EBF">
        <w:rPr>
          <w:rFonts w:ascii="Helvetica" w:hAnsi="Helvetica"/>
          <w:szCs w:val="18"/>
        </w:rPr>
        <w:fldChar w:fldCharType="separate"/>
      </w:r>
      <w:r w:rsidR="002747EA" w:rsidRPr="002747EA">
        <w:rPr>
          <w:noProof/>
          <w:szCs w:val="18"/>
          <w:vertAlign w:val="superscript"/>
        </w:rPr>
        <w:t>63</w:t>
      </w:r>
      <w:r w:rsidR="00767EBF">
        <w:rPr>
          <w:rFonts w:ascii="Helvetica" w:hAnsi="Helvetica"/>
          <w:szCs w:val="18"/>
        </w:rPr>
        <w:fldChar w:fldCharType="end"/>
      </w:r>
      <w:r w:rsidRPr="00AE684F">
        <w:rPr>
          <w:rFonts w:ascii="Helvetica" w:hAnsi="Helvetica"/>
          <w:szCs w:val="18"/>
        </w:rPr>
        <w:t xml:space="preserve"> As food security worsened, the available variety of fresh </w:t>
      </w:r>
      <w:r w:rsidR="0083555D">
        <w:rPr>
          <w:rFonts w:ascii="Helvetica" w:hAnsi="Helvetica"/>
          <w:szCs w:val="18"/>
        </w:rPr>
        <w:t>fruit and vege</w:t>
      </w:r>
      <w:r w:rsidR="000013E7">
        <w:rPr>
          <w:rFonts w:ascii="Helvetica" w:hAnsi="Helvetica"/>
          <w:szCs w:val="18"/>
        </w:rPr>
        <w:t>tables</w:t>
      </w:r>
      <w:r w:rsidRPr="00AE684F">
        <w:rPr>
          <w:rFonts w:ascii="Helvetica" w:hAnsi="Helvetica"/>
          <w:szCs w:val="18"/>
        </w:rPr>
        <w:t xml:space="preserve"> decreased, which was associated with lower intake. </w:t>
      </w:r>
    </w:p>
    <w:p w14:paraId="4CD5C3BD" w14:textId="376CF70B" w:rsidR="00122B25" w:rsidRDefault="00122B25" w:rsidP="00122B25">
      <w:pPr>
        <w:pStyle w:val="Heading3"/>
      </w:pPr>
      <w:bookmarkStart w:id="45" w:name="_Toc40956482"/>
      <w:r>
        <w:t>Fruit and vegetables</w:t>
      </w:r>
      <w:bookmarkEnd w:id="45"/>
    </w:p>
    <w:p w14:paraId="11485D1E" w14:textId="77777777" w:rsidR="004C390A" w:rsidRDefault="004C390A" w:rsidP="00C9394B">
      <w:pPr>
        <w:pStyle w:val="Heading4"/>
      </w:pPr>
      <w:r>
        <w:t>Glucose tolerance</w:t>
      </w:r>
    </w:p>
    <w:p w14:paraId="61628AF9" w14:textId="47A6B50D" w:rsidR="004C390A" w:rsidRPr="004C390A" w:rsidRDefault="004C390A" w:rsidP="004C390A">
      <w:r w:rsidRPr="00CD4D30">
        <w:t>A small cohort study (</w:t>
      </w:r>
      <w:r w:rsidRPr="00CD4D30">
        <w:rPr>
          <w:sz w:val="16"/>
          <w:szCs w:val="16"/>
        </w:rPr>
        <w:t>n=180</w:t>
      </w:r>
      <w:r w:rsidRPr="00CD4D30">
        <w:t>)</w:t>
      </w:r>
      <w:r w:rsidR="00774750">
        <w:fldChar w:fldCharType="begin"/>
      </w:r>
      <w:r w:rsidR="002747EA">
        <w:instrText xml:space="preserve"> ADDIN EN.CITE &lt;EndNote&gt;&lt;Cite&gt;&lt;Author&gt;Soto&lt;/Author&gt;&lt;Year&gt;2015&lt;/Year&gt;&lt;RecNum&gt;1753&lt;/RecNum&gt;&lt;DisplayText&gt;&lt;style face="superscript" font="Trebuchet MS" size="9"&gt;64&lt;/style&gt;&lt;/DisplayText&gt;&lt;record&gt;&lt;rec-number&gt;1753&lt;/rec-number&gt;&lt;foreign-keys&gt;&lt;key app="EN" db-id="exvasrfx2dtraoesasxp2szsxa2df502592x" timestamp="1582757924"&gt;1753&lt;/key&gt;&lt;/foreign-keys&gt;&lt;ref-type name="Journal Article"&gt;17&lt;/ref-type&gt;&lt;contributors&gt;&lt;authors&gt;&lt;author&gt;Soto, R.&lt;/author&gt;&lt;author&gt;Guilloty, N.&lt;/author&gt;&lt;author&gt;Anzalota, L.&lt;/author&gt;&lt;author&gt;Rosario, Z.&lt;/author&gt;&lt;author&gt;Cordero, J. F.&lt;/author&gt;&lt;author&gt;Palacios, C.&lt;/author&gt;&lt;/authors&gt;&lt;/contributors&gt;&lt;titles&gt;&lt;title&gt;Association between maternal diet factors and hemoglobin levels, glucose tolerance, blood pressure and gestational age in a Hispanic population&lt;/title&gt;&lt;secondary-title&gt;Arch Latinoam Nutr&lt;/secondary-title&gt;&lt;/titles&gt;&lt;periodical&gt;&lt;full-title&gt;Arch Latinoam Nutr&lt;/full-title&gt;&lt;/periodical&gt;&lt;pages&gt;86-96&lt;/pages&gt;&lt;volume&gt;65&lt;/volume&gt;&lt;number&gt;2&lt;/number&gt;&lt;edition&gt;2016/01/29&lt;/edition&gt;&lt;keywords&gt;&lt;keyword&gt;Adolescent&lt;/keyword&gt;&lt;keyword&gt;Adult&lt;/keyword&gt;&lt;keyword&gt;Blood Glucose/*analysis&lt;/keyword&gt;&lt;keyword&gt;Blood Pressure/*physiology&lt;/keyword&gt;&lt;keyword&gt;Diabetes, Gestational/prevention &amp;amp; control&lt;/keyword&gt;&lt;keyword&gt;Dietary Supplements&lt;/keyword&gt;&lt;keyword&gt;Feeding Behavior/*physiology&lt;/keyword&gt;&lt;keyword&gt;Female&lt;/keyword&gt;&lt;keyword&gt;*Gestational Age&lt;/keyword&gt;&lt;keyword&gt;Glucose Tolerance Test&lt;/keyword&gt;&lt;keyword&gt;Hemoglobins/*analysis&lt;/keyword&gt;&lt;keyword&gt;Humans&lt;/keyword&gt;&lt;keyword&gt;Pregnancy&lt;/keyword&gt;&lt;keyword&gt;*Prenatal Nutritional Physiological Phenomena&lt;/keyword&gt;&lt;keyword&gt;Prospective Studies&lt;/keyword&gt;&lt;keyword&gt;Puerto Rico/ethnology&lt;/keyword&gt;&lt;keyword&gt;Surveys and Questionnaires&lt;/keyword&gt;&lt;keyword&gt;Young Adult&lt;/keyword&gt;&lt;/keywords&gt;&lt;dates&gt;&lt;year&gt;2015&lt;/year&gt;&lt;pub-dates&gt;&lt;date&gt;Jun&lt;/date&gt;&lt;/pub-dates&gt;&lt;/dates&gt;&lt;isbn&gt;0004-0622 (Print)&amp;#xD;0004-0622 (Linking)&lt;/isbn&gt;&lt;accession-num&gt;26817380&lt;/accession-num&gt;&lt;urls&gt;&lt;related-urls&gt;&lt;url&gt;https://www.ncbi.nlm.nih.gov/pubmed/26817380&lt;/url&gt;&lt;/related-urls&gt;&lt;/urls&gt;&lt;custom2&gt;PMC5324707&lt;/custom2&gt;&lt;/record&gt;&lt;/Cite&gt;&lt;/EndNote&gt;</w:instrText>
      </w:r>
      <w:r w:rsidR="00774750">
        <w:fldChar w:fldCharType="separate"/>
      </w:r>
      <w:r w:rsidR="002747EA" w:rsidRPr="002747EA">
        <w:rPr>
          <w:noProof/>
          <w:vertAlign w:val="superscript"/>
        </w:rPr>
        <w:t>64</w:t>
      </w:r>
      <w:r w:rsidR="00774750">
        <w:fldChar w:fldCharType="end"/>
      </w:r>
      <w:r w:rsidRPr="00CD4D30">
        <w:t xml:space="preserve"> found that high consumption of vegetables was associated with higher 1-h</w:t>
      </w:r>
      <w:r w:rsidR="00CD17F0" w:rsidRPr="00CD4D30">
        <w:t>our glucose challenge test (</w:t>
      </w:r>
      <w:r w:rsidR="00CD17F0" w:rsidRPr="00CD4D30">
        <w:rPr>
          <w:sz w:val="16"/>
          <w:szCs w:val="16"/>
        </w:rPr>
        <w:t>p&lt;</w:t>
      </w:r>
      <w:r w:rsidRPr="00CD4D30">
        <w:rPr>
          <w:sz w:val="16"/>
          <w:szCs w:val="16"/>
        </w:rPr>
        <w:t>0.05</w:t>
      </w:r>
      <w:r w:rsidRPr="00CD4D30">
        <w:t>).</w:t>
      </w:r>
    </w:p>
    <w:p w14:paraId="769D47AD" w14:textId="2029099D" w:rsidR="00422CC9" w:rsidRDefault="00422CC9" w:rsidP="00C9394B">
      <w:pPr>
        <w:pStyle w:val="Heading4"/>
      </w:pPr>
      <w:r>
        <w:t>Pre-eclampsia</w:t>
      </w:r>
    </w:p>
    <w:p w14:paraId="23EA8FCE" w14:textId="18C62E49" w:rsidR="00422CC9" w:rsidRDefault="00422CC9" w:rsidP="00422CC9">
      <w:r w:rsidRPr="001F464A">
        <w:t>A</w:t>
      </w:r>
      <w:r>
        <w:t>nalysis of an RCT (</w:t>
      </w:r>
      <w:r w:rsidRPr="00457914">
        <w:rPr>
          <w:sz w:val="16"/>
          <w:szCs w:val="16"/>
        </w:rPr>
        <w:t>n=987</w:t>
      </w:r>
      <w:r>
        <w:t>)</w:t>
      </w:r>
      <w:r>
        <w:fldChar w:fldCharType="begin">
          <w:fldData xml:space="preserve">PEVuZE5vdGU+PENpdGU+PEF1dGhvcj5NaTwvQXV0aG9yPjxZZWFyPjIwMTk8L1llYXI+PFJlY051
bT4xNDYzPC9SZWNOdW0+PERpc3BsYXlUZXh0PjxzdHlsZSBmYWNlPSJzdXBlcnNjcmlwdCIgZm9u
dD0iVHJlYnVjaGV0IE1TIiBzaXplPSI5Ij42NTwvc3R5bGU+PC9EaXNwbGF5VGV4dD48cmVjb3Jk
PjxyZWMtbnVtYmVyPjE0NjM8L3JlYy1udW1iZXI+PGZvcmVpZ24ta2V5cz48a2V5IGFwcD0iRU4i
IGRiLWlkPSJleHZhc3JmeDJkdHJhb2VzYXN4cDJzenN4YTJkZjUwMjU5MngiIHRpbWVzdGFtcD0i
MTU3NDAzOTYwMCI+MTQ2Mzwva2V5PjxrZXkgYXBwPSJFTldlYiIgZGItaWQ9IiI+MDwva2V5Pjwv
Zm9yZWlnbi1rZXlzPjxyZWYtdHlwZSBuYW1lPSJKb3VybmFsIEFydGljbGUiPjE3PC9yZWYtdHlw
ZT48Y29udHJpYnV0b3JzPjxhdXRob3JzPjxhdXRob3I+TWksIEIuPC9hdXRob3I+PGF1dGhvcj5X
ZW4sIFguPC9hdXRob3I+PGF1dGhvcj5MaSwgUy48L2F1dGhvcj48YXV0aG9yPkxpdSwgRC48L2F1
dGhvcj48YXV0aG9yPkxlaSwgRi48L2F1dGhvcj48YXV0aG9yPkxpdSwgUi48L2F1dGhvcj48YXV0
aG9yPlNoZW4sIFkuPC9hdXRob3I+PGF1dGhvcj5DaGVuLCBZLjwvYXV0aG9yPjxhdXRob3I+WmVu
ZywgTC48L2F1dGhvcj48YXV0aG9yPkxpdSwgWC48L2F1dGhvcj48YXV0aG9yPkRhbmcsIFMuPC9h
dXRob3I+PGF1dGhvcj5ZYW4sIEguPC9hdXRob3I+PC9hdXRob3JzPjwvY29udHJpYnV0b3JzPjxh
dXRoLWFkZHJlc3M+RGVwYXJ0bWVudCBvZiBFcGlkZW1pb2xvZ3kgYW5kIEJpb3N0YXRpc3RpY3Ms
IFNjaG9vbCBvZiBQdWJsaWMgSGVhbHRoLCBYaSZhcG9zO2FuIEppYW90b25nIFVuaXZlcnNpdHkg
SGVhbHRoIFNjaWVuY2UgQ2VudGVyLCBYaSZhcG9zO2FuLCBTaGFhbnhpLCBDaGluYS4mI3hEO0Rp
dmlzaW9uIG9mIEJlaGF2aW9yYWwgTWVkaWNpbmUsIERlcGFydG1lbnQgb2YgUGVkaWF0cmljcywg
SmFjb2JzIFNjaG9vbCBvZiBNZWRpY2luZSBhbmQgQmlvbWVkaWNhbCBTY2llbmNlcywgU3RhdGUg
VW5pdmVyc2l0eSBvZiBOZXcgWW9yayBhdCBCdWZmYWxvLCBVbml0ZWQgU3RhdGVzLiYjeEQ7RGVw
YXJ0bWVudCBvZiBFcGlkZW1pb2xvZ3kgYW5kIEJpb3N0YXRpc3RpY3MsIFNjaG9vbCBvZiBQdWJs
aWMgSGVhbHRoLCBYaSZhcG9zO2FuIEppYW90b25nIFVuaXZlcnNpdHkgSGVhbHRoIFNjaWVuY2Ug
Q2VudGVyLCBYaSZhcG9zO2FuLCBTaGFhbnhpLCBDaGluYTsgWGkmYXBvczthbiBDZW50ZXIgZm9y
IERpc2Vhc2UgQ29udHJvbCBhbmQgUHJldmVudGlvbiwgWGkmYXBvczthbiwgU2hhYW54aSwgQ2hp
bmEuJiN4RDtEZXBhcnRtZW50IG9mIEVwaWRlbWlvbG9neSBhbmQgQmlvc3RhdGlzdGljcywgU2No
b29sIG9mIFB1YmxpYyBIZWFsdGgsIFhpJmFwb3M7YW4gSmlhb3RvbmcgVW5pdmVyc2l0eSBIZWFs
dGggU2NpZW5jZSBDZW50ZXIsIFhpJmFwb3M7YW4sIFNoYWFueGksIENoaW5hLiBFbGVjdHJvbmlj
IGFkZHJlc3M6IHRqZHNobkB4anR1LmVkdS5jbi4mI3hEO0RlcGFydG1lbnQgb2YgRXBpZGVtaW9s
b2d5IGFuZCBCaW9zdGF0aXN0aWNzLCBTY2hvb2wgb2YgUHVibGljIEhlYWx0aCwgWGkmYXBvczth
biBKaWFvdG9uZyBVbml2ZXJzaXR5IEhlYWx0aCBTY2llbmNlIENlbnRlciwgWGkmYXBvczthbiwg
U2hhYW54aSwgQ2hpbmEuIEVsZWN0cm9uaWMgYWRkcmVzczogeGp0dV95aC5wYXBlckBhbGl5dW4u
Y29tLjwvYXV0aC1hZGRyZXNzPjx0aXRsZXM+PHRpdGxlPlZlZ2V0YWJsZSBkaWV0YXJ5IHBhdHRl
cm4gYXNzb2NpYXRlZCB3aXRoIGxvdyByaXNrIG9mIHByZWVjbGFtcHNpYSBwb3NzaWJseSB0aHJv
dWdoIHJlZHVjaW5nIHByb3RlaW51cmlhPC90aXRsZT48c2Vjb25kYXJ5LXRpdGxlPlByZWduYW5j
eSBIeXBlcnRlbnM8L3NlY29uZGFyeS10aXRsZT48L3RpdGxlcz48cGVyaW9kaWNhbD48ZnVsbC10
aXRsZT5QcmVnbmFuY3kgSHlwZXJ0ZW5zPC9mdWxsLXRpdGxlPjwvcGVyaW9kaWNhbD48cGFnZXM+
MTMxLTEzODwvcGFnZXM+PHZvbHVtZT4xNjwvdm9sdW1lPjxlZGl0aW9uPjIwMTkvMDUvMDY8L2Vk
aXRpb24+PGtleXdvcmRzPjxrZXl3b3JkPkRpZXRhcnkgcGF0dGVybjwva2V5d29yZD48a2V5d29y
ZD5HZXN0YXRpb25hbCBoeXBlcnRlbnNpb248L2tleXdvcmQ+PGtleXdvcmQ+UHJlZWNsYW1wc2lh
PC9rZXl3b3JkPjxrZXl3b3JkPlByb3RlaW51cmlhPC9rZXl3b3JkPjxrZXl3b3JkPlJlbGF0aXZl
IHJpc2s8L2tleXdvcmQ+PGtleXdvcmQ+VmVnZXRhYmxlPC9rZXl3b3JkPjwva2V5d29yZHM+PGRh
dGVzPjx5ZWFyPjIwMTk8L3llYXI+PHB1Yi1kYXRlcz48ZGF0ZT5BcHI8L2RhdGU+PC9wdWItZGF0
ZXM+PC9kYXRlcz48aXNibj4yMjEwLTc3OTcgKEVsZWN0cm9uaWMpJiN4RDsyMjEwLTc3ODkgKExp
bmtpbmcpPC9pc2JuPjxhY2Nlc3Npb24tbnVtPjMxMDU2MTQ4PC9hY2Nlc3Npb24tbnVtPjx1cmxz
PjxyZWxhdGVkLXVybHM+PHVybD5odHRwczovL3d3dy5uY2JpLm5sbS5uaWguZ292L3B1Ym1lZC8z
MTA1NjE0ODwvdXJsPjwvcmVsYXRlZC11cmxzPjwvdXJscz48ZWxlY3Ryb25pYy1yZXNvdXJjZS1u
dW0+MTAuMTAxNi9qLnByZWdoeS4yMDE5LjA0LjAwMTwvZWxlY3Ryb25pYy1yZXNvdXJjZS1udW0+
PC9yZWNvcmQ+PC9DaXRlPjwvRW5kTm90ZT5=
</w:fldData>
        </w:fldChar>
      </w:r>
      <w:r w:rsidR="002747EA">
        <w:instrText xml:space="preserve"> ADDIN EN.CITE </w:instrText>
      </w:r>
      <w:r w:rsidR="002747EA">
        <w:fldChar w:fldCharType="begin">
          <w:fldData xml:space="preserve">PEVuZE5vdGU+PENpdGU+PEF1dGhvcj5NaTwvQXV0aG9yPjxZZWFyPjIwMTk8L1llYXI+PFJlY051
bT4xNDYzPC9SZWNOdW0+PERpc3BsYXlUZXh0PjxzdHlsZSBmYWNlPSJzdXBlcnNjcmlwdCIgZm9u
dD0iVHJlYnVjaGV0IE1TIiBzaXplPSI5Ij42NTwvc3R5bGU+PC9EaXNwbGF5VGV4dD48cmVjb3Jk
PjxyZWMtbnVtYmVyPjE0NjM8L3JlYy1udW1iZXI+PGZvcmVpZ24ta2V5cz48a2V5IGFwcD0iRU4i
IGRiLWlkPSJleHZhc3JmeDJkdHJhb2VzYXN4cDJzenN4YTJkZjUwMjU5MngiIHRpbWVzdGFtcD0i
MTU3NDAzOTYwMCI+MTQ2Mzwva2V5PjxrZXkgYXBwPSJFTldlYiIgZGItaWQ9IiI+MDwva2V5Pjwv
Zm9yZWlnbi1rZXlzPjxyZWYtdHlwZSBuYW1lPSJKb3VybmFsIEFydGljbGUiPjE3PC9yZWYtdHlw
ZT48Y29udHJpYnV0b3JzPjxhdXRob3JzPjxhdXRob3I+TWksIEIuPC9hdXRob3I+PGF1dGhvcj5X
ZW4sIFguPC9hdXRob3I+PGF1dGhvcj5MaSwgUy48L2F1dGhvcj48YXV0aG9yPkxpdSwgRC48L2F1
dGhvcj48YXV0aG9yPkxlaSwgRi48L2F1dGhvcj48YXV0aG9yPkxpdSwgUi48L2F1dGhvcj48YXV0
aG9yPlNoZW4sIFkuPC9hdXRob3I+PGF1dGhvcj5DaGVuLCBZLjwvYXV0aG9yPjxhdXRob3I+WmVu
ZywgTC48L2F1dGhvcj48YXV0aG9yPkxpdSwgWC48L2F1dGhvcj48YXV0aG9yPkRhbmcsIFMuPC9h
dXRob3I+PGF1dGhvcj5ZYW4sIEguPC9hdXRob3I+PC9hdXRob3JzPjwvY29udHJpYnV0b3JzPjxh
dXRoLWFkZHJlc3M+RGVwYXJ0bWVudCBvZiBFcGlkZW1pb2xvZ3kgYW5kIEJpb3N0YXRpc3RpY3Ms
IFNjaG9vbCBvZiBQdWJsaWMgSGVhbHRoLCBYaSZhcG9zO2FuIEppYW90b25nIFVuaXZlcnNpdHkg
SGVhbHRoIFNjaWVuY2UgQ2VudGVyLCBYaSZhcG9zO2FuLCBTaGFhbnhpLCBDaGluYS4mI3hEO0Rp
dmlzaW9uIG9mIEJlaGF2aW9yYWwgTWVkaWNpbmUsIERlcGFydG1lbnQgb2YgUGVkaWF0cmljcywg
SmFjb2JzIFNjaG9vbCBvZiBNZWRpY2luZSBhbmQgQmlvbWVkaWNhbCBTY2llbmNlcywgU3RhdGUg
VW5pdmVyc2l0eSBvZiBOZXcgWW9yayBhdCBCdWZmYWxvLCBVbml0ZWQgU3RhdGVzLiYjeEQ7RGVw
YXJ0bWVudCBvZiBFcGlkZW1pb2xvZ3kgYW5kIEJpb3N0YXRpc3RpY3MsIFNjaG9vbCBvZiBQdWJs
aWMgSGVhbHRoLCBYaSZhcG9zO2FuIEppYW90b25nIFVuaXZlcnNpdHkgSGVhbHRoIFNjaWVuY2Ug
Q2VudGVyLCBYaSZhcG9zO2FuLCBTaGFhbnhpLCBDaGluYTsgWGkmYXBvczthbiBDZW50ZXIgZm9y
IERpc2Vhc2UgQ29udHJvbCBhbmQgUHJldmVudGlvbiwgWGkmYXBvczthbiwgU2hhYW54aSwgQ2hp
bmEuJiN4RDtEZXBhcnRtZW50IG9mIEVwaWRlbWlvbG9neSBhbmQgQmlvc3RhdGlzdGljcywgU2No
b29sIG9mIFB1YmxpYyBIZWFsdGgsIFhpJmFwb3M7YW4gSmlhb3RvbmcgVW5pdmVyc2l0eSBIZWFs
dGggU2NpZW5jZSBDZW50ZXIsIFhpJmFwb3M7YW4sIFNoYWFueGksIENoaW5hLiBFbGVjdHJvbmlj
IGFkZHJlc3M6IHRqZHNobkB4anR1LmVkdS5jbi4mI3hEO0RlcGFydG1lbnQgb2YgRXBpZGVtaW9s
b2d5IGFuZCBCaW9zdGF0aXN0aWNzLCBTY2hvb2wgb2YgUHVibGljIEhlYWx0aCwgWGkmYXBvczth
biBKaWFvdG9uZyBVbml2ZXJzaXR5IEhlYWx0aCBTY2llbmNlIENlbnRlciwgWGkmYXBvczthbiwg
U2hhYW54aSwgQ2hpbmEuIEVsZWN0cm9uaWMgYWRkcmVzczogeGp0dV95aC5wYXBlckBhbGl5dW4u
Y29tLjwvYXV0aC1hZGRyZXNzPjx0aXRsZXM+PHRpdGxlPlZlZ2V0YWJsZSBkaWV0YXJ5IHBhdHRl
cm4gYXNzb2NpYXRlZCB3aXRoIGxvdyByaXNrIG9mIHByZWVjbGFtcHNpYSBwb3NzaWJseSB0aHJv
dWdoIHJlZHVjaW5nIHByb3RlaW51cmlhPC90aXRsZT48c2Vjb25kYXJ5LXRpdGxlPlByZWduYW5j
eSBIeXBlcnRlbnM8L3NlY29uZGFyeS10aXRsZT48L3RpdGxlcz48cGVyaW9kaWNhbD48ZnVsbC10
aXRsZT5QcmVnbmFuY3kgSHlwZXJ0ZW5zPC9mdWxsLXRpdGxlPjwvcGVyaW9kaWNhbD48cGFnZXM+
MTMxLTEzODwvcGFnZXM+PHZvbHVtZT4xNjwvdm9sdW1lPjxlZGl0aW9uPjIwMTkvMDUvMDY8L2Vk
aXRpb24+PGtleXdvcmRzPjxrZXl3b3JkPkRpZXRhcnkgcGF0dGVybjwva2V5d29yZD48a2V5d29y
ZD5HZXN0YXRpb25hbCBoeXBlcnRlbnNpb248L2tleXdvcmQ+PGtleXdvcmQ+UHJlZWNsYW1wc2lh
PC9rZXl3b3JkPjxrZXl3b3JkPlByb3RlaW51cmlhPC9rZXl3b3JkPjxrZXl3b3JkPlJlbGF0aXZl
IHJpc2s8L2tleXdvcmQ+PGtleXdvcmQ+VmVnZXRhYmxlPC9rZXl3b3JkPjwva2V5d29yZHM+PGRh
dGVzPjx5ZWFyPjIwMTk8L3llYXI+PHB1Yi1kYXRlcz48ZGF0ZT5BcHI8L2RhdGU+PC9wdWItZGF0
ZXM+PC9kYXRlcz48aXNibj4yMjEwLTc3OTcgKEVsZWN0cm9uaWMpJiN4RDsyMjEwLTc3ODkgKExp
bmtpbmcpPC9pc2JuPjxhY2Nlc3Npb24tbnVtPjMxMDU2MTQ4PC9hY2Nlc3Npb24tbnVtPjx1cmxz
PjxyZWxhdGVkLXVybHM+PHVybD5odHRwczovL3d3dy5uY2JpLm5sbS5uaWguZ292L3B1Ym1lZC8z
MTA1NjE0ODwvdXJsPjwvcmVsYXRlZC11cmxzPjwvdXJscz48ZWxlY3Ryb25pYy1yZXNvdXJjZS1u
dW0+MTAuMTAxNi9qLnByZWdoeS4yMDE5LjA0LjAwMTwvZWxlY3Ryb25pYy1yZXNvdXJjZS1udW0+
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65</w:t>
      </w:r>
      <w:r>
        <w:fldChar w:fldCharType="end"/>
      </w:r>
      <w:r>
        <w:t xml:space="preserve"> found highest versus lowest a</w:t>
      </w:r>
      <w:r w:rsidRPr="001F464A">
        <w:t xml:space="preserve">dherence to </w:t>
      </w:r>
      <w:r>
        <w:t xml:space="preserve">a </w:t>
      </w:r>
      <w:r w:rsidRPr="001F464A">
        <w:t xml:space="preserve">vegetable dietary pattern may be associated with </w:t>
      </w:r>
      <w:r>
        <w:t>a</w:t>
      </w:r>
      <w:r w:rsidRPr="001F464A">
        <w:t xml:space="preserve"> lower risk of preeclampsia</w:t>
      </w:r>
      <w:r>
        <w:t xml:space="preserve"> </w:t>
      </w:r>
      <w:r w:rsidRPr="001F464A">
        <w:t>(</w:t>
      </w:r>
      <w:r w:rsidRPr="00422CC9">
        <w:rPr>
          <w:sz w:val="16"/>
          <w:szCs w:val="16"/>
        </w:rPr>
        <w:t>aRR 0.20; 95%CI 0.04 to 0.98; P for trend=0.041</w:t>
      </w:r>
      <w:r w:rsidRPr="001F464A">
        <w:t>), possibly through reducing development of proteinuria</w:t>
      </w:r>
      <w:r>
        <w:t xml:space="preserve"> (</w:t>
      </w:r>
      <w:r w:rsidRPr="00422CC9">
        <w:rPr>
          <w:sz w:val="16"/>
          <w:szCs w:val="16"/>
        </w:rPr>
        <w:t>aRR 0.44; 95%CI 0.24 to 0.80</w:t>
      </w:r>
      <w:r w:rsidRPr="001F464A">
        <w:t>). </w:t>
      </w:r>
    </w:p>
    <w:p w14:paraId="20E33699" w14:textId="5A1523DD" w:rsidR="00FE7BDF" w:rsidRPr="00422CC9" w:rsidRDefault="00CD4D30" w:rsidP="00422CC9">
      <w:r>
        <w:t>In a</w:t>
      </w:r>
      <w:r w:rsidR="00FE7BDF">
        <w:t xml:space="preserve"> cohort study (</w:t>
      </w:r>
      <w:r w:rsidR="00FE7BDF" w:rsidRPr="00FE7BDF">
        <w:rPr>
          <w:sz w:val="16"/>
          <w:szCs w:val="16"/>
        </w:rPr>
        <w:t>n=28</w:t>
      </w:r>
      <w:r w:rsidR="00FE7BDF" w:rsidRPr="00331E82">
        <w:rPr>
          <w:sz w:val="16"/>
          <w:szCs w:val="16"/>
        </w:rPr>
        <w:t>,192</w:t>
      </w:r>
      <w:r w:rsidR="00FE7BDF" w:rsidRPr="00331E82">
        <w:t>)</w:t>
      </w:r>
      <w:r w:rsidR="00774750">
        <w:fldChar w:fldCharType="begin">
          <w:fldData xml:space="preserve">PEVuZE5vdGU+PENpdGU+PEF1dGhvcj5Ub3JqdXNlbjwvQXV0aG9yPjxZZWFyPjIwMTQ8L1llYXI+
PFJlY051bT4xNzQxPC9SZWNOdW0+PERpc3BsYXlUZXh0PjxzdHlsZSBmYWNlPSJzdXBlcnNjcmlw
dCIgZm9udD0iVHJlYnVjaGV0IE1TIiBzaXplPSI5Ij42Njwvc3R5bGU+PC9EaXNwbGF5VGV4dD48
cmVjb3JkPjxyZWMtbnVtYmVyPjE3NDE8L3JlYy1udW1iZXI+PGZvcmVpZ24ta2V5cz48a2V5IGFw
cD0iRU4iIGRiLWlkPSJleHZhc3JmeDJkdHJhb2VzYXN4cDJzenN4YTJkZjUwMjU5MngiIHRpbWVz
dGFtcD0iMTU4MjUwNjMwMSI+MTc0MTwva2V5PjxrZXkgYXBwPSJFTldlYiIgZGItaWQ9IiI+MDwv
a2V5PjwvZm9yZWlnbi1rZXlzPjxyZWYtdHlwZSBuYW1lPSJKb3VybmFsIEFydGljbGUiPjE3PC9y
ZWYtdHlwZT48Y29udHJpYnV0b3JzPjxhdXRob3JzPjxhdXRob3I+VG9yanVzZW4sIEguPC9hdXRo
b3I+PGF1dGhvcj5CcmFudHNhZXRlciwgQS4gTC48L2F1dGhvcj48YXV0aG9yPkhhdWdlbiwgTS48
L2F1dGhvcj48YXV0aG9yPkFsZXhhbmRlciwgSi48L2F1dGhvcj48YXV0aG9yPkJha2tldGVpZywg
TC4gUy48L2F1dGhvcj48YXV0aG9yPkxpZWJsZWluLCBHLjwvYXV0aG9yPjxhdXRob3I+U3RpZ3Vt
LCBILjwvYXV0aG9yPjxhdXRob3I+TmFlcywgVC48L2F1dGhvcj48YXV0aG9yPlN3YXJ0eiwgSi48
L2F1dGhvcj48YXV0aG9yPkhvbG1ib2UtT3R0ZXNlbiwgRy48L2F1dGhvcj48YXV0aG9yPlJvb3Ms
IEcuPC9hdXRob3I+PGF1dGhvcj5NZWx0emVyLCBILiBNLjwvYXV0aG9yPjwvYXV0aG9ycz48L2Nv
bnRyaWJ1dG9ycz48YXV0aC1hZGRyZXNzPk5hdGlvbmFsIEluc3RpdHV0ZSBmb3IgQ29uc3VtZXIg
UmVzZWFyY2ggKFNJRk8pLCBPc2xvLCBOb3J3YXkgRGl2aXNpb24gb2YgRW52aXJvbm1lbnRhbCBN
ZWRpY2luZSwgTm9yd2VnaWFuIEluc3RpdHV0ZSBvZiBQdWJsaWMgSGVhbHRoLCBPc2xvLCBOb3J3
YXkuJiN4RDtEaXZpc2lvbiBvZiBFbnZpcm9ubWVudGFsIE1lZGljaW5lLCBOb3J3ZWdpYW4gSW5z
dGl0dXRlIG9mIFB1YmxpYyBIZWFsdGgsIE9zbG8sIE5vcndheS4mI3hEO09mZmljZSBvZiB0aGUg
RGlyZWN0b3ItR2VuZXJhbCwgTm9yd2VnaWFuIEluc3RpdHV0ZSBvZiBQdWJsaWMgSGVhbHRoLCBP
c2xvLCBOb3J3YXkuJiN4RDtEaXZpc2lvbiBvZiBFcGlkZW1pb2xvZ3ksIFRoZSBOb3J3ZWdpYW4g
SW5zdGl0dXRlIG9mIFB1YmxpYyBIZWFsdGgsIE9zbG8sIE5vcndheS4mI3hEO0RlcGFydG1lbnQg
b2YgUGxhbnQgU2NpZW5jZXMsIE5vcndlZ2lhbiBVbml2ZXJzaXR5IG9mIExpZmUgU2NpZW5jZXMs
IEFzLCBOb3J3YXkuJiN4RDtOb2ZpbWEsIEFzLCBOb3J3YXkgRGVwYXJ0bWVudCBvZiBGb29kIFNj
aWVuY2UsIFVuaXZlcnNpdHkgb2YgQ29wZW5oYWdlbiwgQ29wZW5oYWdlbiwgRGVubWFyay4mI3hE
O1VwcHNhbGEgVW5pdmVyc2l0eSBIb3NwaXRhbCwgVXBwc2FsYSwgU3dlZGVuIFZpZGFya2xpbmlr
ZW4sIEphcm5hLCBTd2VkZW4uJiN4RDtEZXBhcnRtZW50IG9mIEdlbmVyYWwgUHJhY3RpY2UgYW5k
IENvbW11bml0eSBNZWRpY2luZSwgRmFjdWx0eSBvZiBNZWRpY2luZSwgVW5pdmVyc2l0eSBvZiBP
c2xvLCBOb3J3YXkuPC9hdXRoLWFkZHJlc3M+PHRpdGxlcz48dGl0bGU+UmVkdWNlZCByaXNrIG9m
IHByZS1lY2xhbXBzaWEgd2l0aCBvcmdhbmljIHZlZ2V0YWJsZSBjb25zdW1wdGlvbjogcmVzdWx0
cyBmcm9tIHRoZSBwcm9zcGVjdGl2ZSBOb3J3ZWdpYW4gTW90aGVyIGFuZCBDaGlsZCBDb2hvcnQg
U3R1ZHk8L3RpdGxlPjxzZWNvbmRhcnktdGl0bGU+Qk1KIE9wZW48L3NlY29uZGFyeS10aXRsZT48
L3RpdGxlcz48cGVyaW9kaWNhbD48ZnVsbC10aXRsZT5CTUogT3BlbjwvZnVsbC10aXRsZT48L3Bl
cmlvZGljYWw+PHBhZ2VzPmUwMDYxNDM8L3BhZ2VzPjx2b2x1bWU+NDwvdm9sdW1lPjxudW1iZXI+
OTwvbnVtYmVyPjxlZGl0aW9uPjIwMTQvMDkvMTI8L2VkaXRpb24+PGtleXdvcmRzPjxrZXl3b3Jk
PkFkb2xlc2NlbnQ8L2tleXdvcmQ+PGtleXdvcmQ+QWR1bHQ8L2tleXdvcmQ+PGtleXdvcmQ+RGll
dC9zdGF0aXN0aWNzICZhbXA7IG51bWVyaWNhbCBkYXRhPC9rZXl3b3JkPjxrZXl3b3JkPkZlbWFs
ZTwva2V5d29yZD48a2V5d29yZD4qRm9vZCwgT3JnYW5pYy9zdGF0aXN0aWNzICZhbXA7IG51bWVy
aWNhbCBkYXRhPC9rZXl3b3JkPjxrZXl3b3JkPkh1bWFuczwva2V5d29yZD48a2V5d29yZD5NaWRk
bGUgQWdlZDwva2V5d29yZD48a2V5d29yZD5Ob3J3YXkvZXBpZGVtaW9sb2d5PC9rZXl3b3JkPjxr
ZXl3b3JkPlByZS1FY2xhbXBzaWEvZXBpZGVtaW9sb2d5LypwcmV2ZW50aW9uICZhbXA7IGNvbnRy
b2w8L2tleXdvcmQ+PGtleXdvcmQ+UHJlZ25hbmN5PC9rZXl3b3JkPjxrZXl3b3JkPlByZXZhbGVu
Y2U8L2tleXdvcmQ+PGtleXdvcmQ+UHJvc3BlY3RpdmUgU3R1ZGllczwva2V5d29yZD48a2V5d29y
ZD5SaXNrIEZhY3RvcnM8L2tleXdvcmQ+PGtleXdvcmQ+UmlzayBSZWR1Y3Rpb24gQmVoYXZpb3I8
L2tleXdvcmQ+PGtleXdvcmQ+U3VydmV5cyBhbmQgUXVlc3Rpb25uYWlyZXM8L2tleXdvcmQ+PGtl
eXdvcmQ+VmVnZXRhYmxlczwva2V5d29yZD48a2V5d29yZD5Zb3VuZyBBZHVsdDwva2V5d29yZD48
a2V5d29yZD5Nb0JhPC9rZXl3b3JkPjxrZXl3b3JkPk9yZ2FuaWMgZm9vZDwva2V5d29yZD48a2V5
d29yZD5wcmVlY2xhbXBzaWE8L2tleXdvcmQ+PGtleXdvcmQ+cHJvc3BlY3RpdmUgY29ob3J0IHN0
dXk8L2tleXdvcmQ+PC9rZXl3b3Jkcz48ZGF0ZXM+PHllYXI+MjAxNDwveWVhcj48cHViLWRhdGVz
PjxkYXRlPlNlcCAxMDwvZGF0ZT48L3B1Yi1kYXRlcz48L2RhdGVzPjxpc2JuPjIwNDQtNjA1NSAo
RWxlY3Ryb25pYykmI3hEOzIwNDQtNjA1NSAoTGlua2luZyk8L2lzYm4+PGFjY2Vzc2lvbi1udW0+
MjUyMDg4NTA8L2FjY2Vzc2lvbi1udW0+PHVybHM+PHJlbGF0ZWQtdXJscz48dXJsPmh0dHBzOi8v
d3d3Lm5jYmkubmxtLm5paC5nb3YvcHVibWVkLzI1MjA4ODUwPC91cmw+PC9yZWxhdGVkLXVybHM+
PC91cmxzPjxjdXN0b20yPlBNQzQxNjA4MzU8L2N1c3RvbTI+PGVsZWN0cm9uaWMtcmVzb3VyY2Ut
bnVtPjEwLjExMzYvYm1qb3Blbi0yMDE0LTAwNjE0MzwvZWxlY3Ryb25pYy1yZXNvdXJjZS1udW0+
PC9yZWNvcmQ+PC9DaXRlPjwvRW5kTm90ZT4A
</w:fldData>
        </w:fldChar>
      </w:r>
      <w:r w:rsidR="002747EA">
        <w:instrText xml:space="preserve"> ADDIN EN.CITE </w:instrText>
      </w:r>
      <w:r w:rsidR="002747EA">
        <w:fldChar w:fldCharType="begin">
          <w:fldData xml:space="preserve">PEVuZE5vdGU+PENpdGU+PEF1dGhvcj5Ub3JqdXNlbjwvQXV0aG9yPjxZZWFyPjIwMTQ8L1llYXI+
PFJlY051bT4xNzQxPC9SZWNOdW0+PERpc3BsYXlUZXh0PjxzdHlsZSBmYWNlPSJzdXBlcnNjcmlw
dCIgZm9udD0iVHJlYnVjaGV0IE1TIiBzaXplPSI5Ij42Njwvc3R5bGU+PC9EaXNwbGF5VGV4dD48
cmVjb3JkPjxyZWMtbnVtYmVyPjE3NDE8L3JlYy1udW1iZXI+PGZvcmVpZ24ta2V5cz48a2V5IGFw
cD0iRU4iIGRiLWlkPSJleHZhc3JmeDJkdHJhb2VzYXN4cDJzenN4YTJkZjUwMjU5MngiIHRpbWVz
dGFtcD0iMTU4MjUwNjMwMSI+MTc0MTwva2V5PjxrZXkgYXBwPSJFTldlYiIgZGItaWQ9IiI+MDwv
a2V5PjwvZm9yZWlnbi1rZXlzPjxyZWYtdHlwZSBuYW1lPSJKb3VybmFsIEFydGljbGUiPjE3PC9y
ZWYtdHlwZT48Y29udHJpYnV0b3JzPjxhdXRob3JzPjxhdXRob3I+VG9yanVzZW4sIEguPC9hdXRo
b3I+PGF1dGhvcj5CcmFudHNhZXRlciwgQS4gTC48L2F1dGhvcj48YXV0aG9yPkhhdWdlbiwgTS48
L2F1dGhvcj48YXV0aG9yPkFsZXhhbmRlciwgSi48L2F1dGhvcj48YXV0aG9yPkJha2tldGVpZywg
TC4gUy48L2F1dGhvcj48YXV0aG9yPkxpZWJsZWluLCBHLjwvYXV0aG9yPjxhdXRob3I+U3RpZ3Vt
LCBILjwvYXV0aG9yPjxhdXRob3I+TmFlcywgVC48L2F1dGhvcj48YXV0aG9yPlN3YXJ0eiwgSi48
L2F1dGhvcj48YXV0aG9yPkhvbG1ib2UtT3R0ZXNlbiwgRy48L2F1dGhvcj48YXV0aG9yPlJvb3Ms
IEcuPC9hdXRob3I+PGF1dGhvcj5NZWx0emVyLCBILiBNLjwvYXV0aG9yPjwvYXV0aG9ycz48L2Nv
bnRyaWJ1dG9ycz48YXV0aC1hZGRyZXNzPk5hdGlvbmFsIEluc3RpdHV0ZSBmb3IgQ29uc3VtZXIg
UmVzZWFyY2ggKFNJRk8pLCBPc2xvLCBOb3J3YXkgRGl2aXNpb24gb2YgRW52aXJvbm1lbnRhbCBN
ZWRpY2luZSwgTm9yd2VnaWFuIEluc3RpdHV0ZSBvZiBQdWJsaWMgSGVhbHRoLCBPc2xvLCBOb3J3
YXkuJiN4RDtEaXZpc2lvbiBvZiBFbnZpcm9ubWVudGFsIE1lZGljaW5lLCBOb3J3ZWdpYW4gSW5z
dGl0dXRlIG9mIFB1YmxpYyBIZWFsdGgsIE9zbG8sIE5vcndheS4mI3hEO09mZmljZSBvZiB0aGUg
RGlyZWN0b3ItR2VuZXJhbCwgTm9yd2VnaWFuIEluc3RpdHV0ZSBvZiBQdWJsaWMgSGVhbHRoLCBP
c2xvLCBOb3J3YXkuJiN4RDtEaXZpc2lvbiBvZiBFcGlkZW1pb2xvZ3ksIFRoZSBOb3J3ZWdpYW4g
SW5zdGl0dXRlIG9mIFB1YmxpYyBIZWFsdGgsIE9zbG8sIE5vcndheS4mI3hEO0RlcGFydG1lbnQg
b2YgUGxhbnQgU2NpZW5jZXMsIE5vcndlZ2lhbiBVbml2ZXJzaXR5IG9mIExpZmUgU2NpZW5jZXMs
IEFzLCBOb3J3YXkuJiN4RDtOb2ZpbWEsIEFzLCBOb3J3YXkgRGVwYXJ0bWVudCBvZiBGb29kIFNj
aWVuY2UsIFVuaXZlcnNpdHkgb2YgQ29wZW5oYWdlbiwgQ29wZW5oYWdlbiwgRGVubWFyay4mI3hE
O1VwcHNhbGEgVW5pdmVyc2l0eSBIb3NwaXRhbCwgVXBwc2FsYSwgU3dlZGVuIFZpZGFya2xpbmlr
ZW4sIEphcm5hLCBTd2VkZW4uJiN4RDtEZXBhcnRtZW50IG9mIEdlbmVyYWwgUHJhY3RpY2UgYW5k
IENvbW11bml0eSBNZWRpY2luZSwgRmFjdWx0eSBvZiBNZWRpY2luZSwgVW5pdmVyc2l0eSBvZiBP
c2xvLCBOb3J3YXkuPC9hdXRoLWFkZHJlc3M+PHRpdGxlcz48dGl0bGU+UmVkdWNlZCByaXNrIG9m
IHByZS1lY2xhbXBzaWEgd2l0aCBvcmdhbmljIHZlZ2V0YWJsZSBjb25zdW1wdGlvbjogcmVzdWx0
cyBmcm9tIHRoZSBwcm9zcGVjdGl2ZSBOb3J3ZWdpYW4gTW90aGVyIGFuZCBDaGlsZCBDb2hvcnQg
U3R1ZHk8L3RpdGxlPjxzZWNvbmRhcnktdGl0bGU+Qk1KIE9wZW48L3NlY29uZGFyeS10aXRsZT48
L3RpdGxlcz48cGVyaW9kaWNhbD48ZnVsbC10aXRsZT5CTUogT3BlbjwvZnVsbC10aXRsZT48L3Bl
cmlvZGljYWw+PHBhZ2VzPmUwMDYxNDM8L3BhZ2VzPjx2b2x1bWU+NDwvdm9sdW1lPjxudW1iZXI+
OTwvbnVtYmVyPjxlZGl0aW9uPjIwMTQvMDkvMTI8L2VkaXRpb24+PGtleXdvcmRzPjxrZXl3b3Jk
PkFkb2xlc2NlbnQ8L2tleXdvcmQ+PGtleXdvcmQ+QWR1bHQ8L2tleXdvcmQ+PGtleXdvcmQ+RGll
dC9zdGF0aXN0aWNzICZhbXA7IG51bWVyaWNhbCBkYXRhPC9rZXl3b3JkPjxrZXl3b3JkPkZlbWFs
ZTwva2V5d29yZD48a2V5d29yZD4qRm9vZCwgT3JnYW5pYy9zdGF0aXN0aWNzICZhbXA7IG51bWVy
aWNhbCBkYXRhPC9rZXl3b3JkPjxrZXl3b3JkPkh1bWFuczwva2V5d29yZD48a2V5d29yZD5NaWRk
bGUgQWdlZDwva2V5d29yZD48a2V5d29yZD5Ob3J3YXkvZXBpZGVtaW9sb2d5PC9rZXl3b3JkPjxr
ZXl3b3JkPlByZS1FY2xhbXBzaWEvZXBpZGVtaW9sb2d5LypwcmV2ZW50aW9uICZhbXA7IGNvbnRy
b2w8L2tleXdvcmQ+PGtleXdvcmQ+UHJlZ25hbmN5PC9rZXl3b3JkPjxrZXl3b3JkPlByZXZhbGVu
Y2U8L2tleXdvcmQ+PGtleXdvcmQ+UHJvc3BlY3RpdmUgU3R1ZGllczwva2V5d29yZD48a2V5d29y
ZD5SaXNrIEZhY3RvcnM8L2tleXdvcmQ+PGtleXdvcmQ+UmlzayBSZWR1Y3Rpb24gQmVoYXZpb3I8
L2tleXdvcmQ+PGtleXdvcmQ+U3VydmV5cyBhbmQgUXVlc3Rpb25uYWlyZXM8L2tleXdvcmQ+PGtl
eXdvcmQ+VmVnZXRhYmxlczwva2V5d29yZD48a2V5d29yZD5Zb3VuZyBBZHVsdDwva2V5d29yZD48
a2V5d29yZD5Nb0JhPC9rZXl3b3JkPjxrZXl3b3JkPk9yZ2FuaWMgZm9vZDwva2V5d29yZD48a2V5
d29yZD5wcmVlY2xhbXBzaWE8L2tleXdvcmQ+PGtleXdvcmQ+cHJvc3BlY3RpdmUgY29ob3J0IHN0
dXk8L2tleXdvcmQ+PC9rZXl3b3Jkcz48ZGF0ZXM+PHllYXI+MjAxNDwveWVhcj48cHViLWRhdGVz
PjxkYXRlPlNlcCAxMDwvZGF0ZT48L3B1Yi1kYXRlcz48L2RhdGVzPjxpc2JuPjIwNDQtNjA1NSAo
RWxlY3Ryb25pYykmI3hEOzIwNDQtNjA1NSAoTGlua2luZyk8L2lzYm4+PGFjY2Vzc2lvbi1udW0+
MjUyMDg4NTA8L2FjY2Vzc2lvbi1udW0+PHVybHM+PHJlbGF0ZWQtdXJscz48dXJsPmh0dHBzOi8v
d3d3Lm5jYmkubmxtLm5paC5nb3YvcHVibWVkLzI1MjA4ODUwPC91cmw+PC9yZWxhdGVkLXVybHM+
PC91cmxzPjxjdXN0b20yPlBNQzQxNjA4MzU8L2N1c3RvbTI+PGVsZWN0cm9uaWMtcmVzb3VyY2Ut
bnVtPjEwLjExMzYvYm1qb3Blbi0yMDE0LTAwNjE0MzwvZWxlY3Ryb25pYy1yZXNvdXJjZS1udW0+
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66</w:t>
      </w:r>
      <w:r w:rsidR="00774750">
        <w:fldChar w:fldCharType="end"/>
      </w:r>
      <w:r w:rsidR="00FE7BDF" w:rsidRPr="00331E82">
        <w:t xml:space="preserve"> wo</w:t>
      </w:r>
      <w:r w:rsidR="00FE7BDF" w:rsidRPr="000D7861">
        <w:t xml:space="preserve">men who reported </w:t>
      </w:r>
      <w:r w:rsidR="00FE7BDF">
        <w:t>eating</w:t>
      </w:r>
      <w:r w:rsidR="00FE7BDF" w:rsidRPr="000D7861">
        <w:t xml:space="preserve"> organic vegetables 'often' or 'mostly' had</w:t>
      </w:r>
      <w:r w:rsidR="00FE7BDF">
        <w:t xml:space="preserve"> a</w:t>
      </w:r>
      <w:r w:rsidR="00FE7BDF" w:rsidRPr="000D7861">
        <w:t xml:space="preserve"> lower risk of pre-eclampsia than those who reported 'never/rarely' or 'sometimes' (</w:t>
      </w:r>
      <w:r w:rsidR="00FE7BDF" w:rsidRPr="00FE7BDF">
        <w:rPr>
          <w:sz w:val="16"/>
          <w:szCs w:val="16"/>
        </w:rPr>
        <w:t>aOR 0.79; 95%CI 0.62 to 0.99</w:t>
      </w:r>
      <w:r w:rsidR="00FE7BDF" w:rsidRPr="000D7861">
        <w:t>).</w:t>
      </w:r>
    </w:p>
    <w:p w14:paraId="3D138899" w14:textId="77777777" w:rsidR="00FE7BDF" w:rsidRDefault="00FE7BDF" w:rsidP="00C9394B">
      <w:pPr>
        <w:pStyle w:val="Heading4"/>
      </w:pPr>
      <w:r>
        <w:t>Fetal growth</w:t>
      </w:r>
    </w:p>
    <w:p w14:paraId="1C7E49C4" w14:textId="1947F441" w:rsidR="00FE7BDF" w:rsidRPr="007E5208" w:rsidRDefault="00FE7BDF" w:rsidP="00FE7BDF">
      <w:r w:rsidRPr="007E5208">
        <w:t>A case-control study (</w:t>
      </w:r>
      <w:r w:rsidRPr="00A912D4">
        <w:rPr>
          <w:sz w:val="16"/>
          <w:szCs w:val="16"/>
        </w:rPr>
        <w:t>n=1,036</w:t>
      </w:r>
      <w:r w:rsidRPr="007E5208">
        <w:t>)</w:t>
      </w:r>
      <w:r w:rsidR="00774750">
        <w:fldChar w:fldCharType="begin">
          <w:fldData xml:space="preserve">PEVuZE5vdGU+PENpdGU+PEF1dGhvcj5NYXJ0aW5lei1HYWxpYW5vPC9BdXRob3I+PFllYXI+MjAx
ODwvWWVhcj48UmVjTnVtPjE3MTc8L1JlY051bT48RGlzcGxheVRleHQ+PHN0eWxlIGZhY2U9InN1
cGVyc2NyaXB0IiBmb250PSJUcmVidWNoZXQgTVMiIHNpemU9IjkiPjY3PC9zdHlsZT48L0Rpc3Bs
YXlUZXh0PjxyZWNvcmQ+PHJlYy1udW1iZXI+MTcxNzwvcmVjLW51bWJlcj48Zm9yZWlnbi1rZXlz
PjxrZXkgYXBwPSJFTiIgZGItaWQ9ImV4dmFzcmZ4MmR0cmFvZXNhc3hwMnN6c3hhMmRmNTAyNTky
eCIgdGltZXN0YW1wPSIxNTgyNTA2MTM3Ij4xNzE3PC9rZXk+PGtleSBhcHA9IkVOV2ViIiBkYi1p
ZD0iIj4wPC9rZXk+PC9mb3JlaWduLWtleXM+PHJlZi10eXBlIG5hbWU9IkpvdXJuYWwgQXJ0aWNs
ZSI+MTc8L3JlZi10eXBlPjxjb250cmlidXRvcnM+PGF1dGhvcnM+PGF1dGhvcj5NYXJ0aW5lei1H
YWxpYW5vLCBKLiBNLjwvYXV0aG9yPjxhdXRob3I+QW1lemN1YS1QcmlldG8sIEMuPC9hdXRob3I+
PGF1dGhvcj5TYWxjZWRvLUJlbGxpZG8sIEkuPC9hdXRob3I+PGF1dGhvcj5Hb256YWxlei1NYXRh
LCBHLjwvYXV0aG9yPjxhdXRob3I+QnVlbm8tQ2F2YW5pbGxhcywgQS48L2F1dGhvcj48YXV0aG9y
PkRlbGdhZG8tUm9kcmlndWV6LCBNLjwvYXV0aG9yPjwvYXV0aG9ycz48L2NvbnRyaWJ1dG9ycz48
YXV0aC1hZGRyZXNzPkRlcGFydG1lbnQgb2YgSGVhbHRoIFNjaWVuY2VzLCBVbml2ZXJzaXR5IG9m
IEphZW4sIENhbXB1cyBkZSBMYXMgTGFndW5pbGxhcyBzIG4gRWRpZmljaW8gQjMsIDIzMDcxLCBK
YWVuLCBTcGFpbi4ganVhbm1pbWFydGluZXpnQGhvdG1haWwuY29tLiYjeEQ7Q0lCRVIgZGUgRXBp
ZGVtaW9sb2dpYSB5IFNhbHVkIFB1YmxpY2EgKENJQkVSRVNQKSwgSmFlbiwgU3BhaW4uIGp1YW5t
aW1hcnRpbmV6Z0Bob3RtYWlsLmNvbS4mI3hEO0NJQkVSIGRlIEVwaWRlbWlvbG9naWEgeSBTYWx1
ZCBQdWJsaWNhIChDSUJFUkVTUCksIEphZW4sIFNwYWluLiYjeEQ7RGVwYXJ0bWVudCBvZiBQcmV2
ZW50aXZlIE1lZGljaW5lIGFuZCBQdWJsaWMgSGVhbHRoLCBVbml2ZXJzaXR5IG9mIEdyYW5hZGEs
IEdyYW5hZGEsIFNwYWluLiYjeEQ7Qmlvc2FuaXRhcnkgUmVzZWFyY2ggSW5zdGl0dXRlIEdyYW5h
ZGEgKElCUy1HcmFuYWRhKSwgR3JhbmFkYSwgU3BhaW4uJiN4RDtEZXBhcnRtZW50IG9mIEhlYWx0
aCBTY2llbmNlcywgVW5pdmVyc2l0eSBvZiBKYWVuLCBDYW1wdXMgZGUgTGFzIExhZ3VuaWxsYXMg
cyBuIEVkaWZpY2lvIEIzLCAyMzA3MSwgSmFlbiwgU3BhaW4uPC9hdXRoLWFkZHJlc3M+PHRpdGxl
cz48dGl0bGU+TWF0ZXJuYWwgZGlldGFyeSBjb25zdW1wdGlvbiBvZiBsZWd1bWVzLCB2ZWdldGFi
bGVzIGFuZCBmcnVpdCBkdXJpbmcgcHJlZ25hbmN5LCBkb2VzIGl0IHByb3RlY3QgYWdhaW5zdCBz
bWFsbCBmb3IgZ2VzdGF0aW9uYWwgYWdlPzwvdGl0bGU+PHNlY29uZGFyeS10aXRsZT5CTUMgUHJl
Z25hbmN5IENoaWxkYmlydGg8L3NlY29uZGFyeS10aXRsZT48L3RpdGxlcz48cGVyaW9kaWNhbD48
ZnVsbC10aXRsZT5CTUMgUHJlZ25hbmN5IENoaWxkYmlydGg8L2Z1bGwtdGl0bGU+PC9wZXJpb2Rp
Y2FsPjxwYWdlcz40ODY8L3BhZ2VzPjx2b2x1bWU+MTg8L3ZvbHVtZT48bnVtYmVyPjE8L251bWJl
cj48ZWRpdGlvbj4yMDE4LzEyLzEzPC9lZGl0aW9uPjxrZXl3b3Jkcz48a2V5d29yZD5BZHVsdDwv
a2V5d29yZD48a2V5d29yZD5DYXNlLUNvbnRyb2wgU3R1ZGllczwva2V5d29yZD48a2V5d29yZD5E
aWV0LypzdGF0aXN0aWNzICZhbXA7IG51bWVyaWNhbCBkYXRhPC9rZXl3b3JkPjxrZXl3b3JkPipG
YWJhY2VhZTwva2V5d29yZD48a2V5d29yZD5GZW1hbGU8L2tleXdvcmQ+PGtleXdvcmQ+KkZydWl0
PC9rZXl3b3JkPjxrZXl3b3JkPkh1bWFuczwva2V5d29yZD48a2V5d29yZD5JbmZhbnQsIE5ld2Jv
cm48L2tleXdvcmQ+PGtleXdvcmQ+KkluZmFudCwgU21hbGwgZm9yIEdlc3RhdGlvbmFsIEFnZTwv
a2V5d29yZD48a2V5d29yZD5Mb2dpc3RpYyBNb2RlbHM8L2tleXdvcmQ+PGtleXdvcmQ+TWFsZTwv
a2V5d29yZD48a2V5d29yZD5NYXJpdGFsIFN0YXR1czwva2V5d29yZD48a2V5d29yZD5PZGRzIFJh
dGlvPC9rZXl3b3JkPjxrZXl3b3JkPlByZWduYW5jeTwva2V5d29yZD48a2V5d29yZD5Qcm90ZWN0
aXZlIEZhY3RvcnM8L2tleXdvcmQ+PGtleXdvcmQ+U2VsZW5pdW08L2tleXdvcmQ+PGtleXdvcmQ+
U3BhaW48L2tleXdvcmQ+PGtleXdvcmQ+KlZlZ2V0YWJsZXM8L2tleXdvcmQ+PGtleXdvcmQ+RnJ1
aXRzPC9rZXl3b3JkPjxrZXl3b3JkPkxlZ3VtZXM8L2tleXdvcmQ+PGtleXdvcmQ+TWF0ZXJuYWwg
ZGlldDwva2V5d29yZD48a2V5d29yZD5TbWFsbCBmb3IgZ2VzdGF0aW9uYWwgYWdlPC9rZXl3b3Jk
PjxrZXl3b3JkPlZlZ2V0YWJsZXM8L2tleXdvcmQ+PC9rZXl3b3Jkcz48ZGF0ZXM+PHllYXI+MjAx
ODwveWVhcj48cHViLWRhdGVzPjxkYXRlPkRlYyAxMTwvZGF0ZT48L3B1Yi1kYXRlcz48L2RhdGVz
Pjxpc2JuPjE0NzEtMjM5MyAoRWxlY3Ryb25pYykmI3hEOzE0NzEtMjM5MyAoTGlua2luZyk8L2lz
Ym4+PGFjY2Vzc2lvbi1udW0+MzA1Mzc5MzY8L2FjY2Vzc2lvbi1udW0+PHVybHM+PHJlbGF0ZWQt
dXJscz48dXJsPmh0dHBzOi8vd3d3Lm5jYmkubmxtLm5paC5nb3YvcHVibWVkLzMwNTM3OTM2PC91
cmw+PC9yZWxhdGVkLXVybHM+PC91cmxzPjxjdXN0b20yPlBNQzYyODg5MDY8L2N1c3RvbTI+PGVs
ZWN0cm9uaWMtcmVzb3VyY2UtbnVtPjEwLjExODYvczEyODg0LTAxOC0yMTIzLTQ8L2VsZWN0cm9u
aWMtcmVzb3VyY2UtbnVtPjwvcmVjb3JkPjwvQ2l0ZT48L0VuZE5vdGU+AG==
</w:fldData>
        </w:fldChar>
      </w:r>
      <w:r w:rsidR="002747EA">
        <w:instrText xml:space="preserve"> ADDIN EN.CITE </w:instrText>
      </w:r>
      <w:r w:rsidR="002747EA">
        <w:fldChar w:fldCharType="begin">
          <w:fldData xml:space="preserve">PEVuZE5vdGU+PENpdGU+PEF1dGhvcj5NYXJ0aW5lei1HYWxpYW5vPC9BdXRob3I+PFllYXI+MjAx
ODwvWWVhcj48UmVjTnVtPjE3MTc8L1JlY051bT48RGlzcGxheVRleHQ+PHN0eWxlIGZhY2U9InN1
cGVyc2NyaXB0IiBmb250PSJUcmVidWNoZXQgTVMiIHNpemU9IjkiPjY3PC9zdHlsZT48L0Rpc3Bs
YXlUZXh0PjxyZWNvcmQ+PHJlYy1udW1iZXI+MTcxNzwvcmVjLW51bWJlcj48Zm9yZWlnbi1rZXlz
PjxrZXkgYXBwPSJFTiIgZGItaWQ9ImV4dmFzcmZ4MmR0cmFvZXNhc3hwMnN6c3hhMmRmNTAyNTky
eCIgdGltZXN0YW1wPSIxNTgyNTA2MTM3Ij4xNzE3PC9rZXk+PGtleSBhcHA9IkVOV2ViIiBkYi1p
ZD0iIj4wPC9rZXk+PC9mb3JlaWduLWtleXM+PHJlZi10eXBlIG5hbWU9IkpvdXJuYWwgQXJ0aWNs
ZSI+MTc8L3JlZi10eXBlPjxjb250cmlidXRvcnM+PGF1dGhvcnM+PGF1dGhvcj5NYXJ0aW5lei1H
YWxpYW5vLCBKLiBNLjwvYXV0aG9yPjxhdXRob3I+QW1lemN1YS1QcmlldG8sIEMuPC9hdXRob3I+
PGF1dGhvcj5TYWxjZWRvLUJlbGxpZG8sIEkuPC9hdXRob3I+PGF1dGhvcj5Hb256YWxlei1NYXRh
LCBHLjwvYXV0aG9yPjxhdXRob3I+QnVlbm8tQ2F2YW5pbGxhcywgQS48L2F1dGhvcj48YXV0aG9y
PkRlbGdhZG8tUm9kcmlndWV6LCBNLjwvYXV0aG9yPjwvYXV0aG9ycz48L2NvbnRyaWJ1dG9ycz48
YXV0aC1hZGRyZXNzPkRlcGFydG1lbnQgb2YgSGVhbHRoIFNjaWVuY2VzLCBVbml2ZXJzaXR5IG9m
IEphZW4sIENhbXB1cyBkZSBMYXMgTGFndW5pbGxhcyBzIG4gRWRpZmljaW8gQjMsIDIzMDcxLCBK
YWVuLCBTcGFpbi4ganVhbm1pbWFydGluZXpnQGhvdG1haWwuY29tLiYjeEQ7Q0lCRVIgZGUgRXBp
ZGVtaW9sb2dpYSB5IFNhbHVkIFB1YmxpY2EgKENJQkVSRVNQKSwgSmFlbiwgU3BhaW4uIGp1YW5t
aW1hcnRpbmV6Z0Bob3RtYWlsLmNvbS4mI3hEO0NJQkVSIGRlIEVwaWRlbWlvbG9naWEgeSBTYWx1
ZCBQdWJsaWNhIChDSUJFUkVTUCksIEphZW4sIFNwYWluLiYjeEQ7RGVwYXJ0bWVudCBvZiBQcmV2
ZW50aXZlIE1lZGljaW5lIGFuZCBQdWJsaWMgSGVhbHRoLCBVbml2ZXJzaXR5IG9mIEdyYW5hZGEs
IEdyYW5hZGEsIFNwYWluLiYjeEQ7Qmlvc2FuaXRhcnkgUmVzZWFyY2ggSW5zdGl0dXRlIEdyYW5h
ZGEgKElCUy1HcmFuYWRhKSwgR3JhbmFkYSwgU3BhaW4uJiN4RDtEZXBhcnRtZW50IG9mIEhlYWx0
aCBTY2llbmNlcywgVW5pdmVyc2l0eSBvZiBKYWVuLCBDYW1wdXMgZGUgTGFzIExhZ3VuaWxsYXMg
cyBuIEVkaWZpY2lvIEIzLCAyMzA3MSwgSmFlbiwgU3BhaW4uPC9hdXRoLWFkZHJlc3M+PHRpdGxl
cz48dGl0bGU+TWF0ZXJuYWwgZGlldGFyeSBjb25zdW1wdGlvbiBvZiBsZWd1bWVzLCB2ZWdldGFi
bGVzIGFuZCBmcnVpdCBkdXJpbmcgcHJlZ25hbmN5LCBkb2VzIGl0IHByb3RlY3QgYWdhaW5zdCBz
bWFsbCBmb3IgZ2VzdGF0aW9uYWwgYWdlPzwvdGl0bGU+PHNlY29uZGFyeS10aXRsZT5CTUMgUHJl
Z25hbmN5IENoaWxkYmlydGg8L3NlY29uZGFyeS10aXRsZT48L3RpdGxlcz48cGVyaW9kaWNhbD48
ZnVsbC10aXRsZT5CTUMgUHJlZ25hbmN5IENoaWxkYmlydGg8L2Z1bGwtdGl0bGU+PC9wZXJpb2Rp
Y2FsPjxwYWdlcz40ODY8L3BhZ2VzPjx2b2x1bWU+MTg8L3ZvbHVtZT48bnVtYmVyPjE8L251bWJl
cj48ZWRpdGlvbj4yMDE4LzEyLzEzPC9lZGl0aW9uPjxrZXl3b3Jkcz48a2V5d29yZD5BZHVsdDwv
a2V5d29yZD48a2V5d29yZD5DYXNlLUNvbnRyb2wgU3R1ZGllczwva2V5d29yZD48a2V5d29yZD5E
aWV0LypzdGF0aXN0aWNzICZhbXA7IG51bWVyaWNhbCBkYXRhPC9rZXl3b3JkPjxrZXl3b3JkPipG
YWJhY2VhZTwva2V5d29yZD48a2V5d29yZD5GZW1hbGU8L2tleXdvcmQ+PGtleXdvcmQ+KkZydWl0
PC9rZXl3b3JkPjxrZXl3b3JkPkh1bWFuczwva2V5d29yZD48a2V5d29yZD5JbmZhbnQsIE5ld2Jv
cm48L2tleXdvcmQ+PGtleXdvcmQ+KkluZmFudCwgU21hbGwgZm9yIEdlc3RhdGlvbmFsIEFnZTwv
a2V5d29yZD48a2V5d29yZD5Mb2dpc3RpYyBNb2RlbHM8L2tleXdvcmQ+PGtleXdvcmQ+TWFsZTwv
a2V5d29yZD48a2V5d29yZD5NYXJpdGFsIFN0YXR1czwva2V5d29yZD48a2V5d29yZD5PZGRzIFJh
dGlvPC9rZXl3b3JkPjxrZXl3b3JkPlByZWduYW5jeTwva2V5d29yZD48a2V5d29yZD5Qcm90ZWN0
aXZlIEZhY3RvcnM8L2tleXdvcmQ+PGtleXdvcmQ+U2VsZW5pdW08L2tleXdvcmQ+PGtleXdvcmQ+
U3BhaW48L2tleXdvcmQ+PGtleXdvcmQ+KlZlZ2V0YWJsZXM8L2tleXdvcmQ+PGtleXdvcmQ+RnJ1
aXRzPC9rZXl3b3JkPjxrZXl3b3JkPkxlZ3VtZXM8L2tleXdvcmQ+PGtleXdvcmQ+TWF0ZXJuYWwg
ZGlldDwva2V5d29yZD48a2V5d29yZD5TbWFsbCBmb3IgZ2VzdGF0aW9uYWwgYWdlPC9rZXl3b3Jk
PjxrZXl3b3JkPlZlZ2V0YWJsZXM8L2tleXdvcmQ+PC9rZXl3b3Jkcz48ZGF0ZXM+PHllYXI+MjAx
ODwveWVhcj48cHViLWRhdGVzPjxkYXRlPkRlYyAxMTwvZGF0ZT48L3B1Yi1kYXRlcz48L2RhdGVz
Pjxpc2JuPjE0NzEtMjM5MyAoRWxlY3Ryb25pYykmI3hEOzE0NzEtMjM5MyAoTGlua2luZyk8L2lz
Ym4+PGFjY2Vzc2lvbi1udW0+MzA1Mzc5MzY8L2FjY2Vzc2lvbi1udW0+PHVybHM+PHJlbGF0ZWQt
dXJscz48dXJsPmh0dHBzOi8vd3d3Lm5jYmkubmxtLm5paC5nb3YvcHVibWVkLzMwNTM3OTM2PC91
cmw+PC9yZWxhdGVkLXVybHM+PC91cmxzPjxjdXN0b20yPlBNQzYyODg5MDY8L2N1c3RvbTI+PGVs
ZWN0cm9uaWMtcmVzb3VyY2UtbnVtPjEwLjExODYvczEyODg0LTAxOC0yMTIzLTQ8L2VsZWN0cm9u
aWMtcmVzb3VyY2UtbnVtPjwvcmVjb3JkPjwvQ2l0ZT48L0VuZE5vdGU+AG==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67</w:t>
      </w:r>
      <w:r w:rsidR="00774750">
        <w:fldChar w:fldCharType="end"/>
      </w:r>
      <w:r w:rsidRPr="007E5208">
        <w:t xml:space="preserve"> found a deceased risk of small-for-gestational age with &gt;420 g/day fruit compared to ≤121 g/day (</w:t>
      </w:r>
      <w:r w:rsidRPr="00A912D4">
        <w:rPr>
          <w:sz w:val="16"/>
          <w:szCs w:val="16"/>
        </w:rPr>
        <w:t>aOR 0.63; 95%CI 0.40 to 0.98</w:t>
      </w:r>
      <w:r w:rsidRPr="007E5208">
        <w:t>). Total legume intake showed an inverse association with the risk of small for gestational age (</w:t>
      </w:r>
      <w:r w:rsidRPr="00A912D4">
        <w:rPr>
          <w:sz w:val="16"/>
          <w:szCs w:val="16"/>
        </w:rPr>
        <w:t>trend p=0.02</w:t>
      </w:r>
      <w:r w:rsidRPr="007E5208">
        <w:t>). Total consumption of vegetables was not associated with risk of small for gestational age.</w:t>
      </w:r>
    </w:p>
    <w:p w14:paraId="69748B2A" w14:textId="316C22C2" w:rsidR="00422CC9" w:rsidRPr="007E5208" w:rsidRDefault="00422CC9" w:rsidP="00C9394B">
      <w:pPr>
        <w:pStyle w:val="Heading4"/>
      </w:pPr>
      <w:r w:rsidRPr="007E5208">
        <w:t>Preterm birth</w:t>
      </w:r>
    </w:p>
    <w:p w14:paraId="2DE5BFB5" w14:textId="77777777" w:rsidR="00422CC9" w:rsidRPr="007E5208" w:rsidRDefault="00422CC9" w:rsidP="00422CC9">
      <w:r w:rsidRPr="007E5208">
        <w:t>Cohort studies found that:</w:t>
      </w:r>
    </w:p>
    <w:p w14:paraId="3DDEAB9B" w14:textId="5DB76B7F" w:rsidR="00422CC9" w:rsidRPr="007E5208" w:rsidRDefault="00422CC9" w:rsidP="00422CC9">
      <w:pPr>
        <w:pStyle w:val="bullet"/>
      </w:pPr>
      <w:r w:rsidRPr="007E5208">
        <w:t>higher intake of fruit, vegetables and rice was associated with a lower risk of preterm birth (</w:t>
      </w:r>
      <w:r w:rsidRPr="007E5208">
        <w:rPr>
          <w:sz w:val="16"/>
          <w:szCs w:val="16"/>
        </w:rPr>
        <w:t>OR 0.67; 95% CI: 0.50 to 0.91</w:t>
      </w:r>
      <w:r w:rsidR="00D71146" w:rsidRPr="007E5208">
        <w:rPr>
          <w:sz w:val="16"/>
          <w:szCs w:val="16"/>
        </w:rPr>
        <w:t>; n=923</w:t>
      </w:r>
      <w:r w:rsidRPr="007E5208">
        <w:t>)</w:t>
      </w:r>
      <w:r w:rsidR="00D71146" w:rsidRPr="007E5208">
        <w:fldChar w:fldCharType="begin"/>
      </w:r>
      <w:r w:rsidR="002747EA">
        <w:instrText xml:space="preserve"> ADDIN EN.CITE &lt;EndNote&gt;&lt;Cite&gt;&lt;Author&gt;Chia&lt;/Author&gt;&lt;Year&gt;2016&lt;/Year&gt;&lt;RecNum&gt;1394&lt;/RecNum&gt;&lt;DisplayText&gt;&lt;style face="superscript" font="Trebuchet MS" size="9"&gt;68&lt;/style&gt;&lt;/DisplayText&gt;&lt;record&gt;&lt;rec-number&gt;1394&lt;/rec-number&gt;&lt;foreign-keys&gt;&lt;key app="EN" db-id="exvasrfx2dtraoesasxp2szsxa2df502592x" timestamp="1567924413"&gt;1394&lt;/key&gt;&lt;key app="ENWeb" db-id=""&gt;0&lt;/key&gt;&lt;/foreign-keys&gt;&lt;ref-type name="Journal Article"&gt;17&lt;/ref-type&gt;&lt;contributors&gt;&lt;authors&gt;&lt;author&gt;Chia, Ai-Ru&lt;/author&gt;&lt;author&gt;de Seymour, Jamie V.&lt;/author&gt;&lt;author&gt;Colega, Marjorelee&lt;/author&gt;&lt;author&gt;Chen, Ling-Wei&lt;/author&gt;&lt;author&gt;Chan, Yiong-Huak&lt;/author&gt;&lt;author&gt;Aris, Izzuddin M.&lt;/author&gt;&lt;author&gt;Tint, Mya-Thway&lt;/author&gt;&lt;author&gt;Quah, Phaik Ling&lt;/author&gt;&lt;author&gt;Godfrey, Keith M.&lt;/author&gt;&lt;author&gt;Yap, Fabian&lt;/author&gt;&lt;author&gt;Saw, Seang-Mei&lt;/author&gt;&lt;author&gt;Baker, Philip N.&lt;/author&gt;&lt;author&gt;Chong, Yap-Seng&lt;/author&gt;&lt;author&gt;van Dam, Rob M.&lt;/author&gt;&lt;author&gt;Lee, Yung Seng&lt;/author&gt;&lt;author&gt;Chong, Mary Foong-Fong&lt;/author&gt;&lt;/authors&gt;&lt;/contributors&gt;&lt;titles&gt;&lt;title&gt;A vegetable, fruit, and white rice dietary pattern during pregnancy is associated with a lower risk of preterm birth and larger birth size in a multiethnic Asian cohort: the Growing Up in Singapore Towards healthy Outcomes (GUSTO) cohort study&lt;/title&gt;&lt;secondary-title&gt;The American Journal of Clinical Nutrition&lt;/secondary-title&gt;&lt;/titles&gt;&lt;periodical&gt;&lt;full-title&gt;The American Journal of Clinical Nutrition&lt;/full-title&gt;&lt;/periodical&gt;&lt;pages&gt;1416-1423&lt;/pages&gt;&lt;volume&gt;104&lt;/volume&gt;&lt;number&gt;5&lt;/number&gt;&lt;section&gt;1416&lt;/section&gt;&lt;dates&gt;&lt;year&gt;2016&lt;/year&gt;&lt;/dates&gt;&lt;isbn&gt;0002-9165&amp;#xD;1938-3207&lt;/isbn&gt;&lt;urls&gt;&lt;/urls&gt;&lt;electronic-resource-num&gt;10.3945/ajcn.116.133892&lt;/electronic-resource-num&gt;&lt;/record&gt;&lt;/Cite&gt;&lt;/EndNote&gt;</w:instrText>
      </w:r>
      <w:r w:rsidR="00D71146" w:rsidRPr="007E5208">
        <w:fldChar w:fldCharType="separate"/>
      </w:r>
      <w:r w:rsidR="002747EA" w:rsidRPr="002747EA">
        <w:rPr>
          <w:noProof/>
          <w:vertAlign w:val="superscript"/>
        </w:rPr>
        <w:t>68</w:t>
      </w:r>
      <w:r w:rsidR="00D71146" w:rsidRPr="007E5208">
        <w:fldChar w:fldCharType="end"/>
      </w:r>
    </w:p>
    <w:p w14:paraId="51995E93" w14:textId="36D5CEB7" w:rsidR="00422CC9" w:rsidRPr="007E5208" w:rsidRDefault="00422CC9" w:rsidP="00422CC9">
      <w:pPr>
        <w:pStyle w:val="bullet"/>
        <w:rPr>
          <w:sz w:val="16"/>
          <w:szCs w:val="16"/>
        </w:rPr>
      </w:pPr>
      <w:r w:rsidRPr="007E5208">
        <w:t>low consumption of fruit and vegetables was associated with a</w:t>
      </w:r>
      <w:r w:rsidR="00D71146" w:rsidRPr="007E5208">
        <w:t>n</w:t>
      </w:r>
      <w:r w:rsidRPr="007E5208">
        <w:t xml:space="preserve"> increased risk of </w:t>
      </w:r>
      <w:r w:rsidR="00D71146" w:rsidRPr="007E5208">
        <w:t>preterm birth</w:t>
      </w:r>
      <w:r w:rsidRPr="007E5208">
        <w:t xml:space="preserve"> compared with those who reported higher consumption levels (</w:t>
      </w:r>
      <w:r w:rsidRPr="007E5208">
        <w:rPr>
          <w:sz w:val="16"/>
          <w:szCs w:val="16"/>
        </w:rPr>
        <w:t>RR 1.31; 95%CI 1.03 to 1.66; p=0.027</w:t>
      </w:r>
      <w:r w:rsidR="00D71146" w:rsidRPr="007E5208">
        <w:rPr>
          <w:sz w:val="16"/>
          <w:szCs w:val="16"/>
        </w:rPr>
        <w:t>; n=1,877</w:t>
      </w:r>
      <w:r w:rsidRPr="007E5208">
        <w:rPr>
          <w:sz w:val="16"/>
          <w:szCs w:val="16"/>
        </w:rPr>
        <w:t>).</w:t>
      </w:r>
      <w:r w:rsidR="00D71146" w:rsidRPr="007E5208">
        <w:rPr>
          <w:sz w:val="16"/>
          <w:szCs w:val="16"/>
        </w:rPr>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rPr>
          <w:sz w:val="16"/>
          <w:szCs w:val="16"/>
        </w:rPr>
        <w:instrText xml:space="preserve"> ADDIN EN.CITE </w:instrText>
      </w:r>
      <w:r w:rsidR="002747EA">
        <w:rPr>
          <w:sz w:val="16"/>
          <w:szCs w:val="16"/>
        </w:rPr>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rPr>
          <w:sz w:val="16"/>
          <w:szCs w:val="16"/>
        </w:rPr>
        <w:instrText xml:space="preserve"> ADDIN EN.CITE.DATA </w:instrText>
      </w:r>
      <w:r w:rsidR="002747EA">
        <w:rPr>
          <w:sz w:val="16"/>
          <w:szCs w:val="16"/>
        </w:rPr>
      </w:r>
      <w:r w:rsidR="002747EA">
        <w:rPr>
          <w:sz w:val="16"/>
          <w:szCs w:val="16"/>
        </w:rPr>
        <w:fldChar w:fldCharType="end"/>
      </w:r>
      <w:r w:rsidR="00D71146" w:rsidRPr="007E5208">
        <w:rPr>
          <w:sz w:val="16"/>
          <w:szCs w:val="16"/>
        </w:rPr>
      </w:r>
      <w:r w:rsidR="00D71146" w:rsidRPr="007E5208">
        <w:rPr>
          <w:sz w:val="16"/>
          <w:szCs w:val="16"/>
        </w:rPr>
        <w:fldChar w:fldCharType="separate"/>
      </w:r>
      <w:r w:rsidR="002747EA" w:rsidRPr="002747EA">
        <w:rPr>
          <w:noProof/>
          <w:szCs w:val="16"/>
          <w:vertAlign w:val="superscript"/>
        </w:rPr>
        <w:t>47</w:t>
      </w:r>
      <w:r w:rsidR="00D71146" w:rsidRPr="007E5208">
        <w:rPr>
          <w:sz w:val="16"/>
          <w:szCs w:val="16"/>
        </w:rPr>
        <w:fldChar w:fldCharType="end"/>
      </w:r>
    </w:p>
    <w:p w14:paraId="2CE80111" w14:textId="74D143BE" w:rsidR="00C9394B" w:rsidRPr="007E5208" w:rsidRDefault="00786654" w:rsidP="00C9394B">
      <w:pPr>
        <w:pStyle w:val="Heading4"/>
      </w:pPr>
      <w:r w:rsidRPr="007E5208">
        <w:t>Depression and anxiety</w:t>
      </w:r>
    </w:p>
    <w:p w14:paraId="0250EE56" w14:textId="1E838E44" w:rsidR="002E1093" w:rsidRPr="007E5208" w:rsidRDefault="00C9394B" w:rsidP="002E1093">
      <w:r w:rsidRPr="007E5208">
        <w:t>In a small cross-sectional study (</w:t>
      </w:r>
      <w:r w:rsidRPr="007E5208">
        <w:rPr>
          <w:sz w:val="16"/>
          <w:szCs w:val="16"/>
        </w:rPr>
        <w:t>n=712</w:t>
      </w:r>
      <w:r w:rsidRPr="007E5208">
        <w:t>),</w:t>
      </w:r>
      <w:r w:rsidRPr="007E5208">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 </w:instrText>
      </w:r>
      <w:r w:rsidR="002747EA">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EN.CITE.DATA </w:instrText>
      </w:r>
      <w:r w:rsidR="002747EA">
        <w:fldChar w:fldCharType="end"/>
      </w:r>
      <w:r w:rsidRPr="007E5208">
        <w:fldChar w:fldCharType="separate"/>
      </w:r>
      <w:r w:rsidR="002747EA" w:rsidRPr="002747EA">
        <w:rPr>
          <w:noProof/>
          <w:vertAlign w:val="superscript"/>
        </w:rPr>
        <w:t>69</w:t>
      </w:r>
      <w:r w:rsidRPr="007E5208">
        <w:fldChar w:fldCharType="end"/>
      </w:r>
      <w:r w:rsidRPr="007E5208">
        <w:t xml:space="preserve"> low fruit intake was associated with higher prevalence of major depressive disorder (</w:t>
      </w:r>
      <w:r w:rsidRPr="007E5208">
        <w:rPr>
          <w:sz w:val="16"/>
          <w:szCs w:val="16"/>
        </w:rPr>
        <w:t>PR 1.43, 95%CI 1.04 to 1.95</w:t>
      </w:r>
      <w:r w:rsidRPr="007E5208">
        <w:t xml:space="preserve">) and low intake of </w:t>
      </w:r>
      <w:r w:rsidR="00422CC9" w:rsidRPr="007E5208">
        <w:t>legumes</w:t>
      </w:r>
      <w:r w:rsidRPr="007E5208">
        <w:t xml:space="preserve"> was associated with generalised anxiety disorder (</w:t>
      </w:r>
      <w:r w:rsidRPr="007E5208">
        <w:rPr>
          <w:sz w:val="16"/>
          <w:szCs w:val="16"/>
        </w:rPr>
        <w:t>PR 1.40, 95%CI 1.01 to 1.93</w:t>
      </w:r>
      <w:r w:rsidRPr="007E5208">
        <w:t>).</w:t>
      </w:r>
      <w:r w:rsidR="009755A5" w:rsidRPr="007E5208">
        <w:t xml:space="preserve"> Another cross-sectional study (</w:t>
      </w:r>
      <w:r w:rsidR="009755A5" w:rsidRPr="007E5208">
        <w:rPr>
          <w:sz w:val="16"/>
          <w:szCs w:val="16"/>
        </w:rPr>
        <w:t>n=1,745</w:t>
      </w:r>
      <w:r w:rsidR="009755A5" w:rsidRPr="007E5208">
        <w:t>)</w:t>
      </w:r>
      <w:r w:rsidR="00774750">
        <w:fldChar w:fldCharType="begin"/>
      </w:r>
      <w:r w:rsidR="002747EA">
        <w:instrText xml:space="preserve"> ADDIN EN.CITE &lt;EndNote&gt;&lt;Cite&gt;&lt;Author&gt;Miyake&lt;/Author&gt;&lt;Year&gt;2014&lt;/Year&gt;&lt;RecNum&gt;1752&lt;/RecNum&gt;&lt;DisplayText&gt;&lt;style face="superscript" font="Trebuchet MS" size="9"&gt;70&lt;/style&gt;&lt;/DisplayText&gt;&lt;record&gt;&lt;rec-number&gt;1752&lt;/rec-number&gt;&lt;foreign-keys&gt;&lt;key app="EN" db-id="exvasrfx2dtraoesasxp2szsxa2df502592x" timestamp="1582516937"&gt;1752&lt;/key&gt;&lt;/foreign-keys&gt;&lt;ref-type name="Journal Article"&gt;17&lt;/ref-type&gt;&lt;contributors&gt;&lt;authors&gt;&lt;author&gt;Miyake, Y.&lt;/author&gt;&lt;author&gt;Tanaka, K.&lt;/author&gt;&lt;author&gt;Okubo, H.&lt;/author&gt;&lt;author&gt;Sasaki, S.&lt;/author&gt;&lt;author&gt;Arakawa, M.&lt;/author&gt;&lt;/authors&gt;&lt;/contributors&gt;&lt;auth-address&gt;Department of Public Health, Ehime University Graduate School of Medicine, Toon, Ehime, Japan. miyake.yoshihiro.ls@ehime-u.ac.jp.&lt;/auth-address&gt;&lt;titles&gt;&lt;title&gt;Seaweed consumption and prevalence of depressive symptoms during pregnancy in Japan: Baseline data from the Kyushu Okinawa Maternal and Child Health Study&lt;/title&gt;&lt;secondary-title&gt;BMC Pregnancy Childbirth&lt;/secondary-title&gt;&lt;/titles&gt;&lt;periodical&gt;&lt;full-title&gt;BMC Pregnancy Childbirth&lt;/full-title&gt;&lt;/periodical&gt;&lt;pages&gt;301&lt;/pages&gt;&lt;volume&gt;14&lt;/volume&gt;&lt;edition&gt;2014/09/05&lt;/edition&gt;&lt;keywords&gt;&lt;keyword&gt;Adult&lt;/keyword&gt;&lt;keyword&gt;Cross-Sectional Studies&lt;/keyword&gt;&lt;keyword&gt;Depression/*epidemiology&lt;/keyword&gt;&lt;keyword&gt;*Feeding Behavior&lt;/keyword&gt;&lt;keyword&gt;Female&lt;/keyword&gt;&lt;keyword&gt;Humans&lt;/keyword&gt;&lt;keyword&gt;Japan/epidemiology&lt;/keyword&gt;&lt;keyword&gt;Pregnancy&lt;/keyword&gt;&lt;keyword&gt;Pregnancy Complications/*epidemiology&lt;/keyword&gt;&lt;keyword&gt;Prevalence&lt;/keyword&gt;&lt;keyword&gt;Psychiatric Status Rating Scales&lt;/keyword&gt;&lt;keyword&gt;*Seaweed&lt;/keyword&gt;&lt;/keywords&gt;&lt;dates&gt;&lt;year&gt;2014&lt;/year&gt;&lt;pub-dates&gt;&lt;date&gt;Sep 3&lt;/date&gt;&lt;/pub-dates&gt;&lt;/dates&gt;&lt;isbn&gt;1471-2393 (Electronic)&amp;#xD;1471-2393 (Linking)&lt;/isbn&gt;&lt;accession-num&gt;25186917&lt;/accession-num&gt;&lt;urls&gt;&lt;related-urls&gt;&lt;url&gt;https://www.ncbi.nlm.nih.gov/pubmed/25186917&lt;/url&gt;&lt;/related-urls&gt;&lt;/urls&gt;&lt;custom2&gt;PMC4161851&lt;/custom2&gt;&lt;electronic-resource-num&gt;10.1186/1471-2393-14-301&lt;/electronic-resource-num&gt;&lt;/record&gt;&lt;/Cite&gt;&lt;/EndNote&gt;</w:instrText>
      </w:r>
      <w:r w:rsidR="00774750">
        <w:fldChar w:fldCharType="separate"/>
      </w:r>
      <w:r w:rsidR="002747EA" w:rsidRPr="002747EA">
        <w:rPr>
          <w:noProof/>
          <w:vertAlign w:val="superscript"/>
        </w:rPr>
        <w:t>70</w:t>
      </w:r>
      <w:r w:rsidR="00774750">
        <w:fldChar w:fldCharType="end"/>
      </w:r>
      <w:r w:rsidR="009755A5" w:rsidRPr="007E5208">
        <w:t xml:space="preserve"> </w:t>
      </w:r>
      <w:r w:rsidR="00532DE7" w:rsidRPr="007E5208">
        <w:t xml:space="preserve">found </w:t>
      </w:r>
      <w:r w:rsidR="00BE09F8">
        <w:t>a</w:t>
      </w:r>
      <w:r w:rsidR="00BE09F8" w:rsidRPr="007E5208">
        <w:t xml:space="preserve"> </w:t>
      </w:r>
      <w:r w:rsidR="00532DE7" w:rsidRPr="007E5208">
        <w:t xml:space="preserve">lower prevalence of depressive symptoms during pregnancy </w:t>
      </w:r>
      <w:r w:rsidR="00BE09F8">
        <w:t>associated with</w:t>
      </w:r>
      <w:r w:rsidR="00BE09F8" w:rsidRPr="007E5208">
        <w:t xml:space="preserve"> </w:t>
      </w:r>
      <w:r w:rsidR="00532DE7" w:rsidRPr="007E5208">
        <w:t>higher seaweed consumption (</w:t>
      </w:r>
      <w:r w:rsidR="00532DE7" w:rsidRPr="007E5208">
        <w:rPr>
          <w:sz w:val="16"/>
          <w:szCs w:val="16"/>
        </w:rPr>
        <w:t>aOR 0.68; 95%CI 0.47 to 0.96</w:t>
      </w:r>
      <w:r w:rsidR="00532DE7" w:rsidRPr="007E5208">
        <w:t>) and soy products (</w:t>
      </w:r>
      <w:r w:rsidR="00532DE7" w:rsidRPr="007E5208">
        <w:rPr>
          <w:sz w:val="16"/>
          <w:szCs w:val="16"/>
        </w:rPr>
        <w:t>aRR 0.63; 95%CI 0.47 to 0.85; p=0.0002</w:t>
      </w:r>
      <w:r w:rsidR="00532DE7" w:rsidRPr="007E5208">
        <w:t xml:space="preserve">). </w:t>
      </w:r>
    </w:p>
    <w:p w14:paraId="1BBEC7C3" w14:textId="77777777" w:rsidR="00D71146" w:rsidRPr="007E5208" w:rsidRDefault="00D71146" w:rsidP="00C9394B">
      <w:pPr>
        <w:pStyle w:val="Heading4"/>
      </w:pPr>
      <w:r w:rsidRPr="007E5208">
        <w:t>Sleep</w:t>
      </w:r>
    </w:p>
    <w:p w14:paraId="51B9DA6D" w14:textId="5B28D81F" w:rsidR="00D71146" w:rsidRPr="007E5208" w:rsidRDefault="00103B64" w:rsidP="00D71146">
      <w:r w:rsidRPr="007E5208">
        <w:t>A cohort study (</w:t>
      </w:r>
      <w:r w:rsidRPr="007E5208">
        <w:rPr>
          <w:sz w:val="16"/>
          <w:szCs w:val="16"/>
        </w:rPr>
        <w:t>n=2,951</w:t>
      </w:r>
      <w:r w:rsidRPr="007E5208">
        <w:t>)</w:t>
      </w:r>
      <w:r w:rsidRPr="007E5208">
        <w:fldChar w:fldCharType="begin">
          <w:fldData xml:space="preserve">PEVuZE5vdGU+PENpdGU+PEF1dGhvcj5EdWtlPC9BdXRob3I+PFllYXI+MjAxNzwvWWVhcj48UmVj
TnVtPjEzNTg8L1JlY051bT48RGlzcGxheVRleHQ+PHN0eWxlIGZhY2U9InN1cGVyc2NyaXB0IiBm
b250PSJUcmVidWNoZXQgTVMiIHNpemU9IjkiPjcxPC9zdHlsZT48L0Rpc3BsYXlUZXh0PjxyZWNv
cmQ+PHJlYy1udW1iZXI+MTM1ODwvcmVjLW51bWJlcj48Zm9yZWlnbi1rZXlzPjxrZXkgYXBwPSJF
TiIgZGItaWQ9ImV4dmFzcmZ4MmR0cmFvZXNhc3hwMnN6c3hhMmRmNTAyNTkyeCIgdGltZXN0YW1w
PSIxNTY3MDMxMDQwIj4xMzU4PC9rZXk+PGtleSBhcHA9IkVOV2ViIiBkYi1pZD0iIj4wPC9rZXk+
PC9mb3JlaWduLWtleXM+PHJlZi10eXBlIG5hbWU9IkpvdXJuYWwgQXJ0aWNsZSI+MTc8L3JlZi10
eXBlPjxjb250cmlidXRvcnM+PGF1dGhvcnM+PGF1dGhvcj5EdWtlLCBDLiBILjwvYXV0aG9yPjxh
dXRob3I+V2lsbGlhbXNvbiwgSi4gQS48L2F1dGhvcj48YXV0aG9yPlNub29rLCBLLiBSLjwvYXV0
aG9yPjxhdXRob3I+RmluY2gsIEsuIEMuPC9hdXRob3I+PGF1dGhvcj5TdWxsaXZhbiwgSy4gTC48
L2F1dGhvcj48L2F1dGhvcnM+PC9jb250cmlidXRvcnM+PGF1dGgtYWRkcmVzcz5EZXBhcnRtZW50
IG9mIEVwaWRlbWlvbG9neSwgSmlhbm4tUGluZyBIc3UgQ29sbGVnZSBvZiBQdWJsaWMgSGVhbHRo
LCBHZW9yZ2lhIFNvdXRoZXJuIFVuaXZlcnNpdHksIFBPIEJveCA4MDE1LCBTdGF0ZXNib3JvLCBH
QSwgMzA0NjAsIFVTQS4mI3hEO0RlcGFydG1lbnQgb2YgRXBpZGVtaW9sb2d5LCBKaWFubi1QaW5n
IEhzdSBDb2xsZWdlIG9mIFB1YmxpYyBIZWFsdGgsIEdlb3JnaWEgU291dGhlcm4gVW5pdmVyc2l0
eSwgUE8gQm94IDgwMTUsIFN0YXRlc2Jvcm8sIEdBLCAzMDQ2MCwgVVNBLiBLZWxseS5TdWxsaXZh
bi5QaERAZ21haWwuY29tLjwvYXV0aC1hZGRyZXNzPjx0aXRsZXM+PHRpdGxlPkFzc29jaWF0aW9u
IGJldHdlZW4gZnJ1aXQgYW5kIHZlZ2V0YWJsZSBjb25zdW1wdGlvbiBhbmQgc2xlZXAgcXVhbnRp
dHkgaW4gcHJlZ25hbnQgd29tZW48L3RpdGxlPjxzZWNvbmRhcnktdGl0bGU+TWF0ZXJuIENoaWxk
IEhlYWx0aCBKPC9zZWNvbmRhcnktdGl0bGU+PC90aXRsZXM+PHBlcmlvZGljYWw+PGZ1bGwtdGl0
bGU+TWF0ZXJuIENoaWxkIEhlYWx0aCBKPC9mdWxsLXRpdGxlPjwvcGVyaW9kaWNhbD48cGFnZXM+
OTY2LTk3MzwvcGFnZXM+PHZvbHVtZT4yMTwvdm9sdW1lPjxudW1iZXI+NTwvbnVtYmVyPjxlZGl0
aW9uPjIwMTcvMDEvMTQ8L2VkaXRpb24+PGtleXdvcmRzPjxrZXl3b3JkPkFkb2xlc2NlbnQ8L2tl
eXdvcmQ+PGtleXdvcmQ+QWR1bHQ8L2tleXdvcmQ+PGtleXdvcmQ+RmVtYWxlPC9rZXl3b3JkPjxr
ZXl3b3JkPipGcnVpdDwva2V5d29yZD48a2V5d29yZD5IZWFsdGh5IERpZXQvKnN0YW5kYXJkczwv
a2V5d29yZD48a2V5d29yZD5IdW1hbnM8L2tleXdvcmQ+PGtleXdvcmQ+UHJlZ25hbmN5PC9rZXl3
b3JkPjxrZXl3b3JkPlNsZWVwLypwaHlzaW9sb2d5PC9rZXl3b3JkPjxrZXl3b3JkPipUaW1lIEZh
Y3RvcnM8L2tleXdvcmQ+PGtleXdvcmQ+KlZlZ2V0YWJsZXM8L2tleXdvcmQ+PGtleXdvcmQ+KkRp
ZXQ8L2tleXdvcmQ+PGtleXdvcmQ+KkV4ZXJjaXNlPC9rZXl3b3JkPjxrZXl3b3JkPipGcnVpdHM8
L2tleXdvcmQ+PGtleXdvcmQ+Kk1hdGVybmFsIGhlYWx0aDwva2V5d29yZD48L2tleXdvcmRzPjxk
YXRlcz48eWVhcj4yMDE3PC95ZWFyPjxwdWItZGF0ZXM+PGRhdGU+TWF5PC9kYXRlPjwvcHViLWRh
dGVzPjwvZGF0ZXM+PGlzYm4+MTU3My02NjI4IChFbGVjdHJvbmljKSYjeEQ7MTA5Mi03ODc1IChM
aW5raW5nKTwvaXNibj48YWNjZXNzaW9uLW51bT4yODA4MzczMjwvYWNjZXNzaW9uLW51bT48dXJs
cz48cmVsYXRlZC11cmxzPjx1cmw+aHR0cHM6Ly93d3cubmNiaS5ubG0ubmloLmdvdi9wdWJtZWQv
MjgwODM3MzI8L3VybD48L3JlbGF0ZWQtdXJscz48L3VybHM+PGVsZWN0cm9uaWMtcmVzb3VyY2Ut
bnVtPjEwLjEwMDcvczEwOTk1LTAxNi0yMjQ3LXk8L2VsZWN0cm9uaWMtcmVzb3VyY2UtbnVtPjwv
cmVjb3JkPjwvQ2l0ZT48L0VuZE5vdGU+
</w:fldData>
        </w:fldChar>
      </w:r>
      <w:r w:rsidR="002747EA">
        <w:instrText xml:space="preserve"> ADDIN EN.CITE </w:instrText>
      </w:r>
      <w:r w:rsidR="002747EA">
        <w:fldChar w:fldCharType="begin">
          <w:fldData xml:space="preserve">PEVuZE5vdGU+PENpdGU+PEF1dGhvcj5EdWtlPC9BdXRob3I+PFllYXI+MjAxNzwvWWVhcj48UmVj
TnVtPjEzNTg8L1JlY051bT48RGlzcGxheVRleHQ+PHN0eWxlIGZhY2U9InN1cGVyc2NyaXB0IiBm
b250PSJUcmVidWNoZXQgTVMiIHNpemU9IjkiPjcxPC9zdHlsZT48L0Rpc3BsYXlUZXh0PjxyZWNv
cmQ+PHJlYy1udW1iZXI+MTM1ODwvcmVjLW51bWJlcj48Zm9yZWlnbi1rZXlzPjxrZXkgYXBwPSJF
TiIgZGItaWQ9ImV4dmFzcmZ4MmR0cmFvZXNhc3hwMnN6c3hhMmRmNTAyNTkyeCIgdGltZXN0YW1w
PSIxNTY3MDMxMDQwIj4xMzU4PC9rZXk+PGtleSBhcHA9IkVOV2ViIiBkYi1pZD0iIj4wPC9rZXk+
PC9mb3JlaWduLWtleXM+PHJlZi10eXBlIG5hbWU9IkpvdXJuYWwgQXJ0aWNsZSI+MTc8L3JlZi10
eXBlPjxjb250cmlidXRvcnM+PGF1dGhvcnM+PGF1dGhvcj5EdWtlLCBDLiBILjwvYXV0aG9yPjxh
dXRob3I+V2lsbGlhbXNvbiwgSi4gQS48L2F1dGhvcj48YXV0aG9yPlNub29rLCBLLiBSLjwvYXV0
aG9yPjxhdXRob3I+RmluY2gsIEsuIEMuPC9hdXRob3I+PGF1dGhvcj5TdWxsaXZhbiwgSy4gTC48
L2F1dGhvcj48L2F1dGhvcnM+PC9jb250cmlidXRvcnM+PGF1dGgtYWRkcmVzcz5EZXBhcnRtZW50
IG9mIEVwaWRlbWlvbG9neSwgSmlhbm4tUGluZyBIc3UgQ29sbGVnZSBvZiBQdWJsaWMgSGVhbHRo
LCBHZW9yZ2lhIFNvdXRoZXJuIFVuaXZlcnNpdHksIFBPIEJveCA4MDE1LCBTdGF0ZXNib3JvLCBH
QSwgMzA0NjAsIFVTQS4mI3hEO0RlcGFydG1lbnQgb2YgRXBpZGVtaW9sb2d5LCBKaWFubi1QaW5n
IEhzdSBDb2xsZWdlIG9mIFB1YmxpYyBIZWFsdGgsIEdlb3JnaWEgU291dGhlcm4gVW5pdmVyc2l0
eSwgUE8gQm94IDgwMTUsIFN0YXRlc2Jvcm8sIEdBLCAzMDQ2MCwgVVNBLiBLZWxseS5TdWxsaXZh
bi5QaERAZ21haWwuY29tLjwvYXV0aC1hZGRyZXNzPjx0aXRsZXM+PHRpdGxlPkFzc29jaWF0aW9u
IGJldHdlZW4gZnJ1aXQgYW5kIHZlZ2V0YWJsZSBjb25zdW1wdGlvbiBhbmQgc2xlZXAgcXVhbnRp
dHkgaW4gcHJlZ25hbnQgd29tZW48L3RpdGxlPjxzZWNvbmRhcnktdGl0bGU+TWF0ZXJuIENoaWxk
IEhlYWx0aCBKPC9zZWNvbmRhcnktdGl0bGU+PC90aXRsZXM+PHBlcmlvZGljYWw+PGZ1bGwtdGl0
bGU+TWF0ZXJuIENoaWxkIEhlYWx0aCBKPC9mdWxsLXRpdGxlPjwvcGVyaW9kaWNhbD48cGFnZXM+
OTY2LTk3MzwvcGFnZXM+PHZvbHVtZT4yMTwvdm9sdW1lPjxudW1iZXI+NTwvbnVtYmVyPjxlZGl0
aW9uPjIwMTcvMDEvMTQ8L2VkaXRpb24+PGtleXdvcmRzPjxrZXl3b3JkPkFkb2xlc2NlbnQ8L2tl
eXdvcmQ+PGtleXdvcmQ+QWR1bHQ8L2tleXdvcmQ+PGtleXdvcmQ+RmVtYWxlPC9rZXl3b3JkPjxr
ZXl3b3JkPipGcnVpdDwva2V5d29yZD48a2V5d29yZD5IZWFsdGh5IERpZXQvKnN0YW5kYXJkczwv
a2V5d29yZD48a2V5d29yZD5IdW1hbnM8L2tleXdvcmQ+PGtleXdvcmQ+UHJlZ25hbmN5PC9rZXl3
b3JkPjxrZXl3b3JkPlNsZWVwLypwaHlzaW9sb2d5PC9rZXl3b3JkPjxrZXl3b3JkPipUaW1lIEZh
Y3RvcnM8L2tleXdvcmQ+PGtleXdvcmQ+KlZlZ2V0YWJsZXM8L2tleXdvcmQ+PGtleXdvcmQ+KkRp
ZXQ8L2tleXdvcmQ+PGtleXdvcmQ+KkV4ZXJjaXNlPC9rZXl3b3JkPjxrZXl3b3JkPipGcnVpdHM8
L2tleXdvcmQ+PGtleXdvcmQ+Kk1hdGVybmFsIGhlYWx0aDwva2V5d29yZD48L2tleXdvcmRzPjxk
YXRlcz48eWVhcj4yMDE3PC95ZWFyPjxwdWItZGF0ZXM+PGRhdGU+TWF5PC9kYXRlPjwvcHViLWRh
dGVzPjwvZGF0ZXM+PGlzYm4+MTU3My02NjI4IChFbGVjdHJvbmljKSYjeEQ7MTA5Mi03ODc1IChM
aW5raW5nKTwvaXNibj48YWNjZXNzaW9uLW51bT4yODA4MzczMjwvYWNjZXNzaW9uLW51bT48dXJs
cz48cmVsYXRlZC11cmxzPjx1cmw+aHR0cHM6Ly93d3cubmNiaS5ubG0ubmloLmdvdi9wdWJtZWQv
MjgwODM3MzI8L3VybD48L3JlbGF0ZWQtdXJscz48L3VybHM+PGVsZWN0cm9uaWMtcmVzb3VyY2Ut
bnVtPjEwLjEwMDcvczEwOTk1LTAxNi0yMjQ3LXk8L2VsZWN0cm9uaWMtcmVzb3VyY2UtbnVtPjwv
cmVjb3JkPjwvQ2l0ZT48L0VuZE5vdGU+
</w:fldData>
        </w:fldChar>
      </w:r>
      <w:r w:rsidR="002747EA">
        <w:instrText xml:space="preserve"> ADDIN EN.CITE.DATA </w:instrText>
      </w:r>
      <w:r w:rsidR="002747EA">
        <w:fldChar w:fldCharType="end"/>
      </w:r>
      <w:r w:rsidRPr="007E5208">
        <w:fldChar w:fldCharType="separate"/>
      </w:r>
      <w:r w:rsidR="002747EA" w:rsidRPr="002747EA">
        <w:rPr>
          <w:noProof/>
          <w:vertAlign w:val="superscript"/>
        </w:rPr>
        <w:t>71</w:t>
      </w:r>
      <w:r w:rsidRPr="007E5208">
        <w:fldChar w:fldCharType="end"/>
      </w:r>
      <w:r w:rsidRPr="007E5208">
        <w:t xml:space="preserve"> found that total daily fruit and vegetable consumption was not associated with sleep duration among pregnant women, controlling for confounders (</w:t>
      </w:r>
      <w:r w:rsidRPr="007E5208">
        <w:rPr>
          <w:sz w:val="16"/>
          <w:szCs w:val="16"/>
        </w:rPr>
        <w:t>ß -0.0395%CI -0.07 to 0.00</w:t>
      </w:r>
      <w:r w:rsidRPr="007E5208">
        <w:t>).</w:t>
      </w:r>
    </w:p>
    <w:p w14:paraId="75AA7769" w14:textId="77777777" w:rsidR="00CB2CD7" w:rsidRPr="007E5208" w:rsidRDefault="00CB2CD7" w:rsidP="00C9394B">
      <w:pPr>
        <w:pStyle w:val="Heading4"/>
      </w:pPr>
      <w:r w:rsidRPr="007E5208">
        <w:t>Neural tube defects</w:t>
      </w:r>
    </w:p>
    <w:p w14:paraId="3D1C6EFA" w14:textId="3DD05BEB" w:rsidR="00CB2CD7" w:rsidRPr="007E5208" w:rsidRDefault="00CB2CD7" w:rsidP="00CB2CD7">
      <w:r w:rsidRPr="007E5208">
        <w:t>A case-control study (</w:t>
      </w:r>
      <w:r w:rsidRPr="007E5208">
        <w:rPr>
          <w:sz w:val="16"/>
          <w:szCs w:val="16"/>
        </w:rPr>
        <w:t>n=</w:t>
      </w:r>
      <w:r w:rsidR="0016630F" w:rsidRPr="007E5208">
        <w:rPr>
          <w:sz w:val="16"/>
          <w:szCs w:val="16"/>
        </w:rPr>
        <w:t>918</w:t>
      </w:r>
      <w:r w:rsidR="0016630F" w:rsidRPr="007E5208">
        <w:t>)</w:t>
      </w:r>
      <w:r w:rsidR="00774750">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 </w:instrText>
      </w:r>
      <w:r w:rsidR="002747EA">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72</w:t>
      </w:r>
      <w:r w:rsidR="00774750">
        <w:fldChar w:fldCharType="end"/>
      </w:r>
      <w:r w:rsidR="0016630F" w:rsidRPr="007E5208">
        <w:t xml:space="preserve"> </w:t>
      </w:r>
      <w:r w:rsidR="00307077" w:rsidRPr="007E5208">
        <w:t xml:space="preserve">found that risk of neural tubes defects was reduced with </w:t>
      </w:r>
      <w:r w:rsidR="00FE7BDF" w:rsidRPr="007E5208">
        <w:t>≥7 meals/week</w:t>
      </w:r>
      <w:r w:rsidR="00B6414F" w:rsidRPr="007E5208">
        <w:t xml:space="preserve"> </w:t>
      </w:r>
      <w:r w:rsidR="00307077" w:rsidRPr="007E5208">
        <w:t xml:space="preserve">of fresh fruit </w:t>
      </w:r>
      <w:r w:rsidR="00FE7BDF" w:rsidRPr="007E5208">
        <w:t>(</w:t>
      </w:r>
      <w:r w:rsidR="00FE7BDF" w:rsidRPr="007E5208">
        <w:rPr>
          <w:sz w:val="16"/>
          <w:szCs w:val="16"/>
        </w:rPr>
        <w:t>OR 0.32; 95%CI 0.14 to 0.71</w:t>
      </w:r>
      <w:r w:rsidR="00FE7BDF" w:rsidRPr="007E5208">
        <w:t>) or 3-6 meals/week of nuts (</w:t>
      </w:r>
      <w:r w:rsidR="00FE7BDF" w:rsidRPr="007E5208">
        <w:rPr>
          <w:sz w:val="16"/>
          <w:szCs w:val="16"/>
        </w:rPr>
        <w:t>OR 0.49; 95%CI 0.31 to 0.79</w:t>
      </w:r>
      <w:r w:rsidR="00FE7BDF" w:rsidRPr="007E5208">
        <w:t>).</w:t>
      </w:r>
    </w:p>
    <w:p w14:paraId="36FFA208" w14:textId="0F1FC97E" w:rsidR="00D71146" w:rsidRPr="007E5208" w:rsidRDefault="00D71146" w:rsidP="00C9394B">
      <w:pPr>
        <w:pStyle w:val="Heading4"/>
      </w:pPr>
      <w:r w:rsidRPr="007E5208">
        <w:t>Childhood allergy</w:t>
      </w:r>
      <w:r w:rsidR="00532DE7" w:rsidRPr="007E5208">
        <w:t xml:space="preserve"> and asthma</w:t>
      </w:r>
    </w:p>
    <w:p w14:paraId="483A2EA6" w14:textId="13A534B2" w:rsidR="00D71146" w:rsidRPr="007E5208" w:rsidRDefault="00D71146" w:rsidP="00D71146">
      <w:r w:rsidRPr="007E5208">
        <w:t>A cross-sectional study (</w:t>
      </w:r>
      <w:r w:rsidRPr="007E5208">
        <w:rPr>
          <w:sz w:val="16"/>
          <w:szCs w:val="16"/>
        </w:rPr>
        <w:t>n=1,087</w:t>
      </w:r>
      <w:r w:rsidRPr="007E5208">
        <w:t>)</w:t>
      </w:r>
      <w:r w:rsidRPr="007E5208">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rsidRPr="007E5208">
        <w:fldChar w:fldCharType="separate"/>
      </w:r>
      <w:r w:rsidR="002747EA" w:rsidRPr="002747EA">
        <w:rPr>
          <w:noProof/>
          <w:vertAlign w:val="superscript"/>
        </w:rPr>
        <w:t>52</w:t>
      </w:r>
      <w:r w:rsidRPr="007E5208">
        <w:fldChar w:fldCharType="end"/>
      </w:r>
      <w:r w:rsidRPr="007E5208">
        <w:t xml:space="preserve"> found that high fruit consumption during pregnancy had a protective effect against "wheezing" in 12-month-old infants (</w:t>
      </w:r>
      <w:r w:rsidRPr="007E5208">
        <w:rPr>
          <w:sz w:val="16"/>
          <w:szCs w:val="16"/>
        </w:rPr>
        <w:t>OR: 0.44; 95%CI 0.20 to 0.99</w:t>
      </w:r>
      <w:r w:rsidRPr="007E5208">
        <w:t>).</w:t>
      </w:r>
      <w:r w:rsidR="009755A5" w:rsidRPr="007E5208">
        <w:t xml:space="preserve"> A cohort study (</w:t>
      </w:r>
      <w:r w:rsidR="009755A5" w:rsidRPr="007E5208">
        <w:rPr>
          <w:sz w:val="16"/>
          <w:szCs w:val="16"/>
        </w:rPr>
        <w:t>n=310</w:t>
      </w:r>
      <w:r w:rsidR="009755A5" w:rsidRPr="007E5208">
        <w:t>)</w:t>
      </w:r>
      <w:r w:rsidR="00774750">
        <w:fldChar w:fldCharType="begin">
          <w:fldData xml:space="preserve">PEVuZE5vdGU+PENpdGU+PEF1dGhvcj5PZ2F3YTwvQXV0aG9yPjxZZWFyPjIwMTg8L1llYXI+PFJl
Y051bT4xNzI5PC9SZWNOdW0+PERpc3BsYXlUZXh0PjxzdHlsZSBmYWNlPSJzdXBlcnNjcmlwdCIg
Zm9udD0iVHJlYnVjaGV0IE1TIiBzaXplPSI5Ij43Mzwvc3R5bGU+PC9EaXNwbGF5VGV4dD48cmVj
b3JkPjxyZWMtbnVtYmVyPjE3Mjk8L3JlYy1udW1iZXI+PGZvcmVpZ24ta2V5cz48a2V5IGFwcD0i
RU4iIGRiLWlkPSJleHZhc3JmeDJkdHJhb2VzYXN4cDJzenN4YTJkZjUwMjU5MngiIHRpbWVzdGFt
cD0iMTU4MjUwNjIxMyI+MTcyOTwva2V5PjxrZXkgYXBwPSJFTldlYiIgZGItaWQ9IiI+MDwva2V5
PjwvZm9yZWlnbi1rZXlzPjxyZWYtdHlwZSBuYW1lPSJKb3VybmFsIEFydGljbGUiPjE3PC9yZWYt
dHlwZT48Y29udHJpYnV0b3JzPjxhdXRob3JzPjxhdXRob3I+T2dhd2EsIEsuPC9hdXRob3I+PGF1
dGhvcj5Nb3Jpc2FraSwgTi48L2F1dGhvcj48YXV0aG9yPktvYmF5YXNoaSwgTS48L2F1dGhvcj48
YXV0aG9yPkp3YSwgUy4gQy48L2F1dGhvcj48YXV0aG9yPlRhbmksIFkuPC9hdXRob3I+PGF1dGhv
cj5TYWdvLCBILjwvYXV0aG9yPjxhdXRob3I+SG9yaWthd2EsIFIuPC9hdXRob3I+PGF1dGhvcj5G
dWppd2FyYSwgVC48L2F1dGhvcj48L2F1dGhvcnM+PC9jb250cmlidXRvcnM+PGF1dGgtYWRkcmVz
cz5EZXBhcnRtZW50IG9mIFNvY2lhbCBNZWRpY2luZSwgTmF0aW9uYWwgUmVzZWFyY2ggSW5zdGl0
dXRlIGZvciBDaGlsZCBIZWFsdGggYW5kIERldmVsb3BtZW50LCAyLTEwLTEgT2t1cmEsIFRva3lv
LCAxNTctODUzNSwgSmFwYW4uIG9nYXdhLWtAbmNjaGQuZ28uanAuJiN4RDtDZW50ZXIgZm9yIE1h
dGVybmFsLUZldGFsLCBOZW9uYXRhbCBhbmQgUmVwcm9kdWN0aXZlIE1lZGljaW5lLCBOYXRpb25h
bCBDZW50ZXIgZm9yIENoaWxkIEhlYWx0aCBhbmQgRGV2ZWxvcG1lbnQsIDItMTAtMSBPa3VyYSwg
VG9reW8sIDE1Ny04NTM1LCBKYXBhbi4gb2dhd2Eta0BuY2NoZC5nby5qcC4mI3hEO0NvbGxhYm9y
YXRpdmUgRGVwYXJ0bWVudHMgb2YgQWR2YW5jZWQgUGVkaWF0cmljIE1lZGljaW5lLCBHcmFkdWF0
ZSBTY2hvb2wgb2YgTWVkaWNpbmUsIFRvaG9rdSBVbml2ZXJzaXR5LCAyLTEgU2VpcnlvdHlvLCBh
b2JhLWt1LCBTZW5kYWlzaGksIDk4MC04NTc1LCBKYXBhbi4gb2dhd2Eta0BuY2NoZC5nby5qcC4m
I3hEO0RlcGFydG1lbnQgb2YgU29jaWFsIE1lZGljaW5lLCBOYXRpb25hbCBSZXNlYXJjaCBJbnN0
aXR1dGUgZm9yIENoaWxkIEhlYWx0aCBhbmQgRGV2ZWxvcG1lbnQsIDItMTAtMSBPa3VyYSwgVG9r
eW8sIDE1Ny04NTM1LCBKYXBhbi4mI3hEO0RlcGFydG1lbnQgb2YgRm9vZCBTY2llbmNlLCBPdHN1
bWEgV29tZW4mYXBvcztzIFVuaXZlcnNpdHksIDEyIFNhbmJhbmNobywgVG9reW8sIDEwMi04NTM3
LCBKYXBhbi4mI3hEO0RlcGFydG1lbnQgb2YgR2xvYmFsIEhlYWx0aCBQcm9tb3Rpb24sIFRva3lv
IE1lZGljYWwgYW5kIERlbnRhbCBVbml2ZXJzaXR5LCAxLTUtNDUgWXVzaGltYSwgVG9reW8sIDEx
My04NTEwLCBKYXBhbi4mI3hEO1Jlc2VhcmNoIEZlbGxvdyBvZiBKYXBhbiBTb2NpZXR5IGZvciB0
aGUgUHJvbW90aW9uIG9mIFNjaWVuY2UsIDUtMy0xLCBLb2ppbWFjaGksIFRva3lvLCBKYXBhbi4m
I3hEO0NlbnRlciBmb3IgTWF0ZXJuYWwtRmV0YWwsIE5lb25hdGFsIGFuZCBSZXByb2R1Y3RpdmUg
TWVkaWNpbmUsIE5hdGlvbmFsIENlbnRlciBmb3IgQ2hpbGQgSGVhbHRoIGFuZCBEZXZlbG9wbWVu
dCwgMi0xMC0xIE9rdXJhLCBUb2t5bywgMTU3LTg1MzUsIEphcGFuLiYjeEQ7Q29sbGFib3JhdGl2
ZSBEZXBhcnRtZW50cyBvZiBBZHZhbmNlZCBQZWRpYXRyaWMgTWVkaWNpbmUsIEdyYWR1YXRlIFNj
aG9vbCBvZiBNZWRpY2luZSwgVG9ob2t1IFVuaXZlcnNpdHksIDItMSBTZWlyeW90eW8sIGFvYmEt
a3UsIFNlbmRhaXNoaSwgOTgwLTg1NzUsIEphcGFuLiYjeEQ7RGl2aXNpb24gb2YgRW5kb2NyaW5v
bG9neSBhbmQgTWV0YWJvbGlzbSwgTmF0aW9uYWwgQ2VudGVyIGZvciBDaGlsZCBIZWFsdGggYW5k
IERldmVsb3BtZW50LCAyLTEwLTEgT2t1cmEsIFRva3lvLCAxNTctODUzNSwgSmFwYW4uPC9hdXRo
LWFkZHJlc3M+PHRpdGxlcz48dGl0bGU+TWF0ZXJuYWwgdmVnZXRhYmxlIGludGFrZSBpbiBlYXJs
eSBwcmVnbmFuY3kgYW5kIHdoZWV6ZSBpbiBvZmZzcHJpbmcgYXQgdGhlIGFnZSBvZiAyIHllYXJz
PC90aXRsZT48c2Vjb25kYXJ5LXRpdGxlPkV1ciBKIENsaW4gTnV0cjwvc2Vjb25kYXJ5LXRpdGxl
PjwvdGl0bGVzPjxwZXJpb2RpY2FsPjxmdWxsLXRpdGxlPkV1ciBKIENsaW4gTnV0cjwvZnVsbC10
aXRsZT48L3BlcmlvZGljYWw+PHBhZ2VzPjc2MS03NzE8L3BhZ2VzPjx2b2x1bWU+NzI8L3ZvbHVt
ZT48bnVtYmVyPjU8L251bWJlcj48ZWRpdGlvbj4yMDE4LzAyLzEzPC9lZGl0aW9uPjxrZXl3b3Jk
cz48a2V5d29yZD5Bc3RobWEvKmVwaWRlbWlvbG9neTwva2V5d29yZD48a2V5d29yZD5DaGlsZCwg
UHJlc2Nob29sPC9rZXl3b3JkPjxrZXl3b3JkPkRpZXQ8L2tleXdvcmQ+PGtleXdvcmQ+RmVtYWxl
PC9rZXl3b3JkPjxrZXl3b3JkPkh1bWFuczwva2V5d29yZD48a2V5d29yZD4qTWF0ZXJuYWwgTnV0
cml0aW9uYWwgUGh5c2lvbG9naWNhbCBQaGVub21lbmE8L2tleXdvcmQ+PGtleXdvcmQ+UHJlZ25h
bmN5PC9rZXl3b3JkPjxrZXl3b3JkPlByZW5hdGFsIEV4cG9zdXJlIERlbGF5ZWQgRWZmZWN0cy8q
ZXBpZGVtaW9sb2d5PC9rZXl3b3JkPjxrZXl3b3JkPlByZXZhbGVuY2U8L2tleXdvcmQ+PGtleXdv
cmQ+UHJvc3BlY3RpdmUgU3R1ZGllczwva2V5d29yZD48a2V5d29yZD4qUmVzcGlyYXRvcnkgU291
bmRzPC9rZXl3b3JkPjxrZXl3b3JkPlJpc2sgRmFjdG9yczwva2V5d29yZD48a2V5d29yZD5TdXJ2
ZXlzIGFuZCBRdWVzdGlvbm5haXJlczwva2V5d29yZD48a2V5d29yZD4qVmVnZXRhYmxlczwva2V5
d29yZD48L2tleXdvcmRzPjxkYXRlcz48eWVhcj4yMDE4PC95ZWFyPjxwdWItZGF0ZXM+PGRhdGU+
TWF5PC9kYXRlPjwvcHViLWRhdGVzPjwvZGF0ZXM+PGlzYm4+MTQ3Ni01NjQwIChFbGVjdHJvbmlj
KSYjeEQ7MDk1NC0zMDA3IChMaW5raW5nKTwvaXNibj48YWNjZXNzaW9uLW51bT4yOTQzNDMxOTwv
YWNjZXNzaW9uLW51bT48dXJscz48cmVsYXRlZC11cmxzPjx1cmw+aHR0cHM6Ly93d3cubmNiaS5u
bG0ubmloLmdvdi9wdWJtZWQvMjk0MzQzMTk8L3VybD48L3JlbGF0ZWQtdXJscz48L3VybHM+PGVs
ZWN0cm9uaWMtcmVzb3VyY2UtbnVtPjEwLjEwMzgvczQxNDMwLTAxOC0wMTAyLTU8L2VsZWN0cm9u
aWMtcmVzb3VyY2UtbnVtPjwvcmVjb3JkPjwvQ2l0ZT48L0VuZE5vdGU+
</w:fldData>
        </w:fldChar>
      </w:r>
      <w:r w:rsidR="002747EA">
        <w:instrText xml:space="preserve"> ADDIN EN.CITE </w:instrText>
      </w:r>
      <w:r w:rsidR="002747EA">
        <w:fldChar w:fldCharType="begin">
          <w:fldData xml:space="preserve">PEVuZE5vdGU+PENpdGU+PEF1dGhvcj5PZ2F3YTwvQXV0aG9yPjxZZWFyPjIwMTg8L1llYXI+PFJl
Y051bT4xNzI5PC9SZWNOdW0+PERpc3BsYXlUZXh0PjxzdHlsZSBmYWNlPSJzdXBlcnNjcmlwdCIg
Zm9udD0iVHJlYnVjaGV0IE1TIiBzaXplPSI5Ij43Mzwvc3R5bGU+PC9EaXNwbGF5VGV4dD48cmVj
b3JkPjxyZWMtbnVtYmVyPjE3Mjk8L3JlYy1udW1iZXI+PGZvcmVpZ24ta2V5cz48a2V5IGFwcD0i
RU4iIGRiLWlkPSJleHZhc3JmeDJkdHJhb2VzYXN4cDJzenN4YTJkZjUwMjU5MngiIHRpbWVzdGFt
cD0iMTU4MjUwNjIxMyI+MTcyOTwva2V5PjxrZXkgYXBwPSJFTldlYiIgZGItaWQ9IiI+MDwva2V5
PjwvZm9yZWlnbi1rZXlzPjxyZWYtdHlwZSBuYW1lPSJKb3VybmFsIEFydGljbGUiPjE3PC9yZWYt
dHlwZT48Y29udHJpYnV0b3JzPjxhdXRob3JzPjxhdXRob3I+T2dhd2EsIEsuPC9hdXRob3I+PGF1
dGhvcj5Nb3Jpc2FraSwgTi48L2F1dGhvcj48YXV0aG9yPktvYmF5YXNoaSwgTS48L2F1dGhvcj48
YXV0aG9yPkp3YSwgUy4gQy48L2F1dGhvcj48YXV0aG9yPlRhbmksIFkuPC9hdXRob3I+PGF1dGhv
cj5TYWdvLCBILjwvYXV0aG9yPjxhdXRob3I+SG9yaWthd2EsIFIuPC9hdXRob3I+PGF1dGhvcj5G
dWppd2FyYSwgVC48L2F1dGhvcj48L2F1dGhvcnM+PC9jb250cmlidXRvcnM+PGF1dGgtYWRkcmVz
cz5EZXBhcnRtZW50IG9mIFNvY2lhbCBNZWRpY2luZSwgTmF0aW9uYWwgUmVzZWFyY2ggSW5zdGl0
dXRlIGZvciBDaGlsZCBIZWFsdGggYW5kIERldmVsb3BtZW50LCAyLTEwLTEgT2t1cmEsIFRva3lv
LCAxNTctODUzNSwgSmFwYW4uIG9nYXdhLWtAbmNjaGQuZ28uanAuJiN4RDtDZW50ZXIgZm9yIE1h
dGVybmFsLUZldGFsLCBOZW9uYXRhbCBhbmQgUmVwcm9kdWN0aXZlIE1lZGljaW5lLCBOYXRpb25h
bCBDZW50ZXIgZm9yIENoaWxkIEhlYWx0aCBhbmQgRGV2ZWxvcG1lbnQsIDItMTAtMSBPa3VyYSwg
VG9reW8sIDE1Ny04NTM1LCBKYXBhbi4gb2dhd2Eta0BuY2NoZC5nby5qcC4mI3hEO0NvbGxhYm9y
YXRpdmUgRGVwYXJ0bWVudHMgb2YgQWR2YW5jZWQgUGVkaWF0cmljIE1lZGljaW5lLCBHcmFkdWF0
ZSBTY2hvb2wgb2YgTWVkaWNpbmUsIFRvaG9rdSBVbml2ZXJzaXR5LCAyLTEgU2VpcnlvdHlvLCBh
b2JhLWt1LCBTZW5kYWlzaGksIDk4MC04NTc1LCBKYXBhbi4gb2dhd2Eta0BuY2NoZC5nby5qcC4m
I3hEO0RlcGFydG1lbnQgb2YgU29jaWFsIE1lZGljaW5lLCBOYXRpb25hbCBSZXNlYXJjaCBJbnN0
aXR1dGUgZm9yIENoaWxkIEhlYWx0aCBhbmQgRGV2ZWxvcG1lbnQsIDItMTAtMSBPa3VyYSwgVG9r
eW8sIDE1Ny04NTM1LCBKYXBhbi4mI3hEO0RlcGFydG1lbnQgb2YgRm9vZCBTY2llbmNlLCBPdHN1
bWEgV29tZW4mYXBvcztzIFVuaXZlcnNpdHksIDEyIFNhbmJhbmNobywgVG9reW8sIDEwMi04NTM3
LCBKYXBhbi4mI3hEO0RlcGFydG1lbnQgb2YgR2xvYmFsIEhlYWx0aCBQcm9tb3Rpb24sIFRva3lv
IE1lZGljYWwgYW5kIERlbnRhbCBVbml2ZXJzaXR5LCAxLTUtNDUgWXVzaGltYSwgVG9reW8sIDEx
My04NTEwLCBKYXBhbi4mI3hEO1Jlc2VhcmNoIEZlbGxvdyBvZiBKYXBhbiBTb2NpZXR5IGZvciB0
aGUgUHJvbW90aW9uIG9mIFNjaWVuY2UsIDUtMy0xLCBLb2ppbWFjaGksIFRva3lvLCBKYXBhbi4m
I3hEO0NlbnRlciBmb3IgTWF0ZXJuYWwtRmV0YWwsIE5lb25hdGFsIGFuZCBSZXByb2R1Y3RpdmUg
TWVkaWNpbmUsIE5hdGlvbmFsIENlbnRlciBmb3IgQ2hpbGQgSGVhbHRoIGFuZCBEZXZlbG9wbWVu
dCwgMi0xMC0xIE9rdXJhLCBUb2t5bywgMTU3LTg1MzUsIEphcGFuLiYjeEQ7Q29sbGFib3JhdGl2
ZSBEZXBhcnRtZW50cyBvZiBBZHZhbmNlZCBQZWRpYXRyaWMgTWVkaWNpbmUsIEdyYWR1YXRlIFNj
aG9vbCBvZiBNZWRpY2luZSwgVG9ob2t1IFVuaXZlcnNpdHksIDItMSBTZWlyeW90eW8sIGFvYmEt
a3UsIFNlbmRhaXNoaSwgOTgwLTg1NzUsIEphcGFuLiYjeEQ7RGl2aXNpb24gb2YgRW5kb2NyaW5v
bG9neSBhbmQgTWV0YWJvbGlzbSwgTmF0aW9uYWwgQ2VudGVyIGZvciBDaGlsZCBIZWFsdGggYW5k
IERldmVsb3BtZW50LCAyLTEwLTEgT2t1cmEsIFRva3lvLCAxNTctODUzNSwgSmFwYW4uPC9hdXRo
LWFkZHJlc3M+PHRpdGxlcz48dGl0bGU+TWF0ZXJuYWwgdmVnZXRhYmxlIGludGFrZSBpbiBlYXJs
eSBwcmVnbmFuY3kgYW5kIHdoZWV6ZSBpbiBvZmZzcHJpbmcgYXQgdGhlIGFnZSBvZiAyIHllYXJz
PC90aXRsZT48c2Vjb25kYXJ5LXRpdGxlPkV1ciBKIENsaW4gTnV0cjwvc2Vjb25kYXJ5LXRpdGxl
PjwvdGl0bGVzPjxwZXJpb2RpY2FsPjxmdWxsLXRpdGxlPkV1ciBKIENsaW4gTnV0cjwvZnVsbC10
aXRsZT48L3BlcmlvZGljYWw+PHBhZ2VzPjc2MS03NzE8L3BhZ2VzPjx2b2x1bWU+NzI8L3ZvbHVt
ZT48bnVtYmVyPjU8L251bWJlcj48ZWRpdGlvbj4yMDE4LzAyLzEzPC9lZGl0aW9uPjxrZXl3b3Jk
cz48a2V5d29yZD5Bc3RobWEvKmVwaWRlbWlvbG9neTwva2V5d29yZD48a2V5d29yZD5DaGlsZCwg
UHJlc2Nob29sPC9rZXl3b3JkPjxrZXl3b3JkPkRpZXQ8L2tleXdvcmQ+PGtleXdvcmQ+RmVtYWxl
PC9rZXl3b3JkPjxrZXl3b3JkPkh1bWFuczwva2V5d29yZD48a2V5d29yZD4qTWF0ZXJuYWwgTnV0
cml0aW9uYWwgUGh5c2lvbG9naWNhbCBQaGVub21lbmE8L2tleXdvcmQ+PGtleXdvcmQ+UHJlZ25h
bmN5PC9rZXl3b3JkPjxrZXl3b3JkPlByZW5hdGFsIEV4cG9zdXJlIERlbGF5ZWQgRWZmZWN0cy8q
ZXBpZGVtaW9sb2d5PC9rZXl3b3JkPjxrZXl3b3JkPlByZXZhbGVuY2U8L2tleXdvcmQ+PGtleXdv
cmQ+UHJvc3BlY3RpdmUgU3R1ZGllczwva2V5d29yZD48a2V5d29yZD4qUmVzcGlyYXRvcnkgU291
bmRzPC9rZXl3b3JkPjxrZXl3b3JkPlJpc2sgRmFjdG9yczwva2V5d29yZD48a2V5d29yZD5TdXJ2
ZXlzIGFuZCBRdWVzdGlvbm5haXJlczwva2V5d29yZD48a2V5d29yZD4qVmVnZXRhYmxlczwva2V5
d29yZD48L2tleXdvcmRzPjxkYXRlcz48eWVhcj4yMDE4PC95ZWFyPjxwdWItZGF0ZXM+PGRhdGU+
TWF5PC9kYXRlPjwvcHViLWRhdGVzPjwvZGF0ZXM+PGlzYm4+MTQ3Ni01NjQwIChFbGVjdHJvbmlj
KSYjeEQ7MDk1NC0zMDA3IChMaW5raW5nKTwvaXNibj48YWNjZXNzaW9uLW51bT4yOTQzNDMxOTwv
YWNjZXNzaW9uLW51bT48dXJscz48cmVsYXRlZC11cmxzPjx1cmw+aHR0cHM6Ly93d3cubmNiaS5u
bG0ubmloLmdvdi9wdWJtZWQvMjk0MzQzMTk8L3VybD48L3JlbGF0ZWQtdXJscz48L3VybHM+PGVs
ZWN0cm9uaWMtcmVzb3VyY2UtbnVtPjEwLjEwMzgvczQxNDMwLTAxOC0wMTAyLTU8L2VsZWN0cm9u
aWMtcmVzb3VyY2UtbnVtPjwvcmVjb3JkPjwvQ2l0ZT48L0VuZE5vdGU+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73</w:t>
      </w:r>
      <w:r w:rsidR="00774750">
        <w:fldChar w:fldCharType="end"/>
      </w:r>
      <w:r w:rsidR="009755A5" w:rsidRPr="007E5208">
        <w:t xml:space="preserve"> found that prevalence of wheeze at 2 years was lower with high versus low intake of cruciferous vegetables (</w:t>
      </w:r>
      <w:r w:rsidR="009755A5" w:rsidRPr="007E5208">
        <w:rPr>
          <w:sz w:val="16"/>
          <w:szCs w:val="16"/>
        </w:rPr>
        <w:t>aRR 0.48; 95%CI 0.26 to 0.89</w:t>
      </w:r>
      <w:r w:rsidR="009755A5" w:rsidRPr="007E5208">
        <w:t>) or folate-rich vegetables (</w:t>
      </w:r>
      <w:r w:rsidR="009755A5" w:rsidRPr="007E5208">
        <w:rPr>
          <w:sz w:val="16"/>
          <w:szCs w:val="16"/>
        </w:rPr>
        <w:t>aRR 0.47, 95%CI 0.25 to 0.87</w:t>
      </w:r>
      <w:r w:rsidR="009755A5" w:rsidRPr="007E5208">
        <w:t>).</w:t>
      </w:r>
    </w:p>
    <w:p w14:paraId="755669A5" w14:textId="4BD7F5E8" w:rsidR="00532DE7" w:rsidRPr="00D71146" w:rsidRDefault="00532DE7" w:rsidP="00D71146">
      <w:r w:rsidRPr="007E5208">
        <w:t>A cohort study (</w:t>
      </w:r>
      <w:r w:rsidRPr="007E5208">
        <w:rPr>
          <w:sz w:val="16"/>
          <w:szCs w:val="16"/>
        </w:rPr>
        <w:t>n=897</w:t>
      </w:r>
      <w:r w:rsidRPr="007E5208">
        <w:t>)</w:t>
      </w:r>
      <w:r w:rsidR="00774750">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 </w:instrText>
      </w:r>
      <w:r w:rsidR="002747EA">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74</w:t>
      </w:r>
      <w:r w:rsidR="00774750">
        <w:fldChar w:fldCharType="end"/>
      </w:r>
      <w:r w:rsidRPr="007E5208">
        <w:t xml:space="preserve"> found that asthma was inversely associated with higher daily average intake of vegetables (</w:t>
      </w:r>
      <w:r w:rsidRPr="007E5208">
        <w:rPr>
          <w:sz w:val="16"/>
          <w:szCs w:val="16"/>
        </w:rPr>
        <w:t>OR 0.96 per serving/day, 95% CI 0.88 to 1.05</w:t>
      </w:r>
      <w:r w:rsidRPr="007E5208">
        <w:t>).</w:t>
      </w:r>
    </w:p>
    <w:p w14:paraId="009E59ED" w14:textId="07F7CB2D" w:rsidR="00C9394B" w:rsidRDefault="00C9394B" w:rsidP="00C9394B">
      <w:pPr>
        <w:pStyle w:val="Heading4"/>
      </w:pPr>
      <w:r>
        <w:t>Childhood cancers</w:t>
      </w:r>
    </w:p>
    <w:p w14:paraId="55EC8322" w14:textId="650E2748" w:rsidR="00C9394B" w:rsidRDefault="00C9394B" w:rsidP="002E1093">
      <w:r>
        <w:t>A systematic review of case-control studies</w:t>
      </w:r>
      <w:r w:rsidR="00422CC9">
        <w:t xml:space="preserve"> </w:t>
      </w:r>
      <w:r w:rsidR="00422CC9" w:rsidRPr="001C127C">
        <w:t>(</w:t>
      </w:r>
      <w:r w:rsidR="00422CC9" w:rsidRPr="00D71146">
        <w:rPr>
          <w:sz w:val="16"/>
          <w:szCs w:val="16"/>
        </w:rPr>
        <w:t>2 studies, 413 cases, 490 controls</w:t>
      </w:r>
      <w:r w:rsidR="00422CC9" w:rsidRPr="001C127C">
        <w:t>)</w:t>
      </w:r>
      <w:r>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 </w:instrText>
      </w:r>
      <w:r w:rsidR="002747EA">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75</w:t>
      </w:r>
      <w:r>
        <w:fldChar w:fldCharType="end"/>
      </w:r>
      <w:r>
        <w:t xml:space="preserve"> found </w:t>
      </w:r>
      <w:r w:rsidR="00422CC9">
        <w:t xml:space="preserve">a lower risk of childhood leukaemia </w:t>
      </w:r>
      <w:r w:rsidR="00EF775D">
        <w:t xml:space="preserve">associated </w:t>
      </w:r>
      <w:r w:rsidR="00422CC9">
        <w:t xml:space="preserve">with </w:t>
      </w:r>
      <w:r w:rsidR="00EF775D">
        <w:t xml:space="preserve">maternal </w:t>
      </w:r>
      <w:r w:rsidR="00422CC9">
        <w:t>consumption of fruit (</w:t>
      </w:r>
      <w:r w:rsidR="00422CC9" w:rsidRPr="00D71146">
        <w:rPr>
          <w:sz w:val="16"/>
          <w:szCs w:val="16"/>
        </w:rPr>
        <w:t>OR: 0.81, 95% CI: 0.67 to 0.99</w:t>
      </w:r>
      <w:r w:rsidR="00422CC9" w:rsidRPr="001C127C">
        <w:t xml:space="preserve">); vegetables </w:t>
      </w:r>
      <w:r w:rsidR="00422CC9">
        <w:t>(</w:t>
      </w:r>
      <w:r w:rsidR="00422CC9" w:rsidRPr="00D71146">
        <w:rPr>
          <w:sz w:val="16"/>
          <w:szCs w:val="16"/>
        </w:rPr>
        <w:t>OR: 0.51, 95% CI: 0.28 to 0.94</w:t>
      </w:r>
      <w:r w:rsidR="00422CC9">
        <w:t xml:space="preserve">) and </w:t>
      </w:r>
      <w:r w:rsidR="00422CC9" w:rsidRPr="001C127C">
        <w:t>legumes</w:t>
      </w:r>
      <w:r w:rsidR="00422CC9">
        <w:t xml:space="preserve"> (</w:t>
      </w:r>
      <w:r w:rsidR="00422CC9" w:rsidRPr="00D71146">
        <w:rPr>
          <w:sz w:val="16"/>
          <w:szCs w:val="16"/>
        </w:rPr>
        <w:t>OR: 0.76, 95% CI: 0.62 to 0.94</w:t>
      </w:r>
      <w:r w:rsidR="00422CC9">
        <w:t>).</w:t>
      </w:r>
    </w:p>
    <w:p w14:paraId="35EF86CF" w14:textId="6870BA27" w:rsidR="00D71146" w:rsidRPr="002E1093" w:rsidRDefault="00D71146" w:rsidP="002E1093">
      <w:r>
        <w:t>A case-control study (</w:t>
      </w:r>
      <w:r w:rsidRPr="00457914">
        <w:rPr>
          <w:sz w:val="16"/>
          <w:szCs w:val="16"/>
        </w:rPr>
        <w:t>n=299</w:t>
      </w:r>
      <w:r>
        <w:t>)</w:t>
      </w:r>
      <w:r>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 </w:instrText>
      </w:r>
      <w:r w:rsidR="002747EA">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76</w:t>
      </w:r>
      <w:r>
        <w:fldChar w:fldCharType="end"/>
      </w:r>
      <w:r>
        <w:t xml:space="preserve"> observed </w:t>
      </w:r>
      <w:r w:rsidR="00724430">
        <w:t>a possible</w:t>
      </w:r>
      <w:r w:rsidRPr="001F7D2B">
        <w:t xml:space="preserve"> association between </w:t>
      </w:r>
      <w:r>
        <w:t xml:space="preserve">childhood </w:t>
      </w:r>
      <w:r w:rsidRPr="001F7D2B">
        <w:t xml:space="preserve">retinoblastoma and </w:t>
      </w:r>
      <w:r>
        <w:t xml:space="preserve">maternal </w:t>
      </w:r>
      <w:r w:rsidRPr="001F7D2B">
        <w:t>intake of fruit (</w:t>
      </w:r>
      <w:r w:rsidRPr="00D71146">
        <w:rPr>
          <w:sz w:val="16"/>
          <w:szCs w:val="16"/>
        </w:rPr>
        <w:t>OR 0.38, 95%CI 0.14 to 1.02</w:t>
      </w:r>
      <w:r>
        <w:t>)</w:t>
      </w:r>
      <w:r w:rsidRPr="001F7D2B">
        <w:t>.</w:t>
      </w:r>
    </w:p>
    <w:p w14:paraId="5156F5D7" w14:textId="77777777" w:rsidR="0079448D" w:rsidRDefault="0079448D" w:rsidP="0079448D">
      <w:pPr>
        <w:pStyle w:val="Heading3"/>
      </w:pPr>
      <w:bookmarkStart w:id="46" w:name="_Toc40956483"/>
      <w:r>
        <w:t>Meat</w:t>
      </w:r>
      <w:bookmarkEnd w:id="46"/>
    </w:p>
    <w:p w14:paraId="58FD8C9A" w14:textId="77777777" w:rsidR="00786654" w:rsidRDefault="00786654" w:rsidP="00786654">
      <w:pPr>
        <w:pStyle w:val="Heading4"/>
      </w:pPr>
      <w:r>
        <w:t>Childhood allergy</w:t>
      </w:r>
    </w:p>
    <w:p w14:paraId="51C07F93" w14:textId="5C568D74" w:rsidR="00786654" w:rsidRDefault="00661A0E" w:rsidP="00457914">
      <w:r>
        <w:t>In a cohort study (</w:t>
      </w:r>
      <w:r w:rsidRPr="00661A0E">
        <w:rPr>
          <w:sz w:val="16"/>
          <w:szCs w:val="16"/>
        </w:rPr>
        <w:t>n=1,000</w:t>
      </w:r>
      <w:r>
        <w:t>),</w:t>
      </w:r>
      <w:r w:rsidR="0087258C">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87258C">
        <w:fldChar w:fldCharType="separate"/>
      </w:r>
      <w:r w:rsidR="002747EA" w:rsidRPr="002747EA">
        <w:rPr>
          <w:noProof/>
          <w:vertAlign w:val="superscript"/>
        </w:rPr>
        <w:t>53</w:t>
      </w:r>
      <w:r w:rsidR="0087258C">
        <w:fldChar w:fldCharType="end"/>
      </w:r>
      <w:r>
        <w:t xml:space="preserve"> low meat consumption (once or twice a week) during pregnancy was protective against wheeze in the child (</w:t>
      </w:r>
      <w:r w:rsidRPr="00661A0E">
        <w:rPr>
          <w:sz w:val="16"/>
          <w:szCs w:val="16"/>
        </w:rPr>
        <w:t>p=0.039</w:t>
      </w:r>
      <w:r>
        <w:t>)</w:t>
      </w:r>
      <w:r w:rsidRPr="00880A17">
        <w:t>.</w:t>
      </w:r>
      <w:r>
        <w:t xml:space="preserve"> </w:t>
      </w:r>
    </w:p>
    <w:p w14:paraId="369DC733" w14:textId="52AE1116" w:rsidR="00786654" w:rsidRDefault="00786654" w:rsidP="00786654">
      <w:pPr>
        <w:pStyle w:val="Heading4"/>
      </w:pPr>
      <w:r>
        <w:t>Childhood cancers</w:t>
      </w:r>
    </w:p>
    <w:p w14:paraId="54DD5158" w14:textId="507B2028" w:rsidR="00457914" w:rsidRPr="00457914" w:rsidRDefault="00661A0E" w:rsidP="00457914">
      <w:r>
        <w:t>A case-control study (</w:t>
      </w:r>
      <w:r w:rsidRPr="00661A0E">
        <w:rPr>
          <w:sz w:val="16"/>
          <w:szCs w:val="16"/>
        </w:rPr>
        <w:t>n=199</w:t>
      </w:r>
      <w:r>
        <w:t>)</w:t>
      </w:r>
      <w:r>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 </w:instrText>
      </w:r>
      <w:r w:rsidR="002747EA">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76</w:t>
      </w:r>
      <w:r>
        <w:fldChar w:fldCharType="end"/>
      </w:r>
      <w:r>
        <w:t xml:space="preserve"> found a p</w:t>
      </w:r>
      <w:r w:rsidRPr="001F7D2B">
        <w:t>ositive association</w:t>
      </w:r>
      <w:r>
        <w:t xml:space="preserve"> between maternal</w:t>
      </w:r>
      <w:r w:rsidRPr="001F7D2B">
        <w:t xml:space="preserve"> intake of cured meats</w:t>
      </w:r>
      <w:r>
        <w:t xml:space="preserve"> and childhood </w:t>
      </w:r>
      <w:r w:rsidR="00501148">
        <w:t>retinoblastoma</w:t>
      </w:r>
      <w:r w:rsidRPr="001F7D2B">
        <w:t xml:space="preserve"> (</w:t>
      </w:r>
      <w:r w:rsidRPr="00661A0E">
        <w:rPr>
          <w:sz w:val="16"/>
          <w:szCs w:val="16"/>
        </w:rPr>
        <w:t>OR 5.07, 95 % CI 1.63 to 15.70</w:t>
      </w:r>
      <w:r w:rsidRPr="001F7D2B">
        <w:t>)</w:t>
      </w:r>
    </w:p>
    <w:p w14:paraId="3FC30393" w14:textId="55849D4D" w:rsidR="00122B25" w:rsidRDefault="00122B25" w:rsidP="00122B25">
      <w:pPr>
        <w:pStyle w:val="Heading3"/>
      </w:pPr>
      <w:bookmarkStart w:id="47" w:name="_Toc40956484"/>
      <w:r>
        <w:t>Fish</w:t>
      </w:r>
      <w:bookmarkEnd w:id="47"/>
    </w:p>
    <w:p w14:paraId="2DB664C9" w14:textId="65CD2528" w:rsidR="00970923" w:rsidRDefault="00786654" w:rsidP="00970923">
      <w:pPr>
        <w:pStyle w:val="Heading4"/>
      </w:pPr>
      <w:r>
        <w:t>Depression</w:t>
      </w:r>
    </w:p>
    <w:p w14:paraId="0249499B" w14:textId="4F8648DE" w:rsidR="00970923" w:rsidRPr="00970923" w:rsidRDefault="00970923" w:rsidP="00970923">
      <w:r>
        <w:t>A cohort study (</w:t>
      </w:r>
      <w:r w:rsidRPr="000939A9">
        <w:rPr>
          <w:sz w:val="16"/>
          <w:szCs w:val="16"/>
        </w:rPr>
        <w:t>n=</w:t>
      </w:r>
      <w:r w:rsidR="000939A9" w:rsidRPr="000939A9">
        <w:rPr>
          <w:sz w:val="16"/>
          <w:szCs w:val="16"/>
        </w:rPr>
        <w:t>12,418</w:t>
      </w:r>
      <w:r w:rsidR="000939A9">
        <w:t>)</w:t>
      </w:r>
      <w:r w:rsidR="000939A9">
        <w:fldChar w:fldCharType="begin">
          <w:fldData xml:space="preserve">PEVuZE5vdGU+PENpdGU+PEF1dGhvcj5FbW1ldHQ8L0F1dGhvcj48WWVhcj4yMDE1PC9ZZWFyPjxS
ZWNOdW0+MTM1OTwvUmVjTnVtPjxEaXNwbGF5VGV4dD48c3R5bGUgZmFjZT0ic3VwZXJzY3JpcHQi
IGZvbnQ9IlRyZWJ1Y2hldCBNUyIgc2l6ZT0iOSI+Nzc8L3N0eWxlPjwvRGlzcGxheVRleHQ+PHJl
Y29yZD48cmVjLW51bWJlcj4xMzU5PC9yZWMtbnVtYmVyPjxmb3JlaWduLWtleXM+PGtleSBhcHA9
IkVOIiBkYi1pZD0iZXh2YXNyZngyZHRyYW9lc2FzeHAyc3pzeGEyZGY1MDI1OTJ4IiB0aW1lc3Rh
bXA9IjE1NjcwMzEwNDUiPjEzNTk8L2tleT48a2V5IGFwcD0iRU5XZWIiIGRiLWlkPSIiPjA8L2tl
eT48L2ZvcmVpZ24ta2V5cz48cmVmLXR5cGUgbmFtZT0iSm91cm5hbCBBcnRpY2xlIj4xNzwvcmVm
LXR5cGU+PGNvbnRyaWJ1dG9ycz48YXV0aG9ycz48YXV0aG9yPkVtbWV0dCwgUC4gTS48L2F1dGhv
cj48YXV0aG9yPkpvbmVzLCBMLiBSLjwvYXV0aG9yPjxhdXRob3I+R29sZGluZywgSi48L2F1dGhv
cj48L2F1dGhvcnM+PC9jb250cmlidXRvcnM+PGF1dGgtYWRkcmVzcz5QLk0uIEVtbWV0dCBhbmQg
Si4gR29sZGluZyBhcmUgd2l0aCB0aGUgQ2VudHJlIGZvciBDaGlsZCBhbmQgQWRvbGVzY2VudCBI
ZWFsdGgsIFNjaG9vbCBvZiBTb2NpYWwgYW5kIENvbW11bml0eSBNZWRpY2luZSwgVW5pdmVyc2l0
eSBvZiBCcmlzdG9sLCBCcmlzdG9sLCBVSy4gTC5SLiBKb25lcyBpcyB3aXRoIHRoZSBTY2hvb2wg
b2YgU29jaWFsIGFuZCBDb21tdW5pdHkgTWVkaWNpbmUsIFVuaXZlcnNpdHkgb2YgQnJpc3RvbCwg
QnJpc3RvbCwgVUsuIHAubS5lbW1ldHRAYnJpc3RvbC5hYy51ay4mI3hEO1AuTS4gRW1tZXR0IGFu
ZCBKLiBHb2xkaW5nIGFyZSB3aXRoIHRoZSBDZW50cmUgZm9yIENoaWxkIGFuZCBBZG9sZXNjZW50
IEhlYWx0aCwgU2Nob29sIG9mIFNvY2lhbCBhbmQgQ29tbXVuaXR5IE1lZGljaW5lLCBVbml2ZXJz
aXR5IG9mIEJyaXN0b2wsIEJyaXN0b2wsIFVLLiBMLlIuIEpvbmVzIGlzIHdpdGggdGhlIFNjaG9v
bCBvZiBTb2NpYWwgYW5kIENvbW11bml0eSBNZWRpY2luZSwgVW5pdmVyc2l0eSBvZiBCcmlzdG9s
LCBCcmlzdG9sLCBVSy48L2F1dGgtYWRkcmVzcz48dGl0bGVzPjx0aXRsZT5QcmVnbmFuY3kgZGll
dCBhbmQgYXNzb2NpYXRlZCBvdXRjb21lcyBpbiB0aGUgQXZvbiBMb25naXR1ZGluYWwgU3R1ZHkg
b2YgUGFyZW50cyBhbmQgQ2hpbGRyZW48L3RpdGxlPjxzZWNvbmRhcnktdGl0bGU+TnV0ciBSZXY8
L3NlY29uZGFyeS10aXRsZT48L3RpdGxlcz48cGVyaW9kaWNhbD48ZnVsbC10aXRsZT5OdXRyIFJl
djwvZnVsbC10aXRsZT48L3BlcmlvZGljYWw+PHBhZ2VzPjE1NC03NDwvcGFnZXM+PHZvbHVtZT43
MyBTdXBwbCAzPC92b2x1bWU+PGVkaXRpb24+MjAxNS8wOS8yNDwvZWRpdGlvbj48a2V5d29yZHM+
PGtleXdvcmQ+QWR1bHQ8L2tleXdvcmQ+PGtleXdvcmQ+QW5pbWFsczwva2V5d29yZD48a2V5d29y
ZD5DaGlsZDwva2V5d29yZD48a2V5d29yZD5DaGlsZCBEZXZlbG9wbWVudDwva2V5d29yZD48a2V5
d29yZD5DaGlsZCBOdXRyaXRpb25hbCBQaHlzaW9sb2dpY2FsIFBoZW5vbWVuYTwva2V5d29yZD48
a2V5d29yZD4qRGlldDwva2V5d29yZD48a2V5d29yZD5EaWV0IFJlY29yZHM8L2tleXdvcmQ+PGtl
eXdvcmQ+RGlldCBTdXJ2ZXlzPC9rZXl3b3JkPjxrZXl3b3JkPkVuZ2xhbmQ8L2tleXdvcmQ+PGtl
eXdvcmQ+RmF0dHkgQWNpZHMsIE9tZWdhLTMvYWRtaW5pc3RyYXRpb24gJmFtcDsgZG9zYWdlPC9r
ZXl3b3JkPjxrZXl3b3JkPkZlbWFsZTwva2V5d29yZD48a2V5d29yZD5GZXRhbCBHcm93dGggUmV0
YXJkYXRpb24vZXBpZGVtaW9sb2d5PC9rZXl3b3JkPjxrZXl3b3JkPkZpc2hlczwva2V5d29yZD48
a2V5d29yZD5IdW1hbnM8L2tleXdvcmQ+PGtleXdvcmQ+TG9uZ2l0dWRpbmFsIFN0dWRpZXM8L2tl
eXdvcmQ+PGtleXdvcmQ+TWF0ZXJuYWwgSGVhbHRoPC9rZXl3b3JkPjxrZXl3b3JkPipNYXRlcm5h
bCBOdXRyaXRpb25hbCBQaHlzaW9sb2dpY2FsIFBoZW5vbWVuYTwva2V5d29yZD48a2V5d29yZD5N
ZW50YWwgRGlzb3JkZXJzL2NvbXBsaWNhdGlvbnM8L2tleXdvcmQ+PGtleXdvcmQ+TWljcm9udXRy
aWVudHMvYWRtaW5pc3RyYXRpb24gJmFtcDsgZG9zYWdlPC9rZXl3b3JkPjxrZXl3b3JkPlBhcmVu
dHM8L2tleXdvcmQ+PGtleXdvcmQ+UHJlZ25hbmN5PC9rZXl3b3JkPjxrZXl3b3JkPlByZWduYW5j
eSBDb21wbGljYXRpb25zPC9rZXl3b3JkPjxrZXl3b3JkPlByZWduYW5jeSBPdXRjb21lPC9rZXl3
b3JkPjxrZXl3b3JkPlByZW5hdGFsIEV4cG9zdXJlIERlbGF5ZWQgRWZmZWN0czwva2V5d29yZD48
a2V5d29yZD5TZWFmb29kPC9rZXl3b3JkPjxrZXl3b3JkPlN1cnZleXMgYW5kIFF1ZXN0aW9ubmFp
cmVzPC9rZXl3b3JkPjxrZXl3b3JkPkFsc3BhYzwva2V5d29yZD48a2V5d29yZD5GZnE8L2tleXdv
cmQ+PGtleXdvcmQ+Y2hpbGRob29kIGRpZXQ8L2tleXdvcmQ+PGtleXdvcmQ+ZGlldCBkdXJpbmcg
cHJlZ25hbmN5PC9rZXl3b3JkPjxrZXl3b3JkPmZpc2g8L2tleXdvcmQ+PGtleXdvcmQ+Zm9sYXRl
PC9rZXl3b3JkPjxrZXl3b3JkPmlvZGluZTwva2V5d29yZD48a2V5d29yZD5pcm9uPC9rZXl3b3Jk
PjxrZXl3b3JkPm1hZ25lc2l1bTwva2V5d29yZD48a2V5d29yZD5tZXJjdXJ5PC9rZXl3b3JkPjxr
ZXl3b3JkPm4tMyBwb2x5dW5zYXR1cmF0ZWQgZmF0dHkgYWNpZHM8L2tleXdvcmQ+PGtleXdvcmQ+
bmV1cm9jb2duaXRpdmUgZGV2ZWxvcG1lbnQ8L2tleXdvcmQ+PGtleXdvcmQ+cG90YXNzaXVtPC9r
ZXl3b3JkPjwva2V5d29yZHM+PGRhdGVzPjx5ZWFyPjIwMTU8L3llYXI+PHB1Yi1kYXRlcz48ZGF0
ZT5PY3Q8L2RhdGU+PC9wdWItZGF0ZXM+PC9kYXRlcz48aXNibj4xNzUzLTQ4ODcgKEVsZWN0cm9u
aWMpJiN4RDswMDI5LTY2NDMgKExpbmtpbmcpPC9pc2JuPjxhY2Nlc3Npb24tbnVtPjI2Mzk1MzQx
PC9hY2Nlc3Npb24tbnVtPjx1cmxzPjxyZWxhdGVkLXVybHM+PHVybD5odHRwczovL3d3dy5uY2Jp
Lm5sbS5uaWguZ292L3B1Ym1lZC8yNjM5NTM0MTwvdXJsPjwvcmVsYXRlZC11cmxzPjwvdXJscz48
Y3VzdG9tMj5QTUM0NTg2NDUxPC9jdXN0b20yPjxlbGVjdHJvbmljLXJlc291cmNlLW51bT4xMC4x
MDkzL251dHJpdC9udXYwNTM8L2VsZWN0cm9uaWMtcmVzb3VyY2UtbnVtPjwvcmVjb3JkPjwvQ2l0
ZT48L0VuZE5vdGU+
</w:fldData>
        </w:fldChar>
      </w:r>
      <w:r w:rsidR="002747EA">
        <w:instrText xml:space="preserve"> ADDIN EN.CITE </w:instrText>
      </w:r>
      <w:r w:rsidR="002747EA">
        <w:fldChar w:fldCharType="begin">
          <w:fldData xml:space="preserve">PEVuZE5vdGU+PENpdGU+PEF1dGhvcj5FbW1ldHQ8L0F1dGhvcj48WWVhcj4yMDE1PC9ZZWFyPjxS
ZWNOdW0+MTM1OTwvUmVjTnVtPjxEaXNwbGF5VGV4dD48c3R5bGUgZmFjZT0ic3VwZXJzY3JpcHQi
IGZvbnQ9IlRyZWJ1Y2hldCBNUyIgc2l6ZT0iOSI+Nzc8L3N0eWxlPjwvRGlzcGxheVRleHQ+PHJl
Y29yZD48cmVjLW51bWJlcj4xMzU5PC9yZWMtbnVtYmVyPjxmb3JlaWduLWtleXM+PGtleSBhcHA9
IkVOIiBkYi1pZD0iZXh2YXNyZngyZHRyYW9lc2FzeHAyc3pzeGEyZGY1MDI1OTJ4IiB0aW1lc3Rh
bXA9IjE1NjcwMzEwNDUiPjEzNTk8L2tleT48a2V5IGFwcD0iRU5XZWIiIGRiLWlkPSIiPjA8L2tl
eT48L2ZvcmVpZ24ta2V5cz48cmVmLXR5cGUgbmFtZT0iSm91cm5hbCBBcnRpY2xlIj4xNzwvcmVm
LXR5cGU+PGNvbnRyaWJ1dG9ycz48YXV0aG9ycz48YXV0aG9yPkVtbWV0dCwgUC4gTS48L2F1dGhv
cj48YXV0aG9yPkpvbmVzLCBMLiBSLjwvYXV0aG9yPjxhdXRob3I+R29sZGluZywgSi48L2F1dGhv
cj48L2F1dGhvcnM+PC9jb250cmlidXRvcnM+PGF1dGgtYWRkcmVzcz5QLk0uIEVtbWV0dCBhbmQg
Si4gR29sZGluZyBhcmUgd2l0aCB0aGUgQ2VudHJlIGZvciBDaGlsZCBhbmQgQWRvbGVzY2VudCBI
ZWFsdGgsIFNjaG9vbCBvZiBTb2NpYWwgYW5kIENvbW11bml0eSBNZWRpY2luZSwgVW5pdmVyc2l0
eSBvZiBCcmlzdG9sLCBCcmlzdG9sLCBVSy4gTC5SLiBKb25lcyBpcyB3aXRoIHRoZSBTY2hvb2wg
b2YgU29jaWFsIGFuZCBDb21tdW5pdHkgTWVkaWNpbmUsIFVuaXZlcnNpdHkgb2YgQnJpc3RvbCwg
QnJpc3RvbCwgVUsuIHAubS5lbW1ldHRAYnJpc3RvbC5hYy51ay4mI3hEO1AuTS4gRW1tZXR0IGFu
ZCBKLiBHb2xkaW5nIGFyZSB3aXRoIHRoZSBDZW50cmUgZm9yIENoaWxkIGFuZCBBZG9sZXNjZW50
IEhlYWx0aCwgU2Nob29sIG9mIFNvY2lhbCBhbmQgQ29tbXVuaXR5IE1lZGljaW5lLCBVbml2ZXJz
aXR5IG9mIEJyaXN0b2wsIEJyaXN0b2wsIFVLLiBMLlIuIEpvbmVzIGlzIHdpdGggdGhlIFNjaG9v
bCBvZiBTb2NpYWwgYW5kIENvbW11bml0eSBNZWRpY2luZSwgVW5pdmVyc2l0eSBvZiBCcmlzdG9s
LCBCcmlzdG9sLCBVSy48L2F1dGgtYWRkcmVzcz48dGl0bGVzPjx0aXRsZT5QcmVnbmFuY3kgZGll
dCBhbmQgYXNzb2NpYXRlZCBvdXRjb21lcyBpbiB0aGUgQXZvbiBMb25naXR1ZGluYWwgU3R1ZHkg
b2YgUGFyZW50cyBhbmQgQ2hpbGRyZW48L3RpdGxlPjxzZWNvbmRhcnktdGl0bGU+TnV0ciBSZXY8
L3NlY29uZGFyeS10aXRsZT48L3RpdGxlcz48cGVyaW9kaWNhbD48ZnVsbC10aXRsZT5OdXRyIFJl
djwvZnVsbC10aXRsZT48L3BlcmlvZGljYWw+PHBhZ2VzPjE1NC03NDwvcGFnZXM+PHZvbHVtZT43
MyBTdXBwbCAzPC92b2x1bWU+PGVkaXRpb24+MjAxNS8wOS8yNDwvZWRpdGlvbj48a2V5d29yZHM+
PGtleXdvcmQ+QWR1bHQ8L2tleXdvcmQ+PGtleXdvcmQ+QW5pbWFsczwva2V5d29yZD48a2V5d29y
ZD5DaGlsZDwva2V5d29yZD48a2V5d29yZD5DaGlsZCBEZXZlbG9wbWVudDwva2V5d29yZD48a2V5
d29yZD5DaGlsZCBOdXRyaXRpb25hbCBQaHlzaW9sb2dpY2FsIFBoZW5vbWVuYTwva2V5d29yZD48
a2V5d29yZD4qRGlldDwva2V5d29yZD48a2V5d29yZD5EaWV0IFJlY29yZHM8L2tleXdvcmQ+PGtl
eXdvcmQ+RGlldCBTdXJ2ZXlzPC9rZXl3b3JkPjxrZXl3b3JkPkVuZ2xhbmQ8L2tleXdvcmQ+PGtl
eXdvcmQ+RmF0dHkgQWNpZHMsIE9tZWdhLTMvYWRtaW5pc3RyYXRpb24gJmFtcDsgZG9zYWdlPC9r
ZXl3b3JkPjxrZXl3b3JkPkZlbWFsZTwva2V5d29yZD48a2V5d29yZD5GZXRhbCBHcm93dGggUmV0
YXJkYXRpb24vZXBpZGVtaW9sb2d5PC9rZXl3b3JkPjxrZXl3b3JkPkZpc2hlczwva2V5d29yZD48
a2V5d29yZD5IdW1hbnM8L2tleXdvcmQ+PGtleXdvcmQ+TG9uZ2l0dWRpbmFsIFN0dWRpZXM8L2tl
eXdvcmQ+PGtleXdvcmQ+TWF0ZXJuYWwgSGVhbHRoPC9rZXl3b3JkPjxrZXl3b3JkPipNYXRlcm5h
bCBOdXRyaXRpb25hbCBQaHlzaW9sb2dpY2FsIFBoZW5vbWVuYTwva2V5d29yZD48a2V5d29yZD5N
ZW50YWwgRGlzb3JkZXJzL2NvbXBsaWNhdGlvbnM8L2tleXdvcmQ+PGtleXdvcmQ+TWljcm9udXRy
aWVudHMvYWRtaW5pc3RyYXRpb24gJmFtcDsgZG9zYWdlPC9rZXl3b3JkPjxrZXl3b3JkPlBhcmVu
dHM8L2tleXdvcmQ+PGtleXdvcmQ+UHJlZ25hbmN5PC9rZXl3b3JkPjxrZXl3b3JkPlByZWduYW5j
eSBDb21wbGljYXRpb25zPC9rZXl3b3JkPjxrZXl3b3JkPlByZWduYW5jeSBPdXRjb21lPC9rZXl3
b3JkPjxrZXl3b3JkPlByZW5hdGFsIEV4cG9zdXJlIERlbGF5ZWQgRWZmZWN0czwva2V5d29yZD48
a2V5d29yZD5TZWFmb29kPC9rZXl3b3JkPjxrZXl3b3JkPlN1cnZleXMgYW5kIFF1ZXN0aW9ubmFp
cmVzPC9rZXl3b3JkPjxrZXl3b3JkPkFsc3BhYzwva2V5d29yZD48a2V5d29yZD5GZnE8L2tleXdv
cmQ+PGtleXdvcmQ+Y2hpbGRob29kIGRpZXQ8L2tleXdvcmQ+PGtleXdvcmQ+ZGlldCBkdXJpbmcg
cHJlZ25hbmN5PC9rZXl3b3JkPjxrZXl3b3JkPmZpc2g8L2tleXdvcmQ+PGtleXdvcmQ+Zm9sYXRl
PC9rZXl3b3JkPjxrZXl3b3JkPmlvZGluZTwva2V5d29yZD48a2V5d29yZD5pcm9uPC9rZXl3b3Jk
PjxrZXl3b3JkPm1hZ25lc2l1bTwva2V5d29yZD48a2V5d29yZD5tZXJjdXJ5PC9rZXl3b3JkPjxr
ZXl3b3JkPm4tMyBwb2x5dW5zYXR1cmF0ZWQgZmF0dHkgYWNpZHM8L2tleXdvcmQ+PGtleXdvcmQ+
bmV1cm9jb2duaXRpdmUgZGV2ZWxvcG1lbnQ8L2tleXdvcmQ+PGtleXdvcmQ+cG90YXNzaXVtPC9r
ZXl3b3JkPjwva2V5d29yZHM+PGRhdGVzPjx5ZWFyPjIwMTU8L3llYXI+PHB1Yi1kYXRlcz48ZGF0
ZT5PY3Q8L2RhdGU+PC9wdWItZGF0ZXM+PC9kYXRlcz48aXNibj4xNzUzLTQ4ODcgKEVsZWN0cm9u
aWMpJiN4RDswMDI5LTY2NDMgKExpbmtpbmcpPC9pc2JuPjxhY2Nlc3Npb24tbnVtPjI2Mzk1MzQx
PC9hY2Nlc3Npb24tbnVtPjx1cmxzPjxyZWxhdGVkLXVybHM+PHVybD5odHRwczovL3d3dy5uY2Jp
Lm5sbS5uaWguZ292L3B1Ym1lZC8yNjM5NTM0MTwvdXJsPjwvcmVsYXRlZC11cmxzPjwvdXJscz48
Y3VzdG9tMj5QTUM0NTg2NDUxPC9jdXN0b20yPjxlbGVjdHJvbmljLXJlc291cmNlLW51bT4xMC4x
MDkzL251dHJpdC9udXYwNTM8L2VsZWN0cm9uaWMtcmVzb3VyY2UtbnVtPjwvcmVjb3JkPjwvQ2l0
ZT48L0VuZE5vdGU+
</w:fldData>
        </w:fldChar>
      </w:r>
      <w:r w:rsidR="002747EA">
        <w:instrText xml:space="preserve"> ADDIN EN.CITE.DATA </w:instrText>
      </w:r>
      <w:r w:rsidR="002747EA">
        <w:fldChar w:fldCharType="end"/>
      </w:r>
      <w:r w:rsidR="000939A9">
        <w:fldChar w:fldCharType="separate"/>
      </w:r>
      <w:r w:rsidR="002747EA" w:rsidRPr="002747EA">
        <w:rPr>
          <w:noProof/>
          <w:vertAlign w:val="superscript"/>
        </w:rPr>
        <w:t>77</w:t>
      </w:r>
      <w:r w:rsidR="000939A9">
        <w:fldChar w:fldCharType="end"/>
      </w:r>
      <w:r w:rsidR="000939A9">
        <w:t xml:space="preserve"> found that, c</w:t>
      </w:r>
      <w:r w:rsidR="000939A9" w:rsidRPr="005B3A40">
        <w:t xml:space="preserve">ompared with women consuming </w:t>
      </w:r>
      <w:r w:rsidR="000939A9">
        <w:t xml:space="preserve">more than three portions of </w:t>
      </w:r>
      <w:r w:rsidR="000939A9" w:rsidRPr="005B3A40">
        <w:t xml:space="preserve">seafood </w:t>
      </w:r>
      <w:r w:rsidR="000939A9">
        <w:t xml:space="preserve">a week, </w:t>
      </w:r>
      <w:r w:rsidR="000939A9" w:rsidRPr="005B3A40">
        <w:t xml:space="preserve">those consuming </w:t>
      </w:r>
      <w:r w:rsidR="000939A9">
        <w:t>no seafood</w:t>
      </w:r>
      <w:r w:rsidR="000939A9" w:rsidRPr="005B3A40">
        <w:t xml:space="preserve"> were more likely to</w:t>
      </w:r>
      <w:r w:rsidR="000939A9">
        <w:t xml:space="preserve"> </w:t>
      </w:r>
      <w:r w:rsidR="000939A9" w:rsidRPr="005B3A40">
        <w:t>have frequent depressive symptoms at 32 weeks of pregnancy</w:t>
      </w:r>
      <w:r w:rsidR="000939A9">
        <w:t xml:space="preserve"> </w:t>
      </w:r>
      <w:r w:rsidR="000939A9" w:rsidRPr="005B3A40">
        <w:t>(</w:t>
      </w:r>
      <w:r w:rsidR="000939A9" w:rsidRPr="000939A9">
        <w:rPr>
          <w:sz w:val="16"/>
          <w:szCs w:val="16"/>
        </w:rPr>
        <w:t>aOR 1.54; 95%CI 1.25 to 1.89</w:t>
      </w:r>
      <w:r w:rsidR="000939A9" w:rsidRPr="005B3A40">
        <w:t>).</w:t>
      </w:r>
    </w:p>
    <w:p w14:paraId="01D97896" w14:textId="77777777" w:rsidR="00EF775D" w:rsidRDefault="00EF775D" w:rsidP="00970923">
      <w:pPr>
        <w:pStyle w:val="Heading4"/>
      </w:pPr>
      <w:r>
        <w:t>Preterm birth</w:t>
      </w:r>
    </w:p>
    <w:p w14:paraId="7AED4CF3" w14:textId="40B64BE0" w:rsidR="00EF775D" w:rsidRDefault="00EF775D" w:rsidP="00EF775D">
      <w:r>
        <w:t>A cohort study (</w:t>
      </w:r>
      <w:r w:rsidRPr="005022AF">
        <w:rPr>
          <w:sz w:val="16"/>
          <w:szCs w:val="16"/>
        </w:rPr>
        <w:t>n=3,279</w:t>
      </w:r>
      <w:r>
        <w:t>)</w:t>
      </w:r>
      <w:r>
        <w:fldChar w:fldCharType="begin">
          <w:fldData xml:space="preserve">PEVuZE5vdGU+PENpdGU+PEF1dGhvcj5Nb2hhbnR5PC9BdXRob3I+PFllYXI+MjAxNjwvWWVhcj48
UmVjTnVtPjEzNjg8L1JlY051bT48RGlzcGxheVRleHQ+PHN0eWxlIGZhY2U9InN1cGVyc2NyaXB0
IiBmb250PSJUcmVidWNoZXQgTVMiIHNpemU9IjkiPjc4PC9zdHlsZT48L0Rpc3BsYXlUZXh0Pjxy
ZWNvcmQ+PHJlYy1udW1iZXI+MTM2ODwvcmVjLW51bWJlcj48Zm9yZWlnbi1rZXlzPjxrZXkgYXBw
PSJFTiIgZGItaWQ9ImV4dmFzcmZ4MmR0cmFvZXNhc3hwMnN6c3hhMmRmNTAyNTkyeCIgdGltZXN0
YW1wPSIxNTY3MDMxMDc5Ij4xMzY4PC9rZXk+PGtleSBhcHA9IkVOV2ViIiBkYi1pZD0iIj4wPC9r
ZXk+PC9mb3JlaWduLWtleXM+PHJlZi10eXBlIG5hbWU9IkpvdXJuYWwgQXJ0aWNsZSI+MTc8L3Jl
Zi10eXBlPjxjb250cmlidXRvcnM+PGF1dGhvcnM+PGF1dGhvcj5Nb2hhbnR5LCBBLiBGLjwvYXV0
aG9yPjxhdXRob3I+U2lzY292aWNrLCBELiBTLjwvYXV0aG9yPjxhdXRob3I+V2lsbGlhbXMsIE0u
IEEuPC9hdXRob3I+PGF1dGhvcj5UaG9tcHNvbiwgTS4gTC48L2F1dGhvcj48YXV0aG9yPkJ1cmJh
Y2hlciwgVC4gTS48L2F1dGhvcj48YXV0aG9yPkVucXVvYmFocmllLCBELiBBLjwvYXV0aG9yPjwv
YXV0aG9ycz48L2NvbnRyaWJ1dG9ycz48YXV0aC1hZGRyZXNzPjFDYXJkaW92YXNjdWxhciBIZWFs
dGggUmVzZWFyY2ggVW5pdCxEZXBhcnRtZW50IG9mIE1lZGljaW5lIGFuZCBEZXBhcnRtZW50IG9m
IEVwaWRlbWlvbG9neSxVbml2ZXJzaXR5IG9mIFdhc2hpbmd0b24sU2VhdHRsZSxXQSxVU0EuJiN4
RDsyRGVwYXJ0bWVudCBvZiBFcGlkZW1pb2xvZ3ksSGFydmFyZCBTY2hvb2wgb2YgUHVibGljIEhl
YWx0aCxCb3N0b24sTUEsVVNBLiYjeEQ7M0RlcGFydG1lbnQgb2YgQmlvc3RhdGlzdGljcyxVbml2
ZXJzaXR5IG9mIFdhc2hpbmd0b24sU2VhdHRsZSxXQSxVU0EuJiN4RDs0RGVwYXJ0bWVudCBvZiBF
bnZpcm9ubWVudGFsIGFuZCBPY2N1cGF0aW9uYWwgSGVhbHRoIFNjaWVuY2VzLFVuaXZlcnNpdHkg
b2YgV2FzaGluZ3RvbixTZWF0dGxlLFdBLFVTQS48L2F1dGgtYWRkcmVzcz48dGl0bGVzPjx0aXRs
ZT5QZXJpY29uY2VwdGlvbmFsIHNlYWZvb2QgaW50YWtlIGFuZCBwcmVnbmFuY3kgY29tcGxpY2F0
aW9uczwvdGl0bGU+PHNlY29uZGFyeS10aXRsZT5QdWJsaWMgSGVhbHRoIE51dHI8L3NlY29uZGFy
eS10aXRsZT48L3RpdGxlcz48cGVyaW9kaWNhbD48ZnVsbC10aXRsZT5QdWJsaWMgSGVhbHRoIE51
dHI8L2Z1bGwtdGl0bGU+PC9wZXJpb2RpY2FsPjxwYWdlcz4xNzk1LTgwMzwvcGFnZXM+PHZvbHVt
ZT4xOTwvdm9sdW1lPjxudW1iZXI+MTA8L251bWJlcj48ZWRpdGlvbj4yMDE1LzEyLzAzPC9lZGl0
aW9uPjxrZXl3b3Jkcz48a2V5d29yZD5BZHVsdDwva2V5d29yZD48a2V5d29yZD5BbmltYWxzPC9r
ZXl3b3JkPjxrZXl3b3JkPkRpYWJldGVzLCBHZXN0YXRpb25hbC9lcGlkZW1pb2xvZ3k8L2tleXdv
cmQ+PGtleXdvcmQ+KkRpZXQ8L2tleXdvcmQ+PGtleXdvcmQ+RmF0dHkgQWNpZHMsIE9tZWdhLTM8
L2tleXdvcmQ+PGtleXdvcmQ+RmVtYWxlPC9rZXl3b3JkPjxrZXl3b3JkPkh1bWFuczwva2V5d29y
ZD48a2V5d29yZD5IeXBlcnRlbnNpb24sIFByZWduYW5jeS1JbmR1Y2VkL2VwaWRlbWlvbG9neTwv
a2V5d29yZD48a2V5d29yZD4qTWF0ZXJuYWwgTnV0cml0aW9uYWwgUGh5c2lvbG9naWNhbCBQaGVu
b21lbmE8L2tleXdvcmQ+PGtleXdvcmQ+UHJlLUVjbGFtcHNpYS9lcGlkZW1pb2xvZ3k8L2tleXdv
cmQ+PGtleXdvcmQ+UHJlZ25hbmN5PC9rZXl3b3JkPjxrZXl3b3JkPlByZWduYW5jeSBDb21wbGlj
YXRpb25zLyplcGlkZW1pb2xvZ3k8L2tleXdvcmQ+PGtleXdvcmQ+UHJlbWF0dXJlIEJpcnRoL2Vw
aWRlbWlvbG9neTwva2V5d29yZD48a2V5d29yZD5Qcm9zcGVjdGl2ZSBTdHVkaWVzPC9rZXl3b3Jk
PjxrZXl3b3JkPipTZWFmb29kPC9rZXl3b3JkPjxrZXl3b3JkPldhc2hpbmd0b248L2tleXdvcmQ+
PGtleXdvcmQ+KkxlYW4gZmlzaDwva2V5d29yZD48a2V5d29yZD4qUHJlZ25hbmN5PC9rZXl3b3Jk
PjxrZXl3b3JkPipQcmVnbmFuY3kgY29tcGxpY2F0aW9uPC9rZXl3b3JkPjxrZXl3b3JkPipQcmV0
ZXJtIGJpcnRoPC9rZXl3b3JkPjxrZXl3b3JkPipTZWFmb29kIGludGFrZTwva2V5d29yZD48L2tl
eXdvcmRzPjxkYXRlcz48eWVhcj4yMDE2PC95ZWFyPjxwdWItZGF0ZXM+PGRhdGU+SnVsPC9kYXRl
PjwvcHViLWRhdGVzPjwvZGF0ZXM+PGlzYm4+MTQ3NS0yNzI3IChFbGVjdHJvbmljKSYjeEQ7MTM2
OC05ODAwIChMaW5raW5nKTwvaXNibj48YWNjZXNzaW9uLW51bT4yNjYyNjcwMjwvYWNjZXNzaW9u
LW51bT48dXJscz48cmVsYXRlZC11cmxzPjx1cmw+aHR0cHM6Ly93d3cubmNiaS5ubG0ubmloLmdv
di9wdWJtZWQvMjY2MjY3MDI8L3VybD48L3JlbGF0ZWQtdXJscz48L3VybHM+PGN1c3RvbTI+UE1D
NTUwMDI1OTwvY3VzdG9tMj48ZWxlY3Ryb25pYy1yZXNvdXJjZS1udW0+MTAuMTAxNy9TMTM2ODk4
MDAxNTAwMzE2WDwvZWxlY3Ryb25pYy1yZXNvdXJjZS1udW0+PC9yZWNvcmQ+PC9DaXRlPjwvRW5k
Tm90ZT5=
</w:fldData>
        </w:fldChar>
      </w:r>
      <w:r w:rsidR="002747EA">
        <w:instrText xml:space="preserve"> ADDIN EN.CITE </w:instrText>
      </w:r>
      <w:r w:rsidR="002747EA">
        <w:fldChar w:fldCharType="begin">
          <w:fldData xml:space="preserve">PEVuZE5vdGU+PENpdGU+PEF1dGhvcj5Nb2hhbnR5PC9BdXRob3I+PFllYXI+MjAxNjwvWWVhcj48
UmVjTnVtPjEzNjg8L1JlY051bT48RGlzcGxheVRleHQ+PHN0eWxlIGZhY2U9InN1cGVyc2NyaXB0
IiBmb250PSJUcmVidWNoZXQgTVMiIHNpemU9IjkiPjc4PC9zdHlsZT48L0Rpc3BsYXlUZXh0Pjxy
ZWNvcmQ+PHJlYy1udW1iZXI+MTM2ODwvcmVjLW51bWJlcj48Zm9yZWlnbi1rZXlzPjxrZXkgYXBw
PSJFTiIgZGItaWQ9ImV4dmFzcmZ4MmR0cmFvZXNhc3hwMnN6c3hhMmRmNTAyNTkyeCIgdGltZXN0
YW1wPSIxNTY3MDMxMDc5Ij4xMzY4PC9rZXk+PGtleSBhcHA9IkVOV2ViIiBkYi1pZD0iIj4wPC9r
ZXk+PC9mb3JlaWduLWtleXM+PHJlZi10eXBlIG5hbWU9IkpvdXJuYWwgQXJ0aWNsZSI+MTc8L3Jl
Zi10eXBlPjxjb250cmlidXRvcnM+PGF1dGhvcnM+PGF1dGhvcj5Nb2hhbnR5LCBBLiBGLjwvYXV0
aG9yPjxhdXRob3I+U2lzY292aWNrLCBELiBTLjwvYXV0aG9yPjxhdXRob3I+V2lsbGlhbXMsIE0u
IEEuPC9hdXRob3I+PGF1dGhvcj5UaG9tcHNvbiwgTS4gTC48L2F1dGhvcj48YXV0aG9yPkJ1cmJh
Y2hlciwgVC4gTS48L2F1dGhvcj48YXV0aG9yPkVucXVvYmFocmllLCBELiBBLjwvYXV0aG9yPjwv
YXV0aG9ycz48L2NvbnRyaWJ1dG9ycz48YXV0aC1hZGRyZXNzPjFDYXJkaW92YXNjdWxhciBIZWFs
dGggUmVzZWFyY2ggVW5pdCxEZXBhcnRtZW50IG9mIE1lZGljaW5lIGFuZCBEZXBhcnRtZW50IG9m
IEVwaWRlbWlvbG9neSxVbml2ZXJzaXR5IG9mIFdhc2hpbmd0b24sU2VhdHRsZSxXQSxVU0EuJiN4
RDsyRGVwYXJ0bWVudCBvZiBFcGlkZW1pb2xvZ3ksSGFydmFyZCBTY2hvb2wgb2YgUHVibGljIEhl
YWx0aCxCb3N0b24sTUEsVVNBLiYjeEQ7M0RlcGFydG1lbnQgb2YgQmlvc3RhdGlzdGljcyxVbml2
ZXJzaXR5IG9mIFdhc2hpbmd0b24sU2VhdHRsZSxXQSxVU0EuJiN4RDs0RGVwYXJ0bWVudCBvZiBF
bnZpcm9ubWVudGFsIGFuZCBPY2N1cGF0aW9uYWwgSGVhbHRoIFNjaWVuY2VzLFVuaXZlcnNpdHkg
b2YgV2FzaGluZ3RvbixTZWF0dGxlLFdBLFVTQS48L2F1dGgtYWRkcmVzcz48dGl0bGVzPjx0aXRs
ZT5QZXJpY29uY2VwdGlvbmFsIHNlYWZvb2QgaW50YWtlIGFuZCBwcmVnbmFuY3kgY29tcGxpY2F0
aW9uczwvdGl0bGU+PHNlY29uZGFyeS10aXRsZT5QdWJsaWMgSGVhbHRoIE51dHI8L3NlY29uZGFy
eS10aXRsZT48L3RpdGxlcz48cGVyaW9kaWNhbD48ZnVsbC10aXRsZT5QdWJsaWMgSGVhbHRoIE51
dHI8L2Z1bGwtdGl0bGU+PC9wZXJpb2RpY2FsPjxwYWdlcz4xNzk1LTgwMzwvcGFnZXM+PHZvbHVt
ZT4xOTwvdm9sdW1lPjxudW1iZXI+MTA8L251bWJlcj48ZWRpdGlvbj4yMDE1LzEyLzAzPC9lZGl0
aW9uPjxrZXl3b3Jkcz48a2V5d29yZD5BZHVsdDwva2V5d29yZD48a2V5d29yZD5BbmltYWxzPC9r
ZXl3b3JkPjxrZXl3b3JkPkRpYWJldGVzLCBHZXN0YXRpb25hbC9lcGlkZW1pb2xvZ3k8L2tleXdv
cmQ+PGtleXdvcmQ+KkRpZXQ8L2tleXdvcmQ+PGtleXdvcmQ+RmF0dHkgQWNpZHMsIE9tZWdhLTM8
L2tleXdvcmQ+PGtleXdvcmQ+RmVtYWxlPC9rZXl3b3JkPjxrZXl3b3JkPkh1bWFuczwva2V5d29y
ZD48a2V5d29yZD5IeXBlcnRlbnNpb24sIFByZWduYW5jeS1JbmR1Y2VkL2VwaWRlbWlvbG9neTwv
a2V5d29yZD48a2V5d29yZD4qTWF0ZXJuYWwgTnV0cml0aW9uYWwgUGh5c2lvbG9naWNhbCBQaGVu
b21lbmE8L2tleXdvcmQ+PGtleXdvcmQ+UHJlLUVjbGFtcHNpYS9lcGlkZW1pb2xvZ3k8L2tleXdv
cmQ+PGtleXdvcmQ+UHJlZ25hbmN5PC9rZXl3b3JkPjxrZXl3b3JkPlByZWduYW5jeSBDb21wbGlj
YXRpb25zLyplcGlkZW1pb2xvZ3k8L2tleXdvcmQ+PGtleXdvcmQ+UHJlbWF0dXJlIEJpcnRoL2Vw
aWRlbWlvbG9neTwva2V5d29yZD48a2V5d29yZD5Qcm9zcGVjdGl2ZSBTdHVkaWVzPC9rZXl3b3Jk
PjxrZXl3b3JkPipTZWFmb29kPC9rZXl3b3JkPjxrZXl3b3JkPldhc2hpbmd0b248L2tleXdvcmQ+
PGtleXdvcmQ+KkxlYW4gZmlzaDwva2V5d29yZD48a2V5d29yZD4qUHJlZ25hbmN5PC9rZXl3b3Jk
PjxrZXl3b3JkPipQcmVnbmFuY3kgY29tcGxpY2F0aW9uPC9rZXl3b3JkPjxrZXl3b3JkPipQcmV0
ZXJtIGJpcnRoPC9rZXl3b3JkPjxrZXl3b3JkPipTZWFmb29kIGludGFrZTwva2V5d29yZD48L2tl
eXdvcmRzPjxkYXRlcz48eWVhcj4yMDE2PC95ZWFyPjxwdWItZGF0ZXM+PGRhdGU+SnVsPC9kYXRl
PjwvcHViLWRhdGVzPjwvZGF0ZXM+PGlzYm4+MTQ3NS0yNzI3IChFbGVjdHJvbmljKSYjeEQ7MTM2
OC05ODAwIChMaW5raW5nKTwvaXNibj48YWNjZXNzaW9uLW51bT4yNjYyNjcwMjwvYWNjZXNzaW9u
LW51bT48dXJscz48cmVsYXRlZC11cmxzPjx1cmw+aHR0cHM6Ly93d3cubmNiaS5ubG0ubmloLmdv
di9wdWJtZWQvMjY2MjY3MDI8L3VybD48L3JlbGF0ZWQtdXJscz48L3VybHM+PGN1c3RvbTI+UE1D
NTUwMDI1OTwvY3VzdG9tMj48ZWxlY3Ryb25pYy1yZXNvdXJjZS1udW0+MTAuMTAxNy9TMTM2ODk4
MDAxNTAwMzE2WDwvZWxlY3Ryb25pYy1yZXNvdXJjZS1udW0+PC9yZWNvcmQ+PC9DaXRlPjwvRW5k
Tm90ZT5=
</w:fldData>
        </w:fldChar>
      </w:r>
      <w:r w:rsidR="002747EA">
        <w:instrText xml:space="preserve"> ADDIN EN.CITE.DATA </w:instrText>
      </w:r>
      <w:r w:rsidR="002747EA">
        <w:fldChar w:fldCharType="end"/>
      </w:r>
      <w:r>
        <w:fldChar w:fldCharType="separate"/>
      </w:r>
      <w:r w:rsidR="002747EA" w:rsidRPr="002747EA">
        <w:rPr>
          <w:noProof/>
          <w:vertAlign w:val="superscript"/>
        </w:rPr>
        <w:t>78</w:t>
      </w:r>
      <w:r>
        <w:fldChar w:fldCharType="end"/>
      </w:r>
      <w:r>
        <w:t xml:space="preserve"> found that, compared with l</w:t>
      </w:r>
      <w:r w:rsidRPr="007B7656">
        <w:t>ean fis</w:t>
      </w:r>
      <w:r>
        <w:t xml:space="preserve">h intake of less than 0.2 servings per month, more than one serving per week </w:t>
      </w:r>
      <w:r w:rsidRPr="007B7656">
        <w:t xml:space="preserve">was associated with </w:t>
      </w:r>
      <w:r w:rsidR="004904BC">
        <w:t xml:space="preserve">a possible </w:t>
      </w:r>
      <w:r w:rsidRPr="007B7656">
        <w:t>higher risk</w:t>
      </w:r>
      <w:r>
        <w:t xml:space="preserve"> of preterm birth (</w:t>
      </w:r>
      <w:r w:rsidRPr="00EF775D">
        <w:rPr>
          <w:sz w:val="16"/>
          <w:szCs w:val="16"/>
        </w:rPr>
        <w:t>RR</w:t>
      </w:r>
      <w:r w:rsidR="004E5B10">
        <w:rPr>
          <w:sz w:val="16"/>
          <w:szCs w:val="16"/>
        </w:rPr>
        <w:t xml:space="preserve"> 1.55; 95</w:t>
      </w:r>
      <w:r w:rsidRPr="00EF775D">
        <w:rPr>
          <w:sz w:val="16"/>
          <w:szCs w:val="16"/>
        </w:rPr>
        <w:t>% CI 1.04 to 2.30</w:t>
      </w:r>
      <w:r w:rsidRPr="007B7656">
        <w:t xml:space="preserve">) </w:t>
      </w:r>
      <w:r>
        <w:t>but</w:t>
      </w:r>
      <w:r w:rsidRPr="007B7656">
        <w:t xml:space="preserve"> was not associated with the other pregnancy complications. </w:t>
      </w:r>
      <w:r>
        <w:t>The study noted that s</w:t>
      </w:r>
      <w:r w:rsidRPr="007B7656">
        <w:t>tudies of mechanisms and potential contributing factors (including s</w:t>
      </w:r>
      <w:r w:rsidR="00905E10">
        <w:t>eafood preparation and nutrient</w:t>
      </w:r>
      <w:r>
        <w:t xml:space="preserve"> </w:t>
      </w:r>
      <w:r w:rsidRPr="007B7656">
        <w:t>contaminant content) are warranted.</w:t>
      </w:r>
    </w:p>
    <w:p w14:paraId="06FE4327" w14:textId="1D2E7457" w:rsidR="00661A0E" w:rsidRDefault="006E4B59" w:rsidP="00970923">
      <w:pPr>
        <w:pStyle w:val="Heading4"/>
      </w:pPr>
      <w:r>
        <w:t>Fetal and child</w:t>
      </w:r>
      <w:r w:rsidR="00970923">
        <w:t xml:space="preserve"> growth</w:t>
      </w:r>
    </w:p>
    <w:p w14:paraId="1D1FB8C6" w14:textId="589BD170" w:rsidR="006E4B59" w:rsidRDefault="006E4B59" w:rsidP="00661A0E">
      <w:r>
        <w:t>Cohort studies have found that:</w:t>
      </w:r>
    </w:p>
    <w:p w14:paraId="07412C8C" w14:textId="4A6740CE" w:rsidR="006E4B59" w:rsidRDefault="006E4B59" w:rsidP="006E4B59">
      <w:pPr>
        <w:pStyle w:val="bullet"/>
      </w:pPr>
      <w:r>
        <w:t>although seafood intake was positively associated with increased birth weight, women in the highest quintile of mercury exposure had babies with lower birthweight (</w:t>
      </w:r>
      <w:r w:rsidRPr="002432BC">
        <w:rPr>
          <w:sz w:val="16"/>
          <w:szCs w:val="16"/>
        </w:rPr>
        <w:t>MD -34 g; 95%CI -46 g to -22 g</w:t>
      </w:r>
      <w:r>
        <w:t xml:space="preserve">) </w:t>
      </w:r>
      <w:r w:rsidRPr="007E5208">
        <w:t>and had an increased risk of giving birth to small-for-gestational-age babies</w:t>
      </w:r>
      <w:r>
        <w:t xml:space="preserve"> (</w:t>
      </w:r>
      <w:r w:rsidRPr="002432BC">
        <w:rPr>
          <w:sz w:val="16"/>
          <w:szCs w:val="16"/>
        </w:rPr>
        <w:t>aOR 1.19; 95%CI 1.08 to 1.30</w:t>
      </w:r>
      <w:r w:rsidRPr="00006163">
        <w:t>)</w:t>
      </w:r>
      <w:r w:rsidRPr="006E4B59">
        <w:t xml:space="preserve"> </w:t>
      </w:r>
      <w:r w:rsidRPr="00082B09">
        <w:t>(</w:t>
      </w:r>
      <w:r w:rsidRPr="00082B09">
        <w:rPr>
          <w:sz w:val="16"/>
          <w:szCs w:val="16"/>
        </w:rPr>
        <w:t>n=56,988</w:t>
      </w:r>
      <w:r w:rsidRPr="00082B09">
        <w:t>)</w:t>
      </w:r>
      <w:r w:rsidR="00774750">
        <w:fldChar w:fldCharType="begin">
          <w:fldData xml:space="preserve">PEVuZE5vdGU+PENpdGU+PEF1dGhvcj5WZWpydXA8L0F1dGhvcj48WWVhcj4yMDE0PC9ZZWFyPjxS
ZWNOdW0+MTc0NTwvUmVjTnVtPjxEaXNwbGF5VGV4dD48c3R5bGUgZmFjZT0ic3VwZXJzY3JpcHQi
IGZvbnQ9IlRyZWJ1Y2hldCBNUyIgc2l6ZT0iOSI+Nzk8L3N0eWxlPjwvRGlzcGxheVRleHQ+PHJl
Y29yZD48cmVjLW51bWJlcj4xNzQ1PC9yZWMtbnVtYmVyPjxmb3JlaWduLWtleXM+PGtleSBhcHA9
IkVOIiBkYi1pZD0iZXh2YXNyZngyZHRyYW9lc2FzeHAyc3pzeGEyZGY1MDI1OTJ4IiB0aW1lc3Rh
bXA9IjE1ODI1MDYzMzAiPjE3NDU8L2tleT48a2V5IGFwcD0iRU5XZWIiIGRiLWlkPSIiPjA8L2tl
eT48L2ZvcmVpZ24ta2V5cz48cmVmLXR5cGUgbmFtZT0iSm91cm5hbCBBcnRpY2xlIj4xNzwvcmVm
LXR5cGU+PGNvbnRyaWJ1dG9ycz48YXV0aG9ycz48YXV0aG9yPlZlanJ1cCwgSy48L2F1dGhvcj48
YXV0aG9yPkJyYW50c2FldGVyLCBBLiBMLjwvYXV0aG9yPjxhdXRob3I+S251dHNlbiwgSC4gSy48
L2F1dGhvcj48YXV0aG9yPk1hZ251cywgUC48L2F1dGhvcj48YXV0aG9yPkFsZXhhbmRlciwgSi48
L2F1dGhvcj48YXV0aG9yPkt2YWxlbSwgSC4gRS48L2F1dGhvcj48YXV0aG9yPk1lbHR6ZXIsIEgu
IE0uPC9hdXRob3I+PGF1dGhvcj5IYXVnZW4sIE0uPC9hdXRob3I+PC9hdXRob3JzPjwvY29udHJp
YnV0b3JzPjxhdXRoLWFkZHJlc3M+MURpdmlzaW9uIG9mIEVwaWRlbWlvbG9neSxOb3J3ZWdpYW4g
SW5zdGl0dXRlIG9mIFB1YmxpYyBIZWFsdGgsUG9zdCBCb3ggNDQwNCBOeWRhbGVuLE5PLTA0MDMg
T3NsbyxOb3J3YXkuJiN4RDsyRGl2aXNpb24gb2YgRW52aXJvbm1lbnRhbCBNZWRpY2luZSxOb3J3
ZWdpYW4gSW5zdGl0dXRlIG9mIFB1YmxpYyBIZWFsdGgsT3NsbyxOb3J3YXkuJiN4RDszT2ZmaWNl
IG9mIERpcmVjdG9yLUdlbmVyYWwsTm9yd2VnaWFuIEluc3RpdHV0ZSBvZiBQdWJsaWMgSGVhbHRo
LE9zbG8sTm9yd2F5LjwvYXV0aC1hZGRyZXNzPjx0aXRsZXM+PHRpdGxlPlByZW5hdGFsIG1lcmN1
cnkgZXhwb3N1cmUgYW5kIGluZmFudCBiaXJ0aCB3ZWlnaHQgaW4gdGhlIE5vcndlZ2lhbiBNb3Ro
ZXIgYW5kIENoaWxkIENvaG9ydCBTdHVkeTwvdGl0bGU+PHNlY29uZGFyeS10aXRsZT5QdWJsaWMg
SGVhbHRoIE51dHI8L3NlY29uZGFyeS10aXRsZT48L3RpdGxlcz48cGVyaW9kaWNhbD48ZnVsbC10
aXRsZT5QdWJsaWMgSGVhbHRoIE51dHI8L2Z1bGwtdGl0bGU+PC9wZXJpb2RpY2FsPjxwYWdlcz4y
MDcxLTgwPC9wYWdlcz48dm9sdW1lPjE3PC92b2x1bWU+PG51bWJlcj45PC9udW1iZXI+PGVkaXRp
b24+MjAxMy8xMC8xMDwvZWRpdGlvbj48a2V5d29yZHM+PGtleXdvcmQ+QmlydGggV2VpZ2h0L2Ry
dWcgZWZmZWN0czwva2V5d29yZD48a2V5d29yZD5Db2hvcnQgU3R1ZGllczwva2V5d29yZD48a2V5
d29yZD5EYXRhYmFzZXMsIEZhY3R1YWw8L2tleXdvcmQ+PGtleXdvcmQ+RmVlZGluZyBCZWhhdmlv
ci9ldGhub2xvZ3k8L2tleXdvcmQ+PGtleXdvcmQ+RmVtYWxlPC9rZXl3b3JkPjxrZXl3b3JkPkZl
dGFsIEdyb3d0aCBSZXRhcmRhdGlvbi8qY2hlbWljYWxseSBpbmR1Y2VkL2VwaWRlbWlvbG9neS9l
dGhub2xvZ3k8L2tleXdvcmQ+PGtleXdvcmQ+KkZvb2QgQ29udGFtaW5hdGlvbjwva2V5d29yZD48
a2V5d29yZD5IdW1hbnM8L2tleXdvcmQ+PGtleXdvcmQ+SW5mYW50LCBOZXdib3JuPC9rZXl3b3Jk
PjxrZXl3b3JkPkluZmFudCwgU21hbGwgZm9yIEdlc3RhdGlvbmFsIEFnZTwva2V5d29yZD48a2V5
d29yZD5NYWxlPC9rZXl3b3JkPjxrZXl3b3JkPipNYXRlcm5hbCBOdXRyaXRpb25hbCBQaHlzaW9s
b2dpY2FsIFBoZW5vbWVuYS9ldGhub2xvZ3k8L2tleXdvcmQ+PGtleXdvcmQ+TWVyY3VyeS9hbmFs
eXNpcy8qdG94aWNpdHk8L2tleXdvcmQ+PGtleXdvcmQ+Tm9yd2F5L2VwaWRlbWlvbG9neTwva2V5
d29yZD48a2V5d29yZD5QcmVnbmFuY3k8L2tleXdvcmQ+PGtleXdvcmQ+KlByZW5hdGFsIEV4cG9z
dXJlIERlbGF5ZWQgRWZmZWN0cy9ldGhub2xvZ3k8L2tleXdvcmQ+PGtleXdvcmQ+UHJvc3BlY3Rp
dmUgU3R1ZGllczwva2V5d29yZD48a2V5d29yZD5SaXNrPC9rZXl3b3JkPjxrZXl3b3JkPlNlYWZv
b2QvKmFkdmVyc2UgZWZmZWN0cy9hbmFseXNpczwva2V5d29yZD48a2V5d29yZD5XYXRlciBQb2xs
dXRhbnRzLCBDaGVtaWNhbC9hbmFseXNpcy8qdG94aWNpdHk8L2tleXdvcmQ+PC9rZXl3b3Jkcz48
ZGF0ZXM+PHllYXI+MjAxNDwveWVhcj48cHViLWRhdGVzPjxkYXRlPlNlcDwvZGF0ZT48L3B1Yi1k
YXRlcz48L2RhdGVzPjxpc2JuPjE0NzUtMjcyNyAoRWxlY3Ryb25pYykmI3hEOzEzNjgtOTgwMCAo
TGlua2luZyk8L2lzYm4+PGFjY2Vzc2lvbi1udW0+MjQxMDM0MTM8L2FjY2Vzc2lvbi1udW0+PHVy
bHM+PHJlbGF0ZWQtdXJscz48dXJsPmh0dHBzOi8vd3d3Lm5jYmkubmxtLm5paC5nb3YvcHVibWVk
LzI0MTAzNDEzPC91cmw+PC9yZWxhdGVkLXVybHM+PC91cmxzPjxlbGVjdHJvbmljLXJlc291cmNl
LW51bT4xMC4xMDE3L1MxMzY4OTgwMDEzMDAyNjE5PC9lbGVjdHJvbmljLXJlc291cmNlLW51bT48
L3JlY29yZD48L0NpdGU+PC9FbmROb3RlPn==
</w:fldData>
        </w:fldChar>
      </w:r>
      <w:r w:rsidR="002747EA">
        <w:instrText xml:space="preserve"> ADDIN EN.CITE </w:instrText>
      </w:r>
      <w:r w:rsidR="002747EA">
        <w:fldChar w:fldCharType="begin">
          <w:fldData xml:space="preserve">PEVuZE5vdGU+PENpdGU+PEF1dGhvcj5WZWpydXA8L0F1dGhvcj48WWVhcj4yMDE0PC9ZZWFyPjxS
ZWNOdW0+MTc0NTwvUmVjTnVtPjxEaXNwbGF5VGV4dD48c3R5bGUgZmFjZT0ic3VwZXJzY3JpcHQi
IGZvbnQ9IlRyZWJ1Y2hldCBNUyIgc2l6ZT0iOSI+Nzk8L3N0eWxlPjwvRGlzcGxheVRleHQ+PHJl
Y29yZD48cmVjLW51bWJlcj4xNzQ1PC9yZWMtbnVtYmVyPjxmb3JlaWduLWtleXM+PGtleSBhcHA9
IkVOIiBkYi1pZD0iZXh2YXNyZngyZHRyYW9lc2FzeHAyc3pzeGEyZGY1MDI1OTJ4IiB0aW1lc3Rh
bXA9IjE1ODI1MDYzMzAiPjE3NDU8L2tleT48a2V5IGFwcD0iRU5XZWIiIGRiLWlkPSIiPjA8L2tl
eT48L2ZvcmVpZ24ta2V5cz48cmVmLXR5cGUgbmFtZT0iSm91cm5hbCBBcnRpY2xlIj4xNzwvcmVm
LXR5cGU+PGNvbnRyaWJ1dG9ycz48YXV0aG9ycz48YXV0aG9yPlZlanJ1cCwgSy48L2F1dGhvcj48
YXV0aG9yPkJyYW50c2FldGVyLCBBLiBMLjwvYXV0aG9yPjxhdXRob3I+S251dHNlbiwgSC4gSy48
L2F1dGhvcj48YXV0aG9yPk1hZ251cywgUC48L2F1dGhvcj48YXV0aG9yPkFsZXhhbmRlciwgSi48
L2F1dGhvcj48YXV0aG9yPkt2YWxlbSwgSC4gRS48L2F1dGhvcj48YXV0aG9yPk1lbHR6ZXIsIEgu
IE0uPC9hdXRob3I+PGF1dGhvcj5IYXVnZW4sIE0uPC9hdXRob3I+PC9hdXRob3JzPjwvY29udHJp
YnV0b3JzPjxhdXRoLWFkZHJlc3M+MURpdmlzaW9uIG9mIEVwaWRlbWlvbG9neSxOb3J3ZWdpYW4g
SW5zdGl0dXRlIG9mIFB1YmxpYyBIZWFsdGgsUG9zdCBCb3ggNDQwNCBOeWRhbGVuLE5PLTA0MDMg
T3NsbyxOb3J3YXkuJiN4RDsyRGl2aXNpb24gb2YgRW52aXJvbm1lbnRhbCBNZWRpY2luZSxOb3J3
ZWdpYW4gSW5zdGl0dXRlIG9mIFB1YmxpYyBIZWFsdGgsT3NsbyxOb3J3YXkuJiN4RDszT2ZmaWNl
IG9mIERpcmVjdG9yLUdlbmVyYWwsTm9yd2VnaWFuIEluc3RpdHV0ZSBvZiBQdWJsaWMgSGVhbHRo
LE9zbG8sTm9yd2F5LjwvYXV0aC1hZGRyZXNzPjx0aXRsZXM+PHRpdGxlPlByZW5hdGFsIG1lcmN1
cnkgZXhwb3N1cmUgYW5kIGluZmFudCBiaXJ0aCB3ZWlnaHQgaW4gdGhlIE5vcndlZ2lhbiBNb3Ro
ZXIgYW5kIENoaWxkIENvaG9ydCBTdHVkeTwvdGl0bGU+PHNlY29uZGFyeS10aXRsZT5QdWJsaWMg
SGVhbHRoIE51dHI8L3NlY29uZGFyeS10aXRsZT48L3RpdGxlcz48cGVyaW9kaWNhbD48ZnVsbC10
aXRsZT5QdWJsaWMgSGVhbHRoIE51dHI8L2Z1bGwtdGl0bGU+PC9wZXJpb2RpY2FsPjxwYWdlcz4y
MDcxLTgwPC9wYWdlcz48dm9sdW1lPjE3PC92b2x1bWU+PG51bWJlcj45PC9udW1iZXI+PGVkaXRp
b24+MjAxMy8xMC8xMDwvZWRpdGlvbj48a2V5d29yZHM+PGtleXdvcmQ+QmlydGggV2VpZ2h0L2Ry
dWcgZWZmZWN0czwva2V5d29yZD48a2V5d29yZD5Db2hvcnQgU3R1ZGllczwva2V5d29yZD48a2V5
d29yZD5EYXRhYmFzZXMsIEZhY3R1YWw8L2tleXdvcmQ+PGtleXdvcmQ+RmVlZGluZyBCZWhhdmlv
ci9ldGhub2xvZ3k8L2tleXdvcmQ+PGtleXdvcmQ+RmVtYWxlPC9rZXl3b3JkPjxrZXl3b3JkPkZl
dGFsIEdyb3d0aCBSZXRhcmRhdGlvbi8qY2hlbWljYWxseSBpbmR1Y2VkL2VwaWRlbWlvbG9neS9l
dGhub2xvZ3k8L2tleXdvcmQ+PGtleXdvcmQ+KkZvb2QgQ29udGFtaW5hdGlvbjwva2V5d29yZD48
a2V5d29yZD5IdW1hbnM8L2tleXdvcmQ+PGtleXdvcmQ+SW5mYW50LCBOZXdib3JuPC9rZXl3b3Jk
PjxrZXl3b3JkPkluZmFudCwgU21hbGwgZm9yIEdlc3RhdGlvbmFsIEFnZTwva2V5d29yZD48a2V5
d29yZD5NYWxlPC9rZXl3b3JkPjxrZXl3b3JkPipNYXRlcm5hbCBOdXRyaXRpb25hbCBQaHlzaW9s
b2dpY2FsIFBoZW5vbWVuYS9ldGhub2xvZ3k8L2tleXdvcmQ+PGtleXdvcmQ+TWVyY3VyeS9hbmFs
eXNpcy8qdG94aWNpdHk8L2tleXdvcmQ+PGtleXdvcmQ+Tm9yd2F5L2VwaWRlbWlvbG9neTwva2V5
d29yZD48a2V5d29yZD5QcmVnbmFuY3k8L2tleXdvcmQ+PGtleXdvcmQ+KlByZW5hdGFsIEV4cG9z
dXJlIERlbGF5ZWQgRWZmZWN0cy9ldGhub2xvZ3k8L2tleXdvcmQ+PGtleXdvcmQ+UHJvc3BlY3Rp
dmUgU3R1ZGllczwva2V5d29yZD48a2V5d29yZD5SaXNrPC9rZXl3b3JkPjxrZXl3b3JkPlNlYWZv
b2QvKmFkdmVyc2UgZWZmZWN0cy9hbmFseXNpczwva2V5d29yZD48a2V5d29yZD5XYXRlciBQb2xs
dXRhbnRzLCBDaGVtaWNhbC9hbmFseXNpcy8qdG94aWNpdHk8L2tleXdvcmQ+PC9rZXl3b3Jkcz48
ZGF0ZXM+PHllYXI+MjAxNDwveWVhcj48cHViLWRhdGVzPjxkYXRlPlNlcDwvZGF0ZT48L3B1Yi1k
YXRlcz48L2RhdGVzPjxpc2JuPjE0NzUtMjcyNyAoRWxlY3Ryb25pYykmI3hEOzEzNjgtOTgwMCAo
TGlua2luZyk8L2lzYm4+PGFjY2Vzc2lvbi1udW0+MjQxMDM0MTM8L2FjY2Vzc2lvbi1udW0+PHVy
bHM+PHJlbGF0ZWQtdXJscz48dXJsPmh0dHBzOi8vd3d3Lm5jYmkubmxtLm5paC5nb3YvcHVibWVk
LzI0MTAzNDEzPC91cmw+PC9yZWxhdGVkLXVybHM+PC91cmxzPjxlbGVjdHJvbmljLXJlc291cmNl
LW51bT4xMC4xMDE3L1MxMzY4OTgwMDEzMDAyNjE5PC9lbGVjdHJvbmljLXJlc291cmNlLW51bT48
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79</w:t>
      </w:r>
      <w:r w:rsidR="00774750">
        <w:fldChar w:fldCharType="end"/>
      </w:r>
    </w:p>
    <w:p w14:paraId="2A434693" w14:textId="6FA898FD" w:rsidR="00970923" w:rsidRDefault="00970923" w:rsidP="006E4B59">
      <w:pPr>
        <w:pStyle w:val="bullet"/>
      </w:pPr>
      <w:r>
        <w:t xml:space="preserve">compared with fish intake of once per week or less, </w:t>
      </w:r>
      <w:r w:rsidRPr="00AB0E44">
        <w:t xml:space="preserve">fish intake </w:t>
      </w:r>
      <w:r>
        <w:t xml:space="preserve">more than three times a </w:t>
      </w:r>
      <w:r w:rsidRPr="00AB0E44">
        <w:t>week was associated with increased risk of rapid infant growth (</w:t>
      </w:r>
      <w:r w:rsidRPr="00970923">
        <w:rPr>
          <w:sz w:val="16"/>
          <w:szCs w:val="16"/>
        </w:rPr>
        <w:t>aOR 1.22; 95%CI 1.05 to 1.42</w:t>
      </w:r>
      <w:r w:rsidRPr="00AB0E44">
        <w:t>) and increased risk of offspring overweight</w:t>
      </w:r>
      <w:r>
        <w:t>/obesity at 4 years (</w:t>
      </w:r>
      <w:r w:rsidRPr="00970923">
        <w:rPr>
          <w:sz w:val="16"/>
          <w:szCs w:val="16"/>
        </w:rPr>
        <w:t>aOR 1.14; 95%CI 0.99 to 1.32</w:t>
      </w:r>
      <w:r>
        <w:t>) and 6 years (</w:t>
      </w:r>
      <w:r w:rsidRPr="00970923">
        <w:rPr>
          <w:sz w:val="16"/>
          <w:szCs w:val="16"/>
        </w:rPr>
        <w:t>aOR 1.22; 95%CI 1.01 to 1.47</w:t>
      </w:r>
      <w:r w:rsidRPr="00AB0E44">
        <w:t xml:space="preserve">) compared with an </w:t>
      </w:r>
      <w:r w:rsidR="006E4B59">
        <w:t>intake of once per week or less (</w:t>
      </w:r>
      <w:r w:rsidR="006E4B59" w:rsidRPr="00970923">
        <w:rPr>
          <w:sz w:val="16"/>
          <w:szCs w:val="16"/>
        </w:rPr>
        <w:t>n=26,184</w:t>
      </w:r>
      <w:r w:rsidR="006E4B59">
        <w:t>)</w:t>
      </w:r>
      <w:r w:rsidR="006E4B59">
        <w:fldChar w:fldCharType="begin">
          <w:fldData xml:space="preserve">PEVuZE5vdGU+PENpdGU+PEF1dGhvcj5TdHJhdGFraXM8L0F1dGhvcj48WWVhcj4yMDE2PC9ZZWFy
PjxSZWNOdW0+MTM3NDwvUmVjTnVtPjxEaXNwbGF5VGV4dD48c3R5bGUgZmFjZT0ic3VwZXJzY3Jp
cHQiIGZvbnQ9IlRyZWJ1Y2hldCBNUyIgc2l6ZT0iOSI+ODA8L3N0eWxlPjwvRGlzcGxheVRleHQ+
PHJlY29yZD48cmVjLW51bWJlcj4xMzc0PC9yZWMtbnVtYmVyPjxmb3JlaWduLWtleXM+PGtleSBh
cHA9IkVOIiBkYi1pZD0iZXh2YXNyZngyZHRyYW9lc2FzeHAyc3pzeGEyZGY1MDI1OTJ4IiB0aW1l
c3RhbXA9IjE1NjcwMzExMDYiPjEzNzQ8L2tleT48a2V5IGFwcD0iRU5XZWIiIGRiLWlkPSIiPjA8
L2tleT48L2ZvcmVpZ24ta2V5cz48cmVmLXR5cGUgbmFtZT0iSm91cm5hbCBBcnRpY2xlIj4xNzwv
cmVmLXR5cGU+PGNvbnRyaWJ1dG9ycz48YXV0aG9ycz48YXV0aG9yPlN0cmF0YWtpcywgTi48L2F1
dGhvcj48YXV0aG9yPlJvdW1lbGlvdGFraSwgVC48L2F1dGhvcj48YXV0aG9yPk9rZW4sIEUuPC9h
dXRob3I+PGF1dGhvcj5CYXJyb3MsIEguPC9hdXRob3I+PGF1dGhvcj5CYXN0ZXJyZWNoZWEsIE0u
PC9hdXRob3I+PGF1dGhvcj5DaGFybGVzLCBNLiBBLjwvYXV0aG9yPjxhdXRob3I+RWdnZXNibywg
TS48L2F1dGhvcj48YXV0aG9yPkZvcmFzdGllcmUsIEYuPC9hdXRob3I+PGF1dGhvcj5HYWlsbGFy
ZCwgUi48L2F1dGhvcj48YXV0aG9yPkdlaHJpbmcsIFUuPC9hdXRob3I+PGF1dGhvcj5Hb3ZhcnRz
LCBFLjwvYXV0aG9yPjxhdXRob3I+SGFua2UsIFcuPC9hdXRob3I+PGF1dGhvcj5IZXVkZSwgQi48
L2F1dGhvcj48YXV0aG9yPklzemF0dCwgTi48L2F1dGhvcj48YXV0aG9yPkphZGRvZSwgVi4gVy48
L2F1dGhvcj48YXV0aG9yPktlbGxlaGVyLCBDLjwvYXV0aG9yPjxhdXRob3I+TW9tbWVycywgTS48
L2F1dGhvcj48YXV0aG9yPk11cmNpYSwgTS48L2F1dGhvcj48YXV0aG9yPk9saXZlaXJhLCBBLjwv
YXV0aG9yPjxhdXRob3I+UGl6emksIEMuPC9hdXRob3I+PGF1dGhvcj5Qb2xhbnNrYSwgSy48L2F1
dGhvcj48YXV0aG9yPlBvcnRhLCBELjwvYXV0aG9yPjxhdXRob3I+UmljaGlhcmRpLCBMLjwvYXV0
aG9yPjxhdXRob3I+UmlmYXMtU2hpbWFuLCBTLiBMLjwvYXV0aG9yPjxhdXRob3I+U2Nob2V0ZXJz
LCBHLjwvYXV0aG9yPjxhdXRob3I+U3VueWVyLCBKLjwvYXV0aG9yPjxhdXRob3I+VGhpanMsIEMu
PC9hdXRob3I+PGF1dGhvcj5WaWxqb2VuLCBLLjwvYXV0aG9yPjxhdXRob3I+VnJpamhlaWQsIE0u
PC9hdXRob3I+PGF1dGhvcj5Wcmlqa290dGUsIFQuIEcuPC9hdXRob3I+PGF1dGhvcj5XaWpnYSwg
QS4gSC48L2F1dGhvcj48YXV0aG9yPlplZWdlcnMsIE0uIFAuPC9hdXRob3I+PGF1dGhvcj5Lb2dl
dmluYXMsIE0uPC9hdXRob3I+PGF1dGhvcj5DaGF0emksIEwuPC9hdXRob3I+PC9hdXRob3JzPjwv
Y29udHJpYnV0b3JzPjxhdXRoLWFkZHJlc3M+RGVwYXJ0bWVudCBvZiBTb2NpYWwgTWVkaWNpbmUs
IEZhY3VsdHkgb2YgTWVkaWNpbmUsIFVuaXZlcnNpdHkgb2YgQ3JldGUsIEhlcmFrbGlvbiwgR3Jl
ZWNlMlNlY3Rpb24gb2YgQ29tcGxleCBHZW5ldGljcywgRGVwYXJ0bWVudCBvZiBHZW5ldGljcyBh
bmQgQ2VsbCBCaW9sb2d5LCBOVVRSSU0gU2Nob29sIG9mIE51dHJpdGlvbiBhbmQgVHJhbnNsYXRp
b25hbCBSZXNlYXJjaCBpbiBNZXRhYm9saXNtLCBGYWN1bHR5IG9mIEhlYWx0aCwgTWVkaWNpLiYj
eEQ7RGVwYXJ0bWVudCBvZiBTb2NpYWwgTWVkaWNpbmUsIEZhY3VsdHkgb2YgTWVkaWNpbmUsIFVu
aXZlcnNpdHkgb2YgQ3JldGUsIEhlcmFrbGlvbiwgR3JlZWNlLiYjeEQ7T2Jlc2l0eSBQcmV2ZW50
aW9uIFByb2dyYW0sIEhhcnZhcmQgUGlsZ3JpbSBIZWFsdGggQ2FyZSBJbnN0aXR1dGUsIERlcGFy
dG1lbnQgb2YgUG9wdWxhdGlvbiBNZWRpY2luZSwgSGFydmFyZCBNZWRpY2FsIFNjaG9vbCwgQm9z
dG9uLCBNYXNzYWNodXNldHRzLiYjeEQ7RGVwYXJ0bWVudCBvZiBDbGluaWNhbCBFcGlkZW1pb2xv
Z3ksIFByZWRpY3RpdmUgTWVkaWNpbmUgYW5kIFB1YmxpYyBIZWFsdGgsIFVuaXZlcnNpdHkgb2Yg
UG9ydG8gTWVkaWNhbCBTY2hvb2wsIFBvcnRvLCBQb3J0dWdhbDVFcGlkZW1vbG9neSBSZXNlYXJj
aCBVbml0LCBJbnN0aXR1dGUgb2YgUHVibGljIEhlYWx0aCwgVW5pdmVyc2l0eSBvZiBQb3J0bywg
UG9ydG8sIFBvcnR1Z2FsLiYjeEQ7UHVibGljIEhlYWx0aCBEaXZpc2lvbiBvZiBHaXB1emtvYSwg
QmFzcXVlIEdvdmVybm1lbnQ7IEhlYWx0aCBSZXNlYXJjaCBJbnN0aXR1dGUsIEJpb2Rvbm9zdGlh
LCBTYW4gU2ViYXN0aWFuLCBTcGFpbjdDZW50cm9zIGRlIEludmVzdGlnYWNpb24gQmlvbWVkaWNh
IGVuIFJlZCBFcGlkZW1pb2xvZ2lhIHkgU2FsdWQgUHVibGljYSwgU3BhaW4uJiN4RDtDZW50cmUg
Zm9yIFJlc2VhcmNoIGluIEVwaWRlbWlvbG9neSBhbmQgQmlvc3RhdGlzdGljcyBQYXJpcyBTb3Ji
b25uZSBDaXRlLCBJbnN0aXR1dCBOYXRpb25hbCBkZSBsYSBTYW50ZSBldCBkZSBsYSBSZWNoZXJj
aGUgTWVkaWNhbGUsIEVhcmx5IE9yaWdpbiBvZiB0aGUgQ2hpbGQgRGV2ZWxvcG1lbnQgYW5kIEhl
YWx0aCBUZWFtLCBWaWxsZWp1aWYsIEZyYW5jZTlVbml2ZXJzaXRlIFBhcmlzIERlc2NhcnRlcywg
VmlsbGVqdWlmLCBGcmFuY2UuJiN4RDtOb3J3ZWdpYW4gSW5zdGl0dXRlIG9mIFB1YmxpYyBIZWFs
dGgsIE9zbG8sIE5vcndheS4mI3hEO0RlcGFydG1lbnQgb2YgRXBpZGVtaW9sb2d5LCBMYXppbyBS
ZWdpb25hbCBIZWFsdGggU3lzdGVtLCBSb21lLCBJdGFseS4mI3hEO0dlbmVyYXRpb24gUiBTdHVk
eSBHcm91cCwgRGVwYXJ0bWVudCBvZiBFcGlkZW1pb2xvZ3ksIEVyYXNtdXMgVW5pdmVyc2l0eSBN
ZWRpY2FsIENlbnRyZSwgUm90dGVyZGFtLCBOZXRoZXJsYW5kcy4mI3hEO0luc3RpdHV0ZSBmb3Ig
UmlzayBBc3Nlc3NtZW50IFNjaWVuY2VzLCBVdHJlY2h0IFVuaXZlcnNpdHksIFV0cmVjaHQsIE5l
dGhlcmxhbmRzLiYjeEQ7RW52aXJvbm1lbnRhbCBSaXNrIGFuZCBIZWFsdGgsIEZsZW1pc2ggSW5z
dGl0dXRlIGZvciBUZWNobm9sb2dpY2FsIFJlc2VhcmNoLCBNb2wsIEJlbGdpdW0uJiN4RDtEZXBh
cnRtZW50IG9mIEVudmlyb25tZW50YWwgRXBpZGVtaW9sb2d5LCBOb2ZlciBJbnN0aXR1dGUgb2Yg
T2NjdXBhdGlvbmFsIE1lZGljaW5lLCBMb2R6LCBQb2xhbmQuJiN4RDtTY2hvb2wgb2YgUHVibGlj
IEhlYWx0aCwgUGh5c2lvdGhlcmFweSwgYW5kIFBvcHVsYXRpb24gU2NpZW5jZSwgVW5pdmVyc2l0
eSBDb2xsZWdlIER1YmxpbiwgRHVibGluLCBJcmVsYW5kLiYjeEQ7RGVwYXJ0bWVudCBvZiBFcGlk
ZW1pb2xvZ3ksIENBUEhSSSBTY2hvb2wgZm9yIFB1YmxpYyBIZWFsdGggYW5kIFByaW1hcnkgQ2Fy
ZSwgRmFjdWx0eSBvZiBIZWFsdGgsIE1lZGljaW5lIGFuZCBMaWZlIFNjaWVuY2VzLCBNYWFzdHJp
Y2h0IFVuaXZlcnNpdHkgTWVkaWNhbCBDZW50cmUrLCBNYWFzdHJpY2h0LCBOZXRoZXJsYW5kcy4m
I3hEO0NlbnRyb3MgZGUgSW52ZXN0aWdhY2lvbiBCaW9tZWRpY2EgZW4gUmVkIEVwaWRlbWlvbG9n
aWEgeSBTYWx1ZCBQdWJsaWNhLCBTcGFpbjE4RnVuZGFjaW9uIHBhcmEgZWwgRm9tZW50byBkZSBs
YSBJbnZlc3RpZ2FjaW9uIFNhbml0YXJpYSB5IEJpb21lZGljYSBkZSBsYSBDb211bml0YXQgVmFs
ZW5jaWFuYS1Vbml2ZXJzaXRhdCBKYXVtZSBJLCBVbml2ZXJzaXRhdCBkZSBWYWxlbmNpYSBKb2lu
dCBSZXNlYXJjaCBVbml0IG9mIEVwaWRlbWlvbG9neS4mI3hEO0NhbmNlciBFcGlkZW1pb2xvZ3kg
VW5pdCwgRGVwYXJ0bWVudCBvZiBNZWRpY2FsIFNjaWVuY2VzLCBVbml2ZXJzaXR5IG9mIFR1cmlu
IGFuZCBSZWZlcmVuY2UgQ2VudHJlIGZvciBFcGlkZW1pb2xvZ3kgYW5kIENhbmNlciBQcmV2ZW50
aW9uIGluIFBpZW1vbnRlLCBUdXJpbiwgSXRhbHkuJiN4RDtFbnZpcm9ubWVudGFsIFJpc2sgYW5k
IEhlYWx0aCwgRmxlbWlzaCBJbnN0aXR1dGUgZm9yIFRlY2hub2xvZ2ljYWwgUmVzZWFyY2gsIE1v
bCwgQmVsZ2l1bTIxVW5pdmVyc2l0eSBvZiBBbnR3ZXJwLCBBbnR3ZXJwLCBCZWxnaXVtOyBVbml2
ZXJzaXR5IG9mIFNvdXRoZXJuIERlbm1hcmssIE9kZW5zZSwgRGVubWFyay4mI3hEO0NlbnRyb3Mg
ZGUgSW52ZXN0aWdhY2lvbiBCaW9tZWRpY2EgZW4gUmVkIEVwaWRlbWlvbG9naWEgeSBTYWx1ZCBQ
dWJsaWNhLCBTcGFpbjIyQ2VudHJlIGZvciBSZXNlYXJjaCBpbiBFbnZpcm9ubWVudGFsIEVwaWRl
bWlvbG9neSwgQmFyY2Vsb25hLCBTcGFpbjIzUG9tcGV1IEZhYnJhIFVuaXZlcnNpdHksIEJhcmNl
bG9uYSwgU3BhaW4uJiN4RDtDZW50cm9zIGRlIEludmVzdGlnYWNpb24gQmlvbWVkaWNhIGVuIFJl
ZCBFcGlkZW1pb2xvZ2lhIHkgU2FsdWQgUHVibGljYSwgU3BhaW4yMkNlbnRyZSBmb3IgUmVzZWFy
Y2ggaW4gRW52aXJvbm1lbnRhbCBFcGlkZW1pb2xvZ3ksIEJhcmNlbG9uYSwgU3BhaW4yNERlcGFy
dG1lbnQgb2YgRXhwZXJpbWVudGFsIGFuZCBIZWFsdGggU2NpZW5jZXMsIFBvbXBldSBGYWJyYSBV
bml2ZXJzaXR5LCBCYXJjZWxvbmEsIFNwYWluLiYjeEQ7RGVwYXJ0bWVudCBvZiBQdWJsaWMgSGVh
bHRoLCBBY2FkZW1pYyBNZWRpY2FsIENlbnRyZSwgVW5pdmVyc2l0eSBvZiBBbXN0ZXJkYW0sIEFt
c3RlcmRhbSwgTmV0aGVybGFuZHMuJiN4RDtDZW50cmUgZm9yIE51dHJpdGlvbiwgUHJldmVudGlv
biBhbmQgSGVhbHRoIFNlcnZpY2VzLCBOYXRpb25hbCBJbnN0aXR1dGUgZm9yIFB1YmxpYyBIZWFs
dGggYW5kIHRoZSBFbnZpcm9ubWVudCwgQmlsdGhvdmVuLCBOZXRoZXJsYW5kcy4mI3hEO1NlY3Rp
b24gb2YgQ29tcGxleCBHZW5ldGljcywgRGVwYXJ0bWVudCBvZiBHZW5ldGljcyBhbmQgQ2VsbCBC
aW9sb2d5LCBOVVRSSU0gU2Nob29sIG9mIE51dHJpdGlvbiBhbmQgVHJhbnNsYXRpb25hbCBSZXNl
YXJjaCBpbiBNZXRhYm9saXNtLCBGYWN1bHR5IG9mIEhlYWx0aCwgTWVkaWNpbmUgYW5kIExpZmUg
U2NpZW5jZXMsIE1hYXN0cmljaHQgVW5pdmVyc2l0eSBNZWRpY2FsIENlbnRyZSssIE1hYXN0cmlj
aHQsIE5ldGhlcmxhbmRzMjdDQVBIUi4mI3hEO0NlbnRyb3MgZGUgSW52ZXN0aWdhY2lvbiBCaW9t
ZWRpY2EgZW4gUmVkIEVwaWRlbWlvbG9naWEgeSBTYWx1ZCBQdWJsaWNhLCBTcGFpbjI4Q2VudHJl
IGZvciBSZXNlYXJjaCBpbiBFbnZpcm9ubWVudGFsIEVwaWRlbWlvbG9neSwgQmFyY2Vsb25hLCBT
cGFpbjI5SW5zdGl0dXQgSG9zcGl0YWwgZGVsIE1hciBkJmFwb3M7SW52ZXN0aWdhY2lvbnMgTWVk
aXF1ZXMsIEJhcmNlbG9uYSwgU3BhaW4zME5hdGlvbmFsIFNjaG9vbCBvZiBQdWJsaWMgSGVhbHRo
LCBBLjwvYXV0aC1hZGRyZXNzPjx0aXRsZXM+PHRpdGxlPkZpc2ggSW50YWtlIGluIFByZWduYW5j
eSBhbmQgQ2hpbGQgR3Jvd3RoOiBBIFBvb2xlZCBBbmFseXNpcyBvZiAxNSBFdXJvcGVhbiBhbmQg
VVMgQmlydGggQ29ob3J0czwvdGl0bGU+PHNlY29uZGFyeS10aXRsZT5KQU1BIFBlZGlhdHI8L3Nl
Y29uZGFyeS10aXRsZT48L3RpdGxlcz48cGVyaW9kaWNhbD48ZnVsbC10aXRsZT5KQU1BIFBlZGlh
dHI8L2Z1bGwtdGl0bGU+PC9wZXJpb2RpY2FsPjxwYWdlcz4zODEtOTA8L3BhZ2VzPjx2b2x1bWU+
MTcwPC92b2x1bWU+PG51bWJlcj40PC9udW1iZXI+PGVkaXRpb24+MjAxNi8wMi8xODwvZWRpdGlv
bj48a2V5d29yZHM+PGtleXdvcmQ+QW5pbWFsczwva2V5d29yZD48a2V5d29yZD5Cb2R5IE1hc3Mg
SW5kZXg8L2tleXdvcmQ+PGtleXdvcmQ+Q2hpbGQ8L2tleXdvcmQ+PGtleXdvcmQ+Q2hpbGQgRGV2
ZWxvcG1lbnQ8L2tleXdvcmQ+PGtleXdvcmQ+Q2hpbGQsIFByZXNjaG9vbDwva2V5d29yZD48a2V5
d29yZD5Db2hvcnQgU3R1ZGllczwva2V5d29yZD48a2V5d29yZD4qRGlldDwva2V5d29yZD48a2V5
d29yZD5FdXJvcGU8L2tleXdvcmQ+PGtleXdvcmQ+RmVtYWxlPC9rZXl3b3JkPjxrZXl3b3JkPkZl
dGFsIERldmVsb3BtZW50LypwaHlzaW9sb2d5PC9rZXl3b3JkPjxrZXl3b3JkPipGaXNoZXM8L2tl
eXdvcmQ+PGtleXdvcmQ+Rm9sbG93LVVwIFN0dWRpZXM8L2tleXdvcmQ+PGtleXdvcmQ+SHVtYW5z
PC9rZXl3b3JkPjxrZXl3b3JkPkluZmFudDwva2V5d29yZD48a2V5d29yZD5JbmZhbnQsIE5ld2Jv
cm48L2tleXdvcmQ+PGtleXdvcmQ+TWFsZTwva2V5d29yZD48a2V5d29yZD5PdmVyd2VpZ2h0L2Vw
aWRlbWlvbG9neS8qZXRpb2xvZ3k8L2tleXdvcmQ+PGtleXdvcmQ+UGVkaWF0cmljIE9iZXNpdHkv
ZXBpZGVtaW9sb2d5LypldGlvbG9neTwva2V5d29yZD48a2V5d29yZD5QcmVnbmFuY3k8L2tleXdv
cmQ+PGtleXdvcmQ+KlByZWduYW5jeSBDb21wbGljYXRpb25zPC9rZXl3b3JkPjxrZXl3b3JkPlJp
c2sgRmFjdG9yczwva2V5d29yZD48a2V5d29yZD4qU2VhZm9vZDwva2V5d29yZD48a2V5d29yZD5V
bml0ZWQgU3RhdGVzPC9rZXl3b3JkPjwva2V5d29yZHM+PGRhdGVzPjx5ZWFyPjIwMTY8L3llYXI+
PHB1Yi1kYXRlcz48ZGF0ZT5BcHI8L2RhdGU+PC9wdWItZGF0ZXM+PC9kYXRlcz48aXNibj4yMTY4
LTYyMTEgKEVsZWN0cm9uaWMpJiN4RDsyMTY4LTYyMDMgKExpbmtpbmcpPC9pc2JuPjxhY2Nlc3Np
b24tbnVtPjI2ODgyNTQyPC9hY2Nlc3Npb24tbnVtPjx1cmxzPjxyZWxhdGVkLXVybHM+PHVybD5o
dHRwczovL3d3dy5uY2JpLm5sbS5uaWguZ292L3B1Ym1lZC8yNjg4MjU0MjwvdXJsPjwvcmVsYXRl
ZC11cmxzPjwvdXJscz48Y3VzdG9tMj5QTUM1MTAzNjM1PC9jdXN0b20yPjxlbGVjdHJvbmljLXJl
c291cmNlLW51bT4xMC4xMDAxL2phbWFwZWRpYXRyaWNzLjIwMTUuNDQzMDwvZWxlY3Ryb25pYy1y
ZXNvdXJjZS1udW0+PC9yZWNvcmQ+PC9DaXRlPjwvRW5kTm90ZT4A
</w:fldData>
        </w:fldChar>
      </w:r>
      <w:r w:rsidR="002747EA">
        <w:instrText xml:space="preserve"> ADDIN EN.CITE </w:instrText>
      </w:r>
      <w:r w:rsidR="002747EA">
        <w:fldChar w:fldCharType="begin">
          <w:fldData xml:space="preserve">PEVuZE5vdGU+PENpdGU+PEF1dGhvcj5TdHJhdGFraXM8L0F1dGhvcj48WWVhcj4yMDE2PC9ZZWFy
PjxSZWNOdW0+MTM3NDwvUmVjTnVtPjxEaXNwbGF5VGV4dD48c3R5bGUgZmFjZT0ic3VwZXJzY3Jp
cHQiIGZvbnQ9IlRyZWJ1Y2hldCBNUyIgc2l6ZT0iOSI+ODA8L3N0eWxlPjwvRGlzcGxheVRleHQ+
PHJlY29yZD48cmVjLW51bWJlcj4xMzc0PC9yZWMtbnVtYmVyPjxmb3JlaWduLWtleXM+PGtleSBh
cHA9IkVOIiBkYi1pZD0iZXh2YXNyZngyZHRyYW9lc2FzeHAyc3pzeGEyZGY1MDI1OTJ4IiB0aW1l
c3RhbXA9IjE1NjcwMzExMDYiPjEzNzQ8L2tleT48a2V5IGFwcD0iRU5XZWIiIGRiLWlkPSIiPjA8
L2tleT48L2ZvcmVpZ24ta2V5cz48cmVmLXR5cGUgbmFtZT0iSm91cm5hbCBBcnRpY2xlIj4xNzwv
cmVmLXR5cGU+PGNvbnRyaWJ1dG9ycz48YXV0aG9ycz48YXV0aG9yPlN0cmF0YWtpcywgTi48L2F1
dGhvcj48YXV0aG9yPlJvdW1lbGlvdGFraSwgVC48L2F1dGhvcj48YXV0aG9yPk9rZW4sIEUuPC9h
dXRob3I+PGF1dGhvcj5CYXJyb3MsIEguPC9hdXRob3I+PGF1dGhvcj5CYXN0ZXJyZWNoZWEsIE0u
PC9hdXRob3I+PGF1dGhvcj5DaGFybGVzLCBNLiBBLjwvYXV0aG9yPjxhdXRob3I+RWdnZXNibywg
TS48L2F1dGhvcj48YXV0aG9yPkZvcmFzdGllcmUsIEYuPC9hdXRob3I+PGF1dGhvcj5HYWlsbGFy
ZCwgUi48L2F1dGhvcj48YXV0aG9yPkdlaHJpbmcsIFUuPC9hdXRob3I+PGF1dGhvcj5Hb3ZhcnRz
LCBFLjwvYXV0aG9yPjxhdXRob3I+SGFua2UsIFcuPC9hdXRob3I+PGF1dGhvcj5IZXVkZSwgQi48
L2F1dGhvcj48YXV0aG9yPklzemF0dCwgTi48L2F1dGhvcj48YXV0aG9yPkphZGRvZSwgVi4gVy48
L2F1dGhvcj48YXV0aG9yPktlbGxlaGVyLCBDLjwvYXV0aG9yPjxhdXRob3I+TW9tbWVycywgTS48
L2F1dGhvcj48YXV0aG9yPk11cmNpYSwgTS48L2F1dGhvcj48YXV0aG9yPk9saXZlaXJhLCBBLjwv
YXV0aG9yPjxhdXRob3I+UGl6emksIEMuPC9hdXRob3I+PGF1dGhvcj5Qb2xhbnNrYSwgSy48L2F1
dGhvcj48YXV0aG9yPlBvcnRhLCBELjwvYXV0aG9yPjxhdXRob3I+UmljaGlhcmRpLCBMLjwvYXV0
aG9yPjxhdXRob3I+UmlmYXMtU2hpbWFuLCBTLiBMLjwvYXV0aG9yPjxhdXRob3I+U2Nob2V0ZXJz
LCBHLjwvYXV0aG9yPjxhdXRob3I+U3VueWVyLCBKLjwvYXV0aG9yPjxhdXRob3I+VGhpanMsIEMu
PC9hdXRob3I+PGF1dGhvcj5WaWxqb2VuLCBLLjwvYXV0aG9yPjxhdXRob3I+VnJpamhlaWQsIE0u
PC9hdXRob3I+PGF1dGhvcj5Wcmlqa290dGUsIFQuIEcuPC9hdXRob3I+PGF1dGhvcj5XaWpnYSwg
QS4gSC48L2F1dGhvcj48YXV0aG9yPlplZWdlcnMsIE0uIFAuPC9hdXRob3I+PGF1dGhvcj5Lb2dl
dmluYXMsIE0uPC9hdXRob3I+PGF1dGhvcj5DaGF0emksIEwuPC9hdXRob3I+PC9hdXRob3JzPjwv
Y29udHJpYnV0b3JzPjxhdXRoLWFkZHJlc3M+RGVwYXJ0bWVudCBvZiBTb2NpYWwgTWVkaWNpbmUs
IEZhY3VsdHkgb2YgTWVkaWNpbmUsIFVuaXZlcnNpdHkgb2YgQ3JldGUsIEhlcmFrbGlvbiwgR3Jl
ZWNlMlNlY3Rpb24gb2YgQ29tcGxleCBHZW5ldGljcywgRGVwYXJ0bWVudCBvZiBHZW5ldGljcyBh
bmQgQ2VsbCBCaW9sb2d5LCBOVVRSSU0gU2Nob29sIG9mIE51dHJpdGlvbiBhbmQgVHJhbnNsYXRp
b25hbCBSZXNlYXJjaCBpbiBNZXRhYm9saXNtLCBGYWN1bHR5IG9mIEhlYWx0aCwgTWVkaWNpLiYj
eEQ7RGVwYXJ0bWVudCBvZiBTb2NpYWwgTWVkaWNpbmUsIEZhY3VsdHkgb2YgTWVkaWNpbmUsIFVu
aXZlcnNpdHkgb2YgQ3JldGUsIEhlcmFrbGlvbiwgR3JlZWNlLiYjeEQ7T2Jlc2l0eSBQcmV2ZW50
aW9uIFByb2dyYW0sIEhhcnZhcmQgUGlsZ3JpbSBIZWFsdGggQ2FyZSBJbnN0aXR1dGUsIERlcGFy
dG1lbnQgb2YgUG9wdWxhdGlvbiBNZWRpY2luZSwgSGFydmFyZCBNZWRpY2FsIFNjaG9vbCwgQm9z
dG9uLCBNYXNzYWNodXNldHRzLiYjeEQ7RGVwYXJ0bWVudCBvZiBDbGluaWNhbCBFcGlkZW1pb2xv
Z3ksIFByZWRpY3RpdmUgTWVkaWNpbmUgYW5kIFB1YmxpYyBIZWFsdGgsIFVuaXZlcnNpdHkgb2Yg
UG9ydG8gTWVkaWNhbCBTY2hvb2wsIFBvcnRvLCBQb3J0dWdhbDVFcGlkZW1vbG9neSBSZXNlYXJj
aCBVbml0LCBJbnN0aXR1dGUgb2YgUHVibGljIEhlYWx0aCwgVW5pdmVyc2l0eSBvZiBQb3J0bywg
UG9ydG8sIFBvcnR1Z2FsLiYjeEQ7UHVibGljIEhlYWx0aCBEaXZpc2lvbiBvZiBHaXB1emtvYSwg
QmFzcXVlIEdvdmVybm1lbnQ7IEhlYWx0aCBSZXNlYXJjaCBJbnN0aXR1dGUsIEJpb2Rvbm9zdGlh
LCBTYW4gU2ViYXN0aWFuLCBTcGFpbjdDZW50cm9zIGRlIEludmVzdGlnYWNpb24gQmlvbWVkaWNh
IGVuIFJlZCBFcGlkZW1pb2xvZ2lhIHkgU2FsdWQgUHVibGljYSwgU3BhaW4uJiN4RDtDZW50cmUg
Zm9yIFJlc2VhcmNoIGluIEVwaWRlbWlvbG9neSBhbmQgQmlvc3RhdGlzdGljcyBQYXJpcyBTb3Ji
b25uZSBDaXRlLCBJbnN0aXR1dCBOYXRpb25hbCBkZSBsYSBTYW50ZSBldCBkZSBsYSBSZWNoZXJj
aGUgTWVkaWNhbGUsIEVhcmx5IE9yaWdpbiBvZiB0aGUgQ2hpbGQgRGV2ZWxvcG1lbnQgYW5kIEhl
YWx0aCBUZWFtLCBWaWxsZWp1aWYsIEZyYW5jZTlVbml2ZXJzaXRlIFBhcmlzIERlc2NhcnRlcywg
VmlsbGVqdWlmLCBGcmFuY2UuJiN4RDtOb3J3ZWdpYW4gSW5zdGl0dXRlIG9mIFB1YmxpYyBIZWFs
dGgsIE9zbG8sIE5vcndheS4mI3hEO0RlcGFydG1lbnQgb2YgRXBpZGVtaW9sb2d5LCBMYXppbyBS
ZWdpb25hbCBIZWFsdGggU3lzdGVtLCBSb21lLCBJdGFseS4mI3hEO0dlbmVyYXRpb24gUiBTdHVk
eSBHcm91cCwgRGVwYXJ0bWVudCBvZiBFcGlkZW1pb2xvZ3ksIEVyYXNtdXMgVW5pdmVyc2l0eSBN
ZWRpY2FsIENlbnRyZSwgUm90dGVyZGFtLCBOZXRoZXJsYW5kcy4mI3hEO0luc3RpdHV0ZSBmb3Ig
UmlzayBBc3Nlc3NtZW50IFNjaWVuY2VzLCBVdHJlY2h0IFVuaXZlcnNpdHksIFV0cmVjaHQsIE5l
dGhlcmxhbmRzLiYjeEQ7RW52aXJvbm1lbnRhbCBSaXNrIGFuZCBIZWFsdGgsIEZsZW1pc2ggSW5z
dGl0dXRlIGZvciBUZWNobm9sb2dpY2FsIFJlc2VhcmNoLCBNb2wsIEJlbGdpdW0uJiN4RDtEZXBh
cnRtZW50IG9mIEVudmlyb25tZW50YWwgRXBpZGVtaW9sb2d5LCBOb2ZlciBJbnN0aXR1dGUgb2Yg
T2NjdXBhdGlvbmFsIE1lZGljaW5lLCBMb2R6LCBQb2xhbmQuJiN4RDtTY2hvb2wgb2YgUHVibGlj
IEhlYWx0aCwgUGh5c2lvdGhlcmFweSwgYW5kIFBvcHVsYXRpb24gU2NpZW5jZSwgVW5pdmVyc2l0
eSBDb2xsZWdlIER1YmxpbiwgRHVibGluLCBJcmVsYW5kLiYjeEQ7RGVwYXJ0bWVudCBvZiBFcGlk
ZW1pb2xvZ3ksIENBUEhSSSBTY2hvb2wgZm9yIFB1YmxpYyBIZWFsdGggYW5kIFByaW1hcnkgQ2Fy
ZSwgRmFjdWx0eSBvZiBIZWFsdGgsIE1lZGljaW5lIGFuZCBMaWZlIFNjaWVuY2VzLCBNYWFzdHJp
Y2h0IFVuaXZlcnNpdHkgTWVkaWNhbCBDZW50cmUrLCBNYWFzdHJpY2h0LCBOZXRoZXJsYW5kcy4m
I3hEO0NlbnRyb3MgZGUgSW52ZXN0aWdhY2lvbiBCaW9tZWRpY2EgZW4gUmVkIEVwaWRlbWlvbG9n
aWEgeSBTYWx1ZCBQdWJsaWNhLCBTcGFpbjE4RnVuZGFjaW9uIHBhcmEgZWwgRm9tZW50byBkZSBs
YSBJbnZlc3RpZ2FjaW9uIFNhbml0YXJpYSB5IEJpb21lZGljYSBkZSBsYSBDb211bml0YXQgVmFs
ZW5jaWFuYS1Vbml2ZXJzaXRhdCBKYXVtZSBJLCBVbml2ZXJzaXRhdCBkZSBWYWxlbmNpYSBKb2lu
dCBSZXNlYXJjaCBVbml0IG9mIEVwaWRlbWlvbG9neS4mI3hEO0NhbmNlciBFcGlkZW1pb2xvZ3kg
VW5pdCwgRGVwYXJ0bWVudCBvZiBNZWRpY2FsIFNjaWVuY2VzLCBVbml2ZXJzaXR5IG9mIFR1cmlu
IGFuZCBSZWZlcmVuY2UgQ2VudHJlIGZvciBFcGlkZW1pb2xvZ3kgYW5kIENhbmNlciBQcmV2ZW50
aW9uIGluIFBpZW1vbnRlLCBUdXJpbiwgSXRhbHkuJiN4RDtFbnZpcm9ubWVudGFsIFJpc2sgYW5k
IEhlYWx0aCwgRmxlbWlzaCBJbnN0aXR1dGUgZm9yIFRlY2hub2xvZ2ljYWwgUmVzZWFyY2gsIE1v
bCwgQmVsZ2l1bTIxVW5pdmVyc2l0eSBvZiBBbnR3ZXJwLCBBbnR3ZXJwLCBCZWxnaXVtOyBVbml2
ZXJzaXR5IG9mIFNvdXRoZXJuIERlbm1hcmssIE9kZW5zZSwgRGVubWFyay4mI3hEO0NlbnRyb3Mg
ZGUgSW52ZXN0aWdhY2lvbiBCaW9tZWRpY2EgZW4gUmVkIEVwaWRlbWlvbG9naWEgeSBTYWx1ZCBQ
dWJsaWNhLCBTcGFpbjIyQ2VudHJlIGZvciBSZXNlYXJjaCBpbiBFbnZpcm9ubWVudGFsIEVwaWRl
bWlvbG9neSwgQmFyY2Vsb25hLCBTcGFpbjIzUG9tcGV1IEZhYnJhIFVuaXZlcnNpdHksIEJhcmNl
bG9uYSwgU3BhaW4uJiN4RDtDZW50cm9zIGRlIEludmVzdGlnYWNpb24gQmlvbWVkaWNhIGVuIFJl
ZCBFcGlkZW1pb2xvZ2lhIHkgU2FsdWQgUHVibGljYSwgU3BhaW4yMkNlbnRyZSBmb3IgUmVzZWFy
Y2ggaW4gRW52aXJvbm1lbnRhbCBFcGlkZW1pb2xvZ3ksIEJhcmNlbG9uYSwgU3BhaW4yNERlcGFy
dG1lbnQgb2YgRXhwZXJpbWVudGFsIGFuZCBIZWFsdGggU2NpZW5jZXMsIFBvbXBldSBGYWJyYSBV
bml2ZXJzaXR5LCBCYXJjZWxvbmEsIFNwYWluLiYjeEQ7RGVwYXJ0bWVudCBvZiBQdWJsaWMgSGVh
bHRoLCBBY2FkZW1pYyBNZWRpY2FsIENlbnRyZSwgVW5pdmVyc2l0eSBvZiBBbXN0ZXJkYW0sIEFt
c3RlcmRhbSwgTmV0aGVybGFuZHMuJiN4RDtDZW50cmUgZm9yIE51dHJpdGlvbiwgUHJldmVudGlv
biBhbmQgSGVhbHRoIFNlcnZpY2VzLCBOYXRpb25hbCBJbnN0aXR1dGUgZm9yIFB1YmxpYyBIZWFs
dGggYW5kIHRoZSBFbnZpcm9ubWVudCwgQmlsdGhvdmVuLCBOZXRoZXJsYW5kcy4mI3hEO1NlY3Rp
b24gb2YgQ29tcGxleCBHZW5ldGljcywgRGVwYXJ0bWVudCBvZiBHZW5ldGljcyBhbmQgQ2VsbCBC
aW9sb2d5LCBOVVRSSU0gU2Nob29sIG9mIE51dHJpdGlvbiBhbmQgVHJhbnNsYXRpb25hbCBSZXNl
YXJjaCBpbiBNZXRhYm9saXNtLCBGYWN1bHR5IG9mIEhlYWx0aCwgTWVkaWNpbmUgYW5kIExpZmUg
U2NpZW5jZXMsIE1hYXN0cmljaHQgVW5pdmVyc2l0eSBNZWRpY2FsIENlbnRyZSssIE1hYXN0cmlj
aHQsIE5ldGhlcmxhbmRzMjdDQVBIUi4mI3hEO0NlbnRyb3MgZGUgSW52ZXN0aWdhY2lvbiBCaW9t
ZWRpY2EgZW4gUmVkIEVwaWRlbWlvbG9naWEgeSBTYWx1ZCBQdWJsaWNhLCBTcGFpbjI4Q2VudHJl
IGZvciBSZXNlYXJjaCBpbiBFbnZpcm9ubWVudGFsIEVwaWRlbWlvbG9neSwgQmFyY2Vsb25hLCBT
cGFpbjI5SW5zdGl0dXQgSG9zcGl0YWwgZGVsIE1hciBkJmFwb3M7SW52ZXN0aWdhY2lvbnMgTWVk
aXF1ZXMsIEJhcmNlbG9uYSwgU3BhaW4zME5hdGlvbmFsIFNjaG9vbCBvZiBQdWJsaWMgSGVhbHRo
LCBBLjwvYXV0aC1hZGRyZXNzPjx0aXRsZXM+PHRpdGxlPkZpc2ggSW50YWtlIGluIFByZWduYW5j
eSBhbmQgQ2hpbGQgR3Jvd3RoOiBBIFBvb2xlZCBBbmFseXNpcyBvZiAxNSBFdXJvcGVhbiBhbmQg
VVMgQmlydGggQ29ob3J0czwvdGl0bGU+PHNlY29uZGFyeS10aXRsZT5KQU1BIFBlZGlhdHI8L3Nl
Y29uZGFyeS10aXRsZT48L3RpdGxlcz48cGVyaW9kaWNhbD48ZnVsbC10aXRsZT5KQU1BIFBlZGlh
dHI8L2Z1bGwtdGl0bGU+PC9wZXJpb2RpY2FsPjxwYWdlcz4zODEtOTA8L3BhZ2VzPjx2b2x1bWU+
MTcwPC92b2x1bWU+PG51bWJlcj40PC9udW1iZXI+PGVkaXRpb24+MjAxNi8wMi8xODwvZWRpdGlv
bj48a2V5d29yZHM+PGtleXdvcmQ+QW5pbWFsczwva2V5d29yZD48a2V5d29yZD5Cb2R5IE1hc3Mg
SW5kZXg8L2tleXdvcmQ+PGtleXdvcmQ+Q2hpbGQ8L2tleXdvcmQ+PGtleXdvcmQ+Q2hpbGQgRGV2
ZWxvcG1lbnQ8L2tleXdvcmQ+PGtleXdvcmQ+Q2hpbGQsIFByZXNjaG9vbDwva2V5d29yZD48a2V5
d29yZD5Db2hvcnQgU3R1ZGllczwva2V5d29yZD48a2V5d29yZD4qRGlldDwva2V5d29yZD48a2V5
d29yZD5FdXJvcGU8L2tleXdvcmQ+PGtleXdvcmQ+RmVtYWxlPC9rZXl3b3JkPjxrZXl3b3JkPkZl
dGFsIERldmVsb3BtZW50LypwaHlzaW9sb2d5PC9rZXl3b3JkPjxrZXl3b3JkPipGaXNoZXM8L2tl
eXdvcmQ+PGtleXdvcmQ+Rm9sbG93LVVwIFN0dWRpZXM8L2tleXdvcmQ+PGtleXdvcmQ+SHVtYW5z
PC9rZXl3b3JkPjxrZXl3b3JkPkluZmFudDwva2V5d29yZD48a2V5d29yZD5JbmZhbnQsIE5ld2Jv
cm48L2tleXdvcmQ+PGtleXdvcmQ+TWFsZTwva2V5d29yZD48a2V5d29yZD5PdmVyd2VpZ2h0L2Vw
aWRlbWlvbG9neS8qZXRpb2xvZ3k8L2tleXdvcmQ+PGtleXdvcmQ+UGVkaWF0cmljIE9iZXNpdHkv
ZXBpZGVtaW9sb2d5LypldGlvbG9neTwva2V5d29yZD48a2V5d29yZD5QcmVnbmFuY3k8L2tleXdv
cmQ+PGtleXdvcmQ+KlByZWduYW5jeSBDb21wbGljYXRpb25zPC9rZXl3b3JkPjxrZXl3b3JkPlJp
c2sgRmFjdG9yczwva2V5d29yZD48a2V5d29yZD4qU2VhZm9vZDwva2V5d29yZD48a2V5d29yZD5V
bml0ZWQgU3RhdGVzPC9rZXl3b3JkPjwva2V5d29yZHM+PGRhdGVzPjx5ZWFyPjIwMTY8L3llYXI+
PHB1Yi1kYXRlcz48ZGF0ZT5BcHI8L2RhdGU+PC9wdWItZGF0ZXM+PC9kYXRlcz48aXNibj4yMTY4
LTYyMTEgKEVsZWN0cm9uaWMpJiN4RDsyMTY4LTYyMDMgKExpbmtpbmcpPC9pc2JuPjxhY2Nlc3Np
b24tbnVtPjI2ODgyNTQyPC9hY2Nlc3Npb24tbnVtPjx1cmxzPjxyZWxhdGVkLXVybHM+PHVybD5o
dHRwczovL3d3dy5uY2JpLm5sbS5uaWguZ292L3B1Ym1lZC8yNjg4MjU0MjwvdXJsPjwvcmVsYXRl
ZC11cmxzPjwvdXJscz48Y3VzdG9tMj5QTUM1MTAzNjM1PC9jdXN0b20yPjxlbGVjdHJvbmljLXJl
c291cmNlLW51bT4xMC4xMDAxL2phbWFwZWRpYXRyaWNzLjIwMTUuNDQzMDwvZWxlY3Ryb25pYy1y
ZXNvdXJjZS1udW0+PC9yZWNvcmQ+PC9DaXRlPjwvRW5kTm90ZT4A
</w:fldData>
        </w:fldChar>
      </w:r>
      <w:r w:rsidR="002747EA">
        <w:instrText xml:space="preserve"> ADDIN EN.CITE.DATA </w:instrText>
      </w:r>
      <w:r w:rsidR="002747EA">
        <w:fldChar w:fldCharType="end"/>
      </w:r>
      <w:r w:rsidR="006E4B59">
        <w:fldChar w:fldCharType="separate"/>
      </w:r>
      <w:r w:rsidR="002747EA" w:rsidRPr="002747EA">
        <w:rPr>
          <w:noProof/>
          <w:vertAlign w:val="superscript"/>
        </w:rPr>
        <w:t>80</w:t>
      </w:r>
      <w:r w:rsidR="006E4B59">
        <w:fldChar w:fldCharType="end"/>
      </w:r>
    </w:p>
    <w:p w14:paraId="6279A06C" w14:textId="10DCF760" w:rsidR="004C390A" w:rsidRPr="00082B09" w:rsidRDefault="004C390A" w:rsidP="006E4B59">
      <w:pPr>
        <w:pStyle w:val="bullet"/>
      </w:pPr>
      <w:r w:rsidRPr="00082B09">
        <w:t>children of mothers who consumed fish ≥1/week during pregnancy had lower mean BMI z scores than children of mothers who never consumed fish (</w:t>
      </w:r>
      <w:r w:rsidRPr="00082B09">
        <w:rPr>
          <w:sz w:val="16"/>
          <w:szCs w:val="16"/>
        </w:rPr>
        <w:t>n=1,025</w:t>
      </w:r>
      <w:r w:rsidRPr="00082B09">
        <w:t>) at the ages 4, 7, 8.5, and 11.5 years. After adjustment for maternal covariates (particularly pre-pregnancy BMI), BMI z scores in children were lower at 7 years (</w:t>
      </w:r>
      <w:r w:rsidRPr="00082B09">
        <w:rPr>
          <w:sz w:val="16"/>
          <w:szCs w:val="16"/>
        </w:rPr>
        <w:t>MD -0.14 95% CI -0.25 to -0.03</w:t>
      </w:r>
      <w:r w:rsidRPr="00082B09">
        <w:t>) but not at 4, 8.5 or 11.5 years</w:t>
      </w:r>
      <w:r w:rsidR="006E4B59">
        <w:t xml:space="preserve"> (</w:t>
      </w:r>
      <w:r w:rsidR="006E4B59" w:rsidRPr="004904BC">
        <w:rPr>
          <w:sz w:val="16"/>
          <w:szCs w:val="16"/>
        </w:rPr>
        <w:t>n</w:t>
      </w:r>
      <w:r w:rsidR="006E4B59" w:rsidRPr="00082B09">
        <w:rPr>
          <w:sz w:val="16"/>
          <w:szCs w:val="16"/>
        </w:rPr>
        <w:t>=3,684</w:t>
      </w:r>
      <w:r w:rsidR="006E4B59" w:rsidRPr="00082B09">
        <w:t>)</w:t>
      </w:r>
      <w:r w:rsidR="006E4B59">
        <w:t>.</w:t>
      </w:r>
      <w:r w:rsidR="00774750">
        <w:fldChar w:fldCharType="begin">
          <w:fldData xml:space="preserve">PEVuZE5vdGU+PENpdGU+PEF1dGhvcj52YW4gZGVuIEJlcmc8L0F1dGhvcj48WWVhcj4yMDE2PC9Z
ZWFyPjxSZWNOdW0+MTc0NDwvUmVjTnVtPjxEaXNwbGF5VGV4dD48c3R5bGUgZmFjZT0ic3VwZXJz
Y3JpcHQiIGZvbnQ9IlRyZWJ1Y2hldCBNUyIgc2l6ZT0iOSI+ODE8L3N0eWxlPjwvRGlzcGxheVRl
eHQ+PHJlY29yZD48cmVjLW51bWJlcj4xNzQ0PC9yZWMtbnVtYmVyPjxmb3JlaWduLWtleXM+PGtl
eSBhcHA9IkVOIiBkYi1pZD0iZXh2YXNyZngyZHRyYW9lc2FzeHAyc3pzeGEyZGY1MDI1OTJ4IiB0
aW1lc3RhbXA9IjE1ODI1MDYzMjQiPjE3NDQ8L2tleT48a2V5IGFwcD0iRU5XZWIiIGRiLWlkPSIi
PjA8L2tleT48L2ZvcmVpZ24ta2V5cz48cmVmLXR5cGUgbmFtZT0iSm91cm5hbCBBcnRpY2xlIj4x
NzwvcmVmLXR5cGU+PGNvbnRyaWJ1dG9ycz48YXV0aG9ycz48YXV0aG9yPnZhbiBkZW4gQmVyZywg
Uy4gVy48L2F1dGhvcj48YXV0aG9yPldpamdhLCBBLiBILjwvYXV0aG9yPjxhdXRob3I+dmFuIFJv
c3NlbSwgTC48L2F1dGhvcj48YXV0aG9yPkdlaHJpbmcsIFUuPC9hdXRob3I+PGF1dGhvcj5Lb3Bw
ZWxtYW4sIEcuIEguPC9hdXRob3I+PGF1dGhvcj5TbWl0LCBILiBBLjwvYXV0aG9yPjxhdXRob3I+
Qm9lciwgSi4gTS4gQS48L2F1dGhvcj48L2F1dGhvcnM+PC9jb250cmlidXRvcnM+PGF1dGgtYWRk
cmVzcz5DZW50cmUgZm9yIE51dHJpdGlvbiwgUHJldmVudGlvbiBhbmQgSGVhbHRoIFNlcnZpY2Vz
LCBOYXRpb25hbCBJbnN0aXR1dGUgZm9yIFB1YmxpYyBIZWFsdGggYW5kIHRoZSBFbnZpcm9ubWVu
dCAoUklWTSksIFAuTy4gQm94IDEsIDM3MjAgQkEsIEJpbHRob3ZlbiwgVGhlIE5ldGhlcmxhbmRz
LiBzYXNraWEudmFuLmRlbi5iZXJnQHJpdm0ubmwuJiN4RDtDZW50cmUgZm9yIE51dHJpdGlvbiwg
UHJldmVudGlvbiBhbmQgSGVhbHRoIFNlcnZpY2VzLCBOYXRpb25hbCBJbnN0aXR1dGUgZm9yIFB1
YmxpYyBIZWFsdGggYW5kIHRoZSBFbnZpcm9ubWVudCAoUklWTSksIFAuTy4gQm94IDEsIDM3MjAg
QkEsIEJpbHRob3ZlbiwgVGhlIE5ldGhlcmxhbmRzLiYjeEQ7SnVsaXVzIENlbnRlciBmb3IgSGVh
bHRoIFNjaWVuY2VzIGFuZCBQcmltYXJ5IENhcmUsIFVuaXZlcnNpdHkgTWVkaWNhbCBDZW50ZXIg
VXRyZWNodCwgVXRyZWNodCwgVGhlIE5ldGhlcmxhbmRzLiYjeEQ7RGl2aXNpb24gRW52aXJvbm1l
bnRhbCBFcGlkZW1pb2xvZ3kgKEVFUEkpLCBJbnN0aXR1dGUgZm9yIFJpc2sgQXNzZXNzbWVudCBT
Y2llbmNlcyAoSVJBUyksIFV0cmVjaHQgVW5pdmVyc2l0eSwgVXRyZWNodCwgVGhlIE5ldGhlcmxh
bmRzLiYjeEQ7RGVwYXJ0bWVudCBvZiBQZWRpYXRyaWMgUHVsbW9ub2xvZ3kgYW5kIFBlZGlhdHJp
YyBBbGxlcmdvbG9neSwgQmVhdHJpeCBDaGlsZHJlbiZhcG9zO3MgSG9zcGl0YWwsIFVuaXZlcnNp
dHkgTWVkaWNhbCBDZW50cmUgR3JvbmluZ2VuLCBVbml2ZXJzaXR5IG9mIEdyb25pbmdlbiwgR3Jv
bmluZ2VuLCBUaGUgTmV0aGVybGFuZHMuPC9hdXRoLWFkZHJlc3M+PHRpdGxlcz48dGl0bGU+TWF0
ZXJuYWwgZmlzaCBjb25zdW1wdGlvbiBkdXJpbmcgcHJlZ25hbmN5IGFuZCBCTUkgaW4gY2hpbGRy
ZW4gZnJvbSBiaXJ0aCB1cCB0byBhZ2UgMTQgeWVhcnM6IHRoZSBQSUFNQSBjb2hvcnQgc3R1ZHk8
L3RpdGxlPjxzZWNvbmRhcnktdGl0bGU+RXVyIEogTnV0cjwvc2Vjb25kYXJ5LXRpdGxlPjwvdGl0
bGVzPjxwZXJpb2RpY2FsPjxmdWxsLXRpdGxlPkV1ciBKIE51dHI8L2Z1bGwtdGl0bGU+PC9wZXJp
b2RpY2FsPjxwYWdlcz43OTktODA4PC9wYWdlcz48dm9sdW1lPjU1PC92b2x1bWU+PG51bWJlcj4y
PC9udW1iZXI+PGVkaXRpb24+MjAxNS8wNC8yMjwvZWRpdGlvbj48a2V5d29yZHM+PGtleXdvcmQ+
QWRvbGVzY2VudDwva2V5d29yZD48a2V5d29yZD5BbmltYWxzPC9rZXl3b3JkPjxrZXl3b3JkPipC
b2R5IE1hc3MgSW5kZXg8L2tleXdvcmQ+PGtleXdvcmQ+Qm9keSBXZWlnaHQ8L2tleXdvcmQ+PGtl
eXdvcmQ+QnJlYXN0IEZlZWRpbmc8L2tleXdvcmQ+PGtleXdvcmQ+Q2hpbGQ8L2tleXdvcmQ+PGtl
eXdvcmQ+Q2hpbGQsIFByZXNjaG9vbDwva2V5d29yZD48a2V5d29yZD4qRGlldDwva2V5d29yZD48
a2V5d29yZD5Eb2Nvc2FoZXhhZW5vaWMgQWNpZHMvYW5hbHlzaXM8L2tleXdvcmQ+PGtleXdvcmQ+
RWljb3NhcGVudGFlbm9pYyBBY2lkL2FuYWx5c2lzPC9rZXl3b3JkPjxrZXl3b3JkPkZlbWFsZTwv
a2V5d29yZD48a2V5d29yZD5GaXNoZXM8L2tleXdvcmQ+PGtleXdvcmQ+SHVtYW5zPC9rZXl3b3Jk
PjxrZXl3b3JkPkluZmFudDwva2V5d29yZD48a2V5d29yZD5Mb25naXR1ZGluYWwgU3R1ZGllczwv
a2V5d29yZD48a2V5d29yZD4qTWF0ZXJuYWwgTnV0cml0aW9uYWwgUGh5c2lvbG9naWNhbCBQaGVu
b21lbmE8L2tleXdvcmQ+PGtleXdvcmQ+TWlsaywgSHVtYW48L2tleXdvcmQ+PGtleXdvcmQ+UHJl
Z25hbmN5PC9rZXl3b3JkPjxrZXl3b3JkPlJpc2sgRmFjdG9yczwva2V5d29yZD48a2V5d29yZD4q
U2VhZm9vZDwva2V5d29yZD48a2V5d29yZD5TdXJ2ZXlzIGFuZCBRdWVzdGlvbm5haXJlczwva2V5
d29yZD48a2V5d29yZD5CbWk8L2tleXdvcmQ+PGtleXdvcmQ+Q2hpbGRyZW48L2tleXdvcmQ+PGtl
eXdvcmQ+RmlzaDwva2V5d29yZD48a2V5d29yZD5NYXRlcm5hbCBjb25zdW1wdGlvbjwva2V5d29y
ZD48L2tleXdvcmRzPjxkYXRlcz48eWVhcj4yMDE2PC95ZWFyPjxwdWItZGF0ZXM+PGRhdGU+TWFy
PC9kYXRlPjwvcHViLWRhdGVzPjwvZGF0ZXM+PGlzYm4+MTQzNi02MjE1IChFbGVjdHJvbmljKSYj
eEQ7MTQzNi02MjA3IChMaW5raW5nKTwvaXNibj48YWNjZXNzaW9uLW51bT4yNTg5MzcxODwvYWNj
ZXNzaW9uLW51bT48dXJscz48cmVsYXRlZC11cmxzPjx1cmw+aHR0cHM6Ly93d3cubmNiaS5ubG0u
bmloLmdvdi9wdWJtZWQvMjU4OTM3MTg8L3VybD48L3JlbGF0ZWQtdXJscz48L3VybHM+PGVsZWN0
cm9uaWMtcmVzb3VyY2UtbnVtPjEwLjEwMDcvczAwMzk0LTAxNS0wOTAxLTY8L2VsZWN0cm9uaWMt
cmVzb3VyY2UtbnVtPjwvcmVjb3JkPjwvQ2l0ZT48L0VuZE5vdGU+
</w:fldData>
        </w:fldChar>
      </w:r>
      <w:r w:rsidR="002747EA">
        <w:instrText xml:space="preserve"> ADDIN EN.CITE </w:instrText>
      </w:r>
      <w:r w:rsidR="002747EA">
        <w:fldChar w:fldCharType="begin">
          <w:fldData xml:space="preserve">PEVuZE5vdGU+PENpdGU+PEF1dGhvcj52YW4gZGVuIEJlcmc8L0F1dGhvcj48WWVhcj4yMDE2PC9Z
ZWFyPjxSZWNOdW0+MTc0NDwvUmVjTnVtPjxEaXNwbGF5VGV4dD48c3R5bGUgZmFjZT0ic3VwZXJz
Y3JpcHQiIGZvbnQ9IlRyZWJ1Y2hldCBNUyIgc2l6ZT0iOSI+ODE8L3N0eWxlPjwvRGlzcGxheVRl
eHQ+PHJlY29yZD48cmVjLW51bWJlcj4xNzQ0PC9yZWMtbnVtYmVyPjxmb3JlaWduLWtleXM+PGtl
eSBhcHA9IkVOIiBkYi1pZD0iZXh2YXNyZngyZHRyYW9lc2FzeHAyc3pzeGEyZGY1MDI1OTJ4IiB0
aW1lc3RhbXA9IjE1ODI1MDYzMjQiPjE3NDQ8L2tleT48a2V5IGFwcD0iRU5XZWIiIGRiLWlkPSIi
PjA8L2tleT48L2ZvcmVpZ24ta2V5cz48cmVmLXR5cGUgbmFtZT0iSm91cm5hbCBBcnRpY2xlIj4x
NzwvcmVmLXR5cGU+PGNvbnRyaWJ1dG9ycz48YXV0aG9ycz48YXV0aG9yPnZhbiBkZW4gQmVyZywg
Uy4gVy48L2F1dGhvcj48YXV0aG9yPldpamdhLCBBLiBILjwvYXV0aG9yPjxhdXRob3I+dmFuIFJv
c3NlbSwgTC48L2F1dGhvcj48YXV0aG9yPkdlaHJpbmcsIFUuPC9hdXRob3I+PGF1dGhvcj5Lb3Bw
ZWxtYW4sIEcuIEguPC9hdXRob3I+PGF1dGhvcj5TbWl0LCBILiBBLjwvYXV0aG9yPjxhdXRob3I+
Qm9lciwgSi4gTS4gQS48L2F1dGhvcj48L2F1dGhvcnM+PC9jb250cmlidXRvcnM+PGF1dGgtYWRk
cmVzcz5DZW50cmUgZm9yIE51dHJpdGlvbiwgUHJldmVudGlvbiBhbmQgSGVhbHRoIFNlcnZpY2Vz
LCBOYXRpb25hbCBJbnN0aXR1dGUgZm9yIFB1YmxpYyBIZWFsdGggYW5kIHRoZSBFbnZpcm9ubWVu
dCAoUklWTSksIFAuTy4gQm94IDEsIDM3MjAgQkEsIEJpbHRob3ZlbiwgVGhlIE5ldGhlcmxhbmRz
LiBzYXNraWEudmFuLmRlbi5iZXJnQHJpdm0ubmwuJiN4RDtDZW50cmUgZm9yIE51dHJpdGlvbiwg
UHJldmVudGlvbiBhbmQgSGVhbHRoIFNlcnZpY2VzLCBOYXRpb25hbCBJbnN0aXR1dGUgZm9yIFB1
YmxpYyBIZWFsdGggYW5kIHRoZSBFbnZpcm9ubWVudCAoUklWTSksIFAuTy4gQm94IDEsIDM3MjAg
QkEsIEJpbHRob3ZlbiwgVGhlIE5ldGhlcmxhbmRzLiYjeEQ7SnVsaXVzIENlbnRlciBmb3IgSGVh
bHRoIFNjaWVuY2VzIGFuZCBQcmltYXJ5IENhcmUsIFVuaXZlcnNpdHkgTWVkaWNhbCBDZW50ZXIg
VXRyZWNodCwgVXRyZWNodCwgVGhlIE5ldGhlcmxhbmRzLiYjeEQ7RGl2aXNpb24gRW52aXJvbm1l
bnRhbCBFcGlkZW1pb2xvZ3kgKEVFUEkpLCBJbnN0aXR1dGUgZm9yIFJpc2sgQXNzZXNzbWVudCBT
Y2llbmNlcyAoSVJBUyksIFV0cmVjaHQgVW5pdmVyc2l0eSwgVXRyZWNodCwgVGhlIE5ldGhlcmxh
bmRzLiYjeEQ7RGVwYXJ0bWVudCBvZiBQZWRpYXRyaWMgUHVsbW9ub2xvZ3kgYW5kIFBlZGlhdHJp
YyBBbGxlcmdvbG9neSwgQmVhdHJpeCBDaGlsZHJlbiZhcG9zO3MgSG9zcGl0YWwsIFVuaXZlcnNp
dHkgTWVkaWNhbCBDZW50cmUgR3JvbmluZ2VuLCBVbml2ZXJzaXR5IG9mIEdyb25pbmdlbiwgR3Jv
bmluZ2VuLCBUaGUgTmV0aGVybGFuZHMuPC9hdXRoLWFkZHJlc3M+PHRpdGxlcz48dGl0bGU+TWF0
ZXJuYWwgZmlzaCBjb25zdW1wdGlvbiBkdXJpbmcgcHJlZ25hbmN5IGFuZCBCTUkgaW4gY2hpbGRy
ZW4gZnJvbSBiaXJ0aCB1cCB0byBhZ2UgMTQgeWVhcnM6IHRoZSBQSUFNQSBjb2hvcnQgc3R1ZHk8
L3RpdGxlPjxzZWNvbmRhcnktdGl0bGU+RXVyIEogTnV0cjwvc2Vjb25kYXJ5LXRpdGxlPjwvdGl0
bGVzPjxwZXJpb2RpY2FsPjxmdWxsLXRpdGxlPkV1ciBKIE51dHI8L2Z1bGwtdGl0bGU+PC9wZXJp
b2RpY2FsPjxwYWdlcz43OTktODA4PC9wYWdlcz48dm9sdW1lPjU1PC92b2x1bWU+PG51bWJlcj4y
PC9udW1iZXI+PGVkaXRpb24+MjAxNS8wNC8yMjwvZWRpdGlvbj48a2V5d29yZHM+PGtleXdvcmQ+
QWRvbGVzY2VudDwva2V5d29yZD48a2V5d29yZD5BbmltYWxzPC9rZXl3b3JkPjxrZXl3b3JkPipC
b2R5IE1hc3MgSW5kZXg8L2tleXdvcmQ+PGtleXdvcmQ+Qm9keSBXZWlnaHQ8L2tleXdvcmQ+PGtl
eXdvcmQ+QnJlYXN0IEZlZWRpbmc8L2tleXdvcmQ+PGtleXdvcmQ+Q2hpbGQ8L2tleXdvcmQ+PGtl
eXdvcmQ+Q2hpbGQsIFByZXNjaG9vbDwva2V5d29yZD48a2V5d29yZD4qRGlldDwva2V5d29yZD48
a2V5d29yZD5Eb2Nvc2FoZXhhZW5vaWMgQWNpZHMvYW5hbHlzaXM8L2tleXdvcmQ+PGtleXdvcmQ+
RWljb3NhcGVudGFlbm9pYyBBY2lkL2FuYWx5c2lzPC9rZXl3b3JkPjxrZXl3b3JkPkZlbWFsZTwv
a2V5d29yZD48a2V5d29yZD5GaXNoZXM8L2tleXdvcmQ+PGtleXdvcmQ+SHVtYW5zPC9rZXl3b3Jk
PjxrZXl3b3JkPkluZmFudDwva2V5d29yZD48a2V5d29yZD5Mb25naXR1ZGluYWwgU3R1ZGllczwv
a2V5d29yZD48a2V5d29yZD4qTWF0ZXJuYWwgTnV0cml0aW9uYWwgUGh5c2lvbG9naWNhbCBQaGVu
b21lbmE8L2tleXdvcmQ+PGtleXdvcmQ+TWlsaywgSHVtYW48L2tleXdvcmQ+PGtleXdvcmQ+UHJl
Z25hbmN5PC9rZXl3b3JkPjxrZXl3b3JkPlJpc2sgRmFjdG9yczwva2V5d29yZD48a2V5d29yZD4q
U2VhZm9vZDwva2V5d29yZD48a2V5d29yZD5TdXJ2ZXlzIGFuZCBRdWVzdGlvbm5haXJlczwva2V5
d29yZD48a2V5d29yZD5CbWk8L2tleXdvcmQ+PGtleXdvcmQ+Q2hpbGRyZW48L2tleXdvcmQ+PGtl
eXdvcmQ+RmlzaDwva2V5d29yZD48a2V5d29yZD5NYXRlcm5hbCBjb25zdW1wdGlvbjwva2V5d29y
ZD48L2tleXdvcmRzPjxkYXRlcz48eWVhcj4yMDE2PC95ZWFyPjxwdWItZGF0ZXM+PGRhdGU+TWFy
PC9kYXRlPjwvcHViLWRhdGVzPjwvZGF0ZXM+PGlzYm4+MTQzNi02MjE1IChFbGVjdHJvbmljKSYj
eEQ7MTQzNi02MjA3IChMaW5raW5nKTwvaXNibj48YWNjZXNzaW9uLW51bT4yNTg5MzcxODwvYWNj
ZXNzaW9uLW51bT48dXJscz48cmVsYXRlZC11cmxzPjx1cmw+aHR0cHM6Ly93d3cubmNiaS5ubG0u
bmloLmdvdi9wdWJtZWQvMjU4OTM3MTg8L3VybD48L3JlbGF0ZWQtdXJscz48L3VybHM+PGVsZWN0
cm9uaWMtcmVzb3VyY2UtbnVtPjEwLjEwMDcvczAwMzk0LTAxNS0wOTAxLTY8L2VsZWN0cm9uaWMt
cmVzb3VyY2UtbnVtPjwvcmVjb3JkPjwvQ2l0ZT48L0VuZE5vdGU+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81</w:t>
      </w:r>
      <w:r w:rsidR="00774750">
        <w:fldChar w:fldCharType="end"/>
      </w:r>
    </w:p>
    <w:p w14:paraId="4EF196E1" w14:textId="4AF503C8" w:rsidR="000939A9" w:rsidRDefault="000939A9" w:rsidP="000939A9">
      <w:pPr>
        <w:pStyle w:val="Heading4"/>
      </w:pPr>
      <w:r>
        <w:t>Childhood allergy</w:t>
      </w:r>
      <w:r w:rsidR="00921AA1">
        <w:t xml:space="preserve"> and asthma</w:t>
      </w:r>
    </w:p>
    <w:p w14:paraId="58965468" w14:textId="24827000" w:rsidR="00FE3765" w:rsidRDefault="00FE3765" w:rsidP="00661A0E">
      <w:r>
        <w:t>A systematic review</w:t>
      </w:r>
      <w:r w:rsidR="00201490">
        <w:fldChar w:fldCharType="begin">
          <w:fldData xml:space="preserve">PEVuZE5vdGU+PENpdGU+PEF1dGhvcj5aaGFuZzwvQXV0aG9yPjxZZWFyPjIwMTc8L1llYXI+PFJl
Y051bT4xNTIxPC9SZWNOdW0+PERpc3BsYXlUZXh0PjxzdHlsZSBmYWNlPSJzdXBlcnNjcmlwdCIg
Zm9udD0iVHJlYnVjaGV0IE1TIiBzaXplPSI5Ij44Mjwvc3R5bGU+PC9EaXNwbGF5VGV4dD48cmVj
b3JkPjxyZWMtbnVtYmVyPjE1MjE8L3JlYy1udW1iZXI+PGZvcmVpZ24ta2V5cz48a2V5IGFwcD0i
RU4iIGRiLWlkPSJleHZhc3JmeDJkdHJhb2VzYXN4cDJzenN4YTJkZjUwMjU5MngiIHRpbWVzdGFt
cD0iMTU3NjQ3MTE4NiI+MTUyMTwva2V5PjxrZXkgYXBwPSJFTldlYiIgZGItaWQ9IiI+MDwva2V5
PjwvZm9yZWlnbi1rZXlzPjxyZWYtdHlwZSBuYW1lPSJKb3VybmFsIEFydGljbGUiPjE3PC9yZWYt
dHlwZT48Y29udHJpYnV0b3JzPjxhdXRob3JzPjxhdXRob3I+WmhhbmcsIEcuIFEuPC9hdXRob3I+
PGF1dGhvcj5MaXUsIEIuPC9hdXRob3I+PGF1dGhvcj5MaSwgSi48L2F1dGhvcj48YXV0aG9yPkx1
bywgQy4gUS48L2F1dGhvcj48YXV0aG9yPlpoYW5nLCBRLjwvYXV0aG9yPjxhdXRob3I+Q2hlbiwg
Si4gTC48L2F1dGhvcj48YXV0aG9yPlNpbmhhLCBBLjwvYXV0aG9yPjxhdXRob3I+TGksIFouIFku
PC9hdXRob3I+PC9hdXRob3JzPjwvY29udHJpYnV0b3JzPjxhdXRoLWFkZHJlc3M+TWluaXN0cnkg
b2YgRWR1Y2F0aW9uIEtleSBMYWJvcmF0b3J5IG9mIENoaWxkIERldmVsb3BtZW50IGFuZCBEaXNv
cmRlcnMsIEtleSBMYWJvcmF0b3J5IG9mIFBlZGlhdHJpY3MgaW4gQ2hvbmdxaW5nLCBDaG9uZ3Fp
bmcgSW50ZXJuYXRpb25hbCBTY2llbmNlIGFuZCBUZWNobm9sb2d5IENvb3BlcmF0aW9uIENlbnRl
ciBmb3IgQ2hpbGQgRGV2ZWxvcG1lbnQgYW5kIERpc29yZGVycywgRGVwYXJ0bWVudCBvZiBHYXN0
cm9lbnRlcm9sb2d5LCBDaGlsZHJlbiZhcG9zO3MgSG9zcGl0YWwgb2YgQ2hvbmdxaW5nIE1lZGlj
YWwgVW5pdmVyc2l0eSwgQ2hvbmdxaW5nLCBDaGluYS4mI3hEO0RlcGFydG1lbnQgb2YgR2VyaWF0
cmljcywgdGhlIEZpcnN0IEFmZmlsaWF0ZWQgSG9zcGl0YWwgb2YgQ2hvbmdxaW5nIE1lZGljYWwg
VW5pdmVyc2l0eSwgQ2hvbmdxaW5nLCBDaGluYS4mI3hEO0RpdmlzaW9uIG9mIFJlcHJvZHVjdGl2
ZSBhbmQgQ2hpbGQgSGVhbHRoLCBJbmRpYW4gQ291bmNpbCBvZiBNZWRpY2FsIFJlc2VhcmNoLCBO
ZXcgRGVsaGksIERlbGhpLCBJbmRpYS48L2F1dGgtYWRkcmVzcz48dGl0bGVzPjx0aXRsZT5GaXNo
IGludGFrZSBkdXJpbmcgcHJlZ25hbmN5IG9yIGluZmFuY3kgYW5kIGFsbGVyZ2ljIG91dGNvbWVz
IGluIGNoaWxkcmVuOiBBIHN5c3RlbWF0aWMgcmV2aWV3IGFuZCBtZXRhLWFuYWx5c2lzPC90aXRs
ZT48c2Vjb25kYXJ5LXRpdGxlPlBlZGlhdHIgQWxsZXJneSBJbW11bm9sPC9zZWNvbmRhcnktdGl0
bGU+PC90aXRsZXM+PHBlcmlvZGljYWw+PGZ1bGwtdGl0bGU+UGVkaWF0ciBBbGxlcmd5IEltbXVu
b2w8L2Z1bGwtdGl0bGU+PC9wZXJpb2RpY2FsPjxwYWdlcz4xNTItMTYxPC9wYWdlcz48dm9sdW1l
PjI4PC92b2x1bWU+PG51bWJlcj4yPC9udW1iZXI+PGVkaXRpb24+MjAxNi8xMC8zMDwvZWRpdGlv
bj48a2V5d29yZHM+PGtleXdvcmQ+Q2hpbGQ8L2tleXdvcmQ+PGtleXdvcmQ+RGlldDwva2V5d29y
ZD48a2V5d29yZD4qRWF0aW5nPC9rZXl3b3JkPjxrZXl3b3JkPkZhdHR5IEFjaWRzLCBPbWVnYS0z
LyptZXRhYm9saXNtPC9rZXl3b3JkPjxrZXl3b3JkPkZlbWFsZTwva2V5d29yZD48a2V5d29yZD4q
RmlzaCBQcm9kdWN0czwva2V5d29yZD48a2V5d29yZD5IdW1hbnM8L2tleXdvcmQ+PGtleXdvcmQ+
SHlwZXJzZW5zaXRpdml0eS8qZXBpZGVtaW9sb2d5PC9rZXl3b3JkPjxrZXl3b3JkPlByZWduYW5j
eTwva2V5d29yZD48a2V5d29yZD5QcmVuYXRhbCBFeHBvc3VyZSBEZWxheWVkIEVmZmVjdHMvKmVw
aWRlbWlvbG9neTwva2V5d29yZD48a2V5d29yZD4qYWxsZXJnZW5pYyBmb29kczwva2V5d29yZD48
a2V5d29yZD4qYWxsZXJnaWMgb3V0Y29tZTwva2V5d29yZD48a2V5d29yZD4qYWxsZXJneTwva2V5
d29yZD48a2V5d29yZD4qY2hpbGRyZW48L2tleXdvcmQ+PGtleXdvcmQ+KmZpc2g8L2tleXdvcmQ+
PGtleXdvcmQ+Km51dHJpdGlvbjwva2V5d29yZD48L2tleXdvcmRzPjxkYXRlcz48eWVhcj4yMDE3
PC95ZWFyPjxwdWItZGF0ZXM+PGRhdGU+TWFyPC9kYXRlPjwvcHViLWRhdGVzPjwvZGF0ZXM+PGlz
Ym4+MTM5OS0zMDM4IChFbGVjdHJvbmljKSYjeEQ7MDkwNS02MTU3IChMaW5raW5nKTwvaXNibj48
YWNjZXNzaW9uLW51bT4yNzU5MDU3MTwvYWNjZXNzaW9uLW51bT48dXJscz48cmVsYXRlZC11cmxz
Pjx1cmw+aHR0cHM6Ly93d3cubmNiaS5ubG0ubmloLmdvdi9wdWJtZWQvMjc1OTA1NzE8L3VybD48
L3JlbGF0ZWQtdXJscz48L3VybHM+PGVsZWN0cm9uaWMtcmVzb3VyY2UtbnVtPjEwLjExMTEvcGFp
LjEyNjQ4PC9lbGVjdHJvbmljLXJlc291cmNlLW51bT48L3JlY29yZD48L0NpdGU+PC9FbmROb3Rl
PgB=
</w:fldData>
        </w:fldChar>
      </w:r>
      <w:r w:rsidR="002747EA">
        <w:instrText xml:space="preserve"> ADDIN EN.CITE </w:instrText>
      </w:r>
      <w:r w:rsidR="002747EA">
        <w:fldChar w:fldCharType="begin">
          <w:fldData xml:space="preserve">PEVuZE5vdGU+PENpdGU+PEF1dGhvcj5aaGFuZzwvQXV0aG9yPjxZZWFyPjIwMTc8L1llYXI+PFJl
Y051bT4xNTIxPC9SZWNOdW0+PERpc3BsYXlUZXh0PjxzdHlsZSBmYWNlPSJzdXBlcnNjcmlwdCIg
Zm9udD0iVHJlYnVjaGV0IE1TIiBzaXplPSI5Ij44Mjwvc3R5bGU+PC9EaXNwbGF5VGV4dD48cmVj
b3JkPjxyZWMtbnVtYmVyPjE1MjE8L3JlYy1udW1iZXI+PGZvcmVpZ24ta2V5cz48a2V5IGFwcD0i
RU4iIGRiLWlkPSJleHZhc3JmeDJkdHJhb2VzYXN4cDJzenN4YTJkZjUwMjU5MngiIHRpbWVzdGFt
cD0iMTU3NjQ3MTE4NiI+MTUyMTwva2V5PjxrZXkgYXBwPSJFTldlYiIgZGItaWQ9IiI+MDwva2V5
PjwvZm9yZWlnbi1rZXlzPjxyZWYtdHlwZSBuYW1lPSJKb3VybmFsIEFydGljbGUiPjE3PC9yZWYt
dHlwZT48Y29udHJpYnV0b3JzPjxhdXRob3JzPjxhdXRob3I+WmhhbmcsIEcuIFEuPC9hdXRob3I+
PGF1dGhvcj5MaXUsIEIuPC9hdXRob3I+PGF1dGhvcj5MaSwgSi48L2F1dGhvcj48YXV0aG9yPkx1
bywgQy4gUS48L2F1dGhvcj48YXV0aG9yPlpoYW5nLCBRLjwvYXV0aG9yPjxhdXRob3I+Q2hlbiwg
Si4gTC48L2F1dGhvcj48YXV0aG9yPlNpbmhhLCBBLjwvYXV0aG9yPjxhdXRob3I+TGksIFouIFku
PC9hdXRob3I+PC9hdXRob3JzPjwvY29udHJpYnV0b3JzPjxhdXRoLWFkZHJlc3M+TWluaXN0cnkg
b2YgRWR1Y2F0aW9uIEtleSBMYWJvcmF0b3J5IG9mIENoaWxkIERldmVsb3BtZW50IGFuZCBEaXNv
cmRlcnMsIEtleSBMYWJvcmF0b3J5IG9mIFBlZGlhdHJpY3MgaW4gQ2hvbmdxaW5nLCBDaG9uZ3Fp
bmcgSW50ZXJuYXRpb25hbCBTY2llbmNlIGFuZCBUZWNobm9sb2d5IENvb3BlcmF0aW9uIENlbnRl
ciBmb3IgQ2hpbGQgRGV2ZWxvcG1lbnQgYW5kIERpc29yZGVycywgRGVwYXJ0bWVudCBvZiBHYXN0
cm9lbnRlcm9sb2d5LCBDaGlsZHJlbiZhcG9zO3MgSG9zcGl0YWwgb2YgQ2hvbmdxaW5nIE1lZGlj
YWwgVW5pdmVyc2l0eSwgQ2hvbmdxaW5nLCBDaGluYS4mI3hEO0RlcGFydG1lbnQgb2YgR2VyaWF0
cmljcywgdGhlIEZpcnN0IEFmZmlsaWF0ZWQgSG9zcGl0YWwgb2YgQ2hvbmdxaW5nIE1lZGljYWwg
VW5pdmVyc2l0eSwgQ2hvbmdxaW5nLCBDaGluYS4mI3hEO0RpdmlzaW9uIG9mIFJlcHJvZHVjdGl2
ZSBhbmQgQ2hpbGQgSGVhbHRoLCBJbmRpYW4gQ291bmNpbCBvZiBNZWRpY2FsIFJlc2VhcmNoLCBO
ZXcgRGVsaGksIERlbGhpLCBJbmRpYS48L2F1dGgtYWRkcmVzcz48dGl0bGVzPjx0aXRsZT5GaXNo
IGludGFrZSBkdXJpbmcgcHJlZ25hbmN5IG9yIGluZmFuY3kgYW5kIGFsbGVyZ2ljIG91dGNvbWVz
IGluIGNoaWxkcmVuOiBBIHN5c3RlbWF0aWMgcmV2aWV3IGFuZCBtZXRhLWFuYWx5c2lzPC90aXRs
ZT48c2Vjb25kYXJ5LXRpdGxlPlBlZGlhdHIgQWxsZXJneSBJbW11bm9sPC9zZWNvbmRhcnktdGl0
bGU+PC90aXRsZXM+PHBlcmlvZGljYWw+PGZ1bGwtdGl0bGU+UGVkaWF0ciBBbGxlcmd5IEltbXVu
b2w8L2Z1bGwtdGl0bGU+PC9wZXJpb2RpY2FsPjxwYWdlcz4xNTItMTYxPC9wYWdlcz48dm9sdW1l
PjI4PC92b2x1bWU+PG51bWJlcj4yPC9udW1iZXI+PGVkaXRpb24+MjAxNi8xMC8zMDwvZWRpdGlv
bj48a2V5d29yZHM+PGtleXdvcmQ+Q2hpbGQ8L2tleXdvcmQ+PGtleXdvcmQ+RGlldDwva2V5d29y
ZD48a2V5d29yZD4qRWF0aW5nPC9rZXl3b3JkPjxrZXl3b3JkPkZhdHR5IEFjaWRzLCBPbWVnYS0z
LyptZXRhYm9saXNtPC9rZXl3b3JkPjxrZXl3b3JkPkZlbWFsZTwva2V5d29yZD48a2V5d29yZD4q
RmlzaCBQcm9kdWN0czwva2V5d29yZD48a2V5d29yZD5IdW1hbnM8L2tleXdvcmQ+PGtleXdvcmQ+
SHlwZXJzZW5zaXRpdml0eS8qZXBpZGVtaW9sb2d5PC9rZXl3b3JkPjxrZXl3b3JkPlByZWduYW5j
eTwva2V5d29yZD48a2V5d29yZD5QcmVuYXRhbCBFeHBvc3VyZSBEZWxheWVkIEVmZmVjdHMvKmVw
aWRlbWlvbG9neTwva2V5d29yZD48a2V5d29yZD4qYWxsZXJnZW5pYyBmb29kczwva2V5d29yZD48
a2V5d29yZD4qYWxsZXJnaWMgb3V0Y29tZTwva2V5d29yZD48a2V5d29yZD4qYWxsZXJneTwva2V5
d29yZD48a2V5d29yZD4qY2hpbGRyZW48L2tleXdvcmQ+PGtleXdvcmQ+KmZpc2g8L2tleXdvcmQ+
PGtleXdvcmQ+Km51dHJpdGlvbjwva2V5d29yZD48L2tleXdvcmRzPjxkYXRlcz48eWVhcj4yMDE3
PC95ZWFyPjxwdWItZGF0ZXM+PGRhdGU+TWFyPC9kYXRlPjwvcHViLWRhdGVzPjwvZGF0ZXM+PGlz
Ym4+MTM5OS0zMDM4IChFbGVjdHJvbmljKSYjeEQ7MDkwNS02MTU3IChMaW5raW5nKTwvaXNibj48
YWNjZXNzaW9uLW51bT4yNzU5MDU3MTwvYWNjZXNzaW9uLW51bT48dXJscz48cmVsYXRlZC11cmxz
Pjx1cmw+aHR0cHM6Ly93d3cubmNiaS5ubG0ubmloLmdvdi9wdWJtZWQvMjc1OTA1NzE8L3VybD48
L3JlbGF0ZWQtdXJscz48L3VybHM+PGVsZWN0cm9uaWMtcmVzb3VyY2UtbnVtPjEwLjExMTEvcGFp
LjEyNjQ4PC9lbGVjdHJvbmljLXJlc291cmNlLW51bT48L3JlY29yZD48L0NpdGU+PC9FbmROb3Rl
PgB=
</w:fldData>
        </w:fldChar>
      </w:r>
      <w:r w:rsidR="002747EA">
        <w:instrText xml:space="preserve"> ADDIN EN.CITE.DATA </w:instrText>
      </w:r>
      <w:r w:rsidR="002747EA">
        <w:fldChar w:fldCharType="end"/>
      </w:r>
      <w:r w:rsidR="00201490">
        <w:fldChar w:fldCharType="separate"/>
      </w:r>
      <w:r w:rsidR="002747EA" w:rsidRPr="002747EA">
        <w:rPr>
          <w:noProof/>
          <w:vertAlign w:val="superscript"/>
        </w:rPr>
        <w:t>82</w:t>
      </w:r>
      <w:r w:rsidR="00201490">
        <w:fldChar w:fldCharType="end"/>
      </w:r>
      <w:r>
        <w:t xml:space="preserve"> found that </w:t>
      </w:r>
      <w:r w:rsidRPr="00133BAF">
        <w:t xml:space="preserve">maternal fish intake during pregnancy was not associated with lower risk of </w:t>
      </w:r>
      <w:r>
        <w:t>infant eczema (</w:t>
      </w:r>
      <w:r w:rsidRPr="00FE3765">
        <w:rPr>
          <w:sz w:val="16"/>
          <w:szCs w:val="16"/>
        </w:rPr>
        <w:t>RR 0.88; 95%CI 0.75 to 1.04; 10 studies</w:t>
      </w:r>
      <w:r>
        <w:t>), wheeze (</w:t>
      </w:r>
      <w:r w:rsidRPr="00FE3765">
        <w:rPr>
          <w:sz w:val="16"/>
          <w:szCs w:val="16"/>
        </w:rPr>
        <w:t>RR 0.94; 95%CI 0.83 to 1.07; 8 studies</w:t>
      </w:r>
      <w:r>
        <w:t>), allergic rhinitis (</w:t>
      </w:r>
      <w:r w:rsidRPr="00FE3765">
        <w:rPr>
          <w:sz w:val="16"/>
          <w:szCs w:val="16"/>
        </w:rPr>
        <w:t>RR 0.95; 95%CI 0.62 to 1.45; 3 studies</w:t>
      </w:r>
      <w:r>
        <w:t>) or asthma (</w:t>
      </w:r>
      <w:r w:rsidRPr="00FE3765">
        <w:rPr>
          <w:sz w:val="16"/>
          <w:szCs w:val="16"/>
        </w:rPr>
        <w:t>RR 0.94; 95%CI 0.75 to 1.18; 4 studies</w:t>
      </w:r>
      <w:r>
        <w:t>).</w:t>
      </w:r>
    </w:p>
    <w:p w14:paraId="1CF5C973" w14:textId="77777777" w:rsidR="0013058F" w:rsidRDefault="0013058F" w:rsidP="0066618E">
      <w:pPr>
        <w:keepNext/>
      </w:pPr>
      <w:r>
        <w:t>Cohort studies found:</w:t>
      </w:r>
    </w:p>
    <w:p w14:paraId="54DF4EDA" w14:textId="3E19C362" w:rsidR="000939A9" w:rsidRDefault="0013058F" w:rsidP="0066618E">
      <w:pPr>
        <w:pStyle w:val="bullet"/>
        <w:keepNext/>
      </w:pPr>
      <w:r>
        <w:t>n</w:t>
      </w:r>
      <w:r w:rsidR="000939A9" w:rsidRPr="004C463B">
        <w:t xml:space="preserve">o </w:t>
      </w:r>
      <w:r w:rsidR="000939A9">
        <w:t>relationship between frequency</w:t>
      </w:r>
      <w:r w:rsidR="000939A9" w:rsidRPr="004C463B">
        <w:t xml:space="preserve"> of maternal intake of fish and </w:t>
      </w:r>
      <w:r>
        <w:t xml:space="preserve">infant </w:t>
      </w:r>
      <w:r w:rsidR="000939A9" w:rsidRPr="004C463B">
        <w:t>eczema</w:t>
      </w:r>
      <w:r w:rsidR="000939A9">
        <w:t xml:space="preserve"> (</w:t>
      </w:r>
      <w:r w:rsidR="000939A9" w:rsidRPr="000939A9">
        <w:rPr>
          <w:sz w:val="16"/>
          <w:szCs w:val="16"/>
        </w:rPr>
        <w:t>p=0.132</w:t>
      </w:r>
      <w:r>
        <w:t>) (</w:t>
      </w:r>
      <w:r w:rsidRPr="000939A9">
        <w:rPr>
          <w:sz w:val="16"/>
          <w:szCs w:val="16"/>
        </w:rPr>
        <w:t>n=650</w:t>
      </w:r>
      <w:r>
        <w:t>)</w:t>
      </w:r>
      <w:r>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 </w:instrText>
      </w:r>
      <w:r w:rsidR="002747EA">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83</w:t>
      </w:r>
      <w:r>
        <w:fldChar w:fldCharType="end"/>
      </w:r>
    </w:p>
    <w:p w14:paraId="4FD7CB5D" w14:textId="5D0B6A6C" w:rsidR="0066618E" w:rsidRDefault="0066618E" w:rsidP="0066618E">
      <w:pPr>
        <w:pStyle w:val="bullet"/>
        <w:keepNext/>
      </w:pPr>
      <w:r>
        <w:t>a higher risk of asthma diagnosis at 18 months among infants of women who ate no fish during pregnancy compared to those who ate fish at least 2 times a week (</w:t>
      </w:r>
      <w:r w:rsidRPr="0066618E">
        <w:rPr>
          <w:sz w:val="16"/>
          <w:szCs w:val="16"/>
        </w:rPr>
        <w:t>OR 1.30, 95%CI 1.05 to 1.63, p=0.02</w:t>
      </w:r>
      <w:r w:rsidRPr="0066618E">
        <w:t xml:space="preserve">) </w:t>
      </w:r>
      <w:r>
        <w:t>(</w:t>
      </w:r>
      <w:r w:rsidRPr="0066618E">
        <w:rPr>
          <w:sz w:val="16"/>
          <w:szCs w:val="16"/>
        </w:rPr>
        <w:t>n=28,936</w:t>
      </w:r>
      <w:r>
        <w:t>)</w:t>
      </w:r>
      <w:r w:rsidR="00774750">
        <w:fldChar w:fldCharType="begin">
          <w:fldData xml:space="preserve">PEVuZE5vdGU+PENpdGU+PEF1dGhvcj5NYXNsb3ZhPC9BdXRob3I+PFllYXI+MjAxMzwvWWVhcj48
UmVjTnVtPjE3MTg8L1JlY051bT48RGlzcGxheVRleHQ+PHN0eWxlIGZhY2U9InN1cGVyc2NyaXB0
IiBmb250PSJUcmVidWNoZXQgTVMiIHNpemU9IjkiPjg0PC9zdHlsZT48L0Rpc3BsYXlUZXh0Pjxy
ZWNvcmQ+PHJlYy1udW1iZXI+MTcxODwvcmVjLW51bWJlcj48Zm9yZWlnbi1rZXlzPjxrZXkgYXBw
PSJFTiIgZGItaWQ9ImV4dmFzcmZ4MmR0cmFvZXNhc3hwMnN6c3hhMmRmNTAyNTkyeCIgdGltZXN0
YW1wPSIxNTgyNTA2MTQ0Ij4xNzE4PC9rZXk+PGtleSBhcHA9IkVOV2ViIiBkYi1pZD0iIj4wPC9r
ZXk+PC9mb3JlaWduLWtleXM+PHJlZi10eXBlIG5hbWU9IkpvdXJuYWwgQXJ0aWNsZSI+MTc8L3Jl
Zi10eXBlPjxjb250cmlidXRvcnM+PGF1dGhvcnM+PGF1dGhvcj5NYXNsb3ZhLCBFLjwvYXV0aG9y
PjxhdXRob3I+U3Ryb20sIE0uPC9hdXRob3I+PGF1dGhvcj5Pa2VuLCBFLjwvYXV0aG9yPjxhdXRo
b3I+Q2FtcG9zLCBILjwvYXV0aG9yPjxhdXRob3I+TGFuZ2UsIEMuPC9hdXRob3I+PGF1dGhvcj5H
b2xkLCBELjwvYXV0aG9yPjxhdXRob3I+T2xzZW4sIFMuIEYuPC9hdXRob3I+PC9hdXRob3JzPjwv
Y29udHJpYnV0b3JzPjxhdXRoLWFkZHJlc3M+Q2VudHJlIGZvciBGZXRhbCBQcm9ncmFtbWluZywg
RGVwYXJ0bWVudCBvZiBFcGlkZW1pb2xvZ3ksIFN0YXRlbnMgU2VydW0gSW5zdGl0dXQsIEFydGls
bGVyaXZlaiA1LCAyMzAwIENvcGVuaGFnZW4sIERlbm1hcmsuPC9hdXRoLWFkZHJlc3M+PHRpdGxl
cz48dGl0bGU+RmlzaCBpbnRha2UgZHVyaW5nIHByZWduYW5jeSBhbmQgdGhlIHJpc2sgb2YgY2hp
bGQgYXN0aG1hIGFuZCBhbGxlcmdpYyByaGluaXRpcyAtIGxvbmdpdHVkaW5hbCBldmlkZW5jZSBm
cm9tIHRoZSBEYW5pc2ggTmF0aW9uYWwgQmlydGggQ29ob3J0PC90aXRsZT48c2Vjb25kYXJ5LXRp
dGxlPkJyIEogTnV0cjwvc2Vjb25kYXJ5LXRpdGxlPjwvdGl0bGVzPjxwZXJpb2RpY2FsPjxmdWxs
LXRpdGxlPkJyIEogTnV0cjwvZnVsbC10aXRsZT48L3BlcmlvZGljYWw+PHBhZ2VzPjEzMTMtMjU8
L3BhZ2VzPjx2b2x1bWU+MTEwPC92b2x1bWU+PG51bWJlcj43PC9udW1iZXI+PGVkaXRpb24+MjAx
My8wMy8xMjwvZWRpdGlvbj48a2V5d29yZHM+PGtleXdvcmQ+QWRvbGVzY2VudDwva2V5d29yZD48
a2V5d29yZD5BZHVsdDwva2V5d29yZD48a2V5d29yZD5BbmltYWxzPC9rZXl3b3JkPjxrZXl3b3Jk
PkFzdGhtYS8qcHJldmVudGlvbiAmYW1wOyBjb250cm9sPC9rZXl3b3JkPjxrZXl3b3JkPkNoaWxk
PC9rZXl3b3JkPjxrZXl3b3JkPkRlbm1hcms8L2tleXdvcmQ+PGtleXdvcmQ+KkRpZXQ8L2tleXdv
cmQ+PGtleXdvcmQ+RmVtYWxlPC9rZXl3b3JkPjxrZXl3b3JkPipGaXNoZXM8L2tleXdvcmQ+PGtl
eXdvcmQ+SG9zcGl0YWxpemF0aW9uPC9rZXl3b3JkPjxrZXl3b3JkPkh1bWFuczwva2V5d29yZD48
a2V5d29yZD5Mb2dpc3RpYyBNb2RlbHM8L2tleXdvcmQ+PGtleXdvcmQ+TG9uZ2l0dWRpbmFsIFN0
dWRpZXM8L2tleXdvcmQ+PGtleXdvcmQ+TWFsZTwva2V5d29yZD48a2V5d29yZD5NZWFsczwva2V5
d29yZD48a2V5d29yZD5Nb3RoZXJzPC9rZXl3b3JkPjxrZXl3b3JkPk9kZHMgUmF0aW88L2tleXdv
cmQ+PGtleXdvcmQ+UHJlZ25hbmN5PC9rZXl3b3JkPjxrZXl3b3JkPlJlc3BpcmF0b3J5IFNvdW5k
czwva2V5d29yZD48a2V5d29yZD5SaGluaXRpcywgQWxsZXJnaWM8L2tleXdvcmQ+PGtleXdvcmQ+
Umhpbml0aXMsIEFsbGVyZ2ljLCBQZXJlbm5pYWwvKnByZXZlbnRpb24gJmFtcDsgY29udHJvbDwv
a2V5d29yZD48a2V5d29yZD5SaXNrPC9rZXl3b3JkPjxrZXl3b3JkPipTZWFmb29kPC9rZXl3b3Jk
PjxrZXl3b3JkPlNlbGYgUmVwb3J0PC9rZXl3b3JkPjxrZXl3b3JkPllvdW5nIEFkdWx0PC9rZXl3
b3JkPjwva2V5d29yZHM+PGRhdGVzPjx5ZWFyPjIwMTM8L3llYXI+PHB1Yi1kYXRlcz48ZGF0ZT5P
Y3Q8L2RhdGU+PC9wdWItZGF0ZXM+PC9kYXRlcz48aXNibj4xNDc1LTI2NjIgKEVsZWN0cm9uaWMp
JiN4RDswMDA3LTExNDUgKExpbmtpbmcpPC9pc2JuPjxhY2Nlc3Npb24tbnVtPjIzNDczMTIwPC9h
Y2Nlc3Npb24tbnVtPjx1cmxzPjxyZWxhdGVkLXVybHM+PHVybD5odHRwczovL3d3dy5uY2JpLm5s
bS5uaWguZ292L3B1Ym1lZC8yMzQ3MzEyMDwvdXJsPjwvcmVsYXRlZC11cmxzPjwvdXJscz48Y3Vz
dG9tMj5QTUM0MDM1MzU0PC9jdXN0b20yPjxlbGVjdHJvbmljLXJlc291cmNlLW51bT4xMC4xMDE3
L1MwMDA3MTE0NTEzMDAwMzhYPC9lbGVjdHJvbmljLXJlc291cmNlLW51bT48L3JlY29yZD48L0Np
dGU+PC9FbmROb3RlPn==
</w:fldData>
        </w:fldChar>
      </w:r>
      <w:r w:rsidR="002747EA">
        <w:instrText xml:space="preserve"> ADDIN EN.CITE </w:instrText>
      </w:r>
      <w:r w:rsidR="002747EA">
        <w:fldChar w:fldCharType="begin">
          <w:fldData xml:space="preserve">PEVuZE5vdGU+PENpdGU+PEF1dGhvcj5NYXNsb3ZhPC9BdXRob3I+PFllYXI+MjAxMzwvWWVhcj48
UmVjTnVtPjE3MTg8L1JlY051bT48RGlzcGxheVRleHQ+PHN0eWxlIGZhY2U9InN1cGVyc2NyaXB0
IiBmb250PSJUcmVidWNoZXQgTVMiIHNpemU9IjkiPjg0PC9zdHlsZT48L0Rpc3BsYXlUZXh0Pjxy
ZWNvcmQ+PHJlYy1udW1iZXI+MTcxODwvcmVjLW51bWJlcj48Zm9yZWlnbi1rZXlzPjxrZXkgYXBw
PSJFTiIgZGItaWQ9ImV4dmFzcmZ4MmR0cmFvZXNhc3hwMnN6c3hhMmRmNTAyNTkyeCIgdGltZXN0
YW1wPSIxNTgyNTA2MTQ0Ij4xNzE4PC9rZXk+PGtleSBhcHA9IkVOV2ViIiBkYi1pZD0iIj4wPC9r
ZXk+PC9mb3JlaWduLWtleXM+PHJlZi10eXBlIG5hbWU9IkpvdXJuYWwgQXJ0aWNsZSI+MTc8L3Jl
Zi10eXBlPjxjb250cmlidXRvcnM+PGF1dGhvcnM+PGF1dGhvcj5NYXNsb3ZhLCBFLjwvYXV0aG9y
PjxhdXRob3I+U3Ryb20sIE0uPC9hdXRob3I+PGF1dGhvcj5Pa2VuLCBFLjwvYXV0aG9yPjxhdXRo
b3I+Q2FtcG9zLCBILjwvYXV0aG9yPjxhdXRob3I+TGFuZ2UsIEMuPC9hdXRob3I+PGF1dGhvcj5H
b2xkLCBELjwvYXV0aG9yPjxhdXRob3I+T2xzZW4sIFMuIEYuPC9hdXRob3I+PC9hdXRob3JzPjwv
Y29udHJpYnV0b3JzPjxhdXRoLWFkZHJlc3M+Q2VudHJlIGZvciBGZXRhbCBQcm9ncmFtbWluZywg
RGVwYXJ0bWVudCBvZiBFcGlkZW1pb2xvZ3ksIFN0YXRlbnMgU2VydW0gSW5zdGl0dXQsIEFydGls
bGVyaXZlaiA1LCAyMzAwIENvcGVuaGFnZW4sIERlbm1hcmsuPC9hdXRoLWFkZHJlc3M+PHRpdGxl
cz48dGl0bGU+RmlzaCBpbnRha2UgZHVyaW5nIHByZWduYW5jeSBhbmQgdGhlIHJpc2sgb2YgY2hp
bGQgYXN0aG1hIGFuZCBhbGxlcmdpYyByaGluaXRpcyAtIGxvbmdpdHVkaW5hbCBldmlkZW5jZSBm
cm9tIHRoZSBEYW5pc2ggTmF0aW9uYWwgQmlydGggQ29ob3J0PC90aXRsZT48c2Vjb25kYXJ5LXRp
dGxlPkJyIEogTnV0cjwvc2Vjb25kYXJ5LXRpdGxlPjwvdGl0bGVzPjxwZXJpb2RpY2FsPjxmdWxs
LXRpdGxlPkJyIEogTnV0cjwvZnVsbC10aXRsZT48L3BlcmlvZGljYWw+PHBhZ2VzPjEzMTMtMjU8
L3BhZ2VzPjx2b2x1bWU+MTEwPC92b2x1bWU+PG51bWJlcj43PC9udW1iZXI+PGVkaXRpb24+MjAx
My8wMy8xMjwvZWRpdGlvbj48a2V5d29yZHM+PGtleXdvcmQ+QWRvbGVzY2VudDwva2V5d29yZD48
a2V5d29yZD5BZHVsdDwva2V5d29yZD48a2V5d29yZD5BbmltYWxzPC9rZXl3b3JkPjxrZXl3b3Jk
PkFzdGhtYS8qcHJldmVudGlvbiAmYW1wOyBjb250cm9sPC9rZXl3b3JkPjxrZXl3b3JkPkNoaWxk
PC9rZXl3b3JkPjxrZXl3b3JkPkRlbm1hcms8L2tleXdvcmQ+PGtleXdvcmQ+KkRpZXQ8L2tleXdv
cmQ+PGtleXdvcmQ+RmVtYWxlPC9rZXl3b3JkPjxrZXl3b3JkPipGaXNoZXM8L2tleXdvcmQ+PGtl
eXdvcmQ+SG9zcGl0YWxpemF0aW9uPC9rZXl3b3JkPjxrZXl3b3JkPkh1bWFuczwva2V5d29yZD48
a2V5d29yZD5Mb2dpc3RpYyBNb2RlbHM8L2tleXdvcmQ+PGtleXdvcmQ+TG9uZ2l0dWRpbmFsIFN0
dWRpZXM8L2tleXdvcmQ+PGtleXdvcmQ+TWFsZTwva2V5d29yZD48a2V5d29yZD5NZWFsczwva2V5
d29yZD48a2V5d29yZD5Nb3RoZXJzPC9rZXl3b3JkPjxrZXl3b3JkPk9kZHMgUmF0aW88L2tleXdv
cmQ+PGtleXdvcmQ+UHJlZ25hbmN5PC9rZXl3b3JkPjxrZXl3b3JkPlJlc3BpcmF0b3J5IFNvdW5k
czwva2V5d29yZD48a2V5d29yZD5SaGluaXRpcywgQWxsZXJnaWM8L2tleXdvcmQ+PGtleXdvcmQ+
Umhpbml0aXMsIEFsbGVyZ2ljLCBQZXJlbm5pYWwvKnByZXZlbnRpb24gJmFtcDsgY29udHJvbDwv
a2V5d29yZD48a2V5d29yZD5SaXNrPC9rZXl3b3JkPjxrZXl3b3JkPipTZWFmb29kPC9rZXl3b3Jk
PjxrZXl3b3JkPlNlbGYgUmVwb3J0PC9rZXl3b3JkPjxrZXl3b3JkPllvdW5nIEFkdWx0PC9rZXl3
b3JkPjwva2V5d29yZHM+PGRhdGVzPjx5ZWFyPjIwMTM8L3llYXI+PHB1Yi1kYXRlcz48ZGF0ZT5P
Y3Q8L2RhdGU+PC9wdWItZGF0ZXM+PC9kYXRlcz48aXNibj4xNDc1LTI2NjIgKEVsZWN0cm9uaWMp
JiN4RDswMDA3LTExNDUgKExpbmtpbmcpPC9pc2JuPjxhY2Nlc3Npb24tbnVtPjIzNDczMTIwPC9h
Y2Nlc3Npb24tbnVtPjx1cmxzPjxyZWxhdGVkLXVybHM+PHVybD5odHRwczovL3d3dy5uY2JpLm5s
bS5uaWguZ292L3B1Ym1lZC8yMzQ3MzEyMDwvdXJsPjwvcmVsYXRlZC11cmxzPjwvdXJscz48Y3Vz
dG9tMj5QTUM0MDM1MzU0PC9jdXN0b20yPjxlbGVjdHJvbmljLXJlc291cmNlLW51bT4xMC4xMDE3
L1MwMDA3MTE0NTEzMDAwMzhYPC9lbGVjdHJvbmljLXJlc291cmNlLW51bT48L3JlY29yZD48L0Np
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84</w:t>
      </w:r>
      <w:r w:rsidR="00774750">
        <w:fldChar w:fldCharType="end"/>
      </w:r>
    </w:p>
    <w:p w14:paraId="7FB90177" w14:textId="1F4489E6" w:rsidR="0013058F" w:rsidRDefault="0066618E" w:rsidP="0013058F">
      <w:pPr>
        <w:pStyle w:val="bullet"/>
      </w:pPr>
      <w:r>
        <w:t xml:space="preserve">an inverse association between </w:t>
      </w:r>
      <w:r w:rsidR="0013058F" w:rsidRPr="003E5B34">
        <w:t xml:space="preserve">asthma </w:t>
      </w:r>
      <w:r>
        <w:t>and</w:t>
      </w:r>
      <w:r w:rsidR="0013058F" w:rsidRPr="005157BB">
        <w:t xml:space="preserve"> higher </w:t>
      </w:r>
      <w:r w:rsidR="0013058F">
        <w:t xml:space="preserve">maternal </w:t>
      </w:r>
      <w:r w:rsidR="0013058F" w:rsidRPr="005157BB">
        <w:t>daily average intake of oily fish (</w:t>
      </w:r>
      <w:r w:rsidR="0013058F" w:rsidRPr="008C530D">
        <w:rPr>
          <w:sz w:val="16"/>
          <w:szCs w:val="16"/>
        </w:rPr>
        <w:t>aOR 0.23 per serving/day, 95% CI 0.04 to 1.41</w:t>
      </w:r>
      <w:r w:rsidR="0013058F">
        <w:t>)</w:t>
      </w:r>
      <w:r w:rsidR="0013058F" w:rsidRPr="0013058F">
        <w:t xml:space="preserve"> </w:t>
      </w:r>
      <w:r w:rsidR="0013058F" w:rsidRPr="003E5B34">
        <w:t>(</w:t>
      </w:r>
      <w:r w:rsidR="0013058F" w:rsidRPr="003E5B34">
        <w:rPr>
          <w:sz w:val="16"/>
          <w:szCs w:val="16"/>
        </w:rPr>
        <w:t>n=897 mother-child pairs</w:t>
      </w:r>
      <w:r w:rsidR="0013058F" w:rsidRPr="003E5B34">
        <w:t>)</w:t>
      </w:r>
      <w:r w:rsidR="0013058F">
        <w:t>.</w:t>
      </w:r>
      <w:r w:rsidR="00774750">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 </w:instrText>
      </w:r>
      <w:r w:rsidR="002747EA">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74</w:t>
      </w:r>
      <w:r w:rsidR="00774750">
        <w:fldChar w:fldCharType="end"/>
      </w:r>
    </w:p>
    <w:p w14:paraId="211F26A3" w14:textId="1EEC3F1B" w:rsidR="00EF775D" w:rsidRDefault="00EF775D" w:rsidP="00661A0E">
      <w:r>
        <w:t>A cross-sectional study (</w:t>
      </w:r>
      <w:r w:rsidRPr="004F5FB3">
        <w:rPr>
          <w:sz w:val="16"/>
          <w:szCs w:val="16"/>
        </w:rPr>
        <w:t>n=1,087</w:t>
      </w:r>
      <w:r>
        <w:t xml:space="preserve">) found that maternal </w:t>
      </w:r>
      <w:r w:rsidRPr="00000A5C">
        <w:t xml:space="preserve">consumption </w:t>
      </w:r>
      <w:r>
        <w:t xml:space="preserve">of white fish </w:t>
      </w:r>
      <w:r w:rsidRPr="00000A5C">
        <w:t xml:space="preserve">once or twice a week </w:t>
      </w:r>
      <w:r>
        <w:t>during pregnancy increased</w:t>
      </w:r>
      <w:r w:rsidRPr="00000A5C">
        <w:t xml:space="preserve"> the </w:t>
      </w:r>
      <w:r>
        <w:t xml:space="preserve">risk of "wheezing" at 12 months </w:t>
      </w:r>
      <w:r w:rsidRPr="00000A5C">
        <w:t>(</w:t>
      </w:r>
      <w:r w:rsidRPr="00EF775D">
        <w:rPr>
          <w:sz w:val="16"/>
          <w:szCs w:val="16"/>
        </w:rPr>
        <w:t>OR: 1.95; 95%CI 1.01 to 3.75</w:t>
      </w:r>
      <w:r w:rsidRPr="00000A5C">
        <w:t>)</w:t>
      </w:r>
      <w:r>
        <w:t>.</w:t>
      </w:r>
    </w:p>
    <w:p w14:paraId="6678AFE6" w14:textId="21FBB4B5" w:rsidR="004C390A" w:rsidRDefault="004C390A" w:rsidP="000939A9">
      <w:pPr>
        <w:pStyle w:val="Heading4"/>
      </w:pPr>
      <w:r>
        <w:t>Childhood neurodevelopment</w:t>
      </w:r>
    </w:p>
    <w:p w14:paraId="5050508E" w14:textId="7D81D146" w:rsidR="004C390A" w:rsidRDefault="004C390A" w:rsidP="004C390A">
      <w:r>
        <w:t>A qualitative syste</w:t>
      </w:r>
      <w:r w:rsidRPr="00960687">
        <w:t>matic review (</w:t>
      </w:r>
      <w:r w:rsidRPr="00960687">
        <w:rPr>
          <w:sz w:val="16"/>
          <w:szCs w:val="16"/>
        </w:rPr>
        <w:t>8 studies</w:t>
      </w:r>
      <w:r w:rsidRPr="00960687">
        <w:t>)</w:t>
      </w:r>
      <w:r w:rsidR="00774750">
        <w:fldChar w:fldCharType="begin"/>
      </w:r>
      <w:r w:rsidR="002747EA">
        <w:instrText xml:space="preserve"> ADDIN EN.CITE &lt;EndNote&gt;&lt;Cite&gt;&lt;Author&gt;Starling&lt;/Author&gt;&lt;Year&gt;2015&lt;/Year&gt;&lt;RecNum&gt;1738&lt;/RecNum&gt;&lt;DisplayText&gt;&lt;style face="superscript" font="Trebuchet MS" size="9"&gt;85&lt;/style&gt;&lt;/DisplayText&gt;&lt;record&gt;&lt;rec-number&gt;1738&lt;/rec-number&gt;&lt;foreign-keys&gt;&lt;key app="EN" db-id="exvasrfx2dtraoesasxp2szsxa2df502592x" timestamp="1582506270"&gt;1738&lt;/key&gt;&lt;key app="ENWeb" db-id=""&gt;0&lt;/key&gt;&lt;/foreign-keys&gt;&lt;ref-type name="Journal Article"&gt;17&lt;/ref-type&gt;&lt;contributors&gt;&lt;authors&gt;&lt;author&gt;Starling, P.&lt;/author&gt;&lt;author&gt;Charlton, K.&lt;/author&gt;&lt;author&gt;McMahon, A. T.&lt;/author&gt;&lt;author&gt;Lucas, C.&lt;/author&gt;&lt;/authors&gt;&lt;/contributors&gt;&lt;auth-address&gt;School of Medicine, University of Wollongong, NSW 2522, Australia. pd266@uow.edu.au.&amp;#xD;School of Medicine, University of Wollongong, NSW 2522, Australia. karenc@uow.edu.au.&amp;#xD;School of Medicine, University of Wollongong, NSW 2522, Australia. amcmahon@uow.edu.au.&amp;#xD;School of Medicine, University of Wollongong, NSW 2522, Australia. cjl623@uowmail.edu.au.&lt;/auth-address&gt;&lt;titles&gt;&lt;title&gt;Fish intake during pregnancy and foetal neurodevelopment--a systematic review of the evidence&lt;/title&gt;&lt;secondary-title&gt;Nutrients&lt;/secondary-title&gt;&lt;/titles&gt;&lt;periodical&gt;&lt;full-title&gt;Nutrients&lt;/full-title&gt;&lt;/periodical&gt;&lt;pages&gt;2001-14&lt;/pages&gt;&lt;volume&gt;7&lt;/volume&gt;&lt;number&gt;3&lt;/number&gt;&lt;edition&gt;2015/03/21&lt;/edition&gt;&lt;keywords&gt;&lt;keyword&gt;Animals&lt;/keyword&gt;&lt;keyword&gt;*Cognition&lt;/keyword&gt;&lt;keyword&gt;*Diet&lt;/keyword&gt;&lt;keyword&gt;Female&lt;/keyword&gt;&lt;keyword&gt;*Fetal Development&lt;/keyword&gt;&lt;keyword&gt;*Fishes&lt;/keyword&gt;&lt;keyword&gt;Humans&lt;/keyword&gt;&lt;keyword&gt;Mercury/*adverse effects&lt;/keyword&gt;&lt;keyword&gt;Pregnancy&lt;/keyword&gt;&lt;keyword&gt;Prenatal Exposure Delayed Effects&lt;/keyword&gt;&lt;keyword&gt;*Seafood&lt;/keyword&gt;&lt;/keywords&gt;&lt;dates&gt;&lt;year&gt;2015&lt;/year&gt;&lt;pub-dates&gt;&lt;date&gt;Mar 18&lt;/date&gt;&lt;/pub-dates&gt;&lt;/dates&gt;&lt;isbn&gt;2072-6643 (Electronic)&amp;#xD;2072-6643 (Linking)&lt;/isbn&gt;&lt;accession-num&gt;25793632&lt;/accession-num&gt;&lt;urls&gt;&lt;related-urls&gt;&lt;url&gt;https://www.ncbi.nlm.nih.gov/pubmed/25793632&lt;/url&gt;&lt;/related-urls&gt;&lt;/urls&gt;&lt;custom2&gt;PMC4377896&lt;/custom2&gt;&lt;electronic-resource-num&gt;10.3390/nu7032001&lt;/electronic-resource-num&gt;&lt;/record&gt;&lt;/Cite&gt;&lt;/EndNote&gt;</w:instrText>
      </w:r>
      <w:r w:rsidR="00774750">
        <w:fldChar w:fldCharType="separate"/>
      </w:r>
      <w:r w:rsidR="002747EA" w:rsidRPr="002747EA">
        <w:rPr>
          <w:noProof/>
          <w:vertAlign w:val="superscript"/>
        </w:rPr>
        <w:t>85</w:t>
      </w:r>
      <w:r w:rsidR="00774750">
        <w:fldChar w:fldCharType="end"/>
      </w:r>
      <w:r w:rsidRPr="00960687">
        <w:t xml:space="preserve"> </w:t>
      </w:r>
      <w:r w:rsidR="00082B09" w:rsidRPr="00960687">
        <w:t>suggests</w:t>
      </w:r>
      <w:r w:rsidRPr="008935DD">
        <w:t xml:space="preserve"> </w:t>
      </w:r>
      <w:r w:rsidR="00960687" w:rsidRPr="00960687">
        <w:t>that intake of fish during pregnancy is associated with positive foetal neurodevelopmental outcomes</w:t>
      </w:r>
      <w:r w:rsidR="00082B09">
        <w:t>, noting that i</w:t>
      </w:r>
      <w:r w:rsidRPr="008935DD">
        <w:t>t is important that the type of fish consumed is low in mercury.</w:t>
      </w:r>
    </w:p>
    <w:p w14:paraId="1CC27C8F" w14:textId="77777777" w:rsidR="00960687" w:rsidRDefault="00960687" w:rsidP="00960687">
      <w:r>
        <w:t>Cohort studies found that:</w:t>
      </w:r>
    </w:p>
    <w:p w14:paraId="7EEB1CF2" w14:textId="5E85B6D2" w:rsidR="00960687" w:rsidRPr="00960687" w:rsidRDefault="00960687" w:rsidP="00960687">
      <w:pPr>
        <w:pStyle w:val="bullet"/>
      </w:pPr>
      <w:r w:rsidRPr="00960687">
        <w:t>maternal seafood intake during pregnancy was positively associated with the language and communication scales in the infant(</w:t>
      </w:r>
      <w:r w:rsidRPr="00960687">
        <w:rPr>
          <w:sz w:val="16"/>
          <w:szCs w:val="16"/>
        </w:rPr>
        <w:t>n=38,351</w:t>
      </w:r>
      <w:r w:rsidRPr="00960687">
        <w:t>)</w:t>
      </w:r>
      <w:r w:rsidR="00774750">
        <w:fldChar w:fldCharType="begin">
          <w:fldData xml:space="preserve">PEVuZE5vdGU+PENpdGU+PEF1dGhvcj5WZWpydXA8L0F1dGhvcj48WWVhcj4yMDE4PC9ZZWFyPjxS
ZWNOdW0+MTc0NzwvUmVjTnVtPjxEaXNwbGF5VGV4dD48c3R5bGUgZmFjZT0ic3VwZXJzY3JpcHQi
IGZvbnQ9IlRyZWJ1Y2hldCBNUyIgc2l6ZT0iOSI+ODY8L3N0eWxlPjwvRGlzcGxheVRleHQ+PHJl
Y29yZD48cmVjLW51bWJlcj4xNzQ3PC9yZWMtbnVtYmVyPjxmb3JlaWduLWtleXM+PGtleSBhcHA9
IkVOIiBkYi1pZD0iZXh2YXNyZngyZHRyYW9lc2FzeHAyc3pzeGEyZGY1MDI1OTJ4IiB0aW1lc3Rh
bXA9IjE1ODI1MDYzNDMiPjE3NDc8L2tleT48a2V5IGFwcD0iRU5XZWIiIGRiLWlkPSIiPjA8L2tl
eT48L2ZvcmVpZ24ta2V5cz48cmVmLXR5cGUgbmFtZT0iSm91cm5hbCBBcnRpY2xlIj4xNzwvcmVm
LXR5cGU+PGNvbnRyaWJ1dG9ycz48YXV0aG9ycz48YXV0aG9yPlZlanJ1cCwgSy48L2F1dGhvcj48
YXV0aG9yPkJyYW5kbGlzdHVlbiwgUi4gRS48L2F1dGhvcj48YXV0aG9yPkJyYW50c2FldGVyLCBB
LiBMLjwvYXV0aG9yPjxhdXRob3I+S251dHNlbiwgSC4gSy48L2F1dGhvcj48YXV0aG9yPkNhc3Bl
cnNlbiwgSS4gSC48L2F1dGhvcj48YXV0aG9yPkFsZXhhbmRlciwgSi48L2F1dGhvcj48YXV0aG9y
Pkx1bmRoLCBULjwvYXV0aG9yPjxhdXRob3I+TWVsdHplciwgSC4gTS48L2F1dGhvcj48YXV0aG9y
Pk1hZ251cywgUC48L2F1dGhvcj48YXV0aG9yPkhhdWdlbiwgTS48L2F1dGhvcj48L2F1dGhvcnM+
PC9jb250cmlidXRvcnM+PGF1dGgtYWRkcmVzcz5Ob3J3ZWdpYW4gSW5zdGl0dXRlIG9mIFB1Ymxp
YyBIZWFsdGgsIFBvc3Rib3ggNDQwNCwgTnlkYWxlbiwgTk8gMDQwMyBPc2xvLCBOb3J3YXkuIEVs
ZWN0cm9uaWMgYWRkcmVzczogS3Jpc3RpbmUuVmVqcnVwQGZoaS5uby4mI3hEO05vcndlZ2lhbiBJ
bnN0aXR1dGUgb2YgUHVibGljIEhlYWx0aCwgUG9zdGJveCA0NDA0LCBOeWRhbGVuLCBOTyAwNDAz
IE9zbG8sIE5vcndheS4mI3hEO0RpdmlzaW9uIG9mIE9jY3VwYXRpb25hbCBhbmQgRW52aXJvbm1l
bnRhbCBNZWRpY2luZSwgTHVuZCBVbml2ZXJzaXR5LCBTRSwgMjIxIDg1IEx1bmQsIFN3ZWRlbi48
L2F1dGgtYWRkcmVzcz48dGl0bGVzPjx0aXRsZT5QcmVuYXRhbCBtZXJjdXJ5IGV4cG9zdXJlLCBt
YXRlcm5hbCBzZWFmb29kIGNvbnN1bXB0aW9uIGFuZCBhc3NvY2lhdGlvbnMgd2l0aCBjaGlsZCBs
YW5ndWFnZSBhdCBmaXZlIHllYXJzPC90aXRsZT48c2Vjb25kYXJ5LXRpdGxlPkVudmlyb24gSW50
PC9zZWNvbmRhcnktdGl0bGU+PC90aXRsZXM+PHBlcmlvZGljYWw+PGZ1bGwtdGl0bGU+RW52aXJv
biBJbnQ8L2Z1bGwtdGl0bGU+PC9wZXJpb2RpY2FsPjxwYWdlcz43MS03OTwvcGFnZXM+PHZvbHVt
ZT4xMTA8L3ZvbHVtZT48ZWRpdGlvbj4yMDE3LzExLzAyPC9lZGl0aW9uPjxrZXl3b3Jkcz48a2V5
d29yZD5BZG9sZXNjZW50PC9rZXl3b3JkPjxrZXl3b3JkPkFkdWx0PC9rZXl3b3JkPjxrZXl3b3Jk
PkFuaW1hbHM8L2tleXdvcmQ+PGtleXdvcmQ+Q2hpbGQgTGFuZ3VhZ2U8L2tleXdvcmQ+PGtleXdv
cmQ+Q2hpbGQsIFByZXNjaG9vbDwva2V5d29yZD48a2V5d29yZD5Db2hvcnQgU3R1ZGllczwva2V5
d29yZD48a2V5d29yZD5GZW1hbGU8L2tleXdvcmQ+PGtleXdvcmQ+KkZvb2QgQ29udGFtaW5hdGlv
bjwva2V5d29yZD48a2V5d29yZD5IdW1hbnM8L2tleXdvcmQ+PGtleXdvcmQ+TGFuZ3VhZ2UgRGV2
ZWxvcG1lbnQgRGlzb3JkZXJzLyplcGlkZW1pb2xvZ3kvZXRpb2xvZ3k8L2tleXdvcmQ+PGtleXdv
cmQ+TWFsZTwva2V5d29yZD48a2V5d29yZD5NYXRlcm5hbCBFeHBvc3VyZS8qYWR2ZXJzZSBlZmZl
Y3RzPC9rZXl3b3JkPjxrZXl3b3JkPk1lcmN1cnkvYW5hbHlzaXMvYmxvb2QvKnRveGljaXR5PC9r
ZXl3b3JkPjxrZXl3b3JkPk1pZGRsZSBBZ2VkPC9rZXl3b3JkPjxrZXl3b3JkPk5vcndheS9lcGlk
ZW1pb2xvZ3k8L2tleXdvcmQ+PGtleXdvcmQ+UHJlZ25hbmN5PC9rZXl3b3JkPjxrZXl3b3JkPlBy
ZW5hdGFsIEV4cG9zdXJlIERlbGF5ZWQgRWZmZWN0czwva2V5d29yZD48a2V5d29yZD5Qcm9zcGVj
dGl2ZSBTdHVkaWVzPC9rZXl3b3JkPjxrZXl3b3JkPlJlZ3Jlc3Npb24gQW5hbHlzaXM8L2tleXdv
cmQ+PGtleXdvcmQ+U2VhZm9vZC9hbmFseXNpczwva2V5d29yZD48a2V5d29yZD5TdXJ2ZXlzIGFu
ZCBRdWVzdGlvbm5haXJlczwva2V5d29yZD48a2V5d29yZD5Zb3VuZyBBZHVsdDwva2V5d29yZD48
a2V5d29yZD4qRGlldDwva2V5d29yZD48a2V5d29yZD4qRmlzaCBhbmQgc2VhZm9vZCBpbnRha2U8
L2tleXdvcmQ+PGtleXdvcmQ+Kkxhbmd1YWdlIGRldmVsb3BtZW50PC9rZXl3b3JkPjxrZXl3b3Jk
PipNYXRlcm5hbCBibG9vZCBsZXZlbHM8L2tleXdvcmQ+PGtleXdvcmQ+Kk1ldGh5bG1lcmN1cnk8
L2tleXdvcmQ+PGtleXdvcmQ+KlRoZSBOb3J3ZWdpYW4gbW90aGVyIGFuZCBjaGlsZCBjb2hvcnQg
c3R1ZHk8L2tleXdvcmQ+PC9rZXl3b3Jkcz48ZGF0ZXM+PHllYXI+MjAxODwveWVhcj48cHViLWRh
dGVzPjxkYXRlPkphbjwvZGF0ZT48L3B1Yi1kYXRlcz48L2RhdGVzPjxpc2JuPjE4NzMtNjc1MCAo
RWxlY3Ryb25pYykmI3hEOzAxNjAtNDEyMCAoTGlua2luZyk8L2lzYm4+PGFjY2Vzc2lvbi1udW0+
MjkwODkxNjY8L2FjY2Vzc2lvbi1udW0+PHVybHM+PHJlbGF0ZWQtdXJscz48dXJsPmh0dHBzOi8v
d3d3Lm5jYmkubmxtLm5paC5nb3YvcHVibWVkLzI5MDg5MTY2PC91cmw+PC9yZWxhdGVkLXVybHM+
PC91cmxzPjxlbGVjdHJvbmljLXJlc291cmNlLW51bT4xMC4xMDE2L2ouZW52aW50LjIwMTcuMTAu
MDA4PC9lbGVjdHJvbmljLXJlc291cmNlLW51bT48L3JlY29yZD48L0NpdGU+PC9FbmROb3RlPn==
</w:fldData>
        </w:fldChar>
      </w:r>
      <w:r w:rsidR="002747EA">
        <w:instrText xml:space="preserve"> ADDIN EN.CITE </w:instrText>
      </w:r>
      <w:r w:rsidR="002747EA">
        <w:fldChar w:fldCharType="begin">
          <w:fldData xml:space="preserve">PEVuZE5vdGU+PENpdGU+PEF1dGhvcj5WZWpydXA8L0F1dGhvcj48WWVhcj4yMDE4PC9ZZWFyPjxS
ZWNOdW0+MTc0NzwvUmVjTnVtPjxEaXNwbGF5VGV4dD48c3R5bGUgZmFjZT0ic3VwZXJzY3JpcHQi
IGZvbnQ9IlRyZWJ1Y2hldCBNUyIgc2l6ZT0iOSI+ODY8L3N0eWxlPjwvRGlzcGxheVRleHQ+PHJl
Y29yZD48cmVjLW51bWJlcj4xNzQ3PC9yZWMtbnVtYmVyPjxmb3JlaWduLWtleXM+PGtleSBhcHA9
IkVOIiBkYi1pZD0iZXh2YXNyZngyZHRyYW9lc2FzeHAyc3pzeGEyZGY1MDI1OTJ4IiB0aW1lc3Rh
bXA9IjE1ODI1MDYzNDMiPjE3NDc8L2tleT48a2V5IGFwcD0iRU5XZWIiIGRiLWlkPSIiPjA8L2tl
eT48L2ZvcmVpZ24ta2V5cz48cmVmLXR5cGUgbmFtZT0iSm91cm5hbCBBcnRpY2xlIj4xNzwvcmVm
LXR5cGU+PGNvbnRyaWJ1dG9ycz48YXV0aG9ycz48YXV0aG9yPlZlanJ1cCwgSy48L2F1dGhvcj48
YXV0aG9yPkJyYW5kbGlzdHVlbiwgUi4gRS48L2F1dGhvcj48YXV0aG9yPkJyYW50c2FldGVyLCBB
LiBMLjwvYXV0aG9yPjxhdXRob3I+S251dHNlbiwgSC4gSy48L2F1dGhvcj48YXV0aG9yPkNhc3Bl
cnNlbiwgSS4gSC48L2F1dGhvcj48YXV0aG9yPkFsZXhhbmRlciwgSi48L2F1dGhvcj48YXV0aG9y
Pkx1bmRoLCBULjwvYXV0aG9yPjxhdXRob3I+TWVsdHplciwgSC4gTS48L2F1dGhvcj48YXV0aG9y
Pk1hZ251cywgUC48L2F1dGhvcj48YXV0aG9yPkhhdWdlbiwgTS48L2F1dGhvcj48L2F1dGhvcnM+
PC9jb250cmlidXRvcnM+PGF1dGgtYWRkcmVzcz5Ob3J3ZWdpYW4gSW5zdGl0dXRlIG9mIFB1Ymxp
YyBIZWFsdGgsIFBvc3Rib3ggNDQwNCwgTnlkYWxlbiwgTk8gMDQwMyBPc2xvLCBOb3J3YXkuIEVs
ZWN0cm9uaWMgYWRkcmVzczogS3Jpc3RpbmUuVmVqcnVwQGZoaS5uby4mI3hEO05vcndlZ2lhbiBJ
bnN0aXR1dGUgb2YgUHVibGljIEhlYWx0aCwgUG9zdGJveCA0NDA0LCBOeWRhbGVuLCBOTyAwNDAz
IE9zbG8sIE5vcndheS4mI3hEO0RpdmlzaW9uIG9mIE9jY3VwYXRpb25hbCBhbmQgRW52aXJvbm1l
bnRhbCBNZWRpY2luZSwgTHVuZCBVbml2ZXJzaXR5LCBTRSwgMjIxIDg1IEx1bmQsIFN3ZWRlbi48
L2F1dGgtYWRkcmVzcz48dGl0bGVzPjx0aXRsZT5QcmVuYXRhbCBtZXJjdXJ5IGV4cG9zdXJlLCBt
YXRlcm5hbCBzZWFmb29kIGNvbnN1bXB0aW9uIGFuZCBhc3NvY2lhdGlvbnMgd2l0aCBjaGlsZCBs
YW5ndWFnZSBhdCBmaXZlIHllYXJzPC90aXRsZT48c2Vjb25kYXJ5LXRpdGxlPkVudmlyb24gSW50
PC9zZWNvbmRhcnktdGl0bGU+PC90aXRsZXM+PHBlcmlvZGljYWw+PGZ1bGwtdGl0bGU+RW52aXJv
biBJbnQ8L2Z1bGwtdGl0bGU+PC9wZXJpb2RpY2FsPjxwYWdlcz43MS03OTwvcGFnZXM+PHZvbHVt
ZT4xMTA8L3ZvbHVtZT48ZWRpdGlvbj4yMDE3LzExLzAyPC9lZGl0aW9uPjxrZXl3b3Jkcz48a2V5
d29yZD5BZG9sZXNjZW50PC9rZXl3b3JkPjxrZXl3b3JkPkFkdWx0PC9rZXl3b3JkPjxrZXl3b3Jk
PkFuaW1hbHM8L2tleXdvcmQ+PGtleXdvcmQ+Q2hpbGQgTGFuZ3VhZ2U8L2tleXdvcmQ+PGtleXdv
cmQ+Q2hpbGQsIFByZXNjaG9vbDwva2V5d29yZD48a2V5d29yZD5Db2hvcnQgU3R1ZGllczwva2V5
d29yZD48a2V5d29yZD5GZW1hbGU8L2tleXdvcmQ+PGtleXdvcmQ+KkZvb2QgQ29udGFtaW5hdGlv
bjwva2V5d29yZD48a2V5d29yZD5IdW1hbnM8L2tleXdvcmQ+PGtleXdvcmQ+TGFuZ3VhZ2UgRGV2
ZWxvcG1lbnQgRGlzb3JkZXJzLyplcGlkZW1pb2xvZ3kvZXRpb2xvZ3k8L2tleXdvcmQ+PGtleXdv
cmQ+TWFsZTwva2V5d29yZD48a2V5d29yZD5NYXRlcm5hbCBFeHBvc3VyZS8qYWR2ZXJzZSBlZmZl
Y3RzPC9rZXl3b3JkPjxrZXl3b3JkPk1lcmN1cnkvYW5hbHlzaXMvYmxvb2QvKnRveGljaXR5PC9r
ZXl3b3JkPjxrZXl3b3JkPk1pZGRsZSBBZ2VkPC9rZXl3b3JkPjxrZXl3b3JkPk5vcndheS9lcGlk
ZW1pb2xvZ3k8L2tleXdvcmQ+PGtleXdvcmQ+UHJlZ25hbmN5PC9rZXl3b3JkPjxrZXl3b3JkPlBy
ZW5hdGFsIEV4cG9zdXJlIERlbGF5ZWQgRWZmZWN0czwva2V5d29yZD48a2V5d29yZD5Qcm9zcGVj
dGl2ZSBTdHVkaWVzPC9rZXl3b3JkPjxrZXl3b3JkPlJlZ3Jlc3Npb24gQW5hbHlzaXM8L2tleXdv
cmQ+PGtleXdvcmQ+U2VhZm9vZC9hbmFseXNpczwva2V5d29yZD48a2V5d29yZD5TdXJ2ZXlzIGFu
ZCBRdWVzdGlvbm5haXJlczwva2V5d29yZD48a2V5d29yZD5Zb3VuZyBBZHVsdDwva2V5d29yZD48
a2V5d29yZD4qRGlldDwva2V5d29yZD48a2V5d29yZD4qRmlzaCBhbmQgc2VhZm9vZCBpbnRha2U8
L2tleXdvcmQ+PGtleXdvcmQ+Kkxhbmd1YWdlIGRldmVsb3BtZW50PC9rZXl3b3JkPjxrZXl3b3Jk
PipNYXRlcm5hbCBibG9vZCBsZXZlbHM8L2tleXdvcmQ+PGtleXdvcmQ+Kk1ldGh5bG1lcmN1cnk8
L2tleXdvcmQ+PGtleXdvcmQ+KlRoZSBOb3J3ZWdpYW4gbW90aGVyIGFuZCBjaGlsZCBjb2hvcnQg
c3R1ZHk8L2tleXdvcmQ+PC9rZXl3b3Jkcz48ZGF0ZXM+PHllYXI+MjAxODwveWVhcj48cHViLWRh
dGVzPjxkYXRlPkphbjwvZGF0ZT48L3B1Yi1kYXRlcz48L2RhdGVzPjxpc2JuPjE4NzMtNjc1MCAo
RWxlY3Ryb25pYykmI3hEOzAxNjAtNDEyMCAoTGlua2luZyk8L2lzYm4+PGFjY2Vzc2lvbi1udW0+
MjkwODkxNjY8L2FjY2Vzc2lvbi1udW0+PHVybHM+PHJlbGF0ZWQtdXJscz48dXJsPmh0dHBzOi8v
d3d3Lm5jYmkubmxtLm5paC5nb3YvcHVibWVkLzI5MDg5MTY2PC91cmw+PC9yZWxhdGVkLXVybHM+
PC91cmxzPjxlbGVjdHJvbmljLXJlc291cmNlLW51bT4xMC4xMDE2L2ouZW52aW50LjIwMTcuMTAu
MDA4PC9lbGVjdHJvbmljLXJlc291cmNlLW51bT48L3JlY29yZD48L0NpdGU+PC9FbmROb3RlPn==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86</w:t>
      </w:r>
      <w:r w:rsidR="00774750">
        <w:fldChar w:fldCharType="end"/>
      </w:r>
    </w:p>
    <w:p w14:paraId="11483759" w14:textId="108E167B" w:rsidR="00E3700A" w:rsidRPr="00960687" w:rsidRDefault="00E3700A" w:rsidP="00960687">
      <w:pPr>
        <w:pStyle w:val="bullet"/>
      </w:pPr>
      <w:r w:rsidRPr="00960687">
        <w:t xml:space="preserve">prenatal methylmercury exposure above the 90th percentile (calculated from reported maternal fish intake) </w:t>
      </w:r>
      <w:r w:rsidR="00960687" w:rsidRPr="00960687">
        <w:t xml:space="preserve">was associated with </w:t>
      </w:r>
      <w:r w:rsidRPr="00960687">
        <w:t>delayed language and communication skills in a generally low exposed population</w:t>
      </w:r>
      <w:r w:rsidR="00BB6537">
        <w:t xml:space="preserve"> </w:t>
      </w:r>
      <w:r w:rsidR="00960687" w:rsidRPr="00960687">
        <w:t>(</w:t>
      </w:r>
      <w:r w:rsidR="00960687" w:rsidRPr="00960687">
        <w:rPr>
          <w:sz w:val="16"/>
          <w:szCs w:val="16"/>
        </w:rPr>
        <w:t>n=46,750 mother-child pairs</w:t>
      </w:r>
      <w:r w:rsidR="00960687" w:rsidRPr="00960687">
        <w:t>)</w:t>
      </w:r>
      <w:r w:rsidR="00BB6537">
        <w:t>.</w:t>
      </w:r>
      <w:r w:rsidR="00774750">
        <w:fldChar w:fldCharType="begin">
          <w:fldData xml:space="preserve">PEVuZE5vdGU+PENpdGU+PEF1dGhvcj5WZWpydXA8L0F1dGhvcj48WWVhcj4yMDE2PC9ZZWFyPjxS
ZWNOdW0+MTc0NjwvUmVjTnVtPjxEaXNwbGF5VGV4dD48c3R5bGUgZmFjZT0ic3VwZXJzY3JpcHQi
IGZvbnQ9IlRyZWJ1Y2hldCBNUyIgc2l6ZT0iOSI+ODc8L3N0eWxlPjwvRGlzcGxheVRleHQ+PHJl
Y29yZD48cmVjLW51bWJlcj4xNzQ2PC9yZWMtbnVtYmVyPjxmb3JlaWduLWtleXM+PGtleSBhcHA9
IkVOIiBkYi1pZD0iZXh2YXNyZngyZHRyYW9lc2FzeHAyc3pzeGEyZGY1MDI1OTJ4IiB0aW1lc3Rh
bXA9IjE1ODI1MDYzMzciPjE3NDY8L2tleT48a2V5IGFwcD0iRU5XZWIiIGRiLWlkPSIiPjA8L2tl
eT48L2ZvcmVpZ24ta2V5cz48cmVmLXR5cGUgbmFtZT0iSm91cm5hbCBBcnRpY2xlIj4xNzwvcmVm
LXR5cGU+PGNvbnRyaWJ1dG9ycz48YXV0aG9ycz48YXV0aG9yPlZlanJ1cCwgSy48L2F1dGhvcj48
YXV0aG9yPlNjaGpvbGJlcmcsIFMuPC9hdXRob3I+PGF1dGhvcj5LbnV0c2VuLCBILiBLLjwvYXV0
aG9yPjxhdXRob3I+S3ZhbGVtLCBILiBFLjwvYXV0aG9yPjxhdXRob3I+QnJhbnRzYWV0ZXIsIEEu
IEwuPC9hdXRob3I+PGF1dGhvcj5NZWx0emVyLCBILiBNLjwvYXV0aG9yPjxhdXRob3I+QWxleGFu
ZGVyLCBKLjwvYXV0aG9yPjxhdXRob3I+TWFnbnVzLCBQLjwvYXV0aG9yPjxhdXRob3I+SGF1Z2Vu
LCBNLjwvYXV0aG9yPjwvYXV0aG9ycz48L2NvbnRyaWJ1dG9ycz48YXV0aC1hZGRyZXNzPk5vcndl
Z2lhbiBJbnN0aXR1dGUgb2YgUHVibGljIEhlYWx0aCwgUC5PLiBCb3ggNDQwNCBOeWRhbGVuLCBO
Ty0wNDAzIE9zbG8sIE5vcndheS4gRWxlY3Ryb25pYyBhZGRyZXNzOiBrcmlzdGluZS52ZWpydXBA
ZmhpLm5vLiYjeEQ7Tm9yd2VnaWFuIEluc3RpdHV0ZSBvZiBQdWJsaWMgSGVhbHRoLCBQLk8uIEJv
eCA0NDA0IE55ZGFsZW4sIE5PLTA0MDMgT3NsbywgTm9yd2F5LiYjeEQ7QmpvcmtuZXMgQ29sbGVn
ZSwgTG92aXNlbmJlcmdnYXRhIDEzLCAwNDU2IE9zbG8sIE5vcndheS48L2F1dGgtYWRkcmVzcz48
dGl0bGVzPjx0aXRsZT5QcmVuYXRhbCBtZXRoeWxtZXJjdXJ5IGV4cG9zdXJlIGFuZCBsYW5ndWFn
ZSBkZWxheSBhdCB0aHJlZSB5ZWFycyBvZiBhZ2UgaW4gdGhlIE5vcndlZ2lhbiBNb3RoZXIgYW5k
IENoaWxkIENvaG9ydCBTdHVkeTwvdGl0bGU+PHNlY29uZGFyeS10aXRsZT5FbnZpcm9uIEludDwv
c2Vjb25kYXJ5LXRpdGxlPjwvdGl0bGVzPjxwZXJpb2RpY2FsPjxmdWxsLXRpdGxlPkVudmlyb24g
SW50PC9mdWxsLXRpdGxlPjwvcGVyaW9kaWNhbD48cGFnZXM+NjMtOTwvcGFnZXM+PHZvbHVtZT45
Mi05Mzwvdm9sdW1lPjxlZGl0aW9uPjIwMTYvMDQvMDk8L2VkaXRpb24+PGtleXdvcmRzPjxrZXl3
b3JkPkFuaW1hbHM8L2tleXdvcmQ+PGtleXdvcmQ+Q2hpbGQ8L2tleXdvcmQ+PGtleXdvcmQ+Q2hp
bGQsIFByZXNjaG9vbDwva2V5d29yZD48a2V5d29yZD5Db2hvcnQgU3R1ZGllczwva2V5d29yZD48
a2V5d29yZD5Db25mb3VuZGluZyBGYWN0b3JzLCBFcGlkZW1pb2xvZ2ljPC9rZXl3b3JkPjxrZXl3
b3JkPkRpZXQ8L2tleXdvcmQ+PGtleXdvcmQ+RGlveGlucy9hbmFseXNpcy90b3hpY2l0eTwva2V5
d29yZD48a2V5d29yZD5GYXR0eSBBY2lkcywgT21lZ2EtMy9hbmFseXNpczwva2V5d29yZD48a2V5
d29yZD5GZW1hbGU8L2tleXdvcmQ+PGtleXdvcmQ+RmlzaGVzPC9rZXl3b3JkPjxrZXl3b3JkPkZv
b2QgQ29udGFtaW5hdGlvbi9hbmFseXNpczwva2V5d29yZD48a2V5d29yZD5HZXN0YXRpb25hbCBB
Z2U8L2tleXdvcmQ+PGtleXdvcmQ+SHVtYW5zPC9rZXl3b3JkPjxrZXl3b3JkPkxhbmd1YWdlIERl
dmVsb3BtZW50IERpc29yZGVycy9jaGVtaWNhbGx5IGluZHVjZWQvKmVwaWRlbWlvbG9neTwva2V5
d29yZD48a2V5d29yZD5NYWxlPC9rZXl3b3JkPjxrZXl3b3JkPk1hdGVybmFsIEV4cG9zdXJlLyph
ZHZlcnNlIGVmZmVjdHM8L2tleXdvcmQ+PGtleXdvcmQ+TWV0aHlsbWVyY3VyeSBDb21wb3VuZHMv
KmFuYWx5c2lzL3RveGljaXR5PC9rZXl3b3JkPjxrZXl3b3JkPk5vcndheS9lcGlkZW1pb2xvZ3k8
L2tleXdvcmQ+PGtleXdvcmQ+UG9seWNobG9yaW5hdGVkIEJpcGhlbnlscy9hbmFseXNpcy90b3hp
Y2l0eTwva2V5d29yZD48a2V5d29yZD5QcmVnbmFuY3k8L2tleXdvcmQ+PGtleXdvcmQ+UHJlbmF0
YWwgRXhwb3N1cmUgRGVsYXllZCBFZmZlY3RzLypjaGVtaWNhbGx5IGluZHVjZWQ8L2tleXdvcmQ+
PGtleXdvcmQ+UHJvc3BlY3RpdmUgU3R1ZGllczwva2V5d29yZD48a2V5d29yZD5XYXRlciBQb2xs
dXRhbnRzLCBDaGVtaWNhbC8qYW5hbHlzaXMvdG94aWNpdHk8L2tleXdvcmQ+PGtleXdvcmQ+KkRp
ZXQ8L2tleXdvcmQ+PGtleXdvcmQ+KkZpc2ggaW50YWtlPC9rZXl3b3JkPjxrZXl3b3JkPipMYW5n
dWFnZSBkZXZlbG9wbWVudDwva2V5d29yZD48a2V5d29yZD4qTWV0aHlsbWVyY3VyeTwva2V5d29y
ZD48a2V5d29yZD4qTmV1cm9kZXZlbG9wbWVudDwva2V5d29yZD48a2V5d29yZD4qTm9yd2VnaWFu
IE1vdGhlciBhbmQgQ2hpbGQgQ29ob3J0IFN0dWR5PC9rZXl3b3JkPjxrZXl3b3JkPipQcmVuYXRh
bCBleHBvc3VyZTwva2V5d29yZD48L2tleXdvcmRzPjxkYXRlcz48eWVhcj4yMDE2PC95ZWFyPjxw
dWItZGF0ZXM+PGRhdGU+SnVsLUF1ZzwvZGF0ZT48L3B1Yi1kYXRlcz48L2RhdGVzPjxpc2JuPjE4
NzMtNjc1MCAoRWxlY3Ryb25pYykmI3hEOzAxNjAtNDEyMCAoTGlua2luZyk8L2lzYm4+PGFjY2Vz
c2lvbi1udW0+MjcwNTg5Mjg8L2FjY2Vzc2lvbi1udW0+PHVybHM+PHJlbGF0ZWQtdXJscz48dXJs
Pmh0dHBzOi8vd3d3Lm5jYmkubmxtLm5paC5nb3YvcHVibWVkLzI3MDU4OTI4PC91cmw+PC9yZWxh
dGVkLXVybHM+PC91cmxzPjxlbGVjdHJvbmljLXJlc291cmNlLW51bT4xMC4xMDE2L2ouZW52aW50
LjIwMTYuMDMuMDI5PC9lbGVjdHJvbmljLXJlc291cmNlLW51bT48L3JlY29yZD48L0NpdGU+PC9F
bmROb3RlPgB=
</w:fldData>
        </w:fldChar>
      </w:r>
      <w:r w:rsidR="002747EA">
        <w:instrText xml:space="preserve"> ADDIN EN.CITE </w:instrText>
      </w:r>
      <w:r w:rsidR="002747EA">
        <w:fldChar w:fldCharType="begin">
          <w:fldData xml:space="preserve">PEVuZE5vdGU+PENpdGU+PEF1dGhvcj5WZWpydXA8L0F1dGhvcj48WWVhcj4yMDE2PC9ZZWFyPjxS
ZWNOdW0+MTc0NjwvUmVjTnVtPjxEaXNwbGF5VGV4dD48c3R5bGUgZmFjZT0ic3VwZXJzY3JpcHQi
IGZvbnQ9IlRyZWJ1Y2hldCBNUyIgc2l6ZT0iOSI+ODc8L3N0eWxlPjwvRGlzcGxheVRleHQ+PHJl
Y29yZD48cmVjLW51bWJlcj4xNzQ2PC9yZWMtbnVtYmVyPjxmb3JlaWduLWtleXM+PGtleSBhcHA9
IkVOIiBkYi1pZD0iZXh2YXNyZngyZHRyYW9lc2FzeHAyc3pzeGEyZGY1MDI1OTJ4IiB0aW1lc3Rh
bXA9IjE1ODI1MDYzMzciPjE3NDY8L2tleT48a2V5IGFwcD0iRU5XZWIiIGRiLWlkPSIiPjA8L2tl
eT48L2ZvcmVpZ24ta2V5cz48cmVmLXR5cGUgbmFtZT0iSm91cm5hbCBBcnRpY2xlIj4xNzwvcmVm
LXR5cGU+PGNvbnRyaWJ1dG9ycz48YXV0aG9ycz48YXV0aG9yPlZlanJ1cCwgSy48L2F1dGhvcj48
YXV0aG9yPlNjaGpvbGJlcmcsIFMuPC9hdXRob3I+PGF1dGhvcj5LbnV0c2VuLCBILiBLLjwvYXV0
aG9yPjxhdXRob3I+S3ZhbGVtLCBILiBFLjwvYXV0aG9yPjxhdXRob3I+QnJhbnRzYWV0ZXIsIEEu
IEwuPC9hdXRob3I+PGF1dGhvcj5NZWx0emVyLCBILiBNLjwvYXV0aG9yPjxhdXRob3I+QWxleGFu
ZGVyLCBKLjwvYXV0aG9yPjxhdXRob3I+TWFnbnVzLCBQLjwvYXV0aG9yPjxhdXRob3I+SGF1Z2Vu
LCBNLjwvYXV0aG9yPjwvYXV0aG9ycz48L2NvbnRyaWJ1dG9ycz48YXV0aC1hZGRyZXNzPk5vcndl
Z2lhbiBJbnN0aXR1dGUgb2YgUHVibGljIEhlYWx0aCwgUC5PLiBCb3ggNDQwNCBOeWRhbGVuLCBO
Ty0wNDAzIE9zbG8sIE5vcndheS4gRWxlY3Ryb25pYyBhZGRyZXNzOiBrcmlzdGluZS52ZWpydXBA
ZmhpLm5vLiYjeEQ7Tm9yd2VnaWFuIEluc3RpdHV0ZSBvZiBQdWJsaWMgSGVhbHRoLCBQLk8uIEJv
eCA0NDA0IE55ZGFsZW4sIE5PLTA0MDMgT3NsbywgTm9yd2F5LiYjeEQ7QmpvcmtuZXMgQ29sbGVn
ZSwgTG92aXNlbmJlcmdnYXRhIDEzLCAwNDU2IE9zbG8sIE5vcndheS48L2F1dGgtYWRkcmVzcz48
dGl0bGVzPjx0aXRsZT5QcmVuYXRhbCBtZXRoeWxtZXJjdXJ5IGV4cG9zdXJlIGFuZCBsYW5ndWFn
ZSBkZWxheSBhdCB0aHJlZSB5ZWFycyBvZiBhZ2UgaW4gdGhlIE5vcndlZ2lhbiBNb3RoZXIgYW5k
IENoaWxkIENvaG9ydCBTdHVkeTwvdGl0bGU+PHNlY29uZGFyeS10aXRsZT5FbnZpcm9uIEludDwv
c2Vjb25kYXJ5LXRpdGxlPjwvdGl0bGVzPjxwZXJpb2RpY2FsPjxmdWxsLXRpdGxlPkVudmlyb24g
SW50PC9mdWxsLXRpdGxlPjwvcGVyaW9kaWNhbD48cGFnZXM+NjMtOTwvcGFnZXM+PHZvbHVtZT45
Mi05Mzwvdm9sdW1lPjxlZGl0aW9uPjIwMTYvMDQvMDk8L2VkaXRpb24+PGtleXdvcmRzPjxrZXl3
b3JkPkFuaW1hbHM8L2tleXdvcmQ+PGtleXdvcmQ+Q2hpbGQ8L2tleXdvcmQ+PGtleXdvcmQ+Q2hp
bGQsIFByZXNjaG9vbDwva2V5d29yZD48a2V5d29yZD5Db2hvcnQgU3R1ZGllczwva2V5d29yZD48
a2V5d29yZD5Db25mb3VuZGluZyBGYWN0b3JzLCBFcGlkZW1pb2xvZ2ljPC9rZXl3b3JkPjxrZXl3
b3JkPkRpZXQ8L2tleXdvcmQ+PGtleXdvcmQ+RGlveGlucy9hbmFseXNpcy90b3hpY2l0eTwva2V5
d29yZD48a2V5d29yZD5GYXR0eSBBY2lkcywgT21lZ2EtMy9hbmFseXNpczwva2V5d29yZD48a2V5
d29yZD5GZW1hbGU8L2tleXdvcmQ+PGtleXdvcmQ+RmlzaGVzPC9rZXl3b3JkPjxrZXl3b3JkPkZv
b2QgQ29udGFtaW5hdGlvbi9hbmFseXNpczwva2V5d29yZD48a2V5d29yZD5HZXN0YXRpb25hbCBB
Z2U8L2tleXdvcmQ+PGtleXdvcmQ+SHVtYW5zPC9rZXl3b3JkPjxrZXl3b3JkPkxhbmd1YWdlIERl
dmVsb3BtZW50IERpc29yZGVycy9jaGVtaWNhbGx5IGluZHVjZWQvKmVwaWRlbWlvbG9neTwva2V5
d29yZD48a2V5d29yZD5NYWxlPC9rZXl3b3JkPjxrZXl3b3JkPk1hdGVybmFsIEV4cG9zdXJlLyph
ZHZlcnNlIGVmZmVjdHM8L2tleXdvcmQ+PGtleXdvcmQ+TWV0aHlsbWVyY3VyeSBDb21wb3VuZHMv
KmFuYWx5c2lzL3RveGljaXR5PC9rZXl3b3JkPjxrZXl3b3JkPk5vcndheS9lcGlkZW1pb2xvZ3k8
L2tleXdvcmQ+PGtleXdvcmQ+UG9seWNobG9yaW5hdGVkIEJpcGhlbnlscy9hbmFseXNpcy90b3hp
Y2l0eTwva2V5d29yZD48a2V5d29yZD5QcmVnbmFuY3k8L2tleXdvcmQ+PGtleXdvcmQ+UHJlbmF0
YWwgRXhwb3N1cmUgRGVsYXllZCBFZmZlY3RzLypjaGVtaWNhbGx5IGluZHVjZWQ8L2tleXdvcmQ+
PGtleXdvcmQ+UHJvc3BlY3RpdmUgU3R1ZGllczwva2V5d29yZD48a2V5d29yZD5XYXRlciBQb2xs
dXRhbnRzLCBDaGVtaWNhbC8qYW5hbHlzaXMvdG94aWNpdHk8L2tleXdvcmQ+PGtleXdvcmQ+KkRp
ZXQ8L2tleXdvcmQ+PGtleXdvcmQ+KkZpc2ggaW50YWtlPC9rZXl3b3JkPjxrZXl3b3JkPipMYW5n
dWFnZSBkZXZlbG9wbWVudDwva2V5d29yZD48a2V5d29yZD4qTWV0aHlsbWVyY3VyeTwva2V5d29y
ZD48a2V5d29yZD4qTmV1cm9kZXZlbG9wbWVudDwva2V5d29yZD48a2V5d29yZD4qTm9yd2VnaWFu
IE1vdGhlciBhbmQgQ2hpbGQgQ29ob3J0IFN0dWR5PC9rZXl3b3JkPjxrZXl3b3JkPipQcmVuYXRh
bCBleHBvc3VyZTwva2V5d29yZD48L2tleXdvcmRzPjxkYXRlcz48eWVhcj4yMDE2PC95ZWFyPjxw
dWItZGF0ZXM+PGRhdGU+SnVsLUF1ZzwvZGF0ZT48L3B1Yi1kYXRlcz48L2RhdGVzPjxpc2JuPjE4
NzMtNjc1MCAoRWxlY3Ryb25pYykmI3hEOzAxNjAtNDEyMCAoTGlua2luZyk8L2lzYm4+PGFjY2Vz
c2lvbi1udW0+MjcwNTg5Mjg8L2FjY2Vzc2lvbi1udW0+PHVybHM+PHJlbGF0ZWQtdXJscz48dXJs
Pmh0dHBzOi8vd3d3Lm5jYmkubmxtLm5paC5nb3YvcHVibWVkLzI3MDU4OTI4PC91cmw+PC9yZWxh
dGVkLXVybHM+PC91cmxzPjxlbGVjdHJvbmljLXJlc291cmNlLW51bT4xMC4xMDE2L2ouZW52aW50
LjIwMTYuMDMuMDI5PC9lbGVjdHJvbmljLXJlc291cmNlLW51bT48L3JlY29yZD48L0NpdGU+PC9F
bmROb3RlPgB=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87</w:t>
      </w:r>
      <w:r w:rsidR="00774750">
        <w:fldChar w:fldCharType="end"/>
      </w:r>
    </w:p>
    <w:p w14:paraId="60ED0933" w14:textId="3F00EFC8" w:rsidR="00532DE7" w:rsidRDefault="00532DE7" w:rsidP="000939A9">
      <w:pPr>
        <w:pStyle w:val="Heading4"/>
      </w:pPr>
      <w:r>
        <w:t>Conduct problems in the child</w:t>
      </w:r>
    </w:p>
    <w:p w14:paraId="50B93403" w14:textId="2DB349DF" w:rsidR="00532DE7" w:rsidRPr="00532DE7" w:rsidRDefault="00082B09" w:rsidP="00532DE7">
      <w:r w:rsidRPr="003E5B34">
        <w:t xml:space="preserve">In a </w:t>
      </w:r>
      <w:r w:rsidR="00532DE7" w:rsidRPr="003E5B34">
        <w:t xml:space="preserve">cohort study </w:t>
      </w:r>
      <w:r w:rsidR="00386B76" w:rsidRPr="003E5B34">
        <w:t>(</w:t>
      </w:r>
      <w:r w:rsidR="00386B76" w:rsidRPr="003E5B34">
        <w:rPr>
          <w:sz w:val="16"/>
          <w:szCs w:val="16"/>
        </w:rPr>
        <w:t>n=5,727</w:t>
      </w:r>
      <w:r w:rsidR="00386B76" w:rsidRPr="003E5B34">
        <w:t>)</w:t>
      </w:r>
      <w:r w:rsidR="00774750">
        <w:fldChar w:fldCharType="begin">
          <w:fldData xml:space="preserve">PEVuZE5vdGU+PENpdGU+PEF1dGhvcj5NZXNpcm93PC9BdXRob3I+PFllYXI+MjAxNzwvWWVhcj48
UmVjTnVtPjE3MTk8L1JlY051bT48RGlzcGxheVRleHQ+PHN0eWxlIGZhY2U9InN1cGVyc2NyaXB0
IiBmb250PSJUcmVidWNoZXQgTVMiIHNpemU9IjkiPjg4PC9zdHlsZT48L0Rpc3BsYXlUZXh0Pjxy
ZWNvcmQ+PHJlYy1udW1iZXI+MTcxOTwvcmVjLW51bWJlcj48Zm9yZWlnbi1rZXlzPjxrZXkgYXBw
PSJFTiIgZGItaWQ9ImV4dmFzcmZ4MmR0cmFvZXNhc3hwMnN6c3hhMmRmNTAyNTkyeCIgdGltZXN0
YW1wPSIxNTgyNTA2MTUyIj4xNzE5PC9rZXk+PGtleSBhcHA9IkVOV2ViIiBkYi1pZD0iIj4wPC9r
ZXk+PC9mb3JlaWduLWtleXM+PHJlZi10eXBlIG5hbWU9IkpvdXJuYWwgQXJ0aWNsZSI+MTc8L3Jl
Zi10eXBlPjxjb250cmlidXRvcnM+PGF1dGhvcnM+PGF1dGhvcj5NZXNpcm93LCBNLiBTLjwvYXV0
aG9yPjxhdXRob3I+Q2VjaWwsIEMuPC9hdXRob3I+PGF1dGhvcj5NYXVnaGFuLCBCLjwvYXV0aG9y
PjxhdXRob3I+QmFya2VyLCBFLiBELjwvYXV0aG9yPjwvYXV0aG9ycz48L2NvbnRyaWJ1dG9ycz48
YXV0aC1hZGRyZXNzPkRlcGFydG1lbnQgb2YgUHN5Y2hvbG9neSwgSW5zdGl0dXRlIG9mIFBzeWNo
aWF0cnksIFBzeWNob2xvZ3ksIGFuZCBOZXVyb3NjaWVuY2UsIEtpbmcmYXBvcztzIENvbGxlZ2Ug
TG9uZG9uLCAxNiBEZSBDcmVzcGlnbnkgUGFyaywgTG9uZG9uLCBTRTUgOEFGLCBVSy4mI3hEO01S
QyBTb2NpYWwsIEdlbmV0aWMgJmFtcDsgRGV2ZWxvcG1lbnRhbCBQc3ljaGlhdHJ5IENlbnRyZSwg
SW5zdGl0dXRlIG9mIFBzeWNoaWF0cnksIFBzeWNob2xvZ3ksIGFuZCBOZXVyb3NjaWVuY2UsIEtp
bmcmYXBvcztzIENvbGxlZ2UgTG9uZG9uLCBMb25kb24sIFVLLiYjeEQ7RGVwYXJ0bWVudCBvZiBQ
c3ljaG9sb2d5LCBJbnN0aXR1dGUgb2YgUHN5Y2hpYXRyeSwgUHN5Y2hvbG9neSwgYW5kIE5ldXJv
c2NpZW5jZSwgS2luZyZhcG9zO3MgQ29sbGVnZSBMb25kb24sIDE2IERlIENyZXNwaWdueSBQYXJr
LCBMb25kb24sIFNFNSA4QUYsIFVLLiB0ZWQuYmFya2VyQGtjbC5hYy51ay48L2F1dGgtYWRkcmVz
cz48dGl0bGVzPjx0aXRsZT5Bc3NvY2lhdGlvbnMgYmV0d2VlbiBwcmVuYXRhbCBhbmQgZWFybHkg
Y2hpbGRob29kIGZpc2ggYW5kIHByb2Nlc3NlZCBmb29kIGludGFrZSwgY29uZHVjdCBwcm9ibGVt
cywgYW5kIGNvLW9jY3VycmluZyBkaWZmaWN1bHRpZXM8L3RpdGxlPjxzZWNvbmRhcnktdGl0bGU+
SiBBYm5vcm0gQ2hpbGQgUHN5Y2hvbDwvc2Vjb25kYXJ5LXRpdGxlPjwvdGl0bGVzPjxwZXJpb2Rp
Y2FsPjxmdWxsLXRpdGxlPkogQWJub3JtIENoaWxkIFBzeWNob2w8L2Z1bGwtdGl0bGU+PC9wZXJp
b2RpY2FsPjxwYWdlcz4xMDM5LTEwNDk8L3BhZ2VzPjx2b2x1bWU+NDU8L3ZvbHVtZT48bnVtYmVy
PjU8L251bWJlcj48ZWRpdGlvbj4yMDE2LzExLzA1PC9lZGl0aW9uPjxrZXl3b3Jkcz48a2V5d29y
ZD5BZG9sZXNjZW50PC9rZXl3b3JkPjxrZXl3b3JkPkFmZmVjdGl2ZSBTeW1wdG9tcy9lcGlkZW1p
b2xvZ3kvKmV0aW9sb2d5PC9rZXl3b3JkPjxrZXl3b3JkPkNoaWxkPC9rZXl3b3JkPjxrZXl3b3Jk
PkNoaWxkLCBQcmVzY2hvb2w8L2tleXdvcmQ+PGtleXdvcmQ+Q29tb3JiaWRpdHk8L2tleXdvcmQ+
PGtleXdvcmQ+Q29uZHVjdCBEaXNvcmRlci9lcGlkZW1pb2xvZ3kvKmV0aW9sb2d5PC9rZXl3b3Jk
PjxrZXl3b3JkPipEaWV0L2FkdmVyc2UgZWZmZWN0czwva2V5d29yZD48a2V5d29yZD5GZW1hbGU8
L2tleXdvcmQ+PGtleXdvcmQ+SHVtYW5zPC9rZXl3b3JkPjxrZXl3b3JkPkxvbmdpdHVkaW5hbCBT
dHVkaWVzPC9rZXl3b3JkPjxrZXl3b3JkPk1hbGU8L2tleXdvcmQ+PGtleXdvcmQ+UHJlZ25hbmN5
PC9rZXl3b3JkPjxrZXl3b3JkPlByZW5hdGFsIEV4cG9zdXJlIERlbGF5ZWQgRWZmZWN0cy9lcGlk
ZW1pb2xvZ3kvKmV0aW9sb2d5PC9rZXl3b3JkPjxrZXl3b3JkPipQcm9ibGVtIEJlaGF2aW9yPC9r
ZXl3b3JkPjxrZXl3b3JkPlJpc2sgRmFjdG9yczwva2V5d29yZD48a2V5d29yZD4qU2VhZm9vZDwv
a2V5d29yZD48a2V5d29yZD5Vbml0ZWQgS2luZ2RvbS9lcGlkZW1pb2xvZ3k8L2tleXdvcmQ+PGtl
eXdvcmQ+QXZvbiBsb25naXR1ZGluYWwgc3R1ZHkgb2YgcGFyZW50cyBhbmQgY2hpbGRyZW4gKEFM
U1BBQyk8L2tleXdvcmQ+PGtleXdvcmQ+Q29uZHVjdCBwcm9ibGVtczwva2V5d29yZD48a2V5d29y
ZD5FbW90aW9uYWwgZGlmZmljdWx0aWVzPC9rZXl3b3JkPjxrZXl3b3JkPkZpc2g8L2tleXdvcmQ+
PGtleXdvcmQ+SHlwZXJhY3Rpdml0eTwva2V5d29yZD48a2V5d29yZD5Qcm9jZXNzZWQgZm9vZDwv
a2V5d29yZD48a2V5d29yZD5TdHJlbmd0aHMgYW5kIGRpZmZpY3VsdGllcyBxdWVzdGlvbm5haXJl
IChTRFEpPC9rZXl3b3JkPjwva2V5d29yZHM+PGRhdGVzPjx5ZWFyPjIwMTc8L3llYXI+PHB1Yi1k
YXRlcz48ZGF0ZT5KdWw8L2RhdGU+PC9wdWItZGF0ZXM+PC9kYXRlcz48aXNibj4xNTczLTI4MzUg
KEVsZWN0cm9uaWMpJiN4RDswMDkxLTA2MjcgKExpbmtpbmcpPC9pc2JuPjxhY2Nlc3Npb24tbnVt
PjI3ODEyOTA1PC9hY2Nlc3Npb24tbnVtPjx1cmxzPjxyZWxhdGVkLXVybHM+PHVybD5odHRwczov
L3d3dy5uY2JpLm5sbS5uaWguZ292L3B1Ym1lZC8yNzgxMjkwNTwvdXJsPjwvcmVsYXRlZC11cmxz
PjwvdXJscz48Y3VzdG9tMj5QTUM1NDE1NDMxPC9jdXN0b20yPjxlbGVjdHJvbmljLXJlc291cmNl
LW51bT4xMC4xMDA3L3MxMDgwMi0wMTYtMDIyNC15PC9lbGVjdHJvbmljLXJlc291cmNlLW51bT48
L3JlY29yZD48L0NpdGU+PC9FbmROb3RlPn==
</w:fldData>
        </w:fldChar>
      </w:r>
      <w:r w:rsidR="002747EA">
        <w:instrText xml:space="preserve"> ADDIN EN.CITE </w:instrText>
      </w:r>
      <w:r w:rsidR="002747EA">
        <w:fldChar w:fldCharType="begin">
          <w:fldData xml:space="preserve">PEVuZE5vdGU+PENpdGU+PEF1dGhvcj5NZXNpcm93PC9BdXRob3I+PFllYXI+MjAxNzwvWWVhcj48
UmVjTnVtPjE3MTk8L1JlY051bT48RGlzcGxheVRleHQ+PHN0eWxlIGZhY2U9InN1cGVyc2NyaXB0
IiBmb250PSJUcmVidWNoZXQgTVMiIHNpemU9IjkiPjg4PC9zdHlsZT48L0Rpc3BsYXlUZXh0Pjxy
ZWNvcmQ+PHJlYy1udW1iZXI+MTcxOTwvcmVjLW51bWJlcj48Zm9yZWlnbi1rZXlzPjxrZXkgYXBw
PSJFTiIgZGItaWQ9ImV4dmFzcmZ4MmR0cmFvZXNhc3hwMnN6c3hhMmRmNTAyNTkyeCIgdGltZXN0
YW1wPSIxNTgyNTA2MTUyIj4xNzE5PC9rZXk+PGtleSBhcHA9IkVOV2ViIiBkYi1pZD0iIj4wPC9r
ZXk+PC9mb3JlaWduLWtleXM+PHJlZi10eXBlIG5hbWU9IkpvdXJuYWwgQXJ0aWNsZSI+MTc8L3Jl
Zi10eXBlPjxjb250cmlidXRvcnM+PGF1dGhvcnM+PGF1dGhvcj5NZXNpcm93LCBNLiBTLjwvYXV0
aG9yPjxhdXRob3I+Q2VjaWwsIEMuPC9hdXRob3I+PGF1dGhvcj5NYXVnaGFuLCBCLjwvYXV0aG9y
PjxhdXRob3I+QmFya2VyLCBFLiBELjwvYXV0aG9yPjwvYXV0aG9ycz48L2NvbnRyaWJ1dG9ycz48
YXV0aC1hZGRyZXNzPkRlcGFydG1lbnQgb2YgUHN5Y2hvbG9neSwgSW5zdGl0dXRlIG9mIFBzeWNo
aWF0cnksIFBzeWNob2xvZ3ksIGFuZCBOZXVyb3NjaWVuY2UsIEtpbmcmYXBvcztzIENvbGxlZ2Ug
TG9uZG9uLCAxNiBEZSBDcmVzcGlnbnkgUGFyaywgTG9uZG9uLCBTRTUgOEFGLCBVSy4mI3hEO01S
QyBTb2NpYWwsIEdlbmV0aWMgJmFtcDsgRGV2ZWxvcG1lbnRhbCBQc3ljaGlhdHJ5IENlbnRyZSwg
SW5zdGl0dXRlIG9mIFBzeWNoaWF0cnksIFBzeWNob2xvZ3ksIGFuZCBOZXVyb3NjaWVuY2UsIEtp
bmcmYXBvcztzIENvbGxlZ2UgTG9uZG9uLCBMb25kb24sIFVLLiYjeEQ7RGVwYXJ0bWVudCBvZiBQ
c3ljaG9sb2d5LCBJbnN0aXR1dGUgb2YgUHN5Y2hpYXRyeSwgUHN5Y2hvbG9neSwgYW5kIE5ldXJv
c2NpZW5jZSwgS2luZyZhcG9zO3MgQ29sbGVnZSBMb25kb24sIDE2IERlIENyZXNwaWdueSBQYXJr
LCBMb25kb24sIFNFNSA4QUYsIFVLLiB0ZWQuYmFya2VyQGtjbC5hYy51ay48L2F1dGgtYWRkcmVz
cz48dGl0bGVzPjx0aXRsZT5Bc3NvY2lhdGlvbnMgYmV0d2VlbiBwcmVuYXRhbCBhbmQgZWFybHkg
Y2hpbGRob29kIGZpc2ggYW5kIHByb2Nlc3NlZCBmb29kIGludGFrZSwgY29uZHVjdCBwcm9ibGVt
cywgYW5kIGNvLW9jY3VycmluZyBkaWZmaWN1bHRpZXM8L3RpdGxlPjxzZWNvbmRhcnktdGl0bGU+
SiBBYm5vcm0gQ2hpbGQgUHN5Y2hvbDwvc2Vjb25kYXJ5LXRpdGxlPjwvdGl0bGVzPjxwZXJpb2Rp
Y2FsPjxmdWxsLXRpdGxlPkogQWJub3JtIENoaWxkIFBzeWNob2w8L2Z1bGwtdGl0bGU+PC9wZXJp
b2RpY2FsPjxwYWdlcz4xMDM5LTEwNDk8L3BhZ2VzPjx2b2x1bWU+NDU8L3ZvbHVtZT48bnVtYmVy
PjU8L251bWJlcj48ZWRpdGlvbj4yMDE2LzExLzA1PC9lZGl0aW9uPjxrZXl3b3Jkcz48a2V5d29y
ZD5BZG9sZXNjZW50PC9rZXl3b3JkPjxrZXl3b3JkPkFmZmVjdGl2ZSBTeW1wdG9tcy9lcGlkZW1p
b2xvZ3kvKmV0aW9sb2d5PC9rZXl3b3JkPjxrZXl3b3JkPkNoaWxkPC9rZXl3b3JkPjxrZXl3b3Jk
PkNoaWxkLCBQcmVzY2hvb2w8L2tleXdvcmQ+PGtleXdvcmQ+Q29tb3JiaWRpdHk8L2tleXdvcmQ+
PGtleXdvcmQ+Q29uZHVjdCBEaXNvcmRlci9lcGlkZW1pb2xvZ3kvKmV0aW9sb2d5PC9rZXl3b3Jk
PjxrZXl3b3JkPipEaWV0L2FkdmVyc2UgZWZmZWN0czwva2V5d29yZD48a2V5d29yZD5GZW1hbGU8
L2tleXdvcmQ+PGtleXdvcmQ+SHVtYW5zPC9rZXl3b3JkPjxrZXl3b3JkPkxvbmdpdHVkaW5hbCBT
dHVkaWVzPC9rZXl3b3JkPjxrZXl3b3JkPk1hbGU8L2tleXdvcmQ+PGtleXdvcmQ+UHJlZ25hbmN5
PC9rZXl3b3JkPjxrZXl3b3JkPlByZW5hdGFsIEV4cG9zdXJlIERlbGF5ZWQgRWZmZWN0cy9lcGlk
ZW1pb2xvZ3kvKmV0aW9sb2d5PC9rZXl3b3JkPjxrZXl3b3JkPipQcm9ibGVtIEJlaGF2aW9yPC9r
ZXl3b3JkPjxrZXl3b3JkPlJpc2sgRmFjdG9yczwva2V5d29yZD48a2V5d29yZD4qU2VhZm9vZDwv
a2V5d29yZD48a2V5d29yZD5Vbml0ZWQgS2luZ2RvbS9lcGlkZW1pb2xvZ3k8L2tleXdvcmQ+PGtl
eXdvcmQ+QXZvbiBsb25naXR1ZGluYWwgc3R1ZHkgb2YgcGFyZW50cyBhbmQgY2hpbGRyZW4gKEFM
U1BBQyk8L2tleXdvcmQ+PGtleXdvcmQ+Q29uZHVjdCBwcm9ibGVtczwva2V5d29yZD48a2V5d29y
ZD5FbW90aW9uYWwgZGlmZmljdWx0aWVzPC9rZXl3b3JkPjxrZXl3b3JkPkZpc2g8L2tleXdvcmQ+
PGtleXdvcmQ+SHlwZXJhY3Rpdml0eTwva2V5d29yZD48a2V5d29yZD5Qcm9jZXNzZWQgZm9vZDwv
a2V5d29yZD48a2V5d29yZD5TdHJlbmd0aHMgYW5kIGRpZmZpY3VsdGllcyBxdWVzdGlvbm5haXJl
IChTRFEpPC9rZXl3b3JkPjwva2V5d29yZHM+PGRhdGVzPjx5ZWFyPjIwMTc8L3llYXI+PHB1Yi1k
YXRlcz48ZGF0ZT5KdWw8L2RhdGU+PC9wdWItZGF0ZXM+PC9kYXRlcz48aXNibj4xNTczLTI4MzUg
KEVsZWN0cm9uaWMpJiN4RDswMDkxLTA2MjcgKExpbmtpbmcpPC9pc2JuPjxhY2Nlc3Npb24tbnVt
PjI3ODEyOTA1PC9hY2Nlc3Npb24tbnVtPjx1cmxzPjxyZWxhdGVkLXVybHM+PHVybD5odHRwczov
L3d3dy5uY2JpLm5sbS5uaWguZ292L3B1Ym1lZC8yNzgxMjkwNTwvdXJsPjwvcmVsYXRlZC11cmxz
PjwvdXJscz48Y3VzdG9tMj5QTUM1NDE1NDMxPC9jdXN0b20yPjxlbGVjdHJvbmljLXJlc291cmNl
LW51bT4xMC4xMDA3L3MxMDgwMi0wMTYtMDIyNC15PC9lbGVjdHJvbmljLXJlc291cmNlLW51bT48
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88</w:t>
      </w:r>
      <w:r w:rsidR="00774750">
        <w:fldChar w:fldCharType="end"/>
      </w:r>
      <w:r w:rsidR="00386B76" w:rsidRPr="003E5B34">
        <w:t xml:space="preserve"> mothers of early onset persistent conduct problems children</w:t>
      </w:r>
      <w:r w:rsidR="00386B76">
        <w:t xml:space="preserve"> consumed less fish during pregnancy (</w:t>
      </w:r>
      <w:r w:rsidR="00386B76" w:rsidRPr="00386B76">
        <w:rPr>
          <w:sz w:val="16"/>
          <w:szCs w:val="16"/>
        </w:rPr>
        <w:t>p&lt;0.01</w:t>
      </w:r>
      <w:r w:rsidR="00386B76" w:rsidRPr="008F4931">
        <w:t>)</w:t>
      </w:r>
      <w:r w:rsidR="00386B76">
        <w:t>.</w:t>
      </w:r>
    </w:p>
    <w:p w14:paraId="25360DB5" w14:textId="0086DC2C" w:rsidR="000939A9" w:rsidRDefault="00786654" w:rsidP="000939A9">
      <w:pPr>
        <w:pStyle w:val="Heading4"/>
      </w:pPr>
      <w:r>
        <w:t>Childhood cancer</w:t>
      </w:r>
    </w:p>
    <w:p w14:paraId="28757963" w14:textId="040F3361" w:rsidR="000939A9" w:rsidRPr="00661A0E" w:rsidRDefault="000939A9" w:rsidP="00661A0E">
      <w:r>
        <w:t>A systematic review of case-control studies (</w:t>
      </w:r>
      <w:r w:rsidRPr="00EF775D">
        <w:rPr>
          <w:sz w:val="16"/>
          <w:szCs w:val="16"/>
        </w:rPr>
        <w:t>2 studies</w:t>
      </w:r>
      <w:r>
        <w:t>)</w:t>
      </w:r>
      <w:r>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 </w:instrText>
      </w:r>
      <w:r w:rsidR="002747EA">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75</w:t>
      </w:r>
      <w:r>
        <w:fldChar w:fldCharType="end"/>
      </w:r>
      <w:r>
        <w:t xml:space="preserve"> found a </w:t>
      </w:r>
      <w:r w:rsidR="00EF775D">
        <w:t xml:space="preserve">lower risk of </w:t>
      </w:r>
      <w:r>
        <w:t>leukaemia</w:t>
      </w:r>
      <w:r w:rsidRPr="001C127C">
        <w:t xml:space="preserve"> </w:t>
      </w:r>
      <w:r w:rsidR="00EF775D">
        <w:t>among 0-4 year olds associated with maternal consumption of fish (</w:t>
      </w:r>
      <w:r w:rsidR="00EF775D" w:rsidRPr="00EF775D">
        <w:rPr>
          <w:sz w:val="16"/>
          <w:szCs w:val="16"/>
        </w:rPr>
        <w:t>OR</w:t>
      </w:r>
      <w:r w:rsidRPr="00EF775D">
        <w:rPr>
          <w:sz w:val="16"/>
          <w:szCs w:val="16"/>
        </w:rPr>
        <w:t xml:space="preserve"> 0.27, 95% CI: 0.14 to 0.53</w:t>
      </w:r>
      <w:r>
        <w:t>).</w:t>
      </w:r>
    </w:p>
    <w:p w14:paraId="17593FC8" w14:textId="55F098DF" w:rsidR="00EF2535" w:rsidRDefault="00EF2535" w:rsidP="00EF2535">
      <w:pPr>
        <w:pStyle w:val="Heading3"/>
      </w:pPr>
      <w:bookmarkStart w:id="48" w:name="_Toc40956485"/>
      <w:r>
        <w:t>Dairy products</w:t>
      </w:r>
      <w:bookmarkEnd w:id="48"/>
    </w:p>
    <w:p w14:paraId="44EF41AA" w14:textId="29B03E51" w:rsidR="00CC36E9" w:rsidRDefault="00786654" w:rsidP="00182EAC">
      <w:pPr>
        <w:pStyle w:val="Heading4"/>
      </w:pPr>
      <w:r>
        <w:t>Depression</w:t>
      </w:r>
    </w:p>
    <w:p w14:paraId="1D80A4FF" w14:textId="45E1FB28" w:rsidR="00182EAC" w:rsidRDefault="00182EAC" w:rsidP="00CC36E9">
      <w:r>
        <w:t>A cross-sectional study (</w:t>
      </w:r>
      <w:r w:rsidRPr="001F53E5">
        <w:rPr>
          <w:sz w:val="16"/>
          <w:szCs w:val="16"/>
        </w:rPr>
        <w:t>n=1,745</w:t>
      </w:r>
      <w:r>
        <w:t>)</w:t>
      </w:r>
      <w:r>
        <w:fldChar w:fldCharType="begin"/>
      </w:r>
      <w:r w:rsidR="002747EA">
        <w:instrText xml:space="preserve"> ADDIN EN.CITE &lt;EndNote&gt;&lt;Cite&gt;&lt;Author&gt;Miyake&lt;/Author&gt;&lt;Year&gt;2015&lt;/Year&gt;&lt;RecNum&gt;1465&lt;/RecNum&gt;&lt;DisplayText&gt;&lt;style face="superscript" font="Trebuchet MS" size="9"&gt;89&lt;/style&gt;&lt;/DisplayText&gt;&lt;record&gt;&lt;rec-number&gt;1465&lt;/rec-number&gt;&lt;foreign-keys&gt;&lt;key app="EN" db-id="exvasrfx2dtraoesasxp2szsxa2df502592x" timestamp="1574039613"&gt;1465&lt;/key&gt;&lt;key app="ENWeb" db-id=""&gt;0&lt;/key&gt;&lt;/foreign-keys&gt;&lt;ref-type name="Journal Article"&gt;17&lt;/ref-type&gt;&lt;contributors&gt;&lt;authors&gt;&lt;author&gt;Miyake, Y.&lt;/author&gt;&lt;author&gt;Tanaka, K.&lt;/author&gt;&lt;author&gt;Okubo, H.&lt;/author&gt;&lt;author&gt;Sasaki, S.&lt;/author&gt;&lt;author&gt;Arakawa, M.&lt;/author&gt;&lt;/authors&gt;&lt;/contributors&gt;&lt;titles&gt;&lt;title&gt;Intake of dairy products and calcium and prevalence of depressive symptoms during pregnancy in Japan: a cross-sectional study&lt;/title&gt;&lt;secondary-title&gt;BJOG&lt;/secondary-title&gt;&lt;/titles&gt;&lt;periodical&gt;&lt;full-title&gt;BJOG&lt;/full-title&gt;&lt;/periodical&gt;&lt;pages&gt;336-43&lt;/pages&gt;&lt;volume&gt;122&lt;/volume&gt;&lt;number&gt;3&lt;/number&gt;&lt;section&gt;336&lt;/section&gt;&lt;dates&gt;&lt;year&gt;2015&lt;/year&gt;&lt;/dates&gt;&lt;isbn&gt;14700328&lt;/isbn&gt;&lt;urls&gt;&lt;/urls&gt;&lt;electronic-resource-num&gt;10.1111/1471-0528.12972&lt;/electronic-resource-num&gt;&lt;/record&gt;&lt;/Cite&gt;&lt;/EndNote&gt;</w:instrText>
      </w:r>
      <w:r>
        <w:fldChar w:fldCharType="separate"/>
      </w:r>
      <w:r w:rsidR="002747EA" w:rsidRPr="002747EA">
        <w:rPr>
          <w:noProof/>
          <w:vertAlign w:val="superscript"/>
        </w:rPr>
        <w:t>89</w:t>
      </w:r>
      <w:r>
        <w:fldChar w:fldCharType="end"/>
      </w:r>
      <w:r>
        <w:t xml:space="preserve"> </w:t>
      </w:r>
      <w:r w:rsidR="00372530">
        <w:t xml:space="preserve">found that, compared to </w:t>
      </w:r>
      <w:r w:rsidR="00BD465D">
        <w:t xml:space="preserve">4 g of yoghurt a day, 80 g a day was associated with </w:t>
      </w:r>
      <w:r w:rsidRPr="00360E5F">
        <w:t xml:space="preserve">a lower prevalence of depressive symptoms during pregnancy </w:t>
      </w:r>
      <w:r w:rsidR="00785D14">
        <w:t>(</w:t>
      </w:r>
      <w:r w:rsidR="00785D14" w:rsidRPr="003E1763">
        <w:rPr>
          <w:sz w:val="16"/>
          <w:szCs w:val="16"/>
        </w:rPr>
        <w:t>aOR 0.69; 95%</w:t>
      </w:r>
      <w:r w:rsidRPr="003E1763">
        <w:rPr>
          <w:sz w:val="16"/>
          <w:szCs w:val="16"/>
        </w:rPr>
        <w:t>CI 0.48</w:t>
      </w:r>
      <w:r w:rsidRPr="003E1763">
        <w:rPr>
          <w:rFonts w:eastAsiaTheme="majorEastAsia"/>
          <w:sz w:val="16"/>
          <w:szCs w:val="16"/>
        </w:rPr>
        <w:t xml:space="preserve"> to </w:t>
      </w:r>
      <w:r w:rsidRPr="003E1763">
        <w:rPr>
          <w:sz w:val="16"/>
          <w:szCs w:val="16"/>
        </w:rPr>
        <w:t xml:space="preserve">0.99, </w:t>
      </w:r>
      <w:r w:rsidRPr="003E1763">
        <w:rPr>
          <w:rFonts w:eastAsiaTheme="majorEastAsia"/>
          <w:sz w:val="16"/>
          <w:szCs w:val="16"/>
        </w:rPr>
        <w:t xml:space="preserve">P </w:t>
      </w:r>
      <w:r w:rsidR="003E1763" w:rsidRPr="003E1763">
        <w:rPr>
          <w:sz w:val="16"/>
          <w:szCs w:val="16"/>
        </w:rPr>
        <w:t>for trend</w:t>
      </w:r>
      <w:r w:rsidRPr="003E1763">
        <w:rPr>
          <w:rFonts w:eastAsiaTheme="majorEastAsia"/>
          <w:sz w:val="16"/>
          <w:szCs w:val="16"/>
        </w:rPr>
        <w:t xml:space="preserve"> </w:t>
      </w:r>
      <w:r w:rsidRPr="003E1763">
        <w:rPr>
          <w:sz w:val="16"/>
          <w:szCs w:val="16"/>
        </w:rPr>
        <w:t>0.03</w:t>
      </w:r>
      <w:r w:rsidRPr="00360E5F">
        <w:t>). No relationships were observed between the intake of all dairy products (</w:t>
      </w:r>
      <w:r w:rsidRPr="00D20B54">
        <w:rPr>
          <w:sz w:val="16"/>
          <w:szCs w:val="16"/>
        </w:rPr>
        <w:t>aOR 0.93; 95%CI 0.66–1.32; p=0.47</w:t>
      </w:r>
      <w:r>
        <w:t>)</w:t>
      </w:r>
      <w:r w:rsidRPr="00360E5F">
        <w:t xml:space="preserve">, milk </w:t>
      </w:r>
      <w:r>
        <w:t>(</w:t>
      </w:r>
      <w:r w:rsidRPr="00D20B54">
        <w:rPr>
          <w:sz w:val="16"/>
          <w:szCs w:val="16"/>
        </w:rPr>
        <w:t>aOR 0.89; 95%CI 0.63 to 1.25; p=039</w:t>
      </w:r>
      <w:r w:rsidRPr="00360E5F">
        <w:t xml:space="preserve">) or cheese </w:t>
      </w:r>
      <w:r>
        <w:t>(</w:t>
      </w:r>
      <w:r w:rsidRPr="00D20B54">
        <w:rPr>
          <w:sz w:val="16"/>
          <w:szCs w:val="16"/>
        </w:rPr>
        <w:t>aOR 0.86; 95%CI 0.59–1.24; p=0.58</w:t>
      </w:r>
      <w:r w:rsidRPr="00360E5F">
        <w:t>)</w:t>
      </w:r>
      <w:r>
        <w:t xml:space="preserve"> </w:t>
      </w:r>
      <w:r w:rsidRPr="00360E5F">
        <w:t>and depressive symptoms.</w:t>
      </w:r>
    </w:p>
    <w:p w14:paraId="12FB5AE5" w14:textId="77777777" w:rsidR="007738C3" w:rsidRDefault="007738C3" w:rsidP="00182EAC">
      <w:pPr>
        <w:pStyle w:val="Heading4"/>
      </w:pPr>
      <w:r>
        <w:t>Neural tube defects</w:t>
      </w:r>
    </w:p>
    <w:p w14:paraId="16A118A5" w14:textId="45C9AF70" w:rsidR="007738C3" w:rsidRPr="007738C3" w:rsidRDefault="007738C3" w:rsidP="007738C3">
      <w:r w:rsidRPr="00B06DDF">
        <w:t>A case-control study (</w:t>
      </w:r>
      <w:r w:rsidRPr="00B06DDF">
        <w:rPr>
          <w:sz w:val="16"/>
          <w:szCs w:val="16"/>
        </w:rPr>
        <w:t>n=918</w:t>
      </w:r>
      <w:r w:rsidRPr="00B06DDF">
        <w:t>)</w:t>
      </w:r>
      <w:r w:rsidR="00774750">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 </w:instrText>
      </w:r>
      <w:r w:rsidR="002747EA">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72</w:t>
      </w:r>
      <w:r w:rsidR="00774750">
        <w:fldChar w:fldCharType="end"/>
      </w:r>
      <w:r w:rsidRPr="00B06DDF">
        <w:t xml:space="preserve"> found a lower prevalence of neural tube defects associated with consumption of milk ≥7 times a week (</w:t>
      </w:r>
      <w:r w:rsidRPr="00B06DDF">
        <w:rPr>
          <w:sz w:val="16"/>
          <w:szCs w:val="16"/>
        </w:rPr>
        <w:t>OR 0.59; 95%CI 0.38 to 0.90</w:t>
      </w:r>
      <w:r w:rsidRPr="00B06DDF">
        <w:t>).</w:t>
      </w:r>
    </w:p>
    <w:p w14:paraId="29B6ED14" w14:textId="4FDAC414" w:rsidR="00CC36E9" w:rsidRPr="00CC36E9" w:rsidRDefault="00786654" w:rsidP="00182EAC">
      <w:pPr>
        <w:pStyle w:val="Heading4"/>
      </w:pPr>
      <w:r>
        <w:t>Childhood a</w:t>
      </w:r>
      <w:r w:rsidR="00182EAC">
        <w:t>llergy and asthma</w:t>
      </w:r>
    </w:p>
    <w:p w14:paraId="7F99B1C4" w14:textId="77777777" w:rsidR="003E5B34" w:rsidRDefault="003E5B34" w:rsidP="00BE668B">
      <w:r>
        <w:t>Cohort studies have found that:</w:t>
      </w:r>
    </w:p>
    <w:p w14:paraId="1EAC86C2" w14:textId="4FD7DD44" w:rsidR="003E5B34" w:rsidRPr="003E5B34" w:rsidRDefault="003E5B34" w:rsidP="003E5B34">
      <w:pPr>
        <w:pStyle w:val="bullet"/>
      </w:pPr>
      <w:r w:rsidRPr="003E5B34">
        <w:t>higher maternal intake of total dairy products during pregnancy was associated with a reduced risk of infantile eczema (</w:t>
      </w:r>
      <w:r w:rsidRPr="003E5B34">
        <w:rPr>
          <w:sz w:val="16"/>
          <w:szCs w:val="16"/>
        </w:rPr>
        <w:t>aOR 0.64; 95%CI 0.42 to 0.98</w:t>
      </w:r>
      <w:r w:rsidRPr="003E5B34">
        <w:t>), higher intake of cheese was related to a reduced risk of physician-diagnosed infantile asthma (</w:t>
      </w:r>
      <w:r w:rsidRPr="003E5B34">
        <w:rPr>
          <w:sz w:val="16"/>
          <w:szCs w:val="16"/>
        </w:rPr>
        <w:t>aOR 0.44; 95%CI 0.18 to 0.97</w:t>
      </w:r>
      <w:r w:rsidRPr="003E5B34">
        <w:t>) and intake of yogurt during pregnancy was inversely associated with physician-diagnosed infantile atopic eczema (</w:t>
      </w:r>
      <w:r w:rsidRPr="003E5B34">
        <w:rPr>
          <w:sz w:val="16"/>
          <w:szCs w:val="16"/>
        </w:rPr>
        <w:t>aOR 0.49; 95% CI, 0.20 to 1.16</w:t>
      </w:r>
      <w:r>
        <w:t>)</w:t>
      </w:r>
      <w:r w:rsidRPr="003E5B34">
        <w:t xml:space="preserve"> (</w:t>
      </w:r>
      <w:r w:rsidRPr="003E5B34">
        <w:rPr>
          <w:sz w:val="16"/>
          <w:szCs w:val="16"/>
        </w:rPr>
        <w:t>n=1,354</w:t>
      </w:r>
      <w:r w:rsidRPr="003E5B34">
        <w:t>)</w:t>
      </w:r>
      <w:r w:rsidR="00774750">
        <w:fldChar w:fldCharType="begin"/>
      </w:r>
      <w:r w:rsidR="002747EA">
        <w:instrText xml:space="preserve"> ADDIN EN.CITE &lt;EndNote&gt;&lt;Cite&gt;&lt;Author&gt;Miyake&lt;/Author&gt;&lt;Year&gt;2015&lt;/Year&gt;&lt;RecNum&gt;1465&lt;/RecNum&gt;&lt;DisplayText&gt;&lt;style face="superscript" font="Trebuchet MS" size="9"&gt;89&lt;/style&gt;&lt;/DisplayText&gt;&lt;record&gt;&lt;rec-number&gt;1465&lt;/rec-number&gt;&lt;foreign-keys&gt;&lt;key app="EN" db-id="exvasrfx2dtraoesasxp2szsxa2df502592x" timestamp="1574039613"&gt;1465&lt;/key&gt;&lt;key app="ENWeb" db-id=""&gt;0&lt;/key&gt;&lt;/foreign-keys&gt;&lt;ref-type name="Journal Article"&gt;17&lt;/ref-type&gt;&lt;contributors&gt;&lt;authors&gt;&lt;author&gt;Miyake, Y.&lt;/author&gt;&lt;author&gt;Tanaka, K.&lt;/author&gt;&lt;author&gt;Okubo, H.&lt;/author&gt;&lt;author&gt;Sasaki, S.&lt;/author&gt;&lt;author&gt;Arakawa, M.&lt;/author&gt;&lt;/authors&gt;&lt;/contributors&gt;&lt;titles&gt;&lt;title&gt;Intake of dairy products and calcium and prevalence of depressive symptoms during pregnancy in Japan: a cross-sectional study&lt;/title&gt;&lt;secondary-title&gt;BJOG&lt;/secondary-title&gt;&lt;/titles&gt;&lt;periodical&gt;&lt;full-title&gt;BJOG&lt;/full-title&gt;&lt;/periodical&gt;&lt;pages&gt;336-43&lt;/pages&gt;&lt;volume&gt;122&lt;/volume&gt;&lt;number&gt;3&lt;/number&gt;&lt;section&gt;336&lt;/section&gt;&lt;dates&gt;&lt;year&gt;2015&lt;/year&gt;&lt;/dates&gt;&lt;isbn&gt;14700328&lt;/isbn&gt;&lt;urls&gt;&lt;/urls&gt;&lt;electronic-resource-num&gt;10.1111/1471-0528.12972&lt;/electronic-resource-num&gt;&lt;/record&gt;&lt;/Cite&gt;&lt;/EndNote&gt;</w:instrText>
      </w:r>
      <w:r w:rsidR="00774750">
        <w:fldChar w:fldCharType="separate"/>
      </w:r>
      <w:r w:rsidR="002747EA" w:rsidRPr="002747EA">
        <w:rPr>
          <w:noProof/>
          <w:vertAlign w:val="superscript"/>
        </w:rPr>
        <w:t>89</w:t>
      </w:r>
      <w:r w:rsidR="00774750">
        <w:fldChar w:fldCharType="end"/>
      </w:r>
    </w:p>
    <w:p w14:paraId="67CBFE5E" w14:textId="43B7E449" w:rsidR="00BE668B" w:rsidRDefault="003E347B" w:rsidP="003E5B34">
      <w:pPr>
        <w:pStyle w:val="bullet"/>
      </w:pPr>
      <w:r>
        <w:t>h</w:t>
      </w:r>
      <w:r w:rsidR="003F6EDD" w:rsidRPr="00E61514">
        <w:t>igher milk intake during the first trimester was ass</w:t>
      </w:r>
      <w:r w:rsidR="003F6EDD">
        <w:t xml:space="preserve">ociated with reduced </w:t>
      </w:r>
      <w:r w:rsidR="00F013EC">
        <w:t xml:space="preserve">risk of </w:t>
      </w:r>
      <w:r w:rsidR="003F6EDD">
        <w:t>asthma (</w:t>
      </w:r>
      <w:r w:rsidR="003F6EDD" w:rsidRPr="00D809BB">
        <w:rPr>
          <w:sz w:val="16"/>
          <w:szCs w:val="16"/>
        </w:rPr>
        <w:t>OR 0.83; 95% CI 0.69 to 0.99</w:t>
      </w:r>
      <w:r w:rsidR="003F6EDD">
        <w:t>) and allergic rhinitis (</w:t>
      </w:r>
      <w:r w:rsidR="003F6EDD" w:rsidRPr="00D809BB">
        <w:rPr>
          <w:sz w:val="16"/>
          <w:szCs w:val="16"/>
        </w:rPr>
        <w:t>OR 0.85; 95%CI 0.74 to 0.97</w:t>
      </w:r>
      <w:r w:rsidR="003F6EDD" w:rsidRPr="00E61514">
        <w:t>)</w:t>
      </w:r>
      <w:r w:rsidR="00363243">
        <w:t xml:space="preserve"> in the infant</w:t>
      </w:r>
      <w:r w:rsidR="003E5B34">
        <w:t xml:space="preserve"> (</w:t>
      </w:r>
      <w:r w:rsidR="003E5B34" w:rsidRPr="00D809BB">
        <w:rPr>
          <w:sz w:val="16"/>
          <w:szCs w:val="16"/>
        </w:rPr>
        <w:t>n=1,227</w:t>
      </w:r>
      <w:r w:rsidR="003E5B34">
        <w:t>)</w:t>
      </w:r>
      <w:r w:rsidR="003E5B34">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 </w:instrText>
      </w:r>
      <w:r w:rsidR="002747EA">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EN.CITE.DATA </w:instrText>
      </w:r>
      <w:r w:rsidR="002747EA">
        <w:fldChar w:fldCharType="end"/>
      </w:r>
      <w:r w:rsidR="003E5B34">
        <w:fldChar w:fldCharType="separate"/>
      </w:r>
      <w:r w:rsidR="002747EA" w:rsidRPr="002747EA">
        <w:rPr>
          <w:noProof/>
          <w:vertAlign w:val="superscript"/>
        </w:rPr>
        <w:t>90</w:t>
      </w:r>
      <w:r w:rsidR="003E5B34">
        <w:fldChar w:fldCharType="end"/>
      </w:r>
    </w:p>
    <w:p w14:paraId="40B27272" w14:textId="7933D69D" w:rsidR="00F013EC" w:rsidRDefault="00F013EC" w:rsidP="003E5B34">
      <w:pPr>
        <w:pStyle w:val="bullet"/>
      </w:pPr>
      <w:r w:rsidRPr="003E5B34">
        <w:t>consumption of milk products in the highest quartile</w:t>
      </w:r>
      <w:r w:rsidRPr="004D3AA4">
        <w:t xml:space="preserve"> during pregnancy was associated with a lower risk of </w:t>
      </w:r>
      <w:r>
        <w:t>cow’s milk allergy</w:t>
      </w:r>
      <w:r w:rsidRPr="004D3AA4">
        <w:t xml:space="preserve"> in </w:t>
      </w:r>
      <w:r>
        <w:t>children</w:t>
      </w:r>
      <w:r w:rsidRPr="004D3AA4">
        <w:t xml:space="preserve"> (</w:t>
      </w:r>
      <w:r w:rsidRPr="00F013EC">
        <w:rPr>
          <w:sz w:val="16"/>
          <w:szCs w:val="16"/>
        </w:rPr>
        <w:t>OR 0.56, 95%CI 0.37 to 0.86; P&lt;0.01</w:t>
      </w:r>
      <w:r w:rsidR="003E5B34">
        <w:t>)</w:t>
      </w:r>
      <w:r w:rsidR="003E5B34" w:rsidRPr="003E5B34">
        <w:t xml:space="preserve"> (</w:t>
      </w:r>
      <w:r w:rsidR="003E5B34" w:rsidRPr="003E5B34">
        <w:rPr>
          <w:sz w:val="16"/>
          <w:szCs w:val="16"/>
        </w:rPr>
        <w:t>n=6,288</w:t>
      </w:r>
      <w:r w:rsidR="003E5B34" w:rsidRPr="003E5B34">
        <w:t>)</w:t>
      </w:r>
      <w:r w:rsidR="00774750">
        <w:fldChar w:fldCharType="begin">
          <w:fldData xml:space="preserve">PEVuZE5vdGU+PENpdGU+PEF1dGhvcj5UdW9ra29sYTwvQXV0aG9yPjxZZWFyPjIwMTY8L1llYXI+
PFJlY051bT4xNzQyPC9SZWNOdW0+PERpc3BsYXlUZXh0PjxzdHlsZSBmYWNlPSJzdXBlcnNjcmlw
dCIgZm9udD0iVHJlYnVjaGV0IE1TIiBzaXplPSI5Ij45MTwvc3R5bGU+PC9EaXNwbGF5VGV4dD48
cmVjb3JkPjxyZWMtbnVtYmVyPjE3NDI8L3JlYy1udW1iZXI+PGZvcmVpZ24ta2V5cz48a2V5IGFw
cD0iRU4iIGRiLWlkPSJleHZhc3JmeDJkdHJhb2VzYXN4cDJzenN4YTJkZjUwMjU5MngiIHRpbWVz
dGFtcD0iMTU4MjUwNjMxMCI+MTc0Mjwva2V5PjxrZXkgYXBwPSJFTldlYiIgZGItaWQ9IiI+MDwv
a2V5PjwvZm9yZWlnbi1rZXlzPjxyZWYtdHlwZSBuYW1lPSJKb3VybmFsIEFydGljbGUiPjE3PC9y
ZWYtdHlwZT48Y29udHJpYnV0b3JzPjxhdXRob3JzPjxhdXRob3I+VHVva2tvbGEsIEouPC9hdXRo
b3I+PGF1dGhvcj5MdXVra2FpbmVuLCBQLjwvYXV0aG9yPjxhdXRob3I+VGFwYW5haW5lbiwgSC48
L2F1dGhvcj48YXV0aG9yPkthaWxhLCBNLjwvYXV0aG9yPjxhdXRob3I+VmFhcmFsYSwgTy48L2F1
dGhvcj48YXV0aG9yPktlbndhcmQsIE0uIEcuPC9hdXRob3I+PGF1dGhvcj5WaXJ0YSwgTC4gSi48
L2F1dGhvcj48YXV0aG9yPlZlaWpvbGEsIFIuPC9hdXRob3I+PGF1dGhvcj5TaW1lbGwsIE8uPC9h
dXRob3I+PGF1dGhvcj5JbG9uZW4sIEouPC9hdXRob3I+PGF1dGhvcj5LbmlwLCBNLjwvYXV0aG9y
PjxhdXRob3I+VmlydGFuZW4sIFMuIE0uPC9hdXRob3I+PC9hdXRob3JzPjwvY29udHJpYnV0b3Jz
PjxhdXRoLWFkZHJlc3M+Q2hpbGRyZW4mYXBvcztzIEhvc3BpdGFsLCBVbml2ZXJzaXR5IG9mIEhl
bHNpbmtpIGFuZCBIZWxzaW5raSBVbml2ZXJzaXR5IEhvc3BpdGFsLCBIZWxzaW5raSwgRmlubGFu
ZC4mI3hEO051dHJpdGlvbiBVbml0LCBOYXRpb25hbCBJbnN0aXR1dGUgZm9yIEhlYWx0aCBhbmQg
V2VsZmFyZSwgSGVsc2lua2ksIEZpbmxhbmQuJiN4RDtQdWJsaWMgSGVhbHRoIE1lZGljaW5lLCBV
bml2ZXJzaXR5IG9mIEhlbHNpbmtpIGFuZCBIZWxzaW5raSBVbml2ZXJzaXR5IEhvc3BpdGFsLCBI
ZWxzaW5raSwgRmlubGFuZC4mI3hEO0RlcGFydG1lbnQgb2YgUGVkaWF0cmljcywgVGFtcGVyZSBV
bml2ZXJzaXR5IEhvc3BpdGFsLCBUYW1wZXJlLCBGaW5sYW5kLiYjeEQ7SW5zdGl0dXRlIG9mIENs
aW5pY2FsIE1lZGljaW5lLCBVbml2ZXJzaXR5IG9mIEhlbHNpbmtpIGFuZCBIZWxzaW5raSBVbml2
ZXJzaXR5IEhvc3BpdGFsLCBIZWxzaW5raSwgRmlubGFuZC4mI3hEO0RlcGFydG1lbnQgb2YgRXBp
ZGVtaW9sb2d5IGFuZCBQb3B1bGF0aW9uIEhlYWx0aCwgTWVkaWNhbCBTdGF0aXN0aWNzIFVuaXQs
IExvbmRvbiBTY2hvb2wgb2YgSHlnaWVuZSAmYW1wOyBUcm9waWNhbCBNZWRpY2luZSwgTG9uZG9u
LCBVSy4mI3hEO1Jlc2VhcmNoIERlcGFydG1lbnQsIFNvY2lhbCBJbnN1cmFuY2UgSW5zdGl0dXRp
b24sIFR1cmt1LCBGaW5sYW5kLiYjeEQ7RGVwYXJ0bWVudCBvZiBQYWVkaWF0cmljcywgVW5pdmVy
c2l0eSBvZiBPdWx1LCBPdWx1LCBGaW5sYW5kLiYjeEQ7RGVwYXJ0bWVudCBvZiBQZWRpYXRyaWNz
LCBVbml2ZXJzaXR5IG9mIFR1cmt1LCBUdXJrdSwgRmlubGFuZC4mI3hEO0RlcGFydG1lbnQgb2Yg
Q2xpbmljYWwgTWljcm9iaW9sb2d5LCBVbml2ZXJzaXR5IG9mIEVhc3Rlcm4gRmlubGFuZCwgS3Vv
cGlvLCBGaW5sYW5kLiYjeEQ7SW1tdW5vZ2VuZXRpY3MgTGFib3JhdG9yeSwgVW5pdmVyc2l0eSBv
ZiBUdXJrdSwgVHVya3UsIEZpbmxhbmQuJiN4RDtGb2xraGFsc2FuIFJlc2VhcmNoIEluc3RpdHV0
ZSwgSGVsc2lua2ksIEZpbmxhbmQuJiN4RDtTY2llbmNlIENlbnRlciBvZiBQaXJrYW5tYWEgSG9z
cGl0YWwgRGlzdHJpY3QsIFRhbXBlcmUsIEZpbmxhbmQuJiN4RDtTY2hvb2wgb2YgSGVhbHRoIFNj
aWVuY2VzLCBVbml2ZXJzaXR5IG9mIFRhbXBlcmUsIFRhbXBlcmUsIEZpbmxhbmQuPC9hdXRoLWFk
ZHJlc3M+PHRpdGxlcz48dGl0bGU+TWF0ZXJuYWwgZGlldCBkdXJpbmcgcHJlZ25hbmN5IGFuZCBs
YWN0YXRpb24gYW5kIGNvdyZhcG9zO3MgbWlsayBhbGxlcmd5IGluIG9mZnNwcmluZzwvdGl0bGU+
PHNlY29uZGFyeS10aXRsZT5FdXIgSiBDbGluIE51dHI8L3NlY29uZGFyeS10aXRsZT48L3RpdGxl
cz48cGVyaW9kaWNhbD48ZnVsbC10aXRsZT5FdXIgSiBDbGluIE51dHI8L2Z1bGwtdGl0bGU+PC9w
ZXJpb2RpY2FsPjxwYWdlcz41NTQtOTwvcGFnZXM+PHZvbHVtZT43MDwvdm9sdW1lPjxudW1iZXI+
NTwvbnVtYmVyPjxlZGl0aW9uPjIwMTYvMDEvMTQ8L2VkaXRpb24+PGtleXdvcmRzPjxrZXl3b3Jk
PkFkdWx0PC9rZXl3b3JkPjxrZXl3b3JkPkFuaW1hbHM8L2tleXdvcmQ+PGtleXdvcmQ+Q2hpbGQs
IFByZXNjaG9vbDwva2V5d29yZD48a2V5d29yZD5EaWV0LyphZHZlcnNlIGVmZmVjdHM8L2tleXdv
cmQ+PGtleXdvcmQ+RGlldCBTdXJ2ZXlzPC9rZXl3b3JkPjxrZXl3b3JkPkZlbWFsZTwva2V5d29y
ZD48a2V5d29yZD5GZXRhbCBCbG9vZC9pbW11bm9sb2d5PC9rZXl3b3JkPjxrZXl3b3JkPkZpbmxh
bmQ8L2tleXdvcmQ+PGtleXdvcmQ+SHVtYW5zPC9rZXl3b3JkPjxrZXl3b3JkPkltbXVub2dsb2J1
bGluIEEvYW5hbHlzaXM8L2tleXdvcmQ+PGtleXdvcmQ+SW5mYW50PC9rZXl3b3JkPjxrZXl3b3Jk
PkxhY3RhdGlvbi8qcGh5c2lvbG9neTwva2V5d29yZD48a2V5d29yZD5Mb2dpc3RpYyBNb2RlbHM8
L2tleXdvcmQ+PGtleXdvcmQ+TWFsZTwva2V5d29yZD48a2V5d29yZD5NYXRlcm5hbCBOdXRyaXRp
b25hbCBQaHlzaW9sb2dpY2FsIFBoZW5vbWVuYS9waHlzaW9sb2d5PC9rZXl3b3JkPjxrZXl3b3Jk
Pk1pbGsvKmFkdmVyc2UgZWZmZWN0czwva2V5d29yZD48a2V5d29yZD5NaWxrIEh5cGVyc2Vuc2l0
aXZpdHkvKmV0aW9sb2d5L3ByZXZlbnRpb24gJmFtcDsgY29udHJvbDwva2V5d29yZD48a2V5d29y
ZD5QcmVnbmFuY3k8L2tleXdvcmQ+PGtleXdvcmQ+UHJlbmF0YWwgRXhwb3N1cmUgRGVsYXllZCBF
ZmZlY3RzLypldGlvbG9neTwva2V5d29yZD48L2tleXdvcmRzPjxkYXRlcz48eWVhcj4yMDE2PC95
ZWFyPjxwdWItZGF0ZXM+PGRhdGU+TWF5PC9kYXRlPjwvcHViLWRhdGVzPjwvZGF0ZXM+PGlzYm4+
MTQ3Ni01NjQwIChFbGVjdHJvbmljKSYjeEQ7MDk1NC0zMDA3IChMaW5raW5nKTwvaXNibj48YWNj
ZXNzaW9uLW51bT4yNjc1NzgzMjwvYWNjZXNzaW9uLW51bT48dXJscz48cmVsYXRlZC11cmxzPjx1
cmw+aHR0cHM6Ly93d3cubmNiaS5ubG0ubmloLmdvdi9wdWJtZWQvMjY3NTc4MzI8L3VybD48L3Jl
bGF0ZWQtdXJscz48L3VybHM+PGVsZWN0cm9uaWMtcmVzb3VyY2UtbnVtPjEwLjEwMzgvZWpjbi4y
MDE1LjIyMzwvZWxlY3Ryb25pYy1yZXNvdXJjZS1udW0+PC9yZWNvcmQ+PC9DaXRlPjwvRW5kTm90
ZT5=
</w:fldData>
        </w:fldChar>
      </w:r>
      <w:r w:rsidR="002747EA">
        <w:instrText xml:space="preserve"> ADDIN EN.CITE </w:instrText>
      </w:r>
      <w:r w:rsidR="002747EA">
        <w:fldChar w:fldCharType="begin">
          <w:fldData xml:space="preserve">PEVuZE5vdGU+PENpdGU+PEF1dGhvcj5UdW9ra29sYTwvQXV0aG9yPjxZZWFyPjIwMTY8L1llYXI+
PFJlY051bT4xNzQyPC9SZWNOdW0+PERpc3BsYXlUZXh0PjxzdHlsZSBmYWNlPSJzdXBlcnNjcmlw
dCIgZm9udD0iVHJlYnVjaGV0IE1TIiBzaXplPSI5Ij45MTwvc3R5bGU+PC9EaXNwbGF5VGV4dD48
cmVjb3JkPjxyZWMtbnVtYmVyPjE3NDI8L3JlYy1udW1iZXI+PGZvcmVpZ24ta2V5cz48a2V5IGFw
cD0iRU4iIGRiLWlkPSJleHZhc3JmeDJkdHJhb2VzYXN4cDJzenN4YTJkZjUwMjU5MngiIHRpbWVz
dGFtcD0iMTU4MjUwNjMxMCI+MTc0Mjwva2V5PjxrZXkgYXBwPSJFTldlYiIgZGItaWQ9IiI+MDwv
a2V5PjwvZm9yZWlnbi1rZXlzPjxyZWYtdHlwZSBuYW1lPSJKb3VybmFsIEFydGljbGUiPjE3PC9y
ZWYtdHlwZT48Y29udHJpYnV0b3JzPjxhdXRob3JzPjxhdXRob3I+VHVva2tvbGEsIEouPC9hdXRo
b3I+PGF1dGhvcj5MdXVra2FpbmVuLCBQLjwvYXV0aG9yPjxhdXRob3I+VGFwYW5haW5lbiwgSC48
L2F1dGhvcj48YXV0aG9yPkthaWxhLCBNLjwvYXV0aG9yPjxhdXRob3I+VmFhcmFsYSwgTy48L2F1
dGhvcj48YXV0aG9yPktlbndhcmQsIE0uIEcuPC9hdXRob3I+PGF1dGhvcj5WaXJ0YSwgTC4gSi48
L2F1dGhvcj48YXV0aG9yPlZlaWpvbGEsIFIuPC9hdXRob3I+PGF1dGhvcj5TaW1lbGwsIE8uPC9h
dXRob3I+PGF1dGhvcj5JbG9uZW4sIEouPC9hdXRob3I+PGF1dGhvcj5LbmlwLCBNLjwvYXV0aG9y
PjxhdXRob3I+VmlydGFuZW4sIFMuIE0uPC9hdXRob3I+PC9hdXRob3JzPjwvY29udHJpYnV0b3Jz
PjxhdXRoLWFkZHJlc3M+Q2hpbGRyZW4mYXBvcztzIEhvc3BpdGFsLCBVbml2ZXJzaXR5IG9mIEhl
bHNpbmtpIGFuZCBIZWxzaW5raSBVbml2ZXJzaXR5IEhvc3BpdGFsLCBIZWxzaW5raSwgRmlubGFu
ZC4mI3hEO051dHJpdGlvbiBVbml0LCBOYXRpb25hbCBJbnN0aXR1dGUgZm9yIEhlYWx0aCBhbmQg
V2VsZmFyZSwgSGVsc2lua2ksIEZpbmxhbmQuJiN4RDtQdWJsaWMgSGVhbHRoIE1lZGljaW5lLCBV
bml2ZXJzaXR5IG9mIEhlbHNpbmtpIGFuZCBIZWxzaW5raSBVbml2ZXJzaXR5IEhvc3BpdGFsLCBI
ZWxzaW5raSwgRmlubGFuZC4mI3hEO0RlcGFydG1lbnQgb2YgUGVkaWF0cmljcywgVGFtcGVyZSBV
bml2ZXJzaXR5IEhvc3BpdGFsLCBUYW1wZXJlLCBGaW5sYW5kLiYjeEQ7SW5zdGl0dXRlIG9mIENs
aW5pY2FsIE1lZGljaW5lLCBVbml2ZXJzaXR5IG9mIEhlbHNpbmtpIGFuZCBIZWxzaW5raSBVbml2
ZXJzaXR5IEhvc3BpdGFsLCBIZWxzaW5raSwgRmlubGFuZC4mI3hEO0RlcGFydG1lbnQgb2YgRXBp
ZGVtaW9sb2d5IGFuZCBQb3B1bGF0aW9uIEhlYWx0aCwgTWVkaWNhbCBTdGF0aXN0aWNzIFVuaXQs
IExvbmRvbiBTY2hvb2wgb2YgSHlnaWVuZSAmYW1wOyBUcm9waWNhbCBNZWRpY2luZSwgTG9uZG9u
LCBVSy4mI3hEO1Jlc2VhcmNoIERlcGFydG1lbnQsIFNvY2lhbCBJbnN1cmFuY2UgSW5zdGl0dXRp
b24sIFR1cmt1LCBGaW5sYW5kLiYjeEQ7RGVwYXJ0bWVudCBvZiBQYWVkaWF0cmljcywgVW5pdmVy
c2l0eSBvZiBPdWx1LCBPdWx1LCBGaW5sYW5kLiYjeEQ7RGVwYXJ0bWVudCBvZiBQZWRpYXRyaWNz
LCBVbml2ZXJzaXR5IG9mIFR1cmt1LCBUdXJrdSwgRmlubGFuZC4mI3hEO0RlcGFydG1lbnQgb2Yg
Q2xpbmljYWwgTWljcm9iaW9sb2d5LCBVbml2ZXJzaXR5IG9mIEVhc3Rlcm4gRmlubGFuZCwgS3Vv
cGlvLCBGaW5sYW5kLiYjeEQ7SW1tdW5vZ2VuZXRpY3MgTGFib3JhdG9yeSwgVW5pdmVyc2l0eSBv
ZiBUdXJrdSwgVHVya3UsIEZpbmxhbmQuJiN4RDtGb2xraGFsc2FuIFJlc2VhcmNoIEluc3RpdHV0
ZSwgSGVsc2lua2ksIEZpbmxhbmQuJiN4RDtTY2llbmNlIENlbnRlciBvZiBQaXJrYW5tYWEgSG9z
cGl0YWwgRGlzdHJpY3QsIFRhbXBlcmUsIEZpbmxhbmQuJiN4RDtTY2hvb2wgb2YgSGVhbHRoIFNj
aWVuY2VzLCBVbml2ZXJzaXR5IG9mIFRhbXBlcmUsIFRhbXBlcmUsIEZpbmxhbmQuPC9hdXRoLWFk
ZHJlc3M+PHRpdGxlcz48dGl0bGU+TWF0ZXJuYWwgZGlldCBkdXJpbmcgcHJlZ25hbmN5IGFuZCBs
YWN0YXRpb24gYW5kIGNvdyZhcG9zO3MgbWlsayBhbGxlcmd5IGluIG9mZnNwcmluZzwvdGl0bGU+
PHNlY29uZGFyeS10aXRsZT5FdXIgSiBDbGluIE51dHI8L3NlY29uZGFyeS10aXRsZT48L3RpdGxl
cz48cGVyaW9kaWNhbD48ZnVsbC10aXRsZT5FdXIgSiBDbGluIE51dHI8L2Z1bGwtdGl0bGU+PC9w
ZXJpb2RpY2FsPjxwYWdlcz41NTQtOTwvcGFnZXM+PHZvbHVtZT43MDwvdm9sdW1lPjxudW1iZXI+
NTwvbnVtYmVyPjxlZGl0aW9uPjIwMTYvMDEvMTQ8L2VkaXRpb24+PGtleXdvcmRzPjxrZXl3b3Jk
PkFkdWx0PC9rZXl3b3JkPjxrZXl3b3JkPkFuaW1hbHM8L2tleXdvcmQ+PGtleXdvcmQ+Q2hpbGQs
IFByZXNjaG9vbDwva2V5d29yZD48a2V5d29yZD5EaWV0LyphZHZlcnNlIGVmZmVjdHM8L2tleXdv
cmQ+PGtleXdvcmQ+RGlldCBTdXJ2ZXlzPC9rZXl3b3JkPjxrZXl3b3JkPkZlbWFsZTwva2V5d29y
ZD48a2V5d29yZD5GZXRhbCBCbG9vZC9pbW11bm9sb2d5PC9rZXl3b3JkPjxrZXl3b3JkPkZpbmxh
bmQ8L2tleXdvcmQ+PGtleXdvcmQ+SHVtYW5zPC9rZXl3b3JkPjxrZXl3b3JkPkltbXVub2dsb2J1
bGluIEEvYW5hbHlzaXM8L2tleXdvcmQ+PGtleXdvcmQ+SW5mYW50PC9rZXl3b3JkPjxrZXl3b3Jk
PkxhY3RhdGlvbi8qcGh5c2lvbG9neTwva2V5d29yZD48a2V5d29yZD5Mb2dpc3RpYyBNb2RlbHM8
L2tleXdvcmQ+PGtleXdvcmQ+TWFsZTwva2V5d29yZD48a2V5d29yZD5NYXRlcm5hbCBOdXRyaXRp
b25hbCBQaHlzaW9sb2dpY2FsIFBoZW5vbWVuYS9waHlzaW9sb2d5PC9rZXl3b3JkPjxrZXl3b3Jk
Pk1pbGsvKmFkdmVyc2UgZWZmZWN0czwva2V5d29yZD48a2V5d29yZD5NaWxrIEh5cGVyc2Vuc2l0
aXZpdHkvKmV0aW9sb2d5L3ByZXZlbnRpb24gJmFtcDsgY29udHJvbDwva2V5d29yZD48a2V5d29y
ZD5QcmVnbmFuY3k8L2tleXdvcmQ+PGtleXdvcmQ+UHJlbmF0YWwgRXhwb3N1cmUgRGVsYXllZCBF
ZmZlY3RzLypldGlvbG9neTwva2V5d29yZD48L2tleXdvcmRzPjxkYXRlcz48eWVhcj4yMDE2PC95
ZWFyPjxwdWItZGF0ZXM+PGRhdGU+TWF5PC9kYXRlPjwvcHViLWRhdGVzPjwvZGF0ZXM+PGlzYm4+
MTQ3Ni01NjQwIChFbGVjdHJvbmljKSYjeEQ7MDk1NC0zMDA3IChMaW5raW5nKTwvaXNibj48YWNj
ZXNzaW9uLW51bT4yNjc1NzgzMjwvYWNjZXNzaW9uLW51bT48dXJscz48cmVsYXRlZC11cmxzPjx1
cmw+aHR0cHM6Ly93d3cubmNiaS5ubG0ubmloLmdvdi9wdWJtZWQvMjY3NTc4MzI8L3VybD48L3Jl
bGF0ZWQtdXJscz48L3VybHM+PGVsZWN0cm9uaWMtcmVzb3VyY2UtbnVtPjEwLjEwMzgvZWpjbi4y
MDE1LjIyMzwvZWxlY3Ryb25pYy1yZXNvdXJjZS1udW0+PC9yZWNvcmQ+PC9DaXRlPjwvRW5kTm90
ZT5=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91</w:t>
      </w:r>
      <w:r w:rsidR="00774750">
        <w:fldChar w:fldCharType="end"/>
      </w:r>
    </w:p>
    <w:p w14:paraId="4F2FDB66" w14:textId="03B96EF7" w:rsidR="0013058F" w:rsidRDefault="0013058F" w:rsidP="003E5B34">
      <w:pPr>
        <w:pStyle w:val="bullet"/>
      </w:pPr>
      <w:r w:rsidRPr="004C463B">
        <w:t>the incidence of babies' eczema was higher in the group with daily</w:t>
      </w:r>
      <w:r>
        <w:t xml:space="preserve"> butter</w:t>
      </w:r>
      <w:r w:rsidRPr="004C463B">
        <w:t xml:space="preserve"> intake than in those with an intak</w:t>
      </w:r>
      <w:r>
        <w:t>e 2-3 times a week or less (</w:t>
      </w:r>
      <w:r w:rsidRPr="00E366B1">
        <w:rPr>
          <w:sz w:val="16"/>
          <w:szCs w:val="16"/>
        </w:rPr>
        <w:t>p=0.044</w:t>
      </w:r>
      <w:r w:rsidRPr="004C463B">
        <w:t>)</w:t>
      </w:r>
      <w:r w:rsidRPr="0013058F">
        <w:t xml:space="preserve"> </w:t>
      </w:r>
      <w:r>
        <w:t>(</w:t>
      </w:r>
      <w:r w:rsidRPr="00883244">
        <w:rPr>
          <w:sz w:val="16"/>
          <w:szCs w:val="16"/>
        </w:rPr>
        <w:t>n=650</w:t>
      </w:r>
      <w:r>
        <w:t>).</w:t>
      </w:r>
      <w:r>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 </w:instrText>
      </w:r>
      <w:r w:rsidR="002747EA">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83</w:t>
      </w:r>
      <w:r>
        <w:fldChar w:fldCharType="end"/>
      </w:r>
    </w:p>
    <w:p w14:paraId="537A35ED" w14:textId="1273AADA" w:rsidR="00122B25" w:rsidRDefault="00122B25" w:rsidP="00122B25">
      <w:pPr>
        <w:pStyle w:val="Heading3"/>
      </w:pPr>
      <w:bookmarkStart w:id="49" w:name="_Toc40956486"/>
      <w:r>
        <w:t>Carbohydrates</w:t>
      </w:r>
      <w:bookmarkEnd w:id="49"/>
    </w:p>
    <w:p w14:paraId="6C313272" w14:textId="1E3065F2" w:rsidR="00BB061F" w:rsidRDefault="00BB061F" w:rsidP="00786654">
      <w:pPr>
        <w:pStyle w:val="Heading4"/>
      </w:pPr>
      <w:r>
        <w:t>Fetal growth</w:t>
      </w:r>
    </w:p>
    <w:p w14:paraId="73AD5EEB" w14:textId="40882B5E" w:rsidR="00F01EF9" w:rsidRPr="00BB061F" w:rsidRDefault="00F01EF9" w:rsidP="00F01EF9">
      <w:r>
        <w:t>In an analysis of women who were obese participating in an R</w:t>
      </w:r>
      <w:r w:rsidRPr="0013058F">
        <w:t>CT (</w:t>
      </w:r>
      <w:r w:rsidRPr="0013058F">
        <w:rPr>
          <w:sz w:val="16"/>
          <w:szCs w:val="16"/>
        </w:rPr>
        <w:t>n=222</w:t>
      </w:r>
      <w:r w:rsidRPr="0013058F">
        <w:t>),</w:t>
      </w:r>
      <w:r w:rsidR="00774750">
        <w:fldChar w:fldCharType="begin">
          <w:fldData xml:space="preserve">PEVuZE5vdGU+PENpdGU+PEF1dGhvcj5SZW5hdWx0PC9BdXRob3I+PFllYXI+MjAxNTwvWWVhcj48
UmVjTnVtPjE3MzU8L1JlY051bT48RGlzcGxheVRleHQ+PHN0eWxlIGZhY2U9InN1cGVyc2NyaXB0
IiBmb250PSJUcmVidWNoZXQgTVMiIHNpemU9IjkiPjkyPC9zdHlsZT48L0Rpc3BsYXlUZXh0Pjxy
ZWNvcmQ+PHJlYy1udW1iZXI+MTczNTwvcmVjLW51bWJlcj48Zm9yZWlnbi1rZXlzPjxrZXkgYXBw
PSJFTiIgZGItaWQ9ImV4dmFzcmZ4MmR0cmFvZXNhc3hwMnN6c3hhMmRmNTAyNTkyeCIgdGltZXN0
YW1wPSIxNTgyNTA2MjU3Ij4xNzM1PC9rZXk+PGtleSBhcHA9IkVOV2ViIiBkYi1pZD0iIj4wPC9r
ZXk+PC9mb3JlaWduLWtleXM+PHJlZi10eXBlIG5hbWU9IkpvdXJuYWwgQXJ0aWNsZSI+MTc8L3Jl
Zi10eXBlPjxjb250cmlidXRvcnM+PGF1dGhvcnM+PGF1dGhvcj5SZW5hdWx0LCBLLiBNLjwvYXV0
aG9yPjxhdXRob3I+Q2FybHNlbiwgRS4gTS48L2F1dGhvcj48YXV0aG9yPk5vcmdhYXJkLCBLLjwv
YXV0aG9yPjxhdXRob3I+TmlsYXMsIEwuPC9hdXRob3I+PGF1dGhvcj5QcnlkcywgTy48L2F1dGhv
cj48YXV0aG9yPlNlY2hlciwgTi4gSi48L2F1dGhvcj48YXV0aG9yPkNvcnRlcywgRC48L2F1dGhv
cj48YXV0aG9yPkplbnNlbiwgSi4gRS48L2F1dGhvcj48YXV0aG9yPk9sc2VuLCBTLiBGLjwvYXV0
aG9yPjxhdXRob3I+SGFsbGRvcnNzb24sIFQuIEkuPC9hdXRob3I+PC9hdXRob3JzPjwvY29udHJp
YnV0b3JzPjxhdXRoLWFkZHJlc3M+RGVwYXJ0bWVudHMgb2YgT2JzdGV0cmljcyBhbmQgR3luYWVj
b2xvZ3ksIGtyZW5hdWx0QGRhZGxuZXQuZGsuJiN4RDtQYWVkaWF0cmljcywgYW5kLiYjeEQ7RW5k
b2NyaW5vbG9neSwgSHZpZG92cmUgSG9zcGl0YWwsIFVuaXZlcnNpdHkgb2YgQ29wZW5oYWdlbiwg
Q29wZW5oYWdlbiwgRGVubWFyazsmI3hEO0RlcGFydG1lbnRzIG9mIE9ic3RldHJpY3MgYW5kIEd5
bmFlY29sb2d5LiYjeEQ7VGhlIFJlc2VhcmNoIFVuaXQgV29tZW4mYXBvcztzIGFuZCBDaGlsZHJl
biZhcG9zO3MgSGVhbHRoLCB0aGUgSnVsaWFuZSBNYXJpZSBDZW50cmUsIFJpZ3Nob3NwaXRhbGV0
LCBVbml2ZXJzaXR5IG9mIENvcGVuaGFnZW4sIENvcGVuaGFnZW4sIERlbm1hcms7JiN4RDtDZW50
cmUgZm9yIEZldGFsIFByb2dyYW1taW5nLCBEZXBhcnRtZW50IG9mIEVwaWRlbWlvbG9neSBSZXNl
YXJjaCwgU3RhdGVucyBTZXJ1bSBJbnN0aXR1dCwgQ29wZW5oYWdlbiwgRGVubWFyazsgYW5kLiYj
eEQ7Q2VudHJlIGZvciBGZXRhbCBQcm9ncmFtbWluZywgRGVwYXJ0bWVudCBvZiBFcGlkZW1pb2xv
Z3kgUmVzZWFyY2gsIFN0YXRlbnMgU2VydW0gSW5zdGl0dXQsIENvcGVuaGFnZW4sIERlbm1hcms7
IGFuZCBGYWN1bHR5IG9mIEZvb2QgU2NpZW5jZSBhbmQgTnV0cml0aW9uLCBVbml2ZXJzaXR5IG9m
IEljZWxhbmQsIFJleWtqYXZpaywgSWNlbGFuZC48L2F1dGgtYWRkcmVzcz48dGl0bGVzPjx0aXRs
ZT5JbnRha2Ugb2YgY2FyYm9oeWRyYXRlcyBkdXJpbmcgcHJlZ25hbmN5IGluIG9iZXNlIHdvbWVu
IGlzIGFzc29jaWF0ZWQgd2l0aCBmYXQgbWFzcyBpbiB0aGUgbmV3Ym9ybiBvZmZzcHJpbmc8L3Rp
dGxlPjxzZWNvbmRhcnktdGl0bGU+QW0gSiBDbGluIE51dHI8L3NlY29uZGFyeS10aXRsZT48L3Rp
dGxlcz48cGVyaW9kaWNhbD48ZnVsbC10aXRsZT5BbSBKIENsaW4gTnV0cjwvZnVsbC10aXRsZT48
L3BlcmlvZGljYWw+PHBhZ2VzPjE0NzUtODE8L3BhZ2VzPjx2b2x1bWU+MTAyPC92b2x1bWU+PG51
bWJlcj42PC9udW1iZXI+PGVkaXRpb24+MjAxNS8xMS8xMzwvZWRpdGlvbj48a2V5d29yZHM+PGtl
eXdvcmQ+QWRpcG9nZW5lc2lzPC9rZXl3b3JkPjxrZXl3b3JkPipBZGlwb3NpdHk8L2tleXdvcmQ+
PGtleXdvcmQ+QWR1bHQ8L2tleXdvcmQ+PGtleXdvcmQ+QmlydGggV2VpZ2h0PC9rZXl3b3JkPjxr
ZXl3b3JkPkJvZHkgTWFzcyBJbmRleDwva2V5d29yZD48a2V5d29yZD5EZW5tYXJrL2VwaWRlbWlv
bG9neTwva2V5d29yZD48a2V5d29yZD5EaWV0LCBDYXJib2h5ZHJhdGUtUmVzdHJpY3RlZDwva2V5
d29yZD48a2V5d29yZD4qRGlldCwgTWVkaXRlcnJhbmVhbjwva2V5d29yZD48a2V5d29yZD5EaWV0
YXJ5IENhcmJvaHlkcmF0ZXMvYWR2ZXJzZSBlZmZlY3RzPC9rZXl3b3JkPjxrZXl3b3JkPkZlbWFs
ZTwva2V5d29yZD48a2V5d29yZD4qRmV0YWwgRGV2ZWxvcG1lbnQ8L2tleXdvcmQ+PGtleXdvcmQ+
R2x1Y29zZSBJbnRvbGVyYW5jZS9jb21wbGljYXRpb25zLypkaWV0IHRoZXJhcHkvcGh5c2lvcGF0
aG9sb2d5PC9rZXl3b3JkPjxrZXl3b3JkPkh1bWFuczwva2V5d29yZD48a2V5d29yZD5JbmZhbnQs
IE5ld2Jvcm48L2tleXdvcmQ+PGtleXdvcmQ+Kk1hdGVybmFsIE51dHJpdGlvbmFsIFBoeXNpb2xv
Z2ljYWwgUGhlbm9tZW5hPC9rZXl3b3JkPjxrZXl3b3JkPk9iZXNpdHkvY29tcGxpY2F0aW9ucy8q
ZGlldCB0aGVyYXB5L3BoeXNpb3BhdGhvbG9neTwva2V5d29yZD48a2V5d29yZD5QZWRpYXRyaWMg
T2Jlc2l0eS9lcGlkZW1pb2xvZ3kvZXRpb2xvZ3kvcHJldmVudGlvbiAmYW1wOyBjb250cm9sPC9r
ZXl3b3JkPjxrZXl3b3JkPlByZWduYW5jeTwva2V5d29yZD48a2V5d29yZD5QcmVnbmFuY3kgQ29t
cGxpY2F0aW9ucy8qZGlldCB0aGVyYXB5L3BoeXNpb3BhdGhvbG9neTwva2V5d29yZD48a2V5d29y
ZD5SaXNrIEZhY3RvcnM8L2tleXdvcmQ+PGtleXdvcmQ+U2VsZiBSZXBvcnQ8L2tleXdvcmQ+PGtl
eXdvcmQ+WW91bmcgQWR1bHQ8L2tleXdvcmQ+PGtleXdvcmQ+Y2FyYm9oeWRyYXRlPC9rZXl3b3Jk
PjxrZXl3b3JkPmZhdCBtYXNzPC9rZXl3b3JkPjxrZXl3b3JkPm1hdGVybmFsIGRpZXQ8L2tleXdv
cmQ+PGtleXdvcmQ+b2Jlc2l0eTwva2V5d29yZD48a2V5d29yZD5vZmZzcHJpbmc8L2tleXdvcmQ+
PC9rZXl3b3Jkcz48ZGF0ZXM+PHllYXI+MjAxNTwveWVhcj48cHViLWRhdGVzPjxkYXRlPkRlYzwv
ZGF0ZT48L3B1Yi1kYXRlcz48L2RhdGVzPjxpc2JuPjE5MzgtMzIwNyAoRWxlY3Ryb25pYykmI3hE
OzAwMDItOTE2NSAoTGlua2luZyk8L2lzYm4+PGFjY2Vzc2lvbi1udW0+MjY1NjE2MjE8L2FjY2Vz
c2lvbi1udW0+PHVybHM+PHJlbGF0ZWQtdXJscz48dXJsPmh0dHBzOi8vd3d3Lm5jYmkubmxtLm5p
aC5nb3YvcHVibWVkLzI2NTYxNjIxPC91cmw+PC9yZWxhdGVkLXVybHM+PC91cmxzPjxlbGVjdHJv
bmljLXJlc291cmNlLW51bT4xMC4zOTQ1L2FqY24uMTE1LjExMDU1MTwvZWxlY3Ryb25pYy1yZXNv
dXJjZS1udW0+PC9yZWNvcmQ+PC9DaXRlPjwvRW5kTm90ZT5=
</w:fldData>
        </w:fldChar>
      </w:r>
      <w:r w:rsidR="002747EA">
        <w:instrText xml:space="preserve"> ADDIN EN.CITE </w:instrText>
      </w:r>
      <w:r w:rsidR="002747EA">
        <w:fldChar w:fldCharType="begin">
          <w:fldData xml:space="preserve">PEVuZE5vdGU+PENpdGU+PEF1dGhvcj5SZW5hdWx0PC9BdXRob3I+PFllYXI+MjAxNTwvWWVhcj48
UmVjTnVtPjE3MzU8L1JlY051bT48RGlzcGxheVRleHQ+PHN0eWxlIGZhY2U9InN1cGVyc2NyaXB0
IiBmb250PSJUcmVidWNoZXQgTVMiIHNpemU9IjkiPjkyPC9zdHlsZT48L0Rpc3BsYXlUZXh0Pjxy
ZWNvcmQ+PHJlYy1udW1iZXI+MTczNTwvcmVjLW51bWJlcj48Zm9yZWlnbi1rZXlzPjxrZXkgYXBw
PSJFTiIgZGItaWQ9ImV4dmFzcmZ4MmR0cmFvZXNhc3hwMnN6c3hhMmRmNTAyNTkyeCIgdGltZXN0
YW1wPSIxNTgyNTA2MjU3Ij4xNzM1PC9rZXk+PGtleSBhcHA9IkVOV2ViIiBkYi1pZD0iIj4wPC9r
ZXk+PC9mb3JlaWduLWtleXM+PHJlZi10eXBlIG5hbWU9IkpvdXJuYWwgQXJ0aWNsZSI+MTc8L3Jl
Zi10eXBlPjxjb250cmlidXRvcnM+PGF1dGhvcnM+PGF1dGhvcj5SZW5hdWx0LCBLLiBNLjwvYXV0
aG9yPjxhdXRob3I+Q2FybHNlbiwgRS4gTS48L2F1dGhvcj48YXV0aG9yPk5vcmdhYXJkLCBLLjwv
YXV0aG9yPjxhdXRob3I+TmlsYXMsIEwuPC9hdXRob3I+PGF1dGhvcj5QcnlkcywgTy48L2F1dGhv
cj48YXV0aG9yPlNlY2hlciwgTi4gSi48L2F1dGhvcj48YXV0aG9yPkNvcnRlcywgRC48L2F1dGhv
cj48YXV0aG9yPkplbnNlbiwgSi4gRS48L2F1dGhvcj48YXV0aG9yPk9sc2VuLCBTLiBGLjwvYXV0
aG9yPjxhdXRob3I+SGFsbGRvcnNzb24sIFQuIEkuPC9hdXRob3I+PC9hdXRob3JzPjwvY29udHJp
YnV0b3JzPjxhdXRoLWFkZHJlc3M+RGVwYXJ0bWVudHMgb2YgT2JzdGV0cmljcyBhbmQgR3luYWVj
b2xvZ3ksIGtyZW5hdWx0QGRhZGxuZXQuZGsuJiN4RDtQYWVkaWF0cmljcywgYW5kLiYjeEQ7RW5k
b2NyaW5vbG9neSwgSHZpZG92cmUgSG9zcGl0YWwsIFVuaXZlcnNpdHkgb2YgQ29wZW5oYWdlbiwg
Q29wZW5oYWdlbiwgRGVubWFyazsmI3hEO0RlcGFydG1lbnRzIG9mIE9ic3RldHJpY3MgYW5kIEd5
bmFlY29sb2d5LiYjeEQ7VGhlIFJlc2VhcmNoIFVuaXQgV29tZW4mYXBvcztzIGFuZCBDaGlsZHJl
biZhcG9zO3MgSGVhbHRoLCB0aGUgSnVsaWFuZSBNYXJpZSBDZW50cmUsIFJpZ3Nob3NwaXRhbGV0
LCBVbml2ZXJzaXR5IG9mIENvcGVuaGFnZW4sIENvcGVuaGFnZW4sIERlbm1hcms7JiN4RDtDZW50
cmUgZm9yIEZldGFsIFByb2dyYW1taW5nLCBEZXBhcnRtZW50IG9mIEVwaWRlbWlvbG9neSBSZXNl
YXJjaCwgU3RhdGVucyBTZXJ1bSBJbnN0aXR1dCwgQ29wZW5oYWdlbiwgRGVubWFyazsgYW5kLiYj
eEQ7Q2VudHJlIGZvciBGZXRhbCBQcm9ncmFtbWluZywgRGVwYXJ0bWVudCBvZiBFcGlkZW1pb2xv
Z3kgUmVzZWFyY2gsIFN0YXRlbnMgU2VydW0gSW5zdGl0dXQsIENvcGVuaGFnZW4sIERlbm1hcms7
IGFuZCBGYWN1bHR5IG9mIEZvb2QgU2NpZW5jZSBhbmQgTnV0cml0aW9uLCBVbml2ZXJzaXR5IG9m
IEljZWxhbmQsIFJleWtqYXZpaywgSWNlbGFuZC48L2F1dGgtYWRkcmVzcz48dGl0bGVzPjx0aXRs
ZT5JbnRha2Ugb2YgY2FyYm9oeWRyYXRlcyBkdXJpbmcgcHJlZ25hbmN5IGluIG9iZXNlIHdvbWVu
IGlzIGFzc29jaWF0ZWQgd2l0aCBmYXQgbWFzcyBpbiB0aGUgbmV3Ym9ybiBvZmZzcHJpbmc8L3Rp
dGxlPjxzZWNvbmRhcnktdGl0bGU+QW0gSiBDbGluIE51dHI8L3NlY29uZGFyeS10aXRsZT48L3Rp
dGxlcz48cGVyaW9kaWNhbD48ZnVsbC10aXRsZT5BbSBKIENsaW4gTnV0cjwvZnVsbC10aXRsZT48
L3BlcmlvZGljYWw+PHBhZ2VzPjE0NzUtODE8L3BhZ2VzPjx2b2x1bWU+MTAyPC92b2x1bWU+PG51
bWJlcj42PC9udW1iZXI+PGVkaXRpb24+MjAxNS8xMS8xMzwvZWRpdGlvbj48a2V5d29yZHM+PGtl
eXdvcmQ+QWRpcG9nZW5lc2lzPC9rZXl3b3JkPjxrZXl3b3JkPipBZGlwb3NpdHk8L2tleXdvcmQ+
PGtleXdvcmQ+QWR1bHQ8L2tleXdvcmQ+PGtleXdvcmQ+QmlydGggV2VpZ2h0PC9rZXl3b3JkPjxr
ZXl3b3JkPkJvZHkgTWFzcyBJbmRleDwva2V5d29yZD48a2V5d29yZD5EZW5tYXJrL2VwaWRlbWlv
bG9neTwva2V5d29yZD48a2V5d29yZD5EaWV0LCBDYXJib2h5ZHJhdGUtUmVzdHJpY3RlZDwva2V5
d29yZD48a2V5d29yZD4qRGlldCwgTWVkaXRlcnJhbmVhbjwva2V5d29yZD48a2V5d29yZD5EaWV0
YXJ5IENhcmJvaHlkcmF0ZXMvYWR2ZXJzZSBlZmZlY3RzPC9rZXl3b3JkPjxrZXl3b3JkPkZlbWFs
ZTwva2V5d29yZD48a2V5d29yZD4qRmV0YWwgRGV2ZWxvcG1lbnQ8L2tleXdvcmQ+PGtleXdvcmQ+
R2x1Y29zZSBJbnRvbGVyYW5jZS9jb21wbGljYXRpb25zLypkaWV0IHRoZXJhcHkvcGh5c2lvcGF0
aG9sb2d5PC9rZXl3b3JkPjxrZXl3b3JkPkh1bWFuczwva2V5d29yZD48a2V5d29yZD5JbmZhbnQs
IE5ld2Jvcm48L2tleXdvcmQ+PGtleXdvcmQ+Kk1hdGVybmFsIE51dHJpdGlvbmFsIFBoeXNpb2xv
Z2ljYWwgUGhlbm9tZW5hPC9rZXl3b3JkPjxrZXl3b3JkPk9iZXNpdHkvY29tcGxpY2F0aW9ucy8q
ZGlldCB0aGVyYXB5L3BoeXNpb3BhdGhvbG9neTwva2V5d29yZD48a2V5d29yZD5QZWRpYXRyaWMg
T2Jlc2l0eS9lcGlkZW1pb2xvZ3kvZXRpb2xvZ3kvcHJldmVudGlvbiAmYW1wOyBjb250cm9sPC9r
ZXl3b3JkPjxrZXl3b3JkPlByZWduYW5jeTwva2V5d29yZD48a2V5d29yZD5QcmVnbmFuY3kgQ29t
cGxpY2F0aW9ucy8qZGlldCB0aGVyYXB5L3BoeXNpb3BhdGhvbG9neTwva2V5d29yZD48a2V5d29y
ZD5SaXNrIEZhY3RvcnM8L2tleXdvcmQ+PGtleXdvcmQ+U2VsZiBSZXBvcnQ8L2tleXdvcmQ+PGtl
eXdvcmQ+WW91bmcgQWR1bHQ8L2tleXdvcmQ+PGtleXdvcmQ+Y2FyYm9oeWRyYXRlPC9rZXl3b3Jk
PjxrZXl3b3JkPmZhdCBtYXNzPC9rZXl3b3JkPjxrZXl3b3JkPm1hdGVybmFsIGRpZXQ8L2tleXdv
cmQ+PGtleXdvcmQ+b2Jlc2l0eTwva2V5d29yZD48a2V5d29yZD5vZmZzcHJpbmc8L2tleXdvcmQ+
PC9rZXl3b3Jkcz48ZGF0ZXM+PHllYXI+MjAxNTwveWVhcj48cHViLWRhdGVzPjxkYXRlPkRlYzwv
ZGF0ZT48L3B1Yi1kYXRlcz48L2RhdGVzPjxpc2JuPjE5MzgtMzIwNyAoRWxlY3Ryb25pYykmI3hE
OzAwMDItOTE2NSAoTGlua2luZyk8L2lzYm4+PGFjY2Vzc2lvbi1udW0+MjY1NjE2MjE8L2FjY2Vz
c2lvbi1udW0+PHVybHM+PHJlbGF0ZWQtdXJscz48dXJsPmh0dHBzOi8vd3d3Lm5jYmkubmxtLm5p
aC5nb3YvcHVibWVkLzI2NTYxNjIxPC91cmw+PC9yZWxhdGVkLXVybHM+PC91cmxzPjxlbGVjdHJv
bmljLXJlc291cmNlLW51bT4xMC4zOTQ1L2FqY24uMTE1LjExMDU1MTwvZWxlY3Ryb25pYy1yZXNv
dXJjZS1udW0+PC9yZWNvcmQ+PC9DaXRlPjwvRW5kTm90ZT5=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92</w:t>
      </w:r>
      <w:r w:rsidR="00774750">
        <w:fldChar w:fldCharType="end"/>
      </w:r>
      <w:r w:rsidRPr="0013058F">
        <w:t xml:space="preserve"> mat</w:t>
      </w:r>
      <w:r w:rsidRPr="00A51BB3">
        <w:t xml:space="preserve">ernal intake of digestible carbohydrates was associated with the </w:t>
      </w:r>
      <w:r w:rsidR="008E4648">
        <w:t>baby’s</w:t>
      </w:r>
      <w:r w:rsidRPr="00A51BB3">
        <w:t xml:space="preserve"> relative fat mass in late (</w:t>
      </w:r>
      <w:r w:rsidRPr="00A912D4">
        <w:rPr>
          <w:sz w:val="16"/>
          <w:szCs w:val="16"/>
        </w:rPr>
        <w:t>P-trend = 0.006</w:t>
      </w:r>
      <w:r w:rsidRPr="00A51BB3">
        <w:t>) but not early (</w:t>
      </w:r>
      <w:r w:rsidRPr="00A912D4">
        <w:rPr>
          <w:sz w:val="16"/>
          <w:szCs w:val="16"/>
        </w:rPr>
        <w:t>P-trend = 0.15</w:t>
      </w:r>
      <w:r w:rsidRPr="00A51BB3">
        <w:t xml:space="preserve">) pregnancy. A comparison of </w:t>
      </w:r>
      <w:r w:rsidR="008E4648">
        <w:t>women</w:t>
      </w:r>
      <w:r w:rsidRPr="00A51BB3">
        <w:t xml:space="preserve"> in the highest (</w:t>
      </w:r>
      <w:r w:rsidRPr="00A912D4">
        <w:rPr>
          <w:sz w:val="16"/>
          <w:szCs w:val="16"/>
        </w:rPr>
        <w:t>median: 238 g/d</w:t>
      </w:r>
      <w:r w:rsidRPr="00A51BB3">
        <w:t>) compared with the lowest (</w:t>
      </w:r>
      <w:r w:rsidRPr="00A912D4">
        <w:rPr>
          <w:sz w:val="16"/>
          <w:szCs w:val="16"/>
        </w:rPr>
        <w:t>median: 188 g/d</w:t>
      </w:r>
      <w:r w:rsidRPr="00A51BB3">
        <w:t xml:space="preserve">) quartile of digestible carbohydrate intake showed a mean adjusted higher value in the </w:t>
      </w:r>
      <w:r w:rsidR="008E4648">
        <w:t>baby’s</w:t>
      </w:r>
      <w:r w:rsidRPr="00A51BB3">
        <w:t xml:space="preserve"> re</w:t>
      </w:r>
      <w:r>
        <w:t>lative fat mass of 2.1% (</w:t>
      </w:r>
      <w:r w:rsidRPr="00F120F3">
        <w:rPr>
          <w:sz w:val="16"/>
          <w:szCs w:val="16"/>
        </w:rPr>
        <w:t>95% CI 0.6 to 3.7</w:t>
      </w:r>
      <w:r w:rsidRPr="00A51BB3">
        <w:t xml:space="preserve">), which corresponded in absolute terms </w:t>
      </w:r>
      <w:r>
        <w:t>to a 103 g (</w:t>
      </w:r>
      <w:r w:rsidRPr="00F120F3">
        <w:rPr>
          <w:sz w:val="16"/>
          <w:szCs w:val="16"/>
        </w:rPr>
        <w:t>95% CI: 27 to 179 g</w:t>
      </w:r>
      <w:r w:rsidRPr="00A51BB3">
        <w:t>) higher fat mass.</w:t>
      </w:r>
      <w:r w:rsidR="008E4648">
        <w:t xml:space="preserve"> No association was found between the baby’s infant fat mass and maternal carbohydrate intake among women with well-controlled glucose.</w:t>
      </w:r>
    </w:p>
    <w:p w14:paraId="41C3AEAF" w14:textId="7BA8CC89" w:rsidR="00BB061F" w:rsidRDefault="00BB061F" w:rsidP="00BB061F">
      <w:r>
        <w:t>A cohort s</w:t>
      </w:r>
      <w:r w:rsidRPr="00A72DF9">
        <w:t>tudy (</w:t>
      </w:r>
      <w:r w:rsidRPr="00A72DF9">
        <w:rPr>
          <w:sz w:val="16"/>
          <w:szCs w:val="16"/>
        </w:rPr>
        <w:t>n=1,196</w:t>
      </w:r>
      <w:r w:rsidRPr="00A72DF9">
        <w:t>)</w:t>
      </w:r>
      <w:r w:rsidR="00774750">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 </w:instrText>
      </w:r>
      <w:r w:rsidR="002747EA">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93</w:t>
      </w:r>
      <w:r w:rsidR="00774750">
        <w:fldChar w:fldCharType="end"/>
      </w:r>
      <w:r w:rsidRPr="00A72DF9">
        <w:t xml:space="preserve"> found t</w:t>
      </w:r>
      <w:r w:rsidRPr="00520621">
        <w:t>hat each additional 10 g/d</w:t>
      </w:r>
      <w:r>
        <w:t>ay</w:t>
      </w:r>
      <w:r w:rsidRPr="00520621">
        <w:t xml:space="preserve"> </w:t>
      </w:r>
      <w:r>
        <w:t>carbohydrate</w:t>
      </w:r>
      <w:r w:rsidRPr="00520621">
        <w:t xml:space="preserve"> consumption was associa</w:t>
      </w:r>
      <w:r>
        <w:t>ted with an increase of 4 g (</w:t>
      </w:r>
      <w:r w:rsidRPr="00A912D4">
        <w:rPr>
          <w:sz w:val="16"/>
          <w:szCs w:val="16"/>
        </w:rPr>
        <w:t>95%CI 1 to 7; P=0.003</w:t>
      </w:r>
      <w:r w:rsidRPr="00520621">
        <w:t>) in birth weight.</w:t>
      </w:r>
    </w:p>
    <w:p w14:paraId="7186F89A" w14:textId="36693B7F" w:rsidR="00786654" w:rsidRPr="00786654" w:rsidRDefault="00786654" w:rsidP="00786654">
      <w:pPr>
        <w:pStyle w:val="Heading4"/>
      </w:pPr>
      <w:r>
        <w:t>Childhood allergy</w:t>
      </w:r>
    </w:p>
    <w:p w14:paraId="2646105A" w14:textId="0A12E88E" w:rsidR="00F80439" w:rsidRPr="00F80439" w:rsidRDefault="00C4695D" w:rsidP="00F80439">
      <w:r>
        <w:t xml:space="preserve">A cohort study </w:t>
      </w:r>
      <w:r w:rsidR="00DB7CAA">
        <w:t>(</w:t>
      </w:r>
      <w:r w:rsidR="00DB7CAA" w:rsidRPr="00A912D4">
        <w:rPr>
          <w:sz w:val="16"/>
          <w:szCs w:val="16"/>
        </w:rPr>
        <w:t>n=1,087</w:t>
      </w:r>
      <w:r w:rsidR="00DB7CAA">
        <w:t xml:space="preserve">) </w:t>
      </w:r>
      <w:r>
        <w:t xml:space="preserve">found an association </w:t>
      </w:r>
      <w:r w:rsidR="00D7606F">
        <w:t>between “wheezing” at 12 months</w:t>
      </w:r>
      <w:r w:rsidR="00485542">
        <w:t xml:space="preserve"> and </w:t>
      </w:r>
      <w:r w:rsidR="005D1125">
        <w:t>consumption once or twice a week of cooked potatoes (</w:t>
      </w:r>
      <w:r w:rsidR="005D1125" w:rsidRPr="00396EB4">
        <w:rPr>
          <w:sz w:val="16"/>
          <w:szCs w:val="16"/>
        </w:rPr>
        <w:t>OR 1.75; 95%CI 1.22 to 2.51</w:t>
      </w:r>
      <w:r w:rsidR="00396EB4">
        <w:t xml:space="preserve">) </w:t>
      </w:r>
      <w:r w:rsidR="00B56FE8">
        <w:t>or</w:t>
      </w:r>
      <w:r w:rsidR="00396EB4">
        <w:t xml:space="preserve"> industrial pastry (</w:t>
      </w:r>
      <w:r w:rsidR="00396EB4" w:rsidRPr="00396EB4">
        <w:rPr>
          <w:sz w:val="16"/>
          <w:szCs w:val="16"/>
        </w:rPr>
        <w:t>OR</w:t>
      </w:r>
      <w:r w:rsidR="005D1125" w:rsidRPr="00396EB4">
        <w:rPr>
          <w:sz w:val="16"/>
          <w:szCs w:val="16"/>
        </w:rPr>
        <w:t xml:space="preserve"> 1.59</w:t>
      </w:r>
      <w:r w:rsidR="00396EB4" w:rsidRPr="00396EB4">
        <w:rPr>
          <w:sz w:val="16"/>
          <w:szCs w:val="16"/>
        </w:rPr>
        <w:t xml:space="preserve">; 95%CI </w:t>
      </w:r>
      <w:r w:rsidR="005D1125" w:rsidRPr="00396EB4">
        <w:rPr>
          <w:sz w:val="16"/>
          <w:szCs w:val="16"/>
        </w:rPr>
        <w:t xml:space="preserve">1.13 to </w:t>
      </w:r>
      <w:r w:rsidR="00396EB4" w:rsidRPr="00396EB4">
        <w:rPr>
          <w:sz w:val="16"/>
          <w:szCs w:val="16"/>
        </w:rPr>
        <w:t>2.24</w:t>
      </w:r>
      <w:r w:rsidR="005D1125" w:rsidRPr="00000A5C">
        <w:t>)</w:t>
      </w:r>
      <w:r w:rsidR="00396EB4">
        <w:t>.</w:t>
      </w:r>
      <w:r w:rsidR="00396EB4">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rsidR="00396EB4">
        <w:fldChar w:fldCharType="separate"/>
      </w:r>
      <w:r w:rsidR="002747EA" w:rsidRPr="002747EA">
        <w:rPr>
          <w:noProof/>
          <w:vertAlign w:val="superscript"/>
        </w:rPr>
        <w:t>52</w:t>
      </w:r>
      <w:r w:rsidR="00396EB4">
        <w:fldChar w:fldCharType="end"/>
      </w:r>
      <w:r w:rsidR="00B56FE8">
        <w:t xml:space="preserve"> Consumption of </w:t>
      </w:r>
      <w:r w:rsidR="00B56FE8" w:rsidRPr="00880A17">
        <w:t xml:space="preserve">pasta </w:t>
      </w:r>
      <w:r w:rsidR="00B56FE8">
        <w:t>never or occasionally during pregnancy was</w:t>
      </w:r>
      <w:r w:rsidR="00B56FE8" w:rsidRPr="00880A17">
        <w:t xml:space="preserve"> </w:t>
      </w:r>
      <w:r w:rsidR="00B56FE8">
        <w:t>protective against wheeze in the child (</w:t>
      </w:r>
      <w:r w:rsidR="00B56FE8" w:rsidRPr="00B56FE8">
        <w:rPr>
          <w:sz w:val="16"/>
          <w:szCs w:val="16"/>
        </w:rPr>
        <w:t>p=0.049</w:t>
      </w:r>
      <w:r w:rsidR="00B56FE8">
        <w:t>)</w:t>
      </w:r>
      <w:r w:rsidR="00B56FE8" w:rsidRPr="00880A17">
        <w:t>.</w:t>
      </w:r>
      <w:r w:rsidR="00B56FE8">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B56FE8">
        <w:fldChar w:fldCharType="separate"/>
      </w:r>
      <w:r w:rsidR="002747EA" w:rsidRPr="002747EA">
        <w:rPr>
          <w:noProof/>
          <w:vertAlign w:val="superscript"/>
        </w:rPr>
        <w:t>53</w:t>
      </w:r>
      <w:r w:rsidR="00B56FE8">
        <w:fldChar w:fldCharType="end"/>
      </w:r>
    </w:p>
    <w:p w14:paraId="38E8D7F7" w14:textId="77777777" w:rsidR="00541F56" w:rsidRDefault="00541F56" w:rsidP="00122B25">
      <w:pPr>
        <w:pStyle w:val="Heading3"/>
      </w:pPr>
      <w:bookmarkStart w:id="50" w:name="_Toc40956487"/>
      <w:r>
        <w:t>Protein</w:t>
      </w:r>
      <w:bookmarkEnd w:id="50"/>
    </w:p>
    <w:p w14:paraId="22FB012B" w14:textId="77777777" w:rsidR="00541F56" w:rsidRDefault="00541F56" w:rsidP="00541F56">
      <w:pPr>
        <w:pStyle w:val="Heading4"/>
      </w:pPr>
      <w:r>
        <w:t>Gestational diabetes</w:t>
      </w:r>
    </w:p>
    <w:p w14:paraId="4E6AC9B8" w14:textId="586F0272" w:rsidR="00541F56" w:rsidRPr="00541F56" w:rsidRDefault="00541F56" w:rsidP="00541F56">
      <w:r>
        <w:t xml:space="preserve">A cross-sectional </w:t>
      </w:r>
      <w:r w:rsidRPr="00A72DF9">
        <w:t>study (</w:t>
      </w:r>
      <w:r w:rsidRPr="00A72DF9">
        <w:rPr>
          <w:sz w:val="16"/>
          <w:szCs w:val="16"/>
        </w:rPr>
        <w:t>n=980</w:t>
      </w:r>
      <w:r w:rsidRPr="00A72DF9">
        <w:t>)</w:t>
      </w:r>
      <w:r w:rsidR="00774750">
        <w:fldChar w:fldCharType="begin">
          <w:fldData xml:space="preserve">PEVuZE5vdGU+PENpdGU+PEF1dGhvcj5QYW5nPC9BdXRob3I+PFllYXI+MjAxNzwvWWVhcj48UmVj
TnVtPjE3MzI8L1JlY051bT48RGlzcGxheVRleHQ+PHN0eWxlIGZhY2U9InN1cGVyc2NyaXB0IiBm
b250PSJUcmVidWNoZXQgTVMiIHNpemU9IjkiPjk0PC9zdHlsZT48L0Rpc3BsYXlUZXh0PjxyZWNv
cmQ+PHJlYy1udW1iZXI+MTczMjwvcmVjLW51bWJlcj48Zm9yZWlnbi1rZXlzPjxrZXkgYXBwPSJF
TiIgZGItaWQ9ImV4dmFzcmZ4MmR0cmFvZXNhc3hwMnN6c3hhMmRmNTAyNTkyeCIgdGltZXN0YW1w
PSIxNTgyNTA2MjM0Ij4xNzMyPC9rZXk+PGtleSBhcHA9IkVOV2ViIiBkYi1pZD0iIj4wPC9rZXk+
PC9mb3JlaWduLWtleXM+PHJlZi10eXBlIG5hbWU9IkpvdXJuYWwgQXJ0aWNsZSI+MTc8L3JlZi10
eXBlPjxjb250cmlidXRvcnM+PGF1dGhvcnM+PGF1dGhvcj5QYW5nLCBXLiBXLjwvYXV0aG9yPjxh
dXRob3I+Q29sZWdhLCBNLjwvYXV0aG9yPjxhdXRob3I+Q2FpLCBTLjwvYXV0aG9yPjxhdXRob3I+
Q2hhbiwgWS4gSC48L2F1dGhvcj48YXV0aG9yPlBhZG1hcHJpeWEsIE4uPC9hdXRob3I+PGF1dGhv
cj5DaGVuLCBMLiBXLjwvYXV0aG9yPjxhdXRob3I+U29oLCBTLiBFLjwvYXV0aG9yPjxhdXRob3I+
SGFuLCBXLiBNLjwvYXV0aG9yPjxhdXRob3I+VGFuLCBLLiBILjwvYXV0aG9yPjxhdXRob3I+TGVl
LCBZLiBTLjwvYXV0aG9yPjxhdXRob3I+U2F3LCBTLiBNLjwvYXV0aG9yPjxhdXRob3I+R2x1Y2tt
YW4sIFAuIEQuPC9hdXRob3I+PGF1dGhvcj5Hb2RmcmV5LCBLLiBNLjwvYXV0aG9yPjxhdXRob3I+
Q2hvbmcsIFkuIFMuPC9hdXRob3I+PGF1dGhvcj52YW4gRGFtLCBSLiBNLjwvYXV0aG9yPjxhdXRo
b3I+Q2hvbmcsIE0uIEYuPC9hdXRob3I+PC9hdXRob3JzPjwvY29udHJpYnV0b3JzPjxhdXRoLWFk
ZHJlc3M+RGVwYXJ0bWVudHMgb2YgT2JzdGV0cmljcyBhbmQgR3luYWVjb2xvZ3kuJiN4RDtTaW5n
YXBvcmUgSW5zdGl0dXRlIGZvciBDbGluaWNhbCBTY2llbmNlcywgQWdlbmN5IGZvciBTY2llbmNl
LCBUZWNobm9sb2d5LCBhbmQgUmVzZWFyY2gsIFNpbmdhcG9yZSwgU2luZ2Fwb3JlLiYjeEQ7Qmlv
c3RhdGlzdGljcy4mI3hEO1BhZWRpYXRyaWNzLCBhbmQuJiN4RDtEZXBhcnRtZW50cyBvZiBOdXRy
aXRpb24gYW5kIERpZXRldGljcyBhbmQuJiN4RDtNYXRlcm5hbCBGZXRhbCBNZWRpY2luZSwgS0sg
V29tZW4mYXBvcztzIGFuZCBDaGlsZHJlbiZhcG9zO3MgSG9zcGl0YWwsIFNpbmdhcG9yZSwgU2lu
Z2Fwb3JlLiYjeEQ7S2hvbyBUZWNrIFB1YXQtTmF0aW9uYWwgVW5pdmVyc2l0eSBDaGlsZHJlbiZh
cG9zO3MgTWVkaWNhbCBJbnN0aXR1dGUuJiN4RDtTYXcgU3dlZSBIb2NrIFNjaG9vbCBvZiBQdWJs
aWMgSGVhbHRoLCBOYXRpb25hbCBVbml2ZXJzaXR5IG9mIFNpbmdhcG9yZSBhbmQgTmF0aW9uYWwg
VW5pdmVyc2l0eSBIZWFsdGggU3lzdGVtLCBTaW5nYXBvcmUsIFNpbmdhcG9yZS4mI3hEO0xpZ2dp
bnMgSW5zdGl0dXRlLCBVbml2ZXJzaXR5IG9mIEF1Y2tsYW5kLCBBdWNrbGFuZCwgTmV3IFplYWxh
bmQuJiN4RDtNZWRpY2FsIFJlc2VhcmNoIENvdW5jaWwgTGlmZWNvdXJzZSBFcGlkZW1pb2xvZ3kg
VW5pdCwgU291dGhhbXB0b24sIFVuaXRlZCBLaW5nZG9tOyBhbmQuJiN4RDtOYXRpb25hbCBJbnN0
aXR1dGUgZm9yIEhlYWx0aCBSZXNlYXJjaCBTb3V0aGFtcHRvbiBCaW9tZWRpY2FsIFJlc2VhcmNo
IENlbnRyZSwgVW5pdmVyc2l0eSBvZiBTb3V0aGFtcHRvbiBhbmQgVW5pdmVyc2l0eSBIb3NwaXRh
bCBTb3V0aGFtcHRvbiBOYXRpb25hbCBIZWFsdGggU2VydmljZSBGb3VuZGF0aW9uIFRydXN0LCBT
b3V0aGFtcHRvbiwgVW5pdGVkIEtpbmdkb20uJiN4RDtNZWRpY2luZSwgWW9uZyBMb28gTGluIFNj
aG9vbCBvZiBNZWRpY2luZSwgcm9iLnZhbi5kYW1AbnVzLmVkdS5zZyBlcGhtY2ZmQG51cy5lZHUu
c2cuJiN4RDtTYXcgU3dlZSBIb2NrIFNjaG9vbCBvZiBQdWJsaWMgSGVhbHRoLCBOYXRpb25hbCBV
bml2ZXJzaXR5IG9mIFNpbmdhcG9yZSBhbmQgTmF0aW9uYWwgVW5pdmVyc2l0eSBIZWFsdGggU3lz
dGVtLCBTaW5nYXBvcmUsIFNpbmdhcG9yZTsgcm9iLnZhbi5kYW1AbnVzLmVkdS5zZyBlcGhtY2Zm
QG51cy5lZHUuc2cuPC9hdXRoLWFkZHJlc3M+PHRpdGxlcz48dGl0bGU+SGlnaGVyIG1hdGVybmFs
IGRpZXRhcnkgcHJvdGVpbiBpbnRha2UgaXMgYXNzb2NpYXRlZCB3aXRoIGEgaGlnaGVyIHJpc2sg
b2YgZ2VzdGF0aW9uYWwgZGlhYmV0ZXMgbWVsbGl0dXMgaW4gYSBtdWx0aWV0aG5pYyBhc2lhbiBj
b2hvcnQ8L3RpdGxlPjxzZWNvbmRhcnktdGl0bGU+SiBOdXRyPC9zZWNvbmRhcnktdGl0bGU+PC90
aXRsZXM+PHBlcmlvZGljYWw+PGZ1bGwtdGl0bGU+SiBOdXRyPC9mdWxsLXRpdGxlPjwvcGVyaW9k
aWNhbD48cGFnZXM+NjUzLTY2MDwvcGFnZXM+PHZvbHVtZT4xNDc8L3ZvbHVtZT48bnVtYmVyPjQ8
L251bWJlcj48ZWRpdGlvbj4yMDE3LzAzLzEwPC9lZGl0aW9uPjxrZXl3b3Jkcz48a2V5d29yZD5B
ZG9sZXNjZW50PC9rZXl3b3JkPjxrZXl3b3JkPkFkdWx0PC9rZXl3b3JkPjxrZXl3b3JkPipBc2lh
biBDb250aW5lbnRhbCBBbmNlc3RyeSBHcm91cDwva2V5d29yZD48a2V5d29yZD5EaWFiZXRlcywg
R2VzdGF0aW9uYWwvZXRobm9sb2d5LypldGlvbG9neTwva2V5d29yZD48a2V5d29yZD5EaWV0YXJ5
IFByb3RlaW5zL2FkbWluaXN0cmF0aW9uICZhbXA7IGRvc2FnZS8qYWR2ZXJzZSBlZmZlY3RzPC9r
ZXl3b3JkPjxrZXl3b3JkPkZlbWFsZTwva2V5d29yZD48a2V5d29yZD5IdW1hbnM8L2tleXdvcmQ+
PGtleXdvcmQ+TWlkZGxlIEFnZWQ8L2tleXdvcmQ+PGtleXdvcmQ+T2RkcyBSYXRpbzwva2V5d29y
ZD48a2V5d29yZD5QcmVnbmFuY3k8L2tleXdvcmQ+PGtleXdvcmQ+UmlzayBGYWN0b3JzPC9rZXl3
b3JkPjxrZXl3b3JkPllvdW5nIEFkdWx0PC9rZXl3b3JkPjxrZXl3b3JkPipBc2lhbjwva2V5d29y
ZD48a2V5d29yZD4qYW5pbWFsIHByb3RlaW48L2tleXdvcmQ+PGtleXdvcmQ+KmRpZXRhcnkgcHJv
dGVpbjwva2V5d29yZD48a2V5d29yZD4qZ2VzdGF0aW9uYWwgZGlhYmV0ZXMgbWVsbGl0dXM8L2tl
eXdvcmQ+PGtleXdvcmQ+KnZlZ2V0YWJsZSBwcm90ZWluPC9rZXl3b3JkPjwva2V5d29yZHM+PGRh
dGVzPjx5ZWFyPjIwMTc8L3llYXI+PHB1Yi1kYXRlcz48ZGF0ZT5BcHI8L2RhdGU+PC9wdWItZGF0
ZXM+PC9kYXRlcz48aXNibj4xNTQxLTYxMDAgKEVsZWN0cm9uaWMpJiN4RDswMDIyLTMxNjYgKExp
bmtpbmcpPC9pc2JuPjxhY2Nlc3Npb24tbnVtPjI4Mjc1MTAxPC9hY2Nlc3Npb24tbnVtPjx1cmxz
PjxyZWxhdGVkLXVybHM+PHVybD5odHRwczovL3d3dy5uY2JpLm5sbS5uaWguZ292L3B1Ym1lZC8y
ODI3NTEwMTwvdXJsPjwvcmVsYXRlZC11cmxzPjwvdXJscz48Y3VzdG9tMj5QTUM1MzgyOTcyPC9j
dXN0b20yPjxlbGVjdHJvbmljLXJlc291cmNlLW51bT4xMC4zOTQ1L2puLjExNi4yNDM4ODE8L2Vs
ZWN0cm9uaWMtcmVzb3VyY2UtbnVtPjwvcmVjb3JkPjwvQ2l0ZT48L0VuZE5vdGU+AG==
</w:fldData>
        </w:fldChar>
      </w:r>
      <w:r w:rsidR="002747EA">
        <w:instrText xml:space="preserve"> ADDIN EN.CITE </w:instrText>
      </w:r>
      <w:r w:rsidR="002747EA">
        <w:fldChar w:fldCharType="begin">
          <w:fldData xml:space="preserve">PEVuZE5vdGU+PENpdGU+PEF1dGhvcj5QYW5nPC9BdXRob3I+PFllYXI+MjAxNzwvWWVhcj48UmVj
TnVtPjE3MzI8L1JlY051bT48RGlzcGxheVRleHQ+PHN0eWxlIGZhY2U9InN1cGVyc2NyaXB0IiBm
b250PSJUcmVidWNoZXQgTVMiIHNpemU9IjkiPjk0PC9zdHlsZT48L0Rpc3BsYXlUZXh0PjxyZWNv
cmQ+PHJlYy1udW1iZXI+MTczMjwvcmVjLW51bWJlcj48Zm9yZWlnbi1rZXlzPjxrZXkgYXBwPSJF
TiIgZGItaWQ9ImV4dmFzcmZ4MmR0cmFvZXNhc3hwMnN6c3hhMmRmNTAyNTkyeCIgdGltZXN0YW1w
PSIxNTgyNTA2MjM0Ij4xNzMyPC9rZXk+PGtleSBhcHA9IkVOV2ViIiBkYi1pZD0iIj4wPC9rZXk+
PC9mb3JlaWduLWtleXM+PHJlZi10eXBlIG5hbWU9IkpvdXJuYWwgQXJ0aWNsZSI+MTc8L3JlZi10
eXBlPjxjb250cmlidXRvcnM+PGF1dGhvcnM+PGF1dGhvcj5QYW5nLCBXLiBXLjwvYXV0aG9yPjxh
dXRob3I+Q29sZWdhLCBNLjwvYXV0aG9yPjxhdXRob3I+Q2FpLCBTLjwvYXV0aG9yPjxhdXRob3I+
Q2hhbiwgWS4gSC48L2F1dGhvcj48YXV0aG9yPlBhZG1hcHJpeWEsIE4uPC9hdXRob3I+PGF1dGhv
cj5DaGVuLCBMLiBXLjwvYXV0aG9yPjxhdXRob3I+U29oLCBTLiBFLjwvYXV0aG9yPjxhdXRob3I+
SGFuLCBXLiBNLjwvYXV0aG9yPjxhdXRob3I+VGFuLCBLLiBILjwvYXV0aG9yPjxhdXRob3I+TGVl
LCBZLiBTLjwvYXV0aG9yPjxhdXRob3I+U2F3LCBTLiBNLjwvYXV0aG9yPjxhdXRob3I+R2x1Y2tt
YW4sIFAuIEQuPC9hdXRob3I+PGF1dGhvcj5Hb2RmcmV5LCBLLiBNLjwvYXV0aG9yPjxhdXRob3I+
Q2hvbmcsIFkuIFMuPC9hdXRob3I+PGF1dGhvcj52YW4gRGFtLCBSLiBNLjwvYXV0aG9yPjxhdXRo
b3I+Q2hvbmcsIE0uIEYuPC9hdXRob3I+PC9hdXRob3JzPjwvY29udHJpYnV0b3JzPjxhdXRoLWFk
ZHJlc3M+RGVwYXJ0bWVudHMgb2YgT2JzdGV0cmljcyBhbmQgR3luYWVjb2xvZ3kuJiN4RDtTaW5n
YXBvcmUgSW5zdGl0dXRlIGZvciBDbGluaWNhbCBTY2llbmNlcywgQWdlbmN5IGZvciBTY2llbmNl
LCBUZWNobm9sb2d5LCBhbmQgUmVzZWFyY2gsIFNpbmdhcG9yZSwgU2luZ2Fwb3JlLiYjeEQ7Qmlv
c3RhdGlzdGljcy4mI3hEO1BhZWRpYXRyaWNzLCBhbmQuJiN4RDtEZXBhcnRtZW50cyBvZiBOdXRy
aXRpb24gYW5kIERpZXRldGljcyBhbmQuJiN4RDtNYXRlcm5hbCBGZXRhbCBNZWRpY2luZSwgS0sg
V29tZW4mYXBvcztzIGFuZCBDaGlsZHJlbiZhcG9zO3MgSG9zcGl0YWwsIFNpbmdhcG9yZSwgU2lu
Z2Fwb3JlLiYjeEQ7S2hvbyBUZWNrIFB1YXQtTmF0aW9uYWwgVW5pdmVyc2l0eSBDaGlsZHJlbiZh
cG9zO3MgTWVkaWNhbCBJbnN0aXR1dGUuJiN4RDtTYXcgU3dlZSBIb2NrIFNjaG9vbCBvZiBQdWJs
aWMgSGVhbHRoLCBOYXRpb25hbCBVbml2ZXJzaXR5IG9mIFNpbmdhcG9yZSBhbmQgTmF0aW9uYWwg
VW5pdmVyc2l0eSBIZWFsdGggU3lzdGVtLCBTaW5nYXBvcmUsIFNpbmdhcG9yZS4mI3hEO0xpZ2dp
bnMgSW5zdGl0dXRlLCBVbml2ZXJzaXR5IG9mIEF1Y2tsYW5kLCBBdWNrbGFuZCwgTmV3IFplYWxh
bmQuJiN4RDtNZWRpY2FsIFJlc2VhcmNoIENvdW5jaWwgTGlmZWNvdXJzZSBFcGlkZW1pb2xvZ3kg
VW5pdCwgU291dGhhbXB0b24sIFVuaXRlZCBLaW5nZG9tOyBhbmQuJiN4RDtOYXRpb25hbCBJbnN0
aXR1dGUgZm9yIEhlYWx0aCBSZXNlYXJjaCBTb3V0aGFtcHRvbiBCaW9tZWRpY2FsIFJlc2VhcmNo
IENlbnRyZSwgVW5pdmVyc2l0eSBvZiBTb3V0aGFtcHRvbiBhbmQgVW5pdmVyc2l0eSBIb3NwaXRh
bCBTb3V0aGFtcHRvbiBOYXRpb25hbCBIZWFsdGggU2VydmljZSBGb3VuZGF0aW9uIFRydXN0LCBT
b3V0aGFtcHRvbiwgVW5pdGVkIEtpbmdkb20uJiN4RDtNZWRpY2luZSwgWW9uZyBMb28gTGluIFNj
aG9vbCBvZiBNZWRpY2luZSwgcm9iLnZhbi5kYW1AbnVzLmVkdS5zZyBlcGhtY2ZmQG51cy5lZHUu
c2cuJiN4RDtTYXcgU3dlZSBIb2NrIFNjaG9vbCBvZiBQdWJsaWMgSGVhbHRoLCBOYXRpb25hbCBV
bml2ZXJzaXR5IG9mIFNpbmdhcG9yZSBhbmQgTmF0aW9uYWwgVW5pdmVyc2l0eSBIZWFsdGggU3lz
dGVtLCBTaW5nYXBvcmUsIFNpbmdhcG9yZTsgcm9iLnZhbi5kYW1AbnVzLmVkdS5zZyBlcGhtY2Zm
QG51cy5lZHUuc2cuPC9hdXRoLWFkZHJlc3M+PHRpdGxlcz48dGl0bGU+SGlnaGVyIG1hdGVybmFs
IGRpZXRhcnkgcHJvdGVpbiBpbnRha2UgaXMgYXNzb2NpYXRlZCB3aXRoIGEgaGlnaGVyIHJpc2sg
b2YgZ2VzdGF0aW9uYWwgZGlhYmV0ZXMgbWVsbGl0dXMgaW4gYSBtdWx0aWV0aG5pYyBhc2lhbiBj
b2hvcnQ8L3RpdGxlPjxzZWNvbmRhcnktdGl0bGU+SiBOdXRyPC9zZWNvbmRhcnktdGl0bGU+PC90
aXRsZXM+PHBlcmlvZGljYWw+PGZ1bGwtdGl0bGU+SiBOdXRyPC9mdWxsLXRpdGxlPjwvcGVyaW9k
aWNhbD48cGFnZXM+NjUzLTY2MDwvcGFnZXM+PHZvbHVtZT4xNDc8L3ZvbHVtZT48bnVtYmVyPjQ8
L251bWJlcj48ZWRpdGlvbj4yMDE3LzAzLzEwPC9lZGl0aW9uPjxrZXl3b3Jkcz48a2V5d29yZD5B
ZG9sZXNjZW50PC9rZXl3b3JkPjxrZXl3b3JkPkFkdWx0PC9rZXl3b3JkPjxrZXl3b3JkPipBc2lh
biBDb250aW5lbnRhbCBBbmNlc3RyeSBHcm91cDwva2V5d29yZD48a2V5d29yZD5EaWFiZXRlcywg
R2VzdGF0aW9uYWwvZXRobm9sb2d5LypldGlvbG9neTwva2V5d29yZD48a2V5d29yZD5EaWV0YXJ5
IFByb3RlaW5zL2FkbWluaXN0cmF0aW9uICZhbXA7IGRvc2FnZS8qYWR2ZXJzZSBlZmZlY3RzPC9r
ZXl3b3JkPjxrZXl3b3JkPkZlbWFsZTwva2V5d29yZD48a2V5d29yZD5IdW1hbnM8L2tleXdvcmQ+
PGtleXdvcmQ+TWlkZGxlIEFnZWQ8L2tleXdvcmQ+PGtleXdvcmQ+T2RkcyBSYXRpbzwva2V5d29y
ZD48a2V5d29yZD5QcmVnbmFuY3k8L2tleXdvcmQ+PGtleXdvcmQ+UmlzayBGYWN0b3JzPC9rZXl3
b3JkPjxrZXl3b3JkPllvdW5nIEFkdWx0PC9rZXl3b3JkPjxrZXl3b3JkPipBc2lhbjwva2V5d29y
ZD48a2V5d29yZD4qYW5pbWFsIHByb3RlaW48L2tleXdvcmQ+PGtleXdvcmQ+KmRpZXRhcnkgcHJv
dGVpbjwva2V5d29yZD48a2V5d29yZD4qZ2VzdGF0aW9uYWwgZGlhYmV0ZXMgbWVsbGl0dXM8L2tl
eXdvcmQ+PGtleXdvcmQ+KnZlZ2V0YWJsZSBwcm90ZWluPC9rZXl3b3JkPjwva2V5d29yZHM+PGRh
dGVzPjx5ZWFyPjIwMTc8L3llYXI+PHB1Yi1kYXRlcz48ZGF0ZT5BcHI8L2RhdGU+PC9wdWItZGF0
ZXM+PC9kYXRlcz48aXNibj4xNTQxLTYxMDAgKEVsZWN0cm9uaWMpJiN4RDswMDIyLTMxNjYgKExp
bmtpbmcpPC9pc2JuPjxhY2Nlc3Npb24tbnVtPjI4Mjc1MTAxPC9hY2Nlc3Npb24tbnVtPjx1cmxz
PjxyZWxhdGVkLXVybHM+PHVybD5odHRwczovL3d3dy5uY2JpLm5sbS5uaWguZ292L3B1Ym1lZC8y
ODI3NTEwMTwvdXJsPjwvcmVsYXRlZC11cmxzPjwvdXJscz48Y3VzdG9tMj5QTUM1MzgyOTcyPC9j
dXN0b20yPjxlbGVjdHJvbmljLXJlc291cmNlLW51bT4xMC4zOTQ1L2puLjExNi4yNDM4ODE8L2Vs
ZWN0cm9uaWMtcmVzb3VyY2UtbnVtPjwvcmVjb3JkPjwvQ2l0ZT48L0VuZE5vdGU+AG==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94</w:t>
      </w:r>
      <w:r w:rsidR="00774750">
        <w:fldChar w:fldCharType="end"/>
      </w:r>
      <w:r w:rsidRPr="00A72DF9">
        <w:t xml:space="preserve"> a higher total dietary protein intake was associated with a higher risk of gestational diabetes (</w:t>
      </w:r>
      <w:r w:rsidRPr="00A72DF9">
        <w:rPr>
          <w:sz w:val="16"/>
          <w:szCs w:val="16"/>
        </w:rPr>
        <w:t>OR highest vs lowest q</w:t>
      </w:r>
      <w:r w:rsidRPr="00541F56">
        <w:rPr>
          <w:sz w:val="16"/>
          <w:szCs w:val="16"/>
        </w:rPr>
        <w:t>uartile of intake 2.15; 95% CI 1.27 to 3.62; p=0.016</w:t>
      </w:r>
      <w:r w:rsidRPr="0010084F">
        <w:t>).</w:t>
      </w:r>
    </w:p>
    <w:p w14:paraId="7D9A0BE2" w14:textId="126882B3" w:rsidR="00541F56" w:rsidRDefault="00541F56" w:rsidP="00541F56">
      <w:pPr>
        <w:pStyle w:val="Heading4"/>
      </w:pPr>
      <w:r>
        <w:t>Fetal and childhood growth</w:t>
      </w:r>
    </w:p>
    <w:p w14:paraId="2E1F91D8" w14:textId="77777777" w:rsidR="00A72DF9" w:rsidRDefault="00A72DF9" w:rsidP="00541F56">
      <w:r>
        <w:t>Cohort studies have found:</w:t>
      </w:r>
    </w:p>
    <w:p w14:paraId="041E96EC" w14:textId="0B3F2C94" w:rsidR="00541F56" w:rsidRPr="00A72DF9" w:rsidRDefault="00541F56" w:rsidP="00A72DF9">
      <w:pPr>
        <w:pStyle w:val="bullet"/>
      </w:pPr>
      <w:r w:rsidRPr="00A72DF9">
        <w:t>no evidence of an association between protein intake and birth weight</w:t>
      </w:r>
      <w:r w:rsidR="00BB061F" w:rsidRPr="00A72DF9">
        <w:t xml:space="preserve"> (</w:t>
      </w:r>
      <w:r w:rsidR="00BB061F" w:rsidRPr="00A72DF9">
        <w:rPr>
          <w:sz w:val="16"/>
          <w:szCs w:val="16"/>
        </w:rPr>
        <w:t>MD 9; 95%CI -22.0 to 8</w:t>
      </w:r>
      <w:r w:rsidR="00BB061F" w:rsidRPr="00A72DF9">
        <w:t>)</w:t>
      </w:r>
      <w:r w:rsidR="00A72DF9" w:rsidRPr="00A72DF9">
        <w:t xml:space="preserve"> (</w:t>
      </w:r>
      <w:r w:rsidR="00A72DF9" w:rsidRPr="00A72DF9">
        <w:rPr>
          <w:sz w:val="16"/>
          <w:szCs w:val="16"/>
        </w:rPr>
        <w:t>n=1,196</w:t>
      </w:r>
      <w:r w:rsidR="00A72DF9" w:rsidRPr="00A72DF9">
        <w:t>)</w:t>
      </w:r>
      <w:r w:rsidR="00774750">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 </w:instrText>
      </w:r>
      <w:r w:rsidR="002747EA">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93</w:t>
      </w:r>
      <w:r w:rsidR="00774750">
        <w:fldChar w:fldCharType="end"/>
      </w:r>
    </w:p>
    <w:p w14:paraId="68A11C4A" w14:textId="38A1F0FF" w:rsidR="00541F56" w:rsidRPr="00A72DF9" w:rsidRDefault="00541F56" w:rsidP="00A72DF9">
      <w:pPr>
        <w:pStyle w:val="bullet"/>
      </w:pPr>
      <w:r w:rsidRPr="00A72DF9">
        <w:t>that each 1</w:t>
      </w:r>
      <w:r w:rsidRPr="00A72DF9">
        <w:noBreakHyphen/>
        <w:t>SD (0.36 g . kg</w:t>
      </w:r>
      <w:r w:rsidRPr="00A72DF9">
        <w:rPr>
          <w:vertAlign w:val="superscript"/>
        </w:rPr>
        <w:t>-1</w:t>
      </w:r>
      <w:r w:rsidRPr="00A72DF9">
        <w:t xml:space="preserve"> . d</w:t>
      </w:r>
      <w:r w:rsidRPr="00A72DF9">
        <w:rPr>
          <w:vertAlign w:val="superscript"/>
        </w:rPr>
        <w:t>-1</w:t>
      </w:r>
      <w:r w:rsidRPr="00A72DF9">
        <w:t>) increment in second-trimester protein intake corresponded to a -0.10 (</w:t>
      </w:r>
      <w:r w:rsidRPr="00A72DF9">
        <w:rPr>
          <w:sz w:val="16"/>
          <w:szCs w:val="16"/>
        </w:rPr>
        <w:t>95%CI -0.18 to -0.03</w:t>
      </w:r>
      <w:r w:rsidRPr="00A72DF9">
        <w:t xml:space="preserve">) change in birth length z score, a </w:t>
      </w:r>
      <w:r w:rsidRPr="00A72DF9">
        <w:noBreakHyphen/>
        <w:t>0.03 cm/mo (</w:t>
      </w:r>
      <w:r w:rsidRPr="00A72DF9">
        <w:rPr>
          <w:sz w:val="16"/>
          <w:szCs w:val="16"/>
        </w:rPr>
        <w:t>95% CI -0.05 to -0.01 cm/month</w:t>
      </w:r>
      <w:r w:rsidRPr="00A72DF9">
        <w:t>) change in slope of length growth from birth to &lt;6</w:t>
      </w:r>
      <w:r w:rsidR="00A72DF9" w:rsidRPr="00A72DF9">
        <w:t xml:space="preserve"> </w:t>
      </w:r>
      <w:r w:rsidRPr="00A72DF9">
        <w:t>months, and a -0.09 cm/year (</w:t>
      </w:r>
      <w:r w:rsidRPr="00A72DF9">
        <w:rPr>
          <w:sz w:val="16"/>
          <w:szCs w:val="16"/>
        </w:rPr>
        <w:t>95% CI: -0.14 to -0.05 cm/year</w:t>
      </w:r>
      <w:r w:rsidRPr="00A72DF9">
        <w:t xml:space="preserve">) change in slope of length growth from 6 months to mid </w:t>
      </w:r>
      <w:r w:rsidR="00A72DF9" w:rsidRPr="00A72DF9">
        <w:t>childhood (</w:t>
      </w:r>
      <w:r w:rsidR="00A72DF9" w:rsidRPr="00A72DF9">
        <w:rPr>
          <w:sz w:val="16"/>
          <w:szCs w:val="16"/>
        </w:rPr>
        <w:t>n=1,961</w:t>
      </w:r>
      <w:r w:rsidR="00A72DF9" w:rsidRPr="00A72DF9">
        <w:t>)</w:t>
      </w:r>
      <w:r w:rsidR="00774750">
        <w:fldChar w:fldCharType="begin">
          <w:fldData xml:space="preserve">PEVuZE5vdGU+PENpdGU+PEF1dGhvcj5Td2l0a293c2tpPC9BdXRob3I+PFllYXI+MjAxNjwvWWVh
cj48UmVjTnVtPjE3Mzk8L1JlY051bT48RGlzcGxheVRleHQ+PHN0eWxlIGZhY2U9InN1cGVyc2Ny
aXB0IiBmb250PSJUcmVidWNoZXQgTVMiIHNpemU9IjkiPjk1PC9zdHlsZT48L0Rpc3BsYXlUZXh0
PjxyZWNvcmQ+PHJlYy1udW1iZXI+MTczOTwvcmVjLW51bWJlcj48Zm9yZWlnbi1rZXlzPjxrZXkg
YXBwPSJFTiIgZGItaWQ9ImV4dmFzcmZ4MmR0cmFvZXNhc3hwMnN6c3hhMmRmNTAyNTkyeCIgdGlt
ZXN0YW1wPSIxNTgyNTA2Mjc3Ij4xNzM5PC9rZXk+PGtleSBhcHA9IkVOV2ViIiBkYi1pZD0iIj4w
PC9rZXk+PC9mb3JlaWduLWtleXM+PHJlZi10eXBlIG5hbWU9IkpvdXJuYWwgQXJ0aWNsZSI+MTc8
L3JlZi10eXBlPjxjb250cmlidXRvcnM+PGF1dGhvcnM+PGF1dGhvcj5Td2l0a293c2tpLCBLLiBN
LjwvYXV0aG9yPjxhdXRob3I+SmFjcXVlcywgUC4gRi48L2F1dGhvcj48YXV0aG9yPk11c3QsIEEu
PC9hdXRob3I+PGF1dGhvcj5LbGVpbm1hbiwgSy4gUC48L2F1dGhvcj48YXV0aG9yPkdpbGxtYW4s
IE0uIFcuPC9hdXRob3I+PGF1dGhvcj5Pa2VuLCBFLjwvYXV0aG9yPjwvYXV0aG9ycz48L2NvbnRy
aWJ1dG9ycz48YXV0aC1hZGRyZXNzPkZyaWVkbWFuIFNjaG9vbCBvZiBOdXRyaXRpb24gU2NpZW5j
ZSBhbmQgUG9saWN5LCBPYmVzaXR5IFByZXZlbnRpb24gUHJvZ3JhbSwgRGVwYXJ0bWVudCBvZiBQ
b3B1bGF0aW9uIE1lZGljaW5lLCBIYXJ2YXJkIE1lZGljYWwgU2Nob29sIGFuZCBIYXJ2YXJkIFBp
bGdyaW0gSGVhbHRoIENhcmUgSW5zdGl0dXRlLCBCb3N0b24sIE1BIGthcmVuX3N3aXRrb3dza2lA
aGFydmFyZHBpbGdyaW0ub3JnLiYjeEQ7SmVhbiBNYXllci1VU0RBIEh1bWFuIE51dHJpdGlvbiBS
ZXNlYXJjaCBDZW50ZXIgb24gQWdpbmcsIGFuZC4mI3hEO0RlcGFydG1lbnQgb2YgUHVibGljIEhl
YWx0aCBhbmQgQ29tbXVuaXR5IE1lZGljaW5lLCBTY2hvb2wgb2YgTWVkaWNpbmUsIFR1ZnRzIFVu
aXZlcnNpdHksIEJvc3RvbiwgTUE7IGFuZC4mI3hEO09iZXNpdHkgUHJldmVudGlvbiBQcm9ncmFt
LCBEZXBhcnRtZW50IG9mIFBvcHVsYXRpb24gTWVkaWNpbmUsIEhhcnZhcmQgTWVkaWNhbCBTY2hv
b2wgYW5kIEhhcnZhcmQgUGlsZ3JpbSBIZWFsdGggQ2FyZSBJbnN0aXR1dGUsIEJvc3RvbiwgTUEu
PC9hdXRoLWFkZHJlc3M+PHRpdGxlcz48dGl0bGU+TWF0ZXJuYWwgcHJvdGVpbiBpbnRha2UgZHVy
aW5nIHByZWduYW5jeSBhbmQgbGluZWFyIGdyb3d0aCBpbiB0aGUgb2Zmc3ByaW5nPC90aXRsZT48
c2Vjb25kYXJ5LXRpdGxlPkFtIEogQ2xpbiBOdXRyPC9zZWNvbmRhcnktdGl0bGU+PC90aXRsZXM+
PHBlcmlvZGljYWw+PGZ1bGwtdGl0bGU+QW0gSiBDbGluIE51dHI8L2Z1bGwtdGl0bGU+PC9wZXJp
b2RpY2FsPjxwYWdlcz4xMTI4LTExMzY8L3BhZ2VzPjx2b2x1bWU+MTA0PC92b2x1bWU+PG51bWJl
cj40PC9udW1iZXI+PGVkaXRpb24+MjAxNi8wOS8wMjwvZWRpdGlvbj48a2V5d29yZHM+PGtleXdv
cmQ+QWRvbGVzY2VudDwva2V5d29yZD48a2V5d29yZD5BZHVsdDwva2V5d29yZD48a2V5d29yZD5C
b2R5IEhlaWdodC8qZHJ1ZyBlZmZlY3RzPC9rZXl3b3JkPjxrZXl3b3JkPkNoaWxkPC9rZXl3b3Jk
PjxrZXl3b3JkPkNoaWxkLCBQcmVzY2hvb2w8L2tleXdvcmQ+PGtleXdvcmQ+KkRpZXQ8L2tleXdv
cmQ+PGtleXdvcmQ+RGlldGFyeSBQcm90ZWlucy9hZG1pbmlzdHJhdGlvbiAmYW1wOyBkb3NhZ2Uv
KnBoYXJtYWNvbG9neTwva2V5d29yZD48a2V5d29yZD5GZW1hbGU8L2tleXdvcmQ+PGtleXdvcmQ+
R3Jvd3RoLypkcnVnIGVmZmVjdHM8L2tleXdvcmQ+PGtleXdvcmQ+SHVtYW5zPC9rZXl3b3JkPjxr
ZXl3b3JkPkluZmFudDwva2V5d29yZD48a2V5d29yZD5NYWxlPC9rZXl3b3JkPjxrZXl3b3JkPipQ
cmVnbmFuY3k8L2tleXdvcmQ+PGtleXdvcmQ+UHJlZ25hbmN5IFRyaW1lc3RlciwgRmlyc3Q8L2tl
eXdvcmQ+PGtleXdvcmQ+UHJlZ25hbmN5IFRyaW1lc3RlciwgU2Vjb25kPC9rZXl3b3JkPjxrZXl3
b3JkPipQcmVuYXRhbCBOdXRyaXRpb25hbCBQaHlzaW9sb2dpY2FsIFBoZW5vbWVuYTwva2V5d29y
ZD48a2V5d29yZD5Zb3VuZyBBZHVsdDwva2V5d29yZD48a2V5d29yZD4qY29ob3J0PC9rZXl3b3Jk
PjxrZXl3b3JkPipsaW5lYXIgZ3Jvd3RoPC9rZXl3b3JkPjxrZXl3b3JkPiptYXRlcm5hbCBkaWV0
PC9rZXl3b3JkPjxrZXl3b3JkPipwcm9ncmFtbWluZzwva2V5d29yZD48a2V5d29yZD4qcHJvdGVp
bjwva2V5d29yZD48L2tleXdvcmRzPjxkYXRlcz48eWVhcj4yMDE2PC95ZWFyPjxwdWItZGF0ZXM+
PGRhdGU+T2N0PC9kYXRlPjwvcHViLWRhdGVzPjwvZGF0ZXM+PGlzYm4+MTkzOC0zMjA3IChFbGVj
dHJvbmljKSYjeEQ7MDAwMi05MTY1IChMaW5raW5nKTwvaXNibj48YWNjZXNzaW9uLW51bT4yNzU4
MTQ3NzwvYWNjZXNzaW9uLW51bT48dXJscz48cmVsYXRlZC11cmxzPjx1cmw+aHR0cHM6Ly93d3cu
bmNiaS5ubG0ubmloLmdvdi9wdWJtZWQvMjc1ODE0Nzc8L3VybD48L3JlbGF0ZWQtdXJscz48L3Vy
bHM+PGN1c3RvbTI+UE1DNTAzOTgwNzwvY3VzdG9tMj48ZWxlY3Ryb25pYy1yZXNvdXJjZS1udW0+
MTAuMzk0NS9hamNuLjExNS4xMjg0MjE8L2VsZWN0cm9uaWMtcmVzb3VyY2UtbnVtPjwvcmVjb3Jk
PjwvQ2l0ZT48L0VuZE5vdGU+AG==
</w:fldData>
        </w:fldChar>
      </w:r>
      <w:r w:rsidR="002747EA">
        <w:instrText xml:space="preserve"> ADDIN EN.CITE </w:instrText>
      </w:r>
      <w:r w:rsidR="002747EA">
        <w:fldChar w:fldCharType="begin">
          <w:fldData xml:space="preserve">PEVuZE5vdGU+PENpdGU+PEF1dGhvcj5Td2l0a293c2tpPC9BdXRob3I+PFllYXI+MjAxNjwvWWVh
cj48UmVjTnVtPjE3Mzk8L1JlY051bT48RGlzcGxheVRleHQ+PHN0eWxlIGZhY2U9InN1cGVyc2Ny
aXB0IiBmb250PSJUcmVidWNoZXQgTVMiIHNpemU9IjkiPjk1PC9zdHlsZT48L0Rpc3BsYXlUZXh0
PjxyZWNvcmQ+PHJlYy1udW1iZXI+MTczOTwvcmVjLW51bWJlcj48Zm9yZWlnbi1rZXlzPjxrZXkg
YXBwPSJFTiIgZGItaWQ9ImV4dmFzcmZ4MmR0cmFvZXNhc3hwMnN6c3hhMmRmNTAyNTkyeCIgdGlt
ZXN0YW1wPSIxNTgyNTA2Mjc3Ij4xNzM5PC9rZXk+PGtleSBhcHA9IkVOV2ViIiBkYi1pZD0iIj4w
PC9rZXk+PC9mb3JlaWduLWtleXM+PHJlZi10eXBlIG5hbWU9IkpvdXJuYWwgQXJ0aWNsZSI+MTc8
L3JlZi10eXBlPjxjb250cmlidXRvcnM+PGF1dGhvcnM+PGF1dGhvcj5Td2l0a293c2tpLCBLLiBN
LjwvYXV0aG9yPjxhdXRob3I+SmFjcXVlcywgUC4gRi48L2F1dGhvcj48YXV0aG9yPk11c3QsIEEu
PC9hdXRob3I+PGF1dGhvcj5LbGVpbm1hbiwgSy4gUC48L2F1dGhvcj48YXV0aG9yPkdpbGxtYW4s
IE0uIFcuPC9hdXRob3I+PGF1dGhvcj5Pa2VuLCBFLjwvYXV0aG9yPjwvYXV0aG9ycz48L2NvbnRy
aWJ1dG9ycz48YXV0aC1hZGRyZXNzPkZyaWVkbWFuIFNjaG9vbCBvZiBOdXRyaXRpb24gU2NpZW5j
ZSBhbmQgUG9saWN5LCBPYmVzaXR5IFByZXZlbnRpb24gUHJvZ3JhbSwgRGVwYXJ0bWVudCBvZiBQ
b3B1bGF0aW9uIE1lZGljaW5lLCBIYXJ2YXJkIE1lZGljYWwgU2Nob29sIGFuZCBIYXJ2YXJkIFBp
bGdyaW0gSGVhbHRoIENhcmUgSW5zdGl0dXRlLCBCb3N0b24sIE1BIGthcmVuX3N3aXRrb3dza2lA
aGFydmFyZHBpbGdyaW0ub3JnLiYjeEQ7SmVhbiBNYXllci1VU0RBIEh1bWFuIE51dHJpdGlvbiBS
ZXNlYXJjaCBDZW50ZXIgb24gQWdpbmcsIGFuZC4mI3hEO0RlcGFydG1lbnQgb2YgUHVibGljIEhl
YWx0aCBhbmQgQ29tbXVuaXR5IE1lZGljaW5lLCBTY2hvb2wgb2YgTWVkaWNpbmUsIFR1ZnRzIFVu
aXZlcnNpdHksIEJvc3RvbiwgTUE7IGFuZC4mI3hEO09iZXNpdHkgUHJldmVudGlvbiBQcm9ncmFt
LCBEZXBhcnRtZW50IG9mIFBvcHVsYXRpb24gTWVkaWNpbmUsIEhhcnZhcmQgTWVkaWNhbCBTY2hv
b2wgYW5kIEhhcnZhcmQgUGlsZ3JpbSBIZWFsdGggQ2FyZSBJbnN0aXR1dGUsIEJvc3RvbiwgTUEu
PC9hdXRoLWFkZHJlc3M+PHRpdGxlcz48dGl0bGU+TWF0ZXJuYWwgcHJvdGVpbiBpbnRha2UgZHVy
aW5nIHByZWduYW5jeSBhbmQgbGluZWFyIGdyb3d0aCBpbiB0aGUgb2Zmc3ByaW5nPC90aXRsZT48
c2Vjb25kYXJ5LXRpdGxlPkFtIEogQ2xpbiBOdXRyPC9zZWNvbmRhcnktdGl0bGU+PC90aXRsZXM+
PHBlcmlvZGljYWw+PGZ1bGwtdGl0bGU+QW0gSiBDbGluIE51dHI8L2Z1bGwtdGl0bGU+PC9wZXJp
b2RpY2FsPjxwYWdlcz4xMTI4LTExMzY8L3BhZ2VzPjx2b2x1bWU+MTA0PC92b2x1bWU+PG51bWJl
cj40PC9udW1iZXI+PGVkaXRpb24+MjAxNi8wOS8wMjwvZWRpdGlvbj48a2V5d29yZHM+PGtleXdv
cmQ+QWRvbGVzY2VudDwva2V5d29yZD48a2V5d29yZD5BZHVsdDwva2V5d29yZD48a2V5d29yZD5C
b2R5IEhlaWdodC8qZHJ1ZyBlZmZlY3RzPC9rZXl3b3JkPjxrZXl3b3JkPkNoaWxkPC9rZXl3b3Jk
PjxrZXl3b3JkPkNoaWxkLCBQcmVzY2hvb2w8L2tleXdvcmQ+PGtleXdvcmQ+KkRpZXQ8L2tleXdv
cmQ+PGtleXdvcmQ+RGlldGFyeSBQcm90ZWlucy9hZG1pbmlzdHJhdGlvbiAmYW1wOyBkb3NhZ2Uv
KnBoYXJtYWNvbG9neTwva2V5d29yZD48a2V5d29yZD5GZW1hbGU8L2tleXdvcmQ+PGtleXdvcmQ+
R3Jvd3RoLypkcnVnIGVmZmVjdHM8L2tleXdvcmQ+PGtleXdvcmQ+SHVtYW5zPC9rZXl3b3JkPjxr
ZXl3b3JkPkluZmFudDwva2V5d29yZD48a2V5d29yZD5NYWxlPC9rZXl3b3JkPjxrZXl3b3JkPipQ
cmVnbmFuY3k8L2tleXdvcmQ+PGtleXdvcmQ+UHJlZ25hbmN5IFRyaW1lc3RlciwgRmlyc3Q8L2tl
eXdvcmQ+PGtleXdvcmQ+UHJlZ25hbmN5IFRyaW1lc3RlciwgU2Vjb25kPC9rZXl3b3JkPjxrZXl3
b3JkPipQcmVuYXRhbCBOdXRyaXRpb25hbCBQaHlzaW9sb2dpY2FsIFBoZW5vbWVuYTwva2V5d29y
ZD48a2V5d29yZD5Zb3VuZyBBZHVsdDwva2V5d29yZD48a2V5d29yZD4qY29ob3J0PC9rZXl3b3Jk
PjxrZXl3b3JkPipsaW5lYXIgZ3Jvd3RoPC9rZXl3b3JkPjxrZXl3b3JkPiptYXRlcm5hbCBkaWV0
PC9rZXl3b3JkPjxrZXl3b3JkPipwcm9ncmFtbWluZzwva2V5d29yZD48a2V5d29yZD4qcHJvdGVp
bjwva2V5d29yZD48L2tleXdvcmRzPjxkYXRlcz48eWVhcj4yMDE2PC95ZWFyPjxwdWItZGF0ZXM+
PGRhdGU+T2N0PC9kYXRlPjwvcHViLWRhdGVzPjwvZGF0ZXM+PGlzYm4+MTkzOC0zMjA3IChFbGVj
dHJvbmljKSYjeEQ7MDAwMi05MTY1IChMaW5raW5nKTwvaXNibj48YWNjZXNzaW9uLW51bT4yNzU4
MTQ3NzwvYWNjZXNzaW9uLW51bT48dXJscz48cmVsYXRlZC11cmxzPjx1cmw+aHR0cHM6Ly93d3cu
bmNiaS5ubG0ubmloLmdvdi9wdWJtZWQvMjc1ODE0Nzc8L3VybD48L3JlbGF0ZWQtdXJscz48L3Vy
bHM+PGN1c3RvbTI+UE1DNTAzOTgwNzwvY3VzdG9tMj48ZWxlY3Ryb25pYy1yZXNvdXJjZS1udW0+
MTAuMzk0NS9hamNuLjExNS4xMjg0MjE8L2VsZWN0cm9uaWMtcmVzb3VyY2UtbnVtPjwvcmVjb3Jk
PjwvQ2l0ZT48L0VuZE5vdGU+AG==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95</w:t>
      </w:r>
      <w:r w:rsidR="00774750">
        <w:fldChar w:fldCharType="end"/>
      </w:r>
    </w:p>
    <w:p w14:paraId="32A7C0ED" w14:textId="207E2663" w:rsidR="00541F56" w:rsidRPr="00A72DF9" w:rsidRDefault="00541F56" w:rsidP="00A72DF9">
      <w:pPr>
        <w:pStyle w:val="bullet"/>
      </w:pPr>
      <w:r w:rsidRPr="00A72DF9">
        <w:t>higher maternal protein intake was associated with a higher children's fat-free mass index (</w:t>
      </w:r>
      <w:r w:rsidRPr="00A72DF9">
        <w:rPr>
          <w:sz w:val="16"/>
          <w:szCs w:val="16"/>
        </w:rPr>
        <w:t>beta 0.14; 95 % CI 0.03 to 0.25 for highest vs. lowest quartile of protein intake</w:t>
      </w:r>
      <w:r w:rsidR="0098728D" w:rsidRPr="00A72DF9">
        <w:t>)</w:t>
      </w:r>
      <w:r w:rsidRPr="00A72DF9">
        <w:t>, but not with children's fa</w:t>
      </w:r>
      <w:r w:rsidR="00A72DF9" w:rsidRPr="00A72DF9">
        <w:t>t mass index or body mass index (</w:t>
      </w:r>
      <w:r w:rsidR="00A72DF9" w:rsidRPr="00A72DF9">
        <w:rPr>
          <w:sz w:val="16"/>
          <w:szCs w:val="16"/>
        </w:rPr>
        <w:t>n=2,694 mother-child pairs</w:t>
      </w:r>
      <w:r w:rsidR="00A72DF9" w:rsidRPr="00A72DF9">
        <w:t>)</w:t>
      </w:r>
      <w:r w:rsidR="00774750">
        <w:fldChar w:fldCharType="begin">
          <w:fldData xml:space="preserve">PEVuZE5vdGU+PENpdGU+PEF1dGhvcj5UaWVsZW1hbnM8L0F1dGhvcj48WWVhcj4yMDE3PC9ZZWFy
PjxSZWNOdW0+MTc0MDwvUmVjTnVtPjxEaXNwbGF5VGV4dD48c3R5bGUgZmFjZT0ic3VwZXJzY3Jp
cHQiIGZvbnQ9IlRyZWJ1Y2hldCBNUyIgc2l6ZT0iOSI+OTY8L3N0eWxlPjwvRGlzcGxheVRleHQ+
PHJlY29yZD48cmVjLW51bWJlcj4xNzQwPC9yZWMtbnVtYmVyPjxmb3JlaWduLWtleXM+PGtleSBh
cHA9IkVOIiBkYi1pZD0iZXh2YXNyZngyZHRyYW9lc2FzeHAyc3pzeGEyZGY1MDI1OTJ4IiB0aW1l
c3RhbXA9IjE1ODI1MDYyODciPjE3NDA8L2tleT48a2V5IGFwcD0iRU5XZWIiIGRiLWlkPSIiPjA8
L2tleT48L2ZvcmVpZ24ta2V5cz48cmVmLXR5cGUgbmFtZT0iSm91cm5hbCBBcnRpY2xlIj4xNzwv
cmVmLXR5cGU+PGNvbnRyaWJ1dG9ycz48YXV0aG9ycz48YXV0aG9yPlRpZWxlbWFucywgTS4gSi48
L2F1dGhvcj48YXV0aG9yPlN0ZWVnZXJzLCBFLiBBLiBQLjwvYXV0aG9yPjxhdXRob3I+Vm9vcnRt
YW4sIFQuPC9hdXRob3I+PGF1dGhvcj5KYWRkb2UsIFYuIFcuIFYuPC9hdXRob3I+PGF1dGhvcj5S
aXZhZGVuZWlyYSwgRi48L2F1dGhvcj48YXV0aG9yPkZyYW5jbywgTy4gSC48L2F1dGhvcj48YXV0
aG9yPktpZWZ0ZS1kZSBKb25nLCBKLiBDLjwvYXV0aG9yPjwvYXV0aG9ycz48L2NvbnRyaWJ1dG9y
cz48YXV0aC1hZGRyZXNzPkRlcGFydG1lbnQgb2YgRXBpZGVtaW9sb2d5LCBFcmFzbXVzIE1DLCBV
bml2ZXJzaXR5IE1lZGljYWwgQ2VudGVyLCBPZmZpY2UgTmEtMjkwNywgUE8gQm94IDIwNDAsIDMw
MDAgQ0EsIFJvdHRlcmRhbSwgVGhlIE5ldGhlcmxhbmRzLiBtLnRpZWxlbWFuc0BlcmFzbXVzbWMu
bmwuJiN4RDtUaGUgR2VuZXJhdGlvbiBSIFN0dWR5IEdyb3VwLCBFcmFzbXVzIE1DLCBVbml2ZXJz
aXR5IE1lZGljYWwgQ2VudGVyLCBSb3R0ZXJkYW0sIFRoZSBOZXRoZXJsYW5kcy4gbS50aWVsZW1h
bnNAZXJhc211c21jLm5sLiYjeEQ7RGVwYXJ0bWVudCBvZiBPYnN0ZXRyaWNzIGFuZCBHeW5lY29s
b2d5LCBFcmFzbXVzIE1DLCBVbml2ZXJzaXR5IE1lZGljYWwgQ2VudGVyLCBSb3R0ZXJkYW0sIFRo
ZSBOZXRoZXJsYW5kcy4mI3hEO0RlcGFydG1lbnQgb2YgRXBpZGVtaW9sb2d5LCBFcmFzbXVzIE1D
LCBVbml2ZXJzaXR5IE1lZGljYWwgQ2VudGVyLCBPZmZpY2UgTmEtMjkwNywgUE8gQm94IDIwNDAs
IDMwMDAgQ0EsIFJvdHRlcmRhbSwgVGhlIE5ldGhlcmxhbmRzLiYjeEQ7VGhlIEdlbmVyYXRpb24g
UiBTdHVkeSBHcm91cCwgRXJhc211cyBNQywgVW5pdmVyc2l0eSBNZWRpY2FsIENlbnRlciwgUm90
dGVyZGFtLCBUaGUgTmV0aGVybGFuZHMuJiN4RDtEZXBhcnRtZW50IG9mIFBlZGlhdHJpY3MsIEVy
YXNtdXMgTUMsIFVuaXZlcnNpdHkgTWVkaWNhbCBDZW50ZXIsIFJvdHRlcmRhbSwgVGhlIE5ldGhl
cmxhbmRzLiYjeEQ7RGVwYXJ0bWVudCBvZiBJbnRlcm5hbCBNZWRpY2luZSwgRXJhc211cyBNQywg
VW5pdmVyc2l0eSBNZWRpY2FsIENlbnRlciwgUm90dGVyZGFtLCBUaGUgTmV0aGVybGFuZHMuJiN4
RDtMZWlkZW4gVW5pdmVyc2l0eSBDb2xsZWdlLCBUaGUgSGFndWUsIFRoZSBOZXRoZXJsYW5kcy48
L2F1dGgtYWRkcmVzcz48dGl0bGVzPjx0aXRsZT5Qcm90ZWluIGludGFrZSBkdXJpbmcgcHJlZ25h
bmN5IGFuZCBvZmZzcHJpbmcgYm9keSBjb21wb3NpdGlvbiBhdCA2IHllYXJzOiB0aGUgR2VuZXJh
dGlvbiBSIFN0dWR5PC90aXRsZT48c2Vjb25kYXJ5LXRpdGxlPkV1ciBKIE51dHI8L3NlY29uZGFy
eS10aXRsZT48L3RpdGxlcz48cGVyaW9kaWNhbD48ZnVsbC10aXRsZT5FdXIgSiBOdXRyPC9mdWxs
LXRpdGxlPjwvcGVyaW9kaWNhbD48cGFnZXM+MjE1MS0yMTYwPC9wYWdlcz48dm9sdW1lPjU2PC92
b2x1bWU+PG51bWJlcj42PC9udW1iZXI+PGVkaXRpb24+MjAxNi8wNy8wNTwvZWRpdGlvbj48a2V5
d29yZHM+PGtleXdvcmQ+QWJzb3JwdGlvbWV0cnksIFBob3Rvbjwva2V5d29yZD48a2V5d29yZD5B
ZHVsdDwva2V5d29yZD48a2V5d29yZD4qQm9keSBDb21wb3NpdGlvbjwva2V5d29yZD48a2V5d29y
ZD5Cb2R5IE1hc3MgSW5kZXg8L2tleXdvcmQ+PGtleXdvcmQ+Q2hpbGQ8L2tleXdvcmQ+PGtleXdv
cmQ+Q2hpbGQsIFByZXNjaG9vbDwva2V5d29yZD48a2V5d29yZD5EaWV0PC9rZXl3b3JkPjxrZXl3
b3JkPkRpZXRhcnkgUHJvdGVpbnMvKmFkbWluaXN0cmF0aW9uICZhbXA7IGRvc2FnZTwva2V5d29y
ZD48a2V5d29yZD5GZW1hbGU8L2tleXdvcmQ+PGtleXdvcmQ+Rm9sbG93LVVwIFN0dWRpZXM8L2tl
eXdvcmQ+PGtleXdvcmQ+SGVhbHRoIEJlaGF2aW9yPC9rZXl3b3JkPjxrZXl3b3JkPkh1bWFuczwv
a2V5d29yZD48a2V5d29yZD5MaWZlIFN0eWxlPC9rZXl3b3JkPjxrZXl3b3JkPk1hbGU8L2tleXdv
cmQ+PGtleXdvcmQ+Kk1hdGVybmFsIE51dHJpdGlvbmFsIFBoeXNpb2xvZ2ljYWwgUGhlbm9tZW5h
PC9rZXl3b3JkPjxrZXl3b3JkPk5ldGhlcmxhbmRzPC9rZXl3b3JkPjxrZXl3b3JkPlBlZGlhdHJp
YyBPYmVzaXR5LyplcGlkZW1pb2xvZ3k8L2tleXdvcmQ+PGtleXdvcmQ+UHJlZ25hbmN5PC9rZXl3
b3JkPjxrZXl3b3JkPlByZW5hdGFsIEV4cG9zdXJlIERlbGF5ZWQgRWZmZWN0cy8qZXBpZGVtaW9s
b2d5PC9rZXl3b3JkPjxrZXl3b3JkPlByZXZhbGVuY2U8L2tleXdvcmQ+PGtleXdvcmQ+UHJvc3Bl
Y3RpdmUgU3R1ZGllczwva2V5d29yZD48a2V5d29yZD5Tb2Npb2Vjb25vbWljIEZhY3RvcnM8L2tl
eXdvcmQ+PGtleXdvcmQ+U3VydmV5cyBhbmQgUXVlc3Rpb25uYWlyZXM8L2tleXdvcmQ+PGtleXdv
cmQ+Qm9keSBjb21wb3NpdGlvbjwva2V5d29yZD48a2V5d29yZD5GZXRhbCBwcm9ncmFtbWluZzwv
a2V5d29yZD48a2V5d29yZD5PYmVzaXR5PC9rZXl3b3JkPjxrZXl3b3JkPk9mZnNwcmluZzwva2V5
d29yZD48a2V5d29yZD5Qcm90ZWluIGludGFrZTwva2V5d29yZD48L2tleXdvcmRzPjxkYXRlcz48
eWVhcj4yMDE3PC95ZWFyPjxwdWItZGF0ZXM+PGRhdGU+U2VwPC9kYXRlPjwvcHViLWRhdGVzPjwv
ZGF0ZXM+PGlzYm4+MTQzNi02MjE1IChFbGVjdHJvbmljKSYjeEQ7MTQzNi02MjA3IChMaW5raW5n
KTwvaXNibj48YWNjZXNzaW9uLW51bT4yNzM3NjM1NTwvYWNjZXNzaW9uLW51bT48dXJscz48cmVs
YXRlZC11cmxzPjx1cmw+aHR0cHM6Ly93d3cubmNiaS5ubG0ubmloLmdvdi9wdWJtZWQvMjczNzYz
NTU8L3VybD48L3JlbGF0ZWQtdXJscz48L3VybHM+PGN1c3RvbTI+UE1DNTU3OTE3NTwvY3VzdG9t
Mj48ZWxlY3Ryb25pYy1yZXNvdXJjZS1udW0+MTAuMTAwNy9zMDAzOTQtMDE2LTEyNTUtNDwvZWxl
Y3Ryb25pYy1yZXNvdXJjZS1udW0+PC9yZWNvcmQ+PC9DaXRlPjwvRW5kTm90ZT4A
</w:fldData>
        </w:fldChar>
      </w:r>
      <w:r w:rsidR="002747EA">
        <w:instrText xml:space="preserve"> ADDIN EN.CITE </w:instrText>
      </w:r>
      <w:r w:rsidR="002747EA">
        <w:fldChar w:fldCharType="begin">
          <w:fldData xml:space="preserve">PEVuZE5vdGU+PENpdGU+PEF1dGhvcj5UaWVsZW1hbnM8L0F1dGhvcj48WWVhcj4yMDE3PC9ZZWFy
PjxSZWNOdW0+MTc0MDwvUmVjTnVtPjxEaXNwbGF5VGV4dD48c3R5bGUgZmFjZT0ic3VwZXJzY3Jp
cHQiIGZvbnQ9IlRyZWJ1Y2hldCBNUyIgc2l6ZT0iOSI+OTY8L3N0eWxlPjwvRGlzcGxheVRleHQ+
PHJlY29yZD48cmVjLW51bWJlcj4xNzQwPC9yZWMtbnVtYmVyPjxmb3JlaWduLWtleXM+PGtleSBh
cHA9IkVOIiBkYi1pZD0iZXh2YXNyZngyZHRyYW9lc2FzeHAyc3pzeGEyZGY1MDI1OTJ4IiB0aW1l
c3RhbXA9IjE1ODI1MDYyODciPjE3NDA8L2tleT48a2V5IGFwcD0iRU5XZWIiIGRiLWlkPSIiPjA8
L2tleT48L2ZvcmVpZ24ta2V5cz48cmVmLXR5cGUgbmFtZT0iSm91cm5hbCBBcnRpY2xlIj4xNzwv
cmVmLXR5cGU+PGNvbnRyaWJ1dG9ycz48YXV0aG9ycz48YXV0aG9yPlRpZWxlbWFucywgTS4gSi48
L2F1dGhvcj48YXV0aG9yPlN0ZWVnZXJzLCBFLiBBLiBQLjwvYXV0aG9yPjxhdXRob3I+Vm9vcnRt
YW4sIFQuPC9hdXRob3I+PGF1dGhvcj5KYWRkb2UsIFYuIFcuIFYuPC9hdXRob3I+PGF1dGhvcj5S
aXZhZGVuZWlyYSwgRi48L2F1dGhvcj48YXV0aG9yPkZyYW5jbywgTy4gSC48L2F1dGhvcj48YXV0
aG9yPktpZWZ0ZS1kZSBKb25nLCBKLiBDLjwvYXV0aG9yPjwvYXV0aG9ycz48L2NvbnRyaWJ1dG9y
cz48YXV0aC1hZGRyZXNzPkRlcGFydG1lbnQgb2YgRXBpZGVtaW9sb2d5LCBFcmFzbXVzIE1DLCBV
bml2ZXJzaXR5IE1lZGljYWwgQ2VudGVyLCBPZmZpY2UgTmEtMjkwNywgUE8gQm94IDIwNDAsIDMw
MDAgQ0EsIFJvdHRlcmRhbSwgVGhlIE5ldGhlcmxhbmRzLiBtLnRpZWxlbWFuc0BlcmFzbXVzbWMu
bmwuJiN4RDtUaGUgR2VuZXJhdGlvbiBSIFN0dWR5IEdyb3VwLCBFcmFzbXVzIE1DLCBVbml2ZXJz
aXR5IE1lZGljYWwgQ2VudGVyLCBSb3R0ZXJkYW0sIFRoZSBOZXRoZXJsYW5kcy4gbS50aWVsZW1h
bnNAZXJhc211c21jLm5sLiYjeEQ7RGVwYXJ0bWVudCBvZiBPYnN0ZXRyaWNzIGFuZCBHeW5lY29s
b2d5LCBFcmFzbXVzIE1DLCBVbml2ZXJzaXR5IE1lZGljYWwgQ2VudGVyLCBSb3R0ZXJkYW0sIFRo
ZSBOZXRoZXJsYW5kcy4mI3hEO0RlcGFydG1lbnQgb2YgRXBpZGVtaW9sb2d5LCBFcmFzbXVzIE1D
LCBVbml2ZXJzaXR5IE1lZGljYWwgQ2VudGVyLCBPZmZpY2UgTmEtMjkwNywgUE8gQm94IDIwNDAs
IDMwMDAgQ0EsIFJvdHRlcmRhbSwgVGhlIE5ldGhlcmxhbmRzLiYjeEQ7VGhlIEdlbmVyYXRpb24g
UiBTdHVkeSBHcm91cCwgRXJhc211cyBNQywgVW5pdmVyc2l0eSBNZWRpY2FsIENlbnRlciwgUm90
dGVyZGFtLCBUaGUgTmV0aGVybGFuZHMuJiN4RDtEZXBhcnRtZW50IG9mIFBlZGlhdHJpY3MsIEVy
YXNtdXMgTUMsIFVuaXZlcnNpdHkgTWVkaWNhbCBDZW50ZXIsIFJvdHRlcmRhbSwgVGhlIE5ldGhl
cmxhbmRzLiYjeEQ7RGVwYXJ0bWVudCBvZiBJbnRlcm5hbCBNZWRpY2luZSwgRXJhc211cyBNQywg
VW5pdmVyc2l0eSBNZWRpY2FsIENlbnRlciwgUm90dGVyZGFtLCBUaGUgTmV0aGVybGFuZHMuJiN4
RDtMZWlkZW4gVW5pdmVyc2l0eSBDb2xsZWdlLCBUaGUgSGFndWUsIFRoZSBOZXRoZXJsYW5kcy48
L2F1dGgtYWRkcmVzcz48dGl0bGVzPjx0aXRsZT5Qcm90ZWluIGludGFrZSBkdXJpbmcgcHJlZ25h
bmN5IGFuZCBvZmZzcHJpbmcgYm9keSBjb21wb3NpdGlvbiBhdCA2IHllYXJzOiB0aGUgR2VuZXJh
dGlvbiBSIFN0dWR5PC90aXRsZT48c2Vjb25kYXJ5LXRpdGxlPkV1ciBKIE51dHI8L3NlY29uZGFy
eS10aXRsZT48L3RpdGxlcz48cGVyaW9kaWNhbD48ZnVsbC10aXRsZT5FdXIgSiBOdXRyPC9mdWxs
LXRpdGxlPjwvcGVyaW9kaWNhbD48cGFnZXM+MjE1MS0yMTYwPC9wYWdlcz48dm9sdW1lPjU2PC92
b2x1bWU+PG51bWJlcj42PC9udW1iZXI+PGVkaXRpb24+MjAxNi8wNy8wNTwvZWRpdGlvbj48a2V5
d29yZHM+PGtleXdvcmQ+QWJzb3JwdGlvbWV0cnksIFBob3Rvbjwva2V5d29yZD48a2V5d29yZD5B
ZHVsdDwva2V5d29yZD48a2V5d29yZD4qQm9keSBDb21wb3NpdGlvbjwva2V5d29yZD48a2V5d29y
ZD5Cb2R5IE1hc3MgSW5kZXg8L2tleXdvcmQ+PGtleXdvcmQ+Q2hpbGQ8L2tleXdvcmQ+PGtleXdv
cmQ+Q2hpbGQsIFByZXNjaG9vbDwva2V5d29yZD48a2V5d29yZD5EaWV0PC9rZXl3b3JkPjxrZXl3
b3JkPkRpZXRhcnkgUHJvdGVpbnMvKmFkbWluaXN0cmF0aW9uICZhbXA7IGRvc2FnZTwva2V5d29y
ZD48a2V5d29yZD5GZW1hbGU8L2tleXdvcmQ+PGtleXdvcmQ+Rm9sbG93LVVwIFN0dWRpZXM8L2tl
eXdvcmQ+PGtleXdvcmQ+SGVhbHRoIEJlaGF2aW9yPC9rZXl3b3JkPjxrZXl3b3JkPkh1bWFuczwv
a2V5d29yZD48a2V5d29yZD5MaWZlIFN0eWxlPC9rZXl3b3JkPjxrZXl3b3JkPk1hbGU8L2tleXdv
cmQ+PGtleXdvcmQ+Kk1hdGVybmFsIE51dHJpdGlvbmFsIFBoeXNpb2xvZ2ljYWwgUGhlbm9tZW5h
PC9rZXl3b3JkPjxrZXl3b3JkPk5ldGhlcmxhbmRzPC9rZXl3b3JkPjxrZXl3b3JkPlBlZGlhdHJp
YyBPYmVzaXR5LyplcGlkZW1pb2xvZ3k8L2tleXdvcmQ+PGtleXdvcmQ+UHJlZ25hbmN5PC9rZXl3
b3JkPjxrZXl3b3JkPlByZW5hdGFsIEV4cG9zdXJlIERlbGF5ZWQgRWZmZWN0cy8qZXBpZGVtaW9s
b2d5PC9rZXl3b3JkPjxrZXl3b3JkPlByZXZhbGVuY2U8L2tleXdvcmQ+PGtleXdvcmQ+UHJvc3Bl
Y3RpdmUgU3R1ZGllczwva2V5d29yZD48a2V5d29yZD5Tb2Npb2Vjb25vbWljIEZhY3RvcnM8L2tl
eXdvcmQ+PGtleXdvcmQ+U3VydmV5cyBhbmQgUXVlc3Rpb25uYWlyZXM8L2tleXdvcmQ+PGtleXdv
cmQ+Qm9keSBjb21wb3NpdGlvbjwva2V5d29yZD48a2V5d29yZD5GZXRhbCBwcm9ncmFtbWluZzwv
a2V5d29yZD48a2V5d29yZD5PYmVzaXR5PC9rZXl3b3JkPjxrZXl3b3JkPk9mZnNwcmluZzwva2V5
d29yZD48a2V5d29yZD5Qcm90ZWluIGludGFrZTwva2V5d29yZD48L2tleXdvcmRzPjxkYXRlcz48
eWVhcj4yMDE3PC95ZWFyPjxwdWItZGF0ZXM+PGRhdGU+U2VwPC9kYXRlPjwvcHViLWRhdGVzPjwv
ZGF0ZXM+PGlzYm4+MTQzNi02MjE1IChFbGVjdHJvbmljKSYjeEQ7MTQzNi02MjA3IChMaW5raW5n
KTwvaXNibj48YWNjZXNzaW9uLW51bT4yNzM3NjM1NTwvYWNjZXNzaW9uLW51bT48dXJscz48cmVs
YXRlZC11cmxzPjx1cmw+aHR0cHM6Ly93d3cubmNiaS5ubG0ubmloLmdvdi9wdWJtZWQvMjczNzYz
NTU8L3VybD48L3JlbGF0ZWQtdXJscz48L3VybHM+PGN1c3RvbTI+UE1DNTU3OTE3NTwvY3VzdG9t
Mj48ZWxlY3Ryb25pYy1yZXNvdXJjZS1udW0+MTAuMTAwNy9zMDAzOTQtMDE2LTEyNTUtNDwvZWxl
Y3Ryb25pYy1yZXNvdXJjZS1udW0+PC9yZWNvcmQ+PC9DaXRlPjwvRW5kTm90ZT4A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96</w:t>
      </w:r>
      <w:r w:rsidR="00774750">
        <w:fldChar w:fldCharType="end"/>
      </w:r>
    </w:p>
    <w:p w14:paraId="12DADA53" w14:textId="129CB7C9" w:rsidR="00E300BA" w:rsidRPr="00541F56" w:rsidRDefault="00E300BA" w:rsidP="00A72DF9">
      <w:pPr>
        <w:pStyle w:val="bullet"/>
      </w:pPr>
      <w:r w:rsidRPr="00A72DF9">
        <w:t xml:space="preserve">lower </w:t>
      </w:r>
      <w:r w:rsidR="00C67C59" w:rsidRPr="00A72DF9">
        <w:t xml:space="preserve">new born </w:t>
      </w:r>
      <w:r w:rsidRPr="00A72DF9">
        <w:t>abdomin</w:t>
      </w:r>
      <w:r w:rsidR="00C67C59" w:rsidRPr="00A72DF9">
        <w:t>al internal adipose tissue</w:t>
      </w:r>
      <w:r w:rsidR="00A72DF9" w:rsidRPr="00A72DF9">
        <w:t xml:space="preserve"> (</w:t>
      </w:r>
      <w:r w:rsidR="00C67C59" w:rsidRPr="00A72DF9">
        <w:rPr>
          <w:sz w:val="16"/>
          <w:szCs w:val="16"/>
        </w:rPr>
        <w:t xml:space="preserve">-0.18 mL; 95%CI </w:t>
      </w:r>
      <w:r w:rsidRPr="00A72DF9">
        <w:rPr>
          <w:sz w:val="16"/>
          <w:szCs w:val="16"/>
        </w:rPr>
        <w:t>-0.35 to</w:t>
      </w:r>
      <w:r w:rsidR="00C67C59" w:rsidRPr="00A72DF9">
        <w:rPr>
          <w:sz w:val="16"/>
          <w:szCs w:val="16"/>
        </w:rPr>
        <w:t xml:space="preserve"> -0.001 mL</w:t>
      </w:r>
      <w:r w:rsidRPr="00A72DF9">
        <w:rPr>
          <w:sz w:val="16"/>
          <w:szCs w:val="16"/>
        </w:rPr>
        <w:t xml:space="preserve"> per 1% protein-to-carbohyd</w:t>
      </w:r>
      <w:r w:rsidR="00C67C59" w:rsidRPr="00A72DF9">
        <w:rPr>
          <w:sz w:val="16"/>
          <w:szCs w:val="16"/>
        </w:rPr>
        <w:t xml:space="preserve">rate substitution and -0.25 mL; 95%CI </w:t>
      </w:r>
      <w:r w:rsidR="00C67C59" w:rsidRPr="00A72DF9">
        <w:rPr>
          <w:sz w:val="16"/>
          <w:szCs w:val="16"/>
        </w:rPr>
        <w:noBreakHyphen/>
      </w:r>
      <w:r w:rsidRPr="00A72DF9">
        <w:rPr>
          <w:sz w:val="16"/>
          <w:szCs w:val="16"/>
        </w:rPr>
        <w:t>0.46 to</w:t>
      </w:r>
      <w:r w:rsidR="00C67C59" w:rsidRPr="00A72DF9">
        <w:rPr>
          <w:sz w:val="16"/>
          <w:szCs w:val="16"/>
        </w:rPr>
        <w:t xml:space="preserve"> -0.04 mL</w:t>
      </w:r>
      <w:r w:rsidRPr="00A72DF9">
        <w:rPr>
          <w:sz w:val="16"/>
          <w:szCs w:val="16"/>
        </w:rPr>
        <w:t xml:space="preserve"> per</w:t>
      </w:r>
      <w:r w:rsidR="00C67C59" w:rsidRPr="00A72DF9">
        <w:rPr>
          <w:sz w:val="16"/>
          <w:szCs w:val="16"/>
        </w:rPr>
        <w:t xml:space="preserve"> 1% protein-to-fat substitution</w:t>
      </w:r>
      <w:r w:rsidR="00A72DF9" w:rsidRPr="00A72DF9">
        <w:t>) (</w:t>
      </w:r>
      <w:r w:rsidR="00A72DF9" w:rsidRPr="00A72DF9">
        <w:rPr>
          <w:sz w:val="16"/>
          <w:szCs w:val="16"/>
        </w:rPr>
        <w:t>n=320 mother-child pairs</w:t>
      </w:r>
      <w:r w:rsidR="00A72DF9" w:rsidRPr="00A72DF9">
        <w:t>).</w:t>
      </w:r>
      <w:r w:rsidR="00774750">
        <w:fldChar w:fldCharType="begin">
          <w:fldData xml:space="preserve">PEVuZE5vdGU+PENpdGU+PEF1dGhvcj5DaGVuPC9BdXRob3I+PFllYXI+MjAxNjwvWWVhcj48UmVj
TnVtPjE3MTE8L1JlY051bT48RGlzcGxheVRleHQ+PHN0eWxlIGZhY2U9InN1cGVyc2NyaXB0IiBm
b250PSJUcmVidWNoZXQgTVMiIHNpemU9IjkiPjk3PC9zdHlsZT48L0Rpc3BsYXlUZXh0PjxyZWNv
cmQ+PHJlYy1udW1iZXI+MTcxMTwvcmVjLW51bWJlcj48Zm9yZWlnbi1rZXlzPjxrZXkgYXBwPSJF
TiIgZGItaWQ9ImV4dmFzcmZ4MmR0cmFvZXNhc3hwMnN6c3hhMmRmNTAyNTkyeCIgdGltZXN0YW1w
PSIxNTgyNTA2MDk4Ij4xNzExPC9rZXk+PGtleSBhcHA9IkVOV2ViIiBkYi1pZD0iIj4wPC9rZXk+
PC9mb3JlaWduLWtleXM+PHJlZi10eXBlIG5hbWU9IkpvdXJuYWwgQXJ0aWNsZSI+MTc8L3JlZi10
eXBlPjxjb250cmlidXRvcnM+PGF1dGhvcnM+PGF1dGhvcj5DaGVuLCBMLiBXLjwvYXV0aG9yPjxh
dXRob3I+VGludCwgTS4gVC48L2F1dGhvcj48YXV0aG9yPkZvcnRpZXIsIE0uIFYuPC9hdXRob3I+
PGF1dGhvcj5BcmlzLCBJLiBNLjwvYXV0aG9yPjxhdXRob3I+QmVybmFyZCwgSi4gWS48L2F1dGhv
cj48YXV0aG9yPkNvbGVnYSwgTS48L2F1dGhvcj48YXV0aG9yPkdsdWNrbWFuLCBQLiBELjwvYXV0
aG9yPjxhdXRob3I+U2F3LCBTLiBNLjwvYXV0aG9yPjxhdXRob3I+Q2hvbmcsIFkuIFMuPC9hdXRo
b3I+PGF1dGhvcj5ZYXAsIEYuPC9hdXRob3I+PGF1dGhvcj5Hb2RmcmV5LCBLLiBNLjwvYXV0aG9y
PjxhdXRob3I+S3JhbWVyLCBNLiBTLjwvYXV0aG9yPjxhdXRob3I+dmFuIERhbSwgUi4gTS48L2F1
dGhvcj48YXV0aG9yPkNob25nLCBNLiBGLjwvYXV0aG9yPjxhdXRob3I+TGVlLCBZLiBTLjwvYXV0
aG9yPjwvYXV0aG9ycz48L2NvbnRyaWJ1dG9ycz48YXV0aC1hZGRyZXNzPkRlcGFydG1lbnQgb2Yg
UGFlZGlhdHJpY3MsIHBhZWNsd0BudXMuZWR1LnNnIHBhZWxlZXlzQG51cy5lZHUuc2cuJiN4RDtE
ZXBhcnRtZW50IG9mIE9ic3RldHJpY3MgYW5kIEd5bmFlY29sb2d5LCBhbmQuJiN4RDtEZXBhcnRt
ZW50IG9mIERpYWdub3N0aWMgYW5kIEludGVydmVudGlvbmFsIEltYWdpbmcgYW5kLiYjeEQ7U2lu
Z2Fwb3JlIEluc3RpdHV0ZSBmb3IgQ2xpbmljYWwgU2NpZW5jZXMsIEFnZW5jeSBmb3IgU2NpZW5j
ZSwgVGVjaG5vbG9neSwgYW5kIFJlc2VhcmNoLCBTaW5nYXBvcmU7JiN4RDtTaW5nYXBvcmUgSW5z
dGl0dXRlIGZvciBDbGluaWNhbCBTY2llbmNlcywgQWdlbmN5IGZvciBTY2llbmNlLCBUZWNobm9s
b2d5LCBhbmQgUmVzZWFyY2gsIFNpbmdhcG9yZTsgTGlnZ2lucyBJbnN0aXR1dGUsIFVuaXZlcnNp
dHkgb2YgQXVja2xhbmQsIEF1Y2tsYW5kLCBOZXcgWmVhbGFuZDsmI3hEO1NhdyBTd2VlIEhvY2sg
U2Nob29sIG9mIFB1YmxpYyBIZWFsdGgsIE5hdGlvbmFsIFVuaXZlcnNpdHkgb2YgU2luZ2Fwb3Jl
LCBTaW5nYXBvcmU7JiN4RDtEZXBhcnRtZW50IG9mIE9ic3RldHJpY3MgYW5kIEd5bmFlY29sb2d5
LCBhbmQgU2luZ2Fwb3JlIEluc3RpdHV0ZSBmb3IgQ2xpbmljYWwgU2NpZW5jZXMsIEFnZW5jeSBm
b3IgU2NpZW5jZSwgVGVjaG5vbG9neSwgYW5kIFJlc2VhcmNoLCBTaW5nYXBvcmU7JiN4RDtEZXBh
cnRtZW50IG9mIFBlZGlhdHJpYyBFbmRvY3Jpbm9sb2d5LCBLSyBXb21lbiZhcG9zO3MgYW5kIENo
aWxkcmVuJmFwb3M7cyBIb3NwaXRhbCwgU2luZ2Fwb3JlOyBEdWtlLU5VUyBHcmFkdWF0ZSBNZWRp
Y2FsIFNjaG9vbCwgTGVlIEtvbmcgQ2hpYW4gU2Nob29sIG9mIE1lZGljaW5lLCBTaW5nYXBvcmU7
JiN4RDtNUkMgTGlmZWNvdXJzZSBFcGlkZW1pb2xvZ3kgVW5pdCBhbmQgTklIUiBTb3V0aGFtcHRv
biBCaW9tZWRpY2FsIFJlc2VhcmNoIENlbnRyZSwgVW5pdmVyc2l0eSBvZiBTb3V0aGFtcHRvbiBh
bmQgVW5pdmVyc2l0eSBIb3NwaXRhbCBTb3V0aGFtcHRvbiBOSFMgRm91bmRhdGlvbiBUcnVzdCwg
U291dGhhbXB0b24sIFVuaXRlZCBLaW5nZG9tOyYjeEQ7RGVwYXJ0bWVudCBvZiBPYnN0ZXRyaWNz
IGFuZCBHeW5hZWNvbG9neSwgYW5kIERlcGFydG1lbnRzIG9mIFBlZGlhdHJpY3MgYW5kIEVwaWRl
bWlvbG9neSwgQmlvc3RhdGlzdGljcywgYW5kIE9jY3VwYXRpb25hbCBIZWFsdGgsIE1jR2lsbCBV
bml2ZXJzaXR5IEZhY3VsdHkgb2YgTWVkaWNpbmUsIE1vbnRyZWFsLCBDYW5hZGE7JiN4RDtEZXBh
cnRtZW50IG9mIE1lZGljaW5lLCBZb25nIExvbyBMaW4gU2Nob29sIG9mIE1lZGljaW5lLCBhbmQg
U2F3IFN3ZWUgSG9jayBTY2hvb2wgb2YgUHVibGljIEhlYWx0aCwgTmF0aW9uYWwgVW5pdmVyc2l0
eSBvZiBTaW5nYXBvcmUsIFNpbmdhcG9yZTsgRGVwYXJ0bWVudCBvZiBOdXRyaXRpb24sIEhhcnZh
cmQgU2Nob29sIG9mIFB1YmxpYyBIZWFsdGgsIEJvc3RvbiwgTUE7JiN4RDtTYXcgU3dlZSBIb2Nr
IFNjaG9vbCBvZiBQdWJsaWMgSGVhbHRoLCBOYXRpb25hbCBVbml2ZXJzaXR5IG9mIFNpbmdhcG9y
ZSwgU2luZ2Fwb3JlOyBTaW5nYXBvcmUgSW5zdGl0dXRlIGZvciBDbGluaWNhbCBTY2llbmNlcywg
QWdlbmN5IGZvciBTY2llbmNlLCBUZWNobm9sb2d5LCBhbmQgUmVzZWFyY2gsIFNpbmdhcG9yZTsg
Q2xpbmljYWwgTnV0cml0aW9uIFJlc2VhcmNoIENlbnRyZSwgU2luZ2Fwb3JlIEluc3RpdHV0ZSBm
b3IgQ2xpbmljYWwgU2NpZW5jZXMsIEEqU1RBUiwgU2luZ2Fwb3JlOyBhbmQuJiN4RDtEZXBhcnRt
ZW50IG9mIFBhZWRpYXRyaWNzLCBTaW5nYXBvcmUgSW5zdGl0dXRlIGZvciBDbGluaWNhbCBTY2ll
bmNlcywgQWdlbmN5IGZvciBTY2llbmNlLCBUZWNobm9sb2d5LCBhbmQgUmVzZWFyY2gsIFNpbmdh
cG9yZTsgS2hvbyBUZWNrIFB1YXQtTmF0aW9uYWwgVW5pdmVyc2l0eSBDaGlsZHJlbiZhcG9zO3Mg
TWVkaWNhbCBJbnN0aXR1dGUsIE5hdGlvbmFsIFVuaXZlcnNpdHkgSGVhbHRoIFN5c3RlbSwgU2lu
Z2Fwb3JlIHBhZWNsd0BudXMuZWR1LnNnIHBhZWxlZXlzQG51cy5lZHUuc2cuPC9hdXRoLWFkZHJl
c3M+PHRpdGxlcz48dGl0bGU+TWF0ZXJuYWwgbWFjcm9udXRyaWVudCBpbnRha2UgZHVyaW5nIHBy
ZWduYW5jeSBpcyBhc3NvY2lhdGVkIHdpdGggbmVvbmF0YWwgYWJkb21pbmFsIGFkaXBvc2l0eTog
VGhlIEdyb3dpbmcgVXAgaW4gU2luZ2Fwb3JlIFRvd2FyZHMgaGVhbHRoeSBPdXRjb21lcyAoR1VT
VE8pIHN0dWR5PC90aXRsZT48c2Vjb25kYXJ5LXRpdGxlPkogTnV0cjwvc2Vjb25kYXJ5LXRpdGxl
PjwvdGl0bGVzPjxwZXJpb2RpY2FsPjxmdWxsLXRpdGxlPkogTnV0cjwvZnVsbC10aXRsZT48L3Bl
cmlvZGljYWw+PHBhZ2VzPjE1NzEtOTwvcGFnZXM+PHZvbHVtZT4xNDY8L3ZvbHVtZT48bnVtYmVy
Pjg8L251bWJlcj48ZWRpdGlvbj4yMDE2LzA3LzA4PC9lZGl0aW9uPjxrZXl3b3Jkcz48a2V5d29y
ZD4qQWRpcG9zaXR5PC9rZXl3b3JkPjxrZXl3b3JkPkFkb2xlc2NlbnQ8L2tleXdvcmQ+PGtleXdv
cmQ+QWR1bHQ8L2tleXdvcmQ+PGtleXdvcmQ+QmlydGggV2VpZ2h0PC9rZXl3b3JkPjxrZXl3b3Jk
PipEaWV0PC9rZXl3b3JkPjxrZXl3b3JkPkRpZXQgUmVjb3Jkczwva2V5d29yZD48a2V5d29yZD5E
aWV0YXJ5IENhcmJvaHlkcmF0ZXMvYWRtaW5pc3RyYXRpb24gJmFtcDsgZG9zYWdlL3BoYXJtYWNv
bG9neTwva2V5d29yZD48a2V5d29yZD5EaWV0YXJ5IEZhdHMvYWRtaW5pc3RyYXRpb24gJmFtcDsg
ZG9zYWdlL3BoYXJtYWNvbG9neTwva2V5d29yZD48a2V5d29yZD5EaWV0YXJ5IFByb3RlaW5zL2Fk
bWluaXN0cmF0aW9uICZhbXA7IGRvc2FnZS9waGFybWFjb2xvZ3k8L2tleXdvcmQ+PGtleXdvcmQ+
RmVtYWxlPC9rZXl3b3JkPjxrZXl3b3JkPkdlc3RhdGlvbmFsIEFnZTwva2V5d29yZD48a2V5d29y
ZD5IdW1hbnM8L2tleXdvcmQ+PGtleXdvcmQ+SW5mYW50LCBOZXdib3JuPC9rZXl3b3JkPjxrZXl3
b3JkPkludHJhLUFiZG9taW5hbCBGYXQvKm1ldGFib2xpc208L2tleXdvcmQ+PGtleXdvcmQ+TWFs
ZTwva2V5d29yZD48a2V5d29yZD5NZW50YWwgUmVjYWxsPC9rZXl3b3JkPjxrZXl3b3JkPipPYmVz
aXR5LCBBYmRvbWluYWwvZXRpb2xvZ3kvcHJldmVudGlvbiAmYW1wOyBjb250cm9sPC9rZXl3b3Jk
PjxrZXl3b3JkPlByZWduYW5jeTwva2V5d29yZD48a2V5d29yZD4qUHJlbmF0YWwgTnV0cml0aW9u
YWwgUGh5c2lvbG9naWNhbCBQaGVub21lbmE8L2tleXdvcmQ+PGtleXdvcmQ+UHJvc3BlY3RpdmUg
U3R1ZGllczwva2V5d29yZD48a2V5d29yZD5TZXggRmFjdG9yczwva2V5d29yZD48a2V5d29yZD5T
aW5nYXBvcmU8L2tleXdvcmQ+PGtleXdvcmQ+U2tpbmZvbGQgVGhpY2tuZXNzPC9rZXl3b3JkPjxr
ZXl3b3JkPldhaXN0IENpcmN1bWZlcmVuY2U8L2tleXdvcmQ+PGtleXdvcmQ+WW91bmcgQWR1bHQ8
L2tleXdvcmQ+PGtleXdvcmQ+KmFiZG9taW5hbCBhZGlwb3NpdHk8L2tleXdvcmQ+PGtleXdvcmQ+
KmFkaXBvc2l0eSBkaXN0cmlidXRpb248L2tleXdvcmQ+PGtleXdvcmQ+KmNhcmJvaHlkcmF0ZTwv
a2V5d29yZD48a2V5d29yZD4qZGV2ZWxvcG1lbnRhbCBvcmlnaW5zPC9rZXl3b3JkPjxrZXl3b3Jk
PipmYXQ8L2tleXdvcmQ+PGtleXdvcmQ+KmluZmFudDwva2V5d29yZD48a2V5d29yZD4qaW50ZXJu
YWwgZmF0PC9rZXl3b3JkPjxrZXl3b3JkPiptYWNyb251dHJpZW50PC9rZXl3b3JkPjxrZXl3b3Jk
PipwcmVnbmFuY3k8L2tleXdvcmQ+PGtleXdvcmQ+KnByb3RlaW48L2tleXdvcmQ+PC9rZXl3b3Jk
cz48ZGF0ZXM+PHllYXI+MjAxNjwveWVhcj48cHViLWRhdGVzPjxkYXRlPkF1ZzwvZGF0ZT48L3B1
Yi1kYXRlcz48L2RhdGVzPjxpc2JuPjE1NDEtNjEwMCAoRWxlY3Ryb25pYykmI3hEOzAwMjItMzE2
NiAoTGlua2luZyk8L2lzYm4+PGFjY2Vzc2lvbi1udW0+MjczODU3NjM8L2FjY2Vzc2lvbi1udW0+
PHVybHM+PHJlbGF0ZWQtdXJscz48dXJsPmh0dHBzOi8vd3d3Lm5jYmkubmxtLm5paC5nb3YvcHVi
bWVkLzI3Mzg1NzYzPC91cmw+PC9yZWxhdGVkLXVybHM+PC91cmxzPjxjdXN0b20yPlBNQzQ5NzM4
ODQ8L2N1c3RvbTI+PGVsZWN0cm9uaWMtcmVzb3VyY2UtbnVtPjEwLjM5NDUvam4uMTE2LjIzMDcz
MDwvZWxlY3Ryb25pYy1yZXNvdXJjZS1udW0+PC9yZWNvcmQ+PC9DaXRlPjwvRW5kTm90ZT4A
</w:fldData>
        </w:fldChar>
      </w:r>
      <w:r w:rsidR="002747EA">
        <w:instrText xml:space="preserve"> ADDIN EN.CITE </w:instrText>
      </w:r>
      <w:r w:rsidR="002747EA">
        <w:fldChar w:fldCharType="begin">
          <w:fldData xml:space="preserve">PEVuZE5vdGU+PENpdGU+PEF1dGhvcj5DaGVuPC9BdXRob3I+PFllYXI+MjAxNjwvWWVhcj48UmVj
TnVtPjE3MTE8L1JlY051bT48RGlzcGxheVRleHQ+PHN0eWxlIGZhY2U9InN1cGVyc2NyaXB0IiBm
b250PSJUcmVidWNoZXQgTVMiIHNpemU9IjkiPjk3PC9zdHlsZT48L0Rpc3BsYXlUZXh0PjxyZWNv
cmQ+PHJlYy1udW1iZXI+MTcxMTwvcmVjLW51bWJlcj48Zm9yZWlnbi1rZXlzPjxrZXkgYXBwPSJF
TiIgZGItaWQ9ImV4dmFzcmZ4MmR0cmFvZXNhc3hwMnN6c3hhMmRmNTAyNTkyeCIgdGltZXN0YW1w
PSIxNTgyNTA2MDk4Ij4xNzExPC9rZXk+PGtleSBhcHA9IkVOV2ViIiBkYi1pZD0iIj4wPC9rZXk+
PC9mb3JlaWduLWtleXM+PHJlZi10eXBlIG5hbWU9IkpvdXJuYWwgQXJ0aWNsZSI+MTc8L3JlZi10
eXBlPjxjb250cmlidXRvcnM+PGF1dGhvcnM+PGF1dGhvcj5DaGVuLCBMLiBXLjwvYXV0aG9yPjxh
dXRob3I+VGludCwgTS4gVC48L2F1dGhvcj48YXV0aG9yPkZvcnRpZXIsIE0uIFYuPC9hdXRob3I+
PGF1dGhvcj5BcmlzLCBJLiBNLjwvYXV0aG9yPjxhdXRob3I+QmVybmFyZCwgSi4gWS48L2F1dGhv
cj48YXV0aG9yPkNvbGVnYSwgTS48L2F1dGhvcj48YXV0aG9yPkdsdWNrbWFuLCBQLiBELjwvYXV0
aG9yPjxhdXRob3I+U2F3LCBTLiBNLjwvYXV0aG9yPjxhdXRob3I+Q2hvbmcsIFkuIFMuPC9hdXRo
b3I+PGF1dGhvcj5ZYXAsIEYuPC9hdXRob3I+PGF1dGhvcj5Hb2RmcmV5LCBLLiBNLjwvYXV0aG9y
PjxhdXRob3I+S3JhbWVyLCBNLiBTLjwvYXV0aG9yPjxhdXRob3I+dmFuIERhbSwgUi4gTS48L2F1
dGhvcj48YXV0aG9yPkNob25nLCBNLiBGLjwvYXV0aG9yPjxhdXRob3I+TGVlLCBZLiBTLjwvYXV0
aG9yPjwvYXV0aG9ycz48L2NvbnRyaWJ1dG9ycz48YXV0aC1hZGRyZXNzPkRlcGFydG1lbnQgb2Yg
UGFlZGlhdHJpY3MsIHBhZWNsd0BudXMuZWR1LnNnIHBhZWxlZXlzQG51cy5lZHUuc2cuJiN4RDtE
ZXBhcnRtZW50IG9mIE9ic3RldHJpY3MgYW5kIEd5bmFlY29sb2d5LCBhbmQuJiN4RDtEZXBhcnRt
ZW50IG9mIERpYWdub3N0aWMgYW5kIEludGVydmVudGlvbmFsIEltYWdpbmcgYW5kLiYjeEQ7U2lu
Z2Fwb3JlIEluc3RpdHV0ZSBmb3IgQ2xpbmljYWwgU2NpZW5jZXMsIEFnZW5jeSBmb3IgU2NpZW5j
ZSwgVGVjaG5vbG9neSwgYW5kIFJlc2VhcmNoLCBTaW5nYXBvcmU7JiN4RDtTaW5nYXBvcmUgSW5z
dGl0dXRlIGZvciBDbGluaWNhbCBTY2llbmNlcywgQWdlbmN5IGZvciBTY2llbmNlLCBUZWNobm9s
b2d5LCBhbmQgUmVzZWFyY2gsIFNpbmdhcG9yZTsgTGlnZ2lucyBJbnN0aXR1dGUsIFVuaXZlcnNp
dHkgb2YgQXVja2xhbmQsIEF1Y2tsYW5kLCBOZXcgWmVhbGFuZDsmI3hEO1NhdyBTd2VlIEhvY2sg
U2Nob29sIG9mIFB1YmxpYyBIZWFsdGgsIE5hdGlvbmFsIFVuaXZlcnNpdHkgb2YgU2luZ2Fwb3Jl
LCBTaW5nYXBvcmU7JiN4RDtEZXBhcnRtZW50IG9mIE9ic3RldHJpY3MgYW5kIEd5bmFlY29sb2d5
LCBhbmQgU2luZ2Fwb3JlIEluc3RpdHV0ZSBmb3IgQ2xpbmljYWwgU2NpZW5jZXMsIEFnZW5jeSBm
b3IgU2NpZW5jZSwgVGVjaG5vbG9neSwgYW5kIFJlc2VhcmNoLCBTaW5nYXBvcmU7JiN4RDtEZXBh
cnRtZW50IG9mIFBlZGlhdHJpYyBFbmRvY3Jpbm9sb2d5LCBLSyBXb21lbiZhcG9zO3MgYW5kIENo
aWxkcmVuJmFwb3M7cyBIb3NwaXRhbCwgU2luZ2Fwb3JlOyBEdWtlLU5VUyBHcmFkdWF0ZSBNZWRp
Y2FsIFNjaG9vbCwgTGVlIEtvbmcgQ2hpYW4gU2Nob29sIG9mIE1lZGljaW5lLCBTaW5nYXBvcmU7
JiN4RDtNUkMgTGlmZWNvdXJzZSBFcGlkZW1pb2xvZ3kgVW5pdCBhbmQgTklIUiBTb3V0aGFtcHRv
biBCaW9tZWRpY2FsIFJlc2VhcmNoIENlbnRyZSwgVW5pdmVyc2l0eSBvZiBTb3V0aGFtcHRvbiBh
bmQgVW5pdmVyc2l0eSBIb3NwaXRhbCBTb3V0aGFtcHRvbiBOSFMgRm91bmRhdGlvbiBUcnVzdCwg
U291dGhhbXB0b24sIFVuaXRlZCBLaW5nZG9tOyYjeEQ7RGVwYXJ0bWVudCBvZiBPYnN0ZXRyaWNz
IGFuZCBHeW5hZWNvbG9neSwgYW5kIERlcGFydG1lbnRzIG9mIFBlZGlhdHJpY3MgYW5kIEVwaWRl
bWlvbG9neSwgQmlvc3RhdGlzdGljcywgYW5kIE9jY3VwYXRpb25hbCBIZWFsdGgsIE1jR2lsbCBV
bml2ZXJzaXR5IEZhY3VsdHkgb2YgTWVkaWNpbmUsIE1vbnRyZWFsLCBDYW5hZGE7JiN4RDtEZXBh
cnRtZW50IG9mIE1lZGljaW5lLCBZb25nIExvbyBMaW4gU2Nob29sIG9mIE1lZGljaW5lLCBhbmQg
U2F3IFN3ZWUgSG9jayBTY2hvb2wgb2YgUHVibGljIEhlYWx0aCwgTmF0aW9uYWwgVW5pdmVyc2l0
eSBvZiBTaW5nYXBvcmUsIFNpbmdhcG9yZTsgRGVwYXJ0bWVudCBvZiBOdXRyaXRpb24sIEhhcnZh
cmQgU2Nob29sIG9mIFB1YmxpYyBIZWFsdGgsIEJvc3RvbiwgTUE7JiN4RDtTYXcgU3dlZSBIb2Nr
IFNjaG9vbCBvZiBQdWJsaWMgSGVhbHRoLCBOYXRpb25hbCBVbml2ZXJzaXR5IG9mIFNpbmdhcG9y
ZSwgU2luZ2Fwb3JlOyBTaW5nYXBvcmUgSW5zdGl0dXRlIGZvciBDbGluaWNhbCBTY2llbmNlcywg
QWdlbmN5IGZvciBTY2llbmNlLCBUZWNobm9sb2d5LCBhbmQgUmVzZWFyY2gsIFNpbmdhcG9yZTsg
Q2xpbmljYWwgTnV0cml0aW9uIFJlc2VhcmNoIENlbnRyZSwgU2luZ2Fwb3JlIEluc3RpdHV0ZSBm
b3IgQ2xpbmljYWwgU2NpZW5jZXMsIEEqU1RBUiwgU2luZ2Fwb3JlOyBhbmQuJiN4RDtEZXBhcnRt
ZW50IG9mIFBhZWRpYXRyaWNzLCBTaW5nYXBvcmUgSW5zdGl0dXRlIGZvciBDbGluaWNhbCBTY2ll
bmNlcywgQWdlbmN5IGZvciBTY2llbmNlLCBUZWNobm9sb2d5LCBhbmQgUmVzZWFyY2gsIFNpbmdh
cG9yZTsgS2hvbyBUZWNrIFB1YXQtTmF0aW9uYWwgVW5pdmVyc2l0eSBDaGlsZHJlbiZhcG9zO3Mg
TWVkaWNhbCBJbnN0aXR1dGUsIE5hdGlvbmFsIFVuaXZlcnNpdHkgSGVhbHRoIFN5c3RlbSwgU2lu
Z2Fwb3JlIHBhZWNsd0BudXMuZWR1LnNnIHBhZWxlZXlzQG51cy5lZHUuc2cuPC9hdXRoLWFkZHJl
c3M+PHRpdGxlcz48dGl0bGU+TWF0ZXJuYWwgbWFjcm9udXRyaWVudCBpbnRha2UgZHVyaW5nIHBy
ZWduYW5jeSBpcyBhc3NvY2lhdGVkIHdpdGggbmVvbmF0YWwgYWJkb21pbmFsIGFkaXBvc2l0eTog
VGhlIEdyb3dpbmcgVXAgaW4gU2luZ2Fwb3JlIFRvd2FyZHMgaGVhbHRoeSBPdXRjb21lcyAoR1VT
VE8pIHN0dWR5PC90aXRsZT48c2Vjb25kYXJ5LXRpdGxlPkogTnV0cjwvc2Vjb25kYXJ5LXRpdGxl
PjwvdGl0bGVzPjxwZXJpb2RpY2FsPjxmdWxsLXRpdGxlPkogTnV0cjwvZnVsbC10aXRsZT48L3Bl
cmlvZGljYWw+PHBhZ2VzPjE1NzEtOTwvcGFnZXM+PHZvbHVtZT4xNDY8L3ZvbHVtZT48bnVtYmVy
Pjg8L251bWJlcj48ZWRpdGlvbj4yMDE2LzA3LzA4PC9lZGl0aW9uPjxrZXl3b3Jkcz48a2V5d29y
ZD4qQWRpcG9zaXR5PC9rZXl3b3JkPjxrZXl3b3JkPkFkb2xlc2NlbnQ8L2tleXdvcmQ+PGtleXdv
cmQ+QWR1bHQ8L2tleXdvcmQ+PGtleXdvcmQ+QmlydGggV2VpZ2h0PC9rZXl3b3JkPjxrZXl3b3Jk
PipEaWV0PC9rZXl3b3JkPjxrZXl3b3JkPkRpZXQgUmVjb3Jkczwva2V5d29yZD48a2V5d29yZD5E
aWV0YXJ5IENhcmJvaHlkcmF0ZXMvYWRtaW5pc3RyYXRpb24gJmFtcDsgZG9zYWdlL3BoYXJtYWNv
bG9neTwva2V5d29yZD48a2V5d29yZD5EaWV0YXJ5IEZhdHMvYWRtaW5pc3RyYXRpb24gJmFtcDsg
ZG9zYWdlL3BoYXJtYWNvbG9neTwva2V5d29yZD48a2V5d29yZD5EaWV0YXJ5IFByb3RlaW5zL2Fk
bWluaXN0cmF0aW9uICZhbXA7IGRvc2FnZS9waGFybWFjb2xvZ3k8L2tleXdvcmQ+PGtleXdvcmQ+
RmVtYWxlPC9rZXl3b3JkPjxrZXl3b3JkPkdlc3RhdGlvbmFsIEFnZTwva2V5d29yZD48a2V5d29y
ZD5IdW1hbnM8L2tleXdvcmQ+PGtleXdvcmQ+SW5mYW50LCBOZXdib3JuPC9rZXl3b3JkPjxrZXl3
b3JkPkludHJhLUFiZG9taW5hbCBGYXQvKm1ldGFib2xpc208L2tleXdvcmQ+PGtleXdvcmQ+TWFs
ZTwva2V5d29yZD48a2V5d29yZD5NZW50YWwgUmVjYWxsPC9rZXl3b3JkPjxrZXl3b3JkPipPYmVz
aXR5LCBBYmRvbWluYWwvZXRpb2xvZ3kvcHJldmVudGlvbiAmYW1wOyBjb250cm9sPC9rZXl3b3Jk
PjxrZXl3b3JkPlByZWduYW5jeTwva2V5d29yZD48a2V5d29yZD4qUHJlbmF0YWwgTnV0cml0aW9u
YWwgUGh5c2lvbG9naWNhbCBQaGVub21lbmE8L2tleXdvcmQ+PGtleXdvcmQ+UHJvc3BlY3RpdmUg
U3R1ZGllczwva2V5d29yZD48a2V5d29yZD5TZXggRmFjdG9yczwva2V5d29yZD48a2V5d29yZD5T
aW5nYXBvcmU8L2tleXdvcmQ+PGtleXdvcmQ+U2tpbmZvbGQgVGhpY2tuZXNzPC9rZXl3b3JkPjxr
ZXl3b3JkPldhaXN0IENpcmN1bWZlcmVuY2U8L2tleXdvcmQ+PGtleXdvcmQ+WW91bmcgQWR1bHQ8
L2tleXdvcmQ+PGtleXdvcmQ+KmFiZG9taW5hbCBhZGlwb3NpdHk8L2tleXdvcmQ+PGtleXdvcmQ+
KmFkaXBvc2l0eSBkaXN0cmlidXRpb248L2tleXdvcmQ+PGtleXdvcmQ+KmNhcmJvaHlkcmF0ZTwv
a2V5d29yZD48a2V5d29yZD4qZGV2ZWxvcG1lbnRhbCBvcmlnaW5zPC9rZXl3b3JkPjxrZXl3b3Jk
PipmYXQ8L2tleXdvcmQ+PGtleXdvcmQ+KmluZmFudDwva2V5d29yZD48a2V5d29yZD4qaW50ZXJu
YWwgZmF0PC9rZXl3b3JkPjxrZXl3b3JkPiptYWNyb251dHJpZW50PC9rZXl3b3JkPjxrZXl3b3Jk
PipwcmVnbmFuY3k8L2tleXdvcmQ+PGtleXdvcmQ+KnByb3RlaW48L2tleXdvcmQ+PC9rZXl3b3Jk
cz48ZGF0ZXM+PHllYXI+MjAxNjwveWVhcj48cHViLWRhdGVzPjxkYXRlPkF1ZzwvZGF0ZT48L3B1
Yi1kYXRlcz48L2RhdGVzPjxpc2JuPjE1NDEtNjEwMCAoRWxlY3Ryb25pYykmI3hEOzAwMjItMzE2
NiAoTGlua2luZyk8L2lzYm4+PGFjY2Vzc2lvbi1udW0+MjczODU3NjM8L2FjY2Vzc2lvbi1udW0+
PHVybHM+PHJlbGF0ZWQtdXJscz48dXJsPmh0dHBzOi8vd3d3Lm5jYmkubmxtLm5paC5nb3YvcHVi
bWVkLzI3Mzg1NzYzPC91cmw+PC9yZWxhdGVkLXVybHM+PC91cmxzPjxjdXN0b20yPlBNQzQ5NzM4
ODQ8L2N1c3RvbTI+PGVsZWN0cm9uaWMtcmVzb3VyY2UtbnVtPjEwLjM5NDUvam4uMTE2LjIzMDcz
MDwvZWxlY3Ryb25pYy1yZXNvdXJjZS1udW0+PC9yZWNvcmQ+PC9DaXRlPjwvRW5kTm90ZT4A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97</w:t>
      </w:r>
      <w:r w:rsidR="00774750">
        <w:fldChar w:fldCharType="end"/>
      </w:r>
    </w:p>
    <w:p w14:paraId="68A7BD6D" w14:textId="57B1E623" w:rsidR="006070C7" w:rsidRPr="00883244" w:rsidRDefault="00122B25" w:rsidP="00122B25">
      <w:pPr>
        <w:pStyle w:val="Heading3"/>
      </w:pPr>
      <w:bookmarkStart w:id="51" w:name="_Toc40956488"/>
      <w:r w:rsidRPr="00883244">
        <w:t>Fats</w:t>
      </w:r>
      <w:bookmarkEnd w:id="51"/>
    </w:p>
    <w:p w14:paraId="7668922D" w14:textId="77777777" w:rsidR="001F53E5" w:rsidRDefault="001F53E5" w:rsidP="001F53E5">
      <w:pPr>
        <w:pStyle w:val="Heading4"/>
      </w:pPr>
      <w:r>
        <w:t>Gestational diabetes</w:t>
      </w:r>
    </w:p>
    <w:p w14:paraId="24BCB153" w14:textId="29AE846C" w:rsidR="001F53E5" w:rsidRPr="00F17A30" w:rsidRDefault="001F53E5" w:rsidP="001F53E5">
      <w:r>
        <w:t>A cohort study (</w:t>
      </w:r>
      <w:r w:rsidRPr="00F17A30">
        <w:rPr>
          <w:sz w:val="16"/>
          <w:szCs w:val="16"/>
        </w:rPr>
        <w:t>n=55</w:t>
      </w:r>
      <w:r>
        <w:t>)</w:t>
      </w:r>
      <w:r>
        <w:fldChar w:fldCharType="begin"/>
      </w:r>
      <w:r w:rsidR="002747EA">
        <w:instrText xml:space="preserve"> ADDIN EN.CITE &lt;EndNote&gt;&lt;Cite&gt;&lt;Author&gt;Mizgier&lt;/Author&gt;&lt;Year&gt;2019&lt;/Year&gt;&lt;RecNum&gt;1466&lt;/RecNum&gt;&lt;DisplayText&gt;&lt;style face="superscript" font="Trebuchet MS" size="9"&gt;98&lt;/style&gt;&lt;/DisplayText&gt;&lt;record&gt;&lt;rec-number&gt;1466&lt;/rec-number&gt;&lt;foreign-keys&gt;&lt;key app="EN" db-id="exvasrfx2dtraoesasxp2szsxa2df502592x" timestamp="1574039617"&gt;1466&lt;/key&gt;&lt;key app="ENWeb" db-id=""&gt;0&lt;/key&gt;&lt;/foreign-keys&gt;&lt;ref-type name="Journal Article"&gt;17&lt;/ref-type&gt;&lt;contributors&gt;&lt;authors&gt;&lt;author&gt;Mizgier, M.,&lt;/author&gt;&lt;author&gt;Jarzabek-Bielecka, G.,&lt;/author&gt;&lt;author&gt;Mruczyk, K.,&lt;/author&gt;&lt;/authors&gt;&lt;/contributors&gt;&lt;titles&gt;&lt;title&gt;Maternal diet and gestational diabetes mellitus development&lt;/title&gt;&lt;secondary-title&gt;J Maternal-Fetal Neonat Med&lt;/secondary-title&gt;&lt;/titles&gt;&lt;periodical&gt;&lt;full-title&gt;J Maternal-Fetal Neonat Med&lt;/full-title&gt;&lt;/periodical&gt;&lt;pages&gt;1-10&lt;/pages&gt;&lt;section&gt;1&lt;/section&gt;&lt;dates&gt;&lt;year&gt;2019&lt;/year&gt;&lt;/dates&gt;&lt;isbn&gt;1476-7058&amp;#xD;1476-4954&lt;/isbn&gt;&lt;urls&gt;&lt;/urls&gt;&lt;electronic-resource-num&gt;10.1080/14767058.2019.1598364&lt;/electronic-resource-num&gt;&lt;/record&gt;&lt;/Cite&gt;&lt;/EndNote&gt;</w:instrText>
      </w:r>
      <w:r>
        <w:fldChar w:fldCharType="separate"/>
      </w:r>
      <w:r w:rsidR="002747EA" w:rsidRPr="002747EA">
        <w:rPr>
          <w:noProof/>
          <w:vertAlign w:val="superscript"/>
        </w:rPr>
        <w:t>98</w:t>
      </w:r>
      <w:r>
        <w:fldChar w:fldCharType="end"/>
      </w:r>
      <w:r>
        <w:t xml:space="preserve"> found that women with uncomplicated pregnancies had lower daily fat intake (32.1%) than women who developed gestational diabetes (36.2%) </w:t>
      </w:r>
      <w:r w:rsidRPr="00F17A30">
        <w:t>(</w:t>
      </w:r>
      <w:r w:rsidRPr="00F17A30">
        <w:rPr>
          <w:sz w:val="16"/>
          <w:szCs w:val="16"/>
        </w:rPr>
        <w:t>p=</w:t>
      </w:r>
      <w:r>
        <w:rPr>
          <w:sz w:val="16"/>
          <w:szCs w:val="16"/>
        </w:rPr>
        <w:t>0</w:t>
      </w:r>
      <w:r w:rsidRPr="00F17A30">
        <w:rPr>
          <w:sz w:val="16"/>
          <w:szCs w:val="16"/>
        </w:rPr>
        <w:t>.0251</w:t>
      </w:r>
      <w:r w:rsidRPr="00F17A30">
        <w:t>).</w:t>
      </w:r>
    </w:p>
    <w:p w14:paraId="4D9A7045" w14:textId="6769AD0C" w:rsidR="00F92CA3" w:rsidRDefault="00F92CA3" w:rsidP="00E366B1">
      <w:pPr>
        <w:pStyle w:val="Heading4"/>
      </w:pPr>
      <w:r>
        <w:t xml:space="preserve">Fetal </w:t>
      </w:r>
      <w:r w:rsidR="00541F56">
        <w:t xml:space="preserve">and childhood </w:t>
      </w:r>
      <w:r>
        <w:t>growth</w:t>
      </w:r>
    </w:p>
    <w:p w14:paraId="668897A2" w14:textId="0757D06D" w:rsidR="00F92CA3" w:rsidRDefault="00F92CA3" w:rsidP="00F92CA3">
      <w:r>
        <w:t>A cohort study (</w:t>
      </w:r>
      <w:r w:rsidRPr="0098728D">
        <w:rPr>
          <w:sz w:val="16"/>
          <w:szCs w:val="16"/>
        </w:rPr>
        <w:t>n=1,</w:t>
      </w:r>
      <w:r w:rsidRPr="0013058F">
        <w:rPr>
          <w:sz w:val="16"/>
          <w:szCs w:val="16"/>
        </w:rPr>
        <w:t>196</w:t>
      </w:r>
      <w:r w:rsidRPr="0013058F">
        <w:t>)</w:t>
      </w:r>
      <w:r w:rsidR="00774750">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 </w:instrText>
      </w:r>
      <w:r w:rsidR="002747EA">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93</w:t>
      </w:r>
      <w:r w:rsidR="00774750">
        <w:fldChar w:fldCharType="end"/>
      </w:r>
      <w:r w:rsidRPr="0013058F">
        <w:t xml:space="preserve"> found t</w:t>
      </w:r>
      <w:r>
        <w:t>hat a</w:t>
      </w:r>
      <w:r w:rsidRPr="00520621">
        <w:t>n additional 10 g/d</w:t>
      </w:r>
      <w:r>
        <w:t>ay</w:t>
      </w:r>
      <w:r w:rsidRPr="00520621">
        <w:t xml:space="preserve"> fat intake was associated with a lower birth weight</w:t>
      </w:r>
      <w:r>
        <w:t xml:space="preserve"> (</w:t>
      </w:r>
      <w:r w:rsidRPr="00AD3F1B">
        <w:rPr>
          <w:sz w:val="16"/>
          <w:szCs w:val="16"/>
        </w:rPr>
        <w:t>MD -</w:t>
      </w:r>
      <w:r w:rsidR="00AD3F1B" w:rsidRPr="00AD3F1B">
        <w:rPr>
          <w:sz w:val="16"/>
          <w:szCs w:val="16"/>
        </w:rPr>
        <w:t xml:space="preserve">8 g; </w:t>
      </w:r>
      <w:r w:rsidRPr="00AD3F1B">
        <w:rPr>
          <w:sz w:val="16"/>
          <w:szCs w:val="16"/>
        </w:rPr>
        <w:t xml:space="preserve">95%CI </w:t>
      </w:r>
      <w:r w:rsidR="00AD3F1B" w:rsidRPr="00AD3F1B">
        <w:rPr>
          <w:sz w:val="16"/>
          <w:szCs w:val="16"/>
        </w:rPr>
        <w:t>-</w:t>
      </w:r>
      <w:r w:rsidRPr="00AD3F1B">
        <w:rPr>
          <w:sz w:val="16"/>
          <w:szCs w:val="16"/>
        </w:rPr>
        <w:t>16</w:t>
      </w:r>
      <w:r w:rsidR="00AD3F1B" w:rsidRPr="00AD3F1B">
        <w:rPr>
          <w:sz w:val="16"/>
          <w:szCs w:val="16"/>
        </w:rPr>
        <w:t xml:space="preserve"> to -0.3</w:t>
      </w:r>
      <w:r w:rsidRPr="00AD3F1B">
        <w:rPr>
          <w:sz w:val="16"/>
          <w:szCs w:val="16"/>
        </w:rPr>
        <w:t>; P=0.04</w:t>
      </w:r>
      <w:r w:rsidRPr="00520621">
        <w:t>).</w:t>
      </w:r>
    </w:p>
    <w:p w14:paraId="0F4D23C0" w14:textId="77777777" w:rsidR="00786654" w:rsidRDefault="00786654" w:rsidP="00122B25">
      <w:pPr>
        <w:pStyle w:val="Heading3"/>
      </w:pPr>
      <w:bookmarkStart w:id="52" w:name="_Toc40956489"/>
      <w:r>
        <w:t>Water</w:t>
      </w:r>
      <w:bookmarkEnd w:id="52"/>
    </w:p>
    <w:p w14:paraId="042DF0AD" w14:textId="12BE83D6" w:rsidR="00786654" w:rsidRPr="00786654" w:rsidRDefault="00D11616" w:rsidP="00786654">
      <w:r>
        <w:t>A cohort study (</w:t>
      </w:r>
      <w:r w:rsidRPr="00D11616">
        <w:rPr>
          <w:sz w:val="16"/>
          <w:szCs w:val="16"/>
        </w:rPr>
        <w:t>n=369</w:t>
      </w:r>
      <w:r>
        <w:t>)</w:t>
      </w:r>
      <w:r>
        <w:fldChar w:fldCharType="begin"/>
      </w:r>
      <w:r w:rsidR="002747EA">
        <w:instrText xml:space="preserve"> ADDIN EN.CITE &lt;EndNote&gt;&lt;Cite&gt;&lt;Author&gt;Watson&lt;/Author&gt;&lt;Year&gt;2014&lt;/Year&gt;&lt;RecNum&gt;1492&lt;/RecNum&gt;&lt;DisplayText&gt;&lt;style face="superscript" font="Trebuchet MS" size="9"&gt;99&lt;/style&gt;&lt;/DisplayText&gt;&lt;record&gt;&lt;rec-number&gt;1492&lt;/rec-number&gt;&lt;foreign-keys&gt;&lt;key app="EN" db-id="exvasrfx2dtraoesasxp2szsxa2df502592x" timestamp="1574209228"&gt;1492&lt;/key&gt;&lt;/foreign-keys&gt;&lt;ref-type name="Journal Article"&gt;17&lt;/ref-type&gt;&lt;contributors&gt;&lt;authors&gt;&lt;author&gt;Watson, P. E.&lt;/author&gt;&lt;author&gt;McDonald, B. W.&lt;/author&gt;&lt;/authors&gt;&lt;/contributors&gt;&lt;auth-address&gt;Institute of Natural and Mathematical Sciences, Massey University, Private Bag 102-904, North Shore Mail Centre 1311, Auckland, New Zealand. B.McDonald@massey.ac.nz.&lt;/auth-address&gt;&lt;titles&gt;&lt;title&gt;Water and nutrient intake in pregnant New Zealand women: association with wheeze in their infants at 18 months&lt;/title&gt;&lt;secondary-title&gt;Asia Pac J Clin Nutr&lt;/secondary-title&gt;&lt;/titles&gt;&lt;periodical&gt;&lt;full-title&gt;Asia Pac J Clin Nutr&lt;/full-title&gt;&lt;/periodical&gt;&lt;pages&gt;660-70&lt;/pages&gt;&lt;volume&gt;23&lt;/volume&gt;&lt;number&gt;4&lt;/number&gt;&lt;edition&gt;2014/12/18&lt;/edition&gt;&lt;keywords&gt;&lt;keyword&gt;*Diet&lt;/keyword&gt;&lt;keyword&gt;Dietary Carbohydrates/administration &amp;amp; dosage&lt;/keyword&gt;&lt;keyword&gt;*Drinking&lt;/keyword&gt;&lt;keyword&gt;Energy Intake&lt;/keyword&gt;&lt;keyword&gt;Europe/ethnology&lt;/keyword&gt;&lt;keyword&gt;Female&lt;/keyword&gt;&lt;keyword&gt;Glucose/administration &amp;amp; dosage&lt;/keyword&gt;&lt;keyword&gt;Humans&lt;/keyword&gt;&lt;keyword&gt;Infant&lt;/keyword&gt;&lt;keyword&gt;Manganese/*administration &amp;amp; dosage&lt;/keyword&gt;&lt;keyword&gt;New Zealand&lt;/keyword&gt;&lt;keyword&gt;Polynesia/ethnology&lt;/keyword&gt;&lt;keyword&gt;Pregnancy&lt;/keyword&gt;&lt;keyword&gt;Prenatal Exposure Delayed Effects&lt;/keyword&gt;&lt;keyword&gt;Prospective Studies&lt;/keyword&gt;&lt;keyword&gt;Respiratory Sounds/*etiology&lt;/keyword&gt;&lt;/keywords&gt;&lt;dates&gt;&lt;year&gt;2014&lt;/year&gt;&lt;/dates&gt;&lt;isbn&gt;0964-7058 (Print)&amp;#xD;0964-7058 (Linking)&lt;/isbn&gt;&lt;accession-num&gt;25516325&lt;/accession-num&gt;&lt;urls&gt;&lt;related-urls&gt;&lt;url&gt;https://www.ncbi.nlm.nih.gov/pubmed/25516325&lt;/url&gt;&lt;/related-urls&gt;&lt;/urls&gt;&lt;electronic-resource-num&gt;10.6133/apjcn.2014.23.4.13&lt;/electronic-resource-num&gt;&lt;/record&gt;&lt;/Cite&gt;&lt;/EndNote&gt;</w:instrText>
      </w:r>
      <w:r>
        <w:fldChar w:fldCharType="separate"/>
      </w:r>
      <w:r w:rsidR="002747EA" w:rsidRPr="002747EA">
        <w:rPr>
          <w:noProof/>
          <w:vertAlign w:val="superscript"/>
        </w:rPr>
        <w:t>99</w:t>
      </w:r>
      <w:r>
        <w:fldChar w:fldCharType="end"/>
      </w:r>
      <w:r>
        <w:t xml:space="preserve"> found that </w:t>
      </w:r>
      <w:r w:rsidRPr="00B93CB6">
        <w:t xml:space="preserve">higher maternal intakes of dietary water </w:t>
      </w:r>
      <w:r>
        <w:t xml:space="preserve">was </w:t>
      </w:r>
      <w:r w:rsidRPr="00B93CB6">
        <w:t xml:space="preserve">associated with decreased </w:t>
      </w:r>
      <w:r w:rsidR="001F53E5">
        <w:t xml:space="preserve">risk of </w:t>
      </w:r>
      <w:r w:rsidRPr="00B93CB6">
        <w:t>wheeze</w:t>
      </w:r>
      <w:r w:rsidR="001F53E5">
        <w:t xml:space="preserve"> in the infant</w:t>
      </w:r>
      <w:r w:rsidRPr="00B93CB6">
        <w:t xml:space="preserve"> (</w:t>
      </w:r>
      <w:r w:rsidRPr="00D11616">
        <w:rPr>
          <w:sz w:val="16"/>
          <w:szCs w:val="16"/>
        </w:rPr>
        <w:t>aOR 0.22; 95%CI 0.07 to 0.68; p=0.009</w:t>
      </w:r>
      <w:r>
        <w:t>).</w:t>
      </w:r>
    </w:p>
    <w:p w14:paraId="44DE7569" w14:textId="1D6140CA" w:rsidR="00122B25" w:rsidRDefault="003B7F99" w:rsidP="00122B25">
      <w:pPr>
        <w:pStyle w:val="Heading3"/>
      </w:pPr>
      <w:bookmarkStart w:id="53" w:name="_Toc40956490"/>
      <w:r>
        <w:t>Sweetened foods and beverages</w:t>
      </w:r>
      <w:bookmarkEnd w:id="53"/>
    </w:p>
    <w:p w14:paraId="0C2FA2A5" w14:textId="07B0D89D" w:rsidR="00E366B1" w:rsidRDefault="00E366B1" w:rsidP="00E366B1">
      <w:pPr>
        <w:pStyle w:val="Heading4"/>
      </w:pPr>
      <w:r>
        <w:t>Gestational weight gain</w:t>
      </w:r>
    </w:p>
    <w:p w14:paraId="2B18040D" w14:textId="19F66061" w:rsidR="00743D03" w:rsidRPr="00743D03" w:rsidRDefault="00743D03" w:rsidP="00743D03">
      <w:r>
        <w:t>An RCT (</w:t>
      </w:r>
      <w:r w:rsidRPr="004F5FB3">
        <w:rPr>
          <w:sz w:val="16"/>
          <w:szCs w:val="16"/>
        </w:rPr>
        <w:t>n=342</w:t>
      </w:r>
      <w:r>
        <w:t>)</w:t>
      </w:r>
      <w:r>
        <w:fldChar w:fldCharType="begin"/>
      </w:r>
      <w:r w:rsidR="002747EA">
        <w:instrText xml:space="preserve"> ADDIN EN.CITE &lt;EndNote&gt;&lt;Cite&gt;&lt;Author&gt;Renault&lt;/Author&gt;&lt;Year&gt;2015&lt;/Year&gt;&lt;RecNum&gt;1414&lt;/RecNum&gt;&lt;DisplayText&gt;&lt;style face="superscript" font="Trebuchet MS" size="9"&gt;100&lt;/style&gt;&lt;/DisplayText&gt;&lt;record&gt;&lt;rec-number&gt;1414&lt;/rec-number&gt;&lt;foreign-keys&gt;&lt;key app="EN" db-id="exvasrfx2dtraoesasxp2szsxa2df502592x" timestamp="1567995300"&gt;1414&lt;/key&gt;&lt;key app="ENWeb" db-id=""&gt;0&lt;/key&gt;&lt;/foreign-keys&gt;&lt;ref-type name="Journal Article"&gt;17&lt;/ref-type&gt;&lt;contributors&gt;&lt;authors&gt;&lt;author&gt;Renault, K.M.,&lt;/author&gt;&lt;author&gt;Carlsen, E.M.,&lt;/author&gt;&lt;author&gt;Nørgaard, K.,&lt;/author&gt;&lt;author&gt;Nilas, L.,&lt;/author&gt;&lt;author&gt;Pryds, O.,&lt;/author&gt;&lt;author&gt;Secher, N.J.,&lt;/author&gt;&lt;author&gt;Olsen, S.F.,&lt;/author&gt;&lt;author&gt;Halldorsson, T.I.,&lt;/author&gt;&lt;/authors&gt;&lt;/contributors&gt;&lt;titles&gt;&lt;title&gt;Intake of sweets, snacks and soft drinks predicts weight gain in obese pregnant women: detailed analysis of the results of a randomised controlled trial&lt;/title&gt;&lt;secondary-title&gt;Plos One&lt;/secondary-title&gt;&lt;/titles&gt;&lt;periodical&gt;&lt;full-title&gt;PLoS One&lt;/full-title&gt;&lt;/periodical&gt;&lt;volume&gt;10&lt;/volume&gt;&lt;number&gt;7&lt;/number&gt;&lt;section&gt;e0133041&lt;/section&gt;&lt;dates&gt;&lt;year&gt;2015&lt;/year&gt;&lt;/dates&gt;&lt;isbn&gt;1932-6203&lt;/isbn&gt;&lt;urls&gt;&lt;/urls&gt;&lt;electronic-resource-num&gt;10.1371/journal.pone.0133041&lt;/electronic-resource-num&gt;&lt;/record&gt;&lt;/Cite&gt;&lt;/EndNote&gt;</w:instrText>
      </w:r>
      <w:r>
        <w:fldChar w:fldCharType="separate"/>
      </w:r>
      <w:r w:rsidR="002747EA" w:rsidRPr="002747EA">
        <w:rPr>
          <w:noProof/>
          <w:vertAlign w:val="superscript"/>
        </w:rPr>
        <w:t>100</w:t>
      </w:r>
      <w:r>
        <w:fldChar w:fldCharType="end"/>
      </w:r>
      <w:r>
        <w:t xml:space="preserve"> found that, compared with women who consumed f</w:t>
      </w:r>
      <w:r w:rsidRPr="00EC6E65">
        <w:t>oods that contributed to intake of added sugars</w:t>
      </w:r>
      <w:r>
        <w:t xml:space="preserve"> (eg</w:t>
      </w:r>
      <w:r w:rsidRPr="00EC6E65">
        <w:t xml:space="preserve"> sweets,</w:t>
      </w:r>
      <w:r>
        <w:t xml:space="preserve"> snacks, cakes</w:t>
      </w:r>
      <w:r w:rsidRPr="00EC6E65">
        <w:t xml:space="preserve"> and soft drinks</w:t>
      </w:r>
      <w:r>
        <w:t>)</w:t>
      </w:r>
      <w:r w:rsidRPr="00EC6E65">
        <w:t xml:space="preserve"> </w:t>
      </w:r>
      <w:r>
        <w:t>less than once a week</w:t>
      </w:r>
      <w:r w:rsidRPr="00EC6E65">
        <w:t>, women consuming</w:t>
      </w:r>
      <w:r>
        <w:t xml:space="preserve"> </w:t>
      </w:r>
      <w:r w:rsidR="001F53E5">
        <w:t>these foods</w:t>
      </w:r>
      <w:r w:rsidRPr="00EC6E65">
        <w:t xml:space="preserve"> </w:t>
      </w:r>
      <w:r>
        <w:t xml:space="preserve">twice a </w:t>
      </w:r>
      <w:r w:rsidRPr="00EC6E65">
        <w:t xml:space="preserve">day </w:t>
      </w:r>
      <w:r>
        <w:t>had higher gestational weight gain (</w:t>
      </w:r>
      <w:r w:rsidRPr="00743D03">
        <w:rPr>
          <w:sz w:val="16"/>
          <w:szCs w:val="16"/>
        </w:rPr>
        <w:t>MD 5.4 kg; 95% CI 2.1 to 8.7</w:t>
      </w:r>
      <w:r w:rsidRPr="00EC6E65">
        <w:t xml:space="preserve">). The results for soft drinks </w:t>
      </w:r>
      <w:r>
        <w:t xml:space="preserve">alone </w:t>
      </w:r>
      <w:r w:rsidRPr="00EC6E65">
        <w:t>were more conflicting, as women with high</w:t>
      </w:r>
      <w:r>
        <w:t xml:space="preserve"> </w:t>
      </w:r>
      <w:r w:rsidRPr="00EC6E65">
        <w:t>weight gain tended to favour artificially sweetened soft drinks.</w:t>
      </w:r>
    </w:p>
    <w:p w14:paraId="0C53A3CD" w14:textId="77777777" w:rsidR="00E366B1" w:rsidRDefault="00E366B1" w:rsidP="00E366B1">
      <w:pPr>
        <w:pStyle w:val="Heading4"/>
      </w:pPr>
      <w:r>
        <w:t>Gestational diabetes</w:t>
      </w:r>
    </w:p>
    <w:p w14:paraId="1B1906C6" w14:textId="4D6288A8" w:rsidR="00A649A2" w:rsidRDefault="00A649A2" w:rsidP="00A649A2">
      <w:r>
        <w:t>A cohort study (</w:t>
      </w:r>
      <w:r w:rsidRPr="001F53E5">
        <w:rPr>
          <w:sz w:val="16"/>
          <w:szCs w:val="16"/>
        </w:rPr>
        <w:t>n=3,396</w:t>
      </w:r>
      <w:r w:rsidR="001F53E5">
        <w:t>)</w:t>
      </w:r>
      <w:r>
        <w:fldChar w:fldCharType="begin">
          <w:fldData xml:space="preserve">PEVuZE5vdGU+PENpdGU+PEF1dGhvcj5Eb25hemFyLUV6Y3VycmE8L0F1dGhvcj48WWVhcj4yMDE4
PC9ZZWFyPjxSZWNOdW0+MTM1NjwvUmVjTnVtPjxEaXNwbGF5VGV4dD48c3R5bGUgZmFjZT0ic3Vw
ZXJzY3JpcHQiIGZvbnQ9IlRyZWJ1Y2hldCBNUyIgc2l6ZT0iOSI+MTAxPC9zdHlsZT48L0Rpc3Bs
YXlUZXh0PjxyZWNvcmQ+PHJlYy1udW1iZXI+MTM1NjwvcmVjLW51bWJlcj48Zm9yZWlnbi1rZXlz
PjxrZXkgYXBwPSJFTiIgZGItaWQ9ImV4dmFzcmZ4MmR0cmFvZXNhc3hwMnN6c3hhMmRmNTAyNTky
eCIgdGltZXN0YW1wPSIxNTY3MDMxMDMyIj4xMzU2PC9rZXk+PGtleSBhcHA9IkVOV2ViIiBkYi1p
ZD0iIj4wPC9rZXk+PC9mb3JlaWduLWtleXM+PHJlZi10eXBlIG5hbWU9IkpvdXJuYWwgQXJ0aWNs
ZSI+MTc8L3JlZi10eXBlPjxjb250cmlidXRvcnM+PGF1dGhvcnM+PGF1dGhvcj5Eb25hemFyLUV6
Y3VycmEsIE0uPC9hdXRob3I+PGF1dGhvcj5Mb3Blei1EZWwgQnVyZ28sIEMuPC9hdXRob3I+PGF1
dGhvcj5NYXJ0aW5lei1Hb256YWxleiwgTS4gQS48L2F1dGhvcj48YXV0aG9yPkJhc3RlcnJhLUdv
cnRhcmksIEYuIEouPC9hdXRob3I+PGF1dGhvcj5kZSBJcmFsYSwgSi48L2F1dGhvcj48YXV0aG9y
PkJlcy1SYXN0cm9sbG8sIE0uPC9hdXRob3I+PC9hdXRob3JzPjwvY29udHJpYnV0b3JzPjxhdXRo
LWFkZHJlc3M+RGVwYXJ0bWVudCBvZiBQcmV2ZW50aXZlIE1lZGljaW5lIGFuZCBQdWJsaWMgSGVh
bHRoLCBVbml2ZXJzaXR5IG9mIE5hdmFycmEsIFBhbXBsb25hLCBTcGFpbi4mI3hEO0RlcGFydG1l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dXRlIChJRElTTkEpLCBQYW1wbG9uYSwgU3BhaW47IEluc3RpdHV0ZSBmb3IgQ3VsdHVyZSBhbmQg
U29jaWV0eSAoSUNTKSwgVW5pdmVyc2l0eSBvZiBOYXZhcnJhLCBTcGFpbi4mI3hEO0RlcGFydG1l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dXRlIChJRElTTkEpLCBQYW1wbG9uYSwgU3BhaW4uJiN4RDtEZXBhcnRtZW50IG9mIFByZXZlbnRp
dmUgTWVkaWNpbmUgYW5kIFB1YmxpYyBIZWFsdGgsIFVuaXZlcnNpdHkgb2YgTmF2YXJyYSwgUGFt
cGxvbmEsIFNwYWluOyBOYXZhcnJhJmFwb3M7cyBIZWFsdGggUmVzZWFyY2ggSW5zdGl0dXRlIChJ
RElTTkEpLCBQYW1wbG9uYSwgU3BhaW47IERlcGFydG1lbnQgb2YgSW50ZXJuYWwgTWVkaWNpbmUg
KEVuZG9jcmlub2xvZ3kpLCBIb3NwaXRhbCBSZWluYSBTb2ZpYSwgT3Nhc3VuYmlkZWEtSURJU05B
LCBUdWRlbGEsIFNwYWluLiYjeEQ7RGVwYXJ0bWVudCBvZiBQcmV2ZW50aXZlIE1lZGljaW5lIGFu
ZCBQdWJsaWMgSGVhbHRoLCBVbml2ZXJzaXR5IG9mIE5hdmFycmEsIFBhbXBsb25hLCBTcGFpbjsg
Q0lCRVIgRmlzaW9wYXRvbG9naWEgZGUgbGEgT2Jlc2lkYWQgeSBOdXRyaWNpb24gKENJQkVSb2Ju
KSwgSW5zdGl0dXRvIGRlIFNhbHVkIENhcmxvcyBJSUksIE1hZHJpZCwgU3BhaW47IE5hdmFycmEm
YXBvcztzIEhlYWx0aCBSZXNlYXJjaCBJbnN0aXR1dGUgKElESVNOQSksIFBhbXBsb25hLCBTcGFp
bi4gRWxlY3Ryb25pYyBhZGRyZXNzOiBtYmVzQHVuYXYuZXMuPC9hdXRoLWFkZHJlc3M+PHRpdGxl
cz48dGl0bGU+U29mdCBkcmluayBjb25zdW1wdGlvbiBhbmQgZ2VzdGF0aW9uYWwgZGlhYmV0ZXMg
cmlzayBpbiB0aGUgU1VOIHByb2plY3Q8L3RpdGxlPjxzZWNvbmRhcnktdGl0bGU+Q2xpbiBOdXRy
PC9zZWNvbmRhcnktdGl0bGU+PC90aXRsZXM+PHBlcmlvZGljYWw+PGZ1bGwtdGl0bGU+Q2xpbiBO
dXRyPC9mdWxsLXRpdGxlPjwvcGVyaW9kaWNhbD48cGFnZXM+NjM4LTY0NTwvcGFnZXM+PHZvbHVt
ZT4zNzwvdm9sdW1lPjxudW1iZXI+MjwvbnVtYmVyPjxlZGl0aW9uPjIwMTcvMDMvMDc8L2VkaXRp
b24+PGtleXdvcmRzPjxrZXl3b3JkPipDb2hvcnQ8L2tleXdvcmQ+PGtleXdvcmQ+KkRpZXQgc29m
dCBkcmlua3M8L2tleXdvcmQ+PGtleXdvcmQ+Kkdlc3RhdGlvbmFsIGRpYWJldGVzIG1lbGxpdHVz
IHJpc2s8L2tleXdvcmQ+PGtleXdvcmQ+KlByZS1wcmVnbmFuY3kgZGlldGFyeSBwYXR0ZXJuPC9r
ZXl3b3JkPjxrZXl3b3JkPipTdWdhci1zd2VldGVuZWQgc29mdCBkcmlua3M8L2tleXdvcmQ+PGtl
eXdvcmQ+Kldlc3Rlcm4tc3R5bGUgZGlldGFyeSBwYXR0ZXJuPC9rZXl3b3JkPjwva2V5d29yZHM+
PGRhdGVzPjx5ZWFyPjIwMTg8L3llYXI+PHB1Yi1kYXRlcz48ZGF0ZT5BcHI8L2RhdGU+PC9wdWIt
ZGF0ZXM+PC9kYXRlcz48aXNibj4xNTMyLTE5ODMgKEVsZWN0cm9uaWMpJiN4RDswMjYxLTU2MTQg
KExpbmtpbmcpPC9pc2JuPjxhY2Nlc3Npb24tbnVtPjI4MjYyMzIzPC9hY2Nlc3Npb24tbnVtPjx1
cmxzPjxyZWxhdGVkLXVybHM+PHVybD5odHRwczovL3d3dy5uY2JpLm5sbS5uaWguZ292L3B1Ym1l
ZC8yODI2MjMyMzwvdXJsPjwvcmVsYXRlZC11cmxzPjwvdXJscz48ZWxlY3Ryb25pYy1yZXNvdXJj
ZS1udW0+MTAuMTAxNi9qLmNsbnUuMjAxNy4wMi4wMDU8L2VsZWN0cm9uaWMtcmVzb3VyY2UtbnVt
PjwvcmVjb3JkPjwvQ2l0ZT48L0VuZE5vdGU+
</w:fldData>
        </w:fldChar>
      </w:r>
      <w:r w:rsidR="002747EA">
        <w:instrText xml:space="preserve"> ADDIN EN.CITE </w:instrText>
      </w:r>
      <w:r w:rsidR="002747EA">
        <w:fldChar w:fldCharType="begin">
          <w:fldData xml:space="preserve">PEVuZE5vdGU+PENpdGU+PEF1dGhvcj5Eb25hemFyLUV6Y3VycmE8L0F1dGhvcj48WWVhcj4yMDE4
PC9ZZWFyPjxSZWNOdW0+MTM1NjwvUmVjTnVtPjxEaXNwbGF5VGV4dD48c3R5bGUgZmFjZT0ic3Vw
ZXJzY3JpcHQiIGZvbnQ9IlRyZWJ1Y2hldCBNUyIgc2l6ZT0iOSI+MTAxPC9zdHlsZT48L0Rpc3Bs
YXlUZXh0PjxyZWNvcmQ+PHJlYy1udW1iZXI+MTM1NjwvcmVjLW51bWJlcj48Zm9yZWlnbi1rZXlz
PjxrZXkgYXBwPSJFTiIgZGItaWQ9ImV4dmFzcmZ4MmR0cmFvZXNhc3hwMnN6c3hhMmRmNTAyNTky
eCIgdGltZXN0YW1wPSIxNTY3MDMxMDMyIj4xMzU2PC9rZXk+PGtleSBhcHA9IkVOV2ViIiBkYi1p
ZD0iIj4wPC9rZXk+PC9mb3JlaWduLWtleXM+PHJlZi10eXBlIG5hbWU9IkpvdXJuYWwgQXJ0aWNs
ZSI+MTc8L3JlZi10eXBlPjxjb250cmlidXRvcnM+PGF1dGhvcnM+PGF1dGhvcj5Eb25hemFyLUV6
Y3VycmEsIE0uPC9hdXRob3I+PGF1dGhvcj5Mb3Blei1EZWwgQnVyZ28sIEMuPC9hdXRob3I+PGF1
dGhvcj5NYXJ0aW5lei1Hb256YWxleiwgTS4gQS48L2F1dGhvcj48YXV0aG9yPkJhc3RlcnJhLUdv
cnRhcmksIEYuIEouPC9hdXRob3I+PGF1dGhvcj5kZSBJcmFsYSwgSi48L2F1dGhvcj48YXV0aG9y
PkJlcy1SYXN0cm9sbG8sIE0uPC9hdXRob3I+PC9hdXRob3JzPjwvY29udHJpYnV0b3JzPjxhdXRo
LWFkZHJlc3M+RGVwYXJ0bWVudCBvZiBQcmV2ZW50aXZlIE1lZGljaW5lIGFuZCBQdWJsaWMgSGVh
bHRoLCBVbml2ZXJzaXR5IG9mIE5hdmFycmEsIFBhbXBsb25hLCBTcGFpbi4mI3hEO0RlcGFydG1l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dXRlIChJRElTTkEpLCBQYW1wbG9uYSwgU3BhaW47IEluc3RpdHV0ZSBmb3IgQ3VsdHVyZSBhbmQg
U29jaWV0eSAoSUNTKSwgVW5pdmVyc2l0eSBvZiBOYXZhcnJhLCBTcGFpbi4mI3hEO0RlcGFydG1l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dXRlIChJRElTTkEpLCBQYW1wbG9uYSwgU3BhaW4uJiN4RDtEZXBhcnRtZW50IG9mIFByZXZlbnRp
dmUgTWVkaWNpbmUgYW5kIFB1YmxpYyBIZWFsdGgsIFVuaXZlcnNpdHkgb2YgTmF2YXJyYSwgUGFt
cGxvbmEsIFNwYWluOyBOYXZhcnJhJmFwb3M7cyBIZWFsdGggUmVzZWFyY2ggSW5zdGl0dXRlIChJ
RElTTkEpLCBQYW1wbG9uYSwgU3BhaW47IERlcGFydG1lbnQgb2YgSW50ZXJuYWwgTWVkaWNpbmUg
KEVuZG9jcmlub2xvZ3kpLCBIb3NwaXRhbCBSZWluYSBTb2ZpYSwgT3Nhc3VuYmlkZWEtSURJU05B
LCBUdWRlbGEsIFNwYWluLiYjeEQ7RGVwYXJ0bWVudCBvZiBQcmV2ZW50aXZlIE1lZGljaW5lIGFu
ZCBQdWJsaWMgSGVhbHRoLCBVbml2ZXJzaXR5IG9mIE5hdmFycmEsIFBhbXBsb25hLCBTcGFpbjsg
Q0lCRVIgRmlzaW9wYXRvbG9naWEgZGUgbGEgT2Jlc2lkYWQgeSBOdXRyaWNpb24gKENJQkVSb2Ju
KSwgSW5zdGl0dXRvIGRlIFNhbHVkIENhcmxvcyBJSUksIE1hZHJpZCwgU3BhaW47IE5hdmFycmEm
YXBvcztzIEhlYWx0aCBSZXNlYXJjaCBJbnN0aXR1dGUgKElESVNOQSksIFBhbXBsb25hLCBTcGFp
bi4gRWxlY3Ryb25pYyBhZGRyZXNzOiBtYmVzQHVuYXYuZXMuPC9hdXRoLWFkZHJlc3M+PHRpdGxl
cz48dGl0bGU+U29mdCBkcmluayBjb25zdW1wdGlvbiBhbmQgZ2VzdGF0aW9uYWwgZGlhYmV0ZXMg
cmlzayBpbiB0aGUgU1VOIHByb2plY3Q8L3RpdGxlPjxzZWNvbmRhcnktdGl0bGU+Q2xpbiBOdXRy
PC9zZWNvbmRhcnktdGl0bGU+PC90aXRsZXM+PHBlcmlvZGljYWw+PGZ1bGwtdGl0bGU+Q2xpbiBO
dXRyPC9mdWxsLXRpdGxlPjwvcGVyaW9kaWNhbD48cGFnZXM+NjM4LTY0NTwvcGFnZXM+PHZvbHVt
ZT4zNzwvdm9sdW1lPjxudW1iZXI+MjwvbnVtYmVyPjxlZGl0aW9uPjIwMTcvMDMvMDc8L2VkaXRp
b24+PGtleXdvcmRzPjxrZXl3b3JkPipDb2hvcnQ8L2tleXdvcmQ+PGtleXdvcmQ+KkRpZXQgc29m
dCBkcmlua3M8L2tleXdvcmQ+PGtleXdvcmQ+Kkdlc3RhdGlvbmFsIGRpYWJldGVzIG1lbGxpdHVz
IHJpc2s8L2tleXdvcmQ+PGtleXdvcmQ+KlByZS1wcmVnbmFuY3kgZGlldGFyeSBwYXR0ZXJuPC9r
ZXl3b3JkPjxrZXl3b3JkPipTdWdhci1zd2VldGVuZWQgc29mdCBkcmlua3M8L2tleXdvcmQ+PGtl
eXdvcmQ+Kldlc3Rlcm4tc3R5bGUgZGlldGFyeSBwYXR0ZXJuPC9rZXl3b3JkPjwva2V5d29yZHM+
PGRhdGVzPjx5ZWFyPjIwMTg8L3llYXI+PHB1Yi1kYXRlcz48ZGF0ZT5BcHI8L2RhdGU+PC9wdWIt
ZGF0ZXM+PC9kYXRlcz48aXNibj4xNTMyLTE5ODMgKEVsZWN0cm9uaWMpJiN4RDswMjYxLTU2MTQg
KExpbmtpbmcpPC9pc2JuPjxhY2Nlc3Npb24tbnVtPjI4MjYyMzIzPC9hY2Nlc3Npb24tbnVtPjx1
cmxzPjxyZWxhdGVkLXVybHM+PHVybD5odHRwczovL3d3dy5uY2JpLm5sbS5uaWguZ292L3B1Ym1l
ZC8yODI2MjMyMzwvdXJsPjwvcmVsYXRlZC11cmxzPjwvdXJscz48ZWxlY3Ryb25pYy1yZXNvdXJj
ZS1udW0+MTAuMTAxNi9qLmNsbnUuMjAxNy4wMi4wMDU8L2VsZWN0cm9uaWMtcmVzb3VyY2UtbnVt
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101</w:t>
      </w:r>
      <w:r>
        <w:fldChar w:fldCharType="end"/>
      </w:r>
      <w:r w:rsidR="006B15B5">
        <w:t xml:space="preserve"> found an association between consumption of sugar-sweetened beverages and </w:t>
      </w:r>
      <w:r w:rsidR="006B15B5" w:rsidRPr="00B43CAE">
        <w:t>increased risk of inciden</w:t>
      </w:r>
      <w:r w:rsidR="006104FA">
        <w:t>ce</w:t>
      </w:r>
      <w:r w:rsidR="006B15B5" w:rsidRPr="00B43CAE">
        <w:t xml:space="preserve"> </w:t>
      </w:r>
      <w:r w:rsidR="006B15B5">
        <w:t>gestational diabetes</w:t>
      </w:r>
      <w:r w:rsidR="006B15B5" w:rsidRPr="00B43CAE">
        <w:t xml:space="preserve">, </w:t>
      </w:r>
      <w:r w:rsidR="006B15B5">
        <w:t>for the highest</w:t>
      </w:r>
      <w:r w:rsidR="006B15B5" w:rsidRPr="00B43CAE">
        <w:t xml:space="preserve"> (</w:t>
      </w:r>
      <w:r w:rsidR="006B15B5" w:rsidRPr="006B15B5">
        <w:rPr>
          <w:sz w:val="16"/>
          <w:szCs w:val="16"/>
        </w:rPr>
        <w:t>aOR 2.03; 95%CI 1.25 to 3.31</w:t>
      </w:r>
      <w:r w:rsidR="006B15B5" w:rsidRPr="00B43CAE">
        <w:t xml:space="preserve">) and </w:t>
      </w:r>
      <w:r w:rsidR="006B15B5">
        <w:t>intermediate categories (</w:t>
      </w:r>
      <w:r w:rsidR="006B15B5" w:rsidRPr="006B15B5">
        <w:rPr>
          <w:sz w:val="16"/>
          <w:szCs w:val="16"/>
        </w:rPr>
        <w:t>aOR 1.67; 95%CI 1.01 to 2.77</w:t>
      </w:r>
      <w:r w:rsidR="006B15B5" w:rsidRPr="00B43CAE">
        <w:t>) versus the lowest category (</w:t>
      </w:r>
      <w:r w:rsidR="006B15B5" w:rsidRPr="006B15B5">
        <w:rPr>
          <w:sz w:val="16"/>
          <w:szCs w:val="16"/>
        </w:rPr>
        <w:t>p for linear trend: 0.006</w:t>
      </w:r>
      <w:r w:rsidR="006B15B5" w:rsidRPr="00B43CAE">
        <w:t>)</w:t>
      </w:r>
      <w:r w:rsidR="006B15B5">
        <w:t xml:space="preserve">. </w:t>
      </w:r>
      <w:r w:rsidR="00743D03">
        <w:t>C</w:t>
      </w:r>
      <w:r w:rsidR="00743D03" w:rsidRPr="00B43CAE">
        <w:t xml:space="preserve">onsumption </w:t>
      </w:r>
      <w:r w:rsidR="00743D03">
        <w:t xml:space="preserve">of diet soft drinks </w:t>
      </w:r>
      <w:r w:rsidR="00743D03" w:rsidRPr="00B43CAE">
        <w:t xml:space="preserve">was not associated with </w:t>
      </w:r>
      <w:r w:rsidR="00743D03">
        <w:t>gestational diabetes</w:t>
      </w:r>
      <w:r w:rsidR="00743D03" w:rsidRPr="00B43CAE">
        <w:t xml:space="preserve"> incidence (</w:t>
      </w:r>
      <w:r w:rsidR="00743D03" w:rsidRPr="00743D03">
        <w:rPr>
          <w:sz w:val="16"/>
          <w:szCs w:val="16"/>
        </w:rPr>
        <w:t>aOR 0.82; 95%CI 0.52 to 1.31</w:t>
      </w:r>
      <w:r w:rsidR="00743D03" w:rsidRPr="00B43CAE">
        <w:t>) for the highest versus the lowest category (</w:t>
      </w:r>
      <w:r w:rsidR="00743D03" w:rsidRPr="00743D03">
        <w:rPr>
          <w:sz w:val="16"/>
          <w:szCs w:val="16"/>
        </w:rPr>
        <w:t>p for linear trend: 0.258</w:t>
      </w:r>
      <w:r w:rsidR="00743D03" w:rsidRPr="00B43CAE">
        <w:t>).</w:t>
      </w:r>
    </w:p>
    <w:p w14:paraId="33D78B78" w14:textId="3A6061AB" w:rsidR="00F15874" w:rsidRPr="00A649A2" w:rsidRDefault="00F15874" w:rsidP="00A649A2">
      <w:r w:rsidRPr="000D1C1E">
        <w:t>A cohort study (</w:t>
      </w:r>
      <w:r w:rsidRPr="000D1C1E">
        <w:rPr>
          <w:sz w:val="16"/>
          <w:szCs w:val="16"/>
        </w:rPr>
        <w:t>n=180</w:t>
      </w:r>
      <w:r w:rsidRPr="000D1C1E">
        <w:t>)</w:t>
      </w:r>
      <w:r w:rsidR="00774750">
        <w:fldChar w:fldCharType="begin"/>
      </w:r>
      <w:r w:rsidR="002747EA">
        <w:instrText xml:space="preserve"> ADDIN EN.CITE &lt;EndNote&gt;&lt;Cite&gt;&lt;Author&gt;Soto&lt;/Author&gt;&lt;Year&gt;2015&lt;/Year&gt;&lt;RecNum&gt;1753&lt;/RecNum&gt;&lt;DisplayText&gt;&lt;style face="superscript" font="Trebuchet MS" size="9"&gt;64&lt;/style&gt;&lt;/DisplayText&gt;&lt;record&gt;&lt;rec-number&gt;1753&lt;/rec-number&gt;&lt;foreign-keys&gt;&lt;key app="EN" db-id="exvasrfx2dtraoesasxp2szsxa2df502592x" timestamp="1582757924"&gt;1753&lt;/key&gt;&lt;/foreign-keys&gt;&lt;ref-type name="Journal Article"&gt;17&lt;/ref-type&gt;&lt;contributors&gt;&lt;authors&gt;&lt;author&gt;Soto, R.&lt;/author&gt;&lt;author&gt;Guilloty, N.&lt;/author&gt;&lt;author&gt;Anzalota, L.&lt;/author&gt;&lt;author&gt;Rosario, Z.&lt;/author&gt;&lt;author&gt;Cordero, J. F.&lt;/author&gt;&lt;author&gt;Palacios, C.&lt;/author&gt;&lt;/authors&gt;&lt;/contributors&gt;&lt;titles&gt;&lt;title&gt;Association between maternal diet factors and hemoglobin levels, glucose tolerance, blood pressure and gestational age in a Hispanic population&lt;/title&gt;&lt;secondary-title&gt;Arch Latinoam Nutr&lt;/secondary-title&gt;&lt;/titles&gt;&lt;periodical&gt;&lt;full-title&gt;Arch Latinoam Nutr&lt;/full-title&gt;&lt;/periodical&gt;&lt;pages&gt;86-96&lt;/pages&gt;&lt;volume&gt;65&lt;/volume&gt;&lt;number&gt;2&lt;/number&gt;&lt;edition&gt;2016/01/29&lt;/edition&gt;&lt;keywords&gt;&lt;keyword&gt;Adolescent&lt;/keyword&gt;&lt;keyword&gt;Adult&lt;/keyword&gt;&lt;keyword&gt;Blood Glucose/*analysis&lt;/keyword&gt;&lt;keyword&gt;Blood Pressure/*physiology&lt;/keyword&gt;&lt;keyword&gt;Diabetes, Gestational/prevention &amp;amp; control&lt;/keyword&gt;&lt;keyword&gt;Dietary Supplements&lt;/keyword&gt;&lt;keyword&gt;Feeding Behavior/*physiology&lt;/keyword&gt;&lt;keyword&gt;Female&lt;/keyword&gt;&lt;keyword&gt;*Gestational Age&lt;/keyword&gt;&lt;keyword&gt;Glucose Tolerance Test&lt;/keyword&gt;&lt;keyword&gt;Hemoglobins/*analysis&lt;/keyword&gt;&lt;keyword&gt;Humans&lt;/keyword&gt;&lt;keyword&gt;Pregnancy&lt;/keyword&gt;&lt;keyword&gt;*Prenatal Nutritional Physiological Phenomena&lt;/keyword&gt;&lt;keyword&gt;Prospective Studies&lt;/keyword&gt;&lt;keyword&gt;Puerto Rico/ethnology&lt;/keyword&gt;&lt;keyword&gt;Surveys and Questionnaires&lt;/keyword&gt;&lt;keyword&gt;Young Adult&lt;/keyword&gt;&lt;/keywords&gt;&lt;dates&gt;&lt;year&gt;2015&lt;/year&gt;&lt;pub-dates&gt;&lt;date&gt;Jun&lt;/date&gt;&lt;/pub-dates&gt;&lt;/dates&gt;&lt;isbn&gt;0004-0622 (Print)&amp;#xD;0004-0622 (Linking)&lt;/isbn&gt;&lt;accession-num&gt;26817380&lt;/accession-num&gt;&lt;urls&gt;&lt;related-urls&gt;&lt;url&gt;https://www.ncbi.nlm.nih.gov/pubmed/26817380&lt;/url&gt;&lt;/related-urls&gt;&lt;/urls&gt;&lt;custom2&gt;PMC5324707&lt;/custom2&gt;&lt;/record&gt;&lt;/Cite&gt;&lt;/EndNote&gt;</w:instrText>
      </w:r>
      <w:r w:rsidR="00774750">
        <w:fldChar w:fldCharType="separate"/>
      </w:r>
      <w:r w:rsidR="002747EA" w:rsidRPr="002747EA">
        <w:rPr>
          <w:noProof/>
          <w:vertAlign w:val="superscript"/>
        </w:rPr>
        <w:t>64</w:t>
      </w:r>
      <w:r w:rsidR="00774750">
        <w:fldChar w:fldCharType="end"/>
      </w:r>
      <w:r w:rsidRPr="000D1C1E">
        <w:t xml:space="preserve"> found that high consumption of desserts and sweets was associated</w:t>
      </w:r>
      <w:r w:rsidRPr="000401F6">
        <w:t xml:space="preserve"> with higher fasting blood glucose levels (</w:t>
      </w:r>
      <w:r w:rsidR="0098728D">
        <w:rPr>
          <w:sz w:val="16"/>
          <w:szCs w:val="16"/>
        </w:rPr>
        <w:t>p&lt;</w:t>
      </w:r>
      <w:r w:rsidRPr="0098728D">
        <w:rPr>
          <w:sz w:val="16"/>
          <w:szCs w:val="16"/>
        </w:rPr>
        <w:t>0.05</w:t>
      </w:r>
      <w:r w:rsidRPr="000401F6">
        <w:t>)</w:t>
      </w:r>
      <w:r>
        <w:t>.</w:t>
      </w:r>
    </w:p>
    <w:p w14:paraId="4EFAD456" w14:textId="7FBF98FB" w:rsidR="00E366B1" w:rsidRDefault="00E366B1" w:rsidP="00E366B1">
      <w:pPr>
        <w:pStyle w:val="Heading4"/>
      </w:pPr>
      <w:r>
        <w:t>Depression</w:t>
      </w:r>
    </w:p>
    <w:p w14:paraId="1C8F1ED1" w14:textId="7CB2A2B7" w:rsidR="00743D03" w:rsidRPr="00743D03" w:rsidRDefault="00743D03" w:rsidP="00743D03">
      <w:r>
        <w:t>A cross-sectional study (</w:t>
      </w:r>
      <w:r w:rsidRPr="00743D03">
        <w:rPr>
          <w:sz w:val="16"/>
          <w:szCs w:val="16"/>
        </w:rPr>
        <w:t>n=712</w:t>
      </w:r>
      <w:r>
        <w:t>)</w:t>
      </w:r>
      <w:r>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 </w:instrText>
      </w:r>
      <w:r w:rsidR="002747EA">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69</w:t>
      </w:r>
      <w:r>
        <w:fldChar w:fldCharType="end"/>
      </w:r>
      <w:r>
        <w:t xml:space="preserve"> found </w:t>
      </w:r>
      <w:r w:rsidRPr="00A47A03">
        <w:t xml:space="preserve">a high prevalence of major depressive disorder among women with high </w:t>
      </w:r>
      <w:r w:rsidR="001F53E5">
        <w:t xml:space="preserve">intake of </w:t>
      </w:r>
      <w:r w:rsidRPr="00A47A03">
        <w:t>sw</w:t>
      </w:r>
      <w:r>
        <w:t>eets and sugars (</w:t>
      </w:r>
      <w:r w:rsidRPr="00743D03">
        <w:rPr>
          <w:sz w:val="16"/>
          <w:szCs w:val="16"/>
        </w:rPr>
        <w:t>aPR 1.91; 95%CI 1.19 to 3.07</w:t>
      </w:r>
      <w:r w:rsidRPr="00A47A03">
        <w:t>).</w:t>
      </w:r>
    </w:p>
    <w:p w14:paraId="18318908" w14:textId="3F62C8AE" w:rsidR="00E366B1" w:rsidRDefault="00E366B1" w:rsidP="00E366B1">
      <w:pPr>
        <w:pStyle w:val="Heading4"/>
      </w:pPr>
      <w:r>
        <w:t>Child growth</w:t>
      </w:r>
    </w:p>
    <w:p w14:paraId="793EB473" w14:textId="77777777" w:rsidR="000D1C1E" w:rsidRDefault="000D1C1E" w:rsidP="00743D03">
      <w:r>
        <w:t>Cohort studies have found that:</w:t>
      </w:r>
    </w:p>
    <w:p w14:paraId="44036B42" w14:textId="6943B93E" w:rsidR="00743D03" w:rsidRDefault="00743D03" w:rsidP="000D1C1E">
      <w:pPr>
        <w:pStyle w:val="bullet"/>
      </w:pPr>
      <w:r>
        <w:t>c</w:t>
      </w:r>
      <w:r w:rsidRPr="00BE7A73">
        <w:t>ompared with no consumption, daily consumption of artificially sweetened beverages was associated with a 0.20-unit increase in infant BMI z score (</w:t>
      </w:r>
      <w:r w:rsidRPr="00743D03">
        <w:rPr>
          <w:sz w:val="16"/>
          <w:szCs w:val="16"/>
        </w:rPr>
        <w:t>adjusted 95% CI, 0.02 to 0.38</w:t>
      </w:r>
      <w:r w:rsidRPr="00BE7A73">
        <w:t>) and a 2-fold higher risk of infant overweight at 1 year of age (</w:t>
      </w:r>
      <w:r w:rsidRPr="00743D03">
        <w:rPr>
          <w:sz w:val="16"/>
          <w:szCs w:val="16"/>
        </w:rPr>
        <w:t>aOR 2.19; 95%CI 1.23 to 3.88</w:t>
      </w:r>
      <w:r w:rsidR="000D1C1E">
        <w:t>) (</w:t>
      </w:r>
      <w:r w:rsidR="000D1C1E" w:rsidRPr="00743D03">
        <w:rPr>
          <w:sz w:val="16"/>
          <w:szCs w:val="16"/>
        </w:rPr>
        <w:t>n=2,686</w:t>
      </w:r>
      <w:r w:rsidR="000D1C1E">
        <w:t>)</w:t>
      </w:r>
      <w:r w:rsidR="000D1C1E">
        <w:fldChar w:fldCharType="begin">
          <w:fldData xml:space="preserve">PEVuZE5vdGU+PENpdGU+PEF1dGhvcj5BemFkPC9BdXRob3I+PFllYXI+MjAxNjwvWWVhcj48UmVj
TnVtPjEzNDE8L1JlY051bT48RGlzcGxheVRleHQ+PHN0eWxlIGZhY2U9InN1cGVyc2NyaXB0IiBm
b250PSJUcmVidWNoZXQgTVMiIHNpemU9IjkiPjEwMjwvc3R5bGU+PC9EaXNwbGF5VGV4dD48cmVj
b3JkPjxyZWMtbnVtYmVyPjEzNDE8L3JlYy1udW1iZXI+PGZvcmVpZ24ta2V5cz48a2V5IGFwcD0i
RU4iIGRiLWlkPSJleHZhc3JmeDJkdHJhb2VzYXN4cDJzenN4YTJkZjUwMjU5MngiIHRpbWVzdGFt
cD0iMTU2NzAzMDk2NCI+MTM0MTwva2V5PjxrZXkgYXBwPSJFTldlYiIgZGItaWQ9IiI+MDwva2V5
PjwvZm9yZWlnbi1rZXlzPjxyZWYtdHlwZSBuYW1lPSJKb3VybmFsIEFydGljbGUiPjE3PC9yZWYt
dHlwZT48Y29udHJpYnV0b3JzPjxhdXRob3JzPjxhdXRob3I+QXphZCwgTS4gQi48L2F1dGhvcj48
YXV0aG9yPlNoYXJtYSwgQS4gSy48L2F1dGhvcj48YXV0aG9yPmRlIFNvdXphLCBSLiBKLjwvYXV0
aG9yPjxhdXRob3I+RG9saW5za3ksIFYuIFcuPC9hdXRob3I+PGF1dGhvcj5CZWNrZXIsIEEuIEIu
PC9hdXRob3I+PGF1dGhvcj5NYW5kaGFuZSwgUC4gSi48L2F1dGhvcj48YXV0aG9yPlR1cnZleSwg
Uy4gRS48L2F1dGhvcj48YXV0aG9yPlN1YmJhcmFvLCBQLjwvYXV0aG9yPjxhdXRob3I+TGVmZWJ2
cmUsIEQuIEwuPC9hdXRob3I+PGF1dGhvcj5TZWFycywgTS4gUi48L2F1dGhvcj48YXV0aG9yPkNh
bmFkaWFuIEhlYWx0aHkgSW5mYW50IExvbmdpdHVkaW5hbCBEZXZlbG9wbWVudCBTdHVkeSwgSW52
ZXN0aWdhdG9yczwvYXV0aG9yPjwvYXV0aG9ycz48L2NvbnRyaWJ1dG9ycz48YXV0aC1hZGRyZXNz
PkRlcGFydG1lbnQgb2YgUGVkaWF0cmljcyBhbmQgQ2hpbGQgSGVhbHRoLCBVbml2ZXJzaXR5IG9m
IE1hbml0b2JhLCBXaW5uaXBlZywgTWFuaXRvYmEsIENhbmFkYTJDaGlsZHJlbiZhcG9zO3MgSG9z
cGl0YWwgUmVzZWFyY2ggSW5zdGl0dXRlIG9mIE1hbml0b2JhLCBXaW5uaXBlZywgTWFuaXRvYmEs
IENhbmFkYS4mI3hEO0RlcGFydG1lbnQgb2YgUGVkaWF0cmljcyBhbmQgQ2hpbGQgSGVhbHRoLCBV
bml2ZXJzaXR5IG9mIE1hbml0b2JhLCBXaW5uaXBlZywgTWFuaXRvYmEsIENhbmFkYTJDaGlsZHJl
biZhcG9zO3MgSG9zcGl0YWwgUmVzZWFyY2ggSW5zdGl0dXRlIG9mIE1hbml0b2JhLCBXaW5uaXBl
ZywgTWFuaXRvYmEsIENhbmFkYTNHZW9yZ2UgYW5kIEZheSBZZWUgQ2VudHJlIGZvciBIZWFsdGhj
YXJlIElubm92YXRpb24sIFVuaXZlcnNpdHkgb2YgTWFuaXRvYmEsIFdpbm5pLiYjeEQ7RGVwYXJ0
bWVudCBvZiBDbGluaWNhbCBFcGlkZW1pb2xvZ3kgYW5kIEJpb3N0YXRpc3RpY3MsIE1jTWFzdGVy
IFVuaXZlcnNpdHksIEhhbWlsdG9uLCBPbnRhcmlvLCBDYW5hZGE1RGVwYXJ0bWVudCBvZiBOdXRy
aXRpb25hbCBTY2llbmNlcywgVW5pdmVyc2l0eSBvZiBUb3JvbnRvLCBUb3JvbnRvLCBPbnRhcmlv
LCBDYW5hZGE2TGkgS2EgU2hpbmcgS25vd2xlZGdlIEluc3RpdHV0ZSwgU3QgTWljaGFlbCZhcG9z
O3MgSG9zcGl0YWwsIFRvcm9udG8sIE9udGEuJiN4RDtDaGlsZHJlbiZhcG9zO3MgSG9zcGl0YWwg
UmVzZWFyY2ggSW5zdGl0dXRlIG9mIE1hbml0b2JhLCBXaW5uaXBlZywgTWFuaXRvYmEsIENhbmFk
YTdEZXBhcnRtZW50IG9mIFBoYXJtYWNvbG9neSBhbmQgVGhlcmFwZXV0aWNzLCBVbml2ZXJzaXR5
IG9mIE1hbml0b2JhLCBXaW5uaXBlZywgTWFuaXRvYmEsIENhbmFkYS4mI3hEO0RlcGFydG1lbnQg
b2YgUGVkaWF0cmljcywgVW5pdmVyc2l0eSBvZiBBbGJlcnRhLCBFZG1vbnRvbiwgQWxiZXJ0YSwg
Q2FuYWRhLiYjeEQ7RGVwYXJ0bWVudCBvZiBQZWRpYXRyaWNzLCBVbml2ZXJzaXR5IG9mIEJyaXRp
c2ggQ29sdW1iaWEsIFZhbmNvdXZlciwgQnJpdGlzaCBDb2x1bWJpYSwgQ2FuYWRhMTBDaGlsZCBh
bmQgRmFtaWx5IFJlc2VhcmNoIEluc3RpdHV0ZSwgQkMgQ2hpbGRyZW4mYXBvcztzIEhvc3BpdGFs
LCBWYW5jb3V2ZXIsIEJyaXRpc2ggQ29sdW1iaWEsIENhbmFkYS4mI3hEO0RlcGFydG1lbnQgb2Yg
UGVkaWF0cmljcyAmYW1wOyBQaHlzaW9sb2d5LCBIb3NwaXRhbCBmb3IgU2ljayBDaGlsZHJlbiwg
VW5pdmVyc2l0eSBvZiBUb3JvbnRvLCBUb3JvbnRvLCBPbnRhcmlvLCBDYW5hZGEuJiN4RDtEZXBh
cnRtZW50IG9mIE1lZGljaW5lLCBNY01hc3RlciBVbml2ZXJzaXR5LCBIYW1pbHRvbiwgT250YXJp
bywgQ2FuYWRhLjwvYXV0aC1hZGRyZXNzPjx0aXRsZXM+PHRpdGxlPkFzc29jaWF0aW9uIGJldHdl
ZW4gYXJ0aWZpY2lhbGx5IHN3ZWV0ZW5lZCBiZXZlcmFnZSBjb25zdW1wdGlvbiBkdXJpbmcgcHJl
Z25hbmN5IGFuZCBpbmZhbnQgYm9keSBtYXNzIGluZGV4PC90aXRsZT48c2Vjb25kYXJ5LXRpdGxl
PkpBTUEgUGVkaWF0cjwvc2Vjb25kYXJ5LXRpdGxlPjwvdGl0bGVzPjxwZXJpb2RpY2FsPjxmdWxs
LXRpdGxlPkpBTUEgUGVkaWF0cjwvZnVsbC10aXRsZT48L3BlcmlvZGljYWw+PHBhZ2VzPjY2Mi03
MDwvcGFnZXM+PHZvbHVtZT4xNzA8L3ZvbHVtZT48bnVtYmVyPjc8L251bWJlcj48ZWRpdGlvbj4y
MDE2LzA1LzEwPC9lZGl0aW9uPjxrZXl3b3Jkcz48a2V5d29yZD5BZHVsdDwva2V5d29yZD48a2V5
d29yZD5CZXZlcmFnZXMvKmFkdmVyc2UgZWZmZWN0czwva2V5d29yZD48a2V5d29yZD4qQm9keSBN
YXNzIEluZGV4PC9rZXl3b3JkPjxrZXl3b3JkPkRpZXQgU3VydmV5czwva2V5d29yZD48a2V5d29y
ZD5GZW1hbGU8L2tleXdvcmQ+PGtleXdvcmQ+SHVtYW5zPC9rZXl3b3JkPjxrZXl3b3JkPkluZmFu
dDwva2V5d29yZD48a2V5d29yZD5MaW5lYXIgTW9kZWxzPC9rZXl3b3JkPjxrZXl3b3JkPkxvZ2lz
dGljIE1vZGVsczwva2V5d29yZD48a2V5d29yZD5Mb25naXR1ZGluYWwgU3R1ZGllczwva2V5d29y
ZD48a2V5d29yZD5NYWxlPC9rZXl3b3JkPjxrZXl3b3JkPk5vbi1OdXRyaXRpdmUgU3dlZXRlbmVy
cy8qYWR2ZXJzZSBlZmZlY3RzPC9rZXl3b3JkPjxrZXl3b3JkPk92ZXJ3ZWlnaHQvZGlhZ25vc2lz
LypldGlvbG9neTwva2V5d29yZD48a2V5d29yZD5QZWRpYXRyaWMgT2Jlc2l0eS9kaWFnbm9zaXMv
ZXRpb2xvZ3k8L2tleXdvcmQ+PGtleXdvcmQ+UHJlZ25hbmN5PC9rZXl3b3JkPjxrZXl3b3JkPlBy
ZW5hdGFsIEV4cG9zdXJlIERlbGF5ZWQgRWZmZWN0cy8qZXRpb2xvZ3k8L2tleXdvcmQ+PGtleXdv
cmQ+KlByZW5hdGFsIE51dHJpdGlvbmFsIFBoeXNpb2xvZ2ljYWwgUGhlbm9tZW5hPC9rZXl3b3Jk
PjxrZXl3b3JkPlByb3NwZWN0aXZlIFN0dWRpZXM8L2tleXdvcmQ+PC9rZXl3b3Jkcz48ZGF0ZXM+
PHllYXI+MjAxNjwveWVhcj48cHViLWRhdGVzPjxkYXRlPkp1bCAxPC9kYXRlPjwvcHViLWRhdGVz
PjwvZGF0ZXM+PGlzYm4+MjE2OC02MjExIChFbGVjdHJvbmljKSYjeEQ7MjE2OC02MjAzIChMaW5r
aW5nKTwvaXNibj48YWNjZXNzaW9uLW51bT4yNzE1OTc5MjwvYWNjZXNzaW9uLW51bT48dXJscz48
cmVsYXRlZC11cmxzPjx1cmw+aHR0cHM6Ly93d3cubmNiaS5ubG0ubmloLmdvdi9wdWJtZWQvMjcx
NTk3OTI8L3VybD48L3JlbGF0ZWQtdXJscz48L3VybHM+PGVsZWN0cm9uaWMtcmVzb3VyY2UtbnVt
PjEwLjEwMDEvamFtYXBlZGlhdHJpY3MuMjAxNi4wMzAxPC9lbGVjdHJvbmljLXJlc291cmNlLW51
bT48L3JlY29yZD48L0NpdGU+PC9FbmROb3RlPn==
</w:fldData>
        </w:fldChar>
      </w:r>
      <w:r w:rsidR="002747EA">
        <w:instrText xml:space="preserve"> ADDIN EN.CITE </w:instrText>
      </w:r>
      <w:r w:rsidR="002747EA">
        <w:fldChar w:fldCharType="begin">
          <w:fldData xml:space="preserve">PEVuZE5vdGU+PENpdGU+PEF1dGhvcj5BemFkPC9BdXRob3I+PFllYXI+MjAxNjwvWWVhcj48UmVj
TnVtPjEzNDE8L1JlY051bT48RGlzcGxheVRleHQ+PHN0eWxlIGZhY2U9InN1cGVyc2NyaXB0IiBm
b250PSJUcmVidWNoZXQgTVMiIHNpemU9IjkiPjEwMjwvc3R5bGU+PC9EaXNwbGF5VGV4dD48cmVj
b3JkPjxyZWMtbnVtYmVyPjEzNDE8L3JlYy1udW1iZXI+PGZvcmVpZ24ta2V5cz48a2V5IGFwcD0i
RU4iIGRiLWlkPSJleHZhc3JmeDJkdHJhb2VzYXN4cDJzenN4YTJkZjUwMjU5MngiIHRpbWVzdGFt
cD0iMTU2NzAzMDk2NCI+MTM0MTwva2V5PjxrZXkgYXBwPSJFTldlYiIgZGItaWQ9IiI+MDwva2V5
PjwvZm9yZWlnbi1rZXlzPjxyZWYtdHlwZSBuYW1lPSJKb3VybmFsIEFydGljbGUiPjE3PC9yZWYt
dHlwZT48Y29udHJpYnV0b3JzPjxhdXRob3JzPjxhdXRob3I+QXphZCwgTS4gQi48L2F1dGhvcj48
YXV0aG9yPlNoYXJtYSwgQS4gSy48L2F1dGhvcj48YXV0aG9yPmRlIFNvdXphLCBSLiBKLjwvYXV0
aG9yPjxhdXRob3I+RG9saW5za3ksIFYuIFcuPC9hdXRob3I+PGF1dGhvcj5CZWNrZXIsIEEuIEIu
PC9hdXRob3I+PGF1dGhvcj5NYW5kaGFuZSwgUC4gSi48L2F1dGhvcj48YXV0aG9yPlR1cnZleSwg
Uy4gRS48L2F1dGhvcj48YXV0aG9yPlN1YmJhcmFvLCBQLjwvYXV0aG9yPjxhdXRob3I+TGVmZWJ2
cmUsIEQuIEwuPC9hdXRob3I+PGF1dGhvcj5TZWFycywgTS4gUi48L2F1dGhvcj48YXV0aG9yPkNh
bmFkaWFuIEhlYWx0aHkgSW5mYW50IExvbmdpdHVkaW5hbCBEZXZlbG9wbWVudCBTdHVkeSwgSW52
ZXN0aWdhdG9yczwvYXV0aG9yPjwvYXV0aG9ycz48L2NvbnRyaWJ1dG9ycz48YXV0aC1hZGRyZXNz
PkRlcGFydG1lbnQgb2YgUGVkaWF0cmljcyBhbmQgQ2hpbGQgSGVhbHRoLCBVbml2ZXJzaXR5IG9m
IE1hbml0b2JhLCBXaW5uaXBlZywgTWFuaXRvYmEsIENhbmFkYTJDaGlsZHJlbiZhcG9zO3MgSG9z
cGl0YWwgUmVzZWFyY2ggSW5zdGl0dXRlIG9mIE1hbml0b2JhLCBXaW5uaXBlZywgTWFuaXRvYmEs
IENhbmFkYS4mI3hEO0RlcGFydG1lbnQgb2YgUGVkaWF0cmljcyBhbmQgQ2hpbGQgSGVhbHRoLCBV
bml2ZXJzaXR5IG9mIE1hbml0b2JhLCBXaW5uaXBlZywgTWFuaXRvYmEsIENhbmFkYTJDaGlsZHJl
biZhcG9zO3MgSG9zcGl0YWwgUmVzZWFyY2ggSW5zdGl0dXRlIG9mIE1hbml0b2JhLCBXaW5uaXBl
ZywgTWFuaXRvYmEsIENhbmFkYTNHZW9yZ2UgYW5kIEZheSBZZWUgQ2VudHJlIGZvciBIZWFsdGhj
YXJlIElubm92YXRpb24sIFVuaXZlcnNpdHkgb2YgTWFuaXRvYmEsIFdpbm5pLiYjeEQ7RGVwYXJ0
bWVudCBvZiBDbGluaWNhbCBFcGlkZW1pb2xvZ3kgYW5kIEJpb3N0YXRpc3RpY3MsIE1jTWFzdGVy
IFVuaXZlcnNpdHksIEhhbWlsdG9uLCBPbnRhcmlvLCBDYW5hZGE1RGVwYXJ0bWVudCBvZiBOdXRy
aXRpb25hbCBTY2llbmNlcywgVW5pdmVyc2l0eSBvZiBUb3JvbnRvLCBUb3JvbnRvLCBPbnRhcmlv
LCBDYW5hZGE2TGkgS2EgU2hpbmcgS25vd2xlZGdlIEluc3RpdHV0ZSwgU3QgTWljaGFlbCZhcG9z
O3MgSG9zcGl0YWwsIFRvcm9udG8sIE9udGEuJiN4RDtDaGlsZHJlbiZhcG9zO3MgSG9zcGl0YWwg
UmVzZWFyY2ggSW5zdGl0dXRlIG9mIE1hbml0b2JhLCBXaW5uaXBlZywgTWFuaXRvYmEsIENhbmFk
YTdEZXBhcnRtZW50IG9mIFBoYXJtYWNvbG9neSBhbmQgVGhlcmFwZXV0aWNzLCBVbml2ZXJzaXR5
IG9mIE1hbml0b2JhLCBXaW5uaXBlZywgTWFuaXRvYmEsIENhbmFkYS4mI3hEO0RlcGFydG1lbnQg
b2YgUGVkaWF0cmljcywgVW5pdmVyc2l0eSBvZiBBbGJlcnRhLCBFZG1vbnRvbiwgQWxiZXJ0YSwg
Q2FuYWRhLiYjeEQ7RGVwYXJ0bWVudCBvZiBQZWRpYXRyaWNzLCBVbml2ZXJzaXR5IG9mIEJyaXRp
c2ggQ29sdW1iaWEsIFZhbmNvdXZlciwgQnJpdGlzaCBDb2x1bWJpYSwgQ2FuYWRhMTBDaGlsZCBh
bmQgRmFtaWx5IFJlc2VhcmNoIEluc3RpdHV0ZSwgQkMgQ2hpbGRyZW4mYXBvcztzIEhvc3BpdGFs
LCBWYW5jb3V2ZXIsIEJyaXRpc2ggQ29sdW1iaWEsIENhbmFkYS4mI3hEO0RlcGFydG1lbnQgb2Yg
UGVkaWF0cmljcyAmYW1wOyBQaHlzaW9sb2d5LCBIb3NwaXRhbCBmb3IgU2ljayBDaGlsZHJlbiwg
VW5pdmVyc2l0eSBvZiBUb3JvbnRvLCBUb3JvbnRvLCBPbnRhcmlvLCBDYW5hZGEuJiN4RDtEZXBh
cnRtZW50IG9mIE1lZGljaW5lLCBNY01hc3RlciBVbml2ZXJzaXR5LCBIYW1pbHRvbiwgT250YXJp
bywgQ2FuYWRhLjwvYXV0aC1hZGRyZXNzPjx0aXRsZXM+PHRpdGxlPkFzc29jaWF0aW9uIGJldHdl
ZW4gYXJ0aWZpY2lhbGx5IHN3ZWV0ZW5lZCBiZXZlcmFnZSBjb25zdW1wdGlvbiBkdXJpbmcgcHJl
Z25hbmN5IGFuZCBpbmZhbnQgYm9keSBtYXNzIGluZGV4PC90aXRsZT48c2Vjb25kYXJ5LXRpdGxl
PkpBTUEgUGVkaWF0cjwvc2Vjb25kYXJ5LXRpdGxlPjwvdGl0bGVzPjxwZXJpb2RpY2FsPjxmdWxs
LXRpdGxlPkpBTUEgUGVkaWF0cjwvZnVsbC10aXRsZT48L3BlcmlvZGljYWw+PHBhZ2VzPjY2Mi03
MDwvcGFnZXM+PHZvbHVtZT4xNzA8L3ZvbHVtZT48bnVtYmVyPjc8L251bWJlcj48ZWRpdGlvbj4y
MDE2LzA1LzEwPC9lZGl0aW9uPjxrZXl3b3Jkcz48a2V5d29yZD5BZHVsdDwva2V5d29yZD48a2V5
d29yZD5CZXZlcmFnZXMvKmFkdmVyc2UgZWZmZWN0czwva2V5d29yZD48a2V5d29yZD4qQm9keSBN
YXNzIEluZGV4PC9rZXl3b3JkPjxrZXl3b3JkPkRpZXQgU3VydmV5czwva2V5d29yZD48a2V5d29y
ZD5GZW1hbGU8L2tleXdvcmQ+PGtleXdvcmQ+SHVtYW5zPC9rZXl3b3JkPjxrZXl3b3JkPkluZmFu
dDwva2V5d29yZD48a2V5d29yZD5MaW5lYXIgTW9kZWxzPC9rZXl3b3JkPjxrZXl3b3JkPkxvZ2lz
dGljIE1vZGVsczwva2V5d29yZD48a2V5d29yZD5Mb25naXR1ZGluYWwgU3R1ZGllczwva2V5d29y
ZD48a2V5d29yZD5NYWxlPC9rZXl3b3JkPjxrZXl3b3JkPk5vbi1OdXRyaXRpdmUgU3dlZXRlbmVy
cy8qYWR2ZXJzZSBlZmZlY3RzPC9rZXl3b3JkPjxrZXl3b3JkPk92ZXJ3ZWlnaHQvZGlhZ25vc2lz
LypldGlvbG9neTwva2V5d29yZD48a2V5d29yZD5QZWRpYXRyaWMgT2Jlc2l0eS9kaWFnbm9zaXMv
ZXRpb2xvZ3k8L2tleXdvcmQ+PGtleXdvcmQ+UHJlZ25hbmN5PC9rZXl3b3JkPjxrZXl3b3JkPlBy
ZW5hdGFsIEV4cG9zdXJlIERlbGF5ZWQgRWZmZWN0cy8qZXRpb2xvZ3k8L2tleXdvcmQ+PGtleXdv
cmQ+KlByZW5hdGFsIE51dHJpdGlvbmFsIFBoeXNpb2xvZ2ljYWwgUGhlbm9tZW5hPC9rZXl3b3Jk
PjxrZXl3b3JkPlByb3NwZWN0aXZlIFN0dWRpZXM8L2tleXdvcmQ+PC9rZXl3b3Jkcz48ZGF0ZXM+
PHllYXI+MjAxNjwveWVhcj48cHViLWRhdGVzPjxkYXRlPkp1bCAxPC9kYXRlPjwvcHViLWRhdGVz
PjwvZGF0ZXM+PGlzYm4+MjE2OC02MjExIChFbGVjdHJvbmljKSYjeEQ7MjE2OC02MjAzIChMaW5r
aW5nKTwvaXNibj48YWNjZXNzaW9uLW51bT4yNzE1OTc5MjwvYWNjZXNzaW9uLW51bT48dXJscz48
cmVsYXRlZC11cmxzPjx1cmw+aHR0cHM6Ly93d3cubmNiaS5ubG0ubmloLmdvdi9wdWJtZWQvMjcx
NTk3OTI8L3VybD48L3JlbGF0ZWQtdXJscz48L3VybHM+PGVsZWN0cm9uaWMtcmVzb3VyY2UtbnVt
PjEwLjEwMDEvamFtYXBlZGlhdHJpY3MuMjAxNi4wMzAxPC9lbGVjdHJvbmljLXJlc291cmNlLW51
bT48L3JlY29yZD48L0NpdGU+PC9FbmROb3RlPn==
</w:fldData>
        </w:fldChar>
      </w:r>
      <w:r w:rsidR="002747EA">
        <w:instrText xml:space="preserve"> ADDIN EN.CITE.DATA </w:instrText>
      </w:r>
      <w:r w:rsidR="002747EA">
        <w:fldChar w:fldCharType="end"/>
      </w:r>
      <w:r w:rsidR="000D1C1E">
        <w:fldChar w:fldCharType="separate"/>
      </w:r>
      <w:r w:rsidR="002747EA" w:rsidRPr="002747EA">
        <w:rPr>
          <w:noProof/>
          <w:vertAlign w:val="superscript"/>
        </w:rPr>
        <w:t>102</w:t>
      </w:r>
      <w:r w:rsidR="000D1C1E">
        <w:fldChar w:fldCharType="end"/>
      </w:r>
    </w:p>
    <w:p w14:paraId="5DB7EE8A" w14:textId="2476EF7A" w:rsidR="002735A9" w:rsidRPr="00743D03" w:rsidRDefault="002735A9" w:rsidP="000D1C1E">
      <w:pPr>
        <w:pStyle w:val="bullet"/>
      </w:pPr>
      <w:r w:rsidRPr="000D1C1E">
        <w:t>daily consumption of artificially sweetened beverages was positively associated with large-for-gestational age (</w:t>
      </w:r>
      <w:r w:rsidRPr="000D1C1E">
        <w:rPr>
          <w:sz w:val="16"/>
          <w:szCs w:val="16"/>
        </w:rPr>
        <w:t>aRR 1.57; 95%CI 1.05 to 2.35</w:t>
      </w:r>
      <w:r w:rsidRPr="000D1C1E">
        <w:t xml:space="preserve">), BMI </w:t>
      </w:r>
      <w:r w:rsidR="000D1C1E">
        <w:t>z</w:t>
      </w:r>
      <w:r w:rsidRPr="000D1C1E">
        <w:t xml:space="preserve"> score (</w:t>
      </w:r>
      <w:r w:rsidRPr="000D1C1E">
        <w:rPr>
          <w:sz w:val="16"/>
          <w:szCs w:val="16"/>
        </w:rPr>
        <w:t>adjusted beta 0.59; 95% CI 0.23 to 0.96</w:t>
      </w:r>
      <w:r w:rsidRPr="000D1C1E">
        <w:t>) and overweight/obesity at 7 years (</w:t>
      </w:r>
      <w:r w:rsidRPr="000D1C1E">
        <w:rPr>
          <w:sz w:val="16"/>
          <w:szCs w:val="16"/>
        </w:rPr>
        <w:t>aRR 1.93; 95%CI 1.24 to 3.01</w:t>
      </w:r>
      <w:r w:rsidR="000D1C1E">
        <w:t>)</w:t>
      </w:r>
      <w:r w:rsidR="000D1C1E" w:rsidRPr="000D1C1E">
        <w:t xml:space="preserve"> (</w:t>
      </w:r>
      <w:r w:rsidR="000D1C1E" w:rsidRPr="000D1C1E">
        <w:rPr>
          <w:sz w:val="16"/>
          <w:szCs w:val="16"/>
        </w:rPr>
        <w:t>n=918 mother-infant pairs</w:t>
      </w:r>
      <w:r w:rsidR="000D1C1E" w:rsidRPr="000D1C1E">
        <w:t>)</w:t>
      </w:r>
      <w:r w:rsidR="000D1C1E">
        <w:t>.</w:t>
      </w:r>
      <w:r w:rsidR="00774750">
        <w:fldChar w:fldCharType="begin">
          <w:fldData xml:space="preserve">PEVuZE5vdGU+PENpdGU+PEF1dGhvcj5aaHU8L0F1dGhvcj48WWVhcj4yMDE3PC9ZZWFyPjxSZWNO
dW0+MTc1MTwvUmVjTnVtPjxEaXNwbGF5VGV4dD48c3R5bGUgZmFjZT0ic3VwZXJzY3JpcHQiIGZv
bnQ9IlRyZWJ1Y2hldCBNUyIgc2l6ZT0iOSI+MTAzPC9zdHlsZT48L0Rpc3BsYXlUZXh0PjxyZWNv
cmQ+PHJlYy1udW1iZXI+MTc1MTwvcmVjLW51bWJlcj48Zm9yZWlnbi1rZXlzPjxrZXkgYXBwPSJF
TiIgZGItaWQ9ImV4dmFzcmZ4MmR0cmFvZXNhc3hwMnN6c3hhMmRmNTAyNTkyeCIgdGltZXN0YW1w
PSIxNTgyNTA2Mzc0Ij4xNzUxPC9rZXk+PGtleSBhcHA9IkVOV2ViIiBkYi1pZD0iIj4wPC9rZXk+
PC9mb3JlaWduLWtleXM+PHJlZi10eXBlIG5hbWU9IkpvdXJuYWwgQXJ0aWNsZSI+MTc8L3JlZi10
eXBlPjxjb250cmlidXRvcnM+PGF1dGhvcnM+PGF1dGhvcj5aaHUsIFkuPC9hdXRob3I+PGF1dGhv
cj5PbHNlbiwgUy4gRi48L2F1dGhvcj48YXV0aG9yPk1lbmRvbGEsIFAuPC9hdXRob3I+PGF1dGhv
cj5IYWxsZG9yc3NvbiwgVC4gSS48L2F1dGhvcj48YXV0aG9yPlJhd2FsLCBTLjwvYXV0aG9yPjxh
dXRob3I+SGlua2xlLCBTLiBOLjwvYXV0aG9yPjxhdXRob3I+WWV1bmcsIEUuIEguPC9hdXRob3I+
PGF1dGhvcj5DaGF2YXJybywgSi4gRS48L2F1dGhvcj48YXV0aG9yPkdydW5uZXQsIEwuIEcuPC9h
dXRob3I+PGF1dGhvcj5HcmFuc3Ryb20sIEMuPC9hdXRob3I+PGF1dGhvcj5CamVycmVnYWFyZCwg
QS4gQS48L2F1dGhvcj48YXV0aG9yPkh1LCBGLiBCLjwvYXV0aG9yPjxhdXRob3I+WmhhbmcsIEMu
PC9hdXRob3I+PC9hdXRob3JzPjwvY29udHJpYnV0b3JzPjxhdXRoLWFkZHJlc3M+RXBpZGVtaW9s
b2d5IEJyYW5jaCwgRGl2aXNpb24gb2YgSW50cmFtdXJhbCBQb3B1bGF0aW9uIEhlYWx0aCBSZXNl
YXJjaCwgRXVuaWNlIEtlbm5lZHkgU2hyaXZlciBOYXRpb25hbCBJbnN0aXR1dGUgb2YgQ2hpbGQg
SGVhbHRoIGFuZCBIdW1hbiBEZXZlbG9wbWVudCwgQmV0aGVzZGEsIE1ELCBVU0EuJiN4RDtEaXZp
b24gb2YgUmVzZWFyY2gsIEthaXNlciBQZXJtYW5lbnRlIE5vcnRoZXJuIENhbGlmb3JuaWEsIE9h
a2xhbmQsIENBLCBVU0EuJiN4RDtDZW50cmUgZm9yIEZldGFsIFByb2dyYW1taW5nLCBTdGF0ZW5z
IFNlcnVtIEluc3RpdHV0LCBDb3BlbmhhZ2VuLCBEZW5tYXJrLiYjeEQ7VW5pdCBmb3IgTnV0cml0
aW9uIFJlc2VhcmNoLCBMYW5kc3BpdGFsaSBVbml2ZXJzaXR5IEhvc3BpdGFsLCBSZXlramF2aWss
IEljZWxhbmQuJiN4RDtGYWN1bHR5IG9mIEZvb2QgU2NpZW5jZSBhbmQgTnV0cml0aW9uLCBVbml2
ZXJzaXR5IG9mIEljZWxhbmQsIFJleWtqYXZpaywgSWNlbGFuZC4mI3hEO0RlcGFydG1lbnRzIG9m
IE51dHJpdGlvbiBhbmQgRXBpZGVtaW9sb2d5LCBIYXJ2YXJkIFQuSC4gQ2hhbiBTY2hvb2wgb2Yg
UHVibGljIEhlYWx0aCwgQm9zdG9uLCBNQSwgVVNBLiYjeEQ7RGVwYXJ0bWVudCBvZiBFbmRvY3Jp
bm9sb2d5LCBSaWdzaG9zcGl0YWxldCBVbml2ZXJzaXR5IEhvc3BpdGFsLCBDb3BlbmhhZ2VuLCBE
ZW5tYXJrLjwvYXV0aC1hZGRyZXNzPjx0aXRsZXM+PHRpdGxlPk1hdGVybmFsIGNvbnN1bXB0aW9u
IG9mIGFydGlmaWNpYWxseSBzd2VldGVuZWQgYmV2ZXJhZ2VzIGR1cmluZyBwcmVnbmFuY3ksIGFu
ZCBvZmZzcHJpbmcgZ3Jvd3RoIHRocm91Z2ggNyB5ZWFycyBvZiBhZ2U6IGEgcHJvc3BlY3RpdmUg
Y29ob3J0IHN0dWR5PC90aXRsZT48c2Vjb25kYXJ5LXRpdGxlPkludCBKIEVwaWRlbWlvbDwvc2Vj
b25kYXJ5LXRpdGxlPjwvdGl0bGVzPjxwZXJpb2RpY2FsPjxmdWxsLXRpdGxlPkludCBKIEVwaWRl
bWlvbDwvZnVsbC10aXRsZT48L3BlcmlvZGljYWw+PHBhZ2VzPjE0OTktMTUwODwvcGFnZXM+PHZv
bHVtZT40Njwvdm9sdW1lPjxudW1iZXI+NTwvbnVtYmVyPjxlZGl0aW9uPjIwMTcvMDYvMDc8L2Vk
aXRpb24+PGtleXdvcmRzPjxrZXl3b3JkPkFkdWx0PC9rZXl3b3JkPjxrZXl3b3JkPkJldmVyYWdl
cy8qYWR2ZXJzZSBlZmZlY3RzPC9rZXl3b3JkPjxrZXl3b3JkPkJvZHkgTWFzcyBJbmRleDwva2V5
d29yZD48a2V5d29yZD5Cb2R5IFdlaWdodDwva2V5d29yZD48a2V5d29yZD5DaGlsZDwva2V5d29y
ZD48a2V5d29yZD5EZW5tYXJrL2VwaWRlbWlvbG9neTwva2V5d29yZD48a2V5d29yZD5EaWV0YXJ5
IFN1Y3Jvc2UvKmFkdmVyc2UgZWZmZWN0czwva2V5d29yZD48a2V5d29yZD5GZW1hbGU8L2tleXdv
cmQ+PGtleXdvcmQ+SHVtYW5zPC9rZXl3b3JkPjxrZXl3b3JkPkxpbmVhciBNb2RlbHM8L2tleXdv
cmQ+PGtleXdvcmQ+TWFsZTwva2V5d29yZD48a2V5d29yZD5NdWx0aXZhcmlhdGUgQW5hbHlzaXM8
L2tleXdvcmQ+PGtleXdvcmQ+T3ZlcndlaWdodC8qZXBpZGVtaW9sb2d5PC9rZXl3b3JkPjxrZXl3
b3JkPlBlZGlhdHJpYyBPYmVzaXR5LyplcGlkZW1pb2xvZ3k8L2tleXdvcmQ+PGtleXdvcmQ+UHJl
Z25hbmN5PC9rZXl3b3JkPjxrZXl3b3JkPipQcmVuYXRhbCBOdXRyaXRpb25hbCBQaHlzaW9sb2dp
Y2FsIFBoZW5vbWVuYTwva2V5d29yZD48a2V5d29yZD5Qcm9zcGVjdGl2ZSBTdHVkaWVzPC9rZXl3
b3JkPjxrZXl3b3JkPlJpc2sgRmFjdG9yczwva2V5d29yZD48a2V5d29yZD5Td2VldGVuaW5nIEFn
ZW50cy8qYWR2ZXJzZSBlZmZlY3RzPC9rZXl3b3JkPjxrZXl3b3JkPipBcnRpZmljaWFsbHkgc3dl
ZXRlbmVkIGJldmVyYWdlczwva2V5d29yZD48a2V5d29yZD4qb2Jlc2l0eTwva2V5d29yZD48a2V5
d29yZD4qcHJlZ25hbmN5PC9rZXl3b3JkPjxrZXl3b3JkPipzdWdhci1zd2VldGVuZWQgYmV2ZXJh
Z2VzPC9rZXl3b3JkPjwva2V5d29yZHM+PGRhdGVzPjx5ZWFyPjIwMTc8L3llYXI+PHB1Yi1kYXRl
cz48ZGF0ZT5PY3QgMTwvZGF0ZT48L3B1Yi1kYXRlcz48L2RhdGVzPjxpc2JuPjE0NjQtMzY4NSAo
RWxlY3Ryb25pYykmI3hEOzAzMDAtNTc3MSAoTGlua2luZyk8L2lzYm4+PGFjY2Vzc2lvbi1udW0+
Mjg1ODY0NzI8L2FjY2Vzc2lvbi1udW0+PHVybHM+PHJlbGF0ZWQtdXJscz48dXJsPmh0dHBzOi8v
d3d3Lm5jYmkubmxtLm5paC5nb3YvcHVibWVkLzI4NTg2NDcyPC91cmw+PC9yZWxhdGVkLXVybHM+
PC91cmxzPjxjdXN0b20yPlBNQzU4Mzc3MzU8L2N1c3RvbTI+PGVsZWN0cm9uaWMtcmVzb3VyY2Ut
bnVtPjEwLjEwOTMvaWplL2R5eDA5NTwvZWxlY3Ryb25pYy1yZXNvdXJjZS1udW0+PC9yZWNvcmQ+
PC9DaXRlPjwvRW5kTm90ZT4A
</w:fldData>
        </w:fldChar>
      </w:r>
      <w:r w:rsidR="002747EA">
        <w:instrText xml:space="preserve"> ADDIN EN.CITE </w:instrText>
      </w:r>
      <w:r w:rsidR="002747EA">
        <w:fldChar w:fldCharType="begin">
          <w:fldData xml:space="preserve">PEVuZE5vdGU+PENpdGU+PEF1dGhvcj5aaHU8L0F1dGhvcj48WWVhcj4yMDE3PC9ZZWFyPjxSZWNO
dW0+MTc1MTwvUmVjTnVtPjxEaXNwbGF5VGV4dD48c3R5bGUgZmFjZT0ic3VwZXJzY3JpcHQiIGZv
bnQ9IlRyZWJ1Y2hldCBNUyIgc2l6ZT0iOSI+MTAzPC9zdHlsZT48L0Rpc3BsYXlUZXh0PjxyZWNv
cmQ+PHJlYy1udW1iZXI+MTc1MTwvcmVjLW51bWJlcj48Zm9yZWlnbi1rZXlzPjxrZXkgYXBwPSJF
TiIgZGItaWQ9ImV4dmFzcmZ4MmR0cmFvZXNhc3hwMnN6c3hhMmRmNTAyNTkyeCIgdGltZXN0YW1w
PSIxNTgyNTA2Mzc0Ij4xNzUxPC9rZXk+PGtleSBhcHA9IkVOV2ViIiBkYi1pZD0iIj4wPC9rZXk+
PC9mb3JlaWduLWtleXM+PHJlZi10eXBlIG5hbWU9IkpvdXJuYWwgQXJ0aWNsZSI+MTc8L3JlZi10
eXBlPjxjb250cmlidXRvcnM+PGF1dGhvcnM+PGF1dGhvcj5aaHUsIFkuPC9hdXRob3I+PGF1dGhv
cj5PbHNlbiwgUy4gRi48L2F1dGhvcj48YXV0aG9yPk1lbmRvbGEsIFAuPC9hdXRob3I+PGF1dGhv
cj5IYWxsZG9yc3NvbiwgVC4gSS48L2F1dGhvcj48YXV0aG9yPlJhd2FsLCBTLjwvYXV0aG9yPjxh
dXRob3I+SGlua2xlLCBTLiBOLjwvYXV0aG9yPjxhdXRob3I+WWV1bmcsIEUuIEguPC9hdXRob3I+
PGF1dGhvcj5DaGF2YXJybywgSi4gRS48L2F1dGhvcj48YXV0aG9yPkdydW5uZXQsIEwuIEcuPC9h
dXRob3I+PGF1dGhvcj5HcmFuc3Ryb20sIEMuPC9hdXRob3I+PGF1dGhvcj5CamVycmVnYWFyZCwg
QS4gQS48L2F1dGhvcj48YXV0aG9yPkh1LCBGLiBCLjwvYXV0aG9yPjxhdXRob3I+WmhhbmcsIEMu
PC9hdXRob3I+PC9hdXRob3JzPjwvY29udHJpYnV0b3JzPjxhdXRoLWFkZHJlc3M+RXBpZGVtaW9s
b2d5IEJyYW5jaCwgRGl2aXNpb24gb2YgSW50cmFtdXJhbCBQb3B1bGF0aW9uIEhlYWx0aCBSZXNl
YXJjaCwgRXVuaWNlIEtlbm5lZHkgU2hyaXZlciBOYXRpb25hbCBJbnN0aXR1dGUgb2YgQ2hpbGQg
SGVhbHRoIGFuZCBIdW1hbiBEZXZlbG9wbWVudCwgQmV0aGVzZGEsIE1ELCBVU0EuJiN4RDtEaXZp
b24gb2YgUmVzZWFyY2gsIEthaXNlciBQZXJtYW5lbnRlIE5vcnRoZXJuIENhbGlmb3JuaWEsIE9h
a2xhbmQsIENBLCBVU0EuJiN4RDtDZW50cmUgZm9yIEZldGFsIFByb2dyYW1taW5nLCBTdGF0ZW5z
IFNlcnVtIEluc3RpdHV0LCBDb3BlbmhhZ2VuLCBEZW5tYXJrLiYjeEQ7VW5pdCBmb3IgTnV0cml0
aW9uIFJlc2VhcmNoLCBMYW5kc3BpdGFsaSBVbml2ZXJzaXR5IEhvc3BpdGFsLCBSZXlramF2aWss
IEljZWxhbmQuJiN4RDtGYWN1bHR5IG9mIEZvb2QgU2NpZW5jZSBhbmQgTnV0cml0aW9uLCBVbml2
ZXJzaXR5IG9mIEljZWxhbmQsIFJleWtqYXZpaywgSWNlbGFuZC4mI3hEO0RlcGFydG1lbnRzIG9m
IE51dHJpdGlvbiBhbmQgRXBpZGVtaW9sb2d5LCBIYXJ2YXJkIFQuSC4gQ2hhbiBTY2hvb2wgb2Yg
UHVibGljIEhlYWx0aCwgQm9zdG9uLCBNQSwgVVNBLiYjeEQ7RGVwYXJ0bWVudCBvZiBFbmRvY3Jp
bm9sb2d5LCBSaWdzaG9zcGl0YWxldCBVbml2ZXJzaXR5IEhvc3BpdGFsLCBDb3BlbmhhZ2VuLCBE
ZW5tYXJrLjwvYXV0aC1hZGRyZXNzPjx0aXRsZXM+PHRpdGxlPk1hdGVybmFsIGNvbnN1bXB0aW9u
IG9mIGFydGlmaWNpYWxseSBzd2VldGVuZWQgYmV2ZXJhZ2VzIGR1cmluZyBwcmVnbmFuY3ksIGFu
ZCBvZmZzcHJpbmcgZ3Jvd3RoIHRocm91Z2ggNyB5ZWFycyBvZiBhZ2U6IGEgcHJvc3BlY3RpdmUg
Y29ob3J0IHN0dWR5PC90aXRsZT48c2Vjb25kYXJ5LXRpdGxlPkludCBKIEVwaWRlbWlvbDwvc2Vj
b25kYXJ5LXRpdGxlPjwvdGl0bGVzPjxwZXJpb2RpY2FsPjxmdWxsLXRpdGxlPkludCBKIEVwaWRl
bWlvbDwvZnVsbC10aXRsZT48L3BlcmlvZGljYWw+PHBhZ2VzPjE0OTktMTUwODwvcGFnZXM+PHZv
bHVtZT40Njwvdm9sdW1lPjxudW1iZXI+NTwvbnVtYmVyPjxlZGl0aW9uPjIwMTcvMDYvMDc8L2Vk
aXRpb24+PGtleXdvcmRzPjxrZXl3b3JkPkFkdWx0PC9rZXl3b3JkPjxrZXl3b3JkPkJldmVyYWdl
cy8qYWR2ZXJzZSBlZmZlY3RzPC9rZXl3b3JkPjxrZXl3b3JkPkJvZHkgTWFzcyBJbmRleDwva2V5
d29yZD48a2V5d29yZD5Cb2R5IFdlaWdodDwva2V5d29yZD48a2V5d29yZD5DaGlsZDwva2V5d29y
ZD48a2V5d29yZD5EZW5tYXJrL2VwaWRlbWlvbG9neTwva2V5d29yZD48a2V5d29yZD5EaWV0YXJ5
IFN1Y3Jvc2UvKmFkdmVyc2UgZWZmZWN0czwva2V5d29yZD48a2V5d29yZD5GZW1hbGU8L2tleXdv
cmQ+PGtleXdvcmQ+SHVtYW5zPC9rZXl3b3JkPjxrZXl3b3JkPkxpbmVhciBNb2RlbHM8L2tleXdv
cmQ+PGtleXdvcmQ+TWFsZTwva2V5d29yZD48a2V5d29yZD5NdWx0aXZhcmlhdGUgQW5hbHlzaXM8
L2tleXdvcmQ+PGtleXdvcmQ+T3ZlcndlaWdodC8qZXBpZGVtaW9sb2d5PC9rZXl3b3JkPjxrZXl3
b3JkPlBlZGlhdHJpYyBPYmVzaXR5LyplcGlkZW1pb2xvZ3k8L2tleXdvcmQ+PGtleXdvcmQ+UHJl
Z25hbmN5PC9rZXl3b3JkPjxrZXl3b3JkPipQcmVuYXRhbCBOdXRyaXRpb25hbCBQaHlzaW9sb2dp
Y2FsIFBoZW5vbWVuYTwva2V5d29yZD48a2V5d29yZD5Qcm9zcGVjdGl2ZSBTdHVkaWVzPC9rZXl3
b3JkPjxrZXl3b3JkPlJpc2sgRmFjdG9yczwva2V5d29yZD48a2V5d29yZD5Td2VldGVuaW5nIEFn
ZW50cy8qYWR2ZXJzZSBlZmZlY3RzPC9rZXl3b3JkPjxrZXl3b3JkPipBcnRpZmljaWFsbHkgc3dl
ZXRlbmVkIGJldmVyYWdlczwva2V5d29yZD48a2V5d29yZD4qb2Jlc2l0eTwva2V5d29yZD48a2V5
d29yZD4qcHJlZ25hbmN5PC9rZXl3b3JkPjxrZXl3b3JkPipzdWdhci1zd2VldGVuZWQgYmV2ZXJh
Z2VzPC9rZXl3b3JkPjwva2V5d29yZHM+PGRhdGVzPjx5ZWFyPjIwMTc8L3llYXI+PHB1Yi1kYXRl
cz48ZGF0ZT5PY3QgMTwvZGF0ZT48L3B1Yi1kYXRlcz48L2RhdGVzPjxpc2JuPjE0NjQtMzY4NSAo
RWxlY3Ryb25pYykmI3hEOzAzMDAtNTc3MSAoTGlua2luZyk8L2lzYm4+PGFjY2Vzc2lvbi1udW0+
Mjg1ODY0NzI8L2FjY2Vzc2lvbi1udW0+PHVybHM+PHJlbGF0ZWQtdXJscz48dXJsPmh0dHBzOi8v
d3d3Lm5jYmkubmxtLm5paC5nb3YvcHVibWVkLzI4NTg2NDcyPC91cmw+PC9yZWxhdGVkLXVybHM+
PC91cmxzPjxjdXN0b20yPlBNQzU4Mzc3MzU8L2N1c3RvbTI+PGVsZWN0cm9uaWMtcmVzb3VyY2Ut
bnVtPjEwLjEwOTMvaWplL2R5eDA5NTwvZWxlY3Ryb25pYy1yZXNvdXJjZS1udW0+PC9yZWNvcmQ+
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103</w:t>
      </w:r>
      <w:r w:rsidR="00774750">
        <w:fldChar w:fldCharType="end"/>
      </w:r>
    </w:p>
    <w:p w14:paraId="4BB98DB5" w14:textId="287E3212" w:rsidR="00E366B1" w:rsidRDefault="00E366B1" w:rsidP="00E366B1">
      <w:pPr>
        <w:pStyle w:val="Heading4"/>
      </w:pPr>
      <w:r>
        <w:t>Childhood allergy</w:t>
      </w:r>
    </w:p>
    <w:p w14:paraId="3055DFEF" w14:textId="567EB3D5" w:rsidR="00743D03" w:rsidRPr="00743D03" w:rsidRDefault="00743D03" w:rsidP="00743D03">
      <w:r>
        <w:t>A cohort study (</w:t>
      </w:r>
      <w:r w:rsidRPr="00743D03">
        <w:rPr>
          <w:sz w:val="16"/>
          <w:szCs w:val="16"/>
        </w:rPr>
        <w:t>n=8,956</w:t>
      </w:r>
      <w:r>
        <w:t>)</w:t>
      </w:r>
      <w:r>
        <w:fldChar w:fldCharType="begin">
          <w:fldData xml:space="preserve">PEVuZE5vdGU+PENpdGU+PEF1dGhvcj5CZWRhcmQ8L0F1dGhvcj48WWVhcj4yMDE3PC9ZZWFyPjxS
ZWNOdW0+MTM0NTwvUmVjTnVtPjxEaXNwbGF5VGV4dD48c3R5bGUgZmFjZT0ic3VwZXJzY3JpcHQi
IGZvbnQ9IlRyZWJ1Y2hldCBNUyIgc2l6ZT0iOSI+MTA0PC9zdHlsZT48L0Rpc3BsYXlUZXh0Pjxy
ZWNvcmQ+PHJlYy1udW1iZXI+MTM0NTwvcmVjLW51bWJlcj48Zm9yZWlnbi1rZXlzPjxrZXkgYXBw
PSJFTiIgZGItaWQ9ImV4dmFzcmZ4MmR0cmFvZXNhc3hwMnN6c3hhMmRmNTAyNTkyeCIgdGltZXN0
YW1wPSIxNTY3MDMwOTgwIj4xMzQ1PC9rZXk+PGtleSBhcHA9IkVOV2ViIiBkYi1pZD0iIj4wPC9r
ZXk+PC9mb3JlaWduLWtleXM+PHJlZi10eXBlIG5hbWU9IkpvdXJuYWwgQXJ0aWNsZSI+MTc8L3Jl
Zi10eXBlPjxjb250cmlidXRvcnM+PGF1dGhvcnM+PGF1dGhvcj5CZWRhcmQsIEEuPC9hdXRob3I+
PGF1dGhvcj5Ob3J0aHN0b25lLCBLLjwvYXV0aG9yPjxhdXRob3I+SGVuZGVyc29uLCBBLiBKLjwv
YXV0aG9yPjxhdXRob3I+U2hhaGVlbiwgUy4gTy48L2F1dGhvcj48L2F1dGhvcnM+PC9jb250cmli
dXRvcnM+PGF1dGgtYWRkcmVzcz5DZW50cmUgZm9yIFByaW1hcnkgQ2FyZSBhbmQgUHVibGljIEhl
YWx0aCwgQmFydHMgYW5kIFRoZSBMb25kb24gU2Nob29sIG9mIE1lZGljaW5lIGFuZCBEZW50aXN0
cnksIFF1ZWVuIE1hcnkgVW5pdmVyc2l0eSBvZiBMb25kb24sIExvbmRvbiwgVUsgYS5iZWRhcmRA
cW11bC5hYy51ay4mI3hEO05hdGlvbmFsIEluc3RpdHV0ZSBmb3IgSGVhbHRoIFJlc2VhcmNoIENv
bGxhYm9yYXRpb24gZm9yIExlYWRlcnNoaXAgaW4gQXBwbGllZCBIZWFsdGggUmVzZWFyY2ggYW5k
IENhcmUgV2VzdCwgQnJpc3RvbCwgVUsuJiN4RDtTY2hvb2wgb2YgU29jaWFsIGFuZCBDb21tdW5p
dHkgTWVkaWNpbmUsIFVuaXZlcnNpdHkgb2YgQnJpc3RvbCwgQnJpc3RvbCwgVUsuJiN4RDtKb2lu
dCBzZW5pb3IgYXV0aG9ycy4mI3hEO0NlbnRyZSBmb3IgUHJpbWFyeSBDYXJlIGFuZCBQdWJsaWMg
SGVhbHRoLCBCYXJ0cyBhbmQgVGhlIExvbmRvbiBTY2hvb2wgb2YgTWVkaWNpbmUgYW5kIERlbnRp
c3RyeSwgUXVlZW4gTWFyeSBVbml2ZXJzaXR5IG9mIExvbmRvbiwgTG9uZG9uLCBVSy48L2F1dGgt
YWRkcmVzcz48dGl0bGVzPjx0aXRsZT5NYXRlcm5hbCBpbnRha2Ugb2Ygc3VnYXIgZHVyaW5nIHBy
ZWduYW5jeSBhbmQgY2hpbGRob29kIHJlc3BpcmF0b3J5IGFuZCBhdG9waWMgb3V0Y29tZXM8L3Rp
dGxlPjxzZWNvbmRhcnktdGl0bGU+RXVyIFJlc3BpciBKPC9zZWNvbmRhcnktdGl0bGU+PC90aXRs
ZXM+PHBlcmlvZGljYWw+PGZ1bGwtdGl0bGU+RXVyIFJlc3BpciBKPC9mdWxsLXRpdGxlPjwvcGVy
aW9kaWNhbD48dm9sdW1lPjUwPC92b2x1bWU+PG51bWJlcj4xPC9udW1iZXI+PGVkaXRpb24+MjAx
Ny8wNy8wNzwvZWRpdGlvbj48a2V5d29yZHM+PGtleXdvcmQ+QWRvbGVzY2VudDwva2V5d29yZD48
a2V5d29yZD5BZHVsdDwva2V5d29yZD48a2V5d29yZD5Bc3RobWEvKmVwaWRlbWlvbG9neTwva2V5
d29yZD48a2V5d29yZD5DaGlsZDwva2V5d29yZD48a2V5d29yZD5EZXJtYXRpdGlzLCBBdG9waWMv
KmVwaWRlbWlvbG9neTwva2V5d29yZD48a2V5d29yZD5EaWV0YXJ5IFN1Y3Jvc2UvYWRtaW5pc3Ry
YXRpb24gJmFtcDsgZG9zYWdlLyphZHZlcnNlIGVmZmVjdHM8L2tleXdvcmQ+PGtleXdvcmQ+RmVt
YWxlPC9rZXl3b3JkPjxrZXl3b3JkPkh1bWFuczwva2V5d29yZD48a2V5d29yZD5JbW11bm9nbG9i
dWxpbiBFL2Jsb29kPC9rZXl3b3JkPjxrZXl3b3JkPkxpbmVhciBNb2RlbHM8L2tleXdvcmQ+PGtl
eXdvcmQ+TG9naXN0aWMgTW9kZWxzPC9rZXl3b3JkPjxrZXl3b3JkPkxvbmdpdHVkaW5hbCBTdHVk
aWVzPC9rZXl3b3JkPjxrZXl3b3JkPk1hbGU8L2tleXdvcmQ+PGtleXdvcmQ+TW90aGVyczwva2V5
d29yZD48a2V5d29yZD5QcmVnbmFuY3k8L2tleXdvcmQ+PGtleXdvcmQ+UHJlbmF0YWwgRXhwb3N1
cmUgRGVsYXllZCBFZmZlY3RzPC9rZXl3b3JkPjxrZXl3b3JkPipQcmVuYXRhbCBOdXRyaXRpb25h
bCBQaHlzaW9sb2dpY2FsIFBoZW5vbWVuYTwva2V5d29yZD48a2V5d29yZD5SZXNwaXJhdG9yeSBT
b3VuZHM8L2tleXdvcmQ+PGtleXdvcmQ+Umhpbml0aXMsIEFsbGVyZ2ljLCBTZWFzb25hbC8qZXBp
ZGVtaW9sb2d5PC9rZXl3b3JkPjxrZXl3b3JkPlVuaXRlZCBLaW5nZG9tL2VwaWRlbWlvbG9neTwv
a2V5d29yZD48L2tleXdvcmRzPjxkYXRlcz48eWVhcj4yMDE3PC95ZWFyPjxwdWItZGF0ZXM+PGRh
dGU+SnVsPC9kYXRlPjwvcHViLWRhdGVzPjwvZGF0ZXM+PGlzYm4+MTM5OS0zMDAzIChFbGVjdHJv
bmljKSYjeEQ7MDkwMy0xOTM2IChMaW5raW5nKTwvaXNibj48YWNjZXNzaW9uLW51bT4yODY3OTYx
MDwvYWNjZXNzaW9uLW51bT48dXJscz48cmVsYXRlZC11cmxzPjx1cmw+aHR0cHM6Ly93d3cubmNi
aS5ubG0ubmloLmdvdi9wdWJtZWQvMjg2Nzk2MTA8L3VybD48L3JlbGF0ZWQtdXJscz48L3VybHM+
PGN1c3RvbTI+UE1DNTU0MDY3OCBlcmouZXJzam91cm5hbHMuY29tPC9jdXN0b20yPjxlbGVjdHJv
bmljLXJlc291cmNlLW51bT4xMC4xMTgzLzEzOTkzMDAzLjAwMDczLTIwMTc8L2VsZWN0cm9uaWMt
cmVzb3VyY2UtbnVtPjwvcmVjb3JkPjwvQ2l0ZT48L0VuZE5vdGU+AG==
</w:fldData>
        </w:fldChar>
      </w:r>
      <w:r w:rsidR="002747EA">
        <w:instrText xml:space="preserve"> ADDIN EN.CITE </w:instrText>
      </w:r>
      <w:r w:rsidR="002747EA">
        <w:fldChar w:fldCharType="begin">
          <w:fldData xml:space="preserve">PEVuZE5vdGU+PENpdGU+PEF1dGhvcj5CZWRhcmQ8L0F1dGhvcj48WWVhcj4yMDE3PC9ZZWFyPjxS
ZWNOdW0+MTM0NTwvUmVjTnVtPjxEaXNwbGF5VGV4dD48c3R5bGUgZmFjZT0ic3VwZXJzY3JpcHQi
IGZvbnQ9IlRyZWJ1Y2hldCBNUyIgc2l6ZT0iOSI+MTA0PC9zdHlsZT48L0Rpc3BsYXlUZXh0Pjxy
ZWNvcmQ+PHJlYy1udW1iZXI+MTM0NTwvcmVjLW51bWJlcj48Zm9yZWlnbi1rZXlzPjxrZXkgYXBw
PSJFTiIgZGItaWQ9ImV4dmFzcmZ4MmR0cmFvZXNhc3hwMnN6c3hhMmRmNTAyNTkyeCIgdGltZXN0
YW1wPSIxNTY3MDMwOTgwIj4xMzQ1PC9rZXk+PGtleSBhcHA9IkVOV2ViIiBkYi1pZD0iIj4wPC9r
ZXk+PC9mb3JlaWduLWtleXM+PHJlZi10eXBlIG5hbWU9IkpvdXJuYWwgQXJ0aWNsZSI+MTc8L3Jl
Zi10eXBlPjxjb250cmlidXRvcnM+PGF1dGhvcnM+PGF1dGhvcj5CZWRhcmQsIEEuPC9hdXRob3I+
PGF1dGhvcj5Ob3J0aHN0b25lLCBLLjwvYXV0aG9yPjxhdXRob3I+SGVuZGVyc29uLCBBLiBKLjwv
YXV0aG9yPjxhdXRob3I+U2hhaGVlbiwgUy4gTy48L2F1dGhvcj48L2F1dGhvcnM+PC9jb250cmli
dXRvcnM+PGF1dGgtYWRkcmVzcz5DZW50cmUgZm9yIFByaW1hcnkgQ2FyZSBhbmQgUHVibGljIEhl
YWx0aCwgQmFydHMgYW5kIFRoZSBMb25kb24gU2Nob29sIG9mIE1lZGljaW5lIGFuZCBEZW50aXN0
cnksIFF1ZWVuIE1hcnkgVW5pdmVyc2l0eSBvZiBMb25kb24sIExvbmRvbiwgVUsgYS5iZWRhcmRA
cW11bC5hYy51ay4mI3hEO05hdGlvbmFsIEluc3RpdHV0ZSBmb3IgSGVhbHRoIFJlc2VhcmNoIENv
bGxhYm9yYXRpb24gZm9yIExlYWRlcnNoaXAgaW4gQXBwbGllZCBIZWFsdGggUmVzZWFyY2ggYW5k
IENhcmUgV2VzdCwgQnJpc3RvbCwgVUsuJiN4RDtTY2hvb2wgb2YgU29jaWFsIGFuZCBDb21tdW5p
dHkgTWVkaWNpbmUsIFVuaXZlcnNpdHkgb2YgQnJpc3RvbCwgQnJpc3RvbCwgVUsuJiN4RDtKb2lu
dCBzZW5pb3IgYXV0aG9ycy4mI3hEO0NlbnRyZSBmb3IgUHJpbWFyeSBDYXJlIGFuZCBQdWJsaWMg
SGVhbHRoLCBCYXJ0cyBhbmQgVGhlIExvbmRvbiBTY2hvb2wgb2YgTWVkaWNpbmUgYW5kIERlbnRp
c3RyeSwgUXVlZW4gTWFyeSBVbml2ZXJzaXR5IG9mIExvbmRvbiwgTG9uZG9uLCBVSy48L2F1dGgt
YWRkcmVzcz48dGl0bGVzPjx0aXRsZT5NYXRlcm5hbCBpbnRha2Ugb2Ygc3VnYXIgZHVyaW5nIHBy
ZWduYW5jeSBhbmQgY2hpbGRob29kIHJlc3BpcmF0b3J5IGFuZCBhdG9waWMgb3V0Y29tZXM8L3Rp
dGxlPjxzZWNvbmRhcnktdGl0bGU+RXVyIFJlc3BpciBKPC9zZWNvbmRhcnktdGl0bGU+PC90aXRs
ZXM+PHBlcmlvZGljYWw+PGZ1bGwtdGl0bGU+RXVyIFJlc3BpciBKPC9mdWxsLXRpdGxlPjwvcGVy
aW9kaWNhbD48dm9sdW1lPjUwPC92b2x1bWU+PG51bWJlcj4xPC9udW1iZXI+PGVkaXRpb24+MjAx
Ny8wNy8wNzwvZWRpdGlvbj48a2V5d29yZHM+PGtleXdvcmQ+QWRvbGVzY2VudDwva2V5d29yZD48
a2V5d29yZD5BZHVsdDwva2V5d29yZD48a2V5d29yZD5Bc3RobWEvKmVwaWRlbWlvbG9neTwva2V5
d29yZD48a2V5d29yZD5DaGlsZDwva2V5d29yZD48a2V5d29yZD5EZXJtYXRpdGlzLCBBdG9waWMv
KmVwaWRlbWlvbG9neTwva2V5d29yZD48a2V5d29yZD5EaWV0YXJ5IFN1Y3Jvc2UvYWRtaW5pc3Ry
YXRpb24gJmFtcDsgZG9zYWdlLyphZHZlcnNlIGVmZmVjdHM8L2tleXdvcmQ+PGtleXdvcmQ+RmVt
YWxlPC9rZXl3b3JkPjxrZXl3b3JkPkh1bWFuczwva2V5d29yZD48a2V5d29yZD5JbW11bm9nbG9i
dWxpbiBFL2Jsb29kPC9rZXl3b3JkPjxrZXl3b3JkPkxpbmVhciBNb2RlbHM8L2tleXdvcmQ+PGtl
eXdvcmQ+TG9naXN0aWMgTW9kZWxzPC9rZXl3b3JkPjxrZXl3b3JkPkxvbmdpdHVkaW5hbCBTdHVk
aWVzPC9rZXl3b3JkPjxrZXl3b3JkPk1hbGU8L2tleXdvcmQ+PGtleXdvcmQ+TW90aGVyczwva2V5
d29yZD48a2V5d29yZD5QcmVnbmFuY3k8L2tleXdvcmQ+PGtleXdvcmQ+UHJlbmF0YWwgRXhwb3N1
cmUgRGVsYXllZCBFZmZlY3RzPC9rZXl3b3JkPjxrZXl3b3JkPipQcmVuYXRhbCBOdXRyaXRpb25h
bCBQaHlzaW9sb2dpY2FsIFBoZW5vbWVuYTwva2V5d29yZD48a2V5d29yZD5SZXNwaXJhdG9yeSBT
b3VuZHM8L2tleXdvcmQ+PGtleXdvcmQ+Umhpbml0aXMsIEFsbGVyZ2ljLCBTZWFzb25hbC8qZXBp
ZGVtaW9sb2d5PC9rZXl3b3JkPjxrZXl3b3JkPlVuaXRlZCBLaW5nZG9tL2VwaWRlbWlvbG9neTwv
a2V5d29yZD48L2tleXdvcmRzPjxkYXRlcz48eWVhcj4yMDE3PC95ZWFyPjxwdWItZGF0ZXM+PGRh
dGU+SnVsPC9kYXRlPjwvcHViLWRhdGVzPjwvZGF0ZXM+PGlzYm4+MTM5OS0zMDAzIChFbGVjdHJv
bmljKSYjeEQ7MDkwMy0xOTM2IChMaW5raW5nKTwvaXNibj48YWNjZXNzaW9uLW51bT4yODY3OTYx
MDwvYWNjZXNzaW9uLW51bT48dXJscz48cmVsYXRlZC11cmxzPjx1cmw+aHR0cHM6Ly93d3cubmNi
aS5ubG0ubmloLmdvdi9wdWJtZWQvMjg2Nzk2MTA8L3VybD48L3JlbGF0ZWQtdXJscz48L3VybHM+
PGN1c3RvbTI+UE1DNTU0MDY3OCBlcmouZXJzam91cm5hbHMuY29tPC9jdXN0b20yPjxlbGVjdHJv
bmljLXJlc291cmNlLW51bT4xMC4xMTgzLzEzOTkzMDAzLjAwMDczLTIwMTc8L2VsZWN0cm9uaWMt
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104</w:t>
      </w:r>
      <w:r>
        <w:fldChar w:fldCharType="end"/>
      </w:r>
      <w:r>
        <w:t xml:space="preserve"> found that </w:t>
      </w:r>
      <w:r w:rsidRPr="00BE7A73">
        <w:t>maternal intake of free sugar was positively associated with atopy (</w:t>
      </w:r>
      <w:r w:rsidRPr="00743D03">
        <w:rPr>
          <w:sz w:val="16"/>
          <w:szCs w:val="16"/>
        </w:rPr>
        <w:t>OR for highest versus lowest quintile of sugar intake 1.38, 95% CI 1.06-1.78; per quintile p-trend=0.006</w:t>
      </w:r>
      <w:r w:rsidRPr="00BE7A73">
        <w:t>) and atopic asthma (</w:t>
      </w:r>
      <w:r w:rsidRPr="00743D03">
        <w:rPr>
          <w:sz w:val="16"/>
          <w:szCs w:val="16"/>
        </w:rPr>
        <w:t>OR 2.01, 95% CI 1.23-3.29; per quintile p-trend=0.004</w:t>
      </w:r>
      <w:r w:rsidRPr="00BE7A73">
        <w:t>).</w:t>
      </w:r>
    </w:p>
    <w:p w14:paraId="04C6D6A8" w14:textId="4A66593C" w:rsidR="00122B25" w:rsidRDefault="00122B25" w:rsidP="00122B25">
      <w:pPr>
        <w:pStyle w:val="Heading3"/>
      </w:pPr>
      <w:bookmarkStart w:id="54" w:name="_Toc40956491"/>
      <w:r>
        <w:t>Fast foods</w:t>
      </w:r>
      <w:bookmarkEnd w:id="54"/>
    </w:p>
    <w:p w14:paraId="04953E79" w14:textId="77777777" w:rsidR="00D11616" w:rsidRDefault="00D11616" w:rsidP="005D6525">
      <w:pPr>
        <w:pStyle w:val="Heading4"/>
      </w:pPr>
      <w:r>
        <w:t>Gestational diabetes</w:t>
      </w:r>
    </w:p>
    <w:p w14:paraId="377EDF9F" w14:textId="2419921E" w:rsidR="005D6525" w:rsidRDefault="005D6525" w:rsidP="005D6525">
      <w:r>
        <w:t>A cohort study (</w:t>
      </w:r>
      <w:r w:rsidRPr="004859FC">
        <w:rPr>
          <w:sz w:val="16"/>
          <w:szCs w:val="16"/>
        </w:rPr>
        <w:t>n=3,048</w:t>
      </w:r>
      <w:r>
        <w:t>)</w:t>
      </w:r>
      <w:r>
        <w:fldChar w:fldCharType="begin">
          <w:fldData xml:space="preserve">PEVuZE5vdGU+PENpdGU+PEF1dGhvcj5Eb21pbmd1ZXo8L0F1dGhvcj48WWVhcj4yMDE0PC9ZZWFy
PjxSZWNOdW0+MTM1NTwvUmVjTnVtPjxEaXNwbGF5VGV4dD48c3R5bGUgZmFjZT0ic3VwZXJzY3Jp
cHQiIGZvbnQ9IlRyZWJ1Y2hldCBNUyIgc2l6ZT0iOSI+MTA1PC9zdHlsZT48L0Rpc3BsYXlUZXh0
PjxyZWNvcmQ+PHJlYy1udW1iZXI+MTM1NTwvcmVjLW51bWJlcj48Zm9yZWlnbi1rZXlzPjxrZXkg
YXBwPSJFTiIgZGItaWQ9ImV4dmFzcmZ4MmR0cmFvZXNhc3hwMnN6c3hhMmRmNTAyNTkyeCIgdGlt
ZXN0YW1wPSIxNTY3MDMxMDI3Ij4xMzU1PC9rZXk+PGtleSBhcHA9IkVOV2ViIiBkYi1pZD0iIj4w
PC9rZXk+PC9mb3JlaWduLWtleXM+PHJlZi10eXBlIG5hbWU9IkpvdXJuYWwgQXJ0aWNsZSI+MTc8
L3JlZi10eXBlPjxjb250cmlidXRvcnM+PGF1dGhvcnM+PGF1dGhvcj5Eb21pbmd1ZXosIEwuIEou
PC9hdXRob3I+PGF1dGhvcj5NYXJ0aW5lei1Hb256YWxleiwgTS4gQS48L2F1dGhvcj48YXV0aG9y
PkJhc3RlcnJhLUdvcnRhcmksIEYuIEouPC9hdXRob3I+PGF1dGhvcj5HZWEsIEEuPC9hdXRob3I+
PGF1dGhvcj5CYXJiYWdhbGxvLCBNLjwvYXV0aG9yPjxhdXRob3I+QmVzLVJhc3Ryb2xsbywgTS48
L2F1dGhvcj48L2F1dGhvcnM+PC9jb250cmlidXRvcnM+PGF1dGgtYWRkcmVzcz5HZXJpYXRyaWMg
VW5pdCAtIERlcGFydG1lbnQgb2YgSW50ZXJuYWwgTWVkaWNpbmUgYW5kIFNwZWNpYWx0aWVzLCBV
bml2ZXJzaXR5IG9mIFBhbGVybW8sIFBhbGVybW8sIFNpY2lseSwgSXRhbHkuJiN4RDtEZXBhcnRt
ZW50IG9mIFByZXZlbnRpdmUgTWVkaWNpbmUgYW5kIFB1YmxpYyBIZWFsdGgsIFVuaXZlcnNpdHkg
b2YgTmF2YXJyYSwgUGFtcGxvbmEsIE5hdmFycmEsIFNwYWluLCBhbmQgQ0lCRVIgRmlzaW9wYXRv
bG9naWEgZGUgbGEgT2Jlc2lkYWQgeSBOdXRyaWNpb24gKENJQkVSb2JuKSwgSW5zdGl0dXRvIGRl
IFNhbHVkIENhcmxvcyBJSUksIE1hZHJpZCwgU3BhaW4uJiN4RDtEZXBhcnRtZW50IG9mIFByZXZl
bnRpdmUgTWVkaWNpbmUgYW5kIFB1YmxpYyBIZWFsdGgsIFVuaXZlcnNpdHkgb2YgTmF2YXJyYSwg
UGFtcGxvbmEsIE5hdmFycmEsIFNwYWluLCBhbmQgQ0lCRVIgRmlzaW9wYXRvbG9naWEgZGUgbGEg
T2Jlc2lkYWQgeSBOdXRyaWNpb24gKENJQkVSb2JuKSwgSW5zdGl0dXRvIGRlIFNhbHVkIENhcmxv
cyBJSUksIE1hZHJpZCwgU3BhaW47IERlcGFydG1lbnQgb2YgSW50ZXJuYWwgTWVkaWNpbmUgKEVu
ZG9jcmlub2xvZ3kpLCBIb3NwaXRhbCBSZWluYSBTb2ZpYSwgVHVkZWxhLCBOYXZhcnJhLCBTcGFp
bi48L2F1dGgtYWRkcmVzcz48dGl0bGVzPjx0aXRsZT5GYXN0IGZvb2QgY29uc3VtcHRpb24gYW5k
IGdlc3RhdGlvbmFsIGRpYWJldGVzIGluY2lkZW5jZSBpbiB0aGUgU1VOIHByb2plY3Q8L3RpdGxl
PjxzZWNvbmRhcnktdGl0bGU+UExvUyBPbmU8L3NlY29uZGFyeS10aXRsZT48L3RpdGxlcz48cGVy
aW9kaWNhbD48ZnVsbC10aXRsZT5QTG9TIE9uZTwvZnVsbC10aXRsZT48L3BlcmlvZGljYWw+PHBh
Z2VzPmUxMDY2Mjc8L3BhZ2VzPjx2b2x1bWU+OTwvdm9sdW1lPjxudW1iZXI+OTwvbnVtYmVyPjxl
ZGl0aW9uPjIwMTQvMDkvMTM8L2VkaXRpb24+PGtleXdvcmRzPjxrZXl3b3JkPkFkdWx0PC9rZXl3
b3JkPjxrZXl3b3JkPkNvaG9ydCBTdHVkaWVzPC9rZXl3b3JkPjxrZXl3b3JkPkNvbmZpZGVuY2Ug
SW50ZXJ2YWxzPC9rZXl3b3JkPjxrZXl3b3JkPkRpYWJldGVzLCBHZXN0YXRpb25hbC8qZXBpZGVt
aW9sb2d5PC9rZXl3b3JkPjxrZXl3b3JkPipGYXN0IEZvb2RzPC9rZXl3b3JkPjxrZXl3b3JkPkZl
bWFsZTwva2V5d29yZD48a2V5d29yZD5IdW1hbnM8L2tleXdvcmQ+PGtleXdvcmQ+SW5jaWRlbmNl
PC9rZXl3b3JkPjxrZXl3b3JkPk9kZHMgUmF0aW88L2tleXdvcmQ+PGtleXdvcmQ+UHJlZ25hbmN5
PC9rZXl3b3JkPjxrZXl3b3JkPlNwYWluL2VwaWRlbWlvbG9neTwva2V5d29yZD48L2tleXdvcmRz
PjxkYXRlcz48eWVhcj4yMDE0PC95ZWFyPjwvZGF0ZXM+PGlzYm4+MTkzMi02MjAzIChFbGVjdHJv
bmljKSYjeEQ7MTkzMi02MjAzIChMaW5raW5nKTwvaXNibj48YWNjZXNzaW9uLW51bT4yNTIxNTk2
MTwvYWNjZXNzaW9uLW51bT48dXJscz48cmVsYXRlZC11cmxzPjx1cmw+aHR0cHM6Ly93d3cubmNi
aS5ubG0ubmloLmdvdi9wdWJtZWQvMjUyMTU5NjE8L3VybD48L3JlbGF0ZWQtdXJscz48L3VybHM+
PGN1c3RvbTI+UE1DNDE2MjU2NzwvY3VzdG9tMj48ZWxlY3Ryb25pYy1yZXNvdXJjZS1udW0+MTAu
MTM3MS9qb3VybmFsLnBvbmUuMDEwNjYyNzwvZWxlY3Ryb25pYy1yZXNvdXJjZS1udW0+PC9yZWNv
cmQ+PC9DaXRlPjwvRW5kTm90ZT4A
</w:fldData>
        </w:fldChar>
      </w:r>
      <w:r w:rsidR="002747EA">
        <w:instrText xml:space="preserve"> ADDIN EN.CITE </w:instrText>
      </w:r>
      <w:r w:rsidR="002747EA">
        <w:fldChar w:fldCharType="begin">
          <w:fldData xml:space="preserve">PEVuZE5vdGU+PENpdGU+PEF1dGhvcj5Eb21pbmd1ZXo8L0F1dGhvcj48WWVhcj4yMDE0PC9ZZWFy
PjxSZWNOdW0+MTM1NTwvUmVjTnVtPjxEaXNwbGF5VGV4dD48c3R5bGUgZmFjZT0ic3VwZXJzY3Jp
cHQiIGZvbnQ9IlRyZWJ1Y2hldCBNUyIgc2l6ZT0iOSI+MTA1PC9zdHlsZT48L0Rpc3BsYXlUZXh0
PjxyZWNvcmQ+PHJlYy1udW1iZXI+MTM1NTwvcmVjLW51bWJlcj48Zm9yZWlnbi1rZXlzPjxrZXkg
YXBwPSJFTiIgZGItaWQ9ImV4dmFzcmZ4MmR0cmFvZXNhc3hwMnN6c3hhMmRmNTAyNTkyeCIgdGlt
ZXN0YW1wPSIxNTY3MDMxMDI3Ij4xMzU1PC9rZXk+PGtleSBhcHA9IkVOV2ViIiBkYi1pZD0iIj4w
PC9rZXk+PC9mb3JlaWduLWtleXM+PHJlZi10eXBlIG5hbWU9IkpvdXJuYWwgQXJ0aWNsZSI+MTc8
L3JlZi10eXBlPjxjb250cmlidXRvcnM+PGF1dGhvcnM+PGF1dGhvcj5Eb21pbmd1ZXosIEwuIEou
PC9hdXRob3I+PGF1dGhvcj5NYXJ0aW5lei1Hb256YWxleiwgTS4gQS48L2F1dGhvcj48YXV0aG9y
PkJhc3RlcnJhLUdvcnRhcmksIEYuIEouPC9hdXRob3I+PGF1dGhvcj5HZWEsIEEuPC9hdXRob3I+
PGF1dGhvcj5CYXJiYWdhbGxvLCBNLjwvYXV0aG9yPjxhdXRob3I+QmVzLVJhc3Ryb2xsbywgTS48
L2F1dGhvcj48L2F1dGhvcnM+PC9jb250cmlidXRvcnM+PGF1dGgtYWRkcmVzcz5HZXJpYXRyaWMg
VW5pdCAtIERlcGFydG1lbnQgb2YgSW50ZXJuYWwgTWVkaWNpbmUgYW5kIFNwZWNpYWx0aWVzLCBV
bml2ZXJzaXR5IG9mIFBhbGVybW8sIFBhbGVybW8sIFNpY2lseSwgSXRhbHkuJiN4RDtEZXBhcnRt
ZW50IG9mIFByZXZlbnRpdmUgTWVkaWNpbmUgYW5kIFB1YmxpYyBIZWFsdGgsIFVuaXZlcnNpdHkg
b2YgTmF2YXJyYSwgUGFtcGxvbmEsIE5hdmFycmEsIFNwYWluLCBhbmQgQ0lCRVIgRmlzaW9wYXRv
bG9naWEgZGUgbGEgT2Jlc2lkYWQgeSBOdXRyaWNpb24gKENJQkVSb2JuKSwgSW5zdGl0dXRvIGRl
IFNhbHVkIENhcmxvcyBJSUksIE1hZHJpZCwgU3BhaW4uJiN4RDtEZXBhcnRtZW50IG9mIFByZXZl
bnRpdmUgTWVkaWNpbmUgYW5kIFB1YmxpYyBIZWFsdGgsIFVuaXZlcnNpdHkgb2YgTmF2YXJyYSwg
UGFtcGxvbmEsIE5hdmFycmEsIFNwYWluLCBhbmQgQ0lCRVIgRmlzaW9wYXRvbG9naWEgZGUgbGEg
T2Jlc2lkYWQgeSBOdXRyaWNpb24gKENJQkVSb2JuKSwgSW5zdGl0dXRvIGRlIFNhbHVkIENhcmxv
cyBJSUksIE1hZHJpZCwgU3BhaW47IERlcGFydG1lbnQgb2YgSW50ZXJuYWwgTWVkaWNpbmUgKEVu
ZG9jcmlub2xvZ3kpLCBIb3NwaXRhbCBSZWluYSBTb2ZpYSwgVHVkZWxhLCBOYXZhcnJhLCBTcGFp
bi48L2F1dGgtYWRkcmVzcz48dGl0bGVzPjx0aXRsZT5GYXN0IGZvb2QgY29uc3VtcHRpb24gYW5k
IGdlc3RhdGlvbmFsIGRpYWJldGVzIGluY2lkZW5jZSBpbiB0aGUgU1VOIHByb2plY3Q8L3RpdGxl
PjxzZWNvbmRhcnktdGl0bGU+UExvUyBPbmU8L3NlY29uZGFyeS10aXRsZT48L3RpdGxlcz48cGVy
aW9kaWNhbD48ZnVsbC10aXRsZT5QTG9TIE9uZTwvZnVsbC10aXRsZT48L3BlcmlvZGljYWw+PHBh
Z2VzPmUxMDY2Mjc8L3BhZ2VzPjx2b2x1bWU+OTwvdm9sdW1lPjxudW1iZXI+OTwvbnVtYmVyPjxl
ZGl0aW9uPjIwMTQvMDkvMTM8L2VkaXRpb24+PGtleXdvcmRzPjxrZXl3b3JkPkFkdWx0PC9rZXl3
b3JkPjxrZXl3b3JkPkNvaG9ydCBTdHVkaWVzPC9rZXl3b3JkPjxrZXl3b3JkPkNvbmZpZGVuY2Ug
SW50ZXJ2YWxzPC9rZXl3b3JkPjxrZXl3b3JkPkRpYWJldGVzLCBHZXN0YXRpb25hbC8qZXBpZGVt
aW9sb2d5PC9rZXl3b3JkPjxrZXl3b3JkPipGYXN0IEZvb2RzPC9rZXl3b3JkPjxrZXl3b3JkPkZl
bWFsZTwva2V5d29yZD48a2V5d29yZD5IdW1hbnM8L2tleXdvcmQ+PGtleXdvcmQ+SW5jaWRlbmNl
PC9rZXl3b3JkPjxrZXl3b3JkPk9kZHMgUmF0aW88L2tleXdvcmQ+PGtleXdvcmQ+UHJlZ25hbmN5
PC9rZXl3b3JkPjxrZXl3b3JkPlNwYWluL2VwaWRlbWlvbG9neTwva2V5d29yZD48L2tleXdvcmRz
PjxkYXRlcz48eWVhcj4yMDE0PC95ZWFyPjwvZGF0ZXM+PGlzYm4+MTkzMi02MjAzIChFbGVjdHJv
bmljKSYjeEQ7MTkzMi02MjAzIChMaW5raW5nKTwvaXNibj48YWNjZXNzaW9uLW51bT4yNTIxNTk2
MTwvYWNjZXNzaW9uLW51bT48dXJscz48cmVsYXRlZC11cmxzPjx1cmw+aHR0cHM6Ly93d3cubmNi
aS5ubG0ubmloLmdvdi9wdWJtZWQvMjUyMTU5NjE8L3VybD48L3JlbGF0ZWQtdXJscz48L3VybHM+
PGN1c3RvbTI+UE1DNDE2MjU2NzwvY3VzdG9tMj48ZWxlY3Ryb25pYy1yZXNvdXJjZS1udW0+MTAu
MTM3MS9qb3VybmFsLnBvbmUuMDEwNjYyNzwvZWxlY3Ryb25pYy1yZXNvdXJjZS1udW0+PC9yZWNv
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105</w:t>
      </w:r>
      <w:r>
        <w:fldChar w:fldCharType="end"/>
      </w:r>
      <w:r>
        <w:t xml:space="preserve"> found that</w:t>
      </w:r>
      <w:r w:rsidR="004859FC">
        <w:t>, compared to the lowest category of baseline fast food consumption,</w:t>
      </w:r>
      <w:r>
        <w:t xml:space="preserve"> </w:t>
      </w:r>
      <w:r w:rsidRPr="00B1545A">
        <w:t>fast food consumption was associated with a higher risk of incident gestational diabetes</w:t>
      </w:r>
      <w:r>
        <w:t xml:space="preserve"> for the intermediate (</w:t>
      </w:r>
      <w:r w:rsidRPr="004859FC">
        <w:rPr>
          <w:sz w:val="16"/>
          <w:szCs w:val="16"/>
        </w:rPr>
        <w:t>aOR</w:t>
      </w:r>
      <w:r w:rsidR="001F53E5">
        <w:rPr>
          <w:sz w:val="16"/>
          <w:szCs w:val="16"/>
        </w:rPr>
        <w:t> </w:t>
      </w:r>
      <w:r w:rsidRPr="004859FC">
        <w:rPr>
          <w:sz w:val="16"/>
          <w:szCs w:val="16"/>
        </w:rPr>
        <w:t>1.31; 95%CI 0.81 to 2.13</w:t>
      </w:r>
      <w:r w:rsidRPr="00B1545A">
        <w:t xml:space="preserve">) and </w:t>
      </w:r>
      <w:r>
        <w:t>high (</w:t>
      </w:r>
      <w:r w:rsidRPr="004859FC">
        <w:rPr>
          <w:sz w:val="16"/>
          <w:szCs w:val="16"/>
        </w:rPr>
        <w:t>aOR 1.86; 95% CI 1.13</w:t>
      </w:r>
      <w:r w:rsidR="004859FC" w:rsidRPr="004859FC">
        <w:rPr>
          <w:sz w:val="16"/>
          <w:szCs w:val="16"/>
        </w:rPr>
        <w:t xml:space="preserve"> to </w:t>
      </w:r>
      <w:r w:rsidRPr="004859FC">
        <w:rPr>
          <w:sz w:val="16"/>
          <w:szCs w:val="16"/>
        </w:rPr>
        <w:t>3.06</w:t>
      </w:r>
      <w:r w:rsidRPr="00B1545A">
        <w:t>) categories (</w:t>
      </w:r>
      <w:r w:rsidRPr="004859FC">
        <w:rPr>
          <w:sz w:val="16"/>
          <w:szCs w:val="16"/>
        </w:rPr>
        <w:t>p for trend: 0.007</w:t>
      </w:r>
      <w:r w:rsidRPr="00B1545A">
        <w:t>).</w:t>
      </w:r>
    </w:p>
    <w:p w14:paraId="7C2E703A" w14:textId="1067D6DB" w:rsidR="00D11616" w:rsidRDefault="00D11616" w:rsidP="005D6525">
      <w:pPr>
        <w:pStyle w:val="Heading4"/>
      </w:pPr>
      <w:r>
        <w:t>Childhood allergy</w:t>
      </w:r>
      <w:r w:rsidR="0035604D">
        <w:t xml:space="preserve"> and asthma</w:t>
      </w:r>
    </w:p>
    <w:p w14:paraId="0650790B" w14:textId="77777777" w:rsidR="001F53E5" w:rsidRDefault="001F53E5" w:rsidP="00AB1273">
      <w:r>
        <w:t>Cohort studies have found that:</w:t>
      </w:r>
    </w:p>
    <w:p w14:paraId="5C3CBFA7" w14:textId="54227E9A" w:rsidR="00AB1273" w:rsidRDefault="00AB1273" w:rsidP="008B14B3">
      <w:pPr>
        <w:pStyle w:val="bullet"/>
      </w:pPr>
      <w:r w:rsidRPr="00880A17">
        <w:t xml:space="preserve">fast food consumption </w:t>
      </w:r>
      <w:r w:rsidR="008B14B3">
        <w:t>three or</w:t>
      </w:r>
      <w:r w:rsidR="001F53E5">
        <w:t xml:space="preserve"> more</w:t>
      </w:r>
      <w:r w:rsidR="008B14B3">
        <w:t xml:space="preserve"> times a week</w:t>
      </w:r>
      <w:r>
        <w:t xml:space="preserve"> in pregnancy</w:t>
      </w:r>
      <w:r w:rsidRPr="00880A17">
        <w:t xml:space="preserve"> </w:t>
      </w:r>
      <w:r>
        <w:t>was</w:t>
      </w:r>
      <w:r w:rsidRPr="00880A17">
        <w:t xml:space="preserve"> associated </w:t>
      </w:r>
      <w:r>
        <w:t>with a</w:t>
      </w:r>
      <w:r w:rsidRPr="00880A17">
        <w:t xml:space="preserve"> higher prevalence</w:t>
      </w:r>
      <w:r>
        <w:t xml:space="preserve"> of dermatitis in the child (</w:t>
      </w:r>
      <w:r w:rsidRPr="00AB1273">
        <w:rPr>
          <w:sz w:val="16"/>
          <w:szCs w:val="16"/>
        </w:rPr>
        <w:t>p=0.005</w:t>
      </w:r>
      <w:r>
        <w:t>)</w:t>
      </w:r>
      <w:r w:rsidR="001F53E5" w:rsidRPr="001F53E5">
        <w:t xml:space="preserve"> </w:t>
      </w:r>
      <w:r w:rsidR="001F53E5">
        <w:t>(</w:t>
      </w:r>
      <w:r w:rsidR="001F53E5" w:rsidRPr="00AC3999">
        <w:rPr>
          <w:sz w:val="16"/>
          <w:szCs w:val="16"/>
        </w:rPr>
        <w:t>n=1,000</w:t>
      </w:r>
      <w:r w:rsidR="001F53E5">
        <w:t>)</w:t>
      </w:r>
      <w:r w:rsidR="001F53E5">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1F53E5">
        <w:fldChar w:fldCharType="separate"/>
      </w:r>
      <w:r w:rsidR="002747EA" w:rsidRPr="002747EA">
        <w:rPr>
          <w:noProof/>
          <w:vertAlign w:val="superscript"/>
        </w:rPr>
        <w:t>53</w:t>
      </w:r>
      <w:r w:rsidR="001F53E5">
        <w:fldChar w:fldCharType="end"/>
      </w:r>
    </w:p>
    <w:p w14:paraId="506F68F9" w14:textId="1427008D" w:rsidR="0035604D" w:rsidRPr="0066618E" w:rsidRDefault="0035604D" w:rsidP="008B14B3">
      <w:pPr>
        <w:pStyle w:val="bullet"/>
      </w:pPr>
      <w:r>
        <w:t>daily fast food consumption during pregnancy was associate</w:t>
      </w:r>
      <w:r w:rsidRPr="0066618E">
        <w:t>d with increased risk of asthmatic symptoms</w:t>
      </w:r>
      <w:r w:rsidR="001F53E5" w:rsidRPr="0066618E">
        <w:t xml:space="preserve"> in the child</w:t>
      </w:r>
      <w:r w:rsidRPr="0066618E">
        <w:t xml:space="preserve"> (</w:t>
      </w:r>
      <w:r w:rsidRPr="0066618E">
        <w:rPr>
          <w:sz w:val="16"/>
          <w:szCs w:val="16"/>
        </w:rPr>
        <w:t>RR 4.46; 95%CI 1.36 to 14.6</w:t>
      </w:r>
      <w:r w:rsidRPr="0066618E">
        <w:t>)</w:t>
      </w:r>
      <w:r w:rsidR="001F53E5" w:rsidRPr="0066618E">
        <w:t xml:space="preserve"> (</w:t>
      </w:r>
      <w:r w:rsidR="001F53E5" w:rsidRPr="0066618E">
        <w:rPr>
          <w:sz w:val="16"/>
          <w:szCs w:val="16"/>
        </w:rPr>
        <w:t>n=1,201 mother-infant pairs</w:t>
      </w:r>
      <w:r w:rsidR="001F53E5" w:rsidRPr="0066618E">
        <w:t>).</w:t>
      </w:r>
      <w:r w:rsidR="00774750">
        <w:fldChar w:fldCharType="begin">
          <w:fldData xml:space="preserve">PEVuZE5vdGU+PENpdGU+PEF1dGhvcj52b24gRWhyZW5zdGVpbjwvQXV0aG9yPjxZZWFyPjIwMTU8
L1llYXI+PFJlY051bT4xNzEyPC9SZWNOdW0+PERpc3BsYXlUZXh0PjxzdHlsZSBmYWNlPSJzdXBl
cnNjcmlwdCIgZm9udD0iVHJlYnVjaGV0IE1TIiBzaXplPSI5Ij4xMDY8L3N0eWxlPjwvRGlzcGxh
eVRleHQ+PHJlY29yZD48cmVjLW51bWJlcj4xNzEyPC9yZWMtbnVtYmVyPjxmb3JlaWduLWtleXM+
PGtleSBhcHA9IkVOIiBkYi1pZD0iZXh2YXNyZngyZHRyYW9lc2FzeHAyc3pzeGEyZGY1MDI1OTJ4
IiB0aW1lc3RhbXA9IjE1ODI1MDYxMDQiPjE3MTI8L2tleT48a2V5IGFwcD0iRU5XZWIiIGRiLWlk
PSIiPjA8L2tleT48L2ZvcmVpZ24ta2V5cz48cmVmLXR5cGUgbmFtZT0iSm91cm5hbCBBcnRpY2xl
Ij4xNzwvcmVmLXR5cGU+PGNvbnRyaWJ1dG9ycz48YXV0aG9ycz48YXV0aG9yPnZvbiBFaHJlbnN0
ZWluLCBPLiBTLjwvYXV0aG9yPjxhdXRob3I+QXJhbGlzLCBILjwvYXV0aG9yPjxhdXRob3I+Rmxv
cmVzLCBNLiBFLjwvYXV0aG9yPjxhdXRob3I+Uml0eiwgQi48L2F1dGhvcj48L2F1dGhvcnM+PC9j
b250cmlidXRvcnM+PGF1dGgtYWRkcmVzcz5EZXBhcnRtZW50IG9mIENvbW11bml0eSBIZWFsdGgg
U2NpZW5jZXMsIEZpZWxkaW5nIFNjaG9vbCBvZiBQdWJsaWMgSGVhbHRoLCBVbml2ZXJzaXR5IG9m
IENhbGlmb3JuaWEsIExvcyBBbmdlbGVzLCBDQSwgVVNBLiYjeEQ7RGVwYXJ0bWVudCBvZiBCaW9z
dGF0aXN0aWNzLCBGaWVsZGluZyBTY2hvb2wgb2YgUHVibGljIEhlYWx0aCwgVW5pdmVyc2l0eSBv
ZiBDYWxpZm9ybmlhLCBMb3MgQW5nZWxlcywgQ0EsIFVTQS4mI3hEO0RlcGFydG1lbnQgb2YgRXBp
ZGVtaW9sb2d5LCBGaWVsZGluZyBTY2hvb2wgb2YgUHVibGljIEhlYWx0aCwgVW5pdmVyc2l0eSBv
ZiBDYWxpZm9ybmlhLCBMb3MgQW5nZWxlcywgQ0EsIFVTQS4mI3hEO0RlcGFydG1lbnQgb2YgRmFt
aWx5IGFuZCBTb2NpYWwgTWVkaWNpbmUsIE1vbnRlZmlvcmUgTWVkaWNhbCBDZW50ZXIsIFRoZSBV
bml2ZXJzaXR5IEhvc3BpdGFsIGZvciBBbGJlcnQgRWluc3RlaW4gQ29sbGVnZSBvZiBNZWRpY2lu
ZSwgQnJvbngsIE5ZLCBVU0EuPC9hdXRoLWFkZHJlc3M+PHRpdGxlcz48dGl0bGU+RmFzdCBmb29k
IGNvbnN1bXB0aW9uIGluIHByZWduYW5jeSBhbmQgc3Vic2VxdWVudCBhc3RobWEgc3ltcHRvbXMg
aW4geW91bmcgY2hpbGRyZW48L3RpdGxlPjxzZWNvbmRhcnktdGl0bGU+UGVkaWF0ciBBbGxlcmd5
IEltbXVub2w8L3NlY29uZGFyeS10aXRsZT48L3RpdGxlcz48cGVyaW9kaWNhbD48ZnVsbC10aXRs
ZT5QZWRpYXRyIEFsbGVyZ3kgSW1tdW5vbDwvZnVsbC10aXRsZT48L3BlcmlvZGljYWw+PHBhZ2Vz
PjU3MS03PC9wYWdlcz48dm9sdW1lPjI2PC92b2x1bWU+PG51bWJlcj42PC9udW1iZXI+PGVkaXRp
b24+MjAxNS8wNi8yNjwvZWRpdGlvbj48a2V5d29yZHM+PGtleXdvcmQ+QWR1bHQ8L2tleXdvcmQ+
PGtleXdvcmQ+QWdlIEZhY3RvcnM8L2tleXdvcmQ+PGtleXdvcmQ+QXN0aG1hL2RpYWdub3Npcy8q
ZXRpb2xvZ3k8L2tleXdvcmQ+PGtleXdvcmQ+Q2hpbGQsIFByZXNjaG9vbDwva2V5d29yZD48a2V5
d29yZD5EaWV0LyphZHZlcnNlIGVmZmVjdHM8L2tleXdvcmQ+PGtleXdvcmQ+RmFzdCBGb29kcy8q
YWR2ZXJzZSBlZmZlY3RzPC9rZXl3b3JkPjxrZXl3b3JkPipGZWVkaW5nIEJlaGF2aW9yPC9rZXl3
b3JkPjxrZXl3b3JkPkZlbWFsZTwva2V5d29yZD48a2V5d29yZD5IdW1hbnM8L2tleXdvcmQ+PGtl
eXdvcmQ+TGluZWFyIE1vZGVsczwva2V5d29yZD48a2V5d29yZD5Mb3MgQW5nZWxlczwva2V5d29y
ZD48a2V5d29yZD5NdWx0aXZhcmlhdGUgQW5hbHlzaXM8L2tleXdvcmQ+PGtleXdvcmQ+T2RkcyBS
YXRpbzwva2V5d29yZD48a2V5d29yZD5QcmVnbmFuY3k8L2tleXdvcmQ+PGtleXdvcmQ+KlByZW5h
dGFsIEV4cG9zdXJlIERlbGF5ZWQgRWZmZWN0czwva2V5d29yZD48a2V5d29yZD4qUHJlbmF0YWwg
TnV0cml0aW9uYWwgUGh5c2lvbG9naWNhbCBQaGVub21lbmE8L2tleXdvcmQ+PGtleXdvcmQ+UHJv
cGVuc2l0eSBTY29yZTwva2V5d29yZD48a2V5d29yZD5SaXNrIEZhY3RvcnM8L2tleXdvcmQ+PGtl
eXdvcmQ+U3VydmV5cyBhbmQgUXVlc3Rpb25uYWlyZXM8L2tleXdvcmQ+PGtleXdvcmQ+WW91bmcg
QWR1bHQ8L2tleXdvcmQ+PGtleXdvcmQ+YXN0aG1hPC9rZXl3b3JkPjxrZXl3b3JkPmNoaWxkcmVu
PC9rZXl3b3JkPjxrZXl3b3JkPmVwaWRlbWlvbG9neTwva2V5d29yZD48a2V5d29yZD5mYXN0IGZv
b2Q8L2tleXdvcmQ+PGtleXdvcmQ+bWF0ZXJuYWwgZGlldDwva2V5d29yZD48L2tleXdvcmRzPjxk
YXRlcz48eWVhcj4yMDE1PC95ZWFyPjxwdWItZGF0ZXM+PGRhdGU+U2VwPC9kYXRlPjwvcHViLWRh
dGVzPjwvZGF0ZXM+PGlzYm4+MTM5OS0zMDM4IChFbGVjdHJvbmljKSYjeEQ7MDkwNS02MTU3IChM
aW5raW5nKTwvaXNibj48YWNjZXNzaW9uLW51bT4yNjEwOTI3MjwvYWNjZXNzaW9uLW51bT48dXJs
cz48cmVsYXRlZC11cmxzPjx1cmw+aHR0cHM6Ly93d3cubmNiaS5ubG0ubmloLmdvdi9wdWJtZWQv
MjYxMDkyNzI8L3VybD48L3JlbGF0ZWQtdXJscz48L3VybHM+PGVsZWN0cm9uaWMtcmVzb3VyY2Ut
bnVtPjEwLjExMTEvcGFpLjEyNDMzPC9lbGVjdHJvbmljLXJlc291cmNlLW51bT48L3JlY29yZD48
L0NpdGU+PC9FbmROb3RlPgB=
</w:fldData>
        </w:fldChar>
      </w:r>
      <w:r w:rsidR="002747EA">
        <w:instrText xml:space="preserve"> ADDIN EN.CITE </w:instrText>
      </w:r>
      <w:r w:rsidR="002747EA">
        <w:fldChar w:fldCharType="begin">
          <w:fldData xml:space="preserve">PEVuZE5vdGU+PENpdGU+PEF1dGhvcj52b24gRWhyZW5zdGVpbjwvQXV0aG9yPjxZZWFyPjIwMTU8
L1llYXI+PFJlY051bT4xNzEyPC9SZWNOdW0+PERpc3BsYXlUZXh0PjxzdHlsZSBmYWNlPSJzdXBl
cnNjcmlwdCIgZm9udD0iVHJlYnVjaGV0IE1TIiBzaXplPSI5Ij4xMDY8L3N0eWxlPjwvRGlzcGxh
eVRleHQ+PHJlY29yZD48cmVjLW51bWJlcj4xNzEyPC9yZWMtbnVtYmVyPjxmb3JlaWduLWtleXM+
PGtleSBhcHA9IkVOIiBkYi1pZD0iZXh2YXNyZngyZHRyYW9lc2FzeHAyc3pzeGEyZGY1MDI1OTJ4
IiB0aW1lc3RhbXA9IjE1ODI1MDYxMDQiPjE3MTI8L2tleT48a2V5IGFwcD0iRU5XZWIiIGRiLWlk
PSIiPjA8L2tleT48L2ZvcmVpZ24ta2V5cz48cmVmLXR5cGUgbmFtZT0iSm91cm5hbCBBcnRpY2xl
Ij4xNzwvcmVmLXR5cGU+PGNvbnRyaWJ1dG9ycz48YXV0aG9ycz48YXV0aG9yPnZvbiBFaHJlbnN0
ZWluLCBPLiBTLjwvYXV0aG9yPjxhdXRob3I+QXJhbGlzLCBILjwvYXV0aG9yPjxhdXRob3I+Rmxv
cmVzLCBNLiBFLjwvYXV0aG9yPjxhdXRob3I+Uml0eiwgQi48L2F1dGhvcj48L2F1dGhvcnM+PC9j
b250cmlidXRvcnM+PGF1dGgtYWRkcmVzcz5EZXBhcnRtZW50IG9mIENvbW11bml0eSBIZWFsdGgg
U2NpZW5jZXMsIEZpZWxkaW5nIFNjaG9vbCBvZiBQdWJsaWMgSGVhbHRoLCBVbml2ZXJzaXR5IG9m
IENhbGlmb3JuaWEsIExvcyBBbmdlbGVzLCBDQSwgVVNBLiYjeEQ7RGVwYXJ0bWVudCBvZiBCaW9z
dGF0aXN0aWNzLCBGaWVsZGluZyBTY2hvb2wgb2YgUHVibGljIEhlYWx0aCwgVW5pdmVyc2l0eSBv
ZiBDYWxpZm9ybmlhLCBMb3MgQW5nZWxlcywgQ0EsIFVTQS4mI3hEO0RlcGFydG1lbnQgb2YgRXBp
ZGVtaW9sb2d5LCBGaWVsZGluZyBTY2hvb2wgb2YgUHVibGljIEhlYWx0aCwgVW5pdmVyc2l0eSBv
ZiBDYWxpZm9ybmlhLCBMb3MgQW5nZWxlcywgQ0EsIFVTQS4mI3hEO0RlcGFydG1lbnQgb2YgRmFt
aWx5IGFuZCBTb2NpYWwgTWVkaWNpbmUsIE1vbnRlZmlvcmUgTWVkaWNhbCBDZW50ZXIsIFRoZSBV
bml2ZXJzaXR5IEhvc3BpdGFsIGZvciBBbGJlcnQgRWluc3RlaW4gQ29sbGVnZSBvZiBNZWRpY2lu
ZSwgQnJvbngsIE5ZLCBVU0EuPC9hdXRoLWFkZHJlc3M+PHRpdGxlcz48dGl0bGU+RmFzdCBmb29k
IGNvbnN1bXB0aW9uIGluIHByZWduYW5jeSBhbmQgc3Vic2VxdWVudCBhc3RobWEgc3ltcHRvbXMg
aW4geW91bmcgY2hpbGRyZW48L3RpdGxlPjxzZWNvbmRhcnktdGl0bGU+UGVkaWF0ciBBbGxlcmd5
IEltbXVub2w8L3NlY29uZGFyeS10aXRsZT48L3RpdGxlcz48cGVyaW9kaWNhbD48ZnVsbC10aXRs
ZT5QZWRpYXRyIEFsbGVyZ3kgSW1tdW5vbDwvZnVsbC10aXRsZT48L3BlcmlvZGljYWw+PHBhZ2Vz
PjU3MS03PC9wYWdlcz48dm9sdW1lPjI2PC92b2x1bWU+PG51bWJlcj42PC9udW1iZXI+PGVkaXRp
b24+MjAxNS8wNi8yNjwvZWRpdGlvbj48a2V5d29yZHM+PGtleXdvcmQ+QWR1bHQ8L2tleXdvcmQ+
PGtleXdvcmQ+QWdlIEZhY3RvcnM8L2tleXdvcmQ+PGtleXdvcmQ+QXN0aG1hL2RpYWdub3Npcy8q
ZXRpb2xvZ3k8L2tleXdvcmQ+PGtleXdvcmQ+Q2hpbGQsIFByZXNjaG9vbDwva2V5d29yZD48a2V5
d29yZD5EaWV0LyphZHZlcnNlIGVmZmVjdHM8L2tleXdvcmQ+PGtleXdvcmQ+RmFzdCBGb29kcy8q
YWR2ZXJzZSBlZmZlY3RzPC9rZXl3b3JkPjxrZXl3b3JkPipGZWVkaW5nIEJlaGF2aW9yPC9rZXl3
b3JkPjxrZXl3b3JkPkZlbWFsZTwva2V5d29yZD48a2V5d29yZD5IdW1hbnM8L2tleXdvcmQ+PGtl
eXdvcmQ+TGluZWFyIE1vZGVsczwva2V5d29yZD48a2V5d29yZD5Mb3MgQW5nZWxlczwva2V5d29y
ZD48a2V5d29yZD5NdWx0aXZhcmlhdGUgQW5hbHlzaXM8L2tleXdvcmQ+PGtleXdvcmQ+T2RkcyBS
YXRpbzwva2V5d29yZD48a2V5d29yZD5QcmVnbmFuY3k8L2tleXdvcmQ+PGtleXdvcmQ+KlByZW5h
dGFsIEV4cG9zdXJlIERlbGF5ZWQgRWZmZWN0czwva2V5d29yZD48a2V5d29yZD4qUHJlbmF0YWwg
TnV0cml0aW9uYWwgUGh5c2lvbG9naWNhbCBQaGVub21lbmE8L2tleXdvcmQ+PGtleXdvcmQ+UHJv
cGVuc2l0eSBTY29yZTwva2V5d29yZD48a2V5d29yZD5SaXNrIEZhY3RvcnM8L2tleXdvcmQ+PGtl
eXdvcmQ+U3VydmV5cyBhbmQgUXVlc3Rpb25uYWlyZXM8L2tleXdvcmQ+PGtleXdvcmQ+WW91bmcg
QWR1bHQ8L2tleXdvcmQ+PGtleXdvcmQ+YXN0aG1hPC9rZXl3b3JkPjxrZXl3b3JkPmNoaWxkcmVu
PC9rZXl3b3JkPjxrZXl3b3JkPmVwaWRlbWlvbG9neTwva2V5d29yZD48a2V5d29yZD5mYXN0IGZv
b2Q8L2tleXdvcmQ+PGtleXdvcmQ+bWF0ZXJuYWwgZGlldDwva2V5d29yZD48L2tleXdvcmRzPjxk
YXRlcz48eWVhcj4yMDE1PC95ZWFyPjxwdWItZGF0ZXM+PGRhdGU+U2VwPC9kYXRlPjwvcHViLWRh
dGVzPjwvZGF0ZXM+PGlzYm4+MTM5OS0zMDM4IChFbGVjdHJvbmljKSYjeEQ7MDkwNS02MTU3IChM
aW5raW5nKTwvaXNibj48YWNjZXNzaW9uLW51bT4yNjEwOTI3MjwvYWNjZXNzaW9uLW51bT48dXJs
cz48cmVsYXRlZC11cmxzPjx1cmw+aHR0cHM6Ly93d3cubmNiaS5ubG0ubmloLmdvdi9wdWJtZWQv
MjYxMDkyNzI8L3VybD48L3JlbGF0ZWQtdXJscz48L3VybHM+PGVsZWN0cm9uaWMtcmVzb3VyY2Ut
bnVtPjEwLjExMTEvcGFpLjEyNDMzPC9lbGVjdHJvbmljLXJlc291cmNlLW51bT48L3JlY29yZD48
L0NpdGU+PC9FbmROb3RlPgB=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106</w:t>
      </w:r>
      <w:r w:rsidR="00774750">
        <w:fldChar w:fldCharType="end"/>
      </w:r>
      <w:r w:rsidR="001F53E5" w:rsidRPr="0066618E">
        <w:t xml:space="preserve"> </w:t>
      </w:r>
    </w:p>
    <w:p w14:paraId="11A3715B" w14:textId="4ABDE607" w:rsidR="00D11616" w:rsidRDefault="00D11616" w:rsidP="005D6525">
      <w:pPr>
        <w:pStyle w:val="Heading4"/>
      </w:pPr>
      <w:r w:rsidRPr="0066618E">
        <w:t>Childhood cancers</w:t>
      </w:r>
    </w:p>
    <w:p w14:paraId="43D4E045" w14:textId="08B8BAF0" w:rsidR="00AB1273" w:rsidRPr="00AB1273" w:rsidRDefault="00AB1273" w:rsidP="00AB1273">
      <w:r>
        <w:t>A case-control study (</w:t>
      </w:r>
      <w:r w:rsidRPr="00AB1273">
        <w:rPr>
          <w:sz w:val="16"/>
          <w:szCs w:val="16"/>
        </w:rPr>
        <w:t>n=299</w:t>
      </w:r>
      <w:r>
        <w:t>)</w:t>
      </w:r>
      <w:r>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 </w:instrText>
      </w:r>
      <w:r w:rsidR="002747EA">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76</w:t>
      </w:r>
      <w:r>
        <w:fldChar w:fldCharType="end"/>
      </w:r>
      <w:r>
        <w:t xml:space="preserve"> found a p</w:t>
      </w:r>
      <w:r w:rsidRPr="001F7D2B">
        <w:t>ositive association</w:t>
      </w:r>
      <w:r>
        <w:t xml:space="preserve"> between maternal</w:t>
      </w:r>
      <w:r w:rsidRPr="001F7D2B">
        <w:t xml:space="preserve"> intake of fried foods </w:t>
      </w:r>
      <w:r>
        <w:t xml:space="preserve">and retinoblastoma in the child </w:t>
      </w:r>
      <w:r w:rsidRPr="001F7D2B">
        <w:t>(</w:t>
      </w:r>
      <w:r w:rsidRPr="00AB1273">
        <w:rPr>
          <w:sz w:val="16"/>
          <w:szCs w:val="16"/>
        </w:rPr>
        <w:t>OR 4.89, 95 % CI 1.72 to 13.89</w:t>
      </w:r>
      <w:r w:rsidRPr="001F7D2B">
        <w:t>).</w:t>
      </w:r>
    </w:p>
    <w:p w14:paraId="5919C741" w14:textId="3B933866" w:rsidR="003B7F99" w:rsidRDefault="0035604D" w:rsidP="003B7F99">
      <w:pPr>
        <w:pStyle w:val="Heading3"/>
      </w:pPr>
      <w:bookmarkStart w:id="55" w:name="_Toc40956492"/>
      <w:r>
        <w:t>Caffeine</w:t>
      </w:r>
      <w:bookmarkEnd w:id="55"/>
      <w:r>
        <w:t xml:space="preserve"> </w:t>
      </w:r>
    </w:p>
    <w:p w14:paraId="2C577390" w14:textId="3D73BE8F" w:rsidR="000B4B87" w:rsidRDefault="00765FFB" w:rsidP="000B4B87">
      <w:pPr>
        <w:pStyle w:val="Heading4"/>
      </w:pPr>
      <w:r>
        <w:t>Fetal growth and p</w:t>
      </w:r>
      <w:r w:rsidR="000B4B87">
        <w:t>reterm birth</w:t>
      </w:r>
    </w:p>
    <w:p w14:paraId="31F92DA9" w14:textId="6A766A4A" w:rsidR="000B4B87" w:rsidRDefault="000B4B87" w:rsidP="000B4B87">
      <w:r>
        <w:t>A cohort study (</w:t>
      </w:r>
      <w:r w:rsidRPr="00765FFB">
        <w:rPr>
          <w:sz w:val="16"/>
          <w:szCs w:val="16"/>
        </w:rPr>
        <w:t>n=1,898</w:t>
      </w:r>
      <w:r>
        <w:t>)</w:t>
      </w:r>
      <w:r>
        <w:fldChar w:fldCharType="begin"/>
      </w:r>
      <w:r w:rsidR="002747EA">
        <w:instrText xml:space="preserve"> ADDIN EN.CITE &lt;EndNote&gt;&lt;Cite&gt;&lt;Author&gt;Colapinto&lt;/Author&gt;&lt;Year&gt;2015&lt;/Year&gt;&lt;RecNum&gt;1415&lt;/RecNum&gt;&lt;DisplayText&gt;&lt;style face="superscript" font="Trebuchet MS" size="9"&gt;107&lt;/style&gt;&lt;/DisplayText&gt;&lt;record&gt;&lt;rec-number&gt;1415&lt;/rec-number&gt;&lt;foreign-keys&gt;&lt;key app="EN" db-id="exvasrfx2dtraoesasxp2szsxa2df502592x" timestamp="1568170768"&gt;1415&lt;/key&gt;&lt;key app="ENWeb" db-id=""&gt;0&lt;/key&gt;&lt;/foreign-keys&gt;&lt;ref-type name="Journal Article"&gt;17&lt;/ref-type&gt;&lt;contributors&gt;&lt;authors&gt;&lt;author&gt;Colapinto, C.K.,&lt;/author&gt;&lt;author&gt;Arbuckle, T.E.,&lt;/author&gt;&lt;author&gt;Dubois, L.,&lt;/author&gt;&lt;author&gt;Fraser, W.,&lt;/author&gt;&lt;/authors&gt;&lt;/contributors&gt;&lt;titles&gt;&lt;title&gt;Tea consumption in pregnancy as a predictor of pesticide exposure and adverse birth outcomes: The MIREC Study&lt;/title&gt;&lt;secondary-title&gt;Environmental Research&lt;/secondary-title&gt;&lt;/titles&gt;&lt;periodical&gt;&lt;full-title&gt;Environmental Research&lt;/full-title&gt;&lt;/periodical&gt;&lt;pages&gt;77-83&lt;/pages&gt;&lt;volume&gt;142&lt;/volume&gt;&lt;section&gt;77&lt;/section&gt;&lt;dates&gt;&lt;year&gt;2015&lt;/year&gt;&lt;/dates&gt;&lt;isbn&gt;00139351&lt;/isbn&gt;&lt;urls&gt;&lt;/urls&gt;&lt;electronic-resource-num&gt;10.1016/j.envres.2015.06.020&lt;/electronic-resource-num&gt;&lt;/record&gt;&lt;/Cite&gt;&lt;/EndNote&gt;</w:instrText>
      </w:r>
      <w:r>
        <w:fldChar w:fldCharType="separate"/>
      </w:r>
      <w:r w:rsidR="002747EA" w:rsidRPr="002747EA">
        <w:rPr>
          <w:noProof/>
          <w:vertAlign w:val="superscript"/>
        </w:rPr>
        <w:t>107</w:t>
      </w:r>
      <w:r>
        <w:fldChar w:fldCharType="end"/>
      </w:r>
      <w:r w:rsidR="00765FFB">
        <w:t xml:space="preserve"> found no clear differences between women who drank less than one cup of tea a week and those who drank </w:t>
      </w:r>
      <w:r>
        <w:t>o</w:t>
      </w:r>
      <w:r w:rsidR="00765FFB">
        <w:t>ne or more cups of tea per week for preterm birth (</w:t>
      </w:r>
      <w:r w:rsidR="00765FFB" w:rsidRPr="00765FFB">
        <w:rPr>
          <w:sz w:val="16"/>
          <w:szCs w:val="16"/>
        </w:rPr>
        <w:t>aOR 0.99; 95%CI 0.61 to 1.61</w:t>
      </w:r>
      <w:r w:rsidR="00765FFB">
        <w:t>) or small for gestational age (</w:t>
      </w:r>
      <w:r w:rsidR="00765FFB" w:rsidRPr="00765FFB">
        <w:rPr>
          <w:sz w:val="16"/>
          <w:szCs w:val="16"/>
        </w:rPr>
        <w:t>aOR 1.43; 95%CI 0.83 to 2.46</w:t>
      </w:r>
      <w:r w:rsidR="00765FFB">
        <w:t>).</w:t>
      </w:r>
    </w:p>
    <w:p w14:paraId="2C6768FA" w14:textId="4EDE1946" w:rsidR="00A17903" w:rsidRDefault="00A17903" w:rsidP="000B4B87">
      <w:r>
        <w:t>A cross-sectional stu</w:t>
      </w:r>
      <w:r w:rsidRPr="0027198F">
        <w:t>dy (</w:t>
      </w:r>
      <w:r w:rsidRPr="0027198F">
        <w:rPr>
          <w:sz w:val="16"/>
          <w:szCs w:val="16"/>
        </w:rPr>
        <w:t>n=858</w:t>
      </w:r>
      <w:r w:rsidRPr="0027198F">
        <w:t>)</w:t>
      </w:r>
      <w:r w:rsidR="00774750">
        <w:fldChar w:fldCharType="begin">
          <w:fldData xml:space="preserve">PEVuZE5vdGU+PENpdGU+PEF1dGhvcj5Pa3VibzwvQXV0aG9yPjxZZWFyPjIwMTU8L1llYXI+PFJl
Y051bT4xNzMwPC9SZWNOdW0+PERpc3BsYXlUZXh0PjxzdHlsZSBmYWNlPSJzdXBlcnNjcmlwdCIg
Zm9udD0iVHJlYnVjaGV0IE1TIiBzaXplPSI5Ij4xMDg8L3N0eWxlPjwvRGlzcGxheVRleHQ+PHJl
Y29yZD48cmVjLW51bWJlcj4xNzMwPC9yZWMtbnVtYmVyPjxmb3JlaWduLWtleXM+PGtleSBhcHA9
IkVOIiBkYi1pZD0iZXh2YXNyZngyZHRyYW9lc2FzeHAyc3pzeGEyZGY1MDI1OTJ4IiB0aW1lc3Rh
bXA9IjE1ODI1MDYyMTkiPjE3MzA8L2tleT48a2V5IGFwcD0iRU5XZWIiIGRiLWlkPSIiPjA8L2tl
eT48L2ZvcmVpZ24ta2V5cz48cmVmLXR5cGUgbmFtZT0iSm91cm5hbCBBcnRpY2xlIj4xNzwvcmVm
LXR5cGU+PGNvbnRyaWJ1dG9ycz48YXV0aG9ycz48YXV0aG9yPk9rdWJvLCBILjwvYXV0aG9yPjxh
dXRob3I+TWl5YWtlLCBZLjwvYXV0aG9yPjxhdXRob3I+VGFuYWthLCBLLjwvYXV0aG9yPjxhdXRo
b3I+U2FzYWtpLCBTLjwvYXV0aG9yPjxhdXRob3I+SGlyb3RhLCBZLjwvYXV0aG9yPjwvYXV0aG9y
cz48L2NvbnRyaWJ1dG9ycz48YXV0aC1hZGRyZXNzPkRlcGFydG1lbnQgb2YgSGVhbHRoIFByb21v
dGlvbiwgTmF0aW9uYWwgSW5zdGl0dXRlIG9mIFB1YmxpYyBIZWFsdGgsIFNhaXRhbWEsIEphcGFu
LiBFbGVjdHJvbmljIGFkZHJlc3M6IG9rdWJvQG5pcGguZ28uanAuJiN4RDtEZXBhcnRtZW50IG9m
IFB1YmxpYyBIZWFsdGgsIEVoaW1lIFVuaXZlcnNpdHkgR3JhZHVhdGUgU2Nob29sIG9mIE1lZGlj
aW5lLCBFaGltZSwgSmFwYW4uJiN4RDtEZXBhcnRtZW50IG9mIFNvY2lhbCBhbmQgUHJldmVudGl2
ZSBFcGlkZW1pb2xvZ3ksIFNjaG9vbCBvZiBQdWJsaWMgSGVhbHRoLCB0aGUgVW5pdmVyc2l0eSBv
ZiBUb2t5bywgVG9reW8sIEphcGFuLiYjeEQ7Q2xpbmljYWwgRXBpZGVtaW9sb2d5IFJlc2VhcmNo
IENlbnRlciwgTWVkaWNhbCBDbywgTFRBLCBGdWt1b2thLCBKYXBhbi48L2F1dGgtYWRkcmVzcz48
dGl0bGVzPjx0aXRsZT5NYXRlcm5hbCB0b3RhbCBjYWZmZWluZSBpbnRha2UsIG1haW5seSBmcm9t
IEphcGFuZXNlIGFuZCBDaGluZXNlIHRlYSwgZHVyaW5nIHByZWduYW5jeSB3YXMgYXNzb2NpYXRl
ZCB3aXRoIHJpc2sgb2YgcHJldGVybSBiaXJ0aDogdGhlIE9zYWthIE1hdGVybmFsIGFuZCBDaGls
ZCBIZWFsdGggU3R1ZHk8L3RpdGxlPjxzZWNvbmRhcnktdGl0bGU+TnV0ciBSZXM8L3NlY29uZGFy
eS10aXRsZT48L3RpdGxlcz48cGVyaW9kaWNhbD48ZnVsbC10aXRsZT5OdXRyIFJlczwvZnVsbC10
aXRsZT48L3BlcmlvZGljYWw+PHBhZ2VzPjMwOS0xNjwvcGFnZXM+PHZvbHVtZT4zNTwvdm9sdW1l
PjxudW1iZXI+NDwvbnVtYmVyPjxlZGl0aW9uPjIwMTUvMDMvMTc8L2VkaXRpb24+PGtleXdvcmRz
PjxrZXl3b3JkPkFkdWx0PC9rZXl3b3JkPjxrZXl3b3JkPkFzaWFuIENvbnRpbmVudGFsIEFuY2Vz
dHJ5IEdyb3VwPC9rZXl3b3JkPjxrZXl3b3JkPkJvZHkgTWFzcyBJbmRleDwva2V5d29yZD48a2V5
d29yZD5DYWZmZWluZS9hZG1pbmlzdHJhdGlvbiAmYW1wOyBkb3NhZ2UvKmFkdmVyc2UgZWZmZWN0
czwva2V5d29yZD48a2V5d29yZD5DYXJib25hdGVkIEJldmVyYWdlcy9hbmFseXNpczwva2V5d29y
ZD48a2V5d29yZD5DaGlsZCBIZWFsdGg8L2tleXdvcmQ+PGtleXdvcmQ+Q29mZmVlPC9rZXl3b3Jk
PjxrZXl3b3JkPkRpZXQ8L2tleXdvcmQ+PGtleXdvcmQ+RmVtYWxlPC9rZXl3b3JkPjxrZXl3b3Jk
Pkh1bWFuczwva2V5d29yZD48a2V5d29yZD5JbmZhbnQsIExvdyBCaXJ0aCBXZWlnaHQvZ3Jvd3Ro
ICZhbXA7IGRldmVsb3BtZW50PC9rZXl3b3JkPjxrZXl3b3JkPkphcGFuL2VwaWRlbWlvbG9neTwv
a2V5d29yZD48a2V5d29yZD5MaWZlIFN0eWxlPC9rZXl3b3JkPjxrZXl3b3JkPkxpbmVhciBNb2Rl
bHM8L2tleXdvcmQ+PGtleXdvcmQ+TWFsZTwva2V5d29yZD48a2V5d29yZD4qTWF0ZXJuYWwgTnV0
cml0aW9uYWwgUGh5c2lvbG9naWNhbCBQaGVub21lbmE8L2tleXdvcmQ+PGtleXdvcmQ+TnV0cml0
aW9uIEFzc2Vzc21lbnQ8L2tleXdvcmQ+PGtleXdvcmQ+UHJlZ25hbmN5PC9rZXl3b3JkPjxrZXl3
b3JkPlByZWduYW5jeSBPdXRjb21lPC9rZXl3b3JkPjxrZXl3b3JkPlByZW1hdHVyZSBCaXJ0aC8q
ZXBpZGVtaW9sb2d5PC9rZXl3b3JkPjxrZXl3b3JkPlByb3NwZWN0aXZlIFN0dWRpZXM8L2tleXdv
cmQ+PGtleXdvcmQ+UmVwcm9kdWNpYmlsaXR5IG9mIFJlc3VsdHM8L2tleXdvcmQ+PGtleXdvcmQ+
UmlzayBGYWN0b3JzPC9rZXl3b3JkPjxrZXl3b3JkPlN1cnZleXMgYW5kIFF1ZXN0aW9ubmFpcmVz
PC9rZXl3b3JkPjxrZXl3b3JkPlRlYS8qYWR2ZXJzZSBlZmZlY3RzPC9rZXl3b3JkPjxrZXl3b3Jk
PkNhZmZlaW5lPC9rZXl3b3JkPjxrZXl3b3JkPkphcGFuZXNlIGFuZCBDaGluZXNlIHRlYTwva2V5
d29yZD48a2V5d29yZD5QcmV0ZXJtIGJpcnRoPC9rZXl3b3JkPjxrZXl3b3JkPlByb3NwZWN0aXZl
IGJpcnRoIGNvaG9ydDwva2V5d29yZD48L2tleXdvcmRzPjxkYXRlcz48eWVhcj4yMDE1PC95ZWFy
PjxwdWItZGF0ZXM+PGRhdGU+QXByPC9kYXRlPjwvcHViLWRhdGVzPjwvZGF0ZXM+PGlzYm4+MTg3
OS0wNzM5IChFbGVjdHJvbmljKSYjeEQ7MDI3MS01MzE3IChMaW5raW5nKTwvaXNibj48YWNjZXNz
aW9uLW51bT4yNTc3MzM1NTwvYWNjZXNzaW9uLW51bT48dXJscz48cmVsYXRlZC11cmxzPjx1cmw+
aHR0cHM6Ly93d3cubmNiaS5ubG0ubmloLmdvdi9wdWJtZWQvMjU3NzMzNTU8L3VybD48L3JlbGF0
ZWQtdXJscz48L3VybHM+PGVsZWN0cm9uaWMtcmVzb3VyY2UtbnVtPjEwLjEwMTYvai5udXRyZXMu
MjAxNS4wMi4wMDk8L2VsZWN0cm9uaWMtcmVzb3VyY2UtbnVtPjwvcmVjb3JkPjwvQ2l0ZT48L0Vu
ZE5vdGU+AG==
</w:fldData>
        </w:fldChar>
      </w:r>
      <w:r w:rsidR="002747EA">
        <w:instrText xml:space="preserve"> ADDIN EN.CITE </w:instrText>
      </w:r>
      <w:r w:rsidR="002747EA">
        <w:fldChar w:fldCharType="begin">
          <w:fldData xml:space="preserve">PEVuZE5vdGU+PENpdGU+PEF1dGhvcj5Pa3VibzwvQXV0aG9yPjxZZWFyPjIwMTU8L1llYXI+PFJl
Y051bT4xNzMwPC9SZWNOdW0+PERpc3BsYXlUZXh0PjxzdHlsZSBmYWNlPSJzdXBlcnNjcmlwdCIg
Zm9udD0iVHJlYnVjaGV0IE1TIiBzaXplPSI5Ij4xMDg8L3N0eWxlPjwvRGlzcGxheVRleHQ+PHJl
Y29yZD48cmVjLW51bWJlcj4xNzMwPC9yZWMtbnVtYmVyPjxmb3JlaWduLWtleXM+PGtleSBhcHA9
IkVOIiBkYi1pZD0iZXh2YXNyZngyZHRyYW9lc2FzeHAyc3pzeGEyZGY1MDI1OTJ4IiB0aW1lc3Rh
bXA9IjE1ODI1MDYyMTkiPjE3MzA8L2tleT48a2V5IGFwcD0iRU5XZWIiIGRiLWlkPSIiPjA8L2tl
eT48L2ZvcmVpZ24ta2V5cz48cmVmLXR5cGUgbmFtZT0iSm91cm5hbCBBcnRpY2xlIj4xNzwvcmVm
LXR5cGU+PGNvbnRyaWJ1dG9ycz48YXV0aG9ycz48YXV0aG9yPk9rdWJvLCBILjwvYXV0aG9yPjxh
dXRob3I+TWl5YWtlLCBZLjwvYXV0aG9yPjxhdXRob3I+VGFuYWthLCBLLjwvYXV0aG9yPjxhdXRo
b3I+U2FzYWtpLCBTLjwvYXV0aG9yPjxhdXRob3I+SGlyb3RhLCBZLjwvYXV0aG9yPjwvYXV0aG9y
cz48L2NvbnRyaWJ1dG9ycz48YXV0aC1hZGRyZXNzPkRlcGFydG1lbnQgb2YgSGVhbHRoIFByb21v
dGlvbiwgTmF0aW9uYWwgSW5zdGl0dXRlIG9mIFB1YmxpYyBIZWFsdGgsIFNhaXRhbWEsIEphcGFu
LiBFbGVjdHJvbmljIGFkZHJlc3M6IG9rdWJvQG5pcGguZ28uanAuJiN4RDtEZXBhcnRtZW50IG9m
IFB1YmxpYyBIZWFsdGgsIEVoaW1lIFVuaXZlcnNpdHkgR3JhZHVhdGUgU2Nob29sIG9mIE1lZGlj
aW5lLCBFaGltZSwgSmFwYW4uJiN4RDtEZXBhcnRtZW50IG9mIFNvY2lhbCBhbmQgUHJldmVudGl2
ZSBFcGlkZW1pb2xvZ3ksIFNjaG9vbCBvZiBQdWJsaWMgSGVhbHRoLCB0aGUgVW5pdmVyc2l0eSBv
ZiBUb2t5bywgVG9reW8sIEphcGFuLiYjeEQ7Q2xpbmljYWwgRXBpZGVtaW9sb2d5IFJlc2VhcmNo
IENlbnRlciwgTWVkaWNhbCBDbywgTFRBLCBGdWt1b2thLCBKYXBhbi48L2F1dGgtYWRkcmVzcz48
dGl0bGVzPjx0aXRsZT5NYXRlcm5hbCB0b3RhbCBjYWZmZWluZSBpbnRha2UsIG1haW5seSBmcm9t
IEphcGFuZXNlIGFuZCBDaGluZXNlIHRlYSwgZHVyaW5nIHByZWduYW5jeSB3YXMgYXNzb2NpYXRl
ZCB3aXRoIHJpc2sgb2YgcHJldGVybSBiaXJ0aDogdGhlIE9zYWthIE1hdGVybmFsIGFuZCBDaGls
ZCBIZWFsdGggU3R1ZHk8L3RpdGxlPjxzZWNvbmRhcnktdGl0bGU+TnV0ciBSZXM8L3NlY29uZGFy
eS10aXRsZT48L3RpdGxlcz48cGVyaW9kaWNhbD48ZnVsbC10aXRsZT5OdXRyIFJlczwvZnVsbC10
aXRsZT48L3BlcmlvZGljYWw+PHBhZ2VzPjMwOS0xNjwvcGFnZXM+PHZvbHVtZT4zNTwvdm9sdW1l
PjxudW1iZXI+NDwvbnVtYmVyPjxlZGl0aW9uPjIwMTUvMDMvMTc8L2VkaXRpb24+PGtleXdvcmRz
PjxrZXl3b3JkPkFkdWx0PC9rZXl3b3JkPjxrZXl3b3JkPkFzaWFuIENvbnRpbmVudGFsIEFuY2Vz
dHJ5IEdyb3VwPC9rZXl3b3JkPjxrZXl3b3JkPkJvZHkgTWFzcyBJbmRleDwva2V5d29yZD48a2V5
d29yZD5DYWZmZWluZS9hZG1pbmlzdHJhdGlvbiAmYW1wOyBkb3NhZ2UvKmFkdmVyc2UgZWZmZWN0
czwva2V5d29yZD48a2V5d29yZD5DYXJib25hdGVkIEJldmVyYWdlcy9hbmFseXNpczwva2V5d29y
ZD48a2V5d29yZD5DaGlsZCBIZWFsdGg8L2tleXdvcmQ+PGtleXdvcmQ+Q29mZmVlPC9rZXl3b3Jk
PjxrZXl3b3JkPkRpZXQ8L2tleXdvcmQ+PGtleXdvcmQ+RmVtYWxlPC9rZXl3b3JkPjxrZXl3b3Jk
Pkh1bWFuczwva2V5d29yZD48a2V5d29yZD5JbmZhbnQsIExvdyBCaXJ0aCBXZWlnaHQvZ3Jvd3Ro
ICZhbXA7IGRldmVsb3BtZW50PC9rZXl3b3JkPjxrZXl3b3JkPkphcGFuL2VwaWRlbWlvbG9neTwv
a2V5d29yZD48a2V5d29yZD5MaWZlIFN0eWxlPC9rZXl3b3JkPjxrZXl3b3JkPkxpbmVhciBNb2Rl
bHM8L2tleXdvcmQ+PGtleXdvcmQ+TWFsZTwva2V5d29yZD48a2V5d29yZD4qTWF0ZXJuYWwgTnV0
cml0aW9uYWwgUGh5c2lvbG9naWNhbCBQaGVub21lbmE8L2tleXdvcmQ+PGtleXdvcmQ+TnV0cml0
aW9uIEFzc2Vzc21lbnQ8L2tleXdvcmQ+PGtleXdvcmQ+UHJlZ25hbmN5PC9rZXl3b3JkPjxrZXl3
b3JkPlByZWduYW5jeSBPdXRjb21lPC9rZXl3b3JkPjxrZXl3b3JkPlByZW1hdHVyZSBCaXJ0aC8q
ZXBpZGVtaW9sb2d5PC9rZXl3b3JkPjxrZXl3b3JkPlByb3NwZWN0aXZlIFN0dWRpZXM8L2tleXdv
cmQ+PGtleXdvcmQ+UmVwcm9kdWNpYmlsaXR5IG9mIFJlc3VsdHM8L2tleXdvcmQ+PGtleXdvcmQ+
UmlzayBGYWN0b3JzPC9rZXl3b3JkPjxrZXl3b3JkPlN1cnZleXMgYW5kIFF1ZXN0aW9ubmFpcmVz
PC9rZXl3b3JkPjxrZXl3b3JkPlRlYS8qYWR2ZXJzZSBlZmZlY3RzPC9rZXl3b3JkPjxrZXl3b3Jk
PkNhZmZlaW5lPC9rZXl3b3JkPjxrZXl3b3JkPkphcGFuZXNlIGFuZCBDaGluZXNlIHRlYTwva2V5
d29yZD48a2V5d29yZD5QcmV0ZXJtIGJpcnRoPC9rZXl3b3JkPjxrZXl3b3JkPlByb3NwZWN0aXZl
IGJpcnRoIGNvaG9ydDwva2V5d29yZD48L2tleXdvcmRzPjxkYXRlcz48eWVhcj4yMDE1PC95ZWFy
PjxwdWItZGF0ZXM+PGRhdGU+QXByPC9kYXRlPjwvcHViLWRhdGVzPjwvZGF0ZXM+PGlzYm4+MTg3
OS0wNzM5IChFbGVjdHJvbmljKSYjeEQ7MDI3MS01MzE3IChMaW5raW5nKTwvaXNibj48YWNjZXNz
aW9uLW51bT4yNTc3MzM1NTwvYWNjZXNzaW9uLW51bT48dXJscz48cmVsYXRlZC11cmxzPjx1cmw+
aHR0cHM6Ly93d3cubmNiaS5ubG0ubmloLmdvdi9wdWJtZWQvMjU3NzMzNTU8L3VybD48L3JlbGF0
ZWQtdXJscz48L3VybHM+PGVsZWN0cm9uaWMtcmVzb3VyY2UtbnVtPjEwLjEwMTYvai5udXRyZXMu
MjAxNS4wMi4wMDk8L2VsZWN0cm9uaWMtcmVzb3VyY2UtbnVtPjwvcmVjb3JkPjwvQ2l0ZT48L0Vu
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108</w:t>
      </w:r>
      <w:r w:rsidR="00774750">
        <w:fldChar w:fldCharType="end"/>
      </w:r>
      <w:r w:rsidRPr="0027198F">
        <w:t xml:space="preserve"> found</w:t>
      </w:r>
      <w:r>
        <w:t xml:space="preserve"> that maternal total caffeine intake </w:t>
      </w:r>
      <w:r w:rsidRPr="00CF04AC">
        <w:t xml:space="preserve">was associated with an increased risk of </w:t>
      </w:r>
      <w:r>
        <w:t>preterm birth</w:t>
      </w:r>
      <w:r w:rsidRPr="00CF04AC">
        <w:t xml:space="preserve"> (</w:t>
      </w:r>
      <w:r w:rsidRPr="00A17903">
        <w:rPr>
          <w:sz w:val="16"/>
          <w:szCs w:val="16"/>
        </w:rPr>
        <w:t>OR per 100 mg/d caffeine increase 1.28; 95%CI 1.03 to 1.58; P=0.03</w:t>
      </w:r>
      <w:r w:rsidRPr="00CF04AC">
        <w:t>).</w:t>
      </w:r>
    </w:p>
    <w:p w14:paraId="1529EBF5" w14:textId="3268941D" w:rsidR="00765FFB" w:rsidRDefault="00765FFB" w:rsidP="00765FFB">
      <w:pPr>
        <w:pStyle w:val="Heading4"/>
      </w:pPr>
      <w:r>
        <w:t xml:space="preserve">Childhood </w:t>
      </w:r>
      <w:r w:rsidR="007167FC">
        <w:t>brain tumours</w:t>
      </w:r>
    </w:p>
    <w:p w14:paraId="418C22BB" w14:textId="076158C6" w:rsidR="00765FFB" w:rsidRDefault="00765FFB" w:rsidP="000B4B87">
      <w:r>
        <w:t>A case-control study (</w:t>
      </w:r>
      <w:r w:rsidRPr="00AD6049">
        <w:rPr>
          <w:sz w:val="16"/>
          <w:szCs w:val="16"/>
        </w:rPr>
        <w:t>n=1,019</w:t>
      </w:r>
      <w:r>
        <w:t>)</w:t>
      </w:r>
      <w:r w:rsidR="00201490">
        <w:fldChar w:fldCharType="begin">
          <w:fldData xml:space="preserve">PEVuZE5vdGU+PENpdGU+PEF1dGhvcj5HcmVlbm9wPC9BdXRob3I+PFllYXI+MjAxNDwvWWVhcj48
UmVjTnVtPjE0MTg8L1JlY051bT48RGlzcGxheVRleHQ+PHN0eWxlIGZhY2U9InN1cGVyc2NyaXB0
IiBmb250PSJUcmVidWNoZXQgTVMiIHNpemU9IjkiPjEwOTwvc3R5bGU+PC9EaXNwbGF5VGV4dD48
cmVjb3JkPjxyZWMtbnVtYmVyPjE0MTg8L3JlYy1udW1iZXI+PGZvcmVpZ24ta2V5cz48a2V5IGFw
cD0iRU4iIGRiLWlkPSJleHZhc3JmeDJkdHJhb2VzYXN4cDJzenN4YTJkZjUwMjU5MngiIHRpbWVz
dGFtcD0iMTU2ODE3NDY5NSI+MTQxODwva2V5PjwvZm9yZWlnbi1rZXlzPjxyZWYtdHlwZSBuYW1l
PSJKb3VybmFsIEFydGljbGUiPjE3PC9yZWYtdHlwZT48Y29udHJpYnV0b3JzPjxhdXRob3JzPjxh
dXRob3I+R3JlZW5vcCwgSy4gUi48L2F1dGhvcj48YXV0aG9yPk1pbGxlciwgTS48L2F1dGhvcj48
YXV0aG9yPkF0dGlhLCBKLjwvYXV0aG9yPjxhdXRob3I+QXNodG9uLCBMLiBKLjwvYXV0aG9yPjxh
dXRob3I+Q29obiwgUi48L2F1dGhvcj48YXV0aG9yPkFybXN0cm9uZywgQi4gSy48L2F1dGhvcj48
YXV0aG9yPk1pbG5lLCBFLjwvYXV0aG9yPjwvYXV0aG9ycz48L2NvbnRyaWJ1dG9ycz48YXV0aC1h
ZGRyZXNzPlRlbGV0aG9uIEtpZHMgSW5zdGl0dXRlLCBVbml2ZXJzaXR5IG9mIFdlc3Rlcm4gQXVz
dHJhbGlhLCBQTyBCb3ggODU1LCBXZXN0IFBlcnRoLCBXQSwgNjg3MiwgQXVzdHJhbGlhLjwvYXV0
aC1hZGRyZXNzPjx0aXRsZXM+PHRpdGxlPk1hdGVybmFsIGNvbnN1bXB0aW9uIG9mIGNvZmZlZSBh
bmQgdGVhIGR1cmluZyBwcmVnbmFuY3kgYW5kIHJpc2sgb2YgY2hpbGRob29kIGJyYWluIHR1bW9y
czogcmVzdWx0cyBmcm9tIGFuIEF1c3RyYWxpYW4gY2FzZS1jb250cm9sIHN0dWR5PC90aXRsZT48
c2Vjb25kYXJ5LXRpdGxlPkNhbmNlciBDYXVzZXMgQ29udHJvbDwvc2Vjb25kYXJ5LXRpdGxlPjwv
dGl0bGVzPjxwZXJpb2RpY2FsPjxmdWxsLXRpdGxlPkNhbmNlciBDYXVzZXMgQ29udHJvbDwvZnVs
bC10aXRsZT48L3BlcmlvZGljYWw+PHBhZ2VzPjEzMjEtNzwvcGFnZXM+PHZvbHVtZT4yNTwvdm9s
dW1lPjxudW1iZXI+MTA8L251bWJlcj48ZWRpdGlvbj4yMDE0LzA3LzE4PC9lZGl0aW9uPjxrZXl3
b3Jkcz48a2V5d29yZD5BZG9sZXNjZW50PC9rZXl3b3JkPjxrZXl3b3JkPkFsY29ob2wgRHJpbmtp
bmcvZXBpZGVtaW9sb2d5PC9rZXl3b3JkPjxrZXl3b3JkPkF1c3RyYWxpYS9lcGlkZW1pb2xvZ3k8
L2tleXdvcmQ+PGtleXdvcmQ+QnJhaW4gTmVvcGxhc21zLyplcGlkZW1pb2xvZ3k8L2tleXdvcmQ+
PGtleXdvcmQ+Q2FzZS1Db250cm9sIFN0dWRpZXM8L2tleXdvcmQ+PGtleXdvcmQ+Q2F1c2FsaXR5
PC9rZXl3b3JkPjxrZXl3b3JkPkNoaWxkPC9rZXl3b3JkPjxrZXl3b3JkPkNoaWxkLCBQcmVzY2hv
b2w8L2tleXdvcmQ+PGtleXdvcmQ+Q29mZmVlLyphZHZlcnNlIGVmZmVjdHM8L2tleXdvcmQ+PGtl
eXdvcmQ+RmVlZGluZyBCZWhhdmlvcjwva2V5d29yZD48a2V5d29yZD5GZW1hbGU8L2tleXdvcmQ+
PGtleXdvcmQ+SHVtYW5zPC9rZXl3b3JkPjxrZXl3b3JkPkluZmFudDwva2V5d29yZD48a2V5d29y
ZD5JbmZhbnQsIE5ld2Jvcm48L2tleXdvcmQ+PGtleXdvcmQ+TG9naXN0aWMgTW9kZWxzPC9rZXl3
b3JkPjxrZXl3b3JkPk1hbGU8L2tleXdvcmQ+PGtleXdvcmQ+T2RkcyBSYXRpbzwva2V5d29yZD48
a2V5d29yZD5QcmVnbmFuY3k8L2tleXdvcmQ+PGtleXdvcmQ+UHJlbmF0YWwgRXhwb3N1cmUgRGVs
YXllZCBFZmZlY3RzLypjaGVtaWNhbGx5IGluZHVjZWQvKmVwaWRlbWlvbG9neTwva2V5d29yZD48
a2V5d29yZD5SaXNrIEZhY3RvcnM8L2tleXdvcmQ+PGtleXdvcmQ+VGVhLyphZHZlcnNlIGVmZmVj
dHM8L2tleXdvcmQ+PC9rZXl3b3Jkcz48ZGF0ZXM+PHllYXI+MjAxNDwveWVhcj48cHViLWRhdGVz
PjxkYXRlPk9jdDwvZGF0ZT48L3B1Yi1kYXRlcz48L2RhdGVzPjxpc2JuPjE1NzMtNzIyNSAoRWxl
Y3Ryb25pYykmI3hEOzA5NTctNTI0MyAoTGlua2luZyk8L2lzYm4+PGFjY2Vzc2lvbi1udW0+MjUw
MzA1MDM8L2FjY2Vzc2lvbi1udW0+PHVybHM+PHJlbGF0ZWQtdXJscz48dXJsPmh0dHBzOi8vd3d3
Lm5jYmkubmxtLm5paC5nb3YvcHVibWVkLzI1MDMwNTAzPC91cmw+PC9yZWxhdGVkLXVybHM+PC91
cmxzPjxlbGVjdHJvbmljLXJlc291cmNlLW51bT4xMC4xMDA3L3MxMDU1Mi0wMTQtMDQzNy04PC9l
bGVjdHJvbmljLXJlc291cmNlLW51bT48L3JlY29yZD48L0NpdGU+PC9FbmROb3RlPn==
</w:fldData>
        </w:fldChar>
      </w:r>
      <w:r w:rsidR="002747EA">
        <w:instrText xml:space="preserve"> ADDIN EN.CITE </w:instrText>
      </w:r>
      <w:r w:rsidR="002747EA">
        <w:fldChar w:fldCharType="begin">
          <w:fldData xml:space="preserve">PEVuZE5vdGU+PENpdGU+PEF1dGhvcj5HcmVlbm9wPC9BdXRob3I+PFllYXI+MjAxNDwvWWVhcj48
UmVjTnVtPjE0MTg8L1JlY051bT48RGlzcGxheVRleHQ+PHN0eWxlIGZhY2U9InN1cGVyc2NyaXB0
IiBmb250PSJUcmVidWNoZXQgTVMiIHNpemU9IjkiPjEwOTwvc3R5bGU+PC9EaXNwbGF5VGV4dD48
cmVjb3JkPjxyZWMtbnVtYmVyPjE0MTg8L3JlYy1udW1iZXI+PGZvcmVpZ24ta2V5cz48a2V5IGFw
cD0iRU4iIGRiLWlkPSJleHZhc3JmeDJkdHJhb2VzYXN4cDJzenN4YTJkZjUwMjU5MngiIHRpbWVz
dGFtcD0iMTU2ODE3NDY5NSI+MTQxODwva2V5PjwvZm9yZWlnbi1rZXlzPjxyZWYtdHlwZSBuYW1l
PSJKb3VybmFsIEFydGljbGUiPjE3PC9yZWYtdHlwZT48Y29udHJpYnV0b3JzPjxhdXRob3JzPjxh
dXRob3I+R3JlZW5vcCwgSy4gUi48L2F1dGhvcj48YXV0aG9yPk1pbGxlciwgTS48L2F1dGhvcj48
YXV0aG9yPkF0dGlhLCBKLjwvYXV0aG9yPjxhdXRob3I+QXNodG9uLCBMLiBKLjwvYXV0aG9yPjxh
dXRob3I+Q29obiwgUi48L2F1dGhvcj48YXV0aG9yPkFybXN0cm9uZywgQi4gSy48L2F1dGhvcj48
YXV0aG9yPk1pbG5lLCBFLjwvYXV0aG9yPjwvYXV0aG9ycz48L2NvbnRyaWJ1dG9ycz48YXV0aC1h
ZGRyZXNzPlRlbGV0aG9uIEtpZHMgSW5zdGl0dXRlLCBVbml2ZXJzaXR5IG9mIFdlc3Rlcm4gQXVz
dHJhbGlhLCBQTyBCb3ggODU1LCBXZXN0IFBlcnRoLCBXQSwgNjg3MiwgQXVzdHJhbGlhLjwvYXV0
aC1hZGRyZXNzPjx0aXRsZXM+PHRpdGxlPk1hdGVybmFsIGNvbnN1bXB0aW9uIG9mIGNvZmZlZSBh
bmQgdGVhIGR1cmluZyBwcmVnbmFuY3kgYW5kIHJpc2sgb2YgY2hpbGRob29kIGJyYWluIHR1bW9y
czogcmVzdWx0cyBmcm9tIGFuIEF1c3RyYWxpYW4gY2FzZS1jb250cm9sIHN0dWR5PC90aXRsZT48
c2Vjb25kYXJ5LXRpdGxlPkNhbmNlciBDYXVzZXMgQ29udHJvbDwvc2Vjb25kYXJ5LXRpdGxlPjwv
dGl0bGVzPjxwZXJpb2RpY2FsPjxmdWxsLXRpdGxlPkNhbmNlciBDYXVzZXMgQ29udHJvbDwvZnVs
bC10aXRsZT48L3BlcmlvZGljYWw+PHBhZ2VzPjEzMjEtNzwvcGFnZXM+PHZvbHVtZT4yNTwvdm9s
dW1lPjxudW1iZXI+MTA8L251bWJlcj48ZWRpdGlvbj4yMDE0LzA3LzE4PC9lZGl0aW9uPjxrZXl3
b3Jkcz48a2V5d29yZD5BZG9sZXNjZW50PC9rZXl3b3JkPjxrZXl3b3JkPkFsY29ob2wgRHJpbmtp
bmcvZXBpZGVtaW9sb2d5PC9rZXl3b3JkPjxrZXl3b3JkPkF1c3RyYWxpYS9lcGlkZW1pb2xvZ3k8
L2tleXdvcmQ+PGtleXdvcmQ+QnJhaW4gTmVvcGxhc21zLyplcGlkZW1pb2xvZ3k8L2tleXdvcmQ+
PGtleXdvcmQ+Q2FzZS1Db250cm9sIFN0dWRpZXM8L2tleXdvcmQ+PGtleXdvcmQ+Q2F1c2FsaXR5
PC9rZXl3b3JkPjxrZXl3b3JkPkNoaWxkPC9rZXl3b3JkPjxrZXl3b3JkPkNoaWxkLCBQcmVzY2hv
b2w8L2tleXdvcmQ+PGtleXdvcmQ+Q29mZmVlLyphZHZlcnNlIGVmZmVjdHM8L2tleXdvcmQ+PGtl
eXdvcmQ+RmVlZGluZyBCZWhhdmlvcjwva2V5d29yZD48a2V5d29yZD5GZW1hbGU8L2tleXdvcmQ+
PGtleXdvcmQ+SHVtYW5zPC9rZXl3b3JkPjxrZXl3b3JkPkluZmFudDwva2V5d29yZD48a2V5d29y
ZD5JbmZhbnQsIE5ld2Jvcm48L2tleXdvcmQ+PGtleXdvcmQ+TG9naXN0aWMgTW9kZWxzPC9rZXl3
b3JkPjxrZXl3b3JkPk1hbGU8L2tleXdvcmQ+PGtleXdvcmQ+T2RkcyBSYXRpbzwva2V5d29yZD48
a2V5d29yZD5QcmVnbmFuY3k8L2tleXdvcmQ+PGtleXdvcmQ+UHJlbmF0YWwgRXhwb3N1cmUgRGVs
YXllZCBFZmZlY3RzLypjaGVtaWNhbGx5IGluZHVjZWQvKmVwaWRlbWlvbG9neTwva2V5d29yZD48
a2V5d29yZD5SaXNrIEZhY3RvcnM8L2tleXdvcmQ+PGtleXdvcmQ+VGVhLyphZHZlcnNlIGVmZmVj
dHM8L2tleXdvcmQ+PC9rZXl3b3Jkcz48ZGF0ZXM+PHllYXI+MjAxNDwveWVhcj48cHViLWRhdGVz
PjxkYXRlPk9jdDwvZGF0ZT48L3B1Yi1kYXRlcz48L2RhdGVzPjxpc2JuPjE1NzMtNzIyNSAoRWxl
Y3Ryb25pYykmI3hEOzA5NTctNTI0MyAoTGlua2luZyk8L2lzYm4+PGFjY2Vzc2lvbi1udW0+MjUw
MzA1MDM8L2FjY2Vzc2lvbi1udW0+PHVybHM+PHJlbGF0ZWQtdXJscz48dXJsPmh0dHBzOi8vd3d3
Lm5jYmkubmxtLm5paC5nb3YvcHVibWVkLzI1MDMwNTAzPC91cmw+PC9yZWxhdGVkLXVybHM+PC91
cmxzPjxlbGVjdHJvbmljLXJlc291cmNlLW51bT4xMC4xMDA3L3MxMDU1Mi0wMTQtMDQzNy04PC9l
bGVjdHJvbmljLXJlc291cmNlLW51bT48L3JlY29yZD48L0NpdGU+PC9FbmROb3RlPn==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109</w:t>
      </w:r>
      <w:r w:rsidR="00201490">
        <w:fldChar w:fldCharType="end"/>
      </w:r>
      <w:r>
        <w:t xml:space="preserve"> found</w:t>
      </w:r>
      <w:r w:rsidRPr="002E2AEF">
        <w:t xml:space="preserve"> </w:t>
      </w:r>
      <w:r w:rsidR="00AD6049">
        <w:t>an association between childhood brain tumours</w:t>
      </w:r>
      <w:r w:rsidRPr="002E2AEF">
        <w:t xml:space="preserve"> </w:t>
      </w:r>
      <w:r w:rsidR="00AD6049">
        <w:t>and</w:t>
      </w:r>
      <w:r w:rsidRPr="002E2AEF">
        <w:t xml:space="preserve"> any coffee consumption during </w:t>
      </w:r>
      <w:r>
        <w:t xml:space="preserve">pregnancy </w:t>
      </w:r>
      <w:r w:rsidR="00AD6049">
        <w:t>(</w:t>
      </w:r>
      <w:r w:rsidR="00AD6049" w:rsidRPr="00AD6049">
        <w:rPr>
          <w:sz w:val="16"/>
          <w:szCs w:val="16"/>
        </w:rPr>
        <w:t>OR 1.76; 95%</w:t>
      </w:r>
      <w:r w:rsidRPr="00AD6049">
        <w:rPr>
          <w:sz w:val="16"/>
          <w:szCs w:val="16"/>
        </w:rPr>
        <w:t>CI 1.09 to 2.84</w:t>
      </w:r>
      <w:r w:rsidR="00AD6049">
        <w:t xml:space="preserve">) and </w:t>
      </w:r>
      <w:r>
        <w:t>≥</w:t>
      </w:r>
      <w:r w:rsidRPr="002E2AEF">
        <w:t xml:space="preserve">2 cups per day during pregnancy </w:t>
      </w:r>
      <w:r w:rsidR="00AD6049">
        <w:t>(</w:t>
      </w:r>
      <w:r w:rsidR="00AD6049" w:rsidRPr="00AD6049">
        <w:rPr>
          <w:sz w:val="16"/>
          <w:szCs w:val="16"/>
        </w:rPr>
        <w:t xml:space="preserve">OR 2.52; </w:t>
      </w:r>
      <w:r w:rsidR="00AC3999">
        <w:rPr>
          <w:sz w:val="16"/>
          <w:szCs w:val="16"/>
        </w:rPr>
        <w:t>95% CI 1.26 to</w:t>
      </w:r>
      <w:r w:rsidRPr="00AD6049">
        <w:rPr>
          <w:sz w:val="16"/>
          <w:szCs w:val="16"/>
        </w:rPr>
        <w:t xml:space="preserve"> 5.04</w:t>
      </w:r>
      <w:r w:rsidRPr="002E2AEF">
        <w:t>).</w:t>
      </w:r>
    </w:p>
    <w:p w14:paraId="19E78503" w14:textId="634BF2EA" w:rsidR="0035604D" w:rsidRDefault="0035604D" w:rsidP="0035604D">
      <w:pPr>
        <w:pStyle w:val="Heading4"/>
      </w:pPr>
      <w:r>
        <w:t>Childhood behaviour</w:t>
      </w:r>
    </w:p>
    <w:p w14:paraId="61E68367" w14:textId="26F3E69A" w:rsidR="0035604D" w:rsidRPr="000B4B87" w:rsidRDefault="0035604D" w:rsidP="000B4B87">
      <w:r>
        <w:t>A cross-sectional study (</w:t>
      </w:r>
      <w:r w:rsidRPr="0035604D">
        <w:rPr>
          <w:sz w:val="16"/>
          <w:szCs w:val="16"/>
        </w:rPr>
        <w:t>1,119 mother-child pai</w:t>
      </w:r>
      <w:r w:rsidRPr="00E82C9A">
        <w:rPr>
          <w:sz w:val="16"/>
          <w:szCs w:val="16"/>
        </w:rPr>
        <w:t>rs</w:t>
      </w:r>
      <w:r w:rsidRPr="00E82C9A">
        <w:t>)</w:t>
      </w:r>
      <w:r w:rsidR="00774750">
        <w:fldChar w:fldCharType="begin">
          <w:fldData xml:space="preserve">PEVuZE5vdGU+PENpdGU+PEF1dGhvcj5NaXlha2U8L0F1dGhvcj48WWVhcj4yMDE5PC9ZZWFyPjxS
ZWNOdW0+MTcyMjwvUmVjTnVtPjxEaXNwbGF5VGV4dD48c3R5bGUgZmFjZT0ic3VwZXJzY3JpcHQi
IGZvbnQ9IlRyZWJ1Y2hldCBNUyIgc2l6ZT0iOSI+MTEwPC9zdHlsZT48L0Rpc3BsYXlUZXh0Pjxy
ZWNvcmQ+PHJlYy1udW1iZXI+MTcyMjwvcmVjLW51bWJlcj48Zm9yZWlnbi1rZXlzPjxrZXkgYXBw
PSJFTiIgZGItaWQ9ImV4dmFzcmZ4MmR0cmFvZXNhc3hwMnN6c3hhMmRmNTAyNTkyeCIgdGltZXN0
YW1wPSIxNTgyNTA2MTcxIj4xNzIyPC9rZXk+PGtleSBhcHA9IkVOV2ViIiBkYi1pZD0iIj4wPC9r
ZXk+PC9mb3JlaWduLWtleXM+PHJlZi10eXBlIG5hbWU9IkpvdXJuYWwgQXJ0aWNsZSI+MTc8L3Jl
Zi10eXBlPjxjb250cmlidXRvcnM+PGF1dGhvcnM+PGF1dGhvcj5NaXlha2UsIFkuPC9hdXRob3I+
PGF1dGhvcj5UYW5ha2EsIEsuPC9hdXRob3I+PGF1dGhvcj5Pa3VibywgSC48L2F1dGhvcj48YXV0
aG9yPlNhc2FraSwgUy48L2F1dGhvcj48YXV0aG9yPkFyYWthd2EsIE0uPC9hdXRob3I+PC9hdXRo
b3JzPjwvY29udHJpYnV0b3JzPjxhdXRoLWFkZHJlc3M+RGVwYXJ0bWVudCBvZiBFcGlkZW1pb2xv
Z3kgYW5kIFByZXZlbnRpdmUgTWVkaWNpbmUsIEVoaW1lIFVuaXZlcnNpdHkgR3JhZHVhdGUgU2No
b29sIG9mIE1lZGljaW5lICwgRWhpbWUgLCBKYXBhbi4mI3hEO0VwaWRlbWlvbG9neSBhbmQgTWVk
aWNhbCBTdGF0aXN0aWNzIFVuaXQsIFRyYW5zbGF0aW9uYWwgUmVzZWFyY2ggQ2VudGVyLCBFaGlt
ZSBVbml2ZXJzaXR5IEhvc3BpdGFsICwgRWhpbWUgLCBKYXBhbi4mI3hEO0RlcGFydG1lbnQgb2Yg
SGVhbHRoIFByb21vdGlvbiwgTmF0aW9uYWwgSW5zdGl0dXRlIG9mIFB1YmxpYyBIZWFsdGggLCBT
YWl0YW1hICwgSmFwYW4uJiN4RDtEZXBhcnRtZW50IG9mIFNvY2lhbCBhbmQgUHJldmVudGl2ZSBF
cGlkZW1pb2xvZ3ksIEdyYWR1YXRlIFNjaG9vbCBvZiBNZWRpY2luZSwgVGhlIFVuaXZlcnNpdHkg
b2YgVG9reW8gLCBUb2t5byAsIEphcGFuLiYjeEQ7SGVhbHRoIFRvdXJpc20gUmVzZWFyY2ggRmll
bGRzLCBHcmFkdWF0ZSBTY2hvb2wgb2YgVG91cmlzbSBTY2llbmNlcywgVW5pdmVyc2l0eSBvZiB0
aGUgUnl1a3l1cyAsIE9raW5hd2EgLCBKYXBhbi48L2F1dGgtYWRkcmVzcz48dGl0bGVzPjx0aXRs
ZT5NYXRlcm5hbCBjYWZmZWluZSBpbnRha2UgaW4gcHJlZ25hbmN5IGlzIGludmVyc2VseSByZWxh
dGVkIHRvIGNoaWxkaG9vZCBwZWVyIHByb2JsZW1zIGluIEphcGFuOiBUaGUgS3l1c2h1IE9raW5h
d2EgTWF0ZXJuYWwgYW5kIENoaWxkIEhlYWx0aCBTdHVkeTwvdGl0bGU+PHNlY29uZGFyeS10aXRs
ZT5OdXRyIE5ldXJvc2NpPC9zZWNvbmRhcnktdGl0bGU+PC90aXRsZXM+PHBlcmlvZGljYWw+PGZ1
bGwtdGl0bGU+TnV0ciBOZXVyb3NjaTwvZnVsbC10aXRsZT48L3BlcmlvZGljYWw+PHBhZ2VzPjgx
Ny04MjQ8L3BhZ2VzPjx2b2x1bWU+MjI8L3ZvbHVtZT48bnVtYmVyPjExPC9udW1iZXI+PGVkaXRp
b24+MjAxOC8wMy8xNTwvZWRpdGlvbj48a2V5d29yZHM+PGtleXdvcmQ+QmVoYXZpb3JhbCBwcm9i
bGVtczwva2V5d29yZD48a2V5d29yZD5DYWZmZWluZTwva2V5d29yZD48a2V5d29yZD5DaGlsZDwv
a2V5d29yZD48a2V5d29yZD5NYXRlcm5hbCBpbnRha2U8L2tleXdvcmQ+PGtleXdvcmQ+UHJlYmly
dGggY29ob3J0PC9rZXl3b3JkPjwva2V5d29yZHM+PGRhdGVzPjx5ZWFyPjIwMTk8L3llYXI+PHB1
Yi1kYXRlcz48ZGF0ZT5Ob3Y8L2RhdGU+PC9wdWItZGF0ZXM+PC9kYXRlcz48aXNibj4xNDc2LTgz
MDUgKEVsZWN0cm9uaWMpJiN4RDsxMDI4LTQxNVggKExpbmtpbmcpPC9pc2JuPjxhY2Nlc3Npb24t
bnVtPjI5NTM0NjUxPC9hY2Nlc3Npb24tbnVtPjx1cmxzPjxyZWxhdGVkLXVybHM+PHVybD5odHRw
czovL3d3dy5uY2JpLm5sbS5uaWguZ292L3B1Ym1lZC8yOTUzNDY1MTwvdXJsPjwvcmVsYXRlZC11
cmxzPjwvdXJscz48ZWxlY3Ryb25pYy1yZXNvdXJjZS1udW0+MTAuMTA4MC8xMDI4NDE1WC4yMDE4
LjE0NTAwODk8L2VsZWN0cm9uaWMtcmVzb3VyY2UtbnVtPjwvcmVjb3JkPjwvQ2l0ZT48L0VuZE5v
dGU+
</w:fldData>
        </w:fldChar>
      </w:r>
      <w:r w:rsidR="002747EA">
        <w:instrText xml:space="preserve"> ADDIN EN.CITE </w:instrText>
      </w:r>
      <w:r w:rsidR="002747EA">
        <w:fldChar w:fldCharType="begin">
          <w:fldData xml:space="preserve">PEVuZE5vdGU+PENpdGU+PEF1dGhvcj5NaXlha2U8L0F1dGhvcj48WWVhcj4yMDE5PC9ZZWFyPjxS
ZWNOdW0+MTcyMjwvUmVjTnVtPjxEaXNwbGF5VGV4dD48c3R5bGUgZmFjZT0ic3VwZXJzY3JpcHQi
IGZvbnQ9IlRyZWJ1Y2hldCBNUyIgc2l6ZT0iOSI+MTEwPC9zdHlsZT48L0Rpc3BsYXlUZXh0Pjxy
ZWNvcmQ+PHJlYy1udW1iZXI+MTcyMjwvcmVjLW51bWJlcj48Zm9yZWlnbi1rZXlzPjxrZXkgYXBw
PSJFTiIgZGItaWQ9ImV4dmFzcmZ4MmR0cmFvZXNhc3hwMnN6c3hhMmRmNTAyNTkyeCIgdGltZXN0
YW1wPSIxNTgyNTA2MTcxIj4xNzIyPC9rZXk+PGtleSBhcHA9IkVOV2ViIiBkYi1pZD0iIj4wPC9r
ZXk+PC9mb3JlaWduLWtleXM+PHJlZi10eXBlIG5hbWU9IkpvdXJuYWwgQXJ0aWNsZSI+MTc8L3Jl
Zi10eXBlPjxjb250cmlidXRvcnM+PGF1dGhvcnM+PGF1dGhvcj5NaXlha2UsIFkuPC9hdXRob3I+
PGF1dGhvcj5UYW5ha2EsIEsuPC9hdXRob3I+PGF1dGhvcj5Pa3VibywgSC48L2F1dGhvcj48YXV0
aG9yPlNhc2FraSwgUy48L2F1dGhvcj48YXV0aG9yPkFyYWthd2EsIE0uPC9hdXRob3I+PC9hdXRo
b3JzPjwvY29udHJpYnV0b3JzPjxhdXRoLWFkZHJlc3M+RGVwYXJ0bWVudCBvZiBFcGlkZW1pb2xv
Z3kgYW5kIFByZXZlbnRpdmUgTWVkaWNpbmUsIEVoaW1lIFVuaXZlcnNpdHkgR3JhZHVhdGUgU2No
b29sIG9mIE1lZGljaW5lICwgRWhpbWUgLCBKYXBhbi4mI3hEO0VwaWRlbWlvbG9neSBhbmQgTWVk
aWNhbCBTdGF0aXN0aWNzIFVuaXQsIFRyYW5zbGF0aW9uYWwgUmVzZWFyY2ggQ2VudGVyLCBFaGlt
ZSBVbml2ZXJzaXR5IEhvc3BpdGFsICwgRWhpbWUgLCBKYXBhbi4mI3hEO0RlcGFydG1lbnQgb2Yg
SGVhbHRoIFByb21vdGlvbiwgTmF0aW9uYWwgSW5zdGl0dXRlIG9mIFB1YmxpYyBIZWFsdGggLCBT
YWl0YW1hICwgSmFwYW4uJiN4RDtEZXBhcnRtZW50IG9mIFNvY2lhbCBhbmQgUHJldmVudGl2ZSBF
cGlkZW1pb2xvZ3ksIEdyYWR1YXRlIFNjaG9vbCBvZiBNZWRpY2luZSwgVGhlIFVuaXZlcnNpdHkg
b2YgVG9reW8gLCBUb2t5byAsIEphcGFuLiYjeEQ7SGVhbHRoIFRvdXJpc20gUmVzZWFyY2ggRmll
bGRzLCBHcmFkdWF0ZSBTY2hvb2wgb2YgVG91cmlzbSBTY2llbmNlcywgVW5pdmVyc2l0eSBvZiB0
aGUgUnl1a3l1cyAsIE9raW5hd2EgLCBKYXBhbi48L2F1dGgtYWRkcmVzcz48dGl0bGVzPjx0aXRs
ZT5NYXRlcm5hbCBjYWZmZWluZSBpbnRha2UgaW4gcHJlZ25hbmN5IGlzIGludmVyc2VseSByZWxh
dGVkIHRvIGNoaWxkaG9vZCBwZWVyIHByb2JsZW1zIGluIEphcGFuOiBUaGUgS3l1c2h1IE9raW5h
d2EgTWF0ZXJuYWwgYW5kIENoaWxkIEhlYWx0aCBTdHVkeTwvdGl0bGU+PHNlY29uZGFyeS10aXRs
ZT5OdXRyIE5ldXJvc2NpPC9zZWNvbmRhcnktdGl0bGU+PC90aXRsZXM+PHBlcmlvZGljYWw+PGZ1
bGwtdGl0bGU+TnV0ciBOZXVyb3NjaTwvZnVsbC10aXRsZT48L3BlcmlvZGljYWw+PHBhZ2VzPjgx
Ny04MjQ8L3BhZ2VzPjx2b2x1bWU+MjI8L3ZvbHVtZT48bnVtYmVyPjExPC9udW1iZXI+PGVkaXRp
b24+MjAxOC8wMy8xNTwvZWRpdGlvbj48a2V5d29yZHM+PGtleXdvcmQ+QmVoYXZpb3JhbCBwcm9i
bGVtczwva2V5d29yZD48a2V5d29yZD5DYWZmZWluZTwva2V5d29yZD48a2V5d29yZD5DaGlsZDwv
a2V5d29yZD48a2V5d29yZD5NYXRlcm5hbCBpbnRha2U8L2tleXdvcmQ+PGtleXdvcmQ+UHJlYmly
dGggY29ob3J0PC9rZXl3b3JkPjwva2V5d29yZHM+PGRhdGVzPjx5ZWFyPjIwMTk8L3llYXI+PHB1
Yi1kYXRlcz48ZGF0ZT5Ob3Y8L2RhdGU+PC9wdWItZGF0ZXM+PC9kYXRlcz48aXNibj4xNDc2LTgz
MDUgKEVsZWN0cm9uaWMpJiN4RDsxMDI4LTQxNVggKExpbmtpbmcpPC9pc2JuPjxhY2Nlc3Npb24t
bnVtPjI5NTM0NjUxPC9hY2Nlc3Npb24tbnVtPjx1cmxzPjxyZWxhdGVkLXVybHM+PHVybD5odHRw
czovL3d3dy5uY2JpLm5sbS5uaWguZ292L3B1Ym1lZC8yOTUzNDY1MTwvdXJsPjwvcmVsYXRlZC11
cmxzPjwvdXJscz48ZWxlY3Ryb25pYy1yZXNvdXJjZS1udW0+MTAuMTA4MC8xMDI4NDE1WC4yMDE4
LjE0NTAwODk8L2VsZWN0cm9uaWMtcmVzb3VyY2UtbnVtPjwvcmVjb3JkPjwvQ2l0ZT48L0VuZE5v
dGU+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110</w:t>
      </w:r>
      <w:r w:rsidR="00774750">
        <w:fldChar w:fldCharType="end"/>
      </w:r>
      <w:r w:rsidRPr="00E82C9A">
        <w:t xml:space="preserve"> found th</w:t>
      </w:r>
      <w:r>
        <w:t>at children of women in the highest quartile of caffeine consumption had a reduced risk of peer problems (</w:t>
      </w:r>
      <w:r w:rsidRPr="0035604D">
        <w:rPr>
          <w:sz w:val="16"/>
          <w:szCs w:val="16"/>
        </w:rPr>
        <w:t>aOR 0.51; 95%CI 0.28 to 0.91</w:t>
      </w:r>
      <w:r w:rsidRPr="00260C4E">
        <w:t>)</w:t>
      </w:r>
      <w:r>
        <w:t>.</w:t>
      </w:r>
    </w:p>
    <w:p w14:paraId="1D5ACDE3" w14:textId="3F99343D" w:rsidR="003B7F99" w:rsidRDefault="003B7F99" w:rsidP="003B7F99">
      <w:pPr>
        <w:pStyle w:val="Heading3"/>
      </w:pPr>
      <w:bookmarkStart w:id="56" w:name="_Toc40956493"/>
      <w:r>
        <w:t>Potential allergens</w:t>
      </w:r>
      <w:bookmarkEnd w:id="56"/>
    </w:p>
    <w:p w14:paraId="7DF9F674" w14:textId="77777777" w:rsidR="00E27608" w:rsidRDefault="00E27608" w:rsidP="00E27608">
      <w:pPr>
        <w:keepNext/>
      </w:pPr>
      <w:r>
        <w:t>Cohort studies into maternal intake of potential allergens have found:</w:t>
      </w:r>
    </w:p>
    <w:p w14:paraId="7E7DC095" w14:textId="0DC061A7" w:rsidR="00E27608" w:rsidRDefault="00E27608" w:rsidP="00E27608">
      <w:pPr>
        <w:pStyle w:val="bullet"/>
      </w:pPr>
      <w:r>
        <w:t>h</w:t>
      </w:r>
      <w:r w:rsidRPr="00E61514">
        <w:t>igher maternal wheat intake during the second trimester was associated wit</w:t>
      </w:r>
      <w:r>
        <w:t>h reduced atopic dermatitis in the infant (</w:t>
      </w:r>
      <w:r w:rsidRPr="00E27608">
        <w:rPr>
          <w:sz w:val="16"/>
          <w:szCs w:val="16"/>
        </w:rPr>
        <w:t>OR 0.64; 95%CI 0.46 to 0.90</w:t>
      </w:r>
      <w:r w:rsidR="00201B35">
        <w:rPr>
          <w:sz w:val="16"/>
          <w:szCs w:val="16"/>
        </w:rPr>
        <w:t>; n=1,227</w:t>
      </w:r>
      <w:r w:rsidRPr="00E61514">
        <w:t>)</w:t>
      </w:r>
      <w:r>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 </w:instrText>
      </w:r>
      <w:r w:rsidR="002747EA">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90</w:t>
      </w:r>
      <w:r>
        <w:fldChar w:fldCharType="end"/>
      </w:r>
    </w:p>
    <w:p w14:paraId="4BAAE1B6" w14:textId="573250A5" w:rsidR="00E27608" w:rsidRDefault="00E27608" w:rsidP="00E27608">
      <w:pPr>
        <w:pStyle w:val="bullet"/>
      </w:pPr>
      <w:r>
        <w:t>h</w:t>
      </w:r>
      <w:r w:rsidRPr="00E61514">
        <w:t xml:space="preserve">igher maternal peanut intake (each additional z score) during the first trimester was associated with reduced </w:t>
      </w:r>
      <w:r>
        <w:t>risk</w:t>
      </w:r>
      <w:r w:rsidRPr="00E61514">
        <w:t xml:space="preserve"> of peanut allergic reaction</w:t>
      </w:r>
      <w:r w:rsidR="00C97E3A">
        <w:t xml:space="preserve"> in the infant</w:t>
      </w:r>
      <w:r w:rsidRPr="00E61514">
        <w:t xml:space="preserve"> (</w:t>
      </w:r>
      <w:r w:rsidRPr="00E27608">
        <w:rPr>
          <w:sz w:val="16"/>
          <w:szCs w:val="16"/>
        </w:rPr>
        <w:t>OR 0.53; 95%CI 0.30 to 0.94</w:t>
      </w:r>
      <w:r w:rsidR="00201B35">
        <w:rPr>
          <w:sz w:val="16"/>
          <w:szCs w:val="16"/>
        </w:rPr>
        <w:t>; n=1,227</w:t>
      </w:r>
      <w:r>
        <w:t>)</w:t>
      </w:r>
      <w:r>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 </w:instrText>
      </w:r>
      <w:r w:rsidR="002747EA">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90</w:t>
      </w:r>
      <w:r>
        <w:fldChar w:fldCharType="end"/>
      </w:r>
    </w:p>
    <w:p w14:paraId="7484B33E" w14:textId="290C8B3C" w:rsidR="00E27608" w:rsidRDefault="00E27608" w:rsidP="00E27608">
      <w:pPr>
        <w:pStyle w:val="bullet"/>
      </w:pPr>
      <w:r>
        <w:t>peanut/tree nut</w:t>
      </w:r>
      <w:r w:rsidRPr="00E61514">
        <w:t xml:space="preserve"> allergy in the offspring was significantly lower among children of non</w:t>
      </w:r>
      <w:r>
        <w:t>-</w:t>
      </w:r>
      <w:r w:rsidRPr="00E61514">
        <w:t xml:space="preserve">allergic mothers who consumed more </w:t>
      </w:r>
      <w:r>
        <w:t>peanuts/tree nuts</w:t>
      </w:r>
      <w:r w:rsidRPr="00E61514">
        <w:t xml:space="preserve"> in their peripregnancy diet (</w:t>
      </w:r>
      <w:r w:rsidRPr="00106CE5">
        <w:rPr>
          <w:sz w:val="16"/>
          <w:szCs w:val="16"/>
        </w:rPr>
        <w:t>≥5 times vs &lt;1 time per month: OR 0.31; 95% CI 0.13 to 0.75; P(trend)=0.004</w:t>
      </w:r>
      <w:r w:rsidR="00201B35">
        <w:rPr>
          <w:sz w:val="16"/>
          <w:szCs w:val="16"/>
        </w:rPr>
        <w:t>; n=8,205</w:t>
      </w:r>
      <w:r w:rsidRPr="00E61514">
        <w:t>)</w:t>
      </w:r>
      <w:r>
        <w:fldChar w:fldCharType="begin">
          <w:fldData xml:space="preserve">PEVuZE5vdGU+PENpdGU+PEF1dGhvcj5GcmF6aWVyPC9BdXRob3I+PFllYXI+MjAxNDwvWWVhcj48
UmVjTnVtPjE0MTY8L1JlY051bT48RGlzcGxheVRleHQ+PHN0eWxlIGZhY2U9InN1cGVyc2NyaXB0
IiBmb250PSJUcmVidWNoZXQgTVMiIHNpemU9IjkiPjExMTwvc3R5bGU+PC9EaXNwbGF5VGV4dD48
cmVjb3JkPjxyZWMtbnVtYmVyPjE0MTY8L3JlYy1udW1iZXI+PGZvcmVpZ24ta2V5cz48a2V5IGFw
cD0iRU4iIGRiLWlkPSJleHZhc3JmeDJkdHJhb2VzYXN4cDJzenN4YTJkZjUwMjU5MngiIHRpbWVz
dGFtcD0iMTU2ODE3MDc5MiI+MTQxNjwva2V5PjxrZXkgYXBwPSJFTldlYiIgZGItaWQ9IiI+MDwv
a2V5PjwvZm9yZWlnbi1rZXlzPjxyZWYtdHlwZSBuYW1lPSJKb3VybmFsIEFydGljbGUiPjE3PC9y
ZWYtdHlwZT48Y29udHJpYnV0b3JzPjxhdXRob3JzPjxhdXRob3I+RnJhemllciwgQS4gTC48L2F1
dGhvcj48YXV0aG9yPkNhbWFyZ28sIEMuIEEuLCBKci48L2F1dGhvcj48YXV0aG9yPk1hbHNwZWlz
LCBTLjwvYXV0aG9yPjxhdXRob3I+V2lsbGV0dCwgVy4gQy48L2F1dGhvcj48YXV0aG9yPllvdW5n
LCBNLiBDLjwvYXV0aG9yPjwvYXV0aG9ycz48L2NvbnRyaWJ1dG9ycz48YXV0aC1hZGRyZXNzPkRl
cGFydG1lbnQgb2YgUGVkaWF0cmljIE9uY29sb2d5LCBEYW5hLUZhcmJlciBDaGlsZHJlbiZhcG9z
O3MgQ2FuY2VyIENlbnRlciwgQm9zdG9uLCBNYXNzYWNodXNldHRzMkNoYW5uaW5nIERpdmlzaW9u
IG9mIE5ldHdvcmsgTWVkaWNpbmUsIERlcGFydG1lbnQgb2YgTWVkaWNpbmUsIEJyaWdoYW0gYW5k
IFdvbWVuJmFwb3M7cyBIb3NwaXRhbCBhbmQgSGFydmFyZCBNZWRpY2FsIFNjaG9vbCwgQm9zdG9u
LCBNYXNzYWNodXNldHRzLiYjeEQ7Q2hhbm5pbmcgRGl2aXNpb24gb2YgTmV0d29yayBNZWRpY2lu
ZSwgRGVwYXJ0bWVudCBvZiBNZWRpY2luZSwgQnJpZ2hhbSBhbmQgV29tZW4mYXBvcztzIEhvc3Bp
dGFsIGFuZCBIYXJ2YXJkIE1lZGljYWwgU2Nob29sLCBCb3N0b24sIE1hc3NhY2h1c2V0dHMzRGVw
YXJ0bWVudCBvZiBFbWVyZ2VuY3kgTWVkaWNpbmUsIE1hc3NhY2h1c2V0dHMgR2VuZXJhbCBIb3Nw
aXRhbCwgQm9zdG9uNERlcGFydG1lbnQgb2YgRXBpZGVtaW9sb2d5LCBIYXJ2YXJkIFNjaG8uJiN4
RDtDaGFubmluZyBEaXZpc2lvbiBvZiBOZXR3b3JrIE1lZGljaW5lLCBEZXBhcnRtZW50IG9mIE1l
ZGljaW5lLCBCcmlnaGFtIGFuZCBXb21lbiZhcG9zO3MgSG9zcGl0YWwgYW5kIEhhcnZhcmQgTWVk
aWNhbCBTY2hvb2wsIEJvc3RvbiwgTWFzc2FjaHVzZXR0cy4mI3hEO0RlcGFydG1lbnQgb2YgRXBp
ZGVtaW9sb2d5LCBIYXJ2YXJkIFNjaG9vbCBvZiBQdWJsaWMgSGVhbHRoLCBCb3N0b24sIE1hc3Nh
Y2h1c2V0dHM1RGVwYXJ0bWVudCBvZiBOdXRyaXRpb24sIEhhcnZhcmQgU2Nob29sIG9mIFB1Ymxp
YyBIZWFsdGgsIEJvc3RvbiwgTWFzc2FjaHVzZXR0czZEaXZpc2lvbiBvZiBHYXN0cm9lbnRlcm9s
b2d5IGFuZCBOdXRyaXRpb24sIEJvc3RvbiBDaGlsZHJlbiZhcG9zO3MgSG9zcGl0YWwsIEJvc3Rv
biwgTWFzc2FjaHVzZXR0LiYjeEQ7RGVwYXJ0bWVudCBvZiBNZWRpY2luZSwgQm9zdG9uIENoaWxk
cmVuJmFwb3M7cyBIb3NwaXRhbCwgQm9zdG9uLCBNYXNzYWNodXNldHRzLjwvYXV0aC1hZGRyZXNz
Pjx0aXRsZXM+PHRpdGxlPlByb3NwZWN0aXZlIHN0dWR5IG9mIHBlcmlwcmVnbmFuY3kgY29uc3Vt
cHRpb24gb2YgcGVhbnV0cyBvciB0cmVlIG51dHMgYnkgbW90aGVycyBhbmQgdGhlIHJpc2sgb2Yg
cGVhbnV0IG9yIHRyZWUgbnV0IGFsbGVyZ3kgaW4gdGhlaXIgb2Zmc3ByaW5nPC90aXRsZT48c2Vj
b25kYXJ5LXRpdGxlPkpBTUEgUGVkaWF0cjwvc2Vjb25kYXJ5LXRpdGxlPjwvdGl0bGVzPjxwZXJp
b2RpY2FsPjxmdWxsLXRpdGxlPkpBTUEgUGVkaWF0cjwvZnVsbC10aXRsZT48L3BlcmlvZGljYWw+
PHBhZ2VzPjE1Ni02MjwvcGFnZXM+PHZvbHVtZT4xNjg8L3ZvbHVtZT48bnVtYmVyPjI8L251bWJl
cj48ZWRpdGlvbj4yMDEzLzEyLzI1PC9lZGl0aW9uPjxrZXl3b3Jkcz48a2V5d29yZD5BZG9sZXNj
ZW50PC9rZXl3b3JkPjxrZXl3b3JkPkFkdWx0PC9rZXl3b3JkPjxrZXl3b3JkPipBcmFjaGlzPC9r
ZXl3b3JkPjxrZXl3b3JkPkNoaWxkPC9rZXl3b3JkPjxrZXl3b3JkPkRpZXQ8L2tleXdvcmQ+PGtl
eXdvcmQ+RmVtYWxlPC9rZXl3b3JkPjxrZXl3b3JkPkh1bWFuczwva2V5d29yZD48a2V5d29yZD5N
YWxlPC9rZXl3b3JkPjxrZXl3b3JkPipNYXRlcm5hbCBOdXRyaXRpb25hbCBQaHlzaW9sb2dpY2Fs
IFBoZW5vbWVuYTwva2V5d29yZD48a2V5d29yZD5OdXQgSHlwZXJzZW5zaXRpdml0eS8qZXBpZGVt
aW9sb2d5PC9rZXl3b3JkPjxrZXl3b3JkPipOdXRzPC9rZXl3b3JkPjxrZXl3b3JkPlBlYW51dCBI
eXBlcnNlbnNpdGl2aXR5LyplcGlkZW1pb2xvZ3k8L2tleXdvcmQ+PGtleXdvcmQ+UHJlZ25hbmN5
PC9rZXl3b3JkPjxrZXl3b3JkPlByb3NwZWN0aXZlIFN0dWRpZXM8L2tleXdvcmQ+PGtleXdvcmQ+
VW5pdGVkIFN0YXRlcy9lcGlkZW1pb2xvZ3k8L2tleXdvcmQ+PC9rZXl3b3Jkcz48ZGF0ZXM+PHll
YXI+MjAxNDwveWVhcj48cHViLWRhdGVzPjxkYXRlPkZlYjwvZGF0ZT48L3B1Yi1kYXRlcz48L2Rh
dGVzPjxpc2JuPjIxNjgtNjIxMSAoRWxlY3Ryb25pYykmI3hEOzIxNjgtNjIwMyAoTGlua2luZyk8
L2lzYm4+PGFjY2Vzc2lvbi1udW0+MjQzNjY1Mzk8L2FjY2Vzc2lvbi1udW0+PHVybHM+PHJlbGF0
ZWQtdXJscz48dXJsPmh0dHBzOi8vd3d3Lm5jYmkubmxtLm5paC5nb3YvcHVibWVkLzI0MzY2NTM5
PC91cmw+PC9yZWxhdGVkLXVybHM+PC91cmxzPjxlbGVjdHJvbmljLXJlc291cmNlLW51bT4xMC4x
MDAxL2phbWFwZWRpYXRyaWNzLjIwMTMuNDEzOTwvZWxlY3Ryb25pYy1yZXNvdXJjZS1udW0+PC9y
ZWNvcmQ+PC9DaXRlPjwvRW5kTm90ZT5=
</w:fldData>
        </w:fldChar>
      </w:r>
      <w:r w:rsidR="002747EA">
        <w:instrText xml:space="preserve"> ADDIN EN.CITE </w:instrText>
      </w:r>
      <w:r w:rsidR="002747EA">
        <w:fldChar w:fldCharType="begin">
          <w:fldData xml:space="preserve">PEVuZE5vdGU+PENpdGU+PEF1dGhvcj5GcmF6aWVyPC9BdXRob3I+PFllYXI+MjAxNDwvWWVhcj48
UmVjTnVtPjE0MTY8L1JlY051bT48RGlzcGxheVRleHQ+PHN0eWxlIGZhY2U9InN1cGVyc2NyaXB0
IiBmb250PSJUcmVidWNoZXQgTVMiIHNpemU9IjkiPjExMTwvc3R5bGU+PC9EaXNwbGF5VGV4dD48
cmVjb3JkPjxyZWMtbnVtYmVyPjE0MTY8L3JlYy1udW1iZXI+PGZvcmVpZ24ta2V5cz48a2V5IGFw
cD0iRU4iIGRiLWlkPSJleHZhc3JmeDJkdHJhb2VzYXN4cDJzenN4YTJkZjUwMjU5MngiIHRpbWVz
dGFtcD0iMTU2ODE3MDc5MiI+MTQxNjwva2V5PjxrZXkgYXBwPSJFTldlYiIgZGItaWQ9IiI+MDwv
a2V5PjwvZm9yZWlnbi1rZXlzPjxyZWYtdHlwZSBuYW1lPSJKb3VybmFsIEFydGljbGUiPjE3PC9y
ZWYtdHlwZT48Y29udHJpYnV0b3JzPjxhdXRob3JzPjxhdXRob3I+RnJhemllciwgQS4gTC48L2F1
dGhvcj48YXV0aG9yPkNhbWFyZ28sIEMuIEEuLCBKci48L2F1dGhvcj48YXV0aG9yPk1hbHNwZWlz
LCBTLjwvYXV0aG9yPjxhdXRob3I+V2lsbGV0dCwgVy4gQy48L2F1dGhvcj48YXV0aG9yPllvdW5n
LCBNLiBDLjwvYXV0aG9yPjwvYXV0aG9ycz48L2NvbnRyaWJ1dG9ycz48YXV0aC1hZGRyZXNzPkRl
cGFydG1lbnQgb2YgUGVkaWF0cmljIE9uY29sb2d5LCBEYW5hLUZhcmJlciBDaGlsZHJlbiZhcG9z
O3MgQ2FuY2VyIENlbnRlciwgQm9zdG9uLCBNYXNzYWNodXNldHRzMkNoYW5uaW5nIERpdmlzaW9u
IG9mIE5ldHdvcmsgTWVkaWNpbmUsIERlcGFydG1lbnQgb2YgTWVkaWNpbmUsIEJyaWdoYW0gYW5k
IFdvbWVuJmFwb3M7cyBIb3NwaXRhbCBhbmQgSGFydmFyZCBNZWRpY2FsIFNjaG9vbCwgQm9zdG9u
LCBNYXNzYWNodXNldHRzLiYjeEQ7Q2hhbm5pbmcgRGl2aXNpb24gb2YgTmV0d29yayBNZWRpY2lu
ZSwgRGVwYXJ0bWVudCBvZiBNZWRpY2luZSwgQnJpZ2hhbSBhbmQgV29tZW4mYXBvcztzIEhvc3Bp
dGFsIGFuZCBIYXJ2YXJkIE1lZGljYWwgU2Nob29sLCBCb3N0b24sIE1hc3NhY2h1c2V0dHMzRGVw
YXJ0bWVudCBvZiBFbWVyZ2VuY3kgTWVkaWNpbmUsIE1hc3NhY2h1c2V0dHMgR2VuZXJhbCBIb3Nw
aXRhbCwgQm9zdG9uNERlcGFydG1lbnQgb2YgRXBpZGVtaW9sb2d5LCBIYXJ2YXJkIFNjaG8uJiN4
RDtDaGFubmluZyBEaXZpc2lvbiBvZiBOZXR3b3JrIE1lZGljaW5lLCBEZXBhcnRtZW50IG9mIE1l
ZGljaW5lLCBCcmlnaGFtIGFuZCBXb21lbiZhcG9zO3MgSG9zcGl0YWwgYW5kIEhhcnZhcmQgTWVk
aWNhbCBTY2hvb2wsIEJvc3RvbiwgTWFzc2FjaHVzZXR0cy4mI3hEO0RlcGFydG1lbnQgb2YgRXBp
ZGVtaW9sb2d5LCBIYXJ2YXJkIFNjaG9vbCBvZiBQdWJsaWMgSGVhbHRoLCBCb3N0b24sIE1hc3Nh
Y2h1c2V0dHM1RGVwYXJ0bWVudCBvZiBOdXRyaXRpb24sIEhhcnZhcmQgU2Nob29sIG9mIFB1Ymxp
YyBIZWFsdGgsIEJvc3RvbiwgTWFzc2FjaHVzZXR0czZEaXZpc2lvbiBvZiBHYXN0cm9lbnRlcm9s
b2d5IGFuZCBOdXRyaXRpb24sIEJvc3RvbiBDaGlsZHJlbiZhcG9zO3MgSG9zcGl0YWwsIEJvc3Rv
biwgTWFzc2FjaHVzZXR0LiYjeEQ7RGVwYXJ0bWVudCBvZiBNZWRpY2luZSwgQm9zdG9uIENoaWxk
cmVuJmFwb3M7cyBIb3NwaXRhbCwgQm9zdG9uLCBNYXNzYWNodXNldHRzLjwvYXV0aC1hZGRyZXNz
Pjx0aXRsZXM+PHRpdGxlPlByb3NwZWN0aXZlIHN0dWR5IG9mIHBlcmlwcmVnbmFuY3kgY29uc3Vt
cHRpb24gb2YgcGVhbnV0cyBvciB0cmVlIG51dHMgYnkgbW90aGVycyBhbmQgdGhlIHJpc2sgb2Yg
cGVhbnV0IG9yIHRyZWUgbnV0IGFsbGVyZ3kgaW4gdGhlaXIgb2Zmc3ByaW5nPC90aXRsZT48c2Vj
b25kYXJ5LXRpdGxlPkpBTUEgUGVkaWF0cjwvc2Vjb25kYXJ5LXRpdGxlPjwvdGl0bGVzPjxwZXJp
b2RpY2FsPjxmdWxsLXRpdGxlPkpBTUEgUGVkaWF0cjwvZnVsbC10aXRsZT48L3BlcmlvZGljYWw+
PHBhZ2VzPjE1Ni02MjwvcGFnZXM+PHZvbHVtZT4xNjg8L3ZvbHVtZT48bnVtYmVyPjI8L251bWJl
cj48ZWRpdGlvbj4yMDEzLzEyLzI1PC9lZGl0aW9uPjxrZXl3b3Jkcz48a2V5d29yZD5BZG9sZXNj
ZW50PC9rZXl3b3JkPjxrZXl3b3JkPkFkdWx0PC9rZXl3b3JkPjxrZXl3b3JkPipBcmFjaGlzPC9r
ZXl3b3JkPjxrZXl3b3JkPkNoaWxkPC9rZXl3b3JkPjxrZXl3b3JkPkRpZXQ8L2tleXdvcmQ+PGtl
eXdvcmQ+RmVtYWxlPC9rZXl3b3JkPjxrZXl3b3JkPkh1bWFuczwva2V5d29yZD48a2V5d29yZD5N
YWxlPC9rZXl3b3JkPjxrZXl3b3JkPipNYXRlcm5hbCBOdXRyaXRpb25hbCBQaHlzaW9sb2dpY2Fs
IFBoZW5vbWVuYTwva2V5d29yZD48a2V5d29yZD5OdXQgSHlwZXJzZW5zaXRpdml0eS8qZXBpZGVt
aW9sb2d5PC9rZXl3b3JkPjxrZXl3b3JkPipOdXRzPC9rZXl3b3JkPjxrZXl3b3JkPlBlYW51dCBI
eXBlcnNlbnNpdGl2aXR5LyplcGlkZW1pb2xvZ3k8L2tleXdvcmQ+PGtleXdvcmQ+UHJlZ25hbmN5
PC9rZXl3b3JkPjxrZXl3b3JkPlByb3NwZWN0aXZlIFN0dWRpZXM8L2tleXdvcmQ+PGtleXdvcmQ+
VW5pdGVkIFN0YXRlcy9lcGlkZW1pb2xvZ3k8L2tleXdvcmQ+PC9rZXl3b3Jkcz48ZGF0ZXM+PHll
YXI+MjAxNDwveWVhcj48cHViLWRhdGVzPjxkYXRlPkZlYjwvZGF0ZT48L3B1Yi1kYXRlcz48L2Rh
dGVzPjxpc2JuPjIxNjgtNjIxMSAoRWxlY3Ryb25pYykmI3hEOzIxNjgtNjIwMyAoTGlua2luZyk8
L2lzYm4+PGFjY2Vzc2lvbi1udW0+MjQzNjY1Mzk8L2FjY2Vzc2lvbi1udW0+PHVybHM+PHJlbGF0
ZWQtdXJscz48dXJsPmh0dHBzOi8vd3d3Lm5jYmkubmxtLm5paC5nb3YvcHVibWVkLzI0MzY2NTM5
PC91cmw+PC9yZWxhdGVkLXVybHM+PC91cmxzPjxlbGVjdHJvbmljLXJlc291cmNlLW51bT4xMC4x
MDAxL2phbWFwZWRpYXRyaWNzLjIwMTMuNDEzOTwvZWxlY3Ryb25pYy1yZXNvdXJjZS1udW0+PC9y
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111</w:t>
      </w:r>
      <w:r>
        <w:fldChar w:fldCharType="end"/>
      </w:r>
    </w:p>
    <w:p w14:paraId="1F4168FC" w14:textId="78A37A11" w:rsidR="00E27608" w:rsidRDefault="00E27608" w:rsidP="00E27608">
      <w:pPr>
        <w:pStyle w:val="bullet"/>
      </w:pPr>
      <w:r w:rsidRPr="004C463B">
        <w:t xml:space="preserve">incidence of babies' eczema was significantly lower in the group with everyday intake </w:t>
      </w:r>
      <w:r>
        <w:t xml:space="preserve">of natto (fermented soy beans) </w:t>
      </w:r>
      <w:r w:rsidR="00106CE5">
        <w:t>compared to</w:t>
      </w:r>
      <w:r w:rsidRPr="004C463B">
        <w:t xml:space="preserve"> </w:t>
      </w:r>
      <w:r w:rsidR="00106CE5">
        <w:t>women</w:t>
      </w:r>
      <w:r w:rsidRPr="004C463B">
        <w:t xml:space="preserve"> eating</w:t>
      </w:r>
      <w:r>
        <w:t xml:space="preserve"> it 2-3 times a week or less (</w:t>
      </w:r>
      <w:r w:rsidRPr="00106CE5">
        <w:rPr>
          <w:sz w:val="16"/>
          <w:szCs w:val="16"/>
        </w:rPr>
        <w:t>p=0.020</w:t>
      </w:r>
      <w:r w:rsidR="00201B35">
        <w:rPr>
          <w:sz w:val="16"/>
          <w:szCs w:val="16"/>
        </w:rPr>
        <w:t>; n=650</w:t>
      </w:r>
      <w:r w:rsidRPr="004C463B">
        <w:t>).</w:t>
      </w:r>
      <w:r>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 </w:instrText>
      </w:r>
      <w:r w:rsidR="002747EA">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83</w:t>
      </w:r>
      <w:r>
        <w:fldChar w:fldCharType="end"/>
      </w:r>
    </w:p>
    <w:p w14:paraId="4B92662B" w14:textId="74CEAD91" w:rsidR="00122B25" w:rsidRPr="00394BD4" w:rsidRDefault="00394BD4" w:rsidP="002E1093">
      <w:pPr>
        <w:pStyle w:val="Heading3"/>
      </w:pPr>
      <w:bookmarkStart w:id="57" w:name="_Toc40956494"/>
      <w:r w:rsidRPr="00394BD4">
        <w:t>Evidence s</w:t>
      </w:r>
      <w:r w:rsidR="002E1093" w:rsidRPr="00394BD4">
        <w:t>ummary</w:t>
      </w:r>
      <w:bookmarkEnd w:id="57"/>
    </w:p>
    <w:p w14:paraId="7E4A2B11" w14:textId="202C1810" w:rsidR="002E5DCD" w:rsidRDefault="002E5DCD" w:rsidP="002E5DCD">
      <w:r>
        <w:t xml:space="preserve">The evidence on specific </w:t>
      </w:r>
      <w:r w:rsidR="00594E99">
        <w:t xml:space="preserve">food components that should be promoted or avoided during pregnancy generally aligns with the findings for question 1. </w:t>
      </w:r>
      <w:r w:rsidR="00B06DDF">
        <w:t>No evidence was identified that contradicts the findings of the systematic review undertaken to inform the</w:t>
      </w:r>
      <w:r w:rsidR="00B06DDF" w:rsidRPr="00B06DDF">
        <w:rPr>
          <w:i/>
        </w:rPr>
        <w:t xml:space="preserve"> Australian Dietary Guidelines</w:t>
      </w:r>
      <w:r w:rsidR="00B06DDF">
        <w:t>.</w:t>
      </w:r>
    </w:p>
    <w:p w14:paraId="1DDBC4FD" w14:textId="77777777" w:rsidR="00331E82" w:rsidRDefault="00331E82" w:rsidP="00F01EF9">
      <w:pPr>
        <w:pStyle w:val="Heading4"/>
      </w:pPr>
      <w:r>
        <w:t>Fruit, vegetables and legumes</w:t>
      </w:r>
    </w:p>
    <w:p w14:paraId="62A92816" w14:textId="7ACA688A" w:rsidR="00331E82" w:rsidRDefault="00331E82" w:rsidP="00331E82">
      <w:r>
        <w:t>There is evidence from observational studies that eating vegetables, fruit and legumes during pregnancy is beneficial to both mother and baby. There are possible associations with im</w:t>
      </w:r>
      <w:r w:rsidR="00987B55">
        <w:t>provements in glucose tolerance and</w:t>
      </w:r>
      <w:r>
        <w:t xml:space="preserve"> fetal growth</w:t>
      </w:r>
      <w:r w:rsidR="007E5208">
        <w:t xml:space="preserve"> and reduc</w:t>
      </w:r>
      <w:r w:rsidR="00987B55">
        <w:t>t</w:t>
      </w:r>
      <w:r w:rsidR="007E5208">
        <w:t xml:space="preserve">ions in risk of </w:t>
      </w:r>
      <w:r w:rsidR="00CD7077">
        <w:t xml:space="preserve">neural tube defects, </w:t>
      </w:r>
      <w:r w:rsidR="007E5208">
        <w:t>pre-eclampsia, preterm birth, depression and anxiety, allergy or asthma in the child and some childhood cancers.</w:t>
      </w:r>
    </w:p>
    <w:p w14:paraId="458E6F8F" w14:textId="2183F97B" w:rsidR="007E5208" w:rsidRDefault="007E5208" w:rsidP="00F01EF9">
      <w:pPr>
        <w:pStyle w:val="Heading4"/>
      </w:pPr>
      <w:r>
        <w:t>Meat</w:t>
      </w:r>
    </w:p>
    <w:p w14:paraId="5F06AF5C" w14:textId="516B95B4" w:rsidR="007E5208" w:rsidRDefault="007E5208" w:rsidP="007E5208">
      <w:r>
        <w:t xml:space="preserve">There is evidence from observational studies that </w:t>
      </w:r>
      <w:r w:rsidR="00CD7077">
        <w:t xml:space="preserve">low </w:t>
      </w:r>
      <w:r w:rsidR="007E4A1D">
        <w:t>meat consumption may be protective against wheeze in the child</w:t>
      </w:r>
      <w:r>
        <w:t xml:space="preserve"> and that limiting intake of cured meats may reduce the risk of some childhood cancers.</w:t>
      </w:r>
    </w:p>
    <w:p w14:paraId="086768EF" w14:textId="1CF482A4" w:rsidR="007E5208" w:rsidRDefault="007E5208" w:rsidP="00F01EF9">
      <w:pPr>
        <w:pStyle w:val="Heading4"/>
      </w:pPr>
      <w:r>
        <w:t>Fish</w:t>
      </w:r>
    </w:p>
    <w:p w14:paraId="44F4934C" w14:textId="58DC8B24" w:rsidR="0030729F" w:rsidRDefault="00990639" w:rsidP="0030729F">
      <w:r>
        <w:t xml:space="preserve">There is evidence from systematic reviews of observational studies that higher maternal fish intake may be associated with positive neurodevelopmental outcomes and a reduced risk of childhood leukaemia and does not appear to affect the risk of infant eczema, wheeze, allergic rhinitis or asthma. </w:t>
      </w:r>
      <w:r w:rsidR="0030729F">
        <w:t>There is evidence from observational studies that high intake of seafood may be associated with reduced risk of antenatal depression</w:t>
      </w:r>
      <w:r w:rsidR="00965D52">
        <w:t xml:space="preserve"> and</w:t>
      </w:r>
      <w:r w:rsidR="0030729F">
        <w:t xml:space="preserve"> low birth weight</w:t>
      </w:r>
      <w:r w:rsidR="00965D52">
        <w:t xml:space="preserve"> but that high fetal exposure to mercury is associated with low birth weight, small-for-gestational age and delayed language and communication skills.</w:t>
      </w:r>
    </w:p>
    <w:p w14:paraId="7075F0ED" w14:textId="7AE26545" w:rsidR="006E4B59" w:rsidRDefault="003E5B34" w:rsidP="004904BC">
      <w:r>
        <w:t xml:space="preserve">The evidence on an association between maternal fish </w:t>
      </w:r>
      <w:r w:rsidR="00965D52">
        <w:t>intake and preterm birth is in</w:t>
      </w:r>
      <w:r>
        <w:t>sufficient for conclusions to be drawn</w:t>
      </w:r>
      <w:r w:rsidR="00965D52">
        <w:t xml:space="preserve"> and findings of</w:t>
      </w:r>
      <w:r w:rsidR="006E4B59">
        <w:t xml:space="preserve"> </w:t>
      </w:r>
      <w:r w:rsidR="00990639">
        <w:t>observational</w:t>
      </w:r>
      <w:r w:rsidR="006E4B59">
        <w:t xml:space="preserve"> studies </w:t>
      </w:r>
      <w:r w:rsidR="00654B85">
        <w:t xml:space="preserve">on the effect of maternal seafood intake on </w:t>
      </w:r>
      <w:r w:rsidR="00965D52">
        <w:t>child growth are</w:t>
      </w:r>
      <w:r w:rsidR="00895045">
        <w:t xml:space="preserve"> inconsistent. </w:t>
      </w:r>
    </w:p>
    <w:p w14:paraId="3AEC7941" w14:textId="51604FE6" w:rsidR="007E5208" w:rsidRDefault="007E4A1D" w:rsidP="00F01EF9">
      <w:pPr>
        <w:pStyle w:val="Heading4"/>
      </w:pPr>
      <w:r>
        <w:t>Dairy</w:t>
      </w:r>
    </w:p>
    <w:p w14:paraId="0E96FC78" w14:textId="20D0D36F" w:rsidR="007E4A1D" w:rsidRPr="007E5208" w:rsidRDefault="003E5B34" w:rsidP="007E5208">
      <w:r>
        <w:t xml:space="preserve">There is evidence from </w:t>
      </w:r>
      <w:r w:rsidR="000D3D02">
        <w:t>observational</w:t>
      </w:r>
      <w:r>
        <w:t xml:space="preserve"> studies that higher </w:t>
      </w:r>
      <w:r w:rsidR="001F53E5">
        <w:t xml:space="preserve">maternal </w:t>
      </w:r>
      <w:r>
        <w:t xml:space="preserve">intake of </w:t>
      </w:r>
      <w:r w:rsidR="008B14B3">
        <w:t xml:space="preserve">all </w:t>
      </w:r>
      <w:r>
        <w:t xml:space="preserve">dairy products </w:t>
      </w:r>
      <w:r w:rsidR="001F53E5">
        <w:t>is associated with a reduced risk of infantile eczema</w:t>
      </w:r>
      <w:r w:rsidR="0013058F">
        <w:t>,</w:t>
      </w:r>
      <w:r w:rsidR="001F53E5">
        <w:t xml:space="preserve"> </w:t>
      </w:r>
      <w:r>
        <w:t xml:space="preserve">higher maternal milk intake is associated with reduced risk of </w:t>
      </w:r>
      <w:r w:rsidR="000D3D02">
        <w:t xml:space="preserve">neural tube defects, </w:t>
      </w:r>
      <w:r>
        <w:t>asthma, allergic rhinitis and cow’s milk allergy in children</w:t>
      </w:r>
      <w:r w:rsidR="000D3D02">
        <w:t>, higher yoghurt intake is associated with lower prevalence of depressive symptoms during pregnancy,</w:t>
      </w:r>
      <w:r w:rsidR="0013058F">
        <w:t xml:space="preserve"> </w:t>
      </w:r>
      <w:r w:rsidR="000D3D02">
        <w:t>and</w:t>
      </w:r>
      <w:r w:rsidR="0013058F">
        <w:t xml:space="preserve"> </w:t>
      </w:r>
      <w:r w:rsidR="000D3D02">
        <w:t>daily</w:t>
      </w:r>
      <w:r w:rsidR="0013058F">
        <w:t xml:space="preserve"> butter intake may be associated with </w:t>
      </w:r>
      <w:r w:rsidR="000D3D02">
        <w:t>increased risk of infant eczema.</w:t>
      </w:r>
    </w:p>
    <w:p w14:paraId="7271E68D" w14:textId="1385C486" w:rsidR="007E4A1D" w:rsidRDefault="007E4A1D" w:rsidP="00F01EF9">
      <w:pPr>
        <w:pStyle w:val="Heading4"/>
      </w:pPr>
      <w:r>
        <w:t>Carbohydrates</w:t>
      </w:r>
    </w:p>
    <w:p w14:paraId="3ED2E322" w14:textId="7F0F970D" w:rsidR="008E4648" w:rsidRDefault="00F01EF9" w:rsidP="00CD4D30">
      <w:r>
        <w:t xml:space="preserve">There is evidence from analysis of RCT participants that, </w:t>
      </w:r>
      <w:r w:rsidR="008E4648">
        <w:t>i</w:t>
      </w:r>
      <w:r w:rsidR="008E4648" w:rsidRPr="008E4648">
        <w:t xml:space="preserve">n obese women with impaired glucose tolerance, a </w:t>
      </w:r>
      <w:r w:rsidR="008E4648">
        <w:t>moderate</w:t>
      </w:r>
      <w:r w:rsidR="008E4648" w:rsidRPr="008E4648">
        <w:t xml:space="preserve"> carbohydrate intake </w:t>
      </w:r>
      <w:r w:rsidR="008E4648">
        <w:t>during pregnancy</w:t>
      </w:r>
      <w:r w:rsidR="008E4648" w:rsidRPr="008E4648">
        <w:t xml:space="preserve"> is associated with a lower fat mass in their </w:t>
      </w:r>
      <w:r w:rsidR="008E4648">
        <w:t>baby</w:t>
      </w:r>
      <w:r w:rsidR="008E4648" w:rsidRPr="008E4648">
        <w:t xml:space="preserve"> at birth.</w:t>
      </w:r>
      <w:r w:rsidR="0013058F">
        <w:t xml:space="preserve"> </w:t>
      </w:r>
      <w:r w:rsidR="00A72DF9">
        <w:t xml:space="preserve">There is evidence from cohort studies that </w:t>
      </w:r>
      <w:r w:rsidR="00752B41">
        <w:t xml:space="preserve">high </w:t>
      </w:r>
      <w:r w:rsidR="00A72DF9">
        <w:t>maternal carbohydrate consumption may be associated with increases in birth weight and with infant wheeze.</w:t>
      </w:r>
    </w:p>
    <w:p w14:paraId="6A235E73" w14:textId="4CACFFAF" w:rsidR="00A72DF9" w:rsidRDefault="00A72DF9" w:rsidP="00A72DF9">
      <w:pPr>
        <w:pStyle w:val="Heading4"/>
      </w:pPr>
      <w:r>
        <w:t>Protein</w:t>
      </w:r>
    </w:p>
    <w:p w14:paraId="648E5036" w14:textId="59ABE5AC" w:rsidR="00A72DF9" w:rsidRDefault="00A72DF9" w:rsidP="00752B41">
      <w:r>
        <w:t xml:space="preserve">There is evidence from </w:t>
      </w:r>
      <w:r w:rsidR="00752B41">
        <w:t>observational studies</w:t>
      </w:r>
      <w:r>
        <w:t xml:space="preserve"> that a higher </w:t>
      </w:r>
      <w:r w:rsidR="00752B41">
        <w:t>maternal</w:t>
      </w:r>
      <w:r>
        <w:t xml:space="preserve"> </w:t>
      </w:r>
      <w:r w:rsidR="001A3862">
        <w:t>protein</w:t>
      </w:r>
      <w:r>
        <w:t xml:space="preserve"> </w:t>
      </w:r>
      <w:r w:rsidRPr="0010084F">
        <w:t xml:space="preserve">intake </w:t>
      </w:r>
      <w:r w:rsidR="00752B41">
        <w:t>may be</w:t>
      </w:r>
      <w:r w:rsidRPr="0010084F">
        <w:t xml:space="preserve"> associated with a higher risk of </w:t>
      </w:r>
      <w:r>
        <w:t>gestational diabetes</w:t>
      </w:r>
      <w:r w:rsidR="00752B41">
        <w:t>,</w:t>
      </w:r>
      <w:r w:rsidR="001A3862">
        <w:t xml:space="preserve"> may increase fat-free mass in the infant and reduce new born abdominal adipose tissue and the risk of rapid infant growth.</w:t>
      </w:r>
    </w:p>
    <w:p w14:paraId="468B464A" w14:textId="1673342A" w:rsidR="00A72DF9" w:rsidRDefault="001A3862" w:rsidP="001A3862">
      <w:pPr>
        <w:pStyle w:val="Heading4"/>
      </w:pPr>
      <w:r>
        <w:t>Fats</w:t>
      </w:r>
    </w:p>
    <w:p w14:paraId="13F41917" w14:textId="67A4DA5D" w:rsidR="001A3862" w:rsidRPr="00A72DF9" w:rsidRDefault="0013058F" w:rsidP="00A72DF9">
      <w:r>
        <w:t>There is evidence from observational studies that a higher daily fat intake is associated with increased risk of gestational diabetes and lower birth weight.</w:t>
      </w:r>
    </w:p>
    <w:p w14:paraId="5A589248" w14:textId="77777777" w:rsidR="000D1C1E" w:rsidRDefault="000D1C1E" w:rsidP="000D1C1E">
      <w:pPr>
        <w:pStyle w:val="Heading4"/>
      </w:pPr>
      <w:r>
        <w:t>Sweetened foods and beverages</w:t>
      </w:r>
    </w:p>
    <w:p w14:paraId="7FED13CB" w14:textId="3A5A09A3" w:rsidR="0027198F" w:rsidRDefault="000D1C1E" w:rsidP="00752B41">
      <w:r>
        <w:t>There is evidence from an RCT that higher consumption of foods and drinks that contribute to intake of added sugars is associated with gestational weight gain.</w:t>
      </w:r>
      <w:r w:rsidR="0013058F">
        <w:t xml:space="preserve"> </w:t>
      </w:r>
      <w:r>
        <w:t xml:space="preserve">There is evidence from </w:t>
      </w:r>
      <w:r w:rsidR="00752B41">
        <w:t>observational</w:t>
      </w:r>
      <w:r>
        <w:t xml:space="preserve"> studies of an association between sugar-sweetened foods and drinks and impaired glucose tolerance and gestational diabetes</w:t>
      </w:r>
      <w:r w:rsidR="00752B41">
        <w:t xml:space="preserve">, </w:t>
      </w:r>
      <w:r>
        <w:t>major depressive disorder</w:t>
      </w:r>
      <w:r w:rsidR="00752B41">
        <w:t>,</w:t>
      </w:r>
      <w:r>
        <w:t xml:space="preserve"> </w:t>
      </w:r>
      <w:r w:rsidR="0027198F">
        <w:t>large for gestational age</w:t>
      </w:r>
      <w:r w:rsidR="0013058F">
        <w:t>,</w:t>
      </w:r>
      <w:r w:rsidR="0027198F">
        <w:t xml:space="preserve"> </w:t>
      </w:r>
      <w:r>
        <w:t>i</w:t>
      </w:r>
      <w:r w:rsidR="0027198F">
        <w:t>ncreases in infant BMI z score and overweight at 1 year and 7 years of age</w:t>
      </w:r>
      <w:r w:rsidR="0013058F">
        <w:t>,</w:t>
      </w:r>
      <w:r w:rsidR="00752B41">
        <w:t xml:space="preserve"> </w:t>
      </w:r>
      <w:r w:rsidR="0027198F">
        <w:t>and infant atopy and asthma.</w:t>
      </w:r>
    </w:p>
    <w:p w14:paraId="04282F2F" w14:textId="5858BF02" w:rsidR="0027198F" w:rsidRDefault="0027198F" w:rsidP="0027198F">
      <w:pPr>
        <w:pStyle w:val="Heading4"/>
      </w:pPr>
      <w:r>
        <w:t>Fast foods</w:t>
      </w:r>
    </w:p>
    <w:p w14:paraId="600C7105" w14:textId="62120BBA" w:rsidR="0027198F" w:rsidRDefault="0027198F" w:rsidP="000D1C1E">
      <w:r>
        <w:t xml:space="preserve">There is evidence from cohort studies that fast food consumption is associated with </w:t>
      </w:r>
      <w:r w:rsidR="0013058F">
        <w:t xml:space="preserve">an </w:t>
      </w:r>
      <w:r>
        <w:t>increased risk of gestational diabetes, infant dermatitis and asthma.</w:t>
      </w:r>
    </w:p>
    <w:p w14:paraId="0A83C0DB" w14:textId="00C11061" w:rsidR="0027198F" w:rsidRDefault="0027198F" w:rsidP="0027198F">
      <w:pPr>
        <w:pStyle w:val="Heading4"/>
      </w:pPr>
      <w:r>
        <w:t>Caffeine</w:t>
      </w:r>
    </w:p>
    <w:p w14:paraId="7B8A3931" w14:textId="5CA5E2BB" w:rsidR="0027198F" w:rsidRDefault="0027198F" w:rsidP="000D1C1E">
      <w:r>
        <w:t>There is evidence from observational studies that the risk of preterm birth</w:t>
      </w:r>
      <w:r w:rsidR="0013058F">
        <w:t xml:space="preserve"> and childhood brain tumours</w:t>
      </w:r>
      <w:r>
        <w:t xml:space="preserve"> </w:t>
      </w:r>
      <w:r w:rsidR="00E82C9A">
        <w:t>increases with caffeine intake.</w:t>
      </w:r>
      <w:r>
        <w:t xml:space="preserve"> </w:t>
      </w:r>
    </w:p>
    <w:p w14:paraId="52CC7E6B" w14:textId="06948F2A" w:rsidR="00E82C9A" w:rsidRDefault="00E82C9A" w:rsidP="00E82C9A">
      <w:pPr>
        <w:pStyle w:val="Heading4"/>
      </w:pPr>
      <w:r>
        <w:t>Potential allergens</w:t>
      </w:r>
    </w:p>
    <w:p w14:paraId="3B6E03CC" w14:textId="12EF849E" w:rsidR="00E82C9A" w:rsidRPr="000D1C1E" w:rsidRDefault="00E82C9A" w:rsidP="000D1C1E">
      <w:r>
        <w:t xml:space="preserve">There is evidence from </w:t>
      </w:r>
      <w:r w:rsidR="0013058F">
        <w:t>observational</w:t>
      </w:r>
      <w:r>
        <w:t xml:space="preserve"> studies that </w:t>
      </w:r>
      <w:r w:rsidR="007B6203">
        <w:t xml:space="preserve">maternal peanut consumption </w:t>
      </w:r>
      <w:r w:rsidR="000D3D02">
        <w:t>may reduce</w:t>
      </w:r>
      <w:r w:rsidR="007B6203">
        <w:t xml:space="preserve"> the risk of peanut allergy in the infant</w:t>
      </w:r>
      <w:r w:rsidR="000D3D02">
        <w:t xml:space="preserve"> and h</w:t>
      </w:r>
      <w:r w:rsidR="000D3D02" w:rsidRPr="00E61514">
        <w:t xml:space="preserve">igher maternal wheat intake during the second trimester </w:t>
      </w:r>
      <w:r w:rsidR="000D3D02">
        <w:t>may reduce atopic dermatitis in the infant.</w:t>
      </w:r>
    </w:p>
    <w:p w14:paraId="6B814F42" w14:textId="286A1938" w:rsidR="00DA7BC4" w:rsidRDefault="00DA7BC4" w:rsidP="00DA7BC4">
      <w:pPr>
        <w:pStyle w:val="Heading3"/>
      </w:pPr>
      <w:bookmarkStart w:id="58" w:name="_Toc40956495"/>
      <w:r>
        <w:t>Consumer summary</w:t>
      </w:r>
      <w:bookmarkEnd w:id="58"/>
    </w:p>
    <w:p w14:paraId="5ACA92AF" w14:textId="4AAE1FA1" w:rsidR="00DA7BC4" w:rsidRDefault="004F5FB3" w:rsidP="00DA7BC4">
      <w:r>
        <w:t xml:space="preserve">The evidence suggests that eating plenty of fruit and vegetables during pregnancy is beneficial to women and their infants. </w:t>
      </w:r>
      <w:r w:rsidR="009F3EA4">
        <w:t xml:space="preserve">There is evidence to suggest that eating fish during pregnancy is beneficial to women and infants but care needs to be taken to limit intake of mercury. </w:t>
      </w:r>
      <w:r>
        <w:t xml:space="preserve">There is some evidence that it may be beneficial to limit intake of meat, cured meats </w:t>
      </w:r>
      <w:r w:rsidR="00215917">
        <w:t>and minimise</w:t>
      </w:r>
      <w:r>
        <w:t xml:space="preserve"> intake of sugar-sweetened foods and beverages</w:t>
      </w:r>
      <w:r w:rsidR="0013058F">
        <w:t>,</w:t>
      </w:r>
      <w:r>
        <w:t xml:space="preserve"> fast food</w:t>
      </w:r>
      <w:r w:rsidR="00215917">
        <w:t xml:space="preserve"> </w:t>
      </w:r>
      <w:r w:rsidR="0013058F">
        <w:t xml:space="preserve">and caffeine </w:t>
      </w:r>
      <w:r w:rsidR="00215917">
        <w:t>during pregnancy</w:t>
      </w:r>
      <w:r>
        <w:t xml:space="preserve">. </w:t>
      </w:r>
      <w:r w:rsidR="001D4F0D">
        <w:t xml:space="preserve">It appears that </w:t>
      </w:r>
      <w:r w:rsidR="00ED5295">
        <w:t>consuming potential allergens during pregnancy is not harmful to the infant.</w:t>
      </w:r>
    </w:p>
    <w:p w14:paraId="632400E4" w14:textId="77777777" w:rsidR="00444BF2" w:rsidRDefault="00444BF2" w:rsidP="00F43F44">
      <w:pPr>
        <w:pStyle w:val="Heading2"/>
        <w:rPr>
          <w:b/>
        </w:rPr>
        <w:sectPr w:rsidR="00444BF2" w:rsidSect="008A6B17">
          <w:pgSz w:w="11901" w:h="16817"/>
          <w:pgMar w:top="1134" w:right="1418" w:bottom="1134" w:left="1418" w:header="709" w:footer="709" w:gutter="0"/>
          <w:cols w:space="708"/>
          <w:docGrid w:linePitch="360"/>
        </w:sectPr>
      </w:pPr>
    </w:p>
    <w:p w14:paraId="1902214B" w14:textId="77777777" w:rsidR="002E1093" w:rsidRDefault="002E1093" w:rsidP="002E1093">
      <w:pPr>
        <w:pStyle w:val="Heading3"/>
      </w:pPr>
      <w:bookmarkStart w:id="59" w:name="_Toc40956496"/>
      <w:r>
        <w:t>Evidence tables</w:t>
      </w:r>
      <w:bookmarkEnd w:id="59"/>
    </w:p>
    <w:p w14:paraId="114FB128" w14:textId="58C1CF76" w:rsidR="00510DED" w:rsidRDefault="009C163D" w:rsidP="005719CE">
      <w:pPr>
        <w:pStyle w:val="TableName"/>
        <w:ind w:left="1134" w:hanging="1134"/>
      </w:pPr>
      <w:bookmarkStart w:id="60" w:name="_Toc40956600"/>
      <w:r>
        <w:t xml:space="preserve">Q2 </w:t>
      </w:r>
      <w:r w:rsidR="007B1D24">
        <w:t>C</w:t>
      </w:r>
      <w:r w:rsidR="00510DED">
        <w:t>onsumption of fruit and vegetables</w:t>
      </w:r>
      <w:r w:rsidR="0097700A">
        <w:t xml:space="preserve"> during pregnancy</w:t>
      </w:r>
      <w:bookmarkEnd w:id="6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2: Q2 Consumption of fruit and vegetables during pregnancy"/>
      </w:tblPr>
      <w:tblGrid>
        <w:gridCol w:w="1417"/>
        <w:gridCol w:w="1276"/>
        <w:gridCol w:w="4821"/>
        <w:gridCol w:w="4536"/>
        <w:gridCol w:w="1842"/>
      </w:tblGrid>
      <w:tr w:rsidR="00510DED" w:rsidRPr="00F350A6" w14:paraId="5CDED5DA" w14:textId="77777777" w:rsidTr="00710F4F">
        <w:trPr>
          <w:cantSplit/>
          <w:trHeight w:val="390"/>
          <w:tblHeader/>
        </w:trPr>
        <w:tc>
          <w:tcPr>
            <w:tcW w:w="1417" w:type="dxa"/>
            <w:tcBorders>
              <w:bottom w:val="single" w:sz="4" w:space="0" w:color="000000" w:themeColor="text1"/>
            </w:tcBorders>
          </w:tcPr>
          <w:p w14:paraId="394C096C" w14:textId="77777777" w:rsidR="00510DED" w:rsidRPr="00F350A6" w:rsidRDefault="00510DED" w:rsidP="002F1844">
            <w:pPr>
              <w:keepNext/>
              <w:rPr>
                <w:b/>
              </w:rPr>
            </w:pPr>
            <w:r>
              <w:rPr>
                <w:b/>
              </w:rPr>
              <w:t>Study ref</w:t>
            </w:r>
          </w:p>
        </w:tc>
        <w:tc>
          <w:tcPr>
            <w:tcW w:w="1276" w:type="dxa"/>
            <w:tcBorders>
              <w:bottom w:val="single" w:sz="4" w:space="0" w:color="000000" w:themeColor="text1"/>
            </w:tcBorders>
          </w:tcPr>
          <w:p w14:paraId="35124F6C" w14:textId="77777777" w:rsidR="00510DED" w:rsidRPr="00F350A6" w:rsidRDefault="00510DED" w:rsidP="002F1844">
            <w:pPr>
              <w:keepNext/>
              <w:rPr>
                <w:b/>
              </w:rPr>
            </w:pPr>
            <w:r>
              <w:rPr>
                <w:b/>
              </w:rPr>
              <w:t>N</w:t>
            </w:r>
          </w:p>
        </w:tc>
        <w:tc>
          <w:tcPr>
            <w:tcW w:w="4821" w:type="dxa"/>
            <w:tcBorders>
              <w:bottom w:val="single" w:sz="4" w:space="0" w:color="000000" w:themeColor="text1"/>
            </w:tcBorders>
          </w:tcPr>
          <w:p w14:paraId="1A7DBE40" w14:textId="77777777" w:rsidR="00510DED" w:rsidRPr="00F350A6" w:rsidRDefault="00510DED" w:rsidP="002F1844">
            <w:pPr>
              <w:keepNext/>
              <w:rPr>
                <w:b/>
              </w:rPr>
            </w:pPr>
            <w:r>
              <w:rPr>
                <w:b/>
              </w:rPr>
              <w:t>Aim/methods</w:t>
            </w:r>
          </w:p>
        </w:tc>
        <w:tc>
          <w:tcPr>
            <w:tcW w:w="4536" w:type="dxa"/>
            <w:tcBorders>
              <w:bottom w:val="single" w:sz="4" w:space="0" w:color="000000" w:themeColor="text1"/>
            </w:tcBorders>
          </w:tcPr>
          <w:p w14:paraId="64F852D2" w14:textId="77777777" w:rsidR="00510DED" w:rsidRPr="00F350A6" w:rsidRDefault="00510DED" w:rsidP="002F1844">
            <w:pPr>
              <w:keepNext/>
              <w:rPr>
                <w:b/>
              </w:rPr>
            </w:pPr>
            <w:r>
              <w:rPr>
                <w:b/>
              </w:rPr>
              <w:t>Results</w:t>
            </w:r>
          </w:p>
        </w:tc>
        <w:tc>
          <w:tcPr>
            <w:tcW w:w="1842" w:type="dxa"/>
            <w:tcBorders>
              <w:bottom w:val="single" w:sz="4" w:space="0" w:color="000000" w:themeColor="text1"/>
            </w:tcBorders>
          </w:tcPr>
          <w:p w14:paraId="258E3D9F" w14:textId="77777777" w:rsidR="00510DED" w:rsidRPr="00F350A6" w:rsidRDefault="00510DED" w:rsidP="002F1844">
            <w:pPr>
              <w:keepNext/>
              <w:rPr>
                <w:b/>
              </w:rPr>
            </w:pPr>
            <w:r>
              <w:rPr>
                <w:b/>
              </w:rPr>
              <w:t>Comments</w:t>
            </w:r>
          </w:p>
        </w:tc>
      </w:tr>
      <w:tr w:rsidR="00710F4F" w:rsidRPr="00F350A6" w14:paraId="414DFF78" w14:textId="77777777" w:rsidTr="00710F4F">
        <w:trPr>
          <w:cantSplit/>
          <w:trHeight w:val="390"/>
        </w:trPr>
        <w:tc>
          <w:tcPr>
            <w:tcW w:w="1417" w:type="dxa"/>
          </w:tcPr>
          <w:p w14:paraId="740FFEED" w14:textId="5793C41F" w:rsidR="00A225E6" w:rsidRPr="004C390A" w:rsidRDefault="00A225E6" w:rsidP="00D44590">
            <w:pPr>
              <w:keepNext/>
            </w:pPr>
            <w:r w:rsidRPr="004C390A">
              <w:t>Soto et al 2015</w:t>
            </w:r>
            <w:r w:rsidR="00774750">
              <w:fldChar w:fldCharType="begin"/>
            </w:r>
            <w:r w:rsidR="002747EA">
              <w:instrText xml:space="preserve"> ADDIN EN.CITE &lt;EndNote&gt;&lt;Cite&gt;&lt;Author&gt;Soto&lt;/Author&gt;&lt;Year&gt;2015&lt;/Year&gt;&lt;RecNum&gt;1753&lt;/RecNum&gt;&lt;DisplayText&gt;&lt;style face="superscript" font="Trebuchet MS" size="9"&gt;64&lt;/style&gt;&lt;/DisplayText&gt;&lt;record&gt;&lt;rec-number&gt;1753&lt;/rec-number&gt;&lt;foreign-keys&gt;&lt;key app="EN" db-id="exvasrfx2dtraoesasxp2szsxa2df502592x" timestamp="1582757924"&gt;1753&lt;/key&gt;&lt;/foreign-keys&gt;&lt;ref-type name="Journal Article"&gt;17&lt;/ref-type&gt;&lt;contributors&gt;&lt;authors&gt;&lt;author&gt;Soto, R.&lt;/author&gt;&lt;author&gt;Guilloty, N.&lt;/author&gt;&lt;author&gt;Anzalota, L.&lt;/author&gt;&lt;author&gt;Rosario, Z.&lt;/author&gt;&lt;author&gt;Cordero, J. F.&lt;/author&gt;&lt;author&gt;Palacios, C.&lt;/author&gt;&lt;/authors&gt;&lt;/contributors&gt;&lt;titles&gt;&lt;title&gt;Association between maternal diet factors and hemoglobin levels, glucose tolerance, blood pressure and gestational age in a Hispanic population&lt;/title&gt;&lt;secondary-title&gt;Arch Latinoam Nutr&lt;/secondary-title&gt;&lt;/titles&gt;&lt;periodical&gt;&lt;full-title&gt;Arch Latinoam Nutr&lt;/full-title&gt;&lt;/periodical&gt;&lt;pages&gt;86-96&lt;/pages&gt;&lt;volume&gt;65&lt;/volume&gt;&lt;number&gt;2&lt;/number&gt;&lt;edition&gt;2016/01/29&lt;/edition&gt;&lt;keywords&gt;&lt;keyword&gt;Adolescent&lt;/keyword&gt;&lt;keyword&gt;Adult&lt;/keyword&gt;&lt;keyword&gt;Blood Glucose/*analysis&lt;/keyword&gt;&lt;keyword&gt;Blood Pressure/*physiology&lt;/keyword&gt;&lt;keyword&gt;Diabetes, Gestational/prevention &amp;amp; control&lt;/keyword&gt;&lt;keyword&gt;Dietary Supplements&lt;/keyword&gt;&lt;keyword&gt;Feeding Behavior/*physiology&lt;/keyword&gt;&lt;keyword&gt;Female&lt;/keyword&gt;&lt;keyword&gt;*Gestational Age&lt;/keyword&gt;&lt;keyword&gt;Glucose Tolerance Test&lt;/keyword&gt;&lt;keyword&gt;Hemoglobins/*analysis&lt;/keyword&gt;&lt;keyword&gt;Humans&lt;/keyword&gt;&lt;keyword&gt;Pregnancy&lt;/keyword&gt;&lt;keyword&gt;*Prenatal Nutritional Physiological Phenomena&lt;/keyword&gt;&lt;keyword&gt;Prospective Studies&lt;/keyword&gt;&lt;keyword&gt;Puerto Rico/ethnology&lt;/keyword&gt;&lt;keyword&gt;Surveys and Questionnaires&lt;/keyword&gt;&lt;keyword&gt;Young Adult&lt;/keyword&gt;&lt;/keywords&gt;&lt;dates&gt;&lt;year&gt;2015&lt;/year&gt;&lt;pub-dates&gt;&lt;date&gt;Jun&lt;/date&gt;&lt;/pub-dates&gt;&lt;/dates&gt;&lt;isbn&gt;0004-0622 (Print)&amp;#xD;0004-0622 (Linking)&lt;/isbn&gt;&lt;accession-num&gt;26817380&lt;/accession-num&gt;&lt;urls&gt;&lt;related-urls&gt;&lt;url&gt;https://www.ncbi.nlm.nih.gov/pubmed/26817380&lt;/url&gt;&lt;/related-urls&gt;&lt;/urls&gt;&lt;custom2&gt;PMC5324707&lt;/custom2&gt;&lt;/record&gt;&lt;/Cite&gt;&lt;/EndNote&gt;</w:instrText>
            </w:r>
            <w:r w:rsidR="00774750">
              <w:fldChar w:fldCharType="separate"/>
            </w:r>
            <w:r w:rsidR="002747EA" w:rsidRPr="002747EA">
              <w:rPr>
                <w:noProof/>
                <w:vertAlign w:val="superscript"/>
              </w:rPr>
              <w:t>64</w:t>
            </w:r>
            <w:r w:rsidR="00774750">
              <w:fldChar w:fldCharType="end"/>
            </w:r>
          </w:p>
          <w:p w14:paraId="24B3C8A7" w14:textId="77777777" w:rsidR="00A225E6" w:rsidRPr="004C390A" w:rsidRDefault="00A225E6" w:rsidP="00D44590">
            <w:pPr>
              <w:keepNext/>
            </w:pPr>
            <w:r w:rsidRPr="004C390A">
              <w:t>Puerto Rico</w:t>
            </w:r>
          </w:p>
          <w:p w14:paraId="20258091" w14:textId="77777777" w:rsidR="00A225E6" w:rsidRPr="004C390A" w:rsidRDefault="00A225E6" w:rsidP="00D44590">
            <w:pPr>
              <w:keepNext/>
            </w:pPr>
            <w:r w:rsidRPr="004C390A">
              <w:t>Cohort</w:t>
            </w:r>
          </w:p>
        </w:tc>
        <w:tc>
          <w:tcPr>
            <w:tcW w:w="1276" w:type="dxa"/>
          </w:tcPr>
          <w:p w14:paraId="59C2029B" w14:textId="77777777" w:rsidR="00A225E6" w:rsidRPr="004C390A" w:rsidRDefault="00A225E6" w:rsidP="00D44590">
            <w:r w:rsidRPr="004C390A">
              <w:t>180</w:t>
            </w:r>
          </w:p>
        </w:tc>
        <w:tc>
          <w:tcPr>
            <w:tcW w:w="4821" w:type="dxa"/>
          </w:tcPr>
          <w:p w14:paraId="02EADC8A" w14:textId="77777777" w:rsidR="00A225E6" w:rsidRPr="004C390A" w:rsidRDefault="00A225E6" w:rsidP="00D44590">
            <w:r w:rsidRPr="004C390A">
              <w:rPr>
                <w:b/>
              </w:rPr>
              <w:t>Aim</w:t>
            </w:r>
            <w:r w:rsidRPr="004C390A">
              <w:t xml:space="preserve">: To describe the dietary patterns of pregnant women in northern Puerto Rico and explore associations between diet factors with pregnancy related measurements. </w:t>
            </w:r>
          </w:p>
          <w:p w14:paraId="071B40A6" w14:textId="01CB3837" w:rsidR="00A225E6" w:rsidRPr="004C390A" w:rsidRDefault="00A225E6" w:rsidP="00D44590">
            <w:pPr>
              <w:rPr>
                <w:b/>
              </w:rPr>
            </w:pPr>
            <w:r w:rsidRPr="004C390A">
              <w:rPr>
                <w:b/>
              </w:rPr>
              <w:t>Methods</w:t>
            </w:r>
            <w:r w:rsidRPr="004C390A">
              <w:t xml:space="preserve">: Participants completed a food frequency questionnaire (FFQ) around 20-28 weeks of gestation. The following pregnancy related measures were collected from the medical records: </w:t>
            </w:r>
            <w:r w:rsidR="00501148" w:rsidRPr="004C390A">
              <w:t>haemoglobin</w:t>
            </w:r>
            <w:r w:rsidRPr="004C390A">
              <w:t xml:space="preserve">, blood glucose, blood pressure and gestational age. Potential associations between diet factors and pregnancy measures were assessed using chi square analysis with SPSS. </w:t>
            </w:r>
          </w:p>
        </w:tc>
        <w:tc>
          <w:tcPr>
            <w:tcW w:w="4536" w:type="dxa"/>
          </w:tcPr>
          <w:p w14:paraId="005F3045" w14:textId="77777777" w:rsidR="00A225E6" w:rsidRPr="000401F6" w:rsidRDefault="00A225E6" w:rsidP="00D44590">
            <w:r w:rsidRPr="004C390A">
              <w:t>High consumption of vegetables was associated with higher 1-hour glucose challenge test (p &lt; 0.05).</w:t>
            </w:r>
          </w:p>
        </w:tc>
        <w:tc>
          <w:tcPr>
            <w:tcW w:w="1842" w:type="dxa"/>
          </w:tcPr>
          <w:p w14:paraId="5ECB88DA" w14:textId="77777777" w:rsidR="00A225E6" w:rsidRDefault="00A225E6" w:rsidP="00D44590">
            <w:pPr>
              <w:keepNext/>
              <w:rPr>
                <w:b/>
              </w:rPr>
            </w:pPr>
          </w:p>
        </w:tc>
      </w:tr>
      <w:tr w:rsidR="00134C53" w:rsidRPr="00C17B92" w14:paraId="5BC43AB3" w14:textId="77777777" w:rsidTr="00710F4F">
        <w:trPr>
          <w:cantSplit/>
          <w:trHeight w:val="390"/>
        </w:trPr>
        <w:tc>
          <w:tcPr>
            <w:tcW w:w="1417" w:type="dxa"/>
          </w:tcPr>
          <w:p w14:paraId="2DA9C7B8" w14:textId="644CDF20" w:rsidR="00AF1D6E" w:rsidRPr="00307077" w:rsidRDefault="00AF1D6E" w:rsidP="009A4A8D">
            <w:r w:rsidRPr="00307077">
              <w:t>Wang et al 2015</w:t>
            </w:r>
            <w:r w:rsidR="00774750">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 </w:instrText>
            </w:r>
            <w:r w:rsidR="002747EA">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72</w:t>
            </w:r>
            <w:r w:rsidR="00774750">
              <w:fldChar w:fldCharType="end"/>
            </w:r>
          </w:p>
          <w:p w14:paraId="655F9750" w14:textId="77777777" w:rsidR="00AF1D6E" w:rsidRPr="00307077" w:rsidRDefault="00AF1D6E" w:rsidP="009A4A8D">
            <w:r w:rsidRPr="00307077">
              <w:t>China</w:t>
            </w:r>
          </w:p>
          <w:p w14:paraId="1F3CBE1E" w14:textId="77777777" w:rsidR="00AF1D6E" w:rsidRPr="00307077" w:rsidRDefault="00AF1D6E" w:rsidP="009A4A8D">
            <w:r w:rsidRPr="00307077">
              <w:t>Case-control</w:t>
            </w:r>
          </w:p>
        </w:tc>
        <w:tc>
          <w:tcPr>
            <w:tcW w:w="1276" w:type="dxa"/>
          </w:tcPr>
          <w:p w14:paraId="78564782" w14:textId="77777777" w:rsidR="00AF1D6E" w:rsidRPr="00307077" w:rsidRDefault="00AF1D6E" w:rsidP="009A4A8D">
            <w:r w:rsidRPr="00307077">
              <w:t>459 cases</w:t>
            </w:r>
          </w:p>
          <w:p w14:paraId="2102326D" w14:textId="77777777" w:rsidR="00AF1D6E" w:rsidRPr="00307077" w:rsidRDefault="00AF1D6E" w:rsidP="009A4A8D">
            <w:r w:rsidRPr="00307077">
              <w:t>459 controls</w:t>
            </w:r>
          </w:p>
        </w:tc>
        <w:tc>
          <w:tcPr>
            <w:tcW w:w="4821" w:type="dxa"/>
          </w:tcPr>
          <w:p w14:paraId="6C553E29" w14:textId="77777777" w:rsidR="00AF1D6E" w:rsidRPr="00307077" w:rsidRDefault="00AF1D6E" w:rsidP="009A4A8D">
            <w:r w:rsidRPr="00307077">
              <w:rPr>
                <w:b/>
              </w:rPr>
              <w:t>Aim</w:t>
            </w:r>
            <w:r w:rsidRPr="00307077">
              <w:t xml:space="preserve">: To study the associations between maternal consumption of non-staple food in the first trimester and risk of neural tube defects (NTDs) in offspring. </w:t>
            </w:r>
          </w:p>
          <w:p w14:paraId="1D3E9E70" w14:textId="77777777" w:rsidR="00AF1D6E" w:rsidRPr="00307077" w:rsidRDefault="00AF1D6E" w:rsidP="009A4A8D">
            <w:pPr>
              <w:rPr>
                <w:b/>
              </w:rPr>
            </w:pPr>
            <w:r w:rsidRPr="00307077">
              <w:rPr>
                <w:b/>
              </w:rPr>
              <w:t>Methods</w:t>
            </w:r>
            <w:r w:rsidRPr="00307077">
              <w:t>: Logistic regression models were used to examine the associations between maternal consumption of non-staple food in the first trimester and risk of NTDs in offspring. The effects were evaluated by odds ratio (OR) and 95% confidence intervals (95% CIs) with SAS9.1.3.software.</w:t>
            </w:r>
          </w:p>
        </w:tc>
        <w:tc>
          <w:tcPr>
            <w:tcW w:w="4536" w:type="dxa"/>
          </w:tcPr>
          <w:p w14:paraId="688B30B8" w14:textId="2695F3A5" w:rsidR="00AF1D6E" w:rsidRPr="00307077" w:rsidRDefault="00AF1D6E" w:rsidP="009A4A8D">
            <w:r w:rsidRPr="00307077">
              <w:t>T</w:t>
            </w:r>
            <w:r w:rsidR="009A4A8D" w:rsidRPr="00307077">
              <w:t>he ORs for fresh fruit</w:t>
            </w:r>
            <w:r w:rsidRPr="00307077">
              <w:t xml:space="preserve"> consumption frequency of 1-2, 3-6, </w:t>
            </w:r>
            <w:r w:rsidR="0016630F" w:rsidRPr="00307077">
              <w:t>≥</w:t>
            </w:r>
            <w:r w:rsidRPr="00307077">
              <w:t>7 meals/week were 0.29 (95% CI: 0.12</w:t>
            </w:r>
            <w:r w:rsidR="00FE7BDF">
              <w:t xml:space="preserve"> to </w:t>
            </w:r>
            <w:r w:rsidRPr="00307077">
              <w:t>0.72), 0.22 (0.09</w:t>
            </w:r>
            <w:r w:rsidR="00FE7BDF">
              <w:t xml:space="preserve"> to </w:t>
            </w:r>
            <w:r w:rsidRPr="00307077">
              <w:t>0.53), and 0.32 (0.14</w:t>
            </w:r>
            <w:r w:rsidR="00FE7BDF">
              <w:t xml:space="preserve"> to </w:t>
            </w:r>
            <w:r w:rsidRPr="00307077">
              <w:t>0.71), respectively.</w:t>
            </w:r>
          </w:p>
          <w:p w14:paraId="3ED8FC9A" w14:textId="299BCB45" w:rsidR="00AF1D6E" w:rsidRPr="00AF1D6E" w:rsidRDefault="00AF1D6E" w:rsidP="0016630F">
            <w:r w:rsidRPr="00307077">
              <w:t>T</w:t>
            </w:r>
            <w:r w:rsidR="009A4A8D" w:rsidRPr="00307077">
              <w:t>he ORs for nut</w:t>
            </w:r>
            <w:r w:rsidRPr="00307077">
              <w:t xml:space="preserve"> consumption frequency of 1-2, 3-6, </w:t>
            </w:r>
            <w:r w:rsidR="0016630F" w:rsidRPr="00307077">
              <w:t>≥</w:t>
            </w:r>
            <w:r w:rsidRPr="00307077">
              <w:t xml:space="preserve">7 meals/week were 0.60 (95% CI: 0.38 to 0.94), 0.49 (0.31 to 0.79), and 0.63 (0.36 to 1.08), respectively. </w:t>
            </w:r>
          </w:p>
        </w:tc>
        <w:tc>
          <w:tcPr>
            <w:tcW w:w="1842" w:type="dxa"/>
          </w:tcPr>
          <w:p w14:paraId="255F8028" w14:textId="77777777" w:rsidR="00AF1D6E" w:rsidRPr="00C17B92" w:rsidRDefault="00AF1D6E" w:rsidP="009A4A8D"/>
        </w:tc>
      </w:tr>
      <w:tr w:rsidR="00134C53" w:rsidRPr="00C17B92" w14:paraId="1523718C" w14:textId="77777777" w:rsidTr="00710F4F">
        <w:trPr>
          <w:cantSplit/>
          <w:trHeight w:val="390"/>
        </w:trPr>
        <w:tc>
          <w:tcPr>
            <w:tcW w:w="1417" w:type="dxa"/>
          </w:tcPr>
          <w:p w14:paraId="5E16F0B8" w14:textId="00DC00CC" w:rsidR="00134C53" w:rsidRPr="00FE7BDF" w:rsidRDefault="00134C53" w:rsidP="009A4A8D">
            <w:r w:rsidRPr="00FE7BDF">
              <w:t>Martinez-Galian et al 2018</w:t>
            </w:r>
            <w:r w:rsidR="00774750">
              <w:fldChar w:fldCharType="begin">
                <w:fldData xml:space="preserve">PEVuZE5vdGU+PENpdGU+PEF1dGhvcj5NYXJ0aW5lei1HYWxpYW5vPC9BdXRob3I+PFllYXI+MjAx
ODwvWWVhcj48UmVjTnVtPjE3MTc8L1JlY051bT48RGlzcGxheVRleHQ+PHN0eWxlIGZhY2U9InN1
cGVyc2NyaXB0IiBmb250PSJUcmVidWNoZXQgTVMiIHNpemU9IjkiPjY3PC9zdHlsZT48L0Rpc3Bs
YXlUZXh0PjxyZWNvcmQ+PHJlYy1udW1iZXI+MTcxNzwvcmVjLW51bWJlcj48Zm9yZWlnbi1rZXlz
PjxrZXkgYXBwPSJFTiIgZGItaWQ9ImV4dmFzcmZ4MmR0cmFvZXNhc3hwMnN6c3hhMmRmNTAyNTky
eCIgdGltZXN0YW1wPSIxNTgyNTA2MTM3Ij4xNzE3PC9rZXk+PGtleSBhcHA9IkVOV2ViIiBkYi1p
ZD0iIj4wPC9rZXk+PC9mb3JlaWduLWtleXM+PHJlZi10eXBlIG5hbWU9IkpvdXJuYWwgQXJ0aWNs
ZSI+MTc8L3JlZi10eXBlPjxjb250cmlidXRvcnM+PGF1dGhvcnM+PGF1dGhvcj5NYXJ0aW5lei1H
YWxpYW5vLCBKLiBNLjwvYXV0aG9yPjxhdXRob3I+QW1lemN1YS1QcmlldG8sIEMuPC9hdXRob3I+
PGF1dGhvcj5TYWxjZWRvLUJlbGxpZG8sIEkuPC9hdXRob3I+PGF1dGhvcj5Hb256YWxlei1NYXRh
LCBHLjwvYXV0aG9yPjxhdXRob3I+QnVlbm8tQ2F2YW5pbGxhcywgQS48L2F1dGhvcj48YXV0aG9y
PkRlbGdhZG8tUm9kcmlndWV6LCBNLjwvYXV0aG9yPjwvYXV0aG9ycz48L2NvbnRyaWJ1dG9ycz48
YXV0aC1hZGRyZXNzPkRlcGFydG1lbnQgb2YgSGVhbHRoIFNjaWVuY2VzLCBVbml2ZXJzaXR5IG9m
IEphZW4sIENhbXB1cyBkZSBMYXMgTGFndW5pbGxhcyBzIG4gRWRpZmljaW8gQjMsIDIzMDcxLCBK
YWVuLCBTcGFpbi4ganVhbm1pbWFydGluZXpnQGhvdG1haWwuY29tLiYjeEQ7Q0lCRVIgZGUgRXBp
ZGVtaW9sb2dpYSB5IFNhbHVkIFB1YmxpY2EgKENJQkVSRVNQKSwgSmFlbiwgU3BhaW4uIGp1YW5t
aW1hcnRpbmV6Z0Bob3RtYWlsLmNvbS4mI3hEO0NJQkVSIGRlIEVwaWRlbWlvbG9naWEgeSBTYWx1
ZCBQdWJsaWNhIChDSUJFUkVTUCksIEphZW4sIFNwYWluLiYjeEQ7RGVwYXJ0bWVudCBvZiBQcmV2
ZW50aXZlIE1lZGljaW5lIGFuZCBQdWJsaWMgSGVhbHRoLCBVbml2ZXJzaXR5IG9mIEdyYW5hZGEs
IEdyYW5hZGEsIFNwYWluLiYjeEQ7Qmlvc2FuaXRhcnkgUmVzZWFyY2ggSW5zdGl0dXRlIEdyYW5h
ZGEgKElCUy1HcmFuYWRhKSwgR3JhbmFkYSwgU3BhaW4uJiN4RDtEZXBhcnRtZW50IG9mIEhlYWx0
aCBTY2llbmNlcywgVW5pdmVyc2l0eSBvZiBKYWVuLCBDYW1wdXMgZGUgTGFzIExhZ3VuaWxsYXMg
cyBuIEVkaWZpY2lvIEIzLCAyMzA3MSwgSmFlbiwgU3BhaW4uPC9hdXRoLWFkZHJlc3M+PHRpdGxl
cz48dGl0bGU+TWF0ZXJuYWwgZGlldGFyeSBjb25zdW1wdGlvbiBvZiBsZWd1bWVzLCB2ZWdldGFi
bGVzIGFuZCBmcnVpdCBkdXJpbmcgcHJlZ25hbmN5LCBkb2VzIGl0IHByb3RlY3QgYWdhaW5zdCBz
bWFsbCBmb3IgZ2VzdGF0aW9uYWwgYWdlPzwvdGl0bGU+PHNlY29uZGFyeS10aXRsZT5CTUMgUHJl
Z25hbmN5IENoaWxkYmlydGg8L3NlY29uZGFyeS10aXRsZT48L3RpdGxlcz48cGVyaW9kaWNhbD48
ZnVsbC10aXRsZT5CTUMgUHJlZ25hbmN5IENoaWxkYmlydGg8L2Z1bGwtdGl0bGU+PC9wZXJpb2Rp
Y2FsPjxwYWdlcz40ODY8L3BhZ2VzPjx2b2x1bWU+MTg8L3ZvbHVtZT48bnVtYmVyPjE8L251bWJl
cj48ZWRpdGlvbj4yMDE4LzEyLzEzPC9lZGl0aW9uPjxrZXl3b3Jkcz48a2V5d29yZD5BZHVsdDwv
a2V5d29yZD48a2V5d29yZD5DYXNlLUNvbnRyb2wgU3R1ZGllczwva2V5d29yZD48a2V5d29yZD5E
aWV0LypzdGF0aXN0aWNzICZhbXA7IG51bWVyaWNhbCBkYXRhPC9rZXl3b3JkPjxrZXl3b3JkPipG
YWJhY2VhZTwva2V5d29yZD48a2V5d29yZD5GZW1hbGU8L2tleXdvcmQ+PGtleXdvcmQ+KkZydWl0
PC9rZXl3b3JkPjxrZXl3b3JkPkh1bWFuczwva2V5d29yZD48a2V5d29yZD5JbmZhbnQsIE5ld2Jv
cm48L2tleXdvcmQ+PGtleXdvcmQ+KkluZmFudCwgU21hbGwgZm9yIEdlc3RhdGlvbmFsIEFnZTwv
a2V5d29yZD48a2V5d29yZD5Mb2dpc3RpYyBNb2RlbHM8L2tleXdvcmQ+PGtleXdvcmQ+TWFsZTwv
a2V5d29yZD48a2V5d29yZD5NYXJpdGFsIFN0YXR1czwva2V5d29yZD48a2V5d29yZD5PZGRzIFJh
dGlvPC9rZXl3b3JkPjxrZXl3b3JkPlByZWduYW5jeTwva2V5d29yZD48a2V5d29yZD5Qcm90ZWN0
aXZlIEZhY3RvcnM8L2tleXdvcmQ+PGtleXdvcmQ+U2VsZW5pdW08L2tleXdvcmQ+PGtleXdvcmQ+
U3BhaW48L2tleXdvcmQ+PGtleXdvcmQ+KlZlZ2V0YWJsZXM8L2tleXdvcmQ+PGtleXdvcmQ+RnJ1
aXRzPC9rZXl3b3JkPjxrZXl3b3JkPkxlZ3VtZXM8L2tleXdvcmQ+PGtleXdvcmQ+TWF0ZXJuYWwg
ZGlldDwva2V5d29yZD48a2V5d29yZD5TbWFsbCBmb3IgZ2VzdGF0aW9uYWwgYWdlPC9rZXl3b3Jk
PjxrZXl3b3JkPlZlZ2V0YWJsZXM8L2tleXdvcmQ+PC9rZXl3b3Jkcz48ZGF0ZXM+PHllYXI+MjAx
ODwveWVhcj48cHViLWRhdGVzPjxkYXRlPkRlYyAxMTwvZGF0ZT48L3B1Yi1kYXRlcz48L2RhdGVz
Pjxpc2JuPjE0NzEtMjM5MyAoRWxlY3Ryb25pYykmI3hEOzE0NzEtMjM5MyAoTGlua2luZyk8L2lz
Ym4+PGFjY2Vzc2lvbi1udW0+MzA1Mzc5MzY8L2FjY2Vzc2lvbi1udW0+PHVybHM+PHJlbGF0ZWQt
dXJscz48dXJsPmh0dHBzOi8vd3d3Lm5jYmkubmxtLm5paC5nb3YvcHVibWVkLzMwNTM3OTM2PC91
cmw+PC9yZWxhdGVkLXVybHM+PC91cmxzPjxjdXN0b20yPlBNQzYyODg5MDY8L2N1c3RvbTI+PGVs
ZWN0cm9uaWMtcmVzb3VyY2UtbnVtPjEwLjExODYvczEyODg0LTAxOC0yMTIzLTQ8L2VsZWN0cm9u
aWMtcmVzb3VyY2UtbnVtPjwvcmVjb3JkPjwvQ2l0ZT48L0VuZE5vdGU+AG==
</w:fldData>
              </w:fldChar>
            </w:r>
            <w:r w:rsidR="002747EA">
              <w:instrText xml:space="preserve"> ADDIN EN.CITE </w:instrText>
            </w:r>
            <w:r w:rsidR="002747EA">
              <w:fldChar w:fldCharType="begin">
                <w:fldData xml:space="preserve">PEVuZE5vdGU+PENpdGU+PEF1dGhvcj5NYXJ0aW5lei1HYWxpYW5vPC9BdXRob3I+PFllYXI+MjAx
ODwvWWVhcj48UmVjTnVtPjE3MTc8L1JlY051bT48RGlzcGxheVRleHQ+PHN0eWxlIGZhY2U9InN1
cGVyc2NyaXB0IiBmb250PSJUcmVidWNoZXQgTVMiIHNpemU9IjkiPjY3PC9zdHlsZT48L0Rpc3Bs
YXlUZXh0PjxyZWNvcmQ+PHJlYy1udW1iZXI+MTcxNzwvcmVjLW51bWJlcj48Zm9yZWlnbi1rZXlz
PjxrZXkgYXBwPSJFTiIgZGItaWQ9ImV4dmFzcmZ4MmR0cmFvZXNhc3hwMnN6c3hhMmRmNTAyNTky
eCIgdGltZXN0YW1wPSIxNTgyNTA2MTM3Ij4xNzE3PC9rZXk+PGtleSBhcHA9IkVOV2ViIiBkYi1p
ZD0iIj4wPC9rZXk+PC9mb3JlaWduLWtleXM+PHJlZi10eXBlIG5hbWU9IkpvdXJuYWwgQXJ0aWNs
ZSI+MTc8L3JlZi10eXBlPjxjb250cmlidXRvcnM+PGF1dGhvcnM+PGF1dGhvcj5NYXJ0aW5lei1H
YWxpYW5vLCBKLiBNLjwvYXV0aG9yPjxhdXRob3I+QW1lemN1YS1QcmlldG8sIEMuPC9hdXRob3I+
PGF1dGhvcj5TYWxjZWRvLUJlbGxpZG8sIEkuPC9hdXRob3I+PGF1dGhvcj5Hb256YWxlei1NYXRh
LCBHLjwvYXV0aG9yPjxhdXRob3I+QnVlbm8tQ2F2YW5pbGxhcywgQS48L2F1dGhvcj48YXV0aG9y
PkRlbGdhZG8tUm9kcmlndWV6LCBNLjwvYXV0aG9yPjwvYXV0aG9ycz48L2NvbnRyaWJ1dG9ycz48
YXV0aC1hZGRyZXNzPkRlcGFydG1lbnQgb2YgSGVhbHRoIFNjaWVuY2VzLCBVbml2ZXJzaXR5IG9m
IEphZW4sIENhbXB1cyBkZSBMYXMgTGFndW5pbGxhcyBzIG4gRWRpZmljaW8gQjMsIDIzMDcxLCBK
YWVuLCBTcGFpbi4ganVhbm1pbWFydGluZXpnQGhvdG1haWwuY29tLiYjeEQ7Q0lCRVIgZGUgRXBp
ZGVtaW9sb2dpYSB5IFNhbHVkIFB1YmxpY2EgKENJQkVSRVNQKSwgSmFlbiwgU3BhaW4uIGp1YW5t
aW1hcnRpbmV6Z0Bob3RtYWlsLmNvbS4mI3hEO0NJQkVSIGRlIEVwaWRlbWlvbG9naWEgeSBTYWx1
ZCBQdWJsaWNhIChDSUJFUkVTUCksIEphZW4sIFNwYWluLiYjeEQ7RGVwYXJ0bWVudCBvZiBQcmV2
ZW50aXZlIE1lZGljaW5lIGFuZCBQdWJsaWMgSGVhbHRoLCBVbml2ZXJzaXR5IG9mIEdyYW5hZGEs
IEdyYW5hZGEsIFNwYWluLiYjeEQ7Qmlvc2FuaXRhcnkgUmVzZWFyY2ggSW5zdGl0dXRlIEdyYW5h
ZGEgKElCUy1HcmFuYWRhKSwgR3JhbmFkYSwgU3BhaW4uJiN4RDtEZXBhcnRtZW50IG9mIEhlYWx0
aCBTY2llbmNlcywgVW5pdmVyc2l0eSBvZiBKYWVuLCBDYW1wdXMgZGUgTGFzIExhZ3VuaWxsYXMg
cyBuIEVkaWZpY2lvIEIzLCAyMzA3MSwgSmFlbiwgU3BhaW4uPC9hdXRoLWFkZHJlc3M+PHRpdGxl
cz48dGl0bGU+TWF0ZXJuYWwgZGlldGFyeSBjb25zdW1wdGlvbiBvZiBsZWd1bWVzLCB2ZWdldGFi
bGVzIGFuZCBmcnVpdCBkdXJpbmcgcHJlZ25hbmN5LCBkb2VzIGl0IHByb3RlY3QgYWdhaW5zdCBz
bWFsbCBmb3IgZ2VzdGF0aW9uYWwgYWdlPzwvdGl0bGU+PHNlY29uZGFyeS10aXRsZT5CTUMgUHJl
Z25hbmN5IENoaWxkYmlydGg8L3NlY29uZGFyeS10aXRsZT48L3RpdGxlcz48cGVyaW9kaWNhbD48
ZnVsbC10aXRsZT5CTUMgUHJlZ25hbmN5IENoaWxkYmlydGg8L2Z1bGwtdGl0bGU+PC9wZXJpb2Rp
Y2FsPjxwYWdlcz40ODY8L3BhZ2VzPjx2b2x1bWU+MTg8L3ZvbHVtZT48bnVtYmVyPjE8L251bWJl
cj48ZWRpdGlvbj4yMDE4LzEyLzEzPC9lZGl0aW9uPjxrZXl3b3Jkcz48a2V5d29yZD5BZHVsdDwv
a2V5d29yZD48a2V5d29yZD5DYXNlLUNvbnRyb2wgU3R1ZGllczwva2V5d29yZD48a2V5d29yZD5E
aWV0LypzdGF0aXN0aWNzICZhbXA7IG51bWVyaWNhbCBkYXRhPC9rZXl3b3JkPjxrZXl3b3JkPipG
YWJhY2VhZTwva2V5d29yZD48a2V5d29yZD5GZW1hbGU8L2tleXdvcmQ+PGtleXdvcmQ+KkZydWl0
PC9rZXl3b3JkPjxrZXl3b3JkPkh1bWFuczwva2V5d29yZD48a2V5d29yZD5JbmZhbnQsIE5ld2Jv
cm48L2tleXdvcmQ+PGtleXdvcmQ+KkluZmFudCwgU21hbGwgZm9yIEdlc3RhdGlvbmFsIEFnZTwv
a2V5d29yZD48a2V5d29yZD5Mb2dpc3RpYyBNb2RlbHM8L2tleXdvcmQ+PGtleXdvcmQ+TWFsZTwv
a2V5d29yZD48a2V5d29yZD5NYXJpdGFsIFN0YXR1czwva2V5d29yZD48a2V5d29yZD5PZGRzIFJh
dGlvPC9rZXl3b3JkPjxrZXl3b3JkPlByZWduYW5jeTwva2V5d29yZD48a2V5d29yZD5Qcm90ZWN0
aXZlIEZhY3RvcnM8L2tleXdvcmQ+PGtleXdvcmQ+U2VsZW5pdW08L2tleXdvcmQ+PGtleXdvcmQ+
U3BhaW48L2tleXdvcmQ+PGtleXdvcmQ+KlZlZ2V0YWJsZXM8L2tleXdvcmQ+PGtleXdvcmQ+RnJ1
aXRzPC9rZXl3b3JkPjxrZXl3b3JkPkxlZ3VtZXM8L2tleXdvcmQ+PGtleXdvcmQ+TWF0ZXJuYWwg
ZGlldDwva2V5d29yZD48a2V5d29yZD5TbWFsbCBmb3IgZ2VzdGF0aW9uYWwgYWdlPC9rZXl3b3Jk
PjxrZXl3b3JkPlZlZ2V0YWJsZXM8L2tleXdvcmQ+PC9rZXl3b3Jkcz48ZGF0ZXM+PHllYXI+MjAx
ODwveWVhcj48cHViLWRhdGVzPjxkYXRlPkRlYyAxMTwvZGF0ZT48L3B1Yi1kYXRlcz48L2RhdGVz
Pjxpc2JuPjE0NzEtMjM5MyAoRWxlY3Ryb25pYykmI3hEOzE0NzEtMjM5MyAoTGlua2luZyk8L2lz
Ym4+PGFjY2Vzc2lvbi1udW0+MzA1Mzc5MzY8L2FjY2Vzc2lvbi1udW0+PHVybHM+PHJlbGF0ZWQt
dXJscz48dXJsPmh0dHBzOi8vd3d3Lm5jYmkubmxtLm5paC5nb3YvcHVibWVkLzMwNTM3OTM2PC91
cmw+PC9yZWxhdGVkLXVybHM+PC91cmxzPjxjdXN0b20yPlBNQzYyODg5MDY8L2N1c3RvbTI+PGVs
ZWN0cm9uaWMtcmVzb3VyY2UtbnVtPjEwLjExODYvczEyODg0LTAxOC0yMTIzLTQ8L2VsZWN0cm9u
aWMtcmVzb3VyY2UtbnVtPjwvcmVjb3JkPjwvQ2l0ZT48L0VuZE5vdGU+AG==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67</w:t>
            </w:r>
            <w:r w:rsidR="00774750">
              <w:fldChar w:fldCharType="end"/>
            </w:r>
          </w:p>
          <w:p w14:paraId="5B6670D6" w14:textId="29857F2A" w:rsidR="00134C53" w:rsidRPr="00FE7BDF" w:rsidRDefault="00134C53" w:rsidP="009A4A8D">
            <w:r w:rsidRPr="00FE7BDF">
              <w:t>Spain</w:t>
            </w:r>
          </w:p>
          <w:p w14:paraId="474EFB82" w14:textId="3F2F1C5F" w:rsidR="00134C53" w:rsidRPr="00FE7BDF" w:rsidRDefault="00134C53" w:rsidP="009A4A8D">
            <w:r w:rsidRPr="00FE7BDF">
              <w:t>Case-control</w:t>
            </w:r>
          </w:p>
        </w:tc>
        <w:tc>
          <w:tcPr>
            <w:tcW w:w="1276" w:type="dxa"/>
          </w:tcPr>
          <w:p w14:paraId="0D602E20" w14:textId="77777777" w:rsidR="00134C53" w:rsidRPr="00FE7BDF" w:rsidRDefault="00134C53" w:rsidP="009A4A8D">
            <w:r w:rsidRPr="00FE7BDF">
              <w:t>518 cases</w:t>
            </w:r>
          </w:p>
          <w:p w14:paraId="3C1383D7" w14:textId="5C47690F" w:rsidR="00134C53" w:rsidRPr="00FE7BDF" w:rsidRDefault="00134C53" w:rsidP="009A4A8D">
            <w:r w:rsidRPr="00FE7BDF">
              <w:t>518 controls</w:t>
            </w:r>
          </w:p>
        </w:tc>
        <w:tc>
          <w:tcPr>
            <w:tcW w:w="4821" w:type="dxa"/>
          </w:tcPr>
          <w:p w14:paraId="1068285A" w14:textId="77777777" w:rsidR="00134C53" w:rsidRPr="00FE7BDF" w:rsidRDefault="00134C53" w:rsidP="00134C53">
            <w:r w:rsidRPr="00FE7BDF">
              <w:rPr>
                <w:b/>
              </w:rPr>
              <w:t>Aim</w:t>
            </w:r>
            <w:r w:rsidRPr="00FE7BDF">
              <w:t xml:space="preserve">: To assess whether certain foods were related to the risk of small for gestational age (SGA). </w:t>
            </w:r>
          </w:p>
          <w:p w14:paraId="53B5B23C" w14:textId="1B621018" w:rsidR="00134C53" w:rsidRPr="00FE7BDF" w:rsidRDefault="00134C53" w:rsidP="00134C53">
            <w:pPr>
              <w:rPr>
                <w:b/>
              </w:rPr>
            </w:pPr>
            <w:r w:rsidRPr="00FE7BDF">
              <w:rPr>
                <w:b/>
              </w:rPr>
              <w:t>Methods</w:t>
            </w:r>
            <w:r w:rsidRPr="00FE7BDF">
              <w:t xml:space="preserve">: A food frequency questionnaire (FFQ) comprising 137 items was completed by all participants. The intake of vegetables, legumes and fruits was categorized in quintiles (Q1-Q5). Crude values and adjusted odds ratios (AORs) and 95% confidence intervals (CIs) were estimated using conditional logistic regression. The variables for adjustment were as follows: preeclampsia, education, smoking, weight gain per week during pregnancy, fish intake and previous preterm/low birthweight newborns. </w:t>
            </w:r>
          </w:p>
        </w:tc>
        <w:tc>
          <w:tcPr>
            <w:tcW w:w="4536" w:type="dxa"/>
          </w:tcPr>
          <w:p w14:paraId="4B868B2E" w14:textId="77777777" w:rsidR="00134C53" w:rsidRPr="00FE7BDF" w:rsidRDefault="00134C53" w:rsidP="00134C53">
            <w:r w:rsidRPr="00FE7BDF">
              <w:t xml:space="preserve">Total pulse intake showed an inverse association with the risk of SGA (trend p=0.02). </w:t>
            </w:r>
          </w:p>
          <w:p w14:paraId="3D755C12" w14:textId="77777777" w:rsidR="00134C53" w:rsidRPr="00FE7BDF" w:rsidRDefault="00134C53" w:rsidP="00134C53">
            <w:r w:rsidRPr="00FE7BDF">
              <w:t xml:space="preserve">Women with an intake of fruits above 420 g/day (Q5), compared with women in Q1 (≤121 g/day) showed a decreased risk of SGA (AOR 0.63, 95%CI 0.40 to 0.98). </w:t>
            </w:r>
          </w:p>
          <w:p w14:paraId="7C838D8C" w14:textId="46BD4861" w:rsidR="00134C53" w:rsidRPr="00134C53" w:rsidRDefault="00134C53" w:rsidP="00134C53">
            <w:r w:rsidRPr="00FE7BDF">
              <w:t>The total consumption of vegetables was not associated with the risk of SGA.</w:t>
            </w:r>
            <w:r w:rsidRPr="00134C53">
              <w:t xml:space="preserve"> </w:t>
            </w:r>
          </w:p>
        </w:tc>
        <w:tc>
          <w:tcPr>
            <w:tcW w:w="1842" w:type="dxa"/>
          </w:tcPr>
          <w:p w14:paraId="5DDA2753" w14:textId="77777777" w:rsidR="00134C53" w:rsidRPr="00C17B92" w:rsidRDefault="00134C53" w:rsidP="009A4A8D"/>
        </w:tc>
      </w:tr>
      <w:tr w:rsidR="000D7861" w:rsidRPr="00C17B92" w14:paraId="1961BDFB" w14:textId="77777777" w:rsidTr="00710F4F">
        <w:trPr>
          <w:cantSplit/>
          <w:trHeight w:val="390"/>
        </w:trPr>
        <w:tc>
          <w:tcPr>
            <w:tcW w:w="1417" w:type="dxa"/>
          </w:tcPr>
          <w:p w14:paraId="695901F3" w14:textId="3B51B2B5" w:rsidR="000D7861" w:rsidRPr="009755A5" w:rsidRDefault="000D7861" w:rsidP="009A4A8D">
            <w:r w:rsidRPr="009755A5">
              <w:t>Torjusen et al 2014</w:t>
            </w:r>
            <w:r w:rsidR="00774750">
              <w:fldChar w:fldCharType="begin">
                <w:fldData xml:space="preserve">PEVuZE5vdGU+PENpdGU+PEF1dGhvcj5Ub3JqdXNlbjwvQXV0aG9yPjxZZWFyPjIwMTQ8L1llYXI+
PFJlY051bT4xNzQxPC9SZWNOdW0+PERpc3BsYXlUZXh0PjxzdHlsZSBmYWNlPSJzdXBlcnNjcmlw
dCIgZm9udD0iVHJlYnVjaGV0IE1TIiBzaXplPSI5Ij42Njwvc3R5bGU+PC9EaXNwbGF5VGV4dD48
cmVjb3JkPjxyZWMtbnVtYmVyPjE3NDE8L3JlYy1udW1iZXI+PGZvcmVpZ24ta2V5cz48a2V5IGFw
cD0iRU4iIGRiLWlkPSJleHZhc3JmeDJkdHJhb2VzYXN4cDJzenN4YTJkZjUwMjU5MngiIHRpbWVz
dGFtcD0iMTU4MjUwNjMwMSI+MTc0MTwva2V5PjxrZXkgYXBwPSJFTldlYiIgZGItaWQ9IiI+MDwv
a2V5PjwvZm9yZWlnbi1rZXlzPjxyZWYtdHlwZSBuYW1lPSJKb3VybmFsIEFydGljbGUiPjE3PC9y
ZWYtdHlwZT48Y29udHJpYnV0b3JzPjxhdXRob3JzPjxhdXRob3I+VG9yanVzZW4sIEguPC9hdXRo
b3I+PGF1dGhvcj5CcmFudHNhZXRlciwgQS4gTC48L2F1dGhvcj48YXV0aG9yPkhhdWdlbiwgTS48
L2F1dGhvcj48YXV0aG9yPkFsZXhhbmRlciwgSi48L2F1dGhvcj48YXV0aG9yPkJha2tldGVpZywg
TC4gUy48L2F1dGhvcj48YXV0aG9yPkxpZWJsZWluLCBHLjwvYXV0aG9yPjxhdXRob3I+U3RpZ3Vt
LCBILjwvYXV0aG9yPjxhdXRob3I+TmFlcywgVC48L2F1dGhvcj48YXV0aG9yPlN3YXJ0eiwgSi48
L2F1dGhvcj48YXV0aG9yPkhvbG1ib2UtT3R0ZXNlbiwgRy48L2F1dGhvcj48YXV0aG9yPlJvb3Ms
IEcuPC9hdXRob3I+PGF1dGhvcj5NZWx0emVyLCBILiBNLjwvYXV0aG9yPjwvYXV0aG9ycz48L2Nv
bnRyaWJ1dG9ycz48YXV0aC1hZGRyZXNzPk5hdGlvbmFsIEluc3RpdHV0ZSBmb3IgQ29uc3VtZXIg
UmVzZWFyY2ggKFNJRk8pLCBPc2xvLCBOb3J3YXkgRGl2aXNpb24gb2YgRW52aXJvbm1lbnRhbCBN
ZWRpY2luZSwgTm9yd2VnaWFuIEluc3RpdHV0ZSBvZiBQdWJsaWMgSGVhbHRoLCBPc2xvLCBOb3J3
YXkuJiN4RDtEaXZpc2lvbiBvZiBFbnZpcm9ubWVudGFsIE1lZGljaW5lLCBOb3J3ZWdpYW4gSW5z
dGl0dXRlIG9mIFB1YmxpYyBIZWFsdGgsIE9zbG8sIE5vcndheS4mI3hEO09mZmljZSBvZiB0aGUg
RGlyZWN0b3ItR2VuZXJhbCwgTm9yd2VnaWFuIEluc3RpdHV0ZSBvZiBQdWJsaWMgSGVhbHRoLCBP
c2xvLCBOb3J3YXkuJiN4RDtEaXZpc2lvbiBvZiBFcGlkZW1pb2xvZ3ksIFRoZSBOb3J3ZWdpYW4g
SW5zdGl0dXRlIG9mIFB1YmxpYyBIZWFsdGgsIE9zbG8sIE5vcndheS4mI3hEO0RlcGFydG1lbnQg
b2YgUGxhbnQgU2NpZW5jZXMsIE5vcndlZ2lhbiBVbml2ZXJzaXR5IG9mIExpZmUgU2NpZW5jZXMs
IEFzLCBOb3J3YXkuJiN4RDtOb2ZpbWEsIEFzLCBOb3J3YXkgRGVwYXJ0bWVudCBvZiBGb29kIFNj
aWVuY2UsIFVuaXZlcnNpdHkgb2YgQ29wZW5oYWdlbiwgQ29wZW5oYWdlbiwgRGVubWFyay4mI3hE
O1VwcHNhbGEgVW5pdmVyc2l0eSBIb3NwaXRhbCwgVXBwc2FsYSwgU3dlZGVuIFZpZGFya2xpbmlr
ZW4sIEphcm5hLCBTd2VkZW4uJiN4RDtEZXBhcnRtZW50IG9mIEdlbmVyYWwgUHJhY3RpY2UgYW5k
IENvbW11bml0eSBNZWRpY2luZSwgRmFjdWx0eSBvZiBNZWRpY2luZSwgVW5pdmVyc2l0eSBvZiBP
c2xvLCBOb3J3YXkuPC9hdXRoLWFkZHJlc3M+PHRpdGxlcz48dGl0bGU+UmVkdWNlZCByaXNrIG9m
IHByZS1lY2xhbXBzaWEgd2l0aCBvcmdhbmljIHZlZ2V0YWJsZSBjb25zdW1wdGlvbjogcmVzdWx0
cyBmcm9tIHRoZSBwcm9zcGVjdGl2ZSBOb3J3ZWdpYW4gTW90aGVyIGFuZCBDaGlsZCBDb2hvcnQg
U3R1ZHk8L3RpdGxlPjxzZWNvbmRhcnktdGl0bGU+Qk1KIE9wZW48L3NlY29uZGFyeS10aXRsZT48
L3RpdGxlcz48cGVyaW9kaWNhbD48ZnVsbC10aXRsZT5CTUogT3BlbjwvZnVsbC10aXRsZT48L3Bl
cmlvZGljYWw+PHBhZ2VzPmUwMDYxNDM8L3BhZ2VzPjx2b2x1bWU+NDwvdm9sdW1lPjxudW1iZXI+
OTwvbnVtYmVyPjxlZGl0aW9uPjIwMTQvMDkvMTI8L2VkaXRpb24+PGtleXdvcmRzPjxrZXl3b3Jk
PkFkb2xlc2NlbnQ8L2tleXdvcmQ+PGtleXdvcmQ+QWR1bHQ8L2tleXdvcmQ+PGtleXdvcmQ+RGll
dC9zdGF0aXN0aWNzICZhbXA7IG51bWVyaWNhbCBkYXRhPC9rZXl3b3JkPjxrZXl3b3JkPkZlbWFs
ZTwva2V5d29yZD48a2V5d29yZD4qRm9vZCwgT3JnYW5pYy9zdGF0aXN0aWNzICZhbXA7IG51bWVy
aWNhbCBkYXRhPC9rZXl3b3JkPjxrZXl3b3JkPkh1bWFuczwva2V5d29yZD48a2V5d29yZD5NaWRk
bGUgQWdlZDwva2V5d29yZD48a2V5d29yZD5Ob3J3YXkvZXBpZGVtaW9sb2d5PC9rZXl3b3JkPjxr
ZXl3b3JkPlByZS1FY2xhbXBzaWEvZXBpZGVtaW9sb2d5LypwcmV2ZW50aW9uICZhbXA7IGNvbnRy
b2w8L2tleXdvcmQ+PGtleXdvcmQ+UHJlZ25hbmN5PC9rZXl3b3JkPjxrZXl3b3JkPlByZXZhbGVu
Y2U8L2tleXdvcmQ+PGtleXdvcmQ+UHJvc3BlY3RpdmUgU3R1ZGllczwva2V5d29yZD48a2V5d29y
ZD5SaXNrIEZhY3RvcnM8L2tleXdvcmQ+PGtleXdvcmQ+UmlzayBSZWR1Y3Rpb24gQmVoYXZpb3I8
L2tleXdvcmQ+PGtleXdvcmQ+U3VydmV5cyBhbmQgUXVlc3Rpb25uYWlyZXM8L2tleXdvcmQ+PGtl
eXdvcmQ+VmVnZXRhYmxlczwva2V5d29yZD48a2V5d29yZD5Zb3VuZyBBZHVsdDwva2V5d29yZD48
a2V5d29yZD5Nb0JhPC9rZXl3b3JkPjxrZXl3b3JkPk9yZ2FuaWMgZm9vZDwva2V5d29yZD48a2V5
d29yZD5wcmVlY2xhbXBzaWE8L2tleXdvcmQ+PGtleXdvcmQ+cHJvc3BlY3RpdmUgY29ob3J0IHN0
dXk8L2tleXdvcmQ+PC9rZXl3b3Jkcz48ZGF0ZXM+PHllYXI+MjAxNDwveWVhcj48cHViLWRhdGVz
PjxkYXRlPlNlcCAxMDwvZGF0ZT48L3B1Yi1kYXRlcz48L2RhdGVzPjxpc2JuPjIwNDQtNjA1NSAo
RWxlY3Ryb25pYykmI3hEOzIwNDQtNjA1NSAoTGlua2luZyk8L2lzYm4+PGFjY2Vzc2lvbi1udW0+
MjUyMDg4NTA8L2FjY2Vzc2lvbi1udW0+PHVybHM+PHJlbGF0ZWQtdXJscz48dXJsPmh0dHBzOi8v
d3d3Lm5jYmkubmxtLm5paC5nb3YvcHVibWVkLzI1MjA4ODUwPC91cmw+PC9yZWxhdGVkLXVybHM+
PC91cmxzPjxjdXN0b20yPlBNQzQxNjA4MzU8L2N1c3RvbTI+PGVsZWN0cm9uaWMtcmVzb3VyY2Ut
bnVtPjEwLjExMzYvYm1qb3Blbi0yMDE0LTAwNjE0MzwvZWxlY3Ryb25pYy1yZXNvdXJjZS1udW0+
PC9yZWNvcmQ+PC9DaXRlPjwvRW5kTm90ZT4A
</w:fldData>
              </w:fldChar>
            </w:r>
            <w:r w:rsidR="002747EA">
              <w:instrText xml:space="preserve"> ADDIN EN.CITE </w:instrText>
            </w:r>
            <w:r w:rsidR="002747EA">
              <w:fldChar w:fldCharType="begin">
                <w:fldData xml:space="preserve">PEVuZE5vdGU+PENpdGU+PEF1dGhvcj5Ub3JqdXNlbjwvQXV0aG9yPjxZZWFyPjIwMTQ8L1llYXI+
PFJlY051bT4xNzQxPC9SZWNOdW0+PERpc3BsYXlUZXh0PjxzdHlsZSBmYWNlPSJzdXBlcnNjcmlw
dCIgZm9udD0iVHJlYnVjaGV0IE1TIiBzaXplPSI5Ij42Njwvc3R5bGU+PC9EaXNwbGF5VGV4dD48
cmVjb3JkPjxyZWMtbnVtYmVyPjE3NDE8L3JlYy1udW1iZXI+PGZvcmVpZ24ta2V5cz48a2V5IGFw
cD0iRU4iIGRiLWlkPSJleHZhc3JmeDJkdHJhb2VzYXN4cDJzenN4YTJkZjUwMjU5MngiIHRpbWVz
dGFtcD0iMTU4MjUwNjMwMSI+MTc0MTwva2V5PjxrZXkgYXBwPSJFTldlYiIgZGItaWQ9IiI+MDwv
a2V5PjwvZm9yZWlnbi1rZXlzPjxyZWYtdHlwZSBuYW1lPSJKb3VybmFsIEFydGljbGUiPjE3PC9y
ZWYtdHlwZT48Y29udHJpYnV0b3JzPjxhdXRob3JzPjxhdXRob3I+VG9yanVzZW4sIEguPC9hdXRo
b3I+PGF1dGhvcj5CcmFudHNhZXRlciwgQS4gTC48L2F1dGhvcj48YXV0aG9yPkhhdWdlbiwgTS48
L2F1dGhvcj48YXV0aG9yPkFsZXhhbmRlciwgSi48L2F1dGhvcj48YXV0aG9yPkJha2tldGVpZywg
TC4gUy48L2F1dGhvcj48YXV0aG9yPkxpZWJsZWluLCBHLjwvYXV0aG9yPjxhdXRob3I+U3RpZ3Vt
LCBILjwvYXV0aG9yPjxhdXRob3I+TmFlcywgVC48L2F1dGhvcj48YXV0aG9yPlN3YXJ0eiwgSi48
L2F1dGhvcj48YXV0aG9yPkhvbG1ib2UtT3R0ZXNlbiwgRy48L2F1dGhvcj48YXV0aG9yPlJvb3Ms
IEcuPC9hdXRob3I+PGF1dGhvcj5NZWx0emVyLCBILiBNLjwvYXV0aG9yPjwvYXV0aG9ycz48L2Nv
bnRyaWJ1dG9ycz48YXV0aC1hZGRyZXNzPk5hdGlvbmFsIEluc3RpdHV0ZSBmb3IgQ29uc3VtZXIg
UmVzZWFyY2ggKFNJRk8pLCBPc2xvLCBOb3J3YXkgRGl2aXNpb24gb2YgRW52aXJvbm1lbnRhbCBN
ZWRpY2luZSwgTm9yd2VnaWFuIEluc3RpdHV0ZSBvZiBQdWJsaWMgSGVhbHRoLCBPc2xvLCBOb3J3
YXkuJiN4RDtEaXZpc2lvbiBvZiBFbnZpcm9ubWVudGFsIE1lZGljaW5lLCBOb3J3ZWdpYW4gSW5z
dGl0dXRlIG9mIFB1YmxpYyBIZWFsdGgsIE9zbG8sIE5vcndheS4mI3hEO09mZmljZSBvZiB0aGUg
RGlyZWN0b3ItR2VuZXJhbCwgTm9yd2VnaWFuIEluc3RpdHV0ZSBvZiBQdWJsaWMgSGVhbHRoLCBP
c2xvLCBOb3J3YXkuJiN4RDtEaXZpc2lvbiBvZiBFcGlkZW1pb2xvZ3ksIFRoZSBOb3J3ZWdpYW4g
SW5zdGl0dXRlIG9mIFB1YmxpYyBIZWFsdGgsIE9zbG8sIE5vcndheS4mI3hEO0RlcGFydG1lbnQg
b2YgUGxhbnQgU2NpZW5jZXMsIE5vcndlZ2lhbiBVbml2ZXJzaXR5IG9mIExpZmUgU2NpZW5jZXMs
IEFzLCBOb3J3YXkuJiN4RDtOb2ZpbWEsIEFzLCBOb3J3YXkgRGVwYXJ0bWVudCBvZiBGb29kIFNj
aWVuY2UsIFVuaXZlcnNpdHkgb2YgQ29wZW5oYWdlbiwgQ29wZW5oYWdlbiwgRGVubWFyay4mI3hE
O1VwcHNhbGEgVW5pdmVyc2l0eSBIb3NwaXRhbCwgVXBwc2FsYSwgU3dlZGVuIFZpZGFya2xpbmlr
ZW4sIEphcm5hLCBTd2VkZW4uJiN4RDtEZXBhcnRtZW50IG9mIEdlbmVyYWwgUHJhY3RpY2UgYW5k
IENvbW11bml0eSBNZWRpY2luZSwgRmFjdWx0eSBvZiBNZWRpY2luZSwgVW5pdmVyc2l0eSBvZiBP
c2xvLCBOb3J3YXkuPC9hdXRoLWFkZHJlc3M+PHRpdGxlcz48dGl0bGU+UmVkdWNlZCByaXNrIG9m
IHByZS1lY2xhbXBzaWEgd2l0aCBvcmdhbmljIHZlZ2V0YWJsZSBjb25zdW1wdGlvbjogcmVzdWx0
cyBmcm9tIHRoZSBwcm9zcGVjdGl2ZSBOb3J3ZWdpYW4gTW90aGVyIGFuZCBDaGlsZCBDb2hvcnQg
U3R1ZHk8L3RpdGxlPjxzZWNvbmRhcnktdGl0bGU+Qk1KIE9wZW48L3NlY29uZGFyeS10aXRsZT48
L3RpdGxlcz48cGVyaW9kaWNhbD48ZnVsbC10aXRsZT5CTUogT3BlbjwvZnVsbC10aXRsZT48L3Bl
cmlvZGljYWw+PHBhZ2VzPmUwMDYxNDM8L3BhZ2VzPjx2b2x1bWU+NDwvdm9sdW1lPjxudW1iZXI+
OTwvbnVtYmVyPjxlZGl0aW9uPjIwMTQvMDkvMTI8L2VkaXRpb24+PGtleXdvcmRzPjxrZXl3b3Jk
PkFkb2xlc2NlbnQ8L2tleXdvcmQ+PGtleXdvcmQ+QWR1bHQ8L2tleXdvcmQ+PGtleXdvcmQ+RGll
dC9zdGF0aXN0aWNzICZhbXA7IG51bWVyaWNhbCBkYXRhPC9rZXl3b3JkPjxrZXl3b3JkPkZlbWFs
ZTwva2V5d29yZD48a2V5d29yZD4qRm9vZCwgT3JnYW5pYy9zdGF0aXN0aWNzICZhbXA7IG51bWVy
aWNhbCBkYXRhPC9rZXl3b3JkPjxrZXl3b3JkPkh1bWFuczwva2V5d29yZD48a2V5d29yZD5NaWRk
bGUgQWdlZDwva2V5d29yZD48a2V5d29yZD5Ob3J3YXkvZXBpZGVtaW9sb2d5PC9rZXl3b3JkPjxr
ZXl3b3JkPlByZS1FY2xhbXBzaWEvZXBpZGVtaW9sb2d5LypwcmV2ZW50aW9uICZhbXA7IGNvbnRy
b2w8L2tleXdvcmQ+PGtleXdvcmQ+UHJlZ25hbmN5PC9rZXl3b3JkPjxrZXl3b3JkPlByZXZhbGVu
Y2U8L2tleXdvcmQ+PGtleXdvcmQ+UHJvc3BlY3RpdmUgU3R1ZGllczwva2V5d29yZD48a2V5d29y
ZD5SaXNrIEZhY3RvcnM8L2tleXdvcmQ+PGtleXdvcmQ+UmlzayBSZWR1Y3Rpb24gQmVoYXZpb3I8
L2tleXdvcmQ+PGtleXdvcmQ+U3VydmV5cyBhbmQgUXVlc3Rpb25uYWlyZXM8L2tleXdvcmQ+PGtl
eXdvcmQ+VmVnZXRhYmxlczwva2V5d29yZD48a2V5d29yZD5Zb3VuZyBBZHVsdDwva2V5d29yZD48
a2V5d29yZD5Nb0JhPC9rZXl3b3JkPjxrZXl3b3JkPk9yZ2FuaWMgZm9vZDwva2V5d29yZD48a2V5
d29yZD5wcmVlY2xhbXBzaWE8L2tleXdvcmQ+PGtleXdvcmQ+cHJvc3BlY3RpdmUgY29ob3J0IHN0
dXk8L2tleXdvcmQ+PC9rZXl3b3Jkcz48ZGF0ZXM+PHllYXI+MjAxNDwveWVhcj48cHViLWRhdGVz
PjxkYXRlPlNlcCAxMDwvZGF0ZT48L3B1Yi1kYXRlcz48L2RhdGVzPjxpc2JuPjIwNDQtNjA1NSAo
RWxlY3Ryb25pYykmI3hEOzIwNDQtNjA1NSAoTGlua2luZyk8L2lzYm4+PGFjY2Vzc2lvbi1udW0+
MjUyMDg4NTA8L2FjY2Vzc2lvbi1udW0+PHVybHM+PHJlbGF0ZWQtdXJscz48dXJsPmh0dHBzOi8v
d3d3Lm5jYmkubmxtLm5paC5nb3YvcHVibWVkLzI1MjA4ODUwPC91cmw+PC9yZWxhdGVkLXVybHM+
PC91cmxzPjxjdXN0b20yPlBNQzQxNjA4MzU8L2N1c3RvbTI+PGVsZWN0cm9uaWMtcmVzb3VyY2Ut
bnVtPjEwLjExMzYvYm1qb3Blbi0yMDE0LTAwNjE0MzwvZWxlY3Ryb25pYy1yZXNvdXJjZS1udW0+
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66</w:t>
            </w:r>
            <w:r w:rsidR="00774750">
              <w:fldChar w:fldCharType="end"/>
            </w:r>
          </w:p>
          <w:p w14:paraId="7823A844" w14:textId="77777777" w:rsidR="000D7861" w:rsidRPr="009755A5" w:rsidRDefault="000D7861" w:rsidP="009A4A8D">
            <w:r w:rsidRPr="009755A5">
              <w:t>Norway</w:t>
            </w:r>
          </w:p>
          <w:p w14:paraId="0EEA9A6A" w14:textId="36D0B0B9" w:rsidR="000D7861" w:rsidRPr="009755A5" w:rsidRDefault="000D7861" w:rsidP="009A4A8D">
            <w:r w:rsidRPr="009755A5">
              <w:t xml:space="preserve">Cohort </w:t>
            </w:r>
          </w:p>
        </w:tc>
        <w:tc>
          <w:tcPr>
            <w:tcW w:w="1276" w:type="dxa"/>
          </w:tcPr>
          <w:p w14:paraId="5932843C" w14:textId="7F188AE9" w:rsidR="000D7861" w:rsidRPr="009755A5" w:rsidRDefault="000D7861" w:rsidP="009A4A8D">
            <w:r w:rsidRPr="009755A5">
              <w:t>28,192 women</w:t>
            </w:r>
          </w:p>
        </w:tc>
        <w:tc>
          <w:tcPr>
            <w:tcW w:w="4821" w:type="dxa"/>
          </w:tcPr>
          <w:p w14:paraId="6B960773" w14:textId="77777777" w:rsidR="000D7861" w:rsidRPr="009755A5" w:rsidRDefault="000D7861" w:rsidP="00134C53">
            <w:r w:rsidRPr="009755A5">
              <w:rPr>
                <w:b/>
              </w:rPr>
              <w:t>Aim</w:t>
            </w:r>
            <w:r w:rsidRPr="009755A5">
              <w:t xml:space="preserve">: To examine associations between organic food consumption during pregnancy and the risk of pre-eclampsia among nulliparous Norwegian women. </w:t>
            </w:r>
          </w:p>
          <w:p w14:paraId="0207E6B0" w14:textId="4F7738BE" w:rsidR="000D7861" w:rsidRPr="009755A5" w:rsidRDefault="000D7861" w:rsidP="000D7861">
            <w:pPr>
              <w:rPr>
                <w:b/>
              </w:rPr>
            </w:pPr>
            <w:r w:rsidRPr="009755A5">
              <w:t xml:space="preserve">Methods: Nulliparous pregnant women answered food frequency questionnaire and general health questionnaire in mid-pregnancy and no missing information on height, body weight or gestational weight gain. Relative risk was estimated as ORs by performing binary logistic regression with pre-eclampsia as the outcome and organic food consumption as the exposure. </w:t>
            </w:r>
          </w:p>
        </w:tc>
        <w:tc>
          <w:tcPr>
            <w:tcW w:w="4536" w:type="dxa"/>
          </w:tcPr>
          <w:p w14:paraId="0068E74E" w14:textId="522D3907" w:rsidR="000D7861" w:rsidRPr="009755A5" w:rsidRDefault="000D7861" w:rsidP="000D7861">
            <w:r w:rsidRPr="009755A5">
              <w:t xml:space="preserve">Women who reported </w:t>
            </w:r>
            <w:r w:rsidR="00FE7BDF" w:rsidRPr="009755A5">
              <w:t>eating</w:t>
            </w:r>
            <w:r w:rsidRPr="009755A5">
              <w:t xml:space="preserve"> organic vegetables 'often' or 'mostly' had a lower risk of pre-eclampsia than those who reported 'never/rarely' or 'sometimes' (aOR=0.79, 95%CI 0.62 to 0.99). </w:t>
            </w:r>
          </w:p>
          <w:p w14:paraId="0429AF34" w14:textId="1EB2D8E6" w:rsidR="000D7861" w:rsidRPr="000D7861" w:rsidRDefault="000D7861" w:rsidP="000D7861">
            <w:r w:rsidRPr="009755A5">
              <w:t>The lower risk associated with high organic vegetable consumption was evident also when adjusting for overall dietary quality, assessed as scores on a healthy food pattern derived by principal component analysis.</w:t>
            </w:r>
            <w:r w:rsidRPr="000D7861">
              <w:t xml:space="preserve"> </w:t>
            </w:r>
          </w:p>
        </w:tc>
        <w:tc>
          <w:tcPr>
            <w:tcW w:w="1842" w:type="dxa"/>
          </w:tcPr>
          <w:p w14:paraId="4E331963" w14:textId="77777777" w:rsidR="000D7861" w:rsidRPr="00C17B92" w:rsidRDefault="000D7861" w:rsidP="009A4A8D"/>
        </w:tc>
      </w:tr>
      <w:tr w:rsidR="000B3A9A" w:rsidRPr="00C17B92" w14:paraId="680E6B60" w14:textId="77777777" w:rsidTr="00710F4F">
        <w:trPr>
          <w:cantSplit/>
          <w:trHeight w:val="390"/>
        </w:trPr>
        <w:tc>
          <w:tcPr>
            <w:tcW w:w="1417" w:type="dxa"/>
          </w:tcPr>
          <w:p w14:paraId="475431E1" w14:textId="4EBDB8BD" w:rsidR="000B3A9A" w:rsidRPr="009755A5" w:rsidRDefault="00FC7F77" w:rsidP="009A4A8D">
            <w:r w:rsidRPr="009755A5">
              <w:t>Ogawa et al 2018</w:t>
            </w:r>
            <w:r w:rsidR="00774750">
              <w:fldChar w:fldCharType="begin">
                <w:fldData xml:space="preserve">PEVuZE5vdGU+PENpdGU+PEF1dGhvcj5PZ2F3YTwvQXV0aG9yPjxZZWFyPjIwMTg8L1llYXI+PFJl
Y051bT4xNzI5PC9SZWNOdW0+PERpc3BsYXlUZXh0PjxzdHlsZSBmYWNlPSJzdXBlcnNjcmlwdCIg
Zm9udD0iVHJlYnVjaGV0IE1TIiBzaXplPSI5Ij43Mzwvc3R5bGU+PC9EaXNwbGF5VGV4dD48cmVj
b3JkPjxyZWMtbnVtYmVyPjE3Mjk8L3JlYy1udW1iZXI+PGZvcmVpZ24ta2V5cz48a2V5IGFwcD0i
RU4iIGRiLWlkPSJleHZhc3JmeDJkdHJhb2VzYXN4cDJzenN4YTJkZjUwMjU5MngiIHRpbWVzdGFt
cD0iMTU4MjUwNjIxMyI+MTcyOTwva2V5PjxrZXkgYXBwPSJFTldlYiIgZGItaWQ9IiI+MDwva2V5
PjwvZm9yZWlnbi1rZXlzPjxyZWYtdHlwZSBuYW1lPSJKb3VybmFsIEFydGljbGUiPjE3PC9yZWYt
dHlwZT48Y29udHJpYnV0b3JzPjxhdXRob3JzPjxhdXRob3I+T2dhd2EsIEsuPC9hdXRob3I+PGF1
dGhvcj5Nb3Jpc2FraSwgTi48L2F1dGhvcj48YXV0aG9yPktvYmF5YXNoaSwgTS48L2F1dGhvcj48
YXV0aG9yPkp3YSwgUy4gQy48L2F1dGhvcj48YXV0aG9yPlRhbmksIFkuPC9hdXRob3I+PGF1dGhv
cj5TYWdvLCBILjwvYXV0aG9yPjxhdXRob3I+SG9yaWthd2EsIFIuPC9hdXRob3I+PGF1dGhvcj5G
dWppd2FyYSwgVC48L2F1dGhvcj48L2F1dGhvcnM+PC9jb250cmlidXRvcnM+PGF1dGgtYWRkcmVz
cz5EZXBhcnRtZW50IG9mIFNvY2lhbCBNZWRpY2luZSwgTmF0aW9uYWwgUmVzZWFyY2ggSW5zdGl0
dXRlIGZvciBDaGlsZCBIZWFsdGggYW5kIERldmVsb3BtZW50LCAyLTEwLTEgT2t1cmEsIFRva3lv
LCAxNTctODUzNSwgSmFwYW4uIG9nYXdhLWtAbmNjaGQuZ28uanAuJiN4RDtDZW50ZXIgZm9yIE1h
dGVybmFsLUZldGFsLCBOZW9uYXRhbCBhbmQgUmVwcm9kdWN0aXZlIE1lZGljaW5lLCBOYXRpb25h
bCBDZW50ZXIgZm9yIENoaWxkIEhlYWx0aCBhbmQgRGV2ZWxvcG1lbnQsIDItMTAtMSBPa3VyYSwg
VG9reW8sIDE1Ny04NTM1LCBKYXBhbi4gb2dhd2Eta0BuY2NoZC5nby5qcC4mI3hEO0NvbGxhYm9y
YXRpdmUgRGVwYXJ0bWVudHMgb2YgQWR2YW5jZWQgUGVkaWF0cmljIE1lZGljaW5lLCBHcmFkdWF0
ZSBTY2hvb2wgb2YgTWVkaWNpbmUsIFRvaG9rdSBVbml2ZXJzaXR5LCAyLTEgU2VpcnlvdHlvLCBh
b2JhLWt1LCBTZW5kYWlzaGksIDk4MC04NTc1LCBKYXBhbi4gb2dhd2Eta0BuY2NoZC5nby5qcC4m
I3hEO0RlcGFydG1lbnQgb2YgU29jaWFsIE1lZGljaW5lLCBOYXRpb25hbCBSZXNlYXJjaCBJbnN0
aXR1dGUgZm9yIENoaWxkIEhlYWx0aCBhbmQgRGV2ZWxvcG1lbnQsIDItMTAtMSBPa3VyYSwgVG9r
eW8sIDE1Ny04NTM1LCBKYXBhbi4mI3hEO0RlcGFydG1lbnQgb2YgRm9vZCBTY2llbmNlLCBPdHN1
bWEgV29tZW4mYXBvcztzIFVuaXZlcnNpdHksIDEyIFNhbmJhbmNobywgVG9reW8sIDEwMi04NTM3
LCBKYXBhbi4mI3hEO0RlcGFydG1lbnQgb2YgR2xvYmFsIEhlYWx0aCBQcm9tb3Rpb24sIFRva3lv
IE1lZGljYWwgYW5kIERlbnRhbCBVbml2ZXJzaXR5LCAxLTUtNDUgWXVzaGltYSwgVG9reW8sIDEx
My04NTEwLCBKYXBhbi4mI3hEO1Jlc2VhcmNoIEZlbGxvdyBvZiBKYXBhbiBTb2NpZXR5IGZvciB0
aGUgUHJvbW90aW9uIG9mIFNjaWVuY2UsIDUtMy0xLCBLb2ppbWFjaGksIFRva3lvLCBKYXBhbi4m
I3hEO0NlbnRlciBmb3IgTWF0ZXJuYWwtRmV0YWwsIE5lb25hdGFsIGFuZCBSZXByb2R1Y3RpdmUg
TWVkaWNpbmUsIE5hdGlvbmFsIENlbnRlciBmb3IgQ2hpbGQgSGVhbHRoIGFuZCBEZXZlbG9wbWVu
dCwgMi0xMC0xIE9rdXJhLCBUb2t5bywgMTU3LTg1MzUsIEphcGFuLiYjeEQ7Q29sbGFib3JhdGl2
ZSBEZXBhcnRtZW50cyBvZiBBZHZhbmNlZCBQZWRpYXRyaWMgTWVkaWNpbmUsIEdyYWR1YXRlIFNj
aG9vbCBvZiBNZWRpY2luZSwgVG9ob2t1IFVuaXZlcnNpdHksIDItMSBTZWlyeW90eW8sIGFvYmEt
a3UsIFNlbmRhaXNoaSwgOTgwLTg1NzUsIEphcGFuLiYjeEQ7RGl2aXNpb24gb2YgRW5kb2NyaW5v
bG9neSBhbmQgTWV0YWJvbGlzbSwgTmF0aW9uYWwgQ2VudGVyIGZvciBDaGlsZCBIZWFsdGggYW5k
IERldmVsb3BtZW50LCAyLTEwLTEgT2t1cmEsIFRva3lvLCAxNTctODUzNSwgSmFwYW4uPC9hdXRo
LWFkZHJlc3M+PHRpdGxlcz48dGl0bGU+TWF0ZXJuYWwgdmVnZXRhYmxlIGludGFrZSBpbiBlYXJs
eSBwcmVnbmFuY3kgYW5kIHdoZWV6ZSBpbiBvZmZzcHJpbmcgYXQgdGhlIGFnZSBvZiAyIHllYXJz
PC90aXRsZT48c2Vjb25kYXJ5LXRpdGxlPkV1ciBKIENsaW4gTnV0cjwvc2Vjb25kYXJ5LXRpdGxl
PjwvdGl0bGVzPjxwZXJpb2RpY2FsPjxmdWxsLXRpdGxlPkV1ciBKIENsaW4gTnV0cjwvZnVsbC10
aXRsZT48L3BlcmlvZGljYWw+PHBhZ2VzPjc2MS03NzE8L3BhZ2VzPjx2b2x1bWU+NzI8L3ZvbHVt
ZT48bnVtYmVyPjU8L251bWJlcj48ZWRpdGlvbj4yMDE4LzAyLzEzPC9lZGl0aW9uPjxrZXl3b3Jk
cz48a2V5d29yZD5Bc3RobWEvKmVwaWRlbWlvbG9neTwva2V5d29yZD48a2V5d29yZD5DaGlsZCwg
UHJlc2Nob29sPC9rZXl3b3JkPjxrZXl3b3JkPkRpZXQ8L2tleXdvcmQ+PGtleXdvcmQ+RmVtYWxl
PC9rZXl3b3JkPjxrZXl3b3JkPkh1bWFuczwva2V5d29yZD48a2V5d29yZD4qTWF0ZXJuYWwgTnV0
cml0aW9uYWwgUGh5c2lvbG9naWNhbCBQaGVub21lbmE8L2tleXdvcmQ+PGtleXdvcmQ+UHJlZ25h
bmN5PC9rZXl3b3JkPjxrZXl3b3JkPlByZW5hdGFsIEV4cG9zdXJlIERlbGF5ZWQgRWZmZWN0cy8q
ZXBpZGVtaW9sb2d5PC9rZXl3b3JkPjxrZXl3b3JkPlByZXZhbGVuY2U8L2tleXdvcmQ+PGtleXdv
cmQ+UHJvc3BlY3RpdmUgU3R1ZGllczwva2V5d29yZD48a2V5d29yZD4qUmVzcGlyYXRvcnkgU291
bmRzPC9rZXl3b3JkPjxrZXl3b3JkPlJpc2sgRmFjdG9yczwva2V5d29yZD48a2V5d29yZD5TdXJ2
ZXlzIGFuZCBRdWVzdGlvbm5haXJlczwva2V5d29yZD48a2V5d29yZD4qVmVnZXRhYmxlczwva2V5
d29yZD48L2tleXdvcmRzPjxkYXRlcz48eWVhcj4yMDE4PC95ZWFyPjxwdWItZGF0ZXM+PGRhdGU+
TWF5PC9kYXRlPjwvcHViLWRhdGVzPjwvZGF0ZXM+PGlzYm4+MTQ3Ni01NjQwIChFbGVjdHJvbmlj
KSYjeEQ7MDk1NC0zMDA3IChMaW5raW5nKTwvaXNibj48YWNjZXNzaW9uLW51bT4yOTQzNDMxOTwv
YWNjZXNzaW9uLW51bT48dXJscz48cmVsYXRlZC11cmxzPjx1cmw+aHR0cHM6Ly93d3cubmNiaS5u
bG0ubmloLmdvdi9wdWJtZWQvMjk0MzQzMTk8L3VybD48L3JlbGF0ZWQtdXJscz48L3VybHM+PGVs
ZWN0cm9uaWMtcmVzb3VyY2UtbnVtPjEwLjEwMzgvczQxNDMwLTAxOC0wMTAyLTU8L2VsZWN0cm9u
aWMtcmVzb3VyY2UtbnVtPjwvcmVjb3JkPjwvQ2l0ZT48L0VuZE5vdGU+
</w:fldData>
              </w:fldChar>
            </w:r>
            <w:r w:rsidR="002747EA">
              <w:instrText xml:space="preserve"> ADDIN EN.CITE </w:instrText>
            </w:r>
            <w:r w:rsidR="002747EA">
              <w:fldChar w:fldCharType="begin">
                <w:fldData xml:space="preserve">PEVuZE5vdGU+PENpdGU+PEF1dGhvcj5PZ2F3YTwvQXV0aG9yPjxZZWFyPjIwMTg8L1llYXI+PFJl
Y051bT4xNzI5PC9SZWNOdW0+PERpc3BsYXlUZXh0PjxzdHlsZSBmYWNlPSJzdXBlcnNjcmlwdCIg
Zm9udD0iVHJlYnVjaGV0IE1TIiBzaXplPSI5Ij43Mzwvc3R5bGU+PC9EaXNwbGF5VGV4dD48cmVj
b3JkPjxyZWMtbnVtYmVyPjE3Mjk8L3JlYy1udW1iZXI+PGZvcmVpZ24ta2V5cz48a2V5IGFwcD0i
RU4iIGRiLWlkPSJleHZhc3JmeDJkdHJhb2VzYXN4cDJzenN4YTJkZjUwMjU5MngiIHRpbWVzdGFt
cD0iMTU4MjUwNjIxMyI+MTcyOTwva2V5PjxrZXkgYXBwPSJFTldlYiIgZGItaWQ9IiI+MDwva2V5
PjwvZm9yZWlnbi1rZXlzPjxyZWYtdHlwZSBuYW1lPSJKb3VybmFsIEFydGljbGUiPjE3PC9yZWYt
dHlwZT48Y29udHJpYnV0b3JzPjxhdXRob3JzPjxhdXRob3I+T2dhd2EsIEsuPC9hdXRob3I+PGF1
dGhvcj5Nb3Jpc2FraSwgTi48L2F1dGhvcj48YXV0aG9yPktvYmF5YXNoaSwgTS48L2F1dGhvcj48
YXV0aG9yPkp3YSwgUy4gQy48L2F1dGhvcj48YXV0aG9yPlRhbmksIFkuPC9hdXRob3I+PGF1dGhv
cj5TYWdvLCBILjwvYXV0aG9yPjxhdXRob3I+SG9yaWthd2EsIFIuPC9hdXRob3I+PGF1dGhvcj5G
dWppd2FyYSwgVC48L2F1dGhvcj48L2F1dGhvcnM+PC9jb250cmlidXRvcnM+PGF1dGgtYWRkcmVz
cz5EZXBhcnRtZW50IG9mIFNvY2lhbCBNZWRpY2luZSwgTmF0aW9uYWwgUmVzZWFyY2ggSW5zdGl0
dXRlIGZvciBDaGlsZCBIZWFsdGggYW5kIERldmVsb3BtZW50LCAyLTEwLTEgT2t1cmEsIFRva3lv
LCAxNTctODUzNSwgSmFwYW4uIG9nYXdhLWtAbmNjaGQuZ28uanAuJiN4RDtDZW50ZXIgZm9yIE1h
dGVybmFsLUZldGFsLCBOZW9uYXRhbCBhbmQgUmVwcm9kdWN0aXZlIE1lZGljaW5lLCBOYXRpb25h
bCBDZW50ZXIgZm9yIENoaWxkIEhlYWx0aCBhbmQgRGV2ZWxvcG1lbnQsIDItMTAtMSBPa3VyYSwg
VG9reW8sIDE1Ny04NTM1LCBKYXBhbi4gb2dhd2Eta0BuY2NoZC5nby5qcC4mI3hEO0NvbGxhYm9y
YXRpdmUgRGVwYXJ0bWVudHMgb2YgQWR2YW5jZWQgUGVkaWF0cmljIE1lZGljaW5lLCBHcmFkdWF0
ZSBTY2hvb2wgb2YgTWVkaWNpbmUsIFRvaG9rdSBVbml2ZXJzaXR5LCAyLTEgU2VpcnlvdHlvLCBh
b2JhLWt1LCBTZW5kYWlzaGksIDk4MC04NTc1LCBKYXBhbi4gb2dhd2Eta0BuY2NoZC5nby5qcC4m
I3hEO0RlcGFydG1lbnQgb2YgU29jaWFsIE1lZGljaW5lLCBOYXRpb25hbCBSZXNlYXJjaCBJbnN0
aXR1dGUgZm9yIENoaWxkIEhlYWx0aCBhbmQgRGV2ZWxvcG1lbnQsIDItMTAtMSBPa3VyYSwgVG9r
eW8sIDE1Ny04NTM1LCBKYXBhbi4mI3hEO0RlcGFydG1lbnQgb2YgRm9vZCBTY2llbmNlLCBPdHN1
bWEgV29tZW4mYXBvcztzIFVuaXZlcnNpdHksIDEyIFNhbmJhbmNobywgVG9reW8sIDEwMi04NTM3
LCBKYXBhbi4mI3hEO0RlcGFydG1lbnQgb2YgR2xvYmFsIEhlYWx0aCBQcm9tb3Rpb24sIFRva3lv
IE1lZGljYWwgYW5kIERlbnRhbCBVbml2ZXJzaXR5LCAxLTUtNDUgWXVzaGltYSwgVG9reW8sIDEx
My04NTEwLCBKYXBhbi4mI3hEO1Jlc2VhcmNoIEZlbGxvdyBvZiBKYXBhbiBTb2NpZXR5IGZvciB0
aGUgUHJvbW90aW9uIG9mIFNjaWVuY2UsIDUtMy0xLCBLb2ppbWFjaGksIFRva3lvLCBKYXBhbi4m
I3hEO0NlbnRlciBmb3IgTWF0ZXJuYWwtRmV0YWwsIE5lb25hdGFsIGFuZCBSZXByb2R1Y3RpdmUg
TWVkaWNpbmUsIE5hdGlvbmFsIENlbnRlciBmb3IgQ2hpbGQgSGVhbHRoIGFuZCBEZXZlbG9wbWVu
dCwgMi0xMC0xIE9rdXJhLCBUb2t5bywgMTU3LTg1MzUsIEphcGFuLiYjeEQ7Q29sbGFib3JhdGl2
ZSBEZXBhcnRtZW50cyBvZiBBZHZhbmNlZCBQZWRpYXRyaWMgTWVkaWNpbmUsIEdyYWR1YXRlIFNj
aG9vbCBvZiBNZWRpY2luZSwgVG9ob2t1IFVuaXZlcnNpdHksIDItMSBTZWlyeW90eW8sIGFvYmEt
a3UsIFNlbmRhaXNoaSwgOTgwLTg1NzUsIEphcGFuLiYjeEQ7RGl2aXNpb24gb2YgRW5kb2NyaW5v
bG9neSBhbmQgTWV0YWJvbGlzbSwgTmF0aW9uYWwgQ2VudGVyIGZvciBDaGlsZCBIZWFsdGggYW5k
IERldmVsb3BtZW50LCAyLTEwLTEgT2t1cmEsIFRva3lvLCAxNTctODUzNSwgSmFwYW4uPC9hdXRo
LWFkZHJlc3M+PHRpdGxlcz48dGl0bGU+TWF0ZXJuYWwgdmVnZXRhYmxlIGludGFrZSBpbiBlYXJs
eSBwcmVnbmFuY3kgYW5kIHdoZWV6ZSBpbiBvZmZzcHJpbmcgYXQgdGhlIGFnZSBvZiAyIHllYXJz
PC90aXRsZT48c2Vjb25kYXJ5LXRpdGxlPkV1ciBKIENsaW4gTnV0cjwvc2Vjb25kYXJ5LXRpdGxl
PjwvdGl0bGVzPjxwZXJpb2RpY2FsPjxmdWxsLXRpdGxlPkV1ciBKIENsaW4gTnV0cjwvZnVsbC10
aXRsZT48L3BlcmlvZGljYWw+PHBhZ2VzPjc2MS03NzE8L3BhZ2VzPjx2b2x1bWU+NzI8L3ZvbHVt
ZT48bnVtYmVyPjU8L251bWJlcj48ZWRpdGlvbj4yMDE4LzAyLzEzPC9lZGl0aW9uPjxrZXl3b3Jk
cz48a2V5d29yZD5Bc3RobWEvKmVwaWRlbWlvbG9neTwva2V5d29yZD48a2V5d29yZD5DaGlsZCwg
UHJlc2Nob29sPC9rZXl3b3JkPjxrZXl3b3JkPkRpZXQ8L2tleXdvcmQ+PGtleXdvcmQ+RmVtYWxl
PC9rZXl3b3JkPjxrZXl3b3JkPkh1bWFuczwva2V5d29yZD48a2V5d29yZD4qTWF0ZXJuYWwgTnV0
cml0aW9uYWwgUGh5c2lvbG9naWNhbCBQaGVub21lbmE8L2tleXdvcmQ+PGtleXdvcmQ+UHJlZ25h
bmN5PC9rZXl3b3JkPjxrZXl3b3JkPlByZW5hdGFsIEV4cG9zdXJlIERlbGF5ZWQgRWZmZWN0cy8q
ZXBpZGVtaW9sb2d5PC9rZXl3b3JkPjxrZXl3b3JkPlByZXZhbGVuY2U8L2tleXdvcmQ+PGtleXdv
cmQ+UHJvc3BlY3RpdmUgU3R1ZGllczwva2V5d29yZD48a2V5d29yZD4qUmVzcGlyYXRvcnkgU291
bmRzPC9rZXl3b3JkPjxrZXl3b3JkPlJpc2sgRmFjdG9yczwva2V5d29yZD48a2V5d29yZD5TdXJ2
ZXlzIGFuZCBRdWVzdGlvbm5haXJlczwva2V5d29yZD48a2V5d29yZD4qVmVnZXRhYmxlczwva2V5
d29yZD48L2tleXdvcmRzPjxkYXRlcz48eWVhcj4yMDE4PC95ZWFyPjxwdWItZGF0ZXM+PGRhdGU+
TWF5PC9kYXRlPjwvcHViLWRhdGVzPjwvZGF0ZXM+PGlzYm4+MTQ3Ni01NjQwIChFbGVjdHJvbmlj
KSYjeEQ7MDk1NC0zMDA3IChMaW5raW5nKTwvaXNibj48YWNjZXNzaW9uLW51bT4yOTQzNDMxOTwv
YWNjZXNzaW9uLW51bT48dXJscz48cmVsYXRlZC11cmxzPjx1cmw+aHR0cHM6Ly93d3cubmNiaS5u
bG0ubmloLmdvdi9wdWJtZWQvMjk0MzQzMTk8L3VybD48L3JlbGF0ZWQtdXJscz48L3VybHM+PGVs
ZWN0cm9uaWMtcmVzb3VyY2UtbnVtPjEwLjEwMzgvczQxNDMwLTAxOC0wMTAyLTU8L2VsZWN0cm9u
aWMtcmVzb3VyY2UtbnVtPjwvcmVjb3JkPjwvQ2l0ZT48L0VuZE5vdGU+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73</w:t>
            </w:r>
            <w:r w:rsidR="00774750">
              <w:fldChar w:fldCharType="end"/>
            </w:r>
          </w:p>
          <w:p w14:paraId="1CB2E740" w14:textId="77777777" w:rsidR="00FC7F77" w:rsidRPr="009755A5" w:rsidRDefault="00FC7F77" w:rsidP="009A4A8D">
            <w:r w:rsidRPr="009755A5">
              <w:t>Japan</w:t>
            </w:r>
          </w:p>
          <w:p w14:paraId="5FF3BA68" w14:textId="3A1451A7" w:rsidR="00FC7F77" w:rsidRPr="009755A5" w:rsidRDefault="00FC7F77" w:rsidP="009A4A8D">
            <w:r w:rsidRPr="009755A5">
              <w:t>Cohort</w:t>
            </w:r>
          </w:p>
        </w:tc>
        <w:tc>
          <w:tcPr>
            <w:tcW w:w="1276" w:type="dxa"/>
          </w:tcPr>
          <w:p w14:paraId="244320DE" w14:textId="388D4A5C" w:rsidR="000B3A9A" w:rsidRPr="009755A5" w:rsidRDefault="00FC7F77" w:rsidP="009A4A8D">
            <w:r w:rsidRPr="009755A5">
              <w:t>310 infants</w:t>
            </w:r>
          </w:p>
        </w:tc>
        <w:tc>
          <w:tcPr>
            <w:tcW w:w="4821" w:type="dxa"/>
          </w:tcPr>
          <w:p w14:paraId="69427FAC" w14:textId="77777777" w:rsidR="00FC7F77" w:rsidRPr="009755A5" w:rsidRDefault="00FC7F77" w:rsidP="00FC7F77">
            <w:r w:rsidRPr="009755A5">
              <w:rPr>
                <w:b/>
              </w:rPr>
              <w:t>Aim</w:t>
            </w:r>
            <w:r w:rsidRPr="009755A5">
              <w:t>: To assess</w:t>
            </w:r>
            <w:r w:rsidR="000B3A9A" w:rsidRPr="009755A5">
              <w:t xml:space="preserve"> the effect of maternal intake </w:t>
            </w:r>
            <w:r w:rsidRPr="009755A5">
              <w:t xml:space="preserve">of vegetables </w:t>
            </w:r>
            <w:r w:rsidR="000B3A9A" w:rsidRPr="009755A5">
              <w:t xml:space="preserve">during pregnancy on asthma risk in offspring, which has rarely been studied. </w:t>
            </w:r>
          </w:p>
          <w:p w14:paraId="3E50AC81" w14:textId="354DCDBA" w:rsidR="000B3A9A" w:rsidRPr="009755A5" w:rsidRDefault="00FC7F77" w:rsidP="00FC7F77">
            <w:pPr>
              <w:rPr>
                <w:b/>
              </w:rPr>
            </w:pPr>
            <w:r w:rsidRPr="009755A5">
              <w:rPr>
                <w:b/>
              </w:rPr>
              <w:t>Methods</w:t>
            </w:r>
            <w:r w:rsidR="000B3A9A" w:rsidRPr="009755A5">
              <w:t xml:space="preserve">: </w:t>
            </w:r>
            <w:r w:rsidRPr="009755A5">
              <w:t>W</w:t>
            </w:r>
            <w:r w:rsidR="000B3A9A" w:rsidRPr="009755A5">
              <w:t xml:space="preserve">e administered a food frequency questionnaire at two periods during the respondents' pregnancy: early and mid to late periods. In addition, a questionnaire including the International Study of Asthma and Allergies in Childhood questionnaire was conducted when the offspring were 2 years old. Multivariate Poisson regression adjusting for maternal baseline demographics was used to elucidate the association between maternal vegetable intake and the incidence of wheeze in the offspring. </w:t>
            </w:r>
          </w:p>
        </w:tc>
        <w:tc>
          <w:tcPr>
            <w:tcW w:w="4536" w:type="dxa"/>
          </w:tcPr>
          <w:p w14:paraId="2D40D015" w14:textId="6EA3D0E1" w:rsidR="00385C02" w:rsidRPr="009755A5" w:rsidRDefault="00385C02" w:rsidP="00FC7F77">
            <w:r w:rsidRPr="009755A5">
              <w:t>The prevalence of wheeze in the child at 2 years was lower among women with the highest first trimester intake compared with the lowest intake of:</w:t>
            </w:r>
          </w:p>
          <w:p w14:paraId="0D5D241E" w14:textId="2AD371D4" w:rsidR="00385C02" w:rsidRPr="009755A5" w:rsidRDefault="00385C02" w:rsidP="00385C02">
            <w:pPr>
              <w:pStyle w:val="bullet"/>
            </w:pPr>
            <w:r w:rsidRPr="009755A5">
              <w:t>Cruciferous vegetables: aRR 0.48; 95%CI 0.26 to 0.89</w:t>
            </w:r>
          </w:p>
          <w:p w14:paraId="198A58EC" w14:textId="256AD2FD" w:rsidR="00385C02" w:rsidRPr="009755A5" w:rsidRDefault="00385C02" w:rsidP="00385C02">
            <w:pPr>
              <w:pStyle w:val="bullet"/>
            </w:pPr>
            <w:r w:rsidRPr="009755A5">
              <w:t>Folate-rich vegetables: aRR 0.47, 95%CI 0.25 to 0.87</w:t>
            </w:r>
          </w:p>
          <w:p w14:paraId="37F6B21F" w14:textId="0E2CFAF2" w:rsidR="000B3A9A" w:rsidRPr="000B3A9A" w:rsidRDefault="000B3A9A" w:rsidP="00385C02">
            <w:r w:rsidRPr="009755A5">
              <w:t>In trend analysis, a higher maternal intake of cruciferous, folate-rich vegetables, and total vegetables during early pregnancy was less likely to be associated with wheeze in the offspring at 2 years old (p for trend: 0.038, &lt;0.001, and 0.028, respectively). Maternal vegetable intake during mid to late pregnancy was not associated with wheeze in the offspring.</w:t>
            </w:r>
            <w:r w:rsidRPr="000B3A9A">
              <w:t> </w:t>
            </w:r>
          </w:p>
        </w:tc>
        <w:tc>
          <w:tcPr>
            <w:tcW w:w="1842" w:type="dxa"/>
          </w:tcPr>
          <w:p w14:paraId="0E1C2043" w14:textId="77777777" w:rsidR="000B3A9A" w:rsidRPr="00C17B92" w:rsidRDefault="000B3A9A" w:rsidP="009A4A8D"/>
        </w:tc>
      </w:tr>
      <w:tr w:rsidR="00CD4A09" w:rsidRPr="00C17B92" w14:paraId="42CC4C35" w14:textId="77777777" w:rsidTr="00710F4F">
        <w:trPr>
          <w:cantSplit/>
          <w:trHeight w:val="390"/>
        </w:trPr>
        <w:tc>
          <w:tcPr>
            <w:tcW w:w="1417" w:type="dxa"/>
          </w:tcPr>
          <w:p w14:paraId="329473D5" w14:textId="52A53A4E" w:rsidR="00CD4A09" w:rsidRPr="00532DE7" w:rsidRDefault="00CD4A09" w:rsidP="009A4A8D">
            <w:r w:rsidRPr="00532DE7">
              <w:t>Miyake et al 2014</w:t>
            </w:r>
            <w:r w:rsidR="00774750">
              <w:fldChar w:fldCharType="begin"/>
            </w:r>
            <w:r w:rsidR="002747EA">
              <w:instrText xml:space="preserve"> ADDIN EN.CITE &lt;EndNote&gt;&lt;Cite&gt;&lt;Author&gt;Miyake&lt;/Author&gt;&lt;Year&gt;2014&lt;/Year&gt;&lt;RecNum&gt;1752&lt;/RecNum&gt;&lt;DisplayText&gt;&lt;style face="superscript" font="Trebuchet MS" size="9"&gt;70&lt;/style&gt;&lt;/DisplayText&gt;&lt;record&gt;&lt;rec-number&gt;1752&lt;/rec-number&gt;&lt;foreign-keys&gt;&lt;key app="EN" db-id="exvasrfx2dtraoesasxp2szsxa2df502592x" timestamp="1582516937"&gt;1752&lt;/key&gt;&lt;/foreign-keys&gt;&lt;ref-type name="Journal Article"&gt;17&lt;/ref-type&gt;&lt;contributors&gt;&lt;authors&gt;&lt;author&gt;Miyake, Y.&lt;/author&gt;&lt;author&gt;Tanaka, K.&lt;/author&gt;&lt;author&gt;Okubo, H.&lt;/author&gt;&lt;author&gt;Sasaki, S.&lt;/author&gt;&lt;author&gt;Arakawa, M.&lt;/author&gt;&lt;/authors&gt;&lt;/contributors&gt;&lt;auth-address&gt;Department of Public Health, Ehime University Graduate School of Medicine, Toon, Ehime, Japan. miyake.yoshihiro.ls@ehime-u.ac.jp.&lt;/auth-address&gt;&lt;titles&gt;&lt;title&gt;Seaweed consumption and prevalence of depressive symptoms during pregnancy in Japan: Baseline data from the Kyushu Okinawa Maternal and Child Health Study&lt;/title&gt;&lt;secondary-title&gt;BMC Pregnancy Childbirth&lt;/secondary-title&gt;&lt;/titles&gt;&lt;periodical&gt;&lt;full-title&gt;BMC Pregnancy Childbirth&lt;/full-title&gt;&lt;/periodical&gt;&lt;pages&gt;301&lt;/pages&gt;&lt;volume&gt;14&lt;/volume&gt;&lt;edition&gt;2014/09/05&lt;/edition&gt;&lt;keywords&gt;&lt;keyword&gt;Adult&lt;/keyword&gt;&lt;keyword&gt;Cross-Sectional Studies&lt;/keyword&gt;&lt;keyword&gt;Depression/*epidemiology&lt;/keyword&gt;&lt;keyword&gt;*Feeding Behavior&lt;/keyword&gt;&lt;keyword&gt;Female&lt;/keyword&gt;&lt;keyword&gt;Humans&lt;/keyword&gt;&lt;keyword&gt;Japan/epidemiology&lt;/keyword&gt;&lt;keyword&gt;Pregnancy&lt;/keyword&gt;&lt;keyword&gt;Pregnancy Complications/*epidemiology&lt;/keyword&gt;&lt;keyword&gt;Prevalence&lt;/keyword&gt;&lt;keyword&gt;Psychiatric Status Rating Scales&lt;/keyword&gt;&lt;keyword&gt;*Seaweed&lt;/keyword&gt;&lt;/keywords&gt;&lt;dates&gt;&lt;year&gt;2014&lt;/year&gt;&lt;pub-dates&gt;&lt;date&gt;Sep 3&lt;/date&gt;&lt;/pub-dates&gt;&lt;/dates&gt;&lt;isbn&gt;1471-2393 (Electronic)&amp;#xD;1471-2393 (Linking)&lt;/isbn&gt;&lt;accession-num&gt;25186917&lt;/accession-num&gt;&lt;urls&gt;&lt;related-urls&gt;&lt;url&gt;https://www.ncbi.nlm.nih.gov/pubmed/25186917&lt;/url&gt;&lt;/related-urls&gt;&lt;/urls&gt;&lt;custom2&gt;PMC4161851&lt;/custom2&gt;&lt;electronic-resource-num&gt;10.1186/1471-2393-14-301&lt;/electronic-resource-num&gt;&lt;/record&gt;&lt;/Cite&gt;&lt;/EndNote&gt;</w:instrText>
            </w:r>
            <w:r w:rsidR="00774750">
              <w:fldChar w:fldCharType="separate"/>
            </w:r>
            <w:r w:rsidR="002747EA" w:rsidRPr="002747EA">
              <w:rPr>
                <w:noProof/>
                <w:vertAlign w:val="superscript"/>
              </w:rPr>
              <w:t>70</w:t>
            </w:r>
            <w:r w:rsidR="00774750">
              <w:fldChar w:fldCharType="end"/>
            </w:r>
          </w:p>
          <w:p w14:paraId="3A208822" w14:textId="77777777" w:rsidR="00CD4A09" w:rsidRPr="00532DE7" w:rsidRDefault="00CD4A09" w:rsidP="009A4A8D">
            <w:r w:rsidRPr="00532DE7">
              <w:t>Japan</w:t>
            </w:r>
          </w:p>
          <w:p w14:paraId="2EEACDD6" w14:textId="36C62606" w:rsidR="00CD4A09" w:rsidRPr="00532DE7" w:rsidRDefault="00CD4A09" w:rsidP="009A4A8D">
            <w:r w:rsidRPr="00532DE7">
              <w:t>Cross-section</w:t>
            </w:r>
          </w:p>
        </w:tc>
        <w:tc>
          <w:tcPr>
            <w:tcW w:w="1276" w:type="dxa"/>
          </w:tcPr>
          <w:p w14:paraId="00E7675C" w14:textId="4BFF5DB4" w:rsidR="00CD4A09" w:rsidRPr="00532DE7" w:rsidRDefault="00CD4A09" w:rsidP="009A4A8D">
            <w:r w:rsidRPr="00532DE7">
              <w:t>1,745 women</w:t>
            </w:r>
          </w:p>
        </w:tc>
        <w:tc>
          <w:tcPr>
            <w:tcW w:w="4821" w:type="dxa"/>
          </w:tcPr>
          <w:p w14:paraId="7C4AA391" w14:textId="77777777" w:rsidR="00CD4A09" w:rsidRPr="00532DE7" w:rsidRDefault="00CD4A09" w:rsidP="00CD4A09">
            <w:r w:rsidRPr="00532DE7">
              <w:rPr>
                <w:b/>
              </w:rPr>
              <w:t>Aim</w:t>
            </w:r>
            <w:r w:rsidRPr="00532DE7">
              <w:t xml:space="preserve">: To investigate the association between seaweed consumption and depressive symptoms during pregnancy in Japan. </w:t>
            </w:r>
          </w:p>
          <w:p w14:paraId="4874D504" w14:textId="6823596E" w:rsidR="00CD4A09" w:rsidRPr="00532DE7" w:rsidRDefault="00CD4A09" w:rsidP="00CD4A09">
            <w:pPr>
              <w:rPr>
                <w:b/>
              </w:rPr>
            </w:pPr>
            <w:r w:rsidRPr="00532DE7">
              <w:rPr>
                <w:b/>
              </w:rPr>
              <w:t>Methods</w:t>
            </w:r>
            <w:r w:rsidRPr="00532DE7">
              <w:t xml:space="preserve">: Dietary consumption during the preceding month was assessed using a self-administered diet history questionnaire. Adjustment was made for age; gestation; region of residence; number of children; family structure; history of depression; family history of depression; smoking; </w:t>
            </w:r>
            <w:r w:rsidR="00501148" w:rsidRPr="00532DE7">
              <w:t>second-hand</w:t>
            </w:r>
            <w:r w:rsidRPr="00532DE7">
              <w:t xml:space="preserve"> smoke exposure at home and at work; job type; household income; education; body mass index; and intake of fish and yogurt. </w:t>
            </w:r>
          </w:p>
        </w:tc>
        <w:tc>
          <w:tcPr>
            <w:tcW w:w="4536" w:type="dxa"/>
          </w:tcPr>
          <w:p w14:paraId="13D16C05" w14:textId="77777777" w:rsidR="00CD4A09" w:rsidRPr="00532DE7" w:rsidRDefault="00CD4A09" w:rsidP="00CD4A09">
            <w:r w:rsidRPr="00532DE7">
              <w:t xml:space="preserve">After adjustment for possible dietary and non-dietary confounding factors, higher seaweed consumption was independently associated with a lower prevalence of depressive symptoms during pregnancy: </w:t>
            </w:r>
          </w:p>
          <w:p w14:paraId="3BEF1963" w14:textId="4427387C" w:rsidR="00CD4A09" w:rsidRPr="00532DE7" w:rsidRDefault="00CD4A09" w:rsidP="00CD4A09">
            <w:r w:rsidRPr="00532DE7">
              <w:t>2</w:t>
            </w:r>
            <w:r w:rsidRPr="00532DE7">
              <w:rPr>
                <w:vertAlign w:val="superscript"/>
              </w:rPr>
              <w:t>nd</w:t>
            </w:r>
            <w:r w:rsidRPr="00532DE7">
              <w:t xml:space="preserve"> quartile: aOR 0.72 (0.51 to 1.004)</w:t>
            </w:r>
          </w:p>
          <w:p w14:paraId="34A2C5B2" w14:textId="307FBB6E" w:rsidR="00CD4A09" w:rsidRPr="00532DE7" w:rsidRDefault="00CD4A09" w:rsidP="00CD4A09">
            <w:r w:rsidRPr="00532DE7">
              <w:t>3</w:t>
            </w:r>
            <w:r w:rsidRPr="00532DE7">
              <w:rPr>
                <w:vertAlign w:val="superscript"/>
              </w:rPr>
              <w:t>rd</w:t>
            </w:r>
            <w:r w:rsidRPr="00532DE7">
              <w:t xml:space="preserve"> quartile: aOR 0.71 (0.50 to 1.01)</w:t>
            </w:r>
          </w:p>
          <w:p w14:paraId="451CD4D1" w14:textId="02DFF425" w:rsidR="00CD4A09" w:rsidRPr="00CD4A09" w:rsidRDefault="00CD4A09" w:rsidP="00CD4A09">
            <w:r w:rsidRPr="00532DE7">
              <w:t>4</w:t>
            </w:r>
            <w:r w:rsidRPr="00532DE7">
              <w:rPr>
                <w:vertAlign w:val="superscript"/>
              </w:rPr>
              <w:t>th</w:t>
            </w:r>
            <w:r w:rsidRPr="00532DE7">
              <w:t xml:space="preserve"> quartile: aOR 0.68 (0.47 to 0.96)</w:t>
            </w:r>
          </w:p>
        </w:tc>
        <w:tc>
          <w:tcPr>
            <w:tcW w:w="1842" w:type="dxa"/>
          </w:tcPr>
          <w:p w14:paraId="7E1D3D79" w14:textId="77777777" w:rsidR="00CD4A09" w:rsidRPr="00C17B92" w:rsidRDefault="00CD4A09" w:rsidP="009A4A8D"/>
        </w:tc>
      </w:tr>
      <w:tr w:rsidR="00240153" w:rsidRPr="00C17B92" w14:paraId="69ADAF92" w14:textId="77777777" w:rsidTr="00710F4F">
        <w:trPr>
          <w:cantSplit/>
          <w:trHeight w:val="390"/>
        </w:trPr>
        <w:tc>
          <w:tcPr>
            <w:tcW w:w="1417" w:type="dxa"/>
          </w:tcPr>
          <w:p w14:paraId="075D441E" w14:textId="42E5C397" w:rsidR="00240153" w:rsidRPr="00532DE7" w:rsidRDefault="005157BB" w:rsidP="009A4A8D">
            <w:r w:rsidRPr="00532DE7">
              <w:t>Viljoen et al 2018</w:t>
            </w:r>
            <w:r w:rsidR="00774750">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 </w:instrText>
            </w:r>
            <w:r w:rsidR="002747EA">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74</w:t>
            </w:r>
            <w:r w:rsidR="00774750">
              <w:fldChar w:fldCharType="end"/>
            </w:r>
          </w:p>
          <w:p w14:paraId="23AEAA40" w14:textId="77777777" w:rsidR="005157BB" w:rsidRPr="00532DE7" w:rsidRDefault="005157BB" w:rsidP="009A4A8D">
            <w:r w:rsidRPr="00532DE7">
              <w:t>Ireland</w:t>
            </w:r>
          </w:p>
          <w:p w14:paraId="133BC9EF" w14:textId="13D99415" w:rsidR="005157BB" w:rsidRPr="00532DE7" w:rsidRDefault="005157BB" w:rsidP="009A4A8D">
            <w:r w:rsidRPr="00532DE7">
              <w:t>Cohort</w:t>
            </w:r>
          </w:p>
        </w:tc>
        <w:tc>
          <w:tcPr>
            <w:tcW w:w="1276" w:type="dxa"/>
          </w:tcPr>
          <w:p w14:paraId="77BE98BB" w14:textId="39287427" w:rsidR="00240153" w:rsidRPr="00532DE7" w:rsidRDefault="009D2297" w:rsidP="009A4A8D">
            <w:r w:rsidRPr="00532DE7">
              <w:t>897 mother-child pairs</w:t>
            </w:r>
          </w:p>
        </w:tc>
        <w:tc>
          <w:tcPr>
            <w:tcW w:w="4821" w:type="dxa"/>
          </w:tcPr>
          <w:p w14:paraId="2F8E673F" w14:textId="77777777" w:rsidR="00A11544" w:rsidRPr="00532DE7" w:rsidRDefault="009D2297" w:rsidP="00A11544">
            <w:r w:rsidRPr="00532DE7">
              <w:rPr>
                <w:b/>
              </w:rPr>
              <w:t>Aim</w:t>
            </w:r>
            <w:r w:rsidRPr="00532DE7">
              <w:t xml:space="preserve">: To establish whether vegetable, oily fish and vitamin D intake during pregnancy are associated with childhood asthma risk over a 10-year period. </w:t>
            </w:r>
          </w:p>
          <w:p w14:paraId="65F64600" w14:textId="64660762" w:rsidR="00240153" w:rsidRPr="00532DE7" w:rsidRDefault="00A11544" w:rsidP="00977A9A">
            <w:pPr>
              <w:rPr>
                <w:b/>
              </w:rPr>
            </w:pPr>
            <w:r w:rsidRPr="00532DE7">
              <w:rPr>
                <w:b/>
              </w:rPr>
              <w:t>Methods</w:t>
            </w:r>
            <w:r w:rsidR="009D2297" w:rsidRPr="00532DE7">
              <w:t xml:space="preserve">: Mother-child pairs with data on nutrient intake during pregnancy and asthma status, respectively, were </w:t>
            </w:r>
            <w:r w:rsidRPr="00532DE7">
              <w:t>included</w:t>
            </w:r>
            <w:r w:rsidR="009D2297" w:rsidRPr="00532DE7">
              <w:t xml:space="preserve"> in the analysis. Data on socioeconomic and morbidity indicators over 10 years of follow-up on mothers and the index child were collected through self-administered questionnaires. </w:t>
            </w:r>
          </w:p>
        </w:tc>
        <w:tc>
          <w:tcPr>
            <w:tcW w:w="4536" w:type="dxa"/>
          </w:tcPr>
          <w:p w14:paraId="33E868CF" w14:textId="01061388" w:rsidR="00977A9A" w:rsidRPr="005157BB" w:rsidRDefault="00977A9A" w:rsidP="00977A9A">
            <w:r w:rsidRPr="00532DE7">
              <w:t>A</w:t>
            </w:r>
            <w:r w:rsidR="005157BB" w:rsidRPr="00532DE7">
              <w:t>sthma was inversely associated with higher daily average intake of vegetables (OR 0.96 per serving/day, 95% CI 0.88 to 1.05).</w:t>
            </w:r>
            <w:r w:rsidR="005157BB" w:rsidRPr="005157BB">
              <w:t xml:space="preserve"> </w:t>
            </w:r>
          </w:p>
        </w:tc>
        <w:tc>
          <w:tcPr>
            <w:tcW w:w="1842" w:type="dxa"/>
          </w:tcPr>
          <w:p w14:paraId="76099BDF" w14:textId="77777777" w:rsidR="00240153" w:rsidRPr="00C17B92" w:rsidRDefault="00240153" w:rsidP="009A4A8D"/>
        </w:tc>
      </w:tr>
      <w:tr w:rsidR="00661A0E" w:rsidRPr="00C8357D" w14:paraId="7820FD3E"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AA4E68" w14:textId="4E39854F" w:rsidR="00661A0E" w:rsidRDefault="00661A0E" w:rsidP="002F1844">
            <w:r>
              <w:t>Alvarez Zallo et al 2018</w:t>
            </w:r>
            <w:r>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52</w:t>
            </w:r>
            <w:r>
              <w:fldChar w:fldCharType="end"/>
            </w:r>
          </w:p>
          <w:p w14:paraId="1F8EB07E" w14:textId="77777777" w:rsidR="00661A0E" w:rsidRDefault="00661A0E" w:rsidP="002F1844">
            <w:r>
              <w:t>Europe and Latin America</w:t>
            </w:r>
          </w:p>
          <w:p w14:paraId="40159AE7" w14:textId="77777777" w:rsidR="00661A0E" w:rsidRDefault="00661A0E" w:rsidP="002F1844">
            <w:r w:rsidRPr="00000A5C">
              <w:t>International Study of Wheezing in Infants</w:t>
            </w:r>
          </w:p>
          <w:p w14:paraId="17E4748D" w14:textId="77777777" w:rsidR="00661A0E" w:rsidRPr="00814460" w:rsidRDefault="00661A0E" w:rsidP="002F1844">
            <w:r>
              <w:t>Cross-section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7F687" w14:textId="77777777" w:rsidR="00661A0E" w:rsidRDefault="00661A0E" w:rsidP="002F1844">
            <w:r>
              <w:t>1,087 infants 12-15 months of age</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996072" w14:textId="77777777" w:rsidR="00661A0E" w:rsidRDefault="00661A0E" w:rsidP="002F1844">
            <w:r>
              <w:rPr>
                <w:b/>
              </w:rPr>
              <w:t xml:space="preserve">Aim: </w:t>
            </w:r>
            <w:r>
              <w:t>To examine</w:t>
            </w:r>
            <w:r w:rsidRPr="00000A5C">
              <w:t xml:space="preserve"> the relationship between different food groups and the adherence to a Mediterranean diet during pregnancy and the risk of wheezing and eczema in children aged 12-15 months. </w:t>
            </w:r>
          </w:p>
          <w:p w14:paraId="5E15F996" w14:textId="77777777" w:rsidR="00661A0E" w:rsidRDefault="00661A0E" w:rsidP="002F1844">
            <w:pPr>
              <w:rPr>
                <w:b/>
              </w:rPr>
            </w:pPr>
            <w:r w:rsidRPr="00000A5C">
              <w:rPr>
                <w:b/>
              </w:rPr>
              <w:t>Methods</w:t>
            </w:r>
            <w:r w:rsidRPr="00000A5C">
              <w:t xml:space="preserve">: </w:t>
            </w:r>
            <w:r>
              <w:t>T</w:t>
            </w:r>
            <w:r w:rsidRPr="00000A5C">
              <w:t xml:space="preserve">he study of the association of the different food consumption and Mediterranean diet with wheezing, recurrent wheezing and eczema was performed using different models of unconditional logistic regression to obtain adjusted prevalence odds ratios (OR) and 95% confidence intervals (95% CI).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4D938" w14:textId="77777777" w:rsidR="00661A0E" w:rsidRDefault="00661A0E" w:rsidP="002F1844">
            <w:r>
              <w:t>H</w:t>
            </w:r>
            <w:r w:rsidRPr="00000A5C">
              <w:t>igh fruit cons</w:t>
            </w:r>
            <w:r>
              <w:t>umption during the pregnancy had</w:t>
            </w:r>
            <w:r w:rsidRPr="00000A5C">
              <w:t xml:space="preserve"> a protective effect against "wheezing" in 12-month-old infants (OR: 0.44 [0.20</w:t>
            </w:r>
            <w:r>
              <w:t xml:space="preserve"> to </w:t>
            </w:r>
            <w:r w:rsidRPr="00000A5C">
              <w:t xml:space="preserve">0.99]). </w:t>
            </w:r>
          </w:p>
          <w:p w14:paraId="16DDF823" w14:textId="77777777" w:rsidR="00661A0E" w:rsidRPr="00000A5C" w:rsidRDefault="00661A0E" w:rsidP="002F1844"/>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5126E" w14:textId="77777777" w:rsidR="00661A0E" w:rsidRPr="00C8357D" w:rsidRDefault="00661A0E" w:rsidP="002F1844"/>
        </w:tc>
      </w:tr>
      <w:tr w:rsidR="00661A0E" w:rsidRPr="00C8357D" w14:paraId="51DD7909"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03A52" w14:textId="6DF1398D" w:rsidR="00661A0E" w:rsidRDefault="00661A0E" w:rsidP="002F1844">
            <w:r>
              <w:t>Chia et al 2016</w:t>
            </w:r>
            <w:r>
              <w:fldChar w:fldCharType="begin"/>
            </w:r>
            <w:r w:rsidR="002747EA">
              <w:instrText xml:space="preserve"> ADDIN EN.CITE &lt;EndNote&gt;&lt;Cite&gt;&lt;Author&gt;Chia&lt;/Author&gt;&lt;Year&gt;2016&lt;/Year&gt;&lt;RecNum&gt;1394&lt;/RecNum&gt;&lt;DisplayText&gt;&lt;style face="superscript" font="Trebuchet MS" size="9"&gt;68&lt;/style&gt;&lt;/DisplayText&gt;&lt;record&gt;&lt;rec-number&gt;1394&lt;/rec-number&gt;&lt;foreign-keys&gt;&lt;key app="EN" db-id="exvasrfx2dtraoesasxp2szsxa2df502592x" timestamp="1567924413"&gt;1394&lt;/key&gt;&lt;key app="ENWeb" db-id=""&gt;0&lt;/key&gt;&lt;/foreign-keys&gt;&lt;ref-type name="Journal Article"&gt;17&lt;/ref-type&gt;&lt;contributors&gt;&lt;authors&gt;&lt;author&gt;Chia, Ai-Ru&lt;/author&gt;&lt;author&gt;de Seymour, Jamie V.&lt;/author&gt;&lt;author&gt;Colega, Marjorelee&lt;/author&gt;&lt;author&gt;Chen, Ling-Wei&lt;/author&gt;&lt;author&gt;Chan, Yiong-Huak&lt;/author&gt;&lt;author&gt;Aris, Izzuddin M.&lt;/author&gt;&lt;author&gt;Tint, Mya-Thway&lt;/author&gt;&lt;author&gt;Quah, Phaik Ling&lt;/author&gt;&lt;author&gt;Godfrey, Keith M.&lt;/author&gt;&lt;author&gt;Yap, Fabian&lt;/author&gt;&lt;author&gt;Saw, Seang-Mei&lt;/author&gt;&lt;author&gt;Baker, Philip N.&lt;/author&gt;&lt;author&gt;Chong, Yap-Seng&lt;/author&gt;&lt;author&gt;van Dam, Rob M.&lt;/author&gt;&lt;author&gt;Lee, Yung Seng&lt;/author&gt;&lt;author&gt;Chong, Mary Foong-Fong&lt;/author&gt;&lt;/authors&gt;&lt;/contributors&gt;&lt;titles&gt;&lt;title&gt;A vegetable, fruit, and white rice dietary pattern during pregnancy is associated with a lower risk of preterm birth and larger birth size in a multiethnic Asian cohort: the Growing Up in Singapore Towards healthy Outcomes (GUSTO) cohort study&lt;/title&gt;&lt;secondary-title&gt;The American Journal of Clinical Nutrition&lt;/secondary-title&gt;&lt;/titles&gt;&lt;periodical&gt;&lt;full-title&gt;The American Journal of Clinical Nutrition&lt;/full-title&gt;&lt;/periodical&gt;&lt;pages&gt;1416-1423&lt;/pages&gt;&lt;volume&gt;104&lt;/volume&gt;&lt;number&gt;5&lt;/number&gt;&lt;section&gt;1416&lt;/section&gt;&lt;dates&gt;&lt;year&gt;2016&lt;/year&gt;&lt;/dates&gt;&lt;isbn&gt;0002-9165&amp;#xD;1938-3207&lt;/isbn&gt;&lt;urls&gt;&lt;/urls&gt;&lt;electronic-resource-num&gt;10.3945/ajcn.116.133892&lt;/electronic-resource-num&gt;&lt;/record&gt;&lt;/Cite&gt;&lt;/EndNote&gt;</w:instrText>
            </w:r>
            <w:r>
              <w:fldChar w:fldCharType="separate"/>
            </w:r>
            <w:r w:rsidR="002747EA" w:rsidRPr="002747EA">
              <w:rPr>
                <w:noProof/>
                <w:vertAlign w:val="superscript"/>
              </w:rPr>
              <w:t>68</w:t>
            </w:r>
            <w:r>
              <w:fldChar w:fldCharType="end"/>
            </w:r>
          </w:p>
          <w:p w14:paraId="31EA2CF0" w14:textId="77777777" w:rsidR="00661A0E" w:rsidRDefault="00661A0E" w:rsidP="002F1844">
            <w:r>
              <w:t>Singapore</w:t>
            </w:r>
          </w:p>
          <w:p w14:paraId="7FCAC229" w14:textId="77777777" w:rsidR="00661A0E" w:rsidRDefault="00661A0E" w:rsidP="002F1844">
            <w:r>
              <w:t>Cohort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789F8" w14:textId="77777777" w:rsidR="00661A0E" w:rsidRDefault="00661A0E" w:rsidP="002F1844">
            <w:r>
              <w:t>923 infants</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C4B84D" w14:textId="77777777" w:rsidR="00661A0E" w:rsidRDefault="00661A0E" w:rsidP="003231EE">
            <w:r w:rsidRPr="003231EE">
              <w:rPr>
                <w:b/>
              </w:rPr>
              <w:t>Aim</w:t>
            </w:r>
            <w:r>
              <w:t xml:space="preserve">: To characterise </w:t>
            </w:r>
            <w:r w:rsidRPr="003231EE">
              <w:t>maternal dietary patterns in Asian</w:t>
            </w:r>
            <w:r>
              <w:t xml:space="preserve"> pregnant women and examine</w:t>
            </w:r>
            <w:r w:rsidRPr="003231EE">
              <w:t xml:space="preserve"> their associations with the risk of</w:t>
            </w:r>
            <w:r>
              <w:t xml:space="preserve"> </w:t>
            </w:r>
            <w:r w:rsidRPr="003231EE">
              <w:t>preterm birth and offspring birth size.</w:t>
            </w:r>
            <w:r>
              <w:t xml:space="preserve"> </w:t>
            </w:r>
          </w:p>
          <w:p w14:paraId="37DF2735" w14:textId="77777777" w:rsidR="00661A0E" w:rsidRPr="001C127C" w:rsidRDefault="00661A0E" w:rsidP="00710F4F">
            <w:pPr>
              <w:rPr>
                <w:b/>
              </w:rPr>
            </w:pPr>
            <w:r w:rsidRPr="003231EE">
              <w:rPr>
                <w:b/>
              </w:rPr>
              <w:t>Methods</w:t>
            </w:r>
            <w:r w:rsidRPr="003231EE">
              <w:t>: At 26–28 wk of gestation, 24-h recalls and 3-d food diaries</w:t>
            </w:r>
            <w:r>
              <w:t xml:space="preserve"> </w:t>
            </w:r>
            <w:r w:rsidRPr="003231EE">
              <w:t xml:space="preserve">were collected from women </w:t>
            </w:r>
            <w:r>
              <w:t>and d</w:t>
            </w:r>
            <w:r w:rsidRPr="003231EE">
              <w:t>ietary patterns</w:t>
            </w:r>
            <w:r>
              <w:t xml:space="preserve"> </w:t>
            </w:r>
            <w:r w:rsidRPr="003231EE">
              <w:t>derived from exploratory factor analysis. Associations were assessed by logistic and linear</w:t>
            </w:r>
            <w:r>
              <w:t xml:space="preserve"> </w:t>
            </w:r>
            <w:r w:rsidRPr="003231EE">
              <w:t>regressions with adjustment for confounding factors.</w:t>
            </w:r>
            <w:r>
              <w:t xml:space="preserve"> </w:t>
            </w:r>
            <w:r w:rsidRPr="003231EE">
              <w:t>Results: Three maternal dietary patterns were identified: vegetable,</w:t>
            </w:r>
            <w:r>
              <w:t xml:space="preserve"> </w:t>
            </w:r>
            <w:r w:rsidRPr="003231EE">
              <w:t>fruit, and white rice (VFR); seafood and noodle (SfN); and pasta,</w:t>
            </w:r>
            <w:r>
              <w:t xml:space="preserve"> </w:t>
            </w:r>
            <w:r w:rsidRPr="003231EE">
              <w:t xml:space="preserve">cheese, and processed meat (PCP).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FEFCE" w14:textId="77777777" w:rsidR="00661A0E" w:rsidRPr="001C127C" w:rsidRDefault="00661A0E" w:rsidP="003231EE">
            <w:r w:rsidRPr="003231EE">
              <w:t>A greater adherence to the VFR pattern</w:t>
            </w:r>
            <w:r>
              <w:t xml:space="preserve"> </w:t>
            </w:r>
            <w:r w:rsidRPr="003231EE">
              <w:t>(per SD increase in VFR score) was associated with a lower risk of</w:t>
            </w:r>
            <w:r>
              <w:t xml:space="preserve"> preterm birth (OR 0.67; 95% CI: 0.50 to</w:t>
            </w:r>
            <w:r w:rsidRPr="003231EE">
              <w:t xml:space="preserve"> 0.91), higher ponderal index</w:t>
            </w:r>
            <w:r>
              <w:t xml:space="preserve"> </w:t>
            </w:r>
            <w:r w:rsidRPr="003231EE">
              <w:t>(</w:t>
            </w:r>
            <w:r w:rsidRPr="003231EE">
              <w:rPr>
                <w:rFonts w:ascii="Helvetica" w:hAnsi="Helvetica"/>
              </w:rPr>
              <w:t>b</w:t>
            </w:r>
            <w:r w:rsidRPr="003231EE">
              <w:t>: 0.26 kg/m</w:t>
            </w:r>
            <w:r w:rsidRPr="003231EE">
              <w:rPr>
                <w:rFonts w:eastAsiaTheme="majorEastAsia"/>
                <w:sz w:val="9"/>
                <w:szCs w:val="9"/>
              </w:rPr>
              <w:t xml:space="preserve">3 </w:t>
            </w:r>
            <w:r w:rsidRPr="003231EE">
              <w:t>; 95% CI: 0.06, 0.45 kg/m</w:t>
            </w:r>
            <w:r w:rsidRPr="003231EE">
              <w:rPr>
                <w:rFonts w:eastAsiaTheme="majorEastAsia"/>
                <w:sz w:val="9"/>
                <w:szCs w:val="9"/>
              </w:rPr>
              <w:t>3</w:t>
            </w:r>
            <w:r w:rsidRPr="003231EE">
              <w:t>), and increased risk of</w:t>
            </w:r>
            <w:r>
              <w:t xml:space="preserve"> </w:t>
            </w:r>
            <w:r w:rsidRPr="003231EE">
              <w:t>a larg</w:t>
            </w:r>
            <w:r>
              <w:t>e-for-gestational-age birth (RR</w:t>
            </w:r>
            <w:r w:rsidRPr="003231EE">
              <w:t xml:space="preserve"> 1.</w:t>
            </w:r>
            <w:r>
              <w:t>31; 95% CI: 1.06 to 1.62).</w:t>
            </w:r>
          </w:p>
          <w:p w14:paraId="3DCF5341" w14:textId="77777777" w:rsidR="00661A0E" w:rsidRPr="001C127C" w:rsidRDefault="00661A0E" w:rsidP="00961505"/>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B9BEE7" w14:textId="77777777" w:rsidR="00661A0E" w:rsidRPr="00C8357D" w:rsidRDefault="00661A0E" w:rsidP="002F1844"/>
        </w:tc>
      </w:tr>
      <w:tr w:rsidR="00661A0E" w:rsidRPr="00C8357D" w14:paraId="0407FE2C"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79354C" w14:textId="2357F34E" w:rsidR="00661A0E" w:rsidRDefault="00661A0E" w:rsidP="002F1844">
            <w:r>
              <w:t>Dessypris et al 2017</w:t>
            </w:r>
            <w:r>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 </w:instrText>
            </w:r>
            <w:r w:rsidR="002747EA">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75</w:t>
            </w:r>
            <w:r>
              <w:fldChar w:fldCharType="end"/>
            </w:r>
          </w:p>
          <w:p w14:paraId="1CFE7516" w14:textId="77777777" w:rsidR="00661A0E" w:rsidRDefault="00661A0E" w:rsidP="002F1844">
            <w:r>
              <w:t>SLR of case-control studies</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E839D" w14:textId="77777777" w:rsidR="00661A0E" w:rsidRDefault="00661A0E" w:rsidP="002F1844">
            <w:r>
              <w:t>2 studies</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C07D6" w14:textId="77777777" w:rsidR="00661A0E" w:rsidRDefault="00661A0E" w:rsidP="001C127C">
            <w:r w:rsidRPr="001C127C">
              <w:rPr>
                <w:b/>
              </w:rPr>
              <w:t>Aim</w:t>
            </w:r>
            <w:r>
              <w:t>: To quantitatively synthesis</w:t>
            </w:r>
            <w:r w:rsidRPr="001C127C">
              <w:t>e published data on the association of maternal/child diet with leuk</w:t>
            </w:r>
            <w:r>
              <w:t>a</w:t>
            </w:r>
            <w:r w:rsidRPr="001C127C">
              <w:t xml:space="preserve">emia risk. </w:t>
            </w:r>
          </w:p>
          <w:p w14:paraId="3A756280" w14:textId="77777777" w:rsidR="00661A0E" w:rsidRPr="000505E7" w:rsidRDefault="00661A0E" w:rsidP="001C127C">
            <w:pPr>
              <w:rPr>
                <w:b/>
              </w:rPr>
            </w:pPr>
            <w:r w:rsidRPr="001C127C">
              <w:rPr>
                <w:b/>
              </w:rPr>
              <w:t>Methods</w:t>
            </w:r>
            <w:r w:rsidRPr="001C127C">
              <w:t>: Medline was searched until June 30th, 2016 for eligible articles on the association of childhood leuk</w:t>
            </w:r>
            <w:r>
              <w:t>a</w:t>
            </w:r>
            <w:r w:rsidRPr="001C127C">
              <w:t>emia with consumption of (i) food groups, excluding alcoholic and non-alcoholic beverages, and (ii) specific dietary supplements before/during index pregnancy and childhood.</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0A676" w14:textId="77777777" w:rsidR="00661A0E" w:rsidRPr="001C127C" w:rsidRDefault="00661A0E" w:rsidP="00961505">
            <w:r w:rsidRPr="001C127C">
              <w:t xml:space="preserve">Statistically significant inverse estimates for </w:t>
            </w:r>
            <w:r>
              <w:t>leukaemia</w:t>
            </w:r>
            <w:r w:rsidRPr="001C127C">
              <w:t xml:space="preserve"> were found (2 studies, 413 cases, 490 controls) fo</w:t>
            </w:r>
            <w:r>
              <w:t>r fruit (OR: 0.81, 95% CI: 0.67 to</w:t>
            </w:r>
            <w:r w:rsidRPr="001C127C">
              <w:t xml:space="preserve"> 0.99); vegetables </w:t>
            </w:r>
            <w:r>
              <w:t xml:space="preserve">(OR: 0.51, 95% CI: 0.28 to 0.94) and </w:t>
            </w:r>
            <w:r w:rsidRPr="001C127C">
              <w:t>legumes</w:t>
            </w:r>
            <w:r>
              <w:t xml:space="preserve"> (OR: 0.76, 95% CI: 0.62 to 0.94).</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0ECE2A" w14:textId="77777777" w:rsidR="00661A0E" w:rsidRPr="00C8357D" w:rsidRDefault="00661A0E" w:rsidP="002F1844"/>
        </w:tc>
      </w:tr>
      <w:tr w:rsidR="00661A0E" w:rsidRPr="00C8357D" w14:paraId="526DD794"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E9A74" w14:textId="7B329FA2" w:rsidR="00661A0E" w:rsidRDefault="00661A0E" w:rsidP="004B2F20">
            <w:r>
              <w:t>Duke et al 2017</w:t>
            </w:r>
            <w:r>
              <w:fldChar w:fldCharType="begin">
                <w:fldData xml:space="preserve">PEVuZE5vdGU+PENpdGU+PEF1dGhvcj5EdWtlPC9BdXRob3I+PFllYXI+MjAxNzwvWWVhcj48UmVj
TnVtPjEzNTg8L1JlY051bT48RGlzcGxheVRleHQ+PHN0eWxlIGZhY2U9InN1cGVyc2NyaXB0IiBm
b250PSJUcmVidWNoZXQgTVMiIHNpemU9IjkiPjcxPC9zdHlsZT48L0Rpc3BsYXlUZXh0PjxyZWNv
cmQ+PHJlYy1udW1iZXI+MTM1ODwvcmVjLW51bWJlcj48Zm9yZWlnbi1rZXlzPjxrZXkgYXBwPSJF
TiIgZGItaWQ9ImV4dmFzcmZ4MmR0cmFvZXNhc3hwMnN6c3hhMmRmNTAyNTkyeCIgdGltZXN0YW1w
PSIxNTY3MDMxMDQwIj4xMzU4PC9rZXk+PGtleSBhcHA9IkVOV2ViIiBkYi1pZD0iIj4wPC9rZXk+
PC9mb3JlaWduLWtleXM+PHJlZi10eXBlIG5hbWU9IkpvdXJuYWwgQXJ0aWNsZSI+MTc8L3JlZi10
eXBlPjxjb250cmlidXRvcnM+PGF1dGhvcnM+PGF1dGhvcj5EdWtlLCBDLiBILjwvYXV0aG9yPjxh
dXRob3I+V2lsbGlhbXNvbiwgSi4gQS48L2F1dGhvcj48YXV0aG9yPlNub29rLCBLLiBSLjwvYXV0
aG9yPjxhdXRob3I+RmluY2gsIEsuIEMuPC9hdXRob3I+PGF1dGhvcj5TdWxsaXZhbiwgSy4gTC48
L2F1dGhvcj48L2F1dGhvcnM+PC9jb250cmlidXRvcnM+PGF1dGgtYWRkcmVzcz5EZXBhcnRtZW50
IG9mIEVwaWRlbWlvbG9neSwgSmlhbm4tUGluZyBIc3UgQ29sbGVnZSBvZiBQdWJsaWMgSGVhbHRo
LCBHZW9yZ2lhIFNvdXRoZXJuIFVuaXZlcnNpdHksIFBPIEJveCA4MDE1LCBTdGF0ZXNib3JvLCBH
QSwgMzA0NjAsIFVTQS4mI3hEO0RlcGFydG1lbnQgb2YgRXBpZGVtaW9sb2d5LCBKaWFubi1QaW5n
IEhzdSBDb2xsZWdlIG9mIFB1YmxpYyBIZWFsdGgsIEdlb3JnaWEgU291dGhlcm4gVW5pdmVyc2l0
eSwgUE8gQm94IDgwMTUsIFN0YXRlc2Jvcm8sIEdBLCAzMDQ2MCwgVVNBLiBLZWxseS5TdWxsaXZh
bi5QaERAZ21haWwuY29tLjwvYXV0aC1hZGRyZXNzPjx0aXRsZXM+PHRpdGxlPkFzc29jaWF0aW9u
IGJldHdlZW4gZnJ1aXQgYW5kIHZlZ2V0YWJsZSBjb25zdW1wdGlvbiBhbmQgc2xlZXAgcXVhbnRp
dHkgaW4gcHJlZ25hbnQgd29tZW48L3RpdGxlPjxzZWNvbmRhcnktdGl0bGU+TWF0ZXJuIENoaWxk
IEhlYWx0aCBKPC9zZWNvbmRhcnktdGl0bGU+PC90aXRsZXM+PHBlcmlvZGljYWw+PGZ1bGwtdGl0
bGU+TWF0ZXJuIENoaWxkIEhlYWx0aCBKPC9mdWxsLXRpdGxlPjwvcGVyaW9kaWNhbD48cGFnZXM+
OTY2LTk3MzwvcGFnZXM+PHZvbHVtZT4yMTwvdm9sdW1lPjxudW1iZXI+NTwvbnVtYmVyPjxlZGl0
aW9uPjIwMTcvMDEvMTQ8L2VkaXRpb24+PGtleXdvcmRzPjxrZXl3b3JkPkFkb2xlc2NlbnQ8L2tl
eXdvcmQ+PGtleXdvcmQ+QWR1bHQ8L2tleXdvcmQ+PGtleXdvcmQ+RmVtYWxlPC9rZXl3b3JkPjxr
ZXl3b3JkPipGcnVpdDwva2V5d29yZD48a2V5d29yZD5IZWFsdGh5IERpZXQvKnN0YW5kYXJkczwv
a2V5d29yZD48a2V5d29yZD5IdW1hbnM8L2tleXdvcmQ+PGtleXdvcmQ+UHJlZ25hbmN5PC9rZXl3
b3JkPjxrZXl3b3JkPlNsZWVwLypwaHlzaW9sb2d5PC9rZXl3b3JkPjxrZXl3b3JkPipUaW1lIEZh
Y3RvcnM8L2tleXdvcmQ+PGtleXdvcmQ+KlZlZ2V0YWJsZXM8L2tleXdvcmQ+PGtleXdvcmQ+KkRp
ZXQ8L2tleXdvcmQ+PGtleXdvcmQ+KkV4ZXJjaXNlPC9rZXl3b3JkPjxrZXl3b3JkPipGcnVpdHM8
L2tleXdvcmQ+PGtleXdvcmQ+Kk1hdGVybmFsIGhlYWx0aDwva2V5d29yZD48L2tleXdvcmRzPjxk
YXRlcz48eWVhcj4yMDE3PC95ZWFyPjxwdWItZGF0ZXM+PGRhdGU+TWF5PC9kYXRlPjwvcHViLWRh
dGVzPjwvZGF0ZXM+PGlzYm4+MTU3My02NjI4IChFbGVjdHJvbmljKSYjeEQ7MTA5Mi03ODc1IChM
aW5raW5nKTwvaXNibj48YWNjZXNzaW9uLW51bT4yODA4MzczMjwvYWNjZXNzaW9uLW51bT48dXJs
cz48cmVsYXRlZC11cmxzPjx1cmw+aHR0cHM6Ly93d3cubmNiaS5ubG0ubmloLmdvdi9wdWJtZWQv
MjgwODM3MzI8L3VybD48L3JlbGF0ZWQtdXJscz48L3VybHM+PGVsZWN0cm9uaWMtcmVzb3VyY2Ut
bnVtPjEwLjEwMDcvczEwOTk1LTAxNi0yMjQ3LXk8L2VsZWN0cm9uaWMtcmVzb3VyY2UtbnVtPjwv
cmVjb3JkPjwvQ2l0ZT48L0VuZE5vdGU+
</w:fldData>
              </w:fldChar>
            </w:r>
            <w:r w:rsidR="002747EA">
              <w:instrText xml:space="preserve"> ADDIN EN.CITE </w:instrText>
            </w:r>
            <w:r w:rsidR="002747EA">
              <w:fldChar w:fldCharType="begin">
                <w:fldData xml:space="preserve">PEVuZE5vdGU+PENpdGU+PEF1dGhvcj5EdWtlPC9BdXRob3I+PFllYXI+MjAxNzwvWWVhcj48UmVj
TnVtPjEzNTg8L1JlY051bT48RGlzcGxheVRleHQ+PHN0eWxlIGZhY2U9InN1cGVyc2NyaXB0IiBm
b250PSJUcmVidWNoZXQgTVMiIHNpemU9IjkiPjcxPC9zdHlsZT48L0Rpc3BsYXlUZXh0PjxyZWNv
cmQ+PHJlYy1udW1iZXI+MTM1ODwvcmVjLW51bWJlcj48Zm9yZWlnbi1rZXlzPjxrZXkgYXBwPSJF
TiIgZGItaWQ9ImV4dmFzcmZ4MmR0cmFvZXNhc3hwMnN6c3hhMmRmNTAyNTkyeCIgdGltZXN0YW1w
PSIxNTY3MDMxMDQwIj4xMzU4PC9rZXk+PGtleSBhcHA9IkVOV2ViIiBkYi1pZD0iIj4wPC9rZXk+
PC9mb3JlaWduLWtleXM+PHJlZi10eXBlIG5hbWU9IkpvdXJuYWwgQXJ0aWNsZSI+MTc8L3JlZi10
eXBlPjxjb250cmlidXRvcnM+PGF1dGhvcnM+PGF1dGhvcj5EdWtlLCBDLiBILjwvYXV0aG9yPjxh
dXRob3I+V2lsbGlhbXNvbiwgSi4gQS48L2F1dGhvcj48YXV0aG9yPlNub29rLCBLLiBSLjwvYXV0
aG9yPjxhdXRob3I+RmluY2gsIEsuIEMuPC9hdXRob3I+PGF1dGhvcj5TdWxsaXZhbiwgSy4gTC48
L2F1dGhvcj48L2F1dGhvcnM+PC9jb250cmlidXRvcnM+PGF1dGgtYWRkcmVzcz5EZXBhcnRtZW50
IG9mIEVwaWRlbWlvbG9neSwgSmlhbm4tUGluZyBIc3UgQ29sbGVnZSBvZiBQdWJsaWMgSGVhbHRo
LCBHZW9yZ2lhIFNvdXRoZXJuIFVuaXZlcnNpdHksIFBPIEJveCA4MDE1LCBTdGF0ZXNib3JvLCBH
QSwgMzA0NjAsIFVTQS4mI3hEO0RlcGFydG1lbnQgb2YgRXBpZGVtaW9sb2d5LCBKaWFubi1QaW5n
IEhzdSBDb2xsZWdlIG9mIFB1YmxpYyBIZWFsdGgsIEdlb3JnaWEgU291dGhlcm4gVW5pdmVyc2l0
eSwgUE8gQm94IDgwMTUsIFN0YXRlc2Jvcm8sIEdBLCAzMDQ2MCwgVVNBLiBLZWxseS5TdWxsaXZh
bi5QaERAZ21haWwuY29tLjwvYXV0aC1hZGRyZXNzPjx0aXRsZXM+PHRpdGxlPkFzc29jaWF0aW9u
IGJldHdlZW4gZnJ1aXQgYW5kIHZlZ2V0YWJsZSBjb25zdW1wdGlvbiBhbmQgc2xlZXAgcXVhbnRp
dHkgaW4gcHJlZ25hbnQgd29tZW48L3RpdGxlPjxzZWNvbmRhcnktdGl0bGU+TWF0ZXJuIENoaWxk
IEhlYWx0aCBKPC9zZWNvbmRhcnktdGl0bGU+PC90aXRsZXM+PHBlcmlvZGljYWw+PGZ1bGwtdGl0
bGU+TWF0ZXJuIENoaWxkIEhlYWx0aCBKPC9mdWxsLXRpdGxlPjwvcGVyaW9kaWNhbD48cGFnZXM+
OTY2LTk3MzwvcGFnZXM+PHZvbHVtZT4yMTwvdm9sdW1lPjxudW1iZXI+NTwvbnVtYmVyPjxlZGl0
aW9uPjIwMTcvMDEvMTQ8L2VkaXRpb24+PGtleXdvcmRzPjxrZXl3b3JkPkFkb2xlc2NlbnQ8L2tl
eXdvcmQ+PGtleXdvcmQ+QWR1bHQ8L2tleXdvcmQ+PGtleXdvcmQ+RmVtYWxlPC9rZXl3b3JkPjxr
ZXl3b3JkPipGcnVpdDwva2V5d29yZD48a2V5d29yZD5IZWFsdGh5IERpZXQvKnN0YW5kYXJkczwv
a2V5d29yZD48a2V5d29yZD5IdW1hbnM8L2tleXdvcmQ+PGtleXdvcmQ+UHJlZ25hbmN5PC9rZXl3
b3JkPjxrZXl3b3JkPlNsZWVwLypwaHlzaW9sb2d5PC9rZXl3b3JkPjxrZXl3b3JkPipUaW1lIEZh
Y3RvcnM8L2tleXdvcmQ+PGtleXdvcmQ+KlZlZ2V0YWJsZXM8L2tleXdvcmQ+PGtleXdvcmQ+KkRp
ZXQ8L2tleXdvcmQ+PGtleXdvcmQ+KkV4ZXJjaXNlPC9rZXl3b3JkPjxrZXl3b3JkPipGcnVpdHM8
L2tleXdvcmQ+PGtleXdvcmQ+Kk1hdGVybmFsIGhlYWx0aDwva2V5d29yZD48L2tleXdvcmRzPjxk
YXRlcz48eWVhcj4yMDE3PC95ZWFyPjxwdWItZGF0ZXM+PGRhdGU+TWF5PC9kYXRlPjwvcHViLWRh
dGVzPjwvZGF0ZXM+PGlzYm4+MTU3My02NjI4IChFbGVjdHJvbmljKSYjeEQ7MTA5Mi03ODc1IChM
aW5raW5nKTwvaXNibj48YWNjZXNzaW9uLW51bT4yODA4MzczMjwvYWNjZXNzaW9uLW51bT48dXJs
cz48cmVsYXRlZC11cmxzPjx1cmw+aHR0cHM6Ly93d3cubmNiaS5ubG0ubmloLmdvdi9wdWJtZWQv
MjgwODM3MzI8L3VybD48L3JlbGF0ZWQtdXJscz48L3VybHM+PGVsZWN0cm9uaWMtcmVzb3VyY2Ut
bnVtPjEwLjEwMDcvczEwOTk1LTAxNi0yMjQ3LXk8L2VsZWN0cm9uaWMtcmVzb3VyY2UtbnVtPjwv
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71</w:t>
            </w:r>
            <w:r>
              <w:fldChar w:fldCharType="end"/>
            </w:r>
          </w:p>
          <w:p w14:paraId="62681E05" w14:textId="77777777" w:rsidR="00661A0E" w:rsidRDefault="00661A0E" w:rsidP="004B2F20">
            <w:r>
              <w:t>Cohort</w:t>
            </w:r>
          </w:p>
          <w:p w14:paraId="4F548367" w14:textId="77777777" w:rsidR="00661A0E" w:rsidRPr="00C8357D" w:rsidRDefault="00661A0E" w:rsidP="004B2F20">
            <w:r>
              <w:t xml:space="preserve">United States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1DB3C" w14:textId="77777777" w:rsidR="00661A0E" w:rsidRPr="00C8357D" w:rsidRDefault="00661A0E" w:rsidP="002F1844">
            <w:r>
              <w:t>2,951 women</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47E51" w14:textId="77777777" w:rsidR="00661A0E" w:rsidRDefault="00661A0E" w:rsidP="002F1844">
            <w:r w:rsidRPr="000505E7">
              <w:rPr>
                <w:b/>
              </w:rPr>
              <w:t>Aim</w:t>
            </w:r>
            <w:r>
              <w:t xml:space="preserve">: </w:t>
            </w:r>
            <w:r w:rsidRPr="00854793">
              <w:t xml:space="preserve">To determine the association of fruit and vegetable consumption with overall sleep duration among pregnant women. </w:t>
            </w:r>
          </w:p>
          <w:p w14:paraId="22EEA419" w14:textId="5C9966B1" w:rsidR="00661A0E" w:rsidRPr="00C8357D" w:rsidRDefault="00661A0E" w:rsidP="00D71146">
            <w:r w:rsidRPr="000505E7">
              <w:rPr>
                <w:b/>
              </w:rPr>
              <w:t>Methods</w:t>
            </w:r>
            <w:r>
              <w:t xml:space="preserve">: </w:t>
            </w:r>
            <w:r w:rsidRPr="00854793">
              <w:t>Data from the 2011 and 2012 Behavioral Risk Factors Surveillance System (BRFSS) were used. All women (n</w:t>
            </w:r>
            <w:r w:rsidR="00162E95">
              <w:t>=</w:t>
            </w:r>
            <w:r w:rsidRPr="00854793">
              <w:t xml:space="preserve">2951) of childbearing age (18-44 years) who were pregnant and responded to all fruit and vegetable consumption and sleep duration questions were included. Covariates included age, race, education level, exercise, and </w:t>
            </w:r>
            <w:r>
              <w:t>marital status. Data were analys</w:t>
            </w:r>
            <w:r w:rsidRPr="00854793">
              <w:t xml:space="preserve">ed using linear and ordinal logistic regression.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A0F2D" w14:textId="77777777" w:rsidR="00661A0E" w:rsidRPr="00854793" w:rsidRDefault="00661A0E" w:rsidP="000505E7">
            <w:r w:rsidRPr="00854793">
              <w:t>Total daily fruit and vegetable consumption was not associated with sleep duration among pregnant women, co</w:t>
            </w:r>
            <w:r>
              <w:t xml:space="preserve">ntrolling for confounders [beta=-0.03 (-0.07 to </w:t>
            </w:r>
            <w:r w:rsidRPr="00854793">
              <w:t xml:space="preserve">0.00)]. Orange and green vegetable consumption were both inversely associated </w:t>
            </w:r>
            <w:r>
              <w:t>with sleep duration [beta=-0.19 (-0.38 to -0.01) and beta=-0.20 (-0.33 to</w:t>
            </w:r>
            <w:r w:rsidRPr="00854793">
              <w:t xml:space="preserve"> -0.08) respectively]. Ordinal logistic regression found that the odds of meeting or exceeding sleep time recommendations increased slightly with each unit increase in total fruit</w:t>
            </w:r>
            <w:r>
              <w:t xml:space="preserve"> and vegetable consumption [OR 1.05 (1.003 to</w:t>
            </w:r>
            <w:r w:rsidRPr="00854793">
              <w:t xml:space="preserve"> 1.092)] and for every unit inc</w:t>
            </w:r>
            <w:r>
              <w:t>rease in fruit consumption [OR 1.12 (1.038 to</w:t>
            </w:r>
            <w:r w:rsidRPr="00854793">
              <w:t xml:space="preserve"> 1.208)].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C4FEBF" w14:textId="171DDC52" w:rsidR="00661A0E" w:rsidRPr="00C8357D" w:rsidRDefault="00661A0E" w:rsidP="002F1844"/>
        </w:tc>
      </w:tr>
      <w:tr w:rsidR="00661A0E" w:rsidRPr="00C8357D" w14:paraId="236B9DFE"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41BB6" w14:textId="5C06172A" w:rsidR="00661A0E" w:rsidRDefault="00661A0E" w:rsidP="002F1844">
            <w:r>
              <w:t>Lombardi et al 2015</w:t>
            </w:r>
            <w:r>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 </w:instrText>
            </w:r>
            <w:r w:rsidR="002747EA">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76</w:t>
            </w:r>
            <w:r>
              <w:fldChar w:fldCharType="end"/>
            </w:r>
          </w:p>
          <w:p w14:paraId="61D7F1E0" w14:textId="77777777" w:rsidR="00661A0E" w:rsidRDefault="00661A0E" w:rsidP="002F1844">
            <w:r>
              <w:t xml:space="preserve">United States </w:t>
            </w:r>
          </w:p>
          <w:p w14:paraId="346719A2" w14:textId="77777777" w:rsidR="00661A0E" w:rsidRDefault="00661A0E" w:rsidP="002F1844">
            <w:r>
              <w:t>Case-control</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F2DF8" w14:textId="77777777" w:rsidR="00661A0E" w:rsidRDefault="00661A0E" w:rsidP="002F1844">
            <w:r>
              <w:t>Cases 163</w:t>
            </w:r>
          </w:p>
          <w:p w14:paraId="62A3864B" w14:textId="77777777" w:rsidR="00661A0E" w:rsidRDefault="00661A0E" w:rsidP="002F1844">
            <w:r>
              <w:t>Controls 136</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3C72F" w14:textId="77777777" w:rsidR="00661A0E" w:rsidRDefault="00661A0E" w:rsidP="001F7D2B">
            <w:r w:rsidRPr="001F7D2B">
              <w:rPr>
                <w:b/>
              </w:rPr>
              <w:t>Aim</w:t>
            </w:r>
            <w:r>
              <w:t>: T</w:t>
            </w:r>
            <w:r w:rsidRPr="001F7D2B">
              <w:t xml:space="preserve">o examine the relation between maternal diet and unilateral retinoblastoma. </w:t>
            </w:r>
          </w:p>
          <w:p w14:paraId="2CDD2B0B" w14:textId="77777777" w:rsidR="00661A0E" w:rsidRPr="000505E7" w:rsidRDefault="00661A0E" w:rsidP="001F7D2B">
            <w:pPr>
              <w:rPr>
                <w:b/>
              </w:rPr>
            </w:pPr>
            <w:r w:rsidRPr="001F7D2B">
              <w:rPr>
                <w:b/>
              </w:rPr>
              <w:t>Methods</w:t>
            </w:r>
            <w:r w:rsidRPr="001F7D2B">
              <w:t xml:space="preserve">: A case-control study of 163 unilateral RB cases and 136 controls ascertained information on maternal diet during pregnancy using a </w:t>
            </w:r>
            <w:r>
              <w:t>standardis</w:t>
            </w:r>
            <w:r w:rsidRPr="001F7D2B">
              <w:t xml:space="preserve">ed food frequency questionnaire. Logistic regression was used to assess the relation between retinoblastoma and food groups and dietary patterns.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91E16" w14:textId="77777777" w:rsidR="00661A0E" w:rsidRPr="001F7D2B" w:rsidRDefault="00661A0E" w:rsidP="001F7D2B">
            <w:r w:rsidRPr="001F7D2B">
              <w:t>We observed a negative association between retinoblastoma and intake of fruit (</w:t>
            </w:r>
            <w:r>
              <w:t>OR 0.38, 95</w:t>
            </w:r>
            <w:r w:rsidRPr="001F7D2B">
              <w:t>%</w:t>
            </w:r>
            <w:r>
              <w:t>CI</w:t>
            </w:r>
            <w:r w:rsidRPr="001F7D2B">
              <w:t xml:space="preserve"> 0.14</w:t>
            </w:r>
            <w:r>
              <w:t xml:space="preserve"> to 1.02)</w:t>
            </w:r>
            <w:r w:rsidRPr="001F7D2B">
              <w:t>. A food pattern of high fruits and vegetables and low fried food and sweets was negatively associated with disease (OR 0.75, 95 % CI 0.61</w:t>
            </w:r>
            <w:r>
              <w:t xml:space="preserve"> to </w:t>
            </w:r>
            <w:r w:rsidRPr="001F7D2B">
              <w:t xml:space="preserve">0.92).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940AB5" w14:textId="77777777" w:rsidR="00661A0E" w:rsidRPr="00C8357D" w:rsidRDefault="00661A0E" w:rsidP="002F1844"/>
        </w:tc>
      </w:tr>
      <w:tr w:rsidR="00661A0E" w:rsidRPr="00C8357D" w14:paraId="59FA9877"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8E3C0" w14:textId="7315B8A1" w:rsidR="00661A0E" w:rsidRDefault="00661A0E" w:rsidP="002F1844">
            <w:r>
              <w:t>Mi et al 2018</w:t>
            </w:r>
            <w:r>
              <w:fldChar w:fldCharType="begin">
                <w:fldData xml:space="preserve">PEVuZE5vdGU+PENpdGU+PEF1dGhvcj5NaTwvQXV0aG9yPjxZZWFyPjIwMTk8L1llYXI+PFJlY051
bT4xNDYzPC9SZWNOdW0+PERpc3BsYXlUZXh0PjxzdHlsZSBmYWNlPSJzdXBlcnNjcmlwdCIgZm9u
dD0iVHJlYnVjaGV0IE1TIiBzaXplPSI5Ij42NTwvc3R5bGU+PC9EaXNwbGF5VGV4dD48cmVjb3Jk
PjxyZWMtbnVtYmVyPjE0NjM8L3JlYy1udW1iZXI+PGZvcmVpZ24ta2V5cz48a2V5IGFwcD0iRU4i
IGRiLWlkPSJleHZhc3JmeDJkdHJhb2VzYXN4cDJzenN4YTJkZjUwMjU5MngiIHRpbWVzdGFtcD0i
MTU3NDAzOTYwMCI+MTQ2Mzwva2V5PjxrZXkgYXBwPSJFTldlYiIgZGItaWQ9IiI+MDwva2V5Pjwv
Zm9yZWlnbi1rZXlzPjxyZWYtdHlwZSBuYW1lPSJKb3VybmFsIEFydGljbGUiPjE3PC9yZWYtdHlw
ZT48Y29udHJpYnV0b3JzPjxhdXRob3JzPjxhdXRob3I+TWksIEIuPC9hdXRob3I+PGF1dGhvcj5X
ZW4sIFguPC9hdXRob3I+PGF1dGhvcj5MaSwgUy48L2F1dGhvcj48YXV0aG9yPkxpdSwgRC48L2F1
dGhvcj48YXV0aG9yPkxlaSwgRi48L2F1dGhvcj48YXV0aG9yPkxpdSwgUi48L2F1dGhvcj48YXV0
aG9yPlNoZW4sIFkuPC9hdXRob3I+PGF1dGhvcj5DaGVuLCBZLjwvYXV0aG9yPjxhdXRob3I+WmVu
ZywgTC48L2F1dGhvcj48YXV0aG9yPkxpdSwgWC48L2F1dGhvcj48YXV0aG9yPkRhbmcsIFMuPC9h
dXRob3I+PGF1dGhvcj5ZYW4sIEguPC9hdXRob3I+PC9hdXRob3JzPjwvY29udHJpYnV0b3JzPjxh
dXRoLWFkZHJlc3M+RGVwYXJ0bWVudCBvZiBFcGlkZW1pb2xvZ3kgYW5kIEJpb3N0YXRpc3RpY3Ms
IFNjaG9vbCBvZiBQdWJsaWMgSGVhbHRoLCBYaSZhcG9zO2FuIEppYW90b25nIFVuaXZlcnNpdHkg
SGVhbHRoIFNjaWVuY2UgQ2VudGVyLCBYaSZhcG9zO2FuLCBTaGFhbnhpLCBDaGluYS4mI3hEO0Rp
dmlzaW9uIG9mIEJlaGF2aW9yYWwgTWVkaWNpbmUsIERlcGFydG1lbnQgb2YgUGVkaWF0cmljcywg
SmFjb2JzIFNjaG9vbCBvZiBNZWRpY2luZSBhbmQgQmlvbWVkaWNhbCBTY2llbmNlcywgU3RhdGUg
VW5pdmVyc2l0eSBvZiBOZXcgWW9yayBhdCBCdWZmYWxvLCBVbml0ZWQgU3RhdGVzLiYjeEQ7RGVw
YXJ0bWVudCBvZiBFcGlkZW1pb2xvZ3kgYW5kIEJpb3N0YXRpc3RpY3MsIFNjaG9vbCBvZiBQdWJs
aWMgSGVhbHRoLCBYaSZhcG9zO2FuIEppYW90b25nIFVuaXZlcnNpdHkgSGVhbHRoIFNjaWVuY2Ug
Q2VudGVyLCBYaSZhcG9zO2FuLCBTaGFhbnhpLCBDaGluYTsgWGkmYXBvczthbiBDZW50ZXIgZm9y
IERpc2Vhc2UgQ29udHJvbCBhbmQgUHJldmVudGlvbiwgWGkmYXBvczthbiwgU2hhYW54aSwgQ2hp
bmEuJiN4RDtEZXBhcnRtZW50IG9mIEVwaWRlbWlvbG9neSBhbmQgQmlvc3RhdGlzdGljcywgU2No
b29sIG9mIFB1YmxpYyBIZWFsdGgsIFhpJmFwb3M7YW4gSmlhb3RvbmcgVW5pdmVyc2l0eSBIZWFs
dGggU2NpZW5jZSBDZW50ZXIsIFhpJmFwb3M7YW4sIFNoYWFueGksIENoaW5hLiBFbGVjdHJvbmlj
IGFkZHJlc3M6IHRqZHNobkB4anR1LmVkdS5jbi4mI3hEO0RlcGFydG1lbnQgb2YgRXBpZGVtaW9s
b2d5IGFuZCBCaW9zdGF0aXN0aWNzLCBTY2hvb2wgb2YgUHVibGljIEhlYWx0aCwgWGkmYXBvczth
biBKaWFvdG9uZyBVbml2ZXJzaXR5IEhlYWx0aCBTY2llbmNlIENlbnRlciwgWGkmYXBvczthbiwg
U2hhYW54aSwgQ2hpbmEuIEVsZWN0cm9uaWMgYWRkcmVzczogeGp0dV95aC5wYXBlckBhbGl5dW4u
Y29tLjwvYXV0aC1hZGRyZXNzPjx0aXRsZXM+PHRpdGxlPlZlZ2V0YWJsZSBkaWV0YXJ5IHBhdHRl
cm4gYXNzb2NpYXRlZCB3aXRoIGxvdyByaXNrIG9mIHByZWVjbGFtcHNpYSBwb3NzaWJseSB0aHJv
dWdoIHJlZHVjaW5nIHByb3RlaW51cmlhPC90aXRsZT48c2Vjb25kYXJ5LXRpdGxlPlByZWduYW5j
eSBIeXBlcnRlbnM8L3NlY29uZGFyeS10aXRsZT48L3RpdGxlcz48cGVyaW9kaWNhbD48ZnVsbC10
aXRsZT5QcmVnbmFuY3kgSHlwZXJ0ZW5zPC9mdWxsLXRpdGxlPjwvcGVyaW9kaWNhbD48cGFnZXM+
MTMxLTEzODwvcGFnZXM+PHZvbHVtZT4xNjwvdm9sdW1lPjxlZGl0aW9uPjIwMTkvMDUvMDY8L2Vk
aXRpb24+PGtleXdvcmRzPjxrZXl3b3JkPkRpZXRhcnkgcGF0dGVybjwva2V5d29yZD48a2V5d29y
ZD5HZXN0YXRpb25hbCBoeXBlcnRlbnNpb248L2tleXdvcmQ+PGtleXdvcmQ+UHJlZWNsYW1wc2lh
PC9rZXl3b3JkPjxrZXl3b3JkPlByb3RlaW51cmlhPC9rZXl3b3JkPjxrZXl3b3JkPlJlbGF0aXZl
IHJpc2s8L2tleXdvcmQ+PGtleXdvcmQ+VmVnZXRhYmxlPC9rZXl3b3JkPjwva2V5d29yZHM+PGRh
dGVzPjx5ZWFyPjIwMTk8L3llYXI+PHB1Yi1kYXRlcz48ZGF0ZT5BcHI8L2RhdGU+PC9wdWItZGF0
ZXM+PC9kYXRlcz48aXNibj4yMjEwLTc3OTcgKEVsZWN0cm9uaWMpJiN4RDsyMjEwLTc3ODkgKExp
bmtpbmcpPC9pc2JuPjxhY2Nlc3Npb24tbnVtPjMxMDU2MTQ4PC9hY2Nlc3Npb24tbnVtPjx1cmxz
PjxyZWxhdGVkLXVybHM+PHVybD5odHRwczovL3d3dy5uY2JpLm5sbS5uaWguZ292L3B1Ym1lZC8z
MTA1NjE0ODwvdXJsPjwvcmVsYXRlZC11cmxzPjwvdXJscz48ZWxlY3Ryb25pYy1yZXNvdXJjZS1u
dW0+MTAuMTAxNi9qLnByZWdoeS4yMDE5LjA0LjAwMTwvZWxlY3Ryb25pYy1yZXNvdXJjZS1udW0+
PC9yZWNvcmQ+PC9DaXRlPjwvRW5kTm90ZT5=
</w:fldData>
              </w:fldChar>
            </w:r>
            <w:r w:rsidR="002747EA">
              <w:instrText xml:space="preserve"> ADDIN EN.CITE </w:instrText>
            </w:r>
            <w:r w:rsidR="002747EA">
              <w:fldChar w:fldCharType="begin">
                <w:fldData xml:space="preserve">PEVuZE5vdGU+PENpdGU+PEF1dGhvcj5NaTwvQXV0aG9yPjxZZWFyPjIwMTk8L1llYXI+PFJlY051
bT4xNDYzPC9SZWNOdW0+PERpc3BsYXlUZXh0PjxzdHlsZSBmYWNlPSJzdXBlcnNjcmlwdCIgZm9u
dD0iVHJlYnVjaGV0IE1TIiBzaXplPSI5Ij42NTwvc3R5bGU+PC9EaXNwbGF5VGV4dD48cmVjb3Jk
PjxyZWMtbnVtYmVyPjE0NjM8L3JlYy1udW1iZXI+PGZvcmVpZ24ta2V5cz48a2V5IGFwcD0iRU4i
IGRiLWlkPSJleHZhc3JmeDJkdHJhb2VzYXN4cDJzenN4YTJkZjUwMjU5MngiIHRpbWVzdGFtcD0i
MTU3NDAzOTYwMCI+MTQ2Mzwva2V5PjxrZXkgYXBwPSJFTldlYiIgZGItaWQ9IiI+MDwva2V5Pjwv
Zm9yZWlnbi1rZXlzPjxyZWYtdHlwZSBuYW1lPSJKb3VybmFsIEFydGljbGUiPjE3PC9yZWYtdHlw
ZT48Y29udHJpYnV0b3JzPjxhdXRob3JzPjxhdXRob3I+TWksIEIuPC9hdXRob3I+PGF1dGhvcj5X
ZW4sIFguPC9hdXRob3I+PGF1dGhvcj5MaSwgUy48L2F1dGhvcj48YXV0aG9yPkxpdSwgRC48L2F1
dGhvcj48YXV0aG9yPkxlaSwgRi48L2F1dGhvcj48YXV0aG9yPkxpdSwgUi48L2F1dGhvcj48YXV0
aG9yPlNoZW4sIFkuPC9hdXRob3I+PGF1dGhvcj5DaGVuLCBZLjwvYXV0aG9yPjxhdXRob3I+WmVu
ZywgTC48L2F1dGhvcj48YXV0aG9yPkxpdSwgWC48L2F1dGhvcj48YXV0aG9yPkRhbmcsIFMuPC9h
dXRob3I+PGF1dGhvcj5ZYW4sIEguPC9hdXRob3I+PC9hdXRob3JzPjwvY29udHJpYnV0b3JzPjxh
dXRoLWFkZHJlc3M+RGVwYXJ0bWVudCBvZiBFcGlkZW1pb2xvZ3kgYW5kIEJpb3N0YXRpc3RpY3Ms
IFNjaG9vbCBvZiBQdWJsaWMgSGVhbHRoLCBYaSZhcG9zO2FuIEppYW90b25nIFVuaXZlcnNpdHkg
SGVhbHRoIFNjaWVuY2UgQ2VudGVyLCBYaSZhcG9zO2FuLCBTaGFhbnhpLCBDaGluYS4mI3hEO0Rp
dmlzaW9uIG9mIEJlaGF2aW9yYWwgTWVkaWNpbmUsIERlcGFydG1lbnQgb2YgUGVkaWF0cmljcywg
SmFjb2JzIFNjaG9vbCBvZiBNZWRpY2luZSBhbmQgQmlvbWVkaWNhbCBTY2llbmNlcywgU3RhdGUg
VW5pdmVyc2l0eSBvZiBOZXcgWW9yayBhdCBCdWZmYWxvLCBVbml0ZWQgU3RhdGVzLiYjeEQ7RGVw
YXJ0bWVudCBvZiBFcGlkZW1pb2xvZ3kgYW5kIEJpb3N0YXRpc3RpY3MsIFNjaG9vbCBvZiBQdWJs
aWMgSGVhbHRoLCBYaSZhcG9zO2FuIEppYW90b25nIFVuaXZlcnNpdHkgSGVhbHRoIFNjaWVuY2Ug
Q2VudGVyLCBYaSZhcG9zO2FuLCBTaGFhbnhpLCBDaGluYTsgWGkmYXBvczthbiBDZW50ZXIgZm9y
IERpc2Vhc2UgQ29udHJvbCBhbmQgUHJldmVudGlvbiwgWGkmYXBvczthbiwgU2hhYW54aSwgQ2hp
bmEuJiN4RDtEZXBhcnRtZW50IG9mIEVwaWRlbWlvbG9neSBhbmQgQmlvc3RhdGlzdGljcywgU2No
b29sIG9mIFB1YmxpYyBIZWFsdGgsIFhpJmFwb3M7YW4gSmlhb3RvbmcgVW5pdmVyc2l0eSBIZWFs
dGggU2NpZW5jZSBDZW50ZXIsIFhpJmFwb3M7YW4sIFNoYWFueGksIENoaW5hLiBFbGVjdHJvbmlj
IGFkZHJlc3M6IHRqZHNobkB4anR1LmVkdS5jbi4mI3hEO0RlcGFydG1lbnQgb2YgRXBpZGVtaW9s
b2d5IGFuZCBCaW9zdGF0aXN0aWNzLCBTY2hvb2wgb2YgUHVibGljIEhlYWx0aCwgWGkmYXBvczth
biBKaWFvdG9uZyBVbml2ZXJzaXR5IEhlYWx0aCBTY2llbmNlIENlbnRlciwgWGkmYXBvczthbiwg
U2hhYW54aSwgQ2hpbmEuIEVsZWN0cm9uaWMgYWRkcmVzczogeGp0dV95aC5wYXBlckBhbGl5dW4u
Y29tLjwvYXV0aC1hZGRyZXNzPjx0aXRsZXM+PHRpdGxlPlZlZ2V0YWJsZSBkaWV0YXJ5IHBhdHRl
cm4gYXNzb2NpYXRlZCB3aXRoIGxvdyByaXNrIG9mIHByZWVjbGFtcHNpYSBwb3NzaWJseSB0aHJv
dWdoIHJlZHVjaW5nIHByb3RlaW51cmlhPC90aXRsZT48c2Vjb25kYXJ5LXRpdGxlPlByZWduYW5j
eSBIeXBlcnRlbnM8L3NlY29uZGFyeS10aXRsZT48L3RpdGxlcz48cGVyaW9kaWNhbD48ZnVsbC10
aXRsZT5QcmVnbmFuY3kgSHlwZXJ0ZW5zPC9mdWxsLXRpdGxlPjwvcGVyaW9kaWNhbD48cGFnZXM+
MTMxLTEzODwvcGFnZXM+PHZvbHVtZT4xNjwvdm9sdW1lPjxlZGl0aW9uPjIwMTkvMDUvMDY8L2Vk
aXRpb24+PGtleXdvcmRzPjxrZXl3b3JkPkRpZXRhcnkgcGF0dGVybjwva2V5d29yZD48a2V5d29y
ZD5HZXN0YXRpb25hbCBoeXBlcnRlbnNpb248L2tleXdvcmQ+PGtleXdvcmQ+UHJlZWNsYW1wc2lh
PC9rZXl3b3JkPjxrZXl3b3JkPlByb3RlaW51cmlhPC9rZXl3b3JkPjxrZXl3b3JkPlJlbGF0aXZl
IHJpc2s8L2tleXdvcmQ+PGtleXdvcmQ+VmVnZXRhYmxlPC9rZXl3b3JkPjwva2V5d29yZHM+PGRh
dGVzPjx5ZWFyPjIwMTk8L3llYXI+PHB1Yi1kYXRlcz48ZGF0ZT5BcHI8L2RhdGU+PC9wdWItZGF0
ZXM+PC9kYXRlcz48aXNibj4yMjEwLTc3OTcgKEVsZWN0cm9uaWMpJiN4RDsyMjEwLTc3ODkgKExp
bmtpbmcpPC9pc2JuPjxhY2Nlc3Npb24tbnVtPjMxMDU2MTQ4PC9hY2Nlc3Npb24tbnVtPjx1cmxz
PjxyZWxhdGVkLXVybHM+PHVybD5odHRwczovL3d3dy5uY2JpLm5sbS5uaWguZ292L3B1Ym1lZC8z
MTA1NjE0ODwvdXJsPjwvcmVsYXRlZC11cmxzPjwvdXJscz48ZWxlY3Ryb25pYy1yZXNvdXJjZS1u
dW0+MTAuMTAxNi9qLnByZWdoeS4yMDE5LjA0LjAwMTwvZWxlY3Ryb25pYy1yZXNvdXJjZS1udW0+
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65</w:t>
            </w:r>
            <w:r>
              <w:fldChar w:fldCharType="end"/>
            </w:r>
          </w:p>
          <w:p w14:paraId="6E662BB7" w14:textId="77777777" w:rsidR="00661A0E" w:rsidRDefault="00661A0E" w:rsidP="002F1844">
            <w:r>
              <w:t>China</w:t>
            </w:r>
          </w:p>
          <w:p w14:paraId="60A80C21" w14:textId="77777777" w:rsidR="00661A0E" w:rsidRDefault="00661A0E" w:rsidP="002F1844">
            <w:r>
              <w:t>Analysis of RCT</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E6498C" w14:textId="77777777" w:rsidR="00661A0E" w:rsidRDefault="00661A0E" w:rsidP="002F1844">
            <w:r>
              <w:t>987 women</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0477F" w14:textId="77777777" w:rsidR="00661A0E" w:rsidRDefault="00661A0E" w:rsidP="001F464A">
            <w:r w:rsidRPr="001F464A">
              <w:rPr>
                <w:b/>
              </w:rPr>
              <w:t>Aim</w:t>
            </w:r>
            <w:r>
              <w:t xml:space="preserve">: </w:t>
            </w:r>
            <w:r w:rsidRPr="001F464A">
              <w:t xml:space="preserve">To examine the associations between dietary patterns during pregnancy and the risk of preeclampsia. </w:t>
            </w:r>
          </w:p>
          <w:p w14:paraId="59E37920" w14:textId="6777ECFB" w:rsidR="00661A0E" w:rsidRDefault="00661A0E" w:rsidP="001F464A">
            <w:pPr>
              <w:rPr>
                <w:b/>
              </w:rPr>
            </w:pPr>
            <w:r w:rsidRPr="001F464A">
              <w:rPr>
                <w:b/>
              </w:rPr>
              <w:t>Methods</w:t>
            </w:r>
            <w:r>
              <w:t>: We analys</w:t>
            </w:r>
            <w:r w:rsidRPr="001F464A">
              <w:t xml:space="preserve">ed data from a cluster randomized controlled trial among healthy pregnant women in three rural counties in </w:t>
            </w:r>
            <w:r w:rsidR="00501148" w:rsidRPr="001F464A">
              <w:t>north-western</w:t>
            </w:r>
            <w:r w:rsidRPr="001F464A">
              <w:t xml:space="preserve"> China. Maternal diet during the whole pregnancy was assessed using a 107-item food frequency questionnaire with proportion size administered before delivery. Principal component factor analysis with varimax rotation was used to identify common dietary patterns. Preeclampsia was diagnosed by trained clinicians and r</w:t>
            </w:r>
            <w:r>
              <w:t xml:space="preserve">ecorded in delivery records.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A9DFE" w14:textId="1E979DE1" w:rsidR="00661A0E" w:rsidRPr="001F464A" w:rsidRDefault="00661A0E" w:rsidP="00422CC9">
            <w:r w:rsidRPr="001F464A">
              <w:t>After adjusting for calories, other dietary pattern scores and baseline blood pressure, a</w:t>
            </w:r>
            <w:r w:rsidR="00AE3B9A">
              <w:t xml:space="preserve"> higher vegetable pattern score</w:t>
            </w:r>
            <w:r w:rsidRPr="001F464A">
              <w:t xml:space="preserve"> was associated with lower risk of preeclampsia (P for trend=0.041; the highest vs lowest quartile, </w:t>
            </w:r>
            <w:r>
              <w:t xml:space="preserve">aRR 0.20; </w:t>
            </w:r>
            <w:r w:rsidRPr="001F464A">
              <w:t>95%</w:t>
            </w:r>
            <w:r>
              <w:t xml:space="preserve">CI </w:t>
            </w:r>
            <w:r w:rsidRPr="001F464A">
              <w:t>0.04</w:t>
            </w:r>
            <w:r>
              <w:t xml:space="preserve"> to 0.98</w:t>
            </w:r>
            <w:r w:rsidRPr="001F464A">
              <w:t xml:space="preserve">). A similar association was also observed for the risk of proteinuria (P for trend=0.015): the highest vs lowest quartiles of the vegetable pattern score, </w:t>
            </w:r>
            <w:r>
              <w:t xml:space="preserve">aRR </w:t>
            </w:r>
            <w:r w:rsidRPr="001F464A">
              <w:t>0.44 (95%</w:t>
            </w:r>
            <w:r>
              <w:t>CI</w:t>
            </w:r>
            <w:r w:rsidRPr="001F464A">
              <w:t xml:space="preserve"> 0.24</w:t>
            </w:r>
            <w:r>
              <w:t xml:space="preserve"> to </w:t>
            </w:r>
            <w:r w:rsidRPr="001F464A">
              <w:t xml:space="preserve">0.80). The other four pattern scores were not associated with preeclampsia.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BC9D3" w14:textId="77777777" w:rsidR="00661A0E" w:rsidRPr="00C8357D" w:rsidRDefault="00661A0E" w:rsidP="002F1844"/>
        </w:tc>
      </w:tr>
      <w:tr w:rsidR="00661A0E" w:rsidRPr="00C8357D" w14:paraId="545306B4"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7EDE2" w14:textId="0CA8B285" w:rsidR="00661A0E" w:rsidRDefault="00661A0E" w:rsidP="002F1844">
            <w:r>
              <w:t>Paskulin et al 2017</w:t>
            </w:r>
            <w:r>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 </w:instrText>
            </w:r>
            <w:r w:rsidR="002747EA">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69</w:t>
            </w:r>
            <w:r>
              <w:fldChar w:fldCharType="end"/>
            </w:r>
          </w:p>
          <w:p w14:paraId="142E0372" w14:textId="77777777" w:rsidR="00661A0E" w:rsidRDefault="00661A0E" w:rsidP="002F1844">
            <w:r>
              <w:t>Brazil</w:t>
            </w:r>
          </w:p>
          <w:p w14:paraId="4446E822" w14:textId="77777777" w:rsidR="00661A0E" w:rsidRDefault="00661A0E" w:rsidP="002F1844">
            <w:r>
              <w:t>Cross-section</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43146" w14:textId="77777777" w:rsidR="00661A0E" w:rsidRDefault="00661A0E" w:rsidP="002F1844">
            <w:r>
              <w:t>712 women</w:t>
            </w:r>
          </w:p>
        </w:tc>
        <w:tc>
          <w:tcPr>
            <w:tcW w:w="48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2ADD" w14:textId="77777777" w:rsidR="00661A0E" w:rsidRDefault="00661A0E" w:rsidP="00A47A03">
            <w:r>
              <w:rPr>
                <w:b/>
              </w:rPr>
              <w:t xml:space="preserve">Aim: </w:t>
            </w:r>
            <w:r w:rsidRPr="00A47A03">
              <w:t xml:space="preserve">To evaluate the association between dietary patterns and mental disorders among pregnant women in southern Brazil. </w:t>
            </w:r>
          </w:p>
          <w:p w14:paraId="2E30316F" w14:textId="77777777" w:rsidR="00661A0E" w:rsidRPr="001F464A" w:rsidRDefault="00661A0E" w:rsidP="00A47A03">
            <w:pPr>
              <w:rPr>
                <w:b/>
              </w:rPr>
            </w:pPr>
            <w:r w:rsidRPr="00A47A03">
              <w:rPr>
                <w:b/>
              </w:rPr>
              <w:t>Methods</w:t>
            </w:r>
            <w:r w:rsidRPr="00A47A03">
              <w:t xml:space="preserve">: Food intake assessment was performed using the Food Frequency Questionnaire. Dietary patterns were identified by cluster analysis. The Primary Care Evaluation of Mental Disorders (PRIME-MD) was used to evaluate participants' mental health. Poisson regression models with robust variance were fitted to estimate prevalence ratios (PR).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53E4D" w14:textId="77777777" w:rsidR="00661A0E" w:rsidRPr="00A47A03" w:rsidRDefault="00661A0E" w:rsidP="00422CC9">
            <w:r w:rsidRPr="00A47A03">
              <w:t>In the adjusted models, there was a high prevalence of major depressive disorder among women with low fruit intake (PR 1.43, 95%CI 1.04</w:t>
            </w:r>
            <w:r>
              <w:t xml:space="preserve"> to </w:t>
            </w:r>
            <w:r w:rsidRPr="00A47A03">
              <w:t>1.95)</w:t>
            </w:r>
            <w:r>
              <w:t>.</w:t>
            </w:r>
            <w:r w:rsidRPr="00A47A03">
              <w:t xml:space="preserve"> Low intake of </w:t>
            </w:r>
            <w:r>
              <w:t>legumes</w:t>
            </w:r>
            <w:r w:rsidRPr="00A47A03">
              <w:t xml:space="preserve"> was significa</w:t>
            </w:r>
            <w:r>
              <w:t>ntly associated with generalis</w:t>
            </w:r>
            <w:r w:rsidRPr="00A47A03">
              <w:t>ed anxiety disorder (PR 1.40, 95%CI 1.01</w:t>
            </w:r>
            <w:r>
              <w:t xml:space="preserve"> to </w:t>
            </w:r>
            <w:r w:rsidRPr="00A47A03">
              <w:t xml:space="preserve">1.93).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D4AF" w14:textId="77777777" w:rsidR="00661A0E" w:rsidRPr="00C8357D" w:rsidRDefault="00661A0E" w:rsidP="002F1844"/>
        </w:tc>
      </w:tr>
      <w:tr w:rsidR="00661A0E" w:rsidRPr="00C8357D" w14:paraId="5926FAF1"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14:paraId="10350C06" w14:textId="1D850DBC" w:rsidR="00661A0E" w:rsidRDefault="00661A0E" w:rsidP="006E7719">
            <w:r>
              <w:t>Smith et al 2015</w:t>
            </w:r>
            <w:r>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instrText xml:space="preserve"> ADDIN EN.CITE </w:instrText>
            </w:r>
            <w:r w:rsidR="002747EA">
              <w:fldChar w:fldCharType="begin">
                <w:fldData xml:space="preserve">PEVuZE5vdGU+PENpdGU+PEF1dGhvcj5TbWl0aDwvQXV0aG9yPjxZZWFyPjIwMTU8L1llYXI+PFJl
Y051bT4xNDgxPC9SZWNOdW0+PERpc3BsYXlUZXh0PjxzdHlsZSBmYWNlPSJzdXBlcnNjcmlwdCIg
Zm9udD0iVHJlYnVjaGV0IE1TIiBzaXplPSI5Ij40Nzwvc3R5bGU+PC9EaXNwbGF5VGV4dD48cmVj
b3JkPjxyZWMtbnVtYmVyPjE0ODE8L3JlYy1udW1iZXI+PGZvcmVpZ24ta2V5cz48a2V5IGFwcD0i
RU4iIGRiLWlkPSJleHZhc3JmeDJkdHJhb2VzYXN4cDJzenN4YTJkZjUwMjU5MngiIHRpbWVzdGFt
cD0iMTU3NDAzOTY5NCI+MTQ4MTwva2V5PjxrZXkgYXBwPSJFTldlYiIgZGItaWQ9IiI+MDwva2V5
PjwvZm9yZWlnbi1rZXlzPjxyZWYtdHlwZSBuYW1lPSJKb3VybmFsIEFydGljbGUiPjE3PC9yZWYt
dHlwZT48Y29udHJpYnV0b3JzPjxhdXRob3JzPjxhdXRob3I+U21pdGgsIEwuIEsuPC9hdXRob3I+
PGF1dGhvcj5EcmFwZXIsIEUuIFMuPC9hdXRob3I+PGF1dGhvcj5FdmFucywgVC4gQS48L2F1dGhv
cj48YXV0aG9yPkZpZWxkLCBELiBKLjwvYXV0aG9yPjxhdXRob3I+Sm9obnNvbiwgUy4gSi48L2F1
dGhvcj48YXV0aG9yPk1hbmt0ZWxvdywgQi4gTi48L2F1dGhvcj48YXV0aG9yPlNlYXRvbiwgUy4g
RS48L2F1dGhvcj48YXV0aG9yPk1hcmxvdywgTi48L2F1dGhvcj48YXV0aG9yPlBldHJvdSwgUy48
L2F1dGhvcj48YXV0aG9yPkJveWxlLCBFLiBNLjwvYXV0aG9yPjwvYXV0aG9ycz48L2NvbnRyaWJ1
dG9ycz48YXV0aC1hZGRyZXNzPkRlcGFydG1lbnQgb2YgSGVhbHRoIFNjaWVuY2UsIFVuaXZlcnNp
dHkgb2YgTGVpY2VzdGVyLCBMZWljZXN0ZXIsIFVLLiYjeEQ7SW5zdGl0dXRlIGZvciBXb21lbnMg
SGVhbHRoLCBVbml2ZXJzaXR5IENvbGxlZ2UgTG9uZG9uLCBMb25kb24sIFVLLiYjeEQ7Q2xpbmlj
YWwgVHJpYWxzIFVuaXQsIFVuaXZlcnNpdHkgb2YgV2Fyd2ljaywgQ292ZW50cnksIFVLLjwvYXV0
aC1hZGRyZXNzPjx0aXRsZXM+PHRpdGxlPkFzc29jaWF0aW9ucyBiZXR3ZWVuIGxhdGUgYW5kIG1v
ZGVyYXRlbHkgcHJldGVybSBiaXJ0aCBhbmQgc21va2luZywgYWxjb2hvbCwgZHJ1ZyB1c2UgYW5k
IGRpZXQ6IGEgcG9wdWxhdGlvbi1iYXNlZCBjYXNlLWNvaG9ydCBzdHVkeTwvdGl0bGU+PHNlY29u
ZGFyeS10aXRsZT5BcmNoIERpcyBDaGlsZCBGZXRhbCBOZW9uYXRhbCBFZDwvc2Vjb25kYXJ5LXRp
dGxlPjwvdGl0bGVzPjxwZXJpb2RpY2FsPjxmdWxsLXRpdGxlPkFyY2ggRGlzIENoaWxkIEZldGFs
IE5lb25hdGFsIEVkPC9mdWxsLXRpdGxlPjwvcGVyaW9kaWNhbD48cGFnZXM+RjQ4Ni05MTwvcGFn
ZXM+PHZvbHVtZT4xMDA8L3ZvbHVtZT48bnVtYmVyPjY8L251bWJlcj48ZWRpdGlvbj4yMDE1LzA1
LzE1PC9lZGl0aW9uPjxrZXl3b3Jkcz48a2V5d29yZD5BZHVsdDwva2V5d29yZD48a2V5d29yZD5B
bGNvaG9saXNtLypjb21wbGljYXRpb25zPC9rZXl3b3JkPjxrZXl3b3JkPkNhc2UtQ29udHJvbCBT
dHVkaWVzPC9rZXl3b3JkPjxrZXl3b3JkPkNvaG9ydCBTdHVkaWVzPC9rZXl3b3JkPjxrZXl3b3Jk
PkRpZXQvKmFkdmVyc2UgZWZmZWN0czwva2V5d29yZD48a2V5d29yZD5GZW1hbGU8L2tleXdvcmQ+
PGtleXdvcmQ+SHVtYW5zPC9rZXl3b3JkPjxrZXl3b3JkPkluZmFudCwgTmV3Ym9ybjwva2V5d29y
ZD48a2V5d29yZD5QcmVnbmFuY3k8L2tleXdvcmQ+PGtleXdvcmQ+KlByZWduYW5jeSBDb21wbGlj
YXRpb25zPC9rZXl3b3JkPjxrZXl3b3JkPlByZW1hdHVyZSBCaXJ0aC8qZXRpb2xvZ3k8L2tleXdv
cmQ+PGtleXdvcmQ+UmVncmVzc2lvbiBBbmFseXNpczwva2V5d29yZD48a2V5d29yZD5SaXNrIEFz
c2Vzc21lbnQ8L2tleXdvcmQ+PGtleXdvcmQ+UmlzayBGYWN0b3JzPC9rZXl3b3JkPjxrZXl3b3Jk
PlNtb2tpbmcvKmFkdmVyc2UgZWZmZWN0czwva2V5d29yZD48a2V5d29yZD5TdWJzdGFuY2UtUmVs
YXRlZCBEaXNvcmRlcnMvKmNvbXBsaWNhdGlvbnM8L2tleXdvcmQ+PGtleXdvcmQ+VW5pdGVkIEtp
bmdkb20vZXBpZGVtaW9sb2d5PC9rZXl3b3JkPjxrZXl3b3JkPkVwaWRlbWlvbG9neTwva2V5d29y
ZD48a2V5d29yZD5IZWFsdGggc2VydmljZXMgcmVzZWFyY2g8L2tleXdvcmQ+PGtleXdvcmQ+TmVv
bmF0b2xvZ3k8L2tleXdvcmQ+PC9rZXl3b3Jkcz48ZGF0ZXM+PHllYXI+MjAxNTwveWVhcj48cHVi
LWRhdGVzPjxkYXRlPk5vdjwvZGF0ZT48L3B1Yi1kYXRlcz48L2RhdGVzPjxpc2JuPjE0NjgtMjA1
MiAoRWxlY3Ryb25pYykmI3hEOzEzNTktMjk5OCAoTGlua2luZyk8L2lzYm4+PGFjY2Vzc2lvbi1u
dW0+MjU5NzI0NDI8L2FjY2Vzc2lvbi1udW0+PHVybHM+PHJlbGF0ZWQtdXJscz48dXJsPmh0dHBz
Oi8vd3d3Lm5jYmkubmxtLm5paC5nb3YvcHVibWVkLzI1OTcyNDQyPC91cmw+PC9yZWxhdGVkLXVy
bHM+PC91cmxzPjxjdXN0b20yPlBNQzQ2ODAxNzM8L2N1c3RvbTI+PGVsZWN0cm9uaWMtcmVzb3Vy
Y2UtbnVtPjEwLjExMzYvYXJjaGRpc2NoaWxkLTIwMTQtMzA3MjY1PC9lbGVjdHJvbmljLXJlc291
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47</w:t>
            </w:r>
            <w:r>
              <w:fldChar w:fldCharType="end"/>
            </w:r>
          </w:p>
          <w:p w14:paraId="5E1AF37B" w14:textId="77777777" w:rsidR="00661A0E" w:rsidRDefault="00661A0E" w:rsidP="006E7719">
            <w:r>
              <w:t>United Kingdom</w:t>
            </w:r>
          </w:p>
          <w:p w14:paraId="4AFBA374" w14:textId="77777777" w:rsidR="00661A0E" w:rsidRDefault="00661A0E" w:rsidP="006E7719">
            <w:r>
              <w:t>Case-cohort</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14:paraId="32BA76F4" w14:textId="77777777" w:rsidR="00661A0E" w:rsidRDefault="00661A0E" w:rsidP="006E7719">
            <w:r>
              <w:t>922 LMPT</w:t>
            </w:r>
          </w:p>
          <w:p w14:paraId="36723201" w14:textId="77777777" w:rsidR="00661A0E" w:rsidRDefault="00661A0E" w:rsidP="006E7719">
            <w:r>
              <w:t>965 term</w:t>
            </w:r>
          </w:p>
        </w:tc>
        <w:tc>
          <w:tcPr>
            <w:tcW w:w="4821" w:type="dxa"/>
            <w:tcBorders>
              <w:top w:val="single" w:sz="4" w:space="0" w:color="000000" w:themeColor="text1"/>
              <w:left w:val="single" w:sz="4" w:space="0" w:color="000000" w:themeColor="text1"/>
              <w:bottom w:val="single" w:sz="4" w:space="0" w:color="auto"/>
              <w:right w:val="single" w:sz="4" w:space="0" w:color="000000" w:themeColor="text1"/>
            </w:tcBorders>
          </w:tcPr>
          <w:p w14:paraId="55F50F27" w14:textId="77777777" w:rsidR="00661A0E" w:rsidRDefault="00661A0E" w:rsidP="006E7719">
            <w:r w:rsidRPr="00607E2F">
              <w:rPr>
                <w:b/>
              </w:rPr>
              <w:t>Aim</w:t>
            </w:r>
            <w:r>
              <w:t>: To explore</w:t>
            </w:r>
            <w:r w:rsidRPr="00607E2F">
              <w:t xml:space="preserve"> the associations between lifestyle factors and late and moderate preterm birth (LMPT: 32(+0)-36(+6) weeks' gestation). </w:t>
            </w:r>
          </w:p>
          <w:p w14:paraId="35532D40" w14:textId="77777777" w:rsidR="00661A0E" w:rsidRPr="00607E2F" w:rsidRDefault="00661A0E" w:rsidP="006E7719">
            <w:r w:rsidRPr="00607E2F">
              <w:rPr>
                <w:b/>
              </w:rPr>
              <w:t>Methods</w:t>
            </w:r>
            <w:r w:rsidRPr="00607E2F">
              <w:t xml:space="preserve">: Poisson multivariable regression models were fitted to estimate relative risks (RR) of LMPT birth associated with maternal smoking, alcohol and recreational drug use, and diet. </w:t>
            </w:r>
          </w:p>
        </w:tc>
        <w:tc>
          <w:tcPr>
            <w:tcW w:w="4536" w:type="dxa"/>
            <w:tcBorders>
              <w:top w:val="single" w:sz="4" w:space="0" w:color="000000" w:themeColor="text1"/>
              <w:left w:val="single" w:sz="4" w:space="0" w:color="000000" w:themeColor="text1"/>
              <w:bottom w:val="single" w:sz="4" w:space="0" w:color="auto"/>
              <w:right w:val="single" w:sz="4" w:space="0" w:color="000000" w:themeColor="text1"/>
            </w:tcBorders>
          </w:tcPr>
          <w:p w14:paraId="52FBC12C" w14:textId="77777777" w:rsidR="00661A0E" w:rsidRPr="00B24E86" w:rsidRDefault="00661A0E" w:rsidP="006E7719">
            <w:r w:rsidRPr="00607E2F">
              <w:t xml:space="preserve">Low consumption of fruit and vegetables was associated with a 31% increased risk </w:t>
            </w:r>
            <w:r>
              <w:t xml:space="preserve">of LMPT </w:t>
            </w:r>
            <w:r w:rsidRPr="00607E2F">
              <w:t>compared with those who reported high</w:t>
            </w:r>
            <w:r>
              <w:t>er consumption levels (RR 1.31; 95%CI 1.03 to 1.66; p=0.027</w:t>
            </w:r>
            <w:r w:rsidRPr="00607E2F">
              <w:t>).</w:t>
            </w:r>
          </w:p>
        </w:tc>
        <w:tc>
          <w:tcPr>
            <w:tcW w:w="1842" w:type="dxa"/>
            <w:tcBorders>
              <w:top w:val="single" w:sz="4" w:space="0" w:color="000000" w:themeColor="text1"/>
              <w:left w:val="single" w:sz="4" w:space="0" w:color="000000" w:themeColor="text1"/>
              <w:bottom w:val="single" w:sz="4" w:space="0" w:color="auto"/>
              <w:right w:val="single" w:sz="4" w:space="0" w:color="000000" w:themeColor="text1"/>
            </w:tcBorders>
          </w:tcPr>
          <w:p w14:paraId="1F2E956B" w14:textId="77777777" w:rsidR="00661A0E" w:rsidRPr="00C8357D" w:rsidRDefault="00661A0E" w:rsidP="006E7719"/>
        </w:tc>
      </w:tr>
      <w:tr w:rsidR="00AE3B9A" w:rsidRPr="00343DBA" w14:paraId="54A44828"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01160EA9" w14:textId="13E25262" w:rsidR="00AE3B9A" w:rsidRDefault="00AE3B9A" w:rsidP="009337E3">
            <w:r>
              <w:t>Ozawa et al 2014</w:t>
            </w:r>
            <w:r>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 </w:instrText>
            </w:r>
            <w:r w:rsidR="002747EA">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83</w:t>
            </w:r>
            <w:r>
              <w:fldChar w:fldCharType="end"/>
            </w:r>
          </w:p>
          <w:p w14:paraId="463D21F7" w14:textId="77777777" w:rsidR="00AE3B9A" w:rsidRDefault="00AE3B9A" w:rsidP="009337E3">
            <w:r>
              <w:t>Japan</w:t>
            </w:r>
          </w:p>
          <w:p w14:paraId="324CDFE4" w14:textId="77777777" w:rsidR="00AE3B9A" w:rsidRDefault="00AE3B9A" w:rsidP="009337E3">
            <w:r>
              <w:t>Cohort</w:t>
            </w:r>
          </w:p>
        </w:tc>
        <w:tc>
          <w:tcPr>
            <w:tcW w:w="1276" w:type="dxa"/>
            <w:tcBorders>
              <w:top w:val="single" w:sz="4" w:space="0" w:color="auto"/>
              <w:left w:val="single" w:sz="4" w:space="0" w:color="auto"/>
              <w:bottom w:val="single" w:sz="4" w:space="0" w:color="auto"/>
              <w:right w:val="single" w:sz="4" w:space="0" w:color="auto"/>
            </w:tcBorders>
          </w:tcPr>
          <w:p w14:paraId="4A3606FE" w14:textId="77777777" w:rsidR="00AE3B9A" w:rsidRDefault="00AE3B9A" w:rsidP="009337E3">
            <w:r w:rsidRPr="004C463B">
              <w:t>650 mother-baby pairs</w:t>
            </w:r>
          </w:p>
        </w:tc>
        <w:tc>
          <w:tcPr>
            <w:tcW w:w="4821" w:type="dxa"/>
            <w:tcBorders>
              <w:top w:val="single" w:sz="4" w:space="0" w:color="auto"/>
              <w:left w:val="single" w:sz="4" w:space="0" w:color="auto"/>
              <w:bottom w:val="single" w:sz="4" w:space="0" w:color="auto"/>
              <w:right w:val="single" w:sz="4" w:space="0" w:color="auto"/>
            </w:tcBorders>
          </w:tcPr>
          <w:p w14:paraId="15B71DF6" w14:textId="77777777" w:rsidR="00AE3B9A" w:rsidRDefault="00AE3B9A" w:rsidP="009337E3">
            <w:r w:rsidRPr="004C463B">
              <w:rPr>
                <w:b/>
              </w:rPr>
              <w:t>Aim</w:t>
            </w:r>
            <w:r>
              <w:t>: T</w:t>
            </w:r>
            <w:r w:rsidRPr="004C463B">
              <w:t xml:space="preserve">o investigate the association between the maternal diet during pregnancy and the risk of eczema in infancy in Japan. </w:t>
            </w:r>
          </w:p>
          <w:p w14:paraId="2D05181F" w14:textId="77777777" w:rsidR="00AE3B9A" w:rsidRPr="005C39B9" w:rsidRDefault="00AE3B9A" w:rsidP="009337E3">
            <w:pPr>
              <w:rPr>
                <w:b/>
              </w:rPr>
            </w:pPr>
            <w:r w:rsidRPr="004C463B">
              <w:rPr>
                <w:b/>
              </w:rPr>
              <w:t>Methods</w:t>
            </w:r>
            <w:r w:rsidRPr="004C463B">
              <w:t xml:space="preserve">: A birth cohort was set up at 2 hospitals in Chiba city. Dietary habits concerning fish, butter, margarine, yogurt and natto </w:t>
            </w:r>
            <w:r>
              <w:t xml:space="preserve">(Japanese traditional fermented soy beans) </w:t>
            </w:r>
            <w:r w:rsidRPr="004C463B">
              <w:t xml:space="preserve">during pregnancy was obtained from mothers just after delivery. The intake frequencies of these foods were classified into four groups: 1) daily, 2) 2-3 times a week, 3) once a week and 4) once a month or less. Diagnosis of eczema at 6 months of age was made by the presence of an itchy rash that persisted more than two months. </w:t>
            </w:r>
          </w:p>
        </w:tc>
        <w:tc>
          <w:tcPr>
            <w:tcW w:w="4536" w:type="dxa"/>
            <w:tcBorders>
              <w:top w:val="single" w:sz="4" w:space="0" w:color="auto"/>
              <w:left w:val="single" w:sz="4" w:space="0" w:color="auto"/>
              <w:bottom w:val="single" w:sz="4" w:space="0" w:color="auto"/>
              <w:right w:val="single" w:sz="4" w:space="0" w:color="auto"/>
            </w:tcBorders>
          </w:tcPr>
          <w:p w14:paraId="377B281E" w14:textId="77777777" w:rsidR="00AE3B9A" w:rsidRPr="004C463B" w:rsidRDefault="00AE3B9A" w:rsidP="009337E3">
            <w:r w:rsidRPr="004C463B">
              <w:t>For natto, incidence of babies' eczema was significantly lower in the group with everyday intake than those eating</w:t>
            </w:r>
            <w:r>
              <w:t xml:space="preserve"> it 2-3 times a week or less (p=</w:t>
            </w:r>
            <w:r w:rsidRPr="004C463B">
              <w:t xml:space="preserve">0.020). </w:t>
            </w:r>
          </w:p>
        </w:tc>
        <w:tc>
          <w:tcPr>
            <w:tcW w:w="1842" w:type="dxa"/>
            <w:tcBorders>
              <w:top w:val="single" w:sz="4" w:space="0" w:color="auto"/>
              <w:left w:val="single" w:sz="4" w:space="0" w:color="auto"/>
              <w:bottom w:val="single" w:sz="4" w:space="0" w:color="auto"/>
              <w:right w:val="single" w:sz="4" w:space="0" w:color="auto"/>
            </w:tcBorders>
          </w:tcPr>
          <w:p w14:paraId="0ABECBFC" w14:textId="77777777" w:rsidR="00AE3B9A" w:rsidRDefault="00AE3B9A" w:rsidP="009337E3"/>
        </w:tc>
      </w:tr>
      <w:tr w:rsidR="00AE3B9A" w:rsidRPr="00343DBA" w14:paraId="032FFA8D" w14:textId="77777777" w:rsidTr="00710F4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3D70F68E" w14:textId="74472853" w:rsidR="00AE3B9A" w:rsidRPr="00532DE7" w:rsidRDefault="00AE3B9A" w:rsidP="009337E3">
            <w:r w:rsidRPr="00532DE7">
              <w:t>Miyake et al 2018</w:t>
            </w:r>
            <w:r w:rsidR="00774750">
              <w:fldChar w:fldCharType="begin">
                <w:fldData xml:space="preserve">PEVuZE5vdGU+PENpdGU+PEF1dGhvcj5NaXlha2U8L0F1dGhvcj48WWVhcj4yMDE4PC9ZZWFyPjxS
ZWNOdW0+MTcyMzwvUmVjTnVtPjxEaXNwbGF5VGV4dD48c3R5bGUgZmFjZT0ic3VwZXJzY3JpcHQi
IGZvbnQ9IlRyZWJ1Y2hldCBNUyIgc2l6ZT0iOSI+MTEyPC9zdHlsZT48L0Rpc3BsYXlUZXh0Pjxy
ZWNvcmQ+PHJlYy1udW1iZXI+MTcyMzwvcmVjLW51bWJlcj48Zm9yZWlnbi1rZXlzPjxrZXkgYXBw
PSJFTiIgZGItaWQ9ImV4dmFzcmZ4MmR0cmFvZXNhc3hwMnN6c3hhMmRmNTAyNTkyeCIgdGltZXN0
YW1wPSIxNTgyNTA2MTc4Ij4xNzIzPC9rZXk+PGtleSBhcHA9IkVOV2ViIiBkYi1pZD0iIj4wPC9r
ZXk+PC9mb3JlaWduLWtleXM+PHJlZi10eXBlIG5hbWU9IkpvdXJuYWwgQXJ0aWNsZSI+MTc8L3Jl
Zi10eXBlPjxjb250cmlidXRvcnM+PGF1dGhvcnM+PGF1dGhvcj5NaXlha2UsIFkuPC9hdXRob3I+
PGF1dGhvcj5UYW5ha2EsIEsuPC9hdXRob3I+PGF1dGhvcj5Pa3VibywgSC48L2F1dGhvcj48YXV0
aG9yPlNhc2FraSwgUy48L2F1dGhvcj48YXV0aG9yPkZ1cnVrYXdhLCBTLjwvYXV0aG9yPjxhdXRo
b3I+QXJha2F3YSwgTS48L2F1dGhvcj48L2F1dGhvcnM+PC9jb250cmlidXRvcnM+PGF1dGgtYWRk
cmVzcz5EZXBhcnRtZW50IG9mIEVwaWRlbWlvbG9neSBhbmQgUHJldmVudGl2ZSBNZWRpY2luZSwg
RWhpbWUgVW5pdmVyc2l0eSBHcmFkdWF0ZSBTY2hvb2wgb2YgTWVkaWNpbmUsIEVoaW1lLCA3OTEt
MDI5NSwgSmFwYW4uIG1peWFrZS55b3NoaWhpcm8ubHNAZWhpbWUtdS5hYy5qcC4mI3hEO0VwaWRl
bWlvbG9neSBhbmQgTWVkaWNhbCBTdGF0aXN0aWNzIFVuaXQsIFRyYW5zbGF0aW9uYWwgUmVzZWFy
Y2ggQ2VudGVyLCBFaGltZSBVbml2ZXJzaXR5IEhvc3BpdGFsLCBFaGltZSwgSmFwYW4uIG1peWFr
ZS55b3NoaWhpcm8ubHNAZWhpbWUtdS5hYy5qcC4mI3hEO0RlcGFydG1lbnQgb2YgRXBpZGVtaW9s
b2d5IGFuZCBQcmV2ZW50aXZlIE1lZGljaW5lLCBFaGltZSBVbml2ZXJzaXR5IEdyYWR1YXRlIFNj
aG9vbCBvZiBNZWRpY2luZSwgRWhpbWUsIDc5MS0wMjk1LCBKYXBhbi4mI3hEO0VwaWRlbWlvbG9n
eSBhbmQgTWVkaWNhbCBTdGF0aXN0aWNzIFVuaXQsIFRyYW5zbGF0aW9uYWwgUmVzZWFyY2ggQ2Vu
dGVyLCBFaGltZSBVbml2ZXJzaXR5IEhvc3BpdGFsLCBFaGltZSwgSmFwYW4uJiN4RDtEZXBhcnRt
ZW50IG9mIEhlYWx0aCBQcm9tb3Rpb24sIE5hdGlvbmFsIEluc3RpdHV0ZSBvZiBQdWJsaWMgSGVh
bHRoLCBTYWl0YW1hLCBKYXBhbi4mI3hEO0RlcGFydG1lbnQgb2YgU29jaWFsIGFuZCBQcmV2ZW50
aXZlIEVwaWRlbWlvbG9neSwgU2Nob29sIG9mIFB1YmxpYyBIZWFsdGgsIFRoZSBVbml2ZXJzaXR5
IG9mIFRva3lvLCBUb2t5bywgSmFwYW4uJiN4RDtIZWFsdGggVG91cmlzbSBSZXNlYXJjaCBGaWVs
ZHMsIEdyYWR1YXRlIFNjaG9vbCBvZiBUb3VyaXNtIFNjaWVuY2VzLCBVbml2ZXJzaXR5IG9mIHRo
ZSBSeXVreXVzLCBPa2luYXdhLCBKYXBhbi48L2F1dGgtYWRkcmVzcz48dGl0bGVzPjx0aXRsZT5T
b3kgaXNvZmxhdm9uZSBpbnRha2UgYW5kIHByZXZhbGVuY2Ugb2YgZGVwcmVzc2l2ZSBzeW1wdG9t
cyBkdXJpbmcgcHJlZ25hbmN5IGluIEphcGFuOiBiYXNlbGluZSBkYXRhIGZyb20gdGhlIEt5dXNo
dSBPa2luYXdhIE1hdGVybmFsIGFuZCBDaGlsZCBIZWFsdGggU3R1ZHk8L3RpdGxlPjxzZWNvbmRh
cnktdGl0bGU+RXVyIEogTnV0cjwvc2Vjb25kYXJ5LXRpdGxlPjwvdGl0bGVzPjxwZXJpb2RpY2Fs
PjxmdWxsLXRpdGxlPkV1ciBKIE51dHI8L2Z1bGwtdGl0bGU+PC9wZXJpb2RpY2FsPjxwYWdlcz40
NDEtNDUwPC9wYWdlcz48dm9sdW1lPjU3PC92b2x1bWU+PG51bWJlcj4yPC9udW1iZXI+PGVkaXRp
b24+MjAxNi8xMC8xNzwvZWRpdGlvbj48a2V5d29yZHM+PGtleXdvcmQ+QWR1bHQ8L2tleXdvcmQ+
PGtleXdvcmQ+Q29ob3J0IFN0dWRpZXM8L2tleXdvcmQ+PGtleXdvcmQ+Q3Jvc3MtU2VjdGlvbmFs
IFN0dWRpZXM8L2tleXdvcmQ+PGtleXdvcmQ+RGVwcmVzc2lvbi9lcGlkZW1pb2xvZ3kvZXRobm9s
b2d5L3ByZXZlbnRpb24gJmFtcDsgY29udHJvbDwva2V5d29yZD48a2V5d29yZD5EZXByZXNzaXZl
IERpc29yZGVyL2VwaWRlbWlvbG9neS9ldGhub2xvZ3kvKnByZXZlbnRpb24gJmFtcDsgY29udHJv
bDwva2V5d29yZD48a2V5d29yZD4qRGlldC9ldGhub2xvZ3k8L2tleXdvcmQ+PGtleXdvcmQ+RmVt
YWxlPC9rZXl3b3JkPjxrZXl3b3JkPkZlcm1lbnRlZCBGb29kcyBhbmQgQmV2ZXJhZ2VzPC9rZXl3
b3JkPjxrZXl3b3JkPipGdW5jdGlvbmFsIEZvb2Q8L2tleXdvcmQ+PGtleXdvcmQ+SHVtYW5zPC9r
ZXl3b3JkPjxrZXl3b3JkPklzb2ZsYXZvbmVzLyp0aGVyYXBldXRpYyB1c2U8L2tleXdvcmQ+PGtl
eXdvcmQ+SmFwYW4vZXBpZGVtaW9sb2d5PC9rZXl3b3JkPjxrZXl3b3JkPipNYXRlcm5hbCBOdXRy
aXRpb25hbCBQaHlzaW9sb2dpY2FsIFBoZW5vbWVuYS9ldGhub2xvZ3k8L2tleXdvcmQ+PGtleXdv
cmQ+TnV0cml0aW9uIFN1cnZleXM8L2tleXdvcmQ+PGtleXdvcmQ+UHJlZ25hbmN5PC9rZXl3b3Jk
PjxrZXl3b3JkPlByZWduYW5jeSBDb21wbGljYXRpb25zL2VwaWRlbWlvbG9neS9ldGhub2xvZ3kv
KnByZXZlbnRpb24gJmFtcDsgY29udHJvbDwva2V5d29yZD48a2V5d29yZD5QcmV2YWxlbmNlPC9r
ZXl3b3JkPjxrZXl3b3JkPlByb3NwZWN0aXZlIFN0dWRpZXM8L2tleXdvcmQ+PGtleXdvcmQ+UHN5
Y2hpYXRyaWMgU3RhdHVzIFJhdGluZyBTY2FsZXM8L2tleXdvcmQ+PGtleXdvcmQ+KlNveSBGb29k
czwva2V5d29yZD48a2V5d29yZD5Tb3kgTWlsazwva2V5d29yZD48a2V5d29yZD5EZXByZXNzaXZl
IHN5bXB0b21zPC9rZXl3b3JkPjxrZXl3b3JkPkludGFrZTwva2V5d29yZD48a2V5d29yZD5Jc29m
bGF2b25lczwva2V5d29yZD48a2V5d29yZD5KYXBhbmVzZTwva2V5d29yZD48a2V5d29yZD5Tb3k8
L2tleXdvcmQ+PC9rZXl3b3Jkcz48ZGF0ZXM+PHllYXI+MjAxODwveWVhcj48cHViLWRhdGVzPjxk
YXRlPk1hcjwvZGF0ZT48L3B1Yi1kYXRlcz48L2RhdGVzPjxpc2JuPjE0MzYtNjIxNSAoRWxlY3Ry
b25pYykmI3hEOzE0MzYtNjIwNyAoTGlua2luZyk8L2lzYm4+PGFjY2Vzc2lvbi1udW0+Mjc3NDQ1
NDY8L2FjY2Vzc2lvbi1udW0+PHVybHM+PHJlbGF0ZWQtdXJscz48dXJsPmh0dHBzOi8vd3d3Lm5j
YmkubmxtLm5paC5nb3YvcHVibWVkLzI3NzQ0NTQ2PC91cmw+PC9yZWxhdGVkLXVybHM+PC91cmxz
PjxlbGVjdHJvbmljLXJlc291cmNlLW51bT4xMC4xMDA3L3MwMDM5NC0wMTYtMTMyNy01PC9lbGVj
dHJvbmljLXJlc291cmNlLW51bT48L3JlY29yZD48L0NpdGU+PC9FbmROb3RlPn==
</w:fldData>
              </w:fldChar>
            </w:r>
            <w:r w:rsidR="002747EA">
              <w:instrText xml:space="preserve"> ADDIN EN.CITE </w:instrText>
            </w:r>
            <w:r w:rsidR="002747EA">
              <w:fldChar w:fldCharType="begin">
                <w:fldData xml:space="preserve">PEVuZE5vdGU+PENpdGU+PEF1dGhvcj5NaXlha2U8L0F1dGhvcj48WWVhcj4yMDE4PC9ZZWFyPjxS
ZWNOdW0+MTcyMzwvUmVjTnVtPjxEaXNwbGF5VGV4dD48c3R5bGUgZmFjZT0ic3VwZXJzY3JpcHQi
IGZvbnQ9IlRyZWJ1Y2hldCBNUyIgc2l6ZT0iOSI+MTEyPC9zdHlsZT48L0Rpc3BsYXlUZXh0Pjxy
ZWNvcmQ+PHJlYy1udW1iZXI+MTcyMzwvcmVjLW51bWJlcj48Zm9yZWlnbi1rZXlzPjxrZXkgYXBw
PSJFTiIgZGItaWQ9ImV4dmFzcmZ4MmR0cmFvZXNhc3hwMnN6c3hhMmRmNTAyNTkyeCIgdGltZXN0
YW1wPSIxNTgyNTA2MTc4Ij4xNzIzPC9rZXk+PGtleSBhcHA9IkVOV2ViIiBkYi1pZD0iIj4wPC9r
ZXk+PC9mb3JlaWduLWtleXM+PHJlZi10eXBlIG5hbWU9IkpvdXJuYWwgQXJ0aWNsZSI+MTc8L3Jl
Zi10eXBlPjxjb250cmlidXRvcnM+PGF1dGhvcnM+PGF1dGhvcj5NaXlha2UsIFkuPC9hdXRob3I+
PGF1dGhvcj5UYW5ha2EsIEsuPC9hdXRob3I+PGF1dGhvcj5Pa3VibywgSC48L2F1dGhvcj48YXV0
aG9yPlNhc2FraSwgUy48L2F1dGhvcj48YXV0aG9yPkZ1cnVrYXdhLCBTLjwvYXV0aG9yPjxhdXRo
b3I+QXJha2F3YSwgTS48L2F1dGhvcj48L2F1dGhvcnM+PC9jb250cmlidXRvcnM+PGF1dGgtYWRk
cmVzcz5EZXBhcnRtZW50IG9mIEVwaWRlbWlvbG9neSBhbmQgUHJldmVudGl2ZSBNZWRpY2luZSwg
RWhpbWUgVW5pdmVyc2l0eSBHcmFkdWF0ZSBTY2hvb2wgb2YgTWVkaWNpbmUsIEVoaW1lLCA3OTEt
MDI5NSwgSmFwYW4uIG1peWFrZS55b3NoaWhpcm8ubHNAZWhpbWUtdS5hYy5qcC4mI3hEO0VwaWRl
bWlvbG9neSBhbmQgTWVkaWNhbCBTdGF0aXN0aWNzIFVuaXQsIFRyYW5zbGF0aW9uYWwgUmVzZWFy
Y2ggQ2VudGVyLCBFaGltZSBVbml2ZXJzaXR5IEhvc3BpdGFsLCBFaGltZSwgSmFwYW4uIG1peWFr
ZS55b3NoaWhpcm8ubHNAZWhpbWUtdS5hYy5qcC4mI3hEO0RlcGFydG1lbnQgb2YgRXBpZGVtaW9s
b2d5IGFuZCBQcmV2ZW50aXZlIE1lZGljaW5lLCBFaGltZSBVbml2ZXJzaXR5IEdyYWR1YXRlIFNj
aG9vbCBvZiBNZWRpY2luZSwgRWhpbWUsIDc5MS0wMjk1LCBKYXBhbi4mI3hEO0VwaWRlbWlvbG9n
eSBhbmQgTWVkaWNhbCBTdGF0aXN0aWNzIFVuaXQsIFRyYW5zbGF0aW9uYWwgUmVzZWFyY2ggQ2Vu
dGVyLCBFaGltZSBVbml2ZXJzaXR5IEhvc3BpdGFsLCBFaGltZSwgSmFwYW4uJiN4RDtEZXBhcnRt
ZW50IG9mIEhlYWx0aCBQcm9tb3Rpb24sIE5hdGlvbmFsIEluc3RpdHV0ZSBvZiBQdWJsaWMgSGVh
bHRoLCBTYWl0YW1hLCBKYXBhbi4mI3hEO0RlcGFydG1lbnQgb2YgU29jaWFsIGFuZCBQcmV2ZW50
aXZlIEVwaWRlbWlvbG9neSwgU2Nob29sIG9mIFB1YmxpYyBIZWFsdGgsIFRoZSBVbml2ZXJzaXR5
IG9mIFRva3lvLCBUb2t5bywgSmFwYW4uJiN4RDtIZWFsdGggVG91cmlzbSBSZXNlYXJjaCBGaWVs
ZHMsIEdyYWR1YXRlIFNjaG9vbCBvZiBUb3VyaXNtIFNjaWVuY2VzLCBVbml2ZXJzaXR5IG9mIHRo
ZSBSeXVreXVzLCBPa2luYXdhLCBKYXBhbi48L2F1dGgtYWRkcmVzcz48dGl0bGVzPjx0aXRsZT5T
b3kgaXNvZmxhdm9uZSBpbnRha2UgYW5kIHByZXZhbGVuY2Ugb2YgZGVwcmVzc2l2ZSBzeW1wdG9t
cyBkdXJpbmcgcHJlZ25hbmN5IGluIEphcGFuOiBiYXNlbGluZSBkYXRhIGZyb20gdGhlIEt5dXNo
dSBPa2luYXdhIE1hdGVybmFsIGFuZCBDaGlsZCBIZWFsdGggU3R1ZHk8L3RpdGxlPjxzZWNvbmRh
cnktdGl0bGU+RXVyIEogTnV0cjwvc2Vjb25kYXJ5LXRpdGxlPjwvdGl0bGVzPjxwZXJpb2RpY2Fs
PjxmdWxsLXRpdGxlPkV1ciBKIE51dHI8L2Z1bGwtdGl0bGU+PC9wZXJpb2RpY2FsPjxwYWdlcz40
NDEtNDUwPC9wYWdlcz48dm9sdW1lPjU3PC92b2x1bWU+PG51bWJlcj4yPC9udW1iZXI+PGVkaXRp
b24+MjAxNi8xMC8xNzwvZWRpdGlvbj48a2V5d29yZHM+PGtleXdvcmQ+QWR1bHQ8L2tleXdvcmQ+
PGtleXdvcmQ+Q29ob3J0IFN0dWRpZXM8L2tleXdvcmQ+PGtleXdvcmQ+Q3Jvc3MtU2VjdGlvbmFs
IFN0dWRpZXM8L2tleXdvcmQ+PGtleXdvcmQ+RGVwcmVzc2lvbi9lcGlkZW1pb2xvZ3kvZXRobm9s
b2d5L3ByZXZlbnRpb24gJmFtcDsgY29udHJvbDwva2V5d29yZD48a2V5d29yZD5EZXByZXNzaXZl
IERpc29yZGVyL2VwaWRlbWlvbG9neS9ldGhub2xvZ3kvKnByZXZlbnRpb24gJmFtcDsgY29udHJv
bDwva2V5d29yZD48a2V5d29yZD4qRGlldC9ldGhub2xvZ3k8L2tleXdvcmQ+PGtleXdvcmQ+RmVt
YWxlPC9rZXl3b3JkPjxrZXl3b3JkPkZlcm1lbnRlZCBGb29kcyBhbmQgQmV2ZXJhZ2VzPC9rZXl3
b3JkPjxrZXl3b3JkPipGdW5jdGlvbmFsIEZvb2Q8L2tleXdvcmQ+PGtleXdvcmQ+SHVtYW5zPC9r
ZXl3b3JkPjxrZXl3b3JkPklzb2ZsYXZvbmVzLyp0aGVyYXBldXRpYyB1c2U8L2tleXdvcmQ+PGtl
eXdvcmQ+SmFwYW4vZXBpZGVtaW9sb2d5PC9rZXl3b3JkPjxrZXl3b3JkPipNYXRlcm5hbCBOdXRy
aXRpb25hbCBQaHlzaW9sb2dpY2FsIFBoZW5vbWVuYS9ldGhub2xvZ3k8L2tleXdvcmQ+PGtleXdv
cmQ+TnV0cml0aW9uIFN1cnZleXM8L2tleXdvcmQ+PGtleXdvcmQ+UHJlZ25hbmN5PC9rZXl3b3Jk
PjxrZXl3b3JkPlByZWduYW5jeSBDb21wbGljYXRpb25zL2VwaWRlbWlvbG9neS9ldGhub2xvZ3kv
KnByZXZlbnRpb24gJmFtcDsgY29udHJvbDwva2V5d29yZD48a2V5d29yZD5QcmV2YWxlbmNlPC9r
ZXl3b3JkPjxrZXl3b3JkPlByb3NwZWN0aXZlIFN0dWRpZXM8L2tleXdvcmQ+PGtleXdvcmQ+UHN5
Y2hpYXRyaWMgU3RhdHVzIFJhdGluZyBTY2FsZXM8L2tleXdvcmQ+PGtleXdvcmQ+KlNveSBGb29k
czwva2V5d29yZD48a2V5d29yZD5Tb3kgTWlsazwva2V5d29yZD48a2V5d29yZD5EZXByZXNzaXZl
IHN5bXB0b21zPC9rZXl3b3JkPjxrZXl3b3JkPkludGFrZTwva2V5d29yZD48a2V5d29yZD5Jc29m
bGF2b25lczwva2V5d29yZD48a2V5d29yZD5KYXBhbmVzZTwva2V5d29yZD48a2V5d29yZD5Tb3k8
L2tleXdvcmQ+PC9rZXl3b3Jkcz48ZGF0ZXM+PHllYXI+MjAxODwveWVhcj48cHViLWRhdGVzPjxk
YXRlPk1hcjwvZGF0ZT48L3B1Yi1kYXRlcz48L2RhdGVzPjxpc2JuPjE0MzYtNjIxNSAoRWxlY3Ry
b25pYykmI3hEOzE0MzYtNjIwNyAoTGlua2luZyk8L2lzYm4+PGFjY2Vzc2lvbi1udW0+Mjc3NDQ1
NDY8L2FjY2Vzc2lvbi1udW0+PHVybHM+PHJlbGF0ZWQtdXJscz48dXJsPmh0dHBzOi8vd3d3Lm5j
YmkubmxtLm5paC5nb3YvcHVibWVkLzI3NzQ0NTQ2PC91cmw+PC9yZWxhdGVkLXVybHM+PC91cmxz
PjxlbGVjdHJvbmljLXJlc291cmNlLW51bT4xMC4xMDA3L3MwMDM5NC0wMTYtMTMyNy01PC9lbGVj
dHJvbmljLXJlc291cmNlLW51bT48L3JlY29yZD48L0NpdGU+PC9FbmROb3RlPn==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112</w:t>
            </w:r>
            <w:r w:rsidR="00774750">
              <w:fldChar w:fldCharType="end"/>
            </w:r>
          </w:p>
          <w:p w14:paraId="31AF7F20" w14:textId="77777777" w:rsidR="00AE3B9A" w:rsidRPr="00532DE7" w:rsidRDefault="00AE3B9A" w:rsidP="009337E3">
            <w:r w:rsidRPr="00532DE7">
              <w:t>Japan</w:t>
            </w:r>
          </w:p>
          <w:p w14:paraId="34ACCACA" w14:textId="77777777" w:rsidR="00AE3B9A" w:rsidRPr="00532DE7" w:rsidRDefault="00AE3B9A" w:rsidP="009337E3">
            <w:r w:rsidRPr="00532DE7">
              <w:t>Cross-section</w:t>
            </w:r>
          </w:p>
        </w:tc>
        <w:tc>
          <w:tcPr>
            <w:tcW w:w="1276" w:type="dxa"/>
            <w:tcBorders>
              <w:top w:val="single" w:sz="4" w:space="0" w:color="auto"/>
              <w:left w:val="single" w:sz="4" w:space="0" w:color="auto"/>
              <w:bottom w:val="single" w:sz="4" w:space="0" w:color="auto"/>
              <w:right w:val="single" w:sz="4" w:space="0" w:color="auto"/>
            </w:tcBorders>
          </w:tcPr>
          <w:p w14:paraId="63EC6AE4" w14:textId="77777777" w:rsidR="00AE3B9A" w:rsidRPr="00532DE7" w:rsidRDefault="00AE3B9A" w:rsidP="009337E3">
            <w:r w:rsidRPr="00532DE7">
              <w:t>1,745 women</w:t>
            </w:r>
          </w:p>
        </w:tc>
        <w:tc>
          <w:tcPr>
            <w:tcW w:w="4821" w:type="dxa"/>
            <w:tcBorders>
              <w:top w:val="single" w:sz="4" w:space="0" w:color="auto"/>
              <w:left w:val="single" w:sz="4" w:space="0" w:color="auto"/>
              <w:bottom w:val="single" w:sz="4" w:space="0" w:color="auto"/>
              <w:right w:val="single" w:sz="4" w:space="0" w:color="auto"/>
            </w:tcBorders>
          </w:tcPr>
          <w:p w14:paraId="7FCD9FEA" w14:textId="77777777" w:rsidR="00AE3B9A" w:rsidRPr="00532DE7" w:rsidRDefault="00AE3B9A" w:rsidP="009337E3">
            <w:r w:rsidRPr="00532DE7">
              <w:rPr>
                <w:b/>
              </w:rPr>
              <w:t>Aim</w:t>
            </w:r>
            <w:r w:rsidRPr="00532DE7">
              <w:t xml:space="preserve">: To examine the relationship between isoflavones or soybeans and depressive symptoms during pregnancy in Japan. </w:t>
            </w:r>
          </w:p>
          <w:p w14:paraId="0E7CD437" w14:textId="77777777" w:rsidR="00AE3B9A" w:rsidRPr="00532DE7" w:rsidRDefault="00AE3B9A" w:rsidP="009337E3">
            <w:pPr>
              <w:rPr>
                <w:b/>
              </w:rPr>
            </w:pPr>
            <w:r w:rsidRPr="00532DE7">
              <w:rPr>
                <w:b/>
              </w:rPr>
              <w:t>Methods</w:t>
            </w:r>
            <w:r w:rsidRPr="00532DE7">
              <w:t xml:space="preserve">: Dietary intake during the preceding month was assessed using a self-administered diet history questionnaire. Depressive symptoms were defined by a score of 16 or over in the Center for Epidemiologic Studies Depression Scale. </w:t>
            </w:r>
          </w:p>
        </w:tc>
        <w:tc>
          <w:tcPr>
            <w:tcW w:w="4536" w:type="dxa"/>
            <w:tcBorders>
              <w:top w:val="single" w:sz="4" w:space="0" w:color="auto"/>
              <w:left w:val="single" w:sz="4" w:space="0" w:color="auto"/>
              <w:bottom w:val="single" w:sz="4" w:space="0" w:color="auto"/>
              <w:right w:val="single" w:sz="4" w:space="0" w:color="auto"/>
            </w:tcBorders>
          </w:tcPr>
          <w:p w14:paraId="65E5ED5D" w14:textId="77777777" w:rsidR="00AE3B9A" w:rsidRPr="001074DD" w:rsidRDefault="00AE3B9A" w:rsidP="009337E3">
            <w:r w:rsidRPr="00532DE7">
              <w:t>Higher intake of total soy products, tofu, tofu products, fermented soybeans, boiled soybeans, miso soup, and isoflavones was independently related to a lower prevalence of depressive symptoms during pregnancy: The adjusted prevalence ratios (95 % confidence intervals, P for trend) between extreme quartiles were 0.63 (0.47-0.85, 0.002), 0.72 (0.54-0.96, 0.007), 0.74 (0.56-0.98, 0.04), 0.57 (0.42-0.76, &lt;0.0001), 0.73 (0.55-0.98, 0.03), 0.65 (0.49-0.87, 0.003), and 0.63 (0.46-0.86, 0.002), respectively.</w:t>
            </w:r>
            <w:r w:rsidRPr="001074DD">
              <w:t xml:space="preserve"> </w:t>
            </w:r>
          </w:p>
        </w:tc>
        <w:tc>
          <w:tcPr>
            <w:tcW w:w="1842" w:type="dxa"/>
            <w:tcBorders>
              <w:top w:val="single" w:sz="4" w:space="0" w:color="auto"/>
              <w:left w:val="single" w:sz="4" w:space="0" w:color="auto"/>
              <w:bottom w:val="single" w:sz="4" w:space="0" w:color="auto"/>
              <w:right w:val="single" w:sz="4" w:space="0" w:color="auto"/>
            </w:tcBorders>
          </w:tcPr>
          <w:p w14:paraId="40CFE925" w14:textId="77777777" w:rsidR="00AE3B9A" w:rsidRDefault="00AE3B9A" w:rsidP="009337E3"/>
        </w:tc>
      </w:tr>
    </w:tbl>
    <w:p w14:paraId="034A0201" w14:textId="1E40C79F" w:rsidR="00510DED" w:rsidRDefault="009C163D" w:rsidP="005719CE">
      <w:pPr>
        <w:pStyle w:val="TableName"/>
        <w:ind w:left="1134" w:hanging="1134"/>
      </w:pPr>
      <w:bookmarkStart w:id="61" w:name="_Toc40956601"/>
      <w:r>
        <w:t xml:space="preserve">Q2 </w:t>
      </w:r>
      <w:r w:rsidR="007B1D24">
        <w:t>C</w:t>
      </w:r>
      <w:r w:rsidR="00510DED">
        <w:t>onsumption of meat</w:t>
      </w:r>
      <w:r w:rsidR="0097700A">
        <w:t xml:space="preserve"> during pregnancy</w:t>
      </w:r>
      <w:bookmarkEnd w:id="6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3: Q2 Consumption of meat during pregnancy"/>
      </w:tblPr>
      <w:tblGrid>
        <w:gridCol w:w="1422"/>
        <w:gridCol w:w="1129"/>
        <w:gridCol w:w="4962"/>
        <w:gridCol w:w="4536"/>
        <w:gridCol w:w="1843"/>
      </w:tblGrid>
      <w:tr w:rsidR="00510DED" w:rsidRPr="00F350A6" w14:paraId="4846E5FF" w14:textId="77777777" w:rsidTr="001F7D2B">
        <w:trPr>
          <w:cantSplit/>
          <w:trHeight w:val="390"/>
          <w:tblHeader/>
        </w:trPr>
        <w:tc>
          <w:tcPr>
            <w:tcW w:w="1422" w:type="dxa"/>
            <w:tcBorders>
              <w:bottom w:val="single" w:sz="4" w:space="0" w:color="auto"/>
            </w:tcBorders>
          </w:tcPr>
          <w:p w14:paraId="493B800F" w14:textId="77777777" w:rsidR="00510DED" w:rsidRPr="00F350A6" w:rsidRDefault="00510DED" w:rsidP="002F1844">
            <w:pPr>
              <w:keepNext/>
              <w:rPr>
                <w:b/>
              </w:rPr>
            </w:pPr>
            <w:r>
              <w:rPr>
                <w:b/>
              </w:rPr>
              <w:t>Study ref</w:t>
            </w:r>
          </w:p>
        </w:tc>
        <w:tc>
          <w:tcPr>
            <w:tcW w:w="1129" w:type="dxa"/>
            <w:tcBorders>
              <w:bottom w:val="single" w:sz="4" w:space="0" w:color="auto"/>
            </w:tcBorders>
          </w:tcPr>
          <w:p w14:paraId="0AAC92ED" w14:textId="77777777" w:rsidR="00510DED" w:rsidRPr="00F350A6" w:rsidRDefault="00510DED" w:rsidP="002F1844">
            <w:pPr>
              <w:keepNext/>
              <w:rPr>
                <w:b/>
              </w:rPr>
            </w:pPr>
            <w:r>
              <w:rPr>
                <w:b/>
              </w:rPr>
              <w:t>N</w:t>
            </w:r>
          </w:p>
        </w:tc>
        <w:tc>
          <w:tcPr>
            <w:tcW w:w="4962" w:type="dxa"/>
            <w:tcBorders>
              <w:bottom w:val="single" w:sz="4" w:space="0" w:color="auto"/>
            </w:tcBorders>
          </w:tcPr>
          <w:p w14:paraId="198D3F8E" w14:textId="77777777" w:rsidR="00510DED" w:rsidRPr="00F350A6" w:rsidRDefault="00510DED" w:rsidP="002F1844">
            <w:pPr>
              <w:keepNext/>
              <w:rPr>
                <w:b/>
              </w:rPr>
            </w:pPr>
            <w:r>
              <w:rPr>
                <w:b/>
              </w:rPr>
              <w:t>Aim/methods</w:t>
            </w:r>
          </w:p>
        </w:tc>
        <w:tc>
          <w:tcPr>
            <w:tcW w:w="4536" w:type="dxa"/>
            <w:tcBorders>
              <w:bottom w:val="single" w:sz="4" w:space="0" w:color="auto"/>
            </w:tcBorders>
          </w:tcPr>
          <w:p w14:paraId="5ACBD991" w14:textId="77777777" w:rsidR="00510DED" w:rsidRPr="00F350A6" w:rsidRDefault="00510DED" w:rsidP="002F1844">
            <w:pPr>
              <w:keepNext/>
              <w:rPr>
                <w:b/>
              </w:rPr>
            </w:pPr>
            <w:r>
              <w:rPr>
                <w:b/>
              </w:rPr>
              <w:t>Results</w:t>
            </w:r>
          </w:p>
        </w:tc>
        <w:tc>
          <w:tcPr>
            <w:tcW w:w="1843" w:type="dxa"/>
            <w:tcBorders>
              <w:bottom w:val="single" w:sz="4" w:space="0" w:color="auto"/>
            </w:tcBorders>
          </w:tcPr>
          <w:p w14:paraId="5966653E" w14:textId="77777777" w:rsidR="00510DED" w:rsidRPr="00F350A6" w:rsidRDefault="00510DED" w:rsidP="002F1844">
            <w:pPr>
              <w:keepNext/>
              <w:rPr>
                <w:b/>
              </w:rPr>
            </w:pPr>
            <w:r>
              <w:rPr>
                <w:b/>
              </w:rPr>
              <w:t>Comments</w:t>
            </w:r>
          </w:p>
        </w:tc>
      </w:tr>
      <w:tr w:rsidR="00717D84" w:rsidRPr="00C8357D" w14:paraId="59AA61CB" w14:textId="77777777" w:rsidTr="001F7D2B">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22" w:type="dxa"/>
            <w:tcBorders>
              <w:top w:val="single" w:sz="4" w:space="0" w:color="auto"/>
              <w:left w:val="single" w:sz="4" w:space="0" w:color="auto"/>
              <w:bottom w:val="single" w:sz="4" w:space="0" w:color="000000" w:themeColor="text1"/>
              <w:right w:val="single" w:sz="4" w:space="0" w:color="auto"/>
            </w:tcBorders>
          </w:tcPr>
          <w:p w14:paraId="2AE01807" w14:textId="767E49BD" w:rsidR="00717D84" w:rsidRPr="00880A17" w:rsidRDefault="00717D84" w:rsidP="002F1844">
            <w:r w:rsidRPr="00880A17">
              <w:t>Castro-Rodriguez</w:t>
            </w:r>
            <w:r>
              <w:t xml:space="preserve"> et al 2016</w:t>
            </w:r>
            <w:r w:rsidR="00767EBF">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767EBF">
              <w:fldChar w:fldCharType="separate"/>
            </w:r>
            <w:r w:rsidR="002747EA" w:rsidRPr="002747EA">
              <w:rPr>
                <w:noProof/>
                <w:vertAlign w:val="superscript"/>
              </w:rPr>
              <w:t>53</w:t>
            </w:r>
            <w:r w:rsidR="00767EBF">
              <w:fldChar w:fldCharType="end"/>
            </w:r>
          </w:p>
          <w:p w14:paraId="1389DB14" w14:textId="77777777" w:rsidR="00D51984" w:rsidRPr="00D51984" w:rsidRDefault="00D51984" w:rsidP="00D51984">
            <w:r w:rsidRPr="00D51984">
              <w:t>International Study of Wheezing in Infants </w:t>
            </w:r>
          </w:p>
          <w:p w14:paraId="2AA63E25" w14:textId="77777777" w:rsidR="00D51984" w:rsidRPr="00880A17" w:rsidRDefault="00D51984" w:rsidP="00D51984">
            <w:r>
              <w:t>Spain</w:t>
            </w:r>
          </w:p>
          <w:p w14:paraId="7206A02D" w14:textId="46AAEDE7" w:rsidR="00717D84" w:rsidRDefault="00D51984" w:rsidP="00D51984">
            <w:r>
              <w:t>Cohort</w:t>
            </w:r>
          </w:p>
        </w:tc>
        <w:tc>
          <w:tcPr>
            <w:tcW w:w="1129" w:type="dxa"/>
            <w:tcBorders>
              <w:top w:val="single" w:sz="4" w:space="0" w:color="auto"/>
              <w:left w:val="single" w:sz="4" w:space="0" w:color="auto"/>
              <w:bottom w:val="single" w:sz="4" w:space="0" w:color="000000" w:themeColor="text1"/>
              <w:right w:val="single" w:sz="4" w:space="0" w:color="auto"/>
            </w:tcBorders>
          </w:tcPr>
          <w:p w14:paraId="033BE42C" w14:textId="77777777" w:rsidR="00717D84" w:rsidRDefault="00717D84" w:rsidP="002F1844">
            <w:r>
              <w:t>1,000 preschool children</w:t>
            </w:r>
          </w:p>
        </w:tc>
        <w:tc>
          <w:tcPr>
            <w:tcW w:w="4962" w:type="dxa"/>
            <w:tcBorders>
              <w:top w:val="single" w:sz="4" w:space="0" w:color="auto"/>
              <w:left w:val="single" w:sz="4" w:space="0" w:color="auto"/>
              <w:bottom w:val="single" w:sz="4" w:space="0" w:color="000000" w:themeColor="text1"/>
              <w:right w:val="single" w:sz="4" w:space="0" w:color="auto"/>
            </w:tcBorders>
          </w:tcPr>
          <w:p w14:paraId="2BAD2F59" w14:textId="77777777" w:rsidR="00717D84" w:rsidRDefault="00717D84" w:rsidP="002F1844">
            <w:r w:rsidRPr="008E7258">
              <w:rPr>
                <w:b/>
              </w:rPr>
              <w:t>Aim</w:t>
            </w:r>
            <w:r>
              <w:t xml:space="preserve">: To examine whether </w:t>
            </w:r>
            <w:r w:rsidRPr="00880A17">
              <w:t xml:space="preserve">some foods and Mediterranean diet (MedDiet) consumed by the mother during pregnancy and by the child during the first years of life can be protective for current wheezing, rhinitis and dermatitis at preschool age. </w:t>
            </w:r>
          </w:p>
          <w:p w14:paraId="2DFE2820" w14:textId="77777777" w:rsidR="00717D84" w:rsidRDefault="00717D84" w:rsidP="002F1844">
            <w:pPr>
              <w:rPr>
                <w:b/>
              </w:rPr>
            </w:pPr>
            <w:r w:rsidRPr="008E7258">
              <w:rPr>
                <w:b/>
              </w:rPr>
              <w:t>Methods</w:t>
            </w:r>
            <w:r w:rsidRPr="00880A17">
              <w:t>: Questionnaires of epidemiological factors and food intake by the mother during pregnancy and later by the child were filled in by parents in two surveys at two different time points (1.5 yrs and 4 yrs of life)</w:t>
            </w:r>
            <w:r>
              <w:t>.</w:t>
            </w:r>
            <w:r w:rsidRPr="00880A17">
              <w:t xml:space="preserve"> </w:t>
            </w:r>
          </w:p>
        </w:tc>
        <w:tc>
          <w:tcPr>
            <w:tcW w:w="4536" w:type="dxa"/>
            <w:tcBorders>
              <w:top w:val="single" w:sz="4" w:space="0" w:color="auto"/>
              <w:left w:val="single" w:sz="4" w:space="0" w:color="auto"/>
              <w:bottom w:val="single" w:sz="4" w:space="0" w:color="000000" w:themeColor="text1"/>
              <w:right w:val="single" w:sz="4" w:space="0" w:color="auto"/>
            </w:tcBorders>
          </w:tcPr>
          <w:p w14:paraId="0A562659" w14:textId="3EFF8B1A" w:rsidR="00717D84" w:rsidRDefault="00717D84" w:rsidP="002F1844">
            <w:r>
              <w:t>I</w:t>
            </w:r>
            <w:r w:rsidRPr="00880A17">
              <w:t xml:space="preserve">ntermediate consumption of meat (1 or 2 times/week) </w:t>
            </w:r>
            <w:r>
              <w:t>during pregnancy was</w:t>
            </w:r>
            <w:r w:rsidRPr="00880A17">
              <w:t xml:space="preserve"> </w:t>
            </w:r>
            <w:r>
              <w:t>protective against wheeze in the child (p=0.039)</w:t>
            </w:r>
            <w:r w:rsidRPr="00880A17">
              <w:t xml:space="preserve">. </w:t>
            </w:r>
          </w:p>
          <w:p w14:paraId="65B6CEB1" w14:textId="3D4CD335" w:rsidR="00717D84" w:rsidRPr="00880A17" w:rsidRDefault="00717D84" w:rsidP="002F1844">
            <w:r w:rsidRPr="00880A17">
              <w:t xml:space="preserve"> </w:t>
            </w:r>
          </w:p>
        </w:tc>
        <w:tc>
          <w:tcPr>
            <w:tcW w:w="1843" w:type="dxa"/>
            <w:tcBorders>
              <w:top w:val="single" w:sz="4" w:space="0" w:color="auto"/>
              <w:left w:val="single" w:sz="4" w:space="0" w:color="auto"/>
              <w:bottom w:val="single" w:sz="4" w:space="0" w:color="000000" w:themeColor="text1"/>
              <w:right w:val="single" w:sz="4" w:space="0" w:color="auto"/>
            </w:tcBorders>
          </w:tcPr>
          <w:p w14:paraId="312453AA" w14:textId="48E9C2B7" w:rsidR="00717D84" w:rsidRPr="00C8357D" w:rsidRDefault="00717D84" w:rsidP="002F1844"/>
        </w:tc>
      </w:tr>
      <w:tr w:rsidR="001F7D2B" w:rsidRPr="00C8357D" w14:paraId="1A79192C" w14:textId="77777777" w:rsidTr="001F7D2B">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FBC44" w14:textId="591AFD5D" w:rsidR="001F7D2B" w:rsidRDefault="001F7D2B" w:rsidP="00A62BCD">
            <w:r>
              <w:t>Lombardi et al 2015</w:t>
            </w:r>
            <w:r w:rsidR="00767EBF">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 </w:instrText>
            </w:r>
            <w:r w:rsidR="002747EA">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EN.CITE.DATA </w:instrText>
            </w:r>
            <w:r w:rsidR="002747EA">
              <w:fldChar w:fldCharType="end"/>
            </w:r>
            <w:r w:rsidR="00767EBF">
              <w:fldChar w:fldCharType="separate"/>
            </w:r>
            <w:r w:rsidR="002747EA" w:rsidRPr="002747EA">
              <w:rPr>
                <w:noProof/>
                <w:vertAlign w:val="superscript"/>
              </w:rPr>
              <w:t>76</w:t>
            </w:r>
            <w:r w:rsidR="00767EBF">
              <w:fldChar w:fldCharType="end"/>
            </w:r>
          </w:p>
          <w:p w14:paraId="2C265904" w14:textId="77777777" w:rsidR="001F7D2B" w:rsidRDefault="001F7D2B" w:rsidP="00A62BCD">
            <w:r>
              <w:t xml:space="preserve">United States </w:t>
            </w:r>
          </w:p>
          <w:p w14:paraId="5631BFE6" w14:textId="77777777" w:rsidR="001F7D2B" w:rsidRDefault="001F7D2B" w:rsidP="00A62BCD">
            <w:r>
              <w:t>Case-control</w:t>
            </w:r>
          </w:p>
        </w:tc>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BC567" w14:textId="77777777" w:rsidR="001F7D2B" w:rsidRDefault="001F7D2B" w:rsidP="00A62BCD">
            <w:r>
              <w:t>Cases 163</w:t>
            </w:r>
          </w:p>
          <w:p w14:paraId="6BF0DB01" w14:textId="77777777" w:rsidR="001F7D2B" w:rsidRDefault="001F7D2B" w:rsidP="00A62BCD">
            <w:r>
              <w:t>Controls 136</w:t>
            </w:r>
          </w:p>
        </w:tc>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EA65C" w14:textId="77777777" w:rsidR="001F7D2B" w:rsidRDefault="001F7D2B" w:rsidP="00A62BCD">
            <w:r w:rsidRPr="001F7D2B">
              <w:rPr>
                <w:b/>
              </w:rPr>
              <w:t>Aim</w:t>
            </w:r>
            <w:r>
              <w:t>: T</w:t>
            </w:r>
            <w:r w:rsidRPr="001F7D2B">
              <w:t xml:space="preserve">o examine the relation between maternal diet and unilateral retinoblastoma. </w:t>
            </w:r>
          </w:p>
          <w:p w14:paraId="5710C79A" w14:textId="77777777" w:rsidR="001F7D2B" w:rsidRPr="000505E7" w:rsidRDefault="001F7D2B" w:rsidP="00A62BCD">
            <w:pPr>
              <w:rPr>
                <w:b/>
              </w:rPr>
            </w:pPr>
            <w:r w:rsidRPr="001F7D2B">
              <w:rPr>
                <w:b/>
              </w:rPr>
              <w:t>Methods</w:t>
            </w:r>
            <w:r w:rsidRPr="001F7D2B">
              <w:t xml:space="preserve">: A case-control study of 163 unilateral RB cases and 136 controls ascertained information on maternal diet during pregnancy using a </w:t>
            </w:r>
            <w:r>
              <w:t>standardis</w:t>
            </w:r>
            <w:r w:rsidRPr="001F7D2B">
              <w:t xml:space="preserve">ed food frequency questionnaire. Logistic regression was used to assess the relation between retinoblastoma and food groups and dietary patterns.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C630EB" w14:textId="503E6DB8" w:rsidR="001F7D2B" w:rsidRPr="001F7D2B" w:rsidRDefault="001F7D2B" w:rsidP="001F7D2B">
            <w:r>
              <w:t>A p</w:t>
            </w:r>
            <w:r w:rsidRPr="001F7D2B">
              <w:t>ositive association</w:t>
            </w:r>
            <w:r>
              <w:t xml:space="preserve"> was </w:t>
            </w:r>
            <w:r w:rsidRPr="001F7D2B">
              <w:t>seen with intake of cured meats (OR 5.07, 95 % CI 1.63</w:t>
            </w:r>
            <w:r>
              <w:t xml:space="preserve"> to </w:t>
            </w:r>
            <w:r w:rsidRPr="001F7D2B">
              <w:t>15.70)</w:t>
            </w:r>
            <w:r>
              <w:t>.</w:t>
            </w:r>
            <w:r w:rsidRPr="001F7D2B">
              <w:t xml:space="preserve">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4F7646" w14:textId="4ADFCE68" w:rsidR="001F7D2B" w:rsidRPr="00C8357D" w:rsidRDefault="001F7D2B" w:rsidP="00A62BCD"/>
        </w:tc>
      </w:tr>
    </w:tbl>
    <w:p w14:paraId="07F27A92" w14:textId="3636EBDD" w:rsidR="00510DED" w:rsidRDefault="009C163D" w:rsidP="005719CE">
      <w:pPr>
        <w:pStyle w:val="TableName"/>
        <w:ind w:left="1134" w:hanging="1134"/>
      </w:pPr>
      <w:bookmarkStart w:id="62" w:name="_Toc40956602"/>
      <w:r>
        <w:t xml:space="preserve">Q2 </w:t>
      </w:r>
      <w:r w:rsidR="007B1D24">
        <w:t>C</w:t>
      </w:r>
      <w:r w:rsidR="00510DED">
        <w:t>onsumption of fish</w:t>
      </w:r>
      <w:r w:rsidR="002F1844">
        <w:t xml:space="preserve"> during pregnancy</w:t>
      </w:r>
      <w:bookmarkEnd w:id="6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4: Q2 Consumption of fish during pregnancy"/>
      </w:tblPr>
      <w:tblGrid>
        <w:gridCol w:w="1417"/>
        <w:gridCol w:w="1274"/>
        <w:gridCol w:w="4822"/>
        <w:gridCol w:w="4536"/>
        <w:gridCol w:w="1843"/>
      </w:tblGrid>
      <w:tr w:rsidR="00510DED" w:rsidRPr="00F350A6" w14:paraId="7E3E55C7" w14:textId="77777777" w:rsidTr="00977A9A">
        <w:trPr>
          <w:cantSplit/>
          <w:trHeight w:val="390"/>
          <w:tblHeader/>
        </w:trPr>
        <w:tc>
          <w:tcPr>
            <w:tcW w:w="1417" w:type="dxa"/>
            <w:tcBorders>
              <w:bottom w:val="single" w:sz="4" w:space="0" w:color="538135" w:themeColor="accent6" w:themeShade="BF"/>
            </w:tcBorders>
          </w:tcPr>
          <w:p w14:paraId="7C54F665" w14:textId="77777777" w:rsidR="00510DED" w:rsidRPr="00F350A6" w:rsidRDefault="00510DED" w:rsidP="002F1844">
            <w:pPr>
              <w:keepNext/>
              <w:rPr>
                <w:b/>
              </w:rPr>
            </w:pPr>
            <w:r>
              <w:rPr>
                <w:b/>
              </w:rPr>
              <w:t>Study ref</w:t>
            </w:r>
          </w:p>
        </w:tc>
        <w:tc>
          <w:tcPr>
            <w:tcW w:w="1274" w:type="dxa"/>
            <w:tcBorders>
              <w:bottom w:val="single" w:sz="4" w:space="0" w:color="538135" w:themeColor="accent6" w:themeShade="BF"/>
            </w:tcBorders>
          </w:tcPr>
          <w:p w14:paraId="627D8C35" w14:textId="77777777" w:rsidR="00510DED" w:rsidRPr="00F350A6" w:rsidRDefault="00510DED" w:rsidP="002F1844">
            <w:pPr>
              <w:keepNext/>
              <w:rPr>
                <w:b/>
              </w:rPr>
            </w:pPr>
            <w:r>
              <w:rPr>
                <w:b/>
              </w:rPr>
              <w:t>N</w:t>
            </w:r>
          </w:p>
        </w:tc>
        <w:tc>
          <w:tcPr>
            <w:tcW w:w="4822" w:type="dxa"/>
            <w:tcBorders>
              <w:bottom w:val="single" w:sz="4" w:space="0" w:color="538135" w:themeColor="accent6" w:themeShade="BF"/>
            </w:tcBorders>
          </w:tcPr>
          <w:p w14:paraId="0578AF7D" w14:textId="77777777" w:rsidR="00510DED" w:rsidRPr="00F350A6" w:rsidRDefault="00510DED" w:rsidP="002F1844">
            <w:pPr>
              <w:keepNext/>
              <w:rPr>
                <w:b/>
              </w:rPr>
            </w:pPr>
            <w:r>
              <w:rPr>
                <w:b/>
              </w:rPr>
              <w:t>Aim/methods</w:t>
            </w:r>
          </w:p>
        </w:tc>
        <w:tc>
          <w:tcPr>
            <w:tcW w:w="4536" w:type="dxa"/>
            <w:tcBorders>
              <w:bottom w:val="single" w:sz="4" w:space="0" w:color="538135" w:themeColor="accent6" w:themeShade="BF"/>
            </w:tcBorders>
          </w:tcPr>
          <w:p w14:paraId="01F106E9" w14:textId="77777777" w:rsidR="00510DED" w:rsidRPr="00F350A6" w:rsidRDefault="00510DED" w:rsidP="002F1844">
            <w:pPr>
              <w:keepNext/>
              <w:rPr>
                <w:b/>
              </w:rPr>
            </w:pPr>
            <w:r>
              <w:rPr>
                <w:b/>
              </w:rPr>
              <w:t>Results</w:t>
            </w:r>
          </w:p>
        </w:tc>
        <w:tc>
          <w:tcPr>
            <w:tcW w:w="1843" w:type="dxa"/>
            <w:tcBorders>
              <w:bottom w:val="single" w:sz="4" w:space="0" w:color="538135" w:themeColor="accent6" w:themeShade="BF"/>
            </w:tcBorders>
          </w:tcPr>
          <w:p w14:paraId="16A2CA7A" w14:textId="77777777" w:rsidR="00510DED" w:rsidRPr="00F350A6" w:rsidRDefault="00510DED" w:rsidP="002F1844">
            <w:pPr>
              <w:keepNext/>
              <w:rPr>
                <w:b/>
              </w:rPr>
            </w:pPr>
            <w:r>
              <w:rPr>
                <w:b/>
              </w:rPr>
              <w:t>Comments</w:t>
            </w:r>
          </w:p>
        </w:tc>
      </w:tr>
      <w:tr w:rsidR="0066618E" w:rsidRPr="00C17B92" w14:paraId="40620888" w14:textId="77777777" w:rsidTr="00977A9A">
        <w:trPr>
          <w:cantSplit/>
          <w:trHeight w:val="390"/>
        </w:trPr>
        <w:tc>
          <w:tcPr>
            <w:tcW w:w="1417" w:type="dxa"/>
          </w:tcPr>
          <w:p w14:paraId="70CC57CE" w14:textId="6994001F" w:rsidR="0066618E" w:rsidRDefault="0066618E" w:rsidP="009337E3">
            <w:r>
              <w:t>Maslova et al 2013</w:t>
            </w:r>
            <w:r w:rsidR="00774750">
              <w:fldChar w:fldCharType="begin">
                <w:fldData xml:space="preserve">PEVuZE5vdGU+PENpdGU+PEF1dGhvcj5NYXNsb3ZhPC9BdXRob3I+PFllYXI+MjAxMzwvWWVhcj48
UmVjTnVtPjE3MTg8L1JlY051bT48RGlzcGxheVRleHQ+PHN0eWxlIGZhY2U9InN1cGVyc2NyaXB0
IiBmb250PSJUcmVidWNoZXQgTVMiIHNpemU9IjkiPjg0PC9zdHlsZT48L0Rpc3BsYXlUZXh0Pjxy
ZWNvcmQ+PHJlYy1udW1iZXI+MTcxODwvcmVjLW51bWJlcj48Zm9yZWlnbi1rZXlzPjxrZXkgYXBw
PSJFTiIgZGItaWQ9ImV4dmFzcmZ4MmR0cmFvZXNhc3hwMnN6c3hhMmRmNTAyNTkyeCIgdGltZXN0
YW1wPSIxNTgyNTA2MTQ0Ij4xNzE4PC9rZXk+PGtleSBhcHA9IkVOV2ViIiBkYi1pZD0iIj4wPC9r
ZXk+PC9mb3JlaWduLWtleXM+PHJlZi10eXBlIG5hbWU9IkpvdXJuYWwgQXJ0aWNsZSI+MTc8L3Jl
Zi10eXBlPjxjb250cmlidXRvcnM+PGF1dGhvcnM+PGF1dGhvcj5NYXNsb3ZhLCBFLjwvYXV0aG9y
PjxhdXRob3I+U3Ryb20sIE0uPC9hdXRob3I+PGF1dGhvcj5Pa2VuLCBFLjwvYXV0aG9yPjxhdXRo
b3I+Q2FtcG9zLCBILjwvYXV0aG9yPjxhdXRob3I+TGFuZ2UsIEMuPC9hdXRob3I+PGF1dGhvcj5H
b2xkLCBELjwvYXV0aG9yPjxhdXRob3I+T2xzZW4sIFMuIEYuPC9hdXRob3I+PC9hdXRob3JzPjwv
Y29udHJpYnV0b3JzPjxhdXRoLWFkZHJlc3M+Q2VudHJlIGZvciBGZXRhbCBQcm9ncmFtbWluZywg
RGVwYXJ0bWVudCBvZiBFcGlkZW1pb2xvZ3ksIFN0YXRlbnMgU2VydW0gSW5zdGl0dXQsIEFydGls
bGVyaXZlaiA1LCAyMzAwIENvcGVuaGFnZW4sIERlbm1hcmsuPC9hdXRoLWFkZHJlc3M+PHRpdGxl
cz48dGl0bGU+RmlzaCBpbnRha2UgZHVyaW5nIHByZWduYW5jeSBhbmQgdGhlIHJpc2sgb2YgY2hp
bGQgYXN0aG1hIGFuZCBhbGxlcmdpYyByaGluaXRpcyAtIGxvbmdpdHVkaW5hbCBldmlkZW5jZSBm
cm9tIHRoZSBEYW5pc2ggTmF0aW9uYWwgQmlydGggQ29ob3J0PC90aXRsZT48c2Vjb25kYXJ5LXRp
dGxlPkJyIEogTnV0cjwvc2Vjb25kYXJ5LXRpdGxlPjwvdGl0bGVzPjxwZXJpb2RpY2FsPjxmdWxs
LXRpdGxlPkJyIEogTnV0cjwvZnVsbC10aXRsZT48L3BlcmlvZGljYWw+PHBhZ2VzPjEzMTMtMjU8
L3BhZ2VzPjx2b2x1bWU+MTEwPC92b2x1bWU+PG51bWJlcj43PC9udW1iZXI+PGVkaXRpb24+MjAx
My8wMy8xMjwvZWRpdGlvbj48a2V5d29yZHM+PGtleXdvcmQ+QWRvbGVzY2VudDwva2V5d29yZD48
a2V5d29yZD5BZHVsdDwva2V5d29yZD48a2V5d29yZD5BbmltYWxzPC9rZXl3b3JkPjxrZXl3b3Jk
PkFzdGhtYS8qcHJldmVudGlvbiAmYW1wOyBjb250cm9sPC9rZXl3b3JkPjxrZXl3b3JkPkNoaWxk
PC9rZXl3b3JkPjxrZXl3b3JkPkRlbm1hcms8L2tleXdvcmQ+PGtleXdvcmQ+KkRpZXQ8L2tleXdv
cmQ+PGtleXdvcmQ+RmVtYWxlPC9rZXl3b3JkPjxrZXl3b3JkPipGaXNoZXM8L2tleXdvcmQ+PGtl
eXdvcmQ+SG9zcGl0YWxpemF0aW9uPC9rZXl3b3JkPjxrZXl3b3JkPkh1bWFuczwva2V5d29yZD48
a2V5d29yZD5Mb2dpc3RpYyBNb2RlbHM8L2tleXdvcmQ+PGtleXdvcmQ+TG9uZ2l0dWRpbmFsIFN0
dWRpZXM8L2tleXdvcmQ+PGtleXdvcmQ+TWFsZTwva2V5d29yZD48a2V5d29yZD5NZWFsczwva2V5
d29yZD48a2V5d29yZD5Nb3RoZXJzPC9rZXl3b3JkPjxrZXl3b3JkPk9kZHMgUmF0aW88L2tleXdv
cmQ+PGtleXdvcmQ+UHJlZ25hbmN5PC9rZXl3b3JkPjxrZXl3b3JkPlJlc3BpcmF0b3J5IFNvdW5k
czwva2V5d29yZD48a2V5d29yZD5SaGluaXRpcywgQWxsZXJnaWM8L2tleXdvcmQ+PGtleXdvcmQ+
Umhpbml0aXMsIEFsbGVyZ2ljLCBQZXJlbm5pYWwvKnByZXZlbnRpb24gJmFtcDsgY29udHJvbDwv
a2V5d29yZD48a2V5d29yZD5SaXNrPC9rZXl3b3JkPjxrZXl3b3JkPipTZWFmb29kPC9rZXl3b3Jk
PjxrZXl3b3JkPlNlbGYgUmVwb3J0PC9rZXl3b3JkPjxrZXl3b3JkPllvdW5nIEFkdWx0PC9rZXl3
b3JkPjwva2V5d29yZHM+PGRhdGVzPjx5ZWFyPjIwMTM8L3llYXI+PHB1Yi1kYXRlcz48ZGF0ZT5P
Y3Q8L2RhdGU+PC9wdWItZGF0ZXM+PC9kYXRlcz48aXNibj4xNDc1LTI2NjIgKEVsZWN0cm9uaWMp
JiN4RDswMDA3LTExNDUgKExpbmtpbmcpPC9pc2JuPjxhY2Nlc3Npb24tbnVtPjIzNDczMTIwPC9h
Y2Nlc3Npb24tbnVtPjx1cmxzPjxyZWxhdGVkLXVybHM+PHVybD5odHRwczovL3d3dy5uY2JpLm5s
bS5uaWguZ292L3B1Ym1lZC8yMzQ3MzEyMDwvdXJsPjwvcmVsYXRlZC11cmxzPjwvdXJscz48Y3Vz
dG9tMj5QTUM0MDM1MzU0PC9jdXN0b20yPjxlbGVjdHJvbmljLXJlc291cmNlLW51bT4xMC4xMDE3
L1MwMDA3MTE0NTEzMDAwMzhYPC9lbGVjdHJvbmljLXJlc291cmNlLW51bT48L3JlY29yZD48L0Np
dGU+PC9FbmROb3RlPn==
</w:fldData>
              </w:fldChar>
            </w:r>
            <w:r w:rsidR="002747EA">
              <w:instrText xml:space="preserve"> ADDIN EN.CITE </w:instrText>
            </w:r>
            <w:r w:rsidR="002747EA">
              <w:fldChar w:fldCharType="begin">
                <w:fldData xml:space="preserve">PEVuZE5vdGU+PENpdGU+PEF1dGhvcj5NYXNsb3ZhPC9BdXRob3I+PFllYXI+MjAxMzwvWWVhcj48
UmVjTnVtPjE3MTg8L1JlY051bT48RGlzcGxheVRleHQ+PHN0eWxlIGZhY2U9InN1cGVyc2NyaXB0
IiBmb250PSJUcmVidWNoZXQgTVMiIHNpemU9IjkiPjg0PC9zdHlsZT48L0Rpc3BsYXlUZXh0Pjxy
ZWNvcmQ+PHJlYy1udW1iZXI+MTcxODwvcmVjLW51bWJlcj48Zm9yZWlnbi1rZXlzPjxrZXkgYXBw
PSJFTiIgZGItaWQ9ImV4dmFzcmZ4MmR0cmFvZXNhc3hwMnN6c3hhMmRmNTAyNTkyeCIgdGltZXN0
YW1wPSIxNTgyNTA2MTQ0Ij4xNzE4PC9rZXk+PGtleSBhcHA9IkVOV2ViIiBkYi1pZD0iIj4wPC9r
ZXk+PC9mb3JlaWduLWtleXM+PHJlZi10eXBlIG5hbWU9IkpvdXJuYWwgQXJ0aWNsZSI+MTc8L3Jl
Zi10eXBlPjxjb250cmlidXRvcnM+PGF1dGhvcnM+PGF1dGhvcj5NYXNsb3ZhLCBFLjwvYXV0aG9y
PjxhdXRob3I+U3Ryb20sIE0uPC9hdXRob3I+PGF1dGhvcj5Pa2VuLCBFLjwvYXV0aG9yPjxhdXRo
b3I+Q2FtcG9zLCBILjwvYXV0aG9yPjxhdXRob3I+TGFuZ2UsIEMuPC9hdXRob3I+PGF1dGhvcj5H
b2xkLCBELjwvYXV0aG9yPjxhdXRob3I+T2xzZW4sIFMuIEYuPC9hdXRob3I+PC9hdXRob3JzPjwv
Y29udHJpYnV0b3JzPjxhdXRoLWFkZHJlc3M+Q2VudHJlIGZvciBGZXRhbCBQcm9ncmFtbWluZywg
RGVwYXJ0bWVudCBvZiBFcGlkZW1pb2xvZ3ksIFN0YXRlbnMgU2VydW0gSW5zdGl0dXQsIEFydGls
bGVyaXZlaiA1LCAyMzAwIENvcGVuaGFnZW4sIERlbm1hcmsuPC9hdXRoLWFkZHJlc3M+PHRpdGxl
cz48dGl0bGU+RmlzaCBpbnRha2UgZHVyaW5nIHByZWduYW5jeSBhbmQgdGhlIHJpc2sgb2YgY2hp
bGQgYXN0aG1hIGFuZCBhbGxlcmdpYyByaGluaXRpcyAtIGxvbmdpdHVkaW5hbCBldmlkZW5jZSBm
cm9tIHRoZSBEYW5pc2ggTmF0aW9uYWwgQmlydGggQ29ob3J0PC90aXRsZT48c2Vjb25kYXJ5LXRp
dGxlPkJyIEogTnV0cjwvc2Vjb25kYXJ5LXRpdGxlPjwvdGl0bGVzPjxwZXJpb2RpY2FsPjxmdWxs
LXRpdGxlPkJyIEogTnV0cjwvZnVsbC10aXRsZT48L3BlcmlvZGljYWw+PHBhZ2VzPjEzMTMtMjU8
L3BhZ2VzPjx2b2x1bWU+MTEwPC92b2x1bWU+PG51bWJlcj43PC9udW1iZXI+PGVkaXRpb24+MjAx
My8wMy8xMjwvZWRpdGlvbj48a2V5d29yZHM+PGtleXdvcmQ+QWRvbGVzY2VudDwva2V5d29yZD48
a2V5d29yZD5BZHVsdDwva2V5d29yZD48a2V5d29yZD5BbmltYWxzPC9rZXl3b3JkPjxrZXl3b3Jk
PkFzdGhtYS8qcHJldmVudGlvbiAmYW1wOyBjb250cm9sPC9rZXl3b3JkPjxrZXl3b3JkPkNoaWxk
PC9rZXl3b3JkPjxrZXl3b3JkPkRlbm1hcms8L2tleXdvcmQ+PGtleXdvcmQ+KkRpZXQ8L2tleXdv
cmQ+PGtleXdvcmQ+RmVtYWxlPC9rZXl3b3JkPjxrZXl3b3JkPipGaXNoZXM8L2tleXdvcmQ+PGtl
eXdvcmQ+SG9zcGl0YWxpemF0aW9uPC9rZXl3b3JkPjxrZXl3b3JkPkh1bWFuczwva2V5d29yZD48
a2V5d29yZD5Mb2dpc3RpYyBNb2RlbHM8L2tleXdvcmQ+PGtleXdvcmQ+TG9uZ2l0dWRpbmFsIFN0
dWRpZXM8L2tleXdvcmQ+PGtleXdvcmQ+TWFsZTwva2V5d29yZD48a2V5d29yZD5NZWFsczwva2V5
d29yZD48a2V5d29yZD5Nb3RoZXJzPC9rZXl3b3JkPjxrZXl3b3JkPk9kZHMgUmF0aW88L2tleXdv
cmQ+PGtleXdvcmQ+UHJlZ25hbmN5PC9rZXl3b3JkPjxrZXl3b3JkPlJlc3BpcmF0b3J5IFNvdW5k
czwva2V5d29yZD48a2V5d29yZD5SaGluaXRpcywgQWxsZXJnaWM8L2tleXdvcmQ+PGtleXdvcmQ+
Umhpbml0aXMsIEFsbGVyZ2ljLCBQZXJlbm5pYWwvKnByZXZlbnRpb24gJmFtcDsgY29udHJvbDwv
a2V5d29yZD48a2V5d29yZD5SaXNrPC9rZXl3b3JkPjxrZXl3b3JkPipTZWFmb29kPC9rZXl3b3Jk
PjxrZXl3b3JkPlNlbGYgUmVwb3J0PC9rZXl3b3JkPjxrZXl3b3JkPllvdW5nIEFkdWx0PC9rZXl3
b3JkPjwva2V5d29yZHM+PGRhdGVzPjx5ZWFyPjIwMTM8L3llYXI+PHB1Yi1kYXRlcz48ZGF0ZT5P
Y3Q8L2RhdGU+PC9wdWItZGF0ZXM+PC9kYXRlcz48aXNibj4xNDc1LTI2NjIgKEVsZWN0cm9uaWMp
JiN4RDswMDA3LTExNDUgKExpbmtpbmcpPC9pc2JuPjxhY2Nlc3Npb24tbnVtPjIzNDczMTIwPC9h
Y2Nlc3Npb24tbnVtPjx1cmxzPjxyZWxhdGVkLXVybHM+PHVybD5odHRwczovL3d3dy5uY2JpLm5s
bS5uaWguZ292L3B1Ym1lZC8yMzQ3MzEyMDwvdXJsPjwvcmVsYXRlZC11cmxzPjwvdXJscz48Y3Vz
dG9tMj5QTUM0MDM1MzU0PC9jdXN0b20yPjxlbGVjdHJvbmljLXJlc291cmNlLW51bT4xMC4xMDE3
L1MwMDA3MTE0NTEzMDAwMzhYPC9lbGVjdHJvbmljLXJlc291cmNlLW51bT48L3JlY29yZD48L0Np
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84</w:t>
            </w:r>
            <w:r w:rsidR="00774750">
              <w:fldChar w:fldCharType="end"/>
            </w:r>
          </w:p>
          <w:p w14:paraId="6A517311" w14:textId="77777777" w:rsidR="0066618E" w:rsidRDefault="0066618E" w:rsidP="009337E3">
            <w:r>
              <w:t>Denmark</w:t>
            </w:r>
          </w:p>
          <w:p w14:paraId="13532871" w14:textId="26CE08A3" w:rsidR="0066618E" w:rsidRPr="00386B76" w:rsidRDefault="0066618E" w:rsidP="009337E3">
            <w:r>
              <w:t>Cohort</w:t>
            </w:r>
          </w:p>
        </w:tc>
        <w:tc>
          <w:tcPr>
            <w:tcW w:w="1274" w:type="dxa"/>
          </w:tcPr>
          <w:p w14:paraId="7843457F" w14:textId="492E1EB8" w:rsidR="0066618E" w:rsidRPr="00386B76" w:rsidRDefault="0066618E" w:rsidP="009337E3">
            <w:r>
              <w:t>28,936 women</w:t>
            </w:r>
          </w:p>
        </w:tc>
        <w:tc>
          <w:tcPr>
            <w:tcW w:w="4822" w:type="dxa"/>
          </w:tcPr>
          <w:p w14:paraId="617F8304" w14:textId="77777777" w:rsidR="0066618E" w:rsidRDefault="0066618E" w:rsidP="003406BC">
            <w:r w:rsidRPr="0066618E">
              <w:rPr>
                <w:b/>
              </w:rPr>
              <w:t>Aim</w:t>
            </w:r>
            <w:r>
              <w:t>: To examine</w:t>
            </w:r>
            <w:r w:rsidRPr="0066618E">
              <w:t xml:space="preserve"> the associations of maternal fish intake during pregnancy with child asthma and allergic rhinitis. </w:t>
            </w:r>
          </w:p>
          <w:p w14:paraId="47CE2028" w14:textId="74344203" w:rsidR="0066618E" w:rsidRPr="00386B76" w:rsidRDefault="0066618E" w:rsidP="0066618E">
            <w:pPr>
              <w:rPr>
                <w:b/>
              </w:rPr>
            </w:pPr>
            <w:r w:rsidRPr="0066618E">
              <w:rPr>
                <w:b/>
              </w:rPr>
              <w:t>Methods</w:t>
            </w:r>
            <w:r>
              <w:t>: Women</w:t>
            </w:r>
            <w:r w:rsidRPr="0066618E">
              <w:t xml:space="preserve"> in the Danish National Birth Cohort (n 28 936) reported their fish intake at 12 and 30 weeks of gestation. Using multivariate logistic regression, we examined the associations of fish intake with child wheeze, asthma and rhinitis assessed at several time points: ever wheeze, recurrent wheeze (&gt;3 episodes), ever asthma and allergic rhinitis, and current asthma, assessed at 18 months (n approximately 22,000) and 7 years (n approximately 17,000) using self-report and registry data on hospitalisations and prescribed medications.</w:t>
            </w:r>
          </w:p>
        </w:tc>
        <w:tc>
          <w:tcPr>
            <w:tcW w:w="4536" w:type="dxa"/>
          </w:tcPr>
          <w:p w14:paraId="49B484A9" w14:textId="14E3E055" w:rsidR="0066618E" w:rsidRPr="0066618E" w:rsidRDefault="0066618E" w:rsidP="0066618E">
            <w:r w:rsidRPr="0066618E">
              <w:t xml:space="preserve">Compared with consistently high fish intake during pregnancy (fish as a sandwich or hot meal </w:t>
            </w:r>
            <w:r>
              <w:t>≥</w:t>
            </w:r>
            <w:r w:rsidRPr="0066618E">
              <w:t>2-3 times/week), never eating fish was associated with a higher risk of child asthma diagn</w:t>
            </w:r>
            <w:r>
              <w:t>osis at 18 months (OR 1.30, 95%</w:t>
            </w:r>
            <w:r w:rsidRPr="0066618E">
              <w:t>CI 1.05</w:t>
            </w:r>
            <w:r>
              <w:t xml:space="preserve"> to</w:t>
            </w:r>
            <w:r w:rsidRPr="0066618E">
              <w:t xml:space="preserve"> 1.63, P=0.02), and ever asthma by hospitalisation (OR 1.46, 95% CI 0.99, 2.13, P=0.05) and medication prescription (OR 1.37, 95% CI 1.10, 1.71, P=0.01). A dose-response was present for asthma at 18 months only (P for trend=0.001). We found no associations with wheeze or recurrent wheeze at 18 months or with allergic rhinitis. </w:t>
            </w:r>
          </w:p>
        </w:tc>
        <w:tc>
          <w:tcPr>
            <w:tcW w:w="1843" w:type="dxa"/>
          </w:tcPr>
          <w:p w14:paraId="2D5210FA" w14:textId="77777777" w:rsidR="0066618E" w:rsidRPr="00C17B92" w:rsidRDefault="0066618E" w:rsidP="009337E3"/>
        </w:tc>
      </w:tr>
      <w:tr w:rsidR="008F4931" w:rsidRPr="00C17B92" w14:paraId="64D9BA79" w14:textId="77777777" w:rsidTr="00977A9A">
        <w:trPr>
          <w:cantSplit/>
          <w:trHeight w:val="390"/>
        </w:trPr>
        <w:tc>
          <w:tcPr>
            <w:tcW w:w="1417" w:type="dxa"/>
          </w:tcPr>
          <w:p w14:paraId="792AF43E" w14:textId="0703D038" w:rsidR="008F4931" w:rsidRPr="00386B76" w:rsidRDefault="00710F4F" w:rsidP="009337E3">
            <w:r w:rsidRPr="00386B76">
              <w:t xml:space="preserve">Mesirow </w:t>
            </w:r>
            <w:r w:rsidR="003406BC" w:rsidRPr="00386B76">
              <w:t>et al 2017</w:t>
            </w:r>
            <w:r w:rsidR="00774750">
              <w:fldChar w:fldCharType="begin">
                <w:fldData xml:space="preserve">PEVuZE5vdGU+PENpdGU+PEF1dGhvcj5NZXNpcm93PC9BdXRob3I+PFllYXI+MjAxNzwvWWVhcj48
UmVjTnVtPjE3MTk8L1JlY051bT48RGlzcGxheVRleHQ+PHN0eWxlIGZhY2U9InN1cGVyc2NyaXB0
IiBmb250PSJUcmVidWNoZXQgTVMiIHNpemU9IjkiPjg4PC9zdHlsZT48L0Rpc3BsYXlUZXh0Pjxy
ZWNvcmQ+PHJlYy1udW1iZXI+MTcxOTwvcmVjLW51bWJlcj48Zm9yZWlnbi1rZXlzPjxrZXkgYXBw
PSJFTiIgZGItaWQ9ImV4dmFzcmZ4MmR0cmFvZXNhc3hwMnN6c3hhMmRmNTAyNTkyeCIgdGltZXN0
YW1wPSIxNTgyNTA2MTUyIj4xNzE5PC9rZXk+PGtleSBhcHA9IkVOV2ViIiBkYi1pZD0iIj4wPC9r
ZXk+PC9mb3JlaWduLWtleXM+PHJlZi10eXBlIG5hbWU9IkpvdXJuYWwgQXJ0aWNsZSI+MTc8L3Jl
Zi10eXBlPjxjb250cmlidXRvcnM+PGF1dGhvcnM+PGF1dGhvcj5NZXNpcm93LCBNLiBTLjwvYXV0
aG9yPjxhdXRob3I+Q2VjaWwsIEMuPC9hdXRob3I+PGF1dGhvcj5NYXVnaGFuLCBCLjwvYXV0aG9y
PjxhdXRob3I+QmFya2VyLCBFLiBELjwvYXV0aG9yPjwvYXV0aG9ycz48L2NvbnRyaWJ1dG9ycz48
YXV0aC1hZGRyZXNzPkRlcGFydG1lbnQgb2YgUHN5Y2hvbG9neSwgSW5zdGl0dXRlIG9mIFBzeWNo
aWF0cnksIFBzeWNob2xvZ3ksIGFuZCBOZXVyb3NjaWVuY2UsIEtpbmcmYXBvcztzIENvbGxlZ2Ug
TG9uZG9uLCAxNiBEZSBDcmVzcGlnbnkgUGFyaywgTG9uZG9uLCBTRTUgOEFGLCBVSy4mI3hEO01S
QyBTb2NpYWwsIEdlbmV0aWMgJmFtcDsgRGV2ZWxvcG1lbnRhbCBQc3ljaGlhdHJ5IENlbnRyZSwg
SW5zdGl0dXRlIG9mIFBzeWNoaWF0cnksIFBzeWNob2xvZ3ksIGFuZCBOZXVyb3NjaWVuY2UsIEtp
bmcmYXBvcztzIENvbGxlZ2UgTG9uZG9uLCBMb25kb24sIFVLLiYjeEQ7RGVwYXJ0bWVudCBvZiBQ
c3ljaG9sb2d5LCBJbnN0aXR1dGUgb2YgUHN5Y2hpYXRyeSwgUHN5Y2hvbG9neSwgYW5kIE5ldXJv
c2NpZW5jZSwgS2luZyZhcG9zO3MgQ29sbGVnZSBMb25kb24sIDE2IERlIENyZXNwaWdueSBQYXJr
LCBMb25kb24sIFNFNSA4QUYsIFVLLiB0ZWQuYmFya2VyQGtjbC5hYy51ay48L2F1dGgtYWRkcmVz
cz48dGl0bGVzPjx0aXRsZT5Bc3NvY2lhdGlvbnMgYmV0d2VlbiBwcmVuYXRhbCBhbmQgZWFybHkg
Y2hpbGRob29kIGZpc2ggYW5kIHByb2Nlc3NlZCBmb29kIGludGFrZSwgY29uZHVjdCBwcm9ibGVt
cywgYW5kIGNvLW9jY3VycmluZyBkaWZmaWN1bHRpZXM8L3RpdGxlPjxzZWNvbmRhcnktdGl0bGU+
SiBBYm5vcm0gQ2hpbGQgUHN5Y2hvbDwvc2Vjb25kYXJ5LXRpdGxlPjwvdGl0bGVzPjxwZXJpb2Rp
Y2FsPjxmdWxsLXRpdGxlPkogQWJub3JtIENoaWxkIFBzeWNob2w8L2Z1bGwtdGl0bGU+PC9wZXJp
b2RpY2FsPjxwYWdlcz4xMDM5LTEwNDk8L3BhZ2VzPjx2b2x1bWU+NDU8L3ZvbHVtZT48bnVtYmVy
PjU8L251bWJlcj48ZWRpdGlvbj4yMDE2LzExLzA1PC9lZGl0aW9uPjxrZXl3b3Jkcz48a2V5d29y
ZD5BZG9sZXNjZW50PC9rZXl3b3JkPjxrZXl3b3JkPkFmZmVjdGl2ZSBTeW1wdG9tcy9lcGlkZW1p
b2xvZ3kvKmV0aW9sb2d5PC9rZXl3b3JkPjxrZXl3b3JkPkNoaWxkPC9rZXl3b3JkPjxrZXl3b3Jk
PkNoaWxkLCBQcmVzY2hvb2w8L2tleXdvcmQ+PGtleXdvcmQ+Q29tb3JiaWRpdHk8L2tleXdvcmQ+
PGtleXdvcmQ+Q29uZHVjdCBEaXNvcmRlci9lcGlkZW1pb2xvZ3kvKmV0aW9sb2d5PC9rZXl3b3Jk
PjxrZXl3b3JkPipEaWV0L2FkdmVyc2UgZWZmZWN0czwva2V5d29yZD48a2V5d29yZD5GZW1hbGU8
L2tleXdvcmQ+PGtleXdvcmQ+SHVtYW5zPC9rZXl3b3JkPjxrZXl3b3JkPkxvbmdpdHVkaW5hbCBT
dHVkaWVzPC9rZXl3b3JkPjxrZXl3b3JkPk1hbGU8L2tleXdvcmQ+PGtleXdvcmQ+UHJlZ25hbmN5
PC9rZXl3b3JkPjxrZXl3b3JkPlByZW5hdGFsIEV4cG9zdXJlIERlbGF5ZWQgRWZmZWN0cy9lcGlk
ZW1pb2xvZ3kvKmV0aW9sb2d5PC9rZXl3b3JkPjxrZXl3b3JkPipQcm9ibGVtIEJlaGF2aW9yPC9r
ZXl3b3JkPjxrZXl3b3JkPlJpc2sgRmFjdG9yczwva2V5d29yZD48a2V5d29yZD4qU2VhZm9vZDwv
a2V5d29yZD48a2V5d29yZD5Vbml0ZWQgS2luZ2RvbS9lcGlkZW1pb2xvZ3k8L2tleXdvcmQ+PGtl
eXdvcmQ+QXZvbiBsb25naXR1ZGluYWwgc3R1ZHkgb2YgcGFyZW50cyBhbmQgY2hpbGRyZW4gKEFM
U1BBQyk8L2tleXdvcmQ+PGtleXdvcmQ+Q29uZHVjdCBwcm9ibGVtczwva2V5d29yZD48a2V5d29y
ZD5FbW90aW9uYWwgZGlmZmljdWx0aWVzPC9rZXl3b3JkPjxrZXl3b3JkPkZpc2g8L2tleXdvcmQ+
PGtleXdvcmQ+SHlwZXJhY3Rpdml0eTwva2V5d29yZD48a2V5d29yZD5Qcm9jZXNzZWQgZm9vZDwv
a2V5d29yZD48a2V5d29yZD5TdHJlbmd0aHMgYW5kIGRpZmZpY3VsdGllcyBxdWVzdGlvbm5haXJl
IChTRFEpPC9rZXl3b3JkPjwva2V5d29yZHM+PGRhdGVzPjx5ZWFyPjIwMTc8L3llYXI+PHB1Yi1k
YXRlcz48ZGF0ZT5KdWw8L2RhdGU+PC9wdWItZGF0ZXM+PC9kYXRlcz48aXNibj4xNTczLTI4MzUg
KEVsZWN0cm9uaWMpJiN4RDswMDkxLTA2MjcgKExpbmtpbmcpPC9pc2JuPjxhY2Nlc3Npb24tbnVt
PjI3ODEyOTA1PC9hY2Nlc3Npb24tbnVtPjx1cmxzPjxyZWxhdGVkLXVybHM+PHVybD5odHRwczov
L3d3dy5uY2JpLm5sbS5uaWguZ292L3B1Ym1lZC8yNzgxMjkwNTwvdXJsPjwvcmVsYXRlZC11cmxz
PjwvdXJscz48Y3VzdG9tMj5QTUM1NDE1NDMxPC9jdXN0b20yPjxlbGVjdHJvbmljLXJlc291cmNl
LW51bT4xMC4xMDA3L3MxMDgwMi0wMTYtMDIyNC15PC9lbGVjdHJvbmljLXJlc291cmNlLW51bT48
L3JlY29yZD48L0NpdGU+PC9FbmROb3RlPn==
</w:fldData>
              </w:fldChar>
            </w:r>
            <w:r w:rsidR="002747EA">
              <w:instrText xml:space="preserve"> ADDIN EN.CITE </w:instrText>
            </w:r>
            <w:r w:rsidR="002747EA">
              <w:fldChar w:fldCharType="begin">
                <w:fldData xml:space="preserve">PEVuZE5vdGU+PENpdGU+PEF1dGhvcj5NZXNpcm93PC9BdXRob3I+PFllYXI+MjAxNzwvWWVhcj48
UmVjTnVtPjE3MTk8L1JlY051bT48RGlzcGxheVRleHQ+PHN0eWxlIGZhY2U9InN1cGVyc2NyaXB0
IiBmb250PSJUcmVidWNoZXQgTVMiIHNpemU9IjkiPjg4PC9zdHlsZT48L0Rpc3BsYXlUZXh0Pjxy
ZWNvcmQ+PHJlYy1udW1iZXI+MTcxOTwvcmVjLW51bWJlcj48Zm9yZWlnbi1rZXlzPjxrZXkgYXBw
PSJFTiIgZGItaWQ9ImV4dmFzcmZ4MmR0cmFvZXNhc3hwMnN6c3hhMmRmNTAyNTkyeCIgdGltZXN0
YW1wPSIxNTgyNTA2MTUyIj4xNzE5PC9rZXk+PGtleSBhcHA9IkVOV2ViIiBkYi1pZD0iIj4wPC9r
ZXk+PC9mb3JlaWduLWtleXM+PHJlZi10eXBlIG5hbWU9IkpvdXJuYWwgQXJ0aWNsZSI+MTc8L3Jl
Zi10eXBlPjxjb250cmlidXRvcnM+PGF1dGhvcnM+PGF1dGhvcj5NZXNpcm93LCBNLiBTLjwvYXV0
aG9yPjxhdXRob3I+Q2VjaWwsIEMuPC9hdXRob3I+PGF1dGhvcj5NYXVnaGFuLCBCLjwvYXV0aG9y
PjxhdXRob3I+QmFya2VyLCBFLiBELjwvYXV0aG9yPjwvYXV0aG9ycz48L2NvbnRyaWJ1dG9ycz48
YXV0aC1hZGRyZXNzPkRlcGFydG1lbnQgb2YgUHN5Y2hvbG9neSwgSW5zdGl0dXRlIG9mIFBzeWNo
aWF0cnksIFBzeWNob2xvZ3ksIGFuZCBOZXVyb3NjaWVuY2UsIEtpbmcmYXBvcztzIENvbGxlZ2Ug
TG9uZG9uLCAxNiBEZSBDcmVzcGlnbnkgUGFyaywgTG9uZG9uLCBTRTUgOEFGLCBVSy4mI3hEO01S
QyBTb2NpYWwsIEdlbmV0aWMgJmFtcDsgRGV2ZWxvcG1lbnRhbCBQc3ljaGlhdHJ5IENlbnRyZSwg
SW5zdGl0dXRlIG9mIFBzeWNoaWF0cnksIFBzeWNob2xvZ3ksIGFuZCBOZXVyb3NjaWVuY2UsIEtp
bmcmYXBvcztzIENvbGxlZ2UgTG9uZG9uLCBMb25kb24sIFVLLiYjeEQ7RGVwYXJ0bWVudCBvZiBQ
c3ljaG9sb2d5LCBJbnN0aXR1dGUgb2YgUHN5Y2hpYXRyeSwgUHN5Y2hvbG9neSwgYW5kIE5ldXJv
c2NpZW5jZSwgS2luZyZhcG9zO3MgQ29sbGVnZSBMb25kb24sIDE2IERlIENyZXNwaWdueSBQYXJr
LCBMb25kb24sIFNFNSA4QUYsIFVLLiB0ZWQuYmFya2VyQGtjbC5hYy51ay48L2F1dGgtYWRkcmVz
cz48dGl0bGVzPjx0aXRsZT5Bc3NvY2lhdGlvbnMgYmV0d2VlbiBwcmVuYXRhbCBhbmQgZWFybHkg
Y2hpbGRob29kIGZpc2ggYW5kIHByb2Nlc3NlZCBmb29kIGludGFrZSwgY29uZHVjdCBwcm9ibGVt
cywgYW5kIGNvLW9jY3VycmluZyBkaWZmaWN1bHRpZXM8L3RpdGxlPjxzZWNvbmRhcnktdGl0bGU+
SiBBYm5vcm0gQ2hpbGQgUHN5Y2hvbDwvc2Vjb25kYXJ5LXRpdGxlPjwvdGl0bGVzPjxwZXJpb2Rp
Y2FsPjxmdWxsLXRpdGxlPkogQWJub3JtIENoaWxkIFBzeWNob2w8L2Z1bGwtdGl0bGU+PC9wZXJp
b2RpY2FsPjxwYWdlcz4xMDM5LTEwNDk8L3BhZ2VzPjx2b2x1bWU+NDU8L3ZvbHVtZT48bnVtYmVy
PjU8L251bWJlcj48ZWRpdGlvbj4yMDE2LzExLzA1PC9lZGl0aW9uPjxrZXl3b3Jkcz48a2V5d29y
ZD5BZG9sZXNjZW50PC9rZXl3b3JkPjxrZXl3b3JkPkFmZmVjdGl2ZSBTeW1wdG9tcy9lcGlkZW1p
b2xvZ3kvKmV0aW9sb2d5PC9rZXl3b3JkPjxrZXl3b3JkPkNoaWxkPC9rZXl3b3JkPjxrZXl3b3Jk
PkNoaWxkLCBQcmVzY2hvb2w8L2tleXdvcmQ+PGtleXdvcmQ+Q29tb3JiaWRpdHk8L2tleXdvcmQ+
PGtleXdvcmQ+Q29uZHVjdCBEaXNvcmRlci9lcGlkZW1pb2xvZ3kvKmV0aW9sb2d5PC9rZXl3b3Jk
PjxrZXl3b3JkPipEaWV0L2FkdmVyc2UgZWZmZWN0czwva2V5d29yZD48a2V5d29yZD5GZW1hbGU8
L2tleXdvcmQ+PGtleXdvcmQ+SHVtYW5zPC9rZXl3b3JkPjxrZXl3b3JkPkxvbmdpdHVkaW5hbCBT
dHVkaWVzPC9rZXl3b3JkPjxrZXl3b3JkPk1hbGU8L2tleXdvcmQ+PGtleXdvcmQ+UHJlZ25hbmN5
PC9rZXl3b3JkPjxrZXl3b3JkPlByZW5hdGFsIEV4cG9zdXJlIERlbGF5ZWQgRWZmZWN0cy9lcGlk
ZW1pb2xvZ3kvKmV0aW9sb2d5PC9rZXl3b3JkPjxrZXl3b3JkPipQcm9ibGVtIEJlaGF2aW9yPC9r
ZXl3b3JkPjxrZXl3b3JkPlJpc2sgRmFjdG9yczwva2V5d29yZD48a2V5d29yZD4qU2VhZm9vZDwv
a2V5d29yZD48a2V5d29yZD5Vbml0ZWQgS2luZ2RvbS9lcGlkZW1pb2xvZ3k8L2tleXdvcmQ+PGtl
eXdvcmQ+QXZvbiBsb25naXR1ZGluYWwgc3R1ZHkgb2YgcGFyZW50cyBhbmQgY2hpbGRyZW4gKEFM
U1BBQyk8L2tleXdvcmQ+PGtleXdvcmQ+Q29uZHVjdCBwcm9ibGVtczwva2V5d29yZD48a2V5d29y
ZD5FbW90aW9uYWwgZGlmZmljdWx0aWVzPC9rZXl3b3JkPjxrZXl3b3JkPkZpc2g8L2tleXdvcmQ+
PGtleXdvcmQ+SHlwZXJhY3Rpdml0eTwva2V5d29yZD48a2V5d29yZD5Qcm9jZXNzZWQgZm9vZDwv
a2V5d29yZD48a2V5d29yZD5TdHJlbmd0aHMgYW5kIGRpZmZpY3VsdGllcyBxdWVzdGlvbm5haXJl
IChTRFEpPC9rZXl3b3JkPjwva2V5d29yZHM+PGRhdGVzPjx5ZWFyPjIwMTc8L3llYXI+PHB1Yi1k
YXRlcz48ZGF0ZT5KdWw8L2RhdGU+PC9wdWItZGF0ZXM+PC9kYXRlcz48aXNibj4xNTczLTI4MzUg
KEVsZWN0cm9uaWMpJiN4RDswMDkxLTA2MjcgKExpbmtpbmcpPC9pc2JuPjxhY2Nlc3Npb24tbnVt
PjI3ODEyOTA1PC9hY2Nlc3Npb24tbnVtPjx1cmxzPjxyZWxhdGVkLXVybHM+PHVybD5odHRwczov
L3d3dy5uY2JpLm5sbS5uaWguZ292L3B1Ym1lZC8yNzgxMjkwNTwvdXJsPjwvcmVsYXRlZC11cmxz
PjwvdXJscz48Y3VzdG9tMj5QTUM1NDE1NDMxPC9jdXN0b20yPjxlbGVjdHJvbmljLXJlc291cmNl
LW51bT4xMC4xMDA3L3MxMDgwMi0wMTYtMDIyNC15PC9lbGVjdHJvbmljLXJlc291cmNlLW51bT48
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88</w:t>
            </w:r>
            <w:r w:rsidR="00774750">
              <w:fldChar w:fldCharType="end"/>
            </w:r>
          </w:p>
          <w:p w14:paraId="7FE8E49B" w14:textId="77777777" w:rsidR="003406BC" w:rsidRPr="00386B76" w:rsidRDefault="003406BC" w:rsidP="009337E3">
            <w:r w:rsidRPr="00386B76">
              <w:t>United Kingdom</w:t>
            </w:r>
          </w:p>
          <w:p w14:paraId="69265EFE" w14:textId="539B77BF" w:rsidR="003406BC" w:rsidRPr="00386B76" w:rsidRDefault="003406BC" w:rsidP="009337E3">
            <w:r w:rsidRPr="00386B76">
              <w:t>Cohort</w:t>
            </w:r>
          </w:p>
        </w:tc>
        <w:tc>
          <w:tcPr>
            <w:tcW w:w="1274" w:type="dxa"/>
          </w:tcPr>
          <w:p w14:paraId="0017332F" w14:textId="7D61BDE0" w:rsidR="008F4931" w:rsidRPr="00386B76" w:rsidRDefault="003406BC" w:rsidP="009337E3">
            <w:r w:rsidRPr="00386B76">
              <w:t>5,727 mother-child pairs</w:t>
            </w:r>
          </w:p>
        </w:tc>
        <w:tc>
          <w:tcPr>
            <w:tcW w:w="4822" w:type="dxa"/>
          </w:tcPr>
          <w:p w14:paraId="0E80B919" w14:textId="77777777" w:rsidR="003406BC" w:rsidRPr="00386B76" w:rsidRDefault="003406BC" w:rsidP="003406BC">
            <w:r w:rsidRPr="00386B76">
              <w:rPr>
                <w:b/>
              </w:rPr>
              <w:t>Aim</w:t>
            </w:r>
            <w:r w:rsidRPr="00386B76">
              <w:t xml:space="preserve">: To investigate early life diet as a risk factor for early-onset persistent conduct problems (EOP CP). </w:t>
            </w:r>
          </w:p>
          <w:p w14:paraId="15133DAF" w14:textId="68D7F77C" w:rsidR="008F4931" w:rsidRPr="00386B76" w:rsidRDefault="003406BC" w:rsidP="00386B76">
            <w:pPr>
              <w:rPr>
                <w:b/>
              </w:rPr>
            </w:pPr>
            <w:r w:rsidRPr="00386B76">
              <w:rPr>
                <w:b/>
              </w:rPr>
              <w:t>Methods</w:t>
            </w:r>
            <w:r w:rsidRPr="00386B76">
              <w:t xml:space="preserve">: </w:t>
            </w:r>
            <w:r w:rsidR="00386B76" w:rsidRPr="00386B76">
              <w:t>M</w:t>
            </w:r>
            <w:r w:rsidRPr="00386B76">
              <w:t>other-child pairs reported intake of fish and processed foods at 32 weeks gestation and, for the child, at 3 years; EOP (n = 666) and Low conduct problem (Low CP, n = 5061) trajectories were measured from 4 to 13 years; hyperactivity and emotional difficulties were assessed in childhood (4-10 years) and early adolescence (12-13 years), in addition to potential confounding factors (family adversity, birth complications, income).</w:t>
            </w:r>
          </w:p>
        </w:tc>
        <w:tc>
          <w:tcPr>
            <w:tcW w:w="4536" w:type="dxa"/>
          </w:tcPr>
          <w:p w14:paraId="1E32317A" w14:textId="3DE43201" w:rsidR="008F4931" w:rsidRPr="008F4931" w:rsidRDefault="008F4931" w:rsidP="00386B76">
            <w:r w:rsidRPr="00386B76">
              <w:t xml:space="preserve">Compared to </w:t>
            </w:r>
            <w:r w:rsidR="008E6B0E" w:rsidRPr="00386B76">
              <w:t>low conduct problems</w:t>
            </w:r>
            <w:r w:rsidRPr="00386B76">
              <w:t xml:space="preserve">, mothers of </w:t>
            </w:r>
            <w:r w:rsidR="008E6B0E" w:rsidRPr="00386B76">
              <w:t>early onset persistent conduct problems children consumed less fish (p&lt;</w:t>
            </w:r>
            <w:r w:rsidRPr="00386B76">
              <w:t>0.01) prenatally.</w:t>
            </w:r>
            <w:r w:rsidRPr="008F4931">
              <w:t xml:space="preserve"> </w:t>
            </w:r>
          </w:p>
        </w:tc>
        <w:tc>
          <w:tcPr>
            <w:tcW w:w="1843" w:type="dxa"/>
          </w:tcPr>
          <w:p w14:paraId="06A0E0B9" w14:textId="77777777" w:rsidR="008F4931" w:rsidRPr="00C17B92" w:rsidRDefault="008F4931" w:rsidP="009337E3"/>
        </w:tc>
      </w:tr>
      <w:tr w:rsidR="000D6377" w:rsidRPr="00C17B92" w14:paraId="0E8542A1" w14:textId="77777777" w:rsidTr="00977A9A">
        <w:trPr>
          <w:cantSplit/>
          <w:trHeight w:val="390"/>
        </w:trPr>
        <w:tc>
          <w:tcPr>
            <w:tcW w:w="1417" w:type="dxa"/>
          </w:tcPr>
          <w:p w14:paraId="5AADE395" w14:textId="160C56F1" w:rsidR="000D6377" w:rsidRPr="00921AA1" w:rsidRDefault="00006163" w:rsidP="009337E3">
            <w:r w:rsidRPr="00921AA1">
              <w:t>Vejrup et al 2014</w:t>
            </w:r>
            <w:r w:rsidR="00774750">
              <w:fldChar w:fldCharType="begin">
                <w:fldData xml:space="preserve">PEVuZE5vdGU+PENpdGU+PEF1dGhvcj5WZWpydXA8L0F1dGhvcj48WWVhcj4yMDE0PC9ZZWFyPjxS
ZWNOdW0+MTc0NTwvUmVjTnVtPjxEaXNwbGF5VGV4dD48c3R5bGUgZmFjZT0ic3VwZXJzY3JpcHQi
IGZvbnQ9IlRyZWJ1Y2hldCBNUyIgc2l6ZT0iOSI+Nzk8L3N0eWxlPjwvRGlzcGxheVRleHQ+PHJl
Y29yZD48cmVjLW51bWJlcj4xNzQ1PC9yZWMtbnVtYmVyPjxmb3JlaWduLWtleXM+PGtleSBhcHA9
IkVOIiBkYi1pZD0iZXh2YXNyZngyZHRyYW9lc2FzeHAyc3pzeGEyZGY1MDI1OTJ4IiB0aW1lc3Rh
bXA9IjE1ODI1MDYzMzAiPjE3NDU8L2tleT48a2V5IGFwcD0iRU5XZWIiIGRiLWlkPSIiPjA8L2tl
eT48L2ZvcmVpZ24ta2V5cz48cmVmLXR5cGUgbmFtZT0iSm91cm5hbCBBcnRpY2xlIj4xNzwvcmVm
LXR5cGU+PGNvbnRyaWJ1dG9ycz48YXV0aG9ycz48YXV0aG9yPlZlanJ1cCwgSy48L2F1dGhvcj48
YXV0aG9yPkJyYW50c2FldGVyLCBBLiBMLjwvYXV0aG9yPjxhdXRob3I+S251dHNlbiwgSC4gSy48
L2F1dGhvcj48YXV0aG9yPk1hZ251cywgUC48L2F1dGhvcj48YXV0aG9yPkFsZXhhbmRlciwgSi48
L2F1dGhvcj48YXV0aG9yPkt2YWxlbSwgSC4gRS48L2F1dGhvcj48YXV0aG9yPk1lbHR6ZXIsIEgu
IE0uPC9hdXRob3I+PGF1dGhvcj5IYXVnZW4sIE0uPC9hdXRob3I+PC9hdXRob3JzPjwvY29udHJp
YnV0b3JzPjxhdXRoLWFkZHJlc3M+MURpdmlzaW9uIG9mIEVwaWRlbWlvbG9neSxOb3J3ZWdpYW4g
SW5zdGl0dXRlIG9mIFB1YmxpYyBIZWFsdGgsUG9zdCBCb3ggNDQwNCBOeWRhbGVuLE5PLTA0MDMg
T3NsbyxOb3J3YXkuJiN4RDsyRGl2aXNpb24gb2YgRW52aXJvbm1lbnRhbCBNZWRpY2luZSxOb3J3
ZWdpYW4gSW5zdGl0dXRlIG9mIFB1YmxpYyBIZWFsdGgsT3NsbyxOb3J3YXkuJiN4RDszT2ZmaWNl
IG9mIERpcmVjdG9yLUdlbmVyYWwsTm9yd2VnaWFuIEluc3RpdHV0ZSBvZiBQdWJsaWMgSGVhbHRo
LE9zbG8sTm9yd2F5LjwvYXV0aC1hZGRyZXNzPjx0aXRsZXM+PHRpdGxlPlByZW5hdGFsIG1lcmN1
cnkgZXhwb3N1cmUgYW5kIGluZmFudCBiaXJ0aCB3ZWlnaHQgaW4gdGhlIE5vcndlZ2lhbiBNb3Ro
ZXIgYW5kIENoaWxkIENvaG9ydCBTdHVkeTwvdGl0bGU+PHNlY29uZGFyeS10aXRsZT5QdWJsaWMg
SGVhbHRoIE51dHI8L3NlY29uZGFyeS10aXRsZT48L3RpdGxlcz48cGVyaW9kaWNhbD48ZnVsbC10
aXRsZT5QdWJsaWMgSGVhbHRoIE51dHI8L2Z1bGwtdGl0bGU+PC9wZXJpb2RpY2FsPjxwYWdlcz4y
MDcxLTgwPC9wYWdlcz48dm9sdW1lPjE3PC92b2x1bWU+PG51bWJlcj45PC9udW1iZXI+PGVkaXRp
b24+MjAxMy8xMC8xMDwvZWRpdGlvbj48a2V5d29yZHM+PGtleXdvcmQ+QmlydGggV2VpZ2h0L2Ry
dWcgZWZmZWN0czwva2V5d29yZD48a2V5d29yZD5Db2hvcnQgU3R1ZGllczwva2V5d29yZD48a2V5
d29yZD5EYXRhYmFzZXMsIEZhY3R1YWw8L2tleXdvcmQ+PGtleXdvcmQ+RmVlZGluZyBCZWhhdmlv
ci9ldGhub2xvZ3k8L2tleXdvcmQ+PGtleXdvcmQ+RmVtYWxlPC9rZXl3b3JkPjxrZXl3b3JkPkZl
dGFsIEdyb3d0aCBSZXRhcmRhdGlvbi8qY2hlbWljYWxseSBpbmR1Y2VkL2VwaWRlbWlvbG9neS9l
dGhub2xvZ3k8L2tleXdvcmQ+PGtleXdvcmQ+KkZvb2QgQ29udGFtaW5hdGlvbjwva2V5d29yZD48
a2V5d29yZD5IdW1hbnM8L2tleXdvcmQ+PGtleXdvcmQ+SW5mYW50LCBOZXdib3JuPC9rZXl3b3Jk
PjxrZXl3b3JkPkluZmFudCwgU21hbGwgZm9yIEdlc3RhdGlvbmFsIEFnZTwva2V5d29yZD48a2V5
d29yZD5NYWxlPC9rZXl3b3JkPjxrZXl3b3JkPipNYXRlcm5hbCBOdXRyaXRpb25hbCBQaHlzaW9s
b2dpY2FsIFBoZW5vbWVuYS9ldGhub2xvZ3k8L2tleXdvcmQ+PGtleXdvcmQ+TWVyY3VyeS9hbmFs
eXNpcy8qdG94aWNpdHk8L2tleXdvcmQ+PGtleXdvcmQ+Tm9yd2F5L2VwaWRlbWlvbG9neTwva2V5
d29yZD48a2V5d29yZD5QcmVnbmFuY3k8L2tleXdvcmQ+PGtleXdvcmQ+KlByZW5hdGFsIEV4cG9z
dXJlIERlbGF5ZWQgRWZmZWN0cy9ldGhub2xvZ3k8L2tleXdvcmQ+PGtleXdvcmQ+UHJvc3BlY3Rp
dmUgU3R1ZGllczwva2V5d29yZD48a2V5d29yZD5SaXNrPC9rZXl3b3JkPjxrZXl3b3JkPlNlYWZv
b2QvKmFkdmVyc2UgZWZmZWN0cy9hbmFseXNpczwva2V5d29yZD48a2V5d29yZD5XYXRlciBQb2xs
dXRhbnRzLCBDaGVtaWNhbC9hbmFseXNpcy8qdG94aWNpdHk8L2tleXdvcmQ+PC9rZXl3b3Jkcz48
ZGF0ZXM+PHllYXI+MjAxNDwveWVhcj48cHViLWRhdGVzPjxkYXRlPlNlcDwvZGF0ZT48L3B1Yi1k
YXRlcz48L2RhdGVzPjxpc2JuPjE0NzUtMjcyNyAoRWxlY3Ryb25pYykmI3hEOzEzNjgtOTgwMCAo
TGlua2luZyk8L2lzYm4+PGFjY2Vzc2lvbi1udW0+MjQxMDM0MTM8L2FjY2Vzc2lvbi1udW0+PHVy
bHM+PHJlbGF0ZWQtdXJscz48dXJsPmh0dHBzOi8vd3d3Lm5jYmkubmxtLm5paC5nb3YvcHVibWVk
LzI0MTAzNDEzPC91cmw+PC9yZWxhdGVkLXVybHM+PC91cmxzPjxlbGVjdHJvbmljLXJlc291cmNl
LW51bT4xMC4xMDE3L1MxMzY4OTgwMDEzMDAyNjE5PC9lbGVjdHJvbmljLXJlc291cmNlLW51bT48
L3JlY29yZD48L0NpdGU+PC9FbmROb3RlPn==
</w:fldData>
              </w:fldChar>
            </w:r>
            <w:r w:rsidR="002747EA">
              <w:instrText xml:space="preserve"> ADDIN EN.CITE </w:instrText>
            </w:r>
            <w:r w:rsidR="002747EA">
              <w:fldChar w:fldCharType="begin">
                <w:fldData xml:space="preserve">PEVuZE5vdGU+PENpdGU+PEF1dGhvcj5WZWpydXA8L0F1dGhvcj48WWVhcj4yMDE0PC9ZZWFyPjxS
ZWNOdW0+MTc0NTwvUmVjTnVtPjxEaXNwbGF5VGV4dD48c3R5bGUgZmFjZT0ic3VwZXJzY3JpcHQi
IGZvbnQ9IlRyZWJ1Y2hldCBNUyIgc2l6ZT0iOSI+Nzk8L3N0eWxlPjwvRGlzcGxheVRleHQ+PHJl
Y29yZD48cmVjLW51bWJlcj4xNzQ1PC9yZWMtbnVtYmVyPjxmb3JlaWduLWtleXM+PGtleSBhcHA9
IkVOIiBkYi1pZD0iZXh2YXNyZngyZHRyYW9lc2FzeHAyc3pzeGEyZGY1MDI1OTJ4IiB0aW1lc3Rh
bXA9IjE1ODI1MDYzMzAiPjE3NDU8L2tleT48a2V5IGFwcD0iRU5XZWIiIGRiLWlkPSIiPjA8L2tl
eT48L2ZvcmVpZ24ta2V5cz48cmVmLXR5cGUgbmFtZT0iSm91cm5hbCBBcnRpY2xlIj4xNzwvcmVm
LXR5cGU+PGNvbnRyaWJ1dG9ycz48YXV0aG9ycz48YXV0aG9yPlZlanJ1cCwgSy48L2F1dGhvcj48
YXV0aG9yPkJyYW50c2FldGVyLCBBLiBMLjwvYXV0aG9yPjxhdXRob3I+S251dHNlbiwgSC4gSy48
L2F1dGhvcj48YXV0aG9yPk1hZ251cywgUC48L2F1dGhvcj48YXV0aG9yPkFsZXhhbmRlciwgSi48
L2F1dGhvcj48YXV0aG9yPkt2YWxlbSwgSC4gRS48L2F1dGhvcj48YXV0aG9yPk1lbHR6ZXIsIEgu
IE0uPC9hdXRob3I+PGF1dGhvcj5IYXVnZW4sIE0uPC9hdXRob3I+PC9hdXRob3JzPjwvY29udHJp
YnV0b3JzPjxhdXRoLWFkZHJlc3M+MURpdmlzaW9uIG9mIEVwaWRlbWlvbG9neSxOb3J3ZWdpYW4g
SW5zdGl0dXRlIG9mIFB1YmxpYyBIZWFsdGgsUG9zdCBCb3ggNDQwNCBOeWRhbGVuLE5PLTA0MDMg
T3NsbyxOb3J3YXkuJiN4RDsyRGl2aXNpb24gb2YgRW52aXJvbm1lbnRhbCBNZWRpY2luZSxOb3J3
ZWdpYW4gSW5zdGl0dXRlIG9mIFB1YmxpYyBIZWFsdGgsT3NsbyxOb3J3YXkuJiN4RDszT2ZmaWNl
IG9mIERpcmVjdG9yLUdlbmVyYWwsTm9yd2VnaWFuIEluc3RpdHV0ZSBvZiBQdWJsaWMgSGVhbHRo
LE9zbG8sTm9yd2F5LjwvYXV0aC1hZGRyZXNzPjx0aXRsZXM+PHRpdGxlPlByZW5hdGFsIG1lcmN1
cnkgZXhwb3N1cmUgYW5kIGluZmFudCBiaXJ0aCB3ZWlnaHQgaW4gdGhlIE5vcndlZ2lhbiBNb3Ro
ZXIgYW5kIENoaWxkIENvaG9ydCBTdHVkeTwvdGl0bGU+PHNlY29uZGFyeS10aXRsZT5QdWJsaWMg
SGVhbHRoIE51dHI8L3NlY29uZGFyeS10aXRsZT48L3RpdGxlcz48cGVyaW9kaWNhbD48ZnVsbC10
aXRsZT5QdWJsaWMgSGVhbHRoIE51dHI8L2Z1bGwtdGl0bGU+PC9wZXJpb2RpY2FsPjxwYWdlcz4y
MDcxLTgwPC9wYWdlcz48dm9sdW1lPjE3PC92b2x1bWU+PG51bWJlcj45PC9udW1iZXI+PGVkaXRp
b24+MjAxMy8xMC8xMDwvZWRpdGlvbj48a2V5d29yZHM+PGtleXdvcmQ+QmlydGggV2VpZ2h0L2Ry
dWcgZWZmZWN0czwva2V5d29yZD48a2V5d29yZD5Db2hvcnQgU3R1ZGllczwva2V5d29yZD48a2V5
d29yZD5EYXRhYmFzZXMsIEZhY3R1YWw8L2tleXdvcmQ+PGtleXdvcmQ+RmVlZGluZyBCZWhhdmlv
ci9ldGhub2xvZ3k8L2tleXdvcmQ+PGtleXdvcmQ+RmVtYWxlPC9rZXl3b3JkPjxrZXl3b3JkPkZl
dGFsIEdyb3d0aCBSZXRhcmRhdGlvbi8qY2hlbWljYWxseSBpbmR1Y2VkL2VwaWRlbWlvbG9neS9l
dGhub2xvZ3k8L2tleXdvcmQ+PGtleXdvcmQ+KkZvb2QgQ29udGFtaW5hdGlvbjwva2V5d29yZD48
a2V5d29yZD5IdW1hbnM8L2tleXdvcmQ+PGtleXdvcmQ+SW5mYW50LCBOZXdib3JuPC9rZXl3b3Jk
PjxrZXl3b3JkPkluZmFudCwgU21hbGwgZm9yIEdlc3RhdGlvbmFsIEFnZTwva2V5d29yZD48a2V5
d29yZD5NYWxlPC9rZXl3b3JkPjxrZXl3b3JkPipNYXRlcm5hbCBOdXRyaXRpb25hbCBQaHlzaW9s
b2dpY2FsIFBoZW5vbWVuYS9ldGhub2xvZ3k8L2tleXdvcmQ+PGtleXdvcmQ+TWVyY3VyeS9hbmFs
eXNpcy8qdG94aWNpdHk8L2tleXdvcmQ+PGtleXdvcmQ+Tm9yd2F5L2VwaWRlbWlvbG9neTwva2V5
d29yZD48a2V5d29yZD5QcmVnbmFuY3k8L2tleXdvcmQ+PGtleXdvcmQ+KlByZW5hdGFsIEV4cG9z
dXJlIERlbGF5ZWQgRWZmZWN0cy9ldGhub2xvZ3k8L2tleXdvcmQ+PGtleXdvcmQ+UHJvc3BlY3Rp
dmUgU3R1ZGllczwva2V5d29yZD48a2V5d29yZD5SaXNrPC9rZXl3b3JkPjxrZXl3b3JkPlNlYWZv
b2QvKmFkdmVyc2UgZWZmZWN0cy9hbmFseXNpczwva2V5d29yZD48a2V5d29yZD5XYXRlciBQb2xs
dXRhbnRzLCBDaGVtaWNhbC9hbmFseXNpcy8qdG94aWNpdHk8L2tleXdvcmQ+PC9rZXl3b3Jkcz48
ZGF0ZXM+PHllYXI+MjAxNDwveWVhcj48cHViLWRhdGVzPjxkYXRlPlNlcDwvZGF0ZT48L3B1Yi1k
YXRlcz48L2RhdGVzPjxpc2JuPjE0NzUtMjcyNyAoRWxlY3Ryb25pYykmI3hEOzEzNjgtOTgwMCAo
TGlua2luZyk8L2lzYm4+PGFjY2Vzc2lvbi1udW0+MjQxMDM0MTM8L2FjY2Vzc2lvbi1udW0+PHVy
bHM+PHJlbGF0ZWQtdXJscz48dXJsPmh0dHBzOi8vd3d3Lm5jYmkubmxtLm5paC5nb3YvcHVibWVk
LzI0MTAzNDEzPC91cmw+PC9yZWxhdGVkLXVybHM+PC91cmxzPjxlbGVjdHJvbmljLXJlc291cmNl
LW51bT4xMC4xMDE3L1MxMzY4OTgwMDEzMDAyNjE5PC9lbGVjdHJvbmljLXJlc291cmNlLW51bT48
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79</w:t>
            </w:r>
            <w:r w:rsidR="00774750">
              <w:fldChar w:fldCharType="end"/>
            </w:r>
          </w:p>
          <w:p w14:paraId="24127E3C" w14:textId="77777777" w:rsidR="00006163" w:rsidRPr="00921AA1" w:rsidRDefault="00006163" w:rsidP="009337E3">
            <w:r w:rsidRPr="00921AA1">
              <w:t>Norway</w:t>
            </w:r>
          </w:p>
          <w:p w14:paraId="578498BE" w14:textId="2AA6321B" w:rsidR="00006163" w:rsidRPr="00921AA1" w:rsidRDefault="00006163" w:rsidP="009337E3">
            <w:r w:rsidRPr="00921AA1">
              <w:t>Cohort</w:t>
            </w:r>
          </w:p>
        </w:tc>
        <w:tc>
          <w:tcPr>
            <w:tcW w:w="1274" w:type="dxa"/>
          </w:tcPr>
          <w:p w14:paraId="14E487B8" w14:textId="2A727A05" w:rsidR="000D6377" w:rsidRPr="00921AA1" w:rsidRDefault="00182B68" w:rsidP="009337E3">
            <w:r w:rsidRPr="00921AA1">
              <w:t>56,988</w:t>
            </w:r>
            <w:r w:rsidR="00006163" w:rsidRPr="00921AA1">
              <w:t xml:space="preserve"> women</w:t>
            </w:r>
          </w:p>
        </w:tc>
        <w:tc>
          <w:tcPr>
            <w:tcW w:w="4822" w:type="dxa"/>
          </w:tcPr>
          <w:p w14:paraId="6106AF54" w14:textId="472C297A" w:rsidR="00006163" w:rsidRPr="00921AA1" w:rsidRDefault="00006163" w:rsidP="00006163">
            <w:r w:rsidRPr="00921AA1">
              <w:rPr>
                <w:b/>
              </w:rPr>
              <w:t>Aim</w:t>
            </w:r>
            <w:r w:rsidRPr="00921AA1">
              <w:t xml:space="preserve">: To examine the association between calculated maternal dietary exposure to </w:t>
            </w:r>
            <w:r w:rsidR="00265214" w:rsidRPr="00921AA1">
              <w:t>mercury (</w:t>
            </w:r>
            <w:r w:rsidRPr="00921AA1">
              <w:t>Hg</w:t>
            </w:r>
            <w:r w:rsidR="00265214" w:rsidRPr="00921AA1">
              <w:t>)</w:t>
            </w:r>
            <w:r w:rsidRPr="00921AA1">
              <w:t xml:space="preserve"> in pregnancy and infant birth weight in the Norwegian Mother and Child Cohort Study (MoBa). </w:t>
            </w:r>
          </w:p>
          <w:p w14:paraId="1E375764" w14:textId="769EFD25" w:rsidR="000D6377" w:rsidRPr="00921AA1" w:rsidRDefault="00006163" w:rsidP="00C91D84">
            <w:pPr>
              <w:rPr>
                <w:b/>
              </w:rPr>
            </w:pPr>
            <w:r w:rsidRPr="00921AA1">
              <w:rPr>
                <w:b/>
              </w:rPr>
              <w:t>Methods</w:t>
            </w:r>
            <w:r w:rsidRPr="00921AA1">
              <w:t xml:space="preserve">: Exposure was calculated with use of a constructed database of Hg in food items and reported dietary intake during pregnancy. Multivariable regression models were used to explore the association between maternal Hg exposure and infant birth weight, and to model associations with small-for-gestational-age offspring. The study is based on data from MoBa. </w:t>
            </w:r>
          </w:p>
        </w:tc>
        <w:tc>
          <w:tcPr>
            <w:tcW w:w="4536" w:type="dxa"/>
          </w:tcPr>
          <w:p w14:paraId="4C205DFC" w14:textId="61085231" w:rsidR="000D6377" w:rsidRPr="00006163" w:rsidRDefault="00006163" w:rsidP="001953AF">
            <w:r w:rsidRPr="00921AA1">
              <w:t>Median exposure to Hg was 0.15 mug/kg body weight per week and the contribution from seafood intake was 88 % of total Hg exposure. Women in the highest quintile compared with the lowest quintile of Hg exposure delivered offspring with 34 g lo</w:t>
            </w:r>
            <w:r w:rsidR="00386B76" w:rsidRPr="00921AA1">
              <w:t>wer birth weight (95 % CI -46 g to</w:t>
            </w:r>
            <w:r w:rsidRPr="00921AA1">
              <w:t xml:space="preserve"> -22 g) and had an increased risk of giving birth to small-for-gestational-age offspring, adjusted OR = 1.19 (95 % CI 1.08, 1.30). Although seafood intake was positively associated with increased birth weight, stratified analyses showed negative associations between Hg exposure and birth weight within strata of seafood intake.</w:t>
            </w:r>
            <w:r w:rsidRPr="00006163">
              <w:t xml:space="preserve"> </w:t>
            </w:r>
          </w:p>
        </w:tc>
        <w:tc>
          <w:tcPr>
            <w:tcW w:w="1843" w:type="dxa"/>
          </w:tcPr>
          <w:p w14:paraId="10C27167" w14:textId="77777777" w:rsidR="000D6377" w:rsidRPr="00C17B92" w:rsidRDefault="000D6377" w:rsidP="009337E3"/>
        </w:tc>
      </w:tr>
      <w:tr w:rsidR="001953AF" w:rsidRPr="00C17B92" w14:paraId="36B27703" w14:textId="77777777" w:rsidTr="00977A9A">
        <w:trPr>
          <w:cantSplit/>
          <w:trHeight w:val="390"/>
        </w:trPr>
        <w:tc>
          <w:tcPr>
            <w:tcW w:w="1417" w:type="dxa"/>
          </w:tcPr>
          <w:p w14:paraId="778C7C16" w14:textId="46F9A863" w:rsidR="001953AF" w:rsidRPr="00E3700A" w:rsidRDefault="001953AF" w:rsidP="009337E3">
            <w:r w:rsidRPr="00E3700A">
              <w:t>Verjup et al 2016</w:t>
            </w:r>
            <w:r w:rsidR="00774750">
              <w:fldChar w:fldCharType="begin">
                <w:fldData xml:space="preserve">PEVuZE5vdGU+PENpdGU+PEF1dGhvcj5WZWpydXA8L0F1dGhvcj48WWVhcj4yMDE2PC9ZZWFyPjxS
ZWNOdW0+MTc0NjwvUmVjTnVtPjxEaXNwbGF5VGV4dD48c3R5bGUgZmFjZT0ic3VwZXJzY3JpcHQi
IGZvbnQ9IlRyZWJ1Y2hldCBNUyIgc2l6ZT0iOSI+ODc8L3N0eWxlPjwvRGlzcGxheVRleHQ+PHJl
Y29yZD48cmVjLW51bWJlcj4xNzQ2PC9yZWMtbnVtYmVyPjxmb3JlaWduLWtleXM+PGtleSBhcHA9
IkVOIiBkYi1pZD0iZXh2YXNyZngyZHRyYW9lc2FzeHAyc3pzeGEyZGY1MDI1OTJ4IiB0aW1lc3Rh
bXA9IjE1ODI1MDYzMzciPjE3NDY8L2tleT48a2V5IGFwcD0iRU5XZWIiIGRiLWlkPSIiPjA8L2tl
eT48L2ZvcmVpZ24ta2V5cz48cmVmLXR5cGUgbmFtZT0iSm91cm5hbCBBcnRpY2xlIj4xNzwvcmVm
LXR5cGU+PGNvbnRyaWJ1dG9ycz48YXV0aG9ycz48YXV0aG9yPlZlanJ1cCwgSy48L2F1dGhvcj48
YXV0aG9yPlNjaGpvbGJlcmcsIFMuPC9hdXRob3I+PGF1dGhvcj5LbnV0c2VuLCBILiBLLjwvYXV0
aG9yPjxhdXRob3I+S3ZhbGVtLCBILiBFLjwvYXV0aG9yPjxhdXRob3I+QnJhbnRzYWV0ZXIsIEEu
IEwuPC9hdXRob3I+PGF1dGhvcj5NZWx0emVyLCBILiBNLjwvYXV0aG9yPjxhdXRob3I+QWxleGFu
ZGVyLCBKLjwvYXV0aG9yPjxhdXRob3I+TWFnbnVzLCBQLjwvYXV0aG9yPjxhdXRob3I+SGF1Z2Vu
LCBNLjwvYXV0aG9yPjwvYXV0aG9ycz48L2NvbnRyaWJ1dG9ycz48YXV0aC1hZGRyZXNzPk5vcndl
Z2lhbiBJbnN0aXR1dGUgb2YgUHVibGljIEhlYWx0aCwgUC5PLiBCb3ggNDQwNCBOeWRhbGVuLCBO
Ty0wNDAzIE9zbG8sIE5vcndheS4gRWxlY3Ryb25pYyBhZGRyZXNzOiBrcmlzdGluZS52ZWpydXBA
ZmhpLm5vLiYjeEQ7Tm9yd2VnaWFuIEluc3RpdHV0ZSBvZiBQdWJsaWMgSGVhbHRoLCBQLk8uIEJv
eCA0NDA0IE55ZGFsZW4sIE5PLTA0MDMgT3NsbywgTm9yd2F5LiYjeEQ7QmpvcmtuZXMgQ29sbGVn
ZSwgTG92aXNlbmJlcmdnYXRhIDEzLCAwNDU2IE9zbG8sIE5vcndheS48L2F1dGgtYWRkcmVzcz48
dGl0bGVzPjx0aXRsZT5QcmVuYXRhbCBtZXRoeWxtZXJjdXJ5IGV4cG9zdXJlIGFuZCBsYW5ndWFn
ZSBkZWxheSBhdCB0aHJlZSB5ZWFycyBvZiBhZ2UgaW4gdGhlIE5vcndlZ2lhbiBNb3RoZXIgYW5k
IENoaWxkIENvaG9ydCBTdHVkeTwvdGl0bGU+PHNlY29uZGFyeS10aXRsZT5FbnZpcm9uIEludDwv
c2Vjb25kYXJ5LXRpdGxlPjwvdGl0bGVzPjxwZXJpb2RpY2FsPjxmdWxsLXRpdGxlPkVudmlyb24g
SW50PC9mdWxsLXRpdGxlPjwvcGVyaW9kaWNhbD48cGFnZXM+NjMtOTwvcGFnZXM+PHZvbHVtZT45
Mi05Mzwvdm9sdW1lPjxlZGl0aW9uPjIwMTYvMDQvMDk8L2VkaXRpb24+PGtleXdvcmRzPjxrZXl3
b3JkPkFuaW1hbHM8L2tleXdvcmQ+PGtleXdvcmQ+Q2hpbGQ8L2tleXdvcmQ+PGtleXdvcmQ+Q2hp
bGQsIFByZXNjaG9vbDwva2V5d29yZD48a2V5d29yZD5Db2hvcnQgU3R1ZGllczwva2V5d29yZD48
a2V5d29yZD5Db25mb3VuZGluZyBGYWN0b3JzLCBFcGlkZW1pb2xvZ2ljPC9rZXl3b3JkPjxrZXl3
b3JkPkRpZXQ8L2tleXdvcmQ+PGtleXdvcmQ+RGlveGlucy9hbmFseXNpcy90b3hpY2l0eTwva2V5
d29yZD48a2V5d29yZD5GYXR0eSBBY2lkcywgT21lZ2EtMy9hbmFseXNpczwva2V5d29yZD48a2V5
d29yZD5GZW1hbGU8L2tleXdvcmQ+PGtleXdvcmQ+RmlzaGVzPC9rZXl3b3JkPjxrZXl3b3JkPkZv
b2QgQ29udGFtaW5hdGlvbi9hbmFseXNpczwva2V5d29yZD48a2V5d29yZD5HZXN0YXRpb25hbCBB
Z2U8L2tleXdvcmQ+PGtleXdvcmQ+SHVtYW5zPC9rZXl3b3JkPjxrZXl3b3JkPkxhbmd1YWdlIERl
dmVsb3BtZW50IERpc29yZGVycy9jaGVtaWNhbGx5IGluZHVjZWQvKmVwaWRlbWlvbG9neTwva2V5
d29yZD48a2V5d29yZD5NYWxlPC9rZXl3b3JkPjxrZXl3b3JkPk1hdGVybmFsIEV4cG9zdXJlLyph
ZHZlcnNlIGVmZmVjdHM8L2tleXdvcmQ+PGtleXdvcmQ+TWV0aHlsbWVyY3VyeSBDb21wb3VuZHMv
KmFuYWx5c2lzL3RveGljaXR5PC9rZXl3b3JkPjxrZXl3b3JkPk5vcndheS9lcGlkZW1pb2xvZ3k8
L2tleXdvcmQ+PGtleXdvcmQ+UG9seWNobG9yaW5hdGVkIEJpcGhlbnlscy9hbmFseXNpcy90b3hp
Y2l0eTwva2V5d29yZD48a2V5d29yZD5QcmVnbmFuY3k8L2tleXdvcmQ+PGtleXdvcmQ+UHJlbmF0
YWwgRXhwb3N1cmUgRGVsYXllZCBFZmZlY3RzLypjaGVtaWNhbGx5IGluZHVjZWQ8L2tleXdvcmQ+
PGtleXdvcmQ+UHJvc3BlY3RpdmUgU3R1ZGllczwva2V5d29yZD48a2V5d29yZD5XYXRlciBQb2xs
dXRhbnRzLCBDaGVtaWNhbC8qYW5hbHlzaXMvdG94aWNpdHk8L2tleXdvcmQ+PGtleXdvcmQ+KkRp
ZXQ8L2tleXdvcmQ+PGtleXdvcmQ+KkZpc2ggaW50YWtlPC9rZXl3b3JkPjxrZXl3b3JkPipMYW5n
dWFnZSBkZXZlbG9wbWVudDwva2V5d29yZD48a2V5d29yZD4qTWV0aHlsbWVyY3VyeTwva2V5d29y
ZD48a2V5d29yZD4qTmV1cm9kZXZlbG9wbWVudDwva2V5d29yZD48a2V5d29yZD4qTm9yd2VnaWFu
IE1vdGhlciBhbmQgQ2hpbGQgQ29ob3J0IFN0dWR5PC9rZXl3b3JkPjxrZXl3b3JkPipQcmVuYXRh
bCBleHBvc3VyZTwva2V5d29yZD48L2tleXdvcmRzPjxkYXRlcz48eWVhcj4yMDE2PC95ZWFyPjxw
dWItZGF0ZXM+PGRhdGU+SnVsLUF1ZzwvZGF0ZT48L3B1Yi1kYXRlcz48L2RhdGVzPjxpc2JuPjE4
NzMtNjc1MCAoRWxlY3Ryb25pYykmI3hEOzAxNjAtNDEyMCAoTGlua2luZyk8L2lzYm4+PGFjY2Vz
c2lvbi1udW0+MjcwNTg5Mjg8L2FjY2Vzc2lvbi1udW0+PHVybHM+PHJlbGF0ZWQtdXJscz48dXJs
Pmh0dHBzOi8vd3d3Lm5jYmkubmxtLm5paC5nb3YvcHVibWVkLzI3MDU4OTI4PC91cmw+PC9yZWxh
dGVkLXVybHM+PC91cmxzPjxlbGVjdHJvbmljLXJlc291cmNlLW51bT4xMC4xMDE2L2ouZW52aW50
LjIwMTYuMDMuMDI5PC9lbGVjdHJvbmljLXJlc291cmNlLW51bT48L3JlY29yZD48L0NpdGU+PC9F
bmROb3RlPgB=
</w:fldData>
              </w:fldChar>
            </w:r>
            <w:r w:rsidR="002747EA">
              <w:instrText xml:space="preserve"> ADDIN EN.CITE </w:instrText>
            </w:r>
            <w:r w:rsidR="002747EA">
              <w:fldChar w:fldCharType="begin">
                <w:fldData xml:space="preserve">PEVuZE5vdGU+PENpdGU+PEF1dGhvcj5WZWpydXA8L0F1dGhvcj48WWVhcj4yMDE2PC9ZZWFyPjxS
ZWNOdW0+MTc0NjwvUmVjTnVtPjxEaXNwbGF5VGV4dD48c3R5bGUgZmFjZT0ic3VwZXJzY3JpcHQi
IGZvbnQ9IlRyZWJ1Y2hldCBNUyIgc2l6ZT0iOSI+ODc8L3N0eWxlPjwvRGlzcGxheVRleHQ+PHJl
Y29yZD48cmVjLW51bWJlcj4xNzQ2PC9yZWMtbnVtYmVyPjxmb3JlaWduLWtleXM+PGtleSBhcHA9
IkVOIiBkYi1pZD0iZXh2YXNyZngyZHRyYW9lc2FzeHAyc3pzeGEyZGY1MDI1OTJ4IiB0aW1lc3Rh
bXA9IjE1ODI1MDYzMzciPjE3NDY8L2tleT48a2V5IGFwcD0iRU5XZWIiIGRiLWlkPSIiPjA8L2tl
eT48L2ZvcmVpZ24ta2V5cz48cmVmLXR5cGUgbmFtZT0iSm91cm5hbCBBcnRpY2xlIj4xNzwvcmVm
LXR5cGU+PGNvbnRyaWJ1dG9ycz48YXV0aG9ycz48YXV0aG9yPlZlanJ1cCwgSy48L2F1dGhvcj48
YXV0aG9yPlNjaGpvbGJlcmcsIFMuPC9hdXRob3I+PGF1dGhvcj5LbnV0c2VuLCBILiBLLjwvYXV0
aG9yPjxhdXRob3I+S3ZhbGVtLCBILiBFLjwvYXV0aG9yPjxhdXRob3I+QnJhbnRzYWV0ZXIsIEEu
IEwuPC9hdXRob3I+PGF1dGhvcj5NZWx0emVyLCBILiBNLjwvYXV0aG9yPjxhdXRob3I+QWxleGFu
ZGVyLCBKLjwvYXV0aG9yPjxhdXRob3I+TWFnbnVzLCBQLjwvYXV0aG9yPjxhdXRob3I+SGF1Z2Vu
LCBNLjwvYXV0aG9yPjwvYXV0aG9ycz48L2NvbnRyaWJ1dG9ycz48YXV0aC1hZGRyZXNzPk5vcndl
Z2lhbiBJbnN0aXR1dGUgb2YgUHVibGljIEhlYWx0aCwgUC5PLiBCb3ggNDQwNCBOeWRhbGVuLCBO
Ty0wNDAzIE9zbG8sIE5vcndheS4gRWxlY3Ryb25pYyBhZGRyZXNzOiBrcmlzdGluZS52ZWpydXBA
ZmhpLm5vLiYjeEQ7Tm9yd2VnaWFuIEluc3RpdHV0ZSBvZiBQdWJsaWMgSGVhbHRoLCBQLk8uIEJv
eCA0NDA0IE55ZGFsZW4sIE5PLTA0MDMgT3NsbywgTm9yd2F5LiYjeEQ7QmpvcmtuZXMgQ29sbGVn
ZSwgTG92aXNlbmJlcmdnYXRhIDEzLCAwNDU2IE9zbG8sIE5vcndheS48L2F1dGgtYWRkcmVzcz48
dGl0bGVzPjx0aXRsZT5QcmVuYXRhbCBtZXRoeWxtZXJjdXJ5IGV4cG9zdXJlIGFuZCBsYW5ndWFn
ZSBkZWxheSBhdCB0aHJlZSB5ZWFycyBvZiBhZ2UgaW4gdGhlIE5vcndlZ2lhbiBNb3RoZXIgYW5k
IENoaWxkIENvaG9ydCBTdHVkeTwvdGl0bGU+PHNlY29uZGFyeS10aXRsZT5FbnZpcm9uIEludDwv
c2Vjb25kYXJ5LXRpdGxlPjwvdGl0bGVzPjxwZXJpb2RpY2FsPjxmdWxsLXRpdGxlPkVudmlyb24g
SW50PC9mdWxsLXRpdGxlPjwvcGVyaW9kaWNhbD48cGFnZXM+NjMtOTwvcGFnZXM+PHZvbHVtZT45
Mi05Mzwvdm9sdW1lPjxlZGl0aW9uPjIwMTYvMDQvMDk8L2VkaXRpb24+PGtleXdvcmRzPjxrZXl3
b3JkPkFuaW1hbHM8L2tleXdvcmQ+PGtleXdvcmQ+Q2hpbGQ8L2tleXdvcmQ+PGtleXdvcmQ+Q2hp
bGQsIFByZXNjaG9vbDwva2V5d29yZD48a2V5d29yZD5Db2hvcnQgU3R1ZGllczwva2V5d29yZD48
a2V5d29yZD5Db25mb3VuZGluZyBGYWN0b3JzLCBFcGlkZW1pb2xvZ2ljPC9rZXl3b3JkPjxrZXl3
b3JkPkRpZXQ8L2tleXdvcmQ+PGtleXdvcmQ+RGlveGlucy9hbmFseXNpcy90b3hpY2l0eTwva2V5
d29yZD48a2V5d29yZD5GYXR0eSBBY2lkcywgT21lZ2EtMy9hbmFseXNpczwva2V5d29yZD48a2V5
d29yZD5GZW1hbGU8L2tleXdvcmQ+PGtleXdvcmQ+RmlzaGVzPC9rZXl3b3JkPjxrZXl3b3JkPkZv
b2QgQ29udGFtaW5hdGlvbi9hbmFseXNpczwva2V5d29yZD48a2V5d29yZD5HZXN0YXRpb25hbCBB
Z2U8L2tleXdvcmQ+PGtleXdvcmQ+SHVtYW5zPC9rZXl3b3JkPjxrZXl3b3JkPkxhbmd1YWdlIERl
dmVsb3BtZW50IERpc29yZGVycy9jaGVtaWNhbGx5IGluZHVjZWQvKmVwaWRlbWlvbG9neTwva2V5
d29yZD48a2V5d29yZD5NYWxlPC9rZXl3b3JkPjxrZXl3b3JkPk1hdGVybmFsIEV4cG9zdXJlLyph
ZHZlcnNlIGVmZmVjdHM8L2tleXdvcmQ+PGtleXdvcmQ+TWV0aHlsbWVyY3VyeSBDb21wb3VuZHMv
KmFuYWx5c2lzL3RveGljaXR5PC9rZXl3b3JkPjxrZXl3b3JkPk5vcndheS9lcGlkZW1pb2xvZ3k8
L2tleXdvcmQ+PGtleXdvcmQ+UG9seWNobG9yaW5hdGVkIEJpcGhlbnlscy9hbmFseXNpcy90b3hp
Y2l0eTwva2V5d29yZD48a2V5d29yZD5QcmVnbmFuY3k8L2tleXdvcmQ+PGtleXdvcmQ+UHJlbmF0
YWwgRXhwb3N1cmUgRGVsYXllZCBFZmZlY3RzLypjaGVtaWNhbGx5IGluZHVjZWQ8L2tleXdvcmQ+
PGtleXdvcmQ+UHJvc3BlY3RpdmUgU3R1ZGllczwva2V5d29yZD48a2V5d29yZD5XYXRlciBQb2xs
dXRhbnRzLCBDaGVtaWNhbC8qYW5hbHlzaXMvdG94aWNpdHk8L2tleXdvcmQ+PGtleXdvcmQ+KkRp
ZXQ8L2tleXdvcmQ+PGtleXdvcmQ+KkZpc2ggaW50YWtlPC9rZXl3b3JkPjxrZXl3b3JkPipMYW5n
dWFnZSBkZXZlbG9wbWVudDwva2V5d29yZD48a2V5d29yZD4qTWV0aHlsbWVyY3VyeTwva2V5d29y
ZD48a2V5d29yZD4qTmV1cm9kZXZlbG9wbWVudDwva2V5d29yZD48a2V5d29yZD4qTm9yd2VnaWFu
IE1vdGhlciBhbmQgQ2hpbGQgQ29ob3J0IFN0dWR5PC9rZXl3b3JkPjxrZXl3b3JkPipQcmVuYXRh
bCBleHBvc3VyZTwva2V5d29yZD48L2tleXdvcmRzPjxkYXRlcz48eWVhcj4yMDE2PC95ZWFyPjxw
dWItZGF0ZXM+PGRhdGU+SnVsLUF1ZzwvZGF0ZT48L3B1Yi1kYXRlcz48L2RhdGVzPjxpc2JuPjE4
NzMtNjc1MCAoRWxlY3Ryb25pYykmI3hEOzAxNjAtNDEyMCAoTGlua2luZyk8L2lzYm4+PGFjY2Vz
c2lvbi1udW0+MjcwNTg5Mjg8L2FjY2Vzc2lvbi1udW0+PHVybHM+PHJlbGF0ZWQtdXJscz48dXJs
Pmh0dHBzOi8vd3d3Lm5jYmkubmxtLm5paC5nb3YvcHVibWVkLzI3MDU4OTI4PC91cmw+PC9yZWxh
dGVkLXVybHM+PC91cmxzPjxlbGVjdHJvbmljLXJlc291cmNlLW51bT4xMC4xMDE2L2ouZW52aW50
LjIwMTYuMDMuMDI5PC9lbGVjdHJvbmljLXJlc291cmNlLW51bT48L3JlY29yZD48L0NpdGU+PC9F
bmROb3RlPgB=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87</w:t>
            </w:r>
            <w:r w:rsidR="00774750">
              <w:fldChar w:fldCharType="end"/>
            </w:r>
          </w:p>
          <w:p w14:paraId="74A2A203" w14:textId="77777777" w:rsidR="001953AF" w:rsidRPr="00E3700A" w:rsidRDefault="001953AF" w:rsidP="009337E3">
            <w:r w:rsidRPr="00E3700A">
              <w:t>Norway</w:t>
            </w:r>
          </w:p>
          <w:p w14:paraId="150A755A" w14:textId="723B1DD9" w:rsidR="001953AF" w:rsidRPr="00E3700A" w:rsidRDefault="001953AF" w:rsidP="009337E3">
            <w:r w:rsidRPr="00E3700A">
              <w:t>Cohort</w:t>
            </w:r>
          </w:p>
        </w:tc>
        <w:tc>
          <w:tcPr>
            <w:tcW w:w="1274" w:type="dxa"/>
          </w:tcPr>
          <w:p w14:paraId="4D44B418" w14:textId="32C387D5" w:rsidR="001953AF" w:rsidRPr="00E3700A" w:rsidRDefault="0062707B" w:rsidP="009337E3">
            <w:r w:rsidRPr="00E3700A">
              <w:t>46,750 mother-child pairs</w:t>
            </w:r>
          </w:p>
        </w:tc>
        <w:tc>
          <w:tcPr>
            <w:tcW w:w="4822" w:type="dxa"/>
          </w:tcPr>
          <w:p w14:paraId="0FACBBAC" w14:textId="77777777" w:rsidR="0062707B" w:rsidRPr="00E3700A" w:rsidRDefault="0062707B" w:rsidP="0062707B">
            <w:r w:rsidRPr="00E3700A">
              <w:rPr>
                <w:b/>
              </w:rPr>
              <w:t>Aim</w:t>
            </w:r>
            <w:r w:rsidRPr="00E3700A">
              <w:t xml:space="preserve">: To examine the association between prenatal exposure to methylmercury (MeHg) and language and communication development at three years, adjusting for intake of fish, n-3 long chain polyunsaturated fatty acids (n-3 LCPUFAs) and co-exposure to dioxins and dioxin like polychlorinated biphenyls (dl-PCBs). </w:t>
            </w:r>
          </w:p>
          <w:p w14:paraId="5FBDD19C" w14:textId="0A141CEB" w:rsidR="001953AF" w:rsidRPr="00E3700A" w:rsidRDefault="0062707B" w:rsidP="0062707B">
            <w:pPr>
              <w:rPr>
                <w:b/>
              </w:rPr>
            </w:pPr>
            <w:r w:rsidRPr="00E3700A">
              <w:rPr>
                <w:b/>
              </w:rPr>
              <w:t>Methods</w:t>
            </w:r>
            <w:r w:rsidRPr="00E3700A">
              <w:t>: MeHg exposure was calculated from reported fish intake during pregnancy by a FFQ in mid-pregnancy. Children's language and communication skills were measured by maternal report on the Dale and Bishop grammar rating and the Ages and Stages communication scale (ASQ). We estimated odds ratios (OR) and 95% confidence intervals (CI) using logistic regressions. Median MeHg exposure was 1.3mug/day, corresponding to 0.14mug/kgbw/week. An exposure level above the 90th percentile (&gt;2.6mug/day, &gt;0.29mug/kgbw/week) was defined as the high MeHg exposure.</w:t>
            </w:r>
          </w:p>
        </w:tc>
        <w:tc>
          <w:tcPr>
            <w:tcW w:w="4536" w:type="dxa"/>
          </w:tcPr>
          <w:p w14:paraId="101F4629" w14:textId="056D44D4" w:rsidR="001953AF" w:rsidRPr="0062707B" w:rsidRDefault="00486E84" w:rsidP="0062707B">
            <w:r w:rsidRPr="00E3700A">
              <w:t>Results indicated an association between high MeHg exposure and unintelligible speech</w:t>
            </w:r>
            <w:r w:rsidR="00C91D84" w:rsidRPr="00E3700A">
              <w:t xml:space="preserve"> with an adjusted OR 2.22 (1.31 to</w:t>
            </w:r>
            <w:r w:rsidRPr="00E3700A">
              <w:t xml:space="preserve"> 3.72). High MeHg exposure was also associated with weaker communicatio</w:t>
            </w:r>
            <w:r w:rsidR="00C91D84" w:rsidRPr="00E3700A">
              <w:t>n skills adjusted OR 1.33 (1.03 to</w:t>
            </w:r>
            <w:r w:rsidRPr="00E3700A">
              <w:t xml:space="preserve"> 1.70). Additional adjustment for fish intake strengthened the associations, while adjusting for PCBs and n-3 LCPUFA from diet or from supplements had minor impact. In conclusion, significant associations were found between prenatal MeHg exposure above the 90th percentile and delayed language and communication skills in a generally low exposed population</w:t>
            </w:r>
            <w:r w:rsidR="0062707B" w:rsidRPr="00E3700A">
              <w:t>.</w:t>
            </w:r>
          </w:p>
        </w:tc>
        <w:tc>
          <w:tcPr>
            <w:tcW w:w="1843" w:type="dxa"/>
          </w:tcPr>
          <w:p w14:paraId="1AD3495F" w14:textId="77777777" w:rsidR="001953AF" w:rsidRPr="00C17B92" w:rsidRDefault="001953AF" w:rsidP="009337E3"/>
        </w:tc>
      </w:tr>
      <w:tr w:rsidR="001953AF" w:rsidRPr="00C17B92" w14:paraId="0E422B83" w14:textId="77777777" w:rsidTr="00977A9A">
        <w:trPr>
          <w:cantSplit/>
          <w:trHeight w:val="390"/>
        </w:trPr>
        <w:tc>
          <w:tcPr>
            <w:tcW w:w="1417" w:type="dxa"/>
          </w:tcPr>
          <w:p w14:paraId="1B8C0BAC" w14:textId="663F7920" w:rsidR="001953AF" w:rsidRPr="005B1B83" w:rsidRDefault="001953AF" w:rsidP="009337E3">
            <w:r w:rsidRPr="005B1B83">
              <w:t>Verjup et al 2018</w:t>
            </w:r>
            <w:r w:rsidR="00774750">
              <w:fldChar w:fldCharType="begin">
                <w:fldData xml:space="preserve">PEVuZE5vdGU+PENpdGU+PEF1dGhvcj5WZWpydXA8L0F1dGhvcj48WWVhcj4yMDE4PC9ZZWFyPjxS
ZWNOdW0+MTc0NzwvUmVjTnVtPjxEaXNwbGF5VGV4dD48c3R5bGUgZmFjZT0ic3VwZXJzY3JpcHQi
IGZvbnQ9IlRyZWJ1Y2hldCBNUyIgc2l6ZT0iOSI+ODY8L3N0eWxlPjwvRGlzcGxheVRleHQ+PHJl
Y29yZD48cmVjLW51bWJlcj4xNzQ3PC9yZWMtbnVtYmVyPjxmb3JlaWduLWtleXM+PGtleSBhcHA9
IkVOIiBkYi1pZD0iZXh2YXNyZngyZHRyYW9lc2FzeHAyc3pzeGEyZGY1MDI1OTJ4IiB0aW1lc3Rh
bXA9IjE1ODI1MDYzNDMiPjE3NDc8L2tleT48a2V5IGFwcD0iRU5XZWIiIGRiLWlkPSIiPjA8L2tl
eT48L2ZvcmVpZ24ta2V5cz48cmVmLXR5cGUgbmFtZT0iSm91cm5hbCBBcnRpY2xlIj4xNzwvcmVm
LXR5cGU+PGNvbnRyaWJ1dG9ycz48YXV0aG9ycz48YXV0aG9yPlZlanJ1cCwgSy48L2F1dGhvcj48
YXV0aG9yPkJyYW5kbGlzdHVlbiwgUi4gRS48L2F1dGhvcj48YXV0aG9yPkJyYW50c2FldGVyLCBB
LiBMLjwvYXV0aG9yPjxhdXRob3I+S251dHNlbiwgSC4gSy48L2F1dGhvcj48YXV0aG9yPkNhc3Bl
cnNlbiwgSS4gSC48L2F1dGhvcj48YXV0aG9yPkFsZXhhbmRlciwgSi48L2F1dGhvcj48YXV0aG9y
Pkx1bmRoLCBULjwvYXV0aG9yPjxhdXRob3I+TWVsdHplciwgSC4gTS48L2F1dGhvcj48YXV0aG9y
Pk1hZ251cywgUC48L2F1dGhvcj48YXV0aG9yPkhhdWdlbiwgTS48L2F1dGhvcj48L2F1dGhvcnM+
PC9jb250cmlidXRvcnM+PGF1dGgtYWRkcmVzcz5Ob3J3ZWdpYW4gSW5zdGl0dXRlIG9mIFB1Ymxp
YyBIZWFsdGgsIFBvc3Rib3ggNDQwNCwgTnlkYWxlbiwgTk8gMDQwMyBPc2xvLCBOb3J3YXkuIEVs
ZWN0cm9uaWMgYWRkcmVzczogS3Jpc3RpbmUuVmVqcnVwQGZoaS5uby4mI3hEO05vcndlZ2lhbiBJ
bnN0aXR1dGUgb2YgUHVibGljIEhlYWx0aCwgUG9zdGJveCA0NDA0LCBOeWRhbGVuLCBOTyAwNDAz
IE9zbG8sIE5vcndheS4mI3hEO0RpdmlzaW9uIG9mIE9jY3VwYXRpb25hbCBhbmQgRW52aXJvbm1l
bnRhbCBNZWRpY2luZSwgTHVuZCBVbml2ZXJzaXR5LCBTRSwgMjIxIDg1IEx1bmQsIFN3ZWRlbi48
L2F1dGgtYWRkcmVzcz48dGl0bGVzPjx0aXRsZT5QcmVuYXRhbCBtZXJjdXJ5IGV4cG9zdXJlLCBt
YXRlcm5hbCBzZWFmb29kIGNvbnN1bXB0aW9uIGFuZCBhc3NvY2lhdGlvbnMgd2l0aCBjaGlsZCBs
YW5ndWFnZSBhdCBmaXZlIHllYXJzPC90aXRsZT48c2Vjb25kYXJ5LXRpdGxlPkVudmlyb24gSW50
PC9zZWNvbmRhcnktdGl0bGU+PC90aXRsZXM+PHBlcmlvZGljYWw+PGZ1bGwtdGl0bGU+RW52aXJv
biBJbnQ8L2Z1bGwtdGl0bGU+PC9wZXJpb2RpY2FsPjxwYWdlcz43MS03OTwvcGFnZXM+PHZvbHVt
ZT4xMTA8L3ZvbHVtZT48ZWRpdGlvbj4yMDE3LzExLzAyPC9lZGl0aW9uPjxrZXl3b3Jkcz48a2V5
d29yZD5BZG9sZXNjZW50PC9rZXl3b3JkPjxrZXl3b3JkPkFkdWx0PC9rZXl3b3JkPjxrZXl3b3Jk
PkFuaW1hbHM8L2tleXdvcmQ+PGtleXdvcmQ+Q2hpbGQgTGFuZ3VhZ2U8L2tleXdvcmQ+PGtleXdv
cmQ+Q2hpbGQsIFByZXNjaG9vbDwva2V5d29yZD48a2V5d29yZD5Db2hvcnQgU3R1ZGllczwva2V5
d29yZD48a2V5d29yZD5GZW1hbGU8L2tleXdvcmQ+PGtleXdvcmQ+KkZvb2QgQ29udGFtaW5hdGlv
bjwva2V5d29yZD48a2V5d29yZD5IdW1hbnM8L2tleXdvcmQ+PGtleXdvcmQ+TGFuZ3VhZ2UgRGV2
ZWxvcG1lbnQgRGlzb3JkZXJzLyplcGlkZW1pb2xvZ3kvZXRpb2xvZ3k8L2tleXdvcmQ+PGtleXdv
cmQ+TWFsZTwva2V5d29yZD48a2V5d29yZD5NYXRlcm5hbCBFeHBvc3VyZS8qYWR2ZXJzZSBlZmZl
Y3RzPC9rZXl3b3JkPjxrZXl3b3JkPk1lcmN1cnkvYW5hbHlzaXMvYmxvb2QvKnRveGljaXR5PC9r
ZXl3b3JkPjxrZXl3b3JkPk1pZGRsZSBBZ2VkPC9rZXl3b3JkPjxrZXl3b3JkPk5vcndheS9lcGlk
ZW1pb2xvZ3k8L2tleXdvcmQ+PGtleXdvcmQ+UHJlZ25hbmN5PC9rZXl3b3JkPjxrZXl3b3JkPlBy
ZW5hdGFsIEV4cG9zdXJlIERlbGF5ZWQgRWZmZWN0czwva2V5d29yZD48a2V5d29yZD5Qcm9zcGVj
dGl2ZSBTdHVkaWVzPC9rZXl3b3JkPjxrZXl3b3JkPlJlZ3Jlc3Npb24gQW5hbHlzaXM8L2tleXdv
cmQ+PGtleXdvcmQ+U2VhZm9vZC9hbmFseXNpczwva2V5d29yZD48a2V5d29yZD5TdXJ2ZXlzIGFu
ZCBRdWVzdGlvbm5haXJlczwva2V5d29yZD48a2V5d29yZD5Zb3VuZyBBZHVsdDwva2V5d29yZD48
a2V5d29yZD4qRGlldDwva2V5d29yZD48a2V5d29yZD4qRmlzaCBhbmQgc2VhZm9vZCBpbnRha2U8
L2tleXdvcmQ+PGtleXdvcmQ+Kkxhbmd1YWdlIGRldmVsb3BtZW50PC9rZXl3b3JkPjxrZXl3b3Jk
PipNYXRlcm5hbCBibG9vZCBsZXZlbHM8L2tleXdvcmQ+PGtleXdvcmQ+Kk1ldGh5bG1lcmN1cnk8
L2tleXdvcmQ+PGtleXdvcmQ+KlRoZSBOb3J3ZWdpYW4gbW90aGVyIGFuZCBjaGlsZCBjb2hvcnQg
c3R1ZHk8L2tleXdvcmQ+PC9rZXl3b3Jkcz48ZGF0ZXM+PHllYXI+MjAxODwveWVhcj48cHViLWRh
dGVzPjxkYXRlPkphbjwvZGF0ZT48L3B1Yi1kYXRlcz48L2RhdGVzPjxpc2JuPjE4NzMtNjc1MCAo
RWxlY3Ryb25pYykmI3hEOzAxNjAtNDEyMCAoTGlua2luZyk8L2lzYm4+PGFjY2Vzc2lvbi1udW0+
MjkwODkxNjY8L2FjY2Vzc2lvbi1udW0+PHVybHM+PHJlbGF0ZWQtdXJscz48dXJsPmh0dHBzOi8v
d3d3Lm5jYmkubmxtLm5paC5nb3YvcHVibWVkLzI5MDg5MTY2PC91cmw+PC9yZWxhdGVkLXVybHM+
PC91cmxzPjxlbGVjdHJvbmljLXJlc291cmNlLW51bT4xMC4xMDE2L2ouZW52aW50LjIwMTcuMTAu
MDA4PC9lbGVjdHJvbmljLXJlc291cmNlLW51bT48L3JlY29yZD48L0NpdGU+PC9FbmROb3RlPn==
</w:fldData>
              </w:fldChar>
            </w:r>
            <w:r w:rsidR="002747EA">
              <w:instrText xml:space="preserve"> ADDIN EN.CITE </w:instrText>
            </w:r>
            <w:r w:rsidR="002747EA">
              <w:fldChar w:fldCharType="begin">
                <w:fldData xml:space="preserve">PEVuZE5vdGU+PENpdGU+PEF1dGhvcj5WZWpydXA8L0F1dGhvcj48WWVhcj4yMDE4PC9ZZWFyPjxS
ZWNOdW0+MTc0NzwvUmVjTnVtPjxEaXNwbGF5VGV4dD48c3R5bGUgZmFjZT0ic3VwZXJzY3JpcHQi
IGZvbnQ9IlRyZWJ1Y2hldCBNUyIgc2l6ZT0iOSI+ODY8L3N0eWxlPjwvRGlzcGxheVRleHQ+PHJl
Y29yZD48cmVjLW51bWJlcj4xNzQ3PC9yZWMtbnVtYmVyPjxmb3JlaWduLWtleXM+PGtleSBhcHA9
IkVOIiBkYi1pZD0iZXh2YXNyZngyZHRyYW9lc2FzeHAyc3pzeGEyZGY1MDI1OTJ4IiB0aW1lc3Rh
bXA9IjE1ODI1MDYzNDMiPjE3NDc8L2tleT48a2V5IGFwcD0iRU5XZWIiIGRiLWlkPSIiPjA8L2tl
eT48L2ZvcmVpZ24ta2V5cz48cmVmLXR5cGUgbmFtZT0iSm91cm5hbCBBcnRpY2xlIj4xNzwvcmVm
LXR5cGU+PGNvbnRyaWJ1dG9ycz48YXV0aG9ycz48YXV0aG9yPlZlanJ1cCwgSy48L2F1dGhvcj48
YXV0aG9yPkJyYW5kbGlzdHVlbiwgUi4gRS48L2F1dGhvcj48YXV0aG9yPkJyYW50c2FldGVyLCBB
LiBMLjwvYXV0aG9yPjxhdXRob3I+S251dHNlbiwgSC4gSy48L2F1dGhvcj48YXV0aG9yPkNhc3Bl
cnNlbiwgSS4gSC48L2F1dGhvcj48YXV0aG9yPkFsZXhhbmRlciwgSi48L2F1dGhvcj48YXV0aG9y
Pkx1bmRoLCBULjwvYXV0aG9yPjxhdXRob3I+TWVsdHplciwgSC4gTS48L2F1dGhvcj48YXV0aG9y
Pk1hZ251cywgUC48L2F1dGhvcj48YXV0aG9yPkhhdWdlbiwgTS48L2F1dGhvcj48L2F1dGhvcnM+
PC9jb250cmlidXRvcnM+PGF1dGgtYWRkcmVzcz5Ob3J3ZWdpYW4gSW5zdGl0dXRlIG9mIFB1Ymxp
YyBIZWFsdGgsIFBvc3Rib3ggNDQwNCwgTnlkYWxlbiwgTk8gMDQwMyBPc2xvLCBOb3J3YXkuIEVs
ZWN0cm9uaWMgYWRkcmVzczogS3Jpc3RpbmUuVmVqcnVwQGZoaS5uby4mI3hEO05vcndlZ2lhbiBJ
bnN0aXR1dGUgb2YgUHVibGljIEhlYWx0aCwgUG9zdGJveCA0NDA0LCBOeWRhbGVuLCBOTyAwNDAz
IE9zbG8sIE5vcndheS4mI3hEO0RpdmlzaW9uIG9mIE9jY3VwYXRpb25hbCBhbmQgRW52aXJvbm1l
bnRhbCBNZWRpY2luZSwgTHVuZCBVbml2ZXJzaXR5LCBTRSwgMjIxIDg1IEx1bmQsIFN3ZWRlbi48
L2F1dGgtYWRkcmVzcz48dGl0bGVzPjx0aXRsZT5QcmVuYXRhbCBtZXJjdXJ5IGV4cG9zdXJlLCBt
YXRlcm5hbCBzZWFmb29kIGNvbnN1bXB0aW9uIGFuZCBhc3NvY2lhdGlvbnMgd2l0aCBjaGlsZCBs
YW5ndWFnZSBhdCBmaXZlIHllYXJzPC90aXRsZT48c2Vjb25kYXJ5LXRpdGxlPkVudmlyb24gSW50
PC9zZWNvbmRhcnktdGl0bGU+PC90aXRsZXM+PHBlcmlvZGljYWw+PGZ1bGwtdGl0bGU+RW52aXJv
biBJbnQ8L2Z1bGwtdGl0bGU+PC9wZXJpb2RpY2FsPjxwYWdlcz43MS03OTwvcGFnZXM+PHZvbHVt
ZT4xMTA8L3ZvbHVtZT48ZWRpdGlvbj4yMDE3LzExLzAyPC9lZGl0aW9uPjxrZXl3b3Jkcz48a2V5
d29yZD5BZG9sZXNjZW50PC9rZXl3b3JkPjxrZXl3b3JkPkFkdWx0PC9rZXl3b3JkPjxrZXl3b3Jk
PkFuaW1hbHM8L2tleXdvcmQ+PGtleXdvcmQ+Q2hpbGQgTGFuZ3VhZ2U8L2tleXdvcmQ+PGtleXdv
cmQ+Q2hpbGQsIFByZXNjaG9vbDwva2V5d29yZD48a2V5d29yZD5Db2hvcnQgU3R1ZGllczwva2V5
d29yZD48a2V5d29yZD5GZW1hbGU8L2tleXdvcmQ+PGtleXdvcmQ+KkZvb2QgQ29udGFtaW5hdGlv
bjwva2V5d29yZD48a2V5d29yZD5IdW1hbnM8L2tleXdvcmQ+PGtleXdvcmQ+TGFuZ3VhZ2UgRGV2
ZWxvcG1lbnQgRGlzb3JkZXJzLyplcGlkZW1pb2xvZ3kvZXRpb2xvZ3k8L2tleXdvcmQ+PGtleXdv
cmQ+TWFsZTwva2V5d29yZD48a2V5d29yZD5NYXRlcm5hbCBFeHBvc3VyZS8qYWR2ZXJzZSBlZmZl
Y3RzPC9rZXl3b3JkPjxrZXl3b3JkPk1lcmN1cnkvYW5hbHlzaXMvYmxvb2QvKnRveGljaXR5PC9r
ZXl3b3JkPjxrZXl3b3JkPk1pZGRsZSBBZ2VkPC9rZXl3b3JkPjxrZXl3b3JkPk5vcndheS9lcGlk
ZW1pb2xvZ3k8L2tleXdvcmQ+PGtleXdvcmQ+UHJlZ25hbmN5PC9rZXl3b3JkPjxrZXl3b3JkPlBy
ZW5hdGFsIEV4cG9zdXJlIERlbGF5ZWQgRWZmZWN0czwva2V5d29yZD48a2V5d29yZD5Qcm9zcGVj
dGl2ZSBTdHVkaWVzPC9rZXl3b3JkPjxrZXl3b3JkPlJlZ3Jlc3Npb24gQW5hbHlzaXM8L2tleXdv
cmQ+PGtleXdvcmQ+U2VhZm9vZC9hbmFseXNpczwva2V5d29yZD48a2V5d29yZD5TdXJ2ZXlzIGFu
ZCBRdWVzdGlvbm5haXJlczwva2V5d29yZD48a2V5d29yZD5Zb3VuZyBBZHVsdDwva2V5d29yZD48
a2V5d29yZD4qRGlldDwva2V5d29yZD48a2V5d29yZD4qRmlzaCBhbmQgc2VhZm9vZCBpbnRha2U8
L2tleXdvcmQ+PGtleXdvcmQ+Kkxhbmd1YWdlIGRldmVsb3BtZW50PC9rZXl3b3JkPjxrZXl3b3Jk
PipNYXRlcm5hbCBibG9vZCBsZXZlbHM8L2tleXdvcmQ+PGtleXdvcmQ+Kk1ldGh5bG1lcmN1cnk8
L2tleXdvcmQ+PGtleXdvcmQ+KlRoZSBOb3J3ZWdpYW4gbW90aGVyIGFuZCBjaGlsZCBjb2hvcnQg
c3R1ZHk8L2tleXdvcmQ+PC9rZXl3b3Jkcz48ZGF0ZXM+PHllYXI+MjAxODwveWVhcj48cHViLWRh
dGVzPjxkYXRlPkphbjwvZGF0ZT48L3B1Yi1kYXRlcz48L2RhdGVzPjxpc2JuPjE4NzMtNjc1MCAo
RWxlY3Ryb25pYykmI3hEOzAxNjAtNDEyMCAoTGlua2luZyk8L2lzYm4+PGFjY2Vzc2lvbi1udW0+
MjkwODkxNjY8L2FjY2Vzc2lvbi1udW0+PHVybHM+PHJlbGF0ZWQtdXJscz48dXJsPmh0dHBzOi8v
d3d3Lm5jYmkubmxtLm5paC5nb3YvcHVibWVkLzI5MDg5MTY2PC91cmw+PC9yZWxhdGVkLXVybHM+
PC91cmxzPjxlbGVjdHJvbmljLXJlc291cmNlLW51bT4xMC4xMDE2L2ouZW52aW50LjIwMTcuMTAu
MDA4PC9lbGVjdHJvbmljLXJlc291cmNlLW51bT48L3JlY29yZD48L0NpdGU+PC9FbmROb3RlPn==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86</w:t>
            </w:r>
            <w:r w:rsidR="00774750">
              <w:fldChar w:fldCharType="end"/>
            </w:r>
          </w:p>
          <w:p w14:paraId="683B06C7" w14:textId="77777777" w:rsidR="001953AF" w:rsidRPr="005B1B83" w:rsidRDefault="001953AF" w:rsidP="009337E3">
            <w:r w:rsidRPr="005B1B83">
              <w:t>Norway</w:t>
            </w:r>
          </w:p>
          <w:p w14:paraId="1A0A7248" w14:textId="375268D0" w:rsidR="001953AF" w:rsidRPr="005B1B83" w:rsidRDefault="001953AF" w:rsidP="009337E3">
            <w:r w:rsidRPr="005B1B83">
              <w:t>Cohort</w:t>
            </w:r>
          </w:p>
        </w:tc>
        <w:tc>
          <w:tcPr>
            <w:tcW w:w="1274" w:type="dxa"/>
          </w:tcPr>
          <w:p w14:paraId="1DCEFFE9" w14:textId="7C448DC7" w:rsidR="001953AF" w:rsidRPr="005B1B83" w:rsidRDefault="0062707B" w:rsidP="009337E3">
            <w:r w:rsidRPr="005B1B83">
              <w:t>38,351 mother-child pairs</w:t>
            </w:r>
          </w:p>
        </w:tc>
        <w:tc>
          <w:tcPr>
            <w:tcW w:w="4822" w:type="dxa"/>
          </w:tcPr>
          <w:p w14:paraId="33E00ED1" w14:textId="77777777" w:rsidR="0062707B" w:rsidRPr="005B1B83" w:rsidRDefault="0062707B" w:rsidP="0062707B">
            <w:r w:rsidRPr="005B1B83">
              <w:rPr>
                <w:b/>
              </w:rPr>
              <w:t>Aim</w:t>
            </w:r>
            <w:r w:rsidRPr="005B1B83">
              <w:t xml:space="preserve">: To evaluate the association between prenatal mercury exposure, maternal seafood consumption and child language and communication skills at age five. </w:t>
            </w:r>
          </w:p>
          <w:p w14:paraId="293C59A0" w14:textId="18A7466E" w:rsidR="001953AF" w:rsidRPr="005B1B83" w:rsidRDefault="0062707B" w:rsidP="005B1B83">
            <w:pPr>
              <w:rPr>
                <w:b/>
              </w:rPr>
            </w:pPr>
            <w:r w:rsidRPr="005B1B83">
              <w:rPr>
                <w:b/>
              </w:rPr>
              <w:t>Methods</w:t>
            </w:r>
            <w:r w:rsidRPr="005B1B83">
              <w:t xml:space="preserve">: Maternal mercury blood concentration in gestational week 17 was analysed in a sub-sample of 2239 women. Prenatal mercury exposure from maternal diet was calculated from a validated FFQ answered in mid-pregnancy. Mothers reported children's language and communications skills at age five by a questionnaire including questions from the Ages and Stages Questionnaire (ASQ), the Speech and Language Assessment Scale (SLAS) and the Twenty Statements about Language-Related Difficulties (language 20). We performed linear regression analyses adjusting for maternal characteristics, nutritional status and socioeconomic factors. </w:t>
            </w:r>
          </w:p>
        </w:tc>
        <w:tc>
          <w:tcPr>
            <w:tcW w:w="4536" w:type="dxa"/>
          </w:tcPr>
          <w:p w14:paraId="0B4709A6" w14:textId="1745FB31" w:rsidR="001953AF" w:rsidRPr="0062707B" w:rsidRDefault="0062707B" w:rsidP="00386B76">
            <w:r w:rsidRPr="005B1B83">
              <w:t>Median maternal blood mercury concentration was 1.03mug/L, dietary mercury exposure was 0.15mug/kgbw/wk, and seafood intake was 217g/wk. Blood mercury concentrations were not associated with any language and communication scales. Increased dietary mercury exposure was significantly associated with improved SLAS scores when mothers had a seafood intake below 400g/wk in the adjusted analysis. Sibling matched analysis showed a small significant adverse association between those above the 90th percentile dietary mercury exposure and the SLAS scores. Maternal seafood intake during pregnancy was positively associated with the language and communication scales.</w:t>
            </w:r>
            <w:r w:rsidRPr="0062707B">
              <w:t xml:space="preserve"> </w:t>
            </w:r>
          </w:p>
        </w:tc>
        <w:tc>
          <w:tcPr>
            <w:tcW w:w="1843" w:type="dxa"/>
          </w:tcPr>
          <w:p w14:paraId="3F49D376" w14:textId="77777777" w:rsidR="001953AF" w:rsidRPr="00C17B92" w:rsidRDefault="001953AF" w:rsidP="009337E3"/>
        </w:tc>
      </w:tr>
      <w:tr w:rsidR="005A4DD1" w:rsidRPr="00C17B92" w14:paraId="6746D27F" w14:textId="77777777" w:rsidTr="00977A9A">
        <w:trPr>
          <w:cantSplit/>
          <w:trHeight w:val="390"/>
        </w:trPr>
        <w:tc>
          <w:tcPr>
            <w:tcW w:w="1417" w:type="dxa"/>
          </w:tcPr>
          <w:p w14:paraId="37014F65" w14:textId="39C7D9AB" w:rsidR="005A4DD1" w:rsidRPr="004C390A" w:rsidRDefault="00E72709" w:rsidP="009337E3">
            <w:r w:rsidRPr="004C390A">
              <w:t>Starling et al 2015</w:t>
            </w:r>
            <w:r w:rsidR="00774750">
              <w:fldChar w:fldCharType="begin"/>
            </w:r>
            <w:r w:rsidR="002747EA">
              <w:instrText xml:space="preserve"> ADDIN EN.CITE &lt;EndNote&gt;&lt;Cite&gt;&lt;Author&gt;Starling&lt;/Author&gt;&lt;Year&gt;2015&lt;/Year&gt;&lt;RecNum&gt;1738&lt;/RecNum&gt;&lt;DisplayText&gt;&lt;style face="superscript" font="Trebuchet MS" size="9"&gt;85&lt;/style&gt;&lt;/DisplayText&gt;&lt;record&gt;&lt;rec-number&gt;1738&lt;/rec-number&gt;&lt;foreign-keys&gt;&lt;key app="EN" db-id="exvasrfx2dtraoesasxp2szsxa2df502592x" timestamp="1582506270"&gt;1738&lt;/key&gt;&lt;key app="ENWeb" db-id=""&gt;0&lt;/key&gt;&lt;/foreign-keys&gt;&lt;ref-type name="Journal Article"&gt;17&lt;/ref-type&gt;&lt;contributors&gt;&lt;authors&gt;&lt;author&gt;Starling, P.&lt;/author&gt;&lt;author&gt;Charlton, K.&lt;/author&gt;&lt;author&gt;McMahon, A. T.&lt;/author&gt;&lt;author&gt;Lucas, C.&lt;/author&gt;&lt;/authors&gt;&lt;/contributors&gt;&lt;auth-address&gt;School of Medicine, University of Wollongong, NSW 2522, Australia. pd266@uow.edu.au.&amp;#xD;School of Medicine, University of Wollongong, NSW 2522, Australia. karenc@uow.edu.au.&amp;#xD;School of Medicine, University of Wollongong, NSW 2522, Australia. amcmahon@uow.edu.au.&amp;#xD;School of Medicine, University of Wollongong, NSW 2522, Australia. cjl623@uowmail.edu.au.&lt;/auth-address&gt;&lt;titles&gt;&lt;title&gt;Fish intake during pregnancy and foetal neurodevelopment--a systematic review of the evidence&lt;/title&gt;&lt;secondary-title&gt;Nutrients&lt;/secondary-title&gt;&lt;/titles&gt;&lt;periodical&gt;&lt;full-title&gt;Nutrients&lt;/full-title&gt;&lt;/periodical&gt;&lt;pages&gt;2001-14&lt;/pages&gt;&lt;volume&gt;7&lt;/volume&gt;&lt;number&gt;3&lt;/number&gt;&lt;edition&gt;2015/03/21&lt;/edition&gt;&lt;keywords&gt;&lt;keyword&gt;Animals&lt;/keyword&gt;&lt;keyword&gt;*Cognition&lt;/keyword&gt;&lt;keyword&gt;*Diet&lt;/keyword&gt;&lt;keyword&gt;Female&lt;/keyword&gt;&lt;keyword&gt;*Fetal Development&lt;/keyword&gt;&lt;keyword&gt;*Fishes&lt;/keyword&gt;&lt;keyword&gt;Humans&lt;/keyword&gt;&lt;keyword&gt;Mercury/*adverse effects&lt;/keyword&gt;&lt;keyword&gt;Pregnancy&lt;/keyword&gt;&lt;keyword&gt;Prenatal Exposure Delayed Effects&lt;/keyword&gt;&lt;keyword&gt;*Seafood&lt;/keyword&gt;&lt;/keywords&gt;&lt;dates&gt;&lt;year&gt;2015&lt;/year&gt;&lt;pub-dates&gt;&lt;date&gt;Mar 18&lt;/date&gt;&lt;/pub-dates&gt;&lt;/dates&gt;&lt;isbn&gt;2072-6643 (Electronic)&amp;#xD;2072-6643 (Linking)&lt;/isbn&gt;&lt;accession-num&gt;25793632&lt;/accession-num&gt;&lt;urls&gt;&lt;related-urls&gt;&lt;url&gt;https://www.ncbi.nlm.nih.gov/pubmed/25793632&lt;/url&gt;&lt;/related-urls&gt;&lt;/urls&gt;&lt;custom2&gt;PMC4377896&lt;/custom2&gt;&lt;electronic-resource-num&gt;10.3390/nu7032001&lt;/electronic-resource-num&gt;&lt;/record&gt;&lt;/Cite&gt;&lt;/EndNote&gt;</w:instrText>
            </w:r>
            <w:r w:rsidR="00774750">
              <w:fldChar w:fldCharType="separate"/>
            </w:r>
            <w:r w:rsidR="002747EA" w:rsidRPr="002747EA">
              <w:rPr>
                <w:noProof/>
                <w:vertAlign w:val="superscript"/>
              </w:rPr>
              <w:t>85</w:t>
            </w:r>
            <w:r w:rsidR="00774750">
              <w:fldChar w:fldCharType="end"/>
            </w:r>
          </w:p>
          <w:p w14:paraId="44D3C7B6" w14:textId="34E27C82" w:rsidR="00E72709" w:rsidRPr="004C390A" w:rsidRDefault="00E72709" w:rsidP="009337E3">
            <w:r w:rsidRPr="004C390A">
              <w:t>SLR</w:t>
            </w:r>
          </w:p>
        </w:tc>
        <w:tc>
          <w:tcPr>
            <w:tcW w:w="1274" w:type="dxa"/>
          </w:tcPr>
          <w:p w14:paraId="0BA170CE" w14:textId="493951BB" w:rsidR="005A4DD1" w:rsidRPr="004C390A" w:rsidRDefault="00E72709" w:rsidP="009337E3">
            <w:r w:rsidRPr="004C390A">
              <w:t>8 studies</w:t>
            </w:r>
          </w:p>
        </w:tc>
        <w:tc>
          <w:tcPr>
            <w:tcW w:w="4822" w:type="dxa"/>
          </w:tcPr>
          <w:p w14:paraId="6FDD19CB" w14:textId="77777777" w:rsidR="00E72709" w:rsidRPr="004C390A" w:rsidRDefault="00E72709" w:rsidP="007951BB">
            <w:r w:rsidRPr="004C390A">
              <w:rPr>
                <w:b/>
              </w:rPr>
              <w:t>Aim</w:t>
            </w:r>
            <w:r w:rsidRPr="004C390A">
              <w:t xml:space="preserve">: To critically evaluate literature on fish intake in pregnant women, with a focus on the association between neurodevelopmental outcomes in the offspring and maternal fish intake during pregnancy. </w:t>
            </w:r>
          </w:p>
          <w:p w14:paraId="4B714097" w14:textId="0D124F19" w:rsidR="005A4DD1" w:rsidRPr="004C390A" w:rsidRDefault="00E72709" w:rsidP="00E72709">
            <w:pPr>
              <w:rPr>
                <w:b/>
              </w:rPr>
            </w:pPr>
            <w:r w:rsidRPr="004C390A">
              <w:rPr>
                <w:b/>
              </w:rPr>
              <w:t>Methods</w:t>
            </w:r>
            <w:r w:rsidRPr="004C390A">
              <w:t xml:space="preserve">: Peer-reviewed journal articles published between January 2000 and March 2014 were included. Eligible studies included those of healthy pregnant women who had experienced full term births and those that had measured fish or seafood intake and assessed neurodevelopmental outcomes in offspring. Medline, Scopus, Web of Science, ScienceDirect and the Cochrane Library were searched using the search terms: pregnant, neurodevelopment, cognition, fish and seafood. </w:t>
            </w:r>
          </w:p>
        </w:tc>
        <w:tc>
          <w:tcPr>
            <w:tcW w:w="4536" w:type="dxa"/>
          </w:tcPr>
          <w:p w14:paraId="52C7ABB5" w14:textId="1AA5360A" w:rsidR="005A4DD1" w:rsidRPr="008935DD" w:rsidRDefault="008935DD" w:rsidP="008935DD">
            <w:r w:rsidRPr="004C390A">
              <w:t>Due to heterogeneity in methodology and measured outcomes, a qualitative comparison of study findings was conducted. This review indicates that the benefits of diets providing moderate amounts of fish during pregnancy outweigh potential detrimental effects in regards to offspring neurodevelopment. It is important that the type of fish consumed is low in mercury.</w:t>
            </w:r>
          </w:p>
        </w:tc>
        <w:tc>
          <w:tcPr>
            <w:tcW w:w="1843" w:type="dxa"/>
          </w:tcPr>
          <w:p w14:paraId="51132A33" w14:textId="77777777" w:rsidR="005A4DD1" w:rsidRPr="00C17B92" w:rsidRDefault="005A4DD1" w:rsidP="009337E3"/>
        </w:tc>
      </w:tr>
      <w:tr w:rsidR="007951BB" w:rsidRPr="00C17B92" w14:paraId="2F56AC97" w14:textId="77777777" w:rsidTr="00977A9A">
        <w:trPr>
          <w:cantSplit/>
          <w:trHeight w:val="390"/>
        </w:trPr>
        <w:tc>
          <w:tcPr>
            <w:tcW w:w="1417" w:type="dxa"/>
          </w:tcPr>
          <w:p w14:paraId="5F397599" w14:textId="24FBC007" w:rsidR="007951BB" w:rsidRPr="004C390A" w:rsidRDefault="007951BB" w:rsidP="009337E3">
            <w:r w:rsidRPr="004C390A">
              <w:t>Van den Berg et al 2016</w:t>
            </w:r>
            <w:r w:rsidR="00774750">
              <w:fldChar w:fldCharType="begin">
                <w:fldData xml:space="preserve">PEVuZE5vdGU+PENpdGU+PEF1dGhvcj52YW4gZGVuIEJlcmc8L0F1dGhvcj48WWVhcj4yMDE2PC9Z
ZWFyPjxSZWNOdW0+MTc0NDwvUmVjTnVtPjxEaXNwbGF5VGV4dD48c3R5bGUgZmFjZT0ic3VwZXJz
Y3JpcHQiIGZvbnQ9IlRyZWJ1Y2hldCBNUyIgc2l6ZT0iOSI+ODE8L3N0eWxlPjwvRGlzcGxheVRl
eHQ+PHJlY29yZD48cmVjLW51bWJlcj4xNzQ0PC9yZWMtbnVtYmVyPjxmb3JlaWduLWtleXM+PGtl
eSBhcHA9IkVOIiBkYi1pZD0iZXh2YXNyZngyZHRyYW9lc2FzeHAyc3pzeGEyZGY1MDI1OTJ4IiB0
aW1lc3RhbXA9IjE1ODI1MDYzMjQiPjE3NDQ8L2tleT48a2V5IGFwcD0iRU5XZWIiIGRiLWlkPSIi
PjA8L2tleT48L2ZvcmVpZ24ta2V5cz48cmVmLXR5cGUgbmFtZT0iSm91cm5hbCBBcnRpY2xlIj4x
NzwvcmVmLXR5cGU+PGNvbnRyaWJ1dG9ycz48YXV0aG9ycz48YXV0aG9yPnZhbiBkZW4gQmVyZywg
Uy4gVy48L2F1dGhvcj48YXV0aG9yPldpamdhLCBBLiBILjwvYXV0aG9yPjxhdXRob3I+dmFuIFJv
c3NlbSwgTC48L2F1dGhvcj48YXV0aG9yPkdlaHJpbmcsIFUuPC9hdXRob3I+PGF1dGhvcj5Lb3Bw
ZWxtYW4sIEcuIEguPC9hdXRob3I+PGF1dGhvcj5TbWl0LCBILiBBLjwvYXV0aG9yPjxhdXRob3I+
Qm9lciwgSi4gTS4gQS48L2F1dGhvcj48L2F1dGhvcnM+PC9jb250cmlidXRvcnM+PGF1dGgtYWRk
cmVzcz5DZW50cmUgZm9yIE51dHJpdGlvbiwgUHJldmVudGlvbiBhbmQgSGVhbHRoIFNlcnZpY2Vz
LCBOYXRpb25hbCBJbnN0aXR1dGUgZm9yIFB1YmxpYyBIZWFsdGggYW5kIHRoZSBFbnZpcm9ubWVu
dCAoUklWTSksIFAuTy4gQm94IDEsIDM3MjAgQkEsIEJpbHRob3ZlbiwgVGhlIE5ldGhlcmxhbmRz
LiBzYXNraWEudmFuLmRlbi5iZXJnQHJpdm0ubmwuJiN4RDtDZW50cmUgZm9yIE51dHJpdGlvbiwg
UHJldmVudGlvbiBhbmQgSGVhbHRoIFNlcnZpY2VzLCBOYXRpb25hbCBJbnN0aXR1dGUgZm9yIFB1
YmxpYyBIZWFsdGggYW5kIHRoZSBFbnZpcm9ubWVudCAoUklWTSksIFAuTy4gQm94IDEsIDM3MjAg
QkEsIEJpbHRob3ZlbiwgVGhlIE5ldGhlcmxhbmRzLiYjeEQ7SnVsaXVzIENlbnRlciBmb3IgSGVh
bHRoIFNjaWVuY2VzIGFuZCBQcmltYXJ5IENhcmUsIFVuaXZlcnNpdHkgTWVkaWNhbCBDZW50ZXIg
VXRyZWNodCwgVXRyZWNodCwgVGhlIE5ldGhlcmxhbmRzLiYjeEQ7RGl2aXNpb24gRW52aXJvbm1l
bnRhbCBFcGlkZW1pb2xvZ3kgKEVFUEkpLCBJbnN0aXR1dGUgZm9yIFJpc2sgQXNzZXNzbWVudCBT
Y2llbmNlcyAoSVJBUyksIFV0cmVjaHQgVW5pdmVyc2l0eSwgVXRyZWNodCwgVGhlIE5ldGhlcmxh
bmRzLiYjeEQ7RGVwYXJ0bWVudCBvZiBQZWRpYXRyaWMgUHVsbW9ub2xvZ3kgYW5kIFBlZGlhdHJp
YyBBbGxlcmdvbG9neSwgQmVhdHJpeCBDaGlsZHJlbiZhcG9zO3MgSG9zcGl0YWwsIFVuaXZlcnNp
dHkgTWVkaWNhbCBDZW50cmUgR3JvbmluZ2VuLCBVbml2ZXJzaXR5IG9mIEdyb25pbmdlbiwgR3Jv
bmluZ2VuLCBUaGUgTmV0aGVybGFuZHMuPC9hdXRoLWFkZHJlc3M+PHRpdGxlcz48dGl0bGU+TWF0
ZXJuYWwgZmlzaCBjb25zdW1wdGlvbiBkdXJpbmcgcHJlZ25hbmN5IGFuZCBCTUkgaW4gY2hpbGRy
ZW4gZnJvbSBiaXJ0aCB1cCB0byBhZ2UgMTQgeWVhcnM6IHRoZSBQSUFNQSBjb2hvcnQgc3R1ZHk8
L3RpdGxlPjxzZWNvbmRhcnktdGl0bGU+RXVyIEogTnV0cjwvc2Vjb25kYXJ5LXRpdGxlPjwvdGl0
bGVzPjxwZXJpb2RpY2FsPjxmdWxsLXRpdGxlPkV1ciBKIE51dHI8L2Z1bGwtdGl0bGU+PC9wZXJp
b2RpY2FsPjxwYWdlcz43OTktODA4PC9wYWdlcz48dm9sdW1lPjU1PC92b2x1bWU+PG51bWJlcj4y
PC9udW1iZXI+PGVkaXRpb24+MjAxNS8wNC8yMjwvZWRpdGlvbj48a2V5d29yZHM+PGtleXdvcmQ+
QWRvbGVzY2VudDwva2V5d29yZD48a2V5d29yZD5BbmltYWxzPC9rZXl3b3JkPjxrZXl3b3JkPipC
b2R5IE1hc3MgSW5kZXg8L2tleXdvcmQ+PGtleXdvcmQ+Qm9keSBXZWlnaHQ8L2tleXdvcmQ+PGtl
eXdvcmQ+QnJlYXN0IEZlZWRpbmc8L2tleXdvcmQ+PGtleXdvcmQ+Q2hpbGQ8L2tleXdvcmQ+PGtl
eXdvcmQ+Q2hpbGQsIFByZXNjaG9vbDwva2V5d29yZD48a2V5d29yZD4qRGlldDwva2V5d29yZD48
a2V5d29yZD5Eb2Nvc2FoZXhhZW5vaWMgQWNpZHMvYW5hbHlzaXM8L2tleXdvcmQ+PGtleXdvcmQ+
RWljb3NhcGVudGFlbm9pYyBBY2lkL2FuYWx5c2lzPC9rZXl3b3JkPjxrZXl3b3JkPkZlbWFsZTwv
a2V5d29yZD48a2V5d29yZD5GaXNoZXM8L2tleXdvcmQ+PGtleXdvcmQ+SHVtYW5zPC9rZXl3b3Jk
PjxrZXl3b3JkPkluZmFudDwva2V5d29yZD48a2V5d29yZD5Mb25naXR1ZGluYWwgU3R1ZGllczwv
a2V5d29yZD48a2V5d29yZD4qTWF0ZXJuYWwgTnV0cml0aW9uYWwgUGh5c2lvbG9naWNhbCBQaGVu
b21lbmE8L2tleXdvcmQ+PGtleXdvcmQ+TWlsaywgSHVtYW48L2tleXdvcmQ+PGtleXdvcmQ+UHJl
Z25hbmN5PC9rZXl3b3JkPjxrZXl3b3JkPlJpc2sgRmFjdG9yczwva2V5d29yZD48a2V5d29yZD4q
U2VhZm9vZDwva2V5d29yZD48a2V5d29yZD5TdXJ2ZXlzIGFuZCBRdWVzdGlvbm5haXJlczwva2V5
d29yZD48a2V5d29yZD5CbWk8L2tleXdvcmQ+PGtleXdvcmQ+Q2hpbGRyZW48L2tleXdvcmQ+PGtl
eXdvcmQ+RmlzaDwva2V5d29yZD48a2V5d29yZD5NYXRlcm5hbCBjb25zdW1wdGlvbjwva2V5d29y
ZD48L2tleXdvcmRzPjxkYXRlcz48eWVhcj4yMDE2PC95ZWFyPjxwdWItZGF0ZXM+PGRhdGU+TWFy
PC9kYXRlPjwvcHViLWRhdGVzPjwvZGF0ZXM+PGlzYm4+MTQzNi02MjE1IChFbGVjdHJvbmljKSYj
eEQ7MTQzNi02MjA3IChMaW5raW5nKTwvaXNibj48YWNjZXNzaW9uLW51bT4yNTg5MzcxODwvYWNj
ZXNzaW9uLW51bT48dXJscz48cmVsYXRlZC11cmxzPjx1cmw+aHR0cHM6Ly93d3cubmNiaS5ubG0u
bmloLmdvdi9wdWJtZWQvMjU4OTM3MTg8L3VybD48L3JlbGF0ZWQtdXJscz48L3VybHM+PGVsZWN0
cm9uaWMtcmVzb3VyY2UtbnVtPjEwLjEwMDcvczAwMzk0LTAxNS0wOTAxLTY8L2VsZWN0cm9uaWMt
cmVzb3VyY2UtbnVtPjwvcmVjb3JkPjwvQ2l0ZT48L0VuZE5vdGU+
</w:fldData>
              </w:fldChar>
            </w:r>
            <w:r w:rsidR="002747EA">
              <w:instrText xml:space="preserve"> ADDIN EN.CITE </w:instrText>
            </w:r>
            <w:r w:rsidR="002747EA">
              <w:fldChar w:fldCharType="begin">
                <w:fldData xml:space="preserve">PEVuZE5vdGU+PENpdGU+PEF1dGhvcj52YW4gZGVuIEJlcmc8L0F1dGhvcj48WWVhcj4yMDE2PC9Z
ZWFyPjxSZWNOdW0+MTc0NDwvUmVjTnVtPjxEaXNwbGF5VGV4dD48c3R5bGUgZmFjZT0ic3VwZXJz
Y3JpcHQiIGZvbnQ9IlRyZWJ1Y2hldCBNUyIgc2l6ZT0iOSI+ODE8L3N0eWxlPjwvRGlzcGxheVRl
eHQ+PHJlY29yZD48cmVjLW51bWJlcj4xNzQ0PC9yZWMtbnVtYmVyPjxmb3JlaWduLWtleXM+PGtl
eSBhcHA9IkVOIiBkYi1pZD0iZXh2YXNyZngyZHRyYW9lc2FzeHAyc3pzeGEyZGY1MDI1OTJ4IiB0
aW1lc3RhbXA9IjE1ODI1MDYzMjQiPjE3NDQ8L2tleT48a2V5IGFwcD0iRU5XZWIiIGRiLWlkPSIi
PjA8L2tleT48L2ZvcmVpZ24ta2V5cz48cmVmLXR5cGUgbmFtZT0iSm91cm5hbCBBcnRpY2xlIj4x
NzwvcmVmLXR5cGU+PGNvbnRyaWJ1dG9ycz48YXV0aG9ycz48YXV0aG9yPnZhbiBkZW4gQmVyZywg
Uy4gVy48L2F1dGhvcj48YXV0aG9yPldpamdhLCBBLiBILjwvYXV0aG9yPjxhdXRob3I+dmFuIFJv
c3NlbSwgTC48L2F1dGhvcj48YXV0aG9yPkdlaHJpbmcsIFUuPC9hdXRob3I+PGF1dGhvcj5Lb3Bw
ZWxtYW4sIEcuIEguPC9hdXRob3I+PGF1dGhvcj5TbWl0LCBILiBBLjwvYXV0aG9yPjxhdXRob3I+
Qm9lciwgSi4gTS4gQS48L2F1dGhvcj48L2F1dGhvcnM+PC9jb250cmlidXRvcnM+PGF1dGgtYWRk
cmVzcz5DZW50cmUgZm9yIE51dHJpdGlvbiwgUHJldmVudGlvbiBhbmQgSGVhbHRoIFNlcnZpY2Vz
LCBOYXRpb25hbCBJbnN0aXR1dGUgZm9yIFB1YmxpYyBIZWFsdGggYW5kIHRoZSBFbnZpcm9ubWVu
dCAoUklWTSksIFAuTy4gQm94IDEsIDM3MjAgQkEsIEJpbHRob3ZlbiwgVGhlIE5ldGhlcmxhbmRz
LiBzYXNraWEudmFuLmRlbi5iZXJnQHJpdm0ubmwuJiN4RDtDZW50cmUgZm9yIE51dHJpdGlvbiwg
UHJldmVudGlvbiBhbmQgSGVhbHRoIFNlcnZpY2VzLCBOYXRpb25hbCBJbnN0aXR1dGUgZm9yIFB1
YmxpYyBIZWFsdGggYW5kIHRoZSBFbnZpcm9ubWVudCAoUklWTSksIFAuTy4gQm94IDEsIDM3MjAg
QkEsIEJpbHRob3ZlbiwgVGhlIE5ldGhlcmxhbmRzLiYjeEQ7SnVsaXVzIENlbnRlciBmb3IgSGVh
bHRoIFNjaWVuY2VzIGFuZCBQcmltYXJ5IENhcmUsIFVuaXZlcnNpdHkgTWVkaWNhbCBDZW50ZXIg
VXRyZWNodCwgVXRyZWNodCwgVGhlIE5ldGhlcmxhbmRzLiYjeEQ7RGl2aXNpb24gRW52aXJvbm1l
bnRhbCBFcGlkZW1pb2xvZ3kgKEVFUEkpLCBJbnN0aXR1dGUgZm9yIFJpc2sgQXNzZXNzbWVudCBT
Y2llbmNlcyAoSVJBUyksIFV0cmVjaHQgVW5pdmVyc2l0eSwgVXRyZWNodCwgVGhlIE5ldGhlcmxh
bmRzLiYjeEQ7RGVwYXJ0bWVudCBvZiBQZWRpYXRyaWMgUHVsbW9ub2xvZ3kgYW5kIFBlZGlhdHJp
YyBBbGxlcmdvbG9neSwgQmVhdHJpeCBDaGlsZHJlbiZhcG9zO3MgSG9zcGl0YWwsIFVuaXZlcnNp
dHkgTWVkaWNhbCBDZW50cmUgR3JvbmluZ2VuLCBVbml2ZXJzaXR5IG9mIEdyb25pbmdlbiwgR3Jv
bmluZ2VuLCBUaGUgTmV0aGVybGFuZHMuPC9hdXRoLWFkZHJlc3M+PHRpdGxlcz48dGl0bGU+TWF0
ZXJuYWwgZmlzaCBjb25zdW1wdGlvbiBkdXJpbmcgcHJlZ25hbmN5IGFuZCBCTUkgaW4gY2hpbGRy
ZW4gZnJvbSBiaXJ0aCB1cCB0byBhZ2UgMTQgeWVhcnM6IHRoZSBQSUFNQSBjb2hvcnQgc3R1ZHk8
L3RpdGxlPjxzZWNvbmRhcnktdGl0bGU+RXVyIEogTnV0cjwvc2Vjb25kYXJ5LXRpdGxlPjwvdGl0
bGVzPjxwZXJpb2RpY2FsPjxmdWxsLXRpdGxlPkV1ciBKIE51dHI8L2Z1bGwtdGl0bGU+PC9wZXJp
b2RpY2FsPjxwYWdlcz43OTktODA4PC9wYWdlcz48dm9sdW1lPjU1PC92b2x1bWU+PG51bWJlcj4y
PC9udW1iZXI+PGVkaXRpb24+MjAxNS8wNC8yMjwvZWRpdGlvbj48a2V5d29yZHM+PGtleXdvcmQ+
QWRvbGVzY2VudDwva2V5d29yZD48a2V5d29yZD5BbmltYWxzPC9rZXl3b3JkPjxrZXl3b3JkPipC
b2R5IE1hc3MgSW5kZXg8L2tleXdvcmQ+PGtleXdvcmQ+Qm9keSBXZWlnaHQ8L2tleXdvcmQ+PGtl
eXdvcmQ+QnJlYXN0IEZlZWRpbmc8L2tleXdvcmQ+PGtleXdvcmQ+Q2hpbGQ8L2tleXdvcmQ+PGtl
eXdvcmQ+Q2hpbGQsIFByZXNjaG9vbDwva2V5d29yZD48a2V5d29yZD4qRGlldDwva2V5d29yZD48
a2V5d29yZD5Eb2Nvc2FoZXhhZW5vaWMgQWNpZHMvYW5hbHlzaXM8L2tleXdvcmQ+PGtleXdvcmQ+
RWljb3NhcGVudGFlbm9pYyBBY2lkL2FuYWx5c2lzPC9rZXl3b3JkPjxrZXl3b3JkPkZlbWFsZTwv
a2V5d29yZD48a2V5d29yZD5GaXNoZXM8L2tleXdvcmQ+PGtleXdvcmQ+SHVtYW5zPC9rZXl3b3Jk
PjxrZXl3b3JkPkluZmFudDwva2V5d29yZD48a2V5d29yZD5Mb25naXR1ZGluYWwgU3R1ZGllczwv
a2V5d29yZD48a2V5d29yZD4qTWF0ZXJuYWwgTnV0cml0aW9uYWwgUGh5c2lvbG9naWNhbCBQaGVu
b21lbmE8L2tleXdvcmQ+PGtleXdvcmQ+TWlsaywgSHVtYW48L2tleXdvcmQ+PGtleXdvcmQ+UHJl
Z25hbmN5PC9rZXl3b3JkPjxrZXl3b3JkPlJpc2sgRmFjdG9yczwva2V5d29yZD48a2V5d29yZD4q
U2VhZm9vZDwva2V5d29yZD48a2V5d29yZD5TdXJ2ZXlzIGFuZCBRdWVzdGlvbm5haXJlczwva2V5
d29yZD48a2V5d29yZD5CbWk8L2tleXdvcmQ+PGtleXdvcmQ+Q2hpbGRyZW48L2tleXdvcmQ+PGtl
eXdvcmQ+RmlzaDwva2V5d29yZD48a2V5d29yZD5NYXRlcm5hbCBjb25zdW1wdGlvbjwva2V5d29y
ZD48L2tleXdvcmRzPjxkYXRlcz48eWVhcj4yMDE2PC95ZWFyPjxwdWItZGF0ZXM+PGRhdGU+TWFy
PC9kYXRlPjwvcHViLWRhdGVzPjwvZGF0ZXM+PGlzYm4+MTQzNi02MjE1IChFbGVjdHJvbmljKSYj
eEQ7MTQzNi02MjA3IChMaW5raW5nKTwvaXNibj48YWNjZXNzaW9uLW51bT4yNTg5MzcxODwvYWNj
ZXNzaW9uLW51bT48dXJscz48cmVsYXRlZC11cmxzPjx1cmw+aHR0cHM6Ly93d3cubmNiaS5ubG0u
bmloLmdvdi9wdWJtZWQvMjU4OTM3MTg8L3VybD48L3JlbGF0ZWQtdXJscz48L3VybHM+PGVsZWN0
cm9uaWMtcmVzb3VyY2UtbnVtPjEwLjEwMDcvczAwMzk0LTAxNS0wOTAxLTY8L2VsZWN0cm9uaWMt
cmVzb3VyY2UtbnVtPjwvcmVjb3JkPjwvQ2l0ZT48L0VuZE5vdGU+
</w:fldData>
              </w:fldChar>
            </w:r>
            <w:r w:rsidR="002747EA">
              <w:instrText xml:space="preserve"> ADDIN EN.CITE.DATA </w:instrText>
            </w:r>
            <w:r w:rsidR="002747EA">
              <w:fldChar w:fldCharType="end"/>
            </w:r>
            <w:r w:rsidR="00774750">
              <w:fldChar w:fldCharType="separate"/>
            </w:r>
            <w:r w:rsidR="002747EA" w:rsidRPr="002747EA">
              <w:rPr>
                <w:noProof/>
                <w:vertAlign w:val="superscript"/>
              </w:rPr>
              <w:t>81</w:t>
            </w:r>
            <w:r w:rsidR="00774750">
              <w:fldChar w:fldCharType="end"/>
            </w:r>
          </w:p>
          <w:p w14:paraId="416925CD" w14:textId="77777777" w:rsidR="007951BB" w:rsidRPr="004C390A" w:rsidRDefault="007951BB" w:rsidP="009337E3">
            <w:r w:rsidRPr="004C390A">
              <w:t>The Netherlands</w:t>
            </w:r>
          </w:p>
          <w:p w14:paraId="4222199C" w14:textId="0AD38A94" w:rsidR="007951BB" w:rsidRPr="004C390A" w:rsidRDefault="007951BB" w:rsidP="009337E3">
            <w:r w:rsidRPr="004C390A">
              <w:t>Cohort</w:t>
            </w:r>
          </w:p>
        </w:tc>
        <w:tc>
          <w:tcPr>
            <w:tcW w:w="1274" w:type="dxa"/>
          </w:tcPr>
          <w:p w14:paraId="313D4EB0" w14:textId="707813B9" w:rsidR="007951BB" w:rsidRPr="004C390A" w:rsidRDefault="007951BB" w:rsidP="009337E3">
            <w:r w:rsidRPr="004C390A">
              <w:t>3,684 women</w:t>
            </w:r>
          </w:p>
        </w:tc>
        <w:tc>
          <w:tcPr>
            <w:tcW w:w="4822" w:type="dxa"/>
          </w:tcPr>
          <w:p w14:paraId="7374FA72" w14:textId="499996BE" w:rsidR="007951BB" w:rsidRPr="004C390A" w:rsidRDefault="007951BB" w:rsidP="007951BB">
            <w:r w:rsidRPr="004C390A">
              <w:rPr>
                <w:b/>
              </w:rPr>
              <w:t>Aim</w:t>
            </w:r>
            <w:r w:rsidRPr="004C390A">
              <w:t xml:space="preserve">: To investigate the association between maternal fish consumption during pregnancy and BMI in children. </w:t>
            </w:r>
          </w:p>
          <w:p w14:paraId="180087B0" w14:textId="4F769D3A" w:rsidR="007951BB" w:rsidRPr="004C390A" w:rsidRDefault="007951BB" w:rsidP="007951BB">
            <w:pPr>
              <w:rPr>
                <w:b/>
              </w:rPr>
            </w:pPr>
            <w:r w:rsidRPr="004C390A">
              <w:rPr>
                <w:b/>
              </w:rPr>
              <w:t>Methods</w:t>
            </w:r>
            <w:r w:rsidRPr="004C390A">
              <w:t xml:space="preserve">: Maternal fish consumption during pregnancy and the child's body weight and height (up to 11 times) were reported by questionnaire. Generalised estimating equations were used to investigate whether BMI of children differed according to maternal fish consumption during pregnancy. </w:t>
            </w:r>
          </w:p>
        </w:tc>
        <w:tc>
          <w:tcPr>
            <w:tcW w:w="4536" w:type="dxa"/>
          </w:tcPr>
          <w:p w14:paraId="676224EE" w14:textId="2444B94C" w:rsidR="007951BB" w:rsidRPr="007951BB" w:rsidRDefault="007951BB" w:rsidP="007F345A">
            <w:r w:rsidRPr="004C390A">
              <w:t>Children of mothers who consumed fish ≥</w:t>
            </w:r>
            <w:r w:rsidR="00386B76" w:rsidRPr="004C390A">
              <w:t>1</w:t>
            </w:r>
            <w:r w:rsidR="003301F8" w:rsidRPr="004C390A">
              <w:t>/week during pregnancy</w:t>
            </w:r>
            <w:r w:rsidRPr="004C390A">
              <w:t xml:space="preserve"> had statistically significant lower mean BMI z scores than children of mothers who never consumed fish (n=1,025) at the ages 4, 7, 8.5, and 11.5 years. A</w:t>
            </w:r>
            <w:r w:rsidR="007F345A" w:rsidRPr="004C390A">
              <w:t>fter a</w:t>
            </w:r>
            <w:r w:rsidRPr="004C390A">
              <w:t xml:space="preserve">djustment for maternal covariates (particularly pre-pregnancy BMI), </w:t>
            </w:r>
            <w:r w:rsidR="007F345A" w:rsidRPr="004C390A">
              <w:t xml:space="preserve">BMI z scores in children were lower at 7 years </w:t>
            </w:r>
            <w:r w:rsidRPr="004C390A">
              <w:t>(MD -0.14 95% CI -0.25 to -0.03)</w:t>
            </w:r>
            <w:r w:rsidR="007F345A" w:rsidRPr="004C390A">
              <w:t xml:space="preserve"> but not at 4, 8.5 or 11.5 years</w:t>
            </w:r>
            <w:r w:rsidRPr="004C390A">
              <w:t>.</w:t>
            </w:r>
            <w:r w:rsidRPr="007951BB">
              <w:t xml:space="preserve"> </w:t>
            </w:r>
          </w:p>
        </w:tc>
        <w:tc>
          <w:tcPr>
            <w:tcW w:w="1843" w:type="dxa"/>
          </w:tcPr>
          <w:p w14:paraId="3B2FAEEE" w14:textId="77777777" w:rsidR="007951BB" w:rsidRPr="00C17B92" w:rsidRDefault="007951BB" w:rsidP="009337E3"/>
        </w:tc>
      </w:tr>
      <w:tr w:rsidR="00977A9A" w:rsidRPr="00C17B92" w14:paraId="083B61F4" w14:textId="77777777" w:rsidTr="00977A9A">
        <w:trPr>
          <w:cantSplit/>
          <w:trHeight w:val="390"/>
        </w:trPr>
        <w:tc>
          <w:tcPr>
            <w:tcW w:w="1417" w:type="dxa"/>
          </w:tcPr>
          <w:p w14:paraId="61280C11" w14:textId="67C0DE29" w:rsidR="00977A9A" w:rsidRPr="008C530D" w:rsidRDefault="00977A9A" w:rsidP="009337E3">
            <w:r w:rsidRPr="008C530D">
              <w:t>Viljoen et al 2018</w:t>
            </w:r>
            <w:r w:rsidR="00774750">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 </w:instrText>
            </w:r>
            <w:r w:rsidR="002747EA">
              <w:fldChar w:fldCharType="begin">
                <w:fldData xml:space="preserve">PEVuZE5vdGU+PENpdGU+PEF1dGhvcj5WaWxqb2VuPC9BdXRob3I+PFllYXI+MjAxODwvWWVhcj48
UmVjTnVtPjE3NDg8L1JlY051bT48RGlzcGxheVRleHQ+PHN0eWxlIGZhY2U9InN1cGVyc2NyaXB0
IiBmb250PSJUcmVidWNoZXQgTVMiIHNpemU9IjkiPjc0PC9zdHlsZT48L0Rpc3BsYXlUZXh0Pjxy
ZWNvcmQ+PHJlYy1udW1iZXI+MTc0ODwvcmVjLW51bWJlcj48Zm9yZWlnbi1rZXlzPjxrZXkgYXBw
PSJFTiIgZGItaWQ9ImV4dmFzcmZ4MmR0cmFvZXNhc3hwMnN6c3hhMmRmNTAyNTkyeCIgdGltZXN0
YW1wPSIxNTgyNTA2MzU0Ij4xNzQ4PC9rZXk+PGtleSBhcHA9IkVOV2ViIiBkYi1pZD0iIj4wPC9r
ZXk+PC9mb3JlaWduLWtleXM+PHJlZi10eXBlIG5hbWU9IkpvdXJuYWwgQXJ0aWNsZSI+MTc8L3Jl
Zi10eXBlPjxjb250cmlidXRvcnM+PGF1dGhvcnM+PGF1dGhvcj5WaWxqb2VuLCBLLjwvYXV0aG9y
PjxhdXRob3I+U2VndXJhZG8sIFIuPC9hdXRob3I+PGF1dGhvcj5PJmFwb3M7QnJpZW4sIEouPC9h
dXRob3I+PGF1dGhvcj5NdXJyaW4sIEMuPC9hdXRob3I+PGF1dGhvcj5NZWhlZ2FuLCBKLjwvYXV0
aG9yPjxhdXRob3I+S2VsbGVoZXIsIEMuIEMuPC9hdXRob3I+PGF1dGhvcj5ELiBNZWQgb24gYmVo
YWxmIG9mIHRoZSBMaWZld2F5cyBDcm9zcyBHZW5lcmF0aW9uIENvaG9ydCBTdHVkeSBTdGVlcmlu
ZyBHcm91cDwvYXV0aG9yPjwvYXV0aG9ycz48L2NvbnRyaWJ1dG9ycz48YXV0aC1hZGRyZXNzPlNj
aG9vbCBvZiBQdWJsaWMgSGVhbHRoLCBQaHlzaW90aGVyYXB5IGFuZCBTcG9ydCBTY2llbmNlLCBV
bml2ZXJzaXR5IENvbGxlZ2UgRHVibGluLCBEdWJsaW4sIElyZWxhbmQuJiN4RDtDZW50cmUgZm9y
IFN1cHBvcnQgYW5kIFRyYWluaW5nIGluIEFuYWx5c2lzIGFuZCBSZXNlYXJjaCwgVW5pdmVyc2l0
eSBDb2xsZWdlIER1YmxpbiwgRHVibGluLCBJcmVsYW5kLjwvYXV0aC1hZGRyZXNzPjx0aXRsZXM+
PHRpdGxlPlByZWduYW5jeSBkaWV0IGFuZCBvZmZzcHJpbmcgYXN0aG1hIHJpc2sgb3ZlciBhIDEw
LXllYXIgcGVyaW9kOiB0aGUgTGlmZXdheXMgQ3Jvc3MgR2VuZXJhdGlvbiBDb2hvcnQgU3R1ZHks
IElyZWxhbmQ8L3RpdGxlPjxzZWNvbmRhcnktdGl0bGU+Qk1KIE9wZW48L3NlY29uZGFyeS10aXRs
ZT48L3RpdGxlcz48cGVyaW9kaWNhbD48ZnVsbC10aXRsZT5CTUogT3BlbjwvZnVsbC10aXRsZT48
L3BlcmlvZGljYWw+PHBhZ2VzPmUwMTcwMTM8L3BhZ2VzPjx2b2x1bWU+ODwvdm9sdW1lPjxudW1i
ZXI+MjwvbnVtYmVyPjxlZGl0aW9uPjIwMTgvMDIvMjI8L2VkaXRpb24+PGtleXdvcmRzPjxrZXl3
b3JkPkFzdGhtYS8qZXBpZGVtaW9sb2d5L2V0aW9sb2d5PC9rZXl3b3JkPjxrZXl3b3JkPkNoaWxk
PC9rZXl3b3JkPjxrZXl3b3JkPkNoaWxkLCBQcmVzY2hvb2w8L2tleXdvcmQ+PGtleXdvcmQ+KkRp
ZXQ8L2tleXdvcmQ+PGtleXdvcmQ+RGlldGFyeSBTdXBwbGVtZW50czwva2V5d29yZD48a2V5d29y
ZD5GZW1hbGU8L2tleXdvcmQ+PGtleXdvcmQ+RmlzaCBPaWxzL2FkbWluaXN0cmF0aW9uICZhbXA7
IGRvc2FnZTwva2V5d29yZD48a2V5d29yZD5Gb2xsb3ctVXAgU3R1ZGllczwva2V5d29yZD48a2V5
d29yZD5IdW1hbnM8L2tleXdvcmQ+PGtleXdvcmQ+SXJlbGFuZDwva2V5d29yZD48a2V5d29yZD4q
TW90aGVyczwva2V5d29yZD48a2V5d29yZD5NdWx0aXZhcmlhdGUgQW5hbHlzaXM8L2tleXdvcmQ+
PGtleXdvcmQ+UHJlZ25hbmN5PC9rZXl3b3JkPjxrZXl3b3JkPlByZW5hdGFsIEV4cG9zdXJlIERl
bGF5ZWQgRWZmZWN0cy9lcGlkZW1pb2xvZ3kvZXRpb2xvZ3k8L2tleXdvcmQ+PGtleXdvcmQ+UHJv
c3BlY3RpdmUgU3R1ZGllczwva2V5d29yZD48a2V5d29yZD5SaXNrIEZhY3RvcnM8L2tleXdvcmQ+
PGtleXdvcmQ+VmVnZXRhYmxlczwva2V5d29yZD48a2V5d29yZD5WaXRhbWluIEQvYWRtaW5pc3Ry
YXRpb24gJmFtcDsgZG9zYWdlPC9rZXl3b3JkPjxrZXl3b3JkPipET0hhRDwva2V5d29yZD48a2V5
d29yZD4qYXN0aG1hPC9rZXl3b3JkPjxrZXl3b3JkPipjaGlsZGhvb2Q8L2tleXdvcmQ+PGtleXdv
cmQ+KnByZWduYW5jeTwva2V5d29yZD48a2V5d29yZD4qdml0YW1pbiBEPC9rZXl3b3JkPjwva2V5
d29yZHM+PGRhdGVzPjx5ZWFyPjIwMTg8L3llYXI+PHB1Yi1kYXRlcz48ZGF0ZT5GZWIgMjA8L2Rh
dGU+PC9wdWItZGF0ZXM+PC9kYXRlcz48aXNibj4yMDQ0LTYwNTUgKEVsZWN0cm9uaWMpJiN4RDsy
MDQ0LTYwNTUgKExpbmtpbmcpPC9pc2JuPjxhY2Nlc3Npb24tbnVtPjI5NDYzNTg0PC9hY2Nlc3Np
b24tbnVtPjx1cmxzPjxyZWxhdGVkLXVybHM+PHVybD5odHRwczovL3d3dy5uY2JpLm5sbS5uaWgu
Z292L3B1Ym1lZC8yOTQ2MzU4NDwvdXJsPjwvcmVsYXRlZC11cmxzPjwvdXJscz48Y3VzdG9tMj5Q
TUM1ODU1NDYyPC9jdXN0b20yPjxlbGVjdHJvbmljLXJlc291cmNlLW51bT4xMC4xMTM2L2Jtam9w
ZW4tMjAxNy0wMTcwMTM8L2VsZWN0cm9uaWMtcmVzb3VyY2UtbnVtPjwvcmVjb3JkPjwvQ2l0ZT48
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74</w:t>
            </w:r>
            <w:r w:rsidR="00774750">
              <w:fldChar w:fldCharType="end"/>
            </w:r>
          </w:p>
          <w:p w14:paraId="5863C2D7" w14:textId="77777777" w:rsidR="00977A9A" w:rsidRPr="008C530D" w:rsidRDefault="00977A9A" w:rsidP="009337E3">
            <w:r w:rsidRPr="008C530D">
              <w:t>Ireland</w:t>
            </w:r>
          </w:p>
          <w:p w14:paraId="06368F2C" w14:textId="77777777" w:rsidR="00977A9A" w:rsidRPr="008C530D" w:rsidRDefault="00977A9A" w:rsidP="009337E3">
            <w:r w:rsidRPr="008C530D">
              <w:t>Cohort</w:t>
            </w:r>
          </w:p>
        </w:tc>
        <w:tc>
          <w:tcPr>
            <w:tcW w:w="1274" w:type="dxa"/>
          </w:tcPr>
          <w:p w14:paraId="761F2F06" w14:textId="77777777" w:rsidR="00977A9A" w:rsidRPr="008C530D" w:rsidRDefault="00977A9A" w:rsidP="009337E3">
            <w:r w:rsidRPr="008C530D">
              <w:t>897 mother-child pairs</w:t>
            </w:r>
          </w:p>
        </w:tc>
        <w:tc>
          <w:tcPr>
            <w:tcW w:w="4822" w:type="dxa"/>
          </w:tcPr>
          <w:p w14:paraId="255BE12F" w14:textId="77777777" w:rsidR="00977A9A" w:rsidRPr="008C530D" w:rsidRDefault="00977A9A" w:rsidP="009337E3">
            <w:r w:rsidRPr="008C530D">
              <w:rPr>
                <w:b/>
              </w:rPr>
              <w:t>Aim</w:t>
            </w:r>
            <w:r w:rsidRPr="008C530D">
              <w:t xml:space="preserve">: To establish whether vegetable, oily fish and vitamin D intake during pregnancy are associated with childhood asthma risk over a 10-year period. </w:t>
            </w:r>
          </w:p>
          <w:p w14:paraId="50DA800C" w14:textId="77777777" w:rsidR="00977A9A" w:rsidRPr="008C530D" w:rsidRDefault="00977A9A" w:rsidP="009337E3">
            <w:pPr>
              <w:rPr>
                <w:b/>
              </w:rPr>
            </w:pPr>
            <w:r w:rsidRPr="008C530D">
              <w:rPr>
                <w:b/>
              </w:rPr>
              <w:t>Methods</w:t>
            </w:r>
            <w:r w:rsidRPr="008C530D">
              <w:t xml:space="preserve">: Mother-child pairs with data on nutrient intake during pregnancy and asthma status, respectively, were included in the analysis. Data on socioeconomic and morbidity indicators over 10 years of follow-up on mothers and the index child were collected through self-administered questionnaires. </w:t>
            </w:r>
          </w:p>
        </w:tc>
        <w:tc>
          <w:tcPr>
            <w:tcW w:w="4536" w:type="dxa"/>
          </w:tcPr>
          <w:p w14:paraId="664A7905" w14:textId="77777777" w:rsidR="00977A9A" w:rsidRPr="005157BB" w:rsidRDefault="00977A9A" w:rsidP="009337E3">
            <w:r w:rsidRPr="008C530D">
              <w:t>Asthma was inversely associated with higher daily average intake of oily fish (aOR 0.23 per serving/day, 95% CI 0.04 to 1.41).</w:t>
            </w:r>
          </w:p>
        </w:tc>
        <w:tc>
          <w:tcPr>
            <w:tcW w:w="1843" w:type="dxa"/>
          </w:tcPr>
          <w:p w14:paraId="52119985" w14:textId="77777777" w:rsidR="00977A9A" w:rsidRPr="00C17B92" w:rsidRDefault="00977A9A" w:rsidP="009337E3"/>
        </w:tc>
      </w:tr>
      <w:tr w:rsidR="005816E7" w:rsidRPr="00343DBA" w14:paraId="2F1732D2"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12ED7626" w14:textId="340C1829" w:rsidR="005816E7" w:rsidRDefault="005816E7" w:rsidP="00AB0E44">
            <w:r>
              <w:t xml:space="preserve">Zhang et al </w:t>
            </w:r>
            <w:r w:rsidR="00133BAF">
              <w:t>2017</w:t>
            </w:r>
            <w:r w:rsidR="00201490">
              <w:fldChar w:fldCharType="begin">
                <w:fldData xml:space="preserve">PEVuZE5vdGU+PENpdGU+PEF1dGhvcj5aaGFuZzwvQXV0aG9yPjxZZWFyPjIwMTc8L1llYXI+PFJl
Y051bT4xNTIxPC9SZWNOdW0+PERpc3BsYXlUZXh0PjxzdHlsZSBmYWNlPSJzdXBlcnNjcmlwdCIg
Zm9udD0iVHJlYnVjaGV0IE1TIiBzaXplPSI5Ij44Mjwvc3R5bGU+PC9EaXNwbGF5VGV4dD48cmVj
b3JkPjxyZWMtbnVtYmVyPjE1MjE8L3JlYy1udW1iZXI+PGZvcmVpZ24ta2V5cz48a2V5IGFwcD0i
RU4iIGRiLWlkPSJleHZhc3JmeDJkdHJhb2VzYXN4cDJzenN4YTJkZjUwMjU5MngiIHRpbWVzdGFt
cD0iMTU3NjQ3MTE4NiI+MTUyMTwva2V5PjxrZXkgYXBwPSJFTldlYiIgZGItaWQ9IiI+MDwva2V5
PjwvZm9yZWlnbi1rZXlzPjxyZWYtdHlwZSBuYW1lPSJKb3VybmFsIEFydGljbGUiPjE3PC9yZWYt
dHlwZT48Y29udHJpYnV0b3JzPjxhdXRob3JzPjxhdXRob3I+WmhhbmcsIEcuIFEuPC9hdXRob3I+
PGF1dGhvcj5MaXUsIEIuPC9hdXRob3I+PGF1dGhvcj5MaSwgSi48L2F1dGhvcj48YXV0aG9yPkx1
bywgQy4gUS48L2F1dGhvcj48YXV0aG9yPlpoYW5nLCBRLjwvYXV0aG9yPjxhdXRob3I+Q2hlbiwg
Si4gTC48L2F1dGhvcj48YXV0aG9yPlNpbmhhLCBBLjwvYXV0aG9yPjxhdXRob3I+TGksIFouIFku
PC9hdXRob3I+PC9hdXRob3JzPjwvY29udHJpYnV0b3JzPjxhdXRoLWFkZHJlc3M+TWluaXN0cnkg
b2YgRWR1Y2F0aW9uIEtleSBMYWJvcmF0b3J5IG9mIENoaWxkIERldmVsb3BtZW50IGFuZCBEaXNv
cmRlcnMsIEtleSBMYWJvcmF0b3J5IG9mIFBlZGlhdHJpY3MgaW4gQ2hvbmdxaW5nLCBDaG9uZ3Fp
bmcgSW50ZXJuYXRpb25hbCBTY2llbmNlIGFuZCBUZWNobm9sb2d5IENvb3BlcmF0aW9uIENlbnRl
ciBmb3IgQ2hpbGQgRGV2ZWxvcG1lbnQgYW5kIERpc29yZGVycywgRGVwYXJ0bWVudCBvZiBHYXN0
cm9lbnRlcm9sb2d5LCBDaGlsZHJlbiZhcG9zO3MgSG9zcGl0YWwgb2YgQ2hvbmdxaW5nIE1lZGlj
YWwgVW5pdmVyc2l0eSwgQ2hvbmdxaW5nLCBDaGluYS4mI3hEO0RlcGFydG1lbnQgb2YgR2VyaWF0
cmljcywgdGhlIEZpcnN0IEFmZmlsaWF0ZWQgSG9zcGl0YWwgb2YgQ2hvbmdxaW5nIE1lZGljYWwg
VW5pdmVyc2l0eSwgQ2hvbmdxaW5nLCBDaGluYS4mI3hEO0RpdmlzaW9uIG9mIFJlcHJvZHVjdGl2
ZSBhbmQgQ2hpbGQgSGVhbHRoLCBJbmRpYW4gQ291bmNpbCBvZiBNZWRpY2FsIFJlc2VhcmNoLCBO
ZXcgRGVsaGksIERlbGhpLCBJbmRpYS48L2F1dGgtYWRkcmVzcz48dGl0bGVzPjx0aXRsZT5GaXNo
IGludGFrZSBkdXJpbmcgcHJlZ25hbmN5IG9yIGluZmFuY3kgYW5kIGFsbGVyZ2ljIG91dGNvbWVz
IGluIGNoaWxkcmVuOiBBIHN5c3RlbWF0aWMgcmV2aWV3IGFuZCBtZXRhLWFuYWx5c2lzPC90aXRs
ZT48c2Vjb25kYXJ5LXRpdGxlPlBlZGlhdHIgQWxsZXJneSBJbW11bm9sPC9zZWNvbmRhcnktdGl0
bGU+PC90aXRsZXM+PHBlcmlvZGljYWw+PGZ1bGwtdGl0bGU+UGVkaWF0ciBBbGxlcmd5IEltbXVu
b2w8L2Z1bGwtdGl0bGU+PC9wZXJpb2RpY2FsPjxwYWdlcz4xNTItMTYxPC9wYWdlcz48dm9sdW1l
PjI4PC92b2x1bWU+PG51bWJlcj4yPC9udW1iZXI+PGVkaXRpb24+MjAxNi8xMC8zMDwvZWRpdGlv
bj48a2V5d29yZHM+PGtleXdvcmQ+Q2hpbGQ8L2tleXdvcmQ+PGtleXdvcmQ+RGlldDwva2V5d29y
ZD48a2V5d29yZD4qRWF0aW5nPC9rZXl3b3JkPjxrZXl3b3JkPkZhdHR5IEFjaWRzLCBPbWVnYS0z
LyptZXRhYm9saXNtPC9rZXl3b3JkPjxrZXl3b3JkPkZlbWFsZTwva2V5d29yZD48a2V5d29yZD4q
RmlzaCBQcm9kdWN0czwva2V5d29yZD48a2V5d29yZD5IdW1hbnM8L2tleXdvcmQ+PGtleXdvcmQ+
SHlwZXJzZW5zaXRpdml0eS8qZXBpZGVtaW9sb2d5PC9rZXl3b3JkPjxrZXl3b3JkPlByZWduYW5j
eTwva2V5d29yZD48a2V5d29yZD5QcmVuYXRhbCBFeHBvc3VyZSBEZWxheWVkIEVmZmVjdHMvKmVw
aWRlbWlvbG9neTwva2V5d29yZD48a2V5d29yZD4qYWxsZXJnZW5pYyBmb29kczwva2V5d29yZD48
a2V5d29yZD4qYWxsZXJnaWMgb3V0Y29tZTwva2V5d29yZD48a2V5d29yZD4qYWxsZXJneTwva2V5
d29yZD48a2V5d29yZD4qY2hpbGRyZW48L2tleXdvcmQ+PGtleXdvcmQ+KmZpc2g8L2tleXdvcmQ+
PGtleXdvcmQ+Km51dHJpdGlvbjwva2V5d29yZD48L2tleXdvcmRzPjxkYXRlcz48eWVhcj4yMDE3
PC95ZWFyPjxwdWItZGF0ZXM+PGRhdGU+TWFyPC9kYXRlPjwvcHViLWRhdGVzPjwvZGF0ZXM+PGlz
Ym4+MTM5OS0zMDM4IChFbGVjdHJvbmljKSYjeEQ7MDkwNS02MTU3IChMaW5raW5nKTwvaXNibj48
YWNjZXNzaW9uLW51bT4yNzU5MDU3MTwvYWNjZXNzaW9uLW51bT48dXJscz48cmVsYXRlZC11cmxz
Pjx1cmw+aHR0cHM6Ly93d3cubmNiaS5ubG0ubmloLmdvdi9wdWJtZWQvMjc1OTA1NzE8L3VybD48
L3JlbGF0ZWQtdXJscz48L3VybHM+PGVsZWN0cm9uaWMtcmVzb3VyY2UtbnVtPjEwLjExMTEvcGFp
LjEyNjQ4PC9lbGVjdHJvbmljLXJlc291cmNlLW51bT48L3JlY29yZD48L0NpdGU+PC9FbmROb3Rl
PgB=
</w:fldData>
              </w:fldChar>
            </w:r>
            <w:r w:rsidR="002747EA">
              <w:instrText xml:space="preserve"> ADDIN EN.CITE </w:instrText>
            </w:r>
            <w:r w:rsidR="002747EA">
              <w:fldChar w:fldCharType="begin">
                <w:fldData xml:space="preserve">PEVuZE5vdGU+PENpdGU+PEF1dGhvcj5aaGFuZzwvQXV0aG9yPjxZZWFyPjIwMTc8L1llYXI+PFJl
Y051bT4xNTIxPC9SZWNOdW0+PERpc3BsYXlUZXh0PjxzdHlsZSBmYWNlPSJzdXBlcnNjcmlwdCIg
Zm9udD0iVHJlYnVjaGV0IE1TIiBzaXplPSI5Ij44Mjwvc3R5bGU+PC9EaXNwbGF5VGV4dD48cmVj
b3JkPjxyZWMtbnVtYmVyPjE1MjE8L3JlYy1udW1iZXI+PGZvcmVpZ24ta2V5cz48a2V5IGFwcD0i
RU4iIGRiLWlkPSJleHZhc3JmeDJkdHJhb2VzYXN4cDJzenN4YTJkZjUwMjU5MngiIHRpbWVzdGFt
cD0iMTU3NjQ3MTE4NiI+MTUyMTwva2V5PjxrZXkgYXBwPSJFTldlYiIgZGItaWQ9IiI+MDwva2V5
PjwvZm9yZWlnbi1rZXlzPjxyZWYtdHlwZSBuYW1lPSJKb3VybmFsIEFydGljbGUiPjE3PC9yZWYt
dHlwZT48Y29udHJpYnV0b3JzPjxhdXRob3JzPjxhdXRob3I+WmhhbmcsIEcuIFEuPC9hdXRob3I+
PGF1dGhvcj5MaXUsIEIuPC9hdXRob3I+PGF1dGhvcj5MaSwgSi48L2F1dGhvcj48YXV0aG9yPkx1
bywgQy4gUS48L2F1dGhvcj48YXV0aG9yPlpoYW5nLCBRLjwvYXV0aG9yPjxhdXRob3I+Q2hlbiwg
Si4gTC48L2F1dGhvcj48YXV0aG9yPlNpbmhhLCBBLjwvYXV0aG9yPjxhdXRob3I+TGksIFouIFku
PC9hdXRob3I+PC9hdXRob3JzPjwvY29udHJpYnV0b3JzPjxhdXRoLWFkZHJlc3M+TWluaXN0cnkg
b2YgRWR1Y2F0aW9uIEtleSBMYWJvcmF0b3J5IG9mIENoaWxkIERldmVsb3BtZW50IGFuZCBEaXNv
cmRlcnMsIEtleSBMYWJvcmF0b3J5IG9mIFBlZGlhdHJpY3MgaW4gQ2hvbmdxaW5nLCBDaG9uZ3Fp
bmcgSW50ZXJuYXRpb25hbCBTY2llbmNlIGFuZCBUZWNobm9sb2d5IENvb3BlcmF0aW9uIENlbnRl
ciBmb3IgQ2hpbGQgRGV2ZWxvcG1lbnQgYW5kIERpc29yZGVycywgRGVwYXJ0bWVudCBvZiBHYXN0
cm9lbnRlcm9sb2d5LCBDaGlsZHJlbiZhcG9zO3MgSG9zcGl0YWwgb2YgQ2hvbmdxaW5nIE1lZGlj
YWwgVW5pdmVyc2l0eSwgQ2hvbmdxaW5nLCBDaGluYS4mI3hEO0RlcGFydG1lbnQgb2YgR2VyaWF0
cmljcywgdGhlIEZpcnN0IEFmZmlsaWF0ZWQgSG9zcGl0YWwgb2YgQ2hvbmdxaW5nIE1lZGljYWwg
VW5pdmVyc2l0eSwgQ2hvbmdxaW5nLCBDaGluYS4mI3hEO0RpdmlzaW9uIG9mIFJlcHJvZHVjdGl2
ZSBhbmQgQ2hpbGQgSGVhbHRoLCBJbmRpYW4gQ291bmNpbCBvZiBNZWRpY2FsIFJlc2VhcmNoLCBO
ZXcgRGVsaGksIERlbGhpLCBJbmRpYS48L2F1dGgtYWRkcmVzcz48dGl0bGVzPjx0aXRsZT5GaXNo
IGludGFrZSBkdXJpbmcgcHJlZ25hbmN5IG9yIGluZmFuY3kgYW5kIGFsbGVyZ2ljIG91dGNvbWVz
IGluIGNoaWxkcmVuOiBBIHN5c3RlbWF0aWMgcmV2aWV3IGFuZCBtZXRhLWFuYWx5c2lzPC90aXRs
ZT48c2Vjb25kYXJ5LXRpdGxlPlBlZGlhdHIgQWxsZXJneSBJbW11bm9sPC9zZWNvbmRhcnktdGl0
bGU+PC90aXRsZXM+PHBlcmlvZGljYWw+PGZ1bGwtdGl0bGU+UGVkaWF0ciBBbGxlcmd5IEltbXVu
b2w8L2Z1bGwtdGl0bGU+PC9wZXJpb2RpY2FsPjxwYWdlcz4xNTItMTYxPC9wYWdlcz48dm9sdW1l
PjI4PC92b2x1bWU+PG51bWJlcj4yPC9udW1iZXI+PGVkaXRpb24+MjAxNi8xMC8zMDwvZWRpdGlv
bj48a2V5d29yZHM+PGtleXdvcmQ+Q2hpbGQ8L2tleXdvcmQ+PGtleXdvcmQ+RGlldDwva2V5d29y
ZD48a2V5d29yZD4qRWF0aW5nPC9rZXl3b3JkPjxrZXl3b3JkPkZhdHR5IEFjaWRzLCBPbWVnYS0z
LyptZXRhYm9saXNtPC9rZXl3b3JkPjxrZXl3b3JkPkZlbWFsZTwva2V5d29yZD48a2V5d29yZD4q
RmlzaCBQcm9kdWN0czwva2V5d29yZD48a2V5d29yZD5IdW1hbnM8L2tleXdvcmQ+PGtleXdvcmQ+
SHlwZXJzZW5zaXRpdml0eS8qZXBpZGVtaW9sb2d5PC9rZXl3b3JkPjxrZXl3b3JkPlByZWduYW5j
eTwva2V5d29yZD48a2V5d29yZD5QcmVuYXRhbCBFeHBvc3VyZSBEZWxheWVkIEVmZmVjdHMvKmVw
aWRlbWlvbG9neTwva2V5d29yZD48a2V5d29yZD4qYWxsZXJnZW5pYyBmb29kczwva2V5d29yZD48
a2V5d29yZD4qYWxsZXJnaWMgb3V0Y29tZTwva2V5d29yZD48a2V5d29yZD4qYWxsZXJneTwva2V5
d29yZD48a2V5d29yZD4qY2hpbGRyZW48L2tleXdvcmQ+PGtleXdvcmQ+KmZpc2g8L2tleXdvcmQ+
PGtleXdvcmQ+Km51dHJpdGlvbjwva2V5d29yZD48L2tleXdvcmRzPjxkYXRlcz48eWVhcj4yMDE3
PC95ZWFyPjxwdWItZGF0ZXM+PGRhdGU+TWFyPC9kYXRlPjwvcHViLWRhdGVzPjwvZGF0ZXM+PGlz
Ym4+MTM5OS0zMDM4IChFbGVjdHJvbmljKSYjeEQ7MDkwNS02MTU3IChMaW5raW5nKTwvaXNibj48
YWNjZXNzaW9uLW51bT4yNzU5MDU3MTwvYWNjZXNzaW9uLW51bT48dXJscz48cmVsYXRlZC11cmxz
Pjx1cmw+aHR0cHM6Ly93d3cubmNiaS5ubG0ubmloLmdvdi9wdWJtZWQvMjc1OTA1NzE8L3VybD48
L3JlbGF0ZWQtdXJscz48L3VybHM+PGVsZWN0cm9uaWMtcmVzb3VyY2UtbnVtPjEwLjExMTEvcGFp
LjEyNjQ4PC9lbGVjdHJvbmljLXJlc291cmNlLW51bT48L3JlY29yZD48L0NpdGU+PC9FbmROb3Rl
PgB=
</w:fldData>
              </w:fldChar>
            </w:r>
            <w:r w:rsidR="002747EA">
              <w:instrText xml:space="preserve"> ADDIN EN.CITE.DATA </w:instrText>
            </w:r>
            <w:r w:rsidR="002747EA">
              <w:fldChar w:fldCharType="end"/>
            </w:r>
            <w:r w:rsidR="00201490">
              <w:fldChar w:fldCharType="separate"/>
            </w:r>
            <w:r w:rsidR="002747EA" w:rsidRPr="002747EA">
              <w:rPr>
                <w:noProof/>
                <w:vertAlign w:val="superscript"/>
              </w:rPr>
              <w:t>82</w:t>
            </w:r>
            <w:r w:rsidR="00201490">
              <w:fldChar w:fldCharType="end"/>
            </w:r>
          </w:p>
          <w:p w14:paraId="4D13D166" w14:textId="3ADA4441" w:rsidR="00133BAF" w:rsidRDefault="00133BAF" w:rsidP="00AB0E44">
            <w:r>
              <w:t>SLR</w:t>
            </w:r>
          </w:p>
        </w:tc>
        <w:tc>
          <w:tcPr>
            <w:tcW w:w="1274" w:type="dxa"/>
            <w:tcBorders>
              <w:top w:val="single" w:sz="4" w:space="0" w:color="auto"/>
              <w:left w:val="single" w:sz="4" w:space="0" w:color="auto"/>
              <w:bottom w:val="single" w:sz="4" w:space="0" w:color="auto"/>
              <w:right w:val="single" w:sz="4" w:space="0" w:color="auto"/>
            </w:tcBorders>
          </w:tcPr>
          <w:p w14:paraId="52F68472" w14:textId="77777777" w:rsidR="005816E7" w:rsidRDefault="00133BAF" w:rsidP="00AB0E44">
            <w:r>
              <w:t>1 RCT</w:t>
            </w:r>
          </w:p>
          <w:p w14:paraId="0C5510F2" w14:textId="068E997C" w:rsidR="00133BAF" w:rsidRDefault="00133BAF" w:rsidP="00AB0E44">
            <w:r>
              <w:t>13 cohort studies</w:t>
            </w:r>
          </w:p>
        </w:tc>
        <w:tc>
          <w:tcPr>
            <w:tcW w:w="4822" w:type="dxa"/>
            <w:tcBorders>
              <w:top w:val="single" w:sz="4" w:space="0" w:color="auto"/>
              <w:left w:val="single" w:sz="4" w:space="0" w:color="auto"/>
              <w:bottom w:val="single" w:sz="4" w:space="0" w:color="auto"/>
              <w:right w:val="single" w:sz="4" w:space="0" w:color="auto"/>
            </w:tcBorders>
          </w:tcPr>
          <w:p w14:paraId="04041F12" w14:textId="632AE8FB" w:rsidR="00133BAF" w:rsidRDefault="00133BAF" w:rsidP="00133BAF">
            <w:r w:rsidRPr="00133BAF">
              <w:rPr>
                <w:b/>
              </w:rPr>
              <w:t>Aim</w:t>
            </w:r>
            <w:r>
              <w:t>: To establish</w:t>
            </w:r>
            <w:r w:rsidRPr="00133BAF">
              <w:t xml:space="preserve"> the effect of </w:t>
            </w:r>
            <w:r>
              <w:t xml:space="preserve">maternal </w:t>
            </w:r>
            <w:r w:rsidRPr="00133BAF">
              <w:t xml:space="preserve">fish </w:t>
            </w:r>
            <w:r>
              <w:t xml:space="preserve">intake </w:t>
            </w:r>
            <w:r w:rsidRPr="00133BAF">
              <w:t xml:space="preserve">on allergic disease </w:t>
            </w:r>
            <w:r>
              <w:t>in the infant</w:t>
            </w:r>
            <w:r w:rsidRPr="00133BAF">
              <w:t xml:space="preserve">. </w:t>
            </w:r>
          </w:p>
          <w:p w14:paraId="3677D40E" w14:textId="27A2EB16" w:rsidR="005816E7" w:rsidRPr="00AB0E44" w:rsidRDefault="00133BAF" w:rsidP="00133BAF">
            <w:pPr>
              <w:rPr>
                <w:b/>
              </w:rPr>
            </w:pPr>
            <w:r w:rsidRPr="00133BAF">
              <w:rPr>
                <w:b/>
              </w:rPr>
              <w:t>Methods</w:t>
            </w:r>
            <w:r>
              <w:t xml:space="preserve">: </w:t>
            </w:r>
            <w:r w:rsidRPr="00133BAF">
              <w:t>PubMed, EMBASE, and Cochrane Central Register of Controlled T</w:t>
            </w:r>
            <w:r>
              <w:t>rials were searched for randomis</w:t>
            </w:r>
            <w:r w:rsidRPr="00133BAF">
              <w:t xml:space="preserve">ed controlled trials (RCTs) and prospective cohort studies regarding the effect of fish intake during pregnancy or infancy on allergic outcomes in children. The outcomes of interest were atopy, eczema, allergic rhinitis, wheeze, asthma, and food allergy. </w:t>
            </w:r>
          </w:p>
        </w:tc>
        <w:tc>
          <w:tcPr>
            <w:tcW w:w="4536" w:type="dxa"/>
            <w:tcBorders>
              <w:top w:val="single" w:sz="4" w:space="0" w:color="auto"/>
              <w:left w:val="single" w:sz="4" w:space="0" w:color="auto"/>
              <w:bottom w:val="single" w:sz="4" w:space="0" w:color="auto"/>
              <w:right w:val="single" w:sz="4" w:space="0" w:color="auto"/>
            </w:tcBorders>
          </w:tcPr>
          <w:p w14:paraId="2E0EE325" w14:textId="04B10E09" w:rsidR="005816E7" w:rsidRPr="00133BAF" w:rsidRDefault="00133BAF" w:rsidP="00FE3765">
            <w:r w:rsidRPr="00133BAF">
              <w:t xml:space="preserve">Pooled analysis suggested that maternal fish intake during pregnancy was not associated with lower risk of </w:t>
            </w:r>
            <w:r w:rsidR="00FE3765">
              <w:t>eczema</w:t>
            </w:r>
            <w:r w:rsidR="00030BD2">
              <w:t xml:space="preserve"> (</w:t>
            </w:r>
            <w:r w:rsidR="00FE3765">
              <w:t>RR 0.88; 95%CI 0.75 to 1.04; 10 studies), wheeze (RR 0.94; 95%CI 0.83 to 1.07; 8 studies), allergic rhinitis (RR 0.95; 95%CI 0.62 to 1.45; 3 studies) or asthma (RR 0.94; 95%CI 0.75 to 1.18; 4 studies).</w:t>
            </w:r>
          </w:p>
        </w:tc>
        <w:tc>
          <w:tcPr>
            <w:tcW w:w="1843" w:type="dxa"/>
            <w:tcBorders>
              <w:top w:val="single" w:sz="4" w:space="0" w:color="auto"/>
              <w:left w:val="single" w:sz="4" w:space="0" w:color="auto"/>
              <w:bottom w:val="single" w:sz="4" w:space="0" w:color="auto"/>
              <w:right w:val="single" w:sz="4" w:space="0" w:color="auto"/>
            </w:tcBorders>
          </w:tcPr>
          <w:p w14:paraId="0C2CD5EA" w14:textId="77777777" w:rsidR="005816E7" w:rsidRDefault="005816E7" w:rsidP="00AB0E44"/>
        </w:tc>
      </w:tr>
      <w:tr w:rsidR="00661A0E" w:rsidRPr="00343DBA" w14:paraId="1C4A6FC1"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6ED43C87" w14:textId="51FAB772" w:rsidR="00661A0E" w:rsidRDefault="00661A0E" w:rsidP="00AB0E44">
            <w:r>
              <w:t>Stratakis et al 2016</w:t>
            </w:r>
            <w:r>
              <w:fldChar w:fldCharType="begin">
                <w:fldData xml:space="preserve">PEVuZE5vdGU+PENpdGU+PEF1dGhvcj5TdHJhdGFraXM8L0F1dGhvcj48WWVhcj4yMDE2PC9ZZWFy
PjxSZWNOdW0+MTM3NDwvUmVjTnVtPjxEaXNwbGF5VGV4dD48c3R5bGUgZmFjZT0ic3VwZXJzY3Jp
cHQiIGZvbnQ9IlRyZWJ1Y2hldCBNUyIgc2l6ZT0iOSI+ODA8L3N0eWxlPjwvRGlzcGxheVRleHQ+
PHJlY29yZD48cmVjLW51bWJlcj4xMzc0PC9yZWMtbnVtYmVyPjxmb3JlaWduLWtleXM+PGtleSBh
cHA9IkVOIiBkYi1pZD0iZXh2YXNyZngyZHRyYW9lc2FzeHAyc3pzeGEyZGY1MDI1OTJ4IiB0aW1l
c3RhbXA9IjE1NjcwMzExMDYiPjEzNzQ8L2tleT48a2V5IGFwcD0iRU5XZWIiIGRiLWlkPSIiPjA8
L2tleT48L2ZvcmVpZ24ta2V5cz48cmVmLXR5cGUgbmFtZT0iSm91cm5hbCBBcnRpY2xlIj4xNzwv
cmVmLXR5cGU+PGNvbnRyaWJ1dG9ycz48YXV0aG9ycz48YXV0aG9yPlN0cmF0YWtpcywgTi48L2F1
dGhvcj48YXV0aG9yPlJvdW1lbGlvdGFraSwgVC48L2F1dGhvcj48YXV0aG9yPk9rZW4sIEUuPC9h
dXRob3I+PGF1dGhvcj5CYXJyb3MsIEguPC9hdXRob3I+PGF1dGhvcj5CYXN0ZXJyZWNoZWEsIE0u
PC9hdXRob3I+PGF1dGhvcj5DaGFybGVzLCBNLiBBLjwvYXV0aG9yPjxhdXRob3I+RWdnZXNibywg
TS48L2F1dGhvcj48YXV0aG9yPkZvcmFzdGllcmUsIEYuPC9hdXRob3I+PGF1dGhvcj5HYWlsbGFy
ZCwgUi48L2F1dGhvcj48YXV0aG9yPkdlaHJpbmcsIFUuPC9hdXRob3I+PGF1dGhvcj5Hb3ZhcnRz
LCBFLjwvYXV0aG9yPjxhdXRob3I+SGFua2UsIFcuPC9hdXRob3I+PGF1dGhvcj5IZXVkZSwgQi48
L2F1dGhvcj48YXV0aG9yPklzemF0dCwgTi48L2F1dGhvcj48YXV0aG9yPkphZGRvZSwgVi4gVy48
L2F1dGhvcj48YXV0aG9yPktlbGxlaGVyLCBDLjwvYXV0aG9yPjxhdXRob3I+TW9tbWVycywgTS48
L2F1dGhvcj48YXV0aG9yPk11cmNpYSwgTS48L2F1dGhvcj48YXV0aG9yPk9saXZlaXJhLCBBLjwv
YXV0aG9yPjxhdXRob3I+UGl6emksIEMuPC9hdXRob3I+PGF1dGhvcj5Qb2xhbnNrYSwgSy48L2F1
dGhvcj48YXV0aG9yPlBvcnRhLCBELjwvYXV0aG9yPjxhdXRob3I+UmljaGlhcmRpLCBMLjwvYXV0
aG9yPjxhdXRob3I+UmlmYXMtU2hpbWFuLCBTLiBMLjwvYXV0aG9yPjxhdXRob3I+U2Nob2V0ZXJz
LCBHLjwvYXV0aG9yPjxhdXRob3I+U3VueWVyLCBKLjwvYXV0aG9yPjxhdXRob3I+VGhpanMsIEMu
PC9hdXRob3I+PGF1dGhvcj5WaWxqb2VuLCBLLjwvYXV0aG9yPjxhdXRob3I+VnJpamhlaWQsIE0u
PC9hdXRob3I+PGF1dGhvcj5Wcmlqa290dGUsIFQuIEcuPC9hdXRob3I+PGF1dGhvcj5XaWpnYSwg
QS4gSC48L2F1dGhvcj48YXV0aG9yPlplZWdlcnMsIE0uIFAuPC9hdXRob3I+PGF1dGhvcj5Lb2dl
dmluYXMsIE0uPC9hdXRob3I+PGF1dGhvcj5DaGF0emksIEwuPC9hdXRob3I+PC9hdXRob3JzPjwv
Y29udHJpYnV0b3JzPjxhdXRoLWFkZHJlc3M+RGVwYXJ0bWVudCBvZiBTb2NpYWwgTWVkaWNpbmUs
IEZhY3VsdHkgb2YgTWVkaWNpbmUsIFVuaXZlcnNpdHkgb2YgQ3JldGUsIEhlcmFrbGlvbiwgR3Jl
ZWNlMlNlY3Rpb24gb2YgQ29tcGxleCBHZW5ldGljcywgRGVwYXJ0bWVudCBvZiBHZW5ldGljcyBh
bmQgQ2VsbCBCaW9sb2d5LCBOVVRSSU0gU2Nob29sIG9mIE51dHJpdGlvbiBhbmQgVHJhbnNsYXRp
b25hbCBSZXNlYXJjaCBpbiBNZXRhYm9saXNtLCBGYWN1bHR5IG9mIEhlYWx0aCwgTWVkaWNpLiYj
eEQ7RGVwYXJ0bWVudCBvZiBTb2NpYWwgTWVkaWNpbmUsIEZhY3VsdHkgb2YgTWVkaWNpbmUsIFVu
aXZlcnNpdHkgb2YgQ3JldGUsIEhlcmFrbGlvbiwgR3JlZWNlLiYjeEQ7T2Jlc2l0eSBQcmV2ZW50
aW9uIFByb2dyYW0sIEhhcnZhcmQgUGlsZ3JpbSBIZWFsdGggQ2FyZSBJbnN0aXR1dGUsIERlcGFy
dG1lbnQgb2YgUG9wdWxhdGlvbiBNZWRpY2luZSwgSGFydmFyZCBNZWRpY2FsIFNjaG9vbCwgQm9z
dG9uLCBNYXNzYWNodXNldHRzLiYjeEQ7RGVwYXJ0bWVudCBvZiBDbGluaWNhbCBFcGlkZW1pb2xv
Z3ksIFByZWRpY3RpdmUgTWVkaWNpbmUgYW5kIFB1YmxpYyBIZWFsdGgsIFVuaXZlcnNpdHkgb2Yg
UG9ydG8gTWVkaWNhbCBTY2hvb2wsIFBvcnRvLCBQb3J0dWdhbDVFcGlkZW1vbG9neSBSZXNlYXJj
aCBVbml0LCBJbnN0aXR1dGUgb2YgUHVibGljIEhlYWx0aCwgVW5pdmVyc2l0eSBvZiBQb3J0bywg
UG9ydG8sIFBvcnR1Z2FsLiYjeEQ7UHVibGljIEhlYWx0aCBEaXZpc2lvbiBvZiBHaXB1emtvYSwg
QmFzcXVlIEdvdmVybm1lbnQ7IEhlYWx0aCBSZXNlYXJjaCBJbnN0aXR1dGUsIEJpb2Rvbm9zdGlh
LCBTYW4gU2ViYXN0aWFuLCBTcGFpbjdDZW50cm9zIGRlIEludmVzdGlnYWNpb24gQmlvbWVkaWNh
IGVuIFJlZCBFcGlkZW1pb2xvZ2lhIHkgU2FsdWQgUHVibGljYSwgU3BhaW4uJiN4RDtDZW50cmUg
Zm9yIFJlc2VhcmNoIGluIEVwaWRlbWlvbG9neSBhbmQgQmlvc3RhdGlzdGljcyBQYXJpcyBTb3Ji
b25uZSBDaXRlLCBJbnN0aXR1dCBOYXRpb25hbCBkZSBsYSBTYW50ZSBldCBkZSBsYSBSZWNoZXJj
aGUgTWVkaWNhbGUsIEVhcmx5IE9yaWdpbiBvZiB0aGUgQ2hpbGQgRGV2ZWxvcG1lbnQgYW5kIEhl
YWx0aCBUZWFtLCBWaWxsZWp1aWYsIEZyYW5jZTlVbml2ZXJzaXRlIFBhcmlzIERlc2NhcnRlcywg
VmlsbGVqdWlmLCBGcmFuY2UuJiN4RDtOb3J3ZWdpYW4gSW5zdGl0dXRlIG9mIFB1YmxpYyBIZWFs
dGgsIE9zbG8sIE5vcndheS4mI3hEO0RlcGFydG1lbnQgb2YgRXBpZGVtaW9sb2d5LCBMYXppbyBS
ZWdpb25hbCBIZWFsdGggU3lzdGVtLCBSb21lLCBJdGFseS4mI3hEO0dlbmVyYXRpb24gUiBTdHVk
eSBHcm91cCwgRGVwYXJ0bWVudCBvZiBFcGlkZW1pb2xvZ3ksIEVyYXNtdXMgVW5pdmVyc2l0eSBN
ZWRpY2FsIENlbnRyZSwgUm90dGVyZGFtLCBOZXRoZXJsYW5kcy4mI3hEO0luc3RpdHV0ZSBmb3Ig
UmlzayBBc3Nlc3NtZW50IFNjaWVuY2VzLCBVdHJlY2h0IFVuaXZlcnNpdHksIFV0cmVjaHQsIE5l
dGhlcmxhbmRzLiYjeEQ7RW52aXJvbm1lbnRhbCBSaXNrIGFuZCBIZWFsdGgsIEZsZW1pc2ggSW5z
dGl0dXRlIGZvciBUZWNobm9sb2dpY2FsIFJlc2VhcmNoLCBNb2wsIEJlbGdpdW0uJiN4RDtEZXBh
cnRtZW50IG9mIEVudmlyb25tZW50YWwgRXBpZGVtaW9sb2d5LCBOb2ZlciBJbnN0aXR1dGUgb2Yg
T2NjdXBhdGlvbmFsIE1lZGljaW5lLCBMb2R6LCBQb2xhbmQuJiN4RDtTY2hvb2wgb2YgUHVibGlj
IEhlYWx0aCwgUGh5c2lvdGhlcmFweSwgYW5kIFBvcHVsYXRpb24gU2NpZW5jZSwgVW5pdmVyc2l0
eSBDb2xsZWdlIER1YmxpbiwgRHVibGluLCBJcmVsYW5kLiYjeEQ7RGVwYXJ0bWVudCBvZiBFcGlk
ZW1pb2xvZ3ksIENBUEhSSSBTY2hvb2wgZm9yIFB1YmxpYyBIZWFsdGggYW5kIFByaW1hcnkgQ2Fy
ZSwgRmFjdWx0eSBvZiBIZWFsdGgsIE1lZGljaW5lIGFuZCBMaWZlIFNjaWVuY2VzLCBNYWFzdHJp
Y2h0IFVuaXZlcnNpdHkgTWVkaWNhbCBDZW50cmUrLCBNYWFzdHJpY2h0LCBOZXRoZXJsYW5kcy4m
I3hEO0NlbnRyb3MgZGUgSW52ZXN0aWdhY2lvbiBCaW9tZWRpY2EgZW4gUmVkIEVwaWRlbWlvbG9n
aWEgeSBTYWx1ZCBQdWJsaWNhLCBTcGFpbjE4RnVuZGFjaW9uIHBhcmEgZWwgRm9tZW50byBkZSBs
YSBJbnZlc3RpZ2FjaW9uIFNhbml0YXJpYSB5IEJpb21lZGljYSBkZSBsYSBDb211bml0YXQgVmFs
ZW5jaWFuYS1Vbml2ZXJzaXRhdCBKYXVtZSBJLCBVbml2ZXJzaXRhdCBkZSBWYWxlbmNpYSBKb2lu
dCBSZXNlYXJjaCBVbml0IG9mIEVwaWRlbWlvbG9neS4mI3hEO0NhbmNlciBFcGlkZW1pb2xvZ3kg
VW5pdCwgRGVwYXJ0bWVudCBvZiBNZWRpY2FsIFNjaWVuY2VzLCBVbml2ZXJzaXR5IG9mIFR1cmlu
IGFuZCBSZWZlcmVuY2UgQ2VudHJlIGZvciBFcGlkZW1pb2xvZ3kgYW5kIENhbmNlciBQcmV2ZW50
aW9uIGluIFBpZW1vbnRlLCBUdXJpbiwgSXRhbHkuJiN4RDtFbnZpcm9ubWVudGFsIFJpc2sgYW5k
IEhlYWx0aCwgRmxlbWlzaCBJbnN0aXR1dGUgZm9yIFRlY2hub2xvZ2ljYWwgUmVzZWFyY2gsIE1v
bCwgQmVsZ2l1bTIxVW5pdmVyc2l0eSBvZiBBbnR3ZXJwLCBBbnR3ZXJwLCBCZWxnaXVtOyBVbml2
ZXJzaXR5IG9mIFNvdXRoZXJuIERlbm1hcmssIE9kZW5zZSwgRGVubWFyay4mI3hEO0NlbnRyb3Mg
ZGUgSW52ZXN0aWdhY2lvbiBCaW9tZWRpY2EgZW4gUmVkIEVwaWRlbWlvbG9naWEgeSBTYWx1ZCBQ
dWJsaWNhLCBTcGFpbjIyQ2VudHJlIGZvciBSZXNlYXJjaCBpbiBFbnZpcm9ubWVudGFsIEVwaWRl
bWlvbG9neSwgQmFyY2Vsb25hLCBTcGFpbjIzUG9tcGV1IEZhYnJhIFVuaXZlcnNpdHksIEJhcmNl
bG9uYSwgU3BhaW4uJiN4RDtDZW50cm9zIGRlIEludmVzdGlnYWNpb24gQmlvbWVkaWNhIGVuIFJl
ZCBFcGlkZW1pb2xvZ2lhIHkgU2FsdWQgUHVibGljYSwgU3BhaW4yMkNlbnRyZSBmb3IgUmVzZWFy
Y2ggaW4gRW52aXJvbm1lbnRhbCBFcGlkZW1pb2xvZ3ksIEJhcmNlbG9uYSwgU3BhaW4yNERlcGFy
dG1lbnQgb2YgRXhwZXJpbWVudGFsIGFuZCBIZWFsdGggU2NpZW5jZXMsIFBvbXBldSBGYWJyYSBV
bml2ZXJzaXR5LCBCYXJjZWxvbmEsIFNwYWluLiYjeEQ7RGVwYXJ0bWVudCBvZiBQdWJsaWMgSGVh
bHRoLCBBY2FkZW1pYyBNZWRpY2FsIENlbnRyZSwgVW5pdmVyc2l0eSBvZiBBbXN0ZXJkYW0sIEFt
c3RlcmRhbSwgTmV0aGVybGFuZHMuJiN4RDtDZW50cmUgZm9yIE51dHJpdGlvbiwgUHJldmVudGlv
biBhbmQgSGVhbHRoIFNlcnZpY2VzLCBOYXRpb25hbCBJbnN0aXR1dGUgZm9yIFB1YmxpYyBIZWFs
dGggYW5kIHRoZSBFbnZpcm9ubWVudCwgQmlsdGhvdmVuLCBOZXRoZXJsYW5kcy4mI3hEO1NlY3Rp
b24gb2YgQ29tcGxleCBHZW5ldGljcywgRGVwYXJ0bWVudCBvZiBHZW5ldGljcyBhbmQgQ2VsbCBC
aW9sb2d5LCBOVVRSSU0gU2Nob29sIG9mIE51dHJpdGlvbiBhbmQgVHJhbnNsYXRpb25hbCBSZXNl
YXJjaCBpbiBNZXRhYm9saXNtLCBGYWN1bHR5IG9mIEhlYWx0aCwgTWVkaWNpbmUgYW5kIExpZmUg
U2NpZW5jZXMsIE1hYXN0cmljaHQgVW5pdmVyc2l0eSBNZWRpY2FsIENlbnRyZSssIE1hYXN0cmlj
aHQsIE5ldGhlcmxhbmRzMjdDQVBIUi4mI3hEO0NlbnRyb3MgZGUgSW52ZXN0aWdhY2lvbiBCaW9t
ZWRpY2EgZW4gUmVkIEVwaWRlbWlvbG9naWEgeSBTYWx1ZCBQdWJsaWNhLCBTcGFpbjI4Q2VudHJl
IGZvciBSZXNlYXJjaCBpbiBFbnZpcm9ubWVudGFsIEVwaWRlbWlvbG9neSwgQmFyY2Vsb25hLCBT
cGFpbjI5SW5zdGl0dXQgSG9zcGl0YWwgZGVsIE1hciBkJmFwb3M7SW52ZXN0aWdhY2lvbnMgTWVk
aXF1ZXMsIEJhcmNlbG9uYSwgU3BhaW4zME5hdGlvbmFsIFNjaG9vbCBvZiBQdWJsaWMgSGVhbHRo
LCBBLjwvYXV0aC1hZGRyZXNzPjx0aXRsZXM+PHRpdGxlPkZpc2ggSW50YWtlIGluIFByZWduYW5j
eSBhbmQgQ2hpbGQgR3Jvd3RoOiBBIFBvb2xlZCBBbmFseXNpcyBvZiAxNSBFdXJvcGVhbiBhbmQg
VVMgQmlydGggQ29ob3J0czwvdGl0bGU+PHNlY29uZGFyeS10aXRsZT5KQU1BIFBlZGlhdHI8L3Nl
Y29uZGFyeS10aXRsZT48L3RpdGxlcz48cGVyaW9kaWNhbD48ZnVsbC10aXRsZT5KQU1BIFBlZGlh
dHI8L2Z1bGwtdGl0bGU+PC9wZXJpb2RpY2FsPjxwYWdlcz4zODEtOTA8L3BhZ2VzPjx2b2x1bWU+
MTcwPC92b2x1bWU+PG51bWJlcj40PC9udW1iZXI+PGVkaXRpb24+MjAxNi8wMi8xODwvZWRpdGlv
bj48a2V5d29yZHM+PGtleXdvcmQ+QW5pbWFsczwva2V5d29yZD48a2V5d29yZD5Cb2R5IE1hc3Mg
SW5kZXg8L2tleXdvcmQ+PGtleXdvcmQ+Q2hpbGQ8L2tleXdvcmQ+PGtleXdvcmQ+Q2hpbGQgRGV2
ZWxvcG1lbnQ8L2tleXdvcmQ+PGtleXdvcmQ+Q2hpbGQsIFByZXNjaG9vbDwva2V5d29yZD48a2V5
d29yZD5Db2hvcnQgU3R1ZGllczwva2V5d29yZD48a2V5d29yZD4qRGlldDwva2V5d29yZD48a2V5
d29yZD5FdXJvcGU8L2tleXdvcmQ+PGtleXdvcmQ+RmVtYWxlPC9rZXl3b3JkPjxrZXl3b3JkPkZl
dGFsIERldmVsb3BtZW50LypwaHlzaW9sb2d5PC9rZXl3b3JkPjxrZXl3b3JkPipGaXNoZXM8L2tl
eXdvcmQ+PGtleXdvcmQ+Rm9sbG93LVVwIFN0dWRpZXM8L2tleXdvcmQ+PGtleXdvcmQ+SHVtYW5z
PC9rZXl3b3JkPjxrZXl3b3JkPkluZmFudDwva2V5d29yZD48a2V5d29yZD5JbmZhbnQsIE5ld2Jv
cm48L2tleXdvcmQ+PGtleXdvcmQ+TWFsZTwva2V5d29yZD48a2V5d29yZD5PdmVyd2VpZ2h0L2Vw
aWRlbWlvbG9neS8qZXRpb2xvZ3k8L2tleXdvcmQ+PGtleXdvcmQ+UGVkaWF0cmljIE9iZXNpdHkv
ZXBpZGVtaW9sb2d5LypldGlvbG9neTwva2V5d29yZD48a2V5d29yZD5QcmVnbmFuY3k8L2tleXdv
cmQ+PGtleXdvcmQ+KlByZWduYW5jeSBDb21wbGljYXRpb25zPC9rZXl3b3JkPjxrZXl3b3JkPlJp
c2sgRmFjdG9yczwva2V5d29yZD48a2V5d29yZD4qU2VhZm9vZDwva2V5d29yZD48a2V5d29yZD5V
bml0ZWQgU3RhdGVzPC9rZXl3b3JkPjwva2V5d29yZHM+PGRhdGVzPjx5ZWFyPjIwMTY8L3llYXI+
PHB1Yi1kYXRlcz48ZGF0ZT5BcHI8L2RhdGU+PC9wdWItZGF0ZXM+PC9kYXRlcz48aXNibj4yMTY4
LTYyMTEgKEVsZWN0cm9uaWMpJiN4RDsyMTY4LTYyMDMgKExpbmtpbmcpPC9pc2JuPjxhY2Nlc3Np
b24tbnVtPjI2ODgyNTQyPC9hY2Nlc3Npb24tbnVtPjx1cmxzPjxyZWxhdGVkLXVybHM+PHVybD5o
dHRwczovL3d3dy5uY2JpLm5sbS5uaWguZ292L3B1Ym1lZC8yNjg4MjU0MjwvdXJsPjwvcmVsYXRl
ZC11cmxzPjwvdXJscz48Y3VzdG9tMj5QTUM1MTAzNjM1PC9jdXN0b20yPjxlbGVjdHJvbmljLXJl
c291cmNlLW51bT4xMC4xMDAxL2phbWFwZWRpYXRyaWNzLjIwMTUuNDQzMDwvZWxlY3Ryb25pYy1y
ZXNvdXJjZS1udW0+PC9yZWNvcmQ+PC9DaXRlPjwvRW5kTm90ZT4A
</w:fldData>
              </w:fldChar>
            </w:r>
            <w:r w:rsidR="002747EA">
              <w:instrText xml:space="preserve"> ADDIN EN.CITE </w:instrText>
            </w:r>
            <w:r w:rsidR="002747EA">
              <w:fldChar w:fldCharType="begin">
                <w:fldData xml:space="preserve">PEVuZE5vdGU+PENpdGU+PEF1dGhvcj5TdHJhdGFraXM8L0F1dGhvcj48WWVhcj4yMDE2PC9ZZWFy
PjxSZWNOdW0+MTM3NDwvUmVjTnVtPjxEaXNwbGF5VGV4dD48c3R5bGUgZmFjZT0ic3VwZXJzY3Jp
cHQiIGZvbnQ9IlRyZWJ1Y2hldCBNUyIgc2l6ZT0iOSI+ODA8L3N0eWxlPjwvRGlzcGxheVRleHQ+
PHJlY29yZD48cmVjLW51bWJlcj4xMzc0PC9yZWMtbnVtYmVyPjxmb3JlaWduLWtleXM+PGtleSBh
cHA9IkVOIiBkYi1pZD0iZXh2YXNyZngyZHRyYW9lc2FzeHAyc3pzeGEyZGY1MDI1OTJ4IiB0aW1l
c3RhbXA9IjE1NjcwMzExMDYiPjEzNzQ8L2tleT48a2V5IGFwcD0iRU5XZWIiIGRiLWlkPSIiPjA8
L2tleT48L2ZvcmVpZ24ta2V5cz48cmVmLXR5cGUgbmFtZT0iSm91cm5hbCBBcnRpY2xlIj4xNzwv
cmVmLXR5cGU+PGNvbnRyaWJ1dG9ycz48YXV0aG9ycz48YXV0aG9yPlN0cmF0YWtpcywgTi48L2F1
dGhvcj48YXV0aG9yPlJvdW1lbGlvdGFraSwgVC48L2F1dGhvcj48YXV0aG9yPk9rZW4sIEUuPC9h
dXRob3I+PGF1dGhvcj5CYXJyb3MsIEguPC9hdXRob3I+PGF1dGhvcj5CYXN0ZXJyZWNoZWEsIE0u
PC9hdXRob3I+PGF1dGhvcj5DaGFybGVzLCBNLiBBLjwvYXV0aG9yPjxhdXRob3I+RWdnZXNibywg
TS48L2F1dGhvcj48YXV0aG9yPkZvcmFzdGllcmUsIEYuPC9hdXRob3I+PGF1dGhvcj5HYWlsbGFy
ZCwgUi48L2F1dGhvcj48YXV0aG9yPkdlaHJpbmcsIFUuPC9hdXRob3I+PGF1dGhvcj5Hb3ZhcnRz
LCBFLjwvYXV0aG9yPjxhdXRob3I+SGFua2UsIFcuPC9hdXRob3I+PGF1dGhvcj5IZXVkZSwgQi48
L2F1dGhvcj48YXV0aG9yPklzemF0dCwgTi48L2F1dGhvcj48YXV0aG9yPkphZGRvZSwgVi4gVy48
L2F1dGhvcj48YXV0aG9yPktlbGxlaGVyLCBDLjwvYXV0aG9yPjxhdXRob3I+TW9tbWVycywgTS48
L2F1dGhvcj48YXV0aG9yPk11cmNpYSwgTS48L2F1dGhvcj48YXV0aG9yPk9saXZlaXJhLCBBLjwv
YXV0aG9yPjxhdXRob3I+UGl6emksIEMuPC9hdXRob3I+PGF1dGhvcj5Qb2xhbnNrYSwgSy48L2F1
dGhvcj48YXV0aG9yPlBvcnRhLCBELjwvYXV0aG9yPjxhdXRob3I+UmljaGlhcmRpLCBMLjwvYXV0
aG9yPjxhdXRob3I+UmlmYXMtU2hpbWFuLCBTLiBMLjwvYXV0aG9yPjxhdXRob3I+U2Nob2V0ZXJz
LCBHLjwvYXV0aG9yPjxhdXRob3I+U3VueWVyLCBKLjwvYXV0aG9yPjxhdXRob3I+VGhpanMsIEMu
PC9hdXRob3I+PGF1dGhvcj5WaWxqb2VuLCBLLjwvYXV0aG9yPjxhdXRob3I+VnJpamhlaWQsIE0u
PC9hdXRob3I+PGF1dGhvcj5Wcmlqa290dGUsIFQuIEcuPC9hdXRob3I+PGF1dGhvcj5XaWpnYSwg
QS4gSC48L2F1dGhvcj48YXV0aG9yPlplZWdlcnMsIE0uIFAuPC9hdXRob3I+PGF1dGhvcj5Lb2dl
dmluYXMsIE0uPC9hdXRob3I+PGF1dGhvcj5DaGF0emksIEwuPC9hdXRob3I+PC9hdXRob3JzPjwv
Y29udHJpYnV0b3JzPjxhdXRoLWFkZHJlc3M+RGVwYXJ0bWVudCBvZiBTb2NpYWwgTWVkaWNpbmUs
IEZhY3VsdHkgb2YgTWVkaWNpbmUsIFVuaXZlcnNpdHkgb2YgQ3JldGUsIEhlcmFrbGlvbiwgR3Jl
ZWNlMlNlY3Rpb24gb2YgQ29tcGxleCBHZW5ldGljcywgRGVwYXJ0bWVudCBvZiBHZW5ldGljcyBh
bmQgQ2VsbCBCaW9sb2d5LCBOVVRSSU0gU2Nob29sIG9mIE51dHJpdGlvbiBhbmQgVHJhbnNsYXRp
b25hbCBSZXNlYXJjaCBpbiBNZXRhYm9saXNtLCBGYWN1bHR5IG9mIEhlYWx0aCwgTWVkaWNpLiYj
eEQ7RGVwYXJ0bWVudCBvZiBTb2NpYWwgTWVkaWNpbmUsIEZhY3VsdHkgb2YgTWVkaWNpbmUsIFVu
aXZlcnNpdHkgb2YgQ3JldGUsIEhlcmFrbGlvbiwgR3JlZWNlLiYjeEQ7T2Jlc2l0eSBQcmV2ZW50
aW9uIFByb2dyYW0sIEhhcnZhcmQgUGlsZ3JpbSBIZWFsdGggQ2FyZSBJbnN0aXR1dGUsIERlcGFy
dG1lbnQgb2YgUG9wdWxhdGlvbiBNZWRpY2luZSwgSGFydmFyZCBNZWRpY2FsIFNjaG9vbCwgQm9z
dG9uLCBNYXNzYWNodXNldHRzLiYjeEQ7RGVwYXJ0bWVudCBvZiBDbGluaWNhbCBFcGlkZW1pb2xv
Z3ksIFByZWRpY3RpdmUgTWVkaWNpbmUgYW5kIFB1YmxpYyBIZWFsdGgsIFVuaXZlcnNpdHkgb2Yg
UG9ydG8gTWVkaWNhbCBTY2hvb2wsIFBvcnRvLCBQb3J0dWdhbDVFcGlkZW1vbG9neSBSZXNlYXJj
aCBVbml0LCBJbnN0aXR1dGUgb2YgUHVibGljIEhlYWx0aCwgVW5pdmVyc2l0eSBvZiBQb3J0bywg
UG9ydG8sIFBvcnR1Z2FsLiYjeEQ7UHVibGljIEhlYWx0aCBEaXZpc2lvbiBvZiBHaXB1emtvYSwg
QmFzcXVlIEdvdmVybm1lbnQ7IEhlYWx0aCBSZXNlYXJjaCBJbnN0aXR1dGUsIEJpb2Rvbm9zdGlh
LCBTYW4gU2ViYXN0aWFuLCBTcGFpbjdDZW50cm9zIGRlIEludmVzdGlnYWNpb24gQmlvbWVkaWNh
IGVuIFJlZCBFcGlkZW1pb2xvZ2lhIHkgU2FsdWQgUHVibGljYSwgU3BhaW4uJiN4RDtDZW50cmUg
Zm9yIFJlc2VhcmNoIGluIEVwaWRlbWlvbG9neSBhbmQgQmlvc3RhdGlzdGljcyBQYXJpcyBTb3Ji
b25uZSBDaXRlLCBJbnN0aXR1dCBOYXRpb25hbCBkZSBsYSBTYW50ZSBldCBkZSBsYSBSZWNoZXJj
aGUgTWVkaWNhbGUsIEVhcmx5IE9yaWdpbiBvZiB0aGUgQ2hpbGQgRGV2ZWxvcG1lbnQgYW5kIEhl
YWx0aCBUZWFtLCBWaWxsZWp1aWYsIEZyYW5jZTlVbml2ZXJzaXRlIFBhcmlzIERlc2NhcnRlcywg
VmlsbGVqdWlmLCBGcmFuY2UuJiN4RDtOb3J3ZWdpYW4gSW5zdGl0dXRlIG9mIFB1YmxpYyBIZWFs
dGgsIE9zbG8sIE5vcndheS4mI3hEO0RlcGFydG1lbnQgb2YgRXBpZGVtaW9sb2d5LCBMYXppbyBS
ZWdpb25hbCBIZWFsdGggU3lzdGVtLCBSb21lLCBJdGFseS4mI3hEO0dlbmVyYXRpb24gUiBTdHVk
eSBHcm91cCwgRGVwYXJ0bWVudCBvZiBFcGlkZW1pb2xvZ3ksIEVyYXNtdXMgVW5pdmVyc2l0eSBN
ZWRpY2FsIENlbnRyZSwgUm90dGVyZGFtLCBOZXRoZXJsYW5kcy4mI3hEO0luc3RpdHV0ZSBmb3Ig
UmlzayBBc3Nlc3NtZW50IFNjaWVuY2VzLCBVdHJlY2h0IFVuaXZlcnNpdHksIFV0cmVjaHQsIE5l
dGhlcmxhbmRzLiYjeEQ7RW52aXJvbm1lbnRhbCBSaXNrIGFuZCBIZWFsdGgsIEZsZW1pc2ggSW5z
dGl0dXRlIGZvciBUZWNobm9sb2dpY2FsIFJlc2VhcmNoLCBNb2wsIEJlbGdpdW0uJiN4RDtEZXBh
cnRtZW50IG9mIEVudmlyb25tZW50YWwgRXBpZGVtaW9sb2d5LCBOb2ZlciBJbnN0aXR1dGUgb2Yg
T2NjdXBhdGlvbmFsIE1lZGljaW5lLCBMb2R6LCBQb2xhbmQuJiN4RDtTY2hvb2wgb2YgUHVibGlj
IEhlYWx0aCwgUGh5c2lvdGhlcmFweSwgYW5kIFBvcHVsYXRpb24gU2NpZW5jZSwgVW5pdmVyc2l0
eSBDb2xsZWdlIER1YmxpbiwgRHVibGluLCBJcmVsYW5kLiYjeEQ7RGVwYXJ0bWVudCBvZiBFcGlk
ZW1pb2xvZ3ksIENBUEhSSSBTY2hvb2wgZm9yIFB1YmxpYyBIZWFsdGggYW5kIFByaW1hcnkgQ2Fy
ZSwgRmFjdWx0eSBvZiBIZWFsdGgsIE1lZGljaW5lIGFuZCBMaWZlIFNjaWVuY2VzLCBNYWFzdHJp
Y2h0IFVuaXZlcnNpdHkgTWVkaWNhbCBDZW50cmUrLCBNYWFzdHJpY2h0LCBOZXRoZXJsYW5kcy4m
I3hEO0NlbnRyb3MgZGUgSW52ZXN0aWdhY2lvbiBCaW9tZWRpY2EgZW4gUmVkIEVwaWRlbWlvbG9n
aWEgeSBTYWx1ZCBQdWJsaWNhLCBTcGFpbjE4RnVuZGFjaW9uIHBhcmEgZWwgRm9tZW50byBkZSBs
YSBJbnZlc3RpZ2FjaW9uIFNhbml0YXJpYSB5IEJpb21lZGljYSBkZSBsYSBDb211bml0YXQgVmFs
ZW5jaWFuYS1Vbml2ZXJzaXRhdCBKYXVtZSBJLCBVbml2ZXJzaXRhdCBkZSBWYWxlbmNpYSBKb2lu
dCBSZXNlYXJjaCBVbml0IG9mIEVwaWRlbWlvbG9neS4mI3hEO0NhbmNlciBFcGlkZW1pb2xvZ3kg
VW5pdCwgRGVwYXJ0bWVudCBvZiBNZWRpY2FsIFNjaWVuY2VzLCBVbml2ZXJzaXR5IG9mIFR1cmlu
IGFuZCBSZWZlcmVuY2UgQ2VudHJlIGZvciBFcGlkZW1pb2xvZ3kgYW5kIENhbmNlciBQcmV2ZW50
aW9uIGluIFBpZW1vbnRlLCBUdXJpbiwgSXRhbHkuJiN4RDtFbnZpcm9ubWVudGFsIFJpc2sgYW5k
IEhlYWx0aCwgRmxlbWlzaCBJbnN0aXR1dGUgZm9yIFRlY2hub2xvZ2ljYWwgUmVzZWFyY2gsIE1v
bCwgQmVsZ2l1bTIxVW5pdmVyc2l0eSBvZiBBbnR3ZXJwLCBBbnR3ZXJwLCBCZWxnaXVtOyBVbml2
ZXJzaXR5IG9mIFNvdXRoZXJuIERlbm1hcmssIE9kZW5zZSwgRGVubWFyay4mI3hEO0NlbnRyb3Mg
ZGUgSW52ZXN0aWdhY2lvbiBCaW9tZWRpY2EgZW4gUmVkIEVwaWRlbWlvbG9naWEgeSBTYWx1ZCBQ
dWJsaWNhLCBTcGFpbjIyQ2VudHJlIGZvciBSZXNlYXJjaCBpbiBFbnZpcm9ubWVudGFsIEVwaWRl
bWlvbG9neSwgQmFyY2Vsb25hLCBTcGFpbjIzUG9tcGV1IEZhYnJhIFVuaXZlcnNpdHksIEJhcmNl
bG9uYSwgU3BhaW4uJiN4RDtDZW50cm9zIGRlIEludmVzdGlnYWNpb24gQmlvbWVkaWNhIGVuIFJl
ZCBFcGlkZW1pb2xvZ2lhIHkgU2FsdWQgUHVibGljYSwgU3BhaW4yMkNlbnRyZSBmb3IgUmVzZWFy
Y2ggaW4gRW52aXJvbm1lbnRhbCBFcGlkZW1pb2xvZ3ksIEJhcmNlbG9uYSwgU3BhaW4yNERlcGFy
dG1lbnQgb2YgRXhwZXJpbWVudGFsIGFuZCBIZWFsdGggU2NpZW5jZXMsIFBvbXBldSBGYWJyYSBV
bml2ZXJzaXR5LCBCYXJjZWxvbmEsIFNwYWluLiYjeEQ7RGVwYXJ0bWVudCBvZiBQdWJsaWMgSGVh
bHRoLCBBY2FkZW1pYyBNZWRpY2FsIENlbnRyZSwgVW5pdmVyc2l0eSBvZiBBbXN0ZXJkYW0sIEFt
c3RlcmRhbSwgTmV0aGVybGFuZHMuJiN4RDtDZW50cmUgZm9yIE51dHJpdGlvbiwgUHJldmVudGlv
biBhbmQgSGVhbHRoIFNlcnZpY2VzLCBOYXRpb25hbCBJbnN0aXR1dGUgZm9yIFB1YmxpYyBIZWFs
dGggYW5kIHRoZSBFbnZpcm9ubWVudCwgQmlsdGhvdmVuLCBOZXRoZXJsYW5kcy4mI3hEO1NlY3Rp
b24gb2YgQ29tcGxleCBHZW5ldGljcywgRGVwYXJ0bWVudCBvZiBHZW5ldGljcyBhbmQgQ2VsbCBC
aW9sb2d5LCBOVVRSSU0gU2Nob29sIG9mIE51dHJpdGlvbiBhbmQgVHJhbnNsYXRpb25hbCBSZXNl
YXJjaCBpbiBNZXRhYm9saXNtLCBGYWN1bHR5IG9mIEhlYWx0aCwgTWVkaWNpbmUgYW5kIExpZmUg
U2NpZW5jZXMsIE1hYXN0cmljaHQgVW5pdmVyc2l0eSBNZWRpY2FsIENlbnRyZSssIE1hYXN0cmlj
aHQsIE5ldGhlcmxhbmRzMjdDQVBIUi4mI3hEO0NlbnRyb3MgZGUgSW52ZXN0aWdhY2lvbiBCaW9t
ZWRpY2EgZW4gUmVkIEVwaWRlbWlvbG9naWEgeSBTYWx1ZCBQdWJsaWNhLCBTcGFpbjI4Q2VudHJl
IGZvciBSZXNlYXJjaCBpbiBFbnZpcm9ubWVudGFsIEVwaWRlbWlvbG9neSwgQmFyY2Vsb25hLCBT
cGFpbjI5SW5zdGl0dXQgSG9zcGl0YWwgZGVsIE1hciBkJmFwb3M7SW52ZXN0aWdhY2lvbnMgTWVk
aXF1ZXMsIEJhcmNlbG9uYSwgU3BhaW4zME5hdGlvbmFsIFNjaG9vbCBvZiBQdWJsaWMgSGVhbHRo
LCBBLjwvYXV0aC1hZGRyZXNzPjx0aXRsZXM+PHRpdGxlPkZpc2ggSW50YWtlIGluIFByZWduYW5j
eSBhbmQgQ2hpbGQgR3Jvd3RoOiBBIFBvb2xlZCBBbmFseXNpcyBvZiAxNSBFdXJvcGVhbiBhbmQg
VVMgQmlydGggQ29ob3J0czwvdGl0bGU+PHNlY29uZGFyeS10aXRsZT5KQU1BIFBlZGlhdHI8L3Nl
Y29uZGFyeS10aXRsZT48L3RpdGxlcz48cGVyaW9kaWNhbD48ZnVsbC10aXRsZT5KQU1BIFBlZGlh
dHI8L2Z1bGwtdGl0bGU+PC9wZXJpb2RpY2FsPjxwYWdlcz4zODEtOTA8L3BhZ2VzPjx2b2x1bWU+
MTcwPC92b2x1bWU+PG51bWJlcj40PC9udW1iZXI+PGVkaXRpb24+MjAxNi8wMi8xODwvZWRpdGlv
bj48a2V5d29yZHM+PGtleXdvcmQ+QW5pbWFsczwva2V5d29yZD48a2V5d29yZD5Cb2R5IE1hc3Mg
SW5kZXg8L2tleXdvcmQ+PGtleXdvcmQ+Q2hpbGQ8L2tleXdvcmQ+PGtleXdvcmQ+Q2hpbGQgRGV2
ZWxvcG1lbnQ8L2tleXdvcmQ+PGtleXdvcmQ+Q2hpbGQsIFByZXNjaG9vbDwva2V5d29yZD48a2V5
d29yZD5Db2hvcnQgU3R1ZGllczwva2V5d29yZD48a2V5d29yZD4qRGlldDwva2V5d29yZD48a2V5
d29yZD5FdXJvcGU8L2tleXdvcmQ+PGtleXdvcmQ+RmVtYWxlPC9rZXl3b3JkPjxrZXl3b3JkPkZl
dGFsIERldmVsb3BtZW50LypwaHlzaW9sb2d5PC9rZXl3b3JkPjxrZXl3b3JkPipGaXNoZXM8L2tl
eXdvcmQ+PGtleXdvcmQ+Rm9sbG93LVVwIFN0dWRpZXM8L2tleXdvcmQ+PGtleXdvcmQ+SHVtYW5z
PC9rZXl3b3JkPjxrZXl3b3JkPkluZmFudDwva2V5d29yZD48a2V5d29yZD5JbmZhbnQsIE5ld2Jv
cm48L2tleXdvcmQ+PGtleXdvcmQ+TWFsZTwva2V5d29yZD48a2V5d29yZD5PdmVyd2VpZ2h0L2Vw
aWRlbWlvbG9neS8qZXRpb2xvZ3k8L2tleXdvcmQ+PGtleXdvcmQ+UGVkaWF0cmljIE9iZXNpdHkv
ZXBpZGVtaW9sb2d5LypldGlvbG9neTwva2V5d29yZD48a2V5d29yZD5QcmVnbmFuY3k8L2tleXdv
cmQ+PGtleXdvcmQ+KlByZWduYW5jeSBDb21wbGljYXRpb25zPC9rZXl3b3JkPjxrZXl3b3JkPlJp
c2sgRmFjdG9yczwva2V5d29yZD48a2V5d29yZD4qU2VhZm9vZDwva2V5d29yZD48a2V5d29yZD5V
bml0ZWQgU3RhdGVzPC9rZXl3b3JkPjwva2V5d29yZHM+PGRhdGVzPjx5ZWFyPjIwMTY8L3llYXI+
PHB1Yi1kYXRlcz48ZGF0ZT5BcHI8L2RhdGU+PC9wdWItZGF0ZXM+PC9kYXRlcz48aXNibj4yMTY4
LTYyMTEgKEVsZWN0cm9uaWMpJiN4RDsyMTY4LTYyMDMgKExpbmtpbmcpPC9pc2JuPjxhY2Nlc3Np
b24tbnVtPjI2ODgyNTQyPC9hY2Nlc3Npb24tbnVtPjx1cmxzPjxyZWxhdGVkLXVybHM+PHVybD5o
dHRwczovL3d3dy5uY2JpLm5sbS5uaWguZ292L3B1Ym1lZC8yNjg4MjU0MjwvdXJsPjwvcmVsYXRl
ZC11cmxzPjwvdXJscz48Y3VzdG9tMj5QTUM1MTAzNjM1PC9jdXN0b20yPjxlbGVjdHJvbmljLXJl
c291cmNlLW51bT4xMC4xMDAxL2phbWFwZWRpYXRyaWNzLjIwMTUuNDQzMDwvZWxlY3Ryb25pYy1y
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80</w:t>
            </w:r>
            <w:r>
              <w:fldChar w:fldCharType="end"/>
            </w:r>
          </w:p>
          <w:p w14:paraId="5F2301C6" w14:textId="77777777" w:rsidR="00661A0E" w:rsidRDefault="00661A0E" w:rsidP="00AB0E44">
            <w:r>
              <w:t>Cohort</w:t>
            </w:r>
          </w:p>
          <w:p w14:paraId="5D07F726" w14:textId="77777777" w:rsidR="00661A0E" w:rsidRDefault="00661A0E" w:rsidP="00AB0E44">
            <w:r w:rsidRPr="00AB0E44">
              <w:t>Belgium, France, Greece, Ireland, Italy, the Netherlands, N</w:t>
            </w:r>
            <w:r>
              <w:t>orway, Poland, Portugal, Spain</w:t>
            </w:r>
            <w:r w:rsidRPr="00AB0E44">
              <w:t xml:space="preserve"> and </w:t>
            </w:r>
            <w:r>
              <w:t xml:space="preserve">United States </w:t>
            </w:r>
          </w:p>
        </w:tc>
        <w:tc>
          <w:tcPr>
            <w:tcW w:w="1274" w:type="dxa"/>
            <w:tcBorders>
              <w:top w:val="single" w:sz="4" w:space="0" w:color="auto"/>
              <w:left w:val="single" w:sz="4" w:space="0" w:color="auto"/>
              <w:bottom w:val="single" w:sz="4" w:space="0" w:color="auto"/>
              <w:right w:val="single" w:sz="4" w:space="0" w:color="auto"/>
            </w:tcBorders>
          </w:tcPr>
          <w:p w14:paraId="15A14E11" w14:textId="77777777" w:rsidR="00661A0E" w:rsidRPr="004C463B" w:rsidRDefault="00661A0E" w:rsidP="00AB0E44">
            <w:r>
              <w:t>26,184 women</w:t>
            </w:r>
          </w:p>
        </w:tc>
        <w:tc>
          <w:tcPr>
            <w:tcW w:w="4822" w:type="dxa"/>
            <w:tcBorders>
              <w:top w:val="single" w:sz="4" w:space="0" w:color="auto"/>
              <w:left w:val="single" w:sz="4" w:space="0" w:color="auto"/>
              <w:bottom w:val="single" w:sz="4" w:space="0" w:color="auto"/>
              <w:right w:val="single" w:sz="4" w:space="0" w:color="auto"/>
            </w:tcBorders>
          </w:tcPr>
          <w:p w14:paraId="683C8CCF" w14:textId="77777777" w:rsidR="00661A0E" w:rsidRDefault="00661A0E" w:rsidP="00AB0E44">
            <w:r w:rsidRPr="00AB0E44">
              <w:rPr>
                <w:b/>
              </w:rPr>
              <w:t>Aim</w:t>
            </w:r>
            <w:r>
              <w:t xml:space="preserve">: </w:t>
            </w:r>
            <w:r w:rsidRPr="00AB0E44">
              <w:t xml:space="preserve">To examine whether fish intake in pregnancy is associated with offspring growth and the risk of childhood overweight and obesity. </w:t>
            </w:r>
          </w:p>
          <w:p w14:paraId="75F2C899" w14:textId="77777777" w:rsidR="00661A0E" w:rsidRPr="004C463B" w:rsidRDefault="00661A0E" w:rsidP="00AB0E44">
            <w:pPr>
              <w:rPr>
                <w:b/>
              </w:rPr>
            </w:pPr>
            <w:r w:rsidRPr="00AB0E44">
              <w:rPr>
                <w:b/>
              </w:rPr>
              <w:t>Methods</w:t>
            </w:r>
            <w:r w:rsidRPr="00AB0E44">
              <w:t xml:space="preserve">: </w:t>
            </w:r>
            <w:r>
              <w:t>W</w:t>
            </w:r>
            <w:r w:rsidRPr="00AB0E44">
              <w:t xml:space="preserve">omen </w:t>
            </w:r>
            <w:r>
              <w:t xml:space="preserve">with singleton births </w:t>
            </w:r>
            <w:r w:rsidRPr="00AB0E44">
              <w:t xml:space="preserve">and their children were followed up at 2-year intervals until the age of 6 years. We estimated offspring body mass index percentile trajectories from 3 months after birth to 6 years of age. We defined rapid infant growth as a weight gain z score greater than 0.67 from birth to 2 years and childhood overweight/obesity at 4 and 6 years as body mass index in the 85th percentile or higher for age and sex. We calculated cohort-specific effect estimates and combined them by random-effects meta-analysis. </w:t>
            </w:r>
          </w:p>
        </w:tc>
        <w:tc>
          <w:tcPr>
            <w:tcW w:w="4536" w:type="dxa"/>
            <w:tcBorders>
              <w:top w:val="single" w:sz="4" w:space="0" w:color="auto"/>
              <w:left w:val="single" w:sz="4" w:space="0" w:color="auto"/>
              <w:bottom w:val="single" w:sz="4" w:space="0" w:color="auto"/>
              <w:right w:val="single" w:sz="4" w:space="0" w:color="auto"/>
            </w:tcBorders>
          </w:tcPr>
          <w:p w14:paraId="7E0688E5" w14:textId="77777777" w:rsidR="00661A0E" w:rsidRDefault="00661A0E" w:rsidP="00F265E7">
            <w:r w:rsidRPr="00AB0E44">
              <w:t xml:space="preserve">Women who ate fish </w:t>
            </w:r>
            <w:r>
              <w:t>&gt;</w:t>
            </w:r>
            <w:r w:rsidRPr="00AB0E44">
              <w:t xml:space="preserve">3 times/week during pregnancy gave birth to </w:t>
            </w:r>
            <w:r>
              <w:t>infants</w:t>
            </w:r>
            <w:r w:rsidRPr="00AB0E44">
              <w:t xml:space="preserve"> with higher </w:t>
            </w:r>
            <w:r>
              <w:t xml:space="preserve">BMI </w:t>
            </w:r>
            <w:r w:rsidRPr="00AB0E44">
              <w:t>values from infancy through middle childhood compared with women with lower fish intake (</w:t>
            </w:r>
            <w:r>
              <w:t>≤</w:t>
            </w:r>
            <w:r w:rsidRPr="00AB0E44">
              <w:t xml:space="preserve">3 times/week). </w:t>
            </w:r>
          </w:p>
          <w:p w14:paraId="5BBEA802" w14:textId="77777777" w:rsidR="00661A0E" w:rsidRDefault="00661A0E" w:rsidP="00F265E7">
            <w:r w:rsidRPr="00AB0E44">
              <w:t>High fish intake during pregnancy (&gt;3 times/week) was associated with increased risk of rapid infant growth (aOR</w:t>
            </w:r>
            <w:r>
              <w:t xml:space="preserve"> 1.22; 95%CI</w:t>
            </w:r>
            <w:r w:rsidRPr="00AB0E44">
              <w:t xml:space="preserve"> 1.05</w:t>
            </w:r>
            <w:r>
              <w:t xml:space="preserve"> to </w:t>
            </w:r>
            <w:r w:rsidRPr="00AB0E44">
              <w:t>1.42) and increased risk of offspring overweight</w:t>
            </w:r>
            <w:r>
              <w:t>/obesity at 4 years (aOR 1.14; 95%CI</w:t>
            </w:r>
            <w:r w:rsidRPr="00AB0E44">
              <w:t xml:space="preserve"> 0.99</w:t>
            </w:r>
            <w:r>
              <w:t xml:space="preserve"> to 1.32) and 6 years (aOR 1.22; 95%CI</w:t>
            </w:r>
            <w:r w:rsidRPr="00AB0E44">
              <w:t xml:space="preserve"> 1.01</w:t>
            </w:r>
            <w:r>
              <w:t xml:space="preserve"> to </w:t>
            </w:r>
            <w:r w:rsidRPr="00AB0E44">
              <w:t xml:space="preserve">1.47]) compared with an intake of once per week or less. </w:t>
            </w:r>
          </w:p>
          <w:p w14:paraId="3C404771" w14:textId="77777777" w:rsidR="00661A0E" w:rsidRPr="00AB0E44" w:rsidRDefault="00661A0E" w:rsidP="00F265E7">
            <w:r w:rsidRPr="00AB0E44">
              <w:t>Interaction analysis showed that the effect of high fish intake during pregnancy on rapid infant grow</w:t>
            </w:r>
            <w:r>
              <w:t>th was greater among girls (aOR 1.31; 95%CI</w:t>
            </w:r>
            <w:r w:rsidRPr="00AB0E44">
              <w:t xml:space="preserve"> 1.08</w:t>
            </w:r>
            <w:r>
              <w:t xml:space="preserve"> to 1.59) than among boys (aOR 1.11; 95%CI</w:t>
            </w:r>
            <w:r w:rsidRPr="00AB0E44">
              <w:t xml:space="preserve"> 0.92</w:t>
            </w:r>
            <w:r>
              <w:t xml:space="preserve"> to 1.34; P=0</w:t>
            </w:r>
            <w:r w:rsidRPr="00AB0E44">
              <w:t xml:space="preserve">.02 for interaction). </w:t>
            </w:r>
          </w:p>
        </w:tc>
        <w:tc>
          <w:tcPr>
            <w:tcW w:w="1843" w:type="dxa"/>
            <w:tcBorders>
              <w:top w:val="single" w:sz="4" w:space="0" w:color="auto"/>
              <w:left w:val="single" w:sz="4" w:space="0" w:color="auto"/>
              <w:bottom w:val="single" w:sz="4" w:space="0" w:color="auto"/>
              <w:right w:val="single" w:sz="4" w:space="0" w:color="auto"/>
            </w:tcBorders>
          </w:tcPr>
          <w:p w14:paraId="1D1A7D6D" w14:textId="77777777" w:rsidR="00661A0E" w:rsidRDefault="00661A0E" w:rsidP="00AB0E44">
            <w:r>
              <w:t>F</w:t>
            </w:r>
            <w:r w:rsidRPr="00AB0E44">
              <w:t>indings are in line with the fish intake limit proposed by the US Food and Drug Administration and Environmental Protection Agency</w:t>
            </w:r>
          </w:p>
        </w:tc>
      </w:tr>
      <w:tr w:rsidR="00661A0E" w:rsidRPr="00343DBA" w14:paraId="041C5DBB"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6EADF895" w14:textId="3A935459" w:rsidR="00661A0E" w:rsidRDefault="00661A0E" w:rsidP="00AB0E44">
            <w:r>
              <w:t>Emmett et al 2015</w:t>
            </w:r>
            <w:r>
              <w:fldChar w:fldCharType="begin">
                <w:fldData xml:space="preserve">PEVuZE5vdGU+PENpdGU+PEF1dGhvcj5FbW1ldHQ8L0F1dGhvcj48WWVhcj4yMDE1PC9ZZWFyPjxS
ZWNOdW0+MTM1OTwvUmVjTnVtPjxEaXNwbGF5VGV4dD48c3R5bGUgZmFjZT0ic3VwZXJzY3JpcHQi
IGZvbnQ9IlRyZWJ1Y2hldCBNUyIgc2l6ZT0iOSI+Nzc8L3N0eWxlPjwvRGlzcGxheVRleHQ+PHJl
Y29yZD48cmVjLW51bWJlcj4xMzU5PC9yZWMtbnVtYmVyPjxmb3JlaWduLWtleXM+PGtleSBhcHA9
IkVOIiBkYi1pZD0iZXh2YXNyZngyZHRyYW9lc2FzeHAyc3pzeGEyZGY1MDI1OTJ4IiB0aW1lc3Rh
bXA9IjE1NjcwMzEwNDUiPjEzNTk8L2tleT48a2V5IGFwcD0iRU5XZWIiIGRiLWlkPSIiPjA8L2tl
eT48L2ZvcmVpZ24ta2V5cz48cmVmLXR5cGUgbmFtZT0iSm91cm5hbCBBcnRpY2xlIj4xNzwvcmVm
LXR5cGU+PGNvbnRyaWJ1dG9ycz48YXV0aG9ycz48YXV0aG9yPkVtbWV0dCwgUC4gTS48L2F1dGhv
cj48YXV0aG9yPkpvbmVzLCBMLiBSLjwvYXV0aG9yPjxhdXRob3I+R29sZGluZywgSi48L2F1dGhv
cj48L2F1dGhvcnM+PC9jb250cmlidXRvcnM+PGF1dGgtYWRkcmVzcz5QLk0uIEVtbWV0dCBhbmQg
Si4gR29sZGluZyBhcmUgd2l0aCB0aGUgQ2VudHJlIGZvciBDaGlsZCBhbmQgQWRvbGVzY2VudCBI
ZWFsdGgsIFNjaG9vbCBvZiBTb2NpYWwgYW5kIENvbW11bml0eSBNZWRpY2luZSwgVW5pdmVyc2l0
eSBvZiBCcmlzdG9sLCBCcmlzdG9sLCBVSy4gTC5SLiBKb25lcyBpcyB3aXRoIHRoZSBTY2hvb2wg
b2YgU29jaWFsIGFuZCBDb21tdW5pdHkgTWVkaWNpbmUsIFVuaXZlcnNpdHkgb2YgQnJpc3RvbCwg
QnJpc3RvbCwgVUsuIHAubS5lbW1ldHRAYnJpc3RvbC5hYy51ay4mI3hEO1AuTS4gRW1tZXR0IGFu
ZCBKLiBHb2xkaW5nIGFyZSB3aXRoIHRoZSBDZW50cmUgZm9yIENoaWxkIGFuZCBBZG9sZXNjZW50
IEhlYWx0aCwgU2Nob29sIG9mIFNvY2lhbCBhbmQgQ29tbXVuaXR5IE1lZGljaW5lLCBVbml2ZXJz
aXR5IG9mIEJyaXN0b2wsIEJyaXN0b2wsIFVLLiBMLlIuIEpvbmVzIGlzIHdpdGggdGhlIFNjaG9v
bCBvZiBTb2NpYWwgYW5kIENvbW11bml0eSBNZWRpY2luZSwgVW5pdmVyc2l0eSBvZiBCcmlzdG9s
LCBCcmlzdG9sLCBVSy48L2F1dGgtYWRkcmVzcz48dGl0bGVzPjx0aXRsZT5QcmVnbmFuY3kgZGll
dCBhbmQgYXNzb2NpYXRlZCBvdXRjb21lcyBpbiB0aGUgQXZvbiBMb25naXR1ZGluYWwgU3R1ZHkg
b2YgUGFyZW50cyBhbmQgQ2hpbGRyZW48L3RpdGxlPjxzZWNvbmRhcnktdGl0bGU+TnV0ciBSZXY8
L3NlY29uZGFyeS10aXRsZT48L3RpdGxlcz48cGVyaW9kaWNhbD48ZnVsbC10aXRsZT5OdXRyIFJl
djwvZnVsbC10aXRsZT48L3BlcmlvZGljYWw+PHBhZ2VzPjE1NC03NDwvcGFnZXM+PHZvbHVtZT43
MyBTdXBwbCAzPC92b2x1bWU+PGVkaXRpb24+MjAxNS8wOS8yNDwvZWRpdGlvbj48a2V5d29yZHM+
PGtleXdvcmQ+QWR1bHQ8L2tleXdvcmQ+PGtleXdvcmQ+QW5pbWFsczwva2V5d29yZD48a2V5d29y
ZD5DaGlsZDwva2V5d29yZD48a2V5d29yZD5DaGlsZCBEZXZlbG9wbWVudDwva2V5d29yZD48a2V5
d29yZD5DaGlsZCBOdXRyaXRpb25hbCBQaHlzaW9sb2dpY2FsIFBoZW5vbWVuYTwva2V5d29yZD48
a2V5d29yZD4qRGlldDwva2V5d29yZD48a2V5d29yZD5EaWV0IFJlY29yZHM8L2tleXdvcmQ+PGtl
eXdvcmQ+RGlldCBTdXJ2ZXlzPC9rZXl3b3JkPjxrZXl3b3JkPkVuZ2xhbmQ8L2tleXdvcmQ+PGtl
eXdvcmQ+RmF0dHkgQWNpZHMsIE9tZWdhLTMvYWRtaW5pc3RyYXRpb24gJmFtcDsgZG9zYWdlPC9r
ZXl3b3JkPjxrZXl3b3JkPkZlbWFsZTwva2V5d29yZD48a2V5d29yZD5GZXRhbCBHcm93dGggUmV0
YXJkYXRpb24vZXBpZGVtaW9sb2d5PC9rZXl3b3JkPjxrZXl3b3JkPkZpc2hlczwva2V5d29yZD48
a2V5d29yZD5IdW1hbnM8L2tleXdvcmQ+PGtleXdvcmQ+TG9uZ2l0dWRpbmFsIFN0dWRpZXM8L2tl
eXdvcmQ+PGtleXdvcmQ+TWF0ZXJuYWwgSGVhbHRoPC9rZXl3b3JkPjxrZXl3b3JkPipNYXRlcm5h
bCBOdXRyaXRpb25hbCBQaHlzaW9sb2dpY2FsIFBoZW5vbWVuYTwva2V5d29yZD48a2V5d29yZD5N
ZW50YWwgRGlzb3JkZXJzL2NvbXBsaWNhdGlvbnM8L2tleXdvcmQ+PGtleXdvcmQ+TWljcm9udXRy
aWVudHMvYWRtaW5pc3RyYXRpb24gJmFtcDsgZG9zYWdlPC9rZXl3b3JkPjxrZXl3b3JkPlBhcmVu
dHM8L2tleXdvcmQ+PGtleXdvcmQ+UHJlZ25hbmN5PC9rZXl3b3JkPjxrZXl3b3JkPlByZWduYW5j
eSBDb21wbGljYXRpb25zPC9rZXl3b3JkPjxrZXl3b3JkPlByZWduYW5jeSBPdXRjb21lPC9rZXl3
b3JkPjxrZXl3b3JkPlByZW5hdGFsIEV4cG9zdXJlIERlbGF5ZWQgRWZmZWN0czwva2V5d29yZD48
a2V5d29yZD5TZWFmb29kPC9rZXl3b3JkPjxrZXl3b3JkPlN1cnZleXMgYW5kIFF1ZXN0aW9ubmFp
cmVzPC9rZXl3b3JkPjxrZXl3b3JkPkFsc3BhYzwva2V5d29yZD48a2V5d29yZD5GZnE8L2tleXdv
cmQ+PGtleXdvcmQ+Y2hpbGRob29kIGRpZXQ8L2tleXdvcmQ+PGtleXdvcmQ+ZGlldCBkdXJpbmcg
cHJlZ25hbmN5PC9rZXl3b3JkPjxrZXl3b3JkPmZpc2g8L2tleXdvcmQ+PGtleXdvcmQ+Zm9sYXRl
PC9rZXl3b3JkPjxrZXl3b3JkPmlvZGluZTwva2V5d29yZD48a2V5d29yZD5pcm9uPC9rZXl3b3Jk
PjxrZXl3b3JkPm1hZ25lc2l1bTwva2V5d29yZD48a2V5d29yZD5tZXJjdXJ5PC9rZXl3b3JkPjxr
ZXl3b3JkPm4tMyBwb2x5dW5zYXR1cmF0ZWQgZmF0dHkgYWNpZHM8L2tleXdvcmQ+PGtleXdvcmQ+
bmV1cm9jb2duaXRpdmUgZGV2ZWxvcG1lbnQ8L2tleXdvcmQ+PGtleXdvcmQ+cG90YXNzaXVtPC9r
ZXl3b3JkPjwva2V5d29yZHM+PGRhdGVzPjx5ZWFyPjIwMTU8L3llYXI+PHB1Yi1kYXRlcz48ZGF0
ZT5PY3Q8L2RhdGU+PC9wdWItZGF0ZXM+PC9kYXRlcz48aXNibj4xNzUzLTQ4ODcgKEVsZWN0cm9u
aWMpJiN4RDswMDI5LTY2NDMgKExpbmtpbmcpPC9pc2JuPjxhY2Nlc3Npb24tbnVtPjI2Mzk1MzQx
PC9hY2Nlc3Npb24tbnVtPjx1cmxzPjxyZWxhdGVkLXVybHM+PHVybD5odHRwczovL3d3dy5uY2Jp
Lm5sbS5uaWguZ292L3B1Ym1lZC8yNjM5NTM0MTwvdXJsPjwvcmVsYXRlZC11cmxzPjwvdXJscz48
Y3VzdG9tMj5QTUM0NTg2NDUxPC9jdXN0b20yPjxlbGVjdHJvbmljLXJlc291cmNlLW51bT4xMC4x
MDkzL251dHJpdC9udXYwNTM8L2VsZWN0cm9uaWMtcmVzb3VyY2UtbnVtPjwvcmVjb3JkPjwvQ2l0
ZT48L0VuZE5vdGU+
</w:fldData>
              </w:fldChar>
            </w:r>
            <w:r w:rsidR="002747EA">
              <w:instrText xml:space="preserve"> ADDIN EN.CITE </w:instrText>
            </w:r>
            <w:r w:rsidR="002747EA">
              <w:fldChar w:fldCharType="begin">
                <w:fldData xml:space="preserve">PEVuZE5vdGU+PENpdGU+PEF1dGhvcj5FbW1ldHQ8L0F1dGhvcj48WWVhcj4yMDE1PC9ZZWFyPjxS
ZWNOdW0+MTM1OTwvUmVjTnVtPjxEaXNwbGF5VGV4dD48c3R5bGUgZmFjZT0ic3VwZXJzY3JpcHQi
IGZvbnQ9IlRyZWJ1Y2hldCBNUyIgc2l6ZT0iOSI+Nzc8L3N0eWxlPjwvRGlzcGxheVRleHQ+PHJl
Y29yZD48cmVjLW51bWJlcj4xMzU5PC9yZWMtbnVtYmVyPjxmb3JlaWduLWtleXM+PGtleSBhcHA9
IkVOIiBkYi1pZD0iZXh2YXNyZngyZHRyYW9lc2FzeHAyc3pzeGEyZGY1MDI1OTJ4IiB0aW1lc3Rh
bXA9IjE1NjcwMzEwNDUiPjEzNTk8L2tleT48a2V5IGFwcD0iRU5XZWIiIGRiLWlkPSIiPjA8L2tl
eT48L2ZvcmVpZ24ta2V5cz48cmVmLXR5cGUgbmFtZT0iSm91cm5hbCBBcnRpY2xlIj4xNzwvcmVm
LXR5cGU+PGNvbnRyaWJ1dG9ycz48YXV0aG9ycz48YXV0aG9yPkVtbWV0dCwgUC4gTS48L2F1dGhv
cj48YXV0aG9yPkpvbmVzLCBMLiBSLjwvYXV0aG9yPjxhdXRob3I+R29sZGluZywgSi48L2F1dGhv
cj48L2F1dGhvcnM+PC9jb250cmlidXRvcnM+PGF1dGgtYWRkcmVzcz5QLk0uIEVtbWV0dCBhbmQg
Si4gR29sZGluZyBhcmUgd2l0aCB0aGUgQ2VudHJlIGZvciBDaGlsZCBhbmQgQWRvbGVzY2VudCBI
ZWFsdGgsIFNjaG9vbCBvZiBTb2NpYWwgYW5kIENvbW11bml0eSBNZWRpY2luZSwgVW5pdmVyc2l0
eSBvZiBCcmlzdG9sLCBCcmlzdG9sLCBVSy4gTC5SLiBKb25lcyBpcyB3aXRoIHRoZSBTY2hvb2wg
b2YgU29jaWFsIGFuZCBDb21tdW5pdHkgTWVkaWNpbmUsIFVuaXZlcnNpdHkgb2YgQnJpc3RvbCwg
QnJpc3RvbCwgVUsuIHAubS5lbW1ldHRAYnJpc3RvbC5hYy51ay4mI3hEO1AuTS4gRW1tZXR0IGFu
ZCBKLiBHb2xkaW5nIGFyZSB3aXRoIHRoZSBDZW50cmUgZm9yIENoaWxkIGFuZCBBZG9sZXNjZW50
IEhlYWx0aCwgU2Nob29sIG9mIFNvY2lhbCBhbmQgQ29tbXVuaXR5IE1lZGljaW5lLCBVbml2ZXJz
aXR5IG9mIEJyaXN0b2wsIEJyaXN0b2wsIFVLLiBMLlIuIEpvbmVzIGlzIHdpdGggdGhlIFNjaG9v
bCBvZiBTb2NpYWwgYW5kIENvbW11bml0eSBNZWRpY2luZSwgVW5pdmVyc2l0eSBvZiBCcmlzdG9s
LCBCcmlzdG9sLCBVSy48L2F1dGgtYWRkcmVzcz48dGl0bGVzPjx0aXRsZT5QcmVnbmFuY3kgZGll
dCBhbmQgYXNzb2NpYXRlZCBvdXRjb21lcyBpbiB0aGUgQXZvbiBMb25naXR1ZGluYWwgU3R1ZHkg
b2YgUGFyZW50cyBhbmQgQ2hpbGRyZW48L3RpdGxlPjxzZWNvbmRhcnktdGl0bGU+TnV0ciBSZXY8
L3NlY29uZGFyeS10aXRsZT48L3RpdGxlcz48cGVyaW9kaWNhbD48ZnVsbC10aXRsZT5OdXRyIFJl
djwvZnVsbC10aXRsZT48L3BlcmlvZGljYWw+PHBhZ2VzPjE1NC03NDwvcGFnZXM+PHZvbHVtZT43
MyBTdXBwbCAzPC92b2x1bWU+PGVkaXRpb24+MjAxNS8wOS8yNDwvZWRpdGlvbj48a2V5d29yZHM+
PGtleXdvcmQ+QWR1bHQ8L2tleXdvcmQ+PGtleXdvcmQ+QW5pbWFsczwva2V5d29yZD48a2V5d29y
ZD5DaGlsZDwva2V5d29yZD48a2V5d29yZD5DaGlsZCBEZXZlbG9wbWVudDwva2V5d29yZD48a2V5
d29yZD5DaGlsZCBOdXRyaXRpb25hbCBQaHlzaW9sb2dpY2FsIFBoZW5vbWVuYTwva2V5d29yZD48
a2V5d29yZD4qRGlldDwva2V5d29yZD48a2V5d29yZD5EaWV0IFJlY29yZHM8L2tleXdvcmQ+PGtl
eXdvcmQ+RGlldCBTdXJ2ZXlzPC9rZXl3b3JkPjxrZXl3b3JkPkVuZ2xhbmQ8L2tleXdvcmQ+PGtl
eXdvcmQ+RmF0dHkgQWNpZHMsIE9tZWdhLTMvYWRtaW5pc3RyYXRpb24gJmFtcDsgZG9zYWdlPC9r
ZXl3b3JkPjxrZXl3b3JkPkZlbWFsZTwva2V5d29yZD48a2V5d29yZD5GZXRhbCBHcm93dGggUmV0
YXJkYXRpb24vZXBpZGVtaW9sb2d5PC9rZXl3b3JkPjxrZXl3b3JkPkZpc2hlczwva2V5d29yZD48
a2V5d29yZD5IdW1hbnM8L2tleXdvcmQ+PGtleXdvcmQ+TG9uZ2l0dWRpbmFsIFN0dWRpZXM8L2tl
eXdvcmQ+PGtleXdvcmQ+TWF0ZXJuYWwgSGVhbHRoPC9rZXl3b3JkPjxrZXl3b3JkPipNYXRlcm5h
bCBOdXRyaXRpb25hbCBQaHlzaW9sb2dpY2FsIFBoZW5vbWVuYTwva2V5d29yZD48a2V5d29yZD5N
ZW50YWwgRGlzb3JkZXJzL2NvbXBsaWNhdGlvbnM8L2tleXdvcmQ+PGtleXdvcmQ+TWljcm9udXRy
aWVudHMvYWRtaW5pc3RyYXRpb24gJmFtcDsgZG9zYWdlPC9rZXl3b3JkPjxrZXl3b3JkPlBhcmVu
dHM8L2tleXdvcmQ+PGtleXdvcmQ+UHJlZ25hbmN5PC9rZXl3b3JkPjxrZXl3b3JkPlByZWduYW5j
eSBDb21wbGljYXRpb25zPC9rZXl3b3JkPjxrZXl3b3JkPlByZWduYW5jeSBPdXRjb21lPC9rZXl3
b3JkPjxrZXl3b3JkPlByZW5hdGFsIEV4cG9zdXJlIERlbGF5ZWQgRWZmZWN0czwva2V5d29yZD48
a2V5d29yZD5TZWFmb29kPC9rZXl3b3JkPjxrZXl3b3JkPlN1cnZleXMgYW5kIFF1ZXN0aW9ubmFp
cmVzPC9rZXl3b3JkPjxrZXl3b3JkPkFsc3BhYzwva2V5d29yZD48a2V5d29yZD5GZnE8L2tleXdv
cmQ+PGtleXdvcmQ+Y2hpbGRob29kIGRpZXQ8L2tleXdvcmQ+PGtleXdvcmQ+ZGlldCBkdXJpbmcg
cHJlZ25hbmN5PC9rZXl3b3JkPjxrZXl3b3JkPmZpc2g8L2tleXdvcmQ+PGtleXdvcmQ+Zm9sYXRl
PC9rZXl3b3JkPjxrZXl3b3JkPmlvZGluZTwva2V5d29yZD48a2V5d29yZD5pcm9uPC9rZXl3b3Jk
PjxrZXl3b3JkPm1hZ25lc2l1bTwva2V5d29yZD48a2V5d29yZD5tZXJjdXJ5PC9rZXl3b3JkPjxr
ZXl3b3JkPm4tMyBwb2x5dW5zYXR1cmF0ZWQgZmF0dHkgYWNpZHM8L2tleXdvcmQ+PGtleXdvcmQ+
bmV1cm9jb2duaXRpdmUgZGV2ZWxvcG1lbnQ8L2tleXdvcmQ+PGtleXdvcmQ+cG90YXNzaXVtPC9r
ZXl3b3JkPjwva2V5d29yZHM+PGRhdGVzPjx5ZWFyPjIwMTU8L3llYXI+PHB1Yi1kYXRlcz48ZGF0
ZT5PY3Q8L2RhdGU+PC9wdWItZGF0ZXM+PC9kYXRlcz48aXNibj4xNzUzLTQ4ODcgKEVsZWN0cm9u
aWMpJiN4RDswMDI5LTY2NDMgKExpbmtpbmcpPC9pc2JuPjxhY2Nlc3Npb24tbnVtPjI2Mzk1MzQx
PC9hY2Nlc3Npb24tbnVtPjx1cmxzPjxyZWxhdGVkLXVybHM+PHVybD5odHRwczovL3d3dy5uY2Jp
Lm5sbS5uaWguZ292L3B1Ym1lZC8yNjM5NTM0MTwvdXJsPjwvcmVsYXRlZC11cmxzPjwvdXJscz48
Y3VzdG9tMj5QTUM0NTg2NDUxPC9jdXN0b20yPjxlbGVjdHJvbmljLXJlc291cmNlLW51bT4xMC4x
MDkzL251dHJpdC9udXYwNTM8L2VsZWN0cm9uaWMtcmVzb3VyY2UtbnVtPjwvcmVjb3JkPjwvQ2l0
ZT48L0VuZE5vdGU+
</w:fldData>
              </w:fldChar>
            </w:r>
            <w:r w:rsidR="002747EA">
              <w:instrText xml:space="preserve"> ADDIN EN.CITE.DATA </w:instrText>
            </w:r>
            <w:r w:rsidR="002747EA">
              <w:fldChar w:fldCharType="end"/>
            </w:r>
            <w:r>
              <w:fldChar w:fldCharType="separate"/>
            </w:r>
            <w:r w:rsidR="002747EA" w:rsidRPr="002747EA">
              <w:rPr>
                <w:noProof/>
                <w:vertAlign w:val="superscript"/>
              </w:rPr>
              <w:t>77</w:t>
            </w:r>
            <w:r>
              <w:fldChar w:fldCharType="end"/>
            </w:r>
          </w:p>
          <w:p w14:paraId="2326522F" w14:textId="77777777" w:rsidR="00661A0E" w:rsidRDefault="00661A0E" w:rsidP="00AB0E44">
            <w:r>
              <w:t>United Kingdom</w:t>
            </w:r>
          </w:p>
          <w:p w14:paraId="102B97D7" w14:textId="77777777" w:rsidR="00661A0E" w:rsidRDefault="00661A0E" w:rsidP="00AB0E44">
            <w:r>
              <w:t>Cohort</w:t>
            </w:r>
          </w:p>
        </w:tc>
        <w:tc>
          <w:tcPr>
            <w:tcW w:w="1274" w:type="dxa"/>
            <w:tcBorders>
              <w:top w:val="single" w:sz="4" w:space="0" w:color="auto"/>
              <w:left w:val="single" w:sz="4" w:space="0" w:color="auto"/>
              <w:bottom w:val="single" w:sz="4" w:space="0" w:color="auto"/>
              <w:right w:val="single" w:sz="4" w:space="0" w:color="auto"/>
            </w:tcBorders>
          </w:tcPr>
          <w:p w14:paraId="736CC082" w14:textId="4BF28E9D" w:rsidR="00661A0E" w:rsidRDefault="000939A9" w:rsidP="00AB0E44">
            <w:r>
              <w:t>12,418</w:t>
            </w:r>
          </w:p>
        </w:tc>
        <w:tc>
          <w:tcPr>
            <w:tcW w:w="4822" w:type="dxa"/>
            <w:tcBorders>
              <w:top w:val="single" w:sz="4" w:space="0" w:color="auto"/>
              <w:left w:val="single" w:sz="4" w:space="0" w:color="auto"/>
              <w:bottom w:val="single" w:sz="4" w:space="0" w:color="auto"/>
              <w:right w:val="single" w:sz="4" w:space="0" w:color="auto"/>
            </w:tcBorders>
          </w:tcPr>
          <w:p w14:paraId="2E223E47" w14:textId="77777777" w:rsidR="00661A0E" w:rsidRPr="00BE7A73" w:rsidRDefault="00661A0E" w:rsidP="007B7656">
            <w:r>
              <w:rPr>
                <w:b/>
              </w:rPr>
              <w:t xml:space="preserve">Aim: </w:t>
            </w:r>
            <w:r w:rsidRPr="00BE7A73">
              <w:t>To determine the effect of seafood consumption on depressive symptoms in pregnancy.</w:t>
            </w:r>
          </w:p>
          <w:p w14:paraId="72BBF7CA" w14:textId="77777777" w:rsidR="00661A0E" w:rsidRPr="007B7656" w:rsidRDefault="00661A0E" w:rsidP="007B7656">
            <w:pPr>
              <w:rPr>
                <w:b/>
              </w:rPr>
            </w:pPr>
            <w:r>
              <w:rPr>
                <w:b/>
              </w:rPr>
              <w:t xml:space="preserve">Methods: </w:t>
            </w:r>
            <w:r w:rsidRPr="004406C2">
              <w:t>All publications covering diet during pregnancy that stemmed from the Avon Longitudinal Study of Parents and Children were reviewed. Diet was assessed using a food frequency questionnaire. Socioeconomic background, maternal mental health, and the health and development of the offspring were assessed using a variety of methods, such as direct measurement, self-completion questionnaires, and assays of biological samples.</w:t>
            </w:r>
          </w:p>
        </w:tc>
        <w:tc>
          <w:tcPr>
            <w:tcW w:w="4536" w:type="dxa"/>
            <w:tcBorders>
              <w:top w:val="single" w:sz="4" w:space="0" w:color="auto"/>
              <w:left w:val="single" w:sz="4" w:space="0" w:color="auto"/>
              <w:bottom w:val="single" w:sz="4" w:space="0" w:color="auto"/>
              <w:right w:val="single" w:sz="4" w:space="0" w:color="auto"/>
            </w:tcBorders>
          </w:tcPr>
          <w:p w14:paraId="301E03F5" w14:textId="2BA9E59D" w:rsidR="00661A0E" w:rsidRPr="004406C2" w:rsidRDefault="00661A0E" w:rsidP="00970923">
            <w:r w:rsidRPr="005B3A40">
              <w:t>Compared with women consuming seafood frequently</w:t>
            </w:r>
            <w:r>
              <w:t xml:space="preserve"> </w:t>
            </w:r>
            <w:r w:rsidRPr="005B3A40">
              <w:t>(</w:t>
            </w:r>
            <w:r w:rsidRPr="005B3A40">
              <w:rPr>
                <w:rFonts w:ascii="Helvetica" w:hAnsi="Helvetica"/>
              </w:rPr>
              <w:t>&gt;</w:t>
            </w:r>
            <w:r w:rsidRPr="005B3A40">
              <w:t xml:space="preserve"> 3 portions per week providing </w:t>
            </w:r>
            <w:r w:rsidRPr="005B3A40">
              <w:rPr>
                <w:rFonts w:ascii="Helvetica" w:hAnsi="Helvetica"/>
              </w:rPr>
              <w:t>&gt;</w:t>
            </w:r>
            <w:r w:rsidRPr="005B3A40">
              <w:t xml:space="preserve"> 1.5 g/week n-3</w:t>
            </w:r>
            <w:r>
              <w:t xml:space="preserve"> </w:t>
            </w:r>
            <w:r w:rsidRPr="005B3A40">
              <w:t>LC-PUFA), those consuming none were more likely to</w:t>
            </w:r>
            <w:r>
              <w:t xml:space="preserve"> </w:t>
            </w:r>
            <w:r w:rsidRPr="005B3A40">
              <w:t>have frequent depressive symptoms at 32 weeks of pregnancy</w:t>
            </w:r>
            <w:r>
              <w:t xml:space="preserve"> </w:t>
            </w:r>
            <w:r w:rsidRPr="005B3A40">
              <w:t>(a</w:t>
            </w:r>
            <w:r>
              <w:t>OR</w:t>
            </w:r>
            <w:r w:rsidRPr="005B3A40">
              <w:t xml:space="preserve"> 1.54; 95%</w:t>
            </w:r>
            <w:r>
              <w:t>CI</w:t>
            </w:r>
            <w:r w:rsidRPr="005B3A40">
              <w:t xml:space="preserve"> 1.25</w:t>
            </w:r>
            <w:r>
              <w:t xml:space="preserve"> to </w:t>
            </w:r>
            <w:r w:rsidRPr="005B3A40">
              <w:t xml:space="preserve">1.89). </w:t>
            </w:r>
          </w:p>
        </w:tc>
        <w:tc>
          <w:tcPr>
            <w:tcW w:w="1843" w:type="dxa"/>
            <w:tcBorders>
              <w:top w:val="single" w:sz="4" w:space="0" w:color="auto"/>
              <w:left w:val="single" w:sz="4" w:space="0" w:color="auto"/>
              <w:bottom w:val="single" w:sz="4" w:space="0" w:color="auto"/>
              <w:right w:val="single" w:sz="4" w:space="0" w:color="auto"/>
            </w:tcBorders>
          </w:tcPr>
          <w:p w14:paraId="0A8AA659" w14:textId="0EA79AFD" w:rsidR="00661A0E" w:rsidRPr="007B7656" w:rsidRDefault="00661A0E" w:rsidP="00AB0E44"/>
        </w:tc>
      </w:tr>
      <w:tr w:rsidR="00661A0E" w:rsidRPr="00343DBA" w14:paraId="27B29F50"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3552B4D0" w14:textId="465C0096" w:rsidR="00661A0E" w:rsidRDefault="00661A0E" w:rsidP="004B2F20">
            <w:r>
              <w:t>Ozawa et al 2014</w:t>
            </w:r>
            <w:r>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 </w:instrText>
            </w:r>
            <w:r w:rsidR="002747EA">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83</w:t>
            </w:r>
            <w:r>
              <w:fldChar w:fldCharType="end"/>
            </w:r>
          </w:p>
          <w:p w14:paraId="1C74885D" w14:textId="77777777" w:rsidR="000939A9" w:rsidRDefault="000939A9" w:rsidP="004B2F20">
            <w:r>
              <w:t>Cohort</w:t>
            </w:r>
          </w:p>
          <w:p w14:paraId="4F4487A7" w14:textId="3FA63D78" w:rsidR="000939A9" w:rsidRDefault="000939A9" w:rsidP="004B2F20">
            <w:r>
              <w:t>Japan</w:t>
            </w:r>
          </w:p>
        </w:tc>
        <w:tc>
          <w:tcPr>
            <w:tcW w:w="1274" w:type="dxa"/>
            <w:tcBorders>
              <w:top w:val="single" w:sz="4" w:space="0" w:color="auto"/>
              <w:left w:val="single" w:sz="4" w:space="0" w:color="auto"/>
              <w:bottom w:val="single" w:sz="4" w:space="0" w:color="auto"/>
              <w:right w:val="single" w:sz="4" w:space="0" w:color="auto"/>
            </w:tcBorders>
          </w:tcPr>
          <w:p w14:paraId="1314FEC4" w14:textId="77777777" w:rsidR="00661A0E" w:rsidRDefault="00661A0E" w:rsidP="00AB0E44">
            <w:r w:rsidRPr="004C463B">
              <w:t>650 mother-baby pairs</w:t>
            </w:r>
          </w:p>
        </w:tc>
        <w:tc>
          <w:tcPr>
            <w:tcW w:w="4822" w:type="dxa"/>
            <w:tcBorders>
              <w:top w:val="single" w:sz="4" w:space="0" w:color="auto"/>
              <w:left w:val="single" w:sz="4" w:space="0" w:color="auto"/>
              <w:bottom w:val="single" w:sz="4" w:space="0" w:color="auto"/>
              <w:right w:val="single" w:sz="4" w:space="0" w:color="auto"/>
            </w:tcBorders>
          </w:tcPr>
          <w:p w14:paraId="277E6AAA" w14:textId="77777777" w:rsidR="00661A0E" w:rsidRDefault="00661A0E" w:rsidP="00AB0E44">
            <w:r w:rsidRPr="004C463B">
              <w:rPr>
                <w:b/>
              </w:rPr>
              <w:t>Aim</w:t>
            </w:r>
            <w:r>
              <w:t>: T</w:t>
            </w:r>
            <w:r w:rsidRPr="004C463B">
              <w:t xml:space="preserve">o investigate the association between the maternal diet during pregnancy and the risk of eczema in infancy in Japan. </w:t>
            </w:r>
          </w:p>
          <w:p w14:paraId="37CEBDD8" w14:textId="40A8D80E" w:rsidR="00661A0E" w:rsidRPr="005C39B9" w:rsidRDefault="00661A0E" w:rsidP="000939A9">
            <w:pPr>
              <w:rPr>
                <w:b/>
              </w:rPr>
            </w:pPr>
            <w:r w:rsidRPr="004C463B">
              <w:rPr>
                <w:b/>
              </w:rPr>
              <w:t>Methods</w:t>
            </w:r>
            <w:r w:rsidRPr="004C463B">
              <w:t xml:space="preserve">: A birth cohort was set up at 2 hospitals in Chiba city. Dietary habits concerning fish, butter, margarine, yogurt and natto during pregnancy was obtained from mothers just after </w:t>
            </w:r>
            <w:r w:rsidR="000939A9">
              <w:t>birth</w:t>
            </w:r>
            <w:r w:rsidRPr="004C463B">
              <w:t xml:space="preserve">. The intake frequencies of these foods were classified into four groups: 1) daily, 2) 2-3 times a week, 3) once a week and 4) once a month or less. Diagnosis of eczema at 6 months of age was made by the presence of an itchy rash that persisted more than two months. </w:t>
            </w:r>
          </w:p>
        </w:tc>
        <w:tc>
          <w:tcPr>
            <w:tcW w:w="4536" w:type="dxa"/>
            <w:tcBorders>
              <w:top w:val="single" w:sz="4" w:space="0" w:color="auto"/>
              <w:left w:val="single" w:sz="4" w:space="0" w:color="auto"/>
              <w:bottom w:val="single" w:sz="4" w:space="0" w:color="auto"/>
              <w:right w:val="single" w:sz="4" w:space="0" w:color="auto"/>
            </w:tcBorders>
          </w:tcPr>
          <w:p w14:paraId="1155E941" w14:textId="77777777" w:rsidR="00661A0E" w:rsidRPr="004C463B" w:rsidRDefault="00661A0E" w:rsidP="004355ED">
            <w:r w:rsidRPr="004C463B">
              <w:t xml:space="preserve">No relationship between frequencies of the maternal intake of fish and the onset rate of the babies' eczema </w:t>
            </w:r>
            <w:r>
              <w:t>was</w:t>
            </w:r>
            <w:r w:rsidRPr="004C463B">
              <w:t xml:space="preserve"> observed</w:t>
            </w:r>
            <w:r>
              <w:t xml:space="preserve"> (p=0.132).</w:t>
            </w:r>
          </w:p>
        </w:tc>
        <w:tc>
          <w:tcPr>
            <w:tcW w:w="1843" w:type="dxa"/>
            <w:tcBorders>
              <w:top w:val="single" w:sz="4" w:space="0" w:color="auto"/>
              <w:left w:val="single" w:sz="4" w:space="0" w:color="auto"/>
              <w:bottom w:val="single" w:sz="4" w:space="0" w:color="auto"/>
              <w:right w:val="single" w:sz="4" w:space="0" w:color="auto"/>
            </w:tcBorders>
          </w:tcPr>
          <w:p w14:paraId="27E217AA" w14:textId="2BA02D46" w:rsidR="00661A0E" w:rsidRDefault="00661A0E" w:rsidP="00AB0E44"/>
        </w:tc>
      </w:tr>
      <w:tr w:rsidR="00661A0E" w:rsidRPr="00C8357D" w14:paraId="78E58BE3"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0A968FA4" w14:textId="33BDC368" w:rsidR="00661A0E" w:rsidRDefault="00661A0E" w:rsidP="00AB0E44">
            <w:r>
              <w:t>Dessypris et al 2017</w:t>
            </w:r>
            <w:r>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 </w:instrText>
            </w:r>
            <w:r w:rsidR="002747EA">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75</w:t>
            </w:r>
            <w:r>
              <w:fldChar w:fldCharType="end"/>
            </w:r>
          </w:p>
          <w:p w14:paraId="4D11364F" w14:textId="77777777" w:rsidR="00661A0E" w:rsidRDefault="00661A0E" w:rsidP="00AB0E44">
            <w:r>
              <w:t>SLR of case-control studies</w:t>
            </w:r>
          </w:p>
        </w:tc>
        <w:tc>
          <w:tcPr>
            <w:tcW w:w="1274" w:type="dxa"/>
            <w:tcBorders>
              <w:top w:val="single" w:sz="4" w:space="0" w:color="auto"/>
              <w:left w:val="single" w:sz="4" w:space="0" w:color="auto"/>
              <w:bottom w:val="single" w:sz="4" w:space="0" w:color="auto"/>
              <w:right w:val="single" w:sz="4" w:space="0" w:color="auto"/>
            </w:tcBorders>
          </w:tcPr>
          <w:p w14:paraId="285D433A" w14:textId="77777777" w:rsidR="00661A0E" w:rsidRDefault="00661A0E" w:rsidP="00AB0E44">
            <w:r>
              <w:t>9 studies</w:t>
            </w:r>
          </w:p>
        </w:tc>
        <w:tc>
          <w:tcPr>
            <w:tcW w:w="4822" w:type="dxa"/>
            <w:tcBorders>
              <w:top w:val="single" w:sz="4" w:space="0" w:color="auto"/>
              <w:left w:val="single" w:sz="4" w:space="0" w:color="auto"/>
              <w:bottom w:val="single" w:sz="4" w:space="0" w:color="auto"/>
              <w:right w:val="single" w:sz="4" w:space="0" w:color="auto"/>
            </w:tcBorders>
          </w:tcPr>
          <w:p w14:paraId="1CE8C956" w14:textId="77777777" w:rsidR="00661A0E" w:rsidRDefault="00661A0E" w:rsidP="00AB0E44">
            <w:r w:rsidRPr="001C127C">
              <w:rPr>
                <w:b/>
              </w:rPr>
              <w:t>Aim</w:t>
            </w:r>
            <w:r>
              <w:t>: To quantitatively synthesis</w:t>
            </w:r>
            <w:r w:rsidRPr="001C127C">
              <w:t>e published data on the association of maternal/child diet with leuk</w:t>
            </w:r>
            <w:r>
              <w:t>a</w:t>
            </w:r>
            <w:r w:rsidRPr="001C127C">
              <w:t xml:space="preserve">emia risk. </w:t>
            </w:r>
          </w:p>
          <w:p w14:paraId="2980A3BD" w14:textId="77777777" w:rsidR="00661A0E" w:rsidRPr="000505E7" w:rsidRDefault="00661A0E" w:rsidP="00AB0E44">
            <w:pPr>
              <w:rPr>
                <w:b/>
              </w:rPr>
            </w:pPr>
            <w:r w:rsidRPr="001C127C">
              <w:rPr>
                <w:b/>
              </w:rPr>
              <w:t>Methods</w:t>
            </w:r>
            <w:r w:rsidRPr="001C127C">
              <w:t>: Medline was searched until June 30th, 2016 for eligible articles on the association of childhood leuk</w:t>
            </w:r>
            <w:r>
              <w:t>a</w:t>
            </w:r>
            <w:r w:rsidRPr="001C127C">
              <w:t>emia with consumption of (i) food groups, excluding alcoholic and non-alcoholic beverages, and (ii) specific dietary supplements before/during index pregnancy and childhood.</w:t>
            </w:r>
          </w:p>
        </w:tc>
        <w:tc>
          <w:tcPr>
            <w:tcW w:w="4536" w:type="dxa"/>
            <w:tcBorders>
              <w:top w:val="single" w:sz="4" w:space="0" w:color="auto"/>
              <w:left w:val="single" w:sz="4" w:space="0" w:color="auto"/>
              <w:bottom w:val="single" w:sz="4" w:space="0" w:color="auto"/>
              <w:right w:val="single" w:sz="4" w:space="0" w:color="auto"/>
            </w:tcBorders>
          </w:tcPr>
          <w:p w14:paraId="471645AD" w14:textId="2BA05B6C" w:rsidR="00661A0E" w:rsidRPr="001C127C" w:rsidRDefault="00661A0E" w:rsidP="00961505">
            <w:r>
              <w:t>A s</w:t>
            </w:r>
            <w:r w:rsidRPr="001C127C">
              <w:t>tatistical</w:t>
            </w:r>
            <w:r>
              <w:t>ly significant inverse estimate</w:t>
            </w:r>
            <w:r w:rsidRPr="001C127C">
              <w:t xml:space="preserve"> for </w:t>
            </w:r>
            <w:r>
              <w:t>leukaemia</w:t>
            </w:r>
            <w:r w:rsidRPr="001C127C">
              <w:t xml:space="preserve"> </w:t>
            </w:r>
            <w:r>
              <w:t>was</w:t>
            </w:r>
            <w:r w:rsidRPr="001C127C">
              <w:t xml:space="preserve"> found </w:t>
            </w:r>
            <w:r>
              <w:t>for</w:t>
            </w:r>
            <w:r w:rsidRPr="001C127C">
              <w:t xml:space="preserve"> </w:t>
            </w:r>
            <w:r w:rsidR="00EF775D">
              <w:t xml:space="preserve">maternal </w:t>
            </w:r>
            <w:r w:rsidRPr="001C127C">
              <w:t xml:space="preserve">fish </w:t>
            </w:r>
            <w:r w:rsidR="00EF775D">
              <w:t>intake (OR</w:t>
            </w:r>
            <w:r w:rsidRPr="001C127C">
              <w:t xml:space="preserve"> 0.27, 9</w:t>
            </w:r>
            <w:r>
              <w:t>5% CI: 0.14 to</w:t>
            </w:r>
            <w:r w:rsidRPr="001C127C">
              <w:t xml:space="preserve"> 0.53, among the 0-4</w:t>
            </w:r>
            <w:r>
              <w:t xml:space="preserve"> </w:t>
            </w:r>
            <w:r w:rsidRPr="001C127C">
              <w:t>year old; 2 studies</w:t>
            </w:r>
            <w:r>
              <w:t>).</w:t>
            </w:r>
          </w:p>
        </w:tc>
        <w:tc>
          <w:tcPr>
            <w:tcW w:w="1843" w:type="dxa"/>
            <w:tcBorders>
              <w:top w:val="single" w:sz="4" w:space="0" w:color="auto"/>
              <w:left w:val="single" w:sz="4" w:space="0" w:color="auto"/>
              <w:bottom w:val="single" w:sz="4" w:space="0" w:color="auto"/>
              <w:right w:val="single" w:sz="4" w:space="0" w:color="auto"/>
            </w:tcBorders>
          </w:tcPr>
          <w:p w14:paraId="3C7BEAA5" w14:textId="3DA1C398" w:rsidR="00661A0E" w:rsidRPr="00C8357D" w:rsidRDefault="00661A0E" w:rsidP="00AB0E44"/>
        </w:tc>
      </w:tr>
      <w:tr w:rsidR="00661A0E" w:rsidRPr="00343DBA" w14:paraId="1BBE775F"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auto"/>
              <w:left w:val="single" w:sz="4" w:space="0" w:color="auto"/>
              <w:bottom w:val="single" w:sz="4" w:space="0" w:color="auto"/>
              <w:right w:val="single" w:sz="4" w:space="0" w:color="auto"/>
            </w:tcBorders>
          </w:tcPr>
          <w:p w14:paraId="19347C67" w14:textId="683D1E85" w:rsidR="00661A0E" w:rsidRDefault="00661A0E" w:rsidP="00AB0E44">
            <w:r>
              <w:t>Mohanty et al 2016</w:t>
            </w:r>
            <w:r>
              <w:fldChar w:fldCharType="begin">
                <w:fldData xml:space="preserve">PEVuZE5vdGU+PENpdGU+PEF1dGhvcj5Nb2hhbnR5PC9BdXRob3I+PFllYXI+MjAxNjwvWWVhcj48
UmVjTnVtPjEzNjg8L1JlY051bT48RGlzcGxheVRleHQ+PHN0eWxlIGZhY2U9InN1cGVyc2NyaXB0
IiBmb250PSJUcmVidWNoZXQgTVMiIHNpemU9IjkiPjc4PC9zdHlsZT48L0Rpc3BsYXlUZXh0Pjxy
ZWNvcmQ+PHJlYy1udW1iZXI+MTM2ODwvcmVjLW51bWJlcj48Zm9yZWlnbi1rZXlzPjxrZXkgYXBw
PSJFTiIgZGItaWQ9ImV4dmFzcmZ4MmR0cmFvZXNhc3hwMnN6c3hhMmRmNTAyNTkyeCIgdGltZXN0
YW1wPSIxNTY3MDMxMDc5Ij4xMzY4PC9rZXk+PGtleSBhcHA9IkVOV2ViIiBkYi1pZD0iIj4wPC9r
ZXk+PC9mb3JlaWduLWtleXM+PHJlZi10eXBlIG5hbWU9IkpvdXJuYWwgQXJ0aWNsZSI+MTc8L3Jl
Zi10eXBlPjxjb250cmlidXRvcnM+PGF1dGhvcnM+PGF1dGhvcj5Nb2hhbnR5LCBBLiBGLjwvYXV0
aG9yPjxhdXRob3I+U2lzY292aWNrLCBELiBTLjwvYXV0aG9yPjxhdXRob3I+V2lsbGlhbXMsIE0u
IEEuPC9hdXRob3I+PGF1dGhvcj5UaG9tcHNvbiwgTS4gTC48L2F1dGhvcj48YXV0aG9yPkJ1cmJh
Y2hlciwgVC4gTS48L2F1dGhvcj48YXV0aG9yPkVucXVvYmFocmllLCBELiBBLjwvYXV0aG9yPjwv
YXV0aG9ycz48L2NvbnRyaWJ1dG9ycz48YXV0aC1hZGRyZXNzPjFDYXJkaW92YXNjdWxhciBIZWFs
dGggUmVzZWFyY2ggVW5pdCxEZXBhcnRtZW50IG9mIE1lZGljaW5lIGFuZCBEZXBhcnRtZW50IG9m
IEVwaWRlbWlvbG9neSxVbml2ZXJzaXR5IG9mIFdhc2hpbmd0b24sU2VhdHRsZSxXQSxVU0EuJiN4
RDsyRGVwYXJ0bWVudCBvZiBFcGlkZW1pb2xvZ3ksSGFydmFyZCBTY2hvb2wgb2YgUHVibGljIEhl
YWx0aCxCb3N0b24sTUEsVVNBLiYjeEQ7M0RlcGFydG1lbnQgb2YgQmlvc3RhdGlzdGljcyxVbml2
ZXJzaXR5IG9mIFdhc2hpbmd0b24sU2VhdHRsZSxXQSxVU0EuJiN4RDs0RGVwYXJ0bWVudCBvZiBF
bnZpcm9ubWVudGFsIGFuZCBPY2N1cGF0aW9uYWwgSGVhbHRoIFNjaWVuY2VzLFVuaXZlcnNpdHkg
b2YgV2FzaGluZ3RvbixTZWF0dGxlLFdBLFVTQS48L2F1dGgtYWRkcmVzcz48dGl0bGVzPjx0aXRs
ZT5QZXJpY29uY2VwdGlvbmFsIHNlYWZvb2QgaW50YWtlIGFuZCBwcmVnbmFuY3kgY29tcGxpY2F0
aW9uczwvdGl0bGU+PHNlY29uZGFyeS10aXRsZT5QdWJsaWMgSGVhbHRoIE51dHI8L3NlY29uZGFy
eS10aXRsZT48L3RpdGxlcz48cGVyaW9kaWNhbD48ZnVsbC10aXRsZT5QdWJsaWMgSGVhbHRoIE51
dHI8L2Z1bGwtdGl0bGU+PC9wZXJpb2RpY2FsPjxwYWdlcz4xNzk1LTgwMzwvcGFnZXM+PHZvbHVt
ZT4xOTwvdm9sdW1lPjxudW1iZXI+MTA8L251bWJlcj48ZWRpdGlvbj4yMDE1LzEyLzAzPC9lZGl0
aW9uPjxrZXl3b3Jkcz48a2V5d29yZD5BZHVsdDwva2V5d29yZD48a2V5d29yZD5BbmltYWxzPC9r
ZXl3b3JkPjxrZXl3b3JkPkRpYWJldGVzLCBHZXN0YXRpb25hbC9lcGlkZW1pb2xvZ3k8L2tleXdv
cmQ+PGtleXdvcmQ+KkRpZXQ8L2tleXdvcmQ+PGtleXdvcmQ+RmF0dHkgQWNpZHMsIE9tZWdhLTM8
L2tleXdvcmQ+PGtleXdvcmQ+RmVtYWxlPC9rZXl3b3JkPjxrZXl3b3JkPkh1bWFuczwva2V5d29y
ZD48a2V5d29yZD5IeXBlcnRlbnNpb24sIFByZWduYW5jeS1JbmR1Y2VkL2VwaWRlbWlvbG9neTwv
a2V5d29yZD48a2V5d29yZD4qTWF0ZXJuYWwgTnV0cml0aW9uYWwgUGh5c2lvbG9naWNhbCBQaGVu
b21lbmE8L2tleXdvcmQ+PGtleXdvcmQ+UHJlLUVjbGFtcHNpYS9lcGlkZW1pb2xvZ3k8L2tleXdv
cmQ+PGtleXdvcmQ+UHJlZ25hbmN5PC9rZXl3b3JkPjxrZXl3b3JkPlByZWduYW5jeSBDb21wbGlj
YXRpb25zLyplcGlkZW1pb2xvZ3k8L2tleXdvcmQ+PGtleXdvcmQ+UHJlbWF0dXJlIEJpcnRoL2Vw
aWRlbWlvbG9neTwva2V5d29yZD48a2V5d29yZD5Qcm9zcGVjdGl2ZSBTdHVkaWVzPC9rZXl3b3Jk
PjxrZXl3b3JkPipTZWFmb29kPC9rZXl3b3JkPjxrZXl3b3JkPldhc2hpbmd0b248L2tleXdvcmQ+
PGtleXdvcmQ+KkxlYW4gZmlzaDwva2V5d29yZD48a2V5d29yZD4qUHJlZ25hbmN5PC9rZXl3b3Jk
PjxrZXl3b3JkPipQcmVnbmFuY3kgY29tcGxpY2F0aW9uPC9rZXl3b3JkPjxrZXl3b3JkPipQcmV0
ZXJtIGJpcnRoPC9rZXl3b3JkPjxrZXl3b3JkPipTZWFmb29kIGludGFrZTwva2V5d29yZD48L2tl
eXdvcmRzPjxkYXRlcz48eWVhcj4yMDE2PC95ZWFyPjxwdWItZGF0ZXM+PGRhdGU+SnVsPC9kYXRl
PjwvcHViLWRhdGVzPjwvZGF0ZXM+PGlzYm4+MTQ3NS0yNzI3IChFbGVjdHJvbmljKSYjeEQ7MTM2
OC05ODAwIChMaW5raW5nKTwvaXNibj48YWNjZXNzaW9uLW51bT4yNjYyNjcwMjwvYWNjZXNzaW9u
LW51bT48dXJscz48cmVsYXRlZC11cmxzPjx1cmw+aHR0cHM6Ly93d3cubmNiaS5ubG0ubmloLmdv
di9wdWJtZWQvMjY2MjY3MDI8L3VybD48L3JlbGF0ZWQtdXJscz48L3VybHM+PGN1c3RvbTI+UE1D
NTUwMDI1OTwvY3VzdG9tMj48ZWxlY3Ryb25pYy1yZXNvdXJjZS1udW0+MTAuMTAxNy9TMTM2ODk4
MDAxNTAwMzE2WDwvZWxlY3Ryb25pYy1yZXNvdXJjZS1udW0+PC9yZWNvcmQ+PC9DaXRlPjwvRW5k
Tm90ZT5=
</w:fldData>
              </w:fldChar>
            </w:r>
            <w:r w:rsidR="002747EA">
              <w:instrText xml:space="preserve"> ADDIN EN.CITE </w:instrText>
            </w:r>
            <w:r w:rsidR="002747EA">
              <w:fldChar w:fldCharType="begin">
                <w:fldData xml:space="preserve">PEVuZE5vdGU+PENpdGU+PEF1dGhvcj5Nb2hhbnR5PC9BdXRob3I+PFllYXI+MjAxNjwvWWVhcj48
UmVjTnVtPjEzNjg8L1JlY051bT48RGlzcGxheVRleHQ+PHN0eWxlIGZhY2U9InN1cGVyc2NyaXB0
IiBmb250PSJUcmVidWNoZXQgTVMiIHNpemU9IjkiPjc4PC9zdHlsZT48L0Rpc3BsYXlUZXh0Pjxy
ZWNvcmQ+PHJlYy1udW1iZXI+MTM2ODwvcmVjLW51bWJlcj48Zm9yZWlnbi1rZXlzPjxrZXkgYXBw
PSJFTiIgZGItaWQ9ImV4dmFzcmZ4MmR0cmFvZXNhc3hwMnN6c3hhMmRmNTAyNTkyeCIgdGltZXN0
YW1wPSIxNTY3MDMxMDc5Ij4xMzY4PC9rZXk+PGtleSBhcHA9IkVOV2ViIiBkYi1pZD0iIj4wPC9r
ZXk+PC9mb3JlaWduLWtleXM+PHJlZi10eXBlIG5hbWU9IkpvdXJuYWwgQXJ0aWNsZSI+MTc8L3Jl
Zi10eXBlPjxjb250cmlidXRvcnM+PGF1dGhvcnM+PGF1dGhvcj5Nb2hhbnR5LCBBLiBGLjwvYXV0
aG9yPjxhdXRob3I+U2lzY292aWNrLCBELiBTLjwvYXV0aG9yPjxhdXRob3I+V2lsbGlhbXMsIE0u
IEEuPC9hdXRob3I+PGF1dGhvcj5UaG9tcHNvbiwgTS4gTC48L2F1dGhvcj48YXV0aG9yPkJ1cmJh
Y2hlciwgVC4gTS48L2F1dGhvcj48YXV0aG9yPkVucXVvYmFocmllLCBELiBBLjwvYXV0aG9yPjwv
YXV0aG9ycz48L2NvbnRyaWJ1dG9ycz48YXV0aC1hZGRyZXNzPjFDYXJkaW92YXNjdWxhciBIZWFs
dGggUmVzZWFyY2ggVW5pdCxEZXBhcnRtZW50IG9mIE1lZGljaW5lIGFuZCBEZXBhcnRtZW50IG9m
IEVwaWRlbWlvbG9neSxVbml2ZXJzaXR5IG9mIFdhc2hpbmd0b24sU2VhdHRsZSxXQSxVU0EuJiN4
RDsyRGVwYXJ0bWVudCBvZiBFcGlkZW1pb2xvZ3ksSGFydmFyZCBTY2hvb2wgb2YgUHVibGljIEhl
YWx0aCxCb3N0b24sTUEsVVNBLiYjeEQ7M0RlcGFydG1lbnQgb2YgQmlvc3RhdGlzdGljcyxVbml2
ZXJzaXR5IG9mIFdhc2hpbmd0b24sU2VhdHRsZSxXQSxVU0EuJiN4RDs0RGVwYXJ0bWVudCBvZiBF
bnZpcm9ubWVudGFsIGFuZCBPY2N1cGF0aW9uYWwgSGVhbHRoIFNjaWVuY2VzLFVuaXZlcnNpdHkg
b2YgV2FzaGluZ3RvbixTZWF0dGxlLFdBLFVTQS48L2F1dGgtYWRkcmVzcz48dGl0bGVzPjx0aXRs
ZT5QZXJpY29uY2VwdGlvbmFsIHNlYWZvb2QgaW50YWtlIGFuZCBwcmVnbmFuY3kgY29tcGxpY2F0
aW9uczwvdGl0bGU+PHNlY29uZGFyeS10aXRsZT5QdWJsaWMgSGVhbHRoIE51dHI8L3NlY29uZGFy
eS10aXRsZT48L3RpdGxlcz48cGVyaW9kaWNhbD48ZnVsbC10aXRsZT5QdWJsaWMgSGVhbHRoIE51
dHI8L2Z1bGwtdGl0bGU+PC9wZXJpb2RpY2FsPjxwYWdlcz4xNzk1LTgwMzwvcGFnZXM+PHZvbHVt
ZT4xOTwvdm9sdW1lPjxudW1iZXI+MTA8L251bWJlcj48ZWRpdGlvbj4yMDE1LzEyLzAzPC9lZGl0
aW9uPjxrZXl3b3Jkcz48a2V5d29yZD5BZHVsdDwva2V5d29yZD48a2V5d29yZD5BbmltYWxzPC9r
ZXl3b3JkPjxrZXl3b3JkPkRpYWJldGVzLCBHZXN0YXRpb25hbC9lcGlkZW1pb2xvZ3k8L2tleXdv
cmQ+PGtleXdvcmQ+KkRpZXQ8L2tleXdvcmQ+PGtleXdvcmQ+RmF0dHkgQWNpZHMsIE9tZWdhLTM8
L2tleXdvcmQ+PGtleXdvcmQ+RmVtYWxlPC9rZXl3b3JkPjxrZXl3b3JkPkh1bWFuczwva2V5d29y
ZD48a2V5d29yZD5IeXBlcnRlbnNpb24sIFByZWduYW5jeS1JbmR1Y2VkL2VwaWRlbWlvbG9neTwv
a2V5d29yZD48a2V5d29yZD4qTWF0ZXJuYWwgTnV0cml0aW9uYWwgUGh5c2lvbG9naWNhbCBQaGVu
b21lbmE8L2tleXdvcmQ+PGtleXdvcmQ+UHJlLUVjbGFtcHNpYS9lcGlkZW1pb2xvZ3k8L2tleXdv
cmQ+PGtleXdvcmQ+UHJlZ25hbmN5PC9rZXl3b3JkPjxrZXl3b3JkPlByZWduYW5jeSBDb21wbGlj
YXRpb25zLyplcGlkZW1pb2xvZ3k8L2tleXdvcmQ+PGtleXdvcmQ+UHJlbWF0dXJlIEJpcnRoL2Vw
aWRlbWlvbG9neTwva2V5d29yZD48a2V5d29yZD5Qcm9zcGVjdGl2ZSBTdHVkaWVzPC9rZXl3b3Jk
PjxrZXl3b3JkPipTZWFmb29kPC9rZXl3b3JkPjxrZXl3b3JkPldhc2hpbmd0b248L2tleXdvcmQ+
PGtleXdvcmQ+KkxlYW4gZmlzaDwva2V5d29yZD48a2V5d29yZD4qUHJlZ25hbmN5PC9rZXl3b3Jk
PjxrZXl3b3JkPipQcmVnbmFuY3kgY29tcGxpY2F0aW9uPC9rZXl3b3JkPjxrZXl3b3JkPipQcmV0
ZXJtIGJpcnRoPC9rZXl3b3JkPjxrZXl3b3JkPipTZWFmb29kIGludGFrZTwva2V5d29yZD48L2tl
eXdvcmRzPjxkYXRlcz48eWVhcj4yMDE2PC95ZWFyPjxwdWItZGF0ZXM+PGRhdGU+SnVsPC9kYXRl
PjwvcHViLWRhdGVzPjwvZGF0ZXM+PGlzYm4+MTQ3NS0yNzI3IChFbGVjdHJvbmljKSYjeEQ7MTM2
OC05ODAwIChMaW5raW5nKTwvaXNibj48YWNjZXNzaW9uLW51bT4yNjYyNjcwMjwvYWNjZXNzaW9u
LW51bT48dXJscz48cmVsYXRlZC11cmxzPjx1cmw+aHR0cHM6Ly93d3cubmNiaS5ubG0ubmloLmdv
di9wdWJtZWQvMjY2MjY3MDI8L3VybD48L3JlbGF0ZWQtdXJscz48L3VybHM+PGN1c3RvbTI+UE1D
NTUwMDI1OTwvY3VzdG9tMj48ZWxlY3Ryb25pYy1yZXNvdXJjZS1udW0+MTAuMTAxNy9TMTM2ODk4
MDAxNTAwMzE2WDwvZWxlY3Ryb25pYy1yZXNvdXJjZS1udW0+PC9yZWNvcmQ+PC9DaXRlPjwvRW5k
Tm90ZT5=
</w:fldData>
              </w:fldChar>
            </w:r>
            <w:r w:rsidR="002747EA">
              <w:instrText xml:space="preserve"> ADDIN EN.CITE.DATA </w:instrText>
            </w:r>
            <w:r w:rsidR="002747EA">
              <w:fldChar w:fldCharType="end"/>
            </w:r>
            <w:r>
              <w:fldChar w:fldCharType="separate"/>
            </w:r>
            <w:r w:rsidR="002747EA" w:rsidRPr="002747EA">
              <w:rPr>
                <w:noProof/>
                <w:vertAlign w:val="superscript"/>
              </w:rPr>
              <w:t>78</w:t>
            </w:r>
            <w:r>
              <w:fldChar w:fldCharType="end"/>
            </w:r>
          </w:p>
          <w:p w14:paraId="0D95357E" w14:textId="77777777" w:rsidR="00661A0E" w:rsidRDefault="00661A0E" w:rsidP="00AB0E44">
            <w:r>
              <w:t>United States</w:t>
            </w:r>
          </w:p>
          <w:p w14:paraId="3031CD7C" w14:textId="77777777" w:rsidR="00661A0E" w:rsidRDefault="00661A0E" w:rsidP="00AB0E44">
            <w:r>
              <w:t>Cohort</w:t>
            </w:r>
          </w:p>
        </w:tc>
        <w:tc>
          <w:tcPr>
            <w:tcW w:w="1274" w:type="dxa"/>
            <w:tcBorders>
              <w:top w:val="single" w:sz="4" w:space="0" w:color="auto"/>
              <w:left w:val="single" w:sz="4" w:space="0" w:color="auto"/>
              <w:bottom w:val="single" w:sz="4" w:space="0" w:color="auto"/>
              <w:right w:val="single" w:sz="4" w:space="0" w:color="auto"/>
            </w:tcBorders>
          </w:tcPr>
          <w:p w14:paraId="01A4D60F" w14:textId="77777777" w:rsidR="00661A0E" w:rsidRDefault="00661A0E" w:rsidP="00AB0E44">
            <w:r>
              <w:t>3,279</w:t>
            </w:r>
          </w:p>
        </w:tc>
        <w:tc>
          <w:tcPr>
            <w:tcW w:w="4822" w:type="dxa"/>
            <w:tcBorders>
              <w:top w:val="single" w:sz="4" w:space="0" w:color="auto"/>
              <w:left w:val="single" w:sz="4" w:space="0" w:color="auto"/>
              <w:bottom w:val="single" w:sz="4" w:space="0" w:color="auto"/>
              <w:right w:val="single" w:sz="4" w:space="0" w:color="auto"/>
            </w:tcBorders>
          </w:tcPr>
          <w:p w14:paraId="2BB49FEB" w14:textId="77777777" w:rsidR="00661A0E" w:rsidRDefault="00661A0E" w:rsidP="007B7656">
            <w:r w:rsidRPr="007B7656">
              <w:rPr>
                <w:b/>
              </w:rPr>
              <w:t>Aim</w:t>
            </w:r>
            <w:r>
              <w:t xml:space="preserve">: </w:t>
            </w:r>
            <w:r w:rsidRPr="007B7656">
              <w:t xml:space="preserve">To investigate associations of maternal periconceptional shellfish, lean fish and fatty fish intake with risk of pregnancy complications. </w:t>
            </w:r>
          </w:p>
          <w:p w14:paraId="4B67C321" w14:textId="77777777" w:rsidR="00661A0E" w:rsidRPr="00AB0E44" w:rsidRDefault="00661A0E" w:rsidP="00BE4A21">
            <w:pPr>
              <w:rPr>
                <w:b/>
              </w:rPr>
            </w:pPr>
            <w:r w:rsidRPr="007B7656">
              <w:rPr>
                <w:b/>
              </w:rPr>
              <w:t>Methods</w:t>
            </w:r>
            <w:r w:rsidRPr="007B7656">
              <w:t xml:space="preserve">: In this prospective cohort study, we collected information on intake of seafood subtypes using </w:t>
            </w:r>
            <w:r>
              <w:t>food frequency questionnaire. We categoris</w:t>
            </w:r>
            <w:r w:rsidRPr="007B7656">
              <w:t xml:space="preserve">ed seafood intake into frequencies of 1 serving/week. We ascertained gestational hypertension, pre-eclampsia, gestational diabetes and preterm birth diagnoses from </w:t>
            </w:r>
            <w:r>
              <w:t>medical records. Using generalis</w:t>
            </w:r>
            <w:r w:rsidRPr="007B7656">
              <w:t xml:space="preserve">ed linear models with a log link, the Poisson family and robust standard errors, we estimated risk ratios and 95 % confidence intervals across seafood intake categories. </w:t>
            </w:r>
          </w:p>
        </w:tc>
        <w:tc>
          <w:tcPr>
            <w:tcW w:w="4536" w:type="dxa"/>
            <w:tcBorders>
              <w:top w:val="single" w:sz="4" w:space="0" w:color="auto"/>
              <w:left w:val="single" w:sz="4" w:space="0" w:color="auto"/>
              <w:bottom w:val="single" w:sz="4" w:space="0" w:color="auto"/>
              <w:right w:val="single" w:sz="4" w:space="0" w:color="auto"/>
            </w:tcBorders>
          </w:tcPr>
          <w:p w14:paraId="66B59646" w14:textId="77777777" w:rsidR="00661A0E" w:rsidRDefault="00661A0E" w:rsidP="00BF5BA5">
            <w:r w:rsidRPr="007B7656">
              <w:t>Lean fis</w:t>
            </w:r>
            <w:r>
              <w:t>h intake of &gt;1 servings/week (vs</w:t>
            </w:r>
            <w:r w:rsidRPr="007B7656">
              <w:t xml:space="preserve"> &lt;0.2 servings/month) was associated with a 1.55-fold higher risk</w:t>
            </w:r>
            <w:r>
              <w:t xml:space="preserve"> of preterm birth (95 % CI 1.04 to</w:t>
            </w:r>
            <w:r w:rsidRPr="007B7656">
              <w:t xml:space="preserve"> 2.30) and was not associated with the other pregnancy complications. </w:t>
            </w:r>
          </w:p>
          <w:p w14:paraId="5F52F64F" w14:textId="77777777" w:rsidR="00661A0E" w:rsidRPr="007B7656" w:rsidRDefault="00661A0E" w:rsidP="00BF5BA5">
            <w:r w:rsidRPr="007B7656">
              <w:t xml:space="preserve">Higher intake of seafood (total or other subtypes) was not associated with pregnancy complications (separately or combined). </w:t>
            </w:r>
          </w:p>
        </w:tc>
        <w:tc>
          <w:tcPr>
            <w:tcW w:w="1843" w:type="dxa"/>
            <w:tcBorders>
              <w:top w:val="single" w:sz="4" w:space="0" w:color="auto"/>
              <w:left w:val="single" w:sz="4" w:space="0" w:color="auto"/>
              <w:bottom w:val="single" w:sz="4" w:space="0" w:color="auto"/>
              <w:right w:val="single" w:sz="4" w:space="0" w:color="auto"/>
            </w:tcBorders>
          </w:tcPr>
          <w:p w14:paraId="44195AD5" w14:textId="3A4B6EFA" w:rsidR="00661A0E" w:rsidRDefault="00661A0E" w:rsidP="00AB0E44">
            <w:r w:rsidRPr="007B7656">
              <w:t>Studies of mechanisms and potential contributing factors (including seafood preparation and nutrient/</w:t>
            </w:r>
            <w:r w:rsidR="00EF775D">
              <w:t xml:space="preserve"> </w:t>
            </w:r>
            <w:r w:rsidRPr="007B7656">
              <w:t>contaminant content) are warranted.</w:t>
            </w:r>
          </w:p>
        </w:tc>
      </w:tr>
      <w:tr w:rsidR="00661A0E" w:rsidRPr="00C8357D" w14:paraId="73A2B7BD" w14:textId="77777777" w:rsidTr="00977A9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417"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74F630C1" w14:textId="1028BD4A" w:rsidR="00661A0E" w:rsidRDefault="00661A0E" w:rsidP="002F1844">
            <w:r>
              <w:t>Alvarez Zallo et al 2018</w:t>
            </w:r>
            <w:r>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52</w:t>
            </w:r>
            <w:r>
              <w:fldChar w:fldCharType="end"/>
            </w:r>
          </w:p>
          <w:p w14:paraId="23B953A0" w14:textId="77777777" w:rsidR="00661A0E" w:rsidRDefault="00661A0E" w:rsidP="002F1844">
            <w:r>
              <w:t>Europe and Latin America</w:t>
            </w:r>
          </w:p>
          <w:p w14:paraId="17C9F02D" w14:textId="77777777" w:rsidR="00661A0E" w:rsidRDefault="00661A0E" w:rsidP="002F1844">
            <w:r w:rsidRPr="00000A5C">
              <w:t>International Study of Wheezing in Infants</w:t>
            </w:r>
          </w:p>
          <w:p w14:paraId="390FBA07" w14:textId="77777777" w:rsidR="00661A0E" w:rsidRPr="00814460" w:rsidRDefault="00661A0E" w:rsidP="002F1844">
            <w:r>
              <w:t>Cross-section</w:t>
            </w:r>
          </w:p>
        </w:tc>
        <w:tc>
          <w:tcPr>
            <w:tcW w:w="1274"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2B60638E" w14:textId="77777777" w:rsidR="00661A0E" w:rsidRDefault="00661A0E" w:rsidP="002F1844">
            <w:r>
              <w:t>1,087 infants 12-15 months of age</w:t>
            </w:r>
          </w:p>
        </w:tc>
        <w:tc>
          <w:tcPr>
            <w:tcW w:w="4822"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2BD7FD3A" w14:textId="77777777" w:rsidR="00661A0E" w:rsidRDefault="00661A0E" w:rsidP="002F1844">
            <w:r>
              <w:rPr>
                <w:b/>
              </w:rPr>
              <w:t xml:space="preserve">Aim: </w:t>
            </w:r>
            <w:r>
              <w:t>To examine</w:t>
            </w:r>
            <w:r w:rsidRPr="00000A5C">
              <w:t xml:space="preserve"> the relationship between different food groups and the adherence to a Mediterranean diet during pregnancy and the risk of wheezing and eczema in children aged 12-15 months. </w:t>
            </w:r>
          </w:p>
          <w:p w14:paraId="181A6E38" w14:textId="77777777" w:rsidR="00661A0E" w:rsidRDefault="00661A0E" w:rsidP="002F1844">
            <w:pPr>
              <w:rPr>
                <w:b/>
              </w:rPr>
            </w:pPr>
            <w:r w:rsidRPr="00000A5C">
              <w:rPr>
                <w:b/>
              </w:rPr>
              <w:t>Methods</w:t>
            </w:r>
            <w:r w:rsidRPr="00000A5C">
              <w:t xml:space="preserve">: </w:t>
            </w:r>
            <w:r>
              <w:t>T</w:t>
            </w:r>
            <w:r w:rsidRPr="00000A5C">
              <w:t xml:space="preserve">he study of the association of the different food consumption and Mediterranean diet with wheezing, recurrent wheezing and eczema was performed using different models of unconditional logistic regression to obtain adjusted prevalence odds ratios (OR) and 95% confidence intervals (95% CI). </w:t>
            </w:r>
          </w:p>
        </w:tc>
        <w:tc>
          <w:tcPr>
            <w:tcW w:w="4536"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49030D25" w14:textId="77777777" w:rsidR="00661A0E" w:rsidRPr="00000A5C" w:rsidRDefault="00661A0E" w:rsidP="002F1844">
            <w:r w:rsidRPr="00000A5C">
              <w:t xml:space="preserve">The consumption once or twice a week of white fish </w:t>
            </w:r>
            <w:r>
              <w:t>during pregnancy increased</w:t>
            </w:r>
            <w:r w:rsidRPr="00000A5C">
              <w:t xml:space="preserve"> the </w:t>
            </w:r>
            <w:r>
              <w:t xml:space="preserve">risk of "wheezing" at 12 months </w:t>
            </w:r>
            <w:r w:rsidRPr="00000A5C">
              <w:t>(OR: 1.95</w:t>
            </w:r>
            <w:r>
              <w:t xml:space="preserve"> </w:t>
            </w:r>
            <w:r w:rsidRPr="00000A5C">
              <w:t>[1.01</w:t>
            </w:r>
            <w:r>
              <w:t xml:space="preserve"> to </w:t>
            </w:r>
            <w:r w:rsidRPr="00000A5C">
              <w:t>3.75])</w:t>
            </w:r>
            <w:r>
              <w:t xml:space="preserve">. </w:t>
            </w:r>
          </w:p>
        </w:tc>
        <w:tc>
          <w:tcPr>
            <w:tcW w:w="1843" w:type="dxa"/>
            <w:tcBorders>
              <w:top w:val="single" w:sz="4" w:space="0" w:color="538135" w:themeColor="accent6" w:themeShade="BF"/>
              <w:left w:val="single" w:sz="4" w:space="0" w:color="538135" w:themeColor="accent6" w:themeShade="BF"/>
              <w:bottom w:val="single" w:sz="4" w:space="0" w:color="auto"/>
              <w:right w:val="single" w:sz="4" w:space="0" w:color="538135" w:themeColor="accent6" w:themeShade="BF"/>
            </w:tcBorders>
          </w:tcPr>
          <w:p w14:paraId="151C2421" w14:textId="683DAC53" w:rsidR="00661A0E" w:rsidRPr="00C8357D" w:rsidRDefault="00661A0E" w:rsidP="002F1844"/>
        </w:tc>
      </w:tr>
    </w:tbl>
    <w:p w14:paraId="4DC7185F" w14:textId="7403539A" w:rsidR="0079448D" w:rsidRDefault="009C163D" w:rsidP="005719CE">
      <w:pPr>
        <w:pStyle w:val="TableName"/>
        <w:ind w:left="1134" w:hanging="1134"/>
      </w:pPr>
      <w:bookmarkStart w:id="63" w:name="_Toc40956603"/>
      <w:r>
        <w:t xml:space="preserve">Q2 </w:t>
      </w:r>
      <w:r w:rsidR="0079448D">
        <w:t>Consumption of dairy products during pregnancy</w:t>
      </w:r>
      <w:bookmarkEnd w:id="6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5: Q2 Consumption of dairy products during pregnancy"/>
      </w:tblPr>
      <w:tblGrid>
        <w:gridCol w:w="1564"/>
        <w:gridCol w:w="1417"/>
        <w:gridCol w:w="4532"/>
        <w:gridCol w:w="4536"/>
        <w:gridCol w:w="1843"/>
      </w:tblGrid>
      <w:tr w:rsidR="0079448D" w:rsidRPr="00F350A6" w14:paraId="7B3C1D47" w14:textId="77777777" w:rsidTr="007A69A9">
        <w:trPr>
          <w:cantSplit/>
          <w:trHeight w:val="390"/>
          <w:tblHeader/>
        </w:trPr>
        <w:tc>
          <w:tcPr>
            <w:tcW w:w="1564" w:type="dxa"/>
          </w:tcPr>
          <w:p w14:paraId="69FECF19" w14:textId="77777777" w:rsidR="0079448D" w:rsidRPr="00F350A6" w:rsidRDefault="0079448D" w:rsidP="007A69A9">
            <w:pPr>
              <w:keepNext/>
              <w:rPr>
                <w:b/>
              </w:rPr>
            </w:pPr>
            <w:r>
              <w:rPr>
                <w:b/>
              </w:rPr>
              <w:t>Study ref</w:t>
            </w:r>
          </w:p>
        </w:tc>
        <w:tc>
          <w:tcPr>
            <w:tcW w:w="1417" w:type="dxa"/>
          </w:tcPr>
          <w:p w14:paraId="6F5BE312" w14:textId="77777777" w:rsidR="0079448D" w:rsidRPr="00F350A6" w:rsidRDefault="0079448D" w:rsidP="007A69A9">
            <w:pPr>
              <w:keepNext/>
              <w:rPr>
                <w:b/>
              </w:rPr>
            </w:pPr>
            <w:r>
              <w:rPr>
                <w:b/>
              </w:rPr>
              <w:t>N</w:t>
            </w:r>
          </w:p>
        </w:tc>
        <w:tc>
          <w:tcPr>
            <w:tcW w:w="4532" w:type="dxa"/>
          </w:tcPr>
          <w:p w14:paraId="33232672" w14:textId="77777777" w:rsidR="0079448D" w:rsidRPr="00F350A6" w:rsidRDefault="0079448D" w:rsidP="007A69A9">
            <w:pPr>
              <w:keepNext/>
              <w:rPr>
                <w:b/>
              </w:rPr>
            </w:pPr>
            <w:r>
              <w:rPr>
                <w:b/>
              </w:rPr>
              <w:t>Aim/methods</w:t>
            </w:r>
          </w:p>
        </w:tc>
        <w:tc>
          <w:tcPr>
            <w:tcW w:w="4536" w:type="dxa"/>
          </w:tcPr>
          <w:p w14:paraId="6686B575" w14:textId="77777777" w:rsidR="0079448D" w:rsidRPr="00F350A6" w:rsidRDefault="0079448D" w:rsidP="007A69A9">
            <w:pPr>
              <w:keepNext/>
              <w:rPr>
                <w:b/>
              </w:rPr>
            </w:pPr>
            <w:r>
              <w:rPr>
                <w:b/>
              </w:rPr>
              <w:t>Results</w:t>
            </w:r>
          </w:p>
        </w:tc>
        <w:tc>
          <w:tcPr>
            <w:tcW w:w="1843" w:type="dxa"/>
          </w:tcPr>
          <w:p w14:paraId="58EC45BC" w14:textId="77777777" w:rsidR="0079448D" w:rsidRPr="00F350A6" w:rsidRDefault="0079448D" w:rsidP="007A69A9">
            <w:pPr>
              <w:keepNext/>
              <w:rPr>
                <w:b/>
              </w:rPr>
            </w:pPr>
            <w:r>
              <w:rPr>
                <w:b/>
              </w:rPr>
              <w:t>Comments</w:t>
            </w:r>
          </w:p>
        </w:tc>
      </w:tr>
      <w:tr w:rsidR="004D3AA4" w:rsidRPr="00C17B92" w14:paraId="78B42988" w14:textId="77777777" w:rsidTr="007A69A9">
        <w:trPr>
          <w:cantSplit/>
          <w:trHeight w:val="390"/>
        </w:trPr>
        <w:tc>
          <w:tcPr>
            <w:tcW w:w="1564" w:type="dxa"/>
          </w:tcPr>
          <w:p w14:paraId="37D9462A" w14:textId="06638E9C" w:rsidR="004D3AA4" w:rsidRPr="00F013EC" w:rsidRDefault="004D3AA4" w:rsidP="007A69A9">
            <w:r w:rsidRPr="00F013EC">
              <w:t>Tuokkola et al 2016</w:t>
            </w:r>
            <w:r w:rsidR="00774750">
              <w:fldChar w:fldCharType="begin">
                <w:fldData xml:space="preserve">PEVuZE5vdGU+PENpdGU+PEF1dGhvcj5UdW9ra29sYTwvQXV0aG9yPjxZZWFyPjIwMTY8L1llYXI+
PFJlY051bT4xNzQyPC9SZWNOdW0+PERpc3BsYXlUZXh0PjxzdHlsZSBmYWNlPSJzdXBlcnNjcmlw
dCIgZm9udD0iVHJlYnVjaGV0IE1TIiBzaXplPSI5Ij45MTwvc3R5bGU+PC9EaXNwbGF5VGV4dD48
cmVjb3JkPjxyZWMtbnVtYmVyPjE3NDI8L3JlYy1udW1iZXI+PGZvcmVpZ24ta2V5cz48a2V5IGFw
cD0iRU4iIGRiLWlkPSJleHZhc3JmeDJkdHJhb2VzYXN4cDJzenN4YTJkZjUwMjU5MngiIHRpbWVz
dGFtcD0iMTU4MjUwNjMxMCI+MTc0Mjwva2V5PjxrZXkgYXBwPSJFTldlYiIgZGItaWQ9IiI+MDwv
a2V5PjwvZm9yZWlnbi1rZXlzPjxyZWYtdHlwZSBuYW1lPSJKb3VybmFsIEFydGljbGUiPjE3PC9y
ZWYtdHlwZT48Y29udHJpYnV0b3JzPjxhdXRob3JzPjxhdXRob3I+VHVva2tvbGEsIEouPC9hdXRo
b3I+PGF1dGhvcj5MdXVra2FpbmVuLCBQLjwvYXV0aG9yPjxhdXRob3I+VGFwYW5haW5lbiwgSC48
L2F1dGhvcj48YXV0aG9yPkthaWxhLCBNLjwvYXV0aG9yPjxhdXRob3I+VmFhcmFsYSwgTy48L2F1
dGhvcj48YXV0aG9yPktlbndhcmQsIE0uIEcuPC9hdXRob3I+PGF1dGhvcj5WaXJ0YSwgTC4gSi48
L2F1dGhvcj48YXV0aG9yPlZlaWpvbGEsIFIuPC9hdXRob3I+PGF1dGhvcj5TaW1lbGwsIE8uPC9h
dXRob3I+PGF1dGhvcj5JbG9uZW4sIEouPC9hdXRob3I+PGF1dGhvcj5LbmlwLCBNLjwvYXV0aG9y
PjxhdXRob3I+VmlydGFuZW4sIFMuIE0uPC9hdXRob3I+PC9hdXRob3JzPjwvY29udHJpYnV0b3Jz
PjxhdXRoLWFkZHJlc3M+Q2hpbGRyZW4mYXBvcztzIEhvc3BpdGFsLCBVbml2ZXJzaXR5IG9mIEhl
bHNpbmtpIGFuZCBIZWxzaW5raSBVbml2ZXJzaXR5IEhvc3BpdGFsLCBIZWxzaW5raSwgRmlubGFu
ZC4mI3hEO051dHJpdGlvbiBVbml0LCBOYXRpb25hbCBJbnN0aXR1dGUgZm9yIEhlYWx0aCBhbmQg
V2VsZmFyZSwgSGVsc2lua2ksIEZpbmxhbmQuJiN4RDtQdWJsaWMgSGVhbHRoIE1lZGljaW5lLCBV
bml2ZXJzaXR5IG9mIEhlbHNpbmtpIGFuZCBIZWxzaW5raSBVbml2ZXJzaXR5IEhvc3BpdGFsLCBI
ZWxzaW5raSwgRmlubGFuZC4mI3hEO0RlcGFydG1lbnQgb2YgUGVkaWF0cmljcywgVGFtcGVyZSBV
bml2ZXJzaXR5IEhvc3BpdGFsLCBUYW1wZXJlLCBGaW5sYW5kLiYjeEQ7SW5zdGl0dXRlIG9mIENs
aW5pY2FsIE1lZGljaW5lLCBVbml2ZXJzaXR5IG9mIEhlbHNpbmtpIGFuZCBIZWxzaW5raSBVbml2
ZXJzaXR5IEhvc3BpdGFsLCBIZWxzaW5raSwgRmlubGFuZC4mI3hEO0RlcGFydG1lbnQgb2YgRXBp
ZGVtaW9sb2d5IGFuZCBQb3B1bGF0aW9uIEhlYWx0aCwgTWVkaWNhbCBTdGF0aXN0aWNzIFVuaXQs
IExvbmRvbiBTY2hvb2wgb2YgSHlnaWVuZSAmYW1wOyBUcm9waWNhbCBNZWRpY2luZSwgTG9uZG9u
LCBVSy4mI3hEO1Jlc2VhcmNoIERlcGFydG1lbnQsIFNvY2lhbCBJbnN1cmFuY2UgSW5zdGl0dXRp
b24sIFR1cmt1LCBGaW5sYW5kLiYjeEQ7RGVwYXJ0bWVudCBvZiBQYWVkaWF0cmljcywgVW5pdmVy
c2l0eSBvZiBPdWx1LCBPdWx1LCBGaW5sYW5kLiYjeEQ7RGVwYXJ0bWVudCBvZiBQZWRpYXRyaWNz
LCBVbml2ZXJzaXR5IG9mIFR1cmt1LCBUdXJrdSwgRmlubGFuZC4mI3hEO0RlcGFydG1lbnQgb2Yg
Q2xpbmljYWwgTWljcm9iaW9sb2d5LCBVbml2ZXJzaXR5IG9mIEVhc3Rlcm4gRmlubGFuZCwgS3Vv
cGlvLCBGaW5sYW5kLiYjeEQ7SW1tdW5vZ2VuZXRpY3MgTGFib3JhdG9yeSwgVW5pdmVyc2l0eSBv
ZiBUdXJrdSwgVHVya3UsIEZpbmxhbmQuJiN4RDtGb2xraGFsc2FuIFJlc2VhcmNoIEluc3RpdHV0
ZSwgSGVsc2lua2ksIEZpbmxhbmQuJiN4RDtTY2llbmNlIENlbnRlciBvZiBQaXJrYW5tYWEgSG9z
cGl0YWwgRGlzdHJpY3QsIFRhbXBlcmUsIEZpbmxhbmQuJiN4RDtTY2hvb2wgb2YgSGVhbHRoIFNj
aWVuY2VzLCBVbml2ZXJzaXR5IG9mIFRhbXBlcmUsIFRhbXBlcmUsIEZpbmxhbmQuPC9hdXRoLWFk
ZHJlc3M+PHRpdGxlcz48dGl0bGU+TWF0ZXJuYWwgZGlldCBkdXJpbmcgcHJlZ25hbmN5IGFuZCBs
YWN0YXRpb24gYW5kIGNvdyZhcG9zO3MgbWlsayBhbGxlcmd5IGluIG9mZnNwcmluZzwvdGl0bGU+
PHNlY29uZGFyeS10aXRsZT5FdXIgSiBDbGluIE51dHI8L3NlY29uZGFyeS10aXRsZT48L3RpdGxl
cz48cGVyaW9kaWNhbD48ZnVsbC10aXRsZT5FdXIgSiBDbGluIE51dHI8L2Z1bGwtdGl0bGU+PC9w
ZXJpb2RpY2FsPjxwYWdlcz41NTQtOTwvcGFnZXM+PHZvbHVtZT43MDwvdm9sdW1lPjxudW1iZXI+
NTwvbnVtYmVyPjxlZGl0aW9uPjIwMTYvMDEvMTQ8L2VkaXRpb24+PGtleXdvcmRzPjxrZXl3b3Jk
PkFkdWx0PC9rZXl3b3JkPjxrZXl3b3JkPkFuaW1hbHM8L2tleXdvcmQ+PGtleXdvcmQ+Q2hpbGQs
IFByZXNjaG9vbDwva2V5d29yZD48a2V5d29yZD5EaWV0LyphZHZlcnNlIGVmZmVjdHM8L2tleXdv
cmQ+PGtleXdvcmQ+RGlldCBTdXJ2ZXlzPC9rZXl3b3JkPjxrZXl3b3JkPkZlbWFsZTwva2V5d29y
ZD48a2V5d29yZD5GZXRhbCBCbG9vZC9pbW11bm9sb2d5PC9rZXl3b3JkPjxrZXl3b3JkPkZpbmxh
bmQ8L2tleXdvcmQ+PGtleXdvcmQ+SHVtYW5zPC9rZXl3b3JkPjxrZXl3b3JkPkltbXVub2dsb2J1
bGluIEEvYW5hbHlzaXM8L2tleXdvcmQ+PGtleXdvcmQ+SW5mYW50PC9rZXl3b3JkPjxrZXl3b3Jk
PkxhY3RhdGlvbi8qcGh5c2lvbG9neTwva2V5d29yZD48a2V5d29yZD5Mb2dpc3RpYyBNb2RlbHM8
L2tleXdvcmQ+PGtleXdvcmQ+TWFsZTwva2V5d29yZD48a2V5d29yZD5NYXRlcm5hbCBOdXRyaXRp
b25hbCBQaHlzaW9sb2dpY2FsIFBoZW5vbWVuYS9waHlzaW9sb2d5PC9rZXl3b3JkPjxrZXl3b3Jk
Pk1pbGsvKmFkdmVyc2UgZWZmZWN0czwva2V5d29yZD48a2V5d29yZD5NaWxrIEh5cGVyc2Vuc2l0
aXZpdHkvKmV0aW9sb2d5L3ByZXZlbnRpb24gJmFtcDsgY29udHJvbDwva2V5d29yZD48a2V5d29y
ZD5QcmVnbmFuY3k8L2tleXdvcmQ+PGtleXdvcmQ+UHJlbmF0YWwgRXhwb3N1cmUgRGVsYXllZCBF
ZmZlY3RzLypldGlvbG9neTwva2V5d29yZD48L2tleXdvcmRzPjxkYXRlcz48eWVhcj4yMDE2PC95
ZWFyPjxwdWItZGF0ZXM+PGRhdGU+TWF5PC9kYXRlPjwvcHViLWRhdGVzPjwvZGF0ZXM+PGlzYm4+
MTQ3Ni01NjQwIChFbGVjdHJvbmljKSYjeEQ7MDk1NC0zMDA3IChMaW5raW5nKTwvaXNibj48YWNj
ZXNzaW9uLW51bT4yNjc1NzgzMjwvYWNjZXNzaW9uLW51bT48dXJscz48cmVsYXRlZC11cmxzPjx1
cmw+aHR0cHM6Ly93d3cubmNiaS5ubG0ubmloLmdvdi9wdWJtZWQvMjY3NTc4MzI8L3VybD48L3Jl
bGF0ZWQtdXJscz48L3VybHM+PGVsZWN0cm9uaWMtcmVzb3VyY2UtbnVtPjEwLjEwMzgvZWpjbi4y
MDE1LjIyMzwvZWxlY3Ryb25pYy1yZXNvdXJjZS1udW0+PC9yZWNvcmQ+PC9DaXRlPjwvRW5kTm90
ZT5=
</w:fldData>
              </w:fldChar>
            </w:r>
            <w:r w:rsidR="002747EA">
              <w:instrText xml:space="preserve"> ADDIN EN.CITE </w:instrText>
            </w:r>
            <w:r w:rsidR="002747EA">
              <w:fldChar w:fldCharType="begin">
                <w:fldData xml:space="preserve">PEVuZE5vdGU+PENpdGU+PEF1dGhvcj5UdW9ra29sYTwvQXV0aG9yPjxZZWFyPjIwMTY8L1llYXI+
PFJlY051bT4xNzQyPC9SZWNOdW0+PERpc3BsYXlUZXh0PjxzdHlsZSBmYWNlPSJzdXBlcnNjcmlw
dCIgZm9udD0iVHJlYnVjaGV0IE1TIiBzaXplPSI5Ij45MTwvc3R5bGU+PC9EaXNwbGF5VGV4dD48
cmVjb3JkPjxyZWMtbnVtYmVyPjE3NDI8L3JlYy1udW1iZXI+PGZvcmVpZ24ta2V5cz48a2V5IGFw
cD0iRU4iIGRiLWlkPSJleHZhc3JmeDJkdHJhb2VzYXN4cDJzenN4YTJkZjUwMjU5MngiIHRpbWVz
dGFtcD0iMTU4MjUwNjMxMCI+MTc0Mjwva2V5PjxrZXkgYXBwPSJFTldlYiIgZGItaWQ9IiI+MDwv
a2V5PjwvZm9yZWlnbi1rZXlzPjxyZWYtdHlwZSBuYW1lPSJKb3VybmFsIEFydGljbGUiPjE3PC9y
ZWYtdHlwZT48Y29udHJpYnV0b3JzPjxhdXRob3JzPjxhdXRob3I+VHVva2tvbGEsIEouPC9hdXRo
b3I+PGF1dGhvcj5MdXVra2FpbmVuLCBQLjwvYXV0aG9yPjxhdXRob3I+VGFwYW5haW5lbiwgSC48
L2F1dGhvcj48YXV0aG9yPkthaWxhLCBNLjwvYXV0aG9yPjxhdXRob3I+VmFhcmFsYSwgTy48L2F1
dGhvcj48YXV0aG9yPktlbndhcmQsIE0uIEcuPC9hdXRob3I+PGF1dGhvcj5WaXJ0YSwgTC4gSi48
L2F1dGhvcj48YXV0aG9yPlZlaWpvbGEsIFIuPC9hdXRob3I+PGF1dGhvcj5TaW1lbGwsIE8uPC9h
dXRob3I+PGF1dGhvcj5JbG9uZW4sIEouPC9hdXRob3I+PGF1dGhvcj5LbmlwLCBNLjwvYXV0aG9y
PjxhdXRob3I+VmlydGFuZW4sIFMuIE0uPC9hdXRob3I+PC9hdXRob3JzPjwvY29udHJpYnV0b3Jz
PjxhdXRoLWFkZHJlc3M+Q2hpbGRyZW4mYXBvcztzIEhvc3BpdGFsLCBVbml2ZXJzaXR5IG9mIEhl
bHNpbmtpIGFuZCBIZWxzaW5raSBVbml2ZXJzaXR5IEhvc3BpdGFsLCBIZWxzaW5raSwgRmlubGFu
ZC4mI3hEO051dHJpdGlvbiBVbml0LCBOYXRpb25hbCBJbnN0aXR1dGUgZm9yIEhlYWx0aCBhbmQg
V2VsZmFyZSwgSGVsc2lua2ksIEZpbmxhbmQuJiN4RDtQdWJsaWMgSGVhbHRoIE1lZGljaW5lLCBV
bml2ZXJzaXR5IG9mIEhlbHNpbmtpIGFuZCBIZWxzaW5raSBVbml2ZXJzaXR5IEhvc3BpdGFsLCBI
ZWxzaW5raSwgRmlubGFuZC4mI3hEO0RlcGFydG1lbnQgb2YgUGVkaWF0cmljcywgVGFtcGVyZSBV
bml2ZXJzaXR5IEhvc3BpdGFsLCBUYW1wZXJlLCBGaW5sYW5kLiYjeEQ7SW5zdGl0dXRlIG9mIENs
aW5pY2FsIE1lZGljaW5lLCBVbml2ZXJzaXR5IG9mIEhlbHNpbmtpIGFuZCBIZWxzaW5raSBVbml2
ZXJzaXR5IEhvc3BpdGFsLCBIZWxzaW5raSwgRmlubGFuZC4mI3hEO0RlcGFydG1lbnQgb2YgRXBp
ZGVtaW9sb2d5IGFuZCBQb3B1bGF0aW9uIEhlYWx0aCwgTWVkaWNhbCBTdGF0aXN0aWNzIFVuaXQs
IExvbmRvbiBTY2hvb2wgb2YgSHlnaWVuZSAmYW1wOyBUcm9waWNhbCBNZWRpY2luZSwgTG9uZG9u
LCBVSy4mI3hEO1Jlc2VhcmNoIERlcGFydG1lbnQsIFNvY2lhbCBJbnN1cmFuY2UgSW5zdGl0dXRp
b24sIFR1cmt1LCBGaW5sYW5kLiYjeEQ7RGVwYXJ0bWVudCBvZiBQYWVkaWF0cmljcywgVW5pdmVy
c2l0eSBvZiBPdWx1LCBPdWx1LCBGaW5sYW5kLiYjeEQ7RGVwYXJ0bWVudCBvZiBQZWRpYXRyaWNz
LCBVbml2ZXJzaXR5IG9mIFR1cmt1LCBUdXJrdSwgRmlubGFuZC4mI3hEO0RlcGFydG1lbnQgb2Yg
Q2xpbmljYWwgTWljcm9iaW9sb2d5LCBVbml2ZXJzaXR5IG9mIEVhc3Rlcm4gRmlubGFuZCwgS3Vv
cGlvLCBGaW5sYW5kLiYjeEQ7SW1tdW5vZ2VuZXRpY3MgTGFib3JhdG9yeSwgVW5pdmVyc2l0eSBv
ZiBUdXJrdSwgVHVya3UsIEZpbmxhbmQuJiN4RDtGb2xraGFsc2FuIFJlc2VhcmNoIEluc3RpdHV0
ZSwgSGVsc2lua2ksIEZpbmxhbmQuJiN4RDtTY2llbmNlIENlbnRlciBvZiBQaXJrYW5tYWEgSG9z
cGl0YWwgRGlzdHJpY3QsIFRhbXBlcmUsIEZpbmxhbmQuJiN4RDtTY2hvb2wgb2YgSGVhbHRoIFNj
aWVuY2VzLCBVbml2ZXJzaXR5IG9mIFRhbXBlcmUsIFRhbXBlcmUsIEZpbmxhbmQuPC9hdXRoLWFk
ZHJlc3M+PHRpdGxlcz48dGl0bGU+TWF0ZXJuYWwgZGlldCBkdXJpbmcgcHJlZ25hbmN5IGFuZCBs
YWN0YXRpb24gYW5kIGNvdyZhcG9zO3MgbWlsayBhbGxlcmd5IGluIG9mZnNwcmluZzwvdGl0bGU+
PHNlY29uZGFyeS10aXRsZT5FdXIgSiBDbGluIE51dHI8L3NlY29uZGFyeS10aXRsZT48L3RpdGxl
cz48cGVyaW9kaWNhbD48ZnVsbC10aXRsZT5FdXIgSiBDbGluIE51dHI8L2Z1bGwtdGl0bGU+PC9w
ZXJpb2RpY2FsPjxwYWdlcz41NTQtOTwvcGFnZXM+PHZvbHVtZT43MDwvdm9sdW1lPjxudW1iZXI+
NTwvbnVtYmVyPjxlZGl0aW9uPjIwMTYvMDEvMTQ8L2VkaXRpb24+PGtleXdvcmRzPjxrZXl3b3Jk
PkFkdWx0PC9rZXl3b3JkPjxrZXl3b3JkPkFuaW1hbHM8L2tleXdvcmQ+PGtleXdvcmQ+Q2hpbGQs
IFByZXNjaG9vbDwva2V5d29yZD48a2V5d29yZD5EaWV0LyphZHZlcnNlIGVmZmVjdHM8L2tleXdv
cmQ+PGtleXdvcmQ+RGlldCBTdXJ2ZXlzPC9rZXl3b3JkPjxrZXl3b3JkPkZlbWFsZTwva2V5d29y
ZD48a2V5d29yZD5GZXRhbCBCbG9vZC9pbW11bm9sb2d5PC9rZXl3b3JkPjxrZXl3b3JkPkZpbmxh
bmQ8L2tleXdvcmQ+PGtleXdvcmQ+SHVtYW5zPC9rZXl3b3JkPjxrZXl3b3JkPkltbXVub2dsb2J1
bGluIEEvYW5hbHlzaXM8L2tleXdvcmQ+PGtleXdvcmQ+SW5mYW50PC9rZXl3b3JkPjxrZXl3b3Jk
PkxhY3RhdGlvbi8qcGh5c2lvbG9neTwva2V5d29yZD48a2V5d29yZD5Mb2dpc3RpYyBNb2RlbHM8
L2tleXdvcmQ+PGtleXdvcmQ+TWFsZTwva2V5d29yZD48a2V5d29yZD5NYXRlcm5hbCBOdXRyaXRp
b25hbCBQaHlzaW9sb2dpY2FsIFBoZW5vbWVuYS9waHlzaW9sb2d5PC9rZXl3b3JkPjxrZXl3b3Jk
Pk1pbGsvKmFkdmVyc2UgZWZmZWN0czwva2V5d29yZD48a2V5d29yZD5NaWxrIEh5cGVyc2Vuc2l0
aXZpdHkvKmV0aW9sb2d5L3ByZXZlbnRpb24gJmFtcDsgY29udHJvbDwva2V5d29yZD48a2V5d29y
ZD5QcmVnbmFuY3k8L2tleXdvcmQ+PGtleXdvcmQ+UHJlbmF0YWwgRXhwb3N1cmUgRGVsYXllZCBF
ZmZlY3RzLypldGlvbG9neTwva2V5d29yZD48L2tleXdvcmRzPjxkYXRlcz48eWVhcj4yMDE2PC95
ZWFyPjxwdWItZGF0ZXM+PGRhdGU+TWF5PC9kYXRlPjwvcHViLWRhdGVzPjwvZGF0ZXM+PGlzYm4+
MTQ3Ni01NjQwIChFbGVjdHJvbmljKSYjeEQ7MDk1NC0zMDA3IChMaW5raW5nKTwvaXNibj48YWNj
ZXNzaW9uLW51bT4yNjc1NzgzMjwvYWNjZXNzaW9uLW51bT48dXJscz48cmVsYXRlZC11cmxzPjx1
cmw+aHR0cHM6Ly93d3cubmNiaS5ubG0ubmloLmdvdi9wdWJtZWQvMjY3NTc4MzI8L3VybD48L3Jl
bGF0ZWQtdXJscz48L3VybHM+PGVsZWN0cm9uaWMtcmVzb3VyY2UtbnVtPjEwLjEwMzgvZWpjbi4y
MDE1LjIyMzwvZWxlY3Ryb25pYy1yZXNvdXJjZS1udW0+PC9yZWNvcmQ+PC9DaXRlPjwvRW5kTm90
ZT5=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91</w:t>
            </w:r>
            <w:r w:rsidR="00774750">
              <w:fldChar w:fldCharType="end"/>
            </w:r>
          </w:p>
          <w:p w14:paraId="454A51EF" w14:textId="77777777" w:rsidR="004D3AA4" w:rsidRPr="00F013EC" w:rsidRDefault="004D3AA4" w:rsidP="007A69A9">
            <w:r w:rsidRPr="00F013EC">
              <w:t>Finland</w:t>
            </w:r>
          </w:p>
          <w:p w14:paraId="38BD3408" w14:textId="6A19BC36" w:rsidR="004D3AA4" w:rsidRPr="00F013EC" w:rsidRDefault="004D3AA4" w:rsidP="007A69A9">
            <w:r w:rsidRPr="00F013EC">
              <w:t>Cohort</w:t>
            </w:r>
          </w:p>
        </w:tc>
        <w:tc>
          <w:tcPr>
            <w:tcW w:w="1417" w:type="dxa"/>
          </w:tcPr>
          <w:p w14:paraId="4D81F1F2" w14:textId="05D0E600" w:rsidR="004D3AA4" w:rsidRPr="00F013EC" w:rsidRDefault="004D3AA4" w:rsidP="007A69A9">
            <w:r w:rsidRPr="00F013EC">
              <w:t>6,288</w:t>
            </w:r>
          </w:p>
        </w:tc>
        <w:tc>
          <w:tcPr>
            <w:tcW w:w="4532" w:type="dxa"/>
          </w:tcPr>
          <w:p w14:paraId="37D4FC10" w14:textId="77777777" w:rsidR="004D3AA4" w:rsidRPr="00F013EC" w:rsidRDefault="004D3AA4" w:rsidP="004D3AA4">
            <w:r w:rsidRPr="00F013EC">
              <w:rPr>
                <w:b/>
              </w:rPr>
              <w:t>Aim</w:t>
            </w:r>
            <w:r w:rsidRPr="00F013EC">
              <w:t xml:space="preserve">: To study the associations between maternal diet during pregnancy and lactation and cow's milk allergy (CMA) in offspring. </w:t>
            </w:r>
          </w:p>
          <w:p w14:paraId="0D2B9EFE" w14:textId="3A144C7E" w:rsidR="004D3AA4" w:rsidRPr="00F013EC" w:rsidRDefault="004D3AA4" w:rsidP="004D3AA4">
            <w:pPr>
              <w:rPr>
                <w:b/>
              </w:rPr>
            </w:pPr>
            <w:r w:rsidRPr="00F013EC">
              <w:rPr>
                <w:b/>
              </w:rPr>
              <w:t>Methods</w:t>
            </w:r>
            <w:r w:rsidRPr="00F013EC">
              <w:t xml:space="preserve">: Maternal diet during pregnancy and lactation was assessed by a validated, 181-item semi-quantitative food frequency questionnaire. Register-based information on diagnosed CMA was obtained from the Social Insurance Institution and completed with parental reports. The associations between maternal food consumption and CMA were assessed using logistic regression, comparing the highest and the lowest quarters to the middle half of consumption. </w:t>
            </w:r>
          </w:p>
        </w:tc>
        <w:tc>
          <w:tcPr>
            <w:tcW w:w="4536" w:type="dxa"/>
          </w:tcPr>
          <w:p w14:paraId="3C68B94E" w14:textId="2F1E33DD" w:rsidR="00451E7C" w:rsidRPr="00F013EC" w:rsidRDefault="004D3AA4" w:rsidP="004D3AA4">
            <w:r w:rsidRPr="00F013EC">
              <w:t xml:space="preserve">Consumption of milk products in the highest </w:t>
            </w:r>
            <w:r w:rsidR="00F013EC" w:rsidRPr="00F013EC">
              <w:t>quartile</w:t>
            </w:r>
            <w:r w:rsidRPr="00F013EC">
              <w:t xml:space="preserve"> during pregnancy was associated with a lower risk of </w:t>
            </w:r>
            <w:r w:rsidR="00F013EC" w:rsidRPr="00F013EC">
              <w:t>cow’s milk allergy</w:t>
            </w:r>
            <w:r w:rsidRPr="00F013EC">
              <w:t xml:space="preserve"> in </w:t>
            </w:r>
            <w:r w:rsidR="00F013EC" w:rsidRPr="00F013EC">
              <w:t>children</w:t>
            </w:r>
            <w:r w:rsidRPr="00F013EC">
              <w:t xml:space="preserve"> (OR 0.56, 95%CI 0.37 to 0.86; P&lt;0.01). </w:t>
            </w:r>
          </w:p>
          <w:p w14:paraId="5D7F3416" w14:textId="1B9E6ED8" w:rsidR="004D3AA4" w:rsidRPr="004D3AA4" w:rsidRDefault="004D3AA4" w:rsidP="00451E7C">
            <w:r w:rsidRPr="00F013EC">
              <w:t>When stratified by maternal allergic rhinitis and asthma, there was evidence of an inverse association between high use of milk products and CMA in offspring of non</w:t>
            </w:r>
            <w:r w:rsidR="00451E7C" w:rsidRPr="00F013EC">
              <w:t>-allergic mothers (OR 0.30, 95%</w:t>
            </w:r>
            <w:r w:rsidRPr="00F013EC">
              <w:t>CI 0.13</w:t>
            </w:r>
            <w:r w:rsidR="00451E7C" w:rsidRPr="00F013EC">
              <w:t xml:space="preserve"> to </w:t>
            </w:r>
            <w:r w:rsidRPr="00F013EC">
              <w:t>0.69, P&lt;0.001).</w:t>
            </w:r>
          </w:p>
        </w:tc>
        <w:tc>
          <w:tcPr>
            <w:tcW w:w="1843" w:type="dxa"/>
          </w:tcPr>
          <w:p w14:paraId="73FE2A92" w14:textId="77777777" w:rsidR="004D3AA4" w:rsidRPr="00C17B92" w:rsidRDefault="004D3AA4" w:rsidP="007A69A9"/>
        </w:tc>
      </w:tr>
      <w:tr w:rsidR="00AE3B9A" w:rsidRPr="00C17B92" w14:paraId="5023657D" w14:textId="77777777" w:rsidTr="007A69A9">
        <w:trPr>
          <w:cantSplit/>
          <w:trHeight w:val="390"/>
        </w:trPr>
        <w:tc>
          <w:tcPr>
            <w:tcW w:w="1564" w:type="dxa"/>
          </w:tcPr>
          <w:p w14:paraId="0E463A24" w14:textId="780A3D02" w:rsidR="00AE3B9A" w:rsidRPr="007738C3" w:rsidRDefault="00AE3B9A" w:rsidP="007A69A9">
            <w:r w:rsidRPr="007738C3">
              <w:t xml:space="preserve">Miyake et al </w:t>
            </w:r>
            <w:r w:rsidR="00122554">
              <w:t>2015</w:t>
            </w:r>
            <w:r w:rsidR="00774750">
              <w:fldChar w:fldCharType="begin"/>
            </w:r>
            <w:r w:rsidR="002747EA">
              <w:instrText xml:space="preserve"> ADDIN EN.CITE &lt;EndNote&gt;&lt;Cite&gt;&lt;Author&gt;Miyake&lt;/Author&gt;&lt;Year&gt;2015&lt;/Year&gt;&lt;RecNum&gt;1465&lt;/RecNum&gt;&lt;DisplayText&gt;&lt;style face="superscript" font="Trebuchet MS" size="9"&gt;89&lt;/style&gt;&lt;/DisplayText&gt;&lt;record&gt;&lt;rec-number&gt;1465&lt;/rec-number&gt;&lt;foreign-keys&gt;&lt;key app="EN" db-id="exvasrfx2dtraoesasxp2szsxa2df502592x" timestamp="1574039613"&gt;1465&lt;/key&gt;&lt;key app="ENWeb" db-id=""&gt;0&lt;/key&gt;&lt;/foreign-keys&gt;&lt;ref-type name="Journal Article"&gt;17&lt;/ref-type&gt;&lt;contributors&gt;&lt;authors&gt;&lt;author&gt;Miyake, Y.&lt;/author&gt;&lt;author&gt;Tanaka, K.&lt;/author&gt;&lt;author&gt;Okubo, H.&lt;/author&gt;&lt;author&gt;Sasaki, S.&lt;/author&gt;&lt;author&gt;Arakawa, M.&lt;/author&gt;&lt;/authors&gt;&lt;/contributors&gt;&lt;titles&gt;&lt;title&gt;Intake of dairy products and calcium and prevalence of depressive symptoms during pregnancy in Japan: a cross-sectional study&lt;/title&gt;&lt;secondary-title&gt;BJOG&lt;/secondary-title&gt;&lt;/titles&gt;&lt;periodical&gt;&lt;full-title&gt;BJOG&lt;/full-title&gt;&lt;/periodical&gt;&lt;pages&gt;336-43&lt;/pages&gt;&lt;volume&gt;122&lt;/volume&gt;&lt;number&gt;3&lt;/number&gt;&lt;section&gt;336&lt;/section&gt;&lt;dates&gt;&lt;year&gt;2015&lt;/year&gt;&lt;/dates&gt;&lt;isbn&gt;14700328&lt;/isbn&gt;&lt;urls&gt;&lt;/urls&gt;&lt;electronic-resource-num&gt;10.1111/1471-0528.12972&lt;/electronic-resource-num&gt;&lt;/record&gt;&lt;/Cite&gt;&lt;/EndNote&gt;</w:instrText>
            </w:r>
            <w:r w:rsidR="00774750">
              <w:fldChar w:fldCharType="separate"/>
            </w:r>
            <w:r w:rsidR="002747EA" w:rsidRPr="002747EA">
              <w:rPr>
                <w:noProof/>
                <w:vertAlign w:val="superscript"/>
              </w:rPr>
              <w:t>89</w:t>
            </w:r>
            <w:r w:rsidR="00774750">
              <w:fldChar w:fldCharType="end"/>
            </w:r>
          </w:p>
          <w:p w14:paraId="3731405C" w14:textId="77777777" w:rsidR="00AE3B9A" w:rsidRPr="007738C3" w:rsidRDefault="00AE3B9A" w:rsidP="007A69A9">
            <w:r w:rsidRPr="007738C3">
              <w:t>Japan</w:t>
            </w:r>
          </w:p>
          <w:p w14:paraId="3939C356" w14:textId="64EC0DAD" w:rsidR="00AE3B9A" w:rsidRPr="007738C3" w:rsidRDefault="00AE3B9A" w:rsidP="007A69A9">
            <w:r w:rsidRPr="007738C3">
              <w:t>Cross-section</w:t>
            </w:r>
          </w:p>
        </w:tc>
        <w:tc>
          <w:tcPr>
            <w:tcW w:w="1417" w:type="dxa"/>
          </w:tcPr>
          <w:p w14:paraId="78078910" w14:textId="402C8C42" w:rsidR="00AE3B9A" w:rsidRPr="007738C3" w:rsidRDefault="00AE3B9A" w:rsidP="007A69A9">
            <w:r w:rsidRPr="007738C3">
              <w:t>1,354 mother-child pairs</w:t>
            </w:r>
          </w:p>
        </w:tc>
        <w:tc>
          <w:tcPr>
            <w:tcW w:w="4532" w:type="dxa"/>
          </w:tcPr>
          <w:p w14:paraId="3CA7EC37" w14:textId="77777777" w:rsidR="00AE3B9A" w:rsidRPr="007738C3" w:rsidRDefault="00AE3B9A" w:rsidP="00AE3B9A">
            <w:r w:rsidRPr="007738C3">
              <w:rPr>
                <w:b/>
              </w:rPr>
              <w:t>Aim</w:t>
            </w:r>
            <w:r w:rsidRPr="007738C3">
              <w:t xml:space="preserve">: To examine the association between maternal intake of dairy foods, calcium, and vitamin D during pregnancy and childhood allergic disorders in Japanese children aged 23 to 29 months. </w:t>
            </w:r>
          </w:p>
          <w:p w14:paraId="54222E50" w14:textId="0C3D3F53" w:rsidR="00AE3B9A" w:rsidRPr="007738C3" w:rsidRDefault="00AE3B9A" w:rsidP="00AE3B9A">
            <w:pPr>
              <w:rPr>
                <w:b/>
              </w:rPr>
            </w:pPr>
            <w:r w:rsidRPr="007738C3">
              <w:rPr>
                <w:b/>
              </w:rPr>
              <w:t>Methods</w:t>
            </w:r>
            <w:r w:rsidRPr="007738C3">
              <w:t xml:space="preserve">: Maternal intake during pregnancy was assessed with a validated diet history questionnaire administered between April 2007 and March 2008. Wheeze and eczema, defined according to criteria of the International Study of Asthma and Allergies in Childhood, and physician-diagnosed asthma and atopic eczema were assessed via a questionnaire completed by mothers. </w:t>
            </w:r>
          </w:p>
        </w:tc>
        <w:tc>
          <w:tcPr>
            <w:tcW w:w="4536" w:type="dxa"/>
          </w:tcPr>
          <w:p w14:paraId="57D62A8C" w14:textId="010F8DE1" w:rsidR="00AE3B9A" w:rsidRPr="007738C3" w:rsidRDefault="00AE3B9A" w:rsidP="00AE3B9A">
            <w:r w:rsidRPr="007738C3">
              <w:t xml:space="preserve">Higher maternal intake of total dairy products during pregnancy was significantly associated with a reduced risk of infantile eczema between extreme quartiles (aOR 0.64; 95%CI 0.42 to 0.98). </w:t>
            </w:r>
          </w:p>
          <w:p w14:paraId="692BFF01" w14:textId="746886C8" w:rsidR="00AE3B9A" w:rsidRPr="007738C3" w:rsidRDefault="00AE3B9A" w:rsidP="00AE3B9A">
            <w:r w:rsidRPr="007738C3">
              <w:t xml:space="preserve">Higher maternal intake of cheese during pregnancy was significantly related to a reduced risk of physician-diagnosed infantile asthma </w:t>
            </w:r>
            <w:r w:rsidR="005F274B" w:rsidRPr="007738C3">
              <w:t xml:space="preserve">between extreme quartiles (aOR 0.44; 95%CI 0.18 to </w:t>
            </w:r>
            <w:r w:rsidRPr="007738C3">
              <w:t xml:space="preserve">0.97). </w:t>
            </w:r>
          </w:p>
          <w:p w14:paraId="3E578483" w14:textId="4851D7C0" w:rsidR="00AE3B9A" w:rsidRPr="00AE3B9A" w:rsidRDefault="00AE3B9A" w:rsidP="005F274B">
            <w:r w:rsidRPr="007738C3">
              <w:t xml:space="preserve">Maternal intake levels of yogurt during pregnancy were significantly inversely associated with physician-diagnosed infantile atopic eczema </w:t>
            </w:r>
            <w:r w:rsidR="005F274B" w:rsidRPr="007738C3">
              <w:t xml:space="preserve">between extreme quartiles </w:t>
            </w:r>
            <w:r w:rsidRPr="007738C3">
              <w:t>(</w:t>
            </w:r>
            <w:r w:rsidR="005F274B" w:rsidRPr="007738C3">
              <w:t>aOR</w:t>
            </w:r>
            <w:r w:rsidRPr="007738C3">
              <w:t xml:space="preserve"> 0.49; 95% CI, 0.20</w:t>
            </w:r>
            <w:r w:rsidR="005F274B" w:rsidRPr="007738C3">
              <w:t xml:space="preserve"> to </w:t>
            </w:r>
            <w:r w:rsidRPr="007738C3">
              <w:t>1.16).</w:t>
            </w:r>
            <w:r w:rsidRPr="00AE3B9A">
              <w:t xml:space="preserve"> </w:t>
            </w:r>
          </w:p>
        </w:tc>
        <w:tc>
          <w:tcPr>
            <w:tcW w:w="1843" w:type="dxa"/>
          </w:tcPr>
          <w:p w14:paraId="3E835A13" w14:textId="77777777" w:rsidR="00AE3B9A" w:rsidRPr="00C17B92" w:rsidRDefault="00AE3B9A" w:rsidP="007A69A9"/>
        </w:tc>
      </w:tr>
      <w:tr w:rsidR="00AF1D6E" w:rsidRPr="00C17B92" w14:paraId="7693DC59" w14:textId="77777777" w:rsidTr="007A69A9">
        <w:trPr>
          <w:cantSplit/>
          <w:trHeight w:val="390"/>
        </w:trPr>
        <w:tc>
          <w:tcPr>
            <w:tcW w:w="1564" w:type="dxa"/>
          </w:tcPr>
          <w:p w14:paraId="374EFB4F" w14:textId="7B588916" w:rsidR="00AF1D6E" w:rsidRPr="004A107E" w:rsidRDefault="00AF1D6E" w:rsidP="007A69A9">
            <w:r w:rsidRPr="004A107E">
              <w:t>Wang et al 2015</w:t>
            </w:r>
            <w:r w:rsidR="00774750">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 </w:instrText>
            </w:r>
            <w:r w:rsidR="002747EA">
              <w:fldChar w:fldCharType="begin">
                <w:fldData xml:space="preserve">PEVuZE5vdGU+PENpdGU+PEF1dGhvcj5XYW5nPC9BdXRob3I+PFllYXI+MjAxNTwvWWVhcj48UmVj
TnVtPjE3NTA8L1JlY051bT48RGlzcGxheVRleHQ+PHN0eWxlIGZhY2U9InN1cGVyc2NyaXB0IiBm
b250PSJUcmVidWNoZXQgTVMiIHNpemU9IjkiPjcyPC9zdHlsZT48L0Rpc3BsYXlUZXh0PjxyZWNv
cmQ+PHJlYy1udW1iZXI+MTc1MDwvcmVjLW51bWJlcj48Zm9yZWlnbi1rZXlzPjxrZXkgYXBwPSJF
TiIgZGItaWQ9ImV4dmFzcmZ4MmR0cmFvZXNhc3hwMnN6c3hhMmRmNTAyNTkyeCIgdGltZXN0YW1w
PSIxNTgyNTA2MzY4Ij4xNzUwPC9rZXk+PGtleSBhcHA9IkVOV2ViIiBkYi1pZD0iIj4wPC9rZXk+
PC9mb3JlaWduLWtleXM+PHJlZi10eXBlIG5hbWU9IkpvdXJuYWwgQXJ0aWNsZSI+MTc8L3JlZi10
eXBlPjxjb250cmlidXRvcnM+PGF1dGhvcnM+PGF1dGhvcj5XYW5nLCBNLjwvYXV0aG9yPjxhdXRo
b3I+V2FuZywgWi4gUC48L2F1dGhvcj48YXV0aG9yPkdhbywgTC4gSi48L2F1dGhvcj48YXV0aG9y
PllhbmcsIEguPC9hdXRob3I+PGF1dGhvcj5aaGFvLCBaLiBULjwvYXV0aG9yPjwvYXV0aG9ycz48
L2NvbnRyaWJ1dG9ycz48YXV0aC1hZGRyZXNzPkRlcGFydG1lbnQgb2YgRXBpZGVtaW9sb2d5IGFu
ZCBIZWFsdGggU3RhdGlzdGljcywgU2Nob29sIG9mIFB1YmxpYyBIZWFsdGgsIFNoYW5kb25nIFVu
aXZlcnNpdHksIDQ0IFdlbmh1YVhpbHUgUm9hZCwgSmluYW4gMjUwMDEyLCBTaGFuZG9uZywgQ2hp
bmEuIG13YW5nQGNkYy56ai5jbi4mI3hEO1poZWppYW5nIFByb3ZpbmNpYWwgQ2VudGVyIGZvciBE
aXNlYXNlIENvbnRyb2wgYW5kIFByZXZlbnRpb24sIDMzOTkgQmluc2hlbmcgUm9hZCwgSGFuZ3po
b3UgMzEwMDUxLCBaaGVqaWFuZywgQ2hpbmEuIG13YW5nQGNkYy56ai5jbi4mI3hEO0RlcGFydG1l
bnQgb2YgRXBpZGVtaW9sb2d5IGFuZCBIZWFsdGggU3RhdGlzdGljcywgU2Nob29sIG9mIFB1Ymxp
YyBIZWFsdGgsIFNoYW5kb25nIFVuaXZlcnNpdHksIDQ0IFdlbmh1YVhpbHUgUm9hZCwgSmluYW4g
MjUwMDEyLCBTaGFuZG9uZywgQ2hpbmEuIG15Y2RjMTIzNEAxNjMuY29tLiYjeEQ7RGVwYXJ0bWVu
dCBvZiBFcGlkZW1pb2xvZ3kgYW5kIEhlYWx0aCBTdGF0aXN0aWNzLCBTY2hvb2wgb2YgUHVibGlj
IEhlYWx0aCwgU2hhbmRvbmcgVW5pdmVyc2l0eSwgNDQgV2VuaHVhWGlsdSBSb2FkLCBKaW5hbiAy
NTAwMTIsIFNoYW5kb25nLCBDaGluYS4gbGlqaWVnYW9Ac2R1LmVkdS5jbi4mI3hEO0RlcGFydG1l
bnQgb2YgRXBpZGVtaW9sb2d5IGFuZCBIZWFsdGggU3RhdGlzdGljcywgU2Nob29sIG9mIFB1Ymxp
YyBIZWFsdGgsIFNoYW5kb25nIFVuaXZlcnNpdHksIDQ0IFdlbmh1YVhpbHUgUm9hZCwgSmluYW4g
MjUwMDEyLCBTaGFuZG9uZywgQ2hpbmEuIGh5YW5nc2QxMjM0QDE2My5jb20uJiN4RDtEZXBhcnRt
ZW50IG9mIEVwaWRlbWlvbG9neSBhbmQgSGVhbHRoIFN0YXRpc3RpY3MsIFNjaG9vbCBvZiBQdWJs
aWMgSGVhbHRoLCBTaGFuZG9uZyBVbml2ZXJzaXR5LCA0NCBXZW5odWFYaWx1IFJvYWQsIEppbmFu
IDI1MDAxMiwgU2hhbmRvbmcsIENoaW5hLiB6dHpoYW9Ac2R1LmVkdS5jbi48L2F1dGgtYWRkcmVz
cz48dGl0bGVzPjx0aXRsZT5NYXRlcm5hbCBjb25zdW1wdGlvbiBvZiBub24tc3RhcGxlIGZvb2Qg
aW4gdGhlIGZpcnN0IHRyaW1lc3RlciBhbmQgcmlzayBvZiBuZXVyYWwgdHViZSBkZWZlY3RzIGlu
IG9mZnNwcmluZzwvdGl0bGU+PHNlY29uZGFyeS10aXRsZT5OdXRyaWVudHM8L3NlY29uZGFyeS10
aXRsZT48L3RpdGxlcz48cGVyaW9kaWNhbD48ZnVsbC10aXRsZT5OdXRyaWVudHM8L2Z1bGwtdGl0
bGU+PC9wZXJpb2RpY2FsPjxwYWdlcz4zMDY3LTc3PC9wYWdlcz48dm9sdW1lPjc8L3ZvbHVtZT48
bnVtYmVyPjU8L251bWJlcj48ZWRpdGlvbj4yMDE1LzA0LzI5PC9lZGl0aW9uPjxrZXl3b3Jkcz48
a2V5d29yZD5BZHVsdDwva2V5d29yZD48a2V5d29yZD5DYXNlLUNvbnRyb2wgU3R1ZGllczwva2V5
d29yZD48a2V5d29yZD5EaWV0LyphZHZlcnNlIGVmZmVjdHM8L2tleXdvcmQ+PGtleXdvcmQ+RmVt
YWxlPC9rZXl3b3JkPjxrZXl3b3JkPipGb29kPC9rZXl3b3JkPjxrZXl3b3JkPkh1bWFuczwva2V5
d29yZD48a2V5d29yZD5JbmZhbnQsIE5ld2Jvcm48L2tleXdvcmQ+PGtleXdvcmQ+TG9naXN0aWMg
TW9kZWxzPC9rZXl3b3JkPjxrZXl3b3JkPk1vdGhlcnM8L2tleXdvcmQ+PGtleXdvcmQ+TmV1cmFs
IFR1YmUgRGVmZWN0cy9lcGlkZW1pb2xvZ3kvKmV0aW9sb2d5PC9rZXl3b3JkPjxrZXl3b3JkPk9k
ZHMgUmF0aW88L2tleXdvcmQ+PGtleXdvcmQ+UHJlZ25hbmN5PC9rZXl3b3JkPjxrZXl3b3JkPlBy
ZWduYW5jeSBUcmltZXN0ZXIsIEZpcnN0PC9rZXl3b3JkPjxrZXl3b3JkPipQcmVuYXRhbCBOdXRy
aXRpb25hbCBQaHlzaW9sb2dpY2FsIFBoZW5vbWVuYTwva2V5d29yZD48a2V5d29yZD5SaXNrIEZh
Y3RvcnM8L2tleXdvcmQ+PGtleXdvcmQ+U3VydmV5cyBhbmQgUXVlc3Rpb25uYWlyZXM8L2tleXdv
cmQ+PC9rZXl3b3Jkcz48ZGF0ZXM+PHllYXI+MjAxNTwveWVhcj48cHViLWRhdGVzPjxkYXRlPkFw
ciAyNDwvZGF0ZT48L3B1Yi1kYXRlcz48L2RhdGVzPjxpc2JuPjIwNzItNjY0MyAoRWxlY3Ryb25p
YykmI3hEOzIwNzItNjY0MyAoTGlua2luZyk8L2lzYm4+PGFjY2Vzc2lvbi1udW0+MjU5MTkzMDY8
L2FjY2Vzc2lvbi1udW0+PHVybHM+PHJlbGF0ZWQtdXJscz48dXJsPmh0dHBzOi8vd3d3Lm5jYmku
bmxtLm5paC5nb3YvcHVibWVkLzI1OTE5MzA2PC91cmw+PC9yZWxhdGVkLXVybHM+PC91cmxzPjxj
dXN0b20yPlBNQzQ0NDY3Mzk8L2N1c3RvbTI+PGVsZWN0cm9uaWMtcmVzb3VyY2UtbnVtPjEwLjMz
OTAvbnU3MDUzMDY3PC9lbGVjdHJvbmljLXJlc291cmNlLW51bT48L3JlY29yZD48L0NpdGU+PC9F
bmROb3RlPn==
</w:fldData>
              </w:fldChar>
            </w:r>
            <w:r w:rsidR="002747EA">
              <w:instrText xml:space="preserve"> ADDIN EN.CITE.DATA </w:instrText>
            </w:r>
            <w:r w:rsidR="002747EA">
              <w:fldChar w:fldCharType="end"/>
            </w:r>
            <w:r w:rsidR="00774750">
              <w:fldChar w:fldCharType="separate"/>
            </w:r>
            <w:r w:rsidR="002747EA" w:rsidRPr="002747EA">
              <w:rPr>
                <w:noProof/>
                <w:vertAlign w:val="superscript"/>
              </w:rPr>
              <w:t>72</w:t>
            </w:r>
            <w:r w:rsidR="00774750">
              <w:fldChar w:fldCharType="end"/>
            </w:r>
          </w:p>
          <w:p w14:paraId="6C0BD69F" w14:textId="67540109" w:rsidR="00AF1D6E" w:rsidRPr="004A107E" w:rsidRDefault="00AF1D6E" w:rsidP="007A69A9">
            <w:r w:rsidRPr="004A107E">
              <w:t>China</w:t>
            </w:r>
          </w:p>
          <w:p w14:paraId="4E3030C7" w14:textId="1CB8A158" w:rsidR="00AF1D6E" w:rsidRPr="004A107E" w:rsidRDefault="00AF1D6E" w:rsidP="007A69A9">
            <w:r w:rsidRPr="004A107E">
              <w:t>Case-control</w:t>
            </w:r>
          </w:p>
        </w:tc>
        <w:tc>
          <w:tcPr>
            <w:tcW w:w="1417" w:type="dxa"/>
          </w:tcPr>
          <w:p w14:paraId="7B01984B" w14:textId="77777777" w:rsidR="00AF1D6E" w:rsidRPr="004A107E" w:rsidRDefault="00AF1D6E" w:rsidP="007A69A9">
            <w:r w:rsidRPr="004A107E">
              <w:t>459 cases</w:t>
            </w:r>
          </w:p>
          <w:p w14:paraId="29CC1FF4" w14:textId="356CCEC9" w:rsidR="00AF1D6E" w:rsidRPr="004A107E" w:rsidRDefault="00AF1D6E" w:rsidP="007A69A9">
            <w:r w:rsidRPr="004A107E">
              <w:t>459 controls</w:t>
            </w:r>
          </w:p>
        </w:tc>
        <w:tc>
          <w:tcPr>
            <w:tcW w:w="4532" w:type="dxa"/>
          </w:tcPr>
          <w:p w14:paraId="48F0F4F6" w14:textId="77777777" w:rsidR="00AF1D6E" w:rsidRPr="004A107E" w:rsidRDefault="00AF1D6E" w:rsidP="00AF1D6E">
            <w:r w:rsidRPr="004A107E">
              <w:rPr>
                <w:b/>
              </w:rPr>
              <w:t>Aim</w:t>
            </w:r>
            <w:r w:rsidRPr="004A107E">
              <w:t xml:space="preserve">: To study the associations between maternal consumption of non-staple food in the first trimester and risk of neural tube defects (NTDs) in offspring. </w:t>
            </w:r>
          </w:p>
          <w:p w14:paraId="16F2AF6E" w14:textId="2A45B742" w:rsidR="00AF1D6E" w:rsidRPr="004A107E" w:rsidRDefault="00AF1D6E" w:rsidP="00AF1D6E">
            <w:pPr>
              <w:rPr>
                <w:b/>
              </w:rPr>
            </w:pPr>
            <w:r w:rsidRPr="004A107E">
              <w:rPr>
                <w:b/>
              </w:rPr>
              <w:t>Methods</w:t>
            </w:r>
            <w:r w:rsidRPr="004A107E">
              <w:t>: Logistic regression models were used to examine the associations between maternal consumption of non-staple food in the first trimester and risk of NTDs in offspring. The effects were evaluated by odds ratio (OR) and 95% confidence intervals (95% CIs) with SAS9.1.3.software.</w:t>
            </w:r>
          </w:p>
        </w:tc>
        <w:tc>
          <w:tcPr>
            <w:tcW w:w="4536" w:type="dxa"/>
          </w:tcPr>
          <w:p w14:paraId="7740D5FD" w14:textId="2085794F" w:rsidR="00AF1D6E" w:rsidRPr="004A107E" w:rsidRDefault="00AF1D6E" w:rsidP="00AF1D6E">
            <w:r w:rsidRPr="004A107E">
              <w:t xml:space="preserve">Compared with consumption frequency of &lt;1 meal/week, the ORs for </w:t>
            </w:r>
            <w:r w:rsidR="004C27B4">
              <w:t xml:space="preserve">neural tube defects with </w:t>
            </w:r>
            <w:r w:rsidRPr="004A107E">
              <w:t xml:space="preserve">milk consumption frequency of 1-2, 3-6, ≥7 meals/week were 0.50 (95% CI: 0.28 to 0.88), 0.56 (0.32 to 0.99), and 0.59 (0.38 to 0.90), respectively. </w:t>
            </w:r>
          </w:p>
        </w:tc>
        <w:tc>
          <w:tcPr>
            <w:tcW w:w="1843" w:type="dxa"/>
          </w:tcPr>
          <w:p w14:paraId="0D5E529C" w14:textId="77777777" w:rsidR="00AF1D6E" w:rsidRPr="00C17B92" w:rsidRDefault="00AF1D6E" w:rsidP="007A69A9"/>
        </w:tc>
      </w:tr>
      <w:tr w:rsidR="0079448D" w:rsidRPr="00C17B92" w14:paraId="0ADFC69B" w14:textId="77777777" w:rsidTr="007A69A9">
        <w:trPr>
          <w:cantSplit/>
          <w:trHeight w:val="390"/>
        </w:trPr>
        <w:tc>
          <w:tcPr>
            <w:tcW w:w="1564" w:type="dxa"/>
          </w:tcPr>
          <w:p w14:paraId="4C3C20C8" w14:textId="1D22D240" w:rsidR="0079448D" w:rsidRPr="00E61514" w:rsidRDefault="0079448D" w:rsidP="007A69A9">
            <w:r>
              <w:t>Bunyavanich et al 2014</w:t>
            </w:r>
            <w:r>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 </w:instrText>
            </w:r>
            <w:r w:rsidR="002747EA">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90</w:t>
            </w:r>
            <w:r>
              <w:fldChar w:fldCharType="end"/>
            </w:r>
          </w:p>
          <w:p w14:paraId="39C27964" w14:textId="77777777" w:rsidR="0079448D" w:rsidRDefault="0079448D" w:rsidP="007A69A9">
            <w:r>
              <w:t>United States</w:t>
            </w:r>
          </w:p>
          <w:p w14:paraId="74B7B7E8" w14:textId="77777777" w:rsidR="0079448D" w:rsidRPr="00C17B92" w:rsidRDefault="0079448D" w:rsidP="007A69A9">
            <w:r>
              <w:t>Cohort</w:t>
            </w:r>
          </w:p>
        </w:tc>
        <w:tc>
          <w:tcPr>
            <w:tcW w:w="1417" w:type="dxa"/>
          </w:tcPr>
          <w:p w14:paraId="47174388" w14:textId="77777777" w:rsidR="0079448D" w:rsidRPr="00C17B92" w:rsidRDefault="0079448D" w:rsidP="007A69A9">
            <w:r>
              <w:t>1,227 mother-child pairs</w:t>
            </w:r>
          </w:p>
        </w:tc>
        <w:tc>
          <w:tcPr>
            <w:tcW w:w="4532" w:type="dxa"/>
          </w:tcPr>
          <w:p w14:paraId="628682CF" w14:textId="77777777" w:rsidR="0079448D" w:rsidRDefault="0079448D" w:rsidP="00AF1D6E">
            <w:r w:rsidRPr="00E61514">
              <w:rPr>
                <w:b/>
              </w:rPr>
              <w:t>Aim</w:t>
            </w:r>
            <w:r>
              <w:t>: T</w:t>
            </w:r>
            <w:r w:rsidRPr="00E61514">
              <w:t xml:space="preserve">o examine the associations between maternal intake of common childhood food allergens during early pregnancy and childhood allergy and asthma. </w:t>
            </w:r>
          </w:p>
          <w:p w14:paraId="5D552733" w14:textId="77777777" w:rsidR="0079448D" w:rsidRPr="00C17B92" w:rsidRDefault="0079448D" w:rsidP="00AF1D6E">
            <w:r w:rsidRPr="00E61514">
              <w:rPr>
                <w:b/>
              </w:rPr>
              <w:t>Methods</w:t>
            </w:r>
            <w:r w:rsidRPr="00E61514">
              <w:t>: Using food frequency questionnaires administered during the first and second trimesters, we assessed maternal intake of common childhood food allergens during pregna</w:t>
            </w:r>
            <w:r>
              <w:t>ncy. In mid-childhood (mean age</w:t>
            </w:r>
            <w:r w:rsidRPr="00E61514">
              <w:t xml:space="preserve"> 7.9 years), we assessed food allergy, asthma, allergic rhinitis, and atopic dermatitis by questionnaire and serum-specific IgE levels. We examined the associations between maternal diet during pregnancy and childhood allergy and asthma. We also examined the cross-sectional associations between specific food allergies, asthma, and atopic conditions in mid-childhood. </w:t>
            </w:r>
          </w:p>
        </w:tc>
        <w:tc>
          <w:tcPr>
            <w:tcW w:w="4536" w:type="dxa"/>
          </w:tcPr>
          <w:p w14:paraId="26CDADDD" w14:textId="77777777" w:rsidR="0079448D" w:rsidRDefault="0079448D" w:rsidP="00AF1D6E">
            <w:r w:rsidRPr="00E61514">
              <w:t>Higher milk intake during the first trimester was ass</w:t>
            </w:r>
            <w:r>
              <w:t>ociated with reduced asthma (OR</w:t>
            </w:r>
            <w:r w:rsidRPr="00E61514">
              <w:t xml:space="preserve"> 0.83; </w:t>
            </w:r>
            <w:r>
              <w:t>95% CI</w:t>
            </w:r>
            <w:r w:rsidRPr="00E61514">
              <w:t xml:space="preserve"> 0.69</w:t>
            </w:r>
            <w:r>
              <w:t xml:space="preserve"> to 0.99) and allergic rhinitis (OR 0.85; 95%CI</w:t>
            </w:r>
            <w:r w:rsidRPr="00E61514">
              <w:t xml:space="preserve"> 0.74</w:t>
            </w:r>
            <w:r>
              <w:t xml:space="preserve"> to </w:t>
            </w:r>
            <w:r w:rsidRPr="00E61514">
              <w:t xml:space="preserve">0.97). </w:t>
            </w:r>
          </w:p>
          <w:p w14:paraId="3B93C510" w14:textId="77777777" w:rsidR="0079448D" w:rsidRPr="00E61514" w:rsidRDefault="0079448D" w:rsidP="007A69A9"/>
        </w:tc>
        <w:tc>
          <w:tcPr>
            <w:tcW w:w="1843" w:type="dxa"/>
          </w:tcPr>
          <w:p w14:paraId="2EFBBF1F" w14:textId="683C01F0" w:rsidR="0079448D" w:rsidRPr="00C17B92" w:rsidRDefault="0079448D" w:rsidP="007A69A9"/>
        </w:tc>
      </w:tr>
      <w:tr w:rsidR="0079448D" w:rsidRPr="00C17B92" w14:paraId="183308E6" w14:textId="77777777" w:rsidTr="007A69A9">
        <w:trPr>
          <w:cantSplit/>
          <w:trHeight w:val="390"/>
        </w:trPr>
        <w:tc>
          <w:tcPr>
            <w:tcW w:w="1564" w:type="dxa"/>
          </w:tcPr>
          <w:p w14:paraId="45D2E094" w14:textId="20B86E89" w:rsidR="0079448D" w:rsidRDefault="0079448D" w:rsidP="007A69A9">
            <w:r>
              <w:t>Miyake et al 2015</w:t>
            </w:r>
            <w:r>
              <w:fldChar w:fldCharType="begin"/>
            </w:r>
            <w:r w:rsidR="002747EA">
              <w:instrText xml:space="preserve"> ADDIN EN.CITE &lt;EndNote&gt;&lt;Cite&gt;&lt;Author&gt;Miyake&lt;/Author&gt;&lt;Year&gt;2015&lt;/Year&gt;&lt;RecNum&gt;1465&lt;/RecNum&gt;&lt;DisplayText&gt;&lt;style face="superscript" font="Trebuchet MS" size="9"&gt;89&lt;/style&gt;&lt;/DisplayText&gt;&lt;record&gt;&lt;rec-number&gt;1465&lt;/rec-number&gt;&lt;foreign-keys&gt;&lt;key app="EN" db-id="exvasrfx2dtraoesasxp2szsxa2df502592x" timestamp="1574039613"&gt;1465&lt;/key&gt;&lt;key app="ENWeb" db-id=""&gt;0&lt;/key&gt;&lt;/foreign-keys&gt;&lt;ref-type name="Journal Article"&gt;17&lt;/ref-type&gt;&lt;contributors&gt;&lt;authors&gt;&lt;author&gt;Miyake, Y.&lt;/author&gt;&lt;author&gt;Tanaka, K.&lt;/author&gt;&lt;author&gt;Okubo, H.&lt;/author&gt;&lt;author&gt;Sasaki, S.&lt;/author&gt;&lt;author&gt;Arakawa, M.&lt;/author&gt;&lt;/authors&gt;&lt;/contributors&gt;&lt;titles&gt;&lt;title&gt;Intake of dairy products and calcium and prevalence of depressive symptoms during pregnancy in Japan: a cross-sectional study&lt;/title&gt;&lt;secondary-title&gt;BJOG&lt;/secondary-title&gt;&lt;/titles&gt;&lt;periodical&gt;&lt;full-title&gt;BJOG&lt;/full-title&gt;&lt;/periodical&gt;&lt;pages&gt;336-43&lt;/pages&gt;&lt;volume&gt;122&lt;/volume&gt;&lt;number&gt;3&lt;/number&gt;&lt;section&gt;336&lt;/section&gt;&lt;dates&gt;&lt;year&gt;2015&lt;/year&gt;&lt;/dates&gt;&lt;isbn&gt;14700328&lt;/isbn&gt;&lt;urls&gt;&lt;/urls&gt;&lt;electronic-resource-num&gt;10.1111/1471-0528.12972&lt;/electronic-resource-num&gt;&lt;/record&gt;&lt;/Cite&gt;&lt;/EndNote&gt;</w:instrText>
            </w:r>
            <w:r>
              <w:fldChar w:fldCharType="separate"/>
            </w:r>
            <w:r w:rsidR="002747EA" w:rsidRPr="002747EA">
              <w:rPr>
                <w:noProof/>
                <w:vertAlign w:val="superscript"/>
              </w:rPr>
              <w:t>89</w:t>
            </w:r>
            <w:r>
              <w:fldChar w:fldCharType="end"/>
            </w:r>
          </w:p>
          <w:p w14:paraId="45FE776A" w14:textId="77777777" w:rsidR="0079448D" w:rsidRDefault="0079448D" w:rsidP="007A69A9">
            <w:r>
              <w:t>Japan</w:t>
            </w:r>
          </w:p>
          <w:p w14:paraId="4E37FBB1" w14:textId="77777777" w:rsidR="0079448D" w:rsidRDefault="0079448D" w:rsidP="007A69A9">
            <w:r>
              <w:t>Cross-section</w:t>
            </w:r>
          </w:p>
        </w:tc>
        <w:tc>
          <w:tcPr>
            <w:tcW w:w="1417" w:type="dxa"/>
          </w:tcPr>
          <w:p w14:paraId="54BF9B81" w14:textId="77777777" w:rsidR="0079448D" w:rsidRDefault="0079448D" w:rsidP="007A69A9">
            <w:r>
              <w:t>1,745 women</w:t>
            </w:r>
          </w:p>
        </w:tc>
        <w:tc>
          <w:tcPr>
            <w:tcW w:w="4532" w:type="dxa"/>
          </w:tcPr>
          <w:p w14:paraId="55BD7469" w14:textId="77777777" w:rsidR="0079448D" w:rsidRDefault="0079448D" w:rsidP="007A69A9">
            <w:pPr>
              <w:rPr>
                <w:rFonts w:ascii="Helvetica" w:hAnsi="Helvetica"/>
                <w:sz w:val="11"/>
                <w:szCs w:val="11"/>
              </w:rPr>
            </w:pPr>
            <w:r>
              <w:rPr>
                <w:b/>
              </w:rPr>
              <w:t xml:space="preserve">Aim: </w:t>
            </w:r>
            <w:r w:rsidRPr="007616CB">
              <w:t>To examine the relationship between the intake of dairy</w:t>
            </w:r>
            <w:r>
              <w:t xml:space="preserve"> </w:t>
            </w:r>
            <w:r w:rsidRPr="007616CB">
              <w:t>products and calcium and the prevalence of depressive symptoms</w:t>
            </w:r>
            <w:r>
              <w:t xml:space="preserve"> </w:t>
            </w:r>
            <w:r w:rsidRPr="007616CB">
              <w:t>during pregnancy.</w:t>
            </w:r>
          </w:p>
          <w:p w14:paraId="6027C419" w14:textId="36ADFA40" w:rsidR="0079448D" w:rsidRPr="00E61514" w:rsidRDefault="0079448D" w:rsidP="007A69A9">
            <w:pPr>
              <w:rPr>
                <w:b/>
              </w:rPr>
            </w:pPr>
            <w:r w:rsidRPr="007616CB">
              <w:rPr>
                <w:b/>
              </w:rPr>
              <w:t>Methods</w:t>
            </w:r>
            <w:r w:rsidRPr="007616CB">
              <w:t>: Dietary intake during the preceding month was assessed</w:t>
            </w:r>
            <w:r>
              <w:t xml:space="preserve"> </w:t>
            </w:r>
            <w:r w:rsidRPr="007616CB">
              <w:t>using a self-administered diet history questionnaire. Scores of 16</w:t>
            </w:r>
            <w:r>
              <w:t xml:space="preserve"> </w:t>
            </w:r>
            <w:r w:rsidRPr="007616CB">
              <w:t>or higher on the Center for Epidemiologic Studies Depression</w:t>
            </w:r>
            <w:r>
              <w:t xml:space="preserve"> </w:t>
            </w:r>
            <w:r w:rsidRPr="007616CB">
              <w:t>Scale denoted depressive symptoms. Adjustment was made for</w:t>
            </w:r>
            <w:r>
              <w:t xml:space="preserve"> </w:t>
            </w:r>
            <w:r w:rsidRPr="007616CB">
              <w:t>age, gestation, region of residence, number of children, family</w:t>
            </w:r>
            <w:r>
              <w:t xml:space="preserve"> </w:t>
            </w:r>
            <w:r w:rsidRPr="007616CB">
              <w:t>structure, history of depression, family history of depression,</w:t>
            </w:r>
            <w:r>
              <w:t xml:space="preserve"> </w:t>
            </w:r>
            <w:r w:rsidRPr="007616CB">
              <w:t xml:space="preserve">smoking, </w:t>
            </w:r>
            <w:r w:rsidR="00501148" w:rsidRPr="007616CB">
              <w:t>second-hand</w:t>
            </w:r>
            <w:r w:rsidRPr="007616CB">
              <w:t xml:space="preserve"> smoke exposure at home and at work, job</w:t>
            </w:r>
            <w:r>
              <w:t xml:space="preserve"> </w:t>
            </w:r>
            <w:r w:rsidRPr="007616CB">
              <w:t>type, household income, education, and body mass index. In our</w:t>
            </w:r>
            <w:r>
              <w:t xml:space="preserve"> </w:t>
            </w:r>
            <w:r w:rsidRPr="007616CB">
              <w:t>analyses regarding dairy products in general, adjustment was also</w:t>
            </w:r>
            <w:r>
              <w:t xml:space="preserve"> </w:t>
            </w:r>
            <w:r w:rsidRPr="007616CB">
              <w:t>made for fish intake; in our analysis regarding calcium,</w:t>
            </w:r>
            <w:r>
              <w:t xml:space="preserve"> </w:t>
            </w:r>
            <w:r w:rsidRPr="007616CB">
              <w:t>adjustment was also made for the intake of saturated fatty</w:t>
            </w:r>
            <w:r>
              <w:t xml:space="preserve"> </w:t>
            </w:r>
            <w:r w:rsidRPr="007616CB">
              <w:t>acids, eicosapentaenoic acid plus docosahexaenoic acid, and</w:t>
            </w:r>
            <w:r>
              <w:t xml:space="preserve"> </w:t>
            </w:r>
            <w:r w:rsidRPr="007616CB">
              <w:t>vitamin D.</w:t>
            </w:r>
            <w:r>
              <w:t xml:space="preserve"> </w:t>
            </w:r>
          </w:p>
        </w:tc>
        <w:tc>
          <w:tcPr>
            <w:tcW w:w="4536" w:type="dxa"/>
          </w:tcPr>
          <w:p w14:paraId="709AD8C2" w14:textId="6039A2EB" w:rsidR="0079448D" w:rsidRPr="00E61514" w:rsidRDefault="0079448D" w:rsidP="007A69A9">
            <w:r w:rsidRPr="00360E5F">
              <w:t>Higher intake of yogurt was independently related to a lower prevalence of depressive symptoms during pregnancy: the adjusted odds ratio between extreme quartiles (80 vs 4 g/day) was 0.69 (95% CI 0.48</w:t>
            </w:r>
            <w:r w:rsidRPr="00360E5F">
              <w:rPr>
                <w:rFonts w:eastAsiaTheme="majorEastAsia"/>
              </w:rPr>
              <w:t xml:space="preserve"> to </w:t>
            </w:r>
            <w:r w:rsidRPr="00360E5F">
              <w:t xml:space="preserve">0.99, </w:t>
            </w:r>
            <w:r w:rsidRPr="00360E5F">
              <w:rPr>
                <w:rFonts w:eastAsiaTheme="majorEastAsia"/>
              </w:rPr>
              <w:t xml:space="preserve">P </w:t>
            </w:r>
            <w:r w:rsidRPr="00360E5F">
              <w:t>for trend</w:t>
            </w:r>
            <w:r w:rsidR="00162E95">
              <w:t>=</w:t>
            </w:r>
            <w:r w:rsidRPr="00360E5F">
              <w:t xml:space="preserve">0.03). No relationships were observed between the intake of all dairy products (aOR </w:t>
            </w:r>
            <w:r>
              <w:t>0.93; 95%CI 0.66–1.32; p=</w:t>
            </w:r>
            <w:r w:rsidRPr="00360E5F">
              <w:t>0.47</w:t>
            </w:r>
            <w:r>
              <w:t>)</w:t>
            </w:r>
            <w:r w:rsidRPr="00360E5F">
              <w:t xml:space="preserve">, milk </w:t>
            </w:r>
            <w:r>
              <w:t xml:space="preserve">(aOR 0.89; 95%CI </w:t>
            </w:r>
            <w:r w:rsidRPr="00360E5F">
              <w:t>0.63</w:t>
            </w:r>
            <w:r>
              <w:t xml:space="preserve"> to </w:t>
            </w:r>
            <w:r w:rsidRPr="00360E5F">
              <w:t>1.25</w:t>
            </w:r>
            <w:r>
              <w:t>; p=039</w:t>
            </w:r>
            <w:r w:rsidRPr="00360E5F">
              <w:t xml:space="preserve">) or cheese </w:t>
            </w:r>
            <w:r>
              <w:t xml:space="preserve">(aOR 0.86; 95%CI </w:t>
            </w:r>
            <w:r w:rsidRPr="00360E5F">
              <w:t>0.59–1.24</w:t>
            </w:r>
            <w:r>
              <w:t>; p=0.58</w:t>
            </w:r>
            <w:r w:rsidRPr="00360E5F">
              <w:t>)</w:t>
            </w:r>
            <w:r>
              <w:t xml:space="preserve"> </w:t>
            </w:r>
            <w:r w:rsidRPr="00360E5F">
              <w:t xml:space="preserve">and depressive symptoms during pregnancy. </w:t>
            </w:r>
          </w:p>
        </w:tc>
        <w:tc>
          <w:tcPr>
            <w:tcW w:w="1843" w:type="dxa"/>
          </w:tcPr>
          <w:p w14:paraId="7F7A76F8" w14:textId="403BAC34" w:rsidR="0079448D" w:rsidRPr="00C17B92" w:rsidRDefault="0079448D" w:rsidP="007A69A9"/>
        </w:tc>
      </w:tr>
    </w:tbl>
    <w:p w14:paraId="0FAFE3AA" w14:textId="3EAB1E60" w:rsidR="00510DED" w:rsidRDefault="009C163D" w:rsidP="005719CE">
      <w:pPr>
        <w:pStyle w:val="TableName"/>
        <w:ind w:left="1134" w:hanging="1134"/>
      </w:pPr>
      <w:bookmarkStart w:id="64" w:name="_Toc40956604"/>
      <w:r>
        <w:t xml:space="preserve">Q2 </w:t>
      </w:r>
      <w:r w:rsidR="007B1D24">
        <w:t>C</w:t>
      </w:r>
      <w:r w:rsidR="00510DED">
        <w:t>onsumption of carbohydrates</w:t>
      </w:r>
      <w:r w:rsidR="002F1844">
        <w:t xml:space="preserve"> during pregnancy</w:t>
      </w:r>
      <w:bookmarkEnd w:id="6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6: Q2 Consumption of carbohydrates during pregnancy"/>
      </w:tblPr>
      <w:tblGrid>
        <w:gridCol w:w="1564"/>
        <w:gridCol w:w="1417"/>
        <w:gridCol w:w="4532"/>
        <w:gridCol w:w="4536"/>
        <w:gridCol w:w="1843"/>
      </w:tblGrid>
      <w:tr w:rsidR="00510DED" w:rsidRPr="00F350A6" w14:paraId="339352A3" w14:textId="77777777" w:rsidTr="005A7519">
        <w:trPr>
          <w:cantSplit/>
          <w:trHeight w:val="390"/>
          <w:tblHeader/>
        </w:trPr>
        <w:tc>
          <w:tcPr>
            <w:tcW w:w="1564" w:type="dxa"/>
          </w:tcPr>
          <w:p w14:paraId="69BDB7CA" w14:textId="77777777" w:rsidR="00510DED" w:rsidRPr="00F350A6" w:rsidRDefault="00510DED" w:rsidP="002F1844">
            <w:pPr>
              <w:keepNext/>
              <w:rPr>
                <w:b/>
              </w:rPr>
            </w:pPr>
            <w:r>
              <w:rPr>
                <w:b/>
              </w:rPr>
              <w:t>Study ref</w:t>
            </w:r>
          </w:p>
        </w:tc>
        <w:tc>
          <w:tcPr>
            <w:tcW w:w="1417" w:type="dxa"/>
          </w:tcPr>
          <w:p w14:paraId="2E40A1B7" w14:textId="77777777" w:rsidR="00510DED" w:rsidRPr="00F350A6" w:rsidRDefault="00510DED" w:rsidP="002F1844">
            <w:pPr>
              <w:keepNext/>
              <w:rPr>
                <w:b/>
              </w:rPr>
            </w:pPr>
            <w:r>
              <w:rPr>
                <w:b/>
              </w:rPr>
              <w:t>N</w:t>
            </w:r>
          </w:p>
        </w:tc>
        <w:tc>
          <w:tcPr>
            <w:tcW w:w="4532" w:type="dxa"/>
          </w:tcPr>
          <w:p w14:paraId="0088C173" w14:textId="77777777" w:rsidR="00510DED" w:rsidRPr="00F350A6" w:rsidRDefault="00510DED" w:rsidP="002F1844">
            <w:pPr>
              <w:keepNext/>
              <w:rPr>
                <w:b/>
              </w:rPr>
            </w:pPr>
            <w:r>
              <w:rPr>
                <w:b/>
              </w:rPr>
              <w:t>Aim/methods</w:t>
            </w:r>
          </w:p>
        </w:tc>
        <w:tc>
          <w:tcPr>
            <w:tcW w:w="4536" w:type="dxa"/>
          </w:tcPr>
          <w:p w14:paraId="197215B2" w14:textId="77777777" w:rsidR="00510DED" w:rsidRPr="00F350A6" w:rsidRDefault="00510DED" w:rsidP="002F1844">
            <w:pPr>
              <w:keepNext/>
              <w:rPr>
                <w:b/>
              </w:rPr>
            </w:pPr>
            <w:r>
              <w:rPr>
                <w:b/>
              </w:rPr>
              <w:t>Results</w:t>
            </w:r>
          </w:p>
        </w:tc>
        <w:tc>
          <w:tcPr>
            <w:tcW w:w="1843" w:type="dxa"/>
          </w:tcPr>
          <w:p w14:paraId="48B71AFE" w14:textId="77777777" w:rsidR="00510DED" w:rsidRPr="00F350A6" w:rsidRDefault="00510DED" w:rsidP="002F1844">
            <w:pPr>
              <w:keepNext/>
              <w:rPr>
                <w:b/>
              </w:rPr>
            </w:pPr>
            <w:r>
              <w:rPr>
                <w:b/>
              </w:rPr>
              <w:t>Comments</w:t>
            </w:r>
          </w:p>
        </w:tc>
      </w:tr>
      <w:tr w:rsidR="00510DED" w:rsidRPr="00C8357D" w14:paraId="481FF043" w14:textId="77777777" w:rsidTr="005A7519">
        <w:tblPrEx>
          <w:tblLook w:val="04A0" w:firstRow="1" w:lastRow="0" w:firstColumn="1" w:lastColumn="0" w:noHBand="0" w:noVBand="1"/>
        </w:tblPrEx>
        <w:trPr>
          <w:cantSplit/>
          <w:trHeight w:val="390"/>
        </w:trPr>
        <w:tc>
          <w:tcPr>
            <w:tcW w:w="1564" w:type="dxa"/>
          </w:tcPr>
          <w:p w14:paraId="30D5B532" w14:textId="2E70B154" w:rsidR="00510DED" w:rsidRDefault="00510DED" w:rsidP="002F1844">
            <w:r>
              <w:t>Alvarez Zallo et al 2018</w:t>
            </w:r>
            <w:r w:rsidR="00767EBF">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 </w:instrText>
            </w:r>
            <w:r w:rsidR="002747EA">
              <w:fldChar w:fldCharType="begin">
                <w:fldData xml:space="preserve">PEVuZE5vdGU+PENpdGU+PEF1dGhvcj5BbHZhcmV6IFphbGxvPC9BdXRob3I+PFllYXI+MjAxODwv
WWVhcj48UmVjTnVtPjEzMzU8L1JlY051bT48RGlzcGxheVRleHQ+PHN0eWxlIGZhY2U9InN1cGVy
c2NyaXB0IiBmb250PSJUcmVidWNoZXQgTVMiIHNpemU9IjkiPjUyPC9zdHlsZT48L0Rpc3BsYXlU
ZXh0PjxyZWNvcmQ+PHJlYy1udW1iZXI+MTMzNTwvcmVjLW51bWJlcj48Zm9yZWlnbi1rZXlzPjxr
ZXkgYXBwPSJFTiIgZGItaWQ9ImV4dmFzcmZ4MmR0cmFvZXNhc3hwMnN6c3hhMmRmNTAyNTkyeCIg
dGltZXN0YW1wPSIxNTY3MDMwOTM3Ij4xMzM1PC9rZXk+PGtleSBhcHA9IkVOV2ViIiBkYi1pZD0i
Ij4wPC9rZXk+PC9mb3JlaWduLWtleXM+PHJlZi10eXBlIG5hbWU9IkpvdXJuYWwgQXJ0aWNsZSI+
MTc8L3JlZi10eXBlPjxjb250cmlidXRvcnM+PGF1dGhvcnM+PGF1dGhvcj5BbHZhcmV6IFphbGxv
LCBOLjwvYXV0aG9yPjxhdXRob3I+QWd1aW5hZ2EtT250b3NvLCBJLjwvYXV0aG9yPjxhdXRob3I+
QWx2YXJlei1BbHZhcmV6LCBJLjwvYXV0aG9yPjxhdXRob3I+TWFyaW4tRmVybmFuZGV6LCBCLjwv
YXV0aG9yPjxhdXRob3I+R3VpbGxlbi1HcmltYSwgRi48L2F1dGhvcj48YXV0aG9yPkF6Y29uYS1T
YW4gSnVsaWFuLCBDLjwvYXV0aG9yPjwvYXV0aG9ycz48L2NvbnRyaWJ1dG9ycz48YXV0aC1hZGRy
ZXNzPkV4dHJhaG9zcGl0YWxhcnkgUGFlZGlhdHJpYyBFbWVyZ2VuY3kgU2VydmljZSwgT3Nhc3Vu
YmlkZWEsIFBhbXBsb25hLCBOYXZhcnJhLCBTcGFpbi4gRWxlY3Ryb25pYyBhZGRyZXNzOiBub2Vh
bHphQGdtYWlsLmNvbS4mI3hEO0RlcGFydG1lbnQgb2YgSGVhbHRoIFNjaWVuY2VzLCBQdWJsaWMg
VW5pdmVyc2l0eSBvZiBOYXZhcnJhLCBTcGFpbi4mI3hEO0RlcGFydG1lbnQgb2YgSGVhbHRoIFNj
aWVuY2VzLCBQdWJsaWMgVW5pdmVyc2l0eSBvZiBOYXZhcnJhLCBTcGFpbjsgUHJldmVudGl2ZSBN
ZWRpY2luZSwgQ2xpbmljYSBVbml2ZXJzaWRhZCBkZSBOYXZhcnJhLCBQYW1wbG9uYSwgTmF2YXJy
YSwgU3BhaW47IE5hdmFycmEgSW5zdGl0dXRlIGZvciBIZWFsdGggUmVzZWFyY2ggKElkaVNOQSks
IFNwYWluLiYjeEQ7TmF2YXJyYSBJbnN0aXR1dGUgZm9yIEhlYWx0aCBSZXNlYXJjaCAoSWRpU05B
KSwgU3BhaW47IFBhZWRpYXRyaWMgRW5kb2NyaW5vbG9neSBVbml0LCBEZXBhcnRtZW50IG9mIFBl
ZGlhdHJpY3MsIENsaW5pY2EgVW5pdmVyc2lkYWQgZGUgTmF2YXJyYSwgUGFtcGxvbmEsIE5hdmFy
cmEsIFNwYWluLjwvYXV0aC1hZGRyZXNzPjx0aXRsZXM+PHRpdGxlPkluZmx1ZW5jZSBvZiB0aGUg
TWVkaXRlcnJhbmVhbiBkaWV0IGR1cmluZyBwcmVnbmFuY3kgaW4gdGhlIGRldmVsb3BtZW50IG9m
IHdoZWV6aW5nIGFuZCBlY3plbWEgaW4gaW5mYW50cyBpbiBQYW1wbG9uYSwgU3BhaW48L3RpdGxl
PjxzZWNvbmRhcnktdGl0bGU+QWxsZXJnb2wgSW1tdW5vcGF0aG9sIChNYWRyKTwvc2Vjb25kYXJ5
LXRpdGxlPjwvdGl0bGVzPjxwZXJpb2RpY2FsPjxmdWxsLXRpdGxlPkFsbGVyZ29sIEltbXVub3Bh
dGhvbCAoTWFkcik8L2Z1bGwtdGl0bGU+PC9wZXJpb2RpY2FsPjxwYWdlcz45LTE0PC9wYWdlcz48
dm9sdW1lPjQ2PC92b2x1bWU+PG51bWJlcj4xPC9udW1iZXI+PGVkaXRpb24+MjAxNy8wNi8yMTwv
ZWRpdGlvbj48a2V5d29yZHM+PGtleXdvcmQ+Q3Jvc3MtU2VjdGlvbmFsIFN0dWRpZXM8L2tleXdv
cmQ+PGtleXdvcmQ+RGlldCwgTWVkaXRlcnJhbmVhbi8qc3RhdGlzdGljcyAmYW1wOyBudW1lcmlj
YWwgZGF0YTwva2V5d29yZD48a2V5d29yZD5FY3plbWEvKmVwaWRlbWlvbG9neTwva2V5d29yZD48
a2V5d29yZD5GZW1hbGU8L2tleXdvcmQ+PGtleXdvcmQ+RnJ1aXQ8L2tleXdvcmQ+PGtleXdvcmQ+
SHVtYW5zPC9rZXl3b3JkPjxrZXl3b3JkPkluZmFudDwva2V5d29yZD48a2V5d29yZD5NYWxlPC9r
ZXl3b3JkPjxrZXl3b3JkPk1hdGVybmFsIEV4cG9zdXJlLypzdGF0aXN0aWNzICZhbXA7IG51bWVy
aWNhbCBkYXRhPC9rZXl3b3JkPjxrZXl3b3JkPk9kZHMgUmF0aW88L2tleXdvcmQ+PGtleXdvcmQ+
UHJlZ25hbmN5PC9rZXl3b3JkPjxrZXl3b3JkPlByZXZhbGVuY2U8L2tleXdvcmQ+PGtleXdvcmQ+
UmVzcGlyYXRvcnkgU291bmRzPC9rZXl3b3JkPjxrZXl3b3JkPlJpc2sgRmFjdG9yczwva2V5d29y
ZD48a2V5d29yZD5TcGFpbi9lcGlkZW1pb2xvZ3k8L2tleXdvcmQ+PGtleXdvcmQ+Q2hpbGQ8L2tl
eXdvcmQ+PGtleXdvcmQ+RWN6ZW1hPC9rZXl3b3JkPjxrZXl3b3JkPk1lZGl0ZXJyYW5lYW4gZGll
dDwva2V5d29yZD48a2V5d29yZD5XaGVlemluZzwva2V5d29yZD48L2tleXdvcmRzPjxkYXRlcz48
eWVhcj4yMDE4PC95ZWFyPjxwdWItZGF0ZXM+PGRhdGU+SmFuIC0gRmViPC9kYXRlPjwvcHViLWRh
dGVzPjwvZGF0ZXM+PGlzYm4+MTU3OC0xMjY3IChFbGVjdHJvbmljKSYjeEQ7MDMwMS0wNTQ2IChM
aW5raW5nKTwvaXNibj48YWNjZXNzaW9uLW51bT4yODYyOTY2OTwvYWNjZXNzaW9uLW51bT48dXJs
cz48cmVsYXRlZC11cmxzPjx1cmw+aHR0cHM6Ly93d3cubmNiaS5ubG0ubmloLmdvdi9wdWJtZWQv
Mjg2Mjk2Njk8L3VybD48L3JlbGF0ZWQtdXJscz48L3VybHM+PGVsZWN0cm9uaWMtcmVzb3VyY2Ut
bnVtPjEwLjEwMTYvai5hbGxlci4yMDE3LjAyLjAwOTwvZWxlY3Ryb25pYy1yZXNvdXJjZS1udW0+
PC9yZWNvcmQ+PC9DaXRlPjwvRW5kTm90ZT4A
</w:fldData>
              </w:fldChar>
            </w:r>
            <w:r w:rsidR="002747EA">
              <w:instrText xml:space="preserve"> ADDIN EN.CITE.DATA </w:instrText>
            </w:r>
            <w:r w:rsidR="002747EA">
              <w:fldChar w:fldCharType="end"/>
            </w:r>
            <w:r w:rsidR="00767EBF">
              <w:fldChar w:fldCharType="separate"/>
            </w:r>
            <w:r w:rsidR="002747EA" w:rsidRPr="002747EA">
              <w:rPr>
                <w:noProof/>
                <w:vertAlign w:val="superscript"/>
              </w:rPr>
              <w:t>52</w:t>
            </w:r>
            <w:r w:rsidR="00767EBF">
              <w:fldChar w:fldCharType="end"/>
            </w:r>
          </w:p>
          <w:p w14:paraId="119518B5" w14:textId="77777777" w:rsidR="00510DED" w:rsidRDefault="00510DED" w:rsidP="002F1844">
            <w:r>
              <w:t>Europe and Latin America</w:t>
            </w:r>
          </w:p>
          <w:p w14:paraId="1FE18D8E" w14:textId="77777777" w:rsidR="00510DED" w:rsidRDefault="00510DED" w:rsidP="002F1844">
            <w:r w:rsidRPr="00000A5C">
              <w:t>International Study of Wheezing in Infants</w:t>
            </w:r>
          </w:p>
          <w:p w14:paraId="2B004419" w14:textId="1A2FF0A2" w:rsidR="00510DED" w:rsidRPr="00814460" w:rsidRDefault="00C4695D" w:rsidP="002F1844">
            <w:r>
              <w:t>Cohort</w:t>
            </w:r>
          </w:p>
        </w:tc>
        <w:tc>
          <w:tcPr>
            <w:tcW w:w="1417" w:type="dxa"/>
          </w:tcPr>
          <w:p w14:paraId="44413FCF" w14:textId="77777777" w:rsidR="00510DED" w:rsidRDefault="00510DED" w:rsidP="002F1844">
            <w:r>
              <w:t>1,087 infants 12-15 months of age</w:t>
            </w:r>
          </w:p>
        </w:tc>
        <w:tc>
          <w:tcPr>
            <w:tcW w:w="4532" w:type="dxa"/>
          </w:tcPr>
          <w:p w14:paraId="1639C20B" w14:textId="77777777" w:rsidR="00510DED" w:rsidRDefault="00510DED" w:rsidP="002F1844">
            <w:r>
              <w:rPr>
                <w:b/>
              </w:rPr>
              <w:t xml:space="preserve">Aim: </w:t>
            </w:r>
            <w:r>
              <w:t>To examine</w:t>
            </w:r>
            <w:r w:rsidRPr="00000A5C">
              <w:t xml:space="preserve"> the relationship between different food groups and the adherence to a Mediterranean diet during pregnancy and the risk of wheezing and eczema in children aged 12-15 months. </w:t>
            </w:r>
          </w:p>
          <w:p w14:paraId="40D5CB4E" w14:textId="0D6F0BE4" w:rsidR="00510DED" w:rsidRDefault="00510DED" w:rsidP="008F2DCD">
            <w:pPr>
              <w:rPr>
                <w:b/>
              </w:rPr>
            </w:pPr>
            <w:r w:rsidRPr="00000A5C">
              <w:rPr>
                <w:b/>
              </w:rPr>
              <w:t>Methods</w:t>
            </w:r>
            <w:r w:rsidRPr="00000A5C">
              <w:t xml:space="preserve">: </w:t>
            </w:r>
            <w:r>
              <w:t>T</w:t>
            </w:r>
            <w:r w:rsidRPr="00000A5C">
              <w:t xml:space="preserve">he study of the association of the different food consumption and Mediterranean diet with wheezing, recurrent wheezing and eczema was performed using different models of unconditional logistic regression to obtain adjusted prevalence odds ratios and 95% confidence intervals. </w:t>
            </w:r>
          </w:p>
        </w:tc>
        <w:tc>
          <w:tcPr>
            <w:tcW w:w="4536" w:type="dxa"/>
          </w:tcPr>
          <w:p w14:paraId="4B23D5CC" w14:textId="77777777" w:rsidR="00510DED" w:rsidRPr="00000A5C" w:rsidRDefault="00510DED" w:rsidP="002F1844">
            <w:r w:rsidRPr="00000A5C">
              <w:t xml:space="preserve">The consumption once or twice </w:t>
            </w:r>
            <w:r>
              <w:t>of</w:t>
            </w:r>
            <w:r w:rsidRPr="00000A5C">
              <w:t xml:space="preserve"> cooked potatoes (OR: 1.75</w:t>
            </w:r>
            <w:r>
              <w:t xml:space="preserve"> </w:t>
            </w:r>
            <w:r w:rsidRPr="00000A5C">
              <w:t>[1.22</w:t>
            </w:r>
            <w:r>
              <w:t xml:space="preserve"> to </w:t>
            </w:r>
            <w:r w:rsidRPr="00000A5C">
              <w:t>2.51]) and industrial pastry (OR: 1.59</w:t>
            </w:r>
            <w:r>
              <w:t xml:space="preserve"> </w:t>
            </w:r>
            <w:r w:rsidRPr="00000A5C">
              <w:t>[1.13</w:t>
            </w:r>
            <w:r>
              <w:t xml:space="preserve"> to </w:t>
            </w:r>
            <w:r w:rsidRPr="00000A5C">
              <w:t>2.24]), and the consumption more than three times a week of industrial pastry (OR: 1.47 [1.01</w:t>
            </w:r>
            <w:r>
              <w:t xml:space="preserve"> to </w:t>
            </w:r>
            <w:r w:rsidRPr="00000A5C">
              <w:t>2</w:t>
            </w:r>
            <w:r>
              <w:t>.13]) during pregnancy increased</w:t>
            </w:r>
            <w:r w:rsidRPr="00000A5C">
              <w:t xml:space="preserve"> the risk of "wheezing" at 12 months. </w:t>
            </w:r>
          </w:p>
        </w:tc>
        <w:tc>
          <w:tcPr>
            <w:tcW w:w="1843" w:type="dxa"/>
          </w:tcPr>
          <w:p w14:paraId="38CDBEDD" w14:textId="77777777" w:rsidR="00510DED" w:rsidRPr="00C8357D" w:rsidRDefault="00510DED" w:rsidP="002F1844"/>
        </w:tc>
      </w:tr>
      <w:tr w:rsidR="00510DED" w:rsidRPr="00C8357D" w14:paraId="36497D5A" w14:textId="77777777" w:rsidTr="005A7519">
        <w:tblPrEx>
          <w:tblLook w:val="04A0" w:firstRow="1" w:lastRow="0" w:firstColumn="1" w:lastColumn="0" w:noHBand="0" w:noVBand="1"/>
        </w:tblPrEx>
        <w:trPr>
          <w:cantSplit/>
          <w:trHeight w:val="390"/>
        </w:trPr>
        <w:tc>
          <w:tcPr>
            <w:tcW w:w="1564" w:type="dxa"/>
          </w:tcPr>
          <w:p w14:paraId="1CA66030" w14:textId="5B8477EC" w:rsidR="00510DED" w:rsidRPr="00880A17" w:rsidRDefault="00510DED" w:rsidP="002F1844">
            <w:r w:rsidRPr="00880A17">
              <w:t>Castro-Rodriguez</w:t>
            </w:r>
            <w:r>
              <w:t xml:space="preserve"> et al 2016</w:t>
            </w:r>
            <w:r w:rsidR="00767EBF">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767EBF">
              <w:fldChar w:fldCharType="separate"/>
            </w:r>
            <w:r w:rsidR="002747EA" w:rsidRPr="002747EA">
              <w:rPr>
                <w:noProof/>
                <w:vertAlign w:val="superscript"/>
              </w:rPr>
              <w:t>53</w:t>
            </w:r>
            <w:r w:rsidR="00767EBF">
              <w:fldChar w:fldCharType="end"/>
            </w:r>
          </w:p>
          <w:p w14:paraId="148FA19A" w14:textId="77777777" w:rsidR="00D51984" w:rsidRPr="00D51984" w:rsidRDefault="00D51984" w:rsidP="00D51984">
            <w:r w:rsidRPr="00D51984">
              <w:t>International Study of Wheezing in Infants </w:t>
            </w:r>
          </w:p>
          <w:p w14:paraId="653753B4" w14:textId="77777777" w:rsidR="00D51984" w:rsidRPr="00880A17" w:rsidRDefault="00D51984" w:rsidP="00D51984">
            <w:r>
              <w:t>Spain</w:t>
            </w:r>
          </w:p>
          <w:p w14:paraId="35C4E31D" w14:textId="16931A87" w:rsidR="00510DED" w:rsidRDefault="00D51984" w:rsidP="00D51984">
            <w:r>
              <w:t>Cohort</w:t>
            </w:r>
          </w:p>
        </w:tc>
        <w:tc>
          <w:tcPr>
            <w:tcW w:w="1417" w:type="dxa"/>
          </w:tcPr>
          <w:p w14:paraId="5D4990F2" w14:textId="77777777" w:rsidR="00510DED" w:rsidRDefault="00510DED" w:rsidP="002F1844">
            <w:r>
              <w:t>1,000 preschool children</w:t>
            </w:r>
          </w:p>
        </w:tc>
        <w:tc>
          <w:tcPr>
            <w:tcW w:w="4532" w:type="dxa"/>
          </w:tcPr>
          <w:p w14:paraId="6A4A83B4" w14:textId="77777777" w:rsidR="00510DED" w:rsidRDefault="00510DED" w:rsidP="002F1844">
            <w:r w:rsidRPr="008E7258">
              <w:rPr>
                <w:b/>
              </w:rPr>
              <w:t>Aim</w:t>
            </w:r>
            <w:r>
              <w:t xml:space="preserve">: To examine whether </w:t>
            </w:r>
            <w:r w:rsidRPr="00880A17">
              <w:t xml:space="preserve">some foods and Mediterranean diet (MedDiet) consumed by the mother during pregnancy and by the child during the first years of life can be protective for current wheezing, rhinitis and dermatitis at preschool age. </w:t>
            </w:r>
          </w:p>
          <w:p w14:paraId="47AB90E4" w14:textId="77777777" w:rsidR="00510DED" w:rsidRDefault="00510DED" w:rsidP="002F1844">
            <w:pPr>
              <w:rPr>
                <w:b/>
              </w:rPr>
            </w:pPr>
            <w:r w:rsidRPr="008E7258">
              <w:rPr>
                <w:b/>
              </w:rPr>
              <w:t>Methods</w:t>
            </w:r>
            <w:r w:rsidRPr="00880A17">
              <w:t>: Questionnaires of epidemiological factors and food intake by the mother during pregnancy and later by the child were filled in by parents in two surveys at two different time points (1.5 yrs and 4 yrs of life)</w:t>
            </w:r>
            <w:r>
              <w:t>.</w:t>
            </w:r>
            <w:r w:rsidRPr="00880A17">
              <w:t xml:space="preserve"> </w:t>
            </w:r>
          </w:p>
        </w:tc>
        <w:tc>
          <w:tcPr>
            <w:tcW w:w="4536" w:type="dxa"/>
          </w:tcPr>
          <w:p w14:paraId="1BE26860" w14:textId="7CE0A590" w:rsidR="00510DED" w:rsidRDefault="00510DED" w:rsidP="002F1844">
            <w:r>
              <w:t xml:space="preserve">Consumption of </w:t>
            </w:r>
            <w:r w:rsidRPr="00880A17">
              <w:t xml:space="preserve">pasta </w:t>
            </w:r>
            <w:r>
              <w:t xml:space="preserve">never or occasionally (p=0.049) during pregnancy </w:t>
            </w:r>
            <w:r w:rsidRPr="00880A17">
              <w:t xml:space="preserve">were </w:t>
            </w:r>
            <w:r>
              <w:t>protective against wheeze in the child</w:t>
            </w:r>
            <w:r w:rsidRPr="00880A17">
              <w:t xml:space="preserve">. </w:t>
            </w:r>
          </w:p>
          <w:p w14:paraId="1FF70F62" w14:textId="513C8B35" w:rsidR="00510DED" w:rsidRPr="00880A17" w:rsidRDefault="00510DED" w:rsidP="002F1844">
            <w:r w:rsidRPr="00880A17">
              <w:t xml:space="preserve"> </w:t>
            </w:r>
          </w:p>
        </w:tc>
        <w:tc>
          <w:tcPr>
            <w:tcW w:w="1843" w:type="dxa"/>
          </w:tcPr>
          <w:p w14:paraId="6415E044" w14:textId="77777777" w:rsidR="00510DED" w:rsidRPr="00C8357D" w:rsidRDefault="00510DED" w:rsidP="002F1844"/>
        </w:tc>
      </w:tr>
      <w:tr w:rsidR="00A51BB3" w:rsidRPr="00C8357D" w14:paraId="03A4EC24" w14:textId="77777777" w:rsidTr="005A7519">
        <w:tblPrEx>
          <w:tblLook w:val="04A0" w:firstRow="1" w:lastRow="0" w:firstColumn="1" w:lastColumn="0" w:noHBand="0" w:noVBand="1"/>
        </w:tblPrEx>
        <w:trPr>
          <w:cantSplit/>
          <w:trHeight w:val="390"/>
        </w:trPr>
        <w:tc>
          <w:tcPr>
            <w:tcW w:w="1564" w:type="dxa"/>
          </w:tcPr>
          <w:p w14:paraId="2A9DF0F0" w14:textId="0A85C681" w:rsidR="00A51BB3" w:rsidRPr="00B82457" w:rsidRDefault="00A51BB3" w:rsidP="002F1844">
            <w:r w:rsidRPr="00B82457">
              <w:t>Renault et al 2015</w:t>
            </w:r>
            <w:r w:rsidR="00774750">
              <w:fldChar w:fldCharType="begin">
                <w:fldData xml:space="preserve">PEVuZE5vdGU+PENpdGU+PEF1dGhvcj5SZW5hdWx0PC9BdXRob3I+PFllYXI+MjAxNTwvWWVhcj48
UmVjTnVtPjE3MzU8L1JlY051bT48RGlzcGxheVRleHQ+PHN0eWxlIGZhY2U9InN1cGVyc2NyaXB0
IiBmb250PSJUcmVidWNoZXQgTVMiIHNpemU9IjkiPjkyPC9zdHlsZT48L0Rpc3BsYXlUZXh0Pjxy
ZWNvcmQ+PHJlYy1udW1iZXI+MTczNTwvcmVjLW51bWJlcj48Zm9yZWlnbi1rZXlzPjxrZXkgYXBw
PSJFTiIgZGItaWQ9ImV4dmFzcmZ4MmR0cmFvZXNhc3hwMnN6c3hhMmRmNTAyNTkyeCIgdGltZXN0
YW1wPSIxNTgyNTA2MjU3Ij4xNzM1PC9rZXk+PGtleSBhcHA9IkVOV2ViIiBkYi1pZD0iIj4wPC9r
ZXk+PC9mb3JlaWduLWtleXM+PHJlZi10eXBlIG5hbWU9IkpvdXJuYWwgQXJ0aWNsZSI+MTc8L3Jl
Zi10eXBlPjxjb250cmlidXRvcnM+PGF1dGhvcnM+PGF1dGhvcj5SZW5hdWx0LCBLLiBNLjwvYXV0
aG9yPjxhdXRob3I+Q2FybHNlbiwgRS4gTS48L2F1dGhvcj48YXV0aG9yPk5vcmdhYXJkLCBLLjwv
YXV0aG9yPjxhdXRob3I+TmlsYXMsIEwuPC9hdXRob3I+PGF1dGhvcj5QcnlkcywgTy48L2F1dGhv
cj48YXV0aG9yPlNlY2hlciwgTi4gSi48L2F1dGhvcj48YXV0aG9yPkNvcnRlcywgRC48L2F1dGhv
cj48YXV0aG9yPkplbnNlbiwgSi4gRS48L2F1dGhvcj48YXV0aG9yPk9sc2VuLCBTLiBGLjwvYXV0
aG9yPjxhdXRob3I+SGFsbGRvcnNzb24sIFQuIEkuPC9hdXRob3I+PC9hdXRob3JzPjwvY29udHJp
YnV0b3JzPjxhdXRoLWFkZHJlc3M+RGVwYXJ0bWVudHMgb2YgT2JzdGV0cmljcyBhbmQgR3luYWVj
b2xvZ3ksIGtyZW5hdWx0QGRhZGxuZXQuZGsuJiN4RDtQYWVkaWF0cmljcywgYW5kLiYjeEQ7RW5k
b2NyaW5vbG9neSwgSHZpZG92cmUgSG9zcGl0YWwsIFVuaXZlcnNpdHkgb2YgQ29wZW5oYWdlbiwg
Q29wZW5oYWdlbiwgRGVubWFyazsmI3hEO0RlcGFydG1lbnRzIG9mIE9ic3RldHJpY3MgYW5kIEd5
bmFlY29sb2d5LiYjeEQ7VGhlIFJlc2VhcmNoIFVuaXQgV29tZW4mYXBvcztzIGFuZCBDaGlsZHJl
biZhcG9zO3MgSGVhbHRoLCB0aGUgSnVsaWFuZSBNYXJpZSBDZW50cmUsIFJpZ3Nob3NwaXRhbGV0
LCBVbml2ZXJzaXR5IG9mIENvcGVuaGFnZW4sIENvcGVuaGFnZW4sIERlbm1hcms7JiN4RDtDZW50
cmUgZm9yIEZldGFsIFByb2dyYW1taW5nLCBEZXBhcnRtZW50IG9mIEVwaWRlbWlvbG9neSBSZXNl
YXJjaCwgU3RhdGVucyBTZXJ1bSBJbnN0aXR1dCwgQ29wZW5oYWdlbiwgRGVubWFyazsgYW5kLiYj
eEQ7Q2VudHJlIGZvciBGZXRhbCBQcm9ncmFtbWluZywgRGVwYXJ0bWVudCBvZiBFcGlkZW1pb2xv
Z3kgUmVzZWFyY2gsIFN0YXRlbnMgU2VydW0gSW5zdGl0dXQsIENvcGVuaGFnZW4sIERlbm1hcms7
IGFuZCBGYWN1bHR5IG9mIEZvb2QgU2NpZW5jZSBhbmQgTnV0cml0aW9uLCBVbml2ZXJzaXR5IG9m
IEljZWxhbmQsIFJleWtqYXZpaywgSWNlbGFuZC48L2F1dGgtYWRkcmVzcz48dGl0bGVzPjx0aXRs
ZT5JbnRha2Ugb2YgY2FyYm9oeWRyYXRlcyBkdXJpbmcgcHJlZ25hbmN5IGluIG9iZXNlIHdvbWVu
IGlzIGFzc29jaWF0ZWQgd2l0aCBmYXQgbWFzcyBpbiB0aGUgbmV3Ym9ybiBvZmZzcHJpbmc8L3Rp
dGxlPjxzZWNvbmRhcnktdGl0bGU+QW0gSiBDbGluIE51dHI8L3NlY29uZGFyeS10aXRsZT48L3Rp
dGxlcz48cGVyaW9kaWNhbD48ZnVsbC10aXRsZT5BbSBKIENsaW4gTnV0cjwvZnVsbC10aXRsZT48
L3BlcmlvZGljYWw+PHBhZ2VzPjE0NzUtODE8L3BhZ2VzPjx2b2x1bWU+MTAyPC92b2x1bWU+PG51
bWJlcj42PC9udW1iZXI+PGVkaXRpb24+MjAxNS8xMS8xMzwvZWRpdGlvbj48a2V5d29yZHM+PGtl
eXdvcmQ+QWRpcG9nZW5lc2lzPC9rZXl3b3JkPjxrZXl3b3JkPipBZGlwb3NpdHk8L2tleXdvcmQ+
PGtleXdvcmQ+QWR1bHQ8L2tleXdvcmQ+PGtleXdvcmQ+QmlydGggV2VpZ2h0PC9rZXl3b3JkPjxr
ZXl3b3JkPkJvZHkgTWFzcyBJbmRleDwva2V5d29yZD48a2V5d29yZD5EZW5tYXJrL2VwaWRlbWlv
bG9neTwva2V5d29yZD48a2V5d29yZD5EaWV0LCBDYXJib2h5ZHJhdGUtUmVzdHJpY3RlZDwva2V5
d29yZD48a2V5d29yZD4qRGlldCwgTWVkaXRlcnJhbmVhbjwva2V5d29yZD48a2V5d29yZD5EaWV0
YXJ5IENhcmJvaHlkcmF0ZXMvYWR2ZXJzZSBlZmZlY3RzPC9rZXl3b3JkPjxrZXl3b3JkPkZlbWFs
ZTwva2V5d29yZD48a2V5d29yZD4qRmV0YWwgRGV2ZWxvcG1lbnQ8L2tleXdvcmQ+PGtleXdvcmQ+
R2x1Y29zZSBJbnRvbGVyYW5jZS9jb21wbGljYXRpb25zLypkaWV0IHRoZXJhcHkvcGh5c2lvcGF0
aG9sb2d5PC9rZXl3b3JkPjxrZXl3b3JkPkh1bWFuczwva2V5d29yZD48a2V5d29yZD5JbmZhbnQs
IE5ld2Jvcm48L2tleXdvcmQ+PGtleXdvcmQ+Kk1hdGVybmFsIE51dHJpdGlvbmFsIFBoeXNpb2xv
Z2ljYWwgUGhlbm9tZW5hPC9rZXl3b3JkPjxrZXl3b3JkPk9iZXNpdHkvY29tcGxpY2F0aW9ucy8q
ZGlldCB0aGVyYXB5L3BoeXNpb3BhdGhvbG9neTwva2V5d29yZD48a2V5d29yZD5QZWRpYXRyaWMg
T2Jlc2l0eS9lcGlkZW1pb2xvZ3kvZXRpb2xvZ3kvcHJldmVudGlvbiAmYW1wOyBjb250cm9sPC9r
ZXl3b3JkPjxrZXl3b3JkPlByZWduYW5jeTwva2V5d29yZD48a2V5d29yZD5QcmVnbmFuY3kgQ29t
cGxpY2F0aW9ucy8qZGlldCB0aGVyYXB5L3BoeXNpb3BhdGhvbG9neTwva2V5d29yZD48a2V5d29y
ZD5SaXNrIEZhY3RvcnM8L2tleXdvcmQ+PGtleXdvcmQ+U2VsZiBSZXBvcnQ8L2tleXdvcmQ+PGtl
eXdvcmQ+WW91bmcgQWR1bHQ8L2tleXdvcmQ+PGtleXdvcmQ+Y2FyYm9oeWRyYXRlPC9rZXl3b3Jk
PjxrZXl3b3JkPmZhdCBtYXNzPC9rZXl3b3JkPjxrZXl3b3JkPm1hdGVybmFsIGRpZXQ8L2tleXdv
cmQ+PGtleXdvcmQ+b2Jlc2l0eTwva2V5d29yZD48a2V5d29yZD5vZmZzcHJpbmc8L2tleXdvcmQ+
PC9rZXl3b3Jkcz48ZGF0ZXM+PHllYXI+MjAxNTwveWVhcj48cHViLWRhdGVzPjxkYXRlPkRlYzwv
ZGF0ZT48L3B1Yi1kYXRlcz48L2RhdGVzPjxpc2JuPjE5MzgtMzIwNyAoRWxlY3Ryb25pYykmI3hE
OzAwMDItOTE2NSAoTGlua2luZyk8L2lzYm4+PGFjY2Vzc2lvbi1udW0+MjY1NjE2MjE8L2FjY2Vz
c2lvbi1udW0+PHVybHM+PHJlbGF0ZWQtdXJscz48dXJsPmh0dHBzOi8vd3d3Lm5jYmkubmxtLm5p
aC5nb3YvcHVibWVkLzI2NTYxNjIxPC91cmw+PC9yZWxhdGVkLXVybHM+PC91cmxzPjxlbGVjdHJv
bmljLXJlc291cmNlLW51bT4xMC4zOTQ1L2FqY24uMTE1LjExMDU1MTwvZWxlY3Ryb25pYy1yZXNv
dXJjZS1udW0+PC9yZWNvcmQ+PC9DaXRlPjwvRW5kTm90ZT5=
</w:fldData>
              </w:fldChar>
            </w:r>
            <w:r w:rsidR="002747EA">
              <w:instrText xml:space="preserve"> ADDIN EN.CITE </w:instrText>
            </w:r>
            <w:r w:rsidR="002747EA">
              <w:fldChar w:fldCharType="begin">
                <w:fldData xml:space="preserve">PEVuZE5vdGU+PENpdGU+PEF1dGhvcj5SZW5hdWx0PC9BdXRob3I+PFllYXI+MjAxNTwvWWVhcj48
UmVjTnVtPjE3MzU8L1JlY051bT48RGlzcGxheVRleHQ+PHN0eWxlIGZhY2U9InN1cGVyc2NyaXB0
IiBmb250PSJUcmVidWNoZXQgTVMiIHNpemU9IjkiPjkyPC9zdHlsZT48L0Rpc3BsYXlUZXh0Pjxy
ZWNvcmQ+PHJlYy1udW1iZXI+MTczNTwvcmVjLW51bWJlcj48Zm9yZWlnbi1rZXlzPjxrZXkgYXBw
PSJFTiIgZGItaWQ9ImV4dmFzcmZ4MmR0cmFvZXNhc3hwMnN6c3hhMmRmNTAyNTkyeCIgdGltZXN0
YW1wPSIxNTgyNTA2MjU3Ij4xNzM1PC9rZXk+PGtleSBhcHA9IkVOV2ViIiBkYi1pZD0iIj4wPC9r
ZXk+PC9mb3JlaWduLWtleXM+PHJlZi10eXBlIG5hbWU9IkpvdXJuYWwgQXJ0aWNsZSI+MTc8L3Jl
Zi10eXBlPjxjb250cmlidXRvcnM+PGF1dGhvcnM+PGF1dGhvcj5SZW5hdWx0LCBLLiBNLjwvYXV0
aG9yPjxhdXRob3I+Q2FybHNlbiwgRS4gTS48L2F1dGhvcj48YXV0aG9yPk5vcmdhYXJkLCBLLjwv
YXV0aG9yPjxhdXRob3I+TmlsYXMsIEwuPC9hdXRob3I+PGF1dGhvcj5QcnlkcywgTy48L2F1dGhv
cj48YXV0aG9yPlNlY2hlciwgTi4gSi48L2F1dGhvcj48YXV0aG9yPkNvcnRlcywgRC48L2F1dGhv
cj48YXV0aG9yPkplbnNlbiwgSi4gRS48L2F1dGhvcj48YXV0aG9yPk9sc2VuLCBTLiBGLjwvYXV0
aG9yPjxhdXRob3I+SGFsbGRvcnNzb24sIFQuIEkuPC9hdXRob3I+PC9hdXRob3JzPjwvY29udHJp
YnV0b3JzPjxhdXRoLWFkZHJlc3M+RGVwYXJ0bWVudHMgb2YgT2JzdGV0cmljcyBhbmQgR3luYWVj
b2xvZ3ksIGtyZW5hdWx0QGRhZGxuZXQuZGsuJiN4RDtQYWVkaWF0cmljcywgYW5kLiYjeEQ7RW5k
b2NyaW5vbG9neSwgSHZpZG92cmUgSG9zcGl0YWwsIFVuaXZlcnNpdHkgb2YgQ29wZW5oYWdlbiwg
Q29wZW5oYWdlbiwgRGVubWFyazsmI3hEO0RlcGFydG1lbnRzIG9mIE9ic3RldHJpY3MgYW5kIEd5
bmFlY29sb2d5LiYjeEQ7VGhlIFJlc2VhcmNoIFVuaXQgV29tZW4mYXBvcztzIGFuZCBDaGlsZHJl
biZhcG9zO3MgSGVhbHRoLCB0aGUgSnVsaWFuZSBNYXJpZSBDZW50cmUsIFJpZ3Nob3NwaXRhbGV0
LCBVbml2ZXJzaXR5IG9mIENvcGVuaGFnZW4sIENvcGVuaGFnZW4sIERlbm1hcms7JiN4RDtDZW50
cmUgZm9yIEZldGFsIFByb2dyYW1taW5nLCBEZXBhcnRtZW50IG9mIEVwaWRlbWlvbG9neSBSZXNl
YXJjaCwgU3RhdGVucyBTZXJ1bSBJbnN0aXR1dCwgQ29wZW5oYWdlbiwgRGVubWFyazsgYW5kLiYj
eEQ7Q2VudHJlIGZvciBGZXRhbCBQcm9ncmFtbWluZywgRGVwYXJ0bWVudCBvZiBFcGlkZW1pb2xv
Z3kgUmVzZWFyY2gsIFN0YXRlbnMgU2VydW0gSW5zdGl0dXQsIENvcGVuaGFnZW4sIERlbm1hcms7
IGFuZCBGYWN1bHR5IG9mIEZvb2QgU2NpZW5jZSBhbmQgTnV0cml0aW9uLCBVbml2ZXJzaXR5IG9m
IEljZWxhbmQsIFJleWtqYXZpaywgSWNlbGFuZC48L2F1dGgtYWRkcmVzcz48dGl0bGVzPjx0aXRs
ZT5JbnRha2Ugb2YgY2FyYm9oeWRyYXRlcyBkdXJpbmcgcHJlZ25hbmN5IGluIG9iZXNlIHdvbWVu
IGlzIGFzc29jaWF0ZWQgd2l0aCBmYXQgbWFzcyBpbiB0aGUgbmV3Ym9ybiBvZmZzcHJpbmc8L3Rp
dGxlPjxzZWNvbmRhcnktdGl0bGU+QW0gSiBDbGluIE51dHI8L3NlY29uZGFyeS10aXRsZT48L3Rp
dGxlcz48cGVyaW9kaWNhbD48ZnVsbC10aXRsZT5BbSBKIENsaW4gTnV0cjwvZnVsbC10aXRsZT48
L3BlcmlvZGljYWw+PHBhZ2VzPjE0NzUtODE8L3BhZ2VzPjx2b2x1bWU+MTAyPC92b2x1bWU+PG51
bWJlcj42PC9udW1iZXI+PGVkaXRpb24+MjAxNS8xMS8xMzwvZWRpdGlvbj48a2V5d29yZHM+PGtl
eXdvcmQ+QWRpcG9nZW5lc2lzPC9rZXl3b3JkPjxrZXl3b3JkPipBZGlwb3NpdHk8L2tleXdvcmQ+
PGtleXdvcmQ+QWR1bHQ8L2tleXdvcmQ+PGtleXdvcmQ+QmlydGggV2VpZ2h0PC9rZXl3b3JkPjxr
ZXl3b3JkPkJvZHkgTWFzcyBJbmRleDwva2V5d29yZD48a2V5d29yZD5EZW5tYXJrL2VwaWRlbWlv
bG9neTwva2V5d29yZD48a2V5d29yZD5EaWV0LCBDYXJib2h5ZHJhdGUtUmVzdHJpY3RlZDwva2V5
d29yZD48a2V5d29yZD4qRGlldCwgTWVkaXRlcnJhbmVhbjwva2V5d29yZD48a2V5d29yZD5EaWV0
YXJ5IENhcmJvaHlkcmF0ZXMvYWR2ZXJzZSBlZmZlY3RzPC9rZXl3b3JkPjxrZXl3b3JkPkZlbWFs
ZTwva2V5d29yZD48a2V5d29yZD4qRmV0YWwgRGV2ZWxvcG1lbnQ8L2tleXdvcmQ+PGtleXdvcmQ+
R2x1Y29zZSBJbnRvbGVyYW5jZS9jb21wbGljYXRpb25zLypkaWV0IHRoZXJhcHkvcGh5c2lvcGF0
aG9sb2d5PC9rZXl3b3JkPjxrZXl3b3JkPkh1bWFuczwva2V5d29yZD48a2V5d29yZD5JbmZhbnQs
IE5ld2Jvcm48L2tleXdvcmQ+PGtleXdvcmQ+Kk1hdGVybmFsIE51dHJpdGlvbmFsIFBoeXNpb2xv
Z2ljYWwgUGhlbm9tZW5hPC9rZXl3b3JkPjxrZXl3b3JkPk9iZXNpdHkvY29tcGxpY2F0aW9ucy8q
ZGlldCB0aGVyYXB5L3BoeXNpb3BhdGhvbG9neTwva2V5d29yZD48a2V5d29yZD5QZWRpYXRyaWMg
T2Jlc2l0eS9lcGlkZW1pb2xvZ3kvZXRpb2xvZ3kvcHJldmVudGlvbiAmYW1wOyBjb250cm9sPC9r
ZXl3b3JkPjxrZXl3b3JkPlByZWduYW5jeTwva2V5d29yZD48a2V5d29yZD5QcmVnbmFuY3kgQ29t
cGxpY2F0aW9ucy8qZGlldCB0aGVyYXB5L3BoeXNpb3BhdGhvbG9neTwva2V5d29yZD48a2V5d29y
ZD5SaXNrIEZhY3RvcnM8L2tleXdvcmQ+PGtleXdvcmQ+U2VsZiBSZXBvcnQ8L2tleXdvcmQ+PGtl
eXdvcmQ+WW91bmcgQWR1bHQ8L2tleXdvcmQ+PGtleXdvcmQ+Y2FyYm9oeWRyYXRlPC9rZXl3b3Jk
PjxrZXl3b3JkPmZhdCBtYXNzPC9rZXl3b3JkPjxrZXl3b3JkPm1hdGVybmFsIGRpZXQ8L2tleXdv
cmQ+PGtleXdvcmQ+b2Jlc2l0eTwva2V5d29yZD48a2V5d29yZD5vZmZzcHJpbmc8L2tleXdvcmQ+
PC9rZXl3b3Jkcz48ZGF0ZXM+PHllYXI+MjAxNTwveWVhcj48cHViLWRhdGVzPjxkYXRlPkRlYzwv
ZGF0ZT48L3B1Yi1kYXRlcz48L2RhdGVzPjxpc2JuPjE5MzgtMzIwNyAoRWxlY3Ryb25pYykmI3hE
OzAwMDItOTE2NSAoTGlua2luZyk8L2lzYm4+PGFjY2Vzc2lvbi1udW0+MjY1NjE2MjE8L2FjY2Vz
c2lvbi1udW0+PHVybHM+PHJlbGF0ZWQtdXJscz48dXJsPmh0dHBzOi8vd3d3Lm5jYmkubmxtLm5p
aC5nb3YvcHVibWVkLzI2NTYxNjIxPC91cmw+PC9yZWxhdGVkLXVybHM+PC91cmxzPjxlbGVjdHJv
bmljLXJlc291cmNlLW51bT4xMC4zOTQ1L2FqY24uMTE1LjExMDU1MTwvZWxlY3Ryb25pYy1yZXNv
dXJjZS1udW0+PC9yZWNvcmQ+PC9DaXRlPjwvRW5kTm90ZT5=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92</w:t>
            </w:r>
            <w:r w:rsidR="00774750">
              <w:fldChar w:fldCharType="end"/>
            </w:r>
          </w:p>
          <w:p w14:paraId="4ACE49DC" w14:textId="7E21CCCD" w:rsidR="00A51BB3" w:rsidRPr="00B82457" w:rsidRDefault="00A51BB3" w:rsidP="002F1844">
            <w:r w:rsidRPr="00B82457">
              <w:t>Analysis of RCT participants</w:t>
            </w:r>
          </w:p>
          <w:p w14:paraId="3E59CA08" w14:textId="66F46B70" w:rsidR="00A51BB3" w:rsidRPr="00B82457" w:rsidRDefault="00A51BB3" w:rsidP="002F1844">
            <w:r w:rsidRPr="00B82457">
              <w:t>Denmark</w:t>
            </w:r>
          </w:p>
        </w:tc>
        <w:tc>
          <w:tcPr>
            <w:tcW w:w="1417" w:type="dxa"/>
          </w:tcPr>
          <w:p w14:paraId="15A87CAF" w14:textId="5FBCC2ED" w:rsidR="00A51BB3" w:rsidRPr="00B82457" w:rsidRDefault="00A51BB3" w:rsidP="002F1844">
            <w:r w:rsidRPr="00B82457">
              <w:t>222</w:t>
            </w:r>
          </w:p>
        </w:tc>
        <w:tc>
          <w:tcPr>
            <w:tcW w:w="4532" w:type="dxa"/>
          </w:tcPr>
          <w:p w14:paraId="5B855EBE" w14:textId="77777777" w:rsidR="00A51BB3" w:rsidRPr="00B82457" w:rsidRDefault="00A51BB3" w:rsidP="00A51BB3">
            <w:r w:rsidRPr="00B82457">
              <w:rPr>
                <w:b/>
              </w:rPr>
              <w:t>Aim</w:t>
            </w:r>
            <w:r w:rsidRPr="00B82457">
              <w:t xml:space="preserve">: To examine the association between carbohydrate intake in obese pregnant women and their offspring's body composition. </w:t>
            </w:r>
          </w:p>
          <w:p w14:paraId="7BC40F00" w14:textId="5DBD2CC6" w:rsidR="00A51BB3" w:rsidRPr="00B82457" w:rsidRDefault="00A51BB3" w:rsidP="001158A7">
            <w:pPr>
              <w:rPr>
                <w:b/>
              </w:rPr>
            </w:pPr>
            <w:r w:rsidRPr="00B82457">
              <w:rPr>
                <w:b/>
              </w:rPr>
              <w:t>Methods</w:t>
            </w:r>
            <w:r w:rsidRPr="00B82457">
              <w:t xml:space="preserve">: Secondary analyses were performed in an observational setting of pregnant women with a pregestational BMI ≥30 participating in a randomized controlled trial. Diet was assessed at gestational weeks 11-14 and 36-37 by using a semiquantitative food-frequency questionnaire. Body composition in the offspring was assessed at birth by dual-energy X-ray absorptiometry. Relative fat mass (%) was the primary outcome. Absolute measures (total fat, abdominal fat, and lean body mass) were secondary outcomes. </w:t>
            </w:r>
          </w:p>
        </w:tc>
        <w:tc>
          <w:tcPr>
            <w:tcW w:w="4536" w:type="dxa"/>
          </w:tcPr>
          <w:p w14:paraId="7F2725AC" w14:textId="77777777" w:rsidR="00A51BB3" w:rsidRDefault="00A51BB3" w:rsidP="00B82457">
            <w:r w:rsidRPr="00B82457">
              <w:t>Maternal intake of digestible carbohydrates was associated with the offspring's relative fat mass in late (P-trend = 0.006) but not early (P-trend = 0.15) pregnancy. A comparison of mothers in the highest (median: 238 g/d) compared with the lowest (median: 188 g/d) quartile of digestible carbohydrate intake showed a mean adjusted higher value in the offspring's relative fat mass of 2.1% (95% CI 0.6% to 3.7%), which corresponded in absolute terms to a 103 g (95% CI: 27 to 179 g) higher fat mass. Abdominal fat mass was also higher.</w:t>
            </w:r>
            <w:r w:rsidRPr="00A51BB3">
              <w:t xml:space="preserve"> </w:t>
            </w:r>
          </w:p>
          <w:p w14:paraId="2B807381" w14:textId="03683E9B" w:rsidR="008E4648" w:rsidRPr="008E4648" w:rsidRDefault="008E4648" w:rsidP="008E4648">
            <w:r w:rsidRPr="008E4648">
              <w:t xml:space="preserve">In a strata of women with well-controlled glucose (2-h glucose values </w:t>
            </w:r>
            <w:r>
              <w:t>≤</w:t>
            </w:r>
            <w:r w:rsidRPr="008E4648">
              <w:t xml:space="preserve">6.6 mmol/L), no association between carbohydrate intake and offspring fat mass was observed, but the associations became significant and increased in strength with higher intolerance (strata with 2-h glucose values between 6.7-7.7 and </w:t>
            </w:r>
            <w:r>
              <w:t>≥</w:t>
            </w:r>
            <w:r w:rsidRPr="008E4648">
              <w:t>7.8 mmol/L).</w:t>
            </w:r>
          </w:p>
        </w:tc>
        <w:tc>
          <w:tcPr>
            <w:tcW w:w="1843" w:type="dxa"/>
          </w:tcPr>
          <w:p w14:paraId="79DBE31E" w14:textId="77777777" w:rsidR="00A51BB3" w:rsidRPr="00C8357D" w:rsidRDefault="00A51BB3" w:rsidP="002F1844"/>
        </w:tc>
      </w:tr>
      <w:tr w:rsidR="00520621" w:rsidRPr="00C8357D" w14:paraId="7A494423" w14:textId="77777777" w:rsidTr="005A7519">
        <w:tblPrEx>
          <w:tblLook w:val="04A0" w:firstRow="1" w:lastRow="0" w:firstColumn="1" w:lastColumn="0" w:noHBand="0" w:noVBand="1"/>
        </w:tblPrEx>
        <w:trPr>
          <w:cantSplit/>
          <w:trHeight w:val="390"/>
        </w:trPr>
        <w:tc>
          <w:tcPr>
            <w:tcW w:w="1564" w:type="dxa"/>
          </w:tcPr>
          <w:p w14:paraId="08398FE5" w14:textId="7F39F9D0" w:rsidR="00520621" w:rsidRPr="001158A7" w:rsidRDefault="00520621" w:rsidP="002F1844">
            <w:r w:rsidRPr="001158A7">
              <w:t>Sharma et al 2018</w:t>
            </w:r>
            <w:r w:rsidR="00774750">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 </w:instrText>
            </w:r>
            <w:r w:rsidR="002747EA">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93</w:t>
            </w:r>
            <w:r w:rsidR="00774750">
              <w:fldChar w:fldCharType="end"/>
            </w:r>
          </w:p>
          <w:p w14:paraId="5C5BA9E8" w14:textId="77777777" w:rsidR="00520621" w:rsidRPr="001158A7" w:rsidRDefault="00520621" w:rsidP="002F1844">
            <w:r w:rsidRPr="001158A7">
              <w:t>United Kingdom</w:t>
            </w:r>
          </w:p>
          <w:p w14:paraId="1E95764C" w14:textId="58657631" w:rsidR="00520621" w:rsidRPr="001158A7" w:rsidRDefault="00520621" w:rsidP="002F1844">
            <w:r w:rsidRPr="001158A7">
              <w:t>Cohort</w:t>
            </w:r>
          </w:p>
        </w:tc>
        <w:tc>
          <w:tcPr>
            <w:tcW w:w="1417" w:type="dxa"/>
          </w:tcPr>
          <w:p w14:paraId="66E7FD1A" w14:textId="42927316" w:rsidR="00520621" w:rsidRPr="001158A7" w:rsidRDefault="00520621" w:rsidP="002F1844">
            <w:r w:rsidRPr="001158A7">
              <w:t>1,196</w:t>
            </w:r>
          </w:p>
        </w:tc>
        <w:tc>
          <w:tcPr>
            <w:tcW w:w="4532" w:type="dxa"/>
          </w:tcPr>
          <w:p w14:paraId="37BBEDE4" w14:textId="77777777" w:rsidR="00520621" w:rsidRPr="001158A7" w:rsidRDefault="00520621" w:rsidP="000D6E8C">
            <w:r w:rsidRPr="001158A7">
              <w:rPr>
                <w:b/>
              </w:rPr>
              <w:t xml:space="preserve">Aim: </w:t>
            </w:r>
            <w:r w:rsidRPr="001158A7">
              <w:t>To</w:t>
            </w:r>
            <w:r w:rsidRPr="001158A7">
              <w:rPr>
                <w:b/>
              </w:rPr>
              <w:t xml:space="preserve"> </w:t>
            </w:r>
            <w:r w:rsidRPr="001158A7">
              <w:t xml:space="preserve">investigate the association between maternal dietary macronutrient intakes and their sub-components such as saccharides and fatty acids and birth weight. </w:t>
            </w:r>
          </w:p>
          <w:p w14:paraId="6CE5B0D3" w14:textId="0755E57E" w:rsidR="00520621" w:rsidRPr="001158A7" w:rsidRDefault="00520621" w:rsidP="00520621">
            <w:pPr>
              <w:rPr>
                <w:b/>
              </w:rPr>
            </w:pPr>
            <w:r w:rsidRPr="001158A7">
              <w:rPr>
                <w:b/>
              </w:rPr>
              <w:t>Methods</w:t>
            </w:r>
            <w:r w:rsidRPr="001158A7">
              <w:t>: Women were interviewed in each trimester. Dietary information was collected twice using a 24-h dietary recall about 8-12 weeks and 13-27 weeks of gestation.</w:t>
            </w:r>
          </w:p>
        </w:tc>
        <w:tc>
          <w:tcPr>
            <w:tcW w:w="4536" w:type="dxa"/>
          </w:tcPr>
          <w:p w14:paraId="08104162" w14:textId="77777777" w:rsidR="00520621" w:rsidRPr="001158A7" w:rsidRDefault="00520621" w:rsidP="00520621">
            <w:r w:rsidRPr="001158A7">
              <w:t xml:space="preserve">Multiple linear regression models adjusted for alcohol and smoking in trimester 1, showed that each additional 10 g/d carbohydrate consumption was associated with an increase of 4 g (95 % CI 1, 7; P=0.003) in birth weight. </w:t>
            </w:r>
          </w:p>
          <w:p w14:paraId="42BD7B73" w14:textId="3454D279" w:rsidR="00520621" w:rsidRPr="00520621" w:rsidRDefault="00520621" w:rsidP="00520621">
            <w:r w:rsidRPr="001158A7">
              <w:t>Maternal diet in trimester 2 suggested that higher intakes of glucose (10 g/d) and lactose (1 g/d) were both associated with higher birth weight of 52 g (95 % CI 4, 100; P=0.03) and 5 g (95 % CI 2, 7; P&lt;0.001) respectively.</w:t>
            </w:r>
            <w:r w:rsidRPr="00520621">
              <w:t xml:space="preserve"> </w:t>
            </w:r>
          </w:p>
        </w:tc>
        <w:tc>
          <w:tcPr>
            <w:tcW w:w="1843" w:type="dxa"/>
          </w:tcPr>
          <w:p w14:paraId="7A35BAB9" w14:textId="77777777" w:rsidR="00520621" w:rsidRPr="00C8357D" w:rsidRDefault="00520621" w:rsidP="002F1844"/>
        </w:tc>
      </w:tr>
    </w:tbl>
    <w:p w14:paraId="6EB5EF1D" w14:textId="45B92436" w:rsidR="009337E3" w:rsidRDefault="009C163D" w:rsidP="005719CE">
      <w:pPr>
        <w:pStyle w:val="TableName"/>
        <w:ind w:left="1134" w:hanging="1134"/>
      </w:pPr>
      <w:bookmarkStart w:id="65" w:name="_Toc40956605"/>
      <w:r>
        <w:t xml:space="preserve">Q2 </w:t>
      </w:r>
      <w:r w:rsidR="009337E3">
        <w:t>Consumption of protein during pregnancy</w:t>
      </w:r>
      <w:bookmarkEnd w:id="6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7: Q2 Consumption of protein during pregnancy"/>
      </w:tblPr>
      <w:tblGrid>
        <w:gridCol w:w="1564"/>
        <w:gridCol w:w="1422"/>
        <w:gridCol w:w="4530"/>
        <w:gridCol w:w="4534"/>
        <w:gridCol w:w="1842"/>
      </w:tblGrid>
      <w:tr w:rsidR="009337E3" w:rsidRPr="00F350A6" w14:paraId="6DD60B7E" w14:textId="77777777" w:rsidTr="004E4762">
        <w:trPr>
          <w:cantSplit/>
          <w:trHeight w:val="390"/>
          <w:tblHeader/>
        </w:trPr>
        <w:tc>
          <w:tcPr>
            <w:tcW w:w="1559" w:type="dxa"/>
          </w:tcPr>
          <w:p w14:paraId="54A31495" w14:textId="77777777" w:rsidR="009337E3" w:rsidRPr="00F350A6" w:rsidRDefault="009337E3" w:rsidP="009337E3">
            <w:pPr>
              <w:keepNext/>
              <w:rPr>
                <w:b/>
              </w:rPr>
            </w:pPr>
            <w:r>
              <w:rPr>
                <w:b/>
              </w:rPr>
              <w:t>Study ref</w:t>
            </w:r>
          </w:p>
        </w:tc>
        <w:tc>
          <w:tcPr>
            <w:tcW w:w="1422" w:type="dxa"/>
          </w:tcPr>
          <w:p w14:paraId="0F598B72" w14:textId="77777777" w:rsidR="009337E3" w:rsidRPr="00F350A6" w:rsidRDefault="009337E3" w:rsidP="009337E3">
            <w:pPr>
              <w:keepNext/>
              <w:rPr>
                <w:b/>
              </w:rPr>
            </w:pPr>
            <w:r>
              <w:rPr>
                <w:b/>
              </w:rPr>
              <w:t>N</w:t>
            </w:r>
          </w:p>
        </w:tc>
        <w:tc>
          <w:tcPr>
            <w:tcW w:w="4532" w:type="dxa"/>
          </w:tcPr>
          <w:p w14:paraId="79475CCB" w14:textId="77777777" w:rsidR="009337E3" w:rsidRPr="00F350A6" w:rsidRDefault="009337E3" w:rsidP="009337E3">
            <w:pPr>
              <w:keepNext/>
              <w:rPr>
                <w:b/>
              </w:rPr>
            </w:pPr>
            <w:r>
              <w:rPr>
                <w:b/>
              </w:rPr>
              <w:t>Aim/methods</w:t>
            </w:r>
          </w:p>
        </w:tc>
        <w:tc>
          <w:tcPr>
            <w:tcW w:w="4536" w:type="dxa"/>
          </w:tcPr>
          <w:p w14:paraId="41BFC36B" w14:textId="77777777" w:rsidR="009337E3" w:rsidRPr="00F350A6" w:rsidRDefault="009337E3" w:rsidP="009337E3">
            <w:pPr>
              <w:keepNext/>
              <w:rPr>
                <w:b/>
              </w:rPr>
            </w:pPr>
            <w:r>
              <w:rPr>
                <w:b/>
              </w:rPr>
              <w:t>Results</w:t>
            </w:r>
          </w:p>
        </w:tc>
        <w:tc>
          <w:tcPr>
            <w:tcW w:w="1843" w:type="dxa"/>
          </w:tcPr>
          <w:p w14:paraId="74B8BA75" w14:textId="77777777" w:rsidR="009337E3" w:rsidRPr="00F350A6" w:rsidRDefault="009337E3" w:rsidP="009337E3">
            <w:pPr>
              <w:keepNext/>
              <w:rPr>
                <w:b/>
              </w:rPr>
            </w:pPr>
            <w:r>
              <w:rPr>
                <w:b/>
              </w:rPr>
              <w:t>Comments</w:t>
            </w:r>
          </w:p>
        </w:tc>
      </w:tr>
      <w:tr w:rsidR="00520621" w:rsidRPr="00C8357D" w14:paraId="7079C4D8" w14:textId="77777777" w:rsidTr="00D44590">
        <w:tblPrEx>
          <w:tblLook w:val="04A0" w:firstRow="1" w:lastRow="0" w:firstColumn="1" w:lastColumn="0" w:noHBand="0" w:noVBand="1"/>
        </w:tblPrEx>
        <w:trPr>
          <w:cantSplit/>
          <w:trHeight w:val="390"/>
        </w:trPr>
        <w:tc>
          <w:tcPr>
            <w:tcW w:w="1564" w:type="dxa"/>
          </w:tcPr>
          <w:p w14:paraId="3E8E623B" w14:textId="39F281D9" w:rsidR="00520621" w:rsidRPr="00BB061F" w:rsidRDefault="00520621" w:rsidP="00D44590">
            <w:r w:rsidRPr="00BB061F">
              <w:t>Sharma et al 2018</w:t>
            </w:r>
            <w:r w:rsidR="00774750">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 </w:instrText>
            </w:r>
            <w:r w:rsidR="002747EA">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93</w:t>
            </w:r>
            <w:r w:rsidR="00774750">
              <w:fldChar w:fldCharType="end"/>
            </w:r>
          </w:p>
          <w:p w14:paraId="775B3DA2" w14:textId="77777777" w:rsidR="00520621" w:rsidRPr="00BB061F" w:rsidRDefault="00520621" w:rsidP="00D44590">
            <w:r w:rsidRPr="00BB061F">
              <w:t>United Kingdom</w:t>
            </w:r>
          </w:p>
          <w:p w14:paraId="025865A5" w14:textId="77777777" w:rsidR="00520621" w:rsidRPr="00BB061F" w:rsidRDefault="00520621" w:rsidP="00D44590">
            <w:r w:rsidRPr="00BB061F">
              <w:t>Cohort</w:t>
            </w:r>
          </w:p>
        </w:tc>
        <w:tc>
          <w:tcPr>
            <w:tcW w:w="1417" w:type="dxa"/>
          </w:tcPr>
          <w:p w14:paraId="14400CBD" w14:textId="77777777" w:rsidR="00520621" w:rsidRPr="00BB061F" w:rsidRDefault="00520621" w:rsidP="00D44590">
            <w:r w:rsidRPr="00BB061F">
              <w:t>1,196</w:t>
            </w:r>
          </w:p>
        </w:tc>
        <w:tc>
          <w:tcPr>
            <w:tcW w:w="4532" w:type="dxa"/>
          </w:tcPr>
          <w:p w14:paraId="78355F10" w14:textId="77777777" w:rsidR="00520621" w:rsidRPr="00BB061F" w:rsidRDefault="00520621" w:rsidP="00D44590">
            <w:r w:rsidRPr="00BB061F">
              <w:rPr>
                <w:b/>
              </w:rPr>
              <w:t xml:space="preserve">Aim: </w:t>
            </w:r>
            <w:r w:rsidRPr="00BB061F">
              <w:t>To</w:t>
            </w:r>
            <w:r w:rsidRPr="00BB061F">
              <w:rPr>
                <w:b/>
              </w:rPr>
              <w:t xml:space="preserve"> </w:t>
            </w:r>
            <w:r w:rsidRPr="00BB061F">
              <w:t xml:space="preserve">investigate the association between maternal dietary macronutrient intakes and their sub-components such as saccharides and fatty acids and birth weight. </w:t>
            </w:r>
          </w:p>
          <w:p w14:paraId="328CE6B1" w14:textId="77777777" w:rsidR="00520621" w:rsidRPr="00BB061F" w:rsidRDefault="00520621" w:rsidP="00D44590">
            <w:pPr>
              <w:rPr>
                <w:b/>
              </w:rPr>
            </w:pPr>
            <w:r w:rsidRPr="00BB061F">
              <w:rPr>
                <w:b/>
              </w:rPr>
              <w:t>Methods</w:t>
            </w:r>
            <w:r w:rsidRPr="00BB061F">
              <w:t>: Women were interviewed in each trimester. Dietary information was collected twice using a 24-h dietary recall about 8-12 weeks and 13-27 weeks of gestation.</w:t>
            </w:r>
          </w:p>
        </w:tc>
        <w:tc>
          <w:tcPr>
            <w:tcW w:w="4536" w:type="dxa"/>
          </w:tcPr>
          <w:p w14:paraId="4C251286" w14:textId="4B2F3A37" w:rsidR="00520621" w:rsidRPr="00520621" w:rsidRDefault="00520621" w:rsidP="00D44590">
            <w:r w:rsidRPr="00BB061F">
              <w:t>There was no evidence of an association between protein intake and birth weight</w:t>
            </w:r>
            <w:r w:rsidR="00BB061F" w:rsidRPr="00BB061F">
              <w:t xml:space="preserve"> (MD 9; 95%CI -22.0 to 8).</w:t>
            </w:r>
          </w:p>
        </w:tc>
        <w:tc>
          <w:tcPr>
            <w:tcW w:w="1843" w:type="dxa"/>
          </w:tcPr>
          <w:p w14:paraId="4544839C" w14:textId="77777777" w:rsidR="00520621" w:rsidRPr="00C8357D" w:rsidRDefault="00520621" w:rsidP="00D44590"/>
        </w:tc>
      </w:tr>
      <w:tr w:rsidR="009337E3" w:rsidRPr="00C8357D" w14:paraId="6937AFD4" w14:textId="77777777" w:rsidTr="004E4762">
        <w:tblPrEx>
          <w:tblLook w:val="04A0" w:firstRow="1" w:lastRow="0" w:firstColumn="1" w:lastColumn="0" w:noHBand="0" w:noVBand="1"/>
        </w:tblPrEx>
        <w:trPr>
          <w:cantSplit/>
          <w:trHeight w:val="390"/>
        </w:trPr>
        <w:tc>
          <w:tcPr>
            <w:tcW w:w="1559" w:type="dxa"/>
          </w:tcPr>
          <w:p w14:paraId="4783DDAE" w14:textId="147D6BEA" w:rsidR="009337E3" w:rsidRPr="00E300BA" w:rsidRDefault="009337E3" w:rsidP="009337E3">
            <w:r w:rsidRPr="00E300BA">
              <w:t>Chen et al 2016</w:t>
            </w:r>
            <w:r w:rsidR="00774750">
              <w:fldChar w:fldCharType="begin">
                <w:fldData xml:space="preserve">PEVuZE5vdGU+PENpdGU+PEF1dGhvcj5DaGVuPC9BdXRob3I+PFllYXI+MjAxNjwvWWVhcj48UmVj
TnVtPjE3MTE8L1JlY051bT48RGlzcGxheVRleHQ+PHN0eWxlIGZhY2U9InN1cGVyc2NyaXB0IiBm
b250PSJUcmVidWNoZXQgTVMiIHNpemU9IjkiPjk3PC9zdHlsZT48L0Rpc3BsYXlUZXh0PjxyZWNv
cmQ+PHJlYy1udW1iZXI+MTcxMTwvcmVjLW51bWJlcj48Zm9yZWlnbi1rZXlzPjxrZXkgYXBwPSJF
TiIgZGItaWQ9ImV4dmFzcmZ4MmR0cmFvZXNhc3hwMnN6c3hhMmRmNTAyNTkyeCIgdGltZXN0YW1w
PSIxNTgyNTA2MDk4Ij4xNzExPC9rZXk+PGtleSBhcHA9IkVOV2ViIiBkYi1pZD0iIj4wPC9rZXk+
PC9mb3JlaWduLWtleXM+PHJlZi10eXBlIG5hbWU9IkpvdXJuYWwgQXJ0aWNsZSI+MTc8L3JlZi10
eXBlPjxjb250cmlidXRvcnM+PGF1dGhvcnM+PGF1dGhvcj5DaGVuLCBMLiBXLjwvYXV0aG9yPjxh
dXRob3I+VGludCwgTS4gVC48L2F1dGhvcj48YXV0aG9yPkZvcnRpZXIsIE0uIFYuPC9hdXRob3I+
PGF1dGhvcj5BcmlzLCBJLiBNLjwvYXV0aG9yPjxhdXRob3I+QmVybmFyZCwgSi4gWS48L2F1dGhv
cj48YXV0aG9yPkNvbGVnYSwgTS48L2F1dGhvcj48YXV0aG9yPkdsdWNrbWFuLCBQLiBELjwvYXV0
aG9yPjxhdXRob3I+U2F3LCBTLiBNLjwvYXV0aG9yPjxhdXRob3I+Q2hvbmcsIFkuIFMuPC9hdXRo
b3I+PGF1dGhvcj5ZYXAsIEYuPC9hdXRob3I+PGF1dGhvcj5Hb2RmcmV5LCBLLiBNLjwvYXV0aG9y
PjxhdXRob3I+S3JhbWVyLCBNLiBTLjwvYXV0aG9yPjxhdXRob3I+dmFuIERhbSwgUi4gTS48L2F1
dGhvcj48YXV0aG9yPkNob25nLCBNLiBGLjwvYXV0aG9yPjxhdXRob3I+TGVlLCBZLiBTLjwvYXV0
aG9yPjwvYXV0aG9ycz48L2NvbnRyaWJ1dG9ycz48YXV0aC1hZGRyZXNzPkRlcGFydG1lbnQgb2Yg
UGFlZGlhdHJpY3MsIHBhZWNsd0BudXMuZWR1LnNnIHBhZWxlZXlzQG51cy5lZHUuc2cuJiN4RDtE
ZXBhcnRtZW50IG9mIE9ic3RldHJpY3MgYW5kIEd5bmFlY29sb2d5LCBhbmQuJiN4RDtEZXBhcnRt
ZW50IG9mIERpYWdub3N0aWMgYW5kIEludGVydmVudGlvbmFsIEltYWdpbmcgYW5kLiYjeEQ7U2lu
Z2Fwb3JlIEluc3RpdHV0ZSBmb3IgQ2xpbmljYWwgU2NpZW5jZXMsIEFnZW5jeSBmb3IgU2NpZW5j
ZSwgVGVjaG5vbG9neSwgYW5kIFJlc2VhcmNoLCBTaW5nYXBvcmU7JiN4RDtTaW5nYXBvcmUgSW5z
dGl0dXRlIGZvciBDbGluaWNhbCBTY2llbmNlcywgQWdlbmN5IGZvciBTY2llbmNlLCBUZWNobm9s
b2d5LCBhbmQgUmVzZWFyY2gsIFNpbmdhcG9yZTsgTGlnZ2lucyBJbnN0aXR1dGUsIFVuaXZlcnNp
dHkgb2YgQXVja2xhbmQsIEF1Y2tsYW5kLCBOZXcgWmVhbGFuZDsmI3hEO1NhdyBTd2VlIEhvY2sg
U2Nob29sIG9mIFB1YmxpYyBIZWFsdGgsIE5hdGlvbmFsIFVuaXZlcnNpdHkgb2YgU2luZ2Fwb3Jl
LCBTaW5nYXBvcmU7JiN4RDtEZXBhcnRtZW50IG9mIE9ic3RldHJpY3MgYW5kIEd5bmFlY29sb2d5
LCBhbmQgU2luZ2Fwb3JlIEluc3RpdHV0ZSBmb3IgQ2xpbmljYWwgU2NpZW5jZXMsIEFnZW5jeSBm
b3IgU2NpZW5jZSwgVGVjaG5vbG9neSwgYW5kIFJlc2VhcmNoLCBTaW5nYXBvcmU7JiN4RDtEZXBh
cnRtZW50IG9mIFBlZGlhdHJpYyBFbmRvY3Jpbm9sb2d5LCBLSyBXb21lbiZhcG9zO3MgYW5kIENo
aWxkcmVuJmFwb3M7cyBIb3NwaXRhbCwgU2luZ2Fwb3JlOyBEdWtlLU5VUyBHcmFkdWF0ZSBNZWRp
Y2FsIFNjaG9vbCwgTGVlIEtvbmcgQ2hpYW4gU2Nob29sIG9mIE1lZGljaW5lLCBTaW5nYXBvcmU7
JiN4RDtNUkMgTGlmZWNvdXJzZSBFcGlkZW1pb2xvZ3kgVW5pdCBhbmQgTklIUiBTb3V0aGFtcHRv
biBCaW9tZWRpY2FsIFJlc2VhcmNoIENlbnRyZSwgVW5pdmVyc2l0eSBvZiBTb3V0aGFtcHRvbiBh
bmQgVW5pdmVyc2l0eSBIb3NwaXRhbCBTb3V0aGFtcHRvbiBOSFMgRm91bmRhdGlvbiBUcnVzdCwg
U291dGhhbXB0b24sIFVuaXRlZCBLaW5nZG9tOyYjeEQ7RGVwYXJ0bWVudCBvZiBPYnN0ZXRyaWNz
IGFuZCBHeW5hZWNvbG9neSwgYW5kIERlcGFydG1lbnRzIG9mIFBlZGlhdHJpY3MgYW5kIEVwaWRl
bWlvbG9neSwgQmlvc3RhdGlzdGljcywgYW5kIE9jY3VwYXRpb25hbCBIZWFsdGgsIE1jR2lsbCBV
bml2ZXJzaXR5IEZhY3VsdHkgb2YgTWVkaWNpbmUsIE1vbnRyZWFsLCBDYW5hZGE7JiN4RDtEZXBh
cnRtZW50IG9mIE1lZGljaW5lLCBZb25nIExvbyBMaW4gU2Nob29sIG9mIE1lZGljaW5lLCBhbmQg
U2F3IFN3ZWUgSG9jayBTY2hvb2wgb2YgUHVibGljIEhlYWx0aCwgTmF0aW9uYWwgVW5pdmVyc2l0
eSBvZiBTaW5nYXBvcmUsIFNpbmdhcG9yZTsgRGVwYXJ0bWVudCBvZiBOdXRyaXRpb24sIEhhcnZh
cmQgU2Nob29sIG9mIFB1YmxpYyBIZWFsdGgsIEJvc3RvbiwgTUE7JiN4RDtTYXcgU3dlZSBIb2Nr
IFNjaG9vbCBvZiBQdWJsaWMgSGVhbHRoLCBOYXRpb25hbCBVbml2ZXJzaXR5IG9mIFNpbmdhcG9y
ZSwgU2luZ2Fwb3JlOyBTaW5nYXBvcmUgSW5zdGl0dXRlIGZvciBDbGluaWNhbCBTY2llbmNlcywg
QWdlbmN5IGZvciBTY2llbmNlLCBUZWNobm9sb2d5LCBhbmQgUmVzZWFyY2gsIFNpbmdhcG9yZTsg
Q2xpbmljYWwgTnV0cml0aW9uIFJlc2VhcmNoIENlbnRyZSwgU2luZ2Fwb3JlIEluc3RpdHV0ZSBm
b3IgQ2xpbmljYWwgU2NpZW5jZXMsIEEqU1RBUiwgU2luZ2Fwb3JlOyBhbmQuJiN4RDtEZXBhcnRt
ZW50IG9mIFBhZWRpYXRyaWNzLCBTaW5nYXBvcmUgSW5zdGl0dXRlIGZvciBDbGluaWNhbCBTY2ll
bmNlcywgQWdlbmN5IGZvciBTY2llbmNlLCBUZWNobm9sb2d5LCBhbmQgUmVzZWFyY2gsIFNpbmdh
cG9yZTsgS2hvbyBUZWNrIFB1YXQtTmF0aW9uYWwgVW5pdmVyc2l0eSBDaGlsZHJlbiZhcG9zO3Mg
TWVkaWNhbCBJbnN0aXR1dGUsIE5hdGlvbmFsIFVuaXZlcnNpdHkgSGVhbHRoIFN5c3RlbSwgU2lu
Z2Fwb3JlIHBhZWNsd0BudXMuZWR1LnNnIHBhZWxlZXlzQG51cy5lZHUuc2cuPC9hdXRoLWFkZHJl
c3M+PHRpdGxlcz48dGl0bGU+TWF0ZXJuYWwgbWFjcm9udXRyaWVudCBpbnRha2UgZHVyaW5nIHBy
ZWduYW5jeSBpcyBhc3NvY2lhdGVkIHdpdGggbmVvbmF0YWwgYWJkb21pbmFsIGFkaXBvc2l0eTog
VGhlIEdyb3dpbmcgVXAgaW4gU2luZ2Fwb3JlIFRvd2FyZHMgaGVhbHRoeSBPdXRjb21lcyAoR1VT
VE8pIHN0dWR5PC90aXRsZT48c2Vjb25kYXJ5LXRpdGxlPkogTnV0cjwvc2Vjb25kYXJ5LXRpdGxl
PjwvdGl0bGVzPjxwZXJpb2RpY2FsPjxmdWxsLXRpdGxlPkogTnV0cjwvZnVsbC10aXRsZT48L3Bl
cmlvZGljYWw+PHBhZ2VzPjE1NzEtOTwvcGFnZXM+PHZvbHVtZT4xNDY8L3ZvbHVtZT48bnVtYmVy
Pjg8L251bWJlcj48ZWRpdGlvbj4yMDE2LzA3LzA4PC9lZGl0aW9uPjxrZXl3b3Jkcz48a2V5d29y
ZD4qQWRpcG9zaXR5PC9rZXl3b3JkPjxrZXl3b3JkPkFkb2xlc2NlbnQ8L2tleXdvcmQ+PGtleXdv
cmQ+QWR1bHQ8L2tleXdvcmQ+PGtleXdvcmQ+QmlydGggV2VpZ2h0PC9rZXl3b3JkPjxrZXl3b3Jk
PipEaWV0PC9rZXl3b3JkPjxrZXl3b3JkPkRpZXQgUmVjb3Jkczwva2V5d29yZD48a2V5d29yZD5E
aWV0YXJ5IENhcmJvaHlkcmF0ZXMvYWRtaW5pc3RyYXRpb24gJmFtcDsgZG9zYWdlL3BoYXJtYWNv
bG9neTwva2V5d29yZD48a2V5d29yZD5EaWV0YXJ5IEZhdHMvYWRtaW5pc3RyYXRpb24gJmFtcDsg
ZG9zYWdlL3BoYXJtYWNvbG9neTwva2V5d29yZD48a2V5d29yZD5EaWV0YXJ5IFByb3RlaW5zL2Fk
bWluaXN0cmF0aW9uICZhbXA7IGRvc2FnZS9waGFybWFjb2xvZ3k8L2tleXdvcmQ+PGtleXdvcmQ+
RmVtYWxlPC9rZXl3b3JkPjxrZXl3b3JkPkdlc3RhdGlvbmFsIEFnZTwva2V5d29yZD48a2V5d29y
ZD5IdW1hbnM8L2tleXdvcmQ+PGtleXdvcmQ+SW5mYW50LCBOZXdib3JuPC9rZXl3b3JkPjxrZXl3
b3JkPkludHJhLUFiZG9taW5hbCBGYXQvKm1ldGFib2xpc208L2tleXdvcmQ+PGtleXdvcmQ+TWFs
ZTwva2V5d29yZD48a2V5d29yZD5NZW50YWwgUmVjYWxsPC9rZXl3b3JkPjxrZXl3b3JkPipPYmVz
aXR5LCBBYmRvbWluYWwvZXRpb2xvZ3kvcHJldmVudGlvbiAmYW1wOyBjb250cm9sPC9rZXl3b3Jk
PjxrZXl3b3JkPlByZWduYW5jeTwva2V5d29yZD48a2V5d29yZD4qUHJlbmF0YWwgTnV0cml0aW9u
YWwgUGh5c2lvbG9naWNhbCBQaGVub21lbmE8L2tleXdvcmQ+PGtleXdvcmQ+UHJvc3BlY3RpdmUg
U3R1ZGllczwva2V5d29yZD48a2V5d29yZD5TZXggRmFjdG9yczwva2V5d29yZD48a2V5d29yZD5T
aW5nYXBvcmU8L2tleXdvcmQ+PGtleXdvcmQ+U2tpbmZvbGQgVGhpY2tuZXNzPC9rZXl3b3JkPjxr
ZXl3b3JkPldhaXN0IENpcmN1bWZlcmVuY2U8L2tleXdvcmQ+PGtleXdvcmQ+WW91bmcgQWR1bHQ8
L2tleXdvcmQ+PGtleXdvcmQ+KmFiZG9taW5hbCBhZGlwb3NpdHk8L2tleXdvcmQ+PGtleXdvcmQ+
KmFkaXBvc2l0eSBkaXN0cmlidXRpb248L2tleXdvcmQ+PGtleXdvcmQ+KmNhcmJvaHlkcmF0ZTwv
a2V5d29yZD48a2V5d29yZD4qZGV2ZWxvcG1lbnRhbCBvcmlnaW5zPC9rZXl3b3JkPjxrZXl3b3Jk
PipmYXQ8L2tleXdvcmQ+PGtleXdvcmQ+KmluZmFudDwva2V5d29yZD48a2V5d29yZD4qaW50ZXJu
YWwgZmF0PC9rZXl3b3JkPjxrZXl3b3JkPiptYWNyb251dHJpZW50PC9rZXl3b3JkPjxrZXl3b3Jk
PipwcmVnbmFuY3k8L2tleXdvcmQ+PGtleXdvcmQ+KnByb3RlaW48L2tleXdvcmQ+PC9rZXl3b3Jk
cz48ZGF0ZXM+PHllYXI+MjAxNjwveWVhcj48cHViLWRhdGVzPjxkYXRlPkF1ZzwvZGF0ZT48L3B1
Yi1kYXRlcz48L2RhdGVzPjxpc2JuPjE1NDEtNjEwMCAoRWxlY3Ryb25pYykmI3hEOzAwMjItMzE2
NiAoTGlua2luZyk8L2lzYm4+PGFjY2Vzc2lvbi1udW0+MjczODU3NjM8L2FjY2Vzc2lvbi1udW0+
PHVybHM+PHJlbGF0ZWQtdXJscz48dXJsPmh0dHBzOi8vd3d3Lm5jYmkubmxtLm5paC5nb3YvcHVi
bWVkLzI3Mzg1NzYzPC91cmw+PC9yZWxhdGVkLXVybHM+PC91cmxzPjxjdXN0b20yPlBNQzQ5NzM4
ODQ8L2N1c3RvbTI+PGVsZWN0cm9uaWMtcmVzb3VyY2UtbnVtPjEwLjM5NDUvam4uMTE2LjIzMDcz
MDwvZWxlY3Ryb25pYy1yZXNvdXJjZS1udW0+PC9yZWNvcmQ+PC9DaXRlPjwvRW5kTm90ZT4A
</w:fldData>
              </w:fldChar>
            </w:r>
            <w:r w:rsidR="002747EA">
              <w:instrText xml:space="preserve"> ADDIN EN.CITE </w:instrText>
            </w:r>
            <w:r w:rsidR="002747EA">
              <w:fldChar w:fldCharType="begin">
                <w:fldData xml:space="preserve">PEVuZE5vdGU+PENpdGU+PEF1dGhvcj5DaGVuPC9BdXRob3I+PFllYXI+MjAxNjwvWWVhcj48UmVj
TnVtPjE3MTE8L1JlY051bT48RGlzcGxheVRleHQ+PHN0eWxlIGZhY2U9InN1cGVyc2NyaXB0IiBm
b250PSJUcmVidWNoZXQgTVMiIHNpemU9IjkiPjk3PC9zdHlsZT48L0Rpc3BsYXlUZXh0PjxyZWNv
cmQ+PHJlYy1udW1iZXI+MTcxMTwvcmVjLW51bWJlcj48Zm9yZWlnbi1rZXlzPjxrZXkgYXBwPSJF
TiIgZGItaWQ9ImV4dmFzcmZ4MmR0cmFvZXNhc3hwMnN6c3hhMmRmNTAyNTkyeCIgdGltZXN0YW1w
PSIxNTgyNTA2MDk4Ij4xNzExPC9rZXk+PGtleSBhcHA9IkVOV2ViIiBkYi1pZD0iIj4wPC9rZXk+
PC9mb3JlaWduLWtleXM+PHJlZi10eXBlIG5hbWU9IkpvdXJuYWwgQXJ0aWNsZSI+MTc8L3JlZi10
eXBlPjxjb250cmlidXRvcnM+PGF1dGhvcnM+PGF1dGhvcj5DaGVuLCBMLiBXLjwvYXV0aG9yPjxh
dXRob3I+VGludCwgTS4gVC48L2F1dGhvcj48YXV0aG9yPkZvcnRpZXIsIE0uIFYuPC9hdXRob3I+
PGF1dGhvcj5BcmlzLCBJLiBNLjwvYXV0aG9yPjxhdXRob3I+QmVybmFyZCwgSi4gWS48L2F1dGhv
cj48YXV0aG9yPkNvbGVnYSwgTS48L2F1dGhvcj48YXV0aG9yPkdsdWNrbWFuLCBQLiBELjwvYXV0
aG9yPjxhdXRob3I+U2F3LCBTLiBNLjwvYXV0aG9yPjxhdXRob3I+Q2hvbmcsIFkuIFMuPC9hdXRo
b3I+PGF1dGhvcj5ZYXAsIEYuPC9hdXRob3I+PGF1dGhvcj5Hb2RmcmV5LCBLLiBNLjwvYXV0aG9y
PjxhdXRob3I+S3JhbWVyLCBNLiBTLjwvYXV0aG9yPjxhdXRob3I+dmFuIERhbSwgUi4gTS48L2F1
dGhvcj48YXV0aG9yPkNob25nLCBNLiBGLjwvYXV0aG9yPjxhdXRob3I+TGVlLCBZLiBTLjwvYXV0
aG9yPjwvYXV0aG9ycz48L2NvbnRyaWJ1dG9ycz48YXV0aC1hZGRyZXNzPkRlcGFydG1lbnQgb2Yg
UGFlZGlhdHJpY3MsIHBhZWNsd0BudXMuZWR1LnNnIHBhZWxlZXlzQG51cy5lZHUuc2cuJiN4RDtE
ZXBhcnRtZW50IG9mIE9ic3RldHJpY3MgYW5kIEd5bmFlY29sb2d5LCBhbmQuJiN4RDtEZXBhcnRt
ZW50IG9mIERpYWdub3N0aWMgYW5kIEludGVydmVudGlvbmFsIEltYWdpbmcgYW5kLiYjeEQ7U2lu
Z2Fwb3JlIEluc3RpdHV0ZSBmb3IgQ2xpbmljYWwgU2NpZW5jZXMsIEFnZW5jeSBmb3IgU2NpZW5j
ZSwgVGVjaG5vbG9neSwgYW5kIFJlc2VhcmNoLCBTaW5nYXBvcmU7JiN4RDtTaW5nYXBvcmUgSW5z
dGl0dXRlIGZvciBDbGluaWNhbCBTY2llbmNlcywgQWdlbmN5IGZvciBTY2llbmNlLCBUZWNobm9s
b2d5LCBhbmQgUmVzZWFyY2gsIFNpbmdhcG9yZTsgTGlnZ2lucyBJbnN0aXR1dGUsIFVuaXZlcnNp
dHkgb2YgQXVja2xhbmQsIEF1Y2tsYW5kLCBOZXcgWmVhbGFuZDsmI3hEO1NhdyBTd2VlIEhvY2sg
U2Nob29sIG9mIFB1YmxpYyBIZWFsdGgsIE5hdGlvbmFsIFVuaXZlcnNpdHkgb2YgU2luZ2Fwb3Jl
LCBTaW5nYXBvcmU7JiN4RDtEZXBhcnRtZW50IG9mIE9ic3RldHJpY3MgYW5kIEd5bmFlY29sb2d5
LCBhbmQgU2luZ2Fwb3JlIEluc3RpdHV0ZSBmb3IgQ2xpbmljYWwgU2NpZW5jZXMsIEFnZW5jeSBm
b3IgU2NpZW5jZSwgVGVjaG5vbG9neSwgYW5kIFJlc2VhcmNoLCBTaW5nYXBvcmU7JiN4RDtEZXBh
cnRtZW50IG9mIFBlZGlhdHJpYyBFbmRvY3Jpbm9sb2d5LCBLSyBXb21lbiZhcG9zO3MgYW5kIENo
aWxkcmVuJmFwb3M7cyBIb3NwaXRhbCwgU2luZ2Fwb3JlOyBEdWtlLU5VUyBHcmFkdWF0ZSBNZWRp
Y2FsIFNjaG9vbCwgTGVlIEtvbmcgQ2hpYW4gU2Nob29sIG9mIE1lZGljaW5lLCBTaW5nYXBvcmU7
JiN4RDtNUkMgTGlmZWNvdXJzZSBFcGlkZW1pb2xvZ3kgVW5pdCBhbmQgTklIUiBTb3V0aGFtcHRv
biBCaW9tZWRpY2FsIFJlc2VhcmNoIENlbnRyZSwgVW5pdmVyc2l0eSBvZiBTb3V0aGFtcHRvbiBh
bmQgVW5pdmVyc2l0eSBIb3NwaXRhbCBTb3V0aGFtcHRvbiBOSFMgRm91bmRhdGlvbiBUcnVzdCwg
U291dGhhbXB0b24sIFVuaXRlZCBLaW5nZG9tOyYjeEQ7RGVwYXJ0bWVudCBvZiBPYnN0ZXRyaWNz
IGFuZCBHeW5hZWNvbG9neSwgYW5kIERlcGFydG1lbnRzIG9mIFBlZGlhdHJpY3MgYW5kIEVwaWRl
bWlvbG9neSwgQmlvc3RhdGlzdGljcywgYW5kIE9jY3VwYXRpb25hbCBIZWFsdGgsIE1jR2lsbCBV
bml2ZXJzaXR5IEZhY3VsdHkgb2YgTWVkaWNpbmUsIE1vbnRyZWFsLCBDYW5hZGE7JiN4RDtEZXBh
cnRtZW50IG9mIE1lZGljaW5lLCBZb25nIExvbyBMaW4gU2Nob29sIG9mIE1lZGljaW5lLCBhbmQg
U2F3IFN3ZWUgSG9jayBTY2hvb2wgb2YgUHVibGljIEhlYWx0aCwgTmF0aW9uYWwgVW5pdmVyc2l0
eSBvZiBTaW5nYXBvcmUsIFNpbmdhcG9yZTsgRGVwYXJ0bWVudCBvZiBOdXRyaXRpb24sIEhhcnZh
cmQgU2Nob29sIG9mIFB1YmxpYyBIZWFsdGgsIEJvc3RvbiwgTUE7JiN4RDtTYXcgU3dlZSBIb2Nr
IFNjaG9vbCBvZiBQdWJsaWMgSGVhbHRoLCBOYXRpb25hbCBVbml2ZXJzaXR5IG9mIFNpbmdhcG9y
ZSwgU2luZ2Fwb3JlOyBTaW5nYXBvcmUgSW5zdGl0dXRlIGZvciBDbGluaWNhbCBTY2llbmNlcywg
QWdlbmN5IGZvciBTY2llbmNlLCBUZWNobm9sb2d5LCBhbmQgUmVzZWFyY2gsIFNpbmdhcG9yZTsg
Q2xpbmljYWwgTnV0cml0aW9uIFJlc2VhcmNoIENlbnRyZSwgU2luZ2Fwb3JlIEluc3RpdHV0ZSBm
b3IgQ2xpbmljYWwgU2NpZW5jZXMsIEEqU1RBUiwgU2luZ2Fwb3JlOyBhbmQuJiN4RDtEZXBhcnRt
ZW50IG9mIFBhZWRpYXRyaWNzLCBTaW5nYXBvcmUgSW5zdGl0dXRlIGZvciBDbGluaWNhbCBTY2ll
bmNlcywgQWdlbmN5IGZvciBTY2llbmNlLCBUZWNobm9sb2d5LCBhbmQgUmVzZWFyY2gsIFNpbmdh
cG9yZTsgS2hvbyBUZWNrIFB1YXQtTmF0aW9uYWwgVW5pdmVyc2l0eSBDaGlsZHJlbiZhcG9zO3Mg
TWVkaWNhbCBJbnN0aXR1dGUsIE5hdGlvbmFsIFVuaXZlcnNpdHkgSGVhbHRoIFN5c3RlbSwgU2lu
Z2Fwb3JlIHBhZWNsd0BudXMuZWR1LnNnIHBhZWxlZXlzQG51cy5lZHUuc2cuPC9hdXRoLWFkZHJl
c3M+PHRpdGxlcz48dGl0bGU+TWF0ZXJuYWwgbWFjcm9udXRyaWVudCBpbnRha2UgZHVyaW5nIHBy
ZWduYW5jeSBpcyBhc3NvY2lhdGVkIHdpdGggbmVvbmF0YWwgYWJkb21pbmFsIGFkaXBvc2l0eTog
VGhlIEdyb3dpbmcgVXAgaW4gU2luZ2Fwb3JlIFRvd2FyZHMgaGVhbHRoeSBPdXRjb21lcyAoR1VT
VE8pIHN0dWR5PC90aXRsZT48c2Vjb25kYXJ5LXRpdGxlPkogTnV0cjwvc2Vjb25kYXJ5LXRpdGxl
PjwvdGl0bGVzPjxwZXJpb2RpY2FsPjxmdWxsLXRpdGxlPkogTnV0cjwvZnVsbC10aXRsZT48L3Bl
cmlvZGljYWw+PHBhZ2VzPjE1NzEtOTwvcGFnZXM+PHZvbHVtZT4xNDY8L3ZvbHVtZT48bnVtYmVy
Pjg8L251bWJlcj48ZWRpdGlvbj4yMDE2LzA3LzA4PC9lZGl0aW9uPjxrZXl3b3Jkcz48a2V5d29y
ZD4qQWRpcG9zaXR5PC9rZXl3b3JkPjxrZXl3b3JkPkFkb2xlc2NlbnQ8L2tleXdvcmQ+PGtleXdv
cmQ+QWR1bHQ8L2tleXdvcmQ+PGtleXdvcmQ+QmlydGggV2VpZ2h0PC9rZXl3b3JkPjxrZXl3b3Jk
PipEaWV0PC9rZXl3b3JkPjxrZXl3b3JkPkRpZXQgUmVjb3Jkczwva2V5d29yZD48a2V5d29yZD5E
aWV0YXJ5IENhcmJvaHlkcmF0ZXMvYWRtaW5pc3RyYXRpb24gJmFtcDsgZG9zYWdlL3BoYXJtYWNv
bG9neTwva2V5d29yZD48a2V5d29yZD5EaWV0YXJ5IEZhdHMvYWRtaW5pc3RyYXRpb24gJmFtcDsg
ZG9zYWdlL3BoYXJtYWNvbG9neTwva2V5d29yZD48a2V5d29yZD5EaWV0YXJ5IFByb3RlaW5zL2Fk
bWluaXN0cmF0aW9uICZhbXA7IGRvc2FnZS9waGFybWFjb2xvZ3k8L2tleXdvcmQ+PGtleXdvcmQ+
RmVtYWxlPC9rZXl3b3JkPjxrZXl3b3JkPkdlc3RhdGlvbmFsIEFnZTwva2V5d29yZD48a2V5d29y
ZD5IdW1hbnM8L2tleXdvcmQ+PGtleXdvcmQ+SW5mYW50LCBOZXdib3JuPC9rZXl3b3JkPjxrZXl3
b3JkPkludHJhLUFiZG9taW5hbCBGYXQvKm1ldGFib2xpc208L2tleXdvcmQ+PGtleXdvcmQ+TWFs
ZTwva2V5d29yZD48a2V5d29yZD5NZW50YWwgUmVjYWxsPC9rZXl3b3JkPjxrZXl3b3JkPipPYmVz
aXR5LCBBYmRvbWluYWwvZXRpb2xvZ3kvcHJldmVudGlvbiAmYW1wOyBjb250cm9sPC9rZXl3b3Jk
PjxrZXl3b3JkPlByZWduYW5jeTwva2V5d29yZD48a2V5d29yZD4qUHJlbmF0YWwgTnV0cml0aW9u
YWwgUGh5c2lvbG9naWNhbCBQaGVub21lbmE8L2tleXdvcmQ+PGtleXdvcmQ+UHJvc3BlY3RpdmUg
U3R1ZGllczwva2V5d29yZD48a2V5d29yZD5TZXggRmFjdG9yczwva2V5d29yZD48a2V5d29yZD5T
aW5nYXBvcmU8L2tleXdvcmQ+PGtleXdvcmQ+U2tpbmZvbGQgVGhpY2tuZXNzPC9rZXl3b3JkPjxr
ZXl3b3JkPldhaXN0IENpcmN1bWZlcmVuY2U8L2tleXdvcmQ+PGtleXdvcmQ+WW91bmcgQWR1bHQ8
L2tleXdvcmQ+PGtleXdvcmQ+KmFiZG9taW5hbCBhZGlwb3NpdHk8L2tleXdvcmQ+PGtleXdvcmQ+
KmFkaXBvc2l0eSBkaXN0cmlidXRpb248L2tleXdvcmQ+PGtleXdvcmQ+KmNhcmJvaHlkcmF0ZTwv
a2V5d29yZD48a2V5d29yZD4qZGV2ZWxvcG1lbnRhbCBvcmlnaW5zPC9rZXl3b3JkPjxrZXl3b3Jk
PipmYXQ8L2tleXdvcmQ+PGtleXdvcmQ+KmluZmFudDwva2V5d29yZD48a2V5d29yZD4qaW50ZXJu
YWwgZmF0PC9rZXl3b3JkPjxrZXl3b3JkPiptYWNyb251dHJpZW50PC9rZXl3b3JkPjxrZXl3b3Jk
PipwcmVnbmFuY3k8L2tleXdvcmQ+PGtleXdvcmQ+KnByb3RlaW48L2tleXdvcmQ+PC9rZXl3b3Jk
cz48ZGF0ZXM+PHllYXI+MjAxNjwveWVhcj48cHViLWRhdGVzPjxkYXRlPkF1ZzwvZGF0ZT48L3B1
Yi1kYXRlcz48L2RhdGVzPjxpc2JuPjE1NDEtNjEwMCAoRWxlY3Ryb25pYykmI3hEOzAwMjItMzE2
NiAoTGlua2luZyk8L2lzYm4+PGFjY2Vzc2lvbi1udW0+MjczODU3NjM8L2FjY2Vzc2lvbi1udW0+
PHVybHM+PHJlbGF0ZWQtdXJscz48dXJsPmh0dHBzOi8vd3d3Lm5jYmkubmxtLm5paC5nb3YvcHVi
bWVkLzI3Mzg1NzYzPC91cmw+PC9yZWxhdGVkLXVybHM+PC91cmxzPjxjdXN0b20yPlBNQzQ5NzM4
ODQ8L2N1c3RvbTI+PGVsZWN0cm9uaWMtcmVzb3VyY2UtbnVtPjEwLjM5NDUvam4uMTE2LjIzMDcz
MDwvZWxlY3Ryb25pYy1yZXNvdXJjZS1udW0+PC9yZWNvcmQ+PC9DaXRlPjwvRW5kTm90ZT4A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97</w:t>
            </w:r>
            <w:r w:rsidR="00774750">
              <w:fldChar w:fldCharType="end"/>
            </w:r>
          </w:p>
          <w:p w14:paraId="28DC2E42" w14:textId="77777777" w:rsidR="009337E3" w:rsidRPr="00E300BA" w:rsidRDefault="009337E3" w:rsidP="009337E3">
            <w:r w:rsidRPr="00E300BA">
              <w:t>Singapore</w:t>
            </w:r>
          </w:p>
          <w:p w14:paraId="21E76FD9" w14:textId="77777777" w:rsidR="009337E3" w:rsidRPr="00E300BA" w:rsidRDefault="009337E3" w:rsidP="009337E3">
            <w:r w:rsidRPr="00E300BA">
              <w:t>Cohort</w:t>
            </w:r>
          </w:p>
          <w:p w14:paraId="46BA9174" w14:textId="77777777" w:rsidR="009337E3" w:rsidRPr="00E300BA" w:rsidRDefault="009337E3" w:rsidP="009337E3"/>
        </w:tc>
        <w:tc>
          <w:tcPr>
            <w:tcW w:w="1422" w:type="dxa"/>
          </w:tcPr>
          <w:p w14:paraId="7E6ADCC3" w14:textId="5EDFF713" w:rsidR="009337E3" w:rsidRPr="00E300BA" w:rsidRDefault="00E300BA" w:rsidP="00E300BA">
            <w:r w:rsidRPr="00E300BA">
              <w:t>320 mother-child</w:t>
            </w:r>
            <w:r w:rsidR="009337E3" w:rsidRPr="00E300BA">
              <w:t xml:space="preserve"> pairs</w:t>
            </w:r>
          </w:p>
        </w:tc>
        <w:tc>
          <w:tcPr>
            <w:tcW w:w="4532" w:type="dxa"/>
          </w:tcPr>
          <w:p w14:paraId="64A42BEF" w14:textId="77777777" w:rsidR="009337E3" w:rsidRPr="00E300BA" w:rsidRDefault="009337E3" w:rsidP="009337E3">
            <w:r w:rsidRPr="00E300BA">
              <w:rPr>
                <w:b/>
              </w:rPr>
              <w:t>Aim</w:t>
            </w:r>
            <w:r w:rsidRPr="00E300BA">
              <w:t xml:space="preserve">: To investigate the relation between maternal macronutrient intake and neonatal abdominal adiposity measured by using MRI in a multiethnic Asian mother-offspring cohort. </w:t>
            </w:r>
          </w:p>
          <w:p w14:paraId="09365CD9" w14:textId="77777777" w:rsidR="009337E3" w:rsidRPr="00E300BA" w:rsidRDefault="009337E3" w:rsidP="009337E3">
            <w:pPr>
              <w:rPr>
                <w:b/>
              </w:rPr>
            </w:pPr>
            <w:r w:rsidRPr="00E300BA">
              <w:rPr>
                <w:b/>
              </w:rPr>
              <w:t>Methods</w:t>
            </w:r>
            <w:r w:rsidRPr="00E300BA">
              <w:t xml:space="preserve">: The macronutrient intake of mothers was ascertained by using a 24-h dietary recall at 26-28 wk gestation. Neonatal abdominal adiposity was assessed by using MRI in week 2 of life. Mother-offspring dyads with complete macronutrient intake and adiposity information were included in the analysis. Associations were assessed by both substitution and addition models with the use of multivariable linear regressions. </w:t>
            </w:r>
          </w:p>
        </w:tc>
        <w:tc>
          <w:tcPr>
            <w:tcW w:w="4536" w:type="dxa"/>
          </w:tcPr>
          <w:p w14:paraId="0594AF53" w14:textId="1227DB16" w:rsidR="009337E3" w:rsidRPr="00C31D7A" w:rsidRDefault="009337E3" w:rsidP="009337E3">
            <w:r w:rsidRPr="00E300BA">
              <w:t>A higher-protein, lower-carbohydrate or -fat diet during pregnancy was associated with lower abdominal internal adipose tissue (IAT) in the neonates [beta (95% CI): -0.18 mL (-0.35 to -0.001 mL) per 1% protein-to-carbohydrate substitution and -0.25 mL (-0.</w:t>
            </w:r>
            <w:r w:rsidR="00650D3D" w:rsidRPr="00E300BA">
              <w:t>46 to</w:t>
            </w:r>
            <w:r w:rsidRPr="00E300BA">
              <w:t xml:space="preserve"> -0.04 mL) per 1% protein-to-fat substitution].</w:t>
            </w:r>
            <w:r w:rsidRPr="00C31D7A">
              <w:t xml:space="preserve"> </w:t>
            </w:r>
          </w:p>
        </w:tc>
        <w:tc>
          <w:tcPr>
            <w:tcW w:w="1843" w:type="dxa"/>
          </w:tcPr>
          <w:p w14:paraId="3416C95C" w14:textId="77777777" w:rsidR="009337E3" w:rsidRPr="00C8357D" w:rsidRDefault="009337E3" w:rsidP="009337E3"/>
        </w:tc>
      </w:tr>
      <w:tr w:rsidR="0010084F" w:rsidRPr="00C8357D" w14:paraId="7CD5489F" w14:textId="77777777" w:rsidTr="004E4762">
        <w:tblPrEx>
          <w:tblLook w:val="04A0" w:firstRow="1" w:lastRow="0" w:firstColumn="1" w:lastColumn="0" w:noHBand="0" w:noVBand="1"/>
        </w:tblPrEx>
        <w:trPr>
          <w:cantSplit/>
          <w:trHeight w:val="390"/>
        </w:trPr>
        <w:tc>
          <w:tcPr>
            <w:tcW w:w="1559" w:type="dxa"/>
          </w:tcPr>
          <w:p w14:paraId="4E8EAA7A" w14:textId="0FF86BCE" w:rsidR="0010084F" w:rsidRPr="00541F56" w:rsidRDefault="0010084F" w:rsidP="009337E3">
            <w:r w:rsidRPr="00541F56">
              <w:t>Pang et al 2017</w:t>
            </w:r>
            <w:r w:rsidR="00774750">
              <w:fldChar w:fldCharType="begin">
                <w:fldData xml:space="preserve">PEVuZE5vdGU+PENpdGU+PEF1dGhvcj5QYW5nPC9BdXRob3I+PFllYXI+MjAxNzwvWWVhcj48UmVj
TnVtPjE3MzI8L1JlY051bT48RGlzcGxheVRleHQ+PHN0eWxlIGZhY2U9InN1cGVyc2NyaXB0IiBm
b250PSJUcmVidWNoZXQgTVMiIHNpemU9IjkiPjk0PC9zdHlsZT48L0Rpc3BsYXlUZXh0PjxyZWNv
cmQ+PHJlYy1udW1iZXI+MTczMjwvcmVjLW51bWJlcj48Zm9yZWlnbi1rZXlzPjxrZXkgYXBwPSJF
TiIgZGItaWQ9ImV4dmFzcmZ4MmR0cmFvZXNhc3hwMnN6c3hhMmRmNTAyNTkyeCIgdGltZXN0YW1w
PSIxNTgyNTA2MjM0Ij4xNzMyPC9rZXk+PGtleSBhcHA9IkVOV2ViIiBkYi1pZD0iIj4wPC9rZXk+
PC9mb3JlaWduLWtleXM+PHJlZi10eXBlIG5hbWU9IkpvdXJuYWwgQXJ0aWNsZSI+MTc8L3JlZi10
eXBlPjxjb250cmlidXRvcnM+PGF1dGhvcnM+PGF1dGhvcj5QYW5nLCBXLiBXLjwvYXV0aG9yPjxh
dXRob3I+Q29sZWdhLCBNLjwvYXV0aG9yPjxhdXRob3I+Q2FpLCBTLjwvYXV0aG9yPjxhdXRob3I+
Q2hhbiwgWS4gSC48L2F1dGhvcj48YXV0aG9yPlBhZG1hcHJpeWEsIE4uPC9hdXRob3I+PGF1dGhv
cj5DaGVuLCBMLiBXLjwvYXV0aG9yPjxhdXRob3I+U29oLCBTLiBFLjwvYXV0aG9yPjxhdXRob3I+
SGFuLCBXLiBNLjwvYXV0aG9yPjxhdXRob3I+VGFuLCBLLiBILjwvYXV0aG9yPjxhdXRob3I+TGVl
LCBZLiBTLjwvYXV0aG9yPjxhdXRob3I+U2F3LCBTLiBNLjwvYXV0aG9yPjxhdXRob3I+R2x1Y2tt
YW4sIFAuIEQuPC9hdXRob3I+PGF1dGhvcj5Hb2RmcmV5LCBLLiBNLjwvYXV0aG9yPjxhdXRob3I+
Q2hvbmcsIFkuIFMuPC9hdXRob3I+PGF1dGhvcj52YW4gRGFtLCBSLiBNLjwvYXV0aG9yPjxhdXRo
b3I+Q2hvbmcsIE0uIEYuPC9hdXRob3I+PC9hdXRob3JzPjwvY29udHJpYnV0b3JzPjxhdXRoLWFk
ZHJlc3M+RGVwYXJ0bWVudHMgb2YgT2JzdGV0cmljcyBhbmQgR3luYWVjb2xvZ3kuJiN4RDtTaW5n
YXBvcmUgSW5zdGl0dXRlIGZvciBDbGluaWNhbCBTY2llbmNlcywgQWdlbmN5IGZvciBTY2llbmNl
LCBUZWNobm9sb2d5LCBhbmQgUmVzZWFyY2gsIFNpbmdhcG9yZSwgU2luZ2Fwb3JlLiYjeEQ7Qmlv
c3RhdGlzdGljcy4mI3hEO1BhZWRpYXRyaWNzLCBhbmQuJiN4RDtEZXBhcnRtZW50cyBvZiBOdXRy
aXRpb24gYW5kIERpZXRldGljcyBhbmQuJiN4RDtNYXRlcm5hbCBGZXRhbCBNZWRpY2luZSwgS0sg
V29tZW4mYXBvcztzIGFuZCBDaGlsZHJlbiZhcG9zO3MgSG9zcGl0YWwsIFNpbmdhcG9yZSwgU2lu
Z2Fwb3JlLiYjeEQ7S2hvbyBUZWNrIFB1YXQtTmF0aW9uYWwgVW5pdmVyc2l0eSBDaGlsZHJlbiZh
cG9zO3MgTWVkaWNhbCBJbnN0aXR1dGUuJiN4RDtTYXcgU3dlZSBIb2NrIFNjaG9vbCBvZiBQdWJs
aWMgSGVhbHRoLCBOYXRpb25hbCBVbml2ZXJzaXR5IG9mIFNpbmdhcG9yZSBhbmQgTmF0aW9uYWwg
VW5pdmVyc2l0eSBIZWFsdGggU3lzdGVtLCBTaW5nYXBvcmUsIFNpbmdhcG9yZS4mI3hEO0xpZ2dp
bnMgSW5zdGl0dXRlLCBVbml2ZXJzaXR5IG9mIEF1Y2tsYW5kLCBBdWNrbGFuZCwgTmV3IFplYWxh
bmQuJiN4RDtNZWRpY2FsIFJlc2VhcmNoIENvdW5jaWwgTGlmZWNvdXJzZSBFcGlkZW1pb2xvZ3kg
VW5pdCwgU291dGhhbXB0b24sIFVuaXRlZCBLaW5nZG9tOyBhbmQuJiN4RDtOYXRpb25hbCBJbnN0
aXR1dGUgZm9yIEhlYWx0aCBSZXNlYXJjaCBTb3V0aGFtcHRvbiBCaW9tZWRpY2FsIFJlc2VhcmNo
IENlbnRyZSwgVW5pdmVyc2l0eSBvZiBTb3V0aGFtcHRvbiBhbmQgVW5pdmVyc2l0eSBIb3NwaXRh
bCBTb3V0aGFtcHRvbiBOYXRpb25hbCBIZWFsdGggU2VydmljZSBGb3VuZGF0aW9uIFRydXN0LCBT
b3V0aGFtcHRvbiwgVW5pdGVkIEtpbmdkb20uJiN4RDtNZWRpY2luZSwgWW9uZyBMb28gTGluIFNj
aG9vbCBvZiBNZWRpY2luZSwgcm9iLnZhbi5kYW1AbnVzLmVkdS5zZyBlcGhtY2ZmQG51cy5lZHUu
c2cuJiN4RDtTYXcgU3dlZSBIb2NrIFNjaG9vbCBvZiBQdWJsaWMgSGVhbHRoLCBOYXRpb25hbCBV
bml2ZXJzaXR5IG9mIFNpbmdhcG9yZSBhbmQgTmF0aW9uYWwgVW5pdmVyc2l0eSBIZWFsdGggU3lz
dGVtLCBTaW5nYXBvcmUsIFNpbmdhcG9yZTsgcm9iLnZhbi5kYW1AbnVzLmVkdS5zZyBlcGhtY2Zm
QG51cy5lZHUuc2cuPC9hdXRoLWFkZHJlc3M+PHRpdGxlcz48dGl0bGU+SGlnaGVyIG1hdGVybmFs
IGRpZXRhcnkgcHJvdGVpbiBpbnRha2UgaXMgYXNzb2NpYXRlZCB3aXRoIGEgaGlnaGVyIHJpc2sg
b2YgZ2VzdGF0aW9uYWwgZGlhYmV0ZXMgbWVsbGl0dXMgaW4gYSBtdWx0aWV0aG5pYyBhc2lhbiBj
b2hvcnQ8L3RpdGxlPjxzZWNvbmRhcnktdGl0bGU+SiBOdXRyPC9zZWNvbmRhcnktdGl0bGU+PC90
aXRsZXM+PHBlcmlvZGljYWw+PGZ1bGwtdGl0bGU+SiBOdXRyPC9mdWxsLXRpdGxlPjwvcGVyaW9k
aWNhbD48cGFnZXM+NjUzLTY2MDwvcGFnZXM+PHZvbHVtZT4xNDc8L3ZvbHVtZT48bnVtYmVyPjQ8
L251bWJlcj48ZWRpdGlvbj4yMDE3LzAzLzEwPC9lZGl0aW9uPjxrZXl3b3Jkcz48a2V5d29yZD5B
ZG9sZXNjZW50PC9rZXl3b3JkPjxrZXl3b3JkPkFkdWx0PC9rZXl3b3JkPjxrZXl3b3JkPipBc2lh
biBDb250aW5lbnRhbCBBbmNlc3RyeSBHcm91cDwva2V5d29yZD48a2V5d29yZD5EaWFiZXRlcywg
R2VzdGF0aW9uYWwvZXRobm9sb2d5LypldGlvbG9neTwva2V5d29yZD48a2V5d29yZD5EaWV0YXJ5
IFByb3RlaW5zL2FkbWluaXN0cmF0aW9uICZhbXA7IGRvc2FnZS8qYWR2ZXJzZSBlZmZlY3RzPC9r
ZXl3b3JkPjxrZXl3b3JkPkZlbWFsZTwva2V5d29yZD48a2V5d29yZD5IdW1hbnM8L2tleXdvcmQ+
PGtleXdvcmQ+TWlkZGxlIEFnZWQ8L2tleXdvcmQ+PGtleXdvcmQ+T2RkcyBSYXRpbzwva2V5d29y
ZD48a2V5d29yZD5QcmVnbmFuY3k8L2tleXdvcmQ+PGtleXdvcmQ+UmlzayBGYWN0b3JzPC9rZXl3
b3JkPjxrZXl3b3JkPllvdW5nIEFkdWx0PC9rZXl3b3JkPjxrZXl3b3JkPipBc2lhbjwva2V5d29y
ZD48a2V5d29yZD4qYW5pbWFsIHByb3RlaW48L2tleXdvcmQ+PGtleXdvcmQ+KmRpZXRhcnkgcHJv
dGVpbjwva2V5d29yZD48a2V5d29yZD4qZ2VzdGF0aW9uYWwgZGlhYmV0ZXMgbWVsbGl0dXM8L2tl
eXdvcmQ+PGtleXdvcmQ+KnZlZ2V0YWJsZSBwcm90ZWluPC9rZXl3b3JkPjwva2V5d29yZHM+PGRh
dGVzPjx5ZWFyPjIwMTc8L3llYXI+PHB1Yi1kYXRlcz48ZGF0ZT5BcHI8L2RhdGU+PC9wdWItZGF0
ZXM+PC9kYXRlcz48aXNibj4xNTQxLTYxMDAgKEVsZWN0cm9uaWMpJiN4RDswMDIyLTMxNjYgKExp
bmtpbmcpPC9pc2JuPjxhY2Nlc3Npb24tbnVtPjI4Mjc1MTAxPC9hY2Nlc3Npb24tbnVtPjx1cmxz
PjxyZWxhdGVkLXVybHM+PHVybD5odHRwczovL3d3dy5uY2JpLm5sbS5uaWguZ292L3B1Ym1lZC8y
ODI3NTEwMTwvdXJsPjwvcmVsYXRlZC11cmxzPjwvdXJscz48Y3VzdG9tMj5QTUM1MzgyOTcyPC9j
dXN0b20yPjxlbGVjdHJvbmljLXJlc291cmNlLW51bT4xMC4zOTQ1L2puLjExNi4yNDM4ODE8L2Vs
ZWN0cm9uaWMtcmVzb3VyY2UtbnVtPjwvcmVjb3JkPjwvQ2l0ZT48L0VuZE5vdGU+AG==
</w:fldData>
              </w:fldChar>
            </w:r>
            <w:r w:rsidR="002747EA">
              <w:instrText xml:space="preserve"> ADDIN EN.CITE </w:instrText>
            </w:r>
            <w:r w:rsidR="002747EA">
              <w:fldChar w:fldCharType="begin">
                <w:fldData xml:space="preserve">PEVuZE5vdGU+PENpdGU+PEF1dGhvcj5QYW5nPC9BdXRob3I+PFllYXI+MjAxNzwvWWVhcj48UmVj
TnVtPjE3MzI8L1JlY051bT48RGlzcGxheVRleHQ+PHN0eWxlIGZhY2U9InN1cGVyc2NyaXB0IiBm
b250PSJUcmVidWNoZXQgTVMiIHNpemU9IjkiPjk0PC9zdHlsZT48L0Rpc3BsYXlUZXh0PjxyZWNv
cmQ+PHJlYy1udW1iZXI+MTczMjwvcmVjLW51bWJlcj48Zm9yZWlnbi1rZXlzPjxrZXkgYXBwPSJF
TiIgZGItaWQ9ImV4dmFzcmZ4MmR0cmFvZXNhc3hwMnN6c3hhMmRmNTAyNTkyeCIgdGltZXN0YW1w
PSIxNTgyNTA2MjM0Ij4xNzMyPC9rZXk+PGtleSBhcHA9IkVOV2ViIiBkYi1pZD0iIj4wPC9rZXk+
PC9mb3JlaWduLWtleXM+PHJlZi10eXBlIG5hbWU9IkpvdXJuYWwgQXJ0aWNsZSI+MTc8L3JlZi10
eXBlPjxjb250cmlidXRvcnM+PGF1dGhvcnM+PGF1dGhvcj5QYW5nLCBXLiBXLjwvYXV0aG9yPjxh
dXRob3I+Q29sZWdhLCBNLjwvYXV0aG9yPjxhdXRob3I+Q2FpLCBTLjwvYXV0aG9yPjxhdXRob3I+
Q2hhbiwgWS4gSC48L2F1dGhvcj48YXV0aG9yPlBhZG1hcHJpeWEsIE4uPC9hdXRob3I+PGF1dGhv
cj5DaGVuLCBMLiBXLjwvYXV0aG9yPjxhdXRob3I+U29oLCBTLiBFLjwvYXV0aG9yPjxhdXRob3I+
SGFuLCBXLiBNLjwvYXV0aG9yPjxhdXRob3I+VGFuLCBLLiBILjwvYXV0aG9yPjxhdXRob3I+TGVl
LCBZLiBTLjwvYXV0aG9yPjxhdXRob3I+U2F3LCBTLiBNLjwvYXV0aG9yPjxhdXRob3I+R2x1Y2tt
YW4sIFAuIEQuPC9hdXRob3I+PGF1dGhvcj5Hb2RmcmV5LCBLLiBNLjwvYXV0aG9yPjxhdXRob3I+
Q2hvbmcsIFkuIFMuPC9hdXRob3I+PGF1dGhvcj52YW4gRGFtLCBSLiBNLjwvYXV0aG9yPjxhdXRo
b3I+Q2hvbmcsIE0uIEYuPC9hdXRob3I+PC9hdXRob3JzPjwvY29udHJpYnV0b3JzPjxhdXRoLWFk
ZHJlc3M+RGVwYXJ0bWVudHMgb2YgT2JzdGV0cmljcyBhbmQgR3luYWVjb2xvZ3kuJiN4RDtTaW5n
YXBvcmUgSW5zdGl0dXRlIGZvciBDbGluaWNhbCBTY2llbmNlcywgQWdlbmN5IGZvciBTY2llbmNl
LCBUZWNobm9sb2d5LCBhbmQgUmVzZWFyY2gsIFNpbmdhcG9yZSwgU2luZ2Fwb3JlLiYjeEQ7Qmlv
c3RhdGlzdGljcy4mI3hEO1BhZWRpYXRyaWNzLCBhbmQuJiN4RDtEZXBhcnRtZW50cyBvZiBOdXRy
aXRpb24gYW5kIERpZXRldGljcyBhbmQuJiN4RDtNYXRlcm5hbCBGZXRhbCBNZWRpY2luZSwgS0sg
V29tZW4mYXBvcztzIGFuZCBDaGlsZHJlbiZhcG9zO3MgSG9zcGl0YWwsIFNpbmdhcG9yZSwgU2lu
Z2Fwb3JlLiYjeEQ7S2hvbyBUZWNrIFB1YXQtTmF0aW9uYWwgVW5pdmVyc2l0eSBDaGlsZHJlbiZh
cG9zO3MgTWVkaWNhbCBJbnN0aXR1dGUuJiN4RDtTYXcgU3dlZSBIb2NrIFNjaG9vbCBvZiBQdWJs
aWMgSGVhbHRoLCBOYXRpb25hbCBVbml2ZXJzaXR5IG9mIFNpbmdhcG9yZSBhbmQgTmF0aW9uYWwg
VW5pdmVyc2l0eSBIZWFsdGggU3lzdGVtLCBTaW5nYXBvcmUsIFNpbmdhcG9yZS4mI3hEO0xpZ2dp
bnMgSW5zdGl0dXRlLCBVbml2ZXJzaXR5IG9mIEF1Y2tsYW5kLCBBdWNrbGFuZCwgTmV3IFplYWxh
bmQuJiN4RDtNZWRpY2FsIFJlc2VhcmNoIENvdW5jaWwgTGlmZWNvdXJzZSBFcGlkZW1pb2xvZ3kg
VW5pdCwgU291dGhhbXB0b24sIFVuaXRlZCBLaW5nZG9tOyBhbmQuJiN4RDtOYXRpb25hbCBJbnN0
aXR1dGUgZm9yIEhlYWx0aCBSZXNlYXJjaCBTb3V0aGFtcHRvbiBCaW9tZWRpY2FsIFJlc2VhcmNo
IENlbnRyZSwgVW5pdmVyc2l0eSBvZiBTb3V0aGFtcHRvbiBhbmQgVW5pdmVyc2l0eSBIb3NwaXRh
bCBTb3V0aGFtcHRvbiBOYXRpb25hbCBIZWFsdGggU2VydmljZSBGb3VuZGF0aW9uIFRydXN0LCBT
b3V0aGFtcHRvbiwgVW5pdGVkIEtpbmdkb20uJiN4RDtNZWRpY2luZSwgWW9uZyBMb28gTGluIFNj
aG9vbCBvZiBNZWRpY2luZSwgcm9iLnZhbi5kYW1AbnVzLmVkdS5zZyBlcGhtY2ZmQG51cy5lZHUu
c2cuJiN4RDtTYXcgU3dlZSBIb2NrIFNjaG9vbCBvZiBQdWJsaWMgSGVhbHRoLCBOYXRpb25hbCBV
bml2ZXJzaXR5IG9mIFNpbmdhcG9yZSBhbmQgTmF0aW9uYWwgVW5pdmVyc2l0eSBIZWFsdGggU3lz
dGVtLCBTaW5nYXBvcmUsIFNpbmdhcG9yZTsgcm9iLnZhbi5kYW1AbnVzLmVkdS5zZyBlcGhtY2Zm
QG51cy5lZHUuc2cuPC9hdXRoLWFkZHJlc3M+PHRpdGxlcz48dGl0bGU+SGlnaGVyIG1hdGVybmFs
IGRpZXRhcnkgcHJvdGVpbiBpbnRha2UgaXMgYXNzb2NpYXRlZCB3aXRoIGEgaGlnaGVyIHJpc2sg
b2YgZ2VzdGF0aW9uYWwgZGlhYmV0ZXMgbWVsbGl0dXMgaW4gYSBtdWx0aWV0aG5pYyBhc2lhbiBj
b2hvcnQ8L3RpdGxlPjxzZWNvbmRhcnktdGl0bGU+SiBOdXRyPC9zZWNvbmRhcnktdGl0bGU+PC90
aXRsZXM+PHBlcmlvZGljYWw+PGZ1bGwtdGl0bGU+SiBOdXRyPC9mdWxsLXRpdGxlPjwvcGVyaW9k
aWNhbD48cGFnZXM+NjUzLTY2MDwvcGFnZXM+PHZvbHVtZT4xNDc8L3ZvbHVtZT48bnVtYmVyPjQ8
L251bWJlcj48ZWRpdGlvbj4yMDE3LzAzLzEwPC9lZGl0aW9uPjxrZXl3b3Jkcz48a2V5d29yZD5B
ZG9sZXNjZW50PC9rZXl3b3JkPjxrZXl3b3JkPkFkdWx0PC9rZXl3b3JkPjxrZXl3b3JkPipBc2lh
biBDb250aW5lbnRhbCBBbmNlc3RyeSBHcm91cDwva2V5d29yZD48a2V5d29yZD5EaWFiZXRlcywg
R2VzdGF0aW9uYWwvZXRobm9sb2d5LypldGlvbG9neTwva2V5d29yZD48a2V5d29yZD5EaWV0YXJ5
IFByb3RlaW5zL2FkbWluaXN0cmF0aW9uICZhbXA7IGRvc2FnZS8qYWR2ZXJzZSBlZmZlY3RzPC9r
ZXl3b3JkPjxrZXl3b3JkPkZlbWFsZTwva2V5d29yZD48a2V5d29yZD5IdW1hbnM8L2tleXdvcmQ+
PGtleXdvcmQ+TWlkZGxlIEFnZWQ8L2tleXdvcmQ+PGtleXdvcmQ+T2RkcyBSYXRpbzwva2V5d29y
ZD48a2V5d29yZD5QcmVnbmFuY3k8L2tleXdvcmQ+PGtleXdvcmQ+UmlzayBGYWN0b3JzPC9rZXl3
b3JkPjxrZXl3b3JkPllvdW5nIEFkdWx0PC9rZXl3b3JkPjxrZXl3b3JkPipBc2lhbjwva2V5d29y
ZD48a2V5d29yZD4qYW5pbWFsIHByb3RlaW48L2tleXdvcmQ+PGtleXdvcmQ+KmRpZXRhcnkgcHJv
dGVpbjwva2V5d29yZD48a2V5d29yZD4qZ2VzdGF0aW9uYWwgZGlhYmV0ZXMgbWVsbGl0dXM8L2tl
eXdvcmQ+PGtleXdvcmQ+KnZlZ2V0YWJsZSBwcm90ZWluPC9rZXl3b3JkPjwva2V5d29yZHM+PGRh
dGVzPjx5ZWFyPjIwMTc8L3llYXI+PHB1Yi1kYXRlcz48ZGF0ZT5BcHI8L2RhdGU+PC9wdWItZGF0
ZXM+PC9kYXRlcz48aXNibj4xNTQxLTYxMDAgKEVsZWN0cm9uaWMpJiN4RDswMDIyLTMxNjYgKExp
bmtpbmcpPC9pc2JuPjxhY2Nlc3Npb24tbnVtPjI4Mjc1MTAxPC9hY2Nlc3Npb24tbnVtPjx1cmxz
PjxyZWxhdGVkLXVybHM+PHVybD5odHRwczovL3d3dy5uY2JpLm5sbS5uaWguZ292L3B1Ym1lZC8y
ODI3NTEwMTwvdXJsPjwvcmVsYXRlZC11cmxzPjwvdXJscz48Y3VzdG9tMj5QTUM1MzgyOTcyPC9j
dXN0b20yPjxlbGVjdHJvbmljLXJlc291cmNlLW51bT4xMC4zOTQ1L2puLjExNi4yNDM4ODE8L2Vs
ZWN0cm9uaWMtcmVzb3VyY2UtbnVtPjwvcmVjb3JkPjwvQ2l0ZT48L0VuZE5vdGU+AG==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94</w:t>
            </w:r>
            <w:r w:rsidR="00774750">
              <w:fldChar w:fldCharType="end"/>
            </w:r>
          </w:p>
          <w:p w14:paraId="522EF910" w14:textId="77777777" w:rsidR="0010084F" w:rsidRPr="00541F56" w:rsidRDefault="0010084F" w:rsidP="009337E3">
            <w:r w:rsidRPr="00541F56">
              <w:t>Singapore</w:t>
            </w:r>
          </w:p>
          <w:p w14:paraId="2C3DF996" w14:textId="316C5D90" w:rsidR="0010084F" w:rsidRPr="00541F56" w:rsidRDefault="0010084F" w:rsidP="009337E3">
            <w:r w:rsidRPr="00541F56">
              <w:t>Cross-section</w:t>
            </w:r>
          </w:p>
        </w:tc>
        <w:tc>
          <w:tcPr>
            <w:tcW w:w="1422" w:type="dxa"/>
          </w:tcPr>
          <w:p w14:paraId="609CB27A" w14:textId="5A6108BE" w:rsidR="0010084F" w:rsidRPr="00541F56" w:rsidRDefault="0010084F" w:rsidP="004E4762">
            <w:r w:rsidRPr="00541F56">
              <w:t>980 women</w:t>
            </w:r>
          </w:p>
        </w:tc>
        <w:tc>
          <w:tcPr>
            <w:tcW w:w="4532" w:type="dxa"/>
          </w:tcPr>
          <w:p w14:paraId="271400E2" w14:textId="77777777" w:rsidR="0010084F" w:rsidRPr="00541F56" w:rsidRDefault="0010084F" w:rsidP="0010084F">
            <w:r w:rsidRPr="00541F56">
              <w:rPr>
                <w:b/>
              </w:rPr>
              <w:t>Aim</w:t>
            </w:r>
            <w:r w:rsidRPr="00541F56">
              <w:t>: To examine the associations of dietary protein intake from different food sources during pregnancy with the risk of GDM in a multiethnic Asian population.</w:t>
            </w:r>
          </w:p>
          <w:p w14:paraId="7677DAFE" w14:textId="254E20FA" w:rsidR="0010084F" w:rsidRPr="00541F56" w:rsidRDefault="0010084F" w:rsidP="0010084F">
            <w:pPr>
              <w:rPr>
                <w:b/>
              </w:rPr>
            </w:pPr>
            <w:r w:rsidRPr="00541F56">
              <w:rPr>
                <w:b/>
              </w:rPr>
              <w:t>Methods</w:t>
            </w:r>
            <w:r w:rsidRPr="00541F56">
              <w:t>: Protein intake was ascertained from 24-h dietary recall and 3-d food diaries at 26-28 wk gestation. GDM was defined as fasting glucose &gt;/=7.0 mmol/L and/or 2-h postload glucose &gt;/=7.8 mmol/L at 26-28 wk gestation. We evaluated the association of dietary protein intake with GDM risk by substituting carbohydrate with protein in an isocaloric model with the use of multivariable logistic regression analysis.</w:t>
            </w:r>
          </w:p>
        </w:tc>
        <w:tc>
          <w:tcPr>
            <w:tcW w:w="4536" w:type="dxa"/>
          </w:tcPr>
          <w:p w14:paraId="03C70152" w14:textId="76128C10" w:rsidR="0010084F" w:rsidRPr="00541F56" w:rsidRDefault="0010084F" w:rsidP="0010084F">
            <w:r w:rsidRPr="00541F56">
              <w:t>After adjustment for potential confounders, a higher total dietary protein intake was associated with a higher risk of GDM; the OR comparing the highest with the lowest quartile o</w:t>
            </w:r>
            <w:r w:rsidR="00AD1824" w:rsidRPr="00541F56">
              <w:t>f intake was 2.15 (95% CI</w:t>
            </w:r>
            <w:r w:rsidRPr="00541F56">
              <w:t xml:space="preserve"> 1.27 to 3.62; P-trend = 0.016). </w:t>
            </w:r>
          </w:p>
          <w:p w14:paraId="3F4A5518" w14:textId="77777777" w:rsidR="00DF6B2C" w:rsidRPr="00541F56" w:rsidRDefault="0010084F" w:rsidP="0010084F">
            <w:r w:rsidRPr="00541F56">
              <w:t xml:space="preserve">Higher intake levels of both animal protein (OR 2.87; 95% CI: 1.58, 5.20; P-trend = 0.001) and vegetable protein (OR 1.78; 95% CI: 0.99, 3.20; P-trend = 0.009) were associated with a higher risk of GDM. </w:t>
            </w:r>
          </w:p>
          <w:p w14:paraId="6F1938F5" w14:textId="21AF623F" w:rsidR="0010084F" w:rsidRPr="0010084F" w:rsidRDefault="0010084F" w:rsidP="0010084F">
            <w:r w:rsidRPr="00541F56">
              <w:t>Among the animal protein sources, higher intake levels of seafood protein (OR: 2.17; 95% CI: 1.26, 3.72; P-trend = 0.023) and dairy protein (OR: 1.87; 95% CI: 1.11, 3.15; P-trend = 0.017) were significantly associated with a higher GDM risk.</w:t>
            </w:r>
          </w:p>
        </w:tc>
        <w:tc>
          <w:tcPr>
            <w:tcW w:w="1843" w:type="dxa"/>
          </w:tcPr>
          <w:p w14:paraId="35AB046B" w14:textId="77777777" w:rsidR="0010084F" w:rsidRPr="00C8357D" w:rsidRDefault="0010084F" w:rsidP="009337E3"/>
        </w:tc>
      </w:tr>
      <w:tr w:rsidR="004E4762" w:rsidRPr="00C8357D" w14:paraId="517669D0" w14:textId="77777777" w:rsidTr="004E4762">
        <w:tblPrEx>
          <w:tblLook w:val="04A0" w:firstRow="1" w:lastRow="0" w:firstColumn="1" w:lastColumn="0" w:noHBand="0" w:noVBand="1"/>
        </w:tblPrEx>
        <w:trPr>
          <w:cantSplit/>
          <w:trHeight w:val="390"/>
        </w:trPr>
        <w:tc>
          <w:tcPr>
            <w:tcW w:w="1559" w:type="dxa"/>
          </w:tcPr>
          <w:p w14:paraId="62702F08" w14:textId="6DC90B03" w:rsidR="004E4762" w:rsidRPr="00541F56" w:rsidRDefault="004E4762" w:rsidP="009337E3">
            <w:r w:rsidRPr="00541F56">
              <w:t>Tielemans et al 2017</w:t>
            </w:r>
            <w:r w:rsidR="00774750">
              <w:fldChar w:fldCharType="begin">
                <w:fldData xml:space="preserve">PEVuZE5vdGU+PENpdGU+PEF1dGhvcj5UaWVsZW1hbnM8L0F1dGhvcj48WWVhcj4yMDE3PC9ZZWFy
PjxSZWNOdW0+MTc0MDwvUmVjTnVtPjxEaXNwbGF5VGV4dD48c3R5bGUgZmFjZT0ic3VwZXJzY3Jp
cHQiIGZvbnQ9IlRyZWJ1Y2hldCBNUyIgc2l6ZT0iOSI+OTY8L3N0eWxlPjwvRGlzcGxheVRleHQ+
PHJlY29yZD48cmVjLW51bWJlcj4xNzQwPC9yZWMtbnVtYmVyPjxmb3JlaWduLWtleXM+PGtleSBh
cHA9IkVOIiBkYi1pZD0iZXh2YXNyZngyZHRyYW9lc2FzeHAyc3pzeGEyZGY1MDI1OTJ4IiB0aW1l
c3RhbXA9IjE1ODI1MDYyODciPjE3NDA8L2tleT48a2V5IGFwcD0iRU5XZWIiIGRiLWlkPSIiPjA8
L2tleT48L2ZvcmVpZ24ta2V5cz48cmVmLXR5cGUgbmFtZT0iSm91cm5hbCBBcnRpY2xlIj4xNzwv
cmVmLXR5cGU+PGNvbnRyaWJ1dG9ycz48YXV0aG9ycz48YXV0aG9yPlRpZWxlbWFucywgTS4gSi48
L2F1dGhvcj48YXV0aG9yPlN0ZWVnZXJzLCBFLiBBLiBQLjwvYXV0aG9yPjxhdXRob3I+Vm9vcnRt
YW4sIFQuPC9hdXRob3I+PGF1dGhvcj5KYWRkb2UsIFYuIFcuIFYuPC9hdXRob3I+PGF1dGhvcj5S
aXZhZGVuZWlyYSwgRi48L2F1dGhvcj48YXV0aG9yPkZyYW5jbywgTy4gSC48L2F1dGhvcj48YXV0
aG9yPktpZWZ0ZS1kZSBKb25nLCBKLiBDLjwvYXV0aG9yPjwvYXV0aG9ycz48L2NvbnRyaWJ1dG9y
cz48YXV0aC1hZGRyZXNzPkRlcGFydG1lbnQgb2YgRXBpZGVtaW9sb2d5LCBFcmFzbXVzIE1DLCBV
bml2ZXJzaXR5IE1lZGljYWwgQ2VudGVyLCBPZmZpY2UgTmEtMjkwNywgUE8gQm94IDIwNDAsIDMw
MDAgQ0EsIFJvdHRlcmRhbSwgVGhlIE5ldGhlcmxhbmRzLiBtLnRpZWxlbWFuc0BlcmFzbXVzbWMu
bmwuJiN4RDtUaGUgR2VuZXJhdGlvbiBSIFN0dWR5IEdyb3VwLCBFcmFzbXVzIE1DLCBVbml2ZXJz
aXR5IE1lZGljYWwgQ2VudGVyLCBSb3R0ZXJkYW0sIFRoZSBOZXRoZXJsYW5kcy4gbS50aWVsZW1h
bnNAZXJhc211c21jLm5sLiYjeEQ7RGVwYXJ0bWVudCBvZiBPYnN0ZXRyaWNzIGFuZCBHeW5lY29s
b2d5LCBFcmFzbXVzIE1DLCBVbml2ZXJzaXR5IE1lZGljYWwgQ2VudGVyLCBSb3R0ZXJkYW0sIFRo
ZSBOZXRoZXJsYW5kcy4mI3hEO0RlcGFydG1lbnQgb2YgRXBpZGVtaW9sb2d5LCBFcmFzbXVzIE1D
LCBVbml2ZXJzaXR5IE1lZGljYWwgQ2VudGVyLCBPZmZpY2UgTmEtMjkwNywgUE8gQm94IDIwNDAs
IDMwMDAgQ0EsIFJvdHRlcmRhbSwgVGhlIE5ldGhlcmxhbmRzLiYjeEQ7VGhlIEdlbmVyYXRpb24g
UiBTdHVkeSBHcm91cCwgRXJhc211cyBNQywgVW5pdmVyc2l0eSBNZWRpY2FsIENlbnRlciwgUm90
dGVyZGFtLCBUaGUgTmV0aGVybGFuZHMuJiN4RDtEZXBhcnRtZW50IG9mIFBlZGlhdHJpY3MsIEVy
YXNtdXMgTUMsIFVuaXZlcnNpdHkgTWVkaWNhbCBDZW50ZXIsIFJvdHRlcmRhbSwgVGhlIE5ldGhl
cmxhbmRzLiYjeEQ7RGVwYXJ0bWVudCBvZiBJbnRlcm5hbCBNZWRpY2luZSwgRXJhc211cyBNQywg
VW5pdmVyc2l0eSBNZWRpY2FsIENlbnRlciwgUm90dGVyZGFtLCBUaGUgTmV0aGVybGFuZHMuJiN4
RDtMZWlkZW4gVW5pdmVyc2l0eSBDb2xsZWdlLCBUaGUgSGFndWUsIFRoZSBOZXRoZXJsYW5kcy48
L2F1dGgtYWRkcmVzcz48dGl0bGVzPjx0aXRsZT5Qcm90ZWluIGludGFrZSBkdXJpbmcgcHJlZ25h
bmN5IGFuZCBvZmZzcHJpbmcgYm9keSBjb21wb3NpdGlvbiBhdCA2IHllYXJzOiB0aGUgR2VuZXJh
dGlvbiBSIFN0dWR5PC90aXRsZT48c2Vjb25kYXJ5LXRpdGxlPkV1ciBKIE51dHI8L3NlY29uZGFy
eS10aXRsZT48L3RpdGxlcz48cGVyaW9kaWNhbD48ZnVsbC10aXRsZT5FdXIgSiBOdXRyPC9mdWxs
LXRpdGxlPjwvcGVyaW9kaWNhbD48cGFnZXM+MjE1MS0yMTYwPC9wYWdlcz48dm9sdW1lPjU2PC92
b2x1bWU+PG51bWJlcj42PC9udW1iZXI+PGVkaXRpb24+MjAxNi8wNy8wNTwvZWRpdGlvbj48a2V5
d29yZHM+PGtleXdvcmQ+QWJzb3JwdGlvbWV0cnksIFBob3Rvbjwva2V5d29yZD48a2V5d29yZD5B
ZHVsdDwva2V5d29yZD48a2V5d29yZD4qQm9keSBDb21wb3NpdGlvbjwva2V5d29yZD48a2V5d29y
ZD5Cb2R5IE1hc3MgSW5kZXg8L2tleXdvcmQ+PGtleXdvcmQ+Q2hpbGQ8L2tleXdvcmQ+PGtleXdv
cmQ+Q2hpbGQsIFByZXNjaG9vbDwva2V5d29yZD48a2V5d29yZD5EaWV0PC9rZXl3b3JkPjxrZXl3
b3JkPkRpZXRhcnkgUHJvdGVpbnMvKmFkbWluaXN0cmF0aW9uICZhbXA7IGRvc2FnZTwva2V5d29y
ZD48a2V5d29yZD5GZW1hbGU8L2tleXdvcmQ+PGtleXdvcmQ+Rm9sbG93LVVwIFN0dWRpZXM8L2tl
eXdvcmQ+PGtleXdvcmQ+SGVhbHRoIEJlaGF2aW9yPC9rZXl3b3JkPjxrZXl3b3JkPkh1bWFuczwv
a2V5d29yZD48a2V5d29yZD5MaWZlIFN0eWxlPC9rZXl3b3JkPjxrZXl3b3JkPk1hbGU8L2tleXdv
cmQ+PGtleXdvcmQ+Kk1hdGVybmFsIE51dHJpdGlvbmFsIFBoeXNpb2xvZ2ljYWwgUGhlbm9tZW5h
PC9rZXl3b3JkPjxrZXl3b3JkPk5ldGhlcmxhbmRzPC9rZXl3b3JkPjxrZXl3b3JkPlBlZGlhdHJp
YyBPYmVzaXR5LyplcGlkZW1pb2xvZ3k8L2tleXdvcmQ+PGtleXdvcmQ+UHJlZ25hbmN5PC9rZXl3
b3JkPjxrZXl3b3JkPlByZW5hdGFsIEV4cG9zdXJlIERlbGF5ZWQgRWZmZWN0cy8qZXBpZGVtaW9s
b2d5PC9rZXl3b3JkPjxrZXl3b3JkPlByZXZhbGVuY2U8L2tleXdvcmQ+PGtleXdvcmQ+UHJvc3Bl
Y3RpdmUgU3R1ZGllczwva2V5d29yZD48a2V5d29yZD5Tb2Npb2Vjb25vbWljIEZhY3RvcnM8L2tl
eXdvcmQ+PGtleXdvcmQ+U3VydmV5cyBhbmQgUXVlc3Rpb25uYWlyZXM8L2tleXdvcmQ+PGtleXdv
cmQ+Qm9keSBjb21wb3NpdGlvbjwva2V5d29yZD48a2V5d29yZD5GZXRhbCBwcm9ncmFtbWluZzwv
a2V5d29yZD48a2V5d29yZD5PYmVzaXR5PC9rZXl3b3JkPjxrZXl3b3JkPk9mZnNwcmluZzwva2V5
d29yZD48a2V5d29yZD5Qcm90ZWluIGludGFrZTwva2V5d29yZD48L2tleXdvcmRzPjxkYXRlcz48
eWVhcj4yMDE3PC95ZWFyPjxwdWItZGF0ZXM+PGRhdGU+U2VwPC9kYXRlPjwvcHViLWRhdGVzPjwv
ZGF0ZXM+PGlzYm4+MTQzNi02MjE1IChFbGVjdHJvbmljKSYjeEQ7MTQzNi02MjA3IChMaW5raW5n
KTwvaXNibj48YWNjZXNzaW9uLW51bT4yNzM3NjM1NTwvYWNjZXNzaW9uLW51bT48dXJscz48cmVs
YXRlZC11cmxzPjx1cmw+aHR0cHM6Ly93d3cubmNiaS5ubG0ubmloLmdvdi9wdWJtZWQvMjczNzYz
NTU8L3VybD48L3JlbGF0ZWQtdXJscz48L3VybHM+PGN1c3RvbTI+UE1DNTU3OTE3NTwvY3VzdG9t
Mj48ZWxlY3Ryb25pYy1yZXNvdXJjZS1udW0+MTAuMTAwNy9zMDAzOTQtMDE2LTEyNTUtNDwvZWxl
Y3Ryb25pYy1yZXNvdXJjZS1udW0+PC9yZWNvcmQ+PC9DaXRlPjwvRW5kTm90ZT4A
</w:fldData>
              </w:fldChar>
            </w:r>
            <w:r w:rsidR="002747EA">
              <w:instrText xml:space="preserve"> ADDIN EN.CITE </w:instrText>
            </w:r>
            <w:r w:rsidR="002747EA">
              <w:fldChar w:fldCharType="begin">
                <w:fldData xml:space="preserve">PEVuZE5vdGU+PENpdGU+PEF1dGhvcj5UaWVsZW1hbnM8L0F1dGhvcj48WWVhcj4yMDE3PC9ZZWFy
PjxSZWNOdW0+MTc0MDwvUmVjTnVtPjxEaXNwbGF5VGV4dD48c3R5bGUgZmFjZT0ic3VwZXJzY3Jp
cHQiIGZvbnQ9IlRyZWJ1Y2hldCBNUyIgc2l6ZT0iOSI+OTY8L3N0eWxlPjwvRGlzcGxheVRleHQ+
PHJlY29yZD48cmVjLW51bWJlcj4xNzQwPC9yZWMtbnVtYmVyPjxmb3JlaWduLWtleXM+PGtleSBh
cHA9IkVOIiBkYi1pZD0iZXh2YXNyZngyZHRyYW9lc2FzeHAyc3pzeGEyZGY1MDI1OTJ4IiB0aW1l
c3RhbXA9IjE1ODI1MDYyODciPjE3NDA8L2tleT48a2V5IGFwcD0iRU5XZWIiIGRiLWlkPSIiPjA8
L2tleT48L2ZvcmVpZ24ta2V5cz48cmVmLXR5cGUgbmFtZT0iSm91cm5hbCBBcnRpY2xlIj4xNzwv
cmVmLXR5cGU+PGNvbnRyaWJ1dG9ycz48YXV0aG9ycz48YXV0aG9yPlRpZWxlbWFucywgTS4gSi48
L2F1dGhvcj48YXV0aG9yPlN0ZWVnZXJzLCBFLiBBLiBQLjwvYXV0aG9yPjxhdXRob3I+Vm9vcnRt
YW4sIFQuPC9hdXRob3I+PGF1dGhvcj5KYWRkb2UsIFYuIFcuIFYuPC9hdXRob3I+PGF1dGhvcj5S
aXZhZGVuZWlyYSwgRi48L2F1dGhvcj48YXV0aG9yPkZyYW5jbywgTy4gSC48L2F1dGhvcj48YXV0
aG9yPktpZWZ0ZS1kZSBKb25nLCBKLiBDLjwvYXV0aG9yPjwvYXV0aG9ycz48L2NvbnRyaWJ1dG9y
cz48YXV0aC1hZGRyZXNzPkRlcGFydG1lbnQgb2YgRXBpZGVtaW9sb2d5LCBFcmFzbXVzIE1DLCBV
bml2ZXJzaXR5IE1lZGljYWwgQ2VudGVyLCBPZmZpY2UgTmEtMjkwNywgUE8gQm94IDIwNDAsIDMw
MDAgQ0EsIFJvdHRlcmRhbSwgVGhlIE5ldGhlcmxhbmRzLiBtLnRpZWxlbWFuc0BlcmFzbXVzbWMu
bmwuJiN4RDtUaGUgR2VuZXJhdGlvbiBSIFN0dWR5IEdyb3VwLCBFcmFzbXVzIE1DLCBVbml2ZXJz
aXR5IE1lZGljYWwgQ2VudGVyLCBSb3R0ZXJkYW0sIFRoZSBOZXRoZXJsYW5kcy4gbS50aWVsZW1h
bnNAZXJhc211c21jLm5sLiYjeEQ7RGVwYXJ0bWVudCBvZiBPYnN0ZXRyaWNzIGFuZCBHeW5lY29s
b2d5LCBFcmFzbXVzIE1DLCBVbml2ZXJzaXR5IE1lZGljYWwgQ2VudGVyLCBSb3R0ZXJkYW0sIFRo
ZSBOZXRoZXJsYW5kcy4mI3hEO0RlcGFydG1lbnQgb2YgRXBpZGVtaW9sb2d5LCBFcmFzbXVzIE1D
LCBVbml2ZXJzaXR5IE1lZGljYWwgQ2VudGVyLCBPZmZpY2UgTmEtMjkwNywgUE8gQm94IDIwNDAs
IDMwMDAgQ0EsIFJvdHRlcmRhbSwgVGhlIE5ldGhlcmxhbmRzLiYjeEQ7VGhlIEdlbmVyYXRpb24g
UiBTdHVkeSBHcm91cCwgRXJhc211cyBNQywgVW5pdmVyc2l0eSBNZWRpY2FsIENlbnRlciwgUm90
dGVyZGFtLCBUaGUgTmV0aGVybGFuZHMuJiN4RDtEZXBhcnRtZW50IG9mIFBlZGlhdHJpY3MsIEVy
YXNtdXMgTUMsIFVuaXZlcnNpdHkgTWVkaWNhbCBDZW50ZXIsIFJvdHRlcmRhbSwgVGhlIE5ldGhl
cmxhbmRzLiYjeEQ7RGVwYXJ0bWVudCBvZiBJbnRlcm5hbCBNZWRpY2luZSwgRXJhc211cyBNQywg
VW5pdmVyc2l0eSBNZWRpY2FsIENlbnRlciwgUm90dGVyZGFtLCBUaGUgTmV0aGVybGFuZHMuJiN4
RDtMZWlkZW4gVW5pdmVyc2l0eSBDb2xsZWdlLCBUaGUgSGFndWUsIFRoZSBOZXRoZXJsYW5kcy48
L2F1dGgtYWRkcmVzcz48dGl0bGVzPjx0aXRsZT5Qcm90ZWluIGludGFrZSBkdXJpbmcgcHJlZ25h
bmN5IGFuZCBvZmZzcHJpbmcgYm9keSBjb21wb3NpdGlvbiBhdCA2IHllYXJzOiB0aGUgR2VuZXJh
dGlvbiBSIFN0dWR5PC90aXRsZT48c2Vjb25kYXJ5LXRpdGxlPkV1ciBKIE51dHI8L3NlY29uZGFy
eS10aXRsZT48L3RpdGxlcz48cGVyaW9kaWNhbD48ZnVsbC10aXRsZT5FdXIgSiBOdXRyPC9mdWxs
LXRpdGxlPjwvcGVyaW9kaWNhbD48cGFnZXM+MjE1MS0yMTYwPC9wYWdlcz48dm9sdW1lPjU2PC92
b2x1bWU+PG51bWJlcj42PC9udW1iZXI+PGVkaXRpb24+MjAxNi8wNy8wNTwvZWRpdGlvbj48a2V5
d29yZHM+PGtleXdvcmQ+QWJzb3JwdGlvbWV0cnksIFBob3Rvbjwva2V5d29yZD48a2V5d29yZD5B
ZHVsdDwva2V5d29yZD48a2V5d29yZD4qQm9keSBDb21wb3NpdGlvbjwva2V5d29yZD48a2V5d29y
ZD5Cb2R5IE1hc3MgSW5kZXg8L2tleXdvcmQ+PGtleXdvcmQ+Q2hpbGQ8L2tleXdvcmQ+PGtleXdv
cmQ+Q2hpbGQsIFByZXNjaG9vbDwva2V5d29yZD48a2V5d29yZD5EaWV0PC9rZXl3b3JkPjxrZXl3
b3JkPkRpZXRhcnkgUHJvdGVpbnMvKmFkbWluaXN0cmF0aW9uICZhbXA7IGRvc2FnZTwva2V5d29y
ZD48a2V5d29yZD5GZW1hbGU8L2tleXdvcmQ+PGtleXdvcmQ+Rm9sbG93LVVwIFN0dWRpZXM8L2tl
eXdvcmQ+PGtleXdvcmQ+SGVhbHRoIEJlaGF2aW9yPC9rZXl3b3JkPjxrZXl3b3JkPkh1bWFuczwv
a2V5d29yZD48a2V5d29yZD5MaWZlIFN0eWxlPC9rZXl3b3JkPjxrZXl3b3JkPk1hbGU8L2tleXdv
cmQ+PGtleXdvcmQ+Kk1hdGVybmFsIE51dHJpdGlvbmFsIFBoeXNpb2xvZ2ljYWwgUGhlbm9tZW5h
PC9rZXl3b3JkPjxrZXl3b3JkPk5ldGhlcmxhbmRzPC9rZXl3b3JkPjxrZXl3b3JkPlBlZGlhdHJp
YyBPYmVzaXR5LyplcGlkZW1pb2xvZ3k8L2tleXdvcmQ+PGtleXdvcmQ+UHJlZ25hbmN5PC9rZXl3
b3JkPjxrZXl3b3JkPlByZW5hdGFsIEV4cG9zdXJlIERlbGF5ZWQgRWZmZWN0cy8qZXBpZGVtaW9s
b2d5PC9rZXl3b3JkPjxrZXl3b3JkPlByZXZhbGVuY2U8L2tleXdvcmQ+PGtleXdvcmQ+UHJvc3Bl
Y3RpdmUgU3R1ZGllczwva2V5d29yZD48a2V5d29yZD5Tb2Npb2Vjb25vbWljIEZhY3RvcnM8L2tl
eXdvcmQ+PGtleXdvcmQ+U3VydmV5cyBhbmQgUXVlc3Rpb25uYWlyZXM8L2tleXdvcmQ+PGtleXdv
cmQ+Qm9keSBjb21wb3NpdGlvbjwva2V5d29yZD48a2V5d29yZD5GZXRhbCBwcm9ncmFtbWluZzwv
a2V5d29yZD48a2V5d29yZD5PYmVzaXR5PC9rZXl3b3JkPjxrZXl3b3JkPk9mZnNwcmluZzwva2V5
d29yZD48a2V5d29yZD5Qcm90ZWluIGludGFrZTwva2V5d29yZD48L2tleXdvcmRzPjxkYXRlcz48
eWVhcj4yMDE3PC95ZWFyPjxwdWItZGF0ZXM+PGRhdGU+U2VwPC9kYXRlPjwvcHViLWRhdGVzPjwv
ZGF0ZXM+PGlzYm4+MTQzNi02MjE1IChFbGVjdHJvbmljKSYjeEQ7MTQzNi02MjA3IChMaW5raW5n
KTwvaXNibj48YWNjZXNzaW9uLW51bT4yNzM3NjM1NTwvYWNjZXNzaW9uLW51bT48dXJscz48cmVs
YXRlZC11cmxzPjx1cmw+aHR0cHM6Ly93d3cubmNiaS5ubG0ubmloLmdvdi9wdWJtZWQvMjczNzYz
NTU8L3VybD48L3JlbGF0ZWQtdXJscz48L3VybHM+PGN1c3RvbTI+UE1DNTU3OTE3NTwvY3VzdG9t
Mj48ZWxlY3Ryb25pYy1yZXNvdXJjZS1udW0+MTAuMTAwNy9zMDAzOTQtMDE2LTEyNTUtNDwvZWxl
Y3Ryb25pYy1yZXNvdXJjZS1udW0+PC9yZWNvcmQ+PC9DaXRlPjwvRW5kTm90ZT4A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96</w:t>
            </w:r>
            <w:r w:rsidR="00774750">
              <w:fldChar w:fldCharType="end"/>
            </w:r>
          </w:p>
          <w:p w14:paraId="04C92153" w14:textId="77777777" w:rsidR="004E4762" w:rsidRPr="00541F56" w:rsidRDefault="004E4762" w:rsidP="009337E3">
            <w:r w:rsidRPr="00541F56">
              <w:t>The Netherlands</w:t>
            </w:r>
          </w:p>
          <w:p w14:paraId="17486183" w14:textId="0A762C8C" w:rsidR="004E4762" w:rsidRPr="00541F56" w:rsidRDefault="004E4762" w:rsidP="009337E3">
            <w:r w:rsidRPr="00541F56">
              <w:t>Cohort</w:t>
            </w:r>
          </w:p>
        </w:tc>
        <w:tc>
          <w:tcPr>
            <w:tcW w:w="1422" w:type="dxa"/>
          </w:tcPr>
          <w:p w14:paraId="4ED1955D" w14:textId="30F92E41" w:rsidR="004E4762" w:rsidRPr="00541F56" w:rsidRDefault="004E4762" w:rsidP="004E4762">
            <w:r w:rsidRPr="00541F56">
              <w:t>2,694 mother-child pairs</w:t>
            </w:r>
          </w:p>
        </w:tc>
        <w:tc>
          <w:tcPr>
            <w:tcW w:w="4532" w:type="dxa"/>
          </w:tcPr>
          <w:p w14:paraId="4E48CC2C" w14:textId="77777777" w:rsidR="004E4762" w:rsidRPr="00541F56" w:rsidRDefault="004E4762" w:rsidP="004E4762">
            <w:r w:rsidRPr="00541F56">
              <w:rPr>
                <w:b/>
              </w:rPr>
              <w:t>Aim</w:t>
            </w:r>
            <w:r w:rsidRPr="00541F56">
              <w:t xml:space="preserve">: To examine whether protein intake during pregnancy is associated with offspring body composition at the age of 6 years and whether associations differ for animal protein and vegetable protein. </w:t>
            </w:r>
          </w:p>
          <w:p w14:paraId="595BE228" w14:textId="2A5CDB3B" w:rsidR="004E4762" w:rsidRPr="00541F56" w:rsidRDefault="004E4762" w:rsidP="004E4762">
            <w:pPr>
              <w:rPr>
                <w:b/>
              </w:rPr>
            </w:pPr>
            <w:r w:rsidRPr="00541F56">
              <w:rPr>
                <w:b/>
              </w:rPr>
              <w:t>Methods</w:t>
            </w:r>
            <w:r w:rsidRPr="00541F56">
              <w:t xml:space="preserve">: Energy-adjusted protein was measured in pregnancy using a food-frequency questionnaire and </w:t>
            </w:r>
            <w:r w:rsidR="00501148" w:rsidRPr="00541F56">
              <w:t>analysed</w:t>
            </w:r>
            <w:r w:rsidRPr="00541F56">
              <w:t xml:space="preserve"> in quartiles. At a mean age of 6.1 +/- 0.4 years, we measured children's body mass index, and fat-free mass index and fat mass index using dual-energy X-ray absorptiometry. Outcomes were standardized for age and sex. BMI was used to classify children's overweight status. </w:t>
            </w:r>
          </w:p>
        </w:tc>
        <w:tc>
          <w:tcPr>
            <w:tcW w:w="4536" w:type="dxa"/>
          </w:tcPr>
          <w:p w14:paraId="34FFFC69" w14:textId="05EAF1E0" w:rsidR="004E4762" w:rsidRPr="004E4762" w:rsidRDefault="004E4762" w:rsidP="0010084F">
            <w:r w:rsidRPr="00541F56">
              <w:t xml:space="preserve">After adjustment for sociodemographic and lifestyle factors, a higher maternal protein intake was associated with a higher children's fat-free mass index </w:t>
            </w:r>
            <w:r w:rsidR="0010084F" w:rsidRPr="00541F56">
              <w:t>(beta</w:t>
            </w:r>
            <w:r w:rsidRPr="00541F56">
              <w:t xml:space="preserve"> 0.14</w:t>
            </w:r>
            <w:r w:rsidR="0010084F" w:rsidRPr="00541F56">
              <w:t>; 95 % CI 0.03 to 0.25</w:t>
            </w:r>
            <w:r w:rsidRPr="00541F56">
              <w:t xml:space="preserve"> for highest vs. lowest quartile of protein intake], but not with children's fat mass index or body mass index. Comparable associations were found for animal protein and vegetable protein. Maternal protein intake was not associated with children's overweight.</w:t>
            </w:r>
            <w:r w:rsidRPr="004E4762">
              <w:t xml:space="preserve"> </w:t>
            </w:r>
          </w:p>
        </w:tc>
        <w:tc>
          <w:tcPr>
            <w:tcW w:w="1843" w:type="dxa"/>
          </w:tcPr>
          <w:p w14:paraId="5B8326DA" w14:textId="77777777" w:rsidR="004E4762" w:rsidRPr="00C8357D" w:rsidRDefault="004E4762" w:rsidP="009337E3"/>
        </w:tc>
      </w:tr>
      <w:tr w:rsidR="009337E3" w:rsidRPr="00C8357D" w14:paraId="1D453009" w14:textId="77777777" w:rsidTr="004E4762">
        <w:tblPrEx>
          <w:tblLook w:val="04A0" w:firstRow="1" w:lastRow="0" w:firstColumn="1" w:lastColumn="0" w:noHBand="0" w:noVBand="1"/>
        </w:tblPrEx>
        <w:trPr>
          <w:cantSplit/>
          <w:trHeight w:val="390"/>
        </w:trPr>
        <w:tc>
          <w:tcPr>
            <w:tcW w:w="1559" w:type="dxa"/>
          </w:tcPr>
          <w:p w14:paraId="79879C46" w14:textId="7A0AE995" w:rsidR="009337E3" w:rsidRPr="00541F56" w:rsidRDefault="009337E3" w:rsidP="009337E3">
            <w:r w:rsidRPr="00541F56">
              <w:t>Switowski et al 2016</w:t>
            </w:r>
            <w:r w:rsidR="00774750">
              <w:fldChar w:fldCharType="begin">
                <w:fldData xml:space="preserve">PEVuZE5vdGU+PENpdGU+PEF1dGhvcj5Td2l0a293c2tpPC9BdXRob3I+PFllYXI+MjAxNjwvWWVh
cj48UmVjTnVtPjE3Mzk8L1JlY051bT48RGlzcGxheVRleHQ+PHN0eWxlIGZhY2U9InN1cGVyc2Ny
aXB0IiBmb250PSJUcmVidWNoZXQgTVMiIHNpemU9IjkiPjk1PC9zdHlsZT48L0Rpc3BsYXlUZXh0
PjxyZWNvcmQ+PHJlYy1udW1iZXI+MTczOTwvcmVjLW51bWJlcj48Zm9yZWlnbi1rZXlzPjxrZXkg
YXBwPSJFTiIgZGItaWQ9ImV4dmFzcmZ4MmR0cmFvZXNhc3hwMnN6c3hhMmRmNTAyNTkyeCIgdGlt
ZXN0YW1wPSIxNTgyNTA2Mjc3Ij4xNzM5PC9rZXk+PGtleSBhcHA9IkVOV2ViIiBkYi1pZD0iIj4w
PC9rZXk+PC9mb3JlaWduLWtleXM+PHJlZi10eXBlIG5hbWU9IkpvdXJuYWwgQXJ0aWNsZSI+MTc8
L3JlZi10eXBlPjxjb250cmlidXRvcnM+PGF1dGhvcnM+PGF1dGhvcj5Td2l0a293c2tpLCBLLiBN
LjwvYXV0aG9yPjxhdXRob3I+SmFjcXVlcywgUC4gRi48L2F1dGhvcj48YXV0aG9yPk11c3QsIEEu
PC9hdXRob3I+PGF1dGhvcj5LbGVpbm1hbiwgSy4gUC48L2F1dGhvcj48YXV0aG9yPkdpbGxtYW4s
IE0uIFcuPC9hdXRob3I+PGF1dGhvcj5Pa2VuLCBFLjwvYXV0aG9yPjwvYXV0aG9ycz48L2NvbnRy
aWJ1dG9ycz48YXV0aC1hZGRyZXNzPkZyaWVkbWFuIFNjaG9vbCBvZiBOdXRyaXRpb24gU2NpZW5j
ZSBhbmQgUG9saWN5LCBPYmVzaXR5IFByZXZlbnRpb24gUHJvZ3JhbSwgRGVwYXJ0bWVudCBvZiBQ
b3B1bGF0aW9uIE1lZGljaW5lLCBIYXJ2YXJkIE1lZGljYWwgU2Nob29sIGFuZCBIYXJ2YXJkIFBp
bGdyaW0gSGVhbHRoIENhcmUgSW5zdGl0dXRlLCBCb3N0b24sIE1BIGthcmVuX3N3aXRrb3dza2lA
aGFydmFyZHBpbGdyaW0ub3JnLiYjeEQ7SmVhbiBNYXllci1VU0RBIEh1bWFuIE51dHJpdGlvbiBS
ZXNlYXJjaCBDZW50ZXIgb24gQWdpbmcsIGFuZC4mI3hEO0RlcGFydG1lbnQgb2YgUHVibGljIEhl
YWx0aCBhbmQgQ29tbXVuaXR5IE1lZGljaW5lLCBTY2hvb2wgb2YgTWVkaWNpbmUsIFR1ZnRzIFVu
aXZlcnNpdHksIEJvc3RvbiwgTUE7IGFuZC4mI3hEO09iZXNpdHkgUHJldmVudGlvbiBQcm9ncmFt
LCBEZXBhcnRtZW50IG9mIFBvcHVsYXRpb24gTWVkaWNpbmUsIEhhcnZhcmQgTWVkaWNhbCBTY2hv
b2wgYW5kIEhhcnZhcmQgUGlsZ3JpbSBIZWFsdGggQ2FyZSBJbnN0aXR1dGUsIEJvc3RvbiwgTUEu
PC9hdXRoLWFkZHJlc3M+PHRpdGxlcz48dGl0bGU+TWF0ZXJuYWwgcHJvdGVpbiBpbnRha2UgZHVy
aW5nIHByZWduYW5jeSBhbmQgbGluZWFyIGdyb3d0aCBpbiB0aGUgb2Zmc3ByaW5nPC90aXRsZT48
c2Vjb25kYXJ5LXRpdGxlPkFtIEogQ2xpbiBOdXRyPC9zZWNvbmRhcnktdGl0bGU+PC90aXRsZXM+
PHBlcmlvZGljYWw+PGZ1bGwtdGl0bGU+QW0gSiBDbGluIE51dHI8L2Z1bGwtdGl0bGU+PC9wZXJp
b2RpY2FsPjxwYWdlcz4xMTI4LTExMzY8L3BhZ2VzPjx2b2x1bWU+MTA0PC92b2x1bWU+PG51bWJl
cj40PC9udW1iZXI+PGVkaXRpb24+MjAxNi8wOS8wMjwvZWRpdGlvbj48a2V5d29yZHM+PGtleXdv
cmQ+QWRvbGVzY2VudDwva2V5d29yZD48a2V5d29yZD5BZHVsdDwva2V5d29yZD48a2V5d29yZD5C
b2R5IEhlaWdodC8qZHJ1ZyBlZmZlY3RzPC9rZXl3b3JkPjxrZXl3b3JkPkNoaWxkPC9rZXl3b3Jk
PjxrZXl3b3JkPkNoaWxkLCBQcmVzY2hvb2w8L2tleXdvcmQ+PGtleXdvcmQ+KkRpZXQ8L2tleXdv
cmQ+PGtleXdvcmQ+RGlldGFyeSBQcm90ZWlucy9hZG1pbmlzdHJhdGlvbiAmYW1wOyBkb3NhZ2Uv
KnBoYXJtYWNvbG9neTwva2V5d29yZD48a2V5d29yZD5GZW1hbGU8L2tleXdvcmQ+PGtleXdvcmQ+
R3Jvd3RoLypkcnVnIGVmZmVjdHM8L2tleXdvcmQ+PGtleXdvcmQ+SHVtYW5zPC9rZXl3b3JkPjxr
ZXl3b3JkPkluZmFudDwva2V5d29yZD48a2V5d29yZD5NYWxlPC9rZXl3b3JkPjxrZXl3b3JkPipQ
cmVnbmFuY3k8L2tleXdvcmQ+PGtleXdvcmQ+UHJlZ25hbmN5IFRyaW1lc3RlciwgRmlyc3Q8L2tl
eXdvcmQ+PGtleXdvcmQ+UHJlZ25hbmN5IFRyaW1lc3RlciwgU2Vjb25kPC9rZXl3b3JkPjxrZXl3
b3JkPipQcmVuYXRhbCBOdXRyaXRpb25hbCBQaHlzaW9sb2dpY2FsIFBoZW5vbWVuYTwva2V5d29y
ZD48a2V5d29yZD5Zb3VuZyBBZHVsdDwva2V5d29yZD48a2V5d29yZD4qY29ob3J0PC9rZXl3b3Jk
PjxrZXl3b3JkPipsaW5lYXIgZ3Jvd3RoPC9rZXl3b3JkPjxrZXl3b3JkPiptYXRlcm5hbCBkaWV0
PC9rZXl3b3JkPjxrZXl3b3JkPipwcm9ncmFtbWluZzwva2V5d29yZD48a2V5d29yZD4qcHJvdGVp
bjwva2V5d29yZD48L2tleXdvcmRzPjxkYXRlcz48eWVhcj4yMDE2PC95ZWFyPjxwdWItZGF0ZXM+
PGRhdGU+T2N0PC9kYXRlPjwvcHViLWRhdGVzPjwvZGF0ZXM+PGlzYm4+MTkzOC0zMjA3IChFbGVj
dHJvbmljKSYjeEQ7MDAwMi05MTY1IChMaW5raW5nKTwvaXNibj48YWNjZXNzaW9uLW51bT4yNzU4
MTQ3NzwvYWNjZXNzaW9uLW51bT48dXJscz48cmVsYXRlZC11cmxzPjx1cmw+aHR0cHM6Ly93d3cu
bmNiaS5ubG0ubmloLmdvdi9wdWJtZWQvMjc1ODE0Nzc8L3VybD48L3JlbGF0ZWQtdXJscz48L3Vy
bHM+PGN1c3RvbTI+UE1DNTAzOTgwNzwvY3VzdG9tMj48ZWxlY3Ryb25pYy1yZXNvdXJjZS1udW0+
MTAuMzk0NS9hamNuLjExNS4xMjg0MjE8L2VsZWN0cm9uaWMtcmVzb3VyY2UtbnVtPjwvcmVjb3Jk
PjwvQ2l0ZT48L0VuZE5vdGU+AG==
</w:fldData>
              </w:fldChar>
            </w:r>
            <w:r w:rsidR="002747EA">
              <w:instrText xml:space="preserve"> ADDIN EN.CITE </w:instrText>
            </w:r>
            <w:r w:rsidR="002747EA">
              <w:fldChar w:fldCharType="begin">
                <w:fldData xml:space="preserve">PEVuZE5vdGU+PENpdGU+PEF1dGhvcj5Td2l0a293c2tpPC9BdXRob3I+PFllYXI+MjAxNjwvWWVh
cj48UmVjTnVtPjE3Mzk8L1JlY051bT48RGlzcGxheVRleHQ+PHN0eWxlIGZhY2U9InN1cGVyc2Ny
aXB0IiBmb250PSJUcmVidWNoZXQgTVMiIHNpemU9IjkiPjk1PC9zdHlsZT48L0Rpc3BsYXlUZXh0
PjxyZWNvcmQ+PHJlYy1udW1iZXI+MTczOTwvcmVjLW51bWJlcj48Zm9yZWlnbi1rZXlzPjxrZXkg
YXBwPSJFTiIgZGItaWQ9ImV4dmFzcmZ4MmR0cmFvZXNhc3hwMnN6c3hhMmRmNTAyNTkyeCIgdGlt
ZXN0YW1wPSIxNTgyNTA2Mjc3Ij4xNzM5PC9rZXk+PGtleSBhcHA9IkVOV2ViIiBkYi1pZD0iIj4w
PC9rZXk+PC9mb3JlaWduLWtleXM+PHJlZi10eXBlIG5hbWU9IkpvdXJuYWwgQXJ0aWNsZSI+MTc8
L3JlZi10eXBlPjxjb250cmlidXRvcnM+PGF1dGhvcnM+PGF1dGhvcj5Td2l0a293c2tpLCBLLiBN
LjwvYXV0aG9yPjxhdXRob3I+SmFjcXVlcywgUC4gRi48L2F1dGhvcj48YXV0aG9yPk11c3QsIEEu
PC9hdXRob3I+PGF1dGhvcj5LbGVpbm1hbiwgSy4gUC48L2F1dGhvcj48YXV0aG9yPkdpbGxtYW4s
IE0uIFcuPC9hdXRob3I+PGF1dGhvcj5Pa2VuLCBFLjwvYXV0aG9yPjwvYXV0aG9ycz48L2NvbnRy
aWJ1dG9ycz48YXV0aC1hZGRyZXNzPkZyaWVkbWFuIFNjaG9vbCBvZiBOdXRyaXRpb24gU2NpZW5j
ZSBhbmQgUG9saWN5LCBPYmVzaXR5IFByZXZlbnRpb24gUHJvZ3JhbSwgRGVwYXJ0bWVudCBvZiBQ
b3B1bGF0aW9uIE1lZGljaW5lLCBIYXJ2YXJkIE1lZGljYWwgU2Nob29sIGFuZCBIYXJ2YXJkIFBp
bGdyaW0gSGVhbHRoIENhcmUgSW5zdGl0dXRlLCBCb3N0b24sIE1BIGthcmVuX3N3aXRrb3dza2lA
aGFydmFyZHBpbGdyaW0ub3JnLiYjeEQ7SmVhbiBNYXllci1VU0RBIEh1bWFuIE51dHJpdGlvbiBS
ZXNlYXJjaCBDZW50ZXIgb24gQWdpbmcsIGFuZC4mI3hEO0RlcGFydG1lbnQgb2YgUHVibGljIEhl
YWx0aCBhbmQgQ29tbXVuaXR5IE1lZGljaW5lLCBTY2hvb2wgb2YgTWVkaWNpbmUsIFR1ZnRzIFVu
aXZlcnNpdHksIEJvc3RvbiwgTUE7IGFuZC4mI3hEO09iZXNpdHkgUHJldmVudGlvbiBQcm9ncmFt
LCBEZXBhcnRtZW50IG9mIFBvcHVsYXRpb24gTWVkaWNpbmUsIEhhcnZhcmQgTWVkaWNhbCBTY2hv
b2wgYW5kIEhhcnZhcmQgUGlsZ3JpbSBIZWFsdGggQ2FyZSBJbnN0aXR1dGUsIEJvc3RvbiwgTUEu
PC9hdXRoLWFkZHJlc3M+PHRpdGxlcz48dGl0bGU+TWF0ZXJuYWwgcHJvdGVpbiBpbnRha2UgZHVy
aW5nIHByZWduYW5jeSBhbmQgbGluZWFyIGdyb3d0aCBpbiB0aGUgb2Zmc3ByaW5nPC90aXRsZT48
c2Vjb25kYXJ5LXRpdGxlPkFtIEogQ2xpbiBOdXRyPC9zZWNvbmRhcnktdGl0bGU+PC90aXRsZXM+
PHBlcmlvZGljYWw+PGZ1bGwtdGl0bGU+QW0gSiBDbGluIE51dHI8L2Z1bGwtdGl0bGU+PC9wZXJp
b2RpY2FsPjxwYWdlcz4xMTI4LTExMzY8L3BhZ2VzPjx2b2x1bWU+MTA0PC92b2x1bWU+PG51bWJl
cj40PC9udW1iZXI+PGVkaXRpb24+MjAxNi8wOS8wMjwvZWRpdGlvbj48a2V5d29yZHM+PGtleXdv
cmQ+QWRvbGVzY2VudDwva2V5d29yZD48a2V5d29yZD5BZHVsdDwva2V5d29yZD48a2V5d29yZD5C
b2R5IEhlaWdodC8qZHJ1ZyBlZmZlY3RzPC9rZXl3b3JkPjxrZXl3b3JkPkNoaWxkPC9rZXl3b3Jk
PjxrZXl3b3JkPkNoaWxkLCBQcmVzY2hvb2w8L2tleXdvcmQ+PGtleXdvcmQ+KkRpZXQ8L2tleXdv
cmQ+PGtleXdvcmQ+RGlldGFyeSBQcm90ZWlucy9hZG1pbmlzdHJhdGlvbiAmYW1wOyBkb3NhZ2Uv
KnBoYXJtYWNvbG9neTwva2V5d29yZD48a2V5d29yZD5GZW1hbGU8L2tleXdvcmQ+PGtleXdvcmQ+
R3Jvd3RoLypkcnVnIGVmZmVjdHM8L2tleXdvcmQ+PGtleXdvcmQ+SHVtYW5zPC9rZXl3b3JkPjxr
ZXl3b3JkPkluZmFudDwva2V5d29yZD48a2V5d29yZD5NYWxlPC9rZXl3b3JkPjxrZXl3b3JkPipQ
cmVnbmFuY3k8L2tleXdvcmQ+PGtleXdvcmQ+UHJlZ25hbmN5IFRyaW1lc3RlciwgRmlyc3Q8L2tl
eXdvcmQ+PGtleXdvcmQ+UHJlZ25hbmN5IFRyaW1lc3RlciwgU2Vjb25kPC9rZXl3b3JkPjxrZXl3
b3JkPipQcmVuYXRhbCBOdXRyaXRpb25hbCBQaHlzaW9sb2dpY2FsIFBoZW5vbWVuYTwva2V5d29y
ZD48a2V5d29yZD5Zb3VuZyBBZHVsdDwva2V5d29yZD48a2V5d29yZD4qY29ob3J0PC9rZXl3b3Jk
PjxrZXl3b3JkPipsaW5lYXIgZ3Jvd3RoPC9rZXl3b3JkPjxrZXl3b3JkPiptYXRlcm5hbCBkaWV0
PC9rZXl3b3JkPjxrZXl3b3JkPipwcm9ncmFtbWluZzwva2V5d29yZD48a2V5d29yZD4qcHJvdGVp
bjwva2V5d29yZD48L2tleXdvcmRzPjxkYXRlcz48eWVhcj4yMDE2PC95ZWFyPjxwdWItZGF0ZXM+
PGRhdGU+T2N0PC9kYXRlPjwvcHViLWRhdGVzPjwvZGF0ZXM+PGlzYm4+MTkzOC0zMjA3IChFbGVj
dHJvbmljKSYjeEQ7MDAwMi05MTY1IChMaW5raW5nKTwvaXNibj48YWNjZXNzaW9uLW51bT4yNzU4
MTQ3NzwvYWNjZXNzaW9uLW51bT48dXJscz48cmVsYXRlZC11cmxzPjx1cmw+aHR0cHM6Ly93d3cu
bmNiaS5ubG0ubmloLmdvdi9wdWJtZWQvMjc1ODE0Nzc8L3VybD48L3JlbGF0ZWQtdXJscz48L3Vy
bHM+PGN1c3RvbTI+UE1DNTAzOTgwNzwvY3VzdG9tMj48ZWxlY3Ryb25pYy1yZXNvdXJjZS1udW0+
MTAuMzk0NS9hamNuLjExNS4xMjg0MjE8L2VsZWN0cm9uaWMtcmVzb3VyY2UtbnVtPjwvcmVjb3Jk
PjwvQ2l0ZT48L0VuZE5vdGU+AG==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95</w:t>
            </w:r>
            <w:r w:rsidR="00774750">
              <w:fldChar w:fldCharType="end"/>
            </w:r>
          </w:p>
          <w:p w14:paraId="45FA87F9" w14:textId="3C793A9E" w:rsidR="009337E3" w:rsidRPr="00541F56" w:rsidRDefault="009337E3" w:rsidP="009337E3">
            <w:r w:rsidRPr="00541F56">
              <w:t>United States</w:t>
            </w:r>
          </w:p>
          <w:p w14:paraId="1D4B7A23" w14:textId="11CA8B4E" w:rsidR="009337E3" w:rsidRPr="00541F56" w:rsidRDefault="009337E3" w:rsidP="009337E3">
            <w:r w:rsidRPr="00541F56">
              <w:t>Cohort</w:t>
            </w:r>
          </w:p>
        </w:tc>
        <w:tc>
          <w:tcPr>
            <w:tcW w:w="1422" w:type="dxa"/>
          </w:tcPr>
          <w:p w14:paraId="73994683" w14:textId="2961A704" w:rsidR="009337E3" w:rsidRPr="00541F56" w:rsidRDefault="009337E3" w:rsidP="009337E3">
            <w:r w:rsidRPr="00541F56">
              <w:t>1,961 mother-child pairs</w:t>
            </w:r>
          </w:p>
        </w:tc>
        <w:tc>
          <w:tcPr>
            <w:tcW w:w="4532" w:type="dxa"/>
          </w:tcPr>
          <w:p w14:paraId="1BA544B3" w14:textId="77777777" w:rsidR="009337E3" w:rsidRPr="00541F56" w:rsidRDefault="009337E3" w:rsidP="009337E3">
            <w:r w:rsidRPr="00541F56">
              <w:rPr>
                <w:b/>
              </w:rPr>
              <w:t>Aim</w:t>
            </w:r>
            <w:r w:rsidRPr="00541F56">
              <w:t xml:space="preserve">: To examine associations of maternal protein intake during pregnancy with offspring linear growth. </w:t>
            </w:r>
          </w:p>
          <w:p w14:paraId="5A32F976" w14:textId="08FD0A3A" w:rsidR="009337E3" w:rsidRPr="00541F56" w:rsidRDefault="009337E3" w:rsidP="009337E3">
            <w:pPr>
              <w:rPr>
                <w:b/>
              </w:rPr>
            </w:pPr>
            <w:r w:rsidRPr="00541F56">
              <w:rPr>
                <w:b/>
              </w:rPr>
              <w:t>Methods</w:t>
            </w:r>
            <w:r w:rsidRPr="00541F56">
              <w:t xml:space="preserve">: We assessed first- and second-trimester diet with the use of food-frequency questionnaires and analysed protein intake as grams per kilogram prepregnancy weight per day. We used research measures of offspring length at birth and in infancy (approximately 6 mo), early childhood (approximately 3 y), and midchildhood (approximately 7 y), as well as clinical growth measures obtained from after birth through midchildhood. We calculated sex-specific birth length z scores for gestational age with the use of international reference data. We used mixed models with repeated length measures to predict individual length gain velocities for birth to &lt;6 mo and 6 mo to 7 y of age, then used these velocities as outcomes in adjusted linear regression models with maternal protein intake as the main predictor. </w:t>
            </w:r>
          </w:p>
        </w:tc>
        <w:tc>
          <w:tcPr>
            <w:tcW w:w="4536" w:type="dxa"/>
          </w:tcPr>
          <w:p w14:paraId="70991708" w14:textId="1D1FEC97" w:rsidR="009337E3" w:rsidRPr="00C31D7A" w:rsidRDefault="009337E3" w:rsidP="00AD3F1B">
            <w:r w:rsidRPr="00541F56">
              <w:t>After adjusting for maternal sociodemographics, gestational weight gain, maternal and paternal height, and child sex, gestational age, and breastfeeding duration, each 1</w:t>
            </w:r>
            <w:r w:rsidR="004E4762" w:rsidRPr="00541F56">
              <w:noBreakHyphen/>
              <w:t>SD (0.36 g . kg</w:t>
            </w:r>
            <w:r w:rsidR="004E4762" w:rsidRPr="00541F56">
              <w:rPr>
                <w:vertAlign w:val="superscript"/>
              </w:rPr>
              <w:t>-1</w:t>
            </w:r>
            <w:r w:rsidR="004E4762" w:rsidRPr="00541F56">
              <w:t xml:space="preserve"> . d</w:t>
            </w:r>
            <w:r w:rsidR="004E4762" w:rsidRPr="00541F56">
              <w:rPr>
                <w:vertAlign w:val="superscript"/>
              </w:rPr>
              <w:t>-1</w:t>
            </w:r>
            <w:r w:rsidRPr="00541F56">
              <w:t>) increment in second-trimester protein intake corresp</w:t>
            </w:r>
            <w:r w:rsidR="004E4762" w:rsidRPr="00541F56">
              <w:t>onded to a -0.10 (95% CI -0.18 to</w:t>
            </w:r>
            <w:r w:rsidRPr="00541F56">
              <w:t xml:space="preserve"> -0.03) change in birth length z scor</w:t>
            </w:r>
            <w:r w:rsidR="004E4762" w:rsidRPr="00541F56">
              <w:t>e, a -0.03 cm/mo (95% CI -0.05 to</w:t>
            </w:r>
            <w:r w:rsidRPr="00541F56">
              <w:t xml:space="preserve"> -0.01 cm/mo) change in slope of length growth from birth to &lt;6mo, </w:t>
            </w:r>
            <w:r w:rsidR="004E4762" w:rsidRPr="00541F56">
              <w:t>and a -0.09 cm/y (95% CI: -0.14 to</w:t>
            </w:r>
            <w:r w:rsidRPr="00541F56">
              <w:t xml:space="preserve"> -0.05 cm/y) change in slope of length growth from 6 mo to midchildhood. Results were similar for first-trimester intake.</w:t>
            </w:r>
            <w:r w:rsidRPr="009337E3">
              <w:t xml:space="preserve"> </w:t>
            </w:r>
          </w:p>
        </w:tc>
        <w:tc>
          <w:tcPr>
            <w:tcW w:w="1843" w:type="dxa"/>
          </w:tcPr>
          <w:p w14:paraId="3C156EB7" w14:textId="77777777" w:rsidR="009337E3" w:rsidRPr="00C8357D" w:rsidRDefault="009337E3" w:rsidP="009337E3"/>
        </w:tc>
      </w:tr>
    </w:tbl>
    <w:p w14:paraId="138C2D37" w14:textId="6AAF1590" w:rsidR="0097700A" w:rsidRDefault="009C163D" w:rsidP="005719CE">
      <w:pPr>
        <w:pStyle w:val="TableName"/>
        <w:ind w:left="1134" w:hanging="1134"/>
      </w:pPr>
      <w:bookmarkStart w:id="66" w:name="_Toc40956606"/>
      <w:r>
        <w:t xml:space="preserve">Q2 </w:t>
      </w:r>
      <w:r w:rsidR="007B1D24">
        <w:t>C</w:t>
      </w:r>
      <w:r w:rsidR="0097700A">
        <w:t>onsumption of fats during pregnancy</w:t>
      </w:r>
      <w:bookmarkEnd w:id="66"/>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8: Q2 Consumption of fats during pregnancy"/>
      </w:tblPr>
      <w:tblGrid>
        <w:gridCol w:w="1698"/>
        <w:gridCol w:w="1283"/>
        <w:gridCol w:w="4535"/>
        <w:gridCol w:w="4534"/>
        <w:gridCol w:w="1842"/>
      </w:tblGrid>
      <w:tr w:rsidR="0097700A" w:rsidRPr="00F350A6" w14:paraId="6EC2948B" w14:textId="77777777" w:rsidTr="00A3593E">
        <w:trPr>
          <w:cantSplit/>
          <w:trHeight w:val="390"/>
          <w:tblHeader/>
        </w:trPr>
        <w:tc>
          <w:tcPr>
            <w:tcW w:w="1698" w:type="dxa"/>
            <w:tcBorders>
              <w:bottom w:val="single" w:sz="4" w:space="0" w:color="538135" w:themeColor="accent6" w:themeShade="BF"/>
            </w:tcBorders>
          </w:tcPr>
          <w:p w14:paraId="03AF4F08" w14:textId="77777777" w:rsidR="0097700A" w:rsidRPr="00F350A6" w:rsidRDefault="0097700A" w:rsidP="00F20A8C">
            <w:pPr>
              <w:keepNext/>
              <w:rPr>
                <w:b/>
              </w:rPr>
            </w:pPr>
            <w:r>
              <w:rPr>
                <w:b/>
              </w:rPr>
              <w:t>Study ref</w:t>
            </w:r>
          </w:p>
        </w:tc>
        <w:tc>
          <w:tcPr>
            <w:tcW w:w="1283" w:type="dxa"/>
            <w:tcBorders>
              <w:bottom w:val="single" w:sz="4" w:space="0" w:color="538135" w:themeColor="accent6" w:themeShade="BF"/>
            </w:tcBorders>
          </w:tcPr>
          <w:p w14:paraId="77779449" w14:textId="77777777" w:rsidR="0097700A" w:rsidRPr="00F350A6" w:rsidRDefault="0097700A" w:rsidP="00F20A8C">
            <w:pPr>
              <w:keepNext/>
              <w:rPr>
                <w:b/>
              </w:rPr>
            </w:pPr>
            <w:r>
              <w:rPr>
                <w:b/>
              </w:rPr>
              <w:t>N</w:t>
            </w:r>
          </w:p>
        </w:tc>
        <w:tc>
          <w:tcPr>
            <w:tcW w:w="4535" w:type="dxa"/>
            <w:tcBorders>
              <w:bottom w:val="single" w:sz="4" w:space="0" w:color="538135" w:themeColor="accent6" w:themeShade="BF"/>
            </w:tcBorders>
          </w:tcPr>
          <w:p w14:paraId="41809F11" w14:textId="77777777" w:rsidR="0097700A" w:rsidRPr="00F350A6" w:rsidRDefault="0097700A" w:rsidP="00F20A8C">
            <w:pPr>
              <w:keepNext/>
              <w:rPr>
                <w:b/>
              </w:rPr>
            </w:pPr>
            <w:r>
              <w:rPr>
                <w:b/>
              </w:rPr>
              <w:t>Aim/methods</w:t>
            </w:r>
          </w:p>
        </w:tc>
        <w:tc>
          <w:tcPr>
            <w:tcW w:w="4534" w:type="dxa"/>
            <w:tcBorders>
              <w:bottom w:val="single" w:sz="4" w:space="0" w:color="538135" w:themeColor="accent6" w:themeShade="BF"/>
            </w:tcBorders>
          </w:tcPr>
          <w:p w14:paraId="7E633467" w14:textId="77777777" w:rsidR="0097700A" w:rsidRPr="00F350A6" w:rsidRDefault="0097700A" w:rsidP="00F20A8C">
            <w:pPr>
              <w:keepNext/>
              <w:rPr>
                <w:b/>
              </w:rPr>
            </w:pPr>
            <w:r>
              <w:rPr>
                <w:b/>
              </w:rPr>
              <w:t>Results</w:t>
            </w:r>
          </w:p>
        </w:tc>
        <w:tc>
          <w:tcPr>
            <w:tcW w:w="1842" w:type="dxa"/>
            <w:tcBorders>
              <w:bottom w:val="single" w:sz="4" w:space="0" w:color="538135" w:themeColor="accent6" w:themeShade="BF"/>
            </w:tcBorders>
          </w:tcPr>
          <w:p w14:paraId="3EDE3C78" w14:textId="77777777" w:rsidR="0097700A" w:rsidRPr="00F350A6" w:rsidRDefault="0097700A" w:rsidP="00F20A8C">
            <w:pPr>
              <w:keepNext/>
              <w:rPr>
                <w:b/>
              </w:rPr>
            </w:pPr>
            <w:r>
              <w:rPr>
                <w:b/>
              </w:rPr>
              <w:t>Comments</w:t>
            </w:r>
          </w:p>
        </w:tc>
      </w:tr>
      <w:tr w:rsidR="00520621" w:rsidRPr="00C8357D" w14:paraId="436D02D8" w14:textId="77777777" w:rsidTr="00A3593E">
        <w:tblPrEx>
          <w:tblLook w:val="04A0" w:firstRow="1" w:lastRow="0" w:firstColumn="1" w:lastColumn="0" w:noHBand="0" w:noVBand="1"/>
        </w:tblPrEx>
        <w:trPr>
          <w:cantSplit/>
          <w:trHeight w:val="390"/>
        </w:trPr>
        <w:tc>
          <w:tcPr>
            <w:tcW w:w="1698" w:type="dxa"/>
          </w:tcPr>
          <w:p w14:paraId="3F0C4C2E" w14:textId="061557A7" w:rsidR="00520621" w:rsidRPr="00AD3F1B" w:rsidRDefault="00520621" w:rsidP="00D44590">
            <w:r w:rsidRPr="00AD3F1B">
              <w:t>Sharma et al 2018</w:t>
            </w:r>
            <w:r w:rsidR="00774750">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 </w:instrText>
            </w:r>
            <w:r w:rsidR="002747EA">
              <w:fldChar w:fldCharType="begin">
                <w:fldData xml:space="preserve">PEVuZE5vdGU+PENpdGU+PEF1dGhvcj5TaGFybWE8L0F1dGhvcj48WWVhcj4yMDE4PC9ZZWFyPjxS
ZWNOdW0+MTczNjwvUmVjTnVtPjxEaXNwbGF5VGV4dD48c3R5bGUgZmFjZT0ic3VwZXJzY3JpcHQi
IGZvbnQ9IlRyZWJ1Y2hldCBNUyIgc2l6ZT0iOSI+OTM8L3N0eWxlPjwvRGlzcGxheVRleHQ+PHJl
Y29yZD48cmVjLW51bWJlcj4xNzM2PC9yZWMtbnVtYmVyPjxmb3JlaWduLWtleXM+PGtleSBhcHA9
IkVOIiBkYi1pZD0iZXh2YXNyZngyZHRyYW9lc2FzeHAyc3pzeGEyZGY1MDI1OTJ4IiB0aW1lc3Rh
bXA9IjE1ODI1MDYyNjQiPjE3MzY8L2tleT48a2V5IGFwcD0iRU5XZWIiIGRiLWlkPSIiPjA8L2tl
eT48L2ZvcmVpZ24ta2V5cz48cmVmLXR5cGUgbmFtZT0iSm91cm5hbCBBcnRpY2xlIj4xNzwvcmVm
LXR5cGU+PGNvbnRyaWJ1dG9ycz48YXV0aG9ycz48YXV0aG9yPlNoYXJtYSwgUy4gUy48L2F1dGhv
cj48YXV0aG9yPkdyZWVud29vZCwgRC4gQy48L2F1dGhvcj48YXV0aG9yPlNpbXBzb24sIE4uIEEu
IEIuPC9hdXRob3I+PGF1dGhvcj5DYWRlLCBKLiBFLjwvYXV0aG9yPjwvYXV0aG9ycz48L2NvbnRy
aWJ1dG9ycz48YXV0aC1hZGRyZXNzPjFOdXRyaXRpb25hbCBFcGlkZW1pb2xvZ3kgR3JvdXAsU2No
b29sIG9mIEZvb2QgU2NpZW5jZSBhbmQgTnV0cml0aW9uLFVuaXZlcnNpdHkgb2YgTGVlZHMsTGVl
ZHMgTFMyIDlKVCxVSy4mI3hEOzJTY2hvb2wgb2YgTWVkaWNpbmUsRGl2aXNpb24gb2YgQmlvc3Rh
dGlzdGljcyxVbml2ZXJzaXR5IG9mIExlZWRzLExlZWRzIExTMiA5SlQsVUsuJiN4RDszU2Nob29s
IG9mIE1lZGljaW5lLERpdmlzaW9uIG9mIE9ic3RldHJpY3MgYW5kIEd5bmFlY29sb2d5LFVuaXZl
cnNpdHkgb2YgTGVlZHMsTGVlZHMgTFMyIDlKVCxVSy48L2F1dGgtYWRkcmVzcz48dGl0bGVzPjx0
aXRsZT5JcyBkaWV0YXJ5IG1hY3JvbnV0cmllbnQgY29tcG9zaXRpb24gZHVyaW5nIHByZWduYW5j
eSBhc3NvY2lhdGVkIHdpdGggb2Zmc3ByaW5nIGJpcnRoIHdlaWdodD8gQW4gb2JzZXJ2YXRpb25h
bCBzdHVkeTwvdGl0bGU+PHNlY29uZGFyeS10aXRsZT5CciBKIE51dHI8L3NlY29uZGFyeS10aXRs
ZT48L3RpdGxlcz48cGVyaW9kaWNhbD48ZnVsbC10aXRsZT5CciBKIE51dHI8L2Z1bGwtdGl0bGU+
PC9wZXJpb2RpY2FsPjxwYWdlcz4zMzAtMzM5PC9wYWdlcz48dm9sdW1lPjExOTwvdm9sdW1lPjxu
dW1iZXI+MzwvbnVtYmVyPjxlZGl0aW9uPjIwMTgvMDEvMTE8L2VkaXRpb24+PGtleXdvcmRzPjxr
ZXl3b3JkPkFkdWx0PC9rZXl3b3JkPjxrZXl3b3JkPkFsY29ob2wgRHJpbmtpbmc8L2tleXdvcmQ+
PGtleXdvcmQ+KkJpcnRoIFdlaWdodDwva2V5d29yZD48a2V5d29yZD5Cb2R5IE1hc3MgSW5kZXg8
L2tleXdvcmQ+PGtleXdvcmQ+Q2FmZmVpbmUvYWRtaW5pc3RyYXRpb24gJmFtcDsgZG9zYWdlPC9r
ZXl3b3JkPjxrZXl3b3JkPipEaWV0PC9rZXl3b3JkPjxrZXl3b3JkPkRpZXQgUmVjb3Jkczwva2V5
d29yZD48a2V5d29yZD5EaWV0YXJ5IENhcmJvaHlkcmF0ZXMvYWRtaW5pc3RyYXRpb24gJmFtcDsg
ZG9zYWdlPC9rZXl3b3JkPjxrZXl3b3JkPkRpZXRhcnkgRmF0cy9hZG1pbmlzdHJhdGlvbiAmYW1w
OyBkb3NhZ2U8L2tleXdvcmQ+PGtleXdvcmQ+RmVtYWxlPC9rZXl3b3JkPjxrZXl3b3JkPkZldGFs
IERldmVsb3BtZW50L2RydWcgZWZmZWN0czwva2V5d29yZD48a2V5d29yZD5HZXN0YXRpb25hbCBB
Z2U8L2tleXdvcmQ+PGtleXdvcmQ+R2x1Y29zZS9hZG1pbmlzdHJhdGlvbiAmYW1wOyBkb3NhZ2U8
L2tleXdvcmQ+PGtleXdvcmQ+SHVtYW5zPC9rZXl3b3JkPjxrZXl3b3JkPkxhY3Rvc2UvYWRtaW5p
c3RyYXRpb24gJmFtcDsgZG9zYWdlPC9rZXl3b3JkPjxrZXl3b3JkPk1hdGVybmFsIE51dHJpdGlv
bmFsIFBoeXNpb2xvZ2ljYWwgUGhlbm9tZW5hPC9rZXl3b3JkPjxrZXl3b3JkPk51dHJpZW50cy9h
ZG1pbmlzdHJhdGlvbiAmYW1wOyBkb3NhZ2UvKmFuYWx5c2lzPC9rZXl3b3JkPjxrZXl3b3JkPlBy
ZWduYW5jeTwva2V5d29yZD48a2V5d29yZD5TbW9raW5nPC9rZXl3b3JkPjxrZXl3b3JkPlN1cnZl
eXMgYW5kIFF1ZXN0aW9ubmFpcmVzPC9rZXl3b3JkPjxrZXl3b3JkPiogQ0hPIGNhcmJvaHlkcmF0
ZXM8L2tleXdvcmQ+PGtleXdvcmQ+KiBMR0EgbGFyZ2UgZm9yIGdlc3RhdGlvbmFsIGFnZTwva2V5
d29yZD48a2V5d29yZD4qIFNHQSBzbWFsbCBmb3IgZ2VzdGF0aW9uYWwgYWdlPC9rZXl3b3JkPjxr
ZXl3b3JkPipCaXJ0aCBjZW50aWxlczwva2V5d29yZD48a2V5d29yZD4qQ2FyYm9oeWRyYXRlczwv
a2V5d29yZD48a2V5d29yZD4qRGlldHM8L2tleXdvcmQ+PGtleXdvcmQ+KkZhdHM8L2tleXdvcmQ+
PGtleXdvcmQ+Kk1hY3JvbnV0cmllbnRzPC9rZXl3b3JkPjxrZXl3b3JkPipQcmVnbmFuY3k8L2tl
eXdvcmQ+PGtleXdvcmQ+KlByb3RlaW5zPC9rZXl3b3JkPjwva2V5d29yZHM+PGRhdGVzPjx5ZWFy
PjIwMTg8L3llYXI+PHB1Yi1kYXRlcz48ZGF0ZT5GZWI8L2RhdGU+PC9wdWItZGF0ZXM+PC9kYXRl
cz48aXNibj4xNDc1LTI2NjIgKEVsZWN0cm9uaWMpJiN4RDswMDA3LTExNDUgKExpbmtpbmcpPC9p
c2JuPjxhY2Nlc3Npb24tbnVtPjI5MzE2OTkxPC9hY2Nlc3Npb24tbnVtPjx1cmxzPjxyZWxhdGVk
LXVybHM+PHVybD5odHRwczovL3d3dy5uY2JpLm5sbS5uaWguZ292L3B1Ym1lZC8yOTMxNjk5MTwv
dXJsPjwvcmVsYXRlZC11cmxzPjwvdXJscz48ZWxlY3Ryb25pYy1yZXNvdXJjZS1udW0+MTAuMTAx
Ny9TMDAwNzExNDUxNzAwMzYwOTwvZWxlY3Ryb25pYy1yZXNvdXJjZS1udW0+PC9yZWNvcmQ+PC9D
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93</w:t>
            </w:r>
            <w:r w:rsidR="00774750">
              <w:fldChar w:fldCharType="end"/>
            </w:r>
          </w:p>
          <w:p w14:paraId="55D3444C" w14:textId="77777777" w:rsidR="00520621" w:rsidRPr="00AD3F1B" w:rsidRDefault="00520621" w:rsidP="00D44590">
            <w:r w:rsidRPr="00AD3F1B">
              <w:t>United Kingdom</w:t>
            </w:r>
          </w:p>
          <w:p w14:paraId="24EFEB4E" w14:textId="77777777" w:rsidR="00520621" w:rsidRPr="00AD3F1B" w:rsidRDefault="00520621" w:rsidP="00D44590">
            <w:r w:rsidRPr="00AD3F1B">
              <w:t>Cohort</w:t>
            </w:r>
          </w:p>
        </w:tc>
        <w:tc>
          <w:tcPr>
            <w:tcW w:w="1283" w:type="dxa"/>
          </w:tcPr>
          <w:p w14:paraId="2322E50E" w14:textId="77777777" w:rsidR="00520621" w:rsidRPr="00AD3F1B" w:rsidRDefault="00520621" w:rsidP="00D44590">
            <w:r w:rsidRPr="00AD3F1B">
              <w:t>1,196</w:t>
            </w:r>
          </w:p>
        </w:tc>
        <w:tc>
          <w:tcPr>
            <w:tcW w:w="4535" w:type="dxa"/>
          </w:tcPr>
          <w:p w14:paraId="0CBA1C23" w14:textId="77777777" w:rsidR="00520621" w:rsidRPr="00AD3F1B" w:rsidRDefault="00520621" w:rsidP="00D44590">
            <w:r w:rsidRPr="00AD3F1B">
              <w:rPr>
                <w:b/>
              </w:rPr>
              <w:t xml:space="preserve">Aim: </w:t>
            </w:r>
            <w:r w:rsidRPr="00AD3F1B">
              <w:t>To</w:t>
            </w:r>
            <w:r w:rsidRPr="00AD3F1B">
              <w:rPr>
                <w:b/>
              </w:rPr>
              <w:t xml:space="preserve"> </w:t>
            </w:r>
            <w:r w:rsidRPr="00AD3F1B">
              <w:t xml:space="preserve">investigate the association between maternal dietary macronutrient intakes and their sub-components such as saccharides and fatty acids and birth weight. </w:t>
            </w:r>
          </w:p>
          <w:p w14:paraId="5AD61A38" w14:textId="77777777" w:rsidR="00520621" w:rsidRPr="00AD3F1B" w:rsidRDefault="00520621" w:rsidP="00D44590">
            <w:pPr>
              <w:rPr>
                <w:b/>
              </w:rPr>
            </w:pPr>
            <w:r w:rsidRPr="00AD3F1B">
              <w:rPr>
                <w:b/>
              </w:rPr>
              <w:t>Methods</w:t>
            </w:r>
            <w:r w:rsidRPr="00AD3F1B">
              <w:t>: Women were interviewed in each trimester. Dietary information was collected twice using a 24-h dietary recall about 8-12 weeks and 13-27 weeks of gestation.</w:t>
            </w:r>
          </w:p>
        </w:tc>
        <w:tc>
          <w:tcPr>
            <w:tcW w:w="4534" w:type="dxa"/>
          </w:tcPr>
          <w:p w14:paraId="069C1526" w14:textId="2CC646E4" w:rsidR="00520621" w:rsidRPr="00520621" w:rsidRDefault="00520621" w:rsidP="00F92CA3">
            <w:r w:rsidRPr="00AD3F1B">
              <w:t>An additional 10 g/d fat intake was associated with a lower birth weight of 8 g (95 % CI 0, 16; P=0.04).</w:t>
            </w:r>
            <w:r w:rsidRPr="00520621">
              <w:t xml:space="preserve"> </w:t>
            </w:r>
          </w:p>
        </w:tc>
        <w:tc>
          <w:tcPr>
            <w:tcW w:w="1842" w:type="dxa"/>
          </w:tcPr>
          <w:p w14:paraId="2CE40A54" w14:textId="77777777" w:rsidR="00520621" w:rsidRPr="00C8357D" w:rsidRDefault="00520621" w:rsidP="00D44590"/>
        </w:tc>
      </w:tr>
      <w:tr w:rsidR="00712FE1" w:rsidRPr="007B3A77" w14:paraId="5E2AFD41" w14:textId="77777777" w:rsidTr="00A3593E">
        <w:trPr>
          <w:cantSplit/>
          <w:trHeight w:val="390"/>
        </w:trPr>
        <w:tc>
          <w:tcPr>
            <w:tcW w:w="1698" w:type="dxa"/>
          </w:tcPr>
          <w:p w14:paraId="7BDA463A" w14:textId="202379BC" w:rsidR="00712FE1" w:rsidRDefault="00712FE1" w:rsidP="006E7719">
            <w:r>
              <w:t>Mizgier et al 2019</w:t>
            </w:r>
            <w:r w:rsidR="003E2D58">
              <w:fldChar w:fldCharType="begin"/>
            </w:r>
            <w:r w:rsidR="002747EA">
              <w:instrText xml:space="preserve"> ADDIN EN.CITE &lt;EndNote&gt;&lt;Cite&gt;&lt;Author&gt;Mizgier&lt;/Author&gt;&lt;Year&gt;2019&lt;/Year&gt;&lt;RecNum&gt;1466&lt;/RecNum&gt;&lt;DisplayText&gt;&lt;style face="superscript" font="Trebuchet MS" size="9"&gt;98&lt;/style&gt;&lt;/DisplayText&gt;&lt;record&gt;&lt;rec-number&gt;1466&lt;/rec-number&gt;&lt;foreign-keys&gt;&lt;key app="EN" db-id="exvasrfx2dtraoesasxp2szsxa2df502592x" timestamp="1574039617"&gt;1466&lt;/key&gt;&lt;key app="ENWeb" db-id=""&gt;0&lt;/key&gt;&lt;/foreign-keys&gt;&lt;ref-type name="Journal Article"&gt;17&lt;/ref-type&gt;&lt;contributors&gt;&lt;authors&gt;&lt;author&gt;Mizgier, M.,&lt;/author&gt;&lt;author&gt;Jarzabek-Bielecka, G.,&lt;/author&gt;&lt;author&gt;Mruczyk, K.,&lt;/author&gt;&lt;/authors&gt;&lt;/contributors&gt;&lt;titles&gt;&lt;title&gt;Maternal diet and gestational diabetes mellitus development&lt;/title&gt;&lt;secondary-title&gt;J Maternal-Fetal Neonat Med&lt;/secondary-title&gt;&lt;/titles&gt;&lt;periodical&gt;&lt;full-title&gt;J Maternal-Fetal Neonat Med&lt;/full-title&gt;&lt;/periodical&gt;&lt;pages&gt;1-10&lt;/pages&gt;&lt;section&gt;1&lt;/section&gt;&lt;dates&gt;&lt;year&gt;2019&lt;/year&gt;&lt;/dates&gt;&lt;isbn&gt;1476-7058&amp;#xD;1476-4954&lt;/isbn&gt;&lt;urls&gt;&lt;/urls&gt;&lt;electronic-resource-num&gt;10.1080/14767058.2019.1598364&lt;/electronic-resource-num&gt;&lt;/record&gt;&lt;/Cite&gt;&lt;/EndNote&gt;</w:instrText>
            </w:r>
            <w:r w:rsidR="003E2D58">
              <w:fldChar w:fldCharType="separate"/>
            </w:r>
            <w:r w:rsidR="002747EA" w:rsidRPr="002747EA">
              <w:rPr>
                <w:noProof/>
                <w:vertAlign w:val="superscript"/>
              </w:rPr>
              <w:t>98</w:t>
            </w:r>
            <w:r w:rsidR="003E2D58">
              <w:fldChar w:fldCharType="end"/>
            </w:r>
          </w:p>
          <w:p w14:paraId="7FC52616" w14:textId="77777777" w:rsidR="00712FE1" w:rsidRDefault="00712FE1" w:rsidP="006E7719">
            <w:r>
              <w:t>Poland</w:t>
            </w:r>
          </w:p>
          <w:p w14:paraId="4953267C" w14:textId="77777777" w:rsidR="00712FE1" w:rsidRDefault="00712FE1" w:rsidP="006E7719">
            <w:r>
              <w:t>Cohort</w:t>
            </w:r>
          </w:p>
        </w:tc>
        <w:tc>
          <w:tcPr>
            <w:tcW w:w="1283" w:type="dxa"/>
          </w:tcPr>
          <w:p w14:paraId="15F82CB4" w14:textId="77777777" w:rsidR="00712FE1" w:rsidRDefault="00712FE1" w:rsidP="006E7719">
            <w:r>
              <w:t>55 women</w:t>
            </w:r>
          </w:p>
        </w:tc>
        <w:tc>
          <w:tcPr>
            <w:tcW w:w="4535" w:type="dxa"/>
          </w:tcPr>
          <w:p w14:paraId="6CD7BE12" w14:textId="77777777" w:rsidR="00712FE1" w:rsidRDefault="00712FE1" w:rsidP="006E7719">
            <w:r>
              <w:rPr>
                <w:b/>
              </w:rPr>
              <w:t xml:space="preserve">Aim: </w:t>
            </w:r>
            <w:r>
              <w:t>T</w:t>
            </w:r>
            <w:r w:rsidRPr="00736824">
              <w:t>o show the relationship between maternal</w:t>
            </w:r>
            <w:r>
              <w:t xml:space="preserve"> </w:t>
            </w:r>
            <w:r w:rsidRPr="00736824">
              <w:t>eating habits and the risk of developing gestational diabetes mellitus (GDM).</w:t>
            </w:r>
            <w:r>
              <w:t xml:space="preserve"> </w:t>
            </w:r>
          </w:p>
          <w:p w14:paraId="2BA399B9" w14:textId="77777777" w:rsidR="00712FE1" w:rsidRDefault="00712FE1" w:rsidP="006E7719">
            <w:pPr>
              <w:rPr>
                <w:b/>
              </w:rPr>
            </w:pPr>
            <w:r w:rsidRPr="00736824">
              <w:rPr>
                <w:b/>
              </w:rPr>
              <w:t>Methods</w:t>
            </w:r>
            <w:r w:rsidRPr="00736824">
              <w:t xml:space="preserve">: </w:t>
            </w:r>
            <w:r>
              <w:t>N</w:t>
            </w:r>
            <w:r w:rsidRPr="00736824">
              <w:t>utrition was evaluated using a three-day</w:t>
            </w:r>
            <w:r>
              <w:t xml:space="preserve"> </w:t>
            </w:r>
            <w:r w:rsidRPr="00736824">
              <w:t>food record and food frequency questionnaire (FFQ) and nutrition of 12 months before pregnancy</w:t>
            </w:r>
            <w:r>
              <w:t xml:space="preserve"> </w:t>
            </w:r>
            <w:r w:rsidRPr="00736824">
              <w:t xml:space="preserve">was assessed only by means of the FFQ. The </w:t>
            </w:r>
            <w:r>
              <w:t>women</w:t>
            </w:r>
            <w:r w:rsidRPr="00736824">
              <w:t xml:space="preserve"> were divided into groups: H – with</w:t>
            </w:r>
            <w:r>
              <w:t xml:space="preserve"> uncomplicated pregnancy (n=</w:t>
            </w:r>
            <w:r w:rsidRPr="00736824">
              <w:t>42) and GDM – with g</w:t>
            </w:r>
            <w:r>
              <w:t>estational diabetes mellitus (n=</w:t>
            </w:r>
            <w:r w:rsidRPr="00736824">
              <w:t>13), based</w:t>
            </w:r>
            <w:r>
              <w:t xml:space="preserve"> </w:t>
            </w:r>
            <w:r w:rsidRPr="00736824">
              <w:t>on oral glucose tolerance test (OGTT) results performed between 24 and 28 weeks.</w:t>
            </w:r>
          </w:p>
        </w:tc>
        <w:tc>
          <w:tcPr>
            <w:tcW w:w="4534" w:type="dxa"/>
          </w:tcPr>
          <w:p w14:paraId="3E4D1850" w14:textId="5E51808F" w:rsidR="00712FE1" w:rsidRPr="003A3C7D" w:rsidRDefault="00712FE1" w:rsidP="00712FE1">
            <w:r w:rsidRPr="00736824">
              <w:t>Significant differences were found between groups H and GDM in terms of daily fat</w:t>
            </w:r>
            <w:r>
              <w:t xml:space="preserve"> </w:t>
            </w:r>
            <w:r w:rsidRPr="00736824">
              <w:t>intake (32.1 versus 36.2%) and dietary reference values (standards) for total fat, monosaturated</w:t>
            </w:r>
            <w:r>
              <w:t xml:space="preserve"> </w:t>
            </w:r>
            <w:r w:rsidRPr="00736824">
              <w:t>fatty acids (MUFA), and polysaturated fatty acids (PUFA). In the GDM group, the coverage of</w:t>
            </w:r>
            <w:r>
              <w:t xml:space="preserve"> </w:t>
            </w:r>
            <w:r w:rsidRPr="00736824">
              <w:t xml:space="preserve">standards for total fat, </w:t>
            </w:r>
            <w:r w:rsidR="00501148" w:rsidRPr="00736824">
              <w:t>saturated</w:t>
            </w:r>
            <w:r w:rsidRPr="00736824">
              <w:t xml:space="preserve"> fatty acids (SFA) and MUFA exceeded the recommended values.</w:t>
            </w:r>
            <w:r>
              <w:t xml:space="preserve"> H</w:t>
            </w:r>
            <w:r w:rsidRPr="00736824">
              <w:t>igher intake of energy from total fat and saturated fatty</w:t>
            </w:r>
            <w:r>
              <w:t xml:space="preserve"> </w:t>
            </w:r>
            <w:r w:rsidRPr="00736824">
              <w:t>acid in the first half of pregnancy and before pregnancy may contribute to an increased risk of</w:t>
            </w:r>
            <w:r>
              <w:t xml:space="preserve"> </w:t>
            </w:r>
            <w:r w:rsidRPr="00736824">
              <w:t>developing GDM.</w:t>
            </w:r>
            <w:r>
              <w:t xml:space="preserve"> </w:t>
            </w:r>
          </w:p>
        </w:tc>
        <w:tc>
          <w:tcPr>
            <w:tcW w:w="1842" w:type="dxa"/>
          </w:tcPr>
          <w:p w14:paraId="2EAA8131" w14:textId="289B3470" w:rsidR="00712FE1" w:rsidRPr="007B3A77" w:rsidRDefault="00712FE1" w:rsidP="006E7719"/>
        </w:tc>
      </w:tr>
      <w:tr w:rsidR="0012198B" w:rsidRPr="00343DBA" w14:paraId="5DA12CD5" w14:textId="77777777" w:rsidTr="00A3593E">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698" w:type="dxa"/>
            <w:tcBorders>
              <w:top w:val="single" w:sz="4" w:space="0" w:color="auto"/>
              <w:left w:val="single" w:sz="4" w:space="0" w:color="auto"/>
              <w:bottom w:val="single" w:sz="4" w:space="0" w:color="auto"/>
              <w:right w:val="single" w:sz="4" w:space="0" w:color="auto"/>
            </w:tcBorders>
          </w:tcPr>
          <w:p w14:paraId="79288DC2" w14:textId="698A5B32" w:rsidR="0012198B" w:rsidRDefault="004C463B" w:rsidP="00767EBF">
            <w:r>
              <w:t>Ozawa et al 2014</w:t>
            </w:r>
            <w:r w:rsidR="00767EBF">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 </w:instrText>
            </w:r>
            <w:r w:rsidR="002747EA">
              <w:fldChar w:fldCharType="begin">
                <w:fldData xml:space="preserve">PEVuZE5vdGU+PENpdGU+PEF1dGhvcj5PemF3YTwvQXV0aG9yPjxZZWFyPjIwMTQ8L1llYXI+PFJl
Y051bT4xMzcxPC9SZWNOdW0+PERpc3BsYXlUZXh0PjxzdHlsZSBmYWNlPSJzdXBlcnNjcmlwdCIg
Zm9udD0iVHJlYnVjaGV0IE1TIiBzaXplPSI5Ij44Mzwvc3R5bGU+PC9EaXNwbGF5VGV4dD48cmVj
b3JkPjxyZWMtbnVtYmVyPjEzNzE8L3JlYy1udW1iZXI+PGZvcmVpZ24ta2V5cz48a2V5IGFwcD0i
RU4iIGRiLWlkPSJleHZhc3JmeDJkdHJhb2VzYXN4cDJzenN4YTJkZjUwMjU5MngiIHRpbWVzdGFt
cD0iMTU2NzAzMTA5MSI+MTM3MTwva2V5PjxrZXkgYXBwPSJFTldlYiIgZGItaWQ9IiI+MDwva2V5
PjwvZm9yZWlnbi1rZXlzPjxyZWYtdHlwZSBuYW1lPSJKb3VybmFsIEFydGljbGUiPjE3PC9yZWYt
dHlwZT48Y29udHJpYnV0b3JzPjxhdXRob3JzPjxhdXRob3I+T3phd2EsIE4uPC9hdXRob3I+PGF1
dGhvcj5TaGltb2pvLCBOLjwvYXV0aG9yPjxhdXRob3I+U3V6dWtpLCBZLjwvYXV0aG9yPjxhdXRo
b3I+T2NoaWFpLCBTLjwvYXV0aG9yPjxhdXRob3I+TmFrYW5vLCBULjwvYXV0aG9yPjxhdXRob3I+
TW9yaXRhLCBZLjwvYXV0aG9yPjxhdXRob3I+SW5vdWUsIFkuPC9hdXRob3I+PGF1dGhvcj5Bcmlt
YSwgVC48L2F1dGhvcj48YXV0aG9yPlN1enVraSwgUy48L2F1dGhvcj48YXV0aG9yPktvaG5vLCBZ
LjwvYXV0aG9yPjwvYXV0aG9ycz48L2NvbnRyaWJ1dG9ycz48YXV0aC1hZGRyZXNzPkRlcGFydG1l
bnQgb2YgUGVkaWF0cmljcywgR3JhZHVhdGUgU2Nob29sIG9mIE1lZGljaW5lLCBDaGliYSBVbml2
ZXJzaXR5LCBDaGliYSwgSmFwYW4uJiN4RDtEZXBhcnRtZW50IG9mIFB1YmxpYyBIZWFsdGgsIEdy
YWR1YXRlIFNjaG9vbCBvZiBNZWRpY2luZSwgQ2hpYmEgVW5pdmVyc2l0eSwgQ2hpYmEsIEphcGFu
LiYjeEQ7RGVwYXJ0bWVudCBvZiBCaW9lbnZpcm9ubWVudGFsIE1lZGljaW5lLCBHcmFkdWF0ZSBT
Y2hvb2wgb2YgTWVkaWNpbmUsIENoaWJhIFVuaXZlcnNpdHksIENoaWJhLCBKYXBhbi4mI3hEO0Rl
cGFydG1lbnQgb2YgUGVkaWF0cmljcywgTmF0aW9uYWwgU2ltb3NoaXp1IEhvc3BpdGFsLCBDaGli
YSwgSmFwYW4uPC9hdXRoLWFkZHJlc3M+PHRpdGxlcz48dGl0bGU+TWF0ZXJuYWwgaW50YWtlIG9m
IE5hdHRvLCBhIEphcGFuJmFwb3M7cyB0cmFkaXRpb25hbCBmZXJtZW50ZWQgc295YmVhbiBmb29k
LCBkdXJpbmcgcHJlZ25hbmN5IGFuZCB0aGUgcmlzayBvZiBlY3plbWEgaW4gSmFwYW5lc2UgYmFi
aWVzPC90aXRsZT48c2Vjb25kYXJ5LXRpdGxlPkFsbGVyZ29sIEludDwvc2Vjb25kYXJ5LXRpdGxl
PjwvdGl0bGVzPjxwZXJpb2RpY2FsPjxmdWxsLXRpdGxlPkFsbGVyZ29sIEludDwvZnVsbC10aXRs
ZT48L3BlcmlvZGljYWw+PHBhZ2VzPjI2MS02PC9wYWdlcz48dm9sdW1lPjYzPC92b2x1bWU+PG51
bWJlcj4yPC9udW1iZXI+PGVkaXRpb24+MjAxNC8wNC8yNTwvZWRpdGlvbj48a2V5d29yZHM+PGtl
eXdvcmQ+QWR1bHQ8L2tleXdvcmQ+PGtleXdvcmQ+RGlldCBTdXJ2ZXlzPC9rZXl3b3JkPjxrZXl3
b3JkPkVjemVtYS8qZXBpZGVtaW9sb2d5LypldGlvbG9neTwva2V5d29yZD48a2V5d29yZD5GZWVk
aW5nIEJlaGF2aW9yPC9rZXl3b3JkPjxrZXl3b3JkPkZlbWFsZTwva2V5d29yZD48a2V5d29yZD5I
ZWFsdGggU3VydmV5czwva2V5d29yZD48a2V5d29yZD5IdW1hbnM8L2tleXdvcmQ+PGtleXdvcmQ+
SW5jaWRlbmNlPC9rZXl3b3JkPjxrZXl3b3JkPkluZmFudDwva2V5d29yZD48a2V5d29yZD5JbmZh
bnQsIE5ld2Jvcm48L2tleXdvcmQ+PGtleXdvcmQ+TWFsZTwva2V5d29yZD48a2V5d29yZD4qTWF0
ZXJuYWwgRXhwb3N1cmU8L2tleXdvcmQ+PGtleXdvcmQ+T2RkcyBSYXRpbzwva2V5d29yZD48a2V5
d29yZD5QcmVnbmFuY3k8L2tleXdvcmQ+PGtleXdvcmQ+KlByZW5hdGFsIEV4cG9zdXJlIERlbGF5
ZWQgRWZmZWN0czwva2V5d29yZD48a2V5d29yZD5Qcm9zcGVjdGl2ZSBTdHVkaWVzPC9rZXl3b3Jk
PjxrZXl3b3JkPlNveSBGb29kcy8qYWR2ZXJzZSBlZmZlY3RzPC9rZXl3b3JkPjxrZXl3b3JkPlN1
cnZleXMgYW5kIFF1ZXN0aW9ubmFpcmVzPC9rZXl3b3JkPjwva2V5d29yZHM+PGRhdGVzPjx5ZWFy
PjIwMTQ8L3llYXI+PHB1Yi1kYXRlcz48ZGF0ZT5KdW48L2RhdGU+PC9wdWItZGF0ZXM+PC9kYXRl
cz48aXNibj4xNDQwLTE1OTIgKEVsZWN0cm9uaWMpJiN4RDsxMzIzLTg5MzAgKExpbmtpbmcpPC9p
c2JuPjxhY2Nlc3Npb24tbnVtPjI0NzU5NTUzPC9hY2Nlc3Npb24tbnVtPjx1cmxzPjxyZWxhdGVk
LXVybHM+PHVybD5odHRwczovL3d3dy5uY2JpLm5sbS5uaWguZ292L3B1Ym1lZC8yNDc1OTU1Mzwv
dXJsPjwvcmVsYXRlZC11cmxzPjwvdXJscz48ZWxlY3Ryb25pYy1yZXNvdXJjZS1udW0+MTAuMjMz
Mi9hbGxlcmdvbGludC4xMy1PQS0wNjEzPC9lbGVjdHJvbmljLXJlc291cmNlLW51bT48L3JlY29y
ZD48L0NpdGU+PC9FbmROb3RlPn==
</w:fldData>
              </w:fldChar>
            </w:r>
            <w:r w:rsidR="002747EA">
              <w:instrText xml:space="preserve"> ADDIN EN.CITE.DATA </w:instrText>
            </w:r>
            <w:r w:rsidR="002747EA">
              <w:fldChar w:fldCharType="end"/>
            </w:r>
            <w:r w:rsidR="00767EBF">
              <w:fldChar w:fldCharType="separate"/>
            </w:r>
            <w:r w:rsidR="002747EA" w:rsidRPr="002747EA">
              <w:rPr>
                <w:noProof/>
                <w:vertAlign w:val="superscript"/>
              </w:rPr>
              <w:t>83</w:t>
            </w:r>
            <w:r w:rsidR="00767EBF">
              <w:fldChar w:fldCharType="end"/>
            </w:r>
          </w:p>
          <w:p w14:paraId="7074EA26" w14:textId="77777777" w:rsidR="00712FE1" w:rsidRDefault="00712FE1" w:rsidP="00767EBF">
            <w:r>
              <w:t>Cohort</w:t>
            </w:r>
          </w:p>
          <w:p w14:paraId="4BA773F4" w14:textId="5047A8EB" w:rsidR="00E366B1" w:rsidRDefault="00E366B1" w:rsidP="00767EBF">
            <w:r>
              <w:t>Japan</w:t>
            </w:r>
          </w:p>
        </w:tc>
        <w:tc>
          <w:tcPr>
            <w:tcW w:w="1283" w:type="dxa"/>
            <w:tcBorders>
              <w:top w:val="single" w:sz="4" w:space="0" w:color="auto"/>
              <w:left w:val="single" w:sz="4" w:space="0" w:color="auto"/>
              <w:bottom w:val="single" w:sz="4" w:space="0" w:color="auto"/>
              <w:right w:val="single" w:sz="4" w:space="0" w:color="auto"/>
            </w:tcBorders>
          </w:tcPr>
          <w:p w14:paraId="721828B6" w14:textId="145986BA" w:rsidR="0012198B" w:rsidRDefault="004C463B" w:rsidP="00F20A8C">
            <w:r w:rsidRPr="004C463B">
              <w:t>650 mother-baby pairs</w:t>
            </w:r>
          </w:p>
        </w:tc>
        <w:tc>
          <w:tcPr>
            <w:tcW w:w="4535" w:type="dxa"/>
            <w:tcBorders>
              <w:top w:val="single" w:sz="4" w:space="0" w:color="auto"/>
              <w:left w:val="single" w:sz="4" w:space="0" w:color="auto"/>
              <w:bottom w:val="single" w:sz="4" w:space="0" w:color="auto"/>
              <w:right w:val="single" w:sz="4" w:space="0" w:color="auto"/>
            </w:tcBorders>
          </w:tcPr>
          <w:p w14:paraId="03199667" w14:textId="77777777" w:rsidR="004C463B" w:rsidRDefault="004C463B" w:rsidP="004C463B">
            <w:r w:rsidRPr="004C463B">
              <w:rPr>
                <w:b/>
              </w:rPr>
              <w:t>Aim</w:t>
            </w:r>
            <w:r>
              <w:t>: T</w:t>
            </w:r>
            <w:r w:rsidRPr="004C463B">
              <w:t xml:space="preserve">o investigate the association between the maternal diet during pregnancy and the risk of eczema in infancy in Japan. </w:t>
            </w:r>
          </w:p>
          <w:p w14:paraId="23DEBC7D" w14:textId="102229A7" w:rsidR="0012198B" w:rsidRPr="005C39B9" w:rsidRDefault="004C463B" w:rsidP="0079448D">
            <w:pPr>
              <w:rPr>
                <w:b/>
              </w:rPr>
            </w:pPr>
            <w:r w:rsidRPr="004C463B">
              <w:rPr>
                <w:b/>
              </w:rPr>
              <w:t>Methods</w:t>
            </w:r>
            <w:r w:rsidRPr="004C463B">
              <w:t xml:space="preserve">: A birth cohort was set up at 2 hospitals in Chiba city. Dietary habits concerning fish, butter, margarine, yogurt and natto during pregnancy was obtained from mothers just after delivery. The intake frequencies of these foods were classified into four groups: 1) daily, 2) 2-3 times a week, 3) once a week and 4) once a month or less. Diagnosis of eczema at 6 months of age was made by the presence of an itchy rash that persisted more than two months. </w:t>
            </w:r>
          </w:p>
        </w:tc>
        <w:tc>
          <w:tcPr>
            <w:tcW w:w="4534" w:type="dxa"/>
            <w:tcBorders>
              <w:top w:val="single" w:sz="4" w:space="0" w:color="auto"/>
              <w:left w:val="single" w:sz="4" w:space="0" w:color="auto"/>
              <w:bottom w:val="single" w:sz="4" w:space="0" w:color="auto"/>
              <w:right w:val="single" w:sz="4" w:space="0" w:color="auto"/>
            </w:tcBorders>
          </w:tcPr>
          <w:p w14:paraId="02FFFDBA" w14:textId="156B098A" w:rsidR="004C463B" w:rsidRPr="004C463B" w:rsidRDefault="004C463B" w:rsidP="004C463B">
            <w:r w:rsidRPr="004C463B">
              <w:t xml:space="preserve">No relationship between frequencies of the maternal intake of margarine </w:t>
            </w:r>
            <w:r w:rsidR="00BD2974">
              <w:t xml:space="preserve">(p=0.368) </w:t>
            </w:r>
            <w:r w:rsidRPr="004C463B">
              <w:t>during pregnancy and the onset rate of the babies' eczema were observed</w:t>
            </w:r>
          </w:p>
          <w:p w14:paraId="32F1D051" w14:textId="1AA851B7" w:rsidR="0012198B" w:rsidRPr="004C463B" w:rsidRDefault="004C463B" w:rsidP="00BD2974">
            <w:r w:rsidRPr="004C463B">
              <w:t>For butter consumption, the incidence of babies' eczema was significantly higher in the group with daily intake than in those with an intake 2-3 times a week or less (p</w:t>
            </w:r>
            <w:r w:rsidR="00162E95">
              <w:t>=</w:t>
            </w:r>
            <w:r w:rsidRPr="004C463B">
              <w:t xml:space="preserve">0.044). </w:t>
            </w:r>
          </w:p>
        </w:tc>
        <w:tc>
          <w:tcPr>
            <w:tcW w:w="1842" w:type="dxa"/>
            <w:tcBorders>
              <w:top w:val="single" w:sz="4" w:space="0" w:color="auto"/>
              <w:left w:val="single" w:sz="4" w:space="0" w:color="auto"/>
              <w:bottom w:val="single" w:sz="4" w:space="0" w:color="auto"/>
              <w:right w:val="single" w:sz="4" w:space="0" w:color="auto"/>
            </w:tcBorders>
          </w:tcPr>
          <w:p w14:paraId="01D18327" w14:textId="653787E0" w:rsidR="0012198B" w:rsidRDefault="0012198B" w:rsidP="00F20A8C"/>
        </w:tc>
      </w:tr>
    </w:tbl>
    <w:p w14:paraId="479F4EB9" w14:textId="59DB2F5F" w:rsidR="00EC6E65" w:rsidRDefault="009C163D" w:rsidP="005719CE">
      <w:pPr>
        <w:pStyle w:val="TableName"/>
        <w:ind w:left="1134" w:hanging="1134"/>
      </w:pPr>
      <w:bookmarkStart w:id="67" w:name="_Toc40956607"/>
      <w:r>
        <w:t xml:space="preserve">Q2 </w:t>
      </w:r>
      <w:r w:rsidR="007B1D24">
        <w:t>C</w:t>
      </w:r>
      <w:r w:rsidR="00EC6E65">
        <w:t>onsumption of sweetened foods and beverages during pregnancy</w:t>
      </w:r>
      <w:bookmarkEnd w:id="6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29: Q2 Consumption of sweetened foods and beverages during pregnancy"/>
      </w:tblPr>
      <w:tblGrid>
        <w:gridCol w:w="1564"/>
        <w:gridCol w:w="1417"/>
        <w:gridCol w:w="4535"/>
        <w:gridCol w:w="4534"/>
        <w:gridCol w:w="1842"/>
      </w:tblGrid>
      <w:tr w:rsidR="00EC6E65" w:rsidRPr="00F350A6" w14:paraId="38B31629" w14:textId="77777777" w:rsidTr="00D21A32">
        <w:trPr>
          <w:cantSplit/>
          <w:trHeight w:val="390"/>
          <w:tblHeader/>
        </w:trPr>
        <w:tc>
          <w:tcPr>
            <w:tcW w:w="1564" w:type="dxa"/>
          </w:tcPr>
          <w:p w14:paraId="459BF6AF" w14:textId="77777777" w:rsidR="00EC6E65" w:rsidRPr="00F350A6" w:rsidRDefault="00EC6E65" w:rsidP="00F20A8C">
            <w:pPr>
              <w:keepNext/>
              <w:rPr>
                <w:b/>
              </w:rPr>
            </w:pPr>
            <w:r>
              <w:rPr>
                <w:b/>
              </w:rPr>
              <w:t>Study ref</w:t>
            </w:r>
          </w:p>
        </w:tc>
        <w:tc>
          <w:tcPr>
            <w:tcW w:w="1417" w:type="dxa"/>
          </w:tcPr>
          <w:p w14:paraId="0B536B7F" w14:textId="77777777" w:rsidR="00EC6E65" w:rsidRPr="00F350A6" w:rsidRDefault="00EC6E65" w:rsidP="00F20A8C">
            <w:pPr>
              <w:keepNext/>
              <w:rPr>
                <w:b/>
              </w:rPr>
            </w:pPr>
            <w:r>
              <w:rPr>
                <w:b/>
              </w:rPr>
              <w:t>N</w:t>
            </w:r>
          </w:p>
        </w:tc>
        <w:tc>
          <w:tcPr>
            <w:tcW w:w="4535" w:type="dxa"/>
          </w:tcPr>
          <w:p w14:paraId="1A4FAB66" w14:textId="77777777" w:rsidR="00EC6E65" w:rsidRPr="00F350A6" w:rsidRDefault="00EC6E65" w:rsidP="00F20A8C">
            <w:pPr>
              <w:keepNext/>
              <w:rPr>
                <w:b/>
              </w:rPr>
            </w:pPr>
            <w:r>
              <w:rPr>
                <w:b/>
              </w:rPr>
              <w:t>Aim/methods</w:t>
            </w:r>
          </w:p>
        </w:tc>
        <w:tc>
          <w:tcPr>
            <w:tcW w:w="4534" w:type="dxa"/>
          </w:tcPr>
          <w:p w14:paraId="7D6F2DBC" w14:textId="77777777" w:rsidR="00EC6E65" w:rsidRPr="00F350A6" w:rsidRDefault="00EC6E65" w:rsidP="00F20A8C">
            <w:pPr>
              <w:keepNext/>
              <w:rPr>
                <w:b/>
              </w:rPr>
            </w:pPr>
            <w:r>
              <w:rPr>
                <w:b/>
              </w:rPr>
              <w:t>Results</w:t>
            </w:r>
          </w:p>
        </w:tc>
        <w:tc>
          <w:tcPr>
            <w:tcW w:w="1842" w:type="dxa"/>
          </w:tcPr>
          <w:p w14:paraId="2D3A82A7" w14:textId="77777777" w:rsidR="00EC6E65" w:rsidRPr="00F350A6" w:rsidRDefault="00EC6E65" w:rsidP="00F20A8C">
            <w:pPr>
              <w:keepNext/>
              <w:rPr>
                <w:b/>
              </w:rPr>
            </w:pPr>
            <w:r>
              <w:rPr>
                <w:b/>
              </w:rPr>
              <w:t>Comments</w:t>
            </w:r>
          </w:p>
        </w:tc>
      </w:tr>
      <w:tr w:rsidR="000401F6" w:rsidRPr="00F350A6" w14:paraId="3C62BDD4" w14:textId="77777777" w:rsidTr="00D21A32">
        <w:trPr>
          <w:cantSplit/>
          <w:trHeight w:val="390"/>
        </w:trPr>
        <w:tc>
          <w:tcPr>
            <w:tcW w:w="1564" w:type="dxa"/>
          </w:tcPr>
          <w:p w14:paraId="53D15130" w14:textId="5649A33E" w:rsidR="000401F6" w:rsidRPr="00F15874" w:rsidRDefault="000401F6" w:rsidP="00F20A8C">
            <w:pPr>
              <w:keepNext/>
            </w:pPr>
            <w:r w:rsidRPr="00F15874">
              <w:t>Soto et al 2015</w:t>
            </w:r>
            <w:r w:rsidR="00774750">
              <w:fldChar w:fldCharType="begin"/>
            </w:r>
            <w:r w:rsidR="002747EA">
              <w:instrText xml:space="preserve"> ADDIN EN.CITE &lt;EndNote&gt;&lt;Cite&gt;&lt;Author&gt;Soto&lt;/Author&gt;&lt;Year&gt;2015&lt;/Year&gt;&lt;RecNum&gt;1753&lt;/RecNum&gt;&lt;DisplayText&gt;&lt;style face="superscript" font="Trebuchet MS" size="9"&gt;64&lt;/style&gt;&lt;/DisplayText&gt;&lt;record&gt;&lt;rec-number&gt;1753&lt;/rec-number&gt;&lt;foreign-keys&gt;&lt;key app="EN" db-id="exvasrfx2dtraoesasxp2szsxa2df502592x" timestamp="1582757924"&gt;1753&lt;/key&gt;&lt;/foreign-keys&gt;&lt;ref-type name="Journal Article"&gt;17&lt;/ref-type&gt;&lt;contributors&gt;&lt;authors&gt;&lt;author&gt;Soto, R.&lt;/author&gt;&lt;author&gt;Guilloty, N.&lt;/author&gt;&lt;author&gt;Anzalota, L.&lt;/author&gt;&lt;author&gt;Rosario, Z.&lt;/author&gt;&lt;author&gt;Cordero, J. F.&lt;/author&gt;&lt;author&gt;Palacios, C.&lt;/author&gt;&lt;/authors&gt;&lt;/contributors&gt;&lt;titles&gt;&lt;title&gt;Association between maternal diet factors and hemoglobin levels, glucose tolerance, blood pressure and gestational age in a Hispanic population&lt;/title&gt;&lt;secondary-title&gt;Arch Latinoam Nutr&lt;/secondary-title&gt;&lt;/titles&gt;&lt;periodical&gt;&lt;full-title&gt;Arch Latinoam Nutr&lt;/full-title&gt;&lt;/periodical&gt;&lt;pages&gt;86-96&lt;/pages&gt;&lt;volume&gt;65&lt;/volume&gt;&lt;number&gt;2&lt;/number&gt;&lt;edition&gt;2016/01/29&lt;/edition&gt;&lt;keywords&gt;&lt;keyword&gt;Adolescent&lt;/keyword&gt;&lt;keyword&gt;Adult&lt;/keyword&gt;&lt;keyword&gt;Blood Glucose/*analysis&lt;/keyword&gt;&lt;keyword&gt;Blood Pressure/*physiology&lt;/keyword&gt;&lt;keyword&gt;Diabetes, Gestational/prevention &amp;amp; control&lt;/keyword&gt;&lt;keyword&gt;Dietary Supplements&lt;/keyword&gt;&lt;keyword&gt;Feeding Behavior/*physiology&lt;/keyword&gt;&lt;keyword&gt;Female&lt;/keyword&gt;&lt;keyword&gt;*Gestational Age&lt;/keyword&gt;&lt;keyword&gt;Glucose Tolerance Test&lt;/keyword&gt;&lt;keyword&gt;Hemoglobins/*analysis&lt;/keyword&gt;&lt;keyword&gt;Humans&lt;/keyword&gt;&lt;keyword&gt;Pregnancy&lt;/keyword&gt;&lt;keyword&gt;*Prenatal Nutritional Physiological Phenomena&lt;/keyword&gt;&lt;keyword&gt;Prospective Studies&lt;/keyword&gt;&lt;keyword&gt;Puerto Rico/ethnology&lt;/keyword&gt;&lt;keyword&gt;Surveys and Questionnaires&lt;/keyword&gt;&lt;keyword&gt;Young Adult&lt;/keyword&gt;&lt;/keywords&gt;&lt;dates&gt;&lt;year&gt;2015&lt;/year&gt;&lt;pub-dates&gt;&lt;date&gt;Jun&lt;/date&gt;&lt;/pub-dates&gt;&lt;/dates&gt;&lt;isbn&gt;0004-0622 (Print)&amp;#xD;0004-0622 (Linking)&lt;/isbn&gt;&lt;accession-num&gt;26817380&lt;/accession-num&gt;&lt;urls&gt;&lt;related-urls&gt;&lt;url&gt;https://www.ncbi.nlm.nih.gov/pubmed/26817380&lt;/url&gt;&lt;/related-urls&gt;&lt;/urls&gt;&lt;custom2&gt;PMC5324707&lt;/custom2&gt;&lt;/record&gt;&lt;/Cite&gt;&lt;/EndNote&gt;</w:instrText>
            </w:r>
            <w:r w:rsidR="00774750">
              <w:fldChar w:fldCharType="separate"/>
            </w:r>
            <w:r w:rsidR="002747EA" w:rsidRPr="002747EA">
              <w:rPr>
                <w:noProof/>
                <w:vertAlign w:val="superscript"/>
              </w:rPr>
              <w:t>64</w:t>
            </w:r>
            <w:r w:rsidR="00774750">
              <w:fldChar w:fldCharType="end"/>
            </w:r>
          </w:p>
          <w:p w14:paraId="202491FB" w14:textId="77777777" w:rsidR="000401F6" w:rsidRPr="00F15874" w:rsidRDefault="000401F6" w:rsidP="00F20A8C">
            <w:pPr>
              <w:keepNext/>
            </w:pPr>
            <w:r w:rsidRPr="00F15874">
              <w:t>Puerto Rico</w:t>
            </w:r>
          </w:p>
          <w:p w14:paraId="76B163C1" w14:textId="1B49ADB7" w:rsidR="000401F6" w:rsidRPr="00F15874" w:rsidRDefault="00A225E6" w:rsidP="00F20A8C">
            <w:pPr>
              <w:keepNext/>
            </w:pPr>
            <w:r w:rsidRPr="00F15874">
              <w:t>Cohort</w:t>
            </w:r>
          </w:p>
        </w:tc>
        <w:tc>
          <w:tcPr>
            <w:tcW w:w="1417" w:type="dxa"/>
          </w:tcPr>
          <w:p w14:paraId="0E4CCFFD" w14:textId="749A1547" w:rsidR="000401F6" w:rsidRPr="00F15874" w:rsidRDefault="00A225E6" w:rsidP="00DB60FC">
            <w:r w:rsidRPr="00F15874">
              <w:t>180</w:t>
            </w:r>
          </w:p>
        </w:tc>
        <w:tc>
          <w:tcPr>
            <w:tcW w:w="4535" w:type="dxa"/>
          </w:tcPr>
          <w:p w14:paraId="076C6030" w14:textId="77777777" w:rsidR="00A225E6" w:rsidRPr="00F15874" w:rsidRDefault="00A225E6" w:rsidP="00A225E6">
            <w:r w:rsidRPr="00F15874">
              <w:rPr>
                <w:b/>
              </w:rPr>
              <w:t>Aim</w:t>
            </w:r>
            <w:r w:rsidRPr="00F15874">
              <w:t xml:space="preserve">: To describe the dietary patterns of pregnant women in northern Puerto Rico and explore associations between diet factors with pregnancy related measurements. </w:t>
            </w:r>
          </w:p>
          <w:p w14:paraId="33D3CD8A" w14:textId="17165F1C" w:rsidR="000401F6" w:rsidRPr="00F15874" w:rsidRDefault="00A225E6" w:rsidP="00A225E6">
            <w:pPr>
              <w:rPr>
                <w:b/>
              </w:rPr>
            </w:pPr>
            <w:r w:rsidRPr="00F15874">
              <w:rPr>
                <w:b/>
              </w:rPr>
              <w:t>Methods</w:t>
            </w:r>
            <w:r w:rsidRPr="00F15874">
              <w:t xml:space="preserve">: Participants completed a food frequency questionnaire (FFQ) around 20-28 weeks of gestation. The following pregnancy related measures were collected from the medical records: </w:t>
            </w:r>
            <w:r w:rsidR="00501148" w:rsidRPr="00F15874">
              <w:t>haemoglobin</w:t>
            </w:r>
            <w:r w:rsidRPr="00F15874">
              <w:t xml:space="preserve">, blood glucose, blood pressure and gestational age. Potential associations between diet factors and pregnancy measures were assessed using chi square analysis with SPSS. </w:t>
            </w:r>
          </w:p>
        </w:tc>
        <w:tc>
          <w:tcPr>
            <w:tcW w:w="4534" w:type="dxa"/>
          </w:tcPr>
          <w:p w14:paraId="5F80FC8D" w14:textId="687F3B3A" w:rsidR="000401F6" w:rsidRPr="000401F6" w:rsidRDefault="000401F6" w:rsidP="00A225E6">
            <w:r w:rsidRPr="00F15874">
              <w:t>High consumption of desserts and sweets was associated with higher levels of fasting blood glucose levels (p &lt; 0.05)</w:t>
            </w:r>
            <w:r w:rsidR="00A225E6" w:rsidRPr="00F15874">
              <w:t>.</w:t>
            </w:r>
          </w:p>
        </w:tc>
        <w:tc>
          <w:tcPr>
            <w:tcW w:w="1842" w:type="dxa"/>
          </w:tcPr>
          <w:p w14:paraId="726589C2" w14:textId="77777777" w:rsidR="000401F6" w:rsidRDefault="000401F6" w:rsidP="00F20A8C">
            <w:pPr>
              <w:keepNext/>
              <w:rPr>
                <w:b/>
              </w:rPr>
            </w:pPr>
          </w:p>
        </w:tc>
      </w:tr>
      <w:tr w:rsidR="00DB60FC" w:rsidRPr="00F350A6" w14:paraId="211568A4" w14:textId="77777777" w:rsidTr="00D21A32">
        <w:trPr>
          <w:cantSplit/>
          <w:trHeight w:val="390"/>
        </w:trPr>
        <w:tc>
          <w:tcPr>
            <w:tcW w:w="1564" w:type="dxa"/>
          </w:tcPr>
          <w:p w14:paraId="642F8A6A" w14:textId="61E5ABC4" w:rsidR="00DB60FC" w:rsidRPr="002735A9" w:rsidRDefault="00DB60FC" w:rsidP="00F20A8C">
            <w:pPr>
              <w:keepNext/>
            </w:pPr>
            <w:r w:rsidRPr="002735A9">
              <w:t>Zhu et al 2017</w:t>
            </w:r>
            <w:r w:rsidR="00774750">
              <w:fldChar w:fldCharType="begin">
                <w:fldData xml:space="preserve">PEVuZE5vdGU+PENpdGU+PEF1dGhvcj5aaHU8L0F1dGhvcj48WWVhcj4yMDE3PC9ZZWFyPjxSZWNO
dW0+MTc1MTwvUmVjTnVtPjxEaXNwbGF5VGV4dD48c3R5bGUgZmFjZT0ic3VwZXJzY3JpcHQiIGZv
bnQ9IlRyZWJ1Y2hldCBNUyIgc2l6ZT0iOSI+MTAzPC9zdHlsZT48L0Rpc3BsYXlUZXh0PjxyZWNv
cmQ+PHJlYy1udW1iZXI+MTc1MTwvcmVjLW51bWJlcj48Zm9yZWlnbi1rZXlzPjxrZXkgYXBwPSJF
TiIgZGItaWQ9ImV4dmFzcmZ4MmR0cmFvZXNhc3hwMnN6c3hhMmRmNTAyNTkyeCIgdGltZXN0YW1w
PSIxNTgyNTA2Mzc0Ij4xNzUxPC9rZXk+PGtleSBhcHA9IkVOV2ViIiBkYi1pZD0iIj4wPC9rZXk+
PC9mb3JlaWduLWtleXM+PHJlZi10eXBlIG5hbWU9IkpvdXJuYWwgQXJ0aWNsZSI+MTc8L3JlZi10
eXBlPjxjb250cmlidXRvcnM+PGF1dGhvcnM+PGF1dGhvcj5aaHUsIFkuPC9hdXRob3I+PGF1dGhv
cj5PbHNlbiwgUy4gRi48L2F1dGhvcj48YXV0aG9yPk1lbmRvbGEsIFAuPC9hdXRob3I+PGF1dGhv
cj5IYWxsZG9yc3NvbiwgVC4gSS48L2F1dGhvcj48YXV0aG9yPlJhd2FsLCBTLjwvYXV0aG9yPjxh
dXRob3I+SGlua2xlLCBTLiBOLjwvYXV0aG9yPjxhdXRob3I+WWV1bmcsIEUuIEguPC9hdXRob3I+
PGF1dGhvcj5DaGF2YXJybywgSi4gRS48L2F1dGhvcj48YXV0aG9yPkdydW5uZXQsIEwuIEcuPC9h
dXRob3I+PGF1dGhvcj5HcmFuc3Ryb20sIEMuPC9hdXRob3I+PGF1dGhvcj5CamVycmVnYWFyZCwg
QS4gQS48L2F1dGhvcj48YXV0aG9yPkh1LCBGLiBCLjwvYXV0aG9yPjxhdXRob3I+WmhhbmcsIEMu
PC9hdXRob3I+PC9hdXRob3JzPjwvY29udHJpYnV0b3JzPjxhdXRoLWFkZHJlc3M+RXBpZGVtaW9s
b2d5IEJyYW5jaCwgRGl2aXNpb24gb2YgSW50cmFtdXJhbCBQb3B1bGF0aW9uIEhlYWx0aCBSZXNl
YXJjaCwgRXVuaWNlIEtlbm5lZHkgU2hyaXZlciBOYXRpb25hbCBJbnN0aXR1dGUgb2YgQ2hpbGQg
SGVhbHRoIGFuZCBIdW1hbiBEZXZlbG9wbWVudCwgQmV0aGVzZGEsIE1ELCBVU0EuJiN4RDtEaXZp
b24gb2YgUmVzZWFyY2gsIEthaXNlciBQZXJtYW5lbnRlIE5vcnRoZXJuIENhbGlmb3JuaWEsIE9h
a2xhbmQsIENBLCBVU0EuJiN4RDtDZW50cmUgZm9yIEZldGFsIFByb2dyYW1taW5nLCBTdGF0ZW5z
IFNlcnVtIEluc3RpdHV0LCBDb3BlbmhhZ2VuLCBEZW5tYXJrLiYjeEQ7VW5pdCBmb3IgTnV0cml0
aW9uIFJlc2VhcmNoLCBMYW5kc3BpdGFsaSBVbml2ZXJzaXR5IEhvc3BpdGFsLCBSZXlramF2aWss
IEljZWxhbmQuJiN4RDtGYWN1bHR5IG9mIEZvb2QgU2NpZW5jZSBhbmQgTnV0cml0aW9uLCBVbml2
ZXJzaXR5IG9mIEljZWxhbmQsIFJleWtqYXZpaywgSWNlbGFuZC4mI3hEO0RlcGFydG1lbnRzIG9m
IE51dHJpdGlvbiBhbmQgRXBpZGVtaW9sb2d5LCBIYXJ2YXJkIFQuSC4gQ2hhbiBTY2hvb2wgb2Yg
UHVibGljIEhlYWx0aCwgQm9zdG9uLCBNQSwgVVNBLiYjeEQ7RGVwYXJ0bWVudCBvZiBFbmRvY3Jp
bm9sb2d5LCBSaWdzaG9zcGl0YWxldCBVbml2ZXJzaXR5IEhvc3BpdGFsLCBDb3BlbmhhZ2VuLCBE
ZW5tYXJrLjwvYXV0aC1hZGRyZXNzPjx0aXRsZXM+PHRpdGxlPk1hdGVybmFsIGNvbnN1bXB0aW9u
IG9mIGFydGlmaWNpYWxseSBzd2VldGVuZWQgYmV2ZXJhZ2VzIGR1cmluZyBwcmVnbmFuY3ksIGFu
ZCBvZmZzcHJpbmcgZ3Jvd3RoIHRocm91Z2ggNyB5ZWFycyBvZiBhZ2U6IGEgcHJvc3BlY3RpdmUg
Y29ob3J0IHN0dWR5PC90aXRsZT48c2Vjb25kYXJ5LXRpdGxlPkludCBKIEVwaWRlbWlvbDwvc2Vj
b25kYXJ5LXRpdGxlPjwvdGl0bGVzPjxwZXJpb2RpY2FsPjxmdWxsLXRpdGxlPkludCBKIEVwaWRl
bWlvbDwvZnVsbC10aXRsZT48L3BlcmlvZGljYWw+PHBhZ2VzPjE0OTktMTUwODwvcGFnZXM+PHZv
bHVtZT40Njwvdm9sdW1lPjxudW1iZXI+NTwvbnVtYmVyPjxlZGl0aW9uPjIwMTcvMDYvMDc8L2Vk
aXRpb24+PGtleXdvcmRzPjxrZXl3b3JkPkFkdWx0PC9rZXl3b3JkPjxrZXl3b3JkPkJldmVyYWdl
cy8qYWR2ZXJzZSBlZmZlY3RzPC9rZXl3b3JkPjxrZXl3b3JkPkJvZHkgTWFzcyBJbmRleDwva2V5
d29yZD48a2V5d29yZD5Cb2R5IFdlaWdodDwva2V5d29yZD48a2V5d29yZD5DaGlsZDwva2V5d29y
ZD48a2V5d29yZD5EZW5tYXJrL2VwaWRlbWlvbG9neTwva2V5d29yZD48a2V5d29yZD5EaWV0YXJ5
IFN1Y3Jvc2UvKmFkdmVyc2UgZWZmZWN0czwva2V5d29yZD48a2V5d29yZD5GZW1hbGU8L2tleXdv
cmQ+PGtleXdvcmQ+SHVtYW5zPC9rZXl3b3JkPjxrZXl3b3JkPkxpbmVhciBNb2RlbHM8L2tleXdv
cmQ+PGtleXdvcmQ+TWFsZTwva2V5d29yZD48a2V5d29yZD5NdWx0aXZhcmlhdGUgQW5hbHlzaXM8
L2tleXdvcmQ+PGtleXdvcmQ+T3ZlcndlaWdodC8qZXBpZGVtaW9sb2d5PC9rZXl3b3JkPjxrZXl3
b3JkPlBlZGlhdHJpYyBPYmVzaXR5LyplcGlkZW1pb2xvZ3k8L2tleXdvcmQ+PGtleXdvcmQ+UHJl
Z25hbmN5PC9rZXl3b3JkPjxrZXl3b3JkPipQcmVuYXRhbCBOdXRyaXRpb25hbCBQaHlzaW9sb2dp
Y2FsIFBoZW5vbWVuYTwva2V5d29yZD48a2V5d29yZD5Qcm9zcGVjdGl2ZSBTdHVkaWVzPC9rZXl3
b3JkPjxrZXl3b3JkPlJpc2sgRmFjdG9yczwva2V5d29yZD48a2V5d29yZD5Td2VldGVuaW5nIEFn
ZW50cy8qYWR2ZXJzZSBlZmZlY3RzPC9rZXl3b3JkPjxrZXl3b3JkPipBcnRpZmljaWFsbHkgc3dl
ZXRlbmVkIGJldmVyYWdlczwva2V5d29yZD48a2V5d29yZD4qb2Jlc2l0eTwva2V5d29yZD48a2V5
d29yZD4qcHJlZ25hbmN5PC9rZXl3b3JkPjxrZXl3b3JkPipzdWdhci1zd2VldGVuZWQgYmV2ZXJh
Z2VzPC9rZXl3b3JkPjwva2V5d29yZHM+PGRhdGVzPjx5ZWFyPjIwMTc8L3llYXI+PHB1Yi1kYXRl
cz48ZGF0ZT5PY3QgMTwvZGF0ZT48L3B1Yi1kYXRlcz48L2RhdGVzPjxpc2JuPjE0NjQtMzY4NSAo
RWxlY3Ryb25pYykmI3hEOzAzMDAtNTc3MSAoTGlua2luZyk8L2lzYm4+PGFjY2Vzc2lvbi1udW0+
Mjg1ODY0NzI8L2FjY2Vzc2lvbi1udW0+PHVybHM+PHJlbGF0ZWQtdXJscz48dXJsPmh0dHBzOi8v
d3d3Lm5jYmkubmxtLm5paC5nb3YvcHVibWVkLzI4NTg2NDcyPC91cmw+PC9yZWxhdGVkLXVybHM+
PC91cmxzPjxjdXN0b20yPlBNQzU4Mzc3MzU8L2N1c3RvbTI+PGVsZWN0cm9uaWMtcmVzb3VyY2Ut
bnVtPjEwLjEwOTMvaWplL2R5eDA5NTwvZWxlY3Ryb25pYy1yZXNvdXJjZS1udW0+PC9yZWNvcmQ+
PC9DaXRlPjwvRW5kTm90ZT4A
</w:fldData>
              </w:fldChar>
            </w:r>
            <w:r w:rsidR="002747EA">
              <w:instrText xml:space="preserve"> ADDIN EN.CITE </w:instrText>
            </w:r>
            <w:r w:rsidR="002747EA">
              <w:fldChar w:fldCharType="begin">
                <w:fldData xml:space="preserve">PEVuZE5vdGU+PENpdGU+PEF1dGhvcj5aaHU8L0F1dGhvcj48WWVhcj4yMDE3PC9ZZWFyPjxSZWNO
dW0+MTc1MTwvUmVjTnVtPjxEaXNwbGF5VGV4dD48c3R5bGUgZmFjZT0ic3VwZXJzY3JpcHQiIGZv
bnQ9IlRyZWJ1Y2hldCBNUyIgc2l6ZT0iOSI+MTAzPC9zdHlsZT48L0Rpc3BsYXlUZXh0PjxyZWNv
cmQ+PHJlYy1udW1iZXI+MTc1MTwvcmVjLW51bWJlcj48Zm9yZWlnbi1rZXlzPjxrZXkgYXBwPSJF
TiIgZGItaWQ9ImV4dmFzcmZ4MmR0cmFvZXNhc3hwMnN6c3hhMmRmNTAyNTkyeCIgdGltZXN0YW1w
PSIxNTgyNTA2Mzc0Ij4xNzUxPC9rZXk+PGtleSBhcHA9IkVOV2ViIiBkYi1pZD0iIj4wPC9rZXk+
PC9mb3JlaWduLWtleXM+PHJlZi10eXBlIG5hbWU9IkpvdXJuYWwgQXJ0aWNsZSI+MTc8L3JlZi10
eXBlPjxjb250cmlidXRvcnM+PGF1dGhvcnM+PGF1dGhvcj5aaHUsIFkuPC9hdXRob3I+PGF1dGhv
cj5PbHNlbiwgUy4gRi48L2F1dGhvcj48YXV0aG9yPk1lbmRvbGEsIFAuPC9hdXRob3I+PGF1dGhv
cj5IYWxsZG9yc3NvbiwgVC4gSS48L2F1dGhvcj48YXV0aG9yPlJhd2FsLCBTLjwvYXV0aG9yPjxh
dXRob3I+SGlua2xlLCBTLiBOLjwvYXV0aG9yPjxhdXRob3I+WWV1bmcsIEUuIEguPC9hdXRob3I+
PGF1dGhvcj5DaGF2YXJybywgSi4gRS48L2F1dGhvcj48YXV0aG9yPkdydW5uZXQsIEwuIEcuPC9h
dXRob3I+PGF1dGhvcj5HcmFuc3Ryb20sIEMuPC9hdXRob3I+PGF1dGhvcj5CamVycmVnYWFyZCwg
QS4gQS48L2F1dGhvcj48YXV0aG9yPkh1LCBGLiBCLjwvYXV0aG9yPjxhdXRob3I+WmhhbmcsIEMu
PC9hdXRob3I+PC9hdXRob3JzPjwvY29udHJpYnV0b3JzPjxhdXRoLWFkZHJlc3M+RXBpZGVtaW9s
b2d5IEJyYW5jaCwgRGl2aXNpb24gb2YgSW50cmFtdXJhbCBQb3B1bGF0aW9uIEhlYWx0aCBSZXNl
YXJjaCwgRXVuaWNlIEtlbm5lZHkgU2hyaXZlciBOYXRpb25hbCBJbnN0aXR1dGUgb2YgQ2hpbGQg
SGVhbHRoIGFuZCBIdW1hbiBEZXZlbG9wbWVudCwgQmV0aGVzZGEsIE1ELCBVU0EuJiN4RDtEaXZp
b24gb2YgUmVzZWFyY2gsIEthaXNlciBQZXJtYW5lbnRlIE5vcnRoZXJuIENhbGlmb3JuaWEsIE9h
a2xhbmQsIENBLCBVU0EuJiN4RDtDZW50cmUgZm9yIEZldGFsIFByb2dyYW1taW5nLCBTdGF0ZW5z
IFNlcnVtIEluc3RpdHV0LCBDb3BlbmhhZ2VuLCBEZW5tYXJrLiYjeEQ7VW5pdCBmb3IgTnV0cml0
aW9uIFJlc2VhcmNoLCBMYW5kc3BpdGFsaSBVbml2ZXJzaXR5IEhvc3BpdGFsLCBSZXlramF2aWss
IEljZWxhbmQuJiN4RDtGYWN1bHR5IG9mIEZvb2QgU2NpZW5jZSBhbmQgTnV0cml0aW9uLCBVbml2
ZXJzaXR5IG9mIEljZWxhbmQsIFJleWtqYXZpaywgSWNlbGFuZC4mI3hEO0RlcGFydG1lbnRzIG9m
IE51dHJpdGlvbiBhbmQgRXBpZGVtaW9sb2d5LCBIYXJ2YXJkIFQuSC4gQ2hhbiBTY2hvb2wgb2Yg
UHVibGljIEhlYWx0aCwgQm9zdG9uLCBNQSwgVVNBLiYjeEQ7RGVwYXJ0bWVudCBvZiBFbmRvY3Jp
bm9sb2d5LCBSaWdzaG9zcGl0YWxldCBVbml2ZXJzaXR5IEhvc3BpdGFsLCBDb3BlbmhhZ2VuLCBE
ZW5tYXJrLjwvYXV0aC1hZGRyZXNzPjx0aXRsZXM+PHRpdGxlPk1hdGVybmFsIGNvbnN1bXB0aW9u
IG9mIGFydGlmaWNpYWxseSBzd2VldGVuZWQgYmV2ZXJhZ2VzIGR1cmluZyBwcmVnbmFuY3ksIGFu
ZCBvZmZzcHJpbmcgZ3Jvd3RoIHRocm91Z2ggNyB5ZWFycyBvZiBhZ2U6IGEgcHJvc3BlY3RpdmUg
Y29ob3J0IHN0dWR5PC90aXRsZT48c2Vjb25kYXJ5LXRpdGxlPkludCBKIEVwaWRlbWlvbDwvc2Vj
b25kYXJ5LXRpdGxlPjwvdGl0bGVzPjxwZXJpb2RpY2FsPjxmdWxsLXRpdGxlPkludCBKIEVwaWRl
bWlvbDwvZnVsbC10aXRsZT48L3BlcmlvZGljYWw+PHBhZ2VzPjE0OTktMTUwODwvcGFnZXM+PHZv
bHVtZT40Njwvdm9sdW1lPjxudW1iZXI+NTwvbnVtYmVyPjxlZGl0aW9uPjIwMTcvMDYvMDc8L2Vk
aXRpb24+PGtleXdvcmRzPjxrZXl3b3JkPkFkdWx0PC9rZXl3b3JkPjxrZXl3b3JkPkJldmVyYWdl
cy8qYWR2ZXJzZSBlZmZlY3RzPC9rZXl3b3JkPjxrZXl3b3JkPkJvZHkgTWFzcyBJbmRleDwva2V5
d29yZD48a2V5d29yZD5Cb2R5IFdlaWdodDwva2V5d29yZD48a2V5d29yZD5DaGlsZDwva2V5d29y
ZD48a2V5d29yZD5EZW5tYXJrL2VwaWRlbWlvbG9neTwva2V5d29yZD48a2V5d29yZD5EaWV0YXJ5
IFN1Y3Jvc2UvKmFkdmVyc2UgZWZmZWN0czwva2V5d29yZD48a2V5d29yZD5GZW1hbGU8L2tleXdv
cmQ+PGtleXdvcmQ+SHVtYW5zPC9rZXl3b3JkPjxrZXl3b3JkPkxpbmVhciBNb2RlbHM8L2tleXdv
cmQ+PGtleXdvcmQ+TWFsZTwva2V5d29yZD48a2V5d29yZD5NdWx0aXZhcmlhdGUgQW5hbHlzaXM8
L2tleXdvcmQ+PGtleXdvcmQ+T3ZlcndlaWdodC8qZXBpZGVtaW9sb2d5PC9rZXl3b3JkPjxrZXl3
b3JkPlBlZGlhdHJpYyBPYmVzaXR5LyplcGlkZW1pb2xvZ3k8L2tleXdvcmQ+PGtleXdvcmQ+UHJl
Z25hbmN5PC9rZXl3b3JkPjxrZXl3b3JkPipQcmVuYXRhbCBOdXRyaXRpb25hbCBQaHlzaW9sb2dp
Y2FsIFBoZW5vbWVuYTwva2V5d29yZD48a2V5d29yZD5Qcm9zcGVjdGl2ZSBTdHVkaWVzPC9rZXl3
b3JkPjxrZXl3b3JkPlJpc2sgRmFjdG9yczwva2V5d29yZD48a2V5d29yZD5Td2VldGVuaW5nIEFn
ZW50cy8qYWR2ZXJzZSBlZmZlY3RzPC9rZXl3b3JkPjxrZXl3b3JkPipBcnRpZmljaWFsbHkgc3dl
ZXRlbmVkIGJldmVyYWdlczwva2V5d29yZD48a2V5d29yZD4qb2Jlc2l0eTwva2V5d29yZD48a2V5
d29yZD4qcHJlZ25hbmN5PC9rZXl3b3JkPjxrZXl3b3JkPipzdWdhci1zd2VldGVuZWQgYmV2ZXJh
Z2VzPC9rZXl3b3JkPjwva2V5d29yZHM+PGRhdGVzPjx5ZWFyPjIwMTc8L3llYXI+PHB1Yi1kYXRl
cz48ZGF0ZT5PY3QgMTwvZGF0ZT48L3B1Yi1kYXRlcz48L2RhdGVzPjxpc2JuPjE0NjQtMzY4NSAo
RWxlY3Ryb25pYykmI3hEOzAzMDAtNTc3MSAoTGlua2luZyk8L2lzYm4+PGFjY2Vzc2lvbi1udW0+
Mjg1ODY0NzI8L2FjY2Vzc2lvbi1udW0+PHVybHM+PHJlbGF0ZWQtdXJscz48dXJsPmh0dHBzOi8v
d3d3Lm5jYmkubmxtLm5paC5nb3YvcHVibWVkLzI4NTg2NDcyPC91cmw+PC9yZWxhdGVkLXVybHM+
PC91cmxzPjxjdXN0b20yPlBNQzU4Mzc3MzU8L2N1c3RvbTI+PGVsZWN0cm9uaWMtcmVzb3VyY2Ut
bnVtPjEwLjEwOTMvaWplL2R5eDA5NTwvZWxlY3Ryb25pYy1yZXNvdXJjZS1udW0+PC9yZWNvcmQ+
PC9DaXRlPjwvRW5kTm90ZT4A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103</w:t>
            </w:r>
            <w:r w:rsidR="00774750">
              <w:fldChar w:fldCharType="end"/>
            </w:r>
          </w:p>
          <w:p w14:paraId="6F43467C" w14:textId="77777777" w:rsidR="00DB60FC" w:rsidRPr="002735A9" w:rsidRDefault="00DB60FC" w:rsidP="00F20A8C">
            <w:pPr>
              <w:keepNext/>
            </w:pPr>
            <w:r w:rsidRPr="002735A9">
              <w:t>Denmark</w:t>
            </w:r>
          </w:p>
          <w:p w14:paraId="0140564D" w14:textId="02F3F22B" w:rsidR="00DB60FC" w:rsidRPr="002735A9" w:rsidRDefault="00DB60FC" w:rsidP="00F20A8C">
            <w:pPr>
              <w:keepNext/>
            </w:pPr>
            <w:r w:rsidRPr="002735A9">
              <w:t>Cohort</w:t>
            </w:r>
          </w:p>
        </w:tc>
        <w:tc>
          <w:tcPr>
            <w:tcW w:w="1417" w:type="dxa"/>
          </w:tcPr>
          <w:p w14:paraId="1C3B741C" w14:textId="0901207E" w:rsidR="00DB60FC" w:rsidRPr="002735A9" w:rsidRDefault="00DB60FC" w:rsidP="00DB60FC">
            <w:r w:rsidRPr="002735A9">
              <w:t>918 mother-child dyads</w:t>
            </w:r>
          </w:p>
        </w:tc>
        <w:tc>
          <w:tcPr>
            <w:tcW w:w="4535" w:type="dxa"/>
          </w:tcPr>
          <w:p w14:paraId="58F635A0" w14:textId="77777777" w:rsidR="00DB60FC" w:rsidRPr="002735A9" w:rsidRDefault="00DB60FC" w:rsidP="00EC6E65">
            <w:r w:rsidRPr="002735A9">
              <w:rPr>
                <w:b/>
              </w:rPr>
              <w:t>Aim</w:t>
            </w:r>
            <w:r w:rsidRPr="002735A9">
              <w:t xml:space="preserve">: To investigate intake of artificially sweetened beverages (ASBs) and sugar-sweetened beverages (SSBs) during pregnancy in relation to offspring growth through age 7 years among high-risk children born to women with gestational diabetes. </w:t>
            </w:r>
          </w:p>
          <w:p w14:paraId="2FE20920" w14:textId="34944BF2" w:rsidR="00DB60FC" w:rsidRPr="002735A9" w:rsidRDefault="00DB60FC" w:rsidP="00DB60FC">
            <w:pPr>
              <w:rPr>
                <w:b/>
              </w:rPr>
            </w:pPr>
            <w:r w:rsidRPr="002735A9">
              <w:rPr>
                <w:b/>
              </w:rPr>
              <w:t>Methods</w:t>
            </w:r>
            <w:r w:rsidRPr="002735A9">
              <w:t xml:space="preserve">: Maternal dietary intake was assessed by a food frequency questionnaire during pregnancy. Offspring body mass index z-scores (BMIZ) and overweight/obesity status were derived using weight and length/height at birth, 5 and 12 months and 7 years. Linear regression and Poisson regression with robust standard errors were used, adjusting for major risk factors. </w:t>
            </w:r>
          </w:p>
        </w:tc>
        <w:tc>
          <w:tcPr>
            <w:tcW w:w="4534" w:type="dxa"/>
          </w:tcPr>
          <w:p w14:paraId="0D84E363" w14:textId="64ACFA63" w:rsidR="00DB60FC" w:rsidRPr="00DB60FC" w:rsidRDefault="00DB60FC" w:rsidP="000624B7">
            <w:r w:rsidRPr="002735A9">
              <w:t>Compared to never consumption, daily ASB intake during pregnancy was positively associated with offspring large-for-gestational age (aRR</w:t>
            </w:r>
            <w:r w:rsidR="003C2E59" w:rsidRPr="002735A9">
              <w:t xml:space="preserve"> 1.57; 95%CI</w:t>
            </w:r>
            <w:r w:rsidR="000624B7" w:rsidRPr="002735A9">
              <w:t xml:space="preserve"> 1.05 to</w:t>
            </w:r>
            <w:r w:rsidRPr="002735A9">
              <w:t xml:space="preserve"> 2.3</w:t>
            </w:r>
            <w:r w:rsidR="000624B7" w:rsidRPr="002735A9">
              <w:t>5 at birth)</w:t>
            </w:r>
            <w:r w:rsidRPr="002735A9">
              <w:t>, B</w:t>
            </w:r>
            <w:r w:rsidR="000624B7" w:rsidRPr="002735A9">
              <w:t>MIZ (adjusted beta 0.59; 95% CI 0.23 to</w:t>
            </w:r>
            <w:r w:rsidRPr="002735A9">
              <w:t xml:space="preserve"> 0.96) and ov</w:t>
            </w:r>
            <w:r w:rsidR="000624B7" w:rsidRPr="002735A9">
              <w:t>erweight/obesity (aRR 1.93; 95%CI 1.24 to</w:t>
            </w:r>
            <w:r w:rsidRPr="002735A9">
              <w:t xml:space="preserve"> 3.01) at 7 years. Per-serving-per-day substitution of ASBs with water during pregnancy was related to a lower overweight/obesity risk at 7 years (aRR</w:t>
            </w:r>
            <w:r w:rsidR="000624B7" w:rsidRPr="002735A9">
              <w:t xml:space="preserve"> 0.83; 95% CI 0.76 to</w:t>
            </w:r>
            <w:r w:rsidRPr="002735A9">
              <w:t xml:space="preserve"> 0.91), whereas SSB substitution with ASBs was not related to</w:t>
            </w:r>
            <w:r w:rsidR="000624B7" w:rsidRPr="002735A9">
              <w:t xml:space="preserve"> a lower risk (aRR 1.14; 95%CI</w:t>
            </w:r>
            <w:r w:rsidRPr="002735A9">
              <w:t xml:space="preserve"> 1.00, 1.31). </w:t>
            </w:r>
          </w:p>
        </w:tc>
        <w:tc>
          <w:tcPr>
            <w:tcW w:w="1842" w:type="dxa"/>
          </w:tcPr>
          <w:p w14:paraId="3E140520" w14:textId="77777777" w:rsidR="00DB60FC" w:rsidRDefault="00DB60FC" w:rsidP="00F20A8C">
            <w:pPr>
              <w:keepNext/>
              <w:rPr>
                <w:b/>
              </w:rPr>
            </w:pPr>
          </w:p>
        </w:tc>
      </w:tr>
      <w:tr w:rsidR="00EC6E65" w:rsidRPr="00F350A6" w14:paraId="70AAE752" w14:textId="77777777" w:rsidTr="00D21A32">
        <w:trPr>
          <w:cantSplit/>
          <w:trHeight w:val="390"/>
        </w:trPr>
        <w:tc>
          <w:tcPr>
            <w:tcW w:w="1564" w:type="dxa"/>
          </w:tcPr>
          <w:p w14:paraId="1037C5A5" w14:textId="44E50C24" w:rsidR="00EC6E65" w:rsidRDefault="00852D7E" w:rsidP="00F20A8C">
            <w:pPr>
              <w:keepNext/>
            </w:pPr>
            <w:r w:rsidRPr="00852D7E">
              <w:t>Renault et al 2015</w:t>
            </w:r>
            <w:r w:rsidR="00767EBF">
              <w:fldChar w:fldCharType="begin"/>
            </w:r>
            <w:r w:rsidR="002747EA">
              <w:instrText xml:space="preserve"> ADDIN EN.CITE &lt;EndNote&gt;&lt;Cite&gt;&lt;Author&gt;Renault&lt;/Author&gt;&lt;Year&gt;2015&lt;/Year&gt;&lt;RecNum&gt;1414&lt;/RecNum&gt;&lt;DisplayText&gt;&lt;style face="superscript" font="Trebuchet MS" size="9"&gt;100&lt;/style&gt;&lt;/DisplayText&gt;&lt;record&gt;&lt;rec-number&gt;1414&lt;/rec-number&gt;&lt;foreign-keys&gt;&lt;key app="EN" db-id="exvasrfx2dtraoesasxp2szsxa2df502592x" timestamp="1567995300"&gt;1414&lt;/key&gt;&lt;key app="ENWeb" db-id=""&gt;0&lt;/key&gt;&lt;/foreign-keys&gt;&lt;ref-type name="Journal Article"&gt;17&lt;/ref-type&gt;&lt;contributors&gt;&lt;authors&gt;&lt;author&gt;Renault, K.M.,&lt;/author&gt;&lt;author&gt;Carlsen, E.M.,&lt;/author&gt;&lt;author&gt;Nørgaard, K.,&lt;/author&gt;&lt;author&gt;Nilas, L.,&lt;/author&gt;&lt;author&gt;Pryds, O.,&lt;/author&gt;&lt;author&gt;Secher, N.J.,&lt;/author&gt;&lt;author&gt;Olsen, S.F.,&lt;/author&gt;&lt;author&gt;Halldorsson, T.I.,&lt;/author&gt;&lt;/authors&gt;&lt;/contributors&gt;&lt;titles&gt;&lt;title&gt;Intake of sweets, snacks and soft drinks predicts weight gain in obese pregnant women: detailed analysis of the results of a randomised controlled trial&lt;/title&gt;&lt;secondary-title&gt;Plos One&lt;/secondary-title&gt;&lt;/titles&gt;&lt;periodical&gt;&lt;full-title&gt;PLoS One&lt;/full-title&gt;&lt;/periodical&gt;&lt;volume&gt;10&lt;/volume&gt;&lt;number&gt;7&lt;/number&gt;&lt;section&gt;e0133041&lt;/section&gt;&lt;dates&gt;&lt;year&gt;2015&lt;/year&gt;&lt;/dates&gt;&lt;isbn&gt;1932-6203&lt;/isbn&gt;&lt;urls&gt;&lt;/urls&gt;&lt;electronic-resource-num&gt;10.1371/journal.pone.0133041&lt;/electronic-resource-num&gt;&lt;/record&gt;&lt;/Cite&gt;&lt;/EndNote&gt;</w:instrText>
            </w:r>
            <w:r w:rsidR="00767EBF">
              <w:fldChar w:fldCharType="separate"/>
            </w:r>
            <w:r w:rsidR="002747EA" w:rsidRPr="002747EA">
              <w:rPr>
                <w:noProof/>
                <w:vertAlign w:val="superscript"/>
              </w:rPr>
              <w:t>100</w:t>
            </w:r>
            <w:r w:rsidR="00767EBF">
              <w:fldChar w:fldCharType="end"/>
            </w:r>
          </w:p>
          <w:p w14:paraId="73926EA9" w14:textId="77777777" w:rsidR="00F66B53" w:rsidRDefault="00F66B53" w:rsidP="00F20A8C">
            <w:pPr>
              <w:keepNext/>
            </w:pPr>
            <w:r>
              <w:t>RCT</w:t>
            </w:r>
          </w:p>
          <w:p w14:paraId="100B9AE1" w14:textId="53AC39DC" w:rsidR="00056037" w:rsidRPr="00852D7E" w:rsidRDefault="00056037" w:rsidP="00F20A8C">
            <w:pPr>
              <w:keepNext/>
            </w:pPr>
            <w:r>
              <w:t>Denmark</w:t>
            </w:r>
          </w:p>
        </w:tc>
        <w:tc>
          <w:tcPr>
            <w:tcW w:w="1417" w:type="dxa"/>
          </w:tcPr>
          <w:p w14:paraId="2841623C" w14:textId="71608FD2" w:rsidR="00EC6E65" w:rsidRPr="00852D7E" w:rsidRDefault="00852D7E" w:rsidP="00852D7E">
            <w:r w:rsidRPr="00852D7E">
              <w:t>342</w:t>
            </w:r>
          </w:p>
        </w:tc>
        <w:tc>
          <w:tcPr>
            <w:tcW w:w="4535" w:type="dxa"/>
          </w:tcPr>
          <w:p w14:paraId="22BD0168" w14:textId="77777777" w:rsidR="00EC6E65" w:rsidRDefault="00EC6E65" w:rsidP="00EC6E65">
            <w:r w:rsidRPr="00EC6E65">
              <w:rPr>
                <w:b/>
              </w:rPr>
              <w:t>Aim</w:t>
            </w:r>
            <w:r>
              <w:t xml:space="preserve">: </w:t>
            </w:r>
            <w:r w:rsidRPr="00EC6E65">
              <w:t>To evaluate improvements and relevance of different dietary factors targeted with respect to</w:t>
            </w:r>
            <w:r>
              <w:t xml:space="preserve"> </w:t>
            </w:r>
            <w:r w:rsidRPr="00EC6E65">
              <w:t>gestational weight gain in a 3-arm Randomised Controlled Trial (n=342) among obese pregnant</w:t>
            </w:r>
            <w:r>
              <w:t xml:space="preserve"> </w:t>
            </w:r>
            <w:r w:rsidRPr="00EC6E65">
              <w:t>women with BMI30 kg/m</w:t>
            </w:r>
            <w:r w:rsidRPr="00EC6E65">
              <w:rPr>
                <w:rFonts w:eastAsiaTheme="majorEastAsia"/>
                <w:sz w:val="10"/>
                <w:szCs w:val="10"/>
              </w:rPr>
              <w:t>2</w:t>
            </w:r>
            <w:r w:rsidRPr="00EC6E65">
              <w:t>.</w:t>
            </w:r>
            <w:r>
              <w:t xml:space="preserve"> </w:t>
            </w:r>
          </w:p>
          <w:p w14:paraId="6F626FFC" w14:textId="378C75AF" w:rsidR="00EC6E65" w:rsidRDefault="00EC6E65" w:rsidP="00EC6E65">
            <w:pPr>
              <w:rPr>
                <w:b/>
              </w:rPr>
            </w:pPr>
            <w:r w:rsidRPr="00EC6E65">
              <w:rPr>
                <w:b/>
              </w:rPr>
              <w:t>Methods</w:t>
            </w:r>
            <w:r>
              <w:t>:</w:t>
            </w:r>
            <w:r w:rsidRPr="00EC6E65">
              <w:t xml:space="preserve"> Randomisation 1:1:1 to either hypocaloric Mediterranean type of diet and physical activity</w:t>
            </w:r>
            <w:r>
              <w:t xml:space="preserve"> </w:t>
            </w:r>
            <w:r w:rsidRPr="00EC6E65">
              <w:t>intervention (D+PA); physical activity intervention alone (PA); or control (C). Diet was</w:t>
            </w:r>
            <w:r>
              <w:t xml:space="preserve"> </w:t>
            </w:r>
            <w:r w:rsidRPr="00EC6E65">
              <w:t>assessed at baseline (weeks 11–14) and endpoint (weeks 36–37) using a validated food</w:t>
            </w:r>
            <w:r>
              <w:t xml:space="preserve"> </w:t>
            </w:r>
            <w:r w:rsidRPr="00EC6E65">
              <w:t>frequency questionnaire.</w:t>
            </w:r>
            <w:r>
              <w:t xml:space="preserve"> </w:t>
            </w:r>
          </w:p>
        </w:tc>
        <w:tc>
          <w:tcPr>
            <w:tcW w:w="4534" w:type="dxa"/>
          </w:tcPr>
          <w:p w14:paraId="21397495" w14:textId="77777777" w:rsidR="00D92A3D" w:rsidRDefault="00EC6E65" w:rsidP="00EC6E65">
            <w:r>
              <w:t>F</w:t>
            </w:r>
            <w:r w:rsidRPr="00EC6E65">
              <w:t>oods that contributed to intake of added sugars, including sweets,</w:t>
            </w:r>
            <w:r>
              <w:t xml:space="preserve"> </w:t>
            </w:r>
            <w:r w:rsidRPr="00EC6E65">
              <w:t>snacks, cakes, and soft drinks were strongly associated with weight gain, with women consuming</w:t>
            </w:r>
            <w:r>
              <w:t xml:space="preserve"> </w:t>
            </w:r>
            <w:r w:rsidRPr="00EC6E65">
              <w:t>sweets 2/day having 5.4 kg (95% CI 2.1-8.7) greater weight gain than those with a</w:t>
            </w:r>
            <w:r>
              <w:t xml:space="preserve"> </w:t>
            </w:r>
            <w:r w:rsidRPr="00EC6E65">
              <w:t xml:space="preserve">low (&lt;1wk) intake. </w:t>
            </w:r>
          </w:p>
          <w:p w14:paraId="2E6F0EBC" w14:textId="343A2B9B" w:rsidR="00EC6E65" w:rsidRDefault="00EC6E65" w:rsidP="00EC6E65">
            <w:pPr>
              <w:rPr>
                <w:b/>
              </w:rPr>
            </w:pPr>
            <w:r w:rsidRPr="00EC6E65">
              <w:t>The results for soft drinks were more conflicting, as women with high</w:t>
            </w:r>
            <w:r>
              <w:t xml:space="preserve"> </w:t>
            </w:r>
            <w:r w:rsidRPr="00EC6E65">
              <w:t>weight gain tended to favour artificially sweetened soft drinks.</w:t>
            </w:r>
            <w:r>
              <w:t xml:space="preserve"> </w:t>
            </w:r>
          </w:p>
        </w:tc>
        <w:tc>
          <w:tcPr>
            <w:tcW w:w="1842" w:type="dxa"/>
          </w:tcPr>
          <w:p w14:paraId="75950342" w14:textId="031905D1" w:rsidR="00EC6E65" w:rsidRDefault="00EC6E65" w:rsidP="00F20A8C">
            <w:pPr>
              <w:keepNext/>
              <w:rPr>
                <w:b/>
              </w:rPr>
            </w:pPr>
          </w:p>
        </w:tc>
      </w:tr>
      <w:tr w:rsidR="00A47A03" w:rsidRPr="00C8357D" w14:paraId="2E232AB0" w14:textId="77777777" w:rsidTr="00D21A32">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305633B" w14:textId="55C60CA7" w:rsidR="00A47A03" w:rsidRDefault="00A47A03" w:rsidP="006E7719">
            <w:r>
              <w:t>Paskulin et al 2017</w:t>
            </w:r>
            <w:r w:rsidR="003E2D58">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 </w:instrText>
            </w:r>
            <w:r w:rsidR="002747EA">
              <w:fldChar w:fldCharType="begin">
                <w:fldData xml:space="preserve">PEVuZE5vdGU+PENpdGU+PEF1dGhvcj5QYXNrdWxpbjwvQXV0aG9yPjxZZWFyPjIwMTc8L1llYXI+
PFJlY051bT4xNDcwPC9SZWNOdW0+PERpc3BsYXlUZXh0PjxzdHlsZSBmYWNlPSJzdXBlcnNjcmlw
dCIgZm9udD0iVHJlYnVjaGV0IE1TIiBzaXplPSI5Ij42OTwvc3R5bGU+PC9EaXNwbGF5VGV4dD48
cmVjb3JkPjxyZWMtbnVtYmVyPjE0NzA8L3JlYy1udW1iZXI+PGZvcmVpZ24ta2V5cz48a2V5IGFw
cD0iRU4iIGRiLWlkPSJleHZhc3JmeDJkdHJhb2VzYXN4cDJzenN4YTJkZjUwMjU5MngiIHRpbWVz
dGFtcD0iMTU3NDAzOTYzOSI+MTQ3MDwva2V5PjxrZXkgYXBwPSJFTldlYiIgZGItaWQ9IiI+MDwv
a2V5PjwvZm9yZWlnbi1rZXlzPjxyZWYtdHlwZSBuYW1lPSJKb3VybmFsIEFydGljbGUiPjE3PC9y
ZWYtdHlwZT48Y29udHJpYnV0b3JzPjxhdXRob3JzPjxhdXRob3I+UGFza3VsaW4sIEouIFQuIEEu
PC9hdXRob3I+PGF1dGhvcj5EcmVobWVyLCBNLjwvYXV0aG9yPjxhdXRob3I+T2xpbnRvLCBNLiBU
LjwvYXV0aG9yPjxhdXRob3I+SG9mZm1hbm4sIEouIEYuPC9hdXRob3I+PGF1dGhvcj5QaW5oZWly
bywgQS4gUC48L2F1dGhvcj48YXV0aG9yPlNjaG1pZHQsIE0uIEkuPC9hdXRob3I+PGF1dGhvcj5O
dW5lcywgTS4gQS48L2F1dGhvcj48L2F1dGhvcnM+PC9jb250cmlidXRvcnM+PGF1dGgtYWRkcmVz
cz5Qcm9ncmFtYSBkZSBQb3MtR3JhZHVhY2FvIGVtIEVwaWRlbWlvbG9naWEsIERlcGFydGFtZW50
byBkZSBNZWRpY2luYSBTb2NpYWwsIEZhY3VsZGFkZSBkZSBNZWRpY2luYSwgVW5pdmVyc2lkYWRl
IEZlZGVyYWwgZG8gUmlvIEdyYW5kZSBkbyBTdWwgKFVGUkdTKSwgUG9ydG8gQWxlZ3JlLCBSUywg
QnJhemlsLiYjeEQ7RGVwYXJ0YW1lbnRvIGRlIE51dHJpY2FvLCBGYWN1bGRhZGUgZGUgTWVkaWNp
bmEsIFVGUkdTLCBQb3J0byBBbGVncmUsIFJTLCBCcmF6aWwuJiN4RDtQcm9ncmFtYSBkZSBQb3Mt
R3JhZHVhY2FvIGVtIFNhdWRlIENvbGV0aXZhLCBVbml2ZXJzaWRhZGUgZG8gVmFsZSBkbyBSaW8g
ZG9zIFNpbm9zIChVTklTSU5PUyksIFNhbyBMZW9wb2xkbywgUlMsIEJyYXppbC4mI3hEO0RlcGFy
dGFtZW50byBkZSBOdXRyaWNhbywgVW5pdmVyc2lkYWRlIEZlZGVyYWwgZGUgQ2llbmNpYXMgZGEg
U2F1ZGUgZGUgUG9ydG8gQWxlZ3JlIChVRkNTUEEpLCBQb3J0byBBbGVncmUsIFJTLCBCcmF6aWwu
PC9hdXRoLWFkZHJlc3M+PHRpdGxlcz48dGl0bGU+QXNzb2NpYXRpb24gYmV0d2VlbiBkaWV0YXJ5
IHBhdHRlcm5zIGFuZCBtZW50YWwgZGlzb3JkZXJzIGluIHByZWduYW50IHdvbWVuIGluIFNvdXRo
ZXJuIEJyYXppbDwvdGl0bGU+PHNlY29uZGFyeS10aXRsZT5CcmF6IEogUHN5Y2hpYXRyeTwvc2Vj
b25kYXJ5LXRpdGxlPjwvdGl0bGVzPjxwZXJpb2RpY2FsPjxmdWxsLXRpdGxlPkJyYXogSiBQc3lj
aGlhdHJ5PC9mdWxsLXRpdGxlPjwvcGVyaW9kaWNhbD48cGFnZXM+MjA4LTIxNTwvcGFnZXM+PHZv
bHVtZT4zOTwvdm9sdW1lPjxudW1iZXI+MzwvbnVtYmVyPjxlZGl0aW9uPjIwMTcvMDMvMzA8L2Vk
aXRpb24+PGtleXdvcmRzPjxrZXl3b3JkPkFkb2xlc2NlbnQ8L2tleXdvcmQ+PGtleXdvcmQ+QWR1
bHQ8L2tleXdvcmQ+PGtleXdvcmQ+QW54aWV0eSBEaXNvcmRlcnMvZXBpZGVtaW9sb2d5PC9rZXl3
b3JkPjxrZXl3b3JkPkJyYXppbC9lcGlkZW1pb2xvZ3k8L2tleXdvcmQ+PGtleXdvcmQ+Q2FuZHkv
c3RhdGlzdGljcyAmYW1wOyBudW1lcmljYWwgZGF0YTwva2V5d29yZD48a2V5d29yZD5Dcm9zcy1T
ZWN0aW9uYWwgU3R1ZGllczwva2V5d29yZD48a2V5d29yZD5EZXByZXNzaXZlIERpc29yZGVyLCBN
YWpvci9lcGlkZW1pb2xvZ3k8L2tleXdvcmQ+PGtleXdvcmQ+RGlldCBTdXJ2ZXlzLypzdGF0aXN0
aWNzICZhbXA7IG51bWVyaWNhbCBkYXRhPC9rZXl3b3JkPjxrZXl3b3JkPipGZWVkaW5nIEJlaGF2
aW9yPC9rZXl3b3JkPjxrZXl3b3JkPkZlbWFsZTwva2V5d29yZD48a2V5d29yZD5Gb29kIFByZWZl
cmVuY2VzPC9rZXl3b3JkPjxrZXl3b3JkPkZydWl0PC9rZXl3b3JkPjxrZXl3b3JkPkh1bWFuczwv
a2V5d29yZD48a2V5d29yZD5NZW50YWwgRGlzb3JkZXJzLyplcGlkZW1pb2xvZ3k8L2tleXdvcmQ+
PGtleXdvcmQ+UGhhc2VvbHVzPC9rZXl3b3JkPjxrZXl3b3JkPlByZWduYW5jeTwva2V5d29yZD48
a2V5d29yZD5QcmVnbmFuY3kgQ29tcGxpY2F0aW9ucy8qZXBpZGVtaW9sb2d5PC9rZXl3b3JkPjxr
ZXl3b3JkPlByZXZhbGVuY2U8L2tleXdvcmQ+PGtleXdvcmQ+U2V2ZXJpdHkgb2YgSWxsbmVzcyBJ
bmRleDwva2V5d29yZD48a2V5d29yZD5Tb2Npb2Vjb25vbWljIEZhY3RvcnM8L2tleXdvcmQ+PGtl
eXdvcmQ+WW91bmcgQWR1bHQ8L2tleXdvcmQ+PC9rZXl3b3Jkcz48ZGF0ZXM+PHllYXI+MjAxNzwv
eWVhcj48cHViLWRhdGVzPjxkYXRlPkp1bC1TZXA8L2RhdGU+PC9wdWItZGF0ZXM+PC9kYXRlcz48
aXNibj4xODA5LTQ1MlggKEVsZWN0cm9uaWMpJiN4RDsxNTE2LTQ0NDYgKExpbmtpbmcpPC9pc2Ju
PjxhY2Nlc3Npb24tbnVtPjI4MzU1MzQ2PC9hY2Nlc3Npb24tbnVtPjx1cmxzPjxyZWxhdGVkLXVy
bHM+PHVybD5odHRwczovL3d3dy5uY2JpLm5sbS5uaWguZ292L3B1Ym1lZC8yODM1NTM0NjwvdXJs
PjwvcmVsYXRlZC11cmxzPjwvdXJscz48ZWxlY3Ryb25pYy1yZXNvdXJjZS1udW0+MTAuMTU5MC8x
NTE2LTQ0NDYtMjAxNi0yMDE2PC9lbGVjdHJvbmljLXJlc291cmNlLW51bT48L3JlY29yZD48L0Np
dGU+PC9FbmROb3RlPgB=
</w:fldData>
              </w:fldChar>
            </w:r>
            <w:r w:rsidR="002747EA">
              <w:instrText xml:space="preserve"> ADDIN EN.CITE.DATA </w:instrText>
            </w:r>
            <w:r w:rsidR="002747EA">
              <w:fldChar w:fldCharType="end"/>
            </w:r>
            <w:r w:rsidR="003E2D58">
              <w:fldChar w:fldCharType="separate"/>
            </w:r>
            <w:r w:rsidR="002747EA" w:rsidRPr="002747EA">
              <w:rPr>
                <w:noProof/>
                <w:vertAlign w:val="superscript"/>
              </w:rPr>
              <w:t>69</w:t>
            </w:r>
            <w:r w:rsidR="003E2D58">
              <w:fldChar w:fldCharType="end"/>
            </w:r>
          </w:p>
          <w:p w14:paraId="20BCA1E8" w14:textId="77777777" w:rsidR="00A47A03" w:rsidRDefault="00A47A03" w:rsidP="006E7719">
            <w:r>
              <w:t>Brazil</w:t>
            </w:r>
          </w:p>
          <w:p w14:paraId="7F9C0217" w14:textId="77777777" w:rsidR="00A47A03" w:rsidRDefault="00A47A03" w:rsidP="006E7719">
            <w:r>
              <w:t>Cross-section</w:t>
            </w:r>
          </w:p>
        </w:tc>
        <w:tc>
          <w:tcPr>
            <w:tcW w:w="1417"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F093121" w14:textId="77777777" w:rsidR="00A47A03" w:rsidRDefault="00A47A03" w:rsidP="006E7719">
            <w:r>
              <w:t>712 women</w:t>
            </w:r>
          </w:p>
        </w:tc>
        <w:tc>
          <w:tcPr>
            <w:tcW w:w="4535"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EAE93BC" w14:textId="77777777" w:rsidR="00A47A03" w:rsidRDefault="00A47A03" w:rsidP="006E7719">
            <w:r>
              <w:rPr>
                <w:b/>
              </w:rPr>
              <w:t xml:space="preserve">Aim: </w:t>
            </w:r>
            <w:r w:rsidRPr="00A47A03">
              <w:t xml:space="preserve">To evaluate the association between dietary patterns and mental disorders among pregnant women in southern Brazil. </w:t>
            </w:r>
          </w:p>
          <w:p w14:paraId="4A66577B" w14:textId="77777777" w:rsidR="00A47A03" w:rsidRPr="001F464A" w:rsidRDefault="00A47A03" w:rsidP="006E7719">
            <w:pPr>
              <w:rPr>
                <w:b/>
              </w:rPr>
            </w:pPr>
            <w:r w:rsidRPr="00A47A03">
              <w:rPr>
                <w:b/>
              </w:rPr>
              <w:t>Methods</w:t>
            </w:r>
            <w:r w:rsidRPr="00A47A03">
              <w:t xml:space="preserve">: Food intake assessment was performed using the Food Frequency Questionnaire. Dietary patterns were identified by cluster analysis. The Primary Care Evaluation of Mental Disorders (PRIME-MD) was used to evaluate participants' mental health. Poisson regression models with robust variance were fitted to estimate prevalence ratios (PR). </w:t>
            </w:r>
          </w:p>
        </w:tc>
        <w:tc>
          <w:tcPr>
            <w:tcW w:w="4534"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336EEC3" w14:textId="58775B3B" w:rsidR="00A47A03" w:rsidRPr="00A47A03" w:rsidRDefault="00A47A03" w:rsidP="00A47A03">
            <w:r w:rsidRPr="00A47A03">
              <w:t>In the adjusted models, there was a high prevalence of major depressive disorder among women with high sweets and sugars intake (PR 1.91, 95%CI 1.19</w:t>
            </w:r>
            <w:r>
              <w:t xml:space="preserve"> to </w:t>
            </w:r>
            <w:r w:rsidRPr="00A47A03">
              <w:t xml:space="preserve">3.07). </w:t>
            </w:r>
          </w:p>
        </w:tc>
        <w:tc>
          <w:tcPr>
            <w:tcW w:w="184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D7289F3" w14:textId="6BEFA823" w:rsidR="00A47A03" w:rsidRPr="00C8357D" w:rsidRDefault="00A47A03" w:rsidP="006E7719"/>
        </w:tc>
      </w:tr>
      <w:tr w:rsidR="00BE7A73" w:rsidRPr="00F350A6" w14:paraId="6411261A" w14:textId="77777777" w:rsidTr="00D21A32">
        <w:trPr>
          <w:cantSplit/>
          <w:trHeight w:val="390"/>
        </w:trPr>
        <w:tc>
          <w:tcPr>
            <w:tcW w:w="1564" w:type="dxa"/>
          </w:tcPr>
          <w:p w14:paraId="3BE451C9" w14:textId="4D70734D" w:rsidR="00BE7A73" w:rsidRDefault="00BE7A73" w:rsidP="00F20A8C">
            <w:pPr>
              <w:keepNext/>
            </w:pPr>
            <w:r>
              <w:t>Azad et al 2016</w:t>
            </w:r>
            <w:r w:rsidR="00767EBF">
              <w:fldChar w:fldCharType="begin">
                <w:fldData xml:space="preserve">PEVuZE5vdGU+PENpdGU+PEF1dGhvcj5BemFkPC9BdXRob3I+PFllYXI+MjAxNjwvWWVhcj48UmVj
TnVtPjEzNDE8L1JlY051bT48RGlzcGxheVRleHQ+PHN0eWxlIGZhY2U9InN1cGVyc2NyaXB0IiBm
b250PSJUcmVidWNoZXQgTVMiIHNpemU9IjkiPjEwMjwvc3R5bGU+PC9EaXNwbGF5VGV4dD48cmVj
b3JkPjxyZWMtbnVtYmVyPjEzNDE8L3JlYy1udW1iZXI+PGZvcmVpZ24ta2V5cz48a2V5IGFwcD0i
RU4iIGRiLWlkPSJleHZhc3JmeDJkdHJhb2VzYXN4cDJzenN4YTJkZjUwMjU5MngiIHRpbWVzdGFt
cD0iMTU2NzAzMDk2NCI+MTM0MTwva2V5PjxrZXkgYXBwPSJFTldlYiIgZGItaWQ9IiI+MDwva2V5
PjwvZm9yZWlnbi1rZXlzPjxyZWYtdHlwZSBuYW1lPSJKb3VybmFsIEFydGljbGUiPjE3PC9yZWYt
dHlwZT48Y29udHJpYnV0b3JzPjxhdXRob3JzPjxhdXRob3I+QXphZCwgTS4gQi48L2F1dGhvcj48
YXV0aG9yPlNoYXJtYSwgQS4gSy48L2F1dGhvcj48YXV0aG9yPmRlIFNvdXphLCBSLiBKLjwvYXV0
aG9yPjxhdXRob3I+RG9saW5za3ksIFYuIFcuPC9hdXRob3I+PGF1dGhvcj5CZWNrZXIsIEEuIEIu
PC9hdXRob3I+PGF1dGhvcj5NYW5kaGFuZSwgUC4gSi48L2F1dGhvcj48YXV0aG9yPlR1cnZleSwg
Uy4gRS48L2F1dGhvcj48YXV0aG9yPlN1YmJhcmFvLCBQLjwvYXV0aG9yPjxhdXRob3I+TGVmZWJ2
cmUsIEQuIEwuPC9hdXRob3I+PGF1dGhvcj5TZWFycywgTS4gUi48L2F1dGhvcj48YXV0aG9yPkNh
bmFkaWFuIEhlYWx0aHkgSW5mYW50IExvbmdpdHVkaW5hbCBEZXZlbG9wbWVudCBTdHVkeSwgSW52
ZXN0aWdhdG9yczwvYXV0aG9yPjwvYXV0aG9ycz48L2NvbnRyaWJ1dG9ycz48YXV0aC1hZGRyZXNz
PkRlcGFydG1lbnQgb2YgUGVkaWF0cmljcyBhbmQgQ2hpbGQgSGVhbHRoLCBVbml2ZXJzaXR5IG9m
IE1hbml0b2JhLCBXaW5uaXBlZywgTWFuaXRvYmEsIENhbmFkYTJDaGlsZHJlbiZhcG9zO3MgSG9z
cGl0YWwgUmVzZWFyY2ggSW5zdGl0dXRlIG9mIE1hbml0b2JhLCBXaW5uaXBlZywgTWFuaXRvYmEs
IENhbmFkYS4mI3hEO0RlcGFydG1lbnQgb2YgUGVkaWF0cmljcyBhbmQgQ2hpbGQgSGVhbHRoLCBV
bml2ZXJzaXR5IG9mIE1hbml0b2JhLCBXaW5uaXBlZywgTWFuaXRvYmEsIENhbmFkYTJDaGlsZHJl
biZhcG9zO3MgSG9zcGl0YWwgUmVzZWFyY2ggSW5zdGl0dXRlIG9mIE1hbml0b2JhLCBXaW5uaXBl
ZywgTWFuaXRvYmEsIENhbmFkYTNHZW9yZ2UgYW5kIEZheSBZZWUgQ2VudHJlIGZvciBIZWFsdGhj
YXJlIElubm92YXRpb24sIFVuaXZlcnNpdHkgb2YgTWFuaXRvYmEsIFdpbm5pLiYjeEQ7RGVwYXJ0
bWVudCBvZiBDbGluaWNhbCBFcGlkZW1pb2xvZ3kgYW5kIEJpb3N0YXRpc3RpY3MsIE1jTWFzdGVy
IFVuaXZlcnNpdHksIEhhbWlsdG9uLCBPbnRhcmlvLCBDYW5hZGE1RGVwYXJ0bWVudCBvZiBOdXRy
aXRpb25hbCBTY2llbmNlcywgVW5pdmVyc2l0eSBvZiBUb3JvbnRvLCBUb3JvbnRvLCBPbnRhcmlv
LCBDYW5hZGE2TGkgS2EgU2hpbmcgS25vd2xlZGdlIEluc3RpdHV0ZSwgU3QgTWljaGFlbCZhcG9z
O3MgSG9zcGl0YWwsIFRvcm9udG8sIE9udGEuJiN4RDtDaGlsZHJlbiZhcG9zO3MgSG9zcGl0YWwg
UmVzZWFyY2ggSW5zdGl0dXRlIG9mIE1hbml0b2JhLCBXaW5uaXBlZywgTWFuaXRvYmEsIENhbmFk
YTdEZXBhcnRtZW50IG9mIFBoYXJtYWNvbG9neSBhbmQgVGhlcmFwZXV0aWNzLCBVbml2ZXJzaXR5
IG9mIE1hbml0b2JhLCBXaW5uaXBlZywgTWFuaXRvYmEsIENhbmFkYS4mI3hEO0RlcGFydG1lbnQg
b2YgUGVkaWF0cmljcywgVW5pdmVyc2l0eSBvZiBBbGJlcnRhLCBFZG1vbnRvbiwgQWxiZXJ0YSwg
Q2FuYWRhLiYjeEQ7RGVwYXJ0bWVudCBvZiBQZWRpYXRyaWNzLCBVbml2ZXJzaXR5IG9mIEJyaXRp
c2ggQ29sdW1iaWEsIFZhbmNvdXZlciwgQnJpdGlzaCBDb2x1bWJpYSwgQ2FuYWRhMTBDaGlsZCBh
bmQgRmFtaWx5IFJlc2VhcmNoIEluc3RpdHV0ZSwgQkMgQ2hpbGRyZW4mYXBvcztzIEhvc3BpdGFs
LCBWYW5jb3V2ZXIsIEJyaXRpc2ggQ29sdW1iaWEsIENhbmFkYS4mI3hEO0RlcGFydG1lbnQgb2Yg
UGVkaWF0cmljcyAmYW1wOyBQaHlzaW9sb2d5LCBIb3NwaXRhbCBmb3IgU2ljayBDaGlsZHJlbiwg
VW5pdmVyc2l0eSBvZiBUb3JvbnRvLCBUb3JvbnRvLCBPbnRhcmlvLCBDYW5hZGEuJiN4RDtEZXBh
cnRtZW50IG9mIE1lZGljaW5lLCBNY01hc3RlciBVbml2ZXJzaXR5LCBIYW1pbHRvbiwgT250YXJp
bywgQ2FuYWRhLjwvYXV0aC1hZGRyZXNzPjx0aXRsZXM+PHRpdGxlPkFzc29jaWF0aW9uIGJldHdl
ZW4gYXJ0aWZpY2lhbGx5IHN3ZWV0ZW5lZCBiZXZlcmFnZSBjb25zdW1wdGlvbiBkdXJpbmcgcHJl
Z25hbmN5IGFuZCBpbmZhbnQgYm9keSBtYXNzIGluZGV4PC90aXRsZT48c2Vjb25kYXJ5LXRpdGxl
PkpBTUEgUGVkaWF0cjwvc2Vjb25kYXJ5LXRpdGxlPjwvdGl0bGVzPjxwZXJpb2RpY2FsPjxmdWxs
LXRpdGxlPkpBTUEgUGVkaWF0cjwvZnVsbC10aXRsZT48L3BlcmlvZGljYWw+PHBhZ2VzPjY2Mi03
MDwvcGFnZXM+PHZvbHVtZT4xNzA8L3ZvbHVtZT48bnVtYmVyPjc8L251bWJlcj48ZWRpdGlvbj4y
MDE2LzA1LzEwPC9lZGl0aW9uPjxrZXl3b3Jkcz48a2V5d29yZD5BZHVsdDwva2V5d29yZD48a2V5
d29yZD5CZXZlcmFnZXMvKmFkdmVyc2UgZWZmZWN0czwva2V5d29yZD48a2V5d29yZD4qQm9keSBN
YXNzIEluZGV4PC9rZXl3b3JkPjxrZXl3b3JkPkRpZXQgU3VydmV5czwva2V5d29yZD48a2V5d29y
ZD5GZW1hbGU8L2tleXdvcmQ+PGtleXdvcmQ+SHVtYW5zPC9rZXl3b3JkPjxrZXl3b3JkPkluZmFu
dDwva2V5d29yZD48a2V5d29yZD5MaW5lYXIgTW9kZWxzPC9rZXl3b3JkPjxrZXl3b3JkPkxvZ2lz
dGljIE1vZGVsczwva2V5d29yZD48a2V5d29yZD5Mb25naXR1ZGluYWwgU3R1ZGllczwva2V5d29y
ZD48a2V5d29yZD5NYWxlPC9rZXl3b3JkPjxrZXl3b3JkPk5vbi1OdXRyaXRpdmUgU3dlZXRlbmVy
cy8qYWR2ZXJzZSBlZmZlY3RzPC9rZXl3b3JkPjxrZXl3b3JkPk92ZXJ3ZWlnaHQvZGlhZ25vc2lz
LypldGlvbG9neTwva2V5d29yZD48a2V5d29yZD5QZWRpYXRyaWMgT2Jlc2l0eS9kaWFnbm9zaXMv
ZXRpb2xvZ3k8L2tleXdvcmQ+PGtleXdvcmQ+UHJlZ25hbmN5PC9rZXl3b3JkPjxrZXl3b3JkPlBy
ZW5hdGFsIEV4cG9zdXJlIERlbGF5ZWQgRWZmZWN0cy8qZXRpb2xvZ3k8L2tleXdvcmQ+PGtleXdv
cmQ+KlByZW5hdGFsIE51dHJpdGlvbmFsIFBoeXNpb2xvZ2ljYWwgUGhlbm9tZW5hPC9rZXl3b3Jk
PjxrZXl3b3JkPlByb3NwZWN0aXZlIFN0dWRpZXM8L2tleXdvcmQ+PC9rZXl3b3Jkcz48ZGF0ZXM+
PHllYXI+MjAxNjwveWVhcj48cHViLWRhdGVzPjxkYXRlPkp1bCAxPC9kYXRlPjwvcHViLWRhdGVz
PjwvZGF0ZXM+PGlzYm4+MjE2OC02MjExIChFbGVjdHJvbmljKSYjeEQ7MjE2OC02MjAzIChMaW5r
aW5nKTwvaXNibj48YWNjZXNzaW9uLW51bT4yNzE1OTc5MjwvYWNjZXNzaW9uLW51bT48dXJscz48
cmVsYXRlZC11cmxzPjx1cmw+aHR0cHM6Ly93d3cubmNiaS5ubG0ubmloLmdvdi9wdWJtZWQvMjcx
NTk3OTI8L3VybD48L3JlbGF0ZWQtdXJscz48L3VybHM+PGVsZWN0cm9uaWMtcmVzb3VyY2UtbnVt
PjEwLjEwMDEvamFtYXBlZGlhdHJpY3MuMjAxNi4wMzAxPC9lbGVjdHJvbmljLXJlc291cmNlLW51
bT48L3JlY29yZD48L0NpdGU+PC9FbmROb3RlPn==
</w:fldData>
              </w:fldChar>
            </w:r>
            <w:r w:rsidR="002747EA">
              <w:instrText xml:space="preserve"> ADDIN EN.CITE </w:instrText>
            </w:r>
            <w:r w:rsidR="002747EA">
              <w:fldChar w:fldCharType="begin">
                <w:fldData xml:space="preserve">PEVuZE5vdGU+PENpdGU+PEF1dGhvcj5BemFkPC9BdXRob3I+PFllYXI+MjAxNjwvWWVhcj48UmVj
TnVtPjEzNDE8L1JlY051bT48RGlzcGxheVRleHQ+PHN0eWxlIGZhY2U9InN1cGVyc2NyaXB0IiBm
b250PSJUcmVidWNoZXQgTVMiIHNpemU9IjkiPjEwMjwvc3R5bGU+PC9EaXNwbGF5VGV4dD48cmVj
b3JkPjxyZWMtbnVtYmVyPjEzNDE8L3JlYy1udW1iZXI+PGZvcmVpZ24ta2V5cz48a2V5IGFwcD0i
RU4iIGRiLWlkPSJleHZhc3JmeDJkdHJhb2VzYXN4cDJzenN4YTJkZjUwMjU5MngiIHRpbWVzdGFt
cD0iMTU2NzAzMDk2NCI+MTM0MTwva2V5PjxrZXkgYXBwPSJFTldlYiIgZGItaWQ9IiI+MDwva2V5
PjwvZm9yZWlnbi1rZXlzPjxyZWYtdHlwZSBuYW1lPSJKb3VybmFsIEFydGljbGUiPjE3PC9yZWYt
dHlwZT48Y29udHJpYnV0b3JzPjxhdXRob3JzPjxhdXRob3I+QXphZCwgTS4gQi48L2F1dGhvcj48
YXV0aG9yPlNoYXJtYSwgQS4gSy48L2F1dGhvcj48YXV0aG9yPmRlIFNvdXphLCBSLiBKLjwvYXV0
aG9yPjxhdXRob3I+RG9saW5za3ksIFYuIFcuPC9hdXRob3I+PGF1dGhvcj5CZWNrZXIsIEEuIEIu
PC9hdXRob3I+PGF1dGhvcj5NYW5kaGFuZSwgUC4gSi48L2F1dGhvcj48YXV0aG9yPlR1cnZleSwg
Uy4gRS48L2F1dGhvcj48YXV0aG9yPlN1YmJhcmFvLCBQLjwvYXV0aG9yPjxhdXRob3I+TGVmZWJ2
cmUsIEQuIEwuPC9hdXRob3I+PGF1dGhvcj5TZWFycywgTS4gUi48L2F1dGhvcj48YXV0aG9yPkNh
bmFkaWFuIEhlYWx0aHkgSW5mYW50IExvbmdpdHVkaW5hbCBEZXZlbG9wbWVudCBTdHVkeSwgSW52
ZXN0aWdhdG9yczwvYXV0aG9yPjwvYXV0aG9ycz48L2NvbnRyaWJ1dG9ycz48YXV0aC1hZGRyZXNz
PkRlcGFydG1lbnQgb2YgUGVkaWF0cmljcyBhbmQgQ2hpbGQgSGVhbHRoLCBVbml2ZXJzaXR5IG9m
IE1hbml0b2JhLCBXaW5uaXBlZywgTWFuaXRvYmEsIENhbmFkYTJDaGlsZHJlbiZhcG9zO3MgSG9z
cGl0YWwgUmVzZWFyY2ggSW5zdGl0dXRlIG9mIE1hbml0b2JhLCBXaW5uaXBlZywgTWFuaXRvYmEs
IENhbmFkYS4mI3hEO0RlcGFydG1lbnQgb2YgUGVkaWF0cmljcyBhbmQgQ2hpbGQgSGVhbHRoLCBV
bml2ZXJzaXR5IG9mIE1hbml0b2JhLCBXaW5uaXBlZywgTWFuaXRvYmEsIENhbmFkYTJDaGlsZHJl
biZhcG9zO3MgSG9zcGl0YWwgUmVzZWFyY2ggSW5zdGl0dXRlIG9mIE1hbml0b2JhLCBXaW5uaXBl
ZywgTWFuaXRvYmEsIENhbmFkYTNHZW9yZ2UgYW5kIEZheSBZZWUgQ2VudHJlIGZvciBIZWFsdGhj
YXJlIElubm92YXRpb24sIFVuaXZlcnNpdHkgb2YgTWFuaXRvYmEsIFdpbm5pLiYjeEQ7RGVwYXJ0
bWVudCBvZiBDbGluaWNhbCBFcGlkZW1pb2xvZ3kgYW5kIEJpb3N0YXRpc3RpY3MsIE1jTWFzdGVy
IFVuaXZlcnNpdHksIEhhbWlsdG9uLCBPbnRhcmlvLCBDYW5hZGE1RGVwYXJ0bWVudCBvZiBOdXRy
aXRpb25hbCBTY2llbmNlcywgVW5pdmVyc2l0eSBvZiBUb3JvbnRvLCBUb3JvbnRvLCBPbnRhcmlv
LCBDYW5hZGE2TGkgS2EgU2hpbmcgS25vd2xlZGdlIEluc3RpdHV0ZSwgU3QgTWljaGFlbCZhcG9z
O3MgSG9zcGl0YWwsIFRvcm9udG8sIE9udGEuJiN4RDtDaGlsZHJlbiZhcG9zO3MgSG9zcGl0YWwg
UmVzZWFyY2ggSW5zdGl0dXRlIG9mIE1hbml0b2JhLCBXaW5uaXBlZywgTWFuaXRvYmEsIENhbmFk
YTdEZXBhcnRtZW50IG9mIFBoYXJtYWNvbG9neSBhbmQgVGhlcmFwZXV0aWNzLCBVbml2ZXJzaXR5
IG9mIE1hbml0b2JhLCBXaW5uaXBlZywgTWFuaXRvYmEsIENhbmFkYS4mI3hEO0RlcGFydG1lbnQg
b2YgUGVkaWF0cmljcywgVW5pdmVyc2l0eSBvZiBBbGJlcnRhLCBFZG1vbnRvbiwgQWxiZXJ0YSwg
Q2FuYWRhLiYjeEQ7RGVwYXJ0bWVudCBvZiBQZWRpYXRyaWNzLCBVbml2ZXJzaXR5IG9mIEJyaXRp
c2ggQ29sdW1iaWEsIFZhbmNvdXZlciwgQnJpdGlzaCBDb2x1bWJpYSwgQ2FuYWRhMTBDaGlsZCBh
bmQgRmFtaWx5IFJlc2VhcmNoIEluc3RpdHV0ZSwgQkMgQ2hpbGRyZW4mYXBvcztzIEhvc3BpdGFs
LCBWYW5jb3V2ZXIsIEJyaXRpc2ggQ29sdW1iaWEsIENhbmFkYS4mI3hEO0RlcGFydG1lbnQgb2Yg
UGVkaWF0cmljcyAmYW1wOyBQaHlzaW9sb2d5LCBIb3NwaXRhbCBmb3IgU2ljayBDaGlsZHJlbiwg
VW5pdmVyc2l0eSBvZiBUb3JvbnRvLCBUb3JvbnRvLCBPbnRhcmlvLCBDYW5hZGEuJiN4RDtEZXBh
cnRtZW50IG9mIE1lZGljaW5lLCBNY01hc3RlciBVbml2ZXJzaXR5LCBIYW1pbHRvbiwgT250YXJp
bywgQ2FuYWRhLjwvYXV0aC1hZGRyZXNzPjx0aXRsZXM+PHRpdGxlPkFzc29jaWF0aW9uIGJldHdl
ZW4gYXJ0aWZpY2lhbGx5IHN3ZWV0ZW5lZCBiZXZlcmFnZSBjb25zdW1wdGlvbiBkdXJpbmcgcHJl
Z25hbmN5IGFuZCBpbmZhbnQgYm9keSBtYXNzIGluZGV4PC90aXRsZT48c2Vjb25kYXJ5LXRpdGxl
PkpBTUEgUGVkaWF0cjwvc2Vjb25kYXJ5LXRpdGxlPjwvdGl0bGVzPjxwZXJpb2RpY2FsPjxmdWxs
LXRpdGxlPkpBTUEgUGVkaWF0cjwvZnVsbC10aXRsZT48L3BlcmlvZGljYWw+PHBhZ2VzPjY2Mi03
MDwvcGFnZXM+PHZvbHVtZT4xNzA8L3ZvbHVtZT48bnVtYmVyPjc8L251bWJlcj48ZWRpdGlvbj4y
MDE2LzA1LzEwPC9lZGl0aW9uPjxrZXl3b3Jkcz48a2V5d29yZD5BZHVsdDwva2V5d29yZD48a2V5
d29yZD5CZXZlcmFnZXMvKmFkdmVyc2UgZWZmZWN0czwva2V5d29yZD48a2V5d29yZD4qQm9keSBN
YXNzIEluZGV4PC9rZXl3b3JkPjxrZXl3b3JkPkRpZXQgU3VydmV5czwva2V5d29yZD48a2V5d29y
ZD5GZW1hbGU8L2tleXdvcmQ+PGtleXdvcmQ+SHVtYW5zPC9rZXl3b3JkPjxrZXl3b3JkPkluZmFu
dDwva2V5d29yZD48a2V5d29yZD5MaW5lYXIgTW9kZWxzPC9rZXl3b3JkPjxrZXl3b3JkPkxvZ2lz
dGljIE1vZGVsczwva2V5d29yZD48a2V5d29yZD5Mb25naXR1ZGluYWwgU3R1ZGllczwva2V5d29y
ZD48a2V5d29yZD5NYWxlPC9rZXl3b3JkPjxrZXl3b3JkPk5vbi1OdXRyaXRpdmUgU3dlZXRlbmVy
cy8qYWR2ZXJzZSBlZmZlY3RzPC9rZXl3b3JkPjxrZXl3b3JkPk92ZXJ3ZWlnaHQvZGlhZ25vc2lz
LypldGlvbG9neTwva2V5d29yZD48a2V5d29yZD5QZWRpYXRyaWMgT2Jlc2l0eS9kaWFnbm9zaXMv
ZXRpb2xvZ3k8L2tleXdvcmQ+PGtleXdvcmQ+UHJlZ25hbmN5PC9rZXl3b3JkPjxrZXl3b3JkPlBy
ZW5hdGFsIEV4cG9zdXJlIERlbGF5ZWQgRWZmZWN0cy8qZXRpb2xvZ3k8L2tleXdvcmQ+PGtleXdv
cmQ+KlByZW5hdGFsIE51dHJpdGlvbmFsIFBoeXNpb2xvZ2ljYWwgUGhlbm9tZW5hPC9rZXl3b3Jk
PjxrZXl3b3JkPlByb3NwZWN0aXZlIFN0dWRpZXM8L2tleXdvcmQ+PC9rZXl3b3Jkcz48ZGF0ZXM+
PHllYXI+MjAxNjwveWVhcj48cHViLWRhdGVzPjxkYXRlPkp1bCAxPC9kYXRlPjwvcHViLWRhdGVz
PjwvZGF0ZXM+PGlzYm4+MjE2OC02MjExIChFbGVjdHJvbmljKSYjeEQ7MjE2OC02MjAzIChMaW5r
aW5nKTwvaXNibj48YWNjZXNzaW9uLW51bT4yNzE1OTc5MjwvYWNjZXNzaW9uLW51bT48dXJscz48
cmVsYXRlZC11cmxzPjx1cmw+aHR0cHM6Ly93d3cubmNiaS5ubG0ubmloLmdvdi9wdWJtZWQvMjcx
NTk3OTI8L3VybD48L3JlbGF0ZWQtdXJscz48L3VybHM+PGVsZWN0cm9uaWMtcmVzb3VyY2UtbnVt
PjEwLjEwMDEvamFtYXBlZGlhdHJpY3MuMjAxNi4wMzAxPC9lbGVjdHJvbmljLXJlc291cmNlLW51
bT48L3JlY29yZD48L0NpdGU+PC9FbmROb3RlPn==
</w:fldData>
              </w:fldChar>
            </w:r>
            <w:r w:rsidR="002747EA">
              <w:instrText xml:space="preserve"> ADDIN EN.CITE.DATA </w:instrText>
            </w:r>
            <w:r w:rsidR="002747EA">
              <w:fldChar w:fldCharType="end"/>
            </w:r>
            <w:r w:rsidR="00767EBF">
              <w:fldChar w:fldCharType="separate"/>
            </w:r>
            <w:r w:rsidR="002747EA" w:rsidRPr="002747EA">
              <w:rPr>
                <w:noProof/>
                <w:vertAlign w:val="superscript"/>
              </w:rPr>
              <w:t>102</w:t>
            </w:r>
            <w:r w:rsidR="00767EBF">
              <w:fldChar w:fldCharType="end"/>
            </w:r>
          </w:p>
          <w:p w14:paraId="41226004" w14:textId="77777777" w:rsidR="00BE7A73" w:rsidRDefault="00BE7A73" w:rsidP="00F20A8C">
            <w:pPr>
              <w:keepNext/>
            </w:pPr>
            <w:r>
              <w:t>Canada</w:t>
            </w:r>
          </w:p>
          <w:p w14:paraId="0B54808C" w14:textId="10B9AF24" w:rsidR="00BE7A73" w:rsidRPr="00852D7E" w:rsidRDefault="00BE7A73" w:rsidP="00F20A8C">
            <w:pPr>
              <w:keepNext/>
            </w:pPr>
            <w:r>
              <w:t>Cohort</w:t>
            </w:r>
          </w:p>
        </w:tc>
        <w:tc>
          <w:tcPr>
            <w:tcW w:w="1417" w:type="dxa"/>
          </w:tcPr>
          <w:p w14:paraId="5D7B54AE" w14:textId="77777777" w:rsidR="00BE7A73" w:rsidRDefault="00BE7A73" w:rsidP="00852D7E">
            <w:r w:rsidRPr="00BE7A73">
              <w:t>3</w:t>
            </w:r>
            <w:r>
              <w:t>,</w:t>
            </w:r>
            <w:r w:rsidRPr="00BE7A73">
              <w:t>033 mother-infant dyads</w:t>
            </w:r>
          </w:p>
          <w:p w14:paraId="43D425A5" w14:textId="5F6C838E" w:rsidR="00BE7A73" w:rsidRPr="00852D7E" w:rsidRDefault="00BE7A73" w:rsidP="00852D7E">
            <w:r>
              <w:t>2,686 infants at 1 year</w:t>
            </w:r>
          </w:p>
        </w:tc>
        <w:tc>
          <w:tcPr>
            <w:tcW w:w="4535" w:type="dxa"/>
          </w:tcPr>
          <w:p w14:paraId="353A3BAA" w14:textId="7C78E9C3" w:rsidR="00BE7A73" w:rsidRDefault="00BE7A73" w:rsidP="00BE7A73">
            <w:r w:rsidRPr="00BE7A73">
              <w:rPr>
                <w:b/>
              </w:rPr>
              <w:t>Aim</w:t>
            </w:r>
            <w:r>
              <w:t xml:space="preserve">: </w:t>
            </w:r>
            <w:r w:rsidRPr="00BE7A73">
              <w:t xml:space="preserve">To determine whether maternal consumption of artificially sweetened beverages during pregnancy is associated with infant body mass index. </w:t>
            </w:r>
          </w:p>
          <w:p w14:paraId="3CB4F9EB" w14:textId="02A731F6" w:rsidR="00BE7A73" w:rsidRPr="00EC6E65" w:rsidRDefault="00BE7A73" w:rsidP="00BE7A73">
            <w:pPr>
              <w:rPr>
                <w:b/>
              </w:rPr>
            </w:pPr>
            <w:r w:rsidRPr="00BE7A73">
              <w:rPr>
                <w:b/>
              </w:rPr>
              <w:t>Methods</w:t>
            </w:r>
            <w:r>
              <w:t>: H</w:t>
            </w:r>
            <w:r w:rsidRPr="00BE7A73">
              <w:t>ealthy pregnant women completed dietary assessments during pregnancy, and their infants' BMI was measured at 1 year of age. Statistical analysis for this study used data collected after the first year of follow-up</w:t>
            </w:r>
            <w:r>
              <w:t xml:space="preserve"> and m</w:t>
            </w:r>
            <w:r w:rsidRPr="00BE7A73">
              <w:t xml:space="preserve">aternal consumption of artificially sweetened beverages and sugar-sweetened beverages during pregnancy, determined by a food frequency questionnaire. </w:t>
            </w:r>
          </w:p>
        </w:tc>
        <w:tc>
          <w:tcPr>
            <w:tcW w:w="4534" w:type="dxa"/>
          </w:tcPr>
          <w:p w14:paraId="259A0242" w14:textId="06D6FE09" w:rsidR="00BE7A73" w:rsidRPr="00BE7A73" w:rsidRDefault="00BE7A73" w:rsidP="00BE7A73">
            <w:r w:rsidRPr="00BE7A73">
              <w:t>Compared with no consumption, daily consumption of artificially sweetened beverages was associated with a 0.20-unit increase in infant BMI z score (adjusted 95% CI, 0.02</w:t>
            </w:r>
            <w:r>
              <w:t xml:space="preserve"> to </w:t>
            </w:r>
            <w:r w:rsidRPr="00BE7A73">
              <w:t>0.38) and a 2-fold higher risk of infant overweight at 1 year of age (</w:t>
            </w:r>
            <w:r>
              <w:t>aOR 2.19; 95%CI</w:t>
            </w:r>
            <w:r w:rsidRPr="00BE7A73">
              <w:t xml:space="preserve"> 1.23</w:t>
            </w:r>
            <w:r>
              <w:t xml:space="preserve"> to </w:t>
            </w:r>
            <w:r w:rsidRPr="00BE7A73">
              <w:t xml:space="preserve">3.88). These effects were not explained by maternal BMI, diet quality, total energy intake, or other obesity risk factors. There were no comparable associations for sugar-sweetened beverages. </w:t>
            </w:r>
          </w:p>
          <w:p w14:paraId="05E47116" w14:textId="77777777" w:rsidR="00BE7A73" w:rsidRDefault="00BE7A73" w:rsidP="00EC6E65"/>
        </w:tc>
        <w:tc>
          <w:tcPr>
            <w:tcW w:w="1842" w:type="dxa"/>
          </w:tcPr>
          <w:p w14:paraId="27D2FBC3" w14:textId="2D2C6E45" w:rsidR="00BE7A73" w:rsidRDefault="00BE7A73" w:rsidP="00743D03">
            <w:pPr>
              <w:keepNext/>
              <w:rPr>
                <w:b/>
              </w:rPr>
            </w:pPr>
          </w:p>
        </w:tc>
      </w:tr>
      <w:tr w:rsidR="00BE7A73" w:rsidRPr="00F350A6" w14:paraId="7F2901E9" w14:textId="77777777" w:rsidTr="00D21A32">
        <w:trPr>
          <w:cantSplit/>
          <w:trHeight w:val="390"/>
        </w:trPr>
        <w:tc>
          <w:tcPr>
            <w:tcW w:w="1564" w:type="dxa"/>
          </w:tcPr>
          <w:p w14:paraId="25781423" w14:textId="66A47B96" w:rsidR="00BE7A73" w:rsidRDefault="00BE7A73" w:rsidP="00F20A8C">
            <w:pPr>
              <w:keepNext/>
            </w:pPr>
            <w:r>
              <w:t>Bedard et al 2017</w:t>
            </w:r>
            <w:r w:rsidR="00767EBF">
              <w:fldChar w:fldCharType="begin">
                <w:fldData xml:space="preserve">PEVuZE5vdGU+PENpdGU+PEF1dGhvcj5CZWRhcmQ8L0F1dGhvcj48WWVhcj4yMDE3PC9ZZWFyPjxS
ZWNOdW0+MTM0NTwvUmVjTnVtPjxEaXNwbGF5VGV4dD48c3R5bGUgZmFjZT0ic3VwZXJzY3JpcHQi
IGZvbnQ9IlRyZWJ1Y2hldCBNUyIgc2l6ZT0iOSI+MTA0PC9zdHlsZT48L0Rpc3BsYXlUZXh0Pjxy
ZWNvcmQ+PHJlYy1udW1iZXI+MTM0NTwvcmVjLW51bWJlcj48Zm9yZWlnbi1rZXlzPjxrZXkgYXBw
PSJFTiIgZGItaWQ9ImV4dmFzcmZ4MmR0cmFvZXNhc3hwMnN6c3hhMmRmNTAyNTkyeCIgdGltZXN0
YW1wPSIxNTY3MDMwOTgwIj4xMzQ1PC9rZXk+PGtleSBhcHA9IkVOV2ViIiBkYi1pZD0iIj4wPC9r
ZXk+PC9mb3JlaWduLWtleXM+PHJlZi10eXBlIG5hbWU9IkpvdXJuYWwgQXJ0aWNsZSI+MTc8L3Jl
Zi10eXBlPjxjb250cmlidXRvcnM+PGF1dGhvcnM+PGF1dGhvcj5CZWRhcmQsIEEuPC9hdXRob3I+
PGF1dGhvcj5Ob3J0aHN0b25lLCBLLjwvYXV0aG9yPjxhdXRob3I+SGVuZGVyc29uLCBBLiBKLjwv
YXV0aG9yPjxhdXRob3I+U2hhaGVlbiwgUy4gTy48L2F1dGhvcj48L2F1dGhvcnM+PC9jb250cmli
dXRvcnM+PGF1dGgtYWRkcmVzcz5DZW50cmUgZm9yIFByaW1hcnkgQ2FyZSBhbmQgUHVibGljIEhl
YWx0aCwgQmFydHMgYW5kIFRoZSBMb25kb24gU2Nob29sIG9mIE1lZGljaW5lIGFuZCBEZW50aXN0
cnksIFF1ZWVuIE1hcnkgVW5pdmVyc2l0eSBvZiBMb25kb24sIExvbmRvbiwgVUsgYS5iZWRhcmRA
cW11bC5hYy51ay4mI3hEO05hdGlvbmFsIEluc3RpdHV0ZSBmb3IgSGVhbHRoIFJlc2VhcmNoIENv
bGxhYm9yYXRpb24gZm9yIExlYWRlcnNoaXAgaW4gQXBwbGllZCBIZWFsdGggUmVzZWFyY2ggYW5k
IENhcmUgV2VzdCwgQnJpc3RvbCwgVUsuJiN4RDtTY2hvb2wgb2YgU29jaWFsIGFuZCBDb21tdW5p
dHkgTWVkaWNpbmUsIFVuaXZlcnNpdHkgb2YgQnJpc3RvbCwgQnJpc3RvbCwgVUsuJiN4RDtKb2lu
dCBzZW5pb3IgYXV0aG9ycy4mI3hEO0NlbnRyZSBmb3IgUHJpbWFyeSBDYXJlIGFuZCBQdWJsaWMg
SGVhbHRoLCBCYXJ0cyBhbmQgVGhlIExvbmRvbiBTY2hvb2wgb2YgTWVkaWNpbmUgYW5kIERlbnRp
c3RyeSwgUXVlZW4gTWFyeSBVbml2ZXJzaXR5IG9mIExvbmRvbiwgTG9uZG9uLCBVSy48L2F1dGgt
YWRkcmVzcz48dGl0bGVzPjx0aXRsZT5NYXRlcm5hbCBpbnRha2Ugb2Ygc3VnYXIgZHVyaW5nIHBy
ZWduYW5jeSBhbmQgY2hpbGRob29kIHJlc3BpcmF0b3J5IGFuZCBhdG9waWMgb3V0Y29tZXM8L3Rp
dGxlPjxzZWNvbmRhcnktdGl0bGU+RXVyIFJlc3BpciBKPC9zZWNvbmRhcnktdGl0bGU+PC90aXRs
ZXM+PHBlcmlvZGljYWw+PGZ1bGwtdGl0bGU+RXVyIFJlc3BpciBKPC9mdWxsLXRpdGxlPjwvcGVy
aW9kaWNhbD48dm9sdW1lPjUwPC92b2x1bWU+PG51bWJlcj4xPC9udW1iZXI+PGVkaXRpb24+MjAx
Ny8wNy8wNzwvZWRpdGlvbj48a2V5d29yZHM+PGtleXdvcmQ+QWRvbGVzY2VudDwva2V5d29yZD48
a2V5d29yZD5BZHVsdDwva2V5d29yZD48a2V5d29yZD5Bc3RobWEvKmVwaWRlbWlvbG9neTwva2V5
d29yZD48a2V5d29yZD5DaGlsZDwva2V5d29yZD48a2V5d29yZD5EZXJtYXRpdGlzLCBBdG9waWMv
KmVwaWRlbWlvbG9neTwva2V5d29yZD48a2V5d29yZD5EaWV0YXJ5IFN1Y3Jvc2UvYWRtaW5pc3Ry
YXRpb24gJmFtcDsgZG9zYWdlLyphZHZlcnNlIGVmZmVjdHM8L2tleXdvcmQ+PGtleXdvcmQ+RmVt
YWxlPC9rZXl3b3JkPjxrZXl3b3JkPkh1bWFuczwva2V5d29yZD48a2V5d29yZD5JbW11bm9nbG9i
dWxpbiBFL2Jsb29kPC9rZXl3b3JkPjxrZXl3b3JkPkxpbmVhciBNb2RlbHM8L2tleXdvcmQ+PGtl
eXdvcmQ+TG9naXN0aWMgTW9kZWxzPC9rZXl3b3JkPjxrZXl3b3JkPkxvbmdpdHVkaW5hbCBTdHVk
aWVzPC9rZXl3b3JkPjxrZXl3b3JkPk1hbGU8L2tleXdvcmQ+PGtleXdvcmQ+TW90aGVyczwva2V5
d29yZD48a2V5d29yZD5QcmVnbmFuY3k8L2tleXdvcmQ+PGtleXdvcmQ+UHJlbmF0YWwgRXhwb3N1
cmUgRGVsYXllZCBFZmZlY3RzPC9rZXl3b3JkPjxrZXl3b3JkPipQcmVuYXRhbCBOdXRyaXRpb25h
bCBQaHlzaW9sb2dpY2FsIFBoZW5vbWVuYTwva2V5d29yZD48a2V5d29yZD5SZXNwaXJhdG9yeSBT
b3VuZHM8L2tleXdvcmQ+PGtleXdvcmQ+Umhpbml0aXMsIEFsbGVyZ2ljLCBTZWFzb25hbC8qZXBp
ZGVtaW9sb2d5PC9rZXl3b3JkPjxrZXl3b3JkPlVuaXRlZCBLaW5nZG9tL2VwaWRlbWlvbG9neTwv
a2V5d29yZD48L2tleXdvcmRzPjxkYXRlcz48eWVhcj4yMDE3PC95ZWFyPjxwdWItZGF0ZXM+PGRh
dGU+SnVsPC9kYXRlPjwvcHViLWRhdGVzPjwvZGF0ZXM+PGlzYm4+MTM5OS0zMDAzIChFbGVjdHJv
bmljKSYjeEQ7MDkwMy0xOTM2IChMaW5raW5nKTwvaXNibj48YWNjZXNzaW9uLW51bT4yODY3OTYx
MDwvYWNjZXNzaW9uLW51bT48dXJscz48cmVsYXRlZC11cmxzPjx1cmw+aHR0cHM6Ly93d3cubmNi
aS5ubG0ubmloLmdvdi9wdWJtZWQvMjg2Nzk2MTA8L3VybD48L3JlbGF0ZWQtdXJscz48L3VybHM+
PGN1c3RvbTI+UE1DNTU0MDY3OCBlcmouZXJzam91cm5hbHMuY29tPC9jdXN0b20yPjxlbGVjdHJv
bmljLXJlc291cmNlLW51bT4xMC4xMTgzLzEzOTkzMDAzLjAwMDczLTIwMTc8L2VsZWN0cm9uaWMt
cmVzb3VyY2UtbnVtPjwvcmVjb3JkPjwvQ2l0ZT48L0VuZE5vdGU+AG==
</w:fldData>
              </w:fldChar>
            </w:r>
            <w:r w:rsidR="002747EA">
              <w:instrText xml:space="preserve"> ADDIN EN.CITE </w:instrText>
            </w:r>
            <w:r w:rsidR="002747EA">
              <w:fldChar w:fldCharType="begin">
                <w:fldData xml:space="preserve">PEVuZE5vdGU+PENpdGU+PEF1dGhvcj5CZWRhcmQ8L0F1dGhvcj48WWVhcj4yMDE3PC9ZZWFyPjxS
ZWNOdW0+MTM0NTwvUmVjTnVtPjxEaXNwbGF5VGV4dD48c3R5bGUgZmFjZT0ic3VwZXJzY3JpcHQi
IGZvbnQ9IlRyZWJ1Y2hldCBNUyIgc2l6ZT0iOSI+MTA0PC9zdHlsZT48L0Rpc3BsYXlUZXh0Pjxy
ZWNvcmQ+PHJlYy1udW1iZXI+MTM0NTwvcmVjLW51bWJlcj48Zm9yZWlnbi1rZXlzPjxrZXkgYXBw
PSJFTiIgZGItaWQ9ImV4dmFzcmZ4MmR0cmFvZXNhc3hwMnN6c3hhMmRmNTAyNTkyeCIgdGltZXN0
YW1wPSIxNTY3MDMwOTgwIj4xMzQ1PC9rZXk+PGtleSBhcHA9IkVOV2ViIiBkYi1pZD0iIj4wPC9r
ZXk+PC9mb3JlaWduLWtleXM+PHJlZi10eXBlIG5hbWU9IkpvdXJuYWwgQXJ0aWNsZSI+MTc8L3Jl
Zi10eXBlPjxjb250cmlidXRvcnM+PGF1dGhvcnM+PGF1dGhvcj5CZWRhcmQsIEEuPC9hdXRob3I+
PGF1dGhvcj5Ob3J0aHN0b25lLCBLLjwvYXV0aG9yPjxhdXRob3I+SGVuZGVyc29uLCBBLiBKLjwv
YXV0aG9yPjxhdXRob3I+U2hhaGVlbiwgUy4gTy48L2F1dGhvcj48L2F1dGhvcnM+PC9jb250cmli
dXRvcnM+PGF1dGgtYWRkcmVzcz5DZW50cmUgZm9yIFByaW1hcnkgQ2FyZSBhbmQgUHVibGljIEhl
YWx0aCwgQmFydHMgYW5kIFRoZSBMb25kb24gU2Nob29sIG9mIE1lZGljaW5lIGFuZCBEZW50aXN0
cnksIFF1ZWVuIE1hcnkgVW5pdmVyc2l0eSBvZiBMb25kb24sIExvbmRvbiwgVUsgYS5iZWRhcmRA
cW11bC5hYy51ay4mI3hEO05hdGlvbmFsIEluc3RpdHV0ZSBmb3IgSGVhbHRoIFJlc2VhcmNoIENv
bGxhYm9yYXRpb24gZm9yIExlYWRlcnNoaXAgaW4gQXBwbGllZCBIZWFsdGggUmVzZWFyY2ggYW5k
IENhcmUgV2VzdCwgQnJpc3RvbCwgVUsuJiN4RDtTY2hvb2wgb2YgU29jaWFsIGFuZCBDb21tdW5p
dHkgTWVkaWNpbmUsIFVuaXZlcnNpdHkgb2YgQnJpc3RvbCwgQnJpc3RvbCwgVUsuJiN4RDtKb2lu
dCBzZW5pb3IgYXV0aG9ycy4mI3hEO0NlbnRyZSBmb3IgUHJpbWFyeSBDYXJlIGFuZCBQdWJsaWMg
SGVhbHRoLCBCYXJ0cyBhbmQgVGhlIExvbmRvbiBTY2hvb2wgb2YgTWVkaWNpbmUgYW5kIERlbnRp
c3RyeSwgUXVlZW4gTWFyeSBVbml2ZXJzaXR5IG9mIExvbmRvbiwgTG9uZG9uLCBVSy48L2F1dGgt
YWRkcmVzcz48dGl0bGVzPjx0aXRsZT5NYXRlcm5hbCBpbnRha2Ugb2Ygc3VnYXIgZHVyaW5nIHBy
ZWduYW5jeSBhbmQgY2hpbGRob29kIHJlc3BpcmF0b3J5IGFuZCBhdG9waWMgb3V0Y29tZXM8L3Rp
dGxlPjxzZWNvbmRhcnktdGl0bGU+RXVyIFJlc3BpciBKPC9zZWNvbmRhcnktdGl0bGU+PC90aXRs
ZXM+PHBlcmlvZGljYWw+PGZ1bGwtdGl0bGU+RXVyIFJlc3BpciBKPC9mdWxsLXRpdGxlPjwvcGVy
aW9kaWNhbD48dm9sdW1lPjUwPC92b2x1bWU+PG51bWJlcj4xPC9udW1iZXI+PGVkaXRpb24+MjAx
Ny8wNy8wNzwvZWRpdGlvbj48a2V5d29yZHM+PGtleXdvcmQ+QWRvbGVzY2VudDwva2V5d29yZD48
a2V5d29yZD5BZHVsdDwva2V5d29yZD48a2V5d29yZD5Bc3RobWEvKmVwaWRlbWlvbG9neTwva2V5
d29yZD48a2V5d29yZD5DaGlsZDwva2V5d29yZD48a2V5d29yZD5EZXJtYXRpdGlzLCBBdG9waWMv
KmVwaWRlbWlvbG9neTwva2V5d29yZD48a2V5d29yZD5EaWV0YXJ5IFN1Y3Jvc2UvYWRtaW5pc3Ry
YXRpb24gJmFtcDsgZG9zYWdlLyphZHZlcnNlIGVmZmVjdHM8L2tleXdvcmQ+PGtleXdvcmQ+RmVt
YWxlPC9rZXl3b3JkPjxrZXl3b3JkPkh1bWFuczwva2V5d29yZD48a2V5d29yZD5JbW11bm9nbG9i
dWxpbiBFL2Jsb29kPC9rZXl3b3JkPjxrZXl3b3JkPkxpbmVhciBNb2RlbHM8L2tleXdvcmQ+PGtl
eXdvcmQ+TG9naXN0aWMgTW9kZWxzPC9rZXl3b3JkPjxrZXl3b3JkPkxvbmdpdHVkaW5hbCBTdHVk
aWVzPC9rZXl3b3JkPjxrZXl3b3JkPk1hbGU8L2tleXdvcmQ+PGtleXdvcmQ+TW90aGVyczwva2V5
d29yZD48a2V5d29yZD5QcmVnbmFuY3k8L2tleXdvcmQ+PGtleXdvcmQ+UHJlbmF0YWwgRXhwb3N1
cmUgRGVsYXllZCBFZmZlY3RzPC9rZXl3b3JkPjxrZXl3b3JkPipQcmVuYXRhbCBOdXRyaXRpb25h
bCBQaHlzaW9sb2dpY2FsIFBoZW5vbWVuYTwva2V5d29yZD48a2V5d29yZD5SZXNwaXJhdG9yeSBT
b3VuZHM8L2tleXdvcmQ+PGtleXdvcmQ+Umhpbml0aXMsIEFsbGVyZ2ljLCBTZWFzb25hbC8qZXBp
ZGVtaW9sb2d5PC9rZXl3b3JkPjxrZXl3b3JkPlVuaXRlZCBLaW5nZG9tL2VwaWRlbWlvbG9neTwv
a2V5d29yZD48L2tleXdvcmRzPjxkYXRlcz48eWVhcj4yMDE3PC95ZWFyPjxwdWItZGF0ZXM+PGRh
dGU+SnVsPC9kYXRlPjwvcHViLWRhdGVzPjwvZGF0ZXM+PGlzYm4+MTM5OS0zMDAzIChFbGVjdHJv
bmljKSYjeEQ7MDkwMy0xOTM2IChMaW5raW5nKTwvaXNibj48YWNjZXNzaW9uLW51bT4yODY3OTYx
MDwvYWNjZXNzaW9uLW51bT48dXJscz48cmVsYXRlZC11cmxzPjx1cmw+aHR0cHM6Ly93d3cubmNi
aS5ubG0ubmloLmdvdi9wdWJtZWQvMjg2Nzk2MTA8L3VybD48L3JlbGF0ZWQtdXJscz48L3VybHM+
PGN1c3RvbTI+UE1DNTU0MDY3OCBlcmouZXJzam91cm5hbHMuY29tPC9jdXN0b20yPjxlbGVjdHJv
bmljLXJlc291cmNlLW51bT4xMC4xMTgzLzEzOTkzMDAzLjAwMDczLTIwMTc8L2VsZWN0cm9uaWMt
cmVzb3VyY2UtbnVtPjwvcmVjb3JkPjwvQ2l0ZT48L0VuZE5vdGU+AG==
</w:fldData>
              </w:fldChar>
            </w:r>
            <w:r w:rsidR="002747EA">
              <w:instrText xml:space="preserve"> ADDIN EN.CITE.DATA </w:instrText>
            </w:r>
            <w:r w:rsidR="002747EA">
              <w:fldChar w:fldCharType="end"/>
            </w:r>
            <w:r w:rsidR="00767EBF">
              <w:fldChar w:fldCharType="separate"/>
            </w:r>
            <w:r w:rsidR="002747EA" w:rsidRPr="002747EA">
              <w:rPr>
                <w:noProof/>
                <w:vertAlign w:val="superscript"/>
              </w:rPr>
              <w:t>104</w:t>
            </w:r>
            <w:r w:rsidR="00767EBF">
              <w:fldChar w:fldCharType="end"/>
            </w:r>
          </w:p>
          <w:p w14:paraId="0AA95A89" w14:textId="77777777" w:rsidR="00BE7A73" w:rsidRDefault="00BE7A73" w:rsidP="00F20A8C">
            <w:pPr>
              <w:keepNext/>
            </w:pPr>
            <w:r>
              <w:t>United Kingdom</w:t>
            </w:r>
          </w:p>
          <w:p w14:paraId="0471C3D8" w14:textId="70A7E351" w:rsidR="00BE7A73" w:rsidRDefault="00BE7A73" w:rsidP="00F20A8C">
            <w:pPr>
              <w:keepNext/>
            </w:pPr>
            <w:r>
              <w:t>Cohort</w:t>
            </w:r>
          </w:p>
        </w:tc>
        <w:tc>
          <w:tcPr>
            <w:tcW w:w="1417" w:type="dxa"/>
          </w:tcPr>
          <w:p w14:paraId="1B72D5FD" w14:textId="1F6FF99D" w:rsidR="00BE7A73" w:rsidRPr="00BE7A73" w:rsidRDefault="00D9336A" w:rsidP="00852D7E">
            <w:r>
              <w:t>8,956 children aged 7-9 years</w:t>
            </w:r>
          </w:p>
        </w:tc>
        <w:tc>
          <w:tcPr>
            <w:tcW w:w="4535" w:type="dxa"/>
          </w:tcPr>
          <w:p w14:paraId="3643F817" w14:textId="280F0BF5" w:rsidR="00BE7A73" w:rsidRPr="00B43CAE" w:rsidRDefault="00BE7A73" w:rsidP="00B43CAE">
            <w:r>
              <w:rPr>
                <w:b/>
              </w:rPr>
              <w:t xml:space="preserve">Aim: </w:t>
            </w:r>
            <w:r>
              <w:t>T</w:t>
            </w:r>
            <w:r w:rsidRPr="00BE7A73">
              <w:t>o study the relationship between maternal intake of free sugar</w:t>
            </w:r>
            <w:r w:rsidR="00B43CAE">
              <w:t xml:space="preserve"> (which comprise sugars [</w:t>
            </w:r>
            <w:r w:rsidR="00B43CAE" w:rsidRPr="00B43CAE">
              <w:t>monosaccharide</w:t>
            </w:r>
            <w:r w:rsidR="00B43CAE">
              <w:t>s and disaccharides]</w:t>
            </w:r>
            <w:r w:rsidR="00B43CAE" w:rsidRPr="00B43CAE">
              <w:t xml:space="preserve"> added to foods or drinks by the manufacturer, cook or consumer, and sugars naturally present in honey, syrups and unsweetened fruit juices</w:t>
            </w:r>
            <w:r w:rsidR="00B43CAE">
              <w:t>)</w:t>
            </w:r>
            <w:r w:rsidR="00B43CAE" w:rsidRPr="00B43CAE">
              <w:t xml:space="preserve"> </w:t>
            </w:r>
            <w:r w:rsidRPr="00B43CAE">
              <w:t>during pregnancy and respiratory and atopic outcomes in the offspring in a population-bas</w:t>
            </w:r>
            <w:r w:rsidRPr="00BE7A73">
              <w:t>ed birth cohort, the Avon Longitudinal Study of Parents and Children.</w:t>
            </w:r>
          </w:p>
          <w:p w14:paraId="1F881E4F" w14:textId="4E48ADA3" w:rsidR="00BE7A73" w:rsidRPr="00BE7A73" w:rsidRDefault="00BE7A73" w:rsidP="00D9336A">
            <w:pPr>
              <w:rPr>
                <w:b/>
              </w:rPr>
            </w:pPr>
            <w:r w:rsidRPr="00BE7A73">
              <w:rPr>
                <w:b/>
              </w:rPr>
              <w:t>Methods</w:t>
            </w:r>
            <w:r>
              <w:t xml:space="preserve">: </w:t>
            </w:r>
            <w:r w:rsidRPr="00BE7A73">
              <w:t>We analysed associations between maternal intake of free sugar in pregnancy (estimated by a food frequency questionnaire), and current doctor-diagnosed asthma, wheezing, hay fever, eczema, atopy, serum total IgE and lung function in children aged 7-9 years.</w:t>
            </w:r>
          </w:p>
        </w:tc>
        <w:tc>
          <w:tcPr>
            <w:tcW w:w="4534" w:type="dxa"/>
          </w:tcPr>
          <w:p w14:paraId="43FF768B" w14:textId="349C5BBF" w:rsidR="00BE7A73" w:rsidRPr="00BE7A73" w:rsidRDefault="00BE7A73" w:rsidP="00BE7A73">
            <w:r w:rsidRPr="00BE7A73">
              <w:t>After controlling for potential confounders, maternal intake of free sugar was positively associated with atopy (OR for highest versus lowest quintile of sugar intake 1.38, 95% CI 1.06-1.78; per quintile p-trend=0.006) and atopic asthma (OR 2.01, 95% CI 1.23-3.29; per quintile p-trend=0.004). These associations were not confounded by intake of sugar in early childhood, which was unrelated to these outcomes.</w:t>
            </w:r>
          </w:p>
        </w:tc>
        <w:tc>
          <w:tcPr>
            <w:tcW w:w="1842" w:type="dxa"/>
          </w:tcPr>
          <w:p w14:paraId="3A739507" w14:textId="6D7887EC" w:rsidR="00BE7A73" w:rsidRDefault="00BE7A73" w:rsidP="00F20A8C">
            <w:pPr>
              <w:keepNext/>
              <w:rPr>
                <w:b/>
              </w:rPr>
            </w:pPr>
          </w:p>
        </w:tc>
      </w:tr>
      <w:tr w:rsidR="00B43CAE" w:rsidRPr="00F350A6" w14:paraId="29041133" w14:textId="77777777" w:rsidTr="00D21A32">
        <w:trPr>
          <w:cantSplit/>
          <w:trHeight w:val="390"/>
        </w:trPr>
        <w:tc>
          <w:tcPr>
            <w:tcW w:w="1564" w:type="dxa"/>
            <w:tcBorders>
              <w:bottom w:val="single" w:sz="4" w:space="0" w:color="auto"/>
            </w:tcBorders>
          </w:tcPr>
          <w:p w14:paraId="28AC9181" w14:textId="2623611D" w:rsidR="00B43CAE" w:rsidRDefault="00B43CAE" w:rsidP="00B43CAE">
            <w:r w:rsidRPr="00B43CAE">
              <w:t>Donazar-Ezcurra</w:t>
            </w:r>
            <w:r>
              <w:t xml:space="preserve"> et al 2018</w:t>
            </w:r>
            <w:r w:rsidR="00767EBF">
              <w:fldChar w:fldCharType="begin">
                <w:fldData xml:space="preserve">PEVuZE5vdGU+PENpdGU+PEF1dGhvcj5Eb25hemFyLUV6Y3VycmE8L0F1dGhvcj48WWVhcj4yMDE4
PC9ZZWFyPjxSZWNOdW0+MTM1NjwvUmVjTnVtPjxEaXNwbGF5VGV4dD48c3R5bGUgZmFjZT0ic3Vw
ZXJzY3JpcHQiIGZvbnQ9IlRyZWJ1Y2hldCBNUyIgc2l6ZT0iOSI+MTAxPC9zdHlsZT48L0Rpc3Bs
YXlUZXh0PjxyZWNvcmQ+PHJlYy1udW1iZXI+MTM1NjwvcmVjLW51bWJlcj48Zm9yZWlnbi1rZXlz
PjxrZXkgYXBwPSJFTiIgZGItaWQ9ImV4dmFzcmZ4MmR0cmFvZXNhc3hwMnN6c3hhMmRmNTAyNTky
eCIgdGltZXN0YW1wPSIxNTY3MDMxMDMyIj4xMzU2PC9rZXk+PGtleSBhcHA9IkVOV2ViIiBkYi1p
ZD0iIj4wPC9rZXk+PC9mb3JlaWduLWtleXM+PHJlZi10eXBlIG5hbWU9IkpvdXJuYWwgQXJ0aWNs
ZSI+MTc8L3JlZi10eXBlPjxjb250cmlidXRvcnM+PGF1dGhvcnM+PGF1dGhvcj5Eb25hemFyLUV6
Y3VycmEsIE0uPC9hdXRob3I+PGF1dGhvcj5Mb3Blei1EZWwgQnVyZ28sIEMuPC9hdXRob3I+PGF1
dGhvcj5NYXJ0aW5lei1Hb256YWxleiwgTS4gQS48L2F1dGhvcj48YXV0aG9yPkJhc3RlcnJhLUdv
cnRhcmksIEYuIEouPC9hdXRob3I+PGF1dGhvcj5kZSBJcmFsYSwgSi48L2F1dGhvcj48YXV0aG9y
PkJlcy1SYXN0cm9sbG8sIE0uPC9hdXRob3I+PC9hdXRob3JzPjwvY29udHJpYnV0b3JzPjxhdXRo
LWFkZHJlc3M+RGVwYXJ0bWVudCBvZiBQcmV2ZW50aXZlIE1lZGljaW5lIGFuZCBQdWJsaWMgSGVh
bHRoLCBVbml2ZXJzaXR5IG9mIE5hdmFycmEsIFBhbXBsb25hLCBTcGFpbi4mI3hEO0RlcGFydG1l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dXRlIChJRElTTkEpLCBQYW1wbG9uYSwgU3BhaW47IEluc3RpdHV0ZSBmb3IgQ3VsdHVyZSBhbmQg
U29jaWV0eSAoSUNTKSwgVW5pdmVyc2l0eSBvZiBOYXZhcnJhLCBTcGFpbi4mI3hEO0RlcGFydG1l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dXRlIChJRElTTkEpLCBQYW1wbG9uYSwgU3BhaW4uJiN4RDtEZXBhcnRtZW50IG9mIFByZXZlbnRp
dmUgTWVkaWNpbmUgYW5kIFB1YmxpYyBIZWFsdGgsIFVuaXZlcnNpdHkgb2YgTmF2YXJyYSwgUGFt
cGxvbmEsIFNwYWluOyBOYXZhcnJhJmFwb3M7cyBIZWFsdGggUmVzZWFyY2ggSW5zdGl0dXRlIChJ
RElTTkEpLCBQYW1wbG9uYSwgU3BhaW47IERlcGFydG1lbnQgb2YgSW50ZXJuYWwgTWVkaWNpbmUg
KEVuZG9jcmlub2xvZ3kpLCBIb3NwaXRhbCBSZWluYSBTb2ZpYSwgT3Nhc3VuYmlkZWEtSURJU05B
LCBUdWRlbGEsIFNwYWluLiYjeEQ7RGVwYXJ0bWVudCBvZiBQcmV2ZW50aXZlIE1lZGljaW5lIGFu
ZCBQdWJsaWMgSGVhbHRoLCBVbml2ZXJzaXR5IG9mIE5hdmFycmEsIFBhbXBsb25hLCBTcGFpbjsg
Q0lCRVIgRmlzaW9wYXRvbG9naWEgZGUgbGEgT2Jlc2lkYWQgeSBOdXRyaWNpb24gKENJQkVSb2Ju
KSwgSW5zdGl0dXRvIGRlIFNhbHVkIENhcmxvcyBJSUksIE1hZHJpZCwgU3BhaW47IE5hdmFycmEm
YXBvcztzIEhlYWx0aCBSZXNlYXJjaCBJbnN0aXR1dGUgKElESVNOQSksIFBhbXBsb25hLCBTcGFp
bi4gRWxlY3Ryb25pYyBhZGRyZXNzOiBtYmVzQHVuYXYuZXMuPC9hdXRoLWFkZHJlc3M+PHRpdGxl
cz48dGl0bGU+U29mdCBkcmluayBjb25zdW1wdGlvbiBhbmQgZ2VzdGF0aW9uYWwgZGlhYmV0ZXMg
cmlzayBpbiB0aGUgU1VOIHByb2plY3Q8L3RpdGxlPjxzZWNvbmRhcnktdGl0bGU+Q2xpbiBOdXRy
PC9zZWNvbmRhcnktdGl0bGU+PC90aXRsZXM+PHBlcmlvZGljYWw+PGZ1bGwtdGl0bGU+Q2xpbiBO
dXRyPC9mdWxsLXRpdGxlPjwvcGVyaW9kaWNhbD48cGFnZXM+NjM4LTY0NTwvcGFnZXM+PHZvbHVt
ZT4zNzwvdm9sdW1lPjxudW1iZXI+MjwvbnVtYmVyPjxlZGl0aW9uPjIwMTcvMDMvMDc8L2VkaXRp
b24+PGtleXdvcmRzPjxrZXl3b3JkPipDb2hvcnQ8L2tleXdvcmQ+PGtleXdvcmQ+KkRpZXQgc29m
dCBkcmlua3M8L2tleXdvcmQ+PGtleXdvcmQ+Kkdlc3RhdGlvbmFsIGRpYWJldGVzIG1lbGxpdHVz
IHJpc2s8L2tleXdvcmQ+PGtleXdvcmQ+KlByZS1wcmVnbmFuY3kgZGlldGFyeSBwYXR0ZXJuPC9r
ZXl3b3JkPjxrZXl3b3JkPipTdWdhci1zd2VldGVuZWQgc29mdCBkcmlua3M8L2tleXdvcmQ+PGtl
eXdvcmQ+Kldlc3Rlcm4tc3R5bGUgZGlldGFyeSBwYXR0ZXJuPC9rZXl3b3JkPjwva2V5d29yZHM+
PGRhdGVzPjx5ZWFyPjIwMTg8L3llYXI+PHB1Yi1kYXRlcz48ZGF0ZT5BcHI8L2RhdGU+PC9wdWIt
ZGF0ZXM+PC9kYXRlcz48aXNibj4xNTMyLTE5ODMgKEVsZWN0cm9uaWMpJiN4RDswMjYxLTU2MTQg
KExpbmtpbmcpPC9pc2JuPjxhY2Nlc3Npb24tbnVtPjI4MjYyMzIzPC9hY2Nlc3Npb24tbnVtPjx1
cmxzPjxyZWxhdGVkLXVybHM+PHVybD5odHRwczovL3d3dy5uY2JpLm5sbS5uaWguZ292L3B1Ym1l
ZC8yODI2MjMyMzwvdXJsPjwvcmVsYXRlZC11cmxzPjwvdXJscz48ZWxlY3Ryb25pYy1yZXNvdXJj
ZS1udW0+MTAuMTAxNi9qLmNsbnUuMjAxNy4wMi4wMDU8L2VsZWN0cm9uaWMtcmVzb3VyY2UtbnVt
PjwvcmVjb3JkPjwvQ2l0ZT48L0VuZE5vdGU+
</w:fldData>
              </w:fldChar>
            </w:r>
            <w:r w:rsidR="002747EA">
              <w:instrText xml:space="preserve"> ADDIN EN.CITE </w:instrText>
            </w:r>
            <w:r w:rsidR="002747EA">
              <w:fldChar w:fldCharType="begin">
                <w:fldData xml:space="preserve">PEVuZE5vdGU+PENpdGU+PEF1dGhvcj5Eb25hemFyLUV6Y3VycmE8L0F1dGhvcj48WWVhcj4yMDE4
PC9ZZWFyPjxSZWNOdW0+MTM1NjwvUmVjTnVtPjxEaXNwbGF5VGV4dD48c3R5bGUgZmFjZT0ic3Vw
ZXJzY3JpcHQiIGZvbnQ9IlRyZWJ1Y2hldCBNUyIgc2l6ZT0iOSI+MTAxPC9zdHlsZT48L0Rpc3Bs
YXlUZXh0PjxyZWNvcmQ+PHJlYy1udW1iZXI+MTM1NjwvcmVjLW51bWJlcj48Zm9yZWlnbi1rZXlz
PjxrZXkgYXBwPSJFTiIgZGItaWQ9ImV4dmFzcmZ4MmR0cmFvZXNhc3hwMnN6c3hhMmRmNTAyNTky
eCIgdGltZXN0YW1wPSIxNTY3MDMxMDMyIj4xMzU2PC9rZXk+PGtleSBhcHA9IkVOV2ViIiBkYi1p
ZD0iIj4wPC9rZXk+PC9mb3JlaWduLWtleXM+PHJlZi10eXBlIG5hbWU9IkpvdXJuYWwgQXJ0aWNs
ZSI+MTc8L3JlZi10eXBlPjxjb250cmlidXRvcnM+PGF1dGhvcnM+PGF1dGhvcj5Eb25hemFyLUV6
Y3VycmEsIE0uPC9hdXRob3I+PGF1dGhvcj5Mb3Blei1EZWwgQnVyZ28sIEMuPC9hdXRob3I+PGF1
dGhvcj5NYXJ0aW5lei1Hb256YWxleiwgTS4gQS48L2F1dGhvcj48YXV0aG9yPkJhc3RlcnJhLUdv
cnRhcmksIEYuIEouPC9hdXRob3I+PGF1dGhvcj5kZSBJcmFsYSwgSi48L2F1dGhvcj48YXV0aG9y
PkJlcy1SYXN0cm9sbG8sIE0uPC9hdXRob3I+PC9hdXRob3JzPjwvY29udHJpYnV0b3JzPjxhdXRo
LWFkZHJlc3M+RGVwYXJ0bWVudCBvZiBQcmV2ZW50aXZlIE1lZGljaW5lIGFuZCBQdWJsaWMgSGVh
bHRoLCBVbml2ZXJzaXR5IG9mIE5hdmFycmEsIFBhbXBsb25hLCBTcGFpbi4mI3hEO0RlcGFydG1l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dXRlIChJRElTTkEpLCBQYW1wbG9uYSwgU3BhaW47IEluc3RpdHV0ZSBmb3IgQ3VsdHVyZSBhbmQg
U29jaWV0eSAoSUNTKSwgVW5pdmVyc2l0eSBvZiBOYXZhcnJhLCBTcGFpbi4mI3hEO0RlcGFydG1l
bnQgb2YgUHJldmVudGl2ZSBNZWRpY2luZSBhbmQgUHVibGljIEhlYWx0aCwgVW5pdmVyc2l0eSBv
ZiBOYXZhcnJhLCBQYW1wbG9uYSwgU3BhaW47IENJQkVSIEZpc2lvcGF0b2xvZ2lhIGRlIGxhIE9i
ZXNpZGFkIHkgTnV0cmljaW9uIChDSUJFUm9ibiksIEluc3RpdHV0byBkZSBTYWx1ZCBDYXJsb3Mg
SUlJLCBNYWRyaWQsIFNwYWluOyBOYXZhcnJhJmFwb3M7cyBIZWFsdGggUmVzZWFyY2ggSW5zdGl0
dXRlIChJRElTTkEpLCBQYW1wbG9uYSwgU3BhaW4uJiN4RDtEZXBhcnRtZW50IG9mIFByZXZlbnRp
dmUgTWVkaWNpbmUgYW5kIFB1YmxpYyBIZWFsdGgsIFVuaXZlcnNpdHkgb2YgTmF2YXJyYSwgUGFt
cGxvbmEsIFNwYWluOyBOYXZhcnJhJmFwb3M7cyBIZWFsdGggUmVzZWFyY2ggSW5zdGl0dXRlIChJ
RElTTkEpLCBQYW1wbG9uYSwgU3BhaW47IERlcGFydG1lbnQgb2YgSW50ZXJuYWwgTWVkaWNpbmUg
KEVuZG9jcmlub2xvZ3kpLCBIb3NwaXRhbCBSZWluYSBTb2ZpYSwgT3Nhc3VuYmlkZWEtSURJU05B
LCBUdWRlbGEsIFNwYWluLiYjeEQ7RGVwYXJ0bWVudCBvZiBQcmV2ZW50aXZlIE1lZGljaW5lIGFu
ZCBQdWJsaWMgSGVhbHRoLCBVbml2ZXJzaXR5IG9mIE5hdmFycmEsIFBhbXBsb25hLCBTcGFpbjsg
Q0lCRVIgRmlzaW9wYXRvbG9naWEgZGUgbGEgT2Jlc2lkYWQgeSBOdXRyaWNpb24gKENJQkVSb2Ju
KSwgSW5zdGl0dXRvIGRlIFNhbHVkIENhcmxvcyBJSUksIE1hZHJpZCwgU3BhaW47IE5hdmFycmEm
YXBvcztzIEhlYWx0aCBSZXNlYXJjaCBJbnN0aXR1dGUgKElESVNOQSksIFBhbXBsb25hLCBTcGFp
bi4gRWxlY3Ryb25pYyBhZGRyZXNzOiBtYmVzQHVuYXYuZXMuPC9hdXRoLWFkZHJlc3M+PHRpdGxl
cz48dGl0bGU+U29mdCBkcmluayBjb25zdW1wdGlvbiBhbmQgZ2VzdGF0aW9uYWwgZGlhYmV0ZXMg
cmlzayBpbiB0aGUgU1VOIHByb2plY3Q8L3RpdGxlPjxzZWNvbmRhcnktdGl0bGU+Q2xpbiBOdXRy
PC9zZWNvbmRhcnktdGl0bGU+PC90aXRsZXM+PHBlcmlvZGljYWw+PGZ1bGwtdGl0bGU+Q2xpbiBO
dXRyPC9mdWxsLXRpdGxlPjwvcGVyaW9kaWNhbD48cGFnZXM+NjM4LTY0NTwvcGFnZXM+PHZvbHVt
ZT4zNzwvdm9sdW1lPjxudW1iZXI+MjwvbnVtYmVyPjxlZGl0aW9uPjIwMTcvMDMvMDc8L2VkaXRp
b24+PGtleXdvcmRzPjxrZXl3b3JkPipDb2hvcnQ8L2tleXdvcmQ+PGtleXdvcmQ+KkRpZXQgc29m
dCBkcmlua3M8L2tleXdvcmQ+PGtleXdvcmQ+Kkdlc3RhdGlvbmFsIGRpYWJldGVzIG1lbGxpdHVz
IHJpc2s8L2tleXdvcmQ+PGtleXdvcmQ+KlByZS1wcmVnbmFuY3kgZGlldGFyeSBwYXR0ZXJuPC9r
ZXl3b3JkPjxrZXl3b3JkPipTdWdhci1zd2VldGVuZWQgc29mdCBkcmlua3M8L2tleXdvcmQ+PGtl
eXdvcmQ+Kldlc3Rlcm4tc3R5bGUgZGlldGFyeSBwYXR0ZXJuPC9rZXl3b3JkPjwva2V5d29yZHM+
PGRhdGVzPjx5ZWFyPjIwMTg8L3llYXI+PHB1Yi1kYXRlcz48ZGF0ZT5BcHI8L2RhdGU+PC9wdWIt
ZGF0ZXM+PC9kYXRlcz48aXNibj4xNTMyLTE5ODMgKEVsZWN0cm9uaWMpJiN4RDswMjYxLTU2MTQg
KExpbmtpbmcpPC9pc2JuPjxhY2Nlc3Npb24tbnVtPjI4MjYyMzIzPC9hY2Nlc3Npb24tbnVtPjx1
cmxzPjxyZWxhdGVkLXVybHM+PHVybD5odHRwczovL3d3dy5uY2JpLm5sbS5uaWguZ292L3B1Ym1l
ZC8yODI2MjMyMzwvdXJsPjwvcmVsYXRlZC11cmxzPjwvdXJscz48ZWxlY3Ryb25pYy1yZXNvdXJj
ZS1udW0+MTAuMTAxNi9qLmNsbnUuMjAxNy4wMi4wMDU8L2VsZWN0cm9uaWMtcmVzb3VyY2UtbnVt
PjwvcmVjb3JkPjwvQ2l0ZT48L0VuZE5vdGU+
</w:fldData>
              </w:fldChar>
            </w:r>
            <w:r w:rsidR="002747EA">
              <w:instrText xml:space="preserve"> ADDIN EN.CITE.DATA </w:instrText>
            </w:r>
            <w:r w:rsidR="002747EA">
              <w:fldChar w:fldCharType="end"/>
            </w:r>
            <w:r w:rsidR="00767EBF">
              <w:fldChar w:fldCharType="separate"/>
            </w:r>
            <w:r w:rsidR="002747EA" w:rsidRPr="002747EA">
              <w:rPr>
                <w:noProof/>
                <w:vertAlign w:val="superscript"/>
              </w:rPr>
              <w:t>101</w:t>
            </w:r>
            <w:r w:rsidR="00767EBF">
              <w:fldChar w:fldCharType="end"/>
            </w:r>
          </w:p>
          <w:p w14:paraId="74A76293" w14:textId="3DC77A53" w:rsidR="00B43CAE" w:rsidRPr="00B43CAE" w:rsidRDefault="00B43CAE" w:rsidP="00B43CAE">
            <w:pPr>
              <w:spacing w:before="0" w:after="0" w:line="240" w:lineRule="auto"/>
              <w:rPr>
                <w:rFonts w:ascii="Times" w:hAnsi="Times"/>
                <w:sz w:val="16"/>
                <w:szCs w:val="16"/>
              </w:rPr>
            </w:pPr>
            <w:r>
              <w:t xml:space="preserve">Spain </w:t>
            </w:r>
          </w:p>
          <w:p w14:paraId="547D9757" w14:textId="77777777" w:rsidR="00B43CAE" w:rsidRDefault="00B43CAE" w:rsidP="00B43CAE">
            <w:r w:rsidRPr="00B1545A">
              <w:t>Seg</w:t>
            </w:r>
            <w:r>
              <w:t>uimiento Universidad de Navarra</w:t>
            </w:r>
            <w:r w:rsidRPr="00B1545A">
              <w:t xml:space="preserve"> (SUN)</w:t>
            </w:r>
          </w:p>
          <w:p w14:paraId="67D0B847" w14:textId="7123BAD8" w:rsidR="00B43CAE" w:rsidRDefault="00B43CAE" w:rsidP="00B43CAE">
            <w:pPr>
              <w:keepNext/>
            </w:pPr>
            <w:r>
              <w:t>Cohort</w:t>
            </w:r>
          </w:p>
        </w:tc>
        <w:tc>
          <w:tcPr>
            <w:tcW w:w="1417" w:type="dxa"/>
            <w:tcBorders>
              <w:bottom w:val="single" w:sz="4" w:space="0" w:color="auto"/>
            </w:tcBorders>
          </w:tcPr>
          <w:p w14:paraId="4D3A60A5" w14:textId="2808DB40" w:rsidR="00B43CAE" w:rsidRDefault="00B43CAE" w:rsidP="00852D7E">
            <w:r>
              <w:t>3,396 women</w:t>
            </w:r>
          </w:p>
        </w:tc>
        <w:tc>
          <w:tcPr>
            <w:tcW w:w="4535" w:type="dxa"/>
            <w:tcBorders>
              <w:bottom w:val="single" w:sz="4" w:space="0" w:color="auto"/>
            </w:tcBorders>
          </w:tcPr>
          <w:p w14:paraId="0A55DEB5" w14:textId="77777777" w:rsidR="00B43CAE" w:rsidRDefault="00B43CAE" w:rsidP="00B43CAE">
            <w:r>
              <w:rPr>
                <w:b/>
              </w:rPr>
              <w:t xml:space="preserve">Aim: </w:t>
            </w:r>
            <w:r w:rsidRPr="00B43CAE">
              <w:t xml:space="preserve">To investigate the incidence of GDM according to soft drink consumption in the SUN project. </w:t>
            </w:r>
          </w:p>
          <w:p w14:paraId="539A8683" w14:textId="07643045" w:rsidR="00B43CAE" w:rsidRDefault="00B43CAE" w:rsidP="00B43CAE">
            <w:pPr>
              <w:rPr>
                <w:b/>
              </w:rPr>
            </w:pPr>
            <w:r w:rsidRPr="00B43CAE">
              <w:rPr>
                <w:b/>
              </w:rPr>
              <w:t>Methods</w:t>
            </w:r>
            <w:r>
              <w:t xml:space="preserve">: </w:t>
            </w:r>
            <w:r w:rsidRPr="00B43CAE">
              <w:t xml:space="preserve">A validated 136-item semi-quantitative food frequency questionnaire was used to assess soft drink consumption. Four categories of sugar-sweetened soft drink (SSSD) and diet soft drink (DSD) consumption (servings) were established: rarely or never (&lt;1/month), low (1-3/month), intermediate (&gt;3/month and &lt;/=1/week) and high (&gt;/=2/week). Potential confounders were adjusted through non-conditional logistic regression models. </w:t>
            </w:r>
          </w:p>
        </w:tc>
        <w:tc>
          <w:tcPr>
            <w:tcW w:w="4534" w:type="dxa"/>
            <w:tcBorders>
              <w:bottom w:val="single" w:sz="4" w:space="0" w:color="auto"/>
            </w:tcBorders>
          </w:tcPr>
          <w:p w14:paraId="6A2730FF" w14:textId="2EA6C7A2" w:rsidR="00B43CAE" w:rsidRPr="00B43CAE" w:rsidRDefault="00B43CAE" w:rsidP="00B43CAE">
            <w:r w:rsidRPr="00B43CAE">
              <w:t>During the follow-up, we identified 172 incident cases of GDM. After adjusting for age, baseline body mass index, family history of diabetes, smoking, total energy intake, physical activity, parity, fast-food consumption, adherence to Mediterranean dietary pattern, alcohol intake, multiple pregnancy, cardiovascular disease</w:t>
            </w:r>
            <w:r>
              <w:t>/hypertension at baseline, fibre</w:t>
            </w:r>
            <w:r w:rsidRPr="00B43CAE">
              <w:t xml:space="preserve"> intake, following special diet and snacking, SSSD consumption was significantly associated with an increased risk of incident GDM, </w:t>
            </w:r>
            <w:r>
              <w:t>for the highest</w:t>
            </w:r>
            <w:r w:rsidRPr="00B43CAE">
              <w:t xml:space="preserve"> (</w:t>
            </w:r>
            <w:r>
              <w:t xml:space="preserve">aOR 2.03; </w:t>
            </w:r>
            <w:r w:rsidRPr="00B43CAE">
              <w:t>95%</w:t>
            </w:r>
            <w:r>
              <w:t>CI</w:t>
            </w:r>
            <w:r w:rsidRPr="00B43CAE">
              <w:t xml:space="preserve"> 1.25</w:t>
            </w:r>
            <w:r>
              <w:t xml:space="preserve"> to </w:t>
            </w:r>
            <w:r w:rsidRPr="00B43CAE">
              <w:t xml:space="preserve">3.31) and </w:t>
            </w:r>
            <w:r>
              <w:t>intermediate categories (aOR 1.67; 95%CI</w:t>
            </w:r>
            <w:r w:rsidRPr="00B43CAE">
              <w:t xml:space="preserve"> 1.01</w:t>
            </w:r>
            <w:r>
              <w:t xml:space="preserve"> to </w:t>
            </w:r>
            <w:r w:rsidRPr="00B43CAE">
              <w:t>2.77) versus the lowest category (p for linear trend: 0.006). Conversely, DSD consumption was not associated with GDM incidence (a</w:t>
            </w:r>
            <w:r>
              <w:t>OR 0.82; 95%CI</w:t>
            </w:r>
            <w:r w:rsidRPr="00B43CAE">
              <w:t xml:space="preserve"> 0.52</w:t>
            </w:r>
            <w:r>
              <w:t xml:space="preserve"> to </w:t>
            </w:r>
            <w:r w:rsidRPr="00B43CAE">
              <w:t xml:space="preserve">1.31) for the highest versus the lowest category (p for linear trend: 0.258). Additional sensitivity analyses did not change the results. </w:t>
            </w:r>
          </w:p>
        </w:tc>
        <w:tc>
          <w:tcPr>
            <w:tcW w:w="1842" w:type="dxa"/>
            <w:tcBorders>
              <w:bottom w:val="single" w:sz="4" w:space="0" w:color="auto"/>
            </w:tcBorders>
          </w:tcPr>
          <w:p w14:paraId="7C8F8591" w14:textId="39E33779" w:rsidR="00B43CAE" w:rsidRDefault="00B43CAE" w:rsidP="00F20A8C">
            <w:pPr>
              <w:keepNext/>
              <w:rPr>
                <w:b/>
              </w:rPr>
            </w:pPr>
          </w:p>
        </w:tc>
      </w:tr>
    </w:tbl>
    <w:p w14:paraId="480061EA" w14:textId="48B5253B" w:rsidR="00717D84" w:rsidRDefault="009C163D" w:rsidP="005719CE">
      <w:pPr>
        <w:pStyle w:val="TableName"/>
        <w:ind w:left="1134" w:hanging="1134"/>
      </w:pPr>
      <w:bookmarkStart w:id="68" w:name="_Toc40956608"/>
      <w:r>
        <w:t xml:space="preserve">Q2 </w:t>
      </w:r>
      <w:r w:rsidR="007B1D24">
        <w:t>C</w:t>
      </w:r>
      <w:r w:rsidR="00717D84">
        <w:t>onsumption of fast foods during pregnancy</w:t>
      </w:r>
      <w:bookmarkEnd w:id="6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0: Q2 Consumption of fast foods during pregnancy"/>
      </w:tblPr>
      <w:tblGrid>
        <w:gridCol w:w="1564"/>
        <w:gridCol w:w="1417"/>
        <w:gridCol w:w="4532"/>
        <w:gridCol w:w="4536"/>
        <w:gridCol w:w="1843"/>
      </w:tblGrid>
      <w:tr w:rsidR="00717D84" w:rsidRPr="00F350A6" w14:paraId="000E0CCC" w14:textId="77777777" w:rsidTr="001F7D2B">
        <w:trPr>
          <w:cantSplit/>
          <w:trHeight w:val="390"/>
          <w:tblHeader/>
        </w:trPr>
        <w:tc>
          <w:tcPr>
            <w:tcW w:w="1564" w:type="dxa"/>
            <w:tcBorders>
              <w:bottom w:val="single" w:sz="4" w:space="0" w:color="auto"/>
            </w:tcBorders>
          </w:tcPr>
          <w:p w14:paraId="51B91650" w14:textId="77777777" w:rsidR="00717D84" w:rsidRPr="00F350A6" w:rsidRDefault="00717D84" w:rsidP="002F1844">
            <w:pPr>
              <w:keepNext/>
              <w:rPr>
                <w:b/>
              </w:rPr>
            </w:pPr>
            <w:r>
              <w:rPr>
                <w:b/>
              </w:rPr>
              <w:t>Study ref</w:t>
            </w:r>
          </w:p>
        </w:tc>
        <w:tc>
          <w:tcPr>
            <w:tcW w:w="1417" w:type="dxa"/>
            <w:tcBorders>
              <w:bottom w:val="single" w:sz="4" w:space="0" w:color="auto"/>
            </w:tcBorders>
          </w:tcPr>
          <w:p w14:paraId="4499DFC4" w14:textId="77777777" w:rsidR="00717D84" w:rsidRPr="00F350A6" w:rsidRDefault="00717D84" w:rsidP="002F1844">
            <w:pPr>
              <w:keepNext/>
              <w:rPr>
                <w:b/>
              </w:rPr>
            </w:pPr>
            <w:r>
              <w:rPr>
                <w:b/>
              </w:rPr>
              <w:t>N</w:t>
            </w:r>
          </w:p>
        </w:tc>
        <w:tc>
          <w:tcPr>
            <w:tcW w:w="4532" w:type="dxa"/>
            <w:tcBorders>
              <w:bottom w:val="single" w:sz="4" w:space="0" w:color="auto"/>
            </w:tcBorders>
          </w:tcPr>
          <w:p w14:paraId="5E2A40D6" w14:textId="77777777" w:rsidR="00717D84" w:rsidRPr="00F350A6" w:rsidRDefault="00717D84" w:rsidP="002F1844">
            <w:pPr>
              <w:keepNext/>
              <w:rPr>
                <w:b/>
              </w:rPr>
            </w:pPr>
            <w:r>
              <w:rPr>
                <w:b/>
              </w:rPr>
              <w:t>Aim/methods</w:t>
            </w:r>
          </w:p>
        </w:tc>
        <w:tc>
          <w:tcPr>
            <w:tcW w:w="4536" w:type="dxa"/>
            <w:tcBorders>
              <w:bottom w:val="single" w:sz="4" w:space="0" w:color="auto"/>
            </w:tcBorders>
          </w:tcPr>
          <w:p w14:paraId="16063B65" w14:textId="77777777" w:rsidR="00717D84" w:rsidRPr="00F350A6" w:rsidRDefault="00717D84" w:rsidP="002F1844">
            <w:pPr>
              <w:keepNext/>
              <w:rPr>
                <w:b/>
              </w:rPr>
            </w:pPr>
            <w:r>
              <w:rPr>
                <w:b/>
              </w:rPr>
              <w:t>Results</w:t>
            </w:r>
          </w:p>
        </w:tc>
        <w:tc>
          <w:tcPr>
            <w:tcW w:w="1843" w:type="dxa"/>
            <w:tcBorders>
              <w:bottom w:val="single" w:sz="4" w:space="0" w:color="auto"/>
            </w:tcBorders>
          </w:tcPr>
          <w:p w14:paraId="08214984" w14:textId="77777777" w:rsidR="00717D84" w:rsidRPr="00F350A6" w:rsidRDefault="00717D84" w:rsidP="002F1844">
            <w:pPr>
              <w:keepNext/>
              <w:rPr>
                <w:b/>
              </w:rPr>
            </w:pPr>
            <w:r>
              <w:rPr>
                <w:b/>
              </w:rPr>
              <w:t>Comments</w:t>
            </w:r>
          </w:p>
        </w:tc>
      </w:tr>
      <w:tr w:rsidR="00C31D7A" w:rsidRPr="00C8357D" w14:paraId="01ED6A1A" w14:textId="77777777" w:rsidTr="001F7D2B">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4" w:type="dxa"/>
            <w:tcBorders>
              <w:top w:val="single" w:sz="4" w:space="0" w:color="auto"/>
              <w:left w:val="single" w:sz="4" w:space="0" w:color="auto"/>
              <w:bottom w:val="single" w:sz="4" w:space="0" w:color="auto"/>
              <w:right w:val="single" w:sz="4" w:space="0" w:color="auto"/>
            </w:tcBorders>
          </w:tcPr>
          <w:p w14:paraId="5B70D363" w14:textId="2468F916" w:rsidR="00C31D7A" w:rsidRPr="0035604D" w:rsidRDefault="00925D7F" w:rsidP="002F1844">
            <w:r w:rsidRPr="0035604D">
              <w:t>Von Ehrenstein et al 2015</w:t>
            </w:r>
            <w:r w:rsidR="00774750">
              <w:fldChar w:fldCharType="begin">
                <w:fldData xml:space="preserve">PEVuZE5vdGU+PENpdGU+PEF1dGhvcj52b24gRWhyZW5zdGVpbjwvQXV0aG9yPjxZZWFyPjIwMTU8
L1llYXI+PFJlY051bT4xNzEyPC9SZWNOdW0+PERpc3BsYXlUZXh0PjxzdHlsZSBmYWNlPSJzdXBl
cnNjcmlwdCIgZm9udD0iVHJlYnVjaGV0IE1TIiBzaXplPSI5Ij4xMDY8L3N0eWxlPjwvRGlzcGxh
eVRleHQ+PHJlY29yZD48cmVjLW51bWJlcj4xNzEyPC9yZWMtbnVtYmVyPjxmb3JlaWduLWtleXM+
PGtleSBhcHA9IkVOIiBkYi1pZD0iZXh2YXNyZngyZHRyYW9lc2FzeHAyc3pzeGEyZGY1MDI1OTJ4
IiB0aW1lc3RhbXA9IjE1ODI1MDYxMDQiPjE3MTI8L2tleT48a2V5IGFwcD0iRU5XZWIiIGRiLWlk
PSIiPjA8L2tleT48L2ZvcmVpZ24ta2V5cz48cmVmLXR5cGUgbmFtZT0iSm91cm5hbCBBcnRpY2xl
Ij4xNzwvcmVmLXR5cGU+PGNvbnRyaWJ1dG9ycz48YXV0aG9ycz48YXV0aG9yPnZvbiBFaHJlbnN0
ZWluLCBPLiBTLjwvYXV0aG9yPjxhdXRob3I+QXJhbGlzLCBILjwvYXV0aG9yPjxhdXRob3I+Rmxv
cmVzLCBNLiBFLjwvYXV0aG9yPjxhdXRob3I+Uml0eiwgQi48L2F1dGhvcj48L2F1dGhvcnM+PC9j
b250cmlidXRvcnM+PGF1dGgtYWRkcmVzcz5EZXBhcnRtZW50IG9mIENvbW11bml0eSBIZWFsdGgg
U2NpZW5jZXMsIEZpZWxkaW5nIFNjaG9vbCBvZiBQdWJsaWMgSGVhbHRoLCBVbml2ZXJzaXR5IG9m
IENhbGlmb3JuaWEsIExvcyBBbmdlbGVzLCBDQSwgVVNBLiYjeEQ7RGVwYXJ0bWVudCBvZiBCaW9z
dGF0aXN0aWNzLCBGaWVsZGluZyBTY2hvb2wgb2YgUHVibGljIEhlYWx0aCwgVW5pdmVyc2l0eSBv
ZiBDYWxpZm9ybmlhLCBMb3MgQW5nZWxlcywgQ0EsIFVTQS4mI3hEO0RlcGFydG1lbnQgb2YgRXBp
ZGVtaW9sb2d5LCBGaWVsZGluZyBTY2hvb2wgb2YgUHVibGljIEhlYWx0aCwgVW5pdmVyc2l0eSBv
ZiBDYWxpZm9ybmlhLCBMb3MgQW5nZWxlcywgQ0EsIFVTQS4mI3hEO0RlcGFydG1lbnQgb2YgRmFt
aWx5IGFuZCBTb2NpYWwgTWVkaWNpbmUsIE1vbnRlZmlvcmUgTWVkaWNhbCBDZW50ZXIsIFRoZSBV
bml2ZXJzaXR5IEhvc3BpdGFsIGZvciBBbGJlcnQgRWluc3RlaW4gQ29sbGVnZSBvZiBNZWRpY2lu
ZSwgQnJvbngsIE5ZLCBVU0EuPC9hdXRoLWFkZHJlc3M+PHRpdGxlcz48dGl0bGU+RmFzdCBmb29k
IGNvbnN1bXB0aW9uIGluIHByZWduYW5jeSBhbmQgc3Vic2VxdWVudCBhc3RobWEgc3ltcHRvbXMg
aW4geW91bmcgY2hpbGRyZW48L3RpdGxlPjxzZWNvbmRhcnktdGl0bGU+UGVkaWF0ciBBbGxlcmd5
IEltbXVub2w8L3NlY29uZGFyeS10aXRsZT48L3RpdGxlcz48cGVyaW9kaWNhbD48ZnVsbC10aXRs
ZT5QZWRpYXRyIEFsbGVyZ3kgSW1tdW5vbDwvZnVsbC10aXRsZT48L3BlcmlvZGljYWw+PHBhZ2Vz
PjU3MS03PC9wYWdlcz48dm9sdW1lPjI2PC92b2x1bWU+PG51bWJlcj42PC9udW1iZXI+PGVkaXRp
b24+MjAxNS8wNi8yNjwvZWRpdGlvbj48a2V5d29yZHM+PGtleXdvcmQ+QWR1bHQ8L2tleXdvcmQ+
PGtleXdvcmQ+QWdlIEZhY3RvcnM8L2tleXdvcmQ+PGtleXdvcmQ+QXN0aG1hL2RpYWdub3Npcy8q
ZXRpb2xvZ3k8L2tleXdvcmQ+PGtleXdvcmQ+Q2hpbGQsIFByZXNjaG9vbDwva2V5d29yZD48a2V5
d29yZD5EaWV0LyphZHZlcnNlIGVmZmVjdHM8L2tleXdvcmQ+PGtleXdvcmQ+RmFzdCBGb29kcy8q
YWR2ZXJzZSBlZmZlY3RzPC9rZXl3b3JkPjxrZXl3b3JkPipGZWVkaW5nIEJlaGF2aW9yPC9rZXl3
b3JkPjxrZXl3b3JkPkZlbWFsZTwva2V5d29yZD48a2V5d29yZD5IdW1hbnM8L2tleXdvcmQ+PGtl
eXdvcmQ+TGluZWFyIE1vZGVsczwva2V5d29yZD48a2V5d29yZD5Mb3MgQW5nZWxlczwva2V5d29y
ZD48a2V5d29yZD5NdWx0aXZhcmlhdGUgQW5hbHlzaXM8L2tleXdvcmQ+PGtleXdvcmQ+T2RkcyBS
YXRpbzwva2V5d29yZD48a2V5d29yZD5QcmVnbmFuY3k8L2tleXdvcmQ+PGtleXdvcmQ+KlByZW5h
dGFsIEV4cG9zdXJlIERlbGF5ZWQgRWZmZWN0czwva2V5d29yZD48a2V5d29yZD4qUHJlbmF0YWwg
TnV0cml0aW9uYWwgUGh5c2lvbG9naWNhbCBQaGVub21lbmE8L2tleXdvcmQ+PGtleXdvcmQ+UHJv
cGVuc2l0eSBTY29yZTwva2V5d29yZD48a2V5d29yZD5SaXNrIEZhY3RvcnM8L2tleXdvcmQ+PGtl
eXdvcmQ+U3VydmV5cyBhbmQgUXVlc3Rpb25uYWlyZXM8L2tleXdvcmQ+PGtleXdvcmQ+WW91bmcg
QWR1bHQ8L2tleXdvcmQ+PGtleXdvcmQ+YXN0aG1hPC9rZXl3b3JkPjxrZXl3b3JkPmNoaWxkcmVu
PC9rZXl3b3JkPjxrZXl3b3JkPmVwaWRlbWlvbG9neTwva2V5d29yZD48a2V5d29yZD5mYXN0IGZv
b2Q8L2tleXdvcmQ+PGtleXdvcmQ+bWF0ZXJuYWwgZGlldDwva2V5d29yZD48L2tleXdvcmRzPjxk
YXRlcz48eWVhcj4yMDE1PC95ZWFyPjxwdWItZGF0ZXM+PGRhdGU+U2VwPC9kYXRlPjwvcHViLWRh
dGVzPjwvZGF0ZXM+PGlzYm4+MTM5OS0zMDM4IChFbGVjdHJvbmljKSYjeEQ7MDkwNS02MTU3IChM
aW5raW5nKTwvaXNibj48YWNjZXNzaW9uLW51bT4yNjEwOTI3MjwvYWNjZXNzaW9uLW51bT48dXJs
cz48cmVsYXRlZC11cmxzPjx1cmw+aHR0cHM6Ly93d3cubmNiaS5ubG0ubmloLmdvdi9wdWJtZWQv
MjYxMDkyNzI8L3VybD48L3JlbGF0ZWQtdXJscz48L3VybHM+PGVsZWN0cm9uaWMtcmVzb3VyY2Ut
bnVtPjEwLjExMTEvcGFpLjEyNDMzPC9lbGVjdHJvbmljLXJlc291cmNlLW51bT48L3JlY29yZD48
L0NpdGU+PC9FbmROb3RlPgB=
</w:fldData>
              </w:fldChar>
            </w:r>
            <w:r w:rsidR="002747EA">
              <w:instrText xml:space="preserve"> ADDIN EN.CITE </w:instrText>
            </w:r>
            <w:r w:rsidR="002747EA">
              <w:fldChar w:fldCharType="begin">
                <w:fldData xml:space="preserve">PEVuZE5vdGU+PENpdGU+PEF1dGhvcj52b24gRWhyZW5zdGVpbjwvQXV0aG9yPjxZZWFyPjIwMTU8
L1llYXI+PFJlY051bT4xNzEyPC9SZWNOdW0+PERpc3BsYXlUZXh0PjxzdHlsZSBmYWNlPSJzdXBl
cnNjcmlwdCIgZm9udD0iVHJlYnVjaGV0IE1TIiBzaXplPSI5Ij4xMDY8L3N0eWxlPjwvRGlzcGxh
eVRleHQ+PHJlY29yZD48cmVjLW51bWJlcj4xNzEyPC9yZWMtbnVtYmVyPjxmb3JlaWduLWtleXM+
PGtleSBhcHA9IkVOIiBkYi1pZD0iZXh2YXNyZngyZHRyYW9lc2FzeHAyc3pzeGEyZGY1MDI1OTJ4
IiB0aW1lc3RhbXA9IjE1ODI1MDYxMDQiPjE3MTI8L2tleT48a2V5IGFwcD0iRU5XZWIiIGRiLWlk
PSIiPjA8L2tleT48L2ZvcmVpZ24ta2V5cz48cmVmLXR5cGUgbmFtZT0iSm91cm5hbCBBcnRpY2xl
Ij4xNzwvcmVmLXR5cGU+PGNvbnRyaWJ1dG9ycz48YXV0aG9ycz48YXV0aG9yPnZvbiBFaHJlbnN0
ZWluLCBPLiBTLjwvYXV0aG9yPjxhdXRob3I+QXJhbGlzLCBILjwvYXV0aG9yPjxhdXRob3I+Rmxv
cmVzLCBNLiBFLjwvYXV0aG9yPjxhdXRob3I+Uml0eiwgQi48L2F1dGhvcj48L2F1dGhvcnM+PC9j
b250cmlidXRvcnM+PGF1dGgtYWRkcmVzcz5EZXBhcnRtZW50IG9mIENvbW11bml0eSBIZWFsdGgg
U2NpZW5jZXMsIEZpZWxkaW5nIFNjaG9vbCBvZiBQdWJsaWMgSGVhbHRoLCBVbml2ZXJzaXR5IG9m
IENhbGlmb3JuaWEsIExvcyBBbmdlbGVzLCBDQSwgVVNBLiYjeEQ7RGVwYXJ0bWVudCBvZiBCaW9z
dGF0aXN0aWNzLCBGaWVsZGluZyBTY2hvb2wgb2YgUHVibGljIEhlYWx0aCwgVW5pdmVyc2l0eSBv
ZiBDYWxpZm9ybmlhLCBMb3MgQW5nZWxlcywgQ0EsIFVTQS4mI3hEO0RlcGFydG1lbnQgb2YgRXBp
ZGVtaW9sb2d5LCBGaWVsZGluZyBTY2hvb2wgb2YgUHVibGljIEhlYWx0aCwgVW5pdmVyc2l0eSBv
ZiBDYWxpZm9ybmlhLCBMb3MgQW5nZWxlcywgQ0EsIFVTQS4mI3hEO0RlcGFydG1lbnQgb2YgRmFt
aWx5IGFuZCBTb2NpYWwgTWVkaWNpbmUsIE1vbnRlZmlvcmUgTWVkaWNhbCBDZW50ZXIsIFRoZSBV
bml2ZXJzaXR5IEhvc3BpdGFsIGZvciBBbGJlcnQgRWluc3RlaW4gQ29sbGVnZSBvZiBNZWRpY2lu
ZSwgQnJvbngsIE5ZLCBVU0EuPC9hdXRoLWFkZHJlc3M+PHRpdGxlcz48dGl0bGU+RmFzdCBmb29k
IGNvbnN1bXB0aW9uIGluIHByZWduYW5jeSBhbmQgc3Vic2VxdWVudCBhc3RobWEgc3ltcHRvbXMg
aW4geW91bmcgY2hpbGRyZW48L3RpdGxlPjxzZWNvbmRhcnktdGl0bGU+UGVkaWF0ciBBbGxlcmd5
IEltbXVub2w8L3NlY29uZGFyeS10aXRsZT48L3RpdGxlcz48cGVyaW9kaWNhbD48ZnVsbC10aXRs
ZT5QZWRpYXRyIEFsbGVyZ3kgSW1tdW5vbDwvZnVsbC10aXRsZT48L3BlcmlvZGljYWw+PHBhZ2Vz
PjU3MS03PC9wYWdlcz48dm9sdW1lPjI2PC92b2x1bWU+PG51bWJlcj42PC9udW1iZXI+PGVkaXRp
b24+MjAxNS8wNi8yNjwvZWRpdGlvbj48a2V5d29yZHM+PGtleXdvcmQ+QWR1bHQ8L2tleXdvcmQ+
PGtleXdvcmQ+QWdlIEZhY3RvcnM8L2tleXdvcmQ+PGtleXdvcmQ+QXN0aG1hL2RpYWdub3Npcy8q
ZXRpb2xvZ3k8L2tleXdvcmQ+PGtleXdvcmQ+Q2hpbGQsIFByZXNjaG9vbDwva2V5d29yZD48a2V5
d29yZD5EaWV0LyphZHZlcnNlIGVmZmVjdHM8L2tleXdvcmQ+PGtleXdvcmQ+RmFzdCBGb29kcy8q
YWR2ZXJzZSBlZmZlY3RzPC9rZXl3b3JkPjxrZXl3b3JkPipGZWVkaW5nIEJlaGF2aW9yPC9rZXl3
b3JkPjxrZXl3b3JkPkZlbWFsZTwva2V5d29yZD48a2V5d29yZD5IdW1hbnM8L2tleXdvcmQ+PGtl
eXdvcmQ+TGluZWFyIE1vZGVsczwva2V5d29yZD48a2V5d29yZD5Mb3MgQW5nZWxlczwva2V5d29y
ZD48a2V5d29yZD5NdWx0aXZhcmlhdGUgQW5hbHlzaXM8L2tleXdvcmQ+PGtleXdvcmQ+T2RkcyBS
YXRpbzwva2V5d29yZD48a2V5d29yZD5QcmVnbmFuY3k8L2tleXdvcmQ+PGtleXdvcmQ+KlByZW5h
dGFsIEV4cG9zdXJlIERlbGF5ZWQgRWZmZWN0czwva2V5d29yZD48a2V5d29yZD4qUHJlbmF0YWwg
TnV0cml0aW9uYWwgUGh5c2lvbG9naWNhbCBQaGVub21lbmE8L2tleXdvcmQ+PGtleXdvcmQ+UHJv
cGVuc2l0eSBTY29yZTwva2V5d29yZD48a2V5d29yZD5SaXNrIEZhY3RvcnM8L2tleXdvcmQ+PGtl
eXdvcmQ+U3VydmV5cyBhbmQgUXVlc3Rpb25uYWlyZXM8L2tleXdvcmQ+PGtleXdvcmQ+WW91bmcg
QWR1bHQ8L2tleXdvcmQ+PGtleXdvcmQ+YXN0aG1hPC9rZXl3b3JkPjxrZXl3b3JkPmNoaWxkcmVu
PC9rZXl3b3JkPjxrZXl3b3JkPmVwaWRlbWlvbG9neTwva2V5d29yZD48a2V5d29yZD5mYXN0IGZv
b2Q8L2tleXdvcmQ+PGtleXdvcmQ+bWF0ZXJuYWwgZGlldDwva2V5d29yZD48L2tleXdvcmRzPjxk
YXRlcz48eWVhcj4yMDE1PC95ZWFyPjxwdWItZGF0ZXM+PGRhdGU+U2VwPC9kYXRlPjwvcHViLWRh
dGVzPjwvZGF0ZXM+PGlzYm4+MTM5OS0zMDM4IChFbGVjdHJvbmljKSYjeEQ7MDkwNS02MTU3IChM
aW5raW5nKTwvaXNibj48YWNjZXNzaW9uLW51bT4yNjEwOTI3MjwvYWNjZXNzaW9uLW51bT48dXJs
cz48cmVsYXRlZC11cmxzPjx1cmw+aHR0cHM6Ly93d3cubmNiaS5ubG0ubmloLmdvdi9wdWJtZWQv
MjYxMDkyNzI8L3VybD48L3JlbGF0ZWQtdXJscz48L3VybHM+PGVsZWN0cm9uaWMtcmVzb3VyY2Ut
bnVtPjEwLjExMTEvcGFpLjEyNDMzPC9lbGVjdHJvbmljLXJlc291cmNlLW51bT48L3JlY29yZD48
L0NpdGU+PC9FbmROb3RlPgB=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106</w:t>
            </w:r>
            <w:r w:rsidR="00774750">
              <w:fldChar w:fldCharType="end"/>
            </w:r>
          </w:p>
          <w:p w14:paraId="32950F42" w14:textId="2B246822" w:rsidR="00925D7F" w:rsidRPr="0035604D" w:rsidRDefault="00925D7F" w:rsidP="002F1844">
            <w:r w:rsidRPr="0035604D">
              <w:t xml:space="preserve">United States </w:t>
            </w:r>
          </w:p>
          <w:p w14:paraId="126A5A7A" w14:textId="77777777" w:rsidR="00925D7F" w:rsidRPr="0035604D" w:rsidRDefault="00925D7F" w:rsidP="002F1844">
            <w:r w:rsidRPr="0035604D">
              <w:t>Cohort</w:t>
            </w:r>
          </w:p>
          <w:p w14:paraId="4A0AF789" w14:textId="5A0A627A" w:rsidR="00925D7F" w:rsidRPr="0035604D" w:rsidRDefault="00925D7F" w:rsidP="002F1844"/>
        </w:tc>
        <w:tc>
          <w:tcPr>
            <w:tcW w:w="1417" w:type="dxa"/>
            <w:tcBorders>
              <w:top w:val="single" w:sz="4" w:space="0" w:color="auto"/>
              <w:left w:val="single" w:sz="4" w:space="0" w:color="auto"/>
              <w:bottom w:val="single" w:sz="4" w:space="0" w:color="auto"/>
              <w:right w:val="single" w:sz="4" w:space="0" w:color="auto"/>
            </w:tcBorders>
          </w:tcPr>
          <w:p w14:paraId="21C7175E" w14:textId="2EBBA9EF" w:rsidR="00C31D7A" w:rsidRPr="0035604D" w:rsidRDefault="00925D7F" w:rsidP="002F1844">
            <w:r w:rsidRPr="0035604D">
              <w:t>1,201 mother-infant pairs</w:t>
            </w:r>
          </w:p>
        </w:tc>
        <w:tc>
          <w:tcPr>
            <w:tcW w:w="4532" w:type="dxa"/>
            <w:tcBorders>
              <w:top w:val="single" w:sz="4" w:space="0" w:color="auto"/>
              <w:left w:val="single" w:sz="4" w:space="0" w:color="auto"/>
              <w:bottom w:val="single" w:sz="4" w:space="0" w:color="auto"/>
              <w:right w:val="single" w:sz="4" w:space="0" w:color="auto"/>
            </w:tcBorders>
          </w:tcPr>
          <w:p w14:paraId="6DA091FF" w14:textId="77777777" w:rsidR="00925D7F" w:rsidRPr="0035604D" w:rsidRDefault="00925D7F" w:rsidP="00925D7F">
            <w:r w:rsidRPr="0035604D">
              <w:rPr>
                <w:b/>
              </w:rPr>
              <w:t>Aim</w:t>
            </w:r>
            <w:r w:rsidRPr="0035604D">
              <w:t xml:space="preserve">: To investigate whether maternal fast food intake during pregnancy increases offspring's risk for asthmatic symptoms. </w:t>
            </w:r>
          </w:p>
          <w:p w14:paraId="6DD82765" w14:textId="1FFCEDA8" w:rsidR="00C31D7A" w:rsidRPr="0035604D" w:rsidRDefault="00925D7F" w:rsidP="00925D7F">
            <w:pPr>
              <w:rPr>
                <w:b/>
              </w:rPr>
            </w:pPr>
            <w:r w:rsidRPr="0035604D">
              <w:rPr>
                <w:b/>
              </w:rPr>
              <w:t>Methods</w:t>
            </w:r>
            <w:r w:rsidRPr="0035604D">
              <w:t xml:space="preserve">: Detailed information about prenatal fast food intake and other dietary, lifestyle/ environmental factors, and pregnancy was collected shortly after birth; further data were retrieved from birth certificates. Using the International Study of Asthma and Allergies in Childhood core questions, asthma and rhinitis symptoms were assessed, and doctor's diagnoses were recorded in offspring 3.5 years after birth. Poisson regression with robust error variance using a log link function was used to estimate relative risks (RRs). Models were adjusted using covariates or propensity scores. </w:t>
            </w:r>
          </w:p>
        </w:tc>
        <w:tc>
          <w:tcPr>
            <w:tcW w:w="4536" w:type="dxa"/>
            <w:tcBorders>
              <w:top w:val="single" w:sz="4" w:space="0" w:color="auto"/>
              <w:left w:val="single" w:sz="4" w:space="0" w:color="auto"/>
              <w:bottom w:val="single" w:sz="4" w:space="0" w:color="auto"/>
              <w:right w:val="single" w:sz="4" w:space="0" w:color="auto"/>
            </w:tcBorders>
          </w:tcPr>
          <w:p w14:paraId="186C3B04" w14:textId="59E5E548" w:rsidR="00C31D7A" w:rsidRPr="00925D7F" w:rsidRDefault="00925D7F" w:rsidP="00925D7F">
            <w:r w:rsidRPr="0035604D">
              <w:t>Maternal prenatal fast food consumption related to increased relative risks of their children for severe, and current asthma symptoms (wheeze last 12 months combined with doctor's diagnosis) in a dose-dependent manner: 'once a month': RR: 0.99 (95% CI: 0.36 to 2.75), 'once a week': 1.26 (0.47 to 3.34); '3-4 days a week': 2.17 (0.77 to 6.12); and 'every day' 4.46 (1.36 to 14.6) compared to 'never', adjusting for potential confounders (p for trend = 0.0025). There was also suggestion of increased risks for rhinitis symptoms.</w:t>
            </w:r>
            <w:r w:rsidRPr="00925D7F">
              <w:t xml:space="preserve"> </w:t>
            </w:r>
          </w:p>
        </w:tc>
        <w:tc>
          <w:tcPr>
            <w:tcW w:w="1843" w:type="dxa"/>
            <w:tcBorders>
              <w:top w:val="single" w:sz="4" w:space="0" w:color="auto"/>
              <w:left w:val="single" w:sz="4" w:space="0" w:color="auto"/>
              <w:bottom w:val="single" w:sz="4" w:space="0" w:color="auto"/>
              <w:right w:val="single" w:sz="4" w:space="0" w:color="auto"/>
            </w:tcBorders>
          </w:tcPr>
          <w:p w14:paraId="0B20BC88" w14:textId="77777777" w:rsidR="00C31D7A" w:rsidRPr="00C8357D" w:rsidRDefault="00C31D7A" w:rsidP="002F1844"/>
        </w:tc>
      </w:tr>
      <w:tr w:rsidR="00717D84" w:rsidRPr="00C8357D" w14:paraId="61B39F1B" w14:textId="77777777" w:rsidTr="001F7D2B">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4" w:type="dxa"/>
            <w:tcBorders>
              <w:top w:val="single" w:sz="4" w:space="0" w:color="auto"/>
              <w:left w:val="single" w:sz="4" w:space="0" w:color="auto"/>
              <w:bottom w:val="single" w:sz="4" w:space="0" w:color="auto"/>
              <w:right w:val="single" w:sz="4" w:space="0" w:color="auto"/>
            </w:tcBorders>
          </w:tcPr>
          <w:p w14:paraId="713AE745" w14:textId="3F67728F" w:rsidR="00717D84" w:rsidRDefault="00717D84" w:rsidP="002F1844">
            <w:r w:rsidRPr="00880A17">
              <w:t>Castro-Rodriguez</w:t>
            </w:r>
            <w:r>
              <w:t xml:space="preserve"> et al 2016</w:t>
            </w:r>
            <w:r w:rsidR="00767EBF">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 </w:instrText>
            </w:r>
            <w:r w:rsidR="002747EA">
              <w:fldChar w:fldCharType="begin">
                <w:fldData xml:space="preserve">PEVuZE5vdGU+PENpdGU+PEF1dGhvcj5DYXN0cm8tUm9kcmlndWV6PC9BdXRob3I+PFllYXI+MjAx
NjwvWWVhcj48UmVjTnVtPjEzOTI8L1JlY051bT48RGlzcGxheVRleHQ+PHN0eWxlIGZhY2U9InN1
cGVyc2NyaXB0IiBmb250PSJUcmVidWNoZXQgTVMiIHNpemU9IjkiPjUzPC9zdHlsZT48L0Rpc3Bs
YXlUZXh0PjxyZWNvcmQ+PHJlYy1udW1iZXI+MTM5MjwvcmVjLW51bWJlcj48Zm9yZWlnbi1rZXlz
PjxrZXkgYXBwPSJFTiIgZGItaWQ9ImV4dmFzcmZ4MmR0cmFvZXNhc3hwMnN6c3hhMmRmNTAyNTky
eCIgdGltZXN0YW1wPSIxNTY3OTI0MzgyIj4xMzkyPC9rZXk+PGtleSBhcHA9IkVOV2ViIiBkYi1p
ZD0iIj4wPC9rZXk+PC9mb3JlaWduLWtleXM+PHJlZi10eXBlIG5hbWU9IkpvdXJuYWwgQXJ0aWNs
ZSI+MTc8L3JlZi10eXBlPjxjb250cmlidXRvcnM+PGF1dGhvcnM+PGF1dGhvcj5DYXN0cm8tUm9k
cmlndWV6LCBKLiBBLjwvYXV0aG9yPjxhdXRob3I+UmFtaXJlei1IZXJuYW5kZXosIE0uPC9hdXRo
b3I+PGF1dGhvcj5QYWRpbGxhLCBPLjwvYXV0aG9yPjxhdXRob3I+UGFjaGVjby1Hb256YWxleiwg
Ui4gTS48L2F1dGhvcj48YXV0aG9yPlBlcmV6LUZlcm5hbmRleiwgVi48L2F1dGhvcj48YXV0aG9y
PkdhcmNpYS1NYXJjb3MsIEwuPC9hdXRob3I+PC9hdXRob3JzPjwvY29udHJpYnV0b3JzPjxhdXRo
LWFkZHJlc3M+RGl2aXNpb24gb2YgUGVkaWF0cmljcywgU2Nob29sIG9mIE1lZGljaW5lLCBQb250
aWZpY2lhIFVuaXZlcnNpZGFkIENhdG9saWNhIGRlIENoaWxlLCBTYW50aWFnbywgQ2hpbGU7IERp
dmlzaW9uIG9mIFB1YmxpYyBIZWFsdGgsIFNjaG9vbCBvZiBNZWRpY2luZSwgUG9udGlmaWNpYSBV
bml2ZXJzaWRhZCBDYXRvbGljYSBkZSBDaGlsZSwgU2FudGlhZ28sIENoaWxlLiBFbGVjdHJvbmlj
IGFkZHJlc3M6IGphY2FzdHJvMTdAaG90bWFpbC5jb20uJiN4RDtBbGxlcnkgVW5pdCwgU2FudGEg
THVjaWEgVW5pdmVyc2l0eSBIb3NwaXRhbCwgQ2FydGFnZW5hLCBTcGFpbi4mI3hEO0RpdmlzaW9u
IG9mIFB1YmxpYyBIZWFsdGgsIFNjaG9vbCBvZiBNZWRpY2luZSwgUG9udGlmaWNpYSBVbml2ZXJz
aWRhZCBDYXRvbGljYSBkZSBDaGlsZSwgU2FudGlhZ28sIENoaWxlLiYjeEQ7UGVkaWF0cmljIEFs
bGVyZ3kgYW5kIFB1bG1vbm9sb2d5IFVuaXRzLCAmcXVvdDtWaXJnZW4gZGUgbGEgQXJyaXhhY2Em
cXVvdDsgVW5pdmVyc2l0eSBDaGlsZHJlbiZhcG9zO3MgSG9zcGl0YWwsIFVuaXZlcnNpdHkgb2Yg
TXVyY2lhIGFuZCBJTUlCLUFycml4YWNhIFJlc2VhcmNoIEluc3RpdHV0ZSwgTXVyY2lhLCBTcGFp
bi48L2F1dGgtYWRkcmVzcz48dGl0bGVzPjx0aXRsZT5FZmZlY3Qgb2YgZm9vZHMgYW5kIE1lZGl0
ZXJyYW5lYW4gZGlldCBkdXJpbmcgcHJlZ25hbmN5IGFuZCBmaXJzdCB5ZWFycyBvZiBsaWZlIG9u
IHdoZWV6aW5nLCByaGluaXRpcyBhbmQgZGVybWF0aXRpcyBpbiBwcmVzY2hvb2xlcnM8L3RpdGxl
PjxzZWNvbmRhcnktdGl0bGU+QWxsZXJnb2wgSW1tdW5vcGF0aG9sIChNYWRyKTwvc2Vjb25kYXJ5
LXRpdGxlPjwvdGl0bGVzPjxwZXJpb2RpY2FsPjxmdWxsLXRpdGxlPkFsbGVyZ29sIEltbXVub3Bh
dGhvbCAoTWFkcik8L2Z1bGwtdGl0bGU+PC9wZXJpb2RpY2FsPjxwYWdlcz40MDAtOTwvcGFnZXM+
PHZvbHVtZT40NDwvdm9sdW1lPjxudW1iZXI+NTwvbnVtYmVyPjxlZGl0aW9uPjIwMTYvMDQvMTk8
L2VkaXRpb24+PGtleXdvcmRzPjxrZXl3b3JkPkFkdWx0PC9rZXl3b3JkPjxrZXl3b3JkPkNoaWxk
LCBQcmVzY2hvb2w8L2tleXdvcmQ+PGtleXdvcmQ+RGVybWF0aXRpcy8qZXBpZGVtaW9sb2d5PC9r
ZXl3b3JkPjxrZXl3b3JkPipEaWV0LCBNZWRpdGVycmFuZWFuPC9rZXl3b3JkPjxrZXl3b3JkPkZl
bWFsZTwva2V5d29yZD48a2V5d29yZD5Gb29kPC9rZXl3b3JkPjxrZXl3b3JkPkh1bWFuczwva2V5
d29yZD48a2V5d29yZD5JbmZhbnQ8L2tleXdvcmQ+PGtleXdvcmQ+TWFsZTwva2V5d29yZD48a2V5
d29yZD5NYXRlcm5hbCBFeHBvc3VyZS9hZHZlcnNlIGVmZmVjdHM8L2tleXdvcmQ+PGtleXdvcmQ+
TWlkZGxlIEFnZWQ8L2tleXdvcmQ+PGtleXdvcmQ+UGF0ZXJuYWwgRXhwb3N1cmUvYWR2ZXJzZSBl
ZmZlY3RzPC9rZXl3b3JkPjxrZXl3b3JkPlByZWduYW5jeTwva2V5d29yZD48a2V5d29yZD5QcmV2
YWxlbmNlPC9rZXl3b3JkPjxrZXl3b3JkPipSZXNwaXJhdG9yeSBTb3VuZHM8L2tleXdvcmQ+PGtl
eXdvcmQ+Umhpbml0aXMvKmVwaWRlbWlvbG9neTwva2V5d29yZD48a2V5d29yZD5SaXNrIEZhY3Rv
cnM8L2tleXdvcmQ+PGtleXdvcmQ+U3VydmV5cyBhbmQgUXVlc3Rpb25uYWlyZXM8L2tleXdvcmQ+
PGtleXdvcmQ+QXN0aG1hPC9rZXl3b3JkPjxrZXl3b3JkPkNoaWxkaG9vZDwva2V5d29yZD48a2V5
d29yZD5EZXJtYXRpdGlzPC9rZXl3b3JkPjxrZXl3b3JkPkZvb2QgZHVyaW5nIHByZWduYW5jeTwv
a2V5d29yZD48a2V5d29yZD5NZWRpdGVycmFuZWFuIGRpZXQ8L2tleXdvcmQ+PGtleXdvcmQ+UHJp
bWFyeSBwcmV2ZW50aW9uPC9rZXl3b3JkPjxrZXl3b3JkPlJoaW5pdGlzPC9rZXl3b3JkPjxrZXl3
b3JkPldoZWV6ZTwva2V5d29yZD48L2tleXdvcmRzPjxkYXRlcz48eWVhcj4yMDE2PC95ZWFyPjxw
dWItZGF0ZXM+PGRhdGU+U2VwLU9jdDwvZGF0ZT48L3B1Yi1kYXRlcz48L2RhdGVzPjxpc2JuPjE1
NzgtMTI2NyAoRWxlY3Ryb25pYykmI3hEOzAzMDEtMDU0NiAoTGlua2luZyk8L2lzYm4+PGFjY2Vz
c2lvbi1udW0+MjcwODc1NjY8L2FjY2Vzc2lvbi1udW0+PHVybHM+PHJlbGF0ZWQtdXJscz48dXJs
Pmh0dHBzOi8vd3d3Lm5jYmkubmxtLm5paC5nb3YvcHVibWVkLzI3MDg3NTY2PC91cmw+PC9yZWxh
dGVkLXVybHM+PC91cmxzPjxlbGVjdHJvbmljLXJlc291cmNlLW51bT4xMC4xMDE2L2ouYWxsZXIu
MjAxNS4xMi4wMDI8L2VsZWN0cm9uaWMtcmVzb3VyY2UtbnVtPjwvcmVjb3JkPjwvQ2l0ZT48L0Vu
ZE5vdGU+
</w:fldData>
              </w:fldChar>
            </w:r>
            <w:r w:rsidR="002747EA">
              <w:instrText xml:space="preserve"> ADDIN EN.CITE.DATA </w:instrText>
            </w:r>
            <w:r w:rsidR="002747EA">
              <w:fldChar w:fldCharType="end"/>
            </w:r>
            <w:r w:rsidR="00767EBF">
              <w:fldChar w:fldCharType="separate"/>
            </w:r>
            <w:r w:rsidR="002747EA" w:rsidRPr="002747EA">
              <w:rPr>
                <w:noProof/>
                <w:vertAlign w:val="superscript"/>
              </w:rPr>
              <w:t>53</w:t>
            </w:r>
            <w:r w:rsidR="00767EBF">
              <w:fldChar w:fldCharType="end"/>
            </w:r>
          </w:p>
          <w:p w14:paraId="3B345FFA" w14:textId="6352BB3B" w:rsidR="00D51984" w:rsidRPr="00D51984" w:rsidRDefault="00D51984" w:rsidP="00D51984">
            <w:r w:rsidRPr="00D51984">
              <w:t>International Study of Wheezing in Infants </w:t>
            </w:r>
          </w:p>
          <w:p w14:paraId="25D9B9D4" w14:textId="77E5B639" w:rsidR="00D51984" w:rsidRPr="00880A17" w:rsidRDefault="00D51984" w:rsidP="002F1844">
            <w:r>
              <w:t>Spain</w:t>
            </w:r>
          </w:p>
          <w:p w14:paraId="7BC72498" w14:textId="77777777" w:rsidR="00717D84" w:rsidRDefault="00717D84" w:rsidP="002F1844">
            <w:r>
              <w:t>Cohort</w:t>
            </w:r>
          </w:p>
        </w:tc>
        <w:tc>
          <w:tcPr>
            <w:tcW w:w="1417" w:type="dxa"/>
            <w:tcBorders>
              <w:top w:val="single" w:sz="4" w:space="0" w:color="auto"/>
              <w:left w:val="single" w:sz="4" w:space="0" w:color="auto"/>
              <w:bottom w:val="single" w:sz="4" w:space="0" w:color="auto"/>
              <w:right w:val="single" w:sz="4" w:space="0" w:color="auto"/>
            </w:tcBorders>
          </w:tcPr>
          <w:p w14:paraId="21D3D607" w14:textId="77777777" w:rsidR="00717D84" w:rsidRDefault="00717D84" w:rsidP="002F1844">
            <w:r>
              <w:t>1,000 preschool children</w:t>
            </w:r>
          </w:p>
        </w:tc>
        <w:tc>
          <w:tcPr>
            <w:tcW w:w="4532" w:type="dxa"/>
            <w:tcBorders>
              <w:top w:val="single" w:sz="4" w:space="0" w:color="auto"/>
              <w:left w:val="single" w:sz="4" w:space="0" w:color="auto"/>
              <w:bottom w:val="single" w:sz="4" w:space="0" w:color="auto"/>
              <w:right w:val="single" w:sz="4" w:space="0" w:color="auto"/>
            </w:tcBorders>
          </w:tcPr>
          <w:p w14:paraId="56C6994B" w14:textId="77777777" w:rsidR="00717D84" w:rsidRDefault="00717D84" w:rsidP="002F1844">
            <w:r w:rsidRPr="008E7258">
              <w:rPr>
                <w:b/>
              </w:rPr>
              <w:t>Aim</w:t>
            </w:r>
            <w:r>
              <w:t xml:space="preserve">: To examine whether </w:t>
            </w:r>
            <w:r w:rsidRPr="00880A17">
              <w:t xml:space="preserve">some foods and Mediterranean diet (MedDiet) consumed by the mother during pregnancy and by the child during the first years of life can be protective for current wheezing, rhinitis and dermatitis at preschool age. </w:t>
            </w:r>
          </w:p>
          <w:p w14:paraId="1BF3A86B" w14:textId="77777777" w:rsidR="00717D84" w:rsidRDefault="00717D84" w:rsidP="002F1844">
            <w:pPr>
              <w:rPr>
                <w:b/>
              </w:rPr>
            </w:pPr>
            <w:r w:rsidRPr="008E7258">
              <w:rPr>
                <w:b/>
              </w:rPr>
              <w:t>Methods</w:t>
            </w:r>
            <w:r w:rsidRPr="00880A17">
              <w:t>: Questionnaires of epidemiological factors and food intake by the mother during pregnancy and later by the child were filled in by parents in two surveys at two different time points (1.5 yrs and 4 yrs of life)</w:t>
            </w:r>
            <w:r>
              <w:t>.</w:t>
            </w:r>
            <w:r w:rsidRPr="00880A17">
              <w:t xml:space="preserve"> </w:t>
            </w:r>
          </w:p>
        </w:tc>
        <w:tc>
          <w:tcPr>
            <w:tcW w:w="4536" w:type="dxa"/>
            <w:tcBorders>
              <w:top w:val="single" w:sz="4" w:space="0" w:color="auto"/>
              <w:left w:val="single" w:sz="4" w:space="0" w:color="auto"/>
              <w:bottom w:val="single" w:sz="4" w:space="0" w:color="auto"/>
              <w:right w:val="single" w:sz="4" w:space="0" w:color="auto"/>
            </w:tcBorders>
          </w:tcPr>
          <w:p w14:paraId="6522A381" w14:textId="77777777" w:rsidR="00717D84" w:rsidRDefault="00717D84" w:rsidP="002F1844">
            <w:r>
              <w:t>H</w:t>
            </w:r>
            <w:r w:rsidRPr="00880A17">
              <w:t xml:space="preserve">igh fast food consumption </w:t>
            </w:r>
            <w:r>
              <w:t>(≥3 times a week) by mothers in pregnancy</w:t>
            </w:r>
            <w:r w:rsidRPr="00880A17">
              <w:t xml:space="preserve"> </w:t>
            </w:r>
            <w:r>
              <w:t>was</w:t>
            </w:r>
            <w:r w:rsidRPr="00880A17">
              <w:t xml:space="preserve"> associated </w:t>
            </w:r>
            <w:r>
              <w:t>with a</w:t>
            </w:r>
            <w:r w:rsidRPr="00880A17">
              <w:t xml:space="preserve"> higher prevalence</w:t>
            </w:r>
            <w:r>
              <w:t xml:space="preserve"> of dermatitis in the child (p=0.005)</w:t>
            </w:r>
            <w:r w:rsidRPr="00880A17">
              <w:t xml:space="preserve">. </w:t>
            </w:r>
          </w:p>
          <w:p w14:paraId="7CE76E17" w14:textId="42EBAE91" w:rsidR="00717D84" w:rsidRPr="00880A17" w:rsidRDefault="00717D84" w:rsidP="002F1844"/>
        </w:tc>
        <w:tc>
          <w:tcPr>
            <w:tcW w:w="1843" w:type="dxa"/>
            <w:tcBorders>
              <w:top w:val="single" w:sz="4" w:space="0" w:color="auto"/>
              <w:left w:val="single" w:sz="4" w:space="0" w:color="auto"/>
              <w:bottom w:val="single" w:sz="4" w:space="0" w:color="auto"/>
              <w:right w:val="single" w:sz="4" w:space="0" w:color="auto"/>
            </w:tcBorders>
          </w:tcPr>
          <w:p w14:paraId="55776D94" w14:textId="5245008F" w:rsidR="00717D84" w:rsidRPr="00C8357D" w:rsidRDefault="00717D84" w:rsidP="002F1844"/>
        </w:tc>
      </w:tr>
      <w:tr w:rsidR="00B1545A" w:rsidRPr="00C8357D" w14:paraId="7AA3EB76" w14:textId="77777777" w:rsidTr="001F7D2B">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4" w:type="dxa"/>
            <w:tcBorders>
              <w:top w:val="single" w:sz="4" w:space="0" w:color="auto"/>
              <w:left w:val="single" w:sz="4" w:space="0" w:color="auto"/>
              <w:bottom w:val="single" w:sz="4" w:space="0" w:color="000000" w:themeColor="text1"/>
              <w:right w:val="single" w:sz="4" w:space="0" w:color="auto"/>
            </w:tcBorders>
          </w:tcPr>
          <w:p w14:paraId="31E3BD01" w14:textId="3AE9D3EB" w:rsidR="00B1545A" w:rsidRDefault="00B1545A" w:rsidP="00F20A8C">
            <w:r>
              <w:t>Dominguez et al 2014</w:t>
            </w:r>
            <w:r w:rsidR="00767EBF">
              <w:fldChar w:fldCharType="begin">
                <w:fldData xml:space="preserve">PEVuZE5vdGU+PENpdGU+PEF1dGhvcj5Eb21pbmd1ZXo8L0F1dGhvcj48WWVhcj4yMDE0PC9ZZWFy
PjxSZWNOdW0+MTM1NTwvUmVjTnVtPjxEaXNwbGF5VGV4dD48c3R5bGUgZmFjZT0ic3VwZXJzY3Jp
cHQiIGZvbnQ9IlRyZWJ1Y2hldCBNUyIgc2l6ZT0iOSI+MTA1PC9zdHlsZT48L0Rpc3BsYXlUZXh0
PjxyZWNvcmQ+PHJlYy1udW1iZXI+MTM1NTwvcmVjLW51bWJlcj48Zm9yZWlnbi1rZXlzPjxrZXkg
YXBwPSJFTiIgZGItaWQ9ImV4dmFzcmZ4MmR0cmFvZXNhc3hwMnN6c3hhMmRmNTAyNTkyeCIgdGlt
ZXN0YW1wPSIxNTY3MDMxMDI3Ij4xMzU1PC9rZXk+PGtleSBhcHA9IkVOV2ViIiBkYi1pZD0iIj4w
PC9rZXk+PC9mb3JlaWduLWtleXM+PHJlZi10eXBlIG5hbWU9IkpvdXJuYWwgQXJ0aWNsZSI+MTc8
L3JlZi10eXBlPjxjb250cmlidXRvcnM+PGF1dGhvcnM+PGF1dGhvcj5Eb21pbmd1ZXosIEwuIEou
PC9hdXRob3I+PGF1dGhvcj5NYXJ0aW5lei1Hb256YWxleiwgTS4gQS48L2F1dGhvcj48YXV0aG9y
PkJhc3RlcnJhLUdvcnRhcmksIEYuIEouPC9hdXRob3I+PGF1dGhvcj5HZWEsIEEuPC9hdXRob3I+
PGF1dGhvcj5CYXJiYWdhbGxvLCBNLjwvYXV0aG9yPjxhdXRob3I+QmVzLVJhc3Ryb2xsbywgTS48
L2F1dGhvcj48L2F1dGhvcnM+PC9jb250cmlidXRvcnM+PGF1dGgtYWRkcmVzcz5HZXJpYXRyaWMg
VW5pdCAtIERlcGFydG1lbnQgb2YgSW50ZXJuYWwgTWVkaWNpbmUgYW5kIFNwZWNpYWx0aWVzLCBV
bml2ZXJzaXR5IG9mIFBhbGVybW8sIFBhbGVybW8sIFNpY2lseSwgSXRhbHkuJiN4RDtEZXBhcnRt
ZW50IG9mIFByZXZlbnRpdmUgTWVkaWNpbmUgYW5kIFB1YmxpYyBIZWFsdGgsIFVuaXZlcnNpdHkg
b2YgTmF2YXJyYSwgUGFtcGxvbmEsIE5hdmFycmEsIFNwYWluLCBhbmQgQ0lCRVIgRmlzaW9wYXRv
bG9naWEgZGUgbGEgT2Jlc2lkYWQgeSBOdXRyaWNpb24gKENJQkVSb2JuKSwgSW5zdGl0dXRvIGRl
IFNhbHVkIENhcmxvcyBJSUksIE1hZHJpZCwgU3BhaW4uJiN4RDtEZXBhcnRtZW50IG9mIFByZXZl
bnRpdmUgTWVkaWNpbmUgYW5kIFB1YmxpYyBIZWFsdGgsIFVuaXZlcnNpdHkgb2YgTmF2YXJyYSwg
UGFtcGxvbmEsIE5hdmFycmEsIFNwYWluLCBhbmQgQ0lCRVIgRmlzaW9wYXRvbG9naWEgZGUgbGEg
T2Jlc2lkYWQgeSBOdXRyaWNpb24gKENJQkVSb2JuKSwgSW5zdGl0dXRvIGRlIFNhbHVkIENhcmxv
cyBJSUksIE1hZHJpZCwgU3BhaW47IERlcGFydG1lbnQgb2YgSW50ZXJuYWwgTWVkaWNpbmUgKEVu
ZG9jcmlub2xvZ3kpLCBIb3NwaXRhbCBSZWluYSBTb2ZpYSwgVHVkZWxhLCBOYXZhcnJhLCBTcGFp
bi48L2F1dGgtYWRkcmVzcz48dGl0bGVzPjx0aXRsZT5GYXN0IGZvb2QgY29uc3VtcHRpb24gYW5k
IGdlc3RhdGlvbmFsIGRpYWJldGVzIGluY2lkZW5jZSBpbiB0aGUgU1VOIHByb2plY3Q8L3RpdGxl
PjxzZWNvbmRhcnktdGl0bGU+UExvUyBPbmU8L3NlY29uZGFyeS10aXRsZT48L3RpdGxlcz48cGVy
aW9kaWNhbD48ZnVsbC10aXRsZT5QTG9TIE9uZTwvZnVsbC10aXRsZT48L3BlcmlvZGljYWw+PHBh
Z2VzPmUxMDY2Mjc8L3BhZ2VzPjx2b2x1bWU+OTwvdm9sdW1lPjxudW1iZXI+OTwvbnVtYmVyPjxl
ZGl0aW9uPjIwMTQvMDkvMTM8L2VkaXRpb24+PGtleXdvcmRzPjxrZXl3b3JkPkFkdWx0PC9rZXl3
b3JkPjxrZXl3b3JkPkNvaG9ydCBTdHVkaWVzPC9rZXl3b3JkPjxrZXl3b3JkPkNvbmZpZGVuY2Ug
SW50ZXJ2YWxzPC9rZXl3b3JkPjxrZXl3b3JkPkRpYWJldGVzLCBHZXN0YXRpb25hbC8qZXBpZGVt
aW9sb2d5PC9rZXl3b3JkPjxrZXl3b3JkPipGYXN0IEZvb2RzPC9rZXl3b3JkPjxrZXl3b3JkPkZl
bWFsZTwva2V5d29yZD48a2V5d29yZD5IdW1hbnM8L2tleXdvcmQ+PGtleXdvcmQ+SW5jaWRlbmNl
PC9rZXl3b3JkPjxrZXl3b3JkPk9kZHMgUmF0aW88L2tleXdvcmQ+PGtleXdvcmQ+UHJlZ25hbmN5
PC9rZXl3b3JkPjxrZXl3b3JkPlNwYWluL2VwaWRlbWlvbG9neTwva2V5d29yZD48L2tleXdvcmRz
PjxkYXRlcz48eWVhcj4yMDE0PC95ZWFyPjwvZGF0ZXM+PGlzYm4+MTkzMi02MjAzIChFbGVjdHJv
bmljKSYjeEQ7MTkzMi02MjAzIChMaW5raW5nKTwvaXNibj48YWNjZXNzaW9uLW51bT4yNTIxNTk2
MTwvYWNjZXNzaW9uLW51bT48dXJscz48cmVsYXRlZC11cmxzPjx1cmw+aHR0cHM6Ly93d3cubmNi
aS5ubG0ubmloLmdvdi9wdWJtZWQvMjUyMTU5NjE8L3VybD48L3JlbGF0ZWQtdXJscz48L3VybHM+
PGN1c3RvbTI+UE1DNDE2MjU2NzwvY3VzdG9tMj48ZWxlY3Ryb25pYy1yZXNvdXJjZS1udW0+MTAu
MTM3MS9qb3VybmFsLnBvbmUuMDEwNjYyNzwvZWxlY3Ryb25pYy1yZXNvdXJjZS1udW0+PC9yZWNv
cmQ+PC9DaXRlPjwvRW5kTm90ZT4A
</w:fldData>
              </w:fldChar>
            </w:r>
            <w:r w:rsidR="002747EA">
              <w:instrText xml:space="preserve"> ADDIN EN.CITE </w:instrText>
            </w:r>
            <w:r w:rsidR="002747EA">
              <w:fldChar w:fldCharType="begin">
                <w:fldData xml:space="preserve">PEVuZE5vdGU+PENpdGU+PEF1dGhvcj5Eb21pbmd1ZXo8L0F1dGhvcj48WWVhcj4yMDE0PC9ZZWFy
PjxSZWNOdW0+MTM1NTwvUmVjTnVtPjxEaXNwbGF5VGV4dD48c3R5bGUgZmFjZT0ic3VwZXJzY3Jp
cHQiIGZvbnQ9IlRyZWJ1Y2hldCBNUyIgc2l6ZT0iOSI+MTA1PC9zdHlsZT48L0Rpc3BsYXlUZXh0
PjxyZWNvcmQ+PHJlYy1udW1iZXI+MTM1NTwvcmVjLW51bWJlcj48Zm9yZWlnbi1rZXlzPjxrZXkg
YXBwPSJFTiIgZGItaWQ9ImV4dmFzcmZ4MmR0cmFvZXNhc3hwMnN6c3hhMmRmNTAyNTkyeCIgdGlt
ZXN0YW1wPSIxNTY3MDMxMDI3Ij4xMzU1PC9rZXk+PGtleSBhcHA9IkVOV2ViIiBkYi1pZD0iIj4w
PC9rZXk+PC9mb3JlaWduLWtleXM+PHJlZi10eXBlIG5hbWU9IkpvdXJuYWwgQXJ0aWNsZSI+MTc8
L3JlZi10eXBlPjxjb250cmlidXRvcnM+PGF1dGhvcnM+PGF1dGhvcj5Eb21pbmd1ZXosIEwuIEou
PC9hdXRob3I+PGF1dGhvcj5NYXJ0aW5lei1Hb256YWxleiwgTS4gQS48L2F1dGhvcj48YXV0aG9y
PkJhc3RlcnJhLUdvcnRhcmksIEYuIEouPC9hdXRob3I+PGF1dGhvcj5HZWEsIEEuPC9hdXRob3I+
PGF1dGhvcj5CYXJiYWdhbGxvLCBNLjwvYXV0aG9yPjxhdXRob3I+QmVzLVJhc3Ryb2xsbywgTS48
L2F1dGhvcj48L2F1dGhvcnM+PC9jb250cmlidXRvcnM+PGF1dGgtYWRkcmVzcz5HZXJpYXRyaWMg
VW5pdCAtIERlcGFydG1lbnQgb2YgSW50ZXJuYWwgTWVkaWNpbmUgYW5kIFNwZWNpYWx0aWVzLCBV
bml2ZXJzaXR5IG9mIFBhbGVybW8sIFBhbGVybW8sIFNpY2lseSwgSXRhbHkuJiN4RDtEZXBhcnRt
ZW50IG9mIFByZXZlbnRpdmUgTWVkaWNpbmUgYW5kIFB1YmxpYyBIZWFsdGgsIFVuaXZlcnNpdHkg
b2YgTmF2YXJyYSwgUGFtcGxvbmEsIE5hdmFycmEsIFNwYWluLCBhbmQgQ0lCRVIgRmlzaW9wYXRv
bG9naWEgZGUgbGEgT2Jlc2lkYWQgeSBOdXRyaWNpb24gKENJQkVSb2JuKSwgSW5zdGl0dXRvIGRl
IFNhbHVkIENhcmxvcyBJSUksIE1hZHJpZCwgU3BhaW4uJiN4RDtEZXBhcnRtZW50IG9mIFByZXZl
bnRpdmUgTWVkaWNpbmUgYW5kIFB1YmxpYyBIZWFsdGgsIFVuaXZlcnNpdHkgb2YgTmF2YXJyYSwg
UGFtcGxvbmEsIE5hdmFycmEsIFNwYWluLCBhbmQgQ0lCRVIgRmlzaW9wYXRvbG9naWEgZGUgbGEg
T2Jlc2lkYWQgeSBOdXRyaWNpb24gKENJQkVSb2JuKSwgSW5zdGl0dXRvIGRlIFNhbHVkIENhcmxv
cyBJSUksIE1hZHJpZCwgU3BhaW47IERlcGFydG1lbnQgb2YgSW50ZXJuYWwgTWVkaWNpbmUgKEVu
ZG9jcmlub2xvZ3kpLCBIb3NwaXRhbCBSZWluYSBTb2ZpYSwgVHVkZWxhLCBOYXZhcnJhLCBTcGFp
bi48L2F1dGgtYWRkcmVzcz48dGl0bGVzPjx0aXRsZT5GYXN0IGZvb2QgY29uc3VtcHRpb24gYW5k
IGdlc3RhdGlvbmFsIGRpYWJldGVzIGluY2lkZW5jZSBpbiB0aGUgU1VOIHByb2plY3Q8L3RpdGxl
PjxzZWNvbmRhcnktdGl0bGU+UExvUyBPbmU8L3NlY29uZGFyeS10aXRsZT48L3RpdGxlcz48cGVy
aW9kaWNhbD48ZnVsbC10aXRsZT5QTG9TIE9uZTwvZnVsbC10aXRsZT48L3BlcmlvZGljYWw+PHBh
Z2VzPmUxMDY2Mjc8L3BhZ2VzPjx2b2x1bWU+OTwvdm9sdW1lPjxudW1iZXI+OTwvbnVtYmVyPjxl
ZGl0aW9uPjIwMTQvMDkvMTM8L2VkaXRpb24+PGtleXdvcmRzPjxrZXl3b3JkPkFkdWx0PC9rZXl3
b3JkPjxrZXl3b3JkPkNvaG9ydCBTdHVkaWVzPC9rZXl3b3JkPjxrZXl3b3JkPkNvbmZpZGVuY2Ug
SW50ZXJ2YWxzPC9rZXl3b3JkPjxrZXl3b3JkPkRpYWJldGVzLCBHZXN0YXRpb25hbC8qZXBpZGVt
aW9sb2d5PC9rZXl3b3JkPjxrZXl3b3JkPipGYXN0IEZvb2RzPC9rZXl3b3JkPjxrZXl3b3JkPkZl
bWFsZTwva2V5d29yZD48a2V5d29yZD5IdW1hbnM8L2tleXdvcmQ+PGtleXdvcmQ+SW5jaWRlbmNl
PC9rZXl3b3JkPjxrZXl3b3JkPk9kZHMgUmF0aW88L2tleXdvcmQ+PGtleXdvcmQ+UHJlZ25hbmN5
PC9rZXl3b3JkPjxrZXl3b3JkPlNwYWluL2VwaWRlbWlvbG9neTwva2V5d29yZD48L2tleXdvcmRz
PjxkYXRlcz48eWVhcj4yMDE0PC95ZWFyPjwvZGF0ZXM+PGlzYm4+MTkzMi02MjAzIChFbGVjdHJv
bmljKSYjeEQ7MTkzMi02MjAzIChMaW5raW5nKTwvaXNibj48YWNjZXNzaW9uLW51bT4yNTIxNTk2
MTwvYWNjZXNzaW9uLW51bT48dXJscz48cmVsYXRlZC11cmxzPjx1cmw+aHR0cHM6Ly93d3cubmNi
aS5ubG0ubmloLmdvdi9wdWJtZWQvMjUyMTU5NjE8L3VybD48L3JlbGF0ZWQtdXJscz48L3VybHM+
PGN1c3RvbTI+UE1DNDE2MjU2NzwvY3VzdG9tMj48ZWxlY3Ryb25pYy1yZXNvdXJjZS1udW0+MTAu
MTM3MS9qb3VybmFsLnBvbmUuMDEwNjYyNzwvZWxlY3Ryb25pYy1yZXNvdXJjZS1udW0+PC9yZWNv
cmQ+PC9DaXRlPjwvRW5kTm90ZT4A
</w:fldData>
              </w:fldChar>
            </w:r>
            <w:r w:rsidR="002747EA">
              <w:instrText xml:space="preserve"> ADDIN EN.CITE.DATA </w:instrText>
            </w:r>
            <w:r w:rsidR="002747EA">
              <w:fldChar w:fldCharType="end"/>
            </w:r>
            <w:r w:rsidR="00767EBF">
              <w:fldChar w:fldCharType="separate"/>
            </w:r>
            <w:r w:rsidR="002747EA" w:rsidRPr="002747EA">
              <w:rPr>
                <w:noProof/>
                <w:vertAlign w:val="superscript"/>
              </w:rPr>
              <w:t>105</w:t>
            </w:r>
            <w:r w:rsidR="00767EBF">
              <w:fldChar w:fldCharType="end"/>
            </w:r>
          </w:p>
          <w:p w14:paraId="08D69D98" w14:textId="77777777" w:rsidR="00B1545A" w:rsidRDefault="00B1545A" w:rsidP="00F20A8C">
            <w:r>
              <w:t xml:space="preserve">Spain </w:t>
            </w:r>
          </w:p>
          <w:p w14:paraId="2C68759C" w14:textId="77777777" w:rsidR="00B1545A" w:rsidRDefault="00B1545A" w:rsidP="00F20A8C">
            <w:r w:rsidRPr="00B1545A">
              <w:t>Seg</w:t>
            </w:r>
            <w:r>
              <w:t>uimiento Universidad de Navarra</w:t>
            </w:r>
            <w:r w:rsidRPr="00B1545A">
              <w:t xml:space="preserve"> (SUN)</w:t>
            </w:r>
          </w:p>
          <w:p w14:paraId="3E74ADA6" w14:textId="77777777" w:rsidR="00B1545A" w:rsidRPr="00C8357D" w:rsidRDefault="00B1545A" w:rsidP="00F20A8C">
            <w:r>
              <w:t>Cohort</w:t>
            </w:r>
          </w:p>
        </w:tc>
        <w:tc>
          <w:tcPr>
            <w:tcW w:w="1417" w:type="dxa"/>
            <w:tcBorders>
              <w:top w:val="single" w:sz="4" w:space="0" w:color="auto"/>
              <w:left w:val="single" w:sz="4" w:space="0" w:color="auto"/>
              <w:bottom w:val="single" w:sz="4" w:space="0" w:color="000000" w:themeColor="text1"/>
              <w:right w:val="single" w:sz="4" w:space="0" w:color="auto"/>
            </w:tcBorders>
          </w:tcPr>
          <w:p w14:paraId="1D369A30" w14:textId="77777777" w:rsidR="00B1545A" w:rsidRPr="00C8357D" w:rsidRDefault="00B1545A" w:rsidP="00F20A8C">
            <w:r>
              <w:t>3,048 women</w:t>
            </w:r>
          </w:p>
        </w:tc>
        <w:tc>
          <w:tcPr>
            <w:tcW w:w="4532" w:type="dxa"/>
            <w:tcBorders>
              <w:top w:val="single" w:sz="4" w:space="0" w:color="auto"/>
              <w:left w:val="single" w:sz="4" w:space="0" w:color="auto"/>
              <w:bottom w:val="single" w:sz="4" w:space="0" w:color="000000" w:themeColor="text1"/>
              <w:right w:val="single" w:sz="4" w:space="0" w:color="auto"/>
            </w:tcBorders>
          </w:tcPr>
          <w:p w14:paraId="52C5F7F5" w14:textId="77777777" w:rsidR="00B1545A" w:rsidRDefault="00B1545A" w:rsidP="00F20A8C">
            <w:r w:rsidRPr="00B1545A">
              <w:rPr>
                <w:b/>
              </w:rPr>
              <w:t>Aim</w:t>
            </w:r>
            <w:r>
              <w:t>: T</w:t>
            </w:r>
            <w:r w:rsidRPr="00B1545A">
              <w:t xml:space="preserve">o investigate the incidence of gestational diabetes according to the consumption of fast food in a cohort of university graduates. </w:t>
            </w:r>
          </w:p>
          <w:p w14:paraId="0FC647A6" w14:textId="77777777" w:rsidR="00B1545A" w:rsidRPr="00C8357D" w:rsidRDefault="00B1545A" w:rsidP="00F20A8C">
            <w:r w:rsidRPr="00B1545A">
              <w:rPr>
                <w:b/>
              </w:rPr>
              <w:t>Methods</w:t>
            </w:r>
            <w:r w:rsidRPr="00B1545A">
              <w:t xml:space="preserve">: The cohort included data of 3,048 women initially free of diabetes or previous gestational diabetes who reported at least one pregnancy between December 1999 and March 2011. Fast food consumption was assessed through a validated 136-item semi-quantitative food frequency questionnaire. Fast food was defined as the consumption of hamburgers, sausages, and pizza. Three categories of fast food were established: low (0-3 servings/month), intermediate (&gt;3 servings/month and &lt;/=2 servings/week) and high (&gt;2 servings/week). Non-conditional logistic regression models were used to adjust for potential confounders. </w:t>
            </w:r>
          </w:p>
        </w:tc>
        <w:tc>
          <w:tcPr>
            <w:tcW w:w="4536" w:type="dxa"/>
            <w:tcBorders>
              <w:top w:val="single" w:sz="4" w:space="0" w:color="auto"/>
              <w:left w:val="single" w:sz="4" w:space="0" w:color="auto"/>
              <w:bottom w:val="single" w:sz="4" w:space="0" w:color="000000" w:themeColor="text1"/>
              <w:right w:val="single" w:sz="4" w:space="0" w:color="auto"/>
            </w:tcBorders>
          </w:tcPr>
          <w:p w14:paraId="44B77662" w14:textId="77777777" w:rsidR="00B1545A" w:rsidRPr="00B1545A" w:rsidRDefault="00B1545A" w:rsidP="00F20A8C">
            <w:r w:rsidRPr="00B1545A">
              <w:t>After adjusting for age, baseline body mass index, total energy intake, smoking, physical activity, family history of diabetes, cardiovascular disease/hypertension at baseline, parity, adherence to Mediterranean dietar</w:t>
            </w:r>
            <w:r>
              <w:t>y pattern, alcohol intake, fibre</w:t>
            </w:r>
            <w:r w:rsidRPr="00B1545A">
              <w:t xml:space="preserve"> intake, and sugar-sweetened soft drinks consumption, fast food consumption was significantly associated with a higher risk of incident gestational diabetes, with multivariate adjusted OR 1.31 (0.81</w:t>
            </w:r>
            <w:r>
              <w:t xml:space="preserve"> to </w:t>
            </w:r>
            <w:r w:rsidRPr="00B1545A">
              <w:t xml:space="preserve">2.13) and 1.86 (95% CI: 1.13-3.06) for the intermediate and high categories, respectively, versus the lowest category of baseline fast food consumption (p for linear trend: 0.007). </w:t>
            </w:r>
          </w:p>
        </w:tc>
        <w:tc>
          <w:tcPr>
            <w:tcW w:w="1843" w:type="dxa"/>
            <w:tcBorders>
              <w:top w:val="single" w:sz="4" w:space="0" w:color="auto"/>
              <w:left w:val="single" w:sz="4" w:space="0" w:color="auto"/>
              <w:bottom w:val="single" w:sz="4" w:space="0" w:color="000000" w:themeColor="text1"/>
              <w:right w:val="single" w:sz="4" w:space="0" w:color="auto"/>
            </w:tcBorders>
          </w:tcPr>
          <w:p w14:paraId="4D456797" w14:textId="607DD9DE" w:rsidR="00B1545A" w:rsidRPr="00C8357D" w:rsidRDefault="00B1545A" w:rsidP="00F20A8C"/>
        </w:tc>
      </w:tr>
      <w:tr w:rsidR="001F7D2B" w:rsidRPr="00C8357D" w14:paraId="5AC9C74B" w14:textId="77777777" w:rsidTr="001F7D2B">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848C2" w14:textId="1009217F" w:rsidR="001F7D2B" w:rsidRDefault="001F7D2B" w:rsidP="00A62BCD">
            <w:r>
              <w:t>Lombardi et al 2015</w:t>
            </w:r>
            <w:r w:rsidR="00767EBF">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 </w:instrText>
            </w:r>
            <w:r w:rsidR="002747EA">
              <w:fldChar w:fldCharType="begin">
                <w:fldData xml:space="preserve">PEVuZE5vdGU+PENpdGU+PEF1dGhvcj5Mb21iYXJkaTwvQXV0aG9yPjxZZWFyPjIwMTU8L1llYXI+
PFJlY051bT4xNDEwPC9SZWNOdW0+PERpc3BsYXlUZXh0PjxzdHlsZSBmYWNlPSJzdXBlcnNjcmlw
dCIgZm9udD0iVHJlYnVjaGV0IE1TIiBzaXplPSI5Ij43Njwvc3R5bGU+PC9EaXNwbGF5VGV4dD48
cmVjb3JkPjxyZWMtbnVtYmVyPjE0MTA8L3JlYy1udW1iZXI+PGZvcmVpZ24ta2V5cz48a2V5IGFw
cD0iRU4iIGRiLWlkPSJleHZhc3JmeDJkdHJhb2VzYXN4cDJzenN4YTJkZjUwMjU5MngiIHRpbWVz
dGFtcD0iMTU2NzkyNDU1OSI+MTQxMDwva2V5PjxrZXkgYXBwPSJFTldlYiIgZGItaWQ9IiI+MDwv
a2V5PjwvZm9yZWlnbi1rZXlzPjxyZWYtdHlwZSBuYW1lPSJKb3VybmFsIEFydGljbGUiPjE3PC9y
ZWYtdHlwZT48Y29udHJpYnV0b3JzPjxhdXRob3JzPjxhdXRob3I+TG9tYmFyZGksIEMuPC9hdXRo
b3I+PGF1dGhvcj5HYW5ndWx5LCBBLjwvYXV0aG9yPjxhdXRob3I+QnVuaW4sIEcuIFIuPC9hdXRo
b3I+PGF1dGhvcj5BemFyeSwgUy48L2F1dGhvcj48YXV0aG9yPkFsZm9uc28sIFYuPC9hdXRob3I+
PGF1dGhvcj5SaXR6LCBCLjwvYXV0aG9yPjxhdXRob3I+SGVjaywgSi4gRS48L2F1dGhvcj48L2F1
dGhvcnM+PC9jb250cmlidXRvcnM+PGF1dGgtYWRkcmVzcz5EZXBhcnRtZW50IG9mIEVwaWRlbWlv
bG9neSwgVUNMQSBKb25hdGhhbiBhbmQgS2FyaW4gRmllbGRpbmcgU2Nob29sIG9mIFB1YmxpYyBI
ZWFsdGgsIDY1MCBDaGFybGVzIEUuIFlvdW5nIERyaXZlLCBCb3ggOTUxNzcyLCBMb3MgQW5nZWxl
cywgQ0EsIDkwMDk1LTE3NzIsIFVTQS48L2F1dGgtYWRkcmVzcz48dGl0bGVzPjx0aXRsZT5NYXRl
cm5hbCBkaWV0IGR1cmluZyBwcmVnbmFuY3kgYW5kIHVuaWxhdGVyYWwgcmV0aW5vYmxhc3RvbWE8
L3RpdGxlPjxzZWNvbmRhcnktdGl0bGU+Q2FuY2VyIENhdXNlcyBDb250cm9sPC9zZWNvbmRhcnkt
dGl0bGU+PC90aXRsZXM+PHBlcmlvZGljYWw+PGZ1bGwtdGl0bGU+Q2FuY2VyIENhdXNlcyBDb250
cm9sPC9mdWxsLXRpdGxlPjwvcGVyaW9kaWNhbD48cGFnZXM+Mzg3LTk3PC9wYWdlcz48dm9sdW1l
PjI2PC92b2x1bWU+PG51bWJlcj4zPC9udW1iZXI+PGVkaXRpb24+MjAxNC8xMi8zMDwvZWRpdGlv
bj48a2V5d29yZHM+PGtleXdvcmQ+QWRvbGVzY2VudDwva2V5d29yZD48a2V5d29yZD5BZHVsdDwv
a2V5d29yZD48a2V5d29yZD5DYXNlLUNvbnRyb2wgU3R1ZGllczwva2V5d29yZD48a2V5d29yZD5D
aGlsZDwva2V5d29yZD48a2V5d29yZD5DaGlsZCwgUHJlc2Nob29sPC9rZXl3b3JkPjxrZXl3b3Jk
PipEaWV0PC9rZXl3b3JkPjxrZXl3b3JkPkZlZWRpbmcgQmVoYXZpb3I8L2tleXdvcmQ+PGtleXdv
cmQ+RmVtYWxlPC9rZXl3b3JkPjxrZXl3b3JkPkZydWl0PC9rZXl3b3JkPjxrZXl3b3JkPkh1bWFu
czwva2V5d29yZD48a2V5d29yZD5JbmZhbnQ8L2tleXdvcmQ+PGtleXdvcmQ+SW5mYW50LCBOZXdi
b3JuPC9rZXl3b3JkPjxrZXl3b3JkPkxvZ2lzdGljIE1vZGVsczwva2V5d29yZD48a2V5d29yZD5N
YWxlPC9rZXl3b3JkPjxrZXl3b3JkPipNYXRlcm5hbCBOdXRyaXRpb25hbCBQaHlzaW9sb2dpY2Fs
IFBoZW5vbWVuYTwva2V5d29yZD48a2V5d29yZD5NZWF0PC9rZXl3b3JkPjxrZXl3b3JkPk51dHJp
dGlvbmFsIFN0YXR1czwva2V5d29yZD48a2V5d29yZD5PZGRzIFJhdGlvPC9rZXl3b3JkPjxrZXl3
b3JkPlByZWduYW5jeTwva2V5d29yZD48a2V5d29yZD5SZXRpbmFsIE5lb3BsYXNtcy8qZXBpZGVt
aW9sb2d5L2V0aW9sb2d5PC9rZXl3b3JkPjxrZXl3b3JkPlJldGlub2JsYXN0b21hLyplcGlkZW1p
b2xvZ3kvZXRpb2xvZ3k8L2tleXdvcmQ+PGtleXdvcmQ+UmlzayBGYWN0b3JzPC9rZXl3b3JkPjxr
ZXl3b3JkPlN1cnZleXMgYW5kIFF1ZXN0aW9ubmFpcmVzPC9rZXl3b3JkPjxrZXl3b3JkPlZlZ2V0
YWJsZXM8L2tleXdvcmQ+PC9rZXl3b3Jkcz48ZGF0ZXM+PHllYXI+MjAxNTwveWVhcj48cHViLWRh
dGVzPjxkYXRlPk1hcjwvZGF0ZT48L3B1Yi1kYXRlcz48L2RhdGVzPjxpc2JuPjE1NzMtNzIyNSAo
RWxlY3Ryb25pYykmI3hEOzA5NTctNTI0MyAoTGlua2luZyk8L2lzYm4+PGFjY2Vzc2lvbi1udW0+
MjU1NDIxMzk8L2FjY2Vzc2lvbi1udW0+PHVybHM+PHJlbGF0ZWQtdXJscz48dXJsPmh0dHBzOi8v
d3d3Lm5jYmkubmxtLm5paC5nb3YvcHVibWVkLzI1NTQyMTM5PC91cmw+PC9yZWxhdGVkLXVybHM+
PC91cmxzPjxjdXN0b20yPlBNQzQzMzQ3MDM8L2N1c3RvbTI+PGVsZWN0cm9uaWMtcmVzb3VyY2Ut
bnVtPjEwLjEwMDcvczEwNTUyLTAxNC0wNTE0LXo8L2VsZWN0cm9uaWMtcmVzb3VyY2UtbnVtPjwv
cmVjb3JkPjwvQ2l0ZT48L0VuZE5vdGU+AG==
</w:fldData>
              </w:fldChar>
            </w:r>
            <w:r w:rsidR="002747EA">
              <w:instrText xml:space="preserve"> ADDIN EN.CITE.DATA </w:instrText>
            </w:r>
            <w:r w:rsidR="002747EA">
              <w:fldChar w:fldCharType="end"/>
            </w:r>
            <w:r w:rsidR="00767EBF">
              <w:fldChar w:fldCharType="separate"/>
            </w:r>
            <w:r w:rsidR="002747EA" w:rsidRPr="002747EA">
              <w:rPr>
                <w:noProof/>
                <w:vertAlign w:val="superscript"/>
              </w:rPr>
              <w:t>76</w:t>
            </w:r>
            <w:r w:rsidR="00767EBF">
              <w:fldChar w:fldCharType="end"/>
            </w:r>
          </w:p>
          <w:p w14:paraId="210BDB4C" w14:textId="77777777" w:rsidR="001F7D2B" w:rsidRDefault="001F7D2B" w:rsidP="00A62BCD">
            <w:r>
              <w:t xml:space="preserve">United States </w:t>
            </w:r>
          </w:p>
          <w:p w14:paraId="5EE8BB83" w14:textId="77777777" w:rsidR="001F7D2B" w:rsidRDefault="001F7D2B" w:rsidP="00A62BCD">
            <w:r>
              <w:t>Case-control</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6E86AE" w14:textId="77777777" w:rsidR="001F7D2B" w:rsidRDefault="001F7D2B" w:rsidP="00A62BCD">
            <w:r>
              <w:t>Cases 163</w:t>
            </w:r>
          </w:p>
          <w:p w14:paraId="28317EE1" w14:textId="77777777" w:rsidR="001F7D2B" w:rsidRDefault="001F7D2B" w:rsidP="00A62BCD">
            <w:r>
              <w:t>Controls 136</w:t>
            </w:r>
          </w:p>
        </w:tc>
        <w:tc>
          <w:tcPr>
            <w:tcW w:w="4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D4406" w14:textId="77777777" w:rsidR="001F7D2B" w:rsidRDefault="001F7D2B" w:rsidP="00A62BCD">
            <w:r w:rsidRPr="001F7D2B">
              <w:rPr>
                <w:b/>
              </w:rPr>
              <w:t>Aim</w:t>
            </w:r>
            <w:r>
              <w:t>: T</w:t>
            </w:r>
            <w:r w:rsidRPr="001F7D2B">
              <w:t xml:space="preserve">o examine the relation between maternal diet and unilateral retinoblastoma. </w:t>
            </w:r>
          </w:p>
          <w:p w14:paraId="7C875C30" w14:textId="77777777" w:rsidR="001F7D2B" w:rsidRPr="000505E7" w:rsidRDefault="001F7D2B" w:rsidP="00A62BCD">
            <w:pPr>
              <w:rPr>
                <w:b/>
              </w:rPr>
            </w:pPr>
            <w:r w:rsidRPr="001F7D2B">
              <w:rPr>
                <w:b/>
              </w:rPr>
              <w:t>Methods</w:t>
            </w:r>
            <w:r w:rsidRPr="001F7D2B">
              <w:t xml:space="preserve">: A case-control study of 163 unilateral RB cases and 136 controls ascertained information on maternal diet during pregnancy using a </w:t>
            </w:r>
            <w:r>
              <w:t>standardis</w:t>
            </w:r>
            <w:r w:rsidRPr="001F7D2B">
              <w:t xml:space="preserve">ed food frequency questionnaire. Logistic regression was used to assess the relation between retinoblastoma and food groups and dietary patterns.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E89E9C" w14:textId="64D36B4D" w:rsidR="001F7D2B" w:rsidRPr="001F7D2B" w:rsidRDefault="001F7D2B" w:rsidP="001F7D2B">
            <w:r>
              <w:t>A p</w:t>
            </w:r>
            <w:r w:rsidRPr="001F7D2B">
              <w:t>ositive association</w:t>
            </w:r>
            <w:r>
              <w:t xml:space="preserve"> was </w:t>
            </w:r>
            <w:r w:rsidRPr="001F7D2B">
              <w:t>seen with intake of fried foods (OR 4.89, 95 % CI 1.72</w:t>
            </w:r>
            <w:r>
              <w:t xml:space="preserve"> to </w:t>
            </w:r>
            <w:r w:rsidRPr="001F7D2B">
              <w:t xml:space="preserve">13.89).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19CC92" w14:textId="21915BDC" w:rsidR="001F7D2B" w:rsidRPr="00C8357D" w:rsidRDefault="001F7D2B" w:rsidP="00A62BCD"/>
        </w:tc>
      </w:tr>
    </w:tbl>
    <w:p w14:paraId="134ECAA7" w14:textId="68621A7A" w:rsidR="00B93CB6" w:rsidRDefault="009C163D" w:rsidP="005719CE">
      <w:pPr>
        <w:pStyle w:val="TableName"/>
        <w:ind w:left="1134" w:hanging="1134"/>
      </w:pPr>
      <w:bookmarkStart w:id="69" w:name="_Toc40956609"/>
      <w:r>
        <w:t xml:space="preserve">Q2 </w:t>
      </w:r>
      <w:r w:rsidR="007B1D24">
        <w:t>C</w:t>
      </w:r>
      <w:r w:rsidR="00B93CB6">
        <w:t>onsumption of water during pregnancy</w:t>
      </w:r>
      <w:bookmarkEnd w:id="6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1: Q2 Consumption of water during pregnancy"/>
      </w:tblPr>
      <w:tblGrid>
        <w:gridCol w:w="1564"/>
        <w:gridCol w:w="1417"/>
        <w:gridCol w:w="4532"/>
        <w:gridCol w:w="4536"/>
        <w:gridCol w:w="1843"/>
      </w:tblGrid>
      <w:tr w:rsidR="00B93CB6" w:rsidRPr="00F350A6" w14:paraId="0C0CA035" w14:textId="77777777" w:rsidTr="00CE1CBC">
        <w:trPr>
          <w:cantSplit/>
          <w:trHeight w:val="390"/>
          <w:tblHeader/>
        </w:trPr>
        <w:tc>
          <w:tcPr>
            <w:tcW w:w="1564" w:type="dxa"/>
          </w:tcPr>
          <w:p w14:paraId="50C12A9B" w14:textId="77777777" w:rsidR="00B93CB6" w:rsidRPr="00F350A6" w:rsidRDefault="00B93CB6" w:rsidP="00CE1CBC">
            <w:pPr>
              <w:keepNext/>
              <w:rPr>
                <w:b/>
              </w:rPr>
            </w:pPr>
            <w:r>
              <w:rPr>
                <w:b/>
              </w:rPr>
              <w:t>Study ref</w:t>
            </w:r>
          </w:p>
        </w:tc>
        <w:tc>
          <w:tcPr>
            <w:tcW w:w="1417" w:type="dxa"/>
          </w:tcPr>
          <w:p w14:paraId="1D8C5028" w14:textId="77777777" w:rsidR="00B93CB6" w:rsidRPr="00F350A6" w:rsidRDefault="00B93CB6" w:rsidP="00CE1CBC">
            <w:pPr>
              <w:keepNext/>
              <w:rPr>
                <w:b/>
              </w:rPr>
            </w:pPr>
            <w:r>
              <w:rPr>
                <w:b/>
              </w:rPr>
              <w:t>N</w:t>
            </w:r>
          </w:p>
        </w:tc>
        <w:tc>
          <w:tcPr>
            <w:tcW w:w="4532" w:type="dxa"/>
          </w:tcPr>
          <w:p w14:paraId="2AEBCBD3" w14:textId="77777777" w:rsidR="00B93CB6" w:rsidRPr="00F350A6" w:rsidRDefault="00B93CB6" w:rsidP="00CE1CBC">
            <w:pPr>
              <w:keepNext/>
              <w:rPr>
                <w:b/>
              </w:rPr>
            </w:pPr>
            <w:r>
              <w:rPr>
                <w:b/>
              </w:rPr>
              <w:t>Aim/methods</w:t>
            </w:r>
          </w:p>
        </w:tc>
        <w:tc>
          <w:tcPr>
            <w:tcW w:w="4536" w:type="dxa"/>
          </w:tcPr>
          <w:p w14:paraId="32F72775" w14:textId="77777777" w:rsidR="00B93CB6" w:rsidRPr="00F350A6" w:rsidRDefault="00B93CB6" w:rsidP="00CE1CBC">
            <w:pPr>
              <w:keepNext/>
              <w:rPr>
                <w:b/>
              </w:rPr>
            </w:pPr>
            <w:r>
              <w:rPr>
                <w:b/>
              </w:rPr>
              <w:t>Results</w:t>
            </w:r>
          </w:p>
        </w:tc>
        <w:tc>
          <w:tcPr>
            <w:tcW w:w="1843" w:type="dxa"/>
          </w:tcPr>
          <w:p w14:paraId="4EB18A1F" w14:textId="77777777" w:rsidR="00B93CB6" w:rsidRPr="00F350A6" w:rsidRDefault="00B93CB6" w:rsidP="00CE1CBC">
            <w:pPr>
              <w:keepNext/>
              <w:rPr>
                <w:b/>
              </w:rPr>
            </w:pPr>
            <w:r>
              <w:rPr>
                <w:b/>
              </w:rPr>
              <w:t>Comments</w:t>
            </w:r>
          </w:p>
        </w:tc>
      </w:tr>
      <w:tr w:rsidR="00B93CB6" w:rsidRPr="00A67D54" w14:paraId="7F6E3A5B" w14:textId="77777777" w:rsidTr="00CE1CBC">
        <w:trPr>
          <w:cantSplit/>
          <w:trHeight w:val="390"/>
        </w:trPr>
        <w:tc>
          <w:tcPr>
            <w:tcW w:w="1564" w:type="dxa"/>
          </w:tcPr>
          <w:p w14:paraId="1AABAA20" w14:textId="57C7BF78" w:rsidR="00B93CB6" w:rsidRDefault="00E14425" w:rsidP="00CE1CBC">
            <w:r>
              <w:t>Watson et al 2014</w:t>
            </w:r>
            <w:r w:rsidR="003E2D58">
              <w:fldChar w:fldCharType="begin"/>
            </w:r>
            <w:r w:rsidR="002747EA">
              <w:instrText xml:space="preserve"> ADDIN EN.CITE &lt;EndNote&gt;&lt;Cite&gt;&lt;Author&gt;Watson&lt;/Author&gt;&lt;Year&gt;2014&lt;/Year&gt;&lt;RecNum&gt;1492&lt;/RecNum&gt;&lt;DisplayText&gt;&lt;style face="superscript" font="Trebuchet MS" size="9"&gt;99&lt;/style&gt;&lt;/DisplayText&gt;&lt;record&gt;&lt;rec-number&gt;1492&lt;/rec-number&gt;&lt;foreign-keys&gt;&lt;key app="EN" db-id="exvasrfx2dtraoesasxp2szsxa2df502592x" timestamp="1574209228"&gt;1492&lt;/key&gt;&lt;/foreign-keys&gt;&lt;ref-type name="Journal Article"&gt;17&lt;/ref-type&gt;&lt;contributors&gt;&lt;authors&gt;&lt;author&gt;Watson, P. E.&lt;/author&gt;&lt;author&gt;McDonald, B. W.&lt;/author&gt;&lt;/authors&gt;&lt;/contributors&gt;&lt;auth-address&gt;Institute of Natural and Mathematical Sciences, Massey University, Private Bag 102-904, North Shore Mail Centre 1311, Auckland, New Zealand. B.McDonald@massey.ac.nz.&lt;/auth-address&gt;&lt;titles&gt;&lt;title&gt;Water and nutrient intake in pregnant New Zealand women: association with wheeze in their infants at 18 months&lt;/title&gt;&lt;secondary-title&gt;Asia Pac J Clin Nutr&lt;/secondary-title&gt;&lt;/titles&gt;&lt;periodical&gt;&lt;full-title&gt;Asia Pac J Clin Nutr&lt;/full-title&gt;&lt;/periodical&gt;&lt;pages&gt;660-70&lt;/pages&gt;&lt;volume&gt;23&lt;/volume&gt;&lt;number&gt;4&lt;/number&gt;&lt;edition&gt;2014/12/18&lt;/edition&gt;&lt;keywords&gt;&lt;keyword&gt;*Diet&lt;/keyword&gt;&lt;keyword&gt;Dietary Carbohydrates/administration &amp;amp; dosage&lt;/keyword&gt;&lt;keyword&gt;*Drinking&lt;/keyword&gt;&lt;keyword&gt;Energy Intake&lt;/keyword&gt;&lt;keyword&gt;Europe/ethnology&lt;/keyword&gt;&lt;keyword&gt;Female&lt;/keyword&gt;&lt;keyword&gt;Glucose/administration &amp;amp; dosage&lt;/keyword&gt;&lt;keyword&gt;Humans&lt;/keyword&gt;&lt;keyword&gt;Infant&lt;/keyword&gt;&lt;keyword&gt;Manganese/*administration &amp;amp; dosage&lt;/keyword&gt;&lt;keyword&gt;New Zealand&lt;/keyword&gt;&lt;keyword&gt;Polynesia/ethnology&lt;/keyword&gt;&lt;keyword&gt;Pregnancy&lt;/keyword&gt;&lt;keyword&gt;Prenatal Exposure Delayed Effects&lt;/keyword&gt;&lt;keyword&gt;Prospective Studies&lt;/keyword&gt;&lt;keyword&gt;Respiratory Sounds/*etiology&lt;/keyword&gt;&lt;/keywords&gt;&lt;dates&gt;&lt;year&gt;2014&lt;/year&gt;&lt;/dates&gt;&lt;isbn&gt;0964-7058 (Print)&amp;#xD;0964-7058 (Linking)&lt;/isbn&gt;&lt;accession-num&gt;25516325&lt;/accession-num&gt;&lt;urls&gt;&lt;related-urls&gt;&lt;url&gt;https://www.ncbi.nlm.nih.gov/pubmed/25516325&lt;/url&gt;&lt;/related-urls&gt;&lt;/urls&gt;&lt;electronic-resource-num&gt;10.6133/apjcn.2014.23.4.13&lt;/electronic-resource-num&gt;&lt;/record&gt;&lt;/Cite&gt;&lt;/EndNote&gt;</w:instrText>
            </w:r>
            <w:r w:rsidR="003E2D58">
              <w:fldChar w:fldCharType="separate"/>
            </w:r>
            <w:r w:rsidR="002747EA" w:rsidRPr="002747EA">
              <w:rPr>
                <w:noProof/>
                <w:vertAlign w:val="superscript"/>
              </w:rPr>
              <w:t>99</w:t>
            </w:r>
            <w:r w:rsidR="003E2D58">
              <w:fldChar w:fldCharType="end"/>
            </w:r>
          </w:p>
          <w:p w14:paraId="0F3C7557" w14:textId="77777777" w:rsidR="00E14425" w:rsidRDefault="00E14425" w:rsidP="00CE1CBC">
            <w:r>
              <w:t>New Zealand</w:t>
            </w:r>
          </w:p>
          <w:p w14:paraId="436F270D" w14:textId="2BBD615E" w:rsidR="00E14425" w:rsidRDefault="00E14425" w:rsidP="00CE1CBC">
            <w:r>
              <w:t>Cohort</w:t>
            </w:r>
          </w:p>
        </w:tc>
        <w:tc>
          <w:tcPr>
            <w:tcW w:w="1417" w:type="dxa"/>
          </w:tcPr>
          <w:p w14:paraId="1A39F012" w14:textId="3ADD114A" w:rsidR="00B93CB6" w:rsidRDefault="00E14425" w:rsidP="00CE1CBC">
            <w:r>
              <w:t>369 women</w:t>
            </w:r>
          </w:p>
        </w:tc>
        <w:tc>
          <w:tcPr>
            <w:tcW w:w="4532" w:type="dxa"/>
          </w:tcPr>
          <w:p w14:paraId="4E8A19CE" w14:textId="2921ED97" w:rsidR="00E14425" w:rsidRDefault="00E14425" w:rsidP="00E14425">
            <w:r>
              <w:rPr>
                <w:b/>
              </w:rPr>
              <w:t xml:space="preserve">Aim: </w:t>
            </w:r>
            <w:r w:rsidRPr="00B93CB6">
              <w:t>T</w:t>
            </w:r>
            <w:r>
              <w:t>o investigate t</w:t>
            </w:r>
            <w:r w:rsidRPr="00B93CB6">
              <w:t>he association between water and nutrient intake in pregnan</w:t>
            </w:r>
            <w:r w:rsidR="00373ECB">
              <w:t>t women, and wheeze in their 18-month-</w:t>
            </w:r>
            <w:r w:rsidRPr="00B93CB6">
              <w:t>old infants</w:t>
            </w:r>
            <w:r>
              <w:t>.</w:t>
            </w:r>
          </w:p>
          <w:p w14:paraId="3BBBADEB" w14:textId="1B4D24BF" w:rsidR="00B93CB6" w:rsidRPr="009B34A3" w:rsidRDefault="00E14425" w:rsidP="00E14425">
            <w:pPr>
              <w:rPr>
                <w:b/>
              </w:rPr>
            </w:pPr>
            <w:r w:rsidRPr="00E14425">
              <w:rPr>
                <w:b/>
              </w:rPr>
              <w:t>Methods</w:t>
            </w:r>
            <w:r>
              <w:t xml:space="preserve">: Participants </w:t>
            </w:r>
            <w:r w:rsidRPr="00B93CB6">
              <w:t xml:space="preserve">were visited in months 4 and 7 of pregnancy. At each visit anthropometric measurements were taken, diet assessed by 24-hour recall and 3-day food records and questionnaires determining personal details administered. Eighteen months after birth, infants were measured, and questions on infant feeding and wheeze asked. </w:t>
            </w:r>
          </w:p>
        </w:tc>
        <w:tc>
          <w:tcPr>
            <w:tcW w:w="4536" w:type="dxa"/>
          </w:tcPr>
          <w:p w14:paraId="74241168" w14:textId="321A488D" w:rsidR="00E14425" w:rsidRDefault="00B93CB6" w:rsidP="004333DF">
            <w:r w:rsidRPr="00B93CB6">
              <w:t>After adjusting for significant covariates and energy intake, higher maternal intakes of dietary water (</w:t>
            </w:r>
            <w:r w:rsidR="00E14425">
              <w:t xml:space="preserve">aOR </w:t>
            </w:r>
            <w:r w:rsidR="004333DF" w:rsidRPr="004333DF">
              <w:t>0.22 [0.07,0.68]</w:t>
            </w:r>
            <w:r w:rsidR="00E14425">
              <w:t xml:space="preserve">; </w:t>
            </w:r>
            <w:r w:rsidRPr="00B93CB6">
              <w:t xml:space="preserve">p=0.009) </w:t>
            </w:r>
            <w:r w:rsidR="00373ECB">
              <w:t xml:space="preserve">was </w:t>
            </w:r>
            <w:r w:rsidRPr="00B93CB6">
              <w:t xml:space="preserve">associated with decreased wheeze. </w:t>
            </w:r>
          </w:p>
          <w:p w14:paraId="2A0BDFDF" w14:textId="75AAE30B" w:rsidR="00B93CB6" w:rsidRPr="00B93CB6" w:rsidRDefault="00B93CB6" w:rsidP="00E14425">
            <w:r w:rsidRPr="00B93CB6">
              <w:t xml:space="preserve">Prevalence of infant wheeze decreased 18.5% from the lower to the upper quartile of water intake, and 17.4% from the lower to the upper quartile of manganese intake. </w:t>
            </w:r>
          </w:p>
        </w:tc>
        <w:tc>
          <w:tcPr>
            <w:tcW w:w="1843" w:type="dxa"/>
          </w:tcPr>
          <w:p w14:paraId="24983D23" w14:textId="050F3B06" w:rsidR="00B93CB6" w:rsidRPr="00A67D54" w:rsidRDefault="00B93CB6" w:rsidP="00CE1CBC"/>
        </w:tc>
      </w:tr>
    </w:tbl>
    <w:p w14:paraId="53DC07C4" w14:textId="169EB68E" w:rsidR="00F6300B" w:rsidRDefault="009C163D" w:rsidP="005719CE">
      <w:pPr>
        <w:pStyle w:val="TableName"/>
        <w:ind w:left="1134" w:hanging="1134"/>
      </w:pPr>
      <w:bookmarkStart w:id="70" w:name="_Toc40956610"/>
      <w:r>
        <w:t xml:space="preserve">Q2 </w:t>
      </w:r>
      <w:r w:rsidR="007B1D24">
        <w:t>C</w:t>
      </w:r>
      <w:r w:rsidR="00F6300B">
        <w:t>onsumption of</w:t>
      </w:r>
      <w:r w:rsidR="00260C4E">
        <w:t xml:space="preserve"> caffeine</w:t>
      </w:r>
      <w:r w:rsidR="002E2AEF">
        <w:t xml:space="preserve"> </w:t>
      </w:r>
      <w:r w:rsidR="00F6300B">
        <w:t>during pregnancy</w:t>
      </w:r>
      <w:bookmarkEnd w:id="7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2: Q2 Consumption of caffeine during pregnancy"/>
      </w:tblPr>
      <w:tblGrid>
        <w:gridCol w:w="1564"/>
        <w:gridCol w:w="1417"/>
        <w:gridCol w:w="4532"/>
        <w:gridCol w:w="4536"/>
        <w:gridCol w:w="1843"/>
      </w:tblGrid>
      <w:tr w:rsidR="00F6300B" w:rsidRPr="00F350A6" w14:paraId="7A7FB260" w14:textId="77777777" w:rsidTr="002E2AEF">
        <w:trPr>
          <w:cantSplit/>
          <w:trHeight w:val="390"/>
          <w:tblHeader/>
        </w:trPr>
        <w:tc>
          <w:tcPr>
            <w:tcW w:w="1564" w:type="dxa"/>
          </w:tcPr>
          <w:p w14:paraId="3B22D0B5" w14:textId="77777777" w:rsidR="00F6300B" w:rsidRPr="00F350A6" w:rsidRDefault="00F6300B" w:rsidP="00122B25">
            <w:pPr>
              <w:keepNext/>
              <w:rPr>
                <w:b/>
              </w:rPr>
            </w:pPr>
            <w:r>
              <w:rPr>
                <w:b/>
              </w:rPr>
              <w:t>Study ref</w:t>
            </w:r>
          </w:p>
        </w:tc>
        <w:tc>
          <w:tcPr>
            <w:tcW w:w="1417" w:type="dxa"/>
          </w:tcPr>
          <w:p w14:paraId="41AD75D0" w14:textId="77777777" w:rsidR="00F6300B" w:rsidRPr="00F350A6" w:rsidRDefault="00F6300B" w:rsidP="00122B25">
            <w:pPr>
              <w:keepNext/>
              <w:rPr>
                <w:b/>
              </w:rPr>
            </w:pPr>
            <w:r>
              <w:rPr>
                <w:b/>
              </w:rPr>
              <w:t>N</w:t>
            </w:r>
          </w:p>
        </w:tc>
        <w:tc>
          <w:tcPr>
            <w:tcW w:w="4532" w:type="dxa"/>
          </w:tcPr>
          <w:p w14:paraId="368D8009" w14:textId="77777777" w:rsidR="00F6300B" w:rsidRPr="00F350A6" w:rsidRDefault="00F6300B" w:rsidP="00122B25">
            <w:pPr>
              <w:keepNext/>
              <w:rPr>
                <w:b/>
              </w:rPr>
            </w:pPr>
            <w:r>
              <w:rPr>
                <w:b/>
              </w:rPr>
              <w:t>Aim/methods</w:t>
            </w:r>
          </w:p>
        </w:tc>
        <w:tc>
          <w:tcPr>
            <w:tcW w:w="4536" w:type="dxa"/>
          </w:tcPr>
          <w:p w14:paraId="6D759A14" w14:textId="77777777" w:rsidR="00F6300B" w:rsidRPr="00F350A6" w:rsidRDefault="00F6300B" w:rsidP="00122B25">
            <w:pPr>
              <w:keepNext/>
              <w:rPr>
                <w:b/>
              </w:rPr>
            </w:pPr>
            <w:r>
              <w:rPr>
                <w:b/>
              </w:rPr>
              <w:t>Results</w:t>
            </w:r>
          </w:p>
        </w:tc>
        <w:tc>
          <w:tcPr>
            <w:tcW w:w="1843" w:type="dxa"/>
          </w:tcPr>
          <w:p w14:paraId="53A4F60A" w14:textId="77777777" w:rsidR="00F6300B" w:rsidRPr="00F350A6" w:rsidRDefault="00F6300B" w:rsidP="00122B25">
            <w:pPr>
              <w:keepNext/>
              <w:rPr>
                <w:b/>
              </w:rPr>
            </w:pPr>
            <w:r>
              <w:rPr>
                <w:b/>
              </w:rPr>
              <w:t>Comments</w:t>
            </w:r>
          </w:p>
        </w:tc>
      </w:tr>
      <w:tr w:rsidR="00260C4E" w:rsidRPr="00A67D54" w14:paraId="08C17D8C" w14:textId="77777777" w:rsidTr="002E2AEF">
        <w:trPr>
          <w:cantSplit/>
          <w:trHeight w:val="390"/>
        </w:trPr>
        <w:tc>
          <w:tcPr>
            <w:tcW w:w="1564" w:type="dxa"/>
          </w:tcPr>
          <w:p w14:paraId="2CF3B97A" w14:textId="6FCCD5A7" w:rsidR="00260C4E" w:rsidRPr="0035604D" w:rsidRDefault="00260C4E" w:rsidP="00A67D54">
            <w:r w:rsidRPr="0035604D">
              <w:t>Miyake et al 2019</w:t>
            </w:r>
            <w:r w:rsidR="00774750">
              <w:fldChar w:fldCharType="begin">
                <w:fldData xml:space="preserve">PEVuZE5vdGU+PENpdGU+PEF1dGhvcj5NaXlha2U8L0F1dGhvcj48WWVhcj4yMDE5PC9ZZWFyPjxS
ZWNOdW0+MTcyMjwvUmVjTnVtPjxEaXNwbGF5VGV4dD48c3R5bGUgZmFjZT0ic3VwZXJzY3JpcHQi
IGZvbnQ9IlRyZWJ1Y2hldCBNUyIgc2l6ZT0iOSI+MTEwPC9zdHlsZT48L0Rpc3BsYXlUZXh0Pjxy
ZWNvcmQ+PHJlYy1udW1iZXI+MTcyMjwvcmVjLW51bWJlcj48Zm9yZWlnbi1rZXlzPjxrZXkgYXBw
PSJFTiIgZGItaWQ9ImV4dmFzcmZ4MmR0cmFvZXNhc3hwMnN6c3hhMmRmNTAyNTkyeCIgdGltZXN0
YW1wPSIxNTgyNTA2MTcxIj4xNzIyPC9rZXk+PGtleSBhcHA9IkVOV2ViIiBkYi1pZD0iIj4wPC9r
ZXk+PC9mb3JlaWduLWtleXM+PHJlZi10eXBlIG5hbWU9IkpvdXJuYWwgQXJ0aWNsZSI+MTc8L3Jl
Zi10eXBlPjxjb250cmlidXRvcnM+PGF1dGhvcnM+PGF1dGhvcj5NaXlha2UsIFkuPC9hdXRob3I+
PGF1dGhvcj5UYW5ha2EsIEsuPC9hdXRob3I+PGF1dGhvcj5Pa3VibywgSC48L2F1dGhvcj48YXV0
aG9yPlNhc2FraSwgUy48L2F1dGhvcj48YXV0aG9yPkFyYWthd2EsIE0uPC9hdXRob3I+PC9hdXRo
b3JzPjwvY29udHJpYnV0b3JzPjxhdXRoLWFkZHJlc3M+RGVwYXJ0bWVudCBvZiBFcGlkZW1pb2xv
Z3kgYW5kIFByZXZlbnRpdmUgTWVkaWNpbmUsIEVoaW1lIFVuaXZlcnNpdHkgR3JhZHVhdGUgU2No
b29sIG9mIE1lZGljaW5lICwgRWhpbWUgLCBKYXBhbi4mI3hEO0VwaWRlbWlvbG9neSBhbmQgTWVk
aWNhbCBTdGF0aXN0aWNzIFVuaXQsIFRyYW5zbGF0aW9uYWwgUmVzZWFyY2ggQ2VudGVyLCBFaGlt
ZSBVbml2ZXJzaXR5IEhvc3BpdGFsICwgRWhpbWUgLCBKYXBhbi4mI3hEO0RlcGFydG1lbnQgb2Yg
SGVhbHRoIFByb21vdGlvbiwgTmF0aW9uYWwgSW5zdGl0dXRlIG9mIFB1YmxpYyBIZWFsdGggLCBT
YWl0YW1hICwgSmFwYW4uJiN4RDtEZXBhcnRtZW50IG9mIFNvY2lhbCBhbmQgUHJldmVudGl2ZSBF
cGlkZW1pb2xvZ3ksIEdyYWR1YXRlIFNjaG9vbCBvZiBNZWRpY2luZSwgVGhlIFVuaXZlcnNpdHkg
b2YgVG9reW8gLCBUb2t5byAsIEphcGFuLiYjeEQ7SGVhbHRoIFRvdXJpc20gUmVzZWFyY2ggRmll
bGRzLCBHcmFkdWF0ZSBTY2hvb2wgb2YgVG91cmlzbSBTY2llbmNlcywgVW5pdmVyc2l0eSBvZiB0
aGUgUnl1a3l1cyAsIE9raW5hd2EgLCBKYXBhbi48L2F1dGgtYWRkcmVzcz48dGl0bGVzPjx0aXRs
ZT5NYXRlcm5hbCBjYWZmZWluZSBpbnRha2UgaW4gcHJlZ25hbmN5IGlzIGludmVyc2VseSByZWxh
dGVkIHRvIGNoaWxkaG9vZCBwZWVyIHByb2JsZW1zIGluIEphcGFuOiBUaGUgS3l1c2h1IE9raW5h
d2EgTWF0ZXJuYWwgYW5kIENoaWxkIEhlYWx0aCBTdHVkeTwvdGl0bGU+PHNlY29uZGFyeS10aXRs
ZT5OdXRyIE5ldXJvc2NpPC9zZWNvbmRhcnktdGl0bGU+PC90aXRsZXM+PHBlcmlvZGljYWw+PGZ1
bGwtdGl0bGU+TnV0ciBOZXVyb3NjaTwvZnVsbC10aXRsZT48L3BlcmlvZGljYWw+PHBhZ2VzPjgx
Ny04MjQ8L3BhZ2VzPjx2b2x1bWU+MjI8L3ZvbHVtZT48bnVtYmVyPjExPC9udW1iZXI+PGVkaXRp
b24+MjAxOC8wMy8xNTwvZWRpdGlvbj48a2V5d29yZHM+PGtleXdvcmQ+QmVoYXZpb3JhbCBwcm9i
bGVtczwva2V5d29yZD48a2V5d29yZD5DYWZmZWluZTwva2V5d29yZD48a2V5d29yZD5DaGlsZDwv
a2V5d29yZD48a2V5d29yZD5NYXRlcm5hbCBpbnRha2U8L2tleXdvcmQ+PGtleXdvcmQ+UHJlYmly
dGggY29ob3J0PC9rZXl3b3JkPjwva2V5d29yZHM+PGRhdGVzPjx5ZWFyPjIwMTk8L3llYXI+PHB1
Yi1kYXRlcz48ZGF0ZT5Ob3Y8L2RhdGU+PC9wdWItZGF0ZXM+PC9kYXRlcz48aXNibj4xNDc2LTgz
MDUgKEVsZWN0cm9uaWMpJiN4RDsxMDI4LTQxNVggKExpbmtpbmcpPC9pc2JuPjxhY2Nlc3Npb24t
bnVtPjI5NTM0NjUxPC9hY2Nlc3Npb24tbnVtPjx1cmxzPjxyZWxhdGVkLXVybHM+PHVybD5odHRw
czovL3d3dy5uY2JpLm5sbS5uaWguZ292L3B1Ym1lZC8yOTUzNDY1MTwvdXJsPjwvcmVsYXRlZC11
cmxzPjwvdXJscz48ZWxlY3Ryb25pYy1yZXNvdXJjZS1udW0+MTAuMTA4MC8xMDI4NDE1WC4yMDE4
LjE0NTAwODk8L2VsZWN0cm9uaWMtcmVzb3VyY2UtbnVtPjwvcmVjb3JkPjwvQ2l0ZT48L0VuZE5v
dGU+
</w:fldData>
              </w:fldChar>
            </w:r>
            <w:r w:rsidR="002747EA">
              <w:instrText xml:space="preserve"> ADDIN EN.CITE </w:instrText>
            </w:r>
            <w:r w:rsidR="002747EA">
              <w:fldChar w:fldCharType="begin">
                <w:fldData xml:space="preserve">PEVuZE5vdGU+PENpdGU+PEF1dGhvcj5NaXlha2U8L0F1dGhvcj48WWVhcj4yMDE5PC9ZZWFyPjxS
ZWNOdW0+MTcyMjwvUmVjTnVtPjxEaXNwbGF5VGV4dD48c3R5bGUgZmFjZT0ic3VwZXJzY3JpcHQi
IGZvbnQ9IlRyZWJ1Y2hldCBNUyIgc2l6ZT0iOSI+MTEwPC9zdHlsZT48L0Rpc3BsYXlUZXh0Pjxy
ZWNvcmQ+PHJlYy1udW1iZXI+MTcyMjwvcmVjLW51bWJlcj48Zm9yZWlnbi1rZXlzPjxrZXkgYXBw
PSJFTiIgZGItaWQ9ImV4dmFzcmZ4MmR0cmFvZXNhc3hwMnN6c3hhMmRmNTAyNTkyeCIgdGltZXN0
YW1wPSIxNTgyNTA2MTcxIj4xNzIyPC9rZXk+PGtleSBhcHA9IkVOV2ViIiBkYi1pZD0iIj4wPC9r
ZXk+PC9mb3JlaWduLWtleXM+PHJlZi10eXBlIG5hbWU9IkpvdXJuYWwgQXJ0aWNsZSI+MTc8L3Jl
Zi10eXBlPjxjb250cmlidXRvcnM+PGF1dGhvcnM+PGF1dGhvcj5NaXlha2UsIFkuPC9hdXRob3I+
PGF1dGhvcj5UYW5ha2EsIEsuPC9hdXRob3I+PGF1dGhvcj5Pa3VibywgSC48L2F1dGhvcj48YXV0
aG9yPlNhc2FraSwgUy48L2F1dGhvcj48YXV0aG9yPkFyYWthd2EsIE0uPC9hdXRob3I+PC9hdXRo
b3JzPjwvY29udHJpYnV0b3JzPjxhdXRoLWFkZHJlc3M+RGVwYXJ0bWVudCBvZiBFcGlkZW1pb2xv
Z3kgYW5kIFByZXZlbnRpdmUgTWVkaWNpbmUsIEVoaW1lIFVuaXZlcnNpdHkgR3JhZHVhdGUgU2No
b29sIG9mIE1lZGljaW5lICwgRWhpbWUgLCBKYXBhbi4mI3hEO0VwaWRlbWlvbG9neSBhbmQgTWVk
aWNhbCBTdGF0aXN0aWNzIFVuaXQsIFRyYW5zbGF0aW9uYWwgUmVzZWFyY2ggQ2VudGVyLCBFaGlt
ZSBVbml2ZXJzaXR5IEhvc3BpdGFsICwgRWhpbWUgLCBKYXBhbi4mI3hEO0RlcGFydG1lbnQgb2Yg
SGVhbHRoIFByb21vdGlvbiwgTmF0aW9uYWwgSW5zdGl0dXRlIG9mIFB1YmxpYyBIZWFsdGggLCBT
YWl0YW1hICwgSmFwYW4uJiN4RDtEZXBhcnRtZW50IG9mIFNvY2lhbCBhbmQgUHJldmVudGl2ZSBF
cGlkZW1pb2xvZ3ksIEdyYWR1YXRlIFNjaG9vbCBvZiBNZWRpY2luZSwgVGhlIFVuaXZlcnNpdHkg
b2YgVG9reW8gLCBUb2t5byAsIEphcGFuLiYjeEQ7SGVhbHRoIFRvdXJpc20gUmVzZWFyY2ggRmll
bGRzLCBHcmFkdWF0ZSBTY2hvb2wgb2YgVG91cmlzbSBTY2llbmNlcywgVW5pdmVyc2l0eSBvZiB0
aGUgUnl1a3l1cyAsIE9raW5hd2EgLCBKYXBhbi48L2F1dGgtYWRkcmVzcz48dGl0bGVzPjx0aXRs
ZT5NYXRlcm5hbCBjYWZmZWluZSBpbnRha2UgaW4gcHJlZ25hbmN5IGlzIGludmVyc2VseSByZWxh
dGVkIHRvIGNoaWxkaG9vZCBwZWVyIHByb2JsZW1zIGluIEphcGFuOiBUaGUgS3l1c2h1IE9raW5h
d2EgTWF0ZXJuYWwgYW5kIENoaWxkIEhlYWx0aCBTdHVkeTwvdGl0bGU+PHNlY29uZGFyeS10aXRs
ZT5OdXRyIE5ldXJvc2NpPC9zZWNvbmRhcnktdGl0bGU+PC90aXRsZXM+PHBlcmlvZGljYWw+PGZ1
bGwtdGl0bGU+TnV0ciBOZXVyb3NjaTwvZnVsbC10aXRsZT48L3BlcmlvZGljYWw+PHBhZ2VzPjgx
Ny04MjQ8L3BhZ2VzPjx2b2x1bWU+MjI8L3ZvbHVtZT48bnVtYmVyPjExPC9udW1iZXI+PGVkaXRp
b24+MjAxOC8wMy8xNTwvZWRpdGlvbj48a2V5d29yZHM+PGtleXdvcmQ+QmVoYXZpb3JhbCBwcm9i
bGVtczwva2V5d29yZD48a2V5d29yZD5DYWZmZWluZTwva2V5d29yZD48a2V5d29yZD5DaGlsZDwv
a2V5d29yZD48a2V5d29yZD5NYXRlcm5hbCBpbnRha2U8L2tleXdvcmQ+PGtleXdvcmQ+UHJlYmly
dGggY29ob3J0PC9rZXl3b3JkPjwva2V5d29yZHM+PGRhdGVzPjx5ZWFyPjIwMTk8L3llYXI+PHB1
Yi1kYXRlcz48ZGF0ZT5Ob3Y8L2RhdGU+PC9wdWItZGF0ZXM+PC9kYXRlcz48aXNibj4xNDc2LTgz
MDUgKEVsZWN0cm9uaWMpJiN4RDsxMDI4LTQxNVggKExpbmtpbmcpPC9pc2JuPjxhY2Nlc3Npb24t
bnVtPjI5NTM0NjUxPC9hY2Nlc3Npb24tbnVtPjx1cmxzPjxyZWxhdGVkLXVybHM+PHVybD5odHRw
czovL3d3dy5uY2JpLm5sbS5uaWguZ292L3B1Ym1lZC8yOTUzNDY1MTwvdXJsPjwvcmVsYXRlZC11
cmxzPjwvdXJscz48ZWxlY3Ryb25pYy1yZXNvdXJjZS1udW0+MTAuMTA4MC8xMDI4NDE1WC4yMDE4
LjE0NTAwODk8L2VsZWN0cm9uaWMtcmVzb3VyY2UtbnVtPjwvcmVjb3JkPjwvQ2l0ZT48L0VuZE5v
dGU+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110</w:t>
            </w:r>
            <w:r w:rsidR="00774750">
              <w:fldChar w:fldCharType="end"/>
            </w:r>
          </w:p>
          <w:p w14:paraId="1D1F4507" w14:textId="77777777" w:rsidR="00260C4E" w:rsidRPr="0035604D" w:rsidRDefault="00260C4E" w:rsidP="00A67D54">
            <w:r w:rsidRPr="0035604D">
              <w:t>Japan</w:t>
            </w:r>
          </w:p>
          <w:p w14:paraId="138D9124" w14:textId="6F963161" w:rsidR="00260C4E" w:rsidRPr="0035604D" w:rsidRDefault="00CF04AC" w:rsidP="00A67D54">
            <w:r w:rsidRPr="0035604D">
              <w:t>Cross-section</w:t>
            </w:r>
          </w:p>
        </w:tc>
        <w:tc>
          <w:tcPr>
            <w:tcW w:w="1417" w:type="dxa"/>
          </w:tcPr>
          <w:p w14:paraId="3905D630" w14:textId="64E40079" w:rsidR="00260C4E" w:rsidRPr="0035604D" w:rsidRDefault="00260C4E" w:rsidP="00A67D54">
            <w:r w:rsidRPr="0035604D">
              <w:t>1,119 mother-child pairs</w:t>
            </w:r>
          </w:p>
        </w:tc>
        <w:tc>
          <w:tcPr>
            <w:tcW w:w="4532" w:type="dxa"/>
          </w:tcPr>
          <w:p w14:paraId="38CA7920" w14:textId="2BA22CBC" w:rsidR="00260C4E" w:rsidRPr="0035604D" w:rsidRDefault="00260C4E" w:rsidP="009B34A3">
            <w:r w:rsidRPr="0035604D">
              <w:rPr>
                <w:b/>
              </w:rPr>
              <w:t>Aim</w:t>
            </w:r>
            <w:r w:rsidRPr="0035604D">
              <w:t xml:space="preserve">: To examine the association between maternal caffeine consumption during pregnancy and </w:t>
            </w:r>
            <w:r w:rsidR="00501148" w:rsidRPr="0035604D">
              <w:t>behavioural</w:t>
            </w:r>
            <w:r w:rsidRPr="0035604D">
              <w:t xml:space="preserve"> problems in Japanese children aged 5 years. </w:t>
            </w:r>
          </w:p>
          <w:p w14:paraId="2FF6CD8C" w14:textId="5B23A318" w:rsidR="00260C4E" w:rsidRPr="0035604D" w:rsidRDefault="00260C4E" w:rsidP="00652361">
            <w:pPr>
              <w:rPr>
                <w:b/>
              </w:rPr>
            </w:pPr>
            <w:r w:rsidRPr="0035604D">
              <w:rPr>
                <w:b/>
              </w:rPr>
              <w:t>Methods</w:t>
            </w:r>
            <w:r w:rsidRPr="0035604D">
              <w:t xml:space="preserve">: Dietary intake was assessed using a diet history questionnaire. Emotional problems, conduct problems, hyperactivity problems, and peer problems were assessed using the Japanese parent-report version of the Strengths and Difficulties Questionnaire. Adjustment was made for maternal age, gestation at baseline, region of residence at baseline, number of children at baseline, maternal and paternal education, household income, maternal depressive symptoms during pregnancy, maternal alcohol intake during pregnancy, maternal smoking during pregnancy, child's birth weight, child's sex, breastfeeding duration, and smoking in the household during the first year of life. </w:t>
            </w:r>
          </w:p>
        </w:tc>
        <w:tc>
          <w:tcPr>
            <w:tcW w:w="4536" w:type="dxa"/>
          </w:tcPr>
          <w:p w14:paraId="5C317D6F" w14:textId="77777777" w:rsidR="00652361" w:rsidRPr="0035604D" w:rsidRDefault="00260C4E" w:rsidP="00652361">
            <w:r w:rsidRPr="0035604D">
              <w:t xml:space="preserve">The contributors of caffeine in the diet during pregnancy were Japanese and Chinese tea (74.8%), coffee (13.0%), black tea (4.4%), confectionaries (4.0%), and soft drinks (3.7%). </w:t>
            </w:r>
          </w:p>
          <w:p w14:paraId="05CDE875" w14:textId="77777777" w:rsidR="00652361" w:rsidRPr="0035604D" w:rsidRDefault="00260C4E" w:rsidP="00652361">
            <w:r w:rsidRPr="0035604D">
              <w:t xml:space="preserve">Higher maternal caffeine consumption during pregnancy was independently associated with a reduced risk of peer problems in the children: </w:t>
            </w:r>
          </w:p>
          <w:p w14:paraId="64088901" w14:textId="6C7ED017" w:rsidR="00652361" w:rsidRPr="0035604D" w:rsidRDefault="00652361" w:rsidP="00652361">
            <w:pPr>
              <w:pStyle w:val="bullet"/>
            </w:pPr>
            <w:r w:rsidRPr="0035604D">
              <w:t>Quintile 2: aOR 0.61 (0.35 to 1.06)</w:t>
            </w:r>
          </w:p>
          <w:p w14:paraId="6C66C4E5" w14:textId="5E65AE13" w:rsidR="00652361" w:rsidRPr="0035604D" w:rsidRDefault="00652361" w:rsidP="00652361">
            <w:pPr>
              <w:pStyle w:val="bullet"/>
            </w:pPr>
            <w:r w:rsidRPr="0035604D">
              <w:t>Quintile 3: aOR 0.52 (0.29 to 0.91)</w:t>
            </w:r>
          </w:p>
          <w:p w14:paraId="3782B334" w14:textId="46D3A457" w:rsidR="00652361" w:rsidRPr="0035604D" w:rsidRDefault="00652361" w:rsidP="00652361">
            <w:pPr>
              <w:pStyle w:val="bullet"/>
            </w:pPr>
            <w:r w:rsidRPr="0035604D">
              <w:t>Quintile 4: aOR 0.51 (0.28 to 0.91)</w:t>
            </w:r>
          </w:p>
          <w:p w14:paraId="2A385318" w14:textId="405479FE" w:rsidR="00260C4E" w:rsidRPr="00260C4E" w:rsidRDefault="00260C4E" w:rsidP="00652361">
            <w:r w:rsidRPr="0035604D">
              <w:t>Maternal caffeine intake during pregnancy was not evidently related to the risk of emotional problems, conduct problems, or hyperactivity problems in the children.</w:t>
            </w:r>
            <w:r w:rsidRPr="00260C4E">
              <w:t xml:space="preserve"> </w:t>
            </w:r>
          </w:p>
        </w:tc>
        <w:tc>
          <w:tcPr>
            <w:tcW w:w="1843" w:type="dxa"/>
          </w:tcPr>
          <w:p w14:paraId="4DD89463" w14:textId="77777777" w:rsidR="00260C4E" w:rsidRPr="00A67D54" w:rsidRDefault="00260C4E" w:rsidP="00A67D54"/>
        </w:tc>
      </w:tr>
      <w:tr w:rsidR="00CF04AC" w:rsidRPr="00A67D54" w14:paraId="5BC36F26" w14:textId="77777777" w:rsidTr="002E2AEF">
        <w:trPr>
          <w:cantSplit/>
          <w:trHeight w:val="390"/>
        </w:trPr>
        <w:tc>
          <w:tcPr>
            <w:tcW w:w="1564" w:type="dxa"/>
          </w:tcPr>
          <w:p w14:paraId="288F01DE" w14:textId="7578FC35" w:rsidR="00CF04AC" w:rsidRPr="00A17903" w:rsidRDefault="00CF04AC" w:rsidP="00A67D54">
            <w:r w:rsidRPr="00A17903">
              <w:t xml:space="preserve">Okubo et al </w:t>
            </w:r>
            <w:r w:rsidR="001E5E76">
              <w:t>2015</w:t>
            </w:r>
            <w:r w:rsidR="00774750">
              <w:fldChar w:fldCharType="begin">
                <w:fldData xml:space="preserve">PEVuZE5vdGU+PENpdGU+PEF1dGhvcj5Pa3VibzwvQXV0aG9yPjxZZWFyPjIwMTU8L1llYXI+PFJl
Y051bT4xNzMwPC9SZWNOdW0+PERpc3BsYXlUZXh0PjxzdHlsZSBmYWNlPSJzdXBlcnNjcmlwdCIg
Zm9udD0iVHJlYnVjaGV0IE1TIiBzaXplPSI5Ij4xMDg8L3N0eWxlPjwvRGlzcGxheVRleHQ+PHJl
Y29yZD48cmVjLW51bWJlcj4xNzMwPC9yZWMtbnVtYmVyPjxmb3JlaWduLWtleXM+PGtleSBhcHA9
IkVOIiBkYi1pZD0iZXh2YXNyZngyZHRyYW9lc2FzeHAyc3pzeGEyZGY1MDI1OTJ4IiB0aW1lc3Rh
bXA9IjE1ODI1MDYyMTkiPjE3MzA8L2tleT48a2V5IGFwcD0iRU5XZWIiIGRiLWlkPSIiPjA8L2tl
eT48L2ZvcmVpZ24ta2V5cz48cmVmLXR5cGUgbmFtZT0iSm91cm5hbCBBcnRpY2xlIj4xNzwvcmVm
LXR5cGU+PGNvbnRyaWJ1dG9ycz48YXV0aG9ycz48YXV0aG9yPk9rdWJvLCBILjwvYXV0aG9yPjxh
dXRob3I+TWl5YWtlLCBZLjwvYXV0aG9yPjxhdXRob3I+VGFuYWthLCBLLjwvYXV0aG9yPjxhdXRo
b3I+U2FzYWtpLCBTLjwvYXV0aG9yPjxhdXRob3I+SGlyb3RhLCBZLjwvYXV0aG9yPjwvYXV0aG9y
cz48L2NvbnRyaWJ1dG9ycz48YXV0aC1hZGRyZXNzPkRlcGFydG1lbnQgb2YgSGVhbHRoIFByb21v
dGlvbiwgTmF0aW9uYWwgSW5zdGl0dXRlIG9mIFB1YmxpYyBIZWFsdGgsIFNhaXRhbWEsIEphcGFu
LiBFbGVjdHJvbmljIGFkZHJlc3M6IG9rdWJvQG5pcGguZ28uanAuJiN4RDtEZXBhcnRtZW50IG9m
IFB1YmxpYyBIZWFsdGgsIEVoaW1lIFVuaXZlcnNpdHkgR3JhZHVhdGUgU2Nob29sIG9mIE1lZGlj
aW5lLCBFaGltZSwgSmFwYW4uJiN4RDtEZXBhcnRtZW50IG9mIFNvY2lhbCBhbmQgUHJldmVudGl2
ZSBFcGlkZW1pb2xvZ3ksIFNjaG9vbCBvZiBQdWJsaWMgSGVhbHRoLCB0aGUgVW5pdmVyc2l0eSBv
ZiBUb2t5bywgVG9reW8sIEphcGFuLiYjeEQ7Q2xpbmljYWwgRXBpZGVtaW9sb2d5IFJlc2VhcmNo
IENlbnRlciwgTWVkaWNhbCBDbywgTFRBLCBGdWt1b2thLCBKYXBhbi48L2F1dGgtYWRkcmVzcz48
dGl0bGVzPjx0aXRsZT5NYXRlcm5hbCB0b3RhbCBjYWZmZWluZSBpbnRha2UsIG1haW5seSBmcm9t
IEphcGFuZXNlIGFuZCBDaGluZXNlIHRlYSwgZHVyaW5nIHByZWduYW5jeSB3YXMgYXNzb2NpYXRl
ZCB3aXRoIHJpc2sgb2YgcHJldGVybSBiaXJ0aDogdGhlIE9zYWthIE1hdGVybmFsIGFuZCBDaGls
ZCBIZWFsdGggU3R1ZHk8L3RpdGxlPjxzZWNvbmRhcnktdGl0bGU+TnV0ciBSZXM8L3NlY29uZGFy
eS10aXRsZT48L3RpdGxlcz48cGVyaW9kaWNhbD48ZnVsbC10aXRsZT5OdXRyIFJlczwvZnVsbC10
aXRsZT48L3BlcmlvZGljYWw+PHBhZ2VzPjMwOS0xNjwvcGFnZXM+PHZvbHVtZT4zNTwvdm9sdW1l
PjxudW1iZXI+NDwvbnVtYmVyPjxlZGl0aW9uPjIwMTUvMDMvMTc8L2VkaXRpb24+PGtleXdvcmRz
PjxrZXl3b3JkPkFkdWx0PC9rZXl3b3JkPjxrZXl3b3JkPkFzaWFuIENvbnRpbmVudGFsIEFuY2Vz
dHJ5IEdyb3VwPC9rZXl3b3JkPjxrZXl3b3JkPkJvZHkgTWFzcyBJbmRleDwva2V5d29yZD48a2V5
d29yZD5DYWZmZWluZS9hZG1pbmlzdHJhdGlvbiAmYW1wOyBkb3NhZ2UvKmFkdmVyc2UgZWZmZWN0
czwva2V5d29yZD48a2V5d29yZD5DYXJib25hdGVkIEJldmVyYWdlcy9hbmFseXNpczwva2V5d29y
ZD48a2V5d29yZD5DaGlsZCBIZWFsdGg8L2tleXdvcmQ+PGtleXdvcmQ+Q29mZmVlPC9rZXl3b3Jk
PjxrZXl3b3JkPkRpZXQ8L2tleXdvcmQ+PGtleXdvcmQ+RmVtYWxlPC9rZXl3b3JkPjxrZXl3b3Jk
Pkh1bWFuczwva2V5d29yZD48a2V5d29yZD5JbmZhbnQsIExvdyBCaXJ0aCBXZWlnaHQvZ3Jvd3Ro
ICZhbXA7IGRldmVsb3BtZW50PC9rZXl3b3JkPjxrZXl3b3JkPkphcGFuL2VwaWRlbWlvbG9neTwv
a2V5d29yZD48a2V5d29yZD5MaWZlIFN0eWxlPC9rZXl3b3JkPjxrZXl3b3JkPkxpbmVhciBNb2Rl
bHM8L2tleXdvcmQ+PGtleXdvcmQ+TWFsZTwva2V5d29yZD48a2V5d29yZD4qTWF0ZXJuYWwgTnV0
cml0aW9uYWwgUGh5c2lvbG9naWNhbCBQaGVub21lbmE8L2tleXdvcmQ+PGtleXdvcmQ+TnV0cml0
aW9uIEFzc2Vzc21lbnQ8L2tleXdvcmQ+PGtleXdvcmQ+UHJlZ25hbmN5PC9rZXl3b3JkPjxrZXl3
b3JkPlByZWduYW5jeSBPdXRjb21lPC9rZXl3b3JkPjxrZXl3b3JkPlByZW1hdHVyZSBCaXJ0aC8q
ZXBpZGVtaW9sb2d5PC9rZXl3b3JkPjxrZXl3b3JkPlByb3NwZWN0aXZlIFN0dWRpZXM8L2tleXdv
cmQ+PGtleXdvcmQ+UmVwcm9kdWNpYmlsaXR5IG9mIFJlc3VsdHM8L2tleXdvcmQ+PGtleXdvcmQ+
UmlzayBGYWN0b3JzPC9rZXl3b3JkPjxrZXl3b3JkPlN1cnZleXMgYW5kIFF1ZXN0aW9ubmFpcmVz
PC9rZXl3b3JkPjxrZXl3b3JkPlRlYS8qYWR2ZXJzZSBlZmZlY3RzPC9rZXl3b3JkPjxrZXl3b3Jk
PkNhZmZlaW5lPC9rZXl3b3JkPjxrZXl3b3JkPkphcGFuZXNlIGFuZCBDaGluZXNlIHRlYTwva2V5
d29yZD48a2V5d29yZD5QcmV0ZXJtIGJpcnRoPC9rZXl3b3JkPjxrZXl3b3JkPlByb3NwZWN0aXZl
IGJpcnRoIGNvaG9ydDwva2V5d29yZD48L2tleXdvcmRzPjxkYXRlcz48eWVhcj4yMDE1PC95ZWFy
PjxwdWItZGF0ZXM+PGRhdGU+QXByPC9kYXRlPjwvcHViLWRhdGVzPjwvZGF0ZXM+PGlzYm4+MTg3
OS0wNzM5IChFbGVjdHJvbmljKSYjeEQ7MDI3MS01MzE3IChMaW5raW5nKTwvaXNibj48YWNjZXNz
aW9uLW51bT4yNTc3MzM1NTwvYWNjZXNzaW9uLW51bT48dXJscz48cmVsYXRlZC11cmxzPjx1cmw+
aHR0cHM6Ly93d3cubmNiaS5ubG0ubmloLmdvdi9wdWJtZWQvMjU3NzMzNTU8L3VybD48L3JlbGF0
ZWQtdXJscz48L3VybHM+PGVsZWN0cm9uaWMtcmVzb3VyY2UtbnVtPjEwLjEwMTYvai5udXRyZXMu
MjAxNS4wMi4wMDk8L2VsZWN0cm9uaWMtcmVzb3VyY2UtbnVtPjwvcmVjb3JkPjwvQ2l0ZT48L0Vu
ZE5vdGU+AG==
</w:fldData>
              </w:fldChar>
            </w:r>
            <w:r w:rsidR="002747EA">
              <w:instrText xml:space="preserve"> ADDIN EN.CITE </w:instrText>
            </w:r>
            <w:r w:rsidR="002747EA">
              <w:fldChar w:fldCharType="begin">
                <w:fldData xml:space="preserve">PEVuZE5vdGU+PENpdGU+PEF1dGhvcj5Pa3VibzwvQXV0aG9yPjxZZWFyPjIwMTU8L1llYXI+PFJl
Y051bT4xNzMwPC9SZWNOdW0+PERpc3BsYXlUZXh0PjxzdHlsZSBmYWNlPSJzdXBlcnNjcmlwdCIg
Zm9udD0iVHJlYnVjaGV0IE1TIiBzaXplPSI5Ij4xMDg8L3N0eWxlPjwvRGlzcGxheVRleHQ+PHJl
Y29yZD48cmVjLW51bWJlcj4xNzMwPC9yZWMtbnVtYmVyPjxmb3JlaWduLWtleXM+PGtleSBhcHA9
IkVOIiBkYi1pZD0iZXh2YXNyZngyZHRyYW9lc2FzeHAyc3pzeGEyZGY1MDI1OTJ4IiB0aW1lc3Rh
bXA9IjE1ODI1MDYyMTkiPjE3MzA8L2tleT48a2V5IGFwcD0iRU5XZWIiIGRiLWlkPSIiPjA8L2tl
eT48L2ZvcmVpZ24ta2V5cz48cmVmLXR5cGUgbmFtZT0iSm91cm5hbCBBcnRpY2xlIj4xNzwvcmVm
LXR5cGU+PGNvbnRyaWJ1dG9ycz48YXV0aG9ycz48YXV0aG9yPk9rdWJvLCBILjwvYXV0aG9yPjxh
dXRob3I+TWl5YWtlLCBZLjwvYXV0aG9yPjxhdXRob3I+VGFuYWthLCBLLjwvYXV0aG9yPjxhdXRo
b3I+U2FzYWtpLCBTLjwvYXV0aG9yPjxhdXRob3I+SGlyb3RhLCBZLjwvYXV0aG9yPjwvYXV0aG9y
cz48L2NvbnRyaWJ1dG9ycz48YXV0aC1hZGRyZXNzPkRlcGFydG1lbnQgb2YgSGVhbHRoIFByb21v
dGlvbiwgTmF0aW9uYWwgSW5zdGl0dXRlIG9mIFB1YmxpYyBIZWFsdGgsIFNhaXRhbWEsIEphcGFu
LiBFbGVjdHJvbmljIGFkZHJlc3M6IG9rdWJvQG5pcGguZ28uanAuJiN4RDtEZXBhcnRtZW50IG9m
IFB1YmxpYyBIZWFsdGgsIEVoaW1lIFVuaXZlcnNpdHkgR3JhZHVhdGUgU2Nob29sIG9mIE1lZGlj
aW5lLCBFaGltZSwgSmFwYW4uJiN4RDtEZXBhcnRtZW50IG9mIFNvY2lhbCBhbmQgUHJldmVudGl2
ZSBFcGlkZW1pb2xvZ3ksIFNjaG9vbCBvZiBQdWJsaWMgSGVhbHRoLCB0aGUgVW5pdmVyc2l0eSBv
ZiBUb2t5bywgVG9reW8sIEphcGFuLiYjeEQ7Q2xpbmljYWwgRXBpZGVtaW9sb2d5IFJlc2VhcmNo
IENlbnRlciwgTWVkaWNhbCBDbywgTFRBLCBGdWt1b2thLCBKYXBhbi48L2F1dGgtYWRkcmVzcz48
dGl0bGVzPjx0aXRsZT5NYXRlcm5hbCB0b3RhbCBjYWZmZWluZSBpbnRha2UsIG1haW5seSBmcm9t
IEphcGFuZXNlIGFuZCBDaGluZXNlIHRlYSwgZHVyaW5nIHByZWduYW5jeSB3YXMgYXNzb2NpYXRl
ZCB3aXRoIHJpc2sgb2YgcHJldGVybSBiaXJ0aDogdGhlIE9zYWthIE1hdGVybmFsIGFuZCBDaGls
ZCBIZWFsdGggU3R1ZHk8L3RpdGxlPjxzZWNvbmRhcnktdGl0bGU+TnV0ciBSZXM8L3NlY29uZGFy
eS10aXRsZT48L3RpdGxlcz48cGVyaW9kaWNhbD48ZnVsbC10aXRsZT5OdXRyIFJlczwvZnVsbC10
aXRsZT48L3BlcmlvZGljYWw+PHBhZ2VzPjMwOS0xNjwvcGFnZXM+PHZvbHVtZT4zNTwvdm9sdW1l
PjxudW1iZXI+NDwvbnVtYmVyPjxlZGl0aW9uPjIwMTUvMDMvMTc8L2VkaXRpb24+PGtleXdvcmRz
PjxrZXl3b3JkPkFkdWx0PC9rZXl3b3JkPjxrZXl3b3JkPkFzaWFuIENvbnRpbmVudGFsIEFuY2Vz
dHJ5IEdyb3VwPC9rZXl3b3JkPjxrZXl3b3JkPkJvZHkgTWFzcyBJbmRleDwva2V5d29yZD48a2V5
d29yZD5DYWZmZWluZS9hZG1pbmlzdHJhdGlvbiAmYW1wOyBkb3NhZ2UvKmFkdmVyc2UgZWZmZWN0
czwva2V5d29yZD48a2V5d29yZD5DYXJib25hdGVkIEJldmVyYWdlcy9hbmFseXNpczwva2V5d29y
ZD48a2V5d29yZD5DaGlsZCBIZWFsdGg8L2tleXdvcmQ+PGtleXdvcmQ+Q29mZmVlPC9rZXl3b3Jk
PjxrZXl3b3JkPkRpZXQ8L2tleXdvcmQ+PGtleXdvcmQ+RmVtYWxlPC9rZXl3b3JkPjxrZXl3b3Jk
Pkh1bWFuczwva2V5d29yZD48a2V5d29yZD5JbmZhbnQsIExvdyBCaXJ0aCBXZWlnaHQvZ3Jvd3Ro
ICZhbXA7IGRldmVsb3BtZW50PC9rZXl3b3JkPjxrZXl3b3JkPkphcGFuL2VwaWRlbWlvbG9neTwv
a2V5d29yZD48a2V5d29yZD5MaWZlIFN0eWxlPC9rZXl3b3JkPjxrZXl3b3JkPkxpbmVhciBNb2Rl
bHM8L2tleXdvcmQ+PGtleXdvcmQ+TWFsZTwva2V5d29yZD48a2V5d29yZD4qTWF0ZXJuYWwgTnV0
cml0aW9uYWwgUGh5c2lvbG9naWNhbCBQaGVub21lbmE8L2tleXdvcmQ+PGtleXdvcmQ+TnV0cml0
aW9uIEFzc2Vzc21lbnQ8L2tleXdvcmQ+PGtleXdvcmQ+UHJlZ25hbmN5PC9rZXl3b3JkPjxrZXl3
b3JkPlByZWduYW5jeSBPdXRjb21lPC9rZXl3b3JkPjxrZXl3b3JkPlByZW1hdHVyZSBCaXJ0aC8q
ZXBpZGVtaW9sb2d5PC9rZXl3b3JkPjxrZXl3b3JkPlByb3NwZWN0aXZlIFN0dWRpZXM8L2tleXdv
cmQ+PGtleXdvcmQ+UmVwcm9kdWNpYmlsaXR5IG9mIFJlc3VsdHM8L2tleXdvcmQ+PGtleXdvcmQ+
UmlzayBGYWN0b3JzPC9rZXl3b3JkPjxrZXl3b3JkPlN1cnZleXMgYW5kIFF1ZXN0aW9ubmFpcmVz
PC9rZXl3b3JkPjxrZXl3b3JkPlRlYS8qYWR2ZXJzZSBlZmZlY3RzPC9rZXl3b3JkPjxrZXl3b3Jk
PkNhZmZlaW5lPC9rZXl3b3JkPjxrZXl3b3JkPkphcGFuZXNlIGFuZCBDaGluZXNlIHRlYTwva2V5
d29yZD48a2V5d29yZD5QcmV0ZXJtIGJpcnRoPC9rZXl3b3JkPjxrZXl3b3JkPlByb3NwZWN0aXZl
IGJpcnRoIGNvaG9ydDwva2V5d29yZD48L2tleXdvcmRzPjxkYXRlcz48eWVhcj4yMDE1PC95ZWFy
PjxwdWItZGF0ZXM+PGRhdGU+QXByPC9kYXRlPjwvcHViLWRhdGVzPjwvZGF0ZXM+PGlzYm4+MTg3
OS0wNzM5IChFbGVjdHJvbmljKSYjeEQ7MDI3MS01MzE3IChMaW5raW5nKTwvaXNibj48YWNjZXNz
aW9uLW51bT4yNTc3MzM1NTwvYWNjZXNzaW9uLW51bT48dXJscz48cmVsYXRlZC11cmxzPjx1cmw+
aHR0cHM6Ly93d3cubmNiaS5ubG0ubmloLmdvdi9wdWJtZWQvMjU3NzMzNTU8L3VybD48L3JlbGF0
ZWQtdXJscz48L3VybHM+PGVsZWN0cm9uaWMtcmVzb3VyY2UtbnVtPjEwLjEwMTYvai5udXRyZXMu
MjAxNS4wMi4wMDk8L2VsZWN0cm9uaWMtcmVzb3VyY2UtbnVtPjwvcmVjb3JkPjwvQ2l0ZT48L0Vu
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108</w:t>
            </w:r>
            <w:r w:rsidR="00774750">
              <w:fldChar w:fldCharType="end"/>
            </w:r>
          </w:p>
          <w:p w14:paraId="6FF15BFC" w14:textId="77777777" w:rsidR="00CF04AC" w:rsidRPr="00A17903" w:rsidRDefault="00CF04AC" w:rsidP="00A67D54">
            <w:r w:rsidRPr="00A17903">
              <w:t>Japan</w:t>
            </w:r>
          </w:p>
          <w:p w14:paraId="06273602" w14:textId="7ACF5473" w:rsidR="00CF04AC" w:rsidRPr="00A17903" w:rsidRDefault="00CF04AC" w:rsidP="00A67D54">
            <w:r w:rsidRPr="00A17903">
              <w:t>Cross-section</w:t>
            </w:r>
          </w:p>
        </w:tc>
        <w:tc>
          <w:tcPr>
            <w:tcW w:w="1417" w:type="dxa"/>
          </w:tcPr>
          <w:p w14:paraId="294F9344" w14:textId="7EE7AC92" w:rsidR="00CF04AC" w:rsidRPr="00A17903" w:rsidRDefault="00CF04AC" w:rsidP="00A67D54">
            <w:r w:rsidRPr="00A17903">
              <w:t>858 women</w:t>
            </w:r>
          </w:p>
        </w:tc>
        <w:tc>
          <w:tcPr>
            <w:tcW w:w="4532" w:type="dxa"/>
          </w:tcPr>
          <w:p w14:paraId="18D4535B" w14:textId="4F3BB1D1" w:rsidR="00CF04AC" w:rsidRPr="00A17903" w:rsidRDefault="00CF04AC" w:rsidP="009B34A3">
            <w:r w:rsidRPr="00A17903">
              <w:rPr>
                <w:b/>
              </w:rPr>
              <w:t>Aim</w:t>
            </w:r>
            <w:r w:rsidRPr="00A17903">
              <w:t xml:space="preserve">: To investigate whether maternal consumption of total caffeine and culture-specific major sources of caffeine would be associated with birth outcomes among Japanese pregnant. </w:t>
            </w:r>
          </w:p>
          <w:p w14:paraId="6CD15571" w14:textId="38328CF0" w:rsidR="00CF04AC" w:rsidRPr="00A17903" w:rsidRDefault="00CF04AC" w:rsidP="00CF04AC">
            <w:pPr>
              <w:rPr>
                <w:b/>
              </w:rPr>
            </w:pPr>
            <w:r w:rsidRPr="00A17903">
              <w:rPr>
                <w:b/>
              </w:rPr>
              <w:t>Methods</w:t>
            </w:r>
            <w:r w:rsidRPr="00A17903">
              <w:t>: Maternal diet during pregnancy was assessed using a validated, self-administered diet history questionnaire. Birth outcomes considered were low birth weight (LBW; &lt;2500 g), preterm birth (PTB; &lt;37 weeks of gestation), and small for gestational age (SGA; &lt;10th percentile).</w:t>
            </w:r>
          </w:p>
        </w:tc>
        <w:tc>
          <w:tcPr>
            <w:tcW w:w="4536" w:type="dxa"/>
          </w:tcPr>
          <w:p w14:paraId="40218BCC" w14:textId="77777777" w:rsidR="00CF04AC" w:rsidRPr="00A17903" w:rsidRDefault="00CF04AC" w:rsidP="00CF04AC">
            <w:r w:rsidRPr="00A17903">
              <w:t xml:space="preserve">The main caffeine sources were Japanese and Chinese tea (73.5%), coffee (14.3%), black tea (6.6%), and soft drinks (3.5%). </w:t>
            </w:r>
          </w:p>
          <w:p w14:paraId="30812407" w14:textId="5476603A" w:rsidR="00CF04AC" w:rsidRPr="00A17903" w:rsidRDefault="00CF04AC" w:rsidP="00CF04AC">
            <w:r w:rsidRPr="00A17903">
              <w:t>After controlling for confounders, maternal total caffeine intake during pregnancy was significantly associated with an increased risk of PTB (</w:t>
            </w:r>
            <w:r w:rsidR="00E82C9A">
              <w:t>OR per 100 mg/d caffeine increase</w:t>
            </w:r>
            <w:r w:rsidRPr="00A17903">
              <w:t xml:space="preserve"> 1.28; 95%CI 1.03 to 1.58; P for trend = </w:t>
            </w:r>
            <w:r w:rsidR="00E82C9A">
              <w:t>0</w:t>
            </w:r>
            <w:r w:rsidRPr="00A17903">
              <w:t xml:space="preserve">.03). </w:t>
            </w:r>
          </w:p>
          <w:p w14:paraId="35C7C3AB" w14:textId="4A07E84B" w:rsidR="00CF04AC" w:rsidRPr="00CF04AC" w:rsidRDefault="00CF04AC" w:rsidP="00A17903">
            <w:r w:rsidRPr="00A17903">
              <w:t>No evident relationships were observed between total caffeine intake and risk of LBW or SGA.</w:t>
            </w:r>
            <w:r w:rsidRPr="00CF04AC">
              <w:t xml:space="preserve"> </w:t>
            </w:r>
          </w:p>
        </w:tc>
        <w:tc>
          <w:tcPr>
            <w:tcW w:w="1843" w:type="dxa"/>
          </w:tcPr>
          <w:p w14:paraId="4BAA3516" w14:textId="77777777" w:rsidR="00CF04AC" w:rsidRPr="00A67D54" w:rsidRDefault="00CF04AC" w:rsidP="00A67D54"/>
        </w:tc>
      </w:tr>
      <w:tr w:rsidR="00A67D54" w:rsidRPr="00A67D54" w14:paraId="65137DB6" w14:textId="77777777" w:rsidTr="002E2AEF">
        <w:trPr>
          <w:cantSplit/>
          <w:trHeight w:val="390"/>
        </w:trPr>
        <w:tc>
          <w:tcPr>
            <w:tcW w:w="1564" w:type="dxa"/>
          </w:tcPr>
          <w:p w14:paraId="36081F44" w14:textId="13D42E3C" w:rsidR="00A67D54" w:rsidRDefault="00E07435" w:rsidP="00A67D54">
            <w:r>
              <w:t>Colapinto et al 2015</w:t>
            </w:r>
            <w:r w:rsidR="00767EBF">
              <w:fldChar w:fldCharType="begin"/>
            </w:r>
            <w:r w:rsidR="002747EA">
              <w:instrText xml:space="preserve"> ADDIN EN.CITE &lt;EndNote&gt;&lt;Cite&gt;&lt;Author&gt;Colapinto&lt;/Author&gt;&lt;Year&gt;2015&lt;/Year&gt;&lt;RecNum&gt;1415&lt;/RecNum&gt;&lt;DisplayText&gt;&lt;style face="superscript" font="Trebuchet MS" size="9"&gt;107&lt;/style&gt;&lt;/DisplayText&gt;&lt;record&gt;&lt;rec-number&gt;1415&lt;/rec-number&gt;&lt;foreign-keys&gt;&lt;key app="EN" db-id="exvasrfx2dtraoesasxp2szsxa2df502592x" timestamp="1568170768"&gt;1415&lt;/key&gt;&lt;key app="ENWeb" db-id=""&gt;0&lt;/key&gt;&lt;/foreign-keys&gt;&lt;ref-type name="Journal Article"&gt;17&lt;/ref-type&gt;&lt;contributors&gt;&lt;authors&gt;&lt;author&gt;Colapinto, C.K.,&lt;/author&gt;&lt;author&gt;Arbuckle, T.E.,&lt;/author&gt;&lt;author&gt;Dubois, L.,&lt;/author&gt;&lt;author&gt;Fraser, W.,&lt;/author&gt;&lt;/authors&gt;&lt;/contributors&gt;&lt;titles&gt;&lt;title&gt;Tea consumption in pregnancy as a predictor of pesticide exposure and adverse birth outcomes: The MIREC Study&lt;/title&gt;&lt;secondary-title&gt;Environmental Research&lt;/secondary-title&gt;&lt;/titles&gt;&lt;periodical&gt;&lt;full-title&gt;Environmental Research&lt;/full-title&gt;&lt;/periodical&gt;&lt;pages&gt;77-83&lt;/pages&gt;&lt;volume&gt;142&lt;/volume&gt;&lt;section&gt;77&lt;/section&gt;&lt;dates&gt;&lt;year&gt;2015&lt;/year&gt;&lt;/dates&gt;&lt;isbn&gt;00139351&lt;/isbn&gt;&lt;urls&gt;&lt;/urls&gt;&lt;electronic-resource-num&gt;10.1016/j.envres.2015.06.020&lt;/electronic-resource-num&gt;&lt;/record&gt;&lt;/Cite&gt;&lt;/EndNote&gt;</w:instrText>
            </w:r>
            <w:r w:rsidR="00767EBF">
              <w:fldChar w:fldCharType="separate"/>
            </w:r>
            <w:r w:rsidR="002747EA" w:rsidRPr="002747EA">
              <w:rPr>
                <w:noProof/>
                <w:vertAlign w:val="superscript"/>
              </w:rPr>
              <w:t>107</w:t>
            </w:r>
            <w:r w:rsidR="00767EBF">
              <w:fldChar w:fldCharType="end"/>
            </w:r>
          </w:p>
          <w:p w14:paraId="70A43E67" w14:textId="77777777" w:rsidR="009B34A3" w:rsidRDefault="009B34A3" w:rsidP="00A67D54">
            <w:r>
              <w:t>Canada</w:t>
            </w:r>
          </w:p>
          <w:p w14:paraId="74661E32" w14:textId="223A8019" w:rsidR="009B34A3" w:rsidRPr="00A67D54" w:rsidRDefault="009B34A3" w:rsidP="00A67D54">
            <w:r>
              <w:t>Cohort</w:t>
            </w:r>
          </w:p>
        </w:tc>
        <w:tc>
          <w:tcPr>
            <w:tcW w:w="1417" w:type="dxa"/>
          </w:tcPr>
          <w:p w14:paraId="0CA1475F" w14:textId="6CAFF99E" w:rsidR="00A67D54" w:rsidRPr="00A67D54" w:rsidRDefault="009B34A3" w:rsidP="00A67D54">
            <w:r>
              <w:t>1,898 women</w:t>
            </w:r>
          </w:p>
        </w:tc>
        <w:tc>
          <w:tcPr>
            <w:tcW w:w="4532" w:type="dxa"/>
          </w:tcPr>
          <w:p w14:paraId="713E6796" w14:textId="729DA702" w:rsidR="009B34A3" w:rsidRDefault="009B34A3" w:rsidP="009B34A3">
            <w:r w:rsidRPr="009B34A3">
              <w:rPr>
                <w:b/>
              </w:rPr>
              <w:t>Aim</w:t>
            </w:r>
            <w:r>
              <w:t>: T</w:t>
            </w:r>
            <w:r w:rsidRPr="009B34A3">
              <w:t>o</w:t>
            </w:r>
            <w:r>
              <w:t xml:space="preserve"> </w:t>
            </w:r>
            <w:r w:rsidRPr="009B34A3">
              <w:t>determine whether tea</w:t>
            </w:r>
            <w:r>
              <w:t xml:space="preserve"> </w:t>
            </w:r>
            <w:r w:rsidRPr="009B34A3">
              <w:t>intake</w:t>
            </w:r>
            <w:r>
              <w:t xml:space="preserve"> </w:t>
            </w:r>
            <w:r w:rsidRPr="009B34A3">
              <w:t>in</w:t>
            </w:r>
            <w:r>
              <w:t xml:space="preserve"> </w:t>
            </w:r>
            <w:r w:rsidRPr="009B34A3">
              <w:t xml:space="preserve">the </w:t>
            </w:r>
            <w:r w:rsidRPr="009B34A3">
              <w:rPr>
                <w:rFonts w:ascii="Helvetica" w:hAnsi="Helvetica"/>
              </w:rPr>
              <w:t>fi</w:t>
            </w:r>
            <w:r w:rsidRPr="009B34A3">
              <w:t>rst trimester</w:t>
            </w:r>
            <w:r>
              <w:t xml:space="preserve"> </w:t>
            </w:r>
            <w:r w:rsidRPr="009B34A3">
              <w:t>was</w:t>
            </w:r>
            <w:r>
              <w:t xml:space="preserve"> </w:t>
            </w:r>
            <w:r w:rsidRPr="009B34A3">
              <w:t>associated</w:t>
            </w:r>
            <w:r>
              <w:t xml:space="preserve"> </w:t>
            </w:r>
            <w:r w:rsidRPr="009B34A3">
              <w:t>with</w:t>
            </w:r>
            <w:r>
              <w:t xml:space="preserve"> </w:t>
            </w:r>
            <w:r w:rsidRPr="009B34A3">
              <w:t>elevated</w:t>
            </w:r>
            <w:r>
              <w:t xml:space="preserve"> </w:t>
            </w:r>
            <w:r w:rsidRPr="009B34A3">
              <w:t>concentrations</w:t>
            </w:r>
            <w:r>
              <w:t xml:space="preserve"> </w:t>
            </w:r>
            <w:r w:rsidRPr="009B34A3">
              <w:t>of</w:t>
            </w:r>
            <w:r>
              <w:t xml:space="preserve"> </w:t>
            </w:r>
            <w:r w:rsidRPr="009B34A3">
              <w:t>various</w:t>
            </w:r>
            <w:r>
              <w:t xml:space="preserve"> pesti</w:t>
            </w:r>
            <w:r w:rsidRPr="009B34A3">
              <w:t>cides in</w:t>
            </w:r>
            <w:r>
              <w:t xml:space="preserve"> </w:t>
            </w:r>
            <w:r w:rsidRPr="009B34A3">
              <w:t>maternal</w:t>
            </w:r>
            <w:r>
              <w:t xml:space="preserve"> </w:t>
            </w:r>
            <w:r w:rsidRPr="009B34A3">
              <w:t>blood</w:t>
            </w:r>
            <w:r>
              <w:t xml:space="preserve"> </w:t>
            </w:r>
            <w:r w:rsidRPr="009B34A3">
              <w:t>or</w:t>
            </w:r>
            <w:r>
              <w:t xml:space="preserve"> </w:t>
            </w:r>
            <w:r w:rsidRPr="009B34A3">
              <w:t>urine.</w:t>
            </w:r>
            <w:r>
              <w:t xml:space="preserve"> </w:t>
            </w:r>
            <w:r w:rsidRPr="009B34A3">
              <w:t>Further,</w:t>
            </w:r>
            <w:r>
              <w:t xml:space="preserve"> </w:t>
            </w:r>
            <w:r w:rsidRPr="009B34A3">
              <w:t>we</w:t>
            </w:r>
            <w:r>
              <w:t xml:space="preserve"> </w:t>
            </w:r>
            <w:r w:rsidRPr="009B34A3">
              <w:t>examined</w:t>
            </w:r>
            <w:r>
              <w:t xml:space="preserve"> </w:t>
            </w:r>
            <w:r w:rsidRPr="009B34A3">
              <w:t>the</w:t>
            </w:r>
            <w:r>
              <w:t xml:space="preserve"> </w:t>
            </w:r>
            <w:r w:rsidRPr="009B34A3">
              <w:t>relationship</w:t>
            </w:r>
            <w:r>
              <w:t xml:space="preserve"> </w:t>
            </w:r>
            <w:r w:rsidRPr="009B34A3">
              <w:t>between</w:t>
            </w:r>
            <w:r>
              <w:t xml:space="preserve"> </w:t>
            </w:r>
            <w:r w:rsidRPr="009B34A3">
              <w:t>tea</w:t>
            </w:r>
            <w:r>
              <w:t xml:space="preserve"> </w:t>
            </w:r>
            <w:r w:rsidRPr="009B34A3">
              <w:t>consumption</w:t>
            </w:r>
            <w:r>
              <w:t xml:space="preserve"> </w:t>
            </w:r>
            <w:r w:rsidRPr="009B34A3">
              <w:t>and adverse birth</w:t>
            </w:r>
            <w:r>
              <w:t xml:space="preserve"> </w:t>
            </w:r>
            <w:r w:rsidRPr="009B34A3">
              <w:t xml:space="preserve">outcomes. </w:t>
            </w:r>
          </w:p>
          <w:p w14:paraId="223BCDDF" w14:textId="237AA1F5" w:rsidR="00A67D54" w:rsidRPr="00A67D54" w:rsidRDefault="009B34A3" w:rsidP="009B34A3">
            <w:r w:rsidRPr="009B34A3">
              <w:rPr>
                <w:b/>
              </w:rPr>
              <w:t>Methods</w:t>
            </w:r>
            <w:r w:rsidRPr="009B34A3">
              <w:t>: All</w:t>
            </w:r>
            <w:r>
              <w:t xml:space="preserve"> </w:t>
            </w:r>
            <w:r w:rsidRPr="009B34A3">
              <w:t>singleton,</w:t>
            </w:r>
            <w:r>
              <w:t xml:space="preserve"> </w:t>
            </w:r>
            <w:r w:rsidRPr="009B34A3">
              <w:t>live</w:t>
            </w:r>
            <w:r>
              <w:t xml:space="preserve"> </w:t>
            </w:r>
            <w:r w:rsidRPr="009B34A3">
              <w:t>births</w:t>
            </w:r>
            <w:r>
              <w:t xml:space="preserve"> </w:t>
            </w:r>
            <w:r w:rsidRPr="009B34A3">
              <w:t>with</w:t>
            </w:r>
            <w:r>
              <w:t xml:space="preserve"> </w:t>
            </w:r>
            <w:r w:rsidRPr="009B34A3">
              <w:t>available</w:t>
            </w:r>
            <w:r>
              <w:t xml:space="preserve"> </w:t>
            </w:r>
            <w:r w:rsidRPr="009B34A3">
              <w:t>biomarkers</w:t>
            </w:r>
            <w:r>
              <w:t xml:space="preserve"> </w:t>
            </w:r>
            <w:r w:rsidRPr="009B34A3">
              <w:t>were included in</w:t>
            </w:r>
            <w:r>
              <w:t xml:space="preserve"> </w:t>
            </w:r>
            <w:r w:rsidRPr="009B34A3">
              <w:t>the</w:t>
            </w:r>
            <w:r>
              <w:t xml:space="preserve"> </w:t>
            </w:r>
            <w:r w:rsidRPr="009B34A3">
              <w:t>analyses.</w:t>
            </w:r>
            <w:r>
              <w:t xml:space="preserve"> </w:t>
            </w:r>
            <w:r w:rsidRPr="009B34A3">
              <w:t>Descriptive</w:t>
            </w:r>
            <w:r>
              <w:t xml:space="preserve"> </w:t>
            </w:r>
            <w:r w:rsidRPr="009B34A3">
              <w:t>statistics</w:t>
            </w:r>
            <w:r>
              <w:t xml:space="preserve"> </w:t>
            </w:r>
            <w:r w:rsidRPr="009B34A3">
              <w:t>were</w:t>
            </w:r>
            <w:r>
              <w:t xml:space="preserve"> </w:t>
            </w:r>
            <w:r w:rsidRPr="009B34A3">
              <w:t>used</w:t>
            </w:r>
            <w:r>
              <w:t xml:space="preserve"> </w:t>
            </w:r>
            <w:r w:rsidRPr="009B34A3">
              <w:t>to</w:t>
            </w:r>
            <w:r>
              <w:t xml:space="preserve"> characteris</w:t>
            </w:r>
            <w:r w:rsidRPr="009B34A3">
              <w:t>e</w:t>
            </w:r>
            <w:r>
              <w:t xml:space="preserve"> </w:t>
            </w:r>
            <w:r w:rsidRPr="009B34A3">
              <w:t>the</w:t>
            </w:r>
            <w:r>
              <w:t xml:space="preserve"> </w:t>
            </w:r>
            <w:r w:rsidRPr="009B34A3">
              <w:t>population.</w:t>
            </w:r>
            <w:r>
              <w:t xml:space="preserve"> </w:t>
            </w:r>
            <w:r w:rsidRPr="009B34A3">
              <w:t>The</w:t>
            </w:r>
            <w:r>
              <w:t xml:space="preserve"> </w:t>
            </w:r>
            <w:r w:rsidRPr="009B34A3">
              <w:t>geometric means (GM)</w:t>
            </w:r>
            <w:r>
              <w:t xml:space="preserve"> </w:t>
            </w:r>
            <w:r w:rsidRPr="009B34A3">
              <w:t>of</w:t>
            </w:r>
            <w:r>
              <w:t xml:space="preserve"> </w:t>
            </w:r>
            <w:r w:rsidRPr="009B34A3">
              <w:t>organochlorine</w:t>
            </w:r>
            <w:r>
              <w:t xml:space="preserve"> </w:t>
            </w:r>
            <w:r w:rsidRPr="009B34A3">
              <w:t>(OC)</w:t>
            </w:r>
            <w:r>
              <w:t xml:space="preserve"> </w:t>
            </w:r>
            <w:r w:rsidRPr="009B34A3">
              <w:t>pesticide</w:t>
            </w:r>
            <w:r>
              <w:t xml:space="preserve"> </w:t>
            </w:r>
            <w:r w:rsidRPr="009B34A3">
              <w:t>constituents</w:t>
            </w:r>
            <w:r>
              <w:t xml:space="preserve"> </w:t>
            </w:r>
            <w:r w:rsidRPr="009B34A3">
              <w:t>or</w:t>
            </w:r>
            <w:r>
              <w:t xml:space="preserve"> </w:t>
            </w:r>
            <w:r w:rsidRPr="009B34A3">
              <w:t>metabolites</w:t>
            </w:r>
            <w:r>
              <w:t xml:space="preserve"> </w:t>
            </w:r>
            <w:r w:rsidRPr="009B34A3">
              <w:t>in</w:t>
            </w:r>
            <w:r>
              <w:t xml:space="preserve"> </w:t>
            </w:r>
            <w:r w:rsidRPr="009B34A3">
              <w:t>maternal</w:t>
            </w:r>
            <w:r>
              <w:t xml:space="preserve"> </w:t>
            </w:r>
            <w:r w:rsidRPr="009B34A3">
              <w:t>plasma</w:t>
            </w:r>
            <w:r>
              <w:t xml:space="preserve"> </w:t>
            </w:r>
            <w:r w:rsidRPr="009B34A3">
              <w:t>(lipid adjusted) and</w:t>
            </w:r>
            <w:r>
              <w:t xml:space="preserve"> </w:t>
            </w:r>
            <w:r w:rsidRPr="009B34A3">
              <w:t>organophosphate</w:t>
            </w:r>
            <w:r>
              <w:t xml:space="preserve"> </w:t>
            </w:r>
            <w:r w:rsidRPr="009B34A3">
              <w:t>(OP)</w:t>
            </w:r>
            <w:r>
              <w:t xml:space="preserve"> </w:t>
            </w:r>
            <w:r w:rsidRPr="009B34A3">
              <w:t>pesticide</w:t>
            </w:r>
            <w:r>
              <w:t xml:space="preserve"> </w:t>
            </w:r>
            <w:r w:rsidRPr="009B34A3">
              <w:t>metabolites</w:t>
            </w:r>
            <w:r>
              <w:t xml:space="preserve"> </w:t>
            </w:r>
            <w:r w:rsidRPr="009B34A3">
              <w:t>(adjusted</w:t>
            </w:r>
            <w:r>
              <w:t xml:space="preserve"> </w:t>
            </w:r>
            <w:r w:rsidRPr="009B34A3">
              <w:t>for</w:t>
            </w:r>
            <w:r>
              <w:t xml:space="preserve"> </w:t>
            </w:r>
            <w:r w:rsidRPr="009B34A3">
              <w:t>speci</w:t>
            </w:r>
            <w:r w:rsidRPr="009B34A3">
              <w:rPr>
                <w:rFonts w:ascii="Helvetica" w:hAnsi="Helvetica"/>
              </w:rPr>
              <w:t>fi</w:t>
            </w:r>
            <w:r w:rsidRPr="009B34A3">
              <w:t>c gravity)</w:t>
            </w:r>
            <w:r>
              <w:t xml:space="preserve"> </w:t>
            </w:r>
            <w:r w:rsidRPr="009B34A3">
              <w:t>in</w:t>
            </w:r>
            <w:r>
              <w:t xml:space="preserve"> </w:t>
            </w:r>
            <w:r w:rsidRPr="009B34A3">
              <w:t>maternal urine were</w:t>
            </w:r>
            <w:r>
              <w:t xml:space="preserve"> </w:t>
            </w:r>
            <w:r w:rsidRPr="009B34A3">
              <w:t>calculated</w:t>
            </w:r>
            <w:r>
              <w:t xml:space="preserve"> </w:t>
            </w:r>
            <w:r w:rsidRPr="009B34A3">
              <w:t>for</w:t>
            </w:r>
            <w:r>
              <w:t xml:space="preserve"> </w:t>
            </w:r>
            <w:r w:rsidRPr="009B34A3">
              <w:t>participants</w:t>
            </w:r>
            <w:r>
              <w:t xml:space="preserve"> </w:t>
            </w:r>
            <w:r w:rsidRPr="009B34A3">
              <w:t>who</w:t>
            </w:r>
            <w:r>
              <w:t xml:space="preserve"> </w:t>
            </w:r>
            <w:r w:rsidRPr="009B34A3">
              <w:t>drank</w:t>
            </w:r>
            <w:r>
              <w:t xml:space="preserve"> </w:t>
            </w:r>
            <w:r w:rsidRPr="009B34A3">
              <w:t>regular,</w:t>
            </w:r>
            <w:r>
              <w:t xml:space="preserve"> </w:t>
            </w:r>
            <w:r w:rsidRPr="009B34A3">
              <w:t>green</w:t>
            </w:r>
            <w:r>
              <w:t xml:space="preserve"> </w:t>
            </w:r>
            <w:r w:rsidRPr="009B34A3">
              <w:t>or</w:t>
            </w:r>
            <w:r>
              <w:t xml:space="preserve"> </w:t>
            </w:r>
            <w:r w:rsidRPr="009B34A3">
              <w:t>herbal</w:t>
            </w:r>
            <w:r>
              <w:t xml:space="preserve"> </w:t>
            </w:r>
            <w:r w:rsidRPr="009B34A3">
              <w:t>tea</w:t>
            </w:r>
            <w:r>
              <w:t xml:space="preserve"> </w:t>
            </w:r>
            <w:r w:rsidRPr="009B34A3">
              <w:t>in</w:t>
            </w:r>
            <w:r>
              <w:t xml:space="preserve"> </w:t>
            </w:r>
            <w:r w:rsidRPr="009B34A3">
              <w:t xml:space="preserve">the </w:t>
            </w:r>
            <w:r w:rsidRPr="009B34A3">
              <w:rPr>
                <w:rFonts w:ascii="Helvetica" w:hAnsi="Helvetica"/>
              </w:rPr>
              <w:t>fi</w:t>
            </w:r>
            <w:r w:rsidRPr="009B34A3">
              <w:t>rst trimester</w:t>
            </w:r>
            <w:r>
              <w:t xml:space="preserve"> </w:t>
            </w:r>
            <w:r w:rsidRPr="009B34A3">
              <w:t>and</w:t>
            </w:r>
            <w:r>
              <w:t xml:space="preserve"> </w:t>
            </w:r>
            <w:r w:rsidRPr="009B34A3">
              <w:t>for those who</w:t>
            </w:r>
            <w:r>
              <w:t xml:space="preserve"> </w:t>
            </w:r>
            <w:r w:rsidRPr="009B34A3">
              <w:t>did</w:t>
            </w:r>
            <w:r>
              <w:t xml:space="preserve"> </w:t>
            </w:r>
            <w:r w:rsidRPr="009B34A3">
              <w:t>not.</w:t>
            </w:r>
            <w:r>
              <w:t xml:space="preserve"> </w:t>
            </w:r>
            <w:r w:rsidRPr="009B34A3">
              <w:t>Differences</w:t>
            </w:r>
            <w:r>
              <w:t xml:space="preserve"> </w:t>
            </w:r>
            <w:r w:rsidRPr="009B34A3">
              <w:t>between</w:t>
            </w:r>
            <w:r>
              <w:t xml:space="preserve"> </w:t>
            </w:r>
            <w:r w:rsidRPr="009B34A3">
              <w:t>groups</w:t>
            </w:r>
            <w:r>
              <w:t xml:space="preserve"> </w:t>
            </w:r>
            <w:r w:rsidRPr="009B34A3">
              <w:t>were</w:t>
            </w:r>
            <w:r>
              <w:t xml:space="preserve"> </w:t>
            </w:r>
            <w:r w:rsidRPr="009B34A3">
              <w:t>examined</w:t>
            </w:r>
            <w:r>
              <w:t xml:space="preserve"> </w:t>
            </w:r>
            <w:r w:rsidRPr="009B34A3">
              <w:t>using</w:t>
            </w:r>
            <w:r>
              <w:t xml:space="preserve"> </w:t>
            </w:r>
            <w:r w:rsidRPr="009B34A3">
              <w:t>chi-square</w:t>
            </w:r>
            <w:r>
              <w:t xml:space="preserve"> </w:t>
            </w:r>
            <w:r w:rsidRPr="009B34A3">
              <w:t>or t-tests. Associations between frequency</w:t>
            </w:r>
            <w:r>
              <w:t xml:space="preserve"> </w:t>
            </w:r>
            <w:r w:rsidRPr="009B34A3">
              <w:t>of</w:t>
            </w:r>
            <w:r>
              <w:t xml:space="preserve"> </w:t>
            </w:r>
            <w:r w:rsidRPr="009B34A3">
              <w:t>drinking</w:t>
            </w:r>
            <w:r>
              <w:t xml:space="preserve"> </w:t>
            </w:r>
            <w:r w:rsidRPr="009B34A3">
              <w:t>tea</w:t>
            </w:r>
            <w:r>
              <w:t xml:space="preserve"> </w:t>
            </w:r>
            <w:r w:rsidRPr="009B34A3">
              <w:t>and</w:t>
            </w:r>
            <w:r>
              <w:t xml:space="preserve"> </w:t>
            </w:r>
            <w:r w:rsidRPr="009B34A3">
              <w:t>adverse</w:t>
            </w:r>
            <w:r>
              <w:t xml:space="preserve"> </w:t>
            </w:r>
            <w:r w:rsidRPr="009B34A3">
              <w:t>birth</w:t>
            </w:r>
            <w:r>
              <w:t xml:space="preserve"> </w:t>
            </w:r>
            <w:r w:rsidRPr="009B34A3">
              <w:t>outcomes</w:t>
            </w:r>
            <w:r>
              <w:t xml:space="preserve"> </w:t>
            </w:r>
            <w:r w:rsidRPr="009B34A3">
              <w:t>were</w:t>
            </w:r>
            <w:r>
              <w:t xml:space="preserve"> </w:t>
            </w:r>
            <w:r w:rsidRPr="009B34A3">
              <w:t>examined</w:t>
            </w:r>
            <w:r>
              <w:t xml:space="preserve"> </w:t>
            </w:r>
            <w:r w:rsidRPr="009B34A3">
              <w:t>using</w:t>
            </w:r>
            <w:r>
              <w:t xml:space="preserve"> </w:t>
            </w:r>
            <w:r w:rsidRPr="009B34A3">
              <w:t>logistic</w:t>
            </w:r>
            <w:r>
              <w:t xml:space="preserve"> </w:t>
            </w:r>
            <w:r w:rsidRPr="009B34A3">
              <w:t>regression (preterm</w:t>
            </w:r>
            <w:r>
              <w:t xml:space="preserve"> </w:t>
            </w:r>
            <w:r w:rsidRPr="009B34A3">
              <w:t>birth</w:t>
            </w:r>
            <w:r>
              <w:t xml:space="preserve"> </w:t>
            </w:r>
            <w:r w:rsidRPr="009B34A3">
              <w:t>and</w:t>
            </w:r>
            <w:r>
              <w:t xml:space="preserve"> </w:t>
            </w:r>
            <w:r w:rsidRPr="009B34A3">
              <w:t>small-for-gestational-age)</w:t>
            </w:r>
            <w:r>
              <w:t>.</w:t>
            </w:r>
            <w:r w:rsidRPr="009B34A3">
              <w:t xml:space="preserve"> </w:t>
            </w:r>
          </w:p>
        </w:tc>
        <w:tc>
          <w:tcPr>
            <w:tcW w:w="4536" w:type="dxa"/>
          </w:tcPr>
          <w:p w14:paraId="0320BCA1" w14:textId="2B63419F" w:rsidR="00942E0A" w:rsidRDefault="00942E0A" w:rsidP="00A67D54">
            <w:r>
              <w:t xml:space="preserve">&lt;1 vs ≥1 cups </w:t>
            </w:r>
            <w:r w:rsidR="002E2AEF">
              <w:t xml:space="preserve">tea </w:t>
            </w:r>
            <w:r>
              <w:t>per week:</w:t>
            </w:r>
          </w:p>
          <w:p w14:paraId="54D6BC36" w14:textId="77777777" w:rsidR="00A67D54" w:rsidRDefault="00C17430" w:rsidP="009B34A3">
            <w:pPr>
              <w:pStyle w:val="bullet"/>
            </w:pPr>
            <w:r>
              <w:t xml:space="preserve">Preterm birth: </w:t>
            </w:r>
            <w:r w:rsidR="00942E0A">
              <w:t>aOR 0.99 (0.61 to 1.61)</w:t>
            </w:r>
          </w:p>
          <w:p w14:paraId="77DF97EC" w14:textId="77777777" w:rsidR="00942E0A" w:rsidRDefault="00942E0A" w:rsidP="009B34A3">
            <w:pPr>
              <w:pStyle w:val="bullet"/>
            </w:pPr>
            <w:r>
              <w:t>Spontaneous preterm birth: aOR 1.08 (0.59 to 1.98)</w:t>
            </w:r>
          </w:p>
          <w:p w14:paraId="13A8116E" w14:textId="77777777" w:rsidR="00942E0A" w:rsidRDefault="00942E0A" w:rsidP="009B34A3">
            <w:pPr>
              <w:pStyle w:val="bullet"/>
            </w:pPr>
            <w:r>
              <w:t>Small for gestational age: aOR 1.43 (0.83 to 2.46)</w:t>
            </w:r>
          </w:p>
          <w:p w14:paraId="6B55ACFD" w14:textId="13A45C6E" w:rsidR="009B34A3" w:rsidRPr="00A67D54" w:rsidRDefault="009B34A3" w:rsidP="009B34A3">
            <w:r>
              <w:t xml:space="preserve">There were no significant differences in concentrations of OC or OP pesticides or metabolites between tea drinkers and non tea drinkers. </w:t>
            </w:r>
          </w:p>
        </w:tc>
        <w:tc>
          <w:tcPr>
            <w:tcW w:w="1843" w:type="dxa"/>
          </w:tcPr>
          <w:p w14:paraId="50DA62F7" w14:textId="6A63E3E0" w:rsidR="00A67D54" w:rsidRPr="00A67D54" w:rsidRDefault="00A67D54" w:rsidP="00A67D54"/>
        </w:tc>
      </w:tr>
      <w:tr w:rsidR="00457F66" w:rsidRPr="00A67D54" w14:paraId="2BFDAE12" w14:textId="77777777" w:rsidTr="002E2AEF">
        <w:trPr>
          <w:cantSplit/>
          <w:trHeight w:val="390"/>
        </w:trPr>
        <w:tc>
          <w:tcPr>
            <w:tcW w:w="1564" w:type="dxa"/>
          </w:tcPr>
          <w:p w14:paraId="66CCA76F" w14:textId="6AD5C235" w:rsidR="00457F66" w:rsidRDefault="002E2AEF" w:rsidP="00A67D54">
            <w:r>
              <w:t>Greenop et al 2014</w:t>
            </w:r>
            <w:r w:rsidR="00201490">
              <w:fldChar w:fldCharType="begin">
                <w:fldData xml:space="preserve">PEVuZE5vdGU+PENpdGU+PEF1dGhvcj5HcmVlbm9wPC9BdXRob3I+PFllYXI+MjAxNDwvWWVhcj48
UmVjTnVtPjE0MTg8L1JlY051bT48RGlzcGxheVRleHQ+PHN0eWxlIGZhY2U9InN1cGVyc2NyaXB0
IiBmb250PSJUcmVidWNoZXQgTVMiIHNpemU9IjkiPjEwOTwvc3R5bGU+PC9EaXNwbGF5VGV4dD48
cmVjb3JkPjxyZWMtbnVtYmVyPjE0MTg8L3JlYy1udW1iZXI+PGZvcmVpZ24ta2V5cz48a2V5IGFw
cD0iRU4iIGRiLWlkPSJleHZhc3JmeDJkdHJhb2VzYXN4cDJzenN4YTJkZjUwMjU5MngiIHRpbWVz
dGFtcD0iMTU2ODE3NDY5NSI+MTQxODwva2V5PjwvZm9yZWlnbi1rZXlzPjxyZWYtdHlwZSBuYW1l
PSJKb3VybmFsIEFydGljbGUiPjE3PC9yZWYtdHlwZT48Y29udHJpYnV0b3JzPjxhdXRob3JzPjxh
dXRob3I+R3JlZW5vcCwgSy4gUi48L2F1dGhvcj48YXV0aG9yPk1pbGxlciwgTS48L2F1dGhvcj48
YXV0aG9yPkF0dGlhLCBKLjwvYXV0aG9yPjxhdXRob3I+QXNodG9uLCBMLiBKLjwvYXV0aG9yPjxh
dXRob3I+Q29obiwgUi48L2F1dGhvcj48YXV0aG9yPkFybXN0cm9uZywgQi4gSy48L2F1dGhvcj48
YXV0aG9yPk1pbG5lLCBFLjwvYXV0aG9yPjwvYXV0aG9ycz48L2NvbnRyaWJ1dG9ycz48YXV0aC1h
ZGRyZXNzPlRlbGV0aG9uIEtpZHMgSW5zdGl0dXRlLCBVbml2ZXJzaXR5IG9mIFdlc3Rlcm4gQXVz
dHJhbGlhLCBQTyBCb3ggODU1LCBXZXN0IFBlcnRoLCBXQSwgNjg3MiwgQXVzdHJhbGlhLjwvYXV0
aC1hZGRyZXNzPjx0aXRsZXM+PHRpdGxlPk1hdGVybmFsIGNvbnN1bXB0aW9uIG9mIGNvZmZlZSBh
bmQgdGVhIGR1cmluZyBwcmVnbmFuY3kgYW5kIHJpc2sgb2YgY2hpbGRob29kIGJyYWluIHR1bW9y
czogcmVzdWx0cyBmcm9tIGFuIEF1c3RyYWxpYW4gY2FzZS1jb250cm9sIHN0dWR5PC90aXRsZT48
c2Vjb25kYXJ5LXRpdGxlPkNhbmNlciBDYXVzZXMgQ29udHJvbDwvc2Vjb25kYXJ5LXRpdGxlPjwv
dGl0bGVzPjxwZXJpb2RpY2FsPjxmdWxsLXRpdGxlPkNhbmNlciBDYXVzZXMgQ29udHJvbDwvZnVs
bC10aXRsZT48L3BlcmlvZGljYWw+PHBhZ2VzPjEzMjEtNzwvcGFnZXM+PHZvbHVtZT4yNTwvdm9s
dW1lPjxudW1iZXI+MTA8L251bWJlcj48ZWRpdGlvbj4yMDE0LzA3LzE4PC9lZGl0aW9uPjxrZXl3
b3Jkcz48a2V5d29yZD5BZG9sZXNjZW50PC9rZXl3b3JkPjxrZXl3b3JkPkFsY29ob2wgRHJpbmtp
bmcvZXBpZGVtaW9sb2d5PC9rZXl3b3JkPjxrZXl3b3JkPkF1c3RyYWxpYS9lcGlkZW1pb2xvZ3k8
L2tleXdvcmQ+PGtleXdvcmQ+QnJhaW4gTmVvcGxhc21zLyplcGlkZW1pb2xvZ3k8L2tleXdvcmQ+
PGtleXdvcmQ+Q2FzZS1Db250cm9sIFN0dWRpZXM8L2tleXdvcmQ+PGtleXdvcmQ+Q2F1c2FsaXR5
PC9rZXl3b3JkPjxrZXl3b3JkPkNoaWxkPC9rZXl3b3JkPjxrZXl3b3JkPkNoaWxkLCBQcmVzY2hv
b2w8L2tleXdvcmQ+PGtleXdvcmQ+Q29mZmVlLyphZHZlcnNlIGVmZmVjdHM8L2tleXdvcmQ+PGtl
eXdvcmQ+RmVlZGluZyBCZWhhdmlvcjwva2V5d29yZD48a2V5d29yZD5GZW1hbGU8L2tleXdvcmQ+
PGtleXdvcmQ+SHVtYW5zPC9rZXl3b3JkPjxrZXl3b3JkPkluZmFudDwva2V5d29yZD48a2V5d29y
ZD5JbmZhbnQsIE5ld2Jvcm48L2tleXdvcmQ+PGtleXdvcmQ+TG9naXN0aWMgTW9kZWxzPC9rZXl3
b3JkPjxrZXl3b3JkPk1hbGU8L2tleXdvcmQ+PGtleXdvcmQ+T2RkcyBSYXRpbzwva2V5d29yZD48
a2V5d29yZD5QcmVnbmFuY3k8L2tleXdvcmQ+PGtleXdvcmQ+UHJlbmF0YWwgRXhwb3N1cmUgRGVs
YXllZCBFZmZlY3RzLypjaGVtaWNhbGx5IGluZHVjZWQvKmVwaWRlbWlvbG9neTwva2V5d29yZD48
a2V5d29yZD5SaXNrIEZhY3RvcnM8L2tleXdvcmQ+PGtleXdvcmQ+VGVhLyphZHZlcnNlIGVmZmVj
dHM8L2tleXdvcmQ+PC9rZXl3b3Jkcz48ZGF0ZXM+PHllYXI+MjAxNDwveWVhcj48cHViLWRhdGVz
PjxkYXRlPk9jdDwvZGF0ZT48L3B1Yi1kYXRlcz48L2RhdGVzPjxpc2JuPjE1NzMtNzIyNSAoRWxl
Y3Ryb25pYykmI3hEOzA5NTctNTI0MyAoTGlua2luZyk8L2lzYm4+PGFjY2Vzc2lvbi1udW0+MjUw
MzA1MDM8L2FjY2Vzc2lvbi1udW0+PHVybHM+PHJlbGF0ZWQtdXJscz48dXJsPmh0dHBzOi8vd3d3
Lm5jYmkubmxtLm5paC5nb3YvcHVibWVkLzI1MDMwNTAzPC91cmw+PC9yZWxhdGVkLXVybHM+PC91
cmxzPjxlbGVjdHJvbmljLXJlc291cmNlLW51bT4xMC4xMDA3L3MxMDU1Mi0wMTQtMDQzNy04PC9l
bGVjdHJvbmljLXJlc291cmNlLW51bT48L3JlY29yZD48L0NpdGU+PC9FbmROb3RlPn==
</w:fldData>
              </w:fldChar>
            </w:r>
            <w:r w:rsidR="002747EA">
              <w:instrText xml:space="preserve"> ADDIN EN.CITE </w:instrText>
            </w:r>
            <w:r w:rsidR="002747EA">
              <w:fldChar w:fldCharType="begin">
                <w:fldData xml:space="preserve">PEVuZE5vdGU+PENpdGU+PEF1dGhvcj5HcmVlbm9wPC9BdXRob3I+PFllYXI+MjAxNDwvWWVhcj48
UmVjTnVtPjE0MTg8L1JlY051bT48RGlzcGxheVRleHQ+PHN0eWxlIGZhY2U9InN1cGVyc2NyaXB0
IiBmb250PSJUcmVidWNoZXQgTVMiIHNpemU9IjkiPjEwOTwvc3R5bGU+PC9EaXNwbGF5VGV4dD48
cmVjb3JkPjxyZWMtbnVtYmVyPjE0MTg8L3JlYy1udW1iZXI+PGZvcmVpZ24ta2V5cz48a2V5IGFw
cD0iRU4iIGRiLWlkPSJleHZhc3JmeDJkdHJhb2VzYXN4cDJzenN4YTJkZjUwMjU5MngiIHRpbWVz
dGFtcD0iMTU2ODE3NDY5NSI+MTQxODwva2V5PjwvZm9yZWlnbi1rZXlzPjxyZWYtdHlwZSBuYW1l
PSJKb3VybmFsIEFydGljbGUiPjE3PC9yZWYtdHlwZT48Y29udHJpYnV0b3JzPjxhdXRob3JzPjxh
dXRob3I+R3JlZW5vcCwgSy4gUi48L2F1dGhvcj48YXV0aG9yPk1pbGxlciwgTS48L2F1dGhvcj48
YXV0aG9yPkF0dGlhLCBKLjwvYXV0aG9yPjxhdXRob3I+QXNodG9uLCBMLiBKLjwvYXV0aG9yPjxh
dXRob3I+Q29obiwgUi48L2F1dGhvcj48YXV0aG9yPkFybXN0cm9uZywgQi4gSy48L2F1dGhvcj48
YXV0aG9yPk1pbG5lLCBFLjwvYXV0aG9yPjwvYXV0aG9ycz48L2NvbnRyaWJ1dG9ycz48YXV0aC1h
ZGRyZXNzPlRlbGV0aG9uIEtpZHMgSW5zdGl0dXRlLCBVbml2ZXJzaXR5IG9mIFdlc3Rlcm4gQXVz
dHJhbGlhLCBQTyBCb3ggODU1LCBXZXN0IFBlcnRoLCBXQSwgNjg3MiwgQXVzdHJhbGlhLjwvYXV0
aC1hZGRyZXNzPjx0aXRsZXM+PHRpdGxlPk1hdGVybmFsIGNvbnN1bXB0aW9uIG9mIGNvZmZlZSBh
bmQgdGVhIGR1cmluZyBwcmVnbmFuY3kgYW5kIHJpc2sgb2YgY2hpbGRob29kIGJyYWluIHR1bW9y
czogcmVzdWx0cyBmcm9tIGFuIEF1c3RyYWxpYW4gY2FzZS1jb250cm9sIHN0dWR5PC90aXRsZT48
c2Vjb25kYXJ5LXRpdGxlPkNhbmNlciBDYXVzZXMgQ29udHJvbDwvc2Vjb25kYXJ5LXRpdGxlPjwv
dGl0bGVzPjxwZXJpb2RpY2FsPjxmdWxsLXRpdGxlPkNhbmNlciBDYXVzZXMgQ29udHJvbDwvZnVs
bC10aXRsZT48L3BlcmlvZGljYWw+PHBhZ2VzPjEzMjEtNzwvcGFnZXM+PHZvbHVtZT4yNTwvdm9s
dW1lPjxudW1iZXI+MTA8L251bWJlcj48ZWRpdGlvbj4yMDE0LzA3LzE4PC9lZGl0aW9uPjxrZXl3
b3Jkcz48a2V5d29yZD5BZG9sZXNjZW50PC9rZXl3b3JkPjxrZXl3b3JkPkFsY29ob2wgRHJpbmtp
bmcvZXBpZGVtaW9sb2d5PC9rZXl3b3JkPjxrZXl3b3JkPkF1c3RyYWxpYS9lcGlkZW1pb2xvZ3k8
L2tleXdvcmQ+PGtleXdvcmQ+QnJhaW4gTmVvcGxhc21zLyplcGlkZW1pb2xvZ3k8L2tleXdvcmQ+
PGtleXdvcmQ+Q2FzZS1Db250cm9sIFN0dWRpZXM8L2tleXdvcmQ+PGtleXdvcmQ+Q2F1c2FsaXR5
PC9rZXl3b3JkPjxrZXl3b3JkPkNoaWxkPC9rZXl3b3JkPjxrZXl3b3JkPkNoaWxkLCBQcmVzY2hv
b2w8L2tleXdvcmQ+PGtleXdvcmQ+Q29mZmVlLyphZHZlcnNlIGVmZmVjdHM8L2tleXdvcmQ+PGtl
eXdvcmQ+RmVlZGluZyBCZWhhdmlvcjwva2V5d29yZD48a2V5d29yZD5GZW1hbGU8L2tleXdvcmQ+
PGtleXdvcmQ+SHVtYW5zPC9rZXl3b3JkPjxrZXl3b3JkPkluZmFudDwva2V5d29yZD48a2V5d29y
ZD5JbmZhbnQsIE5ld2Jvcm48L2tleXdvcmQ+PGtleXdvcmQ+TG9naXN0aWMgTW9kZWxzPC9rZXl3
b3JkPjxrZXl3b3JkPk1hbGU8L2tleXdvcmQ+PGtleXdvcmQ+T2RkcyBSYXRpbzwva2V5d29yZD48
a2V5d29yZD5QcmVnbmFuY3k8L2tleXdvcmQ+PGtleXdvcmQ+UHJlbmF0YWwgRXhwb3N1cmUgRGVs
YXllZCBFZmZlY3RzLypjaGVtaWNhbGx5IGluZHVjZWQvKmVwaWRlbWlvbG9neTwva2V5d29yZD48
a2V5d29yZD5SaXNrIEZhY3RvcnM8L2tleXdvcmQ+PGtleXdvcmQ+VGVhLyphZHZlcnNlIGVmZmVj
dHM8L2tleXdvcmQ+PC9rZXl3b3Jkcz48ZGF0ZXM+PHllYXI+MjAxNDwveWVhcj48cHViLWRhdGVz
PjxkYXRlPk9jdDwvZGF0ZT48L3B1Yi1kYXRlcz48L2RhdGVzPjxpc2JuPjE1NzMtNzIyNSAoRWxl
Y3Ryb25pYykmI3hEOzA5NTctNTI0MyAoTGlua2luZyk8L2lzYm4+PGFjY2Vzc2lvbi1udW0+MjUw
MzA1MDM8L2FjY2Vzc2lvbi1udW0+PHVybHM+PHJlbGF0ZWQtdXJscz48dXJsPmh0dHBzOi8vd3d3
Lm5jYmkubmxtLm5paC5nb3YvcHVibWVkLzI1MDMwNTAzPC91cmw+PC9yZWxhdGVkLXVybHM+PC91
cmxzPjxlbGVjdHJvbmljLXJlc291cmNlLW51bT4xMC4xMDA3L3MxMDU1Mi0wMTQtMDQzNy04PC9l
bGVjdHJvbmljLXJlc291cmNlLW51bT48L3JlY29yZD48L0NpdGU+PC9FbmROb3RlPn==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109</w:t>
            </w:r>
            <w:r w:rsidR="00201490">
              <w:fldChar w:fldCharType="end"/>
            </w:r>
          </w:p>
          <w:p w14:paraId="3E86ECC6" w14:textId="77777777" w:rsidR="002E2AEF" w:rsidRDefault="002E2AEF" w:rsidP="00A67D54">
            <w:r>
              <w:t>Australia</w:t>
            </w:r>
          </w:p>
          <w:p w14:paraId="15B69C17" w14:textId="0E3E9A01" w:rsidR="002E2AEF" w:rsidRDefault="002E2AEF" w:rsidP="00A67D54">
            <w:r>
              <w:t>Case-control</w:t>
            </w:r>
          </w:p>
        </w:tc>
        <w:tc>
          <w:tcPr>
            <w:tcW w:w="1417" w:type="dxa"/>
          </w:tcPr>
          <w:p w14:paraId="3B4E2018" w14:textId="77777777" w:rsidR="00457F66" w:rsidRDefault="002E2AEF" w:rsidP="00A67D54">
            <w:r>
              <w:t>293 cases</w:t>
            </w:r>
          </w:p>
          <w:p w14:paraId="198ED222" w14:textId="007198F1" w:rsidR="002E2AEF" w:rsidRDefault="002E2AEF" w:rsidP="00A67D54">
            <w:r>
              <w:t>726 controls</w:t>
            </w:r>
          </w:p>
        </w:tc>
        <w:tc>
          <w:tcPr>
            <w:tcW w:w="4532" w:type="dxa"/>
          </w:tcPr>
          <w:p w14:paraId="13848D8D" w14:textId="6B1874C0" w:rsidR="002E2AEF" w:rsidRDefault="002E2AEF" w:rsidP="002E2AEF">
            <w:r w:rsidRPr="002E2AEF">
              <w:rPr>
                <w:b/>
              </w:rPr>
              <w:t>Aim</w:t>
            </w:r>
            <w:r>
              <w:t>: T</w:t>
            </w:r>
            <w:r w:rsidRPr="002E2AEF">
              <w:t xml:space="preserve">o investigate whether maternal coffee or tea consumption during pregnancy was associated with the risk of </w:t>
            </w:r>
            <w:r>
              <w:t>childhood brain tumours (CBTs)</w:t>
            </w:r>
            <w:r w:rsidRPr="002E2AEF">
              <w:t xml:space="preserve">. </w:t>
            </w:r>
          </w:p>
          <w:p w14:paraId="17202989" w14:textId="02E8BDA8" w:rsidR="00457F66" w:rsidRPr="009B34A3" w:rsidRDefault="002E2AEF" w:rsidP="002E2AEF">
            <w:pPr>
              <w:rPr>
                <w:b/>
              </w:rPr>
            </w:pPr>
            <w:r w:rsidRPr="002E2AEF">
              <w:rPr>
                <w:b/>
              </w:rPr>
              <w:t>Methods</w:t>
            </w:r>
            <w:r w:rsidRPr="002E2AEF">
              <w:t>: Case children were recruited from 10 p</w:t>
            </w:r>
            <w:r>
              <w:t>aediatric oncology centre</w:t>
            </w:r>
            <w:r w:rsidRPr="002E2AEF">
              <w:t xml:space="preserve">s and control children by nationwide random-digit </w:t>
            </w:r>
            <w:r w:rsidR="00501148" w:rsidRPr="002E2AEF">
              <w:t>dialling</w:t>
            </w:r>
            <w:r w:rsidRPr="002E2AEF">
              <w:t>, frequency matched to cases on the basis of age, sex and state of residence. Coffee and tea intake were assessed using a food frequency questionnaire. Odds ratios (ORs) and confidence intervals (CIs) were calculated using multivariable unconditional logistic regression.</w:t>
            </w:r>
          </w:p>
        </w:tc>
        <w:tc>
          <w:tcPr>
            <w:tcW w:w="4536" w:type="dxa"/>
          </w:tcPr>
          <w:p w14:paraId="484BC2B3" w14:textId="19D94715" w:rsidR="002E2AEF" w:rsidRDefault="002E2AEF" w:rsidP="002E2AEF">
            <w:r w:rsidRPr="002E2AEF">
              <w:t>There was little evidence of an association between gestational consumption of a</w:t>
            </w:r>
            <w:r>
              <w:t>ny coffee (OR 1.23, 95% CI 0.92 to</w:t>
            </w:r>
            <w:r w:rsidRPr="002E2AEF">
              <w:t xml:space="preserve"> 1.64) or tea (</w:t>
            </w:r>
            <w:r>
              <w:t>OR 1.00, 95% CI 0.74 to</w:t>
            </w:r>
            <w:r w:rsidRPr="002E2AEF">
              <w:t xml:space="preserve"> 1.36) and CBT risk. Among children aged under 5 years, the OR for any coffee consumption during </w:t>
            </w:r>
            <w:r>
              <w:t>pregnancy was 1.76 (95% CI 1.09 to</w:t>
            </w:r>
            <w:r w:rsidRPr="002E2AEF">
              <w:t xml:space="preserve"> 2.84) and for </w:t>
            </w:r>
            <w:r>
              <w:t>≥</w:t>
            </w:r>
            <w:r w:rsidRPr="002E2AEF">
              <w:t xml:space="preserve">2 cups per day during pregnancy was 2.52 (95% CI 1.26, 5.04). </w:t>
            </w:r>
          </w:p>
          <w:p w14:paraId="47E635AD" w14:textId="1D793029" w:rsidR="00457F66" w:rsidRPr="002E2AEF" w:rsidRDefault="002E2AEF" w:rsidP="002E2AEF">
            <w:r w:rsidRPr="002E2AEF">
              <w:t>There was no association between maternal tea drinking and risk of CBT.</w:t>
            </w:r>
          </w:p>
        </w:tc>
        <w:tc>
          <w:tcPr>
            <w:tcW w:w="1843" w:type="dxa"/>
          </w:tcPr>
          <w:p w14:paraId="65A5FD92" w14:textId="463CCC41" w:rsidR="00457F66" w:rsidRPr="00A67D54" w:rsidRDefault="00457F66" w:rsidP="00A67D54"/>
        </w:tc>
      </w:tr>
    </w:tbl>
    <w:p w14:paraId="5341C57A" w14:textId="61CE1F34" w:rsidR="00E61514" w:rsidRDefault="009C163D" w:rsidP="005719CE">
      <w:pPr>
        <w:pStyle w:val="TableName"/>
        <w:ind w:left="1134" w:hanging="1134"/>
      </w:pPr>
      <w:bookmarkStart w:id="71" w:name="_Toc40956611"/>
      <w:r>
        <w:t xml:space="preserve">Q2 </w:t>
      </w:r>
      <w:r w:rsidR="003B7F99">
        <w:t>Potential allergens</w:t>
      </w:r>
      <w:bookmarkEnd w:id="7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3: Q2 Potential allergens"/>
      </w:tblPr>
      <w:tblGrid>
        <w:gridCol w:w="1564"/>
        <w:gridCol w:w="1417"/>
        <w:gridCol w:w="4532"/>
        <w:gridCol w:w="4536"/>
        <w:gridCol w:w="1843"/>
      </w:tblGrid>
      <w:tr w:rsidR="00E61514" w:rsidRPr="00F350A6" w14:paraId="665D0987" w14:textId="77777777" w:rsidTr="00122B25">
        <w:trPr>
          <w:cantSplit/>
          <w:trHeight w:val="390"/>
          <w:tblHeader/>
        </w:trPr>
        <w:tc>
          <w:tcPr>
            <w:tcW w:w="1564" w:type="dxa"/>
          </w:tcPr>
          <w:p w14:paraId="1D41AB5F" w14:textId="77777777" w:rsidR="00E61514" w:rsidRPr="00F350A6" w:rsidRDefault="00E61514" w:rsidP="00122B25">
            <w:pPr>
              <w:keepNext/>
              <w:rPr>
                <w:b/>
              </w:rPr>
            </w:pPr>
            <w:r>
              <w:rPr>
                <w:b/>
              </w:rPr>
              <w:t>Study ref</w:t>
            </w:r>
          </w:p>
        </w:tc>
        <w:tc>
          <w:tcPr>
            <w:tcW w:w="1417" w:type="dxa"/>
          </w:tcPr>
          <w:p w14:paraId="7B580B03" w14:textId="77777777" w:rsidR="00E61514" w:rsidRPr="00F350A6" w:rsidRDefault="00E61514" w:rsidP="00122B25">
            <w:pPr>
              <w:keepNext/>
              <w:rPr>
                <w:b/>
              </w:rPr>
            </w:pPr>
            <w:r>
              <w:rPr>
                <w:b/>
              </w:rPr>
              <w:t>N</w:t>
            </w:r>
          </w:p>
        </w:tc>
        <w:tc>
          <w:tcPr>
            <w:tcW w:w="4532" w:type="dxa"/>
          </w:tcPr>
          <w:p w14:paraId="7BAB786F" w14:textId="77777777" w:rsidR="00E61514" w:rsidRPr="00F350A6" w:rsidRDefault="00E61514" w:rsidP="00122B25">
            <w:pPr>
              <w:keepNext/>
              <w:rPr>
                <w:b/>
              </w:rPr>
            </w:pPr>
            <w:r>
              <w:rPr>
                <w:b/>
              </w:rPr>
              <w:t>Aim/methods</w:t>
            </w:r>
          </w:p>
        </w:tc>
        <w:tc>
          <w:tcPr>
            <w:tcW w:w="4536" w:type="dxa"/>
          </w:tcPr>
          <w:p w14:paraId="7C382E63" w14:textId="77777777" w:rsidR="00E61514" w:rsidRPr="00F350A6" w:rsidRDefault="00E61514" w:rsidP="00122B25">
            <w:pPr>
              <w:keepNext/>
              <w:rPr>
                <w:b/>
              </w:rPr>
            </w:pPr>
            <w:r>
              <w:rPr>
                <w:b/>
              </w:rPr>
              <w:t>Results</w:t>
            </w:r>
          </w:p>
        </w:tc>
        <w:tc>
          <w:tcPr>
            <w:tcW w:w="1843" w:type="dxa"/>
          </w:tcPr>
          <w:p w14:paraId="125873BE" w14:textId="77777777" w:rsidR="00E61514" w:rsidRPr="00F350A6" w:rsidRDefault="00E61514" w:rsidP="00122B25">
            <w:pPr>
              <w:keepNext/>
              <w:rPr>
                <w:b/>
              </w:rPr>
            </w:pPr>
            <w:r>
              <w:rPr>
                <w:b/>
              </w:rPr>
              <w:t>Comments</w:t>
            </w:r>
          </w:p>
        </w:tc>
      </w:tr>
      <w:tr w:rsidR="00E61514" w:rsidRPr="00C17B92" w14:paraId="524E2848" w14:textId="77777777" w:rsidTr="00E27608">
        <w:trPr>
          <w:cantSplit/>
          <w:trHeight w:val="390"/>
        </w:trPr>
        <w:tc>
          <w:tcPr>
            <w:tcW w:w="1564" w:type="dxa"/>
          </w:tcPr>
          <w:p w14:paraId="1A436127" w14:textId="38687D1E" w:rsidR="00E61514" w:rsidRPr="00E61514" w:rsidRDefault="00E61514" w:rsidP="00122B25">
            <w:r>
              <w:t>Bunyavanich et al 2014</w:t>
            </w:r>
            <w:r w:rsidR="00767EBF">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 </w:instrText>
            </w:r>
            <w:r w:rsidR="002747EA">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EN.CITE.DATA </w:instrText>
            </w:r>
            <w:r w:rsidR="002747EA">
              <w:fldChar w:fldCharType="end"/>
            </w:r>
            <w:r w:rsidR="00767EBF">
              <w:fldChar w:fldCharType="separate"/>
            </w:r>
            <w:r w:rsidR="002747EA" w:rsidRPr="002747EA">
              <w:rPr>
                <w:noProof/>
                <w:vertAlign w:val="superscript"/>
              </w:rPr>
              <w:t>90</w:t>
            </w:r>
            <w:r w:rsidR="00767EBF">
              <w:fldChar w:fldCharType="end"/>
            </w:r>
          </w:p>
          <w:p w14:paraId="25F2D83B" w14:textId="77777777" w:rsidR="00E61514" w:rsidRDefault="00E61514" w:rsidP="00122B25">
            <w:r>
              <w:t>United States</w:t>
            </w:r>
          </w:p>
          <w:p w14:paraId="705E18B6" w14:textId="77777777" w:rsidR="00E61514" w:rsidRPr="00C17B92" w:rsidRDefault="00E61514" w:rsidP="00122B25">
            <w:r>
              <w:t>Cohort</w:t>
            </w:r>
          </w:p>
        </w:tc>
        <w:tc>
          <w:tcPr>
            <w:tcW w:w="1417" w:type="dxa"/>
          </w:tcPr>
          <w:p w14:paraId="64E6F0AE" w14:textId="77777777" w:rsidR="00E61514" w:rsidRPr="00C17B92" w:rsidRDefault="00E61514" w:rsidP="00122B25">
            <w:r>
              <w:t>1,227 mother-child pairs</w:t>
            </w:r>
          </w:p>
        </w:tc>
        <w:tc>
          <w:tcPr>
            <w:tcW w:w="4532" w:type="dxa"/>
          </w:tcPr>
          <w:p w14:paraId="0AAC3914" w14:textId="77777777" w:rsidR="00E61514" w:rsidRDefault="00E61514" w:rsidP="004E4762">
            <w:r w:rsidRPr="00E61514">
              <w:rPr>
                <w:b/>
              </w:rPr>
              <w:t>Aim</w:t>
            </w:r>
            <w:r>
              <w:t>: T</w:t>
            </w:r>
            <w:r w:rsidRPr="00E61514">
              <w:t xml:space="preserve">o examine the associations between maternal intake of common childhood food allergens during early pregnancy and childhood allergy and asthma. </w:t>
            </w:r>
          </w:p>
          <w:p w14:paraId="0C165D08" w14:textId="77777777" w:rsidR="00E61514" w:rsidRPr="00C17B92" w:rsidRDefault="00E61514" w:rsidP="004E4762">
            <w:r w:rsidRPr="00E61514">
              <w:rPr>
                <w:b/>
              </w:rPr>
              <w:t>Methods</w:t>
            </w:r>
            <w:r w:rsidRPr="00E61514">
              <w:t>: Using food frequency questionnaires administered during the first and second trimesters, we assessed maternal intake of common childhood food allergens during pregna</w:t>
            </w:r>
            <w:r>
              <w:t>ncy. In mid-childhood (mean age</w:t>
            </w:r>
            <w:r w:rsidRPr="00E61514">
              <w:t xml:space="preserve"> 7.9 years), we assessed food allergy, asthma, allergic rhinitis, and atopic dermatitis by questionnaire and serum-specific IgE levels. We examined the associations between maternal diet during pregnancy and childhood allergy and asthma. We also examined the cross-sectional associations between specific food allergies, asthma, and atopic conditions in mid-childhood. </w:t>
            </w:r>
          </w:p>
        </w:tc>
        <w:tc>
          <w:tcPr>
            <w:tcW w:w="4536" w:type="dxa"/>
          </w:tcPr>
          <w:p w14:paraId="25A2E551" w14:textId="69B3876D" w:rsidR="00E61514" w:rsidRPr="00E61514" w:rsidRDefault="00E61514" w:rsidP="004E4762">
            <w:r w:rsidRPr="00E61514">
              <w:t>Higher maternal wheat intake during the second trimester was associated wit</w:t>
            </w:r>
            <w:r>
              <w:t>h reduced atopic dermatitis (OR 0.64; 95%CI</w:t>
            </w:r>
            <w:r w:rsidRPr="00E61514">
              <w:t xml:space="preserve"> 0.46</w:t>
            </w:r>
            <w:r>
              <w:t xml:space="preserve"> to </w:t>
            </w:r>
            <w:r w:rsidRPr="00E61514">
              <w:t xml:space="preserve">0.90). </w:t>
            </w:r>
          </w:p>
        </w:tc>
        <w:tc>
          <w:tcPr>
            <w:tcW w:w="1843" w:type="dxa"/>
          </w:tcPr>
          <w:p w14:paraId="7544250C" w14:textId="424C9717" w:rsidR="00E61514" w:rsidRPr="00C17B92" w:rsidRDefault="00E61514" w:rsidP="00122B25"/>
        </w:tc>
      </w:tr>
      <w:tr w:rsidR="00C17B92" w:rsidRPr="00C17B92" w14:paraId="253340CA" w14:textId="77777777" w:rsidTr="00E27608">
        <w:trPr>
          <w:cantSplit/>
          <w:trHeight w:val="390"/>
        </w:trPr>
        <w:tc>
          <w:tcPr>
            <w:tcW w:w="1564" w:type="dxa"/>
          </w:tcPr>
          <w:p w14:paraId="6CD861B7" w14:textId="307E58FA" w:rsidR="00E61514" w:rsidRPr="00E61514" w:rsidRDefault="00E61514" w:rsidP="00E61514">
            <w:r>
              <w:t>Bunyavanich et al 2014</w:t>
            </w:r>
            <w:r w:rsidR="00767EBF">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 </w:instrText>
            </w:r>
            <w:r w:rsidR="002747EA">
              <w:fldChar w:fldCharType="begin">
                <w:fldData xml:space="preserve">PEVuZE5vdGU+PENpdGU+PEF1dGhvcj5CdW55YXZhbmljaDwvQXV0aG9yPjxZZWFyPjIwMTQ8L1ll
YXI+PFJlY051bT4xMzUxPC9SZWNOdW0+PERpc3BsYXlUZXh0PjxzdHlsZSBmYWNlPSJzdXBlcnNj
cmlwdCIgZm9udD0iVHJlYnVjaGV0IE1TIiBzaXplPSI5Ij45MDwvc3R5bGU+PC9EaXNwbGF5VGV4
dD48cmVjb3JkPjxyZWMtbnVtYmVyPjEzNTE8L3JlYy1udW1iZXI+PGZvcmVpZ24ta2V5cz48a2V5
IGFwcD0iRU4iIGRiLWlkPSJleHZhc3JmeDJkdHJhb2VzYXN4cDJzenN4YTJkZjUwMjU5MngiIHRp
bWVzdGFtcD0iMTU2NzAzMTAxMSI+MTM1MTwva2V5PjxrZXkgYXBwPSJFTldlYiIgZGItaWQ9IiI+
MDwva2V5PjwvZm9yZWlnbi1rZXlzPjxyZWYtdHlwZSBuYW1lPSJKb3VybmFsIEFydGljbGUiPjE3
PC9yZWYtdHlwZT48Y29udHJpYnV0b3JzPjxhdXRob3JzPjxhdXRob3I+QnVueWF2YW5pY2gsIFMu
PC9hdXRob3I+PGF1dGhvcj5SaWZhcy1TaGltYW4sIFMuIEwuPC9hdXRob3I+PGF1dGhvcj5QbGF0
dHMtTWlsbHMsIFQuIEEuPC9hdXRob3I+PGF1dGhvcj5Xb3JrbWFuLCBMLjwvYXV0aG9yPjxhdXRo
b3I+U29yZGlsbG8sIEouIEUuPC9hdXRob3I+PGF1dGhvcj5DYW1hcmdvLCBDLiBBLiwgSnIuPC9h
dXRob3I+PGF1dGhvcj5HaWxsbWFuLCBNLiBXLjwvYXV0aG9yPjxhdXRob3I+R29sZCwgRC4gUi48
L2F1dGhvcj48YXV0aG9yPkxpdG9uanVhLCBBLiBBLjwvYXV0aG9yPjwvYXV0aG9ycz48L2NvbnRy
aWJ1dG9ycz48YXV0aC1hZGRyZXNzPkRpdmlzaW9uIG9mIFBlZGlhdHJpYyBBbGxlcmd5IGFuZCBJ
bW11bm9sb2d5LCBEZXBhcnRtZW50IG9mIFBlZGlhdHJpY3MsIEljYWhuIFNjaG9vbCBvZiBNZWRp
Y2luZSBhdCBNb3VudCBTaW5haSwgTmV3IFlvcmssIE5ZOyBEZXBhcnRtZW50IG9mIEdlbmV0aWNz
IGFuZCBHZW5vbWljIFNjaWVuY2VzLCBJY2FobiBTY2hvb2wgb2YgTWVkaWNpbmUgYXQgTW91bnQg
U2luYWksIE5ldyBZb3JrLCBOWTsgTWluZGljaCBDaGlsZCBIZWFsdGggYW5kIERldmVsb3BtZW50
IEluc3RpdHV0ZSwgSWNhaG4gU2Nob29sIG9mIE1lZGljaW5lIGF0IE1vdW50IFNpbmFpLCBOZXcg
WW9yaywgTlkuIEVsZWN0cm9uaWMgYWRkcmVzczogc3VwaW5kYUBwb3N0LmhhcnZhcmQuZWR1LiYj
eEQ7RGVwYXJ0bWVudCBvZiBQb3B1bGF0aW9uIE1lZGljaW5lLCBIYXJ2YXJkIFBpbGdyaW0gSGVh
bHRoIENhcmUgSW5zdGl0dXRlLCBCb3N0b24sIE1hc3M7IEhhcnZhcmQgTWVkaWNhbCBTY2hvb2ws
IEJvc3RvbiwgTWFzcy4mI3hEO0FzdGhtYSBhbmQgQWxsZXJnaWMgRGlzZWFzZXMgQ2VudGVyLCBV
bml2ZXJzaXR5IG9mIFZpcmdpbmlhIEhlYWx0aCBTeXN0ZW0sIENoYXJsb3R0ZXN2aWxsZSwgVmEu
JiN4RDtIYXJ2YXJkIE1lZGljYWwgU2Nob29sLCBCb3N0b24sIE1hc3M7IENoYW5uaW5nIERpdmlz
aW9uIG9mIE5ldHdvcmsgTWVkaWNpbmUsIERlcGFydG1lbnQgb2YgTWVkaWNpbmUsIEJyaWdoYW0g
YW5kIFdvbWVuJmFwb3M7cyBIb3NwaXRhbCwgQm9zdG9uLCBNYXNzLiYjeEQ7SGFydmFyZCBNZWRp
Y2FsIFNjaG9vbCwgQm9zdG9uLCBNYXNzOyBDaGFubmluZyBEaXZpc2lvbiBvZiBOZXR3b3JrIE1l
ZGljaW5lLCBEZXBhcnRtZW50IG9mIE1lZGljaW5lLCBCcmlnaGFtIGFuZCBXb21lbiZhcG9zO3Mg
SG9zcGl0YWwsIEJvc3RvbiwgTWFzczsgRGVwYXJ0bWVudCBvZiBFbWVyZ2VuY3kgTWVkaWNpbmUs
IE1hc3NhY2h1c2V0dHMgR2VuZXJhbCBIb3NwaXRhbCwgQm9zdG9uLCBNYXNzLiYjeEQ7SGFydmFy
ZCBNZWRpY2FsIFNjaG9vbCwgQm9zdG9uLCBNYXNzOyBDaGFubmluZyBEaXZpc2lvbiBvZiBOZXR3
b3JrIE1lZGljaW5lLCBEZXBhcnRtZW50IG9mIE1lZGljaW5lLCBCcmlnaGFtIGFuZCBXb21lbiZh
cG9zO3MgSG9zcGl0YWwsIEJvc3RvbiwgTWFzczsgRGl2aXNpb24gb2YgUHVsbW9uYXJ5IGFuZCBD
cml0aWNhbCBDYXJlIE1lZGljaW5lLCBEZXBhcnRtZW50IG9mIE1lZGljaW5lLCBCcmlnaGFtIGFu
ZCBXb21lbiZhcG9zO3MgSG9zcGl0YWwsIEJvc3RvbiwgTWFzcy48L2F1dGgtYWRkcmVzcz48dGl0
bGVzPjx0aXRsZT5QZWFudXQsIG1pbGssIGFuZCB3aGVhdCBpbnRha2UgZHVyaW5nIHByZWduYW5j
eSBpcyBhc3NvY2lhdGVkIHdpdGggcmVkdWNlZCBhbGxlcmd5IGFuZCBhc3RobWEgaW4gY2hpbGRy
ZW48L3RpdGxlPjxzZWNvbmRhcnktdGl0bGU+SiBBbGxlcmd5IENsaW4gSW1tdW5vbDwvc2Vjb25k
YXJ5LXRpdGxlPjwvdGl0bGVzPjxwZXJpb2RpY2FsPjxmdWxsLXRpdGxlPkogQWxsZXJneSBDbGlu
IEltbXVub2w8L2Z1bGwtdGl0bGU+PC9wZXJpb2RpY2FsPjxwYWdlcz4xMzczLTgyPC9wYWdlcz48
dm9sdW1lPjEzMzwvdm9sdW1lPjxudW1iZXI+NTwvbnVtYmVyPjxlZGl0aW9uPjIwMTQvMDIvMTQ8
L2VkaXRpb24+PGtleXdvcmRzPjxrZXl3b3JkPkFkdWx0PC9rZXl3b3JkPjxrZXl3b3JkPkFuaW1h
bHM8L2tleXdvcmQ+PGtleXdvcmQ+KkFyYWNoaXM8L2tleXdvcmQ+PGtleXdvcmQ+Q2hpbGQ8L2tl
eXdvcmQ+PGtleXdvcmQ+RmVtYWxlPC9rZXl3b3JkPjxrZXl3b3JkPkZvbGxvdy1VcCBTdHVkaWVz
PC9rZXl3b3JkPjxrZXl3b3JkPkh1bWFuczwva2V5d29yZD48a2V5d29yZD5IeXBlcnNlbnNpdGl2
aXR5L2Jsb29kLyplcGlkZW1pb2xvZ3k8L2tleXdvcmQ+PGtleXdvcmQ+SW1tdW5vZ2xvYnVsaW4g
RS9ibG9vZDwva2V5d29yZD48a2V5d29yZD5NYWxlPC9rZXl3b3JkPjxrZXl3b3JkPipNaWxrPC9r
ZXl3b3JkPjxrZXl3b3JkPlByZWduYW5jeTwva2V5d29yZD48a2V5d29yZD5QcmVnbmFuY3kgQ29t
cGxpY2F0aW9ucy9ibG9vZC8qZXBpZGVtaW9sb2d5PC9rZXl3b3JkPjxrZXl3b3JkPlJldHJvc3Bl
Y3RpdmUgU3R1ZGllczwva2V5d29yZD48a2V5d29yZD5TdXJ2ZXlzIGFuZCBRdWVzdGlvbm5haXJl
czwva2V5d29yZD48a2V5d29yZD4qVHJpdGljdW08L2tleXdvcmQ+PGtleXdvcmQ+TWF0ZXJuYWwg
ZGlldDwva2V5d29yZD48a2V5d29yZD5hbGxlcmdpYyByaGluaXRpczwva2V5d29yZD48a2V5d29y
ZD5hc3RobWE8L2tleXdvcmQ+PGtleXdvcmQ+Y2hpbGRob29kPC9rZXl3b3JkPjxrZXl3b3JkPmZv
b2QgYWxsZXJneTwva2V5d29yZD48a2V5d29yZD5taWxrPC9rZXl3b3JkPjxrZXl3b3JkPnBlYW51
dDwva2V5d29yZD48a2V5d29yZD5zZW5zaXRpemF0aW9uPC9rZXl3b3JkPjxrZXl3b3JkPndoZWF0
PC9rZXl3b3JkPjwva2V5d29yZHM+PGRhdGVzPjx5ZWFyPjIwMTQ8L3llYXI+PHB1Yi1kYXRlcz48
ZGF0ZT5NYXk8L2RhdGU+PC9wdWItZGF0ZXM+PC9kYXRlcz48aXNibj4xMDk3LTY4MjUgKEVsZWN0
cm9uaWMpJiN4RDswMDkxLTY3NDkgKExpbmtpbmcpPC9pc2JuPjxhY2Nlc3Npb24tbnVtPjI0NTIy
MDk0PC9hY2Nlc3Npb24tbnVtPjx1cmxzPjxyZWxhdGVkLXVybHM+PHVybD5odHRwczovL3d3dy5u
Y2JpLm5sbS5uaWguZ292L3B1Ym1lZC8yNDUyMjA5NDwvdXJsPjwvcmVsYXRlZC11cmxzPjwvdXJs
cz48Y3VzdG9tMj5QTUM0MDA0NzEwPC9jdXN0b20yPjxlbGVjdHJvbmljLXJlc291cmNlLW51bT4x
MC4xMDE2L2ouamFjaS4yMDEzLjExLjA0MDwvZWxlY3Ryb25pYy1yZXNvdXJjZS1udW0+PC9yZWNv
cmQ+PC9DaXRlPjwvRW5kTm90ZT4A
</w:fldData>
              </w:fldChar>
            </w:r>
            <w:r w:rsidR="002747EA">
              <w:instrText xml:space="preserve"> ADDIN EN.CITE.DATA </w:instrText>
            </w:r>
            <w:r w:rsidR="002747EA">
              <w:fldChar w:fldCharType="end"/>
            </w:r>
            <w:r w:rsidR="00767EBF">
              <w:fldChar w:fldCharType="separate"/>
            </w:r>
            <w:r w:rsidR="002747EA" w:rsidRPr="002747EA">
              <w:rPr>
                <w:noProof/>
                <w:vertAlign w:val="superscript"/>
              </w:rPr>
              <w:t>90</w:t>
            </w:r>
            <w:r w:rsidR="00767EBF">
              <w:fldChar w:fldCharType="end"/>
            </w:r>
          </w:p>
          <w:p w14:paraId="5CF5453A" w14:textId="486D9A43" w:rsidR="00C17B92" w:rsidRDefault="00E61514" w:rsidP="00C17B92">
            <w:r>
              <w:t>United States</w:t>
            </w:r>
          </w:p>
          <w:p w14:paraId="376825D6" w14:textId="2FC3CE2A" w:rsidR="00E61514" w:rsidRPr="00C17B92" w:rsidRDefault="00E61514" w:rsidP="00C17B92">
            <w:r>
              <w:t>Cohort</w:t>
            </w:r>
          </w:p>
        </w:tc>
        <w:tc>
          <w:tcPr>
            <w:tcW w:w="1417" w:type="dxa"/>
          </w:tcPr>
          <w:p w14:paraId="3180589C" w14:textId="26671DF7" w:rsidR="00C17B92" w:rsidRPr="00C17B92" w:rsidRDefault="00E61514" w:rsidP="00C17B92">
            <w:r>
              <w:t>1,227 mother-child pairs</w:t>
            </w:r>
          </w:p>
        </w:tc>
        <w:tc>
          <w:tcPr>
            <w:tcW w:w="4532" w:type="dxa"/>
          </w:tcPr>
          <w:p w14:paraId="09377531" w14:textId="77777777" w:rsidR="00E61514" w:rsidRDefault="00E61514" w:rsidP="004E4762">
            <w:r w:rsidRPr="00E61514">
              <w:rPr>
                <w:b/>
              </w:rPr>
              <w:t>Aim</w:t>
            </w:r>
            <w:r>
              <w:t>: T</w:t>
            </w:r>
            <w:r w:rsidRPr="00E61514">
              <w:t xml:space="preserve">o examine the associations between maternal intake of common childhood food allergens during early pregnancy and childhood allergy and asthma. </w:t>
            </w:r>
          </w:p>
          <w:p w14:paraId="23D438A8" w14:textId="51E8A7C5" w:rsidR="00C17B92" w:rsidRPr="00C17B92" w:rsidRDefault="00E61514" w:rsidP="004E4762">
            <w:r w:rsidRPr="00E61514">
              <w:rPr>
                <w:b/>
              </w:rPr>
              <w:t>Methods</w:t>
            </w:r>
            <w:r w:rsidRPr="00E61514">
              <w:t>: Using food frequency questionnaires administered during the first and second trimesters, we assessed maternal intake of common childhood food allergens during pregna</w:t>
            </w:r>
            <w:r>
              <w:t>ncy. In mid-childhood (mean age</w:t>
            </w:r>
            <w:r w:rsidRPr="00E61514">
              <w:t xml:space="preserve"> 7.9 years), we assessed food allergy, asthma, allergic rhinitis, and atopic dermatitis by questionnaire and serum-specific IgE levels. We examined the associations between maternal diet during pregnancy and childhood allergy and asthma. We also examined the cross-sectional associations between specific food allergies, asthma, and atopic conditions in mid-childhood. </w:t>
            </w:r>
          </w:p>
        </w:tc>
        <w:tc>
          <w:tcPr>
            <w:tcW w:w="4536" w:type="dxa"/>
          </w:tcPr>
          <w:p w14:paraId="1F8E52A9" w14:textId="0F9BBAF6" w:rsidR="00C17B92" w:rsidRPr="00E61514" w:rsidRDefault="00E61514" w:rsidP="004E4762">
            <w:r w:rsidRPr="00E61514">
              <w:t>Higher maternal peanut intake (each additional z score) during the first trimester was associated with 47% reduced odds of peanut allergic reaction (</w:t>
            </w:r>
            <w:r>
              <w:t>OR 0.53; 95%CI</w:t>
            </w:r>
            <w:r w:rsidRPr="00E61514">
              <w:t xml:space="preserve"> 0.30</w:t>
            </w:r>
            <w:r>
              <w:t xml:space="preserve"> to </w:t>
            </w:r>
            <w:r w:rsidRPr="00E61514">
              <w:t xml:space="preserve">0.94).  </w:t>
            </w:r>
          </w:p>
        </w:tc>
        <w:tc>
          <w:tcPr>
            <w:tcW w:w="1843" w:type="dxa"/>
          </w:tcPr>
          <w:p w14:paraId="3205D7C4" w14:textId="52F2A90F" w:rsidR="00C17B92" w:rsidRPr="00C17B92" w:rsidRDefault="00C17B92" w:rsidP="00C17B92"/>
        </w:tc>
      </w:tr>
      <w:tr w:rsidR="00E61514" w:rsidRPr="00C17B92" w14:paraId="7CFA8830" w14:textId="77777777" w:rsidTr="00E27608">
        <w:trPr>
          <w:cantSplit/>
          <w:trHeight w:val="390"/>
        </w:trPr>
        <w:tc>
          <w:tcPr>
            <w:tcW w:w="1564" w:type="dxa"/>
          </w:tcPr>
          <w:p w14:paraId="630E7EC9" w14:textId="1BB3AFB5" w:rsidR="00E61514" w:rsidRDefault="00E61514" w:rsidP="00E61514">
            <w:r>
              <w:t>Frazier et al 2014</w:t>
            </w:r>
            <w:r w:rsidR="00767EBF">
              <w:fldChar w:fldCharType="begin">
                <w:fldData xml:space="preserve">PEVuZE5vdGU+PENpdGU+PEF1dGhvcj5GcmF6aWVyPC9BdXRob3I+PFllYXI+MjAxNDwvWWVhcj48
UmVjTnVtPjE0MTY8L1JlY051bT48RGlzcGxheVRleHQ+PHN0eWxlIGZhY2U9InN1cGVyc2NyaXB0
IiBmb250PSJUcmVidWNoZXQgTVMiIHNpemU9IjkiPjExMTwvc3R5bGU+PC9EaXNwbGF5VGV4dD48
cmVjb3JkPjxyZWMtbnVtYmVyPjE0MTY8L3JlYy1udW1iZXI+PGZvcmVpZ24ta2V5cz48a2V5IGFw
cD0iRU4iIGRiLWlkPSJleHZhc3JmeDJkdHJhb2VzYXN4cDJzenN4YTJkZjUwMjU5MngiIHRpbWVz
dGFtcD0iMTU2ODE3MDc5MiI+MTQxNjwva2V5PjxrZXkgYXBwPSJFTldlYiIgZGItaWQ9IiI+MDwv
a2V5PjwvZm9yZWlnbi1rZXlzPjxyZWYtdHlwZSBuYW1lPSJKb3VybmFsIEFydGljbGUiPjE3PC9y
ZWYtdHlwZT48Y29udHJpYnV0b3JzPjxhdXRob3JzPjxhdXRob3I+RnJhemllciwgQS4gTC48L2F1
dGhvcj48YXV0aG9yPkNhbWFyZ28sIEMuIEEuLCBKci48L2F1dGhvcj48YXV0aG9yPk1hbHNwZWlz
LCBTLjwvYXV0aG9yPjxhdXRob3I+V2lsbGV0dCwgVy4gQy48L2F1dGhvcj48YXV0aG9yPllvdW5n
LCBNLiBDLjwvYXV0aG9yPjwvYXV0aG9ycz48L2NvbnRyaWJ1dG9ycz48YXV0aC1hZGRyZXNzPkRl
cGFydG1lbnQgb2YgUGVkaWF0cmljIE9uY29sb2d5LCBEYW5hLUZhcmJlciBDaGlsZHJlbiZhcG9z
O3MgQ2FuY2VyIENlbnRlciwgQm9zdG9uLCBNYXNzYWNodXNldHRzMkNoYW5uaW5nIERpdmlzaW9u
IG9mIE5ldHdvcmsgTWVkaWNpbmUsIERlcGFydG1lbnQgb2YgTWVkaWNpbmUsIEJyaWdoYW0gYW5k
IFdvbWVuJmFwb3M7cyBIb3NwaXRhbCBhbmQgSGFydmFyZCBNZWRpY2FsIFNjaG9vbCwgQm9zdG9u
LCBNYXNzYWNodXNldHRzLiYjeEQ7Q2hhbm5pbmcgRGl2aXNpb24gb2YgTmV0d29yayBNZWRpY2lu
ZSwgRGVwYXJ0bWVudCBvZiBNZWRpY2luZSwgQnJpZ2hhbSBhbmQgV29tZW4mYXBvcztzIEhvc3Bp
dGFsIGFuZCBIYXJ2YXJkIE1lZGljYWwgU2Nob29sLCBCb3N0b24sIE1hc3NhY2h1c2V0dHMzRGVw
YXJ0bWVudCBvZiBFbWVyZ2VuY3kgTWVkaWNpbmUsIE1hc3NhY2h1c2V0dHMgR2VuZXJhbCBIb3Nw
aXRhbCwgQm9zdG9uNERlcGFydG1lbnQgb2YgRXBpZGVtaW9sb2d5LCBIYXJ2YXJkIFNjaG8uJiN4
RDtDaGFubmluZyBEaXZpc2lvbiBvZiBOZXR3b3JrIE1lZGljaW5lLCBEZXBhcnRtZW50IG9mIE1l
ZGljaW5lLCBCcmlnaGFtIGFuZCBXb21lbiZhcG9zO3MgSG9zcGl0YWwgYW5kIEhhcnZhcmQgTWVk
aWNhbCBTY2hvb2wsIEJvc3RvbiwgTWFzc2FjaHVzZXR0cy4mI3hEO0RlcGFydG1lbnQgb2YgRXBp
ZGVtaW9sb2d5LCBIYXJ2YXJkIFNjaG9vbCBvZiBQdWJsaWMgSGVhbHRoLCBCb3N0b24sIE1hc3Nh
Y2h1c2V0dHM1RGVwYXJ0bWVudCBvZiBOdXRyaXRpb24sIEhhcnZhcmQgU2Nob29sIG9mIFB1Ymxp
YyBIZWFsdGgsIEJvc3RvbiwgTWFzc2FjaHVzZXR0czZEaXZpc2lvbiBvZiBHYXN0cm9lbnRlcm9s
b2d5IGFuZCBOdXRyaXRpb24sIEJvc3RvbiBDaGlsZHJlbiZhcG9zO3MgSG9zcGl0YWwsIEJvc3Rv
biwgTWFzc2FjaHVzZXR0LiYjeEQ7RGVwYXJ0bWVudCBvZiBNZWRpY2luZSwgQm9zdG9uIENoaWxk
cmVuJmFwb3M7cyBIb3NwaXRhbCwgQm9zdG9uLCBNYXNzYWNodXNldHRzLjwvYXV0aC1hZGRyZXNz
Pjx0aXRsZXM+PHRpdGxlPlByb3NwZWN0aXZlIHN0dWR5IG9mIHBlcmlwcmVnbmFuY3kgY29uc3Vt
cHRpb24gb2YgcGVhbnV0cyBvciB0cmVlIG51dHMgYnkgbW90aGVycyBhbmQgdGhlIHJpc2sgb2Yg
cGVhbnV0IG9yIHRyZWUgbnV0IGFsbGVyZ3kgaW4gdGhlaXIgb2Zmc3ByaW5nPC90aXRsZT48c2Vj
b25kYXJ5LXRpdGxlPkpBTUEgUGVkaWF0cjwvc2Vjb25kYXJ5LXRpdGxlPjwvdGl0bGVzPjxwZXJp
b2RpY2FsPjxmdWxsLXRpdGxlPkpBTUEgUGVkaWF0cjwvZnVsbC10aXRsZT48L3BlcmlvZGljYWw+
PHBhZ2VzPjE1Ni02MjwvcGFnZXM+PHZvbHVtZT4xNjg8L3ZvbHVtZT48bnVtYmVyPjI8L251bWJl
cj48ZWRpdGlvbj4yMDEzLzEyLzI1PC9lZGl0aW9uPjxrZXl3b3Jkcz48a2V5d29yZD5BZG9sZXNj
ZW50PC9rZXl3b3JkPjxrZXl3b3JkPkFkdWx0PC9rZXl3b3JkPjxrZXl3b3JkPipBcmFjaGlzPC9r
ZXl3b3JkPjxrZXl3b3JkPkNoaWxkPC9rZXl3b3JkPjxrZXl3b3JkPkRpZXQ8L2tleXdvcmQ+PGtl
eXdvcmQ+RmVtYWxlPC9rZXl3b3JkPjxrZXl3b3JkPkh1bWFuczwva2V5d29yZD48a2V5d29yZD5N
YWxlPC9rZXl3b3JkPjxrZXl3b3JkPipNYXRlcm5hbCBOdXRyaXRpb25hbCBQaHlzaW9sb2dpY2Fs
IFBoZW5vbWVuYTwva2V5d29yZD48a2V5d29yZD5OdXQgSHlwZXJzZW5zaXRpdml0eS8qZXBpZGVt
aW9sb2d5PC9rZXl3b3JkPjxrZXl3b3JkPipOdXRzPC9rZXl3b3JkPjxrZXl3b3JkPlBlYW51dCBI
eXBlcnNlbnNpdGl2aXR5LyplcGlkZW1pb2xvZ3k8L2tleXdvcmQ+PGtleXdvcmQ+UHJlZ25hbmN5
PC9rZXl3b3JkPjxrZXl3b3JkPlByb3NwZWN0aXZlIFN0dWRpZXM8L2tleXdvcmQ+PGtleXdvcmQ+
VW5pdGVkIFN0YXRlcy9lcGlkZW1pb2xvZ3k8L2tleXdvcmQ+PC9rZXl3b3Jkcz48ZGF0ZXM+PHll
YXI+MjAxNDwveWVhcj48cHViLWRhdGVzPjxkYXRlPkZlYjwvZGF0ZT48L3B1Yi1kYXRlcz48L2Rh
dGVzPjxpc2JuPjIxNjgtNjIxMSAoRWxlY3Ryb25pYykmI3hEOzIxNjgtNjIwMyAoTGlua2luZyk8
L2lzYm4+PGFjY2Vzc2lvbi1udW0+MjQzNjY1Mzk8L2FjY2Vzc2lvbi1udW0+PHVybHM+PHJlbGF0
ZWQtdXJscz48dXJsPmh0dHBzOi8vd3d3Lm5jYmkubmxtLm5paC5nb3YvcHVibWVkLzI0MzY2NTM5
PC91cmw+PC9yZWxhdGVkLXVybHM+PC91cmxzPjxlbGVjdHJvbmljLXJlc291cmNlLW51bT4xMC4x
MDAxL2phbWFwZWRpYXRyaWNzLjIwMTMuNDEzOTwvZWxlY3Ryb25pYy1yZXNvdXJjZS1udW0+PC9y
ZWNvcmQ+PC9DaXRlPjwvRW5kTm90ZT5=
</w:fldData>
              </w:fldChar>
            </w:r>
            <w:r w:rsidR="002747EA">
              <w:instrText xml:space="preserve"> ADDIN EN.CITE </w:instrText>
            </w:r>
            <w:r w:rsidR="002747EA">
              <w:fldChar w:fldCharType="begin">
                <w:fldData xml:space="preserve">PEVuZE5vdGU+PENpdGU+PEF1dGhvcj5GcmF6aWVyPC9BdXRob3I+PFllYXI+MjAxNDwvWWVhcj48
UmVjTnVtPjE0MTY8L1JlY051bT48RGlzcGxheVRleHQ+PHN0eWxlIGZhY2U9InN1cGVyc2NyaXB0
IiBmb250PSJUcmVidWNoZXQgTVMiIHNpemU9IjkiPjExMTwvc3R5bGU+PC9EaXNwbGF5VGV4dD48
cmVjb3JkPjxyZWMtbnVtYmVyPjE0MTY8L3JlYy1udW1iZXI+PGZvcmVpZ24ta2V5cz48a2V5IGFw
cD0iRU4iIGRiLWlkPSJleHZhc3JmeDJkdHJhb2VzYXN4cDJzenN4YTJkZjUwMjU5MngiIHRpbWVz
dGFtcD0iMTU2ODE3MDc5MiI+MTQxNjwva2V5PjxrZXkgYXBwPSJFTldlYiIgZGItaWQ9IiI+MDwv
a2V5PjwvZm9yZWlnbi1rZXlzPjxyZWYtdHlwZSBuYW1lPSJKb3VybmFsIEFydGljbGUiPjE3PC9y
ZWYtdHlwZT48Y29udHJpYnV0b3JzPjxhdXRob3JzPjxhdXRob3I+RnJhemllciwgQS4gTC48L2F1
dGhvcj48YXV0aG9yPkNhbWFyZ28sIEMuIEEuLCBKci48L2F1dGhvcj48YXV0aG9yPk1hbHNwZWlz
LCBTLjwvYXV0aG9yPjxhdXRob3I+V2lsbGV0dCwgVy4gQy48L2F1dGhvcj48YXV0aG9yPllvdW5n
LCBNLiBDLjwvYXV0aG9yPjwvYXV0aG9ycz48L2NvbnRyaWJ1dG9ycz48YXV0aC1hZGRyZXNzPkRl
cGFydG1lbnQgb2YgUGVkaWF0cmljIE9uY29sb2d5LCBEYW5hLUZhcmJlciBDaGlsZHJlbiZhcG9z
O3MgQ2FuY2VyIENlbnRlciwgQm9zdG9uLCBNYXNzYWNodXNldHRzMkNoYW5uaW5nIERpdmlzaW9u
IG9mIE5ldHdvcmsgTWVkaWNpbmUsIERlcGFydG1lbnQgb2YgTWVkaWNpbmUsIEJyaWdoYW0gYW5k
IFdvbWVuJmFwb3M7cyBIb3NwaXRhbCBhbmQgSGFydmFyZCBNZWRpY2FsIFNjaG9vbCwgQm9zdG9u
LCBNYXNzYWNodXNldHRzLiYjeEQ7Q2hhbm5pbmcgRGl2aXNpb24gb2YgTmV0d29yayBNZWRpY2lu
ZSwgRGVwYXJ0bWVudCBvZiBNZWRpY2luZSwgQnJpZ2hhbSBhbmQgV29tZW4mYXBvcztzIEhvc3Bp
dGFsIGFuZCBIYXJ2YXJkIE1lZGljYWwgU2Nob29sLCBCb3N0b24sIE1hc3NhY2h1c2V0dHMzRGVw
YXJ0bWVudCBvZiBFbWVyZ2VuY3kgTWVkaWNpbmUsIE1hc3NhY2h1c2V0dHMgR2VuZXJhbCBIb3Nw
aXRhbCwgQm9zdG9uNERlcGFydG1lbnQgb2YgRXBpZGVtaW9sb2d5LCBIYXJ2YXJkIFNjaG8uJiN4
RDtDaGFubmluZyBEaXZpc2lvbiBvZiBOZXR3b3JrIE1lZGljaW5lLCBEZXBhcnRtZW50IG9mIE1l
ZGljaW5lLCBCcmlnaGFtIGFuZCBXb21lbiZhcG9zO3MgSG9zcGl0YWwgYW5kIEhhcnZhcmQgTWVk
aWNhbCBTY2hvb2wsIEJvc3RvbiwgTWFzc2FjaHVzZXR0cy4mI3hEO0RlcGFydG1lbnQgb2YgRXBp
ZGVtaW9sb2d5LCBIYXJ2YXJkIFNjaG9vbCBvZiBQdWJsaWMgSGVhbHRoLCBCb3N0b24sIE1hc3Nh
Y2h1c2V0dHM1RGVwYXJ0bWVudCBvZiBOdXRyaXRpb24sIEhhcnZhcmQgU2Nob29sIG9mIFB1Ymxp
YyBIZWFsdGgsIEJvc3RvbiwgTWFzc2FjaHVzZXR0czZEaXZpc2lvbiBvZiBHYXN0cm9lbnRlcm9s
b2d5IGFuZCBOdXRyaXRpb24sIEJvc3RvbiBDaGlsZHJlbiZhcG9zO3MgSG9zcGl0YWwsIEJvc3Rv
biwgTWFzc2FjaHVzZXR0LiYjeEQ7RGVwYXJ0bWVudCBvZiBNZWRpY2luZSwgQm9zdG9uIENoaWxk
cmVuJmFwb3M7cyBIb3NwaXRhbCwgQm9zdG9uLCBNYXNzYWNodXNldHRzLjwvYXV0aC1hZGRyZXNz
Pjx0aXRsZXM+PHRpdGxlPlByb3NwZWN0aXZlIHN0dWR5IG9mIHBlcmlwcmVnbmFuY3kgY29uc3Vt
cHRpb24gb2YgcGVhbnV0cyBvciB0cmVlIG51dHMgYnkgbW90aGVycyBhbmQgdGhlIHJpc2sgb2Yg
cGVhbnV0IG9yIHRyZWUgbnV0IGFsbGVyZ3kgaW4gdGhlaXIgb2Zmc3ByaW5nPC90aXRsZT48c2Vj
b25kYXJ5LXRpdGxlPkpBTUEgUGVkaWF0cjwvc2Vjb25kYXJ5LXRpdGxlPjwvdGl0bGVzPjxwZXJp
b2RpY2FsPjxmdWxsLXRpdGxlPkpBTUEgUGVkaWF0cjwvZnVsbC10aXRsZT48L3BlcmlvZGljYWw+
PHBhZ2VzPjE1Ni02MjwvcGFnZXM+PHZvbHVtZT4xNjg8L3ZvbHVtZT48bnVtYmVyPjI8L251bWJl
cj48ZWRpdGlvbj4yMDEzLzEyLzI1PC9lZGl0aW9uPjxrZXl3b3Jkcz48a2V5d29yZD5BZG9sZXNj
ZW50PC9rZXl3b3JkPjxrZXl3b3JkPkFkdWx0PC9rZXl3b3JkPjxrZXl3b3JkPipBcmFjaGlzPC9r
ZXl3b3JkPjxrZXl3b3JkPkNoaWxkPC9rZXl3b3JkPjxrZXl3b3JkPkRpZXQ8L2tleXdvcmQ+PGtl
eXdvcmQ+RmVtYWxlPC9rZXl3b3JkPjxrZXl3b3JkPkh1bWFuczwva2V5d29yZD48a2V5d29yZD5N
YWxlPC9rZXl3b3JkPjxrZXl3b3JkPipNYXRlcm5hbCBOdXRyaXRpb25hbCBQaHlzaW9sb2dpY2Fs
IFBoZW5vbWVuYTwva2V5d29yZD48a2V5d29yZD5OdXQgSHlwZXJzZW5zaXRpdml0eS8qZXBpZGVt
aW9sb2d5PC9rZXl3b3JkPjxrZXl3b3JkPipOdXRzPC9rZXl3b3JkPjxrZXl3b3JkPlBlYW51dCBI
eXBlcnNlbnNpdGl2aXR5LyplcGlkZW1pb2xvZ3k8L2tleXdvcmQ+PGtleXdvcmQ+UHJlZ25hbmN5
PC9rZXl3b3JkPjxrZXl3b3JkPlByb3NwZWN0aXZlIFN0dWRpZXM8L2tleXdvcmQ+PGtleXdvcmQ+
VW5pdGVkIFN0YXRlcy9lcGlkZW1pb2xvZ3k8L2tleXdvcmQ+PC9rZXl3b3Jkcz48ZGF0ZXM+PHll
YXI+MjAxNDwveWVhcj48cHViLWRhdGVzPjxkYXRlPkZlYjwvZGF0ZT48L3B1Yi1kYXRlcz48L2Rh
dGVzPjxpc2JuPjIxNjgtNjIxMSAoRWxlY3Ryb25pYykmI3hEOzIxNjgtNjIwMyAoTGlua2luZyk8
L2lzYm4+PGFjY2Vzc2lvbi1udW0+MjQzNjY1Mzk8L2FjY2Vzc2lvbi1udW0+PHVybHM+PHJlbGF0
ZWQtdXJscz48dXJsPmh0dHBzOi8vd3d3Lm5jYmkubmxtLm5paC5nb3YvcHVibWVkLzI0MzY2NTM5
PC91cmw+PC9yZWxhdGVkLXVybHM+PC91cmxzPjxlbGVjdHJvbmljLXJlc291cmNlLW51bT4xMC4x
MDAxL2phbWFwZWRpYXRyaWNzLjIwMTMuNDEzOTwvZWxlY3Ryb25pYy1yZXNvdXJjZS1udW0+PC9y
ZWNvcmQ+PC9DaXRlPjwvRW5kTm90ZT5=
</w:fldData>
              </w:fldChar>
            </w:r>
            <w:r w:rsidR="002747EA">
              <w:instrText xml:space="preserve"> ADDIN EN.CITE.DATA </w:instrText>
            </w:r>
            <w:r w:rsidR="002747EA">
              <w:fldChar w:fldCharType="end"/>
            </w:r>
            <w:r w:rsidR="00767EBF">
              <w:fldChar w:fldCharType="separate"/>
            </w:r>
            <w:r w:rsidR="002747EA" w:rsidRPr="002747EA">
              <w:rPr>
                <w:noProof/>
                <w:vertAlign w:val="superscript"/>
              </w:rPr>
              <w:t>111</w:t>
            </w:r>
            <w:r w:rsidR="00767EBF">
              <w:fldChar w:fldCharType="end"/>
            </w:r>
          </w:p>
          <w:p w14:paraId="6280B357" w14:textId="6F997CE0" w:rsidR="00BD3F08" w:rsidRDefault="00BD3F08" w:rsidP="00E61514">
            <w:r>
              <w:t xml:space="preserve">United States </w:t>
            </w:r>
          </w:p>
          <w:p w14:paraId="212C914C" w14:textId="3E22E286" w:rsidR="00813F56" w:rsidRDefault="00813F56" w:rsidP="00E61514">
            <w:r>
              <w:t>Cohort</w:t>
            </w:r>
          </w:p>
        </w:tc>
        <w:tc>
          <w:tcPr>
            <w:tcW w:w="1417" w:type="dxa"/>
          </w:tcPr>
          <w:p w14:paraId="45CECB81" w14:textId="0E35A633" w:rsidR="00E61514" w:rsidRDefault="00E653C5" w:rsidP="00E653C5">
            <w:r>
              <w:t>8,205 children</w:t>
            </w:r>
          </w:p>
        </w:tc>
        <w:tc>
          <w:tcPr>
            <w:tcW w:w="4532" w:type="dxa"/>
          </w:tcPr>
          <w:p w14:paraId="1B5CB526" w14:textId="77777777" w:rsidR="00813F56" w:rsidRDefault="00E61514" w:rsidP="004E4762">
            <w:r>
              <w:rPr>
                <w:b/>
              </w:rPr>
              <w:t xml:space="preserve">Aim: </w:t>
            </w:r>
            <w:r w:rsidRPr="00E61514">
              <w:t xml:space="preserve">To examine the association between peripregnancy consumption of </w:t>
            </w:r>
            <w:r w:rsidR="00813F56">
              <w:t>peanuts and tree nuts</w:t>
            </w:r>
            <w:r w:rsidRPr="00E61514">
              <w:t xml:space="preserve"> by mothers and the risk of </w:t>
            </w:r>
            <w:r w:rsidR="00813F56">
              <w:t>peanut/tree nut</w:t>
            </w:r>
            <w:r w:rsidRPr="00E61514">
              <w:t xml:space="preserve"> allergy in their offspring. </w:t>
            </w:r>
          </w:p>
          <w:p w14:paraId="2961E4DD" w14:textId="2F99F579" w:rsidR="00E61514" w:rsidRPr="00E61514" w:rsidRDefault="00813F56" w:rsidP="004E4762">
            <w:pPr>
              <w:rPr>
                <w:b/>
              </w:rPr>
            </w:pPr>
            <w:r w:rsidRPr="00813F56">
              <w:rPr>
                <w:b/>
              </w:rPr>
              <w:t>Methods</w:t>
            </w:r>
            <w:r>
              <w:t xml:space="preserve">: </w:t>
            </w:r>
            <w:r w:rsidR="00E61514" w:rsidRPr="00E61514">
              <w:t xml:space="preserve">Participants </w:t>
            </w:r>
            <w:r>
              <w:t xml:space="preserve">were </w:t>
            </w:r>
            <w:r w:rsidR="00E61514" w:rsidRPr="00E61514">
              <w:t xml:space="preserve">born between January 1, 1990, and December 31, 1994, </w:t>
            </w:r>
            <w:r>
              <w:t xml:space="preserve">and </w:t>
            </w:r>
            <w:r w:rsidR="00E61514" w:rsidRPr="00E61514">
              <w:t xml:space="preserve">are the offspring of women who previously reported their diet during, or shortly before or after, their pregnancy with this child. In 2006, the offspring reported physician-diagnosed food allergy. Mothers were asked to confirm the diagnosis and to provide available medical records and allergy test results. </w:t>
            </w:r>
            <w:r w:rsidR="00E653C5">
              <w:t>Cases were reviewed by t</w:t>
            </w:r>
            <w:r w:rsidR="00E61514" w:rsidRPr="00E61514">
              <w:t xml:space="preserve">wo board-certified </w:t>
            </w:r>
            <w:r w:rsidR="00501148" w:rsidRPr="00E61514">
              <w:t>paediatricians</w:t>
            </w:r>
            <w:r w:rsidR="00E61514" w:rsidRPr="00E61514">
              <w:t>, including a board-certified allergist/immunologist</w:t>
            </w:r>
            <w:r w:rsidR="00E653C5">
              <w:t>.</w:t>
            </w:r>
          </w:p>
        </w:tc>
        <w:tc>
          <w:tcPr>
            <w:tcW w:w="4536" w:type="dxa"/>
          </w:tcPr>
          <w:p w14:paraId="7D6D0366" w14:textId="77777777" w:rsidR="00E653C5" w:rsidRDefault="00E61514" w:rsidP="00E61514">
            <w:r w:rsidRPr="00E61514">
              <w:t xml:space="preserve">The incidence of </w:t>
            </w:r>
            <w:r w:rsidR="00E653C5">
              <w:t>peanut/tree nut</w:t>
            </w:r>
            <w:r w:rsidRPr="00E61514">
              <w:t xml:space="preserve"> allergy in the offspring was significantly lower among children of non</w:t>
            </w:r>
            <w:r w:rsidR="00E653C5">
              <w:t>-</w:t>
            </w:r>
            <w:r w:rsidRPr="00E61514">
              <w:t xml:space="preserve">allergic mothers who consumed more </w:t>
            </w:r>
            <w:r w:rsidR="00E653C5">
              <w:t>peanuts/tree nuts</w:t>
            </w:r>
            <w:r w:rsidRPr="00E61514">
              <w:t xml:space="preserve"> in their peripregnancy diet (</w:t>
            </w:r>
            <w:r w:rsidR="00E653C5">
              <w:t>≥</w:t>
            </w:r>
            <w:r w:rsidRPr="00E61514">
              <w:t xml:space="preserve">5 times vs &lt;1 time per month: </w:t>
            </w:r>
            <w:r w:rsidR="00E653C5">
              <w:t>OR</w:t>
            </w:r>
            <w:r w:rsidRPr="00E61514">
              <w:t xml:space="preserve"> 0.3</w:t>
            </w:r>
            <w:r w:rsidR="00E653C5">
              <w:t>1; 95% CI</w:t>
            </w:r>
            <w:r w:rsidRPr="00E61514">
              <w:t xml:space="preserve"> 0.13</w:t>
            </w:r>
            <w:r w:rsidR="00E653C5">
              <w:t xml:space="preserve"> to 0.75; P(trend)=0</w:t>
            </w:r>
            <w:r w:rsidRPr="00E61514">
              <w:t xml:space="preserve">.004). </w:t>
            </w:r>
          </w:p>
          <w:p w14:paraId="2B95B353" w14:textId="4CC3566F" w:rsidR="00E61514" w:rsidRPr="00E61514" w:rsidRDefault="00E61514" w:rsidP="00E653C5">
            <w:r w:rsidRPr="00E61514">
              <w:t>By contrast, a non</w:t>
            </w:r>
            <w:r w:rsidR="00E653C5">
              <w:t>-</w:t>
            </w:r>
            <w:r w:rsidRPr="00E61514">
              <w:t xml:space="preserve">significant positive association was observed between maternal peripregnancy </w:t>
            </w:r>
            <w:r w:rsidR="00E653C5">
              <w:t>peanut/tree nut</w:t>
            </w:r>
            <w:r w:rsidRPr="00E61514">
              <w:t xml:space="preserve"> consumption and risk of </w:t>
            </w:r>
            <w:r w:rsidR="00E653C5">
              <w:t xml:space="preserve">peanut/tree nut </w:t>
            </w:r>
            <w:r w:rsidRPr="00E61514">
              <w:t xml:space="preserve">allergy in the offspring of </w:t>
            </w:r>
            <w:r w:rsidR="00E653C5">
              <w:t>peanut/tree nut allergic mothers (P(trend)=0</w:t>
            </w:r>
            <w:r w:rsidRPr="00E61514">
              <w:t xml:space="preserve">.12). </w:t>
            </w:r>
          </w:p>
        </w:tc>
        <w:tc>
          <w:tcPr>
            <w:tcW w:w="1843" w:type="dxa"/>
          </w:tcPr>
          <w:p w14:paraId="290D441B" w14:textId="1B20C357" w:rsidR="00E61514" w:rsidRPr="00C17B92" w:rsidRDefault="00E61514" w:rsidP="00C17B92"/>
        </w:tc>
      </w:tr>
    </w:tbl>
    <w:p w14:paraId="1FC98713" w14:textId="77777777" w:rsidR="00510DED" w:rsidRDefault="00510DED" w:rsidP="00F43F44">
      <w:pPr>
        <w:pStyle w:val="Heading2"/>
        <w:rPr>
          <w:b/>
        </w:rPr>
        <w:sectPr w:rsidR="00510DED" w:rsidSect="00510DED">
          <w:pgSz w:w="16820" w:h="11900" w:orient="landscape"/>
          <w:pgMar w:top="1418" w:right="1134" w:bottom="1418" w:left="1134" w:header="709" w:footer="709" w:gutter="0"/>
          <w:cols w:space="708"/>
          <w:docGrid w:linePitch="360"/>
        </w:sectPr>
      </w:pPr>
    </w:p>
    <w:p w14:paraId="5F692E4F" w14:textId="05300F59" w:rsidR="00F43F44" w:rsidRDefault="00F43F44" w:rsidP="00F43F44">
      <w:pPr>
        <w:pStyle w:val="Heading2"/>
      </w:pPr>
      <w:bookmarkStart w:id="72" w:name="_Toc40956497"/>
      <w:r w:rsidRPr="00F43F44">
        <w:rPr>
          <w:b/>
        </w:rPr>
        <w:t>Q3</w:t>
      </w:r>
      <w:r>
        <w:t xml:space="preserve">: </w:t>
      </w:r>
      <w:r w:rsidRPr="00F16C5B">
        <w:t xml:space="preserve">What are the </w:t>
      </w:r>
      <w:r>
        <w:t>harms and benefits</w:t>
      </w:r>
      <w:r w:rsidRPr="00F16C5B">
        <w:t xml:space="preserve"> of vitamin and mineral</w:t>
      </w:r>
      <w:r>
        <w:t xml:space="preserve"> supplementation in pregnancy?</w:t>
      </w:r>
      <w:bookmarkEnd w:id="72"/>
    </w:p>
    <w:p w14:paraId="427FE29D" w14:textId="77777777" w:rsidR="00EF63E3" w:rsidRDefault="00EF63E3" w:rsidP="005675A8">
      <w:pPr>
        <w:pStyle w:val="Heading3"/>
      </w:pPr>
      <w:bookmarkStart w:id="73" w:name="_Toc40956498"/>
      <w:r>
        <w:t>Vitamins</w:t>
      </w:r>
      <w:bookmarkEnd w:id="73"/>
    </w:p>
    <w:p w14:paraId="621DCA85" w14:textId="095438DF" w:rsidR="001B72F9" w:rsidRDefault="001B72F9" w:rsidP="00EF63E3">
      <w:pPr>
        <w:pStyle w:val="Heading4"/>
      </w:pPr>
      <w:r>
        <w:t>Folic acid</w:t>
      </w:r>
      <w:r w:rsidR="00D645E9">
        <w:t xml:space="preserve"> (vitamin B9)</w:t>
      </w:r>
    </w:p>
    <w:p w14:paraId="6F7CE70A" w14:textId="2C1E8590" w:rsidR="00E5698F" w:rsidRDefault="00E5698F" w:rsidP="008F446E">
      <w:pPr>
        <w:pStyle w:val="Heading5"/>
      </w:pPr>
      <w:r>
        <w:t>Background</w:t>
      </w:r>
    </w:p>
    <w:p w14:paraId="4F5527DA" w14:textId="5C2B4F78" w:rsidR="00E5698F" w:rsidRPr="00E5698F" w:rsidRDefault="00B75DDF" w:rsidP="00A10413">
      <w:pPr>
        <w:rPr>
          <w:rFonts w:ascii="Times New Roman" w:hAnsi="Times New Roman"/>
          <w:sz w:val="24"/>
        </w:rPr>
      </w:pPr>
      <w:r>
        <w:t xml:space="preserve">Following </w:t>
      </w:r>
      <w:r w:rsidR="00EB4649">
        <w:t xml:space="preserve">the introduction of </w:t>
      </w:r>
      <w:r>
        <w:t xml:space="preserve">mandatory </w:t>
      </w:r>
      <w:r w:rsidR="00EB4649">
        <w:t>folic acid fortification of bread in 2009, e</w:t>
      </w:r>
      <w:r w:rsidR="00E5698F" w:rsidRPr="00E5698F">
        <w:t xml:space="preserve">stimated mean folic acid intake increased </w:t>
      </w:r>
      <w:r w:rsidR="00A10413">
        <w:t xml:space="preserve">among women of childbearing age (from 102 μg to </w:t>
      </w:r>
      <w:r w:rsidR="00E5698F" w:rsidRPr="00E5698F">
        <w:t xml:space="preserve">247 μg/day), </w:t>
      </w:r>
      <w:r w:rsidR="00EB4649">
        <w:t xml:space="preserve">which is </w:t>
      </w:r>
      <w:r w:rsidR="00E5698F" w:rsidRPr="00E5698F">
        <w:t>below the 400</w:t>
      </w:r>
      <w:r w:rsidR="00EB4649">
        <w:t> </w:t>
      </w:r>
      <w:r w:rsidR="00E5698F" w:rsidRPr="00E5698F">
        <w:t>μg/day recommended t</w:t>
      </w:r>
      <w:r w:rsidR="00EB4649">
        <w:t xml:space="preserve">o help prevent </w:t>
      </w:r>
      <w:r w:rsidR="00413699">
        <w:t xml:space="preserve">neural tube defects </w:t>
      </w:r>
      <w:r w:rsidR="00EB4649">
        <w:t>as expected</w:t>
      </w:r>
      <w:r w:rsidR="00E5698F" w:rsidRPr="00E5698F">
        <w:t xml:space="preserve"> but still greater than the increase of 100 μg/day predicted when developing the fortification requirement.</w:t>
      </w:r>
      <w:r w:rsidR="003523C5">
        <w:fldChar w:fldCharType="begin"/>
      </w:r>
      <w:r w:rsidR="002747EA">
        <w:instrText xml:space="preserve"> ADDIN EN.CITE &lt;EndNote&gt;&lt;Cite&gt;&lt;Author&gt;AIHW&lt;/Author&gt;&lt;Year&gt;2016&lt;/Year&gt;&lt;RecNum&gt;1201&lt;/RecNum&gt;&lt;DisplayText&gt;&lt;style face="superscript" font="Trebuchet MS" size="9"&gt;113&lt;/style&gt;&lt;/DisplayText&gt;&lt;record&gt;&lt;rec-number&gt;1201&lt;/rec-number&gt;&lt;foreign-keys&gt;&lt;key app="EN" db-id="exvasrfx2dtraoesasxp2szsxa2df502592x" timestamp="1559691299"&gt;1201&lt;/key&gt;&lt;/foreign-keys&gt;&lt;ref-type name="Report"&gt;27&lt;/ref-type&gt;&lt;contributors&gt;&lt;authors&gt;&lt;author&gt;AIHW,&lt;/author&gt;&lt;/authors&gt;&lt;/contributors&gt;&lt;titles&gt;&lt;title&gt;Monitoring the health impacts of mandatory folic acid and iodine fortification&lt;/title&gt;&lt;/titles&gt;&lt;dates&gt;&lt;year&gt;2016&lt;/year&gt;&lt;/dates&gt;&lt;pub-location&gt;Canberra&lt;/pub-location&gt;&lt;publisher&gt;Australian Institute of Health and Welfare&lt;/publisher&gt;&lt;work-type&gt;Cat. no. PHE 208&lt;/work-type&gt;&lt;urls&gt;&lt;related-urls&gt;&lt;url&gt;https://www.aihw.gov.au/getmedia/6bfafa4a-2255-4f04-8955-7496c9e5b2c1/19192.pdf.aspx?inline=true&lt;/url&gt;&lt;/related-urls&gt;&lt;/urls&gt;&lt;/record&gt;&lt;/Cite&gt;&lt;/EndNote&gt;</w:instrText>
      </w:r>
      <w:r w:rsidR="003523C5">
        <w:fldChar w:fldCharType="separate"/>
      </w:r>
      <w:r w:rsidR="002747EA" w:rsidRPr="002747EA">
        <w:rPr>
          <w:noProof/>
          <w:vertAlign w:val="superscript"/>
        </w:rPr>
        <w:t>113</w:t>
      </w:r>
      <w:r w:rsidR="003523C5">
        <w:fldChar w:fldCharType="end"/>
      </w:r>
      <w:r w:rsidR="00E5698F" w:rsidRPr="00E5698F">
        <w:t xml:space="preserve"> </w:t>
      </w:r>
    </w:p>
    <w:p w14:paraId="10E6C4B8" w14:textId="60F4C5B4" w:rsidR="00E5698F" w:rsidRPr="00E5698F" w:rsidRDefault="00E5698F" w:rsidP="00B75DDF">
      <w:pPr>
        <w:rPr>
          <w:rFonts w:ascii="Times New Roman" w:hAnsi="Times New Roman"/>
          <w:sz w:val="24"/>
        </w:rPr>
      </w:pPr>
      <w:r w:rsidRPr="00E5698F">
        <w:t>Due to differences in folate testing methodologies and the representativeness of the baseline data, it was difficult to accurately quantify changes in folate status in the target population post-mandatory fortification. However, available data sources suggest improvements in mean serum folate levels.</w:t>
      </w:r>
      <w:r w:rsidR="003523C5">
        <w:fldChar w:fldCharType="begin"/>
      </w:r>
      <w:r w:rsidR="002747EA">
        <w:instrText xml:space="preserve"> ADDIN EN.CITE &lt;EndNote&gt;&lt;Cite&gt;&lt;Author&gt;AIHW&lt;/Author&gt;&lt;Year&gt;2016&lt;/Year&gt;&lt;RecNum&gt;1201&lt;/RecNum&gt;&lt;DisplayText&gt;&lt;style face="superscript" font="Trebuchet MS" size="9"&gt;113&lt;/style&gt;&lt;/DisplayText&gt;&lt;record&gt;&lt;rec-number&gt;1201&lt;/rec-number&gt;&lt;foreign-keys&gt;&lt;key app="EN" db-id="exvasrfx2dtraoesasxp2szsxa2df502592x" timestamp="1559691299"&gt;1201&lt;/key&gt;&lt;/foreign-keys&gt;&lt;ref-type name="Report"&gt;27&lt;/ref-type&gt;&lt;contributors&gt;&lt;authors&gt;&lt;author&gt;AIHW,&lt;/author&gt;&lt;/authors&gt;&lt;/contributors&gt;&lt;titles&gt;&lt;title&gt;Monitoring the health impacts of mandatory folic acid and iodine fortification&lt;/title&gt;&lt;/titles&gt;&lt;dates&gt;&lt;year&gt;2016&lt;/year&gt;&lt;/dates&gt;&lt;pub-location&gt;Canberra&lt;/pub-location&gt;&lt;publisher&gt;Australian Institute of Health and Welfare&lt;/publisher&gt;&lt;work-type&gt;Cat. no. PHE 208&lt;/work-type&gt;&lt;urls&gt;&lt;related-urls&gt;&lt;url&gt;https://www.aihw.gov.au/getmedia/6bfafa4a-2255-4f04-8955-7496c9e5b2c1/19192.pdf.aspx?inline=true&lt;/url&gt;&lt;/related-urls&gt;&lt;/urls&gt;&lt;/record&gt;&lt;/Cite&gt;&lt;/EndNote&gt;</w:instrText>
      </w:r>
      <w:r w:rsidR="003523C5">
        <w:fldChar w:fldCharType="separate"/>
      </w:r>
      <w:r w:rsidR="002747EA" w:rsidRPr="002747EA">
        <w:rPr>
          <w:noProof/>
          <w:vertAlign w:val="superscript"/>
        </w:rPr>
        <w:t>113</w:t>
      </w:r>
      <w:r w:rsidR="003523C5">
        <w:fldChar w:fldCharType="end"/>
      </w:r>
      <w:r w:rsidR="00BE0953" w:rsidRPr="00E5698F">
        <w:t xml:space="preserve"> </w:t>
      </w:r>
      <w:r w:rsidRPr="00E5698F">
        <w:t xml:space="preserve"> </w:t>
      </w:r>
    </w:p>
    <w:p w14:paraId="00157740" w14:textId="7D9467CB" w:rsidR="00E5698F" w:rsidRPr="00E5698F" w:rsidRDefault="00E5698F" w:rsidP="00B75DDF">
      <w:pPr>
        <w:rPr>
          <w:rFonts w:ascii="Times New Roman" w:hAnsi="Times New Roman"/>
          <w:sz w:val="24"/>
        </w:rPr>
      </w:pPr>
      <w:r w:rsidRPr="00E5698F">
        <w:t xml:space="preserve">There has been a decrease in </w:t>
      </w:r>
      <w:r w:rsidR="00801955">
        <w:t>neural tube defect</w:t>
      </w:r>
      <w:r w:rsidRPr="00E5698F">
        <w:t xml:space="preserve"> rates following the introduction of mandatory folic acid fortification. There was a statistically significant 14.4% decrease in the rate of </w:t>
      </w:r>
      <w:r w:rsidR="00801955">
        <w:t>neural tube defect</w:t>
      </w:r>
      <w:r w:rsidRPr="00E5698F">
        <w:t xml:space="preserve"> rates in the total study population (</w:t>
      </w:r>
      <w:r w:rsidRPr="00FD4AA6">
        <w:rPr>
          <w:sz w:val="16"/>
          <w:szCs w:val="16"/>
        </w:rPr>
        <w:t>10.2 to 8.7 per 10,000 conceptions that resulted in a birth</w:t>
      </w:r>
      <w:r w:rsidRPr="00E5698F">
        <w:t xml:space="preserve">) and a non-statistically significant 12.5% decrease in the rate of </w:t>
      </w:r>
      <w:r w:rsidR="00801955">
        <w:t>neural tube defect</w:t>
      </w:r>
      <w:r w:rsidRPr="00E5698F">
        <w:t>s in the population omitting New South Wales residents (</w:t>
      </w:r>
      <w:r w:rsidRPr="00FD4AA6">
        <w:rPr>
          <w:sz w:val="16"/>
          <w:szCs w:val="16"/>
        </w:rPr>
        <w:t>12.8 to 11.2 per 10,000 conceptions that resulted in a birth</w:t>
      </w:r>
      <w:r w:rsidRPr="00E5698F">
        <w:t>).</w:t>
      </w:r>
      <w:r w:rsidR="003523C5">
        <w:fldChar w:fldCharType="begin"/>
      </w:r>
      <w:r w:rsidR="002747EA">
        <w:instrText xml:space="preserve"> ADDIN EN.CITE &lt;EndNote&gt;&lt;Cite&gt;&lt;Author&gt;AIHW&lt;/Author&gt;&lt;Year&gt;2016&lt;/Year&gt;&lt;RecNum&gt;1201&lt;/RecNum&gt;&lt;DisplayText&gt;&lt;style face="superscript" font="Trebuchet MS" size="9"&gt;113&lt;/style&gt;&lt;/DisplayText&gt;&lt;record&gt;&lt;rec-number&gt;1201&lt;/rec-number&gt;&lt;foreign-keys&gt;&lt;key app="EN" db-id="exvasrfx2dtraoesasxp2szsxa2df502592x" timestamp="1559691299"&gt;1201&lt;/key&gt;&lt;/foreign-keys&gt;&lt;ref-type name="Report"&gt;27&lt;/ref-type&gt;&lt;contributors&gt;&lt;authors&gt;&lt;author&gt;AIHW,&lt;/author&gt;&lt;/authors&gt;&lt;/contributors&gt;&lt;titles&gt;&lt;title&gt;Monitoring the health impacts of mandatory folic acid and iodine fortification&lt;/title&gt;&lt;/titles&gt;&lt;dates&gt;&lt;year&gt;2016&lt;/year&gt;&lt;/dates&gt;&lt;pub-location&gt;Canberra&lt;/pub-location&gt;&lt;publisher&gt;Australian Institute of Health and Welfare&lt;/publisher&gt;&lt;work-type&gt;Cat. no. PHE 208&lt;/work-type&gt;&lt;urls&gt;&lt;related-urls&gt;&lt;url&gt;https://www.aihw.gov.au/getmedia/6bfafa4a-2255-4f04-8955-7496c9e5b2c1/19192.pdf.aspx?inline=true&lt;/url&gt;&lt;/related-urls&gt;&lt;/urls&gt;&lt;/record&gt;&lt;/Cite&gt;&lt;/EndNote&gt;</w:instrText>
      </w:r>
      <w:r w:rsidR="003523C5">
        <w:fldChar w:fldCharType="separate"/>
      </w:r>
      <w:r w:rsidR="002747EA" w:rsidRPr="002747EA">
        <w:rPr>
          <w:noProof/>
          <w:vertAlign w:val="superscript"/>
        </w:rPr>
        <w:t>113</w:t>
      </w:r>
      <w:r w:rsidR="003523C5">
        <w:fldChar w:fldCharType="end"/>
      </w:r>
      <w:r w:rsidR="00BE0953" w:rsidRPr="00E5698F">
        <w:t xml:space="preserve"> </w:t>
      </w:r>
      <w:r w:rsidRPr="00E5698F">
        <w:t xml:space="preserve"> </w:t>
      </w:r>
    </w:p>
    <w:p w14:paraId="25B85841" w14:textId="5203E296" w:rsidR="00E5698F" w:rsidRDefault="00A85207" w:rsidP="00E5698F">
      <w:r w:rsidRPr="0012730D">
        <w:rPr>
          <w:lang w:val="en-US"/>
        </w:rPr>
        <w:t xml:space="preserve">Women taking medicines that are folate antagonists (eg </w:t>
      </w:r>
      <w:r w:rsidRPr="0012730D">
        <w:t>carbamazepine</w:t>
      </w:r>
      <w:r w:rsidRPr="0012730D">
        <w:rPr>
          <w:lang w:val="en-US"/>
        </w:rPr>
        <w:t>, lamotrigine) should be encouraged to take high-dose folate supplements preconception</w:t>
      </w:r>
      <w:r>
        <w:rPr>
          <w:lang w:val="en-US"/>
        </w:rPr>
        <w:t xml:space="preserve"> and during the first trimester.</w:t>
      </w:r>
      <w:r w:rsidR="003523C5">
        <w:fldChar w:fldCharType="begin"/>
      </w:r>
      <w:r w:rsidR="002747EA">
        <w:instrText xml:space="preserve"> ADDIN EN.CITE &lt;EndNote&gt;&lt;Cite&gt;&lt;Author&gt;Austin&lt;/Author&gt;&lt;Year&gt;2017&lt;/Year&gt;&lt;RecNum&gt;99&lt;/RecNum&gt;&lt;DisplayText&gt;&lt;style face="superscript" font="Trebuchet MS" size="9"&gt;114&lt;/style&gt;&lt;/DisplayText&gt;&lt;record&gt;&lt;rec-number&gt;99&lt;/rec-number&gt;&lt;foreign-keys&gt;&lt;key app="EN" db-id="5awdrsvr29s0fpee9ad529pzf5vpddfxwxxe" timestamp="1544159125"&gt;99&lt;/key&gt;&lt;/foreign-keys&gt;&lt;ref-type name="Report"&gt;27&lt;/ref-type&gt;&lt;contributors&gt;&lt;authors&gt;&lt;author&gt;Austin, M.-P.,&lt;/author&gt;&lt;author&gt;Highet, N.,&lt;/author&gt;&lt;author&gt;Expert Working Group,&lt;/author&gt;&lt;/authors&gt;&lt;/contributors&gt;&lt;titles&gt;&lt;title&gt;Mental Health Care in the Perinatal Period: Australian Clinical Practice Guideline&lt;/title&gt;&lt;/titles&gt;&lt;dates&gt;&lt;year&gt;2017&lt;/year&gt;&lt;/dates&gt;&lt;pub-location&gt;Melbourne&lt;/pub-location&gt;&lt;publisher&gt;Centre of Perinatal Excellence&lt;/publisher&gt;&lt;urls&gt;&lt;/urls&gt;&lt;/record&gt;&lt;/Cite&gt;&lt;/EndNote&gt;</w:instrText>
      </w:r>
      <w:r w:rsidR="003523C5">
        <w:fldChar w:fldCharType="separate"/>
      </w:r>
      <w:r w:rsidR="002747EA" w:rsidRPr="002747EA">
        <w:rPr>
          <w:noProof/>
          <w:vertAlign w:val="superscript"/>
        </w:rPr>
        <w:t>114</w:t>
      </w:r>
      <w:r w:rsidR="003523C5">
        <w:fldChar w:fldCharType="end"/>
      </w:r>
    </w:p>
    <w:p w14:paraId="78B9EED8" w14:textId="4C52AFEB" w:rsidR="008B11EC" w:rsidRPr="00096EC2" w:rsidRDefault="00323D62" w:rsidP="008B11EC">
      <w:r>
        <w:t>A survey of pregnant women conducted in Sydney found that 30.6% were taking a folic acid 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r w:rsidR="008B11EC">
        <w:t xml:space="preserve"> A cross-sectional study that included national and South Australian cohorts found that, while awareness of recommendations on folic acid supplementation was high (90%</w:t>
      </w:r>
      <w:r w:rsidR="00096EC2">
        <w:t>)</w:t>
      </w:r>
      <w:r w:rsidR="008B11EC">
        <w:t>, adherence was low (27%).</w:t>
      </w:r>
      <w:r w:rsidR="005653ED">
        <w:fldChar w:fldCharType="begin"/>
      </w:r>
      <w:r w:rsidR="002747EA">
        <w:instrText xml:space="preserve"> ADDIN EN.CITE &lt;EndNote&gt;&lt;Cite&gt;&lt;Author&gt;Malek&lt;/Author&gt;&lt;Year&gt;2016&lt;/Year&gt;&lt;RecNum&gt;1437&lt;/RecNum&gt;&lt;DisplayText&gt;&lt;style face="superscript" font="Trebuchet MS" size="9"&gt;116&lt;/style&gt;&lt;/DisplayText&gt;&lt;record&gt;&lt;rec-number&gt;1437&lt;/rec-number&gt;&lt;foreign-keys&gt;&lt;key app="EN" db-id="exvasrfx2dtraoesasxp2szsxa2df502592x" timestamp="1571626245"&gt;1437&lt;/key&gt;&lt;key app="ENWeb" db-id=""&gt;0&lt;/key&gt;&lt;/foreign-keys&gt;&lt;ref-type name="Journal Article"&gt;17&lt;/ref-type&gt;&lt;contributors&gt;&lt;authors&gt;&lt;author&gt;Malek, Lenka&lt;/author&gt;&lt;author&gt;Umberger, Wendy&lt;/author&gt;&lt;author&gt;Makrides, Maria&lt;/author&gt;&lt;author&gt;Zhou, Shao J.&lt;/author&gt;&lt;/authors&gt;&lt;/contributors&gt;&lt;titles&gt;&lt;title&gt;Poor adherence to folic acid and iodine supplement recommendations in preconception and pregnancy: a cross-sectional analysis&lt;/title&gt;&lt;secondary-title&gt;Australian and New Zealand Journal of Public Health&lt;/secondary-title&gt;&lt;/titles&gt;&lt;periodical&gt;&lt;full-title&gt;Australian and New Zealand Journal of Public Health&lt;/full-title&gt;&lt;/periodical&gt;&lt;pages&gt;424-429&lt;/pages&gt;&lt;volume&gt;40&lt;/volume&gt;&lt;number&gt;5&lt;/number&gt;&lt;section&gt;424&lt;/section&gt;&lt;dates&gt;&lt;year&gt;2016&lt;/year&gt;&lt;/dates&gt;&lt;isbn&gt;13260200&lt;/isbn&gt;&lt;urls&gt;&lt;/urls&gt;&lt;electronic-resource-num&gt;10.1111/1753-6405.12552&lt;/electronic-resource-num&gt;&lt;/record&gt;&lt;/Cite&gt;&lt;/EndNote&gt;</w:instrText>
      </w:r>
      <w:r w:rsidR="005653ED">
        <w:fldChar w:fldCharType="separate"/>
      </w:r>
      <w:r w:rsidR="002747EA" w:rsidRPr="002747EA">
        <w:rPr>
          <w:noProof/>
          <w:vertAlign w:val="superscript"/>
        </w:rPr>
        <w:t>116</w:t>
      </w:r>
      <w:r w:rsidR="005653ED">
        <w:fldChar w:fldCharType="end"/>
      </w:r>
    </w:p>
    <w:p w14:paraId="5E736CF8" w14:textId="1480A24A" w:rsidR="00BE4213" w:rsidRDefault="00BE4213" w:rsidP="00E5698F">
      <w:r>
        <w:t>In an Australian cohort study,</w:t>
      </w:r>
      <w:r w:rsidR="00BA7CBD">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 </w:instrText>
      </w:r>
      <w:r w:rsidR="002747EA">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117</w:t>
      </w:r>
      <w:r w:rsidR="00BA7CBD">
        <w:fldChar w:fldCharType="end"/>
      </w:r>
      <w:r>
        <w:t xml:space="preserve"> </w:t>
      </w:r>
      <w:r w:rsidR="00DD22D1">
        <w:t>19-46</w:t>
      </w:r>
      <w:r w:rsidRPr="00737BD8">
        <w:t xml:space="preserve">% of women </w:t>
      </w:r>
      <w:r w:rsidR="00DD22D1">
        <w:t xml:space="preserve">did </w:t>
      </w:r>
      <w:r w:rsidRPr="00737BD8">
        <w:t xml:space="preserve">not </w:t>
      </w:r>
      <w:r w:rsidR="00DD22D1">
        <w:t>meet</w:t>
      </w:r>
      <w:r w:rsidR="00DD22D1" w:rsidRPr="00737BD8">
        <w:t xml:space="preserve"> the recommended daily intake for </w:t>
      </w:r>
      <w:r w:rsidRPr="00737BD8">
        <w:t>folate. Conversely, 15-19 % of women consumed beyond the recommend</w:t>
      </w:r>
      <w:r w:rsidR="00DD22D1" w:rsidRPr="00737BD8">
        <w:t>ed upper limit for folat</w:t>
      </w:r>
      <w:r w:rsidRPr="00737BD8">
        <w:t xml:space="preserve">e. </w:t>
      </w:r>
    </w:p>
    <w:p w14:paraId="7B6849F6" w14:textId="0D2860E8" w:rsidR="00801955" w:rsidRDefault="00801955" w:rsidP="00E5698F">
      <w:r>
        <w:t>The current Guidelines include a recommendation to ‘</w:t>
      </w:r>
      <w:r w:rsidRPr="0012730D">
        <w:t>Inform women that dietary supplementation with folic acid, from 12 weeks before conception and throughout the first 12 weeks of pregnancy, reduces the risk of having a baby with a neural tube defect and recommend a</w:t>
      </w:r>
      <w:r>
        <w:t xml:space="preserve"> dose of 500 micrograms per day’ and a practice point ‘</w:t>
      </w:r>
      <w:r w:rsidRPr="0012730D">
        <w:t>Specific attention needs to be given to promoting folic acid supplementation to Aboriginal and Torres Strait Islander women of childbearing age and providing information to individual women at the first antenatal visit</w:t>
      </w:r>
      <w:r>
        <w:t>’</w:t>
      </w:r>
      <w:r w:rsidRPr="0012730D">
        <w:t>.</w:t>
      </w:r>
    </w:p>
    <w:p w14:paraId="5DEDCA7B" w14:textId="227BC059" w:rsidR="00801955" w:rsidRDefault="00801955" w:rsidP="00801955">
      <w:pPr>
        <w:pStyle w:val="Heading5"/>
      </w:pPr>
      <w:r>
        <w:t>Current review</w:t>
      </w:r>
    </w:p>
    <w:p w14:paraId="525CBE32" w14:textId="739972BD" w:rsidR="00236C51" w:rsidRDefault="00383CD7" w:rsidP="00236C51">
      <w:r>
        <w:t>This review identified 1</w:t>
      </w:r>
      <w:r w:rsidR="002979C1">
        <w:t>7</w:t>
      </w:r>
      <w:r>
        <w:t xml:space="preserve"> systematic reviews</w:t>
      </w:r>
      <w:r w:rsidR="009E6D4E">
        <w:t>,</w:t>
      </w:r>
      <w:r w:rsidR="00201490">
        <w:fldChar w:fldCharType="begin">
          <w:fldData xml:space="preserve">PnByZWVjbGFtcHNpYTwva2V5d29yZD48a2V5d29yZD5zdXBwbGVtZW50YXRpb248L2tleXdvcmQ+
PC9rZXl3b3Jkcz48ZGF0ZXM+PHllYXI+MjAxNjwveWVhcj48cHViLWRhdGVzPjxkYXRlPk5vdjwv
ZGF0ZT48L3B1Yi1kYXRlcz48L2RhdGVzPjxpc2JuPjE1MjUtNjA2NSAoRWxlY3Ryb25pYykmI3hE
OzEwNjQtMTk1NSAoTGlua2luZyk8L2lzYm4+PGFjY2Vzc2lvbi1udW0+MjczMTU0MDE8L2FjY2Vz
c2lvbi1udW0+PHVybHM+PHJlbGF0ZWQtdXJscz48dXJsPmh0dHBzOi8vd3d3Lm5jYmkubmxtLm5p
aC5nb3YvcHVibWVkLzI3MzE1NDAxPC91cmw+PC9yZWxhdGVkLXVybHM+PC91cmxzPjxlbGVjdHJv
bmljLXJlc291cmNlLW51bT4xMC4xMDgwLzEwNjQxOTU1LjIwMTYuMTE4MzY3MzwvZWxlY3Ryb25p
Yy1yZXNvdXJjZS1udW0+PC9yZWNvcmQ+PC9DaXRlPjxDaXRlPjxBdXRob3I+TGFzc2k8L0F1dGhv
cj48WWVhcj4yMDEzPC9ZZWFyPjxSZWNOdW0+MTQzNTwvUmVjTnVtPjxyZWNvcmQ+PHJlYy1udW1i
ZXI+MTQzNTwvcmVjLW51bWJlcj48Zm9yZWlnbi1rZXlzPjxrZXkgYXBwPSJFTiIgZGItaWQ9ImV4
dmFzcmZ4MmR0cmFvZXNhc3hwMnN6c3hhMmRmNTAyNTkyeCIgdGltZXN0YW1wPSIxNTcxNjI2MjMz
Ij4xNDM1PC9rZXk+PGtleSBhcHA9IkVOV2ViIiBkYi1pZD0iIj4wPC9rZXk+PC9mb3JlaWduLWtl
eXM+PHJlZi10eXBlIG5hbWU9IkpvdXJuYWwgQXJ0aWNsZSI+MTc8L3JlZi10eXBlPjxjb250cmli
dXRvcnM+PGF1dGhvcnM+PGF1dGhvcj5MYXNzaSwgWm9ocmEgUy48L2F1dGhvcj48YXV0aG9yPlNh
bGFtLCBSZWhhbmEgQS48L2F1dGhvcj48YXV0aG9yPkhhaWRlciwgQmF0b29sIEEuPC9hdXRob3I+
PGF1dGhvcj5CaHV0dGEsIFp1bGZpcWFyIEEuPC9hdXRob3I+PC9hdXRob3JzPjwvY29udHJpYnV0
b3JzPjx0aXRsZXM+PHRpdGxlPkZvbGljIGFjaWQgc3VwcGxlbWVudGF0aW9uIGR1cmluZyBwcmVn
bmFuY3kgZm9yIG1hdGVybmFsIGhlYWx0aCBhbmQgcHJlZ25hbmN5IG91dGNvbWVzPC90aXRsZT48
c2Vjb25kYXJ5LXRpdGxlPkNvY2hyYW5lIERhdGFiYXNlIG9mIFN5c3RlbWF0aWMgUmV2aWV3czwv
c2Vjb25kYXJ5LXRpdGxlPjwvdGl0bGVzPjxwZXJpb2RpY2FsPjxmdWxsLXRpdGxlPkNvY2hyYW5l
IERhdGFiYXNlIG9mIFN5c3RlbWF0aWMgUmV2aWV3czwvZnVsbC10aXRsZT48L3BlcmlvZGljYWw+
PGRhdGVzPjx5ZWFyPjIwMTM8L3llYXI+PC9kYXRlcz48aXNibj4xNDY1MTg1ODwvaXNibj48dXJs
cz48L3VybHM+PGVsZWN0cm9uaWMtcmVzb3VyY2UtbnVtPjEwLjEwMDIvMTQ2NTE4NTguQ0QwMDY4
OTYucHViMjwvZWxlY3Ryb25pYy1yZXNvdXJjZS1udW0+PC9yZWNvcmQ+PC9DaXRlPjxDaXRlPjxB
dXRob3I+TGl1PC9BdXRob3I+PFllYXI+MjAxODwvWWVhcj48UmVjTnVtPjE0MzY8L1JlY051bT48
cmVjb3JkPjxyZWMtbnVtYmVyPjE0MzY8L3JlYy1udW1iZXI+PGZvcmVpZ24ta2V5cz48a2V5IGFw
cD0iRU4iIGRiLWlkPSJleHZhc3JmeDJkdHJhb2VzYXN4cDJzenN4YTJkZjUwMjU5MngiIHRpbWVz
dGFtcD0iMTU3MTYyNjI0MSI+MTQzNjwva2V5PjxrZXkgYXBwPSJFTldlYiIgZGItaWQ9IiI+MDwv
a2V5PjwvZm9yZWlnbi1rZXlzPjxyZWYtdHlwZSBuYW1lPSJKb3VybmFsIEFydGljbGUiPjE3PC9y
ZWYtdHlwZT48Y29udHJpYnV0b3JzPjxhdXRob3JzPjxhdXRob3I+TGl1LCBDaGVuZzwvYXV0aG9y
PjxhdXRob3I+TGl1LCBDaG9uZ2Rvbmc8L2F1dGhvcj48YXV0aG9yPldhbmcsIFFpdXNoaTwvYXV0
aG9yPjxhdXRob3I+WmhhbmcsIFpoZW55dTwvYXV0aG9yPjwvYXV0aG9ycz48L2NvbnRyaWJ1dG9y
cz48dGl0bGVzPjx0aXRsZT5TdXBwbGVtZW50YXRpb24gb2YgZm9saWMgYWNpZCBpbiBwcmVnbmFu
Y3kgYW5kIHRoZSByaXNrIG9mIHByZWVjbGFtcHNpYSBhbmQgZ2VzdGF0aW9uYWwgaHlwZXJ0ZW5z
aW9uOiBhIG1ldGEtYW5hbHlzaXM8L3RpdGxlPjxzZWNvbmRhcnktdGl0bGU+QXJjaGl2ZXMgb2Yg
R3luZWNvbG9neSBhbmQgT2JzdGV0cmljczwvc2Vjb25kYXJ5LXRpdGxlPjwvdGl0bGVzPjxwZXJp
b2RpY2FsPjxmdWxsLXRpdGxlPkFyY2hpdmVzIG9mIEd5bmVjb2xvZ3kgYW5kIE9ic3RldHJpY3M8
L2Z1bGwtdGl0bGU+PC9wZXJpb2RpY2FsPjxwYWdlcz42OTctNzA0PC9wYWdlcz48dm9sdW1lPjI5
ODwvdm9sdW1lPjxudW1iZXI+NDwvbnVtYmVyPjxzZWN0aW9uPjY5Nzwvc2VjdGlvbj48ZGF0ZXM+
PHllYXI+MjAxODwveWVhcj48L2RhdGVzPjxpc2JuPjA5MzItMDA2NyYjeEQ7MTQzMi0wNzExPC9p
c2JuPjx1cmxzPjwvdXJscz48ZWxlY3Ryb25pYy1yZXNvdXJjZS1udW0+MTAuMTAwNy9zMDA0MDQt
MDE4LTQ4MjMtNDwvZWxlY3Ryb25pYy1yZXNvdXJjZS1udW0+PC9yZWNvcmQ+PC9DaXRlPjwvRW5k
Tm90ZT4A
</w:fldData>
        </w:fldChar>
      </w:r>
      <w:r w:rsidR="002747EA">
        <w:instrText xml:space="preserve"> ADDIN EN.CITE </w:instrText>
      </w:r>
      <w:r w:rsidR="002747EA">
        <w:fldChar w:fldCharType="begin">
          <w:fldData xml:space="preserve">PEVuZE5vdGU+PENpdGU+PEF1dGhvcj5XYW5nPC9BdXRob3I+PFllYXI+MjAxNzwvWWVhcj48UmVj
TnVtPjE0NDM8L1JlY051bT48RGlzcGxheVRleHQ+PHN0eWxlIGZhY2U9InN1cGVyc2NyaXB0IiBm
b250PSJUcmVidWNoZXQgTVMiIHNpemU9IjkiPjc1LDExOC0xMzQ8L3N0eWxlPjwvRGlzcGxheVRl
eHQ+PHJlY29yZD48cmVjLW51bWJlcj4xNDQzPC9yZWMtbnVtYmVyPjxmb3JlaWduLWtleXM+PGtl
eSBhcHA9IkVOIiBkYi1pZD0iZXh2YXNyZngyZHRyYW9lc2FzeHAyc3pzeGEyZGY1MDI1OTJ4IiB0
aW1lc3RhbXA9IjE1NzE2MjYyNzciPjE0NDM8L2tleT48a2V5IGFwcD0iRU5XZWIiIGRiLWlkPSIi
PjA8L2tleT48L2ZvcmVpZ24ta2V5cz48cmVmLXR5cGUgbmFtZT0iSm91cm5hbCBBcnRpY2xlIj4x
NzwvcmVmLXR5cGU+PGNvbnRyaWJ1dG9ycz48YXV0aG9ycz48YXV0aG9yPldhbmcsIE0uPC9hdXRo
b3I+PGF1dGhvcj5MaSwgSy48L2F1dGhvcj48YXV0aG9yPlpoYW8sIEQuPC9hdXRob3I+PGF1dGhv
cj5MaSwgTC48L2F1dGhvcj48L2F1dGhvcnM+PC9jb250cmlidXRvcnM+PGF1dGgtYWRkcmVzcz5E
ZXBhcnRtZW50IG9mIFBlZGlhdHJpYyBIZWFsdGggQ2FyZSwgSmkmYXBvcztuYW4gQ2hpbGRyZW4m
YXBvcztzIEhvc3BpdGFsIG9mIFNoYW5kb25nIFVuaXZlcnNpdHksIE5vLiAyMzk3NiwgSmluZ3No
aSBSb2FkLCBKaSZhcG9zO25hbiwgU2hhbmRvbmcgUHJvdmluY2UgMjUwMDIyIENoaW5hLiYjeEQ7
RGVwYXJ0bWVudCBvZiBHeW5lY29sb2d5LCBUaGUgQ2VudHJhbCBIb3NwaXRhbCBvZiBMaW55aSBD
aXR5LCBMaW55aSwgU2hhbmRvbmcgMjc2MDAwIENoaW5hLjwvYXV0aC1hZGRyZXNzPjx0aXRsZXM+
PHRpdGxlPlRoZSBhc3NvY2lhdGlvbiBiZXR3ZWVuIG1hdGVybmFsIHVzZSBvZiBmb2xpYyBhY2lk
IHN1cHBsZW1lbnRzIGR1cmluZyBwcmVnbmFuY3kgYW5kIHJpc2sgb2YgYXV0aXNtIHNwZWN0cnVt
IGRpc29yZGVycyBpbiBjaGlsZHJlbjogYSBtZXRhLWFuYWx5c2lzPC90aXRsZT48c2Vjb25kYXJ5
LXRpdGxlPk1vbCBBdXRpc208L3NlY29uZGFyeS10aXRsZT48L3RpdGxlcz48cGVyaW9kaWNhbD48
ZnVsbC10aXRsZT5Nb2wgQXV0aXNtPC9mdWxsLXRpdGxlPjwvcGVyaW9kaWNhbD48cGFnZXM+NTE8
L3BhZ2VzPjx2b2x1bWU+ODwvdm9sdW1lPjxlZGl0aW9uPjIwMTcvMTAvMTQ8L2VkaXRpb24+PGtl
eXdvcmRzPjxrZXl3b3JkPkF1dGlzbSBTcGVjdHJ1bSBEaXNvcmRlci8qZXBpZGVtaW9sb2d5Lypl
dGlvbG9neTwva2V5d29yZD48a2V5d29yZD5DaGlsZDwva2V5d29yZD48a2V5d29yZD5EaWV0YXJ5
IFN1cHBsZW1lbnRzLyphZHZlcnNlIGVmZmVjdHM8L2tleXdvcmQ+PGtleXdvcmQ+RmVtYWxlPC9r
ZXl3b3JkPjxrZXl3b3JkPkZvbGljIEFjaWQvYWRtaW5pc3RyYXRpb24gJmFtcDsgZG9zYWdlLyph
ZHZlcnNlIGVmZmVjdHM8L2tleXdvcmQ+PGtleXdvcmQ+SHVtYW5zPC9rZXl3b3JkPjxrZXl3b3Jk
Pk1hdGVybmFsIEV4cG9zdXJlLyphZHZlcnNlIGVmZmVjdHM8L2tleXdvcmQ+PGtleXdvcmQ+T2Rk
cyBSYXRpbzwva2V5d29yZD48a2V5d29yZD5QcmVnbmFuY3k8L2tleXdvcmQ+PGtleXdvcmQ+KlBy
ZW5hdGFsIEV4cG9zdXJlIERlbGF5ZWQgRWZmZWN0czwva2V5d29yZD48a2V5d29yZD5SaXNrPC9r
ZXl3b3JkPjxrZXl3b3JkPipBdXRpc20gc3BlY3RydW0gZGlzb3JkZXJzPC9rZXl3b3JkPjxrZXl3
b3JkPipDaGlsZHJlbjwva2V5d29yZD48a2V5d29yZD4qRm9saWMgYWNpZCBzdXBwbGVtZW50czwv
a2V5d29yZD48a2V5d29yZD4qTWF0ZXJuYWw8L2tleXdvcmQ+PGtleXdvcmQ+Kk1ldGEtYW5hbHlz
aXM8L2tleXdvcmQ+PC9rZXl3b3Jkcz48ZGF0ZXM+PHllYXI+MjAxNzwveWVhcj48L2RhdGVzPjxp
c2JuPjIwNDAtMjM5MiAoRWxlY3Ryb25pYyk8L2lzYm4+PGFjY2Vzc2lvbi1udW0+MjkwMjY1MDg8
L2FjY2Vzc2lvbi1udW0+PHVybHM+PHJlbGF0ZWQtdXJscz48dXJsPmh0dHBzOi8vd3d3Lm5jYmku
bmxtLm5paC5nb3YvcHVibWVkLzI5MDI2NTA4PC91cmw+PC9yZWxhdGVkLXVybHM+PC91cmxzPjxj
dXN0b20yPlBNQzU2MjU4MjE8L2N1c3RvbTI+PGVsZWN0cm9uaWMtcmVzb3VyY2UtbnVtPjEwLjEx
ODYvczEzMjI5LTAxNy0wMTcwLTg8L2VsZWN0cm9uaWMtcmVzb3VyY2UtbnVtPjwvcmVjb3JkPjwv
Q2l0ZT48Q2l0ZT48QXV0aG9yPkphaGFuYmluPC9BdXRob3I+PFllYXI+MjAxODwvWWVhcj48UmVj
TnVtPjE2MTQ8L1JlY051bT48cmVjb3JkPjxyZWMtbnVtYmVyPjE2MTQ8L3JlYy1udW1iZXI+PGZv
cmVpZ24ta2V5cz48a2V5IGFwcD0iRU4iIGRiLWlkPSJleHZhc3JmeDJkdHJhb2VzYXN4cDJzenN4
YTJkZjUwMjU5MngiIHRpbWVzdGFtcD0iMTU3NjY1MjI3OSI+MTYxNDwva2V5PjxrZXkgYXBwPSJF
TldlYiIgZGItaWQ9IiI+MDwva2V5PjwvZm9yZWlnbi1rZXlzPjxyZWYtdHlwZSBuYW1lPSJKb3Vy
bmFsIEFydGljbGUiPjE3PC9yZWYtdHlwZT48Y29udHJpYnV0b3JzPjxhdXRob3JzPjxhdXRob3I+
SmFoYW5iaW4sIEFyZXpvbzwvYXV0aG9yPjxhdXRob3I+U2hhZGthbSwgRWxhaGVoPC9hdXRob3I+
PGF1dGhvcj5NaXJpLCBIYW1pZCBIZWlkYXJpYW48L2F1dGhvcj48YXV0aG9yPlNoaXJhemksIEFs
aXJlemEgU2FycmFmPC9hdXRob3I+PGF1dGhvcj5BYnRhaGksIE1vc3RhZmE8L2F1dGhvcj48L2F1
dGhvcnM+PC9jb250cmlidXRvcnM+PHRpdGxlcz48dGl0bGU+TWF0ZXJuYWwgZm9saWMgYWNpZCBz
dXBwbGVtZW50YXRpb24gYW5kIHRoZSByaXNrIG9mIG9yYWwgY2xlZnRzIGluIG9mZnNwcmluZzwv
dGl0bGU+PHNlY29uZGFyeS10aXRsZT5KIENyYW5pb2ZhY2lhbCBTdXJnPC9zZWNvbmRhcnktdGl0
bGU+PC90aXRsZXM+PHBlcmlvZGljYWw+PGZ1bGwtdGl0bGU+SiBDcmFuaW9mYWNpYWwgU3VyZzwv
ZnVsbC10aXRsZT48L3BlcmlvZGljYWw+PHBhZ2VzPmU1MzQtZTU0MTwvcGFnZXM+PHZvbHVtZT4y
OTwvdm9sdW1lPjxudW1iZXI+NjwvbnVtYmVyPjxzZWN0aW9uPmU1MzQ8L3NlY3Rpb24+PGRhdGVz
Pjx5ZWFyPjIwMTg8L3llYXI+PC9kYXRlcz48aXNibj4xMDQ5LTIyNzU8L2lzYm4+PHVybHM+PC91
cmxzPjxlbGVjdHJvbmljLXJlc291cmNlLW51bT4xMC4xMDk3L3Njcy4wMDAwMDAwMDAwMDA0NDg4
PC9lbGVjdHJvbmljLXJlc291cmNlLW51bT48L3JlY29yZD48L0NpdGU+PENpdGU+PEF1dGhvcj5N
ZXRheWVyPC9BdXRob3I+PFllYXI+MjAxNDwvWWVhcj48UmVjTnVtPjE2MTU8L1JlY051bT48cmVj
b3JkPjxyZWMtbnVtYmVyPjE2MTU8L3JlYy1udW1iZXI+PGZvcmVpZ24ta2V5cz48a2V5IGFwcD0i
RU4iIGRiLWlkPSJleHZhc3JmeDJkdHJhb2VzYXN4cDJzenN4YTJkZjUwMjU5MngiIHRpbWVzdGFt
cD0iMTU3NjcyMzY1OCI+MTYxNTwva2V5PjwvZm9yZWlnbi1rZXlzPjxyZWYtdHlwZSBuYW1lPSJK
b3VybmFsIEFydGljbGUiPjE3PC9yZWYtdHlwZT48Y29udHJpYnV0b3JzPjxhdXRob3JzPjxhdXRo
b3I+TWV0YXllciwgQy48L2F1dGhvcj48YXV0aG9yPk1pbG5lLCBFLjwvYXV0aG9yPjxhdXRob3I+
RG9ja2VydHksIEouIEQuPC9hdXRob3I+PGF1dGhvcj5DbGF2ZWwsIEouPC9hdXRob3I+PGF1dGhv
cj5Qb21iby1kZS1PbGl2ZWlyYSwgTS4gUy48L2F1dGhvcj48YXV0aG9yPldlc3NlbGluZywgQy48
L2F1dGhvcj48YXV0aG9yPlNwZWN0b3IsIEwuIEcuPC9hdXRob3I+PGF1dGhvcj5TY2h1eiwgSi48
L2F1dGhvcj48YXV0aG9yPlBldHJpZG91LCBFLjwvYXV0aG9yPjxhdXRob3I+RXp6YXQsIFMuPC9h
dXRob3I+PGF1dGhvcj5Bcm1zdHJvbmcsIEIuIEsuPC9hdXRob3I+PGF1dGhvcj5SdWRhbnQsIEou
PC9hdXRob3I+PGF1dGhvcj5Lb2lmbWFuLCBTLjwvYXV0aG9yPjxhdXRob3I+S2FhdHNjaCwgUC48
L2F1dGhvcj48YXV0aG9yPk1vc2Nob3ZpLCBNLjwvYXV0aG9yPjxhdXRob3I+UmFzaGVkLCBXLiBN
LjwvYXV0aG9yPjxhdXRob3I+U2VsdmluLCBTLjwvYXV0aG9yPjxhdXRob3I+TWNDYXVsZXksIEsu
PC9hdXRob3I+PGF1dGhvcj5IdW5nLCBSLiBKLjwvYXV0aG9yPjxhdXRob3I+S2FuZywgQS4gWS48
L2F1dGhvcj48YXV0aG9yPkluZmFudGUtUml2YXJkLCBDLjwvYXV0aG9yPjwvYXV0aG9ycz48L2Nv
bnRyaWJ1dG9ycz48YXV0aC1hZGRyZXNzPkZyb20gdGhlIGFVbml2ZXJzaXR5IG9mIENhbGlmb3Ju
aWEsIFNjaG9vbCBvZiBQdWJsaWMgSGVhbHRoLCBCZXJrZWxleSwgQ0E7IGJUZWxldGhvbiBJbnN0
aXR1dGUgZm9yIENoaWxkIEhlYWx0aCBSZXNlYXJjaCwgQ2VudHJlIGZvciBDaGlsZCBIZWFsdGgg
UmVzZWFyY2gsIFVuaXZlcnNpdHkgb2YgV2VzdGVybiBBdXN0cmFsaWEsIFdlc3QgUGVydGgsIFdl
c3Rlcm4gQXVzdHJhbGlhOyBjRGVhbiZhcG9zO3MgRGVwYXJ0bWVudCBhbmQgRGVwYXJ0bWVudCBv
ZiBQcmV2ZW50aXZlIGFuZCBTb2NpYWwgTWVkaWNpbmUsIER1bmVkaW4gU2Nob29sIG9mIE1lZGlj
aW5lLCBVbml2ZXJzaXR5IG9mIE90YWdvLCBEdW5lZGluLCBOZXcgWmVhbGFuZDsgZEluc2VybSwg
Q0VTUCBDZW50cmUgZm9yIFJlc2VhcmNoIGluIEVwaWRlbWlvbG9neSBhbmQgUG9wdWxhdGlvbiBI
ZWFsdGgsIEVudmlyb25tZW50YWwgRXBpZGVtaW9sb2d5IG9mIENhbmNlciBUZWFtLCBVbml2ZXJz
aXRlIFBhcmlzLVN1ZCwgVmlsbGVqdWlmLCBGcmFuY2U7IGVQZWRpYXRyaWMgSGVtYXRvbG9neS1P
bmNvbG9neSBQcm9ncmFtLCBSZXNlYXJjaCBQcm9ncmFtLCBJbnN0aXR1dG8gTmFjaW9uYWwgZGUg
Q2FuY2VyLCBSaW8gZGUgSmFuZWlybywgQnJhemlsOyBmSW5zdGl0dXRvIFJlZ2lvbmFsIGRlIEVz
dHVkaW9zIGVuIFN1c3RhbmNpYXMgVG94aWNhcyAoSVJFVCksIFVuaXZlcnNpZGFkIE5hY2lvbmFs
LCBIZXJlZGlhLCBDb3N0YSBSaWNhOyBnRGl2aXNpb24gb2YgRXBpZGVtaW9sb2d5IENsaW5pY2Fs
IFJlc2VhcmNoLCBEZXBhcnRtZW50IG9mIFBlZGlhdHJpY3MgYW5kIE1hc29uaWMgQ2FuY2VyIENl
bnRlciwgVW5pdmVyc2l0eSBvZiBNaW5uZXNvdGEsIE1pbm5lYXBvbGlzLCBNTjsgaEludGVybmF0
aW9uYWwgQWdlbmN5IGZvciBSZXNlYXJjaCBvbiBDYW5jZXIsIFNlY3Rpb24gb2YgRW52aXJvbm1l
bnQgYW5kIFJhZGlhdGlvbiwgTHlvbiwgRnJhbmNlOyBpRGVwYXJ0bWVudCBvZiBIeWdpZW5lLCBF
cGlkZW1pb2xvZ3ksIGFuZCBNZWRpY2FsIFN0YXRpc3RpY3MsIE1lZGljYWwgU2Nob29sLCBOYXRp
b25hbCBhbmQgS2Fwb2Rpc3RyaWFuIFVuaXZlcnNpdHkgb2YgQXRoZW5zLCBBdGhlbnMsIEdyZWVj
ZTsgalJlc2VhcmNoIERlcGFydG1lbnQsIENoaWxkcmVuJmFwb3M7cyBDYW5jZXIgSG9zcGl0YWws
IENhaXJvLCBFZ3lwdDsga1N5ZG5leSBTY2hvb2wgb2YgUHVibGljIEhlYWx0aCwgVW5pdmVyc2l0
eSBvZiBTeWRuZXksIE5ldyBTb3V0aCBXYWxlcywgQXVzdHJhbGlhOyBsTmF0aW9uYWwgU2Nob29s
IG9mIFB1YmxpYyBIZWFsdGgsIE9zd2FsZG8gQ3J1eiBGb3VuZGF0aW9uIChGSU9DUlVaKSwgTWlu
aXN0cnkgb2YgSGVhbHRoLCBSaW8gZGUgSmFuZWlybywgQnJhemlsOyBtR2VybWFuIENoaWxkaG9v
ZCBDYW5jZXIgUmVnaXN0cnksIEluc3RpdHV0ZSBmb3IgTWVkaWNhbCBCaW9zdGF0aXN0aWNzLCBF
cGlkZW1pb2xvZ3kgYW5kIEluZm9ybWF0aWNzLCBVbml2ZXJzaXR5IE1lZGljYWwgQ2VudHJlLCBK
b2hhbm5lcyBHdXRlbmJlcmcgVW5pdmVyc2l0eSBNYWlueiwgTWFpbnosIEdlcm1hbnk7IG5MdW5l
bmZlbGQtVGFuZW5iYXVtIFJlc2VhcmNoIEluc3RpdHV0ZSBvZiBNb3VudCBTaW5haSBIb3NwaXRh
bCwgVG9yb250bywgT250YXJpbywgQ2FuYWRhOyBhbmQgb0RlcGFydG1lbnQgb2YgRXBpZGVtaW9s
b2d5LCBCaW9zdGF0aXN0aWNzLCBhbmQgT2NjdXBhdGlvbmFsIEhlYWx0aCwgRmFjdWx0eSBvZiBN
ZWRpY2luZSwgTWNHaWxsIFVuaXZlcnNpdHksIE1vbnRyZWFsLCBQcm92aW5jZSBvZiBRdWViZWMs
IENhbmFkYS48L2F1dGgtYWRkcmVzcz48dGl0bGVzPjx0aXRsZT5NYXRlcm5hbCBzdXBwbGVtZW50
YXRpb24gd2l0aCBmb2xpYyBhY2lkIGFuZCBvdGhlciB2aXRhbWlucyBhbmQgcmlzayBvZiBsZXVr
ZW1pYSBpbiBvZmZzcHJpbmc6IGEgQ2hpbGRob29kIExldWtlbWlhIEludGVybmF0aW9uYWwgQ29u
c29ydGl1bSBzdHVkeTwvdGl0bGU+PHNlY29uZGFyeS10aXRsZT5FcGlkZW1pb2xvZ3k8L3NlY29u
ZGFyeS10aXRsZT48L3RpdGxlcz48cGVyaW9kaWNhbD48ZnVsbC10aXRsZT5FcGlkZW1pb2xvZ3k8
L2Z1bGwtdGl0bGU+PC9wZXJpb2RpY2FsPjxwYWdlcz44MTEtMjI8L3BhZ2VzPjx2b2x1bWU+MjU8
L3ZvbHVtZT48bnVtYmVyPjY8L251bWJlcj48ZWRpdGlvbj4yMDE0LzA5LzExPC9lZGl0aW9uPjxr
ZXl3b3Jkcz48a2V5d29yZD5BZG9sZXNjZW50PC9rZXl3b3JkPjxrZXl3b3JkPkNhc2UtQ29udHJv
bCBTdHVkaWVzPC9rZXl3b3JkPjxrZXl3b3JkPkNoaWxkPC9rZXl3b3JkPjxrZXl3b3JkPkNoaWxk
LCBQcmVzY2hvb2w8L2tleXdvcmQ+PGtleXdvcmQ+RGlldGFyeSBTdXBwbGVtZW50czwva2V5d29y
ZD48a2V5d29yZD5GZW1hbGU8L2tleXdvcmQ+PGtleXdvcmQ+Rm9saWMgQWNpZC8qYWRtaW5pc3Ry
YXRpb24gJmFtcDsgZG9zYWdlPC9rZXl3b3JkPjxrZXl3b3JkPkh1bWFuczwva2V5d29yZD48a2V5
d29yZD5JbmZhbnQ8L2tleXdvcmQ+PGtleXdvcmQ+SW5mYW50LCBOZXdib3JuPC9rZXl3b3JkPjxr
ZXl3b3JkPkxldWtlbWlhLCBNeWVsb2lkLCBBY3V0ZS8qZXBpZGVtaW9sb2d5LypwcmV2ZW50aW9u
ICZhbXA7IGNvbnRyb2w8L2tleXdvcmQ+PGtleXdvcmQ+TWFsZTwva2V5d29yZD48a2V5d29yZD5N
YXRlcm5hbC1GZXRhbCBFeGNoYW5nZTwva2V5d29yZD48a2V5d29yZD5QcmVjdXJzb3IgQ2VsbCBM
eW1waG9ibGFzdGljIExldWtlbWlhLUx5bXBob21hLyplcGlkZW1pb2xvZ3kvKnByZXZlbnRpb24g
JmFtcDs8L2tleXdvcmQ+PGtleXdvcmQ+Y29udHJvbDwva2V5d29yZD48a2V5d29yZD5QcmVnbmFu
Y3k8L2tleXdvcmQ+PGtleXdvcmQ+Umlzazwva2V5d29yZD48a2V5d29yZD5SaXNrIEZhY3RvcnM8
L2tleXdvcmQ+PGtleXdvcmQ+Vml0YW1pbnMvKmFkbWluaXN0cmF0aW9uICZhbXA7IGRvc2FnZTwv
a2V5d29yZD48L2tleXdvcmRzPjxkYXRlcz48eWVhcj4yMDE0PC95ZWFyPjxwdWItZGF0ZXM+PGRh
dGU+Tm92PC9kYXRlPjwvcHViLWRhdGVzPjwvZGF0ZXM+PGlzYm4+MTUzMS01NDg3IChFbGVjdHJv
bmljKSYjeEQ7MTA0NC0zOTgzIChMaW5raW5nKTwvaXNibj48YWNjZXNzaW9uLW51bT4yNTIwNzk1
NDwvYWNjZXNzaW9uLW51bT48dXJscz48cmVsYXRlZC11cmxzPjx1cmw+aHR0cHM6Ly93d3cubmNi
aS5ubG0ubmloLmdvdi9wdWJtZWQvMjUyMDc5NTQ8L3VybD48L3JlbGF0ZWQtdXJscz48L3VybHM+
PGN1c3RvbTI+UE1DNTkwMzU2MzwvY3VzdG9tMj48ZWxlY3Ryb25pYy1yZXNvdXJjZS1udW0+MTAu
MTA5Ny9FREUuMDAwMDAwMDAwMDAwMDE0MTwvZWxlY3Ryb25pYy1yZXNvdXJjZS1udW0+PC9yZWNv
cmQ+PC9DaXRlPjxDaXRlPjxBdXRob3I+U2FjY29uZTwvQXV0aG9yPjxZZWFyPjIwMTY8L1llYXI+
PFJlY051bT4xNDQwPC9SZWNOdW0+PHJlY29yZD48cmVjLW51bWJlcj4xNDQwPC9yZWMtbnVtYmVy
Pjxmb3JlaWduLWtleXM+PGtleSBhcHA9IkVOIiBkYi1pZD0iZXh2YXNyZngyZHRyYW9lc2FzeHAy
c3pzeGEyZGY1MDI1OTJ4IiB0aW1lc3RhbXA9IjE1NzE2MjYyNTYiPjE0NDA8L2tleT48a2V5IGFw
cD0iRU5XZWIiIGRiLWlkPSIiPjA8L2tleT48L2ZvcmVpZ24ta2V5cz48cmVmLXR5cGUgbmFtZT0i
Sm91cm5hbCBBcnRpY2xlIj4xNzwvcmVmLXR5cGU+PGNvbnRyaWJ1dG9ycz48YXV0aG9ycz48YXV0
aG9yPlNhY2NvbmUsIEcuPC9hdXRob3I+PGF1dGhvcj5CZXJnaGVsbGEsIFYuPC9hdXRob3I+PC9h
dXRob3JzPjwvY29udHJpYnV0b3JzPjxhdXRoLWFkZHJlc3M+RGVwYXJ0bWVudCBvZiBOZXVyb3Nj
aWVuY2UsIFJlcHJvZHVjdGl2ZSBTY2llbmNlcyBhbmQgRGVudGlzdHJ5LCBTY2hvb2wgb2YgTWVk
aWNpbmUsIFVuaXZlcnNpdHkgb2YgTmFwbGVzIEZlZGVyaWNvIElJLCBOYXBsZXMsIEl0YWx5LiYj
eEQ7RGl2aXNpb24gb2YgTWF0ZXJuYWwtRmV0YWwgTWVkaWNpbmUsIERlcGFydG1lbnQgb2YgT2Jz
dGV0cmljcyBhbmQgR3luZWNvbG9neSwgU2lkbmV5IEtpbW1lbCBNZWRpY2FsIENvbGxlZ2Ugb2Yg
VGhvbWFzIEplZmZlcnNvbiBVbml2ZXJzaXR5LCBQaGlsYWRlbHBoaWEsIFVTQS4gRWxlY3Ryb25p
YyBhZGRyZXNzOiB2aW5jZW56by5iZXJnaGVsbGFAamVmZmVyc29uLmVkdS48L2F1dGgtYWRkcmVz
cz48dGl0bGVzPjx0aXRsZT5Gb2xpYyBhY2lkIHN1cHBsZW1lbnRhdGlvbiBpbiBwcmVnbmFuY3kg
dG8gcHJldmVudCBwcmV0ZXJtIGJpcnRoOiBhIHN5c3RlbWF0aWMgcmV2aWV3IGFuZCBtZXRhLWFu
YWx5c2lzIG9mIHJhbmRvbWl6ZWQgY29udHJvbGxlZCB0cmlhbHM8L3RpdGxlPjxzZWNvbmRhcnkt
dGl0bGU+RXVyIEogT2JzdGV0IEd5bmVjb2wgUmVwcm9kIEJpb2w8L3NlY29uZGFyeS10aXRsZT48
L3RpdGxlcz48cGVyaW9kaWNhbD48ZnVsbC10aXRsZT5FdXIgSiBPYnN0ZXQgR3luZWNvbCBSZXBy
b2QgQmlvbDwvZnVsbC10aXRsZT48L3BlcmlvZGljYWw+PHBhZ2VzPjc2LTgxPC9wYWdlcz48dm9s
dW1lPjE5OTwvdm9sdW1lPjxlZGl0aW9uPjIwMTYvMDIvMjQ8L2VkaXRpb24+PGtleXdvcmRzPjxr
ZXl3b3JkPipEaWV0YXJ5IFN1cHBsZW1lbnRzPC9rZXl3b3JkPjxrZXl3b3JkPkZlbWFsZTwva2V5
d29yZD48a2V5d29yZD5Gb2xpYyBBY2lkL2FkbWluaXN0cmF0aW9uICZhbXA7IGRvc2FnZS8qdGhl
cmFwZXV0aWMgdXNlPC9rZXl3b3JkPjxrZXl3b3JkPkh1bWFuczwva2V5d29yZD48a2V5d29yZD5Q
cmVnbmFuY3k8L2tleXdvcmQ+PGtleXdvcmQ+UHJlbWF0dXJlIEJpcnRoLypwcmV2ZW50aW9uICZh
bXA7IGNvbnRyb2w8L2tleXdvcmQ+PGtleXdvcmQ+UmFuZG9taXplZCBDb250cm9sbGVkIFRyaWFs
cyBhcyBUb3BpYzwva2V5d29yZD48a2V5d29yZD5UcmVhdG1lbnQgT3V0Y29tZTwva2V5d29yZD48
a2V5d29yZD5EaWV0PC9rZXl3b3JkPjxrZXl3b3JkPkZvbGF0ZTwva2V5d29yZD48a2V5d29yZD5Q
cmVtYXR1cml0eTwva2V5d29yZD48a2V5d29yZD5QcmV0ZXJtIGRlbGl2ZXJ5PC9rZXl3b3JkPjxr
ZXl3b3JkPlN1cHBsZW1lbnRhdGlvbjwva2V5d29yZD48L2tleXdvcmRzPjxkYXRlcz48eWVhcj4y
MDE2PC95ZWFyPjxwdWItZGF0ZXM+PGRhdGU+QXByPC9kYXRlPjwvcHViLWRhdGVzPjwvZGF0ZXM+
PGlzYm4+MTg3Mi03NjU0IChFbGVjdHJvbmljKSYjeEQ7MDMwMS0yMTE1IChMaW5raW5nKTwvaXNi
bj48YWNjZXNzaW9uLW51bT4yNjkwMTQwMTwvYWNjZXNzaW9uLW51bT48dXJscz48cmVsYXRlZC11
cmxzPjx1cmw+aHR0cHM6Ly93d3cubmNiaS5ubG0ubmloLmdvdi9wdWJtZWQvMjY5MDE0MDE8L3Vy
bD48L3JlbGF0ZWQtdXJscz48L3VybHM+PGVsZWN0cm9uaWMtcmVzb3VyY2UtbnVtPjEwLjEwMTYv
ai5lam9ncmIuMjAxNi4wMS4wNDI8L2VsZWN0cm9uaWMtcmVzb3VyY2UtbnVtPjwvcmVjb3JkPjwv
Q2l0ZT48Q2l0ZT48QXV0aG9yPldhbmc8L0F1dGhvcj48WWVhcj4yMDE1PC9ZZWFyPjxSZWNOdW0+
MTYxNjwvUmVjTnVtPjxyZWNvcmQ+PHJlYy1udW1iZXI+MTYxNjwvcmVjLW51bWJlcj48Zm9yZWln
bi1rZXlzPjxrZXkgYXBwPSJFTiIgZGItaWQ9ImV4dmFzcmZ4MmR0cmFvZXNhc3hwMnN6c3hhMmRm
NTAyNTkyeCIgdGltZXN0YW1wPSIxNTc2NzI1MzI1Ij4xNjE2PC9rZXk+PGtleSBhcHA9IkVOV2Vi
IiBkYi1pZD0iIj4wPC9rZXk+PC9mb3JlaWduLWtleXM+PHJlZi10eXBlIG5hbWU9IkpvdXJuYWwg
QXJ0aWNsZSI+MTc8L3JlZi10eXBlPjxjb250cmlidXRvcnM+PGF1dGhvcnM+PGF1dGhvcj5XYW5n
LCBUaW5nPC9hdXRob3I+PGF1dGhvcj5aaGFuZywgSG9uZy1QaW5nPC9hdXRob3I+PGF1dGhvcj5a
aGFuZywgWGluPC9hdXRob3I+PGF1dGhvcj5MaWFuZywgWm9uZy1BbjwvYXV0aG9yPjxhdXRob3I+
SmksIFl1LUxpbjwvYXV0aG9yPjxhdXRob3I+V2FuZywgR2FuZzwvYXV0aG9yPjwvYXV0aG9ycz48
L2NvbnRyaWJ1dG9ycz48dGl0bGVzPjx0aXRsZT5JcyBmb2xhdGUgc3RhdHVzIGEgcmlzayBmYWN0
b3IgZm9yIGFzdGhtYSBvciBvdGhlciBhbGxlcmdpYyBkaXNlYXNlcz88L3RpdGxlPjxzZWNvbmRh
cnktdGl0bGU+QWxsZXJneSwgQXN0aG1hICZhbXA7IEltbXVub2xvZ3kgUmVzZWFyY2g8L3NlY29u
ZGFyeS10aXRsZT48L3RpdGxlcz48cGVyaW9kaWNhbD48ZnVsbC10aXRsZT5BbGxlcmd5LCBBc3Ro
bWEgJmFtcDsgSW1tdW5vbG9neSBSZXNlYXJjaDwvZnVsbC10aXRsZT48L3BlcmlvZGljYWw+PHZv
bHVtZT43PC92b2x1bWU+PG51bWJlcj42PC9udW1iZXI+PHNlY3Rpb24+NTM4PC9zZWN0aW9uPjxk
YXRlcz48eWVhcj4yMDE1PC95ZWFyPjwvZGF0ZXM+PGlzYm4+MjA5Mi03MzU1JiN4RDsyMDkyLTcz
NjM8L2lzYm4+PHVybHM+PC91cmxzPjxlbGVjdHJvbmljLXJlc291cmNlLW51bT4xMC40MTY4L2Fh
aXIuMjAxNS43LjYuNTM4PC9lbGVjdHJvbmljLXJlc291cmNlLW51bT48L3JlY29yZD48L0NpdGU+
PENpdGU+PEF1dGhvcj5YdTwvQXV0aG9yPjxZZWFyPjIwMTY8L1llYXI+PFJlY051bT4xNjE4PC9S
ZWNOdW0+PHJlY29yZD48cmVjLW51bWJlcj4xNjE4PC9yZWMtbnVtYmVyPjxmb3JlaWduLWtleXM+
PGtleSBhcHA9IkVOIiBkYi1pZD0iZXh2YXNyZngyZHRyYW9lc2FzeHAyc3pzeGEyZGY1MDI1OTJ4
IiB0aW1lc3RhbXA9IjE1NzY3MjY0NzAiPjE2MTg8L2tleT48L2ZvcmVpZ24ta2V5cz48cmVmLXR5
cGUgbmFtZT0iSm91cm5hbCBBcnRpY2xlIj4xNzwvcmVmLXR5cGU+PGNvbnRyaWJ1dG9ycz48YXV0
aG9ycz48YXV0aG9yPlh1LCBBLjwvYXV0aG9yPjxhdXRob3I+Q2FvLCBYLjwvYXV0aG9yPjxhdXRo
b3I+THUsIFkuPC9hdXRob3I+PGF1dGhvcj5MaSwgSC48L2F1dGhvcj48YXV0aG9yPlpodSwgUS48
L2F1dGhvcj48YXV0aG9yPkNoZW4sIFguPC9hdXRob3I+PGF1dGhvcj5KaWFuZywgSC48L2F1dGhv
cj48YXV0aG9yPkxpLCBYLjwvYXV0aG9yPjwvYXV0aG9ycz48L2NvbnRyaWJ1dG9ycz48YXV0aC1h
ZGRyZXNzPlByZW5hdGFsIFNjcmVlbmluZyBEaWFnbm9zaXMgQ2VudGVyLCBOYW50b25nIE1hdGVy
bmFsIGFuZCBDaGlsZCBIZWFsdGggSG9zcGl0YWwuPC9hdXRoLWFkZHJlc3M+PHRpdGxlcz48dGl0
bGU+QSBtZXRhLWFuYWx5c2lzIG9mIHRoZSByZWxhdGlvbnNoaXAgYmV0d2VlbiBtYXRlcm5hbCBm
b2xpYyBhY2lkIHN1cHBsZW1lbnRhdGlvbiBhbmQgdGhlIHJpc2sgb2YgY29uZ2VuaXRhbCBoZWFy
dCBkZWZlY3RzPC90aXRsZT48c2Vjb25kYXJ5LXRpdGxlPkludCBIZWFydCBKPC9zZWNvbmRhcnkt
dGl0bGU+PC90aXRsZXM+PHBlcmlvZGljYWw+PGZ1bGwtdGl0bGU+SW50IEhlYXJ0IEo8L2Z1bGwt
dGl0bGU+PC9wZXJpb2RpY2FsPjxwYWdlcz43MjUtNzI4PC9wYWdlcz48dm9sdW1lPjU3PC92b2x1
bWU+PG51bWJlcj42PC9udW1iZXI+PGVkaXRpb24+MjAxNi8xMS8xMTwvZWRpdGlvbj48a2V5d29y
ZHM+PGtleXdvcmQ+KkRpZXRhcnkgU3VwcGxlbWVudHM8L2tleXdvcmQ+PGtleXdvcmQ+RmVtYWxl
PC9rZXl3b3JkPjxrZXl3b3JkPkZvbGljIEFjaWQvKnRoZXJhcGV1dGljIHVzZTwva2V5d29yZD48
a2V5d29yZD5IZWFydCBEZWZlY3RzLCBDb25nZW5pdGFsLypwcmV2ZW50aW9uICZhbXA7IGNvbnRy
b2w8L2tleXdvcmQ+PGtleXdvcmQ+SHVtYW5zPC9rZXl3b3JkPjxrZXl3b3JkPkluZmFudCwgTmV3
Ym9ybjwva2V5d29yZD48a2V5d29yZD5QcmVnbmFuY3k8L2tleXdvcmQ+PGtleXdvcmQ+UHJlbmF0
YWwgQ2FyZTwva2V5d29yZD48a2V5d29yZD5WaXRhbWluIEIgQ29tcGxleC8qdGhlcmFwZXV0aWMg
dXNlPC9rZXl3b3JkPjwva2V5d29yZHM+PGRhdGVzPjx5ZWFyPjIwMTY8L3llYXI+PHB1Yi1kYXRl
cz48ZGF0ZT5EZWMgMjwvZGF0ZT48L3B1Yi1kYXRlcz48L2RhdGVzPjxpc2JuPjEzNDktMzI5OSAo
RWxlY3Ryb25pYykmI3hEOzEzNDktMjM2NSAoTGlua2luZyk8L2lzYm4+PGFjY2Vzc2lvbi1udW0+
Mjc4Mjk2Mzk8L2FjY2Vzc2lvbi1udW0+PHVybHM+PHJlbGF0ZWQtdXJscz48dXJsPmh0dHBzOi8v
d3d3Lm5jYmkubmxtLm5paC5nb3YvcHVibWVkLzI3ODI5NjM5PC91cmw+PC9yZWxhdGVkLXVybHM+
PC91cmxzPjxlbGVjdHJvbmljLXJlc291cmNlLW51bT4xMC4xNTM2L2loai4xNi0wNTQ8L2VsZWN0
cm9uaWMtcmVzb3VyY2UtbnVtPjwvcmVjb3JkPjwvQ2l0ZT48Q2l0ZT48QXV0aG9yPlpoYW5nPC9B
dXRob3I+PFllYXI+MjAxNzwvWWVhcj48UmVjTnVtPjE0NDg8L1JlY051bT48cmVjb3JkPjxyZWMt
bnVtYmVyPjE0NDg8L3JlYy1udW1iZXI+PGZvcmVpZ24ta2V5cz48a2V5IGFwcD0iRU4iIGRiLWlk
PSJleHZhc3JmeDJkdHJhb2VzYXN4cDJzenN4YTJkZjUwMjU5MngiIHRpbWVzdGFtcD0iMTU3MTYy
NjMwNCI+MTQ0ODwva2V5PjxrZXkgYXBwPSJFTldlYiIgZGItaWQ9IiI+MDwva2V5PjwvZm9yZWln
bi1rZXlzPjxyZWYtdHlwZSBuYW1lPSJKb3VybmFsIEFydGljbGUiPjE3PC9yZWYtdHlwZT48Y29u
dHJpYnV0b3JzPjxhdXRob3JzPjxhdXRob3I+WmhhbmcsIFEuPC9hdXRob3I+PGF1dGhvcj5XYW5n
LCBZLjwvYXV0aG9yPjxhdXRob3I+WGluLCBYLjwvYXV0aG9yPjxhdXRob3I+WmhhbmcsIFkuPC9h
dXRob3I+PGF1dGhvcj5MaXUsIEQuPC9hdXRob3I+PGF1dGhvcj5QZW5nLCBaLjwvYXV0aG9yPjxh
dXRob3I+SGUsIFkuPC9hdXRob3I+PGF1dGhvcj5YdSwgSi48L2F1dGhvcj48YXV0aG9yPk1hLCBY
LjwvYXV0aG9yPjwvYXV0aG9ycz48L2NvbnRyaWJ1dG9ycz48YXV0aC1hZGRyZXNzPkJlaWppbmcg
VW5pdmVyc2l0eSBvZiBDaGluZXNlIE1lZGljaW5lLCBCZWkgU2FuIEh1YW4gRWFzdCBSb2FkLCBD
aGFveWFuZyBEaXN0cmljdCwgQmVpamluZyAxMDAwMjksIFBlb3BsZSZhcG9zO3MgUmVwdWJsaWMg
b2YgQ2hpbmE7IE5hdGlvbmFsIFJlc2VhcmNoIEluc3RpdHV0ZSBmb3IgRmFtaWx5IFBsYW5uaW5n
LCAxMiBEYSBIdWkgVGVtcGxlIFJvYWQsIEhhaWRpYW4gRGlzdHJpY3QsIEJlaWppbmcgMTAwMTgx
LCBQZW9wbGUmYXBvcztzIFJlcHVibGljIG9mIENoaW5hOyBHcmFkdWF0ZSBTY2hvb2wgb2YgUGVr
aW5nIFVuaW9uIE1lZGljYWwgQ29sbGVnZSwgRG9uZ2RhbiBTYW4gVGlhbywgRG9uZ2NoZW5nIERp
c3RyaWN0LCBCZWlqaW5nIDEwMDczMCwgUGVvcGxlJmFwb3M7cyBSZXB1YmxpYyBvZiBDaGluYS4m
I3hEO05hdGlvbmFsIFJlc2VhcmNoIEluc3RpdHV0ZSBmb3IgRmFtaWx5IFBsYW5uaW5nLCAxMiBE
YSBIdWkgVGVtcGxlIFJvYWQsIEhhaWRpYW4gRGlzdHJpY3QsIEJlaWppbmcgMTAwMTgxLCBQZW9w
bGUmYXBvcztzIFJlcHVibGljIG9mIENoaW5hLiYjeEQ7TmF0aW9uYWwgUmVzZWFyY2ggSW5zdGl0
dXRlIGZvciBGYW1pbHkgUGxhbm5pbmcsIDEyIERhIEh1aSBUZW1wbGUgUm9hZCwgSGFpZGlhbiBE
aXN0cmljdCwgQmVpamluZyAxMDAxODEsIFBlb3BsZSZhcG9zO3MgUmVwdWJsaWMgb2YgQ2hpbmE7
IEdyYWR1YXRlIFNjaG9vbCBvZiBQZWtpbmcgVW5pb24gTWVkaWNhbCBDb2xsZWdlLCBEb25nZGFu
IFNhbiBUaWFvLCBEb25nY2hlbmcgRGlzdHJpY3QsIEJlaWppbmcgMTAwNzMwLCBQZW9wbGUmYXBv
cztzIFJlcHVibGljIG9mIENoaW5hLiYjeEQ7TmF0aW9uYWwgUmVzZWFyY2ggSW5zdGl0dXRlIGZv
ciBGYW1pbHkgUGxhbm5pbmcsIDEyIERhIEh1aSBUZW1wbGUgUm9hZCwgSGFpZGlhbiBEaXN0cmlj
dCwgQmVpamluZyAxMDAxODEsIFBlb3BsZSZhcG9zO3MgUmVwdWJsaWMgb2YgQ2hpbmE7IEdyYWR1
YXRlIFNjaG9vbCBvZiBQZWtpbmcgVW5pb24gTWVkaWNhbCBDb2xsZWdlLCBEb25nZGFuIFNhbiBU
aWFvLCBEb25nY2hlbmcgRGlzdHJpY3QsIEJlaWppbmcgMTAwNzMwLCBQZW9wbGUmYXBvcztzIFJl
cHVibGljIG9mIENoaW5hLiBFbGVjdHJvbmljIGFkZHJlc3M6IG1heHVwdW1jQDE2My5jb20uPC9h
dXRoLWFkZHJlc3M+PHRpdGxlcz48dGl0bGU+RWZmZWN0IG9mIGZvbGljIGFjaWQgc3VwcGxlbWVu
dGF0aW9uIG9uIHByZXRlcm0gZGVsaXZlcnkgYW5kIHNtYWxsIGZvciBnZXN0YXRpb25hbCBhZ2Ug
YmlydGhzOiBBIHN5c3RlbWF0aWMgcmV2aWV3IGFuZCBtZXRhLWFuYWx5c2lzPC90aXRsZT48c2Vj
b25kYXJ5LXRpdGxlPlJlcHJvZCBUb3hpY29sPC9zZWNvbmRhcnktdGl0bGU+PC90aXRsZXM+PHBl
cmlvZGljYWw+PGZ1bGwtdGl0bGU+UmVwcm9kIFRveGljb2w8L2Z1bGwtdGl0bGU+PC9wZXJpb2Rp
Y2FsPjxwYWdlcz4zNS00MTwvcGFnZXM+PHZvbHVtZT42Nzwvdm9sdW1lPjxlZGl0aW9uPjIwMTYv
MTEvMjA8L2VkaXRpb24+PGtleXdvcmRzPjxrZXl3b3JkPkNvaG9ydCBTdHVkaWVzPC9rZXl3b3Jk
PjxrZXl3b3JkPipEaWV0YXJ5IFN1cHBsZW1lbnRzPC9rZXl3b3JkPjxrZXl3b3JkPkRydWcgQWRt
aW5pc3RyYXRpb24gU2NoZWR1bGU8L2tleXdvcmQ+PGtleXdvcmQ+RmVtYWxlPC9rZXl3b3JkPjxr
ZXl3b3JkPkZvbGljIEFjaWQvKmFkbWluaXN0cmF0aW9uICZhbXA7IGRvc2FnZTwva2V5d29yZD48
a2V5d29yZD5IdW1hbnM8L2tleXdvcmQ+PGtleXdvcmQ+SW5mYW50LCBOZXdib3JuPC9rZXl3b3Jk
PjxrZXl3b3JkPipJbmZhbnQsIFNtYWxsIGZvciBHZXN0YXRpb25hbCBBZ2U8L2tleXdvcmQ+PGtl
eXdvcmQ+UHJlZ25hbmN5PC9rZXl3b3JkPjxrZXl3b3JkPlByZW1hdHVyZSBCaXJ0aC9lcGlkZW1p
b2xvZ3kvKnByZXZlbnRpb24gJmFtcDsgY29udHJvbDwva2V5d29yZD48a2V5d29yZD4qRm9saWMg
YWNpZDwva2V5d29yZD48a2V5d29yZD4qUHJldGVybSBkZWxpdmVyeTwva2V5d29yZD48a2V5d29y
ZD4qU21hbGwgZm9yIGdlc3RhdGlvbmFsIGFnZTwva2V5d29yZD48L2tleXdvcmRzPjxkYXRlcz48
eWVhcj4yMDE3PC95ZWFyPjxwdWItZGF0ZXM+PGRhdGU+SmFuPC9kYXRlPjwvcHViLWRhdGVzPjwv
ZGF0ZXM+PGlzYm4+MTg3My0xNzA4IChFbGVjdHJvbmljKSYjeEQ7MDg5MC02MjM4IChMaW5raW5n
KTwvaXNibj48YWNjZXNzaW9uLW51bT4yNzg1NjM3MDwvYWNjZXNzaW9uLW51bT48dXJscz48cmVs
YXRlZC11cmxzPjx1cmw+aHR0cHM6Ly93d3cubmNiaS5ubG0ubmloLmdvdi9wdWJtZWQvMjc4NTYz
NzA8L3VybD48L3JlbGF0ZWQtdXJscz48L3VybHM+PGVsZWN0cm9uaWMtcmVzb3VyY2UtbnVtPjEw
LjEwMTYvai5yZXByb3RveC4yMDE2LjExLjAxMjwvZWxlY3Ryb25pYy1yZXNvdXJjZS1udW0+PC9y
ZWNvcmQ+PC9DaXRlPjxDaXRlPjxBdXRob3I+QmFsb2d1bjwvQXV0aG9yPjxZZWFyPjIwMTY8L1ll
YXI+PFJlY051bT4xMjc2PC9SZWNOdW0+PHJlY29yZD48cmVjLW51bWJlcj4xMjc2PC9yZWMtbnVt
YmVyPjxmb3JlaWduLWtleXM+PGtleSBhcHA9IkVOIiBkYi1pZD0iZXh2YXNyZngyZHRyYW9lc2Fz
eHAyc3pzeGEyZGY1MDI1OTJ4IiB0aW1lc3RhbXA9IjE1NjMzMjIwNjIiPjEyNzY8L2tleT48a2V5
IGFwcD0iRU5XZWIiIGRiLWlkPSIiPjA8L2tleT48L2ZvcmVpZ24ta2V5cz48cmVmLXR5cGUgbmFt
ZT0iSm91cm5hbCBBcnRpY2xlIj4xNzwvcmVmLXR5cGU+PGNvbnRyaWJ1dG9ycz48YXV0aG9ycz48
YXV0aG9yPkJhbG9ndW4sIE8uIE8uPC9hdXRob3I+PGF1dGhvcj5kYSBTaWx2YSBMb3BlcywgSy48
L2F1dGhvcj48YXV0aG9yPk90YSwgRS48L2F1dGhvcj48YXV0aG9yPlRha2Vtb3RvLCBZLjwvYXV0
aG9yPjxhdXRob3I+UnVtYm9sZCwgQS48L2F1dGhvcj48YXV0aG9yPlRha2VnYXRhLCBNLjwvYXV0
aG9yPjxhdXRob3I+TW9yaSwgUi48L2F1dGhvcj48L2F1dGhvcnM+PC9jb250cmlidXRvcnM+PGF1
dGgtYWRkcmVzcz5EZXBhcnRtZW50IG9mIEhlYWx0aCBQb2xpY3ksIE5hdGlvbmFsIENlbnRlciBm
b3IgQ2hpbGQgSGVhbHRoIGFuZCBEZXZlbG9wbWVudCwgTWVkaWNhbCBCdWlsZGluZyBOby4gMiwg
SG9uZ28gQ2FtcHVzLCAyLTEwLTEgT2t1cmEsIFRva3lvLCBUb2t5bywgSmFwYW4sIDE1Ny04NTM1
LjwvYXV0aC1hZGRyZXNzPjx0aXRsZXM+PHRpdGxlPlZpdGFtaW4gc3VwcGxlbWVudGF0aW9uIGZv
ciBwcmV2ZW50aW5nIG1pc2NhcnJpYWdlPC90aXRsZT48c2Vjb25kYXJ5LXRpdGxlPkNvY2hyYW5l
IERhdGFiYXNlIFN5c3QgUmV2PC9zZWNvbmRhcnktdGl0bGU+PC90aXRsZXM+PHBlcmlvZGljYWw+
PGZ1bGwtdGl0bGU+Q29jaHJhbmUgRGF0YWJhc2UgU3lzdCBSZXY8L2Z1bGwtdGl0bGU+PC9wZXJp
b2RpY2FsPjxwYWdlcz5DRDAwNDA3MzwvcGFnZXM+PG51bWJlcj41PC9udW1iZXI+PGVkaXRpb24+
MjAxNi8wNS8wNzwvZWRpdGlvbj48a2V5d29yZHM+PGtleXdvcmQ+QWJvcnRpb24sIEhhYml0dWFs
L3ByZXZlbnRpb24gJmFtcDsgY29udHJvbDwva2V5d29yZD48a2V5d29yZD5BYm9ydGlvbiwgU3Bv
bnRhbmVvdXMvKnByZXZlbnRpb24gJmFtcDsgY29udHJvbDwva2V5d29yZD48a2V5d29yZD5BbnRp
b3hpZGFudHMvYWRtaW5pc3RyYXRpb24gJmFtcDsgZG9zYWdlPC9rZXl3b3JkPjxrZXl3b3JkPkFz
Y29yYmljIEFjaWQvYWRtaW5pc3RyYXRpb24gJmFtcDsgZG9zYWdlPC9rZXl3b3JkPjxrZXl3b3Jk
PkRpZXRhcnkgU3VwcGxlbWVudHMvKmFkdmVyc2UgZWZmZWN0czwva2V5d29yZD48a2V5d29yZD5G
ZW1hbGU8L2tleXdvcmQ+PGtleXdvcmQ+Rm9saWMgQWNpZC9hZG1pbmlzdHJhdGlvbiAmYW1wOyBk
b3NhZ2U8L2tleXdvcmQ+PGtleXdvcmQ+SHVtYW5zPC9rZXl3b3JkPjxrZXl3b3JkPklyb24vYWRt
aW5pc3RyYXRpb24gJmFtcDsgZG9zYWdlPC9rZXl3b3JkPjxrZXl3b3JkPlByZS1FY2xhbXBzaWEv
cHJldmVudGlvbiAmYW1wOyBjb250cm9sPC9rZXl3b3JkPjxrZXl3b3JkPlByZWduYW5jeTwva2V5
d29yZD48a2V5d29yZD5QcmVnbmFuY3kgT3V0Y29tZTwva2V5d29yZD48a2V5d29yZD5QcmVnbmFu
Y3ksIE11bHRpcGxlPC9rZXl3b3JkPjxrZXl3b3JkPlByZW5hdGFsIENhcmU8L2tleXdvcmQ+PGtl
eXdvcmQ+UmFuZG9taXplZCBDb250cm9sbGVkIFRyaWFscyBhcyBUb3BpYzwva2V5d29yZD48a2V5
d29yZD5TdGlsbGJpcnRoPC9rZXl3b3JkPjxrZXl3b3JkPlZpdGFtaW4gQS9hZG1pbmlzdHJhdGlv
biAmYW1wOyBkb3NhZ2U8L2tleXdvcmQ+PGtleXdvcmQ+Vml0YW1pbnMvKmFkbWluaXN0cmF0aW9u
ICZhbXA7IGRvc2FnZS9hZHZlcnNlIGVmZmVjdHM8L2tleXdvcmQ+PC9rZXl3b3Jkcz48ZGF0ZXM+
PHllYXI+MjAxNjwveWVhcj48cHViLWRhdGVzPjxkYXRlPk1heSA2PC9kYXRlPjwvcHViLWRhdGVz
PjwvZGF0ZXM+PGlzYm4+MTQ2OS00OTNYIChFbGVjdHJvbmljKSYjeEQ7MTM2MS02MTM3IChMaW5r
aW5nKTwvaXNibj48YWNjZXNzaW9uLW51bT4yNzE1MDI4MDwvYWNjZXNzaW9uLW51bT48dXJscz48
cmVsYXRlZC11cmxzPjx1cmw+aHR0cHM6Ly93d3cubmNiaS5ubG0ubmloLmdvdi9wdWJtZWQvMjcx
NTAyODA8L3VybD48L3JlbGF0ZWQtdXJscz48L3VybHM+PGVsZWN0cm9uaWMtcmVzb3VyY2UtbnVt
PjEwLjEwMDIvMTQ2NTE4NTguQ0QwMDQwNzMucHViNDwvZWxlY3Ryb25pYy1yZXNvdXJjZS1udW0+
PC9yZWNvcmQ+PC9DaXRlPjxDaXRlPjxBdXRob3I+QnVsbG9jaDwvQXV0aG9yPjxZZWFyPjIwMTg8
L1llYXI+PFJlY051bT4xNDI0PC9SZWNOdW0+PHJlY29yZD48cmVjLW51bWJlcj4xNDI0PC9yZWMt
bnVtYmVyPjxmb3JlaWduLWtleXM+PGtleSBhcHA9IkVOIiBkYi1pZD0iZXh2YXNyZngyZHRyYW9l
c2FzeHAyc3pzeGEyZGY1MDI1OTJ4IiB0aW1lc3RhbXA9IjE1NzE2MjYxNzMiPjE0MjQ8L2tleT48
a2V5IGFwcD0iRU5XZWIiIGRiLWlkPSIiPjA8L2tleT48L2ZvcmVpZ24ta2V5cz48cmVmLXR5cGUg
bmFtZT0iSm91cm5hbCBBcnRpY2xlIj4xNzwvcmVmLXR5cGU+PGNvbnRyaWJ1dG9ycz48YXV0aG9y
cz48YXV0aG9yPkJ1bGxvY2gsIFJob2RpIEUuPC9hdXRob3I+PGF1dGhvcj5Mb3ZlbGwsIEFteSBM
LjwvYXV0aG9yPjxhdXRob3I+Sm9yZGFuLCBWYW5lc3NhIE0uIEIuPC9hdXRob3I+PGF1dGhvcj5N
Y0Nvd2FuLCBMZXNsZXkgTS4gRS48L2F1dGhvcj48YXV0aG9yPlRob21wc29uLCBKb2huIE0uIEQu
PC9hdXRob3I+PGF1dGhvcj5XYWxsLCBDbGFyZSBSLjwvYXV0aG9yPjwvYXV0aG9ycz48L2NvbnRy
aWJ1dG9ycz48dGl0bGVzPjx0aXRsZT5NYXRlcm5hbCBmb2xpYyBhY2lkIHN1cHBsZW1lbnRhdGlv
biBmb3IgdGhlIHByZXZlbnRpb24gb2YgcHJlZWNsYW1wc2lhOiBBIHN5c3RlbWF0aWMgcmV2aWV3
IGFuZCBtZXRhLWFuYWx5c2lzPC90aXRsZT48c2Vjb25kYXJ5LXRpdGxlPlBhZWRpYXRyaWMgYW5k
IFBlcmluYXRhbCBFcGlkZW1pb2xvZ3k8L3NlY29uZGFyeS10aXRsZT48L3RpdGxlcz48cGVyaW9k
aWNhbD48ZnVsbC10aXRsZT5QYWVkaWF0cmljIGFuZCBQZXJpbmF0YWwgRXBpZGVtaW9sb2d5PC9m
dWxsLXRpdGxlPjwvcGVyaW9kaWNhbD48cGFnZXM+MzQ2LTM1NzwvcGFnZXM+PHZvbHVtZT4zMjwv
dm9sdW1lPjxudW1iZXI+NDwvbnVtYmVyPjxzZWN0aW9uPjM0Njwvc2VjdGlvbj48ZGF0ZXM+PHll
YXI+MjAxODwveWVhcj48L2RhdGVzPjxpc2JuPjAyNjk1MDIyPC9pc2JuPjx1cmxzPjwvdXJscz48
ZWxlY3Ryb25pYy1yZXNvdXJjZS1udW0+MTAuMTExMS9wcGUuMTI0NzY8L2VsZWN0cm9uaWMtcmVz
b3VyY2UtbnVtPjwvcmVjb3JkPjwvQ2l0ZT48Q2l0ZT48QXV0aG9yPkNoaWF2YXJpbmk8L0F1dGhv
cj48WWVhcj4yMDE4PC9ZZWFyPjxSZWNOdW0+MTQyNzwvUmVjTnVtPjxyZWNvcmQ+PHJlYy1udW1i
ZXI+MTQyNzwvcmVjLW51bWJlcj48Zm9yZWlnbi1rZXlzPjxrZXkgYXBwPSJFTiIgZGItaWQ9ImV4
dmFzcmZ4MmR0cmFvZXNhc3hwMnN6c3hhMmRmNTAyNTkyeCIgdGltZXN0YW1wPSIxNTcxNjI2MTg5
Ij4xNDI3PC9rZXk+PGtleSBhcHA9IkVOV2ViIiBkYi1pZD0iIj4wPC9rZXk+PC9mb3JlaWduLWtl
eXM+PHJlZi10eXBlIG5hbWU9IkpvdXJuYWwgQXJ0aWNsZSI+MTc8L3JlZi10eXBlPjxjb250cmli
dXRvcnM+PGF1dGhvcnM+PGF1dGhvcj5DaGlhdmFyaW5pLCBNLjwvYXV0aG9yPjxhdXRob3I+TmFs
ZGluaSwgRy48L2F1dGhvcj48YXV0aG9yPkZhYmlhbmksIFIuPC9hdXRob3I+PC9hdXRob3JzPjwv
Y29udHJpYnV0b3JzPjxhdXRoLWFkZHJlc3M+RGVwYXJ0bWVudCBvZiBFeHBlcmltZW50YWwgTWVk
aWNpbmUsIFNlY3Rpb24gb2YgUHVibGljIEhlYXRoLCBVbml2ZXJzaXR5IG9mIFBlcnVnaWEsIFBl
cnVnaWEsIEl0YWx5LiYjeEQ7RGVwYXJ0bWVudCBvZiBFeHBlcmltZW50YWwgTWVkaWNpbmUsIFNl
Y3Rpb24gb2YgUHVibGljIEhlYXRoLCBTY2hvb2wgb2YgSHlnaWVuZSBhbmQgUHJldmVudGl2ZSBN
ZWRpY2luZSwgVW5pdmVyc2l0eSBvZiBQZXJ1Z2lhLCBQZXJ1Z2lhLCBJdGFseS4mI3hEO0RlcGFy
dG1lbnQgb2YgQ2hlbWlzdHJ5LCBCaW9sb2d5IGFuZCBCaW90ZWNobm9sb2d5LCBVbml2ZXJzaXR5
IG9mIFBlcnVnaWEsIFBlcnVnaWEsIEl0YWx5LjwvYXV0aC1hZGRyZXNzPjx0aXRsZXM+PHRpdGxl
Pk1hdGVybmFsIEZvbGF0ZSBJbnRha2UgYW5kIFJpc2sgb2YgQ2hpbGRob29kIEJyYWluIGFuZCBT
cGluYWwgQ29yZCBUdW1vcnM6IEEgU3lzdGVtYXRpYyBSZXZpZXcgYW5kIE1ldGEtQW5hbHlzaXM8
L3RpdGxlPjxzZWNvbmRhcnktdGl0bGU+TmV1cm9lcGlkZW1pb2xvZ3k8L3NlY29uZGFyeS10aXRs
ZT48L3RpdGxlcz48cGVyaW9kaWNhbD48ZnVsbC10aXRsZT5OZXVyb2VwaWRlbWlvbG9neTwvZnVs
bC10aXRsZT48L3BlcmlvZGljYWw+PHBhZ2VzPjgyLTk1PC9wYWdlcz48dm9sdW1lPjUxPC92b2x1
bWU+PG51bWJlcj4xLTI8L251bWJlcj48ZWRpdGlvbj4yMDE4LzA3LzA0PC9lZGl0aW9uPjxrZXl3
b3Jkcz48a2V5d29yZD5CcmFpbiBOZW9wbGFzbXMvKmVwaWRlbWlvbG9neTwva2V5d29yZD48a2V5
d29yZD5GZW1hbGU8L2tleXdvcmQ+PGtleXdvcmQ+KkZvbGljIEFjaWQ8L2tleXdvcmQ+PGtleXdv
cmQ+SHVtYW5zPC9rZXl3b3JkPjxrZXl3b3JkPipNYXRlcm5hbCBOdXRyaXRpb25hbCBQaHlzaW9s
b2dpY2FsIFBoZW5vbWVuYTwva2V5d29yZD48a2V5d29yZD5QcmVnbmFuY3k8L2tleXdvcmQ+PGtl
eXdvcmQ+Umlzazwva2V5d29yZD48a2V5d29yZD5TcGluYWwgQ29yZCBOZW9wbGFzbXMvKmVwaWRl
bWlvbG9neTwva2V5d29yZD48a2V5d29yZD4qQ2VudHJhbCBuZXJ2b3VzIHN5c3RlbSBuZW9wbGFz
bXM8L2tleXdvcmQ+PGtleXdvcmQ+KkNoaWxkPC9rZXl3b3JkPjxrZXl3b3JkPipGb2xpYyBhY2lk
L2FkbWluaXN0cmF0aW9uIGFuZCBkb3NhZ2U8L2tleXdvcmQ+PGtleXdvcmQ+Kk1ldGEtYW5hbHlz
aXMgYXMgdG9waWM8L2tleXdvcmQ+PGtleXdvcmQ+KlByZW5hdGFsIG51dHJpdGlvbmFsIHBoeXNp
b2xvZ2ljYWwgcGhlbm9tZW5hPC9rZXl3b3JkPjwva2V5d29yZHM+PGRhdGVzPjx5ZWFyPjIwMTg8
L3llYXI+PC9kYXRlcz48aXNibj4xNDIzLTAyMDggKEVsZWN0cm9uaWMpJiN4RDswMjUxLTUzNTAg
KExpbmtpbmcpPC9pc2JuPjxhY2Nlc3Npb24tbnVtPjI5OTY5NzY1PC9hY2Nlc3Npb24tbnVtPjx1
cmxzPjxyZWxhdGVkLXVybHM+PHVybD5odHRwczovL3d3dy5uY2JpLm5sbS5uaWguZ292L3B1Ym1l
ZC8yOTk2OTc2NTwvdXJsPjwvcmVsYXRlZC11cmxzPjwvdXJscz48ZWxlY3Ryb25pYy1yZXNvdXJj
ZS1udW0+MTAuMTE1OS8wMDA0OTAyNDk8L2VsZWN0cm9uaWMtcmVzb3VyY2UtbnVtPjwvcmVjb3Jk
PjwvQ2l0ZT48Q2l0ZT48QXV0aG9yPkNyaWRlcjwvQXV0aG9yPjxZZWFyPjIwMTM8L1llYXI+PFJl
Y051bT4xNDI4PC9SZWNOdW0+PHJlY29yZD48cmVjLW51bWJlcj4xNDI4PC9yZWMtbnVtYmVyPjxm
b3JlaWduLWtleXM+PGtleSBhcHA9IkVOIiBkYi1pZD0iZXh2YXNyZngyZHRyYW9lc2FzeHAyc3pz
eGEyZGY1MDI1OTJ4IiB0aW1lc3RhbXA9IjE1NzE2MjYxOTYiPjE0Mjg8L2tleT48a2V5IGFwcD0i
RU5XZWIiIGRiLWlkPSIiPjA8L2tleT48L2ZvcmVpZ24ta2V5cz48cmVmLXR5cGUgbmFtZT0iSm91
cm5hbCBBcnRpY2xlIj4xNzwvcmVmLXR5cGU+PGNvbnRyaWJ1dG9ycz48YXV0aG9ycz48YXV0aG9y
PkNyaWRlciwgS3Jpc3RhIFMuPC9hdXRob3I+PGF1dGhvcj5Db3JkZXJvLCBBbXkgTS48L2F1dGhv
cj48YXV0aG9yPlFpLCBZYW4gUGluZzwvYXV0aG9yPjxhdXRob3I+TXVsaW5hcmUsIEpvc2VwaDwv
YXV0aG9yPjxhdXRob3I+RG93bGluZywgTmljb2xlIEYuPC9hdXRob3I+PGF1dGhvcj5CZXJyeSwg
Um9iZXJ0IEouPC9hdXRob3I+PC9hdXRob3JzPjwvY29udHJpYnV0b3JzPjx0aXRsZXM+PHRpdGxl
PlByZW5hdGFsIGZvbGljIGFjaWQgYW5kIHJpc2sgb2YgYXN0aG1hIGluIGNoaWxkcmVuOiBhIHN5
c3RlbWF0aWMgcmV2aWV3IGFuZCBtZXRhLWFuYWx5c2lzPC90aXRsZT48c2Vjb25kYXJ5LXRpdGxl
PlRoZSBBbWVyaWNhbiBKb3VybmFsIG9mIENsaW5pY2FsIE51dHJpdGlvbjwvc2Vjb25kYXJ5LXRp
dGxlPjwvdGl0bGVzPjxwZXJpb2RpY2FsPjxmdWxsLXRpdGxlPlRoZSBBbWVyaWNhbiBKb3VybmFs
IG9mIENsaW5pY2FsIE51dHJpdGlvbjwvZnVsbC10aXRsZT48L3BlcmlvZGljYWw+PHBhZ2VzPjEy
NzItMTI4MTwvcGFnZXM+PHZvbHVtZT45ODwvdm9sdW1lPjxudW1iZXI+NTwvbnVtYmVyPjxzZWN0
aW9uPjEyNzI8L3NlY3Rpb24+PGRhdGVzPjx5ZWFyPjIwMTM8L3llYXI+PC9kYXRlcz48aXNibj4w
MDAyLTkxNjUmI3hEOzE5MzgtMzIwNzwvaXNibj48dXJscz48L3VybHM+PGVsZWN0cm9uaWMtcmVz
b3VyY2UtbnVtPjEwLjM5NDUvYWpjbi4xMTMuMDY1NjIzPC9lbGVjdHJvbmljLXJlc291cmNlLW51
bT48L3JlY29yZD48L0NpdGU+PENpdGU+PEF1dGhvcj5EZS1SZWdpbDwvQXV0aG9yPjxZZWFyPjIw
MTU8L1llYXI+PFJlY051bT4xNDMwPC9SZWNOdW0+PHJlY29yZD48cmVjLW51bWJlcj4xNDMwPC9y
ZWMtbnVtYmVyPjxmb3JlaWduLWtleXM+PGtleSBhcHA9IkVOIiBkYi1pZD0iZXh2YXNyZngyZHRy
YW9lc2FzeHAyc3pzeGEyZGY1MDI1OTJ4IiB0aW1lc3RhbXA9IjE1NzE2MjYyMDYiPjE0MzA8L2tl
eT48a2V5IGFwcD0iRU5XZWIiIGRiLWlkPSIiPjA8L2tleT48L2ZvcmVpZ24ta2V5cz48cmVmLXR5
cGUgbmFtZT0iSm91cm5hbCBBcnRpY2xlIj4xNzwvcmVmLXR5cGU+PGNvbnRyaWJ1dG9ycz48YXV0
aG9ycz48YXV0aG9yPkRlLVJlZ2lsLCBMLiBNLjwvYXV0aG9yPjxhdXRob3I+UGVuYS1Sb3Nhcywg
Si4gUC48L2F1dGhvcj48YXV0aG9yPkZlcm5hbmRlei1HYXhpb2xhLCBBLiBDLjwvYXV0aG9yPjxh
dXRob3I+UmF5Y28tU29sb24sIFAuPC9hdXRob3I+PC9hdXRob3JzPjwvY29udHJpYnV0b3JzPjxh
dXRoLWFkZHJlc3M+UmVzZWFyY2ggYW5kIEV2YWx1YXRpb24sIE1pY3JvbnV0cmllbnQgSW5pdGlh
dGl2ZSwgMTgwIEVsZ2luIFN0cmVldCwgU3VpdGUgMTAwMCwgT3R0YXdhLCBPTiwgQ2FuYWRhLCBL
MlAgMkszLjwvYXV0aC1hZGRyZXNzPjx0aXRsZXM+PHRpdGxlPkVmZmVjdHMgYW5kIHNhZmV0eSBv
ZiBwZXJpY29uY2VwdGlvbmFsIG9yYWwgZm9sYXRlIHN1cHBsZW1lbnRhdGlvbiBmb3IgcHJldmVu
dGluZyBiaXJ0aCBkZWZlY3RzPC90aXRsZT48c2Vjb25kYXJ5LXRpdGxlPkNvY2hyYW5lIERhdGFi
YXNlIFN5c3QgUmV2PC9zZWNvbmRhcnktdGl0bGU+PC90aXRsZXM+PHBlcmlvZGljYWw+PGZ1bGwt
dGl0bGU+Q29jaHJhbmUgRGF0YWJhc2UgU3lzdCBSZXY8L2Z1bGwtdGl0bGU+PC9wZXJpb2RpY2Fs
PjxwYWdlcz5DRDAwNzk1MDwvcGFnZXM+PG51bWJlcj4xMjwvbnVtYmVyPjxlZGl0aW9uPjIwMTUv
MTIvMTU8L2VkaXRpb24+PGtleXdvcmRzPjxrZXl3b3JkPkRpZXRhcnkgU3VwcGxlbWVudHM8L2tl
eXdvcmQ+PGtleXdvcmQ+RmVtYWxlPC9rZXl3b3JkPjxrZXl3b3JkPkZvbGljIEFjaWQvKmFkbWlu
aXN0cmF0aW9uICZhbXA7IGRvc2FnZTwva2V5d29yZD48a2V5d29yZD5IdW1hbnM8L2tleXdvcmQ+
PGtleXdvcmQ+SW5mYW50PC9rZXl3b3JkPjxrZXl3b3JkPk5ldXJhbCBUdWJlIERlZmVjdHMvKnBy
ZXZlbnRpb24gJmFtcDsgY29udHJvbDwva2V5d29yZD48a2V5d29yZD5QcmVjb25jZXB0aW9uIENh
cmU8L2tleXdvcmQ+PGtleXdvcmQ+UHJlZ25hbmN5PC9rZXl3b3JkPjxrZXl3b3JkPlJhbmRvbWl6
ZWQgQ29udHJvbGxlZCBUcmlhbHMgYXMgVG9waWM8L2tleXdvcmQ+PGtleXdvcmQ+Vml0YW1pbiBC
IENvbXBsZXgvKmFkbWluaXN0cmF0aW9uICZhbXA7IGRvc2FnZTwva2V5d29yZD48L2tleXdvcmRz
PjxkYXRlcz48eWVhcj4yMDE1PC95ZWFyPjxwdWItZGF0ZXM+PGRhdGU+RGVjIDE0PC9kYXRlPjwv
cHViLWRhdGVzPjwvZGF0ZXM+PGlzYm4+MTQ2OS00OTNYIChFbGVjdHJvbmljKSYjeEQ7MTM2MS02
MTM3IChMaW5raW5nKTwvaXNibj48YWNjZXNzaW9uLW51bT4yNjY2MjkyODwvYWNjZXNzaW9uLW51
bT48dXJscz48cmVsYXRlZC11cmxzPjx1cmw+aHR0cHM6Ly93d3cubmNiaS5ubG0ubmloLmdvdi9w
dWJtZWQvMjY2NjI5Mjg8L3VybD48L3JlbGF0ZWQtdXJscz48L3VybHM+PGVsZWN0cm9uaWMtcmVz
b3VyY2UtbnVtPjEwLjEwMDIvMTQ2NTE4NTguQ0QwMDc5NTAucHViMzwvZWxlY3Ryb25pYy1yZXNv
dXJjZS1udW0+PC9yZWNvcmQ+PC9DaXRlPjxDaXRlPjxBdXRob3I+RGVzc3lwcmlzPC9BdXRob3I+
PFllYXI+MjAxNzwvWWVhcj48UmVjTnVtPjEzNTQ8L1JlY051bT48cmVjb3JkPjxyZWMtbnVtYmVy
PjEzNTQ8L3JlYy1udW1iZXI+PGZvcmVpZ24ta2V5cz48a2V5IGFwcD0iRU4iIGRiLWlkPSJleHZh
c3JmeDJkdHJhb2VzYXN4cDJzenN4YTJkZjUwMjU5MngiIHRpbWVzdGFtcD0iMTU2NzAzMTAyMyI+
MTM1NDwva2V5PjxrZXkgYXBwPSJFTldlYiIgZGItaWQ9IiI+MDwva2V5PjwvZm9yZWlnbi1rZXlz
PjxyZWYtdHlwZSBuYW1lPSJKb3VybmFsIEFydGljbGUiPjE3PC9yZWYtdHlwZT48Y29udHJpYnV0
b3JzPjxhdXRob3JzPjxhdXRob3I+RGVzc3lwcmlzLCBOLjwvYXV0aG9yPjxhdXRob3I+S2FyYWxl
eGksIE0uIEEuPC9hdXRob3I+PGF1dGhvcj5OdG91dmVsaXMsIEUuPC9hdXRob3I+PGF1dGhvcj5E
aWFtYW50YXJhcywgQS4gQS48L2F1dGhvcj48YXV0aG9yPlBhcGFkYWtpcywgVi48L2F1dGhvcj48
YXV0aG9yPkJha2EsIE0uPC9hdXRob3I+PGF1dGhvcj5IYXR6aXBhbnRlbGlzLCBFLjwvYXV0aG9y
PjxhdXRob3I+S291cnRpLCBNLjwvYXV0aG9yPjxhdXRob3I+TW9zY2hvdmksIE0uPC9hdXRob3I+
PGF1dGhvcj5Qb2x5Y2hyb25vcG91bG91LCBTLjwvYXV0aG9yPjxhdXRob3I+U2lkaSwgVi48L2F1
dGhvcj48YXV0aG9yPlN0aWFrYWtpLCBFLjwvYXV0aG9yPjxhdXRob3I+UGV0cmlkb3UsIEUuIFQu
PC9hdXRob3I+PC9hdXRob3JzPjwvY29udHJpYnV0b3JzPjxhdXRoLWFkZHJlc3M+RGVwYXJ0bWVu
dCBvZiBIeWdpZW5lLCBFcGlkZW1pb2xvZ3kgYW5kIE1lZGljYWwgU3RhdGlzdGljcywgU2Nob29s
IG9mIE1lZGljaW5lLCBVbml2ZXJzaXR5IG9mIEF0aGVucywgR3JlZWNlLiYjeEQ7RGVwYXJ0bWVu
dCBvZiBIeWdpZW5lLCBFcGlkZW1pb2xvZ3kgYW5kIE1lZGljYWwgU3RhdGlzdGljcywgU2Nob29s
IG9mIE1lZGljaW5lLCBVbml2ZXJzaXR5IG9mIEF0aGVucywgR3JlZWNlOyBOZXVyb2xvZ2lzY2hl
IEtsaW5paywgS2xpbmlrdW0gTWl0dGVsYmFkZW4gUmFzdGF0dCwgUmFzdGF0dCwgR2VybWFueS4m
I3hEO0RlcGFydG1lbnQgb2YgUGVkaWF0cmljIEhlbWF0b2xvZ3ktT25jb2xvZ3ksICZxdW90O1Bh
bi4mYW1wO0FnbC4gS3lyaWFrb3UmcXVvdDsgQ2hpbGRyZW4mYXBvcztzIEhvc3BpdGFsLCBBdGhl
bnMsIEdyZWVjZS4mI3hEOzJuZCBEZXBhcnRtZW50IG9mIFBlZGlhdHJpY3MsIEFyaXN0b3RlbGlv
biBVbml2ZXJzaXR5IG9mIFRoZXNzYWxvbmlraSwgQUhFUEEgR2VuZXJhbCBIb3NwaXRhbCwgVGhl
c3NhbG9uaWtpLCBHcmVlY2UuJiN4RDtEZXBhcnRtZW50IG9mIFBlZGlhdHJpYyBIZW1hdG9sb2d5
IGFuZCBPbmNvbG9neSwgSGlwcG9rcmF0aW9uIEhvc3BpdGFsLCBUaGVzc2Fsb25pa2ksIEdyZWVj
ZS4mI3hEO0hhZW1hdG9sb2d5LU9uY29sb2d5IFVuaXQsIEZpcnN0IERlcGFydG1lbnQgb2YgUGVk
aWF0cmljcywgQXRoZW5zIFVuaXZlcnNpdHkgTWVkaWNhbCBTY2hvb2wsICZxdW90O0FnaGlhIFNv
cGhpYSZxdW90OyBDaGlsZHJlbiZhcG9zO3MgSG9zcGl0YWwsIEF0aGVucywgR3JlZWNlLiYjeEQ7
RGVwYXJ0bWVudCBvZiBQZWRpYXRyaWMgSGFlbWF0b2xvZ3ktT25jb2xvZ3ksICZxdW90O0FnaGlh
IFNvcGhpYSZxdW90OyBDaGlsZHJlbiZhcG9zO3MgSG9zcGl0YWwsIEF0aGVucywgR3JlZWNlLiYj
eEQ7RGVwYXJ0bWVudCBvZiBQZWRpYXRyaWMgSGVtYXRvbG9neS1PbmNvbG9neSwgVW5pdmVyc2l0
eSBIb3NwaXRhbCBvZiBIZXJha2xpb24sIEhlcmFrbGlvbiwgR3JlZWNlLiYjeEQ7RGVwYXJ0bWVu
dCBvZiBIeWdpZW5lLCBFcGlkZW1pb2xvZ3kgYW5kIE1lZGljYWwgU3RhdGlzdGljcywgU2Nob29s
IG9mIE1lZGljaW5lLCBVbml2ZXJzaXR5IG9mIEF0aGVucywgR3JlZWNlLiBFbGVjdHJvbmljIGFk
ZHJlc3M6IGVwZXRyaWRAbWVkLnVvYS5nci48L2F1dGgtYWRkcmVzcz48dGl0bGVzPjx0aXRsZT5B
c3NvY2lhdGlvbiBvZiBtYXRlcm5hbCBhbmQgaW5kZXggY2hpbGQmYXBvcztzIGRpZXQgd2l0aCBz
dWJzZXF1ZW50IGxldWtlbWlhIHJpc2s6IEEgc3lzdGVtYXRpYyByZXZpZXcgYW5kIG1ldGEgYW5h
bHlzaXM8L3RpdGxlPjxzZWNvbmRhcnktdGl0bGU+Q2FuY2VyIEVwaWRlbWlvbDwvc2Vjb25kYXJ5
LXRpdGxlPjwvdGl0bGVzPjxwZXJpb2RpY2FsPjxmdWxsLXRpdGxlPkNhbmNlciBFcGlkZW1pb2w8
L2Z1bGwtdGl0bGU+PC9wZXJpb2RpY2FsPjxwYWdlcz42NC03NTwvcGFnZXM+PHZvbHVtZT40Nzwv
dm9sdW1lPjxlZGl0aW9uPjIwMTcvMDEvMjk8L2VkaXRpb24+PGtleXdvcmRzPjxrZXl3b3JkPkFk
dWx0PC9rZXl3b3JkPjxrZXl3b3JkPkNoaWxkPC9rZXl3b3JkPjxrZXl3b3JkPipEaWV0PC9rZXl3
b3JkPjxrZXl3b3JkPipEaWV0YXJ5IFN1cHBsZW1lbnRzPC9rZXl3b3JkPjxrZXl3b3JkPkZlbWFs
ZTwva2V5d29yZD48a2V5d29yZD5IdW1hbnM8L2tleXdvcmQ+PGtleXdvcmQ+UHJlY3Vyc29yIENl
bGwgTHltcGhvYmxhc3RpYyBMZXVrZW1pYS1MeW1waG9tYS8qZXRpb2xvZ3kvKnByZXZlbnRpb24g
JmFtcDsgY29udHJvbDwva2V5d29yZD48a2V5d29yZD5QcmVnbmFuY3k8L2tleXdvcmQ+PGtleXdv
cmQ+UmlzayBGYWN0b3JzPC9rZXl3b3JkPjxrZXl3b3JkPipDaGlsZGhvb2QgZGlldDwva2V5d29y
ZD48a2V5d29yZD4qRm9saWMgYWNpZDwva2V5d29yZD48a2V5d29yZD4qRm9vZCBncm91cDwva2V5
d29yZD48a2V5d29yZD4qSXJvbjwva2V5d29yZD48a2V5d29yZD4qTGV1a2VtaWE8L2tleXdvcmQ+
PGtleXdvcmQ+Kk1hdGVybmFsIGRpZXQ8L2tleXdvcmQ+PGtleXdvcmQ+Kk1pY3JvbnV0cmllbnRz
PC9rZXl3b3JkPjxrZXl3b3JkPipQcmVjb25jZXB0aW9uPC9rZXl3b3JkPjxrZXl3b3JkPipTdXBw
bGVtZW50czwva2V5d29yZD48a2V5d29yZD4qVml0YW1pbnM8L2tleXdvcmQ+PC9rZXl3b3Jkcz48
ZGF0ZXM+PHllYXI+MjAxNzwveWVhcj48cHViLWRhdGVzPjxkYXRlPkFwcjwvZGF0ZT48L3B1Yi1k
YXRlcz48L2RhdGVzPjxpc2JuPjE4NzctNzgzWCAoRWxlY3Ryb25pYykmI3hEOzE4NzctNzgyMSAo
TGlua2luZyk8L2lzYm4+PGFjY2Vzc2lvbi1udW0+MjgxMzA5OTY8L2FjY2Vzc2lvbi1udW0+PHVy
bHM+PHJlbGF0ZWQtdXJscz48dXJsPmh0dHBzOi8vd3d3Lm5jYmkubmxtLm5paC5nb3YvcHVibWVk
LzI4MTMwOTk2PC91cmw+PC9yZWxhdGVkLXVybHM+PC91cmxzPjxlbGVjdHJvbmljLXJlc291cmNl
LW51bT4xMC4xMDE2L2ouY2FuZXAuMjAxNy4wMS4wMDM8L2VsZWN0cm9uaWMtcmVzb3VyY2UtbnVt
PjwvcmVjb3JkPjwvQ2l0ZT48Q2l0ZT48QXV0aG9yPkZlbmc8L0F1dGhvcj48WWVhcj4yMDE1PC9Z
ZWFyPjxSZWNOdW0+MTQzMjwvUmVjTnVtPjxyZWNvcmQ+PHJlYy1udW1iZXI+MTQzMjwvcmVjLW51
bWJlcj48Zm9yZWlnbi1rZXlzPjxrZXkgYXBwPSJFTiIgZGItaWQ9ImV4dmFzcmZ4MmR0cmFvZXNh
c3hwMnN6c3hhMmRmNTAyNTkyeCIgdGltZXN0YW1wPSIxNTcxNjI2MjE4Ij4xNDMyPC9rZXk+PGtl
eSBhcHA9IkVOV2ViIiBkYi1pZD0iIj4wPC9rZXk+PC9mb3JlaWduLWtleXM+PHJlZi10eXBlIG5h
bWU9IkpvdXJuYWwgQXJ0aWNsZSI+MTc8L3JlZi10eXBlPjxjb250cmlidXRvcnM+PGF1dGhvcnM+
PGF1dGhvcj5GZW5nLCBZLjwvYXV0aG9yPjxhdXRob3I+V2FuZywgUy48L2F1dGhvcj48YXV0aG9y
PkNoZW4sIFIuPC9hdXRob3I+PGF1dGhvcj5Ub25nLCBYLjwvYXV0aG9yPjxhdXRob3I+V3UsIFou
PC9hdXRob3I+PGF1dGhvcj5NbywgWC48L2F1dGhvcj48L2F1dGhvcnM+PC9jb250cmlidXRvcnM+
PGF1dGgtYWRkcmVzcz5EZXBhcnRtZW50IG9mIENhcmRpb3Rob3JhY2ljIFN1cmdlcnksIFRoZSBB
ZmZpbGlhdGVkIENoaWxkcmVuJmFwb3M7cyBIb3NwaXRhbCBvZiBOYW5qaW5nIE1lZGljYWwgVW5p
dmVyc2l0eSwgTmFuamluZywgSmlhbmdzdSwgQ2hpbmEuJiN4RDtBdGhlcm9zY2xlcm9zaXMgUmVz
ZWFyY2ggQ2VudGVyLCBLZXkgTGFib3JhdG9yeSBvZiBDYXJkaW92YXNjdWxhciBEaXNlYXNlIGFu
ZCBNb2xlY3VsYXIgSW50ZXJ2ZW50aW9uLCBOYW5qaW5nIE1lZGljYWwgVW5pdmVyc2l0eSwgTmFu
amluZywgSmlhbmdzdSwgQ2hpbmEuPC9hdXRoLWFkZHJlc3M+PHRpdGxlcz48dGl0bGU+TWF0ZXJu
YWwgZm9saWMgYWNpZCBzdXBwbGVtZW50YXRpb24gYW5kIHRoZSByaXNrIG9mIGNvbmdlbml0YWwg
aGVhcnQgZGVmZWN0cyBpbiBvZmZzcHJpbmc6IGEgbWV0YS1hbmFseXNpcyBvZiBlcGlkZW1pb2xv
Z2ljYWwgb2JzZXJ2YXRpb25hbCBzdHVkaWVzPC90aXRsZT48c2Vjb25kYXJ5LXRpdGxlPlNjaSBS
ZXA8L3NlY29uZGFyeS10aXRsZT48L3RpdGxlcz48cGVyaW9kaWNhbD48ZnVsbC10aXRsZT5TY2kg
UmVwPC9mdWxsLXRpdGxlPjwvcGVyaW9kaWNhbD48cGFnZXM+ODUwNjwvcGFnZXM+PHZvbHVtZT41
PC92b2x1bWU+PGVkaXRpb24+MjAxNS8wMi8xODwvZWRpdGlvbj48a2V5d29yZHM+PGtleXdvcmQ+
KkRpZXRhcnkgU3VwcGxlbWVudHM8L2tleXdvcmQ+PGtleXdvcmQ+RmVtYWxlPC9rZXl3b3JkPjxr
ZXl3b3JkPkZvbGljIEFjaWQvKmFkdmVyc2UgZWZmZWN0czwva2V5d29yZD48a2V5d29yZD5IZWFy
dCBEZWZlY3RzLCBDb25nZW5pdGFsLyplcGlkZW1pb2xvZ3kvKmV0aW9sb2d5PC9rZXl3b3JkPjxr
ZXl3b3JkPkh1bWFuczwva2V5d29yZD48a2V5d29yZD4qTWF0ZXJuYWwgRXhwb3N1cmU8L2tleXdv
cmQ+PGtleXdvcmQ+T2RkcyBSYXRpbzwva2V5d29yZD48a2V5d29yZD5QcmVnbmFuY3k8L2tleXdv
cmQ+PGtleXdvcmQ+KlByZW5hdGFsIEV4cG9zdXJlIERlbGF5ZWQgRWZmZWN0czwva2V5d29yZD48
a2V5d29yZD5SaXNrPC9rZXl3b3JkPjwva2V5d29yZHM+PGRhdGVzPjx5ZWFyPjIwMTU8L3llYXI+
PHB1Yi1kYXRlcz48ZGF0ZT5GZWIgMTc8L2RhdGU+PC9wdWItZGF0ZXM+PC9kYXRlcz48aXNibj4y
MDQ1LTIzMjIgKEVsZWN0cm9uaWMpJiN4RDsyMDQ1LTIzMjIgKExpbmtpbmcpPC9pc2JuPjxhY2Nl
c3Npb24tbnVtPjI1Njg3NTQ1PC9hY2Nlc3Npb24tbnVtPjx1cmxzPjxyZWxhdGVkLXVybHM+PHVy
bD5odHRwczovL3d3dy5uY2JpLm5sbS5uaWguZ292L3B1Ym1lZC8yNTY4NzU0NTwvdXJsPjwvcmVs
YXRlZC11cmxzPjwvdXJscz48Y3VzdG9tMj5QTUM0MzMwNTQyPC9jdXN0b20yPjxlbGVjdHJvbmlj
LXJlc291cmNlLW51bT4xMC4xMDM4L3NyZXAwODUwNjwvZWxlY3Ryb25pYy1yZXNvdXJjZS1udW0+
PC9yZWNvcmQ+PC9DaXRlPjxDaXRlPjxBdXRob3I+SG9kZ2V0dHM8L0F1dGhvcj48WWVhcj4yMDE1
PC9ZZWFyPjxSZWNOdW0+MTQ0OTwvUmVjTnVtPjxyZWNvcmQ+PHJlYy1udW1iZXI+MTQ0OTwvcmVj
LW51bWJlcj48Zm9yZWlnbi1rZXlzPjxrZXkgYXBwPSJFTiIgZGItaWQ9ImV4dmFzcmZ4MmR0cmFv
ZXNhc3hwMnN6c3hhMmRmNTAyNTkyeCIgdGltZXN0YW1wPSIxNTcxODA1Nzk5Ij4xNDQ5PC9rZXk+
PC9mb3JlaWduLWtleXM+PHJlZi10eXBlIG5hbWU9IkpvdXJuYWwgQXJ0aWNsZSI+MTc8L3JlZi10
eXBlPjxjb250cmlidXRvcnM+PGF1dGhvcnM+PGF1dGhvcj5Ib2RnZXR0cywgVi5BLiw8L2F1dGhv
cj48YXV0aG9yPk1vcnJpcywgUi5LLiw8L2F1dGhvcj48YXV0aG9yPkZyYW5jaXMsIEEuLDwvYXV0
aG9yPjxhdXRob3I+R2FyZG9zaSwgSi4sPC9hdXRob3I+PGF1dGhvcj5Jc21haWwsIEsuTS4sPC9h
dXRob3I+PC9hdXRob3JzPjwvY29udHJpYnV0b3JzPjx0aXRsZXM+PHRpdGxlPkVmZmVjdGl2ZW5l
c3Mgb2YgZm9saWMgYWNpZCBzdXBwbGVtZW50YXRpb24gaW4gcHJlZ25hbmN5IG9uIHJlZHVjaW5n
IHRoZSByaXNrIG9mIHNtYWxsLWZvci1nZXN0YXRpb25hbCBhZ2UgbmVvbmF0ZXM6IGEgcG9wdWxh
dGlvbiBzdHVkeSwgc3lzdGVtYXRpYyByZXZpZXcgYW5kIG1ldGEtYW5hbHlzaXM8L3RpdGxlPjxz
ZWNvbmRhcnktdGl0bGU+QkpPRzwvc2Vjb25kYXJ5LXRpdGxlPjwvdGl0bGVzPjxwZXJpb2RpY2Fs
PjxmdWxsLXRpdGxlPkJKT0c8L2Z1bGwtdGl0bGU+PC9wZXJpb2RpY2FsPjxwYWdlcz40NzgtOTA8
L3BhZ2VzPjx2b2x1bWU+MTIyPC92b2x1bWU+PG51bWJlcj40PC9udW1iZXI+PGRhdGVzPjx5ZWFy
PjIwMTU8L3llYXI+PC9kYXRlcz48dXJscz48L3VybHM+PC9yZWNvcmQ+PC9DaXRlPjxDaXRlPjxB
dXRob3I+SHVhPC9BdXRob3I+PFllYXI+MjAxNjwvWWVhcj48UmVjTnVtPjE0MzQ8L1JlY051bT48
cmVjb3JkPjxyZWMtbnVtYmVyPjE0MzQ8L3JlYy1udW1iZXI+PGZvcmVpZ24ta2V5cz48a2V5IGFw
cD0iRU4iIGRiLWlkPSJleHZhc3JmeDJkdHJhb2VzYXN4cDJzenN4YTJkZjUwMjU5MngiIHRpbWVz
dGFtcD0iMTU3MTYyNjIyOSI+MTQzNDwva2V5PjxrZXkgYXBwPSJFTldlYiIgZGItaWQ9IiI+MDwv
a2V5PjwvZm9yZWlnbi1rZXlzPjxyZWYtdHlwZSBuYW1lPSJKb3VybmFsIEFydGljbGUiPjE3PC9y
ZWYtdHlwZT48Y29udHJpYnV0b3JzPjxhdXRob3JzPjxhdXRob3I+SHVhLCBYLjwvYXV0aG9yPjxh
dXRob3I+WmhhbmcsIEouPC9hdXRob3I+PGF1dGhvcj5HdW8sIFkuPC9hdXRob3I+PGF1dGhvcj5T
aGVuLCBNLjwvYXV0aG9yPjxhdXRob3I+R2F1ZGV0LCBMLjwvYXV0aG9yPjxhdXRob3I+SmFub3Vk
aSwgRy48L2F1dGhvcj48YXV0aG9yPldhbGtlciwgTS48L2F1dGhvcj48YXV0aG9yPldlbiwgUy4g
Vy48L2F1dGhvcj48L2F1dGhvcnM+PC9jb250cmlidXRvcnM+PGF1dGgtYWRkcmVzcz5hIERlcGFy
dG1lbnQgb2YgT2JzdGV0cmljcyAsIFhpbmh1YSBIb3NwaXRhbCwgU2hhbmdoYWkgSmlhbyBUb25n
IFVuaXZlcnNpdHkgU2Nob29sIG9mIE1lZGljaW5lICwgU2hhbmdoYWkgLCBDaGluYS4mI3hEO2Ig
RGVwYXJ0bWVudCBvZiBPYnN0ZXRyaWNzIGFuZCBHeW5lY29sb2d5LCBGYWN1bHR5IG9mIE1lZGlj
aW5lICwgT01OSSBSZXNlYXJjaCBHcm91cCwgVW5pdmVyc2l0eSBvZiBPdHRhd2EgLCBPdHRhd2Eg
LCBPbnRhcmlvICwgQ2FuYWRhLiYjeEQ7YyBDbGluaWNhbCBFcGlkZW1pb2xvZ3kgUHJvZ3JhbSAs
IE90dGF3YSBIb3NwaXRhbCBSZXNlYXJjaCBJbnN0aXR1dGUgLCBPdHRhd2EgLCBPbnRhcmlvICwg
Q2FuYWRhLiYjeEQ7ZCBEZXBhcnRtZW50IG9mIE9ic3RldHJpY3MgYW5kIEd5bmVjb2xvZ3kgLCBC
ZWlqaW5nIEZyaWVuZHNoaXAgSG9zcGl0YWwsIENhcGl0YWwgTWVkaWNhbCBVbml2ZXJzaXR5ICwg
QmVpamluZyAsIENoaW5hLiYjeEQ7ZSBTY2hvb2wgb2YgUHVibGljIEhlYWx0aCAsIENlbnRyYWwg
U291dGggVW5pdmVyc2l0eSAsIENoYW5nc2hhICwgQ2hpbmEuJiN4RDtmIENhbmFkaWFuIEFnZW5j
eSBmb3IgRHJ1Z3MgYW5kIFRlY2hub2xvZ2llcyBpbiBIZWFsdGggLCBPdHRhd2EgLCBPbnRhcmlv
ICwgQ2FuYWRhLiYjeEQ7ZyBTY2hvb2wgb2YgRXBpZGVtaW9sb2d5LCBQdWJsaWMgSGVhbHRoLCBh
bmQgUHJldmVudGl2ZSBNZWRpY2luZSAsIFVuaXZlcnNpdHkgb2YgT3R0YXdhIEZhY3VsdHkgb2Yg
TWVkaWNpbmUgLCBPdHRhd2EgLCBPbnRhcmlvICwgQ2FuYWRhLjwvYXV0aC1hZGRyZXNzPjx0aXRs
ZXM+PHRpdGxlPkVmZmVjdCBvZiBmb2xpYyBhY2lkIHN1cHBsZW1lbnRhdGlvbiBkdXJpbmcgcHJl
Z25hbmN5IG9uIGdlc3RhdGlvbmFsIGh5cGVydGVuc2lvbi9wcmVlY2xhbXBzaWE6IEEgc3lzdGVt
YXRpYyByZXZpZXcgYW5kIG1ldGEtYW5hbHlzaXM8L3RpdGxlPjxzZWNvbmRhcnktdGl0bGU+SHlw
ZXJ0ZW5zIFByZWduYW5jeTwvc2Vjb25kYXJ5LXRpdGxlPjwvdGl0bGVzPjxwZXJpb2RpY2FsPjxm
dWxsLXRpdGxlPkh5cGVydGVucyBQcmVnbmFuY3k8L2Z1bGwtdGl0bGU+PC9wZXJpb2RpY2FsPjxw
YWdlcz40NDctNDYwPC9wYWdlcz48dm9sdW1lPjM1PC92b2x1bWU+PG51bWJlcj40PC9udW1iZXI+
PGVkaXRpb24+MjAxNi8xMS8wMzwvZWRpdGlvbj48a2V5d29yZHM+PGtleXdvcmQ+KkRpZXRhcnkg
U3VwcGxlbWVudHM8L2tleXdvcmQ+PGtleXdvcmQ+RmVtYWxlPC9rZXl3b3JkPjxrZXl3b3JkPkZv
bGljIEFjaWQvKnRoZXJhcGV1dGljIHVzZTwva2V5d29yZD48a2V5d29yZD5IdW1hbnM8L2tleXdv
cmQ+PGtleXdvcmQ+SHlwZXJ0ZW5zaW9uLCBQcmVnbmFuY3ktSW5kdWNlZC8qcHJldmVudGlvbiAm
YW1wOyBjb250cm9sPC9rZXl3b3JkPjxrZXl3b3JkPlByZWduYW5jeTwva2V5d29yZD48a2V5d29y
ZD5UcmVhdG1lbnQgT3V0Y29tZTwva2V5d29yZD48a2V5d29yZD5Gb2xpYyBhY2lkPC9rZXl3b3Jk
PjxrZXl3b3JkPmdlc3RhdGlvbmFsIGh5cGVydGVuc2lvbjwva2V5d29yZD48a2V5d29yZG==
</w:fldData>
        </w:fldChar>
      </w:r>
      <w:r w:rsidR="002747EA">
        <w:instrText xml:space="preserve"> ADDIN EN.CITE.DATA </w:instrText>
      </w:r>
      <w:r w:rsidR="002747EA">
        <w:fldChar w:fldCharType="end"/>
      </w:r>
      <w:r w:rsidR="002747EA">
        <w:fldChar w:fldCharType="begin">
          <w:fldData xml:space="preserve">PnByZWVjbGFtcHNpYTwva2V5d29yZD48a2V5d29yZD5zdXBwbGVtZW50YXRpb248L2tleXdvcmQ+
PC9rZXl3b3Jkcz48ZGF0ZXM+PHllYXI+MjAxNjwveWVhcj48cHViLWRhdGVzPjxkYXRlPk5vdjwv
ZGF0ZT48L3B1Yi1kYXRlcz48L2RhdGVzPjxpc2JuPjE1MjUtNjA2NSAoRWxlY3Ryb25pYykmI3hE
OzEwNjQtMTk1NSAoTGlua2luZyk8L2lzYm4+PGFjY2Vzc2lvbi1udW0+MjczMTU0MDE8L2FjY2Vz
c2lvbi1udW0+PHVybHM+PHJlbGF0ZWQtdXJscz48dXJsPmh0dHBzOi8vd3d3Lm5jYmkubmxtLm5p
aC5nb3YvcHVibWVkLzI3MzE1NDAxPC91cmw+PC9yZWxhdGVkLXVybHM+PC91cmxzPjxlbGVjdHJv
bmljLXJlc291cmNlLW51bT4xMC4xMDgwLzEwNjQxOTU1LjIwMTYuMTE4MzY3MzwvZWxlY3Ryb25p
Yy1yZXNvdXJjZS1udW0+PC9yZWNvcmQ+PC9DaXRlPjxDaXRlPjxBdXRob3I+TGFzc2k8L0F1dGhv
cj48WWVhcj4yMDEzPC9ZZWFyPjxSZWNOdW0+MTQzNTwvUmVjTnVtPjxyZWNvcmQ+PHJlYy1udW1i
ZXI+MTQzNTwvcmVjLW51bWJlcj48Zm9yZWlnbi1rZXlzPjxrZXkgYXBwPSJFTiIgZGItaWQ9ImV4
dmFzcmZ4MmR0cmFvZXNhc3hwMnN6c3hhMmRmNTAyNTkyeCIgdGltZXN0YW1wPSIxNTcxNjI2MjMz
Ij4xNDM1PC9rZXk+PGtleSBhcHA9IkVOV2ViIiBkYi1pZD0iIj4wPC9rZXk+PC9mb3JlaWduLWtl
eXM+PHJlZi10eXBlIG5hbWU9IkpvdXJuYWwgQXJ0aWNsZSI+MTc8L3JlZi10eXBlPjxjb250cmli
dXRvcnM+PGF1dGhvcnM+PGF1dGhvcj5MYXNzaSwgWm9ocmEgUy48L2F1dGhvcj48YXV0aG9yPlNh
bGFtLCBSZWhhbmEgQS48L2F1dGhvcj48YXV0aG9yPkhhaWRlciwgQmF0b29sIEEuPC9hdXRob3I+
PGF1dGhvcj5CaHV0dGEsIFp1bGZpcWFyIEEuPC9hdXRob3I+PC9hdXRob3JzPjwvY29udHJpYnV0
b3JzPjx0aXRsZXM+PHRpdGxlPkZvbGljIGFjaWQgc3VwcGxlbWVudGF0aW9uIGR1cmluZyBwcmVn
bmFuY3kgZm9yIG1hdGVybmFsIGhlYWx0aCBhbmQgcHJlZ25hbmN5IG91dGNvbWVzPC90aXRsZT48
c2Vjb25kYXJ5LXRpdGxlPkNvY2hyYW5lIERhdGFiYXNlIG9mIFN5c3RlbWF0aWMgUmV2aWV3czwv
c2Vjb25kYXJ5LXRpdGxlPjwvdGl0bGVzPjxwZXJpb2RpY2FsPjxmdWxsLXRpdGxlPkNvY2hyYW5l
IERhdGFiYXNlIG9mIFN5c3RlbWF0aWMgUmV2aWV3czwvZnVsbC10aXRsZT48L3BlcmlvZGljYWw+
PGRhdGVzPjx5ZWFyPjIwMTM8L3llYXI+PC9kYXRlcz48aXNibj4xNDY1MTg1ODwvaXNibj48dXJs
cz48L3VybHM+PGVsZWN0cm9uaWMtcmVzb3VyY2UtbnVtPjEwLjEwMDIvMTQ2NTE4NTguQ0QwMDY4
OTYucHViMjwvZWxlY3Ryb25pYy1yZXNvdXJjZS1udW0+PC9yZWNvcmQ+PC9DaXRlPjxDaXRlPjxB
dXRob3I+TGl1PC9BdXRob3I+PFllYXI+MjAxODwvWWVhcj48UmVjTnVtPjE0MzY8L1JlY051bT48
cmVjb3JkPjxyZWMtbnVtYmVyPjE0MzY8L3JlYy1udW1iZXI+PGZvcmVpZ24ta2V5cz48a2V5IGFw
cD0iRU4iIGRiLWlkPSJleHZhc3JmeDJkdHJhb2VzYXN4cDJzenN4YTJkZjUwMjU5MngiIHRpbWVz
dGFtcD0iMTU3MTYyNjI0MSI+MTQzNjwva2V5PjxrZXkgYXBwPSJFTldlYiIgZGItaWQ9IiI+MDwv
a2V5PjwvZm9yZWlnbi1rZXlzPjxyZWYtdHlwZSBuYW1lPSJKb3VybmFsIEFydGljbGUiPjE3PC9y
ZWYtdHlwZT48Y29udHJpYnV0b3JzPjxhdXRob3JzPjxhdXRob3I+TGl1LCBDaGVuZzwvYXV0aG9y
PjxhdXRob3I+TGl1LCBDaG9uZ2Rvbmc8L2F1dGhvcj48YXV0aG9yPldhbmcsIFFpdXNoaTwvYXV0
aG9yPjxhdXRob3I+WmhhbmcsIFpoZW55dTwvYXV0aG9yPjwvYXV0aG9ycz48L2NvbnRyaWJ1dG9y
cz48dGl0bGVzPjx0aXRsZT5TdXBwbGVtZW50YXRpb24gb2YgZm9saWMgYWNpZCBpbiBwcmVnbmFu
Y3kgYW5kIHRoZSByaXNrIG9mIHByZWVjbGFtcHNpYSBhbmQgZ2VzdGF0aW9uYWwgaHlwZXJ0ZW5z
aW9uOiBhIG1ldGEtYW5hbHlzaXM8L3RpdGxlPjxzZWNvbmRhcnktdGl0bGU+QXJjaGl2ZXMgb2Yg
R3luZWNvbG9neSBhbmQgT2JzdGV0cmljczwvc2Vjb25kYXJ5LXRpdGxlPjwvdGl0bGVzPjxwZXJp
b2RpY2FsPjxmdWxsLXRpdGxlPkFyY2hpdmVzIG9mIEd5bmVjb2xvZ3kgYW5kIE9ic3RldHJpY3M8
L2Z1bGwtdGl0bGU+PC9wZXJpb2RpY2FsPjxwYWdlcz42OTctNzA0PC9wYWdlcz48dm9sdW1lPjI5
ODwvdm9sdW1lPjxudW1iZXI+NDwvbnVtYmVyPjxzZWN0aW9uPjY5Nzwvc2VjdGlvbj48ZGF0ZXM+
PHllYXI+MjAxODwveWVhcj48L2RhdGVzPjxpc2JuPjA5MzItMDA2NyYjeEQ7MTQzMi0wNzExPC9p
c2JuPjx1cmxzPjwvdXJscz48ZWxlY3Ryb25pYy1yZXNvdXJjZS1udW0+MTAuMTAwNy9zMDA0MDQt
MDE4LTQ4MjMtNDwvZWxlY3Ryb25pYy1yZXNvdXJjZS1udW0+PC9yZWNvcmQ+PC9DaXRlPjwvRW5k
Tm90ZT4A
</w:fldData>
        </w:fldChar>
      </w:r>
      <w:r w:rsidR="002747EA">
        <w:instrText xml:space="preserve"> ADDIN EN.CITE.DATA </w:instrText>
      </w:r>
      <w:r w:rsidR="002747EA">
        <w:fldChar w:fldCharType="end"/>
      </w:r>
      <w:r w:rsidR="00201490">
        <w:fldChar w:fldCharType="separate"/>
      </w:r>
      <w:r w:rsidR="002747EA" w:rsidRPr="002747EA">
        <w:rPr>
          <w:noProof/>
          <w:vertAlign w:val="superscript"/>
        </w:rPr>
        <w:t>75,118-134</w:t>
      </w:r>
      <w:r w:rsidR="00201490">
        <w:fldChar w:fldCharType="end"/>
      </w:r>
      <w:r w:rsidR="009E6D4E">
        <w:t xml:space="preserve"> </w:t>
      </w:r>
      <w:r w:rsidR="00B9456E">
        <w:t xml:space="preserve">and </w:t>
      </w:r>
      <w:r w:rsidR="00554CD5">
        <w:t>5 RCTs</w:t>
      </w:r>
      <w:r w:rsidR="00B9456E">
        <w:t>.</w:t>
      </w:r>
      <w:r w:rsidR="009E6D4E">
        <w:fldChar w:fldCharType="begin">
          <w:fldData xml:space="preserve">PEVuZE5vdGU+PENpdGU+PEF1dGhvcj5DYXRlbmE8L0F1dGhvcj48WWVhcj4yMDE2PC9ZZWFyPjxS
ZWNOdW0+MTQyNTwvUmVjTnVtPjxEaXNwbGF5VGV4dD48c3R5bGUgZmFjZT0ic3VwZXJzY3JpcHQi
IGZvbnQ9IlRyZWJ1Y2hldCBNUyIgc2l6ZT0iOSI+MTM1LTEzOTwvc3R5bGU+PC9EaXNwbGF5VGV4
dD48cmVjb3JkPjxyZWMtbnVtYmVyPjE0MjU8L3JlYy1udW1iZXI+PGZvcmVpZ24ta2V5cz48a2V5
IGFwcD0iRU4iIGRiLWlkPSJleHZhc3JmeDJkdHJhb2VzYXN4cDJzenN4YTJkZjUwMjU5MngiIHRp
bWVzdGFtcD0iMTU3MTYyNjE4MCI+MTQyNTwva2V5PjxrZXkgYXBwPSJFTldlYiIgZGItaWQ9IiI+
MDwva2V5PjwvZm9yZWlnbi1rZXlzPjxyZWYtdHlwZSBuYW1lPSJKb3VybmFsIEFydGljbGUiPjE3
PC9yZWYtdHlwZT48Y29udHJpYnV0b3JzPjxhdXRob3JzPjxhdXRob3I+Q2F0ZW5hLCBBLjwvYXV0
aG9yPjxhdXRob3I+TXVub3otTWFjaGljYW8sIEouIEEuPC9hdXRob3I+PGF1dGhvcj5Ub3JyZXMt
RXNwaW5vbGEsIEYuIEouPC9hdXRob3I+PGF1dGhvcj5NYXJ0aW5lei1aYWxkaXZhciwgQy48L2F1
dGhvcj48YXV0aG9yPkRpYXotUGllZHJhLCBDLjwvYXV0aG9yPjxhdXRob3I+R2lsLCBBLjwvYXV0
aG9yPjxhdXRob3I+SGFpbGUsIEcuPC9hdXRob3I+PGF1dGhvcj5HeW9yZWksIEUuPC9hdXRob3I+
PGF1dGhvcj5Nb2xsb3ksIEEuIE0uPC9hdXRob3I+PGF1dGhvcj5EZWNzaSwgVC48L2F1dGhvcj48
YXV0aG9yPktvbGV0emtvLCBCLjwvYXV0aG9yPjxhdXRob3I+Q2FtcG95LCBDLjwvYXV0aG9yPjwv
YXV0aG9ycz48L2NvbnRyaWJ1dG9ycz48YXV0aC1hZGRyZXNzPk1pbmQsIEJyYWluLCBhbmQgQmVo
YXZpb3IgUmVzZWFyY2ggQ2VudGVyLUNJTUNZQy4mI3hEO0VVUklTVElLT1MgRXhjZWxsZW5jZSBD
ZW50ZXIgZm9yIFBlZGlhdHJpYyBSZXNlYXJjaCwgYW5kLiYjeEQ7RGVwYXJ0bWVudHMgb2YgQmlv
Y2hlbWlzdHJ5IGFuZCBNb2xlY3VsYXIgQmlvbG9neSBhbmQuJiN4RDtEci4gdm9uIEhhdW5lciBD
aGlsZHJlbiZhcG9zO3MgSG9zcGl0YWwsIEx1ZHdpZy1NYXhpbWlsaWFucyBVbml2ZXJzaXR5IG9m
IE11bmljaCBNZWRpY2FsIENlbnRlciwgTXVuaWNoLCBHZXJtYW55OyYjeEQ7RGVwYXJ0bWVudCBv
ZiBQZWRpYXRyaWNzLCBVbml2ZXJzaXR5IG9mIFBlY3MsIFBlY3MsIEh1bmdhcnk7IGFuZC4mI3hE
O1NjaG9vbCBvZiBDbGluaWNhbCBNZWRpY2luZSwgVHJpbml0eSBDb2xsZWdlLCBEdWJsaW4sIEly
ZWxhbmQuJiN4RDtFVVJJU1RJS09TIEV4Y2VsbGVuY2UgQ2VudGVyIGZvciBQZWRpYXRyaWMgUmVz
ZWFyY2gsIGFuZCBQZWRpYXRyaWNzLCBVbml2ZXJzaXR5IG9mIEdyYW5hZGEsIEdyYW5hZGEsIFNw
YWluOyBjY2FtcG95QHVnci5lcy48L2F1dGgtYWRkcmVzcz48dGl0bGVzPjx0aXRsZT5Gb2xhdGUg
YW5kIGxvbmctY2hhaW4gcG9seXVuc2F0dXJhdGVkIGZhdHR5IGFjaWQgc3VwcGxlbWVudGF0aW9u
IGR1cmluZyBwcmVnbmFuY3kgaGFzIGxvbmctdGVybSBlZmZlY3RzIG9uIHRoZSBhdHRlbnRpb24g
c3lzdGVtIG9mIDguNS15LW9sZCBvZmZzcHJpbmc6IGEgcmFuZG9taXplZCBjb250cm9sbGVkIHRy
aWFsPC90aXRsZT48c2Vjb25kYXJ5LXRpdGxlPkFtIEogQ2xpbiBOdXRyPC9zZWNvbmRhcnktdGl0
bGU+PC90aXRsZXM+PHBlcmlvZGljYWw+PGZ1bGwtdGl0bGU+QW0gSiBDbGluIE51dHI8L2Z1bGwt
dGl0bGU+PC9wZXJpb2RpY2FsPjxwYWdlcz4xMTUtMjc8L3BhZ2VzPjx2b2x1bWU+MTAzPC92b2x1
bWU+PG51bWJlcj4xPC9udW1iZXI+PGVkaXRpb24+MjAxNS8xMS8xMzwvZWRpdGlvbj48a2V5d29y
ZHM+PGtleXdvcmQ+QWR1bHQ8L2tleXdvcmQ+PGtleXdvcmQ+QXR0ZW50aW9uLypwaHlzaW9sb2d5
PC9rZXl3b3JkPjxrZXl3b3JkPkJyYWluLypncm93dGggJmFtcDsgZGV2ZWxvcG1lbnQvcGh5c2lv
bG9neTwva2V5d29yZD48a2V5d29yZD5DaGlsZDwva2V5d29yZD48a2V5d29yZD5DaGlsZCBEZXZl
bG9wbWVudDwva2V5d29yZD48a2V5d29yZD5EaWV0YXJ5IEZhdHMsIFVuc2F0dXJhdGVkLypwaGFy
bWFjb2xvZ3k8L2tleXdvcmQ+PGtleXdvcmQ+KkRpZXRhcnkgU3VwcGxlbWVudHM8L2tleXdvcmQ+
PGtleXdvcmQ+RG91YmxlLUJsaW5kIE1ldGhvZDwva2V5d29yZD48a2V5d29yZD5FeGVjdXRpdmUg
RnVuY3Rpb24vKnBoeXNpb2xvZ3k8L2tleXdvcmQ+PGtleXdvcmQ+RmVtYWxlPC9rZXl3b3JkPjxr
ZXl3b3JkPkZldGFsIERldmVsb3BtZW50PC9rZXl3b3JkPjxrZXl3b3JkPkZpc2ggT2lscy9waGFy
bWFjb2xvZ3k8L2tleXdvcmQ+PGtleXdvcmQ+Rm9saWMgQWNpZC9waGFybWFjb2xvZ3k8L2tleXdv
cmQ+PGtleXdvcmQ+SHVtYW5zPC9rZXl3b3JkPjxrZXl3b3JkPk1hbGU8L2tleXdvcmQ+PGtleXdv
cmQ+UHJlZ25hbmN5PC9rZXl3b3JkPjxrZXl3b3JkPipQcmVuYXRhbCBOdXRyaXRpb25hbCBQaHlz
aW9sb2dpY2FsIFBoZW5vbWVuYTwva2V5d29yZD48a2V5d29yZD5UZXRyYWh5ZHJvZm9sYXRlcy8q
cGhhcm1hY29sb2d5PC9rZXl3b3JkPjxrZXl3b3JkPlZpdGFtaW4gQiBDb21wbGV4L3BoYXJtYWNv
bG9neTwva2V5d29yZD48a2V5d29yZD5hdHRlbnRpb248L2tleXdvcmQ+PGtleXdvcmQ+ZXZva2Vk
IHBvdGVudGlhbHM8L2tleXdvcmQ+PGtleXdvcmQ+Zm9sYXRlPC9rZXl3b3JkPjxrZXl3b3JkPnBv
bHl1bnNhdHVyYXRlZCBmYXR0eSBhY2lkczwva2V5d29yZD48a2V5d29yZD5wcmVuYXRhbCBudXRy
aXRpb248L2tleXdvcmQ+PC9rZXl3b3Jkcz48ZGF0ZXM+PHllYXI+MjAxNjwveWVhcj48cHViLWRh
dGVzPjxkYXRlPkphbjwvZGF0ZT48L3B1Yi1kYXRlcz48L2RhdGVzPjxpc2JuPjE5MzgtMzIwNyAo
RWxlY3Ryb25pYykmI3hEOzAwMDItOTE2NSAoTGlua2luZyk8L2lzYm4+PGFjY2Vzc2lvbi1udW0+
MjY1NjE2MTk8L2FjY2Vzc2lvbi1udW0+PHVybHM+PHJlbGF0ZWQtdXJscz48dXJsPmh0dHBzOi8v
d3d3Lm5jYmkubmxtLm5paC5nb3YvcHVibWVkLzI2NTYxNjE5PC91cmw+PC9yZWxhdGVkLXVybHM+
PC91cmxzPjxlbGVjdHJvbmljLXJlc291cmNlLW51bT4xMC4zOTQ1L2FqY24uMTE1LjEwOTEwODwv
ZWxlY3Ryb25pYy1yZXNvdXJjZS1udW0+PC9yZWNvcmQ+PC9DaXRlPjxDaXRlPjxBdXRob3I+TWNO
dWx0eTwvQXV0aG9yPjxZZWFyPjIwMTM8L1llYXI+PFJlY051bT4xNDM4PC9SZWNOdW0+PHJlY29y
ZD48cmVjLW51bWJlcj4xNDM4PC9yZWMtbnVtYmVyPjxmb3JlaWduLWtleXM+PGtleSBhcHA9IkVO
IiBkYi1pZD0iZXh2YXNyZngyZHRyYW9lc2FzeHAyc3pzeGEyZGY1MDI1OTJ4IiB0aW1lc3RhbXA9
IjE1NzE2MjYyNTEiPjE0Mzg8L2tleT48a2V5IGFwcD0iRU5XZWIiIGRiLWlkPSIiPjA8L2tleT48
L2ZvcmVpZ24ta2V5cz48cmVmLXR5cGUgbmFtZT0iSm91cm5hbCBBcnRpY2xlIj4xNzwvcmVmLXR5
cGU+PGNvbnRyaWJ1dG9ycz48YXV0aG9ycz48YXV0aG9yPk1jTnVsdHksIEIuPC9hdXRob3I+PGF1
dGhvcj5NY051bHR5LCBILjwvYXV0aG9yPjxhdXRob3I+TWFyc2hhbGwsIEIuPC9hdXRob3I+PGF1
dGhvcj5XYXJkLCBNLjwvYXV0aG9yPjxhdXRob3I+TW9sbG95LCBBLiBNLjwvYXV0aG9yPjxhdXRo
b3I+U2NvdHQsIEouIE0uPC9hdXRob3I+PGF1dGhvcj5Eb3JuYW4sIEouPC9hdXRob3I+PGF1dGhv
cj5QZW50aWV2YSwgSy48L2F1dGhvcj48L2F1dGhvcnM+PC9jb250cmlidXRvcnM+PGF1dGgtYWRk
cmVzcz5Ob3J0aGVybiBJcmVsYW5kIENlbnRyZSBmb3IgRm9vZCAmYW1wOyBIZWFsdGgsIFNjaG9v
bCBvZiBCaW9tZWRpY2FsIFNjaWVuY2VzLCBVbml2ZXJzaXR5IG9mIFVsc3RlciwgQ29sZXJhaW5l
LCBVbml0ZWQgS2luZ2RvbS48L2F1dGgtYWRkcmVzcz48dGl0bGVzPjx0aXRsZT5JbXBhY3Qgb2Yg
Y29udGludWluZyBmb2xpYyBhY2lkIGFmdGVyIHRoZSBmaXJzdCB0cmltZXN0ZXIgb2YgcHJlZ25h
bmN5OiBmaW5kaW5ncyBvZiBhIHJhbmRvbWl6ZWQgdHJpYWwgb2YgZm9saWMgYWNpZCBzdXBwbGVt
ZW50YXRpb24gaW4gdGhlIHNlY29uZCBhbmQgdGhpcmQgdHJpbWVzdGVyczwvdGl0bGU+PHNlY29u
ZGFyeS10aXRsZT5BbSBKIENsaW4gTnV0cjwvc2Vjb25kYXJ5LXRpdGxlPjwvdGl0bGVzPjxwZXJp
b2RpY2FsPjxmdWxsLXRpdGxlPkFtIEogQ2xpbiBOdXRyPC9mdWxsLXRpdGxlPjwvcGVyaW9kaWNh
bD48cGFnZXM+OTItODwvcGFnZXM+PHZvbHVtZT45ODwvdm9sdW1lPjxudW1iZXI+MTwvbnVtYmVy
PjxlZGl0aW9uPjIwMTMvMDUvMzE8L2VkaXRpb24+PGtleXdvcmRzPjxrZXl3b3JkPkFkb2xlc2Nl
bnQ8L2tleXdvcmQ+PGtleXdvcmQ+QWR1bHQ8L2tleXdvcmQ+PGtleXdvcmQ+KkRpZXRhcnkgU3Vw
cGxlbWVudHM8L2tleXdvcmQ+PGtleXdvcmQ+RG91YmxlLUJsaW5kIE1ldGhvZDwva2V5d29yZD48
a2V5d29yZD5Fcnl0aHJvY3l0ZXMvZHJ1ZyBlZmZlY3RzL21ldGFib2xpc208L2tleXdvcmQ+PGtl
eXdvcmQ+RmVtYWxlPC9rZXl3b3JkPjxrZXl3b3JkPkZvbGljIEFjaWQvKmFkbWluaXN0cmF0aW9u
ICZhbXA7IGRvc2FnZS9ibG9vZDwva2V5d29yZD48a2V5d29yZD5Ib21vY3lzdGVpbmUvYmxvb2Q8
L2tleXdvcmQ+PGtleXdvcmQ+SHVtYW5zPC9rZXl3b3JkPjxrZXl3b3JkPkluZmFudCwgTmV3Ym9y
bjwva2V5d29yZD48a2V5d29yZD5NYWxlPC9rZXl3b3JkPjxrZXl3b3JkPk5ldXJhbCBUdWJlIERl
ZmVjdHMvcHJldmVudGlvbiAmYW1wOyBjb250cm9sPC9rZXl3b3JkPjxrZXl3b3JkPk5vcnRoZXJu
IElyZWxhbmQ8L2tleXdvcmQ+PGtleXdvcmQ+UHJlZ25hbmN5PC9rZXl3b3JkPjxrZXl3b3JkPlBy
ZWduYW5jeSBUcmltZXN0ZXIsIEZpcnN0LypkcnVnIGVmZmVjdHM8L2tleXdvcmQ+PGtleXdvcmQ+
UHJlZ25hbmN5IFRyaW1lc3RlciwgU2Vjb25kLypkcnVnIGVmZmVjdHM8L2tleXdvcmQ+PGtleXdv
cmQ+UHJlZ25hbmN5IFRyaW1lc3RlciwgVGhpcmQvKmRydWcgZWZmZWN0czwva2V5d29yZD48a2V5
d29yZD5Zb3VuZyBBZHVsdDwva2V5d29yZD48L2tleXdvcmRzPjxkYXRlcz48eWVhcj4yMDEzPC95
ZWFyPjxwdWItZGF0ZXM+PGRhdGU+SnVsPC9kYXRlPjwvcHViLWRhdGVzPjwvZGF0ZXM+PGlzYm4+
MTkzOC0zMjA3IChFbGVjdHJvbmljKSYjeEQ7MDAwMi05MTY1IChMaW5raW5nKTwvaXNibj48YWNj
ZXNzaW9uLW51bT4yMzcxOTU1NDwvYWNjZXNzaW9uLW51bT48dXJscz48cmVsYXRlZC11cmxzPjx1
cmw+aHR0cHM6Ly93d3cubmNiaS5ubG0ubmloLmdvdi9wdWJtZWQvMjM3MTk1NTQ8L3VybD48L3Jl
bGF0ZWQtdXJscz48L3VybHM+PGVsZWN0cm9uaWMtcmVzb3VyY2UtbnVtPjEwLjM5NDUvYWpjbi4x
MTIuMDU3NDg5PC9lbGVjdHJvbmljLXJlc291cmNlLW51bT48L3JlY29yZD48L0NpdGU+PENpdGU+
PEF1dGhvcj5TYXl5YWgtTWVsbGk8L0F1dGhvcj48WWVhcj4yMDE2PC9ZZWFyPjxSZWNOdW0+MTQ0
MTwvUmVjTnVtPjxyZWNvcmQ+PHJlYy1udW1iZXI+MTQ0MTwvcmVjLW51bWJlcj48Zm9yZWlnbi1r
ZXlzPjxrZXkgYXBwPSJFTiIgZGItaWQ9ImV4dmFzcmZ4MmR0cmFvZXNhc3hwMnN6c3hhMmRmNTAy
NTkyeCIgdGltZXN0YW1wPSIxNTcxNjI2MjYwIj4xNDQxPC9rZXk+PGtleSBhcHA9IkVOV2ViIiBk
Yi1pZD0iIj4wPC9rZXk+PC9mb3JlaWduLWtleXM+PHJlZi10eXBlIG5hbWU9IkpvdXJuYWwgQXJ0
aWNsZSI+MTc8L3JlZi10eXBlPjxjb250cmlidXRvcnM+PGF1dGhvcnM+PGF1dGhvcj5TYXl5YWgt
TWVsbGksIE0uLDwvYXV0aG9yPjxhdXRob3I+R2hvcmJhbmloYWdoam8sIEEuLDwvYXV0aG9yPjxh
dXRob3I+QWxpemFkZWgsIE0uLDwvYXV0aG9yPjxhdXRob3I+S2F6ZW1pLVNoaXNodmFuLCBNLiw8
L2F1dGhvcj48YXV0aG9yPkdob2phemFkZWgsIE0uLDwvYXV0aG9yPjxhdXRob3I+QmlkYWRpLCBT
Liw8L2F1dGhvcj48L2F1dGhvcnM+PC9jb250cmlidXRvcnM+PHRpdGxlcz48dGl0bGU+VGhlIGVm
ZmVjdCBvZiBoaWdoIGRvc2UgZm9saWMgYWNpZCB0aHJvdWdob3V0IHByZWduYW5jeSBvbiBob21v
Y3lzdGVpbmUgKGhjeSkgY29uY2VudHJhdGlvbiBhbmQgcHJlLWVjbGFtcHNpYTogYSByYW5kb21p
emVkIGNsaW5pY2FsIHRyaWFsPC90aXRsZT48c2Vjb25kYXJ5LXRpdGxlPlBsb3MgT25lPC9zZWNv
bmRhcnktdGl0bGU+PC90aXRsZXM+PHBlcmlvZGljYWw+PGZ1bGwtdGl0bGU+UExvUyBPbmU8L2Z1
bGwtdGl0bGU+PC9wZXJpb2RpY2FsPjx2b2x1bWU+MTE8L3ZvbHVtZT48bnVtYmVyPjU8L251bWJl
cj48c2VjdGlvbj5lMDE1NDQwMDwvc2VjdGlvbj48ZGF0ZXM+PHllYXI+MjAxNjwveWVhcj48L2Rh
dGVzPjxpc2JuPjE5MzItNjIwMzwvaXNibj48dXJscz48L3VybHM+PGVsZWN0cm9uaWMtcmVzb3Vy
Y2UtbnVtPjEwLjEzNzEvam91cm5hbC5wb25lLjAxNTQ0MDA8L2VsZWN0cm9uaWMtcmVzb3VyY2Ut
bnVtPjwvcmVjb3JkPjwvQ2l0ZT48Q2l0ZT48QXV0aG9yPldlbjwvQXV0aG9yPjxZZWFyPjIwMTg8
L1llYXI+PFJlY051bT4xNDQ0PC9SZWNOdW0+PHJlY29yZD48cmVjLW51bWJlcj4xNDQ0PC9yZWMt
bnVtYmVyPjxmb3JlaWduLWtleXM+PGtleSBhcHA9IkVOIiBkYi1pZD0iZXh2YXNyZngyZHRyYW9l
c2FzeHAyc3pzeGEyZGY1MDI1OTJ4IiB0aW1lc3RhbXA9IjE1NzE2MjYyODAiPjE0NDQ8L2tleT48
a2V5IGFwcD0iRU5XZWIiIGRiLWlkPSIiPjA8L2tleT48L2ZvcmVpZ24ta2V5cz48cmVmLXR5cGUg
bmFtZT0iSm91cm5hbCBBcnRpY2xlIj4xNzwvcmVmLXR5cGU+PGNvbnRyaWJ1dG9ycz48YXV0aG9y
cz48YXV0aG9yPldlbiwgU2hpIFd1PC9hdXRob3I+PGF1dGhvcj5XaGl0ZSwgUnV0aCBSZW5uaWNr
czwvYXV0aG9yPjxhdXRob3I+UnliYWssIE5hdGFsaWU8L2F1dGhvcj48YXV0aG9yPkdhdWRldCwg
TGF1cmEgTS48L2F1dGhvcj48YXV0aG9yPlJvYnNvbiwgU3RlcGhlbjwvYXV0aG9yPjxhdXRob3I+
SGFndWUsIFdpbGxpYW08L2F1dGhvcj48YXV0aG9yPlNpbW1zLVN0ZXdhcnQsIERvbm5ldHRlPC9h
dXRob3I+PGF1dGhvcj5DYXJyb2xpLCBHdWlsbGVybW88L2F1dGhvcj48YXV0aG9yPlNtaXRoLCBH
cmFlbWU8L2F1dGhvcj48YXV0aG9yPkZyYXNlciwgV2lsbGlhbSBELjwvYXV0aG9yPjxhdXRob3I+
V2VsbHMsIEdlb3JnZTwvYXV0aG9yPjxhdXRob3I+RGF2aWRnZSwgU2FuZHJhIFQuPC9hdXRob3I+
PGF1dGhvcj5LaW5nZG9tLCBKb2huPC9hdXRob3I+PGF1dGhvcj5Db3lsZSwgRG91ZzwvYXV0aG9y
PjxhdXRob3I+RmVyZ3Vzc29uLCBEZWFuPC9hdXRob3I+PGF1dGhvcj5Db3JzaSwgRGFuaWVsIEou
PC9hdXRob3I+PGF1dGhvcj5DaGFtcGFnbmUsIEpvc2VlPC9hdXRob3I+PGF1dGhvcj5TYWJyaSwg
RWxoYW08L2F1dGhvcj48YXV0aG9yPlJhbXNheSwgVGltPC9hdXRob3I+PGF1dGhvcj5Nb2wsIEJl
biBXaWxsZW0gSi48L2F1dGhvcj48YXV0aG9yPk91ZGlqaywgTWFydGlqbiBBLjwvYXV0aG9yPjxh
dXRob3I+V2Fsa2VyLCBNYXJrIEMuPC9hdXRob3I+PC9hdXRob3JzPjwvY29udHJpYnV0b3JzPjx0
aXRsZXM+PHRpdGxlPkVmZmVjdCBvZiBoaWdoIGRvc2UgZm9saWMgYWNpZCBzdXBwbGVtZW50YXRp
b24gaW4gcHJlZ25hbmN5IG9uIHByZS1lY2xhbXBzaWEgKEZBQ1QpOiBkb3VibGUgYmxpbmQsIHBo
YXNlIElJSSwgcmFuZG9taXNlZCBjb250cm9sbGVkLCBpbnRlcm5hdGlvbmFsLCBtdWx0aWNlbnRy
ZSB0cmlhbDwvdGl0bGU+PHNlY29uZGFyeS10aXRsZT5CbWo8L3NlY29uZGFyeS10aXRsZT48L3Rp
dGxlcz48cGVyaW9kaWNhbD48ZnVsbC10aXRsZT5CTUo8L2Z1bGwtdGl0bGU+PC9wZXJpb2RpY2Fs
PjxzZWN0aW9uPmszNDc4PC9zZWN0aW9uPjxkYXRlcz48eWVhcj4yMDE4PC95ZWFyPjwvZGF0ZXM+
PGlzYm4+MDk1OS04MTM4JiN4RDsxNzU2LTE4MzM8L2lzYm4+PHVybHM+PC91cmxzPjxlbGVjdHJv
bmljLXJlc291cmNlLW51bT4xMC4xMTM2L2Jtai5rMzQ3ODwvZWxlY3Ryb25pYy1yZXNvdXJjZS1u
dW0+PC9yZWNvcmQ+PC9DaXRlPjxDaXRlPjxBdXRob3I+WXVzdWY8L0F1dGhvcj48WWVhcj4yMDE5
PC9ZZWFyPjxSZWNOdW0+MTYxMjwvUmVjTnVtPjxyZWNvcmQ+PHJlYy1udW1iZXI+MTYxMjwvcmVj
LW51bWJlcj48Zm9yZWlnbi1rZXlzPjxrZXkgYXBwPSJFTiIgZGItaWQ9ImV4dmFzcmZ4MmR0cmFv
ZXNhc3hwMnN6c3hhMmRmNTAyNTkyeCIgdGltZXN0YW1wPSIxNTc2NjQ0MzAwIj4xNjEyPC9rZXk+
PGtleSBhcHA9IkVOV2ViIiBkYi1pZD0iIj4wPC9rZXk+PC9mb3JlaWduLWtleXM+PHJlZi10eXBl
IG5hbWU9IkpvdXJuYWwgQXJ0aWNsZSI+MTc8L3JlZi10eXBlPjxjb250cmlidXRvcnM+PGF1dGhv
cnM+PGF1dGhvcj5ZdXN1ZiwgSy5LLiw8L2F1dGhvcj48YXV0aG9yPlNhbGlodSwgSC5NLiw8L2F1
dGhvcj48YXV0aG9yPldpbHNvbiwgUi4sPC9hdXRob3I+PGF1dGhvcj5NYmFoLCBBLiw8L2F1dGhv
cj48YXV0aG9yPlNhcHBlbmZpZWxkLCBXLiw8L2F1dGhvcj48YXV0aG9yPktpbmcsIEwuTS4sPC9h
dXRob3I+PGF1dGhvcj5CcnVkZXIsIEsuLDwvYXV0aG9yPjwvYXV0aG9ycz48L2NvbnRyaWJ1dG9y
cz48YXV0aC1hZGRyZXNzPkthcm9saW5za2EgSW5zdGl0dXRldCwgU3RvY2tob2xtLCBTd2VkZW4u
IHN2ZW4uY25hdHRpbmdpdXNAbWVwLmtpLnNlPC9hdXRoLWFkZHJlc3M+PHRpdGxlcz48dGl0bGU+
Q29tcGFyaW5nIGZvbGljIGFjaWQgZG9zYWdlIHN0cmVuZ3RocyB0byBwcmV2ZW50IHJlZHVjdGlv
biBpbiBmZXRhbCBzaXplIGFtb25nIHByZWduYW50IHdvbWVuIHdobyBzbW9rZWQgY2lnYXJldHRl
czogYSByYW5kb21pemVkIGNsaW5pY2FsIHRyaWFsPC90aXRsZT48c2Vjb25kYXJ5LXRpdGxlPkpB
TUEgUGVkaWF0cmljczwvc2Vjb25kYXJ5LXRpdGxlPjwvdGl0bGVzPjxwZXJpb2RpY2FsPjxmdWxs
LXRpdGxlPkpBTUEgUGVkaWF0cmljczwvZnVsbC10aXRsZT48L3BlcmlvZGljYWw+PHBhZ2VzPjQ5
My05NDwvcGFnZXM+PHZvbHVtZT4xNzM8L3ZvbHVtZT48bnVtYmVyPjU8L251bWJlcj48ZWRpdGlv
bj4yMDA0LzA2LzE5PC9lZGl0aW9uPjxrZXl3b3Jkcz48a2V5d29yZD5BZHVsdDwva2V5d29yZD48
a2V5d29yZD5FcGlkZW1pb2xvZ2ljIFN0dWRpZXM8L2tleXdvcmQ+PGtleXdvcmQ+RmVtYWxlPC9r
ZXl3b3JkPjxrZXl3b3JkPkh1bWFuczwva2V5d29yZD48a2V5d29yZD5JbmZhbnQsIE5ld2Jvcm48
L2tleXdvcmQ+PGtleXdvcmQ+KlByZWduYW5jeTwva2V5d29yZD48a2V5d29yZD5QcmVnbmFuY3kg
Q29tcGxpY2F0aW9ucy8qZXRpb2xvZ3k8L2tleXdvcmQ+PGtleXdvcmQ+UHJlZ25hbmN5IE91dGNv
bWU8L2tleXdvcmQ+PGtleXdvcmQ+UHJldmFsZW5jZTwva2V5d29yZD48a2V5d29yZD5SaXNrIEZh
Y3RvcnM8L2tleXdvcmQ+PGtleXdvcmQ+U21va2luZy8qZXBpZGVtaW9sb2d5PC9rZXl3b3JkPjxr
ZXl3b3JkPlNtb2tpbmcgQ2Vzc2F0aW9uPC9rZXl3b3JkPjwva2V5d29yZHM+PGRhdGVzPjx5ZWFy
PjIwMTk8L3llYXI+PHB1Yi1kYXRlcz48ZGF0ZT5BcHI8L2RhdGU+PC9wdWItZGF0ZXM+PC9kYXRl
cz48aXNibj4xNDYyLTIyMDMgKFByaW50KSYjeEQ7MTQ2Mi0yMjAzIChMaW5raW5nKTwvaXNibj48
YWNjZXNzaW9uLW51bT4xNTIwMzgxNjwvYWNjZXNzaW9uLW51bT48dXJscz48cmVsYXRlZC11cmxz
Pjx1cmw+aHR0cHM6Ly93d3cubmNiaS5ubG0ubmloLmdvdi9wdWJtZWQvMTUyMDM4MTY8L3VybD48
L3JlbGF0ZWQtdXJscz48L3VybHM+PGVsZWN0cm9uaWMtcmVzb3VyY2UtbnVtPjEwLjEwODAvMTQ2
MjIyMDA0MTAwMDE2NjkxODc8L2VsZWN0cm9uaWMtcmVzb3VyY2UtbnVtPjwvcmVjb3JkPjwvQ2l0
ZT48L0VuZE5vdGU+AG==
</w:fldData>
        </w:fldChar>
      </w:r>
      <w:r w:rsidR="002747EA">
        <w:instrText xml:space="preserve"> ADDIN EN.CITE </w:instrText>
      </w:r>
      <w:r w:rsidR="002747EA">
        <w:fldChar w:fldCharType="begin">
          <w:fldData xml:space="preserve">PEVuZE5vdGU+PENpdGU+PEF1dGhvcj5DYXRlbmE8L0F1dGhvcj48WWVhcj4yMDE2PC9ZZWFyPjxS
ZWNOdW0+MTQyNTwvUmVjTnVtPjxEaXNwbGF5VGV4dD48c3R5bGUgZmFjZT0ic3VwZXJzY3JpcHQi
IGZvbnQ9IlRyZWJ1Y2hldCBNUyIgc2l6ZT0iOSI+MTM1LTEzOTwvc3R5bGU+PC9EaXNwbGF5VGV4
dD48cmVjb3JkPjxyZWMtbnVtYmVyPjE0MjU8L3JlYy1udW1iZXI+PGZvcmVpZ24ta2V5cz48a2V5
IGFwcD0iRU4iIGRiLWlkPSJleHZhc3JmeDJkdHJhb2VzYXN4cDJzenN4YTJkZjUwMjU5MngiIHRp
bWVzdGFtcD0iMTU3MTYyNjE4MCI+MTQyNTwva2V5PjxrZXkgYXBwPSJFTldlYiIgZGItaWQ9IiI+
MDwva2V5PjwvZm9yZWlnbi1rZXlzPjxyZWYtdHlwZSBuYW1lPSJKb3VybmFsIEFydGljbGUiPjE3
PC9yZWYtdHlwZT48Y29udHJpYnV0b3JzPjxhdXRob3JzPjxhdXRob3I+Q2F0ZW5hLCBBLjwvYXV0
aG9yPjxhdXRob3I+TXVub3otTWFjaGljYW8sIEouIEEuPC9hdXRob3I+PGF1dGhvcj5Ub3JyZXMt
RXNwaW5vbGEsIEYuIEouPC9hdXRob3I+PGF1dGhvcj5NYXJ0aW5lei1aYWxkaXZhciwgQy48L2F1
dGhvcj48YXV0aG9yPkRpYXotUGllZHJhLCBDLjwvYXV0aG9yPjxhdXRob3I+R2lsLCBBLjwvYXV0
aG9yPjxhdXRob3I+SGFpbGUsIEcuPC9hdXRob3I+PGF1dGhvcj5HeW9yZWksIEUuPC9hdXRob3I+
PGF1dGhvcj5Nb2xsb3ksIEEuIE0uPC9hdXRob3I+PGF1dGhvcj5EZWNzaSwgVC48L2F1dGhvcj48
YXV0aG9yPktvbGV0emtvLCBCLjwvYXV0aG9yPjxhdXRob3I+Q2FtcG95LCBDLjwvYXV0aG9yPjwv
YXV0aG9ycz48L2NvbnRyaWJ1dG9ycz48YXV0aC1hZGRyZXNzPk1pbmQsIEJyYWluLCBhbmQgQmVo
YXZpb3IgUmVzZWFyY2ggQ2VudGVyLUNJTUNZQy4mI3hEO0VVUklTVElLT1MgRXhjZWxsZW5jZSBD
ZW50ZXIgZm9yIFBlZGlhdHJpYyBSZXNlYXJjaCwgYW5kLiYjeEQ7RGVwYXJ0bWVudHMgb2YgQmlv
Y2hlbWlzdHJ5IGFuZCBNb2xlY3VsYXIgQmlvbG9neSBhbmQuJiN4RDtEci4gdm9uIEhhdW5lciBD
aGlsZHJlbiZhcG9zO3MgSG9zcGl0YWwsIEx1ZHdpZy1NYXhpbWlsaWFucyBVbml2ZXJzaXR5IG9m
IE11bmljaCBNZWRpY2FsIENlbnRlciwgTXVuaWNoLCBHZXJtYW55OyYjeEQ7RGVwYXJ0bWVudCBv
ZiBQZWRpYXRyaWNzLCBVbml2ZXJzaXR5IG9mIFBlY3MsIFBlY3MsIEh1bmdhcnk7IGFuZC4mI3hE
O1NjaG9vbCBvZiBDbGluaWNhbCBNZWRpY2luZSwgVHJpbml0eSBDb2xsZWdlLCBEdWJsaW4sIEly
ZWxhbmQuJiN4RDtFVVJJU1RJS09TIEV4Y2VsbGVuY2UgQ2VudGVyIGZvciBQZWRpYXRyaWMgUmVz
ZWFyY2gsIGFuZCBQZWRpYXRyaWNzLCBVbml2ZXJzaXR5IG9mIEdyYW5hZGEsIEdyYW5hZGEsIFNw
YWluOyBjY2FtcG95QHVnci5lcy48L2F1dGgtYWRkcmVzcz48dGl0bGVzPjx0aXRsZT5Gb2xhdGUg
YW5kIGxvbmctY2hhaW4gcG9seXVuc2F0dXJhdGVkIGZhdHR5IGFjaWQgc3VwcGxlbWVudGF0aW9u
IGR1cmluZyBwcmVnbmFuY3kgaGFzIGxvbmctdGVybSBlZmZlY3RzIG9uIHRoZSBhdHRlbnRpb24g
c3lzdGVtIG9mIDguNS15LW9sZCBvZmZzcHJpbmc6IGEgcmFuZG9taXplZCBjb250cm9sbGVkIHRy
aWFsPC90aXRsZT48c2Vjb25kYXJ5LXRpdGxlPkFtIEogQ2xpbiBOdXRyPC9zZWNvbmRhcnktdGl0
bGU+PC90aXRsZXM+PHBlcmlvZGljYWw+PGZ1bGwtdGl0bGU+QW0gSiBDbGluIE51dHI8L2Z1bGwt
dGl0bGU+PC9wZXJpb2RpY2FsPjxwYWdlcz4xMTUtMjc8L3BhZ2VzPjx2b2x1bWU+MTAzPC92b2x1
bWU+PG51bWJlcj4xPC9udW1iZXI+PGVkaXRpb24+MjAxNS8xMS8xMzwvZWRpdGlvbj48a2V5d29y
ZHM+PGtleXdvcmQ+QWR1bHQ8L2tleXdvcmQ+PGtleXdvcmQ+QXR0ZW50aW9uLypwaHlzaW9sb2d5
PC9rZXl3b3JkPjxrZXl3b3JkPkJyYWluLypncm93dGggJmFtcDsgZGV2ZWxvcG1lbnQvcGh5c2lv
bG9neTwva2V5d29yZD48a2V5d29yZD5DaGlsZDwva2V5d29yZD48a2V5d29yZD5DaGlsZCBEZXZl
bG9wbWVudDwva2V5d29yZD48a2V5d29yZD5EaWV0YXJ5IEZhdHMsIFVuc2F0dXJhdGVkLypwaGFy
bWFjb2xvZ3k8L2tleXdvcmQ+PGtleXdvcmQ+KkRpZXRhcnkgU3VwcGxlbWVudHM8L2tleXdvcmQ+
PGtleXdvcmQ+RG91YmxlLUJsaW5kIE1ldGhvZDwva2V5d29yZD48a2V5d29yZD5FeGVjdXRpdmUg
RnVuY3Rpb24vKnBoeXNpb2xvZ3k8L2tleXdvcmQ+PGtleXdvcmQ+RmVtYWxlPC9rZXl3b3JkPjxr
ZXl3b3JkPkZldGFsIERldmVsb3BtZW50PC9rZXl3b3JkPjxrZXl3b3JkPkZpc2ggT2lscy9waGFy
bWFjb2xvZ3k8L2tleXdvcmQ+PGtleXdvcmQ+Rm9saWMgQWNpZC9waGFybWFjb2xvZ3k8L2tleXdv
cmQ+PGtleXdvcmQ+SHVtYW5zPC9rZXl3b3JkPjxrZXl3b3JkPk1hbGU8L2tleXdvcmQ+PGtleXdv
cmQ+UHJlZ25hbmN5PC9rZXl3b3JkPjxrZXl3b3JkPipQcmVuYXRhbCBOdXRyaXRpb25hbCBQaHlz
aW9sb2dpY2FsIFBoZW5vbWVuYTwva2V5d29yZD48a2V5d29yZD5UZXRyYWh5ZHJvZm9sYXRlcy8q
cGhhcm1hY29sb2d5PC9rZXl3b3JkPjxrZXl3b3JkPlZpdGFtaW4gQiBDb21wbGV4L3BoYXJtYWNv
bG9neTwva2V5d29yZD48a2V5d29yZD5hdHRlbnRpb248L2tleXdvcmQ+PGtleXdvcmQ+ZXZva2Vk
IHBvdGVudGlhbHM8L2tleXdvcmQ+PGtleXdvcmQ+Zm9sYXRlPC9rZXl3b3JkPjxrZXl3b3JkPnBv
bHl1bnNhdHVyYXRlZCBmYXR0eSBhY2lkczwva2V5d29yZD48a2V5d29yZD5wcmVuYXRhbCBudXRy
aXRpb248L2tleXdvcmQ+PC9rZXl3b3Jkcz48ZGF0ZXM+PHllYXI+MjAxNjwveWVhcj48cHViLWRh
dGVzPjxkYXRlPkphbjwvZGF0ZT48L3B1Yi1kYXRlcz48L2RhdGVzPjxpc2JuPjE5MzgtMzIwNyAo
RWxlY3Ryb25pYykmI3hEOzAwMDItOTE2NSAoTGlua2luZyk8L2lzYm4+PGFjY2Vzc2lvbi1udW0+
MjY1NjE2MTk8L2FjY2Vzc2lvbi1udW0+PHVybHM+PHJlbGF0ZWQtdXJscz48dXJsPmh0dHBzOi8v
d3d3Lm5jYmkubmxtLm5paC5nb3YvcHVibWVkLzI2NTYxNjE5PC91cmw+PC9yZWxhdGVkLXVybHM+
PC91cmxzPjxlbGVjdHJvbmljLXJlc291cmNlLW51bT4xMC4zOTQ1L2FqY24uMTE1LjEwOTEwODwv
ZWxlY3Ryb25pYy1yZXNvdXJjZS1udW0+PC9yZWNvcmQ+PC9DaXRlPjxDaXRlPjxBdXRob3I+TWNO
dWx0eTwvQXV0aG9yPjxZZWFyPjIwMTM8L1llYXI+PFJlY051bT4xNDM4PC9SZWNOdW0+PHJlY29y
ZD48cmVjLW51bWJlcj4xNDM4PC9yZWMtbnVtYmVyPjxmb3JlaWduLWtleXM+PGtleSBhcHA9IkVO
IiBkYi1pZD0iZXh2YXNyZngyZHRyYW9lc2FzeHAyc3pzeGEyZGY1MDI1OTJ4IiB0aW1lc3RhbXA9
IjE1NzE2MjYyNTEiPjE0Mzg8L2tleT48a2V5IGFwcD0iRU5XZWIiIGRiLWlkPSIiPjA8L2tleT48
L2ZvcmVpZ24ta2V5cz48cmVmLXR5cGUgbmFtZT0iSm91cm5hbCBBcnRpY2xlIj4xNzwvcmVmLXR5
cGU+PGNvbnRyaWJ1dG9ycz48YXV0aG9ycz48YXV0aG9yPk1jTnVsdHksIEIuPC9hdXRob3I+PGF1
dGhvcj5NY051bHR5LCBILjwvYXV0aG9yPjxhdXRob3I+TWFyc2hhbGwsIEIuPC9hdXRob3I+PGF1
dGhvcj5XYXJkLCBNLjwvYXV0aG9yPjxhdXRob3I+TW9sbG95LCBBLiBNLjwvYXV0aG9yPjxhdXRo
b3I+U2NvdHQsIEouIE0uPC9hdXRob3I+PGF1dGhvcj5Eb3JuYW4sIEouPC9hdXRob3I+PGF1dGhv
cj5QZW50aWV2YSwgSy48L2F1dGhvcj48L2F1dGhvcnM+PC9jb250cmlidXRvcnM+PGF1dGgtYWRk
cmVzcz5Ob3J0aGVybiBJcmVsYW5kIENlbnRyZSBmb3IgRm9vZCAmYW1wOyBIZWFsdGgsIFNjaG9v
bCBvZiBCaW9tZWRpY2FsIFNjaWVuY2VzLCBVbml2ZXJzaXR5IG9mIFVsc3RlciwgQ29sZXJhaW5l
LCBVbml0ZWQgS2luZ2RvbS48L2F1dGgtYWRkcmVzcz48dGl0bGVzPjx0aXRsZT5JbXBhY3Qgb2Yg
Y29udGludWluZyBmb2xpYyBhY2lkIGFmdGVyIHRoZSBmaXJzdCB0cmltZXN0ZXIgb2YgcHJlZ25h
bmN5OiBmaW5kaW5ncyBvZiBhIHJhbmRvbWl6ZWQgdHJpYWwgb2YgZm9saWMgYWNpZCBzdXBwbGVt
ZW50YXRpb24gaW4gdGhlIHNlY29uZCBhbmQgdGhpcmQgdHJpbWVzdGVyczwvdGl0bGU+PHNlY29u
ZGFyeS10aXRsZT5BbSBKIENsaW4gTnV0cjwvc2Vjb25kYXJ5LXRpdGxlPjwvdGl0bGVzPjxwZXJp
b2RpY2FsPjxmdWxsLXRpdGxlPkFtIEogQ2xpbiBOdXRyPC9mdWxsLXRpdGxlPjwvcGVyaW9kaWNh
bD48cGFnZXM+OTItODwvcGFnZXM+PHZvbHVtZT45ODwvdm9sdW1lPjxudW1iZXI+MTwvbnVtYmVy
PjxlZGl0aW9uPjIwMTMvMDUvMzE8L2VkaXRpb24+PGtleXdvcmRzPjxrZXl3b3JkPkFkb2xlc2Nl
bnQ8L2tleXdvcmQ+PGtleXdvcmQ+QWR1bHQ8L2tleXdvcmQ+PGtleXdvcmQ+KkRpZXRhcnkgU3Vw
cGxlbWVudHM8L2tleXdvcmQ+PGtleXdvcmQ+RG91YmxlLUJsaW5kIE1ldGhvZDwva2V5d29yZD48
a2V5d29yZD5Fcnl0aHJvY3l0ZXMvZHJ1ZyBlZmZlY3RzL21ldGFib2xpc208L2tleXdvcmQ+PGtl
eXdvcmQ+RmVtYWxlPC9rZXl3b3JkPjxrZXl3b3JkPkZvbGljIEFjaWQvKmFkbWluaXN0cmF0aW9u
ICZhbXA7IGRvc2FnZS9ibG9vZDwva2V5d29yZD48a2V5d29yZD5Ib21vY3lzdGVpbmUvYmxvb2Q8
L2tleXdvcmQ+PGtleXdvcmQ+SHVtYW5zPC9rZXl3b3JkPjxrZXl3b3JkPkluZmFudCwgTmV3Ym9y
bjwva2V5d29yZD48a2V5d29yZD5NYWxlPC9rZXl3b3JkPjxrZXl3b3JkPk5ldXJhbCBUdWJlIERl
ZmVjdHMvcHJldmVudGlvbiAmYW1wOyBjb250cm9sPC9rZXl3b3JkPjxrZXl3b3JkPk5vcnRoZXJu
IElyZWxhbmQ8L2tleXdvcmQ+PGtleXdvcmQ+UHJlZ25hbmN5PC9rZXl3b3JkPjxrZXl3b3JkPlBy
ZWduYW5jeSBUcmltZXN0ZXIsIEZpcnN0LypkcnVnIGVmZmVjdHM8L2tleXdvcmQ+PGtleXdvcmQ+
UHJlZ25hbmN5IFRyaW1lc3RlciwgU2Vjb25kLypkcnVnIGVmZmVjdHM8L2tleXdvcmQ+PGtleXdv
cmQ+UHJlZ25hbmN5IFRyaW1lc3RlciwgVGhpcmQvKmRydWcgZWZmZWN0czwva2V5d29yZD48a2V5
d29yZD5Zb3VuZyBBZHVsdDwva2V5d29yZD48L2tleXdvcmRzPjxkYXRlcz48eWVhcj4yMDEzPC95
ZWFyPjxwdWItZGF0ZXM+PGRhdGU+SnVsPC9kYXRlPjwvcHViLWRhdGVzPjwvZGF0ZXM+PGlzYm4+
MTkzOC0zMjA3IChFbGVjdHJvbmljKSYjeEQ7MDAwMi05MTY1IChMaW5raW5nKTwvaXNibj48YWNj
ZXNzaW9uLW51bT4yMzcxOTU1NDwvYWNjZXNzaW9uLW51bT48dXJscz48cmVsYXRlZC11cmxzPjx1
cmw+aHR0cHM6Ly93d3cubmNiaS5ubG0ubmloLmdvdi9wdWJtZWQvMjM3MTk1NTQ8L3VybD48L3Jl
bGF0ZWQtdXJscz48L3VybHM+PGVsZWN0cm9uaWMtcmVzb3VyY2UtbnVtPjEwLjM5NDUvYWpjbi4x
MTIuMDU3NDg5PC9lbGVjdHJvbmljLXJlc291cmNlLW51bT48L3JlY29yZD48L0NpdGU+PENpdGU+
PEF1dGhvcj5TYXl5YWgtTWVsbGk8L0F1dGhvcj48WWVhcj4yMDE2PC9ZZWFyPjxSZWNOdW0+MTQ0
MTwvUmVjTnVtPjxyZWNvcmQ+PHJlYy1udW1iZXI+MTQ0MTwvcmVjLW51bWJlcj48Zm9yZWlnbi1r
ZXlzPjxrZXkgYXBwPSJFTiIgZGItaWQ9ImV4dmFzcmZ4MmR0cmFvZXNhc3hwMnN6c3hhMmRmNTAy
NTkyeCIgdGltZXN0YW1wPSIxNTcxNjI2MjYwIj4xNDQxPC9rZXk+PGtleSBhcHA9IkVOV2ViIiBk
Yi1pZD0iIj4wPC9rZXk+PC9mb3JlaWduLWtleXM+PHJlZi10eXBlIG5hbWU9IkpvdXJuYWwgQXJ0
aWNsZSI+MTc8L3JlZi10eXBlPjxjb250cmlidXRvcnM+PGF1dGhvcnM+PGF1dGhvcj5TYXl5YWgt
TWVsbGksIE0uLDwvYXV0aG9yPjxhdXRob3I+R2hvcmJhbmloYWdoam8sIEEuLDwvYXV0aG9yPjxh
dXRob3I+QWxpemFkZWgsIE0uLDwvYXV0aG9yPjxhdXRob3I+S2F6ZW1pLVNoaXNodmFuLCBNLiw8
L2F1dGhvcj48YXV0aG9yPkdob2phemFkZWgsIE0uLDwvYXV0aG9yPjxhdXRob3I+QmlkYWRpLCBT
Liw8L2F1dGhvcj48L2F1dGhvcnM+PC9jb250cmlidXRvcnM+PHRpdGxlcz48dGl0bGU+VGhlIGVm
ZmVjdCBvZiBoaWdoIGRvc2UgZm9saWMgYWNpZCB0aHJvdWdob3V0IHByZWduYW5jeSBvbiBob21v
Y3lzdGVpbmUgKGhjeSkgY29uY2VudHJhdGlvbiBhbmQgcHJlLWVjbGFtcHNpYTogYSByYW5kb21p
emVkIGNsaW5pY2FsIHRyaWFsPC90aXRsZT48c2Vjb25kYXJ5LXRpdGxlPlBsb3MgT25lPC9zZWNv
bmRhcnktdGl0bGU+PC90aXRsZXM+PHBlcmlvZGljYWw+PGZ1bGwtdGl0bGU+UExvUyBPbmU8L2Z1
bGwtdGl0bGU+PC9wZXJpb2RpY2FsPjx2b2x1bWU+MTE8L3ZvbHVtZT48bnVtYmVyPjU8L251bWJl
cj48c2VjdGlvbj5lMDE1NDQwMDwvc2VjdGlvbj48ZGF0ZXM+PHllYXI+MjAxNjwveWVhcj48L2Rh
dGVzPjxpc2JuPjE5MzItNjIwMzwvaXNibj48dXJscz48L3VybHM+PGVsZWN0cm9uaWMtcmVzb3Vy
Y2UtbnVtPjEwLjEzNzEvam91cm5hbC5wb25lLjAxNTQ0MDA8L2VsZWN0cm9uaWMtcmVzb3VyY2Ut
bnVtPjwvcmVjb3JkPjwvQ2l0ZT48Q2l0ZT48QXV0aG9yPldlbjwvQXV0aG9yPjxZZWFyPjIwMTg8
L1llYXI+PFJlY051bT4xNDQ0PC9SZWNOdW0+PHJlY29yZD48cmVjLW51bWJlcj4xNDQ0PC9yZWMt
bnVtYmVyPjxmb3JlaWduLWtleXM+PGtleSBhcHA9IkVOIiBkYi1pZD0iZXh2YXNyZngyZHRyYW9l
c2FzeHAyc3pzeGEyZGY1MDI1OTJ4IiB0aW1lc3RhbXA9IjE1NzE2MjYyODAiPjE0NDQ8L2tleT48
a2V5IGFwcD0iRU5XZWIiIGRiLWlkPSIiPjA8L2tleT48L2ZvcmVpZ24ta2V5cz48cmVmLXR5cGUg
bmFtZT0iSm91cm5hbCBBcnRpY2xlIj4xNzwvcmVmLXR5cGU+PGNvbnRyaWJ1dG9ycz48YXV0aG9y
cz48YXV0aG9yPldlbiwgU2hpIFd1PC9hdXRob3I+PGF1dGhvcj5XaGl0ZSwgUnV0aCBSZW5uaWNr
czwvYXV0aG9yPjxhdXRob3I+UnliYWssIE5hdGFsaWU8L2F1dGhvcj48YXV0aG9yPkdhdWRldCwg
TGF1cmEgTS48L2F1dGhvcj48YXV0aG9yPlJvYnNvbiwgU3RlcGhlbjwvYXV0aG9yPjxhdXRob3I+
SGFndWUsIFdpbGxpYW08L2F1dGhvcj48YXV0aG9yPlNpbW1zLVN0ZXdhcnQsIERvbm5ldHRlPC9h
dXRob3I+PGF1dGhvcj5DYXJyb2xpLCBHdWlsbGVybW88L2F1dGhvcj48YXV0aG9yPlNtaXRoLCBH
cmFlbWU8L2F1dGhvcj48YXV0aG9yPkZyYXNlciwgV2lsbGlhbSBELjwvYXV0aG9yPjxhdXRob3I+
V2VsbHMsIEdlb3JnZTwvYXV0aG9yPjxhdXRob3I+RGF2aWRnZSwgU2FuZHJhIFQuPC9hdXRob3I+
PGF1dGhvcj5LaW5nZG9tLCBKb2huPC9hdXRob3I+PGF1dGhvcj5Db3lsZSwgRG91ZzwvYXV0aG9y
PjxhdXRob3I+RmVyZ3Vzc29uLCBEZWFuPC9hdXRob3I+PGF1dGhvcj5Db3JzaSwgRGFuaWVsIEou
PC9hdXRob3I+PGF1dGhvcj5DaGFtcGFnbmUsIEpvc2VlPC9hdXRob3I+PGF1dGhvcj5TYWJyaSwg
RWxoYW08L2F1dGhvcj48YXV0aG9yPlJhbXNheSwgVGltPC9hdXRob3I+PGF1dGhvcj5Nb2wsIEJl
biBXaWxsZW0gSi48L2F1dGhvcj48YXV0aG9yPk91ZGlqaywgTWFydGlqbiBBLjwvYXV0aG9yPjxh
dXRob3I+V2Fsa2VyLCBNYXJrIEMuPC9hdXRob3I+PC9hdXRob3JzPjwvY29udHJpYnV0b3JzPjx0
aXRsZXM+PHRpdGxlPkVmZmVjdCBvZiBoaWdoIGRvc2UgZm9saWMgYWNpZCBzdXBwbGVtZW50YXRp
b24gaW4gcHJlZ25hbmN5IG9uIHByZS1lY2xhbXBzaWEgKEZBQ1QpOiBkb3VibGUgYmxpbmQsIHBo
YXNlIElJSSwgcmFuZG9taXNlZCBjb250cm9sbGVkLCBpbnRlcm5hdGlvbmFsLCBtdWx0aWNlbnRy
ZSB0cmlhbDwvdGl0bGU+PHNlY29uZGFyeS10aXRsZT5CbWo8L3NlY29uZGFyeS10aXRsZT48L3Rp
dGxlcz48cGVyaW9kaWNhbD48ZnVsbC10aXRsZT5CTUo8L2Z1bGwtdGl0bGU+PC9wZXJpb2RpY2Fs
PjxzZWN0aW9uPmszNDc4PC9zZWN0aW9uPjxkYXRlcz48eWVhcj4yMDE4PC95ZWFyPjwvZGF0ZXM+
PGlzYm4+MDk1OS04MTM4JiN4RDsxNzU2LTE4MzM8L2lzYm4+PHVybHM+PC91cmxzPjxlbGVjdHJv
bmljLXJlc291cmNlLW51bT4xMC4xMTM2L2Jtai5rMzQ3ODwvZWxlY3Ryb25pYy1yZXNvdXJjZS1u
dW0+PC9yZWNvcmQ+PC9DaXRlPjxDaXRlPjxBdXRob3I+WXVzdWY8L0F1dGhvcj48WWVhcj4yMDE5
PC9ZZWFyPjxSZWNOdW0+MTYxMjwvUmVjTnVtPjxyZWNvcmQ+PHJlYy1udW1iZXI+MTYxMjwvcmVj
LW51bWJlcj48Zm9yZWlnbi1rZXlzPjxrZXkgYXBwPSJFTiIgZGItaWQ9ImV4dmFzcmZ4MmR0cmFv
ZXNhc3hwMnN6c3hhMmRmNTAyNTkyeCIgdGltZXN0YW1wPSIxNTc2NjQ0MzAwIj4xNjEyPC9rZXk+
PGtleSBhcHA9IkVOV2ViIiBkYi1pZD0iIj4wPC9rZXk+PC9mb3JlaWduLWtleXM+PHJlZi10eXBl
IG5hbWU9IkpvdXJuYWwgQXJ0aWNsZSI+MTc8L3JlZi10eXBlPjxjb250cmlidXRvcnM+PGF1dGhv
cnM+PGF1dGhvcj5ZdXN1ZiwgSy5LLiw8L2F1dGhvcj48YXV0aG9yPlNhbGlodSwgSC5NLiw8L2F1
dGhvcj48YXV0aG9yPldpbHNvbiwgUi4sPC9hdXRob3I+PGF1dGhvcj5NYmFoLCBBLiw8L2F1dGhv
cj48YXV0aG9yPlNhcHBlbmZpZWxkLCBXLiw8L2F1dGhvcj48YXV0aG9yPktpbmcsIEwuTS4sPC9h
dXRob3I+PGF1dGhvcj5CcnVkZXIsIEsuLDwvYXV0aG9yPjwvYXV0aG9ycz48L2NvbnRyaWJ1dG9y
cz48YXV0aC1hZGRyZXNzPkthcm9saW5za2EgSW5zdGl0dXRldCwgU3RvY2tob2xtLCBTd2VkZW4u
IHN2ZW4uY25hdHRpbmdpdXNAbWVwLmtpLnNlPC9hdXRoLWFkZHJlc3M+PHRpdGxlcz48dGl0bGU+
Q29tcGFyaW5nIGZvbGljIGFjaWQgZG9zYWdlIHN0cmVuZ3RocyB0byBwcmV2ZW50IHJlZHVjdGlv
biBpbiBmZXRhbCBzaXplIGFtb25nIHByZWduYW50IHdvbWVuIHdobyBzbW9rZWQgY2lnYXJldHRl
czogYSByYW5kb21pemVkIGNsaW5pY2FsIHRyaWFsPC90aXRsZT48c2Vjb25kYXJ5LXRpdGxlPkpB
TUEgUGVkaWF0cmljczwvc2Vjb25kYXJ5LXRpdGxlPjwvdGl0bGVzPjxwZXJpb2RpY2FsPjxmdWxs
LXRpdGxlPkpBTUEgUGVkaWF0cmljczwvZnVsbC10aXRsZT48L3BlcmlvZGljYWw+PHBhZ2VzPjQ5
My05NDwvcGFnZXM+PHZvbHVtZT4xNzM8L3ZvbHVtZT48bnVtYmVyPjU8L251bWJlcj48ZWRpdGlv
bj4yMDA0LzA2LzE5PC9lZGl0aW9uPjxrZXl3b3Jkcz48a2V5d29yZD5BZHVsdDwva2V5d29yZD48
a2V5d29yZD5FcGlkZW1pb2xvZ2ljIFN0dWRpZXM8L2tleXdvcmQ+PGtleXdvcmQ+RmVtYWxlPC9r
ZXl3b3JkPjxrZXl3b3JkPkh1bWFuczwva2V5d29yZD48a2V5d29yZD5JbmZhbnQsIE5ld2Jvcm48
L2tleXdvcmQ+PGtleXdvcmQ+KlByZWduYW5jeTwva2V5d29yZD48a2V5d29yZD5QcmVnbmFuY3kg
Q29tcGxpY2F0aW9ucy8qZXRpb2xvZ3k8L2tleXdvcmQ+PGtleXdvcmQ+UHJlZ25hbmN5IE91dGNv
bWU8L2tleXdvcmQ+PGtleXdvcmQ+UHJldmFsZW5jZTwva2V5d29yZD48a2V5d29yZD5SaXNrIEZh
Y3RvcnM8L2tleXdvcmQ+PGtleXdvcmQ+U21va2luZy8qZXBpZGVtaW9sb2d5PC9rZXl3b3JkPjxr
ZXl3b3JkPlNtb2tpbmcgQ2Vzc2F0aW9uPC9rZXl3b3JkPjwva2V5d29yZHM+PGRhdGVzPjx5ZWFy
PjIwMTk8L3llYXI+PHB1Yi1kYXRlcz48ZGF0ZT5BcHI8L2RhdGU+PC9wdWItZGF0ZXM+PC9kYXRl
cz48aXNibj4xNDYyLTIyMDMgKFByaW50KSYjeEQ7MTQ2Mi0yMjAzIChMaW5raW5nKTwvaXNibj48
YWNjZXNzaW9uLW51bT4xNTIwMzgxNjwvYWNjZXNzaW9uLW51bT48dXJscz48cmVsYXRlZC11cmxz
Pjx1cmw+aHR0cHM6Ly93d3cubmNiaS5ubG0ubmloLmdvdi9wdWJtZWQvMTUyMDM4MTY8L3VybD48
L3JlbGF0ZWQtdXJscz48L3VybHM+PGVsZWN0cm9uaWMtcmVzb3VyY2UtbnVtPjEwLjEwODAvMTQ2
MjIyMDA0MTAwMDE2NjkxODc8L2VsZWN0cm9uaWMtcmVzb3VyY2UtbnVtPjwvcmVjb3JkPjwvQ2l0
ZT48L0VuZE5vdGU+AG==
</w:fldData>
        </w:fldChar>
      </w:r>
      <w:r w:rsidR="002747EA">
        <w:instrText xml:space="preserve"> ADDIN EN.CITE.DATA </w:instrText>
      </w:r>
      <w:r w:rsidR="002747EA">
        <w:fldChar w:fldCharType="end"/>
      </w:r>
      <w:r w:rsidR="009E6D4E">
        <w:fldChar w:fldCharType="separate"/>
      </w:r>
      <w:r w:rsidR="002747EA" w:rsidRPr="002747EA">
        <w:rPr>
          <w:noProof/>
          <w:vertAlign w:val="superscript"/>
        </w:rPr>
        <w:t>135-139</w:t>
      </w:r>
      <w:r w:rsidR="009E6D4E">
        <w:fldChar w:fldCharType="end"/>
      </w:r>
      <w:r w:rsidR="00FD4AA6">
        <w:t xml:space="preserve"> </w:t>
      </w:r>
    </w:p>
    <w:p w14:paraId="058E9974" w14:textId="79952134" w:rsidR="0080096C" w:rsidRDefault="00BB3DF1" w:rsidP="00BB3DF1">
      <w:pPr>
        <w:pStyle w:val="Heading6"/>
      </w:pPr>
      <w:r>
        <w:t>Maternal outcomes</w:t>
      </w:r>
    </w:p>
    <w:p w14:paraId="508350AD" w14:textId="0F3C67D5" w:rsidR="00F96EE5" w:rsidRDefault="00355BA1" w:rsidP="00F96EE5">
      <w:r>
        <w:t>Two systematic reviews</w:t>
      </w:r>
      <w:r w:rsidR="00E27064">
        <w:t xml:space="preserve"> of RCTs and observational studies</w:t>
      </w:r>
      <w:r>
        <w:t>, with considerable overlap in studies, analysed the association between multivitamins containing folic acid supplementation and gestational hypertension/pre-eclampsia. One found a reduction in</w:t>
      </w:r>
      <w:r w:rsidR="00F96EE5">
        <w:t xml:space="preserve"> gestational hypertension/pre-eclampsia in RCTs (</w:t>
      </w:r>
      <w:r w:rsidR="00F96EE5" w:rsidRPr="002971FA">
        <w:rPr>
          <w:sz w:val="16"/>
          <w:szCs w:val="16"/>
        </w:rPr>
        <w:t>RR 0.62; 95%CI 0.45 to 0.87; 2 RCTs</w:t>
      </w:r>
      <w:r w:rsidR="00F96EE5">
        <w:t>) but not cohort studies (</w:t>
      </w:r>
      <w:r w:rsidR="00F96EE5" w:rsidRPr="002971FA">
        <w:rPr>
          <w:sz w:val="16"/>
          <w:szCs w:val="16"/>
        </w:rPr>
        <w:t>RR 0.92; 95%CI 0.79 to 1.08; 9 cohort studies</w:t>
      </w:r>
      <w:r w:rsidR="00F96EE5">
        <w:t>).</w:t>
      </w:r>
      <w:r>
        <w:fldChar w:fldCharType="begin">
          <w:fldData xml:space="preserve">PEVuZE5vdGU+PENpdGU+PEF1dGhvcj5IdWE8L0F1dGhvcj48WWVhcj4yMDE2PC9ZZWFyPjxSZWNO
dW0+MTQzNDwvUmVjTnVtPjxEaXNwbGF5VGV4dD48c3R5bGUgZmFjZT0ic3VwZXJzY3JpcHQiIGZv
bnQ9IlRyZWJ1Y2hldCBNUyIgc2l6ZT0iOSI+MTMyPC9zdHlsZT48L0Rpc3BsYXlUZXh0PjxyZWNv
cmQ+PHJlYy1udW1iZXI+MTQzNDwvcmVjLW51bWJlcj48Zm9yZWlnbi1rZXlzPjxrZXkgYXBwPSJF
TiIgZGItaWQ9ImV4dmFzcmZ4MmR0cmFvZXNhc3hwMnN6c3hhMmRmNTAyNTkyeCIgdGltZXN0YW1w
PSIxNTcxNjI2MjI5Ij4xNDM0PC9rZXk+PGtleSBhcHA9IkVOV2ViIiBkYi1pZD0iIj4wPC9rZXk+
PC9mb3JlaWduLWtleXM+PHJlZi10eXBlIG5hbWU9IkpvdXJuYWwgQXJ0aWNsZSI+MTc8L3JlZi10
eXBlPjxjb250cmlidXRvcnM+PGF1dGhvcnM+PGF1dGhvcj5IdWEsIFguPC9hdXRob3I+PGF1dGhv
cj5aaGFuZywgSi48L2F1dGhvcj48YXV0aG9yPkd1bywgWS48L2F1dGhvcj48YXV0aG9yPlNoZW4s
IE0uPC9hdXRob3I+PGF1dGhvcj5HYXVkZXQsIEwuPC9hdXRob3I+PGF1dGhvcj5KYW5vdWRpLCBH
LjwvYXV0aG9yPjxhdXRob3I+V2Fsa2VyLCBNLjwvYXV0aG9yPjxhdXRob3I+V2VuLCBTLiBXLjwv
YXV0aG9yPjwvYXV0aG9ycz48L2NvbnRyaWJ1dG9ycz48YXV0aC1hZGRyZXNzPmEgRGVwYXJ0bWVu
dCBvZiBPYnN0ZXRyaWNzICwgWGluaHVhIEhvc3BpdGFsLCBTaGFuZ2hhaSBKaWFvIFRvbmcgVW5p
dmVyc2l0eSBTY2hvb2wgb2YgTWVkaWNpbmUgLCBTaGFuZ2hhaSAsIENoaW5hLiYjeEQ7YiBEZXBh
cnRtZW50IG9mIE9ic3RldHJpY3MgYW5kIEd5bmVjb2xvZ3ksIEZhY3VsdHkgb2YgTWVkaWNpbmUg
LCBPTU5JIFJlc2VhcmNoIEdyb3VwLCBVbml2ZXJzaXR5IG9mIE90dGF3YSAsIE90dGF3YSAsIE9u
dGFyaW8gLCBDYW5hZGEuJiN4RDtjIENsaW5pY2FsIEVwaWRlbWlvbG9neSBQcm9ncmFtICwgT3R0
YXdhIEhvc3BpdGFsIFJlc2VhcmNoIEluc3RpdHV0ZSAsIE90dGF3YSAsIE9udGFyaW8gLCBDYW5h
ZGEuJiN4RDtkIERlcGFydG1lbnQgb2YgT2JzdGV0cmljcyBhbmQgR3luZWNvbG9neSAsIEJlaWpp
bmcgRnJpZW5kc2hpcCBIb3NwaXRhbCwgQ2FwaXRhbCBNZWRpY2FsIFVuaXZlcnNpdHkgLCBCZWlq
aW5nICwgQ2hpbmEuJiN4RDtlIFNjaG9vbCBvZiBQdWJsaWMgSGVhbHRoICwgQ2VudHJhbCBTb3V0
aCBVbml2ZXJzaXR5ICwgQ2hhbmdzaGEgLCBDaGluYS4mI3hEO2YgQ2FuYWRpYW4gQWdlbmN5IGZv
ciBEcnVncyBhbmQgVGVjaG5vbG9naWVzIGluIEhlYWx0aCAsIE90dGF3YSAsIE9udGFyaW8gLCBD
YW5hZGEuJiN4RDtnIFNjaG9vbCBvZiBFcGlkZW1pb2xvZ3ksIFB1YmxpYyBIZWFsdGgsIGFuZCBQ
cmV2ZW50aXZlIE1lZGljaW5lICwgVW5pdmVyc2l0eSBvZiBPdHRhd2EgRmFjdWx0eSBvZiBNZWRp
Y2luZSAsIE90dGF3YSAsIE9udGFyaW8gLCBDYW5hZGEuPC9hdXRoLWFkZHJlc3M+PHRpdGxlcz48
dGl0bGU+RWZmZWN0IG9mIGZvbGljIGFjaWQgc3VwcGxlbWVudGF0aW9uIGR1cmluZyBwcmVnbmFu
Y3kgb24gZ2VzdGF0aW9uYWwgaHlwZXJ0ZW5zaW9uL3ByZWVjbGFtcHNpYTogQSBzeXN0ZW1hdGlj
IHJldmlldyBhbmQgbWV0YS1hbmFseXNpczwvdGl0bGU+PHNlY29uZGFyeS10aXRsZT5IeXBlcnRl
bnMgUHJlZ25hbmN5PC9zZWNvbmRhcnktdGl0bGU+PC90aXRsZXM+PHBlcmlvZGljYWw+PGZ1bGwt
dGl0bGU+SHlwZXJ0ZW5zIFByZWduYW5jeTwvZnVsbC10aXRsZT48L3BlcmlvZGljYWw+PHBhZ2Vz
PjQ0Ny00NjA8L3BhZ2VzPjx2b2x1bWU+MzU8L3ZvbHVtZT48bnVtYmVyPjQ8L251bWJlcj48ZWRp
dGlvbj4yMDE2LzExLzAzPC9lZGl0aW9uPjxrZXl3b3Jkcz48a2V5d29yZD4qRGlldGFyeSBTdXBw
bGVtZW50czwva2V5d29yZD48a2V5d29yZD5GZW1hbGU8L2tleXdvcmQ+PGtleXdvcmQ+Rm9saWMg
QWNpZC8qdGhlcmFwZXV0aWMgdXNlPC9rZXl3b3JkPjxrZXl3b3JkPkh1bWFuczwva2V5d29yZD48
a2V5d29yZD5IeXBlcnRlbnNpb24sIFByZWduYW5jeS1JbmR1Y2VkLypwcmV2ZW50aW9uICZhbXA7
IGNvbnRyb2w8L2tleXdvcmQ+PGtleXdvcmQ+UHJlZ25hbmN5PC9rZXl3b3JkPjxrZXl3b3JkPlRy
ZWF0bWVudCBPdXRjb21lPC9rZXl3b3JkPjxrZXl3b3JkPkZvbGljIGFjaWQ8L2tleXdvcmQ+PGtl
eXdvcmQ+Z2VzdGF0aW9uYWwgaHlwZXJ0ZW5zaW9uPC9rZXl3b3JkPjxrZXl3b3JkPnByZWVjbGFt
cHNpYTwva2V5d29yZD48a2V5d29yZD5zdXBwbGVtZW50YXRpb248L2tleXdvcmQ+PC9rZXl3b3Jk
cz48ZGF0ZXM+PHllYXI+MjAxNjwveWVhcj48cHViLWRhdGVzPjxkYXRlPk5vdjwvZGF0ZT48L3B1
Yi1kYXRlcz48L2RhdGVzPjxpc2JuPjE1MjUtNjA2NSAoRWxlY3Ryb25pYykmI3hEOzEwNjQtMTk1
NSAoTGlua2luZyk8L2lzYm4+PGFjY2Vzc2lvbi1udW0+MjczMTU0MDE8L2FjY2Vzc2lvbi1udW0+
PHVybHM+PHJlbGF0ZWQtdXJscz48dXJsPmh0dHBzOi8vd3d3Lm5jYmkubmxtLm5paC5nb3YvcHVi
bWVkLzI3MzE1NDAxPC91cmw+PC9yZWxhdGVkLXVybHM+PC91cmxzPjxlbGVjdHJvbmljLXJlc291
cmNlLW51bT4xMC4xMDgwLzEwNjQxOTU1LjIwMTYuMTE4MzY3MzwvZWxlY3Ryb25pYy1yZXNvdXJj
ZS1udW0+PC9yZWNvcmQ+PC9DaXRlPjwvRW5kTm90ZT5=
</w:fldData>
        </w:fldChar>
      </w:r>
      <w:r w:rsidR="002747EA">
        <w:instrText xml:space="preserve"> ADDIN EN.CITE </w:instrText>
      </w:r>
      <w:r w:rsidR="002747EA">
        <w:fldChar w:fldCharType="begin">
          <w:fldData xml:space="preserve">PEVuZE5vdGU+PENpdGU+PEF1dGhvcj5IdWE8L0F1dGhvcj48WWVhcj4yMDE2PC9ZZWFyPjxSZWNO
dW0+MTQzNDwvUmVjTnVtPjxEaXNwbGF5VGV4dD48c3R5bGUgZmFjZT0ic3VwZXJzY3JpcHQiIGZv
bnQ9IlRyZWJ1Y2hldCBNUyIgc2l6ZT0iOSI+MTMyPC9zdHlsZT48L0Rpc3BsYXlUZXh0PjxyZWNv
cmQ+PHJlYy1udW1iZXI+MTQzNDwvcmVjLW51bWJlcj48Zm9yZWlnbi1rZXlzPjxrZXkgYXBwPSJF
TiIgZGItaWQ9ImV4dmFzcmZ4MmR0cmFvZXNhc3hwMnN6c3hhMmRmNTAyNTkyeCIgdGltZXN0YW1w
PSIxNTcxNjI2MjI5Ij4xNDM0PC9rZXk+PGtleSBhcHA9IkVOV2ViIiBkYi1pZD0iIj4wPC9rZXk+
PC9mb3JlaWduLWtleXM+PHJlZi10eXBlIG5hbWU9IkpvdXJuYWwgQXJ0aWNsZSI+MTc8L3JlZi10
eXBlPjxjb250cmlidXRvcnM+PGF1dGhvcnM+PGF1dGhvcj5IdWEsIFguPC9hdXRob3I+PGF1dGhv
cj5aaGFuZywgSi48L2F1dGhvcj48YXV0aG9yPkd1bywgWS48L2F1dGhvcj48YXV0aG9yPlNoZW4s
IE0uPC9hdXRob3I+PGF1dGhvcj5HYXVkZXQsIEwuPC9hdXRob3I+PGF1dGhvcj5KYW5vdWRpLCBH
LjwvYXV0aG9yPjxhdXRob3I+V2Fsa2VyLCBNLjwvYXV0aG9yPjxhdXRob3I+V2VuLCBTLiBXLjwv
YXV0aG9yPjwvYXV0aG9ycz48L2NvbnRyaWJ1dG9ycz48YXV0aC1hZGRyZXNzPmEgRGVwYXJ0bWVu
dCBvZiBPYnN0ZXRyaWNzICwgWGluaHVhIEhvc3BpdGFsLCBTaGFuZ2hhaSBKaWFvIFRvbmcgVW5p
dmVyc2l0eSBTY2hvb2wgb2YgTWVkaWNpbmUgLCBTaGFuZ2hhaSAsIENoaW5hLiYjeEQ7YiBEZXBh
cnRtZW50IG9mIE9ic3RldHJpY3MgYW5kIEd5bmVjb2xvZ3ksIEZhY3VsdHkgb2YgTWVkaWNpbmUg
LCBPTU5JIFJlc2VhcmNoIEdyb3VwLCBVbml2ZXJzaXR5IG9mIE90dGF3YSAsIE90dGF3YSAsIE9u
dGFyaW8gLCBDYW5hZGEuJiN4RDtjIENsaW5pY2FsIEVwaWRlbWlvbG9neSBQcm9ncmFtICwgT3R0
YXdhIEhvc3BpdGFsIFJlc2VhcmNoIEluc3RpdHV0ZSAsIE90dGF3YSAsIE9udGFyaW8gLCBDYW5h
ZGEuJiN4RDtkIERlcGFydG1lbnQgb2YgT2JzdGV0cmljcyBhbmQgR3luZWNvbG9neSAsIEJlaWpp
bmcgRnJpZW5kc2hpcCBIb3NwaXRhbCwgQ2FwaXRhbCBNZWRpY2FsIFVuaXZlcnNpdHkgLCBCZWlq
aW5nICwgQ2hpbmEuJiN4RDtlIFNjaG9vbCBvZiBQdWJsaWMgSGVhbHRoICwgQ2VudHJhbCBTb3V0
aCBVbml2ZXJzaXR5ICwgQ2hhbmdzaGEgLCBDaGluYS4mI3hEO2YgQ2FuYWRpYW4gQWdlbmN5IGZv
ciBEcnVncyBhbmQgVGVjaG5vbG9naWVzIGluIEhlYWx0aCAsIE90dGF3YSAsIE9udGFyaW8gLCBD
YW5hZGEuJiN4RDtnIFNjaG9vbCBvZiBFcGlkZW1pb2xvZ3ksIFB1YmxpYyBIZWFsdGgsIGFuZCBQ
cmV2ZW50aXZlIE1lZGljaW5lICwgVW5pdmVyc2l0eSBvZiBPdHRhd2EgRmFjdWx0eSBvZiBNZWRp
Y2luZSAsIE90dGF3YSAsIE9udGFyaW8gLCBDYW5hZGEuPC9hdXRoLWFkZHJlc3M+PHRpdGxlcz48
dGl0bGU+RWZmZWN0IG9mIGZvbGljIGFjaWQgc3VwcGxlbWVudGF0aW9uIGR1cmluZyBwcmVnbmFu
Y3kgb24gZ2VzdGF0aW9uYWwgaHlwZXJ0ZW5zaW9uL3ByZWVjbGFtcHNpYTogQSBzeXN0ZW1hdGlj
IHJldmlldyBhbmQgbWV0YS1hbmFseXNpczwvdGl0bGU+PHNlY29uZGFyeS10aXRsZT5IeXBlcnRl
bnMgUHJlZ25hbmN5PC9zZWNvbmRhcnktdGl0bGU+PC90aXRsZXM+PHBlcmlvZGljYWw+PGZ1bGwt
dGl0bGU+SHlwZXJ0ZW5zIFByZWduYW5jeTwvZnVsbC10aXRsZT48L3BlcmlvZGljYWw+PHBhZ2Vz
PjQ0Ny00NjA8L3BhZ2VzPjx2b2x1bWU+MzU8L3ZvbHVtZT48bnVtYmVyPjQ8L251bWJlcj48ZWRp
dGlvbj4yMDE2LzExLzAzPC9lZGl0aW9uPjxrZXl3b3Jkcz48a2V5d29yZD4qRGlldGFyeSBTdXBw
bGVtZW50czwva2V5d29yZD48a2V5d29yZD5GZW1hbGU8L2tleXdvcmQ+PGtleXdvcmQ+Rm9saWMg
QWNpZC8qdGhlcmFwZXV0aWMgdXNlPC9rZXl3b3JkPjxrZXl3b3JkPkh1bWFuczwva2V5d29yZD48
a2V5d29yZD5IeXBlcnRlbnNpb24sIFByZWduYW5jeS1JbmR1Y2VkLypwcmV2ZW50aW9uICZhbXA7
IGNvbnRyb2w8L2tleXdvcmQ+PGtleXdvcmQ+UHJlZ25hbmN5PC9rZXl3b3JkPjxrZXl3b3JkPlRy
ZWF0bWVudCBPdXRjb21lPC9rZXl3b3JkPjxrZXl3b3JkPkZvbGljIGFjaWQ8L2tleXdvcmQ+PGtl
eXdvcmQ+Z2VzdGF0aW9uYWwgaHlwZXJ0ZW5zaW9uPC9rZXl3b3JkPjxrZXl3b3JkPnByZWVjbGFt
cHNpYTwva2V5d29yZD48a2V5d29yZD5zdXBwbGVtZW50YXRpb248L2tleXdvcmQ+PC9rZXl3b3Jk
cz48ZGF0ZXM+PHllYXI+MjAxNjwveWVhcj48cHViLWRhdGVzPjxkYXRlPk5vdjwvZGF0ZT48L3B1
Yi1kYXRlcz48L2RhdGVzPjxpc2JuPjE1MjUtNjA2NSAoRWxlY3Ryb25pYykmI3hEOzEwNjQtMTk1
NSAoTGlua2luZyk8L2lzYm4+PGFjY2Vzc2lvbi1udW0+MjczMTU0MDE8L2FjY2Vzc2lvbi1udW0+
PHVybHM+PHJlbGF0ZWQtdXJscz48dXJsPmh0dHBzOi8vd3d3Lm5jYmkubmxtLm5paC5nb3YvcHVi
bWVkLzI3MzE1NDAxPC91cmw+PC9yZWxhdGVkLXVybHM+PC91cmxzPjxlbGVjdHJvbmljLXJlc291
cmNlLW51bT4xMC4xMDgwLzEwNjQxOTU1LjIwMTYuMTE4MzY3MzwvZWxlY3Ryb25pYy1yZXNvdXJj
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132</w:t>
      </w:r>
      <w:r>
        <w:fldChar w:fldCharType="end"/>
      </w:r>
      <w:r>
        <w:t xml:space="preserve"> The other </w:t>
      </w:r>
      <w:r w:rsidR="00143FF1">
        <w:t xml:space="preserve">found a reduction in pre-eclampsia </w:t>
      </w:r>
      <w:r w:rsidR="002971FA">
        <w:t>(</w:t>
      </w:r>
      <w:r w:rsidR="002971FA" w:rsidRPr="002971FA">
        <w:rPr>
          <w:sz w:val="16"/>
          <w:szCs w:val="16"/>
        </w:rPr>
        <w:t>RR 0.69; 95%CI 0.58 to 0.83</w:t>
      </w:r>
      <w:r w:rsidR="00143FF1" w:rsidRPr="002971FA">
        <w:rPr>
          <w:sz w:val="16"/>
          <w:szCs w:val="16"/>
        </w:rPr>
        <w:t>; 12 studies; n=311,991</w:t>
      </w:r>
      <w:r w:rsidR="002971FA">
        <w:t>)</w:t>
      </w:r>
      <w:r w:rsidR="00143FF1">
        <w:t xml:space="preserve"> but not gestational hypertension (</w:t>
      </w:r>
      <w:r w:rsidR="00143FF1" w:rsidRPr="002971FA">
        <w:rPr>
          <w:sz w:val="16"/>
          <w:szCs w:val="16"/>
        </w:rPr>
        <w:t>RR 1.19; 95%CI 0.92 to 1.54; 4 studies; n=266,938</w:t>
      </w:r>
      <w:r w:rsidR="00143FF1">
        <w:t>).</w:t>
      </w:r>
      <w:r w:rsidR="00143FF1">
        <w:fldChar w:fldCharType="begin"/>
      </w:r>
      <w:r w:rsidR="002747EA">
        <w:instrText xml:space="preserve"> ADDIN EN.CITE &lt;EndNote&gt;&lt;Cite&gt;&lt;Author&gt;Liu&lt;/Author&gt;&lt;Year&gt;2018&lt;/Year&gt;&lt;RecNum&gt;1436&lt;/RecNum&gt;&lt;DisplayText&gt;&lt;style face="superscript" font="Trebuchet MS" size="9"&gt;134&lt;/style&gt;&lt;/DisplayText&gt;&lt;record&gt;&lt;rec-number&gt;1436&lt;/rec-number&gt;&lt;foreign-keys&gt;&lt;key app="EN" db-id="exvasrfx2dtraoesasxp2szsxa2df502592x" timestamp="1571626241"&gt;1436&lt;/key&gt;&lt;key app="ENWeb" db-id=""&gt;0&lt;/key&gt;&lt;/foreign-keys&gt;&lt;ref-type name="Journal Article"&gt;17&lt;/ref-type&gt;&lt;contributors&gt;&lt;authors&gt;&lt;author&gt;Liu, Cheng&lt;/author&gt;&lt;author&gt;Liu, Chongdong&lt;/author&gt;&lt;author&gt;Wang, Qiushi&lt;/author&gt;&lt;author&gt;Zhang, Zhenyu&lt;/author&gt;&lt;/authors&gt;&lt;/contributors&gt;&lt;titles&gt;&lt;title&gt;Supplementation of folic acid in pregnancy and the risk of preeclampsia and gestational hypertension: a meta-analysis&lt;/title&gt;&lt;secondary-title&gt;Archives of Gynecology and Obstetrics&lt;/secondary-title&gt;&lt;/titles&gt;&lt;periodical&gt;&lt;full-title&gt;Archives of Gynecology and Obstetrics&lt;/full-title&gt;&lt;/periodical&gt;&lt;pages&gt;697-704&lt;/pages&gt;&lt;volume&gt;298&lt;/volume&gt;&lt;number&gt;4&lt;/number&gt;&lt;section&gt;697&lt;/section&gt;&lt;dates&gt;&lt;year&gt;2018&lt;/year&gt;&lt;/dates&gt;&lt;isbn&gt;0932-0067&amp;#xD;1432-0711&lt;/isbn&gt;&lt;urls&gt;&lt;/urls&gt;&lt;electronic-resource-num&gt;10.1007/s00404-018-4823-4&lt;/electronic-resource-num&gt;&lt;/record&gt;&lt;/Cite&gt;&lt;/EndNote&gt;</w:instrText>
      </w:r>
      <w:r w:rsidR="00143FF1">
        <w:fldChar w:fldCharType="separate"/>
      </w:r>
      <w:r w:rsidR="002747EA" w:rsidRPr="002747EA">
        <w:rPr>
          <w:noProof/>
          <w:vertAlign w:val="superscript"/>
        </w:rPr>
        <w:t>134</w:t>
      </w:r>
      <w:r w:rsidR="00143FF1">
        <w:fldChar w:fldCharType="end"/>
      </w:r>
      <w:r w:rsidR="00143FF1">
        <w:t xml:space="preserve"> There was no reduction in pre-eclampsia for folic acid alone (</w:t>
      </w:r>
      <w:r w:rsidR="00143FF1" w:rsidRPr="002971FA">
        <w:rPr>
          <w:sz w:val="16"/>
          <w:szCs w:val="16"/>
        </w:rPr>
        <w:t>RR 0.97; 95%CI 0.80 to 1.17</w:t>
      </w:r>
      <w:r w:rsidR="000809B3" w:rsidRPr="002971FA">
        <w:rPr>
          <w:sz w:val="16"/>
          <w:szCs w:val="16"/>
        </w:rPr>
        <w:t>; 4 studies; n=210,896</w:t>
      </w:r>
      <w:r w:rsidR="00143FF1">
        <w:t>).</w:t>
      </w:r>
      <w:r w:rsidR="00143FF1">
        <w:fldChar w:fldCharType="begin"/>
      </w:r>
      <w:r w:rsidR="002747EA">
        <w:instrText xml:space="preserve"> ADDIN EN.CITE &lt;EndNote&gt;&lt;Cite&gt;&lt;Author&gt;Liu&lt;/Author&gt;&lt;Year&gt;2018&lt;/Year&gt;&lt;RecNum&gt;1436&lt;/RecNum&gt;&lt;DisplayText&gt;&lt;style face="superscript" font="Trebuchet MS" size="9"&gt;134&lt;/style&gt;&lt;/DisplayText&gt;&lt;record&gt;&lt;rec-number&gt;1436&lt;/rec-number&gt;&lt;foreign-keys&gt;&lt;key app="EN" db-id="exvasrfx2dtraoesasxp2szsxa2df502592x" timestamp="1571626241"&gt;1436&lt;/key&gt;&lt;key app="ENWeb" db-id=""&gt;0&lt;/key&gt;&lt;/foreign-keys&gt;&lt;ref-type name="Journal Article"&gt;17&lt;/ref-type&gt;&lt;contributors&gt;&lt;authors&gt;&lt;author&gt;Liu, Cheng&lt;/author&gt;&lt;author&gt;Liu, Chongdong&lt;/author&gt;&lt;author&gt;Wang, Qiushi&lt;/author&gt;&lt;author&gt;Zhang, Zhenyu&lt;/author&gt;&lt;/authors&gt;&lt;/contributors&gt;&lt;titles&gt;&lt;title&gt;Supplementation of folic acid in pregnancy and the risk of preeclampsia and gestational hypertension: a meta-analysis&lt;/title&gt;&lt;secondary-title&gt;Archives of Gynecology and Obstetrics&lt;/secondary-title&gt;&lt;/titles&gt;&lt;periodical&gt;&lt;full-title&gt;Archives of Gynecology and Obstetrics&lt;/full-title&gt;&lt;/periodical&gt;&lt;pages&gt;697-704&lt;/pages&gt;&lt;volume&gt;298&lt;/volume&gt;&lt;number&gt;4&lt;/number&gt;&lt;section&gt;697&lt;/section&gt;&lt;dates&gt;&lt;year&gt;2018&lt;/year&gt;&lt;/dates&gt;&lt;isbn&gt;0932-0067&amp;#xD;1432-0711&lt;/isbn&gt;&lt;urls&gt;&lt;/urls&gt;&lt;electronic-resource-num&gt;10.1007/s00404-018-4823-4&lt;/electronic-resource-num&gt;&lt;/record&gt;&lt;/Cite&gt;&lt;/EndNote&gt;</w:instrText>
      </w:r>
      <w:r w:rsidR="00143FF1">
        <w:fldChar w:fldCharType="separate"/>
      </w:r>
      <w:r w:rsidR="002747EA" w:rsidRPr="002747EA">
        <w:rPr>
          <w:noProof/>
          <w:vertAlign w:val="superscript"/>
        </w:rPr>
        <w:t>134</w:t>
      </w:r>
      <w:r w:rsidR="00143FF1">
        <w:fldChar w:fldCharType="end"/>
      </w:r>
      <w:r w:rsidR="008C3139">
        <w:t xml:space="preserve"> A</w:t>
      </w:r>
      <w:r w:rsidR="00E27064">
        <w:t xml:space="preserve"> systematic review of observational studies found a reduction in pre-eclampsia associated with folic acid supplementation (</w:t>
      </w:r>
      <w:r w:rsidR="00E27064" w:rsidRPr="002971FA">
        <w:rPr>
          <w:sz w:val="16"/>
          <w:szCs w:val="16"/>
        </w:rPr>
        <w:t>OR 0.78; 95%CI 0.63 to 0.98; 8 studies</w:t>
      </w:r>
      <w:r w:rsidR="00E27064" w:rsidRPr="0016156C">
        <w:t>)</w:t>
      </w:r>
      <w:r w:rsidR="00E27064">
        <w:t>.</w:t>
      </w:r>
      <w:r w:rsidR="00E27064">
        <w:fldChar w:fldCharType="begin"/>
      </w:r>
      <w:r w:rsidR="002747EA">
        <w:instrText xml:space="preserve"> ADDIN EN.CITE &lt;EndNote&gt;&lt;Cite&gt;&lt;Author&gt;Bulloch&lt;/Author&gt;&lt;Year&gt;2018&lt;/Year&gt;&lt;RecNum&gt;1424&lt;/RecNum&gt;&lt;DisplayText&gt;&lt;style face="superscript" font="Trebuchet MS" size="9"&gt;126&lt;/style&gt;&lt;/DisplayText&gt;&lt;record&gt;&lt;rec-number&gt;1424&lt;/rec-number&gt;&lt;foreign-keys&gt;&lt;key app="EN" db-id="exvasrfx2dtraoesasxp2szsxa2df502592x" timestamp="1571626173"&gt;1424&lt;/key&gt;&lt;key app="ENWeb" db-id=""&gt;0&lt;/key&gt;&lt;/foreign-keys&gt;&lt;ref-type name="Journal Article"&gt;17&lt;/ref-type&gt;&lt;contributors&gt;&lt;authors&gt;&lt;author&gt;Bulloch, Rhodi E.&lt;/author&gt;&lt;author&gt;Lovell, Amy L.&lt;/author&gt;&lt;author&gt;Jordan, Vanessa M. B.&lt;/author&gt;&lt;author&gt;McCowan, Lesley M. E.&lt;/author&gt;&lt;author&gt;Thompson, John M. D.&lt;/author&gt;&lt;author&gt;Wall, Clare R.&lt;/author&gt;&lt;/authors&gt;&lt;/contributors&gt;&lt;titles&gt;&lt;title&gt;Maternal folic acid supplementation for the prevention of preeclampsia: A systematic review and meta-analysis&lt;/title&gt;&lt;secondary-title&gt;Paediatric and Perinatal Epidemiology&lt;/secondary-title&gt;&lt;/titles&gt;&lt;periodical&gt;&lt;full-title&gt;Paediatric and Perinatal Epidemiology&lt;/full-title&gt;&lt;/periodical&gt;&lt;pages&gt;346-357&lt;/pages&gt;&lt;volume&gt;32&lt;/volume&gt;&lt;number&gt;4&lt;/number&gt;&lt;section&gt;346&lt;/section&gt;&lt;dates&gt;&lt;year&gt;2018&lt;/year&gt;&lt;/dates&gt;&lt;isbn&gt;02695022&lt;/isbn&gt;&lt;urls&gt;&lt;/urls&gt;&lt;electronic-resource-num&gt;10.1111/ppe.12476&lt;/electronic-resource-num&gt;&lt;/record&gt;&lt;/Cite&gt;&lt;/EndNote&gt;</w:instrText>
      </w:r>
      <w:r w:rsidR="00E27064">
        <w:fldChar w:fldCharType="separate"/>
      </w:r>
      <w:r w:rsidR="002747EA" w:rsidRPr="002747EA">
        <w:rPr>
          <w:noProof/>
          <w:vertAlign w:val="superscript"/>
        </w:rPr>
        <w:t>126</w:t>
      </w:r>
      <w:r w:rsidR="00E27064">
        <w:fldChar w:fldCharType="end"/>
      </w:r>
      <w:r w:rsidR="00E27064">
        <w:t xml:space="preserve"> </w:t>
      </w:r>
      <w:r w:rsidR="00DC7626">
        <w:t>However, s</w:t>
      </w:r>
      <w:r w:rsidR="00E27064" w:rsidRPr="0016156C">
        <w:t xml:space="preserve">ubgroup analysis showed no </w:t>
      </w:r>
      <w:r w:rsidR="002971FA">
        <w:t>clear</w:t>
      </w:r>
      <w:r w:rsidR="00E27064" w:rsidRPr="0016156C">
        <w:t xml:space="preserve"> difference between</w:t>
      </w:r>
      <w:r w:rsidR="00E27064">
        <w:t xml:space="preserve"> </w:t>
      </w:r>
      <w:r w:rsidR="00E27064" w:rsidRPr="0016156C">
        <w:t xml:space="preserve">folic acid </w:t>
      </w:r>
      <w:r w:rsidR="00E27064">
        <w:t>alone compared</w:t>
      </w:r>
      <w:r w:rsidR="00E27064" w:rsidRPr="0016156C">
        <w:t xml:space="preserve"> to folic acid in</w:t>
      </w:r>
      <w:r w:rsidR="00E27064">
        <w:t xml:space="preserve"> </w:t>
      </w:r>
      <w:r w:rsidR="00E27064" w:rsidRPr="0016156C">
        <w:t>or alongside a multivitamin.</w:t>
      </w:r>
      <w:r w:rsidR="008C3139">
        <w:t xml:space="preserve"> A multicentre RCT (</w:t>
      </w:r>
      <w:r w:rsidR="008C3139" w:rsidRPr="007F05FB">
        <w:rPr>
          <w:sz w:val="16"/>
          <w:szCs w:val="16"/>
        </w:rPr>
        <w:t>n=2,271</w:t>
      </w:r>
      <w:r w:rsidR="006B139C">
        <w:t>) found no reduction in</w:t>
      </w:r>
      <w:r w:rsidR="008C3139">
        <w:t xml:space="preserve"> risk of pre-eclampsia (</w:t>
      </w:r>
      <w:r w:rsidR="008C3139" w:rsidRPr="008C3139">
        <w:rPr>
          <w:sz w:val="16"/>
          <w:szCs w:val="16"/>
        </w:rPr>
        <w:t>RR 1.10, 95%</w:t>
      </w:r>
      <w:r w:rsidR="006B139C">
        <w:rPr>
          <w:sz w:val="16"/>
          <w:szCs w:val="16"/>
        </w:rPr>
        <w:t>CI 0.90 to 1.34; p</w:t>
      </w:r>
      <w:r w:rsidR="008C3139" w:rsidRPr="008C3139">
        <w:rPr>
          <w:sz w:val="16"/>
          <w:szCs w:val="16"/>
        </w:rPr>
        <w:t>=0.37</w:t>
      </w:r>
      <w:r w:rsidR="008C3139">
        <w:t>).</w:t>
      </w:r>
      <w:r w:rsidR="008C3139">
        <w:fldChar w:fldCharType="begin"/>
      </w:r>
      <w:r w:rsidR="002747EA">
        <w:instrText xml:space="preserve"> ADDIN EN.CITE &lt;EndNote&gt;&lt;Cite&gt;&lt;Author&gt;Wen&lt;/Author&gt;&lt;Year&gt;2018&lt;/Year&gt;&lt;RecNum&gt;1444&lt;/RecNum&gt;&lt;DisplayText&gt;&lt;style face="superscript" font="Trebuchet MS" size="9"&gt;138&lt;/style&gt;&lt;/DisplayText&gt;&lt;record&gt;&lt;rec-number&gt;1444&lt;/rec-number&gt;&lt;foreign-keys&gt;&lt;key app="EN" db-id="exvasrfx2dtraoesasxp2szsxa2df502592x" timestamp="1571626280"&gt;1444&lt;/key&gt;&lt;key app="ENWeb" db-id=""&gt;0&lt;/key&gt;&lt;/foreign-keys&gt;&lt;ref-type name="Journal Article"&gt;17&lt;/ref-type&gt;&lt;contributors&gt;&lt;authors&gt;&lt;author&gt;Wen, Shi Wu&lt;/author&gt;&lt;author&gt;White, Ruth Rennicks&lt;/author&gt;&lt;author&gt;Rybak, Natalie&lt;/author&gt;&lt;author&gt;Gaudet, Laura M.&lt;/author&gt;&lt;author&gt;Robson, Stephen&lt;/author&gt;&lt;author&gt;Hague, William&lt;/author&gt;&lt;author&gt;Simms-Stewart, Donnette&lt;/author&gt;&lt;author&gt;Carroli, Guillermo&lt;/author&gt;&lt;author&gt;Smith, Graeme&lt;/author&gt;&lt;author&gt;Fraser, William D.&lt;/author&gt;&lt;author&gt;Wells, George&lt;/author&gt;&lt;author&gt;Davidge, Sandra T.&lt;/author&gt;&lt;author&gt;Kingdom, John&lt;/author&gt;&lt;author&gt;Coyle, Doug&lt;/author&gt;&lt;author&gt;Fergusson, Dean&lt;/author&gt;&lt;author&gt;Corsi, Daniel J.&lt;/author&gt;&lt;author&gt;Champagne, Josee&lt;/author&gt;&lt;author&gt;Sabri, Elham&lt;/author&gt;&lt;author&gt;Ramsay, Tim&lt;/author&gt;&lt;author&gt;Mol, Ben Willem J.&lt;/author&gt;&lt;author&gt;Oudijk, Martijn A.&lt;/author&gt;&lt;author&gt;Walker, Mark C.&lt;/author&gt;&lt;/authors&gt;&lt;/contributors&gt;&lt;titles&gt;&lt;title&gt;Effect of high dose folic acid supplementation in pregnancy on pre-eclampsia (FACT): double blind, phase III, randomised controlled, international, multicentre trial&lt;/title&gt;&lt;secondary-title&gt;Bmj&lt;/secondary-title&gt;&lt;/titles&gt;&lt;periodical&gt;&lt;full-title&gt;BMJ&lt;/full-title&gt;&lt;/periodical&gt;&lt;section&gt;k3478&lt;/section&gt;&lt;dates&gt;&lt;year&gt;2018&lt;/year&gt;&lt;/dates&gt;&lt;isbn&gt;0959-8138&amp;#xD;1756-1833&lt;/isbn&gt;&lt;urls&gt;&lt;/urls&gt;&lt;electronic-resource-num&gt;10.1136/bmj.k3478&lt;/electronic-resource-num&gt;&lt;/record&gt;&lt;/Cite&gt;&lt;/EndNote&gt;</w:instrText>
      </w:r>
      <w:r w:rsidR="008C3139">
        <w:fldChar w:fldCharType="separate"/>
      </w:r>
      <w:r w:rsidR="002747EA" w:rsidRPr="002747EA">
        <w:rPr>
          <w:noProof/>
          <w:vertAlign w:val="superscript"/>
        </w:rPr>
        <w:t>138</w:t>
      </w:r>
      <w:r w:rsidR="008C3139">
        <w:fldChar w:fldCharType="end"/>
      </w:r>
    </w:p>
    <w:p w14:paraId="580BCD88" w14:textId="46FCA77C" w:rsidR="00F751D1" w:rsidRDefault="001462BD" w:rsidP="0066333A">
      <w:r>
        <w:t xml:space="preserve">A small RCT </w:t>
      </w:r>
      <w:r w:rsidR="00AB09BD">
        <w:t>(</w:t>
      </w:r>
      <w:r w:rsidR="00AB09BD" w:rsidRPr="006B139C">
        <w:rPr>
          <w:sz w:val="16"/>
          <w:szCs w:val="16"/>
        </w:rPr>
        <w:t>n=119</w:t>
      </w:r>
      <w:r w:rsidR="00AB09BD">
        <w:t xml:space="preserve">) </w:t>
      </w:r>
      <w:r>
        <w:t>found that women who continued folic acid supplementation into the second trimester had higher levels of serum folate (</w:t>
      </w:r>
      <w:r w:rsidRPr="006B139C">
        <w:rPr>
          <w:sz w:val="16"/>
          <w:szCs w:val="16"/>
        </w:rPr>
        <w:t>p&lt;0.001</w:t>
      </w:r>
      <w:r>
        <w:t>), red blood cell folate (</w:t>
      </w:r>
      <w:r w:rsidRPr="006B139C">
        <w:rPr>
          <w:sz w:val="16"/>
          <w:szCs w:val="16"/>
        </w:rPr>
        <w:t>p&lt;0.001</w:t>
      </w:r>
      <w:r>
        <w:t xml:space="preserve">) and cord blood folate </w:t>
      </w:r>
      <w:r w:rsidR="00AB09BD">
        <w:t>(</w:t>
      </w:r>
      <w:r w:rsidR="00AB09BD" w:rsidRPr="006B139C">
        <w:rPr>
          <w:sz w:val="16"/>
          <w:szCs w:val="16"/>
        </w:rPr>
        <w:t>p=0.001</w:t>
      </w:r>
      <w:r w:rsidR="00AB09BD">
        <w:t>) and lower</w:t>
      </w:r>
      <w:r>
        <w:t xml:space="preserve"> levels of plasma homocysteine (</w:t>
      </w:r>
      <w:r w:rsidRPr="006B139C">
        <w:rPr>
          <w:sz w:val="16"/>
          <w:szCs w:val="16"/>
        </w:rPr>
        <w:t>p=0.006</w:t>
      </w:r>
      <w:r>
        <w:t>) at 36 weeks than women who did not.</w:t>
      </w:r>
      <w:r w:rsidR="00AB09BD">
        <w:fldChar w:fldCharType="begin">
          <w:fldData xml:space="preserve">PEVuZE5vdGU+PENpdGU+PEF1dGhvcj5NY051bHR5PC9BdXRob3I+PFllYXI+MjAxMzwvWWVhcj48
UmVjTnVtPjE0Mzg8L1JlY051bT48RGlzcGxheVRleHQ+PHN0eWxlIGZhY2U9InN1cGVyc2NyaXB0
IiBmb250PSJUcmVidWNoZXQgTVMiIHNpemU9IjkiPjEzNjwvc3R5bGU+PC9EaXNwbGF5VGV4dD48
cmVjb3JkPjxyZWMtbnVtYmVyPjE0Mzg8L3JlYy1udW1iZXI+PGZvcmVpZ24ta2V5cz48a2V5IGFw
cD0iRU4iIGRiLWlkPSJleHZhc3JmeDJkdHJhb2VzYXN4cDJzenN4YTJkZjUwMjU5MngiIHRpbWVz
dGFtcD0iMTU3MTYyNjI1MSI+MTQzODwva2V5PjxrZXkgYXBwPSJFTldlYiIgZGItaWQ9IiI+MDwv
a2V5PjwvZm9yZWlnbi1rZXlzPjxyZWYtdHlwZSBuYW1lPSJKb3VybmFsIEFydGljbGUiPjE3PC9y
ZWYtdHlwZT48Y29udHJpYnV0b3JzPjxhdXRob3JzPjxhdXRob3I+TWNOdWx0eSwgQi48L2F1dGhv
cj48YXV0aG9yPk1jTnVsdHksIEguPC9hdXRob3I+PGF1dGhvcj5NYXJzaGFsbCwgQi48L2F1dGhv
cj48YXV0aG9yPldhcmQsIE0uPC9hdXRob3I+PGF1dGhvcj5Nb2xsb3ksIEEuIE0uPC9hdXRob3I+
PGF1dGhvcj5TY290dCwgSi4gTS48L2F1dGhvcj48YXV0aG9yPkRvcm5hbiwgSi48L2F1dGhvcj48
YXV0aG9yPlBlbnRpZXZhLCBLLjwvYXV0aG9yPjwvYXV0aG9ycz48L2NvbnRyaWJ1dG9ycz48YXV0
aC1hZGRyZXNzPk5vcnRoZXJuIElyZWxhbmQgQ2VudHJlIGZvciBGb29kICZhbXA7IEhlYWx0aCwg
U2Nob29sIG9mIEJpb21lZGljYWwgU2NpZW5jZXMsIFVuaXZlcnNpdHkgb2YgVWxzdGVyLCBDb2xl
cmFpbmUsIFVuaXRlZCBLaW5nZG9tLjwvYXV0aC1hZGRyZXNzPjx0aXRsZXM+PHRpdGxlPkltcGFj
dCBvZiBjb250aW51aW5nIGZvbGljIGFjaWQgYWZ0ZXIgdGhlIGZpcnN0IHRyaW1lc3RlciBvZiBw
cmVnbmFuY3k6IGZpbmRpbmdzIG9mIGEgcmFuZG9taXplZCB0cmlhbCBvZiBmb2xpYyBhY2lkIHN1
cHBsZW1lbnRhdGlvbiBpbiB0aGUgc2Vjb25kIGFuZCB0aGlyZCB0cmltZXN0ZXJzPC90aXRsZT48
c2Vjb25kYXJ5LXRpdGxlPkFtIEogQ2xpbiBOdXRyPC9zZWNvbmRhcnktdGl0bGU+PC90aXRsZXM+
PHBlcmlvZGljYWw+PGZ1bGwtdGl0bGU+QW0gSiBDbGluIE51dHI8L2Z1bGwtdGl0bGU+PC9wZXJp
b2RpY2FsPjxwYWdlcz45Mi04PC9wYWdlcz48dm9sdW1lPjk4PC92b2x1bWU+PG51bWJlcj4xPC9u
dW1iZXI+PGVkaXRpb24+MjAxMy8wNS8zMTwvZWRpdGlvbj48a2V5d29yZHM+PGtleXdvcmQ+QWRv
bGVzY2VudDwva2V5d29yZD48a2V5d29yZD5BZHVsdDwva2V5d29yZD48a2V5d29yZD4qRGlldGFy
eSBTdXBwbGVtZW50czwva2V5d29yZD48a2V5d29yZD5Eb3VibGUtQmxpbmQgTWV0aG9kPC9rZXl3
b3JkPjxrZXl3b3JkPkVyeXRocm9jeXRlcy9kcnVnIGVmZmVjdHMvbWV0YWJvbGlzbTwva2V5d29y
ZD48a2V5d29yZD5GZW1hbGU8L2tleXdvcmQ+PGtleXdvcmQ+Rm9saWMgQWNpZC8qYWRtaW5pc3Ry
YXRpb24gJmFtcDsgZG9zYWdlL2Jsb29kPC9rZXl3b3JkPjxrZXl3b3JkPkhvbW9jeXN0ZWluZS9i
bG9vZDwva2V5d29yZD48a2V5d29yZD5IdW1hbnM8L2tleXdvcmQ+PGtleXdvcmQ+SW5mYW50LCBO
ZXdib3JuPC9rZXl3b3JkPjxrZXl3b3JkPk1hbGU8L2tleXdvcmQ+PGtleXdvcmQ+TmV1cmFsIFR1
YmUgRGVmZWN0cy9wcmV2ZW50aW9uICZhbXA7IGNvbnRyb2w8L2tleXdvcmQ+PGtleXdvcmQ+Tm9y
dGhlcm4gSXJlbGFuZDwva2V5d29yZD48a2V5d29yZD5QcmVnbmFuY3k8L2tleXdvcmQ+PGtleXdv
cmQ+UHJlZ25hbmN5IFRyaW1lc3RlciwgRmlyc3QvKmRydWcgZWZmZWN0czwva2V5d29yZD48a2V5
d29yZD5QcmVnbmFuY3kgVHJpbWVzdGVyLCBTZWNvbmQvKmRydWcgZWZmZWN0czwva2V5d29yZD48
a2V5d29yZD5QcmVnbmFuY3kgVHJpbWVzdGVyLCBUaGlyZC8qZHJ1ZyBlZmZlY3RzPC9rZXl3b3Jk
PjxrZXl3b3JkPllvdW5nIEFkdWx0PC9rZXl3b3JkPjwva2V5d29yZHM+PGRhdGVzPjx5ZWFyPjIw
MTM8L3llYXI+PHB1Yi1kYXRlcz48ZGF0ZT5KdWw8L2RhdGU+PC9wdWItZGF0ZXM+PC9kYXRlcz48
aXNibj4xOTM4LTMyMDcgKEVsZWN0cm9uaWMpJiN4RDswMDAyLTkxNjUgKExpbmtpbmcpPC9pc2Ju
PjxhY2Nlc3Npb24tbnVtPjIzNzE5NTU0PC9hY2Nlc3Npb24tbnVtPjx1cmxzPjxyZWxhdGVkLXVy
bHM+PHVybD5odHRwczovL3d3dy5uY2JpLm5sbS5uaWguZ292L3B1Ym1lZC8yMzcxOTU1NDwvdXJs
PjwvcmVsYXRlZC11cmxzPjwvdXJscz48ZWxlY3Ryb25pYy1yZXNvdXJjZS1udW0+MTAuMzk0NS9h
amNuLjExMi4wNTc0ODk8L2VsZWN0cm9uaWMtcmVzb3VyY2UtbnVtPjwvcmVjb3JkPjwvQ2l0ZT48
L0VuZE5vdGU+
</w:fldData>
        </w:fldChar>
      </w:r>
      <w:r w:rsidR="002747EA">
        <w:instrText xml:space="preserve"> ADDIN EN.CITE </w:instrText>
      </w:r>
      <w:r w:rsidR="002747EA">
        <w:fldChar w:fldCharType="begin">
          <w:fldData xml:space="preserve">PEVuZE5vdGU+PENpdGU+PEF1dGhvcj5NY051bHR5PC9BdXRob3I+PFllYXI+MjAxMzwvWWVhcj48
UmVjTnVtPjE0Mzg8L1JlY051bT48RGlzcGxheVRleHQ+PHN0eWxlIGZhY2U9InN1cGVyc2NyaXB0
IiBmb250PSJUcmVidWNoZXQgTVMiIHNpemU9IjkiPjEzNjwvc3R5bGU+PC9EaXNwbGF5VGV4dD48
cmVjb3JkPjxyZWMtbnVtYmVyPjE0Mzg8L3JlYy1udW1iZXI+PGZvcmVpZ24ta2V5cz48a2V5IGFw
cD0iRU4iIGRiLWlkPSJleHZhc3JmeDJkdHJhb2VzYXN4cDJzenN4YTJkZjUwMjU5MngiIHRpbWVz
dGFtcD0iMTU3MTYyNjI1MSI+MTQzODwva2V5PjxrZXkgYXBwPSJFTldlYiIgZGItaWQ9IiI+MDwv
a2V5PjwvZm9yZWlnbi1rZXlzPjxyZWYtdHlwZSBuYW1lPSJKb3VybmFsIEFydGljbGUiPjE3PC9y
ZWYtdHlwZT48Y29udHJpYnV0b3JzPjxhdXRob3JzPjxhdXRob3I+TWNOdWx0eSwgQi48L2F1dGhv
cj48YXV0aG9yPk1jTnVsdHksIEguPC9hdXRob3I+PGF1dGhvcj5NYXJzaGFsbCwgQi48L2F1dGhv
cj48YXV0aG9yPldhcmQsIE0uPC9hdXRob3I+PGF1dGhvcj5Nb2xsb3ksIEEuIE0uPC9hdXRob3I+
PGF1dGhvcj5TY290dCwgSi4gTS48L2F1dGhvcj48YXV0aG9yPkRvcm5hbiwgSi48L2F1dGhvcj48
YXV0aG9yPlBlbnRpZXZhLCBLLjwvYXV0aG9yPjwvYXV0aG9ycz48L2NvbnRyaWJ1dG9ycz48YXV0
aC1hZGRyZXNzPk5vcnRoZXJuIElyZWxhbmQgQ2VudHJlIGZvciBGb29kICZhbXA7IEhlYWx0aCwg
U2Nob29sIG9mIEJpb21lZGljYWwgU2NpZW5jZXMsIFVuaXZlcnNpdHkgb2YgVWxzdGVyLCBDb2xl
cmFpbmUsIFVuaXRlZCBLaW5nZG9tLjwvYXV0aC1hZGRyZXNzPjx0aXRsZXM+PHRpdGxlPkltcGFj
dCBvZiBjb250aW51aW5nIGZvbGljIGFjaWQgYWZ0ZXIgdGhlIGZpcnN0IHRyaW1lc3RlciBvZiBw
cmVnbmFuY3k6IGZpbmRpbmdzIG9mIGEgcmFuZG9taXplZCB0cmlhbCBvZiBmb2xpYyBhY2lkIHN1
cHBsZW1lbnRhdGlvbiBpbiB0aGUgc2Vjb25kIGFuZCB0aGlyZCB0cmltZXN0ZXJzPC90aXRsZT48
c2Vjb25kYXJ5LXRpdGxlPkFtIEogQ2xpbiBOdXRyPC9zZWNvbmRhcnktdGl0bGU+PC90aXRsZXM+
PHBlcmlvZGljYWw+PGZ1bGwtdGl0bGU+QW0gSiBDbGluIE51dHI8L2Z1bGwtdGl0bGU+PC9wZXJp
b2RpY2FsPjxwYWdlcz45Mi04PC9wYWdlcz48dm9sdW1lPjk4PC92b2x1bWU+PG51bWJlcj4xPC9u
dW1iZXI+PGVkaXRpb24+MjAxMy8wNS8zMTwvZWRpdGlvbj48a2V5d29yZHM+PGtleXdvcmQ+QWRv
bGVzY2VudDwva2V5d29yZD48a2V5d29yZD5BZHVsdDwva2V5d29yZD48a2V5d29yZD4qRGlldGFy
eSBTdXBwbGVtZW50czwva2V5d29yZD48a2V5d29yZD5Eb3VibGUtQmxpbmQgTWV0aG9kPC9rZXl3
b3JkPjxrZXl3b3JkPkVyeXRocm9jeXRlcy9kcnVnIGVmZmVjdHMvbWV0YWJvbGlzbTwva2V5d29y
ZD48a2V5d29yZD5GZW1hbGU8L2tleXdvcmQ+PGtleXdvcmQ+Rm9saWMgQWNpZC8qYWRtaW5pc3Ry
YXRpb24gJmFtcDsgZG9zYWdlL2Jsb29kPC9rZXl3b3JkPjxrZXl3b3JkPkhvbW9jeXN0ZWluZS9i
bG9vZDwva2V5d29yZD48a2V5d29yZD5IdW1hbnM8L2tleXdvcmQ+PGtleXdvcmQ+SW5mYW50LCBO
ZXdib3JuPC9rZXl3b3JkPjxrZXl3b3JkPk1hbGU8L2tleXdvcmQ+PGtleXdvcmQ+TmV1cmFsIFR1
YmUgRGVmZWN0cy9wcmV2ZW50aW9uICZhbXA7IGNvbnRyb2w8L2tleXdvcmQ+PGtleXdvcmQ+Tm9y
dGhlcm4gSXJlbGFuZDwva2V5d29yZD48a2V5d29yZD5QcmVnbmFuY3k8L2tleXdvcmQ+PGtleXdv
cmQ+UHJlZ25hbmN5IFRyaW1lc3RlciwgRmlyc3QvKmRydWcgZWZmZWN0czwva2V5d29yZD48a2V5
d29yZD5QcmVnbmFuY3kgVHJpbWVzdGVyLCBTZWNvbmQvKmRydWcgZWZmZWN0czwva2V5d29yZD48
a2V5d29yZD5QcmVnbmFuY3kgVHJpbWVzdGVyLCBUaGlyZC8qZHJ1ZyBlZmZlY3RzPC9rZXl3b3Jk
PjxrZXl3b3JkPllvdW5nIEFkdWx0PC9rZXl3b3JkPjwva2V5d29yZHM+PGRhdGVzPjx5ZWFyPjIw
MTM8L3llYXI+PHB1Yi1kYXRlcz48ZGF0ZT5KdWw8L2RhdGU+PC9wdWItZGF0ZXM+PC9kYXRlcz48
aXNibj4xOTM4LTMyMDcgKEVsZWN0cm9uaWMpJiN4RDswMDAyLTkxNjUgKExpbmtpbmcpPC9pc2Ju
PjxhY2Nlc3Npb24tbnVtPjIzNzE5NTU0PC9hY2Nlc3Npb24tbnVtPjx1cmxzPjxyZWxhdGVkLXVy
bHM+PHVybD5odHRwczovL3d3dy5uY2JpLm5sbS5uaWguZ292L3B1Ym1lZC8yMzcxOTU1NDwvdXJs
PjwvcmVsYXRlZC11cmxzPjwvdXJscz48ZWxlY3Ryb25pYy1yZXNvdXJjZS1udW0+MTAuMzk0NS9h
amNuLjExMi4wNTc0ODk8L2VsZWN0cm9uaWMtcmVzb3VyY2UtbnVtPjwvcmVjb3JkPjwvQ2l0ZT48
L0VuZE5vdGU+
</w:fldData>
        </w:fldChar>
      </w:r>
      <w:r w:rsidR="002747EA">
        <w:instrText xml:space="preserve"> ADDIN EN.CITE.DATA </w:instrText>
      </w:r>
      <w:r w:rsidR="002747EA">
        <w:fldChar w:fldCharType="end"/>
      </w:r>
      <w:r w:rsidR="00AB09BD">
        <w:fldChar w:fldCharType="separate"/>
      </w:r>
      <w:r w:rsidR="002747EA" w:rsidRPr="002747EA">
        <w:rPr>
          <w:noProof/>
          <w:vertAlign w:val="superscript"/>
        </w:rPr>
        <w:t>136</w:t>
      </w:r>
      <w:r w:rsidR="00AB09BD">
        <w:fldChar w:fldCharType="end"/>
      </w:r>
      <w:r w:rsidR="00AB09BD">
        <w:t xml:space="preserve"> In another RCT (</w:t>
      </w:r>
      <w:r w:rsidR="00AB09BD" w:rsidRPr="006B139C">
        <w:rPr>
          <w:sz w:val="16"/>
          <w:szCs w:val="16"/>
        </w:rPr>
        <w:t>n=410</w:t>
      </w:r>
      <w:r w:rsidR="00AB09BD">
        <w:t>), compared to women who took a daily dose of 5 mg, women who took 0.5 mg daily had higher homocysteine levels (p&lt;0.001), higher rates of early abortion (p=0.005) and lower birth weight infants (</w:t>
      </w:r>
      <w:r w:rsidR="00AB09BD" w:rsidRPr="006B139C">
        <w:rPr>
          <w:sz w:val="16"/>
          <w:szCs w:val="16"/>
        </w:rPr>
        <w:t>p=0.031</w:t>
      </w:r>
      <w:r w:rsidR="00AB09BD">
        <w:t>).</w:t>
      </w:r>
      <w:r w:rsidR="00AB09BD">
        <w:fldChar w:fldCharType="begin"/>
      </w:r>
      <w:r w:rsidR="002747EA">
        <w:instrText xml:space="preserve"> ADDIN EN.CITE &lt;EndNote&gt;&lt;Cite&gt;&lt;Author&gt;Sayyah-Melli&lt;/Author&gt;&lt;Year&gt;2016&lt;/Year&gt;&lt;RecNum&gt;1441&lt;/RecNum&gt;&lt;DisplayText&gt;&lt;style face="superscript" font="Trebuchet MS" size="9"&gt;137&lt;/style&gt;&lt;/DisplayText&gt;&lt;record&gt;&lt;rec-number&gt;1441&lt;/rec-number&gt;&lt;foreign-keys&gt;&lt;key app="EN" db-id="exvasrfx2dtraoesasxp2szsxa2df502592x" timestamp="1571626260"&gt;1441&lt;/key&gt;&lt;key app="ENWeb" db-id=""&gt;0&lt;/key&gt;&lt;/foreign-keys&gt;&lt;ref-type name="Journal Article"&gt;17&lt;/ref-type&gt;&lt;contributors&gt;&lt;authors&gt;&lt;author&gt;Sayyah-Melli, M.,&lt;/author&gt;&lt;author&gt;Ghorbanihaghjo, A.,&lt;/author&gt;&lt;author&gt;Alizadeh, M.,&lt;/author&gt;&lt;author&gt;Kazemi-Shishvan, M.,&lt;/author&gt;&lt;author&gt;Ghojazadeh, M.,&lt;/author&gt;&lt;author&gt;Bidadi, S.,&lt;/author&gt;&lt;/authors&gt;&lt;/contributors&gt;&lt;titles&gt;&lt;title&gt;The effect of high dose folic acid throughout pregnancy on homocysteine (hcy) concentration and pre-eclampsia: a randomized clinical trial&lt;/title&gt;&lt;secondary-title&gt;Plos One&lt;/secondary-title&gt;&lt;/titles&gt;&lt;periodical&gt;&lt;full-title&gt;PLoS One&lt;/full-title&gt;&lt;/periodical&gt;&lt;volume&gt;11&lt;/volume&gt;&lt;number&gt;5&lt;/number&gt;&lt;section&gt;e0154400&lt;/section&gt;&lt;dates&gt;&lt;year&gt;2016&lt;/year&gt;&lt;/dates&gt;&lt;isbn&gt;1932-6203&lt;/isbn&gt;&lt;urls&gt;&lt;/urls&gt;&lt;electronic-resource-num&gt;10.1371/journal.pone.0154400&lt;/electronic-resource-num&gt;&lt;/record&gt;&lt;/Cite&gt;&lt;/EndNote&gt;</w:instrText>
      </w:r>
      <w:r w:rsidR="00AB09BD">
        <w:fldChar w:fldCharType="separate"/>
      </w:r>
      <w:r w:rsidR="002747EA" w:rsidRPr="002747EA">
        <w:rPr>
          <w:noProof/>
          <w:vertAlign w:val="superscript"/>
        </w:rPr>
        <w:t>137</w:t>
      </w:r>
      <w:r w:rsidR="00AB09BD">
        <w:fldChar w:fldCharType="end"/>
      </w:r>
      <w:r w:rsidR="00AB09BD">
        <w:t xml:space="preserve"> There was no effect on systolic (</w:t>
      </w:r>
      <w:r w:rsidR="00AB09BD" w:rsidRPr="006B139C">
        <w:rPr>
          <w:sz w:val="16"/>
          <w:szCs w:val="16"/>
        </w:rPr>
        <w:t>p=0.84</w:t>
      </w:r>
      <w:r w:rsidR="00AB09BD">
        <w:t>) or diastolic (</w:t>
      </w:r>
      <w:r w:rsidR="00AB09BD" w:rsidRPr="006B139C">
        <w:rPr>
          <w:sz w:val="16"/>
          <w:szCs w:val="16"/>
        </w:rPr>
        <w:t>p=0.15</w:t>
      </w:r>
      <w:r w:rsidR="00AB09BD">
        <w:t>) blood pressure.</w:t>
      </w:r>
      <w:r w:rsidR="008C3139">
        <w:t xml:space="preserve"> </w:t>
      </w:r>
      <w:r w:rsidR="00F751D1">
        <w:t>Another RCT suggested that a higher dose (4</w:t>
      </w:r>
      <w:r w:rsidR="006B139C">
        <w:t> </w:t>
      </w:r>
      <w:r w:rsidR="00F751D1">
        <w:t>mg) reduced risk of fetal growth restriction (</w:t>
      </w:r>
      <w:r w:rsidR="00F751D1" w:rsidRPr="006B139C">
        <w:rPr>
          <w:sz w:val="16"/>
          <w:szCs w:val="16"/>
        </w:rPr>
        <w:t>aRR 0.65; 95%CI 0.46 to 0.93</w:t>
      </w:r>
      <w:r w:rsidR="00F751D1">
        <w:t>) compared to 0.8 mg per day.</w:t>
      </w:r>
      <w:r w:rsidR="00F751D1">
        <w:fldChar w:fldCharType="begin"/>
      </w:r>
      <w:r w:rsidR="002747EA">
        <w:instrText xml:space="preserve"> ADDIN EN.CITE &lt;EndNote&gt;&lt;Cite&gt;&lt;Author&gt;Yusuf&lt;/Author&gt;&lt;Year&gt;2019&lt;/Year&gt;&lt;RecNum&gt;1612&lt;/RecNum&gt;&lt;DisplayText&gt;&lt;style face="superscript" font="Trebuchet MS" size="9"&gt;139&lt;/style&gt;&lt;/DisplayText&gt;&lt;record&gt;&lt;rec-number&gt;1612&lt;/rec-number&gt;&lt;foreign-keys&gt;&lt;key app="EN" db-id="exvasrfx2dtraoesasxp2szsxa2df502592x" timestamp="1576644300"&gt;1612&lt;/key&gt;&lt;key app="ENWeb" db-id=""&gt;0&lt;/key&gt;&lt;/foreign-keys&gt;&lt;ref-type name="Journal Article"&gt;17&lt;/ref-type&gt;&lt;contributors&gt;&lt;authors&gt;&lt;author&gt;Yusuf, K.K.,&lt;/author&gt;&lt;author&gt;Salihu, H.M.,&lt;/author&gt;&lt;author&gt;Wilson, R.,&lt;/author&gt;&lt;author&gt;Mbah, A.,&lt;/author&gt;&lt;author&gt;Sappenfield, W.,&lt;/author&gt;&lt;author&gt;King, L.M.,&lt;/author&gt;&lt;author&gt;Bruder, K.,&lt;/author&gt;&lt;/authors&gt;&lt;/contributors&gt;&lt;auth-address&gt;Karolinska Institutet, Stockholm, Sweden. sven.cnattingius@mep.ki.se&lt;/auth-address&gt;&lt;titles&gt;&lt;title&gt;Comparing folic acid dosage strengths to prevent reduction in fetal size among pregnant women who smoked cigarettes: a randomized clinical trial&lt;/title&gt;&lt;secondary-title&gt;JAMA Pediatrics&lt;/secondary-title&gt;&lt;/titles&gt;&lt;periodical&gt;&lt;full-title&gt;JAMA Pediatrics&lt;/full-title&gt;&lt;/periodical&gt;&lt;pages&gt;493-94&lt;/pages&gt;&lt;volume&gt;173&lt;/volume&gt;&lt;number&gt;5&lt;/number&gt;&lt;edition&gt;2004/06/19&lt;/edition&gt;&lt;keywords&gt;&lt;keyword&gt;Adult&lt;/keyword&gt;&lt;keyword&gt;Epidemiologic Studies&lt;/keyword&gt;&lt;keyword&gt;Female&lt;/keyword&gt;&lt;keyword&gt;Humans&lt;/keyword&gt;&lt;keyword&gt;Infant, Newborn&lt;/keyword&gt;&lt;keyword&gt;*Pregnancy&lt;/keyword&gt;&lt;keyword&gt;Pregnancy Complications/*etiology&lt;/keyword&gt;&lt;keyword&gt;Pregnancy Outcome&lt;/keyword&gt;&lt;keyword&gt;Prevalence&lt;/keyword&gt;&lt;keyword&gt;Risk Factors&lt;/keyword&gt;&lt;keyword&gt;Smoking/*epidemiology&lt;/keyword&gt;&lt;keyword&gt;Smoking Cessation&lt;/keyword&gt;&lt;/keywords&gt;&lt;dates&gt;&lt;year&gt;2019&lt;/year&gt;&lt;pub-dates&gt;&lt;date&gt;Apr&lt;/date&gt;&lt;/pub-dates&gt;&lt;/dates&gt;&lt;isbn&gt;1462-2203 (Print)&amp;#xD;1462-2203 (Linking)&lt;/isbn&gt;&lt;accession-num&gt;15203816&lt;/accession-num&gt;&lt;urls&gt;&lt;related-urls&gt;&lt;url&gt;https://www.ncbi.nlm.nih.gov/pubmed/15203816&lt;/url&gt;&lt;/related-urls&gt;&lt;/urls&gt;&lt;electronic-resource-num&gt;10.1080/14622200410001669187&lt;/electronic-resource-num&gt;&lt;/record&gt;&lt;/Cite&gt;&lt;/EndNote&gt;</w:instrText>
      </w:r>
      <w:r w:rsidR="00F751D1">
        <w:fldChar w:fldCharType="separate"/>
      </w:r>
      <w:r w:rsidR="002747EA" w:rsidRPr="002747EA">
        <w:rPr>
          <w:noProof/>
          <w:vertAlign w:val="superscript"/>
        </w:rPr>
        <w:t>139</w:t>
      </w:r>
      <w:r w:rsidR="00F751D1">
        <w:fldChar w:fldCharType="end"/>
      </w:r>
    </w:p>
    <w:p w14:paraId="4ABD20CE" w14:textId="77777777" w:rsidR="00BB3DF1" w:rsidRDefault="00BB3DF1" w:rsidP="00BB3DF1">
      <w:pPr>
        <w:pStyle w:val="Heading6"/>
      </w:pPr>
      <w:r>
        <w:t>Infant and childhood outcomes</w:t>
      </w:r>
    </w:p>
    <w:p w14:paraId="755E8594" w14:textId="03F72B02" w:rsidR="00F96EE5" w:rsidRDefault="00F96EE5" w:rsidP="00024348">
      <w:r>
        <w:t xml:space="preserve">A systematic review of </w:t>
      </w:r>
      <w:r w:rsidR="009C3668">
        <w:t>RCTs</w:t>
      </w:r>
      <w:r>
        <w:t xml:space="preserve"> found no effect on total fetal loss (</w:t>
      </w:r>
      <w:r w:rsidRPr="002971FA">
        <w:rPr>
          <w:sz w:val="16"/>
          <w:szCs w:val="16"/>
        </w:rPr>
        <w:t>RR 0.95; 95%CI 0.64 to 1.40; 1 RCT; n=903</w:t>
      </w:r>
      <w:r>
        <w:t>)</w:t>
      </w:r>
      <w:r w:rsidR="002979C1">
        <w:t>, early or late miscarriage (</w:t>
      </w:r>
      <w:r w:rsidR="002979C1" w:rsidRPr="00A912D4">
        <w:rPr>
          <w:sz w:val="16"/>
          <w:szCs w:val="16"/>
        </w:rPr>
        <w:t>RR 0.97; 95%CI 0.65 to 1.44; 1 RCT; n=903</w:t>
      </w:r>
      <w:r w:rsidR="002979C1">
        <w:t>) or stillbirth (</w:t>
      </w:r>
      <w:r w:rsidR="002979C1" w:rsidRPr="00A912D4">
        <w:rPr>
          <w:sz w:val="16"/>
          <w:szCs w:val="16"/>
        </w:rPr>
        <w:t>RR 0.67; 95%CI 0.11 to 4.02; 1 RCT; n=903</w:t>
      </w:r>
      <w:r w:rsidR="002979C1">
        <w:t>)</w:t>
      </w:r>
      <w:r>
        <w:t>.</w:t>
      </w:r>
      <w:r>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fldChar w:fldCharType="separate"/>
      </w:r>
      <w:r w:rsidR="002747EA" w:rsidRPr="002747EA">
        <w:rPr>
          <w:noProof/>
          <w:vertAlign w:val="superscript"/>
        </w:rPr>
        <w:t>125</w:t>
      </w:r>
      <w:r>
        <w:fldChar w:fldCharType="end"/>
      </w:r>
      <w:r>
        <w:t xml:space="preserve"> </w:t>
      </w:r>
    </w:p>
    <w:p w14:paraId="600F69F3" w14:textId="31AC9875" w:rsidR="006F069A" w:rsidRDefault="005C76AC" w:rsidP="00024348">
      <w:r>
        <w:t xml:space="preserve">Two systematic reviews of RCTs </w:t>
      </w:r>
      <w:r w:rsidR="00BC52F9">
        <w:t xml:space="preserve">were consistent in finding no clear </w:t>
      </w:r>
      <w:r w:rsidR="002E7455">
        <w:t>effect on</w:t>
      </w:r>
      <w:r w:rsidR="00BC52F9">
        <w:t xml:space="preserve"> preterm birth &lt;37 weeks (</w:t>
      </w:r>
      <w:r w:rsidR="00BC52F9" w:rsidRPr="00BC52F9">
        <w:rPr>
          <w:sz w:val="16"/>
          <w:szCs w:val="16"/>
        </w:rPr>
        <w:t>RR</w:t>
      </w:r>
      <w:r w:rsidR="00BC52F9">
        <w:rPr>
          <w:sz w:val="16"/>
          <w:szCs w:val="16"/>
        </w:rPr>
        <w:t> </w:t>
      </w:r>
      <w:r w:rsidR="00BC52F9" w:rsidRPr="00BC52F9">
        <w:rPr>
          <w:sz w:val="16"/>
          <w:szCs w:val="16"/>
        </w:rPr>
        <w:t>0.99; 95%CI 0.82 to 1.18;</w:t>
      </w:r>
      <w:r w:rsidR="00BC52F9">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 </w:instrText>
      </w:r>
      <w:r w:rsidR="002747EA">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EN.CITE.DATA </w:instrText>
      </w:r>
      <w:r w:rsidR="002747EA">
        <w:fldChar w:fldCharType="end"/>
      </w:r>
      <w:r w:rsidR="00BC52F9">
        <w:fldChar w:fldCharType="separate"/>
      </w:r>
      <w:r w:rsidR="002747EA" w:rsidRPr="002747EA">
        <w:rPr>
          <w:noProof/>
          <w:vertAlign w:val="superscript"/>
        </w:rPr>
        <w:t>121</w:t>
      </w:r>
      <w:r w:rsidR="00BC52F9">
        <w:fldChar w:fldCharType="end"/>
      </w:r>
      <w:r w:rsidR="00BC52F9">
        <w:t xml:space="preserve"> </w:t>
      </w:r>
      <w:r w:rsidR="00BC52F9" w:rsidRPr="00BC52F9">
        <w:rPr>
          <w:sz w:val="16"/>
          <w:szCs w:val="16"/>
        </w:rPr>
        <w:t>RR 1.09; 95%CI 0.77 to 1.54; 1 study; n=2,797</w:t>
      </w:r>
      <w:r w:rsidR="00BC52F9">
        <w:fldChar w:fldCharType="begin"/>
      </w:r>
      <w:r w:rsidR="002747EA">
        <w:instrText xml:space="preserve"> ADDIN EN.CITE &lt;EndNote&gt;&lt;Cite&gt;&lt;Author&gt;Lassi&lt;/Author&gt;&lt;Year&gt;2013&lt;/Year&gt;&lt;RecNum&gt;1435&lt;/RecNum&gt;&lt;DisplayText&gt;&lt;style face="superscript" font="Trebuchet MS" size="9"&gt;133&lt;/style&gt;&lt;/DisplayText&gt;&lt;record&gt;&lt;rec-number&gt;1435&lt;/rec-number&gt;&lt;foreign-keys&gt;&lt;key app="EN" db-id="exvasrfx2dtraoesasxp2szsxa2df502592x" timestamp="1571626233"&gt;1435&lt;/key&gt;&lt;key app="ENWeb" db-id=""&gt;0&lt;/key&gt;&lt;/foreign-keys&gt;&lt;ref-type name="Journal Article"&gt;17&lt;/ref-type&gt;&lt;contributors&gt;&lt;authors&gt;&lt;author&gt;Lassi, Zohra S.&lt;/author&gt;&lt;author&gt;Salam, Rehana A.&lt;/author&gt;&lt;author&gt;Haider, Batool A.&lt;/author&gt;&lt;author&gt;Bhutta, Zulfiqar A.&lt;/author&gt;&lt;/authors&gt;&lt;/contributors&gt;&lt;titles&gt;&lt;title&gt;Folic acid supplementation during pregnancy for maternal health and pregnancy outcomes&lt;/title&gt;&lt;secondary-title&gt;Cochrane Database of Systematic Reviews&lt;/secondary-title&gt;&lt;/titles&gt;&lt;periodical&gt;&lt;full-title&gt;Cochrane Database of Systematic Reviews&lt;/full-title&gt;&lt;/periodical&gt;&lt;dates&gt;&lt;year&gt;2013&lt;/year&gt;&lt;/dates&gt;&lt;isbn&gt;14651858&lt;/isbn&gt;&lt;urls&gt;&lt;/urls&gt;&lt;electronic-resource-num&gt;10.1002/14651858.CD006896.pub2&lt;/electronic-resource-num&gt;&lt;/record&gt;&lt;/Cite&gt;&lt;/EndNote&gt;</w:instrText>
      </w:r>
      <w:r w:rsidR="00BC52F9">
        <w:fldChar w:fldCharType="separate"/>
      </w:r>
      <w:r w:rsidR="002747EA" w:rsidRPr="002747EA">
        <w:rPr>
          <w:noProof/>
          <w:vertAlign w:val="superscript"/>
        </w:rPr>
        <w:t>133</w:t>
      </w:r>
      <w:r w:rsidR="00BC52F9">
        <w:fldChar w:fldCharType="end"/>
      </w:r>
      <w:r w:rsidR="00BC52F9">
        <w:t xml:space="preserve">). </w:t>
      </w:r>
      <w:r w:rsidR="002729FE">
        <w:t>They were also consistent in finding no effect on low birthweight (</w:t>
      </w:r>
      <w:r w:rsidR="002729FE" w:rsidRPr="002729FE">
        <w:rPr>
          <w:sz w:val="16"/>
          <w:szCs w:val="16"/>
        </w:rPr>
        <w:t>RR 0.79; 95%CI 0.49 to 1.28;</w:t>
      </w:r>
      <w:r w:rsidR="002729FE">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 </w:instrText>
      </w:r>
      <w:r w:rsidR="002747EA">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EN.CITE.DATA </w:instrText>
      </w:r>
      <w:r w:rsidR="002747EA">
        <w:fldChar w:fldCharType="end"/>
      </w:r>
      <w:r w:rsidR="002729FE">
        <w:fldChar w:fldCharType="separate"/>
      </w:r>
      <w:r w:rsidR="002747EA" w:rsidRPr="002747EA">
        <w:rPr>
          <w:noProof/>
          <w:vertAlign w:val="superscript"/>
        </w:rPr>
        <w:t>121</w:t>
      </w:r>
      <w:r w:rsidR="002729FE">
        <w:fldChar w:fldCharType="end"/>
      </w:r>
      <w:r w:rsidR="002729FE">
        <w:t xml:space="preserve"> </w:t>
      </w:r>
      <w:r w:rsidR="002729FE" w:rsidRPr="002729FE">
        <w:rPr>
          <w:sz w:val="16"/>
          <w:szCs w:val="16"/>
        </w:rPr>
        <w:t>RR 0.80; 95%CI 0.63 to 1.02; 3 studies; n=3,089</w:t>
      </w:r>
      <w:r w:rsidR="002729FE">
        <w:fldChar w:fldCharType="begin"/>
      </w:r>
      <w:r w:rsidR="002747EA">
        <w:instrText xml:space="preserve"> ADDIN EN.CITE &lt;EndNote&gt;&lt;Cite&gt;&lt;Author&gt;Lassi&lt;/Author&gt;&lt;Year&gt;2013&lt;/Year&gt;&lt;RecNum&gt;1435&lt;/RecNum&gt;&lt;DisplayText&gt;&lt;style face="superscript" font="Trebuchet MS" size="9"&gt;133&lt;/style&gt;&lt;/DisplayText&gt;&lt;record&gt;&lt;rec-number&gt;1435&lt;/rec-number&gt;&lt;foreign-keys&gt;&lt;key app="EN" db-id="exvasrfx2dtraoesasxp2szsxa2df502592x" timestamp="1571626233"&gt;1435&lt;/key&gt;&lt;key app="ENWeb" db-id=""&gt;0&lt;/key&gt;&lt;/foreign-keys&gt;&lt;ref-type name="Journal Article"&gt;17&lt;/ref-type&gt;&lt;contributors&gt;&lt;authors&gt;&lt;author&gt;Lassi, Zohra S.&lt;/author&gt;&lt;author&gt;Salam, Rehana A.&lt;/author&gt;&lt;author&gt;Haider, Batool A.&lt;/author&gt;&lt;author&gt;Bhutta, Zulfiqar A.&lt;/author&gt;&lt;/authors&gt;&lt;/contributors&gt;&lt;titles&gt;&lt;title&gt;Folic acid supplementation during pregnancy for maternal health and pregnancy outcomes&lt;/title&gt;&lt;secondary-title&gt;Cochrane Database of Systematic Reviews&lt;/secondary-title&gt;&lt;/titles&gt;&lt;periodical&gt;&lt;full-title&gt;Cochrane Database of Systematic Reviews&lt;/full-title&gt;&lt;/periodical&gt;&lt;dates&gt;&lt;year&gt;2013&lt;/year&gt;&lt;/dates&gt;&lt;isbn&gt;14651858&lt;/isbn&gt;&lt;urls&gt;&lt;/urls&gt;&lt;electronic-resource-num&gt;10.1002/14651858.CD006896.pub2&lt;/electronic-resource-num&gt;&lt;/record&gt;&lt;/Cite&gt;&lt;/EndNote&gt;</w:instrText>
      </w:r>
      <w:r w:rsidR="002729FE">
        <w:fldChar w:fldCharType="separate"/>
      </w:r>
      <w:r w:rsidR="002747EA" w:rsidRPr="002747EA">
        <w:rPr>
          <w:noProof/>
          <w:vertAlign w:val="superscript"/>
        </w:rPr>
        <w:t>133</w:t>
      </w:r>
      <w:r w:rsidR="002729FE">
        <w:fldChar w:fldCharType="end"/>
      </w:r>
      <w:r w:rsidR="002729FE">
        <w:t>) and perinatal death (</w:t>
      </w:r>
      <w:r w:rsidR="002729FE" w:rsidRPr="002729FE">
        <w:rPr>
          <w:sz w:val="16"/>
          <w:szCs w:val="16"/>
        </w:rPr>
        <w:t>RR 0.90; 95%CI 0.60 to 1.34</w:t>
      </w:r>
      <w:r w:rsidR="002729FE">
        <w:t>;</w:t>
      </w:r>
      <w:r w:rsidR="002729FE">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 </w:instrText>
      </w:r>
      <w:r w:rsidR="002747EA">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EN.CITE.DATA </w:instrText>
      </w:r>
      <w:r w:rsidR="002747EA">
        <w:fldChar w:fldCharType="end"/>
      </w:r>
      <w:r w:rsidR="002729FE">
        <w:fldChar w:fldCharType="separate"/>
      </w:r>
      <w:r w:rsidR="002747EA" w:rsidRPr="002747EA">
        <w:rPr>
          <w:noProof/>
          <w:vertAlign w:val="superscript"/>
        </w:rPr>
        <w:t>121</w:t>
      </w:r>
      <w:r w:rsidR="002729FE">
        <w:fldChar w:fldCharType="end"/>
      </w:r>
      <w:r w:rsidR="002729FE">
        <w:t xml:space="preserve"> </w:t>
      </w:r>
      <w:r w:rsidR="002729FE" w:rsidRPr="002729FE">
        <w:rPr>
          <w:sz w:val="16"/>
          <w:szCs w:val="16"/>
        </w:rPr>
        <w:t>RR 1.33; 95%CI 0.96 to 1.85; 3 studies; n=3,110</w:t>
      </w:r>
      <w:r w:rsidR="002729FE">
        <w:fldChar w:fldCharType="begin"/>
      </w:r>
      <w:r w:rsidR="002747EA">
        <w:instrText xml:space="preserve"> ADDIN EN.CITE &lt;EndNote&gt;&lt;Cite&gt;&lt;Author&gt;Lassi&lt;/Author&gt;&lt;Year&gt;2013&lt;/Year&gt;&lt;RecNum&gt;1435&lt;/RecNum&gt;&lt;DisplayText&gt;&lt;style face="superscript" font="Trebuchet MS" size="9"&gt;133&lt;/style&gt;&lt;/DisplayText&gt;&lt;record&gt;&lt;rec-number&gt;1435&lt;/rec-number&gt;&lt;foreign-keys&gt;&lt;key app="EN" db-id="exvasrfx2dtraoesasxp2szsxa2df502592x" timestamp="1571626233"&gt;1435&lt;/key&gt;&lt;key app="ENWeb" db-id=""&gt;0&lt;/key&gt;&lt;/foreign-keys&gt;&lt;ref-type name="Journal Article"&gt;17&lt;/ref-type&gt;&lt;contributors&gt;&lt;authors&gt;&lt;author&gt;Lassi, Zohra S.&lt;/author&gt;&lt;author&gt;Salam, Rehana A.&lt;/author&gt;&lt;author&gt;Haider, Batool A.&lt;/author&gt;&lt;author&gt;Bhutta, Zulfiqar A.&lt;/author&gt;&lt;/authors&gt;&lt;/contributors&gt;&lt;titles&gt;&lt;title&gt;Folic acid supplementation during pregnancy for maternal health and pregnancy outcomes&lt;/title&gt;&lt;secondary-title&gt;Cochrane Database of Systematic Reviews&lt;/secondary-title&gt;&lt;/titles&gt;&lt;periodical&gt;&lt;full-title&gt;Cochrane Database of Systematic Reviews&lt;/full-title&gt;&lt;/periodical&gt;&lt;dates&gt;&lt;year&gt;2013&lt;/year&gt;&lt;/dates&gt;&lt;isbn&gt;14651858&lt;/isbn&gt;&lt;urls&gt;&lt;/urls&gt;&lt;electronic-resource-num&gt;10.1002/14651858.CD006896.pub2&lt;/electronic-resource-num&gt;&lt;/record&gt;&lt;/Cite&gt;&lt;/EndNote&gt;</w:instrText>
      </w:r>
      <w:r w:rsidR="002729FE">
        <w:fldChar w:fldCharType="separate"/>
      </w:r>
      <w:r w:rsidR="002747EA" w:rsidRPr="002747EA">
        <w:rPr>
          <w:noProof/>
          <w:vertAlign w:val="superscript"/>
        </w:rPr>
        <w:t>133</w:t>
      </w:r>
      <w:r w:rsidR="002729FE">
        <w:fldChar w:fldCharType="end"/>
      </w:r>
      <w:r w:rsidR="002729FE">
        <w:t xml:space="preserve">). </w:t>
      </w:r>
      <w:r w:rsidR="001462BD">
        <w:t>A meta-analysis of RCTs and observational studies also found no clear reduction in low birthweight (</w:t>
      </w:r>
      <w:r w:rsidR="001462BD" w:rsidRPr="009C3668">
        <w:rPr>
          <w:sz w:val="16"/>
          <w:szCs w:val="16"/>
        </w:rPr>
        <w:t>OR 0.82; 95%CI 0.63 to 1.06; 3</w:t>
      </w:r>
      <w:r w:rsidR="001462BD">
        <w:rPr>
          <w:sz w:val="16"/>
          <w:szCs w:val="16"/>
        </w:rPr>
        <w:t> </w:t>
      </w:r>
      <w:r w:rsidR="001462BD" w:rsidRPr="009C3668">
        <w:rPr>
          <w:sz w:val="16"/>
          <w:szCs w:val="16"/>
        </w:rPr>
        <w:t xml:space="preserve">RCTs, 10 </w:t>
      </w:r>
      <w:r w:rsidR="001462BD">
        <w:rPr>
          <w:sz w:val="16"/>
          <w:szCs w:val="16"/>
        </w:rPr>
        <w:t xml:space="preserve">observational </w:t>
      </w:r>
      <w:r w:rsidR="001462BD" w:rsidRPr="009C3668">
        <w:rPr>
          <w:sz w:val="16"/>
          <w:szCs w:val="16"/>
        </w:rPr>
        <w:t>studies</w:t>
      </w:r>
      <w:r w:rsidR="001462BD">
        <w:t>).</w:t>
      </w:r>
      <w:r w:rsidR="001462BD">
        <w:fldChar w:fldCharType="begin"/>
      </w:r>
      <w:r w:rsidR="002747EA">
        <w:instrText xml:space="preserve"> ADDIN EN.CITE &lt;EndNote&gt;&lt;Cite&gt;&lt;Author&gt;Hodgetts&lt;/Author&gt;&lt;Year&gt;2015&lt;/Year&gt;&lt;RecNum&gt;1449&lt;/RecNum&gt;&lt;DisplayText&gt;&lt;style face="superscript" font="Trebuchet MS" size="9"&gt;131&lt;/style&gt;&lt;/DisplayText&gt;&lt;record&gt;&lt;rec-number&gt;1449&lt;/rec-number&gt;&lt;foreign-keys&gt;&lt;key app="EN" db-id="exvasrfx2dtraoesasxp2szsxa2df502592x" timestamp="1571805799"&gt;1449&lt;/key&gt;&lt;/foreign-keys&gt;&lt;ref-type name="Journal Article"&gt;17&lt;/ref-type&gt;&lt;contributors&gt;&lt;authors&gt;&lt;author&gt;Hodgetts, V.A.,&lt;/author&gt;&lt;author&gt;Morris, R.K.,&lt;/author&gt;&lt;author&gt;Francis, A.,&lt;/author&gt;&lt;author&gt;Gardosi, J.,&lt;/author&gt;&lt;author&gt;Ismail, K.M.,&lt;/author&gt;&lt;/authors&gt;&lt;/contributors&gt;&lt;titles&gt;&lt;title&gt;Effectiveness of folic acid supplementation in pregnancy on reducing the risk of small-for-gestational age neonates: a population study, systematic review and meta-analysis&lt;/title&gt;&lt;secondary-title&gt;BJOG&lt;/secondary-title&gt;&lt;/titles&gt;&lt;periodical&gt;&lt;full-title&gt;BJOG&lt;/full-title&gt;&lt;/periodical&gt;&lt;pages&gt;478-90&lt;/pages&gt;&lt;volume&gt;122&lt;/volume&gt;&lt;number&gt;4&lt;/number&gt;&lt;dates&gt;&lt;year&gt;2015&lt;/year&gt;&lt;/dates&gt;&lt;urls&gt;&lt;/urls&gt;&lt;/record&gt;&lt;/Cite&gt;&lt;/EndNote&gt;</w:instrText>
      </w:r>
      <w:r w:rsidR="001462BD">
        <w:fldChar w:fldCharType="separate"/>
      </w:r>
      <w:r w:rsidR="002747EA" w:rsidRPr="002747EA">
        <w:rPr>
          <w:noProof/>
          <w:vertAlign w:val="superscript"/>
        </w:rPr>
        <w:t>131</w:t>
      </w:r>
      <w:r w:rsidR="001462BD">
        <w:fldChar w:fldCharType="end"/>
      </w:r>
      <w:r w:rsidR="001462BD">
        <w:t xml:space="preserve"> </w:t>
      </w:r>
      <w:r w:rsidR="00BC52F9">
        <w:t xml:space="preserve">However, a systematic review of cohort studies </w:t>
      </w:r>
      <w:r w:rsidR="009C3668">
        <w:t>suggested</w:t>
      </w:r>
      <w:r w:rsidR="00BC52F9">
        <w:t xml:space="preserve"> a reduction in risk </w:t>
      </w:r>
      <w:r w:rsidR="009C3668">
        <w:t xml:space="preserve">of preterm birth </w:t>
      </w:r>
      <w:r w:rsidR="00BC52F9">
        <w:t>(</w:t>
      </w:r>
      <w:r w:rsidR="00BC52F9" w:rsidRPr="00BC52F9">
        <w:rPr>
          <w:sz w:val="16"/>
          <w:szCs w:val="16"/>
        </w:rPr>
        <w:t>RR 0.68; 95%CI 0.52 to 0.90; 2 studies; n=575</w:t>
      </w:r>
      <w:r w:rsidR="00BC52F9">
        <w:t>)</w:t>
      </w:r>
      <w:r w:rsidR="009C3668">
        <w:t xml:space="preserve"> and small-for-gestational age (</w:t>
      </w:r>
      <w:r w:rsidR="009C3668" w:rsidRPr="009C3668">
        <w:rPr>
          <w:sz w:val="16"/>
          <w:szCs w:val="16"/>
        </w:rPr>
        <w:t>RR 0.84; 95%CI 0.81 to 0.89; 3 studies; n=17,553</w:t>
      </w:r>
      <w:r w:rsidR="009C3668">
        <w:t>)</w:t>
      </w:r>
      <w:r w:rsidR="00BC52F9">
        <w:t>.</w:t>
      </w:r>
      <w:r w:rsidR="00BC52F9">
        <w:fldChar w:fldCharType="begin">
          <w:fldData xml:space="preserve">PEVuZE5vdGU+PENpdGU+PEF1dGhvcj5aaGFuZzwvQXV0aG9yPjxZZWFyPjIwMTc8L1llYXI+PFJl
Y051bT4xNDQ4PC9SZWNOdW0+PERpc3BsYXlUZXh0PjxzdHlsZSBmYWNlPSJzdXBlcnNjcmlwdCIg
Zm9udD0iVHJlYnVjaGV0IE1TIiBzaXplPSI5Ij4xMjQ8L3N0eWxlPjwvRGlzcGxheVRleHQ+PHJl
Y29yZD48cmVjLW51bWJlcj4xNDQ4PC9yZWMtbnVtYmVyPjxmb3JlaWduLWtleXM+PGtleSBhcHA9
IkVOIiBkYi1pZD0iZXh2YXNyZngyZHRyYW9lc2FzeHAyc3pzeGEyZGY1MDI1OTJ4IiB0aW1lc3Rh
bXA9IjE1NzE2MjYzMDQiPjE0NDg8L2tleT48a2V5IGFwcD0iRU5XZWIiIGRiLWlkPSIiPjA8L2tl
eT48L2ZvcmVpZ24ta2V5cz48cmVmLXR5cGUgbmFtZT0iSm91cm5hbCBBcnRpY2xlIj4xNzwvcmVm
LXR5cGU+PGNvbnRyaWJ1dG9ycz48YXV0aG9ycz48YXV0aG9yPlpoYW5nLCBRLjwvYXV0aG9yPjxh
dXRob3I+V2FuZywgWS48L2F1dGhvcj48YXV0aG9yPlhpbiwgWC48L2F1dGhvcj48YXV0aG9yPlpo
YW5nLCBZLjwvYXV0aG9yPjxhdXRob3I+TGl1LCBELjwvYXV0aG9yPjxhdXRob3I+UGVuZywgWi48
L2F1dGhvcj48YXV0aG9yPkhlLCBZLjwvYXV0aG9yPjxhdXRob3I+WHUsIEouPC9hdXRob3I+PGF1
dGhvcj5NYSwgWC48L2F1dGhvcj48L2F1dGhvcnM+PC9jb250cmlidXRvcnM+PGF1dGgtYWRkcmVz
cz5CZWlqaW5nIFVuaXZlcnNpdHkgb2YgQ2hpbmVzZSBNZWRpY2luZSwgQmVpIFNhbiBIdWFuIEVh
c3QgUm9hZCwgQ2hhb3lhbmcgRGlzdHJpY3QsIEJlaWppbmcgMTAwMDI5LCBQZW9wbGUmYXBvcztz
IFJlcHVibGljIG9mIENoaW5hOyBOYXRpb25hbCBSZXNlYXJjaCBJbnN0aXR1dGUgZm9yIEZhbWls
eSBQbGFubmluZywgMTIgRGEgSHVpIFRlbXBsZSBSb2FkLCBIYWlkaWFuIERpc3RyaWN0LCBCZWlq
aW5nIDEwMDE4MSwgUGVvcGxlJmFwb3M7cyBSZXB1YmxpYyBvZiBDaGluYTsgR3JhZHVhdGUgU2No
b29sIG9mIFBla2luZyBVbmlvbiBNZWRpY2FsIENvbGxlZ2UsIERvbmdkYW4gU2FuIFRpYW8sIERv
bmdjaGVuZyBEaXN0cmljdCwgQmVpamluZyAxMDA3MzAsIFBlb3BsZSZhcG9zO3MgUmVwdWJsaWMg
b2YgQ2hpbmEuJiN4RDtOYXRpb25hbCBSZXNlYXJjaCBJbnN0aXR1dGUgZm9yIEZhbWlseSBQbGFu
bmluZywgMTIgRGEgSHVpIFRlbXBsZSBSb2FkLCBIYWlkaWFuIERpc3RyaWN0LCBCZWlqaW5nIDEw
MDE4MSwgUGVvcGxlJmFwb3M7cyBSZXB1YmxpYyBvZiBDaGluYS4mI3hEO05hdGlvbmFsIFJlc2Vh
cmNoIEluc3RpdHV0ZSBmb3IgRmFtaWx5IFBsYW5uaW5nLCAxMiBEYSBIdWkgVGVtcGxlIFJvYWQs
IEhhaWRpYW4gRGlzdHJpY3QsIEJlaWppbmcgMTAwMTgxLCBQZW9wbGUmYXBvcztzIFJlcHVibGlj
IG9mIENoaW5hOyBHcmFkdWF0ZSBTY2hvb2wgb2YgUGVraW5nIFVuaW9uIE1lZGljYWwgQ29sbGVn
ZSwgRG9uZ2RhbiBTYW4gVGlhbywgRG9uZ2NoZW5nIERpc3RyaWN0LCBCZWlqaW5nIDEwMDczMCwg
UGVvcGxlJmFwb3M7cyBSZXB1YmxpYyBvZiBDaGluYS4mI3hEO05hdGlvbmFsIFJlc2VhcmNoIElu
c3RpdHV0ZSBmb3IgRmFtaWx5IFBsYW5uaW5nLCAxMiBEYSBIdWkgVGVtcGxlIFJvYWQsIEhhaWRp
YW4gRGlzdHJpY3QsIEJlaWppbmcgMTAwMTgxLCBQZW9wbGUmYXBvcztzIFJlcHVibGljIG9mIENo
aW5hOyBHcmFkdWF0ZSBTY2hvb2wgb2YgUGVraW5nIFVuaW9uIE1lZGljYWwgQ29sbGVnZSwgRG9u
Z2RhbiBTYW4gVGlhbywgRG9uZ2NoZW5nIERpc3RyaWN0LCBCZWlqaW5nIDEwMDczMCwgUGVvcGxl
JmFwb3M7cyBSZXB1YmxpYyBvZiBDaGluYS4gRWxlY3Ryb25pYyBhZGRyZXNzOiBtYXh1cHVtY0Ax
NjMuY29tLjwvYXV0aC1hZGRyZXNzPjx0aXRsZXM+PHRpdGxlPkVmZmVjdCBvZiBmb2xpYyBhY2lk
IHN1cHBsZW1lbnRhdGlvbiBvbiBwcmV0ZXJtIGRlbGl2ZXJ5IGFuZCBzbWFsbCBmb3IgZ2VzdGF0
aW9uYWwgYWdlIGJpcnRoczogQSBzeXN0ZW1hdGljIHJldmlldyBhbmQgbWV0YS1hbmFseXNpczwv
dGl0bGU+PHNlY29uZGFyeS10aXRsZT5SZXByb2QgVG94aWNvbDwvc2Vjb25kYXJ5LXRpdGxlPjwv
dGl0bGVzPjxwZXJpb2RpY2FsPjxmdWxsLXRpdGxlPlJlcHJvZCBUb3hpY29sPC9mdWxsLXRpdGxl
PjwvcGVyaW9kaWNhbD48cGFnZXM+MzUtNDE8L3BhZ2VzPjx2b2x1bWU+Njc8L3ZvbHVtZT48ZWRp
dGlvbj4yMDE2LzExLzIwPC9lZGl0aW9uPjxrZXl3b3Jkcz48a2V5d29yZD5Db2hvcnQgU3R1ZGll
czwva2V5d29yZD48a2V5d29yZD4qRGlldGFyeSBTdXBwbGVtZW50czwva2V5d29yZD48a2V5d29y
ZD5EcnVnIEFkbWluaXN0cmF0aW9uIFNjaGVkdWxlPC9rZXl3b3JkPjxrZXl3b3JkPkZlbWFsZTwv
a2V5d29yZD48a2V5d29yZD5Gb2xpYyBBY2lkLyphZG1pbmlzdHJhdGlvbiAmYW1wOyBkb3NhZ2U8
L2tleXdvcmQ+PGtleXdvcmQ+SHVtYW5zPC9rZXl3b3JkPjxrZXl3b3JkPkluZmFudCwgTmV3Ym9y
bjwva2V5d29yZD48a2V5d29yZD4qSW5mYW50LCBTbWFsbCBmb3IgR2VzdGF0aW9uYWwgQWdlPC9r
ZXl3b3JkPjxrZXl3b3JkPlByZWduYW5jeTwva2V5d29yZD48a2V5d29yZD5QcmVtYXR1cmUgQmly
dGgvZXBpZGVtaW9sb2d5LypwcmV2ZW50aW9uICZhbXA7IGNvbnRyb2w8L2tleXdvcmQ+PGtleXdv
cmQ+KkZvbGljIGFjaWQ8L2tleXdvcmQ+PGtleXdvcmQ+KlByZXRlcm0gZGVsaXZlcnk8L2tleXdv
cmQ+PGtleXdvcmQ+KlNtYWxsIGZvciBnZXN0YXRpb25hbCBhZ2U8L2tleXdvcmQ+PC9rZXl3b3Jk
cz48ZGF0ZXM+PHllYXI+MjAxNzwveWVhcj48cHViLWRhdGVzPjxkYXRlPkphbjwvZGF0ZT48L3B1
Yi1kYXRlcz48L2RhdGVzPjxpc2JuPjE4NzMtMTcwOCAoRWxlY3Ryb25pYykmI3hEOzA4OTAtNjIz
OCAoTGlua2luZyk8L2lzYm4+PGFjY2Vzc2lvbi1udW0+Mjc4NTYzNzA8L2FjY2Vzc2lvbi1udW0+
PHVybHM+PHJlbGF0ZWQtdXJscz48dXJsPmh0dHBzOi8vd3d3Lm5jYmkubmxtLm5paC5nb3YvcHVi
bWVkLzI3ODU2MzcwPC91cmw+PC9yZWxhdGVkLXVybHM+PC91cmxzPjxlbGVjdHJvbmljLXJlc291
cmNlLW51bT4xMC4xMDE2L2oucmVwcm90b3guMjAxNi4xMS4wMTI8L2VsZWN0cm9uaWMtcmVzb3Vy
Y2UtbnVtPjwvcmVjb3JkPjwvQ2l0ZT48L0VuZE5vdGU+AG==
</w:fldData>
        </w:fldChar>
      </w:r>
      <w:r w:rsidR="002747EA">
        <w:instrText xml:space="preserve"> ADDIN EN.CITE </w:instrText>
      </w:r>
      <w:r w:rsidR="002747EA">
        <w:fldChar w:fldCharType="begin">
          <w:fldData xml:space="preserve">PEVuZE5vdGU+PENpdGU+PEF1dGhvcj5aaGFuZzwvQXV0aG9yPjxZZWFyPjIwMTc8L1llYXI+PFJl
Y051bT4xNDQ4PC9SZWNOdW0+PERpc3BsYXlUZXh0PjxzdHlsZSBmYWNlPSJzdXBlcnNjcmlwdCIg
Zm9udD0iVHJlYnVjaGV0IE1TIiBzaXplPSI5Ij4xMjQ8L3N0eWxlPjwvRGlzcGxheVRleHQ+PHJl
Y29yZD48cmVjLW51bWJlcj4xNDQ4PC9yZWMtbnVtYmVyPjxmb3JlaWduLWtleXM+PGtleSBhcHA9
IkVOIiBkYi1pZD0iZXh2YXNyZngyZHRyYW9lc2FzeHAyc3pzeGEyZGY1MDI1OTJ4IiB0aW1lc3Rh
bXA9IjE1NzE2MjYzMDQiPjE0NDg8L2tleT48a2V5IGFwcD0iRU5XZWIiIGRiLWlkPSIiPjA8L2tl
eT48L2ZvcmVpZ24ta2V5cz48cmVmLXR5cGUgbmFtZT0iSm91cm5hbCBBcnRpY2xlIj4xNzwvcmVm
LXR5cGU+PGNvbnRyaWJ1dG9ycz48YXV0aG9ycz48YXV0aG9yPlpoYW5nLCBRLjwvYXV0aG9yPjxh
dXRob3I+V2FuZywgWS48L2F1dGhvcj48YXV0aG9yPlhpbiwgWC48L2F1dGhvcj48YXV0aG9yPlpo
YW5nLCBZLjwvYXV0aG9yPjxhdXRob3I+TGl1LCBELjwvYXV0aG9yPjxhdXRob3I+UGVuZywgWi48
L2F1dGhvcj48YXV0aG9yPkhlLCBZLjwvYXV0aG9yPjxhdXRob3I+WHUsIEouPC9hdXRob3I+PGF1
dGhvcj5NYSwgWC48L2F1dGhvcj48L2F1dGhvcnM+PC9jb250cmlidXRvcnM+PGF1dGgtYWRkcmVz
cz5CZWlqaW5nIFVuaXZlcnNpdHkgb2YgQ2hpbmVzZSBNZWRpY2luZSwgQmVpIFNhbiBIdWFuIEVh
c3QgUm9hZCwgQ2hhb3lhbmcgRGlzdHJpY3QsIEJlaWppbmcgMTAwMDI5LCBQZW9wbGUmYXBvcztz
IFJlcHVibGljIG9mIENoaW5hOyBOYXRpb25hbCBSZXNlYXJjaCBJbnN0aXR1dGUgZm9yIEZhbWls
eSBQbGFubmluZywgMTIgRGEgSHVpIFRlbXBsZSBSb2FkLCBIYWlkaWFuIERpc3RyaWN0LCBCZWlq
aW5nIDEwMDE4MSwgUGVvcGxlJmFwb3M7cyBSZXB1YmxpYyBvZiBDaGluYTsgR3JhZHVhdGUgU2No
b29sIG9mIFBla2luZyBVbmlvbiBNZWRpY2FsIENvbGxlZ2UsIERvbmdkYW4gU2FuIFRpYW8sIERv
bmdjaGVuZyBEaXN0cmljdCwgQmVpamluZyAxMDA3MzAsIFBlb3BsZSZhcG9zO3MgUmVwdWJsaWMg
b2YgQ2hpbmEuJiN4RDtOYXRpb25hbCBSZXNlYXJjaCBJbnN0aXR1dGUgZm9yIEZhbWlseSBQbGFu
bmluZywgMTIgRGEgSHVpIFRlbXBsZSBSb2FkLCBIYWlkaWFuIERpc3RyaWN0LCBCZWlqaW5nIDEw
MDE4MSwgUGVvcGxlJmFwb3M7cyBSZXB1YmxpYyBvZiBDaGluYS4mI3hEO05hdGlvbmFsIFJlc2Vh
cmNoIEluc3RpdHV0ZSBmb3IgRmFtaWx5IFBsYW5uaW5nLCAxMiBEYSBIdWkgVGVtcGxlIFJvYWQs
IEhhaWRpYW4gRGlzdHJpY3QsIEJlaWppbmcgMTAwMTgxLCBQZW9wbGUmYXBvcztzIFJlcHVibGlj
IG9mIENoaW5hOyBHcmFkdWF0ZSBTY2hvb2wgb2YgUGVraW5nIFVuaW9uIE1lZGljYWwgQ29sbGVn
ZSwgRG9uZ2RhbiBTYW4gVGlhbywgRG9uZ2NoZW5nIERpc3RyaWN0LCBCZWlqaW5nIDEwMDczMCwg
UGVvcGxlJmFwb3M7cyBSZXB1YmxpYyBvZiBDaGluYS4mI3hEO05hdGlvbmFsIFJlc2VhcmNoIElu
c3RpdHV0ZSBmb3IgRmFtaWx5IFBsYW5uaW5nLCAxMiBEYSBIdWkgVGVtcGxlIFJvYWQsIEhhaWRp
YW4gRGlzdHJpY3QsIEJlaWppbmcgMTAwMTgxLCBQZW9wbGUmYXBvcztzIFJlcHVibGljIG9mIENo
aW5hOyBHcmFkdWF0ZSBTY2hvb2wgb2YgUGVraW5nIFVuaW9uIE1lZGljYWwgQ29sbGVnZSwgRG9u
Z2RhbiBTYW4gVGlhbywgRG9uZ2NoZW5nIERpc3RyaWN0LCBCZWlqaW5nIDEwMDczMCwgUGVvcGxl
JmFwb3M7cyBSZXB1YmxpYyBvZiBDaGluYS4gRWxlY3Ryb25pYyBhZGRyZXNzOiBtYXh1cHVtY0Ax
NjMuY29tLjwvYXV0aC1hZGRyZXNzPjx0aXRsZXM+PHRpdGxlPkVmZmVjdCBvZiBmb2xpYyBhY2lk
IHN1cHBsZW1lbnRhdGlvbiBvbiBwcmV0ZXJtIGRlbGl2ZXJ5IGFuZCBzbWFsbCBmb3IgZ2VzdGF0
aW9uYWwgYWdlIGJpcnRoczogQSBzeXN0ZW1hdGljIHJldmlldyBhbmQgbWV0YS1hbmFseXNpczwv
dGl0bGU+PHNlY29uZGFyeS10aXRsZT5SZXByb2QgVG94aWNvbDwvc2Vjb25kYXJ5LXRpdGxlPjwv
dGl0bGVzPjxwZXJpb2RpY2FsPjxmdWxsLXRpdGxlPlJlcHJvZCBUb3hpY29sPC9mdWxsLXRpdGxl
PjwvcGVyaW9kaWNhbD48cGFnZXM+MzUtNDE8L3BhZ2VzPjx2b2x1bWU+Njc8L3ZvbHVtZT48ZWRp
dGlvbj4yMDE2LzExLzIwPC9lZGl0aW9uPjxrZXl3b3Jkcz48a2V5d29yZD5Db2hvcnQgU3R1ZGll
czwva2V5d29yZD48a2V5d29yZD4qRGlldGFyeSBTdXBwbGVtZW50czwva2V5d29yZD48a2V5d29y
ZD5EcnVnIEFkbWluaXN0cmF0aW9uIFNjaGVkdWxlPC9rZXl3b3JkPjxrZXl3b3JkPkZlbWFsZTwv
a2V5d29yZD48a2V5d29yZD5Gb2xpYyBBY2lkLyphZG1pbmlzdHJhdGlvbiAmYW1wOyBkb3NhZ2U8
L2tleXdvcmQ+PGtleXdvcmQ+SHVtYW5zPC9rZXl3b3JkPjxrZXl3b3JkPkluZmFudCwgTmV3Ym9y
bjwva2V5d29yZD48a2V5d29yZD4qSW5mYW50LCBTbWFsbCBmb3IgR2VzdGF0aW9uYWwgQWdlPC9r
ZXl3b3JkPjxrZXl3b3JkPlByZWduYW5jeTwva2V5d29yZD48a2V5d29yZD5QcmVtYXR1cmUgQmly
dGgvZXBpZGVtaW9sb2d5LypwcmV2ZW50aW9uICZhbXA7IGNvbnRyb2w8L2tleXdvcmQ+PGtleXdv
cmQ+KkZvbGljIGFjaWQ8L2tleXdvcmQ+PGtleXdvcmQ+KlByZXRlcm0gZGVsaXZlcnk8L2tleXdv
cmQ+PGtleXdvcmQ+KlNtYWxsIGZvciBnZXN0YXRpb25hbCBhZ2U8L2tleXdvcmQ+PC9rZXl3b3Jk
cz48ZGF0ZXM+PHllYXI+MjAxNzwveWVhcj48cHViLWRhdGVzPjxkYXRlPkphbjwvZGF0ZT48L3B1
Yi1kYXRlcz48L2RhdGVzPjxpc2JuPjE4NzMtMTcwOCAoRWxlY3Ryb25pYykmI3hEOzA4OTAtNjIz
OCAoTGlua2luZyk8L2lzYm4+PGFjY2Vzc2lvbi1udW0+Mjc4NTYzNzA8L2FjY2Vzc2lvbi1udW0+
PHVybHM+PHJlbGF0ZWQtdXJscz48dXJsPmh0dHBzOi8vd3d3Lm5jYmkubmxtLm5paC5nb3YvcHVi
bWVkLzI3ODU2MzcwPC91cmw+PC9yZWxhdGVkLXVybHM+PC91cmxzPjxlbGVjdHJvbmljLXJlc291
cmNlLW51bT4xMC4xMDE2L2oucmVwcm90b3guMjAxNi4xMS4wMTI8L2VsZWN0cm9uaWMtcmVzb3Vy
Y2UtbnVtPjwvcmVjb3JkPjwvQ2l0ZT48L0VuZE5vdGU+AG==
</w:fldData>
        </w:fldChar>
      </w:r>
      <w:r w:rsidR="002747EA">
        <w:instrText xml:space="preserve"> ADDIN EN.CITE.DATA </w:instrText>
      </w:r>
      <w:r w:rsidR="002747EA">
        <w:fldChar w:fldCharType="end"/>
      </w:r>
      <w:r w:rsidR="00BC52F9">
        <w:fldChar w:fldCharType="separate"/>
      </w:r>
      <w:r w:rsidR="002747EA" w:rsidRPr="002747EA">
        <w:rPr>
          <w:noProof/>
          <w:vertAlign w:val="superscript"/>
        </w:rPr>
        <w:t>124</w:t>
      </w:r>
      <w:r w:rsidR="00BC52F9">
        <w:fldChar w:fldCharType="end"/>
      </w:r>
    </w:p>
    <w:p w14:paraId="2259EA04" w14:textId="33A26DDD" w:rsidR="00E27064" w:rsidRDefault="007A0BD2" w:rsidP="00024348">
      <w:r>
        <w:t>A systematic review of RCTs found that folic acid supplementation was associate</w:t>
      </w:r>
      <w:r w:rsidR="000809B3">
        <w:t>d</w:t>
      </w:r>
      <w:r>
        <w:t xml:space="preserve"> with a reduction in risk of neural tube defects (</w:t>
      </w:r>
      <w:r w:rsidRPr="009C3668">
        <w:rPr>
          <w:sz w:val="16"/>
          <w:szCs w:val="16"/>
        </w:rPr>
        <w:t xml:space="preserve">RR 0.31; 95%CI 0.17 to 0.58; 5 RCTs; n=6,708; high </w:t>
      </w:r>
      <w:r w:rsidR="00836F2D">
        <w:rPr>
          <w:sz w:val="16"/>
          <w:szCs w:val="16"/>
        </w:rPr>
        <w:t>certainty</w:t>
      </w:r>
      <w:r>
        <w:t>)</w:t>
      </w:r>
      <w:r w:rsidR="00335498">
        <w:t xml:space="preserve"> and cleft palate (</w:t>
      </w:r>
      <w:r w:rsidR="00335498" w:rsidRPr="009C3668">
        <w:rPr>
          <w:sz w:val="16"/>
          <w:szCs w:val="16"/>
        </w:rPr>
        <w:t xml:space="preserve">RR 0.73; 95%CI 0.05 to 0.89; 3 RCTs; n=5,612; low </w:t>
      </w:r>
      <w:r w:rsidR="00836F2D">
        <w:rPr>
          <w:sz w:val="16"/>
          <w:szCs w:val="16"/>
        </w:rPr>
        <w:t>certainty</w:t>
      </w:r>
      <w:r w:rsidR="00335498">
        <w:t>) but there was no effect on other congenital anomalies</w:t>
      </w:r>
      <w:r w:rsidR="00FB0ABB">
        <w:t>.</w:t>
      </w:r>
      <w:r w:rsidR="00FB0ABB">
        <w:fldChar w:fldCharType="begin"/>
      </w:r>
      <w:r w:rsidR="002747EA">
        <w:instrText xml:space="preserve"> ADDIN EN.CITE &lt;EndNote&gt;&lt;Cite&gt;&lt;Author&gt;De-Regil&lt;/Author&gt;&lt;Year&gt;2015&lt;/Year&gt;&lt;RecNum&gt;1430&lt;/RecNum&gt;&lt;DisplayText&gt;&lt;style face="superscript" font="Trebuchet MS" size="9"&gt;129&lt;/style&gt;&lt;/DisplayText&gt;&lt;record&gt;&lt;rec-number&gt;1430&lt;/rec-number&gt;&lt;foreign-keys&gt;&lt;key app="EN" db-id="exvasrfx2dtraoesasxp2szsxa2df502592x" timestamp="1571626206"&gt;1430&lt;/key&gt;&lt;key app="ENWeb" db-id=""&gt;0&lt;/key&gt;&lt;/foreign-keys&gt;&lt;ref-type name="Journal Article"&gt;17&lt;/ref-type&gt;&lt;contributors&gt;&lt;authors&gt;&lt;author&gt;De-Regil, L. M.&lt;/author&gt;&lt;author&gt;Pena-Rosas, J. P.&lt;/author&gt;&lt;author&gt;Fernandez-Gaxiola, A. C.&lt;/author&gt;&lt;author&gt;Rayco-Solon, P.&lt;/author&gt;&lt;/authors&gt;&lt;/contributors&gt;&lt;auth-address&gt;Research and Evaluation, Micronutrient Initiative, 180 Elgin Street, Suite 1000, Ottawa, ON, Canada, K2P 2K3.&lt;/auth-address&gt;&lt;titles&gt;&lt;title&gt;Effects and safety of periconceptional oral folate supplementation for preventing birth defects&lt;/title&gt;&lt;secondary-title&gt;Cochrane Database Syst Rev&lt;/secondary-title&gt;&lt;/titles&gt;&lt;periodical&gt;&lt;full-title&gt;Cochrane Database Syst Rev&lt;/full-title&gt;&lt;/periodical&gt;&lt;pages&gt;CD007950&lt;/pages&gt;&lt;number&gt;12&lt;/number&gt;&lt;edition&gt;2015/12/15&lt;/edition&gt;&lt;keywords&gt;&lt;keyword&gt;Dietary Supplements&lt;/keyword&gt;&lt;keyword&gt;Female&lt;/keyword&gt;&lt;keyword&gt;Folic Acid/*administration &amp;amp; dosage&lt;/keyword&gt;&lt;keyword&gt;Humans&lt;/keyword&gt;&lt;keyword&gt;Infant&lt;/keyword&gt;&lt;keyword&gt;Neural Tube Defects/*prevention &amp;amp; control&lt;/keyword&gt;&lt;keyword&gt;Preconception Care&lt;/keyword&gt;&lt;keyword&gt;Pregnancy&lt;/keyword&gt;&lt;keyword&gt;Randomized Controlled Trials as Topic&lt;/keyword&gt;&lt;keyword&gt;Vitamin B Complex/*administration &amp;amp; dosage&lt;/keyword&gt;&lt;/keywords&gt;&lt;dates&gt;&lt;year&gt;2015&lt;/year&gt;&lt;pub-dates&gt;&lt;date&gt;Dec 14&lt;/date&gt;&lt;/pub-dates&gt;&lt;/dates&gt;&lt;isbn&gt;1469-493X (Electronic)&amp;#xD;1361-6137 (Linking)&lt;/isbn&gt;&lt;accession-num&gt;26662928&lt;/accession-num&gt;&lt;urls&gt;&lt;related-urls&gt;&lt;url&gt;https://www.ncbi.nlm.nih.gov/pubmed/26662928&lt;/url&gt;&lt;/related-urls&gt;&lt;/urls&gt;&lt;electronic-resource-num&gt;10.1002/14651858.CD007950.pub3&lt;/electronic-resource-num&gt;&lt;/record&gt;&lt;/Cite&gt;&lt;/EndNote&gt;</w:instrText>
      </w:r>
      <w:r w:rsidR="00FB0ABB">
        <w:fldChar w:fldCharType="separate"/>
      </w:r>
      <w:r w:rsidR="002747EA" w:rsidRPr="002747EA">
        <w:rPr>
          <w:noProof/>
          <w:vertAlign w:val="superscript"/>
        </w:rPr>
        <w:t>129</w:t>
      </w:r>
      <w:r w:rsidR="00FB0ABB">
        <w:fldChar w:fldCharType="end"/>
      </w:r>
      <w:r w:rsidR="00FB0ABB">
        <w:t xml:space="preserve"> </w:t>
      </w:r>
      <w:r w:rsidR="000809B3">
        <w:t xml:space="preserve">A systematic review of observational studies found a reduction in </w:t>
      </w:r>
      <w:r w:rsidR="00E27064">
        <w:t>cleft lip with or without cleft palate (</w:t>
      </w:r>
      <w:r w:rsidR="00E27064" w:rsidRPr="009C3668">
        <w:rPr>
          <w:sz w:val="16"/>
          <w:szCs w:val="16"/>
        </w:rPr>
        <w:t>OR 0.72; 95%CI 0.61 to 0.85</w:t>
      </w:r>
      <w:r w:rsidR="00E27064">
        <w:t>) but not cleft palate only (</w:t>
      </w:r>
      <w:r w:rsidR="00E27064" w:rsidRPr="009C3668">
        <w:rPr>
          <w:sz w:val="16"/>
          <w:szCs w:val="16"/>
        </w:rPr>
        <w:t>OR</w:t>
      </w:r>
      <w:r w:rsidR="00E27064" w:rsidRPr="009C3668">
        <w:rPr>
          <w:rStyle w:val="s1"/>
          <w:sz w:val="16"/>
          <w:szCs w:val="16"/>
        </w:rPr>
        <w:t>.</w:t>
      </w:r>
      <w:r w:rsidR="00E27064" w:rsidRPr="009C3668">
        <w:rPr>
          <w:sz w:val="16"/>
          <w:szCs w:val="16"/>
        </w:rPr>
        <w:t>0.75, 95%CI 0.53 to 1.04</w:t>
      </w:r>
      <w:r w:rsidR="00E27064">
        <w:t>).</w:t>
      </w:r>
      <w:r w:rsidR="00E27064">
        <w:fldChar w:fldCharType="begin"/>
      </w:r>
      <w:r w:rsidR="002747EA">
        <w:instrText xml:space="preserve"> ADDIN EN.CITE &lt;EndNote&gt;&lt;Cite&gt;&lt;Author&gt;Jahanbin&lt;/Author&gt;&lt;Year&gt;2018&lt;/Year&gt;&lt;RecNum&gt;1614&lt;/RecNum&gt;&lt;DisplayText&gt;&lt;style face="superscript" font="Trebuchet MS" size="9"&gt;119&lt;/style&gt;&lt;/DisplayText&gt;&lt;record&gt;&lt;rec-number&gt;1614&lt;/rec-number&gt;&lt;foreign-keys&gt;&lt;key app="EN" db-id="exvasrfx2dtraoesasxp2szsxa2df502592x" timestamp="1576652279"&gt;1614&lt;/key&gt;&lt;key app="ENWeb" db-id=""&gt;0&lt;/key&gt;&lt;/foreign-keys&gt;&lt;ref-type name="Journal Article"&gt;17&lt;/ref-type&gt;&lt;contributors&gt;&lt;authors&gt;&lt;author&gt;Jahanbin, Arezoo&lt;/author&gt;&lt;author&gt;Shadkam, Elaheh&lt;/author&gt;&lt;author&gt;Miri, Hamid Heidarian&lt;/author&gt;&lt;author&gt;Shirazi, Alireza Sarraf&lt;/author&gt;&lt;author&gt;Abtahi, Mostafa&lt;/author&gt;&lt;/authors&gt;&lt;/contributors&gt;&lt;titles&gt;&lt;title&gt;Maternal folic acid supplementation and the risk of oral clefts in offspring&lt;/title&gt;&lt;secondary-title&gt;J Craniofacial Surg&lt;/secondary-title&gt;&lt;/titles&gt;&lt;periodical&gt;&lt;full-title&gt;J Craniofacial Surg&lt;/full-title&gt;&lt;/periodical&gt;&lt;pages&gt;e534-e541&lt;/pages&gt;&lt;volume&gt;29&lt;/volume&gt;&lt;number&gt;6&lt;/number&gt;&lt;section&gt;e534&lt;/section&gt;&lt;dates&gt;&lt;year&gt;2018&lt;/year&gt;&lt;/dates&gt;&lt;isbn&gt;1049-2275&lt;/isbn&gt;&lt;urls&gt;&lt;/urls&gt;&lt;electronic-resource-num&gt;10.1097/scs.0000000000004488&lt;/electronic-resource-num&gt;&lt;/record&gt;&lt;/Cite&gt;&lt;/EndNote&gt;</w:instrText>
      </w:r>
      <w:r w:rsidR="00E27064">
        <w:fldChar w:fldCharType="separate"/>
      </w:r>
      <w:r w:rsidR="002747EA" w:rsidRPr="002747EA">
        <w:rPr>
          <w:noProof/>
          <w:vertAlign w:val="superscript"/>
        </w:rPr>
        <w:t>119</w:t>
      </w:r>
      <w:r w:rsidR="00E27064">
        <w:fldChar w:fldCharType="end"/>
      </w:r>
    </w:p>
    <w:p w14:paraId="30EBFACD" w14:textId="6C4E564C" w:rsidR="007A0BD2" w:rsidRDefault="00631FE4" w:rsidP="00024348">
      <w:r>
        <w:t>S</w:t>
      </w:r>
      <w:r w:rsidR="00FB0ABB">
        <w:t>ystematic review</w:t>
      </w:r>
      <w:r w:rsidR="00F96EE5">
        <w:t>s</w:t>
      </w:r>
      <w:r w:rsidR="00FB0ABB">
        <w:t xml:space="preserve"> of case-control studies found a reduction in congenital heart </w:t>
      </w:r>
      <w:r w:rsidR="000809B3">
        <w:t>def</w:t>
      </w:r>
      <w:r w:rsidR="00FB0ABB">
        <w:t>ects (</w:t>
      </w:r>
      <w:r w:rsidR="00FB0ABB" w:rsidRPr="009C3668">
        <w:rPr>
          <w:sz w:val="16"/>
          <w:szCs w:val="16"/>
        </w:rPr>
        <w:t xml:space="preserve">RR 0.72; 95%CI </w:t>
      </w:r>
      <w:r w:rsidR="00F96EE5" w:rsidRPr="009C3668">
        <w:rPr>
          <w:sz w:val="16"/>
          <w:szCs w:val="16"/>
        </w:rPr>
        <w:t>0.63 to 0.82</w:t>
      </w:r>
      <w:r w:rsidR="00F96EE5">
        <w:t>;</w:t>
      </w:r>
      <w:r w:rsidR="00FB0ABB">
        <w:fldChar w:fldCharType="begin">
          <w:fldData xml:space="preserve">PEVuZE5vdGU+PENpdGU+PEF1dGhvcj5GZW5nPC9BdXRob3I+PFllYXI+MjAxNTwvWWVhcj48UmVj
TnVtPjE0MzI8L1JlY051bT48RGlzcGxheVRleHQ+PHN0eWxlIGZhY2U9InN1cGVyc2NyaXB0IiBm
b250PSJUcmVidWNoZXQgTVMiIHNpemU9IjkiPjEzMDwvc3R5bGU+PC9EaXNwbGF5VGV4dD48cmVj
b3JkPjxyZWMtbnVtYmVyPjE0MzI8L3JlYy1udW1iZXI+PGZvcmVpZ24ta2V5cz48a2V5IGFwcD0i
RU4iIGRiLWlkPSJleHZhc3JmeDJkdHJhb2VzYXN4cDJzenN4YTJkZjUwMjU5MngiIHRpbWVzdGFt
cD0iMTU3MTYyNjIxOCI+MTQzMjwva2V5PjxrZXkgYXBwPSJFTldlYiIgZGItaWQ9IiI+MDwva2V5
PjwvZm9yZWlnbi1rZXlzPjxyZWYtdHlwZSBuYW1lPSJKb3VybmFsIEFydGljbGUiPjE3PC9yZWYt
dHlwZT48Y29udHJpYnV0b3JzPjxhdXRob3JzPjxhdXRob3I+RmVuZywgWS48L2F1dGhvcj48YXV0
aG9yPldhbmcsIFMuPC9hdXRob3I+PGF1dGhvcj5DaGVuLCBSLjwvYXV0aG9yPjxhdXRob3I+VG9u
ZywgWC48L2F1dGhvcj48YXV0aG9yPld1LCBaLjwvYXV0aG9yPjxhdXRob3I+TW8sIFguPC9hdXRo
b3I+PC9hdXRob3JzPjwvY29udHJpYnV0b3JzPjxhdXRoLWFkZHJlc3M+RGVwYXJ0bWVudCBvZiBD
YXJkaW90aG9yYWNpYyBTdXJnZXJ5LCBUaGUgQWZmaWxpYXRlZCBDaGlsZHJlbiZhcG9zO3MgSG9z
cGl0YWwgb2YgTmFuamluZyBNZWRpY2FsIFVuaXZlcnNpdHksIE5hbmppbmcsIEppYW5nc3UsIENo
aW5hLiYjeEQ7QXRoZXJvc2NsZXJvc2lzIFJlc2VhcmNoIENlbnRlciwgS2V5IExhYm9yYXRvcnkg
b2YgQ2FyZGlvdmFzY3VsYXIgRGlzZWFzZSBhbmQgTW9sZWN1bGFyIEludGVydmVudGlvbiwgTmFu
amluZyBNZWRpY2FsIFVuaXZlcnNpdHksIE5hbmppbmcsIEppYW5nc3UsIENoaW5hLjwvYXV0aC1h
ZGRyZXNzPjx0aXRsZXM+PHRpdGxlPk1hdGVybmFsIGZvbGljIGFjaWQgc3VwcGxlbWVudGF0aW9u
IGFuZCB0aGUgcmlzayBvZiBjb25nZW5pdGFsIGhlYXJ0IGRlZmVjdHMgaW4gb2Zmc3ByaW5nOiBh
IG1ldGEtYW5hbHlzaXMgb2YgZXBpZGVtaW9sb2dpY2FsIG9ic2VydmF0aW9uYWwgc3R1ZGllczwv
dGl0bGU+PHNlY29uZGFyeS10aXRsZT5TY2kgUmVwPC9zZWNvbmRhcnktdGl0bGU+PC90aXRsZXM+
PHBlcmlvZGljYWw+PGZ1bGwtdGl0bGU+U2NpIFJlcDwvZnVsbC10aXRsZT48L3BlcmlvZGljYWw+
PHBhZ2VzPjg1MDY8L3BhZ2VzPjx2b2x1bWU+NTwvdm9sdW1lPjxlZGl0aW9uPjIwMTUvMDIvMTg8
L2VkaXRpb24+PGtleXdvcmRzPjxrZXl3b3JkPipEaWV0YXJ5IFN1cHBsZW1lbnRzPC9rZXl3b3Jk
PjxrZXl3b3JkPkZlbWFsZTwva2V5d29yZD48a2V5d29yZD5Gb2xpYyBBY2lkLyphZHZlcnNlIGVm
ZmVjdHM8L2tleXdvcmQ+PGtleXdvcmQ+SGVhcnQgRGVmZWN0cywgQ29uZ2VuaXRhbC8qZXBpZGVt
aW9sb2d5LypldGlvbG9neTwva2V5d29yZD48a2V5d29yZD5IdW1hbnM8L2tleXdvcmQ+PGtleXdv
cmQ+Kk1hdGVybmFsIEV4cG9zdXJlPC9rZXl3b3JkPjxrZXl3b3JkPk9kZHMgUmF0aW88L2tleXdv
cmQ+PGtleXdvcmQ+UHJlZ25hbmN5PC9rZXl3b3JkPjxrZXl3b3JkPipQcmVuYXRhbCBFeHBvc3Vy
ZSBEZWxheWVkIEVmZmVjdHM8L2tleXdvcmQ+PGtleXdvcmQ+Umlzazwva2V5d29yZD48L2tleXdv
cmRzPjxkYXRlcz48eWVhcj4yMDE1PC95ZWFyPjxwdWItZGF0ZXM+PGRhdGU+RmViIDE3PC9kYXRl
PjwvcHViLWRhdGVzPjwvZGF0ZXM+PGlzYm4+MjA0NS0yMzIyIChFbGVjdHJvbmljKSYjeEQ7MjA0
NS0yMzIyIChMaW5raW5nKTwvaXNibj48YWNjZXNzaW9uLW51bT4yNTY4NzU0NTwvYWNjZXNzaW9u
LW51bT48dXJscz48cmVsYXRlZC11cmxzPjx1cmw+aHR0cHM6Ly93d3cubmNiaS5ubG0ubmloLmdv
di9wdWJtZWQvMjU2ODc1NDU8L3VybD48L3JlbGF0ZWQtdXJscz48L3VybHM+PGN1c3RvbTI+UE1D
NDMzMDU0MjwvY3VzdG9tMj48ZWxlY3Ryb25pYy1yZXNvdXJjZS1udW0+MTAuMTAzOC9zcmVwMDg1
MDY8L2VsZWN0cm9uaWMtcmVzb3VyY2UtbnVtPjwvcmVjb3JkPjwvQ2l0ZT48L0VuZE5vdGU+AG==
</w:fldData>
        </w:fldChar>
      </w:r>
      <w:r w:rsidR="002747EA">
        <w:instrText xml:space="preserve"> ADDIN EN.CITE </w:instrText>
      </w:r>
      <w:r w:rsidR="002747EA">
        <w:fldChar w:fldCharType="begin">
          <w:fldData xml:space="preserve">PEVuZE5vdGU+PENpdGU+PEF1dGhvcj5GZW5nPC9BdXRob3I+PFllYXI+MjAxNTwvWWVhcj48UmVj
TnVtPjE0MzI8L1JlY051bT48RGlzcGxheVRleHQ+PHN0eWxlIGZhY2U9InN1cGVyc2NyaXB0IiBm
b250PSJUcmVidWNoZXQgTVMiIHNpemU9IjkiPjEzMDwvc3R5bGU+PC9EaXNwbGF5VGV4dD48cmVj
b3JkPjxyZWMtbnVtYmVyPjE0MzI8L3JlYy1udW1iZXI+PGZvcmVpZ24ta2V5cz48a2V5IGFwcD0i
RU4iIGRiLWlkPSJleHZhc3JmeDJkdHJhb2VzYXN4cDJzenN4YTJkZjUwMjU5MngiIHRpbWVzdGFt
cD0iMTU3MTYyNjIxOCI+MTQzMjwva2V5PjxrZXkgYXBwPSJFTldlYiIgZGItaWQ9IiI+MDwva2V5
PjwvZm9yZWlnbi1rZXlzPjxyZWYtdHlwZSBuYW1lPSJKb3VybmFsIEFydGljbGUiPjE3PC9yZWYt
dHlwZT48Y29udHJpYnV0b3JzPjxhdXRob3JzPjxhdXRob3I+RmVuZywgWS48L2F1dGhvcj48YXV0
aG9yPldhbmcsIFMuPC9hdXRob3I+PGF1dGhvcj5DaGVuLCBSLjwvYXV0aG9yPjxhdXRob3I+VG9u
ZywgWC48L2F1dGhvcj48YXV0aG9yPld1LCBaLjwvYXV0aG9yPjxhdXRob3I+TW8sIFguPC9hdXRo
b3I+PC9hdXRob3JzPjwvY29udHJpYnV0b3JzPjxhdXRoLWFkZHJlc3M+RGVwYXJ0bWVudCBvZiBD
YXJkaW90aG9yYWNpYyBTdXJnZXJ5LCBUaGUgQWZmaWxpYXRlZCBDaGlsZHJlbiZhcG9zO3MgSG9z
cGl0YWwgb2YgTmFuamluZyBNZWRpY2FsIFVuaXZlcnNpdHksIE5hbmppbmcsIEppYW5nc3UsIENo
aW5hLiYjeEQ7QXRoZXJvc2NsZXJvc2lzIFJlc2VhcmNoIENlbnRlciwgS2V5IExhYm9yYXRvcnkg
b2YgQ2FyZGlvdmFzY3VsYXIgRGlzZWFzZSBhbmQgTW9sZWN1bGFyIEludGVydmVudGlvbiwgTmFu
amluZyBNZWRpY2FsIFVuaXZlcnNpdHksIE5hbmppbmcsIEppYW5nc3UsIENoaW5hLjwvYXV0aC1h
ZGRyZXNzPjx0aXRsZXM+PHRpdGxlPk1hdGVybmFsIGZvbGljIGFjaWQgc3VwcGxlbWVudGF0aW9u
IGFuZCB0aGUgcmlzayBvZiBjb25nZW5pdGFsIGhlYXJ0IGRlZmVjdHMgaW4gb2Zmc3ByaW5nOiBh
IG1ldGEtYW5hbHlzaXMgb2YgZXBpZGVtaW9sb2dpY2FsIG9ic2VydmF0aW9uYWwgc3R1ZGllczwv
dGl0bGU+PHNlY29uZGFyeS10aXRsZT5TY2kgUmVwPC9zZWNvbmRhcnktdGl0bGU+PC90aXRsZXM+
PHBlcmlvZGljYWw+PGZ1bGwtdGl0bGU+U2NpIFJlcDwvZnVsbC10aXRsZT48L3BlcmlvZGljYWw+
PHBhZ2VzPjg1MDY8L3BhZ2VzPjx2b2x1bWU+NTwvdm9sdW1lPjxlZGl0aW9uPjIwMTUvMDIvMTg8
L2VkaXRpb24+PGtleXdvcmRzPjxrZXl3b3JkPipEaWV0YXJ5IFN1cHBsZW1lbnRzPC9rZXl3b3Jk
PjxrZXl3b3JkPkZlbWFsZTwva2V5d29yZD48a2V5d29yZD5Gb2xpYyBBY2lkLyphZHZlcnNlIGVm
ZmVjdHM8L2tleXdvcmQ+PGtleXdvcmQ+SGVhcnQgRGVmZWN0cywgQ29uZ2VuaXRhbC8qZXBpZGVt
aW9sb2d5LypldGlvbG9neTwva2V5d29yZD48a2V5d29yZD5IdW1hbnM8L2tleXdvcmQ+PGtleXdv
cmQ+Kk1hdGVybmFsIEV4cG9zdXJlPC9rZXl3b3JkPjxrZXl3b3JkPk9kZHMgUmF0aW88L2tleXdv
cmQ+PGtleXdvcmQ+UHJlZ25hbmN5PC9rZXl3b3JkPjxrZXl3b3JkPipQcmVuYXRhbCBFeHBvc3Vy
ZSBEZWxheWVkIEVmZmVjdHM8L2tleXdvcmQ+PGtleXdvcmQ+Umlzazwva2V5d29yZD48L2tleXdv
cmRzPjxkYXRlcz48eWVhcj4yMDE1PC95ZWFyPjxwdWItZGF0ZXM+PGRhdGU+RmViIDE3PC9kYXRl
PjwvcHViLWRhdGVzPjwvZGF0ZXM+PGlzYm4+MjA0NS0yMzIyIChFbGVjdHJvbmljKSYjeEQ7MjA0
NS0yMzIyIChMaW5raW5nKTwvaXNibj48YWNjZXNzaW9uLW51bT4yNTY4NzU0NTwvYWNjZXNzaW9u
LW51bT48dXJscz48cmVsYXRlZC11cmxzPjx1cmw+aHR0cHM6Ly93d3cubmNiaS5ubG0ubmloLmdv
di9wdWJtZWQvMjU2ODc1NDU8L3VybD48L3JlbGF0ZWQtdXJscz48L3VybHM+PGN1c3RvbTI+UE1D
NDMzMDU0MjwvY3VzdG9tMj48ZWxlY3Ryb25pYy1yZXNvdXJjZS1udW0+MTAuMTAzOC9zcmVwMDg1
MDY8L2VsZWN0cm9uaWMtcmVzb3VyY2UtbnVtPjwvcmVjb3JkPjwvQ2l0ZT48L0VuZE5vdGU+AG==
</w:fldData>
        </w:fldChar>
      </w:r>
      <w:r w:rsidR="002747EA">
        <w:instrText xml:space="preserve"> ADDIN EN.CITE.DATA </w:instrText>
      </w:r>
      <w:r w:rsidR="002747EA">
        <w:fldChar w:fldCharType="end"/>
      </w:r>
      <w:r w:rsidR="00FB0ABB">
        <w:fldChar w:fldCharType="separate"/>
      </w:r>
      <w:r w:rsidR="002747EA" w:rsidRPr="002747EA">
        <w:rPr>
          <w:noProof/>
          <w:vertAlign w:val="superscript"/>
        </w:rPr>
        <w:t>130</w:t>
      </w:r>
      <w:r w:rsidR="00FB0ABB">
        <w:fldChar w:fldCharType="end"/>
      </w:r>
      <w:r w:rsidR="009C3668">
        <w:t xml:space="preserve"> </w:t>
      </w:r>
      <w:r w:rsidR="009C3668" w:rsidRPr="009C3668">
        <w:rPr>
          <w:sz w:val="16"/>
          <w:szCs w:val="16"/>
        </w:rPr>
        <w:t>OR 0.60; 95%CI 0.49 to 0.71</w:t>
      </w:r>
      <w:r w:rsidR="00F96EE5">
        <w:fldChar w:fldCharType="begin"/>
      </w:r>
      <w:r w:rsidR="002747EA">
        <w:instrText xml:space="preserve"> ADDIN EN.CITE &lt;EndNote&gt;&lt;Cite&gt;&lt;Author&gt;Xu&lt;/Author&gt;&lt;Year&gt;2016&lt;/Year&gt;&lt;RecNum&gt;1618&lt;/RecNum&gt;&lt;DisplayText&gt;&lt;style face="superscript" font="Trebuchet MS" size="9"&gt;123&lt;/style&gt;&lt;/DisplayText&gt;&lt;record&gt;&lt;rec-number&gt;1618&lt;/rec-number&gt;&lt;foreign-keys&gt;&lt;key app="EN" db-id="exvasrfx2dtraoesasxp2szsxa2df502592x" timestamp="1576726470"&gt;1618&lt;/key&gt;&lt;/foreign-keys&gt;&lt;ref-type name="Journal Article"&gt;17&lt;/ref-type&gt;&lt;contributors&gt;&lt;authors&gt;&lt;author&gt;Xu, A.&lt;/author&gt;&lt;author&gt;Cao, X.&lt;/author&gt;&lt;author&gt;Lu, Y.&lt;/author&gt;&lt;author&gt;Li, H.&lt;/author&gt;&lt;author&gt;Zhu, Q.&lt;/author&gt;&lt;author&gt;Chen, X.&lt;/author&gt;&lt;author&gt;Jiang, H.&lt;/author&gt;&lt;author&gt;Li, X.&lt;/author&gt;&lt;/authors&gt;&lt;/contributors&gt;&lt;auth-address&gt;Prenatal Screening Diagnosis Center, Nantong Maternal and Child Health Hospital.&lt;/auth-address&gt;&lt;titles&gt;&lt;title&gt;A meta-analysis of the relationship between maternal folic acid supplementation and the risk of congenital heart defects&lt;/title&gt;&lt;secondary-title&gt;Int Heart J&lt;/secondary-title&gt;&lt;/titles&gt;&lt;periodical&gt;&lt;full-title&gt;Int Heart J&lt;/full-title&gt;&lt;/periodical&gt;&lt;pages&gt;725-728&lt;/pages&gt;&lt;volume&gt;57&lt;/volume&gt;&lt;number&gt;6&lt;/number&gt;&lt;edition&gt;2016/11/11&lt;/edition&gt;&lt;keywords&gt;&lt;keyword&gt;*Dietary Supplements&lt;/keyword&gt;&lt;keyword&gt;Female&lt;/keyword&gt;&lt;keyword&gt;Folic Acid/*therapeutic use&lt;/keyword&gt;&lt;keyword&gt;Heart Defects, Congenital/*prevention &amp;amp; control&lt;/keyword&gt;&lt;keyword&gt;Humans&lt;/keyword&gt;&lt;keyword&gt;Infant, Newborn&lt;/keyword&gt;&lt;keyword&gt;Pregnancy&lt;/keyword&gt;&lt;keyword&gt;Prenatal Care&lt;/keyword&gt;&lt;keyword&gt;Vitamin B Complex/*therapeutic use&lt;/keyword&gt;&lt;/keywords&gt;&lt;dates&gt;&lt;year&gt;2016&lt;/year&gt;&lt;pub-dates&gt;&lt;date&gt;Dec 2&lt;/date&gt;&lt;/pub-dates&gt;&lt;/dates&gt;&lt;isbn&gt;1349-3299 (Electronic)&amp;#xD;1349-2365 (Linking)&lt;/isbn&gt;&lt;accession-num&gt;27829639&lt;/accession-num&gt;&lt;urls&gt;&lt;related-urls&gt;&lt;url&gt;https://www.ncbi.nlm.nih.gov/pubmed/27829639&lt;/url&gt;&lt;/related-urls&gt;&lt;/urls&gt;&lt;electronic-resource-num&gt;10.1536/ihj.16-054&lt;/electronic-resource-num&gt;&lt;/record&gt;&lt;/Cite&gt;&lt;/EndNote&gt;</w:instrText>
      </w:r>
      <w:r w:rsidR="00F96EE5">
        <w:fldChar w:fldCharType="separate"/>
      </w:r>
      <w:r w:rsidR="002747EA" w:rsidRPr="002747EA">
        <w:rPr>
          <w:noProof/>
          <w:vertAlign w:val="superscript"/>
        </w:rPr>
        <w:t>123</w:t>
      </w:r>
      <w:r w:rsidR="00F96EE5">
        <w:fldChar w:fldCharType="end"/>
      </w:r>
      <w:r w:rsidR="009C3668">
        <w:t>).</w:t>
      </w:r>
    </w:p>
    <w:p w14:paraId="61C3DDA0" w14:textId="4C69C605" w:rsidR="00024348" w:rsidRDefault="00024348" w:rsidP="00024348">
      <w:r>
        <w:t>A systematic review of observational studies</w:t>
      </w:r>
      <w:r>
        <w:fldChar w:fldCharType="begin"/>
      </w:r>
      <w:r w:rsidR="002747EA">
        <w:instrText xml:space="preserve"> ADDIN EN.CITE &lt;EndNote&gt;&lt;Cite&gt;&lt;Author&gt;Wang&lt;/Author&gt;&lt;Year&gt;2015&lt;/Year&gt;&lt;RecNum&gt;1616&lt;/RecNum&gt;&lt;DisplayText&gt;&lt;style face="superscript" font="Trebuchet MS" size="9"&gt;122&lt;/style&gt;&lt;/DisplayText&gt;&lt;record&gt;&lt;rec-number&gt;1616&lt;/rec-number&gt;&lt;foreign-keys&gt;&lt;key app="EN" db-id="exvasrfx2dtraoesasxp2szsxa2df502592x" timestamp="1576725325"&gt;1616&lt;/key&gt;&lt;key app="ENWeb" db-id=""&gt;0&lt;/key&gt;&lt;/foreign-keys&gt;&lt;ref-type name="Journal Article"&gt;17&lt;/ref-type&gt;&lt;contributors&gt;&lt;authors&gt;&lt;author&gt;Wang, Ting&lt;/author&gt;&lt;author&gt;Zhang, Hong-Ping&lt;/author&gt;&lt;author&gt;Zhang, Xin&lt;/author&gt;&lt;author&gt;Liang, Zong-An&lt;/author&gt;&lt;author&gt;Ji, Yu-Lin&lt;/author&gt;&lt;author&gt;Wang, Gang&lt;/author&gt;&lt;/authors&gt;&lt;/contributors&gt;&lt;titles&gt;&lt;title&gt;Is folate status a risk factor for asthma or other allergic diseases?&lt;/title&gt;&lt;secondary-title&gt;Allergy, Asthma &amp;amp; Immunology Research&lt;/secondary-title&gt;&lt;/titles&gt;&lt;periodical&gt;&lt;full-title&gt;Allergy, Asthma &amp;amp; Immunology Research&lt;/full-title&gt;&lt;/periodical&gt;&lt;volume&gt;7&lt;/volume&gt;&lt;number&gt;6&lt;/number&gt;&lt;section&gt;538&lt;/section&gt;&lt;dates&gt;&lt;year&gt;2015&lt;/year&gt;&lt;/dates&gt;&lt;isbn&gt;2092-7355&amp;#xD;2092-7363&lt;/isbn&gt;&lt;urls&gt;&lt;/urls&gt;&lt;electronic-resource-num&gt;10.4168/aair.2015.7.6.538&lt;/electronic-resource-num&gt;&lt;/record&gt;&lt;/Cite&gt;&lt;/EndNote&gt;</w:instrText>
      </w:r>
      <w:r>
        <w:fldChar w:fldCharType="separate"/>
      </w:r>
      <w:r w:rsidR="002747EA" w:rsidRPr="002747EA">
        <w:rPr>
          <w:noProof/>
          <w:vertAlign w:val="superscript"/>
        </w:rPr>
        <w:t>122</w:t>
      </w:r>
      <w:r>
        <w:fldChar w:fldCharType="end"/>
      </w:r>
      <w:r>
        <w:t xml:space="preserve"> found no clear difference in risk of asthma (</w:t>
      </w:r>
      <w:r w:rsidRPr="002B1393">
        <w:rPr>
          <w:sz w:val="16"/>
          <w:szCs w:val="16"/>
        </w:rPr>
        <w:t>RR</w:t>
      </w:r>
      <w:r>
        <w:rPr>
          <w:sz w:val="16"/>
          <w:szCs w:val="16"/>
        </w:rPr>
        <w:t> </w:t>
      </w:r>
      <w:r w:rsidRPr="002B1393">
        <w:rPr>
          <w:sz w:val="16"/>
          <w:szCs w:val="16"/>
        </w:rPr>
        <w:t xml:space="preserve">1.04; 95%CI 0.94 to 1.16; low </w:t>
      </w:r>
      <w:r w:rsidR="00836F2D">
        <w:rPr>
          <w:sz w:val="16"/>
          <w:szCs w:val="16"/>
        </w:rPr>
        <w:t>certainty</w:t>
      </w:r>
      <w:r>
        <w:t>) or wheeze (</w:t>
      </w:r>
      <w:r w:rsidRPr="002B1393">
        <w:rPr>
          <w:sz w:val="16"/>
          <w:szCs w:val="16"/>
        </w:rPr>
        <w:t xml:space="preserve">RR 1.05; 95%CI 0.95 to 1.15; low </w:t>
      </w:r>
      <w:r w:rsidR="00836F2D">
        <w:rPr>
          <w:sz w:val="16"/>
          <w:szCs w:val="16"/>
        </w:rPr>
        <w:t>certainty</w:t>
      </w:r>
      <w:r>
        <w:t>) with folic acid supplementation during pregnancy in general but a slight increase in risk of wheeze when supplementation occurred in early pregnancy (</w:t>
      </w:r>
      <w:r w:rsidRPr="00806F6F">
        <w:rPr>
          <w:sz w:val="16"/>
          <w:szCs w:val="16"/>
        </w:rPr>
        <w:t xml:space="preserve">RR 1.06; 95%CI 1.02 to 1.09; low </w:t>
      </w:r>
      <w:r w:rsidR="00836F2D">
        <w:rPr>
          <w:sz w:val="16"/>
          <w:szCs w:val="16"/>
        </w:rPr>
        <w:t>certainty</w:t>
      </w:r>
      <w:r>
        <w:t>).</w:t>
      </w:r>
    </w:p>
    <w:p w14:paraId="258BD38F" w14:textId="5556B771" w:rsidR="00806F6F" w:rsidRDefault="00806F6F" w:rsidP="00236C51">
      <w:r>
        <w:t>A systematic review of observational studies</w:t>
      </w:r>
      <w:r w:rsidR="00201490">
        <w:fldChar w:fldCharType="begin">
          <w:fldData xml:space="preserve">PEVuZE5vdGU+PENpdGU+PEF1dGhvcj5XYW5nPC9BdXRob3I+PFllYXI+MjAxNzwvWWVhcj48UmVj
TnVtPjE0NDM8L1JlY051bT48RGlzcGxheVRleHQ+PHN0eWxlIGZhY2U9InN1cGVyc2NyaXB0IiBm
b250PSJUcmVidWNoZXQgTVMiIHNpemU9IjkiPjExODwvc3R5bGU+PC9EaXNwbGF5VGV4dD48cmVj
b3JkPjxyZWMtbnVtYmVyPjE0NDM8L3JlYy1udW1iZXI+PGZvcmVpZ24ta2V5cz48a2V5IGFwcD0i
RU4iIGRiLWlkPSJleHZhc3JmeDJkdHJhb2VzYXN4cDJzenN4YTJkZjUwMjU5MngiIHRpbWVzdGFt
cD0iMTU3MTYyNjI3NyI+MTQ0Mzwva2V5PjxrZXkgYXBwPSJFTldlYiIgZGItaWQ9IiI+MDwva2V5
PjwvZm9yZWlnbi1rZXlzPjxyZWYtdHlwZSBuYW1lPSJKb3VybmFsIEFydGljbGUiPjE3PC9yZWYt
dHlwZT48Y29udHJpYnV0b3JzPjxhdXRob3JzPjxhdXRob3I+V2FuZywgTS48L2F1dGhvcj48YXV0
aG9yPkxpLCBLLjwvYXV0aG9yPjxhdXRob3I+WmhhbywgRC48L2F1dGhvcj48YXV0aG9yPkxpLCBM
LjwvYXV0aG9yPjwvYXV0aG9ycz48L2NvbnRyaWJ1dG9ycz48YXV0aC1hZGRyZXNzPkRlcGFydG1l
bnQgb2YgUGVkaWF0cmljIEhlYWx0aCBDYXJlLCBKaSZhcG9zO25hbiBDaGlsZHJlbiZhcG9zO3Mg
SG9zcGl0YWwgb2YgU2hhbmRvbmcgVW5pdmVyc2l0eSwgTm8uIDIzOTc2LCBKaW5nc2hpIFJvYWQs
IEppJmFwb3M7bmFuLCBTaGFuZG9uZyBQcm92aW5jZSAyNTAwMjIgQ2hpbmEuJiN4RDtEZXBhcnRt
ZW50IG9mIEd5bmVjb2xvZ3ksIFRoZSBDZW50cmFsIEhvc3BpdGFsIG9mIExpbnlpIENpdHksIExp
bnlpLCBTaGFuZG9uZyAyNzYwMDAgQ2hpbmEuPC9hdXRoLWFkZHJlc3M+PHRpdGxlcz48dGl0bGU+
VGhlIGFzc29jaWF0aW9uIGJldHdlZW4gbWF0ZXJuYWwgdXNlIG9mIGZvbGljIGFjaWQgc3VwcGxl
bWVudHMgZHVyaW5nIHByZWduYW5jeSBhbmQgcmlzayBvZiBhdXRpc20gc3BlY3RydW0gZGlzb3Jk
ZXJzIGluIGNoaWxkcmVuOiBhIG1ldGEtYW5hbHlzaXM8L3RpdGxlPjxzZWNvbmRhcnktdGl0bGU+
TW9sIEF1dGlzbTwvc2Vjb25kYXJ5LXRpdGxlPjwvdGl0bGVzPjxwZXJpb2RpY2FsPjxmdWxsLXRp
dGxlPk1vbCBBdXRpc208L2Z1bGwtdGl0bGU+PC9wZXJpb2RpY2FsPjxwYWdlcz41MTwvcGFnZXM+
PHZvbHVtZT44PC92b2x1bWU+PGVkaXRpb24+MjAxNy8xMC8xNDwvZWRpdGlvbj48a2V5d29yZHM+
PGtleXdvcmQ+QXV0aXNtIFNwZWN0cnVtIERpc29yZGVyLyplcGlkZW1pb2xvZ3kvKmV0aW9sb2d5
PC9rZXl3b3JkPjxrZXl3b3JkPkNoaWxkPC9rZXl3b3JkPjxrZXl3b3JkPkRpZXRhcnkgU3VwcGxl
bWVudHMvKmFkdmVyc2UgZWZmZWN0czwva2V5d29yZD48a2V5d29yZD5GZW1hbGU8L2tleXdvcmQ+
PGtleXdvcmQ+Rm9saWMgQWNpZC9hZG1pbmlzdHJhdGlvbiAmYW1wOyBkb3NhZ2UvKmFkdmVyc2Ug
ZWZmZWN0czwva2V5d29yZD48a2V5d29yZD5IdW1hbnM8L2tleXdvcmQ+PGtleXdvcmQ+TWF0ZXJu
YWwgRXhwb3N1cmUvKmFkdmVyc2UgZWZmZWN0czwva2V5d29yZD48a2V5d29yZD5PZGRzIFJhdGlv
PC9rZXl3b3JkPjxrZXl3b3JkPlByZWduYW5jeTwva2V5d29yZD48a2V5d29yZD4qUHJlbmF0YWwg
RXhwb3N1cmUgRGVsYXllZCBFZmZlY3RzPC9rZXl3b3JkPjxrZXl3b3JkPlJpc2s8L2tleXdvcmQ+
PGtleXdvcmQ+KkF1dGlzbSBzcGVjdHJ1bSBkaXNvcmRlcnM8L2tleXdvcmQ+PGtleXdvcmQ+KkNo
aWxkcmVuPC9rZXl3b3JkPjxrZXl3b3JkPipGb2xpYyBhY2lkIHN1cHBsZW1lbnRzPC9rZXl3b3Jk
PjxrZXl3b3JkPipNYXRlcm5hbDwva2V5d29yZD48a2V5d29yZD4qTWV0YS1hbmFseXNpczwva2V5
d29yZD48L2tleXdvcmRzPjxkYXRlcz48eWVhcj4yMDE3PC95ZWFyPjwvZGF0ZXM+PGlzYm4+MjA0
MC0yMzkyIChFbGVjdHJvbmljKTwvaXNibj48YWNjZXNzaW9uLW51bT4yOTAyNjUwODwvYWNjZXNz
aW9uLW51bT48dXJscz48cmVsYXRlZC11cmxzPjx1cmw+aHR0cHM6Ly93d3cubmNiaS5ubG0ubmlo
Lmdvdi9wdWJtZWQvMjkwMjY1MDg8L3VybD48L3JlbGF0ZWQtdXJscz48L3VybHM+PGN1c3RvbTI+
UE1DNTYyNTgyMTwvY3VzdG9tMj48ZWxlY3Ryb25pYy1yZXNvdXJjZS1udW0+MTAuMTE4Ni9zMTMy
MjktMDE3LTAxNzAtODwvZWxlY3Ryb25pYy1yZXNvdXJjZS1udW0+PC9yZWNvcmQ+PC9DaXRlPjwv
RW5kTm90ZT5=
</w:fldData>
        </w:fldChar>
      </w:r>
      <w:r w:rsidR="002747EA">
        <w:instrText xml:space="preserve"> ADDIN EN.CITE </w:instrText>
      </w:r>
      <w:r w:rsidR="002747EA">
        <w:fldChar w:fldCharType="begin">
          <w:fldData xml:space="preserve">PEVuZE5vdGU+PENpdGU+PEF1dGhvcj5XYW5nPC9BdXRob3I+PFllYXI+MjAxNzwvWWVhcj48UmVj
TnVtPjE0NDM8L1JlY051bT48RGlzcGxheVRleHQ+PHN0eWxlIGZhY2U9InN1cGVyc2NyaXB0IiBm
b250PSJUcmVidWNoZXQgTVMiIHNpemU9IjkiPjExODwvc3R5bGU+PC9EaXNwbGF5VGV4dD48cmVj
b3JkPjxyZWMtbnVtYmVyPjE0NDM8L3JlYy1udW1iZXI+PGZvcmVpZ24ta2V5cz48a2V5IGFwcD0i
RU4iIGRiLWlkPSJleHZhc3JmeDJkdHJhb2VzYXN4cDJzenN4YTJkZjUwMjU5MngiIHRpbWVzdGFt
cD0iMTU3MTYyNjI3NyI+MTQ0Mzwva2V5PjxrZXkgYXBwPSJFTldlYiIgZGItaWQ9IiI+MDwva2V5
PjwvZm9yZWlnbi1rZXlzPjxyZWYtdHlwZSBuYW1lPSJKb3VybmFsIEFydGljbGUiPjE3PC9yZWYt
dHlwZT48Y29udHJpYnV0b3JzPjxhdXRob3JzPjxhdXRob3I+V2FuZywgTS48L2F1dGhvcj48YXV0
aG9yPkxpLCBLLjwvYXV0aG9yPjxhdXRob3I+WmhhbywgRC48L2F1dGhvcj48YXV0aG9yPkxpLCBM
LjwvYXV0aG9yPjwvYXV0aG9ycz48L2NvbnRyaWJ1dG9ycz48YXV0aC1hZGRyZXNzPkRlcGFydG1l
bnQgb2YgUGVkaWF0cmljIEhlYWx0aCBDYXJlLCBKaSZhcG9zO25hbiBDaGlsZHJlbiZhcG9zO3Mg
SG9zcGl0YWwgb2YgU2hhbmRvbmcgVW5pdmVyc2l0eSwgTm8uIDIzOTc2LCBKaW5nc2hpIFJvYWQs
IEppJmFwb3M7bmFuLCBTaGFuZG9uZyBQcm92aW5jZSAyNTAwMjIgQ2hpbmEuJiN4RDtEZXBhcnRt
ZW50IG9mIEd5bmVjb2xvZ3ksIFRoZSBDZW50cmFsIEhvc3BpdGFsIG9mIExpbnlpIENpdHksIExp
bnlpLCBTaGFuZG9uZyAyNzYwMDAgQ2hpbmEuPC9hdXRoLWFkZHJlc3M+PHRpdGxlcz48dGl0bGU+
VGhlIGFzc29jaWF0aW9uIGJldHdlZW4gbWF0ZXJuYWwgdXNlIG9mIGZvbGljIGFjaWQgc3VwcGxl
bWVudHMgZHVyaW5nIHByZWduYW5jeSBhbmQgcmlzayBvZiBhdXRpc20gc3BlY3RydW0gZGlzb3Jk
ZXJzIGluIGNoaWxkcmVuOiBhIG1ldGEtYW5hbHlzaXM8L3RpdGxlPjxzZWNvbmRhcnktdGl0bGU+
TW9sIEF1dGlzbTwvc2Vjb25kYXJ5LXRpdGxlPjwvdGl0bGVzPjxwZXJpb2RpY2FsPjxmdWxsLXRp
dGxlPk1vbCBBdXRpc208L2Z1bGwtdGl0bGU+PC9wZXJpb2RpY2FsPjxwYWdlcz41MTwvcGFnZXM+
PHZvbHVtZT44PC92b2x1bWU+PGVkaXRpb24+MjAxNy8xMC8xNDwvZWRpdGlvbj48a2V5d29yZHM+
PGtleXdvcmQ+QXV0aXNtIFNwZWN0cnVtIERpc29yZGVyLyplcGlkZW1pb2xvZ3kvKmV0aW9sb2d5
PC9rZXl3b3JkPjxrZXl3b3JkPkNoaWxkPC9rZXl3b3JkPjxrZXl3b3JkPkRpZXRhcnkgU3VwcGxl
bWVudHMvKmFkdmVyc2UgZWZmZWN0czwva2V5d29yZD48a2V5d29yZD5GZW1hbGU8L2tleXdvcmQ+
PGtleXdvcmQ+Rm9saWMgQWNpZC9hZG1pbmlzdHJhdGlvbiAmYW1wOyBkb3NhZ2UvKmFkdmVyc2Ug
ZWZmZWN0czwva2V5d29yZD48a2V5d29yZD5IdW1hbnM8L2tleXdvcmQ+PGtleXdvcmQ+TWF0ZXJu
YWwgRXhwb3N1cmUvKmFkdmVyc2UgZWZmZWN0czwva2V5d29yZD48a2V5d29yZD5PZGRzIFJhdGlv
PC9rZXl3b3JkPjxrZXl3b3JkPlByZWduYW5jeTwva2V5d29yZD48a2V5d29yZD4qUHJlbmF0YWwg
RXhwb3N1cmUgRGVsYXllZCBFZmZlY3RzPC9rZXl3b3JkPjxrZXl3b3JkPlJpc2s8L2tleXdvcmQ+
PGtleXdvcmQ+KkF1dGlzbSBzcGVjdHJ1bSBkaXNvcmRlcnM8L2tleXdvcmQ+PGtleXdvcmQ+KkNo
aWxkcmVuPC9rZXl3b3JkPjxrZXl3b3JkPipGb2xpYyBhY2lkIHN1cHBsZW1lbnRzPC9rZXl3b3Jk
PjxrZXl3b3JkPipNYXRlcm5hbDwva2V5d29yZD48a2V5d29yZD4qTWV0YS1hbmFseXNpczwva2V5
d29yZD48L2tleXdvcmRzPjxkYXRlcz48eWVhcj4yMDE3PC95ZWFyPjwvZGF0ZXM+PGlzYm4+MjA0
MC0yMzkyIChFbGVjdHJvbmljKTwvaXNibj48YWNjZXNzaW9uLW51bT4yOTAyNjUwODwvYWNjZXNz
aW9uLW51bT48dXJscz48cmVsYXRlZC11cmxzPjx1cmw+aHR0cHM6Ly93d3cubmNiaS5ubG0ubmlo
Lmdvdi9wdWJtZWQvMjkwMjY1MDg8L3VybD48L3JlbGF0ZWQtdXJscz48L3VybHM+PGN1c3RvbTI+
UE1DNTYyNTgyMTwvY3VzdG9tMj48ZWxlY3Ryb25pYy1yZXNvdXJjZS1udW0+MTAuMTE4Ni9zMTMy
MjktMDE3LTAxNzAtODwvZWxlY3Ryb25pYy1yZXNvdXJjZS1udW0+PC9yZWNvcmQ+PC9DaXRlPjwv
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118</w:t>
      </w:r>
      <w:r w:rsidR="00201490">
        <w:fldChar w:fldCharType="end"/>
      </w:r>
      <w:r>
        <w:t xml:space="preserve"> found a reduction in autism spectrum disorders with folic acid supplementation (</w:t>
      </w:r>
      <w:r w:rsidRPr="004F7A63">
        <w:rPr>
          <w:sz w:val="16"/>
          <w:szCs w:val="16"/>
        </w:rPr>
        <w:t>RR 0.77; 95%CI 0.64 to 0.93, 16 studies</w:t>
      </w:r>
      <w:r>
        <w:t>)</w:t>
      </w:r>
      <w:r w:rsidR="004F7A63">
        <w:t>.</w:t>
      </w:r>
    </w:p>
    <w:p w14:paraId="2CC836AC" w14:textId="17588B7D" w:rsidR="008D209D" w:rsidRPr="00236C51" w:rsidRDefault="00F615F8" w:rsidP="00236C51">
      <w:r>
        <w:t>Based on evidence from s</w:t>
      </w:r>
      <w:r w:rsidR="008D209D">
        <w:t xml:space="preserve">ystematic reviews of </w:t>
      </w:r>
      <w:r>
        <w:t>observational studies, folic acid supplementation during pregnancy appears to reduce the risk of acute myeloid leukaemia (</w:t>
      </w:r>
      <w:r w:rsidRPr="00F615F8">
        <w:rPr>
          <w:sz w:val="16"/>
          <w:szCs w:val="16"/>
        </w:rPr>
        <w:t>OR 0.52; 95%CI 0.31 to 0.89</w:t>
      </w:r>
      <w:r>
        <w:t>)</w:t>
      </w:r>
      <w:r w:rsidR="00201490">
        <w:fldChar w:fldCharType="begin">
          <w:fldData xml:space="preserve">PEVuZE5vdGU+PENpdGU+PEF1dGhvcj5NZXRheWVyPC9BdXRob3I+PFllYXI+MjAxNDwvWWVhcj48
UmVjTnVtPjE2MTU8L1JlY051bT48RGlzcGxheVRleHQ+PHN0eWxlIGZhY2U9InN1cGVyc2NyaXB0
IiBmb250PSJUcmVidWNoZXQgTVMiIHNpemU9IjkiPjEyMDwvc3R5bGU+PC9EaXNwbGF5VGV4dD48
cmVjb3JkPjxyZWMtbnVtYmVyPjE2MTU8L3JlYy1udW1iZXI+PGZvcmVpZ24ta2V5cz48a2V5IGFw
cD0iRU4iIGRiLWlkPSJleHZhc3JmeDJkdHJhb2VzYXN4cDJzenN4YTJkZjUwMjU5MngiIHRpbWVz
dGFtcD0iMTU3NjcyMzY1OCI+MTYxNTwva2V5PjwvZm9yZWlnbi1rZXlzPjxyZWYtdHlwZSBuYW1l
PSJKb3VybmFsIEFydGljbGUiPjE3PC9yZWYtdHlwZT48Y29udHJpYnV0b3JzPjxhdXRob3JzPjxh
dXRob3I+TWV0YXllciwgQy48L2F1dGhvcj48YXV0aG9yPk1pbG5lLCBFLjwvYXV0aG9yPjxhdXRo
b3I+RG9ja2VydHksIEouIEQuPC9hdXRob3I+PGF1dGhvcj5DbGF2ZWwsIEouPC9hdXRob3I+PGF1
dGhvcj5Qb21iby1kZS1PbGl2ZWlyYSwgTS4gUy48L2F1dGhvcj48YXV0aG9yPldlc3NlbGluZywg
Qy48L2F1dGhvcj48YXV0aG9yPlNwZWN0b3IsIEwuIEcuPC9hdXRob3I+PGF1dGhvcj5TY2h1eiwg
Si48L2F1dGhvcj48YXV0aG9yPlBldHJpZG91LCBFLjwvYXV0aG9yPjxhdXRob3I+RXp6YXQsIFMu
PC9hdXRob3I+PGF1dGhvcj5Bcm1zdHJvbmcsIEIuIEsuPC9hdXRob3I+PGF1dGhvcj5SdWRhbnQs
IEouPC9hdXRob3I+PGF1dGhvcj5Lb2lmbWFuLCBTLjwvYXV0aG9yPjxhdXRob3I+S2FhdHNjaCwg
UC48L2F1dGhvcj48YXV0aG9yPk1vc2Nob3ZpLCBNLjwvYXV0aG9yPjxhdXRob3I+UmFzaGVkLCBX
LiBNLjwvYXV0aG9yPjxhdXRob3I+U2VsdmluLCBTLjwvYXV0aG9yPjxhdXRob3I+TWNDYXVsZXks
IEsuPC9hdXRob3I+PGF1dGhvcj5IdW5nLCBSLiBKLjwvYXV0aG9yPjxhdXRob3I+S2FuZywgQS4g
WS48L2F1dGhvcj48YXV0aG9yPkluZmFudGUtUml2YXJkLCBDLjwvYXV0aG9yPjwvYXV0aG9ycz48
L2NvbnRyaWJ1dG9ycz48YXV0aC1hZGRyZXNzPkZyb20gdGhlIGFVbml2ZXJzaXR5IG9mIENhbGlm
b3JuaWEsIFNjaG9vbCBvZiBQdWJsaWMgSGVhbHRoLCBCZXJrZWxleSwgQ0E7IGJUZWxldGhvbiBJ
bnN0aXR1dGUgZm9yIENoaWxkIEhlYWx0aCBSZXNlYXJjaCwgQ2VudHJlIGZvciBDaGlsZCBIZWFs
dGggUmVzZWFyY2gsIFVuaXZlcnNpdHkgb2YgV2VzdGVybiBBdXN0cmFsaWEsIFdlc3QgUGVydGgs
IFdlc3Rlcm4gQXVzdHJhbGlhOyBjRGVhbiZhcG9zO3MgRGVwYXJ0bWVudCBhbmQgRGVwYXJ0bWVu
dCBvZiBQcmV2ZW50aXZlIGFuZCBTb2NpYWwgTWVkaWNpbmUsIER1bmVkaW4gU2Nob29sIG9mIE1l
ZGljaW5lLCBVbml2ZXJzaXR5IG9mIE90YWdvLCBEdW5lZGluLCBOZXcgWmVhbGFuZDsgZEluc2Vy
bSwgQ0VTUCBDZW50cmUgZm9yIFJlc2VhcmNoIGluIEVwaWRlbWlvbG9neSBhbmQgUG9wdWxhdGlv
biBIZWFsdGgsIEVudmlyb25tZW50YWwgRXBpZGVtaW9sb2d5IG9mIENhbmNlciBUZWFtLCBVbml2
ZXJzaXRlIFBhcmlzLVN1ZCwgVmlsbGVqdWlmLCBGcmFuY2U7IGVQZWRpYXRyaWMgSGVtYXRvbG9n
eS1PbmNvbG9neSBQcm9ncmFtLCBSZXNlYXJjaCBQcm9ncmFtLCBJbnN0aXR1dG8gTmFjaW9uYWwg
ZGUgQ2FuY2VyLCBSaW8gZGUgSmFuZWlybywgQnJhemlsOyBmSW5zdGl0dXRvIFJlZ2lvbmFsIGRl
IEVzdHVkaW9zIGVuIFN1c3RhbmNpYXMgVG94aWNhcyAoSVJFVCksIFVuaXZlcnNpZGFkIE5hY2lv
bmFsLCBIZXJlZGlhLCBDb3N0YSBSaWNhOyBnRGl2aXNpb24gb2YgRXBpZGVtaW9sb2d5IENsaW5p
Y2FsIFJlc2VhcmNoLCBEZXBhcnRtZW50IG9mIFBlZGlhdHJpY3MgYW5kIE1hc29uaWMgQ2FuY2Vy
IENlbnRlciwgVW5pdmVyc2l0eSBvZiBNaW5uZXNvdGEsIE1pbm5lYXBvbGlzLCBNTjsgaEludGVy
bmF0aW9uYWwgQWdlbmN5IGZvciBSZXNlYXJjaCBvbiBDYW5jZXIsIFNlY3Rpb24gb2YgRW52aXJv
bm1lbnQgYW5kIFJhZGlhdGlvbiwgTHlvbiwgRnJhbmNlOyBpRGVwYXJ0bWVudCBvZiBIeWdpZW5l
LCBFcGlkZW1pb2xvZ3ksIGFuZCBNZWRpY2FsIFN0YXRpc3RpY3MsIE1lZGljYWwgU2Nob29sLCBO
YXRpb25hbCBhbmQgS2Fwb2Rpc3RyaWFuIFVuaXZlcnNpdHkgb2YgQXRoZW5zLCBBdGhlbnMsIEdy
ZWVjZTsgalJlc2VhcmNoIERlcGFydG1lbnQsIENoaWxkcmVuJmFwb3M7cyBDYW5jZXIgSG9zcGl0
YWwsIENhaXJvLCBFZ3lwdDsga1N5ZG5leSBTY2hvb2wgb2YgUHVibGljIEhlYWx0aCwgVW5pdmVy
c2l0eSBvZiBTeWRuZXksIE5ldyBTb3V0aCBXYWxlcywgQXVzdHJhbGlhOyBsTmF0aW9uYWwgU2No
b29sIG9mIFB1YmxpYyBIZWFsdGgsIE9zd2FsZG8gQ3J1eiBGb3VuZGF0aW9uIChGSU9DUlVaKSwg
TWluaXN0cnkgb2YgSGVhbHRoLCBSaW8gZGUgSmFuZWlybywgQnJhemlsOyBtR2VybWFuIENoaWxk
aG9vZCBDYW5jZXIgUmVnaXN0cnksIEluc3RpdHV0ZSBmb3IgTWVkaWNhbCBCaW9zdGF0aXN0aWNz
LCBFcGlkZW1pb2xvZ3kgYW5kIEluZm9ybWF0aWNzLCBVbml2ZXJzaXR5IE1lZGljYWwgQ2VudHJl
LCBKb2hhbm5lcyBHdXRlbmJlcmcgVW5pdmVyc2l0eSBNYWlueiwgTWFpbnosIEdlcm1hbnk7IG5M
dW5lbmZlbGQtVGFuZW5iYXVtIFJlc2VhcmNoIEluc3RpdHV0ZSBvZiBNb3VudCBTaW5haSBIb3Nw
aXRhbCwgVG9yb250bywgT250YXJpbywgQ2FuYWRhOyBhbmQgb0RlcGFydG1lbnQgb2YgRXBpZGVt
aW9sb2d5LCBCaW9zdGF0aXN0aWNzLCBhbmQgT2NjdXBhdGlvbmFsIEhlYWx0aCwgRmFjdWx0eSBv
ZiBNZWRpY2luZSwgTWNHaWxsIFVuaXZlcnNpdHksIE1vbnRyZWFsLCBQcm92aW5jZSBvZiBRdWVi
ZWMsIENhbmFkYS48L2F1dGgtYWRkcmVzcz48dGl0bGVzPjx0aXRsZT5NYXRlcm5hbCBzdXBwbGVt
ZW50YXRpb24gd2l0aCBmb2xpYyBhY2lkIGFuZCBvdGhlciB2aXRhbWlucyBhbmQgcmlzayBvZiBs
ZXVrZW1pYSBpbiBvZmZzcHJpbmc6IGEgQ2hpbGRob29kIExldWtlbWlhIEludGVybmF0aW9uYWwg
Q29uc29ydGl1bSBzdHVkeTwvdGl0bGU+PHNlY29uZGFyeS10aXRsZT5FcGlkZW1pb2xvZ3k8L3Nl
Y29uZGFyeS10aXRsZT48L3RpdGxlcz48cGVyaW9kaWNhbD48ZnVsbC10aXRsZT5FcGlkZW1pb2xv
Z3k8L2Z1bGwtdGl0bGU+PC9wZXJpb2RpY2FsPjxwYWdlcz44MTEtMjI8L3BhZ2VzPjx2b2x1bWU+
MjU8L3ZvbHVtZT48bnVtYmVyPjY8L251bWJlcj48ZWRpdGlvbj4yMDE0LzA5LzExPC9lZGl0aW9u
PjxrZXl3b3Jkcz48a2V5d29yZD5BZG9sZXNjZW50PC9rZXl3b3JkPjxrZXl3b3JkPkNhc2UtQ29u
dHJvbCBTdHVkaWVzPC9rZXl3b3JkPjxrZXl3b3JkPkNoaWxkPC9rZXl3b3JkPjxrZXl3b3JkPkNo
aWxkLCBQcmVzY2hvb2w8L2tleXdvcmQ+PGtleXdvcmQ+RGlldGFyeSBTdXBwbGVtZW50czwva2V5
d29yZD48a2V5d29yZD5GZW1hbGU8L2tleXdvcmQ+PGtleXdvcmQ+Rm9saWMgQWNpZC8qYWRtaW5p
c3RyYXRpb24gJmFtcDsgZG9zYWdlPC9rZXl3b3JkPjxrZXl3b3JkPkh1bWFuczwva2V5d29yZD48
a2V5d29yZD5JbmZhbnQ8L2tleXdvcmQ+PGtleXdvcmQ+SW5mYW50LCBOZXdib3JuPC9rZXl3b3Jk
PjxrZXl3b3JkPkxldWtlbWlhLCBNeWVsb2lkLCBBY3V0ZS8qZXBpZGVtaW9sb2d5LypwcmV2ZW50
aW9uICZhbXA7IGNvbnRyb2w8L2tleXdvcmQ+PGtleXdvcmQ+TWFsZTwva2V5d29yZD48a2V5d29y
ZD5NYXRlcm5hbC1GZXRhbCBFeGNoYW5nZTwva2V5d29yZD48a2V5d29yZD5QcmVjdXJzb3IgQ2Vs
bCBMeW1waG9ibGFzdGljIExldWtlbWlhLUx5bXBob21hLyplcGlkZW1pb2xvZ3kvKnByZXZlbnRp
b24gJmFtcDs8L2tleXdvcmQ+PGtleXdvcmQ+Y29udHJvbDwva2V5d29yZD48a2V5d29yZD5QcmVn
bmFuY3k8L2tleXdvcmQ+PGtleXdvcmQ+Umlzazwva2V5d29yZD48a2V5d29yZD5SaXNrIEZhY3Rv
cnM8L2tleXdvcmQ+PGtleXdvcmQ+Vml0YW1pbnMvKmFkbWluaXN0cmF0aW9uICZhbXA7IGRvc2Fn
ZTwva2V5d29yZD48L2tleXdvcmRzPjxkYXRlcz48eWVhcj4yMDE0PC95ZWFyPjxwdWItZGF0ZXM+
PGRhdGU+Tm92PC9kYXRlPjwvcHViLWRhdGVzPjwvZGF0ZXM+PGlzYm4+MTUzMS01NDg3IChFbGVj
dHJvbmljKSYjeEQ7MTA0NC0zOTgzIChMaW5raW5nKTwvaXNibj48YWNjZXNzaW9uLW51bT4yNTIw
Nzk1NDwvYWNjZXNzaW9uLW51bT48dXJscz48cmVsYXRlZC11cmxzPjx1cmw+aHR0cHM6Ly93d3cu
bmNiaS5ubG0ubmloLmdvdi9wdWJtZWQvMjUyMDc5NTQ8L3VybD48L3JlbGF0ZWQtdXJscz48L3Vy
bHM+PGN1c3RvbTI+UE1DNTkwMzU2MzwvY3VzdG9tMj48ZWxlY3Ryb25pYy1yZXNvdXJjZS1udW0+
MTAuMTA5Ny9FREUuMDAwMDAwMDAwMDAwMDE0MTwvZWxlY3Ryb25pYy1yZXNvdXJjZS1udW0+PC9y
ZWNvcmQ+PC9DaXRlPjwvRW5kTm90ZT5=
</w:fldData>
        </w:fldChar>
      </w:r>
      <w:r w:rsidR="002747EA">
        <w:instrText xml:space="preserve"> ADDIN EN.CITE </w:instrText>
      </w:r>
      <w:r w:rsidR="002747EA">
        <w:fldChar w:fldCharType="begin">
          <w:fldData xml:space="preserve">PEVuZE5vdGU+PENpdGU+PEF1dGhvcj5NZXRheWVyPC9BdXRob3I+PFllYXI+MjAxNDwvWWVhcj48
UmVjTnVtPjE2MTU8L1JlY051bT48RGlzcGxheVRleHQ+PHN0eWxlIGZhY2U9InN1cGVyc2NyaXB0
IiBmb250PSJUcmVidWNoZXQgTVMiIHNpemU9IjkiPjEyMDwvc3R5bGU+PC9EaXNwbGF5VGV4dD48
cmVjb3JkPjxyZWMtbnVtYmVyPjE2MTU8L3JlYy1udW1iZXI+PGZvcmVpZ24ta2V5cz48a2V5IGFw
cD0iRU4iIGRiLWlkPSJleHZhc3JmeDJkdHJhb2VzYXN4cDJzenN4YTJkZjUwMjU5MngiIHRpbWVz
dGFtcD0iMTU3NjcyMzY1OCI+MTYxNTwva2V5PjwvZm9yZWlnbi1rZXlzPjxyZWYtdHlwZSBuYW1l
PSJKb3VybmFsIEFydGljbGUiPjE3PC9yZWYtdHlwZT48Y29udHJpYnV0b3JzPjxhdXRob3JzPjxh
dXRob3I+TWV0YXllciwgQy48L2F1dGhvcj48YXV0aG9yPk1pbG5lLCBFLjwvYXV0aG9yPjxhdXRo
b3I+RG9ja2VydHksIEouIEQuPC9hdXRob3I+PGF1dGhvcj5DbGF2ZWwsIEouPC9hdXRob3I+PGF1
dGhvcj5Qb21iby1kZS1PbGl2ZWlyYSwgTS4gUy48L2F1dGhvcj48YXV0aG9yPldlc3NlbGluZywg
Qy48L2F1dGhvcj48YXV0aG9yPlNwZWN0b3IsIEwuIEcuPC9hdXRob3I+PGF1dGhvcj5TY2h1eiwg
Si48L2F1dGhvcj48YXV0aG9yPlBldHJpZG91LCBFLjwvYXV0aG9yPjxhdXRob3I+RXp6YXQsIFMu
PC9hdXRob3I+PGF1dGhvcj5Bcm1zdHJvbmcsIEIuIEsuPC9hdXRob3I+PGF1dGhvcj5SdWRhbnQs
IEouPC9hdXRob3I+PGF1dGhvcj5Lb2lmbWFuLCBTLjwvYXV0aG9yPjxhdXRob3I+S2FhdHNjaCwg
UC48L2F1dGhvcj48YXV0aG9yPk1vc2Nob3ZpLCBNLjwvYXV0aG9yPjxhdXRob3I+UmFzaGVkLCBX
LiBNLjwvYXV0aG9yPjxhdXRob3I+U2VsdmluLCBTLjwvYXV0aG9yPjxhdXRob3I+TWNDYXVsZXks
IEsuPC9hdXRob3I+PGF1dGhvcj5IdW5nLCBSLiBKLjwvYXV0aG9yPjxhdXRob3I+S2FuZywgQS4g
WS48L2F1dGhvcj48YXV0aG9yPkluZmFudGUtUml2YXJkLCBDLjwvYXV0aG9yPjwvYXV0aG9ycz48
L2NvbnRyaWJ1dG9ycz48YXV0aC1hZGRyZXNzPkZyb20gdGhlIGFVbml2ZXJzaXR5IG9mIENhbGlm
b3JuaWEsIFNjaG9vbCBvZiBQdWJsaWMgSGVhbHRoLCBCZXJrZWxleSwgQ0E7IGJUZWxldGhvbiBJ
bnN0aXR1dGUgZm9yIENoaWxkIEhlYWx0aCBSZXNlYXJjaCwgQ2VudHJlIGZvciBDaGlsZCBIZWFs
dGggUmVzZWFyY2gsIFVuaXZlcnNpdHkgb2YgV2VzdGVybiBBdXN0cmFsaWEsIFdlc3QgUGVydGgs
IFdlc3Rlcm4gQXVzdHJhbGlhOyBjRGVhbiZhcG9zO3MgRGVwYXJ0bWVudCBhbmQgRGVwYXJ0bWVu
dCBvZiBQcmV2ZW50aXZlIGFuZCBTb2NpYWwgTWVkaWNpbmUsIER1bmVkaW4gU2Nob29sIG9mIE1l
ZGljaW5lLCBVbml2ZXJzaXR5IG9mIE90YWdvLCBEdW5lZGluLCBOZXcgWmVhbGFuZDsgZEluc2Vy
bSwgQ0VTUCBDZW50cmUgZm9yIFJlc2VhcmNoIGluIEVwaWRlbWlvbG9neSBhbmQgUG9wdWxhdGlv
biBIZWFsdGgsIEVudmlyb25tZW50YWwgRXBpZGVtaW9sb2d5IG9mIENhbmNlciBUZWFtLCBVbml2
ZXJzaXRlIFBhcmlzLVN1ZCwgVmlsbGVqdWlmLCBGcmFuY2U7IGVQZWRpYXRyaWMgSGVtYXRvbG9n
eS1PbmNvbG9neSBQcm9ncmFtLCBSZXNlYXJjaCBQcm9ncmFtLCBJbnN0aXR1dG8gTmFjaW9uYWwg
ZGUgQ2FuY2VyLCBSaW8gZGUgSmFuZWlybywgQnJhemlsOyBmSW5zdGl0dXRvIFJlZ2lvbmFsIGRl
IEVzdHVkaW9zIGVuIFN1c3RhbmNpYXMgVG94aWNhcyAoSVJFVCksIFVuaXZlcnNpZGFkIE5hY2lv
bmFsLCBIZXJlZGlhLCBDb3N0YSBSaWNhOyBnRGl2aXNpb24gb2YgRXBpZGVtaW9sb2d5IENsaW5p
Y2FsIFJlc2VhcmNoLCBEZXBhcnRtZW50IG9mIFBlZGlhdHJpY3MgYW5kIE1hc29uaWMgQ2FuY2Vy
IENlbnRlciwgVW5pdmVyc2l0eSBvZiBNaW5uZXNvdGEsIE1pbm5lYXBvbGlzLCBNTjsgaEludGVy
bmF0aW9uYWwgQWdlbmN5IGZvciBSZXNlYXJjaCBvbiBDYW5jZXIsIFNlY3Rpb24gb2YgRW52aXJv
bm1lbnQgYW5kIFJhZGlhdGlvbiwgTHlvbiwgRnJhbmNlOyBpRGVwYXJ0bWVudCBvZiBIeWdpZW5l
LCBFcGlkZW1pb2xvZ3ksIGFuZCBNZWRpY2FsIFN0YXRpc3RpY3MsIE1lZGljYWwgU2Nob29sLCBO
YXRpb25hbCBhbmQgS2Fwb2Rpc3RyaWFuIFVuaXZlcnNpdHkgb2YgQXRoZW5zLCBBdGhlbnMsIEdy
ZWVjZTsgalJlc2VhcmNoIERlcGFydG1lbnQsIENoaWxkcmVuJmFwb3M7cyBDYW5jZXIgSG9zcGl0
YWwsIENhaXJvLCBFZ3lwdDsga1N5ZG5leSBTY2hvb2wgb2YgUHVibGljIEhlYWx0aCwgVW5pdmVy
c2l0eSBvZiBTeWRuZXksIE5ldyBTb3V0aCBXYWxlcywgQXVzdHJhbGlhOyBsTmF0aW9uYWwgU2No
b29sIG9mIFB1YmxpYyBIZWFsdGgsIE9zd2FsZG8gQ3J1eiBGb3VuZGF0aW9uIChGSU9DUlVaKSwg
TWluaXN0cnkgb2YgSGVhbHRoLCBSaW8gZGUgSmFuZWlybywgQnJhemlsOyBtR2VybWFuIENoaWxk
aG9vZCBDYW5jZXIgUmVnaXN0cnksIEluc3RpdHV0ZSBmb3IgTWVkaWNhbCBCaW9zdGF0aXN0aWNz
LCBFcGlkZW1pb2xvZ3kgYW5kIEluZm9ybWF0aWNzLCBVbml2ZXJzaXR5IE1lZGljYWwgQ2VudHJl
LCBKb2hhbm5lcyBHdXRlbmJlcmcgVW5pdmVyc2l0eSBNYWlueiwgTWFpbnosIEdlcm1hbnk7IG5M
dW5lbmZlbGQtVGFuZW5iYXVtIFJlc2VhcmNoIEluc3RpdHV0ZSBvZiBNb3VudCBTaW5haSBIb3Nw
aXRhbCwgVG9yb250bywgT250YXJpbywgQ2FuYWRhOyBhbmQgb0RlcGFydG1lbnQgb2YgRXBpZGVt
aW9sb2d5LCBCaW9zdGF0aXN0aWNzLCBhbmQgT2NjdXBhdGlvbmFsIEhlYWx0aCwgRmFjdWx0eSBv
ZiBNZWRpY2luZSwgTWNHaWxsIFVuaXZlcnNpdHksIE1vbnRyZWFsLCBQcm92aW5jZSBvZiBRdWVi
ZWMsIENhbmFkYS48L2F1dGgtYWRkcmVzcz48dGl0bGVzPjx0aXRsZT5NYXRlcm5hbCBzdXBwbGVt
ZW50YXRpb24gd2l0aCBmb2xpYyBhY2lkIGFuZCBvdGhlciB2aXRhbWlucyBhbmQgcmlzayBvZiBs
ZXVrZW1pYSBpbiBvZmZzcHJpbmc6IGEgQ2hpbGRob29kIExldWtlbWlhIEludGVybmF0aW9uYWwg
Q29uc29ydGl1bSBzdHVkeTwvdGl0bGU+PHNlY29uZGFyeS10aXRsZT5FcGlkZW1pb2xvZ3k8L3Nl
Y29uZGFyeS10aXRsZT48L3RpdGxlcz48cGVyaW9kaWNhbD48ZnVsbC10aXRsZT5FcGlkZW1pb2xv
Z3k8L2Z1bGwtdGl0bGU+PC9wZXJpb2RpY2FsPjxwYWdlcz44MTEtMjI8L3BhZ2VzPjx2b2x1bWU+
MjU8L3ZvbHVtZT48bnVtYmVyPjY8L251bWJlcj48ZWRpdGlvbj4yMDE0LzA5LzExPC9lZGl0aW9u
PjxrZXl3b3Jkcz48a2V5d29yZD5BZG9sZXNjZW50PC9rZXl3b3JkPjxrZXl3b3JkPkNhc2UtQ29u
dHJvbCBTdHVkaWVzPC9rZXl3b3JkPjxrZXl3b3JkPkNoaWxkPC9rZXl3b3JkPjxrZXl3b3JkPkNo
aWxkLCBQcmVzY2hvb2w8L2tleXdvcmQ+PGtleXdvcmQ+RGlldGFyeSBTdXBwbGVtZW50czwva2V5
d29yZD48a2V5d29yZD5GZW1hbGU8L2tleXdvcmQ+PGtleXdvcmQ+Rm9saWMgQWNpZC8qYWRtaW5p
c3RyYXRpb24gJmFtcDsgZG9zYWdlPC9rZXl3b3JkPjxrZXl3b3JkPkh1bWFuczwva2V5d29yZD48
a2V5d29yZD5JbmZhbnQ8L2tleXdvcmQ+PGtleXdvcmQ+SW5mYW50LCBOZXdib3JuPC9rZXl3b3Jk
PjxrZXl3b3JkPkxldWtlbWlhLCBNeWVsb2lkLCBBY3V0ZS8qZXBpZGVtaW9sb2d5LypwcmV2ZW50
aW9uICZhbXA7IGNvbnRyb2w8L2tleXdvcmQ+PGtleXdvcmQ+TWFsZTwva2V5d29yZD48a2V5d29y
ZD5NYXRlcm5hbC1GZXRhbCBFeGNoYW5nZTwva2V5d29yZD48a2V5d29yZD5QcmVjdXJzb3IgQ2Vs
bCBMeW1waG9ibGFzdGljIExldWtlbWlhLUx5bXBob21hLyplcGlkZW1pb2xvZ3kvKnByZXZlbnRp
b24gJmFtcDs8L2tleXdvcmQ+PGtleXdvcmQ+Y29udHJvbDwva2V5d29yZD48a2V5d29yZD5QcmVn
bmFuY3k8L2tleXdvcmQ+PGtleXdvcmQ+Umlzazwva2V5d29yZD48a2V5d29yZD5SaXNrIEZhY3Rv
cnM8L2tleXdvcmQ+PGtleXdvcmQ+Vml0YW1pbnMvKmFkbWluaXN0cmF0aW9uICZhbXA7IGRvc2Fn
ZTwva2V5d29yZD48L2tleXdvcmRzPjxkYXRlcz48eWVhcj4yMDE0PC95ZWFyPjxwdWItZGF0ZXM+
PGRhdGU+Tm92PC9kYXRlPjwvcHViLWRhdGVzPjwvZGF0ZXM+PGlzYm4+MTUzMS01NDg3IChFbGVj
dHJvbmljKSYjeEQ7MTA0NC0zOTgzIChMaW5raW5nKTwvaXNibj48YWNjZXNzaW9uLW51bT4yNTIw
Nzk1NDwvYWNjZXNzaW9uLW51bT48dXJscz48cmVsYXRlZC11cmxzPjx1cmw+aHR0cHM6Ly93d3cu
bmNiaS5ubG0ubmloLmdvdi9wdWJtZWQvMjUyMDc5NTQ8L3VybD48L3JlbGF0ZWQtdXJscz48L3Vy
bHM+PGN1c3RvbTI+UE1DNTkwMzU2MzwvY3VzdG9tMj48ZWxlY3Ryb25pYy1yZXNvdXJjZS1udW0+
MTAuMTA5Ny9FREUuMDAwMDAwMDAwMDAwMDE0MTwvZWxlY3Ryb25pYy1yZXNvdXJjZS1udW0+PC9y
ZWNvcmQ+PC9DaXRlPjwvRW5kTm90ZT5=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120</w:t>
      </w:r>
      <w:r w:rsidR="00201490">
        <w:fldChar w:fldCharType="end"/>
      </w:r>
      <w:r>
        <w:t xml:space="preserve"> and c</w:t>
      </w:r>
      <w:r w:rsidRPr="0025225A">
        <w:t>hildhood brain and spinal cord tumo</w:t>
      </w:r>
      <w:r>
        <w:t>u</w:t>
      </w:r>
      <w:r w:rsidRPr="0025225A">
        <w:t>rs</w:t>
      </w:r>
      <w:r>
        <w:t xml:space="preserve"> (</w:t>
      </w:r>
      <w:r w:rsidRPr="00F615F8">
        <w:rPr>
          <w:sz w:val="16"/>
          <w:szCs w:val="16"/>
        </w:rPr>
        <w:t>OR 0.77; 95%CI 0.66 to 0.90</w:t>
      </w:r>
      <w:r>
        <w:t>).</w:t>
      </w:r>
      <w:r>
        <w:fldChar w:fldCharType="begin">
          <w:fldData xml:space="preserve">PEVuZE5vdGU+PENpdGU+PEF1dGhvcj5DaGlhdmFyaW5pPC9BdXRob3I+PFllYXI+MjAxODwvWWVh
cj48UmVjTnVtPjE0Mjc8L1JlY051bT48RGlzcGxheVRleHQ+PHN0eWxlIGZhY2U9InN1cGVyc2Ny
aXB0IiBmb250PSJUcmVidWNoZXQgTVMiIHNpemU9IjkiPjEyNzwvc3R5bGU+PC9EaXNwbGF5VGV4
dD48cmVjb3JkPjxyZWMtbnVtYmVyPjE0Mjc8L3JlYy1udW1iZXI+PGZvcmVpZ24ta2V5cz48a2V5
IGFwcD0iRU4iIGRiLWlkPSJleHZhc3JmeDJkdHJhb2VzYXN4cDJzenN4YTJkZjUwMjU5MngiIHRp
bWVzdGFtcD0iMTU3MTYyNjE4OSI+MTQyNzwva2V5PjxrZXkgYXBwPSJFTldlYiIgZGItaWQ9IiI+
MDwva2V5PjwvZm9yZWlnbi1rZXlzPjxyZWYtdHlwZSBuYW1lPSJKb3VybmFsIEFydGljbGUiPjE3
PC9yZWYtdHlwZT48Y29udHJpYnV0b3JzPjxhdXRob3JzPjxhdXRob3I+Q2hpYXZhcmluaSwgTS48
L2F1dGhvcj48YXV0aG9yPk5hbGRpbmksIEcuPC9hdXRob3I+PGF1dGhvcj5GYWJpYW5pLCBSLjwv
YXV0aG9yPjwvYXV0aG9ycz48L2NvbnRyaWJ1dG9ycz48YXV0aC1hZGRyZXNzPkRlcGFydG1lbnQg
b2YgRXhwZXJpbWVudGFsIE1lZGljaW5lLCBTZWN0aW9uIG9mIFB1YmxpYyBIZWF0aCwgVW5pdmVy
c2l0eSBvZiBQZXJ1Z2lhLCBQZXJ1Z2lhLCBJdGFseS4mI3hEO0RlcGFydG1lbnQgb2YgRXhwZXJp
bWVudGFsIE1lZGljaW5lLCBTZWN0aW9uIG9mIFB1YmxpYyBIZWF0aCwgU2Nob29sIG9mIEh5Z2ll
bmUgYW5kIFByZXZlbnRpdmUgTWVkaWNpbmUsIFVuaXZlcnNpdHkgb2YgUGVydWdpYSwgUGVydWdp
YSwgSXRhbHkuJiN4RDtEZXBhcnRtZW50IG9mIENoZW1pc3RyeSwgQmlvbG9neSBhbmQgQmlvdGVj
aG5vbG9neSwgVW5pdmVyc2l0eSBvZiBQZXJ1Z2lhLCBQZXJ1Z2lhLCBJdGFseS48L2F1dGgtYWRk
cmVzcz48dGl0bGVzPjx0aXRsZT5NYXRlcm5hbCBGb2xhdGUgSW50YWtlIGFuZCBSaXNrIG9mIENo
aWxkaG9vZCBCcmFpbiBhbmQgU3BpbmFsIENvcmQgVHVtb3JzOiBBIFN5c3RlbWF0aWMgUmV2aWV3
IGFuZCBNZXRhLUFuYWx5c2lzPC90aXRsZT48c2Vjb25kYXJ5LXRpdGxlPk5ldXJvZXBpZGVtaW9s
b2d5PC9zZWNvbmRhcnktdGl0bGU+PC90aXRsZXM+PHBlcmlvZGljYWw+PGZ1bGwtdGl0bGU+TmV1
cm9lcGlkZW1pb2xvZ3k8L2Z1bGwtdGl0bGU+PC9wZXJpb2RpY2FsPjxwYWdlcz44Mi05NTwvcGFn
ZXM+PHZvbHVtZT41MTwvdm9sdW1lPjxudW1iZXI+MS0yPC9udW1iZXI+PGVkaXRpb24+MjAxOC8w
Ny8wNDwvZWRpdGlvbj48a2V5d29yZHM+PGtleXdvcmQ+QnJhaW4gTmVvcGxhc21zLyplcGlkZW1p
b2xvZ3k8L2tleXdvcmQ+PGtleXdvcmQ+RmVtYWxlPC9rZXl3b3JkPjxrZXl3b3JkPipGb2xpYyBB
Y2lkPC9rZXl3b3JkPjxrZXl3b3JkPkh1bWFuczwva2V5d29yZD48a2V5d29yZD4qTWF0ZXJuYWwg
TnV0cml0aW9uYWwgUGh5c2lvbG9naWNhbCBQaGVub21lbmE8L2tleXdvcmQ+PGtleXdvcmQ+UHJl
Z25hbmN5PC9rZXl3b3JkPjxrZXl3b3JkPlJpc2s8L2tleXdvcmQ+PGtleXdvcmQ+U3BpbmFsIENv
cmQgTmVvcGxhc21zLyplcGlkZW1pb2xvZ3k8L2tleXdvcmQ+PGtleXdvcmQ+KkNlbnRyYWwgbmVy
dm91cyBzeXN0ZW0gbmVvcGxhc21zPC9rZXl3b3JkPjxrZXl3b3JkPipDaGlsZDwva2V5d29yZD48
a2V5d29yZD4qRm9saWMgYWNpZC9hZG1pbmlzdHJhdGlvbiBhbmQgZG9zYWdlPC9rZXl3b3JkPjxr
ZXl3b3JkPipNZXRhLWFuYWx5c2lzIGFzIHRvcGljPC9rZXl3b3JkPjxrZXl3b3JkPipQcmVuYXRh
bCBudXRyaXRpb25hbCBwaHlzaW9sb2dpY2FsIHBoZW5vbWVuYTwva2V5d29yZD48L2tleXdvcmRz
PjxkYXRlcz48eWVhcj4yMDE4PC95ZWFyPjwvZGF0ZXM+PGlzYm4+MTQyMy0wMjA4IChFbGVjdHJv
bmljKSYjeEQ7MDI1MS01MzUwIChMaW5raW5nKTwvaXNibj48YWNjZXNzaW9uLW51bT4yOTk2OTc2
NTwvYWNjZXNzaW9uLW51bT48dXJscz48cmVsYXRlZC11cmxzPjx1cmw+aHR0cHM6Ly93d3cubmNi
aS5ubG0ubmloLmdvdi9wdWJtZWQvMjk5Njk3NjU8L3VybD48L3JlbGF0ZWQtdXJscz48L3VybHM+
PGVsZWN0cm9uaWMtcmVzb3VyY2UtbnVtPjEwLjExNTkvMDAwNDkwMjQ5PC9lbGVjdHJvbmljLXJl
c291cmNlLW51bT48L3JlY29yZD48L0NpdGU+PC9FbmROb3RlPn==
</w:fldData>
        </w:fldChar>
      </w:r>
      <w:r w:rsidR="002747EA">
        <w:instrText xml:space="preserve"> ADDIN EN.CITE </w:instrText>
      </w:r>
      <w:r w:rsidR="002747EA">
        <w:fldChar w:fldCharType="begin">
          <w:fldData xml:space="preserve">PEVuZE5vdGU+PENpdGU+PEF1dGhvcj5DaGlhdmFyaW5pPC9BdXRob3I+PFllYXI+MjAxODwvWWVh
cj48UmVjTnVtPjE0Mjc8L1JlY051bT48RGlzcGxheVRleHQ+PHN0eWxlIGZhY2U9InN1cGVyc2Ny
aXB0IiBmb250PSJUcmVidWNoZXQgTVMiIHNpemU9IjkiPjEyNzwvc3R5bGU+PC9EaXNwbGF5VGV4
dD48cmVjb3JkPjxyZWMtbnVtYmVyPjE0Mjc8L3JlYy1udW1iZXI+PGZvcmVpZ24ta2V5cz48a2V5
IGFwcD0iRU4iIGRiLWlkPSJleHZhc3JmeDJkdHJhb2VzYXN4cDJzenN4YTJkZjUwMjU5MngiIHRp
bWVzdGFtcD0iMTU3MTYyNjE4OSI+MTQyNzwva2V5PjxrZXkgYXBwPSJFTldlYiIgZGItaWQ9IiI+
MDwva2V5PjwvZm9yZWlnbi1rZXlzPjxyZWYtdHlwZSBuYW1lPSJKb3VybmFsIEFydGljbGUiPjE3
PC9yZWYtdHlwZT48Y29udHJpYnV0b3JzPjxhdXRob3JzPjxhdXRob3I+Q2hpYXZhcmluaSwgTS48
L2F1dGhvcj48YXV0aG9yPk5hbGRpbmksIEcuPC9hdXRob3I+PGF1dGhvcj5GYWJpYW5pLCBSLjwv
YXV0aG9yPjwvYXV0aG9ycz48L2NvbnRyaWJ1dG9ycz48YXV0aC1hZGRyZXNzPkRlcGFydG1lbnQg
b2YgRXhwZXJpbWVudGFsIE1lZGljaW5lLCBTZWN0aW9uIG9mIFB1YmxpYyBIZWF0aCwgVW5pdmVy
c2l0eSBvZiBQZXJ1Z2lhLCBQZXJ1Z2lhLCBJdGFseS4mI3hEO0RlcGFydG1lbnQgb2YgRXhwZXJp
bWVudGFsIE1lZGljaW5lLCBTZWN0aW9uIG9mIFB1YmxpYyBIZWF0aCwgU2Nob29sIG9mIEh5Z2ll
bmUgYW5kIFByZXZlbnRpdmUgTWVkaWNpbmUsIFVuaXZlcnNpdHkgb2YgUGVydWdpYSwgUGVydWdp
YSwgSXRhbHkuJiN4RDtEZXBhcnRtZW50IG9mIENoZW1pc3RyeSwgQmlvbG9neSBhbmQgQmlvdGVj
aG5vbG9neSwgVW5pdmVyc2l0eSBvZiBQZXJ1Z2lhLCBQZXJ1Z2lhLCBJdGFseS48L2F1dGgtYWRk
cmVzcz48dGl0bGVzPjx0aXRsZT5NYXRlcm5hbCBGb2xhdGUgSW50YWtlIGFuZCBSaXNrIG9mIENo
aWxkaG9vZCBCcmFpbiBhbmQgU3BpbmFsIENvcmQgVHVtb3JzOiBBIFN5c3RlbWF0aWMgUmV2aWV3
IGFuZCBNZXRhLUFuYWx5c2lzPC90aXRsZT48c2Vjb25kYXJ5LXRpdGxlPk5ldXJvZXBpZGVtaW9s
b2d5PC9zZWNvbmRhcnktdGl0bGU+PC90aXRsZXM+PHBlcmlvZGljYWw+PGZ1bGwtdGl0bGU+TmV1
cm9lcGlkZW1pb2xvZ3k8L2Z1bGwtdGl0bGU+PC9wZXJpb2RpY2FsPjxwYWdlcz44Mi05NTwvcGFn
ZXM+PHZvbHVtZT41MTwvdm9sdW1lPjxudW1iZXI+MS0yPC9udW1iZXI+PGVkaXRpb24+MjAxOC8w
Ny8wNDwvZWRpdGlvbj48a2V5d29yZHM+PGtleXdvcmQ+QnJhaW4gTmVvcGxhc21zLyplcGlkZW1p
b2xvZ3k8L2tleXdvcmQ+PGtleXdvcmQ+RmVtYWxlPC9rZXl3b3JkPjxrZXl3b3JkPipGb2xpYyBB
Y2lkPC9rZXl3b3JkPjxrZXl3b3JkPkh1bWFuczwva2V5d29yZD48a2V5d29yZD4qTWF0ZXJuYWwg
TnV0cml0aW9uYWwgUGh5c2lvbG9naWNhbCBQaGVub21lbmE8L2tleXdvcmQ+PGtleXdvcmQ+UHJl
Z25hbmN5PC9rZXl3b3JkPjxrZXl3b3JkPlJpc2s8L2tleXdvcmQ+PGtleXdvcmQ+U3BpbmFsIENv
cmQgTmVvcGxhc21zLyplcGlkZW1pb2xvZ3k8L2tleXdvcmQ+PGtleXdvcmQ+KkNlbnRyYWwgbmVy
dm91cyBzeXN0ZW0gbmVvcGxhc21zPC9rZXl3b3JkPjxrZXl3b3JkPipDaGlsZDwva2V5d29yZD48
a2V5d29yZD4qRm9saWMgYWNpZC9hZG1pbmlzdHJhdGlvbiBhbmQgZG9zYWdlPC9rZXl3b3JkPjxr
ZXl3b3JkPipNZXRhLWFuYWx5c2lzIGFzIHRvcGljPC9rZXl3b3JkPjxrZXl3b3JkPipQcmVuYXRh
bCBudXRyaXRpb25hbCBwaHlzaW9sb2dpY2FsIHBoZW5vbWVuYTwva2V5d29yZD48L2tleXdvcmRz
PjxkYXRlcz48eWVhcj4yMDE4PC95ZWFyPjwvZGF0ZXM+PGlzYm4+MTQyMy0wMjA4IChFbGVjdHJv
bmljKSYjeEQ7MDI1MS01MzUwIChMaW5raW5nKTwvaXNibj48YWNjZXNzaW9uLW51bT4yOTk2OTc2
NTwvYWNjZXNzaW9uLW51bT48dXJscz48cmVsYXRlZC11cmxzPjx1cmw+aHR0cHM6Ly93d3cubmNi
aS5ubG0ubmloLmdvdi9wdWJtZWQvMjk5Njk3NjU8L3VybD48L3JlbGF0ZWQtdXJscz48L3VybHM+
PGVsZWN0cm9uaWMtcmVzb3VyY2UtbnVtPjEwLjExNTkvMDAwNDkwMjQ5PC9lbGVjdHJvbmljLXJl
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127</w:t>
      </w:r>
      <w:r>
        <w:fldChar w:fldCharType="end"/>
      </w:r>
      <w:r>
        <w:t xml:space="preserve"> The evidence on </w:t>
      </w:r>
      <w:r w:rsidR="008D209D">
        <w:t>acute lymphoblastic leukaemia</w:t>
      </w:r>
      <w:r>
        <w:t xml:space="preserve"> was inconsistent</w:t>
      </w:r>
      <w:r w:rsidR="008D209D">
        <w:t xml:space="preserve">, with one </w:t>
      </w:r>
      <w:r>
        <w:t xml:space="preserve">review </w:t>
      </w:r>
      <w:r w:rsidR="008D209D">
        <w:t>finding a reduced risk (</w:t>
      </w:r>
      <w:r w:rsidR="008D209D" w:rsidRPr="00F615F8">
        <w:rPr>
          <w:sz w:val="16"/>
          <w:szCs w:val="16"/>
        </w:rPr>
        <w:t>OR 0.77; 95%CI 0.67 to 0.88</w:t>
      </w:r>
      <w:r w:rsidR="008D209D">
        <w:t>)</w:t>
      </w:r>
      <w:r w:rsidR="00201490">
        <w:fldChar w:fldCharType="begin">
          <w:fldData xml:space="preserve">PEVuZE5vdGU+PENpdGU+PEF1dGhvcj5NZXRheWVyPC9BdXRob3I+PFllYXI+MjAxNDwvWWVhcj48
UmVjTnVtPjE2MTU8L1JlY051bT48RGlzcGxheVRleHQ+PHN0eWxlIGZhY2U9InN1cGVyc2NyaXB0
IiBmb250PSJUcmVidWNoZXQgTVMiIHNpemU9IjkiPjEyMDwvc3R5bGU+PC9EaXNwbGF5VGV4dD48
cmVjb3JkPjxyZWMtbnVtYmVyPjE2MTU8L3JlYy1udW1iZXI+PGZvcmVpZ24ta2V5cz48a2V5IGFw
cD0iRU4iIGRiLWlkPSJleHZhc3JmeDJkdHJhb2VzYXN4cDJzenN4YTJkZjUwMjU5MngiIHRpbWVz
dGFtcD0iMTU3NjcyMzY1OCI+MTYxNTwva2V5PjwvZm9yZWlnbi1rZXlzPjxyZWYtdHlwZSBuYW1l
PSJKb3VybmFsIEFydGljbGUiPjE3PC9yZWYtdHlwZT48Y29udHJpYnV0b3JzPjxhdXRob3JzPjxh
dXRob3I+TWV0YXllciwgQy48L2F1dGhvcj48YXV0aG9yPk1pbG5lLCBFLjwvYXV0aG9yPjxhdXRo
b3I+RG9ja2VydHksIEouIEQuPC9hdXRob3I+PGF1dGhvcj5DbGF2ZWwsIEouPC9hdXRob3I+PGF1
dGhvcj5Qb21iby1kZS1PbGl2ZWlyYSwgTS4gUy48L2F1dGhvcj48YXV0aG9yPldlc3NlbGluZywg
Qy48L2F1dGhvcj48YXV0aG9yPlNwZWN0b3IsIEwuIEcuPC9hdXRob3I+PGF1dGhvcj5TY2h1eiwg
Si48L2F1dGhvcj48YXV0aG9yPlBldHJpZG91LCBFLjwvYXV0aG9yPjxhdXRob3I+RXp6YXQsIFMu
PC9hdXRob3I+PGF1dGhvcj5Bcm1zdHJvbmcsIEIuIEsuPC9hdXRob3I+PGF1dGhvcj5SdWRhbnQs
IEouPC9hdXRob3I+PGF1dGhvcj5Lb2lmbWFuLCBTLjwvYXV0aG9yPjxhdXRob3I+S2FhdHNjaCwg
UC48L2F1dGhvcj48YXV0aG9yPk1vc2Nob3ZpLCBNLjwvYXV0aG9yPjxhdXRob3I+UmFzaGVkLCBX
LiBNLjwvYXV0aG9yPjxhdXRob3I+U2VsdmluLCBTLjwvYXV0aG9yPjxhdXRob3I+TWNDYXVsZXks
IEsuPC9hdXRob3I+PGF1dGhvcj5IdW5nLCBSLiBKLjwvYXV0aG9yPjxhdXRob3I+S2FuZywgQS4g
WS48L2F1dGhvcj48YXV0aG9yPkluZmFudGUtUml2YXJkLCBDLjwvYXV0aG9yPjwvYXV0aG9ycz48
L2NvbnRyaWJ1dG9ycz48YXV0aC1hZGRyZXNzPkZyb20gdGhlIGFVbml2ZXJzaXR5IG9mIENhbGlm
b3JuaWEsIFNjaG9vbCBvZiBQdWJsaWMgSGVhbHRoLCBCZXJrZWxleSwgQ0E7IGJUZWxldGhvbiBJ
bnN0aXR1dGUgZm9yIENoaWxkIEhlYWx0aCBSZXNlYXJjaCwgQ2VudHJlIGZvciBDaGlsZCBIZWFs
dGggUmVzZWFyY2gsIFVuaXZlcnNpdHkgb2YgV2VzdGVybiBBdXN0cmFsaWEsIFdlc3QgUGVydGgs
IFdlc3Rlcm4gQXVzdHJhbGlhOyBjRGVhbiZhcG9zO3MgRGVwYXJ0bWVudCBhbmQgRGVwYXJ0bWVu
dCBvZiBQcmV2ZW50aXZlIGFuZCBTb2NpYWwgTWVkaWNpbmUsIER1bmVkaW4gU2Nob29sIG9mIE1l
ZGljaW5lLCBVbml2ZXJzaXR5IG9mIE90YWdvLCBEdW5lZGluLCBOZXcgWmVhbGFuZDsgZEluc2Vy
bSwgQ0VTUCBDZW50cmUgZm9yIFJlc2VhcmNoIGluIEVwaWRlbWlvbG9neSBhbmQgUG9wdWxhdGlv
biBIZWFsdGgsIEVudmlyb25tZW50YWwgRXBpZGVtaW9sb2d5IG9mIENhbmNlciBUZWFtLCBVbml2
ZXJzaXRlIFBhcmlzLVN1ZCwgVmlsbGVqdWlmLCBGcmFuY2U7IGVQZWRpYXRyaWMgSGVtYXRvbG9n
eS1PbmNvbG9neSBQcm9ncmFtLCBSZXNlYXJjaCBQcm9ncmFtLCBJbnN0aXR1dG8gTmFjaW9uYWwg
ZGUgQ2FuY2VyLCBSaW8gZGUgSmFuZWlybywgQnJhemlsOyBmSW5zdGl0dXRvIFJlZ2lvbmFsIGRl
IEVzdHVkaW9zIGVuIFN1c3RhbmNpYXMgVG94aWNhcyAoSVJFVCksIFVuaXZlcnNpZGFkIE5hY2lv
bmFsLCBIZXJlZGlhLCBDb3N0YSBSaWNhOyBnRGl2aXNpb24gb2YgRXBpZGVtaW9sb2d5IENsaW5p
Y2FsIFJlc2VhcmNoLCBEZXBhcnRtZW50IG9mIFBlZGlhdHJpY3MgYW5kIE1hc29uaWMgQ2FuY2Vy
IENlbnRlciwgVW5pdmVyc2l0eSBvZiBNaW5uZXNvdGEsIE1pbm5lYXBvbGlzLCBNTjsgaEludGVy
bmF0aW9uYWwgQWdlbmN5IGZvciBSZXNlYXJjaCBvbiBDYW5jZXIsIFNlY3Rpb24gb2YgRW52aXJv
bm1lbnQgYW5kIFJhZGlhdGlvbiwgTHlvbiwgRnJhbmNlOyBpRGVwYXJ0bWVudCBvZiBIeWdpZW5l
LCBFcGlkZW1pb2xvZ3ksIGFuZCBNZWRpY2FsIFN0YXRpc3RpY3MsIE1lZGljYWwgU2Nob29sLCBO
YXRpb25hbCBhbmQgS2Fwb2Rpc3RyaWFuIFVuaXZlcnNpdHkgb2YgQXRoZW5zLCBBdGhlbnMsIEdy
ZWVjZTsgalJlc2VhcmNoIERlcGFydG1lbnQsIENoaWxkcmVuJmFwb3M7cyBDYW5jZXIgSG9zcGl0
YWwsIENhaXJvLCBFZ3lwdDsga1N5ZG5leSBTY2hvb2wgb2YgUHVibGljIEhlYWx0aCwgVW5pdmVy
c2l0eSBvZiBTeWRuZXksIE5ldyBTb3V0aCBXYWxlcywgQXVzdHJhbGlhOyBsTmF0aW9uYWwgU2No
b29sIG9mIFB1YmxpYyBIZWFsdGgsIE9zd2FsZG8gQ3J1eiBGb3VuZGF0aW9uIChGSU9DUlVaKSwg
TWluaXN0cnkgb2YgSGVhbHRoLCBSaW8gZGUgSmFuZWlybywgQnJhemlsOyBtR2VybWFuIENoaWxk
aG9vZCBDYW5jZXIgUmVnaXN0cnksIEluc3RpdHV0ZSBmb3IgTWVkaWNhbCBCaW9zdGF0aXN0aWNz
LCBFcGlkZW1pb2xvZ3kgYW5kIEluZm9ybWF0aWNzLCBVbml2ZXJzaXR5IE1lZGljYWwgQ2VudHJl
LCBKb2hhbm5lcyBHdXRlbmJlcmcgVW5pdmVyc2l0eSBNYWlueiwgTWFpbnosIEdlcm1hbnk7IG5M
dW5lbmZlbGQtVGFuZW5iYXVtIFJlc2VhcmNoIEluc3RpdHV0ZSBvZiBNb3VudCBTaW5haSBIb3Nw
aXRhbCwgVG9yb250bywgT250YXJpbywgQ2FuYWRhOyBhbmQgb0RlcGFydG1lbnQgb2YgRXBpZGVt
aW9sb2d5LCBCaW9zdGF0aXN0aWNzLCBhbmQgT2NjdXBhdGlvbmFsIEhlYWx0aCwgRmFjdWx0eSBv
ZiBNZWRpY2luZSwgTWNHaWxsIFVuaXZlcnNpdHksIE1vbnRyZWFsLCBQcm92aW5jZSBvZiBRdWVi
ZWMsIENhbmFkYS48L2F1dGgtYWRkcmVzcz48dGl0bGVzPjx0aXRsZT5NYXRlcm5hbCBzdXBwbGVt
ZW50YXRpb24gd2l0aCBmb2xpYyBhY2lkIGFuZCBvdGhlciB2aXRhbWlucyBhbmQgcmlzayBvZiBs
ZXVrZW1pYSBpbiBvZmZzcHJpbmc6IGEgQ2hpbGRob29kIExldWtlbWlhIEludGVybmF0aW9uYWwg
Q29uc29ydGl1bSBzdHVkeTwvdGl0bGU+PHNlY29uZGFyeS10aXRsZT5FcGlkZW1pb2xvZ3k8L3Nl
Y29uZGFyeS10aXRsZT48L3RpdGxlcz48cGVyaW9kaWNhbD48ZnVsbC10aXRsZT5FcGlkZW1pb2xv
Z3k8L2Z1bGwtdGl0bGU+PC9wZXJpb2RpY2FsPjxwYWdlcz44MTEtMjI8L3BhZ2VzPjx2b2x1bWU+
MjU8L3ZvbHVtZT48bnVtYmVyPjY8L251bWJlcj48ZWRpdGlvbj4yMDE0LzA5LzExPC9lZGl0aW9u
PjxrZXl3b3Jkcz48a2V5d29yZD5BZG9sZXNjZW50PC9rZXl3b3JkPjxrZXl3b3JkPkNhc2UtQ29u
dHJvbCBTdHVkaWVzPC9rZXl3b3JkPjxrZXl3b3JkPkNoaWxkPC9rZXl3b3JkPjxrZXl3b3JkPkNo
aWxkLCBQcmVzY2hvb2w8L2tleXdvcmQ+PGtleXdvcmQ+RGlldGFyeSBTdXBwbGVtZW50czwva2V5
d29yZD48a2V5d29yZD5GZW1hbGU8L2tleXdvcmQ+PGtleXdvcmQ+Rm9saWMgQWNpZC8qYWRtaW5p
c3RyYXRpb24gJmFtcDsgZG9zYWdlPC9rZXl3b3JkPjxrZXl3b3JkPkh1bWFuczwva2V5d29yZD48
a2V5d29yZD5JbmZhbnQ8L2tleXdvcmQ+PGtleXdvcmQ+SW5mYW50LCBOZXdib3JuPC9rZXl3b3Jk
PjxrZXl3b3JkPkxldWtlbWlhLCBNeWVsb2lkLCBBY3V0ZS8qZXBpZGVtaW9sb2d5LypwcmV2ZW50
aW9uICZhbXA7IGNvbnRyb2w8L2tleXdvcmQ+PGtleXdvcmQ+TWFsZTwva2V5d29yZD48a2V5d29y
ZD5NYXRlcm5hbC1GZXRhbCBFeGNoYW5nZTwva2V5d29yZD48a2V5d29yZD5QcmVjdXJzb3IgQ2Vs
bCBMeW1waG9ibGFzdGljIExldWtlbWlhLUx5bXBob21hLyplcGlkZW1pb2xvZ3kvKnByZXZlbnRp
b24gJmFtcDs8L2tleXdvcmQ+PGtleXdvcmQ+Y29udHJvbDwva2V5d29yZD48a2V5d29yZD5QcmVn
bmFuY3k8L2tleXdvcmQ+PGtleXdvcmQ+Umlzazwva2V5d29yZD48a2V5d29yZD5SaXNrIEZhY3Rv
cnM8L2tleXdvcmQ+PGtleXdvcmQ+Vml0YW1pbnMvKmFkbWluaXN0cmF0aW9uICZhbXA7IGRvc2Fn
ZTwva2V5d29yZD48L2tleXdvcmRzPjxkYXRlcz48eWVhcj4yMDE0PC95ZWFyPjxwdWItZGF0ZXM+
PGRhdGU+Tm92PC9kYXRlPjwvcHViLWRhdGVzPjwvZGF0ZXM+PGlzYm4+MTUzMS01NDg3IChFbGVj
dHJvbmljKSYjeEQ7MTA0NC0zOTgzIChMaW5raW5nKTwvaXNibj48YWNjZXNzaW9uLW51bT4yNTIw
Nzk1NDwvYWNjZXNzaW9uLW51bT48dXJscz48cmVsYXRlZC11cmxzPjx1cmw+aHR0cHM6Ly93d3cu
bmNiaS5ubG0ubmloLmdvdi9wdWJtZWQvMjUyMDc5NTQ8L3VybD48L3JlbGF0ZWQtdXJscz48L3Vy
bHM+PGN1c3RvbTI+UE1DNTkwMzU2MzwvY3VzdG9tMj48ZWxlY3Ryb25pYy1yZXNvdXJjZS1udW0+
MTAuMTA5Ny9FREUuMDAwMDAwMDAwMDAwMDE0MTwvZWxlY3Ryb25pYy1yZXNvdXJjZS1udW0+PC9y
ZWNvcmQ+PC9DaXRlPjwvRW5kTm90ZT5=
</w:fldData>
        </w:fldChar>
      </w:r>
      <w:r w:rsidR="002747EA">
        <w:instrText xml:space="preserve"> ADDIN EN.CITE </w:instrText>
      </w:r>
      <w:r w:rsidR="002747EA">
        <w:fldChar w:fldCharType="begin">
          <w:fldData xml:space="preserve">PEVuZE5vdGU+PENpdGU+PEF1dGhvcj5NZXRheWVyPC9BdXRob3I+PFllYXI+MjAxNDwvWWVhcj48
UmVjTnVtPjE2MTU8L1JlY051bT48RGlzcGxheVRleHQ+PHN0eWxlIGZhY2U9InN1cGVyc2NyaXB0
IiBmb250PSJUcmVidWNoZXQgTVMiIHNpemU9IjkiPjEyMDwvc3R5bGU+PC9EaXNwbGF5VGV4dD48
cmVjb3JkPjxyZWMtbnVtYmVyPjE2MTU8L3JlYy1udW1iZXI+PGZvcmVpZ24ta2V5cz48a2V5IGFw
cD0iRU4iIGRiLWlkPSJleHZhc3JmeDJkdHJhb2VzYXN4cDJzenN4YTJkZjUwMjU5MngiIHRpbWVz
dGFtcD0iMTU3NjcyMzY1OCI+MTYxNTwva2V5PjwvZm9yZWlnbi1rZXlzPjxyZWYtdHlwZSBuYW1l
PSJKb3VybmFsIEFydGljbGUiPjE3PC9yZWYtdHlwZT48Y29udHJpYnV0b3JzPjxhdXRob3JzPjxh
dXRob3I+TWV0YXllciwgQy48L2F1dGhvcj48YXV0aG9yPk1pbG5lLCBFLjwvYXV0aG9yPjxhdXRo
b3I+RG9ja2VydHksIEouIEQuPC9hdXRob3I+PGF1dGhvcj5DbGF2ZWwsIEouPC9hdXRob3I+PGF1
dGhvcj5Qb21iby1kZS1PbGl2ZWlyYSwgTS4gUy48L2F1dGhvcj48YXV0aG9yPldlc3NlbGluZywg
Qy48L2F1dGhvcj48YXV0aG9yPlNwZWN0b3IsIEwuIEcuPC9hdXRob3I+PGF1dGhvcj5TY2h1eiwg
Si48L2F1dGhvcj48YXV0aG9yPlBldHJpZG91LCBFLjwvYXV0aG9yPjxhdXRob3I+RXp6YXQsIFMu
PC9hdXRob3I+PGF1dGhvcj5Bcm1zdHJvbmcsIEIuIEsuPC9hdXRob3I+PGF1dGhvcj5SdWRhbnQs
IEouPC9hdXRob3I+PGF1dGhvcj5Lb2lmbWFuLCBTLjwvYXV0aG9yPjxhdXRob3I+S2FhdHNjaCwg
UC48L2F1dGhvcj48YXV0aG9yPk1vc2Nob3ZpLCBNLjwvYXV0aG9yPjxhdXRob3I+UmFzaGVkLCBX
LiBNLjwvYXV0aG9yPjxhdXRob3I+U2VsdmluLCBTLjwvYXV0aG9yPjxhdXRob3I+TWNDYXVsZXks
IEsuPC9hdXRob3I+PGF1dGhvcj5IdW5nLCBSLiBKLjwvYXV0aG9yPjxhdXRob3I+S2FuZywgQS4g
WS48L2F1dGhvcj48YXV0aG9yPkluZmFudGUtUml2YXJkLCBDLjwvYXV0aG9yPjwvYXV0aG9ycz48
L2NvbnRyaWJ1dG9ycz48YXV0aC1hZGRyZXNzPkZyb20gdGhlIGFVbml2ZXJzaXR5IG9mIENhbGlm
b3JuaWEsIFNjaG9vbCBvZiBQdWJsaWMgSGVhbHRoLCBCZXJrZWxleSwgQ0E7IGJUZWxldGhvbiBJ
bnN0aXR1dGUgZm9yIENoaWxkIEhlYWx0aCBSZXNlYXJjaCwgQ2VudHJlIGZvciBDaGlsZCBIZWFs
dGggUmVzZWFyY2gsIFVuaXZlcnNpdHkgb2YgV2VzdGVybiBBdXN0cmFsaWEsIFdlc3QgUGVydGgs
IFdlc3Rlcm4gQXVzdHJhbGlhOyBjRGVhbiZhcG9zO3MgRGVwYXJ0bWVudCBhbmQgRGVwYXJ0bWVu
dCBvZiBQcmV2ZW50aXZlIGFuZCBTb2NpYWwgTWVkaWNpbmUsIER1bmVkaW4gU2Nob29sIG9mIE1l
ZGljaW5lLCBVbml2ZXJzaXR5IG9mIE90YWdvLCBEdW5lZGluLCBOZXcgWmVhbGFuZDsgZEluc2Vy
bSwgQ0VTUCBDZW50cmUgZm9yIFJlc2VhcmNoIGluIEVwaWRlbWlvbG9neSBhbmQgUG9wdWxhdGlv
biBIZWFsdGgsIEVudmlyb25tZW50YWwgRXBpZGVtaW9sb2d5IG9mIENhbmNlciBUZWFtLCBVbml2
ZXJzaXRlIFBhcmlzLVN1ZCwgVmlsbGVqdWlmLCBGcmFuY2U7IGVQZWRpYXRyaWMgSGVtYXRvbG9n
eS1PbmNvbG9neSBQcm9ncmFtLCBSZXNlYXJjaCBQcm9ncmFtLCBJbnN0aXR1dG8gTmFjaW9uYWwg
ZGUgQ2FuY2VyLCBSaW8gZGUgSmFuZWlybywgQnJhemlsOyBmSW5zdGl0dXRvIFJlZ2lvbmFsIGRl
IEVzdHVkaW9zIGVuIFN1c3RhbmNpYXMgVG94aWNhcyAoSVJFVCksIFVuaXZlcnNpZGFkIE5hY2lv
bmFsLCBIZXJlZGlhLCBDb3N0YSBSaWNhOyBnRGl2aXNpb24gb2YgRXBpZGVtaW9sb2d5IENsaW5p
Y2FsIFJlc2VhcmNoLCBEZXBhcnRtZW50IG9mIFBlZGlhdHJpY3MgYW5kIE1hc29uaWMgQ2FuY2Vy
IENlbnRlciwgVW5pdmVyc2l0eSBvZiBNaW5uZXNvdGEsIE1pbm5lYXBvbGlzLCBNTjsgaEludGVy
bmF0aW9uYWwgQWdlbmN5IGZvciBSZXNlYXJjaCBvbiBDYW5jZXIsIFNlY3Rpb24gb2YgRW52aXJv
bm1lbnQgYW5kIFJhZGlhdGlvbiwgTHlvbiwgRnJhbmNlOyBpRGVwYXJ0bWVudCBvZiBIeWdpZW5l
LCBFcGlkZW1pb2xvZ3ksIGFuZCBNZWRpY2FsIFN0YXRpc3RpY3MsIE1lZGljYWwgU2Nob29sLCBO
YXRpb25hbCBhbmQgS2Fwb2Rpc3RyaWFuIFVuaXZlcnNpdHkgb2YgQXRoZW5zLCBBdGhlbnMsIEdy
ZWVjZTsgalJlc2VhcmNoIERlcGFydG1lbnQsIENoaWxkcmVuJmFwb3M7cyBDYW5jZXIgSG9zcGl0
YWwsIENhaXJvLCBFZ3lwdDsga1N5ZG5leSBTY2hvb2wgb2YgUHVibGljIEhlYWx0aCwgVW5pdmVy
c2l0eSBvZiBTeWRuZXksIE5ldyBTb3V0aCBXYWxlcywgQXVzdHJhbGlhOyBsTmF0aW9uYWwgU2No
b29sIG9mIFB1YmxpYyBIZWFsdGgsIE9zd2FsZG8gQ3J1eiBGb3VuZGF0aW9uIChGSU9DUlVaKSwg
TWluaXN0cnkgb2YgSGVhbHRoLCBSaW8gZGUgSmFuZWlybywgQnJhemlsOyBtR2VybWFuIENoaWxk
aG9vZCBDYW5jZXIgUmVnaXN0cnksIEluc3RpdHV0ZSBmb3IgTWVkaWNhbCBCaW9zdGF0aXN0aWNz
LCBFcGlkZW1pb2xvZ3kgYW5kIEluZm9ybWF0aWNzLCBVbml2ZXJzaXR5IE1lZGljYWwgQ2VudHJl
LCBKb2hhbm5lcyBHdXRlbmJlcmcgVW5pdmVyc2l0eSBNYWlueiwgTWFpbnosIEdlcm1hbnk7IG5M
dW5lbmZlbGQtVGFuZW5iYXVtIFJlc2VhcmNoIEluc3RpdHV0ZSBvZiBNb3VudCBTaW5haSBIb3Nw
aXRhbCwgVG9yb250bywgT250YXJpbywgQ2FuYWRhOyBhbmQgb0RlcGFydG1lbnQgb2YgRXBpZGVt
aW9sb2d5LCBCaW9zdGF0aXN0aWNzLCBhbmQgT2NjdXBhdGlvbmFsIEhlYWx0aCwgRmFjdWx0eSBv
ZiBNZWRpY2luZSwgTWNHaWxsIFVuaXZlcnNpdHksIE1vbnRyZWFsLCBQcm92aW5jZSBvZiBRdWVi
ZWMsIENhbmFkYS48L2F1dGgtYWRkcmVzcz48dGl0bGVzPjx0aXRsZT5NYXRlcm5hbCBzdXBwbGVt
ZW50YXRpb24gd2l0aCBmb2xpYyBhY2lkIGFuZCBvdGhlciB2aXRhbWlucyBhbmQgcmlzayBvZiBs
ZXVrZW1pYSBpbiBvZmZzcHJpbmc6IGEgQ2hpbGRob29kIExldWtlbWlhIEludGVybmF0aW9uYWwg
Q29uc29ydGl1bSBzdHVkeTwvdGl0bGU+PHNlY29uZGFyeS10aXRsZT5FcGlkZW1pb2xvZ3k8L3Nl
Y29uZGFyeS10aXRsZT48L3RpdGxlcz48cGVyaW9kaWNhbD48ZnVsbC10aXRsZT5FcGlkZW1pb2xv
Z3k8L2Z1bGwtdGl0bGU+PC9wZXJpb2RpY2FsPjxwYWdlcz44MTEtMjI8L3BhZ2VzPjx2b2x1bWU+
MjU8L3ZvbHVtZT48bnVtYmVyPjY8L251bWJlcj48ZWRpdGlvbj4yMDE0LzA5LzExPC9lZGl0aW9u
PjxrZXl3b3Jkcz48a2V5d29yZD5BZG9sZXNjZW50PC9rZXl3b3JkPjxrZXl3b3JkPkNhc2UtQ29u
dHJvbCBTdHVkaWVzPC9rZXl3b3JkPjxrZXl3b3JkPkNoaWxkPC9rZXl3b3JkPjxrZXl3b3JkPkNo
aWxkLCBQcmVzY2hvb2w8L2tleXdvcmQ+PGtleXdvcmQ+RGlldGFyeSBTdXBwbGVtZW50czwva2V5
d29yZD48a2V5d29yZD5GZW1hbGU8L2tleXdvcmQ+PGtleXdvcmQ+Rm9saWMgQWNpZC8qYWRtaW5p
c3RyYXRpb24gJmFtcDsgZG9zYWdlPC9rZXl3b3JkPjxrZXl3b3JkPkh1bWFuczwva2V5d29yZD48
a2V5d29yZD5JbmZhbnQ8L2tleXdvcmQ+PGtleXdvcmQ+SW5mYW50LCBOZXdib3JuPC9rZXl3b3Jk
PjxrZXl3b3JkPkxldWtlbWlhLCBNeWVsb2lkLCBBY3V0ZS8qZXBpZGVtaW9sb2d5LypwcmV2ZW50
aW9uICZhbXA7IGNvbnRyb2w8L2tleXdvcmQ+PGtleXdvcmQ+TWFsZTwva2V5d29yZD48a2V5d29y
ZD5NYXRlcm5hbC1GZXRhbCBFeGNoYW5nZTwva2V5d29yZD48a2V5d29yZD5QcmVjdXJzb3IgQ2Vs
bCBMeW1waG9ibGFzdGljIExldWtlbWlhLUx5bXBob21hLyplcGlkZW1pb2xvZ3kvKnByZXZlbnRp
b24gJmFtcDs8L2tleXdvcmQ+PGtleXdvcmQ+Y29udHJvbDwva2V5d29yZD48a2V5d29yZD5QcmVn
bmFuY3k8L2tleXdvcmQ+PGtleXdvcmQ+Umlzazwva2V5d29yZD48a2V5d29yZD5SaXNrIEZhY3Rv
cnM8L2tleXdvcmQ+PGtleXdvcmQ+Vml0YW1pbnMvKmFkbWluaXN0cmF0aW9uICZhbXA7IGRvc2Fn
ZTwva2V5d29yZD48L2tleXdvcmRzPjxkYXRlcz48eWVhcj4yMDE0PC95ZWFyPjxwdWItZGF0ZXM+
PGRhdGU+Tm92PC9kYXRlPjwvcHViLWRhdGVzPjwvZGF0ZXM+PGlzYm4+MTUzMS01NDg3IChFbGVj
dHJvbmljKSYjeEQ7MTA0NC0zOTgzIChMaW5raW5nKTwvaXNibj48YWNjZXNzaW9uLW51bT4yNTIw
Nzk1NDwvYWNjZXNzaW9uLW51bT48dXJscz48cmVsYXRlZC11cmxzPjx1cmw+aHR0cHM6Ly93d3cu
bmNiaS5ubG0ubmloLmdvdi9wdWJtZWQvMjUyMDc5NTQ8L3VybD48L3JlbGF0ZWQtdXJscz48L3Vy
bHM+PGN1c3RvbTI+UE1DNTkwMzU2MzwvY3VzdG9tMj48ZWxlY3Ryb25pYy1yZXNvdXJjZS1udW0+
MTAuMTA5Ny9FREUuMDAwMDAwMDAwMDAwMDE0MTwvZWxlY3Ryb25pYy1yZXNvdXJjZS1udW0+PC9y
ZWNvcmQ+PC9DaXRlPjwvRW5kTm90ZT5=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120</w:t>
      </w:r>
      <w:r w:rsidR="00201490">
        <w:fldChar w:fldCharType="end"/>
      </w:r>
      <w:r w:rsidR="008D209D">
        <w:t xml:space="preserve"> and the other finding no clear difference (</w:t>
      </w:r>
      <w:r w:rsidR="008D209D" w:rsidRPr="00F615F8">
        <w:rPr>
          <w:sz w:val="16"/>
          <w:szCs w:val="16"/>
        </w:rPr>
        <w:t>RR 0.87; 95%CI 0.57 to 1.34</w:t>
      </w:r>
      <w:r w:rsidR="008D209D">
        <w:t>).</w:t>
      </w:r>
      <w:r w:rsidR="008D209D">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 </w:instrText>
      </w:r>
      <w:r w:rsidR="002747EA">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EN.CITE.DATA </w:instrText>
      </w:r>
      <w:r w:rsidR="002747EA">
        <w:fldChar w:fldCharType="end"/>
      </w:r>
      <w:r w:rsidR="008D209D">
        <w:fldChar w:fldCharType="separate"/>
      </w:r>
      <w:r w:rsidR="002747EA" w:rsidRPr="002747EA">
        <w:rPr>
          <w:noProof/>
          <w:vertAlign w:val="superscript"/>
        </w:rPr>
        <w:t>75</w:t>
      </w:r>
      <w:r w:rsidR="008D209D">
        <w:fldChar w:fldCharType="end"/>
      </w:r>
      <w:r w:rsidR="008D209D">
        <w:t xml:space="preserve"> </w:t>
      </w:r>
    </w:p>
    <w:p w14:paraId="381D90D9" w14:textId="77777777" w:rsidR="00C510DB" w:rsidRPr="00677230" w:rsidRDefault="00C510DB" w:rsidP="00C510DB">
      <w:pPr>
        <w:pStyle w:val="Heading4"/>
      </w:pPr>
      <w:r>
        <w:t>Vitamin B</w:t>
      </w:r>
      <w:r w:rsidRPr="00D645E9">
        <w:rPr>
          <w:vertAlign w:val="subscript"/>
        </w:rPr>
        <w:t>6</w:t>
      </w:r>
    </w:p>
    <w:p w14:paraId="614AB2CA" w14:textId="77777777" w:rsidR="00C510DB" w:rsidRDefault="00C510DB" w:rsidP="00C510DB">
      <w:pPr>
        <w:pStyle w:val="Heading5"/>
      </w:pPr>
      <w:r>
        <w:t>Background</w:t>
      </w:r>
    </w:p>
    <w:p w14:paraId="71BB8036" w14:textId="4537A5B3" w:rsidR="00F53712" w:rsidRPr="00F53712" w:rsidRDefault="00F53712" w:rsidP="00F53712">
      <w:r w:rsidRPr="00F53712">
        <w:t>Vitamin B</w:t>
      </w:r>
      <w:r w:rsidRPr="004E7AEC">
        <w:rPr>
          <w:vertAlign w:val="subscript"/>
        </w:rPr>
        <w:t>6</w:t>
      </w:r>
      <w:r w:rsidRPr="00F53712">
        <w:t xml:space="preserve"> plays vital roles in numerous metabolic processes in the human body, such as nervous system development and functioning.</w:t>
      </w:r>
      <w:r>
        <w:t xml:space="preserve"> </w:t>
      </w:r>
      <w:r w:rsidRPr="00F53712">
        <w:t>It has been associated with some benefits in non-randomised studies, such as higher Apgar scores, higher birthweights, and reduced</w:t>
      </w:r>
      <w:r>
        <w:t xml:space="preserve"> </w:t>
      </w:r>
      <w:r w:rsidRPr="00F53712">
        <w:t>incidence of p</w:t>
      </w:r>
      <w:r>
        <w:t>re-eclampsia and preterm birth.</w:t>
      </w:r>
      <w:r w:rsidR="00201490">
        <w:fldChar w:fldCharType="begin"/>
      </w:r>
      <w:r w:rsidR="002747EA">
        <w:instrText xml:space="preserve"> ADDIN EN.CITE &lt;EndNote&gt;&lt;Cite&gt;&lt;Author&gt;Salam&lt;/Author&gt;&lt;Year&gt;2015&lt;/Year&gt;&lt;RecNum&gt;1602&lt;/RecNum&gt;&lt;DisplayText&gt;&lt;style face="superscript" font="Trebuchet MS" size="9"&gt;140&lt;/style&gt;&lt;/DisplayText&gt;&lt;record&gt;&lt;rec-number&gt;1602&lt;/rec-number&gt;&lt;foreign-keys&gt;&lt;key app="EN" db-id="exvasrfx2dtraoesasxp2szsxa2df502592x" timestamp="1576555048"&gt;1602&lt;/key&gt;&lt;key app="ENWeb" db-id=""&gt;0&lt;/key&gt;&lt;/foreign-keys&gt;&lt;ref-type name="Journal Article"&gt;17&lt;/ref-type&gt;&lt;contributors&gt;&lt;authors&gt;&lt;author&gt;Salam, R. A.&lt;/author&gt;&lt;author&gt;Zuberi, N. F.&lt;/author&gt;&lt;author&gt;Bhutta, Z. A.&lt;/author&gt;&lt;/authors&gt;&lt;/contributors&gt;&lt;auth-address&gt;Division of Women and Child Health, Aga Khan University Hospital, Stadium Road, PO Box 3500, Karachi, Sind, Pakistan, 74800.&lt;/auth-address&gt;&lt;titles&gt;&lt;title&gt;Pyridoxine (vitamin B6) supplementation during pregnancy or labour for maternal and neonatal outcomes&lt;/title&gt;&lt;secondary-title&gt;Cochrane Database Syst Rev&lt;/secondary-title&gt;&lt;/titles&gt;&lt;periodical&gt;&lt;full-title&gt;Cochrane Database Syst Rev&lt;/full-title&gt;&lt;/periodical&gt;&lt;pages&gt;CD000179&lt;/pages&gt;&lt;number&gt;6&lt;/number&gt;&lt;edition&gt;2015/06/04&lt;/edition&gt;&lt;keywords&gt;&lt;keyword&gt;Birth Weight&lt;/keyword&gt;&lt;keyword&gt;Dental Caries/prevention &amp;amp; control&lt;/keyword&gt;&lt;keyword&gt;*Dietary Supplements&lt;/keyword&gt;&lt;keyword&gt;Eclampsia/prevention &amp;amp; control&lt;/keyword&gt;&lt;keyword&gt;Female&lt;/keyword&gt;&lt;keyword&gt;Humans&lt;/keyword&gt;&lt;keyword&gt;Infant, Newborn&lt;/keyword&gt;&lt;keyword&gt;Labor, Obstetric&lt;/keyword&gt;&lt;keyword&gt;Pre-Eclampsia/prevention &amp;amp; control&lt;/keyword&gt;&lt;keyword&gt;*Pregnancy&lt;/keyword&gt;&lt;keyword&gt;Pregnancy Outcome&lt;/keyword&gt;&lt;keyword&gt;Pyridoxine/*administration &amp;amp; dosage&lt;/keyword&gt;&lt;keyword&gt;Randomized Controlled Trials as Topic&lt;/keyword&gt;&lt;keyword&gt;Vitamin B Complex/*administration &amp;amp; dosage&lt;/keyword&gt;&lt;/keywords&gt;&lt;dates&gt;&lt;year&gt;2015&lt;/year&gt;&lt;pub-dates&gt;&lt;date&gt;Jun 3&lt;/date&gt;&lt;/pub-dates&gt;&lt;/dates&gt;&lt;isbn&gt;1469-493X (Electronic)&amp;#xD;1361-6137 (Linking)&lt;/isbn&gt;&lt;accession-num&gt;26039815&lt;/accession-num&gt;&lt;urls&gt;&lt;related-urls&gt;&lt;url&gt;https://www.ncbi.nlm.nih.gov/pubmed/26039815&lt;/url&gt;&lt;/related-urls&gt;&lt;/urls&gt;&lt;electronic-resource-num&gt;10.1002/14651858.CD000179.pub3&lt;/electronic-resource-num&gt;&lt;/record&gt;&lt;/Cite&gt;&lt;/EndNote&gt;</w:instrText>
      </w:r>
      <w:r w:rsidR="00201490">
        <w:fldChar w:fldCharType="separate"/>
      </w:r>
      <w:r w:rsidR="002747EA" w:rsidRPr="002747EA">
        <w:rPr>
          <w:noProof/>
          <w:vertAlign w:val="superscript"/>
        </w:rPr>
        <w:t>140</w:t>
      </w:r>
      <w:r w:rsidR="00201490">
        <w:fldChar w:fldCharType="end"/>
      </w:r>
    </w:p>
    <w:p w14:paraId="09B9E70C" w14:textId="77777777" w:rsidR="00C510DB" w:rsidRDefault="00C510DB" w:rsidP="00C510DB">
      <w:pPr>
        <w:pStyle w:val="Heading5"/>
      </w:pPr>
      <w:r>
        <w:t>Current review</w:t>
      </w:r>
    </w:p>
    <w:p w14:paraId="5C0D0DE8" w14:textId="54DDC766" w:rsidR="0009796C" w:rsidRDefault="00F53712" w:rsidP="0009796C">
      <w:r>
        <w:t xml:space="preserve">This review identified </w:t>
      </w:r>
      <w:r w:rsidR="004E7AEC">
        <w:t>two systematic reviews. One review found a clear improvement in nausea score when vitamin B</w:t>
      </w:r>
      <w:r w:rsidR="004E7AEC" w:rsidRPr="004E7AEC">
        <w:rPr>
          <w:vertAlign w:val="subscript"/>
        </w:rPr>
        <w:t>6</w:t>
      </w:r>
      <w:r w:rsidR="004E7AEC">
        <w:t xml:space="preserve"> was compared to placebo (</w:t>
      </w:r>
      <w:r w:rsidR="004E7AEC" w:rsidRPr="004E7AEC">
        <w:rPr>
          <w:sz w:val="16"/>
          <w:szCs w:val="16"/>
        </w:rPr>
        <w:t xml:space="preserve">MD -3.7; 95%CI -6.9 to -0.5; very low </w:t>
      </w:r>
      <w:r w:rsidR="00836F2D">
        <w:rPr>
          <w:sz w:val="16"/>
          <w:szCs w:val="16"/>
        </w:rPr>
        <w:t>certainty</w:t>
      </w:r>
      <w:r w:rsidR="004E7AEC">
        <w:t>).</w:t>
      </w:r>
      <w:r w:rsidR="00774750">
        <w:fldChar w:fldCharType="begin"/>
      </w:r>
      <w:r w:rsidR="002747EA">
        <w:instrText xml:space="preserve"> ADDIN EN.CITE &lt;EndNote&gt;&lt;Cite&gt;&lt;Author&gt;Sridharan&lt;/Author&gt;&lt;Year&gt;2018&lt;/Year&gt;&lt;RecNum&gt;1577&lt;/RecNum&gt;&lt;DisplayText&gt;&lt;style face="superscript" font="Trebuchet MS" size="9"&gt;141&lt;/style&gt;&lt;/DisplayText&gt;&lt;record&gt;&lt;rec-number&gt;1577&lt;/rec-number&gt;&lt;foreign-keys&gt;&lt;key app="EN" db-id="exvasrfx2dtraoesasxp2szsxa2df502592x" timestamp="1576536337"&gt;1577&lt;/key&gt;&lt;key app="ENWeb" db-id=""&gt;0&lt;/key&gt;&lt;/foreign-keys&gt;&lt;ref-type name="Journal Article"&gt;17&lt;/ref-type&gt;&lt;contributors&gt;&lt;authors&gt;&lt;author&gt;Sridharan, Kannan&lt;/author&gt;&lt;author&gt;Sivaramakrishnan, Gowri&lt;/author&gt;&lt;/authors&gt;&lt;/contributors&gt;&lt;titles&gt;&lt;title&gt;Interventions for treating nausea and vomiting in pregnancy: a network meta-analysis and trial sequential analysis of randomized clinical trials&lt;/title&gt;&lt;secondary-title&gt;Expert Review of Clinical Pharmacology&lt;/secondary-title&gt;&lt;/titles&gt;&lt;periodical&gt;&lt;full-title&gt;Expert Review of Clinical Pharmacology&lt;/full-title&gt;&lt;/periodical&gt;&lt;pages&gt;1143-1150&lt;/pages&gt;&lt;volume&gt;11&lt;/volume&gt;&lt;number&gt;11&lt;/number&gt;&lt;section&gt;1143&lt;/section&gt;&lt;dates&gt;&lt;year&gt;2018&lt;/year&gt;&lt;/dates&gt;&lt;isbn&gt;1751-2433&amp;#xD;1751-2441&lt;/isbn&gt;&lt;urls&gt;&lt;/urls&gt;&lt;electronic-resource-num&gt;10.1080/17512433.2018.1530108&lt;/electronic-resource-num&gt;&lt;/record&gt;&lt;/Cite&gt;&lt;/EndNote&gt;</w:instrText>
      </w:r>
      <w:r w:rsidR="00774750">
        <w:fldChar w:fldCharType="separate"/>
      </w:r>
      <w:r w:rsidR="002747EA" w:rsidRPr="002747EA">
        <w:rPr>
          <w:noProof/>
          <w:vertAlign w:val="superscript"/>
        </w:rPr>
        <w:t>141</w:t>
      </w:r>
      <w:r w:rsidR="00774750">
        <w:fldChar w:fldCharType="end"/>
      </w:r>
      <w:r w:rsidR="004E7AEC">
        <w:t xml:space="preserve"> A</w:t>
      </w:r>
      <w:r w:rsidR="0009796C">
        <w:t xml:space="preserve"> Cochrane review</w:t>
      </w:r>
      <w:r w:rsidR="00201490">
        <w:fldChar w:fldCharType="begin"/>
      </w:r>
      <w:r w:rsidR="002747EA">
        <w:instrText xml:space="preserve"> ADDIN EN.CITE &lt;EndNote&gt;&lt;Cite&gt;&lt;Author&gt;Salam&lt;/Author&gt;&lt;Year&gt;2015&lt;/Year&gt;&lt;RecNum&gt;1602&lt;/RecNum&gt;&lt;DisplayText&gt;&lt;style face="superscript" font="Trebuchet MS" size="9"&gt;140&lt;/style&gt;&lt;/DisplayText&gt;&lt;record&gt;&lt;rec-number&gt;1602&lt;/rec-number&gt;&lt;foreign-keys&gt;&lt;key app="EN" db-id="exvasrfx2dtraoesasxp2szsxa2df502592x" timestamp="1576555048"&gt;1602&lt;/key&gt;&lt;key app="ENWeb" db-id=""&gt;0&lt;/key&gt;&lt;/foreign-keys&gt;&lt;ref-type name="Journal Article"&gt;17&lt;/ref-type&gt;&lt;contributors&gt;&lt;authors&gt;&lt;author&gt;Salam, R. A.&lt;/author&gt;&lt;author&gt;Zuberi, N. F.&lt;/author&gt;&lt;author&gt;Bhutta, Z. A.&lt;/author&gt;&lt;/authors&gt;&lt;/contributors&gt;&lt;auth-address&gt;Division of Women and Child Health, Aga Khan University Hospital, Stadium Road, PO Box 3500, Karachi, Sind, Pakistan, 74800.&lt;/auth-address&gt;&lt;titles&gt;&lt;title&gt;Pyridoxine (vitamin B6) supplementation during pregnancy or labour for maternal and neonatal outcomes&lt;/title&gt;&lt;secondary-title&gt;Cochrane Database Syst Rev&lt;/secondary-title&gt;&lt;/titles&gt;&lt;periodical&gt;&lt;full-title&gt;Cochrane Database Syst Rev&lt;/full-title&gt;&lt;/periodical&gt;&lt;pages&gt;CD000179&lt;/pages&gt;&lt;number&gt;6&lt;/number&gt;&lt;edition&gt;2015/06/04&lt;/edition&gt;&lt;keywords&gt;&lt;keyword&gt;Birth Weight&lt;/keyword&gt;&lt;keyword&gt;Dental Caries/prevention &amp;amp; control&lt;/keyword&gt;&lt;keyword&gt;*Dietary Supplements&lt;/keyword&gt;&lt;keyword&gt;Eclampsia/prevention &amp;amp; control&lt;/keyword&gt;&lt;keyword&gt;Female&lt;/keyword&gt;&lt;keyword&gt;Humans&lt;/keyword&gt;&lt;keyword&gt;Infant, Newborn&lt;/keyword&gt;&lt;keyword&gt;Labor, Obstetric&lt;/keyword&gt;&lt;keyword&gt;Pre-Eclampsia/prevention &amp;amp; control&lt;/keyword&gt;&lt;keyword&gt;*Pregnancy&lt;/keyword&gt;&lt;keyword&gt;Pregnancy Outcome&lt;/keyword&gt;&lt;keyword&gt;Pyridoxine/*administration &amp;amp; dosage&lt;/keyword&gt;&lt;keyword&gt;Randomized Controlled Trials as Topic&lt;/keyword&gt;&lt;keyword&gt;Vitamin B Complex/*administration &amp;amp; dosage&lt;/keyword&gt;&lt;/keywords&gt;&lt;dates&gt;&lt;year&gt;2015&lt;/year&gt;&lt;pub-dates&gt;&lt;date&gt;Jun 3&lt;/date&gt;&lt;/pub-dates&gt;&lt;/dates&gt;&lt;isbn&gt;1469-493X (Electronic)&amp;#xD;1361-6137 (Linking)&lt;/isbn&gt;&lt;accession-num&gt;26039815&lt;/accession-num&gt;&lt;urls&gt;&lt;related-urls&gt;&lt;url&gt;https://www.ncbi.nlm.nih.gov/pubmed/26039815&lt;/url&gt;&lt;/related-urls&gt;&lt;/urls&gt;&lt;electronic-resource-num&gt;10.1002/14651858.CD000179.pub3&lt;/electronic-resource-num&gt;&lt;/record&gt;&lt;/Cite&gt;&lt;/EndNote&gt;</w:instrText>
      </w:r>
      <w:r w:rsidR="00201490">
        <w:fldChar w:fldCharType="separate"/>
      </w:r>
      <w:r w:rsidR="002747EA" w:rsidRPr="002747EA">
        <w:rPr>
          <w:noProof/>
          <w:vertAlign w:val="superscript"/>
        </w:rPr>
        <w:t>140</w:t>
      </w:r>
      <w:r w:rsidR="00201490">
        <w:fldChar w:fldCharType="end"/>
      </w:r>
      <w:r w:rsidR="0009796C">
        <w:t xml:space="preserve"> found that t</w:t>
      </w:r>
      <w:r w:rsidR="0009796C" w:rsidRPr="00C510DB">
        <w:t>here is not enough evidence to detect clinical benefits of vitamin B</w:t>
      </w:r>
      <w:r w:rsidR="0009796C" w:rsidRPr="0009796C">
        <w:rPr>
          <w:vertAlign w:val="subscript"/>
        </w:rPr>
        <w:t>6</w:t>
      </w:r>
      <w:r w:rsidR="0009796C" w:rsidRPr="00C510DB">
        <w:t xml:space="preserve"> supplementation in pregnancy and/or labour other than one trial suggesting protection against dental decay.</w:t>
      </w:r>
    </w:p>
    <w:p w14:paraId="654BA564" w14:textId="4358CB7E" w:rsidR="00677230" w:rsidRPr="00677230" w:rsidRDefault="00E71F85" w:rsidP="00677230">
      <w:pPr>
        <w:pStyle w:val="Heading4"/>
      </w:pPr>
      <w:r>
        <w:t>Vitamin B</w:t>
      </w:r>
      <w:r w:rsidRPr="000D4E73">
        <w:rPr>
          <w:vertAlign w:val="subscript"/>
        </w:rPr>
        <w:t>12</w:t>
      </w:r>
    </w:p>
    <w:p w14:paraId="4B400E5B" w14:textId="77777777" w:rsidR="00B23C1A" w:rsidRDefault="00B23C1A" w:rsidP="00B23C1A">
      <w:pPr>
        <w:pStyle w:val="Heading5"/>
      </w:pPr>
      <w:r>
        <w:t>Background</w:t>
      </w:r>
    </w:p>
    <w:p w14:paraId="61F12CDB" w14:textId="4A4E99C7" w:rsidR="004867CC" w:rsidRPr="00227C83" w:rsidRDefault="004867CC" w:rsidP="004867CC">
      <w:r>
        <w:t>Vitamin B</w:t>
      </w:r>
      <w:r w:rsidRPr="004867CC">
        <w:rPr>
          <w:vertAlign w:val="subscript"/>
        </w:rPr>
        <w:t>12</w:t>
      </w:r>
      <w:r w:rsidRPr="004867CC">
        <w:t xml:space="preserve"> deficiency </w:t>
      </w:r>
      <w:r>
        <w:t>in pregnancy</w:t>
      </w:r>
      <w:r w:rsidRPr="004867CC">
        <w:t xml:space="preserve"> is associated with adverse maternal and neonatal outcomes</w:t>
      </w:r>
      <w:r>
        <w:t>.</w:t>
      </w:r>
      <w:r w:rsidR="00201490">
        <w:fldChar w:fldCharType="begin">
          <w:fldData xml:space="preserve">PEVuZE5vdGU+PENpdGU+PEF1dGhvcj5GaW5rZWxzdGVpbjwvQXV0aG9yPjxZZWFyPjIwMTU8L1ll
YXI+PFJlY051bT4xNTk1PC9SZWNOdW0+PERpc3BsYXlUZXh0PjxzdHlsZSBmYWNlPSJzdXBlcnNj
cmlwdCIgZm9udD0iVHJlYnVjaGV0IE1TIiBzaXplPSI5Ij4xNDI8L3N0eWxlPjwvRGlzcGxheVRl
eHQ+PHJlY29yZD48cmVjLW51bWJlcj4xNTk1PC9yZWMtbnVtYmVyPjxmb3JlaWduLWtleXM+PGtl
eSBhcHA9IkVOIiBkYi1pZD0iZXh2YXNyZngyZHRyYW9lc2FzeHAyc3pzeGEyZGY1MDI1OTJ4IiB0
aW1lc3RhbXA9IjE1NzY1NTQ5OTIiPjE1OTU8L2tleT48a2V5IGFwcD0iRU5XZWIiIGRiLWlkPSIi
PjA8L2tleT48L2ZvcmVpZ24ta2V5cz48cmVmLXR5cGUgbmFtZT0iSm91cm5hbCBBcnRpY2xlIj4x
NzwvcmVmLXR5cGU+PGNvbnRyaWJ1dG9ycz48YXV0aG9ycz48YXV0aG9yPkZpbmtlbHN0ZWluLCBK
LiBMLjwvYXV0aG9yPjxhdXRob3I+TGF5ZGVuLCBBLiBKLjwvYXV0aG9yPjxhdXRob3I+U3RvdmVy
LCBQLiBKLjwvYXV0aG9yPjwvYXV0aG9ycz48L2NvbnRyaWJ1dG9ycz48YXV0aC1hZGRyZXNzPkRp
dmlzaW9uIG9mIE51dHJpdGlvbmFsIFNjaWVuY2VzLCBDb3JuZWxsIFVuaXZlcnNpdHksIEl0aGFj
YSwgTlk7IGFuZCBTdC4gSm9obiZhcG9zO3MgUmVzZWFyY2ggSW5zdGl0dXRlLCBTdC4gSm9obiZh
cG9zO3MgTmF0aW9uYWwgQWNhZGVteSBvZiBIZWFsdGggU2NpZW5jZXMsIEJhbmdhbG9yZSwgSW5k
aWEgamZpbmtlbHN0ZWluQGNvcm5lbGwuZWR1LiYjeEQ7RGl2aXNpb24gb2YgTnV0cml0aW9uYWwg
U2NpZW5jZXMsIENvcm5lbGwgVW5pdmVyc2l0eSwgSXRoYWNhLCBOWTsgYW5kLjwvYXV0aC1hZGRy
ZXNzPjx0aXRsZXM+PHRpdGxlPlZpdGFtaW4gQi0xMiBhbmQgUGVyaW5hdGFsIEhlYWx0aDwvdGl0
bGU+PHNlY29uZGFyeS10aXRsZT5BZHYgTnV0cjwvc2Vjb25kYXJ5LXRpdGxlPjwvdGl0bGVzPjxw
ZXJpb2RpY2FsPjxmdWxsLXRpdGxlPkFkdiBOdXRyPC9mdWxsLXRpdGxlPjwvcGVyaW9kaWNhbD48
cGFnZXM+NTUyLTYzPC9wYWdlcz48dm9sdW1lPjY8L3ZvbHVtZT48bnVtYmVyPjU8L251bWJlcj48
ZWRpdGlvbj4yMDE1LzA5LzE3PC9lZGl0aW9uPjxrZXl3b3Jkcz48a2V5d29yZD5CaW9tYXJrZXJz
L2Jsb29kPC9rZXl3b3JkPjxrZXl3b3JkPkRpZXRhcnkgU3VwcGxlbWVudHM8L2tleXdvcmQ+PGtl
eXdvcmQ+RmVtYWxlPC9rZXl3b3JkPjxrZXl3b3JkPkh1bWFuczwva2V5d29yZD48a2V5d29yZD4q
TWF0ZXJuYWwgTnV0cml0aW9uYWwgUGh5c2lvbG9naWNhbCBQaGVub21lbmE8L2tleXdvcmQ+PGtl
eXdvcmQ+T2JzZXJ2YXRpb25hbCBTdHVkaWVzIGFzIFRvcGljPC9rZXl3b3JkPjxrZXl3b3JkPlBl
cmluYXRhbCBDYXJlLyptZXRob2RzPC9rZXl3b3JkPjxrZXl3b3JkPlByZWduYW5jeTwva2V5d29y
ZD48a2V5d29yZD5QcmVnbmFuY3kgT3V0Y29tZTwva2V5d29yZD48a2V5d29yZD5WaXRhbWluIEIg
MTIvKmFkbWluaXN0cmF0aW9uICZhbXA7IGRvc2FnZS9ibG9vZDwva2V5d29yZD48a2V5d29yZD5W
aXRhbWluIEIgMTIgRGVmaWNpZW5jeS9ibG9vZC9kcnVnIHRoZXJhcHkvKmVwaWRlbWlvbG9neTwv
a2V5d29yZD48a2V5d29yZD5jaGlsZCBoZWFsdGg8L2tleXdvcmQ+PGtleXdvcmQ+Y29iYWxhbWlu
PC9rZXl3b3JkPjxrZXl3b3JkPm9uZS1jYXJib24gbWV0YWJvbGlzbTwva2V5d29yZD48a2V5d29y
ZD52aXRhbWluIEItMTI8L2tleXdvcmQ+PC9rZXl3b3Jkcz48ZGF0ZXM+PHllYXI+MjAxNTwveWVh
cj48cHViLWRhdGVzPjxkYXRlPlNlcDwvZGF0ZT48L3B1Yi1kYXRlcz48L2RhdGVzPjxpc2JuPjIx
NTYtNTM3NiAoRWxlY3Ryb25pYykmI3hEOzIxNjEtODMxMyAoTGlua2luZyk8L2lzYm4+PGFjY2Vz
c2lvbi1udW0+MjYzNzQxNzc8L2FjY2Vzc2lvbi1udW0+PHVybHM+PHJlbGF0ZWQtdXJscz48dXJs
Pmh0dHBzOi8vd3d3Lm5jYmkubmxtLm5paC5nb3YvcHVibWVkLzI2Mzc0MTc3PC91cmw+PC9yZWxh
dGVkLXVybHM+PC91cmxzPjxjdXN0b20yPlBNQzQ1NjE4Mjk8L2N1c3RvbTI+PGVsZWN0cm9uaWMt
cmVzb3VyY2UtbnVtPjEwLjM5NDUvYW4uMTE1LjAwODIwMTwvZWxlY3Ryb25pYy1yZXNvdXJjZS1u
dW0+PC9yZWNvcmQ+PC9DaXRlPjwvRW5kTm90ZT5=
</w:fldData>
        </w:fldChar>
      </w:r>
      <w:r w:rsidR="002747EA">
        <w:instrText xml:space="preserve"> ADDIN EN.CITE </w:instrText>
      </w:r>
      <w:r w:rsidR="002747EA">
        <w:fldChar w:fldCharType="begin">
          <w:fldData xml:space="preserve">PEVuZE5vdGU+PENpdGU+PEF1dGhvcj5GaW5rZWxzdGVpbjwvQXV0aG9yPjxZZWFyPjIwMTU8L1ll
YXI+PFJlY051bT4xNTk1PC9SZWNOdW0+PERpc3BsYXlUZXh0PjxzdHlsZSBmYWNlPSJzdXBlcnNj
cmlwdCIgZm9udD0iVHJlYnVjaGV0IE1TIiBzaXplPSI5Ij4xNDI8L3N0eWxlPjwvRGlzcGxheVRl
eHQ+PHJlY29yZD48cmVjLW51bWJlcj4xNTk1PC9yZWMtbnVtYmVyPjxmb3JlaWduLWtleXM+PGtl
eSBhcHA9IkVOIiBkYi1pZD0iZXh2YXNyZngyZHRyYW9lc2FzeHAyc3pzeGEyZGY1MDI1OTJ4IiB0
aW1lc3RhbXA9IjE1NzY1NTQ5OTIiPjE1OTU8L2tleT48a2V5IGFwcD0iRU5XZWIiIGRiLWlkPSIi
PjA8L2tleT48L2ZvcmVpZ24ta2V5cz48cmVmLXR5cGUgbmFtZT0iSm91cm5hbCBBcnRpY2xlIj4x
NzwvcmVmLXR5cGU+PGNvbnRyaWJ1dG9ycz48YXV0aG9ycz48YXV0aG9yPkZpbmtlbHN0ZWluLCBK
LiBMLjwvYXV0aG9yPjxhdXRob3I+TGF5ZGVuLCBBLiBKLjwvYXV0aG9yPjxhdXRob3I+U3RvdmVy
LCBQLiBKLjwvYXV0aG9yPjwvYXV0aG9ycz48L2NvbnRyaWJ1dG9ycz48YXV0aC1hZGRyZXNzPkRp
dmlzaW9uIG9mIE51dHJpdGlvbmFsIFNjaWVuY2VzLCBDb3JuZWxsIFVuaXZlcnNpdHksIEl0aGFj
YSwgTlk7IGFuZCBTdC4gSm9obiZhcG9zO3MgUmVzZWFyY2ggSW5zdGl0dXRlLCBTdC4gSm9obiZh
cG9zO3MgTmF0aW9uYWwgQWNhZGVteSBvZiBIZWFsdGggU2NpZW5jZXMsIEJhbmdhbG9yZSwgSW5k
aWEgamZpbmtlbHN0ZWluQGNvcm5lbGwuZWR1LiYjeEQ7RGl2aXNpb24gb2YgTnV0cml0aW9uYWwg
U2NpZW5jZXMsIENvcm5lbGwgVW5pdmVyc2l0eSwgSXRoYWNhLCBOWTsgYW5kLjwvYXV0aC1hZGRy
ZXNzPjx0aXRsZXM+PHRpdGxlPlZpdGFtaW4gQi0xMiBhbmQgUGVyaW5hdGFsIEhlYWx0aDwvdGl0
bGU+PHNlY29uZGFyeS10aXRsZT5BZHYgTnV0cjwvc2Vjb25kYXJ5LXRpdGxlPjwvdGl0bGVzPjxw
ZXJpb2RpY2FsPjxmdWxsLXRpdGxlPkFkdiBOdXRyPC9mdWxsLXRpdGxlPjwvcGVyaW9kaWNhbD48
cGFnZXM+NTUyLTYzPC9wYWdlcz48dm9sdW1lPjY8L3ZvbHVtZT48bnVtYmVyPjU8L251bWJlcj48
ZWRpdGlvbj4yMDE1LzA5LzE3PC9lZGl0aW9uPjxrZXl3b3Jkcz48a2V5d29yZD5CaW9tYXJrZXJz
L2Jsb29kPC9rZXl3b3JkPjxrZXl3b3JkPkRpZXRhcnkgU3VwcGxlbWVudHM8L2tleXdvcmQ+PGtl
eXdvcmQ+RmVtYWxlPC9rZXl3b3JkPjxrZXl3b3JkPkh1bWFuczwva2V5d29yZD48a2V5d29yZD4q
TWF0ZXJuYWwgTnV0cml0aW9uYWwgUGh5c2lvbG9naWNhbCBQaGVub21lbmE8L2tleXdvcmQ+PGtl
eXdvcmQ+T2JzZXJ2YXRpb25hbCBTdHVkaWVzIGFzIFRvcGljPC9rZXl3b3JkPjxrZXl3b3JkPlBl
cmluYXRhbCBDYXJlLyptZXRob2RzPC9rZXl3b3JkPjxrZXl3b3JkPlByZWduYW5jeTwva2V5d29y
ZD48a2V5d29yZD5QcmVnbmFuY3kgT3V0Y29tZTwva2V5d29yZD48a2V5d29yZD5WaXRhbWluIEIg
MTIvKmFkbWluaXN0cmF0aW9uICZhbXA7IGRvc2FnZS9ibG9vZDwva2V5d29yZD48a2V5d29yZD5W
aXRhbWluIEIgMTIgRGVmaWNpZW5jeS9ibG9vZC9kcnVnIHRoZXJhcHkvKmVwaWRlbWlvbG9neTwv
a2V5d29yZD48a2V5d29yZD5jaGlsZCBoZWFsdGg8L2tleXdvcmQ+PGtleXdvcmQ+Y29iYWxhbWlu
PC9rZXl3b3JkPjxrZXl3b3JkPm9uZS1jYXJib24gbWV0YWJvbGlzbTwva2V5d29yZD48a2V5d29y
ZD52aXRhbWluIEItMTI8L2tleXdvcmQ+PC9rZXl3b3Jkcz48ZGF0ZXM+PHllYXI+MjAxNTwveWVh
cj48cHViLWRhdGVzPjxkYXRlPlNlcDwvZGF0ZT48L3B1Yi1kYXRlcz48L2RhdGVzPjxpc2JuPjIx
NTYtNTM3NiAoRWxlY3Ryb25pYykmI3hEOzIxNjEtODMxMyAoTGlua2luZyk8L2lzYm4+PGFjY2Vz
c2lvbi1udW0+MjYzNzQxNzc8L2FjY2Vzc2lvbi1udW0+PHVybHM+PHJlbGF0ZWQtdXJscz48dXJs
Pmh0dHBzOi8vd3d3Lm5jYmkubmxtLm5paC5nb3YvcHVibWVkLzI2Mzc0MTc3PC91cmw+PC9yZWxh
dGVkLXVybHM+PC91cmxzPjxjdXN0b20yPlBNQzQ1NjE4Mjk8L2N1c3RvbTI+PGVsZWN0cm9uaWMt
cmVzb3VyY2UtbnVtPjEwLjM5NDUvYW4uMTE1LjAwODIwMTwvZWxlY3Ryb25pYy1yZXNvdXJjZS1u
dW0+PC9yZWNvcmQ+PC9DaXRlPjwvRW5kTm90ZT5=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142</w:t>
      </w:r>
      <w:r w:rsidR="00201490">
        <w:fldChar w:fldCharType="end"/>
      </w:r>
      <w:r>
        <w:t xml:space="preserve"> </w:t>
      </w:r>
      <w:r w:rsidRPr="004867CC">
        <w:t>Infants born to</w:t>
      </w:r>
      <w:r>
        <w:t xml:space="preserve"> vitamin B</w:t>
      </w:r>
      <w:r w:rsidRPr="004867CC">
        <w:rPr>
          <w:vertAlign w:val="subscript"/>
        </w:rPr>
        <w:t>12</w:t>
      </w:r>
      <w:r w:rsidRPr="004867CC">
        <w:t xml:space="preserve">-deficient women may be at increased risk of neural tube </w:t>
      </w:r>
      <w:r>
        <w:t>defects, and maternal vitamin B</w:t>
      </w:r>
      <w:r w:rsidRPr="004867CC">
        <w:rPr>
          <w:vertAlign w:val="subscript"/>
        </w:rPr>
        <w:t>12</w:t>
      </w:r>
      <w:r w:rsidRPr="004867CC">
        <w:t xml:space="preserve"> insufficiency (&lt;200 pmol/L)</w:t>
      </w:r>
      <w:r>
        <w:t xml:space="preserve"> </w:t>
      </w:r>
      <w:r w:rsidRPr="004867CC">
        <w:t>can impair infant growth, psychomotor function, and brain development, which may be irreversible.</w:t>
      </w:r>
      <w:r w:rsidR="00201490">
        <w:fldChar w:fldCharType="begin">
          <w:fldData xml:space="preserve">PEVuZE5vdGU+PENpdGU+PEF1dGhvcj5GaW5rZWxzdGVpbjwvQXV0aG9yPjxZZWFyPjIwMTU8L1ll
YXI+PFJlY051bT4xNTk1PC9SZWNOdW0+PERpc3BsYXlUZXh0PjxzdHlsZSBmYWNlPSJzdXBlcnNj
cmlwdCIgZm9udD0iVHJlYnVjaGV0IE1TIiBzaXplPSI5Ij4xNDI8L3N0eWxlPjwvRGlzcGxheVRl
eHQ+PHJlY29yZD48cmVjLW51bWJlcj4xNTk1PC9yZWMtbnVtYmVyPjxmb3JlaWduLWtleXM+PGtl
eSBhcHA9IkVOIiBkYi1pZD0iZXh2YXNyZngyZHRyYW9lc2FzeHAyc3pzeGEyZGY1MDI1OTJ4IiB0
aW1lc3RhbXA9IjE1NzY1NTQ5OTIiPjE1OTU8L2tleT48a2V5IGFwcD0iRU5XZWIiIGRiLWlkPSIi
PjA8L2tleT48L2ZvcmVpZ24ta2V5cz48cmVmLXR5cGUgbmFtZT0iSm91cm5hbCBBcnRpY2xlIj4x
NzwvcmVmLXR5cGU+PGNvbnRyaWJ1dG9ycz48YXV0aG9ycz48YXV0aG9yPkZpbmtlbHN0ZWluLCBK
LiBMLjwvYXV0aG9yPjxhdXRob3I+TGF5ZGVuLCBBLiBKLjwvYXV0aG9yPjxhdXRob3I+U3RvdmVy
LCBQLiBKLjwvYXV0aG9yPjwvYXV0aG9ycz48L2NvbnRyaWJ1dG9ycz48YXV0aC1hZGRyZXNzPkRp
dmlzaW9uIG9mIE51dHJpdGlvbmFsIFNjaWVuY2VzLCBDb3JuZWxsIFVuaXZlcnNpdHksIEl0aGFj
YSwgTlk7IGFuZCBTdC4gSm9obiZhcG9zO3MgUmVzZWFyY2ggSW5zdGl0dXRlLCBTdC4gSm9obiZh
cG9zO3MgTmF0aW9uYWwgQWNhZGVteSBvZiBIZWFsdGggU2NpZW5jZXMsIEJhbmdhbG9yZSwgSW5k
aWEgamZpbmtlbHN0ZWluQGNvcm5lbGwuZWR1LiYjeEQ7RGl2aXNpb24gb2YgTnV0cml0aW9uYWwg
U2NpZW5jZXMsIENvcm5lbGwgVW5pdmVyc2l0eSwgSXRoYWNhLCBOWTsgYW5kLjwvYXV0aC1hZGRy
ZXNzPjx0aXRsZXM+PHRpdGxlPlZpdGFtaW4gQi0xMiBhbmQgUGVyaW5hdGFsIEhlYWx0aDwvdGl0
bGU+PHNlY29uZGFyeS10aXRsZT5BZHYgTnV0cjwvc2Vjb25kYXJ5LXRpdGxlPjwvdGl0bGVzPjxw
ZXJpb2RpY2FsPjxmdWxsLXRpdGxlPkFkdiBOdXRyPC9mdWxsLXRpdGxlPjwvcGVyaW9kaWNhbD48
cGFnZXM+NTUyLTYzPC9wYWdlcz48dm9sdW1lPjY8L3ZvbHVtZT48bnVtYmVyPjU8L251bWJlcj48
ZWRpdGlvbj4yMDE1LzA5LzE3PC9lZGl0aW9uPjxrZXl3b3Jkcz48a2V5d29yZD5CaW9tYXJrZXJz
L2Jsb29kPC9rZXl3b3JkPjxrZXl3b3JkPkRpZXRhcnkgU3VwcGxlbWVudHM8L2tleXdvcmQ+PGtl
eXdvcmQ+RmVtYWxlPC9rZXl3b3JkPjxrZXl3b3JkPkh1bWFuczwva2V5d29yZD48a2V5d29yZD4q
TWF0ZXJuYWwgTnV0cml0aW9uYWwgUGh5c2lvbG9naWNhbCBQaGVub21lbmE8L2tleXdvcmQ+PGtl
eXdvcmQ+T2JzZXJ2YXRpb25hbCBTdHVkaWVzIGFzIFRvcGljPC9rZXl3b3JkPjxrZXl3b3JkPlBl
cmluYXRhbCBDYXJlLyptZXRob2RzPC9rZXl3b3JkPjxrZXl3b3JkPlByZWduYW5jeTwva2V5d29y
ZD48a2V5d29yZD5QcmVnbmFuY3kgT3V0Y29tZTwva2V5d29yZD48a2V5d29yZD5WaXRhbWluIEIg
MTIvKmFkbWluaXN0cmF0aW9uICZhbXA7IGRvc2FnZS9ibG9vZDwva2V5d29yZD48a2V5d29yZD5W
aXRhbWluIEIgMTIgRGVmaWNpZW5jeS9ibG9vZC9kcnVnIHRoZXJhcHkvKmVwaWRlbWlvbG9neTwv
a2V5d29yZD48a2V5d29yZD5jaGlsZCBoZWFsdGg8L2tleXdvcmQ+PGtleXdvcmQ+Y29iYWxhbWlu
PC9rZXl3b3JkPjxrZXl3b3JkPm9uZS1jYXJib24gbWV0YWJvbGlzbTwva2V5d29yZD48a2V5d29y
ZD52aXRhbWluIEItMTI8L2tleXdvcmQ+PC9rZXl3b3Jkcz48ZGF0ZXM+PHllYXI+MjAxNTwveWVh
cj48cHViLWRhdGVzPjxkYXRlPlNlcDwvZGF0ZT48L3B1Yi1kYXRlcz48L2RhdGVzPjxpc2JuPjIx
NTYtNTM3NiAoRWxlY3Ryb25pYykmI3hEOzIxNjEtODMxMyAoTGlua2luZyk8L2lzYm4+PGFjY2Vz
c2lvbi1udW0+MjYzNzQxNzc8L2FjY2Vzc2lvbi1udW0+PHVybHM+PHJlbGF0ZWQtdXJscz48dXJs
Pmh0dHBzOi8vd3d3Lm5jYmkubmxtLm5paC5nb3YvcHVibWVkLzI2Mzc0MTc3PC91cmw+PC9yZWxh
dGVkLXVybHM+PC91cmxzPjxjdXN0b20yPlBNQzQ1NjE4Mjk8L2N1c3RvbTI+PGVsZWN0cm9uaWMt
cmVzb3VyY2UtbnVtPjEwLjM5NDUvYW4uMTE1LjAwODIwMTwvZWxlY3Ryb25pYy1yZXNvdXJjZS1u
dW0+PC9yZWNvcmQ+PC9DaXRlPjwvRW5kTm90ZT5=
</w:fldData>
        </w:fldChar>
      </w:r>
      <w:r w:rsidR="002747EA">
        <w:instrText xml:space="preserve"> ADDIN EN.CITE </w:instrText>
      </w:r>
      <w:r w:rsidR="002747EA">
        <w:fldChar w:fldCharType="begin">
          <w:fldData xml:space="preserve">PEVuZE5vdGU+PENpdGU+PEF1dGhvcj5GaW5rZWxzdGVpbjwvQXV0aG9yPjxZZWFyPjIwMTU8L1ll
YXI+PFJlY051bT4xNTk1PC9SZWNOdW0+PERpc3BsYXlUZXh0PjxzdHlsZSBmYWNlPSJzdXBlcnNj
cmlwdCIgZm9udD0iVHJlYnVjaGV0IE1TIiBzaXplPSI5Ij4xNDI8L3N0eWxlPjwvRGlzcGxheVRl
eHQ+PHJlY29yZD48cmVjLW51bWJlcj4xNTk1PC9yZWMtbnVtYmVyPjxmb3JlaWduLWtleXM+PGtl
eSBhcHA9IkVOIiBkYi1pZD0iZXh2YXNyZngyZHRyYW9lc2FzeHAyc3pzeGEyZGY1MDI1OTJ4IiB0
aW1lc3RhbXA9IjE1NzY1NTQ5OTIiPjE1OTU8L2tleT48a2V5IGFwcD0iRU5XZWIiIGRiLWlkPSIi
PjA8L2tleT48L2ZvcmVpZ24ta2V5cz48cmVmLXR5cGUgbmFtZT0iSm91cm5hbCBBcnRpY2xlIj4x
NzwvcmVmLXR5cGU+PGNvbnRyaWJ1dG9ycz48YXV0aG9ycz48YXV0aG9yPkZpbmtlbHN0ZWluLCBK
LiBMLjwvYXV0aG9yPjxhdXRob3I+TGF5ZGVuLCBBLiBKLjwvYXV0aG9yPjxhdXRob3I+U3RvdmVy
LCBQLiBKLjwvYXV0aG9yPjwvYXV0aG9ycz48L2NvbnRyaWJ1dG9ycz48YXV0aC1hZGRyZXNzPkRp
dmlzaW9uIG9mIE51dHJpdGlvbmFsIFNjaWVuY2VzLCBDb3JuZWxsIFVuaXZlcnNpdHksIEl0aGFj
YSwgTlk7IGFuZCBTdC4gSm9obiZhcG9zO3MgUmVzZWFyY2ggSW5zdGl0dXRlLCBTdC4gSm9obiZh
cG9zO3MgTmF0aW9uYWwgQWNhZGVteSBvZiBIZWFsdGggU2NpZW5jZXMsIEJhbmdhbG9yZSwgSW5k
aWEgamZpbmtlbHN0ZWluQGNvcm5lbGwuZWR1LiYjeEQ7RGl2aXNpb24gb2YgTnV0cml0aW9uYWwg
U2NpZW5jZXMsIENvcm5lbGwgVW5pdmVyc2l0eSwgSXRoYWNhLCBOWTsgYW5kLjwvYXV0aC1hZGRy
ZXNzPjx0aXRsZXM+PHRpdGxlPlZpdGFtaW4gQi0xMiBhbmQgUGVyaW5hdGFsIEhlYWx0aDwvdGl0
bGU+PHNlY29uZGFyeS10aXRsZT5BZHYgTnV0cjwvc2Vjb25kYXJ5LXRpdGxlPjwvdGl0bGVzPjxw
ZXJpb2RpY2FsPjxmdWxsLXRpdGxlPkFkdiBOdXRyPC9mdWxsLXRpdGxlPjwvcGVyaW9kaWNhbD48
cGFnZXM+NTUyLTYzPC9wYWdlcz48dm9sdW1lPjY8L3ZvbHVtZT48bnVtYmVyPjU8L251bWJlcj48
ZWRpdGlvbj4yMDE1LzA5LzE3PC9lZGl0aW9uPjxrZXl3b3Jkcz48a2V5d29yZD5CaW9tYXJrZXJz
L2Jsb29kPC9rZXl3b3JkPjxrZXl3b3JkPkRpZXRhcnkgU3VwcGxlbWVudHM8L2tleXdvcmQ+PGtl
eXdvcmQ+RmVtYWxlPC9rZXl3b3JkPjxrZXl3b3JkPkh1bWFuczwva2V5d29yZD48a2V5d29yZD4q
TWF0ZXJuYWwgTnV0cml0aW9uYWwgUGh5c2lvbG9naWNhbCBQaGVub21lbmE8L2tleXdvcmQ+PGtl
eXdvcmQ+T2JzZXJ2YXRpb25hbCBTdHVkaWVzIGFzIFRvcGljPC9rZXl3b3JkPjxrZXl3b3JkPlBl
cmluYXRhbCBDYXJlLyptZXRob2RzPC9rZXl3b3JkPjxrZXl3b3JkPlByZWduYW5jeTwva2V5d29y
ZD48a2V5d29yZD5QcmVnbmFuY3kgT3V0Y29tZTwva2V5d29yZD48a2V5d29yZD5WaXRhbWluIEIg
MTIvKmFkbWluaXN0cmF0aW9uICZhbXA7IGRvc2FnZS9ibG9vZDwva2V5d29yZD48a2V5d29yZD5W
aXRhbWluIEIgMTIgRGVmaWNpZW5jeS9ibG9vZC9kcnVnIHRoZXJhcHkvKmVwaWRlbWlvbG9neTwv
a2V5d29yZD48a2V5d29yZD5jaGlsZCBoZWFsdGg8L2tleXdvcmQ+PGtleXdvcmQ+Y29iYWxhbWlu
PC9rZXl3b3JkPjxrZXl3b3JkPm9uZS1jYXJib24gbWV0YWJvbGlzbTwva2V5d29yZD48a2V5d29y
ZD52aXRhbWluIEItMTI8L2tleXdvcmQ+PC9rZXl3b3Jkcz48ZGF0ZXM+PHllYXI+MjAxNTwveWVh
cj48cHViLWRhdGVzPjxkYXRlPlNlcDwvZGF0ZT48L3B1Yi1kYXRlcz48L2RhdGVzPjxpc2JuPjIx
NTYtNTM3NiAoRWxlY3Ryb25pYykmI3hEOzIxNjEtODMxMyAoTGlua2luZyk8L2lzYm4+PGFjY2Vz
c2lvbi1udW0+MjYzNzQxNzc8L2FjY2Vzc2lvbi1udW0+PHVybHM+PHJlbGF0ZWQtdXJscz48dXJs
Pmh0dHBzOi8vd3d3Lm5jYmkubmxtLm5paC5nb3YvcHVibWVkLzI2Mzc0MTc3PC91cmw+PC9yZWxh
dGVkLXVybHM+PC91cmxzPjxjdXN0b20yPlBNQzQ1NjE4Mjk8L2N1c3RvbTI+PGVsZWN0cm9uaWMt
cmVzb3VyY2UtbnVtPjEwLjM5NDUvYW4uMTE1LjAwODIwMTwvZWxlY3Ryb25pYy1yZXNvdXJjZS1u
dW0+PC9yZWNvcmQ+PC9DaXRlPjwvRW5kTm90ZT5=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142</w:t>
      </w:r>
      <w:r w:rsidR="00201490">
        <w:fldChar w:fldCharType="end"/>
      </w:r>
      <w:r>
        <w:t xml:space="preserve"> The evidence on an association between maternal B</w:t>
      </w:r>
      <w:r w:rsidRPr="00F74795">
        <w:rPr>
          <w:vertAlign w:val="subscript"/>
        </w:rPr>
        <w:t>12</w:t>
      </w:r>
      <w:r>
        <w:t xml:space="preserve"> levels and low birth weight is inconsistent.</w:t>
      </w:r>
      <w:r w:rsidR="00201490">
        <w:fldChar w:fldCharType="begin">
          <w:fldData xml:space="preserve">PEVuZE5vdGU+PENpdGU+PEF1dGhvcj5TdWt1bWFyPC9BdXRob3I+PFllYXI+MjAxNjwvWWVhcj48
UmVjTnVtPjE2MDc8L1JlY051bT48RGlzcGxheVRleHQ+PHN0eWxlIGZhY2U9InN1cGVyc2NyaXB0
IiBmb250PSJUcmVidWNoZXQgTVMiIHNpemU9IjkiPjE0Mzwvc3R5bGU+PC9EaXNwbGF5VGV4dD48
cmVjb3JkPjxyZWMtbnVtYmVyPjE2MDc8L3JlYy1udW1iZXI+PGZvcmVpZ24ta2V5cz48a2V5IGFw
cD0iRU4iIGRiLWlkPSJleHZhc3JmeDJkdHJhb2VzYXN4cDJzenN4YTJkZjUwMjU5MngiIHRpbWVz
dGFtcD0iMTU3NjU1NTA3NiI+MTYwNzwva2V5PjxrZXkgYXBwPSJFTldlYiIgZGItaWQ9IiI+MDwv
a2V5PjwvZm9yZWlnbi1rZXlzPjxyZWYtdHlwZSBuYW1lPSJKb3VybmFsIEFydGljbGUiPjE3PC9y
ZWYtdHlwZT48Y29udHJpYnV0b3JzPjxhdXRob3JzPjxhdXRob3I+U3VrdW1hciwgTi48L2F1dGhv
cj48YXV0aG9yPlJhZm5zc29uLCBTLiBCLjwvYXV0aG9yPjxhdXRob3I+S2FuZGFsYSwgTi4gQi48
L2F1dGhvcj48YXV0aG9yPkJob3BhbCwgUi48L2F1dGhvcj48YXV0aG9yPllham5paywgQy4gUy48
L2F1dGhvcj48YXV0aG9yPlNhcmF2YW5hbiwgUC48L2F1dGhvcj48L2F1dGhvcnM+PC9jb250cmli
dXRvcnM+PGF1dGgtYWRkcmVzcz5EaXZpc2lvbiBvZiBIZWFsdGggU2NpZW5jZXMsIFBvcHVsYXRp
b25zLCBFdmlkZW5jZSwgYW5kIFRlY2hub2xvZ2llcyBHcm91cCwgV2Fyd2ljayBNZWRpY2FsIFNj
aG9vbCwgVGhlIFVuaXZlcnNpdHkgb2YgV2Fyd2ljaywgQ292ZW50cnksIFVuaXRlZCBLaW5nZG9t
OyYjeEQ7RGVwYXJ0bWVudCBvZiBFcGlkZW1pb2xvZ3kgYW5kIFB1YmxpYyBIZWFsdGgsIFVuaXZl
cnNpdHkgQ29sbGVnZSBMb25kb24sIExvbmRvbiwgVW5pdGVkIEtpbmdkb207IEVkaW5idXJnaCBN
aWdyYXRpb24sIEV0aG5pY2l0eSwgYW5kIEhlYWx0aCBSZXNlYXJjaCBHcm91cCwgQ2VudHJlIGZv
ciBQb3B1bGF0aW9uIEhlYWx0aCBTY2llbmNlcywgSW5zdGl0dXRlIG9mIFBvcHVsYXRpb24gSGVh
bHRoIFNjaWVuY2VzIGFuZCBJbmZvcm1hdGljcywgVW5pdmVyc2l0eSBvZiBFZGluYnVyZ2gsIEVk
aW5idXJnaCwgVW5pdGVkIEtpbmdkb207JiN4RDtEZXBhcnRtZW50IG9mIE1hdGhlbWF0aWNzIGFu
ZCBJbmZvcm1hdGlvbiBTY2llbmNlcywgRmFjdWx0eSBvZiBFbmdpbmVlcmluZyBhbmQgRW52aXJv
bm1lbnQsIE5vcnRodW1icmlhIFVuaXZlcnNpdHksIE5ld2Nhc3RsZSB1cG9uIFR5bmUsIFVuaXRl
ZCBLaW5nZG9tOyBIZWFsdGggRWNvbm9taWNzIGFuZCBFdmlkZW5jZSBTeW50aGVzaXMgVW5pdCwg
RGVwYXJ0bWVudCBvZiBQb3B1bGF0aW9uIEhlYWx0aCwgTHV4ZW1ib3VyZyBJbnN0aXR1dGUgb2Yg
SGVhbHRoLCBTdHJhc3NlbiwgTHV4ZW1ib3VyZzsmI3hEO0VkaW5idXJnaCBNaWdyYXRpb24sIEV0
aG5pY2l0eSwgYW5kIEhlYWx0aCBSZXNlYXJjaCBHcm91cCwgQ2VudHJlIGZvciBQb3B1bGF0aW9u
IEhlYWx0aCBTY2llbmNlcywgSW5zdGl0dXRlIG9mIFBvcHVsYXRpb24gSGVhbHRoIFNjaWVuY2Vz
IGFuZCBJbmZvcm1hdGljcywgVW5pdmVyc2l0eSBvZiBFZGluYnVyZ2gsIEVkaW5idXJnaCwgVW5p
dGVkIEtpbmdkb207JiN4RDtEaWFiZXRlcyBVbml0LCBLaW5nIEVkd2FyZCBNZW1vcmlhbCBIb3Nw
aXRhbCBhbmQgUmVzZWFyY2ggQ2VudHJlLCBSYXN0YSBQZXRoLCBQdW5lLCBNYWhhcmFzaHRyYSwg
SW5kaWE7IGFuZC4mI3hEO0RpdmlzaW9uIG9mIEhlYWx0aCBTY2llbmNlcywgUG9wdWxhdGlvbnMs
IEV2aWRlbmNlLCBhbmQgVGVjaG5vbG9naWVzIEdyb3VwLCBXYXJ3aWNrIE1lZGljYWwgU2Nob29s
LCBUaGUgVW5pdmVyc2l0eSBvZiBXYXJ3aWNrLCBDb3ZlbnRyeSwgVW5pdGVkIEtpbmdkb207IEFj
YWRlbWljIERlcGFydG1lbnQgb2YgRGlhYmV0ZXMgJmFtcDsgRW5kb2NyaW5vbG9neSwgR2Vvcmdl
IEVsaW90IEhvc3BpdGFsLCBOdW5lYXRvbiwgVW5pdGVkIEtpbmdkb20gcC5zYXJhdmFuYW5Ad2Fy
d2ljay5hYy51ay48L2F1dGgtYWRkcmVzcz48dGl0bGVzPjx0aXRsZT5QcmV2YWxlbmNlIG9mIHZp
dGFtaW4gQi0xMiBpbnN1ZmZpY2llbmN5IGR1cmluZyBwcmVnbmFuY3kgYW5kIGl0cyBlZmZlY3Qg
b24gb2Zmc3ByaW5nIGJpcnRoIHdlaWdodDogYSBzeXN0ZW1hdGljIHJldmlldyBhbmQgbWV0YS1h
bmFseXNpczwvdGl0bGU+PHNlY29uZGFyeS10aXRsZT5BbSBKIENsaW4gTnV0cjwvc2Vjb25kYXJ5
LXRpdGxlPjwvdGl0bGVzPjxwZXJpb2RpY2FsPjxmdWxsLXRpdGxlPkFtIEogQ2xpbiBOdXRyPC9m
dWxsLXRpdGxlPjwvcGVyaW9kaWNhbD48cGFnZXM+MTIzMi01MTwvcGFnZXM+PHZvbHVtZT4xMDM8
L3ZvbHVtZT48bnVtYmVyPjU8L251bWJlcj48ZWRpdGlvbj4yMDE2LzA0LzE1PC9lZGl0aW9uPjxr
ZXl3b3Jkcz48a2V5d29yZD4qQmlydGggV2VpZ2h0PC9rZXl3b3JkPjxrZXl3b3JkPkRhdGFiYXNl
cywgRmFjdHVhbDwva2V5d29yZD48a2V5d29yZD5GZW1hbGU8L2tleXdvcmQ+PGtleXdvcmQ+Rm9s
aWMgQWNpZC9hZG1pbmlzdHJhdGlvbiAmYW1wOyBkb3NhZ2UvYmxvb2Q8L2tleXdvcmQ+PGtleXdv
cmQ+SHVtYW5zPC9rZXl3b3JkPjxrZXl3b3JkPkluZGlhL2VwaWRlbWlvbG9neTwva2V5d29yZD48
a2V5d29yZD5JbmZhbnQ8L2tleXdvcmQ+PGtleXdvcmQ+SW5mYW50LCBMb3cgQmlydGggV2VpZ2h0
PC9rZXl3b3JkPjxrZXl3b3JkPipNYXRlcm5hbCBOdXRyaXRpb25hbCBQaHlzaW9sb2dpY2FsIFBo
ZW5vbWVuYTwva2V5d29yZD48a2V5d29yZD5NaWNyb251dHJpZW50cy9hZG1pbmlzdHJhdGlvbiAm
YW1wOyBkb3NhZ2UvYmxvb2Q8L2tleXdvcmQ+PGtleXdvcmQ+UHJlZ25hbmN5PC9rZXl3b3JkPjxr
ZXl3b3JkPlByZWduYW5jeSBUcmltZXN0ZXIsIFRoaXJkL2Jsb29kPC9rZXl3b3JkPjxrZXl3b3Jk
PlByZXZhbGVuY2U8L2tleXdvcmQ+PGtleXdvcmQ+Vml0YW1pbiBCIDEyL2FkbWluaXN0cmF0aW9u
ICZhbXA7IGRvc2FnZS9ibG9vZDwva2V5d29yZD48a2V5d29yZD5WaXRhbWluIEIgMTIgRGVmaWNp
ZW5jeS9ibG9vZC8qZXBpZGVtaW9sb2d5PC9rZXl3b3JkPjxrZXl3b3JkPlZpdGFtaW4gQiBDb21w
bGV4L2FkbWluaXN0cmF0aW9uICZhbXA7IGRvc2FnZS9ibG9vZDwva2V5d29yZD48a2V5d29yZD4q
Z2VvZ3JhcGhpYyB2YXJpYXRpb248L2tleXdvcmQ+PGtleXdvcmQ+KmxvdyBiaXJ0aCB3ZWlnaHQ8
L2tleXdvcmQ+PGtleXdvcmQ+Km1ldGEtYW5hbHlzaXM8L2tleXdvcmQ+PGtleXdvcmQ+KnByZWdu
YW5jeTwva2V5d29yZD48a2V5d29yZD4qc3lzdGVtYXRpYyByZXZpZXc8L2tleXdvcmQ+PGtleXdv
cmQ+KnZpdGFtaW4gQi0xMiBpbnN1ZmZpY2llbmN5PC9rZXl3b3JkPjwva2V5d29yZHM+PGRhdGVz
Pjx5ZWFyPjIwMTY8L3llYXI+PHB1Yi1kYXRlcz48ZGF0ZT5NYXk8L2RhdGU+PC9wdWItZGF0ZXM+
PC9kYXRlcz48aXNibj4xOTM4LTMyMDcgKEVsZWN0cm9uaWMpJiN4RDswMDAyLTkxNjUgKExpbmtp
bmcpPC9pc2JuPjxhY2Nlc3Npb24tbnVtPjI3MDc2NTc3PC9hY2Nlc3Npb24tbnVtPjx1cmxzPjxy
ZWxhdGVkLXVybHM+PHVybD5odHRwczovL3d3dy5uY2JpLm5sbS5uaWguZ292L3B1Ym1lZC8yNzA3
NjU3NzwvdXJsPjwvcmVsYXRlZC11cmxzPjwvdXJscz48ZWxlY3Ryb25pYy1yZXNvdXJjZS1udW0+
MTAuMzk0NS9hamNuLjExNS4xMjMwODM8L2VsZWN0cm9uaWMtcmVzb3VyY2UtbnVtPjwvcmVjb3Jk
PjwvQ2l0ZT48L0VuZE5vdGU+AG==
</w:fldData>
        </w:fldChar>
      </w:r>
      <w:r w:rsidR="002747EA">
        <w:instrText xml:space="preserve"> ADDIN EN.CITE </w:instrText>
      </w:r>
      <w:r w:rsidR="002747EA">
        <w:fldChar w:fldCharType="begin">
          <w:fldData xml:space="preserve">PEVuZE5vdGU+PENpdGU+PEF1dGhvcj5TdWt1bWFyPC9BdXRob3I+PFllYXI+MjAxNjwvWWVhcj48
UmVjTnVtPjE2MDc8L1JlY051bT48RGlzcGxheVRleHQ+PHN0eWxlIGZhY2U9InN1cGVyc2NyaXB0
IiBmb250PSJUcmVidWNoZXQgTVMiIHNpemU9IjkiPjE0Mzwvc3R5bGU+PC9EaXNwbGF5VGV4dD48
cmVjb3JkPjxyZWMtbnVtYmVyPjE2MDc8L3JlYy1udW1iZXI+PGZvcmVpZ24ta2V5cz48a2V5IGFw
cD0iRU4iIGRiLWlkPSJleHZhc3JmeDJkdHJhb2VzYXN4cDJzenN4YTJkZjUwMjU5MngiIHRpbWVz
dGFtcD0iMTU3NjU1NTA3NiI+MTYwNzwva2V5PjxrZXkgYXBwPSJFTldlYiIgZGItaWQ9IiI+MDwv
a2V5PjwvZm9yZWlnbi1rZXlzPjxyZWYtdHlwZSBuYW1lPSJKb3VybmFsIEFydGljbGUiPjE3PC9y
ZWYtdHlwZT48Y29udHJpYnV0b3JzPjxhdXRob3JzPjxhdXRob3I+U3VrdW1hciwgTi48L2F1dGhv
cj48YXV0aG9yPlJhZm5zc29uLCBTLiBCLjwvYXV0aG9yPjxhdXRob3I+S2FuZGFsYSwgTi4gQi48
L2F1dGhvcj48YXV0aG9yPkJob3BhbCwgUi48L2F1dGhvcj48YXV0aG9yPllham5paywgQy4gUy48
L2F1dGhvcj48YXV0aG9yPlNhcmF2YW5hbiwgUC48L2F1dGhvcj48L2F1dGhvcnM+PC9jb250cmli
dXRvcnM+PGF1dGgtYWRkcmVzcz5EaXZpc2lvbiBvZiBIZWFsdGggU2NpZW5jZXMsIFBvcHVsYXRp
b25zLCBFdmlkZW5jZSwgYW5kIFRlY2hub2xvZ2llcyBHcm91cCwgV2Fyd2ljayBNZWRpY2FsIFNj
aG9vbCwgVGhlIFVuaXZlcnNpdHkgb2YgV2Fyd2ljaywgQ292ZW50cnksIFVuaXRlZCBLaW5nZG9t
OyYjeEQ7RGVwYXJ0bWVudCBvZiBFcGlkZW1pb2xvZ3kgYW5kIFB1YmxpYyBIZWFsdGgsIFVuaXZl
cnNpdHkgQ29sbGVnZSBMb25kb24sIExvbmRvbiwgVW5pdGVkIEtpbmdkb207IEVkaW5idXJnaCBN
aWdyYXRpb24sIEV0aG5pY2l0eSwgYW5kIEhlYWx0aCBSZXNlYXJjaCBHcm91cCwgQ2VudHJlIGZv
ciBQb3B1bGF0aW9uIEhlYWx0aCBTY2llbmNlcywgSW5zdGl0dXRlIG9mIFBvcHVsYXRpb24gSGVh
bHRoIFNjaWVuY2VzIGFuZCBJbmZvcm1hdGljcywgVW5pdmVyc2l0eSBvZiBFZGluYnVyZ2gsIEVk
aW5idXJnaCwgVW5pdGVkIEtpbmdkb207JiN4RDtEZXBhcnRtZW50IG9mIE1hdGhlbWF0aWNzIGFu
ZCBJbmZvcm1hdGlvbiBTY2llbmNlcywgRmFjdWx0eSBvZiBFbmdpbmVlcmluZyBhbmQgRW52aXJv
bm1lbnQsIE5vcnRodW1icmlhIFVuaXZlcnNpdHksIE5ld2Nhc3RsZSB1cG9uIFR5bmUsIFVuaXRl
ZCBLaW5nZG9tOyBIZWFsdGggRWNvbm9taWNzIGFuZCBFdmlkZW5jZSBTeW50aGVzaXMgVW5pdCwg
RGVwYXJ0bWVudCBvZiBQb3B1bGF0aW9uIEhlYWx0aCwgTHV4ZW1ib3VyZyBJbnN0aXR1dGUgb2Yg
SGVhbHRoLCBTdHJhc3NlbiwgTHV4ZW1ib3VyZzsmI3hEO0VkaW5idXJnaCBNaWdyYXRpb24sIEV0
aG5pY2l0eSwgYW5kIEhlYWx0aCBSZXNlYXJjaCBHcm91cCwgQ2VudHJlIGZvciBQb3B1bGF0aW9u
IEhlYWx0aCBTY2llbmNlcywgSW5zdGl0dXRlIG9mIFBvcHVsYXRpb24gSGVhbHRoIFNjaWVuY2Vz
IGFuZCBJbmZvcm1hdGljcywgVW5pdmVyc2l0eSBvZiBFZGluYnVyZ2gsIEVkaW5idXJnaCwgVW5p
dGVkIEtpbmdkb207JiN4RDtEaWFiZXRlcyBVbml0LCBLaW5nIEVkd2FyZCBNZW1vcmlhbCBIb3Nw
aXRhbCBhbmQgUmVzZWFyY2ggQ2VudHJlLCBSYXN0YSBQZXRoLCBQdW5lLCBNYWhhcmFzaHRyYSwg
SW5kaWE7IGFuZC4mI3hEO0RpdmlzaW9uIG9mIEhlYWx0aCBTY2llbmNlcywgUG9wdWxhdGlvbnMs
IEV2aWRlbmNlLCBhbmQgVGVjaG5vbG9naWVzIEdyb3VwLCBXYXJ3aWNrIE1lZGljYWwgU2Nob29s
LCBUaGUgVW5pdmVyc2l0eSBvZiBXYXJ3aWNrLCBDb3ZlbnRyeSwgVW5pdGVkIEtpbmdkb207IEFj
YWRlbWljIERlcGFydG1lbnQgb2YgRGlhYmV0ZXMgJmFtcDsgRW5kb2NyaW5vbG9neSwgR2Vvcmdl
IEVsaW90IEhvc3BpdGFsLCBOdW5lYXRvbiwgVW5pdGVkIEtpbmdkb20gcC5zYXJhdmFuYW5Ad2Fy
d2ljay5hYy51ay48L2F1dGgtYWRkcmVzcz48dGl0bGVzPjx0aXRsZT5QcmV2YWxlbmNlIG9mIHZp
dGFtaW4gQi0xMiBpbnN1ZmZpY2llbmN5IGR1cmluZyBwcmVnbmFuY3kgYW5kIGl0cyBlZmZlY3Qg
b24gb2Zmc3ByaW5nIGJpcnRoIHdlaWdodDogYSBzeXN0ZW1hdGljIHJldmlldyBhbmQgbWV0YS1h
bmFseXNpczwvdGl0bGU+PHNlY29uZGFyeS10aXRsZT5BbSBKIENsaW4gTnV0cjwvc2Vjb25kYXJ5
LXRpdGxlPjwvdGl0bGVzPjxwZXJpb2RpY2FsPjxmdWxsLXRpdGxlPkFtIEogQ2xpbiBOdXRyPC9m
dWxsLXRpdGxlPjwvcGVyaW9kaWNhbD48cGFnZXM+MTIzMi01MTwvcGFnZXM+PHZvbHVtZT4xMDM8
L3ZvbHVtZT48bnVtYmVyPjU8L251bWJlcj48ZWRpdGlvbj4yMDE2LzA0LzE1PC9lZGl0aW9uPjxr
ZXl3b3Jkcz48a2V5d29yZD4qQmlydGggV2VpZ2h0PC9rZXl3b3JkPjxrZXl3b3JkPkRhdGFiYXNl
cywgRmFjdHVhbDwva2V5d29yZD48a2V5d29yZD5GZW1hbGU8L2tleXdvcmQ+PGtleXdvcmQ+Rm9s
aWMgQWNpZC9hZG1pbmlzdHJhdGlvbiAmYW1wOyBkb3NhZ2UvYmxvb2Q8L2tleXdvcmQ+PGtleXdv
cmQ+SHVtYW5zPC9rZXl3b3JkPjxrZXl3b3JkPkluZGlhL2VwaWRlbWlvbG9neTwva2V5d29yZD48
a2V5d29yZD5JbmZhbnQ8L2tleXdvcmQ+PGtleXdvcmQ+SW5mYW50LCBMb3cgQmlydGggV2VpZ2h0
PC9rZXl3b3JkPjxrZXl3b3JkPipNYXRlcm5hbCBOdXRyaXRpb25hbCBQaHlzaW9sb2dpY2FsIFBo
ZW5vbWVuYTwva2V5d29yZD48a2V5d29yZD5NaWNyb251dHJpZW50cy9hZG1pbmlzdHJhdGlvbiAm
YW1wOyBkb3NhZ2UvYmxvb2Q8L2tleXdvcmQ+PGtleXdvcmQ+UHJlZ25hbmN5PC9rZXl3b3JkPjxr
ZXl3b3JkPlByZWduYW5jeSBUcmltZXN0ZXIsIFRoaXJkL2Jsb29kPC9rZXl3b3JkPjxrZXl3b3Jk
PlByZXZhbGVuY2U8L2tleXdvcmQ+PGtleXdvcmQ+Vml0YW1pbiBCIDEyL2FkbWluaXN0cmF0aW9u
ICZhbXA7IGRvc2FnZS9ibG9vZDwva2V5d29yZD48a2V5d29yZD5WaXRhbWluIEIgMTIgRGVmaWNp
ZW5jeS9ibG9vZC8qZXBpZGVtaW9sb2d5PC9rZXl3b3JkPjxrZXl3b3JkPlZpdGFtaW4gQiBDb21w
bGV4L2FkbWluaXN0cmF0aW9uICZhbXA7IGRvc2FnZS9ibG9vZDwva2V5d29yZD48a2V5d29yZD4q
Z2VvZ3JhcGhpYyB2YXJpYXRpb248L2tleXdvcmQ+PGtleXdvcmQ+KmxvdyBiaXJ0aCB3ZWlnaHQ8
L2tleXdvcmQ+PGtleXdvcmQ+Km1ldGEtYW5hbHlzaXM8L2tleXdvcmQ+PGtleXdvcmQ+KnByZWdu
YW5jeTwva2V5d29yZD48a2V5d29yZD4qc3lzdGVtYXRpYyByZXZpZXc8L2tleXdvcmQ+PGtleXdv
cmQ+KnZpdGFtaW4gQi0xMiBpbnN1ZmZpY2llbmN5PC9rZXl3b3JkPjwva2V5d29yZHM+PGRhdGVz
Pjx5ZWFyPjIwMTY8L3llYXI+PHB1Yi1kYXRlcz48ZGF0ZT5NYXk8L2RhdGU+PC9wdWItZGF0ZXM+
PC9kYXRlcz48aXNibj4xOTM4LTMyMDcgKEVsZWN0cm9uaWMpJiN4RDswMDAyLTkxNjUgKExpbmtp
bmcpPC9pc2JuPjxhY2Nlc3Npb24tbnVtPjI3MDc2NTc3PC9hY2Nlc3Npb24tbnVtPjx1cmxzPjxy
ZWxhdGVkLXVybHM+PHVybD5odHRwczovL3d3dy5uY2JpLm5sbS5uaWguZ292L3B1Ym1lZC8yNzA3
NjU3NzwvdXJsPjwvcmVsYXRlZC11cmxzPjwvdXJscz48ZWxlY3Ryb25pYy1yZXNvdXJjZS1udW0+
MTAuMzk0NS9hamNuLjExNS4xMjMwODM8L2VsZWN0cm9uaWMtcmVzb3VyY2UtbnVtPjwvcmVjb3Jk
PjwvQ2l0ZT48L0VuZE5vdGU+AG==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143</w:t>
      </w:r>
      <w:r w:rsidR="00201490">
        <w:fldChar w:fldCharType="end"/>
      </w:r>
      <w:r>
        <w:t xml:space="preserve"> </w:t>
      </w:r>
    </w:p>
    <w:p w14:paraId="0657505C" w14:textId="32A77600" w:rsidR="00177609" w:rsidRDefault="00177609" w:rsidP="00177609">
      <w:r>
        <w:t>V</w:t>
      </w:r>
      <w:r w:rsidRPr="00177609">
        <w:t>itamin</w:t>
      </w:r>
      <w:r>
        <w:t xml:space="preserve"> B</w:t>
      </w:r>
      <w:r w:rsidRPr="00177609">
        <w:rPr>
          <w:vertAlign w:val="subscript"/>
        </w:rPr>
        <w:t>12</w:t>
      </w:r>
      <w:r w:rsidRPr="00177609">
        <w:t xml:space="preserve"> insufficiency during pregnancy is common even in non</w:t>
      </w:r>
      <w:r>
        <w:t>-</w:t>
      </w:r>
      <w:r w:rsidRPr="00177609">
        <w:t xml:space="preserve">vegetarian populations and </w:t>
      </w:r>
      <w:r>
        <w:t>concentrations of vitamin B</w:t>
      </w:r>
      <w:r w:rsidRPr="00177609">
        <w:rPr>
          <w:vertAlign w:val="subscript"/>
        </w:rPr>
        <w:t>12</w:t>
      </w:r>
      <w:r w:rsidRPr="00177609">
        <w:t xml:space="preserve"> decrease from the first to the third trimester.</w:t>
      </w:r>
      <w:r w:rsidR="00201490">
        <w:fldChar w:fldCharType="begin">
          <w:fldData xml:space="preserve">PEVuZE5vdGU+PENpdGU+PEF1dGhvcj5TdWt1bWFyPC9BdXRob3I+PFllYXI+MjAxNjwvWWVhcj48
UmVjTnVtPjE2MDc8L1JlY051bT48RGlzcGxheVRleHQ+PHN0eWxlIGZhY2U9InN1cGVyc2NyaXB0
IiBmb250PSJUcmVidWNoZXQgTVMiIHNpemU9IjkiPjE0Mzwvc3R5bGU+PC9EaXNwbGF5VGV4dD48
cmVjb3JkPjxyZWMtbnVtYmVyPjE2MDc8L3JlYy1udW1iZXI+PGZvcmVpZ24ta2V5cz48a2V5IGFw
cD0iRU4iIGRiLWlkPSJleHZhc3JmeDJkdHJhb2VzYXN4cDJzenN4YTJkZjUwMjU5MngiIHRpbWVz
dGFtcD0iMTU3NjU1NTA3NiI+MTYwNzwva2V5PjxrZXkgYXBwPSJFTldlYiIgZGItaWQ9IiI+MDwv
a2V5PjwvZm9yZWlnbi1rZXlzPjxyZWYtdHlwZSBuYW1lPSJKb3VybmFsIEFydGljbGUiPjE3PC9y
ZWYtdHlwZT48Y29udHJpYnV0b3JzPjxhdXRob3JzPjxhdXRob3I+U3VrdW1hciwgTi48L2F1dGhv
cj48YXV0aG9yPlJhZm5zc29uLCBTLiBCLjwvYXV0aG9yPjxhdXRob3I+S2FuZGFsYSwgTi4gQi48
L2F1dGhvcj48YXV0aG9yPkJob3BhbCwgUi48L2F1dGhvcj48YXV0aG9yPllham5paywgQy4gUy48
L2F1dGhvcj48YXV0aG9yPlNhcmF2YW5hbiwgUC48L2F1dGhvcj48L2F1dGhvcnM+PC9jb250cmli
dXRvcnM+PGF1dGgtYWRkcmVzcz5EaXZpc2lvbiBvZiBIZWFsdGggU2NpZW5jZXMsIFBvcHVsYXRp
b25zLCBFdmlkZW5jZSwgYW5kIFRlY2hub2xvZ2llcyBHcm91cCwgV2Fyd2ljayBNZWRpY2FsIFNj
aG9vbCwgVGhlIFVuaXZlcnNpdHkgb2YgV2Fyd2ljaywgQ292ZW50cnksIFVuaXRlZCBLaW5nZG9t
OyYjeEQ7RGVwYXJ0bWVudCBvZiBFcGlkZW1pb2xvZ3kgYW5kIFB1YmxpYyBIZWFsdGgsIFVuaXZl
cnNpdHkgQ29sbGVnZSBMb25kb24sIExvbmRvbiwgVW5pdGVkIEtpbmdkb207IEVkaW5idXJnaCBN
aWdyYXRpb24sIEV0aG5pY2l0eSwgYW5kIEhlYWx0aCBSZXNlYXJjaCBHcm91cCwgQ2VudHJlIGZv
ciBQb3B1bGF0aW9uIEhlYWx0aCBTY2llbmNlcywgSW5zdGl0dXRlIG9mIFBvcHVsYXRpb24gSGVh
bHRoIFNjaWVuY2VzIGFuZCBJbmZvcm1hdGljcywgVW5pdmVyc2l0eSBvZiBFZGluYnVyZ2gsIEVk
aW5idXJnaCwgVW5pdGVkIEtpbmdkb207JiN4RDtEZXBhcnRtZW50IG9mIE1hdGhlbWF0aWNzIGFu
ZCBJbmZvcm1hdGlvbiBTY2llbmNlcywgRmFjdWx0eSBvZiBFbmdpbmVlcmluZyBhbmQgRW52aXJv
bm1lbnQsIE5vcnRodW1icmlhIFVuaXZlcnNpdHksIE5ld2Nhc3RsZSB1cG9uIFR5bmUsIFVuaXRl
ZCBLaW5nZG9tOyBIZWFsdGggRWNvbm9taWNzIGFuZCBFdmlkZW5jZSBTeW50aGVzaXMgVW5pdCwg
RGVwYXJ0bWVudCBvZiBQb3B1bGF0aW9uIEhlYWx0aCwgTHV4ZW1ib3VyZyBJbnN0aXR1dGUgb2Yg
SGVhbHRoLCBTdHJhc3NlbiwgTHV4ZW1ib3VyZzsmI3hEO0VkaW5idXJnaCBNaWdyYXRpb24sIEV0
aG5pY2l0eSwgYW5kIEhlYWx0aCBSZXNlYXJjaCBHcm91cCwgQ2VudHJlIGZvciBQb3B1bGF0aW9u
IEhlYWx0aCBTY2llbmNlcywgSW5zdGl0dXRlIG9mIFBvcHVsYXRpb24gSGVhbHRoIFNjaWVuY2Vz
IGFuZCBJbmZvcm1hdGljcywgVW5pdmVyc2l0eSBvZiBFZGluYnVyZ2gsIEVkaW5idXJnaCwgVW5p
dGVkIEtpbmdkb207JiN4RDtEaWFiZXRlcyBVbml0LCBLaW5nIEVkd2FyZCBNZW1vcmlhbCBIb3Nw
aXRhbCBhbmQgUmVzZWFyY2ggQ2VudHJlLCBSYXN0YSBQZXRoLCBQdW5lLCBNYWhhcmFzaHRyYSwg
SW5kaWE7IGFuZC4mI3hEO0RpdmlzaW9uIG9mIEhlYWx0aCBTY2llbmNlcywgUG9wdWxhdGlvbnMs
IEV2aWRlbmNlLCBhbmQgVGVjaG5vbG9naWVzIEdyb3VwLCBXYXJ3aWNrIE1lZGljYWwgU2Nob29s
LCBUaGUgVW5pdmVyc2l0eSBvZiBXYXJ3aWNrLCBDb3ZlbnRyeSwgVW5pdGVkIEtpbmdkb207IEFj
YWRlbWljIERlcGFydG1lbnQgb2YgRGlhYmV0ZXMgJmFtcDsgRW5kb2NyaW5vbG9neSwgR2Vvcmdl
IEVsaW90IEhvc3BpdGFsLCBOdW5lYXRvbiwgVW5pdGVkIEtpbmdkb20gcC5zYXJhdmFuYW5Ad2Fy
d2ljay5hYy51ay48L2F1dGgtYWRkcmVzcz48dGl0bGVzPjx0aXRsZT5QcmV2YWxlbmNlIG9mIHZp
dGFtaW4gQi0xMiBpbnN1ZmZpY2llbmN5IGR1cmluZyBwcmVnbmFuY3kgYW5kIGl0cyBlZmZlY3Qg
b24gb2Zmc3ByaW5nIGJpcnRoIHdlaWdodDogYSBzeXN0ZW1hdGljIHJldmlldyBhbmQgbWV0YS1h
bmFseXNpczwvdGl0bGU+PHNlY29uZGFyeS10aXRsZT5BbSBKIENsaW4gTnV0cjwvc2Vjb25kYXJ5
LXRpdGxlPjwvdGl0bGVzPjxwZXJpb2RpY2FsPjxmdWxsLXRpdGxlPkFtIEogQ2xpbiBOdXRyPC9m
dWxsLXRpdGxlPjwvcGVyaW9kaWNhbD48cGFnZXM+MTIzMi01MTwvcGFnZXM+PHZvbHVtZT4xMDM8
L3ZvbHVtZT48bnVtYmVyPjU8L251bWJlcj48ZWRpdGlvbj4yMDE2LzA0LzE1PC9lZGl0aW9uPjxr
ZXl3b3Jkcz48a2V5d29yZD4qQmlydGggV2VpZ2h0PC9rZXl3b3JkPjxrZXl3b3JkPkRhdGFiYXNl
cywgRmFjdHVhbDwva2V5d29yZD48a2V5d29yZD5GZW1hbGU8L2tleXdvcmQ+PGtleXdvcmQ+Rm9s
aWMgQWNpZC9hZG1pbmlzdHJhdGlvbiAmYW1wOyBkb3NhZ2UvYmxvb2Q8L2tleXdvcmQ+PGtleXdv
cmQ+SHVtYW5zPC9rZXl3b3JkPjxrZXl3b3JkPkluZGlhL2VwaWRlbWlvbG9neTwva2V5d29yZD48
a2V5d29yZD5JbmZhbnQ8L2tleXdvcmQ+PGtleXdvcmQ+SW5mYW50LCBMb3cgQmlydGggV2VpZ2h0
PC9rZXl3b3JkPjxrZXl3b3JkPipNYXRlcm5hbCBOdXRyaXRpb25hbCBQaHlzaW9sb2dpY2FsIFBo
ZW5vbWVuYTwva2V5d29yZD48a2V5d29yZD5NaWNyb251dHJpZW50cy9hZG1pbmlzdHJhdGlvbiAm
YW1wOyBkb3NhZ2UvYmxvb2Q8L2tleXdvcmQ+PGtleXdvcmQ+UHJlZ25hbmN5PC9rZXl3b3JkPjxr
ZXl3b3JkPlByZWduYW5jeSBUcmltZXN0ZXIsIFRoaXJkL2Jsb29kPC9rZXl3b3JkPjxrZXl3b3Jk
PlByZXZhbGVuY2U8L2tleXdvcmQ+PGtleXdvcmQ+Vml0YW1pbiBCIDEyL2FkbWluaXN0cmF0aW9u
ICZhbXA7IGRvc2FnZS9ibG9vZDwva2V5d29yZD48a2V5d29yZD5WaXRhbWluIEIgMTIgRGVmaWNp
ZW5jeS9ibG9vZC8qZXBpZGVtaW9sb2d5PC9rZXl3b3JkPjxrZXl3b3JkPlZpdGFtaW4gQiBDb21w
bGV4L2FkbWluaXN0cmF0aW9uICZhbXA7IGRvc2FnZS9ibG9vZDwva2V5d29yZD48a2V5d29yZD4q
Z2VvZ3JhcGhpYyB2YXJpYXRpb248L2tleXdvcmQ+PGtleXdvcmQ+KmxvdyBiaXJ0aCB3ZWlnaHQ8
L2tleXdvcmQ+PGtleXdvcmQ+Km1ldGEtYW5hbHlzaXM8L2tleXdvcmQ+PGtleXdvcmQ+KnByZWdu
YW5jeTwva2V5d29yZD48a2V5d29yZD4qc3lzdGVtYXRpYyByZXZpZXc8L2tleXdvcmQ+PGtleXdv
cmQ+KnZpdGFtaW4gQi0xMiBpbnN1ZmZpY2llbmN5PC9rZXl3b3JkPjwva2V5d29yZHM+PGRhdGVz
Pjx5ZWFyPjIwMTY8L3llYXI+PHB1Yi1kYXRlcz48ZGF0ZT5NYXk8L2RhdGU+PC9wdWItZGF0ZXM+
PC9kYXRlcz48aXNibj4xOTM4LTMyMDcgKEVsZWN0cm9uaWMpJiN4RDswMDAyLTkxNjUgKExpbmtp
bmcpPC9pc2JuPjxhY2Nlc3Npb24tbnVtPjI3MDc2NTc3PC9hY2Nlc3Npb24tbnVtPjx1cmxzPjxy
ZWxhdGVkLXVybHM+PHVybD5odHRwczovL3d3dy5uY2JpLm5sbS5uaWguZ292L3B1Ym1lZC8yNzA3
NjU3NzwvdXJsPjwvcmVsYXRlZC11cmxzPjwvdXJscz48ZWxlY3Ryb25pYy1yZXNvdXJjZS1udW0+
MTAuMzk0NS9hamNuLjExNS4xMjMwODM8L2VsZWN0cm9uaWMtcmVzb3VyY2UtbnVtPjwvcmVjb3Jk
PjwvQ2l0ZT48L0VuZE5vdGU+AG==
</w:fldData>
        </w:fldChar>
      </w:r>
      <w:r w:rsidR="002747EA">
        <w:instrText xml:space="preserve"> ADDIN EN.CITE </w:instrText>
      </w:r>
      <w:r w:rsidR="002747EA">
        <w:fldChar w:fldCharType="begin">
          <w:fldData xml:space="preserve">PEVuZE5vdGU+PENpdGU+PEF1dGhvcj5TdWt1bWFyPC9BdXRob3I+PFllYXI+MjAxNjwvWWVhcj48
UmVjTnVtPjE2MDc8L1JlY051bT48RGlzcGxheVRleHQ+PHN0eWxlIGZhY2U9InN1cGVyc2NyaXB0
IiBmb250PSJUcmVidWNoZXQgTVMiIHNpemU9IjkiPjE0Mzwvc3R5bGU+PC9EaXNwbGF5VGV4dD48
cmVjb3JkPjxyZWMtbnVtYmVyPjE2MDc8L3JlYy1udW1iZXI+PGZvcmVpZ24ta2V5cz48a2V5IGFw
cD0iRU4iIGRiLWlkPSJleHZhc3JmeDJkdHJhb2VzYXN4cDJzenN4YTJkZjUwMjU5MngiIHRpbWVz
dGFtcD0iMTU3NjU1NTA3NiI+MTYwNzwva2V5PjxrZXkgYXBwPSJFTldlYiIgZGItaWQ9IiI+MDwv
a2V5PjwvZm9yZWlnbi1rZXlzPjxyZWYtdHlwZSBuYW1lPSJKb3VybmFsIEFydGljbGUiPjE3PC9y
ZWYtdHlwZT48Y29udHJpYnV0b3JzPjxhdXRob3JzPjxhdXRob3I+U3VrdW1hciwgTi48L2F1dGhv
cj48YXV0aG9yPlJhZm5zc29uLCBTLiBCLjwvYXV0aG9yPjxhdXRob3I+S2FuZGFsYSwgTi4gQi48
L2F1dGhvcj48YXV0aG9yPkJob3BhbCwgUi48L2F1dGhvcj48YXV0aG9yPllham5paywgQy4gUy48
L2F1dGhvcj48YXV0aG9yPlNhcmF2YW5hbiwgUC48L2F1dGhvcj48L2F1dGhvcnM+PC9jb250cmli
dXRvcnM+PGF1dGgtYWRkcmVzcz5EaXZpc2lvbiBvZiBIZWFsdGggU2NpZW5jZXMsIFBvcHVsYXRp
b25zLCBFdmlkZW5jZSwgYW5kIFRlY2hub2xvZ2llcyBHcm91cCwgV2Fyd2ljayBNZWRpY2FsIFNj
aG9vbCwgVGhlIFVuaXZlcnNpdHkgb2YgV2Fyd2ljaywgQ292ZW50cnksIFVuaXRlZCBLaW5nZG9t
OyYjeEQ7RGVwYXJ0bWVudCBvZiBFcGlkZW1pb2xvZ3kgYW5kIFB1YmxpYyBIZWFsdGgsIFVuaXZl
cnNpdHkgQ29sbGVnZSBMb25kb24sIExvbmRvbiwgVW5pdGVkIEtpbmdkb207IEVkaW5idXJnaCBN
aWdyYXRpb24sIEV0aG5pY2l0eSwgYW5kIEhlYWx0aCBSZXNlYXJjaCBHcm91cCwgQ2VudHJlIGZv
ciBQb3B1bGF0aW9uIEhlYWx0aCBTY2llbmNlcywgSW5zdGl0dXRlIG9mIFBvcHVsYXRpb24gSGVh
bHRoIFNjaWVuY2VzIGFuZCBJbmZvcm1hdGljcywgVW5pdmVyc2l0eSBvZiBFZGluYnVyZ2gsIEVk
aW5idXJnaCwgVW5pdGVkIEtpbmdkb207JiN4RDtEZXBhcnRtZW50IG9mIE1hdGhlbWF0aWNzIGFu
ZCBJbmZvcm1hdGlvbiBTY2llbmNlcywgRmFjdWx0eSBvZiBFbmdpbmVlcmluZyBhbmQgRW52aXJv
bm1lbnQsIE5vcnRodW1icmlhIFVuaXZlcnNpdHksIE5ld2Nhc3RsZSB1cG9uIFR5bmUsIFVuaXRl
ZCBLaW5nZG9tOyBIZWFsdGggRWNvbm9taWNzIGFuZCBFdmlkZW5jZSBTeW50aGVzaXMgVW5pdCwg
RGVwYXJ0bWVudCBvZiBQb3B1bGF0aW9uIEhlYWx0aCwgTHV4ZW1ib3VyZyBJbnN0aXR1dGUgb2Yg
SGVhbHRoLCBTdHJhc3NlbiwgTHV4ZW1ib3VyZzsmI3hEO0VkaW5idXJnaCBNaWdyYXRpb24sIEV0
aG5pY2l0eSwgYW5kIEhlYWx0aCBSZXNlYXJjaCBHcm91cCwgQ2VudHJlIGZvciBQb3B1bGF0aW9u
IEhlYWx0aCBTY2llbmNlcywgSW5zdGl0dXRlIG9mIFBvcHVsYXRpb24gSGVhbHRoIFNjaWVuY2Vz
IGFuZCBJbmZvcm1hdGljcywgVW5pdmVyc2l0eSBvZiBFZGluYnVyZ2gsIEVkaW5idXJnaCwgVW5p
dGVkIEtpbmdkb207JiN4RDtEaWFiZXRlcyBVbml0LCBLaW5nIEVkd2FyZCBNZW1vcmlhbCBIb3Nw
aXRhbCBhbmQgUmVzZWFyY2ggQ2VudHJlLCBSYXN0YSBQZXRoLCBQdW5lLCBNYWhhcmFzaHRyYSwg
SW5kaWE7IGFuZC4mI3hEO0RpdmlzaW9uIG9mIEhlYWx0aCBTY2llbmNlcywgUG9wdWxhdGlvbnMs
IEV2aWRlbmNlLCBhbmQgVGVjaG5vbG9naWVzIEdyb3VwLCBXYXJ3aWNrIE1lZGljYWwgU2Nob29s
LCBUaGUgVW5pdmVyc2l0eSBvZiBXYXJ3aWNrLCBDb3ZlbnRyeSwgVW5pdGVkIEtpbmdkb207IEFj
YWRlbWljIERlcGFydG1lbnQgb2YgRGlhYmV0ZXMgJmFtcDsgRW5kb2NyaW5vbG9neSwgR2Vvcmdl
IEVsaW90IEhvc3BpdGFsLCBOdW5lYXRvbiwgVW5pdGVkIEtpbmdkb20gcC5zYXJhdmFuYW5Ad2Fy
d2ljay5hYy51ay48L2F1dGgtYWRkcmVzcz48dGl0bGVzPjx0aXRsZT5QcmV2YWxlbmNlIG9mIHZp
dGFtaW4gQi0xMiBpbnN1ZmZpY2llbmN5IGR1cmluZyBwcmVnbmFuY3kgYW5kIGl0cyBlZmZlY3Qg
b24gb2Zmc3ByaW5nIGJpcnRoIHdlaWdodDogYSBzeXN0ZW1hdGljIHJldmlldyBhbmQgbWV0YS1h
bmFseXNpczwvdGl0bGU+PHNlY29uZGFyeS10aXRsZT5BbSBKIENsaW4gTnV0cjwvc2Vjb25kYXJ5
LXRpdGxlPjwvdGl0bGVzPjxwZXJpb2RpY2FsPjxmdWxsLXRpdGxlPkFtIEogQ2xpbiBOdXRyPC9m
dWxsLXRpdGxlPjwvcGVyaW9kaWNhbD48cGFnZXM+MTIzMi01MTwvcGFnZXM+PHZvbHVtZT4xMDM8
L3ZvbHVtZT48bnVtYmVyPjU8L251bWJlcj48ZWRpdGlvbj4yMDE2LzA0LzE1PC9lZGl0aW9uPjxr
ZXl3b3Jkcz48a2V5d29yZD4qQmlydGggV2VpZ2h0PC9rZXl3b3JkPjxrZXl3b3JkPkRhdGFiYXNl
cywgRmFjdHVhbDwva2V5d29yZD48a2V5d29yZD5GZW1hbGU8L2tleXdvcmQ+PGtleXdvcmQ+Rm9s
aWMgQWNpZC9hZG1pbmlzdHJhdGlvbiAmYW1wOyBkb3NhZ2UvYmxvb2Q8L2tleXdvcmQ+PGtleXdv
cmQ+SHVtYW5zPC9rZXl3b3JkPjxrZXl3b3JkPkluZGlhL2VwaWRlbWlvbG9neTwva2V5d29yZD48
a2V5d29yZD5JbmZhbnQ8L2tleXdvcmQ+PGtleXdvcmQ+SW5mYW50LCBMb3cgQmlydGggV2VpZ2h0
PC9rZXl3b3JkPjxrZXl3b3JkPipNYXRlcm5hbCBOdXRyaXRpb25hbCBQaHlzaW9sb2dpY2FsIFBo
ZW5vbWVuYTwva2V5d29yZD48a2V5d29yZD5NaWNyb251dHJpZW50cy9hZG1pbmlzdHJhdGlvbiAm
YW1wOyBkb3NhZ2UvYmxvb2Q8L2tleXdvcmQ+PGtleXdvcmQ+UHJlZ25hbmN5PC9rZXl3b3JkPjxr
ZXl3b3JkPlByZWduYW5jeSBUcmltZXN0ZXIsIFRoaXJkL2Jsb29kPC9rZXl3b3JkPjxrZXl3b3Jk
PlByZXZhbGVuY2U8L2tleXdvcmQ+PGtleXdvcmQ+Vml0YW1pbiBCIDEyL2FkbWluaXN0cmF0aW9u
ICZhbXA7IGRvc2FnZS9ibG9vZDwva2V5d29yZD48a2V5d29yZD5WaXRhbWluIEIgMTIgRGVmaWNp
ZW5jeS9ibG9vZC8qZXBpZGVtaW9sb2d5PC9rZXl3b3JkPjxrZXl3b3JkPlZpdGFtaW4gQiBDb21w
bGV4L2FkbWluaXN0cmF0aW9uICZhbXA7IGRvc2FnZS9ibG9vZDwva2V5d29yZD48a2V5d29yZD4q
Z2VvZ3JhcGhpYyB2YXJpYXRpb248L2tleXdvcmQ+PGtleXdvcmQ+KmxvdyBiaXJ0aCB3ZWlnaHQ8
L2tleXdvcmQ+PGtleXdvcmQ+Km1ldGEtYW5hbHlzaXM8L2tleXdvcmQ+PGtleXdvcmQ+KnByZWdu
YW5jeTwva2V5d29yZD48a2V5d29yZD4qc3lzdGVtYXRpYyByZXZpZXc8L2tleXdvcmQ+PGtleXdv
cmQ+KnZpdGFtaW4gQi0xMiBpbnN1ZmZpY2llbmN5PC9rZXl3b3JkPjwva2V5d29yZHM+PGRhdGVz
Pjx5ZWFyPjIwMTY8L3llYXI+PHB1Yi1kYXRlcz48ZGF0ZT5NYXk8L2RhdGU+PC9wdWItZGF0ZXM+
PC9kYXRlcz48aXNibj4xOTM4LTMyMDcgKEVsZWN0cm9uaWMpJiN4RDswMDAyLTkxNjUgKExpbmtp
bmcpPC9pc2JuPjxhY2Nlc3Npb24tbnVtPjI3MDc2NTc3PC9hY2Nlc3Npb24tbnVtPjx1cmxzPjxy
ZWxhdGVkLXVybHM+PHVybD5odHRwczovL3d3dy5uY2JpLm5sbS5uaWguZ292L3B1Ym1lZC8yNzA3
NjU3NzwvdXJsPjwvcmVsYXRlZC11cmxzPjwvdXJscz48ZWxlY3Ryb25pYy1yZXNvdXJjZS1udW0+
MTAuMzk0NS9hamNuLjExNS4xMjMwODM8L2VsZWN0cm9uaWMtcmVzb3VyY2UtbnVtPjwvcmVjb3Jk
PjwvQ2l0ZT48L0VuZE5vdGU+AG==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143</w:t>
      </w:r>
      <w:r w:rsidR="00201490">
        <w:fldChar w:fldCharType="end"/>
      </w:r>
    </w:p>
    <w:p w14:paraId="3F574309" w14:textId="77777777" w:rsidR="0052004B" w:rsidRDefault="00227C83" w:rsidP="00177609">
      <w:r>
        <w:t xml:space="preserve">The </w:t>
      </w:r>
      <w:r w:rsidR="0052004B">
        <w:t>guidelines currently state that:</w:t>
      </w:r>
    </w:p>
    <w:p w14:paraId="4169FEEC" w14:textId="549055D9" w:rsidR="0052004B" w:rsidRDefault="0052004B" w:rsidP="0052004B">
      <w:pPr>
        <w:pStyle w:val="bullet"/>
      </w:pPr>
      <w:r>
        <w:t>v</w:t>
      </w:r>
      <w:r w:rsidRPr="00CC52F7">
        <w:t>itamin B</w:t>
      </w:r>
      <w:r w:rsidRPr="00CC52F7">
        <w:rPr>
          <w:vertAlign w:val="subscript"/>
        </w:rPr>
        <w:t>12</w:t>
      </w:r>
      <w:r w:rsidRPr="00CC52F7">
        <w:t xml:space="preserve"> deficiency is common in most of the developing world</w:t>
      </w:r>
      <w:r>
        <w:t xml:space="preserve"> but f</w:t>
      </w:r>
      <w:r w:rsidRPr="00CC52F7">
        <w:t>ew studies have examined the prevalence of vitamin B</w:t>
      </w:r>
      <w:r w:rsidRPr="00CC52F7">
        <w:rPr>
          <w:vertAlign w:val="subscript"/>
        </w:rPr>
        <w:t>12</w:t>
      </w:r>
      <w:r w:rsidRPr="00CC52F7">
        <w:t xml:space="preserve"> deficiency in Australia</w:t>
      </w:r>
    </w:p>
    <w:p w14:paraId="14D36B30" w14:textId="78BEAE82" w:rsidR="0052004B" w:rsidRDefault="0052004B" w:rsidP="0052004B">
      <w:pPr>
        <w:pStyle w:val="bullet"/>
      </w:pPr>
      <w:r w:rsidRPr="00CC52F7">
        <w:t>there is emerging evidence of vitamin B</w:t>
      </w:r>
      <w:r w:rsidRPr="00CC52F7">
        <w:rPr>
          <w:vertAlign w:val="subscript"/>
        </w:rPr>
        <w:t>12</w:t>
      </w:r>
      <w:r w:rsidRPr="00CC52F7">
        <w:t xml:space="preserve"> deficiency among refugees </w:t>
      </w:r>
      <w:r>
        <w:t xml:space="preserve">in Australia </w:t>
      </w:r>
      <w:r w:rsidRPr="00CC52F7">
        <w:t>due to limited or no sources of animal foods before resettlement</w:t>
      </w:r>
    </w:p>
    <w:p w14:paraId="5B5CEFA1" w14:textId="0DC3DD8B" w:rsidR="00227C83" w:rsidRPr="00177609" w:rsidRDefault="00227C83" w:rsidP="0052004B">
      <w:pPr>
        <w:pStyle w:val="bullet"/>
      </w:pPr>
      <w:r>
        <w:t>v</w:t>
      </w:r>
      <w:r w:rsidRPr="00CC52F7">
        <w:t>itamin B</w:t>
      </w:r>
      <w:r w:rsidRPr="00CC52F7">
        <w:rPr>
          <w:vertAlign w:val="subscript"/>
        </w:rPr>
        <w:t>12</w:t>
      </w:r>
      <w:r w:rsidRPr="00CC52F7">
        <w:t xml:space="preserve"> supplementation may be needed if a woman has a vegetarian or vegan diet.</w:t>
      </w:r>
    </w:p>
    <w:p w14:paraId="7373A22E" w14:textId="77777777" w:rsidR="00B23C1A" w:rsidRDefault="00B23C1A" w:rsidP="00B23C1A">
      <w:pPr>
        <w:pStyle w:val="Heading5"/>
      </w:pPr>
      <w:r>
        <w:t>Current review</w:t>
      </w:r>
    </w:p>
    <w:p w14:paraId="76D20FA8" w14:textId="14236A8A" w:rsidR="00227C83" w:rsidRDefault="0052004B" w:rsidP="00227C83">
      <w:r>
        <w:t>This review identified two RCTs</w:t>
      </w:r>
      <w:r w:rsidR="000D5A5F">
        <w:t xml:space="preserve"> of vitamin B</w:t>
      </w:r>
      <w:r w:rsidR="000D5A5F" w:rsidRPr="000D5A5F">
        <w:rPr>
          <w:vertAlign w:val="subscript"/>
        </w:rPr>
        <w:t>12</w:t>
      </w:r>
      <w:r w:rsidR="000D5A5F">
        <w:t xml:space="preserve"> supplementation in pregnancy</w:t>
      </w:r>
      <w:r w:rsidR="00E6241C">
        <w:t>,</w:t>
      </w:r>
      <w:r w:rsidR="00201490">
        <w:fldChar w:fldCharType="begin">
          <w:fldData xml:space="preserve">PEVuZE5vdGU+PENpdGU+PEF1dGhvcj5TcmluaXZhc2FuPC9BdXRob3I+PFllYXI+MjAxNzwvWWVh
cj48UmVjTnVtPjE2MDU8L1JlY051bT48RGlzcGxheVRleHQ+PHN0eWxlIGZhY2U9InN1cGVyc2Ny
aXB0IiBmb250PSJUcmVidWNoZXQgTVMiIHNpemU9IjkiPjE0NC0xNDY8L3N0eWxlPjwvRGlzcGxh
eVRleHQ+PHJlY29yZD48cmVjLW51bWJlcj4xNjA1PC9yZWMtbnVtYmVyPjxmb3JlaWduLWtleXM+
PGtleSBhcHA9IkVOIiBkYi1pZD0iZXh2YXNyZngyZHRyYW9lc2FzeHAyc3pzeGEyZGY1MDI1OTJ4
IiB0aW1lc3RhbXA9IjE1NzY1NTUwNjQiPjE2MDU8L2tleT48a2V5IGFwcD0iRU5XZWIiIGRiLWlk
PSIiPjA8L2tleT48L2ZvcmVpZ24ta2V5cz48cmVmLXR5cGUgbmFtZT0iSm91cm5hbCBBcnRpY2xl
Ij4xNzwvcmVmLXR5cGU+PGNvbnRyaWJ1dG9ycz48YXV0aG9ycz48YXV0aG9yPlNyaW5pdmFzYW4s
IEsuPC9hdXRob3I+PGF1dGhvcj5UaG9tYXMsIFQuPC9hdXRob3I+PGF1dGhvcj5LYXBhbmVlLCBB
LiBSLjwvYXV0aG9yPjxhdXRob3I+UmFtdGhhbCwgQS48L2F1dGhvcj48YXV0aG9yPkJlbGxpbmdl
ciwgRC4gQy48L2F1dGhvcj48YXV0aG9yPkJvc2NoLCBSLiBKLjwvYXV0aG9yPjxhdXRob3I+S3Vy
cGFkLCBBLiBWLjwvYXV0aG9yPjxhdXRob3I+RHVnZ2FuLCBDLjwvYXV0aG9yPjwvYXV0aG9ycz48
L2NvbnRyaWJ1dG9ycz48YXV0aC1hZGRyZXNzPkRpdmlzaW9uIG9mIE1lbnRhbCBIZWFsdGggYW5k
IE5ldXJvc2NpZW5jZXMsIFN0LiBKb2huJmFwb3M7cyBSZXNlYXJjaCBJbnN0aXR1dGUsIEJlbmdh
bHVydSwgS2FybmF0YWthLCBJbmRpYS4mI3hEO0RlcGFydG1lbnQgb2YgUHN5Y2hpYXRyeSwgU3Qu
IEpvaG4mYXBvcztzIE1lZGljYWwgQ29sbGVnZSwgQmFuZ2Fsb3JlLCBLYXJuYXRha2EsIEluZGlh
LiYjeEQ7RGl2aXNpb24gb2YgRXBpZGVtaW9sb2d5LCBCaW9zdGF0aXN0aWNzIGFuZCBQb3B1bGF0
aW9uIEhlYWx0aCwgU3QuIEpvaG4mYXBvcztzIFJlc2VhcmNoIEluc3RpdHV0ZSwgQmFuZ2Fsb3Jl
LCBLYXJuYXRha2EsIEluZGlhLiYjeEQ7RGVwYXJ0bWVudCBvZiBDbGluaWNhbCBQc3ljaG9sb2d5
LCBOYXRpb25hbCBJbnN0aXR1dGUgb2YgTWVudGFsIEhlYWx0aCBhbmQgTmV1cm9zY2llbmNlcywg
QmFuZ2Fsb3JlLCBLYXJuYXRha2EsIEluZGlhLiYjeEQ7RGVwYXJ0bWVudCBvZiBOZXVyb2xvZ3ks
IEJvc3RvbiBDaGlsZHJlbiZhcG9zO3MgSG9zcGl0YWwsIEhhcnZhcmQgTWVkaWNhbCBTY2hvb2ws
IEJvc3RvbiwgTWFzc2FjaHVzZXR0cywgVVNBLiYjeEQ7RGVwYXJ0bWVudCBvZiBCaW9zdGF0aXN0
aWNzLCBIYXJ2YXJkIFNjaG9vbCBvZiBQdWJsaWMgSGVhbHRoLCBCb3N0b24sIE1hc3NhY2h1c2V0
dHMsIFVTQS4mI3hEO0RpdmlzaW9uIG9mIE51dHJpdGlvbiwgU3QuIEpvaG4mYXBvcztzIFJlc2Vh
cmNoIEluc3RpdHV0ZSwgQmFuZ2Fsb3JlLCBLYXJuYXRha2EsIEluZGlhLiYjeEQ7RGVwYXJ0bWVu
dCBvZiBQaHlzaW9sb2d5LCBTdC4gSm9obiZhcG9zO3MgTWVkaWNhbCBDb2xsZWdlLCBCYW5nYWxv
cmUsIEthcm5hdGFrYSwgSW5kaWEuJiN4RDtDZW50ZXIgZm9yIE51dHJpdGlvbiwgRGl2aXNpb24g
b2YgR2FzdHJvZW50ZXJvbG9neSwgSGVwYXRvbG9neSBhbmQgTnV0cml0aW9uLCBCb3N0b24gQ2hp
bGRyZW4mYXBvcztzIEhvc3BpdGFsLCBCb3N0b24sIE1hc3NhY2h1c2V0dHMsIFVTQS48L2F1dGgt
YWRkcmVzcz48dGl0bGVzPjx0aXRsZT5FZmZlY3RzIG9mIG1hdGVybmFsIHZpdGFtaW4gQjEyIHN1
cHBsZW1lbnRhdGlvbiBvbiBlYXJseSBpbmZhbnQgbmV1cm9jb2duaXRpdmUgb3V0Y29tZXM6IGEg
cmFuZG9taXplZCBjb250cm9sbGVkIGNsaW5pY2FsIHRyaWFsPC90aXRsZT48c2Vjb25kYXJ5LXRp
dGxlPk1hdGVybiBDaGlsZCBOdXRyPC9zZWNvbmRhcnktdGl0bGU+PC90aXRsZXM+PHBlcmlvZGlj
YWw+PGZ1bGwtdGl0bGU+TWF0ZXJuIENoaWxkIE51dHI8L2Z1bGwtdGl0bGU+PC9wZXJpb2RpY2Fs
Pjx2b2x1bWU+MTM8L3ZvbHVtZT48bnVtYmVyPjI8L251bWJlcj48ZWRpdGlvbj4yMDE2LzA3LzAx
PC9lZGl0aW9uPjxrZXl3b3Jkcz48a2V5d29yZD5BZHVsdDwva2V5d29yZD48a2V5d29yZD5CcmFp
bi9lbWJyeW9sb2d5Lypncm93dGggJmFtcDsgZGV2ZWxvcG1lbnQ8L2tleXdvcmQ+PGtleXdvcmQ+
Q2hpbGQgRGV2ZWxvcG1lbnQ8L2tleXdvcmQ+PGtleXdvcmQ+KkNvZ25pdGlvbjwva2V5d29yZD48
a2V5d29yZD4qRGlldGFyeSBTdXBwbGVtZW50czwva2V5d29yZD48a2V5d29yZD5Eb3VibGUtQmxp
bmQgTWV0aG9kPC9rZXl3b3JkPjxrZXl3b3JkPkZlbWFsZTwva2V5d29yZD48a2V5d29yZD5GZXRh
bCBEZXZlbG9wbWVudDwva2V5d29yZD48a2V5d29yZD5Ib21vY3lzdGVpbmUvYmxvb2Q8L2tleXdv
cmQ+PGtleXdvcmQ+SHVtYW5zPC9rZXl3b3JkPjxrZXl3b3JkPkluZGlhL2VwaWRlbWlvbG9neTwv
a2V5d29yZD48a2V5d29yZD5JbmZhbnQ8L2tleXdvcmQ+PGtleXdvcmQ+TGluZWFyIE1vZGVsczwv
a2V5d29yZD48a2V5d29yZD4qTWF0ZXJuYWwgTnV0cml0aW9uYWwgUGh5c2lvbG9naWNhbCBQaGVu
b21lbmE8L2tleXdvcmQ+PGtleXdvcmQ+TWljcm9udXRyaWVudHMvYWRtaW5pc3RyYXRpb24gJmFt
cDsgZG9zYWdlL2Jsb29kPC9rZXl3b3JkPjxrZXl3b3JkPk51dHJpdGlvbmFsIFN0YXR1czwva2V5
d29yZD48a2V5d29yZD5QcmVnbmFuY3k8L2tleXdvcmQ+PGtleXdvcmQ+UHJlbmF0YWwgRXhwb3N1
cmUgRGVsYXllZCBFZmZlY3RzPC9rZXl3b3JkPjxrZXl3b3JkPlByZXZhbGVuY2U8L2tleXdvcmQ+
PGtleXdvcmQ+U29jaW9lY29ub21pYyBGYWN0b3JzPC9rZXl3b3JkPjxrZXl3b3JkPlRyZWF0bWVu
dCBPdXRjb21lPC9rZXl3b3JkPjxrZXl3b3JkPlZpdGFtaW4gQiAxMi8qYWRtaW5pc3RyYXRpb24g
JmFtcDsgZG9zYWdlPC9rZXl3b3JkPjxrZXl3b3JkPlZpdGFtaW4gQiAxMiBEZWZpY2llbmN5Lypl
cGlkZW1pb2xvZ3k8L2tleXdvcmQ+PGtleXdvcmQ+WW91bmcgQWR1bHQ8L2tleXdvcmQ+PGtleXdv
cmQ+KmFudGVuYXRhbCBudXRyaXRpb248L2tleXdvcmQ+PGtleXdvcmQ+KmNvZ25pdGl2ZSBmdW5j
dGlvbjwva2V5d29yZD48a2V5d29yZD4qaG9tb2N5c3RlaW5lPC9rZXl3b3JkPjxrZXl3b3JkPipp
bmZhbnRzPC9rZXl3b3JkPjxrZXl3b3JkPiptYXRlcm5hbCBtaWNyb251dHJpZW50czwva2V5d29y
ZD48a2V5d29yZD4qbWF0ZXJuYWwgdml0YW1pbiBCMTI8L2tleXdvcmQ+PC9rZXl3b3Jkcz48ZGF0
ZXM+PHllYXI+MjAxNzwveWVhcj48cHViLWRhdGVzPjxkYXRlPkFwcjwvZGF0ZT48L3B1Yi1kYXRl
cz48L2RhdGVzPjxpc2JuPjE3NDAtODcwOSAoRWxlY3Ryb25pYykmI3hEOzE3NDAtODY5NSAoTGlu
a2luZyk8L2lzYm4+PGFjY2Vzc2lvbi1udW0+MjczNTY1NDc8L2FjY2Vzc2lvbi1udW0+PHVybHM+
PHJlbGF0ZWQtdXJscz48dXJsPmh0dHBzOi8vd3d3Lm5jYmkubmxtLm5paC5nb3YvcHVibWVkLzI3
MzU2NTQ3PC91cmw+PC9yZWxhdGVkLXVybHM+PC91cmxzPjxjdXN0b20yPlBNQzYwOTA1NDg8L2N1
c3RvbTI+PGVsZWN0cm9uaWMtcmVzb3VyY2UtbnVtPjEwLjExMTEvbWNuLjEyMzI1PC9lbGVjdHJv
bmljLXJlc291cmNlLW51bT48L3JlY29yZD48L0NpdGU+PENpdGU+PEF1dGhvcj5UaG9tYXM8L0F1
dGhvcj48WWVhcj4yMDE5PC9ZZWFyPjxSZWNOdW0+MTYwODwvUmVjTnVtPjxyZWNvcmQ+PHJlYy1u
dW1iZXI+MTYwODwvcmVjLW51bWJlcj48Zm9yZWlnbi1rZXlzPjxrZXkgYXBwPSJFTiIgZGItaWQ9
ImV4dmFzcmZ4MmR0cmFvZXNhc3hwMnN6c3hhMmRmNTAyNTkyeCIgdGltZXN0YW1wPSIxNTc2NTU1
MDgwIj4xNjA4PC9rZXk+PGtleSBhcHA9IkVOV2ViIiBkYi1pZD0iIj4wPC9rZXk+PC9mb3JlaWdu
LWtleXM+PHJlZi10eXBlIG5hbWU9IkpvdXJuYWwgQXJ0aWNsZSI+MTc8L3JlZi10eXBlPjxjb250
cmlidXRvcnM+PGF1dGhvcnM+PGF1dGhvcj5UaG9tYXMsIFMuPC9hdXRob3I+PGF1dGhvcj5UaG9t
YXMsIFQuPC9hdXRob3I+PGF1dGhvcj5Cb3NjaCwgUi4gSi48L2F1dGhvcj48YXV0aG9yPlJhbXRo
YWwsIEEuPC9hdXRob3I+PGF1dGhvcj5CZWxsaW5nZXIsIEQuIEMuPC9hdXRob3I+PGF1dGhvcj5L
dXJwYWQsIEEuIFYuPC9hdXRob3I+PGF1dGhvcj5EdWdnYW4sIEMuIFAuPC9hdXRob3I+PGF1dGhv
cj5TcmluaXZhc2FuLCBLLjwvYXV0aG9yPjwvYXV0aG9ycz48L2NvbnRyaWJ1dG9ycz48YXV0aC1h
ZGRyZXNzPkRpdmlzaW9uIG9mIE1lbnRhbCBIZWFsdGggJmFtcDsgTmV1cm9zY2llbmNlcywgU3Qg
Sm9obiZhcG9zO3MgTmF0aW9uYWwgQWNhZGVteSBvZiBIZWFsdGggU2NpZW5jZXMsIFN0IEpvaG4m
YXBvcztzIFJlc2VhcmNoIEluc3RpdHV0ZSwgQmVuZ2FsdXJ1LCBLYXJuYXRha2EsIDU2MDAzNCwg
SW5kaWEuJiN4RDtEaXZpc2lvbiBvZiBFcGlkZW1pb2xvZ3ksIEJpb3N0YXRpc3RpY3MgYW5kIFBv
cHVsYXRpb24gSGVhbHRoLCBTdCBKb2huJmFwb3M7cyBSZXNlYXJjaCBJbnN0aXR1dGUsIEJlbmdh
bHVydSwgS2FybmF0YWthLCBJbmRpYS4mI3hEO0RlcGFydG1lbnQgb2YgQmlvc3RhdGlzdGljcywg
SGFydmFyZCBUSCBDaGFuIFNjaG9vbCBvZiBQdWJsaWMgSGVhbHRoLCBCb3N0b24sIE1BLCBVU0Eu
JiN4RDtEZXBhcnRtZW50IG9mIE5ldXJvbG9neSwgQm9zdG9uIENoaWxkcmVuJmFwb3M7cyBIb3Nw
aXRhbCwgSGFydmFyZCBNZWRpY2FsIFNjaG9vbCwgQm9zdG9uLCBNQSwgVVNBLiYjeEQ7RGl2aXNp
b24gb2YgTnV0cml0aW9uLCBTdCBKb2huJmFwb3M7cyBSZXNlYXJjaCBJbnN0aXR1dGUsIEJlbmdh
bHVydSwgS2FybmF0YWthLCBJbmRpYS4mI3hEO0RlcGFydG1lbnQgb2YgUGh5c2lvbG9neSwgU3Qg
Sm9obnMgTWVkaWNhbCBDb2xsZWdlLCBCZW5nYWx1cnUsIEthcm5hdGFrYSwgSW5kaWEuJiN4RDtE
aXZpc2lvbiBvZiBHYXN0cm9lbnRlcm9sb2d5LCBIZXBhdG9sb2d5IGFuZCBOdXRyaXRpb24sIENl
bnRlciBmb3IgTnV0cml0aW9uLCBCb3N0b24gQ2hpbGRyZW4mYXBvcztzIEhvc3BpdGFsLCBCb3N0
b24sIE1BLCBVU0EuJiN4RDtEaXZpc2lvbiBvZiBNZW50YWwgSGVhbHRoICZhbXA7IE5ldXJvc2Np
ZW5jZXMsIFN0IEpvaG4mYXBvcztzIE5hdGlvbmFsIEFjYWRlbXkgb2YgSGVhbHRoIFNjaWVuY2Vz
LCBTdCBKb2huJmFwb3M7cyBSZXNlYXJjaCBJbnN0aXR1dGUsIEJlbmdhbHVydSwgS2FybmF0YWth
LCA1NjAwMzQsIEluZGlhLiBzcmluaXZhc0BzanJpLnJlcy5pbi4mI3hEO0RlcGFydG1lbnQgb2Yg
UHN5Y2hpYXRyeSwgU3QgSm9obiZhcG9zO3MgTWVkaWNhbCBDb2xsZWdlLCBCZW5nYWx1cnUsIEth
cm5hdGFrYSwgSW5kaWEuIHNyaW5pdmFzQHNqcmkucmVzLmluLjwvYXV0aC1hZGRyZXNzPjx0aXRs
ZXM+PHRpdGxlPkVmZmVjdCBvZiBtYXRlcm5hbCB2aXRhbWluIEIxMiBTdXBwbGVtZW50YXRpb24g
b24gY29nbml0aXZlIG91dGNvbWVzIGluIFNvdXRoIEluZGlhbiBjaGlsZHJlbjogYSByYW5kb21p
emVkIGNvbnRyb2xsZWQgY2xpbmljYWwgdHJpYWw8L3RpdGxlPjxzZWNvbmRhcnktdGl0bGU+TWF0
ZXJuIENoaWxkIEhlYWx0aCBKPC9zZWNvbmRhcnktdGl0bGU+PC90aXRsZXM+PHBlcmlvZGljYWw+
PGZ1bGwtdGl0bGU+TWF0ZXJuIENoaWxkIEhlYWx0aCBKPC9mdWxsLXRpdGxlPjwvcGVyaW9kaWNh
bD48cGFnZXM+MTU1LTE2MzwvcGFnZXM+PHZvbHVtZT4yMzwvdm9sdW1lPjxudW1iZXI+MjwvbnVt
YmVyPjxlZGl0aW9uPjIwMTgvMDcvMTQ8L2VkaXRpb24+PGtleXdvcmRzPjxrZXl3b3JkPkNoaWxk
PC9rZXl3b3JkPjxrZXl3b3JkPipDaGlsZCBEZXZlbG9wbWVudDwva2V5d29yZD48a2V5d29yZD5D
b2duaXRpb24vKmRydWcgZWZmZWN0cy9waHlzaW9sb2d5PC9rZXl3b3JkPjxrZXl3b3JkPipEaWV0
YXJ5IFN1cHBsZW1lbnRzPC9rZXl3b3JkPjxrZXl3b3JkPkZlbWFsZTwva2V5d29yZD48a2V5d29y
ZD4qRmV0YWwgRGV2ZWxvcG1lbnQ8L2tleXdvcmQ+PGtleXdvcmQ+SHVtYW5zPC9rZXl3b3JkPjxr
ZXl3b3JkPkluZGlhL2VwaWRlbWlvbG9neTwva2V5d29yZD48a2V5d29yZD5JbmZhbnQ8L2tleXdv
cmQ+PGtleXdvcmQ+TWFsZTwva2V5d29yZD48a2V5d29yZD5NYXRlcm5hbCBOdXRyaXRpb25hbCBQ
aHlzaW9sb2dpY2FsIFBoZW5vbWVuYTwva2V5d29yZD48a2V5d29yZD5Qb3N0bmF0YWwgQ2FyZTwv
a2V5d29yZD48a2V5d29yZD5QcmVnbmFuY3k8L2tleXdvcmQ+PGtleXdvcmQ+UHJlbmF0YWwgQ2Fy
ZTwva2V5d29yZD48a2V5d29yZD5QcmVuYXRhbCBFeHBvc3VyZSBEZWxheWVkIEVmZmVjdHM8L2tl
eXdvcmQ+PGtleXdvcmQ+U29jaW9lY29ub21pYyBGYWN0b3JzPC9rZXl3b3JkPjxrZXl3b3JkPlRy
ZWF0bWVudCBPdXRjb21lPC9rZXl3b3JkPjxrZXl3b3JkPlZpdGFtaW4gQiAxMi8qYWRtaW5pc3Ry
YXRpb24gJmFtcDsgZG9zYWdlL2Jsb29kPC9rZXl3b3JkPjxrZXl3b3JkPkNvZ25pdGlvbjwva2V5
d29yZD48a2V5d29yZD5FbGV2YXRlZCBob21vY3lzdGVpbmUgbGV2ZWxzPC9rZXl3b3JkPjxrZXl3
b3JkPlZpdGFtaW4gQjEyIHN1cHBsZW1lbnRhdGlvbjwva2V5d29yZD48L2tleXdvcmRzPjxkYXRl
cz48eWVhcj4yMDE5PC95ZWFyPjxwdWItZGF0ZXM+PGRhdGU+RmViPC9kYXRlPjwvcHViLWRhdGVz
PjwvZGF0ZXM+PGlzYm4+MTU3My02NjI4IChFbGVjdHJvbmljKSYjeEQ7MTA5Mi03ODc1IChMaW5r
aW5nKTwvaXNibj48YWNjZXNzaW9uLW51bT4zMDAwMzUyMTwvYWNjZXNzaW9uLW51bT48dXJscz48
cmVsYXRlZC11cmxzPjx1cmw+aHR0cHM6Ly93d3cubmNiaS5ubG0ubmloLmdvdi9wdWJtZWQvMzAw
MDM1MjE8L3VybD48L3JlbGF0ZWQtdXJscz48L3VybHM+PGVsZWN0cm9uaWMtcmVzb3VyY2UtbnVt
PjEwLjEwMDcvczEwOTk1LTAxOC0yNjA1LXo8L2VsZWN0cm9uaWMtcmVzb3VyY2UtbnVtPjwvcmVj
b3JkPjwvQ2l0ZT48Q2l0ZT48QXV0aG9yPlNpZGRpcXVhPC9BdXRob3I+PFllYXI+MjAxNjwvWWVh
cj48UmVjTnVtPjE2MDQ8L1JlY051bT48cmVjb3JkPjxyZWMtbnVtYmVyPjE2MDQ8L3JlYy1udW1i
ZXI+PGZvcmVpZ24ta2V5cz48a2V5IGFwcD0iRU4iIGRiLWlkPSJleHZhc3JmeDJkdHJhb2VzYXN4
cDJzenN4YTJkZjUwMjU5MngiIHRpbWVzdGFtcD0iMTU3NjU1NTA1OCI+MTYwNDwva2V5PjxrZXkg
YXBwPSJFTldlYiIgZGItaWQ9IiI+MDwva2V5PjwvZm9yZWlnbi1rZXlzPjxyZWYtdHlwZSBuYW1l
PSJKb3VybmFsIEFydGljbGUiPjE3PC9yZWYtdHlwZT48Y29udHJpYnV0b3JzPjxhdXRob3JzPjxh
dXRob3I+U2lkZGlxdWEsIFQuIEouPC9hdXRob3I+PGF1dGhvcj5BaG1hZCwgUy4gTS48L2F1dGhv
cj48YXV0aG9yPkFoc2FuLCBLLiBCLjwvYXV0aG9yPjxhdXRob3I+UmFzaGlkLCBNLjwvYXV0aG9y
PjxhdXRob3I+Um95LCBBLjwvYXV0aG9yPjxhdXRob3I+UmFobWFuLCBTLiBNLjwvYXV0aG9yPjxh
dXRob3I+U2hhaGFiLUZlcmRvd3MsIFMuPC9hdXRob3I+PGF1dGhvcj5IYW1wZWwsIEQuPC9hdXRo
b3I+PGF1dGhvcj5BaG1lZCwgVC48L2F1dGhvcj48YXV0aG9yPkFsbGVuLCBMLiBILjwvYXV0aG9y
PjxhdXRob3I+UmFxaWIsIFIuPC9hdXRob3I+PC9hdXRob3JzPjwvY29udHJpYnV0b3JzPjxhdXRo
LWFkZHJlc3M+TnV0cml0aW9uYWwgQmlvY2hlbWlzdHJ5IExhYm9yYXRvcnksIEludGVybmF0aW9u
YWwgQ2VudHJlIGZvciBEaWFycmhlYWwgRGlzZWFzZSBSZXNlYXJjaCwgQmFuZ2xhZGVzaCAoSUNE
RFIsQiksIDY4IFNoYWhlZWQgVGFqdWRkaW4gQWhtZWQgU2FyYW5pLCBNb2hha2hhbGksIERoYWth
LCAxMjEyLCBCYW5nbGFkZXNoLiYjeEQ7RGVwYXJ0bWVudCBvZiBOdXRyaXRpb24sIFVuaXZlcnNp
dHkgb2YgQ2FsaWZvcm5pYSwgRGF2aXMsIENBLCBVU0EuJiN4RDtBUlMgV2VzdGVybiBIdW1hbiBO
dXRyaXRpb24gUmVzZWFyY2ggQ2VudGVyLCBVU0RBLCBEYXZpcywgQ0EsIFVTQS4mI3hEO051dHJp
dGlvbmFsIEJpb2NoZW1pc3RyeSBMYWJvcmF0b3J5LCBJbnRlcm5hdGlvbmFsIENlbnRyZSBmb3Ig
RGlhcnJoZWFsIERpc2Vhc2UgUmVzZWFyY2gsIEJhbmdsYWRlc2ggKElDRERSLEIpLCA2OCBTaGFo
ZWVkIFRhanVkZGluIEFobWVkIFNhcmFuaSwgTW9oYWtoYWxpLCBEaGFrYSwgMTIxMiwgQmFuZ2xh
ZGVzaC4gcnViaGFuYUBpY2RkcmIub3JnLjwvYXV0aC1hZGRyZXNzPjx0aXRsZXM+PHRpdGxlPlZp
dGFtaW4gQjEyIHN1cHBsZW1lbnRhdGlvbiBkdXJpbmcgcHJlZ25hbmN5IGFuZCBwb3N0cGFydHVt
IGltcHJvdmVzIEIxMiBzdGF0dXMgb2YgYm90aCBtb3RoZXJzIGFuZCBpbmZhbnRzIGJ1dCB2YWNj
aW5lIHJlc3BvbnNlIGluIG1vdGhlcnMgb25seTogYSByYW5kb21pemVkIGNsaW5pY2FsIHRyaWFs
IGluIEJhbmdsYWRlc2g8L3RpdGxlPjxzZWNvbmRhcnktdGl0bGU+RXVyIEogTnV0cjwvc2Vjb25k
YXJ5LXRpdGxlPjwvdGl0bGVzPjxwZXJpb2RpY2FsPjxmdWxsLXRpdGxlPkV1ciBKIE51dHI8L2Z1
bGwtdGl0bGU+PC9wZXJpb2RpY2FsPjxwYWdlcz4yODEtOTM8L3BhZ2VzPjx2b2x1bWU+NTU8L3Zv
bHVtZT48bnVtYmVyPjE8L251bWJlcj48ZWRpdGlvbj4yMDE1LzAyLzA1PC9lZGl0aW9uPjxrZXl3
b3Jkcz48a2V5d29yZD5BZG9sZXNjZW50PC9rZXl3b3JkPjxrZXl3b3JkPkFkdWx0PC9rZXl3b3Jk
PjxrZXl3b3JkPkJhbmdsYWRlc2g8L2tleXdvcmQ+PGtleXdvcmQ+QmlvbWFya2Vycy9ibG9vZDwv
a2V5d29yZD48a2V5d29yZD5DLVJlYWN0aXZlIFByb3RlaW4vbWV0YWJvbGlzbTwva2V5d29yZD48
a2V5d29yZD4qRGlldGFyeSBTdXBwbGVtZW50czwva2V5d29yZD48a2V5d29yZD5Eb3NlLVJlc3Bv
bnNlIFJlbGF0aW9uc2hpcCwgRHJ1Zzwva2V5d29yZD48a2V5d29yZD5GZW1hbGU8L2tleXdvcmQ+
PGtleXdvcmQ+RmVycml0aW5zL2Jsb29kPC9rZXl3b3JkPjxrZXl3b3JkPkZvbGljIEFjaWQvYWRt
aW5pc3RyYXRpb24gJmFtcDsgZG9zYWdlL2Jsb29kPC9rZXl3b3JkPjxrZXl3b3JkPkhlbW9nbG9i
aW5zL21ldGFib2xpc208L2tleXdvcmQ+PGtleXdvcmQ+SG9tb2N5c3RlaW5lL2Jsb29kPC9rZXl3
b3JkPjxrZXl3b3JkPkh1bWFuczwva2V5d29yZD48a2V5d29yZD5JbW11bm9nbG9idWxpbiBBL2Js
b29kPC9rZXl3b3JkPjxrZXl3b3JkPkluZmFudDwva2V5d29yZD48a2V5d29yZD5JbmZsdWVuemEg
QSBWaXJ1cywgSDFOMSBTdWJ0eXBlPC9rZXl3b3JkPjxrZXl3b3JkPkluZmx1ZW56YSBWYWNjaW5l
cy8qaW1tdW5vbG9neTwva2V5d29yZD48a2V5d29yZD5JbmZsdWVuemEsIEh1bWFuL3ByZXZlbnRp
b24gJmFtcDsgY29udHJvbDwva2V5d29yZD48a2V5d29yZD5MYWN0YXRpb248L2tleXdvcmQ+PGtl
eXdvcmQ+TWF0ZXJuYWwgTnV0cml0aW9uYWwgUGh5c2lvbG9naWNhbCBQaGVub21lbmE8L2tleXdv
cmQ+PGtleXdvcmQ+TWV0aHlsbWFsb25pYyBBY2lkL2Jsb29kPC9rZXl3b3JkPjxrZXl3b3JkPk1p
bGssIEh1bWFuPC9rZXl3b3JkPjxrZXl3b3JkPk9yb3NvbXVjb2lkL21ldGFib2xpc208L2tleXdv
cmQ+PGtleXdvcmQ+UG9zdHBhcnR1bSBQZXJpb2QvKmRydWcgZWZmZWN0cy9tZXRhYm9saXNtPC9r
ZXl3b3JkPjxrZXl3b3JkPlByZWduYW5jeTwva2V5d29yZD48a2V5d29yZD5SZWNlcHRvcnMsIFRy
YW5zZmVycmluL2Jsb29kPC9rZXl3b3JkPjxrZXl3b3JkPlZpdGFtaW4gQiAxMi8qYWRtaW5pc3Ry
YXRpb24gJmFtcDsgZG9zYWdlL2Jsb29kPC9rZXl3b3JkPjxrZXl3b3JkPllvdW5nIEFkdWx0PC9r
ZXl3b3JkPjxrZXl3b3JkPkJyZWFzdCBtaWxrIEIxMjwva2V5d29yZD48a2V5d29yZD5NZXRoeWxt
YWxvbmljIGFjaWQ8L2tleXdvcmQ+PGtleXdvcmQ+VmFjY2luZSByZXNwb25zZTwva2V5d29yZD48
a2V5d29yZD5WaXRhbWluIEIxMiBzdXBwbGVtZW50YXRpb248L2tleXdvcmQ+PC9rZXl3b3Jkcz48
ZGF0ZXM+PHllYXI+MjAxNjwveWVhcj48cHViLWRhdGVzPjxkYXRlPkZlYjwvZGF0ZT48L3B1Yi1k
YXRlcz48L2RhdGVzPjxpc2JuPjE0MzYtNjIxNSAoRWxlY3Ryb25pYykmI3hEOzE0MzYtNjIwNyAo
TGlua2luZyk8L2lzYm4+PGFjY2Vzc2lvbi1udW0+MjU2NDg3Mzg8L2FjY2Vzc2lvbi1udW0+PHVy
bHM+PHJlbGF0ZWQtdXJscz48dXJsPmh0dHBzOi8vd3d3Lm5jYmkubmxtLm5paC5nb3YvcHVibWVk
LzI1NjQ4NzM4PC91cmw+PC9yZWxhdGVkLXVybHM+PC91cmxzPjxlbGVjdHJvbmljLXJlc291cmNl
LW51bT4xMC4xMDA3L3MwMDM5NC0wMTUtMDg0NS14PC9lbGVjdHJvbmljLXJlc291cmNlLW51bT48
L3JlY29yZD48L0NpdGU+PC9FbmROb3RlPn==
</w:fldData>
        </w:fldChar>
      </w:r>
      <w:r w:rsidR="002747EA">
        <w:instrText xml:space="preserve"> ADDIN EN.CITE </w:instrText>
      </w:r>
      <w:r w:rsidR="002747EA">
        <w:fldChar w:fldCharType="begin">
          <w:fldData xml:space="preserve">PEVuZE5vdGU+PENpdGU+PEF1dGhvcj5TcmluaXZhc2FuPC9BdXRob3I+PFllYXI+MjAxNzwvWWVh
cj48UmVjTnVtPjE2MDU8L1JlY051bT48RGlzcGxheVRleHQ+PHN0eWxlIGZhY2U9InN1cGVyc2Ny
aXB0IiBmb250PSJUcmVidWNoZXQgTVMiIHNpemU9IjkiPjE0NC0xNDY8L3N0eWxlPjwvRGlzcGxh
eVRleHQ+PHJlY29yZD48cmVjLW51bWJlcj4xNjA1PC9yZWMtbnVtYmVyPjxmb3JlaWduLWtleXM+
PGtleSBhcHA9IkVOIiBkYi1pZD0iZXh2YXNyZngyZHRyYW9lc2FzeHAyc3pzeGEyZGY1MDI1OTJ4
IiB0aW1lc3RhbXA9IjE1NzY1NTUwNjQiPjE2MDU8L2tleT48a2V5IGFwcD0iRU5XZWIiIGRiLWlk
PSIiPjA8L2tleT48L2ZvcmVpZ24ta2V5cz48cmVmLXR5cGUgbmFtZT0iSm91cm5hbCBBcnRpY2xl
Ij4xNzwvcmVmLXR5cGU+PGNvbnRyaWJ1dG9ycz48YXV0aG9ycz48YXV0aG9yPlNyaW5pdmFzYW4s
IEsuPC9hdXRob3I+PGF1dGhvcj5UaG9tYXMsIFQuPC9hdXRob3I+PGF1dGhvcj5LYXBhbmVlLCBB
LiBSLjwvYXV0aG9yPjxhdXRob3I+UmFtdGhhbCwgQS48L2F1dGhvcj48YXV0aG9yPkJlbGxpbmdl
ciwgRC4gQy48L2F1dGhvcj48YXV0aG9yPkJvc2NoLCBSLiBKLjwvYXV0aG9yPjxhdXRob3I+S3Vy
cGFkLCBBLiBWLjwvYXV0aG9yPjxhdXRob3I+RHVnZ2FuLCBDLjwvYXV0aG9yPjwvYXV0aG9ycz48
L2NvbnRyaWJ1dG9ycz48YXV0aC1hZGRyZXNzPkRpdmlzaW9uIG9mIE1lbnRhbCBIZWFsdGggYW5k
IE5ldXJvc2NpZW5jZXMsIFN0LiBKb2huJmFwb3M7cyBSZXNlYXJjaCBJbnN0aXR1dGUsIEJlbmdh
bHVydSwgS2FybmF0YWthLCBJbmRpYS4mI3hEO0RlcGFydG1lbnQgb2YgUHN5Y2hpYXRyeSwgU3Qu
IEpvaG4mYXBvcztzIE1lZGljYWwgQ29sbGVnZSwgQmFuZ2Fsb3JlLCBLYXJuYXRha2EsIEluZGlh
LiYjeEQ7RGl2aXNpb24gb2YgRXBpZGVtaW9sb2d5LCBCaW9zdGF0aXN0aWNzIGFuZCBQb3B1bGF0
aW9uIEhlYWx0aCwgU3QuIEpvaG4mYXBvcztzIFJlc2VhcmNoIEluc3RpdHV0ZSwgQmFuZ2Fsb3Jl
LCBLYXJuYXRha2EsIEluZGlhLiYjeEQ7RGVwYXJ0bWVudCBvZiBDbGluaWNhbCBQc3ljaG9sb2d5
LCBOYXRpb25hbCBJbnN0aXR1dGUgb2YgTWVudGFsIEhlYWx0aCBhbmQgTmV1cm9zY2llbmNlcywg
QmFuZ2Fsb3JlLCBLYXJuYXRha2EsIEluZGlhLiYjeEQ7RGVwYXJ0bWVudCBvZiBOZXVyb2xvZ3ks
IEJvc3RvbiBDaGlsZHJlbiZhcG9zO3MgSG9zcGl0YWwsIEhhcnZhcmQgTWVkaWNhbCBTY2hvb2ws
IEJvc3RvbiwgTWFzc2FjaHVzZXR0cywgVVNBLiYjeEQ7RGVwYXJ0bWVudCBvZiBCaW9zdGF0aXN0
aWNzLCBIYXJ2YXJkIFNjaG9vbCBvZiBQdWJsaWMgSGVhbHRoLCBCb3N0b24sIE1hc3NhY2h1c2V0
dHMsIFVTQS4mI3hEO0RpdmlzaW9uIG9mIE51dHJpdGlvbiwgU3QuIEpvaG4mYXBvcztzIFJlc2Vh
cmNoIEluc3RpdHV0ZSwgQmFuZ2Fsb3JlLCBLYXJuYXRha2EsIEluZGlhLiYjeEQ7RGVwYXJ0bWVu
dCBvZiBQaHlzaW9sb2d5LCBTdC4gSm9obiZhcG9zO3MgTWVkaWNhbCBDb2xsZWdlLCBCYW5nYWxv
cmUsIEthcm5hdGFrYSwgSW5kaWEuJiN4RDtDZW50ZXIgZm9yIE51dHJpdGlvbiwgRGl2aXNpb24g
b2YgR2FzdHJvZW50ZXJvbG9neSwgSGVwYXRvbG9neSBhbmQgTnV0cml0aW9uLCBCb3N0b24gQ2hp
bGRyZW4mYXBvcztzIEhvc3BpdGFsLCBCb3N0b24sIE1hc3NhY2h1c2V0dHMsIFVTQS48L2F1dGgt
YWRkcmVzcz48dGl0bGVzPjx0aXRsZT5FZmZlY3RzIG9mIG1hdGVybmFsIHZpdGFtaW4gQjEyIHN1
cHBsZW1lbnRhdGlvbiBvbiBlYXJseSBpbmZhbnQgbmV1cm9jb2duaXRpdmUgb3V0Y29tZXM6IGEg
cmFuZG9taXplZCBjb250cm9sbGVkIGNsaW5pY2FsIHRyaWFsPC90aXRsZT48c2Vjb25kYXJ5LXRp
dGxlPk1hdGVybiBDaGlsZCBOdXRyPC9zZWNvbmRhcnktdGl0bGU+PC90aXRsZXM+PHBlcmlvZGlj
YWw+PGZ1bGwtdGl0bGU+TWF0ZXJuIENoaWxkIE51dHI8L2Z1bGwtdGl0bGU+PC9wZXJpb2RpY2Fs
Pjx2b2x1bWU+MTM8L3ZvbHVtZT48bnVtYmVyPjI8L251bWJlcj48ZWRpdGlvbj4yMDE2LzA3LzAx
PC9lZGl0aW9uPjxrZXl3b3Jkcz48a2V5d29yZD5BZHVsdDwva2V5d29yZD48a2V5d29yZD5CcmFp
bi9lbWJyeW9sb2d5Lypncm93dGggJmFtcDsgZGV2ZWxvcG1lbnQ8L2tleXdvcmQ+PGtleXdvcmQ+
Q2hpbGQgRGV2ZWxvcG1lbnQ8L2tleXdvcmQ+PGtleXdvcmQ+KkNvZ25pdGlvbjwva2V5d29yZD48
a2V5d29yZD4qRGlldGFyeSBTdXBwbGVtZW50czwva2V5d29yZD48a2V5d29yZD5Eb3VibGUtQmxp
bmQgTWV0aG9kPC9rZXl3b3JkPjxrZXl3b3JkPkZlbWFsZTwva2V5d29yZD48a2V5d29yZD5GZXRh
bCBEZXZlbG9wbWVudDwva2V5d29yZD48a2V5d29yZD5Ib21vY3lzdGVpbmUvYmxvb2Q8L2tleXdv
cmQ+PGtleXdvcmQ+SHVtYW5zPC9rZXl3b3JkPjxrZXl3b3JkPkluZGlhL2VwaWRlbWlvbG9neTwv
a2V5d29yZD48a2V5d29yZD5JbmZhbnQ8L2tleXdvcmQ+PGtleXdvcmQ+TGluZWFyIE1vZGVsczwv
a2V5d29yZD48a2V5d29yZD4qTWF0ZXJuYWwgTnV0cml0aW9uYWwgUGh5c2lvbG9naWNhbCBQaGVu
b21lbmE8L2tleXdvcmQ+PGtleXdvcmQ+TWljcm9udXRyaWVudHMvYWRtaW5pc3RyYXRpb24gJmFt
cDsgZG9zYWdlL2Jsb29kPC9rZXl3b3JkPjxrZXl3b3JkPk51dHJpdGlvbmFsIFN0YXR1czwva2V5
d29yZD48a2V5d29yZD5QcmVnbmFuY3k8L2tleXdvcmQ+PGtleXdvcmQ+UHJlbmF0YWwgRXhwb3N1
cmUgRGVsYXllZCBFZmZlY3RzPC9rZXl3b3JkPjxrZXl3b3JkPlByZXZhbGVuY2U8L2tleXdvcmQ+
PGtleXdvcmQ+U29jaW9lY29ub21pYyBGYWN0b3JzPC9rZXl3b3JkPjxrZXl3b3JkPlRyZWF0bWVu
dCBPdXRjb21lPC9rZXl3b3JkPjxrZXl3b3JkPlZpdGFtaW4gQiAxMi8qYWRtaW5pc3RyYXRpb24g
JmFtcDsgZG9zYWdlPC9rZXl3b3JkPjxrZXl3b3JkPlZpdGFtaW4gQiAxMiBEZWZpY2llbmN5Lypl
cGlkZW1pb2xvZ3k8L2tleXdvcmQ+PGtleXdvcmQ+WW91bmcgQWR1bHQ8L2tleXdvcmQ+PGtleXdv
cmQ+KmFudGVuYXRhbCBudXRyaXRpb248L2tleXdvcmQ+PGtleXdvcmQ+KmNvZ25pdGl2ZSBmdW5j
dGlvbjwva2V5d29yZD48a2V5d29yZD4qaG9tb2N5c3RlaW5lPC9rZXl3b3JkPjxrZXl3b3JkPipp
bmZhbnRzPC9rZXl3b3JkPjxrZXl3b3JkPiptYXRlcm5hbCBtaWNyb251dHJpZW50czwva2V5d29y
ZD48a2V5d29yZD4qbWF0ZXJuYWwgdml0YW1pbiBCMTI8L2tleXdvcmQ+PC9rZXl3b3Jkcz48ZGF0
ZXM+PHllYXI+MjAxNzwveWVhcj48cHViLWRhdGVzPjxkYXRlPkFwcjwvZGF0ZT48L3B1Yi1kYXRl
cz48L2RhdGVzPjxpc2JuPjE3NDAtODcwOSAoRWxlY3Ryb25pYykmI3hEOzE3NDAtODY5NSAoTGlu
a2luZyk8L2lzYm4+PGFjY2Vzc2lvbi1udW0+MjczNTY1NDc8L2FjY2Vzc2lvbi1udW0+PHVybHM+
PHJlbGF0ZWQtdXJscz48dXJsPmh0dHBzOi8vd3d3Lm5jYmkubmxtLm5paC5nb3YvcHVibWVkLzI3
MzU2NTQ3PC91cmw+PC9yZWxhdGVkLXVybHM+PC91cmxzPjxjdXN0b20yPlBNQzYwOTA1NDg8L2N1
c3RvbTI+PGVsZWN0cm9uaWMtcmVzb3VyY2UtbnVtPjEwLjExMTEvbWNuLjEyMzI1PC9lbGVjdHJv
bmljLXJlc291cmNlLW51bT48L3JlY29yZD48L0NpdGU+PENpdGU+PEF1dGhvcj5UaG9tYXM8L0F1
dGhvcj48WWVhcj4yMDE5PC9ZZWFyPjxSZWNOdW0+MTYwODwvUmVjTnVtPjxyZWNvcmQ+PHJlYy1u
dW1iZXI+MTYwODwvcmVjLW51bWJlcj48Zm9yZWlnbi1rZXlzPjxrZXkgYXBwPSJFTiIgZGItaWQ9
ImV4dmFzcmZ4MmR0cmFvZXNhc3hwMnN6c3hhMmRmNTAyNTkyeCIgdGltZXN0YW1wPSIxNTc2NTU1
MDgwIj4xNjA4PC9rZXk+PGtleSBhcHA9IkVOV2ViIiBkYi1pZD0iIj4wPC9rZXk+PC9mb3JlaWdu
LWtleXM+PHJlZi10eXBlIG5hbWU9IkpvdXJuYWwgQXJ0aWNsZSI+MTc8L3JlZi10eXBlPjxjb250
cmlidXRvcnM+PGF1dGhvcnM+PGF1dGhvcj5UaG9tYXMsIFMuPC9hdXRob3I+PGF1dGhvcj5UaG9t
YXMsIFQuPC9hdXRob3I+PGF1dGhvcj5Cb3NjaCwgUi4gSi48L2F1dGhvcj48YXV0aG9yPlJhbXRo
YWwsIEEuPC9hdXRob3I+PGF1dGhvcj5CZWxsaW5nZXIsIEQuIEMuPC9hdXRob3I+PGF1dGhvcj5L
dXJwYWQsIEEuIFYuPC9hdXRob3I+PGF1dGhvcj5EdWdnYW4sIEMuIFAuPC9hdXRob3I+PGF1dGhv
cj5TcmluaXZhc2FuLCBLLjwvYXV0aG9yPjwvYXV0aG9ycz48L2NvbnRyaWJ1dG9ycz48YXV0aC1h
ZGRyZXNzPkRpdmlzaW9uIG9mIE1lbnRhbCBIZWFsdGggJmFtcDsgTmV1cm9zY2llbmNlcywgU3Qg
Sm9obiZhcG9zO3MgTmF0aW9uYWwgQWNhZGVteSBvZiBIZWFsdGggU2NpZW5jZXMsIFN0IEpvaG4m
YXBvcztzIFJlc2VhcmNoIEluc3RpdHV0ZSwgQmVuZ2FsdXJ1LCBLYXJuYXRha2EsIDU2MDAzNCwg
SW5kaWEuJiN4RDtEaXZpc2lvbiBvZiBFcGlkZW1pb2xvZ3ksIEJpb3N0YXRpc3RpY3MgYW5kIFBv
cHVsYXRpb24gSGVhbHRoLCBTdCBKb2huJmFwb3M7cyBSZXNlYXJjaCBJbnN0aXR1dGUsIEJlbmdh
bHVydSwgS2FybmF0YWthLCBJbmRpYS4mI3hEO0RlcGFydG1lbnQgb2YgQmlvc3RhdGlzdGljcywg
SGFydmFyZCBUSCBDaGFuIFNjaG9vbCBvZiBQdWJsaWMgSGVhbHRoLCBCb3N0b24sIE1BLCBVU0Eu
JiN4RDtEZXBhcnRtZW50IG9mIE5ldXJvbG9neSwgQm9zdG9uIENoaWxkcmVuJmFwb3M7cyBIb3Nw
aXRhbCwgSGFydmFyZCBNZWRpY2FsIFNjaG9vbCwgQm9zdG9uLCBNQSwgVVNBLiYjeEQ7RGl2aXNp
b24gb2YgTnV0cml0aW9uLCBTdCBKb2huJmFwb3M7cyBSZXNlYXJjaCBJbnN0aXR1dGUsIEJlbmdh
bHVydSwgS2FybmF0YWthLCBJbmRpYS4mI3hEO0RlcGFydG1lbnQgb2YgUGh5c2lvbG9neSwgU3Qg
Sm9obnMgTWVkaWNhbCBDb2xsZWdlLCBCZW5nYWx1cnUsIEthcm5hdGFrYSwgSW5kaWEuJiN4RDtE
aXZpc2lvbiBvZiBHYXN0cm9lbnRlcm9sb2d5LCBIZXBhdG9sb2d5IGFuZCBOdXRyaXRpb24sIENl
bnRlciBmb3IgTnV0cml0aW9uLCBCb3N0b24gQ2hpbGRyZW4mYXBvcztzIEhvc3BpdGFsLCBCb3N0
b24sIE1BLCBVU0EuJiN4RDtEaXZpc2lvbiBvZiBNZW50YWwgSGVhbHRoICZhbXA7IE5ldXJvc2Np
ZW5jZXMsIFN0IEpvaG4mYXBvcztzIE5hdGlvbmFsIEFjYWRlbXkgb2YgSGVhbHRoIFNjaWVuY2Vz
LCBTdCBKb2huJmFwb3M7cyBSZXNlYXJjaCBJbnN0aXR1dGUsIEJlbmdhbHVydSwgS2FybmF0YWth
LCA1NjAwMzQsIEluZGlhLiBzcmluaXZhc0BzanJpLnJlcy5pbi4mI3hEO0RlcGFydG1lbnQgb2Yg
UHN5Y2hpYXRyeSwgU3QgSm9obiZhcG9zO3MgTWVkaWNhbCBDb2xsZWdlLCBCZW5nYWx1cnUsIEth
cm5hdGFrYSwgSW5kaWEuIHNyaW5pdmFzQHNqcmkucmVzLmluLjwvYXV0aC1hZGRyZXNzPjx0aXRs
ZXM+PHRpdGxlPkVmZmVjdCBvZiBtYXRlcm5hbCB2aXRhbWluIEIxMiBTdXBwbGVtZW50YXRpb24g
b24gY29nbml0aXZlIG91dGNvbWVzIGluIFNvdXRoIEluZGlhbiBjaGlsZHJlbjogYSByYW5kb21p
emVkIGNvbnRyb2xsZWQgY2xpbmljYWwgdHJpYWw8L3RpdGxlPjxzZWNvbmRhcnktdGl0bGU+TWF0
ZXJuIENoaWxkIEhlYWx0aCBKPC9zZWNvbmRhcnktdGl0bGU+PC90aXRsZXM+PHBlcmlvZGljYWw+
PGZ1bGwtdGl0bGU+TWF0ZXJuIENoaWxkIEhlYWx0aCBKPC9mdWxsLXRpdGxlPjwvcGVyaW9kaWNh
bD48cGFnZXM+MTU1LTE2MzwvcGFnZXM+PHZvbHVtZT4yMzwvdm9sdW1lPjxudW1iZXI+MjwvbnVt
YmVyPjxlZGl0aW9uPjIwMTgvMDcvMTQ8L2VkaXRpb24+PGtleXdvcmRzPjxrZXl3b3JkPkNoaWxk
PC9rZXl3b3JkPjxrZXl3b3JkPipDaGlsZCBEZXZlbG9wbWVudDwva2V5d29yZD48a2V5d29yZD5D
b2duaXRpb24vKmRydWcgZWZmZWN0cy9waHlzaW9sb2d5PC9rZXl3b3JkPjxrZXl3b3JkPipEaWV0
YXJ5IFN1cHBsZW1lbnRzPC9rZXl3b3JkPjxrZXl3b3JkPkZlbWFsZTwva2V5d29yZD48a2V5d29y
ZD4qRmV0YWwgRGV2ZWxvcG1lbnQ8L2tleXdvcmQ+PGtleXdvcmQ+SHVtYW5zPC9rZXl3b3JkPjxr
ZXl3b3JkPkluZGlhL2VwaWRlbWlvbG9neTwva2V5d29yZD48a2V5d29yZD5JbmZhbnQ8L2tleXdv
cmQ+PGtleXdvcmQ+TWFsZTwva2V5d29yZD48a2V5d29yZD5NYXRlcm5hbCBOdXRyaXRpb25hbCBQ
aHlzaW9sb2dpY2FsIFBoZW5vbWVuYTwva2V5d29yZD48a2V5d29yZD5Qb3N0bmF0YWwgQ2FyZTwv
a2V5d29yZD48a2V5d29yZD5QcmVnbmFuY3k8L2tleXdvcmQ+PGtleXdvcmQ+UHJlbmF0YWwgQ2Fy
ZTwva2V5d29yZD48a2V5d29yZD5QcmVuYXRhbCBFeHBvc3VyZSBEZWxheWVkIEVmZmVjdHM8L2tl
eXdvcmQ+PGtleXdvcmQ+U29jaW9lY29ub21pYyBGYWN0b3JzPC9rZXl3b3JkPjxrZXl3b3JkPlRy
ZWF0bWVudCBPdXRjb21lPC9rZXl3b3JkPjxrZXl3b3JkPlZpdGFtaW4gQiAxMi8qYWRtaW5pc3Ry
YXRpb24gJmFtcDsgZG9zYWdlL2Jsb29kPC9rZXl3b3JkPjxrZXl3b3JkPkNvZ25pdGlvbjwva2V5
d29yZD48a2V5d29yZD5FbGV2YXRlZCBob21vY3lzdGVpbmUgbGV2ZWxzPC9rZXl3b3JkPjxrZXl3
b3JkPlZpdGFtaW4gQjEyIHN1cHBsZW1lbnRhdGlvbjwva2V5d29yZD48L2tleXdvcmRzPjxkYXRl
cz48eWVhcj4yMDE5PC95ZWFyPjxwdWItZGF0ZXM+PGRhdGU+RmViPC9kYXRlPjwvcHViLWRhdGVz
PjwvZGF0ZXM+PGlzYm4+MTU3My02NjI4IChFbGVjdHJvbmljKSYjeEQ7MTA5Mi03ODc1IChMaW5r
aW5nKTwvaXNibj48YWNjZXNzaW9uLW51bT4zMDAwMzUyMTwvYWNjZXNzaW9uLW51bT48dXJscz48
cmVsYXRlZC11cmxzPjx1cmw+aHR0cHM6Ly93d3cubmNiaS5ubG0ubmloLmdvdi9wdWJtZWQvMzAw
MDM1MjE8L3VybD48L3JlbGF0ZWQtdXJscz48L3VybHM+PGVsZWN0cm9uaWMtcmVzb3VyY2UtbnVt
PjEwLjEwMDcvczEwOTk1LTAxOC0yNjA1LXo8L2VsZWN0cm9uaWMtcmVzb3VyY2UtbnVtPjwvcmVj
b3JkPjwvQ2l0ZT48Q2l0ZT48QXV0aG9yPlNpZGRpcXVhPC9BdXRob3I+PFllYXI+MjAxNjwvWWVh
cj48UmVjTnVtPjE2MDQ8L1JlY051bT48cmVjb3JkPjxyZWMtbnVtYmVyPjE2MDQ8L3JlYy1udW1i
ZXI+PGZvcmVpZ24ta2V5cz48a2V5IGFwcD0iRU4iIGRiLWlkPSJleHZhc3JmeDJkdHJhb2VzYXN4
cDJzenN4YTJkZjUwMjU5MngiIHRpbWVzdGFtcD0iMTU3NjU1NTA1OCI+MTYwNDwva2V5PjxrZXkg
YXBwPSJFTldlYiIgZGItaWQ9IiI+MDwva2V5PjwvZm9yZWlnbi1rZXlzPjxyZWYtdHlwZSBuYW1l
PSJKb3VybmFsIEFydGljbGUiPjE3PC9yZWYtdHlwZT48Y29udHJpYnV0b3JzPjxhdXRob3JzPjxh
dXRob3I+U2lkZGlxdWEsIFQuIEouPC9hdXRob3I+PGF1dGhvcj5BaG1hZCwgUy4gTS48L2F1dGhv
cj48YXV0aG9yPkFoc2FuLCBLLiBCLjwvYXV0aG9yPjxhdXRob3I+UmFzaGlkLCBNLjwvYXV0aG9y
PjxhdXRob3I+Um95LCBBLjwvYXV0aG9yPjxhdXRob3I+UmFobWFuLCBTLiBNLjwvYXV0aG9yPjxh
dXRob3I+U2hhaGFiLUZlcmRvd3MsIFMuPC9hdXRob3I+PGF1dGhvcj5IYW1wZWwsIEQuPC9hdXRo
b3I+PGF1dGhvcj5BaG1lZCwgVC48L2F1dGhvcj48YXV0aG9yPkFsbGVuLCBMLiBILjwvYXV0aG9y
PjxhdXRob3I+UmFxaWIsIFIuPC9hdXRob3I+PC9hdXRob3JzPjwvY29udHJpYnV0b3JzPjxhdXRo
LWFkZHJlc3M+TnV0cml0aW9uYWwgQmlvY2hlbWlzdHJ5IExhYm9yYXRvcnksIEludGVybmF0aW9u
YWwgQ2VudHJlIGZvciBEaWFycmhlYWwgRGlzZWFzZSBSZXNlYXJjaCwgQmFuZ2xhZGVzaCAoSUNE
RFIsQiksIDY4IFNoYWhlZWQgVGFqdWRkaW4gQWhtZWQgU2FyYW5pLCBNb2hha2hhbGksIERoYWth
LCAxMjEyLCBCYW5nbGFkZXNoLiYjeEQ7RGVwYXJ0bWVudCBvZiBOdXRyaXRpb24sIFVuaXZlcnNp
dHkgb2YgQ2FsaWZvcm5pYSwgRGF2aXMsIENBLCBVU0EuJiN4RDtBUlMgV2VzdGVybiBIdW1hbiBO
dXRyaXRpb24gUmVzZWFyY2ggQ2VudGVyLCBVU0RBLCBEYXZpcywgQ0EsIFVTQS4mI3hEO051dHJp
dGlvbmFsIEJpb2NoZW1pc3RyeSBMYWJvcmF0b3J5LCBJbnRlcm5hdGlvbmFsIENlbnRyZSBmb3Ig
RGlhcnJoZWFsIERpc2Vhc2UgUmVzZWFyY2gsIEJhbmdsYWRlc2ggKElDRERSLEIpLCA2OCBTaGFo
ZWVkIFRhanVkZGluIEFobWVkIFNhcmFuaSwgTW9oYWtoYWxpLCBEaGFrYSwgMTIxMiwgQmFuZ2xh
ZGVzaC4gcnViaGFuYUBpY2RkcmIub3JnLjwvYXV0aC1hZGRyZXNzPjx0aXRsZXM+PHRpdGxlPlZp
dGFtaW4gQjEyIHN1cHBsZW1lbnRhdGlvbiBkdXJpbmcgcHJlZ25hbmN5IGFuZCBwb3N0cGFydHVt
IGltcHJvdmVzIEIxMiBzdGF0dXMgb2YgYm90aCBtb3RoZXJzIGFuZCBpbmZhbnRzIGJ1dCB2YWNj
aW5lIHJlc3BvbnNlIGluIG1vdGhlcnMgb25seTogYSByYW5kb21pemVkIGNsaW5pY2FsIHRyaWFs
IGluIEJhbmdsYWRlc2g8L3RpdGxlPjxzZWNvbmRhcnktdGl0bGU+RXVyIEogTnV0cjwvc2Vjb25k
YXJ5LXRpdGxlPjwvdGl0bGVzPjxwZXJpb2RpY2FsPjxmdWxsLXRpdGxlPkV1ciBKIE51dHI8L2Z1
bGwtdGl0bGU+PC9wZXJpb2RpY2FsPjxwYWdlcz4yODEtOTM8L3BhZ2VzPjx2b2x1bWU+NTU8L3Zv
bHVtZT48bnVtYmVyPjE8L251bWJlcj48ZWRpdGlvbj4yMDE1LzAyLzA1PC9lZGl0aW9uPjxrZXl3
b3Jkcz48a2V5d29yZD5BZG9sZXNjZW50PC9rZXl3b3JkPjxrZXl3b3JkPkFkdWx0PC9rZXl3b3Jk
PjxrZXl3b3JkPkJhbmdsYWRlc2g8L2tleXdvcmQ+PGtleXdvcmQ+QmlvbWFya2Vycy9ibG9vZDwv
a2V5d29yZD48a2V5d29yZD5DLVJlYWN0aXZlIFByb3RlaW4vbWV0YWJvbGlzbTwva2V5d29yZD48
a2V5d29yZD4qRGlldGFyeSBTdXBwbGVtZW50czwva2V5d29yZD48a2V5d29yZD5Eb3NlLVJlc3Bv
bnNlIFJlbGF0aW9uc2hpcCwgRHJ1Zzwva2V5d29yZD48a2V5d29yZD5GZW1hbGU8L2tleXdvcmQ+
PGtleXdvcmQ+RmVycml0aW5zL2Jsb29kPC9rZXl3b3JkPjxrZXl3b3JkPkZvbGljIEFjaWQvYWRt
aW5pc3RyYXRpb24gJmFtcDsgZG9zYWdlL2Jsb29kPC9rZXl3b3JkPjxrZXl3b3JkPkhlbW9nbG9i
aW5zL21ldGFib2xpc208L2tleXdvcmQ+PGtleXdvcmQ+SG9tb2N5c3RlaW5lL2Jsb29kPC9rZXl3
b3JkPjxrZXl3b3JkPkh1bWFuczwva2V5d29yZD48a2V5d29yZD5JbW11bm9nbG9idWxpbiBBL2Js
b29kPC9rZXl3b3JkPjxrZXl3b3JkPkluZmFudDwva2V5d29yZD48a2V5d29yZD5JbmZsdWVuemEg
QSBWaXJ1cywgSDFOMSBTdWJ0eXBlPC9rZXl3b3JkPjxrZXl3b3JkPkluZmx1ZW56YSBWYWNjaW5l
cy8qaW1tdW5vbG9neTwva2V5d29yZD48a2V5d29yZD5JbmZsdWVuemEsIEh1bWFuL3ByZXZlbnRp
b24gJmFtcDsgY29udHJvbDwva2V5d29yZD48a2V5d29yZD5MYWN0YXRpb248L2tleXdvcmQ+PGtl
eXdvcmQ+TWF0ZXJuYWwgTnV0cml0aW9uYWwgUGh5c2lvbG9naWNhbCBQaGVub21lbmE8L2tleXdv
cmQ+PGtleXdvcmQ+TWV0aHlsbWFsb25pYyBBY2lkL2Jsb29kPC9rZXl3b3JkPjxrZXl3b3JkPk1p
bGssIEh1bWFuPC9rZXl3b3JkPjxrZXl3b3JkPk9yb3NvbXVjb2lkL21ldGFib2xpc208L2tleXdv
cmQ+PGtleXdvcmQ+UG9zdHBhcnR1bSBQZXJpb2QvKmRydWcgZWZmZWN0cy9tZXRhYm9saXNtPC9r
ZXl3b3JkPjxrZXl3b3JkPlByZWduYW5jeTwva2V5d29yZD48a2V5d29yZD5SZWNlcHRvcnMsIFRy
YW5zZmVycmluL2Jsb29kPC9rZXl3b3JkPjxrZXl3b3JkPlZpdGFtaW4gQiAxMi8qYWRtaW5pc3Ry
YXRpb24gJmFtcDsgZG9zYWdlL2Jsb29kPC9rZXl3b3JkPjxrZXl3b3JkPllvdW5nIEFkdWx0PC9r
ZXl3b3JkPjxrZXl3b3JkPkJyZWFzdCBtaWxrIEIxMjwva2V5d29yZD48a2V5d29yZD5NZXRoeWxt
YWxvbmljIGFjaWQ8L2tleXdvcmQ+PGtleXdvcmQ+VmFjY2luZSByZXNwb25zZTwva2V5d29yZD48
a2V5d29yZD5WaXRhbWluIEIxMiBzdXBwbGVtZW50YXRpb248L2tleXdvcmQ+PC9rZXl3b3Jkcz48
ZGF0ZXM+PHllYXI+MjAxNjwveWVhcj48cHViLWRhdGVzPjxkYXRlPkZlYjwvZGF0ZT48L3B1Yi1k
YXRlcz48L2RhdGVzPjxpc2JuPjE0MzYtNjIxNSAoRWxlY3Ryb25pYykmI3hEOzE0MzYtNjIwNyAo
TGlua2luZyk8L2lzYm4+PGFjY2Vzc2lvbi1udW0+MjU2NDg3Mzg8L2FjY2Vzc2lvbi1udW0+PHVy
bHM+PHJlbGF0ZWQtdXJscz48dXJsPmh0dHBzOi8vd3d3Lm5jYmkubmxtLm5paC5nb3YvcHVibWVk
LzI1NjQ4NzM4PC91cmw+PC9yZWxhdGVkLXVybHM+PC91cmxzPjxlbGVjdHJvbmljLXJlc291cmNl
LW51bT4xMC4xMDA3L3MwMDM5NC0wMTUtMDg0NS14PC9lbGVjdHJvbmljLXJlc291cmNlLW51bT48
L3JlY29yZD48L0NpdGU+PC9FbmROb3RlPn==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144-146</w:t>
      </w:r>
      <w:r w:rsidR="00201490">
        <w:fldChar w:fldCharType="end"/>
      </w:r>
      <w:r>
        <w:t xml:space="preserve"> both of which were conducted in developing countries.</w:t>
      </w:r>
      <w:r w:rsidR="004867CC">
        <w:t xml:space="preserve"> These studies found that:</w:t>
      </w:r>
    </w:p>
    <w:p w14:paraId="2828DFC9" w14:textId="6A64E6B9" w:rsidR="004867CC" w:rsidRDefault="00D8469A" w:rsidP="004867CC">
      <w:pPr>
        <w:pStyle w:val="bullet"/>
      </w:pPr>
      <w:r>
        <w:t>vitamin B</w:t>
      </w:r>
      <w:r w:rsidRPr="004867CC">
        <w:rPr>
          <w:vertAlign w:val="subscript"/>
        </w:rPr>
        <w:t>12</w:t>
      </w:r>
      <w:r>
        <w:t xml:space="preserve"> supplementation</w:t>
      </w:r>
      <w:r w:rsidRPr="00055BFC">
        <w:t xml:space="preserve"> </w:t>
      </w:r>
      <w:r>
        <w:t>(</w:t>
      </w:r>
      <w:r w:rsidRPr="00055BFC">
        <w:t xml:space="preserve">250 mug/day </w:t>
      </w:r>
      <w:r>
        <w:t>+</w:t>
      </w:r>
      <w:r w:rsidRPr="00055BFC">
        <w:t xml:space="preserve"> 60 mg iron + 400 mug folate throughout pregnancy and 3-month postpartum</w:t>
      </w:r>
      <w:r>
        <w:t>)</w:t>
      </w:r>
      <w:r w:rsidRPr="00055BFC">
        <w:t xml:space="preserve"> </w:t>
      </w:r>
      <w:r w:rsidR="004867CC" w:rsidRPr="00055BFC">
        <w:t>improved maternal, infant and breast milk B</w:t>
      </w:r>
      <w:r w:rsidR="004867CC" w:rsidRPr="004867CC">
        <w:rPr>
          <w:vertAlign w:val="subscript"/>
        </w:rPr>
        <w:t>12</w:t>
      </w:r>
      <w:r w:rsidR="004867CC" w:rsidRPr="00055BFC">
        <w:t xml:space="preserve"> status</w:t>
      </w:r>
      <w:r w:rsidR="004867CC">
        <w:t xml:space="preserve"> and </w:t>
      </w:r>
      <w:r w:rsidR="004867CC" w:rsidRPr="00055BFC">
        <w:t xml:space="preserve">H1N1 vaccine-specific responses in </w:t>
      </w:r>
      <w:r w:rsidR="004867CC">
        <w:t>women</w:t>
      </w:r>
      <w:r w:rsidR="004867CC" w:rsidRPr="00055BFC">
        <w:t xml:space="preserve"> and may alleviate in</w:t>
      </w:r>
      <w:r w:rsidR="004867CC">
        <w:t>flammatory responses in infants</w:t>
      </w:r>
      <w:r w:rsidR="00201490">
        <w:fldChar w:fldCharType="begin">
          <w:fldData xml:space="preserve">PEVuZE5vdGU+PENpdGU+PEF1dGhvcj5TaWRkaXF1YTwvQXV0aG9yPjxZZWFyPjIwMTY8L1llYXI+
PFJlY051bT4xNjA0PC9SZWNOdW0+PERpc3BsYXlUZXh0PjxzdHlsZSBmYWNlPSJzdXBlcnNjcmlw
dCIgZm9udD0iVHJlYnVjaGV0IE1TIiBzaXplPSI5Ij4xNDY8L3N0eWxlPjwvRGlzcGxheVRleHQ+
PHJlY29yZD48cmVjLW51bWJlcj4xNjA0PC9yZWMtbnVtYmVyPjxmb3JlaWduLWtleXM+PGtleSBh
cHA9IkVOIiBkYi1pZD0iZXh2YXNyZngyZHRyYW9lc2FzeHAyc3pzeGEyZGY1MDI1OTJ4IiB0aW1l
c3RhbXA9IjE1NzY1NTUwNTgiPjE2MDQ8L2tleT48a2V5IGFwcD0iRU5XZWIiIGRiLWlkPSIiPjA8
L2tleT48L2ZvcmVpZ24ta2V5cz48cmVmLXR5cGUgbmFtZT0iSm91cm5hbCBBcnRpY2xlIj4xNzwv
cmVmLXR5cGU+PGNvbnRyaWJ1dG9ycz48YXV0aG9ycz48YXV0aG9yPlNpZGRpcXVhLCBULiBKLjwv
YXV0aG9yPjxhdXRob3I+QWhtYWQsIFMuIE0uPC9hdXRob3I+PGF1dGhvcj5BaHNhbiwgSy4gQi48
L2F1dGhvcj48YXV0aG9yPlJhc2hpZCwgTS48L2F1dGhvcj48YXV0aG9yPlJveSwgQS48L2F1dGhv
cj48YXV0aG9yPlJhaG1hbiwgUy4gTS48L2F1dGhvcj48YXV0aG9yPlNoYWhhYi1GZXJkb3dzLCBT
LjwvYXV0aG9yPjxhdXRob3I+SGFtcGVsLCBELjwvYXV0aG9yPjxhdXRob3I+QWhtZWQsIFQuPC9h
dXRob3I+PGF1dGhvcj5BbGxlbiwgTC4gSC48L2F1dGhvcj48YXV0aG9yPlJhcWliLCBSLjwvYXV0
aG9yPjwvYXV0aG9ycz48L2NvbnRyaWJ1dG9ycz48YXV0aC1hZGRyZXNzPk51dHJpdGlvbmFsIEJp
b2NoZW1pc3RyeSBMYWJvcmF0b3J5LCBJbnRlcm5hdGlvbmFsIENlbnRyZSBmb3IgRGlhcnJoZWFs
IERpc2Vhc2UgUmVzZWFyY2gsIEJhbmdsYWRlc2ggKElDRERSLEIpLCA2OCBTaGFoZWVkIFRhanVk
ZGluIEFobWVkIFNhcmFuaSwgTW9oYWtoYWxpLCBEaGFrYSwgMTIxMiwgQmFuZ2xhZGVzaC4mI3hE
O0RlcGFydG1lbnQgb2YgTnV0cml0aW9uLCBVbml2ZXJzaXR5IG9mIENhbGlmb3JuaWEsIERhdmlz
LCBDQSwgVVNBLiYjeEQ7QVJTIFdlc3Rlcm4gSHVtYW4gTnV0cml0aW9uIFJlc2VhcmNoIENlbnRl
ciwgVVNEQSwgRGF2aXMsIENBLCBVU0EuJiN4RDtOdXRyaXRpb25hbCBCaW9jaGVtaXN0cnkgTGFi
b3JhdG9yeSwgSW50ZXJuYXRpb25hbCBDZW50cmUgZm9yIERpYXJyaGVhbCBEaXNlYXNlIFJlc2Vh
cmNoLCBCYW5nbGFkZXNoIChJQ0REUixCKSwgNjggU2hhaGVlZCBUYWp1ZGRpbiBBaG1lZCBTYXJh
bmksIE1vaGFraGFsaSwgRGhha2EsIDEyMTIsIEJhbmdsYWRlc2guIHJ1YmhhbmFAaWNkZHJiLm9y
Zy48L2F1dGgtYWRkcmVzcz48dGl0bGVzPjx0aXRsZT5WaXRhbWluIEIxMiBzdXBwbGVtZW50YXRp
b24gZHVyaW5nIHByZWduYW5jeSBhbmQgcG9zdHBhcnR1bSBpbXByb3ZlcyBCMTIgc3RhdHVzIG9m
IGJvdGggbW90aGVycyBhbmQgaW5mYW50cyBidXQgdmFjY2luZSByZXNwb25zZSBpbiBtb3RoZXJz
IG9ubHk6IGEgcmFuZG9taXplZCBjbGluaWNhbCB0cmlhbCBpbiBCYW5nbGFkZXNoPC90aXRsZT48
c2Vjb25kYXJ5LXRpdGxlPkV1ciBKIE51dHI8L3NlY29uZGFyeS10aXRsZT48L3RpdGxlcz48cGVy
aW9kaWNhbD48ZnVsbC10aXRsZT5FdXIgSiBOdXRyPC9mdWxsLXRpdGxlPjwvcGVyaW9kaWNhbD48
cGFnZXM+MjgxLTkzPC9wYWdlcz48dm9sdW1lPjU1PC92b2x1bWU+PG51bWJlcj4xPC9udW1iZXI+
PGVkaXRpb24+MjAxNS8wMi8wNTwvZWRpdGlvbj48a2V5d29yZHM+PGtleXdvcmQ+QWRvbGVzY2Vu
dDwva2V5d29yZD48a2V5d29yZD5BZHVsdDwva2V5d29yZD48a2V5d29yZD5CYW5nbGFkZXNoPC9r
ZXl3b3JkPjxrZXl3b3JkPkJpb21hcmtlcnMvYmxvb2Q8L2tleXdvcmQ+PGtleXdvcmQ+Qy1SZWFj
dGl2ZSBQcm90ZWluL21ldGFib2xpc208L2tleXdvcmQ+PGtleXdvcmQ+KkRpZXRhcnkgU3VwcGxl
bWVudHM8L2tleXdvcmQ+PGtleXdvcmQ+RG9zZS1SZXNwb25zZSBSZWxhdGlvbnNoaXAsIERydWc8
L2tleXdvcmQ+PGtleXdvcmQ+RmVtYWxlPC9rZXl3b3JkPjxrZXl3b3JkPkZlcnJpdGlucy9ibG9v
ZDwva2V5d29yZD48a2V5d29yZD5Gb2xpYyBBY2lkL2FkbWluaXN0cmF0aW9uICZhbXA7IGRvc2Fn
ZS9ibG9vZDwva2V5d29yZD48a2V5d29yZD5IZW1vZ2xvYmlucy9tZXRhYm9saXNtPC9rZXl3b3Jk
PjxrZXl3b3JkPkhvbW9jeXN0ZWluZS9ibG9vZDwva2V5d29yZD48a2V5d29yZD5IdW1hbnM8L2tl
eXdvcmQ+PGtleXdvcmQ+SW1tdW5vZ2xvYnVsaW4gQS9ibG9vZDwva2V5d29yZD48a2V5d29yZD5J
bmZhbnQ8L2tleXdvcmQ+PGtleXdvcmQ+SW5mbHVlbnphIEEgVmlydXMsIEgxTjEgU3VidHlwZTwv
a2V5d29yZD48a2V5d29yZD5JbmZsdWVuemEgVmFjY2luZXMvKmltbXVub2xvZ3k8L2tleXdvcmQ+
PGtleXdvcmQ+SW5mbHVlbnphLCBIdW1hbi9wcmV2ZW50aW9uICZhbXA7IGNvbnRyb2w8L2tleXdv
cmQ+PGtleXdvcmQ+TGFjdGF0aW9uPC9rZXl3b3JkPjxrZXl3b3JkPk1hdGVybmFsIE51dHJpdGlv
bmFsIFBoeXNpb2xvZ2ljYWwgUGhlbm9tZW5hPC9rZXl3b3JkPjxrZXl3b3JkPk1ldGh5bG1hbG9u
aWMgQWNpZC9ibG9vZDwva2V5d29yZD48a2V5d29yZD5NaWxrLCBIdW1hbjwva2V5d29yZD48a2V5
d29yZD5Pcm9zb211Y29pZC9tZXRhYm9saXNtPC9rZXl3b3JkPjxrZXl3b3JkPlBvc3RwYXJ0dW0g
UGVyaW9kLypkcnVnIGVmZmVjdHMvbWV0YWJvbGlzbTwva2V5d29yZD48a2V5d29yZD5QcmVnbmFu
Y3k8L2tleXdvcmQ+PGtleXdvcmQ+UmVjZXB0b3JzLCBUcmFuc2ZlcnJpbi9ibG9vZDwva2V5d29y
ZD48a2V5d29yZD5WaXRhbWluIEIgMTIvKmFkbWluaXN0cmF0aW9uICZhbXA7IGRvc2FnZS9ibG9v
ZDwva2V5d29yZD48a2V5d29yZD5Zb3VuZyBBZHVsdDwva2V5d29yZD48a2V5d29yZD5CcmVhc3Qg
bWlsayBCMTI8L2tleXdvcmQ+PGtleXdvcmQ+TWV0aHlsbWFsb25pYyBhY2lkPC9rZXl3b3JkPjxr
ZXl3b3JkPlZhY2NpbmUgcmVzcG9uc2U8L2tleXdvcmQ+PGtleXdvcmQ+Vml0YW1pbiBCMTIgc3Vw
cGxlbWVudGF0aW9uPC9rZXl3b3JkPjwva2V5d29yZHM+PGRhdGVzPjx5ZWFyPjIwMTY8L3llYXI+
PHB1Yi1kYXRlcz48ZGF0ZT5GZWI8L2RhdGU+PC9wdWItZGF0ZXM+PC9kYXRlcz48aXNibj4xNDM2
LTYyMTUgKEVsZWN0cm9uaWMpJiN4RDsxNDM2LTYyMDcgKExpbmtpbmcpPC9pc2JuPjxhY2Nlc3Np
b24tbnVtPjI1NjQ4NzM4PC9hY2Nlc3Npb24tbnVtPjx1cmxzPjxyZWxhdGVkLXVybHM+PHVybD5o
dHRwczovL3d3dy5uY2JpLm5sbS5uaWguZ292L3B1Ym1lZC8yNTY0ODczODwvdXJsPjwvcmVsYXRl
ZC11cmxzPjwvdXJscz48ZWxlY3Ryb25pYy1yZXNvdXJjZS1udW0+MTAuMTAwNy9zMDAzOTQtMDE1
LTA4NDUteDwvZWxlY3Ryb25pYy1yZXNvdXJjZS1udW0+PC9yZWNvcmQ+PC9DaXRlPjwvRW5kTm90
ZT5=
</w:fldData>
        </w:fldChar>
      </w:r>
      <w:r w:rsidR="002747EA">
        <w:instrText xml:space="preserve"> ADDIN EN.CITE </w:instrText>
      </w:r>
      <w:r w:rsidR="002747EA">
        <w:fldChar w:fldCharType="begin">
          <w:fldData xml:space="preserve">PEVuZE5vdGU+PENpdGU+PEF1dGhvcj5TaWRkaXF1YTwvQXV0aG9yPjxZZWFyPjIwMTY8L1llYXI+
PFJlY051bT4xNjA0PC9SZWNOdW0+PERpc3BsYXlUZXh0PjxzdHlsZSBmYWNlPSJzdXBlcnNjcmlw
dCIgZm9udD0iVHJlYnVjaGV0IE1TIiBzaXplPSI5Ij4xNDY8L3N0eWxlPjwvRGlzcGxheVRleHQ+
PHJlY29yZD48cmVjLW51bWJlcj4xNjA0PC9yZWMtbnVtYmVyPjxmb3JlaWduLWtleXM+PGtleSBh
cHA9IkVOIiBkYi1pZD0iZXh2YXNyZngyZHRyYW9lc2FzeHAyc3pzeGEyZGY1MDI1OTJ4IiB0aW1l
c3RhbXA9IjE1NzY1NTUwNTgiPjE2MDQ8L2tleT48a2V5IGFwcD0iRU5XZWIiIGRiLWlkPSIiPjA8
L2tleT48L2ZvcmVpZ24ta2V5cz48cmVmLXR5cGUgbmFtZT0iSm91cm5hbCBBcnRpY2xlIj4xNzwv
cmVmLXR5cGU+PGNvbnRyaWJ1dG9ycz48YXV0aG9ycz48YXV0aG9yPlNpZGRpcXVhLCBULiBKLjwv
YXV0aG9yPjxhdXRob3I+QWhtYWQsIFMuIE0uPC9hdXRob3I+PGF1dGhvcj5BaHNhbiwgSy4gQi48
L2F1dGhvcj48YXV0aG9yPlJhc2hpZCwgTS48L2F1dGhvcj48YXV0aG9yPlJveSwgQS48L2F1dGhv
cj48YXV0aG9yPlJhaG1hbiwgUy4gTS48L2F1dGhvcj48YXV0aG9yPlNoYWhhYi1GZXJkb3dzLCBT
LjwvYXV0aG9yPjxhdXRob3I+SGFtcGVsLCBELjwvYXV0aG9yPjxhdXRob3I+QWhtZWQsIFQuPC9h
dXRob3I+PGF1dGhvcj5BbGxlbiwgTC4gSC48L2F1dGhvcj48YXV0aG9yPlJhcWliLCBSLjwvYXV0
aG9yPjwvYXV0aG9ycz48L2NvbnRyaWJ1dG9ycz48YXV0aC1hZGRyZXNzPk51dHJpdGlvbmFsIEJp
b2NoZW1pc3RyeSBMYWJvcmF0b3J5LCBJbnRlcm5hdGlvbmFsIENlbnRyZSBmb3IgRGlhcnJoZWFs
IERpc2Vhc2UgUmVzZWFyY2gsIEJhbmdsYWRlc2ggKElDRERSLEIpLCA2OCBTaGFoZWVkIFRhanVk
ZGluIEFobWVkIFNhcmFuaSwgTW9oYWtoYWxpLCBEaGFrYSwgMTIxMiwgQmFuZ2xhZGVzaC4mI3hE
O0RlcGFydG1lbnQgb2YgTnV0cml0aW9uLCBVbml2ZXJzaXR5IG9mIENhbGlmb3JuaWEsIERhdmlz
LCBDQSwgVVNBLiYjeEQ7QVJTIFdlc3Rlcm4gSHVtYW4gTnV0cml0aW9uIFJlc2VhcmNoIENlbnRl
ciwgVVNEQSwgRGF2aXMsIENBLCBVU0EuJiN4RDtOdXRyaXRpb25hbCBCaW9jaGVtaXN0cnkgTGFi
b3JhdG9yeSwgSW50ZXJuYXRpb25hbCBDZW50cmUgZm9yIERpYXJyaGVhbCBEaXNlYXNlIFJlc2Vh
cmNoLCBCYW5nbGFkZXNoIChJQ0REUixCKSwgNjggU2hhaGVlZCBUYWp1ZGRpbiBBaG1lZCBTYXJh
bmksIE1vaGFraGFsaSwgRGhha2EsIDEyMTIsIEJhbmdsYWRlc2guIHJ1YmhhbmFAaWNkZHJiLm9y
Zy48L2F1dGgtYWRkcmVzcz48dGl0bGVzPjx0aXRsZT5WaXRhbWluIEIxMiBzdXBwbGVtZW50YXRp
b24gZHVyaW5nIHByZWduYW5jeSBhbmQgcG9zdHBhcnR1bSBpbXByb3ZlcyBCMTIgc3RhdHVzIG9m
IGJvdGggbW90aGVycyBhbmQgaW5mYW50cyBidXQgdmFjY2luZSByZXNwb25zZSBpbiBtb3RoZXJz
IG9ubHk6IGEgcmFuZG9taXplZCBjbGluaWNhbCB0cmlhbCBpbiBCYW5nbGFkZXNoPC90aXRsZT48
c2Vjb25kYXJ5LXRpdGxlPkV1ciBKIE51dHI8L3NlY29uZGFyeS10aXRsZT48L3RpdGxlcz48cGVy
aW9kaWNhbD48ZnVsbC10aXRsZT5FdXIgSiBOdXRyPC9mdWxsLXRpdGxlPjwvcGVyaW9kaWNhbD48
cGFnZXM+MjgxLTkzPC9wYWdlcz48dm9sdW1lPjU1PC92b2x1bWU+PG51bWJlcj4xPC9udW1iZXI+
PGVkaXRpb24+MjAxNS8wMi8wNTwvZWRpdGlvbj48a2V5d29yZHM+PGtleXdvcmQ+QWRvbGVzY2Vu
dDwva2V5d29yZD48a2V5d29yZD5BZHVsdDwva2V5d29yZD48a2V5d29yZD5CYW5nbGFkZXNoPC9r
ZXl3b3JkPjxrZXl3b3JkPkJpb21hcmtlcnMvYmxvb2Q8L2tleXdvcmQ+PGtleXdvcmQ+Qy1SZWFj
dGl2ZSBQcm90ZWluL21ldGFib2xpc208L2tleXdvcmQ+PGtleXdvcmQ+KkRpZXRhcnkgU3VwcGxl
bWVudHM8L2tleXdvcmQ+PGtleXdvcmQ+RG9zZS1SZXNwb25zZSBSZWxhdGlvbnNoaXAsIERydWc8
L2tleXdvcmQ+PGtleXdvcmQ+RmVtYWxlPC9rZXl3b3JkPjxrZXl3b3JkPkZlcnJpdGlucy9ibG9v
ZDwva2V5d29yZD48a2V5d29yZD5Gb2xpYyBBY2lkL2FkbWluaXN0cmF0aW9uICZhbXA7IGRvc2Fn
ZS9ibG9vZDwva2V5d29yZD48a2V5d29yZD5IZW1vZ2xvYmlucy9tZXRhYm9saXNtPC9rZXl3b3Jk
PjxrZXl3b3JkPkhvbW9jeXN0ZWluZS9ibG9vZDwva2V5d29yZD48a2V5d29yZD5IdW1hbnM8L2tl
eXdvcmQ+PGtleXdvcmQ+SW1tdW5vZ2xvYnVsaW4gQS9ibG9vZDwva2V5d29yZD48a2V5d29yZD5J
bmZhbnQ8L2tleXdvcmQ+PGtleXdvcmQ+SW5mbHVlbnphIEEgVmlydXMsIEgxTjEgU3VidHlwZTwv
a2V5d29yZD48a2V5d29yZD5JbmZsdWVuemEgVmFjY2luZXMvKmltbXVub2xvZ3k8L2tleXdvcmQ+
PGtleXdvcmQ+SW5mbHVlbnphLCBIdW1hbi9wcmV2ZW50aW9uICZhbXA7IGNvbnRyb2w8L2tleXdv
cmQ+PGtleXdvcmQ+TGFjdGF0aW9uPC9rZXl3b3JkPjxrZXl3b3JkPk1hdGVybmFsIE51dHJpdGlv
bmFsIFBoeXNpb2xvZ2ljYWwgUGhlbm9tZW5hPC9rZXl3b3JkPjxrZXl3b3JkPk1ldGh5bG1hbG9u
aWMgQWNpZC9ibG9vZDwva2V5d29yZD48a2V5d29yZD5NaWxrLCBIdW1hbjwva2V5d29yZD48a2V5
d29yZD5Pcm9zb211Y29pZC9tZXRhYm9saXNtPC9rZXl3b3JkPjxrZXl3b3JkPlBvc3RwYXJ0dW0g
UGVyaW9kLypkcnVnIGVmZmVjdHMvbWV0YWJvbGlzbTwva2V5d29yZD48a2V5d29yZD5QcmVnbmFu
Y3k8L2tleXdvcmQ+PGtleXdvcmQ+UmVjZXB0b3JzLCBUcmFuc2ZlcnJpbi9ibG9vZDwva2V5d29y
ZD48a2V5d29yZD5WaXRhbWluIEIgMTIvKmFkbWluaXN0cmF0aW9uICZhbXA7IGRvc2FnZS9ibG9v
ZDwva2V5d29yZD48a2V5d29yZD5Zb3VuZyBBZHVsdDwva2V5d29yZD48a2V5d29yZD5CcmVhc3Qg
bWlsayBCMTI8L2tleXdvcmQ+PGtleXdvcmQ+TWV0aHlsbWFsb25pYyBhY2lkPC9rZXl3b3JkPjxr
ZXl3b3JkPlZhY2NpbmUgcmVzcG9uc2U8L2tleXdvcmQ+PGtleXdvcmQ+Vml0YW1pbiBCMTIgc3Vw
cGxlbWVudGF0aW9uPC9rZXl3b3JkPjwva2V5d29yZHM+PGRhdGVzPjx5ZWFyPjIwMTY8L3llYXI+
PHB1Yi1kYXRlcz48ZGF0ZT5GZWI8L2RhdGU+PC9wdWItZGF0ZXM+PC9kYXRlcz48aXNibj4xNDM2
LTYyMTUgKEVsZWN0cm9uaWMpJiN4RDsxNDM2LTYyMDcgKExpbmtpbmcpPC9pc2JuPjxhY2Nlc3Np
b24tbnVtPjI1NjQ4NzM4PC9hY2Nlc3Npb24tbnVtPjx1cmxzPjxyZWxhdGVkLXVybHM+PHVybD5o
dHRwczovL3d3dy5uY2JpLm5sbS5uaWguZ292L3B1Ym1lZC8yNTY0ODczODwvdXJsPjwvcmVsYXRl
ZC11cmxzPjwvdXJscz48ZWxlY3Ryb25pYy1yZXNvdXJjZS1udW0+MTAuMTAwNy9zMDAzOTQtMDE1
LTA4NDUteDwvZWxlY3Ryb25pYy1yZXNvdXJjZS1udW0+PC9yZWNvcmQ+PC9DaXRlPjwvRW5kTm90
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146</w:t>
      </w:r>
      <w:r w:rsidR="00201490">
        <w:fldChar w:fldCharType="end"/>
      </w:r>
    </w:p>
    <w:p w14:paraId="0EFD453D" w14:textId="4A0261E1" w:rsidR="004867CC" w:rsidRDefault="00D8469A" w:rsidP="004867CC">
      <w:pPr>
        <w:pStyle w:val="bullet"/>
      </w:pPr>
      <w:r>
        <w:t>with vitamin B</w:t>
      </w:r>
      <w:r w:rsidRPr="004867CC">
        <w:rPr>
          <w:vertAlign w:val="subscript"/>
        </w:rPr>
        <w:t>12</w:t>
      </w:r>
      <w:r>
        <w:t xml:space="preserve"> supplementation 50 microg/day from 14 weeks gestation to 6 weeks postpartum there was </w:t>
      </w:r>
      <w:r w:rsidR="004867CC">
        <w:t xml:space="preserve">no significant difference in cognitive development among infants at 9 months </w:t>
      </w:r>
      <w:r>
        <w:t>but</w:t>
      </w:r>
      <w:r w:rsidR="004867CC">
        <w:t xml:space="preserve"> higher expressive language scores among infants at </w:t>
      </w:r>
      <w:r>
        <w:t xml:space="preserve">30 months </w:t>
      </w:r>
      <w:r w:rsidRPr="0090198B">
        <w:t>(</w:t>
      </w:r>
      <w:r w:rsidRPr="00CB55A1">
        <w:rPr>
          <w:sz w:val="16"/>
          <w:szCs w:val="16"/>
        </w:rPr>
        <w:t>ß 0.14, P=0.03</w:t>
      </w:r>
      <w:r>
        <w:t>).</w:t>
      </w:r>
      <w:r w:rsidR="00201490">
        <w:fldChar w:fldCharType="begin">
          <w:fldData xml:space="preserve">PEVuZE5vdGU+PENpdGU+PEF1dGhvcj5TcmluaXZhc2FuPC9BdXRob3I+PFllYXI+MjAxNzwvWWVh
cj48UmVjTnVtPjE2MDU8L1JlY051bT48RGlzcGxheVRleHQ+PHN0eWxlIGZhY2U9InN1cGVyc2Ny
aXB0IiBmb250PSJUcmVidWNoZXQgTVMiIHNpemU9IjkiPjE0NCwxNDU8L3N0eWxlPjwvRGlzcGxh
eVRleHQ+PHJlY29yZD48cmVjLW51bWJlcj4xNjA1PC9yZWMtbnVtYmVyPjxmb3JlaWduLWtleXM+
PGtleSBhcHA9IkVOIiBkYi1pZD0iZXh2YXNyZngyZHRyYW9lc2FzeHAyc3pzeGEyZGY1MDI1OTJ4
IiB0aW1lc3RhbXA9IjE1NzY1NTUwNjQiPjE2MDU8L2tleT48a2V5IGFwcD0iRU5XZWIiIGRiLWlk
PSIiPjA8L2tleT48L2ZvcmVpZ24ta2V5cz48cmVmLXR5cGUgbmFtZT0iSm91cm5hbCBBcnRpY2xl
Ij4xNzwvcmVmLXR5cGU+PGNvbnRyaWJ1dG9ycz48YXV0aG9ycz48YXV0aG9yPlNyaW5pdmFzYW4s
IEsuPC9hdXRob3I+PGF1dGhvcj5UaG9tYXMsIFQuPC9hdXRob3I+PGF1dGhvcj5LYXBhbmVlLCBB
LiBSLjwvYXV0aG9yPjxhdXRob3I+UmFtdGhhbCwgQS48L2F1dGhvcj48YXV0aG9yPkJlbGxpbmdl
ciwgRC4gQy48L2F1dGhvcj48YXV0aG9yPkJvc2NoLCBSLiBKLjwvYXV0aG9yPjxhdXRob3I+S3Vy
cGFkLCBBLiBWLjwvYXV0aG9yPjxhdXRob3I+RHVnZ2FuLCBDLjwvYXV0aG9yPjwvYXV0aG9ycz48
L2NvbnRyaWJ1dG9ycz48YXV0aC1hZGRyZXNzPkRpdmlzaW9uIG9mIE1lbnRhbCBIZWFsdGggYW5k
IE5ldXJvc2NpZW5jZXMsIFN0LiBKb2huJmFwb3M7cyBSZXNlYXJjaCBJbnN0aXR1dGUsIEJlbmdh
bHVydSwgS2FybmF0YWthLCBJbmRpYS4mI3hEO0RlcGFydG1lbnQgb2YgUHN5Y2hpYXRyeSwgU3Qu
IEpvaG4mYXBvcztzIE1lZGljYWwgQ29sbGVnZSwgQmFuZ2Fsb3JlLCBLYXJuYXRha2EsIEluZGlh
LiYjeEQ7RGl2aXNpb24gb2YgRXBpZGVtaW9sb2d5LCBCaW9zdGF0aXN0aWNzIGFuZCBQb3B1bGF0
aW9uIEhlYWx0aCwgU3QuIEpvaG4mYXBvcztzIFJlc2VhcmNoIEluc3RpdHV0ZSwgQmFuZ2Fsb3Jl
LCBLYXJuYXRha2EsIEluZGlhLiYjeEQ7RGVwYXJ0bWVudCBvZiBDbGluaWNhbCBQc3ljaG9sb2d5
LCBOYXRpb25hbCBJbnN0aXR1dGUgb2YgTWVudGFsIEhlYWx0aCBhbmQgTmV1cm9zY2llbmNlcywg
QmFuZ2Fsb3JlLCBLYXJuYXRha2EsIEluZGlhLiYjeEQ7RGVwYXJ0bWVudCBvZiBOZXVyb2xvZ3ks
IEJvc3RvbiBDaGlsZHJlbiZhcG9zO3MgSG9zcGl0YWwsIEhhcnZhcmQgTWVkaWNhbCBTY2hvb2ws
IEJvc3RvbiwgTWFzc2FjaHVzZXR0cywgVVNBLiYjeEQ7RGVwYXJ0bWVudCBvZiBCaW9zdGF0aXN0
aWNzLCBIYXJ2YXJkIFNjaG9vbCBvZiBQdWJsaWMgSGVhbHRoLCBCb3N0b24sIE1hc3NhY2h1c2V0
dHMsIFVTQS4mI3hEO0RpdmlzaW9uIG9mIE51dHJpdGlvbiwgU3QuIEpvaG4mYXBvcztzIFJlc2Vh
cmNoIEluc3RpdHV0ZSwgQmFuZ2Fsb3JlLCBLYXJuYXRha2EsIEluZGlhLiYjeEQ7RGVwYXJ0bWVu
dCBvZiBQaHlzaW9sb2d5LCBTdC4gSm9obiZhcG9zO3MgTWVkaWNhbCBDb2xsZWdlLCBCYW5nYWxv
cmUsIEthcm5hdGFrYSwgSW5kaWEuJiN4RDtDZW50ZXIgZm9yIE51dHJpdGlvbiwgRGl2aXNpb24g
b2YgR2FzdHJvZW50ZXJvbG9neSwgSGVwYXRvbG9neSBhbmQgTnV0cml0aW9uLCBCb3N0b24gQ2hp
bGRyZW4mYXBvcztzIEhvc3BpdGFsLCBCb3N0b24sIE1hc3NhY2h1c2V0dHMsIFVTQS48L2F1dGgt
YWRkcmVzcz48dGl0bGVzPjx0aXRsZT5FZmZlY3RzIG9mIG1hdGVybmFsIHZpdGFtaW4gQjEyIHN1
cHBsZW1lbnRhdGlvbiBvbiBlYXJseSBpbmZhbnQgbmV1cm9jb2duaXRpdmUgb3V0Y29tZXM6IGEg
cmFuZG9taXplZCBjb250cm9sbGVkIGNsaW5pY2FsIHRyaWFsPC90aXRsZT48c2Vjb25kYXJ5LXRp
dGxlPk1hdGVybiBDaGlsZCBOdXRyPC9zZWNvbmRhcnktdGl0bGU+PC90aXRsZXM+PHBlcmlvZGlj
YWw+PGZ1bGwtdGl0bGU+TWF0ZXJuIENoaWxkIE51dHI8L2Z1bGwtdGl0bGU+PC9wZXJpb2RpY2Fs
Pjx2b2x1bWU+MTM8L3ZvbHVtZT48bnVtYmVyPjI8L251bWJlcj48ZWRpdGlvbj4yMDE2LzA3LzAx
PC9lZGl0aW9uPjxrZXl3b3Jkcz48a2V5d29yZD5BZHVsdDwva2V5d29yZD48a2V5d29yZD5CcmFp
bi9lbWJyeW9sb2d5Lypncm93dGggJmFtcDsgZGV2ZWxvcG1lbnQ8L2tleXdvcmQ+PGtleXdvcmQ+
Q2hpbGQgRGV2ZWxvcG1lbnQ8L2tleXdvcmQ+PGtleXdvcmQ+KkNvZ25pdGlvbjwva2V5d29yZD48
a2V5d29yZD4qRGlldGFyeSBTdXBwbGVtZW50czwva2V5d29yZD48a2V5d29yZD5Eb3VibGUtQmxp
bmQgTWV0aG9kPC9rZXl3b3JkPjxrZXl3b3JkPkZlbWFsZTwva2V5d29yZD48a2V5d29yZD5GZXRh
bCBEZXZlbG9wbWVudDwva2V5d29yZD48a2V5d29yZD5Ib21vY3lzdGVpbmUvYmxvb2Q8L2tleXdv
cmQ+PGtleXdvcmQ+SHVtYW5zPC9rZXl3b3JkPjxrZXl3b3JkPkluZGlhL2VwaWRlbWlvbG9neTwv
a2V5d29yZD48a2V5d29yZD5JbmZhbnQ8L2tleXdvcmQ+PGtleXdvcmQ+TGluZWFyIE1vZGVsczwv
a2V5d29yZD48a2V5d29yZD4qTWF0ZXJuYWwgTnV0cml0aW9uYWwgUGh5c2lvbG9naWNhbCBQaGVu
b21lbmE8L2tleXdvcmQ+PGtleXdvcmQ+TWljcm9udXRyaWVudHMvYWRtaW5pc3RyYXRpb24gJmFt
cDsgZG9zYWdlL2Jsb29kPC9rZXl3b3JkPjxrZXl3b3JkPk51dHJpdGlvbmFsIFN0YXR1czwva2V5
d29yZD48a2V5d29yZD5QcmVnbmFuY3k8L2tleXdvcmQ+PGtleXdvcmQ+UHJlbmF0YWwgRXhwb3N1
cmUgRGVsYXllZCBFZmZlY3RzPC9rZXl3b3JkPjxrZXl3b3JkPlByZXZhbGVuY2U8L2tleXdvcmQ+
PGtleXdvcmQ+U29jaW9lY29ub21pYyBGYWN0b3JzPC9rZXl3b3JkPjxrZXl3b3JkPlRyZWF0bWVu
dCBPdXRjb21lPC9rZXl3b3JkPjxrZXl3b3JkPlZpdGFtaW4gQiAxMi8qYWRtaW5pc3RyYXRpb24g
JmFtcDsgZG9zYWdlPC9rZXl3b3JkPjxrZXl3b3JkPlZpdGFtaW4gQiAxMiBEZWZpY2llbmN5Lypl
cGlkZW1pb2xvZ3k8L2tleXdvcmQ+PGtleXdvcmQ+WW91bmcgQWR1bHQ8L2tleXdvcmQ+PGtleXdv
cmQ+KmFudGVuYXRhbCBudXRyaXRpb248L2tleXdvcmQ+PGtleXdvcmQ+KmNvZ25pdGl2ZSBmdW5j
dGlvbjwva2V5d29yZD48a2V5d29yZD4qaG9tb2N5c3RlaW5lPC9rZXl3b3JkPjxrZXl3b3JkPipp
bmZhbnRzPC9rZXl3b3JkPjxrZXl3b3JkPiptYXRlcm5hbCBtaWNyb251dHJpZW50czwva2V5d29y
ZD48a2V5d29yZD4qbWF0ZXJuYWwgdml0YW1pbiBCMTI8L2tleXdvcmQ+PC9rZXl3b3Jkcz48ZGF0
ZXM+PHllYXI+MjAxNzwveWVhcj48cHViLWRhdGVzPjxkYXRlPkFwcjwvZGF0ZT48L3B1Yi1kYXRl
cz48L2RhdGVzPjxpc2JuPjE3NDAtODcwOSAoRWxlY3Ryb25pYykmI3hEOzE3NDAtODY5NSAoTGlu
a2luZyk8L2lzYm4+PGFjY2Vzc2lvbi1udW0+MjczNTY1NDc8L2FjY2Vzc2lvbi1udW0+PHVybHM+
PHJlbGF0ZWQtdXJscz48dXJsPmh0dHBzOi8vd3d3Lm5jYmkubmxtLm5paC5nb3YvcHVibWVkLzI3
MzU2NTQ3PC91cmw+PC9yZWxhdGVkLXVybHM+PC91cmxzPjxjdXN0b20yPlBNQzYwOTA1NDg8L2N1
c3RvbTI+PGVsZWN0cm9uaWMtcmVzb3VyY2UtbnVtPjEwLjExMTEvbWNuLjEyMzI1PC9lbGVjdHJv
bmljLXJlc291cmNlLW51bT48L3JlY29yZD48L0NpdGU+PENpdGU+PEF1dGhvcj5UaG9tYXM8L0F1
dGhvcj48WWVhcj4yMDE5PC9ZZWFyPjxSZWNOdW0+MTYwODwvUmVjTnVtPjxyZWNvcmQ+PHJlYy1u
dW1iZXI+MTYwODwvcmVjLW51bWJlcj48Zm9yZWlnbi1rZXlzPjxrZXkgYXBwPSJFTiIgZGItaWQ9
ImV4dmFzcmZ4MmR0cmFvZXNhc3hwMnN6c3hhMmRmNTAyNTkyeCIgdGltZXN0YW1wPSIxNTc2NTU1
MDgwIj4xNjA4PC9rZXk+PGtleSBhcHA9IkVOV2ViIiBkYi1pZD0iIj4wPC9rZXk+PC9mb3JlaWdu
LWtleXM+PHJlZi10eXBlIG5hbWU9IkpvdXJuYWwgQXJ0aWNsZSI+MTc8L3JlZi10eXBlPjxjb250
cmlidXRvcnM+PGF1dGhvcnM+PGF1dGhvcj5UaG9tYXMsIFMuPC9hdXRob3I+PGF1dGhvcj5UaG9t
YXMsIFQuPC9hdXRob3I+PGF1dGhvcj5Cb3NjaCwgUi4gSi48L2F1dGhvcj48YXV0aG9yPlJhbXRo
YWwsIEEuPC9hdXRob3I+PGF1dGhvcj5CZWxsaW5nZXIsIEQuIEMuPC9hdXRob3I+PGF1dGhvcj5L
dXJwYWQsIEEuIFYuPC9hdXRob3I+PGF1dGhvcj5EdWdnYW4sIEMuIFAuPC9hdXRob3I+PGF1dGhv
cj5TcmluaXZhc2FuLCBLLjwvYXV0aG9yPjwvYXV0aG9ycz48L2NvbnRyaWJ1dG9ycz48YXV0aC1h
ZGRyZXNzPkRpdmlzaW9uIG9mIE1lbnRhbCBIZWFsdGggJmFtcDsgTmV1cm9zY2llbmNlcywgU3Qg
Sm9obiZhcG9zO3MgTmF0aW9uYWwgQWNhZGVteSBvZiBIZWFsdGggU2NpZW5jZXMsIFN0IEpvaG4m
YXBvcztzIFJlc2VhcmNoIEluc3RpdHV0ZSwgQmVuZ2FsdXJ1LCBLYXJuYXRha2EsIDU2MDAzNCwg
SW5kaWEuJiN4RDtEaXZpc2lvbiBvZiBFcGlkZW1pb2xvZ3ksIEJpb3N0YXRpc3RpY3MgYW5kIFBv
cHVsYXRpb24gSGVhbHRoLCBTdCBKb2huJmFwb3M7cyBSZXNlYXJjaCBJbnN0aXR1dGUsIEJlbmdh
bHVydSwgS2FybmF0YWthLCBJbmRpYS4mI3hEO0RlcGFydG1lbnQgb2YgQmlvc3RhdGlzdGljcywg
SGFydmFyZCBUSCBDaGFuIFNjaG9vbCBvZiBQdWJsaWMgSGVhbHRoLCBCb3N0b24sIE1BLCBVU0Eu
JiN4RDtEZXBhcnRtZW50IG9mIE5ldXJvbG9neSwgQm9zdG9uIENoaWxkcmVuJmFwb3M7cyBIb3Nw
aXRhbCwgSGFydmFyZCBNZWRpY2FsIFNjaG9vbCwgQm9zdG9uLCBNQSwgVVNBLiYjeEQ7RGl2aXNp
b24gb2YgTnV0cml0aW9uLCBTdCBKb2huJmFwb3M7cyBSZXNlYXJjaCBJbnN0aXR1dGUsIEJlbmdh
bHVydSwgS2FybmF0YWthLCBJbmRpYS4mI3hEO0RlcGFydG1lbnQgb2YgUGh5c2lvbG9neSwgU3Qg
Sm9obnMgTWVkaWNhbCBDb2xsZWdlLCBCZW5nYWx1cnUsIEthcm5hdGFrYSwgSW5kaWEuJiN4RDtE
aXZpc2lvbiBvZiBHYXN0cm9lbnRlcm9sb2d5LCBIZXBhdG9sb2d5IGFuZCBOdXRyaXRpb24sIENl
bnRlciBmb3IgTnV0cml0aW9uLCBCb3N0b24gQ2hpbGRyZW4mYXBvcztzIEhvc3BpdGFsLCBCb3N0
b24sIE1BLCBVU0EuJiN4RDtEaXZpc2lvbiBvZiBNZW50YWwgSGVhbHRoICZhbXA7IE5ldXJvc2Np
ZW5jZXMsIFN0IEpvaG4mYXBvcztzIE5hdGlvbmFsIEFjYWRlbXkgb2YgSGVhbHRoIFNjaWVuY2Vz
LCBTdCBKb2huJmFwb3M7cyBSZXNlYXJjaCBJbnN0aXR1dGUsIEJlbmdhbHVydSwgS2FybmF0YWth
LCA1NjAwMzQsIEluZGlhLiBzcmluaXZhc0BzanJpLnJlcy5pbi4mI3hEO0RlcGFydG1lbnQgb2Yg
UHN5Y2hpYXRyeSwgU3QgSm9obiZhcG9zO3MgTWVkaWNhbCBDb2xsZWdlLCBCZW5nYWx1cnUsIEth
cm5hdGFrYSwgSW5kaWEuIHNyaW5pdmFzQHNqcmkucmVzLmluLjwvYXV0aC1hZGRyZXNzPjx0aXRs
ZXM+PHRpdGxlPkVmZmVjdCBvZiBtYXRlcm5hbCB2aXRhbWluIEIxMiBTdXBwbGVtZW50YXRpb24g
b24gY29nbml0aXZlIG91dGNvbWVzIGluIFNvdXRoIEluZGlhbiBjaGlsZHJlbjogYSByYW5kb21p
emVkIGNvbnRyb2xsZWQgY2xpbmljYWwgdHJpYWw8L3RpdGxlPjxzZWNvbmRhcnktdGl0bGU+TWF0
ZXJuIENoaWxkIEhlYWx0aCBKPC9zZWNvbmRhcnktdGl0bGU+PC90aXRsZXM+PHBlcmlvZGljYWw+
PGZ1bGwtdGl0bGU+TWF0ZXJuIENoaWxkIEhlYWx0aCBKPC9mdWxsLXRpdGxlPjwvcGVyaW9kaWNh
bD48cGFnZXM+MTU1LTE2MzwvcGFnZXM+PHZvbHVtZT4yMzwvdm9sdW1lPjxudW1iZXI+MjwvbnVt
YmVyPjxlZGl0aW9uPjIwMTgvMDcvMTQ8L2VkaXRpb24+PGtleXdvcmRzPjxrZXl3b3JkPkNoaWxk
PC9rZXl3b3JkPjxrZXl3b3JkPipDaGlsZCBEZXZlbG9wbWVudDwva2V5d29yZD48a2V5d29yZD5D
b2duaXRpb24vKmRydWcgZWZmZWN0cy9waHlzaW9sb2d5PC9rZXl3b3JkPjxrZXl3b3JkPipEaWV0
YXJ5IFN1cHBsZW1lbnRzPC9rZXl3b3JkPjxrZXl3b3JkPkZlbWFsZTwva2V5d29yZD48a2V5d29y
ZD4qRmV0YWwgRGV2ZWxvcG1lbnQ8L2tleXdvcmQ+PGtleXdvcmQ+SHVtYW5zPC9rZXl3b3JkPjxr
ZXl3b3JkPkluZGlhL2VwaWRlbWlvbG9neTwva2V5d29yZD48a2V5d29yZD5JbmZhbnQ8L2tleXdv
cmQ+PGtleXdvcmQ+TWFsZTwva2V5d29yZD48a2V5d29yZD5NYXRlcm5hbCBOdXRyaXRpb25hbCBQ
aHlzaW9sb2dpY2FsIFBoZW5vbWVuYTwva2V5d29yZD48a2V5d29yZD5Qb3N0bmF0YWwgQ2FyZTwv
a2V5d29yZD48a2V5d29yZD5QcmVnbmFuY3k8L2tleXdvcmQ+PGtleXdvcmQ+UHJlbmF0YWwgQ2Fy
ZTwva2V5d29yZD48a2V5d29yZD5QcmVuYXRhbCBFeHBvc3VyZSBEZWxheWVkIEVmZmVjdHM8L2tl
eXdvcmQ+PGtleXdvcmQ+U29jaW9lY29ub21pYyBGYWN0b3JzPC9rZXl3b3JkPjxrZXl3b3JkPlRy
ZWF0bWVudCBPdXRjb21lPC9rZXl3b3JkPjxrZXl3b3JkPlZpdGFtaW4gQiAxMi8qYWRtaW5pc3Ry
YXRpb24gJmFtcDsgZG9zYWdlL2Jsb29kPC9rZXl3b3JkPjxrZXl3b3JkPkNvZ25pdGlvbjwva2V5
d29yZD48a2V5d29yZD5FbGV2YXRlZCBob21vY3lzdGVpbmUgbGV2ZWxzPC9rZXl3b3JkPjxrZXl3
b3JkPlZpdGFtaW4gQjEyIHN1cHBsZW1lbnRhdGlvbjwva2V5d29yZD48L2tleXdvcmRzPjxkYXRl
cz48eWVhcj4yMDE5PC95ZWFyPjxwdWItZGF0ZXM+PGRhdGU+RmViPC9kYXRlPjwvcHViLWRhdGVz
PjwvZGF0ZXM+PGlzYm4+MTU3My02NjI4IChFbGVjdHJvbmljKSYjeEQ7MTA5Mi03ODc1IChMaW5r
aW5nKTwvaXNibj48YWNjZXNzaW9uLW51bT4zMDAwMzUyMTwvYWNjZXNzaW9uLW51bT48dXJscz48
cmVsYXRlZC11cmxzPjx1cmw+aHR0cHM6Ly93d3cubmNiaS5ubG0ubmloLmdvdi9wdWJtZWQvMzAw
MDM1MjE8L3VybD48L3JlbGF0ZWQtdXJscz48L3VybHM+PGVsZWN0cm9uaWMtcmVzb3VyY2UtbnVt
PjEwLjEwMDcvczEwOTk1LTAxOC0yNjA1LXo8L2VsZWN0cm9uaWMtcmVzb3VyY2UtbnVtPjwvcmVj
b3JkPjwvQ2l0ZT48L0VuZE5vdGU+
</w:fldData>
        </w:fldChar>
      </w:r>
      <w:r w:rsidR="002747EA">
        <w:instrText xml:space="preserve"> ADDIN EN.CITE </w:instrText>
      </w:r>
      <w:r w:rsidR="002747EA">
        <w:fldChar w:fldCharType="begin">
          <w:fldData xml:space="preserve">PEVuZE5vdGU+PENpdGU+PEF1dGhvcj5TcmluaXZhc2FuPC9BdXRob3I+PFllYXI+MjAxNzwvWWVh
cj48UmVjTnVtPjE2MDU8L1JlY051bT48RGlzcGxheVRleHQ+PHN0eWxlIGZhY2U9InN1cGVyc2Ny
aXB0IiBmb250PSJUcmVidWNoZXQgTVMiIHNpemU9IjkiPjE0NCwxNDU8L3N0eWxlPjwvRGlzcGxh
eVRleHQ+PHJlY29yZD48cmVjLW51bWJlcj4xNjA1PC9yZWMtbnVtYmVyPjxmb3JlaWduLWtleXM+
PGtleSBhcHA9IkVOIiBkYi1pZD0iZXh2YXNyZngyZHRyYW9lc2FzeHAyc3pzeGEyZGY1MDI1OTJ4
IiB0aW1lc3RhbXA9IjE1NzY1NTUwNjQiPjE2MDU8L2tleT48a2V5IGFwcD0iRU5XZWIiIGRiLWlk
PSIiPjA8L2tleT48L2ZvcmVpZ24ta2V5cz48cmVmLXR5cGUgbmFtZT0iSm91cm5hbCBBcnRpY2xl
Ij4xNzwvcmVmLXR5cGU+PGNvbnRyaWJ1dG9ycz48YXV0aG9ycz48YXV0aG9yPlNyaW5pdmFzYW4s
IEsuPC9hdXRob3I+PGF1dGhvcj5UaG9tYXMsIFQuPC9hdXRob3I+PGF1dGhvcj5LYXBhbmVlLCBB
LiBSLjwvYXV0aG9yPjxhdXRob3I+UmFtdGhhbCwgQS48L2F1dGhvcj48YXV0aG9yPkJlbGxpbmdl
ciwgRC4gQy48L2F1dGhvcj48YXV0aG9yPkJvc2NoLCBSLiBKLjwvYXV0aG9yPjxhdXRob3I+S3Vy
cGFkLCBBLiBWLjwvYXV0aG9yPjxhdXRob3I+RHVnZ2FuLCBDLjwvYXV0aG9yPjwvYXV0aG9ycz48
L2NvbnRyaWJ1dG9ycz48YXV0aC1hZGRyZXNzPkRpdmlzaW9uIG9mIE1lbnRhbCBIZWFsdGggYW5k
IE5ldXJvc2NpZW5jZXMsIFN0LiBKb2huJmFwb3M7cyBSZXNlYXJjaCBJbnN0aXR1dGUsIEJlbmdh
bHVydSwgS2FybmF0YWthLCBJbmRpYS4mI3hEO0RlcGFydG1lbnQgb2YgUHN5Y2hpYXRyeSwgU3Qu
IEpvaG4mYXBvcztzIE1lZGljYWwgQ29sbGVnZSwgQmFuZ2Fsb3JlLCBLYXJuYXRha2EsIEluZGlh
LiYjeEQ7RGl2aXNpb24gb2YgRXBpZGVtaW9sb2d5LCBCaW9zdGF0aXN0aWNzIGFuZCBQb3B1bGF0
aW9uIEhlYWx0aCwgU3QuIEpvaG4mYXBvcztzIFJlc2VhcmNoIEluc3RpdHV0ZSwgQmFuZ2Fsb3Jl
LCBLYXJuYXRha2EsIEluZGlhLiYjeEQ7RGVwYXJ0bWVudCBvZiBDbGluaWNhbCBQc3ljaG9sb2d5
LCBOYXRpb25hbCBJbnN0aXR1dGUgb2YgTWVudGFsIEhlYWx0aCBhbmQgTmV1cm9zY2llbmNlcywg
QmFuZ2Fsb3JlLCBLYXJuYXRha2EsIEluZGlhLiYjeEQ7RGVwYXJ0bWVudCBvZiBOZXVyb2xvZ3ks
IEJvc3RvbiBDaGlsZHJlbiZhcG9zO3MgSG9zcGl0YWwsIEhhcnZhcmQgTWVkaWNhbCBTY2hvb2ws
IEJvc3RvbiwgTWFzc2FjaHVzZXR0cywgVVNBLiYjeEQ7RGVwYXJ0bWVudCBvZiBCaW9zdGF0aXN0
aWNzLCBIYXJ2YXJkIFNjaG9vbCBvZiBQdWJsaWMgSGVhbHRoLCBCb3N0b24sIE1hc3NhY2h1c2V0
dHMsIFVTQS4mI3hEO0RpdmlzaW9uIG9mIE51dHJpdGlvbiwgU3QuIEpvaG4mYXBvcztzIFJlc2Vh
cmNoIEluc3RpdHV0ZSwgQmFuZ2Fsb3JlLCBLYXJuYXRha2EsIEluZGlhLiYjeEQ7RGVwYXJ0bWVu
dCBvZiBQaHlzaW9sb2d5LCBTdC4gSm9obiZhcG9zO3MgTWVkaWNhbCBDb2xsZWdlLCBCYW5nYWxv
cmUsIEthcm5hdGFrYSwgSW5kaWEuJiN4RDtDZW50ZXIgZm9yIE51dHJpdGlvbiwgRGl2aXNpb24g
b2YgR2FzdHJvZW50ZXJvbG9neSwgSGVwYXRvbG9neSBhbmQgTnV0cml0aW9uLCBCb3N0b24gQ2hp
bGRyZW4mYXBvcztzIEhvc3BpdGFsLCBCb3N0b24sIE1hc3NhY2h1c2V0dHMsIFVTQS48L2F1dGgt
YWRkcmVzcz48dGl0bGVzPjx0aXRsZT5FZmZlY3RzIG9mIG1hdGVybmFsIHZpdGFtaW4gQjEyIHN1
cHBsZW1lbnRhdGlvbiBvbiBlYXJseSBpbmZhbnQgbmV1cm9jb2duaXRpdmUgb3V0Y29tZXM6IGEg
cmFuZG9taXplZCBjb250cm9sbGVkIGNsaW5pY2FsIHRyaWFsPC90aXRsZT48c2Vjb25kYXJ5LXRp
dGxlPk1hdGVybiBDaGlsZCBOdXRyPC9zZWNvbmRhcnktdGl0bGU+PC90aXRsZXM+PHBlcmlvZGlj
YWw+PGZ1bGwtdGl0bGU+TWF0ZXJuIENoaWxkIE51dHI8L2Z1bGwtdGl0bGU+PC9wZXJpb2RpY2Fs
Pjx2b2x1bWU+MTM8L3ZvbHVtZT48bnVtYmVyPjI8L251bWJlcj48ZWRpdGlvbj4yMDE2LzA3LzAx
PC9lZGl0aW9uPjxrZXl3b3Jkcz48a2V5d29yZD5BZHVsdDwva2V5d29yZD48a2V5d29yZD5CcmFp
bi9lbWJyeW9sb2d5Lypncm93dGggJmFtcDsgZGV2ZWxvcG1lbnQ8L2tleXdvcmQ+PGtleXdvcmQ+
Q2hpbGQgRGV2ZWxvcG1lbnQ8L2tleXdvcmQ+PGtleXdvcmQ+KkNvZ25pdGlvbjwva2V5d29yZD48
a2V5d29yZD4qRGlldGFyeSBTdXBwbGVtZW50czwva2V5d29yZD48a2V5d29yZD5Eb3VibGUtQmxp
bmQgTWV0aG9kPC9rZXl3b3JkPjxrZXl3b3JkPkZlbWFsZTwva2V5d29yZD48a2V5d29yZD5GZXRh
bCBEZXZlbG9wbWVudDwva2V5d29yZD48a2V5d29yZD5Ib21vY3lzdGVpbmUvYmxvb2Q8L2tleXdv
cmQ+PGtleXdvcmQ+SHVtYW5zPC9rZXl3b3JkPjxrZXl3b3JkPkluZGlhL2VwaWRlbWlvbG9neTwv
a2V5d29yZD48a2V5d29yZD5JbmZhbnQ8L2tleXdvcmQ+PGtleXdvcmQ+TGluZWFyIE1vZGVsczwv
a2V5d29yZD48a2V5d29yZD4qTWF0ZXJuYWwgTnV0cml0aW9uYWwgUGh5c2lvbG9naWNhbCBQaGVu
b21lbmE8L2tleXdvcmQ+PGtleXdvcmQ+TWljcm9udXRyaWVudHMvYWRtaW5pc3RyYXRpb24gJmFt
cDsgZG9zYWdlL2Jsb29kPC9rZXl3b3JkPjxrZXl3b3JkPk51dHJpdGlvbmFsIFN0YXR1czwva2V5
d29yZD48a2V5d29yZD5QcmVnbmFuY3k8L2tleXdvcmQ+PGtleXdvcmQ+UHJlbmF0YWwgRXhwb3N1
cmUgRGVsYXllZCBFZmZlY3RzPC9rZXl3b3JkPjxrZXl3b3JkPlByZXZhbGVuY2U8L2tleXdvcmQ+
PGtleXdvcmQ+U29jaW9lY29ub21pYyBGYWN0b3JzPC9rZXl3b3JkPjxrZXl3b3JkPlRyZWF0bWVu
dCBPdXRjb21lPC9rZXl3b3JkPjxrZXl3b3JkPlZpdGFtaW4gQiAxMi8qYWRtaW5pc3RyYXRpb24g
JmFtcDsgZG9zYWdlPC9rZXl3b3JkPjxrZXl3b3JkPlZpdGFtaW4gQiAxMiBEZWZpY2llbmN5Lypl
cGlkZW1pb2xvZ3k8L2tleXdvcmQ+PGtleXdvcmQ+WW91bmcgQWR1bHQ8L2tleXdvcmQ+PGtleXdv
cmQ+KmFudGVuYXRhbCBudXRyaXRpb248L2tleXdvcmQ+PGtleXdvcmQ+KmNvZ25pdGl2ZSBmdW5j
dGlvbjwva2V5d29yZD48a2V5d29yZD4qaG9tb2N5c3RlaW5lPC9rZXl3b3JkPjxrZXl3b3JkPipp
bmZhbnRzPC9rZXl3b3JkPjxrZXl3b3JkPiptYXRlcm5hbCBtaWNyb251dHJpZW50czwva2V5d29y
ZD48a2V5d29yZD4qbWF0ZXJuYWwgdml0YW1pbiBCMTI8L2tleXdvcmQ+PC9rZXl3b3Jkcz48ZGF0
ZXM+PHllYXI+MjAxNzwveWVhcj48cHViLWRhdGVzPjxkYXRlPkFwcjwvZGF0ZT48L3B1Yi1kYXRl
cz48L2RhdGVzPjxpc2JuPjE3NDAtODcwOSAoRWxlY3Ryb25pYykmI3hEOzE3NDAtODY5NSAoTGlu
a2luZyk8L2lzYm4+PGFjY2Vzc2lvbi1udW0+MjczNTY1NDc8L2FjY2Vzc2lvbi1udW0+PHVybHM+
PHJlbGF0ZWQtdXJscz48dXJsPmh0dHBzOi8vd3d3Lm5jYmkubmxtLm5paC5nb3YvcHVibWVkLzI3
MzU2NTQ3PC91cmw+PC9yZWxhdGVkLXVybHM+PC91cmxzPjxjdXN0b20yPlBNQzYwOTA1NDg8L2N1
c3RvbTI+PGVsZWN0cm9uaWMtcmVzb3VyY2UtbnVtPjEwLjExMTEvbWNuLjEyMzI1PC9lbGVjdHJv
bmljLXJlc291cmNlLW51bT48L3JlY29yZD48L0NpdGU+PENpdGU+PEF1dGhvcj5UaG9tYXM8L0F1
dGhvcj48WWVhcj4yMDE5PC9ZZWFyPjxSZWNOdW0+MTYwODwvUmVjTnVtPjxyZWNvcmQ+PHJlYy1u
dW1iZXI+MTYwODwvcmVjLW51bWJlcj48Zm9yZWlnbi1rZXlzPjxrZXkgYXBwPSJFTiIgZGItaWQ9
ImV4dmFzcmZ4MmR0cmFvZXNhc3hwMnN6c3hhMmRmNTAyNTkyeCIgdGltZXN0YW1wPSIxNTc2NTU1
MDgwIj4xNjA4PC9rZXk+PGtleSBhcHA9IkVOV2ViIiBkYi1pZD0iIj4wPC9rZXk+PC9mb3JlaWdu
LWtleXM+PHJlZi10eXBlIG5hbWU9IkpvdXJuYWwgQXJ0aWNsZSI+MTc8L3JlZi10eXBlPjxjb250
cmlidXRvcnM+PGF1dGhvcnM+PGF1dGhvcj5UaG9tYXMsIFMuPC9hdXRob3I+PGF1dGhvcj5UaG9t
YXMsIFQuPC9hdXRob3I+PGF1dGhvcj5Cb3NjaCwgUi4gSi48L2F1dGhvcj48YXV0aG9yPlJhbXRo
YWwsIEEuPC9hdXRob3I+PGF1dGhvcj5CZWxsaW5nZXIsIEQuIEMuPC9hdXRob3I+PGF1dGhvcj5L
dXJwYWQsIEEuIFYuPC9hdXRob3I+PGF1dGhvcj5EdWdnYW4sIEMuIFAuPC9hdXRob3I+PGF1dGhv
cj5TcmluaXZhc2FuLCBLLjwvYXV0aG9yPjwvYXV0aG9ycz48L2NvbnRyaWJ1dG9ycz48YXV0aC1h
ZGRyZXNzPkRpdmlzaW9uIG9mIE1lbnRhbCBIZWFsdGggJmFtcDsgTmV1cm9zY2llbmNlcywgU3Qg
Sm9obiZhcG9zO3MgTmF0aW9uYWwgQWNhZGVteSBvZiBIZWFsdGggU2NpZW5jZXMsIFN0IEpvaG4m
YXBvcztzIFJlc2VhcmNoIEluc3RpdHV0ZSwgQmVuZ2FsdXJ1LCBLYXJuYXRha2EsIDU2MDAzNCwg
SW5kaWEuJiN4RDtEaXZpc2lvbiBvZiBFcGlkZW1pb2xvZ3ksIEJpb3N0YXRpc3RpY3MgYW5kIFBv
cHVsYXRpb24gSGVhbHRoLCBTdCBKb2huJmFwb3M7cyBSZXNlYXJjaCBJbnN0aXR1dGUsIEJlbmdh
bHVydSwgS2FybmF0YWthLCBJbmRpYS4mI3hEO0RlcGFydG1lbnQgb2YgQmlvc3RhdGlzdGljcywg
SGFydmFyZCBUSCBDaGFuIFNjaG9vbCBvZiBQdWJsaWMgSGVhbHRoLCBCb3N0b24sIE1BLCBVU0Eu
JiN4RDtEZXBhcnRtZW50IG9mIE5ldXJvbG9neSwgQm9zdG9uIENoaWxkcmVuJmFwb3M7cyBIb3Nw
aXRhbCwgSGFydmFyZCBNZWRpY2FsIFNjaG9vbCwgQm9zdG9uLCBNQSwgVVNBLiYjeEQ7RGl2aXNp
b24gb2YgTnV0cml0aW9uLCBTdCBKb2huJmFwb3M7cyBSZXNlYXJjaCBJbnN0aXR1dGUsIEJlbmdh
bHVydSwgS2FybmF0YWthLCBJbmRpYS4mI3hEO0RlcGFydG1lbnQgb2YgUGh5c2lvbG9neSwgU3Qg
Sm9obnMgTWVkaWNhbCBDb2xsZWdlLCBCZW5nYWx1cnUsIEthcm5hdGFrYSwgSW5kaWEuJiN4RDtE
aXZpc2lvbiBvZiBHYXN0cm9lbnRlcm9sb2d5LCBIZXBhdG9sb2d5IGFuZCBOdXRyaXRpb24sIENl
bnRlciBmb3IgTnV0cml0aW9uLCBCb3N0b24gQ2hpbGRyZW4mYXBvcztzIEhvc3BpdGFsLCBCb3N0
b24sIE1BLCBVU0EuJiN4RDtEaXZpc2lvbiBvZiBNZW50YWwgSGVhbHRoICZhbXA7IE5ldXJvc2Np
ZW5jZXMsIFN0IEpvaG4mYXBvcztzIE5hdGlvbmFsIEFjYWRlbXkgb2YgSGVhbHRoIFNjaWVuY2Vz
LCBTdCBKb2huJmFwb3M7cyBSZXNlYXJjaCBJbnN0aXR1dGUsIEJlbmdhbHVydSwgS2FybmF0YWth
LCA1NjAwMzQsIEluZGlhLiBzcmluaXZhc0BzanJpLnJlcy5pbi4mI3hEO0RlcGFydG1lbnQgb2Yg
UHN5Y2hpYXRyeSwgU3QgSm9obiZhcG9zO3MgTWVkaWNhbCBDb2xsZWdlLCBCZW5nYWx1cnUsIEth
cm5hdGFrYSwgSW5kaWEuIHNyaW5pdmFzQHNqcmkucmVzLmluLjwvYXV0aC1hZGRyZXNzPjx0aXRs
ZXM+PHRpdGxlPkVmZmVjdCBvZiBtYXRlcm5hbCB2aXRhbWluIEIxMiBTdXBwbGVtZW50YXRpb24g
b24gY29nbml0aXZlIG91dGNvbWVzIGluIFNvdXRoIEluZGlhbiBjaGlsZHJlbjogYSByYW5kb21p
emVkIGNvbnRyb2xsZWQgY2xpbmljYWwgdHJpYWw8L3RpdGxlPjxzZWNvbmRhcnktdGl0bGU+TWF0
ZXJuIENoaWxkIEhlYWx0aCBKPC9zZWNvbmRhcnktdGl0bGU+PC90aXRsZXM+PHBlcmlvZGljYWw+
PGZ1bGwtdGl0bGU+TWF0ZXJuIENoaWxkIEhlYWx0aCBKPC9mdWxsLXRpdGxlPjwvcGVyaW9kaWNh
bD48cGFnZXM+MTU1LTE2MzwvcGFnZXM+PHZvbHVtZT4yMzwvdm9sdW1lPjxudW1iZXI+MjwvbnVt
YmVyPjxlZGl0aW9uPjIwMTgvMDcvMTQ8L2VkaXRpb24+PGtleXdvcmRzPjxrZXl3b3JkPkNoaWxk
PC9rZXl3b3JkPjxrZXl3b3JkPipDaGlsZCBEZXZlbG9wbWVudDwva2V5d29yZD48a2V5d29yZD5D
b2duaXRpb24vKmRydWcgZWZmZWN0cy9waHlzaW9sb2d5PC9rZXl3b3JkPjxrZXl3b3JkPipEaWV0
YXJ5IFN1cHBsZW1lbnRzPC9rZXl3b3JkPjxrZXl3b3JkPkZlbWFsZTwva2V5d29yZD48a2V5d29y
ZD4qRmV0YWwgRGV2ZWxvcG1lbnQ8L2tleXdvcmQ+PGtleXdvcmQ+SHVtYW5zPC9rZXl3b3JkPjxr
ZXl3b3JkPkluZGlhL2VwaWRlbWlvbG9neTwva2V5d29yZD48a2V5d29yZD5JbmZhbnQ8L2tleXdv
cmQ+PGtleXdvcmQ+TWFsZTwva2V5d29yZD48a2V5d29yZD5NYXRlcm5hbCBOdXRyaXRpb25hbCBQ
aHlzaW9sb2dpY2FsIFBoZW5vbWVuYTwva2V5d29yZD48a2V5d29yZD5Qb3N0bmF0YWwgQ2FyZTwv
a2V5d29yZD48a2V5d29yZD5QcmVnbmFuY3k8L2tleXdvcmQ+PGtleXdvcmQ+UHJlbmF0YWwgQ2Fy
ZTwva2V5d29yZD48a2V5d29yZD5QcmVuYXRhbCBFeHBvc3VyZSBEZWxheWVkIEVmZmVjdHM8L2tl
eXdvcmQ+PGtleXdvcmQ+U29jaW9lY29ub21pYyBGYWN0b3JzPC9rZXl3b3JkPjxrZXl3b3JkPlRy
ZWF0bWVudCBPdXRjb21lPC9rZXl3b3JkPjxrZXl3b3JkPlZpdGFtaW4gQiAxMi8qYWRtaW5pc3Ry
YXRpb24gJmFtcDsgZG9zYWdlL2Jsb29kPC9rZXl3b3JkPjxrZXl3b3JkPkNvZ25pdGlvbjwva2V5
d29yZD48a2V5d29yZD5FbGV2YXRlZCBob21vY3lzdGVpbmUgbGV2ZWxzPC9rZXl3b3JkPjxrZXl3
b3JkPlZpdGFtaW4gQjEyIHN1cHBsZW1lbnRhdGlvbjwva2V5d29yZD48L2tleXdvcmRzPjxkYXRl
cz48eWVhcj4yMDE5PC95ZWFyPjxwdWItZGF0ZXM+PGRhdGU+RmViPC9kYXRlPjwvcHViLWRhdGVz
PjwvZGF0ZXM+PGlzYm4+MTU3My02NjI4IChFbGVjdHJvbmljKSYjeEQ7MTA5Mi03ODc1IChMaW5r
aW5nKTwvaXNibj48YWNjZXNzaW9uLW51bT4zMDAwMzUyMTwvYWNjZXNzaW9uLW51bT48dXJscz48
cmVsYXRlZC11cmxzPjx1cmw+aHR0cHM6Ly93d3cubmNiaS5ubG0ubmloLmdvdi9wdWJtZWQvMzAw
MDM1MjE8L3VybD48L3JlbGF0ZWQtdXJscz48L3VybHM+PGVsZWN0cm9uaWMtcmVzb3VyY2UtbnVt
PjEwLjEwMDcvczEwOTk1LTAxOC0yNjA1LXo8L2VsZWN0cm9uaWMtcmVzb3VyY2UtbnVtPjwvcmVj
b3JkPjwvQ2l0ZT48L0VuZE5vdGU+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144,145</w:t>
      </w:r>
      <w:r w:rsidR="00201490">
        <w:fldChar w:fldCharType="end"/>
      </w:r>
    </w:p>
    <w:p w14:paraId="174347E4" w14:textId="7AE50DAF" w:rsidR="00EF63E3" w:rsidRDefault="00EF63E3" w:rsidP="00EF63E3">
      <w:pPr>
        <w:pStyle w:val="Heading4"/>
      </w:pPr>
      <w:r>
        <w:t>Vitamin C</w:t>
      </w:r>
    </w:p>
    <w:p w14:paraId="1E9238BC" w14:textId="00E74C91" w:rsidR="0050037E" w:rsidRDefault="00B23C1A" w:rsidP="00B23C1A">
      <w:pPr>
        <w:pStyle w:val="Heading5"/>
      </w:pPr>
      <w:r>
        <w:t>Background</w:t>
      </w:r>
    </w:p>
    <w:p w14:paraId="577CE6B8" w14:textId="41D2F3B2" w:rsidR="00323D62" w:rsidRDefault="00323D62" w:rsidP="00323D62">
      <w:r>
        <w:t>A survey of pregnant women conducted in Sydney found that 8.2% were taking a vitamin C 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4D0EDC6B" w14:textId="7383E72C" w:rsidR="000F1769" w:rsidRPr="000F1769" w:rsidRDefault="00EE0BE5" w:rsidP="000F1769">
      <w:r>
        <w:t>The Guidelines currently recommend that women be advised that taking vitamin C supplements is not of benefit in pregnancy an</w:t>
      </w:r>
      <w:r w:rsidR="00193995">
        <w:t>d may cause harm</w:t>
      </w:r>
      <w:r>
        <w:t>.</w:t>
      </w:r>
    </w:p>
    <w:p w14:paraId="05999E0A" w14:textId="77777777" w:rsidR="00B23C1A" w:rsidRDefault="00B23C1A" w:rsidP="00B23C1A">
      <w:pPr>
        <w:pStyle w:val="Heading5"/>
      </w:pPr>
      <w:r>
        <w:t>Current review</w:t>
      </w:r>
    </w:p>
    <w:p w14:paraId="06AFC098" w14:textId="24101637" w:rsidR="004B7C9E" w:rsidRDefault="004B7C9E" w:rsidP="004B7C9E">
      <w:r>
        <w:t xml:space="preserve">This review </w:t>
      </w:r>
      <w:r w:rsidR="007262D7">
        <w:t>identified</w:t>
      </w:r>
      <w:r>
        <w:t xml:space="preserve"> three systematic reviews</w:t>
      </w:r>
      <w:r w:rsidR="00E51743">
        <w:fldChar w:fldCharType="begin">
          <w:fldData xml:space="preserve">PEVuZE5vdGU+PENpdGU+PEF1dGhvcj5CYWxvZ3VuPC9BdXRob3I+PFllYXI+MjAxNjwvWWVhcj48
UmVjTnVtPjEyNzY8L1JlY051bT48RGlzcGxheVRleHQ+PHN0eWxlIGZhY2U9InN1cGVyc2NyaXB0
IiBmb250PSJUcmVidWNoZXQgTVMiIHNpemU9IjkiPjEyNSwxNDcsMTQ4PC9zdHlsZT48L0Rpc3Bs
YXlUZXh0PjxyZWNvcmQ+PHJlYy1udW1iZXI+MTI3NjwvcmVjLW51bWJlcj48Zm9yZWlnbi1rZXlz
PjxrZXkgYXBwPSJFTiIgZGItaWQ9ImV4dmFzcmZ4MmR0cmFvZXNhc3hwMnN6c3hhMmRmNTAyNTky
eCIgdGltZXN0YW1wPSIxNTYzMzIyMDYyIj4xMjc2PC9rZXk+PGtleSBhcHA9IkVOV2ViIiBkYi1p
ZD0iIj4wPC9rZXk+PC9mb3JlaWduLWtleXM+PHJlZi10eXBlIG5hbWU9IkpvdXJuYWwgQXJ0aWNs
ZSI+MTc8L3JlZi10eXBlPjxjb250cmlidXRvcnM+PGF1dGhvcnM+PGF1dGhvcj5CYWxvZ3VuLCBP
LiBPLjwvYXV0aG9yPjxhdXRob3I+ZGEgU2lsdmEgTG9wZXMsIEsuPC9hdXRob3I+PGF1dGhvcj5P
dGEsIEUuPC9hdXRob3I+PGF1dGhvcj5UYWtlbW90bywgWS48L2F1dGhvcj48YXV0aG9yPlJ1bWJv
bGQsIEEuPC9hdXRob3I+PGF1dGhvcj5UYWtlZ2F0YSwgTS48L2F1dGhvcj48YXV0aG9yPk1vcmks
IFIuPC9hdXRob3I+PC9hdXRob3JzPjwvY29udHJpYnV0b3JzPjxhdXRoLWFkZHJlc3M+RGVwYXJ0
bWVudCBvZiBIZWFsdGggUG9saWN5LCBOYXRpb25hbCBDZW50ZXIgZm9yIENoaWxkIEhlYWx0aCBh
bmQgRGV2ZWxvcG1lbnQsIE1lZGljYWwgQnVpbGRpbmcgTm8uIDIsIEhvbmdvIENhbXB1cywgMi0x
MC0xIE9rdXJhLCBUb2t5bywgVG9reW8sIEphcGFuLCAxNTctODUzNS48L2F1dGgtYWRkcmVzcz48
dGl0bGVzPjx0aXRsZT5WaXRhbWluIHN1cHBsZW1lbnRhdGlvbiBmb3IgcHJldmVudGluZyBtaXNj
YXJyaWFnZTwvdGl0bGU+PHNlY29uZGFyeS10aXRsZT5Db2NocmFuZSBEYXRhYmFzZSBTeXN0IFJl
djwvc2Vjb25kYXJ5LXRpdGxlPjwvdGl0bGVzPjxwZXJpb2RpY2FsPjxmdWxsLXRpdGxlPkNvY2hy
YW5lIERhdGFiYXNlIFN5c3QgUmV2PC9mdWxsLXRpdGxlPjwvcGVyaW9kaWNhbD48cGFnZXM+Q0Qw
MDQwNzM8L3BhZ2VzPjxudW1iZXI+NTwvbnVtYmVyPjxlZGl0aW9uPjIwMTYvMDUvMDc8L2VkaXRp
b24+PGtleXdvcmRzPjxrZXl3b3JkPkFib3J0aW9uLCBIYWJpdHVhbC9wcmV2ZW50aW9uICZhbXA7
IGNvbnRyb2w8L2tleXdvcmQ+PGtleXdvcmQ+QWJvcnRpb24sIFNwb250YW5lb3VzLypwcmV2ZW50
aW9uICZhbXA7IGNvbnRyb2w8L2tleXdvcmQ+PGtleXdvcmQ+QW50aW94aWRhbnRzL2FkbWluaXN0
cmF0aW9uICZhbXA7IGRvc2FnZTwva2V5d29yZD48a2V5d29yZD5Bc2NvcmJpYyBBY2lkL2FkbWlu
aXN0cmF0aW9uICZhbXA7IGRvc2FnZTwva2V5d29yZD48a2V5d29yZD5EaWV0YXJ5IFN1cHBsZW1l
bnRzLyphZHZlcnNlIGVmZmVjdHM8L2tleXdvcmQ+PGtleXdvcmQ+RmVtYWxlPC9rZXl3b3JkPjxr
ZXl3b3JkPkZvbGljIEFjaWQvYWRtaW5pc3RyYXRpb24gJmFtcDsgZG9zYWdlPC9rZXl3b3JkPjxr
ZXl3b3JkPkh1bWFuczwva2V5d29yZD48a2V5d29yZD5Jcm9uL2FkbWluaXN0cmF0aW9uICZhbXA7
IGRvc2FnZTwva2V5d29yZD48a2V5d29yZD5QcmUtRWNsYW1wc2lhL3ByZXZlbnRpb24gJmFtcDsg
Y29udHJvbDwva2V5d29yZD48a2V5d29yZD5QcmVnbmFuY3k8L2tleXdvcmQ+PGtleXdvcmQ+UHJl
Z25hbmN5IE91dGNvbWU8L2tleXdvcmQ+PGtleXdvcmQ+UHJlZ25hbmN5LCBNdWx0aXBsZTwva2V5
d29yZD48a2V5d29yZD5QcmVuYXRhbCBDYXJlPC9rZXl3b3JkPjxrZXl3b3JkPlJhbmRvbWl6ZWQg
Q29udHJvbGxlZCBUcmlhbHMgYXMgVG9waWM8L2tleXdvcmQ+PGtleXdvcmQ+U3RpbGxiaXJ0aDwv
a2V5d29yZD48a2V5d29yZD5WaXRhbWluIEEvYWRtaW5pc3RyYXRpb24gJmFtcDsgZG9zYWdlPC9r
ZXl3b3JkPjxrZXl3b3JkPlZpdGFtaW5zLyphZG1pbmlzdHJhdGlvbiAmYW1wOyBkb3NhZ2UvYWR2
ZXJzZSBlZmZlY3RzPC9rZXl3b3JkPjwva2V5d29yZHM+PGRhdGVzPjx5ZWFyPjIwMTY8L3llYXI+
PHB1Yi1kYXRlcz48ZGF0ZT5NYXkgNjwvZGF0ZT48L3B1Yi1kYXRlcz48L2RhdGVzPjxpc2JuPjE0
NjktNDkzWCAoRWxlY3Ryb25pYykmI3hEOzEzNjEtNjEzNyAoTGlua2luZyk8L2lzYm4+PGFjY2Vz
c2lvbi1udW0+MjcxNTAyODA8L2FjY2Vzc2lvbi1udW0+PHVybHM+PHJlbGF0ZWQtdXJscz48dXJs
Pmh0dHBzOi8vd3d3Lm5jYmkubmxtLm5paC5nb3YvcHVibWVkLzI3MTUwMjgwPC91cmw+PC9yZWxh
dGVkLXVybHM+PC91cmxzPjxlbGVjdHJvbmljLXJlc291cmNlLW51bT4xMC4xMDAyLzE0NjUxODU4
LkNEMDA0MDczLnB1YjQ8L2VsZWN0cm9uaWMtcmVzb3VyY2UtbnVtPjwvcmVjb3JkPjwvQ2l0ZT48
Q2l0ZT48QXV0aG9yPkZ1PC9BdXRob3I+PFllYXI+MjAxODwvWWVhcj48UmVjTnVtPjEyOTM8L1Jl
Y051bT48cmVjb3JkPjxyZWMtbnVtYmVyPjEyOTM8L3JlYy1udW1iZXI+PGZvcmVpZ24ta2V5cz48
a2V5IGFwcD0iRU4iIGRiLWlkPSJleHZhc3JmeDJkdHJhb2VzYXN4cDJzenN4YTJkZjUwMjU5Mngi
IHRpbWVzdGFtcD0iMTU2NTIyMzYyMCI+MTI5Mzwva2V5PjxrZXkgYXBwPSJFTldlYiIgZGItaWQ9
IiI+MDwva2V5PjwvZm9yZWlnbi1rZXlzPjxyZWYtdHlwZSBuYW1lPSJKb3VybmFsIEFydGljbGUi
PjE3PC9yZWYtdHlwZT48Y29udHJpYnV0b3JzPjxhdXRob3JzPjxhdXRob3I+RnUsIFouIE0uPC9h
dXRob3I+PGF1dGhvcj5NYSwgWi4gWi48L2F1dGhvcj48YXV0aG9yPkxpdSwgRy4gSi48L2F1dGhv
cj48YXV0aG9yPldhbmcsIEwuIEwuPC9hdXRob3I+PGF1dGhvcj5HdW8sIFkuPC9hdXRob3I+PC9h
dXRob3JzPjwvY29udHJpYnV0b3JzPjxhdXRoLWFkZHJlc3M+TWF0ZXJuaXR5IERlcGFydG1lbnQs
IFcuRi4gTWF0ZXJuaXR5IGFuZCBDaGlsZCBDYXJlIEhvc3BpdGFsLCA0MDcgUWluZ25pYW4gUm9h
ZCwgV2VpY2hlbmcgRGlzdHJpY3QsIFdlaWZhbmcgMjYxMDExLCBDaGluYS4mI3hEO1BoYXJtYWN5
IERlcGFydG1lbnQsIFdlaWZhbmcgUGVvcGxlJmFwb3M7cyBIb3NwaXRhbCwgMTUxIEd1YW5nd2Vu
IFN0cmVldCwgS3Vpd2VuIERpc3RyaWN0LCBXZWlmYW5nIDI2MTA0MSwgQ2hpbmEuJiN4RDtNYXRl
cm5pdHkgRGVwYXJ0bWVudCwgVy5GLiBNYXRlcm5pdHkgYW5kIENoaWxkIENhcmUgSG9zcGl0YWws
IDQwNyBRaW5nbmlhbiBSb2FkLCBXZWljaGVuZyBEaXN0cmljdCwgV2VpZmFuZyAyNjEwMTEsIENo
aW5hLiBFbGVjdHJvbmljIGFkZHJlc3M6IEd1b3l3ZkAxNjMuY29tLjwvYXV0aC1hZGRyZXNzPjx0
aXRsZXM+PHRpdGxlPlZpdGFtaW5zIHN1cHBsZW1lbnRhdGlvbiBhZmZlY3RzIHRoZSBvbnNldCBv
ZiBwcmVlY2xhbXBzaWE8L3RpdGxlPjxzZWNvbmRhcnktdGl0bGU+SiBGb3Jtb3MgTWVkIEFzc29j
PC9zZWNvbmRhcnktdGl0bGU+PC90aXRsZXM+PHBlcmlvZGljYWw+PGZ1bGwtdGl0bGU+SiBGb3Jt
b3MgTWVkIEFzc29jPC9mdWxsLXRpdGxlPjwvcGVyaW9kaWNhbD48cGFnZXM+Ni0xMzwvcGFnZXM+
PHZvbHVtZT4xMTc8L3ZvbHVtZT48bnVtYmVyPjE8L251bWJlcj48ZWRpdGlvbj4yMDE3LzA5LzA4
PC9lZGl0aW9uPjxrZXl3b3Jkcz48a2V5d29yZD4qRGlldGFyeSBTdXBwbGVtZW50czwva2V5d29y
ZD48a2V5d29yZD5GZW1hbGU8L2tleXdvcmQ+PGtleXdvcmQ+SHVtYW5zPC9rZXl3b3JkPjxrZXl3
b3JkPlByZS1FY2xhbXBzaWEvKmVwaWRlbWlvbG9neS8qcHJldmVudGlvbiAmYW1wOyBjb250cm9s
PC9rZXl3b3JkPjxrZXl3b3JkPlByZWduYW5jeTwva2V5d29yZD48a2V5d29yZD5SYW5kb21pemVk
IENvbnRyb2xsZWQgVHJpYWxzIGFzIFRvcGljPC9rZXl3b3JkPjxrZXl3b3JkPlZpdGFtaW5zLyp0
aGVyYXBldXRpYyB1c2U8L2tleXdvcmQ+PGtleXdvcmQ+TWV0YS1hbmFseXNpczwva2V5d29yZD48
a2V5d29yZD5QcmVlY2xhbXBzaWE8L2tleXdvcmQ+PGtleXdvcmQ+UkNUczwva2V5d29yZD48a2V5
d29yZD5WaXRhbWlucyBzdXBwbGVtZW50YXRpb248L2tleXdvcmQ+PC9rZXl3b3Jkcz48ZGF0ZXM+
PHllYXI+MjAxODwveWVhcj48cHViLWRhdGVzPjxkYXRlPkphbjwvZGF0ZT48L3B1Yi1kYXRlcz48
L2RhdGVzPjxpc2JuPjA5MjktNjY0NiAoUHJpbnQpJiN4RDswOTI5LTY2NDYgKExpbmtpbmcpPC9p
c2JuPjxhY2Nlc3Npb24tbnVtPjI4ODc3ODUzPC9hY2Nlc3Npb24tbnVtPjx1cmxzPjxyZWxhdGVk
LXVybHM+PHVybD5odHRwczovL3d3dy5uY2JpLm5sbS5uaWguZ292L3B1Ym1lZC8yODg3Nzg1Mzwv
dXJsPjwvcmVsYXRlZC11cmxzPjwvdXJscz48ZWxlY3Ryb25pYy1yZXNvdXJjZS1udW0+MTAuMTAx
Ni9qLmpmbWEuMjAxNy4wOC4wMDU8L2VsZWN0cm9uaWMtcmVzb3VyY2UtbnVtPjwvcmVjb3JkPjwv
Q2l0ZT48Q2l0ZT48QXV0aG9yPlJ1bWJvbGQ8L0F1dGhvcj48WWVhcj4yMDE1PC9ZZWFyPjxSZWNO
dW0+MTI4MjwvUmVjTnVtPjxyZWNvcmQ+PHJlYy1udW1iZXI+MTI4MjwvcmVjLW51bWJlcj48Zm9y
ZWlnbi1rZXlzPjxrZXkgYXBwPSJFTiIgZGItaWQ9ImV4dmFzcmZ4MmR0cmFvZXNhc3hwMnN6c3hh
MmRmNTAyNTkyeCIgdGltZXN0YW1wPSIxNTYzMzIyMDgzIj4xMjgyPC9rZXk+PGtleSBhcHA9IkVO
V2ViIiBkYi1pZD0iIj4wPC9rZXk+PC9mb3JlaWduLWtleXM+PHJlZi10eXBlIG5hbWU9IkpvdXJu
YWwgQXJ0aWNsZSI+MTc8L3JlZi10eXBlPjxjb250cmlidXRvcnM+PGF1dGhvcnM+PGF1dGhvcj5S
dW1ib2xkLCBBLjwvYXV0aG9yPjxhdXRob3I+T3RhLCBFLjwvYXV0aG9yPjxhdXRob3I+TmFnYXRh
LCBDLjwvYXV0aG9yPjxhdXRob3I+U2hhaHJvb2ssIFMuPC9hdXRob3I+PGF1dGhvcj5Dcm93dGhl
ciwgQy4gQS48L2F1dGhvcj48L2F1dGhvcnM+PC9jb250cmlidXRvcnM+PGF1dGgtYWRkcmVzcz5U
aGUgUm9iaW5zb24gUmVzZWFyY2ggSW5zdGl0dXRlLCBUaGUgVW5pdmVyc2l0eSBvZiBBZGVsYWlk
ZSwgR3JvdW5kIEZsb29yLCBOb3J3aWNoIENlbnRyZSwgNTUgS2luZyBXaWxsaWFtIFJvYWQsIEFk
ZWxhaWRlLCBOVCwgQXVzdHJhbGlhLCBTQSA1MDA2LjwvYXV0aC1hZGRyZXNzPjx0aXRsZXM+PHRp
dGxlPlZpdGFtaW4gQyBzdXBwbGVtZW50YXRpb24gaW4gcHJlZ25hbmN5PC90aXRsZT48c2Vjb25k
YXJ5LXRpdGxlPkNvY2hyYW5lIERhdGFiYXNlIFN5c3QgUmV2PC9zZWNvbmRhcnktdGl0bGU+PC90
aXRsZXM+PHBlcmlvZGljYWw+PGZ1bGwtdGl0bGU+Q29jaHJhbmUgRGF0YWJhc2UgU3lzdCBSZXY8
L2Z1bGwtdGl0bGU+PC9wZXJpb2RpY2FsPjxwYWdlcz5DRDAwNDA3MjwvcGFnZXM+PG51bWJlcj45
PC9udW1iZXI+PGVkaXRpb24+MjAxNS8wOS8zMDwvZWRpdGlvbj48a2V5d29yZHM+PGtleXdvcmQ+
QW5lbWlhL3ByZXZlbnRpb24gJmFtcDsgY29udHJvbDwva2V5d29yZD48a2V5d29yZD5Bc2NvcmJp
YyBBY2lkLyphZG1pbmlzdHJhdGlvbiAmYW1wOyBkb3NhZ2U8L2tleXdvcmQ+PGtleXdvcmQ+KkRp
ZXRhcnkgU3VwcGxlbWVudHM8L2tleXdvcmQ+PGtleXdvcmQ+RmVtYWxlPC9rZXl3b3JkPjxrZXl3
b3JkPkZldGFsIEdyb3d0aCBSZXRhcmRhdGlvbi9wcmV2ZW50aW9uICZhbXA7IGNvbnRyb2w8L2tl
eXdvcmQ+PGtleXdvcmQ+SHVtYW5zPC9rZXl3b3JkPjxrZXl3b3JkPlByZS1FY2xhbXBzaWEvcHJl
dmVudGlvbiAmYW1wOyBjb250cm9sPC9rZXl3b3JkPjxrZXl3b3JkPlByZWduYW5jeTwva2V5d29y
ZD48a2V5d29yZD5QcmVnbmFuY3kgQ29tcGxpY2F0aW9ucy8qcHJldmVudGlvbiAmYW1wOyBjb250
cm9sPC9rZXl3b3JkPjxrZXl3b3JkPlByZWduYW5jeSBDb21wbGljYXRpb25zLCBIZW1hdG9sb2dp
Yy9wcmV2ZW50aW9uICZhbXA7IGNvbnRyb2w8L2tleXdvcmQ+PGtleXdvcmQ+UmFuZG9taXplZCBD
b250cm9sbGVkIFRyaWFscyBhcyBUb3BpYzwva2V5d29yZD48a2V5d29yZD5WaXRhbWlucy8qYWRt
aW5pc3RyYXRpb24gJmFtcDsgZG9zYWdlPC9rZXl3b3JkPjwva2V5d29yZHM+PGRhdGVzPjx5ZWFy
PjIwMTU8L3llYXI+PHB1Yi1kYXRlcz48ZGF0ZT5TZXAgMjk8L2RhdGU+PC9wdWItZGF0ZXM+PC9k
YXRlcz48aXNibj4xNDY5LTQ5M1ggKEVsZWN0cm9uaWMpJiN4RDsxMzYxLTYxMzcgKExpbmtpbmcp
PC9pc2JuPjxhY2Nlc3Npb24tbnVtPjI2NDE1NzYyPC9hY2Nlc3Npb24tbnVtPjx1cmxzPjxyZWxh
dGVkLXVybHM+PHVybD5odHRwczovL3d3dy5uY2JpLm5sbS5uaWguZ292L3B1Ym1lZC8yNjQxNTc2
MjwvdXJsPjwvcmVsYXRlZC11cmxzPjwvdXJscz48ZWxlY3Ryb25pYy1yZXNvdXJjZS1udW0+MTAu
MTAwMi8xNDY1MTg1OC5DRDAwNDA3Mi5wdWIzPC9lbGVjdHJvbmljLXJlc291cmNlLW51bT48L3Jl
Y29yZD48L0NpdGU+PC9FbmROb3RlPgB=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IiBmb250PSJUcmVidWNoZXQgTVMiIHNpemU9IjkiPjEyNSwxNDcsMTQ4PC9zdHlsZT48L0Rpc3Bs
YXlUZXh0PjxyZWNvcmQ+PHJlYy1udW1iZXI+MTI3NjwvcmVjLW51bWJlcj48Zm9yZWlnbi1rZXlz
PjxrZXkgYXBwPSJFTiIgZGItaWQ9ImV4dmFzcmZ4MmR0cmFvZXNhc3hwMnN6c3hhMmRmNTAyNTky
eCIgdGltZXN0YW1wPSIxNTYzMzIyMDYyIj4xMjc2PC9rZXk+PGtleSBhcHA9IkVOV2ViIiBkYi1p
ZD0iIj4wPC9rZXk+PC9mb3JlaWduLWtleXM+PHJlZi10eXBlIG5hbWU9IkpvdXJuYWwgQXJ0aWNs
ZSI+MTc8L3JlZi10eXBlPjxjb250cmlidXRvcnM+PGF1dGhvcnM+PGF1dGhvcj5CYWxvZ3VuLCBP
LiBPLjwvYXV0aG9yPjxhdXRob3I+ZGEgU2lsdmEgTG9wZXMsIEsuPC9hdXRob3I+PGF1dGhvcj5P
dGEsIEUuPC9hdXRob3I+PGF1dGhvcj5UYWtlbW90bywgWS48L2F1dGhvcj48YXV0aG9yPlJ1bWJv
bGQsIEEuPC9hdXRob3I+PGF1dGhvcj5UYWtlZ2F0YSwgTS48L2F1dGhvcj48YXV0aG9yPk1vcmks
IFIuPC9hdXRob3I+PC9hdXRob3JzPjwvY29udHJpYnV0b3JzPjxhdXRoLWFkZHJlc3M+RGVwYXJ0
bWVudCBvZiBIZWFsdGggUG9saWN5LCBOYXRpb25hbCBDZW50ZXIgZm9yIENoaWxkIEhlYWx0aCBh
bmQgRGV2ZWxvcG1lbnQsIE1lZGljYWwgQnVpbGRpbmcgTm8uIDIsIEhvbmdvIENhbXB1cywgMi0x
MC0xIE9rdXJhLCBUb2t5bywgVG9reW8sIEphcGFuLCAxNTctODUzNS48L2F1dGgtYWRkcmVzcz48
dGl0bGVzPjx0aXRsZT5WaXRhbWluIHN1cHBsZW1lbnRhdGlvbiBmb3IgcHJldmVudGluZyBtaXNj
YXJyaWFnZTwvdGl0bGU+PHNlY29uZGFyeS10aXRsZT5Db2NocmFuZSBEYXRhYmFzZSBTeXN0IFJl
djwvc2Vjb25kYXJ5LXRpdGxlPjwvdGl0bGVzPjxwZXJpb2RpY2FsPjxmdWxsLXRpdGxlPkNvY2hy
YW5lIERhdGFiYXNlIFN5c3QgUmV2PC9mdWxsLXRpdGxlPjwvcGVyaW9kaWNhbD48cGFnZXM+Q0Qw
MDQwNzM8L3BhZ2VzPjxudW1iZXI+NTwvbnVtYmVyPjxlZGl0aW9uPjIwMTYvMDUvMDc8L2VkaXRp
b24+PGtleXdvcmRzPjxrZXl3b3JkPkFib3J0aW9uLCBIYWJpdHVhbC9wcmV2ZW50aW9uICZhbXA7
IGNvbnRyb2w8L2tleXdvcmQ+PGtleXdvcmQ+QWJvcnRpb24sIFNwb250YW5lb3VzLypwcmV2ZW50
aW9uICZhbXA7IGNvbnRyb2w8L2tleXdvcmQ+PGtleXdvcmQ+QW50aW94aWRhbnRzL2FkbWluaXN0
cmF0aW9uICZhbXA7IGRvc2FnZTwva2V5d29yZD48a2V5d29yZD5Bc2NvcmJpYyBBY2lkL2FkbWlu
aXN0cmF0aW9uICZhbXA7IGRvc2FnZTwva2V5d29yZD48a2V5d29yZD5EaWV0YXJ5IFN1cHBsZW1l
bnRzLyphZHZlcnNlIGVmZmVjdHM8L2tleXdvcmQ+PGtleXdvcmQ+RmVtYWxlPC9rZXl3b3JkPjxr
ZXl3b3JkPkZvbGljIEFjaWQvYWRtaW5pc3RyYXRpb24gJmFtcDsgZG9zYWdlPC9rZXl3b3JkPjxr
ZXl3b3JkPkh1bWFuczwva2V5d29yZD48a2V5d29yZD5Jcm9uL2FkbWluaXN0cmF0aW9uICZhbXA7
IGRvc2FnZTwva2V5d29yZD48a2V5d29yZD5QcmUtRWNsYW1wc2lhL3ByZXZlbnRpb24gJmFtcDsg
Y29udHJvbDwva2V5d29yZD48a2V5d29yZD5QcmVnbmFuY3k8L2tleXdvcmQ+PGtleXdvcmQ+UHJl
Z25hbmN5IE91dGNvbWU8L2tleXdvcmQ+PGtleXdvcmQ+UHJlZ25hbmN5LCBNdWx0aXBsZTwva2V5
d29yZD48a2V5d29yZD5QcmVuYXRhbCBDYXJlPC9rZXl3b3JkPjxrZXl3b3JkPlJhbmRvbWl6ZWQg
Q29udHJvbGxlZCBUcmlhbHMgYXMgVG9waWM8L2tleXdvcmQ+PGtleXdvcmQ+U3RpbGxiaXJ0aDwv
a2V5d29yZD48a2V5d29yZD5WaXRhbWluIEEvYWRtaW5pc3RyYXRpb24gJmFtcDsgZG9zYWdlPC9r
ZXl3b3JkPjxrZXl3b3JkPlZpdGFtaW5zLyphZG1pbmlzdHJhdGlvbiAmYW1wOyBkb3NhZ2UvYWR2
ZXJzZSBlZmZlY3RzPC9rZXl3b3JkPjwva2V5d29yZHM+PGRhdGVzPjx5ZWFyPjIwMTY8L3llYXI+
PHB1Yi1kYXRlcz48ZGF0ZT5NYXkgNjwvZGF0ZT48L3B1Yi1kYXRlcz48L2RhdGVzPjxpc2JuPjE0
NjktNDkzWCAoRWxlY3Ryb25pYykmI3hEOzEzNjEtNjEzNyAoTGlua2luZyk8L2lzYm4+PGFjY2Vz
c2lvbi1udW0+MjcxNTAyODA8L2FjY2Vzc2lvbi1udW0+PHVybHM+PHJlbGF0ZWQtdXJscz48dXJs
Pmh0dHBzOi8vd3d3Lm5jYmkubmxtLm5paC5nb3YvcHVibWVkLzI3MTUwMjgwPC91cmw+PC9yZWxh
dGVkLXVybHM+PC91cmxzPjxlbGVjdHJvbmljLXJlc291cmNlLW51bT4xMC4xMDAyLzE0NjUxODU4
LkNEMDA0MDczLnB1YjQ8L2VsZWN0cm9uaWMtcmVzb3VyY2UtbnVtPjwvcmVjb3JkPjwvQ2l0ZT48
Q2l0ZT48QXV0aG9yPkZ1PC9BdXRob3I+PFllYXI+MjAxODwvWWVhcj48UmVjTnVtPjEyOTM8L1Jl
Y051bT48cmVjb3JkPjxyZWMtbnVtYmVyPjEyOTM8L3JlYy1udW1iZXI+PGZvcmVpZ24ta2V5cz48
a2V5IGFwcD0iRU4iIGRiLWlkPSJleHZhc3JmeDJkdHJhb2VzYXN4cDJzenN4YTJkZjUwMjU5Mngi
IHRpbWVzdGFtcD0iMTU2NTIyMzYyMCI+MTI5Mzwva2V5PjxrZXkgYXBwPSJFTldlYiIgZGItaWQ9
IiI+MDwva2V5PjwvZm9yZWlnbi1rZXlzPjxyZWYtdHlwZSBuYW1lPSJKb3VybmFsIEFydGljbGUi
PjE3PC9yZWYtdHlwZT48Y29udHJpYnV0b3JzPjxhdXRob3JzPjxhdXRob3I+RnUsIFouIE0uPC9h
dXRob3I+PGF1dGhvcj5NYSwgWi4gWi48L2F1dGhvcj48YXV0aG9yPkxpdSwgRy4gSi48L2F1dGhv
cj48YXV0aG9yPldhbmcsIEwuIEwuPC9hdXRob3I+PGF1dGhvcj5HdW8sIFkuPC9hdXRob3I+PC9h
dXRob3JzPjwvY29udHJpYnV0b3JzPjxhdXRoLWFkZHJlc3M+TWF0ZXJuaXR5IERlcGFydG1lbnQs
IFcuRi4gTWF0ZXJuaXR5IGFuZCBDaGlsZCBDYXJlIEhvc3BpdGFsLCA0MDcgUWluZ25pYW4gUm9h
ZCwgV2VpY2hlbmcgRGlzdHJpY3QsIFdlaWZhbmcgMjYxMDExLCBDaGluYS4mI3hEO1BoYXJtYWN5
IERlcGFydG1lbnQsIFdlaWZhbmcgUGVvcGxlJmFwb3M7cyBIb3NwaXRhbCwgMTUxIEd1YW5nd2Vu
IFN0cmVldCwgS3Vpd2VuIERpc3RyaWN0LCBXZWlmYW5nIDI2MTA0MSwgQ2hpbmEuJiN4RDtNYXRl
cm5pdHkgRGVwYXJ0bWVudCwgVy5GLiBNYXRlcm5pdHkgYW5kIENoaWxkIENhcmUgSG9zcGl0YWws
IDQwNyBRaW5nbmlhbiBSb2FkLCBXZWljaGVuZyBEaXN0cmljdCwgV2VpZmFuZyAyNjEwMTEsIENo
aW5hLiBFbGVjdHJvbmljIGFkZHJlc3M6IEd1b3l3ZkAxNjMuY29tLjwvYXV0aC1hZGRyZXNzPjx0
aXRsZXM+PHRpdGxlPlZpdGFtaW5zIHN1cHBsZW1lbnRhdGlvbiBhZmZlY3RzIHRoZSBvbnNldCBv
ZiBwcmVlY2xhbXBzaWE8L3RpdGxlPjxzZWNvbmRhcnktdGl0bGU+SiBGb3Jtb3MgTWVkIEFzc29j
PC9zZWNvbmRhcnktdGl0bGU+PC90aXRsZXM+PHBlcmlvZGljYWw+PGZ1bGwtdGl0bGU+SiBGb3Jt
b3MgTWVkIEFzc29jPC9mdWxsLXRpdGxlPjwvcGVyaW9kaWNhbD48cGFnZXM+Ni0xMzwvcGFnZXM+
PHZvbHVtZT4xMTc8L3ZvbHVtZT48bnVtYmVyPjE8L251bWJlcj48ZWRpdGlvbj4yMDE3LzA5LzA4
PC9lZGl0aW9uPjxrZXl3b3Jkcz48a2V5d29yZD4qRGlldGFyeSBTdXBwbGVtZW50czwva2V5d29y
ZD48a2V5d29yZD5GZW1hbGU8L2tleXdvcmQ+PGtleXdvcmQ+SHVtYW5zPC9rZXl3b3JkPjxrZXl3
b3JkPlByZS1FY2xhbXBzaWEvKmVwaWRlbWlvbG9neS8qcHJldmVudGlvbiAmYW1wOyBjb250cm9s
PC9rZXl3b3JkPjxrZXl3b3JkPlByZWduYW5jeTwva2V5d29yZD48a2V5d29yZD5SYW5kb21pemVk
IENvbnRyb2xsZWQgVHJpYWxzIGFzIFRvcGljPC9rZXl3b3JkPjxrZXl3b3JkPlZpdGFtaW5zLyp0
aGVyYXBldXRpYyB1c2U8L2tleXdvcmQ+PGtleXdvcmQ+TWV0YS1hbmFseXNpczwva2V5d29yZD48
a2V5d29yZD5QcmVlY2xhbXBzaWE8L2tleXdvcmQ+PGtleXdvcmQ+UkNUczwva2V5d29yZD48a2V5
d29yZD5WaXRhbWlucyBzdXBwbGVtZW50YXRpb248L2tleXdvcmQ+PC9rZXl3b3Jkcz48ZGF0ZXM+
PHllYXI+MjAxODwveWVhcj48cHViLWRhdGVzPjxkYXRlPkphbjwvZGF0ZT48L3B1Yi1kYXRlcz48
L2RhdGVzPjxpc2JuPjA5MjktNjY0NiAoUHJpbnQpJiN4RDswOTI5LTY2NDYgKExpbmtpbmcpPC9p
c2JuPjxhY2Nlc3Npb24tbnVtPjI4ODc3ODUzPC9hY2Nlc3Npb24tbnVtPjx1cmxzPjxyZWxhdGVk
LXVybHM+PHVybD5odHRwczovL3d3dy5uY2JpLm5sbS5uaWguZ292L3B1Ym1lZC8yODg3Nzg1Mzwv
dXJsPjwvcmVsYXRlZC11cmxzPjwvdXJscz48ZWxlY3Ryb25pYy1yZXNvdXJjZS1udW0+MTAuMTAx
Ni9qLmpmbWEuMjAxNy4wOC4wMDU8L2VsZWN0cm9uaWMtcmVzb3VyY2UtbnVtPjwvcmVjb3JkPjwv
Q2l0ZT48Q2l0ZT48QXV0aG9yPlJ1bWJvbGQ8L0F1dGhvcj48WWVhcj4yMDE1PC9ZZWFyPjxSZWNO
dW0+MTI4MjwvUmVjTnVtPjxyZWNvcmQ+PHJlYy1udW1iZXI+MTI4MjwvcmVjLW51bWJlcj48Zm9y
ZWlnbi1rZXlzPjxrZXkgYXBwPSJFTiIgZGItaWQ9ImV4dmFzcmZ4MmR0cmFvZXNhc3hwMnN6c3hh
MmRmNTAyNTkyeCIgdGltZXN0YW1wPSIxNTYzMzIyMDgzIj4xMjgyPC9rZXk+PGtleSBhcHA9IkVO
V2ViIiBkYi1pZD0iIj4wPC9rZXk+PC9mb3JlaWduLWtleXM+PHJlZi10eXBlIG5hbWU9IkpvdXJu
YWwgQXJ0aWNsZSI+MTc8L3JlZi10eXBlPjxjb250cmlidXRvcnM+PGF1dGhvcnM+PGF1dGhvcj5S
dW1ib2xkLCBBLjwvYXV0aG9yPjxhdXRob3I+T3RhLCBFLjwvYXV0aG9yPjxhdXRob3I+TmFnYXRh
LCBDLjwvYXV0aG9yPjxhdXRob3I+U2hhaHJvb2ssIFMuPC9hdXRob3I+PGF1dGhvcj5Dcm93dGhl
ciwgQy4gQS48L2F1dGhvcj48L2F1dGhvcnM+PC9jb250cmlidXRvcnM+PGF1dGgtYWRkcmVzcz5U
aGUgUm9iaW5zb24gUmVzZWFyY2ggSW5zdGl0dXRlLCBUaGUgVW5pdmVyc2l0eSBvZiBBZGVsYWlk
ZSwgR3JvdW5kIEZsb29yLCBOb3J3aWNoIENlbnRyZSwgNTUgS2luZyBXaWxsaWFtIFJvYWQsIEFk
ZWxhaWRlLCBOVCwgQXVzdHJhbGlhLCBTQSA1MDA2LjwvYXV0aC1hZGRyZXNzPjx0aXRsZXM+PHRp
dGxlPlZpdGFtaW4gQyBzdXBwbGVtZW50YXRpb24gaW4gcHJlZ25hbmN5PC90aXRsZT48c2Vjb25k
YXJ5LXRpdGxlPkNvY2hyYW5lIERhdGFiYXNlIFN5c3QgUmV2PC9zZWNvbmRhcnktdGl0bGU+PC90
aXRsZXM+PHBlcmlvZGljYWw+PGZ1bGwtdGl0bGU+Q29jaHJhbmUgRGF0YWJhc2UgU3lzdCBSZXY8
L2Z1bGwtdGl0bGU+PC9wZXJpb2RpY2FsPjxwYWdlcz5DRDAwNDA3MjwvcGFnZXM+PG51bWJlcj45
PC9udW1iZXI+PGVkaXRpb24+MjAxNS8wOS8zMDwvZWRpdGlvbj48a2V5d29yZHM+PGtleXdvcmQ+
QW5lbWlhL3ByZXZlbnRpb24gJmFtcDsgY29udHJvbDwva2V5d29yZD48a2V5d29yZD5Bc2NvcmJp
YyBBY2lkLyphZG1pbmlzdHJhdGlvbiAmYW1wOyBkb3NhZ2U8L2tleXdvcmQ+PGtleXdvcmQ+KkRp
ZXRhcnkgU3VwcGxlbWVudHM8L2tleXdvcmQ+PGtleXdvcmQ+RmVtYWxlPC9rZXl3b3JkPjxrZXl3
b3JkPkZldGFsIEdyb3d0aCBSZXRhcmRhdGlvbi9wcmV2ZW50aW9uICZhbXA7IGNvbnRyb2w8L2tl
eXdvcmQ+PGtleXdvcmQ+SHVtYW5zPC9rZXl3b3JkPjxrZXl3b3JkPlByZS1FY2xhbXBzaWEvcHJl
dmVudGlvbiAmYW1wOyBjb250cm9sPC9rZXl3b3JkPjxrZXl3b3JkPlByZWduYW5jeTwva2V5d29y
ZD48a2V5d29yZD5QcmVnbmFuY3kgQ29tcGxpY2F0aW9ucy8qcHJldmVudGlvbiAmYW1wOyBjb250
cm9sPC9rZXl3b3JkPjxrZXl3b3JkPlByZWduYW5jeSBDb21wbGljYXRpb25zLCBIZW1hdG9sb2dp
Yy9wcmV2ZW50aW9uICZhbXA7IGNvbnRyb2w8L2tleXdvcmQ+PGtleXdvcmQ+UmFuZG9taXplZCBD
b250cm9sbGVkIFRyaWFscyBhcyBUb3BpYzwva2V5d29yZD48a2V5d29yZD5WaXRhbWlucy8qYWRt
aW5pc3RyYXRpb24gJmFtcDsgZG9zYWdlPC9rZXl3b3JkPjwva2V5d29yZHM+PGRhdGVzPjx5ZWFy
PjIwMTU8L3llYXI+PHB1Yi1kYXRlcz48ZGF0ZT5TZXAgMjk8L2RhdGU+PC9wdWItZGF0ZXM+PC9k
YXRlcz48aXNibj4xNDY5LTQ5M1ggKEVsZWN0cm9uaWMpJiN4RDsxMzYxLTYxMzcgKExpbmtpbmcp
PC9pc2JuPjxhY2Nlc3Npb24tbnVtPjI2NDE1NzYyPC9hY2Nlc3Npb24tbnVtPjx1cmxzPjxyZWxh
dGVkLXVybHM+PHVybD5odHRwczovL3d3dy5uY2JpLm5sbS5uaWguZ292L3B1Ym1lZC8yNjQxNTc2
MjwvdXJsPjwvcmVsYXRlZC11cmxzPjwvdXJscz48ZWxlY3Ryb25pYy1yZXNvdXJjZS1udW0+MTAu
MTAwMi8xNDY1MTg1OC5DRDAwNDA3Mi5wdWIzPC9lbGVjdHJvbmljLXJlc291cmNlLW51bT48L3Jl
Y29yZD48L0NpdGU+PC9FbmROb3RlPgB=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125,147,148</w:t>
      </w:r>
      <w:r w:rsidR="00E51743">
        <w:fldChar w:fldCharType="end"/>
      </w:r>
      <w:r>
        <w:t xml:space="preserve"> and one RCT that reported on</w:t>
      </w:r>
      <w:r w:rsidR="008E6B59">
        <w:t xml:space="preserve"> the effect of antenatal vitamin</w:t>
      </w:r>
      <w:r w:rsidR="0042544F">
        <w:t> </w:t>
      </w:r>
      <w:r w:rsidR="008E6B59">
        <w:t>C supplementation on</w:t>
      </w:r>
      <w:r>
        <w:t xml:space="preserve"> </w:t>
      </w:r>
      <w:r w:rsidR="008E6B59">
        <w:t>airway function in infants of women who smoked during pregnancy.</w:t>
      </w:r>
      <w:r w:rsidR="00E51743">
        <w:fldChar w:fldCharType="begin">
          <w:fldData xml:space="preserve">PEVuZE5vdGU+PENpdGU+PEF1dGhvcj5NY0V2b3k8L0F1dGhvcj48WWVhcj4yMDE5PC9ZZWFyPjxS
ZWNOdW0+MTI4MTwvUmVjTnVtPjxEaXNwbGF5VGV4dD48c3R5bGUgZmFjZT0ic3VwZXJzY3JpcHQi
IGZvbnQ9IlRyZWJ1Y2hldCBNUyIgc2l6ZT0iOSI+MTQ5PC9zdHlsZT48L0Rpc3BsYXlUZXh0Pjxy
ZWNvcmQ+PHJlYy1udW1iZXI+MTI4MTwvcmVjLW51bWJlcj48Zm9yZWlnbi1rZXlzPjxrZXkgYXBw
PSJFTiIgZGItaWQ9ImV4dmFzcmZ4MmR0cmFvZXNhc3hwMnN6c3hhMmRmNTAyNTkyeCIgdGltZXN0
YW1wPSIxNTYzMzIyMDc5Ij4xMjgxPC9rZXk+PGtleSBhcHA9IkVOV2ViIiBkYi1pZD0iIj4wPC9r
ZXk+PC9mb3JlaWduLWtleXM+PHJlZi10eXBlIG5hbWU9IkpvdXJuYWwgQXJ0aWNsZSI+MTc8L3Jl
Zi10eXBlPjxjb250cmlidXRvcnM+PGF1dGhvcnM+PGF1dGhvcj5NY0V2b3ksIEMuIFQuPC9hdXRo
b3I+PGF1dGhvcj5TaG9yZXktS2VuZHJpY2ssIEwuIEUuPC9hdXRob3I+PGF1dGhvcj5NaWxuZXIs
IEsuPC9hdXRob3I+PGF1dGhvcj5TY2hpbGxpbmcsIEQuPC9hdXRob3I+PGF1dGhvcj5UaWxsZXIs
IEMuPC9hdXRob3I+PGF1dGhvcj5WdXlsc3Rla2UsIEIuPC9hdXRob3I+PGF1dGhvcj5TY2hlcm1h
biwgQS48L2F1dGhvcj48YXV0aG9yPkphY2tzb24sIEsuPC9hdXRob3I+PGF1dGhvcj5IYWFzLCBE
LiBNLjwvYXV0aG9yPjxhdXRob3I+SGFycmlzLCBKLjwvYXV0aG9yPjxhdXRob3I+U2NodWZmLCBS
LjwvYXV0aG9yPjxhdXRob3I+UGFyaywgQi4gUy48L2F1dGhvcj48YXV0aG9yPlZ1LCBBLjwvYXV0
aG9yPjxhdXRob3I+S3JhZW1lciwgRC4gRi48L2F1dGhvcj48YXV0aG9yPk1pdGNoZWxsLCBKLjwv
YXV0aG9yPjxhdXRob3I+TWV0eiwgSi48L2F1dGhvcj48YXV0aG9yPkdvbnphbGVzLCBELjwvYXV0
aG9yPjxhdXRob3I+QnVudGVuLCBDLjwvYXV0aG9yPjxhdXRob3I+U3BpbmRlbCwgRS4gUi48L2F1
dGhvcj48YXV0aG9yPlRlcHBlciwgUi4gUy48L2F1dGhvcj48YXV0aG9yPk1vcnJpcywgQy4gRC48
L2F1dGhvcj48L2F1dGhvcnM+PC9jb250cmlidXRvcnM+PGF1dGgtYWRkcmVzcz4xIERlcGFydG1l
bnQgb2YgUGVkaWF0cmljcy4mI3hEOzIgRGl2aXNpb24gb2YgTmV1cm9zY2llbmNlLCBPcmVnb24g
TmF0aW9uYWwgUHJpbWF0ZSBSZXNlYXJjaCBDZW50ZXIsIEJlYXZlcnRvbiwgT3JlZ29uLiYjeEQ7
MyBEZXBhcnRtZW50IG9mIFBlZGlhdHJpY3MgYW5kLiYjeEQ7NCBQZWFjZUhlYWx0aCBTb3V0aHdl
c3QgTWVkaWNhbCBDZW50ZXIsIFZhbmNvdXZlciwgV2FzaGluZ3Rvbi4mI3hEOzUgRGVwYXJ0bWVu
dCBvZiBPYnN0ZXRyaWNzIGFuZCBHeW5lY29sb2d5LCBJbmRpYW5hIFVuaXZlcnNpdHkgU2Nob29s
IG9mIE1lZGljaW5lLCBJbmRpYW5hcG9saXMsIEluZGlhbmEuJiN4RDs2IERlcGFydG1lbnQgb2Yg
TWVkaWNhbCBJbmZvcm1hdGljcyBhbmQgQ2xpbmljYWwgRXBpZGVtaW9sb2d5LiYjeEQ7NyBPcmVn
b24gQ2xpbmljYWwgJmFtcDsgVHJhbnNsYXRpb25hbCBSZXNlYXJjaCBJbnN0aXR1dGUsIGFuZC4m
I3hEOzggT3JlZ29uIEhlYWx0aCAmYW1wOyBTY2llbmNlIFVuaXZlcnNpdHktUG9ydGxhbmQgU3Rh
dGUgVW5pdmVyc2l0eSBTY2hvb2wgb2YgUHVibGljIEhlYWx0aCBhbmQgS25pZ2h0IENhbmNlciBJ
bnN0aXR1dGUsIFBvcnRsYW5kLCBPcmVnb247IGFuZC4mI3hEOzkgRGl2aXNpb24gb2YgUHVsbW9u
YXJ5ICZhbXA7IENyaXRpY2FsIENhcmUgTWVkaWNpbmUsIE9yZWdvbiBIZWFsdGggJmFtcDsgU2Np
ZW5jZSBVbml2ZXJzaXR5LCBQb3J0bGFuZCwgT3JlZ29uLiYjeEQ7MTAgVmFuY291dmVyIENsaW5p
YywgVmFuY291dmVyLCBXYXNoaW5ndG9uLjwvYXV0aC1hZGRyZXNzPjx0aXRsZXM+PHRpdGxlPk9y
YWwgVml0YW1pbiBDICg1MDAgbWcvZCkgdG8gUHJlZ25hbnQgU21va2VycyBJbXByb3ZlcyBJbmZh
bnQgQWlyd2F5IEZ1bmN0aW9uIGF0IDMgTW9udGhzIChWQ1NJUCkuIEEgUmFuZG9taXplZCBUcmlh
bDwvdGl0bGU+PHNlY29uZGFyeS10aXRsZT5BbSBKIFJlc3BpciBDcml0IENhcmUgTWVkPC9zZWNv
bmRhcnktdGl0bGU+PC90aXRsZXM+PHBlcmlvZGljYWw+PGZ1bGwtdGl0bGU+QW0gSiBSZXNwaXIg
Q3JpdCBDYXJlIE1lZDwvZnVsbC10aXRsZT48L3BlcmlvZGljYWw+PHBhZ2VzPjExMzktMTE0Nzwv
cGFnZXM+PHZvbHVtZT4xOTk8L3ZvbHVtZT48bnVtYmVyPjk8L251bWJlcj48ZWRpdGlvbj4yMDE4
LzEyLzE0PC9lZGl0aW9uPjxrZXl3b3Jkcz48a2V5d29yZD5mb3JjZWQgZXhwaXJhdG9yeSBmbG93
czwva2V5d29yZD48a2V5d29yZD5pbmZhbnQgcHVsbW9uYXJ5IGZ1bmN0aW9uPC9rZXl3b3JkPjxr
ZXl3b3JkPnNtb2tpbmcgaW4gcHJlZ25hbmN5PC9rZXl3b3JkPjxrZXl3b3JkPnZpdGFtaW4gQzwv
a2V5d29yZD48a2V5d29yZD53aGVlemluZzwva2V5d29yZD48L2tleXdvcmRzPjxkYXRlcz48eWVh
cj4yMDE5PC95ZWFyPjxwdWItZGF0ZXM+PGRhdGU+TWF5IDE8L2RhdGU+PC9wdWItZGF0ZXM+PC9k
YXRlcz48aXNibj4xNTM1LTQ5NzAgKEVsZWN0cm9uaWMpJiN4RDsxMDczLTQ0OVggKExpbmtpbmcp
PC9pc2JuPjxhY2Nlc3Npb24tbnVtPjMwNTIyMzQzPC9hY2Nlc3Npb24tbnVtPjx1cmxzPjxyZWxh
dGVkLXVybHM+PHVybD5odHRwczovL3d3dy5uY2JpLm5sbS5uaWguZ292L3B1Ym1lZC8zMDUyMjM0
MzwvdXJsPjwvcmVsYXRlZC11cmxzPjwvdXJscz48Y3VzdG9tMj5QTUM2NTE1ODc1PC9jdXN0b20y
PjxlbGVjdHJvbmljLXJlc291cmNlLW51bT4xMC4xMTY0L3JjY20uMjAxODA1LTEwMTFPQzwvZWxl
Y3Ryb25pYy1yZXNvdXJjZS1udW0+PC9yZWNvcmQ+PC9DaXRlPjwvRW5kTm90ZT5=
</w:fldData>
        </w:fldChar>
      </w:r>
      <w:r w:rsidR="002747EA">
        <w:instrText xml:space="preserve"> ADDIN EN.CITE </w:instrText>
      </w:r>
      <w:r w:rsidR="002747EA">
        <w:fldChar w:fldCharType="begin">
          <w:fldData xml:space="preserve">PEVuZE5vdGU+PENpdGU+PEF1dGhvcj5NY0V2b3k8L0F1dGhvcj48WWVhcj4yMDE5PC9ZZWFyPjxS
ZWNOdW0+MTI4MTwvUmVjTnVtPjxEaXNwbGF5VGV4dD48c3R5bGUgZmFjZT0ic3VwZXJzY3JpcHQi
IGZvbnQ9IlRyZWJ1Y2hldCBNUyIgc2l6ZT0iOSI+MTQ5PC9zdHlsZT48L0Rpc3BsYXlUZXh0Pjxy
ZWNvcmQ+PHJlYy1udW1iZXI+MTI4MTwvcmVjLW51bWJlcj48Zm9yZWlnbi1rZXlzPjxrZXkgYXBw
PSJFTiIgZGItaWQ9ImV4dmFzcmZ4MmR0cmFvZXNhc3hwMnN6c3hhMmRmNTAyNTkyeCIgdGltZXN0
YW1wPSIxNTYzMzIyMDc5Ij4xMjgxPC9rZXk+PGtleSBhcHA9IkVOV2ViIiBkYi1pZD0iIj4wPC9r
ZXk+PC9mb3JlaWduLWtleXM+PHJlZi10eXBlIG5hbWU9IkpvdXJuYWwgQXJ0aWNsZSI+MTc8L3Jl
Zi10eXBlPjxjb250cmlidXRvcnM+PGF1dGhvcnM+PGF1dGhvcj5NY0V2b3ksIEMuIFQuPC9hdXRo
b3I+PGF1dGhvcj5TaG9yZXktS2VuZHJpY2ssIEwuIEUuPC9hdXRob3I+PGF1dGhvcj5NaWxuZXIs
IEsuPC9hdXRob3I+PGF1dGhvcj5TY2hpbGxpbmcsIEQuPC9hdXRob3I+PGF1dGhvcj5UaWxsZXIs
IEMuPC9hdXRob3I+PGF1dGhvcj5WdXlsc3Rla2UsIEIuPC9hdXRob3I+PGF1dGhvcj5TY2hlcm1h
biwgQS48L2F1dGhvcj48YXV0aG9yPkphY2tzb24sIEsuPC9hdXRob3I+PGF1dGhvcj5IYWFzLCBE
LiBNLjwvYXV0aG9yPjxhdXRob3I+SGFycmlzLCBKLjwvYXV0aG9yPjxhdXRob3I+U2NodWZmLCBS
LjwvYXV0aG9yPjxhdXRob3I+UGFyaywgQi4gUy48L2F1dGhvcj48YXV0aG9yPlZ1LCBBLjwvYXV0
aG9yPjxhdXRob3I+S3JhZW1lciwgRC4gRi48L2F1dGhvcj48YXV0aG9yPk1pdGNoZWxsLCBKLjwv
YXV0aG9yPjxhdXRob3I+TWV0eiwgSi48L2F1dGhvcj48YXV0aG9yPkdvbnphbGVzLCBELjwvYXV0
aG9yPjxhdXRob3I+QnVudGVuLCBDLjwvYXV0aG9yPjxhdXRob3I+U3BpbmRlbCwgRS4gUi48L2F1
dGhvcj48YXV0aG9yPlRlcHBlciwgUi4gUy48L2F1dGhvcj48YXV0aG9yPk1vcnJpcywgQy4gRC48
L2F1dGhvcj48L2F1dGhvcnM+PC9jb250cmlidXRvcnM+PGF1dGgtYWRkcmVzcz4xIERlcGFydG1l
bnQgb2YgUGVkaWF0cmljcy4mI3hEOzIgRGl2aXNpb24gb2YgTmV1cm9zY2llbmNlLCBPcmVnb24g
TmF0aW9uYWwgUHJpbWF0ZSBSZXNlYXJjaCBDZW50ZXIsIEJlYXZlcnRvbiwgT3JlZ29uLiYjeEQ7
MyBEZXBhcnRtZW50IG9mIFBlZGlhdHJpY3MgYW5kLiYjeEQ7NCBQZWFjZUhlYWx0aCBTb3V0aHdl
c3QgTWVkaWNhbCBDZW50ZXIsIFZhbmNvdXZlciwgV2FzaGluZ3Rvbi4mI3hEOzUgRGVwYXJ0bWVu
dCBvZiBPYnN0ZXRyaWNzIGFuZCBHeW5lY29sb2d5LCBJbmRpYW5hIFVuaXZlcnNpdHkgU2Nob29s
IG9mIE1lZGljaW5lLCBJbmRpYW5hcG9saXMsIEluZGlhbmEuJiN4RDs2IERlcGFydG1lbnQgb2Yg
TWVkaWNhbCBJbmZvcm1hdGljcyBhbmQgQ2xpbmljYWwgRXBpZGVtaW9sb2d5LiYjeEQ7NyBPcmVn
b24gQ2xpbmljYWwgJmFtcDsgVHJhbnNsYXRpb25hbCBSZXNlYXJjaCBJbnN0aXR1dGUsIGFuZC4m
I3hEOzggT3JlZ29uIEhlYWx0aCAmYW1wOyBTY2llbmNlIFVuaXZlcnNpdHktUG9ydGxhbmQgU3Rh
dGUgVW5pdmVyc2l0eSBTY2hvb2wgb2YgUHVibGljIEhlYWx0aCBhbmQgS25pZ2h0IENhbmNlciBJ
bnN0aXR1dGUsIFBvcnRsYW5kLCBPcmVnb247IGFuZC4mI3hEOzkgRGl2aXNpb24gb2YgUHVsbW9u
YXJ5ICZhbXA7IENyaXRpY2FsIENhcmUgTWVkaWNpbmUsIE9yZWdvbiBIZWFsdGggJmFtcDsgU2Np
ZW5jZSBVbml2ZXJzaXR5LCBQb3J0bGFuZCwgT3JlZ29uLiYjeEQ7MTAgVmFuY291dmVyIENsaW5p
YywgVmFuY291dmVyLCBXYXNoaW5ndG9uLjwvYXV0aC1hZGRyZXNzPjx0aXRsZXM+PHRpdGxlPk9y
YWwgVml0YW1pbiBDICg1MDAgbWcvZCkgdG8gUHJlZ25hbnQgU21va2VycyBJbXByb3ZlcyBJbmZh
bnQgQWlyd2F5IEZ1bmN0aW9uIGF0IDMgTW9udGhzIChWQ1NJUCkuIEEgUmFuZG9taXplZCBUcmlh
bDwvdGl0bGU+PHNlY29uZGFyeS10aXRsZT5BbSBKIFJlc3BpciBDcml0IENhcmUgTWVkPC9zZWNv
bmRhcnktdGl0bGU+PC90aXRsZXM+PHBlcmlvZGljYWw+PGZ1bGwtdGl0bGU+QW0gSiBSZXNwaXIg
Q3JpdCBDYXJlIE1lZDwvZnVsbC10aXRsZT48L3BlcmlvZGljYWw+PHBhZ2VzPjExMzktMTE0Nzwv
cGFnZXM+PHZvbHVtZT4xOTk8L3ZvbHVtZT48bnVtYmVyPjk8L251bWJlcj48ZWRpdGlvbj4yMDE4
LzEyLzE0PC9lZGl0aW9uPjxrZXl3b3Jkcz48a2V5d29yZD5mb3JjZWQgZXhwaXJhdG9yeSBmbG93
czwva2V5d29yZD48a2V5d29yZD5pbmZhbnQgcHVsbW9uYXJ5IGZ1bmN0aW9uPC9rZXl3b3JkPjxr
ZXl3b3JkPnNtb2tpbmcgaW4gcHJlZ25hbmN5PC9rZXl3b3JkPjxrZXl3b3JkPnZpdGFtaW4gQzwv
a2V5d29yZD48a2V5d29yZD53aGVlemluZzwva2V5d29yZD48L2tleXdvcmRzPjxkYXRlcz48eWVh
cj4yMDE5PC95ZWFyPjxwdWItZGF0ZXM+PGRhdGU+TWF5IDE8L2RhdGU+PC9wdWItZGF0ZXM+PC9k
YXRlcz48aXNibj4xNTM1LTQ5NzAgKEVsZWN0cm9uaWMpJiN4RDsxMDczLTQ0OVggKExpbmtpbmcp
PC9pc2JuPjxhY2Nlc3Npb24tbnVtPjMwNTIyMzQzPC9hY2Nlc3Npb24tbnVtPjx1cmxzPjxyZWxh
dGVkLXVybHM+PHVybD5odHRwczovL3d3dy5uY2JpLm5sbS5uaWguZ292L3B1Ym1lZC8zMDUyMjM0
MzwvdXJsPjwvcmVsYXRlZC11cmxzPjwvdXJscz48Y3VzdG9tMj5QTUM2NTE1ODc1PC9jdXN0b20y
PjxlbGVjdHJvbmljLXJlc291cmNlLW51bT4xMC4xMTY0L3JjY20uMjAxODA1LTEwMTFPQzwvZWxl
Y3Ryb25pYy1yZXNvdXJjZS1udW0+PC9yZWNvcmQ+PC9DaXRlPjwvRW5kTm90ZT5=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149</w:t>
      </w:r>
      <w:r w:rsidR="00E51743">
        <w:fldChar w:fldCharType="end"/>
      </w:r>
    </w:p>
    <w:p w14:paraId="0285F722" w14:textId="10B512EC" w:rsidR="004B7C9E" w:rsidRDefault="008E26F6" w:rsidP="004B7C9E">
      <w:r>
        <w:t>A Cochrane review</w:t>
      </w:r>
      <w:r w:rsidR="00157196">
        <w:t xml:space="preserve"> into the effect of vitamin supplementation on the risk of miscarriage</w:t>
      </w:r>
      <w:r w:rsidR="00E51743">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125</w:t>
      </w:r>
      <w:r w:rsidR="00E51743">
        <w:fldChar w:fldCharType="end"/>
      </w:r>
      <w:r w:rsidR="00D11591">
        <w:t xml:space="preserve"> found no </w:t>
      </w:r>
      <w:r w:rsidR="00157196">
        <w:t>clear difference in</w:t>
      </w:r>
      <w:r w:rsidR="00D11591">
        <w:t xml:space="preserve"> total fetal loss</w:t>
      </w:r>
      <w:r w:rsidR="00157196">
        <w:t xml:space="preserve"> (</w:t>
      </w:r>
      <w:r w:rsidR="00157196" w:rsidRPr="0042544F">
        <w:rPr>
          <w:sz w:val="16"/>
          <w:szCs w:val="16"/>
        </w:rPr>
        <w:t xml:space="preserve">RR 1.28; 95%CI 0.58 to 2.83; 2 </w:t>
      </w:r>
      <w:r w:rsidR="0042544F" w:rsidRPr="0042544F">
        <w:rPr>
          <w:sz w:val="16"/>
          <w:szCs w:val="16"/>
        </w:rPr>
        <w:t>RCTs</w:t>
      </w:r>
      <w:r w:rsidR="00157196" w:rsidRPr="0042544F">
        <w:rPr>
          <w:sz w:val="16"/>
          <w:szCs w:val="16"/>
        </w:rPr>
        <w:t>; n=224</w:t>
      </w:r>
      <w:r w:rsidR="00157196">
        <w:t>), early or late miscarriage (</w:t>
      </w:r>
      <w:r w:rsidR="00157196" w:rsidRPr="0042544F">
        <w:rPr>
          <w:sz w:val="16"/>
          <w:szCs w:val="16"/>
        </w:rPr>
        <w:t xml:space="preserve">RR 1.17; 95%CI 0.52 to 2.65; 2 </w:t>
      </w:r>
      <w:r w:rsidR="0042544F" w:rsidRPr="0042544F">
        <w:rPr>
          <w:sz w:val="16"/>
          <w:szCs w:val="16"/>
        </w:rPr>
        <w:t>RCTs</w:t>
      </w:r>
      <w:r w:rsidR="00157196" w:rsidRPr="0042544F">
        <w:rPr>
          <w:sz w:val="16"/>
          <w:szCs w:val="16"/>
        </w:rPr>
        <w:t>; n=224</w:t>
      </w:r>
      <w:r w:rsidR="00157196">
        <w:t>) or s</w:t>
      </w:r>
      <w:r w:rsidR="00157196" w:rsidRPr="0083127A">
        <w:t>tillbirth</w:t>
      </w:r>
      <w:r w:rsidR="00157196">
        <w:t xml:space="preserve"> (</w:t>
      </w:r>
      <w:r w:rsidR="00157196" w:rsidRPr="0042544F">
        <w:rPr>
          <w:sz w:val="16"/>
          <w:szCs w:val="16"/>
        </w:rPr>
        <w:t xml:space="preserve">RR 3.0; 95%CI 0.12 to 72.77; 1 </w:t>
      </w:r>
      <w:r w:rsidR="0042544F" w:rsidRPr="0042544F">
        <w:rPr>
          <w:sz w:val="16"/>
          <w:szCs w:val="16"/>
        </w:rPr>
        <w:t>RCT</w:t>
      </w:r>
      <w:r w:rsidR="00157196" w:rsidRPr="0042544F">
        <w:rPr>
          <w:sz w:val="16"/>
          <w:szCs w:val="16"/>
        </w:rPr>
        <w:t>; n=200</w:t>
      </w:r>
      <w:r w:rsidR="00157196">
        <w:t>).</w:t>
      </w:r>
    </w:p>
    <w:p w14:paraId="421ADFB5" w14:textId="7A48EA1E" w:rsidR="00157196" w:rsidRDefault="00157196" w:rsidP="00E10B54">
      <w:r>
        <w:t>Another Cochrane review that evaluated the effects of antenatal vitamin C supplementation alone</w:t>
      </w:r>
      <w:r w:rsidR="00E51743">
        <w:fldChar w:fldCharType="begin">
          <w:fldData xml:space="preserve">PEVuZE5vdGU+PENpdGU+PEF1dGhvcj5SdW1ib2xkPC9BdXRob3I+PFllYXI+MjAxNTwvWWVhcj48
UmVjTnVtPjEyODI8L1JlY051bT48RGlzcGxheVRleHQ+PHN0eWxlIGZhY2U9InN1cGVyc2NyaXB0
IiBmb250PSJUcmVidWNoZXQgTVMiIHNpemU9IjkiPjE0ODwvc3R5bGU+PC9EaXNwbGF5VGV4dD48
cmVjb3JkPjxyZWMtbnVtYmVyPjEyODI8L3JlYy1udW1iZXI+PGZvcmVpZ24ta2V5cz48a2V5IGFw
cD0iRU4iIGRiLWlkPSJleHZhc3JmeDJkdHJhb2VzYXN4cDJzenN4YTJkZjUwMjU5MngiIHRpbWVz
dGFtcD0iMTU2MzMyMjA4MyI+MTI4Mjwva2V5PjxrZXkgYXBwPSJFTldlYiIgZGItaWQ9IiI+MDwv
a2V5PjwvZm9yZWlnbi1rZXlzPjxyZWYtdHlwZSBuYW1lPSJKb3VybmFsIEFydGljbGUiPjE3PC9y
ZWYtdHlwZT48Y29udHJpYnV0b3JzPjxhdXRob3JzPjxhdXRob3I+UnVtYm9sZCwgQS48L2F1dGhv
cj48YXV0aG9yPk90YSwgRS48L2F1dGhvcj48YXV0aG9yPk5hZ2F0YSwgQy48L2F1dGhvcj48YXV0
aG9yPlNoYWhyb29rLCBTLjwvYXV0aG9yPjxhdXRob3I+Q3Jvd3RoZXIsIEMuIEEuPC9hdXRob3I+
PC9hdXRob3JzPjwvY29udHJpYnV0b3JzPjxhdXRoLWFkZHJlc3M+VGhlIFJvYmluc29uIFJlc2Vh
cmNoIEluc3RpdHV0ZSwgVGhlIFVuaXZlcnNpdHkgb2YgQWRlbGFpZGUsIEdyb3VuZCBGbG9vciwg
Tm9yd2ljaCBDZW50cmUsIDU1IEtpbmcgV2lsbGlhbSBSb2FkLCBBZGVsYWlkZSwgTlQsIEF1c3Ry
YWxpYSwgU0EgNTAwNi48L2F1dGgtYWRkcmVzcz48dGl0bGVzPjx0aXRsZT5WaXRhbWluIEMgc3Vw
cGxlbWVudGF0aW9uIGluIHByZWduYW5jeTwvdGl0bGU+PHNlY29uZGFyeS10aXRsZT5Db2NocmFu
ZSBEYXRhYmFzZSBTeXN0IFJldjwvc2Vjb25kYXJ5LXRpdGxlPjwvdGl0bGVzPjxwZXJpb2RpY2Fs
PjxmdWxsLXRpdGxlPkNvY2hyYW5lIERhdGFiYXNlIFN5c3QgUmV2PC9mdWxsLXRpdGxlPjwvcGVy
aW9kaWNhbD48cGFnZXM+Q0QwMDQwNzI8L3BhZ2VzPjxudW1iZXI+OTwvbnVtYmVyPjxlZGl0aW9u
PjIwMTUvMDkvMzA8L2VkaXRpb24+PGtleXdvcmRzPjxrZXl3b3JkPkFuZW1pYS9wcmV2ZW50aW9u
ICZhbXA7IGNvbnRyb2w8L2tleXdvcmQ+PGtleXdvcmQ+QXNjb3JiaWMgQWNpZC8qYWRtaW5pc3Ry
YXRpb24gJmFtcDsgZG9zYWdlPC9rZXl3b3JkPjxrZXl3b3JkPipEaWV0YXJ5IFN1cHBsZW1lbnRz
PC9rZXl3b3JkPjxrZXl3b3JkPkZlbWFsZTwva2V5d29yZD48a2V5d29yZD5GZXRhbCBHcm93dGgg
UmV0YXJkYXRpb24vcHJldmVudGlvbiAmYW1wOyBjb250cm9sPC9rZXl3b3JkPjxrZXl3b3JkPkh1
bWFuczwva2V5d29yZD48a2V5d29yZD5QcmUtRWNsYW1wc2lhL3ByZXZlbnRpb24gJmFtcDsgY29u
dHJvbDwva2V5d29yZD48a2V5d29yZD5QcmVnbmFuY3k8L2tleXdvcmQ+PGtleXdvcmQ+UHJlZ25h
bmN5IENvbXBsaWNhdGlvbnMvKnByZXZlbnRpb24gJmFtcDsgY29udHJvbDwva2V5d29yZD48a2V5
d29yZD5QcmVnbmFuY3kgQ29tcGxpY2F0aW9ucywgSGVtYXRvbG9naWMvcHJldmVudGlvbiAmYW1w
OyBjb250cm9sPC9rZXl3b3JkPjxrZXl3b3JkPlJhbmRvbWl6ZWQgQ29udHJvbGxlZCBUcmlhbHMg
YXMgVG9waWM8L2tleXdvcmQ+PGtleXdvcmQ+Vml0YW1pbnMvKmFkbWluaXN0cmF0aW9uICZhbXA7
IGRvc2FnZTwva2V5d29yZD48L2tleXdvcmRzPjxkYXRlcz48eWVhcj4yMDE1PC95ZWFyPjxwdWIt
ZGF0ZXM+PGRhdGU+U2VwIDI5PC9kYXRlPjwvcHViLWRhdGVzPjwvZGF0ZXM+PGlzYm4+MTQ2OS00
OTNYIChFbGVjdHJvbmljKSYjeEQ7MTM2MS02MTM3IChMaW5raW5nKTwvaXNibj48YWNjZXNzaW9u
LW51bT4yNjQxNTc2MjwvYWNjZXNzaW9uLW51bT48dXJscz48cmVsYXRlZC11cmxzPjx1cmw+aHR0
cHM6Ly93d3cubmNiaS5ubG0ubmloLmdvdi9wdWJtZWQvMjY0MTU3NjI8L3VybD48L3JlbGF0ZWQt
dXJscz48L3VybHM+PGVsZWN0cm9uaWMtcmVzb3VyY2UtbnVtPjEwLjEwMDIvMTQ2NTE4NTguQ0Qw
MDQwNzIucHViMzwvZWxlY3Ryb25pYy1yZXNvdXJjZS1udW0+PC9yZWNvcmQ+PC9DaXRlPjwvRW5k
Tm90ZT4A
</w:fldData>
        </w:fldChar>
      </w:r>
      <w:r w:rsidR="002747EA">
        <w:instrText xml:space="preserve"> ADDIN EN.CITE </w:instrText>
      </w:r>
      <w:r w:rsidR="002747EA">
        <w:fldChar w:fldCharType="begin">
          <w:fldData xml:space="preserve">PEVuZE5vdGU+PENpdGU+PEF1dGhvcj5SdW1ib2xkPC9BdXRob3I+PFllYXI+MjAxNTwvWWVhcj48
UmVjTnVtPjEyODI8L1JlY051bT48RGlzcGxheVRleHQ+PHN0eWxlIGZhY2U9InN1cGVyc2NyaXB0
IiBmb250PSJUcmVidWNoZXQgTVMiIHNpemU9IjkiPjE0ODwvc3R5bGU+PC9EaXNwbGF5VGV4dD48
cmVjb3JkPjxyZWMtbnVtYmVyPjEyODI8L3JlYy1udW1iZXI+PGZvcmVpZ24ta2V5cz48a2V5IGFw
cD0iRU4iIGRiLWlkPSJleHZhc3JmeDJkdHJhb2VzYXN4cDJzenN4YTJkZjUwMjU5MngiIHRpbWVz
dGFtcD0iMTU2MzMyMjA4MyI+MTI4Mjwva2V5PjxrZXkgYXBwPSJFTldlYiIgZGItaWQ9IiI+MDwv
a2V5PjwvZm9yZWlnbi1rZXlzPjxyZWYtdHlwZSBuYW1lPSJKb3VybmFsIEFydGljbGUiPjE3PC9y
ZWYtdHlwZT48Y29udHJpYnV0b3JzPjxhdXRob3JzPjxhdXRob3I+UnVtYm9sZCwgQS48L2F1dGhv
cj48YXV0aG9yPk90YSwgRS48L2F1dGhvcj48YXV0aG9yPk5hZ2F0YSwgQy48L2F1dGhvcj48YXV0
aG9yPlNoYWhyb29rLCBTLjwvYXV0aG9yPjxhdXRob3I+Q3Jvd3RoZXIsIEMuIEEuPC9hdXRob3I+
PC9hdXRob3JzPjwvY29udHJpYnV0b3JzPjxhdXRoLWFkZHJlc3M+VGhlIFJvYmluc29uIFJlc2Vh
cmNoIEluc3RpdHV0ZSwgVGhlIFVuaXZlcnNpdHkgb2YgQWRlbGFpZGUsIEdyb3VuZCBGbG9vciwg
Tm9yd2ljaCBDZW50cmUsIDU1IEtpbmcgV2lsbGlhbSBSb2FkLCBBZGVsYWlkZSwgTlQsIEF1c3Ry
YWxpYSwgU0EgNTAwNi48L2F1dGgtYWRkcmVzcz48dGl0bGVzPjx0aXRsZT5WaXRhbWluIEMgc3Vw
cGxlbWVudGF0aW9uIGluIHByZWduYW5jeTwvdGl0bGU+PHNlY29uZGFyeS10aXRsZT5Db2NocmFu
ZSBEYXRhYmFzZSBTeXN0IFJldjwvc2Vjb25kYXJ5LXRpdGxlPjwvdGl0bGVzPjxwZXJpb2RpY2Fs
PjxmdWxsLXRpdGxlPkNvY2hyYW5lIERhdGFiYXNlIFN5c3QgUmV2PC9mdWxsLXRpdGxlPjwvcGVy
aW9kaWNhbD48cGFnZXM+Q0QwMDQwNzI8L3BhZ2VzPjxudW1iZXI+OTwvbnVtYmVyPjxlZGl0aW9u
PjIwMTUvMDkvMzA8L2VkaXRpb24+PGtleXdvcmRzPjxrZXl3b3JkPkFuZW1pYS9wcmV2ZW50aW9u
ICZhbXA7IGNvbnRyb2w8L2tleXdvcmQ+PGtleXdvcmQ+QXNjb3JiaWMgQWNpZC8qYWRtaW5pc3Ry
YXRpb24gJmFtcDsgZG9zYWdlPC9rZXl3b3JkPjxrZXl3b3JkPipEaWV0YXJ5IFN1cHBsZW1lbnRz
PC9rZXl3b3JkPjxrZXl3b3JkPkZlbWFsZTwva2V5d29yZD48a2V5d29yZD5GZXRhbCBHcm93dGgg
UmV0YXJkYXRpb24vcHJldmVudGlvbiAmYW1wOyBjb250cm9sPC9rZXl3b3JkPjxrZXl3b3JkPkh1
bWFuczwva2V5d29yZD48a2V5d29yZD5QcmUtRWNsYW1wc2lhL3ByZXZlbnRpb24gJmFtcDsgY29u
dHJvbDwva2V5d29yZD48a2V5d29yZD5QcmVnbmFuY3k8L2tleXdvcmQ+PGtleXdvcmQ+UHJlZ25h
bmN5IENvbXBsaWNhdGlvbnMvKnByZXZlbnRpb24gJmFtcDsgY29udHJvbDwva2V5d29yZD48a2V5
d29yZD5QcmVnbmFuY3kgQ29tcGxpY2F0aW9ucywgSGVtYXRvbG9naWMvcHJldmVudGlvbiAmYW1w
OyBjb250cm9sPC9rZXl3b3JkPjxrZXl3b3JkPlJhbmRvbWl6ZWQgQ29udHJvbGxlZCBUcmlhbHMg
YXMgVG9waWM8L2tleXdvcmQ+PGtleXdvcmQ+Vml0YW1pbnMvKmFkbWluaXN0cmF0aW9uICZhbXA7
IGRvc2FnZTwva2V5d29yZD48L2tleXdvcmRzPjxkYXRlcz48eWVhcj4yMDE1PC95ZWFyPjxwdWIt
ZGF0ZXM+PGRhdGU+U2VwIDI5PC9kYXRlPjwvcHViLWRhdGVzPjwvZGF0ZXM+PGlzYm4+MTQ2OS00
OTNYIChFbGVjdHJvbmljKSYjeEQ7MTM2MS02MTM3IChMaW5raW5nKTwvaXNibj48YWNjZXNzaW9u
LW51bT4yNjQxNTc2MjwvYWNjZXNzaW9uLW51bT48dXJscz48cmVsYXRlZC11cmxzPjx1cmw+aHR0
cHM6Ly93d3cubmNiaS5ubG0ubmloLmdvdi9wdWJtZWQvMjY0MTU3NjI8L3VybD48L3JlbGF0ZWQt
dXJscz48L3VybHM+PGVsZWN0cm9uaWMtcmVzb3VyY2UtbnVtPjEwLjEwMDIvMTQ2NTE4NTguQ0Qw
MDQwNzIucHViMzwvZWxlY3Ryb25pYy1yZXNvdXJjZS1udW0+PC9yZWNvcmQ+PC9DaXRlPjwvRW5k
Tm90ZT4A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148</w:t>
      </w:r>
      <w:r w:rsidR="00E51743">
        <w:fldChar w:fldCharType="end"/>
      </w:r>
      <w:r>
        <w:t xml:space="preserve"> found no clear difference in risk of perinatal death (</w:t>
      </w:r>
      <w:r w:rsidRPr="0042544F">
        <w:rPr>
          <w:sz w:val="16"/>
          <w:szCs w:val="16"/>
        </w:rPr>
        <w:t xml:space="preserve">RR 0.51; 95%CI 0.05 to 5.54; 1 </w:t>
      </w:r>
      <w:r w:rsidR="0042544F">
        <w:rPr>
          <w:sz w:val="16"/>
          <w:szCs w:val="16"/>
        </w:rPr>
        <w:t>RCT</w:t>
      </w:r>
      <w:r w:rsidRPr="0042544F">
        <w:rPr>
          <w:sz w:val="16"/>
          <w:szCs w:val="16"/>
        </w:rPr>
        <w:t>; n=182</w:t>
      </w:r>
      <w:r>
        <w:t>), intrauterine growth restriction (</w:t>
      </w:r>
      <w:r w:rsidRPr="0042544F">
        <w:rPr>
          <w:sz w:val="16"/>
          <w:szCs w:val="16"/>
        </w:rPr>
        <w:t>RR 1.56; 95%CI 0.63 to 3.89; 1</w:t>
      </w:r>
      <w:r w:rsidR="00A56B3C" w:rsidRPr="0042544F">
        <w:rPr>
          <w:sz w:val="16"/>
          <w:szCs w:val="16"/>
        </w:rPr>
        <w:t> </w:t>
      </w:r>
      <w:r w:rsidR="0042544F">
        <w:rPr>
          <w:sz w:val="16"/>
          <w:szCs w:val="16"/>
        </w:rPr>
        <w:t>RCT</w:t>
      </w:r>
      <w:r w:rsidRPr="0042544F">
        <w:rPr>
          <w:sz w:val="16"/>
          <w:szCs w:val="16"/>
        </w:rPr>
        <w:t>; n=159</w:t>
      </w:r>
      <w:r w:rsidR="00A56B3C" w:rsidRPr="0042544F">
        <w:rPr>
          <w:sz w:val="16"/>
          <w:szCs w:val="16"/>
        </w:rPr>
        <w:t xml:space="preserve">; high </w:t>
      </w:r>
      <w:r w:rsidR="00836F2D">
        <w:rPr>
          <w:sz w:val="16"/>
          <w:szCs w:val="16"/>
        </w:rPr>
        <w:t>certainty</w:t>
      </w:r>
      <w:r>
        <w:t>), preterm birth (</w:t>
      </w:r>
      <w:r w:rsidRPr="0042544F">
        <w:rPr>
          <w:sz w:val="16"/>
          <w:szCs w:val="16"/>
        </w:rPr>
        <w:t xml:space="preserve">RR 1.06; 95%CI 0.75 to 1.48; 5 </w:t>
      </w:r>
      <w:r w:rsidR="0042544F">
        <w:rPr>
          <w:sz w:val="16"/>
          <w:szCs w:val="16"/>
        </w:rPr>
        <w:t>RCTs</w:t>
      </w:r>
      <w:r w:rsidRPr="0042544F">
        <w:rPr>
          <w:sz w:val="16"/>
          <w:szCs w:val="16"/>
        </w:rPr>
        <w:t>; n=1,685</w:t>
      </w:r>
      <w:r w:rsidR="00A56B3C" w:rsidRPr="0042544F">
        <w:rPr>
          <w:sz w:val="16"/>
          <w:szCs w:val="16"/>
        </w:rPr>
        <w:t xml:space="preserve">; high </w:t>
      </w:r>
      <w:r w:rsidR="00836F2D">
        <w:rPr>
          <w:sz w:val="16"/>
          <w:szCs w:val="16"/>
        </w:rPr>
        <w:t>certainty</w:t>
      </w:r>
      <w:r>
        <w:t>) or pre-eclampsia (</w:t>
      </w:r>
      <w:r w:rsidRPr="0042544F">
        <w:rPr>
          <w:sz w:val="16"/>
          <w:szCs w:val="16"/>
        </w:rPr>
        <w:t xml:space="preserve">RR 0.88; 95%CI 0.48 to 1.61; 3 </w:t>
      </w:r>
      <w:r w:rsidR="0042544F">
        <w:rPr>
          <w:sz w:val="16"/>
          <w:szCs w:val="16"/>
        </w:rPr>
        <w:t>RCTs</w:t>
      </w:r>
      <w:r w:rsidRPr="0042544F">
        <w:rPr>
          <w:sz w:val="16"/>
          <w:szCs w:val="16"/>
        </w:rPr>
        <w:t>; n=1,191</w:t>
      </w:r>
      <w:r>
        <w:t>). There was a possible reduction in risk of preterm premature rupture of the membranes</w:t>
      </w:r>
      <w:r w:rsidR="00E10B54">
        <w:t xml:space="preserve"> (PROM)</w:t>
      </w:r>
      <w:r>
        <w:t xml:space="preserve"> (</w:t>
      </w:r>
      <w:r w:rsidRPr="0042544F">
        <w:rPr>
          <w:sz w:val="16"/>
          <w:szCs w:val="16"/>
        </w:rPr>
        <w:t>RR 0.66; 95%CI 0.48 to 0.91; 5 studies; n=1,282</w:t>
      </w:r>
      <w:r>
        <w:t xml:space="preserve">) and term </w:t>
      </w:r>
      <w:r w:rsidRPr="003E5151">
        <w:t>PROM</w:t>
      </w:r>
      <w:r w:rsidR="00E10B54">
        <w:t xml:space="preserve"> (</w:t>
      </w:r>
      <w:r w:rsidRPr="0042544F">
        <w:rPr>
          <w:sz w:val="16"/>
          <w:szCs w:val="16"/>
        </w:rPr>
        <w:t>RR 0.55</w:t>
      </w:r>
      <w:r w:rsidR="00E10B54" w:rsidRPr="0042544F">
        <w:rPr>
          <w:sz w:val="16"/>
          <w:szCs w:val="16"/>
        </w:rPr>
        <w:t xml:space="preserve">; 95%CI </w:t>
      </w:r>
      <w:r w:rsidRPr="0042544F">
        <w:rPr>
          <w:sz w:val="16"/>
          <w:szCs w:val="16"/>
        </w:rPr>
        <w:t>0.32 to 0.94; 1 study; n=170</w:t>
      </w:r>
      <w:r w:rsidR="00E10B54">
        <w:t>)</w:t>
      </w:r>
      <w:r w:rsidR="00E63AA9">
        <w:t>.</w:t>
      </w:r>
      <w:r w:rsidR="00B07B84">
        <w:t xml:space="preserve"> </w:t>
      </w:r>
    </w:p>
    <w:p w14:paraId="52DC19B9" w14:textId="4016B085" w:rsidR="00E63AA9" w:rsidRDefault="005D1E0B" w:rsidP="00E10B54">
      <w:r>
        <w:t>Another systematic review</w:t>
      </w:r>
      <w:r w:rsidR="00E51743">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147</w:t>
      </w:r>
      <w:r w:rsidR="00E51743">
        <w:fldChar w:fldCharType="end"/>
      </w:r>
      <w:r>
        <w:t xml:space="preserve"> </w:t>
      </w:r>
      <w:r w:rsidR="00F94395">
        <w:t>also found</w:t>
      </w:r>
      <w:r>
        <w:t xml:space="preserve"> no clear difference in risk of pre-eclampsia (</w:t>
      </w:r>
      <w:r w:rsidRPr="0042544F">
        <w:rPr>
          <w:sz w:val="16"/>
          <w:szCs w:val="16"/>
        </w:rPr>
        <w:t>RR 0.77; 95%CI 0.38 to 1.57</w:t>
      </w:r>
      <w:r>
        <w:t>).</w:t>
      </w:r>
    </w:p>
    <w:p w14:paraId="407E117F" w14:textId="5337694D" w:rsidR="000376A4" w:rsidRDefault="000376A4" w:rsidP="00E10B54">
      <w:r>
        <w:t xml:space="preserve">The RCT found that antenatal vitamin C supplementation </w:t>
      </w:r>
      <w:r w:rsidR="00F94395">
        <w:t>among</w:t>
      </w:r>
      <w:r>
        <w:t xml:space="preserve"> women who smoked during pregnancy improved infant airway function at 3 months.</w:t>
      </w:r>
      <w:r>
        <w:fldChar w:fldCharType="begin">
          <w:fldData xml:space="preserve">PEVuZE5vdGU+PENpdGU+PEF1dGhvcj5NY0V2b3k8L0F1dGhvcj48WWVhcj4yMDE5PC9ZZWFyPjxS
ZWNOdW0+MTI4MTwvUmVjTnVtPjxEaXNwbGF5VGV4dD48c3R5bGUgZmFjZT0ic3VwZXJzY3JpcHQi
IGZvbnQ9IlRyZWJ1Y2hldCBNUyIgc2l6ZT0iOSI+MTQ5PC9zdHlsZT48L0Rpc3BsYXlUZXh0Pjxy
ZWNvcmQ+PHJlYy1udW1iZXI+MTI4MTwvcmVjLW51bWJlcj48Zm9yZWlnbi1rZXlzPjxrZXkgYXBw
PSJFTiIgZGItaWQ9ImV4dmFzcmZ4MmR0cmFvZXNhc3hwMnN6c3hhMmRmNTAyNTkyeCIgdGltZXN0
YW1wPSIxNTYzMzIyMDc5Ij4xMjgxPC9rZXk+PGtleSBhcHA9IkVOV2ViIiBkYi1pZD0iIj4wPC9r
ZXk+PC9mb3JlaWduLWtleXM+PHJlZi10eXBlIG5hbWU9IkpvdXJuYWwgQXJ0aWNsZSI+MTc8L3Jl
Zi10eXBlPjxjb250cmlidXRvcnM+PGF1dGhvcnM+PGF1dGhvcj5NY0V2b3ksIEMuIFQuPC9hdXRo
b3I+PGF1dGhvcj5TaG9yZXktS2VuZHJpY2ssIEwuIEUuPC9hdXRob3I+PGF1dGhvcj5NaWxuZXIs
IEsuPC9hdXRob3I+PGF1dGhvcj5TY2hpbGxpbmcsIEQuPC9hdXRob3I+PGF1dGhvcj5UaWxsZXIs
IEMuPC9hdXRob3I+PGF1dGhvcj5WdXlsc3Rla2UsIEIuPC9hdXRob3I+PGF1dGhvcj5TY2hlcm1h
biwgQS48L2F1dGhvcj48YXV0aG9yPkphY2tzb24sIEsuPC9hdXRob3I+PGF1dGhvcj5IYWFzLCBE
LiBNLjwvYXV0aG9yPjxhdXRob3I+SGFycmlzLCBKLjwvYXV0aG9yPjxhdXRob3I+U2NodWZmLCBS
LjwvYXV0aG9yPjxhdXRob3I+UGFyaywgQi4gUy48L2F1dGhvcj48YXV0aG9yPlZ1LCBBLjwvYXV0
aG9yPjxhdXRob3I+S3JhZW1lciwgRC4gRi48L2F1dGhvcj48YXV0aG9yPk1pdGNoZWxsLCBKLjwv
YXV0aG9yPjxhdXRob3I+TWV0eiwgSi48L2F1dGhvcj48YXV0aG9yPkdvbnphbGVzLCBELjwvYXV0
aG9yPjxhdXRob3I+QnVudGVuLCBDLjwvYXV0aG9yPjxhdXRob3I+U3BpbmRlbCwgRS4gUi48L2F1
dGhvcj48YXV0aG9yPlRlcHBlciwgUi4gUy48L2F1dGhvcj48YXV0aG9yPk1vcnJpcywgQy4gRC48
L2F1dGhvcj48L2F1dGhvcnM+PC9jb250cmlidXRvcnM+PGF1dGgtYWRkcmVzcz4xIERlcGFydG1l
bnQgb2YgUGVkaWF0cmljcy4mI3hEOzIgRGl2aXNpb24gb2YgTmV1cm9zY2llbmNlLCBPcmVnb24g
TmF0aW9uYWwgUHJpbWF0ZSBSZXNlYXJjaCBDZW50ZXIsIEJlYXZlcnRvbiwgT3JlZ29uLiYjeEQ7
MyBEZXBhcnRtZW50IG9mIFBlZGlhdHJpY3MgYW5kLiYjeEQ7NCBQZWFjZUhlYWx0aCBTb3V0aHdl
c3QgTWVkaWNhbCBDZW50ZXIsIFZhbmNvdXZlciwgV2FzaGluZ3Rvbi4mI3hEOzUgRGVwYXJ0bWVu
dCBvZiBPYnN0ZXRyaWNzIGFuZCBHeW5lY29sb2d5LCBJbmRpYW5hIFVuaXZlcnNpdHkgU2Nob29s
IG9mIE1lZGljaW5lLCBJbmRpYW5hcG9saXMsIEluZGlhbmEuJiN4RDs2IERlcGFydG1lbnQgb2Yg
TWVkaWNhbCBJbmZvcm1hdGljcyBhbmQgQ2xpbmljYWwgRXBpZGVtaW9sb2d5LiYjeEQ7NyBPcmVn
b24gQ2xpbmljYWwgJmFtcDsgVHJhbnNsYXRpb25hbCBSZXNlYXJjaCBJbnN0aXR1dGUsIGFuZC4m
I3hEOzggT3JlZ29uIEhlYWx0aCAmYW1wOyBTY2llbmNlIFVuaXZlcnNpdHktUG9ydGxhbmQgU3Rh
dGUgVW5pdmVyc2l0eSBTY2hvb2wgb2YgUHVibGljIEhlYWx0aCBhbmQgS25pZ2h0IENhbmNlciBJ
bnN0aXR1dGUsIFBvcnRsYW5kLCBPcmVnb247IGFuZC4mI3hEOzkgRGl2aXNpb24gb2YgUHVsbW9u
YXJ5ICZhbXA7IENyaXRpY2FsIENhcmUgTWVkaWNpbmUsIE9yZWdvbiBIZWFsdGggJmFtcDsgU2Np
ZW5jZSBVbml2ZXJzaXR5LCBQb3J0bGFuZCwgT3JlZ29uLiYjeEQ7MTAgVmFuY291dmVyIENsaW5p
YywgVmFuY291dmVyLCBXYXNoaW5ndG9uLjwvYXV0aC1hZGRyZXNzPjx0aXRsZXM+PHRpdGxlPk9y
YWwgVml0YW1pbiBDICg1MDAgbWcvZCkgdG8gUHJlZ25hbnQgU21va2VycyBJbXByb3ZlcyBJbmZh
bnQgQWlyd2F5IEZ1bmN0aW9uIGF0IDMgTW9udGhzIChWQ1NJUCkuIEEgUmFuZG9taXplZCBUcmlh
bDwvdGl0bGU+PHNlY29uZGFyeS10aXRsZT5BbSBKIFJlc3BpciBDcml0IENhcmUgTWVkPC9zZWNv
bmRhcnktdGl0bGU+PC90aXRsZXM+PHBlcmlvZGljYWw+PGZ1bGwtdGl0bGU+QW0gSiBSZXNwaXIg
Q3JpdCBDYXJlIE1lZDwvZnVsbC10aXRsZT48L3BlcmlvZGljYWw+PHBhZ2VzPjExMzktMTE0Nzwv
cGFnZXM+PHZvbHVtZT4xOTk8L3ZvbHVtZT48bnVtYmVyPjk8L251bWJlcj48ZWRpdGlvbj4yMDE4
LzEyLzE0PC9lZGl0aW9uPjxrZXl3b3Jkcz48a2V5d29yZD5mb3JjZWQgZXhwaXJhdG9yeSBmbG93
czwva2V5d29yZD48a2V5d29yZD5pbmZhbnQgcHVsbW9uYXJ5IGZ1bmN0aW9uPC9rZXl3b3JkPjxr
ZXl3b3JkPnNtb2tpbmcgaW4gcHJlZ25hbmN5PC9rZXl3b3JkPjxrZXl3b3JkPnZpdGFtaW4gQzwv
a2V5d29yZD48a2V5d29yZD53aGVlemluZzwva2V5d29yZD48L2tleXdvcmRzPjxkYXRlcz48eWVh
cj4yMDE5PC95ZWFyPjxwdWItZGF0ZXM+PGRhdGU+TWF5IDE8L2RhdGU+PC9wdWItZGF0ZXM+PC9k
YXRlcz48aXNibj4xNTM1LTQ5NzAgKEVsZWN0cm9uaWMpJiN4RDsxMDczLTQ0OVggKExpbmtpbmcp
PC9pc2JuPjxhY2Nlc3Npb24tbnVtPjMwNTIyMzQzPC9hY2Nlc3Npb24tbnVtPjx1cmxzPjxyZWxh
dGVkLXVybHM+PHVybD5odHRwczovL3d3dy5uY2JpLm5sbS5uaWguZ292L3B1Ym1lZC8zMDUyMjM0
MzwvdXJsPjwvcmVsYXRlZC11cmxzPjwvdXJscz48Y3VzdG9tMj5QTUM2NTE1ODc1PC9jdXN0b20y
PjxlbGVjdHJvbmljLXJlc291cmNlLW51bT4xMC4xMTY0L3JjY20uMjAxODA1LTEwMTFPQzwvZWxl
Y3Ryb25pYy1yZXNvdXJjZS1udW0+PC9yZWNvcmQ+PC9DaXRlPjwvRW5kTm90ZT5=
</w:fldData>
        </w:fldChar>
      </w:r>
      <w:r w:rsidR="002747EA">
        <w:instrText xml:space="preserve"> ADDIN EN.CITE </w:instrText>
      </w:r>
      <w:r w:rsidR="002747EA">
        <w:fldChar w:fldCharType="begin">
          <w:fldData xml:space="preserve">PEVuZE5vdGU+PENpdGU+PEF1dGhvcj5NY0V2b3k8L0F1dGhvcj48WWVhcj4yMDE5PC9ZZWFyPjxS
ZWNOdW0+MTI4MTwvUmVjTnVtPjxEaXNwbGF5VGV4dD48c3R5bGUgZmFjZT0ic3VwZXJzY3JpcHQi
IGZvbnQ9IlRyZWJ1Y2hldCBNUyIgc2l6ZT0iOSI+MTQ5PC9zdHlsZT48L0Rpc3BsYXlUZXh0Pjxy
ZWNvcmQ+PHJlYy1udW1iZXI+MTI4MTwvcmVjLW51bWJlcj48Zm9yZWlnbi1rZXlzPjxrZXkgYXBw
PSJFTiIgZGItaWQ9ImV4dmFzcmZ4MmR0cmFvZXNhc3hwMnN6c3hhMmRmNTAyNTkyeCIgdGltZXN0
YW1wPSIxNTYzMzIyMDc5Ij4xMjgxPC9rZXk+PGtleSBhcHA9IkVOV2ViIiBkYi1pZD0iIj4wPC9r
ZXk+PC9mb3JlaWduLWtleXM+PHJlZi10eXBlIG5hbWU9IkpvdXJuYWwgQXJ0aWNsZSI+MTc8L3Jl
Zi10eXBlPjxjb250cmlidXRvcnM+PGF1dGhvcnM+PGF1dGhvcj5NY0V2b3ksIEMuIFQuPC9hdXRo
b3I+PGF1dGhvcj5TaG9yZXktS2VuZHJpY2ssIEwuIEUuPC9hdXRob3I+PGF1dGhvcj5NaWxuZXIs
IEsuPC9hdXRob3I+PGF1dGhvcj5TY2hpbGxpbmcsIEQuPC9hdXRob3I+PGF1dGhvcj5UaWxsZXIs
IEMuPC9hdXRob3I+PGF1dGhvcj5WdXlsc3Rla2UsIEIuPC9hdXRob3I+PGF1dGhvcj5TY2hlcm1h
biwgQS48L2F1dGhvcj48YXV0aG9yPkphY2tzb24sIEsuPC9hdXRob3I+PGF1dGhvcj5IYWFzLCBE
LiBNLjwvYXV0aG9yPjxhdXRob3I+SGFycmlzLCBKLjwvYXV0aG9yPjxhdXRob3I+U2NodWZmLCBS
LjwvYXV0aG9yPjxhdXRob3I+UGFyaywgQi4gUy48L2F1dGhvcj48YXV0aG9yPlZ1LCBBLjwvYXV0
aG9yPjxhdXRob3I+S3JhZW1lciwgRC4gRi48L2F1dGhvcj48YXV0aG9yPk1pdGNoZWxsLCBKLjwv
YXV0aG9yPjxhdXRob3I+TWV0eiwgSi48L2F1dGhvcj48YXV0aG9yPkdvbnphbGVzLCBELjwvYXV0
aG9yPjxhdXRob3I+QnVudGVuLCBDLjwvYXV0aG9yPjxhdXRob3I+U3BpbmRlbCwgRS4gUi48L2F1
dGhvcj48YXV0aG9yPlRlcHBlciwgUi4gUy48L2F1dGhvcj48YXV0aG9yPk1vcnJpcywgQy4gRC48
L2F1dGhvcj48L2F1dGhvcnM+PC9jb250cmlidXRvcnM+PGF1dGgtYWRkcmVzcz4xIERlcGFydG1l
bnQgb2YgUGVkaWF0cmljcy4mI3hEOzIgRGl2aXNpb24gb2YgTmV1cm9zY2llbmNlLCBPcmVnb24g
TmF0aW9uYWwgUHJpbWF0ZSBSZXNlYXJjaCBDZW50ZXIsIEJlYXZlcnRvbiwgT3JlZ29uLiYjeEQ7
MyBEZXBhcnRtZW50IG9mIFBlZGlhdHJpY3MgYW5kLiYjeEQ7NCBQZWFjZUhlYWx0aCBTb3V0aHdl
c3QgTWVkaWNhbCBDZW50ZXIsIFZhbmNvdXZlciwgV2FzaGluZ3Rvbi4mI3hEOzUgRGVwYXJ0bWVu
dCBvZiBPYnN0ZXRyaWNzIGFuZCBHeW5lY29sb2d5LCBJbmRpYW5hIFVuaXZlcnNpdHkgU2Nob29s
IG9mIE1lZGljaW5lLCBJbmRpYW5hcG9saXMsIEluZGlhbmEuJiN4RDs2IERlcGFydG1lbnQgb2Yg
TWVkaWNhbCBJbmZvcm1hdGljcyBhbmQgQ2xpbmljYWwgRXBpZGVtaW9sb2d5LiYjeEQ7NyBPcmVn
b24gQ2xpbmljYWwgJmFtcDsgVHJhbnNsYXRpb25hbCBSZXNlYXJjaCBJbnN0aXR1dGUsIGFuZC4m
I3hEOzggT3JlZ29uIEhlYWx0aCAmYW1wOyBTY2llbmNlIFVuaXZlcnNpdHktUG9ydGxhbmQgU3Rh
dGUgVW5pdmVyc2l0eSBTY2hvb2wgb2YgUHVibGljIEhlYWx0aCBhbmQgS25pZ2h0IENhbmNlciBJ
bnN0aXR1dGUsIFBvcnRsYW5kLCBPcmVnb247IGFuZC4mI3hEOzkgRGl2aXNpb24gb2YgUHVsbW9u
YXJ5ICZhbXA7IENyaXRpY2FsIENhcmUgTWVkaWNpbmUsIE9yZWdvbiBIZWFsdGggJmFtcDsgU2Np
ZW5jZSBVbml2ZXJzaXR5LCBQb3J0bGFuZCwgT3JlZ29uLiYjeEQ7MTAgVmFuY291dmVyIENsaW5p
YywgVmFuY291dmVyLCBXYXNoaW5ndG9uLjwvYXV0aC1hZGRyZXNzPjx0aXRsZXM+PHRpdGxlPk9y
YWwgVml0YW1pbiBDICg1MDAgbWcvZCkgdG8gUHJlZ25hbnQgU21va2VycyBJbXByb3ZlcyBJbmZh
bnQgQWlyd2F5IEZ1bmN0aW9uIGF0IDMgTW9udGhzIChWQ1NJUCkuIEEgUmFuZG9taXplZCBUcmlh
bDwvdGl0bGU+PHNlY29uZGFyeS10aXRsZT5BbSBKIFJlc3BpciBDcml0IENhcmUgTWVkPC9zZWNv
bmRhcnktdGl0bGU+PC90aXRsZXM+PHBlcmlvZGljYWw+PGZ1bGwtdGl0bGU+QW0gSiBSZXNwaXIg
Q3JpdCBDYXJlIE1lZDwvZnVsbC10aXRsZT48L3BlcmlvZGljYWw+PHBhZ2VzPjExMzktMTE0Nzwv
cGFnZXM+PHZvbHVtZT4xOTk8L3ZvbHVtZT48bnVtYmVyPjk8L251bWJlcj48ZWRpdGlvbj4yMDE4
LzEyLzE0PC9lZGl0aW9uPjxrZXl3b3Jkcz48a2V5d29yZD5mb3JjZWQgZXhwaXJhdG9yeSBmbG93
czwva2V5d29yZD48a2V5d29yZD5pbmZhbnQgcHVsbW9uYXJ5IGZ1bmN0aW9uPC9rZXl3b3JkPjxr
ZXl3b3JkPnNtb2tpbmcgaW4gcHJlZ25hbmN5PC9rZXl3b3JkPjxrZXl3b3JkPnZpdGFtaW4gQzwv
a2V5d29yZD48a2V5d29yZD53aGVlemluZzwva2V5d29yZD48L2tleXdvcmRzPjxkYXRlcz48eWVh
cj4yMDE5PC95ZWFyPjxwdWItZGF0ZXM+PGRhdGU+TWF5IDE8L2RhdGU+PC9wdWItZGF0ZXM+PC9k
YXRlcz48aXNibj4xNTM1LTQ5NzAgKEVsZWN0cm9uaWMpJiN4RDsxMDczLTQ0OVggKExpbmtpbmcp
PC9pc2JuPjxhY2Nlc3Npb24tbnVtPjMwNTIyMzQzPC9hY2Nlc3Npb24tbnVtPjx1cmxzPjxyZWxh
dGVkLXVybHM+PHVybD5odHRwczovL3d3dy5uY2JpLm5sbS5uaWguZ292L3B1Ym1lZC8zMDUyMjM0
MzwvdXJsPjwvcmVsYXRlZC11cmxzPjwvdXJscz48Y3VzdG9tMj5QTUM2NTE1ODc1PC9jdXN0b20y
PjxlbGVjdHJvbmljLXJlc291cmNlLW51bT4xMC4xMTY0L3JjY20uMjAxODA1LTEwMTFPQzwvZWxl
Y3Ryb25pYy1yZXNvdXJjZS1udW0+PC9yZWNvcmQ+PC9DaXRlPjwvRW5kTm90ZT5=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149</w:t>
      </w:r>
      <w:r>
        <w:fldChar w:fldCharType="end"/>
      </w:r>
    </w:p>
    <w:p w14:paraId="5AF16CBA" w14:textId="404AE4EA" w:rsidR="00EF63E3" w:rsidRDefault="00EF63E3" w:rsidP="00EF63E3">
      <w:pPr>
        <w:pStyle w:val="Heading4"/>
      </w:pPr>
      <w:r>
        <w:t>Vitamin E</w:t>
      </w:r>
    </w:p>
    <w:p w14:paraId="5A6C4E00" w14:textId="77777777" w:rsidR="00B23C1A" w:rsidRDefault="00B23C1A" w:rsidP="00B23C1A">
      <w:pPr>
        <w:pStyle w:val="Heading5"/>
      </w:pPr>
      <w:r>
        <w:t>Background</w:t>
      </w:r>
    </w:p>
    <w:p w14:paraId="5740C6F8" w14:textId="78809C5A" w:rsidR="00193995" w:rsidRPr="000F1769" w:rsidRDefault="00193995" w:rsidP="00193995">
      <w:r>
        <w:t>The Guidelines currently recommend that women be advised that taking vitamin E supplements is not of benefit in pregnancy and may cause harm.</w:t>
      </w:r>
    </w:p>
    <w:p w14:paraId="07F94965" w14:textId="77777777" w:rsidR="00B23C1A" w:rsidRDefault="00B23C1A" w:rsidP="00B23C1A">
      <w:pPr>
        <w:pStyle w:val="Heading5"/>
      </w:pPr>
      <w:r>
        <w:t>Current review</w:t>
      </w:r>
    </w:p>
    <w:p w14:paraId="2B3B86A7" w14:textId="63E545F6" w:rsidR="009C1941" w:rsidRDefault="007262D7" w:rsidP="00801955">
      <w:r>
        <w:t>This review identified two systematic reviews that focussed on supplementation of vitamin E alone.</w:t>
      </w:r>
      <w:r w:rsidR="00F86EFC">
        <w:fldChar w:fldCharType="begin">
          <w:fldData xml:space="preserve">PEVuZE5vdGU+PENpdGU+PEF1dGhvcj5GdTwvQXV0aG9yPjxZZWFyPjIwMTg8L1llYXI+PFJlY051
bT4xMjkzPC9SZWNOdW0+PERpc3BsYXlUZXh0PjxzdHlsZSBmYWNlPSJzdXBlcnNjcmlwdCIgZm9u
dD0iVHJlYnVjaGV0IE1TIiBzaXplPSI5Ij4xNDcsMTUwPC9zdHlsZT48L0Rpc3BsYXlUZXh0Pjxy
ZWNvcmQ+PHJlYy1udW1iZXI+MTI5MzwvcmVjLW51bWJlcj48Zm9yZWlnbi1rZXlzPjxrZXkgYXBw
PSJFTiIgZGItaWQ9ImV4dmFzcmZ4MmR0cmFvZXNhc3hwMnN6c3hhMmRmNTAyNTkyeCIgdGltZXN0
YW1wPSIxNTY1MjIzNjIwIj4xMjkzPC9rZXk+PGtleSBhcHA9IkVOV2ViIiBkYi1pZD0iIj4wPC9r
ZXk+PC9mb3JlaWduLWtleXM+PHJlZi10eXBlIG5hbWU9IkpvdXJuYWwgQXJ0aWNsZSI+MTc8L3Jl
Zi10eXBlPjxjb250cmlidXRvcnM+PGF1dGhvcnM+PGF1dGhvcj5GdSwgWi4gTS48L2F1dGhvcj48
YXV0aG9yPk1hLCBaLiBaLjwvYXV0aG9yPjxhdXRob3I+TGl1LCBHLiBKLjwvYXV0aG9yPjxhdXRo
b3I+V2FuZywgTC4gTC48L2F1dGhvcj48YXV0aG9yPkd1bywgWS48L2F1dGhvcj48L2F1dGhvcnM+
PC9jb250cmlidXRvcnM+PGF1dGgtYWRkcmVzcz5NYXRlcm5pdHkgRGVwYXJ0bWVudCwgVy5GLiBN
YXRlcm5pdHkgYW5kIENoaWxkIENhcmUgSG9zcGl0YWwsIDQwNyBRaW5nbmlhbiBSb2FkLCBXZWlj
aGVuZyBEaXN0cmljdCwgV2VpZmFuZyAyNjEwMTEsIENoaW5hLiYjeEQ7UGhhcm1hY3kgRGVwYXJ0
bWVudCwgV2VpZmFuZyBQZW9wbGUmYXBvcztzIEhvc3BpdGFsLCAxNTEgR3Vhbmd3ZW4gU3RyZWV0
LCBLdWl3ZW4gRGlzdHJpY3QsIFdlaWZhbmcgMjYxMDQxLCBDaGluYS4mI3hEO01hdGVybml0eSBE
ZXBhcnRtZW50LCBXLkYuIE1hdGVybml0eSBhbmQgQ2hpbGQgQ2FyZSBIb3NwaXRhbCwgNDA3IFFp
bmduaWFuIFJvYWQsIFdlaWNoZW5nIERpc3RyaWN0LCBXZWlmYW5nIDI2MTAxMSwgQ2hpbmEuIEVs
ZWN0cm9uaWMgYWRkcmVzczogR3VveXdmQDE2My5jb20uPC9hdXRoLWFkZHJlc3M+PHRpdGxlcz48
dGl0bGU+Vml0YW1pbnMgc3VwcGxlbWVudGF0aW9uIGFmZmVjdHMgdGhlIG9uc2V0IG9mIHByZWVj
bGFtcHNpYTwvdGl0bGU+PHNlY29uZGFyeS10aXRsZT5KIEZvcm1vcyBNZWQgQXNzb2M8L3NlY29u
ZGFyeS10aXRsZT48L3RpdGxlcz48cGVyaW9kaWNhbD48ZnVsbC10aXRsZT5KIEZvcm1vcyBNZWQg
QXNzb2M8L2Z1bGwtdGl0bGU+PC9wZXJpb2RpY2FsPjxwYWdlcz42LTEzPC9wYWdlcz48dm9sdW1l
PjExNzwvdm9sdW1lPjxudW1iZXI+MTwvbnVtYmVyPjxlZGl0aW9uPjIwMTcvMDkvMDg8L2VkaXRp
b24+PGtleXdvcmRzPjxrZXl3b3JkPipEaWV0YXJ5IFN1cHBsZW1lbnRzPC9rZXl3b3JkPjxrZXl3
b3JkPkZlbWFsZTwva2V5d29yZD48a2V5d29yZD5IdW1hbnM8L2tleXdvcmQ+PGtleXdvcmQ+UHJl
LUVjbGFtcHNpYS8qZXBpZGVtaW9sb2d5LypwcmV2ZW50aW9uICZhbXA7IGNvbnRyb2w8L2tleXdv
cmQ+PGtleXdvcmQ+UHJlZ25hbmN5PC9rZXl3b3JkPjxrZXl3b3JkPlJhbmRvbWl6ZWQgQ29udHJv
bGxlZCBUcmlhbHMgYXMgVG9waWM8L2tleXdvcmQ+PGtleXdvcmQ+Vml0YW1pbnMvKnRoZXJhcGV1
dGljIHVzZTwva2V5d29yZD48a2V5d29yZD5NZXRhLWFuYWx5c2lzPC9rZXl3b3JkPjxrZXl3b3Jk
PlByZWVjbGFtcHNpYTwva2V5d29yZD48a2V5d29yZD5SQ1RzPC9rZXl3b3JkPjxrZXl3b3JkPlZp
dGFtaW5zIHN1cHBsZW1lbnRhdGlvbjwva2V5d29yZD48L2tleXdvcmRzPjxkYXRlcz48eWVhcj4y
MDE4PC95ZWFyPjxwdWItZGF0ZXM+PGRhdGU+SmFuPC9kYXRlPjwvcHViLWRhdGVzPjwvZGF0ZXM+
PGlzYm4+MDkyOS02NjQ2IChQcmludCkmI3hEOzA5MjktNjY0NiAoTGlua2luZyk8L2lzYm4+PGFj
Y2Vzc2lvbi1udW0+Mjg4Nzc4NTM8L2FjY2Vzc2lvbi1udW0+PHVybHM+PHJlbGF0ZWQtdXJscz48
dXJsPmh0dHBzOi8vd3d3Lm5jYmkubmxtLm5paC5nb3YvcHVibWVkLzI4ODc3ODUzPC91cmw+PC9y
ZWxhdGVkLXVybHM+PC91cmxzPjxlbGVjdHJvbmljLXJlc291cmNlLW51bT4xMC4xMDE2L2ouamZt
YS4yMDE3LjA4LjAwNTwvZWxlY3Ryb25pYy1yZXNvdXJjZS1udW0+PC9yZWNvcmQ+PC9DaXRlPjxD
aXRlPjxBdXRob3I+V3U8L0F1dGhvcj48WWVhcj4yMDE4PC9ZZWFyPjxSZWNOdW0+MTI5NTwvUmVj
TnVtPjxyZWNvcmQ+PHJlYy1udW1iZXI+MTI5NTwvcmVjLW51bWJlcj48Zm9yZWlnbi1rZXlzPjxr
ZXkgYXBwPSJFTiIgZGItaWQ9ImV4dmFzcmZ4MmR0cmFvZXNhc3hwMnN6c3hhMmRmNTAyNTkyeCIg
dGltZXN0YW1wPSIxNTY1MjIzNjQxIj4xMjk1PC9rZXk+PGtleSBhcHA9IkVOV2ViIiBkYi1pZD0i
Ij4wPC9rZXk+PC9mb3JlaWduLWtleXM+PHJlZi10eXBlIG5hbWU9IkpvdXJuYWwgQXJ0aWNsZSI+
MTc8L3JlZi10eXBlPjxjb250cmlidXRvcnM+PGF1dGhvcnM+PGF1dGhvcj5XdSwgSC48L2F1dGhv
cj48YXV0aG9yPlpoYW5nLCBDLjwvYXV0aG9yPjxhdXRob3I+V2FuZywgWS48L2F1dGhvcj48YXV0
aG9yPkxpLCBZLjwvYXV0aG9yPjwvYXV0aG9ycz48L2NvbnRyaWJ1dG9ycz48YXV0aC1hZGRyZXNz
PkRlcGFydG1lbnQgb2YgUGVkaWF0cmljcywgVGhlIEZpcnN0IFBlb3BsZSBIb3NwaXRhbCBvZiBD
aGFuZ3pob3UgYW5kIHRoZSBUaGlyZCBBZmZpbGlhdGVkIEhvc3BpdGFsIG9mIFNvb2Nob3cgVW5p
dmVyc2l0eSwgQ2hhbmd6aG91LCBKaWFuZ3N1IDIxMzAwMCwgQ2hpbmEuIEVsZWN0cm9uaWMgYWRk
cmVzczogMTU2MTQyODU5OEBxcS5jb20uJiN4RDtEZXBhcnRtZW50IG9mIFBlZGlhdHJpY3MsIFRo
ZSBGaXJzdCBQZW9wbGUgSG9zcGl0YWwgb2YgQ2hhbmd6aG91IGFuZCB0aGUgVGhpcmQgQWZmaWxp
YXRlZCBIb3NwaXRhbCBvZiBTb29jaG93IFVuaXZlcnNpdHksIENoYW5nemhvdSwgSmlhbmdzdSAy
MTMwMDAsIENoaW5hLiBFbGVjdHJvbmljIGFkZHJlc3M6IDExMTMyNzMyOTFAcXEuY29tLiYjeEQ7
RGVwYXJ0bWVudCBvZiBQZWRpYXRyaWNzLCBUaGUgRmlyc3QgUGVvcGxlIEhvc3BpdGFsIG9mIENo
YW5nemhvdSBhbmQgdGhlIFRoaXJkIEFmZmlsaWF0ZWQgSG9zcGl0YWwgb2YgU29vY2hvdyBVbml2
ZXJzaXR5LCBDaGFuZ3pob3UsIEppYW5nc3UgMjEzMDAwLCBDaGluYS4gRWxlY3Ryb25pYyBhZGRy
ZXNzOiAyMDYwNzg4Nzg1QHFxLmNvbS4mI3hEO0RlcGFydG1lbnQgb2YgUGVkaWF0cmljcywgVGhl
IEZpcnN0IFBlb3BsZSBIb3NwaXRhbCBvZiBDaGFuZ3pob3UgYW5kIHRoZSBUaGlyZCBBZmZpbGlh
dGVkIEhvc3BpdGFsIG9mIFNvb2Nob3cgVW5pdmVyc2l0eSwgQ2hhbmd6aG91LCBKaWFuZ3N1IDIx
MzAwMCwgQ2hpbmEuIEVsZWN0cm9uaWMgYWRkcmVzczogMTM3NzY4Njc1MjFAMTYzLmNvbS48L2F1
dGgtYWRkcmVzcz48dGl0bGVzPjx0aXRsZT5Eb2VzIHZpdGFtaW4gRSBwcmV2ZW50IGFzdGhtYSBv
ciB3aGVlemUgaW4gY2hpbGRyZW46IEEgc3lzdGVtYXRpYyByZXZpZXcgYW5kIG1ldGEtYW5hbHlz
aXM8L3RpdGxlPjxzZWNvbmRhcnktdGl0bGU+UGFlZGlhdHIgUmVzcGlyIFJldjwvc2Vjb25kYXJ5
LXRpdGxlPjwvdGl0bGVzPjxwZXJpb2RpY2FsPjxmdWxsLXRpdGxlPlBhZWRpYXRyIFJlc3BpciBS
ZXY8L2Z1bGwtdGl0bGU+PC9wZXJpb2RpY2FsPjxwYWdlcz42MC02ODwvcGFnZXM+PHZvbHVtZT4y
Nzwvdm9sdW1lPjxlZGl0aW9uPjIwMTcvMTEvMDg8L2VkaXRpb24+PGtleXdvcmRzPjxrZXl3b3Jk
PipBc3RobWEvcGh5c2lvcGF0aG9sb2d5L3ByZXZlbnRpb24gJmFtcDsgY29udHJvbDwva2V5d29y
ZD48a2V5d29yZD5DaGlsZDwva2V5d29yZD48a2V5d29yZD5IdW1hbnM8L2tleXdvcmQ+PGtleXdv
cmQ+T2JzZXJ2YXRpb25hbCBTdHVkaWVzIGFzIFRvcGljPC9rZXl3b3JkPjxrZXl3b3JkPk91dGNv
bWUgQXNzZXNzbWVudCAoSGVhbHRoIENhcmUpPC9rZXl3b3JkPjxrZXl3b3JkPlJlc3BpcmF0b3J5
IFNvdW5kcy8qZHJ1ZyBlZmZlY3RzL2V0aW9sb2d5PC9rZXl3b3JkPjxrZXl3b3JkPlZpdGFtaW4g
RS8qcGhhcm1hY29sb2d5PC9rZXl3b3JkPjxrZXl3b3JkPlZpdGFtaW5zL3BoYXJtYWNvbG9neTwv
a2V5d29yZD48a2V5d29yZD5Bc3RobWE8L2tleXdvcmQ+PGtleXdvcmQ+Q2hpbGRob29kPC9rZXl3
b3JkPjxrZXl3b3JkPlZpdGFtaW4gRTwva2V5d29yZD48a2V5d29yZD5XaGVlemluZzwva2V5d29y
ZD48L2tleXdvcmRzPjxkYXRlcz48eWVhcj4yMDE4PC95ZWFyPjxwdWItZGF0ZXM+PGRhdGU+SnVu
PC9kYXRlPjwvcHViLWRhdGVzPjwvZGF0ZXM+PGlzYm4+MTUyNi0wNTUwIChFbGVjdHJvbmljKSYj
eEQ7MTUyNi0wNTQyIChMaW5raW5nKTwvaXNibj48YWNjZXNzaW9uLW51bT4yOTEwODg2ODwvYWNj
ZXNzaW9uLW51bT48dXJscz48cmVsYXRlZC11cmxzPjx1cmw+aHR0cHM6Ly93d3cubmNiaS5ubG0u
bmloLmdvdi9wdWJtZWQvMjkxMDg4Njg8L3VybD48L3JlbGF0ZWQtdXJscz48L3VybHM+PGVsZWN0
cm9uaWMtcmVzb3VyY2UtbnVtPjEwLjEwMTYvai5wcnJ2LjIwMTcuMDguMDAyPC9lbGVjdHJvbmlj
LXJlc291cmNlLW51bT48L3JlY29yZD48L0NpdGU+PC9FbmROb3RlPgB=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dD0iVHJlYnVjaGV0IE1TIiBzaXplPSI5Ij4xNDcsMTUwPC9zdHlsZT48L0Rpc3BsYXlUZXh0Pjxy
ZWNvcmQ+PHJlYy1udW1iZXI+MTI5MzwvcmVjLW51bWJlcj48Zm9yZWlnbi1rZXlzPjxrZXkgYXBw
PSJFTiIgZGItaWQ9ImV4dmFzcmZ4MmR0cmFvZXNhc3hwMnN6c3hhMmRmNTAyNTkyeCIgdGltZXN0
YW1wPSIxNTY1MjIzNjIwIj4xMjkzPC9rZXk+PGtleSBhcHA9IkVOV2ViIiBkYi1pZD0iIj4wPC9r
ZXk+PC9mb3JlaWduLWtleXM+PHJlZi10eXBlIG5hbWU9IkpvdXJuYWwgQXJ0aWNsZSI+MTc8L3Jl
Zi10eXBlPjxjb250cmlidXRvcnM+PGF1dGhvcnM+PGF1dGhvcj5GdSwgWi4gTS48L2F1dGhvcj48
YXV0aG9yPk1hLCBaLiBaLjwvYXV0aG9yPjxhdXRob3I+TGl1LCBHLiBKLjwvYXV0aG9yPjxhdXRo
b3I+V2FuZywgTC4gTC48L2F1dGhvcj48YXV0aG9yPkd1bywgWS48L2F1dGhvcj48L2F1dGhvcnM+
PC9jb250cmlidXRvcnM+PGF1dGgtYWRkcmVzcz5NYXRlcm5pdHkgRGVwYXJ0bWVudCwgVy5GLiBN
YXRlcm5pdHkgYW5kIENoaWxkIENhcmUgSG9zcGl0YWwsIDQwNyBRaW5nbmlhbiBSb2FkLCBXZWlj
aGVuZyBEaXN0cmljdCwgV2VpZmFuZyAyNjEwMTEsIENoaW5hLiYjeEQ7UGhhcm1hY3kgRGVwYXJ0
bWVudCwgV2VpZmFuZyBQZW9wbGUmYXBvcztzIEhvc3BpdGFsLCAxNTEgR3Vhbmd3ZW4gU3RyZWV0
LCBLdWl3ZW4gRGlzdHJpY3QsIFdlaWZhbmcgMjYxMDQxLCBDaGluYS4mI3hEO01hdGVybml0eSBE
ZXBhcnRtZW50LCBXLkYuIE1hdGVybml0eSBhbmQgQ2hpbGQgQ2FyZSBIb3NwaXRhbCwgNDA3IFFp
bmduaWFuIFJvYWQsIFdlaWNoZW5nIERpc3RyaWN0LCBXZWlmYW5nIDI2MTAxMSwgQ2hpbmEuIEVs
ZWN0cm9uaWMgYWRkcmVzczogR3VveXdmQDE2My5jb20uPC9hdXRoLWFkZHJlc3M+PHRpdGxlcz48
dGl0bGU+Vml0YW1pbnMgc3VwcGxlbWVudGF0aW9uIGFmZmVjdHMgdGhlIG9uc2V0IG9mIHByZWVj
bGFtcHNpYTwvdGl0bGU+PHNlY29uZGFyeS10aXRsZT5KIEZvcm1vcyBNZWQgQXNzb2M8L3NlY29u
ZGFyeS10aXRsZT48L3RpdGxlcz48cGVyaW9kaWNhbD48ZnVsbC10aXRsZT5KIEZvcm1vcyBNZWQg
QXNzb2M8L2Z1bGwtdGl0bGU+PC9wZXJpb2RpY2FsPjxwYWdlcz42LTEzPC9wYWdlcz48dm9sdW1l
PjExNzwvdm9sdW1lPjxudW1iZXI+MTwvbnVtYmVyPjxlZGl0aW9uPjIwMTcvMDkvMDg8L2VkaXRp
b24+PGtleXdvcmRzPjxrZXl3b3JkPipEaWV0YXJ5IFN1cHBsZW1lbnRzPC9rZXl3b3JkPjxrZXl3
b3JkPkZlbWFsZTwva2V5d29yZD48a2V5d29yZD5IdW1hbnM8L2tleXdvcmQ+PGtleXdvcmQ+UHJl
LUVjbGFtcHNpYS8qZXBpZGVtaW9sb2d5LypwcmV2ZW50aW9uICZhbXA7IGNvbnRyb2w8L2tleXdv
cmQ+PGtleXdvcmQ+UHJlZ25hbmN5PC9rZXl3b3JkPjxrZXl3b3JkPlJhbmRvbWl6ZWQgQ29udHJv
bGxlZCBUcmlhbHMgYXMgVG9waWM8L2tleXdvcmQ+PGtleXdvcmQ+Vml0YW1pbnMvKnRoZXJhcGV1
dGljIHVzZTwva2V5d29yZD48a2V5d29yZD5NZXRhLWFuYWx5c2lzPC9rZXl3b3JkPjxrZXl3b3Jk
PlByZWVjbGFtcHNpYTwva2V5d29yZD48a2V5d29yZD5SQ1RzPC9rZXl3b3JkPjxrZXl3b3JkPlZp
dGFtaW5zIHN1cHBsZW1lbnRhdGlvbjwva2V5d29yZD48L2tleXdvcmRzPjxkYXRlcz48eWVhcj4y
MDE4PC95ZWFyPjxwdWItZGF0ZXM+PGRhdGU+SmFuPC9kYXRlPjwvcHViLWRhdGVzPjwvZGF0ZXM+
PGlzYm4+MDkyOS02NjQ2IChQcmludCkmI3hEOzA5MjktNjY0NiAoTGlua2luZyk8L2lzYm4+PGFj
Y2Vzc2lvbi1udW0+Mjg4Nzc4NTM8L2FjY2Vzc2lvbi1udW0+PHVybHM+PHJlbGF0ZWQtdXJscz48
dXJsPmh0dHBzOi8vd3d3Lm5jYmkubmxtLm5paC5nb3YvcHVibWVkLzI4ODc3ODUzPC91cmw+PC9y
ZWxhdGVkLXVybHM+PC91cmxzPjxlbGVjdHJvbmljLXJlc291cmNlLW51bT4xMC4xMDE2L2ouamZt
YS4yMDE3LjA4LjAwNTwvZWxlY3Ryb25pYy1yZXNvdXJjZS1udW0+PC9yZWNvcmQ+PC9DaXRlPjxD
aXRlPjxBdXRob3I+V3U8L0F1dGhvcj48WWVhcj4yMDE4PC9ZZWFyPjxSZWNOdW0+MTI5NTwvUmVj
TnVtPjxyZWNvcmQ+PHJlYy1udW1iZXI+MTI5NTwvcmVjLW51bWJlcj48Zm9yZWlnbi1rZXlzPjxr
ZXkgYXBwPSJFTiIgZGItaWQ9ImV4dmFzcmZ4MmR0cmFvZXNhc3hwMnN6c3hhMmRmNTAyNTkyeCIg
dGltZXN0YW1wPSIxNTY1MjIzNjQxIj4xMjk1PC9rZXk+PGtleSBhcHA9IkVOV2ViIiBkYi1pZD0i
Ij4wPC9rZXk+PC9mb3JlaWduLWtleXM+PHJlZi10eXBlIG5hbWU9IkpvdXJuYWwgQXJ0aWNsZSI+
MTc8L3JlZi10eXBlPjxjb250cmlidXRvcnM+PGF1dGhvcnM+PGF1dGhvcj5XdSwgSC48L2F1dGhv
cj48YXV0aG9yPlpoYW5nLCBDLjwvYXV0aG9yPjxhdXRob3I+V2FuZywgWS48L2F1dGhvcj48YXV0
aG9yPkxpLCBZLjwvYXV0aG9yPjwvYXV0aG9ycz48L2NvbnRyaWJ1dG9ycz48YXV0aC1hZGRyZXNz
PkRlcGFydG1lbnQgb2YgUGVkaWF0cmljcywgVGhlIEZpcnN0IFBlb3BsZSBIb3NwaXRhbCBvZiBD
aGFuZ3pob3UgYW5kIHRoZSBUaGlyZCBBZmZpbGlhdGVkIEhvc3BpdGFsIG9mIFNvb2Nob3cgVW5p
dmVyc2l0eSwgQ2hhbmd6aG91LCBKaWFuZ3N1IDIxMzAwMCwgQ2hpbmEuIEVsZWN0cm9uaWMgYWRk
cmVzczogMTU2MTQyODU5OEBxcS5jb20uJiN4RDtEZXBhcnRtZW50IG9mIFBlZGlhdHJpY3MsIFRo
ZSBGaXJzdCBQZW9wbGUgSG9zcGl0YWwgb2YgQ2hhbmd6aG91IGFuZCB0aGUgVGhpcmQgQWZmaWxp
YXRlZCBIb3NwaXRhbCBvZiBTb29jaG93IFVuaXZlcnNpdHksIENoYW5nemhvdSwgSmlhbmdzdSAy
MTMwMDAsIENoaW5hLiBFbGVjdHJvbmljIGFkZHJlc3M6IDExMTMyNzMyOTFAcXEuY29tLiYjeEQ7
RGVwYXJ0bWVudCBvZiBQZWRpYXRyaWNzLCBUaGUgRmlyc3QgUGVvcGxlIEhvc3BpdGFsIG9mIENo
YW5nemhvdSBhbmQgdGhlIFRoaXJkIEFmZmlsaWF0ZWQgSG9zcGl0YWwgb2YgU29vY2hvdyBVbml2
ZXJzaXR5LCBDaGFuZ3pob3UsIEppYW5nc3UgMjEzMDAwLCBDaGluYS4gRWxlY3Ryb25pYyBhZGRy
ZXNzOiAyMDYwNzg4Nzg1QHFxLmNvbS4mI3hEO0RlcGFydG1lbnQgb2YgUGVkaWF0cmljcywgVGhl
IEZpcnN0IFBlb3BsZSBIb3NwaXRhbCBvZiBDaGFuZ3pob3UgYW5kIHRoZSBUaGlyZCBBZmZpbGlh
dGVkIEhvc3BpdGFsIG9mIFNvb2Nob3cgVW5pdmVyc2l0eSwgQ2hhbmd6aG91LCBKaWFuZ3N1IDIx
MzAwMCwgQ2hpbmEuIEVsZWN0cm9uaWMgYWRkcmVzczogMTM3NzY4Njc1MjFAMTYzLmNvbS48L2F1
dGgtYWRkcmVzcz48dGl0bGVzPjx0aXRsZT5Eb2VzIHZpdGFtaW4gRSBwcmV2ZW50IGFzdGhtYSBv
ciB3aGVlemUgaW4gY2hpbGRyZW46IEEgc3lzdGVtYXRpYyByZXZpZXcgYW5kIG1ldGEtYW5hbHlz
aXM8L3RpdGxlPjxzZWNvbmRhcnktdGl0bGU+UGFlZGlhdHIgUmVzcGlyIFJldjwvc2Vjb25kYXJ5
LXRpdGxlPjwvdGl0bGVzPjxwZXJpb2RpY2FsPjxmdWxsLXRpdGxlPlBhZWRpYXRyIFJlc3BpciBS
ZXY8L2Z1bGwtdGl0bGU+PC9wZXJpb2RpY2FsPjxwYWdlcz42MC02ODwvcGFnZXM+PHZvbHVtZT4y
Nzwvdm9sdW1lPjxlZGl0aW9uPjIwMTcvMTEvMDg8L2VkaXRpb24+PGtleXdvcmRzPjxrZXl3b3Jk
PipBc3RobWEvcGh5c2lvcGF0aG9sb2d5L3ByZXZlbnRpb24gJmFtcDsgY29udHJvbDwva2V5d29y
ZD48a2V5d29yZD5DaGlsZDwva2V5d29yZD48a2V5d29yZD5IdW1hbnM8L2tleXdvcmQ+PGtleXdv
cmQ+T2JzZXJ2YXRpb25hbCBTdHVkaWVzIGFzIFRvcGljPC9rZXl3b3JkPjxrZXl3b3JkPk91dGNv
bWUgQXNzZXNzbWVudCAoSGVhbHRoIENhcmUpPC9rZXl3b3JkPjxrZXl3b3JkPlJlc3BpcmF0b3J5
IFNvdW5kcy8qZHJ1ZyBlZmZlY3RzL2V0aW9sb2d5PC9rZXl3b3JkPjxrZXl3b3JkPlZpdGFtaW4g
RS8qcGhhcm1hY29sb2d5PC9rZXl3b3JkPjxrZXl3b3JkPlZpdGFtaW5zL3BoYXJtYWNvbG9neTwv
a2V5d29yZD48a2V5d29yZD5Bc3RobWE8L2tleXdvcmQ+PGtleXdvcmQ+Q2hpbGRob29kPC9rZXl3
b3JkPjxrZXl3b3JkPlZpdGFtaW4gRTwva2V5d29yZD48a2V5d29yZD5XaGVlemluZzwva2V5d29y
ZD48L2tleXdvcmRzPjxkYXRlcz48eWVhcj4yMDE4PC95ZWFyPjxwdWItZGF0ZXM+PGRhdGU+SnVu
PC9kYXRlPjwvcHViLWRhdGVzPjwvZGF0ZXM+PGlzYm4+MTUyNi0wNTUwIChFbGVjdHJvbmljKSYj
eEQ7MTUyNi0wNTQyIChMaW5raW5nKTwvaXNibj48YWNjZXNzaW9uLW51bT4yOTEwODg2ODwvYWNj
ZXNzaW9uLW51bT48dXJscz48cmVsYXRlZC11cmxzPjx1cmw+aHR0cHM6Ly93d3cubmNiaS5ubG0u
bmloLmdvdi9wdWJtZWQvMjkxMDg4Njg8L3VybD48L3JlbGF0ZWQtdXJscz48L3VybHM+PGVsZWN0
cm9uaWMtcmVzb3VyY2UtbnVtPjEwLjEwMTYvai5wcnJ2LjIwMTcuMDguMDAyPC9lbGVjdHJvbmlj
LXJlc291cmNlLW51bT48L3JlY29yZD48L0NpdGU+PC9FbmROb3RlPgB=
</w:fldData>
        </w:fldChar>
      </w:r>
      <w:r w:rsidR="002747EA">
        <w:instrText xml:space="preserve"> ADDIN EN.CITE.DATA </w:instrText>
      </w:r>
      <w:r w:rsidR="002747EA">
        <w:fldChar w:fldCharType="end"/>
      </w:r>
      <w:r w:rsidR="00F86EFC">
        <w:fldChar w:fldCharType="separate"/>
      </w:r>
      <w:r w:rsidR="002747EA" w:rsidRPr="002747EA">
        <w:rPr>
          <w:noProof/>
          <w:vertAlign w:val="superscript"/>
        </w:rPr>
        <w:t>147,150</w:t>
      </w:r>
      <w:r w:rsidR="00F86EFC">
        <w:fldChar w:fldCharType="end"/>
      </w:r>
    </w:p>
    <w:p w14:paraId="529B0C47" w14:textId="6AE911C8" w:rsidR="00801955" w:rsidRPr="00801955" w:rsidRDefault="009C1941" w:rsidP="00801955">
      <w:r>
        <w:t>One systematic review found no clear difference in risk of pre-eclampsia (</w:t>
      </w:r>
      <w:r w:rsidRPr="009C1941">
        <w:rPr>
          <w:sz w:val="16"/>
          <w:szCs w:val="16"/>
        </w:rPr>
        <w:t>RR 0.54; 95%CI 0.06 to 5.11; 1 RCT</w:t>
      </w:r>
      <w:r>
        <w:t>).</w:t>
      </w:r>
      <w:r w:rsidR="00F86EFC">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rsidR="00F86EFC">
        <w:fldChar w:fldCharType="separate"/>
      </w:r>
      <w:r w:rsidR="002747EA" w:rsidRPr="002747EA">
        <w:rPr>
          <w:noProof/>
          <w:vertAlign w:val="superscript"/>
        </w:rPr>
        <w:t>147</w:t>
      </w:r>
      <w:r w:rsidR="00F86EFC">
        <w:fldChar w:fldCharType="end"/>
      </w:r>
      <w:r>
        <w:t xml:space="preserve"> The other review was of observational studies and suggested that maternal vitamin E supplementation may reduce the risk of childhood asthma (</w:t>
      </w:r>
      <w:r w:rsidRPr="009C1941">
        <w:rPr>
          <w:sz w:val="16"/>
          <w:szCs w:val="16"/>
        </w:rPr>
        <w:t>OR 0.97; 95%CI 0.95 to 1.00</w:t>
      </w:r>
      <w:r>
        <w:t>) and wheeze in children (</w:t>
      </w:r>
      <w:r w:rsidRPr="009C1941">
        <w:rPr>
          <w:sz w:val="16"/>
          <w:szCs w:val="16"/>
        </w:rPr>
        <w:t>OR 0.65; 95%CI 0.56 to 0.75</w:t>
      </w:r>
      <w:r>
        <w:t>).</w:t>
      </w:r>
      <w:r w:rsidR="00F86EFC">
        <w:fldChar w:fldCharType="begin">
          <w:fldData xml:space="preserve">PEVuZE5vdGU+PENpdGU+PEF1dGhvcj5XdTwvQXV0aG9yPjxZZWFyPjIwMTg8L1llYXI+PFJlY051
bT4xMjk1PC9SZWNOdW0+PERpc3BsYXlUZXh0PjxzdHlsZSBmYWNlPSJzdXBlcnNjcmlwdCIgZm9u
dD0iVHJlYnVjaGV0IE1TIiBzaXplPSI5Ij4xNTA8L3N0eWxlPjwvRGlzcGxheVRleHQ+PHJlY29y
ZD48cmVjLW51bWJlcj4xMjk1PC9yZWMtbnVtYmVyPjxmb3JlaWduLWtleXM+PGtleSBhcHA9IkVO
IiBkYi1pZD0iZXh2YXNyZngyZHRyYW9lc2FzeHAyc3pzeGEyZGY1MDI1OTJ4IiB0aW1lc3RhbXA9
IjE1NjUyMjM2NDEiPjEyOTU8L2tleT48a2V5IGFwcD0iRU5XZWIiIGRiLWlkPSIiPjA8L2tleT48
L2ZvcmVpZ24ta2V5cz48cmVmLXR5cGUgbmFtZT0iSm91cm5hbCBBcnRpY2xlIj4xNzwvcmVmLXR5
cGU+PGNvbnRyaWJ1dG9ycz48YXV0aG9ycz48YXV0aG9yPld1LCBILjwvYXV0aG9yPjxhdXRob3I+
WmhhbmcsIEMuPC9hdXRob3I+PGF1dGhvcj5XYW5nLCBZLjwvYXV0aG9yPjxhdXRob3I+TGksIFku
PC9hdXRob3I+PC9hdXRob3JzPjwvY29udHJpYnV0b3JzPjxhdXRoLWFkZHJlc3M+RGVwYXJ0bWVu
dCBvZiBQZWRpYXRyaWNzLCBUaGUgRmlyc3QgUGVvcGxlIEhvc3BpdGFsIG9mIENoYW5nemhvdSBh
bmQgdGhlIFRoaXJkIEFmZmlsaWF0ZWQgSG9zcGl0YWwgb2YgU29vY2hvdyBVbml2ZXJzaXR5LCBD
aGFuZ3pob3UsIEppYW5nc3UgMjEzMDAwLCBDaGluYS4gRWxlY3Ryb25pYyBhZGRyZXNzOiAxNTYx
NDI4NTk4QHFxLmNvbS4mI3hEO0RlcGFydG1lbnQgb2YgUGVkaWF0cmljcywgVGhlIEZpcnN0IFBl
b3BsZSBIb3NwaXRhbCBvZiBDaGFuZ3pob3UgYW5kIHRoZSBUaGlyZCBBZmZpbGlhdGVkIEhvc3Bp
dGFsIG9mIFNvb2Nob3cgVW5pdmVyc2l0eSwgQ2hhbmd6aG91LCBKaWFuZ3N1IDIxMzAwMCwgQ2hp
bmEuIEVsZWN0cm9uaWMgYWRkcmVzczogMTExMzI3MzI5MUBxcS5jb20uJiN4RDtEZXBhcnRtZW50
IG9mIFBlZGlhdHJpY3MsIFRoZSBGaXJzdCBQZW9wbGUgSG9zcGl0YWwgb2YgQ2hhbmd6aG91IGFu
ZCB0aGUgVGhpcmQgQWZmaWxpYXRlZCBIb3NwaXRhbCBvZiBTb29jaG93IFVuaXZlcnNpdHksIENo
YW5nemhvdSwgSmlhbmdzdSAyMTMwMDAsIENoaW5hLiBFbGVjdHJvbmljIGFkZHJlc3M6IDIwNjA3
ODg3ODVAcXEuY29tLiYjeEQ7RGVwYXJ0bWVudCBvZiBQZWRpYXRyaWNzLCBUaGUgRmlyc3QgUGVv
cGxlIEhvc3BpdGFsIG9mIENoYW5nemhvdSBhbmQgdGhlIFRoaXJkIEFmZmlsaWF0ZWQgSG9zcGl0
YWwgb2YgU29vY2hvdyBVbml2ZXJzaXR5LCBDaGFuZ3pob3UsIEppYW5nc3UgMjEzMDAwLCBDaGlu
YS4gRWxlY3Ryb25pYyBhZGRyZXNzOiAxMzc3Njg2NzUyMUAxNjMuY29tLjwvYXV0aC1hZGRyZXNz
Pjx0aXRsZXM+PHRpdGxlPkRvZXMgdml0YW1pbiBFIHByZXZlbnQgYXN0aG1hIG9yIHdoZWV6ZSBp
biBjaGlsZHJlbjogQSBzeXN0ZW1hdGljIHJldmlldyBhbmQgbWV0YS1hbmFseXNpczwvdGl0bGU+
PHNlY29uZGFyeS10aXRsZT5QYWVkaWF0ciBSZXNwaXIgUmV2PC9zZWNvbmRhcnktdGl0bGU+PC90
aXRsZXM+PHBlcmlvZGljYWw+PGZ1bGwtdGl0bGU+UGFlZGlhdHIgUmVzcGlyIFJldjwvZnVsbC10
aXRsZT48L3BlcmlvZGljYWw+PHBhZ2VzPjYwLTY4PC9wYWdlcz48dm9sdW1lPjI3PC92b2x1bWU+
PGVkaXRpb24+MjAxNy8xMS8wODwvZWRpdGlvbj48a2V5d29yZHM+PGtleXdvcmQ+KkFzdGhtYS9w
aHlzaW9wYXRob2xvZ3kvcHJldmVudGlvbiAmYW1wOyBjb250cm9sPC9rZXl3b3JkPjxrZXl3b3Jk
PkNoaWxkPC9rZXl3b3JkPjxrZXl3b3JkPkh1bWFuczwva2V5d29yZD48a2V5d29yZD5PYnNlcnZh
dGlvbmFsIFN0dWRpZXMgYXMgVG9waWM8L2tleXdvcmQ+PGtleXdvcmQ+T3V0Y29tZSBBc3Nlc3Nt
ZW50IChIZWFsdGggQ2FyZSk8L2tleXdvcmQ+PGtleXdvcmQ+UmVzcGlyYXRvcnkgU291bmRzLypk
cnVnIGVmZmVjdHMvZXRpb2xvZ3k8L2tleXdvcmQ+PGtleXdvcmQ+Vml0YW1pbiBFLypwaGFybWFj
b2xvZ3k8L2tleXdvcmQ+PGtleXdvcmQ+Vml0YW1pbnMvcGhhcm1hY29sb2d5PC9rZXl3b3JkPjxr
ZXl3b3JkPkFzdGhtYTwva2V5d29yZD48a2V5d29yZD5DaGlsZGhvb2Q8L2tleXdvcmQ+PGtleXdv
cmQ+Vml0YW1pbiBFPC9rZXl3b3JkPjxrZXl3b3JkPldoZWV6aW5nPC9rZXl3b3JkPjwva2V5d29y
ZHM+PGRhdGVzPjx5ZWFyPjIwMTg8L3llYXI+PHB1Yi1kYXRlcz48ZGF0ZT5KdW48L2RhdGU+PC9w
dWItZGF0ZXM+PC9kYXRlcz48aXNibj4xNTI2LTA1NTAgKEVsZWN0cm9uaWMpJiN4RDsxNTI2LTA1
NDIgKExpbmtpbmcpPC9pc2JuPjxhY2Nlc3Npb24tbnVtPjI5MTA4ODY4PC9hY2Nlc3Npb24tbnVt
Pjx1cmxzPjxyZWxhdGVkLXVybHM+PHVybD5odHRwczovL3d3dy5uY2JpLm5sbS5uaWguZ292L3B1
Ym1lZC8yOTEwODg2ODwvdXJsPjwvcmVsYXRlZC11cmxzPjwvdXJscz48ZWxlY3Ryb25pYy1yZXNv
dXJjZS1udW0+MTAuMTAxNi9qLnBycnYuMjAxNy4wOC4wMDI8L2VsZWN0cm9uaWMtcmVzb3VyY2Ut
bnVtPjwvcmVjb3JkPjwvQ2l0ZT48L0VuZE5vdGU+
</w:fldData>
        </w:fldChar>
      </w:r>
      <w:r w:rsidR="002747EA">
        <w:instrText xml:space="preserve"> ADDIN EN.CITE </w:instrText>
      </w:r>
      <w:r w:rsidR="002747EA">
        <w:fldChar w:fldCharType="begin">
          <w:fldData xml:space="preserve">PEVuZE5vdGU+PENpdGU+PEF1dGhvcj5XdTwvQXV0aG9yPjxZZWFyPjIwMTg8L1llYXI+PFJlY051
bT4xMjk1PC9SZWNOdW0+PERpc3BsYXlUZXh0PjxzdHlsZSBmYWNlPSJzdXBlcnNjcmlwdCIgZm9u
dD0iVHJlYnVjaGV0IE1TIiBzaXplPSI5Ij4xNTA8L3N0eWxlPjwvRGlzcGxheVRleHQ+PHJlY29y
ZD48cmVjLW51bWJlcj4xMjk1PC9yZWMtbnVtYmVyPjxmb3JlaWduLWtleXM+PGtleSBhcHA9IkVO
IiBkYi1pZD0iZXh2YXNyZngyZHRyYW9lc2FzeHAyc3pzeGEyZGY1MDI1OTJ4IiB0aW1lc3RhbXA9
IjE1NjUyMjM2NDEiPjEyOTU8L2tleT48a2V5IGFwcD0iRU5XZWIiIGRiLWlkPSIiPjA8L2tleT48
L2ZvcmVpZ24ta2V5cz48cmVmLXR5cGUgbmFtZT0iSm91cm5hbCBBcnRpY2xlIj4xNzwvcmVmLXR5
cGU+PGNvbnRyaWJ1dG9ycz48YXV0aG9ycz48YXV0aG9yPld1LCBILjwvYXV0aG9yPjxhdXRob3I+
WmhhbmcsIEMuPC9hdXRob3I+PGF1dGhvcj5XYW5nLCBZLjwvYXV0aG9yPjxhdXRob3I+TGksIFku
PC9hdXRob3I+PC9hdXRob3JzPjwvY29udHJpYnV0b3JzPjxhdXRoLWFkZHJlc3M+RGVwYXJ0bWVu
dCBvZiBQZWRpYXRyaWNzLCBUaGUgRmlyc3QgUGVvcGxlIEhvc3BpdGFsIG9mIENoYW5nemhvdSBh
bmQgdGhlIFRoaXJkIEFmZmlsaWF0ZWQgSG9zcGl0YWwgb2YgU29vY2hvdyBVbml2ZXJzaXR5LCBD
aGFuZ3pob3UsIEppYW5nc3UgMjEzMDAwLCBDaGluYS4gRWxlY3Ryb25pYyBhZGRyZXNzOiAxNTYx
NDI4NTk4QHFxLmNvbS4mI3hEO0RlcGFydG1lbnQgb2YgUGVkaWF0cmljcywgVGhlIEZpcnN0IFBl
b3BsZSBIb3NwaXRhbCBvZiBDaGFuZ3pob3UgYW5kIHRoZSBUaGlyZCBBZmZpbGlhdGVkIEhvc3Bp
dGFsIG9mIFNvb2Nob3cgVW5pdmVyc2l0eSwgQ2hhbmd6aG91LCBKaWFuZ3N1IDIxMzAwMCwgQ2hp
bmEuIEVsZWN0cm9uaWMgYWRkcmVzczogMTExMzI3MzI5MUBxcS5jb20uJiN4RDtEZXBhcnRtZW50
IG9mIFBlZGlhdHJpY3MsIFRoZSBGaXJzdCBQZW9wbGUgSG9zcGl0YWwgb2YgQ2hhbmd6aG91IGFu
ZCB0aGUgVGhpcmQgQWZmaWxpYXRlZCBIb3NwaXRhbCBvZiBTb29jaG93IFVuaXZlcnNpdHksIENo
YW5nemhvdSwgSmlhbmdzdSAyMTMwMDAsIENoaW5hLiBFbGVjdHJvbmljIGFkZHJlc3M6IDIwNjA3
ODg3ODVAcXEuY29tLiYjeEQ7RGVwYXJ0bWVudCBvZiBQZWRpYXRyaWNzLCBUaGUgRmlyc3QgUGVv
cGxlIEhvc3BpdGFsIG9mIENoYW5nemhvdSBhbmQgdGhlIFRoaXJkIEFmZmlsaWF0ZWQgSG9zcGl0
YWwgb2YgU29vY2hvdyBVbml2ZXJzaXR5LCBDaGFuZ3pob3UsIEppYW5nc3UgMjEzMDAwLCBDaGlu
YS4gRWxlY3Ryb25pYyBhZGRyZXNzOiAxMzc3Njg2NzUyMUAxNjMuY29tLjwvYXV0aC1hZGRyZXNz
Pjx0aXRsZXM+PHRpdGxlPkRvZXMgdml0YW1pbiBFIHByZXZlbnQgYXN0aG1hIG9yIHdoZWV6ZSBp
biBjaGlsZHJlbjogQSBzeXN0ZW1hdGljIHJldmlldyBhbmQgbWV0YS1hbmFseXNpczwvdGl0bGU+
PHNlY29uZGFyeS10aXRsZT5QYWVkaWF0ciBSZXNwaXIgUmV2PC9zZWNvbmRhcnktdGl0bGU+PC90
aXRsZXM+PHBlcmlvZGljYWw+PGZ1bGwtdGl0bGU+UGFlZGlhdHIgUmVzcGlyIFJldjwvZnVsbC10
aXRsZT48L3BlcmlvZGljYWw+PHBhZ2VzPjYwLTY4PC9wYWdlcz48dm9sdW1lPjI3PC92b2x1bWU+
PGVkaXRpb24+MjAxNy8xMS8wODwvZWRpdGlvbj48a2V5d29yZHM+PGtleXdvcmQ+KkFzdGhtYS9w
aHlzaW9wYXRob2xvZ3kvcHJldmVudGlvbiAmYW1wOyBjb250cm9sPC9rZXl3b3JkPjxrZXl3b3Jk
PkNoaWxkPC9rZXl3b3JkPjxrZXl3b3JkPkh1bWFuczwva2V5d29yZD48a2V5d29yZD5PYnNlcnZh
dGlvbmFsIFN0dWRpZXMgYXMgVG9waWM8L2tleXdvcmQ+PGtleXdvcmQ+T3V0Y29tZSBBc3Nlc3Nt
ZW50IChIZWFsdGggQ2FyZSk8L2tleXdvcmQ+PGtleXdvcmQ+UmVzcGlyYXRvcnkgU291bmRzLypk
cnVnIGVmZmVjdHMvZXRpb2xvZ3k8L2tleXdvcmQ+PGtleXdvcmQ+Vml0YW1pbiBFLypwaGFybWFj
b2xvZ3k8L2tleXdvcmQ+PGtleXdvcmQ+Vml0YW1pbnMvcGhhcm1hY29sb2d5PC9rZXl3b3JkPjxr
ZXl3b3JkPkFzdGhtYTwva2V5d29yZD48a2V5d29yZD5DaGlsZGhvb2Q8L2tleXdvcmQ+PGtleXdv
cmQ+Vml0YW1pbiBFPC9rZXl3b3JkPjxrZXl3b3JkPldoZWV6aW5nPC9rZXl3b3JkPjwva2V5d29y
ZHM+PGRhdGVzPjx5ZWFyPjIwMTg8L3llYXI+PHB1Yi1kYXRlcz48ZGF0ZT5KdW48L2RhdGU+PC9w
dWItZGF0ZXM+PC9kYXRlcz48aXNibj4xNTI2LTA1NTAgKEVsZWN0cm9uaWMpJiN4RDsxNTI2LTA1
NDIgKExpbmtpbmcpPC9pc2JuPjxhY2Nlc3Npb24tbnVtPjI5MTA4ODY4PC9hY2Nlc3Npb24tbnVt
Pjx1cmxzPjxyZWxhdGVkLXVybHM+PHVybD5odHRwczovL3d3dy5uY2JpLm5sbS5uaWguZ292L3B1
Ym1lZC8yOTEwODg2ODwvdXJsPjwvcmVsYXRlZC11cmxzPjwvdXJscz48ZWxlY3Ryb25pYy1yZXNv
dXJjZS1udW0+MTAuMTAxNi9qLnBycnYuMjAxNy4wOC4wMDI8L2VsZWN0cm9uaWMtcmVzb3VyY2Ut
bnVtPjwvcmVjb3JkPjwvQ2l0ZT48L0VuZE5vdGU+
</w:fldData>
        </w:fldChar>
      </w:r>
      <w:r w:rsidR="002747EA">
        <w:instrText xml:space="preserve"> ADDIN EN.CITE.DATA </w:instrText>
      </w:r>
      <w:r w:rsidR="002747EA">
        <w:fldChar w:fldCharType="end"/>
      </w:r>
      <w:r w:rsidR="00F86EFC">
        <w:fldChar w:fldCharType="separate"/>
      </w:r>
      <w:r w:rsidR="002747EA" w:rsidRPr="002747EA">
        <w:rPr>
          <w:noProof/>
          <w:vertAlign w:val="superscript"/>
        </w:rPr>
        <w:t>150</w:t>
      </w:r>
      <w:r w:rsidR="00F86EFC">
        <w:fldChar w:fldCharType="end"/>
      </w:r>
    </w:p>
    <w:p w14:paraId="46BD134E" w14:textId="77777777" w:rsidR="00B23C1A" w:rsidRDefault="00B23C1A" w:rsidP="00677230">
      <w:pPr>
        <w:pStyle w:val="Heading4"/>
      </w:pPr>
      <w:r>
        <w:t>Vitamin C and E combined</w:t>
      </w:r>
    </w:p>
    <w:p w14:paraId="66423987" w14:textId="77777777" w:rsidR="00B23C1A" w:rsidRDefault="00B23C1A" w:rsidP="00B23C1A">
      <w:pPr>
        <w:pStyle w:val="Heading5"/>
      </w:pPr>
      <w:r>
        <w:t>Background</w:t>
      </w:r>
    </w:p>
    <w:p w14:paraId="25E0384C" w14:textId="77A868F9" w:rsidR="00F86EFC" w:rsidRPr="00F86EFC" w:rsidRDefault="00F86EFC" w:rsidP="00F86EFC">
      <w:r>
        <w:t xml:space="preserve">The Guidelines currently comment that vitamin C and E combined has been associated with </w:t>
      </w:r>
      <w:r w:rsidRPr="00CC52F7">
        <w:rPr>
          <w:lang w:val="en-AU"/>
        </w:rPr>
        <w:t>perinatal death and preterm rupture of the membranes</w:t>
      </w:r>
      <w:r>
        <w:rPr>
          <w:lang w:val="en-AU"/>
        </w:rPr>
        <w:t>.</w:t>
      </w:r>
    </w:p>
    <w:p w14:paraId="15A5CD42" w14:textId="77777777" w:rsidR="00B23C1A" w:rsidRDefault="00B23C1A" w:rsidP="00B23C1A">
      <w:pPr>
        <w:pStyle w:val="Heading5"/>
      </w:pPr>
      <w:r>
        <w:t>Current review</w:t>
      </w:r>
    </w:p>
    <w:p w14:paraId="12D02241" w14:textId="13BB8072" w:rsidR="00F86EFC" w:rsidRDefault="00F86EFC" w:rsidP="00F86EFC">
      <w:r>
        <w:t>This review identified five systematic reviews and one RCT that evaluated the relationship between vitamin C and E supplementation and perinatal outcomes by maternal smoking status.</w:t>
      </w:r>
    </w:p>
    <w:p w14:paraId="55BECC96" w14:textId="70EB5D64" w:rsidR="00F86EFC" w:rsidRDefault="00F86EFC" w:rsidP="00F86EFC">
      <w:r>
        <w:t>A Cochrane review</w:t>
      </w:r>
      <w:r w:rsidR="003E753D">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rsidR="003E753D">
        <w:fldChar w:fldCharType="separate"/>
      </w:r>
      <w:r w:rsidR="002747EA" w:rsidRPr="002747EA">
        <w:rPr>
          <w:noProof/>
          <w:vertAlign w:val="superscript"/>
        </w:rPr>
        <w:t>125</w:t>
      </w:r>
      <w:r w:rsidR="003E753D">
        <w:fldChar w:fldCharType="end"/>
      </w:r>
      <w:r>
        <w:t xml:space="preserve"> found no clear difference in risk of total fetal loss (</w:t>
      </w:r>
      <w:r w:rsidRPr="00B03B97">
        <w:rPr>
          <w:sz w:val="16"/>
          <w:szCs w:val="16"/>
        </w:rPr>
        <w:t>RR 1.14; 95%CI 0.92 to 1.40; 7 RCTs; n=18,949</w:t>
      </w:r>
      <w:r>
        <w:t>), e</w:t>
      </w:r>
      <w:r w:rsidRPr="00D404CA">
        <w:t>arly or late miscarriage</w:t>
      </w:r>
      <w:r>
        <w:t xml:space="preserve"> (</w:t>
      </w:r>
      <w:r w:rsidRPr="00B03B97">
        <w:rPr>
          <w:sz w:val="16"/>
          <w:szCs w:val="16"/>
        </w:rPr>
        <w:t>RR 0.90; 95%CI 0.65 to 1.26; 4 RCTs; n=13,346</w:t>
      </w:r>
      <w:r>
        <w:t>), s</w:t>
      </w:r>
      <w:r w:rsidRPr="00D404CA">
        <w:t>tillbirth</w:t>
      </w:r>
      <w:r>
        <w:t xml:space="preserve"> (</w:t>
      </w:r>
      <w:r w:rsidRPr="00B03B97">
        <w:rPr>
          <w:sz w:val="16"/>
          <w:szCs w:val="16"/>
        </w:rPr>
        <w:t>RR 1.31; 95%CI 0.97 to 1.76; 7 RCTs; n=21,442</w:t>
      </w:r>
      <w:r>
        <w:t>), c</w:t>
      </w:r>
      <w:r w:rsidRPr="00D404CA">
        <w:t>ongenital malformations</w:t>
      </w:r>
      <w:r>
        <w:t xml:space="preserve"> (</w:t>
      </w:r>
      <w:r w:rsidRPr="00B03B97">
        <w:rPr>
          <w:sz w:val="16"/>
          <w:szCs w:val="16"/>
        </w:rPr>
        <w:t>RR 1.17; 95%CI 0.84 to 1.62; 5 RCTs; n=8,334</w:t>
      </w:r>
      <w:r>
        <w:t>) or a</w:t>
      </w:r>
      <w:r w:rsidRPr="00D404CA">
        <w:t>ny adverse effects of vitamin</w:t>
      </w:r>
      <w:r>
        <w:t xml:space="preserve"> </w:t>
      </w:r>
      <w:r w:rsidRPr="00D404CA">
        <w:t>supplementation sufficient to</w:t>
      </w:r>
      <w:r>
        <w:t xml:space="preserve"> </w:t>
      </w:r>
      <w:r w:rsidRPr="00D404CA">
        <w:t>stop supplementation</w:t>
      </w:r>
      <w:r>
        <w:t xml:space="preserve"> (</w:t>
      </w:r>
      <w:r w:rsidRPr="00B03B97">
        <w:rPr>
          <w:sz w:val="16"/>
          <w:szCs w:val="16"/>
        </w:rPr>
        <w:t>RR 1.16; 95%CI 0.39 to 3.41; 1 RCT; n=739</w:t>
      </w:r>
      <w:r>
        <w:t>).</w:t>
      </w:r>
      <w:r w:rsidR="003E753D">
        <w:t xml:space="preserve"> </w:t>
      </w:r>
    </w:p>
    <w:p w14:paraId="4913F93C" w14:textId="12A6F1E8" w:rsidR="003E753D" w:rsidRDefault="003E753D" w:rsidP="00B03B97">
      <w:r>
        <w:t>Another Cochrane review that assessed the effects of vitamin E alone or</w:t>
      </w:r>
      <w:r w:rsidRPr="003E5151">
        <w:t xml:space="preserve"> in combination with other supplements </w:t>
      </w:r>
      <w:r>
        <w:t>(most commonly vitamin C)</w:t>
      </w:r>
      <w:r>
        <w:fldChar w:fldCharType="begin"/>
      </w:r>
      <w:r w:rsidR="002747EA">
        <w:instrText xml:space="preserve"> ADDIN EN.CITE &lt;EndNote&gt;&lt;Cite&gt;&lt;Author&gt;Rumbold&lt;/Author&gt;&lt;Year&gt;2015&lt;/Year&gt;&lt;RecNum&gt;1294&lt;/RecNum&gt;&lt;DisplayText&gt;&lt;style face="superscript" font="Trebuchet MS" size="9"&gt;151&lt;/style&gt;&lt;/DisplayText&gt;&lt;record&gt;&lt;rec-number&gt;1294&lt;/rec-number&gt;&lt;foreign-keys&gt;&lt;key app="EN" db-id="exvasrfx2dtraoesasxp2szsxa2df502592x" timestamp="1565223630"&gt;1294&lt;/key&gt;&lt;key app="ENWeb" db-id=""&gt;0&lt;/key&gt;&lt;/foreign-keys&gt;&lt;ref-type name="Journal Article"&gt;17&lt;/ref-type&gt;&lt;contributors&gt;&lt;authors&gt;&lt;author&gt;Rumbold, A.&lt;/author&gt;&lt;author&gt;Ota, E.&lt;/author&gt;&lt;author&gt;Hori, H.&lt;/author&gt;&lt;author&gt;Miyazaki, C.&lt;/author&gt;&lt;author&gt;Crowther, C. A.&lt;/author&gt;&lt;/authors&gt;&lt;/contributors&gt;&lt;auth-address&gt;The Robinson Research Institute, The University of Adelaide, Ground Floor, Norwich Centre, 55 King William Road, Adelaide, NT, Australia, SA 5006.&lt;/auth-address&gt;&lt;titles&gt;&lt;title&gt;Vitamin E supplementation in pregnancy&lt;/title&gt;&lt;secondary-title&gt;Cochrane Database Syst Rev&lt;/secondary-title&gt;&lt;/titles&gt;&lt;periodical&gt;&lt;full-title&gt;Cochrane Database Syst Rev&lt;/full-title&gt;&lt;/periodical&gt;&lt;pages&gt;CD004069&lt;/pages&gt;&lt;number&gt;9&lt;/number&gt;&lt;edition&gt;2015/09/08&lt;/edition&gt;&lt;keywords&gt;&lt;keyword&gt;Antioxidants/*administration &amp;amp; dosage/adverse effects&lt;/keyword&gt;&lt;keyword&gt;*Dietary Supplements/adverse effects&lt;/keyword&gt;&lt;keyword&gt;Female&lt;/keyword&gt;&lt;keyword&gt;Humans&lt;/keyword&gt;&lt;keyword&gt;Infant, Newborn&lt;/keyword&gt;&lt;keyword&gt;Infant, Small for Gestational Age&lt;/keyword&gt;&lt;keyword&gt;Pre-Eclampsia/*prevention &amp;amp; control&lt;/keyword&gt;&lt;keyword&gt;Pregnancy&lt;/keyword&gt;&lt;keyword&gt;Pregnancy Complications/prevention &amp;amp; control&lt;/keyword&gt;&lt;keyword&gt;Pregnancy Outcome&lt;/keyword&gt;&lt;keyword&gt;Randomized Controlled Trials as Topic&lt;/keyword&gt;&lt;keyword&gt;Vitamin E/*administration &amp;amp; dosage/adverse effects&lt;/keyword&gt;&lt;/keywords&gt;&lt;dates&gt;&lt;year&gt;2015&lt;/year&gt;&lt;pub-dates&gt;&lt;date&gt;Sep 7&lt;/date&gt;&lt;/pub-dates&gt;&lt;/dates&gt;&lt;isbn&gt;1469-493X (Electronic)&amp;#xD;1361-6137 (Linking)&lt;/isbn&gt;&lt;accession-num&gt;26343254&lt;/accession-num&gt;&lt;urls&gt;&lt;related-urls&gt;&lt;url&gt;https://www.ncbi.nlm.nih.gov/pubmed/26343254&lt;/url&gt;&lt;/related-urls&gt;&lt;/urls&gt;&lt;electronic-resource-num&gt;10.1002/14651858.CD004069.pub3&lt;/electronic-resource-num&gt;&lt;/record&gt;&lt;/Cite&gt;&lt;/EndNote&gt;</w:instrText>
      </w:r>
      <w:r>
        <w:fldChar w:fldCharType="separate"/>
      </w:r>
      <w:r w:rsidR="002747EA" w:rsidRPr="002747EA">
        <w:rPr>
          <w:noProof/>
          <w:vertAlign w:val="superscript"/>
        </w:rPr>
        <w:t>151</w:t>
      </w:r>
      <w:r>
        <w:fldChar w:fldCharType="end"/>
      </w:r>
      <w:r>
        <w:t xml:space="preserve"> found no clear difference in risk of s</w:t>
      </w:r>
      <w:r w:rsidRPr="00354B87">
        <w:t>tillbirth</w:t>
      </w:r>
      <w:r>
        <w:t xml:space="preserve"> (</w:t>
      </w:r>
      <w:r w:rsidRPr="00B03B97">
        <w:rPr>
          <w:sz w:val="16"/>
          <w:szCs w:val="16"/>
        </w:rPr>
        <w:t xml:space="preserve">RR 1.17; 95%CI 0.88 to 1.56, 9 RCTs, n=19,023; moderate </w:t>
      </w:r>
      <w:r w:rsidR="00836F2D">
        <w:rPr>
          <w:sz w:val="16"/>
          <w:szCs w:val="16"/>
        </w:rPr>
        <w:t>certainty</w:t>
      </w:r>
      <w:r>
        <w:t>), neonatal death (</w:t>
      </w:r>
      <w:r w:rsidRPr="00B03B97">
        <w:rPr>
          <w:sz w:val="16"/>
          <w:szCs w:val="16"/>
        </w:rPr>
        <w:t>RR 0.81, 95%CI 0.58 to 1.13, 9 RCTs, n=18,617</w:t>
      </w:r>
      <w:r>
        <w:t>), pre-eclampsia (</w:t>
      </w:r>
      <w:r w:rsidRPr="00B03B97">
        <w:rPr>
          <w:sz w:val="16"/>
          <w:szCs w:val="16"/>
        </w:rPr>
        <w:t xml:space="preserve">RR 0.91; 95% CI 0.79 to 1.06; 14 RCTs, n=20,878; moderate </w:t>
      </w:r>
      <w:r w:rsidR="00836F2D">
        <w:rPr>
          <w:sz w:val="16"/>
          <w:szCs w:val="16"/>
        </w:rPr>
        <w:t>certainty</w:t>
      </w:r>
      <w:r>
        <w:t>), preterm birth (</w:t>
      </w:r>
      <w:r w:rsidRPr="00B03B97">
        <w:rPr>
          <w:sz w:val="16"/>
          <w:szCs w:val="16"/>
        </w:rPr>
        <w:t xml:space="preserve">RR 0.98; 95% CI 0.88 to 1.09, 11 RCTs, n=20,565; high </w:t>
      </w:r>
      <w:r w:rsidR="00836F2D">
        <w:rPr>
          <w:sz w:val="16"/>
          <w:szCs w:val="16"/>
        </w:rPr>
        <w:t>certainty</w:t>
      </w:r>
      <w:r>
        <w:t>), i</w:t>
      </w:r>
      <w:r w:rsidRPr="00354B87">
        <w:t>ntrauter</w:t>
      </w:r>
      <w:r>
        <w:t>ine growth restriction (</w:t>
      </w:r>
      <w:r w:rsidRPr="00B03B97">
        <w:rPr>
          <w:sz w:val="16"/>
          <w:szCs w:val="16"/>
        </w:rPr>
        <w:t xml:space="preserve">RR 0.98, 95%CI 0.91 to 1.06, 11 RCTs, n=20,202; high </w:t>
      </w:r>
      <w:r w:rsidR="00836F2D">
        <w:rPr>
          <w:sz w:val="16"/>
          <w:szCs w:val="16"/>
        </w:rPr>
        <w:t>certainty</w:t>
      </w:r>
      <w:r>
        <w:t xml:space="preserve">), </w:t>
      </w:r>
      <w:r w:rsidR="00B03B97">
        <w:t>preterm prelabour rupture of the membranes (PROM) (</w:t>
      </w:r>
      <w:r w:rsidR="00B03B97" w:rsidRPr="00B03B97">
        <w:rPr>
          <w:sz w:val="16"/>
          <w:szCs w:val="16"/>
        </w:rPr>
        <w:t xml:space="preserve">RR 1.27; 95% CI 0.93 to 1.75, 5 RCTs, n=1,999; low </w:t>
      </w:r>
      <w:r w:rsidR="00836F2D">
        <w:rPr>
          <w:sz w:val="16"/>
          <w:szCs w:val="16"/>
        </w:rPr>
        <w:t>certainty</w:t>
      </w:r>
      <w:r w:rsidR="00B03B97">
        <w:t xml:space="preserve">) or </w:t>
      </w:r>
      <w:r>
        <w:t>self-reported abdominal pain (</w:t>
      </w:r>
      <w:r w:rsidRPr="00B03B97">
        <w:rPr>
          <w:sz w:val="16"/>
          <w:szCs w:val="16"/>
        </w:rPr>
        <w:t>RR 1.66; 95% CI 1.16 to 2.37, 1 RCT, n=1</w:t>
      </w:r>
      <w:r w:rsidR="00B03B97">
        <w:rPr>
          <w:sz w:val="16"/>
          <w:szCs w:val="16"/>
        </w:rPr>
        <w:t>,</w:t>
      </w:r>
      <w:r w:rsidRPr="00B03B97">
        <w:rPr>
          <w:sz w:val="16"/>
          <w:szCs w:val="16"/>
        </w:rPr>
        <w:t>877</w:t>
      </w:r>
      <w:r>
        <w:t>)</w:t>
      </w:r>
      <w:r w:rsidR="00B03B97">
        <w:t>. The risk of p</w:t>
      </w:r>
      <w:r w:rsidRPr="00354B87">
        <w:t>lace</w:t>
      </w:r>
      <w:r w:rsidR="00B03B97">
        <w:t>ntal abruption appeared to be reduced (</w:t>
      </w:r>
      <w:r w:rsidR="00B03B97" w:rsidRPr="00B03B97">
        <w:rPr>
          <w:sz w:val="16"/>
          <w:szCs w:val="16"/>
        </w:rPr>
        <w:t>RR 0.64;</w:t>
      </w:r>
      <w:r w:rsidRPr="00B03B97">
        <w:rPr>
          <w:sz w:val="16"/>
          <w:szCs w:val="16"/>
        </w:rPr>
        <w:t xml:space="preserve"> 95% CI 0.44 to 0.93, 7 </w:t>
      </w:r>
      <w:r w:rsidR="00B03B97" w:rsidRPr="00B03B97">
        <w:rPr>
          <w:sz w:val="16"/>
          <w:szCs w:val="16"/>
        </w:rPr>
        <w:t>RCTs</w:t>
      </w:r>
      <w:r w:rsidRPr="00B03B97">
        <w:rPr>
          <w:sz w:val="16"/>
          <w:szCs w:val="16"/>
        </w:rPr>
        <w:t xml:space="preserve">, n=14,922; high </w:t>
      </w:r>
      <w:r w:rsidR="00836F2D">
        <w:rPr>
          <w:sz w:val="16"/>
          <w:szCs w:val="16"/>
        </w:rPr>
        <w:t>certainty</w:t>
      </w:r>
      <w:r w:rsidR="00B03B97">
        <w:t>) and that of t</w:t>
      </w:r>
      <w:r w:rsidRPr="00354B87">
        <w:t xml:space="preserve">erm </w:t>
      </w:r>
      <w:r w:rsidR="00B03B97">
        <w:t>PROM increased</w:t>
      </w:r>
      <w:r>
        <w:t xml:space="preserve"> </w:t>
      </w:r>
      <w:r w:rsidR="00B03B97">
        <w:t>(</w:t>
      </w:r>
      <w:r w:rsidR="00B03B97" w:rsidRPr="00B03B97">
        <w:rPr>
          <w:sz w:val="16"/>
          <w:szCs w:val="16"/>
        </w:rPr>
        <w:t>RR 1.77;</w:t>
      </w:r>
      <w:r w:rsidRPr="00B03B97">
        <w:rPr>
          <w:sz w:val="16"/>
          <w:szCs w:val="16"/>
        </w:rPr>
        <w:t xml:space="preserve"> 95% CI 1.37 to 2.28, 2 </w:t>
      </w:r>
      <w:r w:rsidR="00B03B97" w:rsidRPr="00B03B97">
        <w:rPr>
          <w:sz w:val="16"/>
          <w:szCs w:val="16"/>
        </w:rPr>
        <w:t>RCTs</w:t>
      </w:r>
      <w:r w:rsidRPr="00B03B97">
        <w:rPr>
          <w:sz w:val="16"/>
          <w:szCs w:val="16"/>
        </w:rPr>
        <w:t>, n=2,</w:t>
      </w:r>
      <w:r w:rsidR="00B03B97" w:rsidRPr="00B03B97">
        <w:rPr>
          <w:sz w:val="16"/>
          <w:szCs w:val="16"/>
        </w:rPr>
        <w:t>504</w:t>
      </w:r>
      <w:r w:rsidR="00B03B97">
        <w:t>).</w:t>
      </w:r>
    </w:p>
    <w:p w14:paraId="6EB80B03" w14:textId="4DDD371E" w:rsidR="003E753D" w:rsidRDefault="00E71EE9" w:rsidP="006C1B93">
      <w:r>
        <w:t>The other systematic reviews found no clear difference in risk of pre-eclamps</w:t>
      </w:r>
      <w:r w:rsidR="006C1B93">
        <w:t>ia (</w:t>
      </w:r>
      <w:r w:rsidR="006C1B93" w:rsidRPr="00494876">
        <w:rPr>
          <w:sz w:val="16"/>
          <w:szCs w:val="16"/>
        </w:rPr>
        <w:t>RR 0.99; 95%CI 0.90 to 1.08</w:t>
      </w:r>
      <w:r w:rsidR="006C1B93">
        <w:t>;</w:t>
      </w:r>
      <w:r>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fldChar w:fldCharType="separate"/>
      </w:r>
      <w:r w:rsidR="002747EA" w:rsidRPr="002747EA">
        <w:rPr>
          <w:noProof/>
          <w:vertAlign w:val="superscript"/>
        </w:rPr>
        <w:t>147</w:t>
      </w:r>
      <w:r>
        <w:fldChar w:fldCharType="end"/>
      </w:r>
      <w:r w:rsidR="006C1B93">
        <w:t xml:space="preserve"> </w:t>
      </w:r>
      <w:r w:rsidR="006C1B93" w:rsidRPr="00494876">
        <w:rPr>
          <w:sz w:val="16"/>
          <w:szCs w:val="16"/>
        </w:rPr>
        <w:t>RR 1.00; 95%CI 0.91 to 1.10</w:t>
      </w:r>
      <w:r w:rsidR="006C1B93">
        <w:t>)</w:t>
      </w:r>
      <w:r w:rsidR="006C1B93">
        <w:fldChar w:fldCharType="begin">
          <w:fldData xml:space="preserve">PEVuZE5vdGU+PENpdGU+PEF1dGhvcj5UZW5vcmlvPC9BdXRob3I+PFllYXI+MjAxODwvWWVhcj48
UmVjTnVtPjEyODQ8L1JlY051bT48RGlzcGxheVRleHQ+PHN0eWxlIGZhY2U9InN1cGVyc2NyaXB0
IiBmb250PSJUcmVidWNoZXQgTVMiIHNpemU9IjkiPjE1Mjwvc3R5bGU+PC9EaXNwbGF5VGV4dD48
cmVjb3JkPjxyZWMtbnVtYmVyPjEyODQ8L3JlYy1udW1iZXI+PGZvcmVpZ24ta2V5cz48a2V5IGFw
cD0iRU4iIGRiLWlkPSJleHZhc3JmeDJkdHJhb2VzYXN4cDJzenN4YTJkZjUwMjU5MngiIHRpbWVz
dGFtcD0iMTU2MzMyMjA5MyI+MTI4NDwva2V5PjxrZXkgYXBwPSJFTldlYiIgZGItaWQ9IiI+MDwv
a2V5PjwvZm9yZWlnbi1rZXlzPjxyZWYtdHlwZSBuYW1lPSJKb3VybmFsIEFydGljbGUiPjE3PC9y
ZWYtdHlwZT48Y29udHJpYnV0b3JzPjxhdXRob3JzPjxhdXRob3I+VGVub3JpbywgTS4gQi48L2F1
dGhvcj48YXV0aG9yPkZlcnJlaXJhLCBSLiBDLjwvYXV0aG9yPjxhdXRob3I+TW91cmEsIEYuIEEu
PC9hdXRob3I+PGF1dGhvcj5CdWVubywgTi4gQi48L2F1dGhvcj48YXV0aG9yPkdvdWxhcnQsIE0u
IE8uIEYuPC9hdXRob3I+PGF1dGhvcj5PbGl2ZWlyYSwgQS4gQy4gTS48L2F1dGhvcj48L2F1dGhv
cnM+PC9jb250cmlidXRvcnM+PGF1dGgtYWRkcmVzcz5GYWN1bGRhZGUgZGUgTnV0cmljYW8sIFVu
aXZlcnNpZGFkZSBGZWRlcmFsIGRlIEFsYWdvYXMsIENhbXB1cyBBLiBDLiBTaW1vZXMsIEJSIDEw
NCBOb3J0ZSwgS20gOTYsNywgVGFidWxlaXJvIGRvcyBNYXJ0aW5zLCBDRVAgNTcuMDcyLTk3MCwg
TWFjZWlvLCBBbGFnb2FzLCBCcmF6aWwuJiN4RDtJbnN0aXR1dG8gZGUgUXVpbWljYSBlIEJpb3Rl
Y25vbG9naWEgKElRQi9VRkFMKSwgUmVkZSBOb3JkZXN0ZSBkZSBCaW90ZWNub2xvZ2lhIChSRU5P
UkJJTyksIFVuaXZlcnNpZGFkZSBGZWRlcmFsIGRlIEFsYWdvYXMsIENhbXB1cyBBLiBDLiBTaW1v
ZXMsIEJSIDEwNCBOb3J0ZSwgS20gOTYsNywgVGFidWxlaXJvIGRvcyBNYXJ0aW5zLCBDRVAgNTcu
MDcyLTk3MCwgTWFjZWlvLCBBbGFnb2FzLCBCcmF6aWwuJiN4RDtGYWN1bGRhZGUgZGUgTnV0cmlj
YW8sIFVuaXZlcnNpZGFkZSBGZWRlcmFsIGRlIEFsYWdvYXMsIENhbXB1cyBBLiBDLiBTaW1vZXMs
IEJSIDEwNCBOb3J0ZSwgS20gOTYsNywgVGFidWxlaXJvIGRvcyBNYXJ0aW5zLCBDRVAgNTcuMDcy
LTk3MCwgTWFjZWlvLCBBbGFnb2FzLCBCcmF6aWwuIEVsZWN0cm9uaWMgYWRkcmVzczogYWxhbmVj
YWJyYWxAZ21haWwuY29tLjwvYXV0aC1hZGRyZXNzPjx0aXRsZXM+PHRpdGxlPk9yYWwgYW50aW94
aWRhbnQgdGhlcmFweSBmb3IgcHJldmVudGlvbiBhbmQgdHJlYXRtZW50IG9mIHByZWVjbGFtcHNp
YTogTWV0YS1hbmFseXNpcyBvZiByYW5kb21pemVkIGNvbnRyb2xsZWQgdHJpYWxzPC90aXRsZT48
c2Vjb25kYXJ5LXRpdGxlPk51dHIgTWV0YWIgQ2FyZGlvdmFzYyBEaXM8L3NlY29uZGFyeS10aXRs
ZT48L3RpdGxlcz48cGVyaW9kaWNhbD48ZnVsbC10aXRsZT5OdXRyIE1ldGFiIENhcmRpb3Zhc2Mg
RGlzPC9mdWxsLXRpdGxlPjwvcGVyaW9kaWNhbD48cGFnZXM+ODY1LTg3NjwvcGFnZXM+PHZvbHVt
ZT4yODwvdm9sdW1lPjxudW1iZXI+OTwvbnVtYmVyPjxlZGl0aW9uPjIwMTgvMDgvMTc8L2VkaXRp
b24+PGtleXdvcmRzPjxrZXl3b3JkPkFkbWluaXN0cmF0aW9uLCBPcmFsPC9rZXl3b3JkPjxrZXl3
b3JkPkFkb2xlc2NlbnQ8L2tleXdvcmQ+PGtleXdvcmQ+QWR1bHQ8L2tleXdvcmQ+PGtleXdvcmQ+
QW50aWh5cGVydGVuc2l2ZSBBZ2VudHMvKmFkbWluaXN0cmF0aW9uICZhbXA7IGRvc2FnZS9hZHZl
cnNlIGVmZmVjdHM8L2tleXdvcmQ+PGtleXdvcmQ+QW50aW94aWRhbnRzLyphZG1pbmlzdHJhdGlv
biAmYW1wOyBkb3NhZ2UvYWR2ZXJzZSBlZmZlY3RzPC9rZXl3b3JkPjxrZXl3b3JkPkJsb29kIFBy
ZXNzdXJlLypkcnVnIGVmZmVjdHM8L2tleXdvcmQ+PGtleXdvcmQ+RXZpZGVuY2UtQmFzZWQgTWVk
aWNpbmU8L2tleXdvcmQ+PGtleXdvcmQ+RmVtYWxlPC9rZXl3b3JkPjxrZXl3b3JkPkZldGFsIEdy
b3d0aCBSZXRhcmRhdGlvbi9wcmV2ZW50aW9uICZhbXA7IGNvbnRyb2w8L2tleXdvcmQ+PGtleXdv
cmQ+SHVtYW5zPC9rZXl3b3JkPjxrZXl3b3JkPkluY2lkZW5jZTwva2V5d29yZD48a2V5d29yZD5Q
cmUtRWNsYW1wc2lhLypkcnVnIHRoZXJhcHkvbW9ydGFsaXR5L3BoeXNpb3BhdGhvbG9neS8qcHJl
dmVudGlvbiAmYW1wOyBjb250cm9sPC9rZXl3b3JkPjxrZXl3b3JkPlByZWduYW5jeTwva2V5d29y
ZD48a2V5d29yZD5SYW5kb21pemVkIENvbnRyb2xsZWQgVHJpYWxzIGFzIFRvcGljPC9rZXl3b3Jk
PjxrZXl3b3JkPlJpc2sgRmFjdG9yczwva2V5d29yZD48a2V5d29yZD5UcmVhdG1lbnQgT3V0Y29t
ZTwva2V5d29yZD48a2V5d29yZD5Zb3VuZyBBZHVsdDwva2V5d29yZD48a2V5d29yZD4qQW50aW94
aWRhbnQ8L2tleXdvcmQ+PGtleXdvcmQ+Kk9yYWwgYWRtaW5pc3RyYXRpb248L2tleXdvcmQ+PGtl
eXdvcmQ+KlByZWVjbGFtcHNpYTwva2V5d29yZD48a2V5d29yZD4qUHJlZ25hbnQgd29tZW48L2tl
eXdvcmQ+PC9rZXl3b3Jkcz48ZGF0ZXM+PHllYXI+MjAxODwveWVhcj48cHViLWRhdGVzPjxkYXRl
PlNlcDwvZGF0ZT48L3B1Yi1kYXRlcz48L2RhdGVzPjxpc2JuPjE1OTAtMzcyOSAoRWxlY3Ryb25p
YykmI3hEOzA5MzktNDc1MyAoTGlua2luZyk8L2lzYm4+PGFjY2Vzc2lvbi1udW0+MzAxMTE0OTM8
L2FjY2Vzc2lvbi1udW0+PHVybHM+PHJlbGF0ZWQtdXJscz48dXJsPmh0dHBzOi8vd3d3Lm5jYmku
bmxtLm5paC5nb3YvcHVibWVkLzMwMTExNDkzPC91cmw+PC9yZWxhdGVkLXVybHM+PC91cmxzPjxl
bGVjdHJvbmljLXJlc291cmNlLW51bT4xMC4xMDE2L2oubnVtZWNkLjIwMTguMDYuMDAyPC9lbGVj
dHJvbmljLXJlc291cmNlLW51bT48L3JlY29yZD48L0NpdGU+PC9FbmROb3RlPgB=
</w:fldData>
        </w:fldChar>
      </w:r>
      <w:r w:rsidR="002747EA">
        <w:instrText xml:space="preserve"> ADDIN EN.CITE </w:instrText>
      </w:r>
      <w:r w:rsidR="002747EA">
        <w:fldChar w:fldCharType="begin">
          <w:fldData xml:space="preserve">PEVuZE5vdGU+PENpdGU+PEF1dGhvcj5UZW5vcmlvPC9BdXRob3I+PFllYXI+MjAxODwvWWVhcj48
UmVjTnVtPjEyODQ8L1JlY051bT48RGlzcGxheVRleHQ+PHN0eWxlIGZhY2U9InN1cGVyc2NyaXB0
IiBmb250PSJUcmVidWNoZXQgTVMiIHNpemU9IjkiPjE1Mjwvc3R5bGU+PC9EaXNwbGF5VGV4dD48
cmVjb3JkPjxyZWMtbnVtYmVyPjEyODQ8L3JlYy1udW1iZXI+PGZvcmVpZ24ta2V5cz48a2V5IGFw
cD0iRU4iIGRiLWlkPSJleHZhc3JmeDJkdHJhb2VzYXN4cDJzenN4YTJkZjUwMjU5MngiIHRpbWVz
dGFtcD0iMTU2MzMyMjA5MyI+MTI4NDwva2V5PjxrZXkgYXBwPSJFTldlYiIgZGItaWQ9IiI+MDwv
a2V5PjwvZm9yZWlnbi1rZXlzPjxyZWYtdHlwZSBuYW1lPSJKb3VybmFsIEFydGljbGUiPjE3PC9y
ZWYtdHlwZT48Y29udHJpYnV0b3JzPjxhdXRob3JzPjxhdXRob3I+VGVub3JpbywgTS4gQi48L2F1
dGhvcj48YXV0aG9yPkZlcnJlaXJhLCBSLiBDLjwvYXV0aG9yPjxhdXRob3I+TW91cmEsIEYuIEEu
PC9hdXRob3I+PGF1dGhvcj5CdWVubywgTi4gQi48L2F1dGhvcj48YXV0aG9yPkdvdWxhcnQsIE0u
IE8uIEYuPC9hdXRob3I+PGF1dGhvcj5PbGl2ZWlyYSwgQS4gQy4gTS48L2F1dGhvcj48L2F1dGhv
cnM+PC9jb250cmlidXRvcnM+PGF1dGgtYWRkcmVzcz5GYWN1bGRhZGUgZGUgTnV0cmljYW8sIFVu
aXZlcnNpZGFkZSBGZWRlcmFsIGRlIEFsYWdvYXMsIENhbXB1cyBBLiBDLiBTaW1vZXMsIEJSIDEw
NCBOb3J0ZSwgS20gOTYsNywgVGFidWxlaXJvIGRvcyBNYXJ0aW5zLCBDRVAgNTcuMDcyLTk3MCwg
TWFjZWlvLCBBbGFnb2FzLCBCcmF6aWwuJiN4RDtJbnN0aXR1dG8gZGUgUXVpbWljYSBlIEJpb3Rl
Y25vbG9naWEgKElRQi9VRkFMKSwgUmVkZSBOb3JkZXN0ZSBkZSBCaW90ZWNub2xvZ2lhIChSRU5P
UkJJTyksIFVuaXZlcnNpZGFkZSBGZWRlcmFsIGRlIEFsYWdvYXMsIENhbXB1cyBBLiBDLiBTaW1v
ZXMsIEJSIDEwNCBOb3J0ZSwgS20gOTYsNywgVGFidWxlaXJvIGRvcyBNYXJ0aW5zLCBDRVAgNTcu
MDcyLTk3MCwgTWFjZWlvLCBBbGFnb2FzLCBCcmF6aWwuJiN4RDtGYWN1bGRhZGUgZGUgTnV0cmlj
YW8sIFVuaXZlcnNpZGFkZSBGZWRlcmFsIGRlIEFsYWdvYXMsIENhbXB1cyBBLiBDLiBTaW1vZXMs
IEJSIDEwNCBOb3J0ZSwgS20gOTYsNywgVGFidWxlaXJvIGRvcyBNYXJ0aW5zLCBDRVAgNTcuMDcy
LTk3MCwgTWFjZWlvLCBBbGFnb2FzLCBCcmF6aWwuIEVsZWN0cm9uaWMgYWRkcmVzczogYWxhbmVj
YWJyYWxAZ21haWwuY29tLjwvYXV0aC1hZGRyZXNzPjx0aXRsZXM+PHRpdGxlPk9yYWwgYW50aW94
aWRhbnQgdGhlcmFweSBmb3IgcHJldmVudGlvbiBhbmQgdHJlYXRtZW50IG9mIHByZWVjbGFtcHNp
YTogTWV0YS1hbmFseXNpcyBvZiByYW5kb21pemVkIGNvbnRyb2xsZWQgdHJpYWxzPC90aXRsZT48
c2Vjb25kYXJ5LXRpdGxlPk51dHIgTWV0YWIgQ2FyZGlvdmFzYyBEaXM8L3NlY29uZGFyeS10aXRs
ZT48L3RpdGxlcz48cGVyaW9kaWNhbD48ZnVsbC10aXRsZT5OdXRyIE1ldGFiIENhcmRpb3Zhc2Mg
RGlzPC9mdWxsLXRpdGxlPjwvcGVyaW9kaWNhbD48cGFnZXM+ODY1LTg3NjwvcGFnZXM+PHZvbHVt
ZT4yODwvdm9sdW1lPjxudW1iZXI+OTwvbnVtYmVyPjxlZGl0aW9uPjIwMTgvMDgvMTc8L2VkaXRp
b24+PGtleXdvcmRzPjxrZXl3b3JkPkFkbWluaXN0cmF0aW9uLCBPcmFsPC9rZXl3b3JkPjxrZXl3
b3JkPkFkb2xlc2NlbnQ8L2tleXdvcmQ+PGtleXdvcmQ+QWR1bHQ8L2tleXdvcmQ+PGtleXdvcmQ+
QW50aWh5cGVydGVuc2l2ZSBBZ2VudHMvKmFkbWluaXN0cmF0aW9uICZhbXA7IGRvc2FnZS9hZHZl
cnNlIGVmZmVjdHM8L2tleXdvcmQ+PGtleXdvcmQ+QW50aW94aWRhbnRzLyphZG1pbmlzdHJhdGlv
biAmYW1wOyBkb3NhZ2UvYWR2ZXJzZSBlZmZlY3RzPC9rZXl3b3JkPjxrZXl3b3JkPkJsb29kIFBy
ZXNzdXJlLypkcnVnIGVmZmVjdHM8L2tleXdvcmQ+PGtleXdvcmQ+RXZpZGVuY2UtQmFzZWQgTWVk
aWNpbmU8L2tleXdvcmQ+PGtleXdvcmQ+RmVtYWxlPC9rZXl3b3JkPjxrZXl3b3JkPkZldGFsIEdy
b3d0aCBSZXRhcmRhdGlvbi9wcmV2ZW50aW9uICZhbXA7IGNvbnRyb2w8L2tleXdvcmQ+PGtleXdv
cmQ+SHVtYW5zPC9rZXl3b3JkPjxrZXl3b3JkPkluY2lkZW5jZTwva2V5d29yZD48a2V5d29yZD5Q
cmUtRWNsYW1wc2lhLypkcnVnIHRoZXJhcHkvbW9ydGFsaXR5L3BoeXNpb3BhdGhvbG9neS8qcHJl
dmVudGlvbiAmYW1wOyBjb250cm9sPC9rZXl3b3JkPjxrZXl3b3JkPlByZWduYW5jeTwva2V5d29y
ZD48a2V5d29yZD5SYW5kb21pemVkIENvbnRyb2xsZWQgVHJpYWxzIGFzIFRvcGljPC9rZXl3b3Jk
PjxrZXl3b3JkPlJpc2sgRmFjdG9yczwva2V5d29yZD48a2V5d29yZD5UcmVhdG1lbnQgT3V0Y29t
ZTwva2V5d29yZD48a2V5d29yZD5Zb3VuZyBBZHVsdDwva2V5d29yZD48a2V5d29yZD4qQW50aW94
aWRhbnQ8L2tleXdvcmQ+PGtleXdvcmQ+Kk9yYWwgYWRtaW5pc3RyYXRpb248L2tleXdvcmQ+PGtl
eXdvcmQ+KlByZWVjbGFtcHNpYTwva2V5d29yZD48a2V5d29yZD4qUHJlZ25hbnQgd29tZW48L2tl
eXdvcmQ+PC9rZXl3b3Jkcz48ZGF0ZXM+PHllYXI+MjAxODwveWVhcj48cHViLWRhdGVzPjxkYXRl
PlNlcDwvZGF0ZT48L3B1Yi1kYXRlcz48L2RhdGVzPjxpc2JuPjE1OTAtMzcyOSAoRWxlY3Ryb25p
YykmI3hEOzA5MzktNDc1MyAoTGlua2luZyk8L2lzYm4+PGFjY2Vzc2lvbi1udW0+MzAxMTE0OTM8
L2FjY2Vzc2lvbi1udW0+PHVybHM+PHJlbGF0ZWQtdXJscz48dXJsPmh0dHBzOi8vd3d3Lm5jYmku
bmxtLm5paC5nb3YvcHVibWVkLzMwMTExNDkzPC91cmw+PC9yZWxhdGVkLXVybHM+PC91cmxzPjxl
bGVjdHJvbmljLXJlc291cmNlLW51bT4xMC4xMDE2L2oubnVtZWNkLjIwMTguMDYuMDAyPC9lbGVj
dHJvbmljLXJlc291cmNlLW51bT48L3JlY29yZD48L0NpdGU+PC9FbmROb3RlPgB=
</w:fldData>
        </w:fldChar>
      </w:r>
      <w:r w:rsidR="002747EA">
        <w:instrText xml:space="preserve"> ADDIN EN.CITE.DATA </w:instrText>
      </w:r>
      <w:r w:rsidR="002747EA">
        <w:fldChar w:fldCharType="end"/>
      </w:r>
      <w:r w:rsidR="006C1B93">
        <w:fldChar w:fldCharType="separate"/>
      </w:r>
      <w:r w:rsidR="002747EA" w:rsidRPr="002747EA">
        <w:rPr>
          <w:noProof/>
          <w:vertAlign w:val="superscript"/>
        </w:rPr>
        <w:t>152</w:t>
      </w:r>
      <w:r w:rsidR="006C1B93">
        <w:fldChar w:fldCharType="end"/>
      </w:r>
      <w:r w:rsidR="006C1B93">
        <w:t xml:space="preserve"> or childhood allergic diseases</w:t>
      </w:r>
      <w:r w:rsidR="006C1B93">
        <w:fldChar w:fldCharType="begin"/>
      </w:r>
      <w:r w:rsidR="002747EA">
        <w:instrText xml:space="preserve"> ADDIN EN.CITE &lt;EndNote&gt;&lt;Cite&gt;&lt;Author&gt;Vahdaninia M.&lt;/Author&gt;&lt;Year&gt;2017&lt;/Year&gt;&lt;RecNum&gt;1289&lt;/RecNum&gt;&lt;DisplayText&gt;&lt;style face="superscript" font="Trebuchet MS" size="9"&gt;153&lt;/style&gt;&lt;/DisplayText&gt;&lt;record&gt;&lt;rec-number&gt;1289&lt;/rec-number&gt;&lt;foreign-keys&gt;&lt;key app="EN" db-id="exvasrfx2dtraoesasxp2szsxa2df502592x" timestamp="1563324040"&gt;1289&lt;/key&gt;&lt;/foreign-keys&gt;&lt;ref-type name="Journal Article"&gt;17&lt;/ref-type&gt;&lt;contributors&gt;&lt;authors&gt;&lt;author&gt;Vahdaninia M.,&lt;/author&gt;&lt;author&gt;Mackenzie H.,&lt;/author&gt;&lt;author&gt;Helps S.,&lt;/author&gt;&lt;author&gt;Dean T.,&lt;/author&gt;&lt;/authors&gt;&lt;/contributors&gt;&lt;titles&gt;&lt;title&gt;Prenatal intake of vitamins and allergic outcomes in the offspring: a systematic review and meta-analysis&lt;/title&gt;&lt;secondary-title&gt;J Allergy Clin Immunol Pract&lt;/secondary-title&gt;&lt;/titles&gt;&lt;periodical&gt;&lt;full-title&gt;J Allergy Clin Immunol Pract&lt;/full-title&gt;&lt;/periodical&gt;&lt;pages&gt;771-78&lt;/pages&gt;&lt;volume&gt;5&lt;/volume&gt;&lt;number&gt;3&lt;/number&gt;&lt;dates&gt;&lt;year&gt;2017&lt;/year&gt;&lt;/dates&gt;&lt;urls&gt;&lt;/urls&gt;&lt;/record&gt;&lt;/Cite&gt;&lt;/EndNote&gt;</w:instrText>
      </w:r>
      <w:r w:rsidR="006C1B93">
        <w:fldChar w:fldCharType="separate"/>
      </w:r>
      <w:r w:rsidR="002747EA" w:rsidRPr="002747EA">
        <w:rPr>
          <w:noProof/>
          <w:vertAlign w:val="superscript"/>
        </w:rPr>
        <w:t>153</w:t>
      </w:r>
      <w:r w:rsidR="006C1B93">
        <w:fldChar w:fldCharType="end"/>
      </w:r>
      <w:r w:rsidR="006C1B93">
        <w:t xml:space="preserve"> — recurrent wheeze (</w:t>
      </w:r>
      <w:r w:rsidR="006C1B93" w:rsidRPr="00494876">
        <w:rPr>
          <w:sz w:val="16"/>
          <w:szCs w:val="16"/>
        </w:rPr>
        <w:t>OR 0.83; 95%CI 0.26 to 2.59</w:t>
      </w:r>
      <w:r w:rsidR="006C1B93">
        <w:t>), asthma (</w:t>
      </w:r>
      <w:r w:rsidR="006C1B93" w:rsidRPr="00494876">
        <w:rPr>
          <w:sz w:val="16"/>
          <w:szCs w:val="16"/>
        </w:rPr>
        <w:t>OR 0.94; 95%CI 0.42 to 2.11</w:t>
      </w:r>
      <w:r w:rsidR="006C1B93">
        <w:t>) or eczema (</w:t>
      </w:r>
      <w:r w:rsidR="006C1B93" w:rsidRPr="00494876">
        <w:rPr>
          <w:sz w:val="16"/>
          <w:szCs w:val="16"/>
        </w:rPr>
        <w:t>OR 1.10; 95%CI 0.70 to 1.74</w:t>
      </w:r>
      <w:r w:rsidR="006C1B93">
        <w:t>).</w:t>
      </w:r>
    </w:p>
    <w:p w14:paraId="4C707B45" w14:textId="4807377B" w:rsidR="006C1B93" w:rsidRPr="00F86EFC" w:rsidRDefault="006C1B93" w:rsidP="006C1B93">
      <w:r>
        <w:t xml:space="preserve">The RCT found </w:t>
      </w:r>
      <w:r w:rsidR="00494876">
        <w:t>a possible reduced risk of placental abruption (</w:t>
      </w:r>
      <w:r w:rsidR="00494876" w:rsidRPr="00494876">
        <w:rPr>
          <w:sz w:val="16"/>
          <w:szCs w:val="16"/>
        </w:rPr>
        <w:t>RR 0.09; 95%CI 0.00 to 0.87</w:t>
      </w:r>
      <w:r w:rsidR="00494876">
        <w:t>) and preterm birth (</w:t>
      </w:r>
      <w:r w:rsidR="00494876" w:rsidRPr="00494876">
        <w:rPr>
          <w:sz w:val="16"/>
          <w:szCs w:val="16"/>
        </w:rPr>
        <w:t>RR 0.76; 95%CI 0.58 to 0.99</w:t>
      </w:r>
      <w:r w:rsidR="00494876">
        <w:t>) among women who smoked during pregnancy.</w:t>
      </w:r>
    </w:p>
    <w:p w14:paraId="6C213EB3" w14:textId="7FF4D894" w:rsidR="00F0403A" w:rsidRDefault="00F0403A" w:rsidP="00F0403A">
      <w:pPr>
        <w:pStyle w:val="Heading4"/>
      </w:pPr>
      <w:r>
        <w:t>Vitamin A</w:t>
      </w:r>
    </w:p>
    <w:p w14:paraId="526F4CF1" w14:textId="77777777" w:rsidR="00F0403A" w:rsidRDefault="00F0403A" w:rsidP="00F0403A">
      <w:pPr>
        <w:pStyle w:val="Heading5"/>
      </w:pPr>
      <w:r>
        <w:t>Background</w:t>
      </w:r>
    </w:p>
    <w:p w14:paraId="7CB38902" w14:textId="55BFA77F" w:rsidR="00A26235" w:rsidRPr="00A26235" w:rsidRDefault="00A26235" w:rsidP="00A26235">
      <w:r w:rsidRPr="00A26235">
        <w:t xml:space="preserve">Vitamin A is a crucial micronutrient for pregnant women and their </w:t>
      </w:r>
      <w:r>
        <w:t>babies as it is</w:t>
      </w:r>
      <w:r w:rsidRPr="00A26235">
        <w:t xml:space="preserve"> essential for morphological and functional development and ocular integrity</w:t>
      </w:r>
      <w:r>
        <w:t xml:space="preserve"> and</w:t>
      </w:r>
      <w:r w:rsidRPr="00A26235">
        <w:t xml:space="preserve"> exerts systemic effects on several fetal organs and on the fetal skeleton.</w:t>
      </w:r>
      <w:r w:rsidR="00AF2606">
        <w:fldChar w:fldCharType="begin"/>
      </w:r>
      <w:r w:rsidR="002747EA">
        <w:instrText xml:space="preserve"> ADDIN EN.CITE &lt;EndNote&gt;&lt;Cite&gt;&lt;Author&gt;Bastos Maia&lt;/Author&gt;&lt;Year&gt;2019&lt;/Year&gt;&lt;RecNum&gt;1302&lt;/RecNum&gt;&lt;DisplayText&gt;&lt;style face="superscript" font="Trebuchet MS" size="9"&gt;154&lt;/style&gt;&lt;/DisplayText&gt;&lt;record&gt;&lt;rec-number&gt;1302&lt;/rec-number&gt;&lt;foreign-keys&gt;&lt;key app="EN" db-id="exvasrfx2dtraoesasxp2szsxa2df502592x" timestamp="1565316367"&gt;1302&lt;/key&gt;&lt;key app="ENWeb" db-id=""&gt;0&lt;/key&gt;&lt;/foreign-keys&gt;&lt;ref-type name="Journal Article"&gt;17&lt;/ref-type&gt;&lt;contributors&gt;&lt;authors&gt;&lt;author&gt;Bastos Maia, Sabina&lt;/author&gt;&lt;author&gt;Rolland Souza, Alex&lt;/author&gt;&lt;author&gt;Costa Caminha, Maria&lt;/author&gt;&lt;author&gt;Lins da Silva, Suzana&lt;/author&gt;&lt;author&gt;Callou Cruz, Rachel&lt;/author&gt;&lt;author&gt;Carvalho dos Santos, Camila&lt;/author&gt;&lt;author&gt;Batista Filho, Malaquias&lt;/author&gt;&lt;/authors&gt;&lt;/contributors&gt;&lt;titles&gt;&lt;title&gt;Vitamin A and Pregnancy: A Narrative Review&lt;/title&gt;&lt;secondary-title&gt;Nutrients&lt;/secondary-title&gt;&lt;/titles&gt;&lt;periodical&gt;&lt;full-title&gt;Nutrients&lt;/full-title&gt;&lt;/periodical&gt;&lt;volume&gt;11&lt;/volume&gt;&lt;number&gt;3&lt;/number&gt;&lt;section&gt;681&lt;/section&gt;&lt;dates&gt;&lt;year&gt;2019&lt;/year&gt;&lt;/dates&gt;&lt;isbn&gt;2072-6643&lt;/isbn&gt;&lt;urls&gt;&lt;/urls&gt;&lt;electronic-resource-num&gt;10.3390/nu11030681&lt;/electronic-resource-num&gt;&lt;/record&gt;&lt;/Cite&gt;&lt;/EndNote&gt;</w:instrText>
      </w:r>
      <w:r w:rsidR="00AF2606">
        <w:fldChar w:fldCharType="separate"/>
      </w:r>
      <w:r w:rsidR="002747EA" w:rsidRPr="002747EA">
        <w:rPr>
          <w:noProof/>
          <w:vertAlign w:val="superscript"/>
        </w:rPr>
        <w:t>154</w:t>
      </w:r>
      <w:r w:rsidR="00AF2606">
        <w:fldChar w:fldCharType="end"/>
      </w:r>
      <w:r w:rsidRPr="00A26235">
        <w:t xml:space="preserve"> </w:t>
      </w:r>
      <w:r>
        <w:t>While vitamin A deficiency</w:t>
      </w:r>
      <w:r w:rsidRPr="00A26235">
        <w:t xml:space="preserve"> in pregnant women is a public health issue in most</w:t>
      </w:r>
      <w:r>
        <w:t xml:space="preserve"> </w:t>
      </w:r>
      <w:r w:rsidRPr="00A26235">
        <w:t>developing countries</w:t>
      </w:r>
      <w:r>
        <w:t>, an excess</w:t>
      </w:r>
      <w:r w:rsidRPr="00A26235">
        <w:t xml:space="preserve"> </w:t>
      </w:r>
      <w:r>
        <w:t>of vitamin A</w:t>
      </w:r>
      <w:r w:rsidRPr="00A26235">
        <w:t xml:space="preserve"> may exert teratogenic effects in the first 60 days following conception.</w:t>
      </w:r>
      <w:r w:rsidR="00323D62">
        <w:fldChar w:fldCharType="begin"/>
      </w:r>
      <w:r w:rsidR="002747EA">
        <w:instrText xml:space="preserve"> ADDIN EN.CITE &lt;EndNote&gt;&lt;Cite&gt;&lt;Author&gt;Bastos Maia&lt;/Author&gt;&lt;Year&gt;2019&lt;/Year&gt;&lt;RecNum&gt;1302&lt;/RecNum&gt;&lt;DisplayText&gt;&lt;style face="superscript" font="Trebuchet MS" size="9"&gt;154&lt;/style&gt;&lt;/DisplayText&gt;&lt;record&gt;&lt;rec-number&gt;1302&lt;/rec-number&gt;&lt;foreign-keys&gt;&lt;key app="EN" db-id="exvasrfx2dtraoesasxp2szsxa2df502592x" timestamp="1565316367"&gt;1302&lt;/key&gt;&lt;key app="ENWeb" db-id=""&gt;0&lt;/key&gt;&lt;/foreign-keys&gt;&lt;ref-type name="Journal Article"&gt;17&lt;/ref-type&gt;&lt;contributors&gt;&lt;authors&gt;&lt;author&gt;Bastos Maia, Sabina&lt;/author&gt;&lt;author&gt;Rolland Souza, Alex&lt;/author&gt;&lt;author&gt;Costa Caminha, Maria&lt;/author&gt;&lt;author&gt;Lins da Silva, Suzana&lt;/author&gt;&lt;author&gt;Callou Cruz, Rachel&lt;/author&gt;&lt;author&gt;Carvalho dos Santos, Camila&lt;/author&gt;&lt;author&gt;Batista Filho, Malaquias&lt;/author&gt;&lt;/authors&gt;&lt;/contributors&gt;&lt;titles&gt;&lt;title&gt;Vitamin A and Pregnancy: A Narrative Review&lt;/title&gt;&lt;secondary-title&gt;Nutrients&lt;/secondary-title&gt;&lt;/titles&gt;&lt;periodical&gt;&lt;full-title&gt;Nutrients&lt;/full-title&gt;&lt;/periodical&gt;&lt;volume&gt;11&lt;/volume&gt;&lt;number&gt;3&lt;/number&gt;&lt;section&gt;681&lt;/section&gt;&lt;dates&gt;&lt;year&gt;2019&lt;/year&gt;&lt;/dates&gt;&lt;isbn&gt;2072-6643&lt;/isbn&gt;&lt;urls&gt;&lt;/urls&gt;&lt;electronic-resource-num&gt;10.3390/nu11030681&lt;/electronic-resource-num&gt;&lt;/record&gt;&lt;/Cite&gt;&lt;/EndNote&gt;</w:instrText>
      </w:r>
      <w:r w:rsidR="00323D62">
        <w:fldChar w:fldCharType="separate"/>
      </w:r>
      <w:r w:rsidR="002747EA" w:rsidRPr="002747EA">
        <w:rPr>
          <w:noProof/>
          <w:vertAlign w:val="superscript"/>
        </w:rPr>
        <w:t>154</w:t>
      </w:r>
      <w:r w:rsidR="00323D62">
        <w:fldChar w:fldCharType="end"/>
      </w:r>
      <w:r w:rsidR="00323D62">
        <w:t xml:space="preserve"> A survey of pregnant women conducted in Sydney found that 2.3% were taking vitamin A supplements.</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12E79365" w14:textId="136B20B0" w:rsidR="00F0403A" w:rsidRPr="000F1769" w:rsidRDefault="00F0403A" w:rsidP="00F0403A">
      <w:r>
        <w:t>The Guidelines currently recommend that women be advised that taking vitamin A supplements is not of benefit in pregnancy and may cause harm.</w:t>
      </w:r>
    </w:p>
    <w:p w14:paraId="590E3500" w14:textId="77777777" w:rsidR="00F0403A" w:rsidRDefault="00F0403A" w:rsidP="00F0403A">
      <w:pPr>
        <w:pStyle w:val="Heading5"/>
      </w:pPr>
      <w:r>
        <w:t>Current review</w:t>
      </w:r>
    </w:p>
    <w:p w14:paraId="11141A65" w14:textId="3A0476EB" w:rsidR="00F0403A" w:rsidRDefault="00F0403A" w:rsidP="00481F4B">
      <w:pPr>
        <w:keepNext/>
      </w:pPr>
      <w:r>
        <w:t>The current review identified two systematic reviews</w:t>
      </w:r>
      <w:r>
        <w:fldChar w:fldCharType="begin">
          <w:fldData xml:space="preserve">PEVuZE5vdGU+PENpdGU+PEF1dGhvcj5CYWxvZ3VuPC9BdXRob3I+PFllYXI+MjAxNjwvWWVhcj48
UmVjTnVtPjEyNzY8L1JlY051bT48RGlzcGxheVRleHQ+PHN0eWxlIGZhY2U9InN1cGVyc2NyaXB0
IiBmb250PSJUcmVidWNoZXQgTVMiIHNpemU9IjkiPjEyNSwxNTU8L3N0eWxlPjwvRGlzcGxheVRl
eHQ+PHJlY29yZD48cmVjLW51bWJlcj4xMjc2PC9yZWMtbnVtYmVyPjxmb3JlaWduLWtleXM+PGtl
eSBhcHA9IkVOIiBkYi1pZD0iZXh2YXNyZngyZHRyYW9lc2FzeHAyc3pzeGEyZGY1MDI1OTJ4IiB0
aW1lc3RhbXA9IjE1NjMzMjIwNjIiPjEyNzY8L2tleT48a2V5IGFwcD0iRU5XZWIiIGRiLWlkPSIi
PjA8L2tleT48L2ZvcmVpZ24ta2V5cz48cmVmLXR5cGUgbmFtZT0iSm91cm5hbCBBcnRpY2xlIj4x
NzwvcmVmLXR5cGU+PGNvbnRyaWJ1dG9ycz48YXV0aG9ycz48YXV0aG9yPkJhbG9ndW4sIE8uIE8u
PC9hdXRob3I+PGF1dGhvcj5kYSBTaWx2YSBMb3BlcywgSy48L2F1dGhvcj48YXV0aG9yPk90YSwg
RS48L2F1dGhvcj48YXV0aG9yPlRha2Vtb3RvLCBZLjwvYXV0aG9yPjxhdXRob3I+UnVtYm9sZCwg
QS48L2F1dGhvcj48YXV0aG9yPlRha2VnYXRhLCBNLjwvYXV0aG9yPjxhdXRob3I+TW9yaSwgUi48
L2F1dGhvcj48L2F1dGhvcnM+PC9jb250cmlidXRvcnM+PGF1dGgtYWRkcmVzcz5EZXBhcnRtZW50
IG9mIEhlYWx0aCBQb2xpY3ksIE5hdGlvbmFsIENlbnRlciBmb3IgQ2hpbGQgSGVhbHRoIGFuZCBE
ZXZlbG9wbWVudCwgTWVkaWNhbCBCdWlsZGluZyBOby4gMiwgSG9uZ28gQ2FtcHVzLCAyLTEwLTEg
T2t1cmEsIFRva3lvLCBUb2t5bywgSmFwYW4sIDE1Ny04NTM1LjwvYXV0aC1hZGRyZXNzPjx0aXRs
ZXM+PHRpdGxlPlZpdGFtaW4gc3VwcGxlbWVudGF0aW9uIGZvciBwcmV2ZW50aW5nIG1pc2NhcnJp
YWdlPC90aXRsZT48c2Vjb25kYXJ5LXRpdGxlPkNvY2hyYW5lIERhdGFiYXNlIFN5c3QgUmV2PC9z
ZWNvbmRhcnktdGl0bGU+PC90aXRsZXM+PHBlcmlvZGljYWw+PGZ1bGwtdGl0bGU+Q29jaHJhbmUg
RGF0YWJhc2UgU3lzdCBSZXY8L2Z1bGwtdGl0bGU+PC9wZXJpb2RpY2FsPjxwYWdlcz5DRDAwNDA3
MzwvcGFnZXM+PG51bWJlcj41PC9udW1iZXI+PGVkaXRpb24+MjAxNi8wNS8wNzwvZWRpdGlvbj48
a2V5d29yZHM+PGtleXdvcmQ+QWJvcnRpb24sIEhhYml0dWFsL3ByZXZlbnRpb24gJmFtcDsgY29u
dHJvbDwva2V5d29yZD48a2V5d29yZD5BYm9ydGlvbiwgU3BvbnRhbmVvdXMvKnByZXZlbnRpb24g
JmFtcDsgY29udHJvbDwva2V5d29yZD48a2V5d29yZD5BbnRpb3hpZGFudHMvYWRtaW5pc3RyYXRp
b24gJmFtcDsgZG9zYWdlPC9rZXl3b3JkPjxrZXl3b3JkPkFzY29yYmljIEFjaWQvYWRtaW5pc3Ry
YXRpb24gJmFtcDsgZG9zYWdlPC9rZXl3b3JkPjxrZXl3b3JkPkRpZXRhcnkgU3VwcGxlbWVudHMv
KmFkdmVyc2UgZWZmZWN0czwva2V5d29yZD48a2V5d29yZD5GZW1hbGU8L2tleXdvcmQ+PGtleXdv
cmQ+Rm9saWMgQWNpZC9hZG1pbmlzdHJhdGlvbiAmYW1wOyBkb3NhZ2U8L2tleXdvcmQ+PGtleXdv
cmQ+SHVtYW5zPC9rZXl3b3JkPjxrZXl3b3JkPklyb24vYWRtaW5pc3RyYXRpb24gJmFtcDsgZG9z
YWdlPC9rZXl3b3JkPjxrZXl3b3JkPlByZS1FY2xhbXBzaWEvcHJldmVudGlvbiAmYW1wOyBjb250
cm9sPC9rZXl3b3JkPjxrZXl3b3JkPlByZWduYW5jeTwva2V5d29yZD48a2V5d29yZD5QcmVnbmFu
Y3kgT3V0Y29tZTwva2V5d29yZD48a2V5d29yZD5QcmVnbmFuY3ksIE11bHRpcGxlPC9rZXl3b3Jk
PjxrZXl3b3JkPlByZW5hdGFsIENhcmU8L2tleXdvcmQ+PGtleXdvcmQ+UmFuZG9taXplZCBDb250
cm9sbGVkIFRyaWFscyBhcyBUb3BpYzwva2V5d29yZD48a2V5d29yZD5TdGlsbGJpcnRoPC9rZXl3
b3JkPjxrZXl3b3JkPlZpdGFtaW4gQS9hZG1pbmlzdHJhdGlvbiAmYW1wOyBkb3NhZ2U8L2tleXdv
cmQ+PGtleXdvcmQ+Vml0YW1pbnMvKmFkbWluaXN0cmF0aW9uICZhbXA7IGRvc2FnZS9hZHZlcnNl
IGVmZmVjdHM8L2tleXdvcmQ+PC9rZXl3b3Jkcz48ZGF0ZXM+PHllYXI+MjAxNjwveWVhcj48cHVi
LWRhdGVzPjxkYXRlPk1heSA2PC9kYXRlPjwvcHViLWRhdGVzPjwvZGF0ZXM+PGlzYm4+MTQ2OS00
OTNYIChFbGVjdHJvbmljKSYjeEQ7MTM2MS02MTM3IChMaW5raW5nKTwvaXNibj48YWNjZXNzaW9u
LW51bT4yNzE1MDI4MDwvYWNjZXNzaW9uLW51bT48dXJscz48cmVsYXRlZC11cmxzPjx1cmw+aHR0
cHM6Ly93d3cubmNiaS5ubG0ubmloLmdvdi9wdWJtZWQvMjcxNTAyODA8L3VybD48L3JlbGF0ZWQt
dXJscz48L3VybHM+PGVsZWN0cm9uaWMtcmVzb3VyY2UtbnVtPjEwLjEwMDIvMTQ2NTE4NTguQ0Qw
MDQwNzMucHViNDwvZWxlY3Ryb25pYy1yZXNvdXJjZS1udW0+PC9yZWNvcmQ+PC9DaXRlPjxDaXRl
PjxBdXRob3I+TWNDYXVsZXk8L0F1dGhvcj48WWVhcj4yMDE1PC9ZZWFyPjxSZWNOdW0+MTMwNTwv
UmVjTnVtPjxyZWNvcmQ+PHJlYy1udW1iZXI+MTMwNTwvcmVjLW51bWJlcj48Zm9yZWlnbi1rZXlz
PjxrZXkgYXBwPSJFTiIgZGItaWQ9ImV4dmFzcmZ4MmR0cmFvZXNhc3hwMnN6c3hhMmRmNTAyNTky
eCIgdGltZXN0YW1wPSIxNTY1MzE2MzkzIj4xMzA1PC9rZXk+PGtleSBhcHA9IkVOV2ViIiBkYi1p
ZD0iIj4wPC9rZXk+PC9mb3JlaWduLWtleXM+PHJlZi10eXBlIG5hbWU9IkpvdXJuYWwgQXJ0aWNs
ZSI+MTc8L3JlZi10eXBlPjxjb250cmlidXRvcnM+PGF1dGhvcnM+PGF1dGhvcj5NY0NhdWxleSwg
TS4gRS48L2F1dGhvcj48YXV0aG9yPnZhbiBkZW4gQnJvZWssIE4uPC9hdXRob3I+PGF1dGhvcj5E
b3UsIEwuPC9hdXRob3I+PGF1dGhvcj5PdGhtYW4sIE0uPC9hdXRob3I+PC9hdXRob3JzPjwvY29u
dHJpYnV0b3JzPjxhdXRoLWFkZHJlc3M+Q2VudHJlIGZvciBNYXRlcm5hbCBhbmQgTmV3Ym9ybiBI
ZWFsdGgsIERlcGFydG1lbnQgb2YgSW50ZXJuYXRpb25hbCBQdWJsaWMgSGVhbHRoLCBMaXZlcnBv
b2wgU2Nob29sIG9mIFRyb3BpY2FsIE1lZGljaW5lLCBQZW1icm9rZSBQbGFjZSwgTGl2ZXJwb29s
LCBNZXJzZXlzaWRlLCBVSywgTDMgNVFBLjwvYXV0aC1hZGRyZXNzPjx0aXRsZXM+PHRpdGxlPlZp
dGFtaW4gQSBzdXBwbGVtZW50YXRpb24gZHVyaW5nIHByZWduYW5jeSBmb3IgbWF0ZXJuYWwgYW5k
IG5ld2Jvcm4gb3V0Y29tZXM8L3RpdGxlPjxzZWNvbmRhcnktdGl0bGU+Q29jaHJhbmUgRGF0YWJh
c2UgU3lzdCBSZXY8L3NlY29uZGFyeS10aXRsZT48L3RpdGxlcz48cGVyaW9kaWNhbD48ZnVsbC10
aXRsZT5Db2NocmFuZSBEYXRhYmFzZSBTeXN0IFJldjwvZnVsbC10aXRsZT48L3BlcmlvZGljYWw+
PHBhZ2VzPkNEMDA4NjY2PC9wYWdlcz48bnVtYmVyPjEwPC9udW1iZXI+PGVkaXRpb24+MjAxNS8x
MC8yODwvZWRpdGlvbj48a2V5d29yZHM+PGtleXdvcmQ+QW5lbWlhL3ByZXZlbnRpb24gJmFtcDsg
Y29udHJvbDwva2V5d29yZD48a2V5d29yZD5GZW1hbGU8L2tleXdvcmQ+PGtleXdvcmQ+SHVtYW5z
PC9rZXl3b3JkPjxrZXl3b3JkPkluZmFudDwva2V5d29yZD48a2V5d29yZD5JbmZhbnQgTW9ydGFs
aXR5PC9rZXl3b3JkPjxrZXl3b3JkPkluZmFudCwgTmV3Ym9ybjwva2V5d29yZD48a2V5d29yZD5N
YXRlcm5hbCBNb3J0YWxpdHk8L2tleXdvcmQ+PGtleXdvcmQ+TmlnaHQgQmxpbmRuZXNzL2RydWcg
dGhlcmFweTwva2V5d29yZD48a2V5d29yZD5QcmVnbmFuY3k8L2tleXdvcmQ+PGtleXdvcmQ+UHJl
Z25hbmN5IENvbXBsaWNhdGlvbnMvKmRydWcgdGhlcmFweTwva2V5d29yZD48a2V5d29yZD5QcmVn
bmFuY3kgQ29tcGxpY2F0aW9ucywgSW5mZWN0aW91cy9kcnVnIHRoZXJhcHk8L2tleXdvcmQ+PGtl
eXdvcmQ+Vml0YW1pbiBBLyphZG1pbmlzdHJhdGlvbiAmYW1wOyBkb3NhZ2U8L2tleXdvcmQ+PGtl
eXdvcmQ+Vml0YW1pbiBBIERlZmljaWVuY3kvKmRydWcgdGhlcmFweTwva2V5d29yZD48a2V5d29y
ZD5WaXRhbWlucy8qYWRtaW5pc3RyYXRpb24gJmFtcDsgZG9zYWdlPC9rZXl3b3JkPjwva2V5d29y
ZHM+PGRhdGVzPjx5ZWFyPjIwMTU8L3llYXI+PHB1Yi1kYXRlcz48ZGF0ZT5PY3QgMjc8L2RhdGU+
PC9wdWItZGF0ZXM+PC9kYXRlcz48aXNibj4xNDY5LTQ5M1ggKEVsZWN0cm9uaWMpJiN4RDsxMzYx
LTYxMzcgKExpbmtpbmcpPC9pc2JuPjxhY2Nlc3Npb24tbnVtPjI2NTAzNDk4PC9hY2Nlc3Npb24t
bnVtPjx1cmxzPjxyZWxhdGVkLXVybHM+PHVybD5odHRwczovL3d3dy5uY2JpLm5sbS5uaWguZ292
L3B1Ym1lZC8yNjUwMzQ5ODwvdXJsPjwvcmVsYXRlZC11cmxzPjwvdXJscz48ZWxlY3Ryb25pYy1y
ZXNvdXJjZS1udW0+MTAuMTAwMi8xNDY1MTg1OC5DRDAwODY2Ni5wdWIzPC9lbGVjdHJvbmljLXJl
c291cmNlLW51bT48L3JlY29yZD48L0NpdGU+PC9FbmROb3RlPgB=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IiBmb250PSJUcmVidWNoZXQgTVMiIHNpemU9IjkiPjEyNSwxNTU8L3N0eWxlPjwvRGlzcGxheVRl
eHQ+PHJlY29yZD48cmVjLW51bWJlcj4xMjc2PC9yZWMtbnVtYmVyPjxmb3JlaWduLWtleXM+PGtl
eSBhcHA9IkVOIiBkYi1pZD0iZXh2YXNyZngyZHRyYW9lc2FzeHAyc3pzeGEyZGY1MDI1OTJ4IiB0
aW1lc3RhbXA9IjE1NjMzMjIwNjIiPjEyNzY8L2tleT48a2V5IGFwcD0iRU5XZWIiIGRiLWlkPSIi
PjA8L2tleT48L2ZvcmVpZ24ta2V5cz48cmVmLXR5cGUgbmFtZT0iSm91cm5hbCBBcnRpY2xlIj4x
NzwvcmVmLXR5cGU+PGNvbnRyaWJ1dG9ycz48YXV0aG9ycz48YXV0aG9yPkJhbG9ndW4sIE8uIE8u
PC9hdXRob3I+PGF1dGhvcj5kYSBTaWx2YSBMb3BlcywgSy48L2F1dGhvcj48YXV0aG9yPk90YSwg
RS48L2F1dGhvcj48YXV0aG9yPlRha2Vtb3RvLCBZLjwvYXV0aG9yPjxhdXRob3I+UnVtYm9sZCwg
QS48L2F1dGhvcj48YXV0aG9yPlRha2VnYXRhLCBNLjwvYXV0aG9yPjxhdXRob3I+TW9yaSwgUi48
L2F1dGhvcj48L2F1dGhvcnM+PC9jb250cmlidXRvcnM+PGF1dGgtYWRkcmVzcz5EZXBhcnRtZW50
IG9mIEhlYWx0aCBQb2xpY3ksIE5hdGlvbmFsIENlbnRlciBmb3IgQ2hpbGQgSGVhbHRoIGFuZCBE
ZXZlbG9wbWVudCwgTWVkaWNhbCBCdWlsZGluZyBOby4gMiwgSG9uZ28gQ2FtcHVzLCAyLTEwLTEg
T2t1cmEsIFRva3lvLCBUb2t5bywgSmFwYW4sIDE1Ny04NTM1LjwvYXV0aC1hZGRyZXNzPjx0aXRs
ZXM+PHRpdGxlPlZpdGFtaW4gc3VwcGxlbWVudGF0aW9uIGZvciBwcmV2ZW50aW5nIG1pc2NhcnJp
YWdlPC90aXRsZT48c2Vjb25kYXJ5LXRpdGxlPkNvY2hyYW5lIERhdGFiYXNlIFN5c3QgUmV2PC9z
ZWNvbmRhcnktdGl0bGU+PC90aXRsZXM+PHBlcmlvZGljYWw+PGZ1bGwtdGl0bGU+Q29jaHJhbmUg
RGF0YWJhc2UgU3lzdCBSZXY8L2Z1bGwtdGl0bGU+PC9wZXJpb2RpY2FsPjxwYWdlcz5DRDAwNDA3
MzwvcGFnZXM+PG51bWJlcj41PC9udW1iZXI+PGVkaXRpb24+MjAxNi8wNS8wNzwvZWRpdGlvbj48
a2V5d29yZHM+PGtleXdvcmQ+QWJvcnRpb24sIEhhYml0dWFsL3ByZXZlbnRpb24gJmFtcDsgY29u
dHJvbDwva2V5d29yZD48a2V5d29yZD5BYm9ydGlvbiwgU3BvbnRhbmVvdXMvKnByZXZlbnRpb24g
JmFtcDsgY29udHJvbDwva2V5d29yZD48a2V5d29yZD5BbnRpb3hpZGFudHMvYWRtaW5pc3RyYXRp
b24gJmFtcDsgZG9zYWdlPC9rZXl3b3JkPjxrZXl3b3JkPkFzY29yYmljIEFjaWQvYWRtaW5pc3Ry
YXRpb24gJmFtcDsgZG9zYWdlPC9rZXl3b3JkPjxrZXl3b3JkPkRpZXRhcnkgU3VwcGxlbWVudHMv
KmFkdmVyc2UgZWZmZWN0czwva2V5d29yZD48a2V5d29yZD5GZW1hbGU8L2tleXdvcmQ+PGtleXdv
cmQ+Rm9saWMgQWNpZC9hZG1pbmlzdHJhdGlvbiAmYW1wOyBkb3NhZ2U8L2tleXdvcmQ+PGtleXdv
cmQ+SHVtYW5zPC9rZXl3b3JkPjxrZXl3b3JkPklyb24vYWRtaW5pc3RyYXRpb24gJmFtcDsgZG9z
YWdlPC9rZXl3b3JkPjxrZXl3b3JkPlByZS1FY2xhbXBzaWEvcHJldmVudGlvbiAmYW1wOyBjb250
cm9sPC9rZXl3b3JkPjxrZXl3b3JkPlByZWduYW5jeTwva2V5d29yZD48a2V5d29yZD5QcmVnbmFu
Y3kgT3V0Y29tZTwva2V5d29yZD48a2V5d29yZD5QcmVnbmFuY3ksIE11bHRpcGxlPC9rZXl3b3Jk
PjxrZXl3b3JkPlByZW5hdGFsIENhcmU8L2tleXdvcmQ+PGtleXdvcmQ+UmFuZG9taXplZCBDb250
cm9sbGVkIFRyaWFscyBhcyBUb3BpYzwva2V5d29yZD48a2V5d29yZD5TdGlsbGJpcnRoPC9rZXl3
b3JkPjxrZXl3b3JkPlZpdGFtaW4gQS9hZG1pbmlzdHJhdGlvbiAmYW1wOyBkb3NhZ2U8L2tleXdv
cmQ+PGtleXdvcmQ+Vml0YW1pbnMvKmFkbWluaXN0cmF0aW9uICZhbXA7IGRvc2FnZS9hZHZlcnNl
IGVmZmVjdHM8L2tleXdvcmQ+PC9rZXl3b3Jkcz48ZGF0ZXM+PHllYXI+MjAxNjwveWVhcj48cHVi
LWRhdGVzPjxkYXRlPk1heSA2PC9kYXRlPjwvcHViLWRhdGVzPjwvZGF0ZXM+PGlzYm4+MTQ2OS00
OTNYIChFbGVjdHJvbmljKSYjeEQ7MTM2MS02MTM3IChMaW5raW5nKTwvaXNibj48YWNjZXNzaW9u
LW51bT4yNzE1MDI4MDwvYWNjZXNzaW9uLW51bT48dXJscz48cmVsYXRlZC11cmxzPjx1cmw+aHR0
cHM6Ly93d3cubmNiaS5ubG0ubmloLmdvdi9wdWJtZWQvMjcxNTAyODA8L3VybD48L3JlbGF0ZWQt
dXJscz48L3VybHM+PGVsZWN0cm9uaWMtcmVzb3VyY2UtbnVtPjEwLjEwMDIvMTQ2NTE4NTguQ0Qw
MDQwNzMucHViNDwvZWxlY3Ryb25pYy1yZXNvdXJjZS1udW0+PC9yZWNvcmQ+PC9DaXRlPjxDaXRl
PjxBdXRob3I+TWNDYXVsZXk8L0F1dGhvcj48WWVhcj4yMDE1PC9ZZWFyPjxSZWNOdW0+MTMwNTwv
UmVjTnVtPjxyZWNvcmQ+PHJlYy1udW1iZXI+MTMwNTwvcmVjLW51bWJlcj48Zm9yZWlnbi1rZXlz
PjxrZXkgYXBwPSJFTiIgZGItaWQ9ImV4dmFzcmZ4MmR0cmFvZXNhc3hwMnN6c3hhMmRmNTAyNTky
eCIgdGltZXN0YW1wPSIxNTY1MzE2MzkzIj4xMzA1PC9rZXk+PGtleSBhcHA9IkVOV2ViIiBkYi1p
ZD0iIj4wPC9rZXk+PC9mb3JlaWduLWtleXM+PHJlZi10eXBlIG5hbWU9IkpvdXJuYWwgQXJ0aWNs
ZSI+MTc8L3JlZi10eXBlPjxjb250cmlidXRvcnM+PGF1dGhvcnM+PGF1dGhvcj5NY0NhdWxleSwg
TS4gRS48L2F1dGhvcj48YXV0aG9yPnZhbiBkZW4gQnJvZWssIE4uPC9hdXRob3I+PGF1dGhvcj5E
b3UsIEwuPC9hdXRob3I+PGF1dGhvcj5PdGhtYW4sIE0uPC9hdXRob3I+PC9hdXRob3JzPjwvY29u
dHJpYnV0b3JzPjxhdXRoLWFkZHJlc3M+Q2VudHJlIGZvciBNYXRlcm5hbCBhbmQgTmV3Ym9ybiBI
ZWFsdGgsIERlcGFydG1lbnQgb2YgSW50ZXJuYXRpb25hbCBQdWJsaWMgSGVhbHRoLCBMaXZlcnBv
b2wgU2Nob29sIG9mIFRyb3BpY2FsIE1lZGljaW5lLCBQZW1icm9rZSBQbGFjZSwgTGl2ZXJwb29s
LCBNZXJzZXlzaWRlLCBVSywgTDMgNVFBLjwvYXV0aC1hZGRyZXNzPjx0aXRsZXM+PHRpdGxlPlZp
dGFtaW4gQSBzdXBwbGVtZW50YXRpb24gZHVyaW5nIHByZWduYW5jeSBmb3IgbWF0ZXJuYWwgYW5k
IG5ld2Jvcm4gb3V0Y29tZXM8L3RpdGxlPjxzZWNvbmRhcnktdGl0bGU+Q29jaHJhbmUgRGF0YWJh
c2UgU3lzdCBSZXY8L3NlY29uZGFyeS10aXRsZT48L3RpdGxlcz48cGVyaW9kaWNhbD48ZnVsbC10
aXRsZT5Db2NocmFuZSBEYXRhYmFzZSBTeXN0IFJldjwvZnVsbC10aXRsZT48L3BlcmlvZGljYWw+
PHBhZ2VzPkNEMDA4NjY2PC9wYWdlcz48bnVtYmVyPjEwPC9udW1iZXI+PGVkaXRpb24+MjAxNS8x
MC8yODwvZWRpdGlvbj48a2V5d29yZHM+PGtleXdvcmQ+QW5lbWlhL3ByZXZlbnRpb24gJmFtcDsg
Y29udHJvbDwva2V5d29yZD48a2V5d29yZD5GZW1hbGU8L2tleXdvcmQ+PGtleXdvcmQ+SHVtYW5z
PC9rZXl3b3JkPjxrZXl3b3JkPkluZmFudDwva2V5d29yZD48a2V5d29yZD5JbmZhbnQgTW9ydGFs
aXR5PC9rZXl3b3JkPjxrZXl3b3JkPkluZmFudCwgTmV3Ym9ybjwva2V5d29yZD48a2V5d29yZD5N
YXRlcm5hbCBNb3J0YWxpdHk8L2tleXdvcmQ+PGtleXdvcmQ+TmlnaHQgQmxpbmRuZXNzL2RydWcg
dGhlcmFweTwva2V5d29yZD48a2V5d29yZD5QcmVnbmFuY3k8L2tleXdvcmQ+PGtleXdvcmQ+UHJl
Z25hbmN5IENvbXBsaWNhdGlvbnMvKmRydWcgdGhlcmFweTwva2V5d29yZD48a2V5d29yZD5QcmVn
bmFuY3kgQ29tcGxpY2F0aW9ucywgSW5mZWN0aW91cy9kcnVnIHRoZXJhcHk8L2tleXdvcmQ+PGtl
eXdvcmQ+Vml0YW1pbiBBLyphZG1pbmlzdHJhdGlvbiAmYW1wOyBkb3NhZ2U8L2tleXdvcmQ+PGtl
eXdvcmQ+Vml0YW1pbiBBIERlZmljaWVuY3kvKmRydWcgdGhlcmFweTwva2V5d29yZD48a2V5d29y
ZD5WaXRhbWlucy8qYWRtaW5pc3RyYXRpb24gJmFtcDsgZG9zYWdlPC9rZXl3b3JkPjwva2V5d29y
ZHM+PGRhdGVzPjx5ZWFyPjIwMTU8L3llYXI+PHB1Yi1kYXRlcz48ZGF0ZT5PY3QgMjc8L2RhdGU+
PC9wdWItZGF0ZXM+PC9kYXRlcz48aXNibj4xNDY5LTQ5M1ggKEVsZWN0cm9uaWMpJiN4RDsxMzYx
LTYxMzcgKExpbmtpbmcpPC9pc2JuPjxhY2Nlc3Npb24tbnVtPjI2NTAzNDk4PC9hY2Nlc3Npb24t
bnVtPjx1cmxzPjxyZWxhdGVkLXVybHM+PHVybD5odHRwczovL3d3dy5uY2JpLm5sbS5uaWguZ292
L3B1Ym1lZC8yNjUwMzQ5ODwvdXJsPjwvcmVsYXRlZC11cmxzPjwvdXJscz48ZWxlY3Ryb25pYy1y
ZXNvdXJjZS1udW0+MTAuMTAwMi8xNDY1MTg1OC5DRDAwODY2Ni5wdWIzPC9lbGVjdHJvbmljLXJl
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125,155</w:t>
      </w:r>
      <w:r>
        <w:fldChar w:fldCharType="end"/>
      </w:r>
      <w:r>
        <w:t xml:space="preserve"> and one RCT.</w:t>
      </w:r>
      <w:r>
        <w:fldChar w:fldCharType="begin">
          <w:fldData xml:space="preserve">PEVuZE5vdGU+PENpdGU+PEF1dGhvcj5BbGk8L0F1dGhvcj48WWVhcj4yMDE3PC9ZZWFyPjxSZWNO
dW0+MTMwNjwvUmVjTnVtPjxEaXNwbGF5VGV4dD48c3R5bGUgZmFjZT0ic3VwZXJzY3JpcHQiIGZv
bnQ9IlRyZWJ1Y2hldCBNUyIgc2l6ZT0iOSI+MTU2PC9zdHlsZT48L0Rpc3BsYXlUZXh0PjxyZWNv
cmQ+PHJlYy1udW1iZXI+MTMwNjwvcmVjLW51bWJlcj48Zm9yZWlnbi1rZXlzPjxrZXkgYXBwPSJF
TiIgZGItaWQ9ImV4dmFzcmZ4MmR0cmFvZXNhc3hwMnN6c3hhMmRmNTAyNTkyeCIgdGltZXN0YW1w
PSIxNTY1MzE4OTU3Ij4xMzA2PC9rZXk+PC9mb3JlaWduLWtleXM+PHJlZi10eXBlIG5hbWU9Ikpv
dXJuYWwgQXJ0aWNsZSI+MTc8L3JlZi10eXBlPjxjb250cmlidXRvcnM+PGF1dGhvcnM+PGF1dGhv
cj5BbGksIEguPC9hdXRob3I+PGF1dGhvcj5IYW1hZGFuaSwgSi48L2F1dGhvcj48YXV0aG9yPk1l
aHJhLCBTLjwvYXV0aG9yPjxhdXRob3I+VG9mYWlsLCBGLjwvYXV0aG9yPjxhdXRob3I+SGFzYW4s
IE0uIEkuPC9hdXRob3I+PGF1dGhvcj5TaGFpa2gsIFMuPC9hdXRob3I+PGF1dGhvcj5TaGFtaW0s
IEEuIEEuPC9hdXRob3I+PGF1dGhvcj5XdSwgTC4gUy48L2F1dGhvcj48YXV0aG9yPldlc3QsIEsu
IFAuLCBKci48L2F1dGhvcj48YXV0aG9yPkNocmlzdGlhbiwgUC48L2F1dGhvcj48L2F1dGhvcnM+
PC9jb250cmlidXRvcnM+PGF1dGgtYWRkcmVzcz5UaGUgSmlWaXRBIFByb2plY3QsIEpvaG5zIEhv
cGtpbnMgVW5pdmVyc2l0eSBCYW5nbGFkZXNoLCBQYXNjaGltIFBhcmEsIEdhaWJhbmRoYSwgQmFu
Z2xhZGVzaDsgaGFzbW90Lmppdml0YUBnbWFpbC5jb20uJiN4RDtDZW50ZXIgZm9yIEh1bWFuIE51
dHJpdGlvbiwgSm9obnMgSG9wa2lucyBCbG9vbWJlcmcgU2Nob29sIG9mIFB1YmxpYyBIZWFsdGgs
IEJhbHRpbW9yZSwgTUQuJiN4RDtDaGlsZCBEZXZlbG9wbWVudCBVbml0LCBJbnRlcm5hdGlvbmFs
IENlbnRlciBmb3IgRGlhcnJoZWFsIERpc2Vhc2UgUmVzZWFyY2gsIEJhbmdsYWRlc2gsIERoYWth
LCBCYW5nbGFkZXNoLiYjeEQ7VGhlIEppVml0QSBQcm9qZWN0LCBKb2hucyBIb3BraW5zIFVuaXZl
cnNpdHkgQmFuZ2xhZGVzaCwgUGFzY2hpbSBQYXJhLCBHYWliYW5kaGEsIEJhbmdsYWRlc2guJiN4
RDtGSEkgMzYwLCBEaGFrYSwgQmFuZ2xhZGVzaDsgYW5kLiYjeEQ7QmlsbCAmYW1wOyBNZWxpbmRh
IEdhdGVzIEZvdW5kYXRpb24sIFNlYXR0bGUsIFdBLjwvYXV0aC1hZGRyZXNzPjx0aXRsZXM+PHRp
dGxlPkVmZmVjdCBvZiBtYXRlcm5hbCBhbnRlbmF0YWwgYW5kIG5ld2Jvcm4gc3VwcGxlbWVudGF0
aW9uIHdpdGggdml0YW1pbiBBIG9uIGNvZ25pdGl2ZSBkZXZlbG9wbWVudCBvZiBzY2hvb2wtYWdl
ZCBjaGlsZHJlbiBpbiBydXJhbCBCYW5nbGFkZXNoOiBhIGZvbGxvdy11cCBvZiBhIHBsYWNlYm8t
Y29udHJvbGxlZCwgcmFuZG9taXplZCB0cmlhbDwvdGl0bGU+PHNlY29uZGFyeS10aXRsZT5BbSBK
IENsaW4gTnV0cjwvc2Vjb25kYXJ5LXRpdGxlPjwvdGl0bGVzPjxwZXJpb2RpY2FsPjxmdWxsLXRp
dGxlPkFtIEogQ2xpbiBOdXRyPC9mdWxsLXRpdGxlPjwvcGVyaW9kaWNhbD48cGFnZXM+NzctODc8
L3BhZ2VzPjx2b2x1bWU+MTA2PC92b2x1bWU+PG51bWJlcj4xPC9udW1iZXI+PGVkaXRpb24+MjAx
Ny8wNS8xMjwvZWRpdGlvbj48a2V5d29yZHM+PGtleXdvcmQ+QWRvbGVzY2VudDwva2V5d29yZD48
a2V5d29yZD5BZHVsdDwva2V5d29yZD48a2V5d29yZD5CYW5nbGFkZXNoPC9rZXl3b3JkPjxrZXl3
b3JkPkNoaWxkPC9rZXl3b3JkPjxrZXl3b3JkPkNoaWxkIERldmVsb3BtZW50LypkcnVnIGVmZmVj
dHM8L2tleXdvcmQ+PGtleXdvcmQ+KkNvZ25pdGlvbjwva2V5d29yZD48a2V5d29yZD4qRGlldGFy
eSBTdXBwbGVtZW50czwva2V5d29yZD48a2V5d29yZD5Eb3VibGUtQmxpbmQgTWV0aG9kPC9rZXl3
b3JkPjxrZXl3b3JkPipFeGVjdXRpdmUgRnVuY3Rpb248L2tleXdvcmQ+PGtleXdvcmQ+RmVtYWxl
PC9rZXl3b3JkPjxrZXl3b3JkPkZvbGxvdy1VcCBTdHVkaWVzPC9rZXl3b3JkPjxrZXl3b3JkPkh1
bWFuczwva2V5d29yZD48a2V5d29yZD5JbmZhbnQsIE5ld2Jvcm48L2tleXdvcmQ+PGtleXdvcmQ+
SW50ZWxsaWdlbmNlPC9rZXl3b3JkPjxrZXl3b3JkPipMZWFybmluZzwva2V5d29yZD48a2V5d29y
ZD5NYWxlPC9rZXl3b3JkPjxrZXl3b3JkPlBlcmluYXRhbCBDYXJlPC9rZXl3b3JkPjxrZXl3b3Jk
PlByZWduYW5jeTwva2V5d29yZD48a2V5d29yZD4qUHJlbmF0YWwgTnV0cml0aW9uYWwgUGh5c2lv
bG9naWNhbCBQaGVub21lbmE8L2tleXdvcmQ+PGtleXdvcmQ+UnVyYWwgUG9wdWxhdGlvbjwva2V5
d29yZD48a2V5d29yZD5WaXRhbWluIEEvKnBoYXJtYWNvbG9neTwva2V5d29yZD48a2V5d29yZD5W
aXRhbWlucy9waGFybWFjb2xvZ3k8L2tleXdvcmQ+PGtleXdvcmQ+WW91bmcgQWR1bHQ8L2tleXdv
cmQ+PGtleXdvcmQ+Y29nbml0aXZlIGZ1bmN0aW9uPC9rZXl3b3JkPjxrZXl3b3JkPm5ld2Jvcm48
L2tleXdvcmQ+PGtleXdvcmQ+cHJlbmF0YWw8L2tleXdvcmQ+PGtleXdvcmQ+c2Nob2xhc3RpYyBw
ZXJmb3JtYW5jZTwva2V5d29yZD48a2V5d29yZD52aXRhbWluIEE8L2tleXdvcmQ+PC9rZXl3b3Jk
cz48ZGF0ZXM+PHllYXI+MjAxNzwveWVhcj48cHViLWRhdGVzPjxkYXRlPkp1bDwvZGF0ZT48L3B1
Yi1kYXRlcz48L2RhdGVzPjxpc2JuPjE5MzgtMzIwNyAoRWxlY3Ryb25pYykmI3hEOzAwMDItOTE2
NSAoTGlua2luZyk8L2lzYm4+PGFjY2Vzc2lvbi1udW0+Mjg0OTA1MTM8L2FjY2Vzc2lvbi1udW0+
PHVybHM+PHJlbGF0ZWQtdXJscz48dXJsPmh0dHBzOi8vd3d3Lm5jYmkubmxtLm5paC5nb3YvcHVi
bWVkLzI4NDkwNTEzPC91cmw+PC9yZWxhdGVkLXVybHM+PC91cmxzPjxlbGVjdHJvbmljLXJlc291
cmNlLW51bT4xMC4zOTQ1L2FqY24uMTE2LjEzNDQ3ODwvZWxlY3Ryb25pYy1yZXNvdXJjZS1udW0+
PC9yZWNvcmQ+PC9DaXRlPjwvRW5kTm90ZT5=
</w:fldData>
        </w:fldChar>
      </w:r>
      <w:r w:rsidR="002747EA">
        <w:instrText xml:space="preserve"> ADDIN EN.CITE </w:instrText>
      </w:r>
      <w:r w:rsidR="002747EA">
        <w:fldChar w:fldCharType="begin">
          <w:fldData xml:space="preserve">PEVuZE5vdGU+PENpdGU+PEF1dGhvcj5BbGk8L0F1dGhvcj48WWVhcj4yMDE3PC9ZZWFyPjxSZWNO
dW0+MTMwNjwvUmVjTnVtPjxEaXNwbGF5VGV4dD48c3R5bGUgZmFjZT0ic3VwZXJzY3JpcHQiIGZv
bnQ9IlRyZWJ1Y2hldCBNUyIgc2l6ZT0iOSI+MTU2PC9zdHlsZT48L0Rpc3BsYXlUZXh0PjxyZWNv
cmQ+PHJlYy1udW1iZXI+MTMwNjwvcmVjLW51bWJlcj48Zm9yZWlnbi1rZXlzPjxrZXkgYXBwPSJF
TiIgZGItaWQ9ImV4dmFzcmZ4MmR0cmFvZXNhc3hwMnN6c3hhMmRmNTAyNTkyeCIgdGltZXN0YW1w
PSIxNTY1MzE4OTU3Ij4xMzA2PC9rZXk+PC9mb3JlaWduLWtleXM+PHJlZi10eXBlIG5hbWU9Ikpv
dXJuYWwgQXJ0aWNsZSI+MTc8L3JlZi10eXBlPjxjb250cmlidXRvcnM+PGF1dGhvcnM+PGF1dGhv
cj5BbGksIEguPC9hdXRob3I+PGF1dGhvcj5IYW1hZGFuaSwgSi48L2F1dGhvcj48YXV0aG9yPk1l
aHJhLCBTLjwvYXV0aG9yPjxhdXRob3I+VG9mYWlsLCBGLjwvYXV0aG9yPjxhdXRob3I+SGFzYW4s
IE0uIEkuPC9hdXRob3I+PGF1dGhvcj5TaGFpa2gsIFMuPC9hdXRob3I+PGF1dGhvcj5TaGFtaW0s
IEEuIEEuPC9hdXRob3I+PGF1dGhvcj5XdSwgTC4gUy48L2F1dGhvcj48YXV0aG9yPldlc3QsIEsu
IFAuLCBKci48L2F1dGhvcj48YXV0aG9yPkNocmlzdGlhbiwgUC48L2F1dGhvcj48L2F1dGhvcnM+
PC9jb250cmlidXRvcnM+PGF1dGgtYWRkcmVzcz5UaGUgSmlWaXRBIFByb2plY3QsIEpvaG5zIEhv
cGtpbnMgVW5pdmVyc2l0eSBCYW5nbGFkZXNoLCBQYXNjaGltIFBhcmEsIEdhaWJhbmRoYSwgQmFu
Z2xhZGVzaDsgaGFzbW90Lmppdml0YUBnbWFpbC5jb20uJiN4RDtDZW50ZXIgZm9yIEh1bWFuIE51
dHJpdGlvbiwgSm9obnMgSG9wa2lucyBCbG9vbWJlcmcgU2Nob29sIG9mIFB1YmxpYyBIZWFsdGgs
IEJhbHRpbW9yZSwgTUQuJiN4RDtDaGlsZCBEZXZlbG9wbWVudCBVbml0LCBJbnRlcm5hdGlvbmFs
IENlbnRlciBmb3IgRGlhcnJoZWFsIERpc2Vhc2UgUmVzZWFyY2gsIEJhbmdsYWRlc2gsIERoYWth
LCBCYW5nbGFkZXNoLiYjeEQ7VGhlIEppVml0QSBQcm9qZWN0LCBKb2hucyBIb3BraW5zIFVuaXZl
cnNpdHkgQmFuZ2xhZGVzaCwgUGFzY2hpbSBQYXJhLCBHYWliYW5kaGEsIEJhbmdsYWRlc2guJiN4
RDtGSEkgMzYwLCBEaGFrYSwgQmFuZ2xhZGVzaDsgYW5kLiYjeEQ7QmlsbCAmYW1wOyBNZWxpbmRh
IEdhdGVzIEZvdW5kYXRpb24sIFNlYXR0bGUsIFdBLjwvYXV0aC1hZGRyZXNzPjx0aXRsZXM+PHRp
dGxlPkVmZmVjdCBvZiBtYXRlcm5hbCBhbnRlbmF0YWwgYW5kIG5ld2Jvcm4gc3VwcGxlbWVudGF0
aW9uIHdpdGggdml0YW1pbiBBIG9uIGNvZ25pdGl2ZSBkZXZlbG9wbWVudCBvZiBzY2hvb2wtYWdl
ZCBjaGlsZHJlbiBpbiBydXJhbCBCYW5nbGFkZXNoOiBhIGZvbGxvdy11cCBvZiBhIHBsYWNlYm8t
Y29udHJvbGxlZCwgcmFuZG9taXplZCB0cmlhbDwvdGl0bGU+PHNlY29uZGFyeS10aXRsZT5BbSBK
IENsaW4gTnV0cjwvc2Vjb25kYXJ5LXRpdGxlPjwvdGl0bGVzPjxwZXJpb2RpY2FsPjxmdWxsLXRp
dGxlPkFtIEogQ2xpbiBOdXRyPC9mdWxsLXRpdGxlPjwvcGVyaW9kaWNhbD48cGFnZXM+NzctODc8
L3BhZ2VzPjx2b2x1bWU+MTA2PC92b2x1bWU+PG51bWJlcj4xPC9udW1iZXI+PGVkaXRpb24+MjAx
Ny8wNS8xMjwvZWRpdGlvbj48a2V5d29yZHM+PGtleXdvcmQ+QWRvbGVzY2VudDwva2V5d29yZD48
a2V5d29yZD5BZHVsdDwva2V5d29yZD48a2V5d29yZD5CYW5nbGFkZXNoPC9rZXl3b3JkPjxrZXl3
b3JkPkNoaWxkPC9rZXl3b3JkPjxrZXl3b3JkPkNoaWxkIERldmVsb3BtZW50LypkcnVnIGVmZmVj
dHM8L2tleXdvcmQ+PGtleXdvcmQ+KkNvZ25pdGlvbjwva2V5d29yZD48a2V5d29yZD4qRGlldGFy
eSBTdXBwbGVtZW50czwva2V5d29yZD48a2V5d29yZD5Eb3VibGUtQmxpbmQgTWV0aG9kPC9rZXl3
b3JkPjxrZXl3b3JkPipFeGVjdXRpdmUgRnVuY3Rpb248L2tleXdvcmQ+PGtleXdvcmQ+RmVtYWxl
PC9rZXl3b3JkPjxrZXl3b3JkPkZvbGxvdy1VcCBTdHVkaWVzPC9rZXl3b3JkPjxrZXl3b3JkPkh1
bWFuczwva2V5d29yZD48a2V5d29yZD5JbmZhbnQsIE5ld2Jvcm48L2tleXdvcmQ+PGtleXdvcmQ+
SW50ZWxsaWdlbmNlPC9rZXl3b3JkPjxrZXl3b3JkPipMZWFybmluZzwva2V5d29yZD48a2V5d29y
ZD5NYWxlPC9rZXl3b3JkPjxrZXl3b3JkPlBlcmluYXRhbCBDYXJlPC9rZXl3b3JkPjxrZXl3b3Jk
PlByZWduYW5jeTwva2V5d29yZD48a2V5d29yZD4qUHJlbmF0YWwgTnV0cml0aW9uYWwgUGh5c2lv
bG9naWNhbCBQaGVub21lbmE8L2tleXdvcmQ+PGtleXdvcmQ+UnVyYWwgUG9wdWxhdGlvbjwva2V5
d29yZD48a2V5d29yZD5WaXRhbWluIEEvKnBoYXJtYWNvbG9neTwva2V5d29yZD48a2V5d29yZD5W
aXRhbWlucy9waGFybWFjb2xvZ3k8L2tleXdvcmQ+PGtleXdvcmQ+WW91bmcgQWR1bHQ8L2tleXdv
cmQ+PGtleXdvcmQ+Y29nbml0aXZlIGZ1bmN0aW9uPC9rZXl3b3JkPjxrZXl3b3JkPm5ld2Jvcm48
L2tleXdvcmQ+PGtleXdvcmQ+cHJlbmF0YWw8L2tleXdvcmQ+PGtleXdvcmQ+c2Nob2xhc3RpYyBw
ZXJmb3JtYW5jZTwva2V5d29yZD48a2V5d29yZD52aXRhbWluIEE8L2tleXdvcmQ+PC9rZXl3b3Jk
cz48ZGF0ZXM+PHllYXI+MjAxNzwveWVhcj48cHViLWRhdGVzPjxkYXRlPkp1bDwvZGF0ZT48L3B1
Yi1kYXRlcz48L2RhdGVzPjxpc2JuPjE5MzgtMzIwNyAoRWxlY3Ryb25pYykmI3hEOzAwMDItOTE2
NSAoTGlua2luZyk8L2lzYm4+PGFjY2Vzc2lvbi1udW0+Mjg0OTA1MTM8L2FjY2Vzc2lvbi1udW0+
PHVybHM+PHJlbGF0ZWQtdXJscz48dXJsPmh0dHBzOi8vd3d3Lm5jYmkubmxtLm5paC5nb3YvcHVi
bWVkLzI4NDkwNTEzPC91cmw+PC9yZWxhdGVkLXVybHM+PC91cmxzPjxlbGVjdHJvbmljLXJlc291
cmNlLW51bT4xMC4zOTQ1L2FqY24uMTE2LjEzNDQ3ODwvZWxlY3Ryb25pYy1yZXNvdXJjZS1udW0+
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156</w:t>
      </w:r>
      <w:r>
        <w:fldChar w:fldCharType="end"/>
      </w:r>
    </w:p>
    <w:p w14:paraId="2FC29008" w14:textId="4AD02D89" w:rsidR="001454B3" w:rsidRDefault="00F0403A" w:rsidP="00995153">
      <w:r>
        <w:t>In one Cochrane review,</w:t>
      </w:r>
      <w:r>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fldChar w:fldCharType="separate"/>
      </w:r>
      <w:r w:rsidR="002747EA" w:rsidRPr="002747EA">
        <w:rPr>
          <w:noProof/>
          <w:vertAlign w:val="superscript"/>
        </w:rPr>
        <w:t>125</w:t>
      </w:r>
      <w:r>
        <w:fldChar w:fldCharType="end"/>
      </w:r>
      <w:r>
        <w:t xml:space="preserve"> there was no clear difference in risk of fetal loss (</w:t>
      </w:r>
      <w:r w:rsidRPr="001454B3">
        <w:rPr>
          <w:sz w:val="16"/>
          <w:szCs w:val="16"/>
        </w:rPr>
        <w:t>RR 1.05; 95%CI 0.90 to 1.23; 3 RCTs; n=52,480</w:t>
      </w:r>
      <w:r>
        <w:t>), early or late miscarriage (</w:t>
      </w:r>
      <w:r w:rsidRPr="001454B3">
        <w:rPr>
          <w:sz w:val="16"/>
          <w:szCs w:val="16"/>
        </w:rPr>
        <w:t>RR 0.98; 95%CI 0.92 to 1.04; 1 RCT; n=39,668</w:t>
      </w:r>
      <w:r>
        <w:t>) or stillbirth (</w:t>
      </w:r>
      <w:r w:rsidRPr="001454B3">
        <w:rPr>
          <w:sz w:val="16"/>
          <w:szCs w:val="16"/>
        </w:rPr>
        <w:t>RR 0.95; 95%CI 0.86 to 1.06; 1 RCT; n=39,668</w:t>
      </w:r>
      <w:r>
        <w:t xml:space="preserve">). </w:t>
      </w:r>
    </w:p>
    <w:p w14:paraId="539E5724" w14:textId="5762AB6B" w:rsidR="00F0403A" w:rsidRDefault="00F0403A" w:rsidP="00995153">
      <w:r>
        <w:t>The other Cochrane review</w:t>
      </w:r>
      <w:r w:rsidR="00AA0695">
        <w:fldChar w:fldCharType="begin">
          <w:fldData xml:space="preserve">PEVuZE5vdGU+PENpdGU+PEF1dGhvcj5NY0NhdWxleTwvQXV0aG9yPjxZZWFyPjIwMTU8L1llYXI+
PFJlY051bT4xMzA1PC9SZWNOdW0+PERpc3BsYXlUZXh0PjxzdHlsZSBmYWNlPSJzdXBlcnNjcmlw
dCIgZm9udD0iVHJlYnVjaGV0IE1TIiBzaXplPSI5Ij4xNTU8L3N0eWxlPjwvRGlzcGxheVRleHQ+
PHJlY29yZD48cmVjLW51bWJlcj4xMzA1PC9yZWMtbnVtYmVyPjxmb3JlaWduLWtleXM+PGtleSBh
cHA9IkVOIiBkYi1pZD0iZXh2YXNyZngyZHRyYW9lc2FzeHAyc3pzeGEyZGY1MDI1OTJ4IiB0aW1l
c3RhbXA9IjE1NjUzMTYzOTMiPjEzMDU8L2tleT48a2V5IGFwcD0iRU5XZWIiIGRiLWlkPSIiPjA8
L2tleT48L2ZvcmVpZ24ta2V5cz48cmVmLXR5cGUgbmFtZT0iSm91cm5hbCBBcnRpY2xlIj4xNzwv
cmVmLXR5cGU+PGNvbnRyaWJ1dG9ycz48YXV0aG9ycz48YXV0aG9yPk1jQ2F1bGV5LCBNLiBFLjwv
YXV0aG9yPjxhdXRob3I+dmFuIGRlbiBCcm9laywgTi48L2F1dGhvcj48YXV0aG9yPkRvdSwgTC48
L2F1dGhvcj48YXV0aG9yPk90aG1hbiwgTS48L2F1dGhvcj48L2F1dGhvcnM+PC9jb250cmlidXRv
cnM+PGF1dGgtYWRkcmVzcz5DZW50cmUgZm9yIE1hdGVybmFsIGFuZCBOZXdib3JuIEhlYWx0aCwg
RGVwYXJ0bWVudCBvZiBJbnRlcm5hdGlvbmFsIFB1YmxpYyBIZWFsdGgsIExpdmVycG9vbCBTY2hv
b2wgb2YgVHJvcGljYWwgTWVkaWNpbmUsIFBlbWJyb2tlIFBsYWNlLCBMaXZlcnBvb2wsIE1lcnNl
eXNpZGUsIFVLLCBMMyA1UUEuPC9hdXRoLWFkZHJlc3M+PHRpdGxlcz48dGl0bGU+Vml0YW1pbiBB
IHN1cHBsZW1lbnRhdGlvbiBkdXJpbmcgcHJlZ25hbmN5IGZvciBtYXRlcm5hbCBhbmQgbmV3Ym9y
biBvdXRjb21lczwvdGl0bGU+PHNlY29uZGFyeS10aXRsZT5Db2NocmFuZSBEYXRhYmFzZSBTeXN0
IFJldjwvc2Vjb25kYXJ5LXRpdGxlPjwvdGl0bGVzPjxwZXJpb2RpY2FsPjxmdWxsLXRpdGxlPkNv
Y2hyYW5lIERhdGFiYXNlIFN5c3QgUmV2PC9mdWxsLXRpdGxlPjwvcGVyaW9kaWNhbD48cGFnZXM+
Q0QwMDg2NjY8L3BhZ2VzPjxudW1iZXI+MTA8L251bWJlcj48ZWRpdGlvbj4yMDE1LzEwLzI4PC9l
ZGl0aW9uPjxrZXl3b3Jkcz48a2V5d29yZD5BbmVtaWEvcHJldmVudGlvbiAmYW1wOyBjb250cm9s
PC9rZXl3b3JkPjxrZXl3b3JkPkZlbWFsZTwva2V5d29yZD48a2V5d29yZD5IdW1hbnM8L2tleXdv
cmQ+PGtleXdvcmQ+SW5mYW50PC9rZXl3b3JkPjxrZXl3b3JkPkluZmFudCBNb3J0YWxpdHk8L2tl
eXdvcmQ+PGtleXdvcmQ+SW5mYW50LCBOZXdib3JuPC9rZXl3b3JkPjxrZXl3b3JkPk1hdGVybmFs
IE1vcnRhbGl0eTwva2V5d29yZD48a2V5d29yZD5OaWdodCBCbGluZG5lc3MvZHJ1ZyB0aGVyYXB5
PC9rZXl3b3JkPjxrZXl3b3JkPlByZWduYW5jeTwva2V5d29yZD48a2V5d29yZD5QcmVnbmFuY3kg
Q29tcGxpY2F0aW9ucy8qZHJ1ZyB0aGVyYXB5PC9rZXl3b3JkPjxrZXl3b3JkPlByZWduYW5jeSBD
b21wbGljYXRpb25zLCBJbmZlY3Rpb3VzL2RydWcgdGhlcmFweTwva2V5d29yZD48a2V5d29yZD5W
aXRhbWluIEEvKmFkbWluaXN0cmF0aW9uICZhbXA7IGRvc2FnZTwva2V5d29yZD48a2V5d29yZD5W
aXRhbWluIEEgRGVmaWNpZW5jeS8qZHJ1ZyB0aGVyYXB5PC9rZXl3b3JkPjxrZXl3b3JkPlZpdGFt
aW5zLyphZG1pbmlzdHJhdGlvbiAmYW1wOyBkb3NhZ2U8L2tleXdvcmQ+PC9rZXl3b3Jkcz48ZGF0
ZXM+PHllYXI+MjAxNTwveWVhcj48cHViLWRhdGVzPjxkYXRlPk9jdCAyNzwvZGF0ZT48L3B1Yi1k
YXRlcz48L2RhdGVzPjxpc2JuPjE0NjktNDkzWCAoRWxlY3Ryb25pYykmI3hEOzEzNjEtNjEzNyAo
TGlua2luZyk8L2lzYm4+PGFjY2Vzc2lvbi1udW0+MjY1MDM0OTg8L2FjY2Vzc2lvbi1udW0+PHVy
bHM+PHJlbGF0ZWQtdXJscz48dXJsPmh0dHBzOi8vd3d3Lm5jYmkubmxtLm5paC5nb3YvcHVibWVk
LzI2NTAzNDk4PC91cmw+PC9yZWxhdGVkLXVybHM+PC91cmxzPjxlbGVjdHJvbmljLXJlc291cmNl
LW51bT4xMC4xMDAyLzE0NjUxODU4LkNEMDA4NjY2LnB1YjM8L2VsZWN0cm9uaWMtcmVzb3VyY2Ut
bnVtPjwvcmVjb3JkPjwvQ2l0ZT48L0VuZE5vdGU+
</w:fldData>
        </w:fldChar>
      </w:r>
      <w:r w:rsidR="002747EA">
        <w:instrText xml:space="preserve"> ADDIN EN.CITE </w:instrText>
      </w:r>
      <w:r w:rsidR="002747EA">
        <w:fldChar w:fldCharType="begin">
          <w:fldData xml:space="preserve">PEVuZE5vdGU+PENpdGU+PEF1dGhvcj5NY0NhdWxleTwvQXV0aG9yPjxZZWFyPjIwMTU8L1llYXI+
PFJlY051bT4xMzA1PC9SZWNOdW0+PERpc3BsYXlUZXh0PjxzdHlsZSBmYWNlPSJzdXBlcnNjcmlw
dCIgZm9udD0iVHJlYnVjaGV0IE1TIiBzaXplPSI5Ij4xNTU8L3N0eWxlPjwvRGlzcGxheVRleHQ+
PHJlY29yZD48cmVjLW51bWJlcj4xMzA1PC9yZWMtbnVtYmVyPjxmb3JlaWduLWtleXM+PGtleSBh
cHA9IkVOIiBkYi1pZD0iZXh2YXNyZngyZHRyYW9lc2FzeHAyc3pzeGEyZGY1MDI1OTJ4IiB0aW1l
c3RhbXA9IjE1NjUzMTYzOTMiPjEzMDU8L2tleT48a2V5IGFwcD0iRU5XZWIiIGRiLWlkPSIiPjA8
L2tleT48L2ZvcmVpZ24ta2V5cz48cmVmLXR5cGUgbmFtZT0iSm91cm5hbCBBcnRpY2xlIj4xNzwv
cmVmLXR5cGU+PGNvbnRyaWJ1dG9ycz48YXV0aG9ycz48YXV0aG9yPk1jQ2F1bGV5LCBNLiBFLjwv
YXV0aG9yPjxhdXRob3I+dmFuIGRlbiBCcm9laywgTi48L2F1dGhvcj48YXV0aG9yPkRvdSwgTC48
L2F1dGhvcj48YXV0aG9yPk90aG1hbiwgTS48L2F1dGhvcj48L2F1dGhvcnM+PC9jb250cmlidXRv
cnM+PGF1dGgtYWRkcmVzcz5DZW50cmUgZm9yIE1hdGVybmFsIGFuZCBOZXdib3JuIEhlYWx0aCwg
RGVwYXJ0bWVudCBvZiBJbnRlcm5hdGlvbmFsIFB1YmxpYyBIZWFsdGgsIExpdmVycG9vbCBTY2hv
b2wgb2YgVHJvcGljYWwgTWVkaWNpbmUsIFBlbWJyb2tlIFBsYWNlLCBMaXZlcnBvb2wsIE1lcnNl
eXNpZGUsIFVLLCBMMyA1UUEuPC9hdXRoLWFkZHJlc3M+PHRpdGxlcz48dGl0bGU+Vml0YW1pbiBB
IHN1cHBsZW1lbnRhdGlvbiBkdXJpbmcgcHJlZ25hbmN5IGZvciBtYXRlcm5hbCBhbmQgbmV3Ym9y
biBvdXRjb21lczwvdGl0bGU+PHNlY29uZGFyeS10aXRsZT5Db2NocmFuZSBEYXRhYmFzZSBTeXN0
IFJldjwvc2Vjb25kYXJ5LXRpdGxlPjwvdGl0bGVzPjxwZXJpb2RpY2FsPjxmdWxsLXRpdGxlPkNv
Y2hyYW5lIERhdGFiYXNlIFN5c3QgUmV2PC9mdWxsLXRpdGxlPjwvcGVyaW9kaWNhbD48cGFnZXM+
Q0QwMDg2NjY8L3BhZ2VzPjxudW1iZXI+MTA8L251bWJlcj48ZWRpdGlvbj4yMDE1LzEwLzI4PC9l
ZGl0aW9uPjxrZXl3b3Jkcz48a2V5d29yZD5BbmVtaWEvcHJldmVudGlvbiAmYW1wOyBjb250cm9s
PC9rZXl3b3JkPjxrZXl3b3JkPkZlbWFsZTwva2V5d29yZD48a2V5d29yZD5IdW1hbnM8L2tleXdv
cmQ+PGtleXdvcmQ+SW5mYW50PC9rZXl3b3JkPjxrZXl3b3JkPkluZmFudCBNb3J0YWxpdHk8L2tl
eXdvcmQ+PGtleXdvcmQ+SW5mYW50LCBOZXdib3JuPC9rZXl3b3JkPjxrZXl3b3JkPk1hdGVybmFs
IE1vcnRhbGl0eTwva2V5d29yZD48a2V5d29yZD5OaWdodCBCbGluZG5lc3MvZHJ1ZyB0aGVyYXB5
PC9rZXl3b3JkPjxrZXl3b3JkPlByZWduYW5jeTwva2V5d29yZD48a2V5d29yZD5QcmVnbmFuY3kg
Q29tcGxpY2F0aW9ucy8qZHJ1ZyB0aGVyYXB5PC9rZXl3b3JkPjxrZXl3b3JkPlByZWduYW5jeSBD
b21wbGljYXRpb25zLCBJbmZlY3Rpb3VzL2RydWcgdGhlcmFweTwva2V5d29yZD48a2V5d29yZD5W
aXRhbWluIEEvKmFkbWluaXN0cmF0aW9uICZhbXA7IGRvc2FnZTwva2V5d29yZD48a2V5d29yZD5W
aXRhbWluIEEgRGVmaWNpZW5jeS8qZHJ1ZyB0aGVyYXB5PC9rZXl3b3JkPjxrZXl3b3JkPlZpdGFt
aW5zLyphZG1pbmlzdHJhdGlvbiAmYW1wOyBkb3NhZ2U8L2tleXdvcmQ+PC9rZXl3b3Jkcz48ZGF0
ZXM+PHllYXI+MjAxNTwveWVhcj48cHViLWRhdGVzPjxkYXRlPk9jdCAyNzwvZGF0ZT48L3B1Yi1k
YXRlcz48L2RhdGVzPjxpc2JuPjE0NjktNDkzWCAoRWxlY3Ryb25pYykmI3hEOzEzNjEtNjEzNyAo
TGlua2luZyk8L2lzYm4+PGFjY2Vzc2lvbi1udW0+MjY1MDM0OTg8L2FjY2Vzc2lvbi1udW0+PHVy
bHM+PHJlbGF0ZWQtdXJscz48dXJsPmh0dHBzOi8vd3d3Lm5jYmkubmxtLm5paC5nb3YvcHVibWVk
LzI2NTAzNDk4PC91cmw+PC9yZWxhdGVkLXVybHM+PC91cmxzPjxlbGVjdHJvbmljLXJlc291cmNl
LW51bT4xMC4xMDAyLzE0NjUxODU4LkNEMDA4NjY2LnB1YjM8L2VsZWN0cm9uaWMtcmVzb3VyY2Ut
bnVtPjwvcmVjb3JkPjwvQ2l0ZT48L0VuZE5vdGU+
</w:fldData>
        </w:fldChar>
      </w:r>
      <w:r w:rsidR="002747EA">
        <w:instrText xml:space="preserve"> ADDIN EN.CITE.DATA </w:instrText>
      </w:r>
      <w:r w:rsidR="002747EA">
        <w:fldChar w:fldCharType="end"/>
      </w:r>
      <w:r w:rsidR="00AA0695">
        <w:fldChar w:fldCharType="separate"/>
      </w:r>
      <w:r w:rsidR="002747EA" w:rsidRPr="002747EA">
        <w:rPr>
          <w:noProof/>
          <w:vertAlign w:val="superscript"/>
        </w:rPr>
        <w:t>155</w:t>
      </w:r>
      <w:r w:rsidR="00AA0695">
        <w:fldChar w:fldCharType="end"/>
      </w:r>
      <w:r>
        <w:t xml:space="preserve"> found no clear difference in maternal mortality (</w:t>
      </w:r>
      <w:r w:rsidRPr="001454B3">
        <w:rPr>
          <w:sz w:val="16"/>
          <w:szCs w:val="16"/>
        </w:rPr>
        <w:t xml:space="preserve">RR 0.88; 95%CI 0.65 to 1.20; </w:t>
      </w:r>
      <w:r w:rsidR="00995153" w:rsidRPr="001454B3">
        <w:rPr>
          <w:sz w:val="16"/>
          <w:szCs w:val="16"/>
        </w:rPr>
        <w:t>4</w:t>
      </w:r>
      <w:r w:rsidRPr="001454B3">
        <w:rPr>
          <w:sz w:val="16"/>
          <w:szCs w:val="16"/>
        </w:rPr>
        <w:t xml:space="preserve"> RCTs; n=</w:t>
      </w:r>
      <w:r w:rsidR="00995153" w:rsidRPr="001454B3">
        <w:rPr>
          <w:sz w:val="16"/>
          <w:szCs w:val="16"/>
        </w:rPr>
        <w:t xml:space="preserve">154,039; high </w:t>
      </w:r>
      <w:r w:rsidR="00836F2D">
        <w:rPr>
          <w:sz w:val="16"/>
          <w:szCs w:val="16"/>
        </w:rPr>
        <w:t>certainty</w:t>
      </w:r>
      <w:r w:rsidR="00995153">
        <w:t>), perinatal mortality (</w:t>
      </w:r>
      <w:r w:rsidR="00995153" w:rsidRPr="001454B3">
        <w:rPr>
          <w:sz w:val="16"/>
          <w:szCs w:val="16"/>
        </w:rPr>
        <w:t xml:space="preserve">RR 1.01; 95%CI 0.95 to 1.07; 1 RCT, n=76,178; high </w:t>
      </w:r>
      <w:r w:rsidR="00836F2D">
        <w:rPr>
          <w:sz w:val="16"/>
          <w:szCs w:val="16"/>
        </w:rPr>
        <w:t>certainty</w:t>
      </w:r>
      <w:r w:rsidR="00995153">
        <w:t>) or preterm birth (</w:t>
      </w:r>
      <w:r w:rsidR="00995153" w:rsidRPr="001454B3">
        <w:rPr>
          <w:sz w:val="16"/>
          <w:szCs w:val="16"/>
        </w:rPr>
        <w:t xml:space="preserve">RR 0.98; 95%CI 0.94 to 1.01; 5 RCTs, n=48,007; high </w:t>
      </w:r>
      <w:r w:rsidR="00836F2D">
        <w:rPr>
          <w:sz w:val="16"/>
          <w:szCs w:val="16"/>
        </w:rPr>
        <w:t>certainty</w:t>
      </w:r>
      <w:r w:rsidR="00995153">
        <w:t>). There was a possible reduced risk of maternal clinical infection (</w:t>
      </w:r>
      <w:r w:rsidR="00995153" w:rsidRPr="001454B3">
        <w:rPr>
          <w:sz w:val="16"/>
          <w:szCs w:val="16"/>
        </w:rPr>
        <w:t xml:space="preserve">RR 0.45; 95%CI 0.20 to 0.99; 5 RCTs; n=17,313; low </w:t>
      </w:r>
      <w:r w:rsidR="00836F2D">
        <w:rPr>
          <w:sz w:val="16"/>
          <w:szCs w:val="16"/>
        </w:rPr>
        <w:t>certainty</w:t>
      </w:r>
      <w:r w:rsidR="00995153">
        <w:t>) and m</w:t>
      </w:r>
      <w:r w:rsidR="00995153" w:rsidRPr="00BE043C">
        <w:t>aternal anaemia</w:t>
      </w:r>
      <w:r w:rsidR="00E228DE">
        <w:t xml:space="preserve"> (in areas where vitamin A deficiency is common or among women with HIV)</w:t>
      </w:r>
      <w:r w:rsidR="00995153" w:rsidRPr="00BE043C">
        <w:t xml:space="preserve"> (</w:t>
      </w:r>
      <w:r w:rsidR="00995153" w:rsidRPr="001454B3">
        <w:rPr>
          <w:sz w:val="16"/>
          <w:szCs w:val="16"/>
        </w:rPr>
        <w:t xml:space="preserve">RR 0.64; 95%CI 0.43 to 0.94; 3 RCTs; n=15,649; moderate </w:t>
      </w:r>
      <w:r w:rsidR="00836F2D">
        <w:rPr>
          <w:sz w:val="16"/>
          <w:szCs w:val="16"/>
        </w:rPr>
        <w:t>certainty</w:t>
      </w:r>
      <w:r w:rsidR="00995153">
        <w:t>).</w:t>
      </w:r>
      <w:r w:rsidR="00877C02">
        <w:t xml:space="preserve"> </w:t>
      </w:r>
    </w:p>
    <w:p w14:paraId="128FFAD3" w14:textId="058072CC" w:rsidR="00BE2859" w:rsidRPr="00801955" w:rsidRDefault="00E228DE" w:rsidP="00995153">
      <w:r>
        <w:t>The RCT found no clear effect on cognitive function of children at 8 years of age.</w:t>
      </w:r>
      <w:r w:rsidR="00AA0695">
        <w:fldChar w:fldCharType="begin">
          <w:fldData xml:space="preserve">PEVuZE5vdGU+PENpdGU+PEF1dGhvcj5BbGk8L0F1dGhvcj48WWVhcj4yMDE3PC9ZZWFyPjxSZWNO
dW0+MTMwNjwvUmVjTnVtPjxEaXNwbGF5VGV4dD48c3R5bGUgZmFjZT0ic3VwZXJzY3JpcHQiIGZv
bnQ9IlRyZWJ1Y2hldCBNUyIgc2l6ZT0iOSI+MTU2PC9zdHlsZT48L0Rpc3BsYXlUZXh0PjxyZWNv
cmQ+PHJlYy1udW1iZXI+MTMwNjwvcmVjLW51bWJlcj48Zm9yZWlnbi1rZXlzPjxrZXkgYXBwPSJF
TiIgZGItaWQ9ImV4dmFzcmZ4MmR0cmFvZXNhc3hwMnN6c3hhMmRmNTAyNTkyeCIgdGltZXN0YW1w
PSIxNTY1MzE4OTU3Ij4xMzA2PC9rZXk+PC9mb3JlaWduLWtleXM+PHJlZi10eXBlIG5hbWU9Ikpv
dXJuYWwgQXJ0aWNsZSI+MTc8L3JlZi10eXBlPjxjb250cmlidXRvcnM+PGF1dGhvcnM+PGF1dGhv
cj5BbGksIEguPC9hdXRob3I+PGF1dGhvcj5IYW1hZGFuaSwgSi48L2F1dGhvcj48YXV0aG9yPk1l
aHJhLCBTLjwvYXV0aG9yPjxhdXRob3I+VG9mYWlsLCBGLjwvYXV0aG9yPjxhdXRob3I+SGFzYW4s
IE0uIEkuPC9hdXRob3I+PGF1dGhvcj5TaGFpa2gsIFMuPC9hdXRob3I+PGF1dGhvcj5TaGFtaW0s
IEEuIEEuPC9hdXRob3I+PGF1dGhvcj5XdSwgTC4gUy48L2F1dGhvcj48YXV0aG9yPldlc3QsIEsu
IFAuLCBKci48L2F1dGhvcj48YXV0aG9yPkNocmlzdGlhbiwgUC48L2F1dGhvcj48L2F1dGhvcnM+
PC9jb250cmlidXRvcnM+PGF1dGgtYWRkcmVzcz5UaGUgSmlWaXRBIFByb2plY3QsIEpvaG5zIEhv
cGtpbnMgVW5pdmVyc2l0eSBCYW5nbGFkZXNoLCBQYXNjaGltIFBhcmEsIEdhaWJhbmRoYSwgQmFu
Z2xhZGVzaDsgaGFzbW90Lmppdml0YUBnbWFpbC5jb20uJiN4RDtDZW50ZXIgZm9yIEh1bWFuIE51
dHJpdGlvbiwgSm9obnMgSG9wa2lucyBCbG9vbWJlcmcgU2Nob29sIG9mIFB1YmxpYyBIZWFsdGgs
IEJhbHRpbW9yZSwgTUQuJiN4RDtDaGlsZCBEZXZlbG9wbWVudCBVbml0LCBJbnRlcm5hdGlvbmFs
IENlbnRlciBmb3IgRGlhcnJoZWFsIERpc2Vhc2UgUmVzZWFyY2gsIEJhbmdsYWRlc2gsIERoYWth
LCBCYW5nbGFkZXNoLiYjeEQ7VGhlIEppVml0QSBQcm9qZWN0LCBKb2hucyBIb3BraW5zIFVuaXZl
cnNpdHkgQmFuZ2xhZGVzaCwgUGFzY2hpbSBQYXJhLCBHYWliYW5kaGEsIEJhbmdsYWRlc2guJiN4
RDtGSEkgMzYwLCBEaGFrYSwgQmFuZ2xhZGVzaDsgYW5kLiYjeEQ7QmlsbCAmYW1wOyBNZWxpbmRh
IEdhdGVzIEZvdW5kYXRpb24sIFNlYXR0bGUsIFdBLjwvYXV0aC1hZGRyZXNzPjx0aXRsZXM+PHRp
dGxlPkVmZmVjdCBvZiBtYXRlcm5hbCBhbnRlbmF0YWwgYW5kIG5ld2Jvcm4gc3VwcGxlbWVudGF0
aW9uIHdpdGggdml0YW1pbiBBIG9uIGNvZ25pdGl2ZSBkZXZlbG9wbWVudCBvZiBzY2hvb2wtYWdl
ZCBjaGlsZHJlbiBpbiBydXJhbCBCYW5nbGFkZXNoOiBhIGZvbGxvdy11cCBvZiBhIHBsYWNlYm8t
Y29udHJvbGxlZCwgcmFuZG9taXplZCB0cmlhbDwvdGl0bGU+PHNlY29uZGFyeS10aXRsZT5BbSBK
IENsaW4gTnV0cjwvc2Vjb25kYXJ5LXRpdGxlPjwvdGl0bGVzPjxwZXJpb2RpY2FsPjxmdWxsLXRp
dGxlPkFtIEogQ2xpbiBOdXRyPC9mdWxsLXRpdGxlPjwvcGVyaW9kaWNhbD48cGFnZXM+NzctODc8
L3BhZ2VzPjx2b2x1bWU+MTA2PC92b2x1bWU+PG51bWJlcj4xPC9udW1iZXI+PGVkaXRpb24+MjAx
Ny8wNS8xMjwvZWRpdGlvbj48a2V5d29yZHM+PGtleXdvcmQ+QWRvbGVzY2VudDwva2V5d29yZD48
a2V5d29yZD5BZHVsdDwva2V5d29yZD48a2V5d29yZD5CYW5nbGFkZXNoPC9rZXl3b3JkPjxrZXl3
b3JkPkNoaWxkPC9rZXl3b3JkPjxrZXl3b3JkPkNoaWxkIERldmVsb3BtZW50LypkcnVnIGVmZmVj
dHM8L2tleXdvcmQ+PGtleXdvcmQ+KkNvZ25pdGlvbjwva2V5d29yZD48a2V5d29yZD4qRGlldGFy
eSBTdXBwbGVtZW50czwva2V5d29yZD48a2V5d29yZD5Eb3VibGUtQmxpbmQgTWV0aG9kPC9rZXl3
b3JkPjxrZXl3b3JkPipFeGVjdXRpdmUgRnVuY3Rpb248L2tleXdvcmQ+PGtleXdvcmQ+RmVtYWxl
PC9rZXl3b3JkPjxrZXl3b3JkPkZvbGxvdy1VcCBTdHVkaWVzPC9rZXl3b3JkPjxrZXl3b3JkPkh1
bWFuczwva2V5d29yZD48a2V5d29yZD5JbmZhbnQsIE5ld2Jvcm48L2tleXdvcmQ+PGtleXdvcmQ+
SW50ZWxsaWdlbmNlPC9rZXl3b3JkPjxrZXl3b3JkPipMZWFybmluZzwva2V5d29yZD48a2V5d29y
ZD5NYWxlPC9rZXl3b3JkPjxrZXl3b3JkPlBlcmluYXRhbCBDYXJlPC9rZXl3b3JkPjxrZXl3b3Jk
PlByZWduYW5jeTwva2V5d29yZD48a2V5d29yZD4qUHJlbmF0YWwgTnV0cml0aW9uYWwgUGh5c2lv
bG9naWNhbCBQaGVub21lbmE8L2tleXdvcmQ+PGtleXdvcmQ+UnVyYWwgUG9wdWxhdGlvbjwva2V5
d29yZD48a2V5d29yZD5WaXRhbWluIEEvKnBoYXJtYWNvbG9neTwva2V5d29yZD48a2V5d29yZD5W
aXRhbWlucy9waGFybWFjb2xvZ3k8L2tleXdvcmQ+PGtleXdvcmQ+WW91bmcgQWR1bHQ8L2tleXdv
cmQ+PGtleXdvcmQ+Y29nbml0aXZlIGZ1bmN0aW9uPC9rZXl3b3JkPjxrZXl3b3JkPm5ld2Jvcm48
L2tleXdvcmQ+PGtleXdvcmQ+cHJlbmF0YWw8L2tleXdvcmQ+PGtleXdvcmQ+c2Nob2xhc3RpYyBw
ZXJmb3JtYW5jZTwva2V5d29yZD48a2V5d29yZD52aXRhbWluIEE8L2tleXdvcmQ+PC9rZXl3b3Jk
cz48ZGF0ZXM+PHllYXI+MjAxNzwveWVhcj48cHViLWRhdGVzPjxkYXRlPkp1bDwvZGF0ZT48L3B1
Yi1kYXRlcz48L2RhdGVzPjxpc2JuPjE5MzgtMzIwNyAoRWxlY3Ryb25pYykmI3hEOzAwMDItOTE2
NSAoTGlua2luZyk8L2lzYm4+PGFjY2Vzc2lvbi1udW0+Mjg0OTA1MTM8L2FjY2Vzc2lvbi1udW0+
PHVybHM+PHJlbGF0ZWQtdXJscz48dXJsPmh0dHBzOi8vd3d3Lm5jYmkubmxtLm5paC5nb3YvcHVi
bWVkLzI4NDkwNTEzPC91cmw+PC9yZWxhdGVkLXVybHM+PC91cmxzPjxlbGVjdHJvbmljLXJlc291
cmNlLW51bT4xMC4zOTQ1L2FqY24uMTE2LjEzNDQ3ODwvZWxlY3Ryb25pYy1yZXNvdXJjZS1udW0+
PC9yZWNvcmQ+PC9DaXRlPjwvRW5kTm90ZT5=
</w:fldData>
        </w:fldChar>
      </w:r>
      <w:r w:rsidR="002747EA">
        <w:instrText xml:space="preserve"> ADDIN EN.CITE </w:instrText>
      </w:r>
      <w:r w:rsidR="002747EA">
        <w:fldChar w:fldCharType="begin">
          <w:fldData xml:space="preserve">PEVuZE5vdGU+PENpdGU+PEF1dGhvcj5BbGk8L0F1dGhvcj48WWVhcj4yMDE3PC9ZZWFyPjxSZWNO
dW0+MTMwNjwvUmVjTnVtPjxEaXNwbGF5VGV4dD48c3R5bGUgZmFjZT0ic3VwZXJzY3JpcHQiIGZv
bnQ9IlRyZWJ1Y2hldCBNUyIgc2l6ZT0iOSI+MTU2PC9zdHlsZT48L0Rpc3BsYXlUZXh0PjxyZWNv
cmQ+PHJlYy1udW1iZXI+MTMwNjwvcmVjLW51bWJlcj48Zm9yZWlnbi1rZXlzPjxrZXkgYXBwPSJF
TiIgZGItaWQ9ImV4dmFzcmZ4MmR0cmFvZXNhc3hwMnN6c3hhMmRmNTAyNTkyeCIgdGltZXN0YW1w
PSIxNTY1MzE4OTU3Ij4xMzA2PC9rZXk+PC9mb3JlaWduLWtleXM+PHJlZi10eXBlIG5hbWU9Ikpv
dXJuYWwgQXJ0aWNsZSI+MTc8L3JlZi10eXBlPjxjb250cmlidXRvcnM+PGF1dGhvcnM+PGF1dGhv
cj5BbGksIEguPC9hdXRob3I+PGF1dGhvcj5IYW1hZGFuaSwgSi48L2F1dGhvcj48YXV0aG9yPk1l
aHJhLCBTLjwvYXV0aG9yPjxhdXRob3I+VG9mYWlsLCBGLjwvYXV0aG9yPjxhdXRob3I+SGFzYW4s
IE0uIEkuPC9hdXRob3I+PGF1dGhvcj5TaGFpa2gsIFMuPC9hdXRob3I+PGF1dGhvcj5TaGFtaW0s
IEEuIEEuPC9hdXRob3I+PGF1dGhvcj5XdSwgTC4gUy48L2F1dGhvcj48YXV0aG9yPldlc3QsIEsu
IFAuLCBKci48L2F1dGhvcj48YXV0aG9yPkNocmlzdGlhbiwgUC48L2F1dGhvcj48L2F1dGhvcnM+
PC9jb250cmlidXRvcnM+PGF1dGgtYWRkcmVzcz5UaGUgSmlWaXRBIFByb2plY3QsIEpvaG5zIEhv
cGtpbnMgVW5pdmVyc2l0eSBCYW5nbGFkZXNoLCBQYXNjaGltIFBhcmEsIEdhaWJhbmRoYSwgQmFu
Z2xhZGVzaDsgaGFzbW90Lmppdml0YUBnbWFpbC5jb20uJiN4RDtDZW50ZXIgZm9yIEh1bWFuIE51
dHJpdGlvbiwgSm9obnMgSG9wa2lucyBCbG9vbWJlcmcgU2Nob29sIG9mIFB1YmxpYyBIZWFsdGgs
IEJhbHRpbW9yZSwgTUQuJiN4RDtDaGlsZCBEZXZlbG9wbWVudCBVbml0LCBJbnRlcm5hdGlvbmFs
IENlbnRlciBmb3IgRGlhcnJoZWFsIERpc2Vhc2UgUmVzZWFyY2gsIEJhbmdsYWRlc2gsIERoYWth
LCBCYW5nbGFkZXNoLiYjeEQ7VGhlIEppVml0QSBQcm9qZWN0LCBKb2hucyBIb3BraW5zIFVuaXZl
cnNpdHkgQmFuZ2xhZGVzaCwgUGFzY2hpbSBQYXJhLCBHYWliYW5kaGEsIEJhbmdsYWRlc2guJiN4
RDtGSEkgMzYwLCBEaGFrYSwgQmFuZ2xhZGVzaDsgYW5kLiYjeEQ7QmlsbCAmYW1wOyBNZWxpbmRh
IEdhdGVzIEZvdW5kYXRpb24sIFNlYXR0bGUsIFdBLjwvYXV0aC1hZGRyZXNzPjx0aXRsZXM+PHRp
dGxlPkVmZmVjdCBvZiBtYXRlcm5hbCBhbnRlbmF0YWwgYW5kIG5ld2Jvcm4gc3VwcGxlbWVudGF0
aW9uIHdpdGggdml0YW1pbiBBIG9uIGNvZ25pdGl2ZSBkZXZlbG9wbWVudCBvZiBzY2hvb2wtYWdl
ZCBjaGlsZHJlbiBpbiBydXJhbCBCYW5nbGFkZXNoOiBhIGZvbGxvdy11cCBvZiBhIHBsYWNlYm8t
Y29udHJvbGxlZCwgcmFuZG9taXplZCB0cmlhbDwvdGl0bGU+PHNlY29uZGFyeS10aXRsZT5BbSBK
IENsaW4gTnV0cjwvc2Vjb25kYXJ5LXRpdGxlPjwvdGl0bGVzPjxwZXJpb2RpY2FsPjxmdWxsLXRp
dGxlPkFtIEogQ2xpbiBOdXRyPC9mdWxsLXRpdGxlPjwvcGVyaW9kaWNhbD48cGFnZXM+NzctODc8
L3BhZ2VzPjx2b2x1bWU+MTA2PC92b2x1bWU+PG51bWJlcj4xPC9udW1iZXI+PGVkaXRpb24+MjAx
Ny8wNS8xMjwvZWRpdGlvbj48a2V5d29yZHM+PGtleXdvcmQ+QWRvbGVzY2VudDwva2V5d29yZD48
a2V5d29yZD5BZHVsdDwva2V5d29yZD48a2V5d29yZD5CYW5nbGFkZXNoPC9rZXl3b3JkPjxrZXl3
b3JkPkNoaWxkPC9rZXl3b3JkPjxrZXl3b3JkPkNoaWxkIERldmVsb3BtZW50LypkcnVnIGVmZmVj
dHM8L2tleXdvcmQ+PGtleXdvcmQ+KkNvZ25pdGlvbjwva2V5d29yZD48a2V5d29yZD4qRGlldGFy
eSBTdXBwbGVtZW50czwva2V5d29yZD48a2V5d29yZD5Eb3VibGUtQmxpbmQgTWV0aG9kPC9rZXl3
b3JkPjxrZXl3b3JkPipFeGVjdXRpdmUgRnVuY3Rpb248L2tleXdvcmQ+PGtleXdvcmQ+RmVtYWxl
PC9rZXl3b3JkPjxrZXl3b3JkPkZvbGxvdy1VcCBTdHVkaWVzPC9rZXl3b3JkPjxrZXl3b3JkPkh1
bWFuczwva2V5d29yZD48a2V5d29yZD5JbmZhbnQsIE5ld2Jvcm48L2tleXdvcmQ+PGtleXdvcmQ+
SW50ZWxsaWdlbmNlPC9rZXl3b3JkPjxrZXl3b3JkPipMZWFybmluZzwva2V5d29yZD48a2V5d29y
ZD5NYWxlPC9rZXl3b3JkPjxrZXl3b3JkPlBlcmluYXRhbCBDYXJlPC9rZXl3b3JkPjxrZXl3b3Jk
PlByZWduYW5jeTwva2V5d29yZD48a2V5d29yZD4qUHJlbmF0YWwgTnV0cml0aW9uYWwgUGh5c2lv
bG9naWNhbCBQaGVub21lbmE8L2tleXdvcmQ+PGtleXdvcmQ+UnVyYWwgUG9wdWxhdGlvbjwva2V5
d29yZD48a2V5d29yZD5WaXRhbWluIEEvKnBoYXJtYWNvbG9neTwva2V5d29yZD48a2V5d29yZD5W
aXRhbWlucy9waGFybWFjb2xvZ3k8L2tleXdvcmQ+PGtleXdvcmQ+WW91bmcgQWR1bHQ8L2tleXdv
cmQ+PGtleXdvcmQ+Y29nbml0aXZlIGZ1bmN0aW9uPC9rZXl3b3JkPjxrZXl3b3JkPm5ld2Jvcm48
L2tleXdvcmQ+PGtleXdvcmQ+cHJlbmF0YWw8L2tleXdvcmQ+PGtleXdvcmQ+c2Nob2xhc3RpYyBw
ZXJmb3JtYW5jZTwva2V5d29yZD48a2V5d29yZD52aXRhbWluIEE8L2tleXdvcmQ+PC9rZXl3b3Jk
cz48ZGF0ZXM+PHllYXI+MjAxNzwveWVhcj48cHViLWRhdGVzPjxkYXRlPkp1bDwvZGF0ZT48L3B1
Yi1kYXRlcz48L2RhdGVzPjxpc2JuPjE5MzgtMzIwNyAoRWxlY3Ryb25pYykmI3hEOzAwMDItOTE2
NSAoTGlua2luZyk8L2lzYm4+PGFjY2Vzc2lvbi1udW0+Mjg0OTA1MTM8L2FjY2Vzc2lvbi1udW0+
PHVybHM+PHJlbGF0ZWQtdXJscz48dXJsPmh0dHBzOi8vd3d3Lm5jYmkubmxtLm5paC5nb3YvcHVi
bWVkLzI4NDkwNTEzPC91cmw+PC9yZWxhdGVkLXVybHM+PC91cmxzPjxlbGVjdHJvbmljLXJlc291
cmNlLW51bT4xMC4zOTQ1L2FqY24uMTE2LjEzNDQ3ODwvZWxlY3Ryb25pYy1yZXNvdXJjZS1udW0+
PC9yZWNvcmQ+PC9DaXRlPjwvRW5kTm90ZT5=
</w:fldData>
        </w:fldChar>
      </w:r>
      <w:r w:rsidR="002747EA">
        <w:instrText xml:space="preserve"> ADDIN EN.CITE.DATA </w:instrText>
      </w:r>
      <w:r w:rsidR="002747EA">
        <w:fldChar w:fldCharType="end"/>
      </w:r>
      <w:r w:rsidR="00AA0695">
        <w:fldChar w:fldCharType="separate"/>
      </w:r>
      <w:r w:rsidR="002747EA" w:rsidRPr="002747EA">
        <w:rPr>
          <w:noProof/>
          <w:vertAlign w:val="superscript"/>
        </w:rPr>
        <w:t>156</w:t>
      </w:r>
      <w:r w:rsidR="00AA0695">
        <w:fldChar w:fldCharType="end"/>
      </w:r>
    </w:p>
    <w:p w14:paraId="15C724A7" w14:textId="12A142E7" w:rsidR="00677230" w:rsidRDefault="00686B30" w:rsidP="00677230">
      <w:pPr>
        <w:pStyle w:val="Heading4"/>
      </w:pPr>
      <w:r>
        <w:t>Multiple micronutrients</w:t>
      </w:r>
    </w:p>
    <w:p w14:paraId="60F98666" w14:textId="77777777" w:rsidR="0089439C" w:rsidRDefault="0089439C" w:rsidP="0089439C">
      <w:pPr>
        <w:pStyle w:val="Heading5"/>
      </w:pPr>
      <w:r>
        <w:t>Background</w:t>
      </w:r>
    </w:p>
    <w:p w14:paraId="1A9D13C6" w14:textId="2BBBC90A" w:rsidR="00323D62" w:rsidRDefault="00323D62" w:rsidP="00323D62">
      <w:r>
        <w:t xml:space="preserve">A survey of pregnant women conducted in Sydney found that </w:t>
      </w:r>
      <w:r w:rsidR="00647A31">
        <w:t>79.1</w:t>
      </w:r>
      <w:r>
        <w:t>% were taking a</w:t>
      </w:r>
      <w:r w:rsidR="00647A31">
        <w:t xml:space="preserve"> multivitamin </w:t>
      </w:r>
      <w:r>
        <w:t>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2751C404" w14:textId="7A0F2916" w:rsidR="00F40833" w:rsidRDefault="00F40833" w:rsidP="00F40833">
      <w:r>
        <w:t>In a cross-sectional study among pregnant women in southern Queensland,</w:t>
      </w:r>
      <w:r w:rsidR="00BA7CBD">
        <w:fldChar w:fldCharType="begin"/>
      </w:r>
      <w:r w:rsidR="002747EA">
        <w:instrText xml:space="preserve"> ADDIN EN.CITE &lt;EndNote&gt;&lt;Cite&gt;&lt;Author&gt;McAlpine&lt;/Author&gt;&lt;Year&gt;2020&lt;/Year&gt;&lt;RecNum&gt;1814&lt;/RecNum&gt;&lt;DisplayText&gt;&lt;style face="superscript" font="Trebuchet MS" size="9"&gt;157&lt;/style&gt;&lt;/DisplayText&gt;&lt;record&gt;&lt;rec-number&gt;1814&lt;/rec-number&gt;&lt;foreign-keys&gt;&lt;key app="EN" db-id="exvasrfx2dtraoesasxp2szsxa2df502592x" timestamp="1583726454"&gt;1814&lt;/key&gt;&lt;key app="ENWeb" db-id=""&gt;0&lt;/key&gt;&lt;/foreign-keys&gt;&lt;ref-type name="Journal Article"&gt;17&lt;/ref-type&gt;&lt;contributors&gt;&lt;authors&gt;&lt;author&gt;McAlpine, J. M.&lt;/author&gt;&lt;author&gt;Vanderlelie, J. J.&lt;/author&gt;&lt;author&gt;Vincze, L. J.&lt;/author&gt;&lt;author&gt;Perkins, A. V.&lt;/author&gt;&lt;/authors&gt;&lt;/contributors&gt;&lt;auth-address&gt;School of Nursing and Midwifery, Griffith University Logan Campus, Brisbane, Queensland, Australia.&amp;#xD;School of Medical Science, Menzies Health Institute Queensland, Griffith University Gold Coast Campus, Southport, Queensland, Australia.&amp;#xD;The Judith Lumley Centre, La Trobe University, Melbourne, Victoria, Australia.&amp;#xD;School of Allied Health Sciences, Menzies Health Institute Queensland, Griffith University Gold Coast Campus, Southport, Queensland, Australia.&lt;/auth-address&gt;&lt;titles&gt;&lt;title&gt;Use of micronutrient supplements in pregnant women of south-east Queensland&lt;/title&gt;&lt;secondary-title&gt;Aust N Z J Obstet Gynaecol&lt;/secondary-title&gt;&lt;/titles&gt;&lt;periodical&gt;&lt;full-title&gt;Aust N Z J Obstet Gynaecol&lt;/full-title&gt;&lt;/periodical&gt;&lt;edition&gt;2020/01/07&lt;/edition&gt;&lt;keywords&gt;&lt;keyword&gt;dietary supplements&lt;/keyword&gt;&lt;keyword&gt;guidelines&lt;/keyword&gt;&lt;keyword&gt;pregnancy&lt;/keyword&gt;&lt;keyword&gt;pregnancy trimester&lt;/keyword&gt;&lt;keyword&gt;third&lt;/keyword&gt;&lt;keyword&gt;trace elements&lt;/keyword&gt;&lt;/keywords&gt;&lt;dates&gt;&lt;year&gt;2020&lt;/year&gt;&lt;pub-dates&gt;&lt;date&gt;Jan 5&lt;/date&gt;&lt;/pub-dates&gt;&lt;/dates&gt;&lt;isbn&gt;1479-828X (Electronic)&amp;#xD;0004-8666 (Linking)&lt;/isbn&gt;&lt;accession-num&gt;31903555&lt;/accession-num&gt;&lt;urls&gt;&lt;related-urls&gt;&lt;url&gt;https://www.ncbi.nlm.nih.gov/pubmed/31903555&lt;/url&gt;&lt;/related-urls&gt;&lt;/urls&gt;&lt;electronic-resource-num&gt;10.1111/ajo.13109&lt;/electronic-resource-num&gt;&lt;/record&gt;&lt;/Cite&gt;&lt;/EndNote&gt;</w:instrText>
      </w:r>
      <w:r w:rsidR="00BA7CBD">
        <w:fldChar w:fldCharType="separate"/>
      </w:r>
      <w:r w:rsidR="002747EA" w:rsidRPr="002747EA">
        <w:rPr>
          <w:noProof/>
          <w:vertAlign w:val="superscript"/>
        </w:rPr>
        <w:t>157</w:t>
      </w:r>
      <w:r w:rsidR="00BA7CBD">
        <w:fldChar w:fldCharType="end"/>
      </w:r>
      <w:r>
        <w:t xml:space="preserve"> 42% of participants used p</w:t>
      </w:r>
      <w:r w:rsidRPr="00F40833">
        <w:t>regnancy multivitamin</w:t>
      </w:r>
      <w:r>
        <w:t>s</w:t>
      </w:r>
      <w:r w:rsidRPr="00F40833">
        <w:t>, with</w:t>
      </w:r>
      <w:r>
        <w:t xml:space="preserve"> </w:t>
      </w:r>
      <w:r w:rsidRPr="00F40833">
        <w:t xml:space="preserve">26.8% </w:t>
      </w:r>
      <w:r w:rsidR="00596673">
        <w:t>using</w:t>
      </w:r>
      <w:r w:rsidRPr="00F40833">
        <w:t xml:space="preserve"> multivitamins in combination with individual micronutrients and</w:t>
      </w:r>
      <w:r>
        <w:t xml:space="preserve"> </w:t>
      </w:r>
      <w:r w:rsidRPr="00F40833">
        <w:t xml:space="preserve">9.8% </w:t>
      </w:r>
      <w:r w:rsidR="00596673">
        <w:t>using</w:t>
      </w:r>
      <w:r w:rsidRPr="00F40833">
        <w:t xml:space="preserve"> specific micronutrient supplement</w:t>
      </w:r>
      <w:r w:rsidR="00596673">
        <w:t>s</w:t>
      </w:r>
      <w:r w:rsidRPr="00F40833">
        <w:t>. Nulliparous women were</w:t>
      </w:r>
      <w:r>
        <w:t xml:space="preserve"> </w:t>
      </w:r>
      <w:r w:rsidRPr="00F40833">
        <w:t xml:space="preserve">more likely to </w:t>
      </w:r>
      <w:r w:rsidR="00596673">
        <w:t xml:space="preserve">use </w:t>
      </w:r>
      <w:r w:rsidRPr="00F40833">
        <w:t>supplements than their multiparous peers (</w:t>
      </w:r>
      <w:r w:rsidR="00596673" w:rsidRPr="00596673">
        <w:rPr>
          <w:sz w:val="16"/>
          <w:szCs w:val="16"/>
        </w:rPr>
        <w:t>aOR 1.938;</w:t>
      </w:r>
      <w:r w:rsidRPr="00596673">
        <w:rPr>
          <w:sz w:val="16"/>
          <w:szCs w:val="16"/>
        </w:rPr>
        <w:t xml:space="preserve"> 95% CI 1.053</w:t>
      </w:r>
      <w:r w:rsidR="00596673" w:rsidRPr="00596673">
        <w:rPr>
          <w:sz w:val="16"/>
          <w:szCs w:val="16"/>
        </w:rPr>
        <w:t xml:space="preserve"> to 3.571, p=0.034</w:t>
      </w:r>
      <w:r w:rsidR="00596673">
        <w:t>); smoking (</w:t>
      </w:r>
      <w:r w:rsidR="00596673" w:rsidRPr="00596673">
        <w:rPr>
          <w:sz w:val="16"/>
          <w:szCs w:val="16"/>
        </w:rPr>
        <w:t>aOR 2.717;</w:t>
      </w:r>
      <w:r w:rsidRPr="00596673">
        <w:rPr>
          <w:sz w:val="16"/>
          <w:szCs w:val="16"/>
        </w:rPr>
        <w:t xml:space="preserve"> 95%CI 1.011</w:t>
      </w:r>
      <w:r w:rsidR="00596673" w:rsidRPr="00596673">
        <w:rPr>
          <w:sz w:val="16"/>
          <w:szCs w:val="16"/>
        </w:rPr>
        <w:t xml:space="preserve"> to 7.302; p=</w:t>
      </w:r>
      <w:r w:rsidRPr="00596673">
        <w:rPr>
          <w:sz w:val="16"/>
          <w:szCs w:val="16"/>
        </w:rPr>
        <w:t>0.047</w:t>
      </w:r>
      <w:r w:rsidRPr="00F40833">
        <w:t>) and low socio-economic status</w:t>
      </w:r>
      <w:r w:rsidR="00596673">
        <w:t xml:space="preserve"> </w:t>
      </w:r>
      <w:r w:rsidR="00596673" w:rsidRPr="00F40833">
        <w:t>(</w:t>
      </w:r>
      <w:r w:rsidR="00596673" w:rsidRPr="00596673">
        <w:rPr>
          <w:sz w:val="16"/>
          <w:szCs w:val="16"/>
        </w:rPr>
        <w:t>aOR 2.451; 95%CI 1.010–5.949; p=0.048</w:t>
      </w:r>
      <w:r w:rsidR="00596673" w:rsidRPr="00F40833">
        <w:t>)</w:t>
      </w:r>
      <w:r w:rsidRPr="00F40833">
        <w:t xml:space="preserve"> were associated with no</w:t>
      </w:r>
      <w:r>
        <w:t xml:space="preserve"> </w:t>
      </w:r>
      <w:r w:rsidRPr="00F40833">
        <w:t>supplement use.</w:t>
      </w:r>
    </w:p>
    <w:p w14:paraId="57999F91" w14:textId="3E1F8720" w:rsidR="00193208" w:rsidRDefault="0090503E" w:rsidP="009D4734">
      <w:r>
        <w:t xml:space="preserve">In a retrospective analysis of </w:t>
      </w:r>
      <w:r w:rsidR="00193208">
        <w:t>uncomplicated pregnancies</w:t>
      </w:r>
      <w:r>
        <w:t xml:space="preserve"> </w:t>
      </w:r>
      <w:r w:rsidR="00193208">
        <w:t>in Queensland,</w:t>
      </w:r>
      <w:r w:rsidR="00BA7CBD">
        <w:fldChar w:fldCharType="begin">
          <w:fldData xml:space="preserve">PEVuZE5vdGU+PENpdGU+PEF1dGhvcj5NY0FscGluZTwvQXV0aG9yPjxZZWFyPjIwMTY8L1llYXI+
PFJlY051bT4xODEzPC9SZWNOdW0+PERpc3BsYXlUZXh0PjxzdHlsZSBmYWNlPSJzdXBlcnNjcmlw
dCIgZm9udD0iVHJlYnVjaGV0IE1TIiBzaXplPSI5Ij4xNTg8L3N0eWxlPjwvRGlzcGxheVRleHQ+
PHJlY29yZD48cmVjLW51bWJlcj4xODEzPC9yZWMtbnVtYmVyPjxmb3JlaWduLWtleXM+PGtleSBh
cHA9IkVOIiBkYi1pZD0iZXh2YXNyZngyZHRyYW9lc2FzeHAyc3pzeGEyZGY1MDI1OTJ4IiB0aW1l
c3RhbXA9IjE1ODM3MjY0NDgiPjE4MTM8L2tleT48a2V5IGFwcD0iRU5XZWIiIGRiLWlkPSIiPjA8
L2tleT48L2ZvcmVpZ24ta2V5cz48cmVmLXR5cGUgbmFtZT0iSm91cm5hbCBBcnRpY2xlIj4xNzwv
cmVmLXR5cGU+PGNvbnRyaWJ1dG9ycz48YXV0aG9ycz48YXV0aG9yPk1jQWxwaW5lLCBKLiBNLjwv
YXV0aG9yPjxhdXRob3I+U2NvdHQsIFIuPC9hdXRob3I+PGF1dGhvcj5TY3VmZmhhbSwgUC4gQS48
L2F1dGhvcj48YXV0aG9yPlBlcmtpbnMsIEEuIFYuPC9hdXRob3I+PGF1dGhvcj5WYW5kZXJsZWxp
ZSwgSi4gSi48L2F1dGhvcj48L2F1dGhvcnM+PC9jb250cmlidXRvcnM+PGF1dGgtYWRkcmVzcz5T
Y2hvb2wgb2YgTWVkaWNhbCBTY2llbmNlLCBNZW56aWVzIEhlYWx0aCBJbnN0aXR1dGUgUXVlZW5z
bGFuZCwgR3JpZmZpdGggVW5pdmVyc2l0eSBHb2xkIENvYXN0IENhbXB1cywgU291dGhwb3J0LCBR
TEQsIEF1c3RyYWxpYTsgRGVwYXJ0bWVudCBvZiBXb21lbiZhcG9zO3MgYW5kIE5ld2Jvcm4gSGVh
bHRoLCBHb2xkIENvYXN0IFVuaXZlcnNpdHkgSG9zcGl0YWwsIFNvdXRocG9ydCwgUUxELCBBdXN0
cmFsaWEuJiN4RDtTY2hvb2wgb2YgTWVkaWNpbmUsIE1lbnppZXMgSGVhbHRoIEluc3RpdHV0ZSBR
dWVlbnNsYW5kLCBHcmlmZml0aCBVbml2ZXJzaXR5LCBHb2xkIENvYXN0IENhbXB1cywgU291dGhw
b3J0LCBRTEQsIEF1c3RyYWxpYS4mI3hEO1NjaG9vbCBvZiBNZWRpY2FsIFNjaWVuY2UsIE1lbnpp
ZXMgSGVhbHRoIEluc3RpdHV0ZSBRdWVlbnNsYW5kLCBHcmlmZml0aCBVbml2ZXJzaXR5IEdvbGQg
Q29hc3QgQ2FtcHVzLCBTb3V0aHBvcnQsIFFMRCwgQXVzdHJhbGlhLiYjeEQ7U2Nob29sIG9mIE1l
ZGljYWwgU2NpZW5jZSwgTWVuemllcyBIZWFsdGggSW5zdGl0dXRlIFF1ZWVuc2xhbmQsIEdyaWZm
aXRoIFVuaXZlcnNpdHkgR29sZCBDb2FzdCBDYW1wdXMsIFNvdXRocG9ydCwgUUxELCBBdXN0cmFs
aWEuIEVsZWN0cm9uaWMgYWRkcmVzczogai52YW5kZXJsZWxpZUBncmlmZml0aC5lZHUuYXUuPC9h
dXRoLWFkZHJlc3M+PHRpdGxlcz48dGl0bGU+VGhlIGFzc29jaWF0aW9uIGJldHdlZW4gdGhpcmQg
dHJpbWVzdGVyIG11bHRpdml0YW1pbi9taW5lcmFsIHN1cHBsZW1lbnRzIGFuZCBnZXN0YXRpb25h
bCBsZW5ndGggaW4gdW5jb21wbGljYXRlZCBwcmVnbmFuY2llczwvdGl0bGU+PHNlY29uZGFyeS10
aXRsZT5Xb21lbiBCaXJ0aDwvc2Vjb25kYXJ5LXRpdGxlPjwvdGl0bGVzPjxwZXJpb2RpY2FsPjxm
dWxsLXRpdGxlPldvbWVuIEJpcnRoPC9mdWxsLXRpdGxlPjwvcGVyaW9kaWNhbD48cGFnZXM+NDEt
NjwvcGFnZXM+PHZvbHVtZT4yOTwvdm9sdW1lPjxudW1iZXI+MTwvbnVtYmVyPjxlZGl0aW9uPjIw
MTUvMDkvMDE8L2VkaXRpb24+PGtleXdvcmRzPjxrZXl3b3JkPkFkdWx0PC9rZXl3b3JkPjxrZXl3
b3JkPipEaWV0YXJ5IFN1cHBsZW1lbnRzPC9rZXl3b3JkPjxrZXl3b3JkPkZlbWFsZTwva2V5d29y
ZD48a2V5d29yZD5Gb2xpYyBBY2lkLyphZG1pbmlzdHJhdGlvbiAmYW1wOyBkb3NhZ2U8L2tleXdv
cmQ+PGtleXdvcmQ+SHVtYW5zPC9rZXl3b3JkPjxrZXl3b3JkPkluZmFudCwgTmV3Ym9ybjwva2V5
d29yZD48a2V5d29yZD5NaWNyb251dHJpZW50cy8qYWRtaW5pc3RyYXRpb24gJmFtcDsgZG9zYWdl
PC9rZXl3b3JkPjxrZXl3b3JkPlByZWduYW5jeTwva2V5d29yZD48a2V5d29yZD5QcmVnbmFuY3kg
Q29tcGxpY2F0aW9uczwva2V5d29yZD48a2V5d29yZD5QcmVnbmFuY3kgT3V0Y29tZTwva2V5d29y
ZD48a2V5d29yZD4qUHJlZ25hbmN5IFRyaW1lc3RlciwgVGhpcmQ8L2tleXdvcmQ+PGtleXdvcmQ+
UHJlbWF0dXJlIEJpcnRoPC9rZXl3b3JkPjxrZXl3b3JkPlByZW5hdGFsIENhcmU8L2tleXdvcmQ+
PGtleXdvcmQ+UXVlZW5zbGFuZDwva2V5d29yZD48a2V5d29yZD5SZXRyb3NwZWN0aXZlIFN0dWRp
ZXM8L2tleXdvcmQ+PGtleXdvcmQ+TWljcm9udXRyaWVudHM8L2tleXdvcmQ+PGtleXdvcmQ+TXVs
dGl2aXRhbWluczwva2V5d29yZD48a2V5d29yZD5Qb3N0ZGF0ZXM8L2tleXdvcmQ+PGtleXdvcmQ+
VGhpcmQgdHJpbWVzdGVyPC9rZXl3b3JkPjwva2V5d29yZHM+PGRhdGVzPjx5ZWFyPjIwMTY8L3ll
YXI+PHB1Yi1kYXRlcz48ZGF0ZT5GZWI8L2RhdGU+PC9wdWItZGF0ZXM+PC9kYXRlcz48aXNibj4x
ODc4LTE3OTkgKEVsZWN0cm9uaWMpJiN4RDsxODcxLTUxOTIgKExpbmtpbmcpPC9pc2JuPjxhY2Nl
c3Npb24tbnVtPjI2MzE5NTA0PC9hY2Nlc3Npb24tbnVtPjx1cmxzPjxyZWxhdGVkLXVybHM+PHVy
bD5odHRwczovL3d3dy5uY2JpLm5sbS5uaWguZ292L3B1Ym1lZC8yNjMxOTUwNDwvdXJsPjwvcmVs
YXRlZC11cmxzPjwvdXJscz48ZWxlY3Ryb25pYy1yZXNvdXJjZS1udW0+MTAuMTAxNi9qLndvbWJp
LjIwMTUuMDcuMTg1PC9lbGVjdHJvbmljLXJlc291cmNlLW51bT48L3JlY29yZD48L0NpdGU+PC9F
bmROb3RlPgB=
</w:fldData>
        </w:fldChar>
      </w:r>
      <w:r w:rsidR="002747EA">
        <w:instrText xml:space="preserve"> ADDIN EN.CITE </w:instrText>
      </w:r>
      <w:r w:rsidR="002747EA">
        <w:fldChar w:fldCharType="begin">
          <w:fldData xml:space="preserve">PEVuZE5vdGU+PENpdGU+PEF1dGhvcj5NY0FscGluZTwvQXV0aG9yPjxZZWFyPjIwMTY8L1llYXI+
PFJlY051bT4xODEzPC9SZWNOdW0+PERpc3BsYXlUZXh0PjxzdHlsZSBmYWNlPSJzdXBlcnNjcmlw
dCIgZm9udD0iVHJlYnVjaGV0IE1TIiBzaXplPSI5Ij4xNTg8L3N0eWxlPjwvRGlzcGxheVRleHQ+
PHJlY29yZD48cmVjLW51bWJlcj4xODEzPC9yZWMtbnVtYmVyPjxmb3JlaWduLWtleXM+PGtleSBh
cHA9IkVOIiBkYi1pZD0iZXh2YXNyZngyZHRyYW9lc2FzeHAyc3pzeGEyZGY1MDI1OTJ4IiB0aW1l
c3RhbXA9IjE1ODM3MjY0NDgiPjE4MTM8L2tleT48a2V5IGFwcD0iRU5XZWIiIGRiLWlkPSIiPjA8
L2tleT48L2ZvcmVpZ24ta2V5cz48cmVmLXR5cGUgbmFtZT0iSm91cm5hbCBBcnRpY2xlIj4xNzwv
cmVmLXR5cGU+PGNvbnRyaWJ1dG9ycz48YXV0aG9ycz48YXV0aG9yPk1jQWxwaW5lLCBKLiBNLjwv
YXV0aG9yPjxhdXRob3I+U2NvdHQsIFIuPC9hdXRob3I+PGF1dGhvcj5TY3VmZmhhbSwgUC4gQS48
L2F1dGhvcj48YXV0aG9yPlBlcmtpbnMsIEEuIFYuPC9hdXRob3I+PGF1dGhvcj5WYW5kZXJsZWxp
ZSwgSi4gSi48L2F1dGhvcj48L2F1dGhvcnM+PC9jb250cmlidXRvcnM+PGF1dGgtYWRkcmVzcz5T
Y2hvb2wgb2YgTWVkaWNhbCBTY2llbmNlLCBNZW56aWVzIEhlYWx0aCBJbnN0aXR1dGUgUXVlZW5z
bGFuZCwgR3JpZmZpdGggVW5pdmVyc2l0eSBHb2xkIENvYXN0IENhbXB1cywgU291dGhwb3J0LCBR
TEQsIEF1c3RyYWxpYTsgRGVwYXJ0bWVudCBvZiBXb21lbiZhcG9zO3MgYW5kIE5ld2Jvcm4gSGVh
bHRoLCBHb2xkIENvYXN0IFVuaXZlcnNpdHkgSG9zcGl0YWwsIFNvdXRocG9ydCwgUUxELCBBdXN0
cmFsaWEuJiN4RDtTY2hvb2wgb2YgTWVkaWNpbmUsIE1lbnppZXMgSGVhbHRoIEluc3RpdHV0ZSBR
dWVlbnNsYW5kLCBHcmlmZml0aCBVbml2ZXJzaXR5LCBHb2xkIENvYXN0IENhbXB1cywgU291dGhw
b3J0LCBRTEQsIEF1c3RyYWxpYS4mI3hEO1NjaG9vbCBvZiBNZWRpY2FsIFNjaWVuY2UsIE1lbnpp
ZXMgSGVhbHRoIEluc3RpdHV0ZSBRdWVlbnNsYW5kLCBHcmlmZml0aCBVbml2ZXJzaXR5IEdvbGQg
Q29hc3QgQ2FtcHVzLCBTb3V0aHBvcnQsIFFMRCwgQXVzdHJhbGlhLiYjeEQ7U2Nob29sIG9mIE1l
ZGljYWwgU2NpZW5jZSwgTWVuemllcyBIZWFsdGggSW5zdGl0dXRlIFF1ZWVuc2xhbmQsIEdyaWZm
aXRoIFVuaXZlcnNpdHkgR29sZCBDb2FzdCBDYW1wdXMsIFNvdXRocG9ydCwgUUxELCBBdXN0cmFs
aWEuIEVsZWN0cm9uaWMgYWRkcmVzczogai52YW5kZXJsZWxpZUBncmlmZml0aC5lZHUuYXUuPC9h
dXRoLWFkZHJlc3M+PHRpdGxlcz48dGl0bGU+VGhlIGFzc29jaWF0aW9uIGJldHdlZW4gdGhpcmQg
dHJpbWVzdGVyIG11bHRpdml0YW1pbi9taW5lcmFsIHN1cHBsZW1lbnRzIGFuZCBnZXN0YXRpb25h
bCBsZW5ndGggaW4gdW5jb21wbGljYXRlZCBwcmVnbmFuY2llczwvdGl0bGU+PHNlY29uZGFyeS10
aXRsZT5Xb21lbiBCaXJ0aDwvc2Vjb25kYXJ5LXRpdGxlPjwvdGl0bGVzPjxwZXJpb2RpY2FsPjxm
dWxsLXRpdGxlPldvbWVuIEJpcnRoPC9mdWxsLXRpdGxlPjwvcGVyaW9kaWNhbD48cGFnZXM+NDEt
NjwvcGFnZXM+PHZvbHVtZT4yOTwvdm9sdW1lPjxudW1iZXI+MTwvbnVtYmVyPjxlZGl0aW9uPjIw
MTUvMDkvMDE8L2VkaXRpb24+PGtleXdvcmRzPjxrZXl3b3JkPkFkdWx0PC9rZXl3b3JkPjxrZXl3
b3JkPipEaWV0YXJ5IFN1cHBsZW1lbnRzPC9rZXl3b3JkPjxrZXl3b3JkPkZlbWFsZTwva2V5d29y
ZD48a2V5d29yZD5Gb2xpYyBBY2lkLyphZG1pbmlzdHJhdGlvbiAmYW1wOyBkb3NhZ2U8L2tleXdv
cmQ+PGtleXdvcmQ+SHVtYW5zPC9rZXl3b3JkPjxrZXl3b3JkPkluZmFudCwgTmV3Ym9ybjwva2V5
d29yZD48a2V5d29yZD5NaWNyb251dHJpZW50cy8qYWRtaW5pc3RyYXRpb24gJmFtcDsgZG9zYWdl
PC9rZXl3b3JkPjxrZXl3b3JkPlByZWduYW5jeTwva2V5d29yZD48a2V5d29yZD5QcmVnbmFuY3kg
Q29tcGxpY2F0aW9uczwva2V5d29yZD48a2V5d29yZD5QcmVnbmFuY3kgT3V0Y29tZTwva2V5d29y
ZD48a2V5d29yZD4qUHJlZ25hbmN5IFRyaW1lc3RlciwgVGhpcmQ8L2tleXdvcmQ+PGtleXdvcmQ+
UHJlbWF0dXJlIEJpcnRoPC9rZXl3b3JkPjxrZXl3b3JkPlByZW5hdGFsIENhcmU8L2tleXdvcmQ+
PGtleXdvcmQ+UXVlZW5zbGFuZDwva2V5d29yZD48a2V5d29yZD5SZXRyb3NwZWN0aXZlIFN0dWRp
ZXM8L2tleXdvcmQ+PGtleXdvcmQ+TWljcm9udXRyaWVudHM8L2tleXdvcmQ+PGtleXdvcmQ+TXVs
dGl2aXRhbWluczwva2V5d29yZD48a2V5d29yZD5Qb3N0ZGF0ZXM8L2tleXdvcmQ+PGtleXdvcmQ+
VGhpcmQgdHJpbWVzdGVyPC9rZXl3b3JkPjwva2V5d29yZHM+PGRhdGVzPjx5ZWFyPjIwMTY8L3ll
YXI+PHB1Yi1kYXRlcz48ZGF0ZT5GZWI8L2RhdGU+PC9wdWItZGF0ZXM+PC9kYXRlcz48aXNibj4x
ODc4LTE3OTkgKEVsZWN0cm9uaWMpJiN4RDsxODcxLTUxOTIgKExpbmtpbmcpPC9pc2JuPjxhY2Nl
c3Npb24tbnVtPjI2MzE5NTA0PC9hY2Nlc3Npb24tbnVtPjx1cmxzPjxyZWxhdGVkLXVybHM+PHVy
bD5odHRwczovL3d3dy5uY2JpLm5sbS5uaWguZ292L3B1Ym1lZC8yNjMxOTUwNDwvdXJsPjwvcmVs
YXRlZC11cmxzPjwvdXJscz48ZWxlY3Ryb25pYy1yZXNvdXJjZS1udW0+MTAuMTAxNi9qLndvbWJp
LjIwMTUuMDcuMTg1PC9lbGVjdHJvbmljLXJlc291cmNlLW51bT48L3JlY29yZD48L0NpdGU+PC9F
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158</w:t>
      </w:r>
      <w:r w:rsidR="00BA7CBD">
        <w:fldChar w:fldCharType="end"/>
      </w:r>
      <w:r w:rsidR="00193208">
        <w:t xml:space="preserve"> w</w:t>
      </w:r>
      <w:r w:rsidR="00193208" w:rsidRPr="009D4734">
        <w:t xml:space="preserve">omen taking individual zinc, folic acid or iron supplements in combination with a multivitamin in the third trimester were twice as likely to </w:t>
      </w:r>
      <w:r w:rsidR="00193208">
        <w:t xml:space="preserve">give </w:t>
      </w:r>
      <w:r w:rsidR="00193208" w:rsidRPr="009D4734">
        <w:t>bi</w:t>
      </w:r>
      <w:r w:rsidR="00193208">
        <w:t>rth beyond 41 completed weeks (</w:t>
      </w:r>
      <w:r w:rsidR="00193208" w:rsidRPr="00193208">
        <w:rPr>
          <w:sz w:val="16"/>
          <w:szCs w:val="16"/>
        </w:rPr>
        <w:t>aOR 2.054, 95%CI 1.310 to 7.383, p=0.038</w:t>
      </w:r>
      <w:r w:rsidR="00193208" w:rsidRPr="009D4734">
        <w:t>) then those who did not take any supplement</w:t>
      </w:r>
      <w:r w:rsidR="00193208">
        <w:t xml:space="preserve"> and</w:t>
      </w:r>
      <w:r w:rsidR="00193208" w:rsidRPr="009D4734">
        <w:t xml:space="preserve"> rate</w:t>
      </w:r>
      <w:r w:rsidR="00193208">
        <w:t>s</w:t>
      </w:r>
      <w:r w:rsidR="00193208" w:rsidRPr="009D4734">
        <w:t xml:space="preserve"> of po</w:t>
      </w:r>
      <w:r w:rsidR="00193208">
        <w:t>st-</w:t>
      </w:r>
      <w:r w:rsidR="00193208" w:rsidRPr="009D4734">
        <w:t>dates labour and requirements for induction</w:t>
      </w:r>
      <w:r w:rsidR="00193208">
        <w:t xml:space="preserve"> were lower among women not taking supplements</w:t>
      </w:r>
      <w:r w:rsidR="00193208" w:rsidRPr="009D4734">
        <w:t xml:space="preserve"> (</w:t>
      </w:r>
      <w:r w:rsidR="00193208" w:rsidRPr="00193208">
        <w:rPr>
          <w:sz w:val="16"/>
          <w:szCs w:val="16"/>
        </w:rPr>
        <w:t>AOR 0.483, 95% CI 0.278-0.840, p=0.01</w:t>
      </w:r>
      <w:r w:rsidR="00193208" w:rsidRPr="009D4734">
        <w:t>).</w:t>
      </w:r>
    </w:p>
    <w:p w14:paraId="72AD4363" w14:textId="28718229" w:rsidR="00CD1C34" w:rsidRDefault="00CD1C34" w:rsidP="00CD1C34">
      <w:r>
        <w:t>In an Australian cohort study,</w:t>
      </w:r>
      <w:r w:rsidR="00BA7CBD">
        <w:fldChar w:fldCharType="begin">
          <w:fldData xml:space="preserve">PEVuZE5vdGU+PENpdGU+PEF1dGhvcj5WYW5kZXJsZWxpZTwvQXV0aG9yPjxZZWFyPjIwMTY8L1ll
YXI+PFJlY051bT4xODIxPC9SZWNOdW0+PERpc3BsYXlUZXh0PjxzdHlsZSBmYWNlPSJzdXBlcnNj
cmlwdCIgZm9udD0iVHJlYnVjaGV0IE1TIiBzaXplPSI5Ij4xNTk8L3N0eWxlPjwvRGlzcGxheVRl
eHQ+PHJlY29yZD48cmVjLW51bWJlcj4xODIxPC9yZWMtbnVtYmVyPjxmb3JlaWduLWtleXM+PGtl
eSBhcHA9IkVOIiBkYi1pZD0iZXh2YXNyZngyZHRyYW9lc2FzeHAyc3pzeGEyZGY1MDI1OTJ4IiB0
aW1lc3RhbXA9IjE1ODM3MjY1MDEiPjE4MjE8L2tleT48a2V5IGFwcD0iRU5XZWIiIGRiLWlkPSIi
PjA8L2tleT48L2ZvcmVpZ24ta2V5cz48cmVmLXR5cGUgbmFtZT0iSm91cm5hbCBBcnRpY2xlIj4x
NzwvcmVmLXR5cGU+PGNvbnRyaWJ1dG9ycz48YXV0aG9ycz48YXV0aG9yPlZhbmRlcmxlbGllLCBK
LjwvYXV0aG9yPjxhdXRob3I+U2NvdHQsIFIuPC9hdXRob3I+PGF1dGhvcj5TaGlibCwgUi48L2F1
dGhvcj48YXV0aG9yPkxld2tvd2ljeiwgSi48L2F1dGhvcj48YXV0aG9yPlBlcmtpbnMsIEEuPC9h
dXRob3I+PGF1dGhvcj5TY3VmZmhhbSwgUC4gQS48L2F1dGhvcj48L2F1dGhvcnM+PC9jb250cmli
dXRvcnM+PGF1dGgtYWRkcmVzcz5TY2hvb2wgb2YgTWVkaWNhbCBTY2llbmNlLCBHcmlmZml0aCBI
ZWFsdGggSW5zdGl0dXRlLCBHcmlmZml0aCBVbml2ZXJzaXR5LCBTb3V0aHBvcnQsIFF1ZWVuc2xh
bmQsIEF1c3RyYWxpYS4mI3hEO1NjaG9vbCBvZiBNZWRpY2luZSwgR3JpZmZpdGggSGVhbHRoIElu
c3RpdHV0ZSwgR3JpZmZpdGggVW5pdmVyc2l0eSwgTWVhZG93YnJvb2ssIFF1ZWVuc2xhbmQsIEF1
c3RyYWxpYS48L2F1dGgtYWRkcmVzcz48dGl0bGVzPjx0aXRsZT5GaXJzdCB0cmltZXN0ZXIgbXVs
dGl2aXRhbWluL21pbmVyYWwgdXNlIGlzIGFzc29jaWF0ZWQgd2l0aCByZWR1Y2VkIHJpc2sgb2Yg
cHJlLWVjbGFtcHNpYSBhbW9uZyBvdmVyd2VpZ2h0IGFuZCBvYmVzZSB3b21lbjwvdGl0bGU+PHNl
Y29uZGFyeS10aXRsZT5NYXRlcm4gQ2hpbGQgTnV0cjwvc2Vjb25kYXJ5LXRpdGxlPjwvdGl0bGVz
PjxwZXJpb2RpY2FsPjxmdWxsLXRpdGxlPk1hdGVybiBDaGlsZCBOdXRyPC9mdWxsLXRpdGxlPjwv
cGVyaW9kaWNhbD48cGFnZXM+MzM5LTQ4PC9wYWdlcz48dm9sdW1lPjEyPC92b2x1bWU+PG51bWJl
cj4yPC9udW1iZXI+PGVkaXRpb24+MjAxNC8wNS8yMzwvZWRpdGlvbj48a2V5d29yZHM+PGtleXdv
cmQ+QWRvbGVzY2VudDwva2V5d29yZD48a2V5d29yZD5BZHVsdDwva2V5d29yZD48a2V5d29yZD5C
b2R5IE1hc3MgSW5kZXg8L2tleXdvcmQ+PGtleXdvcmQ+RGlldGFyeSBTdXBwbGVtZW50czwva2V5
d29yZD48a2V5d29yZD5GZW1hbGU8L2tleXdvcmQ+PGtleXdvcmQ+SHVtYW5zPC9rZXl3b3JkPjxr
ZXl3b3JkPk1pbmVyYWxzLyphZG1pbmlzdHJhdGlvbiAmYW1wOyBkb3NhZ2U8L2tleXdvcmQ+PGtl
eXdvcmQ+T2Jlc2l0eS9jb21wbGljYXRpb25zPC9rZXl3b3JkPjxrZXl3b3JkPk92ZXJ3ZWlnaHQv
Y29tcGxpY2F0aW9uczwva2V5d29yZD48a2V5d29yZD5QcmUtRWNsYW1wc2lhL2VwaWRlbWlvbG9n
eS8qcHJldmVudGlvbiAmYW1wOyBjb250cm9sPC9rZXl3b3JkPjxrZXl3b3JkPlByZWduYW5jeTwv
a2V5d29yZD48a2V5d29yZD5QcmVnbmFuY3kgQ29tcGxpY2F0aW9ucy8qcHJldmVudGlvbiAmYW1w
OyBjb250cm9sPC9rZXl3b3JkPjxrZXl3b3JkPlByZWduYW5jeSBUcmltZXN0ZXIsIEZpcnN0PC9r
ZXl3b3JkPjxrZXl3b3JkPlF1ZWVuc2xhbmQvZXBpZGVtaW9sb2d5PC9rZXl3b3JkPjxrZXl3b3Jk
PlZpdGFtaW5zLyphZG1pbmlzdHJhdGlvbiAmYW1wOyBkb3NhZ2U8L2tleXdvcmQ+PGtleXdvcmQ+
WW91bmcgQWR1bHQ8L2tleXdvcmQ+PGtleXdvcmQ+aHVtYW48L2tleXdvcmQ+PGtleXdvcmQ+bWlj
cm9udXRyaWVudDwva2V5d29yZD48a2V5d29yZD5tdWx0aXZpdGFtaW48L2tleXdvcmQ+PGtleXdv
cmQ+b2Jlc2l0eTwva2V5d29yZD48a2V5d29yZD5wcmUtZWNsYW1wc2lhPC9rZXl3b3JkPjwva2V5
d29yZHM+PGRhdGVzPjx5ZWFyPjIwMTY8L3llYXI+PHB1Yi1kYXRlcz48ZGF0ZT5BcHI8L2RhdGU+
PC9wdWItZGF0ZXM+PC9kYXRlcz48aXNibj4xNzQwLTg3MDkgKEVsZWN0cm9uaWMpJiN4RDsxNzQw
LTg2OTUgKExpbmtpbmcpPC9pc2JuPjxhY2Nlc3Npb24tbnVtPjI0ODQ3OTQyPC9hY2Nlc3Npb24t
bnVtPjx1cmxzPjxyZWxhdGVkLXVybHM+PHVybD5odHRwczovL3d3dy5uY2JpLm5sbS5uaWguZ292
L3B1Ym1lZC8yNDg0Nzk0MjwvdXJsPjwvcmVsYXRlZC11cmxzPjwvdXJscz48ZWxlY3Ryb25pYy1y
ZXNvdXJjZS1udW0+MTAuMTExMS9tY24uMTIxMzM8L2VsZWN0cm9uaWMtcmVzb3VyY2UtbnVtPjwv
cmVjb3JkPjwvQ2l0ZT48L0VuZE5vdGU+
</w:fldData>
        </w:fldChar>
      </w:r>
      <w:r w:rsidR="002747EA">
        <w:instrText xml:space="preserve"> ADDIN EN.CITE </w:instrText>
      </w:r>
      <w:r w:rsidR="002747EA">
        <w:fldChar w:fldCharType="begin">
          <w:fldData xml:space="preserve">PEVuZE5vdGU+PENpdGU+PEF1dGhvcj5WYW5kZXJsZWxpZTwvQXV0aG9yPjxZZWFyPjIwMTY8L1ll
YXI+PFJlY051bT4xODIxPC9SZWNOdW0+PERpc3BsYXlUZXh0PjxzdHlsZSBmYWNlPSJzdXBlcnNj
cmlwdCIgZm9udD0iVHJlYnVjaGV0IE1TIiBzaXplPSI5Ij4xNTk8L3N0eWxlPjwvRGlzcGxheVRl
eHQ+PHJlY29yZD48cmVjLW51bWJlcj4xODIxPC9yZWMtbnVtYmVyPjxmb3JlaWduLWtleXM+PGtl
eSBhcHA9IkVOIiBkYi1pZD0iZXh2YXNyZngyZHRyYW9lc2FzeHAyc3pzeGEyZGY1MDI1OTJ4IiB0
aW1lc3RhbXA9IjE1ODM3MjY1MDEiPjE4MjE8L2tleT48a2V5IGFwcD0iRU5XZWIiIGRiLWlkPSIi
PjA8L2tleT48L2ZvcmVpZ24ta2V5cz48cmVmLXR5cGUgbmFtZT0iSm91cm5hbCBBcnRpY2xlIj4x
NzwvcmVmLXR5cGU+PGNvbnRyaWJ1dG9ycz48YXV0aG9ycz48YXV0aG9yPlZhbmRlcmxlbGllLCBK
LjwvYXV0aG9yPjxhdXRob3I+U2NvdHQsIFIuPC9hdXRob3I+PGF1dGhvcj5TaGlibCwgUi48L2F1
dGhvcj48YXV0aG9yPkxld2tvd2ljeiwgSi48L2F1dGhvcj48YXV0aG9yPlBlcmtpbnMsIEEuPC9h
dXRob3I+PGF1dGhvcj5TY3VmZmhhbSwgUC4gQS48L2F1dGhvcj48L2F1dGhvcnM+PC9jb250cmli
dXRvcnM+PGF1dGgtYWRkcmVzcz5TY2hvb2wgb2YgTWVkaWNhbCBTY2llbmNlLCBHcmlmZml0aCBI
ZWFsdGggSW5zdGl0dXRlLCBHcmlmZml0aCBVbml2ZXJzaXR5LCBTb3V0aHBvcnQsIFF1ZWVuc2xh
bmQsIEF1c3RyYWxpYS4mI3hEO1NjaG9vbCBvZiBNZWRpY2luZSwgR3JpZmZpdGggSGVhbHRoIElu
c3RpdHV0ZSwgR3JpZmZpdGggVW5pdmVyc2l0eSwgTWVhZG93YnJvb2ssIFF1ZWVuc2xhbmQsIEF1
c3RyYWxpYS48L2F1dGgtYWRkcmVzcz48dGl0bGVzPjx0aXRsZT5GaXJzdCB0cmltZXN0ZXIgbXVs
dGl2aXRhbWluL21pbmVyYWwgdXNlIGlzIGFzc29jaWF0ZWQgd2l0aCByZWR1Y2VkIHJpc2sgb2Yg
cHJlLWVjbGFtcHNpYSBhbW9uZyBvdmVyd2VpZ2h0IGFuZCBvYmVzZSB3b21lbjwvdGl0bGU+PHNl
Y29uZGFyeS10aXRsZT5NYXRlcm4gQ2hpbGQgTnV0cjwvc2Vjb25kYXJ5LXRpdGxlPjwvdGl0bGVz
PjxwZXJpb2RpY2FsPjxmdWxsLXRpdGxlPk1hdGVybiBDaGlsZCBOdXRyPC9mdWxsLXRpdGxlPjwv
cGVyaW9kaWNhbD48cGFnZXM+MzM5LTQ4PC9wYWdlcz48dm9sdW1lPjEyPC92b2x1bWU+PG51bWJl
cj4yPC9udW1iZXI+PGVkaXRpb24+MjAxNC8wNS8yMzwvZWRpdGlvbj48a2V5d29yZHM+PGtleXdv
cmQ+QWRvbGVzY2VudDwva2V5d29yZD48a2V5d29yZD5BZHVsdDwva2V5d29yZD48a2V5d29yZD5C
b2R5IE1hc3MgSW5kZXg8L2tleXdvcmQ+PGtleXdvcmQ+RGlldGFyeSBTdXBwbGVtZW50czwva2V5
d29yZD48a2V5d29yZD5GZW1hbGU8L2tleXdvcmQ+PGtleXdvcmQ+SHVtYW5zPC9rZXl3b3JkPjxr
ZXl3b3JkPk1pbmVyYWxzLyphZG1pbmlzdHJhdGlvbiAmYW1wOyBkb3NhZ2U8L2tleXdvcmQ+PGtl
eXdvcmQ+T2Jlc2l0eS9jb21wbGljYXRpb25zPC9rZXl3b3JkPjxrZXl3b3JkPk92ZXJ3ZWlnaHQv
Y29tcGxpY2F0aW9uczwva2V5d29yZD48a2V5d29yZD5QcmUtRWNsYW1wc2lhL2VwaWRlbWlvbG9n
eS8qcHJldmVudGlvbiAmYW1wOyBjb250cm9sPC9rZXl3b3JkPjxrZXl3b3JkPlByZWduYW5jeTwv
a2V5d29yZD48a2V5d29yZD5QcmVnbmFuY3kgQ29tcGxpY2F0aW9ucy8qcHJldmVudGlvbiAmYW1w
OyBjb250cm9sPC9rZXl3b3JkPjxrZXl3b3JkPlByZWduYW5jeSBUcmltZXN0ZXIsIEZpcnN0PC9r
ZXl3b3JkPjxrZXl3b3JkPlF1ZWVuc2xhbmQvZXBpZGVtaW9sb2d5PC9rZXl3b3JkPjxrZXl3b3Jk
PlZpdGFtaW5zLyphZG1pbmlzdHJhdGlvbiAmYW1wOyBkb3NhZ2U8L2tleXdvcmQ+PGtleXdvcmQ+
WW91bmcgQWR1bHQ8L2tleXdvcmQ+PGtleXdvcmQ+aHVtYW48L2tleXdvcmQ+PGtleXdvcmQ+bWlj
cm9udXRyaWVudDwva2V5d29yZD48a2V5d29yZD5tdWx0aXZpdGFtaW48L2tleXdvcmQ+PGtleXdv
cmQ+b2Jlc2l0eTwva2V5d29yZD48a2V5d29yZD5wcmUtZWNsYW1wc2lhPC9rZXl3b3JkPjwva2V5
d29yZHM+PGRhdGVzPjx5ZWFyPjIwMTY8L3llYXI+PHB1Yi1kYXRlcz48ZGF0ZT5BcHI8L2RhdGU+
PC9wdWItZGF0ZXM+PC9kYXRlcz48aXNibj4xNzQwLTg3MDkgKEVsZWN0cm9uaWMpJiN4RDsxNzQw
LTg2OTUgKExpbmtpbmcpPC9pc2JuPjxhY2Nlc3Npb24tbnVtPjI0ODQ3OTQyPC9hY2Nlc3Npb24t
bnVtPjx1cmxzPjxyZWxhdGVkLXVybHM+PHVybD5odHRwczovL3d3dy5uY2JpLm5sbS5uaWguZ292
L3B1Ym1lZC8yNDg0Nzk0MjwvdXJsPjwvcmVsYXRlZC11cmxzPjwvdXJscz48ZWxlY3Ryb25pYy1y
ZXNvdXJjZS1udW0+MTAuMTExMS9tY24uMTIxMzM8L2VsZWN0cm9uaWMtcmVzb3VyY2UtbnVtPjwv
cmVjb3JkPjwvQ2l0ZT48L0VuZE5vdGU+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159</w:t>
      </w:r>
      <w:r w:rsidR="00BA7CBD">
        <w:fldChar w:fldCharType="end"/>
      </w:r>
      <w:r>
        <w:t xml:space="preserve"> f</w:t>
      </w:r>
      <w:r w:rsidRPr="00CD1C34">
        <w:t>irst trimester multivitamin use was reported by 31.8% of women and</w:t>
      </w:r>
      <w:r>
        <w:t>,</w:t>
      </w:r>
      <w:r w:rsidRPr="00CD1C34">
        <w:t xml:space="preserve"> after adjustment, was associated with a 67% reduction in </w:t>
      </w:r>
      <w:r w:rsidR="00C0642D">
        <w:t>pre-eclampsia risk (</w:t>
      </w:r>
      <w:r w:rsidR="00C0642D" w:rsidRPr="00C0642D">
        <w:rPr>
          <w:sz w:val="16"/>
          <w:szCs w:val="16"/>
        </w:rPr>
        <w:t>95%CI</w:t>
      </w:r>
      <w:r w:rsidRPr="00C0642D">
        <w:rPr>
          <w:sz w:val="16"/>
          <w:szCs w:val="16"/>
        </w:rPr>
        <w:t xml:space="preserve"> 0.14 to 0.75</w:t>
      </w:r>
      <w:r w:rsidRPr="00CD1C34">
        <w:t xml:space="preserve">). Stratification by BMI demonstrated a 55% reduction in </w:t>
      </w:r>
      <w:r w:rsidR="00C0642D">
        <w:t>pre-eclampsia risk (</w:t>
      </w:r>
      <w:r w:rsidR="00C0642D" w:rsidRPr="00C0642D">
        <w:rPr>
          <w:sz w:val="16"/>
          <w:szCs w:val="16"/>
        </w:rPr>
        <w:t>95%CI 0.30 to</w:t>
      </w:r>
      <w:r w:rsidRPr="00C0642D">
        <w:rPr>
          <w:sz w:val="16"/>
          <w:szCs w:val="16"/>
        </w:rPr>
        <w:t xml:space="preserve"> 0.86</w:t>
      </w:r>
      <w:r w:rsidRPr="00CD1C34">
        <w:t xml:space="preserve">) in overweight </w:t>
      </w:r>
      <w:r w:rsidR="00C0642D">
        <w:t>and 62% risk reduction (</w:t>
      </w:r>
      <w:r w:rsidR="00C0642D" w:rsidRPr="00C0642D">
        <w:rPr>
          <w:sz w:val="16"/>
          <w:szCs w:val="16"/>
        </w:rPr>
        <w:t>95%CI 0.16 to</w:t>
      </w:r>
      <w:r w:rsidRPr="00C0642D">
        <w:rPr>
          <w:sz w:val="16"/>
          <w:szCs w:val="16"/>
        </w:rPr>
        <w:t xml:space="preserve"> 0.92</w:t>
      </w:r>
      <w:r w:rsidRPr="00CD1C34">
        <w:t xml:space="preserve">) in obese </w:t>
      </w:r>
      <w:r>
        <w:t>women</w:t>
      </w:r>
      <w:r w:rsidRPr="00CD1C34">
        <w:t xml:space="preserve"> </w:t>
      </w:r>
      <w:r>
        <w:t>who</w:t>
      </w:r>
      <w:r w:rsidRPr="00CD1C34">
        <w:t xml:space="preserve"> supplemented with multivitamins in the first trimester of pregnancy. </w:t>
      </w:r>
    </w:p>
    <w:p w14:paraId="21CF514B" w14:textId="5B302A61" w:rsidR="00737BD8" w:rsidRPr="00737BD8" w:rsidRDefault="00737BD8" w:rsidP="00737BD8">
      <w:r>
        <w:t>In an Australian cohort study</w:t>
      </w:r>
      <w:r w:rsidR="00DD22D1">
        <w:t>,</w:t>
      </w:r>
      <w:r w:rsidR="00BA7CBD">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 </w:instrText>
      </w:r>
      <w:r w:rsidR="002747EA">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117</w:t>
      </w:r>
      <w:r w:rsidR="00BA7CBD">
        <w:fldChar w:fldCharType="end"/>
      </w:r>
      <w:r>
        <w:t xml:space="preserve"> </w:t>
      </w:r>
      <w:r w:rsidR="00DD22D1">
        <w:t>pregnancy-specific multivitamin use was reported by 47% of women in the first trimester, 51% in the second trimester and 46% in the third trimester. General multivitamin use was reported by 31% of women in the first trimester, 27% in the second trimester and 35% in the third trimester.</w:t>
      </w:r>
    </w:p>
    <w:p w14:paraId="5B0185F5" w14:textId="1D1DF6B0" w:rsidR="00737BD8" w:rsidRDefault="008855EF" w:rsidP="00CD1C34">
      <w:r>
        <w:t>In an Australian cross-sectional study,</w:t>
      </w:r>
      <w:r w:rsidR="00BA7CBD">
        <w:fldChar w:fldCharType="begin">
          <w:fldData xml:space="preserve">PEVuZE5vdGU+PENpdGU+PEF1dGhvcj5NYWxlazwvQXV0aG9yPjxZZWFyPjIwMTg8L1llYXI+PFJl
Y051bT4xODExPC9SZWNOdW0+PERpc3BsYXlUZXh0PjxzdHlsZSBmYWNlPSJzdXBlcnNjcmlwdCIg
Zm9udD0iVHJlYnVjaGV0IE1TIiBzaXplPSI5Ij4xNjA8L3N0eWxlPjwvRGlzcGxheVRleHQ+PHJl
Y29yZD48cmVjLW51bWJlcj4xODExPC9yZWMtbnVtYmVyPjxmb3JlaWduLWtleXM+PGtleSBhcHA9
IkVOIiBkYi1pZD0iZXh2YXNyZngyZHRyYW9lc2FzeHAyc3pzeGEyZGY1MDI1OTJ4IiB0aW1lc3Rh
bXA9IjE1ODM3MjY0MzYiPjE4MTE8L2tleT48a2V5IGFwcD0iRU5XZWIiIGRiLWlkPSIiPjA8L2tl
eT48L2ZvcmVpZ24ta2V5cz48cmVmLXR5cGUgbmFtZT0iSm91cm5hbCBBcnRpY2xlIj4xNzwvcmVm
LXR5cGU+PGNvbnRyaWJ1dG9ycz48YXV0aG9ycz48YXV0aG9yPk1hbGVrLCBMLiw8L2F1dGhvcj48
YXV0aG9yPlVtYmVyZ2VyLCBXLkouLDwvYXV0aG9yPjxhdXRob3I+TWFrcmlkZXMsIE0uLDwvYXV0
aG9yPjxhdXRob3I+Q29sbGlucywgQy5ULiw8L2F1dGhvcj48YXV0aG9yPlpob3UsIFMuSi4sPC9h
dXRob3I+PC9hdXRob3JzPjwvY29udHJpYnV0b3JzPjxhdXRoLWFkZHJlc3M+Q2VudHJlIGZvciBH
bG9iYWwgRm9vZCBhbmQgUmVzb3VyY2VzLCBGYWN1bHR5IG9mIHRoZSBQcm9mZXNzaW9ucywgVGhl
IFVuaXZlcnNpdHkgb2YgQWRlbGFpZGUsIExldmVsIDYgTkVYVVMgMTAgVG93ZXIsIDEwIFB1bHRl
bmV5IFN0cmVldCwgU0EgNTAwNSwgQXVzdHJhbGlhLiBFbGVjdHJvbmljIGFkZHJlc3M6IGxlbmth
Lm1hbGVrQGFkZWxhaWRlLmVkdS5hdS4mI3hEO0NlbnRyZSBmb3IgR2xvYmFsIEZvb2QgYW5kIFJl
c291cmNlcywgRmFjdWx0eSBvZiB0aGUgUHJvZmVzc2lvbnMsIFRoZSBVbml2ZXJzaXR5IG9mIEFk
ZWxhaWRlLCBMZXZlbCA2IE5FWFVTIDEwIFRvd2VyLCAxMCBQdWx0ZW5leSBTdHJlZXQsIFNBIDUw
MDUsIEF1c3RyYWxpYS4gRWxlY3Ryb25pYyBhZGRyZXNzOiB3ZW5keS51bWJlcmdlckBhZGVsYWlk
ZS5lZHUuYXUuJiN4RDtUaGUgRGlzY2lwbGluZSBvZiBQYWVkaWF0cmljcywgVGhlIFVuaXZlcnNp
dHkgb2YgQWRlbGFpZGUsIFdvbWVuJmFwb3M7cyBhbmQgQ2hpbGRyZW4mYXBvcztzIEhvc3BpdGFs
LCA3MiBLaW5nIFdpbGxpYW0gUm9hZCwgTm9ydGggQWRlbGFpZGUsIFNBIDUwMDYsIEF1c3RyYWxp
YTsgSGVhbHRoeSBNb3RoZXJzLCBCYWJpZXMgYW5kIENoaWxkcmVuLCBTb3V0aCBBdXN0cmFsaWFu
IEhlYWx0aCBNZWRpY2FsIFJlc2VhcmNoIEluc3RpdHV0ZSwgV29tZW4mYXBvcztzIGFuZCBDaGls
ZHJlbiZhcG9zO3MgSG9zcGl0YWwsIDcyIEtpbmcgV2lsbGlhbSBSb2FkLCBOb3J0aCBBZGVsYWlk
ZSwgU0EgNTAwNiwgQXVzdHJhbGlhLiBFbGVjdHJvbmljIGFkZHJlc3M6IG1hcmlhLm1ha3JpZGVz
QHNhaG1yaS5jb20uJiN4RDtUaGUgRGlzY2lwbGluZSBvZiBQYWVkaWF0cmljcywgVGhlIFVuaXZl
cnNpdHkgb2YgQWRlbGFpZGUsIFdvbWVuJmFwb3M7cyBhbmQgQ2hpbGRyZW4mYXBvcztzIEhvc3Bp
dGFsLCA3MiBLaW5nIFdpbGxpYW0gUm9hZCwgTm9ydGggQWRlbGFpZGUsIFNBIDUwMDYsIEF1c3Ry
YWxpYTsgSGVhbHRoeSBNb3RoZXJzLCBCYWJpZXMgYW5kIENoaWxkcmVuLCBTb3V0aCBBdXN0cmFs
aWFuIEhlYWx0aCBNZWRpY2FsIFJlc2VhcmNoIEluc3RpdHV0ZSwgV29tZW4mYXBvcztzIGFuZCBD
aGlsZHJlbiZhcG9zO3MgSG9zcGl0YWwsIDcyIEtpbmcgV2lsbGlhbSBSb2FkLCBOb3J0aCBBZGVs
YWlkZSwgU0EgNTAwNiwgQXVzdHJhbGlhLiBFbGVjdHJvbmljIGFkZHJlc3M6IGNhcm1lbC5jb2xs
aW5zQHNhaG1yaS5jb20uJiN4RDtUaGUgRGlzY2lwbGluZSBvZiBQYWVkaWF0cmljcywgVGhlIFVu
aXZlcnNpdHkgb2YgQWRlbGFpZGUsIFdvbWVuJmFwb3M7cyBhbmQgQ2hpbGRyZW4mYXBvcztzIEhv
c3BpdGFsLCA3MiBLaW5nIFdpbGxpYW0gUm9hZCwgTm9ydGggQWRlbGFpZGUsIFNBIDUwMDYsIEF1
c3RyYWxpYTsgU2Nob29sIG9mIEFncmljdWx0dXJlLCBGb29kIGFuZCBXaW5lLCBUaGUgVW5pdmVy
c2l0eSBvZiBBZGVsYWlkZSwgV2FpdGUgQ2FtcHVzLCBQTUIgMSwgR2xlbiBPc21vbmQsIFNBIDUw
NjQsIEF1c3RyYWxpYS4gRWxlY3Ryb25pYyBhZGRyZXNzOiBqby56aG91QGFkZWxhaWRlLmVkdS5h
dS48L2F1dGgtYWRkcmVzcz48dGl0bGVzPjx0aXRsZT5VbmRlcnN0YW5kaW5nIG1vdGl2YXRpb25z
IGZvciBkaWV0YXJ5IHN1cHBsZW1lbnRhdGlvbiBkdXJpbmcgcHJlZ25hbmN5OiBBIGZvY3VzIGdy
b3VwIHN0dWR5PC90aXRsZT48c2Vjb25kYXJ5LXRpdGxlPk1pZHdpZmVyeTwvc2Vjb25kYXJ5LXRp
dGxlPjwvdGl0bGVzPjxwZXJpb2RpY2FsPjxmdWxsLXRpdGxlPk1pZHdpZmVyeTwvZnVsbC10aXRs
ZT48L3BlcmlvZGljYWw+PHBhZ2VzPjU5LTY4PC9wYWdlcz48dm9sdW1lPjU3PC92b2x1bWU+PGVk
aXRpb24+MjAxNy8xMi8xMDwvZWRpdGlvbj48a2V5d29yZHM+PGtleXdvcmQ+QWR1bHQ8L2tleXdv
cmQ+PGtleXdvcmQ+RGlldGFyeSBTdXBwbGVtZW50cy8qc3RhbmRhcmRzPC9rZXl3b3JkPjxrZXl3
b3JkPkZlbWFsZTwva2V5d29yZD48a2V5d29yZD5Gb2N1cyBHcm91cHM8L2tleXdvcmQ+PGtleXdv
cmQ+SHVtYW5zPC9rZXl3b3JkPjxrZXl3b3JkPk1pZGRsZSBBZ2VkPC9rZXl3b3JkPjxrZXl3b3Jk
PipNb3RpdmF0aW9uPC9rZXl3b3JkPjxrZXl3b3JkPlByZWduYW5jeTwva2V5d29yZD48a2V5d29y
ZD5QcmVnbmFudCBXb21lbi8qcHN5Y2hvbG9neTwva2V5d29yZD48a2V5d29yZD5QcmVuYXRhbCBD
YXJlL21ldGhvZHMvc3RhbmRhcmRzPC9rZXl3b3JkPjxrZXl3b3JkPlNvdXRoIEF1c3RyYWxpYTwv
a2V5d29yZD48a2V5d29yZD5BdXN0cmFsaWE8L2tleXdvcmQ+PGtleXdvcmQ+RGlldGFyeSBzdXBw
bGVtZW50czwva2V5d29yZD48a2V5d29yZD5Nb3RpdmF0aW9uczwva2V5d29yZD48a2V5d29yZD5Q
c3ljaG9zb2NpYWwgZmFjdG9ycywgRm9jdXMgZ3JvdXBzPC9rZXl3b3JkPjwva2V5d29yZHM+PGRh
dGVzPjx5ZWFyPjIwMTg8L3llYXI+PHB1Yi1kYXRlcz48ZGF0ZT5GZWI8L2RhdGU+PC9wdWItZGF0
ZXM+PC9kYXRlcz48aXNibj4xNTMyLTMwOTkgKEVsZWN0cm9uaWMpJiN4RDswMjY2LTYxMzggKExp
bmtpbmcpPC9pc2JuPjxhY2Nlc3Npb24tbnVtPjI5MjIzMDQxPC9hY2Nlc3Npb24tbnVtPjx1cmxz
PjxyZWxhdGVkLXVybHM+PHVybD5odHRwczovL3d3dy5uY2JpLm5sbS5uaWguZ292L3B1Ym1lZC8y
OTIyMzA0MTwvdXJsPjwvcmVsYXRlZC11cmxzPjwvdXJscz48ZWxlY3Ryb25pYy1yZXNvdXJjZS1u
dW0+MTAuMTAxNi9qLm1pZHcuMjAxNy4xMS4wMDQ8L2VsZWN0cm9uaWMtcmVzb3VyY2UtbnVtPjwv
cmVjb3JkPjwvQ2l0ZT48L0VuZE5vdGU+AG==
</w:fldData>
        </w:fldChar>
      </w:r>
      <w:r w:rsidR="002747EA">
        <w:instrText xml:space="preserve"> ADDIN EN.CITE </w:instrText>
      </w:r>
      <w:r w:rsidR="002747EA">
        <w:fldChar w:fldCharType="begin">
          <w:fldData xml:space="preserve">PEVuZE5vdGU+PENpdGU+PEF1dGhvcj5NYWxlazwvQXV0aG9yPjxZZWFyPjIwMTg8L1llYXI+PFJl
Y051bT4xODExPC9SZWNOdW0+PERpc3BsYXlUZXh0PjxzdHlsZSBmYWNlPSJzdXBlcnNjcmlwdCIg
Zm9udD0iVHJlYnVjaGV0IE1TIiBzaXplPSI5Ij4xNjA8L3N0eWxlPjwvRGlzcGxheVRleHQ+PHJl
Y29yZD48cmVjLW51bWJlcj4xODExPC9yZWMtbnVtYmVyPjxmb3JlaWduLWtleXM+PGtleSBhcHA9
IkVOIiBkYi1pZD0iZXh2YXNyZngyZHRyYW9lc2FzeHAyc3pzeGEyZGY1MDI1OTJ4IiB0aW1lc3Rh
bXA9IjE1ODM3MjY0MzYiPjE4MTE8L2tleT48a2V5IGFwcD0iRU5XZWIiIGRiLWlkPSIiPjA8L2tl
eT48L2ZvcmVpZ24ta2V5cz48cmVmLXR5cGUgbmFtZT0iSm91cm5hbCBBcnRpY2xlIj4xNzwvcmVm
LXR5cGU+PGNvbnRyaWJ1dG9ycz48YXV0aG9ycz48YXV0aG9yPk1hbGVrLCBMLiw8L2F1dGhvcj48
YXV0aG9yPlVtYmVyZ2VyLCBXLkouLDwvYXV0aG9yPjxhdXRob3I+TWFrcmlkZXMsIE0uLDwvYXV0
aG9yPjxhdXRob3I+Q29sbGlucywgQy5ULiw8L2F1dGhvcj48YXV0aG9yPlpob3UsIFMuSi4sPC9h
dXRob3I+PC9hdXRob3JzPjwvY29udHJpYnV0b3JzPjxhdXRoLWFkZHJlc3M+Q2VudHJlIGZvciBH
bG9iYWwgRm9vZCBhbmQgUmVzb3VyY2VzLCBGYWN1bHR5IG9mIHRoZSBQcm9mZXNzaW9ucywgVGhl
IFVuaXZlcnNpdHkgb2YgQWRlbGFpZGUsIExldmVsIDYgTkVYVVMgMTAgVG93ZXIsIDEwIFB1bHRl
bmV5IFN0cmVldCwgU0EgNTAwNSwgQXVzdHJhbGlhLiBFbGVjdHJvbmljIGFkZHJlc3M6IGxlbmth
Lm1hbGVrQGFkZWxhaWRlLmVkdS5hdS4mI3hEO0NlbnRyZSBmb3IgR2xvYmFsIEZvb2QgYW5kIFJl
c291cmNlcywgRmFjdWx0eSBvZiB0aGUgUHJvZmVzc2lvbnMsIFRoZSBVbml2ZXJzaXR5IG9mIEFk
ZWxhaWRlLCBMZXZlbCA2IE5FWFVTIDEwIFRvd2VyLCAxMCBQdWx0ZW5leSBTdHJlZXQsIFNBIDUw
MDUsIEF1c3RyYWxpYS4gRWxlY3Ryb25pYyBhZGRyZXNzOiB3ZW5keS51bWJlcmdlckBhZGVsYWlk
ZS5lZHUuYXUuJiN4RDtUaGUgRGlzY2lwbGluZSBvZiBQYWVkaWF0cmljcywgVGhlIFVuaXZlcnNp
dHkgb2YgQWRlbGFpZGUsIFdvbWVuJmFwb3M7cyBhbmQgQ2hpbGRyZW4mYXBvcztzIEhvc3BpdGFs
LCA3MiBLaW5nIFdpbGxpYW0gUm9hZCwgTm9ydGggQWRlbGFpZGUsIFNBIDUwMDYsIEF1c3RyYWxp
YTsgSGVhbHRoeSBNb3RoZXJzLCBCYWJpZXMgYW5kIENoaWxkcmVuLCBTb3V0aCBBdXN0cmFsaWFu
IEhlYWx0aCBNZWRpY2FsIFJlc2VhcmNoIEluc3RpdHV0ZSwgV29tZW4mYXBvcztzIGFuZCBDaGls
ZHJlbiZhcG9zO3MgSG9zcGl0YWwsIDcyIEtpbmcgV2lsbGlhbSBSb2FkLCBOb3J0aCBBZGVsYWlk
ZSwgU0EgNTAwNiwgQXVzdHJhbGlhLiBFbGVjdHJvbmljIGFkZHJlc3M6IG1hcmlhLm1ha3JpZGVz
QHNhaG1yaS5jb20uJiN4RDtUaGUgRGlzY2lwbGluZSBvZiBQYWVkaWF0cmljcywgVGhlIFVuaXZl
cnNpdHkgb2YgQWRlbGFpZGUsIFdvbWVuJmFwb3M7cyBhbmQgQ2hpbGRyZW4mYXBvcztzIEhvc3Bp
dGFsLCA3MiBLaW5nIFdpbGxpYW0gUm9hZCwgTm9ydGggQWRlbGFpZGUsIFNBIDUwMDYsIEF1c3Ry
YWxpYTsgSGVhbHRoeSBNb3RoZXJzLCBCYWJpZXMgYW5kIENoaWxkcmVuLCBTb3V0aCBBdXN0cmFs
aWFuIEhlYWx0aCBNZWRpY2FsIFJlc2VhcmNoIEluc3RpdHV0ZSwgV29tZW4mYXBvcztzIGFuZCBD
aGlsZHJlbiZhcG9zO3MgSG9zcGl0YWwsIDcyIEtpbmcgV2lsbGlhbSBSb2FkLCBOb3J0aCBBZGVs
YWlkZSwgU0EgNTAwNiwgQXVzdHJhbGlhLiBFbGVjdHJvbmljIGFkZHJlc3M6IGNhcm1lbC5jb2xs
aW5zQHNhaG1yaS5jb20uJiN4RDtUaGUgRGlzY2lwbGluZSBvZiBQYWVkaWF0cmljcywgVGhlIFVu
aXZlcnNpdHkgb2YgQWRlbGFpZGUsIFdvbWVuJmFwb3M7cyBhbmQgQ2hpbGRyZW4mYXBvcztzIEhv
c3BpdGFsLCA3MiBLaW5nIFdpbGxpYW0gUm9hZCwgTm9ydGggQWRlbGFpZGUsIFNBIDUwMDYsIEF1
c3RyYWxpYTsgU2Nob29sIG9mIEFncmljdWx0dXJlLCBGb29kIGFuZCBXaW5lLCBUaGUgVW5pdmVy
c2l0eSBvZiBBZGVsYWlkZSwgV2FpdGUgQ2FtcHVzLCBQTUIgMSwgR2xlbiBPc21vbmQsIFNBIDUw
NjQsIEF1c3RyYWxpYS4gRWxlY3Ryb25pYyBhZGRyZXNzOiBqby56aG91QGFkZWxhaWRlLmVkdS5h
dS48L2F1dGgtYWRkcmVzcz48dGl0bGVzPjx0aXRsZT5VbmRlcnN0YW5kaW5nIG1vdGl2YXRpb25z
IGZvciBkaWV0YXJ5IHN1cHBsZW1lbnRhdGlvbiBkdXJpbmcgcHJlZ25hbmN5OiBBIGZvY3VzIGdy
b3VwIHN0dWR5PC90aXRsZT48c2Vjb25kYXJ5LXRpdGxlPk1pZHdpZmVyeTwvc2Vjb25kYXJ5LXRp
dGxlPjwvdGl0bGVzPjxwZXJpb2RpY2FsPjxmdWxsLXRpdGxlPk1pZHdpZmVyeTwvZnVsbC10aXRs
ZT48L3BlcmlvZGljYWw+PHBhZ2VzPjU5LTY4PC9wYWdlcz48dm9sdW1lPjU3PC92b2x1bWU+PGVk
aXRpb24+MjAxNy8xMi8xMDwvZWRpdGlvbj48a2V5d29yZHM+PGtleXdvcmQ+QWR1bHQ8L2tleXdv
cmQ+PGtleXdvcmQ+RGlldGFyeSBTdXBwbGVtZW50cy8qc3RhbmRhcmRzPC9rZXl3b3JkPjxrZXl3
b3JkPkZlbWFsZTwva2V5d29yZD48a2V5d29yZD5Gb2N1cyBHcm91cHM8L2tleXdvcmQ+PGtleXdv
cmQ+SHVtYW5zPC9rZXl3b3JkPjxrZXl3b3JkPk1pZGRsZSBBZ2VkPC9rZXl3b3JkPjxrZXl3b3Jk
PipNb3RpdmF0aW9uPC9rZXl3b3JkPjxrZXl3b3JkPlByZWduYW5jeTwva2V5d29yZD48a2V5d29y
ZD5QcmVnbmFudCBXb21lbi8qcHN5Y2hvbG9neTwva2V5d29yZD48a2V5d29yZD5QcmVuYXRhbCBD
YXJlL21ldGhvZHMvc3RhbmRhcmRzPC9rZXl3b3JkPjxrZXl3b3JkPlNvdXRoIEF1c3RyYWxpYTwv
a2V5d29yZD48a2V5d29yZD5BdXN0cmFsaWE8L2tleXdvcmQ+PGtleXdvcmQ+RGlldGFyeSBzdXBw
bGVtZW50czwva2V5d29yZD48a2V5d29yZD5Nb3RpdmF0aW9uczwva2V5d29yZD48a2V5d29yZD5Q
c3ljaG9zb2NpYWwgZmFjdG9ycywgRm9jdXMgZ3JvdXBzPC9rZXl3b3JkPjwva2V5d29yZHM+PGRh
dGVzPjx5ZWFyPjIwMTg8L3llYXI+PHB1Yi1kYXRlcz48ZGF0ZT5GZWI8L2RhdGU+PC9wdWItZGF0
ZXM+PC9kYXRlcz48aXNibj4xNTMyLTMwOTkgKEVsZWN0cm9uaWMpJiN4RDswMjY2LTYxMzggKExp
bmtpbmcpPC9pc2JuPjxhY2Nlc3Npb24tbnVtPjI5MjIzMDQxPC9hY2Nlc3Npb24tbnVtPjx1cmxz
PjxyZWxhdGVkLXVybHM+PHVybD5odHRwczovL3d3dy5uY2JpLm5sbS5uaWguZ292L3B1Ym1lZC8y
OTIyMzA0MTwvdXJsPjwvcmVsYXRlZC11cmxzPjwvdXJscz48ZWxlY3Ryb25pYy1yZXNvdXJjZS1u
dW0+MTAuMTAxNi9qLm1pZHcuMjAxNy4xMS4wMDQ8L2VsZWN0cm9uaWMtcmVzb3VyY2UtbnVtPjwv
cmVjb3JkPjwvQ2l0ZT48L0VuZE5vdGU+AG==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160</w:t>
      </w:r>
      <w:r w:rsidR="00BA7CBD">
        <w:fldChar w:fldCharType="end"/>
      </w:r>
      <w:r>
        <w:t xml:space="preserve"> 83% of women took a multivitamin during pregnancy, with 90% of women with post-secondary education and 64% of women with only secondary education using these supplements.</w:t>
      </w:r>
    </w:p>
    <w:p w14:paraId="3DB6F20A" w14:textId="03189468" w:rsidR="00AC5888" w:rsidRPr="00AC5888" w:rsidRDefault="00AC5888" w:rsidP="00AC5888">
      <w:r>
        <w:t>A Danish cohort study</w:t>
      </w:r>
      <w:r w:rsidR="00BA7CBD">
        <w:fldChar w:fldCharType="begin">
          <w:fldData xml:space="preserve">PEVuZE5vdGU+PENpdGU+PEF1dGhvcj5WaXJrPC9BdXRob3I+PFllYXI+MjAxODwvWWVhcj48UmVj
TnVtPjE4MjI8L1JlY051bT48RGlzcGxheVRleHQ+PHN0eWxlIGZhY2U9InN1cGVyc2NyaXB0IiBm
b250PSJUcmVidWNoZXQgTVMiIHNpemU9IjkiPjE2MTwvc3R5bGU+PC9EaXNwbGF5VGV4dD48cmVj
b3JkPjxyZWMtbnVtYmVyPjE4MjI8L3JlYy1udW1iZXI+PGZvcmVpZ24ta2V5cz48a2V5IGFwcD0i
RU4iIGRiLWlkPSJleHZhc3JmeDJkdHJhb2VzYXN4cDJzenN4YTJkZjUwMjU5MngiIHRpbWVzdGFt
cD0iMTU4MzcyNjUwNyI+MTgyMjwva2V5PjxrZXkgYXBwPSJFTldlYiIgZGItaWQ9IiI+MDwva2V5
PjwvZm9yZWlnbi1rZXlzPjxyZWYtdHlwZSBuYW1lPSJKb3VybmFsIEFydGljbGUiPjE3PC9yZWYt
dHlwZT48Y29udHJpYnV0b3JzPjxhdXRob3JzPjxhdXRob3I+VmlyaywgSi48L2F1dGhvcj48YXV0
aG9yPkxpZXcsIFouPC9hdXRob3I+PGF1dGhvcj5PbHNlbiwgSi48L2F1dGhvcj48YXV0aG9yPk5v
aHIsIEUuIEEuPC9hdXRob3I+PGF1dGhvcj5DYXRvdiwgSi4gTS48L2F1dGhvcj48YXV0aG9yPlJp
dHosIEIuPC9hdXRob3I+PC9hdXRob3JzPjwvY29udHJpYnV0b3JzPjxhdXRoLWFkZHJlc3M+YSBE
ZXBhcnRtZW50IG9mIEVwaWRlbWlvbG9neSwgVUNMQSBGaWVsZGluZyBTY2hvb2wgb2YgUHVibGlj
IEhlYWx0aCAsIFVuaXZlcnNpdHkgb2YgQ2FsaWZvcm5pYSAsIExvcyBBbmdlbGVzICwgQ0EgLCBV
U0EuJiN4RDtiIERlcGFydG1lbnQgb2YgUHVibGljIEhlYWx0aCwgSW5zdGl0dXRlIG9mIEVwaWRl
bWlvbG9neSBhbmQgU29jaWFsIE1lZGljaW5lICwgQWFyaHVzIFVuaXZlcnNpdHkgLCBEZW5tYXJr
LiYjeEQ7YyBEZXBhcnRtZW50IG9mIE9ic3RldHJpY3MgYW5kIEd5bmVjb2xvZ3kgLCBPZGVuc2Ug
VW5pdmVyc2l0eSBIb3NwaXRhbCAsIERlbm1hcmsuJiN4RDtkIERlcGFydG1lbnQgb2YgT2JzdGV0
cmljcyAmYW1wOyBHeW5lY29sb2d5ICwgVW5pdmVyc2l0eSBvZiBQaXR0c2J1cmdoICwgUEEgLCBV
U0EuPC9hdXRoLWFkZHJlc3M+PHRpdGxlcz48dGl0bGU+UHJlLWNvbmNlcHR1YWwgYW5kIHByZW5h
dGFsIHN1cHBsZW1lbnRhcnkgZm9saWMgYWNpZCBhbmQgbXVsdGl2aXRhbWluIGludGFrZSwgYmVo
YXZpb3JhbCBwcm9ibGVtcywgYW5kIGh5cGVya2luZXRpYyBkaXNvcmRlcnM6IEEgc3R1ZHkgYmFz
ZWQgb24gdGhlIERhbmlzaCBOYXRpb25hbCBCaXJ0aCBDb2hvcnQgKEROQkMpPC90aXRsZT48c2Vj
b25kYXJ5LXRpdGxlPk51dHIgTmV1cm9zY2k8L3NlY29uZGFyeS10aXRsZT48L3RpdGxlcz48cGVy
aW9kaWNhbD48ZnVsbC10aXRsZT5OdXRyIE5ldXJvc2NpPC9mdWxsLXRpdGxlPjwvcGVyaW9kaWNh
bD48cGFnZXM+MzUyLTM2MDwvcGFnZXM+PHZvbHVtZT4yMTwvdm9sdW1lPjxudW1iZXI+NTwvbnVt
YmVyPjxlZGl0aW9uPjIwMTcvMDMvMTA8L2VkaXRpb24+PGtleXdvcmRzPjxrZXl3b3JkPkFkdWx0
PC9rZXl3b3JkPjxrZXl3b3JkPkF0dGVudGlvbiBEZWZpY2l0IERpc29yZGVyIHdpdGggSHlwZXJh
Y3Rpdml0eS9ibG9vZC8qcHJldmVudGlvbiAmYW1wOyBjb250cm9sPC9rZXl3b3JkPjxrZXl3b3Jk
PkJvZHkgTWFzcyBJbmRleDwva2V5d29yZD48a2V5d29yZD5DaGlsZDwva2V5d29yZD48a2V5d29y
ZD5DaGlsZCBCZWhhdmlvcjwva2V5d29yZD48a2V5d29yZD5Db2hvcnQgU3R1ZGllczwva2V5d29y
ZD48a2V5d29yZD5EZW5tYXJrL2VwaWRlbWlvbG9neTwva2V5d29yZD48a2V5d29yZD4qRGlldGFy
eSBTdXBwbGVtZW50czwva2V5d29yZD48a2V5d29yZD5GZW1hbGU8L2tleXdvcmQ+PGtleXdvcmQ+
Rm9saWMgQWNpZC8qYWRtaW5pc3RyYXRpb24gJmFtcDsgZG9zYWdlPC9rZXl3b3JkPjxrZXl3b3Jk
Pkh1bWFuczwva2V5d29yZD48a2V5d29yZD5Mb25naXR1ZGluYWwgU3R1ZGllczwva2V5d29yZD48
a2V5d29yZD5NYWxlPC9rZXl3b3JkPjxrZXl3b3JkPipNYXRlcm5hbCBOdXRyaXRpb25hbCBQaHlz
aW9sb2dpY2FsIFBoZW5vbWVuYTwva2V5d29yZD48a2V5d29yZD5NaWNyb251dHJpZW50cy8qYWRt
aW5pc3RyYXRpb24gJmFtcDsgZG9zYWdlPC9rZXl3b3JkPjxrZXl3b3JkPk1pZGRsZSBBZ2VkPC9r
ZXl3b3JkPjxrZXl3b3JkPlByZWduYW5jeTwva2V5d29yZD48a2V5d29yZD5SaXNrIEZhY3RvcnM8
L2tleXdvcmQ+PGtleXdvcmQ+U29jaW9lY29ub21pYyBGYWN0b3JzPC9rZXl3b3JkPjxrZXl3b3Jk
PlN1cnZleXMgYW5kIFF1ZXN0aW9ubmFpcmVzPC9rZXl3b3JkPjxrZXl3b3JkPllvdW5nIEFkdWx0
PC9rZXl3b3JkPjxrZXl3b3JkPkFkaGQ8L2tleXdvcmQ+PGtleXdvcmQ+TnV0cml0aW9uPC9rZXl3
b3JkPjxrZXl3b3JkPlBlcmluYXRhbDwva2V5d29yZD48a2V5d29yZD5Qcm90ZWN0aXZlIGZhY3Rv
cnM8L2tleXdvcmQ+PC9rZXl3b3Jkcz48ZGF0ZXM+PHllYXI+MjAxODwveWVhcj48cHViLWRhdGVz
PjxkYXRlPkp1bjwvZGF0ZT48L3B1Yi1kYXRlcz48L2RhdGVzPjxpc2JuPjE0NzYtODMwNSAoRWxl
Y3Ryb25pYykmI3hEOzEwMjgtNDE1WCAoTGlua2luZyk8L2lzYm4+PGFjY2Vzc2lvbi1udW0+Mjgy
NzYyNTc8L2FjY2Vzc2lvbi1udW0+PHVybHM+PHJlbGF0ZWQtdXJscz48dXJsPmh0dHBzOi8vd3d3
Lm5jYmkubmxtLm5paC5nb3YvcHVibWVkLzI4Mjc2MjU3PC91cmw+PC9yZWxhdGVkLXVybHM+PC91
cmxzPjxjdXN0b20yPlBNQzYwODI5NzU8L2N1c3RvbTI+PGVsZWN0cm9uaWMtcmVzb3VyY2UtbnVt
PjEwLjEwODAvMTAyODQxNVguMjAxNy4xMjkwOTMyPC9lbGVjdHJvbmljLXJlc291cmNlLW51bT48
L3JlY29yZD48L0NpdGU+PC9FbmROb3RlPn==
</w:fldData>
        </w:fldChar>
      </w:r>
      <w:r w:rsidR="002747EA">
        <w:instrText xml:space="preserve"> ADDIN EN.CITE </w:instrText>
      </w:r>
      <w:r w:rsidR="002747EA">
        <w:fldChar w:fldCharType="begin">
          <w:fldData xml:space="preserve">PEVuZE5vdGU+PENpdGU+PEF1dGhvcj5WaXJrPC9BdXRob3I+PFllYXI+MjAxODwvWWVhcj48UmVj
TnVtPjE4MjI8L1JlY051bT48RGlzcGxheVRleHQ+PHN0eWxlIGZhY2U9InN1cGVyc2NyaXB0IiBm
b250PSJUcmVidWNoZXQgTVMiIHNpemU9IjkiPjE2MTwvc3R5bGU+PC9EaXNwbGF5VGV4dD48cmVj
b3JkPjxyZWMtbnVtYmVyPjE4MjI8L3JlYy1udW1iZXI+PGZvcmVpZ24ta2V5cz48a2V5IGFwcD0i
RU4iIGRiLWlkPSJleHZhc3JmeDJkdHJhb2VzYXN4cDJzenN4YTJkZjUwMjU5MngiIHRpbWVzdGFt
cD0iMTU4MzcyNjUwNyI+MTgyMjwva2V5PjxrZXkgYXBwPSJFTldlYiIgZGItaWQ9IiI+MDwva2V5
PjwvZm9yZWlnbi1rZXlzPjxyZWYtdHlwZSBuYW1lPSJKb3VybmFsIEFydGljbGUiPjE3PC9yZWYt
dHlwZT48Y29udHJpYnV0b3JzPjxhdXRob3JzPjxhdXRob3I+VmlyaywgSi48L2F1dGhvcj48YXV0
aG9yPkxpZXcsIFouPC9hdXRob3I+PGF1dGhvcj5PbHNlbiwgSi48L2F1dGhvcj48YXV0aG9yPk5v
aHIsIEUuIEEuPC9hdXRob3I+PGF1dGhvcj5DYXRvdiwgSi4gTS48L2F1dGhvcj48YXV0aG9yPlJp
dHosIEIuPC9hdXRob3I+PC9hdXRob3JzPjwvY29udHJpYnV0b3JzPjxhdXRoLWFkZHJlc3M+YSBE
ZXBhcnRtZW50IG9mIEVwaWRlbWlvbG9neSwgVUNMQSBGaWVsZGluZyBTY2hvb2wgb2YgUHVibGlj
IEhlYWx0aCAsIFVuaXZlcnNpdHkgb2YgQ2FsaWZvcm5pYSAsIExvcyBBbmdlbGVzICwgQ0EgLCBV
U0EuJiN4RDtiIERlcGFydG1lbnQgb2YgUHVibGljIEhlYWx0aCwgSW5zdGl0dXRlIG9mIEVwaWRl
bWlvbG9neSBhbmQgU29jaWFsIE1lZGljaW5lICwgQWFyaHVzIFVuaXZlcnNpdHkgLCBEZW5tYXJr
LiYjeEQ7YyBEZXBhcnRtZW50IG9mIE9ic3RldHJpY3MgYW5kIEd5bmVjb2xvZ3kgLCBPZGVuc2Ug
VW5pdmVyc2l0eSBIb3NwaXRhbCAsIERlbm1hcmsuJiN4RDtkIERlcGFydG1lbnQgb2YgT2JzdGV0
cmljcyAmYW1wOyBHeW5lY29sb2d5ICwgVW5pdmVyc2l0eSBvZiBQaXR0c2J1cmdoICwgUEEgLCBV
U0EuPC9hdXRoLWFkZHJlc3M+PHRpdGxlcz48dGl0bGU+UHJlLWNvbmNlcHR1YWwgYW5kIHByZW5h
dGFsIHN1cHBsZW1lbnRhcnkgZm9saWMgYWNpZCBhbmQgbXVsdGl2aXRhbWluIGludGFrZSwgYmVo
YXZpb3JhbCBwcm9ibGVtcywgYW5kIGh5cGVya2luZXRpYyBkaXNvcmRlcnM6IEEgc3R1ZHkgYmFz
ZWQgb24gdGhlIERhbmlzaCBOYXRpb25hbCBCaXJ0aCBDb2hvcnQgKEROQkMpPC90aXRsZT48c2Vj
b25kYXJ5LXRpdGxlPk51dHIgTmV1cm9zY2k8L3NlY29uZGFyeS10aXRsZT48L3RpdGxlcz48cGVy
aW9kaWNhbD48ZnVsbC10aXRsZT5OdXRyIE5ldXJvc2NpPC9mdWxsLXRpdGxlPjwvcGVyaW9kaWNh
bD48cGFnZXM+MzUyLTM2MDwvcGFnZXM+PHZvbHVtZT4yMTwvdm9sdW1lPjxudW1iZXI+NTwvbnVt
YmVyPjxlZGl0aW9uPjIwMTcvMDMvMTA8L2VkaXRpb24+PGtleXdvcmRzPjxrZXl3b3JkPkFkdWx0
PC9rZXl3b3JkPjxrZXl3b3JkPkF0dGVudGlvbiBEZWZpY2l0IERpc29yZGVyIHdpdGggSHlwZXJh
Y3Rpdml0eS9ibG9vZC8qcHJldmVudGlvbiAmYW1wOyBjb250cm9sPC9rZXl3b3JkPjxrZXl3b3Jk
PkJvZHkgTWFzcyBJbmRleDwva2V5d29yZD48a2V5d29yZD5DaGlsZDwva2V5d29yZD48a2V5d29y
ZD5DaGlsZCBCZWhhdmlvcjwva2V5d29yZD48a2V5d29yZD5Db2hvcnQgU3R1ZGllczwva2V5d29y
ZD48a2V5d29yZD5EZW5tYXJrL2VwaWRlbWlvbG9neTwva2V5d29yZD48a2V5d29yZD4qRGlldGFy
eSBTdXBwbGVtZW50czwva2V5d29yZD48a2V5d29yZD5GZW1hbGU8L2tleXdvcmQ+PGtleXdvcmQ+
Rm9saWMgQWNpZC8qYWRtaW5pc3RyYXRpb24gJmFtcDsgZG9zYWdlPC9rZXl3b3JkPjxrZXl3b3Jk
Pkh1bWFuczwva2V5d29yZD48a2V5d29yZD5Mb25naXR1ZGluYWwgU3R1ZGllczwva2V5d29yZD48
a2V5d29yZD5NYWxlPC9rZXl3b3JkPjxrZXl3b3JkPipNYXRlcm5hbCBOdXRyaXRpb25hbCBQaHlz
aW9sb2dpY2FsIFBoZW5vbWVuYTwva2V5d29yZD48a2V5d29yZD5NaWNyb251dHJpZW50cy8qYWRt
aW5pc3RyYXRpb24gJmFtcDsgZG9zYWdlPC9rZXl3b3JkPjxrZXl3b3JkPk1pZGRsZSBBZ2VkPC9r
ZXl3b3JkPjxrZXl3b3JkPlByZWduYW5jeTwva2V5d29yZD48a2V5d29yZD5SaXNrIEZhY3RvcnM8
L2tleXdvcmQ+PGtleXdvcmQ+U29jaW9lY29ub21pYyBGYWN0b3JzPC9rZXl3b3JkPjxrZXl3b3Jk
PlN1cnZleXMgYW5kIFF1ZXN0aW9ubmFpcmVzPC9rZXl3b3JkPjxrZXl3b3JkPllvdW5nIEFkdWx0
PC9rZXl3b3JkPjxrZXl3b3JkPkFkaGQ8L2tleXdvcmQ+PGtleXdvcmQ+TnV0cml0aW9uPC9rZXl3
b3JkPjxrZXl3b3JkPlBlcmluYXRhbDwva2V5d29yZD48a2V5d29yZD5Qcm90ZWN0aXZlIGZhY3Rv
cnM8L2tleXdvcmQ+PC9rZXl3b3Jkcz48ZGF0ZXM+PHllYXI+MjAxODwveWVhcj48cHViLWRhdGVz
PjxkYXRlPkp1bjwvZGF0ZT48L3B1Yi1kYXRlcz48L2RhdGVzPjxpc2JuPjE0NzYtODMwNSAoRWxl
Y3Ryb25pYykmI3hEOzEwMjgtNDE1WCAoTGlua2luZyk8L2lzYm4+PGFjY2Vzc2lvbi1udW0+Mjgy
NzYyNTc8L2FjY2Vzc2lvbi1udW0+PHVybHM+PHJlbGF0ZWQtdXJscz48dXJsPmh0dHBzOi8vd3d3
Lm5jYmkubmxtLm5paC5nb3YvcHVibWVkLzI4Mjc2MjU3PC91cmw+PC9yZWxhdGVkLXVybHM+PC91
cmxzPjxjdXN0b20yPlBNQzYwODI5NzU8L2N1c3RvbTI+PGVsZWN0cm9uaWMtcmVzb3VyY2UtbnVt
PjEwLjEwODAvMTAyODQxNVguMjAxNy4xMjkwOTMyPC9lbGVjdHJvbmljLXJlc291cmNlLW51bT48
L3JlY29yZD48L0NpdGU+PC9FbmROb3RlPn==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161</w:t>
      </w:r>
      <w:r w:rsidR="00BA7CBD">
        <w:fldChar w:fldCharType="end"/>
      </w:r>
      <w:r w:rsidR="0056206C">
        <w:t xml:space="preserve"> </w:t>
      </w:r>
      <w:r w:rsidR="0056206C" w:rsidRPr="0056206C">
        <w:t xml:space="preserve">found </w:t>
      </w:r>
      <w:r w:rsidR="0056206C">
        <w:t>that</w:t>
      </w:r>
      <w:r w:rsidR="0056206C" w:rsidRPr="0056206C">
        <w:t xml:space="preserve"> early multivitamin use was associated with an approximately 30% reduction in risk for hyperkinetic disorders dia</w:t>
      </w:r>
      <w:r w:rsidR="0056206C">
        <w:t xml:space="preserve">gnosis (aHR: 0.70, 95% CI: 0.52 to </w:t>
      </w:r>
      <w:r w:rsidR="0056206C" w:rsidRPr="0056206C">
        <w:t>0.96) and 21% reduction in treatment with attention deficit hyperactivity disorder medication (aHR: 0.79, 95% CI: 0.62</w:t>
      </w:r>
      <w:r w:rsidR="0056206C">
        <w:t xml:space="preserve"> to </w:t>
      </w:r>
      <w:r w:rsidR="0056206C" w:rsidRPr="0056206C">
        <w:t xml:space="preserve">0.98). </w:t>
      </w:r>
      <w:r w:rsidR="009243E6">
        <w:t>A</w:t>
      </w:r>
      <w:r>
        <w:t xml:space="preserve"> Chinese cohort study</w:t>
      </w:r>
      <w:r w:rsidR="00BA7CBD">
        <w:fldChar w:fldCharType="begin">
          <w:fldData xml:space="preserve">PEVuZE5vdGU+PENpdGU+PEF1dGhvcj5MaTwvQXV0aG9yPjxZZWFyPjIwMTU8L1llYXI+PFJlY051
bT4xODA4PC9SZWNOdW0+PERpc3BsYXlUZXh0PjxzdHlsZSBmYWNlPSJzdXBlcnNjcmlwdCIgZm9u
dD0iVHJlYnVjaGV0IE1TIiBzaXplPSI5Ij4xNjI8L3N0eWxlPjwvRGlzcGxheVRleHQ+PHJlY29y
ZD48cmVjLW51bWJlcj4xODA4PC9yZWMtbnVtYmVyPjxmb3JlaWduLWtleXM+PGtleSBhcHA9IkVO
IiBkYi1pZD0iZXh2YXNyZngyZHRyYW9lc2FzeHAyc3pzeGEyZGY1MDI1OTJ4IiB0aW1lc3RhbXA9
IjE1ODM3MjY0MTkiPjE4MDg8L2tleT48a2V5IGFwcD0iRU5XZWIiIGRiLWlkPSIiPjA8L2tleT48
L2ZvcmVpZ24ta2V5cz48cmVmLXR5cGUgbmFtZT0iSm91cm5hbCBBcnRpY2xlIj4xNzwvcmVmLXR5
cGU+PGNvbnRyaWJ1dG9ycz48YXV0aG9ycz48YXV0aG9yPkxpLCBDLjwvYXV0aG9yPjxhdXRob3I+
WmVuZywgTC48L2F1dGhvcj48YXV0aG9yPldhbmcsIEQuPC9hdXRob3I+PGF1dGhvcj5ZYW5nLCBX
LjwvYXV0aG9yPjxhdXRob3I+RGFuZywgUy48L2F1dGhvcj48YXV0aG9yPlpob3UsIEouPC9hdXRo
b3I+PGF1dGhvcj5ZYW4sIEguPC9hdXRob3I+PC9hdXRob3JzPjwvY29udHJpYnV0b3JzPjxhdXRo
LWFkZHJlc3M+RGVwYXJ0bWVudCBvZiBFcGlkZW1pb2xvZ3kgYW5kIEJpb3N0YXRpc3RpY3MsIFNj
aG9vbCBvZiBQdWJsaWMgSGVhbHRoLiYjeEQ7RGVwYXJ0bWVudCBvZiBDbGluaWNhbCBTY2llbmNl
cywgTGl2ZXJwb29sIFNjaG9vbCBvZiBUcm9waWNhbCBNZWRpY2luZSBQZW1icm9rZSBQbGFjZSwg
TGl2ZXJwb29sLCBVbml0ZWQgS2luZ2RvbTsgYW5kLiYjeEQ7TWF0ZXJuYWwgYW5kIENoaWxkIEhl
YWx0aCBDZW50ZXIsIEZpcnN0IEFmZmlsaWF0ZWQgSG9zcGl0YWwsIFhpJmFwb3M7YW4gSmlhb3Rv
bmcgVW5pdmVyc2l0eSBIZWFsdGggU2NpZW5jZSBDZW50ZXIsIFhpJmFwb3M7YW4sIENoaW5hOyYj
eEQ7RGVwYXJ0bWVudCBvZiBFcGlkZW1pb2xvZ3kgYW5kIEJpb3N0YXRpc3RpY3MsIFNjaG9vbCBv
ZiBQdWJsaWMgSGVhbHRoLCBOdXRyaXRpb24gYW5kIEZvb2QgU2FmZXR5IEVuZ2luZWVyaW5nIFJl
c2VhcmNoIENlbnRlciBvZiBTaGFhbnhpIFByb3ZpbmNlLCBYaSZhcG9zO2FuLCBDaGluYSB4anR1
X3loLnBhcGVyQGFsaXl1bi5jb20uPC9hdXRoLWFkZHJlc3M+PHRpdGxlcz48dGl0bGU+UHJlbmF0
YWwgbWljcm9udXRyaWVudCBzdXBwbGVtZW50YXRpb24gaXMgbm90IGFzc29jaWF0ZWQgd2l0aCBp
bnRlbGxlY3R1YWwgZGV2ZWxvcG1lbnQgb2YgeW91bmcgc2Nob29sLWFnZWQgY2hpbGRyZW48L3Rp
dGxlPjxzZWNvbmRhcnktdGl0bGU+SiBOdXRyPC9zZWNvbmRhcnktdGl0bGU+PC90aXRsZXM+PHBl
cmlvZGljYWw+PGZ1bGwtdGl0bGU+SiBOdXRyPC9mdWxsLXRpdGxlPjwvcGVyaW9kaWNhbD48cGFn
ZXM+MTg0NC05PC9wYWdlcz48dm9sdW1lPjE0NTwvdm9sdW1lPjxudW1iZXI+ODwvbnVtYmVyPjxl
ZGl0aW9uPjIwMTUvMDYvMTk8L2VkaXRpb24+PGtleXdvcmRzPjxrZXl3b3JkPkNlbnRyYWwgTmVy
dm91cyBTeXN0ZW0vZW1icnlvbG9neS9ncm93dGggJmFtcDsgZGV2ZWxvcG1lbnQ8L2tleXdvcmQ+
PGtleXdvcmQ+Q2hpbGQ8L2tleXdvcmQ+PGtleXdvcmQ+Q2hpbGQgRGV2ZWxvcG1lbnQvKmRydWcg
ZWZmZWN0czwva2V5d29yZD48a2V5d29yZD5DaGluYTwva2V5d29yZD48a2V5d29yZD4qRGlldGFy
eSBTdXBwbGVtZW50czwva2V5d29yZD48a2V5d29yZD5GZW1hbGU8L2tleXdvcmQ+PGtleXdvcmQ+
Rm9saWMgQWNpZC9hZG1pbmlzdHJhdGlvbiAmYW1wOyBkb3NhZ2UvcGhhcm1hY29sb2d5PC9rZXl3
b3JkPjxrZXl3b3JkPkh1bWFuczwva2V5d29yZD48a2V5d29yZD5JbnRlbGxpZ2VuY2UvKmRydWcg
ZWZmZWN0czwva2V5d29yZD48a2V5d29yZD5JbnRlbGxpZ2VuY2UgVGVzdHM8L2tleXdvcmQ+PGtl
eXdvcmQ+SXJvbi9hZG1pbmlzdHJhdGlvbiAmYW1wOyBkb3NhZ2UvcGhhcm1hY29sb2d5PC9rZXl3
b3JkPjxrZXl3b3JkPk1hdGVybmFsIE51dHJpdGlvbmFsIFBoeXNpb2xvZ2ljYWwgUGhlbm9tZW5h
PC9rZXl3b3JkPjxrZXl3b3JkPk1pY3JvbnV0cmllbnRzLyphZG1pbmlzdHJhdGlvbiAmYW1wOyBk
b3NhZ2UvKnBoYXJtYWNvbG9neTwva2V5d29yZD48a2V5d29yZD5QcmVnbmFuY3k8L2tleXdvcmQ+
PGtleXdvcmQ+aW50ZWxsZWN0dWFsIGRldmVsb3BtZW50PC9rZXl3b3JkPjxrZXl3b3JkPmxvbmdp
dHVkaW5hbCBzdHVkeTwva2V5d29yZD48a2V5d29yZD5wcmVuYXRhbCBtaWNyb251dHJpZW50IHN1
cHBsZW1lbnRhdGlvbjwva2V5d29yZD48a2V5d29yZD5ydXJhbCBDaGluYTwva2V5d29yZD48a2V5
d29yZD55b3VuZyBzY2hvb2wtYWdlZCBjaGlsZHJlbjwva2V5d29yZD48L2tleXdvcmRzPjxkYXRl
cz48eWVhcj4yMDE1PC95ZWFyPjxwdWItZGF0ZXM+PGRhdGU+QXVnPC9kYXRlPjwvcHViLWRhdGVz
PjwvZGF0ZXM+PGlzYm4+MTU0MS02MTAwIChFbGVjdHJvbmljKSYjeEQ7MDAyMi0zMTY2IChMaW5r
aW5nKTwvaXNibj48YWNjZXNzaW9uLW51bT4yNjA4NDM2NjwvYWNjZXNzaW9uLW51bT48dXJscz48
cmVsYXRlZC11cmxzPjx1cmw+aHR0cHM6Ly93d3cubmNiaS5ubG0ubmloLmdvdi9wdWJtZWQvMjYw
ODQzNjY8L3VybD48L3JlbGF0ZWQtdXJscz48L3VybHM+PGVsZWN0cm9uaWMtcmVzb3VyY2UtbnVt
PjEwLjM5NDUvam4uMTE0LjIwNzc5NTwvZWxlY3Ryb25pYy1yZXNvdXJjZS1udW0+PC9yZWNvcmQ+
PC9DaXRlPjwvRW5kTm90ZT4A
</w:fldData>
        </w:fldChar>
      </w:r>
      <w:r w:rsidR="002747EA">
        <w:instrText xml:space="preserve"> ADDIN EN.CITE </w:instrText>
      </w:r>
      <w:r w:rsidR="002747EA">
        <w:fldChar w:fldCharType="begin">
          <w:fldData xml:space="preserve">PEVuZE5vdGU+PENpdGU+PEF1dGhvcj5MaTwvQXV0aG9yPjxZZWFyPjIwMTU8L1llYXI+PFJlY051
bT4xODA4PC9SZWNOdW0+PERpc3BsYXlUZXh0PjxzdHlsZSBmYWNlPSJzdXBlcnNjcmlwdCIgZm9u
dD0iVHJlYnVjaGV0IE1TIiBzaXplPSI5Ij4xNjI8L3N0eWxlPjwvRGlzcGxheVRleHQ+PHJlY29y
ZD48cmVjLW51bWJlcj4xODA4PC9yZWMtbnVtYmVyPjxmb3JlaWduLWtleXM+PGtleSBhcHA9IkVO
IiBkYi1pZD0iZXh2YXNyZngyZHRyYW9lc2FzeHAyc3pzeGEyZGY1MDI1OTJ4IiB0aW1lc3RhbXA9
IjE1ODM3MjY0MTkiPjE4MDg8L2tleT48a2V5IGFwcD0iRU5XZWIiIGRiLWlkPSIiPjA8L2tleT48
L2ZvcmVpZ24ta2V5cz48cmVmLXR5cGUgbmFtZT0iSm91cm5hbCBBcnRpY2xlIj4xNzwvcmVmLXR5
cGU+PGNvbnRyaWJ1dG9ycz48YXV0aG9ycz48YXV0aG9yPkxpLCBDLjwvYXV0aG9yPjxhdXRob3I+
WmVuZywgTC48L2F1dGhvcj48YXV0aG9yPldhbmcsIEQuPC9hdXRob3I+PGF1dGhvcj5ZYW5nLCBX
LjwvYXV0aG9yPjxhdXRob3I+RGFuZywgUy48L2F1dGhvcj48YXV0aG9yPlpob3UsIEouPC9hdXRo
b3I+PGF1dGhvcj5ZYW4sIEguPC9hdXRob3I+PC9hdXRob3JzPjwvY29udHJpYnV0b3JzPjxhdXRo
LWFkZHJlc3M+RGVwYXJ0bWVudCBvZiBFcGlkZW1pb2xvZ3kgYW5kIEJpb3N0YXRpc3RpY3MsIFNj
aG9vbCBvZiBQdWJsaWMgSGVhbHRoLiYjeEQ7RGVwYXJ0bWVudCBvZiBDbGluaWNhbCBTY2llbmNl
cywgTGl2ZXJwb29sIFNjaG9vbCBvZiBUcm9waWNhbCBNZWRpY2luZSBQZW1icm9rZSBQbGFjZSwg
TGl2ZXJwb29sLCBVbml0ZWQgS2luZ2RvbTsgYW5kLiYjeEQ7TWF0ZXJuYWwgYW5kIENoaWxkIEhl
YWx0aCBDZW50ZXIsIEZpcnN0IEFmZmlsaWF0ZWQgSG9zcGl0YWwsIFhpJmFwb3M7YW4gSmlhb3Rv
bmcgVW5pdmVyc2l0eSBIZWFsdGggU2NpZW5jZSBDZW50ZXIsIFhpJmFwb3M7YW4sIENoaW5hOyYj
eEQ7RGVwYXJ0bWVudCBvZiBFcGlkZW1pb2xvZ3kgYW5kIEJpb3N0YXRpc3RpY3MsIFNjaG9vbCBv
ZiBQdWJsaWMgSGVhbHRoLCBOdXRyaXRpb24gYW5kIEZvb2QgU2FmZXR5IEVuZ2luZWVyaW5nIFJl
c2VhcmNoIENlbnRlciBvZiBTaGFhbnhpIFByb3ZpbmNlLCBYaSZhcG9zO2FuLCBDaGluYSB4anR1
X3loLnBhcGVyQGFsaXl1bi5jb20uPC9hdXRoLWFkZHJlc3M+PHRpdGxlcz48dGl0bGU+UHJlbmF0
YWwgbWljcm9udXRyaWVudCBzdXBwbGVtZW50YXRpb24gaXMgbm90IGFzc29jaWF0ZWQgd2l0aCBp
bnRlbGxlY3R1YWwgZGV2ZWxvcG1lbnQgb2YgeW91bmcgc2Nob29sLWFnZWQgY2hpbGRyZW48L3Rp
dGxlPjxzZWNvbmRhcnktdGl0bGU+SiBOdXRyPC9zZWNvbmRhcnktdGl0bGU+PC90aXRsZXM+PHBl
cmlvZGljYWw+PGZ1bGwtdGl0bGU+SiBOdXRyPC9mdWxsLXRpdGxlPjwvcGVyaW9kaWNhbD48cGFn
ZXM+MTg0NC05PC9wYWdlcz48dm9sdW1lPjE0NTwvdm9sdW1lPjxudW1iZXI+ODwvbnVtYmVyPjxl
ZGl0aW9uPjIwMTUvMDYvMTk8L2VkaXRpb24+PGtleXdvcmRzPjxrZXl3b3JkPkNlbnRyYWwgTmVy
dm91cyBTeXN0ZW0vZW1icnlvbG9neS9ncm93dGggJmFtcDsgZGV2ZWxvcG1lbnQ8L2tleXdvcmQ+
PGtleXdvcmQ+Q2hpbGQ8L2tleXdvcmQ+PGtleXdvcmQ+Q2hpbGQgRGV2ZWxvcG1lbnQvKmRydWcg
ZWZmZWN0czwva2V5d29yZD48a2V5d29yZD5DaGluYTwva2V5d29yZD48a2V5d29yZD4qRGlldGFy
eSBTdXBwbGVtZW50czwva2V5d29yZD48a2V5d29yZD5GZW1hbGU8L2tleXdvcmQ+PGtleXdvcmQ+
Rm9saWMgQWNpZC9hZG1pbmlzdHJhdGlvbiAmYW1wOyBkb3NhZ2UvcGhhcm1hY29sb2d5PC9rZXl3
b3JkPjxrZXl3b3JkPkh1bWFuczwva2V5d29yZD48a2V5d29yZD5JbnRlbGxpZ2VuY2UvKmRydWcg
ZWZmZWN0czwva2V5d29yZD48a2V5d29yZD5JbnRlbGxpZ2VuY2UgVGVzdHM8L2tleXdvcmQ+PGtl
eXdvcmQ+SXJvbi9hZG1pbmlzdHJhdGlvbiAmYW1wOyBkb3NhZ2UvcGhhcm1hY29sb2d5PC9rZXl3
b3JkPjxrZXl3b3JkPk1hdGVybmFsIE51dHJpdGlvbmFsIFBoeXNpb2xvZ2ljYWwgUGhlbm9tZW5h
PC9rZXl3b3JkPjxrZXl3b3JkPk1pY3JvbnV0cmllbnRzLyphZG1pbmlzdHJhdGlvbiAmYW1wOyBk
b3NhZ2UvKnBoYXJtYWNvbG9neTwva2V5d29yZD48a2V5d29yZD5QcmVnbmFuY3k8L2tleXdvcmQ+
PGtleXdvcmQ+aW50ZWxsZWN0dWFsIGRldmVsb3BtZW50PC9rZXl3b3JkPjxrZXl3b3JkPmxvbmdp
dHVkaW5hbCBzdHVkeTwva2V5d29yZD48a2V5d29yZD5wcmVuYXRhbCBtaWNyb251dHJpZW50IHN1
cHBsZW1lbnRhdGlvbjwva2V5d29yZD48a2V5d29yZD5ydXJhbCBDaGluYTwva2V5d29yZD48a2V5
d29yZD55b3VuZyBzY2hvb2wtYWdlZCBjaGlsZHJlbjwva2V5d29yZD48L2tleXdvcmRzPjxkYXRl
cz48eWVhcj4yMDE1PC95ZWFyPjxwdWItZGF0ZXM+PGRhdGU+QXVnPC9kYXRlPjwvcHViLWRhdGVz
PjwvZGF0ZXM+PGlzYm4+MTU0MS02MTAwIChFbGVjdHJvbmljKSYjeEQ7MDAyMi0zMTY2IChMaW5r
aW5nKTwvaXNibj48YWNjZXNzaW9uLW51bT4yNjA4NDM2NjwvYWNjZXNzaW9uLW51bT48dXJscz48
cmVsYXRlZC11cmxzPjx1cmw+aHR0cHM6Ly93d3cubmNiaS5ubG0ubmloLmdvdi9wdWJtZWQvMjYw
ODQzNjY8L3VybD48L3JlbGF0ZWQtdXJscz48L3VybHM+PGVsZWN0cm9uaWMtcmVzb3VyY2UtbnVt
PjEwLjM5NDUvam4uMTE0LjIwNzc5NTwvZWxlY3Ryb25pYy1yZXNvdXJjZS1udW0+PC9yZWNvcmQ+
PC9DaXRlPjwvRW5kTm90ZT4A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162</w:t>
      </w:r>
      <w:r w:rsidR="00BA7CBD">
        <w:fldChar w:fldCharType="end"/>
      </w:r>
      <w:r>
        <w:t xml:space="preserve"> found that maternal multimicronutrient supplementation had no </w:t>
      </w:r>
      <w:r w:rsidRPr="00AC5888">
        <w:t xml:space="preserve">effect on intellectual development </w:t>
      </w:r>
      <w:r>
        <w:t>in children aged 7-10 years.</w:t>
      </w:r>
    </w:p>
    <w:p w14:paraId="1E32B6D7" w14:textId="232DF234" w:rsidR="00323D62" w:rsidRDefault="0089439C" w:rsidP="00323D62">
      <w:pPr>
        <w:rPr>
          <w:lang w:val="en-AU"/>
        </w:rPr>
      </w:pPr>
      <w:r>
        <w:rPr>
          <w:lang w:val="en-AU"/>
        </w:rPr>
        <w:t>The current Guidelines note that a</w:t>
      </w:r>
      <w:r w:rsidRPr="00CC52F7">
        <w:rPr>
          <w:lang w:val="en-AU"/>
        </w:rPr>
        <w:t xml:space="preserve">n </w:t>
      </w:r>
      <w:r>
        <w:rPr>
          <w:lang w:val="en-AU"/>
        </w:rPr>
        <w:t>observational study has shown a positive</w:t>
      </w:r>
      <w:r w:rsidRPr="00CC52F7">
        <w:rPr>
          <w:lang w:val="en-AU"/>
        </w:rPr>
        <w:t xml:space="preserve"> association between risk of preterm birth and multivitamins and minerals if taken daily in the third trimester by women who were unlikely to be deficient in these nutrients</w:t>
      </w:r>
      <w:r w:rsidR="00F40833">
        <w:rPr>
          <w:lang w:val="en-AU"/>
        </w:rPr>
        <w:t>.</w:t>
      </w:r>
      <w:r w:rsidRPr="00CC52F7">
        <w:rPr>
          <w:lang w:val="en-AU"/>
        </w:rPr>
        <w:fldChar w:fldCharType="begin">
          <w:fldData xml:space="preserve">PEVuZE5vdGU+PENpdGU+PEF1dGhvcj5BbHdhbjwvQXV0aG9yPjxZZWFyPjIwMTA8L1llYXI+PFJl
Y051bT42NzMwPC9SZWNOdW0+PERpc3BsYXlUZXh0PjxzdHlsZSBmYWNlPSJzdXBlcnNjcmlwdCIg
Zm9udD0iVHJlYnVjaGV0IE1TIiBzaXplPSI5Ij4xNjM8L3N0eWxlPjwvRGlzcGxheVRleHQ+PHJl
Y29yZD48cmVjLW51bWJlcj42NzMwPC9yZWMtbnVtYmVyPjxmb3JlaWduLWtleXM+PGtleSBhcHA9
IkVOIiBkYi1pZD0idnpzdjUwZDl2NWY1YTJlcDJhZnAwZGY5Znp3emQ1cHowd3RzIj42NzMwPC9r
ZXk+PC9mb3JlaWduLWtleXM+PHJlZi10eXBlIG5hbWU9IkpvdXJuYWwgQXJ0aWNsZSI+MTc8L3Jl
Zi10eXBlPjxjb250cmlidXRvcnM+PGF1dGhvcnM+PGF1dGhvcj5BbHdhbiwgTi4gQS48L2F1dGhv
cj48YXV0aG9yPkdyZWVud29vZCwgRC4gQy48L2F1dGhvcj48YXV0aG9yPlNpbXBzb24sIE4uIEEu
PC9hdXRob3I+PGF1dGhvcj5NY0FyZGxlLCBILiBKLjwvYXV0aG9yPjxhdXRob3I+Q2FkZSwgSi4g
RS48L2F1dGhvcj48L2F1dGhvcnM+PC9jb250cmlidXRvcnM+PGF1dGgtYWRkcmVzcz5OdXRyaXRp
b25hbCBFcGlkZW1pb2xvZ3kgR3JvdXAsIENlbnRyZSBmb3IgRXBpZGVtaW9sb2d5IGFuZCBCaW9z
dGF0aXN0aWNzLCBVbml2ZXJzaXR5IG9mIExlZWRzLCBMZWVkcywgVUsuIG4uYWx3YW5AbGVlZHMu
YWMudWs8L2F1dGgtYWRkcmVzcz48dGl0bGVzPjx0aXRsZT5UaGUgcmVsYXRpb25zaGlwIGJldHdl
ZW4gZGlldGFyeSBzdXBwbGVtZW50IHVzZSBpbiBsYXRlIHByZWduYW5jeSBhbmQgYmlydGggb3V0
Y29tZXM6IGEgY29ob3J0IHN0dWR5IGluIEJyaXRpc2ggd29tZW48L3RpdGxlPjxzZWNvbmRhcnkt
dGl0bGU+QkpPRzwvc2Vjb25kYXJ5LXRpdGxlPjxhbHQtdGl0bGU+QkpPRyA6IGFuIGludGVybmF0
aW9uYWwgam91cm5hbCBvZiBvYnN0ZXRyaWNzIGFuZCBneW5hZWNvbG9neTwvYWx0LXRpdGxlPjwv
dGl0bGVzPjxwZXJpb2RpY2FsPjxmdWxsLXRpdGxlPkJKT0c8L2Z1bGwtdGl0bGU+PGFiYnItMT5C
Sk9HIDogYW4gaW50ZXJuYXRpb25hbCBqb3VybmFsIG9mIG9ic3RldHJpY3MgYW5kIGd5bmFlY29s
b2d5PC9hYmJyLTE+PC9wZXJpb2RpY2FsPjxhbHQtcGVyaW9kaWNhbD48ZnVsbC10aXRsZT5CSk9H
PC9mdWxsLXRpdGxlPjxhYmJyLTE+QkpPRyA6IGFuIGludGVybmF0aW9uYWwgam91cm5hbCBvZiBv
YnN0ZXRyaWNzIGFuZCBneW5hZWNvbG9neTwvYWJici0xPjwvYWx0LXBlcmlvZGljYWw+PHBhZ2Vz
PjgyMeKAkzI5PC9wYWdlcz48dm9sdW1lPjExNzwvdm9sdW1lPjxudW1iZXI+NzwvbnVtYmVyPjxl
ZGl0aW9uPjIwMTAvMDQvMDE8L2VkaXRpb24+PGtleXdvcmRzPjxrZXl3b3JkPkFkb2xlc2NlbnQ8
L2tleXdvcmQ+PGtleXdvcmQ+QWR1bHQ8L2tleXdvcmQ+PGtleXdvcmQ+QmlydGggV2VpZ2h0PC9r
ZXl3b3JkPjxrZXl3b3JkPkRpZXRhcnkgU3VwcGxlbWVudHMvKmFkdmVyc2UgZWZmZWN0czwva2V5
d29yZD48a2V5d29yZD5GZW1hbGU8L2tleXdvcmQ+PGtleXdvcmQ+R3JlYXQgQnJpdGFpbjwva2V5
d29yZD48a2V5d29yZD5IdW1hbnM8L2tleXdvcmQ+PGtleXdvcmQ+SW5mYW50LCBOZXdib3JuPC9r
ZXl3b3JkPjxrZXl3b3JkPkluZmFudCwgU21hbGwgZm9yIEdlc3RhdGlvbmFsIEFnZTwva2V5d29y
ZD48a2V5d29yZD5NaWRkbGUgQWdlZDwva2V5d29yZD48a2V5d29yZD5NaW5lcmFscy9hZG1pbmlz
dHJhdGlvbiAmYW1wOyBkb3NhZ2UvYWR2ZXJzZSBlZmZlY3RzPC9rZXl3b3JkPjxrZXl3b3JkPlBy
ZWduYW5jeTwva2V5d29yZD48a2V5d29yZD4qUHJlZ25hbmN5IE91dGNvbWU8L2tleXdvcmQ+PGtl
eXdvcmQ+UHJlZ25hbmN5IFRyaW1lc3RlciwgVGhpcmQ8L2tleXdvcmQ+PGtleXdvcmQ+UHJlbWF0
dXJlIEJpcnRoLypldGlvbG9neTwva2V5d29yZD48a2V5d29yZD5Qcm9zcGVjdGl2ZSBTdHVkaWVz
PC9rZXl3b3JkPjxrZXl3b3JkPlJpc2sgRmFjdG9yczwva2V5d29yZD48a2V5d29yZD5WaXRhbWlu
cy9hZG1pbmlzdHJhdGlvbiAmYW1wOyBkb3NhZ2UvYWR2ZXJzZSBlZmZlY3RzPC9rZXl3b3JkPjxr
ZXl3b3JkPllvdW5nIEFkdWx0PC9rZXl3b3JkPjwva2V5d29yZHM+PGRhdGVzPjx5ZWFyPjIwMTA8
L3llYXI+PHB1Yi1kYXRlcz48ZGF0ZT5KdW48L2RhdGU+PC9wdWItZGF0ZXM+PC9kYXRlcz48aXNi
bj4xNDcxLTA1MjggKEVsZWN0cm9uaWMpJiN4RDsxNDcwLTAzMjggKExpbmtpbmcpPC9pc2JuPjxh
Y2Nlc3Npb24tbnVtPjIwMzUzNDU2PC9hY2Nlc3Npb24tbnVtPjx3b3JrLXR5cGU+TXVsdGljZW50
ZXIgU3R1ZHkmI3hEO1Jlc2VhcmNoIFN1cHBvcnQsIE5vbi1VLlMuIEdvdiZhcG9zO3Q8L3dvcmst
dHlwZT48dXJscz48cmVsYXRlZC11cmxzPjx1cmw+aHR0cDovL3d3dy5uY2JpLm5sbS5uaWguZ292
L3B1Ym1lZC8yMDM1MzQ1NjwvdXJsPjwvcmVsYXRlZC11cmxzPjwvdXJscz48Y3VzdG9tMj4yODc0
NTE4PC9jdXN0b20yPjxlbGVjdHJvbmljLXJlc291cmNlLW51bT4xMC4xMTExL2ouMTQ3MS0wNTI4
LjIwMTAuMDI1NDkueDwvZWxlY3Ryb25pYy1yZXNvdXJjZS1udW0+PGxhbmd1YWdlPmVuZzwvbGFu
Z3VhZ2U+PC9yZWNvcmQ+PC9DaXRlPjwvRW5kTm90ZT4A
</w:fldData>
        </w:fldChar>
      </w:r>
      <w:r w:rsidR="002747EA">
        <w:rPr>
          <w:lang w:val="en-AU"/>
        </w:rPr>
        <w:instrText xml:space="preserve"> ADDIN EN.CITE </w:instrText>
      </w:r>
      <w:r w:rsidR="002747EA">
        <w:rPr>
          <w:lang w:val="en-AU"/>
        </w:rPr>
        <w:fldChar w:fldCharType="begin">
          <w:fldData xml:space="preserve">PEVuZE5vdGU+PENpdGU+PEF1dGhvcj5BbHdhbjwvQXV0aG9yPjxZZWFyPjIwMTA8L1llYXI+PFJl
Y051bT42NzMwPC9SZWNOdW0+PERpc3BsYXlUZXh0PjxzdHlsZSBmYWNlPSJzdXBlcnNjcmlwdCIg
Zm9udD0iVHJlYnVjaGV0IE1TIiBzaXplPSI5Ij4xNjM8L3N0eWxlPjwvRGlzcGxheVRleHQ+PHJl
Y29yZD48cmVjLW51bWJlcj42NzMwPC9yZWMtbnVtYmVyPjxmb3JlaWduLWtleXM+PGtleSBhcHA9
IkVOIiBkYi1pZD0idnpzdjUwZDl2NWY1YTJlcDJhZnAwZGY5Znp3emQ1cHowd3RzIj42NzMwPC9r
ZXk+PC9mb3JlaWduLWtleXM+PHJlZi10eXBlIG5hbWU9IkpvdXJuYWwgQXJ0aWNsZSI+MTc8L3Jl
Zi10eXBlPjxjb250cmlidXRvcnM+PGF1dGhvcnM+PGF1dGhvcj5BbHdhbiwgTi4gQS48L2F1dGhv
cj48YXV0aG9yPkdyZWVud29vZCwgRC4gQy48L2F1dGhvcj48YXV0aG9yPlNpbXBzb24sIE4uIEEu
PC9hdXRob3I+PGF1dGhvcj5NY0FyZGxlLCBILiBKLjwvYXV0aG9yPjxhdXRob3I+Q2FkZSwgSi4g
RS48L2F1dGhvcj48L2F1dGhvcnM+PC9jb250cmlidXRvcnM+PGF1dGgtYWRkcmVzcz5OdXRyaXRp
b25hbCBFcGlkZW1pb2xvZ3kgR3JvdXAsIENlbnRyZSBmb3IgRXBpZGVtaW9sb2d5IGFuZCBCaW9z
dGF0aXN0aWNzLCBVbml2ZXJzaXR5IG9mIExlZWRzLCBMZWVkcywgVUsuIG4uYWx3YW5AbGVlZHMu
YWMudWs8L2F1dGgtYWRkcmVzcz48dGl0bGVzPjx0aXRsZT5UaGUgcmVsYXRpb25zaGlwIGJldHdl
ZW4gZGlldGFyeSBzdXBwbGVtZW50IHVzZSBpbiBsYXRlIHByZWduYW5jeSBhbmQgYmlydGggb3V0
Y29tZXM6IGEgY29ob3J0IHN0dWR5IGluIEJyaXRpc2ggd29tZW48L3RpdGxlPjxzZWNvbmRhcnkt
dGl0bGU+QkpPRzwvc2Vjb25kYXJ5LXRpdGxlPjxhbHQtdGl0bGU+QkpPRyA6IGFuIGludGVybmF0
aW9uYWwgam91cm5hbCBvZiBvYnN0ZXRyaWNzIGFuZCBneW5hZWNvbG9neTwvYWx0LXRpdGxlPjwv
dGl0bGVzPjxwZXJpb2RpY2FsPjxmdWxsLXRpdGxlPkJKT0c8L2Z1bGwtdGl0bGU+PGFiYnItMT5C
Sk9HIDogYW4gaW50ZXJuYXRpb25hbCBqb3VybmFsIG9mIG9ic3RldHJpY3MgYW5kIGd5bmFlY29s
b2d5PC9hYmJyLTE+PC9wZXJpb2RpY2FsPjxhbHQtcGVyaW9kaWNhbD48ZnVsbC10aXRsZT5CSk9H
PC9mdWxsLXRpdGxlPjxhYmJyLTE+QkpPRyA6IGFuIGludGVybmF0aW9uYWwgam91cm5hbCBvZiBv
YnN0ZXRyaWNzIGFuZCBneW5hZWNvbG9neTwvYWJici0xPjwvYWx0LXBlcmlvZGljYWw+PHBhZ2Vz
PjgyMeKAkzI5PC9wYWdlcz48dm9sdW1lPjExNzwvdm9sdW1lPjxudW1iZXI+NzwvbnVtYmVyPjxl
ZGl0aW9uPjIwMTAvMDQvMDE8L2VkaXRpb24+PGtleXdvcmRzPjxrZXl3b3JkPkFkb2xlc2NlbnQ8
L2tleXdvcmQ+PGtleXdvcmQ+QWR1bHQ8L2tleXdvcmQ+PGtleXdvcmQ+QmlydGggV2VpZ2h0PC9r
ZXl3b3JkPjxrZXl3b3JkPkRpZXRhcnkgU3VwcGxlbWVudHMvKmFkdmVyc2UgZWZmZWN0czwva2V5
d29yZD48a2V5d29yZD5GZW1hbGU8L2tleXdvcmQ+PGtleXdvcmQ+R3JlYXQgQnJpdGFpbjwva2V5
d29yZD48a2V5d29yZD5IdW1hbnM8L2tleXdvcmQ+PGtleXdvcmQ+SW5mYW50LCBOZXdib3JuPC9r
ZXl3b3JkPjxrZXl3b3JkPkluZmFudCwgU21hbGwgZm9yIEdlc3RhdGlvbmFsIEFnZTwva2V5d29y
ZD48a2V5d29yZD5NaWRkbGUgQWdlZDwva2V5d29yZD48a2V5d29yZD5NaW5lcmFscy9hZG1pbmlz
dHJhdGlvbiAmYW1wOyBkb3NhZ2UvYWR2ZXJzZSBlZmZlY3RzPC9rZXl3b3JkPjxrZXl3b3JkPlBy
ZWduYW5jeTwva2V5d29yZD48a2V5d29yZD4qUHJlZ25hbmN5IE91dGNvbWU8L2tleXdvcmQ+PGtl
eXdvcmQ+UHJlZ25hbmN5IFRyaW1lc3RlciwgVGhpcmQ8L2tleXdvcmQ+PGtleXdvcmQ+UHJlbWF0
dXJlIEJpcnRoLypldGlvbG9neTwva2V5d29yZD48a2V5d29yZD5Qcm9zcGVjdGl2ZSBTdHVkaWVz
PC9rZXl3b3JkPjxrZXl3b3JkPlJpc2sgRmFjdG9yczwva2V5d29yZD48a2V5d29yZD5WaXRhbWlu
cy9hZG1pbmlzdHJhdGlvbiAmYW1wOyBkb3NhZ2UvYWR2ZXJzZSBlZmZlY3RzPC9rZXl3b3JkPjxr
ZXl3b3JkPllvdW5nIEFkdWx0PC9rZXl3b3JkPjwva2V5d29yZHM+PGRhdGVzPjx5ZWFyPjIwMTA8
L3llYXI+PHB1Yi1kYXRlcz48ZGF0ZT5KdW48L2RhdGU+PC9wdWItZGF0ZXM+PC9kYXRlcz48aXNi
bj4xNDcxLTA1MjggKEVsZWN0cm9uaWMpJiN4RDsxNDcwLTAzMjggKExpbmtpbmcpPC9pc2JuPjxh
Y2Nlc3Npb24tbnVtPjIwMzUzNDU2PC9hY2Nlc3Npb24tbnVtPjx3b3JrLXR5cGU+TXVsdGljZW50
ZXIgU3R1ZHkmI3hEO1Jlc2VhcmNoIFN1cHBvcnQsIE5vbi1VLlMuIEdvdiZhcG9zO3Q8L3dvcmst
dHlwZT48dXJscz48cmVsYXRlZC11cmxzPjx1cmw+aHR0cDovL3d3dy5uY2JpLm5sbS5uaWguZ292
L3B1Ym1lZC8yMDM1MzQ1NjwvdXJsPjwvcmVsYXRlZC11cmxzPjwvdXJscz48Y3VzdG9tMj4yODc0
NTE4PC9jdXN0b20yPjxlbGVjdHJvbmljLXJlc291cmNlLW51bT4xMC4xMTExL2ouMTQ3MS0wNTI4
LjIwMTAuMDI1NDkueDwvZWxlY3Ryb25pYy1yZXNvdXJjZS1udW0+PGxhbmd1YWdlPmVuZzwvbGFu
Z3VhZ2U+PC9yZWNvcmQ+PC9DaXRlPjwvRW5kTm90ZT4A
</w:fldData>
        </w:fldChar>
      </w:r>
      <w:r w:rsidR="002747EA">
        <w:rPr>
          <w:lang w:val="en-AU"/>
        </w:rPr>
        <w:instrText xml:space="preserve"> ADDIN EN.CITE.DATA </w:instrText>
      </w:r>
      <w:r w:rsidR="002747EA">
        <w:rPr>
          <w:lang w:val="en-AU"/>
        </w:rPr>
      </w:r>
      <w:r w:rsidR="002747EA">
        <w:rPr>
          <w:lang w:val="en-AU"/>
        </w:rPr>
        <w:fldChar w:fldCharType="end"/>
      </w:r>
      <w:r w:rsidRPr="00CC52F7">
        <w:rPr>
          <w:lang w:val="en-AU"/>
        </w:rPr>
      </w:r>
      <w:r w:rsidRPr="00CC52F7">
        <w:rPr>
          <w:lang w:val="en-AU"/>
        </w:rPr>
        <w:fldChar w:fldCharType="separate"/>
      </w:r>
      <w:r w:rsidR="002747EA" w:rsidRPr="002747EA">
        <w:rPr>
          <w:noProof/>
          <w:vertAlign w:val="superscript"/>
          <w:lang w:val="en-AU"/>
        </w:rPr>
        <w:t>163</w:t>
      </w:r>
      <w:r w:rsidRPr="00CC52F7">
        <w:rPr>
          <w:lang w:val="en-AU"/>
        </w:rPr>
        <w:fldChar w:fldCharType="end"/>
      </w:r>
    </w:p>
    <w:p w14:paraId="04D7071B" w14:textId="7BE91DB5" w:rsidR="0089439C" w:rsidRDefault="0089439C" w:rsidP="0089439C">
      <w:pPr>
        <w:pStyle w:val="Heading5"/>
      </w:pPr>
      <w:r>
        <w:t>Current review</w:t>
      </w:r>
    </w:p>
    <w:p w14:paraId="5FA5EFB0" w14:textId="6C788112" w:rsidR="0089439C" w:rsidRDefault="0089439C" w:rsidP="00B9456E">
      <w:pPr>
        <w:keepNext/>
      </w:pPr>
      <w:r>
        <w:t xml:space="preserve">The current review identified </w:t>
      </w:r>
      <w:r w:rsidR="002915F3">
        <w:t>four</w:t>
      </w:r>
      <w:r>
        <w:t xml:space="preserve"> systematic reviews </w:t>
      </w:r>
      <w:r w:rsidR="00616624">
        <w:t xml:space="preserve">and four RCTs </w:t>
      </w:r>
      <w:r>
        <w:t xml:space="preserve">of relevance to </w:t>
      </w:r>
      <w:r w:rsidR="00686B30">
        <w:t>multiple micronutrient supplementation</w:t>
      </w:r>
      <w:r>
        <w:t xml:space="preserve"> in pregnancy.</w:t>
      </w:r>
    </w:p>
    <w:p w14:paraId="5851BF20" w14:textId="142440DA" w:rsidR="002915F3" w:rsidRDefault="0089439C" w:rsidP="002915F3">
      <w:r>
        <w:t>A Cochrane review</w:t>
      </w:r>
      <w:r w:rsidR="00BA7CBD">
        <w:fldChar w:fldCharType="begin">
          <w:fldData xml:space="preserve">PEVuZE5vdGU+PENpdGU+PEF1dGhvcj5LZWF0czwvQXV0aG9yPjxZZWFyPjIwMTk8L1llYXI+PFJl
Y051bT4xODA1PC9SZWNOdW0+PERpc3BsYXlUZXh0PjxzdHlsZSBmYWNlPSJzdXBlcnNjcmlwdCIg
Zm9udD0iVHJlYnVjaGV0IE1TIiBzaXplPSI5Ij4xNjQ8L3N0eWxlPjwvRGlzcGxheVRleHQ+PHJl
Y29yZD48cmVjLW51bWJlcj4xODA1PC9yZWMtbnVtYmVyPjxmb3JlaWduLWtleXM+PGtleSBhcHA9
IkVOIiBkYi1pZD0iZXh2YXNyZngyZHRyYW9lc2FzeHAyc3pzeGEyZGY1MDI1OTJ4IiB0aW1lc3Rh
bXA9IjE1ODM3MjYzOTQiPjE4MDU8L2tleT48a2V5IGFwcD0iRU5XZWIiIGRiLWlkPSIiPjA8L2tl
eT48L2ZvcmVpZ24ta2V5cz48cmVmLXR5cGUgbmFtZT0iSm91cm5hbCBBcnRpY2xlIj4xNzwvcmVm
LXR5cGU+PGNvbnRyaWJ1dG9ycz48YXV0aG9ycz48YXV0aG9yPktlYXRzLCBFLiBDLjwvYXV0aG9y
PjxhdXRob3I+SGFpZGVyLCBCLiBBLjwvYXV0aG9yPjxhdXRob3I+VGFtLCBFLjwvYXV0aG9yPjxh
dXRob3I+Qmh1dHRhLCBaLiBBLjwvYXV0aG9yPjwvYXV0aG9ycz48L2NvbnRyaWJ1dG9ycz48YXV0
aC1hZGRyZXNzPkNlbnRyZSBmb3IgR2xvYmFsIENoaWxkIEhlYWx0aCwgVGhlIEhvc3BpdGFsIGZv
ciBTaWNrIENoaWxkcmVuLCBUb3JvbnRvLCBDYW5hZGEuPC9hdXRoLWFkZHJlc3M+PHRpdGxlcz48
dGl0bGU+TXVsdGlwbGUtbWljcm9udXRyaWVudCBzdXBwbGVtZW50YXRpb24gZm9yIHdvbWVuIGR1
cmluZyBwcmVnbmFuY3k8L3RpdGxlPjxzZWNvbmRhcnktdGl0bGU+Q29jaHJhbmUgRGF0YWJhc2Ug
U3lzdCBSZXY8L3NlY29uZGFyeS10aXRsZT48L3RpdGxlcz48cGVyaW9kaWNhbD48ZnVsbC10aXRs
ZT5Db2NocmFuZSBEYXRhYmFzZSBTeXN0IFJldjwvZnVsbC10aXRsZT48L3BlcmlvZGljYWw+PHBh
Z2VzPkNEMDA0OTA1PC9wYWdlcz48dm9sdW1lPjM8L3ZvbHVtZT48ZWRpdGlvbj4yMDE5LzAzLzE2
PC9lZGl0aW9uPjxrZXl3b3Jkcz48a2V5d29yZD4qRGlldGFyeSBTdXBwbGVtZW50czwva2V5d29y
ZD48a2V5d29yZD5EcnVnIEludGVyYWN0aW9uczwva2V5d29yZD48a2V5d29yZD5GZW1hbGU8L2tl
eXdvcmQ+PGtleXdvcmQ+Rm9saWMgQWNpZC8qYWRtaW5pc3RyYXRpb24gJmFtcDsgZG9zYWdlPC9r
ZXl3b3JkPjxrZXl3b3JkPkh1bWFuczwva2V5d29yZD48a2V5d29yZD5JbmZhbnQsIE5ld2Jvcm48
L2tleXdvcmQ+PGtleXdvcmQ+SW5mYW50LCBTbWFsbCBmb3IgR2VzdGF0aW9uYWwgQWdlPC9rZXl3
b3JkPjxrZXl3b3JkPklyb24sIERpZXRhcnkvKmFkbWluaXN0cmF0aW9uICZhbXA7IGRvc2FnZTwv
a2V5d29yZD48a2V5d29yZD5NaWNyb251dHJpZW50cy8qYWRtaW5pc3RyYXRpb24gJmFtcDsgZG9z
YWdlL2FkdmVyc2UgZWZmZWN0cy9kZWZpY2llbmN5PC9rZXl3b3JkPjxrZXl3b3JkPlBlcmluYXRh
bCBNb3J0YWxpdHk8L2tleXdvcmQ+PGtleXdvcmQ+UHJlZ25hbmN5PC9rZXl3b3JkPjxrZXl3b3Jk
PlByZWduYW5jeSBDb21wbGljYXRpb25zLyp0aGVyYXB5PC9rZXl3b3JkPjxrZXl3b3JkPlByZWdu
YW5jeSBPdXRjb21lPC9rZXl3b3JkPjxrZXl3b3JkPlByZW1hdHVyZSBCaXJ0aC9lcGlkZW1pb2xv
Z3k8L2tleXdvcmQ+PGtleXdvcmQ+UmFuZG9taXplZCBDb250cm9sbGVkIFRyaWFscyBhcyBUb3Bp
Yzwva2V5d29yZD48L2tleXdvcmRzPjxkYXRlcz48eWVhcj4yMDE5PC95ZWFyPjxwdWItZGF0ZXM+
PGRhdGU+TWFyIDE0PC9kYXRlPjwvcHViLWRhdGVzPjwvZGF0ZXM+PGlzYm4+MTQ2OS00OTNYIChF
bGVjdHJvbmljKSYjeEQ7MTM2MS02MTM3IChMaW5raW5nKTwvaXNibj48YWNjZXNzaW9uLW51bT4z
MDg3MzU5ODwvYWNjZXNzaW9uLW51bT48dXJscz48cmVsYXRlZC11cmxzPjx1cmw+aHR0cHM6Ly93
d3cubmNiaS5ubG0ubmloLmdvdi9wdWJtZWQvMzA4NzM1OTg8L3VybD48L3JlbGF0ZWQtdXJscz48
L3VybHM+PGN1c3RvbTI+UE1DNjQxODQ3MTwvY3VzdG9tMj48ZWxlY3Ryb25pYy1yZXNvdXJjZS1u
dW0+MTAuMTAwMi8xNDY1MTg1OC5DRDAwNDkwNS5wdWI2PC9lbGVjdHJvbmljLXJlc291cmNlLW51
bT48L3JlY29yZD48L0NpdGU+PC9FbmROb3RlPn==
</w:fldData>
        </w:fldChar>
      </w:r>
      <w:r w:rsidR="002747EA">
        <w:instrText xml:space="preserve"> ADDIN EN.CITE </w:instrText>
      </w:r>
      <w:r w:rsidR="002747EA">
        <w:fldChar w:fldCharType="begin">
          <w:fldData xml:space="preserve">PEVuZE5vdGU+PENpdGU+PEF1dGhvcj5LZWF0czwvQXV0aG9yPjxZZWFyPjIwMTk8L1llYXI+PFJl
Y051bT4xODA1PC9SZWNOdW0+PERpc3BsYXlUZXh0PjxzdHlsZSBmYWNlPSJzdXBlcnNjcmlwdCIg
Zm9udD0iVHJlYnVjaGV0IE1TIiBzaXplPSI5Ij4xNjQ8L3N0eWxlPjwvRGlzcGxheVRleHQ+PHJl
Y29yZD48cmVjLW51bWJlcj4xODA1PC9yZWMtbnVtYmVyPjxmb3JlaWduLWtleXM+PGtleSBhcHA9
IkVOIiBkYi1pZD0iZXh2YXNyZngyZHRyYW9lc2FzeHAyc3pzeGEyZGY1MDI1OTJ4IiB0aW1lc3Rh
bXA9IjE1ODM3MjYzOTQiPjE4MDU8L2tleT48a2V5IGFwcD0iRU5XZWIiIGRiLWlkPSIiPjA8L2tl
eT48L2ZvcmVpZ24ta2V5cz48cmVmLXR5cGUgbmFtZT0iSm91cm5hbCBBcnRpY2xlIj4xNzwvcmVm
LXR5cGU+PGNvbnRyaWJ1dG9ycz48YXV0aG9ycz48YXV0aG9yPktlYXRzLCBFLiBDLjwvYXV0aG9y
PjxhdXRob3I+SGFpZGVyLCBCLiBBLjwvYXV0aG9yPjxhdXRob3I+VGFtLCBFLjwvYXV0aG9yPjxh
dXRob3I+Qmh1dHRhLCBaLiBBLjwvYXV0aG9yPjwvYXV0aG9ycz48L2NvbnRyaWJ1dG9ycz48YXV0
aC1hZGRyZXNzPkNlbnRyZSBmb3IgR2xvYmFsIENoaWxkIEhlYWx0aCwgVGhlIEhvc3BpdGFsIGZv
ciBTaWNrIENoaWxkcmVuLCBUb3JvbnRvLCBDYW5hZGEuPC9hdXRoLWFkZHJlc3M+PHRpdGxlcz48
dGl0bGU+TXVsdGlwbGUtbWljcm9udXRyaWVudCBzdXBwbGVtZW50YXRpb24gZm9yIHdvbWVuIGR1
cmluZyBwcmVnbmFuY3k8L3RpdGxlPjxzZWNvbmRhcnktdGl0bGU+Q29jaHJhbmUgRGF0YWJhc2Ug
U3lzdCBSZXY8L3NlY29uZGFyeS10aXRsZT48L3RpdGxlcz48cGVyaW9kaWNhbD48ZnVsbC10aXRs
ZT5Db2NocmFuZSBEYXRhYmFzZSBTeXN0IFJldjwvZnVsbC10aXRsZT48L3BlcmlvZGljYWw+PHBh
Z2VzPkNEMDA0OTA1PC9wYWdlcz48dm9sdW1lPjM8L3ZvbHVtZT48ZWRpdGlvbj4yMDE5LzAzLzE2
PC9lZGl0aW9uPjxrZXl3b3Jkcz48a2V5d29yZD4qRGlldGFyeSBTdXBwbGVtZW50czwva2V5d29y
ZD48a2V5d29yZD5EcnVnIEludGVyYWN0aW9uczwva2V5d29yZD48a2V5d29yZD5GZW1hbGU8L2tl
eXdvcmQ+PGtleXdvcmQ+Rm9saWMgQWNpZC8qYWRtaW5pc3RyYXRpb24gJmFtcDsgZG9zYWdlPC9r
ZXl3b3JkPjxrZXl3b3JkPkh1bWFuczwva2V5d29yZD48a2V5d29yZD5JbmZhbnQsIE5ld2Jvcm48
L2tleXdvcmQ+PGtleXdvcmQ+SW5mYW50LCBTbWFsbCBmb3IgR2VzdGF0aW9uYWwgQWdlPC9rZXl3
b3JkPjxrZXl3b3JkPklyb24sIERpZXRhcnkvKmFkbWluaXN0cmF0aW9uICZhbXA7IGRvc2FnZTwv
a2V5d29yZD48a2V5d29yZD5NaWNyb251dHJpZW50cy8qYWRtaW5pc3RyYXRpb24gJmFtcDsgZG9z
YWdlL2FkdmVyc2UgZWZmZWN0cy9kZWZpY2llbmN5PC9rZXl3b3JkPjxrZXl3b3JkPlBlcmluYXRh
bCBNb3J0YWxpdHk8L2tleXdvcmQ+PGtleXdvcmQ+UHJlZ25hbmN5PC9rZXl3b3JkPjxrZXl3b3Jk
PlByZWduYW5jeSBDb21wbGljYXRpb25zLyp0aGVyYXB5PC9rZXl3b3JkPjxrZXl3b3JkPlByZWdu
YW5jeSBPdXRjb21lPC9rZXl3b3JkPjxrZXl3b3JkPlByZW1hdHVyZSBCaXJ0aC9lcGlkZW1pb2xv
Z3k8L2tleXdvcmQ+PGtleXdvcmQ+UmFuZG9taXplZCBDb250cm9sbGVkIFRyaWFscyBhcyBUb3Bp
Yzwva2V5d29yZD48L2tleXdvcmRzPjxkYXRlcz48eWVhcj4yMDE5PC95ZWFyPjxwdWItZGF0ZXM+
PGRhdGU+TWFyIDE0PC9kYXRlPjwvcHViLWRhdGVzPjwvZGF0ZXM+PGlzYm4+MTQ2OS00OTNYIChF
bGVjdHJvbmljKSYjeEQ7MTM2MS02MTM3IChMaW5raW5nKTwvaXNibj48YWNjZXNzaW9uLW51bT4z
MDg3MzU5ODwvYWNjZXNzaW9uLW51bT48dXJscz48cmVsYXRlZC11cmxzPjx1cmw+aHR0cHM6Ly93
d3cubmNiaS5ubG0ubmloLmdvdi9wdWJtZWQvMzA4NzM1OTg8L3VybD48L3JlbGF0ZWQtdXJscz48
L3VybHM+PGN1c3RvbTI+UE1DNjQxODQ3MTwvY3VzdG9tMj48ZWxlY3Ryb25pYy1yZXNvdXJjZS1u
dW0+MTAuMTAwMi8xNDY1MTg1OC5DRDAwNDkwNS5wdWI2PC9lbGVjdHJvbmljLXJlc291cmNlLW51
bT48L3JlY29yZD48L0NpdGU+PC9FbmROb3RlPn==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164</w:t>
      </w:r>
      <w:r w:rsidR="00BA7CBD">
        <w:fldChar w:fldCharType="end"/>
      </w:r>
      <w:r w:rsidR="008B7E8F">
        <w:t xml:space="preserve"> that compared multiple micronutrients with iron and folic acid to iron with or without folic acid found a reduction in risk of very preterm birth (&lt;34 weeks) (</w:t>
      </w:r>
      <w:r w:rsidR="008B7E8F" w:rsidRPr="002915F3">
        <w:rPr>
          <w:sz w:val="16"/>
          <w:szCs w:val="16"/>
        </w:rPr>
        <w:t>RR 0.81, 95% CI 0.71 to 0.93; 4 trials, n=37,701</w:t>
      </w:r>
      <w:r w:rsidR="008B7E8F">
        <w:t xml:space="preserve">), small for gestational age </w:t>
      </w:r>
      <w:r w:rsidR="002915F3">
        <w:t>(</w:t>
      </w:r>
      <w:r w:rsidR="002915F3" w:rsidRPr="002915F3">
        <w:rPr>
          <w:sz w:val="16"/>
          <w:szCs w:val="16"/>
        </w:rPr>
        <w:t>RR 0.92, 95% CI 0.88 to 0.97; 17 trials; n=57,348; moderate-</w:t>
      </w:r>
      <w:r w:rsidR="00836F2D">
        <w:rPr>
          <w:sz w:val="16"/>
          <w:szCs w:val="16"/>
        </w:rPr>
        <w:t>certainty</w:t>
      </w:r>
      <w:r w:rsidR="002915F3" w:rsidRPr="002915F3">
        <w:rPr>
          <w:sz w:val="16"/>
          <w:szCs w:val="16"/>
        </w:rPr>
        <w:t xml:space="preserve"> evidence</w:t>
      </w:r>
      <w:r w:rsidR="002915F3">
        <w:t>)</w:t>
      </w:r>
      <w:r>
        <w:t xml:space="preserve"> </w:t>
      </w:r>
      <w:r w:rsidR="002915F3">
        <w:t>and low birth weight (</w:t>
      </w:r>
      <w:r w:rsidR="002915F3" w:rsidRPr="002915F3">
        <w:rPr>
          <w:sz w:val="16"/>
          <w:szCs w:val="16"/>
        </w:rPr>
        <w:t>RR 0.88, 95% CI 0.85 to 0.91; 18 trials, n=68,801; high-</w:t>
      </w:r>
      <w:r w:rsidR="00836F2D">
        <w:rPr>
          <w:sz w:val="16"/>
          <w:szCs w:val="16"/>
        </w:rPr>
        <w:t>certainty</w:t>
      </w:r>
      <w:r w:rsidR="002915F3" w:rsidRPr="002915F3">
        <w:rPr>
          <w:sz w:val="16"/>
          <w:szCs w:val="16"/>
        </w:rPr>
        <w:t xml:space="preserve"> evidence</w:t>
      </w:r>
      <w:r w:rsidR="002915F3">
        <w:t xml:space="preserve">). There was a possible reduction in risk of </w:t>
      </w:r>
      <w:r w:rsidR="002915F3" w:rsidRPr="00526FB5">
        <w:t>preterm</w:t>
      </w:r>
      <w:r w:rsidR="002915F3" w:rsidRPr="00616624">
        <w:t xml:space="preserve"> birth (&lt;37 weeks)</w:t>
      </w:r>
      <w:r w:rsidR="002915F3">
        <w:t xml:space="preserve"> (</w:t>
      </w:r>
      <w:r w:rsidR="002915F3" w:rsidRPr="002915F3">
        <w:rPr>
          <w:sz w:val="16"/>
          <w:szCs w:val="16"/>
        </w:rPr>
        <w:t>RR 0.95, 95%CI 0.90 to 1.01; 18 trials, n=91,425; moderate-</w:t>
      </w:r>
      <w:r w:rsidR="00836F2D">
        <w:rPr>
          <w:sz w:val="16"/>
          <w:szCs w:val="16"/>
        </w:rPr>
        <w:t>certainty</w:t>
      </w:r>
      <w:r w:rsidR="002915F3" w:rsidRPr="002915F3">
        <w:rPr>
          <w:sz w:val="16"/>
          <w:szCs w:val="16"/>
        </w:rPr>
        <w:t xml:space="preserve"> evidence</w:t>
      </w:r>
      <w:r w:rsidR="002915F3">
        <w:t xml:space="preserve">), </w:t>
      </w:r>
      <w:r w:rsidR="002915F3" w:rsidRPr="00616624">
        <w:t>stillbirth</w:t>
      </w:r>
      <w:r w:rsidR="002915F3">
        <w:t xml:space="preserve"> (</w:t>
      </w:r>
      <w:r w:rsidR="002915F3" w:rsidRPr="002915F3">
        <w:rPr>
          <w:sz w:val="16"/>
          <w:szCs w:val="16"/>
        </w:rPr>
        <w:t>RR 0.95, 95% CI 0.86 to 1.04; 17 trials, n=97,927; high-</w:t>
      </w:r>
      <w:r w:rsidR="00836F2D">
        <w:rPr>
          <w:sz w:val="16"/>
          <w:szCs w:val="16"/>
        </w:rPr>
        <w:t>certainty</w:t>
      </w:r>
      <w:r w:rsidR="002915F3" w:rsidRPr="002915F3">
        <w:rPr>
          <w:sz w:val="16"/>
          <w:szCs w:val="16"/>
        </w:rPr>
        <w:t xml:space="preserve"> evidence</w:t>
      </w:r>
      <w:r w:rsidR="002915F3" w:rsidRPr="00616624">
        <w:t>)</w:t>
      </w:r>
      <w:r w:rsidR="002915F3">
        <w:t xml:space="preserve"> and miscarriage (</w:t>
      </w:r>
      <w:r w:rsidR="002915F3" w:rsidRPr="002915F3">
        <w:rPr>
          <w:sz w:val="16"/>
          <w:szCs w:val="16"/>
        </w:rPr>
        <w:t>RR</w:t>
      </w:r>
      <w:r w:rsidR="002915F3">
        <w:rPr>
          <w:sz w:val="16"/>
          <w:szCs w:val="16"/>
        </w:rPr>
        <w:t> </w:t>
      </w:r>
      <w:r w:rsidR="002915F3" w:rsidRPr="002915F3">
        <w:rPr>
          <w:sz w:val="16"/>
          <w:szCs w:val="16"/>
        </w:rPr>
        <w:t>0.99, 95% CI 0.94 to 1.04; 12 trials, n=100,565</w:t>
      </w:r>
      <w:r w:rsidR="002915F3">
        <w:t xml:space="preserve">). There was no clear difference in risk of </w:t>
      </w:r>
      <w:r w:rsidR="002915F3" w:rsidRPr="00616624">
        <w:t>perinatal mortality</w:t>
      </w:r>
      <w:r w:rsidR="002915F3">
        <w:t xml:space="preserve"> (</w:t>
      </w:r>
      <w:r w:rsidR="002915F3" w:rsidRPr="002915F3">
        <w:rPr>
          <w:sz w:val="16"/>
          <w:szCs w:val="16"/>
        </w:rPr>
        <w:t>RR</w:t>
      </w:r>
      <w:r w:rsidR="002915F3">
        <w:rPr>
          <w:sz w:val="16"/>
          <w:szCs w:val="16"/>
        </w:rPr>
        <w:t> </w:t>
      </w:r>
      <w:r w:rsidR="002915F3" w:rsidRPr="002915F3">
        <w:rPr>
          <w:sz w:val="16"/>
          <w:szCs w:val="16"/>
        </w:rPr>
        <w:t>1.00, 95% CI 0.90 to 1.11; 15 trials, n=63,922; high-</w:t>
      </w:r>
      <w:r w:rsidR="00836F2D">
        <w:rPr>
          <w:sz w:val="16"/>
          <w:szCs w:val="16"/>
        </w:rPr>
        <w:t>certainty</w:t>
      </w:r>
      <w:r w:rsidR="002915F3" w:rsidRPr="002915F3">
        <w:rPr>
          <w:sz w:val="16"/>
          <w:szCs w:val="16"/>
        </w:rPr>
        <w:t xml:space="preserve"> evidence</w:t>
      </w:r>
      <w:r w:rsidR="002915F3">
        <w:t xml:space="preserve">), </w:t>
      </w:r>
      <w:r w:rsidR="002915F3" w:rsidRPr="00616624">
        <w:t>neonatal mortality</w:t>
      </w:r>
      <w:r w:rsidR="002915F3">
        <w:t xml:space="preserve"> (</w:t>
      </w:r>
      <w:r w:rsidR="002915F3" w:rsidRPr="002915F3">
        <w:rPr>
          <w:sz w:val="16"/>
          <w:szCs w:val="16"/>
        </w:rPr>
        <w:t>RR 1.00, 95% CI 0.89 to 1.12; 14 trials, n=80,964; high-</w:t>
      </w:r>
      <w:r w:rsidR="00836F2D">
        <w:rPr>
          <w:sz w:val="16"/>
          <w:szCs w:val="16"/>
        </w:rPr>
        <w:t>certainty</w:t>
      </w:r>
      <w:r w:rsidR="002915F3" w:rsidRPr="002915F3">
        <w:rPr>
          <w:sz w:val="16"/>
          <w:szCs w:val="16"/>
        </w:rPr>
        <w:t xml:space="preserve"> evidence</w:t>
      </w:r>
      <w:r w:rsidR="002915F3" w:rsidRPr="00616624">
        <w:t>)</w:t>
      </w:r>
      <w:r w:rsidR="002915F3">
        <w:t xml:space="preserve">, </w:t>
      </w:r>
      <w:r w:rsidR="002915F3" w:rsidRPr="00616624">
        <w:t>maternal mortality</w:t>
      </w:r>
      <w:r w:rsidR="002915F3">
        <w:t xml:space="preserve"> (</w:t>
      </w:r>
      <w:r w:rsidR="002915F3" w:rsidRPr="002915F3">
        <w:rPr>
          <w:sz w:val="16"/>
          <w:szCs w:val="16"/>
        </w:rPr>
        <w:t>RR 1.06, 95% CI 0.72 to 1.54; 6 trials, n=106,275</w:t>
      </w:r>
      <w:r w:rsidR="002915F3">
        <w:t xml:space="preserve">), </w:t>
      </w:r>
      <w:r w:rsidR="002915F3" w:rsidRPr="00616624">
        <w:t>maternal anaemia in the third trimester</w:t>
      </w:r>
      <w:r w:rsidR="002915F3">
        <w:t xml:space="preserve"> (</w:t>
      </w:r>
      <w:r w:rsidR="002915F3" w:rsidRPr="002915F3">
        <w:rPr>
          <w:sz w:val="16"/>
          <w:szCs w:val="16"/>
        </w:rPr>
        <w:t>RR 1.04, 95% CI 0.94 to 1.15; 9 trials, n=5912</w:t>
      </w:r>
      <w:r w:rsidR="002915F3">
        <w:t xml:space="preserve">), </w:t>
      </w:r>
      <w:r w:rsidR="002915F3" w:rsidRPr="00616624">
        <w:t>caesarean section</w:t>
      </w:r>
      <w:r w:rsidR="002915F3">
        <w:t xml:space="preserve"> (</w:t>
      </w:r>
      <w:r w:rsidR="002915F3" w:rsidRPr="002915F3">
        <w:rPr>
          <w:sz w:val="16"/>
          <w:szCs w:val="16"/>
        </w:rPr>
        <w:t>RR 1.13, 95% CI 0.99 to 1.29; 5 trials, n=12,836</w:t>
      </w:r>
      <w:r w:rsidR="002915F3">
        <w:t xml:space="preserve">) or </w:t>
      </w:r>
      <w:r w:rsidR="002915F3" w:rsidRPr="00616624">
        <w:t>congenital anomalies</w:t>
      </w:r>
      <w:r w:rsidR="002915F3">
        <w:t xml:space="preserve"> (</w:t>
      </w:r>
      <w:r w:rsidR="002915F3" w:rsidRPr="002915F3">
        <w:rPr>
          <w:sz w:val="16"/>
          <w:szCs w:val="16"/>
        </w:rPr>
        <w:t>R 1.34, 95% CI 0.25 to 7.12; 2 trials, n=1,958</w:t>
      </w:r>
      <w:r w:rsidR="002915F3">
        <w:t>).</w:t>
      </w:r>
    </w:p>
    <w:p w14:paraId="460848A7" w14:textId="3FF55210" w:rsidR="00F729B8" w:rsidRDefault="00405280" w:rsidP="00F729B8">
      <w:r>
        <w:t>A systematic review of observational studies</w:t>
      </w:r>
      <w:r w:rsidR="00BA7CBD">
        <w:fldChar w:fldCharType="begin">
          <w:fldData xml:space="preserve">PEVuZE5vdGU+PENpdGU+PEF1dGhvcj5Xb2xmPC9BdXRob3I+PFllYXI+MjAxNzwvWWVhcj48UmVj
TnVtPjE4MjQ8L1JlY051bT48RGlzcGxheVRleHQ+PHN0eWxlIGZhY2U9InN1cGVyc2NyaXB0IiBm
b250PSJUcmVidWNoZXQgTVMiIHNpemU9IjkiPjE2NTwvc3R5bGU+PC9EaXNwbGF5VGV4dD48cmVj
b3JkPjxyZWMtbnVtYmVyPjE4MjQ8L3JlYy1udW1iZXI+PGZvcmVpZ24ta2V5cz48a2V5IGFwcD0i
RU4iIGRiLWlkPSJleHZhc3JmeDJkdHJhb2VzYXN4cDJzenN4YTJkZjUwMjU5MngiIHRpbWVzdGFt
cD0iMTU4MzcyNjUxOSI+MTgyNDwva2V5PjxrZXkgYXBwPSJFTldlYiIgZGItaWQ9IiI+MDwva2V5
PjwvZm9yZWlnbi1rZXlzPjxyZWYtdHlwZSBuYW1lPSJKb3VybmFsIEFydGljbGUiPjE3PC9yZWYt
dHlwZT48Y29udHJpYnV0b3JzPjxhdXRob3JzPjxhdXRob3I+V29sZiwgSC4gVC48L2F1dGhvcj48
YXV0aG9yPkhlZ2FhcmQsIEguIEsuPC9hdXRob3I+PGF1dGhvcj5IdXVzb20sIEwuIEQuPC9hdXRo
b3I+PGF1dGhvcj5QaW5ib3JnLCBBLiBCLjwvYXV0aG9yPjwvYXV0aG9ycz48L2NvbnRyaWJ1dG9y
cz48YXV0aC1hZGRyZXNzPkRlcGFydG1lbnQgb2YgT2JzdGV0cmljcyBhbmQgR3luYWVjb2xvZ3ks
IENvcGVuaGFnZW4gVW5pdmVyc2l0eSBIb3NwaXRhbCwgSHZpZG92cmUgSG9zcGl0YWwsIEh2aWRv
dnJlLCBDb3BlbmhhZ2VuLCBEZW5tYXJrLiBFbGVjdHJvbmljIGFkZHJlc3M6IHRyYXB3b2xmQGdt
YWlsLmNvbS4mI3hEO1Jlc2VhcmNoIFVuaXQsIERlcGFydG1lbnQgb2YgV29tZW4mYXBvcztzIGFu
ZCBDaGlsZHJlbiZhcG9zO3MgSGVhbHRoLCBKdWxpYW5lIE1hcmllIENlbnRlciBmb3IgV29tZW4s
IENoaWxkcmVuLCBhbmQgUmVwcm9kdWN0aW9uLCBDb3BlbmhhZ2VuIFVuaXZlcnNpdHkgSG9zcGl0
YWwsIFJpZ3Nob3NwaXRhbGV0LCBDb3BlbmhhZ2VuLCBEZW5tYXJrLiYjeEQ7RGVwYXJ0bWVudCBv
ZiBPYnN0ZXRyaWNzIGFuZCBHeW5hZWNvbG9neSwgQ29wZW5oYWdlbiBVbml2ZXJzaXR5IEhvc3Bp
dGFsLCBIdmlkb3ZyZSBIb3NwaXRhbCwgSHZpZG92cmUsIENvcGVuaGFnZW4sIERlbm1hcmsuPC9h
dXRoLWFkZHJlc3M+PHRpdGxlcz48dGl0bGU+TXVsdGl2aXRhbWluIHVzZSBhbmQgYWR2ZXJzZSBi
aXJ0aCBvdXRjb21lcyBpbiBoaWdoLWluY29tZSBjb3VudHJpZXM6IGEgc3lzdGVtYXRpYyByZXZp
ZXcgYW5kIG1ldGEtYW5hbHlzaXM8L3RpdGxlPjxzZWNvbmRhcnktdGl0bGU+QW0gSiBPYnN0ZXQg
R3luZWNvbDwvc2Vjb25kYXJ5LXRpdGxlPjwvdGl0bGVzPjxwZXJpb2RpY2FsPjxmdWxsLXRpdGxl
PkFtIEogT2JzdGV0IEd5bmVjb2w8L2Z1bGwtdGl0bGU+PC9wZXJpb2RpY2FsPjxwYWdlcz40MDQg
ZTEtNDA0IGUzMDwvcGFnZXM+PHZvbHVtZT4yMTc8L3ZvbHVtZT48bnVtYmVyPjQ8L251bWJlcj48
ZWRpdGlvbj4yMDE3LzA0LzA2PC9lZGl0aW9uPjxrZXl3b3Jkcz48a2V5d29yZD5Db25nZW5pdGFs
IEFibm9ybWFsaXRpZXM8L2tleXdvcmQ+PGtleXdvcmQ+RGV2ZWxvcGVkIENvdW50cmllczwva2V5
d29yZD48a2V5d29yZD5EaWV0PC9rZXl3b3JkPjxrZXl3b3JkPkZlbWFsZTwva2V5d29yZD48a2V5
d29yZD5IdW1hbnM8L2tleXdvcmQ+PGtleXdvcmQ+SW5mYW50LCBOZXdib3JuPC9rZXl3b3JkPjxr
ZXl3b3JkPkluZmFudCwgU21hbGwgZm9yIEdlc3RhdGlvbmFsIEFnZTwva2V5d29yZD48a2V5d29y
ZD5QcmVnbmFuY3k8L2tleXdvcmQ+PGtleXdvcmQ+KlByZWduYW5jeSBPdXRjb21lPC9rZXl3b3Jk
PjxrZXl3b3JkPlByZW1hdHVyZSBCaXJ0aDwva2V5d29yZD48a2V5d29yZD5WaXRhbWlucy8qdGhl
cmFwZXV0aWMgdXNlPC9rZXl3b3JkPjxrZXl3b3JkPiphZHZlcnNlIGJpcnRoIG91dGNvbWU8L2tl
eXdvcmQ+PGtleXdvcmQ+KmNvbmdlbml0YWwgYmlydGggZGVmZWN0czwva2V5d29yZD48a2V5d29y
ZD4qbWV0YS1hbmFseXNpczwva2V5d29yZD48a2V5d29yZD4qbXVsdGl2aXRhbWluPC9rZXl3b3Jk
PjxrZXl3b3JkPipwcmVnbmFuY3k8L2tleXdvcmQ+PGtleXdvcmQ+KnN5c3RlbWF0aWMgcmV2aWV3
PC9rZXl3b3JkPjwva2V5d29yZHM+PGRhdGVzPjx5ZWFyPjIwMTc8L3llYXI+PHB1Yi1kYXRlcz48
ZGF0ZT5PY3Q8L2RhdGU+PC9wdWItZGF0ZXM+PC9kYXRlcz48aXNibj4xMDk3LTY4NjggKEVsZWN0
cm9uaWMpJiN4RDswMDAyLTkzNzggKExpbmtpbmcpPC9pc2JuPjxhY2Nlc3Npb24tbnVtPjI4Mzc3
MjY5PC9hY2Nlc3Npb24tbnVtPjx1cmxzPjxyZWxhdGVkLXVybHM+PHVybD5odHRwczovL3d3dy5u
Y2JpLm5sbS5uaWguZ292L3B1Ym1lZC8yODM3NzI2OTwvdXJsPjwvcmVsYXRlZC11cmxzPjwvdXJs
cz48ZWxlY3Ryb25pYy1yZXNvdXJjZS1udW0+MTAuMTAxNi9qLmFqb2cuMjAxNy4wMy4wMjk8L2Vs
ZWN0cm9uaWMtcmVzb3VyY2UtbnVtPjwvcmVjb3JkPjwvQ2l0ZT48L0VuZE5vdGU+
</w:fldData>
        </w:fldChar>
      </w:r>
      <w:r w:rsidR="002747EA">
        <w:instrText xml:space="preserve"> ADDIN EN.CITE </w:instrText>
      </w:r>
      <w:r w:rsidR="002747EA">
        <w:fldChar w:fldCharType="begin">
          <w:fldData xml:space="preserve">PEVuZE5vdGU+PENpdGU+PEF1dGhvcj5Xb2xmPC9BdXRob3I+PFllYXI+MjAxNzwvWWVhcj48UmVj
TnVtPjE4MjQ8L1JlY051bT48RGlzcGxheVRleHQ+PHN0eWxlIGZhY2U9InN1cGVyc2NyaXB0IiBm
b250PSJUcmVidWNoZXQgTVMiIHNpemU9IjkiPjE2NTwvc3R5bGU+PC9EaXNwbGF5VGV4dD48cmVj
b3JkPjxyZWMtbnVtYmVyPjE4MjQ8L3JlYy1udW1iZXI+PGZvcmVpZ24ta2V5cz48a2V5IGFwcD0i
RU4iIGRiLWlkPSJleHZhc3JmeDJkdHJhb2VzYXN4cDJzenN4YTJkZjUwMjU5MngiIHRpbWVzdGFt
cD0iMTU4MzcyNjUxOSI+MTgyNDwva2V5PjxrZXkgYXBwPSJFTldlYiIgZGItaWQ9IiI+MDwva2V5
PjwvZm9yZWlnbi1rZXlzPjxyZWYtdHlwZSBuYW1lPSJKb3VybmFsIEFydGljbGUiPjE3PC9yZWYt
dHlwZT48Y29udHJpYnV0b3JzPjxhdXRob3JzPjxhdXRob3I+V29sZiwgSC4gVC48L2F1dGhvcj48
YXV0aG9yPkhlZ2FhcmQsIEguIEsuPC9hdXRob3I+PGF1dGhvcj5IdXVzb20sIEwuIEQuPC9hdXRo
b3I+PGF1dGhvcj5QaW5ib3JnLCBBLiBCLjwvYXV0aG9yPjwvYXV0aG9ycz48L2NvbnRyaWJ1dG9y
cz48YXV0aC1hZGRyZXNzPkRlcGFydG1lbnQgb2YgT2JzdGV0cmljcyBhbmQgR3luYWVjb2xvZ3ks
IENvcGVuaGFnZW4gVW5pdmVyc2l0eSBIb3NwaXRhbCwgSHZpZG92cmUgSG9zcGl0YWwsIEh2aWRv
dnJlLCBDb3BlbmhhZ2VuLCBEZW5tYXJrLiBFbGVjdHJvbmljIGFkZHJlc3M6IHRyYXB3b2xmQGdt
YWlsLmNvbS4mI3hEO1Jlc2VhcmNoIFVuaXQsIERlcGFydG1lbnQgb2YgV29tZW4mYXBvcztzIGFu
ZCBDaGlsZHJlbiZhcG9zO3MgSGVhbHRoLCBKdWxpYW5lIE1hcmllIENlbnRlciBmb3IgV29tZW4s
IENoaWxkcmVuLCBhbmQgUmVwcm9kdWN0aW9uLCBDb3BlbmhhZ2VuIFVuaXZlcnNpdHkgSG9zcGl0
YWwsIFJpZ3Nob3NwaXRhbGV0LCBDb3BlbmhhZ2VuLCBEZW5tYXJrLiYjeEQ7RGVwYXJ0bWVudCBv
ZiBPYnN0ZXRyaWNzIGFuZCBHeW5hZWNvbG9neSwgQ29wZW5oYWdlbiBVbml2ZXJzaXR5IEhvc3Bp
dGFsLCBIdmlkb3ZyZSBIb3NwaXRhbCwgSHZpZG92cmUsIENvcGVuaGFnZW4sIERlbm1hcmsuPC9h
dXRoLWFkZHJlc3M+PHRpdGxlcz48dGl0bGU+TXVsdGl2aXRhbWluIHVzZSBhbmQgYWR2ZXJzZSBi
aXJ0aCBvdXRjb21lcyBpbiBoaWdoLWluY29tZSBjb3VudHJpZXM6IGEgc3lzdGVtYXRpYyByZXZp
ZXcgYW5kIG1ldGEtYW5hbHlzaXM8L3RpdGxlPjxzZWNvbmRhcnktdGl0bGU+QW0gSiBPYnN0ZXQg
R3luZWNvbDwvc2Vjb25kYXJ5LXRpdGxlPjwvdGl0bGVzPjxwZXJpb2RpY2FsPjxmdWxsLXRpdGxl
PkFtIEogT2JzdGV0IEd5bmVjb2w8L2Z1bGwtdGl0bGU+PC9wZXJpb2RpY2FsPjxwYWdlcz40MDQg
ZTEtNDA0IGUzMDwvcGFnZXM+PHZvbHVtZT4yMTc8L3ZvbHVtZT48bnVtYmVyPjQ8L251bWJlcj48
ZWRpdGlvbj4yMDE3LzA0LzA2PC9lZGl0aW9uPjxrZXl3b3Jkcz48a2V5d29yZD5Db25nZW5pdGFs
IEFibm9ybWFsaXRpZXM8L2tleXdvcmQ+PGtleXdvcmQ+RGV2ZWxvcGVkIENvdW50cmllczwva2V5
d29yZD48a2V5d29yZD5EaWV0PC9rZXl3b3JkPjxrZXl3b3JkPkZlbWFsZTwva2V5d29yZD48a2V5
d29yZD5IdW1hbnM8L2tleXdvcmQ+PGtleXdvcmQ+SW5mYW50LCBOZXdib3JuPC9rZXl3b3JkPjxr
ZXl3b3JkPkluZmFudCwgU21hbGwgZm9yIEdlc3RhdGlvbmFsIEFnZTwva2V5d29yZD48a2V5d29y
ZD5QcmVnbmFuY3k8L2tleXdvcmQ+PGtleXdvcmQ+KlByZWduYW5jeSBPdXRjb21lPC9rZXl3b3Jk
PjxrZXl3b3JkPlByZW1hdHVyZSBCaXJ0aDwva2V5d29yZD48a2V5d29yZD5WaXRhbWlucy8qdGhl
cmFwZXV0aWMgdXNlPC9rZXl3b3JkPjxrZXl3b3JkPiphZHZlcnNlIGJpcnRoIG91dGNvbWU8L2tl
eXdvcmQ+PGtleXdvcmQ+KmNvbmdlbml0YWwgYmlydGggZGVmZWN0czwva2V5d29yZD48a2V5d29y
ZD4qbWV0YS1hbmFseXNpczwva2V5d29yZD48a2V5d29yZD4qbXVsdGl2aXRhbWluPC9rZXl3b3Jk
PjxrZXl3b3JkPipwcmVnbmFuY3k8L2tleXdvcmQ+PGtleXdvcmQ+KnN5c3RlbWF0aWMgcmV2aWV3
PC9rZXl3b3JkPjwva2V5d29yZHM+PGRhdGVzPjx5ZWFyPjIwMTc8L3llYXI+PHB1Yi1kYXRlcz48
ZGF0ZT5PY3Q8L2RhdGU+PC9wdWItZGF0ZXM+PC9kYXRlcz48aXNibj4xMDk3LTY4NjggKEVsZWN0
cm9uaWMpJiN4RDswMDAyLTkzNzggKExpbmtpbmcpPC9pc2JuPjxhY2Nlc3Npb24tbnVtPjI4Mzc3
MjY5PC9hY2Nlc3Npb24tbnVtPjx1cmxzPjxyZWxhdGVkLXVybHM+PHVybD5odHRwczovL3d3dy5u
Y2JpLm5sbS5uaWguZ292L3B1Ym1lZC8yODM3NzI2OTwvdXJsPjwvcmVsYXRlZC11cmxzPjwvdXJs
cz48ZWxlY3Ryb25pYy1yZXNvdXJjZS1udW0+MTAuMTAxNi9qLmFqb2cuMjAxNy4wMy4wMjk8L2Vs
ZWN0cm9uaWMtcmVzb3VyY2UtbnVtPjwvcmVjb3JkPjwvQ2l0ZT48L0VuZE5vdGU+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165</w:t>
      </w:r>
      <w:r w:rsidR="00BA7CBD">
        <w:fldChar w:fldCharType="end"/>
      </w:r>
      <w:r>
        <w:t xml:space="preserve"> that </w:t>
      </w:r>
      <w:r w:rsidRPr="00264365">
        <w:t>evaluate</w:t>
      </w:r>
      <w:r>
        <w:t>d</w:t>
      </w:r>
      <w:r w:rsidRPr="00264365">
        <w:t xml:space="preserve"> the association between multivitamin use among women in high-income countries and the risk of adverse outcomes</w:t>
      </w:r>
      <w:r>
        <w:t xml:space="preserve"> </w:t>
      </w:r>
      <w:r w:rsidR="00175403">
        <w:t>found a reduction in risk of small for gestational age (</w:t>
      </w:r>
      <w:r w:rsidR="00175403" w:rsidRPr="00175403">
        <w:rPr>
          <w:sz w:val="16"/>
          <w:szCs w:val="16"/>
        </w:rPr>
        <w:t xml:space="preserve">RR 0.77; 95%CI 0.63 to 0.93; 3 cohort studies; very low </w:t>
      </w:r>
      <w:r w:rsidR="00836F2D">
        <w:rPr>
          <w:sz w:val="16"/>
          <w:szCs w:val="16"/>
        </w:rPr>
        <w:t>certainty</w:t>
      </w:r>
      <w:r w:rsidR="00175403">
        <w:t xml:space="preserve">), </w:t>
      </w:r>
      <w:r w:rsidR="00175403" w:rsidRPr="00264365">
        <w:t>neural tube defects</w:t>
      </w:r>
      <w:r w:rsidR="00175403">
        <w:t xml:space="preserve"> (</w:t>
      </w:r>
      <w:r w:rsidR="00175403" w:rsidRPr="00175403">
        <w:rPr>
          <w:sz w:val="16"/>
          <w:szCs w:val="16"/>
        </w:rPr>
        <w:t xml:space="preserve">RR 0.67; 95%CI 0.52 to 0.87; 6 cohort studies; very low </w:t>
      </w:r>
      <w:r w:rsidR="00836F2D">
        <w:rPr>
          <w:sz w:val="16"/>
          <w:szCs w:val="16"/>
        </w:rPr>
        <w:t>certainty</w:t>
      </w:r>
      <w:r w:rsidR="00175403">
        <w:t xml:space="preserve">), </w:t>
      </w:r>
      <w:r w:rsidR="00175403" w:rsidRPr="00264365">
        <w:t>cardiovascular defects</w:t>
      </w:r>
      <w:r w:rsidR="00175403">
        <w:t xml:space="preserve"> (</w:t>
      </w:r>
      <w:r w:rsidR="00175403" w:rsidRPr="00175403">
        <w:rPr>
          <w:sz w:val="16"/>
          <w:szCs w:val="16"/>
        </w:rPr>
        <w:t xml:space="preserve">RR 0.83; 95%CI 0.70 to 0.98; 6 cohort studies; low </w:t>
      </w:r>
      <w:r w:rsidR="00836F2D">
        <w:rPr>
          <w:sz w:val="16"/>
          <w:szCs w:val="16"/>
        </w:rPr>
        <w:t>certainty</w:t>
      </w:r>
      <w:r w:rsidR="00175403">
        <w:t>), urinary</w:t>
      </w:r>
      <w:r w:rsidR="00175403" w:rsidRPr="00264365">
        <w:t xml:space="preserve"> tract defects</w:t>
      </w:r>
      <w:r w:rsidR="00175403">
        <w:t xml:space="preserve"> (</w:t>
      </w:r>
      <w:r w:rsidR="00175403" w:rsidRPr="00175403">
        <w:rPr>
          <w:sz w:val="16"/>
          <w:szCs w:val="16"/>
        </w:rPr>
        <w:t xml:space="preserve">RR 0.60; 95%CI 0.46 to 0.78; 3 cohort studies; very low </w:t>
      </w:r>
      <w:r w:rsidR="00836F2D">
        <w:rPr>
          <w:sz w:val="16"/>
          <w:szCs w:val="16"/>
        </w:rPr>
        <w:t>certainty</w:t>
      </w:r>
      <w:r w:rsidR="00175403">
        <w:t>) and limb deficiencies (</w:t>
      </w:r>
      <w:r w:rsidR="00175403" w:rsidRPr="00175403">
        <w:rPr>
          <w:sz w:val="16"/>
          <w:szCs w:val="16"/>
        </w:rPr>
        <w:t xml:space="preserve">RR 0.68; 95%CI 0.52 to 0.89; 3 cohort studies; very low </w:t>
      </w:r>
      <w:r w:rsidR="00836F2D">
        <w:rPr>
          <w:sz w:val="16"/>
          <w:szCs w:val="16"/>
        </w:rPr>
        <w:t>certainty</w:t>
      </w:r>
      <w:r w:rsidR="00175403">
        <w:t xml:space="preserve">). There was a possible reduction in risk of </w:t>
      </w:r>
      <w:r w:rsidR="00175403" w:rsidRPr="00264365">
        <w:t>preterm birth</w:t>
      </w:r>
      <w:r w:rsidR="00175403">
        <w:t xml:space="preserve"> (</w:t>
      </w:r>
      <w:r w:rsidR="00175403" w:rsidRPr="00175403">
        <w:rPr>
          <w:sz w:val="16"/>
          <w:szCs w:val="16"/>
        </w:rPr>
        <w:t xml:space="preserve">RR 0.84; 95%CI 0.69 to 1.03; 4 cohort studies; very low </w:t>
      </w:r>
      <w:r w:rsidR="00836F2D">
        <w:rPr>
          <w:sz w:val="16"/>
          <w:szCs w:val="16"/>
        </w:rPr>
        <w:t>certainty</w:t>
      </w:r>
      <w:r w:rsidR="00175403">
        <w:t>), stillbirth (</w:t>
      </w:r>
      <w:r w:rsidR="00175403" w:rsidRPr="00175403">
        <w:rPr>
          <w:sz w:val="16"/>
          <w:szCs w:val="16"/>
        </w:rPr>
        <w:t xml:space="preserve">RR 0.78; 95%CI 0.59 to 1.03; 2 studies; low </w:t>
      </w:r>
      <w:r w:rsidR="00836F2D">
        <w:rPr>
          <w:sz w:val="16"/>
          <w:szCs w:val="16"/>
        </w:rPr>
        <w:t>certainty</w:t>
      </w:r>
      <w:r w:rsidR="00175403">
        <w:t>) and cleft lip with or without cleft palate (</w:t>
      </w:r>
      <w:r w:rsidR="00175403" w:rsidRPr="00175403">
        <w:rPr>
          <w:sz w:val="16"/>
          <w:szCs w:val="16"/>
        </w:rPr>
        <w:t xml:space="preserve">RR 0.88; 95%CI 0.77 to 1.01; 6 cohort studies; low </w:t>
      </w:r>
      <w:r w:rsidR="00836F2D">
        <w:rPr>
          <w:sz w:val="16"/>
          <w:szCs w:val="16"/>
        </w:rPr>
        <w:t>certainty</w:t>
      </w:r>
      <w:r w:rsidR="00175403">
        <w:t>). There was no clear difference in risk of low birth weight (</w:t>
      </w:r>
      <w:r w:rsidR="00175403" w:rsidRPr="00175403">
        <w:rPr>
          <w:sz w:val="16"/>
          <w:szCs w:val="16"/>
        </w:rPr>
        <w:t xml:space="preserve">RR 0.79; 95%CI 0.45 to 1.41; 2 studies; very low </w:t>
      </w:r>
      <w:r w:rsidR="00836F2D">
        <w:rPr>
          <w:sz w:val="16"/>
          <w:szCs w:val="16"/>
        </w:rPr>
        <w:t>certainty</w:t>
      </w:r>
      <w:r w:rsidR="00175403">
        <w:t>) or cleft palate (</w:t>
      </w:r>
      <w:r w:rsidR="00175403" w:rsidRPr="00175403">
        <w:rPr>
          <w:sz w:val="16"/>
          <w:szCs w:val="16"/>
        </w:rPr>
        <w:t xml:space="preserve">RR 1.12; 95%CI 0.94 to 1.33; 6 cohort studies; low </w:t>
      </w:r>
      <w:r w:rsidR="00836F2D">
        <w:rPr>
          <w:sz w:val="16"/>
          <w:szCs w:val="16"/>
        </w:rPr>
        <w:t>certainty</w:t>
      </w:r>
      <w:r w:rsidR="00175403">
        <w:t>).</w:t>
      </w:r>
    </w:p>
    <w:p w14:paraId="3D6E18DF" w14:textId="4C5547D6" w:rsidR="0023245A" w:rsidRDefault="0023245A" w:rsidP="00F729B8">
      <w:r>
        <w:t>A</w:t>
      </w:r>
      <w:r w:rsidR="00775157">
        <w:t xml:space="preserve"> systematic review</w:t>
      </w:r>
      <w:r w:rsidR="00B73A40">
        <w:t xml:space="preserve"> of observational studies</w:t>
      </w:r>
      <w:r w:rsidR="00BA7CBD">
        <w:fldChar w:fldCharType="begin"/>
      </w:r>
      <w:r w:rsidR="002747EA">
        <w:instrText xml:space="preserve"> ADDIN EN.CITE &lt;EndNote&gt;&lt;Cite&gt;&lt;Author&gt;Guo&lt;/Author&gt;&lt;Year&gt;2019&lt;/Year&gt;&lt;RecNum&gt;1804&lt;/RecNum&gt;&lt;DisplayText&gt;&lt;style face="superscript" font="Trebuchet MS" size="9"&gt;166&lt;/style&gt;&lt;/DisplayText&gt;&lt;record&gt;&lt;rec-number&gt;1804&lt;/rec-number&gt;&lt;foreign-keys&gt;&lt;key app="EN" db-id="exvasrfx2dtraoesasxp2szsxa2df502592x" timestamp="1583726388"&gt;1804&lt;/key&gt;&lt;key app="ENWeb" db-id=""&gt;0&lt;/key&gt;&lt;/foreign-keys&gt;&lt;ref-type name="Journal Article"&gt;17&lt;/ref-type&gt;&lt;contributors&gt;&lt;authors&gt;&lt;author&gt;Guo, B. Q.&lt;/author&gt;&lt;author&gt;Li, H. B.&lt;/author&gt;&lt;author&gt;Zhai, D. S.&lt;/author&gt;&lt;author&gt;Ding, S. B.&lt;/author&gt;&lt;/authors&gt;&lt;/contributors&gt;&lt;auth-address&gt;Department of Child and Adolescent Health, School of Public Health, Xinxiang Medical University, Xinxiang, Henan 453003, China. Electronic address: 161006@xxmu.edu.cn.&amp;#xD;Department of Child and Adolescent Health, School of Public Health, Xinxiang Medical University, Xinxiang, Henan 453003, China.&amp;#xD;Department of Nutrition and Food Hygiene, School of Public Health, Xinxiang Medical University, Xinxiang, Henan 453003, China.&lt;/auth-address&gt;&lt;titles&gt;&lt;title&gt;Maternal multivitamin supplementation is associated with a reduced risk of autism spectrum disorder in children: a systematic review and meta-analysis&lt;/title&gt;&lt;secondary-title&gt;Nutr Res&lt;/secondary-title&gt;&lt;/titles&gt;&lt;periodical&gt;&lt;full-title&gt;Nutr Res&lt;/full-title&gt;&lt;/periodical&gt;&lt;pages&gt;4-16&lt;/pages&gt;&lt;volume&gt;65&lt;/volume&gt;&lt;edition&gt;2019/04/07&lt;/edition&gt;&lt;keywords&gt;&lt;keyword&gt;*Autism spectrum disorder&lt;/keyword&gt;&lt;keyword&gt;*Children&lt;/keyword&gt;&lt;keyword&gt;*Meta-analysis&lt;/keyword&gt;&lt;keyword&gt;*Multivitamin supplementation&lt;/keyword&gt;&lt;keyword&gt;*Prenatal period&lt;/keyword&gt;&lt;/keywords&gt;&lt;dates&gt;&lt;year&gt;2019&lt;/year&gt;&lt;pub-dates&gt;&lt;date&gt;May&lt;/date&gt;&lt;/pub-dates&gt;&lt;/dates&gt;&lt;isbn&gt;1879-0739 (Electronic)&amp;#xD;0271-5317 (Linking)&lt;/isbn&gt;&lt;accession-num&gt;30952506&lt;/accession-num&gt;&lt;urls&gt;&lt;related-urls&gt;&lt;url&gt;https://www.ncbi.nlm.nih.gov/pubmed/30952506&lt;/url&gt;&lt;/related-urls&gt;&lt;/urls&gt;&lt;electronic-resource-num&gt;10.1016/j.nutres.2019.02.003&lt;/electronic-resource-num&gt;&lt;/record&gt;&lt;/Cite&gt;&lt;/EndNote&gt;</w:instrText>
      </w:r>
      <w:r w:rsidR="00BA7CBD">
        <w:fldChar w:fldCharType="separate"/>
      </w:r>
      <w:r w:rsidR="002747EA" w:rsidRPr="002747EA">
        <w:rPr>
          <w:noProof/>
          <w:vertAlign w:val="superscript"/>
        </w:rPr>
        <w:t>166</w:t>
      </w:r>
      <w:r w:rsidR="00BA7CBD">
        <w:fldChar w:fldCharType="end"/>
      </w:r>
      <w:r w:rsidR="00B73A40">
        <w:t xml:space="preserve"> </w:t>
      </w:r>
      <w:r w:rsidR="00775157">
        <w:t>suggested a reduction in risk of autism spectrum disorder among children of women who took multivitamins</w:t>
      </w:r>
      <w:r w:rsidR="007500A7">
        <w:t xml:space="preserve"> during pregnancy</w:t>
      </w:r>
      <w:r w:rsidR="00775157">
        <w:t xml:space="preserve"> (</w:t>
      </w:r>
      <w:r w:rsidR="00B73A40">
        <w:t>RR</w:t>
      </w:r>
      <w:r w:rsidR="00B73A40" w:rsidRPr="00B73A40">
        <w:t xml:space="preserve"> 0.5</w:t>
      </w:r>
      <w:r w:rsidR="00B73A40">
        <w:t>7; 95% CI, 0.36 to 0.91; p=0.018; 3 studies</w:t>
      </w:r>
      <w:r w:rsidR="00775157" w:rsidRPr="00D07A1C">
        <w:t>)</w:t>
      </w:r>
      <w:r w:rsidR="00775157">
        <w:t xml:space="preserve">. </w:t>
      </w:r>
    </w:p>
    <w:p w14:paraId="3181503C" w14:textId="1974B27F" w:rsidR="0084339C" w:rsidRDefault="0084339C" w:rsidP="0084339C">
      <w:r>
        <w:t>The RCTs were conducted in developing countries (Bangladesh, China, Iran and Nepal), reported different outcomes and found:</w:t>
      </w:r>
    </w:p>
    <w:p w14:paraId="465432A8" w14:textId="52D75F7E" w:rsidR="0084339C" w:rsidRDefault="0084339C" w:rsidP="0089439C">
      <w:pPr>
        <w:pStyle w:val="bullet"/>
      </w:pPr>
      <w:r>
        <w:t>a possible reduction in risk of gestational hypertension (</w:t>
      </w:r>
      <w:r w:rsidRPr="00D07CF9">
        <w:rPr>
          <w:sz w:val="16"/>
          <w:szCs w:val="16"/>
        </w:rPr>
        <w:t>aOR 0.88; 95%CI 0.76 to 1.02</w:t>
      </w:r>
      <w:r>
        <w:t>) and late-onset gestational hypertension (</w:t>
      </w:r>
      <w:r w:rsidRPr="00D07CF9">
        <w:rPr>
          <w:sz w:val="16"/>
          <w:szCs w:val="16"/>
        </w:rPr>
        <w:t>aOR 0.85; 95%CI 0.73 to 0.99</w:t>
      </w:r>
      <w:r>
        <w:t xml:space="preserve">) </w:t>
      </w:r>
      <w:r w:rsidR="00F729B8">
        <w:t>among women</w:t>
      </w:r>
      <w:r w:rsidR="00E43F42">
        <w:t xml:space="preserve"> taking m</w:t>
      </w:r>
      <w:r w:rsidR="00F729B8">
        <w:t xml:space="preserve">ultiple micronutrients compared to those taking iron plus folic acid </w:t>
      </w:r>
      <w:r>
        <w:t>(</w:t>
      </w:r>
      <w:r w:rsidRPr="00D07CF9">
        <w:rPr>
          <w:sz w:val="16"/>
          <w:szCs w:val="16"/>
        </w:rPr>
        <w:t>n=11,847</w:t>
      </w:r>
      <w:r>
        <w:t>)</w:t>
      </w:r>
      <w:r w:rsidR="00BA7CBD">
        <w:fldChar w:fldCharType="begin">
          <w:fldData xml:space="preserve">PEVuZE5vdGU+PENpdGU+PEF1dGhvcj5DaGVuPC9BdXRob3I+PFllYXI+MjAxOTwvWWVhcj48UmVj
TnVtPjE4MDA8L1JlY051bT48RGlzcGxheVRleHQ+PHN0eWxlIGZhY2U9InN1cGVyc2NyaXB0IiBm
b250PSJUcmVidWNoZXQgTVMiIHNpemU9IjkiPjE2Nzwvc3R5bGU+PC9EaXNwbGF5VGV4dD48cmVj
b3JkPjxyZWMtbnVtYmVyPjE4MDA8L3JlYy1udW1iZXI+PGZvcmVpZ24ta2V5cz48a2V5IGFwcD0i
RU4iIGRiLWlkPSJleHZhc3JmeDJkdHJhb2VzYXN4cDJzenN4YTJkZjUwMjU5MngiIHRpbWVzdGFt
cD0iMTU4MzcyNjM2MiI+MTgwMDwva2V5PjxrZXkgYXBwPSJFTldlYiIgZGItaWQ9IiI+MDwva2V5
PjwvZm9yZWlnbi1rZXlzPjxyZWYtdHlwZSBuYW1lPSJKb3VybmFsIEFydGljbGUiPjE3PC9yZWYt
dHlwZT48Y29udHJpYnV0b3JzPjxhdXRob3JzPjxhdXRob3I+Q2hlbiwgUy48L2F1dGhvcj48YXV0
aG9yPkxpLCBOLjwvYXV0aG9yPjxhdXRob3I+TWVpLCBaLjwvYXV0aG9yPjxhdXRob3I+WWUsIFIu
PC9hdXRob3I+PGF1dGhvcj5MaSwgWi48L2F1dGhvcj48YXV0aG9yPkxpdSwgSi48L2F1dGhvcj48
YXV0aG9yPlNlcmR1bGEsIE0uIEsuPC9hdXRob3I+PC9hdXRob3JzPjwvY29udHJpYnV0b3JzPjxh
dXRoLWFkZHJlc3M+VGhlIEluc3RpdHV0ZSBvZiBSZXByb2R1Y3RpdmUgYW5kIENoaWxkIEhlYWx0
aC9NaW5pc3RyeSBvZiBIZWFsdGggS2V5IExhYm9yYXRvcnkgb2YgUmVwcm9kdWN0aXZlIEhlYWx0
aCwgRGVwYXJ0bWVudCBvZiBFcGlkZW1pb2xvZ3kgYW5kIEJpb3N0YXRpc3RpY3MsIFNjaG9vbCBv
ZiBQdWJsaWMgSGVhbHRoLCBQZWtpbmcgVW5pdmVyc2l0eSBIZWFsdGggU2NpZW5jZSBDZW50ZXIs
IEJlaWppbmcsIENoaW5hLiYjeEQ7RGl2aXNpb24gb2YgTnV0cml0aW9uLCBQaHlzaWNhbCBBY3Rp
dml0eSwgYW5kIE9iZXNpdHksIE5hdGlvbmFsIENlbnRlciBmb3IgQ2hyb25pYyBEaXNlYXNlIFBy
ZXZlbnRpb24gYW5kIEhlYWx0aCBQcm9tb3Rpb24sIENEQywgQXRsYW50YSwgR0EsIFVTQS4mI3hE
O1RoZSBJbnN0aXR1dGUgb2YgUmVwcm9kdWN0aXZlIGFuZCBDaGlsZCBIZWFsdGgvTWluaXN0cnkg
b2YgSGVhbHRoIEtleSBMYWJvcmF0b3J5IG9mIFJlcHJvZHVjdGl2ZSBIZWFsdGgsIERlcGFydG1l
bnQgb2YgRXBpZGVtaW9sb2d5IGFuZCBCaW9zdGF0aXN0aWNzLCBTY2hvb2wgb2YgUHVibGljIEhl
YWx0aCwgUGVraW5nIFVuaXZlcnNpdHkgSGVhbHRoIFNjaWVuY2UgQ2VudGVyLCBCZWlqaW5nLCBD
aGluYS4gRWxlY3Ryb25pYyBhZGRyZXNzOiB5ZXJ3QGJqbXUuZWR1LmNuLjwvYXV0aC1hZGRyZXNz
Pjx0aXRsZXM+PHRpdGxlPk1pY3JvbnV0cmllbnQgc3VwcGxlbWVudGF0aW9uIGR1cmluZyBwcmVn
bmFuY3kgYW5kIHRoZSByaXNrIG9mIHByZWduYW5jeS1pbmR1Y2VkIGh5cGVydGVuc2lvbjogQSBy
YW5kb21pemVkIGNsaW5pY2FsIHRyaWFsPC90aXRsZT48c2Vjb25kYXJ5LXRpdGxlPkNsaW4gTnV0
cjwvc2Vjb25kYXJ5LXRpdGxlPjwvdGl0bGVzPjxwZXJpb2RpY2FsPjxmdWxsLXRpdGxlPkNsaW4g
TnV0cjwvZnVsbC10aXRsZT48L3BlcmlvZGljYWw+PHBhZ2VzPjE0Ni0xNTE8L3BhZ2VzPjx2b2x1
bWU+Mzg8L3ZvbHVtZT48bnVtYmVyPjE8L251bWJlcj48ZWRpdGlvbj4yMDE4LzAyLzEzPC9lZGl0
aW9uPjxrZXl3b3Jkcz48a2V5d29yZD4qRm9saWMgYWNpZDwva2V5d29yZD48a2V5d29yZD4qSXJv
bjwva2V5d29yZD48a2V5d29yZD4qTWljcm9udXRyaWVudCBzdXBwbGVtZW50YXRpb248L2tleXdv
cmQ+PGtleXdvcmQ+KlByZWduYW5jeS1pbmR1Y2VkIGh5cGVydGVuc2lvbjwva2V5d29yZD48a2V5
d29yZD4qUmFuZG9taXplZCBjbGluaWNhbCB0cmlhbDwva2V5d29yZD48L2tleXdvcmRzPjxkYXRl
cz48eWVhcj4yMDE5PC95ZWFyPjxwdWItZGF0ZXM+PGRhdGU+RmViPC9kYXRlPjwvcHViLWRhdGVz
PjwvZGF0ZXM+PGlzYm4+MTUzMi0xOTgzIChFbGVjdHJvbmljKSYjeEQ7MDI2MS01NjE0IChMaW5r
aW5nKTwvaXNibj48YWNjZXNzaW9uLW51bT4yOTQyODc4NTwvYWNjZXNzaW9uLW51bT48dXJscz48
cmVsYXRlZC11cmxzPjx1cmw+aHR0cHM6Ly93d3cubmNiaS5ubG0ubmloLmdvdi9wdWJtZWQvMjk0
Mjg3ODU8L3VybD48L3JlbGF0ZWQtdXJscz48L3VybHM+PGVsZWN0cm9uaWMtcmVzb3VyY2UtbnVt
PjEwLjEwMTYvai5jbG51LjIwMTguMDEuMDI5PC9lbGVjdHJvbmljLXJlc291cmNlLW51bT48L3Jl
Y29yZD48L0NpdGU+PC9FbmROb3RlPgB=
</w:fldData>
        </w:fldChar>
      </w:r>
      <w:r w:rsidR="002747EA">
        <w:instrText xml:space="preserve"> ADDIN EN.CITE </w:instrText>
      </w:r>
      <w:r w:rsidR="002747EA">
        <w:fldChar w:fldCharType="begin">
          <w:fldData xml:space="preserve">PEVuZE5vdGU+PENpdGU+PEF1dGhvcj5DaGVuPC9BdXRob3I+PFllYXI+MjAxOTwvWWVhcj48UmVj
TnVtPjE4MDA8L1JlY051bT48RGlzcGxheVRleHQ+PHN0eWxlIGZhY2U9InN1cGVyc2NyaXB0IiBm
b250PSJUcmVidWNoZXQgTVMiIHNpemU9IjkiPjE2Nzwvc3R5bGU+PC9EaXNwbGF5VGV4dD48cmVj
b3JkPjxyZWMtbnVtYmVyPjE4MDA8L3JlYy1udW1iZXI+PGZvcmVpZ24ta2V5cz48a2V5IGFwcD0i
RU4iIGRiLWlkPSJleHZhc3JmeDJkdHJhb2VzYXN4cDJzenN4YTJkZjUwMjU5MngiIHRpbWVzdGFt
cD0iMTU4MzcyNjM2MiI+MTgwMDwva2V5PjxrZXkgYXBwPSJFTldlYiIgZGItaWQ9IiI+MDwva2V5
PjwvZm9yZWlnbi1rZXlzPjxyZWYtdHlwZSBuYW1lPSJKb3VybmFsIEFydGljbGUiPjE3PC9yZWYt
dHlwZT48Y29udHJpYnV0b3JzPjxhdXRob3JzPjxhdXRob3I+Q2hlbiwgUy48L2F1dGhvcj48YXV0
aG9yPkxpLCBOLjwvYXV0aG9yPjxhdXRob3I+TWVpLCBaLjwvYXV0aG9yPjxhdXRob3I+WWUsIFIu
PC9hdXRob3I+PGF1dGhvcj5MaSwgWi48L2F1dGhvcj48YXV0aG9yPkxpdSwgSi48L2F1dGhvcj48
YXV0aG9yPlNlcmR1bGEsIE0uIEsuPC9hdXRob3I+PC9hdXRob3JzPjwvY29udHJpYnV0b3JzPjxh
dXRoLWFkZHJlc3M+VGhlIEluc3RpdHV0ZSBvZiBSZXByb2R1Y3RpdmUgYW5kIENoaWxkIEhlYWx0
aC9NaW5pc3RyeSBvZiBIZWFsdGggS2V5IExhYm9yYXRvcnkgb2YgUmVwcm9kdWN0aXZlIEhlYWx0
aCwgRGVwYXJ0bWVudCBvZiBFcGlkZW1pb2xvZ3kgYW5kIEJpb3N0YXRpc3RpY3MsIFNjaG9vbCBv
ZiBQdWJsaWMgSGVhbHRoLCBQZWtpbmcgVW5pdmVyc2l0eSBIZWFsdGggU2NpZW5jZSBDZW50ZXIs
IEJlaWppbmcsIENoaW5hLiYjeEQ7RGl2aXNpb24gb2YgTnV0cml0aW9uLCBQaHlzaWNhbCBBY3Rp
dml0eSwgYW5kIE9iZXNpdHksIE5hdGlvbmFsIENlbnRlciBmb3IgQ2hyb25pYyBEaXNlYXNlIFBy
ZXZlbnRpb24gYW5kIEhlYWx0aCBQcm9tb3Rpb24sIENEQywgQXRsYW50YSwgR0EsIFVTQS4mI3hE
O1RoZSBJbnN0aXR1dGUgb2YgUmVwcm9kdWN0aXZlIGFuZCBDaGlsZCBIZWFsdGgvTWluaXN0cnkg
b2YgSGVhbHRoIEtleSBMYWJvcmF0b3J5IG9mIFJlcHJvZHVjdGl2ZSBIZWFsdGgsIERlcGFydG1l
bnQgb2YgRXBpZGVtaW9sb2d5IGFuZCBCaW9zdGF0aXN0aWNzLCBTY2hvb2wgb2YgUHVibGljIEhl
YWx0aCwgUGVraW5nIFVuaXZlcnNpdHkgSGVhbHRoIFNjaWVuY2UgQ2VudGVyLCBCZWlqaW5nLCBD
aGluYS4gRWxlY3Ryb25pYyBhZGRyZXNzOiB5ZXJ3QGJqbXUuZWR1LmNuLjwvYXV0aC1hZGRyZXNz
Pjx0aXRsZXM+PHRpdGxlPk1pY3JvbnV0cmllbnQgc3VwcGxlbWVudGF0aW9uIGR1cmluZyBwcmVn
bmFuY3kgYW5kIHRoZSByaXNrIG9mIHByZWduYW5jeS1pbmR1Y2VkIGh5cGVydGVuc2lvbjogQSBy
YW5kb21pemVkIGNsaW5pY2FsIHRyaWFsPC90aXRsZT48c2Vjb25kYXJ5LXRpdGxlPkNsaW4gTnV0
cjwvc2Vjb25kYXJ5LXRpdGxlPjwvdGl0bGVzPjxwZXJpb2RpY2FsPjxmdWxsLXRpdGxlPkNsaW4g
TnV0cjwvZnVsbC10aXRsZT48L3BlcmlvZGljYWw+PHBhZ2VzPjE0Ni0xNTE8L3BhZ2VzPjx2b2x1
bWU+Mzg8L3ZvbHVtZT48bnVtYmVyPjE8L251bWJlcj48ZWRpdGlvbj4yMDE4LzAyLzEzPC9lZGl0
aW9uPjxrZXl3b3Jkcz48a2V5d29yZD4qRm9saWMgYWNpZDwva2V5d29yZD48a2V5d29yZD4qSXJv
bjwva2V5d29yZD48a2V5d29yZD4qTWljcm9udXRyaWVudCBzdXBwbGVtZW50YXRpb248L2tleXdv
cmQ+PGtleXdvcmQ+KlByZWduYW5jeS1pbmR1Y2VkIGh5cGVydGVuc2lvbjwva2V5d29yZD48a2V5
d29yZD4qUmFuZG9taXplZCBjbGluaWNhbCB0cmlhbDwva2V5d29yZD48L2tleXdvcmRzPjxkYXRl
cz48eWVhcj4yMDE5PC95ZWFyPjxwdWItZGF0ZXM+PGRhdGU+RmViPC9kYXRlPjwvcHViLWRhdGVz
PjwvZGF0ZXM+PGlzYm4+MTUzMi0xOTgzIChFbGVjdHJvbmljKSYjeEQ7MDI2MS01NjE0IChMaW5r
aW5nKTwvaXNibj48YWNjZXNzaW9uLW51bT4yOTQyODc4NTwvYWNjZXNzaW9uLW51bT48dXJscz48
cmVsYXRlZC11cmxzPjx1cmw+aHR0cHM6Ly93d3cubmNiaS5ubG0ubmloLmdvdi9wdWJtZWQvMjk0
Mjg3ODU8L3VybD48L3JlbGF0ZWQtdXJscz48L3VybHM+PGVsZWN0cm9uaWMtcmVzb3VyY2UtbnVt
PjEwLjEwMTYvai5jbG51LjIwMTguMDEuMDI5PC9lbGVjdHJvbmljLXJlc291cmNlLW51bT48L3Jl
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167</w:t>
      </w:r>
      <w:r w:rsidR="00BA7CBD">
        <w:fldChar w:fldCharType="end"/>
      </w:r>
    </w:p>
    <w:p w14:paraId="26E5814B" w14:textId="373A010F" w:rsidR="0084339C" w:rsidRDefault="0084339C" w:rsidP="0084339C">
      <w:pPr>
        <w:pStyle w:val="bullet"/>
      </w:pPr>
      <w:r>
        <w:t>no clear difference in lung function at 7-9 years of age in c</w:t>
      </w:r>
      <w:r w:rsidRPr="000C073B">
        <w:t xml:space="preserve">hildren born during </w:t>
      </w:r>
      <w:r>
        <w:t>a</w:t>
      </w:r>
      <w:r w:rsidRPr="000C073B">
        <w:t xml:space="preserve"> trial</w:t>
      </w:r>
      <w:r>
        <w:t xml:space="preserve"> of micronutrients versus iron plus folic acid (</w:t>
      </w:r>
      <w:r w:rsidRPr="00D07CF9">
        <w:rPr>
          <w:sz w:val="16"/>
          <w:szCs w:val="16"/>
        </w:rPr>
        <w:t>forced expiratory volume: MD -0.08; 95%CI -0.19 to 0.04; forced vital capacity: MD -0.05; 95%CI -0.17 to 0.06; FEV1/FVC: MD -0.04; 95%CI -0.15 to 0.07</w:t>
      </w:r>
      <w:r>
        <w:t>)(</w:t>
      </w:r>
      <w:r w:rsidRPr="00D07CF9">
        <w:rPr>
          <w:sz w:val="16"/>
          <w:szCs w:val="16"/>
        </w:rPr>
        <w:t>n=793</w:t>
      </w:r>
      <w:r>
        <w:t>)</w:t>
      </w:r>
      <w:r w:rsidR="00BA7CBD">
        <w:fldChar w:fldCharType="begin">
          <w:fldData xml:space="preserve">PEVuZE5vdGU+PENpdGU+PEF1dGhvcj5EZXZha3VtYXI8L0F1dGhvcj48WWVhcj4yMDE1PC9ZZWFy
PjxSZWNOdW0+MTgwMTwvUmVjTnVtPjxEaXNwbGF5VGV4dD48c3R5bGUgZmFjZT0ic3VwZXJzY3Jp
cHQiIGZvbnQ9IlRyZWJ1Y2hldCBNUyIgc2l6ZT0iOSI+MTY4PC9zdHlsZT48L0Rpc3BsYXlUZXh0
PjxyZWNvcmQ+PHJlYy1udW1iZXI+MTgwMTwvcmVjLW51bWJlcj48Zm9yZWlnbi1rZXlzPjxrZXkg
YXBwPSJFTiIgZGItaWQ9ImV4dmFzcmZ4MmR0cmFvZXNhc3hwMnN6c3hhMmRmNTAyNTkyeCIgdGlt
ZXN0YW1wPSIxNTgzNzI2MzY4Ij4xODAxPC9rZXk+PGtleSBhcHA9IkVOV2ViIiBkYi1pZD0iIj4w
PC9rZXk+PC9mb3JlaWduLWtleXM+PHJlZi10eXBlIG5hbWU9IkpvdXJuYWwgQXJ0aWNsZSI+MTc8
L3JlZi10eXBlPjxjb250cmlidXRvcnM+PGF1dGhvcnM+PGF1dGhvcj5EZXZha3VtYXIsIEQuPC9h
dXRob3I+PGF1dGhvcj5TdG9ja3MsIEouPC9hdXRob3I+PGF1dGhvcj5BeXJlcywgSi4gRy48L2F1
dGhvcj48YXV0aG9yPktpcmtieSwgSi48L2F1dGhvcj48YXV0aG9yPllhZGF2LCBTLiBLLjwvYXV0
aG9yPjxhdXRob3I+U2F2aWxsZSwgTi4gTS48L2F1dGhvcj48YXV0aG9yPkRldmVyZXV4LCBHLjwv
YXV0aG9yPjxhdXRob3I+V2VsbHMsIEouIEMuPC9hdXRob3I+PGF1dGhvcj5NYW5hbmRoYXIsIEQu
IFMuPC9hdXRob3I+PGF1dGhvcj5Db3N0ZWxsbywgQS48L2F1dGhvcj48YXV0aG9yPk9zcmluLCBE
LjwvYXV0aG9yPjwvYXV0aG9ycz48L2NvbnRyaWJ1dG9ycz48YXV0aC1hZGRyZXNzPkluc3RpdHV0
ZSBmb3IgR2xvYmFsIEhlYWx0aCwgVW5pdmVyc2l0eSBDb2xsZWdlIExvbmRvbiwgTG9uZG9uLCBV
Sy4gZC5kZXZha3VtYXJAdWNsLmFjLnVrLiYjeEQ7UmVzcGlyYXRvcnksIENyaXRpY2FsIENhcmUg
YW5kIEFuYWVzdGhlc2lhIFNlY3Rpb24gKFBvcnRleCBVbml0KSwgSW5zdGl0dXRlIG9mIENoaWxk
IEhlYWx0aCwgVW5pdmVyc2l0eSBDb2xsZWdlIExvbmRvbiwgTG9uZG9uLCBVSy4mI3hEO0luc3Rp
dHV0ZSBvZiBPY2N1cGF0aW9uYWwgYW5kIEVudmlyb25tZW50YWwgTWVkaWNpbmUsIFVuaXZlcnNp
dHkgb2YgQmlybWluZ2hhbSwgQmlybWluZ2hhbSwgVUsuJiN4RDtSZXNwaXJhdG9yeSwgQ3JpdGlj
YWwgQ2FyZSBhbmQgQW5hZXN0aGVzaWEgU2VjdGlvbiAoUG9ydGV4IFVuaXQpLCBJbnN0aXR1dGUg
b2YgQ2hpbGQgSGVhbHRoLCBVbml2ZXJzaXR5IENvbGxlZ2UgTG9uZG9uLCBMb25kb24sIFVLLiBH
cmVhdCBPcm1vbmQgU3RyZWV0IEhvc3BpdGFsIGZvciBDaGlsZHJlbiBOSFMgRm91bmRhdGlvbiBU
cnVzdCwgTG9uZG9uLCBVSy4mI3hEO01vdGhlciBhbmQgSW5mYW50IFJlc2VhcmNoIEFjdGl2aXRp
ZXMsIEthdGhtYW5kdSwgTmVwYWwuJiN4RDtJbnN0aXR1dGUgZm9yIEdsb2JhbCBIZWFsdGgsIFVu
aXZlcnNpdHkgQ29sbGVnZSBMb25kb24sIExvbmRvbiwgVUsuJiN4RDtDaGlsZCBIZWFsdGggRGVw
dCwgVW5pdmVyc2l0eSBvZiBBYmVyZGVlbiwgUm95YWwgQWJlcmRlZW4gQ2hpbGRyZW4mYXBvcztz
IEhvc3BpdGFsLCBBYmVyZGVlbiwgVUsuJiN4RDtDaGlsZGhvb2QgTnV0cml0aW9uIFJlc2VhcmNo
IENlbnRyZSwgSW5zdGl0dXRlIG9mIENoaWxkIEhlYWx0aCwgVW5pdmVyc2l0eSBDb2xsZWdlIExv
bmRvbiwgTG9uZG9uLCBVSy48L2F1dGgtYWRkcmVzcz48dGl0bGVzPjx0aXRsZT5FZmZlY3RzIG9m
IGFudGVuYXRhbCBtdWx0aXBsZSBtaWNyb251dHJpZW50IHN1cHBsZW1lbnRhdGlvbiBvbiBsdW5n
IGZ1bmN0aW9uIGluIG1pZC1jaGlsZGhvb2Q6IGZvbGxvdy11cCBvZiBhIGRvdWJsZS1ibGluZCBy
YW5kb21pc2VkIGNvbnRyb2xsZWQgdHJpYWwgaW4gTmVwYWw8L3RpdGxlPjxzZWNvbmRhcnktdGl0
bGU+RXVyIFJlc3BpciBKPC9zZWNvbmRhcnktdGl0bGU+PC90aXRsZXM+PHBlcmlvZGljYWw+PGZ1
bGwtdGl0bGU+RXVyIFJlc3BpciBKPC9mdWxsLXRpdGxlPjwvcGVyaW9kaWNhbD48cGFnZXM+MTU2
Ni03NTwvcGFnZXM+PHZvbHVtZT40NTwvdm9sdW1lPjxudW1iZXI+NjwvbnVtYmVyPjxlZGl0aW9u
PjIwMTUvMDIvMjQ8L2VkaXRpb24+PGtleXdvcmRzPjxrZXl3b3JkPkFpciBQb2xsdXRpb24vc3Rh
dGlzdGljcyAmYW1wOyBudW1lcmljYWwgZGF0YTwva2V5d29yZD48a2V5d29yZD4qQmlydGggV2Vp
Z2h0PC9rZXl3b3JkPjxrZXl3b3JkPkJvZHkgV2VpZ2h0PC9rZXl3b3JkPjxrZXl3b3JkPkNoaWxk
PC9rZXl3b3JkPjxrZXl3b3JkPkNvaG9ydCBTdHVkaWVzPC9rZXl3b3JkPjxrZXl3b3JkPipEaWV0
YXJ5IFN1cHBsZW1lbnRzPC9rZXl3b3JkPjxrZXl3b3JkPkRvdWJsZS1CbGluZCBNZXRob2Q8L2tl
eXdvcmQ+PGtleXdvcmQ+RmVtYWxlPC9rZXl3b3JkPjxrZXl3b3JkPkZvbGljIEFjaWQvdGhlcmFw
ZXV0aWMgdXNlPC9rZXl3b3JkPjxrZXl3b3JkPkZvbGxvdy1VcCBTdHVkaWVzPC9rZXl3b3JkPjxr
ZXl3b3JkPkZvcmNlZCBFeHBpcmF0b3J5IFZvbHVtZTwva2V5d29yZD48a2V5d29yZD5IdW1hbnM8
L2tleXdvcmQ+PGtleXdvcmQ+SXJvbi90aGVyYXBldXRpYyB1c2U8L2tleXdvcmQ+PGtleXdvcmQ+
TG9naXN0aWMgTW9kZWxzPC9rZXl3b3JkPjxrZXl3b3JkPkx1bmcvKnBoeXNpb2xvZ3kvcGh5c2lv
cGF0aG9sb2d5PC9rZXl3b3JkPjxrZXl3b3JkPk1hbGU8L2tleXdvcmQ+PGtleXdvcmQ+TWljcm9u
dXRyaWVudHMvKnRoZXJhcGV1dGljIHVzZTwva2V5d29yZD48a2V5d29yZD5NdWx0aXZhcmlhdGUg
QW5hbHlzaXM8L2tleXdvcmQ+PGtleXdvcmQ+TmVwYWw8L2tleXdvcmQ+PGtleXdvcmQ+UHJlZ25h
bmN5PC9rZXl3b3JkPjxrZXl3b3JkPlByZW5hdGFsIENhcmUvKm1ldGhvZHM8L2tleXdvcmQ+PGtl
eXdvcmQ+U3Bpcm9tZXRyeTwva2V5d29yZD48a2V5d29yZD5UcmFjZSBFbGVtZW50cy90aGVyYXBl
dXRpYyB1c2U8L2tleXdvcmQ+PGtleXdvcmQ+Vml0YWwgQ2FwYWNpdHk8L2tleXdvcmQ+PGtleXdv
cmQ+Vml0YW1pbnMvdGhlcmFwZXV0aWMgdXNlPC9rZXl3b3JkPjwva2V5d29yZHM+PGRhdGVzPjx5
ZWFyPjIwMTU8L3llYXI+PHB1Yi1kYXRlcz48ZGF0ZT5KdW48L2RhdGU+PC9wdWItZGF0ZXM+PC9k
YXRlcz48aXNibj4xMzk5LTMwMDMgKEVsZWN0cm9uaWMpJiN4RDswOTAzLTE5MzYgKExpbmtpbmcp
PC9pc2JuPjxhY2Nlc3Npb24tbnVtPjI1NzAwMzg2PC9hY2Nlc3Npb24tbnVtPjx1cmxzPjxyZWxh
dGVkLXVybHM+PHVybD5odHRwczovL3d3dy5uY2JpLm5sbS5uaWguZ292L3B1Ym1lZC8yNTcwMDM4
NjwvdXJsPjwvcmVsYXRlZC11cmxzPjwvdXJscz48Y3VzdG9tMj5QTUM0NjM2MDQ1PC9jdXN0b20y
PjxlbGVjdHJvbmljLXJlc291cmNlLW51bT4xMC4xMTgzLzA5MDMxOTM2LjAwMTg4OTE0PC9lbGVj
dHJvbmljLXJlc291cmNlLW51bT48L3JlY29yZD48L0NpdGU+PC9FbmROb3RlPgB=
</w:fldData>
        </w:fldChar>
      </w:r>
      <w:r w:rsidR="002747EA">
        <w:instrText xml:space="preserve"> ADDIN EN.CITE </w:instrText>
      </w:r>
      <w:r w:rsidR="002747EA">
        <w:fldChar w:fldCharType="begin">
          <w:fldData xml:space="preserve">PEVuZE5vdGU+PENpdGU+PEF1dGhvcj5EZXZha3VtYXI8L0F1dGhvcj48WWVhcj4yMDE1PC9ZZWFy
PjxSZWNOdW0+MTgwMTwvUmVjTnVtPjxEaXNwbGF5VGV4dD48c3R5bGUgZmFjZT0ic3VwZXJzY3Jp
cHQiIGZvbnQ9IlRyZWJ1Y2hldCBNUyIgc2l6ZT0iOSI+MTY4PC9zdHlsZT48L0Rpc3BsYXlUZXh0
PjxyZWNvcmQ+PHJlYy1udW1iZXI+MTgwMTwvcmVjLW51bWJlcj48Zm9yZWlnbi1rZXlzPjxrZXkg
YXBwPSJFTiIgZGItaWQ9ImV4dmFzcmZ4MmR0cmFvZXNhc3hwMnN6c3hhMmRmNTAyNTkyeCIgdGlt
ZXN0YW1wPSIxNTgzNzI2MzY4Ij4xODAxPC9rZXk+PGtleSBhcHA9IkVOV2ViIiBkYi1pZD0iIj4w
PC9rZXk+PC9mb3JlaWduLWtleXM+PHJlZi10eXBlIG5hbWU9IkpvdXJuYWwgQXJ0aWNsZSI+MTc8
L3JlZi10eXBlPjxjb250cmlidXRvcnM+PGF1dGhvcnM+PGF1dGhvcj5EZXZha3VtYXIsIEQuPC9h
dXRob3I+PGF1dGhvcj5TdG9ja3MsIEouPC9hdXRob3I+PGF1dGhvcj5BeXJlcywgSi4gRy48L2F1
dGhvcj48YXV0aG9yPktpcmtieSwgSi48L2F1dGhvcj48YXV0aG9yPllhZGF2LCBTLiBLLjwvYXV0
aG9yPjxhdXRob3I+U2F2aWxsZSwgTi4gTS48L2F1dGhvcj48YXV0aG9yPkRldmVyZXV4LCBHLjwv
YXV0aG9yPjxhdXRob3I+V2VsbHMsIEouIEMuPC9hdXRob3I+PGF1dGhvcj5NYW5hbmRoYXIsIEQu
IFMuPC9hdXRob3I+PGF1dGhvcj5Db3N0ZWxsbywgQS48L2F1dGhvcj48YXV0aG9yPk9zcmluLCBE
LjwvYXV0aG9yPjwvYXV0aG9ycz48L2NvbnRyaWJ1dG9ycz48YXV0aC1hZGRyZXNzPkluc3RpdHV0
ZSBmb3IgR2xvYmFsIEhlYWx0aCwgVW5pdmVyc2l0eSBDb2xsZWdlIExvbmRvbiwgTG9uZG9uLCBV
Sy4gZC5kZXZha3VtYXJAdWNsLmFjLnVrLiYjeEQ7UmVzcGlyYXRvcnksIENyaXRpY2FsIENhcmUg
YW5kIEFuYWVzdGhlc2lhIFNlY3Rpb24gKFBvcnRleCBVbml0KSwgSW5zdGl0dXRlIG9mIENoaWxk
IEhlYWx0aCwgVW5pdmVyc2l0eSBDb2xsZWdlIExvbmRvbiwgTG9uZG9uLCBVSy4mI3hEO0luc3Rp
dHV0ZSBvZiBPY2N1cGF0aW9uYWwgYW5kIEVudmlyb25tZW50YWwgTWVkaWNpbmUsIFVuaXZlcnNp
dHkgb2YgQmlybWluZ2hhbSwgQmlybWluZ2hhbSwgVUsuJiN4RDtSZXNwaXJhdG9yeSwgQ3JpdGlj
YWwgQ2FyZSBhbmQgQW5hZXN0aGVzaWEgU2VjdGlvbiAoUG9ydGV4IFVuaXQpLCBJbnN0aXR1dGUg
b2YgQ2hpbGQgSGVhbHRoLCBVbml2ZXJzaXR5IENvbGxlZ2UgTG9uZG9uLCBMb25kb24sIFVLLiBH
cmVhdCBPcm1vbmQgU3RyZWV0IEhvc3BpdGFsIGZvciBDaGlsZHJlbiBOSFMgRm91bmRhdGlvbiBU
cnVzdCwgTG9uZG9uLCBVSy4mI3hEO01vdGhlciBhbmQgSW5mYW50IFJlc2VhcmNoIEFjdGl2aXRp
ZXMsIEthdGhtYW5kdSwgTmVwYWwuJiN4RDtJbnN0aXR1dGUgZm9yIEdsb2JhbCBIZWFsdGgsIFVu
aXZlcnNpdHkgQ29sbGVnZSBMb25kb24sIExvbmRvbiwgVUsuJiN4RDtDaGlsZCBIZWFsdGggRGVw
dCwgVW5pdmVyc2l0eSBvZiBBYmVyZGVlbiwgUm95YWwgQWJlcmRlZW4gQ2hpbGRyZW4mYXBvcztz
IEhvc3BpdGFsLCBBYmVyZGVlbiwgVUsuJiN4RDtDaGlsZGhvb2QgTnV0cml0aW9uIFJlc2VhcmNo
IENlbnRyZSwgSW5zdGl0dXRlIG9mIENoaWxkIEhlYWx0aCwgVW5pdmVyc2l0eSBDb2xsZWdlIExv
bmRvbiwgTG9uZG9uLCBVSy48L2F1dGgtYWRkcmVzcz48dGl0bGVzPjx0aXRsZT5FZmZlY3RzIG9m
IGFudGVuYXRhbCBtdWx0aXBsZSBtaWNyb251dHJpZW50IHN1cHBsZW1lbnRhdGlvbiBvbiBsdW5n
IGZ1bmN0aW9uIGluIG1pZC1jaGlsZGhvb2Q6IGZvbGxvdy11cCBvZiBhIGRvdWJsZS1ibGluZCBy
YW5kb21pc2VkIGNvbnRyb2xsZWQgdHJpYWwgaW4gTmVwYWw8L3RpdGxlPjxzZWNvbmRhcnktdGl0
bGU+RXVyIFJlc3BpciBKPC9zZWNvbmRhcnktdGl0bGU+PC90aXRsZXM+PHBlcmlvZGljYWw+PGZ1
bGwtdGl0bGU+RXVyIFJlc3BpciBKPC9mdWxsLXRpdGxlPjwvcGVyaW9kaWNhbD48cGFnZXM+MTU2
Ni03NTwvcGFnZXM+PHZvbHVtZT40NTwvdm9sdW1lPjxudW1iZXI+NjwvbnVtYmVyPjxlZGl0aW9u
PjIwMTUvMDIvMjQ8L2VkaXRpb24+PGtleXdvcmRzPjxrZXl3b3JkPkFpciBQb2xsdXRpb24vc3Rh
dGlzdGljcyAmYW1wOyBudW1lcmljYWwgZGF0YTwva2V5d29yZD48a2V5d29yZD4qQmlydGggV2Vp
Z2h0PC9rZXl3b3JkPjxrZXl3b3JkPkJvZHkgV2VpZ2h0PC9rZXl3b3JkPjxrZXl3b3JkPkNoaWxk
PC9rZXl3b3JkPjxrZXl3b3JkPkNvaG9ydCBTdHVkaWVzPC9rZXl3b3JkPjxrZXl3b3JkPipEaWV0
YXJ5IFN1cHBsZW1lbnRzPC9rZXl3b3JkPjxrZXl3b3JkPkRvdWJsZS1CbGluZCBNZXRob2Q8L2tl
eXdvcmQ+PGtleXdvcmQ+RmVtYWxlPC9rZXl3b3JkPjxrZXl3b3JkPkZvbGljIEFjaWQvdGhlcmFw
ZXV0aWMgdXNlPC9rZXl3b3JkPjxrZXl3b3JkPkZvbGxvdy1VcCBTdHVkaWVzPC9rZXl3b3JkPjxr
ZXl3b3JkPkZvcmNlZCBFeHBpcmF0b3J5IFZvbHVtZTwva2V5d29yZD48a2V5d29yZD5IdW1hbnM8
L2tleXdvcmQ+PGtleXdvcmQ+SXJvbi90aGVyYXBldXRpYyB1c2U8L2tleXdvcmQ+PGtleXdvcmQ+
TG9naXN0aWMgTW9kZWxzPC9rZXl3b3JkPjxrZXl3b3JkPkx1bmcvKnBoeXNpb2xvZ3kvcGh5c2lv
cGF0aG9sb2d5PC9rZXl3b3JkPjxrZXl3b3JkPk1hbGU8L2tleXdvcmQ+PGtleXdvcmQ+TWljcm9u
dXRyaWVudHMvKnRoZXJhcGV1dGljIHVzZTwva2V5d29yZD48a2V5d29yZD5NdWx0aXZhcmlhdGUg
QW5hbHlzaXM8L2tleXdvcmQ+PGtleXdvcmQ+TmVwYWw8L2tleXdvcmQ+PGtleXdvcmQ+UHJlZ25h
bmN5PC9rZXl3b3JkPjxrZXl3b3JkPlByZW5hdGFsIENhcmUvKm1ldGhvZHM8L2tleXdvcmQ+PGtl
eXdvcmQ+U3Bpcm9tZXRyeTwva2V5d29yZD48a2V5d29yZD5UcmFjZSBFbGVtZW50cy90aGVyYXBl
dXRpYyB1c2U8L2tleXdvcmQ+PGtleXdvcmQ+Vml0YWwgQ2FwYWNpdHk8L2tleXdvcmQ+PGtleXdv
cmQ+Vml0YW1pbnMvdGhlcmFwZXV0aWMgdXNlPC9rZXl3b3JkPjwva2V5d29yZHM+PGRhdGVzPjx5
ZWFyPjIwMTU8L3llYXI+PHB1Yi1kYXRlcz48ZGF0ZT5KdW48L2RhdGU+PC9wdWItZGF0ZXM+PC9k
YXRlcz48aXNibj4xMzk5LTMwMDMgKEVsZWN0cm9uaWMpJiN4RDswOTAzLTE5MzYgKExpbmtpbmcp
PC9pc2JuPjxhY2Nlc3Npb24tbnVtPjI1NzAwMzg2PC9hY2Nlc3Npb24tbnVtPjx1cmxzPjxyZWxh
dGVkLXVybHM+PHVybD5odHRwczovL3d3dy5uY2JpLm5sbS5uaWguZ292L3B1Ym1lZC8yNTcwMDM4
NjwvdXJsPjwvcmVsYXRlZC11cmxzPjwvdXJscz48Y3VzdG9tMj5QTUM0NjM2MDQ1PC9jdXN0b20y
PjxlbGVjdHJvbmljLXJlc291cmNlLW51bT4xMC4xMTgzLzA5MDMxOTM2LjAwMTg4OTE0PC9lbGVj
dHJvbmljLXJlc291cmNlLW51bT48L3JlY29yZD48L0NpdGU+PC9FbmROb3RlPgB=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168</w:t>
      </w:r>
      <w:r w:rsidR="00BA7CBD">
        <w:fldChar w:fldCharType="end"/>
      </w:r>
    </w:p>
    <w:p w14:paraId="02F8E389" w14:textId="2D95ED8A" w:rsidR="0084339C" w:rsidRDefault="00D07CF9" w:rsidP="0084339C">
      <w:pPr>
        <w:pStyle w:val="bullet"/>
      </w:pPr>
      <w:r>
        <w:t>a lower prevalence of deficiencies of vitamins B</w:t>
      </w:r>
      <w:r w:rsidRPr="00E43F42">
        <w:rPr>
          <w:vertAlign w:val="subscript"/>
        </w:rPr>
        <w:t>12</w:t>
      </w:r>
      <w:r>
        <w:t>, A and D and zinc (</w:t>
      </w:r>
      <w:r w:rsidRPr="00D07CF9">
        <w:rPr>
          <w:sz w:val="16"/>
          <w:szCs w:val="16"/>
        </w:rPr>
        <w:t>all p&lt;0.05</w:t>
      </w:r>
      <w:r>
        <w:t xml:space="preserve">) among women </w:t>
      </w:r>
      <w:r w:rsidR="00E43F42">
        <w:t>taking</w:t>
      </w:r>
      <w:r>
        <w:t xml:space="preserve"> multivitamins compared to those receiving iron plus folic acid (</w:t>
      </w:r>
      <w:r w:rsidRPr="00D07CF9">
        <w:rPr>
          <w:sz w:val="16"/>
          <w:szCs w:val="16"/>
        </w:rPr>
        <w:t>n=1,526</w:t>
      </w:r>
      <w:r>
        <w:t>)</w:t>
      </w:r>
      <w:r w:rsidR="00BA7CBD">
        <w:fldChar w:fldCharType="begin">
          <w:fldData xml:space="preserve">PEVuZE5vdGU+PENpdGU+PEF1dGhvcj5TY2h1bHplPC9BdXRob3I+PFllYXI+MjAxOTwvWWVhcj48
UmVjTnVtPjE4MTc8L1JlY051bT48RGlzcGxheVRleHQ+PHN0eWxlIGZhY2U9InN1cGVyc2NyaXB0
IiBmb250PSJUcmVidWNoZXQgTVMiIHNpemU9IjkiPjE2OTwvc3R5bGU+PC9EaXNwbGF5VGV4dD48
cmVjb3JkPjxyZWMtbnVtYmVyPjE4MTc8L3JlYy1udW1iZXI+PGZvcmVpZ24ta2V5cz48a2V5IGFw
cD0iRU4iIGRiLWlkPSJleHZhc3JmeDJkdHJhb2VzYXN4cDJzenN4YTJkZjUwMjU5MngiIHRpbWVz
dGFtcD0iMTU4MzcyNjQ3MiI+MTgxNzwva2V5PjxrZXkgYXBwPSJFTldlYiIgZGItaWQ9IiI+MDwv
a2V5PjwvZm9yZWlnbi1rZXlzPjxyZWYtdHlwZSBuYW1lPSJKb3VybmFsIEFydGljbGUiPjE3PC9y
ZWYtdHlwZT48Y29udHJpYnV0b3JzPjxhdXRob3JzPjxhdXRob3I+U2NodWx6ZSwgSy4gSi48L2F1
dGhvcj48YXV0aG9yPk1laHJhLCBTLjwvYXV0aG9yPjxhdXRob3I+U2hhaWtoLCBTLjwvYXV0aG9y
PjxhdXRob3I+QWxpLCBILjwvYXV0aG9yPjxhdXRob3I+U2hhbWltLCBBLiBBLjwvYXV0aG9yPjxh
dXRob3I+V3UsIEwuIFMuPC9hdXRob3I+PGF1dGhvcj5NaXRyYSwgTS48L2F1dGhvcj48YXV0aG9y
PkFyZ3VlbGxvLCBNLiBBLjwvYXV0aG9yPjxhdXRob3I+S211c2gsIEIuPC9hdXRob3I+PGF1dGhv
cj5TdW5ncHVhZywgUC48L2F1dGhvcj48YXV0aG9yPlVkb21rZXNtZWxlZSwgRS48L2F1dGhvcj48
YXV0aG9yPk1lcnJpbGwsIFIuPC9hdXRob3I+PGF1dGhvcj5LbGVtbSwgUi4gRC4gVy48L2F1dGhv
cj48YXV0aG9yPlVsbGFoLCBCLjwvYXV0aG9yPjxhdXRob3I+TGFicmlxdWUsIEEuIEIuPC9hdXRo
b3I+PGF1dGhvcj5XZXN0LCBLLiBQLjwvYXV0aG9yPjxhdXRob3I+Q2hyaXN0aWFuLCBQLjwvYXV0
aG9yPjwvYXV0aG9ycz48L2NvbnRyaWJ1dG9ycz48YXV0aC1hZGRyZXNzPkNlbnRlciBmb3IgSHVt
YW4gTnV0cml0aW9uLCBEZXBhcnRtZW50IG9mIEludGVybmF0aW9uYWwgSGVhbHRoLCBKb2hucyBI
b3BraW5zIEJsb29tYmVyZyBTY2hvb2wgb2YgUHVibGljIEhlYWx0aCwgQmFsdGltb3JlLCBNRC4m
I3hEO1RoZSBKaVZpdEEgUHJvamVjdCBvZiBKb2hucyBIb3BraW5zIFVuaXZlcnNpdHksIEJhbmds
YWRlc2gsIEdhaWJhbmRoYSwgQmFuZ2xhZGVzaC4mI3hEO0luc3RpdHV0ZSBvZiBOdXRyaXRpb24s
IE1haGlkb2wgVW5pdmVyc2l0eSwgQmFuZ2tvaywgVGhhaWxhbmQuPC9hdXRoLWFkZHJlc3M+PHRp
dGxlcz48dGl0bGU+QW50ZW5hdGFsIG11bHRpcGxlIG1pY3JvbnV0cmllbnQgc3VwcGxlbWVudGF0
aW9uIGNvbXBhcmVkIHRvIGlyb24tZm9saWMgYWNpZCBhZmZlY3RzIG1pY3JvbnV0cmllbnQgc3Rh
dHVzIGJ1dCBkb2VzIG5vdCBlbGltaW5hdGUgZGVmaWNpZW5jaWVzIGluIGEgcmFuZG9taXplZCBj
b250cm9sbGVkIHRyaWFsIGFtb25nIHByZWduYW50IHdvbWVuIG9mIHJ1cmFsIEJhbmdsYWRlc2g8
L3RpdGxlPjxzZWNvbmRhcnktdGl0bGU+SiBOdXRyPC9zZWNvbmRhcnktdGl0bGU+PC90aXRsZXM+
PHBlcmlvZGljYWw+PGZ1bGwtdGl0bGU+SiBOdXRyPC9mdWxsLXRpdGxlPjwvcGVyaW9kaWNhbD48
cGFnZXM+MTI2MC0xMjcwPC9wYWdlcz48dm9sdW1lPjE0OTwvdm9sdW1lPjxudW1iZXI+NzwvbnVt
YmVyPjxlZGl0aW9uPjIwMTkvMDQvMjM8L2VkaXRpb24+PGtleXdvcmRzPjxrZXl3b3JkPkJhbmds
YWRlc2g8L2tleXdvcmQ+PGtleXdvcmQ+U291dGggQXNpYTwva2V5d29yZD48a2V5d29yZD5hbnRl
bmF0YWw8L2tleXdvcmQ+PGtleXdvcmQ+bWljcm9udXRyaWVudHM8L2tleXdvcmQ+PGtleXdvcmQ+
bWluZXJhbHM8L2tleXdvcmQ+PGtleXdvcmQ+cHJlZ25hbmN5PC9rZXl3b3JkPjxrZXl3b3JkPnN1
cHBsZW1lbnRhdGlvbjwva2V5d29yZD48a2V5d29yZD50cmlhbDwva2V5d29yZD48a2V5d29yZD52
aXRhbWluczwva2V5d29yZD48L2tleXdvcmRzPjxkYXRlcz48eWVhcj4yMDE5PC95ZWFyPjxwdWIt
ZGF0ZXM+PGRhdGU+SnVsIDE8L2RhdGU+PC9wdWItZGF0ZXM+PC9kYXRlcz48aXNibj4xNTQxLTYx
MDAgKEVsZWN0cm9uaWMpJiN4RDswMDIyLTMxNjYgKExpbmtpbmcpPC9pc2JuPjxhY2Nlc3Npb24t
bnVtPjMxMDA2ODA2PC9hY2Nlc3Npb24tbnVtPjx1cmxzPjxyZWxhdGVkLXVybHM+PHVybD5odHRw
czovL3d3dy5uY2JpLm5sbS5uaWguZ292L3B1Ym1lZC8zMTAwNjgwNjwvdXJsPjwvcmVsYXRlZC11
cmxzPjwvdXJscz48Y3VzdG9tMj5QTUM2NjAyODkwPC9jdXN0b20yPjxlbGVjdHJvbmljLXJlc291
cmNlLW51bT4xMC4xMDkzL2puL254ejA0NjwvZWxlY3Ryb25pYy1yZXNvdXJjZS1udW0+PC9yZWNv
cmQ+PC9DaXRlPjwvRW5kTm90ZT4A
</w:fldData>
        </w:fldChar>
      </w:r>
      <w:r w:rsidR="002747EA">
        <w:instrText xml:space="preserve"> ADDIN EN.CITE </w:instrText>
      </w:r>
      <w:r w:rsidR="002747EA">
        <w:fldChar w:fldCharType="begin">
          <w:fldData xml:space="preserve">PEVuZE5vdGU+PENpdGU+PEF1dGhvcj5TY2h1bHplPC9BdXRob3I+PFllYXI+MjAxOTwvWWVhcj48
UmVjTnVtPjE4MTc8L1JlY051bT48RGlzcGxheVRleHQ+PHN0eWxlIGZhY2U9InN1cGVyc2NyaXB0
IiBmb250PSJUcmVidWNoZXQgTVMiIHNpemU9IjkiPjE2OTwvc3R5bGU+PC9EaXNwbGF5VGV4dD48
cmVjb3JkPjxyZWMtbnVtYmVyPjE4MTc8L3JlYy1udW1iZXI+PGZvcmVpZ24ta2V5cz48a2V5IGFw
cD0iRU4iIGRiLWlkPSJleHZhc3JmeDJkdHJhb2VzYXN4cDJzenN4YTJkZjUwMjU5MngiIHRpbWVz
dGFtcD0iMTU4MzcyNjQ3MiI+MTgxNzwva2V5PjxrZXkgYXBwPSJFTldlYiIgZGItaWQ9IiI+MDwv
a2V5PjwvZm9yZWlnbi1rZXlzPjxyZWYtdHlwZSBuYW1lPSJKb3VybmFsIEFydGljbGUiPjE3PC9y
ZWYtdHlwZT48Y29udHJpYnV0b3JzPjxhdXRob3JzPjxhdXRob3I+U2NodWx6ZSwgSy4gSi48L2F1
dGhvcj48YXV0aG9yPk1laHJhLCBTLjwvYXV0aG9yPjxhdXRob3I+U2hhaWtoLCBTLjwvYXV0aG9y
PjxhdXRob3I+QWxpLCBILjwvYXV0aG9yPjxhdXRob3I+U2hhbWltLCBBLiBBLjwvYXV0aG9yPjxh
dXRob3I+V3UsIEwuIFMuPC9hdXRob3I+PGF1dGhvcj5NaXRyYSwgTS48L2F1dGhvcj48YXV0aG9y
PkFyZ3VlbGxvLCBNLiBBLjwvYXV0aG9yPjxhdXRob3I+S211c2gsIEIuPC9hdXRob3I+PGF1dGhv
cj5TdW5ncHVhZywgUC48L2F1dGhvcj48YXV0aG9yPlVkb21rZXNtZWxlZSwgRS48L2F1dGhvcj48
YXV0aG9yPk1lcnJpbGwsIFIuPC9hdXRob3I+PGF1dGhvcj5LbGVtbSwgUi4gRC4gVy48L2F1dGhv
cj48YXV0aG9yPlVsbGFoLCBCLjwvYXV0aG9yPjxhdXRob3I+TGFicmlxdWUsIEEuIEIuPC9hdXRo
b3I+PGF1dGhvcj5XZXN0LCBLLiBQLjwvYXV0aG9yPjxhdXRob3I+Q2hyaXN0aWFuLCBQLjwvYXV0
aG9yPjwvYXV0aG9ycz48L2NvbnRyaWJ1dG9ycz48YXV0aC1hZGRyZXNzPkNlbnRlciBmb3IgSHVt
YW4gTnV0cml0aW9uLCBEZXBhcnRtZW50IG9mIEludGVybmF0aW9uYWwgSGVhbHRoLCBKb2hucyBI
b3BraW5zIEJsb29tYmVyZyBTY2hvb2wgb2YgUHVibGljIEhlYWx0aCwgQmFsdGltb3JlLCBNRC4m
I3hEO1RoZSBKaVZpdEEgUHJvamVjdCBvZiBKb2hucyBIb3BraW5zIFVuaXZlcnNpdHksIEJhbmds
YWRlc2gsIEdhaWJhbmRoYSwgQmFuZ2xhZGVzaC4mI3hEO0luc3RpdHV0ZSBvZiBOdXRyaXRpb24s
IE1haGlkb2wgVW5pdmVyc2l0eSwgQmFuZ2tvaywgVGhhaWxhbmQuPC9hdXRoLWFkZHJlc3M+PHRp
dGxlcz48dGl0bGU+QW50ZW5hdGFsIG11bHRpcGxlIG1pY3JvbnV0cmllbnQgc3VwcGxlbWVudGF0
aW9uIGNvbXBhcmVkIHRvIGlyb24tZm9saWMgYWNpZCBhZmZlY3RzIG1pY3JvbnV0cmllbnQgc3Rh
dHVzIGJ1dCBkb2VzIG5vdCBlbGltaW5hdGUgZGVmaWNpZW5jaWVzIGluIGEgcmFuZG9taXplZCBj
b250cm9sbGVkIHRyaWFsIGFtb25nIHByZWduYW50IHdvbWVuIG9mIHJ1cmFsIEJhbmdsYWRlc2g8
L3RpdGxlPjxzZWNvbmRhcnktdGl0bGU+SiBOdXRyPC9zZWNvbmRhcnktdGl0bGU+PC90aXRsZXM+
PHBlcmlvZGljYWw+PGZ1bGwtdGl0bGU+SiBOdXRyPC9mdWxsLXRpdGxlPjwvcGVyaW9kaWNhbD48
cGFnZXM+MTI2MC0xMjcwPC9wYWdlcz48dm9sdW1lPjE0OTwvdm9sdW1lPjxudW1iZXI+NzwvbnVt
YmVyPjxlZGl0aW9uPjIwMTkvMDQvMjM8L2VkaXRpb24+PGtleXdvcmRzPjxrZXl3b3JkPkJhbmds
YWRlc2g8L2tleXdvcmQ+PGtleXdvcmQ+U291dGggQXNpYTwva2V5d29yZD48a2V5d29yZD5hbnRl
bmF0YWw8L2tleXdvcmQ+PGtleXdvcmQ+bWljcm9udXRyaWVudHM8L2tleXdvcmQ+PGtleXdvcmQ+
bWluZXJhbHM8L2tleXdvcmQ+PGtleXdvcmQ+cHJlZ25hbmN5PC9rZXl3b3JkPjxrZXl3b3JkPnN1
cHBsZW1lbnRhdGlvbjwva2V5d29yZD48a2V5d29yZD50cmlhbDwva2V5d29yZD48a2V5d29yZD52
aXRhbWluczwva2V5d29yZD48L2tleXdvcmRzPjxkYXRlcz48eWVhcj4yMDE5PC95ZWFyPjxwdWIt
ZGF0ZXM+PGRhdGU+SnVsIDE8L2RhdGU+PC9wdWItZGF0ZXM+PC9kYXRlcz48aXNibj4xNTQxLTYx
MDAgKEVsZWN0cm9uaWMpJiN4RDswMDIyLTMxNjYgKExpbmtpbmcpPC9pc2JuPjxhY2Nlc3Npb24t
bnVtPjMxMDA2ODA2PC9hY2Nlc3Npb24tbnVtPjx1cmxzPjxyZWxhdGVkLXVybHM+PHVybD5odHRw
czovL3d3dy5uY2JpLm5sbS5uaWguZ292L3B1Ym1lZC8zMTAwNjgwNjwvdXJsPjwvcmVsYXRlZC11
cmxzPjwvdXJscz48Y3VzdG9tMj5QTUM2NjAyODkwPC9jdXN0b20yPjxlbGVjdHJvbmljLXJlc291
cmNlLW51bT4xMC4xMDkzL2puL254ejA0NjwvZWxlY3Ryb25pYy1yZXNvdXJjZS1udW0+PC9yZWNv
cmQ+PC9DaXRlPjwvRW5kTm90ZT4A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169</w:t>
      </w:r>
      <w:r w:rsidR="00BA7CBD">
        <w:fldChar w:fldCharType="end"/>
      </w:r>
    </w:p>
    <w:p w14:paraId="4833A8DB" w14:textId="4C6F51BE" w:rsidR="00D07CF9" w:rsidRDefault="00D07CF9" w:rsidP="0084339C">
      <w:pPr>
        <w:pStyle w:val="bullet"/>
      </w:pPr>
      <w:r>
        <w:t>beneficial effects on levels of triglycerides (</w:t>
      </w:r>
      <w:r w:rsidRPr="00E43F42">
        <w:rPr>
          <w:sz w:val="16"/>
          <w:szCs w:val="16"/>
        </w:rPr>
        <w:t>p=0.04</w:t>
      </w:r>
      <w:r>
        <w:t>), HDL cholesterol (</w:t>
      </w:r>
      <w:r w:rsidRPr="00E43F42">
        <w:rPr>
          <w:sz w:val="16"/>
          <w:szCs w:val="16"/>
        </w:rPr>
        <w:t>p=0.02</w:t>
      </w:r>
      <w:r>
        <w:t>) and glutathione (</w:t>
      </w:r>
      <w:r w:rsidRPr="00E43F42">
        <w:rPr>
          <w:sz w:val="16"/>
          <w:szCs w:val="16"/>
        </w:rPr>
        <w:t>p=0.003</w:t>
      </w:r>
      <w:r>
        <w:t xml:space="preserve">) but not fasting plasma glucose, total cholesterol, LDL cholesterol or total antioxidant capacity among women </w:t>
      </w:r>
      <w:r w:rsidR="00E43F42">
        <w:t>taking</w:t>
      </w:r>
      <w:r>
        <w:t xml:space="preserve"> a multivitamin plus calcium, iron and magnesium compared to those receiving the multivitamin alone (</w:t>
      </w:r>
      <w:r w:rsidRPr="00E43F42">
        <w:rPr>
          <w:sz w:val="16"/>
          <w:szCs w:val="16"/>
        </w:rPr>
        <w:t>n=70</w:t>
      </w:r>
      <w:r>
        <w:t>).</w:t>
      </w:r>
      <w:r w:rsidR="00BA7CBD">
        <w:fldChar w:fldCharType="begin">
          <w:fldData xml:space="preserve">PEVuZE5vdGU+PENpdGU+PEF1dGhvcj5UYWdoaXphZGVoPC9BdXRob3I+PFllYXI+MjAxNTwvWWVh
cj48UmVjTnVtPjE4MjA8L1JlY051bT48RGlzcGxheVRleHQ+PHN0eWxlIGZhY2U9InN1cGVyc2Ny
aXB0IiBmb250PSJUcmVidWNoZXQgTVMiIHNpemU9IjkiPjE3MDwvc3R5bGU+PC9EaXNwbGF5VGV4
dD48cmVjb3JkPjxyZWMtbnVtYmVyPjE4MjA8L3JlYy1udW1iZXI+PGZvcmVpZ24ta2V5cz48a2V5
IGFwcD0iRU4iIGRiLWlkPSJleHZhc3JmeDJkdHJhb2VzYXN4cDJzenN4YTJkZjUwMjU5MngiIHRp
bWVzdGFtcD0iMTU4MzcyNjQ5MiI+MTgyMDwva2V5PjxrZXkgYXBwPSJFTldlYiIgZGItaWQ9IiI+
MDwva2V5PjwvZm9yZWlnbi1rZXlzPjxyZWYtdHlwZSBuYW1lPSJKb3VybmFsIEFydGljbGUiPjE3
PC9yZWYtdHlwZT48Y29udHJpYnV0b3JzPjxhdXRob3JzPjxhdXRob3I+VGFnaGl6YWRlaCwgTS48
L2F1dGhvcj48YXV0aG9yPlNhbWltaSwgTS48L2F1dGhvcj48YXV0aG9yPktvbGFoZG9veiwgRi48
L2F1dGhvcj48YXV0aG9yPlRhYmFzc2ksIFouPC9hdXRob3I+PGF1dGhvcj5KYW1pbGlhbiwgTS48
L2F1dGhvcj48YXV0aG9yPkFzZW1pLCBaLjwvYXV0aG9yPjwvYXV0aG9ycz48L2NvbnRyaWJ1dG9y
cz48YXV0aC1hZGRyZXNzPmEgUmVzZWFyY2ggQ2VudGVyIGZvciBCaW9jaGVtaXN0cnkgYW5kIE51
dHJpdGlvbiBpbiBNZXRhYm9saWMgRGlzZWFzZXMsIEthc2hhbiBVbml2ZXJzaXR5IG9mIE1lZGlj
YWwgU2NpZW5jZXMgLCBLYXNoYW4gLCBJLlIuIElyYW4uJiN4RDtiIERlcGFydG1lbnQgb2YgR3lu
ZWNvbG9neSBhbmQgT2JzdGV0cmljcyAsIFNjaG9vbCBvZiBNZWRpY2luZSwgS2FzaGFuIFVuaXZl
cnNpdHkgb2YgTWVkaWNhbCBTY2llbmNlcyAsIEthc2hhbiAsIEkuUi4gSXJhbi4mI3hEO2MgQWJv
cmlnaW5hbCBhbmQgR2xvYmFsIEhlYWx0aCBSZXNlYXJjaCBHcm91cCwgRGVwYXJ0bWVudCBvZiBN
ZWRpY2luZSAsIFVuaXZlcnNpdHkgb2YgQWxiZXJ0YSAsIEVkbW9udG9uICwgQ2FuYWRhICwgYW5k
LiYjeEQ7ZCBEZXBhcnRtZW50IG9mIEd5bmVjb2xvZ3kgYW5kIE9ic3RldHJpY3MgLCBTY2hvb2wg
b2YgTWVkaWNpbmUsIEFyYWsgVW5pdmVyc2l0eSBvZiBNZWRpY2FsIFNjaWVuY2VzICwgQXJhayAs
IElyYW4uPC9hdXRoLWFkZHJlc3M+PHRpdGxlcz48dGl0bGU+RWZmZWN0IG9mIG11bHRpdml0YW1p
biB2ZXJzdXMgbXVsdGl2aXRhbWluLW1pbmVyYWwgc3VwcGxlbWVudGF0aW9uIG9uIG1ldGFib2xp
YyBwcm9maWxlcyBhbmQgYmlvbWFya2VycyBvZiBveGlkYXRpdmUgc3RyZXNzIGluIHByZWduYW50
IHdvbWVuOiBhIGRvdWJsZS1ibGluZCByYW5kb21pemVkIGNsaW5pY2FsIHRyaWFsPC90aXRsZT48
c2Vjb25kYXJ5LXRpdGxlPkogTWF0ZXJuIEZldGFsIE5lb25hdGFsIE1lZDwvc2Vjb25kYXJ5LXRp
dGxlPjwvdGl0bGVzPjxwZXJpb2RpY2FsPjxmdWxsLXRpdGxlPkogTWF0ZXJuIEZldGFsIE5lb25h
dGFsIE1lZDwvZnVsbC10aXRsZT48L3BlcmlvZGljYWw+PHBhZ2VzPjEzMzYtMTM0MjwvcGFnZXM+
PHZvbHVtZT4yODwvdm9sdW1lPjxudW1iZXI+MTE8L251bWJlcj48ZWRpdGlvbj4yMDE0LzA4LzE1
PC9lZGl0aW9uPjxrZXl3b3Jkcz48a2V5d29yZD5NZXRhYm9saWMgcHJvZmlsZXM8L2tleXdvcmQ+
PGtleXdvcmQ+bWljcm9udXRyaWVudDwva2V5d29yZD48a2V5d29yZD5veGlkYXRpdmUgc3RyZXNz
PC9rZXl3b3JkPjxrZXl3b3JkPnByZWduYW5jeTwva2V5d29yZD48a2V5d29yZD5zdXBwbGVtZW50
YXRpb248L2tleXdvcmQ+PC9rZXl3b3Jkcz48ZGF0ZXM+PHllYXI+MjAxNTwveWVhcj48cHViLWRh
dGVzPjxkYXRlPkp1bDwvZGF0ZT48L3B1Yi1kYXRlcz48L2RhdGVzPjxpc2JuPjE0NzYtNDk1NCAo
RWxlY3Ryb25pYykmI3hEOzE0NzYtNDk1NCAoTGlua2luZyk8L2lzYm4+PGFjY2Vzc2lvbi1udW0+
MjUxMTUxNjQ8L2FjY2Vzc2lvbi1udW0+PHVybHM+PHJlbGF0ZWQtdXJscz48dXJsPmh0dHBzOi8v
d3d3Lm5jYmkubmxtLm5paC5nb3YvcHVibWVkLzI1MTE1MTY0PC91cmw+PC9yZWxhdGVkLXVybHM+
PC91cmxzPjxlbGVjdHJvbmljLXJlc291cmNlLW51bT4xMC4zMTA5LzE0NzY3MDU4LjIwMTQuOTU0
MjQxPC9lbGVjdHJvbmljLXJlc291cmNlLW51bT48L3JlY29yZD48L0NpdGU+PC9FbmROb3RlPn==
</w:fldData>
        </w:fldChar>
      </w:r>
      <w:r w:rsidR="002747EA">
        <w:instrText xml:space="preserve"> ADDIN EN.CITE </w:instrText>
      </w:r>
      <w:r w:rsidR="002747EA">
        <w:fldChar w:fldCharType="begin">
          <w:fldData xml:space="preserve">PEVuZE5vdGU+PENpdGU+PEF1dGhvcj5UYWdoaXphZGVoPC9BdXRob3I+PFllYXI+MjAxNTwvWWVh
cj48UmVjTnVtPjE4MjA8L1JlY051bT48RGlzcGxheVRleHQ+PHN0eWxlIGZhY2U9InN1cGVyc2Ny
aXB0IiBmb250PSJUcmVidWNoZXQgTVMiIHNpemU9IjkiPjE3MDwvc3R5bGU+PC9EaXNwbGF5VGV4
dD48cmVjb3JkPjxyZWMtbnVtYmVyPjE4MjA8L3JlYy1udW1iZXI+PGZvcmVpZ24ta2V5cz48a2V5
IGFwcD0iRU4iIGRiLWlkPSJleHZhc3JmeDJkdHJhb2VzYXN4cDJzenN4YTJkZjUwMjU5MngiIHRp
bWVzdGFtcD0iMTU4MzcyNjQ5MiI+MTgyMDwva2V5PjxrZXkgYXBwPSJFTldlYiIgZGItaWQ9IiI+
MDwva2V5PjwvZm9yZWlnbi1rZXlzPjxyZWYtdHlwZSBuYW1lPSJKb3VybmFsIEFydGljbGUiPjE3
PC9yZWYtdHlwZT48Y29udHJpYnV0b3JzPjxhdXRob3JzPjxhdXRob3I+VGFnaGl6YWRlaCwgTS48
L2F1dGhvcj48YXV0aG9yPlNhbWltaSwgTS48L2F1dGhvcj48YXV0aG9yPktvbGFoZG9veiwgRi48
L2F1dGhvcj48YXV0aG9yPlRhYmFzc2ksIFouPC9hdXRob3I+PGF1dGhvcj5KYW1pbGlhbiwgTS48
L2F1dGhvcj48YXV0aG9yPkFzZW1pLCBaLjwvYXV0aG9yPjwvYXV0aG9ycz48L2NvbnRyaWJ1dG9y
cz48YXV0aC1hZGRyZXNzPmEgUmVzZWFyY2ggQ2VudGVyIGZvciBCaW9jaGVtaXN0cnkgYW5kIE51
dHJpdGlvbiBpbiBNZXRhYm9saWMgRGlzZWFzZXMsIEthc2hhbiBVbml2ZXJzaXR5IG9mIE1lZGlj
YWwgU2NpZW5jZXMgLCBLYXNoYW4gLCBJLlIuIElyYW4uJiN4RDtiIERlcGFydG1lbnQgb2YgR3lu
ZWNvbG9neSBhbmQgT2JzdGV0cmljcyAsIFNjaG9vbCBvZiBNZWRpY2luZSwgS2FzaGFuIFVuaXZl
cnNpdHkgb2YgTWVkaWNhbCBTY2llbmNlcyAsIEthc2hhbiAsIEkuUi4gSXJhbi4mI3hEO2MgQWJv
cmlnaW5hbCBhbmQgR2xvYmFsIEhlYWx0aCBSZXNlYXJjaCBHcm91cCwgRGVwYXJ0bWVudCBvZiBN
ZWRpY2luZSAsIFVuaXZlcnNpdHkgb2YgQWxiZXJ0YSAsIEVkbW9udG9uICwgQ2FuYWRhICwgYW5k
LiYjeEQ7ZCBEZXBhcnRtZW50IG9mIEd5bmVjb2xvZ3kgYW5kIE9ic3RldHJpY3MgLCBTY2hvb2wg
b2YgTWVkaWNpbmUsIEFyYWsgVW5pdmVyc2l0eSBvZiBNZWRpY2FsIFNjaWVuY2VzICwgQXJhayAs
IElyYW4uPC9hdXRoLWFkZHJlc3M+PHRpdGxlcz48dGl0bGU+RWZmZWN0IG9mIG11bHRpdml0YW1p
biB2ZXJzdXMgbXVsdGl2aXRhbWluLW1pbmVyYWwgc3VwcGxlbWVudGF0aW9uIG9uIG1ldGFib2xp
YyBwcm9maWxlcyBhbmQgYmlvbWFya2VycyBvZiBveGlkYXRpdmUgc3RyZXNzIGluIHByZWduYW50
IHdvbWVuOiBhIGRvdWJsZS1ibGluZCByYW5kb21pemVkIGNsaW5pY2FsIHRyaWFsPC90aXRsZT48
c2Vjb25kYXJ5LXRpdGxlPkogTWF0ZXJuIEZldGFsIE5lb25hdGFsIE1lZDwvc2Vjb25kYXJ5LXRp
dGxlPjwvdGl0bGVzPjxwZXJpb2RpY2FsPjxmdWxsLXRpdGxlPkogTWF0ZXJuIEZldGFsIE5lb25h
dGFsIE1lZDwvZnVsbC10aXRsZT48L3BlcmlvZGljYWw+PHBhZ2VzPjEzMzYtMTM0MjwvcGFnZXM+
PHZvbHVtZT4yODwvdm9sdW1lPjxudW1iZXI+MTE8L251bWJlcj48ZWRpdGlvbj4yMDE0LzA4LzE1
PC9lZGl0aW9uPjxrZXl3b3Jkcz48a2V5d29yZD5NZXRhYm9saWMgcHJvZmlsZXM8L2tleXdvcmQ+
PGtleXdvcmQ+bWljcm9udXRyaWVudDwva2V5d29yZD48a2V5d29yZD5veGlkYXRpdmUgc3RyZXNz
PC9rZXl3b3JkPjxrZXl3b3JkPnByZWduYW5jeTwva2V5d29yZD48a2V5d29yZD5zdXBwbGVtZW50
YXRpb248L2tleXdvcmQ+PC9rZXl3b3Jkcz48ZGF0ZXM+PHllYXI+MjAxNTwveWVhcj48cHViLWRh
dGVzPjxkYXRlPkp1bDwvZGF0ZT48L3B1Yi1kYXRlcz48L2RhdGVzPjxpc2JuPjE0NzYtNDk1NCAo
RWxlY3Ryb25pYykmI3hEOzE0NzYtNDk1NCAoTGlua2luZyk8L2lzYm4+PGFjY2Vzc2lvbi1udW0+
MjUxMTUxNjQ8L2FjY2Vzc2lvbi1udW0+PHVybHM+PHJlbGF0ZWQtdXJscz48dXJsPmh0dHBzOi8v
d3d3Lm5jYmkubmxtLm5paC5nb3YvcHVibWVkLzI1MTE1MTY0PC91cmw+PC9yZWxhdGVkLXVybHM+
PC91cmxzPjxlbGVjdHJvbmljLXJlc291cmNlLW51bT4xMC4zMTA5LzE0NzY3MDU4LjIwMTQuOTU0
MjQxPC9lbGVjdHJvbmljLXJlc291cmNlLW51bT48L3JlY29yZD48L0NpdGU+PC9FbmROb3RlPn==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170</w:t>
      </w:r>
      <w:r w:rsidR="00BA7CBD">
        <w:fldChar w:fldCharType="end"/>
      </w:r>
    </w:p>
    <w:p w14:paraId="1BDC3591" w14:textId="77777777" w:rsidR="00EF63E3" w:rsidRDefault="00EF63E3" w:rsidP="005675A8">
      <w:pPr>
        <w:pStyle w:val="Heading3"/>
      </w:pPr>
      <w:bookmarkStart w:id="74" w:name="_Toc40956499"/>
      <w:r>
        <w:t>Minerals</w:t>
      </w:r>
      <w:bookmarkEnd w:id="74"/>
    </w:p>
    <w:p w14:paraId="143CC60B" w14:textId="1A0A2C83" w:rsidR="00EF63E3" w:rsidRDefault="00EF63E3" w:rsidP="00EF63E3">
      <w:pPr>
        <w:pStyle w:val="Heading4"/>
      </w:pPr>
      <w:r>
        <w:t>Iron</w:t>
      </w:r>
      <w:r w:rsidR="00BA549B">
        <w:t xml:space="preserve"> supplementation</w:t>
      </w:r>
    </w:p>
    <w:p w14:paraId="5D258AF9" w14:textId="3FB1DCB8" w:rsidR="00647A31" w:rsidRDefault="00647A31" w:rsidP="00DA5FB4">
      <w:pPr>
        <w:pStyle w:val="Heading5"/>
      </w:pPr>
      <w:r>
        <w:t>Background</w:t>
      </w:r>
    </w:p>
    <w:p w14:paraId="76F29BCC" w14:textId="5C33BC97" w:rsidR="00CF46E4" w:rsidRPr="00CF46E4" w:rsidRDefault="003B01B1" w:rsidP="00CF46E4">
      <w:r>
        <w:t>Australian</w:t>
      </w:r>
      <w:r w:rsidR="00CF46E4">
        <w:t xml:space="preserve"> studies have investigated rates of iron supplementation</w:t>
      </w:r>
      <w:r>
        <w:t>, intake and anaemia</w:t>
      </w:r>
      <w:r w:rsidR="00CF46E4">
        <w:t xml:space="preserve"> among Australian women during pregnancy.</w:t>
      </w:r>
    </w:p>
    <w:p w14:paraId="256D552A" w14:textId="3477DCB5" w:rsidR="00647A31" w:rsidRDefault="00647A31" w:rsidP="00CF46E4">
      <w:pPr>
        <w:pStyle w:val="bullet"/>
      </w:pPr>
      <w:r>
        <w:t>A survey of pregnant women conducted in Sydney found that 30.4% were taking an iron 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2BC87150" w14:textId="429D0CFE" w:rsidR="0045378A" w:rsidRDefault="0045378A" w:rsidP="0045378A">
      <w:pPr>
        <w:pStyle w:val="bullet"/>
      </w:pPr>
      <w:r>
        <w:t>A cross-sectional study in Sydney (</w:t>
      </w:r>
      <w:r w:rsidRPr="00BD4DFF">
        <w:rPr>
          <w:sz w:val="16"/>
          <w:szCs w:val="16"/>
        </w:rPr>
        <w:t>n=589</w:t>
      </w:r>
      <w:r>
        <w:t>)</w:t>
      </w:r>
      <w:r w:rsidR="00201490">
        <w:fldChar w:fldCharType="begin">
          <w:fldData xml:space="preserve">PEVuZE5vdGU+PENpdGU+PEF1dGhvcj5DaGF0dGVyamVlPC9BdXRob3I+PFllYXI+MjAxNjwvWWVh
cj48UmVjTnVtPjE2MjU8L1JlY051bT48RGlzcGxheVRleHQ+PHN0eWxlIGZhY2U9InN1cGVyc2Ny
aXB0IiBmb250PSJUcmVidWNoZXQgTVMiIHNpemU9IjkiPjE3MTwvc3R5bGU+PC9EaXNwbGF5VGV4
dD48cmVjb3JkPjxyZWMtbnVtYmVyPjE2MjU8L3JlYy1udW1iZXI+PGZvcmVpZ24ta2V5cz48a2V5
IGFwcD0iRU4iIGRiLWlkPSJleHZhc3JmeDJkdHJhb2VzYXN4cDJzenN4YTJkZjUwMjU5MngiIHRp
bWVzdGFtcD0iMTU3NjczNDMwNiI+MTYyNTwva2V5PjxrZXkgYXBwPSJFTldlYiIgZGItaWQ9IiI+
MDwva2V5PjwvZm9yZWlnbi1rZXlzPjxyZWYtdHlwZSBuYW1lPSJKb3VybmFsIEFydGljbGUiPjE3
PC9yZWYtdHlwZT48Y29udHJpYnV0b3JzPjxhdXRob3JzPjxhdXRob3I+Q2hhdHRlcmplZSwgUi48
L2F1dGhvcj48YXV0aG9yPlNoYW5kLCBBLjwvYXV0aG9yPjxhdXRob3I+TmFzc2FyLCBOLjwvYXV0
aG9yPjxhdXRob3I+V2FsbHMsIE0uPC9hdXRob3I+PGF1dGhvcj5LaGFtYmFsaWEsIEEuIFouPC9h
dXRob3I+PC9hdXRob3JzPjwvY29udHJpYnV0b3JzPjxhdXRoLWFkZHJlc3M+Q2xpbmljYWwgYW5k
IFBvcHVsYXRpb24gUGVyaW5hdGFsIFJlc2VhcmNoLCBLb2xsaW5nIEluc3RpdHV0ZSwgVW5pdmVy
c2l0eSBvZiBTeWRuZXksIE5TVywgQXVzdHJhbGlhLiYjeEQ7Q2xpbmljYWwgYW5kIFBvcHVsYXRp
b24gUGVyaW5hdGFsIFJlc2VhcmNoLCBLb2xsaW5nIEluc3RpdHV0ZSwgVW5pdmVyc2l0eSBvZiBT
eWRuZXksIE5TVywgQXVzdHJhbGlhOyBEZXBhcnRtZW50IG9mIE9ic3RldHJpY3MgYW5kIEd5bmVj
b2xvZ3ksIFJveWFsIEhvc3BpdGFsIGZvciBXb21lbiwgUmFuZHdpY2ssIE5TVywgQXVzdHJhbGlh
LiYjeEQ7RGVwYXJ0bWVudCBvZiBPYnN0ZXRyaWNzIGFuZCBHeW5lY29sb2d5LCBSb3lhbCBIb3Nw
aXRhbCBmb3IgV29tZW4sIFJhbmR3aWNrLCBOU1csIEF1c3RyYWxpYS4mI3hEO0NsaW5pY2FsIGFu
ZCBQb3B1bGF0aW9uIFBlcmluYXRhbCBSZXNlYXJjaCwgS29sbGluZyBJbnN0aXR1dGUsIFVuaXZl
cnNpdHkgb2YgU3lkbmV5LCBOU1csIEF1c3RyYWxpYS4gRWxlY3Ryb25pYyBhZGRyZXNzOiBhbWlu
YS5raGFtYmFsaWFAc3lkbmV5LmVkdS5hdS48L2F1dGgtYWRkcmVzcz48dGl0bGVzPjx0aXRsZT5J
cm9uIHN1cHBsZW1lbnQgdXNlIGluIHByZWduYW5jeSAtIEFyZSB0aGUgcmlnaHQgd29tZW4gdGFr
aW5nIHRoZSByaWdodCBhbW91bnQ/PC90aXRsZT48c2Vjb25kYXJ5LXRpdGxlPkNsaW4gTnV0cjwv
c2Vjb25kYXJ5LXRpdGxlPjwvdGl0bGVzPjxwZXJpb2RpY2FsPjxmdWxsLXRpdGxlPkNsaW4gTnV0
cjwvZnVsbC10aXRsZT48L3BlcmlvZGljYWw+PHBhZ2VzPjc0MS03PC9wYWdlcz48dm9sdW1lPjM1
PC92b2x1bWU+PG51bWJlcj4zPC9udW1iZXI+PGVkaXRpb24+MjAxNS8wNi8xNDwvZWRpdGlvbj48
a2V5d29yZHM+PGtleXdvcmQ+QWR1bHQ8L2tleXdvcmQ+PGtleXdvcmQ+QW5lbWlhLCBJcm9uLURl
ZmljaWVuY3kvZGlldCB0aGVyYXB5L2VwaWRlbWlvbG9neS8qcHJldmVudGlvbiAmYW1wOyBjb250
cm9sPC9rZXl3b3JkPjxrZXl3b3JkPkF2aXRhbWlub3Npcy9lcGlkZW1pb2xvZ3kvcHJldmVudGlv
biAmYW1wOyBjb250cm9sPC9rZXl3b3JkPjxrZXl3b3JkPkNyb3NzLVNlY3Rpb25hbCBTdHVkaWVz
PC9rZXl3b3JkPjxrZXl3b3JkPipEaWV0YXJ5IFN1cHBsZW1lbnRzL2FkdmVyc2UgZWZmZWN0czwv
a2V5d29yZD48a2V5d29yZD5GZW1hbGU8L2tleXdvcmQ+PGtleXdvcmQ+SHVtYW5zPC9rZXl3b3Jk
PjxrZXl3b3JkPklyb24sIERpZXRhcnkvYWRtaW5pc3RyYXRpb24gJmFtcDsgZG9zYWdlL2FkdmVy
c2UgZWZmZWN0cy8qdGhlcmFwZXV0aWMgdXNlPC9rZXl3b3JkPjxrZXl3b3JkPipNYXRlcm5hbCBO
dXRyaXRpb25hbCBQaHlzaW9sb2dpY2FsIFBoZW5vbWVuYTwva2V5d29yZD48a2V5d29yZD5OZXcg
U291dGggV2FsZXMvZXBpZGVtaW9sb2d5PC9rZXl3b3JkPjxrZXl3b3JkPk51dHJpdGlvbiBTdXJ2
ZXlzPC9rZXl3b3JkPjxrZXl3b3JkPipOdXRyaXRpb25hbCBTdGF0dXM8L2tleXdvcmQ+PGtleXdv
cmQ+T3V0cGF0aWVudCBDbGluaWNzLCBIb3NwaXRhbDwva2V5d29yZD48a2V5d29yZD4qUGF0aWVu
dCBDb21wbGlhbmNlPC9rZXl3b3JkPjxrZXl3b3JkPlByZWduYW5jeTwva2V5d29yZD48a2V5d29y
ZD5QcmVnbmFuY3kgQ29tcGxpY2F0aW9ucy9kaWV0IHRoZXJhcHkvZXBpZGVtaW9sb2d5LypwcmV2
ZW50aW9uICZhbXA7IGNvbnRyb2w8L2tleXdvcmQ+PGtleXdvcmQ+UHJlbmF0YWwgQ2FyZTwva2V5
d29yZD48a2V5d29yZD5QcmV2YWxlbmNlPC9rZXl3b3JkPjxrZXl3b3JkPlJpc2sgRmFjdG9yczwv
a2V5d29yZD48a2V5d29yZD5UZXJ0aWFyeSBDYXJlIENlbnRlcnM8L2tleXdvcmQ+PGtleXdvcmQ+
Vml0YW1pbnMvdGhlcmFwZXV0aWMgdXNlPC9rZXl3b3JkPjxrZXl3b3JkPllvdW5nIEFkdWx0PC9r
ZXl3b3JkPjxrZXl3b3JkPipJcm9uPC9rZXl3b3JkPjxrZXl3b3JkPipJcm9uIGRlZmljaWVuY3k8
L2tleXdvcmQ+PGtleXdvcmQ+KlByZWduYW5jeTwva2V5d29yZD48a2V5d29yZD4qU3VwcGxlbWVu
dDwva2V5d29yZD48L2tleXdvcmRzPjxkYXRlcz48eWVhcj4yMDE2PC95ZWFyPjxwdWItZGF0ZXM+
PGRhdGU+SnVuPC9kYXRlPjwvcHViLWRhdGVzPjwvZGF0ZXM+PGlzYm4+MTUzMi0xOTgzIChFbGVj
dHJvbmljKSYjeEQ7MDI2MS01NjE0IChMaW5raW5nKTwvaXNibj48YWNjZXNzaW9uLW51bT4yNjA3
MDYzMDwvYWNjZXNzaW9uLW51bT48dXJscz48cmVsYXRlZC11cmxzPjx1cmw+aHR0cHM6Ly93d3cu
bmNiaS5ubG0ubmloLmdvdi9wdWJtZWQvMjYwNzA2MzA8L3VybD48L3JlbGF0ZWQtdXJscz48L3Vy
bHM+PGVsZWN0cm9uaWMtcmVzb3VyY2UtbnVtPjEwLjEwMTYvai5jbG51LjIwMTUuMDUuMDE0PC9l
bGVjdHJvbmljLXJlc291cmNlLW51bT48L3JlY29yZD48L0NpdGU+PC9FbmROb3RlPgB=
</w:fldData>
        </w:fldChar>
      </w:r>
      <w:r w:rsidR="002747EA">
        <w:instrText xml:space="preserve"> ADDIN EN.CITE </w:instrText>
      </w:r>
      <w:r w:rsidR="002747EA">
        <w:fldChar w:fldCharType="begin">
          <w:fldData xml:space="preserve">PEVuZE5vdGU+PENpdGU+PEF1dGhvcj5DaGF0dGVyamVlPC9BdXRob3I+PFllYXI+MjAxNjwvWWVh
cj48UmVjTnVtPjE2MjU8L1JlY051bT48RGlzcGxheVRleHQ+PHN0eWxlIGZhY2U9InN1cGVyc2Ny
aXB0IiBmb250PSJUcmVidWNoZXQgTVMiIHNpemU9IjkiPjE3MTwvc3R5bGU+PC9EaXNwbGF5VGV4
dD48cmVjb3JkPjxyZWMtbnVtYmVyPjE2MjU8L3JlYy1udW1iZXI+PGZvcmVpZ24ta2V5cz48a2V5
IGFwcD0iRU4iIGRiLWlkPSJleHZhc3JmeDJkdHJhb2VzYXN4cDJzenN4YTJkZjUwMjU5MngiIHRp
bWVzdGFtcD0iMTU3NjczNDMwNiI+MTYyNTwva2V5PjxrZXkgYXBwPSJFTldlYiIgZGItaWQ9IiI+
MDwva2V5PjwvZm9yZWlnbi1rZXlzPjxyZWYtdHlwZSBuYW1lPSJKb3VybmFsIEFydGljbGUiPjE3
PC9yZWYtdHlwZT48Y29udHJpYnV0b3JzPjxhdXRob3JzPjxhdXRob3I+Q2hhdHRlcmplZSwgUi48
L2F1dGhvcj48YXV0aG9yPlNoYW5kLCBBLjwvYXV0aG9yPjxhdXRob3I+TmFzc2FyLCBOLjwvYXV0
aG9yPjxhdXRob3I+V2FsbHMsIE0uPC9hdXRob3I+PGF1dGhvcj5LaGFtYmFsaWEsIEEuIFouPC9h
dXRob3I+PC9hdXRob3JzPjwvY29udHJpYnV0b3JzPjxhdXRoLWFkZHJlc3M+Q2xpbmljYWwgYW5k
IFBvcHVsYXRpb24gUGVyaW5hdGFsIFJlc2VhcmNoLCBLb2xsaW5nIEluc3RpdHV0ZSwgVW5pdmVy
c2l0eSBvZiBTeWRuZXksIE5TVywgQXVzdHJhbGlhLiYjeEQ7Q2xpbmljYWwgYW5kIFBvcHVsYXRp
b24gUGVyaW5hdGFsIFJlc2VhcmNoLCBLb2xsaW5nIEluc3RpdHV0ZSwgVW5pdmVyc2l0eSBvZiBT
eWRuZXksIE5TVywgQXVzdHJhbGlhOyBEZXBhcnRtZW50IG9mIE9ic3RldHJpY3MgYW5kIEd5bmVj
b2xvZ3ksIFJveWFsIEhvc3BpdGFsIGZvciBXb21lbiwgUmFuZHdpY2ssIE5TVywgQXVzdHJhbGlh
LiYjeEQ7RGVwYXJ0bWVudCBvZiBPYnN0ZXRyaWNzIGFuZCBHeW5lY29sb2d5LCBSb3lhbCBIb3Nw
aXRhbCBmb3IgV29tZW4sIFJhbmR3aWNrLCBOU1csIEF1c3RyYWxpYS4mI3hEO0NsaW5pY2FsIGFu
ZCBQb3B1bGF0aW9uIFBlcmluYXRhbCBSZXNlYXJjaCwgS29sbGluZyBJbnN0aXR1dGUsIFVuaXZl
cnNpdHkgb2YgU3lkbmV5LCBOU1csIEF1c3RyYWxpYS4gRWxlY3Ryb25pYyBhZGRyZXNzOiBhbWlu
YS5raGFtYmFsaWFAc3lkbmV5LmVkdS5hdS48L2F1dGgtYWRkcmVzcz48dGl0bGVzPjx0aXRsZT5J
cm9uIHN1cHBsZW1lbnQgdXNlIGluIHByZWduYW5jeSAtIEFyZSB0aGUgcmlnaHQgd29tZW4gdGFr
aW5nIHRoZSByaWdodCBhbW91bnQ/PC90aXRsZT48c2Vjb25kYXJ5LXRpdGxlPkNsaW4gTnV0cjwv
c2Vjb25kYXJ5LXRpdGxlPjwvdGl0bGVzPjxwZXJpb2RpY2FsPjxmdWxsLXRpdGxlPkNsaW4gTnV0
cjwvZnVsbC10aXRsZT48L3BlcmlvZGljYWw+PHBhZ2VzPjc0MS03PC9wYWdlcz48dm9sdW1lPjM1
PC92b2x1bWU+PG51bWJlcj4zPC9udW1iZXI+PGVkaXRpb24+MjAxNS8wNi8xNDwvZWRpdGlvbj48
a2V5d29yZHM+PGtleXdvcmQ+QWR1bHQ8L2tleXdvcmQ+PGtleXdvcmQ+QW5lbWlhLCBJcm9uLURl
ZmljaWVuY3kvZGlldCB0aGVyYXB5L2VwaWRlbWlvbG9neS8qcHJldmVudGlvbiAmYW1wOyBjb250
cm9sPC9rZXl3b3JkPjxrZXl3b3JkPkF2aXRhbWlub3Npcy9lcGlkZW1pb2xvZ3kvcHJldmVudGlv
biAmYW1wOyBjb250cm9sPC9rZXl3b3JkPjxrZXl3b3JkPkNyb3NzLVNlY3Rpb25hbCBTdHVkaWVz
PC9rZXl3b3JkPjxrZXl3b3JkPipEaWV0YXJ5IFN1cHBsZW1lbnRzL2FkdmVyc2UgZWZmZWN0czwv
a2V5d29yZD48a2V5d29yZD5GZW1hbGU8L2tleXdvcmQ+PGtleXdvcmQ+SHVtYW5zPC9rZXl3b3Jk
PjxrZXl3b3JkPklyb24sIERpZXRhcnkvYWRtaW5pc3RyYXRpb24gJmFtcDsgZG9zYWdlL2FkdmVy
c2UgZWZmZWN0cy8qdGhlcmFwZXV0aWMgdXNlPC9rZXl3b3JkPjxrZXl3b3JkPipNYXRlcm5hbCBO
dXRyaXRpb25hbCBQaHlzaW9sb2dpY2FsIFBoZW5vbWVuYTwva2V5d29yZD48a2V5d29yZD5OZXcg
U291dGggV2FsZXMvZXBpZGVtaW9sb2d5PC9rZXl3b3JkPjxrZXl3b3JkPk51dHJpdGlvbiBTdXJ2
ZXlzPC9rZXl3b3JkPjxrZXl3b3JkPipOdXRyaXRpb25hbCBTdGF0dXM8L2tleXdvcmQ+PGtleXdv
cmQ+T3V0cGF0aWVudCBDbGluaWNzLCBIb3NwaXRhbDwva2V5d29yZD48a2V5d29yZD4qUGF0aWVu
dCBDb21wbGlhbmNlPC9rZXl3b3JkPjxrZXl3b3JkPlByZWduYW5jeTwva2V5d29yZD48a2V5d29y
ZD5QcmVnbmFuY3kgQ29tcGxpY2F0aW9ucy9kaWV0IHRoZXJhcHkvZXBpZGVtaW9sb2d5LypwcmV2
ZW50aW9uICZhbXA7IGNvbnRyb2w8L2tleXdvcmQ+PGtleXdvcmQ+UHJlbmF0YWwgQ2FyZTwva2V5
d29yZD48a2V5d29yZD5QcmV2YWxlbmNlPC9rZXl3b3JkPjxrZXl3b3JkPlJpc2sgRmFjdG9yczwv
a2V5d29yZD48a2V5d29yZD5UZXJ0aWFyeSBDYXJlIENlbnRlcnM8L2tleXdvcmQ+PGtleXdvcmQ+
Vml0YW1pbnMvdGhlcmFwZXV0aWMgdXNlPC9rZXl3b3JkPjxrZXl3b3JkPllvdW5nIEFkdWx0PC9r
ZXl3b3JkPjxrZXl3b3JkPipJcm9uPC9rZXl3b3JkPjxrZXl3b3JkPipJcm9uIGRlZmljaWVuY3k8
L2tleXdvcmQ+PGtleXdvcmQ+KlByZWduYW5jeTwva2V5d29yZD48a2V5d29yZD4qU3VwcGxlbWVu
dDwva2V5d29yZD48L2tleXdvcmRzPjxkYXRlcz48eWVhcj4yMDE2PC95ZWFyPjxwdWItZGF0ZXM+
PGRhdGU+SnVuPC9kYXRlPjwvcHViLWRhdGVzPjwvZGF0ZXM+PGlzYm4+MTUzMi0xOTgzIChFbGVj
dHJvbmljKSYjeEQ7MDI2MS01NjE0IChMaW5raW5nKTwvaXNibj48YWNjZXNzaW9uLW51bT4yNjA3
MDYzMDwvYWNjZXNzaW9uLW51bT48dXJscz48cmVsYXRlZC11cmxzPjx1cmw+aHR0cHM6Ly93d3cu
bmNiaS5ubG0ubmloLmdvdi9wdWJtZWQvMjYwNzA2MzA8L3VybD48L3JlbGF0ZWQtdXJscz48L3Vy
bHM+PGVsZWN0cm9uaWMtcmVzb3VyY2UtbnVtPjEwLjEwMTYvai5jbG51LjIwMTUuMDUuMDE0PC9l
bGVjdHJvbmljLXJlc291cmNlLW51bT48L3JlY29yZD48L0NpdGU+PC9FbmROb3RlPgB=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171</w:t>
      </w:r>
      <w:r w:rsidR="00201490">
        <w:fldChar w:fldCharType="end"/>
      </w:r>
      <w:r>
        <w:t xml:space="preserve"> found that o</w:t>
      </w:r>
      <w:r w:rsidRPr="0045378A">
        <w:t>verall iron-containing supplement use was 88.0%, of w</w:t>
      </w:r>
      <w:r w:rsidR="00BD4DFF">
        <w:t>hich 70.1% was multivitamin</w:t>
      </w:r>
      <w:r w:rsidRPr="0045378A">
        <w:t xml:space="preserve"> only, 7.2% was iron-only and 22.2% was both. About 65% of women diagnosed with </w:t>
      </w:r>
      <w:r w:rsidR="00CF46E4">
        <w:t>iron deficiency</w:t>
      </w:r>
      <w:r w:rsidRPr="0045378A">
        <w:t>, and 62.3% of women diagnosed with anaemia were taking an iron-only supplement, with or without a</w:t>
      </w:r>
      <w:r w:rsidR="00CF46E4">
        <w:t xml:space="preserve"> multivitamin</w:t>
      </w:r>
      <w:r w:rsidRPr="0045378A">
        <w:t>. The proportion of women consuming low (&lt;30), preventative (30-99) and treatment (</w:t>
      </w:r>
      <w:r w:rsidR="00BD4DFF">
        <w:t>≥</w:t>
      </w:r>
      <w:r w:rsidRPr="0045378A">
        <w:t xml:space="preserve">100) mg/day doses were 36.8%, 45.4%, and 17.8%, respectively. Only 46.7% of women diagnosed with </w:t>
      </w:r>
      <w:r w:rsidR="00BD4DFF">
        <w:t>iron deficiency</w:t>
      </w:r>
      <w:r w:rsidRPr="0045378A">
        <w:t xml:space="preserve"> were taking </w:t>
      </w:r>
      <w:r w:rsidR="00BD4DFF">
        <w:t>≥</w:t>
      </w:r>
      <w:r w:rsidRPr="0045378A">
        <w:t xml:space="preserve">100 mg/day iron from supplements, while 23.3% were taking &lt;30 mg/day. </w:t>
      </w:r>
    </w:p>
    <w:p w14:paraId="0AA7D16C" w14:textId="5E77CCC4" w:rsidR="007D2EA4" w:rsidRDefault="007D2EA4" w:rsidP="0045378A">
      <w:pPr>
        <w:pStyle w:val="bullet"/>
      </w:pPr>
      <w:r>
        <w:t>In an Australian cohort study</w:t>
      </w:r>
      <w:r w:rsidR="00BA7CBD">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 </w:instrText>
      </w:r>
      <w:r w:rsidR="002747EA">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117</w:t>
      </w:r>
      <w:r w:rsidR="00BA7CBD">
        <w:fldChar w:fldCharType="end"/>
      </w:r>
      <w:r>
        <w:t xml:space="preserve"> 68-82% of women did not meet the</w:t>
      </w:r>
      <w:r w:rsidRPr="00737BD8">
        <w:t xml:space="preserve"> recommended daily intake level</w:t>
      </w:r>
      <w:r>
        <w:t xml:space="preserve"> for iron</w:t>
      </w:r>
      <w:r w:rsidRPr="00737BD8">
        <w:t xml:space="preserve">. Conversely, </w:t>
      </w:r>
      <w:r>
        <w:t>11-24</w:t>
      </w:r>
      <w:r w:rsidRPr="00737BD8">
        <w:t xml:space="preserve">% of women consumed beyond the recommended upper limit for </w:t>
      </w:r>
      <w:r>
        <w:t>iron</w:t>
      </w:r>
      <w:r w:rsidRPr="00737BD8">
        <w:t>.</w:t>
      </w:r>
    </w:p>
    <w:p w14:paraId="6F40F500" w14:textId="1EF178C0" w:rsidR="00EF0934" w:rsidRDefault="00EF0934" w:rsidP="0045378A">
      <w:pPr>
        <w:pStyle w:val="bullet"/>
      </w:pPr>
      <w:r>
        <w:t>A study p</w:t>
      </w:r>
      <w:r w:rsidRPr="00D048E2">
        <w:t>regnant women from the Gomeroi gaaynggal cohort</w:t>
      </w:r>
      <w:r>
        <w:t xml:space="preserve"> (in Tamworth, Newcastle and Walgett NSW) found that only 1.72% of women met the estimated average r</w:t>
      </w:r>
      <w:r w:rsidR="00BD4DFF">
        <w:t>e</w:t>
      </w:r>
      <w:r>
        <w:t>quirement for iron.</w:t>
      </w:r>
      <w:r>
        <w:fldChar w:fldCharType="begin">
          <w:fldData xml:space="preserve">PEVuZE5vdGU+PENpdGU+PEF1dGhvcj5MZWU8L0F1dGhvcj48WWVhcj4yMDE4PC9ZZWFyPjxSZWNO
dW0+MTMyMTwvUmVjTnVtPjxEaXNwbGF5VGV4dD48c3R5bGUgZmFjZT0ic3VwZXJzY3JpcHQiIGZv
bnQ9IlRyZWJ1Y2hldCBNUyIgc2l6ZT0iOSI+MTcyPC9zdHlsZT48L0Rpc3BsYXlUZXh0PjxyZWNv
cmQ+PHJlYy1udW1iZXI+MTMyMTwvcmVjLW51bWJlcj48Zm9yZWlnbi1rZXlzPjxrZXkgYXBwPSJF
TiIgZGItaWQ9ImV4dmFzcmZ4MmR0cmFvZXNhc3hwMnN6c3hhMmRmNTAyNTkyeCIgdGltZXN0YW1w
PSIxNTY2Nzk4MjY3Ij4xMzIxPC9rZXk+PGtleSBhcHA9IkVOV2ViIiBkYi1pZD0iIj4wPC9rZXk+
PC9mb3JlaWduLWtleXM+PHJlZi10eXBlIG5hbWU9IkpvdXJuYWwgQXJ0aWNsZSI+MTc8L3JlZi10
eXBlPjxjb250cmlidXRvcnM+PGF1dGhvcnM+PGF1dGhvcj5MZWUsIFkuIFEuPC9hdXRob3I+PGF1
dGhvcj5Db2xsaW5zLCBDLiBFLjwvYXV0aG9yPjxhdXRob3I+U2NodW1hY2hlciwgVC4gTC48L2F1
dGhvcj48YXV0aG9yPldlYXRoZXJhbGwsIEwuIEouPC9hdXRob3I+PGF1dGhvcj5LZW9naCwgTC48
L2F1dGhvcj48YXV0aG9yPlN1dGhlcmxhbmQsIEsuPC9hdXRob3I+PGF1dGhvcj5Hb3Jkb24sIEEu
PC9hdXRob3I+PGF1dGhvcj5SYWUsIEsuIE0uPC9hdXRob3I+PGF1dGhvcj5QcmluZ2xlLCBLLiBH
LjwvYXV0aG9yPjwvYXV0aG9ycz48L2NvbnRyaWJ1dG9ycz48YXV0aC1hZGRyZXNzPlByaW9yaXR5
IFJlc2VhcmNoIENlbnRyZSBmb3IgUmVwcm9kdWN0aXZlIFNjaWVuY2VzLCBVbml2ZXJzaXR5IG9m
IE5ld2Nhc3RsZSwgTmV3Y2FzdGxlLCBOU1csIEF1c3RyYWxpYS4mI3hEO1NjaG9vbCBvZiBCaW9t
ZWRpY2FsIFNjaWVuY2VzIGFuZCBQaGFybWFjeSwgRmFjdWx0eSBvZiBIZWFsdGggYW5kIE1lZGlj
aW5lLCBVbml2ZXJzaXR5IG9mIE5ld2Nhc3RsZSwgTmV3Y2FzdGxlLCBOU1csIEF1c3RyYWxpYS4m
I3hEO1ByaW9yaXR5IFJlc2VhcmNoIENlbnRyZSBmb3IgUGh5c2ljYWwgQWN0aXZpdHkgYW5kIE51
dHJpdGlvbiwgVW5pdmVyc2l0eSBvZiBOZXdjYXN0bGUsIE5ld2Nhc3RsZSwgTlNXLCBBdXN0cmFs
aWEuJiN4RDtTY2hvb2wgb2YgSGVhbHRoIFNjaWVuY2VzLCBGYWN1bHR5IG9mIEhlYWx0aCBhbmQg
TWVkaWNpbmUsIFVuaXZlcnNpdHkgb2YgTmV3Y2FzdGxlLCBOZXdjYXN0bGUsIE5TVywgQXVzdHJh
bGlhLiYjeEQ7R29tZXJvaSBnYWF5bmdnYWwgQ2VudHJlLCBGYWN1bHR5IG9mIEhlYWx0aCBhbmQg
TWVkaWNpbmUsIFVuaXZlcnNpdHkgb2YgTmV3Y2FzdGxlLCBUYW13b3J0aCwgTlNXLCBBdXN0cmFs
aWEuJiN4RDtTY2hvb2wgb2YgTWVkaWNpbmUgYW5kIFB1YmxpYyBIZWFsdGgsIEZhY3VsdHkgb2Yg
SGVhbHRoIGFuZCBNZWRpY2luZSwgVW5pdmVyc2l0eSBvZiBOZXdjYXN0bGUsIE5ld2Nhc3RsZSwg
TlNXLCBBdXN0cmFsaWEuJiN4RDtEZXBhcnRtZW50IG9mIFJ1cmFsIEhlYWx0aCwgVW5pdmVyc2l0
eSBvZiBOZXdjYXN0bGUsIFRhbXdvcnRoLCBOU1csIEF1c3RyYWxpYS4mI3hEO0NoYXJsZXMgUGVy
a2lucyBDZW50cmUsIFVuaXZlcnNpdHkgb2YgU3lkbmV5LCBBdXN0cmFsaWEuJiN4RDtQcmlvcml0
eSBSZXNlYXJjaCBDZW50cmUgZm9yIEdlbmVyYXRpb25hbCBIZWFsdGggYW5kIEFnZWluZywgVW5p
dmVyc2l0eSBvZiBOZXdjYXN0bGUsIE5ld2Nhc3RsZSwgTlNXLCBBdXN0cmFsaWEuPC9hdXRoLWFk
ZHJlc3M+PHRpdGxlcz48dGl0bGU+RGlzcGFyaXRpZXMgZXhpc3QgYmV0d2VlbiB0aGUgZGlldGFy
eSBpbnRha2Ugb2YgSW5kaWdlbm91cyBBdXN0cmFsaWFuIHdvbWVuIGR1cmluZyBwcmVnbmFuY3kg
YW5kIHRoZSBBdXN0cmFsaWFuIGRpZXRhcnkgZ3VpZGVsaW5lczogdGhlIEdvbWVyb2kgZ2FheW5n
Z2FsIHN0dWR5PC90aXRsZT48c2Vjb25kYXJ5LXRpdGxlPkogSHVtIE51dHIgRGlldDwvc2Vjb25k
YXJ5LXRpdGxlPjwvdGl0bGVzPjxwZXJpb2RpY2FsPjxmdWxsLXRpdGxlPkogSHVtIE51dHIgRGll
dDwvZnVsbC10aXRsZT48L3BlcmlvZGljYWw+PHBhZ2VzPjQ3My00ODU8L3BhZ2VzPjx2b2x1bWU+
MzE8L3ZvbHVtZT48bnVtYmVyPjQ8L251bWJlcj48ZWRpdGlvbj4yMDE4LzAzLzI3PC9lZGl0aW9u
PjxrZXl3b3Jkcz48a2V5d29yZD4qSW5kaWdlbm91czwva2V5d29yZD48a2V5d29yZD4qZGlldCBx
dWFsaXR5PC9rZXl3b3JkPjxrZXl3b3JkPiptYXRlcm5hbCBudXRyaXRpb248L2tleXdvcmQ+PGtl
eXdvcmQ+KnByZWduYW5jeSBkaWV0PC9rZXl3b3JkPjwva2V5d29yZHM+PGRhdGVzPjx5ZWFyPjIw
MTg8L3llYXI+PHB1Yi1kYXRlcz48ZGF0ZT5BdWc8L2RhdGU+PC9wdWItZGF0ZXM+PC9kYXRlcz48
aXNibj4xMzY1LTI3N1ggKEVsZWN0cm9uaWMpJiN4RDswOTUyLTM4NzEgKExpbmtpbmcpPC9pc2Ju
PjxhY2Nlc3Npb24tbnVtPjI5NTc4MjYxPC9hY2Nlc3Npb24tbnVtPjx1cmxzPjxyZWxhdGVkLXVy
bHM+PHVybD5odHRwczovL3d3dy5uY2JpLm5sbS5uaWguZ292L3B1Ym1lZC8yOTU3ODI2MTwvdXJs
PjwvcmVsYXRlZC11cmxzPjwvdXJscz48ZWxlY3Ryb25pYy1yZXNvdXJjZS1udW0+MTAuMTExMS9q
aG4uMTI1NTA8L2VsZWN0cm9uaWMtcmVzb3VyY2UtbnVtPjwvcmVjb3JkPjwvQ2l0ZT48L0VuZE5v
dGU+AG==
</w:fldData>
        </w:fldChar>
      </w:r>
      <w:r w:rsidR="002747EA">
        <w:instrText xml:space="preserve"> ADDIN EN.CITE </w:instrText>
      </w:r>
      <w:r w:rsidR="002747EA">
        <w:fldChar w:fldCharType="begin">
          <w:fldData xml:space="preserve">PEVuZE5vdGU+PENpdGU+PEF1dGhvcj5MZWU8L0F1dGhvcj48WWVhcj4yMDE4PC9ZZWFyPjxSZWNO
dW0+MTMyMTwvUmVjTnVtPjxEaXNwbGF5VGV4dD48c3R5bGUgZmFjZT0ic3VwZXJzY3JpcHQiIGZv
bnQ9IlRyZWJ1Y2hldCBNUyIgc2l6ZT0iOSI+MTcyPC9zdHlsZT48L0Rpc3BsYXlUZXh0PjxyZWNv
cmQ+PHJlYy1udW1iZXI+MTMyMTwvcmVjLW51bWJlcj48Zm9yZWlnbi1rZXlzPjxrZXkgYXBwPSJF
TiIgZGItaWQ9ImV4dmFzcmZ4MmR0cmFvZXNhc3hwMnN6c3hhMmRmNTAyNTkyeCIgdGltZXN0YW1w
PSIxNTY2Nzk4MjY3Ij4xMzIxPC9rZXk+PGtleSBhcHA9IkVOV2ViIiBkYi1pZD0iIj4wPC9rZXk+
PC9mb3JlaWduLWtleXM+PHJlZi10eXBlIG5hbWU9IkpvdXJuYWwgQXJ0aWNsZSI+MTc8L3JlZi10
eXBlPjxjb250cmlidXRvcnM+PGF1dGhvcnM+PGF1dGhvcj5MZWUsIFkuIFEuPC9hdXRob3I+PGF1
dGhvcj5Db2xsaW5zLCBDLiBFLjwvYXV0aG9yPjxhdXRob3I+U2NodW1hY2hlciwgVC4gTC48L2F1
dGhvcj48YXV0aG9yPldlYXRoZXJhbGwsIEwuIEouPC9hdXRob3I+PGF1dGhvcj5LZW9naCwgTC48
L2F1dGhvcj48YXV0aG9yPlN1dGhlcmxhbmQsIEsuPC9hdXRob3I+PGF1dGhvcj5Hb3Jkb24sIEEu
PC9hdXRob3I+PGF1dGhvcj5SYWUsIEsuIE0uPC9hdXRob3I+PGF1dGhvcj5QcmluZ2xlLCBLLiBH
LjwvYXV0aG9yPjwvYXV0aG9ycz48L2NvbnRyaWJ1dG9ycz48YXV0aC1hZGRyZXNzPlByaW9yaXR5
IFJlc2VhcmNoIENlbnRyZSBmb3IgUmVwcm9kdWN0aXZlIFNjaWVuY2VzLCBVbml2ZXJzaXR5IG9m
IE5ld2Nhc3RsZSwgTmV3Y2FzdGxlLCBOU1csIEF1c3RyYWxpYS4mI3hEO1NjaG9vbCBvZiBCaW9t
ZWRpY2FsIFNjaWVuY2VzIGFuZCBQaGFybWFjeSwgRmFjdWx0eSBvZiBIZWFsdGggYW5kIE1lZGlj
aW5lLCBVbml2ZXJzaXR5IG9mIE5ld2Nhc3RsZSwgTmV3Y2FzdGxlLCBOU1csIEF1c3RyYWxpYS4m
I3hEO1ByaW9yaXR5IFJlc2VhcmNoIENlbnRyZSBmb3IgUGh5c2ljYWwgQWN0aXZpdHkgYW5kIE51
dHJpdGlvbiwgVW5pdmVyc2l0eSBvZiBOZXdjYXN0bGUsIE5ld2Nhc3RsZSwgTlNXLCBBdXN0cmFs
aWEuJiN4RDtTY2hvb2wgb2YgSGVhbHRoIFNjaWVuY2VzLCBGYWN1bHR5IG9mIEhlYWx0aCBhbmQg
TWVkaWNpbmUsIFVuaXZlcnNpdHkgb2YgTmV3Y2FzdGxlLCBOZXdjYXN0bGUsIE5TVywgQXVzdHJh
bGlhLiYjeEQ7R29tZXJvaSBnYWF5bmdnYWwgQ2VudHJlLCBGYWN1bHR5IG9mIEhlYWx0aCBhbmQg
TWVkaWNpbmUsIFVuaXZlcnNpdHkgb2YgTmV3Y2FzdGxlLCBUYW13b3J0aCwgTlNXLCBBdXN0cmFs
aWEuJiN4RDtTY2hvb2wgb2YgTWVkaWNpbmUgYW5kIFB1YmxpYyBIZWFsdGgsIEZhY3VsdHkgb2Yg
SGVhbHRoIGFuZCBNZWRpY2luZSwgVW5pdmVyc2l0eSBvZiBOZXdjYXN0bGUsIE5ld2Nhc3RsZSwg
TlNXLCBBdXN0cmFsaWEuJiN4RDtEZXBhcnRtZW50IG9mIFJ1cmFsIEhlYWx0aCwgVW5pdmVyc2l0
eSBvZiBOZXdjYXN0bGUsIFRhbXdvcnRoLCBOU1csIEF1c3RyYWxpYS4mI3hEO0NoYXJsZXMgUGVy
a2lucyBDZW50cmUsIFVuaXZlcnNpdHkgb2YgU3lkbmV5LCBBdXN0cmFsaWEuJiN4RDtQcmlvcml0
eSBSZXNlYXJjaCBDZW50cmUgZm9yIEdlbmVyYXRpb25hbCBIZWFsdGggYW5kIEFnZWluZywgVW5p
dmVyc2l0eSBvZiBOZXdjYXN0bGUsIE5ld2Nhc3RsZSwgTlNXLCBBdXN0cmFsaWEuPC9hdXRoLWFk
ZHJlc3M+PHRpdGxlcz48dGl0bGU+RGlzcGFyaXRpZXMgZXhpc3QgYmV0d2VlbiB0aGUgZGlldGFy
eSBpbnRha2Ugb2YgSW5kaWdlbm91cyBBdXN0cmFsaWFuIHdvbWVuIGR1cmluZyBwcmVnbmFuY3kg
YW5kIHRoZSBBdXN0cmFsaWFuIGRpZXRhcnkgZ3VpZGVsaW5lczogdGhlIEdvbWVyb2kgZ2FheW5n
Z2FsIHN0dWR5PC90aXRsZT48c2Vjb25kYXJ5LXRpdGxlPkogSHVtIE51dHIgRGlldDwvc2Vjb25k
YXJ5LXRpdGxlPjwvdGl0bGVzPjxwZXJpb2RpY2FsPjxmdWxsLXRpdGxlPkogSHVtIE51dHIgRGll
dDwvZnVsbC10aXRsZT48L3BlcmlvZGljYWw+PHBhZ2VzPjQ3My00ODU8L3BhZ2VzPjx2b2x1bWU+
MzE8L3ZvbHVtZT48bnVtYmVyPjQ8L251bWJlcj48ZWRpdGlvbj4yMDE4LzAzLzI3PC9lZGl0aW9u
PjxrZXl3b3Jkcz48a2V5d29yZD4qSW5kaWdlbm91czwva2V5d29yZD48a2V5d29yZD4qZGlldCBx
dWFsaXR5PC9rZXl3b3JkPjxrZXl3b3JkPiptYXRlcm5hbCBudXRyaXRpb248L2tleXdvcmQ+PGtl
eXdvcmQ+KnByZWduYW5jeSBkaWV0PC9rZXl3b3JkPjwva2V5d29yZHM+PGRhdGVzPjx5ZWFyPjIw
MTg8L3llYXI+PHB1Yi1kYXRlcz48ZGF0ZT5BdWc8L2RhdGU+PC9wdWItZGF0ZXM+PC9kYXRlcz48
aXNibj4xMzY1LTI3N1ggKEVsZWN0cm9uaWMpJiN4RDswOTUyLTM4NzEgKExpbmtpbmcpPC9pc2Ju
PjxhY2Nlc3Npb24tbnVtPjI5NTc4MjYxPC9hY2Nlc3Npb24tbnVtPjx1cmxzPjxyZWxhdGVkLXVy
bHM+PHVybD5odHRwczovL3d3dy5uY2JpLm5sbS5uaWguZ292L3B1Ym1lZC8yOTU3ODI2MTwvdXJs
PjwvcmVsYXRlZC11cmxzPjwvdXJscz48ZWxlY3Ryb25pYy1yZXNvdXJjZS1udW0+MTAuMTExMS9q
aG4uMTI1NTA8L2VsZWN0cm9uaWMtcmVzb3VyY2UtbnVtPjwvcmVjb3JkPjwvQ2l0ZT48L0VuZE5v
dGU+AG==
</w:fldData>
        </w:fldChar>
      </w:r>
      <w:r w:rsidR="002747EA">
        <w:instrText xml:space="preserve"> ADDIN EN.CITE.DATA </w:instrText>
      </w:r>
      <w:r w:rsidR="002747EA">
        <w:fldChar w:fldCharType="end"/>
      </w:r>
      <w:r>
        <w:fldChar w:fldCharType="separate"/>
      </w:r>
      <w:r w:rsidR="002747EA" w:rsidRPr="002747EA">
        <w:rPr>
          <w:noProof/>
          <w:vertAlign w:val="superscript"/>
        </w:rPr>
        <w:t>172</w:t>
      </w:r>
      <w:r>
        <w:fldChar w:fldCharType="end"/>
      </w:r>
    </w:p>
    <w:p w14:paraId="47D6E50A" w14:textId="20370DEF" w:rsidR="003B01B1" w:rsidRPr="0045378A" w:rsidRDefault="00F24345" w:rsidP="000A4D20">
      <w:pPr>
        <w:pStyle w:val="bullet"/>
      </w:pPr>
      <w:r>
        <w:t xml:space="preserve">A cohort study </w:t>
      </w:r>
      <w:r w:rsidR="003B01B1">
        <w:t xml:space="preserve">in far North Queensland </w:t>
      </w:r>
      <w:r>
        <w:t>(</w:t>
      </w:r>
      <w:r w:rsidRPr="00BD4DFF">
        <w:rPr>
          <w:sz w:val="16"/>
          <w:szCs w:val="16"/>
        </w:rPr>
        <w:t>n=</w:t>
      </w:r>
      <w:r w:rsidR="003B01B1" w:rsidRPr="00BD4DFF">
        <w:rPr>
          <w:sz w:val="16"/>
          <w:szCs w:val="16"/>
        </w:rPr>
        <w:t>2,076</w:t>
      </w:r>
      <w:r w:rsidR="003B01B1">
        <w:t>) found that m</w:t>
      </w:r>
      <w:r w:rsidR="003B01B1" w:rsidRPr="003B01B1">
        <w:t>ore than half of Aboriginal and Torre</w:t>
      </w:r>
      <w:r w:rsidR="003B01B1">
        <w:t>s Strait Islander women (</w:t>
      </w:r>
      <w:r w:rsidR="003B01B1" w:rsidRPr="00BD4DFF">
        <w:rPr>
          <w:sz w:val="16"/>
          <w:szCs w:val="16"/>
        </w:rPr>
        <w:t>54.5%; 95%CI 52.4% to 56.7%</w:t>
      </w:r>
      <w:r w:rsidR="00BD4DFF">
        <w:t>)</w:t>
      </w:r>
      <w:r w:rsidR="003B01B1" w:rsidRPr="003B01B1">
        <w:t xml:space="preserve"> had anaemia in pregnancy. For </w:t>
      </w:r>
      <w:r w:rsidR="003B01B1">
        <w:t>women</w:t>
      </w:r>
      <w:r w:rsidR="003B01B1" w:rsidRPr="003B01B1">
        <w:t xml:space="preserve"> who</w:t>
      </w:r>
      <w:r w:rsidR="003B01B1">
        <w:t xml:space="preserve"> gave birth in 2009 and 2010 (</w:t>
      </w:r>
      <w:r w:rsidR="003B01B1" w:rsidRPr="00BD4DFF">
        <w:rPr>
          <w:sz w:val="16"/>
          <w:szCs w:val="16"/>
        </w:rPr>
        <w:t>n=1,796</w:t>
      </w:r>
      <w:r w:rsidR="003B01B1" w:rsidRPr="003B01B1">
        <w:t>) with more complete data, those who were iron deficient during pregnancy were more likely to be an</w:t>
      </w:r>
      <w:r w:rsidR="00BD4DFF">
        <w:t>aemic (</w:t>
      </w:r>
      <w:r w:rsidR="00BD4DFF" w:rsidRPr="00BD4DFF">
        <w:rPr>
          <w:sz w:val="16"/>
          <w:szCs w:val="16"/>
        </w:rPr>
        <w:t>RR 1.40, p</w:t>
      </w:r>
      <w:r w:rsidR="000A4D20" w:rsidRPr="00BD4DFF">
        <w:rPr>
          <w:sz w:val="16"/>
          <w:szCs w:val="16"/>
        </w:rPr>
        <w:t>=</w:t>
      </w:r>
      <w:r w:rsidR="003B01B1" w:rsidRPr="00BD4DFF">
        <w:rPr>
          <w:sz w:val="16"/>
          <w:szCs w:val="16"/>
        </w:rPr>
        <w:t>&lt;0.001</w:t>
      </w:r>
      <w:r w:rsidR="003B01B1" w:rsidRPr="003B01B1">
        <w:t xml:space="preserve">). </w:t>
      </w:r>
      <w:r w:rsidR="000A4D20">
        <w:t>Women</w:t>
      </w:r>
      <w:r w:rsidR="003B01B1" w:rsidRPr="003B01B1">
        <w:t xml:space="preserve"> from localities of relative socioeconomic advantage</w:t>
      </w:r>
      <w:r w:rsidR="00BD4DFF" w:rsidRPr="003B01B1">
        <w:t xml:space="preserve"> (29.0%)</w:t>
      </w:r>
      <w:r w:rsidR="003B01B1" w:rsidRPr="003B01B1">
        <w:t xml:space="preserve"> had </w:t>
      </w:r>
      <w:r w:rsidR="00BD4DFF">
        <w:t xml:space="preserve">a </w:t>
      </w:r>
      <w:r w:rsidR="003B01B1" w:rsidRPr="003B01B1">
        <w:t>lower risk of an</w:t>
      </w:r>
      <w:r w:rsidR="00BD4DFF">
        <w:t>aemia in pregnancy (</w:t>
      </w:r>
      <w:r w:rsidR="00BD4DFF" w:rsidRPr="00BD4DFF">
        <w:rPr>
          <w:sz w:val="16"/>
          <w:szCs w:val="16"/>
        </w:rPr>
        <w:t>RR 0.86, p</w:t>
      </w:r>
      <w:r w:rsidR="000A4D20" w:rsidRPr="00BD4DFF">
        <w:rPr>
          <w:sz w:val="16"/>
          <w:szCs w:val="16"/>
        </w:rPr>
        <w:t>=</w:t>
      </w:r>
      <w:r w:rsidR="003B01B1" w:rsidRPr="00BD4DFF">
        <w:rPr>
          <w:sz w:val="16"/>
          <w:szCs w:val="16"/>
        </w:rPr>
        <w:t>0.003</w:t>
      </w:r>
      <w:r w:rsidR="003B01B1" w:rsidRPr="003B01B1">
        <w:t xml:space="preserve">), as did </w:t>
      </w:r>
      <w:r w:rsidR="000A4D20">
        <w:t>women</w:t>
      </w:r>
      <w:r w:rsidR="003B01B1" w:rsidRPr="003B01B1">
        <w:t xml:space="preserve"> (31.</w:t>
      </w:r>
      <w:r w:rsidR="00BD4DFF">
        <w:t>9%) who were obese (</w:t>
      </w:r>
      <w:r w:rsidR="00BD4DFF" w:rsidRPr="00BD4DFF">
        <w:rPr>
          <w:sz w:val="16"/>
          <w:szCs w:val="16"/>
        </w:rPr>
        <w:t>RR 0.87, p</w:t>
      </w:r>
      <w:r w:rsidR="000A4D20" w:rsidRPr="00BD4DFF">
        <w:rPr>
          <w:sz w:val="16"/>
          <w:szCs w:val="16"/>
        </w:rPr>
        <w:t>=</w:t>
      </w:r>
      <w:r w:rsidR="003B01B1" w:rsidRPr="00BD4DFF">
        <w:rPr>
          <w:sz w:val="16"/>
          <w:szCs w:val="16"/>
        </w:rPr>
        <w:t>0.013</w:t>
      </w:r>
      <w:r w:rsidR="003B01B1" w:rsidRPr="003B01B1">
        <w:t>).</w:t>
      </w:r>
    </w:p>
    <w:p w14:paraId="04515837" w14:textId="7B1E5FB0" w:rsidR="00647A31" w:rsidRDefault="00DA5FB4" w:rsidP="00647A31">
      <w:r>
        <w:t>The guidelines currently recommend</w:t>
      </w:r>
      <w:r w:rsidR="00BD4DFF">
        <w:t xml:space="preserve"> that</w:t>
      </w:r>
      <w:r>
        <w:t xml:space="preserve"> iron supplementation should not be routinely offered to women during pregnancy and that supplementation be advised for women with identified anaemia. They also recommend that </w:t>
      </w:r>
      <w:r w:rsidRPr="00CC52F7">
        <w:t xml:space="preserve">women with low dietary iron intake </w:t>
      </w:r>
      <w:r>
        <w:t xml:space="preserve">be advised </w:t>
      </w:r>
      <w:r w:rsidRPr="00CC52F7">
        <w:t>that intermittent supplementation is as effective as daily supplementation in preventing iron-deficiency anaemia, with fewer side effects</w:t>
      </w:r>
      <w:r>
        <w:t>. The Guidelines also include practice points.</w:t>
      </w:r>
    </w:p>
    <w:p w14:paraId="35F73CFC" w14:textId="2E9A283B" w:rsidR="00DA5FB4" w:rsidRDefault="00DA5FB4" w:rsidP="00DA5FB4">
      <w:pPr>
        <w:pStyle w:val="bullet"/>
      </w:pPr>
      <w:r w:rsidRPr="00CC52F7">
        <w:t>Women at high risk of iron deficiency due to limited access to dietary iron may benefit from practical advice on increasing intake of iron-rich foods.</w:t>
      </w:r>
    </w:p>
    <w:p w14:paraId="468C1384" w14:textId="06D5862C" w:rsidR="00DA5FB4" w:rsidRDefault="00DA5FB4" w:rsidP="00DA5FB4">
      <w:pPr>
        <w:pStyle w:val="bullet"/>
      </w:pPr>
      <w:r w:rsidRPr="00CC52F7">
        <w:t>Oral iron remains first-line treatment for iron-deficiency anaemia identified in the antenatal period. Intravenous iron should be offered to women who do not respond to oral iron or are unable to comply with therapy. In some remote settings, intramuscular iron may be administered by a health professional who does not have intravenous endorsement or where intravenous iron cannot be accessed.</w:t>
      </w:r>
    </w:p>
    <w:p w14:paraId="1B198879" w14:textId="36BD76AD" w:rsidR="00DA5FB4" w:rsidRPr="00647A31" w:rsidRDefault="00DA5FB4" w:rsidP="00DA5FB4">
      <w:r>
        <w:t xml:space="preserve">The second practice point is inconsistent with the National Blood Authority guidelines, which </w:t>
      </w:r>
      <w:r w:rsidR="00ED7531">
        <w:t>advise</w:t>
      </w:r>
      <w:r>
        <w:t xml:space="preserve"> against the use of intramuscular iron</w:t>
      </w:r>
      <w:r w:rsidR="00ED7531">
        <w:t xml:space="preserve"> when alternatives are available</w:t>
      </w:r>
      <w:r>
        <w:t>.</w:t>
      </w:r>
    </w:p>
    <w:p w14:paraId="41F08EFB" w14:textId="77777777" w:rsidR="00415EBD" w:rsidRDefault="00415EBD" w:rsidP="00415EBD">
      <w:pPr>
        <w:pStyle w:val="Heading5"/>
      </w:pPr>
      <w:r>
        <w:t>Current review</w:t>
      </w:r>
    </w:p>
    <w:p w14:paraId="7B9423D9" w14:textId="67103337" w:rsidR="00193995" w:rsidRDefault="0030452C" w:rsidP="00193995">
      <w:r>
        <w:t xml:space="preserve">This review </w:t>
      </w:r>
      <w:r w:rsidR="00330CDB">
        <w:t>included</w:t>
      </w:r>
      <w:r>
        <w:t xml:space="preserve"> </w:t>
      </w:r>
      <w:r w:rsidR="00330CDB">
        <w:t>four</w:t>
      </w:r>
      <w:r>
        <w:t xml:space="preserve"> systematic reviews</w:t>
      </w:r>
      <w:r>
        <w:fldChar w:fldCharType="begin">
          <w:fldData xml:space="preserve">PEVuZE5vdGU+PENpdGU+PEF1dGhvcj5BYnJhaGE8L0F1dGhvcj48WWVhcj4yMDE5PC9ZZWFyPjxS
ZWNOdW0+MTYxOTwvUmVjTnVtPjxEaXNwbGF5VGV4dD48c3R5bGUgZmFjZT0ic3VwZXJzY3JpcHQi
IGZvbnQ9IlRyZWJ1Y2hldCBNUyIgc2l6ZT0iOSI+MTczLTE3Njwvc3R5bGU+PC9EaXNwbGF5VGV4
dD48cmVjb3JkPjxyZWMtbnVtYmVyPjE2MTk8L3JlYy1udW1iZXI+PGZvcmVpZ24ta2V5cz48a2V5
IGFwcD0iRU4iIGRiLWlkPSJleHZhc3JmeDJkdHJhb2VzYXN4cDJzenN4YTJkZjUwMjU5MngiIHRp
bWVzdGFtcD0iMTU3NjczNDI4MyI+MTYxOTwva2V5PjxrZXkgYXBwPSJFTldlYiIgZGItaWQ9IiI+
MDwva2V5PjwvZm9yZWlnbi1rZXlzPjxyZWYtdHlwZSBuYW1lPSJKb3VybmFsIEFydGljbGUiPjE3
PC9yZWYtdHlwZT48Y29udHJpYnV0b3JzPjxhdXRob3JzPjxhdXRob3I+QWJyYWhhLCBJLjwvYXV0
aG9yPjxhdXRob3I+Qm9uYWNpbmksIE0uIEkuPC9hdXRob3I+PGF1dGhvcj5Nb250ZWRvcmksIEEu
PC9hdXRob3I+PGF1dGhvcj5EaSBSZW56bywgRy4gQy48L2F1dGhvcj48YXV0aG9yPkFuZ2Vsb3p6
aSwgUC48L2F1dGhvcj48YXV0aG9yPk1pY2hlbGksIE0uPC9hdXRob3I+PGF1dGhvcj5HZXJtYW5p
LCBBLjwvYXV0aG9yPjxhdXRob3I+Q2FybG9uaSwgRC48L2F1dGhvcj48YXV0aG9yPlNjYWNjZXR0
aSwgQS48L2F1dGhvcj48YXV0aG9yPlBhbG1pZXJpLCBHLjwvYXV0aG9yPjxhdXRob3I+Q2FzYWxp
LCBNLjwvYXV0aG9yPjxhdXRob3I+TmVueiwgQy4gTS4gRy48L2F1dGhvcj48YXV0aG9yPkdhcmdh
bm8sIEUuPC9hdXRob3I+PGF1dGhvcj5QYXp6YWdsaWEsIE0uPC9hdXRob3I+PGF1dGhvcj5BZ2Vh
LCBFLjwvYXV0aG9yPjxhdXRob3I+QmVyY2hpY2NpLCBMLjwvYXV0aG9yPjxhdXRob3I+VGVzb3Jv
LCBTLjwvYXV0aG9yPjxhdXRob3I+QWxiaSwgTi48L2F1dGhvcj48YXV0aG9yPk1pbmVsbGksIE8u
PC9hdXRob3I+PGF1dGhvcj5QYXNxdWEsIEIuIEwuPC9hdXRob3I+PGF1dGhvcj5Pbm9yYXRvLCBN
LjwvYXV0aG9yPjxhdXRob3I+RXBpY29jbywgRy48L2F1dGhvcj48YXV0aG9yPk1hcmNoZXNpLCBN
LjwvYXV0aG9yPjwvYXV0aG9ycz48L2NvbnRyaWJ1dG9ycz48YXV0aC1hZGRyZXNzPkNlbnRybyBS
ZWdpb25hbGUgU2FuZ3VlLCBTZXJ2aXppbyBJbW11bm90cmFzZnVzaW9uYWxlLCBBemllbmRhIE9z
cGVkYWxpZXJhIGRpIFBlcnVnaWEsIFBlcnVnaWEsIEl0YWx5LiYjeEQ7SGVhbHRoIFBsYW5uaW5n
IFNlcnZpY2UsIFJlZ2lvbmFsIEhlYWx0aCBBdXRob3JpdHkgb2YgVW1icmlhLCBQZXJ1Z2lhLCBJ
dGFseS4mI3hEO0FCTSBVbml2ZXJzaXR5IEhlYWx0aCBCb2FyZCwgQWR2YW5jZWQgUGhhcm1hY2lz
dCBUZWNobmljYWwgU2VydmljZXMsIFN3YW5zZWEsIFVLLiYjeEQ7Q2xpbmljYSBPc3RldHJpY2Eg
ZSBHaW5lY29sb2dpY2EsIFBvbGljbGluaWNvLCBVbml2ZXJzaXRhIGRpIFBlcnVnaWEsIFBlcnVn
aWEsIEl0YWx5LiYjeEQ7R2luZWNvbG9naWEgZSBPc3RldHJpY2lhLCBVU0wgVW1icmlhIDIsIE9y
dmlldG8sIEl0YWx5LiYjeEQ7U2Vydml6aW8gSW1tdW5vdHJhc2Z1c2lvbmFsZSwgVVNMIFVtYnJp
YSAyLCBGb2xpZ25vLCBJdGFseS4mI3hEO0FuZXN0ZXNpYSBlIFJpYW5pbWF6aW9uZSwgVVNMIFVt
YnJpYSAyLCBGb2xpZ25vLCBJdGFseS4mI3hEO1NlcnZpemlvIEltbXVub3RyYXNmdXNpb25hbGUs
IEF6aWVuZGEgT3NwZWRhbGllcmEgZGkgVGVybmksIFRlcm5pLCBJdGFseS4mI3hEO0FuZXN0ZXNp
YSBlIFJpYW5pbWF6aW9uZSwgQXppZW5kYSBPc3BlZGFsaWVyZSBkaSBUZXJuaSwgVGVybmksIEl0
YWx5LiYjeEQ7R2luZWNvbG9naWEgZSBPc3RldHJpY2lhLCBBemllbmRhIE9zcGVkYWxpZXJlIGRp
IFRlcm5pLCBUZXJuaSwgSXRhbHkuJiN4RDtUZXJhcGlhIEludGVuc2l2YSBlIFJpYW5pbWF6aW9u
ZSwgVVNMIFVtYnJpYSAxLCBQZXJ1Z2lhLCBJdGFseS4mI3hEO0dpbmVjb2xvZ2lhIGUgT3N0ZXRy
aWNpYSwgVVNMIFVtYnJpYSAxLCBQZXJ1Z2lhLCBJdGFseS4mI3hEO1NlcnZpemlvIEltbXVub3Ry
YXNmdXNpb25hbGUsIFVTTCBVbWJyaWEgMSwgUGVydWdpYSwgSXRhbHkuJiN4RDtBbmVzdGVzaWEg
ZSBSaWFuaW1hemlvbmUsIEF6aWVuZGEgT3NwZWRhbGllcmUgZGkgUGVydWdpYSwgUGVydWdpYSwg
SXRhbHkuJiN4RDtHaW5lY29sb2dpYSBlIE9zdGV0cmljaWEsIEF6aWVuZGEgT3NwZWRhbGllcmUg
ZGkgUGVydWdpYSwgUGVydWdpYSwgSXRhbHkuPC9hdXRoLWFkZHJlc3M+PHRpdGxlcz48dGl0bGU+
T3JhbCBpcm9uLWJhc2VkIGludGVydmVudGlvbnMgZm9yIHByZXZlbnRpb24gb2YgY3JpdGljYWwg
b3V0Y29tZXMgaW4gcHJlZ25hbmN5IGFuZCBwb3N0bmF0YWwgY2FyZTogQW4gb3ZlcnZpZXcgYW5k
IHVwZGF0ZSBvZiBzeXN0ZW1hdGljIHJldmlld3M8L3RpdGxlPjxzZWNvbmRhcnktdGl0bGU+SiBF
dmlkIEJhc2VkIE1lZDwvc2Vjb25kYXJ5LXRpdGxlPjwvdGl0bGVzPjxwZXJpb2RpY2FsPjxmdWxs
LXRpdGxlPkogRXZpZCBCYXNlZCBNZWQ8L2Z1bGwtdGl0bGU+PC9wZXJpb2RpY2FsPjxwYWdlcz4x
NTUtMTY2PC9wYWdlcz48dm9sdW1lPjEyPC92b2x1bWU+PG51bWJlcj4yPC9udW1iZXI+PGVkaXRp
b24+MjAxOS8wNS8zMTwvZWRpdGlvbj48a2V5d29yZHM+PGtleXdvcmQ+aXJvbiB0aGVyYXB5PC9r
ZXl3b3JkPjxrZXl3b3JkPm1hdGVybmFsIGFuZW1pYTwva2V5d29yZD48a2V5d29yZD5wcmVnbmFu
Y3k8L2tleXdvcmQ+PGtleXdvcmQ+c3lzdGVtYXRpYyByZXZpZXdzPC9rZXl3b3JkPjwva2V5d29y
ZHM+PGRhdGVzPjx5ZWFyPjIwMTk8L3llYXI+PHB1Yi1kYXRlcz48ZGF0ZT5NYXk8L2RhdGU+PC9w
dWItZGF0ZXM+PC9kYXRlcz48aXNibj4xNzU2LTUzOTEgKEVsZWN0cm9uaWMpJiN4RDsxNzU2LTUz
OTEgKExpbmtpbmcpPC9pc2JuPjxhY2Nlc3Npb24tbnVtPjMxMTQ0NDY1PC9hY2Nlc3Npb24tbnVt
Pjx1cmxzPjxyZWxhdGVkLXVybHM+PHVybD5odHRwczovL3d3dy5uY2JpLm5sbS5uaWguZ292L3B1
Ym1lZC8zMTE0NDQ2NTwvdXJsPjwvcmVsYXRlZC11cmxzPjwvdXJscz48ZWxlY3Ryb25pYy1yZXNv
dXJjZS1udW0+MTAuMTExMS9qZWJtLjEyMzQ0PC9lbGVjdHJvbmljLXJlc291cmNlLW51bT48L3Jl
Y29yZD48L0NpdGU+PENpdGU+PEF1dGhvcj5QZcOxYS1Sb3NhczwvQXV0aG9yPjxZZWFyPjIwMTU8
L1llYXI+PFJlY051bT4xNjM2PC9SZWNOdW0+PHJlY29yZD48cmVjLW51bWJlcj4xNjM2PC9yZWMt
bnVtYmVyPjxmb3JlaWduLWtleXM+PGtleSBhcHA9IkVOIiBkYi1pZD0iZXh2YXNyZngyZHRyYW9l
c2FzeHAyc3pzeGEyZGY1MDI1OTJ4IiB0aW1lc3RhbXA9IjE1NzY3MzQzNjIiPjE2MzY8L2tleT48
a2V5IGFwcD0iRU5XZWIiIGRiLWlkPSIiPjA8L2tleT48L2ZvcmVpZ24ta2V5cz48cmVmLXR5cGUg
bmFtZT0iSm91cm5hbCBBcnRpY2xlIj4xNzwvcmVmLXR5cGU+PGNvbnRyaWJ1dG9ycz48YXV0aG9y
cz48YXV0aG9yPlBlw7FhLVJvc2FzLCBKdWFuIFBhYmxvPC9hdXRob3I+PGF1dGhvcj5EZS1SZWdp
bCwgTHV6IE1hcmlhPC9hdXRob3I+PGF1dGhvcj5HYXJjaWEtQ2FzYWwsIE1hcmlhIE4uPC9hdXRo
b3I+PGF1dGhvcj5Eb3dzd2VsbCwgVGhlcmVzZTwvYXV0aG9yPjwvYXV0aG9ycz48L2NvbnRyaWJ1
dG9ycz48dGl0bGVzPjx0aXRsZT5EYWlseSBvcmFsIGlyb24gc3VwcGxlbWVudGF0aW9uIGR1cmlu
ZyBwcmVnbmFuY3k8L3RpdGxlPjxzZWNvbmRhcnktdGl0bGU+Q29jaHJhbmUgRGF0YWJhc2Ugb2Yg
U3lzdGVtYXRpYyBSZXZpZXdzPC9zZWNvbmRhcnktdGl0bGU+PC90aXRsZXM+PHBlcmlvZGljYWw+
PGZ1bGwtdGl0bGU+Q29jaHJhbmUgRGF0YWJhc2Ugb2YgU3lzdGVtYXRpYyBSZXZpZXdzPC9mdWxs
LXRpdGxlPjwvcGVyaW9kaWNhbD48ZGF0ZXM+PHllYXI+MjAxNTwveWVhcj48L2RhdGVzPjxpc2Ju
PjE0NjUxODU4PC9pc2JuPjx1cmxzPjwvdXJscz48ZWxlY3Ryb25pYy1yZXNvdXJjZS1udW0+MTAu
MTAwMi8xNDY1MTg1OC5DRDAwNDczNi5wdWI1PC9lbGVjdHJvbmljLXJlc291cmNlLW51bT48L3Jl
Y29yZD48L0NpdGU+PENpdGU+PEF1dGhvcj5QZW5hLVJvc2FzPC9BdXRob3I+PFllYXI+MjAxNTwv
WWVhcj48UmVjTnVtPjE2Mzc8L1JlY051bT48cmVjb3JkPjxyZWMtbnVtYmVyPjE2Mzc8L3JlYy1u
dW1iZXI+PGZvcmVpZ24ta2V5cz48a2V5IGFwcD0iRU4iIGRiLWlkPSJleHZhc3JmeDJkdHJhb2Vz
YXN4cDJzenN4YTJkZjUwMjU5MngiIHRpbWVzdGFtcD0iMTU3NjczNDM3MSI+MTYzNzwva2V5Pjxr
ZXkgYXBwPSJFTldlYiIgZGItaWQ9IiI+MDwva2V5PjwvZm9yZWlnbi1rZXlzPjxyZWYtdHlwZSBu
YW1lPSJKb3VybmFsIEFydGljbGUiPjE3PC9yZWYtdHlwZT48Y29udHJpYnV0b3JzPjxhdXRob3Jz
PjxhdXRob3I+UGVuYS1Sb3NhcywgSi4gUC48L2F1dGhvcj48YXV0aG9yPkRlLVJlZ2lsLCBMLiBN
LjwvYXV0aG9yPjxhdXRob3I+R29tZXogTWFsYXZlLCBILjwvYXV0aG9yPjxhdXRob3I+RmxvcmVz
LVVycnV0aWEsIE0uIEMuPC9hdXRob3I+PGF1dGhvcj5Eb3dzd2VsbCwgVC48L2F1dGhvcj48L2F1
dGhvcnM+PC9jb250cmlidXRvcnM+PGF1dGgtYWRkcmVzcz5FdmlkZW5jZSBhbmQgUHJvZ3JhbW1l
IEd1aWRhbmNlLCBEZXBhcnRtZW50IG9mIE51dHJpdGlvbiBmb3IgSGVhbHRoIGFuZCBEZXZlbG9w
bWVudCwgV29ybGQgSGVhbHRoIE9yZ2FuaXphdGlvbiwgMjAgQXZlbnVlIEFwcGlhLCBHZW5ldmEs
IFN3aXR6ZXJsYW5kLCAxMjExLjwvYXV0aC1hZGRyZXNzPjx0aXRsZXM+PHRpdGxlPkludGVybWl0
dGVudCBvcmFsIGlyb24gc3VwcGxlbWVudGF0aW9uIGR1cmluZyBwcmVnbmFuY3k8L3RpdGxlPjxz
ZWNvbmRhcnktdGl0bGU+Q29jaHJhbmUgRGF0YWJhc2UgU3lzdCBSZXY8L3NlY29uZGFyeS10aXRs
ZT48L3RpdGxlcz48cGVyaW9kaWNhbD48ZnVsbC10aXRsZT5Db2NocmFuZSBEYXRhYmFzZSBTeXN0
IFJldjwvZnVsbC10aXRsZT48L3BlcmlvZGljYWw+PHBhZ2VzPkNEMDA5OTk3PC9wYWdlcz48bnVt
YmVyPjEwPC9udW1iZXI+PGVkaXRpb24+MjAxNS8xMC8yMTwvZWRpdGlvbj48a2V5d29yZHM+PGtl
eXdvcmQ+QWRtaW5pc3RyYXRpb24sIE9yYWw8L2tleXdvcmQ+PGtleXdvcmQ+QW5lbWlhLCBJcm9u
LURlZmljaWVuY3kvYmxvb2QvKnByZXZlbnRpb24gJmFtcDsgY29udHJvbDwva2V5d29yZD48a2V5
d29yZD5EZXZlbG9waW5nIENvdW50cmllczwva2V5d29yZD48a2V5d29yZD5EaWV0YXJ5IFN1cHBs
ZW1lbnRzLyphZHZlcnNlIGVmZmVjdHM8L2tleXdvcmQ+PGtleXdvcmQ+RHJ1ZyBBZG1pbmlzdHJh
dGlvbiBTY2hlZHVsZTwva2V5d29yZD48a2V5d29yZD5EcnVnIENvbWJpbmF0aW9uczwva2V5d29y
ZD48a2V5d29yZD5GZW1hbGU8L2tleXdvcmQ+PGtleXdvcmQ+Rm9saWMgQWNpZC9hZG1pbmlzdHJh
dGlvbiAmYW1wOyBkb3NhZ2U8L2tleXdvcmQ+PGtleXdvcmQ+SGVtb2dsb2JpbiBBL21ldGFib2xp
c208L2tleXdvcmQ+PGtleXdvcmQ+SHVtYW5zPC9rZXl3b3JkPjxrZXl3b3JkPkluZmFudCwgTG93
IEJpcnRoIFdlaWdodDwva2V5d29yZD48a2V5d29yZD5JbmZhbnQsIE5ld2Jvcm48L2tleXdvcmQ+
PGtleXdvcmQ+SXJvbi8qYWRtaW5pc3RyYXRpb24gJmFtcDsgZG9zYWdlL2FkdmVyc2UgZWZmZWN0
czwva2V5d29yZD48a2V5d29yZD5Jcm9uLCBEaWV0YXJ5LyphZG1pbmlzdHJhdGlvbiAmYW1wOyBk
b3NhZ2U8L2tleXdvcmQ+PGtleXdvcmQ+UHJlZ25hbmN5PC9rZXl3b3JkPjxrZXl3b3JkPlByZWdu
YW5jeSBDb21wbGljYXRpb25zLCBIZW1hdG9sb2dpYy9ibG9vZC8qcHJldmVudGlvbiAmYW1wOyBj
b250cm9sPC9rZXl3b3JkPjxrZXl3b3JkPlByZW1hdHVyZSBCaXJ0aDwva2V5d29yZD48a2V5d29y
ZD5SYW5kb21pemVkIENvbnRyb2xsZWQgVHJpYWxzIGFzIFRvcGljPC9rZXl3b3JkPjxrZXl3b3Jk
PlZpdGFtaW5zL2FkbWluaXN0cmF0aW9uICZhbXA7IGRvc2FnZTwva2V5d29yZD48L2tleXdvcmRz
PjxkYXRlcz48eWVhcj4yMDE1PC95ZWFyPjxwdWItZGF0ZXM+PGRhdGU+T2N0IDE5PC9kYXRlPjwv
cHViLWRhdGVzPjwvZGF0ZXM+PGlzYm4+MTQ2OS00OTNYIChFbGVjdHJvbmljKSYjeEQ7MTM2MS02
MTM3IChMaW5raW5nKTwvaXNibj48YWNjZXNzaW9uLW51bT4yNjQ4MjExMDwvYWNjZXNzaW9uLW51
bT48dXJscz48cmVsYXRlZC11cmxzPjx1cmw+aHR0cHM6Ly93d3cubmNiaS5ubG0ubmloLmdvdi9w
dWJtZWQvMjY0ODIxMTA8L3VybD48L3JlbGF0ZWQtdXJscz48L3VybHM+PGVsZWN0cm9uaWMtcmVz
b3VyY2UtbnVtPjEwLjEwMDIvMTQ2NTE4NTguQ0QwMDk5OTcucHViMjwvZWxlY3Ryb25pYy1yZXNv
dXJjZS1udW0+PC9yZWNvcmQ+PC9DaXRlPjxDaXRlPjxBdXRob3I+SmF5YXNpbmdoZTwvQXV0aG9y
PjxZZWFyPjIwMTg8L1llYXI+PFJlY051bT4xNjMwPC9SZWNOdW0+PHJlY29yZD48cmVjLW51bWJl
cj4xNjMwPC9yZWMtbnVtYmVyPjxmb3JlaWduLWtleXM+PGtleSBhcHA9IkVOIiBkYi1pZD0iZXh2
YXNyZngyZHRyYW9lc2FzeHAyc3pzeGEyZGY1MDI1OTJ4IiB0aW1lc3RhbXA9IjE1NzY3MzQzMjgi
PjE2MzA8L2tleT48a2V5IGFwcD0iRU5XZWIiIGRiLWlkPSIiPjA8L2tleT48L2ZvcmVpZ24ta2V5
cz48cmVmLXR5cGUgbmFtZT0iSm91cm5hbCBBcnRpY2xlIj4xNzwvcmVmLXR5cGU+PGNvbnRyaWJ1
dG9ycz48YXV0aG9ycz48YXV0aG9yPkpheWFzaW5naGUsIEMuPC9hdXRob3I+PGF1dGhvcj5Qb2xz
b24sIFIuPC9hdXRob3I+PGF1dGhvcj52YW4gV29lcmRlbiwgSC4gQy48L2F1dGhvcj48YXV0aG9y
PldpbHNvbiwgUC48L2F1dGhvcj48L2F1dGhvcnM+PC9jb250cmlidXRvcnM+PGF1dGgtYWRkcmVz
cz5NaW5pc3RyeSBvZiBIZWFsdGgsIDM4NSwgVmVuLiBCYWRkZWdhbWEgV2ltYWxhd2Fuc2EgVGhl
cm8gTWF3YXRoYSwgQ29sb21ibywgMTAsIFNyaSBMYW5rYS4gY2hpbnRoYWpAeWFob28uY29tLiYj
eEQ7Q2VudHJlIGZvciBIZWFsdGggU2NpZW5jZSwgVW5pdmVyc2l0eSBvZiB0aGUgSGlnaGxhbmQg
YW5kIElzbGFuZHMsIE9sZCBQZXJ0aCBSb2FkLCBJbnZlcm5lc3MsIElWMiAzSkgsIFVLLiYjeEQ7
Q2VudHJlIGZvciBSdXJhbCBIZWFsdGgsIFVuaXZlcnNpdHkgb2YgQWJlcmRlZW4sIE9sZCBQZXJ0
aCBSb2FkLCBJbnZlcm5lc3MsIElWMiAzSkgsIFVLLjwvYXV0aC1hZGRyZXNzPjx0aXRsZXM+PHRp
dGxlPlRoZSBlZmZlY3Qgb2YgdW5pdmVyc2FsIG1hdGVybmFsIGFudGVuYXRhbCBpcm9uIHN1cHBs
ZW1lbnRhdGlvbiBvbiBuZXVyb2RldmVsb3BtZW50IGluIG9mZnNwcmluZzogYSBzeXN0ZW1hdGlj
IHJldmlldyBhbmQgbWV0YS1hbmFseXNpczwvdGl0bGU+PHNlY29uZGFyeS10aXRsZT5CTUMgUGVk
aWF0cjwvc2Vjb25kYXJ5LXRpdGxlPjwvdGl0bGVzPjxwZXJpb2RpY2FsPjxmdWxsLXRpdGxlPkJN
QyBQZWRpYXRyPC9mdWxsLXRpdGxlPjwvcGVyaW9kaWNhbD48cGFnZXM+MTUwPC9wYWdlcz48dm9s
dW1lPjE4PC92b2x1bWU+PG51bWJlcj4xPC9udW1iZXI+PGVkaXRpb24+MjAxOC8wNS8wODwvZWRp
dGlvbj48a2V5d29yZHM+PGtleXdvcmQ+QW5lbWlhLCBJcm9uLURlZmljaWVuY3kvZXBpZGVtaW9s
b2d5L3ByZXZlbnRpb24gJmFtcDsgY29udHJvbDwva2V5d29yZD48a2V5d29yZD5DaGlsZDwva2V5
d29yZD48a2V5d29yZD5DaGlsZCBCZWhhdmlvcjwva2V5d29yZD48a2V5d29yZD4qQ2hpbGQgRGV2
ZWxvcG1lbnQ8L2tleXdvcmQ+PGtleXdvcmQ+Q29nbml0aW9uPC9rZXl3b3JkPjxrZXl3b3JkPipE
aWV0YXJ5IFN1cHBsZW1lbnRzPC9rZXl3b3JkPjxrZXl3b3JkPkZlbWFsZTwva2V5d29yZD48a2V5
d29yZD5Gb2xpYyBBY2lkLyphZG1pbmlzdHJhdGlvbiAmYW1wOyBkb3NhZ2U8L2tleXdvcmQ+PGtl
eXdvcmQ+SHVtYW5zPC9rZXl3b3JkPjxrZXl3b3JkPkludGVsbGlnZW5jZTwva2V5d29yZD48a2V5
d29yZD5QcmVnbmFuY3k8L2tleXdvcmQ+PGtleXdvcmQ+UHJlZ25hbmN5IENvbXBsaWNhdGlvbnMs
IEhlbWF0b2xvZ2ljL2VwaWRlbWlvbG9neS9wcmV2ZW50aW9uICZhbXA7IGNvbnRyb2w8L2tleXdv
cmQ+PGtleXdvcmQ+UHJlbmF0YWwgQ2FyZS8qbWV0aG9kczwva2V5d29yZD48a2V5d29yZD5QcmV2
YWxlbmNlPC9rZXl3b3JkPjxrZXl3b3JkPipBbnRlbmF0YWw8L2tleXdvcmQ+PGtleXdvcmQ+Kkly
b24gZGVmaWNpZW5jeSBhbmFlbWlhPC9rZXl3b3JkPjxrZXl3b3JkPipJcm9uIHN1cHBsZW1lbnRh
dGlvbjwva2V5d29yZD48a2V5d29yZD4qTmV1cm9kZXZlbG9wbWVudDwva2V5d29yZD48a2V5d29y
ZD4qT2Zmc3ByaW5nPC9rZXl3b3JkPjwva2V5d29yZHM+PGRhdGVzPjx5ZWFyPjIwMTg8L3llYXI+
PHB1Yi1kYXRlcz48ZGF0ZT5NYXkgNDwvZGF0ZT48L3B1Yi1kYXRlcz48L2RhdGVzPjxpc2JuPjE0
NzEtMjQzMSAoRWxlY3Ryb25pYykmI3hEOzE0NzEtMjQzMSAoTGlua2luZyk8L2lzYm4+PGFjY2Vz
c2lvbi1udW0+Mjk3MjgwODY8L2FjY2Vzc2lvbi1udW0+PHVybHM+PHJlbGF0ZWQtdXJscz48dXJs
Pmh0dHBzOi8vd3d3Lm5jYmkubmxtLm5paC5nb3YvcHVibWVkLzI5NzI4MDg2PC91cmw+PC9yZWxh
dGVkLXVybHM+PC91cmxzPjxjdXN0b20yPlBNQzU5MzYwMjU8L2N1c3RvbTI+PGVsZWN0cm9uaWMt
cmVzb3VyY2UtbnVtPjEwLjExODYvczEyODg3LTAxOC0xMTE4LTc8L2VsZWN0cm9uaWMtcmVzb3Vy
Y2UtbnVtPjwvcmVjb3JkPjwvQ2l0ZT48L0VuZE5vdGU+AG==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IGZvbnQ9IlRyZWJ1Y2hldCBNUyIgc2l6ZT0iOSI+MTczLTE3Njwvc3R5bGU+PC9EaXNwbGF5VGV4
dD48cmVjb3JkPjxyZWMtbnVtYmVyPjE2MTk8L3JlYy1udW1iZXI+PGZvcmVpZ24ta2V5cz48a2V5
IGFwcD0iRU4iIGRiLWlkPSJleHZhc3JmeDJkdHJhb2VzYXN4cDJzenN4YTJkZjUwMjU5MngiIHRp
bWVzdGFtcD0iMTU3NjczNDI4MyI+MTYxOTwva2V5PjxrZXkgYXBwPSJFTldlYiIgZGItaWQ9IiI+
MDwva2V5PjwvZm9yZWlnbi1rZXlzPjxyZWYtdHlwZSBuYW1lPSJKb3VybmFsIEFydGljbGUiPjE3
PC9yZWYtdHlwZT48Y29udHJpYnV0b3JzPjxhdXRob3JzPjxhdXRob3I+QWJyYWhhLCBJLjwvYXV0
aG9yPjxhdXRob3I+Qm9uYWNpbmksIE0uIEkuPC9hdXRob3I+PGF1dGhvcj5Nb250ZWRvcmksIEEu
PC9hdXRob3I+PGF1dGhvcj5EaSBSZW56bywgRy4gQy48L2F1dGhvcj48YXV0aG9yPkFuZ2Vsb3p6
aSwgUC48L2F1dGhvcj48YXV0aG9yPk1pY2hlbGksIE0uPC9hdXRob3I+PGF1dGhvcj5HZXJtYW5p
LCBBLjwvYXV0aG9yPjxhdXRob3I+Q2FybG9uaSwgRC48L2F1dGhvcj48YXV0aG9yPlNjYWNjZXR0
aSwgQS48L2F1dGhvcj48YXV0aG9yPlBhbG1pZXJpLCBHLjwvYXV0aG9yPjxhdXRob3I+Q2FzYWxp
LCBNLjwvYXV0aG9yPjxhdXRob3I+TmVueiwgQy4gTS4gRy48L2F1dGhvcj48YXV0aG9yPkdhcmdh
bm8sIEUuPC9hdXRob3I+PGF1dGhvcj5QYXp6YWdsaWEsIE0uPC9hdXRob3I+PGF1dGhvcj5BZ2Vh
LCBFLjwvYXV0aG9yPjxhdXRob3I+QmVyY2hpY2NpLCBMLjwvYXV0aG9yPjxhdXRob3I+VGVzb3Jv
LCBTLjwvYXV0aG9yPjxhdXRob3I+QWxiaSwgTi48L2F1dGhvcj48YXV0aG9yPk1pbmVsbGksIE8u
PC9hdXRob3I+PGF1dGhvcj5QYXNxdWEsIEIuIEwuPC9hdXRob3I+PGF1dGhvcj5Pbm9yYXRvLCBN
LjwvYXV0aG9yPjxhdXRob3I+RXBpY29jbywgRy48L2F1dGhvcj48YXV0aG9yPk1hcmNoZXNpLCBN
LjwvYXV0aG9yPjwvYXV0aG9ycz48L2NvbnRyaWJ1dG9ycz48YXV0aC1hZGRyZXNzPkNlbnRybyBS
ZWdpb25hbGUgU2FuZ3VlLCBTZXJ2aXppbyBJbW11bm90cmFzZnVzaW9uYWxlLCBBemllbmRhIE9z
cGVkYWxpZXJhIGRpIFBlcnVnaWEsIFBlcnVnaWEsIEl0YWx5LiYjeEQ7SGVhbHRoIFBsYW5uaW5n
IFNlcnZpY2UsIFJlZ2lvbmFsIEhlYWx0aCBBdXRob3JpdHkgb2YgVW1icmlhLCBQZXJ1Z2lhLCBJ
dGFseS4mI3hEO0FCTSBVbml2ZXJzaXR5IEhlYWx0aCBCb2FyZCwgQWR2YW5jZWQgUGhhcm1hY2lz
dCBUZWNobmljYWwgU2VydmljZXMsIFN3YW5zZWEsIFVLLiYjeEQ7Q2xpbmljYSBPc3RldHJpY2Eg
ZSBHaW5lY29sb2dpY2EsIFBvbGljbGluaWNvLCBVbml2ZXJzaXRhIGRpIFBlcnVnaWEsIFBlcnVn
aWEsIEl0YWx5LiYjeEQ7R2luZWNvbG9naWEgZSBPc3RldHJpY2lhLCBVU0wgVW1icmlhIDIsIE9y
dmlldG8sIEl0YWx5LiYjeEQ7U2Vydml6aW8gSW1tdW5vdHJhc2Z1c2lvbmFsZSwgVVNMIFVtYnJp
YSAyLCBGb2xpZ25vLCBJdGFseS4mI3hEO0FuZXN0ZXNpYSBlIFJpYW5pbWF6aW9uZSwgVVNMIFVt
YnJpYSAyLCBGb2xpZ25vLCBJdGFseS4mI3hEO1NlcnZpemlvIEltbXVub3RyYXNmdXNpb25hbGUs
IEF6aWVuZGEgT3NwZWRhbGllcmEgZGkgVGVybmksIFRlcm5pLCBJdGFseS4mI3hEO0FuZXN0ZXNp
YSBlIFJpYW5pbWF6aW9uZSwgQXppZW5kYSBPc3BlZGFsaWVyZSBkaSBUZXJuaSwgVGVybmksIEl0
YWx5LiYjeEQ7R2luZWNvbG9naWEgZSBPc3RldHJpY2lhLCBBemllbmRhIE9zcGVkYWxpZXJlIGRp
IFRlcm5pLCBUZXJuaSwgSXRhbHkuJiN4RDtUZXJhcGlhIEludGVuc2l2YSBlIFJpYW5pbWF6aW9u
ZSwgVVNMIFVtYnJpYSAxLCBQZXJ1Z2lhLCBJdGFseS4mI3hEO0dpbmVjb2xvZ2lhIGUgT3N0ZXRy
aWNpYSwgVVNMIFVtYnJpYSAxLCBQZXJ1Z2lhLCBJdGFseS4mI3hEO1NlcnZpemlvIEltbXVub3Ry
YXNmdXNpb25hbGUsIFVTTCBVbWJyaWEgMSwgUGVydWdpYSwgSXRhbHkuJiN4RDtBbmVzdGVzaWEg
ZSBSaWFuaW1hemlvbmUsIEF6aWVuZGEgT3NwZWRhbGllcmUgZGkgUGVydWdpYSwgUGVydWdpYSwg
SXRhbHkuJiN4RDtHaW5lY29sb2dpYSBlIE9zdGV0cmljaWEsIEF6aWVuZGEgT3NwZWRhbGllcmUg
ZGkgUGVydWdpYSwgUGVydWdpYSwgSXRhbHkuPC9hdXRoLWFkZHJlc3M+PHRpdGxlcz48dGl0bGU+
T3JhbCBpcm9uLWJhc2VkIGludGVydmVudGlvbnMgZm9yIHByZXZlbnRpb24gb2YgY3JpdGljYWwg
b3V0Y29tZXMgaW4gcHJlZ25hbmN5IGFuZCBwb3N0bmF0YWwgY2FyZTogQW4gb3ZlcnZpZXcgYW5k
IHVwZGF0ZSBvZiBzeXN0ZW1hdGljIHJldmlld3M8L3RpdGxlPjxzZWNvbmRhcnktdGl0bGU+SiBF
dmlkIEJhc2VkIE1lZDwvc2Vjb25kYXJ5LXRpdGxlPjwvdGl0bGVzPjxwZXJpb2RpY2FsPjxmdWxs
LXRpdGxlPkogRXZpZCBCYXNlZCBNZWQ8L2Z1bGwtdGl0bGU+PC9wZXJpb2RpY2FsPjxwYWdlcz4x
NTUtMTY2PC9wYWdlcz48dm9sdW1lPjEyPC92b2x1bWU+PG51bWJlcj4yPC9udW1iZXI+PGVkaXRp
b24+MjAxOS8wNS8zMTwvZWRpdGlvbj48a2V5d29yZHM+PGtleXdvcmQ+aXJvbiB0aGVyYXB5PC9r
ZXl3b3JkPjxrZXl3b3JkPm1hdGVybmFsIGFuZW1pYTwva2V5d29yZD48a2V5d29yZD5wcmVnbmFu
Y3k8L2tleXdvcmQ+PGtleXdvcmQ+c3lzdGVtYXRpYyByZXZpZXdzPC9rZXl3b3JkPjwva2V5d29y
ZHM+PGRhdGVzPjx5ZWFyPjIwMTk8L3llYXI+PHB1Yi1kYXRlcz48ZGF0ZT5NYXk8L2RhdGU+PC9w
dWItZGF0ZXM+PC9kYXRlcz48aXNibj4xNzU2LTUzOTEgKEVsZWN0cm9uaWMpJiN4RDsxNzU2LTUz
OTEgKExpbmtpbmcpPC9pc2JuPjxhY2Nlc3Npb24tbnVtPjMxMTQ0NDY1PC9hY2Nlc3Npb24tbnVt
Pjx1cmxzPjxyZWxhdGVkLXVybHM+PHVybD5odHRwczovL3d3dy5uY2JpLm5sbS5uaWguZ292L3B1
Ym1lZC8zMTE0NDQ2NTwvdXJsPjwvcmVsYXRlZC11cmxzPjwvdXJscz48ZWxlY3Ryb25pYy1yZXNv
dXJjZS1udW0+MTAuMTExMS9qZWJtLjEyMzQ0PC9lbGVjdHJvbmljLXJlc291cmNlLW51bT48L3Jl
Y29yZD48L0NpdGU+PENpdGU+PEF1dGhvcj5QZcOxYS1Sb3NhczwvQXV0aG9yPjxZZWFyPjIwMTU8
L1llYXI+PFJlY051bT4xNjM2PC9SZWNOdW0+PHJlY29yZD48cmVjLW51bWJlcj4xNjM2PC9yZWMt
bnVtYmVyPjxmb3JlaWduLWtleXM+PGtleSBhcHA9IkVOIiBkYi1pZD0iZXh2YXNyZngyZHRyYW9l
c2FzeHAyc3pzeGEyZGY1MDI1OTJ4IiB0aW1lc3RhbXA9IjE1NzY3MzQzNjIiPjE2MzY8L2tleT48
a2V5IGFwcD0iRU5XZWIiIGRiLWlkPSIiPjA8L2tleT48L2ZvcmVpZ24ta2V5cz48cmVmLXR5cGUg
bmFtZT0iSm91cm5hbCBBcnRpY2xlIj4xNzwvcmVmLXR5cGU+PGNvbnRyaWJ1dG9ycz48YXV0aG9y
cz48YXV0aG9yPlBlw7FhLVJvc2FzLCBKdWFuIFBhYmxvPC9hdXRob3I+PGF1dGhvcj5EZS1SZWdp
bCwgTHV6IE1hcmlhPC9hdXRob3I+PGF1dGhvcj5HYXJjaWEtQ2FzYWwsIE1hcmlhIE4uPC9hdXRo
b3I+PGF1dGhvcj5Eb3dzd2VsbCwgVGhlcmVzZTwvYXV0aG9yPjwvYXV0aG9ycz48L2NvbnRyaWJ1
dG9ycz48dGl0bGVzPjx0aXRsZT5EYWlseSBvcmFsIGlyb24gc3VwcGxlbWVudGF0aW9uIGR1cmlu
ZyBwcmVnbmFuY3k8L3RpdGxlPjxzZWNvbmRhcnktdGl0bGU+Q29jaHJhbmUgRGF0YWJhc2Ugb2Yg
U3lzdGVtYXRpYyBSZXZpZXdzPC9zZWNvbmRhcnktdGl0bGU+PC90aXRsZXM+PHBlcmlvZGljYWw+
PGZ1bGwtdGl0bGU+Q29jaHJhbmUgRGF0YWJhc2Ugb2YgU3lzdGVtYXRpYyBSZXZpZXdzPC9mdWxs
LXRpdGxlPjwvcGVyaW9kaWNhbD48ZGF0ZXM+PHllYXI+MjAxNTwveWVhcj48L2RhdGVzPjxpc2Ju
PjE0NjUxODU4PC9pc2JuPjx1cmxzPjwvdXJscz48ZWxlY3Ryb25pYy1yZXNvdXJjZS1udW0+MTAu
MTAwMi8xNDY1MTg1OC5DRDAwNDczNi5wdWI1PC9lbGVjdHJvbmljLXJlc291cmNlLW51bT48L3Jl
Y29yZD48L0NpdGU+PENpdGU+PEF1dGhvcj5QZW5hLVJvc2FzPC9BdXRob3I+PFllYXI+MjAxNTwv
WWVhcj48UmVjTnVtPjE2Mzc8L1JlY051bT48cmVjb3JkPjxyZWMtbnVtYmVyPjE2Mzc8L3JlYy1u
dW1iZXI+PGZvcmVpZ24ta2V5cz48a2V5IGFwcD0iRU4iIGRiLWlkPSJleHZhc3JmeDJkdHJhb2Vz
YXN4cDJzenN4YTJkZjUwMjU5MngiIHRpbWVzdGFtcD0iMTU3NjczNDM3MSI+MTYzNzwva2V5Pjxr
ZXkgYXBwPSJFTldlYiIgZGItaWQ9IiI+MDwva2V5PjwvZm9yZWlnbi1rZXlzPjxyZWYtdHlwZSBu
YW1lPSJKb3VybmFsIEFydGljbGUiPjE3PC9yZWYtdHlwZT48Y29udHJpYnV0b3JzPjxhdXRob3Jz
PjxhdXRob3I+UGVuYS1Sb3NhcywgSi4gUC48L2F1dGhvcj48YXV0aG9yPkRlLVJlZ2lsLCBMLiBN
LjwvYXV0aG9yPjxhdXRob3I+R29tZXogTWFsYXZlLCBILjwvYXV0aG9yPjxhdXRob3I+RmxvcmVz
LVVycnV0aWEsIE0uIEMuPC9hdXRob3I+PGF1dGhvcj5Eb3dzd2VsbCwgVC48L2F1dGhvcj48L2F1
dGhvcnM+PC9jb250cmlidXRvcnM+PGF1dGgtYWRkcmVzcz5FdmlkZW5jZSBhbmQgUHJvZ3JhbW1l
IEd1aWRhbmNlLCBEZXBhcnRtZW50IG9mIE51dHJpdGlvbiBmb3IgSGVhbHRoIGFuZCBEZXZlbG9w
bWVudCwgV29ybGQgSGVhbHRoIE9yZ2FuaXphdGlvbiwgMjAgQXZlbnVlIEFwcGlhLCBHZW5ldmEs
IFN3aXR6ZXJsYW5kLCAxMjExLjwvYXV0aC1hZGRyZXNzPjx0aXRsZXM+PHRpdGxlPkludGVybWl0
dGVudCBvcmFsIGlyb24gc3VwcGxlbWVudGF0aW9uIGR1cmluZyBwcmVnbmFuY3k8L3RpdGxlPjxz
ZWNvbmRhcnktdGl0bGU+Q29jaHJhbmUgRGF0YWJhc2UgU3lzdCBSZXY8L3NlY29uZGFyeS10aXRs
ZT48L3RpdGxlcz48cGVyaW9kaWNhbD48ZnVsbC10aXRsZT5Db2NocmFuZSBEYXRhYmFzZSBTeXN0
IFJldjwvZnVsbC10aXRsZT48L3BlcmlvZGljYWw+PHBhZ2VzPkNEMDA5OTk3PC9wYWdlcz48bnVt
YmVyPjEwPC9udW1iZXI+PGVkaXRpb24+MjAxNS8xMC8yMTwvZWRpdGlvbj48a2V5d29yZHM+PGtl
eXdvcmQ+QWRtaW5pc3RyYXRpb24sIE9yYWw8L2tleXdvcmQ+PGtleXdvcmQ+QW5lbWlhLCBJcm9u
LURlZmljaWVuY3kvYmxvb2QvKnByZXZlbnRpb24gJmFtcDsgY29udHJvbDwva2V5d29yZD48a2V5
d29yZD5EZXZlbG9waW5nIENvdW50cmllczwva2V5d29yZD48a2V5d29yZD5EaWV0YXJ5IFN1cHBs
ZW1lbnRzLyphZHZlcnNlIGVmZmVjdHM8L2tleXdvcmQ+PGtleXdvcmQ+RHJ1ZyBBZG1pbmlzdHJh
dGlvbiBTY2hlZHVsZTwva2V5d29yZD48a2V5d29yZD5EcnVnIENvbWJpbmF0aW9uczwva2V5d29y
ZD48a2V5d29yZD5GZW1hbGU8L2tleXdvcmQ+PGtleXdvcmQ+Rm9saWMgQWNpZC9hZG1pbmlzdHJh
dGlvbiAmYW1wOyBkb3NhZ2U8L2tleXdvcmQ+PGtleXdvcmQ+SGVtb2dsb2JpbiBBL21ldGFib2xp
c208L2tleXdvcmQ+PGtleXdvcmQ+SHVtYW5zPC9rZXl3b3JkPjxrZXl3b3JkPkluZmFudCwgTG93
IEJpcnRoIFdlaWdodDwva2V5d29yZD48a2V5d29yZD5JbmZhbnQsIE5ld2Jvcm48L2tleXdvcmQ+
PGtleXdvcmQ+SXJvbi8qYWRtaW5pc3RyYXRpb24gJmFtcDsgZG9zYWdlL2FkdmVyc2UgZWZmZWN0
czwva2V5d29yZD48a2V5d29yZD5Jcm9uLCBEaWV0YXJ5LyphZG1pbmlzdHJhdGlvbiAmYW1wOyBk
b3NhZ2U8L2tleXdvcmQ+PGtleXdvcmQ+UHJlZ25hbmN5PC9rZXl3b3JkPjxrZXl3b3JkPlByZWdu
YW5jeSBDb21wbGljYXRpb25zLCBIZW1hdG9sb2dpYy9ibG9vZC8qcHJldmVudGlvbiAmYW1wOyBj
b250cm9sPC9rZXl3b3JkPjxrZXl3b3JkPlByZW1hdHVyZSBCaXJ0aDwva2V5d29yZD48a2V5d29y
ZD5SYW5kb21pemVkIENvbnRyb2xsZWQgVHJpYWxzIGFzIFRvcGljPC9rZXl3b3JkPjxrZXl3b3Jk
PlZpdGFtaW5zL2FkbWluaXN0cmF0aW9uICZhbXA7IGRvc2FnZTwva2V5d29yZD48L2tleXdvcmRz
PjxkYXRlcz48eWVhcj4yMDE1PC95ZWFyPjxwdWItZGF0ZXM+PGRhdGU+T2N0IDE5PC9kYXRlPjwv
cHViLWRhdGVzPjwvZGF0ZXM+PGlzYm4+MTQ2OS00OTNYIChFbGVjdHJvbmljKSYjeEQ7MTM2MS02
MTM3IChMaW5raW5nKTwvaXNibj48YWNjZXNzaW9uLW51bT4yNjQ4MjExMDwvYWNjZXNzaW9uLW51
bT48dXJscz48cmVsYXRlZC11cmxzPjx1cmw+aHR0cHM6Ly93d3cubmNiaS5ubG0ubmloLmdvdi9w
dWJtZWQvMjY0ODIxMTA8L3VybD48L3JlbGF0ZWQtdXJscz48L3VybHM+PGVsZWN0cm9uaWMtcmVz
b3VyY2UtbnVtPjEwLjEwMDIvMTQ2NTE4NTguQ0QwMDk5OTcucHViMjwvZWxlY3Ryb25pYy1yZXNv
dXJjZS1udW0+PC9yZWNvcmQ+PC9DaXRlPjxDaXRlPjxBdXRob3I+SmF5YXNpbmdoZTwvQXV0aG9y
PjxZZWFyPjIwMTg8L1llYXI+PFJlY051bT4xNjMwPC9SZWNOdW0+PHJlY29yZD48cmVjLW51bWJl
cj4xNjMwPC9yZWMtbnVtYmVyPjxmb3JlaWduLWtleXM+PGtleSBhcHA9IkVOIiBkYi1pZD0iZXh2
YXNyZngyZHRyYW9lc2FzeHAyc3pzeGEyZGY1MDI1OTJ4IiB0aW1lc3RhbXA9IjE1NzY3MzQzMjgi
PjE2MzA8L2tleT48a2V5IGFwcD0iRU5XZWIiIGRiLWlkPSIiPjA8L2tleT48L2ZvcmVpZ24ta2V5
cz48cmVmLXR5cGUgbmFtZT0iSm91cm5hbCBBcnRpY2xlIj4xNzwvcmVmLXR5cGU+PGNvbnRyaWJ1
dG9ycz48YXV0aG9ycz48YXV0aG9yPkpheWFzaW5naGUsIEMuPC9hdXRob3I+PGF1dGhvcj5Qb2xz
b24sIFIuPC9hdXRob3I+PGF1dGhvcj52YW4gV29lcmRlbiwgSC4gQy48L2F1dGhvcj48YXV0aG9y
PldpbHNvbiwgUC48L2F1dGhvcj48L2F1dGhvcnM+PC9jb250cmlidXRvcnM+PGF1dGgtYWRkcmVz
cz5NaW5pc3RyeSBvZiBIZWFsdGgsIDM4NSwgVmVuLiBCYWRkZWdhbWEgV2ltYWxhd2Fuc2EgVGhl
cm8gTWF3YXRoYSwgQ29sb21ibywgMTAsIFNyaSBMYW5rYS4gY2hpbnRoYWpAeWFob28uY29tLiYj
eEQ7Q2VudHJlIGZvciBIZWFsdGggU2NpZW5jZSwgVW5pdmVyc2l0eSBvZiB0aGUgSGlnaGxhbmQg
YW5kIElzbGFuZHMsIE9sZCBQZXJ0aCBSb2FkLCBJbnZlcm5lc3MsIElWMiAzSkgsIFVLLiYjeEQ7
Q2VudHJlIGZvciBSdXJhbCBIZWFsdGgsIFVuaXZlcnNpdHkgb2YgQWJlcmRlZW4sIE9sZCBQZXJ0
aCBSb2FkLCBJbnZlcm5lc3MsIElWMiAzSkgsIFVLLjwvYXV0aC1hZGRyZXNzPjx0aXRsZXM+PHRp
dGxlPlRoZSBlZmZlY3Qgb2YgdW5pdmVyc2FsIG1hdGVybmFsIGFudGVuYXRhbCBpcm9uIHN1cHBs
ZW1lbnRhdGlvbiBvbiBuZXVyb2RldmVsb3BtZW50IGluIG9mZnNwcmluZzogYSBzeXN0ZW1hdGlj
IHJldmlldyBhbmQgbWV0YS1hbmFseXNpczwvdGl0bGU+PHNlY29uZGFyeS10aXRsZT5CTUMgUGVk
aWF0cjwvc2Vjb25kYXJ5LXRpdGxlPjwvdGl0bGVzPjxwZXJpb2RpY2FsPjxmdWxsLXRpdGxlPkJN
QyBQZWRpYXRyPC9mdWxsLXRpdGxlPjwvcGVyaW9kaWNhbD48cGFnZXM+MTUwPC9wYWdlcz48dm9s
dW1lPjE4PC92b2x1bWU+PG51bWJlcj4xPC9udW1iZXI+PGVkaXRpb24+MjAxOC8wNS8wODwvZWRp
dGlvbj48a2V5d29yZHM+PGtleXdvcmQ+QW5lbWlhLCBJcm9uLURlZmljaWVuY3kvZXBpZGVtaW9s
b2d5L3ByZXZlbnRpb24gJmFtcDsgY29udHJvbDwva2V5d29yZD48a2V5d29yZD5DaGlsZDwva2V5
d29yZD48a2V5d29yZD5DaGlsZCBCZWhhdmlvcjwva2V5d29yZD48a2V5d29yZD4qQ2hpbGQgRGV2
ZWxvcG1lbnQ8L2tleXdvcmQ+PGtleXdvcmQ+Q29nbml0aW9uPC9rZXl3b3JkPjxrZXl3b3JkPipE
aWV0YXJ5IFN1cHBsZW1lbnRzPC9rZXl3b3JkPjxrZXl3b3JkPkZlbWFsZTwva2V5d29yZD48a2V5
d29yZD5Gb2xpYyBBY2lkLyphZG1pbmlzdHJhdGlvbiAmYW1wOyBkb3NhZ2U8L2tleXdvcmQ+PGtl
eXdvcmQ+SHVtYW5zPC9rZXl3b3JkPjxrZXl3b3JkPkludGVsbGlnZW5jZTwva2V5d29yZD48a2V5
d29yZD5QcmVnbmFuY3k8L2tleXdvcmQ+PGtleXdvcmQ+UHJlZ25hbmN5IENvbXBsaWNhdGlvbnMs
IEhlbWF0b2xvZ2ljL2VwaWRlbWlvbG9neS9wcmV2ZW50aW9uICZhbXA7IGNvbnRyb2w8L2tleXdv
cmQ+PGtleXdvcmQ+UHJlbmF0YWwgQ2FyZS8qbWV0aG9kczwva2V5d29yZD48a2V5d29yZD5QcmV2
YWxlbmNlPC9rZXl3b3JkPjxrZXl3b3JkPipBbnRlbmF0YWw8L2tleXdvcmQ+PGtleXdvcmQ+Kkly
b24gZGVmaWNpZW5jeSBhbmFlbWlhPC9rZXl3b3JkPjxrZXl3b3JkPipJcm9uIHN1cHBsZW1lbnRh
dGlvbjwva2V5d29yZD48a2V5d29yZD4qTmV1cm9kZXZlbG9wbWVudDwva2V5d29yZD48a2V5d29y
ZD4qT2Zmc3ByaW5nPC9rZXl3b3JkPjwva2V5d29yZHM+PGRhdGVzPjx5ZWFyPjIwMTg8L3llYXI+
PHB1Yi1kYXRlcz48ZGF0ZT5NYXkgNDwvZGF0ZT48L3B1Yi1kYXRlcz48L2RhdGVzPjxpc2JuPjE0
NzEtMjQzMSAoRWxlY3Ryb25pYykmI3hEOzE0NzEtMjQzMSAoTGlua2luZyk8L2lzYm4+PGFjY2Vz
c2lvbi1udW0+Mjk3MjgwODY8L2FjY2Vzc2lvbi1udW0+PHVybHM+PHJlbGF0ZWQtdXJscz48dXJs
Pmh0dHBzOi8vd3d3Lm5jYmkubmxtLm5paC5nb3YvcHVibWVkLzI5NzI4MDg2PC91cmw+PC9yZWxh
dGVkLXVybHM+PC91cmxzPjxjdXN0b20yPlBNQzU5MzYwMjU8L2N1c3RvbTI+PGVsZWN0cm9uaWMt
cmVzb3VyY2UtbnVtPjEwLjExODYvczEyODg3LTAxOC0xMTE4LTc8L2VsZWN0cm9uaWMtcmVzb3Vy
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173-176</w:t>
      </w:r>
      <w:r>
        <w:fldChar w:fldCharType="end"/>
      </w:r>
      <w:r>
        <w:t xml:space="preserve"> and </w:t>
      </w:r>
      <w:r w:rsidR="00B269AA">
        <w:t>six</w:t>
      </w:r>
      <w:r>
        <w:t xml:space="preserve"> RCTs.</w:t>
      </w:r>
      <w:r>
        <w:fldChar w:fldCharType="begin">
          <w:fldData xml:space="preserve">PEVuZE5vdGU+PENpdGU+PEF1dGhvcj5BbGl6YWRlaDwvQXV0aG9yPjxZZWFyPjIwMTY8L1llYXI+
PFJlY051bT4xNjIyPC9SZWNOdW0+PERpc3BsYXlUZXh0PjxzdHlsZSBmYWNlPSJzdXBlcnNjcmlw
dCIgZm9udD0iVHJlYnVjaGV0IE1TIiBzaXplPSI5Ij4xNzctMTg0PC9zdHlsZT48L0Rpc3BsYXlU
ZXh0PjxyZWNvcmQ+PHJlYy1udW1iZXI+MTYyMjwvcmVjLW51bWJlcj48Zm9yZWlnbi1rZXlzPjxr
ZXkgYXBwPSJFTiIgZGItaWQ9ImV4dmFzcmZ4MmR0cmFvZXNhc3hwMnN6c3hhMmRmNTAyNTkyeCIg
dGltZXN0YW1wPSIxNTc2NzM0Mjk3Ij4xNjIyPC9rZXk+PGtleSBhcHA9IkVOV2ViIiBkYi1pZD0i
Ij4wPC9rZXk+PC9mb3JlaWduLWtleXM+PHJlZi10eXBlIG5hbWU9IkpvdXJuYWwgQXJ0aWNsZSI+
MTc8L3JlZi10eXBlPjxjb250cmlidXRvcnM+PGF1dGhvcnM+PGF1dGhvcj5BbGl6YWRlaCwgTC48
L2F1dGhvcj48YXV0aG9yPlNhbGVoaSwgTC48L2F1dGhvcj48L2F1dGhvcnM+PC9jb250cmlidXRv
cnM+PGF1dGgtYWRkcmVzcz5EZXBhcnRtZW50IG9mIE1hdGVybmFsIGFuZCBDaGlsZCBIZWFsdGgs
IEFyZGFiaWwgQnJhbmNoLCBJc2xhbWljIEF6YWQgVW5pdmVyc2l0eSwgQXJkYWJpbCwgSVIgSXJh
bi4mI3hEO0RlcGFydG1lbnQgb2YgSGVhbHRoIEVkdWNhdGlvbiBhbmQgUHJvbW90aW9uLCBTY2hv
b2wgb2YgUHVibGljIEhlYWx0aCwgQWxib3J6IFVuaXZlcnNpdHkgb2YgTWVkaWNhbCBTY2llbmNl
cywgS2FyYWosIElSIElyYW4uPC9hdXRoLWFkZHJlc3M+PHRpdGxlcz48dGl0bGU+SXMgcm91dGlu
ZSBpcm9uIHN1cHBsZW1lbnRhdGlvbiBuZWNlc3NhcnkgaW4gcHJlZ25hbnQgd29tZW4gd2l0aCBo
aWdoIGhlbW9nbG9iaW4/PC90aXRsZT48c2Vjb25kYXJ5LXRpdGxlPklyYW4gUmVkIENyZXNjZW50
IE1lZCBKPC9zZWNvbmRhcnktdGl0bGU+PC90aXRsZXM+PHBlcmlvZGljYWw+PGZ1bGwtdGl0bGU+
SXJhbiBSZWQgQ3Jlc2NlbnQgTWVkIEo8L2Z1bGwtdGl0bGU+PC9wZXJpb2RpY2FsPjxwYWdlcz5l
MjI3NjE8L3BhZ2VzPjx2b2x1bWU+MTg8L3ZvbHVtZT48bnVtYmVyPjE8L251bWJlcj48ZWRpdGlv
bj4yMDE2LzAyLzE5PC9lZGl0aW9uPjxrZXl3b3Jkcz48a2V5d29yZD5CaXJ0aCBXZWlnaHQ8L2tl
eXdvcmQ+PGtleXdvcmQ+SGVtb2dsb2Jpbjwva2V5d29yZD48a2V5d29yZD5Jcm9uLCBGZXJyaXRp
bjwva2V5d29yZD48a2V5d29yZD5QcmVnbmFuY3k8L2tleXdvcmQ+PC9rZXl3b3Jkcz48ZGF0ZXM+
PHllYXI+MjAxNjwveWVhcj48cHViLWRhdGVzPjxkYXRlPkphbjwvZGF0ZT48L3B1Yi1kYXRlcz48
L2RhdGVzPjxpc2JuPjIwNzQtMTgwNCAoUHJpbnQpJiN4RDsyMDc0LTE4MDQgKExpbmtpbmcpPC9p
c2JuPjxhY2Nlc3Npb24tbnVtPjI2ODg5MzkxPC9hY2Nlc3Npb24tbnVtPjx1cmxzPjxyZWxhdGVk
LXVybHM+PHVybD5odHRwczovL3d3dy5uY2JpLm5sbS5uaWguZ292L3B1Ym1lZC8yNjg4OTM5MTwv
dXJsPjwvcmVsYXRlZC11cmxzPjwvdXJscz48Y3VzdG9tMj5QTUM0NzUzMDIzPC9jdXN0b20yPjxl
bGVjdHJvbmljLXJlc291cmNlLW51bT4xMC41ODEyL2lyY21qLjIyNzYxPC9lbGVjdHJvbmljLXJl
c291cmNlLW51bT48L3JlY29yZD48L0NpdGU+PENpdGU+PEF1dGhvcj5FdGhlcmVkZ2U8L0F1dGhv
cj48WWVhcj4yMDE1PC9ZZWFyPjxSZWNOdW0+MTYyNjwvUmVjTnVtPjxyZWNvcmQ+PHJlYy1udW1i
ZXI+MTYyNjwvcmVjLW51bWJlcj48Zm9yZWlnbi1rZXlzPjxrZXkgYXBwPSJFTiIgZGItaWQ9ImV4
dmFzcmZ4MmR0cmFvZXNhc3hwMnN6c3hhMmRmNTAyNTkyeCIgdGltZXN0YW1wPSIxNTc2NzM0MzEw
Ij4xNjI2PC9rZXk+PGtleSBhcHA9IkVOV2ViIiBkYi1pZD0iIj4wPC9rZXk+PC9mb3JlaWduLWtl
eXM+PHJlZi10eXBlIG5hbWU9IkpvdXJuYWwgQXJ0aWNsZSI+MTc8L3JlZi10eXBlPjxjb250cmli
dXRvcnM+PGF1dGhvcnM+PGF1dGhvcj5FdGhlcmVkZ2UsIEEuIEouPC9hdXRob3I+PGF1dGhvcj5Q
cmVtamksIFouPC9hdXRob3I+PGF1dGhvcj5HdW5hcmF0bmEsIE4uIFMuPC9hdXRob3I+PGF1dGhv
cj5BYmlveWUsIEEuIEkuPC9hdXRob3I+PGF1dGhvcj5BYm91ZCwgUy48L2F1dGhvcj48YXV0aG9y
PkR1Z2dhbiwgQy48L2F1dGhvcj48YXV0aG9yPk1vbmdpLCBSLjwvYXV0aG9yPjxhdXRob3I+TWVs
b25leSwgTC48L2F1dGhvcj48YXV0aG9yPlNwaWVnZWxtYW4sIEQuPC9hdXRob3I+PGF1dGhvcj5S
b2JlcnRzLCBELjwvYXV0aG9yPjxhdXRob3I+SGFtZXIsIEQuIEguPC9hdXRob3I+PGF1dGhvcj5G
YXd6aSwgVy4gVy48L2F1dGhvcj48L2F1dGhvcnM+PC9jb250cmlidXRvcnM+PGF1dGgtYWRkcmVz
cz5EZXBhcnRtZW50IG9mIEdsb2JhbCBIZWFsdGggYW5kIFBvcHVsYXRpb24sIEhhcnZhcmQgVC4g
SC4gQ2hhbiBTY2hvb2wgb2YgUHVibGljIEhlYWx0aCwgQm9zdG9uLCBNYXNzYWNodXNldHRzMkRp
dmlzaW9uIG9mIEdhc3Ryb2VudGVyb2xvZ3ksIEhlcGF0b2xvZ3ksIGFuZCBOdXRyaXRpb24sIEJv
c3RvbiBDaGlsZHJlbiZhcG9zO3MgSG9zcGl0YWwsIEhhcnZhcmQgTWVkaWNhbCBTY2hvb2wsIEJv
c3RvbiwgTWFzc2FjaHVzZXR0cy4mI3hEO0RlcGFydG1lbnQgb2YgUGFyYXNpdG9sb2d5L01lZGlj
YWwgRW50b21vbG9neSwgU2Nob29sIG9mIFB1YmxpYyBIZWFsdGggYW5kIFNvY2lhbCBTY2llbmNl
cywgTXVoaW1iaWxpIFVuaXZlcnNpdHkgb2YgSGVhbHRoIGFuZCBBbGxpZWQgU2NpZW5jZXMsIERh
ciBlcyBTYWxhYW0sIFRhbnphbmlhLiYjeEQ7RGVwYXJ0bWVudCBvZiBHbG9iYWwgSGVhbHRoIGFu
ZCBQb3B1bGF0aW9uLCBIYXJ2YXJkIFQuIEguIENoYW4gU2Nob29sIG9mIFB1YmxpYyBIZWFsdGgs
IEJvc3RvbiwgTWFzc2FjaHVzZXR0cy4mI3hEO0RlcGFydG1lbnQgb2YgTWljcm9iaW9sb2d5IGFu
ZCBJbW11bm9sb2d5LCBNdWhpbWJpbGkgVW5pdmVyc2l0eSBvZiBIZWFsdGggYW5kIEFsbGllZCBT
Y2llbmNlcywgRGFyIGVzIFNhbGFhbSwgVGFuemFuaWEuJiN4RDtEZXBhcnRtZW50IG9mIEdsb2Jh
bCBIZWFsdGggYW5kIFBvcHVsYXRpb24sIEhhcnZhcmQgVC4gSC4gQ2hhbiBTY2hvb2wgb2YgUHVi
bGljIEhlYWx0aCwgQm9zdG9uLCBNYXNzYWNodXNldHRzMkRpdmlzaW9uIG9mIEdhc3Ryb2VudGVy
b2xvZ3ksIEhlcGF0b2xvZ3ksIGFuZCBOdXRyaXRpb24sIEJvc3RvbiBDaGlsZHJlbiZhcG9zO3Mg
SG9zcGl0YWwsIEhhcnZhcmQgTWVkaWNhbCBTY2hvb2wsIEJvc3RvbiwgTWFzc2FjaHVzZXR0czVE
ZXBhcnRtZW50IG9mLiYjeEQ7RGVwYXJ0bWVudCBvZiBOdXRyaXRpb24sIEhhcnZhcmQgVC4gSC4g
Q2hhbiBTY2hvb2wgb2YgUHVibGljIEhlYWx0aCwgQm9zdG9uLCBNYXNzYWNodXNldHRzNkRlcGFy
dG1lbnQgb2YgRXBpZGVtaW9sb2d5LCBIYXJ2YXJkIFQuIEguIENoYW4gU2Nob29sIG9mIFB1Ymxp
YyBIZWFsdGgsIEJvc3RvbiwgTWFzc2FjaHVzZXR0czdEZXBhcnRtZW50IG9mIEJpb3N0YXRpc3Rp
Y3MsIEhhcnZhcmQgVC4gSC4gQ2hhbiBTY2hvb2wgb2YgUHVibGljIEhlYWx0LiYjeEQ7RGVwYXJ0
bWVudCBvZiBQYXRob2xvZ3ksIE1hc3NhY2h1c2V0dHMgR2VuZXJhbCBIb3NwaXRhbCwgQm9zdG9u
LiYjeEQ7RGVwYXJ0bWVudCBvZiBHbG9iYWwgSGVhbHRoLCBCb3N0b24gVW5pdmVyc2l0eSBTY2hv
b2wgb2YgUHVibGljIEhlYWx0aCwgQm9zdG9uLCBNYXNzYWNodXNldHRzMTBDZW50ZXIgZm9yIEds
b2JhbCBIZWFsdGggYW5kIERldmVsb3BtZW50LCBCb3N0b24gVW5pdmVyc2l0eSwgQm9zdG9uLCBN
YXNzYWNodXNldHRzMTFTZWN0aW9uIG9mIEluZmVjdGlvdXMgRGlzZWFzZXMsIERlcGFydG1lbnQg
b2YgTWVkaWNpbmUsIEJvc3RvbiBNZWRpY2FsIENlbnRlLiYjeEQ7RGVwYXJ0bWVudCBvZiBHbG9i
YWwgSGVhbHRoIGFuZCBQb3B1bGF0aW9uLCBIYXJ2YXJkIFQuIEguIENoYW4gU2Nob29sIG9mIFB1
YmxpYyBIZWFsdGgsIEJvc3RvbiwgTWFzc2FjaHVzZXR0czVEZXBhcnRtZW50IG9mIE51dHJpdGlv
biwgSGFydmFyZCBULiBILiBDaGFuIFNjaG9vbCBvZiBQdWJsaWMgSGVhbHRoLCBCb3N0b24sIE1h
c3NhY2h1c2V0dHM2RGVwYXJ0bWVudCBvZiBFcGlkZW1pb2xvZ3ksIEhhcnZhcmQgVC4gSC4gQ2hh
biBTY2hvb2wuPC9hdXRoLWFkZHJlc3M+PHRpdGxlcz48dGl0bGU+SXJvbiBzdXBwbGVtZW50YXRp
b24gaW4gaXJvbi1yZXBsZXRlIGFuZCBub25hbmVtaWMgcHJlZ25hbnQgd29tZW4gaW4gdGFuemFu
aWE6IGEgcmFuZG9taXplZCBjbGluaWNhbCB0cmlhbDwvdGl0bGU+PHNlY29uZGFyeS10aXRsZT5K
QU1BIFBlZGlhdHI8L3NlY29uZGFyeS10aXRsZT48L3RpdGxlcz48cGVyaW9kaWNhbD48ZnVsbC10
aXRsZT5KQU1BIFBlZGlhdHI8L2Z1bGwtdGl0bGU+PC9wZXJpb2RpY2FsPjxwYWdlcz45NDctNTU8
L3BhZ2VzPjx2b2x1bWU+MTY5PC92b2x1bWU+PG51bWJlcj4xMDwvbnVtYmVyPjxlZGl0aW9uPjIw
MTUvMDgvMTk8L2VkaXRpb24+PGtleXdvcmRzPjxrZXl3b3JkPkFkdWx0PC9rZXl3b3JkPjxrZXl3
b3JkPkFuZW1pYSwgSXJvbi1EZWZpY2llbmN5LypwcmV2ZW50aW9uICZhbXA7IGNvbnRyb2w8L2tl
eXdvcmQ+PGtleXdvcmQ+QmlydGggV2VpZ2h0PC9rZXl3b3JkPjxrZXl3b3JkPipEaWV0YXJ5IFN1
cHBsZW1lbnRzPC9rZXl3b3JkPjxrZXl3b3JkPkRvdWJsZS1CbGluZCBNZXRob2Q8L2tleXdvcmQ+
PGtleXdvcmQ+RmVtYWxlPC9rZXl3b3JkPjxrZXl3b3JkPkhlbW9nbG9iaW5zL2FuYWx5c2lzPC9r
ZXl3b3JkPjxrZXl3b3JkPkh1bWFuczwva2V5d29yZD48a2V5d29yZD5Jcm9uLyp0aGVyYXBldXRp
YyB1c2U8L2tleXdvcmQ+PGtleXdvcmQ+TWFsYXJpYS9lcGlkZW1pb2xvZ3k8L2tleXdvcmQ+PGtl
eXdvcmQ+UGxhY2VudGEgRGlzZWFzZXMvZXBpZGVtaW9sb2d5PC9rZXl3b3JkPjxrZXl3b3JkPlBy
ZWduYW5jeTwva2V5d29yZD48a2V5d29yZD5QcmVuYXRhbCBDYXJlL21ldGhvZHM8L2tleXdvcmQ+
PGtleXdvcmQ+VGFuemFuaWEvZXBpZGVtaW9sb2d5PC9rZXl3b3JkPjxrZXl3b3JkPlRyYWNlIEVs
ZW1lbnRzLyp0aGVyYXBldXRpYyB1c2U8L2tleXdvcmQ+PGtleXdvcmQ+VHJlYXRtZW50IE91dGNv
bWU8L2tleXdvcmQ+PGtleXdvcmQ+WW91bmcgQWR1bHQ8L2tleXdvcmQ+PC9rZXl3b3Jkcz48ZGF0
ZXM+PHllYXI+MjAxNTwveWVhcj48cHViLWRhdGVzPjxkYXRlPk9jdDwvZGF0ZT48L3B1Yi1kYXRl
cz48L2RhdGVzPjxpc2JuPjIxNjgtNjIxMSAoRWxlY3Ryb25pYykmI3hEOzIxNjgtNjIwMyAoTGlu
a2luZyk8L2lzYm4+PGFjY2Vzc2lvbi1udW0+MjYyODA1MzQ8L2FjY2Vzc2lvbi1udW0+PHVybHM+
PHJlbGF0ZWQtdXJscz48dXJsPmh0dHBzOi8vd3d3Lm5jYmkubmxtLm5paC5nb3YvcHVibWVkLzI2
MjgwNTM0PC91cmw+PC9yZWxhdGVkLXVybHM+PC91cmxzPjxjdXN0b20yPlBNQzQ5MDQ3MTM8L2N1
c3RvbTI+PGVsZWN0cm9uaWMtcmVzb3VyY2UtbnVtPjEwLjEwMDEvamFtYXBlZGlhdHJpY3MuMjAx
NS4xNDgwPC9lbGVjdHJvbmljLXJlc291cmNlLW51bT48L3JlY29yZD48L0NpdGU+PENpdGU+PEF1
dGhvcj5Hb29uZXdhcmRlbmU8L0F1dGhvcj48WWVhcj4yMDE4PC9ZZWFyPjxSZWNOdW0+MTYyNzwv
UmVjTnVtPjxyZWNvcmQ+PHJlYy1udW1iZXI+MTYyNzwvcmVjLW51bWJlcj48Zm9yZWlnbi1rZXlz
PjxrZXkgYXBwPSJFTiIgZGItaWQ9ImV4dmFzcmZ4MmR0cmFvZXNhc3hwMnN6c3hhMmRmNTAyNTky
eCIgdGltZXN0YW1wPSIxNTc2NzM0MzE2Ij4xNjI3PC9rZXk+PGtleSBhcHA9IkVOV2ViIiBkYi1p
ZD0iIj4wPC9rZXk+PC9mb3JlaWduLWtleXM+PHJlZi10eXBlIG5hbWU9IkpvdXJuYWwgQXJ0aWNs
ZSI+MTc8L3JlZi10eXBlPjxjb250cmlidXRvcnM+PGF1dGhvcnM+PGF1dGhvcj5Hb29uZXdhcmRl
bmUsIEkuIE0uIFIuPC9hdXRob3I+PGF1dGhvcj5TZW5hZGhlZXJhLCBELiBJLjwvYXV0aG9yPjwv
YXV0aG9ycz48L2NvbnRyaWJ1dG9ycz48YXV0aC1hZGRyZXNzPkFjYWRlbWljIE9ic3RldHJpY3Mg
YW5kIEd5bmFlY29sb2d5IFVuaXQsIFRlYWNoaW5nIEhvc3BpdGFsLCBHYWxsZSwgU3JpIExhbmth
LjwvYXV0aC1hZGRyZXNzPjx0aXRsZXM+PHRpdGxlPlJhbmRvbWl6ZWQgY29udHJvbCB0cmlhbCBj
b21wYXJpbmcgZWZmZWN0aXZlbmVzcyBvZiB3ZWVrbHkgdmVyc3VzIGRhaWx5IGFudGVuYXRhbCBv
cmFsIGlyb24gc3VwcGxlbWVudGF0aW9uIGluIHByZXZlbnRpbmcgYW5lbWlhIGR1cmluZyBwcmVn
bmFuY3k8L3RpdGxlPjxzZWNvbmRhcnktdGl0bGU+SiBPYnN0ZXQgR3luYWVjb2wgUmVzPC9zZWNv
bmRhcnktdGl0bGU+PC90aXRsZXM+PHBlcmlvZGljYWw+PGZ1bGwtdGl0bGU+SiBPYnN0ZXQgR3lu
YWVjb2wgUmVzPC9mdWxsLXRpdGxlPjwvcGVyaW9kaWNhbD48cGFnZXM+NDE3LTQyNDwvcGFnZXM+
PHZvbHVtZT40NDwvdm9sdW1lPjxudW1iZXI+MzwvbnVtYmVyPjxlZGl0aW9uPjIwMTcvMTIvMjM8
L2VkaXRpb24+PGtleXdvcmRzPjxrZXl3b3JkPkFkdWx0PC9rZXl3b3JkPjxrZXl3b3JkPkFuZW1p
YS8qcHJldmVudGlvbiAmYW1wOyBjb250cm9sPC9rZXl3b3JkPjxrZXl3b3JkPkFuZW1pYSwgSXJv
bi1EZWZpY2llbmN5L3ByZXZlbnRpb24gJmFtcDsgY29udHJvbDwva2V5d29yZD48a2V5d29yZD4q
RGlldGFyeSBTdXBwbGVtZW50czwva2V5d29yZD48a2V5d29yZD5GZW1hbGU8L2tleXdvcmQ+PGtl
eXdvcmQ+Rm9saWMgQWNpZC9hZG1pbmlzdHJhdGlvbiAmYW1wOyBkb3NhZ2UvKnBoYXJtYWNvbG9n
eTwva2V5d29yZD48a2V5d29yZD5IdW1hbnM8L2tleXdvcmQ+PGtleXdvcmQ+SXJvbi9hZG1pbmlz
dHJhdGlvbiAmYW1wOyBkb3NhZ2UvKnBoYXJtYWNvbG9neTwva2V5d29yZD48a2V5d29yZD4qT3V0
Y29tZSBBc3Nlc3NtZW50LCBIZWFsdGggQ2FyZTwva2V5d29yZD48a2V5d29yZD5QcmVnbmFuY3k8
L2tleXdvcmQ+PGtleXdvcmQ+UHJlZ25hbmN5IENvbXBsaWNhdGlvbnMsIEhlbWF0b2xvZ2ljLypw
cmV2ZW50aW9uICZhbXA7IGNvbnRyb2w8L2tleXdvcmQ+PGtleXdvcmQ+U3JpIExhbmthPC9rZXl3
b3JkPjxrZXl3b3JkPmFudGVuYXRhbCBvcmFsIGlyb24gYW5kIGZvbGF0ZTwva2V5d29yZD48a2V5
d29yZD5pbnRlcm1pdHRlbnQ8L2tleXdvcmQ+PGtleXdvcmQ+bm9uLWFuZW1pYyBwcmVnbmFudCB3
b21lbjwva2V5d29yZD48a2V5d29yZD53ZWVrbHkgdmVyc3VzIGRhaWx5PC9rZXl3b3JkPjwva2V5
d29yZHM+PGRhdGVzPjx5ZWFyPjIwMTg8L3llYXI+PHB1Yi1kYXRlcz48ZGF0ZT5NYXI8L2RhdGU+
PC9wdWItZGF0ZXM+PC9kYXRlcz48aXNibj4xNDQ3LTA3NTYgKEVsZWN0cm9uaWMpJiN4RDsxMzQx
LTgwNzYgKExpbmtpbmcpPC9pc2JuPjxhY2Nlc3Npb24tbnVtPjI5MjcxMDIyPC9hY2Nlc3Npb24t
bnVtPjx1cmxzPjxyZWxhdGVkLXVybHM+PHVybD5odHRwczovL3d3dy5uY2JpLm5sbS5uaWguZ292
L3B1Ym1lZC8yOTI3MTAyMjwvdXJsPjwvcmVsYXRlZC11cmxzPjwvdXJscz48ZWxlY3Ryb25pYy1y
ZXNvdXJjZS1udW0+MTAuMTExMS9qb2cuMTM1NDY8L2VsZWN0cm9uaWMtcmVzb3VyY2UtbnVtPjwv
cmVjb3JkPjwvQ2l0ZT48Q2l0ZT48QXV0aG9yPkphZmFyYmVnbG9vPC9BdXRob3I+PFllYXI+MjAx
NTwvWWVhcj48UmVjTnVtPjE2Mjk8L1JlY051bT48cmVjb3JkPjxyZWMtbnVtYmVyPjE2Mjk8L3Jl
Yy1udW1iZXI+PGZvcmVpZ24ta2V5cz48a2V5IGFwcD0iRU4iIGRiLWlkPSJleHZhc3JmeDJkdHJh
b2VzYXN4cDJzenN4YTJkZjUwMjU5MngiIHRpbWVzdGFtcD0iMTU3NjczNDMyMyI+MTYyOTwva2V5
PjxrZXkgYXBwPSJFTldlYiIgZGItaWQ9IiI+MDwva2V5PjwvZm9yZWlnbi1rZXlzPjxyZWYtdHlw
ZSBuYW1lPSJKb3VybmFsIEFydGljbGUiPjE3PC9yZWYtdHlwZT48Y29udHJpYnV0b3JzPjxhdXRo
b3JzPjxhdXRob3I+SmFmYXJiZWdsb28sIEUuPC9hdXRob3I+PGF1dGhvcj5BaG1hcmkgVGVocmFu
LCBILjwvYXV0aG9yPjxhdXRob3I+RGFka2hhaCBUZWhyYW5pLCBULjwvYXV0aG9yPjwvYXV0aG9y
cz48L2NvbnRyaWJ1dG9ycz48YXV0aC1hZGRyZXNzPlNjaG9vbCBvZiBOdXJzaW5nIGFuZCBNaWR3
aWZlcnksIEhlYWx0aCBDYXJlIFJlc2VhcmNoIENlbnRlciwgUW9tIFVuaXZlcnNpdHkgb2YgTWVk
aWNhbCBTY2llbmNlcywgUW9tLCBJUiBJcmFuLiYjeEQ7UGhEIFN0dWRlbnQgaW4gTWVkaWNhbCBF
ZHVjYXRpb24sIERlcGFydG1lbnQgb2YgTWVkaWNhbCBFZHVjYXRpb24sIFRlaHJhbiBVbml2ZXJz
aXR5IG9mIE1lZGljYWwgU2NpZW5jZXMsIFRlaHJhbiwgSVIgSXJhbi48L2F1dGgtYWRkcmVzcz48
dGl0bGVzPjx0aXRsZT5HYXN0cm9pbnRlc3RpbmFsIGNvbXBsaWNhdGlvbnMgb2YgZmVycm91cyBz
dWxmYXRlIGluIHByZWduYW50IHdvbWVuOiBhIHJhbmRvbWl6ZWQgZG91YmxlLWJsaW5kIHBsYWNl
Ym8tY29udHJvbGxlZCB0cmlhbDwvdGl0bGU+PHNlY29uZGFyeS10aXRsZT5JcmFuIFJlZCBDcmVz
Y2VudCBNZWQgSjwvc2Vjb25kYXJ5LXRpdGxlPjwvdGl0bGVzPjxwZXJpb2RpY2FsPjxmdWxsLXRp
dGxlPklyYW4gUmVkIENyZXNjZW50IE1lZCBKPC9mdWxsLXRpdGxlPjwvcGVyaW9kaWNhbD48cGFn
ZXM+ZTE1MDAxPC9wYWdlcz48dm9sdW1lPjE3PC92b2x1bWU+PG51bWJlcj44PC9udW1iZXI+PGVk
aXRpb24+MjAxNS8xMC8wMzwvZWRpdGlvbj48a2V5d29yZHM+PGtleXdvcmQ+SGVtb2dsb2Jpbjwv
a2V5d29yZD48a2V5d29yZD5Jcm9uIFN1cHBsZW1lbnQ8L2tleXdvcmQ+PGtleXdvcmQ+UHJlZ25h
bnQgV29tZW48L2tleXdvcmQ+PGtleXdvcmQ+UmFuZG9taXplZCBDb3Ryb2xsZWQgVHJpYWw8L2tl
eXdvcmQ+PC9rZXl3b3Jkcz48ZGF0ZXM+PHllYXI+MjAxNTwveWVhcj48cHViLWRhdGVzPjxkYXRl
PkF1ZzwvZGF0ZT48L3B1Yi1kYXRlcz48L2RhdGVzPjxpc2JuPjIwNzQtMTgwNCAoUHJpbnQpJiN4
RDsyMDc0LTE4MDQgKExpbmtpbmcpPC9pc2JuPjxhY2Nlc3Npb24tbnVtPjI2NDMwNTIwPC9hY2Nl
c3Npb24tbnVtPjx1cmxzPjxyZWxhdGVkLXVybHM+PHVybD5odHRwczovL3d3dy5uY2JpLm5sbS5u
aWguZ292L3B1Ym1lZC8yNjQzMDUyMDwvdXJsPjwvcmVsYXRlZC11cmxzPjwvdXJscz48Y3VzdG9t
Mj5QTUM0NTg3MDkyPC9jdXN0b20yPjxlbGVjdHJvbmljLXJlc291cmNlLW51bT4xMC41ODEyL2ly
Y21qLjE1MDAxPC9lbGVjdHJvbmljLXJlc291cmNlLW51bT48L3JlY29yZD48L0NpdGU+PENpdGU+
PEF1dGhvcj5LaW5udW5lbjwvQXV0aG9yPjxZZWFyPjIwMTY8L1llYXI+PFJlY051bT4xNjMxPC9S
ZWNOdW0+PHJlY29yZD48cmVjLW51bWJlcj4xNjMxPC9yZWMtbnVtYmVyPjxmb3JlaWduLWtleXM+
PGtleSBhcHA9IkVOIiBkYi1pZD0iZXh2YXNyZngyZHRyYW9lc2FzeHAyc3pzeGEyZGY1MDI1OTJ4
IiB0aW1lc3RhbXA9IjE1NzY3MzQzMzEiPjE2MzE8L2tleT48a2V5IGFwcD0iRU5XZWIiIGRiLWlk
PSIiPjA8L2tleT48L2ZvcmVpZ24ta2V5cz48cmVmLXR5cGUgbmFtZT0iSm91cm5hbCBBcnRpY2xl
Ij4xNzwvcmVmLXR5cGU+PGNvbnRyaWJ1dG9ycz48YXV0aG9ycz48YXV0aG9yPktpbm51bmVuLCBU
LiBJLjwvYXV0aG9yPjxhdXRob3I+THVvdG8sIFIuPC9hdXRob3I+PGF1dGhvcj5IZWxpbiwgQS48
L2F1dGhvcj48YXV0aG9yPkhlbW1pbmtpLCBFLjwvYXV0aG9yPjwvYXV0aG9ycz48L2NvbnRyaWJ1
dG9ycz48YXV0aC1hZGRyZXNzPlNjaG9vbCBvZiBIZWFsdGggU2NpZW5jZXMsIFVuaXZlcnNpdHkg
b2YgVGFtcGVyZSwgVGFtcGVyZSwgRmlubGFuZC4mI3hEO1RoZSBVS0sgSW5zdGl0dXRlIGZvciBI
ZWFsdGggUHJvbW90aW9uIFJlc2VhcmNoLCBUYW1wZXJlLCBGaW5sYW5kLiYjeEQ7RGVwYXJ0bWVu
dCBvZiBDaGlsZHJlbiwgWW91bmcgUGVvcGxlIGFuZCBGYW1pbGllcywgVGhlIE5hdGlvbmFsIElu
c3RpdHV0ZSBmb3IgSGVhbHRoIGFuZCBXZWxmYXJlLCBIZWxzaW5raSwgRmlubGFuZC4mI3hEO1Nl
cnZpY2UgU3lzdGVtIERlcGFydG1lbnQsIFRoZSBOYXRpb25hbCBJbnN0aXR1dGUgZm9yIEhlYWx0
aCBhbmQgV2VsZmFyZSwgSGVsc2lua2ksIEZpbmxhbmQuPC9hdXRoLWFkZHJlc3M+PHRpdGxlcz48
dGl0bGU+U3VwcGxlbWVudGFsIGlyb24gaW50YWtlIGFuZCB0aGUgcmlzayBvZiBnbHVjb3NlIGlu
dG9sZXJhbmNlIGluIHByZWduYW5jeTogcmUtYW5hbHlzaXMgb2YgYSByYW5kb21pc2VkIGNvbnRy
b2xsZWQgdHJpYWwgaW4gRmlubGFuZDwvdGl0bGU+PHNlY29uZGFyeS10aXRsZT5NYXRlcm4gQ2hp
bGQgTnV0cjwvc2Vjb25kYXJ5LXRpdGxlPjwvdGl0bGVzPjxwZXJpb2RpY2FsPjxmdWxsLXRpdGxl
Pk1hdGVybiBDaGlsZCBOdXRyPC9mdWxsLXRpdGxlPjwvcGVyaW9kaWNhbD48cGFnZXM+NzQtODQ8
L3BhZ2VzPjx2b2x1bWU+MTI8L3ZvbHVtZT48bnVtYmVyPjE8L251bWJlcj48ZWRpdGlvbj4yMDE0
LzA3LzA2PC9lZGl0aW9uPjxrZXl3b3Jkcz48a2V5d29yZD5BZHVsdDwva2V5d29yZD48a2V5d29y
ZD5BbmVtaWEsIElyb24tRGVmaWNpZW5jeS8qZGlldCB0aGVyYXB5PC9rZXl3b3JkPjxrZXl3b3Jk
PkJpcnRoIFdlaWdodDwva2V5d29yZD48a2V5d29yZD5EaWFiZXRlcywgR2VzdGF0aW9uYWwvZXBp
ZGVtaW9sb2d5LypldGlvbG9neS9waHlzaW9wYXRob2xvZ3k8L2tleXdvcmQ+PGtleXdvcmQ+RGll
dGFyeSBTdXBwbGVtZW50cy8qYWR2ZXJzZSBlZmZlY3RzPC9rZXl3b3JkPjxrZXl3b3JkPkZlbWFs
ZTwva2V5d29yZD48a2V5d29yZD5GZXRhbCBNYWNyb3NvbWlhL2VwaWRlbWlvbG9neS9ldGlvbG9n
eTwva2V5d29yZD48a2V5d29yZD5GaW5sYW5kL2VwaWRlbWlvbG9neTwva2V5d29yZD48a2V5d29y
ZD5Gb2xsb3ctVXAgU3R1ZGllczwva2V5d29yZD48a2V5d29yZD5HbHVjb3NlIEludG9sZXJhbmNl
L2VwaWRlbWlvbG9neS9ldGlvbG9neS9waHlzaW9wYXRob2xvZ3k8L2tleXdvcmQ+PGtleXdvcmQ+
SHVtYW5zPC9rZXl3b3JkPjxrZXl3b3JkPkluY2lkZW5jZTwva2V5d29yZD48a2V5d29yZD5JbmZh
bnQsIE5ld2Jvcm48L2tleXdvcmQ+PGtleXdvcmQ+SXJvbiwgRGlldGFyeS8qYWR2ZXJzZSBlZmZl
Y3RzL3RoZXJhcGV1dGljIHVzZTwva2V5d29yZD48a2V5d29yZD5NYWxlPC9rZXl3b3JkPjxrZXl3
b3JkPipNYXRlcm5hbCBOdXRyaXRpb25hbCBQaHlzaW9sb2dpY2FsIFBoZW5vbWVuYTwva2V5d29y
ZD48a2V5d29yZD5QcmVnbmFuY3k8L2tleXdvcmQ+PGtleXdvcmQ+UmlzayBGYWN0b3JzPC9rZXl3
b3JkPjxrZXl3b3JkPldlaWdodCBHYWluPC9rZXl3b3JkPjxrZXl3b3JkPllvdW5nIEFkdWx0PC9r
ZXl3b3JkPjxrZXl3b3JkPmdlc3RhdGlvbmFsIGRpYWJldGVzPC9rZXl3b3JkPjxrZXl3b3JkPmds
dWNvc2UgaW50b2xlcmFuY2U8L2tleXdvcmQ+PGtleXdvcmQ+aXJvbiBzdXBwbGVtZW50YXRpb248
L2tleXdvcmQ+PGtleXdvcmQ+cmFuZG9taXNlZCBjb250cm9sbGVkIHRyaWFsPC9rZXl3b3JkPjwv
a2V5d29yZHM+PGRhdGVzPjx5ZWFyPjIwMTY8L3llYXI+PHB1Yi1kYXRlcz48ZGF0ZT5KYW48L2Rh
dGU+PC9wdWItZGF0ZXM+PC9kYXRlcz48aXNibj4xNzQwLTg3MDkgKEVsZWN0cm9uaWMpJiN4RDsx
NzQwLTg2OTUgKExpbmtpbmcpPC9pc2JuPjxhY2Nlc3Npb24tbnVtPjI0OTk1NzAwPC9hY2Nlc3Np
b24tbnVtPjx1cmxzPjxyZWxhdGVkLXVybHM+PHVybD5odHRwczovL3d3dy5uY2JpLm5sbS5uaWgu
Z292L3B1Ym1lZC8yNDk5NTcwMDwvdXJsPjwvcmVsYXRlZC11cmxzPjwvdXJscz48ZWxlY3Ryb25p
Yy1yZXNvdXJjZS1udW0+MTAuMTExMS9tY24uMTIxMzk8L2VsZWN0cm9uaWMtcmVzb3VyY2UtbnVt
PjwvcmVjb3JkPjwvQ2l0ZT48Q2l0ZT48QXV0aG9yPlBhcmlzaTwvQXV0aG9yPjxZZWFyPjIwMTc8
L1llYXI+PFJlY051bT4xNjM1PC9SZWNOdW0+PHJlY29yZD48cmVjLW51bWJlcj4xNjM1PC9yZWMt
bnVtYmVyPjxmb3JlaWduLWtleXM+PGtleSBhcHA9IkVOIiBkYi1pZD0iZXh2YXNyZngyZHRyYW9l
c2FzeHAyc3pzeGEyZGY1MDI1OTJ4IiB0aW1lc3RhbXA9IjE1NzY3MzQzNTgiPjE2MzU8L2tleT48
a2V5IGFwcD0iRU5XZWIiIGRiLWlkPSIiPjA8L2tleT48L2ZvcmVpZ24ta2V5cz48cmVmLXR5cGUg
bmFtZT0iSm91cm5hbCBBcnRpY2xlIj4xNzwvcmVmLXR5cGU+PGNvbnRyaWJ1dG9ycz48YXV0aG9y
cz48YXV0aG9yPlBhcmlzaSwgRi48L2F1dGhvcj48YXV0aG9yPkJlcnRpLCBDLjwvYXV0aG9yPjxh
dXRob3I+TWFuZG8sIEMuPC9hdXRob3I+PGF1dGhvcj5NYXJ0aW5lbGxpLCBBLjwvYXV0aG9yPjxh
dXRob3I+TWF6emFsaSwgQy48L2F1dGhvcj48YXV0aG9yPkNldGluLCBJLjwvYXV0aG9yPjwvYXV0
aG9ycz48L2NvbnRyaWJ1dG9ycz48YXV0aC1hZGRyZXNzPmEgVW5pdCBvZiBPYnN0ZXRyaWNzIGFu
ZCBHeW5lY29sb2d5LCBEZXBhcnRtZW50IG9mIEJpb21lZGljYWwgYW5kIENsaW5pY2FsIFNjaWVu
Y2VzLCBDZW50ZXIgZm9yIEZldGFsIFJlc2VhcmNoIEdpb3JnaW8gUGFyZGksIEhvc3BpdGFsIEx1
aWdpIFNhY2NvLCBVbml2ZXJzaXRhIGRlZ2xpIFN0dWRpIGRpIE1pbGFubyAsIE1pbGFuICwgSXRh
bHkgYW5kLiYjeEQ7YiBVbml0IG9mIFN0YXRpc3RpY3MgYW5kIEJpb21ldHJpY3MsIERlcGFydG1l
bnQgb2YgQmlvbWVkaWNhbCBhbmQgQ2xpbmljYWwgU2NpZW5jZXMsIEhvc3BpdGFsIEx1aWdpIFNh
Y2NvLCBVbml2ZXJzaXRhIGRlZ2xpIFN0dWRpIGRpIE1pbGFubyAsIE1pbGFuICwgSXRhbHkuPC9h
dXRoLWFkZHJlc3M+PHRpdGxlcz48dGl0bGU+RWZmZWN0cyBvZiBkaWZmZXJlbnQgcmVnaW1lbnMg
b2YgaXJvbiBwcm9waHlsYXhpcyBvbiBtYXRlcm5hbCBpcm9uIHN0YXR1cyBhbmQgcHJlZ25hbmN5
IG91dGNvbWU6IGEgcmFuZG9taXplZCBjb250cm9sIHRyaWFsPC90aXRsZT48c2Vjb25kYXJ5LXRp
dGxlPkogTWF0ZXJuIEZldGFsIE5lb25hdGFsIE1lZDwvc2Vjb25kYXJ5LXRpdGxlPjwvdGl0bGVz
PjxwZXJpb2RpY2FsPjxmdWxsLXRpdGxlPkogTWF0ZXJuIEZldGFsIE5lb25hdGFsIE1lZDwvZnVs
bC10aXRsZT48L3BlcmlvZGljYWw+PHBhZ2VzPjE3ODctMTc5MjwvcGFnZXM+PHZvbHVtZT4zMDwv
dm9sdW1lPjxudW1iZXI+MTU8L251bWJlcj48ZWRpdGlvbj4yMDE2LzA5LzAzPC9lZGl0aW9uPjxr
ZXl3b3Jkcz48a2V5d29yZD5BZG9sZXNjZW50PC9rZXl3b3JkPjxrZXl3b3JkPkFkdWx0PC9rZXl3
b3JkPjxrZXl3b3JkPkFuZW1pYSwgSXJvbi1EZWZpY2llbmN5L2Jsb29kLypwcmV2ZW50aW9uICZh
bXA7IGNvbnRyb2w8L2tleXdvcmQ+PGtleXdvcmQ+QmlydGggV2VpZ2h0PC9rZXl3b3JkPjxrZXl3
b3JkPkRpZXRhcnkgU3VwcGxlbWVudHM8L2tleXdvcmQ+PGtleXdvcmQ+RmVtYWxlPC9rZXl3b3Jk
PjxrZXl3b3JkPkZlcnJpdGlucy9ibG9vZDwva2V5d29yZD48a2V5d29yZD5HZXN0YXRpb25hbCBB
Z2U8L2tleXdvcmQ+PGtleXdvcmQ+SGVtb2dsb2JpbnMvYW5hbHlzaXM8L2tleXdvcmQ+PGtleXdv
cmQ+SHVtYW5zPC9rZXl3b3JkPjxrZXl3b3JkPklyb24vKmFkbWluaXN0cmF0aW9uICZhbXA7IGRv
c2FnZTwva2V5d29yZD48a2V5d29yZD5NaWRkbGUgQWdlZDwva2V5d29yZD48a2V5d29yZD4qTnV0
cml0aW9uYWwgU3RhdHVzPC9rZXl3b3JkPjxrZXl3b3JkPlByZWduYW5jeTwva2V5d29yZD48a2V5
d29yZD5QcmVnbmFuY3kgQ29tcGxpY2F0aW9ucywgSGVtYXRvbG9naWMvYmxvb2QvKnByZXZlbnRp
b24gJmFtcDsgY29udHJvbDwva2V5d29yZD48a2V5d29yZD4qUHJlZ25hbmN5IE91dGNvbWU8L2tl
eXdvcmQ+PGtleXdvcmQ+QW5lbWlhPC9rZXl3b3JkPjxrZXl3b3JkPmlyb24gZGVmaWNpZW5jeSBh
bmVtaWE8L2tleXdvcmQ+PGtleXdvcmQ+aXJvbiBzdXBwbGVtZW50YXRpb248L2tleXdvcmQ+PGtl
eXdvcmQ+bGlwb3NvbWFsIGlyb248L2tleXdvcmQ+PC9rZXl3b3Jkcz48ZGF0ZXM+PHllYXI+MjAx
NzwveWVhcj48cHViLWRhdGVzPjxkYXRlPkF1ZzwvZGF0ZT48L3B1Yi1kYXRlcz48L2RhdGVzPjxp
c2JuPjE0NzYtNDk1NCAoRWxlY3Ryb25pYykmI3hEOzE0NzYtNDk1NCAoTGlua2luZyk8L2lzYm4+
PGFjY2Vzc2lvbi1udW0+Mjc1ODg1Njg8L2FjY2Vzc2lvbi1udW0+PHVybHM+PHJlbGF0ZWQtdXJs
cz48dXJsPmh0dHBzOi8vd3d3Lm5jYmkubmxtLm5paC5nb3YvcHVibWVkLzI3NTg4NTY4PC91cmw+
PC9yZWxhdGVkLXVybHM+PC91cmxzPjxlbGVjdHJvbmljLXJlc291cmNlLW51bT4xMC4xMDgwLzE0
NzY3MDU4LjIwMTYuMTIyNDg0MTwvZWxlY3Ryb25pYy1yZXNvdXJjZS1udW0+PC9yZWNvcmQ+PC9D
aXRlPjxDaXRlPjxBdXRob3I+V2FuZzwvQXV0aG9yPjxZZWFyPjIwMTY8L1llYXI+PFJlY051bT4x
NjM5PC9SZWNOdW0+PHJlY29yZD48cmVjLW51bWJlcj4xNjM5PC9yZWMtbnVtYmVyPjxmb3JlaWdu
LWtleXM+PGtleSBhcHA9IkVOIiBkYi1pZD0iZXh2YXNyZngyZHRyYW9lc2FzeHAyc3pzeGEyZGY1
MDI1OTJ4IiB0aW1lc3RhbXA9IjE1NzY3MzQzODMiPjE2Mzk8L2tleT48a2V5IGFwcD0iRU5XZWIi
IGRiLWlkPSIiPjA8L2tleT48L2ZvcmVpZ24ta2V5cz48cmVmLXR5cGUgbmFtZT0iSm91cm5hbCBB
cnRpY2xlIj4xNzwvcmVmLXR5cGU+PGNvbnRyaWJ1dG9ycz48YXV0aG9ycz48YXV0aG9yPldhbmcs
IEwuPC9hdXRob3I+PGF1dGhvcj5NZWksIFouPC9hdXRob3I+PGF1dGhvcj5MaSwgSC48L2F1dGhv
cj48YXV0aG9yPlpoYW5nLCBZLjwvYXV0aG9yPjxhdXRob3I+TGl1LCBKLjwvYXV0aG9yPjxhdXRo
b3I+U2VyZHVsYSwgTS4gSy48L2F1dGhvcj48L2F1dGhvcnM+PC9jb250cmlidXRvcnM+PGF1dGgt
YWRkcmVzcz4xSW5zdGl0dXRlIG9mIFJlcHJvZHVjdGl2ZSBhbmQgQ2hpbGQgSGVhbHRoL01pbmlz
dHJ5IG9mIEhlYWx0aCBLZXkgTGFib3JhdG9yeSBvZiBSZXByb2R1Y3RpdmUgSGVhbHRoLFBla2lu
ZyBVbml2ZXJzaXR5IEhlYWx0aCBTY2llbmNlIENlbnRlcixCZWlqaW5nIDEwMDE5MSxQZW9wbGUm
YXBvcztzIFJlcHVibGljIG9mIENoaW5hLiYjeEQ7MkRpdmlzaW9uIG9mIE51dHJpdGlvbixQaHlz
aWNhbCBBY3Rpdml0eSBhbmQgT2Jlc2l0eSxOYXRpb25hbCBDZW50ZXIgZm9yIENocm9uaWMgRGlz
ZWFzZSBQcmV2ZW50aW9uIGFuZCBIZWFsdGggUHJvbW90aW9uLENlbnRlcnMgZm9yIERpc2Vhc2Ug
Q29udHJvbCBhbmQgUHJldmVudGlvbiAoQ0RDKSxBdGxhbnRhLEdBIDMwMzI5LTQwMjcsVVNBLjwv
YXV0aC1hZGRyZXNzPjx0aXRsZXM+PHRpdGxlPk1vZGlmeWluZyBlZmZlY3RzIG9mIG1hdGVybmFs
IEhiIGNvbmNlbnRyYXRpb24gb24gaW5mYW50IGJpcnRoIHdlaWdodCBpbiB3b21lbiByZWNlaXZp
bmcgcHJlbmF0YWwgaXJvbi1jb250YWluaW5nIHN1cHBsZW1lbnRzOiBhIHJhbmRvbWlzZWQgY29u
dHJvbGxlZCB0cmlhbDwvdGl0bGU+PHNlY29uZGFyeS10aXRsZT5CciBKIE51dHI8L3NlY29uZGFy
eS10aXRsZT48L3RpdGxlcz48cGVyaW9kaWNhbD48ZnVsbC10aXRsZT5CciBKIE51dHI8L2Z1bGwt
dGl0bGU+PC9wZXJpb2RpY2FsPjxwYWdlcz42NDQtOTwvcGFnZXM+PHZvbHVtZT4xMTU8L3ZvbHVt
ZT48bnVtYmVyPjQ8L251bWJlcj48ZWRpdGlvbj4yMDE2LzAxLzMwPC9lZGl0aW9uPjxrZXl3b3Jk
cz48a2V5d29yZD5BZHVsdDwva2V5d29yZD48a2V5d29yZD5BbmVtaWEsIElyb24tRGVmaWNpZW5j
eS9ibG9vZC9waHlzaW9wYXRob2xvZ3kvKnByZXZlbnRpb24gJmFtcDsgY29udHJvbDwva2V5d29y
ZD48a2V5d29yZD5CaXJ0aCBXZWlnaHQ8L2tleXdvcmQ+PGtleXdvcmQ+Q2hpbmEvZXBpZGVtaW9s
b2d5PC9rZXl3b3JkPjxrZXl3b3JkPipEaWV0YXJ5IFN1cHBsZW1lbnRzL2FkdmVyc2UgZWZmZWN0
czwva2V5d29yZD48a2V5d29yZD5Eb3VibGUtQmxpbmQgTWV0aG9kPC9rZXl3b3JkPjxrZXl3b3Jk
PkZlbWFsZTwva2V5d29yZD48a2V5d29yZD5GZXJyb3VzIENvbXBvdW5kcy9hZG1pbmlzdHJhdGlv
biAmYW1wOyBkb3NhZ2U8L2tleXdvcmQ+PGtleXdvcmQ+RmV0YWwgR3Jvd3RoIFJldGFyZGF0aW9u
L2VwaWRlbWlvbG9neS9ldGlvbG9neS9waHlzaW9wYXRob2xvZ3kvKnByZXZlbnRpb24gJmFtcDs8
L2tleXdvcmQ+PGtleXdvcmQ+Y29udHJvbDwva2V5d29yZD48a2V5d29yZD5IZW1hdGluaWNzL2Fk
dmVyc2UgZWZmZWN0cy8qdGhlcmFwZXV0aWMgdXNlPC9rZXl3b3JkPjxrZXl3b3JkPkhlbW9nbG9i
aW5zL2FuYWx5c2lzPC9rZXl3b3JkPjxrZXl3b3JkPkh1bWFuczwva2V5d29yZD48a2V5d29yZD5J
cm9uLCBEaWV0YXJ5L2FkdmVyc2UgZWZmZWN0cy8qdGhlcmFwZXV0aWMgdXNlPC9rZXl3b3JkPjxr
ZXl3b3JkPipNYXRlcm5hbCBOdXRyaXRpb25hbCBQaHlzaW9sb2dpY2FsIFBoZW5vbWVuYTwva2V5
d29yZD48a2V5d29yZD5OdXRyaXRpb25hbCBTdGF0dXM8L2tleXdvcmQ+PGtleXdvcmQ+UHJlZ25h
bmN5PC9rZXl3b3JkPjxrZXl3b3JkPlByZWduYW5jeSBDb21wbGljYXRpb25zL2Jsb29kL3BoeXNp
b3BhdGhvbG9neS8qcHJldmVudGlvbiAmYW1wOyBjb250cm9sPC9rZXl3b3JkPjxrZXl3b3JkPlBy
ZWduYW5jeSBUcmltZXN0ZXIsIFNlY29uZDwva2V5d29yZD48a2V5d29yZD5SaXNrPC9rZXl3b3Jk
PjxrZXl3b3JkPlJ1cmFsIEhlYWx0aDwva2V5d29yZD48a2V5d29yZD5TZXZlcml0eSBvZiBJbGxu
ZXNzIEluZGV4PC9rZXl3b3JkPjxrZXl3b3JkPllvdW5nIEFkdWx0PC9rZXl3b3JkPjxrZXl3b3Jk
PkZBIGZvbGljIGFjaWQ8L2tleXdvcmQ+PGtleXdvcmQ+SGlnaCBtYXRlcm5hbCBIYjwva2V5d29y
ZD48a2V5d29yZD5JRkEgRmUtZm9saWMgYWNpZDwva2V5d29yZD48a2V5d29yZD5Jcm9uLWNvbnRh
aW5pbmcgc3VwcGxlbWVudHM8L2tleXdvcmQ+PGtleXdvcmQ+TEJXIGxvdyBiaXJ0aCB3ZWlnaHQ8
L2tleXdvcmQ+PGtleXdvcmQ+TU1OIG11bHRpcGxlIG1pY3JvbnV0cmllbnRzPC9rZXl3b3JkPjxr
ZXl3b3JkPlJDVCByYW5kb21pc2VkIGNvbnRyb2xsZWQgdHJpYWw8L2tleXdvcmQ+PC9rZXl3b3Jk
cz48ZGF0ZXM+PHllYXI+MjAxNjwveWVhcj48cHViLWRhdGVzPjxkYXRlPkZlYiAyODwvZGF0ZT48
L3B1Yi1kYXRlcz48L2RhdGVzPjxpc2JuPjE0NzUtMjY2MiAoRWxlY3Ryb25pYykmI3hEOzAwMDct
MTE0NSAoTGlua2luZyk8L2lzYm4+PGFjY2Vzc2lvbi1udW0+MjY4MjQ3MzE8L2FjY2Vzc2lvbi1u
dW0+PHVybHM+PHJlbGF0ZWQtdXJscz48dXJsPmh0dHBzOi8vd3d3Lm5jYmkubmxtLm5paC5nb3Yv
cHVibWVkLzI2ODI0NzMxPC91cmw+PC9yZWxhdGVkLXVybHM+PC91cmxzPjxlbGVjdHJvbmljLXJl
c291cmNlLW51bT4xMC4xMDE3L1MwMDA3MTE0NTE1MDA0ODcwPC9lbGVjdHJvbmljLXJlc291cmNl
LW51bT48L3JlY29yZD48L0NpdGU+PENpdGU+PEF1dGhvcj5TZXJkdWxhPC9BdXRob3I+PFllYXI+
MjAxOTwvWWVhcj48UmVjTnVtPjE2Mzg8L1JlY051bT48cmVjb3JkPjxyZWMtbnVtYmVyPjE2Mzg8
L3JlYy1udW1iZXI+PGZvcmVpZ24ta2V5cz48a2V5IGFwcD0iRU4iIGRiLWlkPSJleHZhc3JmeDJk
dHJhb2VzYXN4cDJzenN4YTJkZjUwMjU5MngiIHRpbWVzdGFtcD0iMTU3NjczNDM3OSI+MTYzODwv
a2V5PjxrZXkgYXBwPSJFTldlYiIgZGItaWQ9IiI+MDwva2V5PjwvZm9yZWlnbi1rZXlzPjxyZWYt
dHlwZSBuYW1lPSJKb3VybmFsIEFydGljbGUiPjE3PC9yZWYtdHlwZT48Y29udHJpYnV0b3JzPjxh
dXRob3JzPjxhdXRob3I+U2VyZHVsYSwgTS4gSy48L2F1dGhvcj48YXV0aG9yPlpob3UsIFkuPC9h
dXRob3I+PGF1dGhvcj5MaSwgSC48L2F1dGhvcj48YXV0aG9yPkxpdSwgSi4gTS48L2F1dGhvcj48
YXV0aG9yPk1laSwgWi48L2F1dGhvcj48L2F1dGhvcnM+PC9jb250cmlidXRvcnM+PGF1dGgtYWRk
cmVzcz5EaXZpc2lvbiBvZiBOdXRyaXRpb24sIFBoeXNpY2FsIEFjdGl2aXR5IGFuZCBPYmVzaXR5
LCBOYXRpb25hbCBDZW50ZXIgZm9yIENocm9uaWMgRGlzZWFzZSBQcmV2ZW50aW9uIGFuZCBIZWFs
dGggUHJvbW90aW9uLCBDZW50ZXJzIGZvciBEaXNlYXNlIENvbnRyb2wgYW5kIFByZXZlbnRpb24g
KENEQyksIEF0bGFudGEsIEdBLCBVU0EuJiN4RDtQZWtpbmcgVW5pdmVyc2l0eSBJbnN0aXR1dGUg
b2YgUmVwcm9kdWN0aXZlIGFuZCBDaGlsZCBIZWFsdGgvTWluaXN0cnkgb2YgSGVhbHRoIEtleSBM
YWJvcmF0b3J5IG9mIFJlcHJvZHVjdGl2ZSBIZWFsdGgsIFBla2luZyBVbml2ZXJzaXR5IEhlYWx0
aCBTY2llbmNlIENlbnRlciwgQmVpamluZywgQ2hpbmEuJiN4RDtEZXBhcnRtZW50IG9mIEVwaWRl
bWlvbG9neSBhbmQgQmlvc3RhdGlzdGljcywgU2Nob29sIG9mIFB1YmxpYyBIZWFsdGgsIFBla2lu
ZyBVbml2ZXJzaXR5IEhlYWx0aCBTY2llbmNlIENlbnRlciwgQmVpamluZywgQ2hpbmEuJiN4RDtQ
ZWtpbmcgVW5pdmVyc2l0eSBJbnN0aXR1dGUgb2YgUmVwcm9kdWN0aXZlIGFuZCBDaGlsZCBIZWFs
dGgvTWluaXN0cnkgb2YgSGVhbHRoIEtleSBMYWJvcmF0b3J5IG9mIFJlcHJvZHVjdGl2ZSBIZWFs
dGgsIFBla2luZyBVbml2ZXJzaXR5IEhlYWx0aCBTY2llbmNlIENlbnRlciwgQmVpamluZywgQ2hp
bmEuIGxpdWptQHBrdS5lZHUuY24uJiN4RDtEZXBhcnRtZW50IG9mIEVwaWRlbWlvbG9neSBhbmQg
Qmlvc3RhdGlzdGljcywgU2Nob29sIG9mIFB1YmxpYyBIZWFsdGgsIFBla2luZyBVbml2ZXJzaXR5
IEhlYWx0aCBTY2llbmNlIENlbnRlciwgQmVpamluZywgQ2hpbmEuIGxpdWptQHBrdS5lZHUuY24u
PC9hdXRoLWFkZHJlc3M+PHRpdGxlcz48dGl0bGU+UHJlbmF0YWwgaXJvbiBjb250YWluaW5nIHN1
cHBsZW1lbnRzIHByb3ZpZGVkIHRvIENoaW5lc2Ugd29tZW4gd2l0aCBubyBvciBtaWxkIGFuZW1p
YSBoYWQgbm8gZWZmZWN0IG9uIGhlbW9nbG9iaW4gY29uY2VudHJhdGlvbiBpbiBwb3N0LXBhcnR1
bSB3b21lbiBvciB0aGVpciBpbmZhbnRzIGF0IDYgYW5kIDEyIG1vbnRocyBvZiBhZ2U8L3RpdGxl
PjxzZWNvbmRhcnktdGl0bGU+RXVyIEogQ2xpbiBOdXRyPC9zZWNvbmRhcnktdGl0bGU+PC90aXRs
ZXM+PHBlcmlvZGljYWw+PGZ1bGwtdGl0bGU+RXVyIEogQ2xpbiBOdXRyPC9mdWxsLXRpdGxlPjwv
cGVyaW9kaWNhbD48cGFnZXM+MTQ3My0xNDc5PC9wYWdlcz48dm9sdW1lPjczPC92b2x1bWU+PG51
bWJlcj4xMTwvbnVtYmVyPjxlZGl0aW9uPjIwMTgvMTEvMTg8L2VkaXRpb24+PGRhdGVzPjx5ZWFy
PjIwMTk8L3llYXI+PHB1Yi1kYXRlcz48ZGF0ZT5Ob3Y8L2RhdGU+PC9wdWItZGF0ZXM+PC9kYXRl
cz48aXNibj4xNDc2LTU2NDAgKEVsZWN0cm9uaWMpJiN4RDswOTU0LTMwMDcgKExpbmtpbmcpPC9p
c2JuPjxhY2Nlc3Npb24tbnVtPjMwNDQ2NzYyPC9hY2Nlc3Npb24tbnVtPjx1cmxzPjxyZWxhdGVk
LXVybHM+PHVybD5odHRwczovL3d3dy5uY2JpLm5sbS5uaWguZ292L3B1Ym1lZC8zMDQ0Njc2Mjwv
dXJsPjwvcmVsYXRlZC11cmxzPjwvdXJscz48ZWxlY3Ryb25pYy1yZXNvdXJjZS1udW0+MTAuMTAz
OC9zNDE0MzAtMDE4LTAzNjUteDwvZWxlY3Ryb25pYy1yZXNvdXJjZS1udW0+PC9yZWNvcmQ+PC9D
aXRlPjwvRW5kTm90ZT5=
</w:fldData>
        </w:fldChar>
      </w:r>
      <w:r w:rsidR="002747EA">
        <w:instrText xml:space="preserve"> ADDIN EN.CITE </w:instrText>
      </w:r>
      <w:r w:rsidR="002747EA">
        <w:fldChar w:fldCharType="begin">
          <w:fldData xml:space="preserve">PEVuZE5vdGU+PENpdGU+PEF1dGhvcj5BbGl6YWRlaDwvQXV0aG9yPjxZZWFyPjIwMTY8L1llYXI+
PFJlY051bT4xNjIyPC9SZWNOdW0+PERpc3BsYXlUZXh0PjxzdHlsZSBmYWNlPSJzdXBlcnNjcmlw
dCIgZm9udD0iVHJlYnVjaGV0IE1TIiBzaXplPSI5Ij4xNzctMTg0PC9zdHlsZT48L0Rpc3BsYXlU
ZXh0PjxyZWNvcmQ+PHJlYy1udW1iZXI+MTYyMjwvcmVjLW51bWJlcj48Zm9yZWlnbi1rZXlzPjxr
ZXkgYXBwPSJFTiIgZGItaWQ9ImV4dmFzcmZ4MmR0cmFvZXNhc3hwMnN6c3hhMmRmNTAyNTkyeCIg
dGltZXN0YW1wPSIxNTc2NzM0Mjk3Ij4xNjIyPC9rZXk+PGtleSBhcHA9IkVOV2ViIiBkYi1pZD0i
Ij4wPC9rZXk+PC9mb3JlaWduLWtleXM+PHJlZi10eXBlIG5hbWU9IkpvdXJuYWwgQXJ0aWNsZSI+
MTc8L3JlZi10eXBlPjxjb250cmlidXRvcnM+PGF1dGhvcnM+PGF1dGhvcj5BbGl6YWRlaCwgTC48
L2F1dGhvcj48YXV0aG9yPlNhbGVoaSwgTC48L2F1dGhvcj48L2F1dGhvcnM+PC9jb250cmlidXRv
cnM+PGF1dGgtYWRkcmVzcz5EZXBhcnRtZW50IG9mIE1hdGVybmFsIGFuZCBDaGlsZCBIZWFsdGgs
IEFyZGFiaWwgQnJhbmNoLCBJc2xhbWljIEF6YWQgVW5pdmVyc2l0eSwgQXJkYWJpbCwgSVIgSXJh
bi4mI3hEO0RlcGFydG1lbnQgb2YgSGVhbHRoIEVkdWNhdGlvbiBhbmQgUHJvbW90aW9uLCBTY2hv
b2wgb2YgUHVibGljIEhlYWx0aCwgQWxib3J6IFVuaXZlcnNpdHkgb2YgTWVkaWNhbCBTY2llbmNl
cywgS2FyYWosIElSIElyYW4uPC9hdXRoLWFkZHJlc3M+PHRpdGxlcz48dGl0bGU+SXMgcm91dGlu
ZSBpcm9uIHN1cHBsZW1lbnRhdGlvbiBuZWNlc3NhcnkgaW4gcHJlZ25hbnQgd29tZW4gd2l0aCBo
aWdoIGhlbW9nbG9iaW4/PC90aXRsZT48c2Vjb25kYXJ5LXRpdGxlPklyYW4gUmVkIENyZXNjZW50
IE1lZCBKPC9zZWNvbmRhcnktdGl0bGU+PC90aXRsZXM+PHBlcmlvZGljYWw+PGZ1bGwtdGl0bGU+
SXJhbiBSZWQgQ3Jlc2NlbnQgTWVkIEo8L2Z1bGwtdGl0bGU+PC9wZXJpb2RpY2FsPjxwYWdlcz5l
MjI3NjE8L3BhZ2VzPjx2b2x1bWU+MTg8L3ZvbHVtZT48bnVtYmVyPjE8L251bWJlcj48ZWRpdGlv
bj4yMDE2LzAyLzE5PC9lZGl0aW9uPjxrZXl3b3Jkcz48a2V5d29yZD5CaXJ0aCBXZWlnaHQ8L2tl
eXdvcmQ+PGtleXdvcmQ+SGVtb2dsb2Jpbjwva2V5d29yZD48a2V5d29yZD5Jcm9uLCBGZXJyaXRp
bjwva2V5d29yZD48a2V5d29yZD5QcmVnbmFuY3k8L2tleXdvcmQ+PC9rZXl3b3Jkcz48ZGF0ZXM+
PHllYXI+MjAxNjwveWVhcj48cHViLWRhdGVzPjxkYXRlPkphbjwvZGF0ZT48L3B1Yi1kYXRlcz48
L2RhdGVzPjxpc2JuPjIwNzQtMTgwNCAoUHJpbnQpJiN4RDsyMDc0LTE4MDQgKExpbmtpbmcpPC9p
c2JuPjxhY2Nlc3Npb24tbnVtPjI2ODg5MzkxPC9hY2Nlc3Npb24tbnVtPjx1cmxzPjxyZWxhdGVk
LXVybHM+PHVybD5odHRwczovL3d3dy5uY2JpLm5sbS5uaWguZ292L3B1Ym1lZC8yNjg4OTM5MTwv
dXJsPjwvcmVsYXRlZC11cmxzPjwvdXJscz48Y3VzdG9tMj5QTUM0NzUzMDIzPC9jdXN0b20yPjxl
bGVjdHJvbmljLXJlc291cmNlLW51bT4xMC41ODEyL2lyY21qLjIyNzYxPC9lbGVjdHJvbmljLXJl
c291cmNlLW51bT48L3JlY29yZD48L0NpdGU+PENpdGU+PEF1dGhvcj5FdGhlcmVkZ2U8L0F1dGhv
cj48WWVhcj4yMDE1PC9ZZWFyPjxSZWNOdW0+MTYyNjwvUmVjTnVtPjxyZWNvcmQ+PHJlYy1udW1i
ZXI+MTYyNjwvcmVjLW51bWJlcj48Zm9yZWlnbi1rZXlzPjxrZXkgYXBwPSJFTiIgZGItaWQ9ImV4
dmFzcmZ4MmR0cmFvZXNhc3hwMnN6c3hhMmRmNTAyNTkyeCIgdGltZXN0YW1wPSIxNTc2NzM0MzEw
Ij4xNjI2PC9rZXk+PGtleSBhcHA9IkVOV2ViIiBkYi1pZD0iIj4wPC9rZXk+PC9mb3JlaWduLWtl
eXM+PHJlZi10eXBlIG5hbWU9IkpvdXJuYWwgQXJ0aWNsZSI+MTc8L3JlZi10eXBlPjxjb250cmli
dXRvcnM+PGF1dGhvcnM+PGF1dGhvcj5FdGhlcmVkZ2UsIEEuIEouPC9hdXRob3I+PGF1dGhvcj5Q
cmVtamksIFouPC9hdXRob3I+PGF1dGhvcj5HdW5hcmF0bmEsIE4uIFMuPC9hdXRob3I+PGF1dGhv
cj5BYmlveWUsIEEuIEkuPC9hdXRob3I+PGF1dGhvcj5BYm91ZCwgUy48L2F1dGhvcj48YXV0aG9y
PkR1Z2dhbiwgQy48L2F1dGhvcj48YXV0aG9yPk1vbmdpLCBSLjwvYXV0aG9yPjxhdXRob3I+TWVs
b25leSwgTC48L2F1dGhvcj48YXV0aG9yPlNwaWVnZWxtYW4sIEQuPC9hdXRob3I+PGF1dGhvcj5S
b2JlcnRzLCBELjwvYXV0aG9yPjxhdXRob3I+SGFtZXIsIEQuIEguPC9hdXRob3I+PGF1dGhvcj5G
YXd6aSwgVy4gVy48L2F1dGhvcj48L2F1dGhvcnM+PC9jb250cmlidXRvcnM+PGF1dGgtYWRkcmVz
cz5EZXBhcnRtZW50IG9mIEdsb2JhbCBIZWFsdGggYW5kIFBvcHVsYXRpb24sIEhhcnZhcmQgVC4g
SC4gQ2hhbiBTY2hvb2wgb2YgUHVibGljIEhlYWx0aCwgQm9zdG9uLCBNYXNzYWNodXNldHRzMkRp
dmlzaW9uIG9mIEdhc3Ryb2VudGVyb2xvZ3ksIEhlcGF0b2xvZ3ksIGFuZCBOdXRyaXRpb24sIEJv
c3RvbiBDaGlsZHJlbiZhcG9zO3MgSG9zcGl0YWwsIEhhcnZhcmQgTWVkaWNhbCBTY2hvb2wsIEJv
c3RvbiwgTWFzc2FjaHVzZXR0cy4mI3hEO0RlcGFydG1lbnQgb2YgUGFyYXNpdG9sb2d5L01lZGlj
YWwgRW50b21vbG9neSwgU2Nob29sIG9mIFB1YmxpYyBIZWFsdGggYW5kIFNvY2lhbCBTY2llbmNl
cywgTXVoaW1iaWxpIFVuaXZlcnNpdHkgb2YgSGVhbHRoIGFuZCBBbGxpZWQgU2NpZW5jZXMsIERh
ciBlcyBTYWxhYW0sIFRhbnphbmlhLiYjeEQ7RGVwYXJ0bWVudCBvZiBHbG9iYWwgSGVhbHRoIGFu
ZCBQb3B1bGF0aW9uLCBIYXJ2YXJkIFQuIEguIENoYW4gU2Nob29sIG9mIFB1YmxpYyBIZWFsdGgs
IEJvc3RvbiwgTWFzc2FjaHVzZXR0cy4mI3hEO0RlcGFydG1lbnQgb2YgTWljcm9iaW9sb2d5IGFu
ZCBJbW11bm9sb2d5LCBNdWhpbWJpbGkgVW5pdmVyc2l0eSBvZiBIZWFsdGggYW5kIEFsbGllZCBT
Y2llbmNlcywgRGFyIGVzIFNhbGFhbSwgVGFuemFuaWEuJiN4RDtEZXBhcnRtZW50IG9mIEdsb2Jh
bCBIZWFsdGggYW5kIFBvcHVsYXRpb24sIEhhcnZhcmQgVC4gSC4gQ2hhbiBTY2hvb2wgb2YgUHVi
bGljIEhlYWx0aCwgQm9zdG9uLCBNYXNzYWNodXNldHRzMkRpdmlzaW9uIG9mIEdhc3Ryb2VudGVy
b2xvZ3ksIEhlcGF0b2xvZ3ksIGFuZCBOdXRyaXRpb24sIEJvc3RvbiBDaGlsZHJlbiZhcG9zO3Mg
SG9zcGl0YWwsIEhhcnZhcmQgTWVkaWNhbCBTY2hvb2wsIEJvc3RvbiwgTWFzc2FjaHVzZXR0czVE
ZXBhcnRtZW50IG9mLiYjeEQ7RGVwYXJ0bWVudCBvZiBOdXRyaXRpb24sIEhhcnZhcmQgVC4gSC4g
Q2hhbiBTY2hvb2wgb2YgUHVibGljIEhlYWx0aCwgQm9zdG9uLCBNYXNzYWNodXNldHRzNkRlcGFy
dG1lbnQgb2YgRXBpZGVtaW9sb2d5LCBIYXJ2YXJkIFQuIEguIENoYW4gU2Nob29sIG9mIFB1Ymxp
YyBIZWFsdGgsIEJvc3RvbiwgTWFzc2FjaHVzZXR0czdEZXBhcnRtZW50IG9mIEJpb3N0YXRpc3Rp
Y3MsIEhhcnZhcmQgVC4gSC4gQ2hhbiBTY2hvb2wgb2YgUHVibGljIEhlYWx0LiYjeEQ7RGVwYXJ0
bWVudCBvZiBQYXRob2xvZ3ksIE1hc3NhY2h1c2V0dHMgR2VuZXJhbCBIb3NwaXRhbCwgQm9zdG9u
LiYjeEQ7RGVwYXJ0bWVudCBvZiBHbG9iYWwgSGVhbHRoLCBCb3N0b24gVW5pdmVyc2l0eSBTY2hv
b2wgb2YgUHVibGljIEhlYWx0aCwgQm9zdG9uLCBNYXNzYWNodXNldHRzMTBDZW50ZXIgZm9yIEds
b2JhbCBIZWFsdGggYW5kIERldmVsb3BtZW50LCBCb3N0b24gVW5pdmVyc2l0eSwgQm9zdG9uLCBN
YXNzYWNodXNldHRzMTFTZWN0aW9uIG9mIEluZmVjdGlvdXMgRGlzZWFzZXMsIERlcGFydG1lbnQg
b2YgTWVkaWNpbmUsIEJvc3RvbiBNZWRpY2FsIENlbnRlLiYjeEQ7RGVwYXJ0bWVudCBvZiBHbG9i
YWwgSGVhbHRoIGFuZCBQb3B1bGF0aW9uLCBIYXJ2YXJkIFQuIEguIENoYW4gU2Nob29sIG9mIFB1
YmxpYyBIZWFsdGgsIEJvc3RvbiwgTWFzc2FjaHVzZXR0czVEZXBhcnRtZW50IG9mIE51dHJpdGlv
biwgSGFydmFyZCBULiBILiBDaGFuIFNjaG9vbCBvZiBQdWJsaWMgSGVhbHRoLCBCb3N0b24sIE1h
c3NhY2h1c2V0dHM2RGVwYXJ0bWVudCBvZiBFcGlkZW1pb2xvZ3ksIEhhcnZhcmQgVC4gSC4gQ2hh
biBTY2hvb2wuPC9hdXRoLWFkZHJlc3M+PHRpdGxlcz48dGl0bGU+SXJvbiBzdXBwbGVtZW50YXRp
b24gaW4gaXJvbi1yZXBsZXRlIGFuZCBub25hbmVtaWMgcHJlZ25hbnQgd29tZW4gaW4gdGFuemFu
aWE6IGEgcmFuZG9taXplZCBjbGluaWNhbCB0cmlhbDwvdGl0bGU+PHNlY29uZGFyeS10aXRsZT5K
QU1BIFBlZGlhdHI8L3NlY29uZGFyeS10aXRsZT48L3RpdGxlcz48cGVyaW9kaWNhbD48ZnVsbC10
aXRsZT5KQU1BIFBlZGlhdHI8L2Z1bGwtdGl0bGU+PC9wZXJpb2RpY2FsPjxwYWdlcz45NDctNTU8
L3BhZ2VzPjx2b2x1bWU+MTY5PC92b2x1bWU+PG51bWJlcj4xMDwvbnVtYmVyPjxlZGl0aW9uPjIw
MTUvMDgvMTk8L2VkaXRpb24+PGtleXdvcmRzPjxrZXl3b3JkPkFkdWx0PC9rZXl3b3JkPjxrZXl3
b3JkPkFuZW1pYSwgSXJvbi1EZWZpY2llbmN5LypwcmV2ZW50aW9uICZhbXA7IGNvbnRyb2w8L2tl
eXdvcmQ+PGtleXdvcmQ+QmlydGggV2VpZ2h0PC9rZXl3b3JkPjxrZXl3b3JkPipEaWV0YXJ5IFN1
cHBsZW1lbnRzPC9rZXl3b3JkPjxrZXl3b3JkPkRvdWJsZS1CbGluZCBNZXRob2Q8L2tleXdvcmQ+
PGtleXdvcmQ+RmVtYWxlPC9rZXl3b3JkPjxrZXl3b3JkPkhlbW9nbG9iaW5zL2FuYWx5c2lzPC9r
ZXl3b3JkPjxrZXl3b3JkPkh1bWFuczwva2V5d29yZD48a2V5d29yZD5Jcm9uLyp0aGVyYXBldXRp
YyB1c2U8L2tleXdvcmQ+PGtleXdvcmQ+TWFsYXJpYS9lcGlkZW1pb2xvZ3k8L2tleXdvcmQ+PGtl
eXdvcmQ+UGxhY2VudGEgRGlzZWFzZXMvZXBpZGVtaW9sb2d5PC9rZXl3b3JkPjxrZXl3b3JkPlBy
ZWduYW5jeTwva2V5d29yZD48a2V5d29yZD5QcmVuYXRhbCBDYXJlL21ldGhvZHM8L2tleXdvcmQ+
PGtleXdvcmQ+VGFuemFuaWEvZXBpZGVtaW9sb2d5PC9rZXl3b3JkPjxrZXl3b3JkPlRyYWNlIEVs
ZW1lbnRzLyp0aGVyYXBldXRpYyB1c2U8L2tleXdvcmQ+PGtleXdvcmQ+VHJlYXRtZW50IE91dGNv
bWU8L2tleXdvcmQ+PGtleXdvcmQ+WW91bmcgQWR1bHQ8L2tleXdvcmQ+PC9rZXl3b3Jkcz48ZGF0
ZXM+PHllYXI+MjAxNTwveWVhcj48cHViLWRhdGVzPjxkYXRlPk9jdDwvZGF0ZT48L3B1Yi1kYXRl
cz48L2RhdGVzPjxpc2JuPjIxNjgtNjIxMSAoRWxlY3Ryb25pYykmI3hEOzIxNjgtNjIwMyAoTGlu
a2luZyk8L2lzYm4+PGFjY2Vzc2lvbi1udW0+MjYyODA1MzQ8L2FjY2Vzc2lvbi1udW0+PHVybHM+
PHJlbGF0ZWQtdXJscz48dXJsPmh0dHBzOi8vd3d3Lm5jYmkubmxtLm5paC5nb3YvcHVibWVkLzI2
MjgwNTM0PC91cmw+PC9yZWxhdGVkLXVybHM+PC91cmxzPjxjdXN0b20yPlBNQzQ5MDQ3MTM8L2N1
c3RvbTI+PGVsZWN0cm9uaWMtcmVzb3VyY2UtbnVtPjEwLjEwMDEvamFtYXBlZGlhdHJpY3MuMjAx
NS4xNDgwPC9lbGVjdHJvbmljLXJlc291cmNlLW51bT48L3JlY29yZD48L0NpdGU+PENpdGU+PEF1
dGhvcj5Hb29uZXdhcmRlbmU8L0F1dGhvcj48WWVhcj4yMDE4PC9ZZWFyPjxSZWNOdW0+MTYyNzwv
UmVjTnVtPjxyZWNvcmQ+PHJlYy1udW1iZXI+MTYyNzwvcmVjLW51bWJlcj48Zm9yZWlnbi1rZXlz
PjxrZXkgYXBwPSJFTiIgZGItaWQ9ImV4dmFzcmZ4MmR0cmFvZXNhc3hwMnN6c3hhMmRmNTAyNTky
eCIgdGltZXN0YW1wPSIxNTc2NzM0MzE2Ij4xNjI3PC9rZXk+PGtleSBhcHA9IkVOV2ViIiBkYi1p
ZD0iIj4wPC9rZXk+PC9mb3JlaWduLWtleXM+PHJlZi10eXBlIG5hbWU9IkpvdXJuYWwgQXJ0aWNs
ZSI+MTc8L3JlZi10eXBlPjxjb250cmlidXRvcnM+PGF1dGhvcnM+PGF1dGhvcj5Hb29uZXdhcmRl
bmUsIEkuIE0uIFIuPC9hdXRob3I+PGF1dGhvcj5TZW5hZGhlZXJhLCBELiBJLjwvYXV0aG9yPjwv
YXV0aG9ycz48L2NvbnRyaWJ1dG9ycz48YXV0aC1hZGRyZXNzPkFjYWRlbWljIE9ic3RldHJpY3Mg
YW5kIEd5bmFlY29sb2d5IFVuaXQsIFRlYWNoaW5nIEhvc3BpdGFsLCBHYWxsZSwgU3JpIExhbmth
LjwvYXV0aC1hZGRyZXNzPjx0aXRsZXM+PHRpdGxlPlJhbmRvbWl6ZWQgY29udHJvbCB0cmlhbCBj
b21wYXJpbmcgZWZmZWN0aXZlbmVzcyBvZiB3ZWVrbHkgdmVyc3VzIGRhaWx5IGFudGVuYXRhbCBv
cmFsIGlyb24gc3VwcGxlbWVudGF0aW9uIGluIHByZXZlbnRpbmcgYW5lbWlhIGR1cmluZyBwcmVn
bmFuY3k8L3RpdGxlPjxzZWNvbmRhcnktdGl0bGU+SiBPYnN0ZXQgR3luYWVjb2wgUmVzPC9zZWNv
bmRhcnktdGl0bGU+PC90aXRsZXM+PHBlcmlvZGljYWw+PGZ1bGwtdGl0bGU+SiBPYnN0ZXQgR3lu
YWVjb2wgUmVzPC9mdWxsLXRpdGxlPjwvcGVyaW9kaWNhbD48cGFnZXM+NDE3LTQyNDwvcGFnZXM+
PHZvbHVtZT40NDwvdm9sdW1lPjxudW1iZXI+MzwvbnVtYmVyPjxlZGl0aW9uPjIwMTcvMTIvMjM8
L2VkaXRpb24+PGtleXdvcmRzPjxrZXl3b3JkPkFkdWx0PC9rZXl3b3JkPjxrZXl3b3JkPkFuZW1p
YS8qcHJldmVudGlvbiAmYW1wOyBjb250cm9sPC9rZXl3b3JkPjxrZXl3b3JkPkFuZW1pYSwgSXJv
bi1EZWZpY2llbmN5L3ByZXZlbnRpb24gJmFtcDsgY29udHJvbDwva2V5d29yZD48a2V5d29yZD4q
RGlldGFyeSBTdXBwbGVtZW50czwva2V5d29yZD48a2V5d29yZD5GZW1hbGU8L2tleXdvcmQ+PGtl
eXdvcmQ+Rm9saWMgQWNpZC9hZG1pbmlzdHJhdGlvbiAmYW1wOyBkb3NhZ2UvKnBoYXJtYWNvbG9n
eTwva2V5d29yZD48a2V5d29yZD5IdW1hbnM8L2tleXdvcmQ+PGtleXdvcmQ+SXJvbi9hZG1pbmlz
dHJhdGlvbiAmYW1wOyBkb3NhZ2UvKnBoYXJtYWNvbG9neTwva2V5d29yZD48a2V5d29yZD4qT3V0
Y29tZSBBc3Nlc3NtZW50LCBIZWFsdGggQ2FyZTwva2V5d29yZD48a2V5d29yZD5QcmVnbmFuY3k8
L2tleXdvcmQ+PGtleXdvcmQ+UHJlZ25hbmN5IENvbXBsaWNhdGlvbnMsIEhlbWF0b2xvZ2ljLypw
cmV2ZW50aW9uICZhbXA7IGNvbnRyb2w8L2tleXdvcmQ+PGtleXdvcmQ+U3JpIExhbmthPC9rZXl3
b3JkPjxrZXl3b3JkPmFudGVuYXRhbCBvcmFsIGlyb24gYW5kIGZvbGF0ZTwva2V5d29yZD48a2V5
d29yZD5pbnRlcm1pdHRlbnQ8L2tleXdvcmQ+PGtleXdvcmQ+bm9uLWFuZW1pYyBwcmVnbmFudCB3
b21lbjwva2V5d29yZD48a2V5d29yZD53ZWVrbHkgdmVyc3VzIGRhaWx5PC9rZXl3b3JkPjwva2V5
d29yZHM+PGRhdGVzPjx5ZWFyPjIwMTg8L3llYXI+PHB1Yi1kYXRlcz48ZGF0ZT5NYXI8L2RhdGU+
PC9wdWItZGF0ZXM+PC9kYXRlcz48aXNibj4xNDQ3LTA3NTYgKEVsZWN0cm9uaWMpJiN4RDsxMzQx
LTgwNzYgKExpbmtpbmcpPC9pc2JuPjxhY2Nlc3Npb24tbnVtPjI5MjcxMDIyPC9hY2Nlc3Npb24t
bnVtPjx1cmxzPjxyZWxhdGVkLXVybHM+PHVybD5odHRwczovL3d3dy5uY2JpLm5sbS5uaWguZ292
L3B1Ym1lZC8yOTI3MTAyMjwvdXJsPjwvcmVsYXRlZC11cmxzPjwvdXJscz48ZWxlY3Ryb25pYy1y
ZXNvdXJjZS1udW0+MTAuMTExMS9qb2cuMTM1NDY8L2VsZWN0cm9uaWMtcmVzb3VyY2UtbnVtPjwv
cmVjb3JkPjwvQ2l0ZT48Q2l0ZT48QXV0aG9yPkphZmFyYmVnbG9vPC9BdXRob3I+PFllYXI+MjAx
NTwvWWVhcj48UmVjTnVtPjE2Mjk8L1JlY051bT48cmVjb3JkPjxyZWMtbnVtYmVyPjE2Mjk8L3Jl
Yy1udW1iZXI+PGZvcmVpZ24ta2V5cz48a2V5IGFwcD0iRU4iIGRiLWlkPSJleHZhc3JmeDJkdHJh
b2VzYXN4cDJzenN4YTJkZjUwMjU5MngiIHRpbWVzdGFtcD0iMTU3NjczNDMyMyI+MTYyOTwva2V5
PjxrZXkgYXBwPSJFTldlYiIgZGItaWQ9IiI+MDwva2V5PjwvZm9yZWlnbi1rZXlzPjxyZWYtdHlw
ZSBuYW1lPSJKb3VybmFsIEFydGljbGUiPjE3PC9yZWYtdHlwZT48Y29udHJpYnV0b3JzPjxhdXRo
b3JzPjxhdXRob3I+SmFmYXJiZWdsb28sIEUuPC9hdXRob3I+PGF1dGhvcj5BaG1hcmkgVGVocmFu
LCBILjwvYXV0aG9yPjxhdXRob3I+RGFka2hhaCBUZWhyYW5pLCBULjwvYXV0aG9yPjwvYXV0aG9y
cz48L2NvbnRyaWJ1dG9ycz48YXV0aC1hZGRyZXNzPlNjaG9vbCBvZiBOdXJzaW5nIGFuZCBNaWR3
aWZlcnksIEhlYWx0aCBDYXJlIFJlc2VhcmNoIENlbnRlciwgUW9tIFVuaXZlcnNpdHkgb2YgTWVk
aWNhbCBTY2llbmNlcywgUW9tLCBJUiBJcmFuLiYjeEQ7UGhEIFN0dWRlbnQgaW4gTWVkaWNhbCBF
ZHVjYXRpb24sIERlcGFydG1lbnQgb2YgTWVkaWNhbCBFZHVjYXRpb24sIFRlaHJhbiBVbml2ZXJz
aXR5IG9mIE1lZGljYWwgU2NpZW5jZXMsIFRlaHJhbiwgSVIgSXJhbi48L2F1dGgtYWRkcmVzcz48
dGl0bGVzPjx0aXRsZT5HYXN0cm9pbnRlc3RpbmFsIGNvbXBsaWNhdGlvbnMgb2YgZmVycm91cyBz
dWxmYXRlIGluIHByZWduYW50IHdvbWVuOiBhIHJhbmRvbWl6ZWQgZG91YmxlLWJsaW5kIHBsYWNl
Ym8tY29udHJvbGxlZCB0cmlhbDwvdGl0bGU+PHNlY29uZGFyeS10aXRsZT5JcmFuIFJlZCBDcmVz
Y2VudCBNZWQgSjwvc2Vjb25kYXJ5LXRpdGxlPjwvdGl0bGVzPjxwZXJpb2RpY2FsPjxmdWxsLXRp
dGxlPklyYW4gUmVkIENyZXNjZW50IE1lZCBKPC9mdWxsLXRpdGxlPjwvcGVyaW9kaWNhbD48cGFn
ZXM+ZTE1MDAxPC9wYWdlcz48dm9sdW1lPjE3PC92b2x1bWU+PG51bWJlcj44PC9udW1iZXI+PGVk
aXRpb24+MjAxNS8xMC8wMzwvZWRpdGlvbj48a2V5d29yZHM+PGtleXdvcmQ+SGVtb2dsb2Jpbjwv
a2V5d29yZD48a2V5d29yZD5Jcm9uIFN1cHBsZW1lbnQ8L2tleXdvcmQ+PGtleXdvcmQ+UHJlZ25h
bnQgV29tZW48L2tleXdvcmQ+PGtleXdvcmQ+UmFuZG9taXplZCBDb3Ryb2xsZWQgVHJpYWw8L2tl
eXdvcmQ+PC9rZXl3b3Jkcz48ZGF0ZXM+PHllYXI+MjAxNTwveWVhcj48cHViLWRhdGVzPjxkYXRl
PkF1ZzwvZGF0ZT48L3B1Yi1kYXRlcz48L2RhdGVzPjxpc2JuPjIwNzQtMTgwNCAoUHJpbnQpJiN4
RDsyMDc0LTE4MDQgKExpbmtpbmcpPC9pc2JuPjxhY2Nlc3Npb24tbnVtPjI2NDMwNTIwPC9hY2Nl
c3Npb24tbnVtPjx1cmxzPjxyZWxhdGVkLXVybHM+PHVybD5odHRwczovL3d3dy5uY2JpLm5sbS5u
aWguZ292L3B1Ym1lZC8yNjQzMDUyMDwvdXJsPjwvcmVsYXRlZC11cmxzPjwvdXJscz48Y3VzdG9t
Mj5QTUM0NTg3MDkyPC9jdXN0b20yPjxlbGVjdHJvbmljLXJlc291cmNlLW51bT4xMC41ODEyL2ly
Y21qLjE1MDAxPC9lbGVjdHJvbmljLXJlc291cmNlLW51bT48L3JlY29yZD48L0NpdGU+PENpdGU+
PEF1dGhvcj5LaW5udW5lbjwvQXV0aG9yPjxZZWFyPjIwMTY8L1llYXI+PFJlY051bT4xNjMxPC9S
ZWNOdW0+PHJlY29yZD48cmVjLW51bWJlcj4xNjMxPC9yZWMtbnVtYmVyPjxmb3JlaWduLWtleXM+
PGtleSBhcHA9IkVOIiBkYi1pZD0iZXh2YXNyZngyZHRyYW9lc2FzeHAyc3pzeGEyZGY1MDI1OTJ4
IiB0aW1lc3RhbXA9IjE1NzY3MzQzMzEiPjE2MzE8L2tleT48a2V5IGFwcD0iRU5XZWIiIGRiLWlk
PSIiPjA8L2tleT48L2ZvcmVpZ24ta2V5cz48cmVmLXR5cGUgbmFtZT0iSm91cm5hbCBBcnRpY2xl
Ij4xNzwvcmVmLXR5cGU+PGNvbnRyaWJ1dG9ycz48YXV0aG9ycz48YXV0aG9yPktpbm51bmVuLCBU
LiBJLjwvYXV0aG9yPjxhdXRob3I+THVvdG8sIFIuPC9hdXRob3I+PGF1dGhvcj5IZWxpbiwgQS48
L2F1dGhvcj48YXV0aG9yPkhlbW1pbmtpLCBFLjwvYXV0aG9yPjwvYXV0aG9ycz48L2NvbnRyaWJ1
dG9ycz48YXV0aC1hZGRyZXNzPlNjaG9vbCBvZiBIZWFsdGggU2NpZW5jZXMsIFVuaXZlcnNpdHkg
b2YgVGFtcGVyZSwgVGFtcGVyZSwgRmlubGFuZC4mI3hEO1RoZSBVS0sgSW5zdGl0dXRlIGZvciBI
ZWFsdGggUHJvbW90aW9uIFJlc2VhcmNoLCBUYW1wZXJlLCBGaW5sYW5kLiYjeEQ7RGVwYXJ0bWVu
dCBvZiBDaGlsZHJlbiwgWW91bmcgUGVvcGxlIGFuZCBGYW1pbGllcywgVGhlIE5hdGlvbmFsIElu
c3RpdHV0ZSBmb3IgSGVhbHRoIGFuZCBXZWxmYXJlLCBIZWxzaW5raSwgRmlubGFuZC4mI3hEO1Nl
cnZpY2UgU3lzdGVtIERlcGFydG1lbnQsIFRoZSBOYXRpb25hbCBJbnN0aXR1dGUgZm9yIEhlYWx0
aCBhbmQgV2VsZmFyZSwgSGVsc2lua2ksIEZpbmxhbmQuPC9hdXRoLWFkZHJlc3M+PHRpdGxlcz48
dGl0bGU+U3VwcGxlbWVudGFsIGlyb24gaW50YWtlIGFuZCB0aGUgcmlzayBvZiBnbHVjb3NlIGlu
dG9sZXJhbmNlIGluIHByZWduYW5jeTogcmUtYW5hbHlzaXMgb2YgYSByYW5kb21pc2VkIGNvbnRy
b2xsZWQgdHJpYWwgaW4gRmlubGFuZDwvdGl0bGU+PHNlY29uZGFyeS10aXRsZT5NYXRlcm4gQ2hp
bGQgTnV0cjwvc2Vjb25kYXJ5LXRpdGxlPjwvdGl0bGVzPjxwZXJpb2RpY2FsPjxmdWxsLXRpdGxl
Pk1hdGVybiBDaGlsZCBOdXRyPC9mdWxsLXRpdGxlPjwvcGVyaW9kaWNhbD48cGFnZXM+NzQtODQ8
L3BhZ2VzPjx2b2x1bWU+MTI8L3ZvbHVtZT48bnVtYmVyPjE8L251bWJlcj48ZWRpdGlvbj4yMDE0
LzA3LzA2PC9lZGl0aW9uPjxrZXl3b3Jkcz48a2V5d29yZD5BZHVsdDwva2V5d29yZD48a2V5d29y
ZD5BbmVtaWEsIElyb24tRGVmaWNpZW5jeS8qZGlldCB0aGVyYXB5PC9rZXl3b3JkPjxrZXl3b3Jk
PkJpcnRoIFdlaWdodDwva2V5d29yZD48a2V5d29yZD5EaWFiZXRlcywgR2VzdGF0aW9uYWwvZXBp
ZGVtaW9sb2d5LypldGlvbG9neS9waHlzaW9wYXRob2xvZ3k8L2tleXdvcmQ+PGtleXdvcmQ+RGll
dGFyeSBTdXBwbGVtZW50cy8qYWR2ZXJzZSBlZmZlY3RzPC9rZXl3b3JkPjxrZXl3b3JkPkZlbWFs
ZTwva2V5d29yZD48a2V5d29yZD5GZXRhbCBNYWNyb3NvbWlhL2VwaWRlbWlvbG9neS9ldGlvbG9n
eTwva2V5d29yZD48a2V5d29yZD5GaW5sYW5kL2VwaWRlbWlvbG9neTwva2V5d29yZD48a2V5d29y
ZD5Gb2xsb3ctVXAgU3R1ZGllczwva2V5d29yZD48a2V5d29yZD5HbHVjb3NlIEludG9sZXJhbmNl
L2VwaWRlbWlvbG9neS9ldGlvbG9neS9waHlzaW9wYXRob2xvZ3k8L2tleXdvcmQ+PGtleXdvcmQ+
SHVtYW5zPC9rZXl3b3JkPjxrZXl3b3JkPkluY2lkZW5jZTwva2V5d29yZD48a2V5d29yZD5JbmZh
bnQsIE5ld2Jvcm48L2tleXdvcmQ+PGtleXdvcmQ+SXJvbiwgRGlldGFyeS8qYWR2ZXJzZSBlZmZl
Y3RzL3RoZXJhcGV1dGljIHVzZTwva2V5d29yZD48a2V5d29yZD5NYWxlPC9rZXl3b3JkPjxrZXl3
b3JkPipNYXRlcm5hbCBOdXRyaXRpb25hbCBQaHlzaW9sb2dpY2FsIFBoZW5vbWVuYTwva2V5d29y
ZD48a2V5d29yZD5QcmVnbmFuY3k8L2tleXdvcmQ+PGtleXdvcmQ+UmlzayBGYWN0b3JzPC9rZXl3
b3JkPjxrZXl3b3JkPldlaWdodCBHYWluPC9rZXl3b3JkPjxrZXl3b3JkPllvdW5nIEFkdWx0PC9r
ZXl3b3JkPjxrZXl3b3JkPmdlc3RhdGlvbmFsIGRpYWJldGVzPC9rZXl3b3JkPjxrZXl3b3JkPmds
dWNvc2UgaW50b2xlcmFuY2U8L2tleXdvcmQ+PGtleXdvcmQ+aXJvbiBzdXBwbGVtZW50YXRpb248
L2tleXdvcmQ+PGtleXdvcmQ+cmFuZG9taXNlZCBjb250cm9sbGVkIHRyaWFsPC9rZXl3b3JkPjwv
a2V5d29yZHM+PGRhdGVzPjx5ZWFyPjIwMTY8L3llYXI+PHB1Yi1kYXRlcz48ZGF0ZT5KYW48L2Rh
dGU+PC9wdWItZGF0ZXM+PC9kYXRlcz48aXNibj4xNzQwLTg3MDkgKEVsZWN0cm9uaWMpJiN4RDsx
NzQwLTg2OTUgKExpbmtpbmcpPC9pc2JuPjxhY2Nlc3Npb24tbnVtPjI0OTk1NzAwPC9hY2Nlc3Np
b24tbnVtPjx1cmxzPjxyZWxhdGVkLXVybHM+PHVybD5odHRwczovL3d3dy5uY2JpLm5sbS5uaWgu
Z292L3B1Ym1lZC8yNDk5NTcwMDwvdXJsPjwvcmVsYXRlZC11cmxzPjwvdXJscz48ZWxlY3Ryb25p
Yy1yZXNvdXJjZS1udW0+MTAuMTExMS9tY24uMTIxMzk8L2VsZWN0cm9uaWMtcmVzb3VyY2UtbnVt
PjwvcmVjb3JkPjwvQ2l0ZT48Q2l0ZT48QXV0aG9yPlBhcmlzaTwvQXV0aG9yPjxZZWFyPjIwMTc8
L1llYXI+PFJlY051bT4xNjM1PC9SZWNOdW0+PHJlY29yZD48cmVjLW51bWJlcj4xNjM1PC9yZWMt
bnVtYmVyPjxmb3JlaWduLWtleXM+PGtleSBhcHA9IkVOIiBkYi1pZD0iZXh2YXNyZngyZHRyYW9l
c2FzeHAyc3pzeGEyZGY1MDI1OTJ4IiB0aW1lc3RhbXA9IjE1NzY3MzQzNTgiPjE2MzU8L2tleT48
a2V5IGFwcD0iRU5XZWIiIGRiLWlkPSIiPjA8L2tleT48L2ZvcmVpZ24ta2V5cz48cmVmLXR5cGUg
bmFtZT0iSm91cm5hbCBBcnRpY2xlIj4xNzwvcmVmLXR5cGU+PGNvbnRyaWJ1dG9ycz48YXV0aG9y
cz48YXV0aG9yPlBhcmlzaSwgRi48L2F1dGhvcj48YXV0aG9yPkJlcnRpLCBDLjwvYXV0aG9yPjxh
dXRob3I+TWFuZG8sIEMuPC9hdXRob3I+PGF1dGhvcj5NYXJ0aW5lbGxpLCBBLjwvYXV0aG9yPjxh
dXRob3I+TWF6emFsaSwgQy48L2F1dGhvcj48YXV0aG9yPkNldGluLCBJLjwvYXV0aG9yPjwvYXV0
aG9ycz48L2NvbnRyaWJ1dG9ycz48YXV0aC1hZGRyZXNzPmEgVW5pdCBvZiBPYnN0ZXRyaWNzIGFu
ZCBHeW5lY29sb2d5LCBEZXBhcnRtZW50IG9mIEJpb21lZGljYWwgYW5kIENsaW5pY2FsIFNjaWVu
Y2VzLCBDZW50ZXIgZm9yIEZldGFsIFJlc2VhcmNoIEdpb3JnaW8gUGFyZGksIEhvc3BpdGFsIEx1
aWdpIFNhY2NvLCBVbml2ZXJzaXRhIGRlZ2xpIFN0dWRpIGRpIE1pbGFubyAsIE1pbGFuICwgSXRh
bHkgYW5kLiYjeEQ7YiBVbml0IG9mIFN0YXRpc3RpY3MgYW5kIEJpb21ldHJpY3MsIERlcGFydG1l
bnQgb2YgQmlvbWVkaWNhbCBhbmQgQ2xpbmljYWwgU2NpZW5jZXMsIEhvc3BpdGFsIEx1aWdpIFNh
Y2NvLCBVbml2ZXJzaXRhIGRlZ2xpIFN0dWRpIGRpIE1pbGFubyAsIE1pbGFuICwgSXRhbHkuPC9h
dXRoLWFkZHJlc3M+PHRpdGxlcz48dGl0bGU+RWZmZWN0cyBvZiBkaWZmZXJlbnQgcmVnaW1lbnMg
b2YgaXJvbiBwcm9waHlsYXhpcyBvbiBtYXRlcm5hbCBpcm9uIHN0YXR1cyBhbmQgcHJlZ25hbmN5
IG91dGNvbWU6IGEgcmFuZG9taXplZCBjb250cm9sIHRyaWFsPC90aXRsZT48c2Vjb25kYXJ5LXRp
dGxlPkogTWF0ZXJuIEZldGFsIE5lb25hdGFsIE1lZDwvc2Vjb25kYXJ5LXRpdGxlPjwvdGl0bGVz
PjxwZXJpb2RpY2FsPjxmdWxsLXRpdGxlPkogTWF0ZXJuIEZldGFsIE5lb25hdGFsIE1lZDwvZnVs
bC10aXRsZT48L3BlcmlvZGljYWw+PHBhZ2VzPjE3ODctMTc5MjwvcGFnZXM+PHZvbHVtZT4zMDwv
dm9sdW1lPjxudW1iZXI+MTU8L251bWJlcj48ZWRpdGlvbj4yMDE2LzA5LzAzPC9lZGl0aW9uPjxr
ZXl3b3Jkcz48a2V5d29yZD5BZG9sZXNjZW50PC9rZXl3b3JkPjxrZXl3b3JkPkFkdWx0PC9rZXl3
b3JkPjxrZXl3b3JkPkFuZW1pYSwgSXJvbi1EZWZpY2llbmN5L2Jsb29kLypwcmV2ZW50aW9uICZh
bXA7IGNvbnRyb2w8L2tleXdvcmQ+PGtleXdvcmQ+QmlydGggV2VpZ2h0PC9rZXl3b3JkPjxrZXl3
b3JkPkRpZXRhcnkgU3VwcGxlbWVudHM8L2tleXdvcmQ+PGtleXdvcmQ+RmVtYWxlPC9rZXl3b3Jk
PjxrZXl3b3JkPkZlcnJpdGlucy9ibG9vZDwva2V5d29yZD48a2V5d29yZD5HZXN0YXRpb25hbCBB
Z2U8L2tleXdvcmQ+PGtleXdvcmQ+SGVtb2dsb2JpbnMvYW5hbHlzaXM8L2tleXdvcmQ+PGtleXdv
cmQ+SHVtYW5zPC9rZXl3b3JkPjxrZXl3b3JkPklyb24vKmFkbWluaXN0cmF0aW9uICZhbXA7IGRv
c2FnZTwva2V5d29yZD48a2V5d29yZD5NaWRkbGUgQWdlZDwva2V5d29yZD48a2V5d29yZD4qTnV0
cml0aW9uYWwgU3RhdHVzPC9rZXl3b3JkPjxrZXl3b3JkPlByZWduYW5jeTwva2V5d29yZD48a2V5
d29yZD5QcmVnbmFuY3kgQ29tcGxpY2F0aW9ucywgSGVtYXRvbG9naWMvYmxvb2QvKnByZXZlbnRp
b24gJmFtcDsgY29udHJvbDwva2V5d29yZD48a2V5d29yZD4qUHJlZ25hbmN5IE91dGNvbWU8L2tl
eXdvcmQ+PGtleXdvcmQ+QW5lbWlhPC9rZXl3b3JkPjxrZXl3b3JkPmlyb24gZGVmaWNpZW5jeSBh
bmVtaWE8L2tleXdvcmQ+PGtleXdvcmQ+aXJvbiBzdXBwbGVtZW50YXRpb248L2tleXdvcmQ+PGtl
eXdvcmQ+bGlwb3NvbWFsIGlyb248L2tleXdvcmQ+PC9rZXl3b3Jkcz48ZGF0ZXM+PHllYXI+MjAx
NzwveWVhcj48cHViLWRhdGVzPjxkYXRlPkF1ZzwvZGF0ZT48L3B1Yi1kYXRlcz48L2RhdGVzPjxp
c2JuPjE0NzYtNDk1NCAoRWxlY3Ryb25pYykmI3hEOzE0NzYtNDk1NCAoTGlua2luZyk8L2lzYm4+
PGFjY2Vzc2lvbi1udW0+Mjc1ODg1Njg8L2FjY2Vzc2lvbi1udW0+PHVybHM+PHJlbGF0ZWQtdXJs
cz48dXJsPmh0dHBzOi8vd3d3Lm5jYmkubmxtLm5paC5nb3YvcHVibWVkLzI3NTg4NTY4PC91cmw+
PC9yZWxhdGVkLXVybHM+PC91cmxzPjxlbGVjdHJvbmljLXJlc291cmNlLW51bT4xMC4xMDgwLzE0
NzY3MDU4LjIwMTYuMTIyNDg0MTwvZWxlY3Ryb25pYy1yZXNvdXJjZS1udW0+PC9yZWNvcmQ+PC9D
aXRlPjxDaXRlPjxBdXRob3I+V2FuZzwvQXV0aG9yPjxZZWFyPjIwMTY8L1llYXI+PFJlY051bT4x
NjM5PC9SZWNOdW0+PHJlY29yZD48cmVjLW51bWJlcj4xNjM5PC9yZWMtbnVtYmVyPjxmb3JlaWdu
LWtleXM+PGtleSBhcHA9IkVOIiBkYi1pZD0iZXh2YXNyZngyZHRyYW9lc2FzeHAyc3pzeGEyZGY1
MDI1OTJ4IiB0aW1lc3RhbXA9IjE1NzY3MzQzODMiPjE2Mzk8L2tleT48a2V5IGFwcD0iRU5XZWIi
IGRiLWlkPSIiPjA8L2tleT48L2ZvcmVpZ24ta2V5cz48cmVmLXR5cGUgbmFtZT0iSm91cm5hbCBB
cnRpY2xlIj4xNzwvcmVmLXR5cGU+PGNvbnRyaWJ1dG9ycz48YXV0aG9ycz48YXV0aG9yPldhbmcs
IEwuPC9hdXRob3I+PGF1dGhvcj5NZWksIFouPC9hdXRob3I+PGF1dGhvcj5MaSwgSC48L2F1dGhv
cj48YXV0aG9yPlpoYW5nLCBZLjwvYXV0aG9yPjxhdXRob3I+TGl1LCBKLjwvYXV0aG9yPjxhdXRo
b3I+U2VyZHVsYSwgTS4gSy48L2F1dGhvcj48L2F1dGhvcnM+PC9jb250cmlidXRvcnM+PGF1dGgt
YWRkcmVzcz4xSW5zdGl0dXRlIG9mIFJlcHJvZHVjdGl2ZSBhbmQgQ2hpbGQgSGVhbHRoL01pbmlz
dHJ5IG9mIEhlYWx0aCBLZXkgTGFib3JhdG9yeSBvZiBSZXByb2R1Y3RpdmUgSGVhbHRoLFBla2lu
ZyBVbml2ZXJzaXR5IEhlYWx0aCBTY2llbmNlIENlbnRlcixCZWlqaW5nIDEwMDE5MSxQZW9wbGUm
YXBvcztzIFJlcHVibGljIG9mIENoaW5hLiYjeEQ7MkRpdmlzaW9uIG9mIE51dHJpdGlvbixQaHlz
aWNhbCBBY3Rpdml0eSBhbmQgT2Jlc2l0eSxOYXRpb25hbCBDZW50ZXIgZm9yIENocm9uaWMgRGlz
ZWFzZSBQcmV2ZW50aW9uIGFuZCBIZWFsdGggUHJvbW90aW9uLENlbnRlcnMgZm9yIERpc2Vhc2Ug
Q29udHJvbCBhbmQgUHJldmVudGlvbiAoQ0RDKSxBdGxhbnRhLEdBIDMwMzI5LTQwMjcsVVNBLjwv
YXV0aC1hZGRyZXNzPjx0aXRsZXM+PHRpdGxlPk1vZGlmeWluZyBlZmZlY3RzIG9mIG1hdGVybmFs
IEhiIGNvbmNlbnRyYXRpb24gb24gaW5mYW50IGJpcnRoIHdlaWdodCBpbiB3b21lbiByZWNlaXZp
bmcgcHJlbmF0YWwgaXJvbi1jb250YWluaW5nIHN1cHBsZW1lbnRzOiBhIHJhbmRvbWlzZWQgY29u
dHJvbGxlZCB0cmlhbDwvdGl0bGU+PHNlY29uZGFyeS10aXRsZT5CciBKIE51dHI8L3NlY29uZGFy
eS10aXRsZT48L3RpdGxlcz48cGVyaW9kaWNhbD48ZnVsbC10aXRsZT5CciBKIE51dHI8L2Z1bGwt
dGl0bGU+PC9wZXJpb2RpY2FsPjxwYWdlcz42NDQtOTwvcGFnZXM+PHZvbHVtZT4xMTU8L3ZvbHVt
ZT48bnVtYmVyPjQ8L251bWJlcj48ZWRpdGlvbj4yMDE2LzAxLzMwPC9lZGl0aW9uPjxrZXl3b3Jk
cz48a2V5d29yZD5BZHVsdDwva2V5d29yZD48a2V5d29yZD5BbmVtaWEsIElyb24tRGVmaWNpZW5j
eS9ibG9vZC9waHlzaW9wYXRob2xvZ3kvKnByZXZlbnRpb24gJmFtcDsgY29udHJvbDwva2V5d29y
ZD48a2V5d29yZD5CaXJ0aCBXZWlnaHQ8L2tleXdvcmQ+PGtleXdvcmQ+Q2hpbmEvZXBpZGVtaW9s
b2d5PC9rZXl3b3JkPjxrZXl3b3JkPipEaWV0YXJ5IFN1cHBsZW1lbnRzL2FkdmVyc2UgZWZmZWN0
czwva2V5d29yZD48a2V5d29yZD5Eb3VibGUtQmxpbmQgTWV0aG9kPC9rZXl3b3JkPjxrZXl3b3Jk
PkZlbWFsZTwva2V5d29yZD48a2V5d29yZD5GZXJyb3VzIENvbXBvdW5kcy9hZG1pbmlzdHJhdGlv
biAmYW1wOyBkb3NhZ2U8L2tleXdvcmQ+PGtleXdvcmQ+RmV0YWwgR3Jvd3RoIFJldGFyZGF0aW9u
L2VwaWRlbWlvbG9neS9ldGlvbG9neS9waHlzaW9wYXRob2xvZ3kvKnByZXZlbnRpb24gJmFtcDs8
L2tleXdvcmQ+PGtleXdvcmQ+Y29udHJvbDwva2V5d29yZD48a2V5d29yZD5IZW1hdGluaWNzL2Fk
dmVyc2UgZWZmZWN0cy8qdGhlcmFwZXV0aWMgdXNlPC9rZXl3b3JkPjxrZXl3b3JkPkhlbW9nbG9i
aW5zL2FuYWx5c2lzPC9rZXl3b3JkPjxrZXl3b3JkPkh1bWFuczwva2V5d29yZD48a2V5d29yZD5J
cm9uLCBEaWV0YXJ5L2FkdmVyc2UgZWZmZWN0cy8qdGhlcmFwZXV0aWMgdXNlPC9rZXl3b3JkPjxr
ZXl3b3JkPipNYXRlcm5hbCBOdXRyaXRpb25hbCBQaHlzaW9sb2dpY2FsIFBoZW5vbWVuYTwva2V5
d29yZD48a2V5d29yZD5OdXRyaXRpb25hbCBTdGF0dXM8L2tleXdvcmQ+PGtleXdvcmQ+UHJlZ25h
bmN5PC9rZXl3b3JkPjxrZXl3b3JkPlByZWduYW5jeSBDb21wbGljYXRpb25zL2Jsb29kL3BoeXNp
b3BhdGhvbG9neS8qcHJldmVudGlvbiAmYW1wOyBjb250cm9sPC9rZXl3b3JkPjxrZXl3b3JkPlBy
ZWduYW5jeSBUcmltZXN0ZXIsIFNlY29uZDwva2V5d29yZD48a2V5d29yZD5SaXNrPC9rZXl3b3Jk
PjxrZXl3b3JkPlJ1cmFsIEhlYWx0aDwva2V5d29yZD48a2V5d29yZD5TZXZlcml0eSBvZiBJbGxu
ZXNzIEluZGV4PC9rZXl3b3JkPjxrZXl3b3JkPllvdW5nIEFkdWx0PC9rZXl3b3JkPjxrZXl3b3Jk
PkZBIGZvbGljIGFjaWQ8L2tleXdvcmQ+PGtleXdvcmQ+SGlnaCBtYXRlcm5hbCBIYjwva2V5d29y
ZD48a2V5d29yZD5JRkEgRmUtZm9saWMgYWNpZDwva2V5d29yZD48a2V5d29yZD5Jcm9uLWNvbnRh
aW5pbmcgc3VwcGxlbWVudHM8L2tleXdvcmQ+PGtleXdvcmQ+TEJXIGxvdyBiaXJ0aCB3ZWlnaHQ8
L2tleXdvcmQ+PGtleXdvcmQ+TU1OIG11bHRpcGxlIG1pY3JvbnV0cmllbnRzPC9rZXl3b3JkPjxr
ZXl3b3JkPlJDVCByYW5kb21pc2VkIGNvbnRyb2xsZWQgdHJpYWw8L2tleXdvcmQ+PC9rZXl3b3Jk
cz48ZGF0ZXM+PHllYXI+MjAxNjwveWVhcj48cHViLWRhdGVzPjxkYXRlPkZlYiAyODwvZGF0ZT48
L3B1Yi1kYXRlcz48L2RhdGVzPjxpc2JuPjE0NzUtMjY2MiAoRWxlY3Ryb25pYykmI3hEOzAwMDct
MTE0NSAoTGlua2luZyk8L2lzYm4+PGFjY2Vzc2lvbi1udW0+MjY4MjQ3MzE8L2FjY2Vzc2lvbi1u
dW0+PHVybHM+PHJlbGF0ZWQtdXJscz48dXJsPmh0dHBzOi8vd3d3Lm5jYmkubmxtLm5paC5nb3Yv
cHVibWVkLzI2ODI0NzMxPC91cmw+PC9yZWxhdGVkLXVybHM+PC91cmxzPjxlbGVjdHJvbmljLXJl
c291cmNlLW51bT4xMC4xMDE3L1MwMDA3MTE0NTE1MDA0ODcwPC9lbGVjdHJvbmljLXJlc291cmNl
LW51bT48L3JlY29yZD48L0NpdGU+PENpdGU+PEF1dGhvcj5TZXJkdWxhPC9BdXRob3I+PFllYXI+
MjAxOTwvWWVhcj48UmVjTnVtPjE2Mzg8L1JlY051bT48cmVjb3JkPjxyZWMtbnVtYmVyPjE2Mzg8
L3JlYy1udW1iZXI+PGZvcmVpZ24ta2V5cz48a2V5IGFwcD0iRU4iIGRiLWlkPSJleHZhc3JmeDJk
dHJhb2VzYXN4cDJzenN4YTJkZjUwMjU5MngiIHRpbWVzdGFtcD0iMTU3NjczNDM3OSI+MTYzODwv
a2V5PjxrZXkgYXBwPSJFTldlYiIgZGItaWQ9IiI+MDwva2V5PjwvZm9yZWlnbi1rZXlzPjxyZWYt
dHlwZSBuYW1lPSJKb3VybmFsIEFydGljbGUiPjE3PC9yZWYtdHlwZT48Y29udHJpYnV0b3JzPjxh
dXRob3JzPjxhdXRob3I+U2VyZHVsYSwgTS4gSy48L2F1dGhvcj48YXV0aG9yPlpob3UsIFkuPC9h
dXRob3I+PGF1dGhvcj5MaSwgSC48L2F1dGhvcj48YXV0aG9yPkxpdSwgSi4gTS48L2F1dGhvcj48
YXV0aG9yPk1laSwgWi48L2F1dGhvcj48L2F1dGhvcnM+PC9jb250cmlidXRvcnM+PGF1dGgtYWRk
cmVzcz5EaXZpc2lvbiBvZiBOdXRyaXRpb24sIFBoeXNpY2FsIEFjdGl2aXR5IGFuZCBPYmVzaXR5
LCBOYXRpb25hbCBDZW50ZXIgZm9yIENocm9uaWMgRGlzZWFzZSBQcmV2ZW50aW9uIGFuZCBIZWFs
dGggUHJvbW90aW9uLCBDZW50ZXJzIGZvciBEaXNlYXNlIENvbnRyb2wgYW5kIFByZXZlbnRpb24g
KENEQyksIEF0bGFudGEsIEdBLCBVU0EuJiN4RDtQZWtpbmcgVW5pdmVyc2l0eSBJbnN0aXR1dGUg
b2YgUmVwcm9kdWN0aXZlIGFuZCBDaGlsZCBIZWFsdGgvTWluaXN0cnkgb2YgSGVhbHRoIEtleSBM
YWJvcmF0b3J5IG9mIFJlcHJvZHVjdGl2ZSBIZWFsdGgsIFBla2luZyBVbml2ZXJzaXR5IEhlYWx0
aCBTY2llbmNlIENlbnRlciwgQmVpamluZywgQ2hpbmEuJiN4RDtEZXBhcnRtZW50IG9mIEVwaWRl
bWlvbG9neSBhbmQgQmlvc3RhdGlzdGljcywgU2Nob29sIG9mIFB1YmxpYyBIZWFsdGgsIFBla2lu
ZyBVbml2ZXJzaXR5IEhlYWx0aCBTY2llbmNlIENlbnRlciwgQmVpamluZywgQ2hpbmEuJiN4RDtQ
ZWtpbmcgVW5pdmVyc2l0eSBJbnN0aXR1dGUgb2YgUmVwcm9kdWN0aXZlIGFuZCBDaGlsZCBIZWFs
dGgvTWluaXN0cnkgb2YgSGVhbHRoIEtleSBMYWJvcmF0b3J5IG9mIFJlcHJvZHVjdGl2ZSBIZWFs
dGgsIFBla2luZyBVbml2ZXJzaXR5IEhlYWx0aCBTY2llbmNlIENlbnRlciwgQmVpamluZywgQ2hp
bmEuIGxpdWptQHBrdS5lZHUuY24uJiN4RDtEZXBhcnRtZW50IG9mIEVwaWRlbWlvbG9neSBhbmQg
Qmlvc3RhdGlzdGljcywgU2Nob29sIG9mIFB1YmxpYyBIZWFsdGgsIFBla2luZyBVbml2ZXJzaXR5
IEhlYWx0aCBTY2llbmNlIENlbnRlciwgQmVpamluZywgQ2hpbmEuIGxpdWptQHBrdS5lZHUuY24u
PC9hdXRoLWFkZHJlc3M+PHRpdGxlcz48dGl0bGU+UHJlbmF0YWwgaXJvbiBjb250YWluaW5nIHN1
cHBsZW1lbnRzIHByb3ZpZGVkIHRvIENoaW5lc2Ugd29tZW4gd2l0aCBubyBvciBtaWxkIGFuZW1p
YSBoYWQgbm8gZWZmZWN0IG9uIGhlbW9nbG9iaW4gY29uY2VudHJhdGlvbiBpbiBwb3N0LXBhcnR1
bSB3b21lbiBvciB0aGVpciBpbmZhbnRzIGF0IDYgYW5kIDEyIG1vbnRocyBvZiBhZ2U8L3RpdGxl
PjxzZWNvbmRhcnktdGl0bGU+RXVyIEogQ2xpbiBOdXRyPC9zZWNvbmRhcnktdGl0bGU+PC90aXRs
ZXM+PHBlcmlvZGljYWw+PGZ1bGwtdGl0bGU+RXVyIEogQ2xpbiBOdXRyPC9mdWxsLXRpdGxlPjwv
cGVyaW9kaWNhbD48cGFnZXM+MTQ3My0xNDc5PC9wYWdlcz48dm9sdW1lPjczPC92b2x1bWU+PG51
bWJlcj4xMTwvbnVtYmVyPjxlZGl0aW9uPjIwMTgvMTEvMTg8L2VkaXRpb24+PGRhdGVzPjx5ZWFy
PjIwMTk8L3llYXI+PHB1Yi1kYXRlcz48ZGF0ZT5Ob3Y8L2RhdGU+PC9wdWItZGF0ZXM+PC9kYXRl
cz48aXNibj4xNDc2LTU2NDAgKEVsZWN0cm9uaWMpJiN4RDswOTU0LTMwMDcgKExpbmtpbmcpPC9p
c2JuPjxhY2Nlc3Npb24tbnVtPjMwNDQ2NzYyPC9hY2Nlc3Npb24tbnVtPjx1cmxzPjxyZWxhdGVk
LXVybHM+PHVybD5odHRwczovL3d3dy5uY2JpLm5sbS5uaWguZ292L3B1Ym1lZC8zMDQ0Njc2Mjwv
dXJsPjwvcmVsYXRlZC11cmxzPjwvdXJscz48ZWxlY3Ryb25pYy1yZXNvdXJjZS1udW0+MTAuMTAz
OC9zNDE0MzAtMDE4LTAzNjUteDwvZWxlY3Ryb25pYy1yZXNvdXJjZS1udW0+PC9yZWNvcmQ+PC9D
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177-184</w:t>
      </w:r>
      <w:r>
        <w:fldChar w:fldCharType="end"/>
      </w:r>
    </w:p>
    <w:p w14:paraId="32E13A55" w14:textId="32308EE4" w:rsidR="00472B20" w:rsidRDefault="008D6E50" w:rsidP="00193995">
      <w:r>
        <w:t>Two systematic reviews</w:t>
      </w:r>
      <w:r w:rsidR="002A54AD">
        <w:t xml:space="preserve"> — a Cochrane review</w:t>
      </w:r>
      <w:r w:rsidR="00187601">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rsidR="00187601">
        <w:fldChar w:fldCharType="separate"/>
      </w:r>
      <w:r w:rsidR="002747EA" w:rsidRPr="002747EA">
        <w:rPr>
          <w:noProof/>
          <w:vertAlign w:val="superscript"/>
        </w:rPr>
        <w:t>174</w:t>
      </w:r>
      <w:r w:rsidR="00187601">
        <w:fldChar w:fldCharType="end"/>
      </w:r>
      <w:r w:rsidR="009C1D60">
        <w:t xml:space="preserve"> </w:t>
      </w:r>
      <w:r w:rsidR="002A54AD">
        <w:t>and a more recent review</w:t>
      </w:r>
      <w:r w:rsidR="002A54AD">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EN.CITE.DATA </w:instrText>
      </w:r>
      <w:r w:rsidR="002747EA">
        <w:fldChar w:fldCharType="end"/>
      </w:r>
      <w:r w:rsidR="002A54AD">
        <w:fldChar w:fldCharType="separate"/>
      </w:r>
      <w:r w:rsidR="002747EA" w:rsidRPr="002747EA">
        <w:rPr>
          <w:noProof/>
          <w:vertAlign w:val="superscript"/>
        </w:rPr>
        <w:t>173</w:t>
      </w:r>
      <w:r w:rsidR="002A54AD">
        <w:fldChar w:fldCharType="end"/>
      </w:r>
      <w:r w:rsidR="002A54AD">
        <w:t xml:space="preserve"> — </w:t>
      </w:r>
      <w:r w:rsidR="009C1D60">
        <w:t>reported on maternal anaemia at term, maternal side effects, neonatal death</w:t>
      </w:r>
      <w:r w:rsidR="007B0FFA">
        <w:t>,</w:t>
      </w:r>
      <w:r w:rsidR="009C1D60">
        <w:t xml:space="preserve"> </w:t>
      </w:r>
      <w:r w:rsidR="00DF4B68">
        <w:t xml:space="preserve">preterm birth </w:t>
      </w:r>
      <w:r w:rsidR="009C1D60">
        <w:t xml:space="preserve">and low birthweight. </w:t>
      </w:r>
      <w:r w:rsidR="0037590C">
        <w:t xml:space="preserve">The reviews were consistent in </w:t>
      </w:r>
      <w:r w:rsidR="00E760BE">
        <w:t>finding a reduction in risk of</w:t>
      </w:r>
      <w:r w:rsidR="00910B59">
        <w:t xml:space="preserve"> maternal anaemia at term (</w:t>
      </w:r>
      <w:r w:rsidR="00910B59" w:rsidRPr="00C84AD7">
        <w:rPr>
          <w:sz w:val="16"/>
          <w:szCs w:val="16"/>
        </w:rPr>
        <w:t>RR 0.3</w:t>
      </w:r>
      <w:r w:rsidR="00E760BE">
        <w:rPr>
          <w:sz w:val="16"/>
          <w:szCs w:val="16"/>
        </w:rPr>
        <w:t>0</w:t>
      </w:r>
      <w:r w:rsidR="00910B59" w:rsidRPr="00C84AD7">
        <w:rPr>
          <w:sz w:val="16"/>
          <w:szCs w:val="16"/>
        </w:rPr>
        <w:t>; 95%CI 0.</w:t>
      </w:r>
      <w:r w:rsidR="00E760BE">
        <w:rPr>
          <w:sz w:val="16"/>
          <w:szCs w:val="16"/>
        </w:rPr>
        <w:t>19</w:t>
      </w:r>
      <w:r w:rsidR="00910B59" w:rsidRPr="00C84AD7">
        <w:rPr>
          <w:sz w:val="16"/>
          <w:szCs w:val="16"/>
        </w:rPr>
        <w:t xml:space="preserve"> to</w:t>
      </w:r>
      <w:r w:rsidR="00E760BE">
        <w:t xml:space="preserve"> </w:t>
      </w:r>
      <w:r w:rsidR="00E760BE" w:rsidRPr="00E760BE">
        <w:rPr>
          <w:sz w:val="16"/>
          <w:szCs w:val="16"/>
        </w:rPr>
        <w:t>0.46, 14 RCTs, n=2,199</w:t>
      </w:r>
      <w:r w:rsidR="00E760BE">
        <w:t xml:space="preserve">; </w:t>
      </w:r>
      <w:r w:rsidR="00E760BE" w:rsidRPr="00A912D4">
        <w:rPr>
          <w:sz w:val="16"/>
          <w:szCs w:val="16"/>
        </w:rPr>
        <w:t xml:space="preserve">low </w:t>
      </w:r>
      <w:r w:rsidR="00836F2D">
        <w:rPr>
          <w:sz w:val="16"/>
          <w:szCs w:val="16"/>
        </w:rPr>
        <w:t>certainty</w:t>
      </w:r>
      <w:r w:rsidR="00E760BE">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rsidR="00E760BE">
        <w:fldChar w:fldCharType="separate"/>
      </w:r>
      <w:r w:rsidR="002747EA" w:rsidRPr="002747EA">
        <w:rPr>
          <w:noProof/>
          <w:vertAlign w:val="superscript"/>
        </w:rPr>
        <w:t>174</w:t>
      </w:r>
      <w:r w:rsidR="00E760BE">
        <w:fldChar w:fldCharType="end"/>
      </w:r>
      <w:r w:rsidR="00E760BE">
        <w:t>;</w:t>
      </w:r>
      <w:r w:rsidR="00E760BE" w:rsidRPr="00E760BE">
        <w:t xml:space="preserve"> </w:t>
      </w:r>
      <w:r w:rsidR="00E760BE" w:rsidRPr="00E760BE">
        <w:rPr>
          <w:sz w:val="16"/>
          <w:szCs w:val="16"/>
        </w:rPr>
        <w:t>RR 0.38; 95% CI 0.27 to 0.33; 13 RCTs</w:t>
      </w:r>
      <w:r w:rsidR="00E760BE">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EN.CITE.DATA </w:instrText>
      </w:r>
      <w:r w:rsidR="002747EA">
        <w:fldChar w:fldCharType="end"/>
      </w:r>
      <w:r w:rsidR="00E760BE">
        <w:fldChar w:fldCharType="separate"/>
      </w:r>
      <w:r w:rsidR="002747EA" w:rsidRPr="002747EA">
        <w:rPr>
          <w:noProof/>
          <w:vertAlign w:val="superscript"/>
        </w:rPr>
        <w:t>173</w:t>
      </w:r>
      <w:r w:rsidR="00E760BE">
        <w:fldChar w:fldCharType="end"/>
      </w:r>
      <w:r w:rsidR="00187601">
        <w:t>)</w:t>
      </w:r>
      <w:r w:rsidR="00C112C4">
        <w:t xml:space="preserve">. </w:t>
      </w:r>
      <w:r w:rsidR="00E760BE">
        <w:t>T</w:t>
      </w:r>
      <w:r w:rsidR="00C112C4">
        <w:t xml:space="preserve">he reviews were </w:t>
      </w:r>
      <w:r w:rsidR="00FD5FAD">
        <w:t xml:space="preserve">also </w:t>
      </w:r>
      <w:r w:rsidR="00C112C4">
        <w:t>consistent in finding no clear effect on maternal side effects (</w:t>
      </w:r>
      <w:r w:rsidR="00C112C4" w:rsidRPr="00C112C4">
        <w:rPr>
          <w:sz w:val="16"/>
          <w:szCs w:val="16"/>
        </w:rPr>
        <w:t xml:space="preserve">RR 1.29; 95%CI 0.83 to 2.02, 11 RCTs, n=2,423, very low </w:t>
      </w:r>
      <w:r w:rsidR="00836F2D">
        <w:rPr>
          <w:sz w:val="16"/>
          <w:szCs w:val="16"/>
        </w:rPr>
        <w:t>certainty</w:t>
      </w:r>
      <w:r w:rsidR="00C112C4">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rsidR="00C112C4">
        <w:fldChar w:fldCharType="separate"/>
      </w:r>
      <w:r w:rsidR="002747EA" w:rsidRPr="002747EA">
        <w:rPr>
          <w:noProof/>
          <w:vertAlign w:val="superscript"/>
        </w:rPr>
        <w:t>174</w:t>
      </w:r>
      <w:r w:rsidR="00C112C4">
        <w:fldChar w:fldCharType="end"/>
      </w:r>
      <w:r w:rsidR="00C84AD7">
        <w:rPr>
          <w:sz w:val="16"/>
          <w:szCs w:val="16"/>
        </w:rPr>
        <w:t xml:space="preserve">; </w:t>
      </w:r>
      <w:r w:rsidR="00C84AD7" w:rsidRPr="00C112C4">
        <w:rPr>
          <w:sz w:val="16"/>
          <w:szCs w:val="16"/>
        </w:rPr>
        <w:t>RR 1.42; 95%CI 0.91 to 2.21; 12 RCTs</w:t>
      </w:r>
      <w:r w:rsidR="00C84AD7">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EN.CITE.DATA </w:instrText>
      </w:r>
      <w:r w:rsidR="002747EA">
        <w:fldChar w:fldCharType="end"/>
      </w:r>
      <w:r w:rsidR="00C84AD7">
        <w:fldChar w:fldCharType="separate"/>
      </w:r>
      <w:r w:rsidR="002747EA" w:rsidRPr="002747EA">
        <w:rPr>
          <w:noProof/>
          <w:vertAlign w:val="superscript"/>
        </w:rPr>
        <w:t>173</w:t>
      </w:r>
      <w:r w:rsidR="00C84AD7">
        <w:fldChar w:fldCharType="end"/>
      </w:r>
      <w:r w:rsidR="00C112C4">
        <w:t>), neonatal death (</w:t>
      </w:r>
      <w:r w:rsidR="00C84AD7" w:rsidRPr="00C112C4">
        <w:rPr>
          <w:sz w:val="16"/>
          <w:szCs w:val="16"/>
        </w:rPr>
        <w:t>RR</w:t>
      </w:r>
      <w:r w:rsidR="00C84AD7">
        <w:rPr>
          <w:sz w:val="16"/>
          <w:szCs w:val="16"/>
        </w:rPr>
        <w:t> </w:t>
      </w:r>
      <w:r w:rsidR="00C84AD7" w:rsidRPr="00C112C4">
        <w:rPr>
          <w:sz w:val="16"/>
          <w:szCs w:val="16"/>
        </w:rPr>
        <w:t xml:space="preserve">0.91; 95%CI 0.71 to 1.18, 4 RCTs, n=16,603, low </w:t>
      </w:r>
      <w:r w:rsidR="00836F2D">
        <w:rPr>
          <w:sz w:val="16"/>
          <w:szCs w:val="16"/>
        </w:rPr>
        <w:t>certainty</w:t>
      </w:r>
      <w:r w:rsidR="00C84AD7">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rsidR="00C84AD7">
        <w:fldChar w:fldCharType="separate"/>
      </w:r>
      <w:r w:rsidR="002747EA" w:rsidRPr="002747EA">
        <w:rPr>
          <w:noProof/>
          <w:vertAlign w:val="superscript"/>
        </w:rPr>
        <w:t>174</w:t>
      </w:r>
      <w:r w:rsidR="00C84AD7">
        <w:fldChar w:fldCharType="end"/>
      </w:r>
      <w:r w:rsidR="00C84AD7">
        <w:t xml:space="preserve">; </w:t>
      </w:r>
      <w:r w:rsidR="00C112C4" w:rsidRPr="00C112C4">
        <w:rPr>
          <w:sz w:val="16"/>
          <w:szCs w:val="16"/>
        </w:rPr>
        <w:t xml:space="preserve">RR 0.93; 0.72 to 1.20; 7 RCTs; low </w:t>
      </w:r>
      <w:r w:rsidR="00836F2D">
        <w:rPr>
          <w:sz w:val="16"/>
          <w:szCs w:val="16"/>
        </w:rPr>
        <w:t>certainty</w:t>
      </w:r>
      <w:r w:rsidR="00C112C4">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EN.CITE.DATA </w:instrText>
      </w:r>
      <w:r w:rsidR="002747EA">
        <w:fldChar w:fldCharType="end"/>
      </w:r>
      <w:r w:rsidR="00C112C4">
        <w:fldChar w:fldCharType="separate"/>
      </w:r>
      <w:r w:rsidR="002747EA" w:rsidRPr="002747EA">
        <w:rPr>
          <w:noProof/>
          <w:vertAlign w:val="superscript"/>
        </w:rPr>
        <w:t>173</w:t>
      </w:r>
      <w:r w:rsidR="00C112C4">
        <w:fldChar w:fldCharType="end"/>
      </w:r>
      <w:r w:rsidR="00C112C4">
        <w:t>)</w:t>
      </w:r>
      <w:r w:rsidR="00DF4B68">
        <w:t>, preterm birth (</w:t>
      </w:r>
      <w:r w:rsidR="00DF4B68" w:rsidRPr="00C73427">
        <w:rPr>
          <w:sz w:val="16"/>
          <w:szCs w:val="16"/>
        </w:rPr>
        <w:t xml:space="preserve">RR 0.93; 95%CI 0.84 to 1.03, 13 RCTs, n=19,286, moderate </w:t>
      </w:r>
      <w:r w:rsidR="00836F2D">
        <w:rPr>
          <w:sz w:val="16"/>
          <w:szCs w:val="16"/>
        </w:rPr>
        <w:t>certainty</w:t>
      </w:r>
      <w:r w:rsidR="00DF4B68">
        <w:fldChar w:fldCharType="begin">
          <w:fldData xml:space="preserve">PEVuZE5vdGU+PENpdGU+PEF1dGhvcj5QZcOxYS1Sb3NhczwvQXV0aG9yPjxZZWFyPjIwMTU8L1ll
YXI+PFJlY051bT4xNjM2PC9SZWNOdW0+PERpc3BsYXlUZXh0PjxzdHlsZSBmYWNlPSJzdXBlcnNj
cmlwdCIgZm9udD0iVHJlYnVjaGV0IE1TIiBzaXplPSI5Ij4xNzMsMTc0PC9zdHlsZT48L0Rpc3Bs
YXlUZXh0PjxyZWNvcmQ+PHJlYy1udW1iZXI+MTYzNjwvcmVjLW51bWJlcj48Zm9yZWlnbi1rZXlz
PjxrZXkgYXBwPSJFTiIgZGItaWQ9ImV4dmFzcmZ4MmR0cmFvZXNhc3hwMnN6c3hhMmRmNTAyNTky
eCIgdGltZXN0YW1wPSIxNTc2NzM0MzYyIj4xNjM2PC9rZXk+PGtleSBhcHA9IkVOV2ViIiBkYi1p
ZD0iIj4wPC9rZXk+PC9mb3JlaWduLWtleXM+PHJlZi10eXBlIG5hbWU9IkpvdXJuYWwgQXJ0aWNs
ZSI+MTc8L3JlZi10eXBlPjxjb250cmlidXRvcnM+PGF1dGhvcnM+PGF1dGhvcj5QZcOxYS1Sb3Nh
cywgSnVhbiBQYWJsbzwvYXV0aG9yPjxhdXRob3I+RGUtUmVnaWwsIEx1eiBNYXJpYTwvYXV0aG9y
PjxhdXRob3I+R2FyY2lhLUNhc2FsLCBNYXJpYSBOLjwvYXV0aG9yPjxhdXRob3I+RG93c3dlbGws
IFRoZXJlc2U8L2F1dGhvcj48L2F1dGhvcnM+PC9jb250cmlidXRvcnM+PHRpdGxlcz48dGl0bGU+
RGFpbHkgb3JhbCBpcm9uIHN1cHBsZW1lbnRhdGlvbiBkdXJpbmcgcHJlZ25hbmN5PC90aXRsZT48
c2Vjb25kYXJ5LXRpdGxlPkNvY2hyYW5lIERhdGFiYXNlIG9mIFN5c3RlbWF0aWMgUmV2aWV3czwv
c2Vjb25kYXJ5LXRpdGxlPjwvdGl0bGVzPjxwZXJpb2RpY2FsPjxmdWxsLXRpdGxlPkNvY2hyYW5l
IERhdGFiYXNlIG9mIFN5c3RlbWF0aWMgUmV2aWV3czwvZnVsbC10aXRsZT48L3BlcmlvZGljYWw+
PGRhdGVzPjx5ZWFyPjIwMTU8L3llYXI+PC9kYXRlcz48aXNibj4xNDY1MTg1ODwvaXNibj48dXJs
cz48L3VybHM+PGVsZWN0cm9uaWMtcmVzb3VyY2UtbnVtPjEwLjEwMDIvMTQ2NTE4NTguQ0QwMDQ3
MzYucHViNTwvZWxlY3Ryb25pYy1yZXNvdXJjZS1udW0+PC9yZWNvcmQ+PC9DaXRlPjxDaXRlPjxB
dXRob3I+QWJyYWhhPC9BdXRob3I+PFllYXI+MjAxOTwvWWVhcj48UmVjTnVtPjE2MTk8L1JlY051
bT48cmVjb3JkPjxyZWMtbnVtYmVyPjE2MTk8L3JlYy1udW1iZXI+PGZvcmVpZ24ta2V5cz48a2V5
IGFwcD0iRU4iIGRiLWlkPSJleHZhc3JmeDJkdHJhb2VzYXN4cDJzenN4YTJkZjUwMjU5MngiIHRp
bWVzdGFtcD0iMTU3NjczNDI4MyI+MTYxOTwva2V5PjxrZXkgYXBwPSJFTldlYiIgZGItaWQ9IiI+
MDwva2V5PjwvZm9yZWlnbi1rZXlzPjxyZWYtdHlwZSBuYW1lPSJKb3VybmFsIEFydGljbGUiPjE3
PC9yZWYtdHlwZT48Y29udHJpYnV0b3JzPjxhdXRob3JzPjxhdXRob3I+QWJyYWhhLCBJLjwvYXV0
aG9yPjxhdXRob3I+Qm9uYWNpbmksIE0uIEkuPC9hdXRob3I+PGF1dGhvcj5Nb250ZWRvcmksIEEu
PC9hdXRob3I+PGF1dGhvcj5EaSBSZW56bywgRy4gQy48L2F1dGhvcj48YXV0aG9yPkFuZ2Vsb3p6
aSwgUC48L2F1dGhvcj48YXV0aG9yPk1pY2hlbGksIE0uPC9hdXRob3I+PGF1dGhvcj5HZXJtYW5p
LCBBLjwvYXV0aG9yPjxhdXRob3I+Q2FybG9uaSwgRC48L2F1dGhvcj48YXV0aG9yPlNjYWNjZXR0
aSwgQS48L2F1dGhvcj48YXV0aG9yPlBhbG1pZXJpLCBHLjwvYXV0aG9yPjxhdXRob3I+Q2FzYWxp
LCBNLjwvYXV0aG9yPjxhdXRob3I+TmVueiwgQy4gTS4gRy48L2F1dGhvcj48YXV0aG9yPkdhcmdh
bm8sIEUuPC9hdXRob3I+PGF1dGhvcj5QYXp6YWdsaWEsIE0uPC9hdXRob3I+PGF1dGhvcj5BZ2Vh
LCBFLjwvYXV0aG9yPjxhdXRob3I+QmVyY2hpY2NpLCBMLjwvYXV0aG9yPjxhdXRob3I+VGVzb3Jv
LCBTLjwvYXV0aG9yPjxhdXRob3I+QWxiaSwgTi48L2F1dGhvcj48YXV0aG9yPk1pbmVsbGksIE8u
PC9hdXRob3I+PGF1dGhvcj5QYXNxdWEsIEIuIEwuPC9hdXRob3I+PGF1dGhvcj5Pbm9yYXRvLCBN
LjwvYXV0aG9yPjxhdXRob3I+RXBpY29jbywgRy48L2F1dGhvcj48YXV0aG9yPk1hcmNoZXNpLCBN
LjwvYXV0aG9yPjwvYXV0aG9ycz48L2NvbnRyaWJ1dG9ycz48YXV0aC1hZGRyZXNzPkNlbnRybyBS
ZWdpb25hbGUgU2FuZ3VlLCBTZXJ2aXppbyBJbW11bm90cmFzZnVzaW9uYWxlLCBBemllbmRhIE9z
cGVkYWxpZXJhIGRpIFBlcnVnaWEsIFBlcnVnaWEsIEl0YWx5LiYjeEQ7SGVhbHRoIFBsYW5uaW5n
IFNlcnZpY2UsIFJlZ2lvbmFsIEhlYWx0aCBBdXRob3JpdHkgb2YgVW1icmlhLCBQZXJ1Z2lhLCBJ
dGFseS4mI3hEO0FCTSBVbml2ZXJzaXR5IEhlYWx0aCBCb2FyZCwgQWR2YW5jZWQgUGhhcm1hY2lz
dCBUZWNobmljYWwgU2VydmljZXMsIFN3YW5zZWEsIFVLLiYjeEQ7Q2xpbmljYSBPc3RldHJpY2Eg
ZSBHaW5lY29sb2dpY2EsIFBvbGljbGluaWNvLCBVbml2ZXJzaXRhIGRpIFBlcnVnaWEsIFBlcnVn
aWEsIEl0YWx5LiYjeEQ7R2luZWNvbG9naWEgZSBPc3RldHJpY2lhLCBVU0wgVW1icmlhIDIsIE9y
dmlldG8sIEl0YWx5LiYjeEQ7U2Vydml6aW8gSW1tdW5vdHJhc2Z1c2lvbmFsZSwgVVNMIFVtYnJp
YSAyLCBGb2xpZ25vLCBJdGFseS4mI3hEO0FuZXN0ZXNpYSBlIFJpYW5pbWF6aW9uZSwgVVNMIFVt
YnJpYSAyLCBGb2xpZ25vLCBJdGFseS4mI3hEO1NlcnZpemlvIEltbXVub3RyYXNmdXNpb25hbGUs
IEF6aWVuZGEgT3NwZWRhbGllcmEgZGkgVGVybmksIFRlcm5pLCBJdGFseS4mI3hEO0FuZXN0ZXNp
YSBlIFJpYW5pbWF6aW9uZSwgQXppZW5kYSBPc3BlZGFsaWVyZSBkaSBUZXJuaSwgVGVybmksIEl0
YWx5LiYjeEQ7R2luZWNvbG9naWEgZSBPc3RldHJpY2lhLCBBemllbmRhIE9zcGVkYWxpZXJlIGRp
IFRlcm5pLCBUZXJuaSwgSXRhbHkuJiN4RDtUZXJhcGlhIEludGVuc2l2YSBlIFJpYW5pbWF6aW9u
ZSwgVVNMIFVtYnJpYSAxLCBQZXJ1Z2lhLCBJdGFseS4mI3hEO0dpbmVjb2xvZ2lhIGUgT3N0ZXRy
aWNpYSwgVVNMIFVtYnJpYSAxLCBQZXJ1Z2lhLCBJdGFseS4mI3hEO1NlcnZpemlvIEltbXVub3Ry
YXNmdXNpb25hbGUsIFVTTCBVbWJyaWEgMSwgUGVydWdpYSwgSXRhbHkuJiN4RDtBbmVzdGVzaWEg
ZSBSaWFuaW1hemlvbmUsIEF6aWVuZGEgT3NwZWRhbGllcmUgZGkgUGVydWdpYSwgUGVydWdpYSwg
SXRhbHkuJiN4RDtHaW5lY29sb2dpYSBlIE9zdGV0cmljaWEsIEF6aWVuZGEgT3NwZWRhbGllcmUg
ZGkgUGVydWdpYSwgUGVydWdpYSwgSXRhbHkuPC9hdXRoLWFkZHJlc3M+PHRpdGxlcz48dGl0bGU+
T3JhbCBpcm9uLWJhc2VkIGludGVydmVudGlvbnMgZm9yIHByZXZlbnRpb24gb2YgY3JpdGljYWwg
b3V0Y29tZXMgaW4gcHJlZ25hbmN5IGFuZCBwb3N0bmF0YWwgY2FyZTogQW4gb3ZlcnZpZXcgYW5k
IHVwZGF0ZSBvZiBzeXN0ZW1hdGljIHJldmlld3M8L3RpdGxlPjxzZWNvbmRhcnktdGl0bGU+SiBF
dmlkIEJhc2VkIE1lZDwvc2Vjb25kYXJ5LXRpdGxlPjwvdGl0bGVzPjxwZXJpb2RpY2FsPjxmdWxs
LXRpdGxlPkogRXZpZCBCYXNlZCBNZWQ8L2Z1bGwtdGl0bGU+PC9wZXJpb2RpY2FsPjxwYWdlcz4x
NTUtMTY2PC9wYWdlcz48dm9sdW1lPjEyPC92b2x1bWU+PG51bWJlcj4yPC9udW1iZXI+PGVkaXRp
b24+MjAxOS8wNS8zMTwvZWRpdGlvbj48a2V5d29yZHM+PGtleXdvcmQ+aXJvbiB0aGVyYXB5PC9r
ZXl3b3JkPjxrZXl3b3JkPm1hdGVybmFsIGFuZW1pYTwva2V5d29yZD48a2V5d29yZD5wcmVnbmFu
Y3k8L2tleXdvcmQ+PGtleXdvcmQ+c3lzdGVtYXRpYyByZXZpZXdzPC9rZXl3b3JkPjwva2V5d29y
ZHM+PGRhdGVzPjx5ZWFyPjIwMTk8L3llYXI+PHB1Yi1kYXRlcz48ZGF0ZT5NYXk8L2RhdGU+PC9w
dWItZGF0ZXM+PC9kYXRlcz48aXNibj4xNzU2LTUzOTEgKEVsZWN0cm9uaWMpJiN4RDsxNzU2LTUz
OTEgKExpbmtpbmcpPC9pc2JuPjxhY2Nlc3Npb24tbnVtPjMxMTQ0NDY1PC9hY2Nlc3Npb24tbnVt
Pjx1cmxzPjxyZWxhdGVkLXVybHM+PHVybD5odHRwczovL3d3dy5uY2JpLm5sbS5uaWguZ292L3B1
Ym1lZC8zMTE0NDQ2NTwvdXJsPjwvcmVsYXRlZC11cmxzPjwvdXJscz48ZWxlY3Ryb25pYy1yZXNv
dXJjZS1udW0+MTAuMTExMS9qZWJtLjEyMzQ0PC9lbGVjdHJvbmljLXJlc291cmNlLW51bT48L3Jl
Y29yZD48L0NpdGU+PC9FbmROb3RlPgB=
</w:fldData>
        </w:fldChar>
      </w:r>
      <w:r w:rsidR="002747EA">
        <w:instrText xml:space="preserve"> ADDIN EN.CITE </w:instrText>
      </w:r>
      <w:r w:rsidR="002747EA">
        <w:fldChar w:fldCharType="begin">
          <w:fldData xml:space="preserve">PEVuZE5vdGU+PENpdGU+PEF1dGhvcj5QZcOxYS1Sb3NhczwvQXV0aG9yPjxZZWFyPjIwMTU8L1ll
YXI+PFJlY051bT4xNjM2PC9SZWNOdW0+PERpc3BsYXlUZXh0PjxzdHlsZSBmYWNlPSJzdXBlcnNj
cmlwdCIgZm9udD0iVHJlYnVjaGV0IE1TIiBzaXplPSI5Ij4xNzMsMTc0PC9zdHlsZT48L0Rpc3Bs
YXlUZXh0PjxyZWNvcmQ+PHJlYy1udW1iZXI+MTYzNjwvcmVjLW51bWJlcj48Zm9yZWlnbi1rZXlz
PjxrZXkgYXBwPSJFTiIgZGItaWQ9ImV4dmFzcmZ4MmR0cmFvZXNhc3hwMnN6c3hhMmRmNTAyNTky
eCIgdGltZXN0YW1wPSIxNTc2NzM0MzYyIj4xNjM2PC9rZXk+PGtleSBhcHA9IkVOV2ViIiBkYi1p
ZD0iIj4wPC9rZXk+PC9mb3JlaWduLWtleXM+PHJlZi10eXBlIG5hbWU9IkpvdXJuYWwgQXJ0aWNs
ZSI+MTc8L3JlZi10eXBlPjxjb250cmlidXRvcnM+PGF1dGhvcnM+PGF1dGhvcj5QZcOxYS1Sb3Nh
cywgSnVhbiBQYWJsbzwvYXV0aG9yPjxhdXRob3I+RGUtUmVnaWwsIEx1eiBNYXJpYTwvYXV0aG9y
PjxhdXRob3I+R2FyY2lhLUNhc2FsLCBNYXJpYSBOLjwvYXV0aG9yPjxhdXRob3I+RG93c3dlbGws
IFRoZXJlc2U8L2F1dGhvcj48L2F1dGhvcnM+PC9jb250cmlidXRvcnM+PHRpdGxlcz48dGl0bGU+
RGFpbHkgb3JhbCBpcm9uIHN1cHBsZW1lbnRhdGlvbiBkdXJpbmcgcHJlZ25hbmN5PC90aXRsZT48
c2Vjb25kYXJ5LXRpdGxlPkNvY2hyYW5lIERhdGFiYXNlIG9mIFN5c3RlbWF0aWMgUmV2aWV3czwv
c2Vjb25kYXJ5LXRpdGxlPjwvdGl0bGVzPjxwZXJpb2RpY2FsPjxmdWxsLXRpdGxlPkNvY2hyYW5l
IERhdGFiYXNlIG9mIFN5c3RlbWF0aWMgUmV2aWV3czwvZnVsbC10aXRsZT48L3BlcmlvZGljYWw+
PGRhdGVzPjx5ZWFyPjIwMTU8L3llYXI+PC9kYXRlcz48aXNibj4xNDY1MTg1ODwvaXNibj48dXJs
cz48L3VybHM+PGVsZWN0cm9uaWMtcmVzb3VyY2UtbnVtPjEwLjEwMDIvMTQ2NTE4NTguQ0QwMDQ3
MzYucHViNTwvZWxlY3Ryb25pYy1yZXNvdXJjZS1udW0+PC9yZWNvcmQ+PC9DaXRlPjxDaXRlPjxB
dXRob3I+QWJyYWhhPC9BdXRob3I+PFllYXI+MjAxOTwvWWVhcj48UmVjTnVtPjE2MTk8L1JlY051
bT48cmVjb3JkPjxyZWMtbnVtYmVyPjE2MTk8L3JlYy1udW1iZXI+PGZvcmVpZ24ta2V5cz48a2V5
IGFwcD0iRU4iIGRiLWlkPSJleHZhc3JmeDJkdHJhb2VzYXN4cDJzenN4YTJkZjUwMjU5MngiIHRp
bWVzdGFtcD0iMTU3NjczNDI4MyI+MTYxOTwva2V5PjxrZXkgYXBwPSJFTldlYiIgZGItaWQ9IiI+
MDwva2V5PjwvZm9yZWlnbi1rZXlzPjxyZWYtdHlwZSBuYW1lPSJKb3VybmFsIEFydGljbGUiPjE3
PC9yZWYtdHlwZT48Y29udHJpYnV0b3JzPjxhdXRob3JzPjxhdXRob3I+QWJyYWhhLCBJLjwvYXV0
aG9yPjxhdXRob3I+Qm9uYWNpbmksIE0uIEkuPC9hdXRob3I+PGF1dGhvcj5Nb250ZWRvcmksIEEu
PC9hdXRob3I+PGF1dGhvcj5EaSBSZW56bywgRy4gQy48L2F1dGhvcj48YXV0aG9yPkFuZ2Vsb3p6
aSwgUC48L2F1dGhvcj48YXV0aG9yPk1pY2hlbGksIE0uPC9hdXRob3I+PGF1dGhvcj5HZXJtYW5p
LCBBLjwvYXV0aG9yPjxhdXRob3I+Q2FybG9uaSwgRC48L2F1dGhvcj48YXV0aG9yPlNjYWNjZXR0
aSwgQS48L2F1dGhvcj48YXV0aG9yPlBhbG1pZXJpLCBHLjwvYXV0aG9yPjxhdXRob3I+Q2FzYWxp
LCBNLjwvYXV0aG9yPjxhdXRob3I+TmVueiwgQy4gTS4gRy48L2F1dGhvcj48YXV0aG9yPkdhcmdh
bm8sIEUuPC9hdXRob3I+PGF1dGhvcj5QYXp6YWdsaWEsIE0uPC9hdXRob3I+PGF1dGhvcj5BZ2Vh
LCBFLjwvYXV0aG9yPjxhdXRob3I+QmVyY2hpY2NpLCBMLjwvYXV0aG9yPjxhdXRob3I+VGVzb3Jv
LCBTLjwvYXV0aG9yPjxhdXRob3I+QWxiaSwgTi48L2F1dGhvcj48YXV0aG9yPk1pbmVsbGksIE8u
PC9hdXRob3I+PGF1dGhvcj5QYXNxdWEsIEIuIEwuPC9hdXRob3I+PGF1dGhvcj5Pbm9yYXRvLCBN
LjwvYXV0aG9yPjxhdXRob3I+RXBpY29jbywgRy48L2F1dGhvcj48YXV0aG9yPk1hcmNoZXNpLCBN
LjwvYXV0aG9yPjwvYXV0aG9ycz48L2NvbnRyaWJ1dG9ycz48YXV0aC1hZGRyZXNzPkNlbnRybyBS
ZWdpb25hbGUgU2FuZ3VlLCBTZXJ2aXppbyBJbW11bm90cmFzZnVzaW9uYWxlLCBBemllbmRhIE9z
cGVkYWxpZXJhIGRpIFBlcnVnaWEsIFBlcnVnaWEsIEl0YWx5LiYjeEQ7SGVhbHRoIFBsYW5uaW5n
IFNlcnZpY2UsIFJlZ2lvbmFsIEhlYWx0aCBBdXRob3JpdHkgb2YgVW1icmlhLCBQZXJ1Z2lhLCBJ
dGFseS4mI3hEO0FCTSBVbml2ZXJzaXR5IEhlYWx0aCBCb2FyZCwgQWR2YW5jZWQgUGhhcm1hY2lz
dCBUZWNobmljYWwgU2VydmljZXMsIFN3YW5zZWEsIFVLLiYjeEQ7Q2xpbmljYSBPc3RldHJpY2Eg
ZSBHaW5lY29sb2dpY2EsIFBvbGljbGluaWNvLCBVbml2ZXJzaXRhIGRpIFBlcnVnaWEsIFBlcnVn
aWEsIEl0YWx5LiYjeEQ7R2luZWNvbG9naWEgZSBPc3RldHJpY2lhLCBVU0wgVW1icmlhIDIsIE9y
dmlldG8sIEl0YWx5LiYjeEQ7U2Vydml6aW8gSW1tdW5vdHJhc2Z1c2lvbmFsZSwgVVNMIFVtYnJp
YSAyLCBGb2xpZ25vLCBJdGFseS4mI3hEO0FuZXN0ZXNpYSBlIFJpYW5pbWF6aW9uZSwgVVNMIFVt
YnJpYSAyLCBGb2xpZ25vLCBJdGFseS4mI3hEO1NlcnZpemlvIEltbXVub3RyYXNmdXNpb25hbGUs
IEF6aWVuZGEgT3NwZWRhbGllcmEgZGkgVGVybmksIFRlcm5pLCBJdGFseS4mI3hEO0FuZXN0ZXNp
YSBlIFJpYW5pbWF6aW9uZSwgQXppZW5kYSBPc3BlZGFsaWVyZSBkaSBUZXJuaSwgVGVybmksIEl0
YWx5LiYjeEQ7R2luZWNvbG9naWEgZSBPc3RldHJpY2lhLCBBemllbmRhIE9zcGVkYWxpZXJlIGRp
IFRlcm5pLCBUZXJuaSwgSXRhbHkuJiN4RDtUZXJhcGlhIEludGVuc2l2YSBlIFJpYW5pbWF6aW9u
ZSwgVVNMIFVtYnJpYSAxLCBQZXJ1Z2lhLCBJdGFseS4mI3hEO0dpbmVjb2xvZ2lhIGUgT3N0ZXRy
aWNpYSwgVVNMIFVtYnJpYSAxLCBQZXJ1Z2lhLCBJdGFseS4mI3hEO1NlcnZpemlvIEltbXVub3Ry
YXNmdXNpb25hbGUsIFVTTCBVbWJyaWEgMSwgUGVydWdpYSwgSXRhbHkuJiN4RDtBbmVzdGVzaWEg
ZSBSaWFuaW1hemlvbmUsIEF6aWVuZGEgT3NwZWRhbGllcmUgZGkgUGVydWdpYSwgUGVydWdpYSwg
SXRhbHkuJiN4RDtHaW5lY29sb2dpYSBlIE9zdGV0cmljaWEsIEF6aWVuZGEgT3NwZWRhbGllcmUg
ZGkgUGVydWdpYSwgUGVydWdpYSwgSXRhbHkuPC9hdXRoLWFkZHJlc3M+PHRpdGxlcz48dGl0bGU+
T3JhbCBpcm9uLWJhc2VkIGludGVydmVudGlvbnMgZm9yIHByZXZlbnRpb24gb2YgY3JpdGljYWwg
b3V0Y29tZXMgaW4gcHJlZ25hbmN5IGFuZCBwb3N0bmF0YWwgY2FyZTogQW4gb3ZlcnZpZXcgYW5k
IHVwZGF0ZSBvZiBzeXN0ZW1hdGljIHJldmlld3M8L3RpdGxlPjxzZWNvbmRhcnktdGl0bGU+SiBF
dmlkIEJhc2VkIE1lZDwvc2Vjb25kYXJ5LXRpdGxlPjwvdGl0bGVzPjxwZXJpb2RpY2FsPjxmdWxs
LXRpdGxlPkogRXZpZCBCYXNlZCBNZWQ8L2Z1bGwtdGl0bGU+PC9wZXJpb2RpY2FsPjxwYWdlcz4x
NTUtMTY2PC9wYWdlcz48dm9sdW1lPjEyPC92b2x1bWU+PG51bWJlcj4yPC9udW1iZXI+PGVkaXRp
b24+MjAxOS8wNS8zMTwvZWRpdGlvbj48a2V5d29yZHM+PGtleXdvcmQ+aXJvbiB0aGVyYXB5PC9r
ZXl3b3JkPjxrZXl3b3JkPm1hdGVybmFsIGFuZW1pYTwva2V5d29yZD48a2V5d29yZD5wcmVnbmFu
Y3k8L2tleXdvcmQ+PGtleXdvcmQ+c3lzdGVtYXRpYyByZXZpZXdzPC9rZXl3b3JkPjwva2V5d29y
ZHM+PGRhdGVzPjx5ZWFyPjIwMTk8L3llYXI+PHB1Yi1kYXRlcz48ZGF0ZT5NYXk8L2RhdGU+PC9w
dWItZGF0ZXM+PC9kYXRlcz48aXNibj4xNzU2LTUzOTEgKEVsZWN0cm9uaWMpJiN4RDsxNzU2LTUz
OTEgKExpbmtpbmcpPC9pc2JuPjxhY2Nlc3Npb24tbnVtPjMxMTQ0NDY1PC9hY2Nlc3Npb24tbnVt
Pjx1cmxzPjxyZWxhdGVkLXVybHM+PHVybD5odHRwczovL3d3dy5uY2JpLm5sbS5uaWguZ292L3B1
Ym1lZC8zMTE0NDQ2NTwvdXJsPjwvcmVsYXRlZC11cmxzPjwvdXJscz48ZWxlY3Ryb25pYy1yZXNv
dXJjZS1udW0+MTAuMTExMS9qZWJtLjEyMzQ0PC9lbGVjdHJvbmljLXJlc291cmNlLW51bT48L3Jl
Y29yZD48L0NpdGU+PC9FbmROb3RlPgB=
</w:fldData>
        </w:fldChar>
      </w:r>
      <w:r w:rsidR="002747EA">
        <w:instrText xml:space="preserve"> ADDIN EN.CITE.DATA </w:instrText>
      </w:r>
      <w:r w:rsidR="002747EA">
        <w:fldChar w:fldCharType="end"/>
      </w:r>
      <w:r w:rsidR="00DF4B68">
        <w:fldChar w:fldCharType="separate"/>
      </w:r>
      <w:r w:rsidR="002747EA" w:rsidRPr="002747EA">
        <w:rPr>
          <w:noProof/>
          <w:vertAlign w:val="superscript"/>
        </w:rPr>
        <w:t>173,174</w:t>
      </w:r>
      <w:r w:rsidR="00DF4B68">
        <w:fldChar w:fldCharType="end"/>
      </w:r>
      <w:r w:rsidR="00DF4B68">
        <w:t>)</w:t>
      </w:r>
      <w:r w:rsidR="00C112C4">
        <w:t xml:space="preserve"> or low birth weight (</w:t>
      </w:r>
      <w:r w:rsidR="00C112C4" w:rsidRPr="00C112C4">
        <w:rPr>
          <w:sz w:val="16"/>
          <w:szCs w:val="16"/>
        </w:rPr>
        <w:t xml:space="preserve">RR 0.84; 95%CI 0.69 to 1.03; n=17,613; 11 RCTs; low </w:t>
      </w:r>
      <w:r w:rsidR="00836F2D">
        <w:rPr>
          <w:sz w:val="16"/>
          <w:szCs w:val="16"/>
        </w:rPr>
        <w:t>certainty</w:t>
      </w:r>
      <w:r w:rsidR="00C112C4">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rsidR="00C112C4">
        <w:fldChar w:fldCharType="separate"/>
      </w:r>
      <w:r w:rsidR="002747EA" w:rsidRPr="002747EA">
        <w:rPr>
          <w:noProof/>
          <w:vertAlign w:val="superscript"/>
        </w:rPr>
        <w:t>174</w:t>
      </w:r>
      <w:r w:rsidR="00C112C4">
        <w:fldChar w:fldCharType="end"/>
      </w:r>
      <w:r w:rsidR="00C84AD7">
        <w:t xml:space="preserve">; </w:t>
      </w:r>
      <w:r w:rsidR="00C84AD7" w:rsidRPr="00C112C4">
        <w:rPr>
          <w:sz w:val="16"/>
          <w:szCs w:val="16"/>
        </w:rPr>
        <w:t>RR 0.94, 95% CI 0.79 to 1.13; 7 RCTs</w:t>
      </w:r>
      <w:r w:rsidR="00C84AD7">
        <w:rPr>
          <w:sz w:val="16"/>
          <w:szCs w:val="16"/>
        </w:rPr>
        <w:t>;</w:t>
      </w:r>
      <w:r w:rsidR="00C84AD7" w:rsidRPr="00C112C4">
        <w:rPr>
          <w:sz w:val="16"/>
          <w:szCs w:val="16"/>
        </w:rPr>
        <w:t xml:space="preserve"> low-</w:t>
      </w:r>
      <w:r w:rsidR="00836F2D">
        <w:rPr>
          <w:sz w:val="16"/>
          <w:szCs w:val="16"/>
        </w:rPr>
        <w:t>certainty</w:t>
      </w:r>
      <w:r w:rsidR="00C84AD7">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EN.CITE.DATA </w:instrText>
      </w:r>
      <w:r w:rsidR="002747EA">
        <w:fldChar w:fldCharType="end"/>
      </w:r>
      <w:r w:rsidR="00C84AD7">
        <w:fldChar w:fldCharType="separate"/>
      </w:r>
      <w:r w:rsidR="002747EA" w:rsidRPr="002747EA">
        <w:rPr>
          <w:noProof/>
          <w:vertAlign w:val="superscript"/>
        </w:rPr>
        <w:t>173</w:t>
      </w:r>
      <w:r w:rsidR="00C84AD7">
        <w:fldChar w:fldCharType="end"/>
      </w:r>
      <w:r w:rsidR="00C112C4">
        <w:t>).</w:t>
      </w:r>
    </w:p>
    <w:p w14:paraId="5A505149" w14:textId="03B6CB0B" w:rsidR="00383A18" w:rsidRDefault="00383A18" w:rsidP="00C73427">
      <w:r>
        <w:t>The Cochrane review</w:t>
      </w:r>
      <w:r>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fldChar w:fldCharType="separate"/>
      </w:r>
      <w:r w:rsidR="002747EA" w:rsidRPr="002747EA">
        <w:rPr>
          <w:noProof/>
          <w:vertAlign w:val="superscript"/>
        </w:rPr>
        <w:t>174</w:t>
      </w:r>
      <w:r>
        <w:fldChar w:fldCharType="end"/>
      </w:r>
      <w:r>
        <w:t xml:space="preserve"> </w:t>
      </w:r>
      <w:r w:rsidR="00C34054">
        <w:t xml:space="preserve">also </w:t>
      </w:r>
      <w:r>
        <w:t xml:space="preserve">reported </w:t>
      </w:r>
      <w:r w:rsidR="00C73427">
        <w:t>a reduction in risk of iron deficiency at term (</w:t>
      </w:r>
      <w:r w:rsidR="00C73427" w:rsidRPr="00C73427">
        <w:rPr>
          <w:sz w:val="16"/>
          <w:szCs w:val="16"/>
        </w:rPr>
        <w:t xml:space="preserve">RR 0.43; 95%CI 0.27 to 0.66, 7 RCTs, n=1,256, low </w:t>
      </w:r>
      <w:r w:rsidR="00836F2D">
        <w:rPr>
          <w:sz w:val="16"/>
          <w:szCs w:val="16"/>
        </w:rPr>
        <w:t>certainty</w:t>
      </w:r>
      <w:r w:rsidR="00C73427">
        <w:t>) and no clear effect on maternal infection during pregnancy (</w:t>
      </w:r>
      <w:r w:rsidR="00C73427" w:rsidRPr="00C73427">
        <w:rPr>
          <w:sz w:val="16"/>
          <w:szCs w:val="16"/>
        </w:rPr>
        <w:t xml:space="preserve">RR 1.21; 95%CI 0.33 to 4.46; 1 RCT, n=727; low </w:t>
      </w:r>
      <w:r w:rsidR="00836F2D">
        <w:rPr>
          <w:sz w:val="16"/>
          <w:szCs w:val="16"/>
        </w:rPr>
        <w:t>certainty</w:t>
      </w:r>
      <w:r w:rsidR="00C73427">
        <w:t>), maternal death (</w:t>
      </w:r>
      <w:r w:rsidR="00C73427" w:rsidRPr="00C73427">
        <w:rPr>
          <w:sz w:val="16"/>
          <w:szCs w:val="16"/>
        </w:rPr>
        <w:t xml:space="preserve">RR 0.33; 95%CI 0.01 to 8.19, 2 RCTs, n=12,560, very low </w:t>
      </w:r>
      <w:r w:rsidR="00836F2D">
        <w:rPr>
          <w:sz w:val="16"/>
          <w:szCs w:val="16"/>
        </w:rPr>
        <w:t>certainty</w:t>
      </w:r>
      <w:r w:rsidR="00C73427">
        <w:t>), birthweight (</w:t>
      </w:r>
      <w:r w:rsidR="00C73427" w:rsidRPr="00C73427">
        <w:rPr>
          <w:sz w:val="16"/>
          <w:szCs w:val="16"/>
        </w:rPr>
        <w:t>MD</w:t>
      </w:r>
      <w:r w:rsidR="00320D82">
        <w:rPr>
          <w:sz w:val="16"/>
          <w:szCs w:val="16"/>
        </w:rPr>
        <w:t> </w:t>
      </w:r>
      <w:r w:rsidR="00C73427" w:rsidRPr="00C73427">
        <w:rPr>
          <w:sz w:val="16"/>
          <w:szCs w:val="16"/>
        </w:rPr>
        <w:t xml:space="preserve">23.75; 95%CI -3.02 to 50.51, 15 RCTs, n=18,590, moderate </w:t>
      </w:r>
      <w:r w:rsidR="00836F2D">
        <w:rPr>
          <w:sz w:val="16"/>
          <w:szCs w:val="16"/>
        </w:rPr>
        <w:t>certainty</w:t>
      </w:r>
      <w:r w:rsidR="00C73427">
        <w:t>) or congenital anomalies (</w:t>
      </w:r>
      <w:r w:rsidR="00C73427" w:rsidRPr="00C73427">
        <w:rPr>
          <w:sz w:val="16"/>
          <w:szCs w:val="16"/>
        </w:rPr>
        <w:t xml:space="preserve">RR 0.88, 95%CI 0.58 to 1.33, 4 RCTs, n=14,636, low </w:t>
      </w:r>
      <w:r w:rsidR="00836F2D">
        <w:rPr>
          <w:sz w:val="16"/>
          <w:szCs w:val="16"/>
        </w:rPr>
        <w:t>certainty</w:t>
      </w:r>
      <w:r w:rsidR="00C73427">
        <w:t>).</w:t>
      </w:r>
    </w:p>
    <w:p w14:paraId="58FCA628" w14:textId="2EB2E6D5" w:rsidR="00C34054" w:rsidRDefault="00C34054" w:rsidP="00C34054">
      <w:r>
        <w:t>A systematic review of RCTs</w:t>
      </w:r>
      <w:r>
        <w:fldChar w:fldCharType="begin">
          <w:fldData xml:space="preserve">PEVuZE5vdGU+PENpdGU+PEF1dGhvcj5KYXlhc2luZ2hlPC9BdXRob3I+PFllYXI+MjAxODwvWWVh
cj48UmVjTnVtPjE2MzA8L1JlY051bT48RGlzcGxheVRleHQ+PHN0eWxlIGZhY2U9InN1cGVyc2Ny
aXB0IiBmb250PSJUcmVidWNoZXQgTVMiIHNpemU9IjkiPjE3Njwvc3R5bGU+PC9EaXNwbGF5VGV4
dD48cmVjb3JkPjxyZWMtbnVtYmVyPjE2MzA8L3JlYy1udW1iZXI+PGZvcmVpZ24ta2V5cz48a2V5
IGFwcD0iRU4iIGRiLWlkPSJleHZhc3JmeDJkdHJhb2VzYXN4cDJzenN4YTJkZjUwMjU5MngiIHRp
bWVzdGFtcD0iMTU3NjczNDMyOCI+MTYzMDwva2V5PjxrZXkgYXBwPSJFTldlYiIgZGItaWQ9IiI+
MDwva2V5PjwvZm9yZWlnbi1rZXlzPjxyZWYtdHlwZSBuYW1lPSJKb3VybmFsIEFydGljbGUiPjE3
PC9yZWYtdHlwZT48Y29udHJpYnV0b3JzPjxhdXRob3JzPjxhdXRob3I+SmF5YXNpbmdoZSwgQy48
L2F1dGhvcj48YXV0aG9yPlBvbHNvbiwgUi48L2F1dGhvcj48YXV0aG9yPnZhbiBXb2VyZGVuLCBI
LiBDLjwvYXV0aG9yPjxhdXRob3I+V2lsc29uLCBQLjwvYXV0aG9yPjwvYXV0aG9ycz48L2NvbnRy
aWJ1dG9ycz48YXV0aC1hZGRyZXNzPk1pbmlzdHJ5IG9mIEhlYWx0aCwgMzg1LCBWZW4uIEJhZGRl
Z2FtYSBXaW1hbGF3YW5zYSBUaGVybyBNYXdhdGhhLCBDb2xvbWJvLCAxMCwgU3JpIExhbmthLiBj
aGludGhhakB5YWhvby5jb20uJiN4RDtDZW50cmUgZm9yIEhlYWx0aCBTY2llbmNlLCBVbml2ZXJz
aXR5IG9mIHRoZSBIaWdobGFuZCBhbmQgSXNsYW5kcywgT2xkIFBlcnRoIFJvYWQsIEludmVybmVz
cywgSVYyIDNKSCwgVUsuJiN4RDtDZW50cmUgZm9yIFJ1cmFsIEhlYWx0aCwgVW5pdmVyc2l0eSBv
ZiBBYmVyZGVlbiwgT2xkIFBlcnRoIFJvYWQsIEludmVybmVzcywgSVYyIDNKSCwgVUsuPC9hdXRo
LWFkZHJlc3M+PHRpdGxlcz48dGl0bGU+VGhlIGVmZmVjdCBvZiB1bml2ZXJzYWwgbWF0ZXJuYWwg
YW50ZW5hdGFsIGlyb24gc3VwcGxlbWVudGF0aW9uIG9uIG5ldXJvZGV2ZWxvcG1lbnQgaW4gb2Zm
c3ByaW5nOiBhIHN5c3RlbWF0aWMgcmV2aWV3IGFuZCBtZXRhLWFuYWx5c2lzPC90aXRsZT48c2Vj
b25kYXJ5LXRpdGxlPkJNQyBQZWRpYXRyPC9zZWNvbmRhcnktdGl0bGU+PC90aXRsZXM+PHBlcmlv
ZGljYWw+PGZ1bGwtdGl0bGU+Qk1DIFBlZGlhdHI8L2Z1bGwtdGl0bGU+PC9wZXJpb2RpY2FsPjxw
YWdlcz4xNTA8L3BhZ2VzPjx2b2x1bWU+MTg8L3ZvbHVtZT48bnVtYmVyPjE8L251bWJlcj48ZWRp
dGlvbj4yMDE4LzA1LzA4PC9lZGl0aW9uPjxrZXl3b3Jkcz48a2V5d29yZD5BbmVtaWEsIElyb24t
RGVmaWNpZW5jeS9lcGlkZW1pb2xvZ3kvcHJldmVudGlvbiAmYW1wOyBjb250cm9sPC9rZXl3b3Jk
PjxrZXl3b3JkPkNoaWxkPC9rZXl3b3JkPjxrZXl3b3JkPkNoaWxkIEJlaGF2aW9yPC9rZXl3b3Jk
PjxrZXl3b3JkPipDaGlsZCBEZXZlbG9wbWVudDwva2V5d29yZD48a2V5d29yZD5Db2duaXRpb248
L2tleXdvcmQ+PGtleXdvcmQ+KkRpZXRhcnkgU3VwcGxlbWVudHM8L2tleXdvcmQ+PGtleXdvcmQ+
RmVtYWxlPC9rZXl3b3JkPjxrZXl3b3JkPkZvbGljIEFjaWQvKmFkbWluaXN0cmF0aW9uICZhbXA7
IGRvc2FnZTwva2V5d29yZD48a2V5d29yZD5IdW1hbnM8L2tleXdvcmQ+PGtleXdvcmQ+SW50ZWxs
aWdlbmNlPC9rZXl3b3JkPjxrZXl3b3JkPlByZWduYW5jeTwva2V5d29yZD48a2V5d29yZD5QcmVn
bmFuY3kgQ29tcGxpY2F0aW9ucywgSGVtYXRvbG9naWMvZXBpZGVtaW9sb2d5L3ByZXZlbnRpb24g
JmFtcDsgY29udHJvbDwva2V5d29yZD48a2V5d29yZD5QcmVuYXRhbCBDYXJlLyptZXRob2RzPC9r
ZXl3b3JkPjxrZXl3b3JkPlByZXZhbGVuY2U8L2tleXdvcmQ+PGtleXdvcmQ+KkFudGVuYXRhbDwv
a2V5d29yZD48a2V5d29yZD4qSXJvbiBkZWZpY2llbmN5IGFuYWVtaWE8L2tleXdvcmQ+PGtleXdv
cmQ+Kklyb24gc3VwcGxlbWVudGF0aW9uPC9rZXl3b3JkPjxrZXl3b3JkPipOZXVyb2RldmVsb3Bt
ZW50PC9rZXl3b3JkPjxrZXl3b3JkPipPZmZzcHJpbmc8L2tleXdvcmQ+PC9rZXl3b3Jkcz48ZGF0
ZXM+PHllYXI+MjAxODwveWVhcj48cHViLWRhdGVzPjxkYXRlPk1heSA0PC9kYXRlPjwvcHViLWRh
dGVzPjwvZGF0ZXM+PGlzYm4+MTQ3MS0yNDMxIChFbGVjdHJvbmljKSYjeEQ7MTQ3MS0yNDMxIChM
aW5raW5nKTwvaXNibj48YWNjZXNzaW9uLW51bT4yOTcyODA4NjwvYWNjZXNzaW9uLW51bT48dXJs
cz48cmVsYXRlZC11cmxzPjx1cmw+aHR0cHM6Ly93d3cubmNiaS5ubG0ubmloLmdvdi9wdWJtZWQv
Mjk3MjgwODY8L3VybD48L3JlbGF0ZWQtdXJscz48L3VybHM+PGN1c3RvbTI+UE1DNTkzNjAyNTwv
Y3VzdG9tMj48ZWxlY3Ryb25pYy1yZXNvdXJjZS1udW0+MTAuMTE4Ni9zMTI4ODctMDE4LTExMTgt
NzwvZWxlY3Ryb25pYy1yZXNvdXJjZS1udW0+PC9yZWNvcmQ+PC9DaXRlPjwvRW5kTm90ZT4A
</w:fldData>
        </w:fldChar>
      </w:r>
      <w:r w:rsidR="002747EA">
        <w:instrText xml:space="preserve"> ADDIN EN.CITE </w:instrText>
      </w:r>
      <w:r w:rsidR="002747EA">
        <w:fldChar w:fldCharType="begin">
          <w:fldData xml:space="preserve">PEVuZE5vdGU+PENpdGU+PEF1dGhvcj5KYXlhc2luZ2hlPC9BdXRob3I+PFllYXI+MjAxODwvWWVh
cj48UmVjTnVtPjE2MzA8L1JlY051bT48RGlzcGxheVRleHQ+PHN0eWxlIGZhY2U9InN1cGVyc2Ny
aXB0IiBmb250PSJUcmVidWNoZXQgTVMiIHNpemU9IjkiPjE3Njwvc3R5bGU+PC9EaXNwbGF5VGV4
dD48cmVjb3JkPjxyZWMtbnVtYmVyPjE2MzA8L3JlYy1udW1iZXI+PGZvcmVpZ24ta2V5cz48a2V5
IGFwcD0iRU4iIGRiLWlkPSJleHZhc3JmeDJkdHJhb2VzYXN4cDJzenN4YTJkZjUwMjU5MngiIHRp
bWVzdGFtcD0iMTU3NjczNDMyOCI+MTYzMDwva2V5PjxrZXkgYXBwPSJFTldlYiIgZGItaWQ9IiI+
MDwva2V5PjwvZm9yZWlnbi1rZXlzPjxyZWYtdHlwZSBuYW1lPSJKb3VybmFsIEFydGljbGUiPjE3
PC9yZWYtdHlwZT48Y29udHJpYnV0b3JzPjxhdXRob3JzPjxhdXRob3I+SmF5YXNpbmdoZSwgQy48
L2F1dGhvcj48YXV0aG9yPlBvbHNvbiwgUi48L2F1dGhvcj48YXV0aG9yPnZhbiBXb2VyZGVuLCBI
LiBDLjwvYXV0aG9yPjxhdXRob3I+V2lsc29uLCBQLjwvYXV0aG9yPjwvYXV0aG9ycz48L2NvbnRy
aWJ1dG9ycz48YXV0aC1hZGRyZXNzPk1pbmlzdHJ5IG9mIEhlYWx0aCwgMzg1LCBWZW4uIEJhZGRl
Z2FtYSBXaW1hbGF3YW5zYSBUaGVybyBNYXdhdGhhLCBDb2xvbWJvLCAxMCwgU3JpIExhbmthLiBj
aGludGhhakB5YWhvby5jb20uJiN4RDtDZW50cmUgZm9yIEhlYWx0aCBTY2llbmNlLCBVbml2ZXJz
aXR5IG9mIHRoZSBIaWdobGFuZCBhbmQgSXNsYW5kcywgT2xkIFBlcnRoIFJvYWQsIEludmVybmVz
cywgSVYyIDNKSCwgVUsuJiN4RDtDZW50cmUgZm9yIFJ1cmFsIEhlYWx0aCwgVW5pdmVyc2l0eSBv
ZiBBYmVyZGVlbiwgT2xkIFBlcnRoIFJvYWQsIEludmVybmVzcywgSVYyIDNKSCwgVUsuPC9hdXRo
LWFkZHJlc3M+PHRpdGxlcz48dGl0bGU+VGhlIGVmZmVjdCBvZiB1bml2ZXJzYWwgbWF0ZXJuYWwg
YW50ZW5hdGFsIGlyb24gc3VwcGxlbWVudGF0aW9uIG9uIG5ldXJvZGV2ZWxvcG1lbnQgaW4gb2Zm
c3ByaW5nOiBhIHN5c3RlbWF0aWMgcmV2aWV3IGFuZCBtZXRhLWFuYWx5c2lzPC90aXRsZT48c2Vj
b25kYXJ5LXRpdGxlPkJNQyBQZWRpYXRyPC9zZWNvbmRhcnktdGl0bGU+PC90aXRsZXM+PHBlcmlv
ZGljYWw+PGZ1bGwtdGl0bGU+Qk1DIFBlZGlhdHI8L2Z1bGwtdGl0bGU+PC9wZXJpb2RpY2FsPjxw
YWdlcz4xNTA8L3BhZ2VzPjx2b2x1bWU+MTg8L3ZvbHVtZT48bnVtYmVyPjE8L251bWJlcj48ZWRp
dGlvbj4yMDE4LzA1LzA4PC9lZGl0aW9uPjxrZXl3b3Jkcz48a2V5d29yZD5BbmVtaWEsIElyb24t
RGVmaWNpZW5jeS9lcGlkZW1pb2xvZ3kvcHJldmVudGlvbiAmYW1wOyBjb250cm9sPC9rZXl3b3Jk
PjxrZXl3b3JkPkNoaWxkPC9rZXl3b3JkPjxrZXl3b3JkPkNoaWxkIEJlaGF2aW9yPC9rZXl3b3Jk
PjxrZXl3b3JkPipDaGlsZCBEZXZlbG9wbWVudDwva2V5d29yZD48a2V5d29yZD5Db2duaXRpb248
L2tleXdvcmQ+PGtleXdvcmQ+KkRpZXRhcnkgU3VwcGxlbWVudHM8L2tleXdvcmQ+PGtleXdvcmQ+
RmVtYWxlPC9rZXl3b3JkPjxrZXl3b3JkPkZvbGljIEFjaWQvKmFkbWluaXN0cmF0aW9uICZhbXA7
IGRvc2FnZTwva2V5d29yZD48a2V5d29yZD5IdW1hbnM8L2tleXdvcmQ+PGtleXdvcmQ+SW50ZWxs
aWdlbmNlPC9rZXl3b3JkPjxrZXl3b3JkPlByZWduYW5jeTwva2V5d29yZD48a2V5d29yZD5QcmVn
bmFuY3kgQ29tcGxpY2F0aW9ucywgSGVtYXRvbG9naWMvZXBpZGVtaW9sb2d5L3ByZXZlbnRpb24g
JmFtcDsgY29udHJvbDwva2V5d29yZD48a2V5d29yZD5QcmVuYXRhbCBDYXJlLyptZXRob2RzPC9r
ZXl3b3JkPjxrZXl3b3JkPlByZXZhbGVuY2U8L2tleXdvcmQ+PGtleXdvcmQ+KkFudGVuYXRhbDwv
a2V5d29yZD48a2V5d29yZD4qSXJvbiBkZWZpY2llbmN5IGFuYWVtaWE8L2tleXdvcmQ+PGtleXdv
cmQ+Kklyb24gc3VwcGxlbWVudGF0aW9uPC9rZXl3b3JkPjxrZXl3b3JkPipOZXVyb2RldmVsb3Bt
ZW50PC9rZXl3b3JkPjxrZXl3b3JkPipPZmZzcHJpbmc8L2tleXdvcmQ+PC9rZXl3b3Jkcz48ZGF0
ZXM+PHllYXI+MjAxODwveWVhcj48cHViLWRhdGVzPjxkYXRlPk1heSA0PC9kYXRlPjwvcHViLWRh
dGVzPjwvZGF0ZXM+PGlzYm4+MTQ3MS0yNDMxIChFbGVjdHJvbmljKSYjeEQ7MTQ3MS0yNDMxIChM
aW5raW5nKTwvaXNibj48YWNjZXNzaW9uLW51bT4yOTcyODA4NjwvYWNjZXNzaW9uLW51bT48dXJs
cz48cmVsYXRlZC11cmxzPjx1cmw+aHR0cHM6Ly93d3cubmNiaS5ubG0ubmloLmdvdi9wdWJtZWQv
Mjk3MjgwODY8L3VybD48L3JlbGF0ZWQtdXJscz48L3VybHM+PGN1c3RvbTI+UE1DNTkzNjAyNTwv
Y3VzdG9tMj48ZWxlY3Ryb25pYy1yZXNvdXJjZS1udW0+MTAuMTE4Ni9zMTI4ODctMDE4LTExMTgt
NzwvZWxlY3Ryb25pYy1yZXNvdXJjZS1udW0+PC9yZWNvcmQ+PC9DaXRlPjwvRW5kTm90ZT4A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176</w:t>
      </w:r>
      <w:r>
        <w:fldChar w:fldCharType="end"/>
      </w:r>
      <w:r>
        <w:t xml:space="preserve"> found no clear effect on infant n</w:t>
      </w:r>
      <w:r w:rsidRPr="0045378A">
        <w:t xml:space="preserve">eurodevelopment </w:t>
      </w:r>
      <w:r>
        <w:t>(</w:t>
      </w:r>
      <w:r w:rsidRPr="00330CDB">
        <w:rPr>
          <w:sz w:val="16"/>
          <w:szCs w:val="16"/>
        </w:rPr>
        <w:t>MD 0.54; 95% CI -0.67 to 1.75</w:t>
      </w:r>
      <w:r w:rsidR="00A95F39">
        <w:rPr>
          <w:sz w:val="16"/>
          <w:szCs w:val="16"/>
        </w:rPr>
        <w:t>; 3 RCTs</w:t>
      </w:r>
      <w:r w:rsidRPr="0045378A">
        <w:t>)</w:t>
      </w:r>
      <w:r>
        <w:t>.</w:t>
      </w:r>
    </w:p>
    <w:p w14:paraId="5A3F7991" w14:textId="449EA779" w:rsidR="00D20B62" w:rsidRDefault="00F659DE" w:rsidP="00193995">
      <w:r>
        <w:t>A Cochrane review comparing intermittent and daily iron regimens</w:t>
      </w:r>
      <w:r w:rsidR="00330CDB">
        <w:fldChar w:fldCharType="begin">
          <w:fldData xml:space="preserve">PEVuZE5vdGU+PENpdGU+PEF1dGhvcj5QZW5hLVJvc2FzPC9BdXRob3I+PFllYXI+MjAxNTwvWWVh
cj48UmVjTnVtPjE2Mzc8L1JlY051bT48RGlzcGxheVRleHQ+PHN0eWxlIGZhY2U9InN1cGVyc2Ny
aXB0IiBmb250PSJUcmVidWNoZXQgTVMiIHNpemU9IjkiPjE3NTwvc3R5bGU+PC9EaXNwbGF5VGV4
dD48cmVjb3JkPjxyZWMtbnVtYmVyPjE2Mzc8L3JlYy1udW1iZXI+PGZvcmVpZ24ta2V5cz48a2V5
IGFwcD0iRU4iIGRiLWlkPSJleHZhc3JmeDJkdHJhb2VzYXN4cDJzenN4YTJkZjUwMjU5MngiIHRp
bWVzdGFtcD0iMTU3NjczNDM3MSI+MTYzNzwva2V5PjxrZXkgYXBwPSJFTldlYiIgZGItaWQ9IiI+
MDwva2V5PjwvZm9yZWlnbi1rZXlzPjxyZWYtdHlwZSBuYW1lPSJKb3VybmFsIEFydGljbGUiPjE3
PC9yZWYtdHlwZT48Y29udHJpYnV0b3JzPjxhdXRob3JzPjxhdXRob3I+UGVuYS1Sb3NhcywgSi4g
UC48L2F1dGhvcj48YXV0aG9yPkRlLVJlZ2lsLCBMLiBNLjwvYXV0aG9yPjxhdXRob3I+R29tZXog
TWFsYXZlLCBILjwvYXV0aG9yPjxhdXRob3I+RmxvcmVzLVVycnV0aWEsIE0uIEMuPC9hdXRob3I+
PGF1dGhvcj5Eb3dzd2VsbCwgVC48L2F1dGhvcj48L2F1dGhvcnM+PC9jb250cmlidXRvcnM+PGF1
dGgtYWRkcmVzcz5FdmlkZW5jZSBhbmQgUHJvZ3JhbW1lIEd1aWRhbmNlLCBEZXBhcnRtZW50IG9m
IE51dHJpdGlvbiBmb3IgSGVhbHRoIGFuZCBEZXZlbG9wbWVudCwgV29ybGQgSGVhbHRoIE9yZ2Fu
aXphdGlvbiwgMjAgQXZlbnVlIEFwcGlhLCBHZW5ldmEsIFN3aXR6ZXJsYW5kLCAxMjExLjwvYXV0
aC1hZGRyZXNzPjx0aXRsZXM+PHRpdGxlPkludGVybWl0dGVudCBvcmFsIGlyb24gc3VwcGxlbWVu
dGF0aW9uIGR1cmluZyBwcmVnbmFuY3k8L3RpdGxlPjxzZWNvbmRhcnktdGl0bGU+Q29jaHJhbmUg
RGF0YWJhc2UgU3lzdCBSZXY8L3NlY29uZGFyeS10aXRsZT48L3RpdGxlcz48cGVyaW9kaWNhbD48
ZnVsbC10aXRsZT5Db2NocmFuZSBEYXRhYmFzZSBTeXN0IFJldjwvZnVsbC10aXRsZT48L3Blcmlv
ZGljYWw+PHBhZ2VzPkNEMDA5OTk3PC9wYWdlcz48bnVtYmVyPjEwPC9udW1iZXI+PGVkaXRpb24+
MjAxNS8xMC8yMTwvZWRpdGlvbj48a2V5d29yZHM+PGtleXdvcmQ+QWRtaW5pc3RyYXRpb24sIE9y
YWw8L2tleXdvcmQ+PGtleXdvcmQ+QW5lbWlhLCBJcm9uLURlZmljaWVuY3kvYmxvb2QvKnByZXZl
bnRpb24gJmFtcDsgY29udHJvbDwva2V5d29yZD48a2V5d29yZD5EZXZlbG9waW5nIENvdW50cmll
czwva2V5d29yZD48a2V5d29yZD5EaWV0YXJ5IFN1cHBsZW1lbnRzLyphZHZlcnNlIGVmZmVjdHM8
L2tleXdvcmQ+PGtleXdvcmQ+RHJ1ZyBBZG1pbmlzdHJhdGlvbiBTY2hlZHVsZTwva2V5d29yZD48
a2V5d29yZD5EcnVnIENvbWJpbmF0aW9uczwva2V5d29yZD48a2V5d29yZD5GZW1hbGU8L2tleXdv
cmQ+PGtleXdvcmQ+Rm9saWMgQWNpZC9hZG1pbmlzdHJhdGlvbiAmYW1wOyBkb3NhZ2U8L2tleXdv
cmQ+PGtleXdvcmQ+SGVtb2dsb2JpbiBBL21ldGFib2xpc208L2tleXdvcmQ+PGtleXdvcmQ+SHVt
YW5zPC9rZXl3b3JkPjxrZXl3b3JkPkluZmFudCwgTG93IEJpcnRoIFdlaWdodDwva2V5d29yZD48
a2V5d29yZD5JbmZhbnQsIE5ld2Jvcm48L2tleXdvcmQ+PGtleXdvcmQ+SXJvbi8qYWRtaW5pc3Ry
YXRpb24gJmFtcDsgZG9zYWdlL2FkdmVyc2UgZWZmZWN0czwva2V5d29yZD48a2V5d29yZD5Jcm9u
LCBEaWV0YXJ5LyphZG1pbmlzdHJhdGlvbiAmYW1wOyBkb3NhZ2U8L2tleXdvcmQ+PGtleXdvcmQ+
UHJlZ25hbmN5PC9rZXl3b3JkPjxrZXl3b3JkPlByZWduYW5jeSBDb21wbGljYXRpb25zLCBIZW1h
dG9sb2dpYy9ibG9vZC8qcHJldmVudGlvbiAmYW1wOyBjb250cm9sPC9rZXl3b3JkPjxrZXl3b3Jk
PlByZW1hdHVyZSBCaXJ0aDwva2V5d29yZD48a2V5d29yZD5SYW5kb21pemVkIENvbnRyb2xsZWQg
VHJpYWxzIGFzIFRvcGljPC9rZXl3b3JkPjxrZXl3b3JkPlZpdGFtaW5zL2FkbWluaXN0cmF0aW9u
ICZhbXA7IGRvc2FnZTwva2V5d29yZD48L2tleXdvcmRzPjxkYXRlcz48eWVhcj4yMDE1PC95ZWFy
PjxwdWItZGF0ZXM+PGRhdGU+T2N0IDE5PC9kYXRlPjwvcHViLWRhdGVzPjwvZGF0ZXM+PGlzYm4+
MTQ2OS00OTNYIChFbGVjdHJvbmljKSYjeEQ7MTM2MS02MTM3IChMaW5raW5nKTwvaXNibj48YWNj
ZXNzaW9uLW51bT4yNjQ4MjExMDwvYWNjZXNzaW9uLW51bT48dXJscz48cmVsYXRlZC11cmxzPjx1
cmw+aHR0cHM6Ly93d3cubmNiaS5ubG0ubmloLmdvdi9wdWJtZWQvMjY0ODIxMTA8L3VybD48L3Jl
bGF0ZWQtdXJscz48L3VybHM+PGVsZWN0cm9uaWMtcmVzb3VyY2UtbnVtPjEwLjEwMDIvMTQ2NTE4
NTguQ0QwMDk5OTcucHViMjwvZWxlY3Ryb25pYy1yZXNvdXJjZS1udW0+PC9yZWNvcmQ+PC9DaXRl
PjwvRW5kTm90ZT4A
</w:fldData>
        </w:fldChar>
      </w:r>
      <w:r w:rsidR="002747EA">
        <w:instrText xml:space="preserve"> ADDIN EN.CITE </w:instrText>
      </w:r>
      <w:r w:rsidR="002747EA">
        <w:fldChar w:fldCharType="begin">
          <w:fldData xml:space="preserve">PEVuZE5vdGU+PENpdGU+PEF1dGhvcj5QZW5hLVJvc2FzPC9BdXRob3I+PFllYXI+MjAxNTwvWWVh
cj48UmVjTnVtPjE2Mzc8L1JlY051bT48RGlzcGxheVRleHQ+PHN0eWxlIGZhY2U9InN1cGVyc2Ny
aXB0IiBmb250PSJUcmVidWNoZXQgTVMiIHNpemU9IjkiPjE3NTwvc3R5bGU+PC9EaXNwbGF5VGV4
dD48cmVjb3JkPjxyZWMtbnVtYmVyPjE2Mzc8L3JlYy1udW1iZXI+PGZvcmVpZ24ta2V5cz48a2V5
IGFwcD0iRU4iIGRiLWlkPSJleHZhc3JmeDJkdHJhb2VzYXN4cDJzenN4YTJkZjUwMjU5MngiIHRp
bWVzdGFtcD0iMTU3NjczNDM3MSI+MTYzNzwva2V5PjxrZXkgYXBwPSJFTldlYiIgZGItaWQ9IiI+
MDwva2V5PjwvZm9yZWlnbi1rZXlzPjxyZWYtdHlwZSBuYW1lPSJKb3VybmFsIEFydGljbGUiPjE3
PC9yZWYtdHlwZT48Y29udHJpYnV0b3JzPjxhdXRob3JzPjxhdXRob3I+UGVuYS1Sb3NhcywgSi4g
UC48L2F1dGhvcj48YXV0aG9yPkRlLVJlZ2lsLCBMLiBNLjwvYXV0aG9yPjxhdXRob3I+R29tZXog
TWFsYXZlLCBILjwvYXV0aG9yPjxhdXRob3I+RmxvcmVzLVVycnV0aWEsIE0uIEMuPC9hdXRob3I+
PGF1dGhvcj5Eb3dzd2VsbCwgVC48L2F1dGhvcj48L2F1dGhvcnM+PC9jb250cmlidXRvcnM+PGF1
dGgtYWRkcmVzcz5FdmlkZW5jZSBhbmQgUHJvZ3JhbW1lIEd1aWRhbmNlLCBEZXBhcnRtZW50IG9m
IE51dHJpdGlvbiBmb3IgSGVhbHRoIGFuZCBEZXZlbG9wbWVudCwgV29ybGQgSGVhbHRoIE9yZ2Fu
aXphdGlvbiwgMjAgQXZlbnVlIEFwcGlhLCBHZW5ldmEsIFN3aXR6ZXJsYW5kLCAxMjExLjwvYXV0
aC1hZGRyZXNzPjx0aXRsZXM+PHRpdGxlPkludGVybWl0dGVudCBvcmFsIGlyb24gc3VwcGxlbWVu
dGF0aW9uIGR1cmluZyBwcmVnbmFuY3k8L3RpdGxlPjxzZWNvbmRhcnktdGl0bGU+Q29jaHJhbmUg
RGF0YWJhc2UgU3lzdCBSZXY8L3NlY29uZGFyeS10aXRsZT48L3RpdGxlcz48cGVyaW9kaWNhbD48
ZnVsbC10aXRsZT5Db2NocmFuZSBEYXRhYmFzZSBTeXN0IFJldjwvZnVsbC10aXRsZT48L3Blcmlv
ZGljYWw+PHBhZ2VzPkNEMDA5OTk3PC9wYWdlcz48bnVtYmVyPjEwPC9udW1iZXI+PGVkaXRpb24+
MjAxNS8xMC8yMTwvZWRpdGlvbj48a2V5d29yZHM+PGtleXdvcmQ+QWRtaW5pc3RyYXRpb24sIE9y
YWw8L2tleXdvcmQ+PGtleXdvcmQ+QW5lbWlhLCBJcm9uLURlZmljaWVuY3kvYmxvb2QvKnByZXZl
bnRpb24gJmFtcDsgY29udHJvbDwva2V5d29yZD48a2V5d29yZD5EZXZlbG9waW5nIENvdW50cmll
czwva2V5d29yZD48a2V5d29yZD5EaWV0YXJ5IFN1cHBsZW1lbnRzLyphZHZlcnNlIGVmZmVjdHM8
L2tleXdvcmQ+PGtleXdvcmQ+RHJ1ZyBBZG1pbmlzdHJhdGlvbiBTY2hlZHVsZTwva2V5d29yZD48
a2V5d29yZD5EcnVnIENvbWJpbmF0aW9uczwva2V5d29yZD48a2V5d29yZD5GZW1hbGU8L2tleXdv
cmQ+PGtleXdvcmQ+Rm9saWMgQWNpZC9hZG1pbmlzdHJhdGlvbiAmYW1wOyBkb3NhZ2U8L2tleXdv
cmQ+PGtleXdvcmQ+SGVtb2dsb2JpbiBBL21ldGFib2xpc208L2tleXdvcmQ+PGtleXdvcmQ+SHVt
YW5zPC9rZXl3b3JkPjxrZXl3b3JkPkluZmFudCwgTG93IEJpcnRoIFdlaWdodDwva2V5d29yZD48
a2V5d29yZD5JbmZhbnQsIE5ld2Jvcm48L2tleXdvcmQ+PGtleXdvcmQ+SXJvbi8qYWRtaW5pc3Ry
YXRpb24gJmFtcDsgZG9zYWdlL2FkdmVyc2UgZWZmZWN0czwva2V5d29yZD48a2V5d29yZD5Jcm9u
LCBEaWV0YXJ5LyphZG1pbmlzdHJhdGlvbiAmYW1wOyBkb3NhZ2U8L2tleXdvcmQ+PGtleXdvcmQ+
UHJlZ25hbmN5PC9rZXl3b3JkPjxrZXl3b3JkPlByZWduYW5jeSBDb21wbGljYXRpb25zLCBIZW1h
dG9sb2dpYy9ibG9vZC8qcHJldmVudGlvbiAmYW1wOyBjb250cm9sPC9rZXl3b3JkPjxrZXl3b3Jk
PlByZW1hdHVyZSBCaXJ0aDwva2V5d29yZD48a2V5d29yZD5SYW5kb21pemVkIENvbnRyb2xsZWQg
VHJpYWxzIGFzIFRvcGljPC9rZXl3b3JkPjxrZXl3b3JkPlZpdGFtaW5zL2FkbWluaXN0cmF0aW9u
ICZhbXA7IGRvc2FnZTwva2V5d29yZD48L2tleXdvcmRzPjxkYXRlcz48eWVhcj4yMDE1PC95ZWFy
PjxwdWItZGF0ZXM+PGRhdGU+T2N0IDE5PC9kYXRlPjwvcHViLWRhdGVzPjwvZGF0ZXM+PGlzYm4+
MTQ2OS00OTNYIChFbGVjdHJvbmljKSYjeEQ7MTM2MS02MTM3IChMaW5raW5nKTwvaXNibj48YWNj
ZXNzaW9uLW51bT4yNjQ4MjExMDwvYWNjZXNzaW9uLW51bT48dXJscz48cmVsYXRlZC11cmxzPjx1
cmw+aHR0cHM6Ly93d3cubmNiaS5ubG0ubmloLmdvdi9wdWJtZWQvMjY0ODIxMTA8L3VybD48L3Jl
bGF0ZWQtdXJscz48L3VybHM+PGVsZWN0cm9uaWMtcmVzb3VyY2UtbnVtPjEwLjEwMDIvMTQ2NTE4
NTguQ0QwMDk5OTcucHViMjwvZWxlY3Ryb25pYy1yZXNvdXJjZS1udW0+PC9yZWNvcmQ+PC9DaXRl
PjwvRW5kTm90ZT4A
</w:fldData>
        </w:fldChar>
      </w:r>
      <w:r w:rsidR="002747EA">
        <w:instrText xml:space="preserve"> ADDIN EN.CITE.DATA </w:instrText>
      </w:r>
      <w:r w:rsidR="002747EA">
        <w:fldChar w:fldCharType="end"/>
      </w:r>
      <w:r w:rsidR="00330CDB">
        <w:fldChar w:fldCharType="separate"/>
      </w:r>
      <w:r w:rsidR="002747EA" w:rsidRPr="002747EA">
        <w:rPr>
          <w:noProof/>
          <w:vertAlign w:val="superscript"/>
        </w:rPr>
        <w:t>175</w:t>
      </w:r>
      <w:r w:rsidR="00330CDB">
        <w:fldChar w:fldCharType="end"/>
      </w:r>
      <w:r>
        <w:t xml:space="preserve"> found </w:t>
      </w:r>
      <w:r w:rsidR="00330CDB">
        <w:t>a reduction in side effects (</w:t>
      </w:r>
      <w:r w:rsidR="00330CDB" w:rsidRPr="00330CDB">
        <w:rPr>
          <w:sz w:val="16"/>
          <w:szCs w:val="16"/>
        </w:rPr>
        <w:t xml:space="preserve">RR 0.56; 95%CI 0.37 to 0.84; n=1,777; 1 RCT; very low </w:t>
      </w:r>
      <w:r w:rsidR="00836F2D">
        <w:rPr>
          <w:sz w:val="16"/>
          <w:szCs w:val="16"/>
        </w:rPr>
        <w:t>certainty</w:t>
      </w:r>
      <w:r w:rsidR="00330CDB">
        <w:t>) but no clear effect on maternal anaemia at term (</w:t>
      </w:r>
      <w:r w:rsidR="00330CDB" w:rsidRPr="00330CDB">
        <w:rPr>
          <w:sz w:val="16"/>
          <w:szCs w:val="16"/>
        </w:rPr>
        <w:t xml:space="preserve">RR 1.22; 95%CI 0.84 to 1.80; n=676; 4 RCTs; very low </w:t>
      </w:r>
      <w:r w:rsidR="00836F2D">
        <w:rPr>
          <w:sz w:val="16"/>
          <w:szCs w:val="16"/>
        </w:rPr>
        <w:t>certainty</w:t>
      </w:r>
      <w:r w:rsidR="00330CDB">
        <w:t>), maternal iron-deficiency anaemia at term (</w:t>
      </w:r>
      <w:r w:rsidR="00330CDB" w:rsidRPr="00330CDB">
        <w:rPr>
          <w:sz w:val="16"/>
          <w:szCs w:val="16"/>
        </w:rPr>
        <w:t xml:space="preserve">RR 0.71; 95%CI 0.08 to 6.63; 1 RCT, very low </w:t>
      </w:r>
      <w:r w:rsidR="00836F2D">
        <w:rPr>
          <w:sz w:val="16"/>
          <w:szCs w:val="16"/>
        </w:rPr>
        <w:t>certainty</w:t>
      </w:r>
      <w:r w:rsidR="00330CDB">
        <w:t>), neonatal death (</w:t>
      </w:r>
      <w:r w:rsidR="00330CDB" w:rsidRPr="00330CDB">
        <w:rPr>
          <w:sz w:val="16"/>
          <w:szCs w:val="16"/>
        </w:rPr>
        <w:t xml:space="preserve">RR 0.49; 95%CI 0.04 to 5.42; n=795; 1 RCT; very low </w:t>
      </w:r>
      <w:r w:rsidR="00836F2D">
        <w:rPr>
          <w:sz w:val="16"/>
          <w:szCs w:val="16"/>
        </w:rPr>
        <w:t>certainty</w:t>
      </w:r>
      <w:r w:rsidR="00330CDB">
        <w:t>), preterm birth (</w:t>
      </w:r>
      <w:r w:rsidR="00330CDB" w:rsidRPr="00330CDB">
        <w:rPr>
          <w:sz w:val="16"/>
          <w:szCs w:val="16"/>
        </w:rPr>
        <w:t xml:space="preserve">RR 1.03; 95%CI 0.76 to 1.39; n=1,177; 5 RCTs; low </w:t>
      </w:r>
      <w:r w:rsidR="00836F2D">
        <w:rPr>
          <w:sz w:val="16"/>
          <w:szCs w:val="16"/>
        </w:rPr>
        <w:t>certainty</w:t>
      </w:r>
      <w:r w:rsidR="00330CDB">
        <w:t>), birth weight (</w:t>
      </w:r>
      <w:r w:rsidR="00330CDB" w:rsidRPr="00330CDB">
        <w:rPr>
          <w:sz w:val="16"/>
          <w:szCs w:val="16"/>
        </w:rPr>
        <w:t xml:space="preserve">MD 5.13 g; 95%CI -29.46 to 39.72; n=1,939; 9 RCTs; low </w:t>
      </w:r>
      <w:r w:rsidR="00836F2D">
        <w:rPr>
          <w:sz w:val="16"/>
          <w:szCs w:val="16"/>
        </w:rPr>
        <w:t>certainty</w:t>
      </w:r>
      <w:r w:rsidR="00330CDB">
        <w:t>) or low birth weight (</w:t>
      </w:r>
      <w:r w:rsidR="00330CDB" w:rsidRPr="00330CDB">
        <w:rPr>
          <w:sz w:val="16"/>
          <w:szCs w:val="16"/>
        </w:rPr>
        <w:t>RR 0.82; 95%CI 0.55 to 1.22; n=1,898; 8 RCT</w:t>
      </w:r>
      <w:r w:rsidR="00CC0B24">
        <w:rPr>
          <w:sz w:val="16"/>
          <w:szCs w:val="16"/>
        </w:rPr>
        <w:t>s</w:t>
      </w:r>
      <w:r w:rsidR="00330CDB" w:rsidRPr="00330CDB">
        <w:rPr>
          <w:sz w:val="16"/>
          <w:szCs w:val="16"/>
        </w:rPr>
        <w:t xml:space="preserve">; low </w:t>
      </w:r>
      <w:r w:rsidR="00836F2D">
        <w:rPr>
          <w:sz w:val="16"/>
          <w:szCs w:val="16"/>
        </w:rPr>
        <w:t>certainty</w:t>
      </w:r>
      <w:r w:rsidR="00330CDB">
        <w:t>).</w:t>
      </w:r>
    </w:p>
    <w:p w14:paraId="55CB297C" w14:textId="13427FC8" w:rsidR="005428F4" w:rsidRDefault="005428F4" w:rsidP="00193995">
      <w:r>
        <w:t>The RCTs reported:</w:t>
      </w:r>
    </w:p>
    <w:p w14:paraId="1D4FA199" w14:textId="38930BCD" w:rsidR="007C2966" w:rsidRDefault="007C2966" w:rsidP="007C2966">
      <w:pPr>
        <w:pStyle w:val="bullet"/>
      </w:pPr>
      <w:r>
        <w:t>higher increases in hemoglobin (</w:t>
      </w:r>
      <w:r w:rsidRPr="007C2966">
        <w:rPr>
          <w:sz w:val="16"/>
          <w:szCs w:val="16"/>
        </w:rPr>
        <w:t>p&lt;0.001</w:t>
      </w:r>
      <w:r>
        <w:t>) and serum ferritin (</w:t>
      </w:r>
      <w:r w:rsidRPr="007C2966">
        <w:rPr>
          <w:sz w:val="16"/>
          <w:szCs w:val="16"/>
        </w:rPr>
        <w:t>p&lt;0.001</w:t>
      </w:r>
      <w:r>
        <w:t xml:space="preserve">) from baseline to </w:t>
      </w:r>
      <w:r w:rsidR="000B74E8">
        <w:t>birth</w:t>
      </w:r>
      <w:r>
        <w:t>, reduced risk of maternal iron deficiency (</w:t>
      </w:r>
      <w:r w:rsidRPr="007C2966">
        <w:rPr>
          <w:sz w:val="16"/>
          <w:szCs w:val="16"/>
        </w:rPr>
        <w:t>RR, 0.48; 95%CI, 0.32 to 0.70</w:t>
      </w:r>
      <w:r>
        <w:t>), iron-deficiency anemia (</w:t>
      </w:r>
      <w:r w:rsidRPr="007C2966">
        <w:rPr>
          <w:sz w:val="16"/>
          <w:szCs w:val="16"/>
        </w:rPr>
        <w:t>RR, 0.34; 95%CI, 0.19 to 0.62</w:t>
      </w:r>
      <w:r>
        <w:t>) and anaemia at birth (</w:t>
      </w:r>
      <w:r w:rsidRPr="007C2966">
        <w:rPr>
          <w:sz w:val="16"/>
          <w:szCs w:val="16"/>
        </w:rPr>
        <w:t>RR 0.60; 95%CI, 0.51 to 0.71</w:t>
      </w:r>
      <w:r>
        <w:t>) but no effect on severe anaemia (</w:t>
      </w:r>
      <w:r w:rsidRPr="007C2966">
        <w:rPr>
          <w:sz w:val="16"/>
          <w:szCs w:val="16"/>
        </w:rPr>
        <w:t>RR 0.68; 95%CI, 0.41 to 1.14</w:t>
      </w:r>
      <w:r>
        <w:t>) or birth weight (</w:t>
      </w:r>
      <w:r w:rsidRPr="007C2966">
        <w:rPr>
          <w:sz w:val="16"/>
          <w:szCs w:val="16"/>
        </w:rPr>
        <w:t>3,155 vs 3,137 g, p=0.89</w:t>
      </w:r>
      <w:r>
        <w:t>) (</w:t>
      </w:r>
      <w:r w:rsidRPr="007C2966">
        <w:rPr>
          <w:sz w:val="16"/>
          <w:szCs w:val="16"/>
        </w:rPr>
        <w:t>n=1,469</w:t>
      </w:r>
      <w:r>
        <w:t>)</w:t>
      </w:r>
      <w:r>
        <w:fldChar w:fldCharType="begin">
          <w:fldData xml:space="preserve">PEVuZE5vdGU+PENpdGU+PEF1dGhvcj5FdGhlcmVkZ2U8L0F1dGhvcj48WWVhcj4yMDE1PC9ZZWFy
PjxSZWNOdW0+MTYyNjwvUmVjTnVtPjxEaXNwbGF5VGV4dD48c3R5bGUgZmFjZT0ic3VwZXJzY3Jp
cHQiIGZvbnQ9IlRyZWJ1Y2hldCBNUyIgc2l6ZT0iOSI+MTc4PC9zdHlsZT48L0Rpc3BsYXlUZXh0
PjxyZWNvcmQ+PHJlYy1udW1iZXI+MTYyNjwvcmVjLW51bWJlcj48Zm9yZWlnbi1rZXlzPjxrZXkg
YXBwPSJFTiIgZGItaWQ9ImV4dmFzcmZ4MmR0cmFvZXNhc3hwMnN6c3hhMmRmNTAyNTkyeCIgdGlt
ZXN0YW1wPSIxNTc2NzM0MzEwIj4xNjI2PC9rZXk+PGtleSBhcHA9IkVOV2ViIiBkYi1pZD0iIj4w
PC9rZXk+PC9mb3JlaWduLWtleXM+PHJlZi10eXBlIG5hbWU9IkpvdXJuYWwgQXJ0aWNsZSI+MTc8
L3JlZi10eXBlPjxjb250cmlidXRvcnM+PGF1dGhvcnM+PGF1dGhvcj5FdGhlcmVkZ2UsIEEuIEou
PC9hdXRob3I+PGF1dGhvcj5QcmVtamksIFouPC9hdXRob3I+PGF1dGhvcj5HdW5hcmF0bmEsIE4u
IFMuPC9hdXRob3I+PGF1dGhvcj5BYmlveWUsIEEuIEkuPC9hdXRob3I+PGF1dGhvcj5BYm91ZCwg
Uy48L2F1dGhvcj48YXV0aG9yPkR1Z2dhbiwgQy48L2F1dGhvcj48YXV0aG9yPk1vbmdpLCBSLjwv
YXV0aG9yPjxhdXRob3I+TWVsb25leSwgTC48L2F1dGhvcj48YXV0aG9yPlNwaWVnZWxtYW4sIEQu
PC9hdXRob3I+PGF1dGhvcj5Sb2JlcnRzLCBELjwvYXV0aG9yPjxhdXRob3I+SGFtZXIsIEQuIEgu
PC9hdXRob3I+PGF1dGhvcj5GYXd6aSwgVy4gVy48L2F1dGhvcj48L2F1dGhvcnM+PC9jb250cmli
dXRvcnM+PGF1dGgtYWRkcmVzcz5EZXBhcnRtZW50IG9mIEdsb2JhbCBIZWFsdGggYW5kIFBvcHVs
YXRpb24sIEhhcnZhcmQgVC4gSC4gQ2hhbiBTY2hvb2wgb2YgUHVibGljIEhlYWx0aCwgQm9zdG9u
LCBNYXNzYWNodXNldHRzMkRpdmlzaW9uIG9mIEdhc3Ryb2VudGVyb2xvZ3ksIEhlcGF0b2xvZ3ks
IGFuZCBOdXRyaXRpb24sIEJvc3RvbiBDaGlsZHJlbiZhcG9zO3MgSG9zcGl0YWwsIEhhcnZhcmQg
TWVkaWNhbCBTY2hvb2wsIEJvc3RvbiwgTWFzc2FjaHVzZXR0cy4mI3hEO0RlcGFydG1lbnQgb2Yg
UGFyYXNpdG9sb2d5L01lZGljYWwgRW50b21vbG9neSwgU2Nob29sIG9mIFB1YmxpYyBIZWFsdGgg
YW5kIFNvY2lhbCBTY2llbmNlcywgTXVoaW1iaWxpIFVuaXZlcnNpdHkgb2YgSGVhbHRoIGFuZCBB
bGxpZWQgU2NpZW5jZXMsIERhciBlcyBTYWxhYW0sIFRhbnphbmlhLiYjeEQ7RGVwYXJ0bWVudCBv
ZiBHbG9iYWwgSGVhbHRoIGFuZCBQb3B1bGF0aW9uLCBIYXJ2YXJkIFQuIEguIENoYW4gU2Nob29s
IG9mIFB1YmxpYyBIZWFsdGgsIEJvc3RvbiwgTWFzc2FjaHVzZXR0cy4mI3hEO0RlcGFydG1lbnQg
b2YgTWljcm9iaW9sb2d5IGFuZCBJbW11bm9sb2d5LCBNdWhpbWJpbGkgVW5pdmVyc2l0eSBvZiBI
ZWFsdGggYW5kIEFsbGllZCBTY2llbmNlcywgRGFyIGVzIFNhbGFhbSwgVGFuemFuaWEuJiN4RDtE
ZXBhcnRtZW50IG9mIEdsb2JhbCBIZWFsdGggYW5kIFBvcHVsYXRpb24sIEhhcnZhcmQgVC4gSC4g
Q2hhbiBTY2hvb2wgb2YgUHVibGljIEhlYWx0aCwgQm9zdG9uLCBNYXNzYWNodXNldHRzMkRpdmlz
aW9uIG9mIEdhc3Ryb2VudGVyb2xvZ3ksIEhlcGF0b2xvZ3ksIGFuZCBOdXRyaXRpb24sIEJvc3Rv
biBDaGlsZHJlbiZhcG9zO3MgSG9zcGl0YWwsIEhhcnZhcmQgTWVkaWNhbCBTY2hvb2wsIEJvc3Rv
biwgTWFzc2FjaHVzZXR0czVEZXBhcnRtZW50IG9mLiYjeEQ7RGVwYXJ0bWVudCBvZiBOdXRyaXRp
b24sIEhhcnZhcmQgVC4gSC4gQ2hhbiBTY2hvb2wgb2YgUHVibGljIEhlYWx0aCwgQm9zdG9uLCBN
YXNzYWNodXNldHRzNkRlcGFydG1lbnQgb2YgRXBpZGVtaW9sb2d5LCBIYXJ2YXJkIFQuIEguIENo
YW4gU2Nob29sIG9mIFB1YmxpYyBIZWFsdGgsIEJvc3RvbiwgTWFzc2FjaHVzZXR0czdEZXBhcnRt
ZW50IG9mIEJpb3N0YXRpc3RpY3MsIEhhcnZhcmQgVC4gSC4gQ2hhbiBTY2hvb2wgb2YgUHVibGlj
IEhlYWx0LiYjeEQ7RGVwYXJ0bWVudCBvZiBQYXRob2xvZ3ksIE1hc3NhY2h1c2V0dHMgR2VuZXJh
bCBIb3NwaXRhbCwgQm9zdG9uLiYjeEQ7RGVwYXJ0bWVudCBvZiBHbG9iYWwgSGVhbHRoLCBCb3N0
b24gVW5pdmVyc2l0eSBTY2hvb2wgb2YgUHVibGljIEhlYWx0aCwgQm9zdG9uLCBNYXNzYWNodXNl
dHRzMTBDZW50ZXIgZm9yIEdsb2JhbCBIZWFsdGggYW5kIERldmVsb3BtZW50LCBCb3N0b24gVW5p
dmVyc2l0eSwgQm9zdG9uLCBNYXNzYWNodXNldHRzMTFTZWN0aW9uIG9mIEluZmVjdGlvdXMgRGlz
ZWFzZXMsIERlcGFydG1lbnQgb2YgTWVkaWNpbmUsIEJvc3RvbiBNZWRpY2FsIENlbnRlLiYjeEQ7
RGVwYXJ0bWVudCBvZiBHbG9iYWwgSGVhbHRoIGFuZCBQb3B1bGF0aW9uLCBIYXJ2YXJkIFQuIEgu
IENoYW4gU2Nob29sIG9mIFB1YmxpYyBIZWFsdGgsIEJvc3RvbiwgTWFzc2FjaHVzZXR0czVEZXBh
cnRtZW50IG9mIE51dHJpdGlvbiwgSGFydmFyZCBULiBILiBDaGFuIFNjaG9vbCBvZiBQdWJsaWMg
SGVhbHRoLCBCb3N0b24sIE1hc3NhY2h1c2V0dHM2RGVwYXJ0bWVudCBvZiBFcGlkZW1pb2xvZ3ks
IEhhcnZhcmQgVC4gSC4gQ2hhbiBTY2hvb2wuPC9hdXRoLWFkZHJlc3M+PHRpdGxlcz48dGl0bGU+
SXJvbiBzdXBwbGVtZW50YXRpb24gaW4gaXJvbi1yZXBsZXRlIGFuZCBub25hbmVtaWMgcHJlZ25h
bnQgd29tZW4gaW4gdGFuemFuaWE6IGEgcmFuZG9taXplZCBjbGluaWNhbCB0cmlhbDwvdGl0bGU+
PHNlY29uZGFyeS10aXRsZT5KQU1BIFBlZGlhdHI8L3NlY29uZGFyeS10aXRsZT48L3RpdGxlcz48
cGVyaW9kaWNhbD48ZnVsbC10aXRsZT5KQU1BIFBlZGlhdHI8L2Z1bGwtdGl0bGU+PC9wZXJpb2Rp
Y2FsPjxwYWdlcz45NDctNTU8L3BhZ2VzPjx2b2x1bWU+MTY5PC92b2x1bWU+PG51bWJlcj4xMDwv
bnVtYmVyPjxlZGl0aW9uPjIwMTUvMDgvMTk8L2VkaXRpb24+PGtleXdvcmRzPjxrZXl3b3JkPkFk
dWx0PC9rZXl3b3JkPjxrZXl3b3JkPkFuZW1pYSwgSXJvbi1EZWZpY2llbmN5LypwcmV2ZW50aW9u
ICZhbXA7IGNvbnRyb2w8L2tleXdvcmQ+PGtleXdvcmQ+QmlydGggV2VpZ2h0PC9rZXl3b3JkPjxr
ZXl3b3JkPipEaWV0YXJ5IFN1cHBsZW1lbnRzPC9rZXl3b3JkPjxrZXl3b3JkPkRvdWJsZS1CbGlu
ZCBNZXRob2Q8L2tleXdvcmQ+PGtleXdvcmQ+RmVtYWxlPC9rZXl3b3JkPjxrZXl3b3JkPkhlbW9n
bG9iaW5zL2FuYWx5c2lzPC9rZXl3b3JkPjxrZXl3b3JkPkh1bWFuczwva2V5d29yZD48a2V5d29y
ZD5Jcm9uLyp0aGVyYXBldXRpYyB1c2U8L2tleXdvcmQ+PGtleXdvcmQ+TWFsYXJpYS9lcGlkZW1p
b2xvZ3k8L2tleXdvcmQ+PGtleXdvcmQ+UGxhY2VudGEgRGlzZWFzZXMvZXBpZGVtaW9sb2d5PC9r
ZXl3b3JkPjxrZXl3b3JkPlByZWduYW5jeTwva2V5d29yZD48a2V5d29yZD5QcmVuYXRhbCBDYXJl
L21ldGhvZHM8L2tleXdvcmQ+PGtleXdvcmQ+VGFuemFuaWEvZXBpZGVtaW9sb2d5PC9rZXl3b3Jk
PjxrZXl3b3JkPlRyYWNlIEVsZW1lbnRzLyp0aGVyYXBldXRpYyB1c2U8L2tleXdvcmQ+PGtleXdv
cmQ+VHJlYXRtZW50IE91dGNvbWU8L2tleXdvcmQ+PGtleXdvcmQ+WW91bmcgQWR1bHQ8L2tleXdv
cmQ+PC9rZXl3b3Jkcz48ZGF0ZXM+PHllYXI+MjAxNTwveWVhcj48cHViLWRhdGVzPjxkYXRlPk9j
dDwvZGF0ZT48L3B1Yi1kYXRlcz48L2RhdGVzPjxpc2JuPjIxNjgtNjIxMSAoRWxlY3Ryb25pYykm
I3hEOzIxNjgtNjIwMyAoTGlua2luZyk8L2lzYm4+PGFjY2Vzc2lvbi1udW0+MjYyODA1MzQ8L2Fj
Y2Vzc2lvbi1udW0+PHVybHM+PHJlbGF0ZWQtdXJscz48dXJsPmh0dHBzOi8vd3d3Lm5jYmkubmxt
Lm5paC5nb3YvcHVibWVkLzI2MjgwNTM0PC91cmw+PC9yZWxhdGVkLXVybHM+PC91cmxzPjxjdXN0
b20yPlBNQzQ5MDQ3MTM8L2N1c3RvbTI+PGVsZWN0cm9uaWMtcmVzb3VyY2UtbnVtPjEwLjEwMDEv
amFtYXBlZGlhdHJpY3MuMjAxNS4xNDgwPC9lbGVjdHJvbmljLXJlc291cmNlLW51bT48L3JlY29y
ZD48L0NpdGU+PC9FbmROb3RlPgB=
</w:fldData>
        </w:fldChar>
      </w:r>
      <w:r w:rsidR="002747EA">
        <w:instrText xml:space="preserve"> ADDIN EN.CITE </w:instrText>
      </w:r>
      <w:r w:rsidR="002747EA">
        <w:fldChar w:fldCharType="begin">
          <w:fldData xml:space="preserve">PEVuZE5vdGU+PENpdGU+PEF1dGhvcj5FdGhlcmVkZ2U8L0F1dGhvcj48WWVhcj4yMDE1PC9ZZWFy
PjxSZWNOdW0+MTYyNjwvUmVjTnVtPjxEaXNwbGF5VGV4dD48c3R5bGUgZmFjZT0ic3VwZXJzY3Jp
cHQiIGZvbnQ9IlRyZWJ1Y2hldCBNUyIgc2l6ZT0iOSI+MTc4PC9zdHlsZT48L0Rpc3BsYXlUZXh0
PjxyZWNvcmQ+PHJlYy1udW1iZXI+MTYyNjwvcmVjLW51bWJlcj48Zm9yZWlnbi1rZXlzPjxrZXkg
YXBwPSJFTiIgZGItaWQ9ImV4dmFzcmZ4MmR0cmFvZXNhc3hwMnN6c3hhMmRmNTAyNTkyeCIgdGlt
ZXN0YW1wPSIxNTc2NzM0MzEwIj4xNjI2PC9rZXk+PGtleSBhcHA9IkVOV2ViIiBkYi1pZD0iIj4w
PC9rZXk+PC9mb3JlaWduLWtleXM+PHJlZi10eXBlIG5hbWU9IkpvdXJuYWwgQXJ0aWNsZSI+MTc8
L3JlZi10eXBlPjxjb250cmlidXRvcnM+PGF1dGhvcnM+PGF1dGhvcj5FdGhlcmVkZ2UsIEEuIEou
PC9hdXRob3I+PGF1dGhvcj5QcmVtamksIFouPC9hdXRob3I+PGF1dGhvcj5HdW5hcmF0bmEsIE4u
IFMuPC9hdXRob3I+PGF1dGhvcj5BYmlveWUsIEEuIEkuPC9hdXRob3I+PGF1dGhvcj5BYm91ZCwg
Uy48L2F1dGhvcj48YXV0aG9yPkR1Z2dhbiwgQy48L2F1dGhvcj48YXV0aG9yPk1vbmdpLCBSLjwv
YXV0aG9yPjxhdXRob3I+TWVsb25leSwgTC48L2F1dGhvcj48YXV0aG9yPlNwaWVnZWxtYW4sIEQu
PC9hdXRob3I+PGF1dGhvcj5Sb2JlcnRzLCBELjwvYXV0aG9yPjxhdXRob3I+SGFtZXIsIEQuIEgu
PC9hdXRob3I+PGF1dGhvcj5GYXd6aSwgVy4gVy48L2F1dGhvcj48L2F1dGhvcnM+PC9jb250cmli
dXRvcnM+PGF1dGgtYWRkcmVzcz5EZXBhcnRtZW50IG9mIEdsb2JhbCBIZWFsdGggYW5kIFBvcHVs
YXRpb24sIEhhcnZhcmQgVC4gSC4gQ2hhbiBTY2hvb2wgb2YgUHVibGljIEhlYWx0aCwgQm9zdG9u
LCBNYXNzYWNodXNldHRzMkRpdmlzaW9uIG9mIEdhc3Ryb2VudGVyb2xvZ3ksIEhlcGF0b2xvZ3ks
IGFuZCBOdXRyaXRpb24sIEJvc3RvbiBDaGlsZHJlbiZhcG9zO3MgSG9zcGl0YWwsIEhhcnZhcmQg
TWVkaWNhbCBTY2hvb2wsIEJvc3RvbiwgTWFzc2FjaHVzZXR0cy4mI3hEO0RlcGFydG1lbnQgb2Yg
UGFyYXNpdG9sb2d5L01lZGljYWwgRW50b21vbG9neSwgU2Nob29sIG9mIFB1YmxpYyBIZWFsdGgg
YW5kIFNvY2lhbCBTY2llbmNlcywgTXVoaW1iaWxpIFVuaXZlcnNpdHkgb2YgSGVhbHRoIGFuZCBB
bGxpZWQgU2NpZW5jZXMsIERhciBlcyBTYWxhYW0sIFRhbnphbmlhLiYjeEQ7RGVwYXJ0bWVudCBv
ZiBHbG9iYWwgSGVhbHRoIGFuZCBQb3B1bGF0aW9uLCBIYXJ2YXJkIFQuIEguIENoYW4gU2Nob29s
IG9mIFB1YmxpYyBIZWFsdGgsIEJvc3RvbiwgTWFzc2FjaHVzZXR0cy4mI3hEO0RlcGFydG1lbnQg
b2YgTWljcm9iaW9sb2d5IGFuZCBJbW11bm9sb2d5LCBNdWhpbWJpbGkgVW5pdmVyc2l0eSBvZiBI
ZWFsdGggYW5kIEFsbGllZCBTY2llbmNlcywgRGFyIGVzIFNhbGFhbSwgVGFuemFuaWEuJiN4RDtE
ZXBhcnRtZW50IG9mIEdsb2JhbCBIZWFsdGggYW5kIFBvcHVsYXRpb24sIEhhcnZhcmQgVC4gSC4g
Q2hhbiBTY2hvb2wgb2YgUHVibGljIEhlYWx0aCwgQm9zdG9uLCBNYXNzYWNodXNldHRzMkRpdmlz
aW9uIG9mIEdhc3Ryb2VudGVyb2xvZ3ksIEhlcGF0b2xvZ3ksIGFuZCBOdXRyaXRpb24sIEJvc3Rv
biBDaGlsZHJlbiZhcG9zO3MgSG9zcGl0YWwsIEhhcnZhcmQgTWVkaWNhbCBTY2hvb2wsIEJvc3Rv
biwgTWFzc2FjaHVzZXR0czVEZXBhcnRtZW50IG9mLiYjeEQ7RGVwYXJ0bWVudCBvZiBOdXRyaXRp
b24sIEhhcnZhcmQgVC4gSC4gQ2hhbiBTY2hvb2wgb2YgUHVibGljIEhlYWx0aCwgQm9zdG9uLCBN
YXNzYWNodXNldHRzNkRlcGFydG1lbnQgb2YgRXBpZGVtaW9sb2d5LCBIYXJ2YXJkIFQuIEguIENo
YW4gU2Nob29sIG9mIFB1YmxpYyBIZWFsdGgsIEJvc3RvbiwgTWFzc2FjaHVzZXR0czdEZXBhcnRt
ZW50IG9mIEJpb3N0YXRpc3RpY3MsIEhhcnZhcmQgVC4gSC4gQ2hhbiBTY2hvb2wgb2YgUHVibGlj
IEhlYWx0LiYjeEQ7RGVwYXJ0bWVudCBvZiBQYXRob2xvZ3ksIE1hc3NhY2h1c2V0dHMgR2VuZXJh
bCBIb3NwaXRhbCwgQm9zdG9uLiYjeEQ7RGVwYXJ0bWVudCBvZiBHbG9iYWwgSGVhbHRoLCBCb3N0
b24gVW5pdmVyc2l0eSBTY2hvb2wgb2YgUHVibGljIEhlYWx0aCwgQm9zdG9uLCBNYXNzYWNodXNl
dHRzMTBDZW50ZXIgZm9yIEdsb2JhbCBIZWFsdGggYW5kIERldmVsb3BtZW50LCBCb3N0b24gVW5p
dmVyc2l0eSwgQm9zdG9uLCBNYXNzYWNodXNldHRzMTFTZWN0aW9uIG9mIEluZmVjdGlvdXMgRGlz
ZWFzZXMsIERlcGFydG1lbnQgb2YgTWVkaWNpbmUsIEJvc3RvbiBNZWRpY2FsIENlbnRlLiYjeEQ7
RGVwYXJ0bWVudCBvZiBHbG9iYWwgSGVhbHRoIGFuZCBQb3B1bGF0aW9uLCBIYXJ2YXJkIFQuIEgu
IENoYW4gU2Nob29sIG9mIFB1YmxpYyBIZWFsdGgsIEJvc3RvbiwgTWFzc2FjaHVzZXR0czVEZXBh
cnRtZW50IG9mIE51dHJpdGlvbiwgSGFydmFyZCBULiBILiBDaGFuIFNjaG9vbCBvZiBQdWJsaWMg
SGVhbHRoLCBCb3N0b24sIE1hc3NhY2h1c2V0dHM2RGVwYXJ0bWVudCBvZiBFcGlkZW1pb2xvZ3ks
IEhhcnZhcmQgVC4gSC4gQ2hhbiBTY2hvb2wuPC9hdXRoLWFkZHJlc3M+PHRpdGxlcz48dGl0bGU+
SXJvbiBzdXBwbGVtZW50YXRpb24gaW4gaXJvbi1yZXBsZXRlIGFuZCBub25hbmVtaWMgcHJlZ25h
bnQgd29tZW4gaW4gdGFuemFuaWE6IGEgcmFuZG9taXplZCBjbGluaWNhbCB0cmlhbDwvdGl0bGU+
PHNlY29uZGFyeS10aXRsZT5KQU1BIFBlZGlhdHI8L3NlY29uZGFyeS10aXRsZT48L3RpdGxlcz48
cGVyaW9kaWNhbD48ZnVsbC10aXRsZT5KQU1BIFBlZGlhdHI8L2Z1bGwtdGl0bGU+PC9wZXJpb2Rp
Y2FsPjxwYWdlcz45NDctNTU8L3BhZ2VzPjx2b2x1bWU+MTY5PC92b2x1bWU+PG51bWJlcj4xMDwv
bnVtYmVyPjxlZGl0aW9uPjIwMTUvMDgvMTk8L2VkaXRpb24+PGtleXdvcmRzPjxrZXl3b3JkPkFk
dWx0PC9rZXl3b3JkPjxrZXl3b3JkPkFuZW1pYSwgSXJvbi1EZWZpY2llbmN5LypwcmV2ZW50aW9u
ICZhbXA7IGNvbnRyb2w8L2tleXdvcmQ+PGtleXdvcmQ+QmlydGggV2VpZ2h0PC9rZXl3b3JkPjxr
ZXl3b3JkPipEaWV0YXJ5IFN1cHBsZW1lbnRzPC9rZXl3b3JkPjxrZXl3b3JkPkRvdWJsZS1CbGlu
ZCBNZXRob2Q8L2tleXdvcmQ+PGtleXdvcmQ+RmVtYWxlPC9rZXl3b3JkPjxrZXl3b3JkPkhlbW9n
bG9iaW5zL2FuYWx5c2lzPC9rZXl3b3JkPjxrZXl3b3JkPkh1bWFuczwva2V5d29yZD48a2V5d29y
ZD5Jcm9uLyp0aGVyYXBldXRpYyB1c2U8L2tleXdvcmQ+PGtleXdvcmQ+TWFsYXJpYS9lcGlkZW1p
b2xvZ3k8L2tleXdvcmQ+PGtleXdvcmQ+UGxhY2VudGEgRGlzZWFzZXMvZXBpZGVtaW9sb2d5PC9r
ZXl3b3JkPjxrZXl3b3JkPlByZWduYW5jeTwva2V5d29yZD48a2V5d29yZD5QcmVuYXRhbCBDYXJl
L21ldGhvZHM8L2tleXdvcmQ+PGtleXdvcmQ+VGFuemFuaWEvZXBpZGVtaW9sb2d5PC9rZXl3b3Jk
PjxrZXl3b3JkPlRyYWNlIEVsZW1lbnRzLyp0aGVyYXBldXRpYyB1c2U8L2tleXdvcmQ+PGtleXdv
cmQ+VHJlYXRtZW50IE91dGNvbWU8L2tleXdvcmQ+PGtleXdvcmQ+WW91bmcgQWR1bHQ8L2tleXdv
cmQ+PC9rZXl3b3Jkcz48ZGF0ZXM+PHllYXI+MjAxNTwveWVhcj48cHViLWRhdGVzPjxkYXRlPk9j
dDwvZGF0ZT48L3B1Yi1kYXRlcz48L2RhdGVzPjxpc2JuPjIxNjgtNjIxMSAoRWxlY3Ryb25pYykm
I3hEOzIxNjgtNjIwMyAoTGlua2luZyk8L2lzYm4+PGFjY2Vzc2lvbi1udW0+MjYyODA1MzQ8L2Fj
Y2Vzc2lvbi1udW0+PHVybHM+PHJlbGF0ZWQtdXJscz48dXJsPmh0dHBzOi8vd3d3Lm5jYmkubmxt
Lm5paC5nb3YvcHVibWVkLzI2MjgwNTM0PC91cmw+PC9yZWxhdGVkLXVybHM+PC91cmxzPjxjdXN0
b20yPlBNQzQ5MDQ3MTM8L2N1c3RvbTI+PGVsZWN0cm9uaWMtcmVzb3VyY2UtbnVtPjEwLjEwMDEv
amFtYXBlZGlhdHJpY3MuMjAxNS4xNDgwPC9lbGVjdHJvbmljLXJlc291cmNlLW51bT48L3JlY29y
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178</w:t>
      </w:r>
      <w:r>
        <w:fldChar w:fldCharType="end"/>
      </w:r>
    </w:p>
    <w:p w14:paraId="054EF620" w14:textId="11ADB5C1" w:rsidR="005428F4" w:rsidRDefault="00934B36" w:rsidP="00193995">
      <w:pPr>
        <w:pStyle w:val="bullet"/>
      </w:pPr>
      <w:r>
        <w:t>higher</w:t>
      </w:r>
      <w:r w:rsidR="005428F4">
        <w:t xml:space="preserve"> haemoglobin </w:t>
      </w:r>
      <w:r>
        <w:t>(</w:t>
      </w:r>
      <w:r w:rsidRPr="007C2966">
        <w:rPr>
          <w:sz w:val="16"/>
          <w:szCs w:val="16"/>
        </w:rPr>
        <w:t>p=0.03</w:t>
      </w:r>
      <w:r>
        <w:t>) and</w:t>
      </w:r>
      <w:r w:rsidR="005428F4">
        <w:t xml:space="preserve"> ferritin level</w:t>
      </w:r>
      <w:r>
        <w:t>s</w:t>
      </w:r>
      <w:r w:rsidR="007C2966">
        <w:t xml:space="preserve"> (</w:t>
      </w:r>
      <w:r w:rsidR="007C2966" w:rsidRPr="007C2966">
        <w:rPr>
          <w:sz w:val="16"/>
          <w:szCs w:val="16"/>
        </w:rPr>
        <w:t>p=0.</w:t>
      </w:r>
      <w:r w:rsidR="005428F4" w:rsidRPr="007C2966">
        <w:rPr>
          <w:sz w:val="16"/>
          <w:szCs w:val="16"/>
        </w:rPr>
        <w:t>04</w:t>
      </w:r>
      <w:r w:rsidR="005428F4">
        <w:t>) but no effect on birthweight (</w:t>
      </w:r>
      <w:r w:rsidR="005428F4" w:rsidRPr="007C2966">
        <w:rPr>
          <w:sz w:val="16"/>
          <w:szCs w:val="16"/>
        </w:rPr>
        <w:t>p=0.2</w:t>
      </w:r>
      <w:r w:rsidR="005428F4">
        <w:t>) among women</w:t>
      </w:r>
      <w:r>
        <w:t xml:space="preserve"> with high haemoglobin at 20 weeks receiving supplements compared to those who did not (</w:t>
      </w:r>
      <w:r w:rsidRPr="007C2966">
        <w:rPr>
          <w:sz w:val="16"/>
          <w:szCs w:val="16"/>
        </w:rPr>
        <w:t>n=64</w:t>
      </w:r>
      <w:r>
        <w:t>)</w:t>
      </w:r>
      <w:r w:rsidR="005428F4">
        <w:fldChar w:fldCharType="begin"/>
      </w:r>
      <w:r w:rsidR="002747EA">
        <w:instrText xml:space="preserve"> ADDIN EN.CITE &lt;EndNote&gt;&lt;Cite&gt;&lt;Author&gt;Alizadeh&lt;/Author&gt;&lt;Year&gt;2016&lt;/Year&gt;&lt;RecNum&gt;1622&lt;/RecNum&gt;&lt;DisplayText&gt;&lt;style face="superscript" font="Trebuchet MS" size="9"&gt;177&lt;/style&gt;&lt;/DisplayText&gt;&lt;record&gt;&lt;rec-number&gt;1622&lt;/rec-number&gt;&lt;foreign-keys&gt;&lt;key app="EN" db-id="exvasrfx2dtraoesasxp2szsxa2df502592x" timestamp="1576734297"&gt;1622&lt;/key&gt;&lt;key app="ENWeb" db-id=""&gt;0&lt;/key&gt;&lt;/foreign-keys&gt;&lt;ref-type name="Journal Article"&gt;17&lt;/ref-type&gt;&lt;contributors&gt;&lt;authors&gt;&lt;author&gt;Alizadeh, L.&lt;/author&gt;&lt;author&gt;Salehi, L.&lt;/author&gt;&lt;/authors&gt;&lt;/contributors&gt;&lt;auth-address&gt;Department of Maternal and Child Health, Ardabil Branch, Islamic Azad University, Ardabil, IR Iran.&amp;#xD;Department of Health Education and Promotion, School of Public Health, Alborz University of Medical Sciences, Karaj, IR Iran.&lt;/auth-address&gt;&lt;titles&gt;&lt;title&gt;Is routine iron supplementation necessary in pregnant women with high hemoglobin?&lt;/title&gt;&lt;secondary-title&gt;Iran Red Crescent Med J&lt;/secondary-title&gt;&lt;/titles&gt;&lt;periodical&gt;&lt;full-title&gt;Iran Red Crescent Med J&lt;/full-title&gt;&lt;/periodical&gt;&lt;pages&gt;e22761&lt;/pages&gt;&lt;volume&gt;18&lt;/volume&gt;&lt;number&gt;1&lt;/number&gt;&lt;edition&gt;2016/02/19&lt;/edition&gt;&lt;keywords&gt;&lt;keyword&gt;Birth Weight&lt;/keyword&gt;&lt;keyword&gt;Hemoglobin&lt;/keyword&gt;&lt;keyword&gt;Iron, Ferritin&lt;/keyword&gt;&lt;keyword&gt;Pregnancy&lt;/keyword&gt;&lt;/keywords&gt;&lt;dates&gt;&lt;year&gt;2016&lt;/year&gt;&lt;pub-dates&gt;&lt;date&gt;Jan&lt;/date&gt;&lt;/pub-dates&gt;&lt;/dates&gt;&lt;isbn&gt;2074-1804 (Print)&amp;#xD;2074-1804 (Linking)&lt;/isbn&gt;&lt;accession-num&gt;26889391&lt;/accession-num&gt;&lt;urls&gt;&lt;related-urls&gt;&lt;url&gt;https://www.ncbi.nlm.nih.gov/pubmed/26889391&lt;/url&gt;&lt;/related-urls&gt;&lt;/urls&gt;&lt;custom2&gt;PMC4753023&lt;/custom2&gt;&lt;electronic-resource-num&gt;10.5812/ircmj.22761&lt;/electronic-resource-num&gt;&lt;/record&gt;&lt;/Cite&gt;&lt;/EndNote&gt;</w:instrText>
      </w:r>
      <w:r w:rsidR="005428F4">
        <w:fldChar w:fldCharType="separate"/>
      </w:r>
      <w:r w:rsidR="002747EA" w:rsidRPr="002747EA">
        <w:rPr>
          <w:noProof/>
          <w:vertAlign w:val="superscript"/>
        </w:rPr>
        <w:t>177</w:t>
      </w:r>
      <w:r w:rsidR="005428F4">
        <w:fldChar w:fldCharType="end"/>
      </w:r>
    </w:p>
    <w:p w14:paraId="5A5096CA" w14:textId="64B37299" w:rsidR="00D20B62" w:rsidRDefault="00D20B62" w:rsidP="00D20B62">
      <w:pPr>
        <w:pStyle w:val="bullet"/>
      </w:pPr>
      <w:r>
        <w:t>lower risk of nausea (</w:t>
      </w:r>
      <w:r w:rsidRPr="00A912D4">
        <w:rPr>
          <w:sz w:val="16"/>
          <w:szCs w:val="16"/>
        </w:rPr>
        <w:t>p=0.031</w:t>
      </w:r>
      <w:r>
        <w:t>), dyspeptic symptoms (</w:t>
      </w:r>
      <w:r w:rsidRPr="00A912D4">
        <w:rPr>
          <w:sz w:val="16"/>
          <w:szCs w:val="16"/>
        </w:rPr>
        <w:t>p=0.031</w:t>
      </w:r>
      <w:r>
        <w:t>), vomiting (</w:t>
      </w:r>
      <w:r w:rsidRPr="00A912D4">
        <w:rPr>
          <w:sz w:val="16"/>
          <w:szCs w:val="16"/>
        </w:rPr>
        <w:t>p=0.039</w:t>
      </w:r>
      <w:r>
        <w:t>) and constipation (</w:t>
      </w:r>
      <w:r w:rsidRPr="00A912D4">
        <w:rPr>
          <w:sz w:val="16"/>
          <w:szCs w:val="16"/>
        </w:rPr>
        <w:t>p=0.017</w:t>
      </w:r>
      <w:r>
        <w:t>) with weekly versus daily supplementation and no clear effect on haemoglobin &lt;11 g/dL (</w:t>
      </w:r>
      <w:r w:rsidRPr="00A912D4">
        <w:rPr>
          <w:sz w:val="16"/>
          <w:szCs w:val="16"/>
        </w:rPr>
        <w:t>p=0.943</w:t>
      </w:r>
      <w:r>
        <w:t>), haemoglobin &lt;13 g/dL (</w:t>
      </w:r>
      <w:r w:rsidRPr="00A912D4">
        <w:rPr>
          <w:sz w:val="16"/>
          <w:szCs w:val="16"/>
        </w:rPr>
        <w:t>p=0.928</w:t>
      </w:r>
      <w:r>
        <w:t>) or serum ferritin (</w:t>
      </w:r>
      <w:r w:rsidRPr="00A912D4">
        <w:rPr>
          <w:sz w:val="16"/>
          <w:szCs w:val="16"/>
        </w:rPr>
        <w:t>p=0.927</w:t>
      </w:r>
      <w:r>
        <w:t>)</w:t>
      </w:r>
      <w:r w:rsidR="001621FB">
        <w:t xml:space="preserve"> (</w:t>
      </w:r>
      <w:r w:rsidR="001621FB" w:rsidRPr="00A912D4">
        <w:rPr>
          <w:sz w:val="16"/>
          <w:szCs w:val="16"/>
        </w:rPr>
        <w:t>n=</w:t>
      </w:r>
      <w:r w:rsidRPr="00A912D4">
        <w:rPr>
          <w:sz w:val="16"/>
          <w:szCs w:val="16"/>
        </w:rPr>
        <w:t>292</w:t>
      </w:r>
      <w:r>
        <w:t>)</w:t>
      </w:r>
      <w:r>
        <w:fldChar w:fldCharType="begin">
          <w:fldData xml:space="preserve">PEVuZE5vdGU+PENpdGU+PEF1dGhvcj5Hb29uZXdhcmRlbmU8L0F1dGhvcj48WWVhcj4yMDE4PC9Z
ZWFyPjxSZWNOdW0+MTYyNzwvUmVjTnVtPjxEaXNwbGF5VGV4dD48c3R5bGUgZmFjZT0ic3VwZXJz
Y3JpcHQiIGZvbnQ9IlRyZWJ1Y2hldCBNUyIgc2l6ZT0iOSI+MTc5PC9zdHlsZT48L0Rpc3BsYXlU
ZXh0PjxyZWNvcmQ+PHJlYy1udW1iZXI+MTYyNzwvcmVjLW51bWJlcj48Zm9yZWlnbi1rZXlzPjxr
ZXkgYXBwPSJFTiIgZGItaWQ9ImV4dmFzcmZ4MmR0cmFvZXNhc3hwMnN6c3hhMmRmNTAyNTkyeCIg
dGltZXN0YW1wPSIxNTc2NzM0MzE2Ij4xNjI3PC9rZXk+PGtleSBhcHA9IkVOV2ViIiBkYi1pZD0i
Ij4wPC9rZXk+PC9mb3JlaWduLWtleXM+PHJlZi10eXBlIG5hbWU9IkpvdXJuYWwgQXJ0aWNsZSI+
MTc8L3JlZi10eXBlPjxjb250cmlidXRvcnM+PGF1dGhvcnM+PGF1dGhvcj5Hb29uZXdhcmRlbmUs
IEkuIE0uIFIuPC9hdXRob3I+PGF1dGhvcj5TZW5hZGhlZXJhLCBELiBJLjwvYXV0aG9yPjwvYXV0
aG9ycz48L2NvbnRyaWJ1dG9ycz48YXV0aC1hZGRyZXNzPkFjYWRlbWljIE9ic3RldHJpY3MgYW5k
IEd5bmFlY29sb2d5IFVuaXQsIFRlYWNoaW5nIEhvc3BpdGFsLCBHYWxsZSwgU3JpIExhbmthLjwv
YXV0aC1hZGRyZXNzPjx0aXRsZXM+PHRpdGxlPlJhbmRvbWl6ZWQgY29udHJvbCB0cmlhbCBjb21w
YXJpbmcgZWZmZWN0aXZlbmVzcyBvZiB3ZWVrbHkgdmVyc3VzIGRhaWx5IGFudGVuYXRhbCBvcmFs
IGlyb24gc3VwcGxlbWVudGF0aW9uIGluIHByZXZlbnRpbmcgYW5lbWlhIGR1cmluZyBwcmVnbmFu
Y3k8L3RpdGxlPjxzZWNvbmRhcnktdGl0bGU+SiBPYnN0ZXQgR3luYWVjb2wgUmVzPC9zZWNvbmRh
cnktdGl0bGU+PC90aXRsZXM+PHBlcmlvZGljYWw+PGZ1bGwtdGl0bGU+SiBPYnN0ZXQgR3luYWVj
b2wgUmVzPC9mdWxsLXRpdGxlPjwvcGVyaW9kaWNhbD48cGFnZXM+NDE3LTQyNDwvcGFnZXM+PHZv
bHVtZT40NDwvdm9sdW1lPjxudW1iZXI+MzwvbnVtYmVyPjxlZGl0aW9uPjIwMTcvMTIvMjM8L2Vk
aXRpb24+PGtleXdvcmRzPjxrZXl3b3JkPkFkdWx0PC9rZXl3b3JkPjxrZXl3b3JkPkFuZW1pYS8q
cHJldmVudGlvbiAmYW1wOyBjb250cm9sPC9rZXl3b3JkPjxrZXl3b3JkPkFuZW1pYSwgSXJvbi1E
ZWZpY2llbmN5L3ByZXZlbnRpb24gJmFtcDsgY29udHJvbDwva2V5d29yZD48a2V5d29yZD4qRGll
dGFyeSBTdXBwbGVtZW50czwva2V5d29yZD48a2V5d29yZD5GZW1hbGU8L2tleXdvcmQ+PGtleXdv
cmQ+Rm9saWMgQWNpZC9hZG1pbmlzdHJhdGlvbiAmYW1wOyBkb3NhZ2UvKnBoYXJtYWNvbG9neTwv
a2V5d29yZD48a2V5d29yZD5IdW1hbnM8L2tleXdvcmQ+PGtleXdvcmQ+SXJvbi9hZG1pbmlzdHJh
dGlvbiAmYW1wOyBkb3NhZ2UvKnBoYXJtYWNvbG9neTwva2V5d29yZD48a2V5d29yZD4qT3V0Y29t
ZSBBc3Nlc3NtZW50LCBIZWFsdGggQ2FyZTwva2V5d29yZD48a2V5d29yZD5QcmVnbmFuY3k8L2tl
eXdvcmQ+PGtleXdvcmQ+UHJlZ25hbmN5IENvbXBsaWNhdGlvbnMsIEhlbWF0b2xvZ2ljLypwcmV2
ZW50aW9uICZhbXA7IGNvbnRyb2w8L2tleXdvcmQ+PGtleXdvcmQ+U3JpIExhbmthPC9rZXl3b3Jk
PjxrZXl3b3JkPmFudGVuYXRhbCBvcmFsIGlyb24gYW5kIGZvbGF0ZTwva2V5d29yZD48a2V5d29y
ZD5pbnRlcm1pdHRlbnQ8L2tleXdvcmQ+PGtleXdvcmQ+bm9uLWFuZW1pYyBwcmVnbmFudCB3b21l
bjwva2V5d29yZD48a2V5d29yZD53ZWVrbHkgdmVyc3VzIGRhaWx5PC9rZXl3b3JkPjwva2V5d29y
ZHM+PGRhdGVzPjx5ZWFyPjIwMTg8L3llYXI+PHB1Yi1kYXRlcz48ZGF0ZT5NYXI8L2RhdGU+PC9w
dWItZGF0ZXM+PC9kYXRlcz48aXNibj4xNDQ3LTA3NTYgKEVsZWN0cm9uaWMpJiN4RDsxMzQxLTgw
NzYgKExpbmtpbmcpPC9pc2JuPjxhY2Nlc3Npb24tbnVtPjI5MjcxMDIyPC9hY2Nlc3Npb24tbnVt
Pjx1cmxzPjxyZWxhdGVkLXVybHM+PHVybD5odHRwczovL3d3dy5uY2JpLm5sbS5uaWguZ292L3B1
Ym1lZC8yOTI3MTAyMjwvdXJsPjwvcmVsYXRlZC11cmxzPjwvdXJscz48ZWxlY3Ryb25pYy1yZXNv
dXJjZS1udW0+MTAuMTExMS9qb2cuMTM1NDY8L2VsZWN0cm9uaWMtcmVzb3VyY2UtbnVtPjwvcmVj
b3JkPjwvQ2l0ZT48L0VuZE5vdGU+
</w:fldData>
        </w:fldChar>
      </w:r>
      <w:r w:rsidR="002747EA">
        <w:instrText xml:space="preserve"> ADDIN EN.CITE </w:instrText>
      </w:r>
      <w:r w:rsidR="002747EA">
        <w:fldChar w:fldCharType="begin">
          <w:fldData xml:space="preserve">PEVuZE5vdGU+PENpdGU+PEF1dGhvcj5Hb29uZXdhcmRlbmU8L0F1dGhvcj48WWVhcj4yMDE4PC9Z
ZWFyPjxSZWNOdW0+MTYyNzwvUmVjTnVtPjxEaXNwbGF5VGV4dD48c3R5bGUgZmFjZT0ic3VwZXJz
Y3JpcHQiIGZvbnQ9IlRyZWJ1Y2hldCBNUyIgc2l6ZT0iOSI+MTc5PC9zdHlsZT48L0Rpc3BsYXlU
ZXh0PjxyZWNvcmQ+PHJlYy1udW1iZXI+MTYyNzwvcmVjLW51bWJlcj48Zm9yZWlnbi1rZXlzPjxr
ZXkgYXBwPSJFTiIgZGItaWQ9ImV4dmFzcmZ4MmR0cmFvZXNhc3hwMnN6c3hhMmRmNTAyNTkyeCIg
dGltZXN0YW1wPSIxNTc2NzM0MzE2Ij4xNjI3PC9rZXk+PGtleSBhcHA9IkVOV2ViIiBkYi1pZD0i
Ij4wPC9rZXk+PC9mb3JlaWduLWtleXM+PHJlZi10eXBlIG5hbWU9IkpvdXJuYWwgQXJ0aWNsZSI+
MTc8L3JlZi10eXBlPjxjb250cmlidXRvcnM+PGF1dGhvcnM+PGF1dGhvcj5Hb29uZXdhcmRlbmUs
IEkuIE0uIFIuPC9hdXRob3I+PGF1dGhvcj5TZW5hZGhlZXJhLCBELiBJLjwvYXV0aG9yPjwvYXV0
aG9ycz48L2NvbnRyaWJ1dG9ycz48YXV0aC1hZGRyZXNzPkFjYWRlbWljIE9ic3RldHJpY3MgYW5k
IEd5bmFlY29sb2d5IFVuaXQsIFRlYWNoaW5nIEhvc3BpdGFsLCBHYWxsZSwgU3JpIExhbmthLjwv
YXV0aC1hZGRyZXNzPjx0aXRsZXM+PHRpdGxlPlJhbmRvbWl6ZWQgY29udHJvbCB0cmlhbCBjb21w
YXJpbmcgZWZmZWN0aXZlbmVzcyBvZiB3ZWVrbHkgdmVyc3VzIGRhaWx5IGFudGVuYXRhbCBvcmFs
IGlyb24gc3VwcGxlbWVudGF0aW9uIGluIHByZXZlbnRpbmcgYW5lbWlhIGR1cmluZyBwcmVnbmFu
Y3k8L3RpdGxlPjxzZWNvbmRhcnktdGl0bGU+SiBPYnN0ZXQgR3luYWVjb2wgUmVzPC9zZWNvbmRh
cnktdGl0bGU+PC90aXRsZXM+PHBlcmlvZGljYWw+PGZ1bGwtdGl0bGU+SiBPYnN0ZXQgR3luYWVj
b2wgUmVzPC9mdWxsLXRpdGxlPjwvcGVyaW9kaWNhbD48cGFnZXM+NDE3LTQyNDwvcGFnZXM+PHZv
bHVtZT40NDwvdm9sdW1lPjxudW1iZXI+MzwvbnVtYmVyPjxlZGl0aW9uPjIwMTcvMTIvMjM8L2Vk
aXRpb24+PGtleXdvcmRzPjxrZXl3b3JkPkFkdWx0PC9rZXl3b3JkPjxrZXl3b3JkPkFuZW1pYS8q
cHJldmVudGlvbiAmYW1wOyBjb250cm9sPC9rZXl3b3JkPjxrZXl3b3JkPkFuZW1pYSwgSXJvbi1E
ZWZpY2llbmN5L3ByZXZlbnRpb24gJmFtcDsgY29udHJvbDwva2V5d29yZD48a2V5d29yZD4qRGll
dGFyeSBTdXBwbGVtZW50czwva2V5d29yZD48a2V5d29yZD5GZW1hbGU8L2tleXdvcmQ+PGtleXdv
cmQ+Rm9saWMgQWNpZC9hZG1pbmlzdHJhdGlvbiAmYW1wOyBkb3NhZ2UvKnBoYXJtYWNvbG9neTwv
a2V5d29yZD48a2V5d29yZD5IdW1hbnM8L2tleXdvcmQ+PGtleXdvcmQ+SXJvbi9hZG1pbmlzdHJh
dGlvbiAmYW1wOyBkb3NhZ2UvKnBoYXJtYWNvbG9neTwva2V5d29yZD48a2V5d29yZD4qT3V0Y29t
ZSBBc3Nlc3NtZW50LCBIZWFsdGggQ2FyZTwva2V5d29yZD48a2V5d29yZD5QcmVnbmFuY3k8L2tl
eXdvcmQ+PGtleXdvcmQ+UHJlZ25hbmN5IENvbXBsaWNhdGlvbnMsIEhlbWF0b2xvZ2ljLypwcmV2
ZW50aW9uICZhbXA7IGNvbnRyb2w8L2tleXdvcmQ+PGtleXdvcmQ+U3JpIExhbmthPC9rZXl3b3Jk
PjxrZXl3b3JkPmFudGVuYXRhbCBvcmFsIGlyb24gYW5kIGZvbGF0ZTwva2V5d29yZD48a2V5d29y
ZD5pbnRlcm1pdHRlbnQ8L2tleXdvcmQ+PGtleXdvcmQ+bm9uLWFuZW1pYyBwcmVnbmFudCB3b21l
bjwva2V5d29yZD48a2V5d29yZD53ZWVrbHkgdmVyc3VzIGRhaWx5PC9rZXl3b3JkPjwva2V5d29y
ZHM+PGRhdGVzPjx5ZWFyPjIwMTg8L3llYXI+PHB1Yi1kYXRlcz48ZGF0ZT5NYXI8L2RhdGU+PC9w
dWItZGF0ZXM+PC9kYXRlcz48aXNibj4xNDQ3LTA3NTYgKEVsZWN0cm9uaWMpJiN4RDsxMzQxLTgw
NzYgKExpbmtpbmcpPC9pc2JuPjxhY2Nlc3Npb24tbnVtPjI5MjcxMDIyPC9hY2Nlc3Npb24tbnVt
Pjx1cmxzPjxyZWxhdGVkLXVybHM+PHVybD5odHRwczovL3d3dy5uY2JpLm5sbS5uaWguZ292L3B1
Ym1lZC8yOTI3MTAyMjwvdXJsPjwvcmVsYXRlZC11cmxzPjwvdXJscz48ZWxlY3Ryb25pYy1yZXNv
dXJjZS1udW0+MTAuMTExMS9qb2cuMTM1NDY8L2VsZWN0cm9uaWMtcmVzb3VyY2UtbnVtPjwvcmVj
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179</w:t>
      </w:r>
      <w:r>
        <w:fldChar w:fldCharType="end"/>
      </w:r>
    </w:p>
    <w:p w14:paraId="0FD0B09E" w14:textId="1ADA3F2F" w:rsidR="000F2CD5" w:rsidRDefault="000F2CD5" w:rsidP="00D20B62">
      <w:pPr>
        <w:pStyle w:val="bullet"/>
      </w:pPr>
      <w:r>
        <w:t>no clear difference in glucose-intolerance related outcomes (</w:t>
      </w:r>
      <w:r w:rsidRPr="00A912D4">
        <w:rPr>
          <w:sz w:val="16"/>
          <w:szCs w:val="16"/>
        </w:rPr>
        <w:t>p=0.12</w:t>
      </w:r>
      <w:r>
        <w:t xml:space="preserve">), large-for-gestational </w:t>
      </w:r>
      <w:r w:rsidR="00E45B56">
        <w:t>age (p=0.95) or macrosomia (p=0.60) between selective and routine supplementation (</w:t>
      </w:r>
      <w:r w:rsidR="00E45B56" w:rsidRPr="00A912D4">
        <w:rPr>
          <w:sz w:val="16"/>
          <w:szCs w:val="16"/>
        </w:rPr>
        <w:t>n=2,694</w:t>
      </w:r>
      <w:r w:rsidR="00E45B56">
        <w:t>)</w:t>
      </w:r>
      <w:r w:rsidR="00E45B56">
        <w:fldChar w:fldCharType="begin">
          <w:fldData xml:space="preserve">PEVuZE5vdGU+PENpdGU+PEF1dGhvcj5LaW5udW5lbjwvQXV0aG9yPjxZZWFyPjIwMTY8L1llYXI+
PFJlY051bT4xNjMxPC9SZWNOdW0+PERpc3BsYXlUZXh0PjxzdHlsZSBmYWNlPSJzdXBlcnNjcmlw
dCIgZm9udD0iVHJlYnVjaGV0IE1TIiBzaXplPSI5Ij4xODE8L3N0eWxlPjwvRGlzcGxheVRleHQ+
PHJlY29yZD48cmVjLW51bWJlcj4xNjMxPC9yZWMtbnVtYmVyPjxmb3JlaWduLWtleXM+PGtleSBh
cHA9IkVOIiBkYi1pZD0iZXh2YXNyZngyZHRyYW9lc2FzeHAyc3pzeGEyZGY1MDI1OTJ4IiB0aW1l
c3RhbXA9IjE1NzY3MzQzMzEiPjE2MzE8L2tleT48a2V5IGFwcD0iRU5XZWIiIGRiLWlkPSIiPjA8
L2tleT48L2ZvcmVpZ24ta2V5cz48cmVmLXR5cGUgbmFtZT0iSm91cm5hbCBBcnRpY2xlIj4xNzwv
cmVmLXR5cGU+PGNvbnRyaWJ1dG9ycz48YXV0aG9ycz48YXV0aG9yPktpbm51bmVuLCBULiBJLjwv
YXV0aG9yPjxhdXRob3I+THVvdG8sIFIuPC9hdXRob3I+PGF1dGhvcj5IZWxpbiwgQS48L2F1dGhv
cj48YXV0aG9yPkhlbW1pbmtpLCBFLjwvYXV0aG9yPjwvYXV0aG9ycz48L2NvbnRyaWJ1dG9ycz48
YXV0aC1hZGRyZXNzPlNjaG9vbCBvZiBIZWFsdGggU2NpZW5jZXMsIFVuaXZlcnNpdHkgb2YgVGFt
cGVyZSwgVGFtcGVyZSwgRmlubGFuZC4mI3hEO1RoZSBVS0sgSW5zdGl0dXRlIGZvciBIZWFsdGgg
UHJvbW90aW9uIFJlc2VhcmNoLCBUYW1wZXJlLCBGaW5sYW5kLiYjeEQ7RGVwYXJ0bWVudCBvZiBD
aGlsZHJlbiwgWW91bmcgUGVvcGxlIGFuZCBGYW1pbGllcywgVGhlIE5hdGlvbmFsIEluc3RpdHV0
ZSBmb3IgSGVhbHRoIGFuZCBXZWxmYXJlLCBIZWxzaW5raSwgRmlubGFuZC4mI3hEO1NlcnZpY2Ug
U3lzdGVtIERlcGFydG1lbnQsIFRoZSBOYXRpb25hbCBJbnN0aXR1dGUgZm9yIEhlYWx0aCBhbmQg
V2VsZmFyZSwgSGVsc2lua2ksIEZpbmxhbmQuPC9hdXRoLWFkZHJlc3M+PHRpdGxlcz48dGl0bGU+
U3VwcGxlbWVudGFsIGlyb24gaW50YWtlIGFuZCB0aGUgcmlzayBvZiBnbHVjb3NlIGludG9sZXJh
bmNlIGluIHByZWduYW5jeTogcmUtYW5hbHlzaXMgb2YgYSByYW5kb21pc2VkIGNvbnRyb2xsZWQg
dHJpYWwgaW4gRmlubGFuZDwvdGl0bGU+PHNlY29uZGFyeS10aXRsZT5NYXRlcm4gQ2hpbGQgTnV0
cjwvc2Vjb25kYXJ5LXRpdGxlPjwvdGl0bGVzPjxwZXJpb2RpY2FsPjxmdWxsLXRpdGxlPk1hdGVy
biBDaGlsZCBOdXRyPC9mdWxsLXRpdGxlPjwvcGVyaW9kaWNhbD48cGFnZXM+NzQtODQ8L3BhZ2Vz
Pjx2b2x1bWU+MTI8L3ZvbHVtZT48bnVtYmVyPjE8L251bWJlcj48ZWRpdGlvbj4yMDE0LzA3LzA2
PC9lZGl0aW9uPjxrZXl3b3Jkcz48a2V5d29yZD5BZHVsdDwva2V5d29yZD48a2V5d29yZD5BbmVt
aWEsIElyb24tRGVmaWNpZW5jeS8qZGlldCB0aGVyYXB5PC9rZXl3b3JkPjxrZXl3b3JkPkJpcnRo
IFdlaWdodDwva2V5d29yZD48a2V5d29yZD5EaWFiZXRlcywgR2VzdGF0aW9uYWwvZXBpZGVtaW9s
b2d5LypldGlvbG9neS9waHlzaW9wYXRob2xvZ3k8L2tleXdvcmQ+PGtleXdvcmQ+RGlldGFyeSBT
dXBwbGVtZW50cy8qYWR2ZXJzZSBlZmZlY3RzPC9rZXl3b3JkPjxrZXl3b3JkPkZlbWFsZTwva2V5
d29yZD48a2V5d29yZD5GZXRhbCBNYWNyb3NvbWlhL2VwaWRlbWlvbG9neS9ldGlvbG9neTwva2V5
d29yZD48a2V5d29yZD5GaW5sYW5kL2VwaWRlbWlvbG9neTwva2V5d29yZD48a2V5d29yZD5Gb2xs
b3ctVXAgU3R1ZGllczwva2V5d29yZD48a2V5d29yZD5HbHVjb3NlIEludG9sZXJhbmNlL2VwaWRl
bWlvbG9neS9ldGlvbG9neS9waHlzaW9wYXRob2xvZ3k8L2tleXdvcmQ+PGtleXdvcmQ+SHVtYW5z
PC9rZXl3b3JkPjxrZXl3b3JkPkluY2lkZW5jZTwva2V5d29yZD48a2V5d29yZD5JbmZhbnQsIE5l
d2Jvcm48L2tleXdvcmQ+PGtleXdvcmQ+SXJvbiwgRGlldGFyeS8qYWR2ZXJzZSBlZmZlY3RzL3Ro
ZXJhcGV1dGljIHVzZTwva2V5d29yZD48a2V5d29yZD5NYWxlPC9rZXl3b3JkPjxrZXl3b3JkPipN
YXRlcm5hbCBOdXRyaXRpb25hbCBQaHlzaW9sb2dpY2FsIFBoZW5vbWVuYTwva2V5d29yZD48a2V5
d29yZD5QcmVnbmFuY3k8L2tleXdvcmQ+PGtleXdvcmQ+UmlzayBGYWN0b3JzPC9rZXl3b3JkPjxr
ZXl3b3JkPldlaWdodCBHYWluPC9rZXl3b3JkPjxrZXl3b3JkPllvdW5nIEFkdWx0PC9rZXl3b3Jk
PjxrZXl3b3JkPmdlc3RhdGlvbmFsIGRpYWJldGVzPC9rZXl3b3JkPjxrZXl3b3JkPmdsdWNvc2Ug
aW50b2xlcmFuY2U8L2tleXdvcmQ+PGtleXdvcmQ+aXJvbiBzdXBwbGVtZW50YXRpb248L2tleXdv
cmQ+PGtleXdvcmQ+cmFuZG9taXNlZCBjb250cm9sbGVkIHRyaWFsPC9rZXl3b3JkPjwva2V5d29y
ZHM+PGRhdGVzPjx5ZWFyPjIwMTY8L3llYXI+PHB1Yi1kYXRlcz48ZGF0ZT5KYW48L2RhdGU+PC9w
dWItZGF0ZXM+PC9kYXRlcz48aXNibj4xNzQwLTg3MDkgKEVsZWN0cm9uaWMpJiN4RDsxNzQwLTg2
OTUgKExpbmtpbmcpPC9pc2JuPjxhY2Nlc3Npb24tbnVtPjI0OTk1NzAwPC9hY2Nlc3Npb24tbnVt
Pjx1cmxzPjxyZWxhdGVkLXVybHM+PHVybD5odHRwczovL3d3dy5uY2JpLm5sbS5uaWguZ292L3B1
Ym1lZC8yNDk5NTcwMDwvdXJsPjwvcmVsYXRlZC11cmxzPjwvdXJscz48ZWxlY3Ryb25pYy1yZXNv
dXJjZS1udW0+MTAuMTExMS9tY24uMTIxMzk8L2VsZWN0cm9uaWMtcmVzb3VyY2UtbnVtPjwvcmVj
b3JkPjwvQ2l0ZT48L0VuZE5vdGU+
</w:fldData>
        </w:fldChar>
      </w:r>
      <w:r w:rsidR="002747EA">
        <w:instrText xml:space="preserve"> ADDIN EN.CITE </w:instrText>
      </w:r>
      <w:r w:rsidR="002747EA">
        <w:fldChar w:fldCharType="begin">
          <w:fldData xml:space="preserve">PEVuZE5vdGU+PENpdGU+PEF1dGhvcj5LaW5udW5lbjwvQXV0aG9yPjxZZWFyPjIwMTY8L1llYXI+
PFJlY051bT4xNjMxPC9SZWNOdW0+PERpc3BsYXlUZXh0PjxzdHlsZSBmYWNlPSJzdXBlcnNjcmlw
dCIgZm9udD0iVHJlYnVjaGV0IE1TIiBzaXplPSI5Ij4xODE8L3N0eWxlPjwvRGlzcGxheVRleHQ+
PHJlY29yZD48cmVjLW51bWJlcj4xNjMxPC9yZWMtbnVtYmVyPjxmb3JlaWduLWtleXM+PGtleSBh
cHA9IkVOIiBkYi1pZD0iZXh2YXNyZngyZHRyYW9lc2FzeHAyc3pzeGEyZGY1MDI1OTJ4IiB0aW1l
c3RhbXA9IjE1NzY3MzQzMzEiPjE2MzE8L2tleT48a2V5IGFwcD0iRU5XZWIiIGRiLWlkPSIiPjA8
L2tleT48L2ZvcmVpZ24ta2V5cz48cmVmLXR5cGUgbmFtZT0iSm91cm5hbCBBcnRpY2xlIj4xNzwv
cmVmLXR5cGU+PGNvbnRyaWJ1dG9ycz48YXV0aG9ycz48YXV0aG9yPktpbm51bmVuLCBULiBJLjwv
YXV0aG9yPjxhdXRob3I+THVvdG8sIFIuPC9hdXRob3I+PGF1dGhvcj5IZWxpbiwgQS48L2F1dGhv
cj48YXV0aG9yPkhlbW1pbmtpLCBFLjwvYXV0aG9yPjwvYXV0aG9ycz48L2NvbnRyaWJ1dG9ycz48
YXV0aC1hZGRyZXNzPlNjaG9vbCBvZiBIZWFsdGggU2NpZW5jZXMsIFVuaXZlcnNpdHkgb2YgVGFt
cGVyZSwgVGFtcGVyZSwgRmlubGFuZC4mI3hEO1RoZSBVS0sgSW5zdGl0dXRlIGZvciBIZWFsdGgg
UHJvbW90aW9uIFJlc2VhcmNoLCBUYW1wZXJlLCBGaW5sYW5kLiYjeEQ7RGVwYXJ0bWVudCBvZiBD
aGlsZHJlbiwgWW91bmcgUGVvcGxlIGFuZCBGYW1pbGllcywgVGhlIE5hdGlvbmFsIEluc3RpdHV0
ZSBmb3IgSGVhbHRoIGFuZCBXZWxmYXJlLCBIZWxzaW5raSwgRmlubGFuZC4mI3hEO1NlcnZpY2Ug
U3lzdGVtIERlcGFydG1lbnQsIFRoZSBOYXRpb25hbCBJbnN0aXR1dGUgZm9yIEhlYWx0aCBhbmQg
V2VsZmFyZSwgSGVsc2lua2ksIEZpbmxhbmQuPC9hdXRoLWFkZHJlc3M+PHRpdGxlcz48dGl0bGU+
U3VwcGxlbWVudGFsIGlyb24gaW50YWtlIGFuZCB0aGUgcmlzayBvZiBnbHVjb3NlIGludG9sZXJh
bmNlIGluIHByZWduYW5jeTogcmUtYW5hbHlzaXMgb2YgYSByYW5kb21pc2VkIGNvbnRyb2xsZWQg
dHJpYWwgaW4gRmlubGFuZDwvdGl0bGU+PHNlY29uZGFyeS10aXRsZT5NYXRlcm4gQ2hpbGQgTnV0
cjwvc2Vjb25kYXJ5LXRpdGxlPjwvdGl0bGVzPjxwZXJpb2RpY2FsPjxmdWxsLXRpdGxlPk1hdGVy
biBDaGlsZCBOdXRyPC9mdWxsLXRpdGxlPjwvcGVyaW9kaWNhbD48cGFnZXM+NzQtODQ8L3BhZ2Vz
Pjx2b2x1bWU+MTI8L3ZvbHVtZT48bnVtYmVyPjE8L251bWJlcj48ZWRpdGlvbj4yMDE0LzA3LzA2
PC9lZGl0aW9uPjxrZXl3b3Jkcz48a2V5d29yZD5BZHVsdDwva2V5d29yZD48a2V5d29yZD5BbmVt
aWEsIElyb24tRGVmaWNpZW5jeS8qZGlldCB0aGVyYXB5PC9rZXl3b3JkPjxrZXl3b3JkPkJpcnRo
IFdlaWdodDwva2V5d29yZD48a2V5d29yZD5EaWFiZXRlcywgR2VzdGF0aW9uYWwvZXBpZGVtaW9s
b2d5LypldGlvbG9neS9waHlzaW9wYXRob2xvZ3k8L2tleXdvcmQ+PGtleXdvcmQ+RGlldGFyeSBT
dXBwbGVtZW50cy8qYWR2ZXJzZSBlZmZlY3RzPC9rZXl3b3JkPjxrZXl3b3JkPkZlbWFsZTwva2V5
d29yZD48a2V5d29yZD5GZXRhbCBNYWNyb3NvbWlhL2VwaWRlbWlvbG9neS9ldGlvbG9neTwva2V5
d29yZD48a2V5d29yZD5GaW5sYW5kL2VwaWRlbWlvbG9neTwva2V5d29yZD48a2V5d29yZD5Gb2xs
b3ctVXAgU3R1ZGllczwva2V5d29yZD48a2V5d29yZD5HbHVjb3NlIEludG9sZXJhbmNlL2VwaWRl
bWlvbG9neS9ldGlvbG9neS9waHlzaW9wYXRob2xvZ3k8L2tleXdvcmQ+PGtleXdvcmQ+SHVtYW5z
PC9rZXl3b3JkPjxrZXl3b3JkPkluY2lkZW5jZTwva2V5d29yZD48a2V5d29yZD5JbmZhbnQsIE5l
d2Jvcm48L2tleXdvcmQ+PGtleXdvcmQ+SXJvbiwgRGlldGFyeS8qYWR2ZXJzZSBlZmZlY3RzL3Ro
ZXJhcGV1dGljIHVzZTwva2V5d29yZD48a2V5d29yZD5NYWxlPC9rZXl3b3JkPjxrZXl3b3JkPipN
YXRlcm5hbCBOdXRyaXRpb25hbCBQaHlzaW9sb2dpY2FsIFBoZW5vbWVuYTwva2V5d29yZD48a2V5
d29yZD5QcmVnbmFuY3k8L2tleXdvcmQ+PGtleXdvcmQ+UmlzayBGYWN0b3JzPC9rZXl3b3JkPjxr
ZXl3b3JkPldlaWdodCBHYWluPC9rZXl3b3JkPjxrZXl3b3JkPllvdW5nIEFkdWx0PC9rZXl3b3Jk
PjxrZXl3b3JkPmdlc3RhdGlvbmFsIGRpYWJldGVzPC9rZXl3b3JkPjxrZXl3b3JkPmdsdWNvc2Ug
aW50b2xlcmFuY2U8L2tleXdvcmQ+PGtleXdvcmQ+aXJvbiBzdXBwbGVtZW50YXRpb248L2tleXdv
cmQ+PGtleXdvcmQ+cmFuZG9taXNlZCBjb250cm9sbGVkIHRyaWFsPC9rZXl3b3JkPjwva2V5d29y
ZHM+PGRhdGVzPjx5ZWFyPjIwMTY8L3llYXI+PHB1Yi1kYXRlcz48ZGF0ZT5KYW48L2RhdGU+PC9w
dWItZGF0ZXM+PC9kYXRlcz48aXNibj4xNzQwLTg3MDkgKEVsZWN0cm9uaWMpJiN4RDsxNzQwLTg2
OTUgKExpbmtpbmcpPC9pc2JuPjxhY2Nlc3Npb24tbnVtPjI0OTk1NzAwPC9hY2Nlc3Npb24tbnVt
Pjx1cmxzPjxyZWxhdGVkLXVybHM+PHVybD5odHRwczovL3d3dy5uY2JpLm5sbS5uaWguZ292L3B1
Ym1lZC8yNDk5NTcwMDwvdXJsPjwvcmVsYXRlZC11cmxzPjwvdXJscz48ZWxlY3Ryb25pYy1yZXNv
dXJjZS1udW0+MTAuMTExMS9tY24uMTIxMzk8L2VsZWN0cm9uaWMtcmVzb3VyY2UtbnVtPjwvcmVj
b3JkPjwvQ2l0ZT48L0VuZE5vdGU+
</w:fldData>
        </w:fldChar>
      </w:r>
      <w:r w:rsidR="002747EA">
        <w:instrText xml:space="preserve"> ADDIN EN.CITE.DATA </w:instrText>
      </w:r>
      <w:r w:rsidR="002747EA">
        <w:fldChar w:fldCharType="end"/>
      </w:r>
      <w:r w:rsidR="00E45B56">
        <w:fldChar w:fldCharType="separate"/>
      </w:r>
      <w:r w:rsidR="002747EA" w:rsidRPr="002747EA">
        <w:rPr>
          <w:noProof/>
          <w:vertAlign w:val="superscript"/>
        </w:rPr>
        <w:t>181</w:t>
      </w:r>
      <w:r w:rsidR="00E45B56">
        <w:fldChar w:fldCharType="end"/>
      </w:r>
    </w:p>
    <w:p w14:paraId="5ED9F0A3" w14:textId="0A0CD26B" w:rsidR="00E45B56" w:rsidRPr="00193995" w:rsidRDefault="00E45B56" w:rsidP="00B269AA">
      <w:pPr>
        <w:pStyle w:val="bullet"/>
      </w:pPr>
      <w:r>
        <w:t xml:space="preserve">higher </w:t>
      </w:r>
      <w:r w:rsidR="000F2CD5">
        <w:t xml:space="preserve">haemoglobin and ferritin levels with liposomal iron than </w:t>
      </w:r>
      <w:r>
        <w:t xml:space="preserve">with </w:t>
      </w:r>
      <w:r w:rsidR="000F2CD5">
        <w:t>ferrous iron (</w:t>
      </w:r>
      <w:r w:rsidR="000F2CD5" w:rsidRPr="00A912D4">
        <w:rPr>
          <w:sz w:val="16"/>
          <w:szCs w:val="16"/>
        </w:rPr>
        <w:t>n=60</w:t>
      </w:r>
      <w:r w:rsidR="000F2CD5">
        <w:t>)</w:t>
      </w:r>
      <w:r w:rsidR="00B269AA">
        <w:t>.</w:t>
      </w:r>
      <w:r w:rsidR="000F2CD5">
        <w:fldChar w:fldCharType="begin">
          <w:fldData xml:space="preserve">PEVuZE5vdGU+PENpdGU+PEF1dGhvcj5QYXJpc2k8L0F1dGhvcj48WWVhcj4yMDE3PC9ZZWFyPjxS
ZWNOdW0+MTYzNTwvUmVjTnVtPjxEaXNwbGF5VGV4dD48c3R5bGUgZmFjZT0ic3VwZXJzY3JpcHQi
IGZvbnQ9IlRyZWJ1Y2hldCBNUyIgc2l6ZT0iOSI+MTgyPC9zdHlsZT48L0Rpc3BsYXlUZXh0Pjxy
ZWNvcmQ+PHJlYy1udW1iZXI+MTYzNTwvcmVjLW51bWJlcj48Zm9yZWlnbi1rZXlzPjxrZXkgYXBw
PSJFTiIgZGItaWQ9ImV4dmFzcmZ4MmR0cmFvZXNhc3hwMnN6c3hhMmRmNTAyNTkyeCIgdGltZXN0
YW1wPSIxNTc2NzM0MzU4Ij4xNjM1PC9rZXk+PGtleSBhcHA9IkVOV2ViIiBkYi1pZD0iIj4wPC9r
ZXk+PC9mb3JlaWduLWtleXM+PHJlZi10eXBlIG5hbWU9IkpvdXJuYWwgQXJ0aWNsZSI+MTc8L3Jl
Zi10eXBlPjxjb250cmlidXRvcnM+PGF1dGhvcnM+PGF1dGhvcj5QYXJpc2ksIEYuPC9hdXRob3I+
PGF1dGhvcj5CZXJ0aSwgQy48L2F1dGhvcj48YXV0aG9yPk1hbmRvLCBDLjwvYXV0aG9yPjxhdXRo
b3I+TWFydGluZWxsaSwgQS48L2F1dGhvcj48YXV0aG9yPk1henphbGksIEMuPC9hdXRob3I+PGF1
dGhvcj5DZXRpbiwgSS48L2F1dGhvcj48L2F1dGhvcnM+PC9jb250cmlidXRvcnM+PGF1dGgtYWRk
cmVzcz5hIFVuaXQgb2YgT2JzdGV0cmljcyBhbmQgR3luZWNvbG9neSwgRGVwYXJ0bWVudCBvZiBC
aW9tZWRpY2FsIGFuZCBDbGluaWNhbCBTY2llbmNlcywgQ2VudGVyIGZvciBGZXRhbCBSZXNlYXJj
aCBHaW9yZ2lvIFBhcmRpLCBIb3NwaXRhbCBMdWlnaSBTYWNjbywgVW5pdmVyc2l0YSBkZWdsaSBT
dHVkaSBkaSBNaWxhbm8gLCBNaWxhbiAsIEl0YWx5IGFuZC4mI3hEO2IgVW5pdCBvZiBTdGF0aXN0
aWNzIGFuZCBCaW9tZXRyaWNzLCBEZXBhcnRtZW50IG9mIEJpb21lZGljYWwgYW5kIENsaW5pY2Fs
IFNjaWVuY2VzLCBIb3NwaXRhbCBMdWlnaSBTYWNjbywgVW5pdmVyc2l0YSBkZWdsaSBTdHVkaSBk
aSBNaWxhbm8gLCBNaWxhbiAsIEl0YWx5LjwvYXV0aC1hZGRyZXNzPjx0aXRsZXM+PHRpdGxlPkVm
ZmVjdHMgb2YgZGlmZmVyZW50IHJlZ2ltZW5zIG9mIGlyb24gcHJvcGh5bGF4aXMgb24gbWF0ZXJu
YWwgaXJvbiBzdGF0dXMgYW5kIHByZWduYW5jeSBvdXRjb21lOiBhIHJhbmRvbWl6ZWQgY29udHJv
bCB0cmlhbDwvdGl0bGU+PHNlY29uZGFyeS10aXRsZT5KIE1hdGVybiBGZXRhbCBOZW9uYXRhbCBN
ZWQ8L3NlY29uZGFyeS10aXRsZT48L3RpdGxlcz48cGVyaW9kaWNhbD48ZnVsbC10aXRsZT5KIE1h
dGVybiBGZXRhbCBOZW9uYXRhbCBNZWQ8L2Z1bGwtdGl0bGU+PC9wZXJpb2RpY2FsPjxwYWdlcz4x
Nzg3LTE3OTI8L3BhZ2VzPjx2b2x1bWU+MzA8L3ZvbHVtZT48bnVtYmVyPjE1PC9udW1iZXI+PGVk
aXRpb24+MjAxNi8wOS8wMzwvZWRpdGlvbj48a2V5d29yZHM+PGtleXdvcmQ+QWRvbGVzY2VudDwv
a2V5d29yZD48a2V5d29yZD5BZHVsdDwva2V5d29yZD48a2V5d29yZD5BbmVtaWEsIElyb24tRGVm
aWNpZW5jeS9ibG9vZC8qcHJldmVudGlvbiAmYW1wOyBjb250cm9sPC9rZXl3b3JkPjxrZXl3b3Jk
PkJpcnRoIFdlaWdodDwva2V5d29yZD48a2V5d29yZD5EaWV0YXJ5IFN1cHBsZW1lbnRzPC9rZXl3
b3JkPjxrZXl3b3JkPkZlbWFsZTwva2V5d29yZD48a2V5d29yZD5GZXJyaXRpbnMvYmxvb2Q8L2tl
eXdvcmQ+PGtleXdvcmQ+R2VzdGF0aW9uYWwgQWdlPC9rZXl3b3JkPjxrZXl3b3JkPkhlbW9nbG9i
aW5zL2FuYWx5c2lzPC9rZXl3b3JkPjxrZXl3b3JkPkh1bWFuczwva2V5d29yZD48a2V5d29yZD5J
cm9uLyphZG1pbmlzdHJhdGlvbiAmYW1wOyBkb3NhZ2U8L2tleXdvcmQ+PGtleXdvcmQ+TWlkZGxl
IEFnZWQ8L2tleXdvcmQ+PGtleXdvcmQ+Kk51dHJpdGlvbmFsIFN0YXR1czwva2V5d29yZD48a2V5
d29yZD5QcmVnbmFuY3k8L2tleXdvcmQ+PGtleXdvcmQ+UHJlZ25hbmN5IENvbXBsaWNhdGlvbnMs
IEhlbWF0b2xvZ2ljL2Jsb29kLypwcmV2ZW50aW9uICZhbXA7IGNvbnRyb2w8L2tleXdvcmQ+PGtl
eXdvcmQ+KlByZWduYW5jeSBPdXRjb21lPC9rZXl3b3JkPjxrZXl3b3JkPkFuZW1pYTwva2V5d29y
ZD48a2V5d29yZD5pcm9uIGRlZmljaWVuY3kgYW5lbWlhPC9rZXl3b3JkPjxrZXl3b3JkPmlyb24g
c3VwcGxlbWVudGF0aW9uPC9rZXl3b3JkPjxrZXl3b3JkPmxpcG9zb21hbCBpcm9uPC9rZXl3b3Jk
Pjwva2V5d29yZHM+PGRhdGVzPjx5ZWFyPjIwMTc8L3llYXI+PHB1Yi1kYXRlcz48ZGF0ZT5BdWc8
L2RhdGU+PC9wdWItZGF0ZXM+PC9kYXRlcz48aXNibj4xNDc2LTQ5NTQgKEVsZWN0cm9uaWMpJiN4
RDsxNDc2LTQ5NTQgKExpbmtpbmcpPC9pc2JuPjxhY2Nlc3Npb24tbnVtPjI3NTg4NTY4PC9hY2Nl
c3Npb24tbnVtPjx1cmxzPjxyZWxhdGVkLXVybHM+PHVybD5odHRwczovL3d3dy5uY2JpLm5sbS5u
aWguZ292L3B1Ym1lZC8yNzU4ODU2ODwvdXJsPjwvcmVsYXRlZC11cmxzPjwvdXJscz48ZWxlY3Ry
b25pYy1yZXNvdXJjZS1udW0+MTAuMTA4MC8xNDc2NzA1OC4yMDE2LjEyMjQ4NDE8L2VsZWN0cm9u
aWMtcmVzb3VyY2UtbnVtPjwvcmVjb3JkPjwvQ2l0ZT48L0VuZE5vdGU+
</w:fldData>
        </w:fldChar>
      </w:r>
      <w:r w:rsidR="002747EA">
        <w:instrText xml:space="preserve"> ADDIN EN.CITE </w:instrText>
      </w:r>
      <w:r w:rsidR="002747EA">
        <w:fldChar w:fldCharType="begin">
          <w:fldData xml:space="preserve">PEVuZE5vdGU+PENpdGU+PEF1dGhvcj5QYXJpc2k8L0F1dGhvcj48WWVhcj4yMDE3PC9ZZWFyPjxS
ZWNOdW0+MTYzNTwvUmVjTnVtPjxEaXNwbGF5VGV4dD48c3R5bGUgZmFjZT0ic3VwZXJzY3JpcHQi
IGZvbnQ9IlRyZWJ1Y2hldCBNUyIgc2l6ZT0iOSI+MTgyPC9zdHlsZT48L0Rpc3BsYXlUZXh0Pjxy
ZWNvcmQ+PHJlYy1udW1iZXI+MTYzNTwvcmVjLW51bWJlcj48Zm9yZWlnbi1rZXlzPjxrZXkgYXBw
PSJFTiIgZGItaWQ9ImV4dmFzcmZ4MmR0cmFvZXNhc3hwMnN6c3hhMmRmNTAyNTkyeCIgdGltZXN0
YW1wPSIxNTc2NzM0MzU4Ij4xNjM1PC9rZXk+PGtleSBhcHA9IkVOV2ViIiBkYi1pZD0iIj4wPC9r
ZXk+PC9mb3JlaWduLWtleXM+PHJlZi10eXBlIG5hbWU9IkpvdXJuYWwgQXJ0aWNsZSI+MTc8L3Jl
Zi10eXBlPjxjb250cmlidXRvcnM+PGF1dGhvcnM+PGF1dGhvcj5QYXJpc2ksIEYuPC9hdXRob3I+
PGF1dGhvcj5CZXJ0aSwgQy48L2F1dGhvcj48YXV0aG9yPk1hbmRvLCBDLjwvYXV0aG9yPjxhdXRo
b3I+TWFydGluZWxsaSwgQS48L2F1dGhvcj48YXV0aG9yPk1henphbGksIEMuPC9hdXRob3I+PGF1
dGhvcj5DZXRpbiwgSS48L2F1dGhvcj48L2F1dGhvcnM+PC9jb250cmlidXRvcnM+PGF1dGgtYWRk
cmVzcz5hIFVuaXQgb2YgT2JzdGV0cmljcyBhbmQgR3luZWNvbG9neSwgRGVwYXJ0bWVudCBvZiBC
aW9tZWRpY2FsIGFuZCBDbGluaWNhbCBTY2llbmNlcywgQ2VudGVyIGZvciBGZXRhbCBSZXNlYXJj
aCBHaW9yZ2lvIFBhcmRpLCBIb3NwaXRhbCBMdWlnaSBTYWNjbywgVW5pdmVyc2l0YSBkZWdsaSBT
dHVkaSBkaSBNaWxhbm8gLCBNaWxhbiAsIEl0YWx5IGFuZC4mI3hEO2IgVW5pdCBvZiBTdGF0aXN0
aWNzIGFuZCBCaW9tZXRyaWNzLCBEZXBhcnRtZW50IG9mIEJpb21lZGljYWwgYW5kIENsaW5pY2Fs
IFNjaWVuY2VzLCBIb3NwaXRhbCBMdWlnaSBTYWNjbywgVW5pdmVyc2l0YSBkZWdsaSBTdHVkaSBk
aSBNaWxhbm8gLCBNaWxhbiAsIEl0YWx5LjwvYXV0aC1hZGRyZXNzPjx0aXRsZXM+PHRpdGxlPkVm
ZmVjdHMgb2YgZGlmZmVyZW50IHJlZ2ltZW5zIG9mIGlyb24gcHJvcGh5bGF4aXMgb24gbWF0ZXJu
YWwgaXJvbiBzdGF0dXMgYW5kIHByZWduYW5jeSBvdXRjb21lOiBhIHJhbmRvbWl6ZWQgY29udHJv
bCB0cmlhbDwvdGl0bGU+PHNlY29uZGFyeS10aXRsZT5KIE1hdGVybiBGZXRhbCBOZW9uYXRhbCBN
ZWQ8L3NlY29uZGFyeS10aXRsZT48L3RpdGxlcz48cGVyaW9kaWNhbD48ZnVsbC10aXRsZT5KIE1h
dGVybiBGZXRhbCBOZW9uYXRhbCBNZWQ8L2Z1bGwtdGl0bGU+PC9wZXJpb2RpY2FsPjxwYWdlcz4x
Nzg3LTE3OTI8L3BhZ2VzPjx2b2x1bWU+MzA8L3ZvbHVtZT48bnVtYmVyPjE1PC9udW1iZXI+PGVk
aXRpb24+MjAxNi8wOS8wMzwvZWRpdGlvbj48a2V5d29yZHM+PGtleXdvcmQ+QWRvbGVzY2VudDwv
a2V5d29yZD48a2V5d29yZD5BZHVsdDwva2V5d29yZD48a2V5d29yZD5BbmVtaWEsIElyb24tRGVm
aWNpZW5jeS9ibG9vZC8qcHJldmVudGlvbiAmYW1wOyBjb250cm9sPC9rZXl3b3JkPjxrZXl3b3Jk
PkJpcnRoIFdlaWdodDwva2V5d29yZD48a2V5d29yZD5EaWV0YXJ5IFN1cHBsZW1lbnRzPC9rZXl3
b3JkPjxrZXl3b3JkPkZlbWFsZTwva2V5d29yZD48a2V5d29yZD5GZXJyaXRpbnMvYmxvb2Q8L2tl
eXdvcmQ+PGtleXdvcmQ+R2VzdGF0aW9uYWwgQWdlPC9rZXl3b3JkPjxrZXl3b3JkPkhlbW9nbG9i
aW5zL2FuYWx5c2lzPC9rZXl3b3JkPjxrZXl3b3JkPkh1bWFuczwva2V5d29yZD48a2V5d29yZD5J
cm9uLyphZG1pbmlzdHJhdGlvbiAmYW1wOyBkb3NhZ2U8L2tleXdvcmQ+PGtleXdvcmQ+TWlkZGxl
IEFnZWQ8L2tleXdvcmQ+PGtleXdvcmQ+Kk51dHJpdGlvbmFsIFN0YXR1czwva2V5d29yZD48a2V5
d29yZD5QcmVnbmFuY3k8L2tleXdvcmQ+PGtleXdvcmQ+UHJlZ25hbmN5IENvbXBsaWNhdGlvbnMs
IEhlbWF0b2xvZ2ljL2Jsb29kLypwcmV2ZW50aW9uICZhbXA7IGNvbnRyb2w8L2tleXdvcmQ+PGtl
eXdvcmQ+KlByZWduYW5jeSBPdXRjb21lPC9rZXl3b3JkPjxrZXl3b3JkPkFuZW1pYTwva2V5d29y
ZD48a2V5d29yZD5pcm9uIGRlZmljaWVuY3kgYW5lbWlhPC9rZXl3b3JkPjxrZXl3b3JkPmlyb24g
c3VwcGxlbWVudGF0aW9uPC9rZXl3b3JkPjxrZXl3b3JkPmxpcG9zb21hbCBpcm9uPC9rZXl3b3Jk
Pjwva2V5d29yZHM+PGRhdGVzPjx5ZWFyPjIwMTc8L3llYXI+PHB1Yi1kYXRlcz48ZGF0ZT5BdWc8
L2RhdGU+PC9wdWItZGF0ZXM+PC9kYXRlcz48aXNibj4xNDc2LTQ5NTQgKEVsZWN0cm9uaWMpJiN4
RDsxNDc2LTQ5NTQgKExpbmtpbmcpPC9pc2JuPjxhY2Nlc3Npb24tbnVtPjI3NTg4NTY4PC9hY2Nl
c3Npb24tbnVtPjx1cmxzPjxyZWxhdGVkLXVybHM+PHVybD5odHRwczovL3d3dy5uY2JpLm5sbS5u
aWguZ292L3B1Ym1lZC8yNzU4ODU2ODwvdXJsPjwvcmVsYXRlZC11cmxzPjwvdXJscz48ZWxlY3Ry
b25pYy1yZXNvdXJjZS1udW0+MTAuMTA4MC8xNDc2NzA1OC4yMDE2LjEyMjQ4NDE8L2VsZWN0cm9u
aWMtcmVzb3VyY2UtbnVtPjwvcmVjb3JkPjwvQ2l0ZT48L0VuZE5vdGU+
</w:fldData>
        </w:fldChar>
      </w:r>
      <w:r w:rsidR="002747EA">
        <w:instrText xml:space="preserve"> ADDIN EN.CITE.DATA </w:instrText>
      </w:r>
      <w:r w:rsidR="002747EA">
        <w:fldChar w:fldCharType="end"/>
      </w:r>
      <w:r w:rsidR="000F2CD5">
        <w:fldChar w:fldCharType="separate"/>
      </w:r>
      <w:r w:rsidR="002747EA" w:rsidRPr="002747EA">
        <w:rPr>
          <w:noProof/>
          <w:vertAlign w:val="superscript"/>
        </w:rPr>
        <w:t>182</w:t>
      </w:r>
      <w:r w:rsidR="000F2CD5">
        <w:fldChar w:fldCharType="end"/>
      </w:r>
    </w:p>
    <w:p w14:paraId="0E9C98BC" w14:textId="55824B70" w:rsidR="00677230" w:rsidRDefault="00677230" w:rsidP="00677230">
      <w:pPr>
        <w:pStyle w:val="Heading4"/>
      </w:pPr>
      <w:r>
        <w:t>Calcium</w:t>
      </w:r>
      <w:r w:rsidR="00BA549B">
        <w:t xml:space="preserve"> supplementation</w:t>
      </w:r>
    </w:p>
    <w:p w14:paraId="22FDD0DF" w14:textId="60F00EC7" w:rsidR="00CF417D" w:rsidRDefault="00CF417D" w:rsidP="00CF417D">
      <w:pPr>
        <w:pStyle w:val="Heading5"/>
      </w:pPr>
      <w:r>
        <w:t>Background</w:t>
      </w:r>
    </w:p>
    <w:p w14:paraId="35F41E2E" w14:textId="040519C1" w:rsidR="002F7C6A" w:rsidRDefault="002F7C6A" w:rsidP="002F7C6A">
      <w:r>
        <w:t>A survey of pregnant women conducted in Sydney found that 12.9% were taking a calcium 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7E42BA3F" w14:textId="67A7CA6F" w:rsidR="00CF417D" w:rsidRDefault="00CF417D" w:rsidP="00CF417D">
      <w:pPr>
        <w:rPr>
          <w:lang w:val="en-AU"/>
        </w:rPr>
      </w:pPr>
      <w:r>
        <w:t xml:space="preserve">The Guidelines currently comment </w:t>
      </w:r>
      <w:r w:rsidR="008F446E">
        <w:t xml:space="preserve">in the nutrition section </w:t>
      </w:r>
      <w:r>
        <w:t>that, w</w:t>
      </w:r>
      <w:r w:rsidRPr="00CC52F7">
        <w:rPr>
          <w:lang w:val="en-AU"/>
        </w:rPr>
        <w:t>hile calcium supplements are useful in decreasing pre-eclampsia risk if dietary intake is low, they do not appear to be of benefit in preventing preterm birth or low infant birth weight</w:t>
      </w:r>
      <w:r>
        <w:rPr>
          <w:lang w:val="en-AU"/>
        </w:rPr>
        <w:t>.</w:t>
      </w:r>
      <w:r w:rsidR="008F446E">
        <w:rPr>
          <w:lang w:val="en-AU"/>
        </w:rPr>
        <w:t xml:space="preserve"> The section on pre-eclampsia includes the following recommendation ‘</w:t>
      </w:r>
      <w:r w:rsidR="008F446E" w:rsidRPr="00CC52F7">
        <w:t>Advise women at high risk of developing pre-eclampsia that calcium supplementation is bene</w:t>
      </w:r>
      <w:r w:rsidR="008F446E">
        <w:t>ficial if dietary intake is low’ and a practice point ‘</w:t>
      </w:r>
      <w:r w:rsidR="008F446E" w:rsidRPr="00CC52F7">
        <w:t>If a woman has a low dietary calcium intake, advise her to increase her intake of calcium-rich foods.</w:t>
      </w:r>
      <w:r w:rsidR="008F446E">
        <w:t>’</w:t>
      </w:r>
    </w:p>
    <w:p w14:paraId="6655C2FA" w14:textId="598A7FAE" w:rsidR="00CF417D" w:rsidRDefault="00CF417D" w:rsidP="00CF417D">
      <w:pPr>
        <w:pStyle w:val="Heading5"/>
        <w:rPr>
          <w:lang w:val="en-AU"/>
        </w:rPr>
      </w:pPr>
      <w:r>
        <w:rPr>
          <w:lang w:val="en-AU"/>
        </w:rPr>
        <w:t>Current review</w:t>
      </w:r>
    </w:p>
    <w:p w14:paraId="125329A0" w14:textId="15F855D8" w:rsidR="004F206A" w:rsidRDefault="004F206A" w:rsidP="004F206A">
      <w:r>
        <w:rPr>
          <w:lang w:val="en-AU"/>
        </w:rPr>
        <w:t xml:space="preserve">This review included </w:t>
      </w:r>
      <w:r w:rsidR="00644290">
        <w:rPr>
          <w:lang w:val="en-AU"/>
        </w:rPr>
        <w:t>five systematic reviews</w:t>
      </w:r>
      <w:r w:rsidR="00E51743">
        <w:fldChar w:fldCharType="begin">
          <w:fldData xml:space="preserve">PEVuZE5vdGU+PENpdGU+PEF1dGhvcj5CdXBwYXNpcmk8L0F1dGhvcj48WWVhcj4yMDE1PC9ZZWFy
PjxSZWNOdW0+MTMxMTwvUmVjTnVtPjxEaXNwbGF5VGV4dD48c3R5bGUgZmFjZT0ic3VwZXJzY3Jp
cHQiIGZvbnQ9IlRyZWJ1Y2hldCBNUyIgc2l6ZT0iOSI+MTg1LTE4OTwvc3R5bGU+PC9EaXNwbGF5
VGV4dD48cmVjb3JkPjxyZWMtbnVtYmVyPjEzMTE8L3JlYy1udW1iZXI+PGZvcmVpZ24ta2V5cz48
a2V5IGFwcD0iRU4iIGRiLWlkPSJleHZhc3JmeDJkdHJhb2VzYXN4cDJzenN4YTJkZjUwMjU5Mngi
IHRpbWVzdGFtcD0iMTU2Njc5ODIxNyI+MTMxMTwva2V5PjxrZXkgYXBwPSJFTldlYiIgZGItaWQ9
IiI+MDwva2V5PjwvZm9yZWlnbi1rZXlzPjxyZWYtdHlwZSBuYW1lPSJKb3VybmFsIEFydGljbGUi
PjE3PC9yZWYtdHlwZT48Y29udHJpYnV0b3JzPjxhdXRob3JzPjxhdXRob3I+QnVwcGFzaXJpLCBQ
LjwvYXV0aG9yPjxhdXRob3I+THVtYmlnYW5vbiwgUC48L2F1dGhvcj48YXV0aG9yPlRoaW5raGFt
cm9wLCBKLjwvYXV0aG9yPjxhdXRob3I+TmdhbWphcnVzLCBDLjwvYXV0aG9yPjxhdXRob3I+TGFv
cGFpYm9vbiwgTS48L2F1dGhvcj48YXV0aG9yPk1lZGxleSwgTi48L2F1dGhvcj48L2F1dGhvcnM+
PC9jb250cmlidXRvcnM+PGF1dGgtYWRkcmVzcz5EZXBhcnRtZW50IG9mIE9ic3RldHJpY3MgYW5k
IEd5bmFlY29sb2d5LCBGYWN1bHR5IG9mIE1lZGljaW5lLCBLaG9uIEthZW4gVW5pdmVyc2l0eSwg
RmFjdWx0eSBvZiBNZWRpY2luZSwgS2hvbiBLYWVuLCBLaG9uIEthZW4sIFRoYWlsYW5kLCA0MDAw
Mi48L2F1dGgtYWRkcmVzcz48dGl0bGVzPjx0aXRsZT5DYWxjaXVtIHN1cHBsZW1lbnRhdGlvbiAo
b3RoZXIgdGhhbiBmb3IgcHJldmVudGluZyBvciB0cmVhdGluZyBoeXBlcnRlbnNpb24pIGZvciBp
bXByb3ZpbmcgcHJlZ25hbmN5IGFuZCBpbmZhbnQgb3V0Y29tZXM8L3RpdGxlPjxzZWNvbmRhcnkt
dGl0bGU+Q29jaHJhbmUgRGF0YWJhc2UgU3lzdCBSZXY8L3NlY29uZGFyeS10aXRsZT48L3RpdGxl
cz48cGVyaW9kaWNhbD48ZnVsbC10aXRsZT5Db2NocmFuZSBEYXRhYmFzZSBTeXN0IFJldjwvZnVs
bC10aXRsZT48L3BlcmlvZGljYWw+PHBhZ2VzPkNEMDA3MDc5PC9wYWdlcz48bnVtYmVyPjI8L251
bWJlcj48ZWRpdGlvbj4yMDE1LzA0LzMwPC9lZGl0aW9uPjxrZXl3b3Jkcz48a2V5d29yZD5CaXJ0
aCBXZWlnaHQ8L2tleXdvcmQ+PGtleXdvcmQ+Q2FsY2l1bSwgRGlldGFyeS8qYWRtaW5pc3RyYXRp
b24gJmFtcDsgZG9zYWdlL2FkdmVyc2UgZWZmZWN0czwva2V5d29yZD48a2V5d29yZD4qRGlldGFy
eSBTdXBwbGVtZW50cy9hZHZlcnNlIGVmZmVjdHM8L2tleXdvcmQ+PGtleXdvcmQ+RmVtYWxlPC9r
ZXl3b3JkPjxrZXl3b3JkPkh1bWFuczwva2V5d29yZD48a2V5d29yZD4qSW5mYW50LCBMb3cgQmly
dGggV2VpZ2h0PC9rZXl3b3JkPjxrZXl3b3JkPkluZmFudCwgTmV3Ym9ybjwva2V5d29yZD48a2V5
d29yZD5QcmUtRWNsYW1wc2lhL3ByZXZlbnRpb24gJmFtcDsgY29udHJvbDwva2V5d29yZD48a2V5
d29yZD5QcmVnbmFuY3k8L2tleXdvcmQ+PGtleXdvcmQ+KlByZWduYW5jeSBPdXRjb21lPC9rZXl3
b3JkPjxrZXl3b3JkPlByZW1hdHVyZSBCaXJ0aC8qcHJldmVudGlvbiAmYW1wOyBjb250cm9sPC9r
ZXl3b3JkPjxrZXl3b3JkPipQcmVuYXRhbCBOdXRyaXRpb25hbCBQaHlzaW9sb2dpY2FsIFBoZW5v
bWVuYTwva2V5d29yZD48a2V5d29yZD5SYW5kb21pemVkIENvbnRyb2xsZWQgVHJpYWxzIGFzIFRv
cGljPC9rZXl3b3JkPjxrZXl3b3JkPlNlbnNpdGl2aXR5IGFuZCBTcGVjaWZpY2l0eTwva2V5d29y
ZD48L2tleXdvcmRzPjxkYXRlcz48eWVhcj4yMDE1PC95ZWFyPjxwdWItZGF0ZXM+PGRhdGU+RmVi
IDI1PC9kYXRlPjwvcHViLWRhdGVzPjwvZGF0ZXM+PGlzYm4+MTQ2OS00OTNYIChFbGVjdHJvbmlj
KSYjeEQ7MTM2MS02MTM3IChMaW5raW5nKTwvaXNibj48YWNjZXNzaW9uLW51bT4yNTkyMjg2Mjwv
YWNjZXNzaW9uLW51bT48dXJscz48cmVsYXRlZC11cmxzPjx1cmw+aHR0cHM6Ly93d3cubmNiaS5u
bG0ubmloLmdvdi9wdWJtZWQvMjU5MjI4NjI8L3VybD48L3JlbGF0ZWQtdXJscz48L3VybHM+PGVs
ZWN0cm9uaWMtcmVzb3VyY2UtbnVtPjEwLjEwMDIvMTQ2NTE4NTguQ0QwMDcwNzkucHViMzwvZWxl
Y3Ryb25pYy1yZXNvdXJjZS1udW0+PC9yZWNvcmQ+PC9DaXRlPjxDaXRlPjxBdXRob3I+SG9mbWV5
cjwvQXV0aG9yPjxZZWFyPjIwMTg8L1llYXI+PFJlY051bT4xMzE2PC9SZWNOdW0+PHJlY29yZD48
cmVjLW51bWJlcj4xMzE2PC9yZWMtbnVtYmVyPjxmb3JlaWduLWtleXM+PGtleSBhcHA9IkVOIiBk
Yi1pZD0iZXh2YXNyZngyZHRyYW9lc2FzeHAyc3pzeGEyZGY1MDI1OTJ4IiB0aW1lc3RhbXA9IjE1
NjY3OTgyNDMiPjEzMTY8L2tleT48a2V5IGFwcD0iRU5XZWIiIGRiLWlkPSIiPjA8L2tleT48L2Zv
cmVpZ24ta2V5cz48cmVmLXR5cGUgbmFtZT0iSm91cm5hbCBBcnRpY2xlIj4xNzwvcmVmLXR5cGU+
PGNvbnRyaWJ1dG9ycz48YXV0aG9ycz48YXV0aG9yPkhvZm1leXIsIEcuIEp1c3R1czwvYXV0aG9y
PjxhdXRob3I+TGF3cmllLCBUaGVyZXNhIEEuPC9hdXRob3I+PGF1dGhvcj5BdGFsbGFoLCDDgWx2
YXJvIE4uPC9hdXRob3I+PGF1dGhvcj5Ub3Jsb25pLCBNYXJpYSBSZWdpbmE8L2F1dGhvcj48L2F1
dGhvcnM+PC9jb250cmlidXRvcnM+PHRpdGxlcz48dGl0bGU+Q2FsY2l1bSBzdXBwbGVtZW50YXRp
b24gZHVyaW5nIHByZWduYW5jeSBmb3IgcHJldmVudGluZyBoeXBlcnRlbnNpdmUgZGlzb3JkZXJz
IGFuZCByZWxhdGVkIHByb2JsZW1zPC90aXRsZT48c2Vjb25kYXJ5LXRpdGxlPkNvY2hyYW5lIERh
dGFiYXNlIG9mIFN5c3RlbWF0aWMgUmV2aWV3czwvc2Vjb25kYXJ5LXRpdGxlPjwvdGl0bGVzPjxw
ZXJpb2RpY2FsPjxmdWxsLXRpdGxlPkNvY2hyYW5lIERhdGFiYXNlIG9mIFN5c3RlbWF0aWMgUmV2
aWV3czwvZnVsbC10aXRsZT48L3BlcmlvZGljYWw+PGRhdGVzPjx5ZWFyPjIwMTg8L3llYXI+PC9k
YXRlcz48aXNibj4xNDY1MTg1ODwvaXNibj48dXJscz48L3VybHM+PGVsZWN0cm9uaWMtcmVzb3Vy
Y2UtbnVtPjEwLjEwMDIvMTQ2NTE4NTguQ0QwMDEwNTkucHViNTwvZWxlY3Ryb25pYy1yZXNvdXJj
ZS1udW0+PC9yZWNvcmQ+PC9DaXRlPjxDaXRlPjxBdXRob3I+SG9mbWV5cjwvQXV0aG9yPjxZZWFy
PjIwMTQ8L1llYXI+PFJlY051bT4xMzE4PC9SZWNOdW0+PHJlY29yZD48cmVjLW51bWJlcj4xMzE4
PC9yZWMtbnVtYmVyPjxmb3JlaWduLWtleXM+PGtleSBhcHA9IkVOIiBkYi1pZD0iZXh2YXNyZngy
ZHRyYW9lc2FzeHAyc3pzeGEyZGY1MDI1OTJ4IiB0aW1lc3RhbXA9IjE1NjY3OTgyNTUiPjEzMTg8
L2tleT48a2V5IGFwcD0iRU5XZWIiIGRiLWlkPSIiPjA8L2tleT48L2ZvcmVpZ24ta2V5cz48cmVm
LXR5cGUgbmFtZT0iSm91cm5hbCBBcnRpY2xlIj4xNzwvcmVmLXR5cGU+PGNvbnRyaWJ1dG9ycz48
YXV0aG9ycz48YXV0aG9yPkhvZm1leXIsIEcuIEouPC9hdXRob3I+PGF1dGhvcj5CZWxpemFuLCBK
LiBNLjwvYXV0aG9yPjxhdXRob3I+dm9uIERhZGVsc3plbiwgUC48L2F1dGhvcj48YXV0aG9yPkNh
bGNpdW0sPC9hdXRob3I+PGF1dGhvcj5QcmUtZWNsYW1wc2lhIFN0dWR5LCBHcm91cDwvYXV0aG9y
PjwvYXV0aG9ycz48L2NvbnRyaWJ1dG9ycz48YXV0aC1hZGRyZXNzPkVmZmVjdGl2ZSBDYXJlIFJl
c2VhcmNoIFVuaXQsIEVhc3QgTG9uZG9uIEhvc3BpdGFsIENvbXBsZXgvVW5pdmVyc2l0eSBvZiB0
aGUgV2l0d2F0ZXJzcmFuZC9Vbml2ZXJzaXR5IG9mIEZvcnQgSGFyZSwgRWFzdCBMb25kb24sIEVh
c3Rlcm4gQ2FwZSwgU291dGggQWZyaWNhLjwvYXV0aC1hZGRyZXNzPjx0aXRsZXM+PHRpdGxlPkxv
dy1kb3NlIGNhbGNpdW0gc3VwcGxlbWVudGF0aW9uIGZvciBwcmV2ZW50aW5nIHByZS1lY2xhbXBz
aWE6IGEgc3lzdGVtYXRpYyByZXZpZXcgYW5kIGNvbW1lbnRhcnk8L3RpdGxlPjxzZWNvbmRhcnkt
dGl0bGU+QkpPRzwvc2Vjb25kYXJ5LXRpdGxlPjwvdGl0bGVzPjxwZXJpb2RpY2FsPjxmdWxsLXRp
dGxlPkJKT0c8L2Z1bGwtdGl0bGU+PC9wZXJpb2RpY2FsPjxwYWdlcz45NTEtNzwvcGFnZXM+PHZv
bHVtZT4xMjE8L3ZvbHVtZT48bnVtYmVyPjg8L251bWJlcj48ZWRpdGlvbj4yMDE0LzAzLzE0PC9l
ZGl0aW9uPjxrZXl3b3Jkcz48a2V5d29yZD5DYWxjaXVtLCBEaWV0YXJ5LyphZG1pbmlzdHJhdGlv
biAmYW1wOyBkb3NhZ2UvYWR2ZXJzZSBlZmZlY3RzPC9rZXl3b3JkPjxrZXl3b3JkPipEaWV0YXJ5
IFN1cHBsZW1lbnRzL2FkdmVyc2UgZWZmZWN0czwva2V5d29yZD48a2V5d29yZD5GZW1hbGU8L2tl
eXdvcmQ+PGtleXdvcmQ+SHVtYW5zPC9rZXl3b3JkPjxrZXl3b3JkPkh5cGVydGVuc2lvbi8qcHJl
dmVudGlvbiAmYW1wOyBjb250cm9sPC9rZXl3b3JkPjxrZXl3b3JkPlByZS1FY2xhbXBzaWEvKnBy
ZXZlbnRpb24gJmFtcDsgY29udHJvbDwva2V5d29yZD48a2V5d29yZD5QcmVnbmFuY3k8L2tleXdv
cmQ+PGtleXdvcmQ+UHJlZ25hbmN5IENvbXBsaWNhdGlvbnMsIENhcmRpb3Zhc2N1bGFyLypwcmV2
ZW50aW9uICZhbXA7IGNvbnRyb2w8L2tleXdvcmQ+PGtleXdvcmQ+UmFuZG9taXplZCBDb250cm9s
bGVkIFRyaWFscyBhcyBUb3BpYzwva2V5d29yZD48a2V5d29yZD5UcmVhdG1lbnQgT3V0Y29tZTwv
a2V5d29yZD48a2V5d29yZD5DYWxjaXVtIHJlcGxhY2VtZW50PC9rZXl3b3JkPjxrZXl3b3JkPmNh
bGNpdW0gc3VwcGxlbWVudDwva2V5d29yZD48a2V5d29yZD5lY2xhbXBzaWE8L2tleXdvcmQ+PGtl
eXdvcmQ+bG93LWRvc2UgY2FsY2l1bTwva2V5d29yZD48a2V5d29yZD5wcmUtZWNsYW1wc2lhPC9r
ZXl3b3JkPjwva2V5d29yZHM+PGRhdGVzPjx5ZWFyPjIwMTQ8L3llYXI+PHB1Yi1kYXRlcz48ZGF0
ZT5KdWw8L2RhdGU+PC9wdWItZGF0ZXM+PC9kYXRlcz48aXNibj4xNDcxLTA1MjggKEVsZWN0cm9u
aWMpJiN4RDsxNDcwLTAzMjggKExpbmtpbmcpPC9pc2JuPjxhY2Nlc3Npb24tbnVtPjI0NjIxMTQx
PC9hY2Nlc3Npb24tbnVtPjx1cmxzPjxyZWxhdGVkLXVybHM+PHVybD5odHRwczovL3d3dy5uY2Jp
Lm5sbS5uaWguZ292L3B1Ym1lZC8yNDYyMTE0MTwvdXJsPjwvcmVsYXRlZC11cmxzPjwvdXJscz48
Y3VzdG9tMj5QTUM0MjgyMDU1PC9jdXN0b20yPjxlbGVjdHJvbmljLXJlc291cmNlLW51bT4xMC4x
MTExLzE0NzEtMDUyOC4xMjYxMzwvZWxlY3Ryb25pYy1yZXNvdXJjZS1udW0+PC9yZWNvcmQ+PC9D
aXRlPjxDaXRlPjxBdXRob3I+S2hhaW5nPC9BdXRob3I+PFllYXI+MjAxNzwvWWVhcj48UmVjTnVt
PjEzMjA8L1JlY051bT48cmVjb3JkPjxyZWMtbnVtYmVyPjEzMjA8L3JlYy1udW1iZXI+PGZvcmVp
Z24ta2V5cz48a2V5IGFwcD0iRU4iIGRiLWlkPSJleHZhc3JmeDJkdHJhb2VzYXN4cDJzenN4YTJk
ZjUwMjU5MngiIHRpbWVzdGFtcD0iMTU2Njc5ODI2MyI+MTMyMDwva2V5PjxrZXkgYXBwPSJFTldl
YiIgZGItaWQ9IiI+MDwva2V5PjwvZm9yZWlnbi1rZXlzPjxyZWYtdHlwZSBuYW1lPSJKb3VybmFs
IEFydGljbGUiPjE3PC9yZWYtdHlwZT48Y29udHJpYnV0b3JzPjxhdXRob3JzPjxhdXRob3I+S2hh
aW5nLCBXLjwvYXV0aG9yPjxhdXRob3I+VmFsbGliaGFrYXJhLCBTLiBBLjwvYXV0aG9yPjxhdXRo
b3I+VGFudHJha3VsLCBWLjwvYXV0aG9yPjxhdXRob3I+VmFsbGliaGFrYXJhLCBPLjwvYXV0aG9y
PjxhdXRob3I+UmF0dGFuYXNpcmksIFMuPC9hdXRob3I+PGF1dGhvcj5NY0V2b3ksIE0uPC9hdXRo
b3I+PGF1dGhvcj5BdHRpYSwgSi48L2F1dGhvcj48YXV0aG9yPlRoYWtraW5zdGlhbiwgQS48L2F1
dGhvcj48L2F1dGhvcnM+PC9jb250cmlidXRvcnM+PGF1dGgtYWRkcmVzcz5TZWN0aW9uIGZvciBD
bGluaWNhbCBFcGlkZW1pb2xvZ3kgYW5kIEJpb3N0YXRpc3RpY3MsIEZhY3VsdHkgb2YgTWVkaWNp
bmUsIFJhbWF0aGlib2RpIEhvc3BpdGFsLCBNYWhpZG9sIFVuaXZlcnNpdHksIDI3MCBSQU1BIFZJ
IFJvYWQsIFJhY2hhdGhldmksIEJhbmdrb2sgMTA0MDAsIFRoYWlsYW5kLiBkci53aW5raGFpbmdA
Z21haWwuY29tLiYjeEQ7RGVwYXJ0bWVudCBvZiBQcmV2ZW50aXZlIGFuZCBTb2NpYWwgTWVkaWNp
bmUsIFVuaXZlcnNpdHkgb2YgTWVkaWNpbmUsIE1hbmRhbGF5IDEwMDEwMiwgTXlhbm1hci4gZHIu
d2lua2hhaW5nQGdtYWlsLmNvbS4mI3hEO1NlY3Rpb24gZm9yIENsaW5pY2FsIEVwaWRlbWlvbG9n
eSBhbmQgQmlvc3RhdGlzdGljcywgRmFjdWx0eSBvZiBNZWRpY2luZSwgUmFtYXRoaWJvZGkgSG9z
cGl0YWwsIE1haGlkb2wgVW5pdmVyc2l0eSwgMjcwIFJBTUEgVkkgUm9hZCwgUmFjaGF0aGV2aSwg
QmFuZ2tvayAxMDQwMCwgVGhhaWxhbmQuIGRyLnNha2RhQGdtYWlsLmNvbS4mI3hEO1NsZWVwIERp
c29yZGVyIENlbnRlciwgRGl2aXNpb24gb2YgUHVsbW9uYXJ5IGFuZCBDcml0aWNhbCBDYXJlLCBG
YWN1bHR5IG9mIE1lZGljaW5lLCBSYW1hdGhpYm9kaSBIb3NwaXRhbCwgTWFoaWRvbCBVbml2ZXJz
aXR5LCBCYW5na29rIDEwNDAwLCBUaGFpbGFuZC4gdnRhbnRyYWt1bEBnbWFpbC5jb20uJiN4RDtE
ZXBhcnRtZW50IG9mIE9ic3RldHJpY3MgYW5kIEd5bmVjb2xvZ3ksIEZhY3VsdHkgb2YgTWVkaWNp
bmUsIFJhbWF0aGlib2RpIEhvc3BpdGFsLCBNYWhpZG9sIFVuaXZlcnNpdHksIEJhbmdrb2sgMTA0
MDAsIFRoYWlsYW5kLiBvcmF3aW5yYTM4QGdtYWlsLmNvbS4mI3hEO1NlY3Rpb24gZm9yIENsaW5p
Y2FsIEVwaWRlbWlvbG9neSBhbmQgQmlvc3RhdGlzdGljcywgRmFjdWx0eSBvZiBNZWRpY2luZSwg
UmFtYXRoaWJvZGkgSG9zcGl0YWwsIE1haGlkb2wgVW5pdmVyc2l0eSwgMjcwIFJBTUEgVkkgUm9h
ZCwgUmFjaGF0aGV2aSwgQmFuZ2tvayAxMDQwMCwgVGhhaWxhbmQuIHNhc2l2aW1vbC5yYXRAbWFo
aWRvbC5hYy50aC4mI3hEO1NjaG9vbCBvZiBNZWRpY2luZSBhbmQgUHVibGljIEhlYWx0aCwgRmFj
dWx0eSBvZiBIZWFsdGggYW5kIE1lZGljaW5lLCBUaGUgVW5pdmVyc2l0eSBvZiBOZXdjYXN0bGUs
IENhbGxhZ2hhbiwgTlNXIDIzMDgsIEF1c3RyYWxpYS4gbWFyay5tY2V2b3lAbmV3Y2FzdGxlLmVk
dS5hdS4mI3hEO1NjaG9vbCBvZiBNZWRpY2luZSBhbmQgUHVibGljIEhlYWx0aCwgRmFjdWx0eSBv
ZiBIZWFsdGggYW5kIE1lZGljaW5lLCBUaGUgVW5pdmVyc2l0eSBvZiBOZXdjYXN0bGUsIENhbGxh
Z2hhbiwgTlNXIDIzMDgsIEF1c3RyYWxpYS4gam9obi5hdHRpYUBuZXdjYXN0bGUuZWR1LmF1LiYj
eEQ7U2VjdGlvbiBmb3IgQ2xpbmljYWwgRXBpZGVtaW9sb2d5IGFuZCBCaW9zdGF0aXN0aWNzLCBG
YWN1bHR5IG9mIE1lZGljaW5lLCBSYW1hdGhpYm9kaSBIb3NwaXRhbCwgTWFoaWRvbCBVbml2ZXJz
aXR5LCAyNzAgUkFNQSBWSSBSb2FkLCBSYWNoYXRoZXZpLCBCYW5na29rIDEwNDAwLCBUaGFpbGFu
ZC4gYW1tYXJpbi50aGFAbWFoaWRvbC5hYy50aC48L2F1dGgtYWRkcmVzcz48dGl0bGVzPjx0aXRs
ZT5DYWxjaXVtIGFuZCBWaXRhbWluIEQgU3VwcGxlbWVudGF0aW9uIGZvciBQcmV2ZW50aW9uIG9m
IFByZWVjbGFtcHNpYTogQSBTeXN0ZW1hdGljIFJldmlldyBhbmQgTmV0d29yayBNZXRhLUFuYWx5
c2lzPC90aXRsZT48c2Vjb25kYXJ5LXRpdGxlPk51dHJpZW50czwvc2Vjb25kYXJ5LXRpdGxlPjwv
dGl0bGVzPjxwZXJpb2RpY2FsPjxmdWxsLXRpdGxlPk51dHJpZW50czwvZnVsbC10aXRsZT48L3Bl
cmlvZGljYWw+PHZvbHVtZT45PC92b2x1bWU+PG51bWJlcj4xMDwvbnVtYmVyPjxlZGl0aW9uPjIw
MTcvMTAvMjQ8L2VkaXRpb24+PGtleXdvcmRzPjxrZXl3b3JkPkFkb2xlc2NlbnQ8L2tleXdvcmQ+
PGtleXdvcmQ+QWR1bHQ8L2tleXdvcmQ+PGtleXdvcmQ+Q2FsY2l1bS8qYWRtaW5pc3RyYXRpb24g
JmFtcDsgZG9zYWdlL2FkdmVyc2UgZWZmZWN0czwva2V5d29yZD48a2V5d29yZD4qRGlldGFyeSBT
dXBwbGVtZW50cy9hZHZlcnNlIGVmZmVjdHM8L2tleXdvcmQ+PGtleXdvcmQ+RmVtYWxlPC9rZXl3
b3JkPjxrZXl3b3JkPkh1bWFuczwva2V5d29yZD48a2V5d29yZD5QcmUtRWNsYW1wc2lhL2RpYWdu
b3Npcy9lcGlkZW1pb2xvZ3kvcGh5c2lvcGF0aG9sb2d5LypwcmV2ZW50aW9uICZhbXA7IGNvbnRy
b2w8L2tleXdvcmQ+PGtleXdvcmQ+UHJlZ25hbmN5PC9rZXl3b3JkPjxrZXl3b3JkPlJhbmRvbWl6
ZWQgQ29udHJvbGxlZCBUcmlhbHMgYXMgVG9waWM8L2tleXdvcmQ+PGtleXdvcmQ+UmlzayBGYWN0
b3JzPC9rZXl3b3JkPjxrZXl3b3JkPlRyZWF0bWVudCBPdXRjb21lPC9rZXl3b3JkPjxrZXl3b3Jk
PlZpdGFtaW4gRC8qYWRtaW5pc3RyYXRpb24gJmFtcDsgZG9zYWdlL2FkdmVyc2UgZWZmZWN0czwv
a2V5d29yZD48a2V5d29yZD5Zb3VuZyBBZHVsdDwva2V5d29yZD48a2V5d29yZD5jYWxjaXVtPC9r
ZXl3b3JkPjxrZXl3b3JkPmdlc3RhdGlvbmFsIGh5cGVydGVuc2lvbjwva2V5d29yZD48a2V5d29y
ZD5uZXR3b3JrIG1ldGEtYW5hbHlzaXM8L2tleXdvcmQ+PGtleXdvcmQ+cHJlZWNsYW1wc2lhPC9r
ZXl3b3JkPjxrZXl3b3JkPnByZXZlbnRpb248L2tleXdvcmQ+PGtleXdvcmQ+c3lzdGVtYXRpYyBy
ZXZpZXc8L2tleXdvcmQ+PGtleXdvcmQ+dml0YW1pbiBEPC9rZXl3b3JkPjwva2V5d29yZHM+PGRh
dGVzPjx5ZWFyPjIwMTc8L3llYXI+PHB1Yi1kYXRlcz48ZGF0ZT5PY3QgMTg8L2RhdGU+PC9wdWIt
ZGF0ZXM+PC9kYXRlcz48aXNibj4yMDcyLTY2NDMgKEVsZWN0cm9uaWMpJiN4RDsyMDcyLTY2NDMg
KExpbmtpbmcpPC9pc2JuPjxhY2Nlc3Npb24tbnVtPjI5MDU3ODQzPC9hY2Nlc3Npb24tbnVtPjx1
cmxzPjxyZWxhdGVkLXVybHM+PHVybD5odHRwczovL3d3dy5uY2JpLm5sbS5uaWguZ292L3B1Ym1l
ZC8yOTA1Nzg0MzwvdXJsPjwvcmVsYXRlZC11cmxzPjwvdXJscz48Y3VzdG9tMj5QTUM1NjkxNzU3
PC9jdXN0b20yPjxlbGVjdHJvbmljLXJlc291cmNlLW51bT4xMC4zMzkwL251OTEwMTE0MTwvZWxl
Y3Ryb25pYy1yZXNvdXJjZS1udW0+PC9yZWNvcmQ+PC9DaXRlPjxDaXRlPjxBdXRob3I+U3VuPC9B
dXRob3I+PFllYXI+MjAxOTwvWWVhcj48UmVjTnVtPjEzMjQ8L1JlY051bT48cmVjb3JkPjxyZWMt
bnVtYmVyPjEzMjQ8L3JlYy1udW1iZXI+PGZvcmVpZ24ta2V5cz48a2V5IGFwcD0iRU4iIGRiLWlk
PSJleHZhc3JmeDJkdHJhb2VzYXN4cDJzenN4YTJkZjUwMjU5MngiIHRpbWVzdGFtcD0iMTU2Njc5
ODI4MiI+MTMyNDwva2V5PjxrZXkgYXBwPSJFTldlYiIgZGItaWQ9IiI+MDwva2V5PjwvZm9yZWln
bi1rZXlzPjxyZWYtdHlwZSBuYW1lPSJKb3VybmFsIEFydGljbGUiPjE3PC9yZWYtdHlwZT48Y29u
dHJpYnV0b3JzPjxhdXRob3JzPjxhdXRob3I+U3VuLCBYLjwvYXV0aG9yPjxhdXRob3I+TGksIEgu
PC9hdXRob3I+PGF1dGhvcj5IZSwgWC48L2F1dGhvcj48YXV0aG9yPkxpLCBNLjwvYXV0aG9yPjxh
dXRob3I+WWFuLCBQLjwvYXV0aG9yPjxhdXRob3I+WHVuLCBZLjwvYXV0aG9yPjxhdXRob3I+THUs
IEMuPC9hdXRob3I+PGF1dGhvcj5ZYW5nLCBLLjwvYXV0aG9yPjxhdXRob3I+WmhhbmcsIFguPC9h
dXRob3I+PC9hdXRob3JzPjwvY29udHJpYnV0b3JzPjxhdXRoLWFkZHJlc3M+YSBEZXBhcnRtZW50
IG9mIE9ic3RldHJpY3MgYW5kIEd5bmVjb2xvZ3ksIFRoZSBGaXJzdCBDbGluaWNhbCBNZWRpY2Fs
IENvbGxlZ2UgLCBMYW56aG91IFVuaXZlcnNpdHksIEdhbnN1IFByb3ZpbmNpYWwgSG9zcGl0YWwg
LCBMYW56aG91ICwgQ2hpbmEuJiN4RDtiIFNjaG9vbCBvZiBQdWJsaWMgSGVhbHRoICwgTGFuemhv
dSBVbml2ZXJzaXR5ICwgTGFuemhvdSAsIENoaW5hLiYjeEQ7YyBFdmlkZW5jZS1iYXNlZCBTb2Np
YWwgU2NpZW5jZXMgUmVzZWFyY2ggQ2VudGVyICwgTGFuemhvdSBVbml2ZXJzaXR5ICwgTGFuemhv
dSAsIENoaW5hLiYjeEQ7ZCBFdmlkZW5jZS1iYXNlZCBNZWRpY2luZSBDZW50ZXIsIFNjaG9vbCBv
ZiBCYXNpYyBNZWRpY2FsIFNjaWVuY2VzICwgTGFuemhvdSBVbml2ZXJzaXR5ICwgTGFuemhvdSAs
IENoaW5hLiYjeEQ7ZSBJbnN0aXR1dGUgb2YgQ2xpbmljYWwgUmVzZWFyY2ggYW5kIEV2aWRlbmNl
IEJhc2VkIE1lZGljaW5lICwgR2Fuc3UgUHJvdmluY2lhbCBIb3NwaXRhbCAsIExhbnpob3UgLCBD
aGluYS4mI3hEO2YgUmVwcm9kdWN0aXZlIE1lZGljaW5lIEhvc3BpdGFsIG9mIHRoZSBGaXJzdCBI
b3NwaXRhbCBvZiBMYW56aG91IFVuaXZlcnNpdHkgLCBMYW56aG91ICwgQ2hpbmEuPC9hdXRoLWFk
ZHJlc3M+PHRpdGxlcz48dGl0bGU+VGhlIGFzc29jaWF0aW9uIGJldHdlZW4gY2FsY2l1bSBzdXBw
bGVtZW50IGFuZCBwcmVlY2xhbXBzaWEgYW5kIGdlc3RhdGlvbmFsIGh5cGVydGVuc2lvbjogYSBz
eXN0ZW1hdGljIHJldmlldyBhbmQgbWV0YS1hbmFseXNpcyBvZiByYW5kb21pemVkIHRyaWFsczwv
dGl0bGU+PHNlY29uZGFyeS10aXRsZT5IeXBlcnRlbnMgUHJlZ25hbmN5PC9zZWNvbmRhcnktdGl0
bGU+PC90aXRsZXM+PHBlcmlvZGljYWw+PGZ1bGwtdGl0bGU+SHlwZXJ0ZW5zIFByZWduYW5jeTwv
ZnVsbC10aXRsZT48L3BlcmlvZGljYWw+PHBhZ2VzPjEyOS0xMzk8L3BhZ2VzPjx2b2x1bWU+Mzg8
L3ZvbHVtZT48bnVtYmVyPjI8L251bWJlcj48ZWRpdGlvbj4yMDE5LzA0LzAzPC9lZGl0aW9uPjxr
ZXl3b3Jkcz48a2V5d29yZD5QcmVlY2xhbXBzaWE8L2tleXdvcmQ+PGtleXdvcmQ+Y2FsY2l1bSBk
b3NlPC9rZXl3b3JkPjxrZXl3b3JkPmNhbGNpdW0gc3VwcGxlbWVudDwva2V5d29yZD48a2V5d29y
ZD5tZXRhLWFuYWx5c2lzPC9rZXl3b3JkPjxrZXl3b3JkPnByZWduYW5jeS1pbmR1Y2VkLWh5cGVy
dGVuc2lvbjwva2V5d29yZD48L2tleXdvcmRzPjxkYXRlcz48eWVhcj4yMDE5PC95ZWFyPjxwdWIt
ZGF0ZXM+PGRhdGU+TWF5PC9kYXRlPjwvcHViLWRhdGVzPjwvZGF0ZXM+PGlzYm4+MTUyNS02MDY1
IChFbGVjdHJvbmljKSYjeEQ7MTA2NC0xOTU1IChMaW5raW5nKTwvaXNibj48YWNjZXNzaW9uLW51
bT4zMDkzNTI0NjwvYWNjZXNzaW9uLW51bT48dXJscz48cmVsYXRlZC11cmxzPjx1cmw+aHR0cHM6
Ly93d3cubmNiaS5ubG0ubmloLmdvdi9wdWJtZWQvMzA5MzUyNDY8L3VybD48L3JlbGF0ZWQtdXJs
cz48L3VybHM+PGVsZWN0cm9uaWMtcmVzb3VyY2UtbnVtPjEwLjEwODAvMTA2NDE5NTUuMjAxOS4x
NTkzNDQ1PC9lbGVjdHJvbmljLXJlc291cmNlLW51bT48L3JlY29yZD48L0NpdGU+PC9FbmROb3Rl
PgB=
</w:fldData>
        </w:fldChar>
      </w:r>
      <w:r w:rsidR="002747EA">
        <w:instrText xml:space="preserve"> ADDIN EN.CITE </w:instrText>
      </w:r>
      <w:r w:rsidR="002747EA">
        <w:fldChar w:fldCharType="begin">
          <w:fldData xml:space="preserve">PEVuZE5vdGU+PENpdGU+PEF1dGhvcj5CdXBwYXNpcmk8L0F1dGhvcj48WWVhcj4yMDE1PC9ZZWFy
PjxSZWNOdW0+MTMxMTwvUmVjTnVtPjxEaXNwbGF5VGV4dD48c3R5bGUgZmFjZT0ic3VwZXJzY3Jp
cHQiIGZvbnQ9IlRyZWJ1Y2hldCBNUyIgc2l6ZT0iOSI+MTg1LTE4OTwvc3R5bGU+PC9EaXNwbGF5
VGV4dD48cmVjb3JkPjxyZWMtbnVtYmVyPjEzMTE8L3JlYy1udW1iZXI+PGZvcmVpZ24ta2V5cz48
a2V5IGFwcD0iRU4iIGRiLWlkPSJleHZhc3JmeDJkdHJhb2VzYXN4cDJzenN4YTJkZjUwMjU5Mngi
IHRpbWVzdGFtcD0iMTU2Njc5ODIxNyI+MTMxMTwva2V5PjxrZXkgYXBwPSJFTldlYiIgZGItaWQ9
IiI+MDwva2V5PjwvZm9yZWlnbi1rZXlzPjxyZWYtdHlwZSBuYW1lPSJKb3VybmFsIEFydGljbGUi
PjE3PC9yZWYtdHlwZT48Y29udHJpYnV0b3JzPjxhdXRob3JzPjxhdXRob3I+QnVwcGFzaXJpLCBQ
LjwvYXV0aG9yPjxhdXRob3I+THVtYmlnYW5vbiwgUC48L2F1dGhvcj48YXV0aG9yPlRoaW5raGFt
cm9wLCBKLjwvYXV0aG9yPjxhdXRob3I+TmdhbWphcnVzLCBDLjwvYXV0aG9yPjxhdXRob3I+TGFv
cGFpYm9vbiwgTS48L2F1dGhvcj48YXV0aG9yPk1lZGxleSwgTi48L2F1dGhvcj48L2F1dGhvcnM+
PC9jb250cmlidXRvcnM+PGF1dGgtYWRkcmVzcz5EZXBhcnRtZW50IG9mIE9ic3RldHJpY3MgYW5k
IEd5bmFlY29sb2d5LCBGYWN1bHR5IG9mIE1lZGljaW5lLCBLaG9uIEthZW4gVW5pdmVyc2l0eSwg
RmFjdWx0eSBvZiBNZWRpY2luZSwgS2hvbiBLYWVuLCBLaG9uIEthZW4sIFRoYWlsYW5kLCA0MDAw
Mi48L2F1dGgtYWRkcmVzcz48dGl0bGVzPjx0aXRsZT5DYWxjaXVtIHN1cHBsZW1lbnRhdGlvbiAo
b3RoZXIgdGhhbiBmb3IgcHJldmVudGluZyBvciB0cmVhdGluZyBoeXBlcnRlbnNpb24pIGZvciBp
bXByb3ZpbmcgcHJlZ25hbmN5IGFuZCBpbmZhbnQgb3V0Y29tZXM8L3RpdGxlPjxzZWNvbmRhcnkt
dGl0bGU+Q29jaHJhbmUgRGF0YWJhc2UgU3lzdCBSZXY8L3NlY29uZGFyeS10aXRsZT48L3RpdGxl
cz48cGVyaW9kaWNhbD48ZnVsbC10aXRsZT5Db2NocmFuZSBEYXRhYmFzZSBTeXN0IFJldjwvZnVs
bC10aXRsZT48L3BlcmlvZGljYWw+PHBhZ2VzPkNEMDA3MDc5PC9wYWdlcz48bnVtYmVyPjI8L251
bWJlcj48ZWRpdGlvbj4yMDE1LzA0LzMwPC9lZGl0aW9uPjxrZXl3b3Jkcz48a2V5d29yZD5CaXJ0
aCBXZWlnaHQ8L2tleXdvcmQ+PGtleXdvcmQ+Q2FsY2l1bSwgRGlldGFyeS8qYWRtaW5pc3RyYXRp
b24gJmFtcDsgZG9zYWdlL2FkdmVyc2UgZWZmZWN0czwva2V5d29yZD48a2V5d29yZD4qRGlldGFy
eSBTdXBwbGVtZW50cy9hZHZlcnNlIGVmZmVjdHM8L2tleXdvcmQ+PGtleXdvcmQ+RmVtYWxlPC9r
ZXl3b3JkPjxrZXl3b3JkPkh1bWFuczwva2V5d29yZD48a2V5d29yZD4qSW5mYW50LCBMb3cgQmly
dGggV2VpZ2h0PC9rZXl3b3JkPjxrZXl3b3JkPkluZmFudCwgTmV3Ym9ybjwva2V5d29yZD48a2V5
d29yZD5QcmUtRWNsYW1wc2lhL3ByZXZlbnRpb24gJmFtcDsgY29udHJvbDwva2V5d29yZD48a2V5
d29yZD5QcmVnbmFuY3k8L2tleXdvcmQ+PGtleXdvcmQ+KlByZWduYW5jeSBPdXRjb21lPC9rZXl3
b3JkPjxrZXl3b3JkPlByZW1hdHVyZSBCaXJ0aC8qcHJldmVudGlvbiAmYW1wOyBjb250cm9sPC9r
ZXl3b3JkPjxrZXl3b3JkPipQcmVuYXRhbCBOdXRyaXRpb25hbCBQaHlzaW9sb2dpY2FsIFBoZW5v
bWVuYTwva2V5d29yZD48a2V5d29yZD5SYW5kb21pemVkIENvbnRyb2xsZWQgVHJpYWxzIGFzIFRv
cGljPC9rZXl3b3JkPjxrZXl3b3JkPlNlbnNpdGl2aXR5IGFuZCBTcGVjaWZpY2l0eTwva2V5d29y
ZD48L2tleXdvcmRzPjxkYXRlcz48eWVhcj4yMDE1PC95ZWFyPjxwdWItZGF0ZXM+PGRhdGU+RmVi
IDI1PC9kYXRlPjwvcHViLWRhdGVzPjwvZGF0ZXM+PGlzYm4+MTQ2OS00OTNYIChFbGVjdHJvbmlj
KSYjeEQ7MTM2MS02MTM3IChMaW5raW5nKTwvaXNibj48YWNjZXNzaW9uLW51bT4yNTkyMjg2Mjwv
YWNjZXNzaW9uLW51bT48dXJscz48cmVsYXRlZC11cmxzPjx1cmw+aHR0cHM6Ly93d3cubmNiaS5u
bG0ubmloLmdvdi9wdWJtZWQvMjU5MjI4NjI8L3VybD48L3JlbGF0ZWQtdXJscz48L3VybHM+PGVs
ZWN0cm9uaWMtcmVzb3VyY2UtbnVtPjEwLjEwMDIvMTQ2NTE4NTguQ0QwMDcwNzkucHViMzwvZWxl
Y3Ryb25pYy1yZXNvdXJjZS1udW0+PC9yZWNvcmQ+PC9DaXRlPjxDaXRlPjxBdXRob3I+SG9mbWV5
cjwvQXV0aG9yPjxZZWFyPjIwMTg8L1llYXI+PFJlY051bT4xMzE2PC9SZWNOdW0+PHJlY29yZD48
cmVjLW51bWJlcj4xMzE2PC9yZWMtbnVtYmVyPjxmb3JlaWduLWtleXM+PGtleSBhcHA9IkVOIiBk
Yi1pZD0iZXh2YXNyZngyZHRyYW9lc2FzeHAyc3pzeGEyZGY1MDI1OTJ4IiB0aW1lc3RhbXA9IjE1
NjY3OTgyNDMiPjEzMTY8L2tleT48a2V5IGFwcD0iRU5XZWIiIGRiLWlkPSIiPjA8L2tleT48L2Zv
cmVpZ24ta2V5cz48cmVmLXR5cGUgbmFtZT0iSm91cm5hbCBBcnRpY2xlIj4xNzwvcmVmLXR5cGU+
PGNvbnRyaWJ1dG9ycz48YXV0aG9ycz48YXV0aG9yPkhvZm1leXIsIEcuIEp1c3R1czwvYXV0aG9y
PjxhdXRob3I+TGF3cmllLCBUaGVyZXNhIEEuPC9hdXRob3I+PGF1dGhvcj5BdGFsbGFoLCDDgWx2
YXJvIE4uPC9hdXRob3I+PGF1dGhvcj5Ub3Jsb25pLCBNYXJpYSBSZWdpbmE8L2F1dGhvcj48L2F1
dGhvcnM+PC9jb250cmlidXRvcnM+PHRpdGxlcz48dGl0bGU+Q2FsY2l1bSBzdXBwbGVtZW50YXRp
b24gZHVyaW5nIHByZWduYW5jeSBmb3IgcHJldmVudGluZyBoeXBlcnRlbnNpdmUgZGlzb3JkZXJz
IGFuZCByZWxhdGVkIHByb2JsZW1zPC90aXRsZT48c2Vjb25kYXJ5LXRpdGxlPkNvY2hyYW5lIERh
dGFiYXNlIG9mIFN5c3RlbWF0aWMgUmV2aWV3czwvc2Vjb25kYXJ5LXRpdGxlPjwvdGl0bGVzPjxw
ZXJpb2RpY2FsPjxmdWxsLXRpdGxlPkNvY2hyYW5lIERhdGFiYXNlIG9mIFN5c3RlbWF0aWMgUmV2
aWV3czwvZnVsbC10aXRsZT48L3BlcmlvZGljYWw+PGRhdGVzPjx5ZWFyPjIwMTg8L3llYXI+PC9k
YXRlcz48aXNibj4xNDY1MTg1ODwvaXNibj48dXJscz48L3VybHM+PGVsZWN0cm9uaWMtcmVzb3Vy
Y2UtbnVtPjEwLjEwMDIvMTQ2NTE4NTguQ0QwMDEwNTkucHViNTwvZWxlY3Ryb25pYy1yZXNvdXJj
ZS1udW0+PC9yZWNvcmQ+PC9DaXRlPjxDaXRlPjxBdXRob3I+SG9mbWV5cjwvQXV0aG9yPjxZZWFy
PjIwMTQ8L1llYXI+PFJlY051bT4xMzE4PC9SZWNOdW0+PHJlY29yZD48cmVjLW51bWJlcj4xMzE4
PC9yZWMtbnVtYmVyPjxmb3JlaWduLWtleXM+PGtleSBhcHA9IkVOIiBkYi1pZD0iZXh2YXNyZngy
ZHRyYW9lc2FzeHAyc3pzeGEyZGY1MDI1OTJ4IiB0aW1lc3RhbXA9IjE1NjY3OTgyNTUiPjEzMTg8
L2tleT48a2V5IGFwcD0iRU5XZWIiIGRiLWlkPSIiPjA8L2tleT48L2ZvcmVpZ24ta2V5cz48cmVm
LXR5cGUgbmFtZT0iSm91cm5hbCBBcnRpY2xlIj4xNzwvcmVmLXR5cGU+PGNvbnRyaWJ1dG9ycz48
YXV0aG9ycz48YXV0aG9yPkhvZm1leXIsIEcuIEouPC9hdXRob3I+PGF1dGhvcj5CZWxpemFuLCBK
LiBNLjwvYXV0aG9yPjxhdXRob3I+dm9uIERhZGVsc3plbiwgUC48L2F1dGhvcj48YXV0aG9yPkNh
bGNpdW0sPC9hdXRob3I+PGF1dGhvcj5QcmUtZWNsYW1wc2lhIFN0dWR5LCBHcm91cDwvYXV0aG9y
PjwvYXV0aG9ycz48L2NvbnRyaWJ1dG9ycz48YXV0aC1hZGRyZXNzPkVmZmVjdGl2ZSBDYXJlIFJl
c2VhcmNoIFVuaXQsIEVhc3QgTG9uZG9uIEhvc3BpdGFsIENvbXBsZXgvVW5pdmVyc2l0eSBvZiB0
aGUgV2l0d2F0ZXJzcmFuZC9Vbml2ZXJzaXR5IG9mIEZvcnQgSGFyZSwgRWFzdCBMb25kb24sIEVh
c3Rlcm4gQ2FwZSwgU291dGggQWZyaWNhLjwvYXV0aC1hZGRyZXNzPjx0aXRsZXM+PHRpdGxlPkxv
dy1kb3NlIGNhbGNpdW0gc3VwcGxlbWVudGF0aW9uIGZvciBwcmV2ZW50aW5nIHByZS1lY2xhbXBz
aWE6IGEgc3lzdGVtYXRpYyByZXZpZXcgYW5kIGNvbW1lbnRhcnk8L3RpdGxlPjxzZWNvbmRhcnkt
dGl0bGU+QkpPRzwvc2Vjb25kYXJ5LXRpdGxlPjwvdGl0bGVzPjxwZXJpb2RpY2FsPjxmdWxsLXRp
dGxlPkJKT0c8L2Z1bGwtdGl0bGU+PC9wZXJpb2RpY2FsPjxwYWdlcz45NTEtNzwvcGFnZXM+PHZv
bHVtZT4xMjE8L3ZvbHVtZT48bnVtYmVyPjg8L251bWJlcj48ZWRpdGlvbj4yMDE0LzAzLzE0PC9l
ZGl0aW9uPjxrZXl3b3Jkcz48a2V5d29yZD5DYWxjaXVtLCBEaWV0YXJ5LyphZG1pbmlzdHJhdGlv
biAmYW1wOyBkb3NhZ2UvYWR2ZXJzZSBlZmZlY3RzPC9rZXl3b3JkPjxrZXl3b3JkPipEaWV0YXJ5
IFN1cHBsZW1lbnRzL2FkdmVyc2UgZWZmZWN0czwva2V5d29yZD48a2V5d29yZD5GZW1hbGU8L2tl
eXdvcmQ+PGtleXdvcmQ+SHVtYW5zPC9rZXl3b3JkPjxrZXl3b3JkPkh5cGVydGVuc2lvbi8qcHJl
dmVudGlvbiAmYW1wOyBjb250cm9sPC9rZXl3b3JkPjxrZXl3b3JkPlByZS1FY2xhbXBzaWEvKnBy
ZXZlbnRpb24gJmFtcDsgY29udHJvbDwva2V5d29yZD48a2V5d29yZD5QcmVnbmFuY3k8L2tleXdv
cmQ+PGtleXdvcmQ+UHJlZ25hbmN5IENvbXBsaWNhdGlvbnMsIENhcmRpb3Zhc2N1bGFyLypwcmV2
ZW50aW9uICZhbXA7IGNvbnRyb2w8L2tleXdvcmQ+PGtleXdvcmQ+UmFuZG9taXplZCBDb250cm9s
bGVkIFRyaWFscyBhcyBUb3BpYzwva2V5d29yZD48a2V5d29yZD5UcmVhdG1lbnQgT3V0Y29tZTwv
a2V5d29yZD48a2V5d29yZD5DYWxjaXVtIHJlcGxhY2VtZW50PC9rZXl3b3JkPjxrZXl3b3JkPmNh
bGNpdW0gc3VwcGxlbWVudDwva2V5d29yZD48a2V5d29yZD5lY2xhbXBzaWE8L2tleXdvcmQ+PGtl
eXdvcmQ+bG93LWRvc2UgY2FsY2l1bTwva2V5d29yZD48a2V5d29yZD5wcmUtZWNsYW1wc2lhPC9r
ZXl3b3JkPjwva2V5d29yZHM+PGRhdGVzPjx5ZWFyPjIwMTQ8L3llYXI+PHB1Yi1kYXRlcz48ZGF0
ZT5KdWw8L2RhdGU+PC9wdWItZGF0ZXM+PC9kYXRlcz48aXNibj4xNDcxLTA1MjggKEVsZWN0cm9u
aWMpJiN4RDsxNDcwLTAzMjggKExpbmtpbmcpPC9pc2JuPjxhY2Nlc3Npb24tbnVtPjI0NjIxMTQx
PC9hY2Nlc3Npb24tbnVtPjx1cmxzPjxyZWxhdGVkLXVybHM+PHVybD5odHRwczovL3d3dy5uY2Jp
Lm5sbS5uaWguZ292L3B1Ym1lZC8yNDYyMTE0MTwvdXJsPjwvcmVsYXRlZC11cmxzPjwvdXJscz48
Y3VzdG9tMj5QTUM0MjgyMDU1PC9jdXN0b20yPjxlbGVjdHJvbmljLXJlc291cmNlLW51bT4xMC4x
MTExLzE0NzEtMDUyOC4xMjYxMzwvZWxlY3Ryb25pYy1yZXNvdXJjZS1udW0+PC9yZWNvcmQ+PC9D
aXRlPjxDaXRlPjxBdXRob3I+S2hhaW5nPC9BdXRob3I+PFllYXI+MjAxNzwvWWVhcj48UmVjTnVt
PjEzMjA8L1JlY051bT48cmVjb3JkPjxyZWMtbnVtYmVyPjEzMjA8L3JlYy1udW1iZXI+PGZvcmVp
Z24ta2V5cz48a2V5IGFwcD0iRU4iIGRiLWlkPSJleHZhc3JmeDJkdHJhb2VzYXN4cDJzenN4YTJk
ZjUwMjU5MngiIHRpbWVzdGFtcD0iMTU2Njc5ODI2MyI+MTMyMDwva2V5PjxrZXkgYXBwPSJFTldl
YiIgZGItaWQ9IiI+MDwva2V5PjwvZm9yZWlnbi1rZXlzPjxyZWYtdHlwZSBuYW1lPSJKb3VybmFs
IEFydGljbGUiPjE3PC9yZWYtdHlwZT48Y29udHJpYnV0b3JzPjxhdXRob3JzPjxhdXRob3I+S2hh
aW5nLCBXLjwvYXV0aG9yPjxhdXRob3I+VmFsbGliaGFrYXJhLCBTLiBBLjwvYXV0aG9yPjxhdXRo
b3I+VGFudHJha3VsLCBWLjwvYXV0aG9yPjxhdXRob3I+VmFsbGliaGFrYXJhLCBPLjwvYXV0aG9y
PjxhdXRob3I+UmF0dGFuYXNpcmksIFMuPC9hdXRob3I+PGF1dGhvcj5NY0V2b3ksIE0uPC9hdXRo
b3I+PGF1dGhvcj5BdHRpYSwgSi48L2F1dGhvcj48YXV0aG9yPlRoYWtraW5zdGlhbiwgQS48L2F1
dGhvcj48L2F1dGhvcnM+PC9jb250cmlidXRvcnM+PGF1dGgtYWRkcmVzcz5TZWN0aW9uIGZvciBD
bGluaWNhbCBFcGlkZW1pb2xvZ3kgYW5kIEJpb3N0YXRpc3RpY3MsIEZhY3VsdHkgb2YgTWVkaWNp
bmUsIFJhbWF0aGlib2RpIEhvc3BpdGFsLCBNYWhpZG9sIFVuaXZlcnNpdHksIDI3MCBSQU1BIFZJ
IFJvYWQsIFJhY2hhdGhldmksIEJhbmdrb2sgMTA0MDAsIFRoYWlsYW5kLiBkci53aW5raGFpbmdA
Z21haWwuY29tLiYjeEQ7RGVwYXJ0bWVudCBvZiBQcmV2ZW50aXZlIGFuZCBTb2NpYWwgTWVkaWNp
bmUsIFVuaXZlcnNpdHkgb2YgTWVkaWNpbmUsIE1hbmRhbGF5IDEwMDEwMiwgTXlhbm1hci4gZHIu
d2lua2hhaW5nQGdtYWlsLmNvbS4mI3hEO1NlY3Rpb24gZm9yIENsaW5pY2FsIEVwaWRlbWlvbG9n
eSBhbmQgQmlvc3RhdGlzdGljcywgRmFjdWx0eSBvZiBNZWRpY2luZSwgUmFtYXRoaWJvZGkgSG9z
cGl0YWwsIE1haGlkb2wgVW5pdmVyc2l0eSwgMjcwIFJBTUEgVkkgUm9hZCwgUmFjaGF0aGV2aSwg
QmFuZ2tvayAxMDQwMCwgVGhhaWxhbmQuIGRyLnNha2RhQGdtYWlsLmNvbS4mI3hEO1NsZWVwIERp
c29yZGVyIENlbnRlciwgRGl2aXNpb24gb2YgUHVsbW9uYXJ5IGFuZCBDcml0aWNhbCBDYXJlLCBG
YWN1bHR5IG9mIE1lZGljaW5lLCBSYW1hdGhpYm9kaSBIb3NwaXRhbCwgTWFoaWRvbCBVbml2ZXJz
aXR5LCBCYW5na29rIDEwNDAwLCBUaGFpbGFuZC4gdnRhbnRyYWt1bEBnbWFpbC5jb20uJiN4RDtE
ZXBhcnRtZW50IG9mIE9ic3RldHJpY3MgYW5kIEd5bmVjb2xvZ3ksIEZhY3VsdHkgb2YgTWVkaWNp
bmUsIFJhbWF0aGlib2RpIEhvc3BpdGFsLCBNYWhpZG9sIFVuaXZlcnNpdHksIEJhbmdrb2sgMTA0
MDAsIFRoYWlsYW5kLiBvcmF3aW5yYTM4QGdtYWlsLmNvbS4mI3hEO1NlY3Rpb24gZm9yIENsaW5p
Y2FsIEVwaWRlbWlvbG9neSBhbmQgQmlvc3RhdGlzdGljcywgRmFjdWx0eSBvZiBNZWRpY2luZSwg
UmFtYXRoaWJvZGkgSG9zcGl0YWwsIE1haGlkb2wgVW5pdmVyc2l0eSwgMjcwIFJBTUEgVkkgUm9h
ZCwgUmFjaGF0aGV2aSwgQmFuZ2tvayAxMDQwMCwgVGhhaWxhbmQuIHNhc2l2aW1vbC5yYXRAbWFo
aWRvbC5hYy50aC4mI3hEO1NjaG9vbCBvZiBNZWRpY2luZSBhbmQgUHVibGljIEhlYWx0aCwgRmFj
dWx0eSBvZiBIZWFsdGggYW5kIE1lZGljaW5lLCBUaGUgVW5pdmVyc2l0eSBvZiBOZXdjYXN0bGUs
IENhbGxhZ2hhbiwgTlNXIDIzMDgsIEF1c3RyYWxpYS4gbWFyay5tY2V2b3lAbmV3Y2FzdGxlLmVk
dS5hdS4mI3hEO1NjaG9vbCBvZiBNZWRpY2luZSBhbmQgUHVibGljIEhlYWx0aCwgRmFjdWx0eSBv
ZiBIZWFsdGggYW5kIE1lZGljaW5lLCBUaGUgVW5pdmVyc2l0eSBvZiBOZXdjYXN0bGUsIENhbGxh
Z2hhbiwgTlNXIDIzMDgsIEF1c3RyYWxpYS4gam9obi5hdHRpYUBuZXdjYXN0bGUuZWR1LmF1LiYj
eEQ7U2VjdGlvbiBmb3IgQ2xpbmljYWwgRXBpZGVtaW9sb2d5IGFuZCBCaW9zdGF0aXN0aWNzLCBG
YWN1bHR5IG9mIE1lZGljaW5lLCBSYW1hdGhpYm9kaSBIb3NwaXRhbCwgTWFoaWRvbCBVbml2ZXJz
aXR5LCAyNzAgUkFNQSBWSSBSb2FkLCBSYWNoYXRoZXZpLCBCYW5na29rIDEwNDAwLCBUaGFpbGFu
ZC4gYW1tYXJpbi50aGFAbWFoaWRvbC5hYy50aC48L2F1dGgtYWRkcmVzcz48dGl0bGVzPjx0aXRs
ZT5DYWxjaXVtIGFuZCBWaXRhbWluIEQgU3VwcGxlbWVudGF0aW9uIGZvciBQcmV2ZW50aW9uIG9m
IFByZWVjbGFtcHNpYTogQSBTeXN0ZW1hdGljIFJldmlldyBhbmQgTmV0d29yayBNZXRhLUFuYWx5
c2lzPC90aXRsZT48c2Vjb25kYXJ5LXRpdGxlPk51dHJpZW50czwvc2Vjb25kYXJ5LXRpdGxlPjwv
dGl0bGVzPjxwZXJpb2RpY2FsPjxmdWxsLXRpdGxlPk51dHJpZW50czwvZnVsbC10aXRsZT48L3Bl
cmlvZGljYWw+PHZvbHVtZT45PC92b2x1bWU+PG51bWJlcj4xMDwvbnVtYmVyPjxlZGl0aW9uPjIw
MTcvMTAvMjQ8L2VkaXRpb24+PGtleXdvcmRzPjxrZXl3b3JkPkFkb2xlc2NlbnQ8L2tleXdvcmQ+
PGtleXdvcmQ+QWR1bHQ8L2tleXdvcmQ+PGtleXdvcmQ+Q2FsY2l1bS8qYWRtaW5pc3RyYXRpb24g
JmFtcDsgZG9zYWdlL2FkdmVyc2UgZWZmZWN0czwva2V5d29yZD48a2V5d29yZD4qRGlldGFyeSBT
dXBwbGVtZW50cy9hZHZlcnNlIGVmZmVjdHM8L2tleXdvcmQ+PGtleXdvcmQ+RmVtYWxlPC9rZXl3
b3JkPjxrZXl3b3JkPkh1bWFuczwva2V5d29yZD48a2V5d29yZD5QcmUtRWNsYW1wc2lhL2RpYWdu
b3Npcy9lcGlkZW1pb2xvZ3kvcGh5c2lvcGF0aG9sb2d5LypwcmV2ZW50aW9uICZhbXA7IGNvbnRy
b2w8L2tleXdvcmQ+PGtleXdvcmQ+UHJlZ25hbmN5PC9rZXl3b3JkPjxrZXl3b3JkPlJhbmRvbWl6
ZWQgQ29udHJvbGxlZCBUcmlhbHMgYXMgVG9waWM8L2tleXdvcmQ+PGtleXdvcmQ+UmlzayBGYWN0
b3JzPC9rZXl3b3JkPjxrZXl3b3JkPlRyZWF0bWVudCBPdXRjb21lPC9rZXl3b3JkPjxrZXl3b3Jk
PlZpdGFtaW4gRC8qYWRtaW5pc3RyYXRpb24gJmFtcDsgZG9zYWdlL2FkdmVyc2UgZWZmZWN0czwv
a2V5d29yZD48a2V5d29yZD5Zb3VuZyBBZHVsdDwva2V5d29yZD48a2V5d29yZD5jYWxjaXVtPC9r
ZXl3b3JkPjxrZXl3b3JkPmdlc3RhdGlvbmFsIGh5cGVydGVuc2lvbjwva2V5d29yZD48a2V5d29y
ZD5uZXR3b3JrIG1ldGEtYW5hbHlzaXM8L2tleXdvcmQ+PGtleXdvcmQ+cHJlZWNsYW1wc2lhPC9r
ZXl3b3JkPjxrZXl3b3JkPnByZXZlbnRpb248L2tleXdvcmQ+PGtleXdvcmQ+c3lzdGVtYXRpYyBy
ZXZpZXc8L2tleXdvcmQ+PGtleXdvcmQ+dml0YW1pbiBEPC9rZXl3b3JkPjwva2V5d29yZHM+PGRh
dGVzPjx5ZWFyPjIwMTc8L3llYXI+PHB1Yi1kYXRlcz48ZGF0ZT5PY3QgMTg8L2RhdGU+PC9wdWIt
ZGF0ZXM+PC9kYXRlcz48aXNibj4yMDcyLTY2NDMgKEVsZWN0cm9uaWMpJiN4RDsyMDcyLTY2NDMg
KExpbmtpbmcpPC9pc2JuPjxhY2Nlc3Npb24tbnVtPjI5MDU3ODQzPC9hY2Nlc3Npb24tbnVtPjx1
cmxzPjxyZWxhdGVkLXVybHM+PHVybD5odHRwczovL3d3dy5uY2JpLm5sbS5uaWguZ292L3B1Ym1l
ZC8yOTA1Nzg0MzwvdXJsPjwvcmVsYXRlZC11cmxzPjwvdXJscz48Y3VzdG9tMj5QTUM1NjkxNzU3
PC9jdXN0b20yPjxlbGVjdHJvbmljLXJlc291cmNlLW51bT4xMC4zMzkwL251OTEwMTE0MTwvZWxl
Y3Ryb25pYy1yZXNvdXJjZS1udW0+PC9yZWNvcmQ+PC9DaXRlPjxDaXRlPjxBdXRob3I+U3VuPC9B
dXRob3I+PFllYXI+MjAxOTwvWWVhcj48UmVjTnVtPjEzMjQ8L1JlY051bT48cmVjb3JkPjxyZWMt
bnVtYmVyPjEzMjQ8L3JlYy1udW1iZXI+PGZvcmVpZ24ta2V5cz48a2V5IGFwcD0iRU4iIGRiLWlk
PSJleHZhc3JmeDJkdHJhb2VzYXN4cDJzenN4YTJkZjUwMjU5MngiIHRpbWVzdGFtcD0iMTU2Njc5
ODI4MiI+MTMyNDwva2V5PjxrZXkgYXBwPSJFTldlYiIgZGItaWQ9IiI+MDwva2V5PjwvZm9yZWln
bi1rZXlzPjxyZWYtdHlwZSBuYW1lPSJKb3VybmFsIEFydGljbGUiPjE3PC9yZWYtdHlwZT48Y29u
dHJpYnV0b3JzPjxhdXRob3JzPjxhdXRob3I+U3VuLCBYLjwvYXV0aG9yPjxhdXRob3I+TGksIEgu
PC9hdXRob3I+PGF1dGhvcj5IZSwgWC48L2F1dGhvcj48YXV0aG9yPkxpLCBNLjwvYXV0aG9yPjxh
dXRob3I+WWFuLCBQLjwvYXV0aG9yPjxhdXRob3I+WHVuLCBZLjwvYXV0aG9yPjxhdXRob3I+THUs
IEMuPC9hdXRob3I+PGF1dGhvcj5ZYW5nLCBLLjwvYXV0aG9yPjxhdXRob3I+WmhhbmcsIFguPC9h
dXRob3I+PC9hdXRob3JzPjwvY29udHJpYnV0b3JzPjxhdXRoLWFkZHJlc3M+YSBEZXBhcnRtZW50
IG9mIE9ic3RldHJpY3MgYW5kIEd5bmVjb2xvZ3ksIFRoZSBGaXJzdCBDbGluaWNhbCBNZWRpY2Fs
IENvbGxlZ2UgLCBMYW56aG91IFVuaXZlcnNpdHksIEdhbnN1IFByb3ZpbmNpYWwgSG9zcGl0YWwg
LCBMYW56aG91ICwgQ2hpbmEuJiN4RDtiIFNjaG9vbCBvZiBQdWJsaWMgSGVhbHRoICwgTGFuemhv
dSBVbml2ZXJzaXR5ICwgTGFuemhvdSAsIENoaW5hLiYjeEQ7YyBFdmlkZW5jZS1iYXNlZCBTb2Np
YWwgU2NpZW5jZXMgUmVzZWFyY2ggQ2VudGVyICwgTGFuemhvdSBVbml2ZXJzaXR5ICwgTGFuemhv
dSAsIENoaW5hLiYjeEQ7ZCBFdmlkZW5jZS1iYXNlZCBNZWRpY2luZSBDZW50ZXIsIFNjaG9vbCBv
ZiBCYXNpYyBNZWRpY2FsIFNjaWVuY2VzICwgTGFuemhvdSBVbml2ZXJzaXR5ICwgTGFuemhvdSAs
IENoaW5hLiYjeEQ7ZSBJbnN0aXR1dGUgb2YgQ2xpbmljYWwgUmVzZWFyY2ggYW5kIEV2aWRlbmNl
IEJhc2VkIE1lZGljaW5lICwgR2Fuc3UgUHJvdmluY2lhbCBIb3NwaXRhbCAsIExhbnpob3UgLCBD
aGluYS4mI3hEO2YgUmVwcm9kdWN0aXZlIE1lZGljaW5lIEhvc3BpdGFsIG9mIHRoZSBGaXJzdCBI
b3NwaXRhbCBvZiBMYW56aG91IFVuaXZlcnNpdHkgLCBMYW56aG91ICwgQ2hpbmEuPC9hdXRoLWFk
ZHJlc3M+PHRpdGxlcz48dGl0bGU+VGhlIGFzc29jaWF0aW9uIGJldHdlZW4gY2FsY2l1bSBzdXBw
bGVtZW50IGFuZCBwcmVlY2xhbXBzaWEgYW5kIGdlc3RhdGlvbmFsIGh5cGVydGVuc2lvbjogYSBz
eXN0ZW1hdGljIHJldmlldyBhbmQgbWV0YS1hbmFseXNpcyBvZiByYW5kb21pemVkIHRyaWFsczwv
dGl0bGU+PHNlY29uZGFyeS10aXRsZT5IeXBlcnRlbnMgUHJlZ25hbmN5PC9zZWNvbmRhcnktdGl0
bGU+PC90aXRsZXM+PHBlcmlvZGljYWw+PGZ1bGwtdGl0bGU+SHlwZXJ0ZW5zIFByZWduYW5jeTwv
ZnVsbC10aXRsZT48L3BlcmlvZGljYWw+PHBhZ2VzPjEyOS0xMzk8L3BhZ2VzPjx2b2x1bWU+Mzg8
L3ZvbHVtZT48bnVtYmVyPjI8L251bWJlcj48ZWRpdGlvbj4yMDE5LzA0LzAzPC9lZGl0aW9uPjxr
ZXl3b3Jkcz48a2V5d29yZD5QcmVlY2xhbXBzaWE8L2tleXdvcmQ+PGtleXdvcmQ+Y2FsY2l1bSBk
b3NlPC9rZXl3b3JkPjxrZXl3b3JkPmNhbGNpdW0gc3VwcGxlbWVudDwva2V5d29yZD48a2V5d29y
ZD5tZXRhLWFuYWx5c2lzPC9rZXl3b3JkPjxrZXl3b3JkPnByZWduYW5jeS1pbmR1Y2VkLWh5cGVy
dGVuc2lvbjwva2V5d29yZD48L2tleXdvcmRzPjxkYXRlcz48eWVhcj4yMDE5PC95ZWFyPjxwdWIt
ZGF0ZXM+PGRhdGU+TWF5PC9kYXRlPjwvcHViLWRhdGVzPjwvZGF0ZXM+PGlzYm4+MTUyNS02MDY1
IChFbGVjdHJvbmljKSYjeEQ7MTA2NC0xOTU1IChMaW5raW5nKTwvaXNibj48YWNjZXNzaW9uLW51
bT4zMDkzNTI0NjwvYWNjZXNzaW9uLW51bT48dXJscz48cmVsYXRlZC11cmxzPjx1cmw+aHR0cHM6
Ly93d3cubmNiaS5ubG0ubmloLmdvdi9wdWJtZWQvMzA5MzUyNDY8L3VybD48L3JlbGF0ZWQtdXJs
cz48L3VybHM+PGVsZWN0cm9uaWMtcmVzb3VyY2UtbnVtPjEwLjEwODAvMTA2NDE5NTUuMjAxOS4x
NTkzNDQ1PC9lbGVjdHJvbmljLXJlc291cmNlLW51bT48L3JlY29yZD48L0NpdGU+PC9FbmROb3Rl
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185-189</w:t>
      </w:r>
      <w:r w:rsidR="00E51743">
        <w:fldChar w:fldCharType="end"/>
      </w:r>
      <w:r w:rsidR="00644290">
        <w:t>, two RCTs</w:t>
      </w:r>
      <w:r w:rsidR="00E51743">
        <w:fldChar w:fldCharType="begin">
          <w:fldData xml:space="preserve">PEVuZE5vdGU+PENpdGU+PEF1dGhvcj5DdWxsZXJzPC9BdXRob3I+PFllYXI+MjAxOTwvWWVhcj48
UmVjTnVtPjEzMjc8L1JlY051bT48RGlzcGxheVRleHQ+PHN0eWxlIGZhY2U9InN1cGVyc2NyaXB0
IiBmb250PSJUcmVidWNoZXQgTVMiIHNpemU9IjkiPjE5MCwxOTE8L3N0eWxlPjwvRGlzcGxheVRl
eHQ+PHJlY29yZD48cmVjLW51bWJlcj4xMzI3PC9yZWMtbnVtYmVyPjxmb3JlaWduLWtleXM+PGtl
eSBhcHA9IkVOIiBkYi1pZD0iZXh2YXNyZngyZHRyYW9lc2FzeHAyc3pzeGEyZGY1MDI1OTJ4IiB0
aW1lc3RhbXA9IjE1NjY4MDI4MDciPjEzMjc8L2tleT48L2ZvcmVpZ24ta2V5cz48cmVmLXR5cGUg
bmFtZT0iSm91cm5hbCBBcnRpY2xlIj4xNzwvcmVmLXR5cGU+PGNvbnRyaWJ1dG9ycz48YXV0aG9y
cz48YXV0aG9yPkN1bGxlcnMsIEEuPC9hdXRob3I+PGF1dGhvcj5LaW5nLCBKLiBDLjwvYXV0aG9y
PjxhdXRob3I+VmFuIExvYW4sIE0uPC9hdXRob3I+PGF1dGhvcj5HaWxkZW5nb3JpbiwgRy48L2F1
dGhvcj48YXV0aG9yPkZ1bmcsIEUuIEIuPC9hdXRob3I+PC9hdXRob3JzPjwvY29udHJpYnV0b3Jz
PjxhdXRoLWFkZHJlc3M+RGVwYXJ0bWVudCBvZiBLaW5lc2lvbG9neSwgTWlzc291cmkgU291dGhl
cm4gU3RhdGUgVW5pdmVyc2l0eSwgSm9wbGluLCBNTy4mI3hEO0NoaWxkcmVuJmFwb3M7cyBIb3Nw
aXRhbCBPYWtsYW5kIFJlc2VhcmNoIEluc3RpdHV0ZSwgT2FrbGFuZCwgQ0EuJiN4RDtVU0RBIFdl
c3Rlcm4gU3RhdGVzIE51dHJpdGlvbiBSZXNlYXJjaCBDZW50ZXIsIERhdmlzLCBDQS48L2F1dGgt
YWRkcmVzcz48dGl0bGVzPjx0aXRsZT5FZmZlY3Qgb2YgcHJlbmF0YWwgY2FsY2l1bSBzdXBwbGVt
ZW50YXRpb24gb24gYm9uZSBkdXJpbmcgcHJlZ25hbmN5IGFuZCAxIHkgcG9zdHBhcnR1bTwvdGl0
bGU+PHNlY29uZGFyeS10aXRsZT5BbSBKIENsaW4gTnV0cjwvc2Vjb25kYXJ5LXRpdGxlPjwvdGl0
bGVzPjxwZXJpb2RpY2FsPjxmdWxsLXRpdGxlPkFtIEogQ2xpbiBOdXRyPC9mdWxsLXRpdGxlPjwv
cGVyaW9kaWNhbD48cGFnZXM+MTk3LTIwNjwvcGFnZXM+PHZvbHVtZT4xMDk8L3ZvbHVtZT48bnVt
YmVyPjE8L251bWJlcj48ZWRpdGlvbj4yMDE5LzAxLzE3PC9lZGl0aW9uPjxkYXRlcz48eWVhcj4y
MDE5PC95ZWFyPjxwdWItZGF0ZXM+PGRhdGU+SmFuIDE8L2RhdGU+PC9wdWItZGF0ZXM+PC9kYXRl
cz48aXNibj4xOTM4LTMyMDcgKEVsZWN0cm9uaWMpJiN4RDswMDAyLTkxNjUgKExpbmtpbmcpPC9p
c2JuPjxhY2Nlc3Npb24tbnVtPjMwNjQ5MTc2PC9hY2Nlc3Npb24tbnVtPjx1cmxzPjxyZWxhdGVk
LXVybHM+PHVybD5odHRwczovL3d3dy5uY2JpLm5sbS5uaWguZ292L3B1Ym1lZC8zMDY0OTE3Njwv
dXJsPjwvcmVsYXRlZC11cmxzPjwvdXJscz48ZWxlY3Ryb25pYy1yZXNvdXJjZS1udW0+MTAuMTA5
My9hamNuL25xeTIzMzwvZWxlY3Ryb25pYy1yZXNvdXJjZS1udW0+PC9yZWNvcmQ+PC9DaXRlPjxD
aXRlPjxBdXRob3I+RXR0aW5nZXI8L0F1dGhvcj48WWVhcj4yMDE0PC9ZZWFyPjxSZWNOdW0+MTMy
NjwvUmVjTnVtPjxyZWNvcmQ+PHJlYy1udW1iZXI+MTMyNjwvcmVjLW51bWJlcj48Zm9yZWlnbi1r
ZXlzPjxrZXkgYXBwPSJFTiIgZGItaWQ9ImV4dmFzcmZ4MmR0cmFvZXNhc3hwMnN6c3hhMmRmNTAy
NTkyeCIgdGltZXN0YW1wPSIxNTY2ODAyNzI0Ij4xMzI2PC9rZXk+PC9mb3JlaWduLWtleXM+PHJl
Zi10eXBlIG5hbWU9IkpvdXJuYWwgQXJ0aWNsZSI+MTc8L3JlZi10eXBlPjxjb250cmlidXRvcnM+
PGF1dGhvcnM+PGF1dGhvcj5FdHRpbmdlciwgQS4gUy48L2F1dGhvcj48YXV0aG9yPkxhbWFkcmlk
LUZpZ3Vlcm9hLCBILjwvYXV0aG9yPjxhdXRob3I+TWVyY2Fkby1HYXJjaWEsIEEuPC9hdXRob3I+
PGF1dGhvcj5Lb3JkYXMsIEsuPC9hdXRob3I+PGF1dGhvcj5Xb29kLCBSLiBKLjwvYXV0aG9yPjxh
dXRob3I+UGV0ZXJzb24sIEsuIEUuPC9hdXRob3I+PGF1dGhvcj5IdSwgSC48L2F1dGhvcj48YXV0
aG9yPkhlcm5hbmRlei1BdmlsYSwgTS48L2F1dGhvcj48YXV0aG9yPlRlbGxlei1Sb2pvLCBNLiBN
LjwvYXV0aG9yPjwvYXV0aG9ycz48L2NvbnRyaWJ1dG9ycz48YXV0aC1hZGRyZXNzPkNlbnRlciBm
b3IgUGVyaW5hdGFsLCBQZWRpYXRyaWMsIGFuZCBFbnZpcm9ubWVudGFsIEVwaWRlbWlvbG9neSwg
WWFsZSBTY2hvb2xzIG9mIFB1YmxpYyBIZWFsdGggYW5kIE1lZGljaW5lLCAxIENodXJjaCBTdHJl
ZXQgNnRoIGZsb29yLCBOZXcgSGF2ZW4sIENUIDA2NTEwLCBVU0EuIGFkcmllbm5lLmV0dGluZ2Vy
QHlhbGUuZWR1LjwvYXV0aC1hZGRyZXNzPjx0aXRsZXM+PHRpdGxlPkVmZmVjdCBvZiBjYWxjaXVt
IHN1cHBsZW1lbnRhdGlvbiBvbiBib25lIHJlc29ycHRpb24gaW4gcHJlZ25hbmN5IGFuZCB0aGUg
ZWFybHkgcG9zdHBhcnR1bTogYSByYW5kb21pemVkIGNvbnRyb2xsZWQgdHJpYWwgaW4gTWV4aWNh
biB3b21lbjwvdGl0bGU+PHNlY29uZGFyeS10aXRsZT5OdXRyIEo8L3NlY29uZGFyeS10aXRsZT48
L3RpdGxlcz48cGVyaW9kaWNhbD48ZnVsbC10aXRsZT5OdXRyIEo8L2Z1bGwtdGl0bGU+PC9wZXJp
b2RpY2FsPjxwYWdlcz4xMTY8L3BhZ2VzPjx2b2x1bWU+MTM8L3ZvbHVtZT48bnVtYmVyPjE8L251
bWJlcj48ZWRpdGlvbj4yMDE0LzEyLzE3PC9lZGl0aW9uPjxrZXl3b3Jkcz48a2V5d29yZD5BbGth
bGluZSBQaG9zcGhhdGFzZS9ibG9vZDwva2V5d29yZD48a2V5d29yZD5CaW9tYXJrZXJzL3VyaW5l
PC9rZXl3b3JkPjxrZXl3b3JkPkJvbmUgUmVzb3JwdGlvbi9jb21wbGljYXRpb25zLypwcmV2ZW50
aW9uICZhbXA7IGNvbnRyb2w8L2tleXdvcmQ+PGtleXdvcmQ+Qm9uZSBhbmQgQm9uZXMvZGlhZ25v
c3RpYyBpbWFnaW5nL2Vuenltb2xvZ3k8L2tleXdvcmQ+PGtleXdvcmQ+Q2FsY2l1bSwgRGlldGFy
eS8qYWRtaW5pc3RyYXRpb24gJmFtcDsgZG9zYWdlPC9rZXl3b3JkPjxrZXl3b3JkPkNvbGxhZ2Vu
IFR5cGUgSS91cmluZTwva2V5d29yZD48a2V5d29yZD5EaWV0YXJ5IFN1cHBsZW1lbnRzPC9rZXl3
b3JkPjxrZXl3b3JkPkRvdWJsZS1CbGluZCBNZXRob2Q8L2tleXdvcmQ+PGtleXdvcmQ+RmVtYWxl
PC9rZXl3b3JkPjxrZXl3b3JkPkh1bWFuczwva2V5d29yZD48a2V5d29yZD5NZXhpY288L2tleXdv
cmQ+PGtleXdvcmQ+UGVwdGlkZXMvdXJpbmU8L2tleXdvcmQ+PGtleXdvcmQ+UGxhY2Vib3M8L2tl
eXdvcmQ+PGtleXdvcmQ+KlBvc3RwYXJ0dW0gUGVyaW9kPC9rZXl3b3JkPjxrZXl3b3JkPlByZWdu
YW5jeTwva2V5d29yZD48a2V5d29yZD5QcmVnbmFuY3kgQ29tcGxpY2F0aW9ucy8qcHJldmVudGlv
biAmYW1wOyBjb250cm9sPC9rZXl3b3JkPjxrZXl3b3JkPlVsdHJhc29ub2dyYXBoeTwva2V5d29y
ZD48L2tleXdvcmRzPjxkYXRlcz48eWVhcj4yMDE0PC95ZWFyPjxwdWItZGF0ZXM+PGRhdGU+RGVj
IDE2PC9kYXRlPjwvcHViLWRhdGVzPjwvZGF0ZXM+PGlzYm4+MTQ3NS0yODkxIChFbGVjdHJvbmlj
KSYjeEQ7MTQ3NS0yODkxIChMaW5raW5nKTwvaXNibj48YWNjZXNzaW9uLW51bT4yNTUxMTgxNDwv
YWNjZXNzaW9uLW51bT48dXJscz48cmVsYXRlZC11cmxzPjx1cmw+aHR0cHM6Ly93d3cubmNiaS5u
bG0ubmloLmdvdi9wdWJtZWQvMjU1MTE4MTQ8L3VybD48L3JlbGF0ZWQtdXJscz48L3VybHM+PGN1
c3RvbTI+UE1DNDI4OTU1MjwvY3VzdG9tMj48ZWxlY3Ryb25pYy1yZXNvdXJjZS1udW0+MTAuMTE4
Ni8xNDc1LTI4OTEtMTMtMTE2PC9lbGVjdHJvbmljLXJlc291cmNlLW51bT48L3JlY29yZD48L0Np
dGU+PC9FbmROb3RlPgB=
</w:fldData>
        </w:fldChar>
      </w:r>
      <w:r w:rsidR="002747EA">
        <w:instrText xml:space="preserve"> ADDIN EN.CITE </w:instrText>
      </w:r>
      <w:r w:rsidR="002747EA">
        <w:fldChar w:fldCharType="begin">
          <w:fldData xml:space="preserve">PEVuZE5vdGU+PENpdGU+PEF1dGhvcj5DdWxsZXJzPC9BdXRob3I+PFllYXI+MjAxOTwvWWVhcj48
UmVjTnVtPjEzMjc8L1JlY051bT48RGlzcGxheVRleHQ+PHN0eWxlIGZhY2U9InN1cGVyc2NyaXB0
IiBmb250PSJUcmVidWNoZXQgTVMiIHNpemU9IjkiPjE5MCwxOTE8L3N0eWxlPjwvRGlzcGxheVRl
eHQ+PHJlY29yZD48cmVjLW51bWJlcj4xMzI3PC9yZWMtbnVtYmVyPjxmb3JlaWduLWtleXM+PGtl
eSBhcHA9IkVOIiBkYi1pZD0iZXh2YXNyZngyZHRyYW9lc2FzeHAyc3pzeGEyZGY1MDI1OTJ4IiB0
aW1lc3RhbXA9IjE1NjY4MDI4MDciPjEzMjc8L2tleT48L2ZvcmVpZ24ta2V5cz48cmVmLXR5cGUg
bmFtZT0iSm91cm5hbCBBcnRpY2xlIj4xNzwvcmVmLXR5cGU+PGNvbnRyaWJ1dG9ycz48YXV0aG9y
cz48YXV0aG9yPkN1bGxlcnMsIEEuPC9hdXRob3I+PGF1dGhvcj5LaW5nLCBKLiBDLjwvYXV0aG9y
PjxhdXRob3I+VmFuIExvYW4sIE0uPC9hdXRob3I+PGF1dGhvcj5HaWxkZW5nb3JpbiwgRy48L2F1
dGhvcj48YXV0aG9yPkZ1bmcsIEUuIEIuPC9hdXRob3I+PC9hdXRob3JzPjwvY29udHJpYnV0b3Jz
PjxhdXRoLWFkZHJlc3M+RGVwYXJ0bWVudCBvZiBLaW5lc2lvbG9neSwgTWlzc291cmkgU291dGhl
cm4gU3RhdGUgVW5pdmVyc2l0eSwgSm9wbGluLCBNTy4mI3hEO0NoaWxkcmVuJmFwb3M7cyBIb3Nw
aXRhbCBPYWtsYW5kIFJlc2VhcmNoIEluc3RpdHV0ZSwgT2FrbGFuZCwgQ0EuJiN4RDtVU0RBIFdl
c3Rlcm4gU3RhdGVzIE51dHJpdGlvbiBSZXNlYXJjaCBDZW50ZXIsIERhdmlzLCBDQS48L2F1dGgt
YWRkcmVzcz48dGl0bGVzPjx0aXRsZT5FZmZlY3Qgb2YgcHJlbmF0YWwgY2FsY2l1bSBzdXBwbGVt
ZW50YXRpb24gb24gYm9uZSBkdXJpbmcgcHJlZ25hbmN5IGFuZCAxIHkgcG9zdHBhcnR1bTwvdGl0
bGU+PHNlY29uZGFyeS10aXRsZT5BbSBKIENsaW4gTnV0cjwvc2Vjb25kYXJ5LXRpdGxlPjwvdGl0
bGVzPjxwZXJpb2RpY2FsPjxmdWxsLXRpdGxlPkFtIEogQ2xpbiBOdXRyPC9mdWxsLXRpdGxlPjwv
cGVyaW9kaWNhbD48cGFnZXM+MTk3LTIwNjwvcGFnZXM+PHZvbHVtZT4xMDk8L3ZvbHVtZT48bnVt
YmVyPjE8L251bWJlcj48ZWRpdGlvbj4yMDE5LzAxLzE3PC9lZGl0aW9uPjxkYXRlcz48eWVhcj4y
MDE5PC95ZWFyPjxwdWItZGF0ZXM+PGRhdGU+SmFuIDE8L2RhdGU+PC9wdWItZGF0ZXM+PC9kYXRl
cz48aXNibj4xOTM4LTMyMDcgKEVsZWN0cm9uaWMpJiN4RDswMDAyLTkxNjUgKExpbmtpbmcpPC9p
c2JuPjxhY2Nlc3Npb24tbnVtPjMwNjQ5MTc2PC9hY2Nlc3Npb24tbnVtPjx1cmxzPjxyZWxhdGVk
LXVybHM+PHVybD5odHRwczovL3d3dy5uY2JpLm5sbS5uaWguZ292L3B1Ym1lZC8zMDY0OTE3Njwv
dXJsPjwvcmVsYXRlZC11cmxzPjwvdXJscz48ZWxlY3Ryb25pYy1yZXNvdXJjZS1udW0+MTAuMTA5
My9hamNuL25xeTIzMzwvZWxlY3Ryb25pYy1yZXNvdXJjZS1udW0+PC9yZWNvcmQ+PC9DaXRlPjxD
aXRlPjxBdXRob3I+RXR0aW5nZXI8L0F1dGhvcj48WWVhcj4yMDE0PC9ZZWFyPjxSZWNOdW0+MTMy
NjwvUmVjTnVtPjxyZWNvcmQ+PHJlYy1udW1iZXI+MTMyNjwvcmVjLW51bWJlcj48Zm9yZWlnbi1r
ZXlzPjxrZXkgYXBwPSJFTiIgZGItaWQ9ImV4dmFzcmZ4MmR0cmFvZXNhc3hwMnN6c3hhMmRmNTAy
NTkyeCIgdGltZXN0YW1wPSIxNTY2ODAyNzI0Ij4xMzI2PC9rZXk+PC9mb3JlaWduLWtleXM+PHJl
Zi10eXBlIG5hbWU9IkpvdXJuYWwgQXJ0aWNsZSI+MTc8L3JlZi10eXBlPjxjb250cmlidXRvcnM+
PGF1dGhvcnM+PGF1dGhvcj5FdHRpbmdlciwgQS4gUy48L2F1dGhvcj48YXV0aG9yPkxhbWFkcmlk
LUZpZ3Vlcm9hLCBILjwvYXV0aG9yPjxhdXRob3I+TWVyY2Fkby1HYXJjaWEsIEEuPC9hdXRob3I+
PGF1dGhvcj5Lb3JkYXMsIEsuPC9hdXRob3I+PGF1dGhvcj5Xb29kLCBSLiBKLjwvYXV0aG9yPjxh
dXRob3I+UGV0ZXJzb24sIEsuIEUuPC9hdXRob3I+PGF1dGhvcj5IdSwgSC48L2F1dGhvcj48YXV0
aG9yPkhlcm5hbmRlei1BdmlsYSwgTS48L2F1dGhvcj48YXV0aG9yPlRlbGxlei1Sb2pvLCBNLiBN
LjwvYXV0aG9yPjwvYXV0aG9ycz48L2NvbnRyaWJ1dG9ycz48YXV0aC1hZGRyZXNzPkNlbnRlciBm
b3IgUGVyaW5hdGFsLCBQZWRpYXRyaWMsIGFuZCBFbnZpcm9ubWVudGFsIEVwaWRlbWlvbG9neSwg
WWFsZSBTY2hvb2xzIG9mIFB1YmxpYyBIZWFsdGggYW5kIE1lZGljaW5lLCAxIENodXJjaCBTdHJl
ZXQgNnRoIGZsb29yLCBOZXcgSGF2ZW4sIENUIDA2NTEwLCBVU0EuIGFkcmllbm5lLmV0dGluZ2Vy
QHlhbGUuZWR1LjwvYXV0aC1hZGRyZXNzPjx0aXRsZXM+PHRpdGxlPkVmZmVjdCBvZiBjYWxjaXVt
IHN1cHBsZW1lbnRhdGlvbiBvbiBib25lIHJlc29ycHRpb24gaW4gcHJlZ25hbmN5IGFuZCB0aGUg
ZWFybHkgcG9zdHBhcnR1bTogYSByYW5kb21pemVkIGNvbnRyb2xsZWQgdHJpYWwgaW4gTWV4aWNh
biB3b21lbjwvdGl0bGU+PHNlY29uZGFyeS10aXRsZT5OdXRyIEo8L3NlY29uZGFyeS10aXRsZT48
L3RpdGxlcz48cGVyaW9kaWNhbD48ZnVsbC10aXRsZT5OdXRyIEo8L2Z1bGwtdGl0bGU+PC9wZXJp
b2RpY2FsPjxwYWdlcz4xMTY8L3BhZ2VzPjx2b2x1bWU+MTM8L3ZvbHVtZT48bnVtYmVyPjE8L251
bWJlcj48ZWRpdGlvbj4yMDE0LzEyLzE3PC9lZGl0aW9uPjxrZXl3b3Jkcz48a2V5d29yZD5BbGth
bGluZSBQaG9zcGhhdGFzZS9ibG9vZDwva2V5d29yZD48a2V5d29yZD5CaW9tYXJrZXJzL3VyaW5l
PC9rZXl3b3JkPjxrZXl3b3JkPkJvbmUgUmVzb3JwdGlvbi9jb21wbGljYXRpb25zLypwcmV2ZW50
aW9uICZhbXA7IGNvbnRyb2w8L2tleXdvcmQ+PGtleXdvcmQ+Qm9uZSBhbmQgQm9uZXMvZGlhZ25v
c3RpYyBpbWFnaW5nL2Vuenltb2xvZ3k8L2tleXdvcmQ+PGtleXdvcmQ+Q2FsY2l1bSwgRGlldGFy
eS8qYWRtaW5pc3RyYXRpb24gJmFtcDsgZG9zYWdlPC9rZXl3b3JkPjxrZXl3b3JkPkNvbGxhZ2Vu
IFR5cGUgSS91cmluZTwva2V5d29yZD48a2V5d29yZD5EaWV0YXJ5IFN1cHBsZW1lbnRzPC9rZXl3
b3JkPjxrZXl3b3JkPkRvdWJsZS1CbGluZCBNZXRob2Q8L2tleXdvcmQ+PGtleXdvcmQ+RmVtYWxl
PC9rZXl3b3JkPjxrZXl3b3JkPkh1bWFuczwva2V5d29yZD48a2V5d29yZD5NZXhpY288L2tleXdv
cmQ+PGtleXdvcmQ+UGVwdGlkZXMvdXJpbmU8L2tleXdvcmQ+PGtleXdvcmQ+UGxhY2Vib3M8L2tl
eXdvcmQ+PGtleXdvcmQ+KlBvc3RwYXJ0dW0gUGVyaW9kPC9rZXl3b3JkPjxrZXl3b3JkPlByZWdu
YW5jeTwva2V5d29yZD48a2V5d29yZD5QcmVnbmFuY3kgQ29tcGxpY2F0aW9ucy8qcHJldmVudGlv
biAmYW1wOyBjb250cm9sPC9rZXl3b3JkPjxrZXl3b3JkPlVsdHJhc29ub2dyYXBoeTwva2V5d29y
ZD48L2tleXdvcmRzPjxkYXRlcz48eWVhcj4yMDE0PC95ZWFyPjxwdWItZGF0ZXM+PGRhdGU+RGVj
IDE2PC9kYXRlPjwvcHViLWRhdGVzPjwvZGF0ZXM+PGlzYm4+MTQ3NS0yODkxIChFbGVjdHJvbmlj
KSYjeEQ7MTQ3NS0yODkxIChMaW5raW5nKTwvaXNibj48YWNjZXNzaW9uLW51bT4yNTUxMTgxNDwv
YWNjZXNzaW9uLW51bT48dXJscz48cmVsYXRlZC11cmxzPjx1cmw+aHR0cHM6Ly93d3cubmNiaS5u
bG0ubmloLmdvdi9wdWJtZWQvMjU1MTE4MTQ8L3VybD48L3JlbGF0ZWQtdXJscz48L3VybHM+PGN1
c3RvbTI+UE1DNDI4OTU1MjwvY3VzdG9tMj48ZWxlY3Ryb25pYy1yZXNvdXJjZS1udW0+MTAuMTE4
Ni8xNDc1LTI4OTEtMTMtMTE2PC9lbGVjdHJvbmljLXJlc291cmNlLW51bT48L3JlY29yZD48L0Np
dGU+PC9FbmROb3RlPgB=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190,191</w:t>
      </w:r>
      <w:r w:rsidR="00E51743">
        <w:fldChar w:fldCharType="end"/>
      </w:r>
      <w:r w:rsidR="00644290">
        <w:t xml:space="preserve"> and a cost-effectiveness study.</w:t>
      </w:r>
      <w:r w:rsidR="00E51743">
        <w:fldChar w:fldCharType="begin">
          <w:fldData xml:space="preserve">PEVuZE5vdGU+PENpdGU+PEF1dGhvcj5NZWVydGVuczwvQXV0aG9yPjxZZWFyPjIwMTg8L1llYXI+
PFJlY051bT4xMzIzPC9SZWNOdW0+PERpc3BsYXlUZXh0PjxzdHlsZSBmYWNlPSJzdXBlcnNjcmlw
dCIgZm9udD0iVHJlYnVjaGV0IE1TIiBzaXplPSI5Ij4xOTI8L3N0eWxlPjwvRGlzcGxheVRleHQ+
PHJlY29yZD48cmVjLW51bWJlcj4xMzIzPC9yZWMtbnVtYmVyPjxmb3JlaWduLWtleXM+PGtleSBh
cHA9IkVOIiBkYi1pZD0iZXh2YXNyZngyZHRyYW9lc2FzeHAyc3pzeGEyZGY1MDI1OTJ4IiB0aW1l
c3RhbXA9IjE1NjY3OTgyNzgiPjEzMjM8L2tleT48a2V5IGFwcD0iRU5XZWIiIGRiLWlkPSIiPjA8
L2tleT48L2ZvcmVpZ24ta2V5cz48cmVmLXR5cGUgbmFtZT0iSm91cm5hbCBBcnRpY2xlIj4xNzwv
cmVmLXR5cGU+PGNvbnRyaWJ1dG9ycz48YXV0aG9ycz48YXV0aG9yPk1lZXJ0ZW5zLCBMLiBKLiBF
LjwvYXV0aG9yPjxhdXRob3I+U2NoZWVwZXJzLCBILiBDLiBKLjwvYXV0aG9yPjxhdXRob3I+V2ls
bGVtc2UsIEpwbW08L2F1dGhvcj48YXV0aG9yPlNwYWFuZGVybWFuLCBNLiBFLiBBLjwvYXV0aG9y
PjxhdXRob3I+U21pdHMsIEwuIEouIE0uPC9hdXRob3I+PC9hdXRob3JzPjwvY29udHJpYnV0b3Jz
PjxhdXRoLWFkZHJlc3M+RGVwYXJ0bWVudCBvZiBFcGlkZW1pb2xvZ3ksIENhcmUgYW5kIFB1Ymxp
YyBIZWFsdGggUmVzZWFyY2ggSW5zdGl0dXRlIChDQVBIUkkpLCBNYWFzdHJpY2h0IFVuaXZlcnNp
dHksIE1hYXN0cmljaHQsIFRoZSBOZXRoZXJsYW5kcy4mI3hEO0RlcGFydG1lbnQgb2YgT2JzdGV0
cmljcyBhbmQgR3luYWVjb2xvZ3ksIEdST1cgU2Nob29sIGZvciBPbmNvbG9neSBhbmQgRGV2ZWxv
cG1lbnRhbCBCaW9sb2d5LCBNYWFzdHJpY2h0IFVuaXZlcnNpdHkgTWVkaWNhbCBDZW50cmUsIE1h
YXN0cmljaHQsIFRoZSBOZXRoZXJsYW5kcy4mI3hEO0ZhY3VsdHkgb2YgSGVhbHRoIE1lZGljaW5l
IGFuZCBMaWZlIFNjaWVuY2VzLCBNYWFzdHJpY2h0IFVuaXZlcnNpdHksIE1hYXN0cmljaHQsIFRo
ZSBOZXRoZXJsYW5kcy48L2F1dGgtYWRkcmVzcz48dGl0bGVzPjx0aXRsZT5TaG91bGQgd29tZW4g
YmUgYWR2aXNlZCB0byB1c2UgY2FsY2l1bSBzdXBwbGVtZW50cyBkdXJpbmcgcHJlZ25hbmN5PyBB
IGRlY2lzaW9uIGFuYWx5c2lzPC90aXRsZT48c2Vjb25kYXJ5LXRpdGxlPk1hdGVybiBDaGlsZCBO
dXRyPC9zZWNvbmRhcnktdGl0bGU+PC90aXRsZXM+PHBlcmlvZGljYWw+PGZ1bGwtdGl0bGU+TWF0
ZXJuIENoaWxkIE51dHI8L2Z1bGwtdGl0bGU+PC9wZXJpb2RpY2FsPjx2b2x1bWU+MTQ8L3ZvbHVt
ZT48bnVtYmVyPjE8L251bWJlcj48ZWRpdGlvbj4yMDE3LzA2LzIwPC9lZGl0aW9uPjxrZXl3b3Jk
cz48a2V5d29yZD5BZHVsdDwva2V5d29yZD48a2V5d29yZD5DYWxjaXVtL2RlZmljaWVuY3k8L2tl
eXdvcmQ+PGtleXdvcmQ+Q2FsY2l1bSwgRGlldGFyeS9hZHZlcnNlIGVmZmVjdHMvZWNvbm9taWNz
Lyp0aGVyYXBldXRpYyB1c2U8L2tleXdvcmQ+PGtleXdvcmQ+Q29tYmluZWQgTW9kYWxpdHkgVGhl
cmFweS9lY29ub21pY3M8L2tleXdvcmQ+PGtleXdvcmQ+Q29zdCBTYXZpbmdzPC9rZXl3b3JkPjxr
ZXl3b3JkPkNvc3RzIGFuZCBDb3N0IEFuYWx5c2lzPC9rZXl3b3JkPjxrZXl3b3JkPkRlY2lzaW9u
IFN1cHBvcnQgVGVjaG5pcXVlczwva2V5d29yZD48a2V5d29yZD5EZWZpY2llbmN5IERpc2Vhc2Vz
L2Vjb25vbWljcy9lcGlkZW1pb2xvZ3kvcGh5c2lvcGF0aG9sb2d5L3ByZXZlbnRpb24gJmFtcDsg
Y29udHJvbDwva2V5d29yZD48a2V5d29yZD5EZXZlbG9wZWQgQ291bnRyaWVzPC9rZXl3b3JkPjxr
ZXl3b3JkPipEaWV0YXJ5IFN1cHBsZW1lbnRzL2FkdmVyc2UgZWZmZWN0cy9lY29ub21pY3M8L2tl
eXdvcmQ+PGtleXdvcmQ+KkV2aWRlbmNlLUJhc2VkIE1lZGljaW5lL2Vjb25vbWljczwva2V5d29y
ZD48a2V5d29yZD5GZW1hbGU8L2tleXdvcmQ+PGtleXdvcmQ+SG9zcGl0YWwgQ29zdHM8L2tleXdv
cmQ+PGtleXdvcmQ+SHVtYW5zPC9rZXl3b3JkPjxrZXl3b3JkPkluY2lkZW5jZTwva2V5d29yZD48
a2V5d29yZD4qTWF0ZXJuYWwgTnV0cml0aW9uYWwgUGh5c2lvbG9naWNhbCBQaGVub21lbmE8L2tl
eXdvcmQ+PGtleXdvcmQ+Kk1vZGVscywgRWNvbm9taWM8L2tleXdvcmQ+PGtleXdvcmQ+UGF0aWVu
dCBFZHVjYXRpb24gYXMgVG9waWMvZWNvbm9taWNzPC9rZXl3b3JkPjxrZXl3b3JkPipQcmFjdGlj
ZSBHdWlkZWxpbmVzIGFzIFRvcGljPC9rZXl3b3JkPjxrZXl3b3JkPlByZS1FY2xhbXBzaWEvZWNv
bm9taWNzL2V0aW9sb2d5LypwcmV2ZW50aW9uICZhbXA7IGNvbnRyb2wvdGhlcmFweTwva2V5d29y
ZD48a2V5d29yZD5QcmVnbmFuY3k8L2tleXdvcmQ+PGtleXdvcmQ+UHJlZ25hbmN5IENvbXBsaWNh
dGlvbnMvZWNvbm9taWNzL2VwaWRlbWlvbG9neS9waHlzaW9wYXRob2xvZ3kvcHJldmVudGlvbiAm
YW1wOzwva2V5d29yZD48a2V5d29yZD5jb250cm9sPC9rZXl3b3JkPjxrZXl3b3JkPlJpc2s8L2tl
eXdvcmQ+PGtleXdvcmQ+KmNhbGNpdW0gc3VwcGxlbWVudGF0aW9uPC9rZXl3b3JkPjxrZXl3b3Jk
PipkZWNpc2lvbiBhbmFseXNpczwva2V5d29yZD48a2V5d29yZD4qaW1wYWN0PC9rZXl3b3JkPjxr
ZXl3b3JkPipwcmUtZWNsYW1wc2lhPC9rZXl3b3JkPjwva2V5d29yZHM+PGRhdGVzPjx5ZWFyPjIw
MTg8L3llYXI+PHB1Yi1kYXRlcz48ZGF0ZT5KYW48L2RhdGU+PC9wdWItZGF0ZXM+PC9kYXRlcz48
aXNibj4xNzQwLTg3MDkgKEVsZWN0cm9uaWMpJiN4RDsxNzQwLTg2OTUgKExpbmtpbmcpPC9pc2Ju
PjxhY2Nlc3Npb24tbnVtPjI4NjI2ODc4PC9hY2Nlc3Npb24tbnVtPjx1cmxzPjxyZWxhdGVkLXVy
bHM+PHVybD5odHRwczovL3d3dy5uY2JpLm5sbS5uaWguZ292L3B1Ym1lZC8yODYyNjg3ODwvdXJs
PjwvcmVsYXRlZC11cmxzPjwvdXJscz48ZWxlY3Ryb25pYy1yZXNvdXJjZS1udW0+MTAuMTExMS9t
Y24uMTI0Nzk8L2VsZWN0cm9uaWMtcmVzb3VyY2UtbnVtPjwvcmVjb3JkPjwvQ2l0ZT48L0VuZE5v
dGU+
</w:fldData>
        </w:fldChar>
      </w:r>
      <w:r w:rsidR="002747EA">
        <w:instrText xml:space="preserve"> ADDIN EN.CITE </w:instrText>
      </w:r>
      <w:r w:rsidR="002747EA">
        <w:fldChar w:fldCharType="begin">
          <w:fldData xml:space="preserve">PEVuZE5vdGU+PENpdGU+PEF1dGhvcj5NZWVydGVuczwvQXV0aG9yPjxZZWFyPjIwMTg8L1llYXI+
PFJlY051bT4xMzIzPC9SZWNOdW0+PERpc3BsYXlUZXh0PjxzdHlsZSBmYWNlPSJzdXBlcnNjcmlw
dCIgZm9udD0iVHJlYnVjaGV0IE1TIiBzaXplPSI5Ij4xOTI8L3N0eWxlPjwvRGlzcGxheVRleHQ+
PHJlY29yZD48cmVjLW51bWJlcj4xMzIzPC9yZWMtbnVtYmVyPjxmb3JlaWduLWtleXM+PGtleSBh
cHA9IkVOIiBkYi1pZD0iZXh2YXNyZngyZHRyYW9lc2FzeHAyc3pzeGEyZGY1MDI1OTJ4IiB0aW1l
c3RhbXA9IjE1NjY3OTgyNzgiPjEzMjM8L2tleT48a2V5IGFwcD0iRU5XZWIiIGRiLWlkPSIiPjA8
L2tleT48L2ZvcmVpZ24ta2V5cz48cmVmLXR5cGUgbmFtZT0iSm91cm5hbCBBcnRpY2xlIj4xNzwv
cmVmLXR5cGU+PGNvbnRyaWJ1dG9ycz48YXV0aG9ycz48YXV0aG9yPk1lZXJ0ZW5zLCBMLiBKLiBF
LjwvYXV0aG9yPjxhdXRob3I+U2NoZWVwZXJzLCBILiBDLiBKLjwvYXV0aG9yPjxhdXRob3I+V2ls
bGVtc2UsIEpwbW08L2F1dGhvcj48YXV0aG9yPlNwYWFuZGVybWFuLCBNLiBFLiBBLjwvYXV0aG9y
PjxhdXRob3I+U21pdHMsIEwuIEouIE0uPC9hdXRob3I+PC9hdXRob3JzPjwvY29udHJpYnV0b3Jz
PjxhdXRoLWFkZHJlc3M+RGVwYXJ0bWVudCBvZiBFcGlkZW1pb2xvZ3ksIENhcmUgYW5kIFB1Ymxp
YyBIZWFsdGggUmVzZWFyY2ggSW5zdGl0dXRlIChDQVBIUkkpLCBNYWFzdHJpY2h0IFVuaXZlcnNp
dHksIE1hYXN0cmljaHQsIFRoZSBOZXRoZXJsYW5kcy4mI3hEO0RlcGFydG1lbnQgb2YgT2JzdGV0
cmljcyBhbmQgR3luYWVjb2xvZ3ksIEdST1cgU2Nob29sIGZvciBPbmNvbG9neSBhbmQgRGV2ZWxv
cG1lbnRhbCBCaW9sb2d5LCBNYWFzdHJpY2h0IFVuaXZlcnNpdHkgTWVkaWNhbCBDZW50cmUsIE1h
YXN0cmljaHQsIFRoZSBOZXRoZXJsYW5kcy4mI3hEO0ZhY3VsdHkgb2YgSGVhbHRoIE1lZGljaW5l
IGFuZCBMaWZlIFNjaWVuY2VzLCBNYWFzdHJpY2h0IFVuaXZlcnNpdHksIE1hYXN0cmljaHQsIFRo
ZSBOZXRoZXJsYW5kcy48L2F1dGgtYWRkcmVzcz48dGl0bGVzPjx0aXRsZT5TaG91bGQgd29tZW4g
YmUgYWR2aXNlZCB0byB1c2UgY2FsY2l1bSBzdXBwbGVtZW50cyBkdXJpbmcgcHJlZ25hbmN5PyBB
IGRlY2lzaW9uIGFuYWx5c2lzPC90aXRsZT48c2Vjb25kYXJ5LXRpdGxlPk1hdGVybiBDaGlsZCBO
dXRyPC9zZWNvbmRhcnktdGl0bGU+PC90aXRsZXM+PHBlcmlvZGljYWw+PGZ1bGwtdGl0bGU+TWF0
ZXJuIENoaWxkIE51dHI8L2Z1bGwtdGl0bGU+PC9wZXJpb2RpY2FsPjx2b2x1bWU+MTQ8L3ZvbHVt
ZT48bnVtYmVyPjE8L251bWJlcj48ZWRpdGlvbj4yMDE3LzA2LzIwPC9lZGl0aW9uPjxrZXl3b3Jk
cz48a2V5d29yZD5BZHVsdDwva2V5d29yZD48a2V5d29yZD5DYWxjaXVtL2RlZmljaWVuY3k8L2tl
eXdvcmQ+PGtleXdvcmQ+Q2FsY2l1bSwgRGlldGFyeS9hZHZlcnNlIGVmZmVjdHMvZWNvbm9taWNz
Lyp0aGVyYXBldXRpYyB1c2U8L2tleXdvcmQ+PGtleXdvcmQ+Q29tYmluZWQgTW9kYWxpdHkgVGhl
cmFweS9lY29ub21pY3M8L2tleXdvcmQ+PGtleXdvcmQ+Q29zdCBTYXZpbmdzPC9rZXl3b3JkPjxr
ZXl3b3JkPkNvc3RzIGFuZCBDb3N0IEFuYWx5c2lzPC9rZXl3b3JkPjxrZXl3b3JkPkRlY2lzaW9u
IFN1cHBvcnQgVGVjaG5pcXVlczwva2V5d29yZD48a2V5d29yZD5EZWZpY2llbmN5IERpc2Vhc2Vz
L2Vjb25vbWljcy9lcGlkZW1pb2xvZ3kvcGh5c2lvcGF0aG9sb2d5L3ByZXZlbnRpb24gJmFtcDsg
Y29udHJvbDwva2V5d29yZD48a2V5d29yZD5EZXZlbG9wZWQgQ291bnRyaWVzPC9rZXl3b3JkPjxr
ZXl3b3JkPipEaWV0YXJ5IFN1cHBsZW1lbnRzL2FkdmVyc2UgZWZmZWN0cy9lY29ub21pY3M8L2tl
eXdvcmQ+PGtleXdvcmQ+KkV2aWRlbmNlLUJhc2VkIE1lZGljaW5lL2Vjb25vbWljczwva2V5d29y
ZD48a2V5d29yZD5GZW1hbGU8L2tleXdvcmQ+PGtleXdvcmQ+SG9zcGl0YWwgQ29zdHM8L2tleXdv
cmQ+PGtleXdvcmQ+SHVtYW5zPC9rZXl3b3JkPjxrZXl3b3JkPkluY2lkZW5jZTwva2V5d29yZD48
a2V5d29yZD4qTWF0ZXJuYWwgTnV0cml0aW9uYWwgUGh5c2lvbG9naWNhbCBQaGVub21lbmE8L2tl
eXdvcmQ+PGtleXdvcmQ+Kk1vZGVscywgRWNvbm9taWM8L2tleXdvcmQ+PGtleXdvcmQ+UGF0aWVu
dCBFZHVjYXRpb24gYXMgVG9waWMvZWNvbm9taWNzPC9rZXl3b3JkPjxrZXl3b3JkPipQcmFjdGlj
ZSBHdWlkZWxpbmVzIGFzIFRvcGljPC9rZXl3b3JkPjxrZXl3b3JkPlByZS1FY2xhbXBzaWEvZWNv
bm9taWNzL2V0aW9sb2d5LypwcmV2ZW50aW9uICZhbXA7IGNvbnRyb2wvdGhlcmFweTwva2V5d29y
ZD48a2V5d29yZD5QcmVnbmFuY3k8L2tleXdvcmQ+PGtleXdvcmQ+UHJlZ25hbmN5IENvbXBsaWNh
dGlvbnMvZWNvbm9taWNzL2VwaWRlbWlvbG9neS9waHlzaW9wYXRob2xvZ3kvcHJldmVudGlvbiAm
YW1wOzwva2V5d29yZD48a2V5d29yZD5jb250cm9sPC9rZXl3b3JkPjxrZXl3b3JkPlJpc2s8L2tl
eXdvcmQ+PGtleXdvcmQ+KmNhbGNpdW0gc3VwcGxlbWVudGF0aW9uPC9rZXl3b3JkPjxrZXl3b3Jk
PipkZWNpc2lvbiBhbmFseXNpczwva2V5d29yZD48a2V5d29yZD4qaW1wYWN0PC9rZXl3b3JkPjxr
ZXl3b3JkPipwcmUtZWNsYW1wc2lhPC9rZXl3b3JkPjwva2V5d29yZHM+PGRhdGVzPjx5ZWFyPjIw
MTg8L3llYXI+PHB1Yi1kYXRlcz48ZGF0ZT5KYW48L2RhdGU+PC9wdWItZGF0ZXM+PC9kYXRlcz48
aXNibj4xNzQwLTg3MDkgKEVsZWN0cm9uaWMpJiN4RDsxNzQwLTg2OTUgKExpbmtpbmcpPC9pc2Ju
PjxhY2Nlc3Npb24tbnVtPjI4NjI2ODc4PC9hY2Nlc3Npb24tbnVtPjx1cmxzPjxyZWxhdGVkLXVy
bHM+PHVybD5odHRwczovL3d3dy5uY2JpLm5sbS5uaWguZ292L3B1Ym1lZC8yODYyNjg3ODwvdXJs
PjwvcmVsYXRlZC11cmxzPjwvdXJscz48ZWxlY3Ryb25pYy1yZXNvdXJjZS1udW0+MTAuMTExMS9t
Y24uMTI0Nzk8L2VsZWN0cm9uaWMtcmVzb3VyY2UtbnVtPjwvcmVjb3JkPjwvQ2l0ZT48L0VuZE5v
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192</w:t>
      </w:r>
      <w:r w:rsidR="00E51743">
        <w:fldChar w:fldCharType="end"/>
      </w:r>
    </w:p>
    <w:p w14:paraId="4FAA5EF9" w14:textId="166E32F4" w:rsidR="00687E3F" w:rsidRDefault="00687E3F" w:rsidP="00687E3F">
      <w:r>
        <w:t xml:space="preserve">There is consistent evidence from systematic reviews that calcium supplementation reduces the risk of gestational hypertension </w:t>
      </w:r>
      <w:r>
        <w:fldChar w:fldCharType="begin">
          <w:fldData xml:space="preserve">PEVuZE5vdGU+PENpdGU+PEF1dGhvcj5Ib2ZtZXlyPC9BdXRob3I+PFllYXI+MjAxODwvWWVhcj48
UmVjTnVtPjEzMTY8L1JlY051bT48RGlzcGxheVRleHQ+PHN0eWxlIGZhY2U9InN1cGVyc2NyaXB0
IiBmb250PSJUcmVidWNoZXQgTVMiIHNpemU9IjkiPjE4NiwxODk8L3N0eWxlPjwvRGlzcGxheVRl
eHQ+PHJlY29yZD48cmVjLW51bWJlcj4xMzE2PC9yZWMtbnVtYmVyPjxmb3JlaWduLWtleXM+PGtl
eSBhcHA9IkVOIiBkYi1pZD0iZXh2YXNyZngyZHRyYW9lc2FzeHAyc3pzeGEyZGY1MDI1OTJ4IiB0
aW1lc3RhbXA9IjE1NjY3OTgyNDMiPjEzMTY8L2tleT48a2V5IGFwcD0iRU5XZWIiIGRiLWlkPSIi
PjA8L2tleT48L2ZvcmVpZ24ta2V5cz48cmVmLXR5cGUgbmFtZT0iSm91cm5hbCBBcnRpY2xlIj4x
NzwvcmVmLXR5cGU+PGNvbnRyaWJ1dG9ycz48YXV0aG9ycz48YXV0aG9yPkhvZm1leXIsIEcuIEp1
c3R1czwvYXV0aG9yPjxhdXRob3I+TGF3cmllLCBUaGVyZXNhIEEuPC9hdXRob3I+PGF1dGhvcj5B
dGFsbGFoLCDDgWx2YXJvIE4uPC9hdXRob3I+PGF1dGhvcj5Ub3Jsb25pLCBNYXJpYSBSZWdpbmE8
L2F1dGhvcj48L2F1dGhvcnM+PC9jb250cmlidXRvcnM+PHRpdGxlcz48dGl0bGU+Q2FsY2l1bSBz
dXBwbGVtZW50YXRpb24gZHVyaW5nIHByZWduYW5jeSBmb3IgcHJldmVudGluZyBoeXBlcnRlbnNp
dmUgZGlzb3JkZXJzIGFuZCByZWxhdGVkIHByb2JsZW1zPC90aXRsZT48c2Vjb25kYXJ5LXRpdGxl
PkNvY2hyYW5lIERhdGFiYXNlIG9mIFN5c3RlbWF0aWMgUmV2aWV3czwvc2Vjb25kYXJ5LXRpdGxl
PjwvdGl0bGVzPjxwZXJpb2RpY2FsPjxmdWxsLXRpdGxlPkNvY2hyYW5lIERhdGFiYXNlIG9mIFN5
c3RlbWF0aWMgUmV2aWV3czwvZnVsbC10aXRsZT48L3BlcmlvZGljYWw+PGRhdGVzPjx5ZWFyPjIw
MTg8L3llYXI+PC9kYXRlcz48aXNibj4xNDY1MTg1ODwvaXNibj48dXJscz48L3VybHM+PGVsZWN0
cm9uaWMtcmVzb3VyY2UtbnVtPjEwLjEwMDIvMTQ2NTE4NTguQ0QwMDEwNTkucHViNTwvZWxlY3Ry
b25pYy1yZXNvdXJjZS1udW0+PC9yZWNvcmQ+PC9DaXRlPjxDaXRlPjxBdXRob3I+U3VuPC9BdXRo
b3I+PFllYXI+MjAxOTwvWWVhcj48UmVjTnVtPjEzMjQ8L1JlY051bT48cmVjb3JkPjxyZWMtbnVt
YmVyPjEzMjQ8L3JlYy1udW1iZXI+PGZvcmVpZ24ta2V5cz48a2V5IGFwcD0iRU4iIGRiLWlkPSJl
eHZhc3JmeDJkdHJhb2VzYXN4cDJzenN4YTJkZjUwMjU5MngiIHRpbWVzdGFtcD0iMTU2Njc5ODI4
MiI+MTMyNDwva2V5PjxrZXkgYXBwPSJFTldlYiIgZGItaWQ9IiI+MDwva2V5PjwvZm9yZWlnbi1r
ZXlzPjxyZWYtdHlwZSBuYW1lPSJKb3VybmFsIEFydGljbGUiPjE3PC9yZWYtdHlwZT48Y29udHJp
YnV0b3JzPjxhdXRob3JzPjxhdXRob3I+U3VuLCBYLjwvYXV0aG9yPjxhdXRob3I+TGksIEguPC9h
dXRob3I+PGF1dGhvcj5IZSwgWC48L2F1dGhvcj48YXV0aG9yPkxpLCBNLjwvYXV0aG9yPjxhdXRo
b3I+WWFuLCBQLjwvYXV0aG9yPjxhdXRob3I+WHVuLCBZLjwvYXV0aG9yPjxhdXRob3I+THUsIEMu
PC9hdXRob3I+PGF1dGhvcj5ZYW5nLCBLLjwvYXV0aG9yPjxhdXRob3I+WmhhbmcsIFguPC9hdXRo
b3I+PC9hdXRob3JzPjwvY29udHJpYnV0b3JzPjxhdXRoLWFkZHJlc3M+YSBEZXBhcnRtZW50IG9m
IE9ic3RldHJpY3MgYW5kIEd5bmVjb2xvZ3ksIFRoZSBGaXJzdCBDbGluaWNhbCBNZWRpY2FsIENv
bGxlZ2UgLCBMYW56aG91IFVuaXZlcnNpdHksIEdhbnN1IFByb3ZpbmNpYWwgSG9zcGl0YWwgLCBM
YW56aG91ICwgQ2hpbmEuJiN4RDtiIFNjaG9vbCBvZiBQdWJsaWMgSGVhbHRoICwgTGFuemhvdSBV
bml2ZXJzaXR5ICwgTGFuemhvdSAsIENoaW5hLiYjeEQ7YyBFdmlkZW5jZS1iYXNlZCBTb2NpYWwg
U2NpZW5jZXMgUmVzZWFyY2ggQ2VudGVyICwgTGFuemhvdSBVbml2ZXJzaXR5ICwgTGFuemhvdSAs
IENoaW5hLiYjeEQ7ZCBFdmlkZW5jZS1iYXNlZCBNZWRpY2luZSBDZW50ZXIsIFNjaG9vbCBvZiBC
YXNpYyBNZWRpY2FsIFNjaWVuY2VzICwgTGFuemhvdSBVbml2ZXJzaXR5ICwgTGFuemhvdSAsIENo
aW5hLiYjeEQ7ZSBJbnN0aXR1dGUgb2YgQ2xpbmljYWwgUmVzZWFyY2ggYW5kIEV2aWRlbmNlIEJh
c2VkIE1lZGljaW5lICwgR2Fuc3UgUHJvdmluY2lhbCBIb3NwaXRhbCAsIExhbnpob3UgLCBDaGlu
YS4mI3hEO2YgUmVwcm9kdWN0aXZlIE1lZGljaW5lIEhvc3BpdGFsIG9mIHRoZSBGaXJzdCBIb3Nw
aXRhbCBvZiBMYW56aG91IFVuaXZlcnNpdHkgLCBMYW56aG91ICwgQ2hpbmEuPC9hdXRoLWFkZHJl
c3M+PHRpdGxlcz48dGl0bGU+VGhlIGFzc29jaWF0aW9uIGJldHdlZW4gY2FsY2l1bSBzdXBwbGVt
ZW50IGFuZCBwcmVlY2xhbXBzaWEgYW5kIGdlc3RhdGlvbmFsIGh5cGVydGVuc2lvbjogYSBzeXN0
ZW1hdGljIHJldmlldyBhbmQgbWV0YS1hbmFseXNpcyBvZiByYW5kb21pemVkIHRyaWFsczwvdGl0
bGU+PHNlY29uZGFyeS10aXRsZT5IeXBlcnRlbnMgUHJlZ25hbmN5PC9zZWNvbmRhcnktdGl0bGU+
PC90aXRsZXM+PHBlcmlvZGljYWw+PGZ1bGwtdGl0bGU+SHlwZXJ0ZW5zIFByZWduYW5jeTwvZnVs
bC10aXRsZT48L3BlcmlvZGljYWw+PHBhZ2VzPjEyOS0xMzk8L3BhZ2VzPjx2b2x1bWU+Mzg8L3Zv
bHVtZT48bnVtYmVyPjI8L251bWJlcj48ZWRpdGlvbj4yMDE5LzA0LzAzPC9lZGl0aW9uPjxrZXl3
b3Jkcz48a2V5d29yZD5QcmVlY2xhbXBzaWE8L2tleXdvcmQ+PGtleXdvcmQ+Y2FsY2l1bSBkb3Nl
PC9rZXl3b3JkPjxrZXl3b3JkPmNhbGNpdW0gc3VwcGxlbWVudDwva2V5d29yZD48a2V5d29yZD5t
ZXRhLWFuYWx5c2lzPC9rZXl3b3JkPjxrZXl3b3JkPnByZWduYW5jeS1pbmR1Y2VkLWh5cGVydGVu
c2lvbjwva2V5d29yZD48L2tleXdvcmRzPjxkYXRlcz48eWVhcj4yMDE5PC95ZWFyPjxwdWItZGF0
ZXM+PGRhdGU+TWF5PC9kYXRlPjwvcHViLWRhdGVzPjwvZGF0ZXM+PGlzYm4+MTUyNS02MDY1IChF
bGVjdHJvbmljKSYjeEQ7MTA2NC0xOTU1IChMaW5raW5nKTwvaXNibj48YWNjZXNzaW9uLW51bT4z
MDkzNTI0NjwvYWNjZXNzaW9uLW51bT48dXJscz48cmVsYXRlZC11cmxzPjx1cmw+aHR0cHM6Ly93
d3cubmNiaS5ubG0ubmloLmdvdi9wdWJtZWQvMzA5MzUyNDY8L3VybD48L3JlbGF0ZWQtdXJscz48
L3VybHM+PGVsZWN0cm9uaWMtcmVzb3VyY2UtbnVtPjEwLjEwODAvMTA2NDE5NTUuMjAxOS4xNTkz
NDQ1PC9lbGVjdHJvbmljLXJlc291cmNlLW51bT48L3JlY29yZD48L0NpdGU+PC9FbmROb3RlPgB=
</w:fldData>
        </w:fldChar>
      </w:r>
      <w:r w:rsidR="002747EA">
        <w:instrText xml:space="preserve"> ADDIN EN.CITE </w:instrText>
      </w:r>
      <w:r w:rsidR="002747EA">
        <w:fldChar w:fldCharType="begin">
          <w:fldData xml:space="preserve">PEVuZE5vdGU+PENpdGU+PEF1dGhvcj5Ib2ZtZXlyPC9BdXRob3I+PFllYXI+MjAxODwvWWVhcj48
UmVjTnVtPjEzMTY8L1JlY051bT48RGlzcGxheVRleHQ+PHN0eWxlIGZhY2U9InN1cGVyc2NyaXB0
IiBmb250PSJUcmVidWNoZXQgTVMiIHNpemU9IjkiPjE4NiwxODk8L3N0eWxlPjwvRGlzcGxheVRl
eHQ+PHJlY29yZD48cmVjLW51bWJlcj4xMzE2PC9yZWMtbnVtYmVyPjxmb3JlaWduLWtleXM+PGtl
eSBhcHA9IkVOIiBkYi1pZD0iZXh2YXNyZngyZHRyYW9lc2FzeHAyc3pzeGEyZGY1MDI1OTJ4IiB0
aW1lc3RhbXA9IjE1NjY3OTgyNDMiPjEzMTY8L2tleT48a2V5IGFwcD0iRU5XZWIiIGRiLWlkPSIi
PjA8L2tleT48L2ZvcmVpZ24ta2V5cz48cmVmLXR5cGUgbmFtZT0iSm91cm5hbCBBcnRpY2xlIj4x
NzwvcmVmLXR5cGU+PGNvbnRyaWJ1dG9ycz48YXV0aG9ycz48YXV0aG9yPkhvZm1leXIsIEcuIEp1
c3R1czwvYXV0aG9yPjxhdXRob3I+TGF3cmllLCBUaGVyZXNhIEEuPC9hdXRob3I+PGF1dGhvcj5B
dGFsbGFoLCDDgWx2YXJvIE4uPC9hdXRob3I+PGF1dGhvcj5Ub3Jsb25pLCBNYXJpYSBSZWdpbmE8
L2F1dGhvcj48L2F1dGhvcnM+PC9jb250cmlidXRvcnM+PHRpdGxlcz48dGl0bGU+Q2FsY2l1bSBz
dXBwbGVtZW50YXRpb24gZHVyaW5nIHByZWduYW5jeSBmb3IgcHJldmVudGluZyBoeXBlcnRlbnNp
dmUgZGlzb3JkZXJzIGFuZCByZWxhdGVkIHByb2JsZW1zPC90aXRsZT48c2Vjb25kYXJ5LXRpdGxl
PkNvY2hyYW5lIERhdGFiYXNlIG9mIFN5c3RlbWF0aWMgUmV2aWV3czwvc2Vjb25kYXJ5LXRpdGxl
PjwvdGl0bGVzPjxwZXJpb2RpY2FsPjxmdWxsLXRpdGxlPkNvY2hyYW5lIERhdGFiYXNlIG9mIFN5
c3RlbWF0aWMgUmV2aWV3czwvZnVsbC10aXRsZT48L3BlcmlvZGljYWw+PGRhdGVzPjx5ZWFyPjIw
MTg8L3llYXI+PC9kYXRlcz48aXNibj4xNDY1MTg1ODwvaXNibj48dXJscz48L3VybHM+PGVsZWN0
cm9uaWMtcmVzb3VyY2UtbnVtPjEwLjEwMDIvMTQ2NTE4NTguQ0QwMDEwNTkucHViNTwvZWxlY3Ry
b25pYy1yZXNvdXJjZS1udW0+PC9yZWNvcmQ+PC9DaXRlPjxDaXRlPjxBdXRob3I+U3VuPC9BdXRo
b3I+PFllYXI+MjAxOTwvWWVhcj48UmVjTnVtPjEzMjQ8L1JlY051bT48cmVjb3JkPjxyZWMtbnVt
YmVyPjEzMjQ8L3JlYy1udW1iZXI+PGZvcmVpZ24ta2V5cz48a2V5IGFwcD0iRU4iIGRiLWlkPSJl
eHZhc3JmeDJkdHJhb2VzYXN4cDJzenN4YTJkZjUwMjU5MngiIHRpbWVzdGFtcD0iMTU2Njc5ODI4
MiI+MTMyNDwva2V5PjxrZXkgYXBwPSJFTldlYiIgZGItaWQ9IiI+MDwva2V5PjwvZm9yZWlnbi1r
ZXlzPjxyZWYtdHlwZSBuYW1lPSJKb3VybmFsIEFydGljbGUiPjE3PC9yZWYtdHlwZT48Y29udHJp
YnV0b3JzPjxhdXRob3JzPjxhdXRob3I+U3VuLCBYLjwvYXV0aG9yPjxhdXRob3I+TGksIEguPC9h
dXRob3I+PGF1dGhvcj5IZSwgWC48L2F1dGhvcj48YXV0aG9yPkxpLCBNLjwvYXV0aG9yPjxhdXRo
b3I+WWFuLCBQLjwvYXV0aG9yPjxhdXRob3I+WHVuLCBZLjwvYXV0aG9yPjxhdXRob3I+THUsIEMu
PC9hdXRob3I+PGF1dGhvcj5ZYW5nLCBLLjwvYXV0aG9yPjxhdXRob3I+WmhhbmcsIFguPC9hdXRo
b3I+PC9hdXRob3JzPjwvY29udHJpYnV0b3JzPjxhdXRoLWFkZHJlc3M+YSBEZXBhcnRtZW50IG9m
IE9ic3RldHJpY3MgYW5kIEd5bmVjb2xvZ3ksIFRoZSBGaXJzdCBDbGluaWNhbCBNZWRpY2FsIENv
bGxlZ2UgLCBMYW56aG91IFVuaXZlcnNpdHksIEdhbnN1IFByb3ZpbmNpYWwgSG9zcGl0YWwgLCBM
YW56aG91ICwgQ2hpbmEuJiN4RDtiIFNjaG9vbCBvZiBQdWJsaWMgSGVhbHRoICwgTGFuemhvdSBV
bml2ZXJzaXR5ICwgTGFuemhvdSAsIENoaW5hLiYjeEQ7YyBFdmlkZW5jZS1iYXNlZCBTb2NpYWwg
U2NpZW5jZXMgUmVzZWFyY2ggQ2VudGVyICwgTGFuemhvdSBVbml2ZXJzaXR5ICwgTGFuemhvdSAs
IENoaW5hLiYjeEQ7ZCBFdmlkZW5jZS1iYXNlZCBNZWRpY2luZSBDZW50ZXIsIFNjaG9vbCBvZiBC
YXNpYyBNZWRpY2FsIFNjaWVuY2VzICwgTGFuemhvdSBVbml2ZXJzaXR5ICwgTGFuemhvdSAsIENo
aW5hLiYjeEQ7ZSBJbnN0aXR1dGUgb2YgQ2xpbmljYWwgUmVzZWFyY2ggYW5kIEV2aWRlbmNlIEJh
c2VkIE1lZGljaW5lICwgR2Fuc3UgUHJvdmluY2lhbCBIb3NwaXRhbCAsIExhbnpob3UgLCBDaGlu
YS4mI3hEO2YgUmVwcm9kdWN0aXZlIE1lZGljaW5lIEhvc3BpdGFsIG9mIHRoZSBGaXJzdCBIb3Nw
aXRhbCBvZiBMYW56aG91IFVuaXZlcnNpdHkgLCBMYW56aG91ICwgQ2hpbmEuPC9hdXRoLWFkZHJl
c3M+PHRpdGxlcz48dGl0bGU+VGhlIGFzc29jaWF0aW9uIGJldHdlZW4gY2FsY2l1bSBzdXBwbGVt
ZW50IGFuZCBwcmVlY2xhbXBzaWEgYW5kIGdlc3RhdGlvbmFsIGh5cGVydGVuc2lvbjogYSBzeXN0
ZW1hdGljIHJldmlldyBhbmQgbWV0YS1hbmFseXNpcyBvZiByYW5kb21pemVkIHRyaWFsczwvdGl0
bGU+PHNlY29uZGFyeS10aXRsZT5IeXBlcnRlbnMgUHJlZ25hbmN5PC9zZWNvbmRhcnktdGl0bGU+
PC90aXRsZXM+PHBlcmlvZGljYWw+PGZ1bGwtdGl0bGU+SHlwZXJ0ZW5zIFByZWduYW5jeTwvZnVs
bC10aXRsZT48L3BlcmlvZGljYWw+PHBhZ2VzPjEyOS0xMzk8L3BhZ2VzPjx2b2x1bWU+Mzg8L3Zv
bHVtZT48bnVtYmVyPjI8L251bWJlcj48ZWRpdGlvbj4yMDE5LzA0LzAzPC9lZGl0aW9uPjxrZXl3
b3Jkcz48a2V5d29yZD5QcmVlY2xhbXBzaWE8L2tleXdvcmQ+PGtleXdvcmQ+Y2FsY2l1bSBkb3Nl
PC9rZXl3b3JkPjxrZXl3b3JkPmNhbGNpdW0gc3VwcGxlbWVudDwva2V5d29yZD48a2V5d29yZD5t
ZXRhLWFuYWx5c2lzPC9rZXl3b3JkPjxrZXl3b3JkPnByZWduYW5jeS1pbmR1Y2VkLWh5cGVydGVu
c2lvbjwva2V5d29yZD48L2tleXdvcmRzPjxkYXRlcz48eWVhcj4yMDE5PC95ZWFyPjxwdWItZGF0
ZXM+PGRhdGU+TWF5PC9kYXRlPjwvcHViLWRhdGVzPjwvZGF0ZXM+PGlzYm4+MTUyNS02MDY1IChF
bGVjdHJvbmljKSYjeEQ7MTA2NC0xOTU1IChMaW5raW5nKTwvaXNibj48YWNjZXNzaW9uLW51bT4z
MDkzNTI0NjwvYWNjZXNzaW9uLW51bT48dXJscz48cmVsYXRlZC11cmxzPjx1cmw+aHR0cHM6Ly93
d3cubmNiaS5ubG0ubmloLmdvdi9wdWJtZWQvMzA5MzUyNDY8L3VybD48L3JlbGF0ZWQtdXJscz48
L3VybHM+PGVsZWN0cm9uaWMtcmVzb3VyY2UtbnVtPjEwLjEwODAvMTA2NDE5NTUuMjAxOS4xNTkz
NDQ1PC9lbGVjdHJvbmljLXJlc291cmNlLW51bT48L3JlY29yZD48L0NpdGU+PC9FbmROb3RlPgB=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186,189</w:t>
      </w:r>
      <w:r>
        <w:fldChar w:fldCharType="end"/>
      </w:r>
      <w:r>
        <w:t xml:space="preserve"> and pre-eclampsia </w:t>
      </w:r>
      <w:r>
        <w:fldChar w:fldCharType="begin">
          <w:fldData xml:space="preserve">PEVuZE5vdGU+PENpdGU+PEF1dGhvcj5Ib2ZtZXlyPC9BdXRob3I+PFllYXI+MjAxODwvWWVhcj48
UmVjTnVtPjEzMTY8L1JlY051bT48RGlzcGxheVRleHQ+PHN0eWxlIGZhY2U9InN1cGVyc2NyaXB0
IiBmb250PSJUcmVidWNoZXQgTVMiIHNpemU9IjkiPjE4Ni0xODk8L3N0eWxlPjwvRGlzcGxheVRl
eHQ+PHJlY29yZD48cmVjLW51bWJlcj4xMzE2PC9yZWMtbnVtYmVyPjxmb3JlaWduLWtleXM+PGtl
eSBhcHA9IkVOIiBkYi1pZD0iZXh2YXNyZngyZHRyYW9lc2FzeHAyc3pzeGEyZGY1MDI1OTJ4IiB0
aW1lc3RhbXA9IjE1NjY3OTgyNDMiPjEzMTY8L2tleT48a2V5IGFwcD0iRU5XZWIiIGRiLWlkPSIi
PjA8L2tleT48L2ZvcmVpZ24ta2V5cz48cmVmLXR5cGUgbmFtZT0iSm91cm5hbCBBcnRpY2xlIj4x
NzwvcmVmLXR5cGU+PGNvbnRyaWJ1dG9ycz48YXV0aG9ycz48YXV0aG9yPkhvZm1leXIsIEcuIEp1
c3R1czwvYXV0aG9yPjxhdXRob3I+TGF3cmllLCBUaGVyZXNhIEEuPC9hdXRob3I+PGF1dGhvcj5B
dGFsbGFoLCDDgWx2YXJvIE4uPC9hdXRob3I+PGF1dGhvcj5Ub3Jsb25pLCBNYXJpYSBSZWdpbmE8
L2F1dGhvcj48L2F1dGhvcnM+PC9jb250cmlidXRvcnM+PHRpdGxlcz48dGl0bGU+Q2FsY2l1bSBz
dXBwbGVtZW50YXRpb24gZHVyaW5nIHByZWduYW5jeSBmb3IgcHJldmVudGluZyBoeXBlcnRlbnNp
dmUgZGlzb3JkZXJzIGFuZCByZWxhdGVkIHByb2JsZW1zPC90aXRsZT48c2Vjb25kYXJ5LXRpdGxl
PkNvY2hyYW5lIERhdGFiYXNlIG9mIFN5c3RlbWF0aWMgUmV2aWV3czwvc2Vjb25kYXJ5LXRpdGxl
PjwvdGl0bGVzPjxwZXJpb2RpY2FsPjxmdWxsLXRpdGxlPkNvY2hyYW5lIERhdGFiYXNlIG9mIFN5
c3RlbWF0aWMgUmV2aWV3czwvZnVsbC10aXRsZT48L3BlcmlvZGljYWw+PGRhdGVzPjx5ZWFyPjIw
MTg8L3llYXI+PC9kYXRlcz48aXNibj4xNDY1MTg1ODwvaXNibj48dXJscz48L3VybHM+PGVsZWN0
cm9uaWMtcmVzb3VyY2UtbnVtPjEwLjEwMDIvMTQ2NTE4NTguQ0QwMDEwNTkucHViNTwvZWxlY3Ry
b25pYy1yZXNvdXJjZS1udW0+PC9yZWNvcmQ+PC9DaXRlPjxDaXRlPjxBdXRob3I+SG9mbWV5cjwv
QXV0aG9yPjxZZWFyPjIwMTQ8L1llYXI+PFJlY051bT4xMzE4PC9SZWNOdW0+PHJlY29yZD48cmVj
LW51bWJlcj4xMzE4PC9yZWMtbnVtYmVyPjxmb3JlaWduLWtleXM+PGtleSBhcHA9IkVOIiBkYi1p
ZD0iZXh2YXNyZngyZHRyYW9lc2FzeHAyc3pzeGEyZGY1MDI1OTJ4IiB0aW1lc3RhbXA9IjE1NjY3
OTgyNTUiPjEzMTg8L2tleT48a2V5IGFwcD0iRU5XZWIiIGRiLWlkPSIiPjA8L2tleT48L2ZvcmVp
Z24ta2V5cz48cmVmLXR5cGUgbmFtZT0iSm91cm5hbCBBcnRpY2xlIj4xNzwvcmVmLXR5cGU+PGNv
bnRyaWJ1dG9ycz48YXV0aG9ycz48YXV0aG9yPkhvZm1leXIsIEcuIEouPC9hdXRob3I+PGF1dGhv
cj5CZWxpemFuLCBKLiBNLjwvYXV0aG9yPjxhdXRob3I+dm9uIERhZGVsc3plbiwgUC48L2F1dGhv
cj48YXV0aG9yPkNhbGNpdW0sPC9hdXRob3I+PGF1dGhvcj5QcmUtZWNsYW1wc2lhIFN0dWR5LCBH
cm91cDwvYXV0aG9yPjwvYXV0aG9ycz48L2NvbnRyaWJ1dG9ycz48YXV0aC1hZGRyZXNzPkVmZmVj
dGl2ZSBDYXJlIFJlc2VhcmNoIFVuaXQsIEVhc3QgTG9uZG9uIEhvc3BpdGFsIENvbXBsZXgvVW5p
dmVyc2l0eSBvZiB0aGUgV2l0d2F0ZXJzcmFuZC9Vbml2ZXJzaXR5IG9mIEZvcnQgSGFyZSwgRWFz
dCBMb25kb24sIEVhc3Rlcm4gQ2FwZSwgU291dGggQWZyaWNhLjwvYXV0aC1hZGRyZXNzPjx0aXRs
ZXM+PHRpdGxlPkxvdy1kb3NlIGNhbGNpdW0gc3VwcGxlbWVudGF0aW9uIGZvciBwcmV2ZW50aW5n
IHByZS1lY2xhbXBzaWE6IGEgc3lzdGVtYXRpYyByZXZpZXcgYW5kIGNvbW1lbnRhcnk8L3RpdGxl
PjxzZWNvbmRhcnktdGl0bGU+QkpPRzwvc2Vjb25kYXJ5LXRpdGxlPjwvdGl0bGVzPjxwZXJpb2Rp
Y2FsPjxmdWxsLXRpdGxlPkJKT0c8L2Z1bGwtdGl0bGU+PC9wZXJpb2RpY2FsPjxwYWdlcz45NTEt
NzwvcGFnZXM+PHZvbHVtZT4xMjE8L3ZvbHVtZT48bnVtYmVyPjg8L251bWJlcj48ZWRpdGlvbj4y
MDE0LzAzLzE0PC9lZGl0aW9uPjxrZXl3b3Jkcz48a2V5d29yZD5DYWxjaXVtLCBEaWV0YXJ5Lyph
ZG1pbmlzdHJhdGlvbiAmYW1wOyBkb3NhZ2UvYWR2ZXJzZSBlZmZlY3RzPC9rZXl3b3JkPjxrZXl3
b3JkPipEaWV0YXJ5IFN1cHBsZW1lbnRzL2FkdmVyc2UgZWZmZWN0czwva2V5d29yZD48a2V5d29y
ZD5GZW1hbGU8L2tleXdvcmQ+PGtleXdvcmQ+SHVtYW5zPC9rZXl3b3JkPjxrZXl3b3JkPkh5cGVy
dGVuc2lvbi8qcHJldmVudGlvbiAmYW1wOyBjb250cm9sPC9rZXl3b3JkPjxrZXl3b3JkPlByZS1F
Y2xhbXBzaWEvKnByZXZlbnRpb24gJmFtcDsgY29udHJvbDwva2V5d29yZD48a2V5d29yZD5QcmVn
bmFuY3k8L2tleXdvcmQ+PGtleXdvcmQ+UHJlZ25hbmN5IENvbXBsaWNhdGlvbnMsIENhcmRpb3Zh
c2N1bGFyLypwcmV2ZW50aW9uICZhbXA7IGNvbnRyb2w8L2tleXdvcmQ+PGtleXdvcmQ+UmFuZG9t
aXplZCBDb250cm9sbGVkIFRyaWFscyBhcyBUb3BpYzwva2V5d29yZD48a2V5d29yZD5UcmVhdG1l
bnQgT3V0Y29tZTwva2V5d29yZD48a2V5d29yZD5DYWxjaXVtIHJlcGxhY2VtZW50PC9rZXl3b3Jk
PjxrZXl3b3JkPmNhbGNpdW0gc3VwcGxlbWVudDwva2V5d29yZD48a2V5d29yZD5lY2xhbXBzaWE8
L2tleXdvcmQ+PGtleXdvcmQ+bG93LWRvc2UgY2FsY2l1bTwva2V5d29yZD48a2V5d29yZD5wcmUt
ZWNsYW1wc2lhPC9rZXl3b3JkPjwva2V5d29yZHM+PGRhdGVzPjx5ZWFyPjIwMTQ8L3llYXI+PHB1
Yi1kYXRlcz48ZGF0ZT5KdWw8L2RhdGU+PC9wdWItZGF0ZXM+PC9kYXRlcz48aXNibj4xNDcxLTA1
MjggKEVsZWN0cm9uaWMpJiN4RDsxNDcwLTAzMjggKExpbmtpbmcpPC9pc2JuPjxhY2Nlc3Npb24t
bnVtPjI0NjIxMTQxPC9hY2Nlc3Npb24tbnVtPjx1cmxzPjxyZWxhdGVkLXVybHM+PHVybD5odHRw
czovL3d3dy5uY2JpLm5sbS5uaWguZ292L3B1Ym1lZC8yNDYyMTE0MTwvdXJsPjwvcmVsYXRlZC11
cmxzPjwvdXJscz48Y3VzdG9tMj5QTUM0MjgyMDU1PC9jdXN0b20yPjxlbGVjdHJvbmljLXJlc291
cmNlLW51bT4xMC4xMTExLzE0NzEtMDUyOC4xMjYxMzwvZWxlY3Ryb25pYy1yZXNvdXJjZS1udW0+
PC9yZWNvcmQ+PC9DaXRlPjxDaXRlPjxBdXRob3I+S2hhaW5nPC9BdXRob3I+PFllYXI+MjAxNzwv
WWVhcj48UmVjTnVtPjEzMjA8L1JlY051bT48cmVjb3JkPjxyZWMtbnVtYmVyPjEzMjA8L3JlYy1u
dW1iZXI+PGZvcmVpZ24ta2V5cz48a2V5IGFwcD0iRU4iIGRiLWlkPSJleHZhc3JmeDJkdHJhb2Vz
YXN4cDJzenN4YTJkZjUwMjU5MngiIHRpbWVzdGFtcD0iMTU2Njc5ODI2MyI+MTMyMDwva2V5Pjxr
ZXkgYXBwPSJFTldlYiIgZGItaWQ9IiI+MDwva2V5PjwvZm9yZWlnbi1rZXlzPjxyZWYtdHlwZSBu
YW1lPSJKb3VybmFsIEFydGljbGUiPjE3PC9yZWYtdHlwZT48Y29udHJpYnV0b3JzPjxhdXRob3Jz
PjxhdXRob3I+S2hhaW5nLCBXLjwvYXV0aG9yPjxhdXRob3I+VmFsbGliaGFrYXJhLCBTLiBBLjwv
YXV0aG9yPjxhdXRob3I+VGFudHJha3VsLCBWLjwvYXV0aG9yPjxhdXRob3I+VmFsbGliaGFrYXJh
LCBPLjwvYXV0aG9yPjxhdXRob3I+UmF0dGFuYXNpcmksIFMuPC9hdXRob3I+PGF1dGhvcj5NY0V2
b3ksIE0uPC9hdXRob3I+PGF1dGhvcj5BdHRpYSwgSi48L2F1dGhvcj48YXV0aG9yPlRoYWtraW5z
dGlhbiwgQS48L2F1dGhvcj48L2F1dGhvcnM+PC9jb250cmlidXRvcnM+PGF1dGgtYWRkcmVzcz5T
ZWN0aW9uIGZvciBDbGluaWNhbCBFcGlkZW1pb2xvZ3kgYW5kIEJpb3N0YXRpc3RpY3MsIEZhY3Vs
dHkgb2YgTWVkaWNpbmUsIFJhbWF0aGlib2RpIEhvc3BpdGFsLCBNYWhpZG9sIFVuaXZlcnNpdHks
IDI3MCBSQU1BIFZJIFJvYWQsIFJhY2hhdGhldmksIEJhbmdrb2sgMTA0MDAsIFRoYWlsYW5kLiBk
ci53aW5raGFpbmdAZ21haWwuY29tLiYjeEQ7RGVwYXJ0bWVudCBvZiBQcmV2ZW50aXZlIGFuZCBT
b2NpYWwgTWVkaWNpbmUsIFVuaXZlcnNpdHkgb2YgTWVkaWNpbmUsIE1hbmRhbGF5IDEwMDEwMiwg
TXlhbm1hci4gZHIud2lua2hhaW5nQGdtYWlsLmNvbS4mI3hEO1NlY3Rpb24gZm9yIENsaW5pY2Fs
IEVwaWRlbWlvbG9neSBhbmQgQmlvc3RhdGlzdGljcywgRmFjdWx0eSBvZiBNZWRpY2luZSwgUmFt
YXRoaWJvZGkgSG9zcGl0YWwsIE1haGlkb2wgVW5pdmVyc2l0eSwgMjcwIFJBTUEgVkkgUm9hZCwg
UmFjaGF0aGV2aSwgQmFuZ2tvayAxMDQwMCwgVGhhaWxhbmQuIGRyLnNha2RhQGdtYWlsLmNvbS4m
I3hEO1NsZWVwIERpc29yZGVyIENlbnRlciwgRGl2aXNpb24gb2YgUHVsbW9uYXJ5IGFuZCBDcml0
aWNhbCBDYXJlLCBGYWN1bHR5IG9mIE1lZGljaW5lLCBSYW1hdGhpYm9kaSBIb3NwaXRhbCwgTWFo
aWRvbCBVbml2ZXJzaXR5LCBCYW5na29rIDEwNDAwLCBUaGFpbGFuZC4gdnRhbnRyYWt1bEBnbWFp
bC5jb20uJiN4RDtEZXBhcnRtZW50IG9mIE9ic3RldHJpY3MgYW5kIEd5bmVjb2xvZ3ksIEZhY3Vs
dHkgb2YgTWVkaWNpbmUsIFJhbWF0aGlib2RpIEhvc3BpdGFsLCBNYWhpZG9sIFVuaXZlcnNpdHks
IEJhbmdrb2sgMTA0MDAsIFRoYWlsYW5kLiBvcmF3aW5yYTM4QGdtYWlsLmNvbS4mI3hEO1NlY3Rp
b24gZm9yIENsaW5pY2FsIEVwaWRlbWlvbG9neSBhbmQgQmlvc3RhdGlzdGljcywgRmFjdWx0eSBv
ZiBNZWRpY2luZSwgUmFtYXRoaWJvZGkgSG9zcGl0YWwsIE1haGlkb2wgVW5pdmVyc2l0eSwgMjcw
IFJBTUEgVkkgUm9hZCwgUmFjaGF0aGV2aSwgQmFuZ2tvayAxMDQwMCwgVGhhaWxhbmQuIHNhc2l2
aW1vbC5yYXRAbWFoaWRvbC5hYy50aC4mI3hEO1NjaG9vbCBvZiBNZWRpY2luZSBhbmQgUHVibGlj
IEhlYWx0aCwgRmFjdWx0eSBvZiBIZWFsdGggYW5kIE1lZGljaW5lLCBUaGUgVW5pdmVyc2l0eSBv
ZiBOZXdjYXN0bGUsIENhbGxhZ2hhbiwgTlNXIDIzMDgsIEF1c3RyYWxpYS4gbWFyay5tY2V2b3lA
bmV3Y2FzdGxlLmVkdS5hdS4mI3hEO1NjaG9vbCBvZiBNZWRpY2luZSBhbmQgUHVibGljIEhlYWx0
aCwgRmFjdWx0eSBvZiBIZWFsdGggYW5kIE1lZGljaW5lLCBUaGUgVW5pdmVyc2l0eSBvZiBOZXdj
YXN0bGUsIENhbGxhZ2hhbiwgTlNXIDIzMDgsIEF1c3RyYWxpYS4gam9obi5hdHRpYUBuZXdjYXN0
bGUuZWR1LmF1LiYjeEQ7U2VjdGlvbiBmb3IgQ2xpbmljYWwgRXBpZGVtaW9sb2d5IGFuZCBCaW9z
dGF0aXN0aWNzLCBGYWN1bHR5IG9mIE1lZGljaW5lLCBSYW1hdGhpYm9kaSBIb3NwaXRhbCwgTWFo
aWRvbCBVbml2ZXJzaXR5LCAyNzAgUkFNQSBWSSBSb2FkLCBSYWNoYXRoZXZpLCBCYW5na29rIDEw
NDAwLCBUaGFpbGFuZC4gYW1tYXJpbi50aGFAbWFoaWRvbC5hYy50aC48L2F1dGgtYWRkcmVzcz48
dGl0bGVzPjx0aXRsZT5DYWxjaXVtIGFuZCBWaXRhbWluIEQgU3VwcGxlbWVudGF0aW9uIGZvciBQ
cmV2ZW50aW9uIG9mIFByZWVjbGFtcHNpYTogQSBTeXN0ZW1hdGljIFJldmlldyBhbmQgTmV0d29y
ayBNZXRhLUFuYWx5c2lzPC90aXRsZT48c2Vjb25kYXJ5LXRpdGxlPk51dHJpZW50czwvc2Vjb25k
YXJ5LXRpdGxlPjwvdGl0bGVzPjxwZXJpb2RpY2FsPjxmdWxsLXRpdGxlPk51dHJpZW50czwvZnVs
bC10aXRsZT48L3BlcmlvZGljYWw+PHZvbHVtZT45PC92b2x1bWU+PG51bWJlcj4xMDwvbnVtYmVy
PjxlZGl0aW9uPjIwMTcvMTAvMjQ8L2VkaXRpb24+PGtleXdvcmRzPjxrZXl3b3JkPkFkb2xlc2Nl
bnQ8L2tleXdvcmQ+PGtleXdvcmQ+QWR1bHQ8L2tleXdvcmQ+PGtleXdvcmQ+Q2FsY2l1bS8qYWRt
aW5pc3RyYXRpb24gJmFtcDsgZG9zYWdlL2FkdmVyc2UgZWZmZWN0czwva2V5d29yZD48a2V5d29y
ZD4qRGlldGFyeSBTdXBwbGVtZW50cy9hZHZlcnNlIGVmZmVjdHM8L2tleXdvcmQ+PGtleXdvcmQ+
RmVtYWxlPC9rZXl3b3JkPjxrZXl3b3JkPkh1bWFuczwva2V5d29yZD48a2V5d29yZD5QcmUtRWNs
YW1wc2lhL2RpYWdub3Npcy9lcGlkZW1pb2xvZ3kvcGh5c2lvcGF0aG9sb2d5LypwcmV2ZW50aW9u
ICZhbXA7IGNvbnRyb2w8L2tleXdvcmQ+PGtleXdvcmQ+UHJlZ25hbmN5PC9rZXl3b3JkPjxrZXl3
b3JkPlJhbmRvbWl6ZWQgQ29udHJvbGxlZCBUcmlhbHMgYXMgVG9waWM8L2tleXdvcmQ+PGtleXdv
cmQ+UmlzayBGYWN0b3JzPC9rZXl3b3JkPjxrZXl3b3JkPlRyZWF0bWVudCBPdXRjb21lPC9rZXl3
b3JkPjxrZXl3b3JkPlZpdGFtaW4gRC8qYWRtaW5pc3RyYXRpb24gJmFtcDsgZG9zYWdlL2FkdmVy
c2UgZWZmZWN0czwva2V5d29yZD48a2V5d29yZD5Zb3VuZyBBZHVsdDwva2V5d29yZD48a2V5d29y
ZD5jYWxjaXVtPC9rZXl3b3JkPjxrZXl3b3JkPmdlc3RhdGlvbmFsIGh5cGVydGVuc2lvbjwva2V5
d29yZD48a2V5d29yZD5uZXR3b3JrIG1ldGEtYW5hbHlzaXM8L2tleXdvcmQ+PGtleXdvcmQ+cHJl
ZWNsYW1wc2lhPC9rZXl3b3JkPjxrZXl3b3JkPnByZXZlbnRpb248L2tleXdvcmQ+PGtleXdvcmQ+
c3lzdGVtYXRpYyByZXZpZXc8L2tleXdvcmQ+PGtleXdvcmQ+dml0YW1pbiBEPC9rZXl3b3JkPjwv
a2V5d29yZHM+PGRhdGVzPjx5ZWFyPjIwMTc8L3llYXI+PHB1Yi1kYXRlcz48ZGF0ZT5PY3QgMTg8
L2RhdGU+PC9wdWItZGF0ZXM+PC9kYXRlcz48aXNibj4yMDcyLTY2NDMgKEVsZWN0cm9uaWMpJiN4
RDsyMDcyLTY2NDMgKExpbmtpbmcpPC9pc2JuPjxhY2Nlc3Npb24tbnVtPjI5MDU3ODQzPC9hY2Nl
c3Npb24tbnVtPjx1cmxzPjxyZWxhdGVkLXVybHM+PHVybD5odHRwczovL3d3dy5uY2JpLm5sbS5u
aWguZ292L3B1Ym1lZC8yOTA1Nzg0MzwvdXJsPjwvcmVsYXRlZC11cmxzPjwvdXJscz48Y3VzdG9t
Mj5QTUM1NjkxNzU3PC9jdXN0b20yPjxlbGVjdHJvbmljLXJlc291cmNlLW51bT4xMC4zMzkwL251
OTEwMTE0MTwvZWxlY3Ryb25pYy1yZXNvdXJjZS1udW0+PC9yZWNvcmQ+PC9DaXRlPjxDaXRlPjxB
dXRob3I+U3VuPC9BdXRob3I+PFllYXI+MjAxOTwvWWVhcj48UmVjTnVtPjEzMjQ8L1JlY051bT48
cmVjb3JkPjxyZWMtbnVtYmVyPjEzMjQ8L3JlYy1udW1iZXI+PGZvcmVpZ24ta2V5cz48a2V5IGFw
cD0iRU4iIGRiLWlkPSJleHZhc3JmeDJkdHJhb2VzYXN4cDJzenN4YTJkZjUwMjU5MngiIHRpbWVz
dGFtcD0iMTU2Njc5ODI4MiI+MTMyNDwva2V5PjxrZXkgYXBwPSJFTldlYiIgZGItaWQ9IiI+MDwv
a2V5PjwvZm9yZWlnbi1rZXlzPjxyZWYtdHlwZSBuYW1lPSJKb3VybmFsIEFydGljbGUiPjE3PC9y
ZWYtdHlwZT48Y29udHJpYnV0b3JzPjxhdXRob3JzPjxhdXRob3I+U3VuLCBYLjwvYXV0aG9yPjxh
dXRob3I+TGksIEguPC9hdXRob3I+PGF1dGhvcj5IZSwgWC48L2F1dGhvcj48YXV0aG9yPkxpLCBN
LjwvYXV0aG9yPjxhdXRob3I+WWFuLCBQLjwvYXV0aG9yPjxhdXRob3I+WHVuLCBZLjwvYXV0aG9y
PjxhdXRob3I+THUsIEMuPC9hdXRob3I+PGF1dGhvcj5ZYW5nLCBLLjwvYXV0aG9yPjxhdXRob3I+
WmhhbmcsIFguPC9hdXRob3I+PC9hdXRob3JzPjwvY29udHJpYnV0b3JzPjxhdXRoLWFkZHJlc3M+
YSBEZXBhcnRtZW50IG9mIE9ic3RldHJpY3MgYW5kIEd5bmVjb2xvZ3ksIFRoZSBGaXJzdCBDbGlu
aWNhbCBNZWRpY2FsIENvbGxlZ2UgLCBMYW56aG91IFVuaXZlcnNpdHksIEdhbnN1IFByb3ZpbmNp
YWwgSG9zcGl0YWwgLCBMYW56aG91ICwgQ2hpbmEuJiN4RDtiIFNjaG9vbCBvZiBQdWJsaWMgSGVh
bHRoICwgTGFuemhvdSBVbml2ZXJzaXR5ICwgTGFuemhvdSAsIENoaW5hLiYjeEQ7YyBFdmlkZW5j
ZS1iYXNlZCBTb2NpYWwgU2NpZW5jZXMgUmVzZWFyY2ggQ2VudGVyICwgTGFuemhvdSBVbml2ZXJz
aXR5ICwgTGFuemhvdSAsIENoaW5hLiYjeEQ7ZCBFdmlkZW5jZS1iYXNlZCBNZWRpY2luZSBDZW50
ZXIsIFNjaG9vbCBvZiBCYXNpYyBNZWRpY2FsIFNjaWVuY2VzICwgTGFuemhvdSBVbml2ZXJzaXR5
ICwgTGFuemhvdSAsIENoaW5hLiYjeEQ7ZSBJbnN0aXR1dGUgb2YgQ2xpbmljYWwgUmVzZWFyY2gg
YW5kIEV2aWRlbmNlIEJhc2VkIE1lZGljaW5lICwgR2Fuc3UgUHJvdmluY2lhbCBIb3NwaXRhbCAs
IExhbnpob3UgLCBDaGluYS4mI3hEO2YgUmVwcm9kdWN0aXZlIE1lZGljaW5lIEhvc3BpdGFsIG9m
IHRoZSBGaXJzdCBIb3NwaXRhbCBvZiBMYW56aG91IFVuaXZlcnNpdHkgLCBMYW56aG91ICwgQ2hp
bmEuPC9hdXRoLWFkZHJlc3M+PHRpdGxlcz48dGl0bGU+VGhlIGFzc29jaWF0aW9uIGJldHdlZW4g
Y2FsY2l1bSBzdXBwbGVtZW50IGFuZCBwcmVlY2xhbXBzaWEgYW5kIGdlc3RhdGlvbmFsIGh5cGVy
dGVuc2lvbjogYSBzeXN0ZW1hdGljIHJldmlldyBhbmQgbWV0YS1hbmFseXNpcyBvZiByYW5kb21p
emVkIHRyaWFsczwvdGl0bGU+PHNlY29uZGFyeS10aXRsZT5IeXBlcnRlbnMgUHJlZ25hbmN5PC9z
ZWNvbmRhcnktdGl0bGU+PC90aXRsZXM+PHBlcmlvZGljYWw+PGZ1bGwtdGl0bGU+SHlwZXJ0ZW5z
IFByZWduYW5jeTwvZnVsbC10aXRsZT48L3BlcmlvZGljYWw+PHBhZ2VzPjEyOS0xMzk8L3BhZ2Vz
Pjx2b2x1bWU+Mzg8L3ZvbHVtZT48bnVtYmVyPjI8L251bWJlcj48ZWRpdGlvbj4yMDE5LzA0LzAz
PC9lZGl0aW9uPjxrZXl3b3Jkcz48a2V5d29yZD5QcmVlY2xhbXBzaWE8L2tleXdvcmQ+PGtleXdv
cmQ+Y2FsY2l1bSBkb3NlPC9rZXl3b3JkPjxrZXl3b3JkPmNhbGNpdW0gc3VwcGxlbWVudDwva2V5
d29yZD48a2V5d29yZD5tZXRhLWFuYWx5c2lzPC9rZXl3b3JkPjxrZXl3b3JkPnByZWduYW5jeS1p
bmR1Y2VkLWh5cGVydGVuc2lvbjwva2V5d29yZD48L2tleXdvcmRzPjxkYXRlcz48eWVhcj4yMDE5
PC95ZWFyPjxwdWItZGF0ZXM+PGRhdGU+TWF5PC9kYXRlPjwvcHViLWRhdGVzPjwvZGF0ZXM+PGlz
Ym4+MTUyNS02MDY1IChFbGVjdHJvbmljKSYjeEQ7MTA2NC0xOTU1IChMaW5raW5nKTwvaXNibj48
YWNjZXNzaW9uLW51bT4zMDkzNTI0NjwvYWNjZXNzaW9uLW51bT48dXJscz48cmVsYXRlZC11cmxz
Pjx1cmw+aHR0cHM6Ly93d3cubmNiaS5ubG0ubmloLmdvdi9wdWJtZWQvMzA5MzUyNDY8L3VybD48
L3JlbGF0ZWQtdXJscz48L3VybHM+PGVsZWN0cm9uaWMtcmVzb3VyY2UtbnVtPjEwLjEwODAvMTA2
NDE5NTUuMjAxOS4xNTkzNDQ1PC9lbGVjdHJvbmljLXJlc291cmNlLW51bT48L3JlY29yZD48L0Np
dGU+PC9FbmROb3RlPn==
</w:fldData>
        </w:fldChar>
      </w:r>
      <w:r w:rsidR="002747EA">
        <w:instrText xml:space="preserve"> ADDIN EN.CITE </w:instrText>
      </w:r>
      <w:r w:rsidR="002747EA">
        <w:fldChar w:fldCharType="begin">
          <w:fldData xml:space="preserve">PEVuZE5vdGU+PENpdGU+PEF1dGhvcj5Ib2ZtZXlyPC9BdXRob3I+PFllYXI+MjAxODwvWWVhcj48
UmVjTnVtPjEzMTY8L1JlY051bT48RGlzcGxheVRleHQ+PHN0eWxlIGZhY2U9InN1cGVyc2NyaXB0
IiBmb250PSJUcmVidWNoZXQgTVMiIHNpemU9IjkiPjE4Ni0xODk8L3N0eWxlPjwvRGlzcGxheVRl
eHQ+PHJlY29yZD48cmVjLW51bWJlcj4xMzE2PC9yZWMtbnVtYmVyPjxmb3JlaWduLWtleXM+PGtl
eSBhcHA9IkVOIiBkYi1pZD0iZXh2YXNyZngyZHRyYW9lc2FzeHAyc3pzeGEyZGY1MDI1OTJ4IiB0
aW1lc3RhbXA9IjE1NjY3OTgyNDMiPjEzMTY8L2tleT48a2V5IGFwcD0iRU5XZWIiIGRiLWlkPSIi
PjA8L2tleT48L2ZvcmVpZ24ta2V5cz48cmVmLXR5cGUgbmFtZT0iSm91cm5hbCBBcnRpY2xlIj4x
NzwvcmVmLXR5cGU+PGNvbnRyaWJ1dG9ycz48YXV0aG9ycz48YXV0aG9yPkhvZm1leXIsIEcuIEp1
c3R1czwvYXV0aG9yPjxhdXRob3I+TGF3cmllLCBUaGVyZXNhIEEuPC9hdXRob3I+PGF1dGhvcj5B
dGFsbGFoLCDDgWx2YXJvIE4uPC9hdXRob3I+PGF1dGhvcj5Ub3Jsb25pLCBNYXJpYSBSZWdpbmE8
L2F1dGhvcj48L2F1dGhvcnM+PC9jb250cmlidXRvcnM+PHRpdGxlcz48dGl0bGU+Q2FsY2l1bSBz
dXBwbGVtZW50YXRpb24gZHVyaW5nIHByZWduYW5jeSBmb3IgcHJldmVudGluZyBoeXBlcnRlbnNp
dmUgZGlzb3JkZXJzIGFuZCByZWxhdGVkIHByb2JsZW1zPC90aXRsZT48c2Vjb25kYXJ5LXRpdGxl
PkNvY2hyYW5lIERhdGFiYXNlIG9mIFN5c3RlbWF0aWMgUmV2aWV3czwvc2Vjb25kYXJ5LXRpdGxl
PjwvdGl0bGVzPjxwZXJpb2RpY2FsPjxmdWxsLXRpdGxlPkNvY2hyYW5lIERhdGFiYXNlIG9mIFN5
c3RlbWF0aWMgUmV2aWV3czwvZnVsbC10aXRsZT48L3BlcmlvZGljYWw+PGRhdGVzPjx5ZWFyPjIw
MTg8L3llYXI+PC9kYXRlcz48aXNibj4xNDY1MTg1ODwvaXNibj48dXJscz48L3VybHM+PGVsZWN0
cm9uaWMtcmVzb3VyY2UtbnVtPjEwLjEwMDIvMTQ2NTE4NTguQ0QwMDEwNTkucHViNTwvZWxlY3Ry
b25pYy1yZXNvdXJjZS1udW0+PC9yZWNvcmQ+PC9DaXRlPjxDaXRlPjxBdXRob3I+SG9mbWV5cjwv
QXV0aG9yPjxZZWFyPjIwMTQ8L1llYXI+PFJlY051bT4xMzE4PC9SZWNOdW0+PHJlY29yZD48cmVj
LW51bWJlcj4xMzE4PC9yZWMtbnVtYmVyPjxmb3JlaWduLWtleXM+PGtleSBhcHA9IkVOIiBkYi1p
ZD0iZXh2YXNyZngyZHRyYW9lc2FzeHAyc3pzeGEyZGY1MDI1OTJ4IiB0aW1lc3RhbXA9IjE1NjY3
OTgyNTUiPjEzMTg8L2tleT48a2V5IGFwcD0iRU5XZWIiIGRiLWlkPSIiPjA8L2tleT48L2ZvcmVp
Z24ta2V5cz48cmVmLXR5cGUgbmFtZT0iSm91cm5hbCBBcnRpY2xlIj4xNzwvcmVmLXR5cGU+PGNv
bnRyaWJ1dG9ycz48YXV0aG9ycz48YXV0aG9yPkhvZm1leXIsIEcuIEouPC9hdXRob3I+PGF1dGhv
cj5CZWxpemFuLCBKLiBNLjwvYXV0aG9yPjxhdXRob3I+dm9uIERhZGVsc3plbiwgUC48L2F1dGhv
cj48YXV0aG9yPkNhbGNpdW0sPC9hdXRob3I+PGF1dGhvcj5QcmUtZWNsYW1wc2lhIFN0dWR5LCBH
cm91cDwvYXV0aG9yPjwvYXV0aG9ycz48L2NvbnRyaWJ1dG9ycz48YXV0aC1hZGRyZXNzPkVmZmVj
dGl2ZSBDYXJlIFJlc2VhcmNoIFVuaXQsIEVhc3QgTG9uZG9uIEhvc3BpdGFsIENvbXBsZXgvVW5p
dmVyc2l0eSBvZiB0aGUgV2l0d2F0ZXJzcmFuZC9Vbml2ZXJzaXR5IG9mIEZvcnQgSGFyZSwgRWFz
dCBMb25kb24sIEVhc3Rlcm4gQ2FwZSwgU291dGggQWZyaWNhLjwvYXV0aC1hZGRyZXNzPjx0aXRs
ZXM+PHRpdGxlPkxvdy1kb3NlIGNhbGNpdW0gc3VwcGxlbWVudGF0aW9uIGZvciBwcmV2ZW50aW5n
IHByZS1lY2xhbXBzaWE6IGEgc3lzdGVtYXRpYyByZXZpZXcgYW5kIGNvbW1lbnRhcnk8L3RpdGxl
PjxzZWNvbmRhcnktdGl0bGU+QkpPRzwvc2Vjb25kYXJ5LXRpdGxlPjwvdGl0bGVzPjxwZXJpb2Rp
Y2FsPjxmdWxsLXRpdGxlPkJKT0c8L2Z1bGwtdGl0bGU+PC9wZXJpb2RpY2FsPjxwYWdlcz45NTEt
NzwvcGFnZXM+PHZvbHVtZT4xMjE8L3ZvbHVtZT48bnVtYmVyPjg8L251bWJlcj48ZWRpdGlvbj4y
MDE0LzAzLzE0PC9lZGl0aW9uPjxrZXl3b3Jkcz48a2V5d29yZD5DYWxjaXVtLCBEaWV0YXJ5Lyph
ZG1pbmlzdHJhdGlvbiAmYW1wOyBkb3NhZ2UvYWR2ZXJzZSBlZmZlY3RzPC9rZXl3b3JkPjxrZXl3
b3JkPipEaWV0YXJ5IFN1cHBsZW1lbnRzL2FkdmVyc2UgZWZmZWN0czwva2V5d29yZD48a2V5d29y
ZD5GZW1hbGU8L2tleXdvcmQ+PGtleXdvcmQ+SHVtYW5zPC9rZXl3b3JkPjxrZXl3b3JkPkh5cGVy
dGVuc2lvbi8qcHJldmVudGlvbiAmYW1wOyBjb250cm9sPC9rZXl3b3JkPjxrZXl3b3JkPlByZS1F
Y2xhbXBzaWEvKnByZXZlbnRpb24gJmFtcDsgY29udHJvbDwva2V5d29yZD48a2V5d29yZD5QcmVn
bmFuY3k8L2tleXdvcmQ+PGtleXdvcmQ+UHJlZ25hbmN5IENvbXBsaWNhdGlvbnMsIENhcmRpb3Zh
c2N1bGFyLypwcmV2ZW50aW9uICZhbXA7IGNvbnRyb2w8L2tleXdvcmQ+PGtleXdvcmQ+UmFuZG9t
aXplZCBDb250cm9sbGVkIFRyaWFscyBhcyBUb3BpYzwva2V5d29yZD48a2V5d29yZD5UcmVhdG1l
bnQgT3V0Y29tZTwva2V5d29yZD48a2V5d29yZD5DYWxjaXVtIHJlcGxhY2VtZW50PC9rZXl3b3Jk
PjxrZXl3b3JkPmNhbGNpdW0gc3VwcGxlbWVudDwva2V5d29yZD48a2V5d29yZD5lY2xhbXBzaWE8
L2tleXdvcmQ+PGtleXdvcmQ+bG93LWRvc2UgY2FsY2l1bTwva2V5d29yZD48a2V5d29yZD5wcmUt
ZWNsYW1wc2lhPC9rZXl3b3JkPjwva2V5d29yZHM+PGRhdGVzPjx5ZWFyPjIwMTQ8L3llYXI+PHB1
Yi1kYXRlcz48ZGF0ZT5KdWw8L2RhdGU+PC9wdWItZGF0ZXM+PC9kYXRlcz48aXNibj4xNDcxLTA1
MjggKEVsZWN0cm9uaWMpJiN4RDsxNDcwLTAzMjggKExpbmtpbmcpPC9pc2JuPjxhY2Nlc3Npb24t
bnVtPjI0NjIxMTQxPC9hY2Nlc3Npb24tbnVtPjx1cmxzPjxyZWxhdGVkLXVybHM+PHVybD5odHRw
czovL3d3dy5uY2JpLm5sbS5uaWguZ292L3B1Ym1lZC8yNDYyMTE0MTwvdXJsPjwvcmVsYXRlZC11
cmxzPjwvdXJscz48Y3VzdG9tMj5QTUM0MjgyMDU1PC9jdXN0b20yPjxlbGVjdHJvbmljLXJlc291
cmNlLW51bT4xMC4xMTExLzE0NzEtMDUyOC4xMjYxMzwvZWxlY3Ryb25pYy1yZXNvdXJjZS1udW0+
PC9yZWNvcmQ+PC9DaXRlPjxDaXRlPjxBdXRob3I+S2hhaW5nPC9BdXRob3I+PFllYXI+MjAxNzwv
WWVhcj48UmVjTnVtPjEzMjA8L1JlY051bT48cmVjb3JkPjxyZWMtbnVtYmVyPjEzMjA8L3JlYy1u
dW1iZXI+PGZvcmVpZ24ta2V5cz48a2V5IGFwcD0iRU4iIGRiLWlkPSJleHZhc3JmeDJkdHJhb2Vz
YXN4cDJzenN4YTJkZjUwMjU5MngiIHRpbWVzdGFtcD0iMTU2Njc5ODI2MyI+MTMyMDwva2V5Pjxr
ZXkgYXBwPSJFTldlYiIgZGItaWQ9IiI+MDwva2V5PjwvZm9yZWlnbi1rZXlzPjxyZWYtdHlwZSBu
YW1lPSJKb3VybmFsIEFydGljbGUiPjE3PC9yZWYtdHlwZT48Y29udHJpYnV0b3JzPjxhdXRob3Jz
PjxhdXRob3I+S2hhaW5nLCBXLjwvYXV0aG9yPjxhdXRob3I+VmFsbGliaGFrYXJhLCBTLiBBLjwv
YXV0aG9yPjxhdXRob3I+VGFudHJha3VsLCBWLjwvYXV0aG9yPjxhdXRob3I+VmFsbGliaGFrYXJh
LCBPLjwvYXV0aG9yPjxhdXRob3I+UmF0dGFuYXNpcmksIFMuPC9hdXRob3I+PGF1dGhvcj5NY0V2
b3ksIE0uPC9hdXRob3I+PGF1dGhvcj5BdHRpYSwgSi48L2F1dGhvcj48YXV0aG9yPlRoYWtraW5z
dGlhbiwgQS48L2F1dGhvcj48L2F1dGhvcnM+PC9jb250cmlidXRvcnM+PGF1dGgtYWRkcmVzcz5T
ZWN0aW9uIGZvciBDbGluaWNhbCBFcGlkZW1pb2xvZ3kgYW5kIEJpb3N0YXRpc3RpY3MsIEZhY3Vs
dHkgb2YgTWVkaWNpbmUsIFJhbWF0aGlib2RpIEhvc3BpdGFsLCBNYWhpZG9sIFVuaXZlcnNpdHks
IDI3MCBSQU1BIFZJIFJvYWQsIFJhY2hhdGhldmksIEJhbmdrb2sgMTA0MDAsIFRoYWlsYW5kLiBk
ci53aW5raGFpbmdAZ21haWwuY29tLiYjeEQ7RGVwYXJ0bWVudCBvZiBQcmV2ZW50aXZlIGFuZCBT
b2NpYWwgTWVkaWNpbmUsIFVuaXZlcnNpdHkgb2YgTWVkaWNpbmUsIE1hbmRhbGF5IDEwMDEwMiwg
TXlhbm1hci4gZHIud2lua2hhaW5nQGdtYWlsLmNvbS4mI3hEO1NlY3Rpb24gZm9yIENsaW5pY2Fs
IEVwaWRlbWlvbG9neSBhbmQgQmlvc3RhdGlzdGljcywgRmFjdWx0eSBvZiBNZWRpY2luZSwgUmFt
YXRoaWJvZGkgSG9zcGl0YWwsIE1haGlkb2wgVW5pdmVyc2l0eSwgMjcwIFJBTUEgVkkgUm9hZCwg
UmFjaGF0aGV2aSwgQmFuZ2tvayAxMDQwMCwgVGhhaWxhbmQuIGRyLnNha2RhQGdtYWlsLmNvbS4m
I3hEO1NsZWVwIERpc29yZGVyIENlbnRlciwgRGl2aXNpb24gb2YgUHVsbW9uYXJ5IGFuZCBDcml0
aWNhbCBDYXJlLCBGYWN1bHR5IG9mIE1lZGljaW5lLCBSYW1hdGhpYm9kaSBIb3NwaXRhbCwgTWFo
aWRvbCBVbml2ZXJzaXR5LCBCYW5na29rIDEwNDAwLCBUaGFpbGFuZC4gdnRhbnRyYWt1bEBnbWFp
bC5jb20uJiN4RDtEZXBhcnRtZW50IG9mIE9ic3RldHJpY3MgYW5kIEd5bmVjb2xvZ3ksIEZhY3Vs
dHkgb2YgTWVkaWNpbmUsIFJhbWF0aGlib2RpIEhvc3BpdGFsLCBNYWhpZG9sIFVuaXZlcnNpdHks
IEJhbmdrb2sgMTA0MDAsIFRoYWlsYW5kLiBvcmF3aW5yYTM4QGdtYWlsLmNvbS4mI3hEO1NlY3Rp
b24gZm9yIENsaW5pY2FsIEVwaWRlbWlvbG9neSBhbmQgQmlvc3RhdGlzdGljcywgRmFjdWx0eSBv
ZiBNZWRpY2luZSwgUmFtYXRoaWJvZGkgSG9zcGl0YWwsIE1haGlkb2wgVW5pdmVyc2l0eSwgMjcw
IFJBTUEgVkkgUm9hZCwgUmFjaGF0aGV2aSwgQmFuZ2tvayAxMDQwMCwgVGhhaWxhbmQuIHNhc2l2
aW1vbC5yYXRAbWFoaWRvbC5hYy50aC4mI3hEO1NjaG9vbCBvZiBNZWRpY2luZSBhbmQgUHVibGlj
IEhlYWx0aCwgRmFjdWx0eSBvZiBIZWFsdGggYW5kIE1lZGljaW5lLCBUaGUgVW5pdmVyc2l0eSBv
ZiBOZXdjYXN0bGUsIENhbGxhZ2hhbiwgTlNXIDIzMDgsIEF1c3RyYWxpYS4gbWFyay5tY2V2b3lA
bmV3Y2FzdGxlLmVkdS5hdS4mI3hEO1NjaG9vbCBvZiBNZWRpY2luZSBhbmQgUHVibGljIEhlYWx0
aCwgRmFjdWx0eSBvZiBIZWFsdGggYW5kIE1lZGljaW5lLCBUaGUgVW5pdmVyc2l0eSBvZiBOZXdj
YXN0bGUsIENhbGxhZ2hhbiwgTlNXIDIzMDgsIEF1c3RyYWxpYS4gam9obi5hdHRpYUBuZXdjYXN0
bGUuZWR1LmF1LiYjeEQ7U2VjdGlvbiBmb3IgQ2xpbmljYWwgRXBpZGVtaW9sb2d5IGFuZCBCaW9z
dGF0aXN0aWNzLCBGYWN1bHR5IG9mIE1lZGljaW5lLCBSYW1hdGhpYm9kaSBIb3NwaXRhbCwgTWFo
aWRvbCBVbml2ZXJzaXR5LCAyNzAgUkFNQSBWSSBSb2FkLCBSYWNoYXRoZXZpLCBCYW5na29rIDEw
NDAwLCBUaGFpbGFuZC4gYW1tYXJpbi50aGFAbWFoaWRvbC5hYy50aC48L2F1dGgtYWRkcmVzcz48
dGl0bGVzPjx0aXRsZT5DYWxjaXVtIGFuZCBWaXRhbWluIEQgU3VwcGxlbWVudGF0aW9uIGZvciBQ
cmV2ZW50aW9uIG9mIFByZWVjbGFtcHNpYTogQSBTeXN0ZW1hdGljIFJldmlldyBhbmQgTmV0d29y
ayBNZXRhLUFuYWx5c2lzPC90aXRsZT48c2Vjb25kYXJ5LXRpdGxlPk51dHJpZW50czwvc2Vjb25k
YXJ5LXRpdGxlPjwvdGl0bGVzPjxwZXJpb2RpY2FsPjxmdWxsLXRpdGxlPk51dHJpZW50czwvZnVs
bC10aXRsZT48L3BlcmlvZGljYWw+PHZvbHVtZT45PC92b2x1bWU+PG51bWJlcj4xMDwvbnVtYmVy
PjxlZGl0aW9uPjIwMTcvMTAvMjQ8L2VkaXRpb24+PGtleXdvcmRzPjxrZXl3b3JkPkFkb2xlc2Nl
bnQ8L2tleXdvcmQ+PGtleXdvcmQ+QWR1bHQ8L2tleXdvcmQ+PGtleXdvcmQ+Q2FsY2l1bS8qYWRt
aW5pc3RyYXRpb24gJmFtcDsgZG9zYWdlL2FkdmVyc2UgZWZmZWN0czwva2V5d29yZD48a2V5d29y
ZD4qRGlldGFyeSBTdXBwbGVtZW50cy9hZHZlcnNlIGVmZmVjdHM8L2tleXdvcmQ+PGtleXdvcmQ+
RmVtYWxlPC9rZXl3b3JkPjxrZXl3b3JkPkh1bWFuczwva2V5d29yZD48a2V5d29yZD5QcmUtRWNs
YW1wc2lhL2RpYWdub3Npcy9lcGlkZW1pb2xvZ3kvcGh5c2lvcGF0aG9sb2d5LypwcmV2ZW50aW9u
ICZhbXA7IGNvbnRyb2w8L2tleXdvcmQ+PGtleXdvcmQ+UHJlZ25hbmN5PC9rZXl3b3JkPjxrZXl3
b3JkPlJhbmRvbWl6ZWQgQ29udHJvbGxlZCBUcmlhbHMgYXMgVG9waWM8L2tleXdvcmQ+PGtleXdv
cmQ+UmlzayBGYWN0b3JzPC9rZXl3b3JkPjxrZXl3b3JkPlRyZWF0bWVudCBPdXRjb21lPC9rZXl3
b3JkPjxrZXl3b3JkPlZpdGFtaW4gRC8qYWRtaW5pc3RyYXRpb24gJmFtcDsgZG9zYWdlL2FkdmVy
c2UgZWZmZWN0czwva2V5d29yZD48a2V5d29yZD5Zb3VuZyBBZHVsdDwva2V5d29yZD48a2V5d29y
ZD5jYWxjaXVtPC9rZXl3b3JkPjxrZXl3b3JkPmdlc3RhdGlvbmFsIGh5cGVydGVuc2lvbjwva2V5
d29yZD48a2V5d29yZD5uZXR3b3JrIG1ldGEtYW5hbHlzaXM8L2tleXdvcmQ+PGtleXdvcmQ+cHJl
ZWNsYW1wc2lhPC9rZXl3b3JkPjxrZXl3b3JkPnByZXZlbnRpb248L2tleXdvcmQ+PGtleXdvcmQ+
c3lzdGVtYXRpYyByZXZpZXc8L2tleXdvcmQ+PGtleXdvcmQ+dml0YW1pbiBEPC9rZXl3b3JkPjwv
a2V5d29yZHM+PGRhdGVzPjx5ZWFyPjIwMTc8L3llYXI+PHB1Yi1kYXRlcz48ZGF0ZT5PY3QgMTg8
L2RhdGU+PC9wdWItZGF0ZXM+PC9kYXRlcz48aXNibj4yMDcyLTY2NDMgKEVsZWN0cm9uaWMpJiN4
RDsyMDcyLTY2NDMgKExpbmtpbmcpPC9pc2JuPjxhY2Nlc3Npb24tbnVtPjI5MDU3ODQzPC9hY2Nl
c3Npb24tbnVtPjx1cmxzPjxyZWxhdGVkLXVybHM+PHVybD5odHRwczovL3d3dy5uY2JpLm5sbS5u
aWguZ292L3B1Ym1lZC8yOTA1Nzg0MzwvdXJsPjwvcmVsYXRlZC11cmxzPjwvdXJscz48Y3VzdG9t
Mj5QTUM1NjkxNzU3PC9jdXN0b20yPjxlbGVjdHJvbmljLXJlc291cmNlLW51bT4xMC4zMzkwL251
OTEwMTE0MTwvZWxlY3Ryb25pYy1yZXNvdXJjZS1udW0+PC9yZWNvcmQ+PC9DaXRlPjxDaXRlPjxB
dXRob3I+U3VuPC9BdXRob3I+PFllYXI+MjAxOTwvWWVhcj48UmVjTnVtPjEzMjQ8L1JlY051bT48
cmVjb3JkPjxyZWMtbnVtYmVyPjEzMjQ8L3JlYy1udW1iZXI+PGZvcmVpZ24ta2V5cz48a2V5IGFw
cD0iRU4iIGRiLWlkPSJleHZhc3JmeDJkdHJhb2VzYXN4cDJzenN4YTJkZjUwMjU5MngiIHRpbWVz
dGFtcD0iMTU2Njc5ODI4MiI+MTMyNDwva2V5PjxrZXkgYXBwPSJFTldlYiIgZGItaWQ9IiI+MDwv
a2V5PjwvZm9yZWlnbi1rZXlzPjxyZWYtdHlwZSBuYW1lPSJKb3VybmFsIEFydGljbGUiPjE3PC9y
ZWYtdHlwZT48Y29udHJpYnV0b3JzPjxhdXRob3JzPjxhdXRob3I+U3VuLCBYLjwvYXV0aG9yPjxh
dXRob3I+TGksIEguPC9hdXRob3I+PGF1dGhvcj5IZSwgWC48L2F1dGhvcj48YXV0aG9yPkxpLCBN
LjwvYXV0aG9yPjxhdXRob3I+WWFuLCBQLjwvYXV0aG9yPjxhdXRob3I+WHVuLCBZLjwvYXV0aG9y
PjxhdXRob3I+THUsIEMuPC9hdXRob3I+PGF1dGhvcj5ZYW5nLCBLLjwvYXV0aG9yPjxhdXRob3I+
WmhhbmcsIFguPC9hdXRob3I+PC9hdXRob3JzPjwvY29udHJpYnV0b3JzPjxhdXRoLWFkZHJlc3M+
YSBEZXBhcnRtZW50IG9mIE9ic3RldHJpY3MgYW5kIEd5bmVjb2xvZ3ksIFRoZSBGaXJzdCBDbGlu
aWNhbCBNZWRpY2FsIENvbGxlZ2UgLCBMYW56aG91IFVuaXZlcnNpdHksIEdhbnN1IFByb3ZpbmNp
YWwgSG9zcGl0YWwgLCBMYW56aG91ICwgQ2hpbmEuJiN4RDtiIFNjaG9vbCBvZiBQdWJsaWMgSGVh
bHRoICwgTGFuemhvdSBVbml2ZXJzaXR5ICwgTGFuemhvdSAsIENoaW5hLiYjeEQ7YyBFdmlkZW5j
ZS1iYXNlZCBTb2NpYWwgU2NpZW5jZXMgUmVzZWFyY2ggQ2VudGVyICwgTGFuemhvdSBVbml2ZXJz
aXR5ICwgTGFuemhvdSAsIENoaW5hLiYjeEQ7ZCBFdmlkZW5jZS1iYXNlZCBNZWRpY2luZSBDZW50
ZXIsIFNjaG9vbCBvZiBCYXNpYyBNZWRpY2FsIFNjaWVuY2VzICwgTGFuemhvdSBVbml2ZXJzaXR5
ICwgTGFuemhvdSAsIENoaW5hLiYjeEQ7ZSBJbnN0aXR1dGUgb2YgQ2xpbmljYWwgUmVzZWFyY2gg
YW5kIEV2aWRlbmNlIEJhc2VkIE1lZGljaW5lICwgR2Fuc3UgUHJvdmluY2lhbCBIb3NwaXRhbCAs
IExhbnpob3UgLCBDaGluYS4mI3hEO2YgUmVwcm9kdWN0aXZlIE1lZGljaW5lIEhvc3BpdGFsIG9m
IHRoZSBGaXJzdCBIb3NwaXRhbCBvZiBMYW56aG91IFVuaXZlcnNpdHkgLCBMYW56aG91ICwgQ2hp
bmEuPC9hdXRoLWFkZHJlc3M+PHRpdGxlcz48dGl0bGU+VGhlIGFzc29jaWF0aW9uIGJldHdlZW4g
Y2FsY2l1bSBzdXBwbGVtZW50IGFuZCBwcmVlY2xhbXBzaWEgYW5kIGdlc3RhdGlvbmFsIGh5cGVy
dGVuc2lvbjogYSBzeXN0ZW1hdGljIHJldmlldyBhbmQgbWV0YS1hbmFseXNpcyBvZiByYW5kb21p
emVkIHRyaWFsczwvdGl0bGU+PHNlY29uZGFyeS10aXRsZT5IeXBlcnRlbnMgUHJlZ25hbmN5PC9z
ZWNvbmRhcnktdGl0bGU+PC90aXRsZXM+PHBlcmlvZGljYWw+PGZ1bGwtdGl0bGU+SHlwZXJ0ZW5z
IFByZWduYW5jeTwvZnVsbC10aXRsZT48L3BlcmlvZGljYWw+PHBhZ2VzPjEyOS0xMzk8L3BhZ2Vz
Pjx2b2x1bWU+Mzg8L3ZvbHVtZT48bnVtYmVyPjI8L251bWJlcj48ZWRpdGlvbj4yMDE5LzA0LzAz
PC9lZGl0aW9uPjxrZXl3b3Jkcz48a2V5d29yZD5QcmVlY2xhbXBzaWE8L2tleXdvcmQ+PGtleXdv
cmQ+Y2FsY2l1bSBkb3NlPC9rZXl3b3JkPjxrZXl3b3JkPmNhbGNpdW0gc3VwcGxlbWVudDwva2V5
d29yZD48a2V5d29yZD5tZXRhLWFuYWx5c2lzPC9rZXl3b3JkPjxrZXl3b3JkPnByZWduYW5jeS1p
bmR1Y2VkLWh5cGVydGVuc2lvbjwva2V5d29yZD48L2tleXdvcmRzPjxkYXRlcz48eWVhcj4yMDE5
PC95ZWFyPjxwdWItZGF0ZXM+PGRhdGU+TWF5PC9kYXRlPjwvcHViLWRhdGVzPjwvZGF0ZXM+PGlz
Ym4+MTUyNS02MDY1IChFbGVjdHJvbmljKSYjeEQ7MTA2NC0xOTU1IChMaW5raW5nKTwvaXNibj48
YWNjZXNzaW9uLW51bT4zMDkzNTI0NjwvYWNjZXNzaW9uLW51bT48dXJscz48cmVsYXRlZC11cmxz
Pjx1cmw+aHR0cHM6Ly93d3cubmNiaS5ubG0ubmloLmdvdi9wdWJtZWQvMzA5MzUyNDY8L3VybD48
L3JlbGF0ZWQtdXJscz48L3VybHM+PGVsZWN0cm9uaWMtcmVzb3VyY2UtbnVtPjEwLjEwODAvMTA2
NDE5NTUuMjAxOS4xNTkzNDQ1PC9lbGVjdHJvbmljLXJlc291cmNlLW51bT48L3JlY29yZD48L0Np
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186-189</w:t>
      </w:r>
      <w:r>
        <w:fldChar w:fldCharType="end"/>
      </w:r>
      <w:r>
        <w:t xml:space="preserve">. </w:t>
      </w:r>
    </w:p>
    <w:p w14:paraId="560A5AA3" w14:textId="75DF4D3D" w:rsidR="00687E3F" w:rsidRDefault="00687E3F" w:rsidP="00687E3F">
      <w:r>
        <w:t>H</w:t>
      </w:r>
      <w:r w:rsidRPr="006C2358">
        <w:t>igh-</w:t>
      </w:r>
      <w:r>
        <w:t>dose calcium supplementation (≥</w:t>
      </w:r>
      <w:r w:rsidRPr="006C2358">
        <w:t>1</w:t>
      </w:r>
      <w:r>
        <w:t> </w:t>
      </w:r>
      <w:r w:rsidRPr="006C2358">
        <w:t>g/day) reduce</w:t>
      </w:r>
      <w:r>
        <w:t>s</w:t>
      </w:r>
      <w:r w:rsidRPr="006C2358">
        <w:t xml:space="preserve"> the risk of </w:t>
      </w:r>
      <w:r>
        <w:t>gestational hypertension (</w:t>
      </w:r>
      <w:r w:rsidRPr="006C2358">
        <w:rPr>
          <w:sz w:val="16"/>
          <w:szCs w:val="16"/>
        </w:rPr>
        <w:t>RR 0.65; 95%CI 0.53 to 0.81; 12 RCTs; n=15,470</w:t>
      </w:r>
      <w:r>
        <w:t>), with a clearer effect among women with low dietary calcium (</w:t>
      </w:r>
      <w:r w:rsidRPr="00B0767E">
        <w:rPr>
          <w:sz w:val="16"/>
          <w:szCs w:val="16"/>
        </w:rPr>
        <w:t xml:space="preserve">RR 0.44; 95%CI 0.28 to 0.70; 7 </w:t>
      </w:r>
      <w:r>
        <w:rPr>
          <w:sz w:val="16"/>
          <w:szCs w:val="16"/>
        </w:rPr>
        <w:t>RCTs</w:t>
      </w:r>
      <w:r w:rsidRPr="00B0767E">
        <w:rPr>
          <w:sz w:val="16"/>
          <w:szCs w:val="16"/>
        </w:rPr>
        <w:t>; n=10,418</w:t>
      </w:r>
      <w:r>
        <w:t xml:space="preserve">) than among women with adequate dietary calcium ( </w:t>
      </w:r>
      <w:r w:rsidRPr="00B0767E">
        <w:rPr>
          <w:sz w:val="16"/>
          <w:szCs w:val="16"/>
        </w:rPr>
        <w:t xml:space="preserve">RR 0.90; 95%CI 0.81 to 0.99; 4 </w:t>
      </w:r>
      <w:r>
        <w:rPr>
          <w:sz w:val="16"/>
          <w:szCs w:val="16"/>
        </w:rPr>
        <w:t>RCTs</w:t>
      </w:r>
      <w:r w:rsidRPr="00B0767E">
        <w:rPr>
          <w:sz w:val="16"/>
          <w:szCs w:val="16"/>
        </w:rPr>
        <w:t>; n=5,022</w:t>
      </w:r>
      <w:r>
        <w:t xml:space="preserve">) </w:t>
      </w:r>
      <w:r>
        <w:fldChar w:fldCharType="begin"/>
      </w:r>
      <w:r w:rsidR="002747EA">
        <w:instrText xml:space="preserve"> ADDIN EN.CITE &lt;EndNote&gt;&lt;Cite&gt;&lt;Author&gt;Hofmeyr&lt;/Author&gt;&lt;Year&gt;2018&lt;/Year&gt;&lt;RecNum&gt;1316&lt;/RecNum&gt;&lt;DisplayText&gt;&lt;style face="superscript" font="Trebuchet MS" size="9"&gt;186&lt;/style&gt;&lt;/DisplayText&gt;&lt;record&gt;&lt;rec-number&gt;1316&lt;/rec-number&gt;&lt;foreign-keys&gt;&lt;key app="EN" db-id="exvasrfx2dtraoesasxp2szsxa2df502592x" timestamp="1566798243"&gt;1316&lt;/key&gt;&lt;key app="ENWeb" db-id=""&gt;0&lt;/key&gt;&lt;/foreign-keys&gt;&lt;ref-type name="Journal Article"&gt;17&lt;/ref-type&gt;&lt;contributors&gt;&lt;authors&gt;&lt;author&gt;Hofmeyr, G. Justus&lt;/author&gt;&lt;author&gt;Lawrie, Theresa A.&lt;/author&gt;&lt;author&gt;Atallah, Álvaro N.&lt;/author&gt;&lt;author&gt;Torloni, Maria Regina&lt;/author&gt;&lt;/authors&gt;&lt;/contributors&gt;&lt;titles&gt;&lt;title&gt;Calcium supplementation during pregnancy for preventing hypertensive disorders and related problems&lt;/title&gt;&lt;secondary-title&gt;Cochrane Database of Systematic Reviews&lt;/secondary-title&gt;&lt;/titles&gt;&lt;periodical&gt;&lt;full-title&gt;Cochrane Database of Systematic Reviews&lt;/full-title&gt;&lt;/periodical&gt;&lt;dates&gt;&lt;year&gt;2018&lt;/year&gt;&lt;/dates&gt;&lt;isbn&gt;14651858&lt;/isbn&gt;&lt;urls&gt;&lt;/urls&gt;&lt;electronic-resource-num&gt;10.1002/14651858.CD001059.pub5&lt;/electronic-resource-num&gt;&lt;/record&gt;&lt;/Cite&gt;&lt;/EndNote&gt;</w:instrText>
      </w:r>
      <w:r>
        <w:fldChar w:fldCharType="separate"/>
      </w:r>
      <w:r w:rsidR="002747EA" w:rsidRPr="002747EA">
        <w:rPr>
          <w:noProof/>
          <w:vertAlign w:val="superscript"/>
        </w:rPr>
        <w:t>186</w:t>
      </w:r>
      <w:r>
        <w:fldChar w:fldCharType="end"/>
      </w:r>
      <w:r>
        <w:t>. High dose calcium also reduces the risk of pre-eclampsia (</w:t>
      </w:r>
      <w:r w:rsidRPr="00B0767E">
        <w:rPr>
          <w:sz w:val="16"/>
          <w:szCs w:val="16"/>
        </w:rPr>
        <w:t xml:space="preserve">RR 0.45; 95CI 0.31 to 0.65; 13 trials; n=15,730; low </w:t>
      </w:r>
      <w:r w:rsidR="00836F2D">
        <w:rPr>
          <w:sz w:val="16"/>
          <w:szCs w:val="16"/>
        </w:rPr>
        <w:t>certainty</w:t>
      </w:r>
      <w:r>
        <w:t xml:space="preserve">). </w:t>
      </w:r>
    </w:p>
    <w:p w14:paraId="6643F36F" w14:textId="6D843999" w:rsidR="00687E3F" w:rsidRDefault="00687E3F" w:rsidP="00687E3F">
      <w:r>
        <w:t>Low dose calcium (&lt;1 g/day) also reduces the risk of gestational hypertension (</w:t>
      </w:r>
      <w:r w:rsidRPr="00B0767E">
        <w:rPr>
          <w:sz w:val="16"/>
          <w:szCs w:val="16"/>
        </w:rPr>
        <w:t>RR 0.57; 95%CI 0.39 to 0.82; 3</w:t>
      </w:r>
      <w:r>
        <w:rPr>
          <w:sz w:val="16"/>
          <w:szCs w:val="16"/>
        </w:rPr>
        <w:t> </w:t>
      </w:r>
      <w:r w:rsidRPr="00B0767E">
        <w:rPr>
          <w:sz w:val="16"/>
          <w:szCs w:val="16"/>
        </w:rPr>
        <w:t>RCTs; n=558</w:t>
      </w:r>
      <w:r>
        <w:t xml:space="preserve">) </w:t>
      </w:r>
      <w:r>
        <w:fldChar w:fldCharType="begin"/>
      </w:r>
      <w:r w:rsidR="002747EA">
        <w:instrText xml:space="preserve"> ADDIN EN.CITE &lt;EndNote&gt;&lt;Cite&gt;&lt;Author&gt;Hofmeyr&lt;/Author&gt;&lt;Year&gt;2018&lt;/Year&gt;&lt;RecNum&gt;1316&lt;/RecNum&gt;&lt;DisplayText&gt;&lt;style face="superscript" font="Trebuchet MS" size="9"&gt;186&lt;/style&gt;&lt;/DisplayText&gt;&lt;record&gt;&lt;rec-number&gt;1316&lt;/rec-number&gt;&lt;foreign-keys&gt;&lt;key app="EN" db-id="exvasrfx2dtraoesasxp2szsxa2df502592x" timestamp="1566798243"&gt;1316&lt;/key&gt;&lt;key app="ENWeb" db-id=""&gt;0&lt;/key&gt;&lt;/foreign-keys&gt;&lt;ref-type name="Journal Article"&gt;17&lt;/ref-type&gt;&lt;contributors&gt;&lt;authors&gt;&lt;author&gt;Hofmeyr, G. Justus&lt;/author&gt;&lt;author&gt;Lawrie, Theresa A.&lt;/author&gt;&lt;author&gt;Atallah, Álvaro N.&lt;/author&gt;&lt;author&gt;Torloni, Maria Regina&lt;/author&gt;&lt;/authors&gt;&lt;/contributors&gt;&lt;titles&gt;&lt;title&gt;Calcium supplementation during pregnancy for preventing hypertensive disorders and related problems&lt;/title&gt;&lt;secondary-title&gt;Cochrane Database of Systematic Reviews&lt;/secondary-title&gt;&lt;/titles&gt;&lt;periodical&gt;&lt;full-title&gt;Cochrane Database of Systematic Reviews&lt;/full-title&gt;&lt;/periodical&gt;&lt;dates&gt;&lt;year&gt;2018&lt;/year&gt;&lt;/dates&gt;&lt;isbn&gt;14651858&lt;/isbn&gt;&lt;urls&gt;&lt;/urls&gt;&lt;electronic-resource-num&gt;10.1002/14651858.CD001059.pub5&lt;/electronic-resource-num&gt;&lt;/record&gt;&lt;/Cite&gt;&lt;/EndNote&gt;</w:instrText>
      </w:r>
      <w:r>
        <w:fldChar w:fldCharType="separate"/>
      </w:r>
      <w:r w:rsidR="002747EA" w:rsidRPr="002747EA">
        <w:rPr>
          <w:noProof/>
          <w:vertAlign w:val="superscript"/>
        </w:rPr>
        <w:t>186</w:t>
      </w:r>
      <w:r>
        <w:fldChar w:fldCharType="end"/>
      </w:r>
      <w:r>
        <w:t xml:space="preserve"> and pre-eclampsia (</w:t>
      </w:r>
      <w:r w:rsidRPr="00B0767E">
        <w:rPr>
          <w:sz w:val="16"/>
          <w:szCs w:val="16"/>
        </w:rPr>
        <w:t>RR 0.36; 95%CI 0.23 to 0.57; 4 RCTs; n=980</w:t>
      </w:r>
      <w:r>
        <w:t xml:space="preserve">) </w:t>
      </w:r>
      <w:r>
        <w:fldChar w:fldCharType="begin">
          <w:fldData xml:space="preserve">PEVuZE5vdGU+PENpdGU+PEF1dGhvcj5Ib2ZtZXlyPC9BdXRob3I+PFllYXI+MjAxNDwvWWVhcj48
UmVjTnVtPjEzMTg8L1JlY051bT48RGlzcGxheVRleHQ+PHN0eWxlIGZhY2U9InN1cGVyc2NyaXB0
IiBmb250PSJUcmVidWNoZXQgTVMiIHNpemU9IjkiPjE4Nzwvc3R5bGU+PC9EaXNwbGF5VGV4dD48
cmVjb3JkPjxyZWMtbnVtYmVyPjEzMTg8L3JlYy1udW1iZXI+PGZvcmVpZ24ta2V5cz48a2V5IGFw
cD0iRU4iIGRiLWlkPSJleHZhc3JmeDJkdHJhb2VzYXN4cDJzenN4YTJkZjUwMjU5MngiIHRpbWVz
dGFtcD0iMTU2Njc5ODI1NSI+MTMxODwva2V5PjxrZXkgYXBwPSJFTldlYiIgZGItaWQ9IiI+MDwv
a2V5PjwvZm9yZWlnbi1rZXlzPjxyZWYtdHlwZSBuYW1lPSJKb3VybmFsIEFydGljbGUiPjE3PC9y
ZWYtdHlwZT48Y29udHJpYnV0b3JzPjxhdXRob3JzPjxhdXRob3I+SG9mbWV5ciwgRy4gSi48L2F1
dGhvcj48YXV0aG9yPkJlbGl6YW4sIEouIE0uPC9hdXRob3I+PGF1dGhvcj52b24gRGFkZWxzemVu
LCBQLjwvYXV0aG9yPjxhdXRob3I+Q2FsY2l1bSw8L2F1dGhvcj48YXV0aG9yPlByZS1lY2xhbXBz
aWEgU3R1ZHksIEdyb3VwPC9hdXRob3I+PC9hdXRob3JzPjwvY29udHJpYnV0b3JzPjxhdXRoLWFk
ZHJlc3M+RWZmZWN0aXZlIENhcmUgUmVzZWFyY2ggVW5pdCwgRWFzdCBMb25kb24gSG9zcGl0YWwg
Q29tcGxleC9Vbml2ZXJzaXR5IG9mIHRoZSBXaXR3YXRlcnNyYW5kL1VuaXZlcnNpdHkgb2YgRm9y
dCBIYXJlLCBFYXN0IExvbmRvbiwgRWFzdGVybiBDYXBlLCBTb3V0aCBBZnJpY2EuPC9hdXRoLWFk
ZHJlc3M+PHRpdGxlcz48dGl0bGU+TG93LWRvc2UgY2FsY2l1bSBzdXBwbGVtZW50YXRpb24gZm9y
IHByZXZlbnRpbmcgcHJlLWVjbGFtcHNpYTogYSBzeXN0ZW1hdGljIHJldmlldyBhbmQgY29tbWVu
dGFyeTwvdGl0bGU+PHNlY29uZGFyeS10aXRsZT5CSk9HPC9zZWNvbmRhcnktdGl0bGU+PC90aXRs
ZXM+PHBlcmlvZGljYWw+PGZ1bGwtdGl0bGU+QkpPRzwvZnVsbC10aXRsZT48L3BlcmlvZGljYWw+
PHBhZ2VzPjk1MS03PC9wYWdlcz48dm9sdW1lPjEyMTwvdm9sdW1lPjxudW1iZXI+ODwvbnVtYmVy
PjxlZGl0aW9uPjIwMTQvMDMvMTQ8L2VkaXRpb24+PGtleXdvcmRzPjxrZXl3b3JkPkNhbGNpdW0s
IERpZXRhcnkvKmFkbWluaXN0cmF0aW9uICZhbXA7IGRvc2FnZS9hZHZlcnNlIGVmZmVjdHM8L2tl
eXdvcmQ+PGtleXdvcmQ+KkRpZXRhcnkgU3VwcGxlbWVudHMvYWR2ZXJzZSBlZmZlY3RzPC9rZXl3
b3JkPjxrZXl3b3JkPkZlbWFsZTwva2V5d29yZD48a2V5d29yZD5IdW1hbnM8L2tleXdvcmQ+PGtl
eXdvcmQ+SHlwZXJ0ZW5zaW9uLypwcmV2ZW50aW9uICZhbXA7IGNvbnRyb2w8L2tleXdvcmQ+PGtl
eXdvcmQ+UHJlLUVjbGFtcHNpYS8qcHJldmVudGlvbiAmYW1wOyBjb250cm9sPC9rZXl3b3JkPjxr
ZXl3b3JkPlByZWduYW5jeTwva2V5d29yZD48a2V5d29yZD5QcmVnbmFuY3kgQ29tcGxpY2F0aW9u
cywgQ2FyZGlvdmFzY3VsYXIvKnByZXZlbnRpb24gJmFtcDsgY29udHJvbDwva2V5d29yZD48a2V5
d29yZD5SYW5kb21pemVkIENvbnRyb2xsZWQgVHJpYWxzIGFzIFRvcGljPC9rZXl3b3JkPjxrZXl3
b3JkPlRyZWF0bWVudCBPdXRjb21lPC9rZXl3b3JkPjxrZXl3b3JkPkNhbGNpdW0gcmVwbGFjZW1l
bnQ8L2tleXdvcmQ+PGtleXdvcmQ+Y2FsY2l1bSBzdXBwbGVtZW50PC9rZXl3b3JkPjxrZXl3b3Jk
PmVjbGFtcHNpYTwva2V5d29yZD48a2V5d29yZD5sb3ctZG9zZSBjYWxjaXVtPC9rZXl3b3JkPjxr
ZXl3b3JkPnByZS1lY2xhbXBzaWE8L2tleXdvcmQ+PC9rZXl3b3Jkcz48ZGF0ZXM+PHllYXI+MjAx
NDwveWVhcj48cHViLWRhdGVzPjxkYXRlPkp1bDwvZGF0ZT48L3B1Yi1kYXRlcz48L2RhdGVzPjxp
c2JuPjE0NzEtMDUyOCAoRWxlY3Ryb25pYykmI3hEOzE0NzAtMDMyOCAoTGlua2luZyk8L2lzYm4+
PGFjY2Vzc2lvbi1udW0+MjQ2MjExNDE8L2FjY2Vzc2lvbi1udW0+PHVybHM+PHJlbGF0ZWQtdXJs
cz48dXJsPmh0dHBzOi8vd3d3Lm5jYmkubmxtLm5paC5nb3YvcHVibWVkLzI0NjIxMTQxPC91cmw+
PC9yZWxhdGVkLXVybHM+PC91cmxzPjxjdXN0b20yPlBNQzQyODIwNTU8L2N1c3RvbTI+PGVsZWN0
cm9uaWMtcmVzb3VyY2UtbnVtPjEwLjExMTEvMTQ3MS0wNTI4LjEyNjEzPC9lbGVjdHJvbmljLXJl
c291cmNlLW51bT48L3JlY29yZD48L0NpdGU+PC9FbmROb3RlPgB=
</w:fldData>
        </w:fldChar>
      </w:r>
      <w:r w:rsidR="002747EA">
        <w:instrText xml:space="preserve"> ADDIN EN.CITE </w:instrText>
      </w:r>
      <w:r w:rsidR="002747EA">
        <w:fldChar w:fldCharType="begin">
          <w:fldData xml:space="preserve">PEVuZE5vdGU+PENpdGU+PEF1dGhvcj5Ib2ZtZXlyPC9BdXRob3I+PFllYXI+MjAxNDwvWWVhcj48
UmVjTnVtPjEzMTg8L1JlY051bT48RGlzcGxheVRleHQ+PHN0eWxlIGZhY2U9InN1cGVyc2NyaXB0
IiBmb250PSJUcmVidWNoZXQgTVMiIHNpemU9IjkiPjE4Nzwvc3R5bGU+PC9EaXNwbGF5VGV4dD48
cmVjb3JkPjxyZWMtbnVtYmVyPjEzMTg8L3JlYy1udW1iZXI+PGZvcmVpZ24ta2V5cz48a2V5IGFw
cD0iRU4iIGRiLWlkPSJleHZhc3JmeDJkdHJhb2VzYXN4cDJzenN4YTJkZjUwMjU5MngiIHRpbWVz
dGFtcD0iMTU2Njc5ODI1NSI+MTMxODwva2V5PjxrZXkgYXBwPSJFTldlYiIgZGItaWQ9IiI+MDwv
a2V5PjwvZm9yZWlnbi1rZXlzPjxyZWYtdHlwZSBuYW1lPSJKb3VybmFsIEFydGljbGUiPjE3PC9y
ZWYtdHlwZT48Y29udHJpYnV0b3JzPjxhdXRob3JzPjxhdXRob3I+SG9mbWV5ciwgRy4gSi48L2F1
dGhvcj48YXV0aG9yPkJlbGl6YW4sIEouIE0uPC9hdXRob3I+PGF1dGhvcj52b24gRGFkZWxzemVu
LCBQLjwvYXV0aG9yPjxhdXRob3I+Q2FsY2l1bSw8L2F1dGhvcj48YXV0aG9yPlByZS1lY2xhbXBz
aWEgU3R1ZHksIEdyb3VwPC9hdXRob3I+PC9hdXRob3JzPjwvY29udHJpYnV0b3JzPjxhdXRoLWFk
ZHJlc3M+RWZmZWN0aXZlIENhcmUgUmVzZWFyY2ggVW5pdCwgRWFzdCBMb25kb24gSG9zcGl0YWwg
Q29tcGxleC9Vbml2ZXJzaXR5IG9mIHRoZSBXaXR3YXRlcnNyYW5kL1VuaXZlcnNpdHkgb2YgRm9y
dCBIYXJlLCBFYXN0IExvbmRvbiwgRWFzdGVybiBDYXBlLCBTb3V0aCBBZnJpY2EuPC9hdXRoLWFk
ZHJlc3M+PHRpdGxlcz48dGl0bGU+TG93LWRvc2UgY2FsY2l1bSBzdXBwbGVtZW50YXRpb24gZm9y
IHByZXZlbnRpbmcgcHJlLWVjbGFtcHNpYTogYSBzeXN0ZW1hdGljIHJldmlldyBhbmQgY29tbWVu
dGFyeTwvdGl0bGU+PHNlY29uZGFyeS10aXRsZT5CSk9HPC9zZWNvbmRhcnktdGl0bGU+PC90aXRs
ZXM+PHBlcmlvZGljYWw+PGZ1bGwtdGl0bGU+QkpPRzwvZnVsbC10aXRsZT48L3BlcmlvZGljYWw+
PHBhZ2VzPjk1MS03PC9wYWdlcz48dm9sdW1lPjEyMTwvdm9sdW1lPjxudW1iZXI+ODwvbnVtYmVy
PjxlZGl0aW9uPjIwMTQvMDMvMTQ8L2VkaXRpb24+PGtleXdvcmRzPjxrZXl3b3JkPkNhbGNpdW0s
IERpZXRhcnkvKmFkbWluaXN0cmF0aW9uICZhbXA7IGRvc2FnZS9hZHZlcnNlIGVmZmVjdHM8L2tl
eXdvcmQ+PGtleXdvcmQ+KkRpZXRhcnkgU3VwcGxlbWVudHMvYWR2ZXJzZSBlZmZlY3RzPC9rZXl3
b3JkPjxrZXl3b3JkPkZlbWFsZTwva2V5d29yZD48a2V5d29yZD5IdW1hbnM8L2tleXdvcmQ+PGtl
eXdvcmQ+SHlwZXJ0ZW5zaW9uLypwcmV2ZW50aW9uICZhbXA7IGNvbnRyb2w8L2tleXdvcmQ+PGtl
eXdvcmQ+UHJlLUVjbGFtcHNpYS8qcHJldmVudGlvbiAmYW1wOyBjb250cm9sPC9rZXl3b3JkPjxr
ZXl3b3JkPlByZWduYW5jeTwva2V5d29yZD48a2V5d29yZD5QcmVnbmFuY3kgQ29tcGxpY2F0aW9u
cywgQ2FyZGlvdmFzY3VsYXIvKnByZXZlbnRpb24gJmFtcDsgY29udHJvbDwva2V5d29yZD48a2V5
d29yZD5SYW5kb21pemVkIENvbnRyb2xsZWQgVHJpYWxzIGFzIFRvcGljPC9rZXl3b3JkPjxrZXl3
b3JkPlRyZWF0bWVudCBPdXRjb21lPC9rZXl3b3JkPjxrZXl3b3JkPkNhbGNpdW0gcmVwbGFjZW1l
bnQ8L2tleXdvcmQ+PGtleXdvcmQ+Y2FsY2l1bSBzdXBwbGVtZW50PC9rZXl3b3JkPjxrZXl3b3Jk
PmVjbGFtcHNpYTwva2V5d29yZD48a2V5d29yZD5sb3ctZG9zZSBjYWxjaXVtPC9rZXl3b3JkPjxr
ZXl3b3JkPnByZS1lY2xhbXBzaWE8L2tleXdvcmQ+PC9rZXl3b3Jkcz48ZGF0ZXM+PHllYXI+MjAx
NDwveWVhcj48cHViLWRhdGVzPjxkYXRlPkp1bDwvZGF0ZT48L3B1Yi1kYXRlcz48L2RhdGVzPjxp
c2JuPjE0NzEtMDUyOCAoRWxlY3Ryb25pYykmI3hEOzE0NzAtMDMyOCAoTGlua2luZyk8L2lzYm4+
PGFjY2Vzc2lvbi1udW0+MjQ2MjExNDE8L2FjY2Vzc2lvbi1udW0+PHVybHM+PHJlbGF0ZWQtdXJs
cz48dXJsPmh0dHBzOi8vd3d3Lm5jYmkubmxtLm5paC5nb3YvcHVibWVkLzI0NjIxMTQxPC91cmw+
PC9yZWxhdGVkLXVybHM+PC91cmxzPjxjdXN0b20yPlBNQzQyODIwNTU8L2N1c3RvbTI+PGVsZWN0
cm9uaWMtcmVzb3VyY2UtbnVtPjEwLjExMTEvMTQ3MS0wNTI4LjEyNjEzPC9lbGVjdHJvbmljLXJl
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187</w:t>
      </w:r>
      <w:r>
        <w:fldChar w:fldCharType="end"/>
      </w:r>
      <w:r>
        <w:t>.</w:t>
      </w:r>
    </w:p>
    <w:p w14:paraId="57DEC975" w14:textId="5DB639EF" w:rsidR="00687E3F" w:rsidRDefault="00687E3F" w:rsidP="00687E3F">
      <w:r>
        <w:t xml:space="preserve">A Cochrane review </w:t>
      </w:r>
      <w:r>
        <w:fldChar w:fldCharType="begin"/>
      </w:r>
      <w:r w:rsidR="002747EA">
        <w:instrText xml:space="preserve"> ADDIN EN.CITE &lt;EndNote&gt;&lt;Cite&gt;&lt;Author&gt;Hofmeyr&lt;/Author&gt;&lt;Year&gt;2018&lt;/Year&gt;&lt;RecNum&gt;1316&lt;/RecNum&gt;&lt;DisplayText&gt;&lt;style face="superscript" font="Trebuchet MS" size="9"&gt;186&lt;/style&gt;&lt;/DisplayText&gt;&lt;record&gt;&lt;rec-number&gt;1316&lt;/rec-number&gt;&lt;foreign-keys&gt;&lt;key app="EN" db-id="exvasrfx2dtraoesasxp2szsxa2df502592x" timestamp="1566798243"&gt;1316&lt;/key&gt;&lt;key app="ENWeb" db-id=""&gt;0&lt;/key&gt;&lt;/foreign-keys&gt;&lt;ref-type name="Journal Article"&gt;17&lt;/ref-type&gt;&lt;contributors&gt;&lt;authors&gt;&lt;author&gt;Hofmeyr, G. Justus&lt;/author&gt;&lt;author&gt;Lawrie, Theresa A.&lt;/author&gt;&lt;author&gt;Atallah, Álvaro N.&lt;/author&gt;&lt;author&gt;Torloni, Maria Regina&lt;/author&gt;&lt;/authors&gt;&lt;/contributors&gt;&lt;titles&gt;&lt;title&gt;Calcium supplementation during pregnancy for preventing hypertensive disorders and related problems&lt;/title&gt;&lt;secondary-title&gt;Cochrane Database of Systematic Reviews&lt;/secondary-title&gt;&lt;/titles&gt;&lt;periodical&gt;&lt;full-title&gt;Cochrane Database of Systematic Reviews&lt;/full-title&gt;&lt;/periodical&gt;&lt;dates&gt;&lt;year&gt;2018&lt;/year&gt;&lt;/dates&gt;&lt;isbn&gt;14651858&lt;/isbn&gt;&lt;urls&gt;&lt;/urls&gt;&lt;electronic-resource-num&gt;10.1002/14651858.CD001059.pub5&lt;/electronic-resource-num&gt;&lt;/record&gt;&lt;/Cite&gt;&lt;/EndNote&gt;</w:instrText>
      </w:r>
      <w:r>
        <w:fldChar w:fldCharType="separate"/>
      </w:r>
      <w:r w:rsidR="002747EA" w:rsidRPr="002747EA">
        <w:rPr>
          <w:noProof/>
          <w:vertAlign w:val="superscript"/>
        </w:rPr>
        <w:t>186</w:t>
      </w:r>
      <w:r>
        <w:fldChar w:fldCharType="end"/>
      </w:r>
      <w:r>
        <w:t xml:space="preserve"> found a reduction in risk of preterm birth &lt;37 weeks with high-dose calcium among all women (</w:t>
      </w:r>
      <w:r w:rsidRPr="001C245D">
        <w:rPr>
          <w:sz w:val="16"/>
          <w:szCs w:val="16"/>
        </w:rPr>
        <w:t xml:space="preserve">RR 0.76; 95%CI 0.60 to 0.97; 11 trials, n=15,275; low </w:t>
      </w:r>
      <w:r w:rsidR="00836F2D">
        <w:rPr>
          <w:sz w:val="16"/>
          <w:szCs w:val="16"/>
        </w:rPr>
        <w:t>certainty</w:t>
      </w:r>
      <w:r>
        <w:t xml:space="preserve">). An earlier Cochrane review </w:t>
      </w:r>
      <w:r>
        <w:fldChar w:fldCharType="begin">
          <w:fldData xml:space="preserve">PEVuZE5vdGU+PENpdGU+PEF1dGhvcj5CdXBwYXNpcmk8L0F1dGhvcj48WWVhcj4yMDE1PC9ZZWFy
PjxSZWNOdW0+MTMxMTwvUmVjTnVtPjxEaXNwbGF5VGV4dD48c3R5bGUgZmFjZT0ic3VwZXJzY3Jp
cHQiIGZvbnQ9IlRyZWJ1Y2hldCBNUyIgc2l6ZT0iOSI+MTg1PC9zdHlsZT48L0Rpc3BsYXlUZXh0
PjxyZWNvcmQ+PHJlYy1udW1iZXI+MTMxMTwvcmVjLW51bWJlcj48Zm9yZWlnbi1rZXlzPjxrZXkg
YXBwPSJFTiIgZGItaWQ9ImV4dmFzcmZ4MmR0cmFvZXNhc3hwMnN6c3hhMmRmNTAyNTkyeCIgdGlt
ZXN0YW1wPSIxNTY2Nzk4MjE3Ij4xMzExPC9rZXk+PGtleSBhcHA9IkVOV2ViIiBkYi1pZD0iIj4w
PC9rZXk+PC9mb3JlaWduLWtleXM+PHJlZi10eXBlIG5hbWU9IkpvdXJuYWwgQXJ0aWNsZSI+MTc8
L3JlZi10eXBlPjxjb250cmlidXRvcnM+PGF1dGhvcnM+PGF1dGhvcj5CdXBwYXNpcmksIFAuPC9h
dXRob3I+PGF1dGhvcj5MdW1iaWdhbm9uLCBQLjwvYXV0aG9yPjxhdXRob3I+VGhpbmtoYW1yb3As
IEouPC9hdXRob3I+PGF1dGhvcj5OZ2FtamFydXMsIEMuPC9hdXRob3I+PGF1dGhvcj5MYW9wYWli
b29uLCBNLjwvYXV0aG9yPjxhdXRob3I+TWVkbGV5LCBOLjwvYXV0aG9yPjwvYXV0aG9ycz48L2Nv
bnRyaWJ1dG9ycz48YXV0aC1hZGRyZXNzPkRlcGFydG1lbnQgb2YgT2JzdGV0cmljcyBhbmQgR3lu
YWVjb2xvZ3ksIEZhY3VsdHkgb2YgTWVkaWNpbmUsIEtob24gS2FlbiBVbml2ZXJzaXR5LCBGYWN1
bHR5IG9mIE1lZGljaW5lLCBLaG9uIEthZW4sIEtob24gS2FlbiwgVGhhaWxhbmQsIDQwMDAyLjwv
YXV0aC1hZGRyZXNzPjx0aXRsZXM+PHRpdGxlPkNhbGNpdW0gc3VwcGxlbWVudGF0aW9uIChvdGhl
ciB0aGFuIGZvciBwcmV2ZW50aW5nIG9yIHRyZWF0aW5nIGh5cGVydGVuc2lvbikgZm9yIGltcHJv
dmluZyBwcmVnbmFuY3kgYW5kIGluZmFudCBvdXRjb21lczwvdGl0bGU+PHNlY29uZGFyeS10aXRs
ZT5Db2NocmFuZSBEYXRhYmFzZSBTeXN0IFJldjwvc2Vjb25kYXJ5LXRpdGxlPjwvdGl0bGVzPjxw
ZXJpb2RpY2FsPjxmdWxsLXRpdGxlPkNvY2hyYW5lIERhdGFiYXNlIFN5c3QgUmV2PC9mdWxsLXRp
dGxlPjwvcGVyaW9kaWNhbD48cGFnZXM+Q0QwMDcwNzk8L3BhZ2VzPjxudW1iZXI+MjwvbnVtYmVy
PjxlZGl0aW9uPjIwMTUvMDQvMzA8L2VkaXRpb24+PGtleXdvcmRzPjxrZXl3b3JkPkJpcnRoIFdl
aWdodDwva2V5d29yZD48a2V5d29yZD5DYWxjaXVtLCBEaWV0YXJ5LyphZG1pbmlzdHJhdGlvbiAm
YW1wOyBkb3NhZ2UvYWR2ZXJzZSBlZmZlY3RzPC9rZXl3b3JkPjxrZXl3b3JkPipEaWV0YXJ5IFN1
cHBsZW1lbnRzL2FkdmVyc2UgZWZmZWN0czwva2V5d29yZD48a2V5d29yZD5GZW1hbGU8L2tleXdv
cmQ+PGtleXdvcmQ+SHVtYW5zPC9rZXl3b3JkPjxrZXl3b3JkPipJbmZhbnQsIExvdyBCaXJ0aCBX
ZWlnaHQ8L2tleXdvcmQ+PGtleXdvcmQ+SW5mYW50LCBOZXdib3JuPC9rZXl3b3JkPjxrZXl3b3Jk
PlByZS1FY2xhbXBzaWEvcHJldmVudGlvbiAmYW1wOyBjb250cm9sPC9rZXl3b3JkPjxrZXl3b3Jk
PlByZWduYW5jeTwva2V5d29yZD48a2V5d29yZD4qUHJlZ25hbmN5IE91dGNvbWU8L2tleXdvcmQ+
PGtleXdvcmQ+UHJlbWF0dXJlIEJpcnRoLypwcmV2ZW50aW9uICZhbXA7IGNvbnRyb2w8L2tleXdv
cmQ+PGtleXdvcmQ+KlByZW5hdGFsIE51dHJpdGlvbmFsIFBoeXNpb2xvZ2ljYWwgUGhlbm9tZW5h
PC9rZXl3b3JkPjxrZXl3b3JkPlJhbmRvbWl6ZWQgQ29udHJvbGxlZCBUcmlhbHMgYXMgVG9waWM8
L2tleXdvcmQ+PGtleXdvcmQ+U2Vuc2l0aXZpdHkgYW5kIFNwZWNpZmljaXR5PC9rZXl3b3JkPjwv
a2V5d29yZHM+PGRhdGVzPjx5ZWFyPjIwMTU8L3llYXI+PHB1Yi1kYXRlcz48ZGF0ZT5GZWIgMjU8
L2RhdGU+PC9wdWItZGF0ZXM+PC9kYXRlcz48aXNibj4xNDY5LTQ5M1ggKEVsZWN0cm9uaWMpJiN4
RDsxMzYxLTYxMzcgKExpbmtpbmcpPC9pc2JuPjxhY2Nlc3Npb24tbnVtPjI1OTIyODYyPC9hY2Nl
c3Npb24tbnVtPjx1cmxzPjxyZWxhdGVkLXVybHM+PHVybD5odHRwczovL3d3dy5uY2JpLm5sbS5u
aWguZ292L3B1Ym1lZC8yNTkyMjg2MjwvdXJsPjwvcmVsYXRlZC11cmxzPjwvdXJscz48ZWxlY3Ry
b25pYy1yZXNvdXJjZS1udW0+MTAuMTAwMi8xNDY1MTg1OC5DRDAwNzA3OS5wdWIzPC9lbGVjdHJv
bmljLXJlc291cmNlLW51bT48L3JlY29yZD48L0NpdGU+PC9FbmROb3RlPgB=
</w:fldData>
        </w:fldChar>
      </w:r>
      <w:r w:rsidR="002747EA">
        <w:instrText xml:space="preserve"> ADDIN EN.CITE </w:instrText>
      </w:r>
      <w:r w:rsidR="002747EA">
        <w:fldChar w:fldCharType="begin">
          <w:fldData xml:space="preserve">PEVuZE5vdGU+PENpdGU+PEF1dGhvcj5CdXBwYXNpcmk8L0F1dGhvcj48WWVhcj4yMDE1PC9ZZWFy
PjxSZWNOdW0+MTMxMTwvUmVjTnVtPjxEaXNwbGF5VGV4dD48c3R5bGUgZmFjZT0ic3VwZXJzY3Jp
cHQiIGZvbnQ9IlRyZWJ1Y2hldCBNUyIgc2l6ZT0iOSI+MTg1PC9zdHlsZT48L0Rpc3BsYXlUZXh0
PjxyZWNvcmQ+PHJlYy1udW1iZXI+MTMxMTwvcmVjLW51bWJlcj48Zm9yZWlnbi1rZXlzPjxrZXkg
YXBwPSJFTiIgZGItaWQ9ImV4dmFzcmZ4MmR0cmFvZXNhc3hwMnN6c3hhMmRmNTAyNTkyeCIgdGlt
ZXN0YW1wPSIxNTY2Nzk4MjE3Ij4xMzExPC9rZXk+PGtleSBhcHA9IkVOV2ViIiBkYi1pZD0iIj4w
PC9rZXk+PC9mb3JlaWduLWtleXM+PHJlZi10eXBlIG5hbWU9IkpvdXJuYWwgQXJ0aWNsZSI+MTc8
L3JlZi10eXBlPjxjb250cmlidXRvcnM+PGF1dGhvcnM+PGF1dGhvcj5CdXBwYXNpcmksIFAuPC9h
dXRob3I+PGF1dGhvcj5MdW1iaWdhbm9uLCBQLjwvYXV0aG9yPjxhdXRob3I+VGhpbmtoYW1yb3As
IEouPC9hdXRob3I+PGF1dGhvcj5OZ2FtamFydXMsIEMuPC9hdXRob3I+PGF1dGhvcj5MYW9wYWli
b29uLCBNLjwvYXV0aG9yPjxhdXRob3I+TWVkbGV5LCBOLjwvYXV0aG9yPjwvYXV0aG9ycz48L2Nv
bnRyaWJ1dG9ycz48YXV0aC1hZGRyZXNzPkRlcGFydG1lbnQgb2YgT2JzdGV0cmljcyBhbmQgR3lu
YWVjb2xvZ3ksIEZhY3VsdHkgb2YgTWVkaWNpbmUsIEtob24gS2FlbiBVbml2ZXJzaXR5LCBGYWN1
bHR5IG9mIE1lZGljaW5lLCBLaG9uIEthZW4sIEtob24gS2FlbiwgVGhhaWxhbmQsIDQwMDAyLjwv
YXV0aC1hZGRyZXNzPjx0aXRsZXM+PHRpdGxlPkNhbGNpdW0gc3VwcGxlbWVudGF0aW9uIChvdGhl
ciB0aGFuIGZvciBwcmV2ZW50aW5nIG9yIHRyZWF0aW5nIGh5cGVydGVuc2lvbikgZm9yIGltcHJv
dmluZyBwcmVnbmFuY3kgYW5kIGluZmFudCBvdXRjb21lczwvdGl0bGU+PHNlY29uZGFyeS10aXRs
ZT5Db2NocmFuZSBEYXRhYmFzZSBTeXN0IFJldjwvc2Vjb25kYXJ5LXRpdGxlPjwvdGl0bGVzPjxw
ZXJpb2RpY2FsPjxmdWxsLXRpdGxlPkNvY2hyYW5lIERhdGFiYXNlIFN5c3QgUmV2PC9mdWxsLXRp
dGxlPjwvcGVyaW9kaWNhbD48cGFnZXM+Q0QwMDcwNzk8L3BhZ2VzPjxudW1iZXI+MjwvbnVtYmVy
PjxlZGl0aW9uPjIwMTUvMDQvMzA8L2VkaXRpb24+PGtleXdvcmRzPjxrZXl3b3JkPkJpcnRoIFdl
aWdodDwva2V5d29yZD48a2V5d29yZD5DYWxjaXVtLCBEaWV0YXJ5LyphZG1pbmlzdHJhdGlvbiAm
YW1wOyBkb3NhZ2UvYWR2ZXJzZSBlZmZlY3RzPC9rZXl3b3JkPjxrZXl3b3JkPipEaWV0YXJ5IFN1
cHBsZW1lbnRzL2FkdmVyc2UgZWZmZWN0czwva2V5d29yZD48a2V5d29yZD5GZW1hbGU8L2tleXdv
cmQ+PGtleXdvcmQ+SHVtYW5zPC9rZXl3b3JkPjxrZXl3b3JkPipJbmZhbnQsIExvdyBCaXJ0aCBX
ZWlnaHQ8L2tleXdvcmQ+PGtleXdvcmQ+SW5mYW50LCBOZXdib3JuPC9rZXl3b3JkPjxrZXl3b3Jk
PlByZS1FY2xhbXBzaWEvcHJldmVudGlvbiAmYW1wOyBjb250cm9sPC9rZXl3b3JkPjxrZXl3b3Jk
PlByZWduYW5jeTwva2V5d29yZD48a2V5d29yZD4qUHJlZ25hbmN5IE91dGNvbWU8L2tleXdvcmQ+
PGtleXdvcmQ+UHJlbWF0dXJlIEJpcnRoLypwcmV2ZW50aW9uICZhbXA7IGNvbnRyb2w8L2tleXdv
cmQ+PGtleXdvcmQ+KlByZW5hdGFsIE51dHJpdGlvbmFsIFBoeXNpb2xvZ2ljYWwgUGhlbm9tZW5h
PC9rZXl3b3JkPjxrZXl3b3JkPlJhbmRvbWl6ZWQgQ29udHJvbGxlZCBUcmlhbHMgYXMgVG9waWM8
L2tleXdvcmQ+PGtleXdvcmQ+U2Vuc2l0aXZpdHkgYW5kIFNwZWNpZmljaXR5PC9rZXl3b3JkPjwv
a2V5d29yZHM+PGRhdGVzPjx5ZWFyPjIwMTU8L3llYXI+PHB1Yi1kYXRlcz48ZGF0ZT5GZWIgMjU8
L2RhdGU+PC9wdWItZGF0ZXM+PC9kYXRlcz48aXNibj4xNDY5LTQ5M1ggKEVsZWN0cm9uaWMpJiN4
RDsxMzYxLTYxMzcgKExpbmtpbmcpPC9pc2JuPjxhY2Nlc3Npb24tbnVtPjI1OTIyODYyPC9hY2Nl
c3Npb24tbnVtPjx1cmxzPjxyZWxhdGVkLXVybHM+PHVybD5odHRwczovL3d3dy5uY2JpLm5sbS5u
aWguZ292L3B1Ym1lZC8yNTkyMjg2MjwvdXJsPjwvcmVsYXRlZC11cmxzPjwvdXJscz48ZWxlY3Ry
b25pYy1yZXNvdXJjZS1udW0+MTAuMTAwMi8xNDY1MTg1OC5DRDAwNzA3OS5wdWIzPC9lbGVjdHJv
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185</w:t>
      </w:r>
      <w:r>
        <w:fldChar w:fldCharType="end"/>
      </w:r>
      <w:r>
        <w:t xml:space="preserve"> found no clear difference in risk of preterm birth &lt;34 weeks (</w:t>
      </w:r>
      <w:r>
        <w:rPr>
          <w:sz w:val="16"/>
          <w:szCs w:val="16"/>
        </w:rPr>
        <w:t>RR 1.04; 95%CI 0.80 to 1.36</w:t>
      </w:r>
      <w:r w:rsidRPr="001C245D">
        <w:rPr>
          <w:sz w:val="16"/>
          <w:szCs w:val="16"/>
        </w:rPr>
        <w:t>; 4</w:t>
      </w:r>
      <w:r>
        <w:rPr>
          <w:sz w:val="16"/>
          <w:szCs w:val="16"/>
        </w:rPr>
        <w:t> RCTs</w:t>
      </w:r>
      <w:r w:rsidRPr="001C245D">
        <w:rPr>
          <w:sz w:val="16"/>
          <w:szCs w:val="16"/>
        </w:rPr>
        <w:t xml:space="preserve">, n=5,669; moderate </w:t>
      </w:r>
      <w:r w:rsidR="00836F2D">
        <w:rPr>
          <w:sz w:val="16"/>
          <w:szCs w:val="16"/>
        </w:rPr>
        <w:t>certainty</w:t>
      </w:r>
      <w:r>
        <w:t>).</w:t>
      </w:r>
    </w:p>
    <w:p w14:paraId="18E36912" w14:textId="3E0DC664" w:rsidR="00687E3F" w:rsidRDefault="00687E3F" w:rsidP="00687E3F">
      <w:r>
        <w:t>Calcium supplementation does not appear to be of benefit in preventing low birth weight (</w:t>
      </w:r>
      <w:r w:rsidRPr="006C2358">
        <w:rPr>
          <w:sz w:val="16"/>
          <w:szCs w:val="16"/>
        </w:rPr>
        <w:t>RR 0.93; 95%CI 0.81 to 1.07; 6</w:t>
      </w:r>
      <w:r>
        <w:rPr>
          <w:sz w:val="16"/>
          <w:szCs w:val="16"/>
        </w:rPr>
        <w:t> </w:t>
      </w:r>
      <w:r w:rsidRPr="006C2358">
        <w:rPr>
          <w:sz w:val="16"/>
          <w:szCs w:val="16"/>
        </w:rPr>
        <w:t xml:space="preserve">RCTs; n=14,162; moderate </w:t>
      </w:r>
      <w:r w:rsidR="00836F2D">
        <w:rPr>
          <w:sz w:val="16"/>
          <w:szCs w:val="16"/>
        </w:rPr>
        <w:t>certainty</w:t>
      </w:r>
      <w:r>
        <w:t xml:space="preserve">) </w:t>
      </w:r>
      <w:r>
        <w:fldChar w:fldCharType="begin">
          <w:fldData xml:space="preserve">PEVuZE5vdGU+PENpdGU+PEF1dGhvcj5CdXBwYXNpcmk8L0F1dGhvcj48WWVhcj4yMDE1PC9ZZWFy
PjxSZWNOdW0+MTMxMTwvUmVjTnVtPjxEaXNwbGF5VGV4dD48c3R5bGUgZmFjZT0ic3VwZXJzY3Jp
cHQiIGZvbnQ9IlRyZWJ1Y2hldCBNUyIgc2l6ZT0iOSI+MTg1PC9zdHlsZT48L0Rpc3BsYXlUZXh0
PjxyZWNvcmQ+PHJlYy1udW1iZXI+MTMxMTwvcmVjLW51bWJlcj48Zm9yZWlnbi1rZXlzPjxrZXkg
YXBwPSJFTiIgZGItaWQ9ImV4dmFzcmZ4MmR0cmFvZXNhc3hwMnN6c3hhMmRmNTAyNTkyeCIgdGlt
ZXN0YW1wPSIxNTY2Nzk4MjE3Ij4xMzExPC9rZXk+PGtleSBhcHA9IkVOV2ViIiBkYi1pZD0iIj4w
PC9rZXk+PC9mb3JlaWduLWtleXM+PHJlZi10eXBlIG5hbWU9IkpvdXJuYWwgQXJ0aWNsZSI+MTc8
L3JlZi10eXBlPjxjb250cmlidXRvcnM+PGF1dGhvcnM+PGF1dGhvcj5CdXBwYXNpcmksIFAuPC9h
dXRob3I+PGF1dGhvcj5MdW1iaWdhbm9uLCBQLjwvYXV0aG9yPjxhdXRob3I+VGhpbmtoYW1yb3As
IEouPC9hdXRob3I+PGF1dGhvcj5OZ2FtamFydXMsIEMuPC9hdXRob3I+PGF1dGhvcj5MYW9wYWli
b29uLCBNLjwvYXV0aG9yPjxhdXRob3I+TWVkbGV5LCBOLjwvYXV0aG9yPjwvYXV0aG9ycz48L2Nv
bnRyaWJ1dG9ycz48YXV0aC1hZGRyZXNzPkRlcGFydG1lbnQgb2YgT2JzdGV0cmljcyBhbmQgR3lu
YWVjb2xvZ3ksIEZhY3VsdHkgb2YgTWVkaWNpbmUsIEtob24gS2FlbiBVbml2ZXJzaXR5LCBGYWN1
bHR5IG9mIE1lZGljaW5lLCBLaG9uIEthZW4sIEtob24gS2FlbiwgVGhhaWxhbmQsIDQwMDAyLjwv
YXV0aC1hZGRyZXNzPjx0aXRsZXM+PHRpdGxlPkNhbGNpdW0gc3VwcGxlbWVudGF0aW9uIChvdGhl
ciB0aGFuIGZvciBwcmV2ZW50aW5nIG9yIHRyZWF0aW5nIGh5cGVydGVuc2lvbikgZm9yIGltcHJv
dmluZyBwcmVnbmFuY3kgYW5kIGluZmFudCBvdXRjb21lczwvdGl0bGU+PHNlY29uZGFyeS10aXRs
ZT5Db2NocmFuZSBEYXRhYmFzZSBTeXN0IFJldjwvc2Vjb25kYXJ5LXRpdGxlPjwvdGl0bGVzPjxw
ZXJpb2RpY2FsPjxmdWxsLXRpdGxlPkNvY2hyYW5lIERhdGFiYXNlIFN5c3QgUmV2PC9mdWxsLXRp
dGxlPjwvcGVyaW9kaWNhbD48cGFnZXM+Q0QwMDcwNzk8L3BhZ2VzPjxudW1iZXI+MjwvbnVtYmVy
PjxlZGl0aW9uPjIwMTUvMDQvMzA8L2VkaXRpb24+PGtleXdvcmRzPjxrZXl3b3JkPkJpcnRoIFdl
aWdodDwva2V5d29yZD48a2V5d29yZD5DYWxjaXVtLCBEaWV0YXJ5LyphZG1pbmlzdHJhdGlvbiAm
YW1wOyBkb3NhZ2UvYWR2ZXJzZSBlZmZlY3RzPC9rZXl3b3JkPjxrZXl3b3JkPipEaWV0YXJ5IFN1
cHBsZW1lbnRzL2FkdmVyc2UgZWZmZWN0czwva2V5d29yZD48a2V5d29yZD5GZW1hbGU8L2tleXdv
cmQ+PGtleXdvcmQ+SHVtYW5zPC9rZXl3b3JkPjxrZXl3b3JkPipJbmZhbnQsIExvdyBCaXJ0aCBX
ZWlnaHQ8L2tleXdvcmQ+PGtleXdvcmQ+SW5mYW50LCBOZXdib3JuPC9rZXl3b3JkPjxrZXl3b3Jk
PlByZS1FY2xhbXBzaWEvcHJldmVudGlvbiAmYW1wOyBjb250cm9sPC9rZXl3b3JkPjxrZXl3b3Jk
PlByZWduYW5jeTwva2V5d29yZD48a2V5d29yZD4qUHJlZ25hbmN5IE91dGNvbWU8L2tleXdvcmQ+
PGtleXdvcmQ+UHJlbWF0dXJlIEJpcnRoLypwcmV2ZW50aW9uICZhbXA7IGNvbnRyb2w8L2tleXdv
cmQ+PGtleXdvcmQ+KlByZW5hdGFsIE51dHJpdGlvbmFsIFBoeXNpb2xvZ2ljYWwgUGhlbm9tZW5h
PC9rZXl3b3JkPjxrZXl3b3JkPlJhbmRvbWl6ZWQgQ29udHJvbGxlZCBUcmlhbHMgYXMgVG9waWM8
L2tleXdvcmQ+PGtleXdvcmQ+U2Vuc2l0aXZpdHkgYW5kIFNwZWNpZmljaXR5PC9rZXl3b3JkPjwv
a2V5d29yZHM+PGRhdGVzPjx5ZWFyPjIwMTU8L3llYXI+PHB1Yi1kYXRlcz48ZGF0ZT5GZWIgMjU8
L2RhdGU+PC9wdWItZGF0ZXM+PC9kYXRlcz48aXNibj4xNDY5LTQ5M1ggKEVsZWN0cm9uaWMpJiN4
RDsxMzYxLTYxMzcgKExpbmtpbmcpPC9pc2JuPjxhY2Nlc3Npb24tbnVtPjI1OTIyODYyPC9hY2Nl
c3Npb24tbnVtPjx1cmxzPjxyZWxhdGVkLXVybHM+PHVybD5odHRwczovL3d3dy5uY2JpLm5sbS5u
aWguZ292L3B1Ym1lZC8yNTkyMjg2MjwvdXJsPjwvcmVsYXRlZC11cmxzPjwvdXJscz48ZWxlY3Ry
b25pYy1yZXNvdXJjZS1udW0+MTAuMTAwMi8xNDY1MTg1OC5DRDAwNzA3OS5wdWIzPC9lbGVjdHJv
bmljLXJlc291cmNlLW51bT48L3JlY29yZD48L0NpdGU+PC9FbmROb3RlPgB=
</w:fldData>
        </w:fldChar>
      </w:r>
      <w:r w:rsidR="002747EA">
        <w:instrText xml:space="preserve"> ADDIN EN.CITE </w:instrText>
      </w:r>
      <w:r w:rsidR="002747EA">
        <w:fldChar w:fldCharType="begin">
          <w:fldData xml:space="preserve">PEVuZE5vdGU+PENpdGU+PEF1dGhvcj5CdXBwYXNpcmk8L0F1dGhvcj48WWVhcj4yMDE1PC9ZZWFy
PjxSZWNOdW0+MTMxMTwvUmVjTnVtPjxEaXNwbGF5VGV4dD48c3R5bGUgZmFjZT0ic3VwZXJzY3Jp
cHQiIGZvbnQ9IlRyZWJ1Y2hldCBNUyIgc2l6ZT0iOSI+MTg1PC9zdHlsZT48L0Rpc3BsYXlUZXh0
PjxyZWNvcmQ+PHJlYy1udW1iZXI+MTMxMTwvcmVjLW51bWJlcj48Zm9yZWlnbi1rZXlzPjxrZXkg
YXBwPSJFTiIgZGItaWQ9ImV4dmFzcmZ4MmR0cmFvZXNhc3hwMnN6c3hhMmRmNTAyNTkyeCIgdGlt
ZXN0YW1wPSIxNTY2Nzk4MjE3Ij4xMzExPC9rZXk+PGtleSBhcHA9IkVOV2ViIiBkYi1pZD0iIj4w
PC9rZXk+PC9mb3JlaWduLWtleXM+PHJlZi10eXBlIG5hbWU9IkpvdXJuYWwgQXJ0aWNsZSI+MTc8
L3JlZi10eXBlPjxjb250cmlidXRvcnM+PGF1dGhvcnM+PGF1dGhvcj5CdXBwYXNpcmksIFAuPC9h
dXRob3I+PGF1dGhvcj5MdW1iaWdhbm9uLCBQLjwvYXV0aG9yPjxhdXRob3I+VGhpbmtoYW1yb3As
IEouPC9hdXRob3I+PGF1dGhvcj5OZ2FtamFydXMsIEMuPC9hdXRob3I+PGF1dGhvcj5MYW9wYWli
b29uLCBNLjwvYXV0aG9yPjxhdXRob3I+TWVkbGV5LCBOLjwvYXV0aG9yPjwvYXV0aG9ycz48L2Nv
bnRyaWJ1dG9ycz48YXV0aC1hZGRyZXNzPkRlcGFydG1lbnQgb2YgT2JzdGV0cmljcyBhbmQgR3lu
YWVjb2xvZ3ksIEZhY3VsdHkgb2YgTWVkaWNpbmUsIEtob24gS2FlbiBVbml2ZXJzaXR5LCBGYWN1
bHR5IG9mIE1lZGljaW5lLCBLaG9uIEthZW4sIEtob24gS2FlbiwgVGhhaWxhbmQsIDQwMDAyLjwv
YXV0aC1hZGRyZXNzPjx0aXRsZXM+PHRpdGxlPkNhbGNpdW0gc3VwcGxlbWVudGF0aW9uIChvdGhl
ciB0aGFuIGZvciBwcmV2ZW50aW5nIG9yIHRyZWF0aW5nIGh5cGVydGVuc2lvbikgZm9yIGltcHJv
dmluZyBwcmVnbmFuY3kgYW5kIGluZmFudCBvdXRjb21lczwvdGl0bGU+PHNlY29uZGFyeS10aXRs
ZT5Db2NocmFuZSBEYXRhYmFzZSBTeXN0IFJldjwvc2Vjb25kYXJ5LXRpdGxlPjwvdGl0bGVzPjxw
ZXJpb2RpY2FsPjxmdWxsLXRpdGxlPkNvY2hyYW5lIERhdGFiYXNlIFN5c3QgUmV2PC9mdWxsLXRp
dGxlPjwvcGVyaW9kaWNhbD48cGFnZXM+Q0QwMDcwNzk8L3BhZ2VzPjxudW1iZXI+MjwvbnVtYmVy
PjxlZGl0aW9uPjIwMTUvMDQvMzA8L2VkaXRpb24+PGtleXdvcmRzPjxrZXl3b3JkPkJpcnRoIFdl
aWdodDwva2V5d29yZD48a2V5d29yZD5DYWxjaXVtLCBEaWV0YXJ5LyphZG1pbmlzdHJhdGlvbiAm
YW1wOyBkb3NhZ2UvYWR2ZXJzZSBlZmZlY3RzPC9rZXl3b3JkPjxrZXl3b3JkPipEaWV0YXJ5IFN1
cHBsZW1lbnRzL2FkdmVyc2UgZWZmZWN0czwva2V5d29yZD48a2V5d29yZD5GZW1hbGU8L2tleXdv
cmQ+PGtleXdvcmQ+SHVtYW5zPC9rZXl3b3JkPjxrZXl3b3JkPipJbmZhbnQsIExvdyBCaXJ0aCBX
ZWlnaHQ8L2tleXdvcmQ+PGtleXdvcmQ+SW5mYW50LCBOZXdib3JuPC9rZXl3b3JkPjxrZXl3b3Jk
PlByZS1FY2xhbXBzaWEvcHJldmVudGlvbiAmYW1wOyBjb250cm9sPC9rZXl3b3JkPjxrZXl3b3Jk
PlByZWduYW5jeTwva2V5d29yZD48a2V5d29yZD4qUHJlZ25hbmN5IE91dGNvbWU8L2tleXdvcmQ+
PGtleXdvcmQ+UHJlbWF0dXJlIEJpcnRoLypwcmV2ZW50aW9uICZhbXA7IGNvbnRyb2w8L2tleXdv
cmQ+PGtleXdvcmQ+KlByZW5hdGFsIE51dHJpdGlvbmFsIFBoeXNpb2xvZ2ljYWwgUGhlbm9tZW5h
PC9rZXl3b3JkPjxrZXl3b3JkPlJhbmRvbWl6ZWQgQ29udHJvbGxlZCBUcmlhbHMgYXMgVG9waWM8
L2tleXdvcmQ+PGtleXdvcmQ+U2Vuc2l0aXZpdHkgYW5kIFNwZWNpZmljaXR5PC9rZXl3b3JkPjwv
a2V5d29yZHM+PGRhdGVzPjx5ZWFyPjIwMTU8L3llYXI+PHB1Yi1kYXRlcz48ZGF0ZT5GZWIgMjU8
L2RhdGU+PC9wdWItZGF0ZXM+PC9kYXRlcz48aXNibj4xNDY5LTQ5M1ggKEVsZWN0cm9uaWMpJiN4
RDsxMzYxLTYxMzcgKExpbmtpbmcpPC9pc2JuPjxhY2Nlc3Npb24tbnVtPjI1OTIyODYyPC9hY2Nl
c3Npb24tbnVtPjx1cmxzPjxyZWxhdGVkLXVybHM+PHVybD5odHRwczovL3d3dy5uY2JpLm5sbS5u
aWguZ292L3B1Ym1lZC8yNTkyMjg2MjwvdXJsPjwvcmVsYXRlZC11cmxzPjwvdXJscz48ZWxlY3Ry
b25pYy1yZXNvdXJjZS1udW0+MTAuMTAwMi8xNDY1MTg1OC5DRDAwNzA3OS5wdWIzPC9lbGVjdHJv
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185</w:t>
      </w:r>
      <w:r>
        <w:fldChar w:fldCharType="end"/>
      </w:r>
      <w:r>
        <w:t xml:space="preserve">. </w:t>
      </w:r>
    </w:p>
    <w:p w14:paraId="0DB700CA" w14:textId="0906AAAD" w:rsidR="00184935" w:rsidRDefault="006C2358" w:rsidP="00A46591">
      <w:r>
        <w:t xml:space="preserve">The two RCTs suggested that calcium </w:t>
      </w:r>
      <w:r w:rsidR="00A46591">
        <w:t xml:space="preserve">supplementation </w:t>
      </w:r>
      <w:r w:rsidRPr="006C2358">
        <w:t xml:space="preserve">may </w:t>
      </w:r>
      <w:r w:rsidR="00A46591">
        <w:t>redu</w:t>
      </w:r>
      <w:r w:rsidR="00A46591" w:rsidRPr="00A46591">
        <w:t>ce</w:t>
      </w:r>
      <w:r w:rsidR="00184935" w:rsidRPr="00A46591">
        <w:t xml:space="preserve"> bone resorption</w:t>
      </w:r>
      <w:r w:rsidR="00A46591" w:rsidRPr="00A46591">
        <w:t>.</w:t>
      </w:r>
      <w:r w:rsidR="00E51743">
        <w:fldChar w:fldCharType="begin">
          <w:fldData xml:space="preserve">PEVuZE5vdGU+PENpdGU+PEF1dGhvcj5FdHRpbmdlcjwvQXV0aG9yPjxZZWFyPjIwMTQ8L1llYXI+
PFJlY051bT4xMzI2PC9SZWNOdW0+PERpc3BsYXlUZXh0PjxzdHlsZSBmYWNlPSJzdXBlcnNjcmlw
dCIgZm9udD0iVHJlYnVjaGV0IE1TIiBzaXplPSI5Ij4xOTAsMTkxPC9zdHlsZT48L0Rpc3BsYXlU
ZXh0PjxyZWNvcmQ+PHJlYy1udW1iZXI+MTMyNjwvcmVjLW51bWJlcj48Zm9yZWlnbi1rZXlzPjxr
ZXkgYXBwPSJFTiIgZGItaWQ9ImV4dmFzcmZ4MmR0cmFvZXNhc3hwMnN6c3hhMmRmNTAyNTkyeCIg
dGltZXN0YW1wPSIxNTY2ODAyNzI0Ij4xMzI2PC9rZXk+PC9mb3JlaWduLWtleXM+PHJlZi10eXBl
IG5hbWU9IkpvdXJuYWwgQXJ0aWNsZSI+MTc8L3JlZi10eXBlPjxjb250cmlidXRvcnM+PGF1dGhv
cnM+PGF1dGhvcj5FdHRpbmdlciwgQS4gUy48L2F1dGhvcj48YXV0aG9yPkxhbWFkcmlkLUZpZ3Vl
cm9hLCBILjwvYXV0aG9yPjxhdXRob3I+TWVyY2Fkby1HYXJjaWEsIEEuPC9hdXRob3I+PGF1dGhv
cj5Lb3JkYXMsIEsuPC9hdXRob3I+PGF1dGhvcj5Xb29kLCBSLiBKLjwvYXV0aG9yPjxhdXRob3I+
UGV0ZXJzb24sIEsuIEUuPC9hdXRob3I+PGF1dGhvcj5IdSwgSC48L2F1dGhvcj48YXV0aG9yPkhl
cm5hbmRlei1BdmlsYSwgTS48L2F1dGhvcj48YXV0aG9yPlRlbGxlei1Sb2pvLCBNLiBNLjwvYXV0
aG9yPjwvYXV0aG9ycz48L2NvbnRyaWJ1dG9ycz48YXV0aC1hZGRyZXNzPkNlbnRlciBmb3IgUGVy
aW5hdGFsLCBQZWRpYXRyaWMsIGFuZCBFbnZpcm9ubWVudGFsIEVwaWRlbWlvbG9neSwgWWFsZSBT
Y2hvb2xzIG9mIFB1YmxpYyBIZWFsdGggYW5kIE1lZGljaW5lLCAxIENodXJjaCBTdHJlZXQgNnRo
IGZsb29yLCBOZXcgSGF2ZW4sIENUIDA2NTEwLCBVU0EuIGFkcmllbm5lLmV0dGluZ2VyQHlhbGUu
ZWR1LjwvYXV0aC1hZGRyZXNzPjx0aXRsZXM+PHRpdGxlPkVmZmVjdCBvZiBjYWxjaXVtIHN1cHBs
ZW1lbnRhdGlvbiBvbiBib25lIHJlc29ycHRpb24gaW4gcHJlZ25hbmN5IGFuZCB0aGUgZWFybHkg
cG9zdHBhcnR1bTogYSByYW5kb21pemVkIGNvbnRyb2xsZWQgdHJpYWwgaW4gTWV4aWNhbiB3b21l
bjwvdGl0bGU+PHNlY29uZGFyeS10aXRsZT5OdXRyIEo8L3NlY29uZGFyeS10aXRsZT48L3RpdGxl
cz48cGVyaW9kaWNhbD48ZnVsbC10aXRsZT5OdXRyIEo8L2Z1bGwtdGl0bGU+PC9wZXJpb2RpY2Fs
PjxwYWdlcz4xMTY8L3BhZ2VzPjx2b2x1bWU+MTM8L3ZvbHVtZT48bnVtYmVyPjE8L251bWJlcj48
ZWRpdGlvbj4yMDE0LzEyLzE3PC9lZGl0aW9uPjxrZXl3b3Jkcz48a2V5d29yZD5BbGthbGluZSBQ
aG9zcGhhdGFzZS9ibG9vZDwva2V5d29yZD48a2V5d29yZD5CaW9tYXJrZXJzL3VyaW5lPC9rZXl3
b3JkPjxrZXl3b3JkPkJvbmUgUmVzb3JwdGlvbi9jb21wbGljYXRpb25zLypwcmV2ZW50aW9uICZh
bXA7IGNvbnRyb2w8L2tleXdvcmQ+PGtleXdvcmQ+Qm9uZSBhbmQgQm9uZXMvZGlhZ25vc3RpYyBp
bWFnaW5nL2Vuenltb2xvZ3k8L2tleXdvcmQ+PGtleXdvcmQ+Q2FsY2l1bSwgRGlldGFyeS8qYWRt
aW5pc3RyYXRpb24gJmFtcDsgZG9zYWdlPC9rZXl3b3JkPjxrZXl3b3JkPkNvbGxhZ2VuIFR5cGUg
SS91cmluZTwva2V5d29yZD48a2V5d29yZD5EaWV0YXJ5IFN1cHBsZW1lbnRzPC9rZXl3b3JkPjxr
ZXl3b3JkPkRvdWJsZS1CbGluZCBNZXRob2Q8L2tleXdvcmQ+PGtleXdvcmQ+RmVtYWxlPC9rZXl3
b3JkPjxrZXl3b3JkPkh1bWFuczwva2V5d29yZD48a2V5d29yZD5NZXhpY288L2tleXdvcmQ+PGtl
eXdvcmQ+UGVwdGlkZXMvdXJpbmU8L2tleXdvcmQ+PGtleXdvcmQ+UGxhY2Vib3M8L2tleXdvcmQ+
PGtleXdvcmQ+KlBvc3RwYXJ0dW0gUGVyaW9kPC9rZXl3b3JkPjxrZXl3b3JkPlByZWduYW5jeTwv
a2V5d29yZD48a2V5d29yZD5QcmVnbmFuY3kgQ29tcGxpY2F0aW9ucy8qcHJldmVudGlvbiAmYW1w
OyBjb250cm9sPC9rZXl3b3JkPjxrZXl3b3JkPlVsdHJhc29ub2dyYXBoeTwva2V5d29yZD48L2tl
eXdvcmRzPjxkYXRlcz48eWVhcj4yMDE0PC95ZWFyPjxwdWItZGF0ZXM+PGRhdGU+RGVjIDE2PC9k
YXRlPjwvcHViLWRhdGVzPjwvZGF0ZXM+PGlzYm4+MTQ3NS0yODkxIChFbGVjdHJvbmljKSYjeEQ7
MTQ3NS0yODkxIChMaW5raW5nKTwvaXNibj48YWNjZXNzaW9uLW51bT4yNTUxMTgxNDwvYWNjZXNz
aW9uLW51bT48dXJscz48cmVsYXRlZC11cmxzPjx1cmw+aHR0cHM6Ly93d3cubmNiaS5ubG0ubmlo
Lmdvdi9wdWJtZWQvMjU1MTE4MTQ8L3VybD48L3JlbGF0ZWQtdXJscz48L3VybHM+PGN1c3RvbTI+
UE1DNDI4OTU1MjwvY3VzdG9tMj48ZWxlY3Ryb25pYy1yZXNvdXJjZS1udW0+MTAuMTE4Ni8xNDc1
LTI4OTEtMTMtMTE2PC9lbGVjdHJvbmljLXJlc291cmNlLW51bT48L3JlY29yZD48L0NpdGU+PENp
dGU+PEF1dGhvcj5DdWxsZXJzPC9BdXRob3I+PFllYXI+MjAxOTwvWWVhcj48UmVjTnVtPjEzMjc8
L1JlY051bT48cmVjb3JkPjxyZWMtbnVtYmVyPjEzMjc8L3JlYy1udW1iZXI+PGZvcmVpZ24ta2V5
cz48a2V5IGFwcD0iRU4iIGRiLWlkPSJleHZhc3JmeDJkdHJhb2VzYXN4cDJzenN4YTJkZjUwMjU5
MngiIHRpbWVzdGFtcD0iMTU2NjgwMjgwNyI+MTMyNzwva2V5PjwvZm9yZWlnbi1rZXlzPjxyZWYt
dHlwZSBuYW1lPSJKb3VybmFsIEFydGljbGUiPjE3PC9yZWYtdHlwZT48Y29udHJpYnV0b3JzPjxh
dXRob3JzPjxhdXRob3I+Q3VsbGVycywgQS48L2F1dGhvcj48YXV0aG9yPktpbmcsIEouIEMuPC9h
dXRob3I+PGF1dGhvcj5WYW4gTG9hbiwgTS48L2F1dGhvcj48YXV0aG9yPkdpbGRlbmdvcmluLCBH
LjwvYXV0aG9yPjxhdXRob3I+RnVuZywgRS4gQi48L2F1dGhvcj48L2F1dGhvcnM+PC9jb250cmli
dXRvcnM+PGF1dGgtYWRkcmVzcz5EZXBhcnRtZW50IG9mIEtpbmVzaW9sb2d5LCBNaXNzb3VyaSBT
b3V0aGVybiBTdGF0ZSBVbml2ZXJzaXR5LCBKb3BsaW4sIE1PLiYjeEQ7Q2hpbGRyZW4mYXBvcztz
IEhvc3BpdGFsIE9ha2xhbmQgUmVzZWFyY2ggSW5zdGl0dXRlLCBPYWtsYW5kLCBDQS4mI3hEO1VT
REEgV2VzdGVybiBTdGF0ZXMgTnV0cml0aW9uIFJlc2VhcmNoIENlbnRlciwgRGF2aXMsIENBLjwv
YXV0aC1hZGRyZXNzPjx0aXRsZXM+PHRpdGxlPkVmZmVjdCBvZiBwcmVuYXRhbCBjYWxjaXVtIHN1
cHBsZW1lbnRhdGlvbiBvbiBib25lIGR1cmluZyBwcmVnbmFuY3kgYW5kIDEgeSBwb3N0cGFydHVt
PC90aXRsZT48c2Vjb25kYXJ5LXRpdGxlPkFtIEogQ2xpbiBOdXRyPC9zZWNvbmRhcnktdGl0bGU+
PC90aXRsZXM+PHBlcmlvZGljYWw+PGZ1bGwtdGl0bGU+QW0gSiBDbGluIE51dHI8L2Z1bGwtdGl0
bGU+PC9wZXJpb2RpY2FsPjxwYWdlcz4xOTctMjA2PC9wYWdlcz48dm9sdW1lPjEwOTwvdm9sdW1l
PjxudW1iZXI+MTwvbnVtYmVyPjxlZGl0aW9uPjIwMTkvMDEvMTc8L2VkaXRpb24+PGRhdGVzPjx5
ZWFyPjIwMTk8L3llYXI+PHB1Yi1kYXRlcz48ZGF0ZT5KYW4gMTwvZGF0ZT48L3B1Yi1kYXRlcz48
L2RhdGVzPjxpc2JuPjE5MzgtMzIwNyAoRWxlY3Ryb25pYykmI3hEOzAwMDItOTE2NSAoTGlua2lu
Zyk8L2lzYm4+PGFjY2Vzc2lvbi1udW0+MzA2NDkxNzY8L2FjY2Vzc2lvbi1udW0+PHVybHM+PHJl
bGF0ZWQtdXJscz48dXJsPmh0dHBzOi8vd3d3Lm5jYmkubmxtLm5paC5nb3YvcHVibWVkLzMwNjQ5
MTc2PC91cmw+PC9yZWxhdGVkLXVybHM+PC91cmxzPjxlbGVjdHJvbmljLXJlc291cmNlLW51bT4x
MC4xMDkzL2FqY24vbnF5MjMzPC9lbGVjdHJvbmljLXJlc291cmNlLW51bT48L3JlY29yZD48L0Np
dGU+PC9FbmROb3RlPgB=
</w:fldData>
        </w:fldChar>
      </w:r>
      <w:r w:rsidR="002747EA">
        <w:instrText xml:space="preserve"> ADDIN EN.CITE </w:instrText>
      </w:r>
      <w:r w:rsidR="002747EA">
        <w:fldChar w:fldCharType="begin">
          <w:fldData xml:space="preserve">PEVuZE5vdGU+PENpdGU+PEF1dGhvcj5FdHRpbmdlcjwvQXV0aG9yPjxZZWFyPjIwMTQ8L1llYXI+
PFJlY051bT4xMzI2PC9SZWNOdW0+PERpc3BsYXlUZXh0PjxzdHlsZSBmYWNlPSJzdXBlcnNjcmlw
dCIgZm9udD0iVHJlYnVjaGV0IE1TIiBzaXplPSI5Ij4xOTAsMTkxPC9zdHlsZT48L0Rpc3BsYXlU
ZXh0PjxyZWNvcmQ+PHJlYy1udW1iZXI+MTMyNjwvcmVjLW51bWJlcj48Zm9yZWlnbi1rZXlzPjxr
ZXkgYXBwPSJFTiIgZGItaWQ9ImV4dmFzcmZ4MmR0cmFvZXNhc3hwMnN6c3hhMmRmNTAyNTkyeCIg
dGltZXN0YW1wPSIxNTY2ODAyNzI0Ij4xMzI2PC9rZXk+PC9mb3JlaWduLWtleXM+PHJlZi10eXBl
IG5hbWU9IkpvdXJuYWwgQXJ0aWNsZSI+MTc8L3JlZi10eXBlPjxjb250cmlidXRvcnM+PGF1dGhv
cnM+PGF1dGhvcj5FdHRpbmdlciwgQS4gUy48L2F1dGhvcj48YXV0aG9yPkxhbWFkcmlkLUZpZ3Vl
cm9hLCBILjwvYXV0aG9yPjxhdXRob3I+TWVyY2Fkby1HYXJjaWEsIEEuPC9hdXRob3I+PGF1dGhv
cj5Lb3JkYXMsIEsuPC9hdXRob3I+PGF1dGhvcj5Xb29kLCBSLiBKLjwvYXV0aG9yPjxhdXRob3I+
UGV0ZXJzb24sIEsuIEUuPC9hdXRob3I+PGF1dGhvcj5IdSwgSC48L2F1dGhvcj48YXV0aG9yPkhl
cm5hbmRlei1BdmlsYSwgTS48L2F1dGhvcj48YXV0aG9yPlRlbGxlei1Sb2pvLCBNLiBNLjwvYXV0
aG9yPjwvYXV0aG9ycz48L2NvbnRyaWJ1dG9ycz48YXV0aC1hZGRyZXNzPkNlbnRlciBmb3IgUGVy
aW5hdGFsLCBQZWRpYXRyaWMsIGFuZCBFbnZpcm9ubWVudGFsIEVwaWRlbWlvbG9neSwgWWFsZSBT
Y2hvb2xzIG9mIFB1YmxpYyBIZWFsdGggYW5kIE1lZGljaW5lLCAxIENodXJjaCBTdHJlZXQgNnRo
IGZsb29yLCBOZXcgSGF2ZW4sIENUIDA2NTEwLCBVU0EuIGFkcmllbm5lLmV0dGluZ2VyQHlhbGUu
ZWR1LjwvYXV0aC1hZGRyZXNzPjx0aXRsZXM+PHRpdGxlPkVmZmVjdCBvZiBjYWxjaXVtIHN1cHBs
ZW1lbnRhdGlvbiBvbiBib25lIHJlc29ycHRpb24gaW4gcHJlZ25hbmN5IGFuZCB0aGUgZWFybHkg
cG9zdHBhcnR1bTogYSByYW5kb21pemVkIGNvbnRyb2xsZWQgdHJpYWwgaW4gTWV4aWNhbiB3b21l
bjwvdGl0bGU+PHNlY29uZGFyeS10aXRsZT5OdXRyIEo8L3NlY29uZGFyeS10aXRsZT48L3RpdGxl
cz48cGVyaW9kaWNhbD48ZnVsbC10aXRsZT5OdXRyIEo8L2Z1bGwtdGl0bGU+PC9wZXJpb2RpY2Fs
PjxwYWdlcz4xMTY8L3BhZ2VzPjx2b2x1bWU+MTM8L3ZvbHVtZT48bnVtYmVyPjE8L251bWJlcj48
ZWRpdGlvbj4yMDE0LzEyLzE3PC9lZGl0aW9uPjxrZXl3b3Jkcz48a2V5d29yZD5BbGthbGluZSBQ
aG9zcGhhdGFzZS9ibG9vZDwva2V5d29yZD48a2V5d29yZD5CaW9tYXJrZXJzL3VyaW5lPC9rZXl3
b3JkPjxrZXl3b3JkPkJvbmUgUmVzb3JwdGlvbi9jb21wbGljYXRpb25zLypwcmV2ZW50aW9uICZh
bXA7IGNvbnRyb2w8L2tleXdvcmQ+PGtleXdvcmQ+Qm9uZSBhbmQgQm9uZXMvZGlhZ25vc3RpYyBp
bWFnaW5nL2Vuenltb2xvZ3k8L2tleXdvcmQ+PGtleXdvcmQ+Q2FsY2l1bSwgRGlldGFyeS8qYWRt
aW5pc3RyYXRpb24gJmFtcDsgZG9zYWdlPC9rZXl3b3JkPjxrZXl3b3JkPkNvbGxhZ2VuIFR5cGUg
SS91cmluZTwva2V5d29yZD48a2V5d29yZD5EaWV0YXJ5IFN1cHBsZW1lbnRzPC9rZXl3b3JkPjxr
ZXl3b3JkPkRvdWJsZS1CbGluZCBNZXRob2Q8L2tleXdvcmQ+PGtleXdvcmQ+RmVtYWxlPC9rZXl3
b3JkPjxrZXl3b3JkPkh1bWFuczwva2V5d29yZD48a2V5d29yZD5NZXhpY288L2tleXdvcmQ+PGtl
eXdvcmQ+UGVwdGlkZXMvdXJpbmU8L2tleXdvcmQ+PGtleXdvcmQ+UGxhY2Vib3M8L2tleXdvcmQ+
PGtleXdvcmQ+KlBvc3RwYXJ0dW0gUGVyaW9kPC9rZXl3b3JkPjxrZXl3b3JkPlByZWduYW5jeTwv
a2V5d29yZD48a2V5d29yZD5QcmVnbmFuY3kgQ29tcGxpY2F0aW9ucy8qcHJldmVudGlvbiAmYW1w
OyBjb250cm9sPC9rZXl3b3JkPjxrZXl3b3JkPlVsdHJhc29ub2dyYXBoeTwva2V5d29yZD48L2tl
eXdvcmRzPjxkYXRlcz48eWVhcj4yMDE0PC95ZWFyPjxwdWItZGF0ZXM+PGRhdGU+RGVjIDE2PC9k
YXRlPjwvcHViLWRhdGVzPjwvZGF0ZXM+PGlzYm4+MTQ3NS0yODkxIChFbGVjdHJvbmljKSYjeEQ7
MTQ3NS0yODkxIChMaW5raW5nKTwvaXNibj48YWNjZXNzaW9uLW51bT4yNTUxMTgxNDwvYWNjZXNz
aW9uLW51bT48dXJscz48cmVsYXRlZC11cmxzPjx1cmw+aHR0cHM6Ly93d3cubmNiaS5ubG0ubmlo
Lmdvdi9wdWJtZWQvMjU1MTE4MTQ8L3VybD48L3JlbGF0ZWQtdXJscz48L3VybHM+PGN1c3RvbTI+
UE1DNDI4OTU1MjwvY3VzdG9tMj48ZWxlY3Ryb25pYy1yZXNvdXJjZS1udW0+MTAuMTE4Ni8xNDc1
LTI4OTEtMTMtMTE2PC9lbGVjdHJvbmljLXJlc291cmNlLW51bT48L3JlY29yZD48L0NpdGU+PENp
dGU+PEF1dGhvcj5DdWxsZXJzPC9BdXRob3I+PFllYXI+MjAxOTwvWWVhcj48UmVjTnVtPjEzMjc8
L1JlY051bT48cmVjb3JkPjxyZWMtbnVtYmVyPjEzMjc8L3JlYy1udW1iZXI+PGZvcmVpZ24ta2V5
cz48a2V5IGFwcD0iRU4iIGRiLWlkPSJleHZhc3JmeDJkdHJhb2VzYXN4cDJzenN4YTJkZjUwMjU5
MngiIHRpbWVzdGFtcD0iMTU2NjgwMjgwNyI+MTMyNzwva2V5PjwvZm9yZWlnbi1rZXlzPjxyZWYt
dHlwZSBuYW1lPSJKb3VybmFsIEFydGljbGUiPjE3PC9yZWYtdHlwZT48Y29udHJpYnV0b3JzPjxh
dXRob3JzPjxhdXRob3I+Q3VsbGVycywgQS48L2F1dGhvcj48YXV0aG9yPktpbmcsIEouIEMuPC9h
dXRob3I+PGF1dGhvcj5WYW4gTG9hbiwgTS48L2F1dGhvcj48YXV0aG9yPkdpbGRlbmdvcmluLCBH
LjwvYXV0aG9yPjxhdXRob3I+RnVuZywgRS4gQi48L2F1dGhvcj48L2F1dGhvcnM+PC9jb250cmli
dXRvcnM+PGF1dGgtYWRkcmVzcz5EZXBhcnRtZW50IG9mIEtpbmVzaW9sb2d5LCBNaXNzb3VyaSBT
b3V0aGVybiBTdGF0ZSBVbml2ZXJzaXR5LCBKb3BsaW4sIE1PLiYjeEQ7Q2hpbGRyZW4mYXBvcztz
IEhvc3BpdGFsIE9ha2xhbmQgUmVzZWFyY2ggSW5zdGl0dXRlLCBPYWtsYW5kLCBDQS4mI3hEO1VT
REEgV2VzdGVybiBTdGF0ZXMgTnV0cml0aW9uIFJlc2VhcmNoIENlbnRlciwgRGF2aXMsIENBLjwv
YXV0aC1hZGRyZXNzPjx0aXRsZXM+PHRpdGxlPkVmZmVjdCBvZiBwcmVuYXRhbCBjYWxjaXVtIHN1
cHBsZW1lbnRhdGlvbiBvbiBib25lIGR1cmluZyBwcmVnbmFuY3kgYW5kIDEgeSBwb3N0cGFydHVt
PC90aXRsZT48c2Vjb25kYXJ5LXRpdGxlPkFtIEogQ2xpbiBOdXRyPC9zZWNvbmRhcnktdGl0bGU+
PC90aXRsZXM+PHBlcmlvZGljYWw+PGZ1bGwtdGl0bGU+QW0gSiBDbGluIE51dHI8L2Z1bGwtdGl0
bGU+PC9wZXJpb2RpY2FsPjxwYWdlcz4xOTctMjA2PC9wYWdlcz48dm9sdW1lPjEwOTwvdm9sdW1l
PjxudW1iZXI+MTwvbnVtYmVyPjxlZGl0aW9uPjIwMTkvMDEvMTc8L2VkaXRpb24+PGRhdGVzPjx5
ZWFyPjIwMTk8L3llYXI+PHB1Yi1kYXRlcz48ZGF0ZT5KYW4gMTwvZGF0ZT48L3B1Yi1kYXRlcz48
L2RhdGVzPjxpc2JuPjE5MzgtMzIwNyAoRWxlY3Ryb25pYykmI3hEOzAwMDItOTE2NSAoTGlua2lu
Zyk8L2lzYm4+PGFjY2Vzc2lvbi1udW0+MzA2NDkxNzY8L2FjY2Vzc2lvbi1udW0+PHVybHM+PHJl
bGF0ZWQtdXJscz48dXJsPmh0dHBzOi8vd3d3Lm5jYmkubmxtLm5paC5nb3YvcHVibWVkLzMwNjQ5
MTc2PC91cmw+PC9yZWxhdGVkLXVybHM+PC91cmxzPjxlbGVjdHJvbmljLXJlc291cmNlLW51bT4x
MC4xMDkzL2FqY24vbnF5MjMzPC9lbGVjdHJvbmljLXJlc291cmNlLW51bT48L3JlY29yZD48L0Np
dGU+PC9FbmROb3RlPgB=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190,191</w:t>
      </w:r>
      <w:r w:rsidR="00E51743">
        <w:fldChar w:fldCharType="end"/>
      </w:r>
      <w:r w:rsidR="00360E5F">
        <w:t xml:space="preserve"> A cross-sectional study found that higher calcium supplementation (</w:t>
      </w:r>
      <w:r w:rsidR="00360E5F" w:rsidRPr="00360E5F">
        <w:rPr>
          <w:sz w:val="16"/>
          <w:szCs w:val="16"/>
        </w:rPr>
        <w:t>679 vs 336 mg/day</w:t>
      </w:r>
      <w:r w:rsidR="00360E5F">
        <w:t>) reduced the prevalence of depressive symptoms during pregnancy (</w:t>
      </w:r>
      <w:r w:rsidR="00360E5F" w:rsidRPr="00360E5F">
        <w:rPr>
          <w:sz w:val="16"/>
          <w:szCs w:val="16"/>
        </w:rPr>
        <w:t>aOR 0.59; 95%CI 0.40 to 0.88, p=0.006</w:t>
      </w:r>
      <w:r w:rsidR="00360E5F">
        <w:t>).</w:t>
      </w:r>
      <w:r w:rsidR="003E2D58">
        <w:fldChar w:fldCharType="begin"/>
      </w:r>
      <w:r w:rsidR="002747EA">
        <w:instrText xml:space="preserve"> ADDIN EN.CITE &lt;EndNote&gt;&lt;Cite&gt;&lt;Author&gt;Miyake&lt;/Author&gt;&lt;Year&gt;2015&lt;/Year&gt;&lt;RecNum&gt;1465&lt;/RecNum&gt;&lt;DisplayText&gt;&lt;style face="superscript" font="Trebuchet MS" size="9"&gt;89&lt;/style&gt;&lt;/DisplayText&gt;&lt;record&gt;&lt;rec-number&gt;1465&lt;/rec-number&gt;&lt;foreign-keys&gt;&lt;key app="EN" db-id="exvasrfx2dtraoesasxp2szsxa2df502592x" timestamp="1574039613"&gt;1465&lt;/key&gt;&lt;key app="ENWeb" db-id=""&gt;0&lt;/key&gt;&lt;/foreign-keys&gt;&lt;ref-type name="Journal Article"&gt;17&lt;/ref-type&gt;&lt;contributors&gt;&lt;authors&gt;&lt;author&gt;Miyake, Y.&lt;/author&gt;&lt;author&gt;Tanaka, K.&lt;/author&gt;&lt;author&gt;Okubo, H.&lt;/author&gt;&lt;author&gt;Sasaki, S.&lt;/author&gt;&lt;author&gt;Arakawa, M.&lt;/author&gt;&lt;/authors&gt;&lt;/contributors&gt;&lt;titles&gt;&lt;title&gt;Intake of dairy products and calcium and prevalence of depressive symptoms during pregnancy in Japan: a cross-sectional study&lt;/title&gt;&lt;secondary-title&gt;BJOG&lt;/secondary-title&gt;&lt;/titles&gt;&lt;periodical&gt;&lt;full-title&gt;BJOG&lt;/full-title&gt;&lt;/periodical&gt;&lt;pages&gt;336-43&lt;/pages&gt;&lt;volume&gt;122&lt;/volume&gt;&lt;number&gt;3&lt;/number&gt;&lt;section&gt;336&lt;/section&gt;&lt;dates&gt;&lt;year&gt;2015&lt;/year&gt;&lt;/dates&gt;&lt;isbn&gt;14700328&lt;/isbn&gt;&lt;urls&gt;&lt;/urls&gt;&lt;electronic-resource-num&gt;10.1111/1471-0528.12972&lt;/electronic-resource-num&gt;&lt;/record&gt;&lt;/Cite&gt;&lt;/EndNote&gt;</w:instrText>
      </w:r>
      <w:r w:rsidR="003E2D58">
        <w:fldChar w:fldCharType="separate"/>
      </w:r>
      <w:r w:rsidR="002747EA" w:rsidRPr="002747EA">
        <w:rPr>
          <w:noProof/>
          <w:vertAlign w:val="superscript"/>
        </w:rPr>
        <w:t>89</w:t>
      </w:r>
      <w:r w:rsidR="003E2D58">
        <w:fldChar w:fldCharType="end"/>
      </w:r>
    </w:p>
    <w:p w14:paraId="059086AE" w14:textId="72D6CD3D" w:rsidR="00BA37D8" w:rsidRPr="00A46591" w:rsidRDefault="00BA37D8" w:rsidP="00A46591">
      <w:r>
        <w:t>The cost-effectiveness study found that advising calcium supplementation to all women could reduce the incidence of pre-eclampsia by 25% and is a more efficient approach than advising supplementation to subgroups only.</w:t>
      </w:r>
      <w:r w:rsidR="00E51743">
        <w:fldChar w:fldCharType="begin">
          <w:fldData xml:space="preserve">PEVuZE5vdGU+PENpdGU+PEF1dGhvcj5NZWVydGVuczwvQXV0aG9yPjxZZWFyPjIwMTg8L1llYXI+
PFJlY051bT4xMzIzPC9SZWNOdW0+PERpc3BsYXlUZXh0PjxzdHlsZSBmYWNlPSJzdXBlcnNjcmlw
dCIgZm9udD0iVHJlYnVjaGV0IE1TIiBzaXplPSI5Ij4xOTI8L3N0eWxlPjwvRGlzcGxheVRleHQ+
PHJlY29yZD48cmVjLW51bWJlcj4xMzIzPC9yZWMtbnVtYmVyPjxmb3JlaWduLWtleXM+PGtleSBh
cHA9IkVOIiBkYi1pZD0iZXh2YXNyZngyZHRyYW9lc2FzeHAyc3pzeGEyZGY1MDI1OTJ4IiB0aW1l
c3RhbXA9IjE1NjY3OTgyNzgiPjEzMjM8L2tleT48a2V5IGFwcD0iRU5XZWIiIGRiLWlkPSIiPjA8
L2tleT48L2ZvcmVpZ24ta2V5cz48cmVmLXR5cGUgbmFtZT0iSm91cm5hbCBBcnRpY2xlIj4xNzwv
cmVmLXR5cGU+PGNvbnRyaWJ1dG9ycz48YXV0aG9ycz48YXV0aG9yPk1lZXJ0ZW5zLCBMLiBKLiBF
LjwvYXV0aG9yPjxhdXRob3I+U2NoZWVwZXJzLCBILiBDLiBKLjwvYXV0aG9yPjxhdXRob3I+V2ls
bGVtc2UsIEpwbW08L2F1dGhvcj48YXV0aG9yPlNwYWFuZGVybWFuLCBNLiBFLiBBLjwvYXV0aG9y
PjxhdXRob3I+U21pdHMsIEwuIEouIE0uPC9hdXRob3I+PC9hdXRob3JzPjwvY29udHJpYnV0b3Jz
PjxhdXRoLWFkZHJlc3M+RGVwYXJ0bWVudCBvZiBFcGlkZW1pb2xvZ3ksIENhcmUgYW5kIFB1Ymxp
YyBIZWFsdGggUmVzZWFyY2ggSW5zdGl0dXRlIChDQVBIUkkpLCBNYWFzdHJpY2h0IFVuaXZlcnNp
dHksIE1hYXN0cmljaHQsIFRoZSBOZXRoZXJsYW5kcy4mI3hEO0RlcGFydG1lbnQgb2YgT2JzdGV0
cmljcyBhbmQgR3luYWVjb2xvZ3ksIEdST1cgU2Nob29sIGZvciBPbmNvbG9neSBhbmQgRGV2ZWxv
cG1lbnRhbCBCaW9sb2d5LCBNYWFzdHJpY2h0IFVuaXZlcnNpdHkgTWVkaWNhbCBDZW50cmUsIE1h
YXN0cmljaHQsIFRoZSBOZXRoZXJsYW5kcy4mI3hEO0ZhY3VsdHkgb2YgSGVhbHRoIE1lZGljaW5l
IGFuZCBMaWZlIFNjaWVuY2VzLCBNYWFzdHJpY2h0IFVuaXZlcnNpdHksIE1hYXN0cmljaHQsIFRo
ZSBOZXRoZXJsYW5kcy48L2F1dGgtYWRkcmVzcz48dGl0bGVzPjx0aXRsZT5TaG91bGQgd29tZW4g
YmUgYWR2aXNlZCB0byB1c2UgY2FsY2l1bSBzdXBwbGVtZW50cyBkdXJpbmcgcHJlZ25hbmN5PyBB
IGRlY2lzaW9uIGFuYWx5c2lzPC90aXRsZT48c2Vjb25kYXJ5LXRpdGxlPk1hdGVybiBDaGlsZCBO
dXRyPC9zZWNvbmRhcnktdGl0bGU+PC90aXRsZXM+PHBlcmlvZGljYWw+PGZ1bGwtdGl0bGU+TWF0
ZXJuIENoaWxkIE51dHI8L2Z1bGwtdGl0bGU+PC9wZXJpb2RpY2FsPjx2b2x1bWU+MTQ8L3ZvbHVt
ZT48bnVtYmVyPjE8L251bWJlcj48ZWRpdGlvbj4yMDE3LzA2LzIwPC9lZGl0aW9uPjxrZXl3b3Jk
cz48a2V5d29yZD5BZHVsdDwva2V5d29yZD48a2V5d29yZD5DYWxjaXVtL2RlZmljaWVuY3k8L2tl
eXdvcmQ+PGtleXdvcmQ+Q2FsY2l1bSwgRGlldGFyeS9hZHZlcnNlIGVmZmVjdHMvZWNvbm9taWNz
Lyp0aGVyYXBldXRpYyB1c2U8L2tleXdvcmQ+PGtleXdvcmQ+Q29tYmluZWQgTW9kYWxpdHkgVGhl
cmFweS9lY29ub21pY3M8L2tleXdvcmQ+PGtleXdvcmQ+Q29zdCBTYXZpbmdzPC9rZXl3b3JkPjxr
ZXl3b3JkPkNvc3RzIGFuZCBDb3N0IEFuYWx5c2lzPC9rZXl3b3JkPjxrZXl3b3JkPkRlY2lzaW9u
IFN1cHBvcnQgVGVjaG5pcXVlczwva2V5d29yZD48a2V5d29yZD5EZWZpY2llbmN5IERpc2Vhc2Vz
L2Vjb25vbWljcy9lcGlkZW1pb2xvZ3kvcGh5c2lvcGF0aG9sb2d5L3ByZXZlbnRpb24gJmFtcDsg
Y29udHJvbDwva2V5d29yZD48a2V5d29yZD5EZXZlbG9wZWQgQ291bnRyaWVzPC9rZXl3b3JkPjxr
ZXl3b3JkPipEaWV0YXJ5IFN1cHBsZW1lbnRzL2FkdmVyc2UgZWZmZWN0cy9lY29ub21pY3M8L2tl
eXdvcmQ+PGtleXdvcmQ+KkV2aWRlbmNlLUJhc2VkIE1lZGljaW5lL2Vjb25vbWljczwva2V5d29y
ZD48a2V5d29yZD5GZW1hbGU8L2tleXdvcmQ+PGtleXdvcmQ+SG9zcGl0YWwgQ29zdHM8L2tleXdv
cmQ+PGtleXdvcmQ+SHVtYW5zPC9rZXl3b3JkPjxrZXl3b3JkPkluY2lkZW5jZTwva2V5d29yZD48
a2V5d29yZD4qTWF0ZXJuYWwgTnV0cml0aW9uYWwgUGh5c2lvbG9naWNhbCBQaGVub21lbmE8L2tl
eXdvcmQ+PGtleXdvcmQ+Kk1vZGVscywgRWNvbm9taWM8L2tleXdvcmQ+PGtleXdvcmQ+UGF0aWVu
dCBFZHVjYXRpb24gYXMgVG9waWMvZWNvbm9taWNzPC9rZXl3b3JkPjxrZXl3b3JkPipQcmFjdGlj
ZSBHdWlkZWxpbmVzIGFzIFRvcGljPC9rZXl3b3JkPjxrZXl3b3JkPlByZS1FY2xhbXBzaWEvZWNv
bm9taWNzL2V0aW9sb2d5LypwcmV2ZW50aW9uICZhbXA7IGNvbnRyb2wvdGhlcmFweTwva2V5d29y
ZD48a2V5d29yZD5QcmVnbmFuY3k8L2tleXdvcmQ+PGtleXdvcmQ+UHJlZ25hbmN5IENvbXBsaWNh
dGlvbnMvZWNvbm9taWNzL2VwaWRlbWlvbG9neS9waHlzaW9wYXRob2xvZ3kvcHJldmVudGlvbiAm
YW1wOzwva2V5d29yZD48a2V5d29yZD5jb250cm9sPC9rZXl3b3JkPjxrZXl3b3JkPlJpc2s8L2tl
eXdvcmQ+PGtleXdvcmQ+KmNhbGNpdW0gc3VwcGxlbWVudGF0aW9uPC9rZXl3b3JkPjxrZXl3b3Jk
PipkZWNpc2lvbiBhbmFseXNpczwva2V5d29yZD48a2V5d29yZD4qaW1wYWN0PC9rZXl3b3JkPjxr
ZXl3b3JkPipwcmUtZWNsYW1wc2lhPC9rZXl3b3JkPjwva2V5d29yZHM+PGRhdGVzPjx5ZWFyPjIw
MTg8L3llYXI+PHB1Yi1kYXRlcz48ZGF0ZT5KYW48L2RhdGU+PC9wdWItZGF0ZXM+PC9kYXRlcz48
aXNibj4xNzQwLTg3MDkgKEVsZWN0cm9uaWMpJiN4RDsxNzQwLTg2OTUgKExpbmtpbmcpPC9pc2Ju
PjxhY2Nlc3Npb24tbnVtPjI4NjI2ODc4PC9hY2Nlc3Npb24tbnVtPjx1cmxzPjxyZWxhdGVkLXVy
bHM+PHVybD5odHRwczovL3d3dy5uY2JpLm5sbS5uaWguZ292L3B1Ym1lZC8yODYyNjg3ODwvdXJs
PjwvcmVsYXRlZC11cmxzPjwvdXJscz48ZWxlY3Ryb25pYy1yZXNvdXJjZS1udW0+MTAuMTExMS9t
Y24uMTI0Nzk8L2VsZWN0cm9uaWMtcmVzb3VyY2UtbnVtPjwvcmVjb3JkPjwvQ2l0ZT48L0VuZE5v
dGU+
</w:fldData>
        </w:fldChar>
      </w:r>
      <w:r w:rsidR="002747EA">
        <w:instrText xml:space="preserve"> ADDIN EN.CITE </w:instrText>
      </w:r>
      <w:r w:rsidR="002747EA">
        <w:fldChar w:fldCharType="begin">
          <w:fldData xml:space="preserve">PEVuZE5vdGU+PENpdGU+PEF1dGhvcj5NZWVydGVuczwvQXV0aG9yPjxZZWFyPjIwMTg8L1llYXI+
PFJlY051bT4xMzIzPC9SZWNOdW0+PERpc3BsYXlUZXh0PjxzdHlsZSBmYWNlPSJzdXBlcnNjcmlw
dCIgZm9udD0iVHJlYnVjaGV0IE1TIiBzaXplPSI5Ij4xOTI8L3N0eWxlPjwvRGlzcGxheVRleHQ+
PHJlY29yZD48cmVjLW51bWJlcj4xMzIzPC9yZWMtbnVtYmVyPjxmb3JlaWduLWtleXM+PGtleSBh
cHA9IkVOIiBkYi1pZD0iZXh2YXNyZngyZHRyYW9lc2FzeHAyc3pzeGEyZGY1MDI1OTJ4IiB0aW1l
c3RhbXA9IjE1NjY3OTgyNzgiPjEzMjM8L2tleT48a2V5IGFwcD0iRU5XZWIiIGRiLWlkPSIiPjA8
L2tleT48L2ZvcmVpZ24ta2V5cz48cmVmLXR5cGUgbmFtZT0iSm91cm5hbCBBcnRpY2xlIj4xNzwv
cmVmLXR5cGU+PGNvbnRyaWJ1dG9ycz48YXV0aG9ycz48YXV0aG9yPk1lZXJ0ZW5zLCBMLiBKLiBF
LjwvYXV0aG9yPjxhdXRob3I+U2NoZWVwZXJzLCBILiBDLiBKLjwvYXV0aG9yPjxhdXRob3I+V2ls
bGVtc2UsIEpwbW08L2F1dGhvcj48YXV0aG9yPlNwYWFuZGVybWFuLCBNLiBFLiBBLjwvYXV0aG9y
PjxhdXRob3I+U21pdHMsIEwuIEouIE0uPC9hdXRob3I+PC9hdXRob3JzPjwvY29udHJpYnV0b3Jz
PjxhdXRoLWFkZHJlc3M+RGVwYXJ0bWVudCBvZiBFcGlkZW1pb2xvZ3ksIENhcmUgYW5kIFB1Ymxp
YyBIZWFsdGggUmVzZWFyY2ggSW5zdGl0dXRlIChDQVBIUkkpLCBNYWFzdHJpY2h0IFVuaXZlcnNp
dHksIE1hYXN0cmljaHQsIFRoZSBOZXRoZXJsYW5kcy4mI3hEO0RlcGFydG1lbnQgb2YgT2JzdGV0
cmljcyBhbmQgR3luYWVjb2xvZ3ksIEdST1cgU2Nob29sIGZvciBPbmNvbG9neSBhbmQgRGV2ZWxv
cG1lbnRhbCBCaW9sb2d5LCBNYWFzdHJpY2h0IFVuaXZlcnNpdHkgTWVkaWNhbCBDZW50cmUsIE1h
YXN0cmljaHQsIFRoZSBOZXRoZXJsYW5kcy4mI3hEO0ZhY3VsdHkgb2YgSGVhbHRoIE1lZGljaW5l
IGFuZCBMaWZlIFNjaWVuY2VzLCBNYWFzdHJpY2h0IFVuaXZlcnNpdHksIE1hYXN0cmljaHQsIFRo
ZSBOZXRoZXJsYW5kcy48L2F1dGgtYWRkcmVzcz48dGl0bGVzPjx0aXRsZT5TaG91bGQgd29tZW4g
YmUgYWR2aXNlZCB0byB1c2UgY2FsY2l1bSBzdXBwbGVtZW50cyBkdXJpbmcgcHJlZ25hbmN5PyBB
IGRlY2lzaW9uIGFuYWx5c2lzPC90aXRsZT48c2Vjb25kYXJ5LXRpdGxlPk1hdGVybiBDaGlsZCBO
dXRyPC9zZWNvbmRhcnktdGl0bGU+PC90aXRsZXM+PHBlcmlvZGljYWw+PGZ1bGwtdGl0bGU+TWF0
ZXJuIENoaWxkIE51dHI8L2Z1bGwtdGl0bGU+PC9wZXJpb2RpY2FsPjx2b2x1bWU+MTQ8L3ZvbHVt
ZT48bnVtYmVyPjE8L251bWJlcj48ZWRpdGlvbj4yMDE3LzA2LzIwPC9lZGl0aW9uPjxrZXl3b3Jk
cz48a2V5d29yZD5BZHVsdDwva2V5d29yZD48a2V5d29yZD5DYWxjaXVtL2RlZmljaWVuY3k8L2tl
eXdvcmQ+PGtleXdvcmQ+Q2FsY2l1bSwgRGlldGFyeS9hZHZlcnNlIGVmZmVjdHMvZWNvbm9taWNz
Lyp0aGVyYXBldXRpYyB1c2U8L2tleXdvcmQ+PGtleXdvcmQ+Q29tYmluZWQgTW9kYWxpdHkgVGhl
cmFweS9lY29ub21pY3M8L2tleXdvcmQ+PGtleXdvcmQ+Q29zdCBTYXZpbmdzPC9rZXl3b3JkPjxr
ZXl3b3JkPkNvc3RzIGFuZCBDb3N0IEFuYWx5c2lzPC9rZXl3b3JkPjxrZXl3b3JkPkRlY2lzaW9u
IFN1cHBvcnQgVGVjaG5pcXVlczwva2V5d29yZD48a2V5d29yZD5EZWZpY2llbmN5IERpc2Vhc2Vz
L2Vjb25vbWljcy9lcGlkZW1pb2xvZ3kvcGh5c2lvcGF0aG9sb2d5L3ByZXZlbnRpb24gJmFtcDsg
Y29udHJvbDwva2V5d29yZD48a2V5d29yZD5EZXZlbG9wZWQgQ291bnRyaWVzPC9rZXl3b3JkPjxr
ZXl3b3JkPipEaWV0YXJ5IFN1cHBsZW1lbnRzL2FkdmVyc2UgZWZmZWN0cy9lY29ub21pY3M8L2tl
eXdvcmQ+PGtleXdvcmQ+KkV2aWRlbmNlLUJhc2VkIE1lZGljaW5lL2Vjb25vbWljczwva2V5d29y
ZD48a2V5d29yZD5GZW1hbGU8L2tleXdvcmQ+PGtleXdvcmQ+SG9zcGl0YWwgQ29zdHM8L2tleXdv
cmQ+PGtleXdvcmQ+SHVtYW5zPC9rZXl3b3JkPjxrZXl3b3JkPkluY2lkZW5jZTwva2V5d29yZD48
a2V5d29yZD4qTWF0ZXJuYWwgTnV0cml0aW9uYWwgUGh5c2lvbG9naWNhbCBQaGVub21lbmE8L2tl
eXdvcmQ+PGtleXdvcmQ+Kk1vZGVscywgRWNvbm9taWM8L2tleXdvcmQ+PGtleXdvcmQ+UGF0aWVu
dCBFZHVjYXRpb24gYXMgVG9waWMvZWNvbm9taWNzPC9rZXl3b3JkPjxrZXl3b3JkPipQcmFjdGlj
ZSBHdWlkZWxpbmVzIGFzIFRvcGljPC9rZXl3b3JkPjxrZXl3b3JkPlByZS1FY2xhbXBzaWEvZWNv
bm9taWNzL2V0aW9sb2d5LypwcmV2ZW50aW9uICZhbXA7IGNvbnRyb2wvdGhlcmFweTwva2V5d29y
ZD48a2V5d29yZD5QcmVnbmFuY3k8L2tleXdvcmQ+PGtleXdvcmQ+UHJlZ25hbmN5IENvbXBsaWNh
dGlvbnMvZWNvbm9taWNzL2VwaWRlbWlvbG9neS9waHlzaW9wYXRob2xvZ3kvcHJldmVudGlvbiAm
YW1wOzwva2V5d29yZD48a2V5d29yZD5jb250cm9sPC9rZXl3b3JkPjxrZXl3b3JkPlJpc2s8L2tl
eXdvcmQ+PGtleXdvcmQ+KmNhbGNpdW0gc3VwcGxlbWVudGF0aW9uPC9rZXl3b3JkPjxrZXl3b3Jk
PipkZWNpc2lvbiBhbmFseXNpczwva2V5d29yZD48a2V5d29yZD4qaW1wYWN0PC9rZXl3b3JkPjxr
ZXl3b3JkPipwcmUtZWNsYW1wc2lhPC9rZXl3b3JkPjwva2V5d29yZHM+PGRhdGVzPjx5ZWFyPjIw
MTg8L3llYXI+PHB1Yi1kYXRlcz48ZGF0ZT5KYW48L2RhdGU+PC9wdWItZGF0ZXM+PC9kYXRlcz48
aXNibj4xNzQwLTg3MDkgKEVsZWN0cm9uaWMpJiN4RDsxNzQwLTg2OTUgKExpbmtpbmcpPC9pc2Ju
PjxhY2Nlc3Npb24tbnVtPjI4NjI2ODc4PC9hY2Nlc3Npb24tbnVtPjx1cmxzPjxyZWxhdGVkLXVy
bHM+PHVybD5odHRwczovL3d3dy5uY2JpLm5sbS5uaWguZ292L3B1Ym1lZC8yODYyNjg3ODwvdXJs
PjwvcmVsYXRlZC11cmxzPjwvdXJscz48ZWxlY3Ryb25pYy1yZXNvdXJjZS1udW0+MTAuMTExMS9t
Y24uMTI0Nzk8L2VsZWN0cm9uaWMtcmVzb3VyY2UtbnVtPjwvcmVjb3JkPjwvQ2l0ZT48L0VuZE5v
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192</w:t>
      </w:r>
      <w:r w:rsidR="00E51743">
        <w:fldChar w:fldCharType="end"/>
      </w:r>
    </w:p>
    <w:p w14:paraId="144ADF05" w14:textId="2CF6F9B9" w:rsidR="00FF3C23" w:rsidRPr="00C17D56" w:rsidRDefault="00FF3C23" w:rsidP="00C17D56">
      <w:pPr>
        <w:pStyle w:val="Heading4"/>
      </w:pPr>
      <w:r w:rsidRPr="00C17D56">
        <w:t>Iodine</w:t>
      </w:r>
      <w:r w:rsidR="00BA549B" w:rsidRPr="00C17D56">
        <w:t xml:space="preserve"> supplementation</w:t>
      </w:r>
    </w:p>
    <w:p w14:paraId="097725D2" w14:textId="77777777" w:rsidR="00AB3D1F" w:rsidRDefault="00AB3D1F" w:rsidP="00AB3D1F">
      <w:pPr>
        <w:pStyle w:val="Heading5"/>
      </w:pPr>
      <w:r>
        <w:t>Background</w:t>
      </w:r>
    </w:p>
    <w:p w14:paraId="53999D7C" w14:textId="763A43B2" w:rsidR="00927F1F" w:rsidRDefault="00FE3CAB" w:rsidP="00927F1F">
      <w:r w:rsidRPr="00BE0953">
        <w:t>From September 2009 in New Zealand and from October 2009 in Australia, Standard 2.1.1 of the Code required the use of iodised salt instead of non-iodised salt in bread</w:t>
      </w:r>
      <w:r>
        <w:t>.</w:t>
      </w:r>
      <w:r w:rsidR="003523C5">
        <w:fldChar w:fldCharType="begin"/>
      </w:r>
      <w:r w:rsidR="002747EA">
        <w:instrText xml:space="preserve"> ADDIN EN.CITE &lt;EndNote&gt;&lt;Cite&gt;&lt;Author&gt;AIHW&lt;/Author&gt;&lt;Year&gt;2016&lt;/Year&gt;&lt;RecNum&gt;1201&lt;/RecNum&gt;&lt;DisplayText&gt;&lt;style face="superscript" font="Trebuchet MS" size="9"&gt;113&lt;/style&gt;&lt;/DisplayText&gt;&lt;record&gt;&lt;rec-number&gt;1201&lt;/rec-number&gt;&lt;foreign-keys&gt;&lt;key app="EN" db-id="exvasrfx2dtraoesasxp2szsxa2df502592x" timestamp="1559691299"&gt;1201&lt;/key&gt;&lt;/foreign-keys&gt;&lt;ref-type name="Report"&gt;27&lt;/ref-type&gt;&lt;contributors&gt;&lt;authors&gt;&lt;author&gt;AIHW,&lt;/author&gt;&lt;/authors&gt;&lt;/contributors&gt;&lt;titles&gt;&lt;title&gt;Monitoring the health impacts of mandatory folic acid and iodine fortification&lt;/title&gt;&lt;/titles&gt;&lt;dates&gt;&lt;year&gt;2016&lt;/year&gt;&lt;/dates&gt;&lt;pub-location&gt;Canberra&lt;/pub-location&gt;&lt;publisher&gt;Australian Institute of Health and Welfare&lt;/publisher&gt;&lt;work-type&gt;Cat. no. PHE 208&lt;/work-type&gt;&lt;urls&gt;&lt;related-urls&gt;&lt;url&gt;https://www.aihw.gov.au/getmedia/6bfafa4a-2255-4f04-8955-7496c9e5b2c1/19192.pdf.aspx?inline=true&lt;/url&gt;&lt;/related-urls&gt;&lt;/urls&gt;&lt;/record&gt;&lt;/Cite&gt;&lt;/EndNote&gt;</w:instrText>
      </w:r>
      <w:r w:rsidR="003523C5">
        <w:fldChar w:fldCharType="separate"/>
      </w:r>
      <w:r w:rsidR="002747EA" w:rsidRPr="002747EA">
        <w:rPr>
          <w:noProof/>
          <w:vertAlign w:val="superscript"/>
        </w:rPr>
        <w:t>113</w:t>
      </w:r>
      <w:r w:rsidR="003523C5">
        <w:fldChar w:fldCharType="end"/>
      </w:r>
      <w:r w:rsidRPr="00BE0953">
        <w:t> </w:t>
      </w:r>
      <w:r w:rsidR="00927F1F">
        <w:t>The AIHW reports that, w</w:t>
      </w:r>
      <w:r w:rsidR="00927F1F" w:rsidRPr="00927F1F">
        <w:t xml:space="preserve">hile mandatory fortification delivered sufficient amounts of iodine to the general population, intakes for many pregnant and breastfeeding women were insufficient due </w:t>
      </w:r>
      <w:r w:rsidR="00BE0953">
        <w:t>to their increased requirements.</w:t>
      </w:r>
      <w:r w:rsidR="003523C5">
        <w:fldChar w:fldCharType="begin"/>
      </w:r>
      <w:r w:rsidR="002747EA">
        <w:instrText xml:space="preserve"> ADDIN EN.CITE &lt;EndNote&gt;&lt;Cite&gt;&lt;Author&gt;AIHW&lt;/Author&gt;&lt;Year&gt;2016&lt;/Year&gt;&lt;RecNum&gt;1201&lt;/RecNum&gt;&lt;DisplayText&gt;&lt;style face="superscript" font="Trebuchet MS" size="9"&gt;113&lt;/style&gt;&lt;/DisplayText&gt;&lt;record&gt;&lt;rec-number&gt;1201&lt;/rec-number&gt;&lt;foreign-keys&gt;&lt;key app="EN" db-id="exvasrfx2dtraoesasxp2szsxa2df502592x" timestamp="1559691299"&gt;1201&lt;/key&gt;&lt;/foreign-keys&gt;&lt;ref-type name="Report"&gt;27&lt;/ref-type&gt;&lt;contributors&gt;&lt;authors&gt;&lt;author&gt;AIHW,&lt;/author&gt;&lt;/authors&gt;&lt;/contributors&gt;&lt;titles&gt;&lt;title&gt;Monitoring the health impacts of mandatory folic acid and iodine fortification&lt;/title&gt;&lt;/titles&gt;&lt;dates&gt;&lt;year&gt;2016&lt;/year&gt;&lt;/dates&gt;&lt;pub-location&gt;Canberra&lt;/pub-location&gt;&lt;publisher&gt;Australian Institute of Health and Welfare&lt;/publisher&gt;&lt;work-type&gt;Cat. no. PHE 208&lt;/work-type&gt;&lt;urls&gt;&lt;related-urls&gt;&lt;url&gt;https://www.aihw.gov.au/getmedia/6bfafa4a-2255-4f04-8955-7496c9e5b2c1/19192.pdf.aspx?inline=true&lt;/url&gt;&lt;/related-urls&gt;&lt;/urls&gt;&lt;/record&gt;&lt;/Cite&gt;&lt;/EndNote&gt;</w:instrText>
      </w:r>
      <w:r w:rsidR="003523C5">
        <w:fldChar w:fldCharType="separate"/>
      </w:r>
      <w:r w:rsidR="002747EA" w:rsidRPr="002747EA">
        <w:rPr>
          <w:noProof/>
          <w:vertAlign w:val="superscript"/>
        </w:rPr>
        <w:t>113</w:t>
      </w:r>
      <w:r w:rsidR="003523C5">
        <w:fldChar w:fldCharType="end"/>
      </w:r>
    </w:p>
    <w:p w14:paraId="42BB5AD8" w14:textId="1D6EE7E5" w:rsidR="002E2733" w:rsidRPr="005719CE" w:rsidRDefault="00812D5B" w:rsidP="005719CE">
      <w:r>
        <w:t>In a</w:t>
      </w:r>
      <w:r w:rsidR="002E2733">
        <w:t xml:space="preserve"> </w:t>
      </w:r>
      <w:r>
        <w:t xml:space="preserve">review of Australian </w:t>
      </w:r>
      <w:r w:rsidR="00BA6D51">
        <w:t>cohort studies post-fortification (</w:t>
      </w:r>
      <w:r w:rsidR="00BA6D51" w:rsidRPr="005719CE">
        <w:rPr>
          <w:sz w:val="16"/>
          <w:szCs w:val="16"/>
        </w:rPr>
        <w:t>7 studies</w:t>
      </w:r>
      <w:r w:rsidR="00BA6D51">
        <w:t>),</w:t>
      </w:r>
      <w:r w:rsidR="00D07346">
        <w:fldChar w:fldCharType="begin">
          <w:fldData xml:space="preserve">PEVuZE5vdGU+PENpdGU+PEF1dGhvcj5IdXJsZXk8L0F1dGhvcj48WWVhcj4yMDE5PC9ZZWFyPjxS
ZWNOdW0+MTg1NzwvUmVjTnVtPjxEaXNwbGF5VGV4dD48c3R5bGUgZmFjZT0ic3VwZXJzY3JpcHQi
IGZvbnQ9IlRyZWJ1Y2hldCBNUyIgc2l6ZT0iOSI+MTkzPC9zdHlsZT48L0Rpc3BsYXlUZXh0Pjxy
ZWNvcmQ+PHJlYy1udW1iZXI+MTg1NzwvcmVjLW51bWJlcj48Zm9yZWlnbi1rZXlzPjxrZXkgYXBw
PSJFTiIgZGItaWQ9ImV4dmFzcmZ4MmR0cmFvZXNhc3hwMnN6c3hhMmRmNTAyNTkyeCIgdGltZXN0
YW1wPSIxNTg3NjE1MDQzIj4xODU3PC9rZXk+PC9mb3JlaWduLWtleXM+PHJlZi10eXBlIG5hbWU9
IkpvdXJuYWwgQXJ0aWNsZSI+MTc8L3JlZi10eXBlPjxjb250cmlidXRvcnM+PGF1dGhvcnM+PGF1
dGhvcj5IdXJsZXksIFMuPC9hdXRob3I+PGF1dGhvcj5FYXN0bWFuLCBDLiBKLjwvYXV0aG9yPjxh
dXRob3I+R2FsbGVnbywgRy48L2F1dGhvcj48L2F1dGhvcnM+PC9jb250cmlidXRvcnM+PGF1dGgt
YWRkcmVzcz5TY2hvb2wgb2YgTWVkaWNpbmUsIFVuaXZlcnNpdHkgb2YgTm90cmUgRGFtZSwgQXVz
dHJhbGlhLCBOU1csIEF1c3RyYWxpYS4mI3hEO1N5ZG5leSBNZWRpY2FsIFNjaG9vbCwgVW5pdmVy
c2l0eSBvZiBTeWRuZXksIFN5ZG5leSBOU1csIEF1c3RyYWxpYS4mI3hEO0F1c3RyYWxpYW4gUmVw
cmVzZW50YXRpdmUgSW9kaW5lIEdsb2JhbCBOZXR3b3JrIChJR04pLCBDaGFpcm1hbiBBdXN0cmFs
aWFuIENlbnRyZSBmb3IgQ29udHJvbCBvZiBJb2RpbmUgRGVmaWNpZW5jeSBEaXNvcmRlcnMgKEFD
Q0lERCksIFN0IExlb25hcmRzIE5TVywgQXVzdHJhbGlhLiYjeEQ7U2Nob29sIG9mIE1lZGljaW5l
LCBVbml2ZXJzaXR5IG9mIE5vdHJlIERhbWUsIEF1c3RyYWxpYSwgTlNXLCBBdXN0cmFsaWEuIGdp
c3NlbGxlLmdhbGxlZ29AbmQuZWR1LmF1LjwvYXV0aC1hZGRyZXNzPjx0aXRsZXM+PHRpdGxlPlRo
ZSBpbXBhY3Qgb2YgbWFuZGF0b3J5IGlvZGluZSBmb3J0aWZpY2F0aW9uIGFuZCBzdXBwbGVtZW50
YXRpb24gb24gcHJlZ25hbnQgYW5kIGxhY3RhdGluZyB3b21lbiBpbiBBdXN0cmFsaWE8L3RpdGxl
PjxzZWNvbmRhcnktdGl0bGU+QXNpYSBQYWMgSiBDbGluIE51dHI8L3NlY29uZGFyeS10aXRsZT48
L3RpdGxlcz48cGVyaW9kaWNhbD48ZnVsbC10aXRsZT5Bc2lhIFBhYyBKIENsaW4gTnV0cjwvZnVs
bC10aXRsZT48L3BlcmlvZGljYWw+PHBhZ2VzPjE1LTIyPC9wYWdlcz48dm9sdW1lPjI4PC92b2x1
bWU+PG51bWJlcj4xPC9udW1iZXI+PGVkaXRpb24+MjAxOS8wMy8yMjwvZWRpdGlvbj48a2V5d29y
ZHM+PGtleXdvcmQ+QWR1bHQ8L2tleXdvcmQ+PGtleXdvcmQ+QXVzdHJhbGlhL2VwaWRlbWlvbG9n
eTwva2V5d29yZD48a2V5d29yZD5CcmVhc3QgRmVlZGluZzwva2V5d29yZD48a2V5d29yZD5EaWV0
YXJ5IFN1cHBsZW1lbnRzPC9rZXl3b3JkPjxrZXl3b3JkPkZlbWFsZTwva2V5d29yZD48a2V5d29y
ZD5IdW1hbnM8L2tleXdvcmQ+PGtleXdvcmQ+SW9kaW5lL2FkbWluaXN0cmF0aW9uICZhbXA7IGRv
c2FnZS8qZGVmaWNpZW5jeTwva2V5d29yZD48a2V5d29yZD5QcmVnbmFuY3k8L2tleXdvcmQ+PGtl
eXdvcmQ+U29kaXVtIENobG9yaWRlLCBEaWV0YXJ5LyphZG1pbmlzdHJhdGlvbiAmYW1wOyBkb3Nh
Z2U8L2tleXdvcmQ+PGtleXdvcmQ+VGh5cm9pZCBEaXNlYXNlcy9lcGlkZW1pb2xvZ3kvKnByZXZl
bnRpb24gJmFtcDsgY29udHJvbDwva2V5d29yZD48L2tleXdvcmRzPjxkYXRlcz48eWVhcj4yMDE5
PC95ZWFyPjwvZGF0ZXM+PGlzYm4+MTQ0MC02MDQ3IChFbGVjdHJvbmljKSYjeEQ7MDk2NC03MDU4
IChMaW5raW5nKTwvaXNibj48YWNjZXNzaW9uLW51bT4zMDg5NjQwOTwvYWNjZXNzaW9uLW51bT48
dXJscz48cmVsYXRlZC11cmxzPjx1cmw+aHR0cHM6Ly93d3cubmNiaS5ubG0ubmloLmdvdi9wdWJt
ZWQvMzA4OTY0MDk8L3VybD48L3JlbGF0ZWQtdXJscz48L3VybHM+PGVsZWN0cm9uaWMtcmVzb3Vy
Y2UtbnVtPjEwLjYxMzMvYXBqY24uMjAxOTAzXzI4KDEpLjAwMDM8L2VsZWN0cm9uaWMtcmVzb3Vy
Y2UtbnVtPjwvcmVjb3JkPjwvQ2l0ZT48L0VuZE5vdGU+AG==
</w:fldData>
        </w:fldChar>
      </w:r>
      <w:r w:rsidR="002747EA">
        <w:instrText xml:space="preserve"> ADDIN EN.CITE </w:instrText>
      </w:r>
      <w:r w:rsidR="002747EA">
        <w:fldChar w:fldCharType="begin">
          <w:fldData xml:space="preserve">PEVuZE5vdGU+PENpdGU+PEF1dGhvcj5IdXJsZXk8L0F1dGhvcj48WWVhcj4yMDE5PC9ZZWFyPjxS
ZWNOdW0+MTg1NzwvUmVjTnVtPjxEaXNwbGF5VGV4dD48c3R5bGUgZmFjZT0ic3VwZXJzY3JpcHQi
IGZvbnQ9IlRyZWJ1Y2hldCBNUyIgc2l6ZT0iOSI+MTkzPC9zdHlsZT48L0Rpc3BsYXlUZXh0Pjxy
ZWNvcmQ+PHJlYy1udW1iZXI+MTg1NzwvcmVjLW51bWJlcj48Zm9yZWlnbi1rZXlzPjxrZXkgYXBw
PSJFTiIgZGItaWQ9ImV4dmFzcmZ4MmR0cmFvZXNhc3hwMnN6c3hhMmRmNTAyNTkyeCIgdGltZXN0
YW1wPSIxNTg3NjE1MDQzIj4xODU3PC9rZXk+PC9mb3JlaWduLWtleXM+PHJlZi10eXBlIG5hbWU9
IkpvdXJuYWwgQXJ0aWNsZSI+MTc8L3JlZi10eXBlPjxjb250cmlidXRvcnM+PGF1dGhvcnM+PGF1
dGhvcj5IdXJsZXksIFMuPC9hdXRob3I+PGF1dGhvcj5FYXN0bWFuLCBDLiBKLjwvYXV0aG9yPjxh
dXRob3I+R2FsbGVnbywgRy48L2F1dGhvcj48L2F1dGhvcnM+PC9jb250cmlidXRvcnM+PGF1dGgt
YWRkcmVzcz5TY2hvb2wgb2YgTWVkaWNpbmUsIFVuaXZlcnNpdHkgb2YgTm90cmUgRGFtZSwgQXVz
dHJhbGlhLCBOU1csIEF1c3RyYWxpYS4mI3hEO1N5ZG5leSBNZWRpY2FsIFNjaG9vbCwgVW5pdmVy
c2l0eSBvZiBTeWRuZXksIFN5ZG5leSBOU1csIEF1c3RyYWxpYS4mI3hEO0F1c3RyYWxpYW4gUmVw
cmVzZW50YXRpdmUgSW9kaW5lIEdsb2JhbCBOZXR3b3JrIChJR04pLCBDaGFpcm1hbiBBdXN0cmFs
aWFuIENlbnRyZSBmb3IgQ29udHJvbCBvZiBJb2RpbmUgRGVmaWNpZW5jeSBEaXNvcmRlcnMgKEFD
Q0lERCksIFN0IExlb25hcmRzIE5TVywgQXVzdHJhbGlhLiYjeEQ7U2Nob29sIG9mIE1lZGljaW5l
LCBVbml2ZXJzaXR5IG9mIE5vdHJlIERhbWUsIEF1c3RyYWxpYSwgTlNXLCBBdXN0cmFsaWEuIGdp
c3NlbGxlLmdhbGxlZ29AbmQuZWR1LmF1LjwvYXV0aC1hZGRyZXNzPjx0aXRsZXM+PHRpdGxlPlRo
ZSBpbXBhY3Qgb2YgbWFuZGF0b3J5IGlvZGluZSBmb3J0aWZpY2F0aW9uIGFuZCBzdXBwbGVtZW50
YXRpb24gb24gcHJlZ25hbnQgYW5kIGxhY3RhdGluZyB3b21lbiBpbiBBdXN0cmFsaWE8L3RpdGxl
PjxzZWNvbmRhcnktdGl0bGU+QXNpYSBQYWMgSiBDbGluIE51dHI8L3NlY29uZGFyeS10aXRsZT48
L3RpdGxlcz48cGVyaW9kaWNhbD48ZnVsbC10aXRsZT5Bc2lhIFBhYyBKIENsaW4gTnV0cjwvZnVs
bC10aXRsZT48L3BlcmlvZGljYWw+PHBhZ2VzPjE1LTIyPC9wYWdlcz48dm9sdW1lPjI4PC92b2x1
bWU+PG51bWJlcj4xPC9udW1iZXI+PGVkaXRpb24+MjAxOS8wMy8yMjwvZWRpdGlvbj48a2V5d29y
ZHM+PGtleXdvcmQ+QWR1bHQ8L2tleXdvcmQ+PGtleXdvcmQ+QXVzdHJhbGlhL2VwaWRlbWlvbG9n
eTwva2V5d29yZD48a2V5d29yZD5CcmVhc3QgRmVlZGluZzwva2V5d29yZD48a2V5d29yZD5EaWV0
YXJ5IFN1cHBsZW1lbnRzPC9rZXl3b3JkPjxrZXl3b3JkPkZlbWFsZTwva2V5d29yZD48a2V5d29y
ZD5IdW1hbnM8L2tleXdvcmQ+PGtleXdvcmQ+SW9kaW5lL2FkbWluaXN0cmF0aW9uICZhbXA7IGRv
c2FnZS8qZGVmaWNpZW5jeTwva2V5d29yZD48a2V5d29yZD5QcmVnbmFuY3k8L2tleXdvcmQ+PGtl
eXdvcmQ+U29kaXVtIENobG9yaWRlLCBEaWV0YXJ5LyphZG1pbmlzdHJhdGlvbiAmYW1wOyBkb3Nh
Z2U8L2tleXdvcmQ+PGtleXdvcmQ+VGh5cm9pZCBEaXNlYXNlcy9lcGlkZW1pb2xvZ3kvKnByZXZl
bnRpb24gJmFtcDsgY29udHJvbDwva2V5d29yZD48L2tleXdvcmRzPjxkYXRlcz48eWVhcj4yMDE5
PC95ZWFyPjwvZGF0ZXM+PGlzYm4+MTQ0MC02MDQ3IChFbGVjdHJvbmljKSYjeEQ7MDk2NC03MDU4
IChMaW5raW5nKTwvaXNibj48YWNjZXNzaW9uLW51bT4zMDg5NjQwOTwvYWNjZXNzaW9uLW51bT48
dXJscz48cmVsYXRlZC11cmxzPjx1cmw+aHR0cHM6Ly93d3cubmNiaS5ubG0ubmloLmdvdi9wdWJt
ZWQvMzA4OTY0MDk8L3VybD48L3JlbGF0ZWQtdXJscz48L3VybHM+PGVsZWN0cm9uaWMtcmVzb3Vy
Y2UtbnVtPjEwLjYxMzMvYXBqY24uMjAxOTAzXzI4KDEpLjAwMDM8L2VsZWN0cm9uaWMtcmVzb3Vy
Y2UtbnVtPjwvcmVjb3JkPjwvQ2l0ZT48L0VuZE5vdGU+AG==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193</w:t>
      </w:r>
      <w:r w:rsidR="00D07346">
        <w:fldChar w:fldCharType="end"/>
      </w:r>
      <w:r w:rsidR="00BA6D51">
        <w:t xml:space="preserve"> </w:t>
      </w:r>
      <w:r w:rsidR="002E2733" w:rsidRPr="002E2733">
        <w:t xml:space="preserve">three </w:t>
      </w:r>
      <w:r w:rsidR="00BA6D51">
        <w:t>studies found that</w:t>
      </w:r>
      <w:r w:rsidR="002E2733" w:rsidRPr="002E2733">
        <w:t xml:space="preserve"> the pregnant women in their studies </w:t>
      </w:r>
      <w:r w:rsidR="00BA6D51">
        <w:t>were</w:t>
      </w:r>
      <w:r w:rsidR="002E2733" w:rsidRPr="002E2733">
        <w:t xml:space="preserve"> iodine</w:t>
      </w:r>
      <w:r w:rsidR="00BA6D51">
        <w:t xml:space="preserve"> </w:t>
      </w:r>
      <w:r w:rsidR="002E2733" w:rsidRPr="002E2733">
        <w:t>replete</w:t>
      </w:r>
      <w:r w:rsidR="00BA6D51">
        <w:t xml:space="preserve"> and</w:t>
      </w:r>
      <w:r w:rsidR="002E2733" w:rsidRPr="002E2733">
        <w:t xml:space="preserve"> four found </w:t>
      </w:r>
      <w:r w:rsidR="00BA6D51">
        <w:t>that</w:t>
      </w:r>
      <w:r w:rsidR="002E2733" w:rsidRPr="002E2733">
        <w:t xml:space="preserve"> pregnant women </w:t>
      </w:r>
      <w:r w:rsidR="00BA6D51">
        <w:t>were</w:t>
      </w:r>
      <w:r w:rsidR="002E2733" w:rsidRPr="002E2733">
        <w:t xml:space="preserve"> in the mild-to-moderate iodine deficiency category. Only two studies,</w:t>
      </w:r>
      <w:r w:rsidR="00BA6D51">
        <w:t xml:space="preserve"> </w:t>
      </w:r>
      <w:r w:rsidR="002E2733" w:rsidRPr="002E2733">
        <w:t>documented iodine sufficiency among pregnant women in the absence of iodine supplementation.</w:t>
      </w:r>
      <w:r w:rsidR="00BA6D51">
        <w:t xml:space="preserve"> </w:t>
      </w:r>
    </w:p>
    <w:p w14:paraId="61F5868A" w14:textId="0BB464A2" w:rsidR="008F1BE7" w:rsidRDefault="008F1BE7" w:rsidP="00252C7D">
      <w:r>
        <w:t>An analysis of cross-sectional data from two Australian longitudinal studies pre- and post-fortification of iodine</w:t>
      </w:r>
      <w:r w:rsidR="0038306B">
        <w:t xml:space="preserve"> (</w:t>
      </w:r>
      <w:r w:rsidR="0038306B" w:rsidRPr="005719CE">
        <w:rPr>
          <w:sz w:val="16"/>
          <w:szCs w:val="16"/>
        </w:rPr>
        <w:t>n=368</w:t>
      </w:r>
      <w:r w:rsidR="0038306B">
        <w:t>)</w:t>
      </w:r>
      <w:r>
        <w:fldChar w:fldCharType="begin"/>
      </w:r>
      <w:r w:rsidR="002747EA">
        <w:instrText xml:space="preserve"> ADDIN EN.CITE &lt;EndNote&gt;&lt;Cite&gt;&lt;Author&gt;Singh&lt;/Author&gt;&lt;Year&gt;2019&lt;/Year&gt;&lt;RecNum&gt;1200&lt;/RecNum&gt;&lt;DisplayText&gt;&lt;style face="superscript" font="Trebuchet MS" size="9"&gt;194&lt;/style&gt;&lt;/DisplayText&gt;&lt;record&gt;&lt;rec-number&gt;1200&lt;/rec-number&gt;&lt;foreign-keys&gt;&lt;key app="EN" db-id="exvasrfx2dtraoesasxp2szsxa2df502592x" timestamp="1559690614"&gt;1200&lt;/key&gt;&lt;/foreign-keys&gt;&lt;ref-type name="Journal Article"&gt;17&lt;/ref-type&gt;&lt;contributors&gt;&lt;authors&gt;&lt;author&gt;Singh, G. R.&lt;/author&gt;&lt;author&gt;Davison, B.&lt;/author&gt;&lt;author&gt;Ma, G. Y.&lt;/author&gt;&lt;author&gt;Eastman, C. J.&lt;/author&gt;&lt;author&gt;Mackerras, D. E.&lt;/author&gt;&lt;/authors&gt;&lt;/contributors&gt;&lt;auth-address&gt;Menzies School of Health Research, Darwin, NT.&amp;#xD;Western Sydney University School of Medicine, Penrith, NSW.&amp;#xD;Sydney Thyroid Clinic, Sydney, NSW.&amp;#xD;Sydney Medical School, Sydney, NSW.&amp;#xD;Food Standards Australia New Zealand, Canberra, ACT.&lt;/auth-address&gt;&lt;titles&gt;&lt;title&gt;Iodine status of Indigenous and non-Indigenous young adults in the Top End, before and after mandatory fortification&lt;/title&gt;&lt;secondary-title&gt;Med J Aust&lt;/secondary-title&gt;&lt;/titles&gt;&lt;periodical&gt;&lt;full-title&gt;Med J Aust&lt;/full-title&gt;&lt;/periodical&gt;&lt;pages&gt;121-125&lt;/pages&gt;&lt;volume&gt;210&lt;/volume&gt;&lt;number&gt;3&lt;/number&gt;&lt;edition&gt;2019/02/18&lt;/edition&gt;&lt;keywords&gt;&lt;keyword&gt;Food fortification&lt;/keyword&gt;&lt;keyword&gt;Iodine&lt;/keyword&gt;&lt;keyword&gt;Longitudinal studies&lt;/keyword&gt;&lt;/keywords&gt;&lt;dates&gt;&lt;year&gt;2019&lt;/year&gt;&lt;pub-dates&gt;&lt;date&gt;Feb&lt;/date&gt;&lt;/pub-dates&gt;&lt;/dates&gt;&lt;isbn&gt;1326-5377 (Electronic)&amp;#xD;0025-729X (Linking)&lt;/isbn&gt;&lt;accession-num&gt;30772938&lt;/accession-num&gt;&lt;urls&gt;&lt;related-urls&gt;&lt;url&gt;https://www.ncbi.nlm.nih.gov/pubmed/30772938&lt;/url&gt;&lt;/related-urls&gt;&lt;/urls&gt;&lt;electronic-resource-num&gt;10.5694/mja2.12031&lt;/electronic-resource-num&gt;&lt;/record&gt;&lt;/Cite&gt;&lt;/EndNote&gt;</w:instrText>
      </w:r>
      <w:r>
        <w:fldChar w:fldCharType="separate"/>
      </w:r>
      <w:r w:rsidR="002747EA" w:rsidRPr="002747EA">
        <w:rPr>
          <w:noProof/>
          <w:vertAlign w:val="superscript"/>
        </w:rPr>
        <w:t>194</w:t>
      </w:r>
      <w:r>
        <w:fldChar w:fldCharType="end"/>
      </w:r>
      <w:r>
        <w:t xml:space="preserve"> found that the median urinary iodine concentration of pregnant Indigenous women in remote locations remains low and targeted interventions are needed to ensure healthy fetal development.</w:t>
      </w:r>
      <w:r w:rsidR="00424E7D">
        <w:t xml:space="preserve"> In a cross-sectional study in Western Australia (</w:t>
      </w:r>
      <w:r w:rsidR="00424E7D" w:rsidRPr="005719CE">
        <w:rPr>
          <w:sz w:val="16"/>
          <w:szCs w:val="16"/>
        </w:rPr>
        <w:t>n=425</w:t>
      </w:r>
      <w:r w:rsidR="00424E7D">
        <w:t>)</w:t>
      </w:r>
      <w:r w:rsidR="00424E7D">
        <w:fldChar w:fldCharType="begin"/>
      </w:r>
      <w:r w:rsidR="002747EA">
        <w:instrText xml:space="preserve"> ADDIN EN.CITE &lt;EndNote&gt;&lt;Cite&gt;&lt;Author&gt;Sherriff&lt;/Author&gt;&lt;Year&gt;2019&lt;/Year&gt;&lt;RecNum&gt;1853&lt;/RecNum&gt;&lt;DisplayText&gt;&lt;style face="superscript" font="Trebuchet MS" size="9"&gt;195&lt;/style&gt;&lt;/DisplayText&gt;&lt;record&gt;&lt;rec-number&gt;1853&lt;/rec-number&gt;&lt;foreign-keys&gt;&lt;key app="EN" db-id="exvasrfx2dtraoesasxp2szsxa2df502592x" timestamp="1587613792"&gt;1853&lt;/key&gt;&lt;key app="ENWeb" db-id=""&gt;0&lt;/key&gt;&lt;/foreign-keys&gt;&lt;ref-type name="Journal Article"&gt;17&lt;/ref-type&gt;&lt;contributors&gt;&lt;authors&gt;&lt;author&gt;Sherriff, J.&lt;/author&gt;&lt;author&gt;Hine, T.&lt;/author&gt;&lt;author&gt;Begley, A.&lt;/author&gt;&lt;author&gt;Zhao, Y.&lt;/author&gt;&lt;author&gt;Black, L.&lt;/author&gt;&lt;author&gt;Dunlop, E.&lt;/author&gt;&lt;author&gt;Skeaff, S.&lt;/author&gt;&lt;/authors&gt;&lt;/contributors&gt;&lt;auth-address&gt;School of Public Health, Curtin University, Perth, Western Australia, Australia.&amp;#xD;Department of Nutrition and Dietetics, St John of God Hospital, Midland, Western Australia, Australia.&amp;#xD;Department of Human Nutrition, University of Otago, Dunedin, New Zealand.&lt;/auth-address&gt;&lt;titles&gt;&lt;title&gt;Iodine-containing food practices of Western Australian pregnant women and ethnicity: An observational study&lt;/title&gt;&lt;secondary-title&gt;Nutr Diet&lt;/secondary-title&gt;&lt;/titles&gt;&lt;periodical&gt;&lt;full-title&gt;Nutr Diet&lt;/full-title&gt;&lt;/periodical&gt;&lt;edition&gt;2019/10/11&lt;/edition&gt;&lt;keywords&gt;&lt;keyword&gt;Western Australia&lt;/keyword&gt;&lt;keyword&gt;ethnicity&lt;/keyword&gt;&lt;keyword&gt;iodine&lt;/keyword&gt;&lt;keyword&gt;iodine fortification&lt;/keyword&gt;&lt;keyword&gt;pregnancy&lt;/keyword&gt;&lt;/keywords&gt;&lt;dates&gt;&lt;year&gt;2019&lt;/year&gt;&lt;pub-dates&gt;&lt;date&gt;Oct 10&lt;/date&gt;&lt;/pub-dates&gt;&lt;/dates&gt;&lt;isbn&gt;1747-0080 (Electronic)&amp;#xD;1446-6368 (Linking)&lt;/isbn&gt;&lt;accession-num&gt;31600028&lt;/accession-num&gt;&lt;urls&gt;&lt;related-urls&gt;&lt;url&gt;https://www.ncbi.nlm.nih.gov/pubmed/31600028&lt;/url&gt;&lt;/related-urls&gt;&lt;/urls&gt;&lt;electronic-resource-num&gt;10.1111/1747-0080.12585&lt;/electronic-resource-num&gt;&lt;/record&gt;&lt;/Cite&gt;&lt;/EndNote&gt;</w:instrText>
      </w:r>
      <w:r w:rsidR="00424E7D">
        <w:fldChar w:fldCharType="separate"/>
      </w:r>
      <w:r w:rsidR="002747EA" w:rsidRPr="002747EA">
        <w:rPr>
          <w:noProof/>
          <w:vertAlign w:val="superscript"/>
        </w:rPr>
        <w:t>195</w:t>
      </w:r>
      <w:r w:rsidR="00424E7D">
        <w:fldChar w:fldCharType="end"/>
      </w:r>
      <w:r w:rsidR="00424E7D">
        <w:t xml:space="preserve"> ethnicity was associated with iodised salt use, with 76% of Asian women used iodised salt compared with 33% of Caucasian women.</w:t>
      </w:r>
      <w:r w:rsidR="00EA6848">
        <w:t xml:space="preserve"> </w:t>
      </w:r>
      <w:r w:rsidR="00252C7D">
        <w:t xml:space="preserve">A Tasmanian study </w:t>
      </w:r>
      <w:r w:rsidR="008E43E8">
        <w:t>(</w:t>
      </w:r>
      <w:r w:rsidR="008E43E8" w:rsidRPr="005719CE">
        <w:rPr>
          <w:sz w:val="16"/>
          <w:szCs w:val="16"/>
        </w:rPr>
        <w:t>n=255</w:t>
      </w:r>
      <w:r w:rsidR="008E43E8">
        <w:t xml:space="preserve">) </w:t>
      </w:r>
      <w:r w:rsidR="00252C7D">
        <w:t>found that, despite recommendations for iodine supplementation pregnant Tasmanian women remain at risk of iodine deficiency.</w:t>
      </w:r>
      <w:r w:rsidR="00D07346">
        <w:fldChar w:fldCharType="begin">
          <w:fldData xml:space="preserve">PEVuZE5vdGU+PENpdGU+PEF1dGhvcj5IeW5lczwvQXV0aG9yPjxZZWFyPjIwMTk8L1llYXI+PFJl
Y051bT4xODUyPC9SZWNOdW0+PERpc3BsYXlUZXh0PjxzdHlsZSBmYWNlPSJzdXBlcnNjcmlwdCIg
Zm9udD0iVHJlYnVjaGV0IE1TIiBzaXplPSI5Ij4xOTY8L3N0eWxlPjwvRGlzcGxheVRleHQ+PHJl
Y29yZD48cmVjLW51bWJlcj4xODUyPC9yZWMtbnVtYmVyPjxmb3JlaWduLWtleXM+PGtleSBhcHA9
IkVOIiBkYi1pZD0iZXh2YXNyZngyZHRyYW9lc2FzeHAyc3pzeGEyZGY1MDI1OTJ4IiB0aW1lc3Rh
bXA9IjE1ODc2MTM3ODYiPjE4NTI8L2tleT48a2V5IGFwcD0iRU5XZWIiIGRiLWlkPSIiPjA8L2tl
eT48L2ZvcmVpZ24ta2V5cz48cmVmLXR5cGUgbmFtZT0iSm91cm5hbCBBcnRpY2xlIj4xNzwvcmVm
LXR5cGU+PGNvbnRyaWJ1dG9ycz48YXV0aG9ycz48YXV0aG9yPkh5bmVzLCBLLiBMLjwvYXV0aG9y
PjxhdXRob3I+U2VhbCwgSi4gQS48L2F1dGhvcj48YXV0aG9yPk90YWhhbCwgUC48L2F1dGhvcj48
YXV0aG9yPk9kZHksIFcuIEguPC9hdXRob3I+PGF1dGhvcj5CdXJnZXNzLCBKLiBSLjwvYXV0aG9y
PjwvYXV0aG9ycz48L2NvbnRyaWJ1dG9ycz48YXV0aC1hZGRyZXNzPk1lbnppZXMgSW5zdGl0dXRl
IGZvciBNZWRpY2FsIFJlc2VhcmNoLCBVbml2ZXJzaXR5IG9mIFRhc21hbmlhLCBQcml2YXRlIEJh
ZyAyMywgSG9iYXJ0LCBUQVMgNzAwMSwgQXVzdHJhbGlhLiBLLkwuSHluZXNAdXRhcy5lZHUuYXUu
JiN4RDtQdWJsaWMgSGVhbHRoIFNlcnZpY2VzLCBEZXBhcnRtZW50IG9mIEhlYWx0aCBhbmQgSHVt
YW4gU2VydmljZXMsIFRhc21hbmlhbiBHb3Zlcm5tZW50LCBHUE8gQm94IDEyNSwgSG9iYXJ0LCBU
QVMgNzAwMSwgQXVzdHJhbGlhLiBKdWR5LlNlYWxAaGVhbHRoLnRhcy5nb3YuYXUuJiN4RDtNZW56
aWVzIEluc3RpdHV0ZSBmb3IgTWVkaWNhbCBSZXNlYXJjaCwgVW5pdmVyc2l0eSBvZiBUYXNtYW5p
YSwgUHJpdmF0ZSBCYWcgMjMsIEhvYmFydCwgVEFTIDcwMDEsIEF1c3RyYWxpYS4gUGV0ci5PdGFo
YWxAdXRhcy5lZHUuYXUuJiN4RDtNZW56aWVzIEluc3RpdHV0ZSBmb3IgTWVkaWNhbCBSZXNlYXJj
aCwgVW5pdmVyc2l0eSBvZiBUYXNtYW5pYSwgUHJpdmF0ZSBCYWcgMjMsIEhvYmFydCwgVEFTIDcw
MDEsIEF1c3RyYWxpYS4gV2VuZHkuT2RkeUB1dGFzLmVkdS5hdS4mI3hEO1NjaG9vbCBvZiBNZWRp
Y2luZSwgVW5pdmVyc2l0eSBvZiBUYXNtYW5pYSwgUHJpdmF0ZSBCYWcgMzQsIEhvYmFydCwgVEFT
IDcwMDEsIEF1c3RyYWxpYS4gai5idXJnZXNzQHV0YXMuZWR1LmF1LjwvYXV0aC1hZGRyZXNzPjx0
aXRsZXM+PHRpdGxlPldvbWVuIHJlbWFpbiBhdCByaXNrIG9mIGlvZGluZSBkZWZpY2llbmN5IGR1
cmluZyBwcmVnbmFuY3k6IFRoZSBpbXBvcnRhbmNlIG9mIGlvZGluZSBzdXBwbGVtZW50YXRpb24g
YmVmb3JlIGNvbmNlcHRpb24gYW5kIHRocm91Z2hvdXQgZ2VzdGF0aW9uPC90aXRsZT48c2Vjb25k
YXJ5LXRpdGxlPk51dHJpZW50czwvc2Vjb25kYXJ5LXRpdGxlPjwvdGl0bGVzPjxwZXJpb2RpY2Fs
PjxmdWxsLXRpdGxlPk51dHJpZW50czwvZnVsbC10aXRsZT48L3BlcmlvZGljYWw+PHZvbHVtZT4x
MTwvdm9sdW1lPjxudW1iZXI+MTwvbnVtYmVyPjxlZGl0aW9uPjIwMTkvMDEvMTg8L2VkaXRpb24+
PGtleXdvcmRzPjxrZXl3b3JkPkFkb2xlc2NlbnQ8L2tleXdvcmQ+PGtleXdvcmQ+QWR1bHQ8L2tl
eXdvcmQ+PGtleXdvcmQ+QXVzdHJhbGlhPC9rZXl3b3JkPjxrZXl3b3JkPkRlZmljaWVuY3kgRGlz
ZWFzZXMvY29tcGxpY2F0aW9ucy8qcHJldmVudGlvbiAmYW1wOyBjb250cm9sPC9rZXl3b3JkPjxr
ZXl3b3JkPipEaWV0YXJ5IFN1cHBsZW1lbnRzPC9rZXl3b3JkPjxrZXl3b3JkPkZlbWFsZTwva2V5
d29yZD48a2V5d29yZD5GZXJ0aWxpemF0aW9uPC9rZXl3b3JkPjxrZXl3b3JkPkh1bWFuczwva2V5
d29yZD48a2V5d29yZD5Jb2RpbmUvZGVmaWNpZW5jeS8qdGhlcmFwZXV0aWMgdXNlL3VyaW5lPC9r
ZXl3b3JkPjxrZXl3b3JkPk1pZGRsZSBBZ2VkPC9rZXl3b3JkPjxrZXl3b3JkPipOdXRyaXRpb25h
bCBTdGF0dXM8L2tleXdvcmQ+PGtleXdvcmQ+KlByZWNvbmNlcHRpb24gQ2FyZTwva2V5d29yZD48
a2V5d29yZD5QcmVnbmFuY3k8L2tleXdvcmQ+PGtleXdvcmQ+UHJlZ25hbmN5IENvbXBsaWNhdGlv
bnMvKnByZXZlbnRpb24gJmFtcDsgY29udHJvbDwva2V5d29yZD48a2V5d29yZD5UYXNtYW5pYTwv
a2V5d29yZD48a2V5d29yZD5Zb3VuZyBBZHVsdDwva2V5d29yZD48a2V5d29yZD5pb2RpbmUgZGVm
aWNpZW5jeTwva2V5d29yZD48a2V5d29yZD5pb2RpbmUgbnV0cml0aW9uPC9rZXl3b3JkPjxrZXl3
b3JkPnByZS1jb25jZXB0aW9uPC9rZXl3b3JkPjxrZXl3b3JkPnB1YmxpYyBoZWFsdGg8L2tleXdv
cmQ+PGtleXdvcmQ+c3VwcGxlbWVudGF0aW9uPC9rZXl3b3JkPjwva2V5d29yZHM+PGRhdGVzPjx5
ZWFyPjIwMTk8L3llYXI+PHB1Yi1kYXRlcz48ZGF0ZT5KYW4gMTU8L2RhdGU+PC9wdWItZGF0ZXM+
PC9kYXRlcz48aXNibj4yMDcyLTY2NDMgKEVsZWN0cm9uaWMpJiN4RDsyMDcyLTY2NDMgKExpbmtp
bmcpPC9pc2JuPjxhY2Nlc3Npb24tbnVtPjMwNjUwNTQ0PC9hY2Nlc3Npb24tbnVtPjx1cmxzPjxy
ZWxhdGVkLXVybHM+PHVybD5odHRwczovL3d3dy5uY2JpLm5sbS5uaWguZ292L3B1Ym1lZC8zMDY1
MDU0NDwvdXJsPjwvcmVsYXRlZC11cmxzPjwvdXJscz48Y3VzdG9tMj5QTUM2MzU2MzE5PC9jdXN0
b20yPjxlbGVjdHJvbmljLXJlc291cmNlLW51bT4xMC4zMzkwL251MTEwMTAxNzI8L2VsZWN0cm9u
aWMtcmVzb3VyY2UtbnVtPjwvcmVjb3JkPjwvQ2l0ZT48L0VuZE5vdGU+AG==
</w:fldData>
        </w:fldChar>
      </w:r>
      <w:r w:rsidR="002747EA">
        <w:instrText xml:space="preserve"> ADDIN EN.CITE </w:instrText>
      </w:r>
      <w:r w:rsidR="002747EA">
        <w:fldChar w:fldCharType="begin">
          <w:fldData xml:space="preserve">PEVuZE5vdGU+PENpdGU+PEF1dGhvcj5IeW5lczwvQXV0aG9yPjxZZWFyPjIwMTk8L1llYXI+PFJl
Y051bT4xODUyPC9SZWNOdW0+PERpc3BsYXlUZXh0PjxzdHlsZSBmYWNlPSJzdXBlcnNjcmlwdCIg
Zm9udD0iVHJlYnVjaGV0IE1TIiBzaXplPSI5Ij4xOTY8L3N0eWxlPjwvRGlzcGxheVRleHQ+PHJl
Y29yZD48cmVjLW51bWJlcj4xODUyPC9yZWMtbnVtYmVyPjxmb3JlaWduLWtleXM+PGtleSBhcHA9
IkVOIiBkYi1pZD0iZXh2YXNyZngyZHRyYW9lc2FzeHAyc3pzeGEyZGY1MDI1OTJ4IiB0aW1lc3Rh
bXA9IjE1ODc2MTM3ODYiPjE4NTI8L2tleT48a2V5IGFwcD0iRU5XZWIiIGRiLWlkPSIiPjA8L2tl
eT48L2ZvcmVpZ24ta2V5cz48cmVmLXR5cGUgbmFtZT0iSm91cm5hbCBBcnRpY2xlIj4xNzwvcmVm
LXR5cGU+PGNvbnRyaWJ1dG9ycz48YXV0aG9ycz48YXV0aG9yPkh5bmVzLCBLLiBMLjwvYXV0aG9y
PjxhdXRob3I+U2VhbCwgSi4gQS48L2F1dGhvcj48YXV0aG9yPk90YWhhbCwgUC48L2F1dGhvcj48
YXV0aG9yPk9kZHksIFcuIEguPC9hdXRob3I+PGF1dGhvcj5CdXJnZXNzLCBKLiBSLjwvYXV0aG9y
PjwvYXV0aG9ycz48L2NvbnRyaWJ1dG9ycz48YXV0aC1hZGRyZXNzPk1lbnppZXMgSW5zdGl0dXRl
IGZvciBNZWRpY2FsIFJlc2VhcmNoLCBVbml2ZXJzaXR5IG9mIFRhc21hbmlhLCBQcml2YXRlIEJh
ZyAyMywgSG9iYXJ0LCBUQVMgNzAwMSwgQXVzdHJhbGlhLiBLLkwuSHluZXNAdXRhcy5lZHUuYXUu
JiN4RDtQdWJsaWMgSGVhbHRoIFNlcnZpY2VzLCBEZXBhcnRtZW50IG9mIEhlYWx0aCBhbmQgSHVt
YW4gU2VydmljZXMsIFRhc21hbmlhbiBHb3Zlcm5tZW50LCBHUE8gQm94IDEyNSwgSG9iYXJ0LCBU
QVMgNzAwMSwgQXVzdHJhbGlhLiBKdWR5LlNlYWxAaGVhbHRoLnRhcy5nb3YuYXUuJiN4RDtNZW56
aWVzIEluc3RpdHV0ZSBmb3IgTWVkaWNhbCBSZXNlYXJjaCwgVW5pdmVyc2l0eSBvZiBUYXNtYW5p
YSwgUHJpdmF0ZSBCYWcgMjMsIEhvYmFydCwgVEFTIDcwMDEsIEF1c3RyYWxpYS4gUGV0ci5PdGFo
YWxAdXRhcy5lZHUuYXUuJiN4RDtNZW56aWVzIEluc3RpdHV0ZSBmb3IgTWVkaWNhbCBSZXNlYXJj
aCwgVW5pdmVyc2l0eSBvZiBUYXNtYW5pYSwgUHJpdmF0ZSBCYWcgMjMsIEhvYmFydCwgVEFTIDcw
MDEsIEF1c3RyYWxpYS4gV2VuZHkuT2RkeUB1dGFzLmVkdS5hdS4mI3hEO1NjaG9vbCBvZiBNZWRp
Y2luZSwgVW5pdmVyc2l0eSBvZiBUYXNtYW5pYSwgUHJpdmF0ZSBCYWcgMzQsIEhvYmFydCwgVEFT
IDcwMDEsIEF1c3RyYWxpYS4gai5idXJnZXNzQHV0YXMuZWR1LmF1LjwvYXV0aC1hZGRyZXNzPjx0
aXRsZXM+PHRpdGxlPldvbWVuIHJlbWFpbiBhdCByaXNrIG9mIGlvZGluZSBkZWZpY2llbmN5IGR1
cmluZyBwcmVnbmFuY3k6IFRoZSBpbXBvcnRhbmNlIG9mIGlvZGluZSBzdXBwbGVtZW50YXRpb24g
YmVmb3JlIGNvbmNlcHRpb24gYW5kIHRocm91Z2hvdXQgZ2VzdGF0aW9uPC90aXRsZT48c2Vjb25k
YXJ5LXRpdGxlPk51dHJpZW50czwvc2Vjb25kYXJ5LXRpdGxlPjwvdGl0bGVzPjxwZXJpb2RpY2Fs
PjxmdWxsLXRpdGxlPk51dHJpZW50czwvZnVsbC10aXRsZT48L3BlcmlvZGljYWw+PHZvbHVtZT4x
MTwvdm9sdW1lPjxudW1iZXI+MTwvbnVtYmVyPjxlZGl0aW9uPjIwMTkvMDEvMTg8L2VkaXRpb24+
PGtleXdvcmRzPjxrZXl3b3JkPkFkb2xlc2NlbnQ8L2tleXdvcmQ+PGtleXdvcmQ+QWR1bHQ8L2tl
eXdvcmQ+PGtleXdvcmQ+QXVzdHJhbGlhPC9rZXl3b3JkPjxrZXl3b3JkPkRlZmljaWVuY3kgRGlz
ZWFzZXMvY29tcGxpY2F0aW9ucy8qcHJldmVudGlvbiAmYW1wOyBjb250cm9sPC9rZXl3b3JkPjxr
ZXl3b3JkPipEaWV0YXJ5IFN1cHBsZW1lbnRzPC9rZXl3b3JkPjxrZXl3b3JkPkZlbWFsZTwva2V5
d29yZD48a2V5d29yZD5GZXJ0aWxpemF0aW9uPC9rZXl3b3JkPjxrZXl3b3JkPkh1bWFuczwva2V5
d29yZD48a2V5d29yZD5Jb2RpbmUvZGVmaWNpZW5jeS8qdGhlcmFwZXV0aWMgdXNlL3VyaW5lPC9r
ZXl3b3JkPjxrZXl3b3JkPk1pZGRsZSBBZ2VkPC9rZXl3b3JkPjxrZXl3b3JkPipOdXRyaXRpb25h
bCBTdGF0dXM8L2tleXdvcmQ+PGtleXdvcmQ+KlByZWNvbmNlcHRpb24gQ2FyZTwva2V5d29yZD48
a2V5d29yZD5QcmVnbmFuY3k8L2tleXdvcmQ+PGtleXdvcmQ+UHJlZ25hbmN5IENvbXBsaWNhdGlv
bnMvKnByZXZlbnRpb24gJmFtcDsgY29udHJvbDwva2V5d29yZD48a2V5d29yZD5UYXNtYW5pYTwv
a2V5d29yZD48a2V5d29yZD5Zb3VuZyBBZHVsdDwva2V5d29yZD48a2V5d29yZD5pb2RpbmUgZGVm
aWNpZW5jeTwva2V5d29yZD48a2V5d29yZD5pb2RpbmUgbnV0cml0aW9uPC9rZXl3b3JkPjxrZXl3
b3JkPnByZS1jb25jZXB0aW9uPC9rZXl3b3JkPjxrZXl3b3JkPnB1YmxpYyBoZWFsdGg8L2tleXdv
cmQ+PGtleXdvcmQ+c3VwcGxlbWVudGF0aW9uPC9rZXl3b3JkPjwva2V5d29yZHM+PGRhdGVzPjx5
ZWFyPjIwMTk8L3llYXI+PHB1Yi1kYXRlcz48ZGF0ZT5KYW4gMTU8L2RhdGU+PC9wdWItZGF0ZXM+
PC9kYXRlcz48aXNibj4yMDcyLTY2NDMgKEVsZWN0cm9uaWMpJiN4RDsyMDcyLTY2NDMgKExpbmtp
bmcpPC9pc2JuPjxhY2Nlc3Npb24tbnVtPjMwNjUwNTQ0PC9hY2Nlc3Npb24tbnVtPjx1cmxzPjxy
ZWxhdGVkLXVybHM+PHVybD5odHRwczovL3d3dy5uY2JpLm5sbS5uaWguZ292L3B1Ym1lZC8zMDY1
MDU0NDwvdXJsPjwvcmVsYXRlZC11cmxzPjwvdXJscz48Y3VzdG9tMj5QTUM2MzU2MzE5PC9jdXN0
b20yPjxlbGVjdHJvbmljLXJlc291cmNlLW51bT4xMC4zMzkwL251MTEwMTAxNzI8L2VsZWN0cm9u
aWMtcmVzb3VyY2UtbnVtPjwvcmVjb3JkPjwvQ2l0ZT48L0VuZE5vdGU+AG==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196</w:t>
      </w:r>
      <w:r w:rsidR="00D07346">
        <w:fldChar w:fldCharType="end"/>
      </w:r>
    </w:p>
    <w:p w14:paraId="1AC74A9F" w14:textId="147A9014" w:rsidR="00273C2E" w:rsidRPr="00273C2E" w:rsidRDefault="002F7C6A" w:rsidP="00273C2E">
      <w:r>
        <w:t>A survey of pregnant women conducted in Sydney found that 6.3% were taking an iodine 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r w:rsidR="00592330">
        <w:t xml:space="preserve"> A study conducted in Gippsland Victoria, a mildly iodine deficient area, found that o</w:t>
      </w:r>
      <w:r w:rsidR="00592330" w:rsidRPr="00592330">
        <w:t>nly 18.9% of participants followed the National</w:t>
      </w:r>
      <w:r w:rsidR="00592330">
        <w:t xml:space="preserve"> </w:t>
      </w:r>
      <w:r w:rsidR="00592330" w:rsidRPr="00592330">
        <w:t>Health and Medical Research Council (NHMRC) recommendation of 150</w:t>
      </w:r>
      <w:r w:rsidR="00A20B8B">
        <w:t> </w:t>
      </w:r>
      <w:r w:rsidR="00592330" w:rsidRPr="00592330">
        <w:t>μg/day iodine supplement, with 42.3% of participants not taking any supple</w:t>
      </w:r>
      <w:r w:rsidR="00A20B8B">
        <w:t>ments</w:t>
      </w:r>
      <w:r w:rsidR="00592330" w:rsidRPr="00592330">
        <w:t xml:space="preserve"> or taking supplements with no iodine or insufficient iodine.</w:t>
      </w:r>
      <w:r w:rsidR="00E37D04">
        <w:fldChar w:fldCharType="begin"/>
      </w:r>
      <w:r w:rsidR="002747EA">
        <w:instrText xml:space="preserve"> ADDIN EN.CITE &lt;EndNote&gt;&lt;Cite&gt;&lt;Author&gt;Mitchell&lt;/Author&gt;&lt;Year&gt;2018&lt;/Year&gt;&lt;RecNum&gt;1328&lt;/RecNum&gt;&lt;DisplayText&gt;&lt;style face="superscript" font="Trebuchet MS" size="9"&gt;197&lt;/style&gt;&lt;/DisplayText&gt;&lt;record&gt;&lt;rec-number&gt;1328&lt;/rec-number&gt;&lt;foreign-keys&gt;&lt;key app="EN" db-id="exvasrfx2dtraoesasxp2szsxa2df502592x" timestamp="1566948734"&gt;1328&lt;/key&gt;&lt;key app="ENWeb" db-id=""&gt;0&lt;/key&gt;&lt;/foreign-keys&gt;&lt;ref-type name="Journal Article"&gt;17&lt;/ref-type&gt;&lt;contributors&gt;&lt;authors&gt;&lt;author&gt;Mitchell, E. K. L.&lt;/author&gt;&lt;author&gt;Martin, J. C.&lt;/author&gt;&lt;author&gt;D&amp;apos;Amore, A.&lt;/author&gt;&lt;author&gt;Francis, I.&lt;/author&gt;&lt;author&gt;Savige, G. S.&lt;/author&gt;&lt;/authors&gt;&lt;/contributors&gt;&lt;auth-address&gt;Rural Health, Monash University, Victoria, Australia. eleanor.mitchell@monash.edu.&amp;#xD;Rural Health, Monash University, Victoria, Australia.&amp;#xD;Public Health and Preventive Medicine, Monash University, Victoria, Australia.&amp;#xD;Victorian Clinical Genetics Services, Royal Children&amp;apos;s Hospital, Victoria, Australia.&lt;/auth-address&gt;&lt;titles&gt;&lt;title&gt;Maternal iodine dietary supplements and neonatal thyroid stimulating hormone in Gippsland, Australia&lt;/title&gt;&lt;secondary-title&gt;Asia Pac J Clin Nutr&lt;/secondary-title&gt;&lt;/titles&gt;&lt;periodical&gt;&lt;full-title&gt;Asia Pac J Clin Nutr&lt;/full-title&gt;&lt;/periodical&gt;&lt;pages&gt;848-852&lt;/pages&gt;&lt;volume&gt;27&lt;/volume&gt;&lt;number&gt;4&lt;/number&gt;&lt;edition&gt;2018/07/27&lt;/edition&gt;&lt;dates&gt;&lt;year&gt;2018&lt;/year&gt;&lt;/dates&gt;&lt;isbn&gt;0964-7058 (Print)&amp;#xD;0964-7058 (Linking)&lt;/isbn&gt;&lt;accession-num&gt;30045430&lt;/accession-num&gt;&lt;urls&gt;&lt;related-urls&gt;&lt;url&gt;https://www.ncbi.nlm.nih.gov/pubmed/30045430&lt;/url&gt;&lt;/related-urls&gt;&lt;/urls&gt;&lt;electronic-resource-num&gt;10.6133/apjcn.022018.02&lt;/electronic-resource-num&gt;&lt;/record&gt;&lt;/Cite&gt;&lt;/EndNote&gt;</w:instrText>
      </w:r>
      <w:r w:rsidR="00E37D04">
        <w:fldChar w:fldCharType="separate"/>
      </w:r>
      <w:r w:rsidR="002747EA" w:rsidRPr="002747EA">
        <w:rPr>
          <w:noProof/>
          <w:vertAlign w:val="superscript"/>
        </w:rPr>
        <w:t>197</w:t>
      </w:r>
      <w:r w:rsidR="00E37D04">
        <w:fldChar w:fldCharType="end"/>
      </w:r>
      <w:r w:rsidR="00592330" w:rsidRPr="00592330">
        <w:t xml:space="preserve"> The remaining women (38.7%) were taking supplements with doses of iodine much higher (200-300 μg) than the NHMRC recommended dose or were taking multiple supplements containing iodine.</w:t>
      </w:r>
      <w:r w:rsidR="00273C2E">
        <w:t xml:space="preserve"> In a South Australian s</w:t>
      </w:r>
      <w:r w:rsidR="00273C2E" w:rsidRPr="00273C2E">
        <w:t xml:space="preserve">tudy, </w:t>
      </w:r>
      <w:r w:rsidR="00273C2E">
        <w:t>85.9%</w:t>
      </w:r>
      <w:r w:rsidR="00273C2E" w:rsidRPr="00273C2E">
        <w:t xml:space="preserve"> women met the </w:t>
      </w:r>
      <w:r w:rsidR="00273C2E">
        <w:t>estimated average requirement</w:t>
      </w:r>
      <w:r w:rsidR="00273C2E" w:rsidRPr="00273C2E">
        <w:t xml:space="preserve"> (≥160 μg/day) for iodine intake from food and supplements.</w:t>
      </w:r>
      <w:r w:rsidR="00E37D04">
        <w:fldChar w:fldCharType="begin">
          <w:fldData xml:space="preserve">PEVuZE5vdGU+PENpdGU+PEF1dGhvcj5Db25kbzwvQXV0aG9yPjxZZWFyPjIwMTc8L1llYXI+PFJl
Y051bT4xMzI5PC9SZWNOdW0+PERpc3BsYXlUZXh0PjxzdHlsZSBmYWNlPSJzdXBlcnNjcmlwdCIg
Zm9udD0iVHJlYnVjaGV0IE1TIiBzaXplPSI5Ij4xOTg8L3N0eWxlPjwvRGlzcGxheVRleHQ+PHJl
Y29yZD48cmVjLW51bWJlcj4xMzI5PC9yZWMtbnVtYmVyPjxmb3JlaWduLWtleXM+PGtleSBhcHA9
IkVOIiBkYi1pZD0iZXh2YXNyZngyZHRyYW9lc2FzeHAyc3pzeGEyZGY1MDI1OTJ4IiB0aW1lc3Rh
bXA9IjE1NjY5NDkxNzQiPjEzMjk8L2tleT48a2V5IGFwcD0iRU5XZWIiIGRiLWlkPSIiPjA8L2tl
eT48L2ZvcmVpZ24ta2V5cz48cmVmLXR5cGUgbmFtZT0iSm91cm5hbCBBcnRpY2xlIj4xNzwvcmVm
LXR5cGU+PGNvbnRyaWJ1dG9ycz48YXV0aG9ycz48YXV0aG9yPkNvbmRvLCBELjwvYXV0aG9yPjxh
dXRob3I+SHV5aG4sIEQuPC9hdXRob3I+PGF1dGhvcj5BbmRlcnNvbiwgQS4gSi48L2F1dGhvcj48
YXV0aG9yPlNrZWFmZiwgUy48L2F1dGhvcj48YXV0aG9yPlJ5YW4sIFAuPC9hdXRob3I+PGF1dGhv
cj5NYWtyaWRlcywgTS48L2F1dGhvcj48YXV0aG9yPk11aGxoYXVzbGVyLCBCLiBTLjwvYXV0aG9y
PjxhdXRob3I+WmhvdSwgUy4gSi48L2F1dGhvcj48L2F1dGhvcnM+PC9jb250cmlidXRvcnM+PGF1
dGgtYWRkcmVzcz5Xb21lbiZhcG9zO3MgYW5kIENoaWxkcmVuJmFwb3M7cyBIZWFsdGggUmVzZWFy
Y2ggSW5zdGl0dXRlLCBOb3J0aCBBZGVsYWlkZSwgU291dGggQXVzdHJhbGlhLCBBdXN0cmFsaWEu
JiN4RDtEZWFraW4gVW5pdmVyc2l0eSwgU2Nob29sIG9mIEV4ZXJjaXNlIGFuZCBOdXRyaXRpb24g
U2NpZW5jZXMsIEdlZWxvbmcsIEF1c3RyYWxpYS4mI3hEO0RlYWtpbiBVbml2ZXJzaXR5LCBJbnN0
aXR1dGUgZm9yIFBoeXNpY2FsIEFjdGl2aXR5IGFuZCBOdXRyaXRpb24gKEktUEFOKSwgR2VlbG9u
ZywgQXVzdHJhbGlhLiYjeEQ7Rk9PRCBwbHVzIFJlc2VhcmNoIENlbnRyZSwgU2Nob29sIG9mIEFn
cmljdWx0dXJlLCBGb29kICZhbXA7IFdpbmUsIFVuaXZlcnNpdHkgb2YgQWRlbGFpZGUsIFdhaXRl
IENhbXB1cywgVXJyYnJhZSwgU291dGggQXVzdHJhbGlhLCBBdXN0cmFsaWEuJiN4RDtIZWFsdGh5
IE1vdGhlcnMsIEJhYmllcyBhbmQgQ2hpbGRyZW4sIFNvdXRoIEF1c3RyYWxpYW4gSGVhbHRoIGFu
ZCBNZWRpY2FsIFJlc2VhcmNoIEluc3RpdHV0ZSwgQWRlbGFpZGUsIFNvdXRoIEF1c3RyYWxpYSwg
QXVzdHJhbGlhLiYjeEQ7RGVwYXJ0bWVudCBvZiBIdW1hbiBOdXRyaXRpb24sIFVuaXZlcnNpdHkg
b2YgT3RhZ28sIER1bmVkaW4sIE5ldyBaZWFsYW5kLiYjeEQ7U2Nob29sIG9mIFBvcHVsYXRpb24g
SGVhbHRoLCBVbml2ZXJzaXR5IG9mIEFkZWxhaWRlLCBBZGVsYWlkZSwgU291dGggQXVzdHJhbGlh
LCBBdXN0cmFsaWEuJiN4RDtTY2hvb2wgb2YgUGFlZGlhdHJpY3MgJmFtcDsgUmVwcm9kdWN0aXZl
IEhlYWx0aCwgVW5pdmVyc2l0eSBvZiBBZGVsYWlkZSwgQWRlbGFpZGUsIFNvdXRoIEF1c3RyYWxp
YSwgQXVzdHJhbGlhLjwvYXV0aC1hZGRyZXNzPjx0aXRsZXM+PHRpdGxlPklvZGluZSBzdGF0dXMg
b2YgcHJlZ25hbnQgd29tZW4gaW4gU291dGggQXVzdHJhbGlhIGFmdGVyIG1hbmRhdG9yeSBpb2Rp
bmUgZm9ydGlmaWNhdGlvbiBvZiBicmVhZCBhbmQgdGhlIHJlY29tbWVuZGF0aW9uIGZvciBpb2Rp
bmUgc3VwcGxlbWVudGF0aW9uPC90aXRsZT48c2Vjb25kYXJ5LXRpdGxlPk1hdGVybiBDaGlsZCBO
dXRyPC9zZWNvbmRhcnktdGl0bGU+PC90aXRsZXM+PHBlcmlvZGljYWw+PGZ1bGwtdGl0bGU+TWF0
ZXJuIENoaWxkIE51dHI8L2Z1bGwtdGl0bGU+PC9wZXJpb2RpY2FsPjx2b2x1bWU+MTM8L3ZvbHVt
ZT48bnVtYmVyPjQ8L251bWJlcj48ZWRpdGlvbj4yMDE2LzEyLzE3PC9lZGl0aW9uPjxrZXl3b3Jk
cz48a2V5d29yZD5BZHVsdDwva2V5d29yZD48a2V5d29yZD4qQnJlYWQ8L2tleXdvcmQ+PGtleXdv
cmQ+RGlldGFyeSBTdXBwbGVtZW50czwva2V5d29yZD48a2V5d29yZD5Eb3NlLVJlc3BvbnNlIFJl
bGF0aW9uc2hpcCwgRHJ1Zzwva2V5d29yZD48a2V5d29yZD5GZW1hbGU8L2tleXdvcmQ+PGtleXdv
cmQ+KkZvb2QsIEZvcnRpZmllZDwva2V5d29yZD48a2V5d29yZD5IdW1hbnM8L2tleXdvcmQ+PGtl
eXdvcmQ+SW9kaW5lLyphZG1pbmlzdHJhdGlvbiAmYW1wOyBkb3NhZ2UvKnVyaW5lPC9rZXl3b3Jk
PjxrZXl3b3JkPipNYXRlcm5hbCBOdXRyaXRpb25hbCBQaHlzaW9sb2dpY2FsIFBoZW5vbWVuYTwv
a2V5d29yZD48a2V5d29yZD5OdXRyaXRpb24gQXNzZXNzbWVudDwva2V5d29yZD48a2V5d29yZD5O
dXRyaXRpb25hbCBTdGF0dXM8L2tleXdvcmQ+PGtleXdvcmQ+UHJlZ25hbmN5PC9rZXl3b3JkPjxr
ZXl3b3JkPlByb3NwZWN0aXZlIFN0dWRpZXM8L2tleXdvcmQ+PGtleXdvcmQ+UmVjb21tZW5kZWQg
RGlldGFyeSBBbGxvd2FuY2VzPC9rZXl3b3JkPjxrZXl3b3JkPlNhbXBsZSBTaXplPC9rZXl3b3Jk
PjxrZXl3b3JkPlNvdXRoIEF1c3RyYWxpYTwva2V5d29yZD48a2V5d29yZD5TdXJ2ZXlzIGFuZCBR
dWVzdGlvbm5haXJlczwva2V5d29yZD48a2V5d29yZD5Zb3VuZyBBZHVsdDwva2V5d29yZD48a2V5
d29yZD4qdWljPC9rZXl3b3JkPjxrZXl3b3JkPippb2RpbmUgZm9ydGlmaWNhdGlvbjwva2V5d29y
ZD48a2V5d29yZD4qaW9kaW5lIHN0YXR1czwva2V5d29yZD48a2V5d29yZD4qcHJlZ25hbmN5PC9r
ZXl3b3JkPjxrZXl3b3JkPipzdXBwbGVtZW50czwva2V5d29yZD48L2tleXdvcmRzPjxkYXRlcz48
eWVhcj4yMDE3PC95ZWFyPjxwdWItZGF0ZXM+PGRhdGU+T2N0PC9kYXRlPjwvcHViLWRhdGVzPjwv
ZGF0ZXM+PGlzYm4+MTc0MC04NzA5IChFbGVjdHJvbmljKSYjeEQ7MTc0MC04Njk1IChMaW5raW5n
KTwvaXNibj48YWNjZXNzaW9uLW51bT4yNzk4MjUxMjwvYWNjZXNzaW9uLW51bT48dXJscz48cmVs
YXRlZC11cmxzPjx1cmw+aHR0cHM6Ly93d3cubmNiaS5ubG0ubmloLmdvdi9wdWJtZWQvMjc5ODI1
MTI8L3VybD48L3JlbGF0ZWQtdXJscz48L3VybHM+PGVsZWN0cm9uaWMtcmVzb3VyY2UtbnVtPjEw
LjExMTEvbWNuLjEyNDEwPC9lbGVjdHJvbmljLXJlc291cmNlLW51bT48L3JlY29yZD48L0NpdGU+
PC9FbmROb3RlPgB=
</w:fldData>
        </w:fldChar>
      </w:r>
      <w:r w:rsidR="002747EA">
        <w:instrText xml:space="preserve"> ADDIN EN.CITE </w:instrText>
      </w:r>
      <w:r w:rsidR="002747EA">
        <w:fldChar w:fldCharType="begin">
          <w:fldData xml:space="preserve">PEVuZE5vdGU+PENpdGU+PEF1dGhvcj5Db25kbzwvQXV0aG9yPjxZZWFyPjIwMTc8L1llYXI+PFJl
Y051bT4xMzI5PC9SZWNOdW0+PERpc3BsYXlUZXh0PjxzdHlsZSBmYWNlPSJzdXBlcnNjcmlwdCIg
Zm9udD0iVHJlYnVjaGV0IE1TIiBzaXplPSI5Ij4xOTg8L3N0eWxlPjwvRGlzcGxheVRleHQ+PHJl
Y29yZD48cmVjLW51bWJlcj4xMzI5PC9yZWMtbnVtYmVyPjxmb3JlaWduLWtleXM+PGtleSBhcHA9
IkVOIiBkYi1pZD0iZXh2YXNyZngyZHRyYW9lc2FzeHAyc3pzeGEyZGY1MDI1OTJ4IiB0aW1lc3Rh
bXA9IjE1NjY5NDkxNzQiPjEzMjk8L2tleT48a2V5IGFwcD0iRU5XZWIiIGRiLWlkPSIiPjA8L2tl
eT48L2ZvcmVpZ24ta2V5cz48cmVmLXR5cGUgbmFtZT0iSm91cm5hbCBBcnRpY2xlIj4xNzwvcmVm
LXR5cGU+PGNvbnRyaWJ1dG9ycz48YXV0aG9ycz48YXV0aG9yPkNvbmRvLCBELjwvYXV0aG9yPjxh
dXRob3I+SHV5aG4sIEQuPC9hdXRob3I+PGF1dGhvcj5BbmRlcnNvbiwgQS4gSi48L2F1dGhvcj48
YXV0aG9yPlNrZWFmZiwgUy48L2F1dGhvcj48YXV0aG9yPlJ5YW4sIFAuPC9hdXRob3I+PGF1dGhv
cj5NYWtyaWRlcywgTS48L2F1dGhvcj48YXV0aG9yPk11aGxoYXVzbGVyLCBCLiBTLjwvYXV0aG9y
PjxhdXRob3I+WmhvdSwgUy4gSi48L2F1dGhvcj48L2F1dGhvcnM+PC9jb250cmlidXRvcnM+PGF1
dGgtYWRkcmVzcz5Xb21lbiZhcG9zO3MgYW5kIENoaWxkcmVuJmFwb3M7cyBIZWFsdGggUmVzZWFy
Y2ggSW5zdGl0dXRlLCBOb3J0aCBBZGVsYWlkZSwgU291dGggQXVzdHJhbGlhLCBBdXN0cmFsaWEu
JiN4RDtEZWFraW4gVW5pdmVyc2l0eSwgU2Nob29sIG9mIEV4ZXJjaXNlIGFuZCBOdXRyaXRpb24g
U2NpZW5jZXMsIEdlZWxvbmcsIEF1c3RyYWxpYS4mI3hEO0RlYWtpbiBVbml2ZXJzaXR5LCBJbnN0
aXR1dGUgZm9yIFBoeXNpY2FsIEFjdGl2aXR5IGFuZCBOdXRyaXRpb24gKEktUEFOKSwgR2VlbG9u
ZywgQXVzdHJhbGlhLiYjeEQ7Rk9PRCBwbHVzIFJlc2VhcmNoIENlbnRyZSwgU2Nob29sIG9mIEFn
cmljdWx0dXJlLCBGb29kICZhbXA7IFdpbmUsIFVuaXZlcnNpdHkgb2YgQWRlbGFpZGUsIFdhaXRl
IENhbXB1cywgVXJyYnJhZSwgU291dGggQXVzdHJhbGlhLCBBdXN0cmFsaWEuJiN4RDtIZWFsdGh5
IE1vdGhlcnMsIEJhYmllcyBhbmQgQ2hpbGRyZW4sIFNvdXRoIEF1c3RyYWxpYW4gSGVhbHRoIGFu
ZCBNZWRpY2FsIFJlc2VhcmNoIEluc3RpdHV0ZSwgQWRlbGFpZGUsIFNvdXRoIEF1c3RyYWxpYSwg
QXVzdHJhbGlhLiYjeEQ7RGVwYXJ0bWVudCBvZiBIdW1hbiBOdXRyaXRpb24sIFVuaXZlcnNpdHkg
b2YgT3RhZ28sIER1bmVkaW4sIE5ldyBaZWFsYW5kLiYjeEQ7U2Nob29sIG9mIFBvcHVsYXRpb24g
SGVhbHRoLCBVbml2ZXJzaXR5IG9mIEFkZWxhaWRlLCBBZGVsYWlkZSwgU291dGggQXVzdHJhbGlh
LCBBdXN0cmFsaWEuJiN4RDtTY2hvb2wgb2YgUGFlZGlhdHJpY3MgJmFtcDsgUmVwcm9kdWN0aXZl
IEhlYWx0aCwgVW5pdmVyc2l0eSBvZiBBZGVsYWlkZSwgQWRlbGFpZGUsIFNvdXRoIEF1c3RyYWxp
YSwgQXVzdHJhbGlhLjwvYXV0aC1hZGRyZXNzPjx0aXRsZXM+PHRpdGxlPklvZGluZSBzdGF0dXMg
b2YgcHJlZ25hbnQgd29tZW4gaW4gU291dGggQXVzdHJhbGlhIGFmdGVyIG1hbmRhdG9yeSBpb2Rp
bmUgZm9ydGlmaWNhdGlvbiBvZiBicmVhZCBhbmQgdGhlIHJlY29tbWVuZGF0aW9uIGZvciBpb2Rp
bmUgc3VwcGxlbWVudGF0aW9uPC90aXRsZT48c2Vjb25kYXJ5LXRpdGxlPk1hdGVybiBDaGlsZCBO
dXRyPC9zZWNvbmRhcnktdGl0bGU+PC90aXRsZXM+PHBlcmlvZGljYWw+PGZ1bGwtdGl0bGU+TWF0
ZXJuIENoaWxkIE51dHI8L2Z1bGwtdGl0bGU+PC9wZXJpb2RpY2FsPjx2b2x1bWU+MTM8L3ZvbHVt
ZT48bnVtYmVyPjQ8L251bWJlcj48ZWRpdGlvbj4yMDE2LzEyLzE3PC9lZGl0aW9uPjxrZXl3b3Jk
cz48a2V5d29yZD5BZHVsdDwva2V5d29yZD48a2V5d29yZD4qQnJlYWQ8L2tleXdvcmQ+PGtleXdv
cmQ+RGlldGFyeSBTdXBwbGVtZW50czwva2V5d29yZD48a2V5d29yZD5Eb3NlLVJlc3BvbnNlIFJl
bGF0aW9uc2hpcCwgRHJ1Zzwva2V5d29yZD48a2V5d29yZD5GZW1hbGU8L2tleXdvcmQ+PGtleXdv
cmQ+KkZvb2QsIEZvcnRpZmllZDwva2V5d29yZD48a2V5d29yZD5IdW1hbnM8L2tleXdvcmQ+PGtl
eXdvcmQ+SW9kaW5lLyphZG1pbmlzdHJhdGlvbiAmYW1wOyBkb3NhZ2UvKnVyaW5lPC9rZXl3b3Jk
PjxrZXl3b3JkPipNYXRlcm5hbCBOdXRyaXRpb25hbCBQaHlzaW9sb2dpY2FsIFBoZW5vbWVuYTwv
a2V5d29yZD48a2V5d29yZD5OdXRyaXRpb24gQXNzZXNzbWVudDwva2V5d29yZD48a2V5d29yZD5O
dXRyaXRpb25hbCBTdGF0dXM8L2tleXdvcmQ+PGtleXdvcmQ+UHJlZ25hbmN5PC9rZXl3b3JkPjxr
ZXl3b3JkPlByb3NwZWN0aXZlIFN0dWRpZXM8L2tleXdvcmQ+PGtleXdvcmQ+UmVjb21tZW5kZWQg
RGlldGFyeSBBbGxvd2FuY2VzPC9rZXl3b3JkPjxrZXl3b3JkPlNhbXBsZSBTaXplPC9rZXl3b3Jk
PjxrZXl3b3JkPlNvdXRoIEF1c3RyYWxpYTwva2V5d29yZD48a2V5d29yZD5TdXJ2ZXlzIGFuZCBR
dWVzdGlvbm5haXJlczwva2V5d29yZD48a2V5d29yZD5Zb3VuZyBBZHVsdDwva2V5d29yZD48a2V5
d29yZD4qdWljPC9rZXl3b3JkPjxrZXl3b3JkPippb2RpbmUgZm9ydGlmaWNhdGlvbjwva2V5d29y
ZD48a2V5d29yZD4qaW9kaW5lIHN0YXR1czwva2V5d29yZD48a2V5d29yZD4qcHJlZ25hbmN5PC9r
ZXl3b3JkPjxrZXl3b3JkPipzdXBwbGVtZW50czwva2V5d29yZD48L2tleXdvcmRzPjxkYXRlcz48
eWVhcj4yMDE3PC95ZWFyPjxwdWItZGF0ZXM+PGRhdGU+T2N0PC9kYXRlPjwvcHViLWRhdGVzPjwv
ZGF0ZXM+PGlzYm4+MTc0MC04NzA5IChFbGVjdHJvbmljKSYjeEQ7MTc0MC04Njk1IChMaW5raW5n
KTwvaXNibj48YWNjZXNzaW9uLW51bT4yNzk4MjUxMjwvYWNjZXNzaW9uLW51bT48dXJscz48cmVs
YXRlZC11cmxzPjx1cmw+aHR0cHM6Ly93d3cubmNiaS5ubG0ubmloLmdvdi9wdWJtZWQvMjc5ODI1
MTI8L3VybD48L3JlbGF0ZWQtdXJscz48L3VybHM+PGVsZWN0cm9uaWMtcmVzb3VyY2UtbnVtPjEw
LjExMTEvbWNuLjEyNDEwPC9lbGVjdHJvbmljLXJlc291cmNlLW51bT48L3JlY29yZD48L0NpdGU+
PC9FbmROb3RlPgB=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198</w:t>
      </w:r>
      <w:r w:rsidR="00E37D04">
        <w:fldChar w:fldCharType="end"/>
      </w:r>
      <w:r w:rsidR="00273C2E" w:rsidRPr="00273C2E">
        <w:t xml:space="preserve"> When iodine from supplements was excluded, </w:t>
      </w:r>
      <w:r w:rsidR="00273C2E">
        <w:t>44.5%</w:t>
      </w:r>
      <w:r w:rsidR="00273C2E" w:rsidRPr="00273C2E">
        <w:t xml:space="preserve"> of women met the </w:t>
      </w:r>
      <w:r w:rsidR="00273C2E">
        <w:t>estimated average requirement</w:t>
      </w:r>
      <w:r w:rsidR="00273C2E" w:rsidRPr="00273C2E">
        <w:t xml:space="preserve"> for iodine during pregnancy.</w:t>
      </w:r>
      <w:r w:rsidR="00A20B8B">
        <w:t xml:space="preserve"> In a Western Australian study, 66% of pregnant women were taking iodine supplements.</w:t>
      </w:r>
      <w:r w:rsidR="00E37D04">
        <w:fldChar w:fldCharType="begin"/>
      </w:r>
      <w:r w:rsidR="002747EA">
        <w:instrText xml:space="preserve"> ADDIN EN.CITE &lt;EndNote&gt;&lt;Cite&gt;&lt;Author&gt;Hine&lt;/Author&gt;&lt;Year&gt;2018&lt;/Year&gt;&lt;RecNum&gt;1331&lt;/RecNum&gt;&lt;DisplayText&gt;&lt;style face="superscript" font="Trebuchet MS" size="9"&gt;199&lt;/style&gt;&lt;/DisplayText&gt;&lt;record&gt;&lt;rec-number&gt;1331&lt;/rec-number&gt;&lt;foreign-keys&gt;&lt;key app="EN" db-id="exvasrfx2dtraoesasxp2szsxa2df502592x" timestamp="1566950067"&gt;1331&lt;/key&gt;&lt;key app="ENWeb" db-id=""&gt;0&lt;/key&gt;&lt;/foreign-keys&gt;&lt;ref-type name="Journal Article"&gt;17&lt;/ref-type&gt;&lt;contributors&gt;&lt;authors&gt;&lt;author&gt;Hine, T.&lt;/author&gt;&lt;author&gt;Zhao, Y.&lt;/author&gt;&lt;author&gt;Begley, A.&lt;/author&gt;&lt;author&gt;Skeaff, S.&lt;/author&gt;&lt;author&gt;Sherriff, J.&lt;/author&gt;&lt;/authors&gt;&lt;/contributors&gt;&lt;auth-address&gt;School of Public Health, Curtin University, Perth, Western Australia.&amp;#xD;Department of Human Nutrition, University of Otago, Dunedin, New Zealand.&lt;/auth-address&gt;&lt;titles&gt;&lt;title&gt;Iodine-containing supplement use by pregnant women attending antenatal clinics in Western Australia&lt;/title&gt;&lt;secondary-title&gt;Aust N Z J Obstet Gynaecol&lt;/secondary-title&gt;&lt;/titles&gt;&lt;periodical&gt;&lt;full-title&gt;Aust N Z J Obstet Gynaecol&lt;/full-title&gt;&lt;/periodical&gt;&lt;pages&gt;636-642&lt;/pages&gt;&lt;volume&gt;58&lt;/volume&gt;&lt;number&gt;6&lt;/number&gt;&lt;edition&gt;2018/02/08&lt;/edition&gt;&lt;keywords&gt;&lt;keyword&gt;*foetal development&lt;/keyword&gt;&lt;keyword&gt;*iodine&lt;/keyword&gt;&lt;keyword&gt;*pregnancy&lt;/keyword&gt;&lt;keyword&gt;*public health&lt;/keyword&gt;&lt;keyword&gt;*supplementation&lt;/keyword&gt;&lt;/keywords&gt;&lt;dates&gt;&lt;year&gt;2018&lt;/year&gt;&lt;pub-dates&gt;&lt;date&gt;Dec&lt;/date&gt;&lt;/pub-dates&gt;&lt;/dates&gt;&lt;isbn&gt;1479-828X (Electronic)&amp;#xD;0004-8666 (Linking)&lt;/isbn&gt;&lt;accession-num&gt;29411357&lt;/accession-num&gt;&lt;urls&gt;&lt;related-urls&gt;&lt;url&gt;https://www.ncbi.nlm.nih.gov/pubmed/29411357&lt;/url&gt;&lt;/related-urls&gt;&lt;/urls&gt;&lt;electronic-resource-num&gt;10.1111/ajo.12785&lt;/electronic-resource-num&gt;&lt;/record&gt;&lt;/Cite&gt;&lt;/EndNote&gt;</w:instrText>
      </w:r>
      <w:r w:rsidR="00E37D04">
        <w:fldChar w:fldCharType="separate"/>
      </w:r>
      <w:r w:rsidR="002747EA" w:rsidRPr="002747EA">
        <w:rPr>
          <w:noProof/>
          <w:vertAlign w:val="superscript"/>
        </w:rPr>
        <w:t>199</w:t>
      </w:r>
      <w:r w:rsidR="00E37D04">
        <w:fldChar w:fldCharType="end"/>
      </w:r>
    </w:p>
    <w:p w14:paraId="07525482" w14:textId="17AF6C51" w:rsidR="002F7C6A" w:rsidRPr="00592330" w:rsidRDefault="007A7B08" w:rsidP="00927F1F">
      <w:r>
        <w:t>In a national survey of maternity care providers, w</w:t>
      </w:r>
      <w:r w:rsidRPr="007A7B08">
        <w:t>hile 71% were aware of the National Health and Medical Research Council’s recommendation</w:t>
      </w:r>
      <w:r>
        <w:t xml:space="preserve"> </w:t>
      </w:r>
      <w:r w:rsidRPr="007A7B08">
        <w:t>for iodine supplementation, fewer were aware of the recommended dose (38%) or duration (44%)</w:t>
      </w:r>
      <w:r>
        <w:t xml:space="preserve"> and only 73% </w:t>
      </w:r>
      <w:r w:rsidRPr="007A7B08">
        <w:t>recommended iodine supplements in pregnancy</w:t>
      </w:r>
      <w:r>
        <w:t>.</w:t>
      </w:r>
      <w:r w:rsidR="00E37D04">
        <w:fldChar w:fldCharType="begin">
          <w:fldData xml:space="preserve">PEVuZE5vdGU+PENpdGU+PEF1dGhvcj5HdWVzczwvQXV0aG9yPjxZZWFyPjIwMTc8L1llYXI+PFJl
Y051bT4xMzMwPC9SZWNOdW0+PERpc3BsYXlUZXh0PjxzdHlsZSBmYWNlPSJzdXBlcnNjcmlwdCIg
Zm9udD0iVHJlYnVjaGV0IE1TIiBzaXplPSI5Ij4yMDA8L3N0eWxlPjwvRGlzcGxheVRleHQ+PHJl
Y29yZD48cmVjLW51bWJlcj4xMzMwPC9yZWMtbnVtYmVyPjxmb3JlaWduLWtleXM+PGtleSBhcHA9
IkVOIiBkYi1pZD0iZXh2YXNyZngyZHRyYW9lc2FzeHAyc3pzeGEyZGY1MDI1OTJ4IiB0aW1lc3Rh
bXA9IjE1NjY5NDk2NTgiPjEzMzA8L2tleT48a2V5IGFwcD0iRU5XZWIiIGRiLWlkPSIiPjA8L2tl
eT48L2ZvcmVpZ24ta2V5cz48cmVmLXR5cGUgbmFtZT0iSm91cm5hbCBBcnRpY2xlIj4xNzwvcmVm
LXR5cGU+PGNvbnRyaWJ1dG9ycz48YXV0aG9ycz48YXV0aG9yPkd1ZXNzLCBLLjwvYXV0aG9yPjxh
dXRob3I+TWFsZWssIEwuPC9hdXRob3I+PGF1dGhvcj5BbmRlcnNvbiwgQS48L2F1dGhvcj48YXV0
aG9yPk1ha3JpZGVzLCBNLjwvYXV0aG9yPjxhdXRob3I+WmhvdSwgUy4gSi48L2F1dGhvcj48L2F1
dGhvcnM+PC9jb250cmlidXRvcnM+PGF1dGgtYWRkcmVzcz5TY2hvb2wgb2YgQWdyaWN1bHR1cmUs
IEZvb2QgJmFtcDsgV2luZSwgVW5pdmVyc2l0eSBvZiBBZGVsYWlkZSwgV2FpdGUgQ2FtcHVzLCBX
YWl0ZSBSb2FkLCBVcnJicmFlLCBTQSA1MDY0LCBBdXN0cmFsaWE7IFdvbWVuJmFwb3M7cyAmYW1w
OyBDaGlsZHJlbiZhcG9zO3MgSGVhbHRoIFJlc2VhcmNoIEluc3RpdHV0ZSwgNzIgS2luZyBXaWxs
aWFtIFJvYWQsIE5vcnRoIEFkZWxhaWRlLCBTQSA1MDA2LCBBdXN0cmFsaWEuJiN4RDtXb21lbiZh
cG9zO3MgJmFtcDsgQ2hpbGRyZW4mYXBvcztzIEhlYWx0aCBSZXNlYXJjaCBJbnN0aXR1dGUsIDcy
IEtpbmcgV2lsbGlhbSBSb2FkLCBOb3J0aCBBZGVsYWlkZSwgU0EgNTAwNiwgQXVzdHJhbGlhOyBH
bG9iYWwgRm9vZCBTdHVkaWVzLCBGYWN1bHR5IG9mIHRoZSBQcm9mZXNzaW9ucywgVW5pdmVyc2l0
eSBvZiBBZGVsYWlkZSwgQWRlbGFpZGUsIFNBIDUwMDUsIEF1c3RyYWxpYS4mI3hEO1dvbWVuJmFw
b3M7cyAmYW1wOyBDaGlsZHJlbiZhcG9zO3MgSGVhbHRoIFJlc2VhcmNoIEluc3RpdHV0ZSwgNzIg
S2luZyBXaWxsaWFtIFJvYWQsIE5vcnRoIEFkZWxhaWRlLCBTQSA1MDA2LCBBdXN0cmFsaWEuJiN4
RDtXb21lbiZhcG9zO3MgJmFtcDsgQ2hpbGRyZW4mYXBvcztzIEhlYWx0aCBSZXNlYXJjaCBJbnN0
aXR1dGUsIDcyIEtpbmcgV2lsbGlhbSBSb2FkLCBOb3J0aCBBZGVsYWlkZSwgU0EgNTAwNiwgQXVz
dHJhbGlhOyBTb3V0aCBBdXN0cmFsaWFuIEhlYWx0aCBhbmQgTWVkaWNhbCBSZXNlYXJjaCBJbnN0
aXR1dGUsIFNBIDUwMDAsIEF1c3RyYWxpYS4mI3hEO1NjaG9vbCBvZiBBZ3JpY3VsdHVyZSwgRm9v
ZCAmYW1wOyBXaW5lLCBVbml2ZXJzaXR5IG9mIEFkZWxhaWRlLCBXYWl0ZSBDYW1wdXMsIFdhaXRl
IFJvYWQsIFVycmJyYWUsIFNBIDUwNjQsIEF1c3RyYWxpYTsgV29tZW4mYXBvcztzICZhbXA7IENo
aWxkcmVuJmFwb3M7cyBIZWFsdGggUmVzZWFyY2ggSW5zdGl0dXRlLCA3MiBLaW5nIFdpbGxpYW0g
Um9hZCwgTm9ydGggQWRlbGFpZGUsIFNBIDUwMDYsIEF1c3RyYWxpYS4gRWxlY3Ryb25pYyBhZGRy
ZXNzOiBqby56aG91QGFkZWxhaWRlLmVkdS5hdS48L2F1dGgtYWRkcmVzcz48dGl0bGVzPjx0aXRs
ZT5Lbm93bGVkZ2UgYW5kIHByYWN0aWNlcyByZWdhcmRpbmcgaW9kaW5lIHN1cHBsZW1lbnRhdGlv
bjogQSBuYXRpb25hbCBzdXJ2ZXkgb2YgaGVhbHRoY2FyZSBwcm92aWRlcnM8L3RpdGxlPjxzZWNv
bmRhcnktdGl0bGU+V29tZW4gQmlydGg8L3NlY29uZGFyeS10aXRsZT48L3RpdGxlcz48cGVyaW9k
aWNhbD48ZnVsbC10aXRsZT5Xb21lbiBCaXJ0aDwvZnVsbC10aXRsZT48L3BlcmlvZGljYWw+PHBh
Z2VzPmU1Ni1lNjA8L3BhZ2VzPjx2b2x1bWU+MzA8L3ZvbHVtZT48bnVtYmVyPjE8L251bWJlcj48
ZWRpdGlvbj4yMDE2LzA5LzA4PC9lZGl0aW9uPjxrZXl3b3Jkcz48a2V5d29yZD5BdXN0cmFsaWE8
L2tleXdvcmQ+PGtleXdvcmQ+QnJlYXN0IEZlZWRpbmc8L2tleXdvcmQ+PGtleXdvcmQ+KkRpZXRh
cnkgU3VwcGxlbWVudHM8L2tleXdvcmQ+PGtleXdvcmQ+RmVtYWxlPC9rZXl3b3JkPjxrZXl3b3Jk
PkdlbmVyYWwgUHJhY3RpdGlvbmVycy9wc3ljaG9sb2d5PC9rZXl3b3JkPjxrZXl3b3JkPipIZWFs
dGggS25vd2xlZGdlLCBBdHRpdHVkZXMsIFByYWN0aWNlPC9rZXl3b3JkPjxrZXl3b3JkPipIZWFs
dGggUGVyc29ubmVsPC9rZXl3b3JkPjxrZXl3b3JkPkh1bWFuczwva2V5d29yZD48a2V5d29yZD5J
b2RpbmUvKmFkbWluaXN0cmF0aW9uICZhbXA7IGRvc2FnZTwva2V5d29yZD48a2V5d29yZD5MYWN0
YXRpb248L2tleXdvcmQ+PGtleXdvcmQ+TWlkd2lmZXJ5PC9rZXl3b3JkPjxrZXl3b3JkPk51cnNl
cy9wc3ljaG9sb2d5PC9rZXl3b3JkPjxrZXl3b3JkPlByZWNvbmNlcHRpb24gQ2FyZTwva2V5d29y
ZD48a2V5d29yZD5QcmVnbmFuY3k8L2tleXdvcmQ+PGtleXdvcmQ+UmVmZXJyYWwgYW5kIENvbnN1
bHRhdGlvbjwva2V5d29yZD48a2V5d29yZD5TdXJ2ZXlzIGFuZCBRdWVzdGlvbm5haXJlczwva2V5
d29yZD48a2V5d29yZD5IZWFsdGhjYXJlIHByb3ZpZGVyczwva2V5d29yZD48a2V5d29yZD5Jb2Rp
bmUgc3VwcGxlbWVudGF0aW9uPC9rZXl3b3JkPjxrZXl3b3JkPktub3dsZWRnZTwva2V5d29yZD48
a2V5d29yZD5QcmFjdGljZXM8L2tleXdvcmQ+PC9rZXl3b3Jkcz48ZGF0ZXM+PHllYXI+MjAxNzwv
eWVhcj48cHViLWRhdGVzPjxkYXRlPkZlYjwvZGF0ZT48L3B1Yi1kYXRlcz48L2RhdGVzPjxpc2Ju
PjE4NzgtMTc5OSAoRWxlY3Ryb25pYykmI3hEOzE4NzEtNTE5MiAoTGlua2luZyk8L2lzYm4+PGFj
Y2Vzc2lvbi1udW0+Mjc1OTk5NDQ8L2FjY2Vzc2lvbi1udW0+PHVybHM+PHJlbGF0ZWQtdXJscz48
dXJsPmh0dHBzOi8vd3d3Lm5jYmkubmxtLm5paC5nb3YvcHVibWVkLzI3NTk5OTQ0PC91cmw+PC9y
ZWxhdGVkLXVybHM+PC91cmxzPjxlbGVjdHJvbmljLXJlc291cmNlLW51bT4xMC4xMDE2L2oud29t
YmkuMjAxNi4wOC4wMDc8L2VsZWN0cm9uaWMtcmVzb3VyY2UtbnVtPjwvcmVjb3JkPjwvQ2l0ZT48
L0VuZE5vdGU+
</w:fldData>
        </w:fldChar>
      </w:r>
      <w:r w:rsidR="002747EA">
        <w:instrText xml:space="preserve"> ADDIN EN.CITE </w:instrText>
      </w:r>
      <w:r w:rsidR="002747EA">
        <w:fldChar w:fldCharType="begin">
          <w:fldData xml:space="preserve">PEVuZE5vdGU+PENpdGU+PEF1dGhvcj5HdWVzczwvQXV0aG9yPjxZZWFyPjIwMTc8L1llYXI+PFJl
Y051bT4xMzMwPC9SZWNOdW0+PERpc3BsYXlUZXh0PjxzdHlsZSBmYWNlPSJzdXBlcnNjcmlwdCIg
Zm9udD0iVHJlYnVjaGV0IE1TIiBzaXplPSI5Ij4yMDA8L3N0eWxlPjwvRGlzcGxheVRleHQ+PHJl
Y29yZD48cmVjLW51bWJlcj4xMzMwPC9yZWMtbnVtYmVyPjxmb3JlaWduLWtleXM+PGtleSBhcHA9
IkVOIiBkYi1pZD0iZXh2YXNyZngyZHRyYW9lc2FzeHAyc3pzeGEyZGY1MDI1OTJ4IiB0aW1lc3Rh
bXA9IjE1NjY5NDk2NTgiPjEzMzA8L2tleT48a2V5IGFwcD0iRU5XZWIiIGRiLWlkPSIiPjA8L2tl
eT48L2ZvcmVpZ24ta2V5cz48cmVmLXR5cGUgbmFtZT0iSm91cm5hbCBBcnRpY2xlIj4xNzwvcmVm
LXR5cGU+PGNvbnRyaWJ1dG9ycz48YXV0aG9ycz48YXV0aG9yPkd1ZXNzLCBLLjwvYXV0aG9yPjxh
dXRob3I+TWFsZWssIEwuPC9hdXRob3I+PGF1dGhvcj5BbmRlcnNvbiwgQS48L2F1dGhvcj48YXV0
aG9yPk1ha3JpZGVzLCBNLjwvYXV0aG9yPjxhdXRob3I+WmhvdSwgUy4gSi48L2F1dGhvcj48L2F1
dGhvcnM+PC9jb250cmlidXRvcnM+PGF1dGgtYWRkcmVzcz5TY2hvb2wgb2YgQWdyaWN1bHR1cmUs
IEZvb2QgJmFtcDsgV2luZSwgVW5pdmVyc2l0eSBvZiBBZGVsYWlkZSwgV2FpdGUgQ2FtcHVzLCBX
YWl0ZSBSb2FkLCBVcnJicmFlLCBTQSA1MDY0LCBBdXN0cmFsaWE7IFdvbWVuJmFwb3M7cyAmYW1w
OyBDaGlsZHJlbiZhcG9zO3MgSGVhbHRoIFJlc2VhcmNoIEluc3RpdHV0ZSwgNzIgS2luZyBXaWxs
aWFtIFJvYWQsIE5vcnRoIEFkZWxhaWRlLCBTQSA1MDA2LCBBdXN0cmFsaWEuJiN4RDtXb21lbiZh
cG9zO3MgJmFtcDsgQ2hpbGRyZW4mYXBvcztzIEhlYWx0aCBSZXNlYXJjaCBJbnN0aXR1dGUsIDcy
IEtpbmcgV2lsbGlhbSBSb2FkLCBOb3J0aCBBZGVsYWlkZSwgU0EgNTAwNiwgQXVzdHJhbGlhOyBH
bG9iYWwgRm9vZCBTdHVkaWVzLCBGYWN1bHR5IG9mIHRoZSBQcm9mZXNzaW9ucywgVW5pdmVyc2l0
eSBvZiBBZGVsYWlkZSwgQWRlbGFpZGUsIFNBIDUwMDUsIEF1c3RyYWxpYS4mI3hEO1dvbWVuJmFw
b3M7cyAmYW1wOyBDaGlsZHJlbiZhcG9zO3MgSGVhbHRoIFJlc2VhcmNoIEluc3RpdHV0ZSwgNzIg
S2luZyBXaWxsaWFtIFJvYWQsIE5vcnRoIEFkZWxhaWRlLCBTQSA1MDA2LCBBdXN0cmFsaWEuJiN4
RDtXb21lbiZhcG9zO3MgJmFtcDsgQ2hpbGRyZW4mYXBvcztzIEhlYWx0aCBSZXNlYXJjaCBJbnN0
aXR1dGUsIDcyIEtpbmcgV2lsbGlhbSBSb2FkLCBOb3J0aCBBZGVsYWlkZSwgU0EgNTAwNiwgQXVz
dHJhbGlhOyBTb3V0aCBBdXN0cmFsaWFuIEhlYWx0aCBhbmQgTWVkaWNhbCBSZXNlYXJjaCBJbnN0
aXR1dGUsIFNBIDUwMDAsIEF1c3RyYWxpYS4mI3hEO1NjaG9vbCBvZiBBZ3JpY3VsdHVyZSwgRm9v
ZCAmYW1wOyBXaW5lLCBVbml2ZXJzaXR5IG9mIEFkZWxhaWRlLCBXYWl0ZSBDYW1wdXMsIFdhaXRl
IFJvYWQsIFVycmJyYWUsIFNBIDUwNjQsIEF1c3RyYWxpYTsgV29tZW4mYXBvcztzICZhbXA7IENo
aWxkcmVuJmFwb3M7cyBIZWFsdGggUmVzZWFyY2ggSW5zdGl0dXRlLCA3MiBLaW5nIFdpbGxpYW0g
Um9hZCwgTm9ydGggQWRlbGFpZGUsIFNBIDUwMDYsIEF1c3RyYWxpYS4gRWxlY3Ryb25pYyBhZGRy
ZXNzOiBqby56aG91QGFkZWxhaWRlLmVkdS5hdS48L2F1dGgtYWRkcmVzcz48dGl0bGVzPjx0aXRs
ZT5Lbm93bGVkZ2UgYW5kIHByYWN0aWNlcyByZWdhcmRpbmcgaW9kaW5lIHN1cHBsZW1lbnRhdGlv
bjogQSBuYXRpb25hbCBzdXJ2ZXkgb2YgaGVhbHRoY2FyZSBwcm92aWRlcnM8L3RpdGxlPjxzZWNv
bmRhcnktdGl0bGU+V29tZW4gQmlydGg8L3NlY29uZGFyeS10aXRsZT48L3RpdGxlcz48cGVyaW9k
aWNhbD48ZnVsbC10aXRsZT5Xb21lbiBCaXJ0aDwvZnVsbC10aXRsZT48L3BlcmlvZGljYWw+PHBh
Z2VzPmU1Ni1lNjA8L3BhZ2VzPjx2b2x1bWU+MzA8L3ZvbHVtZT48bnVtYmVyPjE8L251bWJlcj48
ZWRpdGlvbj4yMDE2LzA5LzA4PC9lZGl0aW9uPjxrZXl3b3Jkcz48a2V5d29yZD5BdXN0cmFsaWE8
L2tleXdvcmQ+PGtleXdvcmQ+QnJlYXN0IEZlZWRpbmc8L2tleXdvcmQ+PGtleXdvcmQ+KkRpZXRh
cnkgU3VwcGxlbWVudHM8L2tleXdvcmQ+PGtleXdvcmQ+RmVtYWxlPC9rZXl3b3JkPjxrZXl3b3Jk
PkdlbmVyYWwgUHJhY3RpdGlvbmVycy9wc3ljaG9sb2d5PC9rZXl3b3JkPjxrZXl3b3JkPipIZWFs
dGggS25vd2xlZGdlLCBBdHRpdHVkZXMsIFByYWN0aWNlPC9rZXl3b3JkPjxrZXl3b3JkPipIZWFs
dGggUGVyc29ubmVsPC9rZXl3b3JkPjxrZXl3b3JkPkh1bWFuczwva2V5d29yZD48a2V5d29yZD5J
b2RpbmUvKmFkbWluaXN0cmF0aW9uICZhbXA7IGRvc2FnZTwva2V5d29yZD48a2V5d29yZD5MYWN0
YXRpb248L2tleXdvcmQ+PGtleXdvcmQ+TWlkd2lmZXJ5PC9rZXl3b3JkPjxrZXl3b3JkPk51cnNl
cy9wc3ljaG9sb2d5PC9rZXl3b3JkPjxrZXl3b3JkPlByZWNvbmNlcHRpb24gQ2FyZTwva2V5d29y
ZD48a2V5d29yZD5QcmVnbmFuY3k8L2tleXdvcmQ+PGtleXdvcmQ+UmVmZXJyYWwgYW5kIENvbnN1
bHRhdGlvbjwva2V5d29yZD48a2V5d29yZD5TdXJ2ZXlzIGFuZCBRdWVzdGlvbm5haXJlczwva2V5
d29yZD48a2V5d29yZD5IZWFsdGhjYXJlIHByb3ZpZGVyczwva2V5d29yZD48a2V5d29yZD5Jb2Rp
bmUgc3VwcGxlbWVudGF0aW9uPC9rZXl3b3JkPjxrZXl3b3JkPktub3dsZWRnZTwva2V5d29yZD48
a2V5d29yZD5QcmFjdGljZXM8L2tleXdvcmQ+PC9rZXl3b3Jkcz48ZGF0ZXM+PHllYXI+MjAxNzwv
eWVhcj48cHViLWRhdGVzPjxkYXRlPkZlYjwvZGF0ZT48L3B1Yi1kYXRlcz48L2RhdGVzPjxpc2Ju
PjE4NzgtMTc5OSAoRWxlY3Ryb25pYykmI3hEOzE4NzEtNTE5MiAoTGlua2luZyk8L2lzYm4+PGFj
Y2Vzc2lvbi1udW0+Mjc1OTk5NDQ8L2FjY2Vzc2lvbi1udW0+PHVybHM+PHJlbGF0ZWQtdXJscz48
dXJsPmh0dHBzOi8vd3d3Lm5jYmkubmxtLm5paC5nb3YvcHVibWVkLzI3NTk5OTQ0PC91cmw+PC9y
ZWxhdGVkLXVybHM+PC91cmxzPjxlbGVjdHJvbmljLXJlc291cmNlLW51bT4xMC4xMDE2L2oud29t
YmkuMjAxNi4wOC4wMDc8L2VsZWN0cm9uaWMtcmVzb3VyY2UtbnVtPjwvcmVjb3JkPjwvQ2l0ZT48
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200</w:t>
      </w:r>
      <w:r w:rsidR="00E37D04">
        <w:fldChar w:fldCharType="end"/>
      </w:r>
    </w:p>
    <w:p w14:paraId="2681584E" w14:textId="77777777" w:rsidR="00883244" w:rsidRDefault="00883244" w:rsidP="00883244">
      <w:r>
        <w:t>B</w:t>
      </w:r>
      <w:r w:rsidRPr="00BB1CEE">
        <w:t xml:space="preserve">ased on NHMRC (2010) </w:t>
      </w:r>
      <w:r w:rsidRPr="00BB1CEE">
        <w:rPr>
          <w:i/>
        </w:rPr>
        <w:t>NHMRC Public Statement: Iodine Supplementation for Pregnant and Breastfeeding Women</w:t>
      </w:r>
      <w:r w:rsidRPr="00AB3D1F">
        <w:t xml:space="preserve">, the Guidelines currently recommend </w:t>
      </w:r>
      <w:r>
        <w:t>that</w:t>
      </w:r>
      <w:r w:rsidRPr="0012730D">
        <w:rPr>
          <w:lang w:val="en-US"/>
        </w:rPr>
        <w:t xml:space="preserve"> women who are pregnant </w:t>
      </w:r>
      <w:r>
        <w:rPr>
          <w:lang w:val="en-US"/>
        </w:rPr>
        <w:t xml:space="preserve">be advised </w:t>
      </w:r>
      <w:r w:rsidRPr="0012730D">
        <w:rPr>
          <w:lang w:val="en-US"/>
        </w:rPr>
        <w:t>to take an iodine supplement of 150 micrograms each day.</w:t>
      </w:r>
      <w:r w:rsidRPr="0012730D">
        <w:t xml:space="preserve"> </w:t>
      </w:r>
    </w:p>
    <w:p w14:paraId="7E6EC63F" w14:textId="77777777" w:rsidR="00AB3D1F" w:rsidRDefault="00AB3D1F" w:rsidP="00AB3D1F">
      <w:pPr>
        <w:pStyle w:val="Heading5"/>
      </w:pPr>
      <w:r>
        <w:t>Current review</w:t>
      </w:r>
    </w:p>
    <w:p w14:paraId="175A8A4D" w14:textId="11C053A6" w:rsidR="00FF3C23" w:rsidRDefault="00FF3C23" w:rsidP="00BF2023">
      <w:pPr>
        <w:keepNext/>
      </w:pPr>
      <w:r>
        <w:t xml:space="preserve">This review </w:t>
      </w:r>
      <w:r w:rsidR="00C17D56">
        <w:t>included</w:t>
      </w:r>
      <w:r>
        <w:t xml:space="preserve"> two systematic reviews</w:t>
      </w:r>
      <w:r w:rsidR="003523C5">
        <w:fldChar w:fldCharType="begin">
          <w:fldData xml:space="preserve">PEVuZE5vdGU+PENpdGU+PEF1dGhvcj5IYXJkaW5nPC9BdXRob3I+PFllYXI+MjAxNzwvWWVhcj48
UmVjTnVtPjExOTg8L1JlY051bT48RGlzcGxheVRleHQ+PHN0eWxlIGZhY2U9InN1cGVyc2NyaXB0
IiBmb250PSJUcmVidWNoZXQgTVMiIHNpemU9IjkiPjIwMSwyMDI8L3N0eWxlPjwvRGlzcGxheVRl
eHQ+PHJlY29yZD48cmVjLW51bWJlcj4xMTk4PC9yZWMtbnVtYmVyPjxmb3JlaWduLWtleXM+PGtl
eSBhcHA9IkVOIiBkYi1pZD0iZXh2YXNyZngyZHRyYW9lc2FzeHAyc3pzeGEyZGY1MDI1OTJ4IiB0
aW1lc3RhbXA9IjE1NTk2MjE3MDMiPjExOTg8L2tleT48a2V5IGFwcD0iRU5XZWIiIGRiLWlkPSIi
PjA8L2tleT48L2ZvcmVpZ24ta2V5cz48cmVmLXR5cGUgbmFtZT0iSm91cm5hbCBBcnRpY2xlIj4x
NzwvcmVmLXR5cGU+PGNvbnRyaWJ1dG9ycz48YXV0aG9ycz48YXV0aG9yPkhhcmRpbmcsIEsuIEIu
PC9hdXRob3I+PGF1dGhvcj5QZW5hLVJvc2FzLCBKLiBQLjwvYXV0aG9yPjxhdXRob3I+V2Vic3Rl
ciwgQS4gQy48L2F1dGhvcj48YXV0aG9yPllhcCwgQy4gTS48L2F1dGhvcj48YXV0aG9yPlBheW5l
LCBCLiBBLjwvYXV0aG9yPjxhdXRob3I+T3RhLCBFLjwvYXV0aG9yPjxhdXRob3I+RGUtUmVnaWws
IEwuIE0uPC9hdXRob3I+PC9hdXRob3JzPjwvY29udHJpYnV0b3JzPjxhdXRoLWFkZHJlc3M+UmVz
ZWFyY2ggYW5kIEV2YWx1YXRpb24sIE1pY3JvbnV0cmllbnQgSW5pdGlhdGl2ZSwgMTgwIEVsZ2lu
IFN0cmVldCwgU3VpdGUgMTAwMCwgT3R0YXdhLCBPTiwgQ2FuYWRhLCBLMlAgMkszLiYjeEQ7RXZp
ZGVuY2UgYW5kIFByb2dyYW1tZSBHdWlkYW5jZSwgRGVwYXJ0bWVudCBvZiBOdXRyaXRpb24gZm9y
IEhlYWx0aCBhbmQgRGV2ZWxvcG1lbnQsIFdvcmxkIEhlYWx0aCBPcmdhbml6YXRpb24sIDIwIEF2
ZW51ZSBBcHBpYSwgR2VuZXZhLCBHRSwgU3dpdHplcmxhbmQsIDEyMTEuJiN4RDtTeWRuZXkgU2No
b29sIG9mIFB1YmxpYyBIZWFsdGgsIFRoZSBVbml2ZXJzaXR5IG9mIFN5ZG5leSwgRWR3YXJkIEZv
cmQgQnVpbGRpbmcgQTI3LCBTeWRuZXksIE5TVywgQXVzdHJhbGlhLCAyMDA2LiYjeEQ7RGVwYXJ0
bWVudCBvZiBEaWFiZXRlcyBhbmQgRW5kb2NyaW5vbG9neSwgV2VzdG1lYWQgSG9zcGl0YWwsIENv
cm5lciBIYXdrZXNidXJ5IGFuZCBEYXJjeSBSb2FkcywgV2VzdG1lYWQsIE5TVywgQXVzdHJhbGlh
LCAyMTQ1LiYjeEQ7TmF0aW9uYWwgTnV0cml0aW9uIENlbnRlciwgTWluaXN0cnkgb2YgSGVhbHRo
IEJhcmJhZG9zLCBTdCBNaWNoYWVsLCBCYXJiYWRvcy4mI3hEO0dsb2JhbCBIZWFsdGggTnVyc2lu
ZywgU3QuIEx1a2UmYXBvcztzIEludGVybmF0aW9uYWwgVW5pdmVyc2l0eSwgR3JhZHVhdGUgU2No
b29sIG9mIE51cnNpbmcgU2NpZW5jZXMsIDEwLTEgQWthc2hpLWNobywgQ2h1by1LdSwgVG9reW8s
IEphcGFuLCAxMDQtMDA0NC48L2F1dGgtYWRkcmVzcz48dGl0bGVzPjx0aXRsZT5Jb2RpbmUgc3Vw
cGxlbWVudGF0aW9uIGZvciB3b21lbiBkdXJpbmcgdGhlIHByZWNvbmNlcHRpb24sIHByZWduYW5j
eSBhbmQgcG9zdHBhcnR1bSBwZXJpb2Q8L3RpdGxlPjxzZWNvbmRhcnktdGl0bGU+Q29jaHJhbmUg
RGF0YWJhc2UgU3lzdCBSZXY8L3NlY29uZGFyeS10aXRsZT48L3RpdGxlcz48cGVyaW9kaWNhbD48
ZnVsbC10aXRsZT5Db2NocmFuZSBEYXRhYmFzZSBTeXN0IFJldjwvZnVsbC10aXRsZT48L3Blcmlv
ZGljYWw+PHBhZ2VzPkNEMDExNzYxPC9wYWdlcz48dm9sdW1lPjM8L3ZvbHVtZT48ZWRpdGlvbj4y
MDE3LzAzLzA2PC9lZGl0aW9uPjxrZXl3b3Jkcz48a2V5d29yZD4qRGlldGFyeSBTdXBwbGVtZW50
cy9hZHZlcnNlIGVmZmVjdHM8L2tleXdvcmQ+PGtleXdvcmQ+RmVtYWxlPC9rZXl3b3JkPjxrZXl3
b3JkPkh1bWFuczwva2V5d29yZD48a2V5d29yZD5IeXBlcnRoeXJvaWRpc20vZXBpZGVtaW9sb2d5
PC9rZXl3b3JkPjxrZXl3b3JkPkh5cG90aHlyb2lkaXNtL2VwaWRlbWlvbG9neTwva2V5d29yZD48
a2V5d29yZD5JbmZhbnQsIE5ld2Jvcm48L2tleXdvcmQ+PGtleXdvcmQ+SW5mYW50LCBOZXdib3Ju
LCBEaXNlYXNlcy9lcGlkZW1pb2xvZ3k8L2tleXdvcmQ+PGtleXdvcmQ+SW9kaW5lLyphZG1pbmlz
dHJhdGlvbiAmYW1wOyBkb3NhZ2UvYWR2ZXJzZSBlZmZlY3RzL2RlZmljaWVuY3k8L2tleXdvcmQ+
PGtleXdvcmQ+UGVyaW5hdGFsIE1vcnRhbGl0eTwva2V5d29yZD48a2V5d29yZD5Qb3N0cGFydHVt
IFBlcmlvZDwva2V5d29yZD48a2V5d29yZD5QcmVjb25jZXB0aW9uIENhcmUvKm1ldGhvZHM8L2tl
eXdvcmQ+PGtleXdvcmQ+UHJlZ25hbmN5PC9rZXl3b3JkPjxrZXl3b3JkPlByZWduYW5jeSBDb21w
bGljYXRpb25zL2VwaWRlbWlvbG9neTwva2V5d29yZD48a2V5d29yZD5QcmVtYXR1cmUgQmlydGgv
ZXBpZGVtaW9sb2d5PC9rZXl3b3JkPjxrZXl3b3JkPlByZW5hdGFsIENhcmUvKm1ldGhvZHM8L2tl
eXdvcmQ+PGtleXdvcmQ+UmFuZG9taXplZCBDb250cm9sbGVkIFRyaWFscyBhcyBUb3BpYzwva2V5
d29yZD48a2V5d29yZD5UaHlyb2lkIEhvcm1vbmVzL2Jsb29kPC9rZXl3b3JkPjxrZXl3b3JkPlRo
eXJvdHJvcGluL2Jsb29kPC9rZXl3b3JkPjwva2V5d29yZHM+PGRhdGVzPjx5ZWFyPjIwMTc8L3ll
YXI+PHB1Yi1kYXRlcz48ZGF0ZT5NYXIgNTwvZGF0ZT48L3B1Yi1kYXRlcz48L2RhdGVzPjxpc2Ju
PjE0NjktNDkzWCAoRWxlY3Ryb25pYykmI3hEOzEzNjEtNjEzNyAoTGlua2luZyk8L2lzYm4+PGFj
Y2Vzc2lvbi1udW0+MjgyNjAyNjM8L2FjY2Vzc2lvbi1udW0+PHVybHM+PHJlbGF0ZWQtdXJscz48
dXJsPmh0dHBzOi8vd3d3Lm5jYmkubmxtLm5paC5nb3YvcHVibWVkLzI4MjYwMjYzPC91cmw+PC9y
ZWxhdGVkLXVybHM+PC91cmxzPjxjdXN0b20yPlBNQzY0NjQ2NDc8L2N1c3RvbTI+PGVsZWN0cm9u
aWMtcmVzb3VyY2UtbnVtPjEwLjEwMDIvMTQ2NTE4NTguQ0QwMTE3NjEucHViMjwvZWxlY3Ryb25p
Yy1yZXNvdXJjZS1udW0+PC9yZWNvcmQ+PC9DaXRlPjxDaXRlPjxBdXRob3I+RmFyZWJyb3RoZXI8
L0F1dGhvcj48WWVhcj4yMDE4PC9ZZWFyPjxSZWNOdW0+MTE5NzwvUmVjTnVtPjxyZWNvcmQ+PHJl
Yy1udW1iZXI+MTE5NzwvcmVjLW51bWJlcj48Zm9yZWlnbi1rZXlzPjxrZXkgYXBwPSJFTiIgZGIt
aWQ9ImV4dmFzcmZ4MmR0cmFvZXNhc3hwMnN6c3hhMmRmNTAyNTkyeCIgdGltZXN0YW1wPSIxNTU5
NTQzMjQ5Ij4xMTk3PC9rZXk+PGtleSBhcHA9IkVOV2ViIiBkYi1pZD0iIj4wPC9rZXk+PC9mb3Jl
aWduLWtleXM+PHJlZi10eXBlIG5hbWU9IkpvdXJuYWwgQXJ0aWNsZSI+MTc8L3JlZi10eXBlPjxj
b250cmlidXRvcnM+PGF1dGhvcnM+PGF1dGhvcj5GYXJlYnJvdGhlciwgSi48L2F1dGhvcj48YXV0
aG9yPk5hdWRlLCBDLiBFLjwvYXV0aG9yPjxhdXRob3I+Tmljb2wsIEwuPC9hdXRob3I+PGF1dGhv
cj5TYW5nLCBaLjwvYXV0aG9yPjxhdXRob3I+WWFuZywgWi48L2F1dGhvcj48YXV0aG9yPkpvb3N0
ZSwgUC4gTC48L2F1dGhvcj48YXV0aG9yPkFuZGVyc3NvbiwgTS48L2F1dGhvcj48YXV0aG9yPlpp
bW1lcm1hbm4sIE0uIEIuPC9hdXRob3I+PC9hdXRob3JzPjwvY29udHJpYnV0b3JzPjxhdXRoLWFk
ZHJlc3M+SHVtYW4gTnV0cml0aW9uIExhYm9yYXRvcnksIEluc3RpdHV0ZSBvZiBGb29kLCBOdXRy
aXRpb24sIGFuZCBIZWFsdGgsIEVUSCBadXJpY2gsIFp1cmljaCwgU3dpdHplcmxhbmQuJiN4RDtD
ZW50cmUgZm9yIEV2aWRlbmNlLUJhc2VkIEhlYWx0aCBDYXJlLCBGYWN1bHR5IG9mIE1lZGljaW5l
IGFuZCBIZWFsdGggU2NpZW5jZXMsIFN0ZWxsZW5ib3NjaCBVbml2ZXJzaXR5LCBTdGVsbGVuYm9z
Y2gsIFNvdXRoIEFmcmljYS4mI3hEO0RlcGFydG1lbnQgb2YgTnV0cml0aW9uIGFuZCBGb29kIEh5
Z2llbmUsIFNjaG9vbCBvZiBQdWJsaWMgSGVhbHRoLCBUaWFuamluIE1lZGljYWwgVW5pdmVyc2l0
eSwgVGlhbmppbiwgQ2hpbmEuJiN4RDtOYXRpb25hbCBJbnN0aXR1dGUgZm9yIE51dHJpdGlvbiBh
bmQgSGVhbHRoLCBDaGluZXNlIENlbnRyZSBmb3IgRGlzZWFzZSBDb250cm9sIGFuZCBQcmV2ZW50
aW9uLCBLZXkgTGFib3JhdG9yeSBvZiBUcmFjZSBFbGVtZW50IE51dHJpdGlvbiBvZiB0aGUgTWlu
aXN0cnkgb2YgSGVhbHRoLCBCZWlqaW5nLCBDaGluYS4mI3hEO0NlbnRyZSBvZiBFeGNlbGxlbmNl
IGZvciBOdXRyaXRpb24sIEZhY3VsdHkgb2YgSGVhbHRoIFNjaWVuY2VzLCBOb3J0aC1XZXN0IFVu
aXZlcnNpdHksIFBvdGNoZWZzdHJvb20sIFNvdXRoIEFmcmljYS48L2F1dGgtYWRkcmVzcz48dGl0
bGVzPjx0aXRsZT5FZmZlY3RzIG9mIElvZGl6ZWQgU2FsdCBhbmQgSW9kaW5lIFN1cHBsZW1lbnRz
IG9uIFByZW5hdGFsIGFuZCBQb3N0bmF0YWwgR3Jvd3RoOiBBIFN5c3RlbWF0aWMgUmV2aWV3PC90
aXRsZT48c2Vjb25kYXJ5LXRpdGxlPkFkdiBOdXRyPC9zZWNvbmRhcnktdGl0bGU+PC90aXRsZXM+
PHBlcmlvZGljYWw+PGZ1bGwtdGl0bGU+QWR2IE51dHI8L2Z1bGwtdGl0bGU+PC9wZXJpb2RpY2Fs
PjxwYWdlcz4yMTktMjM3PC9wYWdlcz48dm9sdW1lPjk8L3ZvbHVtZT48bnVtYmVyPjM8L251bWJl
cj48ZWRpdGlvbj4yMDE4LzA1LzE3PC9lZGl0aW9uPjxkYXRlcz48eWVhcj4yMDE4PC95ZWFyPjxw
dWItZGF0ZXM+PGRhdGU+TWF5IDE8L2RhdGU+PC9wdWItZGF0ZXM+PC9kYXRlcz48aXNibj4yMTU2
LTUzNzYgKEVsZWN0cm9uaWMpJiN4RDsyMTYxLTgzMTMgKExpbmtpbmcpPC9pc2JuPjxhY2Nlc3Np
b24tbnVtPjI5NzY3NzAwPC9hY2Nlc3Npb24tbnVtPjx1cmxzPjxyZWxhdGVkLXVybHM+PHVybD5o
dHRwczovL3d3dy5uY2JpLm5sbS5uaWguZ292L3B1Ym1lZC8yOTc2NzcwMDwvdXJsPjwvcmVsYXRl
ZC11cmxzPjwvdXJscz48Y3VzdG9tMj5QTUM1OTUyOTQ3PC9jdXN0b20yPjxlbGVjdHJvbmljLXJl
c291cmNlLW51bT4xMC4xMDkzL2FkdmFuY2VzL25teTAwOTwvZWxlY3Ryb25pYy1yZXNvdXJjZS1u
dW0+PC9yZWNvcmQ+PC9DaXRlPjwvRW5kTm90ZT5=
</w:fldData>
        </w:fldChar>
      </w:r>
      <w:r w:rsidR="002747EA">
        <w:instrText xml:space="preserve"> ADDIN EN.CITE </w:instrText>
      </w:r>
      <w:r w:rsidR="002747EA">
        <w:fldChar w:fldCharType="begin">
          <w:fldData xml:space="preserve">PEVuZE5vdGU+PENpdGU+PEF1dGhvcj5IYXJkaW5nPC9BdXRob3I+PFllYXI+MjAxNzwvWWVhcj48
UmVjTnVtPjExOTg8L1JlY051bT48RGlzcGxheVRleHQ+PHN0eWxlIGZhY2U9InN1cGVyc2NyaXB0
IiBmb250PSJUcmVidWNoZXQgTVMiIHNpemU9IjkiPjIwMSwyMDI8L3N0eWxlPjwvRGlzcGxheVRl
eHQ+PHJlY29yZD48cmVjLW51bWJlcj4xMTk4PC9yZWMtbnVtYmVyPjxmb3JlaWduLWtleXM+PGtl
eSBhcHA9IkVOIiBkYi1pZD0iZXh2YXNyZngyZHRyYW9lc2FzeHAyc3pzeGEyZGY1MDI1OTJ4IiB0
aW1lc3RhbXA9IjE1NTk2MjE3MDMiPjExOTg8L2tleT48a2V5IGFwcD0iRU5XZWIiIGRiLWlkPSIi
PjA8L2tleT48L2ZvcmVpZ24ta2V5cz48cmVmLXR5cGUgbmFtZT0iSm91cm5hbCBBcnRpY2xlIj4x
NzwvcmVmLXR5cGU+PGNvbnRyaWJ1dG9ycz48YXV0aG9ycz48YXV0aG9yPkhhcmRpbmcsIEsuIEIu
PC9hdXRob3I+PGF1dGhvcj5QZW5hLVJvc2FzLCBKLiBQLjwvYXV0aG9yPjxhdXRob3I+V2Vic3Rl
ciwgQS4gQy48L2F1dGhvcj48YXV0aG9yPllhcCwgQy4gTS48L2F1dGhvcj48YXV0aG9yPlBheW5l
LCBCLiBBLjwvYXV0aG9yPjxhdXRob3I+T3RhLCBFLjwvYXV0aG9yPjxhdXRob3I+RGUtUmVnaWws
IEwuIE0uPC9hdXRob3I+PC9hdXRob3JzPjwvY29udHJpYnV0b3JzPjxhdXRoLWFkZHJlc3M+UmVz
ZWFyY2ggYW5kIEV2YWx1YXRpb24sIE1pY3JvbnV0cmllbnQgSW5pdGlhdGl2ZSwgMTgwIEVsZ2lu
IFN0cmVldCwgU3VpdGUgMTAwMCwgT3R0YXdhLCBPTiwgQ2FuYWRhLCBLMlAgMkszLiYjeEQ7RXZp
ZGVuY2UgYW5kIFByb2dyYW1tZSBHdWlkYW5jZSwgRGVwYXJ0bWVudCBvZiBOdXRyaXRpb24gZm9y
IEhlYWx0aCBhbmQgRGV2ZWxvcG1lbnQsIFdvcmxkIEhlYWx0aCBPcmdhbml6YXRpb24sIDIwIEF2
ZW51ZSBBcHBpYSwgR2VuZXZhLCBHRSwgU3dpdHplcmxhbmQsIDEyMTEuJiN4RDtTeWRuZXkgU2No
b29sIG9mIFB1YmxpYyBIZWFsdGgsIFRoZSBVbml2ZXJzaXR5IG9mIFN5ZG5leSwgRWR3YXJkIEZv
cmQgQnVpbGRpbmcgQTI3LCBTeWRuZXksIE5TVywgQXVzdHJhbGlhLCAyMDA2LiYjeEQ7RGVwYXJ0
bWVudCBvZiBEaWFiZXRlcyBhbmQgRW5kb2NyaW5vbG9neSwgV2VzdG1lYWQgSG9zcGl0YWwsIENv
cm5lciBIYXdrZXNidXJ5IGFuZCBEYXJjeSBSb2FkcywgV2VzdG1lYWQsIE5TVywgQXVzdHJhbGlh
LCAyMTQ1LiYjeEQ7TmF0aW9uYWwgTnV0cml0aW9uIENlbnRlciwgTWluaXN0cnkgb2YgSGVhbHRo
IEJhcmJhZG9zLCBTdCBNaWNoYWVsLCBCYXJiYWRvcy4mI3hEO0dsb2JhbCBIZWFsdGggTnVyc2lu
ZywgU3QuIEx1a2UmYXBvcztzIEludGVybmF0aW9uYWwgVW5pdmVyc2l0eSwgR3JhZHVhdGUgU2No
b29sIG9mIE51cnNpbmcgU2NpZW5jZXMsIDEwLTEgQWthc2hpLWNobywgQ2h1by1LdSwgVG9reW8s
IEphcGFuLCAxMDQtMDA0NC48L2F1dGgtYWRkcmVzcz48dGl0bGVzPjx0aXRsZT5Jb2RpbmUgc3Vw
cGxlbWVudGF0aW9uIGZvciB3b21lbiBkdXJpbmcgdGhlIHByZWNvbmNlcHRpb24sIHByZWduYW5j
eSBhbmQgcG9zdHBhcnR1bSBwZXJpb2Q8L3RpdGxlPjxzZWNvbmRhcnktdGl0bGU+Q29jaHJhbmUg
RGF0YWJhc2UgU3lzdCBSZXY8L3NlY29uZGFyeS10aXRsZT48L3RpdGxlcz48cGVyaW9kaWNhbD48
ZnVsbC10aXRsZT5Db2NocmFuZSBEYXRhYmFzZSBTeXN0IFJldjwvZnVsbC10aXRsZT48L3Blcmlv
ZGljYWw+PHBhZ2VzPkNEMDExNzYxPC9wYWdlcz48dm9sdW1lPjM8L3ZvbHVtZT48ZWRpdGlvbj4y
MDE3LzAzLzA2PC9lZGl0aW9uPjxrZXl3b3Jkcz48a2V5d29yZD4qRGlldGFyeSBTdXBwbGVtZW50
cy9hZHZlcnNlIGVmZmVjdHM8L2tleXdvcmQ+PGtleXdvcmQ+RmVtYWxlPC9rZXl3b3JkPjxrZXl3
b3JkPkh1bWFuczwva2V5d29yZD48a2V5d29yZD5IeXBlcnRoeXJvaWRpc20vZXBpZGVtaW9sb2d5
PC9rZXl3b3JkPjxrZXl3b3JkPkh5cG90aHlyb2lkaXNtL2VwaWRlbWlvbG9neTwva2V5d29yZD48
a2V5d29yZD5JbmZhbnQsIE5ld2Jvcm48L2tleXdvcmQ+PGtleXdvcmQ+SW5mYW50LCBOZXdib3Ju
LCBEaXNlYXNlcy9lcGlkZW1pb2xvZ3k8L2tleXdvcmQ+PGtleXdvcmQ+SW9kaW5lLyphZG1pbmlz
dHJhdGlvbiAmYW1wOyBkb3NhZ2UvYWR2ZXJzZSBlZmZlY3RzL2RlZmljaWVuY3k8L2tleXdvcmQ+
PGtleXdvcmQ+UGVyaW5hdGFsIE1vcnRhbGl0eTwva2V5d29yZD48a2V5d29yZD5Qb3N0cGFydHVt
IFBlcmlvZDwva2V5d29yZD48a2V5d29yZD5QcmVjb25jZXB0aW9uIENhcmUvKm1ldGhvZHM8L2tl
eXdvcmQ+PGtleXdvcmQ+UHJlZ25hbmN5PC9rZXl3b3JkPjxrZXl3b3JkPlByZWduYW5jeSBDb21w
bGljYXRpb25zL2VwaWRlbWlvbG9neTwva2V5d29yZD48a2V5d29yZD5QcmVtYXR1cmUgQmlydGgv
ZXBpZGVtaW9sb2d5PC9rZXl3b3JkPjxrZXl3b3JkPlByZW5hdGFsIENhcmUvKm1ldGhvZHM8L2tl
eXdvcmQ+PGtleXdvcmQ+UmFuZG9taXplZCBDb250cm9sbGVkIFRyaWFscyBhcyBUb3BpYzwva2V5
d29yZD48a2V5d29yZD5UaHlyb2lkIEhvcm1vbmVzL2Jsb29kPC9rZXl3b3JkPjxrZXl3b3JkPlRo
eXJvdHJvcGluL2Jsb29kPC9rZXl3b3JkPjwva2V5d29yZHM+PGRhdGVzPjx5ZWFyPjIwMTc8L3ll
YXI+PHB1Yi1kYXRlcz48ZGF0ZT5NYXIgNTwvZGF0ZT48L3B1Yi1kYXRlcz48L2RhdGVzPjxpc2Ju
PjE0NjktNDkzWCAoRWxlY3Ryb25pYykmI3hEOzEzNjEtNjEzNyAoTGlua2luZyk8L2lzYm4+PGFj
Y2Vzc2lvbi1udW0+MjgyNjAyNjM8L2FjY2Vzc2lvbi1udW0+PHVybHM+PHJlbGF0ZWQtdXJscz48
dXJsPmh0dHBzOi8vd3d3Lm5jYmkubmxtLm5paC5nb3YvcHVibWVkLzI4MjYwMjYzPC91cmw+PC9y
ZWxhdGVkLXVybHM+PC91cmxzPjxjdXN0b20yPlBNQzY0NjQ2NDc8L2N1c3RvbTI+PGVsZWN0cm9u
aWMtcmVzb3VyY2UtbnVtPjEwLjEwMDIvMTQ2NTE4NTguQ0QwMTE3NjEucHViMjwvZWxlY3Ryb25p
Yy1yZXNvdXJjZS1udW0+PC9yZWNvcmQ+PC9DaXRlPjxDaXRlPjxBdXRob3I+RmFyZWJyb3RoZXI8
L0F1dGhvcj48WWVhcj4yMDE4PC9ZZWFyPjxSZWNOdW0+MTE5NzwvUmVjTnVtPjxyZWNvcmQ+PHJl
Yy1udW1iZXI+MTE5NzwvcmVjLW51bWJlcj48Zm9yZWlnbi1rZXlzPjxrZXkgYXBwPSJFTiIgZGIt
aWQ9ImV4dmFzcmZ4MmR0cmFvZXNhc3hwMnN6c3hhMmRmNTAyNTkyeCIgdGltZXN0YW1wPSIxNTU5
NTQzMjQ5Ij4xMTk3PC9rZXk+PGtleSBhcHA9IkVOV2ViIiBkYi1pZD0iIj4wPC9rZXk+PC9mb3Jl
aWduLWtleXM+PHJlZi10eXBlIG5hbWU9IkpvdXJuYWwgQXJ0aWNsZSI+MTc8L3JlZi10eXBlPjxj
b250cmlidXRvcnM+PGF1dGhvcnM+PGF1dGhvcj5GYXJlYnJvdGhlciwgSi48L2F1dGhvcj48YXV0
aG9yPk5hdWRlLCBDLiBFLjwvYXV0aG9yPjxhdXRob3I+Tmljb2wsIEwuPC9hdXRob3I+PGF1dGhv
cj5TYW5nLCBaLjwvYXV0aG9yPjxhdXRob3I+WWFuZywgWi48L2F1dGhvcj48YXV0aG9yPkpvb3N0
ZSwgUC4gTC48L2F1dGhvcj48YXV0aG9yPkFuZGVyc3NvbiwgTS48L2F1dGhvcj48YXV0aG9yPlpp
bW1lcm1hbm4sIE0uIEIuPC9hdXRob3I+PC9hdXRob3JzPjwvY29udHJpYnV0b3JzPjxhdXRoLWFk
ZHJlc3M+SHVtYW4gTnV0cml0aW9uIExhYm9yYXRvcnksIEluc3RpdHV0ZSBvZiBGb29kLCBOdXRy
aXRpb24sIGFuZCBIZWFsdGgsIEVUSCBadXJpY2gsIFp1cmljaCwgU3dpdHplcmxhbmQuJiN4RDtD
ZW50cmUgZm9yIEV2aWRlbmNlLUJhc2VkIEhlYWx0aCBDYXJlLCBGYWN1bHR5IG9mIE1lZGljaW5l
IGFuZCBIZWFsdGggU2NpZW5jZXMsIFN0ZWxsZW5ib3NjaCBVbml2ZXJzaXR5LCBTdGVsbGVuYm9z
Y2gsIFNvdXRoIEFmcmljYS4mI3hEO0RlcGFydG1lbnQgb2YgTnV0cml0aW9uIGFuZCBGb29kIEh5
Z2llbmUsIFNjaG9vbCBvZiBQdWJsaWMgSGVhbHRoLCBUaWFuamluIE1lZGljYWwgVW5pdmVyc2l0
eSwgVGlhbmppbiwgQ2hpbmEuJiN4RDtOYXRpb25hbCBJbnN0aXR1dGUgZm9yIE51dHJpdGlvbiBh
bmQgSGVhbHRoLCBDaGluZXNlIENlbnRyZSBmb3IgRGlzZWFzZSBDb250cm9sIGFuZCBQcmV2ZW50
aW9uLCBLZXkgTGFib3JhdG9yeSBvZiBUcmFjZSBFbGVtZW50IE51dHJpdGlvbiBvZiB0aGUgTWlu
aXN0cnkgb2YgSGVhbHRoLCBCZWlqaW5nLCBDaGluYS4mI3hEO0NlbnRyZSBvZiBFeGNlbGxlbmNl
IGZvciBOdXRyaXRpb24sIEZhY3VsdHkgb2YgSGVhbHRoIFNjaWVuY2VzLCBOb3J0aC1XZXN0IFVu
aXZlcnNpdHksIFBvdGNoZWZzdHJvb20sIFNvdXRoIEFmcmljYS48L2F1dGgtYWRkcmVzcz48dGl0
bGVzPjx0aXRsZT5FZmZlY3RzIG9mIElvZGl6ZWQgU2FsdCBhbmQgSW9kaW5lIFN1cHBsZW1lbnRz
IG9uIFByZW5hdGFsIGFuZCBQb3N0bmF0YWwgR3Jvd3RoOiBBIFN5c3RlbWF0aWMgUmV2aWV3PC90
aXRsZT48c2Vjb25kYXJ5LXRpdGxlPkFkdiBOdXRyPC9zZWNvbmRhcnktdGl0bGU+PC90aXRsZXM+
PHBlcmlvZGljYWw+PGZ1bGwtdGl0bGU+QWR2IE51dHI8L2Z1bGwtdGl0bGU+PC9wZXJpb2RpY2Fs
PjxwYWdlcz4yMTktMjM3PC9wYWdlcz48dm9sdW1lPjk8L3ZvbHVtZT48bnVtYmVyPjM8L251bWJl
cj48ZWRpdGlvbj4yMDE4LzA1LzE3PC9lZGl0aW9uPjxkYXRlcz48eWVhcj4yMDE4PC95ZWFyPjxw
dWItZGF0ZXM+PGRhdGU+TWF5IDE8L2RhdGU+PC9wdWItZGF0ZXM+PC9kYXRlcz48aXNibj4yMTU2
LTUzNzYgKEVsZWN0cm9uaWMpJiN4RDsyMTYxLTgzMTMgKExpbmtpbmcpPC9pc2JuPjxhY2Nlc3Np
b24tbnVtPjI5NzY3NzAwPC9hY2Nlc3Npb24tbnVtPjx1cmxzPjxyZWxhdGVkLXVybHM+PHVybD5o
dHRwczovL3d3dy5uY2JpLm5sbS5uaWguZ292L3B1Ym1lZC8yOTc2NzcwMDwvdXJsPjwvcmVsYXRl
ZC11cmxzPjwvdXJscz48Y3VzdG9tMj5QTUM1OTUyOTQ3PC9jdXN0b20yPjxlbGVjdHJvbmljLXJl
c291cmNlLW51bT4xMC4xMDkzL2FkdmFuY2VzL25teTAwOTwvZWxlY3Ryb25pYy1yZXNvdXJjZS1u
dW0+PC9yZWNvcmQ+PC9DaXRlPjwvRW5kTm90ZT5=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201,202</w:t>
      </w:r>
      <w:r w:rsidR="003523C5">
        <w:fldChar w:fldCharType="end"/>
      </w:r>
      <w:r>
        <w:t xml:space="preserve"> and </w:t>
      </w:r>
      <w:r w:rsidR="00B86F78">
        <w:t xml:space="preserve">three </w:t>
      </w:r>
      <w:r w:rsidR="00BE0953">
        <w:t>RCT</w:t>
      </w:r>
      <w:r w:rsidR="00B86F78">
        <w:t>s</w:t>
      </w:r>
      <w:r>
        <w:t>.</w:t>
      </w:r>
      <w:r w:rsidR="003523C5">
        <w:fldChar w:fldCharType="begin">
          <w:fldData xml:space="preserve">PEVuZE5vdGU+PENpdGU+PEF1dGhvcj5Hb3dhY2hpcmFwYW50PC9BdXRob3I+PFllYXI+MjAxNzwv
WWVhcj48UmVjTnVtPjExOTk8L1JlY051bT48RGlzcGxheVRleHQ+PHN0eWxlIGZhY2U9InN1cGVy
c2NyaXB0IiBmb250PSJUcmVidWNoZXQgTVMiIHNpemU9IjkiPjIwMy0yMDU8L3N0eWxlPjwvRGlz
cGxheVRleHQ+PHJlY29yZD48cmVjLW51bWJlcj4xMTk5PC9yZWMtbnVtYmVyPjxmb3JlaWduLWtl
eXM+PGtleSBhcHA9IkVOIiBkYi1pZD0iZXh2YXNyZngyZHRyYW9lc2FzeHAyc3pzeGEyZGY1MDI1
OTJ4IiB0aW1lc3RhbXA9IjE1NTk2MjI2MTgiPjExOTk8L2tleT48a2V5IGFwcD0iRU5XZWIiIGRi
LWlkPSIiPjA8L2tleT48L2ZvcmVpZ24ta2V5cz48cmVmLXR5cGUgbmFtZT0iSm91cm5hbCBBcnRp
Y2xlIj4xNzwvcmVmLXR5cGU+PGNvbnRyaWJ1dG9ycz48YXV0aG9ycz48YXV0aG9yPkdvd2FjaGly
YXBhbnQsIFMuLDwvYXV0aG9yPjxhdXRob3I+SmFpc3dhbCwgTi4sPC9hdXRob3I+PGF1dGhvcj5N
ZWxzZS1Cb29uc3RyYSwgQS4sPC9hdXRob3I+PGF1dGhvcj5HYWxldHRpLCBWLiw8L2F1dGhvcj48
YXV0aG9yPlN0aW5jYSwgUy4sPC9hdXRob3I+PGF1dGhvcj5NYWNrZW56aWUsIEkuLDwvYXV0aG9y
PjxhdXRob3I+VGhvbWFzLCBTLiw8L2F1dGhvcj48YXV0aG9yPlRob21hcywgVC4sPC9hdXRob3I+
PGF1dGhvcj5XaW5pY2hhZ29vbiwgUC4sPC9hdXRob3I+PGF1dGhvcj5TcmluaXZhc2FuLCBLLiw8
L2F1dGhvcj48YXV0aG9yPlppbW1lcm1hbm4sIE0uQi4sPC9hdXRob3I+PC9hdXRob3JzPjwvY29u
dHJpYnV0b3JzPjx0aXRsZXM+PHRpdGxlPkVmZmVjdCBvZiBpb2RpbmUgc3VwcGxlbWVudGF0aW9u
IGluIHByZWduYW50IHdvbWVuIG9uIGNoaWxkIG5ldXJvZGV2ZWxvcG1lbnQ6IGEgcmFuZG9taXNl
ZCwgZG91YmxlLWJsaW5kLCBwbGFjZWJvLWNvbnRyb2xsZWQgdHJpYWw8L3RpdGxlPjxzZWNvbmRh
cnktdGl0bGU+VGhlIExhbmNldCBEaWFiZXRlcyAmYW1wOyBFbmRvY3Jpbm9sb2d5PC9zZWNvbmRh
cnktdGl0bGU+PC90aXRsZXM+PHBlcmlvZGljYWw+PGZ1bGwtdGl0bGU+VGhlIExhbmNldCBEaWFi
ZXRlcyAmYW1wOyBFbmRvY3Jpbm9sb2d5PC9mdWxsLXRpdGxlPjwvcGVyaW9kaWNhbD48cGFnZXM+
ODUzLTYzPC9wYWdlcz48dm9sdW1lPjU8L3ZvbHVtZT48bnVtYmVyPjExPC9udW1iZXI+PHNlY3Rp
b24+ODUzPC9zZWN0aW9uPjxkYXRlcz48eWVhcj4yMDE3PC95ZWFyPjwvZGF0ZXM+PGlzYm4+MjIx
Mzg1ODc8L2lzYm4+PHVybHM+PC91cmxzPjxlbGVjdHJvbmljLXJlc291cmNlLW51bT4xMC4xMDE2
L3MyMjEzLTg1ODcoMTcpMzAzMzItNzwvZWxlY3Ryb25pYy1yZXNvdXJjZS1udW0+PC9yZWNvcmQ+
PC9DaXRlPjxDaXRlPjxBdXRob3I+Q2Vuc2k8L0F1dGhvcj48WWVhcj4yMDE5PC9ZZWFyPjxSZWNO
dW0+MTg0ODwvUmVjTnVtPjxyZWNvcmQ+PHJlYy1udW1iZXI+MTg0ODwvcmVjLW51bWJlcj48Zm9y
ZWlnbi1rZXlzPjxrZXkgYXBwPSJFTiIgZGItaWQ9ImV4dmFzcmZ4MmR0cmFvZXNhc3hwMnN6c3hh
MmRmNTAyNTkyeCIgdGltZXN0YW1wPSIxNTg3NjEzNzY2Ij4xODQ4PC9rZXk+PGtleSBhcHA9IkVO
V2ViIiBkYi1pZD0iIj4wPC9rZXk+PC9mb3JlaWduLWtleXM+PHJlZi10eXBlIG5hbWU9IkpvdXJu
YWwgQXJ0aWNsZSI+MTc8L3JlZi10eXBlPjxjb250cmlidXRvcnM+PGF1dGhvcnM+PGF1dGhvcj5D
ZW5zaSwgUy48L2F1dGhvcj48YXV0aG9yPldhdHV0YW50cmlnZS1GZXJuYW5kbywgUy48L2F1dGhv
cj48YXV0aG9yPkdyb2NjaWEsIEcuPC9hdXRob3I+PGF1dGhvcj5NYW5zbywgSi48L2F1dGhvcj48
YXV0aG9yPlBsZWJhbmksIE0uPC9hdXRob3I+PGF1dGhvcj5GYWdnaWFuLCBELjwvYXV0aG9yPjxh
dXRob3I+TWlvbiwgTS4gTS48L2F1dGhvcj48YXV0aG9yPlZlbnR1cmluaSwgUi48L2F1dGhvcj48
YXV0aG9yPkFuZHJpc2FuaSwgQS48L2F1dGhvcj48YXV0aG9yPkNhc2FybywgQS48L2F1dGhvcj48
YXV0aG9yPlZpdGEsIFAuPC9hdXRob3I+PGF1dGhvcj5Bdm9nYWRybywgQS48L2F1dGhvcj48YXV0
aG9yPkNhbWlsb3QsIE0uPC9hdXRob3I+PGF1dGhvcj5TY2Fyb25pLCBDLjwvYXV0aG9yPjxhdXRo
b3I+QmVydGF6emEsIEwuPC9hdXRob3I+PGF1dGhvcj5CYXJvbGxvLCBTLjwvYXV0aG9yPjxhdXRo
b3I+TWlhbiwgQy48L2F1dGhvcj48L2F1dGhvcnM+PC9jb250cmlidXRvcnM+PGF1dGgtYWRkcmVz
cz5EZXBhcnRtZW50IG9mIE1lZGljaW5lIChESU1FRCksIEVuZG9jcmlub2xvZ3kgVW5pdDsgVW5p
dmVyc2l0eSBvZiBQYWRvdmEsIDM1MTIxIFBhZG92YSwgSXRhbHkuIHNpbW9uYS5jZW5zaUBwaGQu
dW5pcGQuaXQuJiN4RDtEZXBhcnRtZW50IG9mIE1lZGljaW5lIChESU1FRCksIEVuZG9jcmlub2xv
Z3kgVW5pdDsgVW5pdmVyc2l0eSBvZiBQYWRvdmEsIDM1MTIxIFBhZG92YSwgSXRhbHkuIHNhcmEu
d2F0dXRhbnRyaWdlQGdtYWlsLmNvbS4mI3hEO0RlcGFydG1lbnQgb2YgTWVkaWNpbmUgKERJTUVE
KSwgRW5kb2NyaW5vbG9neSBVbml0OyBVbml2ZXJzaXR5IG9mIFBhZG92YSwgMzUxMjEgUGFkb3Zh
LCBJdGFseS4gZ2l1bGlhLmdyb2NjaWFAZ21haWwuY29tLiYjeEQ7RGVwYXJ0bWVudCBvZiBNZWRp
Y2luZSAoRElNRUQpLCBFbmRvY3Jpbm9sb2d5IFVuaXQ7IFVuaXZlcnNpdHkgb2YgUGFkb3ZhLCAz
NTEyMSBQYWRvdmEsIEl0YWx5LiBqYWNvcG8ubWFuc29AZ21haWwuY29tLiYjeEQ7TGFib3JhdG9y
eSBNZWRpY2luZSwgRGVwYXJ0bWVudCBvZiBNZWRpY2FsIGFuZCBTdXJnaWNhbCBTY2llbmNlcywg
VW5pdmVyc2l0eSBvZiBQYWR1YSwgMzUxMjEgUGFkdWEsIEl0YWx5LiBtYXJpby5wbGViYW5pQHVu
aXBkLml0LiYjeEQ7TGFib3JhdG9yeSBNZWRpY2luZSwgRGVwYXJ0bWVudCBvZiBNZWRpY2FsIGFu
ZCBTdXJnaWNhbCBTY2llbmNlcywgVW5pdmVyc2l0eSBvZiBQYWR1YSwgMzUxMjEgUGFkdWEsIEl0
YWx5LiBkaWVnby5mYWdnaWFuQGFvcGQudmVuZXRvLml0LiYjeEQ7TGFib3JhdG9yeSBNZWRpY2lu
ZSwgRGVwYXJ0bWVudCBvZiBNZWRpY2FsIGFuZCBTdXJnaWNhbCBTY2llbmNlcywgVW5pdmVyc2l0
eSBvZiBQYWR1YSwgMzUxMjEgUGFkdWEsIEl0YWx5LiBtb25pY2EubWlvbkBhb3BkLnZlbmV0by5p
dC4mI3hEO0xhYm9yYXRvcnkgTWVkaWNpbmUsIERlcGFydG1lbnQgb2YgTWVkaWNhbCBhbmQgU3Vy
Z2ljYWwgU2NpZW5jZXMsIFVuaXZlcnNpdHkgb2YgUGFkdWEsIDM1MTIxIFBhZHVhLCBJdGFseS4g
cm9iZXJ0YS52ZW50dXJpbmlAYW9wZC52ZW5ldG8uaXQuJiN4RDtEZXBhcnRtZW50IG9mIFdvbWVu
JmFwb3M7cyBhbmQgQ2hpbGRyZW4mYXBvcztzIEhlYWx0aCwgVW5pdmVyc2l0eSBvZiBQYWR1YSwg
U2FsdXMgUHVlcmksIDM1MTI4IFBhZHVhLCBJdGFseS4gYWxlc3NhbmRyYS5hbmRyaXNhbmlAdW5p
cGQuaXQuJiN4RDtEZXBhcnRtZW50IG9mIE1lZGljaW5lIChESU1FRCksIEVuZG9jcmlub2xvZ3kg
VW5pdDsgVW5pdmVyc2l0eSBvZiBQYWRvdmEsIDM1MTIxIFBhZG92YSwgSXRhbHkuIGFubmEuY2Fz
YXJvQGF1bHNzNi52ZW5ldG8uaXQuJiN4RDtEZXBhcnRtZW50IG9mIE1lZGljaW5lIChESU1FRCks
IEVuZG9jcmlub2xvZ3kgVW5pdDsgVW5pdmVyc2l0eSBvZiBQYWRvdmEsIDM1MTIxIFBhZG92YSwg
SXRhbHkuIHBpZXRyby52aWRhQGF1bHNzNi52ZW5ldG8uaXQuJiN4RDtEZXBhcnRtZW50IG9mIE1l
ZGljaW5lIChESU1FRCksIEVuZG9jcmlub2xvZ3kgVW5pdDsgVW5pdmVyc2l0eSBvZiBQYWRvdmEs
IDM1MTIxIFBhZG92YSwgSXRhbHkuIGFsZXNzYW5kcmEuYXZvZ2Fkcm9AYXVsc3M2LnZlbmV0by5p
dC4mI3hEO0RlcGFydG1lbnQgb2YgUGVkaWF0cmljcywgUmVnaW9uYWwgQ2VudHJlIGZvciBOZXdi
b3JuIFNjcmVlbmluZywgRGlhZ25vc2lzIGFuZCBUcmVhdG1lbnQgb2YgSW5oZXJpdGVkIE1ldGFi
b2xpYyBEaXNlYXNlcyBhbmQgQ29uZ2VuaXRhbCBFbmRvY3JpbmUgRGlzZWFzZXMsIEF6aWVuZGEg
T3NwZWRhbGllcmEgVW5pdmVyc2l0YXJpYSBJbnRlZ3JhdGEsIDM3MTM0IFZlcm9uYSwgSXRhbHku
IG1hcnRhLmNhbWlsb3RAYW92ci52ZW5ldG8uaXQuJiN4RDtEZXBhcnRtZW50IG9mIE1lZGljaW5l
IChESU1FRCksIEVuZG9jcmlub2xvZ3kgVW5pdDsgVW5pdmVyc2l0eSBvZiBQYWRvdmEsIDM1MTIx
IFBhZG92YSwgSXRhbHkuIGNhcmxhLnNjYXJvbmlAdW5pcGQuaXQuJiN4RDtEZXBhcnRtZW50IG9m
IE1lZGljaW5lIChESU1FRCksIEVuZG9jcmlub2xvZ3kgVW5pdDsgVW5pdmVyc2l0eSBvZiBQYWRv
dmEsIDM1MTIxIFBhZG92YSwgSXRhbHkuIGxvcmlzLmJlcnRhenphQHVuaXBkLml0LiYjeEQ7RGVw
YXJ0bWVudCBvZiBNZWRpY2luZSAoRElNRUQpLCBFbmRvY3Jpbm9sb2d5IFVuaXQ7IFVuaXZlcnNp
dHkgb2YgUGFkb3ZhLCAzNTEyMSBQYWRvdmEsIEl0YWx5LiBzdXNpYmFyb2xsb0B5YWhvby5pdC4m
I3hEO0RlcGFydG1lbnQgb2YgTWVkaWNpbmUgKERJTUVEKSwgRW5kb2NyaW5vbG9neSBVbml0OyBV
bml2ZXJzaXR5IG9mIFBhZG92YSwgMzUxMjEgUGFkb3ZhLCBJdGFseS4gY2F0ZXJpbmEubWlhbkB1
bmlwZC5pdC48L2F1dGgtYWRkcmVzcz48dGl0bGVzPjx0aXRsZT5UaGUgZWZmZWN0cyBvZiBpb2Rp
bmUgc3VwcGxlbWVudGF0aW9uIGluIHByZWduYW5jeSBvbiBpb2RpbmUgc3RhdHVzLCB0aHlyb2ds
b2J1bGluIGxldmVscyBhbmQgdGh5cm9pZCBmdW5jdGlvbiBwYXJhbWV0ZXJzOiByZXN1bHRzIGZy
b20gYSByYW5kb21pemVkIGNvbnRyb2xsZWQgY2xpbmljYWwgdHJpYWwgaW4gYSBtaWxkLXRvLW1v
ZGVyYXRlIGlvZGluZSBkZWZpY2llbmN5IGFyZWE8L3RpdGxlPjxzZWNvbmRhcnktdGl0bGU+TnV0
cmllbnRzPC9zZWNvbmRhcnktdGl0bGU+PC90aXRsZXM+PHBlcmlvZGljYWw+PGZ1bGwtdGl0bGU+
TnV0cmllbnRzPC9mdWxsLXRpdGxlPjwvcGVyaW9kaWNhbD48dm9sdW1lPjExPC92b2x1bWU+PG51
bWJlcj4xMTwvbnVtYmVyPjxlZGl0aW9uPjIwMTkvMTEvMDc8L2VkaXRpb24+PGtleXdvcmRzPjxr
ZXl3b3JkPmlvZGluZTwva2V5d29yZD48a2V5d29yZD5taWxkLXRvLW1vZGVyYXRlIGlvZGluZSBk
ZWZpY2llbmN5PC9rZXl3b3JkPjxrZXl3b3JkPnByZWduYW5jeTwva2V5d29yZD48a2V5d29yZD5y
YW5kb21pemVkIGFuZCBwbGFjZWJvLWNvbnRyb2xsZWQgdHJpYWw8L2tleXdvcmQ+PC9rZXl3b3Jk
cz48ZGF0ZXM+PHllYXI+MjAxOTwveWVhcj48cHViLWRhdGVzPjxkYXRlPk5vdiA0PC9kYXRlPjwv
cHViLWRhdGVzPjwvZGF0ZXM+PGlzYm4+MjA3Mi02NjQzIChFbGVjdHJvbmljKSYjeEQ7MjA3Mi02
NjQzIChMaW5raW5nKTwvaXNibj48YWNjZXNzaW9uLW51bT4zMTY4OTg5MDwvYWNjZXNzaW9uLW51
bT48dXJscz48cmVsYXRlZC11cmxzPjx1cmw+aHR0cHM6Ly93d3cubmNiaS5ubG0ubmloLmdvdi9w
dWJtZWQvMzE2ODk4OTA8L3VybD48L3JlbGF0ZWQtdXJscz48L3VybHM+PGN1c3RvbTI+UE1DNjg5
MzQzMjwvY3VzdG9tMj48ZWxlY3Ryb25pYy1yZXNvdXJjZS1udW0+MTAuMzM5MC9udTExMTEyNjM5
PC9lbGVjdHJvbmljLXJlc291cmNlLW51bT48L3JlY29yZD48L0NpdGU+PENpdGU+PEF1dGhvcj5D
aGF3YW5wYWlib29uPC9BdXRob3I+PFllYXI+MjAxOTwvWWVhcj48UmVjTnVtPjE4NDk8L1JlY051
bT48cmVjb3JkPjxyZWMtbnVtYmVyPjE4NDk8L3JlYy1udW1iZXI+PGZvcmVpZ24ta2V5cz48a2V5
IGFwcD0iRU4iIGRiLWlkPSJleHZhc3JmeDJkdHJhb2VzYXN4cDJzenN4YTJkZjUwMjU5MngiIHRp
bWVzdGFtcD0iMTU4NzYxMzc3MCI+MTg0OTwva2V5PjxrZXkgYXBwPSJFTldlYiIgZGItaWQ9IiI+
MDwva2V5PjwvZm9yZWlnbi1rZXlzPjxyZWYtdHlwZSBuYW1lPSJKb3VybmFsIEFydGljbGUiPjE3
PC9yZWYtdHlwZT48Y29udHJpYnV0b3JzPjxhdXRob3JzPjxhdXRob3I+Q2hhd2FucGFpYm9vbiwg
Uy4sPC9hdXRob3I+PC9hdXRob3JzPjwvY29udHJpYnV0b3JzPjx0aXRsZXM+PHRpdGxlPkEgcmFu
ZG9taXplZCBjb250cm9sbGVkIHRyaWFsIG9mIHRoZSBjb3JyZWxhdGlvbiBiZXR3ZWVuIGlvZGlu
ZSBzdXBwbGVtZW50YXRpb24gaW4gcHJlZ25hbmN5IGFuZCBtYXRlcm5hbCB1cmluZSBpb2RpbmUg
YW5kIG5lb25hdGFsIHRoeXJvaWQgc3RpbXVsYXRpbmcgaG9ybW9uZSBsZXZlbHM8L3RpdGxlPjxz
ZWNvbmRhcnktdGl0bGU+U2lyaXJhaiBNZWRpY2FsIEpvdXJuYWw8L3NlY29uZGFyeS10aXRsZT48
L3RpdGxlcz48cGVyaW9kaWNhbD48ZnVsbC10aXRsZT5TaXJpcmFqIE1lZGljYWwgSm91cm5hbDwv
ZnVsbC10aXRsZT48L3BlcmlvZGljYWw+PHZvbHVtZT43MTwvdm9sdW1lPjxudW1iZXI+MTwvbnVt
YmVyPjxkYXRlcz48eWVhcj4yMDE5PC95ZWFyPjwvZGF0ZXM+PGlzYm4+MjYyOTk5NVgmI3hEOzIy
Mjg4MDgyPC9pc2JuPjx1cmxzPjwvdXJscz48ZWxlY3Ryb25pYy1yZXNvdXJjZS1udW0+MTAuMzMx
OTIvU21qLjIwMTkuMTA8L2VsZWN0cm9uaWMtcmVzb3VyY2UtbnVtPjwvcmVjb3JkPjwvQ2l0ZT48
L0VuZE5vdGU+AG==
</w:fldData>
        </w:fldChar>
      </w:r>
      <w:r w:rsidR="002747EA">
        <w:instrText xml:space="preserve"> ADDIN EN.CITE </w:instrText>
      </w:r>
      <w:r w:rsidR="002747EA">
        <w:fldChar w:fldCharType="begin">
          <w:fldData xml:space="preserve">PEVuZE5vdGU+PENpdGU+PEF1dGhvcj5Hb3dhY2hpcmFwYW50PC9BdXRob3I+PFllYXI+MjAxNzwv
WWVhcj48UmVjTnVtPjExOTk8L1JlY051bT48RGlzcGxheVRleHQ+PHN0eWxlIGZhY2U9InN1cGVy
c2NyaXB0IiBmb250PSJUcmVidWNoZXQgTVMiIHNpemU9IjkiPjIwMy0yMDU8L3N0eWxlPjwvRGlz
cGxheVRleHQ+PHJlY29yZD48cmVjLW51bWJlcj4xMTk5PC9yZWMtbnVtYmVyPjxmb3JlaWduLWtl
eXM+PGtleSBhcHA9IkVOIiBkYi1pZD0iZXh2YXNyZngyZHRyYW9lc2FzeHAyc3pzeGEyZGY1MDI1
OTJ4IiB0aW1lc3RhbXA9IjE1NTk2MjI2MTgiPjExOTk8L2tleT48a2V5IGFwcD0iRU5XZWIiIGRi
LWlkPSIiPjA8L2tleT48L2ZvcmVpZ24ta2V5cz48cmVmLXR5cGUgbmFtZT0iSm91cm5hbCBBcnRp
Y2xlIj4xNzwvcmVmLXR5cGU+PGNvbnRyaWJ1dG9ycz48YXV0aG9ycz48YXV0aG9yPkdvd2FjaGly
YXBhbnQsIFMuLDwvYXV0aG9yPjxhdXRob3I+SmFpc3dhbCwgTi4sPC9hdXRob3I+PGF1dGhvcj5N
ZWxzZS1Cb29uc3RyYSwgQS4sPC9hdXRob3I+PGF1dGhvcj5HYWxldHRpLCBWLiw8L2F1dGhvcj48
YXV0aG9yPlN0aW5jYSwgUy4sPC9hdXRob3I+PGF1dGhvcj5NYWNrZW56aWUsIEkuLDwvYXV0aG9y
PjxhdXRob3I+VGhvbWFzLCBTLiw8L2F1dGhvcj48YXV0aG9yPlRob21hcywgVC4sPC9hdXRob3I+
PGF1dGhvcj5XaW5pY2hhZ29vbiwgUC4sPC9hdXRob3I+PGF1dGhvcj5TcmluaXZhc2FuLCBLLiw8
L2F1dGhvcj48YXV0aG9yPlppbW1lcm1hbm4sIE0uQi4sPC9hdXRob3I+PC9hdXRob3JzPjwvY29u
dHJpYnV0b3JzPjx0aXRsZXM+PHRpdGxlPkVmZmVjdCBvZiBpb2RpbmUgc3VwcGxlbWVudGF0aW9u
IGluIHByZWduYW50IHdvbWVuIG9uIGNoaWxkIG5ldXJvZGV2ZWxvcG1lbnQ6IGEgcmFuZG9taXNl
ZCwgZG91YmxlLWJsaW5kLCBwbGFjZWJvLWNvbnRyb2xsZWQgdHJpYWw8L3RpdGxlPjxzZWNvbmRh
cnktdGl0bGU+VGhlIExhbmNldCBEaWFiZXRlcyAmYW1wOyBFbmRvY3Jpbm9sb2d5PC9zZWNvbmRh
cnktdGl0bGU+PC90aXRsZXM+PHBlcmlvZGljYWw+PGZ1bGwtdGl0bGU+VGhlIExhbmNldCBEaWFi
ZXRlcyAmYW1wOyBFbmRvY3Jpbm9sb2d5PC9mdWxsLXRpdGxlPjwvcGVyaW9kaWNhbD48cGFnZXM+
ODUzLTYzPC9wYWdlcz48dm9sdW1lPjU8L3ZvbHVtZT48bnVtYmVyPjExPC9udW1iZXI+PHNlY3Rp
b24+ODUzPC9zZWN0aW9uPjxkYXRlcz48eWVhcj4yMDE3PC95ZWFyPjwvZGF0ZXM+PGlzYm4+MjIx
Mzg1ODc8L2lzYm4+PHVybHM+PC91cmxzPjxlbGVjdHJvbmljLXJlc291cmNlLW51bT4xMC4xMDE2
L3MyMjEzLTg1ODcoMTcpMzAzMzItNzwvZWxlY3Ryb25pYy1yZXNvdXJjZS1udW0+PC9yZWNvcmQ+
PC9DaXRlPjxDaXRlPjxBdXRob3I+Q2Vuc2k8L0F1dGhvcj48WWVhcj4yMDE5PC9ZZWFyPjxSZWNO
dW0+MTg0ODwvUmVjTnVtPjxyZWNvcmQ+PHJlYy1udW1iZXI+MTg0ODwvcmVjLW51bWJlcj48Zm9y
ZWlnbi1rZXlzPjxrZXkgYXBwPSJFTiIgZGItaWQ9ImV4dmFzcmZ4MmR0cmFvZXNhc3hwMnN6c3hh
MmRmNTAyNTkyeCIgdGltZXN0YW1wPSIxNTg3NjEzNzY2Ij4xODQ4PC9rZXk+PGtleSBhcHA9IkVO
V2ViIiBkYi1pZD0iIj4wPC9rZXk+PC9mb3JlaWduLWtleXM+PHJlZi10eXBlIG5hbWU9IkpvdXJu
YWwgQXJ0aWNsZSI+MTc8L3JlZi10eXBlPjxjb250cmlidXRvcnM+PGF1dGhvcnM+PGF1dGhvcj5D
ZW5zaSwgUy48L2F1dGhvcj48YXV0aG9yPldhdHV0YW50cmlnZS1GZXJuYW5kbywgUy48L2F1dGhv
cj48YXV0aG9yPkdyb2NjaWEsIEcuPC9hdXRob3I+PGF1dGhvcj5NYW5zbywgSi48L2F1dGhvcj48
YXV0aG9yPlBsZWJhbmksIE0uPC9hdXRob3I+PGF1dGhvcj5GYWdnaWFuLCBELjwvYXV0aG9yPjxh
dXRob3I+TWlvbiwgTS4gTS48L2F1dGhvcj48YXV0aG9yPlZlbnR1cmluaSwgUi48L2F1dGhvcj48
YXV0aG9yPkFuZHJpc2FuaSwgQS48L2F1dGhvcj48YXV0aG9yPkNhc2FybywgQS48L2F1dGhvcj48
YXV0aG9yPlZpdGEsIFAuPC9hdXRob3I+PGF1dGhvcj5Bdm9nYWRybywgQS48L2F1dGhvcj48YXV0
aG9yPkNhbWlsb3QsIE0uPC9hdXRob3I+PGF1dGhvcj5TY2Fyb25pLCBDLjwvYXV0aG9yPjxhdXRo
b3I+QmVydGF6emEsIEwuPC9hdXRob3I+PGF1dGhvcj5CYXJvbGxvLCBTLjwvYXV0aG9yPjxhdXRo
b3I+TWlhbiwgQy48L2F1dGhvcj48L2F1dGhvcnM+PC9jb250cmlidXRvcnM+PGF1dGgtYWRkcmVz
cz5EZXBhcnRtZW50IG9mIE1lZGljaW5lIChESU1FRCksIEVuZG9jcmlub2xvZ3kgVW5pdDsgVW5p
dmVyc2l0eSBvZiBQYWRvdmEsIDM1MTIxIFBhZG92YSwgSXRhbHkuIHNpbW9uYS5jZW5zaUBwaGQu
dW5pcGQuaXQuJiN4RDtEZXBhcnRtZW50IG9mIE1lZGljaW5lIChESU1FRCksIEVuZG9jcmlub2xv
Z3kgVW5pdDsgVW5pdmVyc2l0eSBvZiBQYWRvdmEsIDM1MTIxIFBhZG92YSwgSXRhbHkuIHNhcmEu
d2F0dXRhbnRyaWdlQGdtYWlsLmNvbS4mI3hEO0RlcGFydG1lbnQgb2YgTWVkaWNpbmUgKERJTUVE
KSwgRW5kb2NyaW5vbG9neSBVbml0OyBVbml2ZXJzaXR5IG9mIFBhZG92YSwgMzUxMjEgUGFkb3Zh
LCBJdGFseS4gZ2l1bGlhLmdyb2NjaWFAZ21haWwuY29tLiYjeEQ7RGVwYXJ0bWVudCBvZiBNZWRp
Y2luZSAoRElNRUQpLCBFbmRvY3Jpbm9sb2d5IFVuaXQ7IFVuaXZlcnNpdHkgb2YgUGFkb3ZhLCAz
NTEyMSBQYWRvdmEsIEl0YWx5LiBqYWNvcG8ubWFuc29AZ21haWwuY29tLiYjeEQ7TGFib3JhdG9y
eSBNZWRpY2luZSwgRGVwYXJ0bWVudCBvZiBNZWRpY2FsIGFuZCBTdXJnaWNhbCBTY2llbmNlcywg
VW5pdmVyc2l0eSBvZiBQYWR1YSwgMzUxMjEgUGFkdWEsIEl0YWx5LiBtYXJpby5wbGViYW5pQHVu
aXBkLml0LiYjeEQ7TGFib3JhdG9yeSBNZWRpY2luZSwgRGVwYXJ0bWVudCBvZiBNZWRpY2FsIGFu
ZCBTdXJnaWNhbCBTY2llbmNlcywgVW5pdmVyc2l0eSBvZiBQYWR1YSwgMzUxMjEgUGFkdWEsIEl0
YWx5LiBkaWVnby5mYWdnaWFuQGFvcGQudmVuZXRvLml0LiYjeEQ7TGFib3JhdG9yeSBNZWRpY2lu
ZSwgRGVwYXJ0bWVudCBvZiBNZWRpY2FsIGFuZCBTdXJnaWNhbCBTY2llbmNlcywgVW5pdmVyc2l0
eSBvZiBQYWR1YSwgMzUxMjEgUGFkdWEsIEl0YWx5LiBtb25pY2EubWlvbkBhb3BkLnZlbmV0by5p
dC4mI3hEO0xhYm9yYXRvcnkgTWVkaWNpbmUsIERlcGFydG1lbnQgb2YgTWVkaWNhbCBhbmQgU3Vy
Z2ljYWwgU2NpZW5jZXMsIFVuaXZlcnNpdHkgb2YgUGFkdWEsIDM1MTIxIFBhZHVhLCBJdGFseS4g
cm9iZXJ0YS52ZW50dXJpbmlAYW9wZC52ZW5ldG8uaXQuJiN4RDtEZXBhcnRtZW50IG9mIFdvbWVu
JmFwb3M7cyBhbmQgQ2hpbGRyZW4mYXBvcztzIEhlYWx0aCwgVW5pdmVyc2l0eSBvZiBQYWR1YSwg
U2FsdXMgUHVlcmksIDM1MTI4IFBhZHVhLCBJdGFseS4gYWxlc3NhbmRyYS5hbmRyaXNhbmlAdW5p
cGQuaXQuJiN4RDtEZXBhcnRtZW50IG9mIE1lZGljaW5lIChESU1FRCksIEVuZG9jcmlub2xvZ3kg
VW5pdDsgVW5pdmVyc2l0eSBvZiBQYWRvdmEsIDM1MTIxIFBhZG92YSwgSXRhbHkuIGFubmEuY2Fz
YXJvQGF1bHNzNi52ZW5ldG8uaXQuJiN4RDtEZXBhcnRtZW50IG9mIE1lZGljaW5lIChESU1FRCks
IEVuZG9jcmlub2xvZ3kgVW5pdDsgVW5pdmVyc2l0eSBvZiBQYWRvdmEsIDM1MTIxIFBhZG92YSwg
SXRhbHkuIHBpZXRyby52aWRhQGF1bHNzNi52ZW5ldG8uaXQuJiN4RDtEZXBhcnRtZW50IG9mIE1l
ZGljaW5lIChESU1FRCksIEVuZG9jcmlub2xvZ3kgVW5pdDsgVW5pdmVyc2l0eSBvZiBQYWRvdmEs
IDM1MTIxIFBhZG92YSwgSXRhbHkuIGFsZXNzYW5kcmEuYXZvZ2Fkcm9AYXVsc3M2LnZlbmV0by5p
dC4mI3hEO0RlcGFydG1lbnQgb2YgUGVkaWF0cmljcywgUmVnaW9uYWwgQ2VudHJlIGZvciBOZXdi
b3JuIFNjcmVlbmluZywgRGlhZ25vc2lzIGFuZCBUcmVhdG1lbnQgb2YgSW5oZXJpdGVkIE1ldGFi
b2xpYyBEaXNlYXNlcyBhbmQgQ29uZ2VuaXRhbCBFbmRvY3JpbmUgRGlzZWFzZXMsIEF6aWVuZGEg
T3NwZWRhbGllcmEgVW5pdmVyc2l0YXJpYSBJbnRlZ3JhdGEsIDM3MTM0IFZlcm9uYSwgSXRhbHku
IG1hcnRhLmNhbWlsb3RAYW92ci52ZW5ldG8uaXQuJiN4RDtEZXBhcnRtZW50IG9mIE1lZGljaW5l
IChESU1FRCksIEVuZG9jcmlub2xvZ3kgVW5pdDsgVW5pdmVyc2l0eSBvZiBQYWRvdmEsIDM1MTIx
IFBhZG92YSwgSXRhbHkuIGNhcmxhLnNjYXJvbmlAdW5pcGQuaXQuJiN4RDtEZXBhcnRtZW50IG9m
IE1lZGljaW5lIChESU1FRCksIEVuZG9jcmlub2xvZ3kgVW5pdDsgVW5pdmVyc2l0eSBvZiBQYWRv
dmEsIDM1MTIxIFBhZG92YSwgSXRhbHkuIGxvcmlzLmJlcnRhenphQHVuaXBkLml0LiYjeEQ7RGVw
YXJ0bWVudCBvZiBNZWRpY2luZSAoRElNRUQpLCBFbmRvY3Jpbm9sb2d5IFVuaXQ7IFVuaXZlcnNp
dHkgb2YgUGFkb3ZhLCAzNTEyMSBQYWRvdmEsIEl0YWx5LiBzdXNpYmFyb2xsb0B5YWhvby5pdC4m
I3hEO0RlcGFydG1lbnQgb2YgTWVkaWNpbmUgKERJTUVEKSwgRW5kb2NyaW5vbG9neSBVbml0OyBV
bml2ZXJzaXR5IG9mIFBhZG92YSwgMzUxMjEgUGFkb3ZhLCBJdGFseS4gY2F0ZXJpbmEubWlhbkB1
bmlwZC5pdC48L2F1dGgtYWRkcmVzcz48dGl0bGVzPjx0aXRsZT5UaGUgZWZmZWN0cyBvZiBpb2Rp
bmUgc3VwcGxlbWVudGF0aW9uIGluIHByZWduYW5jeSBvbiBpb2RpbmUgc3RhdHVzLCB0aHlyb2ds
b2J1bGluIGxldmVscyBhbmQgdGh5cm9pZCBmdW5jdGlvbiBwYXJhbWV0ZXJzOiByZXN1bHRzIGZy
b20gYSByYW5kb21pemVkIGNvbnRyb2xsZWQgY2xpbmljYWwgdHJpYWwgaW4gYSBtaWxkLXRvLW1v
ZGVyYXRlIGlvZGluZSBkZWZpY2llbmN5IGFyZWE8L3RpdGxlPjxzZWNvbmRhcnktdGl0bGU+TnV0
cmllbnRzPC9zZWNvbmRhcnktdGl0bGU+PC90aXRsZXM+PHBlcmlvZGljYWw+PGZ1bGwtdGl0bGU+
TnV0cmllbnRzPC9mdWxsLXRpdGxlPjwvcGVyaW9kaWNhbD48dm9sdW1lPjExPC92b2x1bWU+PG51
bWJlcj4xMTwvbnVtYmVyPjxlZGl0aW9uPjIwMTkvMTEvMDc8L2VkaXRpb24+PGtleXdvcmRzPjxr
ZXl3b3JkPmlvZGluZTwva2V5d29yZD48a2V5d29yZD5taWxkLXRvLW1vZGVyYXRlIGlvZGluZSBk
ZWZpY2llbmN5PC9rZXl3b3JkPjxrZXl3b3JkPnByZWduYW5jeTwva2V5d29yZD48a2V5d29yZD5y
YW5kb21pemVkIGFuZCBwbGFjZWJvLWNvbnRyb2xsZWQgdHJpYWw8L2tleXdvcmQ+PC9rZXl3b3Jk
cz48ZGF0ZXM+PHllYXI+MjAxOTwveWVhcj48cHViLWRhdGVzPjxkYXRlPk5vdiA0PC9kYXRlPjwv
cHViLWRhdGVzPjwvZGF0ZXM+PGlzYm4+MjA3Mi02NjQzIChFbGVjdHJvbmljKSYjeEQ7MjA3Mi02
NjQzIChMaW5raW5nKTwvaXNibj48YWNjZXNzaW9uLW51bT4zMTY4OTg5MDwvYWNjZXNzaW9uLW51
bT48dXJscz48cmVsYXRlZC11cmxzPjx1cmw+aHR0cHM6Ly93d3cubmNiaS5ubG0ubmloLmdvdi9w
dWJtZWQvMzE2ODk4OTA8L3VybD48L3JlbGF0ZWQtdXJscz48L3VybHM+PGN1c3RvbTI+UE1DNjg5
MzQzMjwvY3VzdG9tMj48ZWxlY3Ryb25pYy1yZXNvdXJjZS1udW0+MTAuMzM5MC9udTExMTEyNjM5
PC9lbGVjdHJvbmljLXJlc291cmNlLW51bT48L3JlY29yZD48L0NpdGU+PENpdGU+PEF1dGhvcj5D
aGF3YW5wYWlib29uPC9BdXRob3I+PFllYXI+MjAxOTwvWWVhcj48UmVjTnVtPjE4NDk8L1JlY051
bT48cmVjb3JkPjxyZWMtbnVtYmVyPjE4NDk8L3JlYy1udW1iZXI+PGZvcmVpZ24ta2V5cz48a2V5
IGFwcD0iRU4iIGRiLWlkPSJleHZhc3JmeDJkdHJhb2VzYXN4cDJzenN4YTJkZjUwMjU5MngiIHRp
bWVzdGFtcD0iMTU4NzYxMzc3MCI+MTg0OTwva2V5PjxrZXkgYXBwPSJFTldlYiIgZGItaWQ9IiI+
MDwva2V5PjwvZm9yZWlnbi1rZXlzPjxyZWYtdHlwZSBuYW1lPSJKb3VybmFsIEFydGljbGUiPjE3
PC9yZWYtdHlwZT48Y29udHJpYnV0b3JzPjxhdXRob3JzPjxhdXRob3I+Q2hhd2FucGFpYm9vbiwg
Uy4sPC9hdXRob3I+PC9hdXRob3JzPjwvY29udHJpYnV0b3JzPjx0aXRsZXM+PHRpdGxlPkEgcmFu
ZG9taXplZCBjb250cm9sbGVkIHRyaWFsIG9mIHRoZSBjb3JyZWxhdGlvbiBiZXR3ZWVuIGlvZGlu
ZSBzdXBwbGVtZW50YXRpb24gaW4gcHJlZ25hbmN5IGFuZCBtYXRlcm5hbCB1cmluZSBpb2RpbmUg
YW5kIG5lb25hdGFsIHRoeXJvaWQgc3RpbXVsYXRpbmcgaG9ybW9uZSBsZXZlbHM8L3RpdGxlPjxz
ZWNvbmRhcnktdGl0bGU+U2lyaXJhaiBNZWRpY2FsIEpvdXJuYWw8L3NlY29uZGFyeS10aXRsZT48
L3RpdGxlcz48cGVyaW9kaWNhbD48ZnVsbC10aXRsZT5TaXJpcmFqIE1lZGljYWwgSm91cm5hbDwv
ZnVsbC10aXRsZT48L3BlcmlvZGljYWw+PHZvbHVtZT43MTwvdm9sdW1lPjxudW1iZXI+MTwvbnVt
YmVyPjxkYXRlcz48eWVhcj4yMDE5PC95ZWFyPjwvZGF0ZXM+PGlzYm4+MjYyOTk5NVgmI3hEOzIy
Mjg4MDgyPC9pc2JuPjx1cmxzPjwvdXJscz48ZWxlY3Ryb25pYy1yZXNvdXJjZS1udW0+MTAuMzMx
OTIvU21qLjIwMTkuMTA8L2VsZWN0cm9uaWMtcmVzb3VyY2UtbnVtPjwvcmVjb3JkPjwvQ2l0ZT48
L0VuZE5vdGU+AG==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203-205</w:t>
      </w:r>
      <w:r w:rsidR="003523C5">
        <w:fldChar w:fldCharType="end"/>
      </w:r>
    </w:p>
    <w:p w14:paraId="18DA4D9D" w14:textId="54FC6A78" w:rsidR="007C3B8F" w:rsidRDefault="002E3923" w:rsidP="00FF3C23">
      <w:r>
        <w:t>The Cochrane review</w:t>
      </w:r>
      <w:r w:rsidR="003523C5">
        <w:fldChar w:fldCharType="begin">
          <w:fldData xml:space="preserve">PEVuZE5vdGU+PENpdGU+PEF1dGhvcj5IYXJkaW5nPC9BdXRob3I+PFllYXI+MjAxNzwvWWVhcj48
UmVjTnVtPjExOTg8L1JlY051bT48RGlzcGxheVRleHQ+PHN0eWxlIGZhY2U9InN1cGVyc2NyaXB0
IiBmb250PSJUcmVidWNoZXQgTVMiIHNpemU9IjkiPjIwMTwvc3R5bGU+PC9EaXNwbGF5VGV4dD48
cmVjb3JkPjxyZWMtbnVtYmVyPjExOTg8L3JlYy1udW1iZXI+PGZvcmVpZ24ta2V5cz48a2V5IGFw
cD0iRU4iIGRiLWlkPSJleHZhc3JmeDJkdHJhb2VzYXN4cDJzenN4YTJkZjUwMjU5MngiIHRpbWVz
dGFtcD0iMTU1OTYyMTcwMyI+MTE5ODwva2V5PjxrZXkgYXBwPSJFTldlYiIgZGItaWQ9IiI+MDwv
a2V5PjwvZm9yZWlnbi1rZXlzPjxyZWYtdHlwZSBuYW1lPSJKb3VybmFsIEFydGljbGUiPjE3PC9y
ZWYtdHlwZT48Y29udHJpYnV0b3JzPjxhdXRob3JzPjxhdXRob3I+SGFyZGluZywgSy4gQi48L2F1
dGhvcj48YXV0aG9yPlBlbmEtUm9zYXMsIEouIFAuPC9hdXRob3I+PGF1dGhvcj5XZWJzdGVyLCBB
LiBDLjwvYXV0aG9yPjxhdXRob3I+WWFwLCBDLiBNLjwvYXV0aG9yPjxhdXRob3I+UGF5bmUsIEIu
IEEuPC9hdXRob3I+PGF1dGhvcj5PdGEsIEUuPC9hdXRob3I+PGF1dGhvcj5EZS1SZWdpbCwgTC4g
TS48L2F1dGhvcj48L2F1dGhvcnM+PC9jb250cmlidXRvcnM+PGF1dGgtYWRkcmVzcz5SZXNlYXJj
aCBhbmQgRXZhbHVhdGlvbiwgTWljcm9udXRyaWVudCBJbml0aWF0aXZlLCAxODAgRWxnaW4gU3Ry
ZWV0LCBTdWl0ZSAxMDAwLCBPdHRhd2EsIE9OLCBDYW5hZGEsIEsyUCAySzMuJiN4RDtFdmlkZW5j
ZSBhbmQgUHJvZ3JhbW1lIEd1aWRhbmNlLCBEZXBhcnRtZW50IG9mIE51dHJpdGlvbiBmb3IgSGVh
bHRoIGFuZCBEZXZlbG9wbWVudCwgV29ybGQgSGVhbHRoIE9yZ2FuaXphdGlvbiwgMjAgQXZlbnVl
IEFwcGlhLCBHZW5ldmEsIEdFLCBTd2l0emVybGFuZCwgMTIxMS4mI3hEO1N5ZG5leSBTY2hvb2wg
b2YgUHVibGljIEhlYWx0aCwgVGhlIFVuaXZlcnNpdHkgb2YgU3lkbmV5LCBFZHdhcmQgRm9yZCBC
dWlsZGluZyBBMjcsIFN5ZG5leSwgTlNXLCBBdXN0cmFsaWEsIDIwMDYuJiN4RDtEZXBhcnRtZW50
IG9mIERpYWJldGVzIGFuZCBFbmRvY3Jpbm9sb2d5LCBXZXN0bWVhZCBIb3NwaXRhbCwgQ29ybmVy
IEhhd2tlc2J1cnkgYW5kIERhcmN5IFJvYWRzLCBXZXN0bWVhZCwgTlNXLCBBdXN0cmFsaWEsIDIx
NDUuJiN4RDtOYXRpb25hbCBOdXRyaXRpb24gQ2VudGVyLCBNaW5pc3RyeSBvZiBIZWFsdGggQmFy
YmFkb3MsIFN0IE1pY2hhZWwsIEJhcmJhZG9zLiYjeEQ7R2xvYmFsIEhlYWx0aCBOdXJzaW5nLCBT
dC4gTHVrZSZhcG9zO3MgSW50ZXJuYXRpb25hbCBVbml2ZXJzaXR5LCBHcmFkdWF0ZSBTY2hvb2wg
b2YgTnVyc2luZyBTY2llbmNlcywgMTAtMSBBa2FzaGktY2hvLCBDaHVvLUt1LCBUb2t5bywgSmFw
YW4sIDEwNC0wMDQ0LjwvYXV0aC1hZGRyZXNzPjx0aXRsZXM+PHRpdGxlPklvZGluZSBzdXBwbGVt
ZW50YXRpb24gZm9yIHdvbWVuIGR1cmluZyB0aGUgcHJlY29uY2VwdGlvbiwgcHJlZ25hbmN5IGFu
ZCBwb3N0cGFydHVtIHBlcmlvZDwvdGl0bGU+PHNlY29uZGFyeS10aXRsZT5Db2NocmFuZSBEYXRh
YmFzZSBTeXN0IFJldjwvc2Vjb25kYXJ5LXRpdGxlPjwvdGl0bGVzPjxwZXJpb2RpY2FsPjxmdWxs
LXRpdGxlPkNvY2hyYW5lIERhdGFiYXNlIFN5c3QgUmV2PC9mdWxsLXRpdGxlPjwvcGVyaW9kaWNh
bD48cGFnZXM+Q0QwMTE3NjE8L3BhZ2VzPjx2b2x1bWU+Mzwvdm9sdW1lPjxlZGl0aW9uPjIwMTcv
MDMvMDY8L2VkaXRpb24+PGtleXdvcmRzPjxrZXl3b3JkPipEaWV0YXJ5IFN1cHBsZW1lbnRzL2Fk
dmVyc2UgZWZmZWN0czwva2V5d29yZD48a2V5d29yZD5GZW1hbGU8L2tleXdvcmQ+PGtleXdvcmQ+
SHVtYW5zPC9rZXl3b3JkPjxrZXl3b3JkPkh5cGVydGh5cm9pZGlzbS9lcGlkZW1pb2xvZ3k8L2tl
eXdvcmQ+PGtleXdvcmQ+SHlwb3RoeXJvaWRpc20vZXBpZGVtaW9sb2d5PC9rZXl3b3JkPjxrZXl3
b3JkPkluZmFudCwgTmV3Ym9ybjwva2V5d29yZD48a2V5d29yZD5JbmZhbnQsIE5ld2Jvcm4sIERp
c2Vhc2VzL2VwaWRlbWlvbG9neTwva2V5d29yZD48a2V5d29yZD5Jb2RpbmUvKmFkbWluaXN0cmF0
aW9uICZhbXA7IGRvc2FnZS9hZHZlcnNlIGVmZmVjdHMvZGVmaWNpZW5jeTwva2V5d29yZD48a2V5
d29yZD5QZXJpbmF0YWwgTW9ydGFsaXR5PC9rZXl3b3JkPjxrZXl3b3JkPlBvc3RwYXJ0dW0gUGVy
aW9kPC9rZXl3b3JkPjxrZXl3b3JkPlByZWNvbmNlcHRpb24gQ2FyZS8qbWV0aG9kczwva2V5d29y
ZD48a2V5d29yZD5QcmVnbmFuY3k8L2tleXdvcmQ+PGtleXdvcmQ+UHJlZ25hbmN5IENvbXBsaWNh
dGlvbnMvZXBpZGVtaW9sb2d5PC9rZXl3b3JkPjxrZXl3b3JkPlByZW1hdHVyZSBCaXJ0aC9lcGlk
ZW1pb2xvZ3k8L2tleXdvcmQ+PGtleXdvcmQ+UHJlbmF0YWwgQ2FyZS8qbWV0aG9kczwva2V5d29y
ZD48a2V5d29yZD5SYW5kb21pemVkIENvbnRyb2xsZWQgVHJpYWxzIGFzIFRvcGljPC9rZXl3b3Jk
PjxrZXl3b3JkPlRoeXJvaWQgSG9ybW9uZXMvYmxvb2Q8L2tleXdvcmQ+PGtleXdvcmQ+VGh5cm90
cm9waW4vYmxvb2Q8L2tleXdvcmQ+PC9rZXl3b3Jkcz48ZGF0ZXM+PHllYXI+MjAxNzwveWVhcj48
cHViLWRhdGVzPjxkYXRlPk1hciA1PC9kYXRlPjwvcHViLWRhdGVzPjwvZGF0ZXM+PGlzYm4+MTQ2
OS00OTNYIChFbGVjdHJvbmljKSYjeEQ7MTM2MS02MTM3IChMaW5raW5nKTwvaXNibj48YWNjZXNz
aW9uLW51bT4yODI2MDI2MzwvYWNjZXNzaW9uLW51bT48dXJscz48cmVsYXRlZC11cmxzPjx1cmw+
aHR0cHM6Ly93d3cubmNiaS5ubG0ubmloLmdvdi9wdWJtZWQvMjgyNjAyNjM8L3VybD48L3JlbGF0
ZWQtdXJscz48L3VybHM+PGN1c3RvbTI+UE1DNjQ2NDY0NzwvY3VzdG9tMj48ZWxlY3Ryb25pYy1y
ZXNvdXJjZS1udW0+MTAuMTAwMi8xNDY1MTg1OC5DRDAxMTc2MS5wdWIyPC9lbGVjdHJvbmljLXJl
c291cmNlLW51bT48L3JlY29yZD48L0NpdGU+PC9FbmROb3RlPgB=
</w:fldData>
        </w:fldChar>
      </w:r>
      <w:r w:rsidR="002747EA">
        <w:instrText xml:space="preserve"> ADDIN EN.CITE </w:instrText>
      </w:r>
      <w:r w:rsidR="002747EA">
        <w:fldChar w:fldCharType="begin">
          <w:fldData xml:space="preserve">PEVuZE5vdGU+PENpdGU+PEF1dGhvcj5IYXJkaW5nPC9BdXRob3I+PFllYXI+MjAxNzwvWWVhcj48
UmVjTnVtPjExOTg8L1JlY051bT48RGlzcGxheVRleHQ+PHN0eWxlIGZhY2U9InN1cGVyc2NyaXB0
IiBmb250PSJUcmVidWNoZXQgTVMiIHNpemU9IjkiPjIwMTwvc3R5bGU+PC9EaXNwbGF5VGV4dD48
cmVjb3JkPjxyZWMtbnVtYmVyPjExOTg8L3JlYy1udW1iZXI+PGZvcmVpZ24ta2V5cz48a2V5IGFw
cD0iRU4iIGRiLWlkPSJleHZhc3JmeDJkdHJhb2VzYXN4cDJzenN4YTJkZjUwMjU5MngiIHRpbWVz
dGFtcD0iMTU1OTYyMTcwMyI+MTE5ODwva2V5PjxrZXkgYXBwPSJFTldlYiIgZGItaWQ9IiI+MDwv
a2V5PjwvZm9yZWlnbi1rZXlzPjxyZWYtdHlwZSBuYW1lPSJKb3VybmFsIEFydGljbGUiPjE3PC9y
ZWYtdHlwZT48Y29udHJpYnV0b3JzPjxhdXRob3JzPjxhdXRob3I+SGFyZGluZywgSy4gQi48L2F1
dGhvcj48YXV0aG9yPlBlbmEtUm9zYXMsIEouIFAuPC9hdXRob3I+PGF1dGhvcj5XZWJzdGVyLCBB
LiBDLjwvYXV0aG9yPjxhdXRob3I+WWFwLCBDLiBNLjwvYXV0aG9yPjxhdXRob3I+UGF5bmUsIEIu
IEEuPC9hdXRob3I+PGF1dGhvcj5PdGEsIEUuPC9hdXRob3I+PGF1dGhvcj5EZS1SZWdpbCwgTC4g
TS48L2F1dGhvcj48L2F1dGhvcnM+PC9jb250cmlidXRvcnM+PGF1dGgtYWRkcmVzcz5SZXNlYXJj
aCBhbmQgRXZhbHVhdGlvbiwgTWljcm9udXRyaWVudCBJbml0aWF0aXZlLCAxODAgRWxnaW4gU3Ry
ZWV0LCBTdWl0ZSAxMDAwLCBPdHRhd2EsIE9OLCBDYW5hZGEsIEsyUCAySzMuJiN4RDtFdmlkZW5j
ZSBhbmQgUHJvZ3JhbW1lIEd1aWRhbmNlLCBEZXBhcnRtZW50IG9mIE51dHJpdGlvbiBmb3IgSGVh
bHRoIGFuZCBEZXZlbG9wbWVudCwgV29ybGQgSGVhbHRoIE9yZ2FuaXphdGlvbiwgMjAgQXZlbnVl
IEFwcGlhLCBHZW5ldmEsIEdFLCBTd2l0emVybGFuZCwgMTIxMS4mI3hEO1N5ZG5leSBTY2hvb2wg
b2YgUHVibGljIEhlYWx0aCwgVGhlIFVuaXZlcnNpdHkgb2YgU3lkbmV5LCBFZHdhcmQgRm9yZCBC
dWlsZGluZyBBMjcsIFN5ZG5leSwgTlNXLCBBdXN0cmFsaWEsIDIwMDYuJiN4RDtEZXBhcnRtZW50
IG9mIERpYWJldGVzIGFuZCBFbmRvY3Jpbm9sb2d5LCBXZXN0bWVhZCBIb3NwaXRhbCwgQ29ybmVy
IEhhd2tlc2J1cnkgYW5kIERhcmN5IFJvYWRzLCBXZXN0bWVhZCwgTlNXLCBBdXN0cmFsaWEsIDIx
NDUuJiN4RDtOYXRpb25hbCBOdXRyaXRpb24gQ2VudGVyLCBNaW5pc3RyeSBvZiBIZWFsdGggQmFy
YmFkb3MsIFN0IE1pY2hhZWwsIEJhcmJhZG9zLiYjeEQ7R2xvYmFsIEhlYWx0aCBOdXJzaW5nLCBT
dC4gTHVrZSZhcG9zO3MgSW50ZXJuYXRpb25hbCBVbml2ZXJzaXR5LCBHcmFkdWF0ZSBTY2hvb2wg
b2YgTnVyc2luZyBTY2llbmNlcywgMTAtMSBBa2FzaGktY2hvLCBDaHVvLUt1LCBUb2t5bywgSmFw
YW4sIDEwNC0wMDQ0LjwvYXV0aC1hZGRyZXNzPjx0aXRsZXM+PHRpdGxlPklvZGluZSBzdXBwbGVt
ZW50YXRpb24gZm9yIHdvbWVuIGR1cmluZyB0aGUgcHJlY29uY2VwdGlvbiwgcHJlZ25hbmN5IGFu
ZCBwb3N0cGFydHVtIHBlcmlvZDwvdGl0bGU+PHNlY29uZGFyeS10aXRsZT5Db2NocmFuZSBEYXRh
YmFzZSBTeXN0IFJldjwvc2Vjb25kYXJ5LXRpdGxlPjwvdGl0bGVzPjxwZXJpb2RpY2FsPjxmdWxs
LXRpdGxlPkNvY2hyYW5lIERhdGFiYXNlIFN5c3QgUmV2PC9mdWxsLXRpdGxlPjwvcGVyaW9kaWNh
bD48cGFnZXM+Q0QwMTE3NjE8L3BhZ2VzPjx2b2x1bWU+Mzwvdm9sdW1lPjxlZGl0aW9uPjIwMTcv
MDMvMDY8L2VkaXRpb24+PGtleXdvcmRzPjxrZXl3b3JkPipEaWV0YXJ5IFN1cHBsZW1lbnRzL2Fk
dmVyc2UgZWZmZWN0czwva2V5d29yZD48a2V5d29yZD5GZW1hbGU8L2tleXdvcmQ+PGtleXdvcmQ+
SHVtYW5zPC9rZXl3b3JkPjxrZXl3b3JkPkh5cGVydGh5cm9pZGlzbS9lcGlkZW1pb2xvZ3k8L2tl
eXdvcmQ+PGtleXdvcmQ+SHlwb3RoeXJvaWRpc20vZXBpZGVtaW9sb2d5PC9rZXl3b3JkPjxrZXl3
b3JkPkluZmFudCwgTmV3Ym9ybjwva2V5d29yZD48a2V5d29yZD5JbmZhbnQsIE5ld2Jvcm4sIERp
c2Vhc2VzL2VwaWRlbWlvbG9neTwva2V5d29yZD48a2V5d29yZD5Jb2RpbmUvKmFkbWluaXN0cmF0
aW9uICZhbXA7IGRvc2FnZS9hZHZlcnNlIGVmZmVjdHMvZGVmaWNpZW5jeTwva2V5d29yZD48a2V5
d29yZD5QZXJpbmF0YWwgTW9ydGFsaXR5PC9rZXl3b3JkPjxrZXl3b3JkPlBvc3RwYXJ0dW0gUGVy
aW9kPC9rZXl3b3JkPjxrZXl3b3JkPlByZWNvbmNlcHRpb24gQ2FyZS8qbWV0aG9kczwva2V5d29y
ZD48a2V5d29yZD5QcmVnbmFuY3k8L2tleXdvcmQ+PGtleXdvcmQ+UHJlZ25hbmN5IENvbXBsaWNh
dGlvbnMvZXBpZGVtaW9sb2d5PC9rZXl3b3JkPjxrZXl3b3JkPlByZW1hdHVyZSBCaXJ0aC9lcGlk
ZW1pb2xvZ3k8L2tleXdvcmQ+PGtleXdvcmQ+UHJlbmF0YWwgQ2FyZS8qbWV0aG9kczwva2V5d29y
ZD48a2V5d29yZD5SYW5kb21pemVkIENvbnRyb2xsZWQgVHJpYWxzIGFzIFRvcGljPC9rZXl3b3Jk
PjxrZXl3b3JkPlRoeXJvaWQgSG9ybW9uZXMvYmxvb2Q8L2tleXdvcmQ+PGtleXdvcmQ+VGh5cm90
cm9waW4vYmxvb2Q8L2tleXdvcmQ+PC9rZXl3b3Jkcz48ZGF0ZXM+PHllYXI+MjAxNzwveWVhcj48
cHViLWRhdGVzPjxkYXRlPk1hciA1PC9kYXRlPjwvcHViLWRhdGVzPjwvZGF0ZXM+PGlzYm4+MTQ2
OS00OTNYIChFbGVjdHJvbmljKSYjeEQ7MTM2MS02MTM3IChMaW5raW5nKTwvaXNibj48YWNjZXNz
aW9uLW51bT4yODI2MDI2MzwvYWNjZXNzaW9uLW51bT48dXJscz48cmVsYXRlZC11cmxzPjx1cmw+
aHR0cHM6Ly93d3cubmNiaS5ubG0ubmloLmdvdi9wdWJtZWQvMjgyNjAyNjM8L3VybD48L3JlbGF0
ZWQtdXJscz48L3VybHM+PGN1c3RvbTI+UE1DNjQ2NDY0NzwvY3VzdG9tMj48ZWxlY3Ryb25pYy1y
ZXNvdXJjZS1udW0+MTAuMTAwMi8xNDY1MTg1OC5DRDAxMTc2MS5wdWIyPC9lbGVjdHJvbmljLXJl
c291cmNlLW51bT48L3JlY29yZD48L0NpdGU+PC9FbmROb3RlPgB=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201</w:t>
      </w:r>
      <w:r w:rsidR="003523C5">
        <w:fldChar w:fldCharType="end"/>
      </w:r>
      <w:r>
        <w:t xml:space="preserve"> reported that</w:t>
      </w:r>
      <w:r w:rsidR="007C3B8F">
        <w:t>, in settings with mild to moderate iodine deficiency,</w:t>
      </w:r>
      <w:r>
        <w:t xml:space="preserve"> iodine supplementation decreased the likelihood of postpartum hyperthyroidism (</w:t>
      </w:r>
      <w:r w:rsidRPr="003B1C36">
        <w:rPr>
          <w:sz w:val="16"/>
          <w:szCs w:val="16"/>
        </w:rPr>
        <w:t xml:space="preserve">average </w:t>
      </w:r>
      <w:r w:rsidR="00D363CE" w:rsidRPr="003B1C36">
        <w:rPr>
          <w:sz w:val="16"/>
          <w:szCs w:val="16"/>
        </w:rPr>
        <w:t>RR</w:t>
      </w:r>
      <w:r w:rsidRPr="003B1C36">
        <w:rPr>
          <w:sz w:val="16"/>
          <w:szCs w:val="16"/>
        </w:rPr>
        <w:t xml:space="preserve"> 0.32</w:t>
      </w:r>
      <w:r w:rsidR="00D363CE" w:rsidRPr="003B1C36">
        <w:rPr>
          <w:sz w:val="16"/>
          <w:szCs w:val="16"/>
        </w:rPr>
        <w:t>; 95%CI 0.11 to 0.91;</w:t>
      </w:r>
      <w:r w:rsidRPr="003B1C36">
        <w:rPr>
          <w:sz w:val="16"/>
          <w:szCs w:val="16"/>
        </w:rPr>
        <w:t xml:space="preserve"> three </w:t>
      </w:r>
      <w:r w:rsidR="00D363CE" w:rsidRPr="003B1C36">
        <w:rPr>
          <w:sz w:val="16"/>
          <w:szCs w:val="16"/>
        </w:rPr>
        <w:t>RCTs</w:t>
      </w:r>
      <w:r w:rsidR="003B1C36" w:rsidRPr="003B1C36">
        <w:rPr>
          <w:sz w:val="16"/>
          <w:szCs w:val="16"/>
        </w:rPr>
        <w:t>; n=</w:t>
      </w:r>
      <w:r w:rsidRPr="003B1C36">
        <w:rPr>
          <w:sz w:val="16"/>
          <w:szCs w:val="16"/>
        </w:rPr>
        <w:t>543 women</w:t>
      </w:r>
      <w:r w:rsidR="003B1C36">
        <w:rPr>
          <w:sz w:val="16"/>
          <w:szCs w:val="16"/>
        </w:rPr>
        <w:t>;</w:t>
      </w:r>
      <w:r w:rsidRPr="003B1C36">
        <w:rPr>
          <w:sz w:val="16"/>
          <w:szCs w:val="16"/>
        </w:rPr>
        <w:t xml:space="preserve"> low-</w:t>
      </w:r>
      <w:r w:rsidR="00836F2D">
        <w:rPr>
          <w:sz w:val="16"/>
          <w:szCs w:val="16"/>
        </w:rPr>
        <w:t>certainty</w:t>
      </w:r>
      <w:r>
        <w:t xml:space="preserve">) and increased the likelihood of digestive intolerance in pregnancy </w:t>
      </w:r>
      <w:r w:rsidR="003B1C36">
        <w:t>(</w:t>
      </w:r>
      <w:r w:rsidR="003B1C36" w:rsidRPr="003B1C36">
        <w:rPr>
          <w:sz w:val="16"/>
          <w:szCs w:val="16"/>
        </w:rPr>
        <w:t>average RR 15.33; 95%CI 2.07 to 113.70;</w:t>
      </w:r>
      <w:r w:rsidRPr="003B1C36">
        <w:rPr>
          <w:sz w:val="16"/>
          <w:szCs w:val="16"/>
        </w:rPr>
        <w:t xml:space="preserve"> one </w:t>
      </w:r>
      <w:r w:rsidR="003B1C36" w:rsidRPr="003B1C36">
        <w:rPr>
          <w:sz w:val="16"/>
          <w:szCs w:val="16"/>
        </w:rPr>
        <w:t>RCT;</w:t>
      </w:r>
      <w:r w:rsidRPr="003B1C36">
        <w:rPr>
          <w:sz w:val="16"/>
          <w:szCs w:val="16"/>
        </w:rPr>
        <w:t xml:space="preserve"> </w:t>
      </w:r>
      <w:r w:rsidR="003B1C36" w:rsidRPr="003B1C36">
        <w:rPr>
          <w:sz w:val="16"/>
          <w:szCs w:val="16"/>
        </w:rPr>
        <w:t>n=</w:t>
      </w:r>
      <w:r w:rsidRPr="003B1C36">
        <w:rPr>
          <w:sz w:val="16"/>
          <w:szCs w:val="16"/>
        </w:rPr>
        <w:t>76</w:t>
      </w:r>
      <w:r w:rsidR="003B1C36" w:rsidRPr="003B1C36">
        <w:rPr>
          <w:sz w:val="16"/>
          <w:szCs w:val="16"/>
        </w:rPr>
        <w:t>; very low</w:t>
      </w:r>
      <w:r>
        <w:t xml:space="preserve">). There were no clear differences between groups for hypothyroidism in pregnancy </w:t>
      </w:r>
      <w:r w:rsidR="003B1C36">
        <w:t>(</w:t>
      </w:r>
      <w:r w:rsidR="003B1C36" w:rsidRPr="003B1C36">
        <w:rPr>
          <w:sz w:val="16"/>
          <w:szCs w:val="16"/>
        </w:rPr>
        <w:t>average RR 1.90; 95%CI 0.57 to 6.38; one RCT; n=365, low-</w:t>
      </w:r>
      <w:r w:rsidR="00836F2D">
        <w:rPr>
          <w:sz w:val="16"/>
          <w:szCs w:val="16"/>
        </w:rPr>
        <w:t>certainty</w:t>
      </w:r>
      <w:r w:rsidR="003B1C36">
        <w:t xml:space="preserve">) </w:t>
      </w:r>
      <w:r>
        <w:t>or postpartum (</w:t>
      </w:r>
      <w:r w:rsidR="003B1C36" w:rsidRPr="003B1C36">
        <w:rPr>
          <w:sz w:val="16"/>
          <w:szCs w:val="16"/>
        </w:rPr>
        <w:t>average RR 0.44; 95%CI 0.06 to 3.42</w:t>
      </w:r>
      <w:r w:rsidRPr="003B1C36">
        <w:rPr>
          <w:sz w:val="16"/>
          <w:szCs w:val="16"/>
        </w:rPr>
        <w:t xml:space="preserve"> three </w:t>
      </w:r>
      <w:r w:rsidR="003B1C36" w:rsidRPr="003B1C36">
        <w:rPr>
          <w:sz w:val="16"/>
          <w:szCs w:val="16"/>
        </w:rPr>
        <w:t>RCTS; n=</w:t>
      </w:r>
      <w:r w:rsidRPr="003B1C36">
        <w:rPr>
          <w:sz w:val="16"/>
          <w:szCs w:val="16"/>
        </w:rPr>
        <w:t>540</w:t>
      </w:r>
      <w:r w:rsidR="003B1C36" w:rsidRPr="003B1C36">
        <w:rPr>
          <w:sz w:val="16"/>
          <w:szCs w:val="16"/>
        </w:rPr>
        <w:t>;</w:t>
      </w:r>
      <w:r w:rsidRPr="003B1C36">
        <w:rPr>
          <w:sz w:val="16"/>
          <w:szCs w:val="16"/>
        </w:rPr>
        <w:t xml:space="preserve"> low-</w:t>
      </w:r>
      <w:r w:rsidR="00836F2D">
        <w:rPr>
          <w:sz w:val="16"/>
          <w:szCs w:val="16"/>
        </w:rPr>
        <w:t>certainty</w:t>
      </w:r>
      <w:r>
        <w:t>), pret</w:t>
      </w:r>
      <w:r w:rsidR="003B1C36">
        <w:t>erm birth (</w:t>
      </w:r>
      <w:r w:rsidR="003B1C36" w:rsidRPr="003B1C36">
        <w:rPr>
          <w:sz w:val="16"/>
          <w:szCs w:val="16"/>
        </w:rPr>
        <w:t>average RR 0.71; 95%CI 0.30 to 1.66;</w:t>
      </w:r>
      <w:r w:rsidRPr="003B1C36">
        <w:rPr>
          <w:sz w:val="16"/>
          <w:szCs w:val="16"/>
        </w:rPr>
        <w:t xml:space="preserve"> two </w:t>
      </w:r>
      <w:r w:rsidR="003B1C36" w:rsidRPr="003B1C36">
        <w:rPr>
          <w:sz w:val="16"/>
          <w:szCs w:val="16"/>
        </w:rPr>
        <w:t>RCTs; n=</w:t>
      </w:r>
      <w:r w:rsidRPr="003B1C36">
        <w:rPr>
          <w:sz w:val="16"/>
          <w:szCs w:val="16"/>
        </w:rPr>
        <w:t>376</w:t>
      </w:r>
      <w:r w:rsidR="003B1C36" w:rsidRPr="003B1C36">
        <w:rPr>
          <w:sz w:val="16"/>
          <w:szCs w:val="16"/>
        </w:rPr>
        <w:t>;</w:t>
      </w:r>
      <w:r w:rsidRPr="003B1C36">
        <w:rPr>
          <w:sz w:val="16"/>
          <w:szCs w:val="16"/>
        </w:rPr>
        <w:t xml:space="preserve"> low-</w:t>
      </w:r>
      <w:r w:rsidR="00836F2D">
        <w:rPr>
          <w:sz w:val="16"/>
          <w:szCs w:val="16"/>
        </w:rPr>
        <w:t>certainty</w:t>
      </w:r>
      <w:r w:rsidRPr="003B1C36">
        <w:rPr>
          <w:sz w:val="16"/>
          <w:szCs w:val="16"/>
        </w:rPr>
        <w:t xml:space="preserve"> evidence</w:t>
      </w:r>
      <w:r>
        <w:t>)</w:t>
      </w:r>
      <w:r w:rsidR="00257617">
        <w:t>,</w:t>
      </w:r>
      <w:r>
        <w:t xml:space="preserve"> </w:t>
      </w:r>
      <w:r w:rsidR="00257617">
        <w:t>elevated maternal t</w:t>
      </w:r>
      <w:r>
        <w:t>hyroid pe</w:t>
      </w:r>
      <w:r w:rsidR="00257617">
        <w:t>roxidase antibodies</w:t>
      </w:r>
      <w:r>
        <w:t xml:space="preserve"> in pregnancy </w:t>
      </w:r>
      <w:r w:rsidR="003B1C36">
        <w:t>(</w:t>
      </w:r>
      <w:r w:rsidR="003B1C36" w:rsidRPr="003B1C36">
        <w:rPr>
          <w:sz w:val="16"/>
          <w:szCs w:val="16"/>
        </w:rPr>
        <w:t>average RR</w:t>
      </w:r>
      <w:r w:rsidR="00257617">
        <w:rPr>
          <w:sz w:val="16"/>
          <w:szCs w:val="16"/>
        </w:rPr>
        <w:t> </w:t>
      </w:r>
      <w:r w:rsidR="003B1C36" w:rsidRPr="003B1C36">
        <w:rPr>
          <w:sz w:val="16"/>
          <w:szCs w:val="16"/>
        </w:rPr>
        <w:t>0.95; 95%CI 0.44 to 2.07; one RCT; n=359; low-</w:t>
      </w:r>
      <w:r w:rsidR="00836F2D">
        <w:rPr>
          <w:sz w:val="16"/>
          <w:szCs w:val="16"/>
        </w:rPr>
        <w:t>certainty</w:t>
      </w:r>
      <w:r w:rsidR="003B1C36">
        <w:t xml:space="preserve">) </w:t>
      </w:r>
      <w:r>
        <w:t xml:space="preserve">or postpartum </w:t>
      </w:r>
      <w:r w:rsidR="003B1C36">
        <w:t>(</w:t>
      </w:r>
      <w:r w:rsidRPr="003B1C36">
        <w:rPr>
          <w:sz w:val="16"/>
          <w:szCs w:val="16"/>
        </w:rPr>
        <w:t xml:space="preserve">average RR 1.01; </w:t>
      </w:r>
      <w:r w:rsidR="003B1C36" w:rsidRPr="003B1C36">
        <w:rPr>
          <w:sz w:val="16"/>
          <w:szCs w:val="16"/>
        </w:rPr>
        <w:t>95%CI 0.78 to 1.30;</w:t>
      </w:r>
      <w:r w:rsidRPr="003B1C36">
        <w:rPr>
          <w:sz w:val="16"/>
          <w:szCs w:val="16"/>
        </w:rPr>
        <w:t xml:space="preserve"> three </w:t>
      </w:r>
      <w:r w:rsidR="003B1C36" w:rsidRPr="003B1C36">
        <w:rPr>
          <w:sz w:val="16"/>
          <w:szCs w:val="16"/>
        </w:rPr>
        <w:t>RCTs; n=</w:t>
      </w:r>
      <w:r w:rsidRPr="003B1C36">
        <w:rPr>
          <w:sz w:val="16"/>
          <w:szCs w:val="16"/>
        </w:rPr>
        <w:t>397</w:t>
      </w:r>
      <w:r w:rsidR="003B1C36" w:rsidRPr="003B1C36">
        <w:rPr>
          <w:sz w:val="16"/>
          <w:szCs w:val="16"/>
        </w:rPr>
        <w:t xml:space="preserve">; </w:t>
      </w:r>
      <w:r w:rsidRPr="003B1C36">
        <w:rPr>
          <w:sz w:val="16"/>
          <w:szCs w:val="16"/>
        </w:rPr>
        <w:t>low-</w:t>
      </w:r>
      <w:r w:rsidR="00836F2D">
        <w:rPr>
          <w:sz w:val="16"/>
          <w:szCs w:val="16"/>
        </w:rPr>
        <w:t>certainty</w:t>
      </w:r>
      <w:r w:rsidR="007C3B8F">
        <w:t>)</w:t>
      </w:r>
      <w:r>
        <w:t xml:space="preserve"> or hyperthyroidism in pregnancy (</w:t>
      </w:r>
      <w:r w:rsidRPr="007C3B8F">
        <w:rPr>
          <w:sz w:val="16"/>
          <w:szCs w:val="16"/>
        </w:rPr>
        <w:t xml:space="preserve">average RR 1.90; </w:t>
      </w:r>
      <w:r w:rsidR="00257617">
        <w:rPr>
          <w:sz w:val="16"/>
          <w:szCs w:val="16"/>
        </w:rPr>
        <w:t xml:space="preserve">95%CI 0.57 to 6.38, one trial; n=365; </w:t>
      </w:r>
      <w:r w:rsidRPr="007C3B8F">
        <w:rPr>
          <w:sz w:val="16"/>
          <w:szCs w:val="16"/>
        </w:rPr>
        <w:t>low-</w:t>
      </w:r>
      <w:r w:rsidR="00836F2D">
        <w:rPr>
          <w:sz w:val="16"/>
          <w:szCs w:val="16"/>
        </w:rPr>
        <w:t>certainty</w:t>
      </w:r>
      <w:r>
        <w:t xml:space="preserve">). </w:t>
      </w:r>
    </w:p>
    <w:p w14:paraId="41EDB431" w14:textId="6624DBCC" w:rsidR="002E3923" w:rsidRDefault="007C3B8F" w:rsidP="00FF3C23">
      <w:r>
        <w:t>The infants of mothers</w:t>
      </w:r>
      <w:r w:rsidR="002E3923">
        <w:t xml:space="preserve"> who received iodine supplements had a 34% lower likelihood of perinatal mortality, however this difference was not statistically si</w:t>
      </w:r>
      <w:r>
        <w:t>gnificant (</w:t>
      </w:r>
      <w:r w:rsidRPr="007C3B8F">
        <w:rPr>
          <w:sz w:val="16"/>
          <w:szCs w:val="16"/>
        </w:rPr>
        <w:t>average RR 0.66; 95%CI 0.42 to 1.03;</w:t>
      </w:r>
      <w:r w:rsidR="002E3923" w:rsidRPr="007C3B8F">
        <w:rPr>
          <w:sz w:val="16"/>
          <w:szCs w:val="16"/>
        </w:rPr>
        <w:t xml:space="preserve"> two </w:t>
      </w:r>
      <w:r w:rsidRPr="007C3B8F">
        <w:rPr>
          <w:sz w:val="16"/>
          <w:szCs w:val="16"/>
        </w:rPr>
        <w:t>RCTs;</w:t>
      </w:r>
      <w:r w:rsidR="002E3923" w:rsidRPr="007C3B8F">
        <w:rPr>
          <w:sz w:val="16"/>
          <w:szCs w:val="16"/>
        </w:rPr>
        <w:t xml:space="preserve"> </w:t>
      </w:r>
      <w:r w:rsidRPr="007C3B8F">
        <w:rPr>
          <w:sz w:val="16"/>
          <w:szCs w:val="16"/>
        </w:rPr>
        <w:t xml:space="preserve">n=457; </w:t>
      </w:r>
      <w:r w:rsidR="002E3923" w:rsidRPr="007C3B8F">
        <w:rPr>
          <w:sz w:val="16"/>
          <w:szCs w:val="16"/>
        </w:rPr>
        <w:t>low-</w:t>
      </w:r>
      <w:r w:rsidR="00836F2D">
        <w:rPr>
          <w:sz w:val="16"/>
          <w:szCs w:val="16"/>
        </w:rPr>
        <w:t>certainty</w:t>
      </w:r>
      <w:r w:rsidR="002E3923">
        <w:t>)</w:t>
      </w:r>
      <w:r>
        <w:t xml:space="preserve"> and a</w:t>
      </w:r>
      <w:r w:rsidR="002E3923">
        <w:t>ll perinatal deaths occurred in one trial conducted in a severely iodine-deficient setting. There were no clear differences between groups for low bi</w:t>
      </w:r>
      <w:r>
        <w:t>rthweight (</w:t>
      </w:r>
      <w:r w:rsidRPr="007C3B8F">
        <w:rPr>
          <w:sz w:val="16"/>
          <w:szCs w:val="16"/>
        </w:rPr>
        <w:t>average RR 0.56; 95%CI 0.26 to 1.23;</w:t>
      </w:r>
      <w:r w:rsidR="002E3923" w:rsidRPr="007C3B8F">
        <w:rPr>
          <w:sz w:val="16"/>
          <w:szCs w:val="16"/>
        </w:rPr>
        <w:t xml:space="preserve"> two </w:t>
      </w:r>
      <w:r w:rsidRPr="007C3B8F">
        <w:rPr>
          <w:sz w:val="16"/>
          <w:szCs w:val="16"/>
        </w:rPr>
        <w:t>RCTs; n=</w:t>
      </w:r>
      <w:r w:rsidR="002E3923" w:rsidRPr="007C3B8F">
        <w:rPr>
          <w:sz w:val="16"/>
          <w:szCs w:val="16"/>
        </w:rPr>
        <w:t>377</w:t>
      </w:r>
      <w:r w:rsidRPr="007C3B8F">
        <w:rPr>
          <w:sz w:val="16"/>
          <w:szCs w:val="16"/>
        </w:rPr>
        <w:t>;</w:t>
      </w:r>
      <w:r w:rsidR="002E3923" w:rsidRPr="007C3B8F">
        <w:rPr>
          <w:sz w:val="16"/>
          <w:szCs w:val="16"/>
        </w:rPr>
        <w:t xml:space="preserve"> low-</w:t>
      </w:r>
      <w:r w:rsidR="00836F2D">
        <w:rPr>
          <w:sz w:val="16"/>
          <w:szCs w:val="16"/>
        </w:rPr>
        <w:t>certainty</w:t>
      </w:r>
      <w:r w:rsidR="002E3923">
        <w:t>), neonatal hypothyroidism/elevated t</w:t>
      </w:r>
      <w:r w:rsidR="00257617">
        <w:t>hyroid-stimulating hormone</w:t>
      </w:r>
      <w:r w:rsidR="002E3923">
        <w:t xml:space="preserve"> (</w:t>
      </w:r>
      <w:r w:rsidR="002E3923" w:rsidRPr="007C3B8F">
        <w:rPr>
          <w:sz w:val="16"/>
          <w:szCs w:val="16"/>
        </w:rPr>
        <w:t xml:space="preserve">average RR 0.58; 95% CI 0.11 to 3.12, two </w:t>
      </w:r>
      <w:r w:rsidRPr="007C3B8F">
        <w:rPr>
          <w:sz w:val="16"/>
          <w:szCs w:val="16"/>
        </w:rPr>
        <w:t>RCTs; n=</w:t>
      </w:r>
      <w:r w:rsidR="002E3923" w:rsidRPr="007C3B8F">
        <w:rPr>
          <w:sz w:val="16"/>
          <w:szCs w:val="16"/>
        </w:rPr>
        <w:t>260</w:t>
      </w:r>
      <w:r w:rsidRPr="007C3B8F">
        <w:rPr>
          <w:sz w:val="16"/>
          <w:szCs w:val="16"/>
        </w:rPr>
        <w:t>;</w:t>
      </w:r>
      <w:r w:rsidR="002E3923" w:rsidRPr="007C3B8F">
        <w:rPr>
          <w:sz w:val="16"/>
          <w:szCs w:val="16"/>
        </w:rPr>
        <w:t xml:space="preserve"> very low-</w:t>
      </w:r>
      <w:r w:rsidR="00836F2D">
        <w:rPr>
          <w:sz w:val="16"/>
          <w:szCs w:val="16"/>
        </w:rPr>
        <w:t>certainty</w:t>
      </w:r>
      <w:r w:rsidR="002E3923">
        <w:t xml:space="preserve">) or elevated neonatal thyroid peroxidase antibodies </w:t>
      </w:r>
      <w:r>
        <w:t>(TPO-ab) (</w:t>
      </w:r>
      <w:r w:rsidRPr="00257617">
        <w:rPr>
          <w:sz w:val="16"/>
          <w:szCs w:val="16"/>
        </w:rPr>
        <w:t>average RR 0.61; 95%CI 0.07 to 5.70;</w:t>
      </w:r>
      <w:r w:rsidR="002E3923" w:rsidRPr="00257617">
        <w:rPr>
          <w:sz w:val="16"/>
          <w:szCs w:val="16"/>
        </w:rPr>
        <w:t xml:space="preserve"> one </w:t>
      </w:r>
      <w:r w:rsidRPr="00257617">
        <w:rPr>
          <w:sz w:val="16"/>
          <w:szCs w:val="16"/>
        </w:rPr>
        <w:t>RCT; n=</w:t>
      </w:r>
      <w:r w:rsidR="002E3923" w:rsidRPr="00257617">
        <w:rPr>
          <w:sz w:val="16"/>
          <w:szCs w:val="16"/>
        </w:rPr>
        <w:t>108</w:t>
      </w:r>
      <w:r w:rsidRPr="00257617">
        <w:rPr>
          <w:sz w:val="16"/>
          <w:szCs w:val="16"/>
        </w:rPr>
        <w:t>;</w:t>
      </w:r>
      <w:r w:rsidR="002E3923" w:rsidRPr="00257617">
        <w:rPr>
          <w:sz w:val="16"/>
          <w:szCs w:val="16"/>
        </w:rPr>
        <w:t xml:space="preserve"> very low-</w:t>
      </w:r>
      <w:r w:rsidR="00836F2D">
        <w:rPr>
          <w:sz w:val="16"/>
          <w:szCs w:val="16"/>
        </w:rPr>
        <w:t>certainty</w:t>
      </w:r>
      <w:r w:rsidR="002E3923">
        <w:t xml:space="preserve">). </w:t>
      </w:r>
    </w:p>
    <w:p w14:paraId="3BC61E40" w14:textId="66B0BAC2" w:rsidR="007C3B8F" w:rsidRDefault="007C3B8F" w:rsidP="00FF3C23">
      <w:r>
        <w:t>A subsequent systematic review</w:t>
      </w:r>
      <w:r w:rsidR="003523C5">
        <w:fldChar w:fldCharType="begin">
          <w:fldData xml:space="preserve">PEVuZE5vdGU+PENpdGU+PEF1dGhvcj5GYXJlYnJvdGhlcjwvQXV0aG9yPjxZZWFyPjIwMTg8L1ll
YXI+PFJlY051bT4xMTk3PC9SZWNOdW0+PERpc3BsYXlUZXh0PjxzdHlsZSBmYWNlPSJzdXBlcnNj
cmlwdCIgZm9udD0iVHJlYnVjaGV0IE1TIiBzaXplPSI5Ij4yMDI8L3N0eWxlPjwvRGlzcGxheVRl
eHQ+PHJlY29yZD48cmVjLW51bWJlcj4xMTk3PC9yZWMtbnVtYmVyPjxmb3JlaWduLWtleXM+PGtl
eSBhcHA9IkVOIiBkYi1pZD0iZXh2YXNyZngyZHRyYW9lc2FzeHAyc3pzeGEyZGY1MDI1OTJ4IiB0
aW1lc3RhbXA9IjE1NTk1NDMyNDkiPjExOTc8L2tleT48a2V5IGFwcD0iRU5XZWIiIGRiLWlkPSIi
PjA8L2tleT48L2ZvcmVpZ24ta2V5cz48cmVmLXR5cGUgbmFtZT0iSm91cm5hbCBBcnRpY2xlIj4x
NzwvcmVmLXR5cGU+PGNvbnRyaWJ1dG9ycz48YXV0aG9ycz48YXV0aG9yPkZhcmVicm90aGVyLCBK
LjwvYXV0aG9yPjxhdXRob3I+TmF1ZGUsIEMuIEUuPC9hdXRob3I+PGF1dGhvcj5OaWNvbCwgTC48
L2F1dGhvcj48YXV0aG9yPlNhbmcsIFouPC9hdXRob3I+PGF1dGhvcj5ZYW5nLCBaLjwvYXV0aG9y
PjxhdXRob3I+Sm9vc3RlLCBQLiBMLjwvYXV0aG9yPjxhdXRob3I+QW5kZXJzc29uLCBNLjwvYXV0
aG9yPjxhdXRob3I+WmltbWVybWFubiwgTS4gQi48L2F1dGhvcj48L2F1dGhvcnM+PC9jb250cmli
dXRvcnM+PGF1dGgtYWRkcmVzcz5IdW1hbiBOdXRyaXRpb24gTGFib3JhdG9yeSwgSW5zdGl0dXRl
IG9mIEZvb2QsIE51dHJpdGlvbiwgYW5kIEhlYWx0aCwgRVRIIFp1cmljaCwgWnVyaWNoLCBTd2l0
emVybGFuZC4mI3hEO0NlbnRyZSBmb3IgRXZpZGVuY2UtQmFzZWQgSGVhbHRoIENhcmUsIEZhY3Vs
dHkgb2YgTWVkaWNpbmUgYW5kIEhlYWx0aCBTY2llbmNlcywgU3RlbGxlbmJvc2NoIFVuaXZlcnNp
dHksIFN0ZWxsZW5ib3NjaCwgU291dGggQWZyaWNhLiYjeEQ7RGVwYXJ0bWVudCBvZiBOdXRyaXRp
b24gYW5kIEZvb2QgSHlnaWVuZSwgU2Nob29sIG9mIFB1YmxpYyBIZWFsdGgsIFRpYW5qaW4gTWVk
aWNhbCBVbml2ZXJzaXR5LCBUaWFuamluLCBDaGluYS4mI3hEO05hdGlvbmFsIEluc3RpdHV0ZSBm
b3IgTnV0cml0aW9uIGFuZCBIZWFsdGgsIENoaW5lc2UgQ2VudHJlIGZvciBEaXNlYXNlIENvbnRy
b2wgYW5kIFByZXZlbnRpb24sIEtleSBMYWJvcmF0b3J5IG9mIFRyYWNlIEVsZW1lbnQgTnV0cml0
aW9uIG9mIHRoZSBNaW5pc3RyeSBvZiBIZWFsdGgsIEJlaWppbmcsIENoaW5hLiYjeEQ7Q2VudHJl
IG9mIEV4Y2VsbGVuY2UgZm9yIE51dHJpdGlvbiwgRmFjdWx0eSBvZiBIZWFsdGggU2NpZW5jZXMs
IE5vcnRoLVdlc3QgVW5pdmVyc2l0eSwgUG90Y2hlZnN0cm9vbSwgU291dGggQWZyaWNhLjwvYXV0
aC1hZGRyZXNzPjx0aXRsZXM+PHRpdGxlPkVmZmVjdHMgb2YgSW9kaXplZCBTYWx0IGFuZCBJb2Rp
bmUgU3VwcGxlbWVudHMgb24gUHJlbmF0YWwgYW5kIFBvc3RuYXRhbCBHcm93dGg6IEEgU3lzdGVt
YXRpYyBSZXZpZXc8L3RpdGxlPjxzZWNvbmRhcnktdGl0bGU+QWR2IE51dHI8L3NlY29uZGFyeS10
aXRsZT48L3RpdGxlcz48cGVyaW9kaWNhbD48ZnVsbC10aXRsZT5BZHYgTnV0cjwvZnVsbC10aXRs
ZT48L3BlcmlvZGljYWw+PHBhZ2VzPjIxOS0yMzc8L3BhZ2VzPjx2b2x1bWU+OTwvdm9sdW1lPjxu
dW1iZXI+MzwvbnVtYmVyPjxlZGl0aW9uPjIwMTgvMDUvMTc8L2VkaXRpb24+PGRhdGVzPjx5ZWFy
PjIwMTg8L3llYXI+PHB1Yi1kYXRlcz48ZGF0ZT5NYXkgMTwvZGF0ZT48L3B1Yi1kYXRlcz48L2Rh
dGVzPjxpc2JuPjIxNTYtNTM3NiAoRWxlY3Ryb25pYykmI3hEOzIxNjEtODMxMyAoTGlua2luZyk8
L2lzYm4+PGFjY2Vzc2lvbi1udW0+Mjk3Njc3MDA8L2FjY2Vzc2lvbi1udW0+PHVybHM+PHJlbGF0
ZWQtdXJscz48dXJsPmh0dHBzOi8vd3d3Lm5jYmkubmxtLm5paC5nb3YvcHVibWVkLzI5NzY3NzAw
PC91cmw+PC9yZWxhdGVkLXVybHM+PC91cmxzPjxjdXN0b20yPlBNQzU5NTI5NDc8L2N1c3RvbTI+
PGVsZWN0cm9uaWMtcmVzb3VyY2UtbnVtPjEwLjEwOTMvYWR2YW5jZXMvbm15MDA5PC9lbGVjdHJv
bmljLXJlc291cmNlLW51bT48L3JlY29yZD48L0NpdGU+PC9FbmROb3RlPgB=
</w:fldData>
        </w:fldChar>
      </w:r>
      <w:r w:rsidR="002747EA">
        <w:instrText xml:space="preserve"> ADDIN EN.CITE </w:instrText>
      </w:r>
      <w:r w:rsidR="002747EA">
        <w:fldChar w:fldCharType="begin">
          <w:fldData xml:space="preserve">PEVuZE5vdGU+PENpdGU+PEF1dGhvcj5GYXJlYnJvdGhlcjwvQXV0aG9yPjxZZWFyPjIwMTg8L1ll
YXI+PFJlY051bT4xMTk3PC9SZWNOdW0+PERpc3BsYXlUZXh0PjxzdHlsZSBmYWNlPSJzdXBlcnNj
cmlwdCIgZm9udD0iVHJlYnVjaGV0IE1TIiBzaXplPSI5Ij4yMDI8L3N0eWxlPjwvRGlzcGxheVRl
eHQ+PHJlY29yZD48cmVjLW51bWJlcj4xMTk3PC9yZWMtbnVtYmVyPjxmb3JlaWduLWtleXM+PGtl
eSBhcHA9IkVOIiBkYi1pZD0iZXh2YXNyZngyZHRyYW9lc2FzeHAyc3pzeGEyZGY1MDI1OTJ4IiB0
aW1lc3RhbXA9IjE1NTk1NDMyNDkiPjExOTc8L2tleT48a2V5IGFwcD0iRU5XZWIiIGRiLWlkPSIi
PjA8L2tleT48L2ZvcmVpZ24ta2V5cz48cmVmLXR5cGUgbmFtZT0iSm91cm5hbCBBcnRpY2xlIj4x
NzwvcmVmLXR5cGU+PGNvbnRyaWJ1dG9ycz48YXV0aG9ycz48YXV0aG9yPkZhcmVicm90aGVyLCBK
LjwvYXV0aG9yPjxhdXRob3I+TmF1ZGUsIEMuIEUuPC9hdXRob3I+PGF1dGhvcj5OaWNvbCwgTC48
L2F1dGhvcj48YXV0aG9yPlNhbmcsIFouPC9hdXRob3I+PGF1dGhvcj5ZYW5nLCBaLjwvYXV0aG9y
PjxhdXRob3I+Sm9vc3RlLCBQLiBMLjwvYXV0aG9yPjxhdXRob3I+QW5kZXJzc29uLCBNLjwvYXV0
aG9yPjxhdXRob3I+WmltbWVybWFubiwgTS4gQi48L2F1dGhvcj48L2F1dGhvcnM+PC9jb250cmli
dXRvcnM+PGF1dGgtYWRkcmVzcz5IdW1hbiBOdXRyaXRpb24gTGFib3JhdG9yeSwgSW5zdGl0dXRl
IG9mIEZvb2QsIE51dHJpdGlvbiwgYW5kIEhlYWx0aCwgRVRIIFp1cmljaCwgWnVyaWNoLCBTd2l0
emVybGFuZC4mI3hEO0NlbnRyZSBmb3IgRXZpZGVuY2UtQmFzZWQgSGVhbHRoIENhcmUsIEZhY3Vs
dHkgb2YgTWVkaWNpbmUgYW5kIEhlYWx0aCBTY2llbmNlcywgU3RlbGxlbmJvc2NoIFVuaXZlcnNp
dHksIFN0ZWxsZW5ib3NjaCwgU291dGggQWZyaWNhLiYjeEQ7RGVwYXJ0bWVudCBvZiBOdXRyaXRp
b24gYW5kIEZvb2QgSHlnaWVuZSwgU2Nob29sIG9mIFB1YmxpYyBIZWFsdGgsIFRpYW5qaW4gTWVk
aWNhbCBVbml2ZXJzaXR5LCBUaWFuamluLCBDaGluYS4mI3hEO05hdGlvbmFsIEluc3RpdHV0ZSBm
b3IgTnV0cml0aW9uIGFuZCBIZWFsdGgsIENoaW5lc2UgQ2VudHJlIGZvciBEaXNlYXNlIENvbnRy
b2wgYW5kIFByZXZlbnRpb24sIEtleSBMYWJvcmF0b3J5IG9mIFRyYWNlIEVsZW1lbnQgTnV0cml0
aW9uIG9mIHRoZSBNaW5pc3RyeSBvZiBIZWFsdGgsIEJlaWppbmcsIENoaW5hLiYjeEQ7Q2VudHJl
IG9mIEV4Y2VsbGVuY2UgZm9yIE51dHJpdGlvbiwgRmFjdWx0eSBvZiBIZWFsdGggU2NpZW5jZXMs
IE5vcnRoLVdlc3QgVW5pdmVyc2l0eSwgUG90Y2hlZnN0cm9vbSwgU291dGggQWZyaWNhLjwvYXV0
aC1hZGRyZXNzPjx0aXRsZXM+PHRpdGxlPkVmZmVjdHMgb2YgSW9kaXplZCBTYWx0IGFuZCBJb2Rp
bmUgU3VwcGxlbWVudHMgb24gUHJlbmF0YWwgYW5kIFBvc3RuYXRhbCBHcm93dGg6IEEgU3lzdGVt
YXRpYyBSZXZpZXc8L3RpdGxlPjxzZWNvbmRhcnktdGl0bGU+QWR2IE51dHI8L3NlY29uZGFyeS10
aXRsZT48L3RpdGxlcz48cGVyaW9kaWNhbD48ZnVsbC10aXRsZT5BZHYgTnV0cjwvZnVsbC10aXRs
ZT48L3BlcmlvZGljYWw+PHBhZ2VzPjIxOS0yMzc8L3BhZ2VzPjx2b2x1bWU+OTwvdm9sdW1lPjxu
dW1iZXI+MzwvbnVtYmVyPjxlZGl0aW9uPjIwMTgvMDUvMTc8L2VkaXRpb24+PGRhdGVzPjx5ZWFy
PjIwMTg8L3llYXI+PHB1Yi1kYXRlcz48ZGF0ZT5NYXkgMTwvZGF0ZT48L3B1Yi1kYXRlcz48L2Rh
dGVzPjxpc2JuPjIxNTYtNTM3NiAoRWxlY3Ryb25pYykmI3hEOzIxNjEtODMxMyAoTGlua2luZyk8
L2lzYm4+PGFjY2Vzc2lvbi1udW0+Mjk3Njc3MDA8L2FjY2Vzc2lvbi1udW0+PHVybHM+PHJlbGF0
ZWQtdXJscz48dXJsPmh0dHBzOi8vd3d3Lm5jYmkubmxtLm5paC5nb3YvcHVibWVkLzI5NzY3NzAw
PC91cmw+PC9yZWxhdGVkLXVybHM+PC91cmxzPjxjdXN0b20yPlBNQzU5NTI5NDc8L2N1c3RvbTI+
PGVsZWN0cm9uaWMtcmVzb3VyY2UtbnVtPjEwLjEwOTMvYWR2YW5jZXMvbm15MDA5PC9lbGVjdHJv
bmljLXJlc291cmNlLW51bT48L3JlY29yZD48L0NpdGU+PC9FbmROb3RlPgB=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202</w:t>
      </w:r>
      <w:r w:rsidR="003523C5">
        <w:fldChar w:fldCharType="end"/>
      </w:r>
      <w:r>
        <w:t xml:space="preserve"> reported on birthweight and found no clear difference between intervention and control groups (</w:t>
      </w:r>
      <w:r w:rsidRPr="00C17D56">
        <w:rPr>
          <w:sz w:val="16"/>
          <w:szCs w:val="16"/>
        </w:rPr>
        <w:t>MD –13.75; 95%CI–212.46 to 184.97; four RCTs; n=1,743</w:t>
      </w:r>
      <w:r>
        <w:t>).</w:t>
      </w:r>
    </w:p>
    <w:p w14:paraId="1263CD44" w14:textId="2F5FE2A4" w:rsidR="00B86F78" w:rsidRDefault="007C3B8F" w:rsidP="00632EF4">
      <w:r>
        <w:t>The RCT</w:t>
      </w:r>
      <w:r w:rsidR="00B86F78">
        <w:t>s</w:t>
      </w:r>
      <w:r>
        <w:t xml:space="preserve"> reported </w:t>
      </w:r>
      <w:r w:rsidR="00632EF4">
        <w:t>that</w:t>
      </w:r>
      <w:r w:rsidR="00B86F78">
        <w:t xml:space="preserve"> iodine supplementation:</w:t>
      </w:r>
    </w:p>
    <w:p w14:paraId="3EE1BA37" w14:textId="1A70888D" w:rsidR="00696E8F" w:rsidRDefault="00696E8F" w:rsidP="005719CE">
      <w:pPr>
        <w:pStyle w:val="bullet"/>
      </w:pPr>
      <w:r>
        <w:t>increased maternal urinary iodine levels in areas with iodine deficiency (</w:t>
      </w:r>
      <w:r w:rsidRPr="005719CE">
        <w:rPr>
          <w:sz w:val="16"/>
          <w:szCs w:val="16"/>
        </w:rPr>
        <w:t>p&lt;0.05</w:t>
      </w:r>
      <w:r>
        <w:t>)</w:t>
      </w:r>
      <w:r w:rsidR="00D07346">
        <w:fldChar w:fldCharType="begin"/>
      </w:r>
      <w:r w:rsidR="002747EA">
        <w:instrText xml:space="preserve"> ADDIN EN.CITE &lt;EndNote&gt;&lt;Cite&gt;&lt;Author&gt;Chawanpaiboon&lt;/Author&gt;&lt;Year&gt;2019&lt;/Year&gt;&lt;RecNum&gt;1849&lt;/RecNum&gt;&lt;DisplayText&gt;&lt;style face="superscript" font="Trebuchet MS" size="9"&gt;205&lt;/style&gt;&lt;/DisplayText&gt;&lt;record&gt;&lt;rec-number&gt;1849&lt;/rec-number&gt;&lt;foreign-keys&gt;&lt;key app="EN" db-id="exvasrfx2dtraoesasxp2szsxa2df502592x" timestamp="1587613770"&gt;1849&lt;/key&gt;&lt;key app="ENWeb" db-id=""&gt;0&lt;/key&gt;&lt;/foreign-keys&gt;&lt;ref-type name="Journal Article"&gt;17&lt;/ref-type&gt;&lt;contributors&gt;&lt;authors&gt;&lt;author&gt;Chawanpaiboon, S.,&lt;/author&gt;&lt;/authors&gt;&lt;/contributors&gt;&lt;titles&gt;&lt;title&gt;A randomized controlled trial of the correlation between iodine supplementation in pregnancy and maternal urine iodine and neonatal thyroid stimulating hormone levels&lt;/title&gt;&lt;secondary-title&gt;Siriraj Medical Journal&lt;/secondary-title&gt;&lt;/titles&gt;&lt;periodical&gt;&lt;full-title&gt;Siriraj Medical Journal&lt;/full-title&gt;&lt;/periodical&gt;&lt;volume&gt;71&lt;/volume&gt;&lt;number&gt;1&lt;/number&gt;&lt;dates&gt;&lt;year&gt;2019&lt;/year&gt;&lt;/dates&gt;&lt;isbn&gt;2629995X&amp;#xD;22288082&lt;/isbn&gt;&lt;urls&gt;&lt;/urls&gt;&lt;electronic-resource-num&gt;10.33192/Smj.2019.10&lt;/electronic-resource-num&gt;&lt;/record&gt;&lt;/Cite&gt;&lt;/EndNote&gt;</w:instrText>
      </w:r>
      <w:r w:rsidR="00D07346">
        <w:fldChar w:fldCharType="separate"/>
      </w:r>
      <w:r w:rsidR="002747EA" w:rsidRPr="002747EA">
        <w:rPr>
          <w:noProof/>
          <w:vertAlign w:val="superscript"/>
        </w:rPr>
        <w:t>205</w:t>
      </w:r>
      <w:r w:rsidR="00D07346">
        <w:fldChar w:fldCharType="end"/>
      </w:r>
      <w:r>
        <w:t xml:space="preserve"> and mild-moderate deficiency (</w:t>
      </w:r>
      <w:r w:rsidRPr="005719CE">
        <w:rPr>
          <w:sz w:val="16"/>
          <w:szCs w:val="16"/>
        </w:rPr>
        <w:t>p&lt;0.0001</w:t>
      </w:r>
      <w:r>
        <w:t>)</w:t>
      </w:r>
      <w:r w:rsidR="00D07346">
        <w:fldChar w:fldCharType="begin">
          <w:fldData xml:space="preserve">PEVuZE5vdGU+PENpdGU+PEF1dGhvcj5DZW5zaTwvQXV0aG9yPjxZZWFyPjIwMTk8L1llYXI+PFJl
Y051bT4xODQ4PC9SZWNOdW0+PERpc3BsYXlUZXh0PjxzdHlsZSBmYWNlPSJzdXBlcnNjcmlwdCIg
Zm9udD0iVHJlYnVjaGV0IE1TIiBzaXplPSI5Ij4yMDQ8L3N0eWxlPjwvRGlzcGxheVRleHQ+PHJl
Y29yZD48cmVjLW51bWJlcj4xODQ4PC9yZWMtbnVtYmVyPjxmb3JlaWduLWtleXM+PGtleSBhcHA9
IkVOIiBkYi1pZD0iZXh2YXNyZngyZHRyYW9lc2FzeHAyc3pzeGEyZGY1MDI1OTJ4IiB0aW1lc3Rh
bXA9IjE1ODc2MTM3NjYiPjE4NDg8L2tleT48a2V5IGFwcD0iRU5XZWIiIGRiLWlkPSIiPjA8L2tl
eT48L2ZvcmVpZ24ta2V5cz48cmVmLXR5cGUgbmFtZT0iSm91cm5hbCBBcnRpY2xlIj4xNzwvcmVm
LXR5cGU+PGNvbnRyaWJ1dG9ycz48YXV0aG9ycz48YXV0aG9yPkNlbnNpLCBTLjwvYXV0aG9yPjxh
dXRob3I+V2F0dXRhbnRyaWdlLUZlcm5hbmRvLCBTLjwvYXV0aG9yPjxhdXRob3I+R3JvY2NpYSwg
Ry48L2F1dGhvcj48YXV0aG9yPk1hbnNvLCBKLjwvYXV0aG9yPjxhdXRob3I+UGxlYmFuaSwgTS48
L2F1dGhvcj48YXV0aG9yPkZhZ2dpYW4sIEQuPC9hdXRob3I+PGF1dGhvcj5NaW9uLCBNLiBNLjwv
YXV0aG9yPjxhdXRob3I+VmVudHVyaW5pLCBSLjwvYXV0aG9yPjxhdXRob3I+QW5kcmlzYW5pLCBB
LjwvYXV0aG9yPjxhdXRob3I+Q2FzYXJvLCBBLjwvYXV0aG9yPjxhdXRob3I+Vml0YSwgUC48L2F1
dGhvcj48YXV0aG9yPkF2b2dhZHJvLCBBLjwvYXV0aG9yPjxhdXRob3I+Q2FtaWxvdCwgTS48L2F1
dGhvcj48YXV0aG9yPlNjYXJvbmksIEMuPC9hdXRob3I+PGF1dGhvcj5CZXJ0YXp6YSwgTC48L2F1
dGhvcj48YXV0aG9yPkJhcm9sbG8sIFMuPC9hdXRob3I+PGF1dGhvcj5NaWFuLCBDLjwvYXV0aG9y
PjwvYXV0aG9ycz48L2NvbnRyaWJ1dG9ycz48YXV0aC1hZGRyZXNzPkRlcGFydG1lbnQgb2YgTWVk
aWNpbmUgKERJTUVEKSwgRW5kb2NyaW5vbG9neSBVbml0OyBVbml2ZXJzaXR5IG9mIFBhZG92YSwg
MzUxMjEgUGFkb3ZhLCBJdGFseS4gc2ltb25hLmNlbnNpQHBoZC51bmlwZC5pdC4mI3hEO0RlcGFy
dG1lbnQgb2YgTWVkaWNpbmUgKERJTUVEKSwgRW5kb2NyaW5vbG9neSBVbml0OyBVbml2ZXJzaXR5
IG9mIFBhZG92YSwgMzUxMjEgUGFkb3ZhLCBJdGFseS4gc2FyYS53YXR1dGFudHJpZ2VAZ21haWwu
Y29tLiYjeEQ7RGVwYXJ0bWVudCBvZiBNZWRpY2luZSAoRElNRUQpLCBFbmRvY3Jpbm9sb2d5IFVu
aXQ7IFVuaXZlcnNpdHkgb2YgUGFkb3ZhLCAzNTEyMSBQYWRvdmEsIEl0YWx5LiBnaXVsaWEuZ3Jv
Y2NpYUBnbWFpbC5jb20uJiN4RDtEZXBhcnRtZW50IG9mIE1lZGljaW5lIChESU1FRCksIEVuZG9j
cmlub2xvZ3kgVW5pdDsgVW5pdmVyc2l0eSBvZiBQYWRvdmEsIDM1MTIxIFBhZG92YSwgSXRhbHku
IGphY29wby5tYW5zb0BnbWFpbC5jb20uJiN4RDtMYWJvcmF0b3J5IE1lZGljaW5lLCBEZXBhcnRt
ZW50IG9mIE1lZGljYWwgYW5kIFN1cmdpY2FsIFNjaWVuY2VzLCBVbml2ZXJzaXR5IG9mIFBhZHVh
LCAzNTEyMSBQYWR1YSwgSXRhbHkuIG1hcmlvLnBsZWJhbmlAdW5pcGQuaXQuJiN4RDtMYWJvcmF0
b3J5IE1lZGljaW5lLCBEZXBhcnRtZW50IG9mIE1lZGljYWwgYW5kIFN1cmdpY2FsIFNjaWVuY2Vz
LCBVbml2ZXJzaXR5IG9mIFBhZHVhLCAzNTEyMSBQYWR1YSwgSXRhbHkuIGRpZWdvLmZhZ2dpYW5A
YW9wZC52ZW5ldG8uaXQuJiN4RDtMYWJvcmF0b3J5IE1lZGljaW5lLCBEZXBhcnRtZW50IG9mIE1l
ZGljYWwgYW5kIFN1cmdpY2FsIFNjaWVuY2VzLCBVbml2ZXJzaXR5IG9mIFBhZHVhLCAzNTEyMSBQ
YWR1YSwgSXRhbHkuIG1vbmljYS5taW9uQGFvcGQudmVuZXRvLml0LiYjeEQ7TGFib3JhdG9yeSBN
ZWRpY2luZSwgRGVwYXJ0bWVudCBvZiBNZWRpY2FsIGFuZCBTdXJnaWNhbCBTY2llbmNlcywgVW5p
dmVyc2l0eSBvZiBQYWR1YSwgMzUxMjEgUGFkdWEsIEl0YWx5LiByb2JlcnRhLnZlbnR1cmluaUBh
b3BkLnZlbmV0by5pdC4mI3hEO0RlcGFydG1lbnQgb2YgV29tZW4mYXBvcztzIGFuZCBDaGlsZHJl
biZhcG9zO3MgSGVhbHRoLCBVbml2ZXJzaXR5IG9mIFBhZHVhLCBTYWx1cyBQdWVyaSwgMzUxMjgg
UGFkdWEsIEl0YWx5LiBhbGVzc2FuZHJhLmFuZHJpc2FuaUB1bmlwZC5pdC4mI3hEO0RlcGFydG1l
bnQgb2YgTWVkaWNpbmUgKERJTUVEKSwgRW5kb2NyaW5vbG9neSBVbml0OyBVbml2ZXJzaXR5IG9m
IFBhZG92YSwgMzUxMjEgUGFkb3ZhLCBJdGFseS4gYW5uYS5jYXNhcm9AYXVsc3M2LnZlbmV0by5p
dC4mI3hEO0RlcGFydG1lbnQgb2YgTWVkaWNpbmUgKERJTUVEKSwgRW5kb2NyaW5vbG9neSBVbml0
OyBVbml2ZXJzaXR5IG9mIFBhZG92YSwgMzUxMjEgUGFkb3ZhLCBJdGFseS4gcGlldHJvLnZpZGFA
YXVsc3M2LnZlbmV0by5pdC4mI3hEO0RlcGFydG1lbnQgb2YgTWVkaWNpbmUgKERJTUVEKSwgRW5k
b2NyaW5vbG9neSBVbml0OyBVbml2ZXJzaXR5IG9mIFBhZG92YSwgMzUxMjEgUGFkb3ZhLCBJdGFs
eS4gYWxlc3NhbmRyYS5hdm9nYWRyb0BhdWxzczYudmVuZXRvLml0LiYjeEQ7RGVwYXJ0bWVudCBv
ZiBQZWRpYXRyaWNzLCBSZWdpb25hbCBDZW50cmUgZm9yIE5ld2Jvcm4gU2NyZWVuaW5nLCBEaWFn
bm9zaXMgYW5kIFRyZWF0bWVudCBvZiBJbmhlcml0ZWQgTWV0YWJvbGljIERpc2Vhc2VzIGFuZCBD
b25nZW5pdGFsIEVuZG9jcmluZSBEaXNlYXNlcywgQXppZW5kYSBPc3BlZGFsaWVyYSBVbml2ZXJz
aXRhcmlhIEludGVncmF0YSwgMzcxMzQgVmVyb25hLCBJdGFseS4gbWFydGEuY2FtaWxvdEBhb3Zy
LnZlbmV0by5pdC4mI3hEO0RlcGFydG1lbnQgb2YgTWVkaWNpbmUgKERJTUVEKSwgRW5kb2NyaW5v
bG9neSBVbml0OyBVbml2ZXJzaXR5IG9mIFBhZG92YSwgMzUxMjEgUGFkb3ZhLCBJdGFseS4gY2Fy
bGEuc2Nhcm9uaUB1bmlwZC5pdC4mI3hEO0RlcGFydG1lbnQgb2YgTWVkaWNpbmUgKERJTUVEKSwg
RW5kb2NyaW5vbG9neSBVbml0OyBVbml2ZXJzaXR5IG9mIFBhZG92YSwgMzUxMjEgUGFkb3ZhLCBJ
dGFseS4gbG9yaXMuYmVydGF6emFAdW5pcGQuaXQuJiN4RDtEZXBhcnRtZW50IG9mIE1lZGljaW5l
IChESU1FRCksIEVuZG9jcmlub2xvZ3kgVW5pdDsgVW5pdmVyc2l0eSBvZiBQYWRvdmEsIDM1MTIx
IFBhZG92YSwgSXRhbHkuIHN1c2liYXJvbGxvQHlhaG9vLml0LiYjeEQ7RGVwYXJ0bWVudCBvZiBN
ZWRpY2luZSAoRElNRUQpLCBFbmRvY3Jpbm9sb2d5IFVuaXQ7IFVuaXZlcnNpdHkgb2YgUGFkb3Zh
LCAzNTEyMSBQYWRvdmEsIEl0YWx5LiBjYXRlcmluYS5taWFuQHVuaXBkLml0LjwvYXV0aC1hZGRy
ZXNzPjx0aXRsZXM+PHRpdGxlPlRoZSBlZmZlY3RzIG9mIGlvZGluZSBzdXBwbGVtZW50YXRpb24g
aW4gcHJlZ25hbmN5IG9uIGlvZGluZSBzdGF0dXMsIHRoeXJvZ2xvYnVsaW4gbGV2ZWxzIGFuZCB0
aHlyb2lkIGZ1bmN0aW9uIHBhcmFtZXRlcnM6IHJlc3VsdHMgZnJvbSBhIHJhbmRvbWl6ZWQgY29u
dHJvbGxlZCBjbGluaWNhbCB0cmlhbCBpbiBhIG1pbGQtdG8tbW9kZXJhdGUgaW9kaW5lIGRlZmlj
aWVuY3kgYXJlYTwvdGl0bGU+PHNlY29uZGFyeS10aXRsZT5OdXRyaWVudHM8L3NlY29uZGFyeS10
aXRsZT48L3RpdGxlcz48cGVyaW9kaWNhbD48ZnVsbC10aXRsZT5OdXRyaWVudHM8L2Z1bGwtdGl0
bGU+PC9wZXJpb2RpY2FsPjx2b2x1bWU+MTE8L3ZvbHVtZT48bnVtYmVyPjExPC9udW1iZXI+PGVk
aXRpb24+MjAxOS8xMS8wNzwvZWRpdGlvbj48a2V5d29yZHM+PGtleXdvcmQ+aW9kaW5lPC9rZXl3
b3JkPjxrZXl3b3JkPm1pbGQtdG8tbW9kZXJhdGUgaW9kaW5lIGRlZmljaWVuY3k8L2tleXdvcmQ+
PGtleXdvcmQ+cHJlZ25hbmN5PC9rZXl3b3JkPjxrZXl3b3JkPnJhbmRvbWl6ZWQgYW5kIHBsYWNl
Ym8tY29udHJvbGxlZCB0cmlhbDwva2V5d29yZD48L2tleXdvcmRzPjxkYXRlcz48eWVhcj4yMDE5
PC95ZWFyPjxwdWItZGF0ZXM+PGRhdGU+Tm92IDQ8L2RhdGU+PC9wdWItZGF0ZXM+PC9kYXRlcz48
aXNibj4yMDcyLTY2NDMgKEVsZWN0cm9uaWMpJiN4RDsyMDcyLTY2NDMgKExpbmtpbmcpPC9pc2Ju
PjxhY2Nlc3Npb24tbnVtPjMxNjg5ODkwPC9hY2Nlc3Npb24tbnVtPjx1cmxzPjxyZWxhdGVkLXVy
bHM+PHVybD5odHRwczovL3d3dy5uY2JpLm5sbS5uaWguZ292L3B1Ym1lZC8zMTY4OTg5MDwvdXJs
PjwvcmVsYXRlZC11cmxzPjwvdXJscz48Y3VzdG9tMj5QTUM2ODkzNDMyPC9jdXN0b20yPjxlbGVj
dHJvbmljLXJlc291cmNlLW51bT4xMC4zMzkwL251MTExMTI2Mzk8L2VsZWN0cm9uaWMtcmVzb3Vy
Y2UtbnVtPjwvcmVjb3JkPjwvQ2l0ZT48L0VuZE5vdGU+
</w:fldData>
        </w:fldChar>
      </w:r>
      <w:r w:rsidR="002747EA">
        <w:instrText xml:space="preserve"> ADDIN EN.CITE </w:instrText>
      </w:r>
      <w:r w:rsidR="002747EA">
        <w:fldChar w:fldCharType="begin">
          <w:fldData xml:space="preserve">PEVuZE5vdGU+PENpdGU+PEF1dGhvcj5DZW5zaTwvQXV0aG9yPjxZZWFyPjIwMTk8L1llYXI+PFJl
Y051bT4xODQ4PC9SZWNOdW0+PERpc3BsYXlUZXh0PjxzdHlsZSBmYWNlPSJzdXBlcnNjcmlwdCIg
Zm9udD0iVHJlYnVjaGV0IE1TIiBzaXplPSI5Ij4yMDQ8L3N0eWxlPjwvRGlzcGxheVRleHQ+PHJl
Y29yZD48cmVjLW51bWJlcj4xODQ4PC9yZWMtbnVtYmVyPjxmb3JlaWduLWtleXM+PGtleSBhcHA9
IkVOIiBkYi1pZD0iZXh2YXNyZngyZHRyYW9lc2FzeHAyc3pzeGEyZGY1MDI1OTJ4IiB0aW1lc3Rh
bXA9IjE1ODc2MTM3NjYiPjE4NDg8L2tleT48a2V5IGFwcD0iRU5XZWIiIGRiLWlkPSIiPjA8L2tl
eT48L2ZvcmVpZ24ta2V5cz48cmVmLXR5cGUgbmFtZT0iSm91cm5hbCBBcnRpY2xlIj4xNzwvcmVm
LXR5cGU+PGNvbnRyaWJ1dG9ycz48YXV0aG9ycz48YXV0aG9yPkNlbnNpLCBTLjwvYXV0aG9yPjxh
dXRob3I+V2F0dXRhbnRyaWdlLUZlcm5hbmRvLCBTLjwvYXV0aG9yPjxhdXRob3I+R3JvY2NpYSwg
Ry48L2F1dGhvcj48YXV0aG9yPk1hbnNvLCBKLjwvYXV0aG9yPjxhdXRob3I+UGxlYmFuaSwgTS48
L2F1dGhvcj48YXV0aG9yPkZhZ2dpYW4sIEQuPC9hdXRob3I+PGF1dGhvcj5NaW9uLCBNLiBNLjwv
YXV0aG9yPjxhdXRob3I+VmVudHVyaW5pLCBSLjwvYXV0aG9yPjxhdXRob3I+QW5kcmlzYW5pLCBB
LjwvYXV0aG9yPjxhdXRob3I+Q2FzYXJvLCBBLjwvYXV0aG9yPjxhdXRob3I+Vml0YSwgUC48L2F1
dGhvcj48YXV0aG9yPkF2b2dhZHJvLCBBLjwvYXV0aG9yPjxhdXRob3I+Q2FtaWxvdCwgTS48L2F1
dGhvcj48YXV0aG9yPlNjYXJvbmksIEMuPC9hdXRob3I+PGF1dGhvcj5CZXJ0YXp6YSwgTC48L2F1
dGhvcj48YXV0aG9yPkJhcm9sbG8sIFMuPC9hdXRob3I+PGF1dGhvcj5NaWFuLCBDLjwvYXV0aG9y
PjwvYXV0aG9ycz48L2NvbnRyaWJ1dG9ycz48YXV0aC1hZGRyZXNzPkRlcGFydG1lbnQgb2YgTWVk
aWNpbmUgKERJTUVEKSwgRW5kb2NyaW5vbG9neSBVbml0OyBVbml2ZXJzaXR5IG9mIFBhZG92YSwg
MzUxMjEgUGFkb3ZhLCBJdGFseS4gc2ltb25hLmNlbnNpQHBoZC51bmlwZC5pdC4mI3hEO0RlcGFy
dG1lbnQgb2YgTWVkaWNpbmUgKERJTUVEKSwgRW5kb2NyaW5vbG9neSBVbml0OyBVbml2ZXJzaXR5
IG9mIFBhZG92YSwgMzUxMjEgUGFkb3ZhLCBJdGFseS4gc2FyYS53YXR1dGFudHJpZ2VAZ21haWwu
Y29tLiYjeEQ7RGVwYXJ0bWVudCBvZiBNZWRpY2luZSAoRElNRUQpLCBFbmRvY3Jpbm9sb2d5IFVu
aXQ7IFVuaXZlcnNpdHkgb2YgUGFkb3ZhLCAzNTEyMSBQYWRvdmEsIEl0YWx5LiBnaXVsaWEuZ3Jv
Y2NpYUBnbWFpbC5jb20uJiN4RDtEZXBhcnRtZW50IG9mIE1lZGljaW5lIChESU1FRCksIEVuZG9j
cmlub2xvZ3kgVW5pdDsgVW5pdmVyc2l0eSBvZiBQYWRvdmEsIDM1MTIxIFBhZG92YSwgSXRhbHku
IGphY29wby5tYW5zb0BnbWFpbC5jb20uJiN4RDtMYWJvcmF0b3J5IE1lZGljaW5lLCBEZXBhcnRt
ZW50IG9mIE1lZGljYWwgYW5kIFN1cmdpY2FsIFNjaWVuY2VzLCBVbml2ZXJzaXR5IG9mIFBhZHVh
LCAzNTEyMSBQYWR1YSwgSXRhbHkuIG1hcmlvLnBsZWJhbmlAdW5pcGQuaXQuJiN4RDtMYWJvcmF0
b3J5IE1lZGljaW5lLCBEZXBhcnRtZW50IG9mIE1lZGljYWwgYW5kIFN1cmdpY2FsIFNjaWVuY2Vz
LCBVbml2ZXJzaXR5IG9mIFBhZHVhLCAzNTEyMSBQYWR1YSwgSXRhbHkuIGRpZWdvLmZhZ2dpYW5A
YW9wZC52ZW5ldG8uaXQuJiN4RDtMYWJvcmF0b3J5IE1lZGljaW5lLCBEZXBhcnRtZW50IG9mIE1l
ZGljYWwgYW5kIFN1cmdpY2FsIFNjaWVuY2VzLCBVbml2ZXJzaXR5IG9mIFBhZHVhLCAzNTEyMSBQ
YWR1YSwgSXRhbHkuIG1vbmljYS5taW9uQGFvcGQudmVuZXRvLml0LiYjeEQ7TGFib3JhdG9yeSBN
ZWRpY2luZSwgRGVwYXJ0bWVudCBvZiBNZWRpY2FsIGFuZCBTdXJnaWNhbCBTY2llbmNlcywgVW5p
dmVyc2l0eSBvZiBQYWR1YSwgMzUxMjEgUGFkdWEsIEl0YWx5LiByb2JlcnRhLnZlbnR1cmluaUBh
b3BkLnZlbmV0by5pdC4mI3hEO0RlcGFydG1lbnQgb2YgV29tZW4mYXBvcztzIGFuZCBDaGlsZHJl
biZhcG9zO3MgSGVhbHRoLCBVbml2ZXJzaXR5IG9mIFBhZHVhLCBTYWx1cyBQdWVyaSwgMzUxMjgg
UGFkdWEsIEl0YWx5LiBhbGVzc2FuZHJhLmFuZHJpc2FuaUB1bmlwZC5pdC4mI3hEO0RlcGFydG1l
bnQgb2YgTWVkaWNpbmUgKERJTUVEKSwgRW5kb2NyaW5vbG9neSBVbml0OyBVbml2ZXJzaXR5IG9m
IFBhZG92YSwgMzUxMjEgUGFkb3ZhLCBJdGFseS4gYW5uYS5jYXNhcm9AYXVsc3M2LnZlbmV0by5p
dC4mI3hEO0RlcGFydG1lbnQgb2YgTWVkaWNpbmUgKERJTUVEKSwgRW5kb2NyaW5vbG9neSBVbml0
OyBVbml2ZXJzaXR5IG9mIFBhZG92YSwgMzUxMjEgUGFkb3ZhLCBJdGFseS4gcGlldHJvLnZpZGFA
YXVsc3M2LnZlbmV0by5pdC4mI3hEO0RlcGFydG1lbnQgb2YgTWVkaWNpbmUgKERJTUVEKSwgRW5k
b2NyaW5vbG9neSBVbml0OyBVbml2ZXJzaXR5IG9mIFBhZG92YSwgMzUxMjEgUGFkb3ZhLCBJdGFs
eS4gYWxlc3NhbmRyYS5hdm9nYWRyb0BhdWxzczYudmVuZXRvLml0LiYjeEQ7RGVwYXJ0bWVudCBv
ZiBQZWRpYXRyaWNzLCBSZWdpb25hbCBDZW50cmUgZm9yIE5ld2Jvcm4gU2NyZWVuaW5nLCBEaWFn
bm9zaXMgYW5kIFRyZWF0bWVudCBvZiBJbmhlcml0ZWQgTWV0YWJvbGljIERpc2Vhc2VzIGFuZCBD
b25nZW5pdGFsIEVuZG9jcmluZSBEaXNlYXNlcywgQXppZW5kYSBPc3BlZGFsaWVyYSBVbml2ZXJz
aXRhcmlhIEludGVncmF0YSwgMzcxMzQgVmVyb25hLCBJdGFseS4gbWFydGEuY2FtaWxvdEBhb3Zy
LnZlbmV0by5pdC4mI3hEO0RlcGFydG1lbnQgb2YgTWVkaWNpbmUgKERJTUVEKSwgRW5kb2NyaW5v
bG9neSBVbml0OyBVbml2ZXJzaXR5IG9mIFBhZG92YSwgMzUxMjEgUGFkb3ZhLCBJdGFseS4gY2Fy
bGEuc2Nhcm9uaUB1bmlwZC5pdC4mI3hEO0RlcGFydG1lbnQgb2YgTWVkaWNpbmUgKERJTUVEKSwg
RW5kb2NyaW5vbG9neSBVbml0OyBVbml2ZXJzaXR5IG9mIFBhZG92YSwgMzUxMjEgUGFkb3ZhLCBJ
dGFseS4gbG9yaXMuYmVydGF6emFAdW5pcGQuaXQuJiN4RDtEZXBhcnRtZW50IG9mIE1lZGljaW5l
IChESU1FRCksIEVuZG9jcmlub2xvZ3kgVW5pdDsgVW5pdmVyc2l0eSBvZiBQYWRvdmEsIDM1MTIx
IFBhZG92YSwgSXRhbHkuIHN1c2liYXJvbGxvQHlhaG9vLml0LiYjeEQ7RGVwYXJ0bWVudCBvZiBN
ZWRpY2luZSAoRElNRUQpLCBFbmRvY3Jpbm9sb2d5IFVuaXQ7IFVuaXZlcnNpdHkgb2YgUGFkb3Zh
LCAzNTEyMSBQYWRvdmEsIEl0YWx5LiBjYXRlcmluYS5taWFuQHVuaXBkLml0LjwvYXV0aC1hZGRy
ZXNzPjx0aXRsZXM+PHRpdGxlPlRoZSBlZmZlY3RzIG9mIGlvZGluZSBzdXBwbGVtZW50YXRpb24g
aW4gcHJlZ25hbmN5IG9uIGlvZGluZSBzdGF0dXMsIHRoeXJvZ2xvYnVsaW4gbGV2ZWxzIGFuZCB0
aHlyb2lkIGZ1bmN0aW9uIHBhcmFtZXRlcnM6IHJlc3VsdHMgZnJvbSBhIHJhbmRvbWl6ZWQgY29u
dHJvbGxlZCBjbGluaWNhbCB0cmlhbCBpbiBhIG1pbGQtdG8tbW9kZXJhdGUgaW9kaW5lIGRlZmlj
aWVuY3kgYXJlYTwvdGl0bGU+PHNlY29uZGFyeS10aXRsZT5OdXRyaWVudHM8L3NlY29uZGFyeS10
aXRsZT48L3RpdGxlcz48cGVyaW9kaWNhbD48ZnVsbC10aXRsZT5OdXRyaWVudHM8L2Z1bGwtdGl0
bGU+PC9wZXJpb2RpY2FsPjx2b2x1bWU+MTE8L3ZvbHVtZT48bnVtYmVyPjExPC9udW1iZXI+PGVk
aXRpb24+MjAxOS8xMS8wNzwvZWRpdGlvbj48a2V5d29yZHM+PGtleXdvcmQ+aW9kaW5lPC9rZXl3
b3JkPjxrZXl3b3JkPm1pbGQtdG8tbW9kZXJhdGUgaW9kaW5lIGRlZmljaWVuY3k8L2tleXdvcmQ+
PGtleXdvcmQ+cHJlZ25hbmN5PC9rZXl3b3JkPjxrZXl3b3JkPnJhbmRvbWl6ZWQgYW5kIHBsYWNl
Ym8tY29udHJvbGxlZCB0cmlhbDwva2V5d29yZD48L2tleXdvcmRzPjxkYXRlcz48eWVhcj4yMDE5
PC95ZWFyPjxwdWItZGF0ZXM+PGRhdGU+Tm92IDQ8L2RhdGU+PC9wdWItZGF0ZXM+PC9kYXRlcz48
aXNibj4yMDcyLTY2NDMgKEVsZWN0cm9uaWMpJiN4RDsyMDcyLTY2NDMgKExpbmtpbmcpPC9pc2Ju
PjxhY2Nlc3Npb24tbnVtPjMxNjg5ODkwPC9hY2Nlc3Npb24tbnVtPjx1cmxzPjxyZWxhdGVkLXVy
bHM+PHVybD5odHRwczovL3d3dy5uY2JpLm5sbS5uaWguZ292L3B1Ym1lZC8zMTY4OTg5MDwvdXJs
PjwvcmVsYXRlZC11cmxzPjwvdXJscz48Y3VzdG9tMj5QTUM2ODkzNDMyPC9jdXN0b20yPjxlbGVj
dHJvbmljLXJlc291cmNlLW51bT4xMC4zMzkwL251MTExMTI2Mzk8L2VsZWN0cm9uaWMtcmVzb3Vy
Y2UtbnVtPjwvcmVjb3JkPjwvQ2l0ZT48L0VuZE5vdGU+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204</w:t>
      </w:r>
      <w:r w:rsidR="00D07346">
        <w:fldChar w:fldCharType="end"/>
      </w:r>
    </w:p>
    <w:p w14:paraId="1C69C1FD" w14:textId="5287D02B" w:rsidR="00575DD0" w:rsidRDefault="00025046" w:rsidP="005719CE">
      <w:pPr>
        <w:pStyle w:val="bullet"/>
      </w:pPr>
      <w:r>
        <w:t>decreased maternal thyroglobulin levels (</w:t>
      </w:r>
      <w:r w:rsidRPr="005719CE">
        <w:rPr>
          <w:sz w:val="16"/>
          <w:szCs w:val="16"/>
        </w:rPr>
        <w:t>p=0.02</w:t>
      </w:r>
      <w:r>
        <w:t>)</w:t>
      </w:r>
      <w:r w:rsidR="00D07346">
        <w:fldChar w:fldCharType="begin">
          <w:fldData xml:space="preserve">PEVuZE5vdGU+PENpdGU+PEF1dGhvcj5DZW5zaTwvQXV0aG9yPjxZZWFyPjIwMTk8L1llYXI+PFJl
Y051bT4xODQ4PC9SZWNOdW0+PERpc3BsYXlUZXh0PjxzdHlsZSBmYWNlPSJzdXBlcnNjcmlwdCIg
Zm9udD0iVHJlYnVjaGV0IE1TIiBzaXplPSI5Ij4yMDQ8L3N0eWxlPjwvRGlzcGxheVRleHQ+PHJl
Y29yZD48cmVjLW51bWJlcj4xODQ4PC9yZWMtbnVtYmVyPjxmb3JlaWduLWtleXM+PGtleSBhcHA9
IkVOIiBkYi1pZD0iZXh2YXNyZngyZHRyYW9lc2FzeHAyc3pzeGEyZGY1MDI1OTJ4IiB0aW1lc3Rh
bXA9IjE1ODc2MTM3NjYiPjE4NDg8L2tleT48a2V5IGFwcD0iRU5XZWIiIGRiLWlkPSIiPjA8L2tl
eT48L2ZvcmVpZ24ta2V5cz48cmVmLXR5cGUgbmFtZT0iSm91cm5hbCBBcnRpY2xlIj4xNzwvcmVm
LXR5cGU+PGNvbnRyaWJ1dG9ycz48YXV0aG9ycz48YXV0aG9yPkNlbnNpLCBTLjwvYXV0aG9yPjxh
dXRob3I+V2F0dXRhbnRyaWdlLUZlcm5hbmRvLCBTLjwvYXV0aG9yPjxhdXRob3I+R3JvY2NpYSwg
Ry48L2F1dGhvcj48YXV0aG9yPk1hbnNvLCBKLjwvYXV0aG9yPjxhdXRob3I+UGxlYmFuaSwgTS48
L2F1dGhvcj48YXV0aG9yPkZhZ2dpYW4sIEQuPC9hdXRob3I+PGF1dGhvcj5NaW9uLCBNLiBNLjwv
YXV0aG9yPjxhdXRob3I+VmVudHVyaW5pLCBSLjwvYXV0aG9yPjxhdXRob3I+QW5kcmlzYW5pLCBB
LjwvYXV0aG9yPjxhdXRob3I+Q2FzYXJvLCBBLjwvYXV0aG9yPjxhdXRob3I+Vml0YSwgUC48L2F1
dGhvcj48YXV0aG9yPkF2b2dhZHJvLCBBLjwvYXV0aG9yPjxhdXRob3I+Q2FtaWxvdCwgTS48L2F1
dGhvcj48YXV0aG9yPlNjYXJvbmksIEMuPC9hdXRob3I+PGF1dGhvcj5CZXJ0YXp6YSwgTC48L2F1
dGhvcj48YXV0aG9yPkJhcm9sbG8sIFMuPC9hdXRob3I+PGF1dGhvcj5NaWFuLCBDLjwvYXV0aG9y
PjwvYXV0aG9ycz48L2NvbnRyaWJ1dG9ycz48YXV0aC1hZGRyZXNzPkRlcGFydG1lbnQgb2YgTWVk
aWNpbmUgKERJTUVEKSwgRW5kb2NyaW5vbG9neSBVbml0OyBVbml2ZXJzaXR5IG9mIFBhZG92YSwg
MzUxMjEgUGFkb3ZhLCBJdGFseS4gc2ltb25hLmNlbnNpQHBoZC51bmlwZC5pdC4mI3hEO0RlcGFy
dG1lbnQgb2YgTWVkaWNpbmUgKERJTUVEKSwgRW5kb2NyaW5vbG9neSBVbml0OyBVbml2ZXJzaXR5
IG9mIFBhZG92YSwgMzUxMjEgUGFkb3ZhLCBJdGFseS4gc2FyYS53YXR1dGFudHJpZ2VAZ21haWwu
Y29tLiYjeEQ7RGVwYXJ0bWVudCBvZiBNZWRpY2luZSAoRElNRUQpLCBFbmRvY3Jpbm9sb2d5IFVu
aXQ7IFVuaXZlcnNpdHkgb2YgUGFkb3ZhLCAzNTEyMSBQYWRvdmEsIEl0YWx5LiBnaXVsaWEuZ3Jv
Y2NpYUBnbWFpbC5jb20uJiN4RDtEZXBhcnRtZW50IG9mIE1lZGljaW5lIChESU1FRCksIEVuZG9j
cmlub2xvZ3kgVW5pdDsgVW5pdmVyc2l0eSBvZiBQYWRvdmEsIDM1MTIxIFBhZG92YSwgSXRhbHku
IGphY29wby5tYW5zb0BnbWFpbC5jb20uJiN4RDtMYWJvcmF0b3J5IE1lZGljaW5lLCBEZXBhcnRt
ZW50IG9mIE1lZGljYWwgYW5kIFN1cmdpY2FsIFNjaWVuY2VzLCBVbml2ZXJzaXR5IG9mIFBhZHVh
LCAzNTEyMSBQYWR1YSwgSXRhbHkuIG1hcmlvLnBsZWJhbmlAdW5pcGQuaXQuJiN4RDtMYWJvcmF0
b3J5IE1lZGljaW5lLCBEZXBhcnRtZW50IG9mIE1lZGljYWwgYW5kIFN1cmdpY2FsIFNjaWVuY2Vz
LCBVbml2ZXJzaXR5IG9mIFBhZHVhLCAzNTEyMSBQYWR1YSwgSXRhbHkuIGRpZWdvLmZhZ2dpYW5A
YW9wZC52ZW5ldG8uaXQuJiN4RDtMYWJvcmF0b3J5IE1lZGljaW5lLCBEZXBhcnRtZW50IG9mIE1l
ZGljYWwgYW5kIFN1cmdpY2FsIFNjaWVuY2VzLCBVbml2ZXJzaXR5IG9mIFBhZHVhLCAzNTEyMSBQ
YWR1YSwgSXRhbHkuIG1vbmljYS5taW9uQGFvcGQudmVuZXRvLml0LiYjeEQ7TGFib3JhdG9yeSBN
ZWRpY2luZSwgRGVwYXJ0bWVudCBvZiBNZWRpY2FsIGFuZCBTdXJnaWNhbCBTY2llbmNlcywgVW5p
dmVyc2l0eSBvZiBQYWR1YSwgMzUxMjEgUGFkdWEsIEl0YWx5LiByb2JlcnRhLnZlbnR1cmluaUBh
b3BkLnZlbmV0by5pdC4mI3hEO0RlcGFydG1lbnQgb2YgV29tZW4mYXBvcztzIGFuZCBDaGlsZHJl
biZhcG9zO3MgSGVhbHRoLCBVbml2ZXJzaXR5IG9mIFBhZHVhLCBTYWx1cyBQdWVyaSwgMzUxMjgg
UGFkdWEsIEl0YWx5LiBhbGVzc2FuZHJhLmFuZHJpc2FuaUB1bmlwZC5pdC4mI3hEO0RlcGFydG1l
bnQgb2YgTWVkaWNpbmUgKERJTUVEKSwgRW5kb2NyaW5vbG9neSBVbml0OyBVbml2ZXJzaXR5IG9m
IFBhZG92YSwgMzUxMjEgUGFkb3ZhLCBJdGFseS4gYW5uYS5jYXNhcm9AYXVsc3M2LnZlbmV0by5p
dC4mI3hEO0RlcGFydG1lbnQgb2YgTWVkaWNpbmUgKERJTUVEKSwgRW5kb2NyaW5vbG9neSBVbml0
OyBVbml2ZXJzaXR5IG9mIFBhZG92YSwgMzUxMjEgUGFkb3ZhLCBJdGFseS4gcGlldHJvLnZpZGFA
YXVsc3M2LnZlbmV0by5pdC4mI3hEO0RlcGFydG1lbnQgb2YgTWVkaWNpbmUgKERJTUVEKSwgRW5k
b2NyaW5vbG9neSBVbml0OyBVbml2ZXJzaXR5IG9mIFBhZG92YSwgMzUxMjEgUGFkb3ZhLCBJdGFs
eS4gYWxlc3NhbmRyYS5hdm9nYWRyb0BhdWxzczYudmVuZXRvLml0LiYjeEQ7RGVwYXJ0bWVudCBv
ZiBQZWRpYXRyaWNzLCBSZWdpb25hbCBDZW50cmUgZm9yIE5ld2Jvcm4gU2NyZWVuaW5nLCBEaWFn
bm9zaXMgYW5kIFRyZWF0bWVudCBvZiBJbmhlcml0ZWQgTWV0YWJvbGljIERpc2Vhc2VzIGFuZCBD
b25nZW5pdGFsIEVuZG9jcmluZSBEaXNlYXNlcywgQXppZW5kYSBPc3BlZGFsaWVyYSBVbml2ZXJz
aXRhcmlhIEludGVncmF0YSwgMzcxMzQgVmVyb25hLCBJdGFseS4gbWFydGEuY2FtaWxvdEBhb3Zy
LnZlbmV0by5pdC4mI3hEO0RlcGFydG1lbnQgb2YgTWVkaWNpbmUgKERJTUVEKSwgRW5kb2NyaW5v
bG9neSBVbml0OyBVbml2ZXJzaXR5IG9mIFBhZG92YSwgMzUxMjEgUGFkb3ZhLCBJdGFseS4gY2Fy
bGEuc2Nhcm9uaUB1bmlwZC5pdC4mI3hEO0RlcGFydG1lbnQgb2YgTWVkaWNpbmUgKERJTUVEKSwg
RW5kb2NyaW5vbG9neSBVbml0OyBVbml2ZXJzaXR5IG9mIFBhZG92YSwgMzUxMjEgUGFkb3ZhLCBJ
dGFseS4gbG9yaXMuYmVydGF6emFAdW5pcGQuaXQuJiN4RDtEZXBhcnRtZW50IG9mIE1lZGljaW5l
IChESU1FRCksIEVuZG9jcmlub2xvZ3kgVW5pdDsgVW5pdmVyc2l0eSBvZiBQYWRvdmEsIDM1MTIx
IFBhZG92YSwgSXRhbHkuIHN1c2liYXJvbGxvQHlhaG9vLml0LiYjeEQ7RGVwYXJ0bWVudCBvZiBN
ZWRpY2luZSAoRElNRUQpLCBFbmRvY3Jpbm9sb2d5IFVuaXQ7IFVuaXZlcnNpdHkgb2YgUGFkb3Zh
LCAzNTEyMSBQYWRvdmEsIEl0YWx5LiBjYXRlcmluYS5taWFuQHVuaXBkLml0LjwvYXV0aC1hZGRy
ZXNzPjx0aXRsZXM+PHRpdGxlPlRoZSBlZmZlY3RzIG9mIGlvZGluZSBzdXBwbGVtZW50YXRpb24g
aW4gcHJlZ25hbmN5IG9uIGlvZGluZSBzdGF0dXMsIHRoeXJvZ2xvYnVsaW4gbGV2ZWxzIGFuZCB0
aHlyb2lkIGZ1bmN0aW9uIHBhcmFtZXRlcnM6IHJlc3VsdHMgZnJvbSBhIHJhbmRvbWl6ZWQgY29u
dHJvbGxlZCBjbGluaWNhbCB0cmlhbCBpbiBhIG1pbGQtdG8tbW9kZXJhdGUgaW9kaW5lIGRlZmlj
aWVuY3kgYXJlYTwvdGl0bGU+PHNlY29uZGFyeS10aXRsZT5OdXRyaWVudHM8L3NlY29uZGFyeS10
aXRsZT48L3RpdGxlcz48cGVyaW9kaWNhbD48ZnVsbC10aXRsZT5OdXRyaWVudHM8L2Z1bGwtdGl0
bGU+PC9wZXJpb2RpY2FsPjx2b2x1bWU+MTE8L3ZvbHVtZT48bnVtYmVyPjExPC9udW1iZXI+PGVk
aXRpb24+MjAxOS8xMS8wNzwvZWRpdGlvbj48a2V5d29yZHM+PGtleXdvcmQ+aW9kaW5lPC9rZXl3
b3JkPjxrZXl3b3JkPm1pbGQtdG8tbW9kZXJhdGUgaW9kaW5lIGRlZmljaWVuY3k8L2tleXdvcmQ+
PGtleXdvcmQ+cHJlZ25hbmN5PC9rZXl3b3JkPjxrZXl3b3JkPnJhbmRvbWl6ZWQgYW5kIHBsYWNl
Ym8tY29udHJvbGxlZCB0cmlhbDwva2V5d29yZD48L2tleXdvcmRzPjxkYXRlcz48eWVhcj4yMDE5
PC95ZWFyPjxwdWItZGF0ZXM+PGRhdGU+Tm92IDQ8L2RhdGU+PC9wdWItZGF0ZXM+PC9kYXRlcz48
aXNibj4yMDcyLTY2NDMgKEVsZWN0cm9uaWMpJiN4RDsyMDcyLTY2NDMgKExpbmtpbmcpPC9pc2Ju
PjxhY2Nlc3Npb24tbnVtPjMxNjg5ODkwPC9hY2Nlc3Npb24tbnVtPjx1cmxzPjxyZWxhdGVkLXVy
bHM+PHVybD5odHRwczovL3d3dy5uY2JpLm5sbS5uaWguZ292L3B1Ym1lZC8zMTY4OTg5MDwvdXJs
PjwvcmVsYXRlZC11cmxzPjwvdXJscz48Y3VzdG9tMj5QTUM2ODkzNDMyPC9jdXN0b20yPjxlbGVj
dHJvbmljLXJlc291cmNlLW51bT4xMC4zMzkwL251MTExMTI2Mzk8L2VsZWN0cm9uaWMtcmVzb3Vy
Y2UtbnVtPjwvcmVjb3JkPjwvQ2l0ZT48L0VuZE5vdGU+
</w:fldData>
        </w:fldChar>
      </w:r>
      <w:r w:rsidR="002747EA">
        <w:instrText xml:space="preserve"> ADDIN EN.CITE </w:instrText>
      </w:r>
      <w:r w:rsidR="002747EA">
        <w:fldChar w:fldCharType="begin">
          <w:fldData xml:space="preserve">PEVuZE5vdGU+PENpdGU+PEF1dGhvcj5DZW5zaTwvQXV0aG9yPjxZZWFyPjIwMTk8L1llYXI+PFJl
Y051bT4xODQ4PC9SZWNOdW0+PERpc3BsYXlUZXh0PjxzdHlsZSBmYWNlPSJzdXBlcnNjcmlwdCIg
Zm9udD0iVHJlYnVjaGV0IE1TIiBzaXplPSI5Ij4yMDQ8L3N0eWxlPjwvRGlzcGxheVRleHQ+PHJl
Y29yZD48cmVjLW51bWJlcj4xODQ4PC9yZWMtbnVtYmVyPjxmb3JlaWduLWtleXM+PGtleSBhcHA9
IkVOIiBkYi1pZD0iZXh2YXNyZngyZHRyYW9lc2FzeHAyc3pzeGEyZGY1MDI1OTJ4IiB0aW1lc3Rh
bXA9IjE1ODc2MTM3NjYiPjE4NDg8L2tleT48a2V5IGFwcD0iRU5XZWIiIGRiLWlkPSIiPjA8L2tl
eT48L2ZvcmVpZ24ta2V5cz48cmVmLXR5cGUgbmFtZT0iSm91cm5hbCBBcnRpY2xlIj4xNzwvcmVm
LXR5cGU+PGNvbnRyaWJ1dG9ycz48YXV0aG9ycz48YXV0aG9yPkNlbnNpLCBTLjwvYXV0aG9yPjxh
dXRob3I+V2F0dXRhbnRyaWdlLUZlcm5hbmRvLCBTLjwvYXV0aG9yPjxhdXRob3I+R3JvY2NpYSwg
Ry48L2F1dGhvcj48YXV0aG9yPk1hbnNvLCBKLjwvYXV0aG9yPjxhdXRob3I+UGxlYmFuaSwgTS48
L2F1dGhvcj48YXV0aG9yPkZhZ2dpYW4sIEQuPC9hdXRob3I+PGF1dGhvcj5NaW9uLCBNLiBNLjwv
YXV0aG9yPjxhdXRob3I+VmVudHVyaW5pLCBSLjwvYXV0aG9yPjxhdXRob3I+QW5kcmlzYW5pLCBB
LjwvYXV0aG9yPjxhdXRob3I+Q2FzYXJvLCBBLjwvYXV0aG9yPjxhdXRob3I+Vml0YSwgUC48L2F1
dGhvcj48YXV0aG9yPkF2b2dhZHJvLCBBLjwvYXV0aG9yPjxhdXRob3I+Q2FtaWxvdCwgTS48L2F1
dGhvcj48YXV0aG9yPlNjYXJvbmksIEMuPC9hdXRob3I+PGF1dGhvcj5CZXJ0YXp6YSwgTC48L2F1
dGhvcj48YXV0aG9yPkJhcm9sbG8sIFMuPC9hdXRob3I+PGF1dGhvcj5NaWFuLCBDLjwvYXV0aG9y
PjwvYXV0aG9ycz48L2NvbnRyaWJ1dG9ycz48YXV0aC1hZGRyZXNzPkRlcGFydG1lbnQgb2YgTWVk
aWNpbmUgKERJTUVEKSwgRW5kb2NyaW5vbG9neSBVbml0OyBVbml2ZXJzaXR5IG9mIFBhZG92YSwg
MzUxMjEgUGFkb3ZhLCBJdGFseS4gc2ltb25hLmNlbnNpQHBoZC51bmlwZC5pdC4mI3hEO0RlcGFy
dG1lbnQgb2YgTWVkaWNpbmUgKERJTUVEKSwgRW5kb2NyaW5vbG9neSBVbml0OyBVbml2ZXJzaXR5
IG9mIFBhZG92YSwgMzUxMjEgUGFkb3ZhLCBJdGFseS4gc2FyYS53YXR1dGFudHJpZ2VAZ21haWwu
Y29tLiYjeEQ7RGVwYXJ0bWVudCBvZiBNZWRpY2luZSAoRElNRUQpLCBFbmRvY3Jpbm9sb2d5IFVu
aXQ7IFVuaXZlcnNpdHkgb2YgUGFkb3ZhLCAzNTEyMSBQYWRvdmEsIEl0YWx5LiBnaXVsaWEuZ3Jv
Y2NpYUBnbWFpbC5jb20uJiN4RDtEZXBhcnRtZW50IG9mIE1lZGljaW5lIChESU1FRCksIEVuZG9j
cmlub2xvZ3kgVW5pdDsgVW5pdmVyc2l0eSBvZiBQYWRvdmEsIDM1MTIxIFBhZG92YSwgSXRhbHku
IGphY29wby5tYW5zb0BnbWFpbC5jb20uJiN4RDtMYWJvcmF0b3J5IE1lZGljaW5lLCBEZXBhcnRt
ZW50IG9mIE1lZGljYWwgYW5kIFN1cmdpY2FsIFNjaWVuY2VzLCBVbml2ZXJzaXR5IG9mIFBhZHVh
LCAzNTEyMSBQYWR1YSwgSXRhbHkuIG1hcmlvLnBsZWJhbmlAdW5pcGQuaXQuJiN4RDtMYWJvcmF0
b3J5IE1lZGljaW5lLCBEZXBhcnRtZW50IG9mIE1lZGljYWwgYW5kIFN1cmdpY2FsIFNjaWVuY2Vz
LCBVbml2ZXJzaXR5IG9mIFBhZHVhLCAzNTEyMSBQYWR1YSwgSXRhbHkuIGRpZWdvLmZhZ2dpYW5A
YW9wZC52ZW5ldG8uaXQuJiN4RDtMYWJvcmF0b3J5IE1lZGljaW5lLCBEZXBhcnRtZW50IG9mIE1l
ZGljYWwgYW5kIFN1cmdpY2FsIFNjaWVuY2VzLCBVbml2ZXJzaXR5IG9mIFBhZHVhLCAzNTEyMSBQ
YWR1YSwgSXRhbHkuIG1vbmljYS5taW9uQGFvcGQudmVuZXRvLml0LiYjeEQ7TGFib3JhdG9yeSBN
ZWRpY2luZSwgRGVwYXJ0bWVudCBvZiBNZWRpY2FsIGFuZCBTdXJnaWNhbCBTY2llbmNlcywgVW5p
dmVyc2l0eSBvZiBQYWR1YSwgMzUxMjEgUGFkdWEsIEl0YWx5LiByb2JlcnRhLnZlbnR1cmluaUBh
b3BkLnZlbmV0by5pdC4mI3hEO0RlcGFydG1lbnQgb2YgV29tZW4mYXBvcztzIGFuZCBDaGlsZHJl
biZhcG9zO3MgSGVhbHRoLCBVbml2ZXJzaXR5IG9mIFBhZHVhLCBTYWx1cyBQdWVyaSwgMzUxMjgg
UGFkdWEsIEl0YWx5LiBhbGVzc2FuZHJhLmFuZHJpc2FuaUB1bmlwZC5pdC4mI3hEO0RlcGFydG1l
bnQgb2YgTWVkaWNpbmUgKERJTUVEKSwgRW5kb2NyaW5vbG9neSBVbml0OyBVbml2ZXJzaXR5IG9m
IFBhZG92YSwgMzUxMjEgUGFkb3ZhLCBJdGFseS4gYW5uYS5jYXNhcm9AYXVsc3M2LnZlbmV0by5p
dC4mI3hEO0RlcGFydG1lbnQgb2YgTWVkaWNpbmUgKERJTUVEKSwgRW5kb2NyaW5vbG9neSBVbml0
OyBVbml2ZXJzaXR5IG9mIFBhZG92YSwgMzUxMjEgUGFkb3ZhLCBJdGFseS4gcGlldHJvLnZpZGFA
YXVsc3M2LnZlbmV0by5pdC4mI3hEO0RlcGFydG1lbnQgb2YgTWVkaWNpbmUgKERJTUVEKSwgRW5k
b2NyaW5vbG9neSBVbml0OyBVbml2ZXJzaXR5IG9mIFBhZG92YSwgMzUxMjEgUGFkb3ZhLCBJdGFs
eS4gYWxlc3NhbmRyYS5hdm9nYWRyb0BhdWxzczYudmVuZXRvLml0LiYjeEQ7RGVwYXJ0bWVudCBv
ZiBQZWRpYXRyaWNzLCBSZWdpb25hbCBDZW50cmUgZm9yIE5ld2Jvcm4gU2NyZWVuaW5nLCBEaWFn
bm9zaXMgYW5kIFRyZWF0bWVudCBvZiBJbmhlcml0ZWQgTWV0YWJvbGljIERpc2Vhc2VzIGFuZCBD
b25nZW5pdGFsIEVuZG9jcmluZSBEaXNlYXNlcywgQXppZW5kYSBPc3BlZGFsaWVyYSBVbml2ZXJz
aXRhcmlhIEludGVncmF0YSwgMzcxMzQgVmVyb25hLCBJdGFseS4gbWFydGEuY2FtaWxvdEBhb3Zy
LnZlbmV0by5pdC4mI3hEO0RlcGFydG1lbnQgb2YgTWVkaWNpbmUgKERJTUVEKSwgRW5kb2NyaW5v
bG9neSBVbml0OyBVbml2ZXJzaXR5IG9mIFBhZG92YSwgMzUxMjEgUGFkb3ZhLCBJdGFseS4gY2Fy
bGEuc2Nhcm9uaUB1bmlwZC5pdC4mI3hEO0RlcGFydG1lbnQgb2YgTWVkaWNpbmUgKERJTUVEKSwg
RW5kb2NyaW5vbG9neSBVbml0OyBVbml2ZXJzaXR5IG9mIFBhZG92YSwgMzUxMjEgUGFkb3ZhLCBJ
dGFseS4gbG9yaXMuYmVydGF6emFAdW5pcGQuaXQuJiN4RDtEZXBhcnRtZW50IG9mIE1lZGljaW5l
IChESU1FRCksIEVuZG9jcmlub2xvZ3kgVW5pdDsgVW5pdmVyc2l0eSBvZiBQYWRvdmEsIDM1MTIx
IFBhZG92YSwgSXRhbHkuIHN1c2liYXJvbGxvQHlhaG9vLml0LiYjeEQ7RGVwYXJ0bWVudCBvZiBN
ZWRpY2luZSAoRElNRUQpLCBFbmRvY3Jpbm9sb2d5IFVuaXQ7IFVuaXZlcnNpdHkgb2YgUGFkb3Zh
LCAzNTEyMSBQYWRvdmEsIEl0YWx5LiBjYXRlcmluYS5taWFuQHVuaXBkLml0LjwvYXV0aC1hZGRy
ZXNzPjx0aXRsZXM+PHRpdGxlPlRoZSBlZmZlY3RzIG9mIGlvZGluZSBzdXBwbGVtZW50YXRpb24g
aW4gcHJlZ25hbmN5IG9uIGlvZGluZSBzdGF0dXMsIHRoeXJvZ2xvYnVsaW4gbGV2ZWxzIGFuZCB0
aHlyb2lkIGZ1bmN0aW9uIHBhcmFtZXRlcnM6IHJlc3VsdHMgZnJvbSBhIHJhbmRvbWl6ZWQgY29u
dHJvbGxlZCBjbGluaWNhbCB0cmlhbCBpbiBhIG1pbGQtdG8tbW9kZXJhdGUgaW9kaW5lIGRlZmlj
aWVuY3kgYXJlYTwvdGl0bGU+PHNlY29uZGFyeS10aXRsZT5OdXRyaWVudHM8L3NlY29uZGFyeS10
aXRsZT48L3RpdGxlcz48cGVyaW9kaWNhbD48ZnVsbC10aXRsZT5OdXRyaWVudHM8L2Z1bGwtdGl0
bGU+PC9wZXJpb2RpY2FsPjx2b2x1bWU+MTE8L3ZvbHVtZT48bnVtYmVyPjExPC9udW1iZXI+PGVk
aXRpb24+MjAxOS8xMS8wNzwvZWRpdGlvbj48a2V5d29yZHM+PGtleXdvcmQ+aW9kaW5lPC9rZXl3
b3JkPjxrZXl3b3JkPm1pbGQtdG8tbW9kZXJhdGUgaW9kaW5lIGRlZmljaWVuY3k8L2tleXdvcmQ+
PGtleXdvcmQ+cHJlZ25hbmN5PC9rZXl3b3JkPjxrZXl3b3JkPnJhbmRvbWl6ZWQgYW5kIHBsYWNl
Ym8tY29udHJvbGxlZCB0cmlhbDwva2V5d29yZD48L2tleXdvcmRzPjxkYXRlcz48eWVhcj4yMDE5
PC95ZWFyPjxwdWItZGF0ZXM+PGRhdGU+Tm92IDQ8L2RhdGU+PC9wdWItZGF0ZXM+PC9kYXRlcz48
aXNibj4yMDcyLTY2NDMgKEVsZWN0cm9uaWMpJiN4RDsyMDcyLTY2NDMgKExpbmtpbmcpPC9pc2Ju
PjxhY2Nlc3Npb24tbnVtPjMxNjg5ODkwPC9hY2Nlc3Npb24tbnVtPjx1cmxzPjxyZWxhdGVkLXVy
bHM+PHVybD5odHRwczovL3d3dy5uY2JpLm5sbS5uaWguZ292L3B1Ym1lZC8zMTY4OTg5MDwvdXJs
PjwvcmVsYXRlZC11cmxzPjwvdXJscz48Y3VzdG9tMj5QTUM2ODkzNDMyPC9jdXN0b20yPjxlbGVj
dHJvbmljLXJlc291cmNlLW51bT4xMC4zMzkwL251MTExMTI2Mzk8L2VsZWN0cm9uaWMtcmVzb3Vy
Y2UtbnVtPjwvcmVjb3JkPjwvQ2l0ZT48L0VuZE5vdGU+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204</w:t>
      </w:r>
      <w:r w:rsidR="00D07346">
        <w:fldChar w:fldCharType="end"/>
      </w:r>
    </w:p>
    <w:p w14:paraId="5A4ABF25" w14:textId="73B8C973" w:rsidR="00696E8F" w:rsidRDefault="00696E8F" w:rsidP="005719CE">
      <w:pPr>
        <w:pStyle w:val="bullet"/>
      </w:pPr>
      <w:r>
        <w:t xml:space="preserve">decreased median neonatal </w:t>
      </w:r>
      <w:r w:rsidR="00530B29">
        <w:t>thyroid stimulating hormone</w:t>
      </w:r>
      <w:r w:rsidR="00575DD0">
        <w:t xml:space="preserve"> levels (</w:t>
      </w:r>
      <w:r w:rsidR="00575DD0" w:rsidRPr="005719CE">
        <w:rPr>
          <w:sz w:val="16"/>
          <w:szCs w:val="16"/>
        </w:rPr>
        <w:t>p&lt;0.05</w:t>
      </w:r>
      <w:r w:rsidR="00575DD0">
        <w:t>)</w:t>
      </w:r>
      <w:r w:rsidR="00D07346">
        <w:fldChar w:fldCharType="begin"/>
      </w:r>
      <w:r w:rsidR="002747EA">
        <w:instrText xml:space="preserve"> ADDIN EN.CITE &lt;EndNote&gt;&lt;Cite&gt;&lt;Author&gt;Chawanpaiboon&lt;/Author&gt;&lt;Year&gt;2019&lt;/Year&gt;&lt;RecNum&gt;1849&lt;/RecNum&gt;&lt;DisplayText&gt;&lt;style face="superscript" font="Trebuchet MS" size="9"&gt;205&lt;/style&gt;&lt;/DisplayText&gt;&lt;record&gt;&lt;rec-number&gt;1849&lt;/rec-number&gt;&lt;foreign-keys&gt;&lt;key app="EN" db-id="exvasrfx2dtraoesasxp2szsxa2df502592x" timestamp="1587613770"&gt;1849&lt;/key&gt;&lt;key app="ENWeb" db-id=""&gt;0&lt;/key&gt;&lt;/foreign-keys&gt;&lt;ref-type name="Journal Article"&gt;17&lt;/ref-type&gt;&lt;contributors&gt;&lt;authors&gt;&lt;author&gt;Chawanpaiboon, S.,&lt;/author&gt;&lt;/authors&gt;&lt;/contributors&gt;&lt;titles&gt;&lt;title&gt;A randomized controlled trial of the correlation between iodine supplementation in pregnancy and maternal urine iodine and neonatal thyroid stimulating hormone levels&lt;/title&gt;&lt;secondary-title&gt;Siriraj Medical Journal&lt;/secondary-title&gt;&lt;/titles&gt;&lt;periodical&gt;&lt;full-title&gt;Siriraj Medical Journal&lt;/full-title&gt;&lt;/periodical&gt;&lt;volume&gt;71&lt;/volume&gt;&lt;number&gt;1&lt;/number&gt;&lt;dates&gt;&lt;year&gt;2019&lt;/year&gt;&lt;/dates&gt;&lt;isbn&gt;2629995X&amp;#xD;22288082&lt;/isbn&gt;&lt;urls&gt;&lt;/urls&gt;&lt;electronic-resource-num&gt;10.33192/Smj.2019.10&lt;/electronic-resource-num&gt;&lt;/record&gt;&lt;/Cite&gt;&lt;/EndNote&gt;</w:instrText>
      </w:r>
      <w:r w:rsidR="00D07346">
        <w:fldChar w:fldCharType="separate"/>
      </w:r>
      <w:r w:rsidR="002747EA" w:rsidRPr="002747EA">
        <w:rPr>
          <w:noProof/>
          <w:vertAlign w:val="superscript"/>
        </w:rPr>
        <w:t>205</w:t>
      </w:r>
      <w:r w:rsidR="00D07346">
        <w:fldChar w:fldCharType="end"/>
      </w:r>
    </w:p>
    <w:p w14:paraId="2D07874D" w14:textId="441A8192" w:rsidR="00632EF4" w:rsidRPr="00632EF4" w:rsidRDefault="00632EF4" w:rsidP="005719CE">
      <w:pPr>
        <w:pStyle w:val="bullet"/>
      </w:pPr>
      <w:r w:rsidRPr="00632EF4">
        <w:t>had no effect on child neurodevelopment at age 5–6 years</w:t>
      </w:r>
      <w:r w:rsidR="00B86F78">
        <w:t xml:space="preserve"> </w:t>
      </w:r>
      <w:r w:rsidR="00B86F78" w:rsidRPr="00632EF4">
        <w:t>in mildly iodine-deficient pregnant women</w:t>
      </w:r>
      <w:r w:rsidRPr="00632EF4">
        <w:t>.</w:t>
      </w:r>
      <w:r w:rsidR="003523C5">
        <w:fldChar w:fldCharType="begin"/>
      </w:r>
      <w:r w:rsidR="002747EA">
        <w:instrText xml:space="preserve"> ADDIN EN.CITE &lt;EndNote&gt;&lt;Cite&gt;&lt;Author&gt;Gowachirapant&lt;/Author&gt;&lt;Year&gt;2017&lt;/Year&gt;&lt;RecNum&gt;1199&lt;/RecNum&gt;&lt;DisplayText&gt;&lt;style face="superscript" font="Trebuchet MS" size="9"&gt;203&lt;/style&gt;&lt;/DisplayText&gt;&lt;record&gt;&lt;rec-number&gt;1199&lt;/rec-number&gt;&lt;foreign-keys&gt;&lt;key app="EN" db-id="exvasrfx2dtraoesasxp2szsxa2df502592x" timestamp="1559622618"&gt;1199&lt;/key&gt;&lt;key app="ENWeb" db-id=""&gt;0&lt;/key&gt;&lt;/foreign-keys&gt;&lt;ref-type name="Journal Article"&gt;17&lt;/ref-type&gt;&lt;contributors&gt;&lt;authors&gt;&lt;author&gt;Gowachirapant, S.,&lt;/author&gt;&lt;author&gt;Jaiswal, N.,&lt;/author&gt;&lt;author&gt;Melse-Boonstra, A.,&lt;/author&gt;&lt;author&gt;Galetti, V.,&lt;/author&gt;&lt;author&gt;Stinca, S.,&lt;/author&gt;&lt;author&gt;Mackenzie, I.,&lt;/author&gt;&lt;author&gt;Thomas, S.,&lt;/author&gt;&lt;author&gt;Thomas, T.,&lt;/author&gt;&lt;author&gt;Winichagoon, P.,&lt;/author&gt;&lt;author&gt;Srinivasan, K.,&lt;/author&gt;&lt;author&gt;Zimmermann, M.B.,&lt;/author&gt;&lt;/authors&gt;&lt;/contributors&gt;&lt;titles&gt;&lt;title&gt;Effect of iodine supplementation in pregnant women on child neurodevelopment: a randomised, double-blind, placebo-controlled trial&lt;/title&gt;&lt;secondary-title&gt;The Lancet Diabetes &amp;amp; Endocrinology&lt;/secondary-title&gt;&lt;/titles&gt;&lt;periodical&gt;&lt;full-title&gt;The Lancet Diabetes &amp;amp; Endocrinology&lt;/full-title&gt;&lt;/periodical&gt;&lt;pages&gt;853-63&lt;/pages&gt;&lt;volume&gt;5&lt;/volume&gt;&lt;number&gt;11&lt;/number&gt;&lt;section&gt;853&lt;/section&gt;&lt;dates&gt;&lt;year&gt;2017&lt;/year&gt;&lt;/dates&gt;&lt;isbn&gt;22138587&lt;/isbn&gt;&lt;urls&gt;&lt;/urls&gt;&lt;electronic-resource-num&gt;10.1016/s2213-8587(17)30332-7&lt;/electronic-resource-num&gt;&lt;/record&gt;&lt;/Cite&gt;&lt;/EndNote&gt;</w:instrText>
      </w:r>
      <w:r w:rsidR="003523C5">
        <w:fldChar w:fldCharType="separate"/>
      </w:r>
      <w:r w:rsidR="002747EA" w:rsidRPr="002747EA">
        <w:rPr>
          <w:noProof/>
          <w:vertAlign w:val="superscript"/>
        </w:rPr>
        <w:t>203</w:t>
      </w:r>
      <w:r w:rsidR="003523C5">
        <w:fldChar w:fldCharType="end"/>
      </w:r>
    </w:p>
    <w:p w14:paraId="500FC20B" w14:textId="3E5786E1" w:rsidR="00F43F44" w:rsidRDefault="00B565E1" w:rsidP="00EF63E3">
      <w:pPr>
        <w:pStyle w:val="Heading4"/>
      </w:pPr>
      <w:r>
        <w:t>Zinc</w:t>
      </w:r>
      <w:r w:rsidR="00BA549B">
        <w:t xml:space="preserve"> supplementation</w:t>
      </w:r>
    </w:p>
    <w:p w14:paraId="4D706396" w14:textId="77777777" w:rsidR="00A208D7" w:rsidRDefault="00A208D7" w:rsidP="00A1709D">
      <w:pPr>
        <w:pStyle w:val="Heading5"/>
      </w:pPr>
      <w:r>
        <w:t>Background</w:t>
      </w:r>
    </w:p>
    <w:p w14:paraId="04C64C6E" w14:textId="56F2FA7A" w:rsidR="002F7C6A" w:rsidRDefault="002F7C6A" w:rsidP="002F7C6A">
      <w:r>
        <w:t>A survey of pregnant women conducted in Sydney found that 5.6% were taking a zinc supplement.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50BCE7CE" w14:textId="61FB1457" w:rsidR="00737BD8" w:rsidRDefault="00737BD8" w:rsidP="002F7C6A">
      <w:r>
        <w:t>In an Australian cohort study</w:t>
      </w:r>
      <w:r w:rsidR="00BA7CBD">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 </w:instrText>
      </w:r>
      <w:r w:rsidR="002747EA">
        <w:fldChar w:fldCharType="begin">
          <w:fldData xml:space="preserve">PEVuZE5vdGU+PENpdGU+PEF1dGhvcj5MaXZvY2s8L0F1dGhvcj48WWVhcj4yMDE3PC9ZZWFyPjxS
ZWNOdW0+MTgwOTwvUmVjTnVtPjxEaXNwbGF5VGV4dD48c3R5bGUgZmFjZT0ic3VwZXJzY3JpcHQi
IGZvbnQ9IlRyZWJ1Y2hldCBNUyIgc2l6ZT0iOSI+MTE3PC9zdHlsZT48L0Rpc3BsYXlUZXh0Pjxy
ZWNvcmQ+PHJlYy1udW1iZXI+MTgwOTwvcmVjLW51bWJlcj48Zm9yZWlnbi1rZXlzPjxrZXkgYXBw
PSJFTiIgZGItaWQ9ImV4dmFzcmZ4MmR0cmFvZXNhc3hwMnN6c3hhMmRmNTAyNTkyeCIgdGltZXN0
YW1wPSIxNTgzNzI2NDI0Ij4xODA5PC9rZXk+PGtleSBhcHA9IkVOV2ViIiBkYi1pZD0iIj4wPC9r
ZXk+PC9mb3JlaWduLWtleXM+PHJlZi10eXBlIG5hbWU9IkpvdXJuYWwgQXJ0aWNsZSI+MTc8L3Jl
Zi10eXBlPjxjb250cmlidXRvcnM+PGF1dGhvcnM+PGF1dGhvcj5MaXZvY2ssIE0uPC9hdXRob3I+
PGF1dGhvcj5BbmRlcnNvbiwgUC4gSi48L2F1dGhvcj48YXV0aG9yPkxld2lzLCBTLjwvYXV0aG9y
PjxhdXRob3I+Qm93ZGVuLCBTLjwvYXV0aG9yPjxhdXRob3I+TXVnZ2xpLCBFLjwvYXV0aG9yPjxh
dXRob3I+SGFsbGlkYXksIEouPC9hdXRob3I+PC9hdXRob3JzPjwvY29udHJpYnV0b3JzPjxhdXRo
LWFkZHJlc3M+MU1lbGJvdXJuZSBTY2hvb2wgb2YgUHN5Y2hvbG9naWNhbCBTY2llbmNlcyxUaGUg
VW5pdmVyc2l0eSBvZiBNZWxib3VybmUsMTJ0aCBGbG9vciBSZWRtb25kIEJhcnJ5IEJ1aWxkaW5n
LCBQYXJrdmlsbGUsIFZJQyAzMDEwLEF1c3RyYWxpYS4mI3hEOzNDbGluaWNhbCBTY2llbmNlcyxN
dXJkb2NoIENoaWxkcmVucyBSZXNlYXJjaCBJbnN0aXR1dGUsUm95YWwgQ2hpbGRyZW4mYXBvcztz
IEhvc3BpdGFsLFBhcmt2aWxsZSxWaWN0b3JpYSxBdXN0cmFsaWEuJiN4RDsyUHVibGljIEhlYWx0
aCBHZW5ldGljcyxNdXJkb2NoIENoaWxkcmVucyBSZXNlYXJjaCBJbnN0aXR1dGUsUm95YWwgQ2hp
bGRyZW4mYXBvcztzIEhvc3BpdGFsLFBhcmt2aWxsZSxWaWN0b3JpYSxBdXN0cmFsaWEuPC9hdXRo
LWFkZHJlc3M+PHRpdGxlcz48dGl0bGU+TWF0ZXJuYWwgbWljcm9udXRyaWVudCBjb25zdW1wdGlv
biBwZXJpY29uY2VwdGlvbmFsbHkgYW5kIGR1cmluZyBwcmVnbmFuY3k6IGEgcHJvc3BlY3RpdmUg
Y29ob3J0IHN0dWR5PC90aXRsZT48c2Vjb25kYXJ5LXRpdGxlPlB1YmxpYyBIZWFsdGggTnV0cjwv
c2Vjb25kYXJ5LXRpdGxlPjwvdGl0bGVzPjxwZXJpb2RpY2FsPjxmdWxsLXRpdGxlPlB1YmxpYyBI
ZWFsdGggTnV0cjwvZnVsbC10aXRsZT48L3BlcmlvZGljYWw+PHBhZ2VzPjI5NC0zMDQ8L3BhZ2Vz
Pjx2b2x1bWU+MjA8L3ZvbHVtZT48bnVtYmVyPjI8L251bWJlcj48ZWRpdGlvbj4yMDE2LzA4LzA0
PC9lZGl0aW9uPjxrZXl3b3Jkcz48a2V5d29yZD5BZG9sZXNjZW50PC9rZXl3b3JkPjxrZXl3b3Jk
PkFkdWx0PC9rZXl3b3JkPjxrZXl3b3JkPkRlbW9ncmFwaHkvc3RhdGlzdGljcyAmYW1wOyBudW1l
cmljYWwgZGF0YTwva2V5d29yZD48a2V5d29yZD5EaWV0L21ldGhvZHMvKnN0YXRpc3RpY3MgJmFt
cDsgbnVtZXJpY2FsIGRhdGE8L2tleXdvcmQ+PGtleXdvcmQ+RGlldGFyeSBTdXBwbGVtZW50cy8q
c3RhdGlzdGljcyAmYW1wOyBudW1lcmljYWwgZGF0YTwva2V5d29yZD48a2V5d29yZD5FYXRpbmc8
L2tleXdvcmQ+PGtleXdvcmQ+RmVtYWxlPC9rZXl3b3JkPjxrZXl3b3JkPkdlc3RhdGlvbmFsIEFn
ZTwva2V5d29yZD48a2V5d29yZD5IdW1hbnM8L2tleXdvcmQ+PGtleXdvcmQ+TG9naXN0aWMgTW9k
ZWxzPC9rZXl3b3JkPjxrZXl3b3JkPk1hdGVybmFsIE51dHJpdGlvbmFsIFBoeXNpb2xvZ2ljYWwg
UGhlbm9tZW5hPC9rZXl3b3JkPjxrZXl3b3JkPk1pY3JvbnV0cmllbnRzL2FkbWluaXN0cmF0aW9u
ICZhbXA7IGRvc2FnZS8qYW5hbHlzaXM8L2tleXdvcmQ+PGtleXdvcmQ+TnV0cml0aW9uYWwgUmVx
dWlyZW1lbnRzPC9rZXl3b3JkPjxrZXl3b3JkPk51dHJpdGlvbmFsIFN0YXR1czwva2V5d29yZD48
a2V5d29yZD5QcmVjb25jZXB0aW9uIENhcmUvKnN0YXRpc3RpY3MgJmFtcDsgbnVtZXJpY2FsIGRh
dGE8L2tleXdvcmQ+PGtleXdvcmQ+UHJlZ25hbmN5PC9rZXl3b3JkPjxrZXl3b3JkPlByZW5hdGFs
IENhcmUvKnN0YXRpc3RpY3MgJmFtcDsgbnVtZXJpY2FsIGRhdGE8L2tleXdvcmQ+PGtleXdvcmQ+
UHJvc3BlY3RpdmUgU3R1ZGllczwva2V5d29yZD48a2V5d29yZD5WaWN0b3JpYTwva2V5d29yZD48
a2V5d29yZD5Zb3VuZyBBZHVsdDwva2V5d29yZD48a2V5d29yZD4qRGlldGFyeSBzdXBwbGVtZW50
czwva2V5d29yZD48a2V5d29yZD4qRm9sYXRlPC9rZXl3b3JkPjxrZXl3b3JkPipJcm9uPC9rZXl3
b3JkPjxrZXl3b3JkPipQcmVnbmFuY3k8L2tleXdvcmQ+PGtleXdvcmQ+KlppbmM8L2tleXdvcmQ+
PC9rZXl3b3Jkcz48ZGF0ZXM+PHllYXI+MjAxNzwveWVhcj48cHViLWRhdGVzPjxkYXRlPkZlYjwv
ZGF0ZT48L3B1Yi1kYXRlcz48L2RhdGVzPjxpc2JuPjE0NzUtMjcyNyAoRWxlY3Ryb25pYykmI3hE
OzEzNjgtOTgwMCAoTGlua2luZyk8L2lzYm4+PGFjY2Vzc2lvbi1udW0+Mjc0ODU0NjY8L2FjY2Vz
c2lvbi1udW0+PHVybHM+PHJlbGF0ZWQtdXJscz48dXJsPmh0dHBzOi8vd3d3Lm5jYmkubmxtLm5p
aC5nb3YvcHVibWVkLzI3NDg1NDY2PC91cmw+PC9yZWxhdGVkLXVybHM+PC91cmxzPjxlbGVjdHJv
bmljLXJlc291cmNlLW51bT4xMC4xMDE3L1MxMzY4OTgwMDE2MDAyMDE5PC9lbGVjdHJvbmljLXJl
c291cmNlLW51bT48L3JlY29yZD48L0NpdGU+PC9FbmROb3RlPgB=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117</w:t>
      </w:r>
      <w:r w:rsidR="00BA7CBD">
        <w:fldChar w:fldCharType="end"/>
      </w:r>
      <w:r>
        <w:t xml:space="preserve"> 17-36</w:t>
      </w:r>
      <w:r w:rsidRPr="00737BD8">
        <w:t xml:space="preserve">% of women </w:t>
      </w:r>
      <w:r>
        <w:t xml:space="preserve">did </w:t>
      </w:r>
      <w:r w:rsidRPr="00737BD8">
        <w:t xml:space="preserve">not </w:t>
      </w:r>
      <w:r>
        <w:t>meet</w:t>
      </w:r>
      <w:r w:rsidRPr="00737BD8">
        <w:t xml:space="preserve"> the Recommended Daily Intake for </w:t>
      </w:r>
      <w:r>
        <w:t xml:space="preserve">zinc. </w:t>
      </w:r>
    </w:p>
    <w:p w14:paraId="3019EE2B" w14:textId="374FA133" w:rsidR="00A1709D" w:rsidRDefault="00A1709D" w:rsidP="007B62DE">
      <w:r>
        <w:t>The Guidelines currently comment that there is a lack of evidence on the harms and benefits of zinc</w:t>
      </w:r>
      <w:r w:rsidR="00D54D25">
        <w:t xml:space="preserve"> supplementation</w:t>
      </w:r>
      <w:r>
        <w:t xml:space="preserve"> that is </w:t>
      </w:r>
      <w:r w:rsidR="00C17D56">
        <w:t>generalis</w:t>
      </w:r>
      <w:r>
        <w:t>able to the Australian context.</w:t>
      </w:r>
    </w:p>
    <w:p w14:paraId="470D17CB" w14:textId="77777777" w:rsidR="00A1709D" w:rsidRDefault="00A1709D" w:rsidP="00A1709D">
      <w:pPr>
        <w:pStyle w:val="Heading5"/>
      </w:pPr>
      <w:r>
        <w:t>Current review</w:t>
      </w:r>
    </w:p>
    <w:p w14:paraId="0DEB227A" w14:textId="2A61A7C3" w:rsidR="007B62DE" w:rsidRDefault="007B62DE" w:rsidP="005719CE">
      <w:pPr>
        <w:keepNext/>
      </w:pPr>
      <w:r>
        <w:t xml:space="preserve">This review </w:t>
      </w:r>
      <w:r w:rsidR="00C17D56">
        <w:t>included</w:t>
      </w:r>
      <w:r>
        <w:t xml:space="preserve"> </w:t>
      </w:r>
      <w:r w:rsidR="00F53367">
        <w:t xml:space="preserve">three </w:t>
      </w:r>
      <w:r w:rsidR="007D6F28">
        <w:t>systematic</w:t>
      </w:r>
      <w:r>
        <w:t xml:space="preserve"> review</w:t>
      </w:r>
      <w:r w:rsidR="007D6F28">
        <w:t>s</w:t>
      </w:r>
      <w:r w:rsidR="000A439A">
        <w:t xml:space="preserve"> of RCTs</w:t>
      </w:r>
      <w:r w:rsidR="00BE7640">
        <w:fldChar w:fldCharType="begin">
          <w:fldData xml:space="preserve">PEVuZE5vdGU+PENpdGU+PEF1dGhvcj5PdGE8L0F1dGhvcj48WWVhcj4yMDE1PC9ZZWFyPjxSZWNO
dW0+MTE5MzwvUmVjTnVtPjxEaXNwbGF5VGV4dD48c3R5bGUgZmFjZT0ic3VwZXJzY3JpcHQiIGZv
bnQ9IlRyZWJ1Y2hldCBNUyIgc2l6ZT0iOSI+MjA2LTIwODwvc3R5bGU+PC9EaXNwbGF5VGV4dD48
cmVjb3JkPjxyZWMtbnVtYmVyPjExOTM8L3JlYy1udW1iZXI+PGZvcmVpZ24ta2V5cz48a2V5IGFw
cD0iRU4iIGRiLWlkPSJleHZhc3JmeDJkdHJhb2VzYXN4cDJzenN4YTJkZjUwMjU5MngiIHRpbWVz
dGFtcD0iMTU1OTUzMjkyOCI+MTE5Mzwva2V5PjxrZXkgYXBwPSJFTldlYiIgZGItaWQ9IiI+MDwv
a2V5PjwvZm9yZWlnbi1rZXlzPjxyZWYtdHlwZSBuYW1lPSJKb3VybmFsIEFydGljbGUiPjE3PC9y
ZWYtdHlwZT48Y29udHJpYnV0b3JzPjxhdXRob3JzPjxhdXRob3I+T3RhLCBFLiw8L2F1dGhvcj48
YXV0aG9yPk1vcmksIFIuLDwvYXV0aG9yPjxhdXRob3I+TWlkZGxldG9uLCBQLiw8L2F1dGhvcj48
YXV0aG9yPlRvYmUtR2FpLCBSLiw8L2F1dGhvcj48YXV0aG9yPk1haG9tZWQsIEsuLDwvYXV0aG9y
PjxhdXRob3I+TWl5YXpha2ksIEMuLDwvYXV0aG9yPjxhdXRob3I+Qmh1dHRhLCBaLkEuLDwvYXV0
aG9yPjwvYXV0aG9ycz48L2NvbnRyaWJ1dG9ycz48dGl0bGVzPjx0aXRsZT5aaW5jIHN1cHBsZW1l
bnRhdGlvbiBmb3IgaW1wcm92aW5nIHByZWduYW5jeSBhbmQgaW5mYW50IG91dGNvbWU8L3RpdGxl
PjxzZWNvbmRhcnktdGl0bGU+Q29jaHJhbmUgRGF0YWJhc2Ugb2YgU3lzdGVtYXRpYyBSZXZpZXdz
PC9zZWNvbmRhcnktdGl0bGU+PC90aXRsZXM+PHBlcmlvZGljYWw+PGZ1bGwtdGl0bGU+Q29jaHJh
bmUgRGF0YWJhc2Ugb2YgU3lzdGVtYXRpYyBSZXZpZXdzPC9mdWxsLXRpdGxlPjwvcGVyaW9kaWNh
bD48ZGF0ZXM+PHllYXI+MjAxNTwveWVhcj48L2RhdGVzPjxpc2JuPjE0NjUxODU4PC9pc2JuPjx1
cmxzPjwvdXJscz48ZWxlY3Ryb25pYy1yZXNvdXJjZS1udW0+MTAuMTAwMi8xNDY1MTg1OC5DRDAw
MDIzMC5wdWI1PC9lbGVjdHJvbmljLXJlc291cmNlLW51bT48L3JlY29yZD48L0NpdGU+PENpdGU+
PEF1dGhvcj5MaXU8L0F1dGhvcj48WWVhcj4yMDE4PC9ZZWFyPjxSZWNOdW0+MTE5NTwvUmVjTnVt
PjxyZWNvcmQ+PHJlYy1udW1iZXI+MTE5NTwvcmVjLW51bWJlcj48Zm9yZWlnbi1rZXlzPjxrZXkg
YXBwPSJFTiIgZGItaWQ9ImV4dmFzcmZ4MmR0cmFvZXNhc3hwMnN6c3hhMmRmNTAyNTkyeCIgdGlt
ZXN0YW1wPSIxNTU5NTM1ODg1Ij4xMTk1PC9rZXk+PGtleSBhcHA9IkVOV2ViIiBkYi1pZD0iIj4w
PC9rZXk+PC9mb3JlaWduLWtleXM+PHJlZi10eXBlIG5hbWU9IkpvdXJuYWwgQXJ0aWNsZSI+MTc8
L3JlZi10eXBlPjxjb250cmlidXRvcnM+PGF1dGhvcnM+PGF1dGhvcj5MaXUsIEUuPC9hdXRob3I+
PGF1dGhvcj5QaW1waW4sIEwuPC9hdXRob3I+PGF1dGhvcj5TaHVsa2luLCBNLjwvYXV0aG9yPjxh
dXRob3I+S3JhbnosIFMuPC9hdXRob3I+PGF1dGhvcj5EdWdnYW4sIEMuIFAuPC9hdXRob3I+PGF1
dGhvcj5Nb3phZmZhcmlhbiwgRC48L2F1dGhvcj48YXV0aG9yPkZhd3ppLCBXLiBXLjwvYXV0aG9y
PjwvYXV0aG9ycz48L2NvbnRyaWJ1dG9ycz48YXV0aC1hZGRyZXNzPkluc3RpdHV0aW9uYWwgQ2Vu
dGVycyBvZiBDbGluaWNhbCBhbmQgVHJhbnNsYXRpb25hbCBSZXNlYXJjaCwgQm9zdG9uIENoaWxk
cmVuJmFwb3M7cyBIb3NwaXRhbCwgMzAwIExvbmd3b29kIEF2ZSwgQm9zdG9uLCBNQSAwMjExNSwg
VVNBLiBFbmp1LkxpdUBjaGlsZHJlbnMuaGFydmFyZC5lZHUuJiN4RDtEaXZpc2lvbiBvZiBHYXN0
cm9lbnRlcm9sb2d5LCBIZXBhdG9sb2d5IGFuZCBOdXRyaXRpb24sIEJvc3RvbiBDaGlsZHJlbiZh
cG9zO3MgSG9zcGl0YWwsIDMwMCBMb25nd29vZCBBdmUsIEJvc3RvbiwgTUEgMDIxMTUsIFVTQS4g
RW5qdS5MaXVAY2hpbGRyZW5zLmhhcnZhcmQuZWR1LiYjeEQ7RnJpZWRtYW4gU2Nob29sIG9mIE51
dHJpdGlvbiBTY2llbmNlIGFuZCBQb2xpY3ksIFR1ZnRzIFVuaXZlcnNpdHksIDE1MCBIYXJyaXNv
biBBdmUsIEJvc3RvbiwgTUEgMDIxMTEsIFVTQS4gbGF1cmEucGltcGluQGdtYWlsLmNvbS4mI3hE
O0ZyaWVkbWFuIFNjaG9vbCBvZiBOdXRyaXRpb24gU2NpZW5jZSBhbmQgUG9saWN5LCBUdWZ0cyBV
bml2ZXJzaXR5LCAxNTAgSGFycmlzb24gQXZlLCBCb3N0b24sIE1BIDAyMTExLCBVU0EuIHNodWxr
aW5tQGdtYWlsLmNvbS4mI3hEO0ZyaWVkbWFuIFNjaG9vbCBvZiBOdXRyaXRpb24gU2NpZW5jZSBh
bmQgUG9saWN5LCBUdWZ0cyBVbml2ZXJzaXR5LCAxNTAgSGFycmlzb24gQXZlLCBCb3N0b24sIE1B
IDAyMTExLCBVU0EuIFNhcmFoLktyYW56QHR1ZnRzLmVkdS4mI3hEO0RpdmlzaW9uIG9mIEdhc3Ry
b2VudGVyb2xvZ3ksIEhlcGF0b2xvZ3kgYW5kIE51dHJpdGlvbiwgQm9zdG9uIENoaWxkcmVuJmFw
b3M7cyBIb3NwaXRhbCwgMzAwIExvbmd3b29kIEF2ZSwgQm9zdG9uLCBNQSAwMjExNSwgVVNBLiBj
aHJpc3RvcGhlci5kdWdnYW5AY2hpbGRyZW5zLmhhcnZhcmQuZWR1LiYjeEQ7RGVwYXJ0bWVudCBv
ZiBOdXRyaXRpb24sIEhhcnZhcmQgVC5ILiBDaGFuIFNjaG9vbCBvZiBQdWJsaWMgSGVhbHRoLCBI
YXJ2YXJkIFQuSC4gQ2hhbiBTY2hvb2wgb2YgUHVibGljIEhlYWx0aCwgNjc3IEh1bnRpbmd0b24g
QXZlLCBCb3N0b24sIE1BIDAyMTE1LCBVU0EuIGNocmlzdG9waGVyLmR1Z2dhbkBjaGlsZHJlbnMu
aGFydmFyZC5lZHUuJiN4RDtEZXBhcnRtZW50IG9mIEdsb2JhbCBIZWFsdGggYW5kIFBvcHVsYXRp
b24sIEhhcnZhcmQgVC5ILiBDaGFuIFNjaG9vbCBvZiBQdWJsaWMgSGVhbHRoLCA2NzcgSHVudGlu
Z3RvbiBBdmUsIEJvc3RvbiwgTUEgMDIxMTUsIFVTQS4gY2hyaXN0b3BoZXIuZHVnZ2FuQGNoaWxk
cmVucy5oYXJ2YXJkLmVkdS4mI3hEO0ZyaWVkbWFuIFNjaG9vbCBvZiBOdXRyaXRpb24gU2NpZW5j
ZSBhbmQgUG9saWN5LCBUdWZ0cyBVbml2ZXJzaXR5LCAxNTAgSGFycmlzb24gQXZlLCBCb3N0b24s
IE1BIDAyMTExLCBVU0EuIERhcml1c2guTW96YWZmYXJpYW5AdHVmdHMuZWR1LiYjeEQ7RGVwYXJ0
bWVudCBvZiBOdXRyaXRpb24sIEhhcnZhcmQgVC5ILiBDaGFuIFNjaG9vbCBvZiBQdWJsaWMgSGVh
bHRoLCBIYXJ2YXJkIFQuSC4gQ2hhbiBTY2hvb2wgb2YgUHVibGljIEhlYWx0aCwgNjc3IEh1bnRp
bmd0b24gQXZlLCBCb3N0b24sIE1BIDAyMTE1LCBVU0EuIG1pbmFAaHNwaC5oYXJ2YXJkLmVkdS4m
I3hEO0RlcGFydG1lbnQgb2YgR2xvYmFsIEhlYWx0aCBhbmQgUG9wdWxhdGlvbiwgSGFydmFyZCBU
LkguIENoYW4gU2Nob29sIG9mIFB1YmxpYyBIZWFsdGgsIDY3NyBIdW50aW5ndG9uIEF2ZSwgQm9z
dG9uLCBNQSAwMjExNSwgVVNBLiBtaW5hQGhzcGguaGFydmFyZC5lZHUuJiN4RDtEZXBhcnRtZW50
IG9mIEVwaWRlbWlvbG9neSwgSGFydmFyZCBULkguIENoYW4gU2Nob29sIG9mIFB1YmxpYyBIZWFs
dGgsIDY3NyBIdW50aW5ndG9uIEF2ZSwgQm9zdG9uLCBNQSAwMjExNSwgVVNBLiBtaW5hQGhzcGgu
aGFydmFyZC5lZHUuPC9hdXRoLWFkZHJlc3M+PHRpdGxlcz48dGl0bGU+RWZmZWN0IG9mIFppbmMg
U3VwcGxlbWVudGF0aW9uIG9uIEdyb3d0aCBPdXRjb21lcyBpbiBDaGlsZHJlbiB1bmRlciA1IFll
YXJzIG9mIEFnZTwvdGl0bGU+PHNlY29uZGFyeS10aXRsZT5OdXRyaWVudHM8L3NlY29uZGFyeS10
aXRsZT48L3RpdGxlcz48cGVyaW9kaWNhbD48ZnVsbC10aXRsZT5OdXRyaWVudHM8L2Z1bGwtdGl0
bGU+PC9wZXJpb2RpY2FsPjx2b2x1bWU+MTA8L3ZvbHVtZT48bnVtYmVyPjM8L251bWJlcj48ZWRp
dGlvbj4yMDE4LzAzLzIxPC9lZGl0aW9uPjxrZXl3b3Jkcz48a2V5d29yZD5BZ2UgRmFjdG9yczwv
a2V5d29yZD48a2V5d29yZD5Cb2R5IEhlaWdodDwva2V5d29yZD48a2V5d29yZD4qQ2hpbGQgRGV2
ZWxvcG1lbnQ8L2tleXdvcmQ+PGtleXdvcmQ+KkNoaWxkIE51dHJpdGlvbmFsIFBoeXNpb2xvZ2lj
YWwgUGhlbm9tZW5hPC9rZXl3b3JkPjxrZXl3b3JkPkNoaWxkLCBQcmVzY2hvb2w8L2tleXdvcmQ+
PGtleXdvcmQ+KkRpZXRhcnkgU3VwcGxlbWVudHMvYWR2ZXJzZSBlZmZlY3RzPC9rZXl3b3JkPjxr
ZXl3b3JkPkZlbWFsZTwva2V5d29yZD48a2V5d29yZD5HZXN0YXRpb25hbCBBZ2U8L2tleXdvcmQ+
PGtleXdvcmQ+SHVtYW5zPC9rZXl3b3JkPjxrZXl3b3JkPkluZmFudDwva2V5d29yZD48a2V5d29y
ZD5JbmZhbnQsIE5ld2Jvcm48L2tleXdvcmQ+PGtleXdvcmQ+TWFsZTwva2V5d29yZD48a2V5d29y
ZD5NYXRlcm5hbCBOdXRyaXRpb25hbCBQaHlzaW9sb2dpY2FsIFBoZW5vbWVuYTwva2V5d29yZD48
a2V5d29yZD4qTnV0cml0aW9uYWwgU3RhdHVzPC9rZXl3b3JkPjxrZXl3b3JkPlByZWduYW5jeTwv
a2V5d29yZD48a2V5d29yZD5QcmVuYXRhbCBDYXJlL21ldGhvZHM8L2tleXdvcmQ+PGtleXdvcmQ+
UHJlbmF0YWwgRXhwb3N1cmUgRGVsYXllZCBFZmZlY3RzPC9rZXl3b3JkPjxrZXl3b3JkPlJhbmRv
bWl6ZWQgQ29udHJvbGxlZCBUcmlhbHMgYXMgVG9waWM8L2tleXdvcmQ+PGtleXdvcmQ+UmVjb21t
ZW5kZWQgRGlldGFyeSBBbGxvd2FuY2VzPC9rZXl3b3JkPjxrZXl3b3JkPldlaWdodCBHYWluPC9r
ZXl3b3JkPjxrZXl3b3JkPlppbmMvKmFkbWluaXN0cmF0aW9uICZhbXA7IGRvc2FnZS9hZHZlcnNl
IGVmZmVjdHM8L2tleXdvcmQ+PGtleXdvcmQ+Y2hpbGQgZ3Jvd3RoPC9rZXl3b3JkPjxrZXl3b3Jk
Pm1ldGEtYW5hbHlzaXM8L2tleXdvcmQ+PGtleXdvcmQ+cmFuZG9taXplZCBjb250cm9sbGVkIHRy
aWFsPC9rZXl3b3JkPjxrZXl3b3JkPnN5c3RlbWF0aWMgcmV2aWV3PC9rZXl3b3JkPjxrZXl3b3Jk
PnppbmMgc3VwcGxlbWVudGF0aW9uPC9rZXl3b3JkPjxrZXl3b3JkPkhhYXMgQXZvY2FkbyBCb2Fy
ZCwgQXN0cmEgWmVuZWNhLCBHT0VELCBEU00sIFBvbGxvY2sgQ29tbXVuaWNhdGlvbnMsIGFuZCBM
aWZlPC9rZXl3b3JkPjxrZXl3b3JkPlNjaWVuY2VzIFJlc2VhcmNoIE9yZ2FuaXphdGlvbjwva2V5
d29yZD48a2V5d29yZD5jaGFwdGVyIHJveWFsdGllcyBmcm9tIFVwVG9EYXRlPC9rZXl3b3JkPjxr
ZXl3b3JkPmFuZCBzY2llbnRpZmljPC9rZXl3b3JkPjxrZXl3b3JkPmFkdmlzb3J5IGJvYXJkIGZv
ciBFbHlzaXVtIEhlYWx0aCwgYW5kIE9tYWRhIEhlYWx0aC4gSGFydmFyZCBVbml2ZXJzaXR5IGhh
cyBiZWVuPC9rZXl3b3JkPjxrZXl3b3JkPmFzc2lnbmVkIHBhdGVudCBVUzg4ODk3MzkgQjIsIGxp
c3RpbmcgTW96YWZmYXJpYW4gYXMgb25lIG9mIHRocmVlIGNvLWludmVudG9ycyw8L2tleXdvcmQ+
PGtleXdvcmQ+Zm9yICZxdW90O1VzZSBvZiB0cmFuc3BhbG1pdG9sZWljIGFjaWQgaW4gaWRlbnRp
ZnlpbmcgYW5kIHRyZWF0aW5nIG1ldGFib2xpYyBkaXNlYXNlJnF1b3Q7Ljwva2V5d29yZD48a2V5
d29yZD5EdWdnYW4gcmVwb3J0cyByb3lhbHRpZXMgZnJvbSBVcFRvRGF0ZSwgYW5kIFBNUEg8L2tl
eXdvcmQ+PGtleXdvcmQ+QWxsIG90aGVyIGF1dGhvcnMgZGVjbGFyZSBubzwva2V5d29yZD48a2V5
d29yZD5jb25mbGljdCBvZiBpbnRlcmVzdC4gVGhlIHN0dWR5IGlzIHNwb25zb3JlZCBieSBCaWxs
ICZhbXA7IE1lbGluZGEgR2F0ZXMgRm91bmRhdGlvbiw8L2tleXdvcmQ+PGtleXdvcmQ+Z3JhbnQg
bnVtYmVyIE9QUDEwOTk1MDUuIENQRCB3YXMgc3VwcG9ydGVkIGluIHBhcnQgYnkgTklIIGdyYW50
cyBLMjRESzEwNDY3NiBhbmQ8L2tleXdvcmQ+PGtleXdvcmQ+MlAzMERLMDQwNTYxLiBUaGUgZm91
bmRpbmcgc3BvbnNvcnMgaGFkIG5vIHJvbGUgaW4gdGhlIGRlc2lnbiBvZiB0aGUgc3R1ZHk8L2tl
eXdvcmQ+PGtleXdvcmQ+aW48L2tleXdvcmQ+PGtleXdvcmQ+dGhlIGNvbGxlY3Rpb24sIGFuYWx5
c2VzLCBvciBpbnRlcnByZXRhdGlvbiBvZiBkYXRhPC9rZXl3b3JkPjxrZXl3b3JkPmluIHRoZSB3
cml0aW5nIG9mIHRoZTwva2V5d29yZD48a2V5d29yZD5tYW51c2NyaXB0LCBhbmQgaW4gdGhlIGRl
Y2lzaW9uIHRvIHB1Ymxpc2ggdGhlIHJlc3VsdHMuPC9rZXl3b3JkPjwva2V5d29yZHM+PGRhdGVz
Pjx5ZWFyPjIwMTg8L3llYXI+PHB1Yi1kYXRlcz48ZGF0ZT5NYXIgMjA8L2RhdGU+PC9wdWItZGF0
ZXM+PC9kYXRlcz48aXNibj4yMDcyLTY2NDMgKEVsZWN0cm9uaWMpJiN4RDsyMDcyLTY2NDMgKExp
bmtpbmcpPC9pc2JuPjxhY2Nlc3Npb24tbnVtPjI5NTU4MzgzPC9hY2Nlc3Npb24tbnVtPjx1cmxz
PjxyZWxhdGVkLXVybHM+PHVybD5odHRwczovL3d3dy5uY2JpLm5sbS5uaWguZ292L3B1Ym1lZC8y
OTU1ODM4MzwvdXJsPjwvcmVsYXRlZC11cmxzPjwvdXJscz48Y3VzdG9tMj5QTUM1ODcyNzk1PC9j
dXN0b20yPjxlbGVjdHJvbmljLXJlc291cmNlLW51bT4xMC4zMzkwL251MTAwMzAzNzc8L2VsZWN0
cm9uaWMtcmVzb3VyY2UtbnVtPjwvcmVjb3JkPjwvQ2l0ZT48Q2l0ZT48QXV0aG9yPk9oPC9BdXRo
b3I+PFllYXI+MjAyMDwvWWVhcj48UmVjTnVtPjE4NzM8L1JlY051bT48cmVjb3JkPjxyZWMtbnVt
YmVyPjE4NzM8L3JlYy1udW1iZXI+PGZvcmVpZ24ta2V5cz48a2V5IGFwcD0iRU4iIGRiLWlkPSJl
eHZhc3JmeDJkdHJhb2VzYXN4cDJzenN4YTJkZjUwMjU5MngiIHRpbWVzdGFtcD0iMTU4ODEzODYy
OSI+MTg3Mzwva2V5PjxrZXkgYXBwPSJFTldlYiIgZGItaWQ9IiI+MDwva2V5PjwvZm9yZWlnbi1r
ZXlzPjxyZWYtdHlwZSBuYW1lPSJKb3VybmFsIEFydGljbGUiPjE3PC9yZWYtdHlwZT48Y29udHJp
YnV0b3JzPjxhdXRob3JzPjxhdXRob3I+T2gsIEMuPC9hdXRob3I+PGF1dGhvcj5LZWF0cywgRS4g
Qy48L2F1dGhvcj48YXV0aG9yPkJodXR0YSwgWi4gQS48L2F1dGhvcj48L2F1dGhvcnM+PC9jb250
cmlidXRvcnM+PGF1dGgtYWRkcmVzcz5DZW50cmUgZm9yIEdsb2JhbCBDaGlsZCBIZWFsdGgsIFRo
ZSBIb3NwaXRhbCBmb3IgU2ljayBDaGlsZHJlbiwgVG9yb250bywgT04gTTVHIDBBNCwgQ2FuYWRh
LiYjeEQ7Q2VudHJlIG9mIEV4Y2VsbGVuY2UgaW4gV29tZW4gYW5kIENoaWxkJmFwb3M7cyBIZWFs
dGgsIEFnYSBLaGFuIFVuaXZlcnNpdHksIEthcmFjaGkgNzQ4MDAsIFBha2lzdGFuLjwvYXV0aC1h
ZGRyZXNzPjx0aXRsZXM+PHRpdGxlPlZpdGFtaW4gYW5kIG1pbmVyYWwgc3VwcGxlbWVudGF0aW9u
IGR1cmluZyBwcmVnbmFuY3kgb24gbWF0ZXJuYWwsIGJpcnRoLCBjaGlsZCBoZWFsdGggYW5kIGRl
dmVsb3BtZW50IG91dGNvbWVzIGluIGxvdy0gYW5kIG1pZGRsZS1pbmNvbWUgY291bnRyaWVzOiBh
IHN5c3RlbWF0aWMgcmV2aWV3IGFuZCBtZXRhLWFuYWx5c2lzPC90aXRsZT48c2Vjb25kYXJ5LXRp
dGxlPk51dHJpZW50czwvc2Vjb25kYXJ5LXRpdGxlPjwvdGl0bGVzPjxwZXJpb2RpY2FsPjxmdWxs
LXRpdGxlPk51dHJpZW50czwvZnVsbC10aXRsZT48L3BlcmlvZGljYWw+PHZvbHVtZT4xMjwvdm9s
dW1lPjxudW1iZXI+MjwvbnVtYmVyPjxlZGl0aW9uPjIwMjAvMDIvMjM8L2VkaXRpb24+PGtleXdv
cmRzPjxrZXl3b3JkPmRldmVsb3BpbmcgY291bnRyaWVzPC9rZXl3b3JkPjxrZXl3b3JkPm1pY3Jv
bnV0cmllbnQgc3VwcGxlbWVudGF0aW9uPC9rZXl3b3JkPjxrZXl3b3JkPnByZWduYW5jeTwva2V5
d29yZD48a2V5d29yZD52aXRhbWluIHN1cHBsZW1lbnRhdGlvbjwva2V5d29yZD48L2tleXdvcmRz
PjxkYXRlcz48eWVhcj4yMDIwPC95ZWFyPjxwdWItZGF0ZXM+PGRhdGU+RmViIDE0PC9kYXRlPjwv
cHViLWRhdGVzPjwvZGF0ZXM+PGlzYm4+MjA3Mi02NjQzIChFbGVjdHJvbmljKSYjeEQ7MjA3Mi02
NjQzIChMaW5raW5nKTwvaXNibj48YWNjZXNzaW9uLW51bT4zMjA3NTA3MTwvYWNjZXNzaW9uLW51
bT48dXJscz48cmVsYXRlZC11cmxzPjx1cmw+aHR0cHM6Ly93d3cubmNiaS5ubG0ubmloLmdvdi9w
dWJtZWQvMzIwNzUwNzE8L3VybD48L3JlbGF0ZWQtdXJscz48L3VybHM+PGN1c3RvbTI+UE1DNzA3
MTM0NzwvY3VzdG9tMj48ZWxlY3Ryb25pYy1yZXNvdXJjZS1udW0+MTAuMzM5MC9udTEyMDIwNDkx
PC9lbGVjdHJvbmljLXJlc291cmNlLW51bT48L3JlY29yZD48L0NpdGU+PC9FbmROb3RlPn==
</w:fldData>
        </w:fldChar>
      </w:r>
      <w:r w:rsidR="002747EA">
        <w:instrText xml:space="preserve"> ADDIN EN.CITE </w:instrText>
      </w:r>
      <w:r w:rsidR="002747EA">
        <w:fldChar w:fldCharType="begin">
          <w:fldData xml:space="preserve">PEVuZE5vdGU+PENpdGU+PEF1dGhvcj5PdGE8L0F1dGhvcj48WWVhcj4yMDE1PC9ZZWFyPjxSZWNO
dW0+MTE5MzwvUmVjTnVtPjxEaXNwbGF5VGV4dD48c3R5bGUgZmFjZT0ic3VwZXJzY3JpcHQiIGZv
bnQ9IlRyZWJ1Y2hldCBNUyIgc2l6ZT0iOSI+MjA2LTIwODwvc3R5bGU+PC9EaXNwbGF5VGV4dD48
cmVjb3JkPjxyZWMtbnVtYmVyPjExOTM8L3JlYy1udW1iZXI+PGZvcmVpZ24ta2V5cz48a2V5IGFw
cD0iRU4iIGRiLWlkPSJleHZhc3JmeDJkdHJhb2VzYXN4cDJzenN4YTJkZjUwMjU5MngiIHRpbWVz
dGFtcD0iMTU1OTUzMjkyOCI+MTE5Mzwva2V5PjxrZXkgYXBwPSJFTldlYiIgZGItaWQ9IiI+MDwv
a2V5PjwvZm9yZWlnbi1rZXlzPjxyZWYtdHlwZSBuYW1lPSJKb3VybmFsIEFydGljbGUiPjE3PC9y
ZWYtdHlwZT48Y29udHJpYnV0b3JzPjxhdXRob3JzPjxhdXRob3I+T3RhLCBFLiw8L2F1dGhvcj48
YXV0aG9yPk1vcmksIFIuLDwvYXV0aG9yPjxhdXRob3I+TWlkZGxldG9uLCBQLiw8L2F1dGhvcj48
YXV0aG9yPlRvYmUtR2FpLCBSLiw8L2F1dGhvcj48YXV0aG9yPk1haG9tZWQsIEsuLDwvYXV0aG9y
PjxhdXRob3I+TWl5YXpha2ksIEMuLDwvYXV0aG9yPjxhdXRob3I+Qmh1dHRhLCBaLkEuLDwvYXV0
aG9yPjwvYXV0aG9ycz48L2NvbnRyaWJ1dG9ycz48dGl0bGVzPjx0aXRsZT5aaW5jIHN1cHBsZW1l
bnRhdGlvbiBmb3IgaW1wcm92aW5nIHByZWduYW5jeSBhbmQgaW5mYW50IG91dGNvbWU8L3RpdGxl
PjxzZWNvbmRhcnktdGl0bGU+Q29jaHJhbmUgRGF0YWJhc2Ugb2YgU3lzdGVtYXRpYyBSZXZpZXdz
PC9zZWNvbmRhcnktdGl0bGU+PC90aXRsZXM+PHBlcmlvZGljYWw+PGZ1bGwtdGl0bGU+Q29jaHJh
bmUgRGF0YWJhc2Ugb2YgU3lzdGVtYXRpYyBSZXZpZXdzPC9mdWxsLXRpdGxlPjwvcGVyaW9kaWNh
bD48ZGF0ZXM+PHllYXI+MjAxNTwveWVhcj48L2RhdGVzPjxpc2JuPjE0NjUxODU4PC9pc2JuPjx1
cmxzPjwvdXJscz48ZWxlY3Ryb25pYy1yZXNvdXJjZS1udW0+MTAuMTAwMi8xNDY1MTg1OC5DRDAw
MDIzMC5wdWI1PC9lbGVjdHJvbmljLXJlc291cmNlLW51bT48L3JlY29yZD48L0NpdGU+PENpdGU+
PEF1dGhvcj5MaXU8L0F1dGhvcj48WWVhcj4yMDE4PC9ZZWFyPjxSZWNOdW0+MTE5NTwvUmVjTnVt
PjxyZWNvcmQ+PHJlYy1udW1iZXI+MTE5NTwvcmVjLW51bWJlcj48Zm9yZWlnbi1rZXlzPjxrZXkg
YXBwPSJFTiIgZGItaWQ9ImV4dmFzcmZ4MmR0cmFvZXNhc3hwMnN6c3hhMmRmNTAyNTkyeCIgdGlt
ZXN0YW1wPSIxNTU5NTM1ODg1Ij4xMTk1PC9rZXk+PGtleSBhcHA9IkVOV2ViIiBkYi1pZD0iIj4w
PC9rZXk+PC9mb3JlaWduLWtleXM+PHJlZi10eXBlIG5hbWU9IkpvdXJuYWwgQXJ0aWNsZSI+MTc8
L3JlZi10eXBlPjxjb250cmlidXRvcnM+PGF1dGhvcnM+PGF1dGhvcj5MaXUsIEUuPC9hdXRob3I+
PGF1dGhvcj5QaW1waW4sIEwuPC9hdXRob3I+PGF1dGhvcj5TaHVsa2luLCBNLjwvYXV0aG9yPjxh
dXRob3I+S3JhbnosIFMuPC9hdXRob3I+PGF1dGhvcj5EdWdnYW4sIEMuIFAuPC9hdXRob3I+PGF1
dGhvcj5Nb3phZmZhcmlhbiwgRC48L2F1dGhvcj48YXV0aG9yPkZhd3ppLCBXLiBXLjwvYXV0aG9y
PjwvYXV0aG9ycz48L2NvbnRyaWJ1dG9ycz48YXV0aC1hZGRyZXNzPkluc3RpdHV0aW9uYWwgQ2Vu
dGVycyBvZiBDbGluaWNhbCBhbmQgVHJhbnNsYXRpb25hbCBSZXNlYXJjaCwgQm9zdG9uIENoaWxk
cmVuJmFwb3M7cyBIb3NwaXRhbCwgMzAwIExvbmd3b29kIEF2ZSwgQm9zdG9uLCBNQSAwMjExNSwg
VVNBLiBFbmp1LkxpdUBjaGlsZHJlbnMuaGFydmFyZC5lZHUuJiN4RDtEaXZpc2lvbiBvZiBHYXN0
cm9lbnRlcm9sb2d5LCBIZXBhdG9sb2d5IGFuZCBOdXRyaXRpb24sIEJvc3RvbiBDaGlsZHJlbiZh
cG9zO3MgSG9zcGl0YWwsIDMwMCBMb25nd29vZCBBdmUsIEJvc3RvbiwgTUEgMDIxMTUsIFVTQS4g
RW5qdS5MaXVAY2hpbGRyZW5zLmhhcnZhcmQuZWR1LiYjeEQ7RnJpZWRtYW4gU2Nob29sIG9mIE51
dHJpdGlvbiBTY2llbmNlIGFuZCBQb2xpY3ksIFR1ZnRzIFVuaXZlcnNpdHksIDE1MCBIYXJyaXNv
biBBdmUsIEJvc3RvbiwgTUEgMDIxMTEsIFVTQS4gbGF1cmEucGltcGluQGdtYWlsLmNvbS4mI3hE
O0ZyaWVkbWFuIFNjaG9vbCBvZiBOdXRyaXRpb24gU2NpZW5jZSBhbmQgUG9saWN5LCBUdWZ0cyBV
bml2ZXJzaXR5LCAxNTAgSGFycmlzb24gQXZlLCBCb3N0b24sIE1BIDAyMTExLCBVU0EuIHNodWxr
aW5tQGdtYWlsLmNvbS4mI3hEO0ZyaWVkbWFuIFNjaG9vbCBvZiBOdXRyaXRpb24gU2NpZW5jZSBh
bmQgUG9saWN5LCBUdWZ0cyBVbml2ZXJzaXR5LCAxNTAgSGFycmlzb24gQXZlLCBCb3N0b24sIE1B
IDAyMTExLCBVU0EuIFNhcmFoLktyYW56QHR1ZnRzLmVkdS4mI3hEO0RpdmlzaW9uIG9mIEdhc3Ry
b2VudGVyb2xvZ3ksIEhlcGF0b2xvZ3kgYW5kIE51dHJpdGlvbiwgQm9zdG9uIENoaWxkcmVuJmFw
b3M7cyBIb3NwaXRhbCwgMzAwIExvbmd3b29kIEF2ZSwgQm9zdG9uLCBNQSAwMjExNSwgVVNBLiBj
aHJpc3RvcGhlci5kdWdnYW5AY2hpbGRyZW5zLmhhcnZhcmQuZWR1LiYjeEQ7RGVwYXJ0bWVudCBv
ZiBOdXRyaXRpb24sIEhhcnZhcmQgVC5ILiBDaGFuIFNjaG9vbCBvZiBQdWJsaWMgSGVhbHRoLCBI
YXJ2YXJkIFQuSC4gQ2hhbiBTY2hvb2wgb2YgUHVibGljIEhlYWx0aCwgNjc3IEh1bnRpbmd0b24g
QXZlLCBCb3N0b24sIE1BIDAyMTE1LCBVU0EuIGNocmlzdG9waGVyLmR1Z2dhbkBjaGlsZHJlbnMu
aGFydmFyZC5lZHUuJiN4RDtEZXBhcnRtZW50IG9mIEdsb2JhbCBIZWFsdGggYW5kIFBvcHVsYXRp
b24sIEhhcnZhcmQgVC5ILiBDaGFuIFNjaG9vbCBvZiBQdWJsaWMgSGVhbHRoLCA2NzcgSHVudGlu
Z3RvbiBBdmUsIEJvc3RvbiwgTUEgMDIxMTUsIFVTQS4gY2hyaXN0b3BoZXIuZHVnZ2FuQGNoaWxk
cmVucy5oYXJ2YXJkLmVkdS4mI3hEO0ZyaWVkbWFuIFNjaG9vbCBvZiBOdXRyaXRpb24gU2NpZW5j
ZSBhbmQgUG9saWN5LCBUdWZ0cyBVbml2ZXJzaXR5LCAxNTAgSGFycmlzb24gQXZlLCBCb3N0b24s
IE1BIDAyMTExLCBVU0EuIERhcml1c2guTW96YWZmYXJpYW5AdHVmdHMuZWR1LiYjeEQ7RGVwYXJ0
bWVudCBvZiBOdXRyaXRpb24sIEhhcnZhcmQgVC5ILiBDaGFuIFNjaG9vbCBvZiBQdWJsaWMgSGVh
bHRoLCBIYXJ2YXJkIFQuSC4gQ2hhbiBTY2hvb2wgb2YgUHVibGljIEhlYWx0aCwgNjc3IEh1bnRp
bmd0b24gQXZlLCBCb3N0b24sIE1BIDAyMTE1LCBVU0EuIG1pbmFAaHNwaC5oYXJ2YXJkLmVkdS4m
I3hEO0RlcGFydG1lbnQgb2YgR2xvYmFsIEhlYWx0aCBhbmQgUG9wdWxhdGlvbiwgSGFydmFyZCBU
LkguIENoYW4gU2Nob29sIG9mIFB1YmxpYyBIZWFsdGgsIDY3NyBIdW50aW5ndG9uIEF2ZSwgQm9z
dG9uLCBNQSAwMjExNSwgVVNBLiBtaW5hQGhzcGguaGFydmFyZC5lZHUuJiN4RDtEZXBhcnRtZW50
IG9mIEVwaWRlbWlvbG9neSwgSGFydmFyZCBULkguIENoYW4gU2Nob29sIG9mIFB1YmxpYyBIZWFs
dGgsIDY3NyBIdW50aW5ndG9uIEF2ZSwgQm9zdG9uLCBNQSAwMjExNSwgVVNBLiBtaW5hQGhzcGgu
aGFydmFyZC5lZHUuPC9hdXRoLWFkZHJlc3M+PHRpdGxlcz48dGl0bGU+RWZmZWN0IG9mIFppbmMg
U3VwcGxlbWVudGF0aW9uIG9uIEdyb3d0aCBPdXRjb21lcyBpbiBDaGlsZHJlbiB1bmRlciA1IFll
YXJzIG9mIEFnZTwvdGl0bGU+PHNlY29uZGFyeS10aXRsZT5OdXRyaWVudHM8L3NlY29uZGFyeS10
aXRsZT48L3RpdGxlcz48cGVyaW9kaWNhbD48ZnVsbC10aXRsZT5OdXRyaWVudHM8L2Z1bGwtdGl0
bGU+PC9wZXJpb2RpY2FsPjx2b2x1bWU+MTA8L3ZvbHVtZT48bnVtYmVyPjM8L251bWJlcj48ZWRp
dGlvbj4yMDE4LzAzLzIxPC9lZGl0aW9uPjxrZXl3b3Jkcz48a2V5d29yZD5BZ2UgRmFjdG9yczwv
a2V5d29yZD48a2V5d29yZD5Cb2R5IEhlaWdodDwva2V5d29yZD48a2V5d29yZD4qQ2hpbGQgRGV2
ZWxvcG1lbnQ8L2tleXdvcmQ+PGtleXdvcmQ+KkNoaWxkIE51dHJpdGlvbmFsIFBoeXNpb2xvZ2lj
YWwgUGhlbm9tZW5hPC9rZXl3b3JkPjxrZXl3b3JkPkNoaWxkLCBQcmVzY2hvb2w8L2tleXdvcmQ+
PGtleXdvcmQ+KkRpZXRhcnkgU3VwcGxlbWVudHMvYWR2ZXJzZSBlZmZlY3RzPC9rZXl3b3JkPjxr
ZXl3b3JkPkZlbWFsZTwva2V5d29yZD48a2V5d29yZD5HZXN0YXRpb25hbCBBZ2U8L2tleXdvcmQ+
PGtleXdvcmQ+SHVtYW5zPC9rZXl3b3JkPjxrZXl3b3JkPkluZmFudDwva2V5d29yZD48a2V5d29y
ZD5JbmZhbnQsIE5ld2Jvcm48L2tleXdvcmQ+PGtleXdvcmQ+TWFsZTwva2V5d29yZD48a2V5d29y
ZD5NYXRlcm5hbCBOdXRyaXRpb25hbCBQaHlzaW9sb2dpY2FsIFBoZW5vbWVuYTwva2V5d29yZD48
a2V5d29yZD4qTnV0cml0aW9uYWwgU3RhdHVzPC9rZXl3b3JkPjxrZXl3b3JkPlByZWduYW5jeTwv
a2V5d29yZD48a2V5d29yZD5QcmVuYXRhbCBDYXJlL21ldGhvZHM8L2tleXdvcmQ+PGtleXdvcmQ+
UHJlbmF0YWwgRXhwb3N1cmUgRGVsYXllZCBFZmZlY3RzPC9rZXl3b3JkPjxrZXl3b3JkPlJhbmRv
bWl6ZWQgQ29udHJvbGxlZCBUcmlhbHMgYXMgVG9waWM8L2tleXdvcmQ+PGtleXdvcmQ+UmVjb21t
ZW5kZWQgRGlldGFyeSBBbGxvd2FuY2VzPC9rZXl3b3JkPjxrZXl3b3JkPldlaWdodCBHYWluPC9r
ZXl3b3JkPjxrZXl3b3JkPlppbmMvKmFkbWluaXN0cmF0aW9uICZhbXA7IGRvc2FnZS9hZHZlcnNl
IGVmZmVjdHM8L2tleXdvcmQ+PGtleXdvcmQ+Y2hpbGQgZ3Jvd3RoPC9rZXl3b3JkPjxrZXl3b3Jk
Pm1ldGEtYW5hbHlzaXM8L2tleXdvcmQ+PGtleXdvcmQ+cmFuZG9taXplZCBjb250cm9sbGVkIHRy
aWFsPC9rZXl3b3JkPjxrZXl3b3JkPnN5c3RlbWF0aWMgcmV2aWV3PC9rZXl3b3JkPjxrZXl3b3Jk
PnppbmMgc3VwcGxlbWVudGF0aW9uPC9rZXl3b3JkPjxrZXl3b3JkPkhhYXMgQXZvY2FkbyBCb2Fy
ZCwgQXN0cmEgWmVuZWNhLCBHT0VELCBEU00sIFBvbGxvY2sgQ29tbXVuaWNhdGlvbnMsIGFuZCBM
aWZlPC9rZXl3b3JkPjxrZXl3b3JkPlNjaWVuY2VzIFJlc2VhcmNoIE9yZ2FuaXphdGlvbjwva2V5
d29yZD48a2V5d29yZD5jaGFwdGVyIHJveWFsdGllcyBmcm9tIFVwVG9EYXRlPC9rZXl3b3JkPjxr
ZXl3b3JkPmFuZCBzY2llbnRpZmljPC9rZXl3b3JkPjxrZXl3b3JkPmFkdmlzb3J5IGJvYXJkIGZv
ciBFbHlzaXVtIEhlYWx0aCwgYW5kIE9tYWRhIEhlYWx0aC4gSGFydmFyZCBVbml2ZXJzaXR5IGhh
cyBiZWVuPC9rZXl3b3JkPjxrZXl3b3JkPmFzc2lnbmVkIHBhdGVudCBVUzg4ODk3MzkgQjIsIGxp
c3RpbmcgTW96YWZmYXJpYW4gYXMgb25lIG9mIHRocmVlIGNvLWludmVudG9ycyw8L2tleXdvcmQ+
PGtleXdvcmQ+Zm9yICZxdW90O1VzZSBvZiB0cmFuc3BhbG1pdG9sZWljIGFjaWQgaW4gaWRlbnRp
ZnlpbmcgYW5kIHRyZWF0aW5nIG1ldGFib2xpYyBkaXNlYXNlJnF1b3Q7Ljwva2V5d29yZD48a2V5
d29yZD5EdWdnYW4gcmVwb3J0cyByb3lhbHRpZXMgZnJvbSBVcFRvRGF0ZSwgYW5kIFBNUEg8L2tl
eXdvcmQ+PGtleXdvcmQ+QWxsIG90aGVyIGF1dGhvcnMgZGVjbGFyZSBubzwva2V5d29yZD48a2V5
d29yZD5jb25mbGljdCBvZiBpbnRlcmVzdC4gVGhlIHN0dWR5IGlzIHNwb25zb3JlZCBieSBCaWxs
ICZhbXA7IE1lbGluZGEgR2F0ZXMgRm91bmRhdGlvbiw8L2tleXdvcmQ+PGtleXdvcmQ+Z3JhbnQg
bnVtYmVyIE9QUDEwOTk1MDUuIENQRCB3YXMgc3VwcG9ydGVkIGluIHBhcnQgYnkgTklIIGdyYW50
cyBLMjRESzEwNDY3NiBhbmQ8L2tleXdvcmQ+PGtleXdvcmQ+MlAzMERLMDQwNTYxLiBUaGUgZm91
bmRpbmcgc3BvbnNvcnMgaGFkIG5vIHJvbGUgaW4gdGhlIGRlc2lnbiBvZiB0aGUgc3R1ZHk8L2tl
eXdvcmQ+PGtleXdvcmQ+aW48L2tleXdvcmQ+PGtleXdvcmQ+dGhlIGNvbGxlY3Rpb24sIGFuYWx5
c2VzLCBvciBpbnRlcnByZXRhdGlvbiBvZiBkYXRhPC9rZXl3b3JkPjxrZXl3b3JkPmluIHRoZSB3
cml0aW5nIG9mIHRoZTwva2V5d29yZD48a2V5d29yZD5tYW51c2NyaXB0LCBhbmQgaW4gdGhlIGRl
Y2lzaW9uIHRvIHB1Ymxpc2ggdGhlIHJlc3VsdHMuPC9rZXl3b3JkPjwva2V5d29yZHM+PGRhdGVz
Pjx5ZWFyPjIwMTg8L3llYXI+PHB1Yi1kYXRlcz48ZGF0ZT5NYXIgMjA8L2RhdGU+PC9wdWItZGF0
ZXM+PC9kYXRlcz48aXNibj4yMDcyLTY2NDMgKEVsZWN0cm9uaWMpJiN4RDsyMDcyLTY2NDMgKExp
bmtpbmcpPC9pc2JuPjxhY2Nlc3Npb24tbnVtPjI5NTU4MzgzPC9hY2Nlc3Npb24tbnVtPjx1cmxz
PjxyZWxhdGVkLXVybHM+PHVybD5odHRwczovL3d3dy5uY2JpLm5sbS5uaWguZ292L3B1Ym1lZC8y
OTU1ODM4MzwvdXJsPjwvcmVsYXRlZC11cmxzPjwvdXJscz48Y3VzdG9tMj5QTUM1ODcyNzk1PC9j
dXN0b20yPjxlbGVjdHJvbmljLXJlc291cmNlLW51bT4xMC4zMzkwL251MTAwMzAzNzc8L2VsZWN0
cm9uaWMtcmVzb3VyY2UtbnVtPjwvcmVjb3JkPjwvQ2l0ZT48Q2l0ZT48QXV0aG9yPk9oPC9BdXRo
b3I+PFllYXI+MjAyMDwvWWVhcj48UmVjTnVtPjE4NzM8L1JlY051bT48cmVjb3JkPjxyZWMtbnVt
YmVyPjE4NzM8L3JlYy1udW1iZXI+PGZvcmVpZ24ta2V5cz48a2V5IGFwcD0iRU4iIGRiLWlkPSJl
eHZhc3JmeDJkdHJhb2VzYXN4cDJzenN4YTJkZjUwMjU5MngiIHRpbWVzdGFtcD0iMTU4ODEzODYy
OSI+MTg3Mzwva2V5PjxrZXkgYXBwPSJFTldlYiIgZGItaWQ9IiI+MDwva2V5PjwvZm9yZWlnbi1r
ZXlzPjxyZWYtdHlwZSBuYW1lPSJKb3VybmFsIEFydGljbGUiPjE3PC9yZWYtdHlwZT48Y29udHJp
YnV0b3JzPjxhdXRob3JzPjxhdXRob3I+T2gsIEMuPC9hdXRob3I+PGF1dGhvcj5LZWF0cywgRS4g
Qy48L2F1dGhvcj48YXV0aG9yPkJodXR0YSwgWi4gQS48L2F1dGhvcj48L2F1dGhvcnM+PC9jb250
cmlidXRvcnM+PGF1dGgtYWRkcmVzcz5DZW50cmUgZm9yIEdsb2JhbCBDaGlsZCBIZWFsdGgsIFRo
ZSBIb3NwaXRhbCBmb3IgU2ljayBDaGlsZHJlbiwgVG9yb250bywgT04gTTVHIDBBNCwgQ2FuYWRh
LiYjeEQ7Q2VudHJlIG9mIEV4Y2VsbGVuY2UgaW4gV29tZW4gYW5kIENoaWxkJmFwb3M7cyBIZWFs
dGgsIEFnYSBLaGFuIFVuaXZlcnNpdHksIEthcmFjaGkgNzQ4MDAsIFBha2lzdGFuLjwvYXV0aC1h
ZGRyZXNzPjx0aXRsZXM+PHRpdGxlPlZpdGFtaW4gYW5kIG1pbmVyYWwgc3VwcGxlbWVudGF0aW9u
IGR1cmluZyBwcmVnbmFuY3kgb24gbWF0ZXJuYWwsIGJpcnRoLCBjaGlsZCBoZWFsdGggYW5kIGRl
dmVsb3BtZW50IG91dGNvbWVzIGluIGxvdy0gYW5kIG1pZGRsZS1pbmNvbWUgY291bnRyaWVzOiBh
IHN5c3RlbWF0aWMgcmV2aWV3IGFuZCBtZXRhLWFuYWx5c2lzPC90aXRsZT48c2Vjb25kYXJ5LXRp
dGxlPk51dHJpZW50czwvc2Vjb25kYXJ5LXRpdGxlPjwvdGl0bGVzPjxwZXJpb2RpY2FsPjxmdWxs
LXRpdGxlPk51dHJpZW50czwvZnVsbC10aXRsZT48L3BlcmlvZGljYWw+PHZvbHVtZT4xMjwvdm9s
dW1lPjxudW1iZXI+MjwvbnVtYmVyPjxlZGl0aW9uPjIwMjAvMDIvMjM8L2VkaXRpb24+PGtleXdv
cmRzPjxrZXl3b3JkPmRldmVsb3BpbmcgY291bnRyaWVzPC9rZXl3b3JkPjxrZXl3b3JkPm1pY3Jv
bnV0cmllbnQgc3VwcGxlbWVudGF0aW9uPC9rZXl3b3JkPjxrZXl3b3JkPnByZWduYW5jeTwva2V5
d29yZD48a2V5d29yZD52aXRhbWluIHN1cHBsZW1lbnRhdGlvbjwva2V5d29yZD48L2tleXdvcmRz
PjxkYXRlcz48eWVhcj4yMDIwPC95ZWFyPjxwdWItZGF0ZXM+PGRhdGU+RmViIDE0PC9kYXRlPjwv
cHViLWRhdGVzPjwvZGF0ZXM+PGlzYm4+MjA3Mi02NjQzIChFbGVjdHJvbmljKSYjeEQ7MjA3Mi02
NjQzIChMaW5raW5nKTwvaXNibj48YWNjZXNzaW9uLW51bT4zMjA3NTA3MTwvYWNjZXNzaW9uLW51
bT48dXJscz48cmVsYXRlZC11cmxzPjx1cmw+aHR0cHM6Ly93d3cubmNiaS5ubG0ubmloLmdvdi9w
dWJtZWQvMzIwNzUwNzE8L3VybD48L3JlbGF0ZWQtdXJscz48L3VybHM+PGN1c3RvbTI+UE1DNzA3
MTM0NzwvY3VzdG9tMj48ZWxlY3Ryb25pYy1yZXNvdXJjZS1udW0+MTAuMzM5MC9udTEyMDIwNDkx
PC9lbGVjdHJvbmljLXJlc291cmNlLW51bT48L3JlY29yZD48L0NpdGU+PC9FbmROb3RlPn==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206-208</w:t>
      </w:r>
      <w:r w:rsidR="00BE7640">
        <w:fldChar w:fldCharType="end"/>
      </w:r>
      <w:r>
        <w:t xml:space="preserve"> </w:t>
      </w:r>
      <w:r w:rsidR="00376CA8">
        <w:t xml:space="preserve">and </w:t>
      </w:r>
      <w:r w:rsidR="00F53367">
        <w:t xml:space="preserve">three </w:t>
      </w:r>
      <w:r w:rsidR="00376CA8">
        <w:t>RCTs.</w:t>
      </w:r>
      <w:r w:rsidR="00BE7640">
        <w:fldChar w:fldCharType="begin">
          <w:fldData xml:space="preserve">PEVuZE5vdGU+PENpdGU+PEF1dGhvcj5Ob3NzaWVyPC9BdXRob3I+PFllYXI+MjAxNTwvWWVhcj48
UmVjTnVtPjExOTY8L1JlY051bT48RGlzcGxheVRleHQ+PHN0eWxlIGZhY2U9InN1cGVyc2NyaXB0
IiBmb250PSJUcmVidWNoZXQgTVMiIHNpemU9IjkiPjIwOS0yMTE8L3N0eWxlPjwvRGlzcGxheVRl
eHQ+PHJlY29yZD48cmVjLW51bWJlcj4xMTk2PC9yZWMtbnVtYmVyPjxmb3JlaWduLWtleXM+PGtl
eSBhcHA9IkVOIiBkYi1pZD0iZXh2YXNyZngyZHRyYW9lc2FzeHAyc3pzeGEyZGY1MDI1OTJ4IiB0
aW1lc3RhbXA9IjE1NTk1MzYyMjgiPjExOTY8L2tleT48a2V5IGFwcD0iRU5XZWIiIGRiLWlkPSIi
PjA8L2tleT48L2ZvcmVpZ24ta2V5cz48cmVmLXR5cGUgbmFtZT0iSm91cm5hbCBBcnRpY2xlIj4x
NzwvcmVmLXR5cGU+PGNvbnRyaWJ1dG9ycz48YXV0aG9ycz48YXV0aG9yPk5vc3NpZXIsIFMuIEEu
PC9hdXRob3I+PGF1dGhvcj5OYWVpbSwgTi4gRS48L2F1dGhvcj48YXV0aG9yPkVsLVNheWVkLCBO
LiBBLjwvYXV0aG9yPjxhdXRob3I+QWJ1IFplaWQsIEEuIEEuPC9hdXRob3I+PC9hdXRob3JzPjwv
Y29udHJpYnV0b3JzPjx0aXRsZXM+PHRpdGxlPlRoZSBlZmZlY3Qgb2YgemluYyBzdXBwbGVtZW50
YXRpb24gb24gcHJlZ25hbmN5IG91dGNvbWVzOiBhIGRvdWJsZS1ibGluZCwgcmFuZG9taXNlZCBj
b250cm9sbGVkIHRyaWFsLCBFZ3lwdDwvdGl0bGU+PHNlY29uZGFyeS10aXRsZT5CciBKIE51dHI8
L3NlY29uZGFyeS10aXRsZT48L3RpdGxlcz48cGVyaW9kaWNhbD48ZnVsbC10aXRsZT5CciBKIE51
dHI8L2Z1bGwtdGl0bGU+PC9wZXJpb2RpY2FsPjxwYWdlcz4yNzQtODU8L3BhZ2VzPjx2b2x1bWU+
MTE0PC92b2x1bWU+PG51bWJlcj4yPC9udW1iZXI+PGVkaXRpb24+MjAxNS8wNi8yNDwvZWRpdGlv
bj48a2V5d29yZHM+PGtleXdvcmQ+QWR1bHQ8L2tleXdvcmQ+PGtleXdvcmQ+QmlydGggV2VpZ2h0
PC9rZXl3b3JkPjxrZXl3b3JkPipEaWV0YXJ5IFN1cHBsZW1lbnRzPC9rZXl3b3JkPjxrZXl3b3Jk
PkRvdWJsZS1CbGluZCBNZXRob2Q8L2tleXdvcmQ+PGtleXdvcmQ+RWd5cHQ8L2tleXdvcmQ+PGtl
eXdvcmQ+RmVtYWxlPC9rZXl3b3JkPjxrZXl3b3JkPkhlYWx0aHkgVm9sdW50ZWVyczwva2V5d29y
ZD48a2V5d29yZD5IdW1hbnM8L2tleXdvcmQ+PGtleXdvcmQ+TWlkZGxlIEFnZWQ8L2tleXdvcmQ+
PGtleXdvcmQ+UHJlZ25hbmN5PC9rZXl3b3JkPjxrZXl3b3JkPlByZWduYW5jeSBDb21wbGljYXRp
b25zL3ByZXZlbnRpb24gJmFtcDsgY29udHJvbDwva2V5d29yZD48a2V5d29yZD4qUHJlZ25hbmN5
IE91dGNvbWU8L2tleXdvcmQ+PGtleXdvcmQ+UHJlbWF0dXJlIEJpcnRoL3ByZXZlbnRpb24gJmFt
cDsgY29udHJvbDwva2V5d29yZD48a2V5d29yZD5WaXRhbWlucy9hZG1pbmlzdHJhdGlvbiAmYW1w
OyBkb3NhZ2U8L2tleXdvcmQ+PGtleXdvcmQ+WW91bmcgQWR1bHQ8L2tleXdvcmQ+PGtleXdvcmQ+
WmluYy8qYWRtaW5pc3RyYXRpb24gJmFtcDsgZG9zYWdlPC9rZXl3b3JkPjwva2V5d29yZHM+PGRh
dGVzPjx5ZWFyPjIwMTU8L3llYXI+PHB1Yi1kYXRlcz48ZGF0ZT5KdWw8L2RhdGU+PC9wdWItZGF0
ZXM+PC9kYXRlcz48aXNibj4xNDc1LTI2NjIgKEVsZWN0cm9uaWMpJiN4RDswMDA3LTExNDUgKExp
bmtpbmcpPC9pc2JuPjxhY2Nlc3Npb24tbnVtPjI2MDk5MTk1PC9hY2Nlc3Npb24tbnVtPjx1cmxz
PjxyZWxhdGVkLXVybHM+PHVybD5odHRwczovL3d3dy5uY2JpLm5sbS5uaWguZ292L3B1Ym1lZC8y
NjA5OTE5NTwvdXJsPjwvcmVsYXRlZC11cmxzPjwvdXJscz48ZWxlY3Ryb25pYy1yZXNvdXJjZS1u
dW0+MTAuMTAxNy9TMDAwNzExNDUxNTAwMTY2WDwvZWxlY3Ryb25pYy1yZXNvdXJjZS1udW0+PC9y
ZWNvcmQ+PC9DaXRlPjxDaXRlPjxBdXRob3I+WmFoaXJpIFNvcm91cmk8L0F1dGhvcj48WWVhcj4y
MDE2PC9ZZWFyPjxSZWNOdW0+MTE5NDwvUmVjTnVtPjxyZWNvcmQ+PHJlYy1udW1iZXI+MTE5NDwv
cmVjLW51bWJlcj48Zm9yZWlnbi1rZXlzPjxrZXkgYXBwPSJFTiIgZGItaWQ9ImV4dmFzcmZ4MmR0
cmFvZXNhc3hwMnN6c3hhMmRmNTAyNTkyeCIgdGltZXN0YW1wPSIxNTU5NTMzNzE2Ij4xMTk0PC9r
ZXk+PGtleSBhcHA9IkVOV2ViIiBkYi1pZD0iIj4wPC9rZXk+PC9mb3JlaWduLWtleXM+PHJlZi10
eXBlIG5hbWU9IkpvdXJuYWwgQXJ0aWNsZSI+MTc8L3JlZi10eXBlPjxjb250cmlidXRvcnM+PGF1
dGhvcnM+PGF1dGhvcj5aYWhpcmkgU29yb3VyaSwgWi48L2F1dGhvcj48YXV0aG9yPlNhZGVnaGks
IEguPC9hdXRob3I+PGF1dGhvcj5Qb3VybWFyemksIEQuPC9hdXRob3I+PC9hdXRob3JzPjwvY29u
dHJpYnV0b3JzPjxhdXRoLWFkZHJlc3M+YSBEZXBhcnRtZW50IG9mIE9ic3RldHJpY3MgYW5kIEd5
bmVjb2xvZ3kgLCBSZXByb2R1Y3RpdmUgSGVhbHRoIFJlc2VhcmNoIENlbnRlciwgQWx6YWhyYSBI
b3NwaXRhbCwgR3VpbGFuIFVuaXZlcnNpdHkgb2YgTWVkaWNhbCBTY2llbmNlcyAsIFJhc2h0ICwg
SXJhbiBhbmQuJiN4RDtiIFJlcHJvZHVjdGl2ZSBIZWFsdGggUmVzZWFyY2ggQ2VudGVyLCBBbHph
aHJhIEhvc3BpdGFsLCBHdWlsYW4gVW5pdmVyc2l0eSBvZiBNZWRpY2FsIFNjaWVuY2VzICwgUmFz
aHQgLCBJcmFuLjwvYXV0aC1hZGRyZXNzPjx0aXRsZXM+PHRpdGxlPlRoZSBlZmZlY3Qgb2Ygemlu
YyBzdXBwbGVtZW50YXRpb24gb24gcHJlZ25hbmN5IG91dGNvbWU6IGEgcmFuZG9taXplZCBjb250
cm9sbGVkIHRyaWFsPC90aXRsZT48c2Vjb25kYXJ5LXRpdGxlPkogTWF0ZXJuIEZldGFsIE5lb25h
dGFsIE1lZDwvc2Vjb25kYXJ5LXRpdGxlPjwvdGl0bGVzPjxwZXJpb2RpY2FsPjxmdWxsLXRpdGxl
PkogTWF0ZXJuIEZldGFsIE5lb25hdGFsIE1lZDwvZnVsbC10aXRsZT48L3BlcmlvZGljYWw+PHBh
Z2VzPjIxOTQtODwvcGFnZXM+PHZvbHVtZT4yOTwvdm9sdW1lPjxudW1iZXI+MTM8L251bWJlcj48
ZWRpdGlvbj4yMDE1LzA5LzE1PC9lZGl0aW9uPjxrZXl3b3Jkcz48a2V5d29yZD5BZHVsdDwva2V5
d29yZD48a2V5d29yZD5CaXJ0aCBXZWlnaHQvZHJ1ZyBlZmZlY3RzPC9rZXl3b3JkPjxrZXl3b3Jk
PipEaWV0YXJ5IFN1cHBsZW1lbnRzPC9rZXl3b3JkPjxrZXl3b3JkPkZlbWFsZTwva2V5d29yZD48
a2V5d29yZD5IdW1hbnM8L2tleXdvcmQ+PGtleXdvcmQ+SW5mYW50LCBOZXdib3JuPC9rZXl3b3Jk
PjxrZXl3b3JkPklyYW4vZXBpZGVtaW9sb2d5PC9rZXl3b3JkPjxrZXl3b3JkPlByZWduYW5jeTwv
a2V5d29yZD48a2V5d29yZD5QcmVnbmFuY3kgQ29tcGxpY2F0aW9ucy9lcGlkZW1pb2xvZ3k8L2tl
eXdvcmQ+PGtleXdvcmQ+KlByZWduYW5jeSBPdXRjb21lL2VwaWRlbWlvbG9neTwva2V5d29yZD48
a2V5d29yZD5Zb3VuZyBBZHVsdDwva2V5d29yZD48a2V5d29yZD5aaW5jLyphZG1pbmlzdHJhdGlv
biAmYW1wOyBkb3NhZ2U8L2tleXdvcmQ+PGtleXdvcmQ+QmlydGggd2VpZ2h0PC9rZXl3b3JkPjxr
ZXl3b3JkPm1hdGVybmFsIG91dGNvbWU8L2tleXdvcmQ+PGtleXdvcmQ+bmVvbmF0YWwgb3V0Y29t
ZTwva2V5d29yZD48a2V5d29yZD56aW5jIHN1cHBsZW1lbnRhdGlvbjwva2V5d29yZD48L2tleXdv
cmRzPjxkYXRlcz48eWVhcj4yMDE2PC95ZWFyPjwvZGF0ZXM+PGlzYm4+MTQ3Ni00OTU0IChFbGVj
dHJvbmljKSYjeEQ7MTQ3Ni00OTU0IChMaW5raW5nKTwvaXNibj48YWNjZXNzaW9uLW51bT4yNjM2
NTMzMDwvYWNjZXNzaW9uLW51bT48dXJscz48cmVsYXRlZC11cmxzPjx1cmw+aHR0cHM6Ly93d3cu
bmNiaS5ubG0ubmloLmdvdi9wdWJtZWQvMjYzNjUzMzA8L3VybD48L3JlbGF0ZWQtdXJscz48L3Vy
bHM+PGVsZWN0cm9uaWMtcmVzb3VyY2UtbnVtPjEwLjMxMDkvMTQ3NjcwNTguMjAxNS4xMDc5NjE1
PC9lbGVjdHJvbmljLXJlc291cmNlLW51bT48L3JlY29yZD48L0NpdGU+PENpdGU+PEF1dGhvcj5O
b29yPC9BdXRob3I+PFllYXI+MjAyMDwvWWVhcj48UmVjTnVtPjE4NzQ8L1JlY051bT48cmVjb3Jk
PjxyZWMtbnVtYmVyPjE4NzQ8L3JlYy1udW1iZXI+PGZvcmVpZ24ta2V5cz48a2V5IGFwcD0iRU4i
IGRiLWlkPSJleHZhc3JmeDJkdHJhb2VzYXN4cDJzenN4YTJkZjUwMjU5MngiIHRpbWVzdGFtcD0i
MTU4ODEzODc2NiI+MTg3NDwva2V5PjxrZXkgYXBwPSJFTldlYiIgZGItaWQ9IiI+MDwva2V5Pjwv
Zm9yZWlnbi1rZXlzPjxyZWYtdHlwZSBuYW1lPSJKb3VybmFsIEFydGljbGUiPjE3PC9yZWYtdHlw
ZT48Y29udHJpYnV0b3JzPjxhdXRob3JzPjxhdXRob3I+Tm9vciwgUi4gQS48L2F1dGhvcj48YXV0
aG9yPkFiaW95ZSwgQS4gSS48L2F1dGhvcj48YXV0aG9yPkRhcmxpbmcsIEEuIE0uPC9hdXRob3I+
PGF1dGhvcj5IZXJ0em1hcmssIEUuPC9hdXRob3I+PGF1dGhvcj5BYm91ZCwgUy48L2F1dGhvcj48
YXV0aG9yPlByZW1qaSwgWi48L2F1dGhvcj48YXV0aG9yPk11Z3VzaSwgRi4gTS48L2F1dGhvcj48
YXV0aG9yPkR1Z2dhbiwgQy48L2F1dGhvcj48YXV0aG9yPlN1ZGZlbGQsIEMuIFIuPC9hdXRob3I+
PGF1dGhvcj5TcGllZ2VsbWFuLCBELjwvYXV0aG9yPjxhdXRob3I+RmF3emksIFcuPC9hdXRob3I+
PC9hdXRob3JzPjwvY29udHJpYnV0b3JzPjxhdXRoLWFkZHJlc3M+RGVwYXJ0bWVudCBvZiBOdXRy
aXRpb24sIEhhcnZhcmQgVEggQ2hhbiBTY2hvb2wgb2YgUHVibGljIEhlYWx0aCwgQm9zdG9uLCBN
QSwgVVNBLiYjeEQ7RGVwYXJ0bWVudCBvZiBHbG9iYWwgSGVhbHRoIGFuZCBQb3B1bGF0aW9uLCBI
YXJ2YXJkIFRIIENoYW4gU2Nob29sIG9mIFB1YmxpYyBIZWFsdGgsIEJvc3RvbiwgTUEsIFVTQS4m
I3hEO0RlcGFydG1lbnQgb2YgTWljcm9iaW9sb2d5IGFuZCBJbW11bm9sb2d5LCBTY2hvb2wgb2Yg
TWVkaWNpbmUsIE11aGltYmlsaSBVbml2ZXJzaXR5IG9mIEhlYWx0aCBhbmQgQWxsaWVkIFNjaWVu
Y2VzLCBEYXIgZXMgU2FsYWFtLCBUYW56YW5pYS4mI3hEO0RlcGFydG1lbnQgb2YgUGFyYXNpdG9s
b2d5L01lZGljYWwgRW50b21vbG9neSwgU2Nob29sIG9mIFB1YmxpYyBIZWFsdGggYW5kIFNvY2lh
bCBTY2llbmNlcywgTXVoaW1iaWxpIFVuaXZlcnNpdHkgb2YgSGVhbHRoIGFuZCBBbGxpZWQgU2Np
ZW5jZXMsIERhciBlcyBTYWxhYW0sIFRhbnphbmlhLiYjeEQ7RGVwYXJ0bWVudCBvZiBJbnRlcm5h
bCBNZWRpY2luZSwgTXVoaW1iaWxpIFVuaXZlcnNpdHkgb2YgSGVhbHRoIGFuZCBBbGxpZWQgU2Np
ZW5jZXMsIERhciBlcyBTYWxhYW0sIFRhbnphbmlhLiYjeEQ7RGl2aXNpb24gb2YgR2FzdHJvZW50
ZXJvbG9neSwgSGVwYXRvbG9neSBhbmQgTnV0cml0aW9uLCBCb3N0b24gQ2hpbGRyZW4mYXBvcztz
IEhvc3BpdGFsLCBIYXJ2YXJkIE1lZGljYWwgU2Nob29sLCBCb3N0b24sIE1BLCBVU0EuJiN4RDtE
ZXBhcnRtZW50IG9mIEVwaWRlbWlvbG9neSwgSGFydmFyZCBUSCBDaGFuIFNjaG9vbCBvZiBQdWJs
aWMgSGVhbHRoLCBCb3N0b24sIE1BLCBVU0EuJiN4RDtEZXBhcnRtZW50IG9mIEJpb3N0YXRpc3Rp
Y3MsIEhhcnZhcmQgVEggQ2hhbiBTY2hvb2wgb2YgUHVibGljIEhlYWx0aCwgQm9zdG9uLCBNQSwg
VVNBLiYjeEQ7RGVwYXJ0bWVudCBvZiBCaW9zdGF0aXN0aWNzLCBZYWxlIFNjaG9vbCBvZiBQdWJs
aWMgSGVhbHRoLCBOZXcgSGF2ZW4sIENULCBVU0EuPC9hdXRoLWFkZHJlc3M+PHRpdGxlcz48dGl0
bGU+UHJlbmF0YWwgemluYyBhbmQgdml0YW1pbiBBIHJlZHVjZSB0aGUgYmVuZWZpdCBvZiBpcm9u
IG9uIG1hdGVybmFsIGhlbWF0b2xvZ2ljIGFuZCBtaWNyb251dHJpZW50IHN0YXR1cyBhdCBkZWxp
dmVyeSBpbiBUYW56YW5pYTwvdGl0bGU+PHNlY29uZGFyeS10aXRsZT5KIE51dHI8L3NlY29uZGFy
eS10aXRsZT48L3RpdGxlcz48cGVyaW9kaWNhbD48ZnVsbC10aXRsZT5KIE51dHI8L2Z1bGwtdGl0
bGU+PC9wZXJpb2RpY2FsPjxwYWdlcz4yNDAtMjQ4PC9wYWdlcz48dm9sdW1lPjE1MDwvdm9sdW1l
PjxudW1iZXI+MjwvbnVtYmVyPjxlZGl0aW9uPjIwMTkvMTAvMTc8L2VkaXRpb24+PGtleXdvcmRz
PjxrZXl3b3JkPmFuZW1pYTwva2V5d29yZD48a2V5d29yZD5pcm9uPC9rZXl3b3JkPjxrZXl3b3Jk
Pm1pY3JvbnV0cmllbnRzPC9rZXl3b3JkPjxrZXl3b3JkPnByZWduYW5jeTwva2V5d29yZD48a2V5
d29yZD52aXRhbWluIEE8L2tleXdvcmQ+PGtleXdvcmQ+emluYzwva2V5d29yZD48L2tleXdvcmRz
PjxkYXRlcz48eWVhcj4yMDIwPC95ZWFyPjxwdWItZGF0ZXM+PGRhdGU+RmViIDE8L2RhdGU+PC9w
dWItZGF0ZXM+PC9kYXRlcz48aXNibj4xNTQxLTYxMDAgKEVsZWN0cm9uaWMpJiN4RDswMDIyLTMx
NjYgKExpbmtpbmcpPC9pc2JuPjxhY2Nlc3Npb24tbnVtPjMxNjE4NDMwPC9hY2Nlc3Npb24tbnVt
Pjx1cmxzPjxyZWxhdGVkLXVybHM+PHVybD5odHRwczovL3d3dy5uY2JpLm5sbS5uaWguZ292L3B1
Ym1lZC8zMTYxODQzMDwvdXJsPjwvcmVsYXRlZC11cmxzPjwvdXJscz48ZWxlY3Ryb25pYy1yZXNv
dXJjZS1udW0+MTAuMTA5My9qbi9ueHoyNDI8L2VsZWN0cm9uaWMtcmVzb3VyY2UtbnVtPjwvcmVj
b3JkPjwvQ2l0ZT48L0VuZE5vdGU+AG==
</w:fldData>
        </w:fldChar>
      </w:r>
      <w:r w:rsidR="002747EA">
        <w:instrText xml:space="preserve"> ADDIN EN.CITE </w:instrText>
      </w:r>
      <w:r w:rsidR="002747EA">
        <w:fldChar w:fldCharType="begin">
          <w:fldData xml:space="preserve">PEVuZE5vdGU+PENpdGU+PEF1dGhvcj5Ob3NzaWVyPC9BdXRob3I+PFllYXI+MjAxNTwvWWVhcj48
UmVjTnVtPjExOTY8L1JlY051bT48RGlzcGxheVRleHQ+PHN0eWxlIGZhY2U9InN1cGVyc2NyaXB0
IiBmb250PSJUcmVidWNoZXQgTVMiIHNpemU9IjkiPjIwOS0yMTE8L3N0eWxlPjwvRGlzcGxheVRl
eHQ+PHJlY29yZD48cmVjLW51bWJlcj4xMTk2PC9yZWMtbnVtYmVyPjxmb3JlaWduLWtleXM+PGtl
eSBhcHA9IkVOIiBkYi1pZD0iZXh2YXNyZngyZHRyYW9lc2FzeHAyc3pzeGEyZGY1MDI1OTJ4IiB0
aW1lc3RhbXA9IjE1NTk1MzYyMjgiPjExOTY8L2tleT48a2V5IGFwcD0iRU5XZWIiIGRiLWlkPSIi
PjA8L2tleT48L2ZvcmVpZ24ta2V5cz48cmVmLXR5cGUgbmFtZT0iSm91cm5hbCBBcnRpY2xlIj4x
NzwvcmVmLXR5cGU+PGNvbnRyaWJ1dG9ycz48YXV0aG9ycz48YXV0aG9yPk5vc3NpZXIsIFMuIEEu
PC9hdXRob3I+PGF1dGhvcj5OYWVpbSwgTi4gRS48L2F1dGhvcj48YXV0aG9yPkVsLVNheWVkLCBO
LiBBLjwvYXV0aG9yPjxhdXRob3I+QWJ1IFplaWQsIEEuIEEuPC9hdXRob3I+PC9hdXRob3JzPjwv
Y29udHJpYnV0b3JzPjx0aXRsZXM+PHRpdGxlPlRoZSBlZmZlY3Qgb2YgemluYyBzdXBwbGVtZW50
YXRpb24gb24gcHJlZ25hbmN5IG91dGNvbWVzOiBhIGRvdWJsZS1ibGluZCwgcmFuZG9taXNlZCBj
b250cm9sbGVkIHRyaWFsLCBFZ3lwdDwvdGl0bGU+PHNlY29uZGFyeS10aXRsZT5CciBKIE51dHI8
L3NlY29uZGFyeS10aXRsZT48L3RpdGxlcz48cGVyaW9kaWNhbD48ZnVsbC10aXRsZT5CciBKIE51
dHI8L2Z1bGwtdGl0bGU+PC9wZXJpb2RpY2FsPjxwYWdlcz4yNzQtODU8L3BhZ2VzPjx2b2x1bWU+
MTE0PC92b2x1bWU+PG51bWJlcj4yPC9udW1iZXI+PGVkaXRpb24+MjAxNS8wNi8yNDwvZWRpdGlv
bj48a2V5d29yZHM+PGtleXdvcmQ+QWR1bHQ8L2tleXdvcmQ+PGtleXdvcmQ+QmlydGggV2VpZ2h0
PC9rZXl3b3JkPjxrZXl3b3JkPipEaWV0YXJ5IFN1cHBsZW1lbnRzPC9rZXl3b3JkPjxrZXl3b3Jk
PkRvdWJsZS1CbGluZCBNZXRob2Q8L2tleXdvcmQ+PGtleXdvcmQ+RWd5cHQ8L2tleXdvcmQ+PGtl
eXdvcmQ+RmVtYWxlPC9rZXl3b3JkPjxrZXl3b3JkPkhlYWx0aHkgVm9sdW50ZWVyczwva2V5d29y
ZD48a2V5d29yZD5IdW1hbnM8L2tleXdvcmQ+PGtleXdvcmQ+TWlkZGxlIEFnZWQ8L2tleXdvcmQ+
PGtleXdvcmQ+UHJlZ25hbmN5PC9rZXl3b3JkPjxrZXl3b3JkPlByZWduYW5jeSBDb21wbGljYXRp
b25zL3ByZXZlbnRpb24gJmFtcDsgY29udHJvbDwva2V5d29yZD48a2V5d29yZD4qUHJlZ25hbmN5
IE91dGNvbWU8L2tleXdvcmQ+PGtleXdvcmQ+UHJlbWF0dXJlIEJpcnRoL3ByZXZlbnRpb24gJmFt
cDsgY29udHJvbDwva2V5d29yZD48a2V5d29yZD5WaXRhbWlucy9hZG1pbmlzdHJhdGlvbiAmYW1w
OyBkb3NhZ2U8L2tleXdvcmQ+PGtleXdvcmQ+WW91bmcgQWR1bHQ8L2tleXdvcmQ+PGtleXdvcmQ+
WmluYy8qYWRtaW5pc3RyYXRpb24gJmFtcDsgZG9zYWdlPC9rZXl3b3JkPjwva2V5d29yZHM+PGRh
dGVzPjx5ZWFyPjIwMTU8L3llYXI+PHB1Yi1kYXRlcz48ZGF0ZT5KdWw8L2RhdGU+PC9wdWItZGF0
ZXM+PC9kYXRlcz48aXNibj4xNDc1LTI2NjIgKEVsZWN0cm9uaWMpJiN4RDswMDA3LTExNDUgKExp
bmtpbmcpPC9pc2JuPjxhY2Nlc3Npb24tbnVtPjI2MDk5MTk1PC9hY2Nlc3Npb24tbnVtPjx1cmxz
PjxyZWxhdGVkLXVybHM+PHVybD5odHRwczovL3d3dy5uY2JpLm5sbS5uaWguZ292L3B1Ym1lZC8y
NjA5OTE5NTwvdXJsPjwvcmVsYXRlZC11cmxzPjwvdXJscz48ZWxlY3Ryb25pYy1yZXNvdXJjZS1u
dW0+MTAuMTAxNy9TMDAwNzExNDUxNTAwMTY2WDwvZWxlY3Ryb25pYy1yZXNvdXJjZS1udW0+PC9y
ZWNvcmQ+PC9DaXRlPjxDaXRlPjxBdXRob3I+WmFoaXJpIFNvcm91cmk8L0F1dGhvcj48WWVhcj4y
MDE2PC9ZZWFyPjxSZWNOdW0+MTE5NDwvUmVjTnVtPjxyZWNvcmQ+PHJlYy1udW1iZXI+MTE5NDwv
cmVjLW51bWJlcj48Zm9yZWlnbi1rZXlzPjxrZXkgYXBwPSJFTiIgZGItaWQ9ImV4dmFzcmZ4MmR0
cmFvZXNhc3hwMnN6c3hhMmRmNTAyNTkyeCIgdGltZXN0YW1wPSIxNTU5NTMzNzE2Ij4xMTk0PC9r
ZXk+PGtleSBhcHA9IkVOV2ViIiBkYi1pZD0iIj4wPC9rZXk+PC9mb3JlaWduLWtleXM+PHJlZi10
eXBlIG5hbWU9IkpvdXJuYWwgQXJ0aWNsZSI+MTc8L3JlZi10eXBlPjxjb250cmlidXRvcnM+PGF1
dGhvcnM+PGF1dGhvcj5aYWhpcmkgU29yb3VyaSwgWi48L2F1dGhvcj48YXV0aG9yPlNhZGVnaGks
IEguPC9hdXRob3I+PGF1dGhvcj5Qb3VybWFyemksIEQuPC9hdXRob3I+PC9hdXRob3JzPjwvY29u
dHJpYnV0b3JzPjxhdXRoLWFkZHJlc3M+YSBEZXBhcnRtZW50IG9mIE9ic3RldHJpY3MgYW5kIEd5
bmVjb2xvZ3kgLCBSZXByb2R1Y3RpdmUgSGVhbHRoIFJlc2VhcmNoIENlbnRlciwgQWx6YWhyYSBI
b3NwaXRhbCwgR3VpbGFuIFVuaXZlcnNpdHkgb2YgTWVkaWNhbCBTY2llbmNlcyAsIFJhc2h0ICwg
SXJhbiBhbmQuJiN4RDtiIFJlcHJvZHVjdGl2ZSBIZWFsdGggUmVzZWFyY2ggQ2VudGVyLCBBbHph
aHJhIEhvc3BpdGFsLCBHdWlsYW4gVW5pdmVyc2l0eSBvZiBNZWRpY2FsIFNjaWVuY2VzICwgUmFz
aHQgLCBJcmFuLjwvYXV0aC1hZGRyZXNzPjx0aXRsZXM+PHRpdGxlPlRoZSBlZmZlY3Qgb2Ygemlu
YyBzdXBwbGVtZW50YXRpb24gb24gcHJlZ25hbmN5IG91dGNvbWU6IGEgcmFuZG9taXplZCBjb250
cm9sbGVkIHRyaWFsPC90aXRsZT48c2Vjb25kYXJ5LXRpdGxlPkogTWF0ZXJuIEZldGFsIE5lb25h
dGFsIE1lZDwvc2Vjb25kYXJ5LXRpdGxlPjwvdGl0bGVzPjxwZXJpb2RpY2FsPjxmdWxsLXRpdGxl
PkogTWF0ZXJuIEZldGFsIE5lb25hdGFsIE1lZDwvZnVsbC10aXRsZT48L3BlcmlvZGljYWw+PHBh
Z2VzPjIxOTQtODwvcGFnZXM+PHZvbHVtZT4yOTwvdm9sdW1lPjxudW1iZXI+MTM8L251bWJlcj48
ZWRpdGlvbj4yMDE1LzA5LzE1PC9lZGl0aW9uPjxrZXl3b3Jkcz48a2V5d29yZD5BZHVsdDwva2V5
d29yZD48a2V5d29yZD5CaXJ0aCBXZWlnaHQvZHJ1ZyBlZmZlY3RzPC9rZXl3b3JkPjxrZXl3b3Jk
PipEaWV0YXJ5IFN1cHBsZW1lbnRzPC9rZXl3b3JkPjxrZXl3b3JkPkZlbWFsZTwva2V5d29yZD48
a2V5d29yZD5IdW1hbnM8L2tleXdvcmQ+PGtleXdvcmQ+SW5mYW50LCBOZXdib3JuPC9rZXl3b3Jk
PjxrZXl3b3JkPklyYW4vZXBpZGVtaW9sb2d5PC9rZXl3b3JkPjxrZXl3b3JkPlByZWduYW5jeTwv
a2V5d29yZD48a2V5d29yZD5QcmVnbmFuY3kgQ29tcGxpY2F0aW9ucy9lcGlkZW1pb2xvZ3k8L2tl
eXdvcmQ+PGtleXdvcmQ+KlByZWduYW5jeSBPdXRjb21lL2VwaWRlbWlvbG9neTwva2V5d29yZD48
a2V5d29yZD5Zb3VuZyBBZHVsdDwva2V5d29yZD48a2V5d29yZD5aaW5jLyphZG1pbmlzdHJhdGlv
biAmYW1wOyBkb3NhZ2U8L2tleXdvcmQ+PGtleXdvcmQ+QmlydGggd2VpZ2h0PC9rZXl3b3JkPjxr
ZXl3b3JkPm1hdGVybmFsIG91dGNvbWU8L2tleXdvcmQ+PGtleXdvcmQ+bmVvbmF0YWwgb3V0Y29t
ZTwva2V5d29yZD48a2V5d29yZD56aW5jIHN1cHBsZW1lbnRhdGlvbjwva2V5d29yZD48L2tleXdv
cmRzPjxkYXRlcz48eWVhcj4yMDE2PC95ZWFyPjwvZGF0ZXM+PGlzYm4+MTQ3Ni00OTU0IChFbGVj
dHJvbmljKSYjeEQ7MTQ3Ni00OTU0IChMaW5raW5nKTwvaXNibj48YWNjZXNzaW9uLW51bT4yNjM2
NTMzMDwvYWNjZXNzaW9uLW51bT48dXJscz48cmVsYXRlZC11cmxzPjx1cmw+aHR0cHM6Ly93d3cu
bmNiaS5ubG0ubmloLmdvdi9wdWJtZWQvMjYzNjUzMzA8L3VybD48L3JlbGF0ZWQtdXJscz48L3Vy
bHM+PGVsZWN0cm9uaWMtcmVzb3VyY2UtbnVtPjEwLjMxMDkvMTQ3NjcwNTguMjAxNS4xMDc5NjE1
PC9lbGVjdHJvbmljLXJlc291cmNlLW51bT48L3JlY29yZD48L0NpdGU+PENpdGU+PEF1dGhvcj5O
b29yPC9BdXRob3I+PFllYXI+MjAyMDwvWWVhcj48UmVjTnVtPjE4NzQ8L1JlY051bT48cmVjb3Jk
PjxyZWMtbnVtYmVyPjE4NzQ8L3JlYy1udW1iZXI+PGZvcmVpZ24ta2V5cz48a2V5IGFwcD0iRU4i
IGRiLWlkPSJleHZhc3JmeDJkdHJhb2VzYXN4cDJzenN4YTJkZjUwMjU5MngiIHRpbWVzdGFtcD0i
MTU4ODEzODc2NiI+MTg3NDwva2V5PjxrZXkgYXBwPSJFTldlYiIgZGItaWQ9IiI+MDwva2V5Pjwv
Zm9yZWlnbi1rZXlzPjxyZWYtdHlwZSBuYW1lPSJKb3VybmFsIEFydGljbGUiPjE3PC9yZWYtdHlw
ZT48Y29udHJpYnV0b3JzPjxhdXRob3JzPjxhdXRob3I+Tm9vciwgUi4gQS48L2F1dGhvcj48YXV0
aG9yPkFiaW95ZSwgQS4gSS48L2F1dGhvcj48YXV0aG9yPkRhcmxpbmcsIEEuIE0uPC9hdXRob3I+
PGF1dGhvcj5IZXJ0em1hcmssIEUuPC9hdXRob3I+PGF1dGhvcj5BYm91ZCwgUy48L2F1dGhvcj48
YXV0aG9yPlByZW1qaSwgWi48L2F1dGhvcj48YXV0aG9yPk11Z3VzaSwgRi4gTS48L2F1dGhvcj48
YXV0aG9yPkR1Z2dhbiwgQy48L2F1dGhvcj48YXV0aG9yPlN1ZGZlbGQsIEMuIFIuPC9hdXRob3I+
PGF1dGhvcj5TcGllZ2VsbWFuLCBELjwvYXV0aG9yPjxhdXRob3I+RmF3emksIFcuPC9hdXRob3I+
PC9hdXRob3JzPjwvY29udHJpYnV0b3JzPjxhdXRoLWFkZHJlc3M+RGVwYXJ0bWVudCBvZiBOdXRy
aXRpb24sIEhhcnZhcmQgVEggQ2hhbiBTY2hvb2wgb2YgUHVibGljIEhlYWx0aCwgQm9zdG9uLCBN
QSwgVVNBLiYjeEQ7RGVwYXJ0bWVudCBvZiBHbG9iYWwgSGVhbHRoIGFuZCBQb3B1bGF0aW9uLCBI
YXJ2YXJkIFRIIENoYW4gU2Nob29sIG9mIFB1YmxpYyBIZWFsdGgsIEJvc3RvbiwgTUEsIFVTQS4m
I3hEO0RlcGFydG1lbnQgb2YgTWljcm9iaW9sb2d5IGFuZCBJbW11bm9sb2d5LCBTY2hvb2wgb2Yg
TWVkaWNpbmUsIE11aGltYmlsaSBVbml2ZXJzaXR5IG9mIEhlYWx0aCBhbmQgQWxsaWVkIFNjaWVu
Y2VzLCBEYXIgZXMgU2FsYWFtLCBUYW56YW5pYS4mI3hEO0RlcGFydG1lbnQgb2YgUGFyYXNpdG9s
b2d5L01lZGljYWwgRW50b21vbG9neSwgU2Nob29sIG9mIFB1YmxpYyBIZWFsdGggYW5kIFNvY2lh
bCBTY2llbmNlcywgTXVoaW1iaWxpIFVuaXZlcnNpdHkgb2YgSGVhbHRoIGFuZCBBbGxpZWQgU2Np
ZW5jZXMsIERhciBlcyBTYWxhYW0sIFRhbnphbmlhLiYjeEQ7RGVwYXJ0bWVudCBvZiBJbnRlcm5h
bCBNZWRpY2luZSwgTXVoaW1iaWxpIFVuaXZlcnNpdHkgb2YgSGVhbHRoIGFuZCBBbGxpZWQgU2Np
ZW5jZXMsIERhciBlcyBTYWxhYW0sIFRhbnphbmlhLiYjeEQ7RGl2aXNpb24gb2YgR2FzdHJvZW50
ZXJvbG9neSwgSGVwYXRvbG9neSBhbmQgTnV0cml0aW9uLCBCb3N0b24gQ2hpbGRyZW4mYXBvcztz
IEhvc3BpdGFsLCBIYXJ2YXJkIE1lZGljYWwgU2Nob29sLCBCb3N0b24sIE1BLCBVU0EuJiN4RDtE
ZXBhcnRtZW50IG9mIEVwaWRlbWlvbG9neSwgSGFydmFyZCBUSCBDaGFuIFNjaG9vbCBvZiBQdWJs
aWMgSGVhbHRoLCBCb3N0b24sIE1BLCBVU0EuJiN4RDtEZXBhcnRtZW50IG9mIEJpb3N0YXRpc3Rp
Y3MsIEhhcnZhcmQgVEggQ2hhbiBTY2hvb2wgb2YgUHVibGljIEhlYWx0aCwgQm9zdG9uLCBNQSwg
VVNBLiYjeEQ7RGVwYXJ0bWVudCBvZiBCaW9zdGF0aXN0aWNzLCBZYWxlIFNjaG9vbCBvZiBQdWJs
aWMgSGVhbHRoLCBOZXcgSGF2ZW4sIENULCBVU0EuPC9hdXRoLWFkZHJlc3M+PHRpdGxlcz48dGl0
bGU+UHJlbmF0YWwgemluYyBhbmQgdml0YW1pbiBBIHJlZHVjZSB0aGUgYmVuZWZpdCBvZiBpcm9u
IG9uIG1hdGVybmFsIGhlbWF0b2xvZ2ljIGFuZCBtaWNyb251dHJpZW50IHN0YXR1cyBhdCBkZWxp
dmVyeSBpbiBUYW56YW5pYTwvdGl0bGU+PHNlY29uZGFyeS10aXRsZT5KIE51dHI8L3NlY29uZGFy
eS10aXRsZT48L3RpdGxlcz48cGVyaW9kaWNhbD48ZnVsbC10aXRsZT5KIE51dHI8L2Z1bGwtdGl0
bGU+PC9wZXJpb2RpY2FsPjxwYWdlcz4yNDAtMjQ4PC9wYWdlcz48dm9sdW1lPjE1MDwvdm9sdW1l
PjxudW1iZXI+MjwvbnVtYmVyPjxlZGl0aW9uPjIwMTkvMTAvMTc8L2VkaXRpb24+PGtleXdvcmRz
PjxrZXl3b3JkPmFuZW1pYTwva2V5d29yZD48a2V5d29yZD5pcm9uPC9rZXl3b3JkPjxrZXl3b3Jk
Pm1pY3JvbnV0cmllbnRzPC9rZXl3b3JkPjxrZXl3b3JkPnByZWduYW5jeTwva2V5d29yZD48a2V5
d29yZD52aXRhbWluIEE8L2tleXdvcmQ+PGtleXdvcmQ+emluYzwva2V5d29yZD48L2tleXdvcmRz
PjxkYXRlcz48eWVhcj4yMDIwPC95ZWFyPjxwdWItZGF0ZXM+PGRhdGU+RmViIDE8L2RhdGU+PC9w
dWItZGF0ZXM+PC9kYXRlcz48aXNibj4xNTQxLTYxMDAgKEVsZWN0cm9uaWMpJiN4RDswMDIyLTMx
NjYgKExpbmtpbmcpPC9pc2JuPjxhY2Nlc3Npb24tbnVtPjMxNjE4NDMwPC9hY2Nlc3Npb24tbnVt
Pjx1cmxzPjxyZWxhdGVkLXVybHM+PHVybD5odHRwczovL3d3dy5uY2JpLm5sbS5uaWguZ292L3B1
Ym1lZC8zMTYxODQzMDwvdXJsPjwvcmVsYXRlZC11cmxzPjwvdXJscz48ZWxlY3Ryb25pYy1yZXNv
dXJjZS1udW0+MTAuMTA5My9qbi9ueHoyNDI8L2VsZWN0cm9uaWMtcmVzb3VyY2UtbnVtPjwvcmVj
b3JkPjwvQ2l0ZT48L0VuZE5vdGU+AG==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209-211</w:t>
      </w:r>
      <w:r w:rsidR="00BE7640">
        <w:fldChar w:fldCharType="end"/>
      </w:r>
    </w:p>
    <w:p w14:paraId="6F3B443B" w14:textId="08248600" w:rsidR="0008503E" w:rsidRDefault="0008503E" w:rsidP="005719CE">
      <w:pPr>
        <w:keepNext/>
      </w:pPr>
      <w:r>
        <w:t>The systematic reviews found that maternal zinc supplementation:</w:t>
      </w:r>
    </w:p>
    <w:p w14:paraId="21335DD8" w14:textId="38185109" w:rsidR="008C6169" w:rsidRPr="008C6169" w:rsidRDefault="008C6169" w:rsidP="00BD61CC">
      <w:pPr>
        <w:pStyle w:val="bullet"/>
      </w:pPr>
      <w:r w:rsidRPr="008C6169">
        <w:t>resulted in a small reduction in preterm birth</w:t>
      </w:r>
      <w:r>
        <w:t xml:space="preserve"> </w:t>
      </w:r>
      <w:r w:rsidRPr="008C6169">
        <w:t>(</w:t>
      </w:r>
      <w:r w:rsidRPr="003222CF">
        <w:rPr>
          <w:sz w:val="16"/>
          <w:szCs w:val="16"/>
        </w:rPr>
        <w:t xml:space="preserve">RR 0.86; 95%CI 0.76 to 0.97; 16 RCTS; n=7,637; moderate </w:t>
      </w:r>
      <w:r w:rsidR="00836F2D">
        <w:rPr>
          <w:sz w:val="16"/>
          <w:szCs w:val="16"/>
        </w:rPr>
        <w:t>certainty</w:t>
      </w:r>
      <w:r w:rsidRPr="008C6169">
        <w:t>)</w:t>
      </w:r>
      <w:r w:rsidR="0008503E">
        <w:t xml:space="preserve"> but not</w:t>
      </w:r>
      <w:r>
        <w:t xml:space="preserve"> low birthweight (</w:t>
      </w:r>
      <w:r w:rsidRPr="003222CF">
        <w:rPr>
          <w:sz w:val="16"/>
          <w:szCs w:val="16"/>
        </w:rPr>
        <w:t xml:space="preserve">RR 0.93; 95%CI 0.78 to 1.12; 14 RCTs; n=5,643; moderate </w:t>
      </w:r>
      <w:r w:rsidR="00836F2D">
        <w:rPr>
          <w:sz w:val="16"/>
          <w:szCs w:val="16"/>
        </w:rPr>
        <w:t>certainty</w:t>
      </w:r>
      <w:r w:rsidRPr="008C6169">
        <w:t>)</w:t>
      </w:r>
      <w:r w:rsidR="0008503E">
        <w:t xml:space="preserve"> and there were n</w:t>
      </w:r>
      <w:r w:rsidRPr="008C6169">
        <w:t>o clear</w:t>
      </w:r>
      <w:r>
        <w:t xml:space="preserve"> </w:t>
      </w:r>
      <w:r w:rsidRPr="008C6169">
        <w:t>differences between groups for any of the other primary maternal or neonatal outcomes, except for</w:t>
      </w:r>
      <w:r>
        <w:t xml:space="preserve"> </w:t>
      </w:r>
      <w:r w:rsidRPr="008C6169">
        <w:t>induction of labour in a single trial</w:t>
      </w:r>
      <w:r w:rsidR="0008503E">
        <w:fldChar w:fldCharType="begin"/>
      </w:r>
      <w:r w:rsidR="002747EA">
        <w:instrText xml:space="preserve"> ADDIN EN.CITE &lt;EndNote&gt;&lt;Cite&gt;&lt;Author&gt;Ota&lt;/Author&gt;&lt;Year&gt;2015&lt;/Year&gt;&lt;RecNum&gt;1193&lt;/RecNum&gt;&lt;DisplayText&gt;&lt;style face="superscript" font="Trebuchet MS" size="9"&gt;206&lt;/style&gt;&lt;/DisplayText&gt;&lt;record&gt;&lt;rec-number&gt;1193&lt;/rec-number&gt;&lt;foreign-keys&gt;&lt;key app="EN" db-id="exvasrfx2dtraoesasxp2szsxa2df502592x" timestamp="1559532928"&gt;1193&lt;/key&gt;&lt;key app="ENWeb" db-id=""&gt;0&lt;/key&gt;&lt;/foreign-keys&gt;&lt;ref-type name="Journal Article"&gt;17&lt;/ref-type&gt;&lt;contributors&gt;&lt;authors&gt;&lt;author&gt;Ota, E.,&lt;/author&gt;&lt;author&gt;Mori, R.,&lt;/author&gt;&lt;author&gt;Middleton, P.,&lt;/author&gt;&lt;author&gt;Tobe-Gai, R.,&lt;/author&gt;&lt;author&gt;Mahomed, K.,&lt;/author&gt;&lt;author&gt;Miyazaki, C.,&lt;/author&gt;&lt;author&gt;Bhutta, Z.A.,&lt;/author&gt;&lt;/authors&gt;&lt;/contributors&gt;&lt;titles&gt;&lt;title&gt;Zinc supplementation for improving pregnancy and infant outcome&lt;/title&gt;&lt;secondary-title&gt;Cochrane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000230.pub5&lt;/electronic-resource-num&gt;&lt;/record&gt;&lt;/Cite&gt;&lt;/EndNote&gt;</w:instrText>
      </w:r>
      <w:r w:rsidR="0008503E">
        <w:fldChar w:fldCharType="separate"/>
      </w:r>
      <w:r w:rsidR="002747EA" w:rsidRPr="002747EA">
        <w:rPr>
          <w:noProof/>
          <w:vertAlign w:val="superscript"/>
        </w:rPr>
        <w:t>206</w:t>
      </w:r>
      <w:r w:rsidR="0008503E">
        <w:fldChar w:fldCharType="end"/>
      </w:r>
    </w:p>
    <w:p w14:paraId="7C356059" w14:textId="49ACC5E7" w:rsidR="0008503E" w:rsidRDefault="007D6F28" w:rsidP="00BD61CC">
      <w:pPr>
        <w:pStyle w:val="bullet"/>
      </w:pPr>
      <w:r w:rsidRPr="007D6F28">
        <w:t xml:space="preserve">did not </w:t>
      </w:r>
      <w:r>
        <w:t>clearly</w:t>
      </w:r>
      <w:r w:rsidRPr="007D6F28">
        <w:t xml:space="preserve"> decrease the risk of low birth</w:t>
      </w:r>
      <w:r>
        <w:t xml:space="preserve"> </w:t>
      </w:r>
      <w:r w:rsidRPr="007D6F28">
        <w:t>weight (</w:t>
      </w:r>
      <w:r w:rsidRPr="003222CF">
        <w:rPr>
          <w:sz w:val="16"/>
          <w:szCs w:val="16"/>
        </w:rPr>
        <w:t>RR 0.76, 95%CI: 0.52</w:t>
      </w:r>
      <w:r w:rsidR="003222CF" w:rsidRPr="003222CF">
        <w:rPr>
          <w:sz w:val="16"/>
          <w:szCs w:val="16"/>
        </w:rPr>
        <w:t xml:space="preserve"> to </w:t>
      </w:r>
      <w:r w:rsidRPr="003222CF">
        <w:rPr>
          <w:sz w:val="16"/>
          <w:szCs w:val="16"/>
        </w:rPr>
        <w:t>1.11</w:t>
      </w:r>
      <w:r w:rsidRPr="007D6F28">
        <w:t>)</w:t>
      </w:r>
      <w:r w:rsidR="0008503E">
        <w:fldChar w:fldCharType="begin">
          <w:fldData xml:space="preserve">PEVuZE5vdGU+PENpdGU+PEF1dGhvcj5MaXU8L0F1dGhvcj48WWVhcj4yMDE4PC9ZZWFyPjxSZWNO
dW0+MTE5NTwvUmVjTnVtPjxEaXNwbGF5VGV4dD48c3R5bGUgZmFjZT0ic3VwZXJzY3JpcHQiIGZv
bnQ9IlRyZWJ1Y2hldCBNUyIgc2l6ZT0iOSI+MjA3PC9zdHlsZT48L0Rpc3BsYXlUZXh0PjxyZWNv
cmQ+PHJlYy1udW1iZXI+MTE5NTwvcmVjLW51bWJlcj48Zm9yZWlnbi1rZXlzPjxrZXkgYXBwPSJF
TiIgZGItaWQ9ImV4dmFzcmZ4MmR0cmFvZXNhc3hwMnN6c3hhMmRmNTAyNTkyeCIgdGltZXN0YW1w
PSIxNTU5NTM1ODg1Ij4xMTk1PC9rZXk+PGtleSBhcHA9IkVOV2ViIiBkYi1pZD0iIj4wPC9rZXk+
PC9mb3JlaWduLWtleXM+PHJlZi10eXBlIG5hbWU9IkpvdXJuYWwgQXJ0aWNsZSI+MTc8L3JlZi10
eXBlPjxjb250cmlidXRvcnM+PGF1dGhvcnM+PGF1dGhvcj5MaXUsIEUuPC9hdXRob3I+PGF1dGhv
cj5QaW1waW4sIEwuPC9hdXRob3I+PGF1dGhvcj5TaHVsa2luLCBNLjwvYXV0aG9yPjxhdXRob3I+
S3JhbnosIFMuPC9hdXRob3I+PGF1dGhvcj5EdWdnYW4sIEMuIFAuPC9hdXRob3I+PGF1dGhvcj5N
b3phZmZhcmlhbiwgRC48L2F1dGhvcj48YXV0aG9yPkZhd3ppLCBXLiBXLjwvYXV0aG9yPjwvYXV0
aG9ycz48L2NvbnRyaWJ1dG9ycz48YXV0aC1hZGRyZXNzPkluc3RpdHV0aW9uYWwgQ2VudGVycyBv
ZiBDbGluaWNhbCBhbmQgVHJhbnNsYXRpb25hbCBSZXNlYXJjaCwgQm9zdG9uIENoaWxkcmVuJmFw
b3M7cyBIb3NwaXRhbCwgMzAwIExvbmd3b29kIEF2ZSwgQm9zdG9uLCBNQSAwMjExNSwgVVNBLiBF
bmp1LkxpdUBjaGlsZHJlbnMuaGFydmFyZC5lZHUuJiN4RDtEaXZpc2lvbiBvZiBHYXN0cm9lbnRl
cm9sb2d5LCBIZXBhdG9sb2d5IGFuZCBOdXRyaXRpb24sIEJvc3RvbiBDaGlsZHJlbiZhcG9zO3Mg
SG9zcGl0YWwsIDMwMCBMb25nd29vZCBBdmUsIEJvc3RvbiwgTUEgMDIxMTUsIFVTQS4gRW5qdS5M
aXVAY2hpbGRyZW5zLmhhcnZhcmQuZWR1LiYjeEQ7RnJpZWRtYW4gU2Nob29sIG9mIE51dHJpdGlv
biBTY2llbmNlIGFuZCBQb2xpY3ksIFR1ZnRzIFVuaXZlcnNpdHksIDE1MCBIYXJyaXNvbiBBdmUs
IEJvc3RvbiwgTUEgMDIxMTEsIFVTQS4gbGF1cmEucGltcGluQGdtYWlsLmNvbS4mI3hEO0ZyaWVk
bWFuIFNjaG9vbCBvZiBOdXRyaXRpb24gU2NpZW5jZSBhbmQgUG9saWN5LCBUdWZ0cyBVbml2ZXJz
aXR5LCAxNTAgSGFycmlzb24gQXZlLCBCb3N0b24sIE1BIDAyMTExLCBVU0EuIHNodWxraW5tQGdt
YWlsLmNvbS4mI3hEO0ZyaWVkbWFuIFNjaG9vbCBvZiBOdXRyaXRpb24gU2NpZW5jZSBhbmQgUG9s
aWN5LCBUdWZ0cyBVbml2ZXJzaXR5LCAxNTAgSGFycmlzb24gQXZlLCBCb3N0b24sIE1BIDAyMTEx
LCBVU0EuIFNhcmFoLktyYW56QHR1ZnRzLmVkdS4mI3hEO0RpdmlzaW9uIG9mIEdhc3Ryb2VudGVy
b2xvZ3ksIEhlcGF0b2xvZ3kgYW5kIE51dHJpdGlvbiwgQm9zdG9uIENoaWxkcmVuJmFwb3M7cyBI
b3NwaXRhbCwgMzAwIExvbmd3b29kIEF2ZSwgQm9zdG9uLCBNQSAwMjExNSwgVVNBLiBjaHJpc3Rv
cGhlci5kdWdnYW5AY2hpbGRyZW5zLmhhcnZhcmQuZWR1LiYjeEQ7RGVwYXJ0bWVudCBvZiBOdXRy
aXRpb24sIEhhcnZhcmQgVC5ILiBDaGFuIFNjaG9vbCBvZiBQdWJsaWMgSGVhbHRoLCBIYXJ2YXJk
IFQuSC4gQ2hhbiBTY2hvb2wgb2YgUHVibGljIEhlYWx0aCwgNjc3IEh1bnRpbmd0b24gQXZlLCBC
b3N0b24sIE1BIDAyMTE1LCBVU0EuIGNocmlzdG9waGVyLmR1Z2dhbkBjaGlsZHJlbnMuaGFydmFy
ZC5lZHUuJiN4RDtEZXBhcnRtZW50IG9mIEdsb2JhbCBIZWFsdGggYW5kIFBvcHVsYXRpb24sIEhh
cnZhcmQgVC5ILiBDaGFuIFNjaG9vbCBvZiBQdWJsaWMgSGVhbHRoLCA2NzcgSHVudGluZ3RvbiBB
dmUsIEJvc3RvbiwgTUEgMDIxMTUsIFVTQS4gY2hyaXN0b3BoZXIuZHVnZ2FuQGNoaWxkcmVucy5o
YXJ2YXJkLmVkdS4mI3hEO0ZyaWVkbWFuIFNjaG9vbCBvZiBOdXRyaXRpb24gU2NpZW5jZSBhbmQg
UG9saWN5LCBUdWZ0cyBVbml2ZXJzaXR5LCAxNTAgSGFycmlzb24gQXZlLCBCb3N0b24sIE1BIDAy
MTExLCBVU0EuIERhcml1c2guTW96YWZmYXJpYW5AdHVmdHMuZWR1LiYjeEQ7RGVwYXJ0bWVudCBv
ZiBOdXRyaXRpb24sIEhhcnZhcmQgVC5ILiBDaGFuIFNjaG9vbCBvZiBQdWJsaWMgSGVhbHRoLCBI
YXJ2YXJkIFQuSC4gQ2hhbiBTY2hvb2wgb2YgUHVibGljIEhlYWx0aCwgNjc3IEh1bnRpbmd0b24g
QXZlLCBCb3N0b24sIE1BIDAyMTE1LCBVU0EuIG1pbmFAaHNwaC5oYXJ2YXJkLmVkdS4mI3hEO0Rl
cGFydG1lbnQgb2YgR2xvYmFsIEhlYWx0aCBhbmQgUG9wdWxhdGlvbiwgSGFydmFyZCBULkguIENo
YW4gU2Nob29sIG9mIFB1YmxpYyBIZWFsdGgsIDY3NyBIdW50aW5ndG9uIEF2ZSwgQm9zdG9uLCBN
QSAwMjExNSwgVVNBLiBtaW5hQGhzcGguaGFydmFyZC5lZHUuJiN4RDtEZXBhcnRtZW50IG9mIEVw
aWRlbWlvbG9neSwgSGFydmFyZCBULkguIENoYW4gU2Nob29sIG9mIFB1YmxpYyBIZWFsdGgsIDY3
NyBIdW50aW5ndG9uIEF2ZSwgQm9zdG9uLCBNQSAwMjExNSwgVVNBLiBtaW5hQGhzcGguaGFydmFy
ZC5lZHUuPC9hdXRoLWFkZHJlc3M+PHRpdGxlcz48dGl0bGU+RWZmZWN0IG9mIFppbmMgU3VwcGxl
bWVudGF0aW9uIG9uIEdyb3d0aCBPdXRjb21lcyBpbiBDaGlsZHJlbiB1bmRlciA1IFllYXJzIG9m
IEFnZTwvdGl0bGU+PHNlY29uZGFyeS10aXRsZT5OdXRyaWVudHM8L3NlY29uZGFyeS10aXRsZT48
L3RpdGxlcz48cGVyaW9kaWNhbD48ZnVsbC10aXRsZT5OdXRyaWVudHM8L2Z1bGwtdGl0bGU+PC9w
ZXJpb2RpY2FsPjx2b2x1bWU+MTA8L3ZvbHVtZT48bnVtYmVyPjM8L251bWJlcj48ZWRpdGlvbj4y
MDE4LzAzLzIxPC9lZGl0aW9uPjxrZXl3b3Jkcz48a2V5d29yZD5BZ2UgRmFjdG9yczwva2V5d29y
ZD48a2V5d29yZD5Cb2R5IEhlaWdodDwva2V5d29yZD48a2V5d29yZD4qQ2hpbGQgRGV2ZWxvcG1l
bnQ8L2tleXdvcmQ+PGtleXdvcmQ+KkNoaWxkIE51dHJpdGlvbmFsIFBoeXNpb2xvZ2ljYWwgUGhl
bm9tZW5hPC9rZXl3b3JkPjxrZXl3b3JkPkNoaWxkLCBQcmVzY2hvb2w8L2tleXdvcmQ+PGtleXdv
cmQ+KkRpZXRhcnkgU3VwcGxlbWVudHMvYWR2ZXJzZSBlZmZlY3RzPC9rZXl3b3JkPjxrZXl3b3Jk
PkZlbWFsZTwva2V5d29yZD48a2V5d29yZD5HZXN0YXRpb25hbCBBZ2U8L2tleXdvcmQ+PGtleXdv
cmQ+SHVtYW5zPC9rZXl3b3JkPjxrZXl3b3JkPkluZmFudDwva2V5d29yZD48a2V5d29yZD5JbmZh
bnQsIE5ld2Jvcm48L2tleXdvcmQ+PGtleXdvcmQ+TWFsZTwva2V5d29yZD48a2V5d29yZD5NYXRl
cm5hbCBOdXRyaXRpb25hbCBQaHlzaW9sb2dpY2FsIFBoZW5vbWVuYTwva2V5d29yZD48a2V5d29y
ZD4qTnV0cml0aW9uYWwgU3RhdHVzPC9rZXl3b3JkPjxrZXl3b3JkPlByZWduYW5jeTwva2V5d29y
ZD48a2V5d29yZD5QcmVuYXRhbCBDYXJlL21ldGhvZHM8L2tleXdvcmQ+PGtleXdvcmQ+UHJlbmF0
YWwgRXhwb3N1cmUgRGVsYXllZCBFZmZlY3RzPC9rZXl3b3JkPjxrZXl3b3JkPlJhbmRvbWl6ZWQg
Q29udHJvbGxlZCBUcmlhbHMgYXMgVG9waWM8L2tleXdvcmQ+PGtleXdvcmQ+UmVjb21tZW5kZWQg
RGlldGFyeSBBbGxvd2FuY2VzPC9rZXl3b3JkPjxrZXl3b3JkPldlaWdodCBHYWluPC9rZXl3b3Jk
PjxrZXl3b3JkPlppbmMvKmFkbWluaXN0cmF0aW9uICZhbXA7IGRvc2FnZS9hZHZlcnNlIGVmZmVj
dHM8L2tleXdvcmQ+PGtleXdvcmQ+Y2hpbGQgZ3Jvd3RoPC9rZXl3b3JkPjxrZXl3b3JkPm1ldGEt
YW5hbHlzaXM8L2tleXdvcmQ+PGtleXdvcmQ+cmFuZG9taXplZCBjb250cm9sbGVkIHRyaWFsPC9r
ZXl3b3JkPjxrZXl3b3JkPnN5c3RlbWF0aWMgcmV2aWV3PC9rZXl3b3JkPjxrZXl3b3JkPnppbmMg
c3VwcGxlbWVudGF0aW9uPC9rZXl3b3JkPjxrZXl3b3JkPkhhYXMgQXZvY2FkbyBCb2FyZCwgQXN0
cmEgWmVuZWNhLCBHT0VELCBEU00sIFBvbGxvY2sgQ29tbXVuaWNhdGlvbnMsIGFuZCBMaWZlPC9r
ZXl3b3JkPjxrZXl3b3JkPlNjaWVuY2VzIFJlc2VhcmNoIE9yZ2FuaXphdGlvbjwva2V5d29yZD48
a2V5d29yZD5jaGFwdGVyIHJveWFsdGllcyBmcm9tIFVwVG9EYXRlPC9rZXl3b3JkPjxrZXl3b3Jk
PmFuZCBzY2llbnRpZmljPC9rZXl3b3JkPjxrZXl3b3JkPmFkdmlzb3J5IGJvYXJkIGZvciBFbHlz
aXVtIEhlYWx0aCwgYW5kIE9tYWRhIEhlYWx0aC4gSGFydmFyZCBVbml2ZXJzaXR5IGhhcyBiZWVu
PC9rZXl3b3JkPjxrZXl3b3JkPmFzc2lnbmVkIHBhdGVudCBVUzg4ODk3MzkgQjIsIGxpc3Rpbmcg
TW96YWZmYXJpYW4gYXMgb25lIG9mIHRocmVlIGNvLWludmVudG9ycyw8L2tleXdvcmQ+PGtleXdv
cmQ+Zm9yICZxdW90O1VzZSBvZiB0cmFuc3BhbG1pdG9sZWljIGFjaWQgaW4gaWRlbnRpZnlpbmcg
YW5kIHRyZWF0aW5nIG1ldGFib2xpYyBkaXNlYXNlJnF1b3Q7Ljwva2V5d29yZD48a2V5d29yZD5E
dWdnYW4gcmVwb3J0cyByb3lhbHRpZXMgZnJvbSBVcFRvRGF0ZSwgYW5kIFBNUEg8L2tleXdvcmQ+
PGtleXdvcmQ+QWxsIG90aGVyIGF1dGhvcnMgZGVjbGFyZSBubzwva2V5d29yZD48a2V5d29yZD5j
b25mbGljdCBvZiBpbnRlcmVzdC4gVGhlIHN0dWR5IGlzIHNwb25zb3JlZCBieSBCaWxsICZhbXA7
IE1lbGluZGEgR2F0ZXMgRm91bmRhdGlvbiw8L2tleXdvcmQ+PGtleXdvcmQ+Z3JhbnQgbnVtYmVy
IE9QUDEwOTk1MDUuIENQRCB3YXMgc3VwcG9ydGVkIGluIHBhcnQgYnkgTklIIGdyYW50cyBLMjRE
SzEwNDY3NiBhbmQ8L2tleXdvcmQ+PGtleXdvcmQ+MlAzMERLMDQwNTYxLiBUaGUgZm91bmRpbmcg
c3BvbnNvcnMgaGFkIG5vIHJvbGUgaW4gdGhlIGRlc2lnbiBvZiB0aGUgc3R1ZHk8L2tleXdvcmQ+
PGtleXdvcmQ+aW48L2tleXdvcmQ+PGtleXdvcmQ+dGhlIGNvbGxlY3Rpb24sIGFuYWx5c2VzLCBv
ciBpbnRlcnByZXRhdGlvbiBvZiBkYXRhPC9rZXl3b3JkPjxrZXl3b3JkPmluIHRoZSB3cml0aW5n
IG9mIHRoZTwva2V5d29yZD48a2V5d29yZD5tYW51c2NyaXB0LCBhbmQgaW4gdGhlIGRlY2lzaW9u
IHRvIHB1Ymxpc2ggdGhlIHJlc3VsdHMuPC9rZXl3b3JkPjwva2V5d29yZHM+PGRhdGVzPjx5ZWFy
PjIwMTg8L3llYXI+PHB1Yi1kYXRlcz48ZGF0ZT5NYXIgMjA8L2RhdGU+PC9wdWItZGF0ZXM+PC9k
YXRlcz48aXNibj4yMDcyLTY2NDMgKEVsZWN0cm9uaWMpJiN4RDsyMDcyLTY2NDMgKExpbmtpbmcp
PC9pc2JuPjxhY2Nlc3Npb24tbnVtPjI5NTU4MzgzPC9hY2Nlc3Npb24tbnVtPjx1cmxzPjxyZWxh
dGVkLXVybHM+PHVybD5odHRwczovL3d3dy5uY2JpLm5sbS5uaWguZ292L3B1Ym1lZC8yOTU1ODM4
MzwvdXJsPjwvcmVsYXRlZC11cmxzPjwvdXJscz48Y3VzdG9tMj5QTUM1ODcyNzk1PC9jdXN0b20y
PjxlbGVjdHJvbmljLXJlc291cmNlLW51bT4xMC4zMzkwL251MTAwMzAzNzc8L2VsZWN0cm9uaWMt
cmVzb3VyY2UtbnVtPjwvcmVjb3JkPjwvQ2l0ZT48L0VuZE5vdGU+
</w:fldData>
        </w:fldChar>
      </w:r>
      <w:r w:rsidR="002747EA">
        <w:instrText xml:space="preserve"> ADDIN EN.CITE </w:instrText>
      </w:r>
      <w:r w:rsidR="002747EA">
        <w:fldChar w:fldCharType="begin">
          <w:fldData xml:space="preserve">PEVuZE5vdGU+PENpdGU+PEF1dGhvcj5MaXU8L0F1dGhvcj48WWVhcj4yMDE4PC9ZZWFyPjxSZWNO
dW0+MTE5NTwvUmVjTnVtPjxEaXNwbGF5VGV4dD48c3R5bGUgZmFjZT0ic3VwZXJzY3JpcHQiIGZv
bnQ9IlRyZWJ1Y2hldCBNUyIgc2l6ZT0iOSI+MjA3PC9zdHlsZT48L0Rpc3BsYXlUZXh0PjxyZWNv
cmQ+PHJlYy1udW1iZXI+MTE5NTwvcmVjLW51bWJlcj48Zm9yZWlnbi1rZXlzPjxrZXkgYXBwPSJF
TiIgZGItaWQ9ImV4dmFzcmZ4MmR0cmFvZXNhc3hwMnN6c3hhMmRmNTAyNTkyeCIgdGltZXN0YW1w
PSIxNTU5NTM1ODg1Ij4xMTk1PC9rZXk+PGtleSBhcHA9IkVOV2ViIiBkYi1pZD0iIj4wPC9rZXk+
PC9mb3JlaWduLWtleXM+PHJlZi10eXBlIG5hbWU9IkpvdXJuYWwgQXJ0aWNsZSI+MTc8L3JlZi10
eXBlPjxjb250cmlidXRvcnM+PGF1dGhvcnM+PGF1dGhvcj5MaXUsIEUuPC9hdXRob3I+PGF1dGhv
cj5QaW1waW4sIEwuPC9hdXRob3I+PGF1dGhvcj5TaHVsa2luLCBNLjwvYXV0aG9yPjxhdXRob3I+
S3JhbnosIFMuPC9hdXRob3I+PGF1dGhvcj5EdWdnYW4sIEMuIFAuPC9hdXRob3I+PGF1dGhvcj5N
b3phZmZhcmlhbiwgRC48L2F1dGhvcj48YXV0aG9yPkZhd3ppLCBXLiBXLjwvYXV0aG9yPjwvYXV0
aG9ycz48L2NvbnRyaWJ1dG9ycz48YXV0aC1hZGRyZXNzPkluc3RpdHV0aW9uYWwgQ2VudGVycyBv
ZiBDbGluaWNhbCBhbmQgVHJhbnNsYXRpb25hbCBSZXNlYXJjaCwgQm9zdG9uIENoaWxkcmVuJmFw
b3M7cyBIb3NwaXRhbCwgMzAwIExvbmd3b29kIEF2ZSwgQm9zdG9uLCBNQSAwMjExNSwgVVNBLiBF
bmp1LkxpdUBjaGlsZHJlbnMuaGFydmFyZC5lZHUuJiN4RDtEaXZpc2lvbiBvZiBHYXN0cm9lbnRl
cm9sb2d5LCBIZXBhdG9sb2d5IGFuZCBOdXRyaXRpb24sIEJvc3RvbiBDaGlsZHJlbiZhcG9zO3Mg
SG9zcGl0YWwsIDMwMCBMb25nd29vZCBBdmUsIEJvc3RvbiwgTUEgMDIxMTUsIFVTQS4gRW5qdS5M
aXVAY2hpbGRyZW5zLmhhcnZhcmQuZWR1LiYjeEQ7RnJpZWRtYW4gU2Nob29sIG9mIE51dHJpdGlv
biBTY2llbmNlIGFuZCBQb2xpY3ksIFR1ZnRzIFVuaXZlcnNpdHksIDE1MCBIYXJyaXNvbiBBdmUs
IEJvc3RvbiwgTUEgMDIxMTEsIFVTQS4gbGF1cmEucGltcGluQGdtYWlsLmNvbS4mI3hEO0ZyaWVk
bWFuIFNjaG9vbCBvZiBOdXRyaXRpb24gU2NpZW5jZSBhbmQgUG9saWN5LCBUdWZ0cyBVbml2ZXJz
aXR5LCAxNTAgSGFycmlzb24gQXZlLCBCb3N0b24sIE1BIDAyMTExLCBVU0EuIHNodWxraW5tQGdt
YWlsLmNvbS4mI3hEO0ZyaWVkbWFuIFNjaG9vbCBvZiBOdXRyaXRpb24gU2NpZW5jZSBhbmQgUG9s
aWN5LCBUdWZ0cyBVbml2ZXJzaXR5LCAxNTAgSGFycmlzb24gQXZlLCBCb3N0b24sIE1BIDAyMTEx
LCBVU0EuIFNhcmFoLktyYW56QHR1ZnRzLmVkdS4mI3hEO0RpdmlzaW9uIG9mIEdhc3Ryb2VudGVy
b2xvZ3ksIEhlcGF0b2xvZ3kgYW5kIE51dHJpdGlvbiwgQm9zdG9uIENoaWxkcmVuJmFwb3M7cyBI
b3NwaXRhbCwgMzAwIExvbmd3b29kIEF2ZSwgQm9zdG9uLCBNQSAwMjExNSwgVVNBLiBjaHJpc3Rv
cGhlci5kdWdnYW5AY2hpbGRyZW5zLmhhcnZhcmQuZWR1LiYjeEQ7RGVwYXJ0bWVudCBvZiBOdXRy
aXRpb24sIEhhcnZhcmQgVC5ILiBDaGFuIFNjaG9vbCBvZiBQdWJsaWMgSGVhbHRoLCBIYXJ2YXJk
IFQuSC4gQ2hhbiBTY2hvb2wgb2YgUHVibGljIEhlYWx0aCwgNjc3IEh1bnRpbmd0b24gQXZlLCBC
b3N0b24sIE1BIDAyMTE1LCBVU0EuIGNocmlzdG9waGVyLmR1Z2dhbkBjaGlsZHJlbnMuaGFydmFy
ZC5lZHUuJiN4RDtEZXBhcnRtZW50IG9mIEdsb2JhbCBIZWFsdGggYW5kIFBvcHVsYXRpb24sIEhh
cnZhcmQgVC5ILiBDaGFuIFNjaG9vbCBvZiBQdWJsaWMgSGVhbHRoLCA2NzcgSHVudGluZ3RvbiBB
dmUsIEJvc3RvbiwgTUEgMDIxMTUsIFVTQS4gY2hyaXN0b3BoZXIuZHVnZ2FuQGNoaWxkcmVucy5o
YXJ2YXJkLmVkdS4mI3hEO0ZyaWVkbWFuIFNjaG9vbCBvZiBOdXRyaXRpb24gU2NpZW5jZSBhbmQg
UG9saWN5LCBUdWZ0cyBVbml2ZXJzaXR5LCAxNTAgSGFycmlzb24gQXZlLCBCb3N0b24sIE1BIDAy
MTExLCBVU0EuIERhcml1c2guTW96YWZmYXJpYW5AdHVmdHMuZWR1LiYjeEQ7RGVwYXJ0bWVudCBv
ZiBOdXRyaXRpb24sIEhhcnZhcmQgVC5ILiBDaGFuIFNjaG9vbCBvZiBQdWJsaWMgSGVhbHRoLCBI
YXJ2YXJkIFQuSC4gQ2hhbiBTY2hvb2wgb2YgUHVibGljIEhlYWx0aCwgNjc3IEh1bnRpbmd0b24g
QXZlLCBCb3N0b24sIE1BIDAyMTE1LCBVU0EuIG1pbmFAaHNwaC5oYXJ2YXJkLmVkdS4mI3hEO0Rl
cGFydG1lbnQgb2YgR2xvYmFsIEhlYWx0aCBhbmQgUG9wdWxhdGlvbiwgSGFydmFyZCBULkguIENo
YW4gU2Nob29sIG9mIFB1YmxpYyBIZWFsdGgsIDY3NyBIdW50aW5ndG9uIEF2ZSwgQm9zdG9uLCBN
QSAwMjExNSwgVVNBLiBtaW5hQGhzcGguaGFydmFyZC5lZHUuJiN4RDtEZXBhcnRtZW50IG9mIEVw
aWRlbWlvbG9neSwgSGFydmFyZCBULkguIENoYW4gU2Nob29sIG9mIFB1YmxpYyBIZWFsdGgsIDY3
NyBIdW50aW5ndG9uIEF2ZSwgQm9zdG9uLCBNQSAwMjExNSwgVVNBLiBtaW5hQGhzcGguaGFydmFy
ZC5lZHUuPC9hdXRoLWFkZHJlc3M+PHRpdGxlcz48dGl0bGU+RWZmZWN0IG9mIFppbmMgU3VwcGxl
bWVudGF0aW9uIG9uIEdyb3d0aCBPdXRjb21lcyBpbiBDaGlsZHJlbiB1bmRlciA1IFllYXJzIG9m
IEFnZTwvdGl0bGU+PHNlY29uZGFyeS10aXRsZT5OdXRyaWVudHM8L3NlY29uZGFyeS10aXRsZT48
L3RpdGxlcz48cGVyaW9kaWNhbD48ZnVsbC10aXRsZT5OdXRyaWVudHM8L2Z1bGwtdGl0bGU+PC9w
ZXJpb2RpY2FsPjx2b2x1bWU+MTA8L3ZvbHVtZT48bnVtYmVyPjM8L251bWJlcj48ZWRpdGlvbj4y
MDE4LzAzLzIxPC9lZGl0aW9uPjxrZXl3b3Jkcz48a2V5d29yZD5BZ2UgRmFjdG9yczwva2V5d29y
ZD48a2V5d29yZD5Cb2R5IEhlaWdodDwva2V5d29yZD48a2V5d29yZD4qQ2hpbGQgRGV2ZWxvcG1l
bnQ8L2tleXdvcmQ+PGtleXdvcmQ+KkNoaWxkIE51dHJpdGlvbmFsIFBoeXNpb2xvZ2ljYWwgUGhl
bm9tZW5hPC9rZXl3b3JkPjxrZXl3b3JkPkNoaWxkLCBQcmVzY2hvb2w8L2tleXdvcmQ+PGtleXdv
cmQ+KkRpZXRhcnkgU3VwcGxlbWVudHMvYWR2ZXJzZSBlZmZlY3RzPC9rZXl3b3JkPjxrZXl3b3Jk
PkZlbWFsZTwva2V5d29yZD48a2V5d29yZD5HZXN0YXRpb25hbCBBZ2U8L2tleXdvcmQ+PGtleXdv
cmQ+SHVtYW5zPC9rZXl3b3JkPjxrZXl3b3JkPkluZmFudDwva2V5d29yZD48a2V5d29yZD5JbmZh
bnQsIE5ld2Jvcm48L2tleXdvcmQ+PGtleXdvcmQ+TWFsZTwva2V5d29yZD48a2V5d29yZD5NYXRl
cm5hbCBOdXRyaXRpb25hbCBQaHlzaW9sb2dpY2FsIFBoZW5vbWVuYTwva2V5d29yZD48a2V5d29y
ZD4qTnV0cml0aW9uYWwgU3RhdHVzPC9rZXl3b3JkPjxrZXl3b3JkPlByZWduYW5jeTwva2V5d29y
ZD48a2V5d29yZD5QcmVuYXRhbCBDYXJlL21ldGhvZHM8L2tleXdvcmQ+PGtleXdvcmQ+UHJlbmF0
YWwgRXhwb3N1cmUgRGVsYXllZCBFZmZlY3RzPC9rZXl3b3JkPjxrZXl3b3JkPlJhbmRvbWl6ZWQg
Q29udHJvbGxlZCBUcmlhbHMgYXMgVG9waWM8L2tleXdvcmQ+PGtleXdvcmQ+UmVjb21tZW5kZWQg
RGlldGFyeSBBbGxvd2FuY2VzPC9rZXl3b3JkPjxrZXl3b3JkPldlaWdodCBHYWluPC9rZXl3b3Jk
PjxrZXl3b3JkPlppbmMvKmFkbWluaXN0cmF0aW9uICZhbXA7IGRvc2FnZS9hZHZlcnNlIGVmZmVj
dHM8L2tleXdvcmQ+PGtleXdvcmQ+Y2hpbGQgZ3Jvd3RoPC9rZXl3b3JkPjxrZXl3b3JkPm1ldGEt
YW5hbHlzaXM8L2tleXdvcmQ+PGtleXdvcmQ+cmFuZG9taXplZCBjb250cm9sbGVkIHRyaWFsPC9r
ZXl3b3JkPjxrZXl3b3JkPnN5c3RlbWF0aWMgcmV2aWV3PC9rZXl3b3JkPjxrZXl3b3JkPnppbmMg
c3VwcGxlbWVudGF0aW9uPC9rZXl3b3JkPjxrZXl3b3JkPkhhYXMgQXZvY2FkbyBCb2FyZCwgQXN0
cmEgWmVuZWNhLCBHT0VELCBEU00sIFBvbGxvY2sgQ29tbXVuaWNhdGlvbnMsIGFuZCBMaWZlPC9r
ZXl3b3JkPjxrZXl3b3JkPlNjaWVuY2VzIFJlc2VhcmNoIE9yZ2FuaXphdGlvbjwva2V5d29yZD48
a2V5d29yZD5jaGFwdGVyIHJveWFsdGllcyBmcm9tIFVwVG9EYXRlPC9rZXl3b3JkPjxrZXl3b3Jk
PmFuZCBzY2llbnRpZmljPC9rZXl3b3JkPjxrZXl3b3JkPmFkdmlzb3J5IGJvYXJkIGZvciBFbHlz
aXVtIEhlYWx0aCwgYW5kIE9tYWRhIEhlYWx0aC4gSGFydmFyZCBVbml2ZXJzaXR5IGhhcyBiZWVu
PC9rZXl3b3JkPjxrZXl3b3JkPmFzc2lnbmVkIHBhdGVudCBVUzg4ODk3MzkgQjIsIGxpc3Rpbmcg
TW96YWZmYXJpYW4gYXMgb25lIG9mIHRocmVlIGNvLWludmVudG9ycyw8L2tleXdvcmQ+PGtleXdv
cmQ+Zm9yICZxdW90O1VzZSBvZiB0cmFuc3BhbG1pdG9sZWljIGFjaWQgaW4gaWRlbnRpZnlpbmcg
YW5kIHRyZWF0aW5nIG1ldGFib2xpYyBkaXNlYXNlJnF1b3Q7Ljwva2V5d29yZD48a2V5d29yZD5E
dWdnYW4gcmVwb3J0cyByb3lhbHRpZXMgZnJvbSBVcFRvRGF0ZSwgYW5kIFBNUEg8L2tleXdvcmQ+
PGtleXdvcmQ+QWxsIG90aGVyIGF1dGhvcnMgZGVjbGFyZSBubzwva2V5d29yZD48a2V5d29yZD5j
b25mbGljdCBvZiBpbnRlcmVzdC4gVGhlIHN0dWR5IGlzIHNwb25zb3JlZCBieSBCaWxsICZhbXA7
IE1lbGluZGEgR2F0ZXMgRm91bmRhdGlvbiw8L2tleXdvcmQ+PGtleXdvcmQ+Z3JhbnQgbnVtYmVy
IE9QUDEwOTk1MDUuIENQRCB3YXMgc3VwcG9ydGVkIGluIHBhcnQgYnkgTklIIGdyYW50cyBLMjRE
SzEwNDY3NiBhbmQ8L2tleXdvcmQ+PGtleXdvcmQ+MlAzMERLMDQwNTYxLiBUaGUgZm91bmRpbmcg
c3BvbnNvcnMgaGFkIG5vIHJvbGUgaW4gdGhlIGRlc2lnbiBvZiB0aGUgc3R1ZHk8L2tleXdvcmQ+
PGtleXdvcmQ+aW48L2tleXdvcmQ+PGtleXdvcmQ+dGhlIGNvbGxlY3Rpb24sIGFuYWx5c2VzLCBv
ciBpbnRlcnByZXRhdGlvbiBvZiBkYXRhPC9rZXl3b3JkPjxrZXl3b3JkPmluIHRoZSB3cml0aW5n
IG9mIHRoZTwva2V5d29yZD48a2V5d29yZD5tYW51c2NyaXB0LCBhbmQgaW4gdGhlIGRlY2lzaW9u
IHRvIHB1Ymxpc2ggdGhlIHJlc3VsdHMuPC9rZXl3b3JkPjwva2V5d29yZHM+PGRhdGVzPjx5ZWFy
PjIwMTg8L3llYXI+PHB1Yi1kYXRlcz48ZGF0ZT5NYXIgMjA8L2RhdGU+PC9wdWItZGF0ZXM+PC9k
YXRlcz48aXNibj4yMDcyLTY2NDMgKEVsZWN0cm9uaWMpJiN4RDsyMDcyLTY2NDMgKExpbmtpbmcp
PC9pc2JuPjxhY2Nlc3Npb24tbnVtPjI5NTU4MzgzPC9hY2Nlc3Npb24tbnVtPjx1cmxzPjxyZWxh
dGVkLXVybHM+PHVybD5odHRwczovL3d3dy5uY2JpLm5sbS5uaWguZ292L3B1Ym1lZC8yOTU1ODM4
MzwvdXJsPjwvcmVsYXRlZC11cmxzPjwvdXJscz48Y3VzdG9tMj5QTUM1ODcyNzk1PC9jdXN0b20y
PjxlbGVjdHJvbmljLXJlc291cmNlLW51bT4xMC4zMzkwL251MTAwMzAzNzc8L2VsZWN0cm9uaWMt
cmVzb3VyY2UtbnVtPjwvcmVjb3JkPjwvQ2l0ZT48L0VuZE5vdGU+
</w:fldData>
        </w:fldChar>
      </w:r>
      <w:r w:rsidR="002747EA">
        <w:instrText xml:space="preserve"> ADDIN EN.CITE.DATA </w:instrText>
      </w:r>
      <w:r w:rsidR="002747EA">
        <w:fldChar w:fldCharType="end"/>
      </w:r>
      <w:r w:rsidR="0008503E">
        <w:fldChar w:fldCharType="separate"/>
      </w:r>
      <w:r w:rsidR="002747EA" w:rsidRPr="002747EA">
        <w:rPr>
          <w:noProof/>
          <w:vertAlign w:val="superscript"/>
        </w:rPr>
        <w:t>207</w:t>
      </w:r>
      <w:r w:rsidR="0008503E">
        <w:fldChar w:fldCharType="end"/>
      </w:r>
    </w:p>
    <w:p w14:paraId="470473D1" w14:textId="2A5972A1" w:rsidR="007D6F28" w:rsidRDefault="0008503E" w:rsidP="00BD61CC">
      <w:pPr>
        <w:pStyle w:val="bullet"/>
      </w:pPr>
      <w:r>
        <w:t>had no clear effect on maternal serum zinc concentration (</w:t>
      </w:r>
      <w:r w:rsidRPr="00785971">
        <w:rPr>
          <w:rFonts w:eastAsia="Times New Roman"/>
          <w:lang w:val="en-AU"/>
        </w:rPr>
        <w:t>MD</w:t>
      </w:r>
      <w:r>
        <w:rPr>
          <w:rFonts w:eastAsia="Times New Roman"/>
          <w:lang w:val="en-AU"/>
        </w:rPr>
        <w:t> </w:t>
      </w:r>
      <w:r w:rsidRPr="009F491F">
        <w:rPr>
          <w:rFonts w:eastAsia="Times New Roman"/>
          <w:lang w:val="en-AU"/>
        </w:rPr>
        <w:t>0.86 umol/L, 95%</w:t>
      </w:r>
      <w:r w:rsidRPr="00785971">
        <w:rPr>
          <w:rFonts w:eastAsia="Times New Roman"/>
          <w:lang w:val="en-AU"/>
        </w:rPr>
        <w:t xml:space="preserve">CI 0.67 to 1.05; </w:t>
      </w:r>
      <w:r>
        <w:rPr>
          <w:rFonts w:eastAsia="Times New Roman"/>
          <w:lang w:val="en-AU"/>
        </w:rPr>
        <w:t xml:space="preserve">2 </w:t>
      </w:r>
      <w:r w:rsidRPr="009F491F">
        <w:rPr>
          <w:rFonts w:eastAsia="Times New Roman"/>
          <w:lang w:val="en-AU"/>
        </w:rPr>
        <w:t>studies</w:t>
      </w:r>
      <w:r>
        <w:rPr>
          <w:rFonts w:eastAsia="Times New Roman"/>
          <w:lang w:val="en-AU"/>
        </w:rPr>
        <w:t>).</w:t>
      </w:r>
      <w:r w:rsidR="00D07346">
        <w:fldChar w:fldCharType="begin"/>
      </w:r>
      <w:r w:rsidR="002747EA">
        <w:instrText xml:space="preserve"> ADDIN EN.CITE &lt;EndNote&gt;&lt;Cite&gt;&lt;Author&gt;Oh&lt;/Author&gt;&lt;Year&gt;2020&lt;/Year&gt;&lt;RecNum&gt;1873&lt;/RecNum&gt;&lt;DisplayText&gt;&lt;style face="superscript" font="Trebuchet MS" size="9"&gt;208&lt;/style&gt;&lt;/DisplayText&gt;&lt;record&gt;&lt;rec-number&gt;1873&lt;/rec-number&gt;&lt;foreign-keys&gt;&lt;key app="EN" db-id="exvasrfx2dtraoesasxp2szsxa2df502592x" timestamp="1588138629"&gt;1873&lt;/key&gt;&lt;key app="ENWeb" db-id=""&gt;0&lt;/key&gt;&lt;/foreign-keys&gt;&lt;ref-type name="Journal Article"&gt;17&lt;/ref-type&gt;&lt;contributors&gt;&lt;authors&gt;&lt;author&gt;Oh, C.&lt;/author&gt;&lt;author&gt;Keats, E. C.&lt;/author&gt;&lt;author&gt;Bhutta, Z. A.&lt;/author&gt;&lt;/authors&gt;&lt;/contributors&gt;&lt;auth-address&gt;Centre for Global Child Health, The Hospital for Sick Children, Toronto, ON M5G 0A4, Canada.&amp;#xD;Centre of Excellence in Women and Child&amp;apos;s Health, Aga Khan University, Karachi 74800, Pakistan.&lt;/auth-address&gt;&lt;titles&gt;&lt;title&gt;Vitamin and mineral supplementation during pregnancy on maternal, birth, child health and development outcomes in low- and middle-income countries: a systematic review and meta-analysis&lt;/title&gt;&lt;secondary-title&gt;Nutrients&lt;/secondary-title&gt;&lt;/titles&gt;&lt;periodical&gt;&lt;full-title&gt;Nutrients&lt;/full-title&gt;&lt;/periodical&gt;&lt;volume&gt;12&lt;/volume&gt;&lt;number&gt;2&lt;/number&gt;&lt;edition&gt;2020/02/23&lt;/edition&gt;&lt;keywords&gt;&lt;keyword&gt;developing countries&lt;/keyword&gt;&lt;keyword&gt;micronutrient supplementation&lt;/keyword&gt;&lt;keyword&gt;pregnancy&lt;/keyword&gt;&lt;keyword&gt;vitamin supplementation&lt;/keyword&gt;&lt;/keywords&gt;&lt;dates&gt;&lt;year&gt;2020&lt;/year&gt;&lt;pub-dates&gt;&lt;date&gt;Feb 14&lt;/date&gt;&lt;/pub-dates&gt;&lt;/dates&gt;&lt;isbn&gt;2072-6643 (Electronic)&amp;#xD;2072-6643 (Linking)&lt;/isbn&gt;&lt;accession-num&gt;32075071&lt;/accession-num&gt;&lt;urls&gt;&lt;related-urls&gt;&lt;url&gt;https://www.ncbi.nlm.nih.gov/pubmed/32075071&lt;/url&gt;&lt;/related-urls&gt;&lt;/urls&gt;&lt;custom2&gt;PMC7071347&lt;/custom2&gt;&lt;electronic-resource-num&gt;10.3390/nu12020491&lt;/electronic-resource-num&gt;&lt;/record&gt;&lt;/Cite&gt;&lt;/EndNote&gt;</w:instrText>
      </w:r>
      <w:r w:rsidR="00D07346">
        <w:fldChar w:fldCharType="separate"/>
      </w:r>
      <w:r w:rsidR="002747EA" w:rsidRPr="002747EA">
        <w:rPr>
          <w:noProof/>
          <w:vertAlign w:val="superscript"/>
        </w:rPr>
        <w:t>208</w:t>
      </w:r>
      <w:r w:rsidR="00D07346">
        <w:fldChar w:fldCharType="end"/>
      </w:r>
      <w:r>
        <w:t xml:space="preserve"> </w:t>
      </w:r>
    </w:p>
    <w:p w14:paraId="79A91764" w14:textId="0F158370" w:rsidR="007B62DE" w:rsidRDefault="0008503E" w:rsidP="007B62DE">
      <w:r>
        <w:t>T</w:t>
      </w:r>
      <w:r w:rsidR="00C17D56">
        <w:t xml:space="preserve">wo </w:t>
      </w:r>
      <w:r w:rsidR="00F72623">
        <w:t xml:space="preserve">RCTs </w:t>
      </w:r>
      <w:r w:rsidR="00C17D56">
        <w:t>reported on preterm birth</w:t>
      </w:r>
      <w:r w:rsidR="00DC7007">
        <w:t>. One</w:t>
      </w:r>
      <w:r w:rsidR="00C17D56">
        <w:t xml:space="preserve"> found a reduced risk among women with low zinc levels (</w:t>
      </w:r>
      <w:r w:rsidR="00C17D56" w:rsidRPr="00080C70">
        <w:rPr>
          <w:sz w:val="16"/>
          <w:szCs w:val="16"/>
        </w:rPr>
        <w:t>RR 0.</w:t>
      </w:r>
      <w:r w:rsidR="00460C92" w:rsidRPr="00080C70">
        <w:rPr>
          <w:sz w:val="16"/>
          <w:szCs w:val="16"/>
        </w:rPr>
        <w:t>52</w:t>
      </w:r>
      <w:r w:rsidR="00C17D56" w:rsidRPr="00080C70">
        <w:rPr>
          <w:sz w:val="16"/>
          <w:szCs w:val="16"/>
        </w:rPr>
        <w:t>; 95%CI 0.</w:t>
      </w:r>
      <w:r w:rsidR="00460C92" w:rsidRPr="00080C70">
        <w:rPr>
          <w:sz w:val="16"/>
          <w:szCs w:val="16"/>
        </w:rPr>
        <w:t>29</w:t>
      </w:r>
      <w:r w:rsidR="00C17D56" w:rsidRPr="00080C70">
        <w:rPr>
          <w:sz w:val="16"/>
          <w:szCs w:val="16"/>
        </w:rPr>
        <w:t xml:space="preserve"> to 0.</w:t>
      </w:r>
      <w:r w:rsidR="00460C92" w:rsidRPr="00080C70">
        <w:rPr>
          <w:sz w:val="16"/>
          <w:szCs w:val="16"/>
        </w:rPr>
        <w:t>92</w:t>
      </w:r>
      <w:r w:rsidR="00C17D56" w:rsidRPr="00080C70">
        <w:rPr>
          <w:sz w:val="16"/>
          <w:szCs w:val="16"/>
        </w:rPr>
        <w:t>; n=</w:t>
      </w:r>
      <w:r w:rsidR="0060666D" w:rsidRPr="00080C70">
        <w:rPr>
          <w:sz w:val="16"/>
          <w:szCs w:val="16"/>
        </w:rPr>
        <w:t>397</w:t>
      </w:r>
      <w:r w:rsidR="00460C92">
        <w:t>)</w:t>
      </w:r>
      <w:r w:rsidR="00460C92">
        <w:fldChar w:fldCharType="begin"/>
      </w:r>
      <w:r w:rsidR="002747EA">
        <w:instrText xml:space="preserve"> ADDIN EN.CITE &lt;EndNote&gt;&lt;Cite&gt;&lt;Author&gt;Nossier&lt;/Author&gt;&lt;Year&gt;2015&lt;/Year&gt;&lt;RecNum&gt;1196&lt;/RecNum&gt;&lt;DisplayText&gt;&lt;style face="superscript" font="Trebuchet MS" size="9"&gt;209&lt;/style&gt;&lt;/DisplayText&gt;&lt;record&gt;&lt;rec-number&gt;1196&lt;/rec-number&gt;&lt;foreign-keys&gt;&lt;key app="EN" db-id="exvasrfx2dtraoesasxp2szsxa2df502592x" timestamp="1559536228"&gt;1196&lt;/key&gt;&lt;key app="ENWeb" db-id=""&gt;0&lt;/key&gt;&lt;/foreign-keys&gt;&lt;ref-type name="Journal Article"&gt;17&lt;/ref-type&gt;&lt;contributors&gt;&lt;authors&gt;&lt;author&gt;Nossier, S. A.&lt;/author&gt;&lt;author&gt;Naeim, N. E.&lt;/author&gt;&lt;author&gt;El-Sayed, N. A.&lt;/author&gt;&lt;author&gt;Abu Zeid, A. A.&lt;/author&gt;&lt;/authors&gt;&lt;/contributors&gt;&lt;titles&gt;&lt;title&gt;The effect of zinc supplementation on pregnancy outcomes: a double-blind, randomised controlled trial, Egypt&lt;/title&gt;&lt;secondary-title&gt;Br J Nutr&lt;/secondary-title&gt;&lt;/titles&gt;&lt;periodical&gt;&lt;full-title&gt;Br J Nutr&lt;/full-title&gt;&lt;/periodical&gt;&lt;pages&gt;274-85&lt;/pages&gt;&lt;volume&gt;114&lt;/volume&gt;&lt;number&gt;2&lt;/number&gt;&lt;edition&gt;2015/06/24&lt;/edition&gt;&lt;keywords&gt;&lt;keyword&gt;Adult&lt;/keyword&gt;&lt;keyword&gt;Birth Weight&lt;/keyword&gt;&lt;keyword&gt;*Dietary Supplements&lt;/keyword&gt;&lt;keyword&gt;Double-Blind Method&lt;/keyword&gt;&lt;keyword&gt;Egypt&lt;/keyword&gt;&lt;keyword&gt;Female&lt;/keyword&gt;&lt;keyword&gt;Healthy Volunteers&lt;/keyword&gt;&lt;keyword&gt;Humans&lt;/keyword&gt;&lt;keyword&gt;Middle Aged&lt;/keyword&gt;&lt;keyword&gt;Pregnancy&lt;/keyword&gt;&lt;keyword&gt;Pregnancy Complications/prevention &amp;amp; control&lt;/keyword&gt;&lt;keyword&gt;*Pregnancy Outcome&lt;/keyword&gt;&lt;keyword&gt;Premature Birth/prevention &amp;amp; control&lt;/keyword&gt;&lt;keyword&gt;Vitamins/administration &amp;amp; dosage&lt;/keyword&gt;&lt;keyword&gt;Young Adult&lt;/keyword&gt;&lt;keyword&gt;Zinc/*administration &amp;amp; dosage&lt;/keyword&gt;&lt;/keywords&gt;&lt;dates&gt;&lt;year&gt;2015&lt;/year&gt;&lt;pub-dates&gt;&lt;date&gt;Jul&lt;/date&gt;&lt;/pub-dates&gt;&lt;/dates&gt;&lt;isbn&gt;1475-2662 (Electronic)&amp;#xD;0007-1145 (Linking)&lt;/isbn&gt;&lt;accession-num&gt;26099195&lt;/accession-num&gt;&lt;urls&gt;&lt;related-urls&gt;&lt;url&gt;https://www.ncbi.nlm.nih.gov/pubmed/26099195&lt;/url&gt;&lt;/related-urls&gt;&lt;/urls&gt;&lt;electronic-resource-num&gt;10.1017/S000711451500166X&lt;/electronic-resource-num&gt;&lt;/record&gt;&lt;/Cite&gt;&lt;/EndNote&gt;</w:instrText>
      </w:r>
      <w:r w:rsidR="00460C92">
        <w:fldChar w:fldCharType="separate"/>
      </w:r>
      <w:r w:rsidR="002747EA" w:rsidRPr="002747EA">
        <w:rPr>
          <w:noProof/>
          <w:vertAlign w:val="superscript"/>
        </w:rPr>
        <w:t>209</w:t>
      </w:r>
      <w:r w:rsidR="00460C92">
        <w:fldChar w:fldCharType="end"/>
      </w:r>
      <w:r w:rsidR="00460C92">
        <w:t xml:space="preserve"> </w:t>
      </w:r>
      <w:r w:rsidR="00DC7007">
        <w:t xml:space="preserve">and the other found no clear difference </w:t>
      </w:r>
      <w:r w:rsidR="00460C92">
        <w:t>among women without identified low levels of zinc</w:t>
      </w:r>
      <w:r w:rsidR="00DC7007">
        <w:t xml:space="preserve"> (</w:t>
      </w:r>
      <w:r w:rsidR="00DC7007" w:rsidRPr="00DC7007">
        <w:rPr>
          <w:sz w:val="16"/>
          <w:szCs w:val="16"/>
        </w:rPr>
        <w:t>RR 0.93; 95%CI 0.46 to</w:t>
      </w:r>
      <w:r w:rsidR="00DC7007" w:rsidRPr="00DC7007">
        <w:rPr>
          <w:sz w:val="16"/>
          <w:szCs w:val="16"/>
          <w:lang w:val="en-AU"/>
        </w:rPr>
        <w:t xml:space="preserve"> 1.90</w:t>
      </w:r>
      <w:r w:rsidR="00DC7007" w:rsidRPr="00C17D56">
        <w:t>)</w:t>
      </w:r>
      <w:r w:rsidR="00DC7007">
        <w:t>.</w:t>
      </w:r>
      <w:r w:rsidR="00DC7007">
        <w:fldChar w:fldCharType="begin">
          <w:fldData xml:space="preserve">PEVuZE5vdGU+PENpdGU+PEF1dGhvcj5aYWhpcmkgU29yb3VyaTwvQXV0aG9yPjxZZWFyPjIwMTY8
L1llYXI+PFJlY051bT4xMTk0PC9SZWNOdW0+PERpc3BsYXlUZXh0PjxzdHlsZSBmYWNlPSJzdXBl
cnNjcmlwdCIgZm9udD0iVHJlYnVjaGV0IE1TIiBzaXplPSI5Ij4yMTA8L3N0eWxlPjwvRGlzcGxh
eVRleHQ+PHJlY29yZD48cmVjLW51bWJlcj4xMTk0PC9yZWMtbnVtYmVyPjxmb3JlaWduLWtleXM+
PGtleSBhcHA9IkVOIiBkYi1pZD0iZXh2YXNyZngyZHRyYW9lc2FzeHAyc3pzeGEyZGY1MDI1OTJ4
IiB0aW1lc3RhbXA9IjE1NTk1MzM3MTYiPjExOTQ8L2tleT48a2V5IGFwcD0iRU5XZWIiIGRiLWlk
PSIiPjA8L2tleT48L2ZvcmVpZ24ta2V5cz48cmVmLXR5cGUgbmFtZT0iSm91cm5hbCBBcnRpY2xl
Ij4xNzwvcmVmLXR5cGU+PGNvbnRyaWJ1dG9ycz48YXV0aG9ycz48YXV0aG9yPlphaGlyaSBTb3Jv
dXJpLCBaLjwvYXV0aG9yPjxhdXRob3I+U2FkZWdoaSwgSC48L2F1dGhvcj48YXV0aG9yPlBvdXJt
YXJ6aSwgRC48L2F1dGhvcj48L2F1dGhvcnM+PC9jb250cmlidXRvcnM+PGF1dGgtYWRkcmVzcz5h
IERlcGFydG1lbnQgb2YgT2JzdGV0cmljcyBhbmQgR3luZWNvbG9neSAsIFJlcHJvZHVjdGl2ZSBI
ZWFsdGggUmVzZWFyY2ggQ2VudGVyLCBBbHphaHJhIEhvc3BpdGFsLCBHdWlsYW4gVW5pdmVyc2l0
eSBvZiBNZWRpY2FsIFNjaWVuY2VzICwgUmFzaHQgLCBJcmFuIGFuZC4mI3hEO2IgUmVwcm9kdWN0
aXZlIEhlYWx0aCBSZXNlYXJjaCBDZW50ZXIsIEFsemFocmEgSG9zcGl0YWwsIEd1aWxhbiBVbml2
ZXJzaXR5IG9mIE1lZGljYWwgU2NpZW5jZXMgLCBSYXNodCAsIElyYW4uPC9hdXRoLWFkZHJlc3M+
PHRpdGxlcz48dGl0bGU+VGhlIGVmZmVjdCBvZiB6aW5jIHN1cHBsZW1lbnRhdGlvbiBvbiBwcmVn
bmFuY3kgb3V0Y29tZTogYSByYW5kb21pemVkIGNvbnRyb2xsZWQgdHJpYWw8L3RpdGxlPjxzZWNv
bmRhcnktdGl0bGU+SiBNYXRlcm4gRmV0YWwgTmVvbmF0YWwgTWVkPC9zZWNvbmRhcnktdGl0bGU+
PC90aXRsZXM+PHBlcmlvZGljYWw+PGZ1bGwtdGl0bGU+SiBNYXRlcm4gRmV0YWwgTmVvbmF0YWwg
TWVkPC9mdWxsLXRpdGxlPjwvcGVyaW9kaWNhbD48cGFnZXM+MjE5NC04PC9wYWdlcz48dm9sdW1l
PjI5PC92b2x1bWU+PG51bWJlcj4xMzwvbnVtYmVyPjxlZGl0aW9uPjIwMTUvMDkvMTU8L2VkaXRp
b24+PGtleXdvcmRzPjxrZXl3b3JkPkFkdWx0PC9rZXl3b3JkPjxrZXl3b3JkPkJpcnRoIFdlaWdo
dC9kcnVnIGVmZmVjdHM8L2tleXdvcmQ+PGtleXdvcmQ+KkRpZXRhcnkgU3VwcGxlbWVudHM8L2tl
eXdvcmQ+PGtleXdvcmQ+RmVtYWxlPC9rZXl3b3JkPjxrZXl3b3JkPkh1bWFuczwva2V5d29yZD48
a2V5d29yZD5JbmZhbnQsIE5ld2Jvcm48L2tleXdvcmQ+PGtleXdvcmQ+SXJhbi9lcGlkZW1pb2xv
Z3k8L2tleXdvcmQ+PGtleXdvcmQ+UHJlZ25hbmN5PC9rZXl3b3JkPjxrZXl3b3JkPlByZWduYW5j
eSBDb21wbGljYXRpb25zL2VwaWRlbWlvbG9neTwva2V5d29yZD48a2V5d29yZD4qUHJlZ25hbmN5
IE91dGNvbWUvZXBpZGVtaW9sb2d5PC9rZXl3b3JkPjxrZXl3b3JkPllvdW5nIEFkdWx0PC9rZXl3
b3JkPjxrZXl3b3JkPlppbmMvKmFkbWluaXN0cmF0aW9uICZhbXA7IGRvc2FnZTwva2V5d29yZD48
a2V5d29yZD5CaXJ0aCB3ZWlnaHQ8L2tleXdvcmQ+PGtleXdvcmQ+bWF0ZXJuYWwgb3V0Y29tZTwv
a2V5d29yZD48a2V5d29yZD5uZW9uYXRhbCBvdXRjb21lPC9rZXl3b3JkPjxrZXl3b3JkPnppbmMg
c3VwcGxlbWVudGF0aW9uPC9rZXl3b3JkPjwva2V5d29yZHM+PGRhdGVzPjx5ZWFyPjIwMTY8L3ll
YXI+PC9kYXRlcz48aXNibj4xNDc2LTQ5NTQgKEVsZWN0cm9uaWMpJiN4RDsxNDc2LTQ5NTQgKExp
bmtpbmcpPC9pc2JuPjxhY2Nlc3Npb24tbnVtPjI2MzY1MzMwPC9hY2Nlc3Npb24tbnVtPjx1cmxz
PjxyZWxhdGVkLXVybHM+PHVybD5odHRwczovL3d3dy5uY2JpLm5sbS5uaWguZ292L3B1Ym1lZC8y
NjM2NTMzMDwvdXJsPjwvcmVsYXRlZC11cmxzPjwvdXJscz48ZWxlY3Ryb25pYy1yZXNvdXJjZS1u
dW0+MTAuMzEwOS8xNDc2NzA1OC4yMDE1LjEwNzk2MTU8L2VsZWN0cm9uaWMtcmVzb3VyY2UtbnVt
PjwvcmVjb3JkPjwvQ2l0ZT48L0VuZE5vdGU+
</w:fldData>
        </w:fldChar>
      </w:r>
      <w:r w:rsidR="002747EA">
        <w:instrText xml:space="preserve"> ADDIN EN.CITE </w:instrText>
      </w:r>
      <w:r w:rsidR="002747EA">
        <w:fldChar w:fldCharType="begin">
          <w:fldData xml:space="preserve">PEVuZE5vdGU+PENpdGU+PEF1dGhvcj5aYWhpcmkgU29yb3VyaTwvQXV0aG9yPjxZZWFyPjIwMTY8
L1llYXI+PFJlY051bT4xMTk0PC9SZWNOdW0+PERpc3BsYXlUZXh0PjxzdHlsZSBmYWNlPSJzdXBl
cnNjcmlwdCIgZm9udD0iVHJlYnVjaGV0IE1TIiBzaXplPSI5Ij4yMTA8L3N0eWxlPjwvRGlzcGxh
eVRleHQ+PHJlY29yZD48cmVjLW51bWJlcj4xMTk0PC9yZWMtbnVtYmVyPjxmb3JlaWduLWtleXM+
PGtleSBhcHA9IkVOIiBkYi1pZD0iZXh2YXNyZngyZHRyYW9lc2FzeHAyc3pzeGEyZGY1MDI1OTJ4
IiB0aW1lc3RhbXA9IjE1NTk1MzM3MTYiPjExOTQ8L2tleT48a2V5IGFwcD0iRU5XZWIiIGRiLWlk
PSIiPjA8L2tleT48L2ZvcmVpZ24ta2V5cz48cmVmLXR5cGUgbmFtZT0iSm91cm5hbCBBcnRpY2xl
Ij4xNzwvcmVmLXR5cGU+PGNvbnRyaWJ1dG9ycz48YXV0aG9ycz48YXV0aG9yPlphaGlyaSBTb3Jv
dXJpLCBaLjwvYXV0aG9yPjxhdXRob3I+U2FkZWdoaSwgSC48L2F1dGhvcj48YXV0aG9yPlBvdXJt
YXJ6aSwgRC48L2F1dGhvcj48L2F1dGhvcnM+PC9jb250cmlidXRvcnM+PGF1dGgtYWRkcmVzcz5h
IERlcGFydG1lbnQgb2YgT2JzdGV0cmljcyBhbmQgR3luZWNvbG9neSAsIFJlcHJvZHVjdGl2ZSBI
ZWFsdGggUmVzZWFyY2ggQ2VudGVyLCBBbHphaHJhIEhvc3BpdGFsLCBHdWlsYW4gVW5pdmVyc2l0
eSBvZiBNZWRpY2FsIFNjaWVuY2VzICwgUmFzaHQgLCBJcmFuIGFuZC4mI3hEO2IgUmVwcm9kdWN0
aXZlIEhlYWx0aCBSZXNlYXJjaCBDZW50ZXIsIEFsemFocmEgSG9zcGl0YWwsIEd1aWxhbiBVbml2
ZXJzaXR5IG9mIE1lZGljYWwgU2NpZW5jZXMgLCBSYXNodCAsIElyYW4uPC9hdXRoLWFkZHJlc3M+
PHRpdGxlcz48dGl0bGU+VGhlIGVmZmVjdCBvZiB6aW5jIHN1cHBsZW1lbnRhdGlvbiBvbiBwcmVn
bmFuY3kgb3V0Y29tZTogYSByYW5kb21pemVkIGNvbnRyb2xsZWQgdHJpYWw8L3RpdGxlPjxzZWNv
bmRhcnktdGl0bGU+SiBNYXRlcm4gRmV0YWwgTmVvbmF0YWwgTWVkPC9zZWNvbmRhcnktdGl0bGU+
PC90aXRsZXM+PHBlcmlvZGljYWw+PGZ1bGwtdGl0bGU+SiBNYXRlcm4gRmV0YWwgTmVvbmF0YWwg
TWVkPC9mdWxsLXRpdGxlPjwvcGVyaW9kaWNhbD48cGFnZXM+MjE5NC04PC9wYWdlcz48dm9sdW1l
PjI5PC92b2x1bWU+PG51bWJlcj4xMzwvbnVtYmVyPjxlZGl0aW9uPjIwMTUvMDkvMTU8L2VkaXRp
b24+PGtleXdvcmRzPjxrZXl3b3JkPkFkdWx0PC9rZXl3b3JkPjxrZXl3b3JkPkJpcnRoIFdlaWdo
dC9kcnVnIGVmZmVjdHM8L2tleXdvcmQ+PGtleXdvcmQ+KkRpZXRhcnkgU3VwcGxlbWVudHM8L2tl
eXdvcmQ+PGtleXdvcmQ+RmVtYWxlPC9rZXl3b3JkPjxrZXl3b3JkPkh1bWFuczwva2V5d29yZD48
a2V5d29yZD5JbmZhbnQsIE5ld2Jvcm48L2tleXdvcmQ+PGtleXdvcmQ+SXJhbi9lcGlkZW1pb2xv
Z3k8L2tleXdvcmQ+PGtleXdvcmQ+UHJlZ25hbmN5PC9rZXl3b3JkPjxrZXl3b3JkPlByZWduYW5j
eSBDb21wbGljYXRpb25zL2VwaWRlbWlvbG9neTwva2V5d29yZD48a2V5d29yZD4qUHJlZ25hbmN5
IE91dGNvbWUvZXBpZGVtaW9sb2d5PC9rZXl3b3JkPjxrZXl3b3JkPllvdW5nIEFkdWx0PC9rZXl3
b3JkPjxrZXl3b3JkPlppbmMvKmFkbWluaXN0cmF0aW9uICZhbXA7IGRvc2FnZTwva2V5d29yZD48
a2V5d29yZD5CaXJ0aCB3ZWlnaHQ8L2tleXdvcmQ+PGtleXdvcmQ+bWF0ZXJuYWwgb3V0Y29tZTwv
a2V5d29yZD48a2V5d29yZD5uZW9uYXRhbCBvdXRjb21lPC9rZXl3b3JkPjxrZXl3b3JkPnppbmMg
c3VwcGxlbWVudGF0aW9uPC9rZXl3b3JkPjwva2V5d29yZHM+PGRhdGVzPjx5ZWFyPjIwMTY8L3ll
YXI+PC9kYXRlcz48aXNibj4xNDc2LTQ5NTQgKEVsZWN0cm9uaWMpJiN4RDsxNDc2LTQ5NTQgKExp
bmtpbmcpPC9pc2JuPjxhY2Nlc3Npb24tbnVtPjI2MzY1MzMwPC9hY2Nlc3Npb24tbnVtPjx1cmxz
PjxyZWxhdGVkLXVybHM+PHVybD5odHRwczovL3d3dy5uY2JpLm5sbS5uaWguZ292L3B1Ym1lZC8y
NjM2NTMzMDwvdXJsPjwvcmVsYXRlZC11cmxzPjwvdXJscz48ZWxlY3Ryb25pYy1yZXNvdXJjZS1u
dW0+MTAuMzEwOS8xNDc2NzA1OC4yMDE1LjEwNzk2MTU8L2VsZWN0cm9uaWMtcmVzb3VyY2UtbnVt
PjwvcmVjb3JkPjwvQ2l0ZT48L0VuZE5vdGU+
</w:fldData>
        </w:fldChar>
      </w:r>
      <w:r w:rsidR="002747EA">
        <w:instrText xml:space="preserve"> ADDIN EN.CITE.DATA </w:instrText>
      </w:r>
      <w:r w:rsidR="002747EA">
        <w:fldChar w:fldCharType="end"/>
      </w:r>
      <w:r w:rsidR="00DC7007">
        <w:fldChar w:fldCharType="separate"/>
      </w:r>
      <w:r w:rsidR="002747EA" w:rsidRPr="002747EA">
        <w:rPr>
          <w:noProof/>
          <w:vertAlign w:val="superscript"/>
        </w:rPr>
        <w:t>210</w:t>
      </w:r>
      <w:r w:rsidR="00DC7007">
        <w:fldChar w:fldCharType="end"/>
      </w:r>
      <w:r w:rsidR="006C0497">
        <w:t xml:space="preserve"> There were no clear differences in any other outcomes reported in the RCTs.</w:t>
      </w:r>
    </w:p>
    <w:p w14:paraId="5ABE5A2B" w14:textId="7A97D35A" w:rsidR="0008503E" w:rsidRDefault="0008503E" w:rsidP="007B62DE">
      <w:r>
        <w:t>The third RCT found that zinc supplementation increased haemoglobin concentration at birth (</w:t>
      </w:r>
      <w:r w:rsidRPr="00BD61CC">
        <w:rPr>
          <w:sz w:val="16"/>
          <w:szCs w:val="16"/>
        </w:rPr>
        <w:t>MD -0.26 g/dL; 95% CI: -0.50 to -0.02; p=0.03</w:t>
      </w:r>
      <w:r>
        <w:t xml:space="preserve">) but </w:t>
      </w:r>
      <w:r w:rsidR="00C960FE">
        <w:t xml:space="preserve">did not alter </w:t>
      </w:r>
      <w:r>
        <w:t>serum ferritin (</w:t>
      </w:r>
      <w:r w:rsidRPr="00BD61CC">
        <w:rPr>
          <w:sz w:val="16"/>
          <w:szCs w:val="16"/>
        </w:rPr>
        <w:t>p=0.14</w:t>
      </w:r>
      <w:r>
        <w:t>) or plasma zinc (</w:t>
      </w:r>
      <w:r w:rsidRPr="00BD61CC">
        <w:rPr>
          <w:sz w:val="16"/>
          <w:szCs w:val="16"/>
        </w:rPr>
        <w:t>p=0.15</w:t>
      </w:r>
      <w:r>
        <w:t>).</w:t>
      </w:r>
      <w:r w:rsidR="00D07346">
        <w:fldChar w:fldCharType="begin">
          <w:fldData xml:space="preserve">PEVuZE5vdGU+PENpdGU+PEF1dGhvcj5Ob29yPC9BdXRob3I+PFllYXI+MjAyMDwvWWVhcj48UmVj
TnVtPjE4NzQ8L1JlY051bT48RGlzcGxheVRleHQ+PHN0eWxlIGZhY2U9InN1cGVyc2NyaXB0IiBm
b250PSJUcmVidWNoZXQgTVMiIHNpemU9IjkiPjIxMTwvc3R5bGU+PC9EaXNwbGF5VGV4dD48cmVj
b3JkPjxyZWMtbnVtYmVyPjE4NzQ8L3JlYy1udW1iZXI+PGZvcmVpZ24ta2V5cz48a2V5IGFwcD0i
RU4iIGRiLWlkPSJleHZhc3JmeDJkdHJhb2VzYXN4cDJzenN4YTJkZjUwMjU5MngiIHRpbWVzdGFt
cD0iMTU4ODEzODc2NiI+MTg3NDwva2V5PjxrZXkgYXBwPSJFTldlYiIgZGItaWQ9IiI+MDwva2V5
PjwvZm9yZWlnbi1rZXlzPjxyZWYtdHlwZSBuYW1lPSJKb3VybmFsIEFydGljbGUiPjE3PC9yZWYt
dHlwZT48Y29udHJpYnV0b3JzPjxhdXRob3JzPjxhdXRob3I+Tm9vciwgUi4gQS48L2F1dGhvcj48
YXV0aG9yPkFiaW95ZSwgQS4gSS48L2F1dGhvcj48YXV0aG9yPkRhcmxpbmcsIEEuIE0uPC9hdXRo
b3I+PGF1dGhvcj5IZXJ0em1hcmssIEUuPC9hdXRob3I+PGF1dGhvcj5BYm91ZCwgUy48L2F1dGhv
cj48YXV0aG9yPlByZW1qaSwgWi48L2F1dGhvcj48YXV0aG9yPk11Z3VzaSwgRi4gTS48L2F1dGhv
cj48YXV0aG9yPkR1Z2dhbiwgQy48L2F1dGhvcj48YXV0aG9yPlN1ZGZlbGQsIEMuIFIuPC9hdXRo
b3I+PGF1dGhvcj5TcGllZ2VsbWFuLCBELjwvYXV0aG9yPjxhdXRob3I+RmF3emksIFcuPC9hdXRo
b3I+PC9hdXRob3JzPjwvY29udHJpYnV0b3JzPjxhdXRoLWFkZHJlc3M+RGVwYXJ0bWVudCBvZiBO
dXRyaXRpb24sIEhhcnZhcmQgVEggQ2hhbiBTY2hvb2wgb2YgUHVibGljIEhlYWx0aCwgQm9zdG9u
LCBNQSwgVVNBLiYjeEQ7RGVwYXJ0bWVudCBvZiBHbG9iYWwgSGVhbHRoIGFuZCBQb3B1bGF0aW9u
LCBIYXJ2YXJkIFRIIENoYW4gU2Nob29sIG9mIFB1YmxpYyBIZWFsdGgsIEJvc3RvbiwgTUEsIFVT
QS4mI3hEO0RlcGFydG1lbnQgb2YgTWljcm9iaW9sb2d5IGFuZCBJbW11bm9sb2d5LCBTY2hvb2wg
b2YgTWVkaWNpbmUsIE11aGltYmlsaSBVbml2ZXJzaXR5IG9mIEhlYWx0aCBhbmQgQWxsaWVkIFNj
aWVuY2VzLCBEYXIgZXMgU2FsYWFtLCBUYW56YW5pYS4mI3hEO0RlcGFydG1lbnQgb2YgUGFyYXNp
dG9sb2d5L01lZGljYWwgRW50b21vbG9neSwgU2Nob29sIG9mIFB1YmxpYyBIZWFsdGggYW5kIFNv
Y2lhbCBTY2llbmNlcywgTXVoaW1iaWxpIFVuaXZlcnNpdHkgb2YgSGVhbHRoIGFuZCBBbGxpZWQg
U2NpZW5jZXMsIERhciBlcyBTYWxhYW0sIFRhbnphbmlhLiYjeEQ7RGVwYXJ0bWVudCBvZiBJbnRl
cm5hbCBNZWRpY2luZSwgTXVoaW1iaWxpIFVuaXZlcnNpdHkgb2YgSGVhbHRoIGFuZCBBbGxpZWQg
U2NpZW5jZXMsIERhciBlcyBTYWxhYW0sIFRhbnphbmlhLiYjeEQ7RGl2aXNpb24gb2YgR2FzdHJv
ZW50ZXJvbG9neSwgSGVwYXRvbG9neSBhbmQgTnV0cml0aW9uLCBCb3N0b24gQ2hpbGRyZW4mYXBv
cztzIEhvc3BpdGFsLCBIYXJ2YXJkIE1lZGljYWwgU2Nob29sLCBCb3N0b24sIE1BLCBVU0EuJiN4
RDtEZXBhcnRtZW50IG9mIEVwaWRlbWlvbG9neSwgSGFydmFyZCBUSCBDaGFuIFNjaG9vbCBvZiBQ
dWJsaWMgSGVhbHRoLCBCb3N0b24sIE1BLCBVU0EuJiN4RDtEZXBhcnRtZW50IG9mIEJpb3N0YXRp
c3RpY3MsIEhhcnZhcmQgVEggQ2hhbiBTY2hvb2wgb2YgUHVibGljIEhlYWx0aCwgQm9zdG9uLCBN
QSwgVVNBLiYjeEQ7RGVwYXJ0bWVudCBvZiBCaW9zdGF0aXN0aWNzLCBZYWxlIFNjaG9vbCBvZiBQ
dWJsaWMgSGVhbHRoLCBOZXcgSGF2ZW4sIENULCBVU0EuPC9hdXRoLWFkZHJlc3M+PHRpdGxlcz48
dGl0bGU+UHJlbmF0YWwgemluYyBhbmQgdml0YW1pbiBBIHJlZHVjZSB0aGUgYmVuZWZpdCBvZiBp
cm9uIG9uIG1hdGVybmFsIGhlbWF0b2xvZ2ljIGFuZCBtaWNyb251dHJpZW50IHN0YXR1cyBhdCBk
ZWxpdmVyeSBpbiBUYW56YW5pYTwvdGl0bGU+PHNlY29uZGFyeS10aXRsZT5KIE51dHI8L3NlY29u
ZGFyeS10aXRsZT48L3RpdGxlcz48cGVyaW9kaWNhbD48ZnVsbC10aXRsZT5KIE51dHI8L2Z1bGwt
dGl0bGU+PC9wZXJpb2RpY2FsPjxwYWdlcz4yNDAtMjQ4PC9wYWdlcz48dm9sdW1lPjE1MDwvdm9s
dW1lPjxudW1iZXI+MjwvbnVtYmVyPjxlZGl0aW9uPjIwMTkvMTAvMTc8L2VkaXRpb24+PGtleXdv
cmRzPjxrZXl3b3JkPmFuZW1pYTwva2V5d29yZD48a2V5d29yZD5pcm9uPC9rZXl3b3JkPjxrZXl3
b3JkPm1pY3JvbnV0cmllbnRzPC9rZXl3b3JkPjxrZXl3b3JkPnByZWduYW5jeTwva2V5d29yZD48
a2V5d29yZD52aXRhbWluIEE8L2tleXdvcmQ+PGtleXdvcmQ+emluYzwva2V5d29yZD48L2tleXdv
cmRzPjxkYXRlcz48eWVhcj4yMDIwPC95ZWFyPjxwdWItZGF0ZXM+PGRhdGU+RmViIDE8L2RhdGU+
PC9wdWItZGF0ZXM+PC9kYXRlcz48aXNibj4xNTQxLTYxMDAgKEVsZWN0cm9uaWMpJiN4RDswMDIy
LTMxNjYgKExpbmtpbmcpPC9pc2JuPjxhY2Nlc3Npb24tbnVtPjMxNjE4NDMwPC9hY2Nlc3Npb24t
bnVtPjx1cmxzPjxyZWxhdGVkLXVybHM+PHVybD5odHRwczovL3d3dy5uY2JpLm5sbS5uaWguZ292
L3B1Ym1lZC8zMTYxODQzMDwvdXJsPjwvcmVsYXRlZC11cmxzPjwvdXJscz48ZWxlY3Ryb25pYy1y
ZXNvdXJjZS1udW0+MTAuMTA5My9qbi9ueHoyNDI8L2VsZWN0cm9uaWMtcmVzb3VyY2UtbnVtPjwv
cmVjb3JkPjwvQ2l0ZT48L0VuZE5vdGU+AG==
</w:fldData>
        </w:fldChar>
      </w:r>
      <w:r w:rsidR="002747EA">
        <w:instrText xml:space="preserve"> ADDIN EN.CITE </w:instrText>
      </w:r>
      <w:r w:rsidR="002747EA">
        <w:fldChar w:fldCharType="begin">
          <w:fldData xml:space="preserve">PEVuZE5vdGU+PENpdGU+PEF1dGhvcj5Ob29yPC9BdXRob3I+PFllYXI+MjAyMDwvWWVhcj48UmVj
TnVtPjE4NzQ8L1JlY051bT48RGlzcGxheVRleHQ+PHN0eWxlIGZhY2U9InN1cGVyc2NyaXB0IiBm
b250PSJUcmVidWNoZXQgTVMiIHNpemU9IjkiPjIxMTwvc3R5bGU+PC9EaXNwbGF5VGV4dD48cmVj
b3JkPjxyZWMtbnVtYmVyPjE4NzQ8L3JlYy1udW1iZXI+PGZvcmVpZ24ta2V5cz48a2V5IGFwcD0i
RU4iIGRiLWlkPSJleHZhc3JmeDJkdHJhb2VzYXN4cDJzenN4YTJkZjUwMjU5MngiIHRpbWVzdGFt
cD0iMTU4ODEzODc2NiI+MTg3NDwva2V5PjxrZXkgYXBwPSJFTldlYiIgZGItaWQ9IiI+MDwva2V5
PjwvZm9yZWlnbi1rZXlzPjxyZWYtdHlwZSBuYW1lPSJKb3VybmFsIEFydGljbGUiPjE3PC9yZWYt
dHlwZT48Y29udHJpYnV0b3JzPjxhdXRob3JzPjxhdXRob3I+Tm9vciwgUi4gQS48L2F1dGhvcj48
YXV0aG9yPkFiaW95ZSwgQS4gSS48L2F1dGhvcj48YXV0aG9yPkRhcmxpbmcsIEEuIE0uPC9hdXRo
b3I+PGF1dGhvcj5IZXJ0em1hcmssIEUuPC9hdXRob3I+PGF1dGhvcj5BYm91ZCwgUy48L2F1dGhv
cj48YXV0aG9yPlByZW1qaSwgWi48L2F1dGhvcj48YXV0aG9yPk11Z3VzaSwgRi4gTS48L2F1dGhv
cj48YXV0aG9yPkR1Z2dhbiwgQy48L2F1dGhvcj48YXV0aG9yPlN1ZGZlbGQsIEMuIFIuPC9hdXRo
b3I+PGF1dGhvcj5TcGllZ2VsbWFuLCBELjwvYXV0aG9yPjxhdXRob3I+RmF3emksIFcuPC9hdXRo
b3I+PC9hdXRob3JzPjwvY29udHJpYnV0b3JzPjxhdXRoLWFkZHJlc3M+RGVwYXJ0bWVudCBvZiBO
dXRyaXRpb24sIEhhcnZhcmQgVEggQ2hhbiBTY2hvb2wgb2YgUHVibGljIEhlYWx0aCwgQm9zdG9u
LCBNQSwgVVNBLiYjeEQ7RGVwYXJ0bWVudCBvZiBHbG9iYWwgSGVhbHRoIGFuZCBQb3B1bGF0aW9u
LCBIYXJ2YXJkIFRIIENoYW4gU2Nob29sIG9mIFB1YmxpYyBIZWFsdGgsIEJvc3RvbiwgTUEsIFVT
QS4mI3hEO0RlcGFydG1lbnQgb2YgTWljcm9iaW9sb2d5IGFuZCBJbW11bm9sb2d5LCBTY2hvb2wg
b2YgTWVkaWNpbmUsIE11aGltYmlsaSBVbml2ZXJzaXR5IG9mIEhlYWx0aCBhbmQgQWxsaWVkIFNj
aWVuY2VzLCBEYXIgZXMgU2FsYWFtLCBUYW56YW5pYS4mI3hEO0RlcGFydG1lbnQgb2YgUGFyYXNp
dG9sb2d5L01lZGljYWwgRW50b21vbG9neSwgU2Nob29sIG9mIFB1YmxpYyBIZWFsdGggYW5kIFNv
Y2lhbCBTY2llbmNlcywgTXVoaW1iaWxpIFVuaXZlcnNpdHkgb2YgSGVhbHRoIGFuZCBBbGxpZWQg
U2NpZW5jZXMsIERhciBlcyBTYWxhYW0sIFRhbnphbmlhLiYjeEQ7RGVwYXJ0bWVudCBvZiBJbnRl
cm5hbCBNZWRpY2luZSwgTXVoaW1iaWxpIFVuaXZlcnNpdHkgb2YgSGVhbHRoIGFuZCBBbGxpZWQg
U2NpZW5jZXMsIERhciBlcyBTYWxhYW0sIFRhbnphbmlhLiYjeEQ7RGl2aXNpb24gb2YgR2FzdHJv
ZW50ZXJvbG9neSwgSGVwYXRvbG9neSBhbmQgTnV0cml0aW9uLCBCb3N0b24gQ2hpbGRyZW4mYXBv
cztzIEhvc3BpdGFsLCBIYXJ2YXJkIE1lZGljYWwgU2Nob29sLCBCb3N0b24sIE1BLCBVU0EuJiN4
RDtEZXBhcnRtZW50IG9mIEVwaWRlbWlvbG9neSwgSGFydmFyZCBUSCBDaGFuIFNjaG9vbCBvZiBQ
dWJsaWMgSGVhbHRoLCBCb3N0b24sIE1BLCBVU0EuJiN4RDtEZXBhcnRtZW50IG9mIEJpb3N0YXRp
c3RpY3MsIEhhcnZhcmQgVEggQ2hhbiBTY2hvb2wgb2YgUHVibGljIEhlYWx0aCwgQm9zdG9uLCBN
QSwgVVNBLiYjeEQ7RGVwYXJ0bWVudCBvZiBCaW9zdGF0aXN0aWNzLCBZYWxlIFNjaG9vbCBvZiBQ
dWJsaWMgSGVhbHRoLCBOZXcgSGF2ZW4sIENULCBVU0EuPC9hdXRoLWFkZHJlc3M+PHRpdGxlcz48
dGl0bGU+UHJlbmF0YWwgemluYyBhbmQgdml0YW1pbiBBIHJlZHVjZSB0aGUgYmVuZWZpdCBvZiBp
cm9uIG9uIG1hdGVybmFsIGhlbWF0b2xvZ2ljIGFuZCBtaWNyb251dHJpZW50IHN0YXR1cyBhdCBk
ZWxpdmVyeSBpbiBUYW56YW5pYTwvdGl0bGU+PHNlY29uZGFyeS10aXRsZT5KIE51dHI8L3NlY29u
ZGFyeS10aXRsZT48L3RpdGxlcz48cGVyaW9kaWNhbD48ZnVsbC10aXRsZT5KIE51dHI8L2Z1bGwt
dGl0bGU+PC9wZXJpb2RpY2FsPjxwYWdlcz4yNDAtMjQ4PC9wYWdlcz48dm9sdW1lPjE1MDwvdm9s
dW1lPjxudW1iZXI+MjwvbnVtYmVyPjxlZGl0aW9uPjIwMTkvMTAvMTc8L2VkaXRpb24+PGtleXdv
cmRzPjxrZXl3b3JkPmFuZW1pYTwva2V5d29yZD48a2V5d29yZD5pcm9uPC9rZXl3b3JkPjxrZXl3
b3JkPm1pY3JvbnV0cmllbnRzPC9rZXl3b3JkPjxrZXl3b3JkPnByZWduYW5jeTwva2V5d29yZD48
a2V5d29yZD52aXRhbWluIEE8L2tleXdvcmQ+PGtleXdvcmQ+emluYzwva2V5d29yZD48L2tleXdv
cmRzPjxkYXRlcz48eWVhcj4yMDIwPC95ZWFyPjxwdWItZGF0ZXM+PGRhdGU+RmViIDE8L2RhdGU+
PC9wdWItZGF0ZXM+PC9kYXRlcz48aXNibj4xNTQxLTYxMDAgKEVsZWN0cm9uaWMpJiN4RDswMDIy
LTMxNjYgKExpbmtpbmcpPC9pc2JuPjxhY2Nlc3Npb24tbnVtPjMxNjE4NDMwPC9hY2Nlc3Npb24t
bnVtPjx1cmxzPjxyZWxhdGVkLXVybHM+PHVybD5odHRwczovL3d3dy5uY2JpLm5sbS5uaWguZ292
L3B1Ym1lZC8zMTYxODQzMDwvdXJsPjwvcmVsYXRlZC11cmxzPjwvdXJscz48ZWxlY3Ryb25pYy1y
ZXNvdXJjZS1udW0+MTAuMTA5My9qbi9ueHoyNDI8L2VsZWN0cm9uaWMtcmVzb3VyY2UtbnVtPjwv
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211</w:t>
      </w:r>
      <w:r w:rsidR="00D07346">
        <w:fldChar w:fldCharType="end"/>
      </w:r>
    </w:p>
    <w:p w14:paraId="514A2888" w14:textId="052BE3A0" w:rsidR="00B565E1" w:rsidRDefault="006173E3" w:rsidP="00EF63E3">
      <w:pPr>
        <w:pStyle w:val="Heading4"/>
      </w:pPr>
      <w:r>
        <w:t>Magnesium</w:t>
      </w:r>
      <w:r w:rsidR="00BA549B">
        <w:t xml:space="preserve"> supplementation</w:t>
      </w:r>
    </w:p>
    <w:p w14:paraId="2FE930C3" w14:textId="77777777" w:rsidR="00573F93" w:rsidRDefault="00573F93" w:rsidP="003461F6">
      <w:pPr>
        <w:pStyle w:val="Heading5"/>
      </w:pPr>
      <w:r>
        <w:t>Background</w:t>
      </w:r>
    </w:p>
    <w:p w14:paraId="1E9F364A" w14:textId="285C61E3" w:rsidR="003461F6" w:rsidRDefault="003461F6" w:rsidP="005F5D31">
      <w:r w:rsidRPr="00CC52F7">
        <w:rPr>
          <w:lang w:val="en-AU"/>
        </w:rPr>
        <w:t>T</w:t>
      </w:r>
      <w:r>
        <w:rPr>
          <w:lang w:val="en-AU"/>
        </w:rPr>
        <w:t>he Guidelines currently comment that t</w:t>
      </w:r>
      <w:r w:rsidRPr="00CC52F7">
        <w:rPr>
          <w:lang w:val="en-AU"/>
        </w:rPr>
        <w:t>here is insufficient evidence to show whether dietary magnesium supplementation during pregnancy is beneficial</w:t>
      </w:r>
      <w:r>
        <w:t>.</w:t>
      </w:r>
    </w:p>
    <w:p w14:paraId="7B241681" w14:textId="77777777" w:rsidR="003461F6" w:rsidRDefault="003461F6" w:rsidP="003461F6">
      <w:pPr>
        <w:pStyle w:val="Heading5"/>
      </w:pPr>
      <w:r>
        <w:t>Current review</w:t>
      </w:r>
    </w:p>
    <w:p w14:paraId="456CA154" w14:textId="23A1C85A" w:rsidR="005F5D31" w:rsidRPr="005F5D31" w:rsidRDefault="007B62DE" w:rsidP="00BD3F08">
      <w:pPr>
        <w:keepNext/>
      </w:pPr>
      <w:r>
        <w:t>This</w:t>
      </w:r>
      <w:r w:rsidR="005F5D31">
        <w:t xml:space="preserve"> review identified one Cochrane review</w:t>
      </w:r>
      <w:r w:rsidR="00BE7640">
        <w:fldChar w:fldCharType="begin"/>
      </w:r>
      <w:r w:rsidR="002747EA">
        <w:instrText xml:space="preserve"> ADDIN EN.CITE &lt;EndNote&gt;&lt;Cite&gt;&lt;Author&gt;Makrides&lt;/Author&gt;&lt;Year&gt;2014&lt;/Year&gt;&lt;RecNum&gt;1192&lt;/RecNum&gt;&lt;DisplayText&gt;&lt;style face="superscript" font="Trebuchet MS" size="9"&gt;212&lt;/style&gt;&lt;/DisplayText&gt;&lt;record&gt;&lt;rec-number&gt;1192&lt;/rec-number&gt;&lt;foreign-keys&gt;&lt;key app="EN" db-id="exvasrfx2dtraoesasxp2szsxa2df502592x" timestamp="1559283572"&gt;1192&lt;/key&gt;&lt;key app="ENWeb" db-id=""&gt;0&lt;/key&gt;&lt;/foreign-keys&gt;&lt;ref-type name="Journal Article"&gt;17&lt;/ref-type&gt;&lt;contributors&gt;&lt;authors&gt;&lt;author&gt;Makrides, Maria&lt;/author&gt;&lt;author&gt;Crosby, Danielle D.&lt;/author&gt;&lt;author&gt;Shepherd, Emily&lt;/author&gt;&lt;author&gt;Crowther, Caroline A.&lt;/author&gt;&lt;/authors&gt;&lt;/contributors&gt;&lt;titles&gt;&lt;title&gt;Magnesium supplementation in pregnancy&lt;/title&gt;&lt;secondary-title&gt;Cochrane Database of Systematic Reviews&lt;/secondary-title&gt;&lt;/titles&gt;&lt;periodical&gt;&lt;full-title&gt;Cochrane Database of Systematic Reviews&lt;/full-title&gt;&lt;/periodical&gt;&lt;dates&gt;&lt;year&gt;2014&lt;/year&gt;&lt;/dates&gt;&lt;isbn&gt;14651858&lt;/isbn&gt;&lt;urls&gt;&lt;/urls&gt;&lt;electronic-resource-num&gt;10.1002/14651858.CD000937.pub2&lt;/electronic-resource-num&gt;&lt;/record&gt;&lt;/Cite&gt;&lt;/EndNote&gt;</w:instrText>
      </w:r>
      <w:r w:rsidR="00BE7640">
        <w:fldChar w:fldCharType="separate"/>
      </w:r>
      <w:r w:rsidR="002747EA" w:rsidRPr="002747EA">
        <w:rPr>
          <w:noProof/>
          <w:vertAlign w:val="superscript"/>
        </w:rPr>
        <w:t>212</w:t>
      </w:r>
      <w:r w:rsidR="00BE7640">
        <w:fldChar w:fldCharType="end"/>
      </w:r>
      <w:r w:rsidR="005F5D31">
        <w:t xml:space="preserve"> and four RCTs</w:t>
      </w:r>
      <w:r w:rsidR="00376CA8">
        <w:t xml:space="preserve"> that reported on relevant outcomes.</w:t>
      </w:r>
      <w:r w:rsidR="00BE7640">
        <w:fldChar w:fldCharType="begin">
          <w:fldData xml:space="preserve">PEVuZE5vdGU+PENpdGU+PEF1dGhvcj5CdWxsYXJibzwvQXV0aG9yPjxZZWFyPjIwMTg8L1llYXI+
PFJlY051bT4xMTg4PC9SZWNOdW0+PERpc3BsYXlUZXh0PjxzdHlsZSBmYWNlPSJzdXBlcnNjcmlw
dCIgZm9udD0iVHJlYnVjaGV0IE1TIiBzaXplPSI5Ij4yMTMtMjE2PC9zdHlsZT48L0Rpc3BsYXlU
ZXh0PjxyZWNvcmQ+PHJlYy1udW1iZXI+MTE4ODwvcmVjLW51bWJlcj48Zm9yZWlnbi1rZXlzPjxr
ZXkgYXBwPSJFTiIgZGItaWQ9ImV4dmFzcmZ4MmR0cmFvZXNhc3hwMnN6c3hhMmRmNTAyNTkyeCIg
dGltZXN0YW1wPSIxNTU5MjY5MzY2Ij4xMTg4PC9rZXk+PGtleSBhcHA9IkVOV2ViIiBkYi1pZD0i
Ij4wPC9rZXk+PC9mb3JlaWduLWtleXM+PHJlZi10eXBlIG5hbWU9IkpvdXJuYWwgQXJ0aWNsZSI+
MTc8L3JlZi10eXBlPjxjb250cmlidXRvcnM+PGF1dGhvcnM+PGF1dGhvcj5CdWxsYXJibywgTS48
L2F1dGhvcj48YXV0aG9yPk1hdHRzb24sIEguPC9hdXRob3I+PGF1dGhvcj5Ccm9tYW4sIEEuIEsu
PC9hdXRob3I+PGF1dGhvcj5PZG1hbiwgTi48L2F1dGhvcj48YXV0aG9yPk5pZWxzZW4sIFQuIEYu
PC9hdXRob3I+PC9hdXRob3JzPjwvY29udHJpYnV0b3JzPjxhdXRoLWFkZHJlc3M+RGVwYXJ0bWVu
dCBvZiBPYnN0ZXRyaWNzIGFuZCBHeW5lY29sb2d5LCBTYWhsZ3JlbnNrYSBBY2FkZW15LCBVbml2
ZXJzaXR5IG9mIEdvdGhlbmJ1cmcsIEdvdGhlbmJ1cmcsIFN3ZWRlbi4mI3hEO0RlcGFydG1lbnQg
b2YgR3luZWNvbG9neSwgTmFyaGFsc2FuLCBNb2xuZGFsLCBTd2VkZW4uJiN4RDtXb21lbiZhcG9z
O3MgQ2xpbmljLCBTb2RyYSBBbHZzYm9yZ3MgSG9zcGl0YWwsIEJvcmFzLCBTd2VkZW4uJiN4RDtX
b21lbiZhcG9zO3MgQ2xpbmljLCBOb3JyYSBBbHZzYm9yZ3MgSG9zcGl0YWwsIFRyb2xsaGF0dGFu
LCBTd2VkZW4uPC9hdXRoLWFkZHJlc3M+PHRpdGxlcz48dGl0bGU+TWFnbmVzaXVtIFN1cHBsZW1l
bnRhdGlvbiBhbmQgQmxvb2QgUHJlc3N1cmUgaW4gUHJlZ25hbmN5OiBBIERvdWJsZS1CbGluZCBS
YW5kb21pemVkIE11bHRpY2VudGVyIFN0dWR5PC90aXRsZT48c2Vjb25kYXJ5LXRpdGxlPkogUHJl
Z25hbmN5PC9zZWNvbmRhcnktdGl0bGU+PC90aXRsZXM+PHBlcmlvZGljYWw+PGZ1bGwtdGl0bGU+
SiBQcmVnbmFuY3k8L2Z1bGwtdGl0bGU+PC9wZXJpb2RpY2FsPjxwYWdlcz40ODQzMTU5PC9wYWdl
cz48dm9sdW1lPjIwMTg8L3ZvbHVtZT48ZWRpdGlvbj4yMDE4LzA3LzE0PC9lZGl0aW9uPjxrZXl3
b3Jkcz48a2V5d29yZD5BZHVsdDwva2V5d29yZD48a2V5d29yZD5CaXJ0aCBXZWlnaHQ8L2tleXdv
cmQ+PGtleXdvcmQ+RGVsaXZlcnksIE9ic3RldHJpYy9zdGF0aXN0aWNzICZhbXA7IG51bWVyaWNh
bCBkYXRhPC9rZXl3b3JkPjxrZXl3b3JkPipEaWV0YXJ5IFN1cHBsZW1lbnRzPC9rZXl3b3JkPjxr
ZXl3b3JkPkRvdWJsZS1CbGluZCBNZXRob2Q8L2tleXdvcmQ+PGtleXdvcmQ+RmVtYWxlPC9rZXl3
b3JkPjxrZXl3b3JkPkh1bWFuczwva2V5d29yZD48a2V5d29yZD5IeXBlcnRlbnNpb24sIFByZWdu
YW5jeS1JbmR1Y2VkL2Jsb29kLypwcmV2ZW50aW9uICZhbXA7IGNvbnRyb2w8L2tleXdvcmQ+PGtl
eXdvcmQ+SW5mYW50LCBOZXdib3JuPC9rZXl3b3JkPjxrZXl3b3JkPk1hZ25lc2l1bS8qYWRtaW5p
c3RyYXRpb24gJmFtcDsgZG9zYWdlL2Jsb29kPC9rZXl3b3JkPjxrZXl3b3JkPlByZWduYW5jeTwv
a2V5d29yZD48a2V5d29yZD5Zb3VuZyBBZHVsdDwva2V5d29yZD48L2tleXdvcmRzPjxkYXRlcz48
eWVhcj4yMDE4PC95ZWFyPjwvZGF0ZXM+PGlzYm4+MjA5MC0yNzM1IChFbGVjdHJvbmljKSYjeEQ7
MjA5MC0yNzI3IChMaW5raW5nKTwvaXNibj48YWNjZXNzaW9uLW51bT4zMDAwMjkzMTwvYWNjZXNz
aW9uLW51bT48dXJscz48cmVsYXRlZC11cmxzPjx1cmw+aHR0cHM6Ly93d3cubmNiaS5ubG0ubmlo
Lmdvdi9wdWJtZWQvMzAwMDI5MzE8L3VybD48L3JlbGF0ZWQtdXJscz48L3VybHM+PGN1c3RvbTI+
UE1DNTk5NjQxNTwvY3VzdG9tMj48ZWxlY3Ryb25pYy1yZXNvdXJjZS1udW0+MTAuMTE1NS8yMDE4
LzQ4NDMxNTk8L2VsZWN0cm9uaWMtcmVzb3VyY2UtbnVtPjwvcmVjb3JkPjwvQ2l0ZT48Q2l0ZT48
QXV0aG9yPkJ1bGxhcmJvPC9BdXRob3I+PFllYXI+MjAxMzwvWWVhcj48UmVjTnVtPjExODk8L1Jl
Y051bT48cmVjb3JkPjxyZWMtbnVtYmVyPjExODk8L3JlYy1udW1iZXI+PGZvcmVpZ24ta2V5cz48
a2V5IGFwcD0iRU4iIGRiLWlkPSJleHZhc3JmeDJkdHJhb2VzYXN4cDJzenN4YTJkZjUwMjU5Mngi
IHRpbWVzdGFtcD0iMTU1OTI2OTM3MCI+MTE4OTwva2V5PjxrZXkgYXBwPSJFTldlYiIgZGItaWQ9
IiI+MDwva2V5PjwvZm9yZWlnbi1rZXlzPjxyZWYtdHlwZSBuYW1lPSJKb3VybmFsIEFydGljbGUi
PjE3PC9yZWYtdHlwZT48Y29udHJpYnV0b3JzPjxhdXRob3JzPjxhdXRob3I+QnVsbGFyYm8sIE0u
PC9hdXRob3I+PGF1dGhvcj5PZG1hbiwgTi48L2F1dGhvcj48YXV0aG9yPk5lc3RsZXIsIEEuPC9h
dXRob3I+PGF1dGhvcj5OaWVsc2VuLCBULjwvYXV0aG9yPjxhdXRob3I+S29saXNlaywgTS48L2F1
dGhvcj48YXV0aG9yPlZvcm1hbm4sIEouPC9hdXRob3I+PGF1dGhvcj5SeWxhbmRlciwgUi48L2F1
dGhvcj48L2F1dGhvcnM+PC9jb250cmlidXRvcnM+PGF1dGgtYWRkcmVzcz5EZXBhcnRtZW50IG9m
IE9ic3RldHJpY3MgYW5kIEd5bmFlY29sb2d5LCBhdCBTYWhsZ3JlbnNrYSBBY2FkZW15LCBVbml2
ZXJzaXR5IG9mIEdvdGhlbmJ1cmcsIEdvdGhlbmJ1cmcsIFN3ZWRlbiwgbWFyaWEuYnVsbGFyYm9A
dmdyZWdpb24uc2UuPC9hdXRoLWFkZHJlc3M+PHRpdGxlcz48dGl0bGU+TWFnbmVzaXVtIHN1cHBs
ZW1lbnRhdGlvbiB0byBwcmV2ZW50IGhpZ2ggYmxvb2QgcHJlc3N1cmUgaW4gcHJlZ25hbmN5OiBh
IHJhbmRvbWlzZWQgcGxhY2VibyBjb250cm9sIHRyaWFsPC90aXRsZT48c2Vjb25kYXJ5LXRpdGxl
PkFyY2ggR3luZWNvbCBPYnN0ZXQ8L3NlY29uZGFyeS10aXRsZT48L3RpdGxlcz48cGVyaW9kaWNh
bD48ZnVsbC10aXRsZT5BcmNoIEd5bmVjb2wgT2JzdGV0PC9mdWxsLXRpdGxlPjwvcGVyaW9kaWNh
bD48cGFnZXM+MTI2OS03NDwvcGFnZXM+PHZvbHVtZT4yODg8L3ZvbHVtZT48bnVtYmVyPjY8L251
bWJlcj48ZWRpdGlvbj4yMDEzLzA1LzMwPC9lZGl0aW9uPjxrZXl3b3Jkcz48a2V5d29yZD5BZG1p
bmlzdHJhdGlvbiwgT3JhbDwva2V5d29yZD48a2V5d29yZD5BZHVsdDwva2V5d29yZD48a2V5d29y
ZD5CbG9vZCBQcmVzc3VyZS8qZHJ1ZyBlZmZlY3RzL3BoeXNpb2xvZ3k8L2tleXdvcmQ+PGtleXdv
cmQ+Q2FsY2l1bS91cmluZTwva2V5d29yZD48a2V5d29yZD5DaXRyaWMgQWNpZC8qYWRtaW5pc3Ry
YXRpb24gJmFtcDsgZG9zYWdlL3VyaW5lPC9rZXl3b3JkPjxrZXl3b3JkPkRvdWJsZS1CbGluZCBN
ZXRob2Q8L2tleXdvcmQ+PGtleXdvcmQ+RmVtYWxlPC9rZXl3b3JkPjxrZXl3b3JkPkh1bWFuczwv
a2V5d29yZD48a2V5d29yZD5IeXBlcnRlbnNpb24vKmRydWcgdGhlcmFweTwva2V5d29yZD48a2V5
d29yZD5Pcmdhbm9tZXRhbGxpYyBDb21wb3VuZHMvKmFkbWluaXN0cmF0aW9uICZhbXA7IGRvc2Fn
ZS91cmluZTwva2V5d29yZD48a2V5d29yZD5QcmVnbmFuY3k8L2tleXdvcmQ+PGtleXdvcmQ+UHJl
Z25hbmN5IE91dGNvbWU8L2tleXdvcmQ+PGtleXdvcmQ+UHJlZ25hbmN5IFRyaW1lc3RlciwgU2Vj
b25kPC9rZXl3b3JkPjxrZXl3b3JkPlByZWduYW5jeSBUcmltZXN0ZXIsIFRoaXJkPC9rZXl3b3Jk
PjxrZXl3b3JkPlNvY2lvZWNvbm9taWMgRmFjdG9yczwva2V5d29yZD48a2V5d29yZD5Td2VkZW48
L2tleXdvcmQ+PGtleXdvcmQ+VHJlYXRtZW50IE91dGNvbWU8L2tleXdvcmQ+PC9rZXl3b3Jkcz48
ZGF0ZXM+PHllYXI+MjAxMzwveWVhcj48cHViLWRhdGVzPjxkYXRlPkRlYzwvZGF0ZT48L3B1Yi1k
YXRlcz48L2RhdGVzPjxpc2JuPjE0MzItMDcxMSAoRWxlY3Ryb25pYykmI3hEOzA5MzItMDA2NyAo
TGlua2luZyk8L2lzYm4+PGFjY2Vzc2lvbi1udW0+MjM3MTU5MjQ8L2FjY2Vzc2lvbi1udW0+PHVy
bHM+PHJlbGF0ZWQtdXJscz48dXJsPmh0dHBzOi8vd3d3Lm5jYmkubmxtLm5paC5nb3YvcHVibWVk
LzIzNzE1OTI0PC91cmw+PC9yZWxhdGVkLXVybHM+PC91cmxzPjxlbGVjdHJvbmljLXJlc291cmNl
LW51bT4xMC4xMDA3L3MwMDQwNC0wMTMtMjkwMC0yPC9lbGVjdHJvbmljLXJlc291cmNlLW51bT48
L3JlY29yZD48L0NpdGU+PENpdGU+PEF1dGhvcj5QYXJlbnRlPC9BdXRob3I+PFllYXI+MjAxNDwv
WWVhcj48UmVjTnVtPjExOTA8L1JlY051bT48cmVjb3JkPjxyZWMtbnVtYmVyPjExOTA8L3JlYy1u
dW1iZXI+PGZvcmVpZ24ta2V5cz48a2V5IGFwcD0iRU4iIGRiLWlkPSJleHZhc3JmeDJkdHJhb2Vz
YXN4cDJzenN4YTJkZjUwMjU5MngiIHRpbWVzdGFtcD0iMTU1OTI2OTM3NSI+MTE5MDwva2V5Pjxr
ZXkgYXBwPSJFTldlYiIgZGItaWQ9IiI+MDwva2V5PjwvZm9yZWlnbi1rZXlzPjxyZWYtdHlwZSBu
YW1lPSJKb3VybmFsIEFydGljbGUiPjE3PC9yZWYtdHlwZT48Y29udHJpYnV0b3JzPjxhdXRob3Jz
PjxhdXRob3I+UGFyZW50ZSwgRWxpZ2lvPC9hdXRob3I+PGF1dGhvcj5Db2xhbm5pbm8sIEdpdWxp
YTwvYXV0aG9yPjxhdXRob3I+RmVycmFyYSwgUGFzcXVhbGU8L2F1dGhvcj48L2F1dGhvcnM+PC9j
b250cmlidXRvcnM+PHRpdGxlcz48dGl0bGU+RWZmaWNhY3kgb2YgTWFnbmVzaXVtIGFuZCBBbHBo
YSBMaXBvaWMgQWNpZCBTdXBwbGVtZW50YXRpb24gaW4gUmVkdWNpbmcgUHJlbWF0dXJlIFV0ZXJp
bmUgQ29udHJhY3Rpb25zPC90aXRsZT48c2Vjb25kYXJ5LXRpdGxlPk9wZW4gSm91cm5hbCBvZiBP
YnN0ZXRyaWNzIGFuZCBHeW5lY29sb2d5PC9zZWNvbmRhcnktdGl0bGU+PC90aXRsZXM+PHBlcmlv
ZGljYWw+PGZ1bGwtdGl0bGU+T3BlbiBKb3VybmFsIG9mIE9ic3RldHJpY3MgYW5kIEd5bmVjb2xv
Z3k8L2Z1bGwtdGl0bGU+PC9wZXJpb2RpY2FsPjxwYWdlcz41NzgtNTgzPC9wYWdlcz48dm9sdW1l
PjA0PC92b2x1bWU+PG51bWJlcj4wOTwvbnVtYmVyPjxzZWN0aW9uPjU3ODwvc2VjdGlvbj48ZGF0
ZXM+PHllYXI+MjAxNDwveWVhcj48L2RhdGVzPjxpc2JuPjIxNjAtODc5MiYjeEQ7MjE2MC04ODA2
PC9pc2JuPjx1cmxzPjwvdXJscz48ZWxlY3Ryb25pYy1yZXNvdXJjZS1udW0+MTAuNDIzNi9vam9n
LjIwMTQuNDkwODI8L2VsZWN0cm9uaWMtcmVzb3VyY2UtbnVtPjwvcmVjb3JkPjwvQ2l0ZT48Q2l0
ZT48QXV0aG9yPlN1cGFrYXRpc2FudDwvQXV0aG9yPjxZZWFyPjIwMTU8L1llYXI+PFJlY051bT4x
MTkxPC9SZWNOdW0+PHJlY29yZD48cmVjLW51bWJlcj4xMTkxPC9yZWMtbnVtYmVyPjxmb3JlaWdu
LWtleXM+PGtleSBhcHA9IkVOIiBkYi1pZD0iZXh2YXNyZngyZHRyYW9lc2FzeHAyc3pzeGEyZGY1
MDI1OTJ4IiB0aW1lc3RhbXA9IjE1NTkyNjkzODEiPjExOTE8L2tleT48a2V5IGFwcD0iRU5XZWIi
IGRiLWlkPSIiPjA8L2tleT48L2ZvcmVpZ24ta2V5cz48cmVmLXR5cGUgbmFtZT0iSm91cm5hbCBB
cnRpY2xlIj4xNzwvcmVmLXR5cGU+PGNvbnRyaWJ1dG9ycz48YXV0aG9ycz48YXV0aG9yPlN1cGFr
YXRpc2FudCwgQy48L2F1dGhvcj48YXV0aG9yPlBodXBvbmcsIFYuPC9hdXRob3I+PC9hdXRob3Jz
PjwvY29udHJpYnV0b3JzPjxhdXRoLWFkZHJlc3M+RGVwYXJ0bWVudCBvZiBPYnN0ZXRyaWNzIGFu
ZCBHeW5lY29sb2d5LCBGYWN1bHR5IG9mIE1lZGljaW5lLCBDaHVsYWxvbmdrb3JuIFVuaXZlcnNp
dHksIFBhdGh1bXdhbiwgQmFuZ2tvaywgMTAzMzAsIFRoYWlsYW5kLjwvYXV0aC1hZGRyZXNzPjx0
aXRsZXM+PHRpdGxlPk9yYWwgbWFnbmVzaXVtIGZvciByZWxpZWYgaW4gcHJlZ25hbmN5LWluZHVj
ZWQgbGVnIGNyYW1wczogYSByYW5kb21pc2VkIGNvbnRyb2xsZWQgdHJpYWw8L3RpdGxlPjxzZWNv
bmRhcnktdGl0bGU+TWF0ZXJuIENoaWxkIE51dHI8L3NlY29uZGFyeS10aXRsZT48L3RpdGxlcz48
cGVyaW9kaWNhbD48ZnVsbC10aXRsZT5NYXRlcm4gQ2hpbGQgTnV0cjwvZnVsbC10aXRsZT48L3Bl
cmlvZGljYWw+PHBhZ2VzPjEzOS00NTwvcGFnZXM+PHZvbHVtZT4xMTwvdm9sdW1lPjxudW1iZXI+
MjwvbnVtYmVyPjxlZGl0aW9uPjIwMTIvMDgvMjM8L2VkaXRpb24+PGtleXdvcmRzPjxrZXl3b3Jk
PkFkbWluaXN0cmF0aW9uLCBPcmFsPC9rZXl3b3JkPjxrZXl3b3JkPkFkdWx0PC9rZXl3b3JkPjxr
ZXl3b3JkPkRvdWJsZS1CbGluZCBNZXRob2Q8L2tleXdvcmQ+PGtleXdvcmQ+RmVtYWxlPC9rZXl3
b3JkPjxrZXl3b3JkPkh1bWFuczwva2V5d29yZD48a2V5d29yZD5MZWcvKnBoeXNpb3BhdGhvbG9n
eTwva2V5d29yZD48a2V5d29yZD5NYWduZXNpdW0vKmFkbWluaXN0cmF0aW9uICZhbXA7IGRvc2Fn
ZTwva2V5d29yZD48a2V5d29yZD5NdXNjbGUgQ3JhbXAvKmRydWcgdGhlcmFweTwva2V5d29yZD48
a2V5d29yZD5QcmVnbmFuY3k8L2tleXdvcmQ+PGtleXdvcmQ+UHJlZ25hbmN5IENvbXBsaWNhdGlv
bnMvKmRydWcgdGhlcmFweTwva2V5d29yZD48a2V5d29yZD5UcmVhdG1lbnQgT3V0Y29tZTwva2V5
d29yZD48a2V5d29yZD5Zb3VuZyBBZHVsdDwva2V5d29yZD48a2V5d29yZD5sZWcgY3JhbXBzPC9r
ZXl3b3JkPjxrZXl3b3JkPm1hZ25lc2l1bSBiaXNnbHljaW5hdGUgY2hlbGF0ZTwva2V5d29yZD48
a2V5d29yZD5vcmFsPC9rZXl3b3JkPjxrZXl3b3JkPnRyaWFsPC9rZXl3b3JkPjwva2V5d29yZHM+
PGRhdGVzPjx5ZWFyPjIwMTU8L3llYXI+PHB1Yi1kYXRlcz48ZGF0ZT5BcHI8L2RhdGU+PC9wdWIt
ZGF0ZXM+PC9kYXRlcz48aXNibj4xNzQwLTg3MDkgKEVsZWN0cm9uaWMpJiN4RDsxNzQwLTg2OTUg
KExpbmtpbmcpPC9pc2JuPjxhY2Nlc3Npb24tbnVtPjIyOTA5MjcwPC9hY2Nlc3Npb24tbnVtPjx1
cmxzPjxyZWxhdGVkLXVybHM+PHVybD5odHRwczovL3d3dy5uY2JpLm5sbS5uaWguZ292L3B1Ym1l
ZC8yMjkwOTI3MDwvdXJsPjwvcmVsYXRlZC11cmxzPjwvdXJscz48ZWxlY3Ryb25pYy1yZXNvdXJj
ZS1udW0+MTAuMTExMS9qLjE3NDAtODcwOS4yMDEyLjAwNDQwLng8L2VsZWN0cm9uaWMtcmVzb3Vy
Y2UtbnVtPjwvcmVjb3JkPjwvQ2l0ZT48L0VuZE5vdGU+AG==
</w:fldData>
        </w:fldChar>
      </w:r>
      <w:r w:rsidR="002747EA">
        <w:instrText xml:space="preserve"> ADDIN EN.CITE </w:instrText>
      </w:r>
      <w:r w:rsidR="002747EA">
        <w:fldChar w:fldCharType="begin">
          <w:fldData xml:space="preserve">PEVuZE5vdGU+PENpdGU+PEF1dGhvcj5CdWxsYXJibzwvQXV0aG9yPjxZZWFyPjIwMTg8L1llYXI+
PFJlY051bT4xMTg4PC9SZWNOdW0+PERpc3BsYXlUZXh0PjxzdHlsZSBmYWNlPSJzdXBlcnNjcmlw
dCIgZm9udD0iVHJlYnVjaGV0IE1TIiBzaXplPSI5Ij4yMTMtMjE2PC9zdHlsZT48L0Rpc3BsYXlU
ZXh0PjxyZWNvcmQ+PHJlYy1udW1iZXI+MTE4ODwvcmVjLW51bWJlcj48Zm9yZWlnbi1rZXlzPjxr
ZXkgYXBwPSJFTiIgZGItaWQ9ImV4dmFzcmZ4MmR0cmFvZXNhc3hwMnN6c3hhMmRmNTAyNTkyeCIg
dGltZXN0YW1wPSIxNTU5MjY5MzY2Ij4xMTg4PC9rZXk+PGtleSBhcHA9IkVOV2ViIiBkYi1pZD0i
Ij4wPC9rZXk+PC9mb3JlaWduLWtleXM+PHJlZi10eXBlIG5hbWU9IkpvdXJuYWwgQXJ0aWNsZSI+
MTc8L3JlZi10eXBlPjxjb250cmlidXRvcnM+PGF1dGhvcnM+PGF1dGhvcj5CdWxsYXJibywgTS48
L2F1dGhvcj48YXV0aG9yPk1hdHRzb24sIEguPC9hdXRob3I+PGF1dGhvcj5Ccm9tYW4sIEEuIEsu
PC9hdXRob3I+PGF1dGhvcj5PZG1hbiwgTi48L2F1dGhvcj48YXV0aG9yPk5pZWxzZW4sIFQuIEYu
PC9hdXRob3I+PC9hdXRob3JzPjwvY29udHJpYnV0b3JzPjxhdXRoLWFkZHJlc3M+RGVwYXJ0bWVu
dCBvZiBPYnN0ZXRyaWNzIGFuZCBHeW5lY29sb2d5LCBTYWhsZ3JlbnNrYSBBY2FkZW15LCBVbml2
ZXJzaXR5IG9mIEdvdGhlbmJ1cmcsIEdvdGhlbmJ1cmcsIFN3ZWRlbi4mI3hEO0RlcGFydG1lbnQg
b2YgR3luZWNvbG9neSwgTmFyaGFsc2FuLCBNb2xuZGFsLCBTd2VkZW4uJiN4RDtXb21lbiZhcG9z
O3MgQ2xpbmljLCBTb2RyYSBBbHZzYm9yZ3MgSG9zcGl0YWwsIEJvcmFzLCBTd2VkZW4uJiN4RDtX
b21lbiZhcG9zO3MgQ2xpbmljLCBOb3JyYSBBbHZzYm9yZ3MgSG9zcGl0YWwsIFRyb2xsaGF0dGFu
LCBTd2VkZW4uPC9hdXRoLWFkZHJlc3M+PHRpdGxlcz48dGl0bGU+TWFnbmVzaXVtIFN1cHBsZW1l
bnRhdGlvbiBhbmQgQmxvb2QgUHJlc3N1cmUgaW4gUHJlZ25hbmN5OiBBIERvdWJsZS1CbGluZCBS
YW5kb21pemVkIE11bHRpY2VudGVyIFN0dWR5PC90aXRsZT48c2Vjb25kYXJ5LXRpdGxlPkogUHJl
Z25hbmN5PC9zZWNvbmRhcnktdGl0bGU+PC90aXRsZXM+PHBlcmlvZGljYWw+PGZ1bGwtdGl0bGU+
SiBQcmVnbmFuY3k8L2Z1bGwtdGl0bGU+PC9wZXJpb2RpY2FsPjxwYWdlcz40ODQzMTU5PC9wYWdl
cz48dm9sdW1lPjIwMTg8L3ZvbHVtZT48ZWRpdGlvbj4yMDE4LzA3LzE0PC9lZGl0aW9uPjxrZXl3
b3Jkcz48a2V5d29yZD5BZHVsdDwva2V5d29yZD48a2V5d29yZD5CaXJ0aCBXZWlnaHQ8L2tleXdv
cmQ+PGtleXdvcmQ+RGVsaXZlcnksIE9ic3RldHJpYy9zdGF0aXN0aWNzICZhbXA7IG51bWVyaWNh
bCBkYXRhPC9rZXl3b3JkPjxrZXl3b3JkPipEaWV0YXJ5IFN1cHBsZW1lbnRzPC9rZXl3b3JkPjxr
ZXl3b3JkPkRvdWJsZS1CbGluZCBNZXRob2Q8L2tleXdvcmQ+PGtleXdvcmQ+RmVtYWxlPC9rZXl3
b3JkPjxrZXl3b3JkPkh1bWFuczwva2V5d29yZD48a2V5d29yZD5IeXBlcnRlbnNpb24sIFByZWdu
YW5jeS1JbmR1Y2VkL2Jsb29kLypwcmV2ZW50aW9uICZhbXA7IGNvbnRyb2w8L2tleXdvcmQ+PGtl
eXdvcmQ+SW5mYW50LCBOZXdib3JuPC9rZXl3b3JkPjxrZXl3b3JkPk1hZ25lc2l1bS8qYWRtaW5p
c3RyYXRpb24gJmFtcDsgZG9zYWdlL2Jsb29kPC9rZXl3b3JkPjxrZXl3b3JkPlByZWduYW5jeTwv
a2V5d29yZD48a2V5d29yZD5Zb3VuZyBBZHVsdDwva2V5d29yZD48L2tleXdvcmRzPjxkYXRlcz48
eWVhcj4yMDE4PC95ZWFyPjwvZGF0ZXM+PGlzYm4+MjA5MC0yNzM1IChFbGVjdHJvbmljKSYjeEQ7
MjA5MC0yNzI3IChMaW5raW5nKTwvaXNibj48YWNjZXNzaW9uLW51bT4zMDAwMjkzMTwvYWNjZXNz
aW9uLW51bT48dXJscz48cmVsYXRlZC11cmxzPjx1cmw+aHR0cHM6Ly93d3cubmNiaS5ubG0ubmlo
Lmdvdi9wdWJtZWQvMzAwMDI5MzE8L3VybD48L3JlbGF0ZWQtdXJscz48L3VybHM+PGN1c3RvbTI+
UE1DNTk5NjQxNTwvY3VzdG9tMj48ZWxlY3Ryb25pYy1yZXNvdXJjZS1udW0+MTAuMTE1NS8yMDE4
LzQ4NDMxNTk8L2VsZWN0cm9uaWMtcmVzb3VyY2UtbnVtPjwvcmVjb3JkPjwvQ2l0ZT48Q2l0ZT48
QXV0aG9yPkJ1bGxhcmJvPC9BdXRob3I+PFllYXI+MjAxMzwvWWVhcj48UmVjTnVtPjExODk8L1Jl
Y051bT48cmVjb3JkPjxyZWMtbnVtYmVyPjExODk8L3JlYy1udW1iZXI+PGZvcmVpZ24ta2V5cz48
a2V5IGFwcD0iRU4iIGRiLWlkPSJleHZhc3JmeDJkdHJhb2VzYXN4cDJzenN4YTJkZjUwMjU5Mngi
IHRpbWVzdGFtcD0iMTU1OTI2OTM3MCI+MTE4OTwva2V5PjxrZXkgYXBwPSJFTldlYiIgZGItaWQ9
IiI+MDwva2V5PjwvZm9yZWlnbi1rZXlzPjxyZWYtdHlwZSBuYW1lPSJKb3VybmFsIEFydGljbGUi
PjE3PC9yZWYtdHlwZT48Y29udHJpYnV0b3JzPjxhdXRob3JzPjxhdXRob3I+QnVsbGFyYm8sIE0u
PC9hdXRob3I+PGF1dGhvcj5PZG1hbiwgTi48L2F1dGhvcj48YXV0aG9yPk5lc3RsZXIsIEEuPC9h
dXRob3I+PGF1dGhvcj5OaWVsc2VuLCBULjwvYXV0aG9yPjxhdXRob3I+S29saXNlaywgTS48L2F1
dGhvcj48YXV0aG9yPlZvcm1hbm4sIEouPC9hdXRob3I+PGF1dGhvcj5SeWxhbmRlciwgUi48L2F1
dGhvcj48L2F1dGhvcnM+PC9jb250cmlidXRvcnM+PGF1dGgtYWRkcmVzcz5EZXBhcnRtZW50IG9m
IE9ic3RldHJpY3MgYW5kIEd5bmFlY29sb2d5LCBhdCBTYWhsZ3JlbnNrYSBBY2FkZW15LCBVbml2
ZXJzaXR5IG9mIEdvdGhlbmJ1cmcsIEdvdGhlbmJ1cmcsIFN3ZWRlbiwgbWFyaWEuYnVsbGFyYm9A
dmdyZWdpb24uc2UuPC9hdXRoLWFkZHJlc3M+PHRpdGxlcz48dGl0bGU+TWFnbmVzaXVtIHN1cHBs
ZW1lbnRhdGlvbiB0byBwcmV2ZW50IGhpZ2ggYmxvb2QgcHJlc3N1cmUgaW4gcHJlZ25hbmN5OiBh
IHJhbmRvbWlzZWQgcGxhY2VibyBjb250cm9sIHRyaWFsPC90aXRsZT48c2Vjb25kYXJ5LXRpdGxl
PkFyY2ggR3luZWNvbCBPYnN0ZXQ8L3NlY29uZGFyeS10aXRsZT48L3RpdGxlcz48cGVyaW9kaWNh
bD48ZnVsbC10aXRsZT5BcmNoIEd5bmVjb2wgT2JzdGV0PC9mdWxsLXRpdGxlPjwvcGVyaW9kaWNh
bD48cGFnZXM+MTI2OS03NDwvcGFnZXM+PHZvbHVtZT4yODg8L3ZvbHVtZT48bnVtYmVyPjY8L251
bWJlcj48ZWRpdGlvbj4yMDEzLzA1LzMwPC9lZGl0aW9uPjxrZXl3b3Jkcz48a2V5d29yZD5BZG1p
bmlzdHJhdGlvbiwgT3JhbDwva2V5d29yZD48a2V5d29yZD5BZHVsdDwva2V5d29yZD48a2V5d29y
ZD5CbG9vZCBQcmVzc3VyZS8qZHJ1ZyBlZmZlY3RzL3BoeXNpb2xvZ3k8L2tleXdvcmQ+PGtleXdv
cmQ+Q2FsY2l1bS91cmluZTwva2V5d29yZD48a2V5d29yZD5DaXRyaWMgQWNpZC8qYWRtaW5pc3Ry
YXRpb24gJmFtcDsgZG9zYWdlL3VyaW5lPC9rZXl3b3JkPjxrZXl3b3JkPkRvdWJsZS1CbGluZCBN
ZXRob2Q8L2tleXdvcmQ+PGtleXdvcmQ+RmVtYWxlPC9rZXl3b3JkPjxrZXl3b3JkPkh1bWFuczwv
a2V5d29yZD48a2V5d29yZD5IeXBlcnRlbnNpb24vKmRydWcgdGhlcmFweTwva2V5d29yZD48a2V5
d29yZD5Pcmdhbm9tZXRhbGxpYyBDb21wb3VuZHMvKmFkbWluaXN0cmF0aW9uICZhbXA7IGRvc2Fn
ZS91cmluZTwva2V5d29yZD48a2V5d29yZD5QcmVnbmFuY3k8L2tleXdvcmQ+PGtleXdvcmQ+UHJl
Z25hbmN5IE91dGNvbWU8L2tleXdvcmQ+PGtleXdvcmQ+UHJlZ25hbmN5IFRyaW1lc3RlciwgU2Vj
b25kPC9rZXl3b3JkPjxrZXl3b3JkPlByZWduYW5jeSBUcmltZXN0ZXIsIFRoaXJkPC9rZXl3b3Jk
PjxrZXl3b3JkPlNvY2lvZWNvbm9taWMgRmFjdG9yczwva2V5d29yZD48a2V5d29yZD5Td2VkZW48
L2tleXdvcmQ+PGtleXdvcmQ+VHJlYXRtZW50IE91dGNvbWU8L2tleXdvcmQ+PC9rZXl3b3Jkcz48
ZGF0ZXM+PHllYXI+MjAxMzwveWVhcj48cHViLWRhdGVzPjxkYXRlPkRlYzwvZGF0ZT48L3B1Yi1k
YXRlcz48L2RhdGVzPjxpc2JuPjE0MzItMDcxMSAoRWxlY3Ryb25pYykmI3hEOzA5MzItMDA2NyAo
TGlua2luZyk8L2lzYm4+PGFjY2Vzc2lvbi1udW0+MjM3MTU5MjQ8L2FjY2Vzc2lvbi1udW0+PHVy
bHM+PHJlbGF0ZWQtdXJscz48dXJsPmh0dHBzOi8vd3d3Lm5jYmkubmxtLm5paC5nb3YvcHVibWVk
LzIzNzE1OTI0PC91cmw+PC9yZWxhdGVkLXVybHM+PC91cmxzPjxlbGVjdHJvbmljLXJlc291cmNl
LW51bT4xMC4xMDA3L3MwMDQwNC0wMTMtMjkwMC0yPC9lbGVjdHJvbmljLXJlc291cmNlLW51bT48
L3JlY29yZD48L0NpdGU+PENpdGU+PEF1dGhvcj5QYXJlbnRlPC9BdXRob3I+PFllYXI+MjAxNDwv
WWVhcj48UmVjTnVtPjExOTA8L1JlY051bT48cmVjb3JkPjxyZWMtbnVtYmVyPjExOTA8L3JlYy1u
dW1iZXI+PGZvcmVpZ24ta2V5cz48a2V5IGFwcD0iRU4iIGRiLWlkPSJleHZhc3JmeDJkdHJhb2Vz
YXN4cDJzenN4YTJkZjUwMjU5MngiIHRpbWVzdGFtcD0iMTU1OTI2OTM3NSI+MTE5MDwva2V5Pjxr
ZXkgYXBwPSJFTldlYiIgZGItaWQ9IiI+MDwva2V5PjwvZm9yZWlnbi1rZXlzPjxyZWYtdHlwZSBu
YW1lPSJKb3VybmFsIEFydGljbGUiPjE3PC9yZWYtdHlwZT48Y29udHJpYnV0b3JzPjxhdXRob3Jz
PjxhdXRob3I+UGFyZW50ZSwgRWxpZ2lvPC9hdXRob3I+PGF1dGhvcj5Db2xhbm5pbm8sIEdpdWxp
YTwvYXV0aG9yPjxhdXRob3I+RmVycmFyYSwgUGFzcXVhbGU8L2F1dGhvcj48L2F1dGhvcnM+PC9j
b250cmlidXRvcnM+PHRpdGxlcz48dGl0bGU+RWZmaWNhY3kgb2YgTWFnbmVzaXVtIGFuZCBBbHBo
YSBMaXBvaWMgQWNpZCBTdXBwbGVtZW50YXRpb24gaW4gUmVkdWNpbmcgUHJlbWF0dXJlIFV0ZXJp
bmUgQ29udHJhY3Rpb25zPC90aXRsZT48c2Vjb25kYXJ5LXRpdGxlPk9wZW4gSm91cm5hbCBvZiBP
YnN0ZXRyaWNzIGFuZCBHeW5lY29sb2d5PC9zZWNvbmRhcnktdGl0bGU+PC90aXRsZXM+PHBlcmlv
ZGljYWw+PGZ1bGwtdGl0bGU+T3BlbiBKb3VybmFsIG9mIE9ic3RldHJpY3MgYW5kIEd5bmVjb2xv
Z3k8L2Z1bGwtdGl0bGU+PC9wZXJpb2RpY2FsPjxwYWdlcz41NzgtNTgzPC9wYWdlcz48dm9sdW1l
PjA0PC92b2x1bWU+PG51bWJlcj4wOTwvbnVtYmVyPjxzZWN0aW9uPjU3ODwvc2VjdGlvbj48ZGF0
ZXM+PHllYXI+MjAxNDwveWVhcj48L2RhdGVzPjxpc2JuPjIxNjAtODc5MiYjeEQ7MjE2MC04ODA2
PC9pc2JuPjx1cmxzPjwvdXJscz48ZWxlY3Ryb25pYy1yZXNvdXJjZS1udW0+MTAuNDIzNi9vam9n
LjIwMTQuNDkwODI8L2VsZWN0cm9uaWMtcmVzb3VyY2UtbnVtPjwvcmVjb3JkPjwvQ2l0ZT48Q2l0
ZT48QXV0aG9yPlN1cGFrYXRpc2FudDwvQXV0aG9yPjxZZWFyPjIwMTU8L1llYXI+PFJlY051bT4x
MTkxPC9SZWNOdW0+PHJlY29yZD48cmVjLW51bWJlcj4xMTkxPC9yZWMtbnVtYmVyPjxmb3JlaWdu
LWtleXM+PGtleSBhcHA9IkVOIiBkYi1pZD0iZXh2YXNyZngyZHRyYW9lc2FzeHAyc3pzeGEyZGY1
MDI1OTJ4IiB0aW1lc3RhbXA9IjE1NTkyNjkzODEiPjExOTE8L2tleT48a2V5IGFwcD0iRU5XZWIi
IGRiLWlkPSIiPjA8L2tleT48L2ZvcmVpZ24ta2V5cz48cmVmLXR5cGUgbmFtZT0iSm91cm5hbCBB
cnRpY2xlIj4xNzwvcmVmLXR5cGU+PGNvbnRyaWJ1dG9ycz48YXV0aG9ycz48YXV0aG9yPlN1cGFr
YXRpc2FudCwgQy48L2F1dGhvcj48YXV0aG9yPlBodXBvbmcsIFYuPC9hdXRob3I+PC9hdXRob3Jz
PjwvY29udHJpYnV0b3JzPjxhdXRoLWFkZHJlc3M+RGVwYXJ0bWVudCBvZiBPYnN0ZXRyaWNzIGFu
ZCBHeW5lY29sb2d5LCBGYWN1bHR5IG9mIE1lZGljaW5lLCBDaHVsYWxvbmdrb3JuIFVuaXZlcnNp
dHksIFBhdGh1bXdhbiwgQmFuZ2tvaywgMTAzMzAsIFRoYWlsYW5kLjwvYXV0aC1hZGRyZXNzPjx0
aXRsZXM+PHRpdGxlPk9yYWwgbWFnbmVzaXVtIGZvciByZWxpZWYgaW4gcHJlZ25hbmN5LWluZHVj
ZWQgbGVnIGNyYW1wczogYSByYW5kb21pc2VkIGNvbnRyb2xsZWQgdHJpYWw8L3RpdGxlPjxzZWNv
bmRhcnktdGl0bGU+TWF0ZXJuIENoaWxkIE51dHI8L3NlY29uZGFyeS10aXRsZT48L3RpdGxlcz48
cGVyaW9kaWNhbD48ZnVsbC10aXRsZT5NYXRlcm4gQ2hpbGQgTnV0cjwvZnVsbC10aXRsZT48L3Bl
cmlvZGljYWw+PHBhZ2VzPjEzOS00NTwvcGFnZXM+PHZvbHVtZT4xMTwvdm9sdW1lPjxudW1iZXI+
MjwvbnVtYmVyPjxlZGl0aW9uPjIwMTIvMDgvMjM8L2VkaXRpb24+PGtleXdvcmRzPjxrZXl3b3Jk
PkFkbWluaXN0cmF0aW9uLCBPcmFsPC9rZXl3b3JkPjxrZXl3b3JkPkFkdWx0PC9rZXl3b3JkPjxr
ZXl3b3JkPkRvdWJsZS1CbGluZCBNZXRob2Q8L2tleXdvcmQ+PGtleXdvcmQ+RmVtYWxlPC9rZXl3
b3JkPjxrZXl3b3JkPkh1bWFuczwva2V5d29yZD48a2V5d29yZD5MZWcvKnBoeXNpb3BhdGhvbG9n
eTwva2V5d29yZD48a2V5d29yZD5NYWduZXNpdW0vKmFkbWluaXN0cmF0aW9uICZhbXA7IGRvc2Fn
ZTwva2V5d29yZD48a2V5d29yZD5NdXNjbGUgQ3JhbXAvKmRydWcgdGhlcmFweTwva2V5d29yZD48
a2V5d29yZD5QcmVnbmFuY3k8L2tleXdvcmQ+PGtleXdvcmQ+UHJlZ25hbmN5IENvbXBsaWNhdGlv
bnMvKmRydWcgdGhlcmFweTwva2V5d29yZD48a2V5d29yZD5UcmVhdG1lbnQgT3V0Y29tZTwva2V5
d29yZD48a2V5d29yZD5Zb3VuZyBBZHVsdDwva2V5d29yZD48a2V5d29yZD5sZWcgY3JhbXBzPC9r
ZXl3b3JkPjxrZXl3b3JkPm1hZ25lc2l1bSBiaXNnbHljaW5hdGUgY2hlbGF0ZTwva2V5d29yZD48
a2V5d29yZD5vcmFsPC9rZXl3b3JkPjxrZXl3b3JkPnRyaWFsPC9rZXl3b3JkPjwva2V5d29yZHM+
PGRhdGVzPjx5ZWFyPjIwMTU8L3llYXI+PHB1Yi1kYXRlcz48ZGF0ZT5BcHI8L2RhdGU+PC9wdWIt
ZGF0ZXM+PC9kYXRlcz48aXNibj4xNzQwLTg3MDkgKEVsZWN0cm9uaWMpJiN4RDsxNzQwLTg2OTUg
KExpbmtpbmcpPC9pc2JuPjxhY2Nlc3Npb24tbnVtPjIyOTA5MjcwPC9hY2Nlc3Npb24tbnVtPjx1
cmxzPjxyZWxhdGVkLXVybHM+PHVybD5odHRwczovL3d3dy5uY2JpLm5sbS5uaWguZ292L3B1Ym1l
ZC8yMjkwOTI3MDwvdXJsPjwvcmVsYXRlZC11cmxzPjwvdXJscz48ZWxlY3Ryb25pYy1yZXNvdXJj
ZS1udW0+MTAuMTExMS9qLjE3NDAtODcwOS4yMDEyLjAwNDQwLng8L2VsZWN0cm9uaWMtcmVzb3Vy
Y2UtbnVtPjwvcmVjb3JkPjwvQ2l0ZT48L0VuZE5vdGU+AG==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213-216</w:t>
      </w:r>
      <w:r w:rsidR="00BE7640">
        <w:fldChar w:fldCharType="end"/>
      </w:r>
    </w:p>
    <w:p w14:paraId="3DE55A12" w14:textId="4D998953" w:rsidR="004F05F7" w:rsidRDefault="005F5D31" w:rsidP="005F5D31">
      <w:r w:rsidRPr="005F5D31">
        <w:t xml:space="preserve">In the </w:t>
      </w:r>
      <w:r w:rsidR="00DC7D99">
        <w:t xml:space="preserve">Cochrane </w:t>
      </w:r>
      <w:r w:rsidR="00A03F2A">
        <w:t>review</w:t>
      </w:r>
      <w:r w:rsidRPr="005F5D31">
        <w:t xml:space="preserve">, </w:t>
      </w:r>
      <w:r w:rsidR="00AF5FCC">
        <w:t>there was</w:t>
      </w:r>
      <w:r w:rsidRPr="005F5D31">
        <w:t xml:space="preserve"> no </w:t>
      </w:r>
      <w:r w:rsidR="00AF5FCC">
        <w:t>clear</w:t>
      </w:r>
      <w:r w:rsidRPr="005F5D31">
        <w:t xml:space="preserve"> difference</w:t>
      </w:r>
      <w:r w:rsidR="00AF5FCC">
        <w:t xml:space="preserve"> between magnesium and control groups</w:t>
      </w:r>
      <w:r>
        <w:t xml:space="preserve"> </w:t>
      </w:r>
      <w:r w:rsidRPr="005F5D31">
        <w:t>in perinatal mortality (</w:t>
      </w:r>
      <w:r w:rsidR="00DC7D99" w:rsidRPr="00A03F2A">
        <w:rPr>
          <w:sz w:val="16"/>
          <w:szCs w:val="16"/>
        </w:rPr>
        <w:t>RR</w:t>
      </w:r>
      <w:r w:rsidRPr="00A03F2A">
        <w:rPr>
          <w:sz w:val="16"/>
          <w:szCs w:val="16"/>
        </w:rPr>
        <w:t xml:space="preserve"> 1.10; 95%</w:t>
      </w:r>
      <w:r w:rsidR="00DC7D99" w:rsidRPr="00A03F2A">
        <w:rPr>
          <w:sz w:val="16"/>
          <w:szCs w:val="16"/>
        </w:rPr>
        <w:t>CI</w:t>
      </w:r>
      <w:r w:rsidRPr="00A03F2A">
        <w:rPr>
          <w:sz w:val="16"/>
          <w:szCs w:val="16"/>
        </w:rPr>
        <w:t xml:space="preserve"> 0.72 to 1.67; </w:t>
      </w:r>
      <w:r w:rsidR="00DC7D99" w:rsidRPr="00A03F2A">
        <w:rPr>
          <w:sz w:val="16"/>
          <w:szCs w:val="16"/>
        </w:rPr>
        <w:t>5</w:t>
      </w:r>
      <w:r w:rsidRPr="00A03F2A">
        <w:rPr>
          <w:sz w:val="16"/>
          <w:szCs w:val="16"/>
        </w:rPr>
        <w:t xml:space="preserve"> </w:t>
      </w:r>
      <w:r w:rsidR="00DC7D99" w:rsidRPr="00A03F2A">
        <w:rPr>
          <w:sz w:val="16"/>
          <w:szCs w:val="16"/>
        </w:rPr>
        <w:t>RCTs</w:t>
      </w:r>
      <w:r w:rsidRPr="00A03F2A">
        <w:rPr>
          <w:sz w:val="16"/>
          <w:szCs w:val="16"/>
        </w:rPr>
        <w:t xml:space="preserve">, </w:t>
      </w:r>
      <w:r w:rsidR="00DC7D99" w:rsidRPr="00A03F2A">
        <w:rPr>
          <w:sz w:val="16"/>
          <w:szCs w:val="16"/>
        </w:rPr>
        <w:t>n=</w:t>
      </w:r>
      <w:r w:rsidRPr="00A03F2A">
        <w:rPr>
          <w:sz w:val="16"/>
          <w:szCs w:val="16"/>
        </w:rPr>
        <w:t>5</w:t>
      </w:r>
      <w:r w:rsidR="00DC7D99" w:rsidRPr="00A03F2A">
        <w:rPr>
          <w:sz w:val="16"/>
          <w:szCs w:val="16"/>
        </w:rPr>
        <w:t>,</w:t>
      </w:r>
      <w:r w:rsidRPr="00A03F2A">
        <w:rPr>
          <w:sz w:val="16"/>
          <w:szCs w:val="16"/>
        </w:rPr>
        <w:t>903</w:t>
      </w:r>
      <w:r w:rsidRPr="005F5D31">
        <w:t>), small-fo</w:t>
      </w:r>
      <w:r w:rsidR="00DC7D99">
        <w:t>r-gestational age (</w:t>
      </w:r>
      <w:r w:rsidR="00DC7D99" w:rsidRPr="00A03F2A">
        <w:rPr>
          <w:sz w:val="16"/>
          <w:szCs w:val="16"/>
        </w:rPr>
        <w:t>RR 0.76; 95%</w:t>
      </w:r>
      <w:r w:rsidRPr="00A03F2A">
        <w:rPr>
          <w:sz w:val="16"/>
          <w:szCs w:val="16"/>
        </w:rPr>
        <w:t xml:space="preserve">CI 0.54 to 1.07; </w:t>
      </w:r>
      <w:r w:rsidR="00DC7D99" w:rsidRPr="00A03F2A">
        <w:rPr>
          <w:sz w:val="16"/>
          <w:szCs w:val="16"/>
        </w:rPr>
        <w:t>3</w:t>
      </w:r>
      <w:r w:rsidRPr="00A03F2A">
        <w:rPr>
          <w:sz w:val="16"/>
          <w:szCs w:val="16"/>
        </w:rPr>
        <w:t xml:space="preserve"> </w:t>
      </w:r>
      <w:r w:rsidR="00DC7D99" w:rsidRPr="00A03F2A">
        <w:rPr>
          <w:sz w:val="16"/>
          <w:szCs w:val="16"/>
        </w:rPr>
        <w:t>RCTs</w:t>
      </w:r>
      <w:r w:rsidRPr="00A03F2A">
        <w:rPr>
          <w:sz w:val="16"/>
          <w:szCs w:val="16"/>
        </w:rPr>
        <w:t xml:space="preserve">, </w:t>
      </w:r>
      <w:r w:rsidR="00DC7D99" w:rsidRPr="00A03F2A">
        <w:rPr>
          <w:sz w:val="16"/>
          <w:szCs w:val="16"/>
        </w:rPr>
        <w:t>n=</w:t>
      </w:r>
      <w:r w:rsidRPr="00A03F2A">
        <w:rPr>
          <w:sz w:val="16"/>
          <w:szCs w:val="16"/>
        </w:rPr>
        <w:t>1</w:t>
      </w:r>
      <w:r w:rsidR="00DC7D99" w:rsidRPr="00A03F2A">
        <w:rPr>
          <w:sz w:val="16"/>
          <w:szCs w:val="16"/>
        </w:rPr>
        <w:t>,</w:t>
      </w:r>
      <w:r w:rsidRPr="00A03F2A">
        <w:rPr>
          <w:sz w:val="16"/>
          <w:szCs w:val="16"/>
        </w:rPr>
        <w:t>291</w:t>
      </w:r>
      <w:r w:rsidR="00DC7D99">
        <w:t>)</w:t>
      </w:r>
      <w:r w:rsidR="00F64710">
        <w:t>, preterm birth (</w:t>
      </w:r>
      <w:r w:rsidR="00F64710" w:rsidRPr="004F206A">
        <w:rPr>
          <w:sz w:val="16"/>
          <w:szCs w:val="16"/>
        </w:rPr>
        <w:t xml:space="preserve">RR 0.89; 95%CI 0.69 to 1.14, 7 </w:t>
      </w:r>
      <w:r w:rsidR="004F206A" w:rsidRPr="004F206A">
        <w:rPr>
          <w:sz w:val="16"/>
          <w:szCs w:val="16"/>
        </w:rPr>
        <w:t>RCTs</w:t>
      </w:r>
      <w:r w:rsidR="00F64710" w:rsidRPr="004F206A">
        <w:rPr>
          <w:sz w:val="16"/>
          <w:szCs w:val="16"/>
        </w:rPr>
        <w:t>, n=5,981</w:t>
      </w:r>
      <w:r w:rsidR="00F64710">
        <w:t>)</w:t>
      </w:r>
      <w:r w:rsidR="004F206A">
        <w:t>,</w:t>
      </w:r>
      <w:r w:rsidRPr="005F5D31">
        <w:t xml:space="preserve"> pre-eclampsia</w:t>
      </w:r>
      <w:r>
        <w:t xml:space="preserve"> </w:t>
      </w:r>
      <w:r w:rsidR="00DC7D99">
        <w:t>(</w:t>
      </w:r>
      <w:r w:rsidR="00DC7D99" w:rsidRPr="00A03F2A">
        <w:rPr>
          <w:sz w:val="16"/>
          <w:szCs w:val="16"/>
        </w:rPr>
        <w:t>RR 0.87; 95%</w:t>
      </w:r>
      <w:r w:rsidRPr="00A03F2A">
        <w:rPr>
          <w:sz w:val="16"/>
          <w:szCs w:val="16"/>
        </w:rPr>
        <w:t xml:space="preserve">CI 0.58 to 1.32; </w:t>
      </w:r>
      <w:r w:rsidR="00DC7D99" w:rsidRPr="00A03F2A">
        <w:rPr>
          <w:sz w:val="16"/>
          <w:szCs w:val="16"/>
        </w:rPr>
        <w:t>3</w:t>
      </w:r>
      <w:r w:rsidRPr="00A03F2A">
        <w:rPr>
          <w:sz w:val="16"/>
          <w:szCs w:val="16"/>
        </w:rPr>
        <w:t xml:space="preserve"> </w:t>
      </w:r>
      <w:r w:rsidR="00DC7D99" w:rsidRPr="00A03F2A">
        <w:rPr>
          <w:sz w:val="16"/>
          <w:szCs w:val="16"/>
        </w:rPr>
        <w:t>RCTs</w:t>
      </w:r>
      <w:r w:rsidRPr="00A03F2A">
        <w:rPr>
          <w:sz w:val="16"/>
          <w:szCs w:val="16"/>
        </w:rPr>
        <w:t xml:space="preserve">, </w:t>
      </w:r>
      <w:r w:rsidR="00DC7D99" w:rsidRPr="00A03F2A">
        <w:rPr>
          <w:sz w:val="16"/>
          <w:szCs w:val="16"/>
        </w:rPr>
        <w:t>n=</w:t>
      </w:r>
      <w:r w:rsidRPr="00A03F2A">
        <w:rPr>
          <w:sz w:val="16"/>
          <w:szCs w:val="16"/>
        </w:rPr>
        <w:t>1</w:t>
      </w:r>
      <w:r w:rsidR="00DC7D99" w:rsidRPr="00A03F2A">
        <w:rPr>
          <w:sz w:val="16"/>
          <w:szCs w:val="16"/>
        </w:rPr>
        <w:t>,</w:t>
      </w:r>
      <w:r w:rsidRPr="00A03F2A">
        <w:rPr>
          <w:sz w:val="16"/>
          <w:szCs w:val="16"/>
        </w:rPr>
        <w:t>042</w:t>
      </w:r>
      <w:r w:rsidRPr="005F5D31">
        <w:t>)</w:t>
      </w:r>
      <w:r w:rsidR="004F206A">
        <w:t xml:space="preserve"> or pregnancy-induced hypertension (</w:t>
      </w:r>
      <w:r w:rsidR="004F206A" w:rsidRPr="004F206A">
        <w:rPr>
          <w:sz w:val="16"/>
          <w:szCs w:val="16"/>
        </w:rPr>
        <w:t xml:space="preserve">RR 0.39; 95%CI 0.11 to 1.41; 3 </w:t>
      </w:r>
      <w:r w:rsidR="004F206A">
        <w:rPr>
          <w:sz w:val="16"/>
          <w:szCs w:val="16"/>
        </w:rPr>
        <w:t>RCTs</w:t>
      </w:r>
      <w:r w:rsidR="004F206A" w:rsidRPr="004F206A">
        <w:rPr>
          <w:sz w:val="16"/>
          <w:szCs w:val="16"/>
        </w:rPr>
        <w:t>; n=4,284</w:t>
      </w:r>
      <w:r w:rsidR="004F206A">
        <w:t>)</w:t>
      </w:r>
      <w:r w:rsidRPr="005F5D31">
        <w:t>. Magnesium</w:t>
      </w:r>
      <w:r>
        <w:t xml:space="preserve"> </w:t>
      </w:r>
      <w:r w:rsidRPr="005F5D31">
        <w:t xml:space="preserve">supplementation was associated with significantly fewer babies with an Apgar score less than seven </w:t>
      </w:r>
      <w:r w:rsidR="005D5F98">
        <w:t xml:space="preserve">at </w:t>
      </w:r>
      <w:r w:rsidR="004F206A">
        <w:t>5</w:t>
      </w:r>
      <w:r w:rsidR="005D5F98">
        <w:t xml:space="preserve"> minutes (</w:t>
      </w:r>
      <w:r w:rsidR="005D5F98" w:rsidRPr="005D5F98">
        <w:rPr>
          <w:sz w:val="16"/>
          <w:szCs w:val="16"/>
        </w:rPr>
        <w:t>RR 0.34; 95%</w:t>
      </w:r>
      <w:r w:rsidRPr="005D5F98">
        <w:rPr>
          <w:sz w:val="16"/>
          <w:szCs w:val="16"/>
        </w:rPr>
        <w:t xml:space="preserve">CI </w:t>
      </w:r>
      <w:r w:rsidR="005D5F98" w:rsidRPr="005D5F98">
        <w:rPr>
          <w:sz w:val="16"/>
          <w:szCs w:val="16"/>
        </w:rPr>
        <w:t xml:space="preserve">0.15 to 0.80; </w:t>
      </w:r>
      <w:r w:rsidR="004F206A">
        <w:rPr>
          <w:sz w:val="16"/>
          <w:szCs w:val="16"/>
        </w:rPr>
        <w:t>4</w:t>
      </w:r>
      <w:r w:rsidR="005D5F98" w:rsidRPr="005D5F98">
        <w:rPr>
          <w:sz w:val="16"/>
          <w:szCs w:val="16"/>
        </w:rPr>
        <w:t xml:space="preserve"> RCTs; n=</w:t>
      </w:r>
      <w:r w:rsidRPr="005D5F98">
        <w:rPr>
          <w:sz w:val="16"/>
          <w:szCs w:val="16"/>
        </w:rPr>
        <w:t>1</w:t>
      </w:r>
      <w:r w:rsidR="004F206A">
        <w:rPr>
          <w:sz w:val="16"/>
          <w:szCs w:val="16"/>
        </w:rPr>
        <w:t>,</w:t>
      </w:r>
      <w:r w:rsidRPr="005D5F98">
        <w:rPr>
          <w:sz w:val="16"/>
          <w:szCs w:val="16"/>
        </w:rPr>
        <w:t>083</w:t>
      </w:r>
      <w:r w:rsidRPr="005F5D31">
        <w:t>)</w:t>
      </w:r>
      <w:r w:rsidR="004F206A">
        <w:t xml:space="preserve"> and w</w:t>
      </w:r>
      <w:r w:rsidRPr="005F5D31">
        <w:t>omen receiving magnesium were significantly less likely to require hospitalisation</w:t>
      </w:r>
      <w:r>
        <w:t xml:space="preserve"> </w:t>
      </w:r>
      <w:r w:rsidRPr="005F5D31">
        <w:t>during pregnancy (</w:t>
      </w:r>
      <w:r w:rsidR="004F206A">
        <w:rPr>
          <w:sz w:val="16"/>
          <w:szCs w:val="16"/>
        </w:rPr>
        <w:t>RR 0.65, 95%</w:t>
      </w:r>
      <w:r w:rsidRPr="00CF417D">
        <w:rPr>
          <w:sz w:val="16"/>
          <w:szCs w:val="16"/>
        </w:rPr>
        <w:t xml:space="preserve">CI 0.48 to 0.86; </w:t>
      </w:r>
      <w:r w:rsidR="004F206A">
        <w:rPr>
          <w:sz w:val="16"/>
          <w:szCs w:val="16"/>
        </w:rPr>
        <w:t>3</w:t>
      </w:r>
      <w:r w:rsidRPr="00CF417D">
        <w:rPr>
          <w:sz w:val="16"/>
          <w:szCs w:val="16"/>
        </w:rPr>
        <w:t xml:space="preserve"> </w:t>
      </w:r>
      <w:r w:rsidR="004F206A">
        <w:rPr>
          <w:sz w:val="16"/>
          <w:szCs w:val="16"/>
        </w:rPr>
        <w:t>RCTs</w:t>
      </w:r>
      <w:r w:rsidRPr="00CF417D">
        <w:rPr>
          <w:sz w:val="16"/>
          <w:szCs w:val="16"/>
        </w:rPr>
        <w:t xml:space="preserve">, </w:t>
      </w:r>
      <w:r w:rsidR="004F206A">
        <w:rPr>
          <w:sz w:val="16"/>
          <w:szCs w:val="16"/>
        </w:rPr>
        <w:t>n=</w:t>
      </w:r>
      <w:r w:rsidRPr="00CF417D">
        <w:rPr>
          <w:sz w:val="16"/>
          <w:szCs w:val="16"/>
        </w:rPr>
        <w:t>1</w:t>
      </w:r>
      <w:r w:rsidR="00F64710">
        <w:rPr>
          <w:sz w:val="16"/>
          <w:szCs w:val="16"/>
        </w:rPr>
        <w:t>,</w:t>
      </w:r>
      <w:r w:rsidRPr="00CF417D">
        <w:rPr>
          <w:sz w:val="16"/>
          <w:szCs w:val="16"/>
        </w:rPr>
        <w:t>158</w:t>
      </w:r>
      <w:r w:rsidRPr="005F5D31">
        <w:t>).</w:t>
      </w:r>
      <w:r>
        <w:t xml:space="preserve"> </w:t>
      </w:r>
    </w:p>
    <w:p w14:paraId="41D32500" w14:textId="1ABA19D7" w:rsidR="005F5D31" w:rsidRDefault="005F5D31" w:rsidP="005F5D31">
      <w:r w:rsidRPr="005F5D31">
        <w:t>T</w:t>
      </w:r>
      <w:r w:rsidR="00DC7D99">
        <w:t>he Cochrane authors concluded that t</w:t>
      </w:r>
      <w:r w:rsidRPr="005F5D31">
        <w:t>here is not enough high-</w:t>
      </w:r>
      <w:r w:rsidR="00FB2A6C">
        <w:t>certainty</w:t>
      </w:r>
      <w:r w:rsidRPr="005F5D31">
        <w:t xml:space="preserve"> evidence to show that magnesium supplementation during pregnancy is beneficial.</w:t>
      </w:r>
    </w:p>
    <w:p w14:paraId="683B0DE2" w14:textId="713E3361" w:rsidR="00AF5FCC" w:rsidRDefault="001070DD" w:rsidP="005F5D31">
      <w:r>
        <w:t xml:space="preserve">Two </w:t>
      </w:r>
      <w:r w:rsidR="00F64710">
        <w:t>RCTs</w:t>
      </w:r>
      <w:r>
        <w:t xml:space="preserve"> by the same group found that</w:t>
      </w:r>
      <w:r w:rsidR="003F3753">
        <w:t xml:space="preserve"> magnesium supplementation reduced the number of women experiencing</w:t>
      </w:r>
      <w:r>
        <w:t xml:space="preserve"> </w:t>
      </w:r>
      <w:r w:rsidR="003F3753">
        <w:t>increases in diastolic blood pressure</w:t>
      </w:r>
      <w:r w:rsidR="004F05F7">
        <w:t xml:space="preserve"> </w:t>
      </w:r>
      <w:r w:rsidR="003F3753">
        <w:t>in late pregnancy among women with magnesium deficiency in early pregnancy (</w:t>
      </w:r>
      <w:r w:rsidR="003F3753" w:rsidRPr="00D658D1">
        <w:rPr>
          <w:sz w:val="16"/>
          <w:szCs w:val="16"/>
        </w:rPr>
        <w:t>p=0.012</w:t>
      </w:r>
      <w:r w:rsidR="003F3753">
        <w:t>)</w:t>
      </w:r>
      <w:r w:rsidR="003F3753">
        <w:fldChar w:fldCharType="begin">
          <w:fldData xml:space="preserve">PEVuZE5vdGU+PENpdGU+PEF1dGhvcj5CdWxsYXJibzwvQXV0aG9yPjxZZWFyPjIwMTM8L1llYXI+
PFJlY051bT4xMTg5PC9SZWNOdW0+PERpc3BsYXlUZXh0PjxzdHlsZSBmYWNlPSJzdXBlcnNjcmlw
dCIgZm9udD0iVHJlYnVjaGV0IE1TIiBzaXplPSI5Ij4yMTQ8L3N0eWxlPjwvRGlzcGxheVRleHQ+
PHJlY29yZD48cmVjLW51bWJlcj4xMTg5PC9yZWMtbnVtYmVyPjxmb3JlaWduLWtleXM+PGtleSBh
cHA9IkVOIiBkYi1pZD0iZXh2YXNyZngyZHRyYW9lc2FzeHAyc3pzeGEyZGY1MDI1OTJ4IiB0aW1l
c3RhbXA9IjE1NTkyNjkzNzAiPjExODk8L2tleT48a2V5IGFwcD0iRU5XZWIiIGRiLWlkPSIiPjA8
L2tleT48L2ZvcmVpZ24ta2V5cz48cmVmLXR5cGUgbmFtZT0iSm91cm5hbCBBcnRpY2xlIj4xNzwv
cmVmLXR5cGU+PGNvbnRyaWJ1dG9ycz48YXV0aG9ycz48YXV0aG9yPkJ1bGxhcmJvLCBNLjwvYXV0
aG9yPjxhdXRob3I+T2RtYW4sIE4uPC9hdXRob3I+PGF1dGhvcj5OZXN0bGVyLCBBLjwvYXV0aG9y
PjxhdXRob3I+TmllbHNlbiwgVC48L2F1dGhvcj48YXV0aG9yPktvbGlzZWssIE0uPC9hdXRob3I+
PGF1dGhvcj5Wb3JtYW5uLCBKLjwvYXV0aG9yPjxhdXRob3I+UnlsYW5kZXIsIFIuPC9hdXRob3I+
PC9hdXRob3JzPjwvY29udHJpYnV0b3JzPjxhdXRoLWFkZHJlc3M+RGVwYXJ0bWVudCBvZiBPYnN0
ZXRyaWNzIGFuZCBHeW5hZWNvbG9neSwgYXQgU2FobGdyZW5za2EgQWNhZGVteSwgVW5pdmVyc2l0
eSBvZiBHb3RoZW5idXJnLCBHb3RoZW5idXJnLCBTd2VkZW4sIG1hcmlhLmJ1bGxhcmJvQHZncmVn
aW9uLnNlLjwvYXV0aC1hZGRyZXNzPjx0aXRsZXM+PHRpdGxlPk1hZ25lc2l1bSBzdXBwbGVtZW50
YXRpb24gdG8gcHJldmVudCBoaWdoIGJsb29kIHByZXNzdXJlIGluIHByZWduYW5jeTogYSByYW5k
b21pc2VkIHBsYWNlYm8gY29udHJvbCB0cmlhbDwvdGl0bGU+PHNlY29uZGFyeS10aXRsZT5BcmNo
IEd5bmVjb2wgT2JzdGV0PC9zZWNvbmRhcnktdGl0bGU+PC90aXRsZXM+PHBlcmlvZGljYWw+PGZ1
bGwtdGl0bGU+QXJjaCBHeW5lY29sIE9ic3RldDwvZnVsbC10aXRsZT48L3BlcmlvZGljYWw+PHBh
Z2VzPjEyNjktNzQ8L3BhZ2VzPjx2b2x1bWU+Mjg4PC92b2x1bWU+PG51bWJlcj42PC9udW1iZXI+
PGVkaXRpb24+MjAxMy8wNS8zMDwvZWRpdGlvbj48a2V5d29yZHM+PGtleXdvcmQ+QWRtaW5pc3Ry
YXRpb24sIE9yYWw8L2tleXdvcmQ+PGtleXdvcmQ+QWR1bHQ8L2tleXdvcmQ+PGtleXdvcmQ+Qmxv
b2QgUHJlc3N1cmUvKmRydWcgZWZmZWN0cy9waHlzaW9sb2d5PC9rZXl3b3JkPjxrZXl3b3JkPkNh
bGNpdW0vdXJpbmU8L2tleXdvcmQ+PGtleXdvcmQ+Q2l0cmljIEFjaWQvKmFkbWluaXN0cmF0aW9u
ICZhbXA7IGRvc2FnZS91cmluZTwva2V5d29yZD48a2V5d29yZD5Eb3VibGUtQmxpbmQgTWV0aG9k
PC9rZXl3b3JkPjxrZXl3b3JkPkZlbWFsZTwva2V5d29yZD48a2V5d29yZD5IdW1hbnM8L2tleXdv
cmQ+PGtleXdvcmQ+SHlwZXJ0ZW5zaW9uLypkcnVnIHRoZXJhcHk8L2tleXdvcmQ+PGtleXdvcmQ+
T3JnYW5vbWV0YWxsaWMgQ29tcG91bmRzLyphZG1pbmlzdHJhdGlvbiAmYW1wOyBkb3NhZ2UvdXJp
bmU8L2tleXdvcmQ+PGtleXdvcmQ+UHJlZ25hbmN5PC9rZXl3b3JkPjxrZXl3b3JkPlByZWduYW5j
eSBPdXRjb21lPC9rZXl3b3JkPjxrZXl3b3JkPlByZWduYW5jeSBUcmltZXN0ZXIsIFNlY29uZDwv
a2V5d29yZD48a2V5d29yZD5QcmVnbmFuY3kgVHJpbWVzdGVyLCBUaGlyZDwva2V5d29yZD48a2V5
d29yZD5Tb2Npb2Vjb25vbWljIEZhY3RvcnM8L2tleXdvcmQ+PGtleXdvcmQ+U3dlZGVuPC9rZXl3
b3JkPjxrZXl3b3JkPlRyZWF0bWVudCBPdXRjb21lPC9rZXl3b3JkPjwva2V5d29yZHM+PGRhdGVz
Pjx5ZWFyPjIwMTM8L3llYXI+PHB1Yi1kYXRlcz48ZGF0ZT5EZWM8L2RhdGU+PC9wdWItZGF0ZXM+
PC9kYXRlcz48aXNibj4xNDMyLTA3MTEgKEVsZWN0cm9uaWMpJiN4RDswOTMyLTAwNjcgKExpbmtp
bmcpPC9pc2JuPjxhY2Nlc3Npb24tbnVtPjIzNzE1OTI0PC9hY2Nlc3Npb24tbnVtPjx1cmxzPjxy
ZWxhdGVkLXVybHM+PHVybD5odHRwczovL3d3dy5uY2JpLm5sbS5uaWguZ292L3B1Ym1lZC8yMzcx
NTkyNDwvdXJsPjwvcmVsYXRlZC11cmxzPjwvdXJscz48ZWxlY3Ryb25pYy1yZXNvdXJjZS1udW0+
MTAuMTAwNy9zMDA0MDQtMDEzLTI5MDAtMjwvZWxlY3Ryb25pYy1yZXNvdXJjZS1udW0+PC9yZWNv
cmQ+PC9DaXRlPjwvRW5kTm90ZT4A
</w:fldData>
        </w:fldChar>
      </w:r>
      <w:r w:rsidR="002747EA">
        <w:instrText xml:space="preserve"> ADDIN EN.CITE </w:instrText>
      </w:r>
      <w:r w:rsidR="002747EA">
        <w:fldChar w:fldCharType="begin">
          <w:fldData xml:space="preserve">PEVuZE5vdGU+PENpdGU+PEF1dGhvcj5CdWxsYXJibzwvQXV0aG9yPjxZZWFyPjIwMTM8L1llYXI+
PFJlY051bT4xMTg5PC9SZWNOdW0+PERpc3BsYXlUZXh0PjxzdHlsZSBmYWNlPSJzdXBlcnNjcmlw
dCIgZm9udD0iVHJlYnVjaGV0IE1TIiBzaXplPSI5Ij4yMTQ8L3N0eWxlPjwvRGlzcGxheVRleHQ+
PHJlY29yZD48cmVjLW51bWJlcj4xMTg5PC9yZWMtbnVtYmVyPjxmb3JlaWduLWtleXM+PGtleSBh
cHA9IkVOIiBkYi1pZD0iZXh2YXNyZngyZHRyYW9lc2FzeHAyc3pzeGEyZGY1MDI1OTJ4IiB0aW1l
c3RhbXA9IjE1NTkyNjkzNzAiPjExODk8L2tleT48a2V5IGFwcD0iRU5XZWIiIGRiLWlkPSIiPjA8
L2tleT48L2ZvcmVpZ24ta2V5cz48cmVmLXR5cGUgbmFtZT0iSm91cm5hbCBBcnRpY2xlIj4xNzwv
cmVmLXR5cGU+PGNvbnRyaWJ1dG9ycz48YXV0aG9ycz48YXV0aG9yPkJ1bGxhcmJvLCBNLjwvYXV0
aG9yPjxhdXRob3I+T2RtYW4sIE4uPC9hdXRob3I+PGF1dGhvcj5OZXN0bGVyLCBBLjwvYXV0aG9y
PjxhdXRob3I+TmllbHNlbiwgVC48L2F1dGhvcj48YXV0aG9yPktvbGlzZWssIE0uPC9hdXRob3I+
PGF1dGhvcj5Wb3JtYW5uLCBKLjwvYXV0aG9yPjxhdXRob3I+UnlsYW5kZXIsIFIuPC9hdXRob3I+
PC9hdXRob3JzPjwvY29udHJpYnV0b3JzPjxhdXRoLWFkZHJlc3M+RGVwYXJ0bWVudCBvZiBPYnN0
ZXRyaWNzIGFuZCBHeW5hZWNvbG9neSwgYXQgU2FobGdyZW5za2EgQWNhZGVteSwgVW5pdmVyc2l0
eSBvZiBHb3RoZW5idXJnLCBHb3RoZW5idXJnLCBTd2VkZW4sIG1hcmlhLmJ1bGxhcmJvQHZncmVn
aW9uLnNlLjwvYXV0aC1hZGRyZXNzPjx0aXRsZXM+PHRpdGxlPk1hZ25lc2l1bSBzdXBwbGVtZW50
YXRpb24gdG8gcHJldmVudCBoaWdoIGJsb29kIHByZXNzdXJlIGluIHByZWduYW5jeTogYSByYW5k
b21pc2VkIHBsYWNlYm8gY29udHJvbCB0cmlhbDwvdGl0bGU+PHNlY29uZGFyeS10aXRsZT5BcmNo
IEd5bmVjb2wgT2JzdGV0PC9zZWNvbmRhcnktdGl0bGU+PC90aXRsZXM+PHBlcmlvZGljYWw+PGZ1
bGwtdGl0bGU+QXJjaCBHeW5lY29sIE9ic3RldDwvZnVsbC10aXRsZT48L3BlcmlvZGljYWw+PHBh
Z2VzPjEyNjktNzQ8L3BhZ2VzPjx2b2x1bWU+Mjg4PC92b2x1bWU+PG51bWJlcj42PC9udW1iZXI+
PGVkaXRpb24+MjAxMy8wNS8zMDwvZWRpdGlvbj48a2V5d29yZHM+PGtleXdvcmQ+QWRtaW5pc3Ry
YXRpb24sIE9yYWw8L2tleXdvcmQ+PGtleXdvcmQ+QWR1bHQ8L2tleXdvcmQ+PGtleXdvcmQ+Qmxv
b2QgUHJlc3N1cmUvKmRydWcgZWZmZWN0cy9waHlzaW9sb2d5PC9rZXl3b3JkPjxrZXl3b3JkPkNh
bGNpdW0vdXJpbmU8L2tleXdvcmQ+PGtleXdvcmQ+Q2l0cmljIEFjaWQvKmFkbWluaXN0cmF0aW9u
ICZhbXA7IGRvc2FnZS91cmluZTwva2V5d29yZD48a2V5d29yZD5Eb3VibGUtQmxpbmQgTWV0aG9k
PC9rZXl3b3JkPjxrZXl3b3JkPkZlbWFsZTwva2V5d29yZD48a2V5d29yZD5IdW1hbnM8L2tleXdv
cmQ+PGtleXdvcmQ+SHlwZXJ0ZW5zaW9uLypkcnVnIHRoZXJhcHk8L2tleXdvcmQ+PGtleXdvcmQ+
T3JnYW5vbWV0YWxsaWMgQ29tcG91bmRzLyphZG1pbmlzdHJhdGlvbiAmYW1wOyBkb3NhZ2UvdXJp
bmU8L2tleXdvcmQ+PGtleXdvcmQ+UHJlZ25hbmN5PC9rZXl3b3JkPjxrZXl3b3JkPlByZWduYW5j
eSBPdXRjb21lPC9rZXl3b3JkPjxrZXl3b3JkPlByZWduYW5jeSBUcmltZXN0ZXIsIFNlY29uZDwv
a2V5d29yZD48a2V5d29yZD5QcmVnbmFuY3kgVHJpbWVzdGVyLCBUaGlyZDwva2V5d29yZD48a2V5
d29yZD5Tb2Npb2Vjb25vbWljIEZhY3RvcnM8L2tleXdvcmQ+PGtleXdvcmQ+U3dlZGVuPC9rZXl3
b3JkPjxrZXl3b3JkPlRyZWF0bWVudCBPdXRjb21lPC9rZXl3b3JkPjwva2V5d29yZHM+PGRhdGVz
Pjx5ZWFyPjIwMTM8L3llYXI+PHB1Yi1kYXRlcz48ZGF0ZT5EZWM8L2RhdGU+PC9wdWItZGF0ZXM+
PC9kYXRlcz48aXNibj4xNDMyLTA3MTEgKEVsZWN0cm9uaWMpJiN4RDswOTMyLTAwNjcgKExpbmtp
bmcpPC9pc2JuPjxhY2Nlc3Npb24tbnVtPjIzNzE1OTI0PC9hY2Nlc3Npb24tbnVtPjx1cmxzPjxy
ZWxhdGVkLXVybHM+PHVybD5odHRwczovL3d3dy5uY2JpLm5sbS5uaWguZ292L3B1Ym1lZC8yMzcx
NTkyNDwvdXJsPjwvcmVsYXRlZC11cmxzPjwvdXJscz48ZWxlY3Ryb25pYy1yZXNvdXJjZS1udW0+
MTAuMTAwNy9zMDA0MDQtMDEzLTI5MDAtMjwvZWxlY3Ryb25pYy1yZXNvdXJjZS1udW0+PC9yZWNv
cmQ+PC9DaXRlPjwvRW5kTm90ZT4A
</w:fldData>
        </w:fldChar>
      </w:r>
      <w:r w:rsidR="002747EA">
        <w:instrText xml:space="preserve"> ADDIN EN.CITE.DATA </w:instrText>
      </w:r>
      <w:r w:rsidR="002747EA">
        <w:fldChar w:fldCharType="end"/>
      </w:r>
      <w:r w:rsidR="003F3753">
        <w:fldChar w:fldCharType="separate"/>
      </w:r>
      <w:r w:rsidR="002747EA" w:rsidRPr="002747EA">
        <w:rPr>
          <w:noProof/>
          <w:vertAlign w:val="superscript"/>
        </w:rPr>
        <w:t>214</w:t>
      </w:r>
      <w:r w:rsidR="003F3753">
        <w:fldChar w:fldCharType="end"/>
      </w:r>
      <w:r w:rsidR="003F3753">
        <w:t xml:space="preserve"> but not among women with no risk factors for developing hypertension (</w:t>
      </w:r>
      <w:r w:rsidR="003F3753" w:rsidRPr="00D658D1">
        <w:rPr>
          <w:sz w:val="16"/>
          <w:szCs w:val="16"/>
        </w:rPr>
        <w:t>RR 1.09; 95%CI 0.73 to 2.08</w:t>
      </w:r>
      <w:r w:rsidR="003F3753">
        <w:t>).</w:t>
      </w:r>
      <w:r w:rsidR="003F3753">
        <w:fldChar w:fldCharType="begin">
          <w:fldData xml:space="preserve">PEVuZE5vdGU+PENpdGU+PEF1dGhvcj5CdWxsYXJibzwvQXV0aG9yPjxZZWFyPjIwMTg8L1llYXI+
PFJlY051bT4xMTg4PC9SZWNOdW0+PERpc3BsYXlUZXh0PjxzdHlsZSBmYWNlPSJzdXBlcnNjcmlw
dCIgZm9udD0iVHJlYnVjaGV0IE1TIiBzaXplPSI5Ij4yMTM8L3N0eWxlPjwvRGlzcGxheVRleHQ+
PHJlY29yZD48cmVjLW51bWJlcj4xMTg4PC9yZWMtbnVtYmVyPjxmb3JlaWduLWtleXM+PGtleSBh
cHA9IkVOIiBkYi1pZD0iZXh2YXNyZngyZHRyYW9lc2FzeHAyc3pzeGEyZGY1MDI1OTJ4IiB0aW1l
c3RhbXA9IjE1NTkyNjkzNjYiPjExODg8L2tleT48a2V5IGFwcD0iRU5XZWIiIGRiLWlkPSIiPjA8
L2tleT48L2ZvcmVpZ24ta2V5cz48cmVmLXR5cGUgbmFtZT0iSm91cm5hbCBBcnRpY2xlIj4xNzwv
cmVmLXR5cGU+PGNvbnRyaWJ1dG9ycz48YXV0aG9ycz48YXV0aG9yPkJ1bGxhcmJvLCBNLjwvYXV0
aG9yPjxhdXRob3I+TWF0dHNvbiwgSC48L2F1dGhvcj48YXV0aG9yPkJyb21hbiwgQS4gSy48L2F1
dGhvcj48YXV0aG9yPk9kbWFuLCBOLjwvYXV0aG9yPjxhdXRob3I+TmllbHNlbiwgVC4gRi48L2F1
dGhvcj48L2F1dGhvcnM+PC9jb250cmlidXRvcnM+PGF1dGgtYWRkcmVzcz5EZXBhcnRtZW50IG9m
IE9ic3RldHJpY3MgYW5kIEd5bmVjb2xvZ3ksIFNhaGxncmVuc2thIEFjYWRlbXksIFVuaXZlcnNp
dHkgb2YgR290aGVuYnVyZywgR290aGVuYnVyZywgU3dlZGVuLiYjeEQ7RGVwYXJ0bWVudCBvZiBH
eW5lY29sb2d5LCBOYXJoYWxzYW4sIE1vbG5kYWwsIFN3ZWRlbi4mI3hEO1dvbWVuJmFwb3M7cyBD
bGluaWMsIFNvZHJhIEFsdnNib3JncyBIb3NwaXRhbCwgQm9yYXMsIFN3ZWRlbi4mI3hEO1dvbWVu
JmFwb3M7cyBDbGluaWMsIE5vcnJhIEFsdnNib3JncyBIb3NwaXRhbCwgVHJvbGxoYXR0YW4sIFN3
ZWRlbi48L2F1dGgtYWRkcmVzcz48dGl0bGVzPjx0aXRsZT5NYWduZXNpdW0gU3VwcGxlbWVudGF0
aW9uIGFuZCBCbG9vZCBQcmVzc3VyZSBpbiBQcmVnbmFuY3k6IEEgRG91YmxlLUJsaW5kIFJhbmRv
bWl6ZWQgTXVsdGljZW50ZXIgU3R1ZHk8L3RpdGxlPjxzZWNvbmRhcnktdGl0bGU+SiBQcmVnbmFu
Y3k8L3NlY29uZGFyeS10aXRsZT48L3RpdGxlcz48cGVyaW9kaWNhbD48ZnVsbC10aXRsZT5KIFBy
ZWduYW5jeTwvZnVsbC10aXRsZT48L3BlcmlvZGljYWw+PHBhZ2VzPjQ4NDMxNTk8L3BhZ2VzPjx2
b2x1bWU+MjAxODwvdm9sdW1lPjxlZGl0aW9uPjIwMTgvMDcvMTQ8L2VkaXRpb24+PGtleXdvcmRz
PjxrZXl3b3JkPkFkdWx0PC9rZXl3b3JkPjxrZXl3b3JkPkJpcnRoIFdlaWdodDwva2V5d29yZD48
a2V5d29yZD5EZWxpdmVyeSwgT2JzdGV0cmljL3N0YXRpc3RpY3MgJmFtcDsgbnVtZXJpY2FsIGRh
dGE8L2tleXdvcmQ+PGtleXdvcmQ+KkRpZXRhcnkgU3VwcGxlbWVudHM8L2tleXdvcmQ+PGtleXdv
cmQ+RG91YmxlLUJsaW5kIE1ldGhvZDwva2V5d29yZD48a2V5d29yZD5GZW1hbGU8L2tleXdvcmQ+
PGtleXdvcmQ+SHVtYW5zPC9rZXl3b3JkPjxrZXl3b3JkPkh5cGVydGVuc2lvbiwgUHJlZ25hbmN5
LUluZHVjZWQvYmxvb2QvKnByZXZlbnRpb24gJmFtcDsgY29udHJvbDwva2V5d29yZD48a2V5d29y
ZD5JbmZhbnQsIE5ld2Jvcm48L2tleXdvcmQ+PGtleXdvcmQ+TWFnbmVzaXVtLyphZG1pbmlzdHJh
dGlvbiAmYW1wOyBkb3NhZ2UvYmxvb2Q8L2tleXdvcmQ+PGtleXdvcmQ+UHJlZ25hbmN5PC9rZXl3
b3JkPjxrZXl3b3JkPllvdW5nIEFkdWx0PC9rZXl3b3JkPjwva2V5d29yZHM+PGRhdGVzPjx5ZWFy
PjIwMTg8L3llYXI+PC9kYXRlcz48aXNibj4yMDkwLTI3MzUgKEVsZWN0cm9uaWMpJiN4RDsyMDkw
LTI3MjcgKExpbmtpbmcpPC9pc2JuPjxhY2Nlc3Npb24tbnVtPjMwMDAyOTMxPC9hY2Nlc3Npb24t
bnVtPjx1cmxzPjxyZWxhdGVkLXVybHM+PHVybD5odHRwczovL3d3dy5uY2JpLm5sbS5uaWguZ292
L3B1Ym1lZC8zMDAwMjkzMTwvdXJsPjwvcmVsYXRlZC11cmxzPjwvdXJscz48Y3VzdG9tMj5QTUM1
OTk2NDE1PC9jdXN0b20yPjxlbGVjdHJvbmljLXJlc291cmNlLW51bT4xMC4xMTU1LzIwMTgvNDg0
MzE1OTwvZWxlY3Ryb25pYy1yZXNvdXJjZS1udW0+PC9yZWNvcmQ+PC9DaXRlPjwvRW5kTm90ZT5=
</w:fldData>
        </w:fldChar>
      </w:r>
      <w:r w:rsidR="002747EA">
        <w:instrText xml:space="preserve"> ADDIN EN.CITE </w:instrText>
      </w:r>
      <w:r w:rsidR="002747EA">
        <w:fldChar w:fldCharType="begin">
          <w:fldData xml:space="preserve">PEVuZE5vdGU+PENpdGU+PEF1dGhvcj5CdWxsYXJibzwvQXV0aG9yPjxZZWFyPjIwMTg8L1llYXI+
PFJlY051bT4xMTg4PC9SZWNOdW0+PERpc3BsYXlUZXh0PjxzdHlsZSBmYWNlPSJzdXBlcnNjcmlw
dCIgZm9udD0iVHJlYnVjaGV0IE1TIiBzaXplPSI5Ij4yMTM8L3N0eWxlPjwvRGlzcGxheVRleHQ+
PHJlY29yZD48cmVjLW51bWJlcj4xMTg4PC9yZWMtbnVtYmVyPjxmb3JlaWduLWtleXM+PGtleSBh
cHA9IkVOIiBkYi1pZD0iZXh2YXNyZngyZHRyYW9lc2FzeHAyc3pzeGEyZGY1MDI1OTJ4IiB0aW1l
c3RhbXA9IjE1NTkyNjkzNjYiPjExODg8L2tleT48a2V5IGFwcD0iRU5XZWIiIGRiLWlkPSIiPjA8
L2tleT48L2ZvcmVpZ24ta2V5cz48cmVmLXR5cGUgbmFtZT0iSm91cm5hbCBBcnRpY2xlIj4xNzwv
cmVmLXR5cGU+PGNvbnRyaWJ1dG9ycz48YXV0aG9ycz48YXV0aG9yPkJ1bGxhcmJvLCBNLjwvYXV0
aG9yPjxhdXRob3I+TWF0dHNvbiwgSC48L2F1dGhvcj48YXV0aG9yPkJyb21hbiwgQS4gSy48L2F1
dGhvcj48YXV0aG9yPk9kbWFuLCBOLjwvYXV0aG9yPjxhdXRob3I+TmllbHNlbiwgVC4gRi48L2F1
dGhvcj48L2F1dGhvcnM+PC9jb250cmlidXRvcnM+PGF1dGgtYWRkcmVzcz5EZXBhcnRtZW50IG9m
IE9ic3RldHJpY3MgYW5kIEd5bmVjb2xvZ3ksIFNhaGxncmVuc2thIEFjYWRlbXksIFVuaXZlcnNp
dHkgb2YgR290aGVuYnVyZywgR290aGVuYnVyZywgU3dlZGVuLiYjeEQ7RGVwYXJ0bWVudCBvZiBH
eW5lY29sb2d5LCBOYXJoYWxzYW4sIE1vbG5kYWwsIFN3ZWRlbi4mI3hEO1dvbWVuJmFwb3M7cyBD
bGluaWMsIFNvZHJhIEFsdnNib3JncyBIb3NwaXRhbCwgQm9yYXMsIFN3ZWRlbi4mI3hEO1dvbWVu
JmFwb3M7cyBDbGluaWMsIE5vcnJhIEFsdnNib3JncyBIb3NwaXRhbCwgVHJvbGxoYXR0YW4sIFN3
ZWRlbi48L2F1dGgtYWRkcmVzcz48dGl0bGVzPjx0aXRsZT5NYWduZXNpdW0gU3VwcGxlbWVudGF0
aW9uIGFuZCBCbG9vZCBQcmVzc3VyZSBpbiBQcmVnbmFuY3k6IEEgRG91YmxlLUJsaW5kIFJhbmRv
bWl6ZWQgTXVsdGljZW50ZXIgU3R1ZHk8L3RpdGxlPjxzZWNvbmRhcnktdGl0bGU+SiBQcmVnbmFu
Y3k8L3NlY29uZGFyeS10aXRsZT48L3RpdGxlcz48cGVyaW9kaWNhbD48ZnVsbC10aXRsZT5KIFBy
ZWduYW5jeTwvZnVsbC10aXRsZT48L3BlcmlvZGljYWw+PHBhZ2VzPjQ4NDMxNTk8L3BhZ2VzPjx2
b2x1bWU+MjAxODwvdm9sdW1lPjxlZGl0aW9uPjIwMTgvMDcvMTQ8L2VkaXRpb24+PGtleXdvcmRz
PjxrZXl3b3JkPkFkdWx0PC9rZXl3b3JkPjxrZXl3b3JkPkJpcnRoIFdlaWdodDwva2V5d29yZD48
a2V5d29yZD5EZWxpdmVyeSwgT2JzdGV0cmljL3N0YXRpc3RpY3MgJmFtcDsgbnVtZXJpY2FsIGRh
dGE8L2tleXdvcmQ+PGtleXdvcmQ+KkRpZXRhcnkgU3VwcGxlbWVudHM8L2tleXdvcmQ+PGtleXdv
cmQ+RG91YmxlLUJsaW5kIE1ldGhvZDwva2V5d29yZD48a2V5d29yZD5GZW1hbGU8L2tleXdvcmQ+
PGtleXdvcmQ+SHVtYW5zPC9rZXl3b3JkPjxrZXl3b3JkPkh5cGVydGVuc2lvbiwgUHJlZ25hbmN5
LUluZHVjZWQvYmxvb2QvKnByZXZlbnRpb24gJmFtcDsgY29udHJvbDwva2V5d29yZD48a2V5d29y
ZD5JbmZhbnQsIE5ld2Jvcm48L2tleXdvcmQ+PGtleXdvcmQ+TWFnbmVzaXVtLyphZG1pbmlzdHJh
dGlvbiAmYW1wOyBkb3NhZ2UvYmxvb2Q8L2tleXdvcmQ+PGtleXdvcmQ+UHJlZ25hbmN5PC9rZXl3
b3JkPjxrZXl3b3JkPllvdW5nIEFkdWx0PC9rZXl3b3JkPjwva2V5d29yZHM+PGRhdGVzPjx5ZWFy
PjIwMTg8L3llYXI+PC9kYXRlcz48aXNibj4yMDkwLTI3MzUgKEVsZWN0cm9uaWMpJiN4RDsyMDkw
LTI3MjcgKExpbmtpbmcpPC9pc2JuPjxhY2Nlc3Npb24tbnVtPjMwMDAyOTMxPC9hY2Nlc3Npb24t
bnVtPjx1cmxzPjxyZWxhdGVkLXVybHM+PHVybD5odHRwczovL3d3dy5uY2JpLm5sbS5uaWguZ292
L3B1Ym1lZC8zMDAwMjkzMTwvdXJsPjwvcmVsYXRlZC11cmxzPjwvdXJscz48Y3VzdG9tMj5QTUM1
OTk2NDE1PC9jdXN0b20yPjxlbGVjdHJvbmljLXJlc291cmNlLW51bT4xMC4xMTU1LzIwMTgvNDg0
MzE1OTwvZWxlY3Ryb25pYy1yZXNvdXJjZS1udW0+PC9yZWNvcmQ+PC9DaXRlPjwvRW5kTm90ZT5=
</w:fldData>
        </w:fldChar>
      </w:r>
      <w:r w:rsidR="002747EA">
        <w:instrText xml:space="preserve"> ADDIN EN.CITE.DATA </w:instrText>
      </w:r>
      <w:r w:rsidR="002747EA">
        <w:fldChar w:fldCharType="end"/>
      </w:r>
      <w:r w:rsidR="003F3753">
        <w:fldChar w:fldCharType="separate"/>
      </w:r>
      <w:r w:rsidR="002747EA" w:rsidRPr="002747EA">
        <w:rPr>
          <w:noProof/>
          <w:vertAlign w:val="superscript"/>
        </w:rPr>
        <w:t>213</w:t>
      </w:r>
      <w:r w:rsidR="003F3753">
        <w:fldChar w:fldCharType="end"/>
      </w:r>
      <w:r w:rsidR="003F3753">
        <w:t xml:space="preserve"> Another </w:t>
      </w:r>
      <w:r w:rsidR="00F64710">
        <w:t>RCT</w:t>
      </w:r>
      <w:r w:rsidR="003F3753">
        <w:t xml:space="preserve"> found that magnesium supplementation </w:t>
      </w:r>
      <w:r w:rsidR="00F64710">
        <w:t>appeared to reduce</w:t>
      </w:r>
      <w:r w:rsidR="003F3753">
        <w:t xml:space="preserve"> the risk of preterm uterine contractions (</w:t>
      </w:r>
      <w:r w:rsidR="003F3753" w:rsidRPr="00D658D1">
        <w:rPr>
          <w:sz w:val="16"/>
          <w:szCs w:val="16"/>
        </w:rPr>
        <w:t>RR 0.33; 95%CI 0.24 to 0.47</w:t>
      </w:r>
      <w:r w:rsidR="003F3753">
        <w:t>) and threatened preterm labour (</w:t>
      </w:r>
      <w:r w:rsidR="003F3753" w:rsidRPr="00D658D1">
        <w:rPr>
          <w:sz w:val="16"/>
          <w:szCs w:val="16"/>
        </w:rPr>
        <w:t>RR 0.50; 95%CI 0.33 to 0.76</w:t>
      </w:r>
      <w:r w:rsidR="003F3753">
        <w:t>)</w:t>
      </w:r>
      <w:r w:rsidR="00F64710">
        <w:t xml:space="preserve"> but noted that further larger studies are required to confirm these preliminary results</w:t>
      </w:r>
      <w:r w:rsidR="003F3753">
        <w:t>.</w:t>
      </w:r>
      <w:r w:rsidR="003F3753">
        <w:fldChar w:fldCharType="begin"/>
      </w:r>
      <w:r w:rsidR="002747EA">
        <w:instrText xml:space="preserve"> ADDIN EN.CITE &lt;EndNote&gt;&lt;Cite&gt;&lt;Author&gt;Parente&lt;/Author&gt;&lt;Year&gt;2014&lt;/Year&gt;&lt;RecNum&gt;1190&lt;/RecNum&gt;&lt;DisplayText&gt;&lt;style face="superscript" font="Trebuchet MS" size="9"&gt;215&lt;/style&gt;&lt;/DisplayText&gt;&lt;record&gt;&lt;rec-number&gt;1190&lt;/rec-number&gt;&lt;foreign-keys&gt;&lt;key app="EN" db-id="exvasrfx2dtraoesasxp2szsxa2df502592x" timestamp="1559269375"&gt;1190&lt;/key&gt;&lt;key app="ENWeb" db-id=""&gt;0&lt;/key&gt;&lt;/foreign-keys&gt;&lt;ref-type name="Journal Article"&gt;17&lt;/ref-type&gt;&lt;contributors&gt;&lt;authors&gt;&lt;author&gt;Parente, Eligio&lt;/author&gt;&lt;author&gt;Colannino, Giulia&lt;/author&gt;&lt;author&gt;Ferrara, Pasquale&lt;/author&gt;&lt;/authors&gt;&lt;/contributors&gt;&lt;titles&gt;&lt;title&gt;Efficacy of Magnesium and Alpha Lipoic Acid Supplementation in Reducing Premature Uterine Contractions&lt;/title&gt;&lt;secondary-title&gt;Open Journal of Obstetrics and Gynecology&lt;/secondary-title&gt;&lt;/titles&gt;&lt;periodical&gt;&lt;full-title&gt;Open Journal of Obstetrics and Gynecology&lt;/full-title&gt;&lt;/periodical&gt;&lt;pages&gt;578-583&lt;/pages&gt;&lt;volume&gt;04&lt;/volume&gt;&lt;number&gt;09&lt;/number&gt;&lt;section&gt;578&lt;/section&gt;&lt;dates&gt;&lt;year&gt;2014&lt;/year&gt;&lt;/dates&gt;&lt;isbn&gt;2160-8792&amp;#xD;2160-8806&lt;/isbn&gt;&lt;urls&gt;&lt;/urls&gt;&lt;electronic-resource-num&gt;10.4236/ojog.2014.49082&lt;/electronic-resource-num&gt;&lt;/record&gt;&lt;/Cite&gt;&lt;/EndNote&gt;</w:instrText>
      </w:r>
      <w:r w:rsidR="003F3753">
        <w:fldChar w:fldCharType="separate"/>
      </w:r>
      <w:r w:rsidR="002747EA" w:rsidRPr="002747EA">
        <w:rPr>
          <w:noProof/>
          <w:vertAlign w:val="superscript"/>
        </w:rPr>
        <w:t>215</w:t>
      </w:r>
      <w:r w:rsidR="003F3753">
        <w:fldChar w:fldCharType="end"/>
      </w:r>
      <w:r w:rsidR="003F3753">
        <w:t xml:space="preserve"> Magnesium supplementation </w:t>
      </w:r>
      <w:r w:rsidR="00573F93">
        <w:t>for women with leg cramps reduc</w:t>
      </w:r>
      <w:r w:rsidR="003F3753">
        <w:t>ed the</w:t>
      </w:r>
      <w:r w:rsidR="00573F93">
        <w:t>ir</w:t>
      </w:r>
      <w:r w:rsidR="003F3753">
        <w:t xml:space="preserve"> frequency (</w:t>
      </w:r>
      <w:r w:rsidR="003F3753" w:rsidRPr="00A912D4">
        <w:rPr>
          <w:sz w:val="16"/>
          <w:szCs w:val="16"/>
        </w:rPr>
        <w:t>p=0.007</w:t>
      </w:r>
      <w:r w:rsidR="003F3753">
        <w:t xml:space="preserve">) and </w:t>
      </w:r>
      <w:r w:rsidR="00573F93">
        <w:t>intensity (</w:t>
      </w:r>
      <w:r w:rsidR="00573F93" w:rsidRPr="00A912D4">
        <w:rPr>
          <w:sz w:val="16"/>
          <w:szCs w:val="16"/>
        </w:rPr>
        <w:t>p=0.048</w:t>
      </w:r>
      <w:r w:rsidR="00573F93">
        <w:t>).</w:t>
      </w:r>
    </w:p>
    <w:p w14:paraId="07B613B1" w14:textId="7BB28032" w:rsidR="00677230" w:rsidRPr="00677230" w:rsidRDefault="00677230" w:rsidP="00677230">
      <w:pPr>
        <w:pStyle w:val="Heading4"/>
      </w:pPr>
      <w:r>
        <w:t>Selenium</w:t>
      </w:r>
      <w:r w:rsidR="00BA549B">
        <w:t xml:space="preserve"> supplementation</w:t>
      </w:r>
    </w:p>
    <w:p w14:paraId="0793F1E6" w14:textId="030D0C69" w:rsidR="00F43F44" w:rsidRDefault="007C5206" w:rsidP="007C5206">
      <w:pPr>
        <w:pStyle w:val="Heading5"/>
      </w:pPr>
      <w:r>
        <w:t>Background</w:t>
      </w:r>
    </w:p>
    <w:p w14:paraId="14DC7657" w14:textId="5FC3B2CB" w:rsidR="00C65A90" w:rsidRPr="00C65A90" w:rsidRDefault="00C65A90" w:rsidP="00C65A90">
      <w:r>
        <w:t xml:space="preserve">The Guidelines currently note that </w:t>
      </w:r>
      <w:r w:rsidR="00D54D25">
        <w:t xml:space="preserve">a systematic review found that </w:t>
      </w:r>
      <w:r w:rsidRPr="00A96981">
        <w:t>selenium</w:t>
      </w:r>
      <w:r>
        <w:t xml:space="preserve"> levels were lower among women with pre-eclampsia than among controls</w:t>
      </w:r>
      <w:r w:rsidR="00D54D25">
        <w:t>.</w:t>
      </w:r>
    </w:p>
    <w:p w14:paraId="7F83EC4C" w14:textId="2691F582" w:rsidR="007C5206" w:rsidRDefault="007C5206" w:rsidP="007C5206">
      <w:pPr>
        <w:pStyle w:val="Heading5"/>
      </w:pPr>
      <w:r>
        <w:t>Current review</w:t>
      </w:r>
    </w:p>
    <w:p w14:paraId="115C321A" w14:textId="49F606F8" w:rsidR="00451945" w:rsidRPr="00451945" w:rsidRDefault="0014028C" w:rsidP="00451945">
      <w:r>
        <w:t>This review included two RCTs reported in seven studies.</w:t>
      </w:r>
      <w:r w:rsidR="003523C5">
        <w:fldChar w:fldCharType="begin">
          <w:fldData xml:space="preserve">PEVuZE5vdGU+PENpdGU+PEF1dGhvcj5UYXJhPC9BdXRob3I+PFllYXI+MjAxMDwvWWVhcj48UmVj
TnVtPjEyMTQ8L1JlY051bT48RGlzcGxheVRleHQ+PHN0eWxlIGZhY2U9InN1cGVyc2NyaXB0IiBm
b250PSJUcmVidWNoZXQgTVMiIHNpemU9IjkiPjIxNy0yMjM8L3N0eWxlPjwvRGlzcGxheVRleHQ+
PHJlY29yZD48cmVjLW51bWJlcj4xMjE0PC9yZWMtbnVtYmVyPjxmb3JlaWduLWtleXM+PGtleSBh
cHA9IkVOIiBkYi1pZD0iZXh2YXNyZngyZHRyYW9lc2FzeHAyc3pzeGEyZGY1MDI1OTJ4IiB0aW1l
c3RhbXA9IjE1NTk4Njc0NjAiPjEyMTQ8L2tleT48L2ZvcmVpZ24ta2V5cz48cmVmLXR5cGUgbmFt
ZT0iSm91cm5hbCBBcnRpY2xlIj4xNzwvcmVmLXR5cGU+PGNvbnRyaWJ1dG9ycz48YXV0aG9ycz48
YXV0aG9yPlRhcmEsIEYuPC9hdXRob3I+PGF1dGhvcj5NYWFtb3VyaSwgRy48L2F1dGhvcj48YXV0
aG9yPlJheW1hbiwgTS4gUC48L2F1dGhvcj48YXV0aG9yPkdoYXlvdXItTW9iYXJoYW4sIE0uPC9h
dXRob3I+PGF1dGhvcj5TYWhlYmthciwgQS48L2F1dGhvcj48YXV0aG9yPllhemFybHUsIE8uPC9h
dXRob3I+PGF1dGhvcj5PdWxhZGFuLCBTLjwvYXV0aG9yPjxhdXRob3I+VGF2YWxsYWllLCBTLjwv
YXV0aG9yPjxhdXRob3I+QXppbWktTmV6aGFkLCBNLjwvYXV0aG9yPjxhdXRob3I+U2hha2VyaSwg
TS4gVC48L2F1dGhvcj48YXV0aG9yPkJvc2thYmFkaSwgSC48L2F1dGhvcj48YXV0aG9yPk9sYWRp
LCBNLjwvYXV0aG9yPjxhdXRob3I+U2FuZ2FuaSwgTS4gVC48L2F1dGhvcj48YXV0aG9yPlJhemF2
aSwgQi4gUy48L2F1dGhvcj48YXV0aG9yPkZlcm5zLCBHLjwvYXV0aG9yPjwvYXV0aG9ycz48L2Nv
bnRyaWJ1dG9ycz48YXV0aC1hZGRyZXNzPkRlcGFydG1lbnQgb2YgT2JzdGV0cmljcyBhbmQgR3lu
ZWNvbG9neSwgT21tb2xiYW5pbiBIb3NwaXRhbCwgTWFzaGhhZCBVbml2ZXJzaXR5IG9mIE1lZGlj
YWwgU2NpZW5jZXMsIE1hc2hoYWQsIElyYW4uPC9hdXRoLWFkZHJlc3M+PHRpdGxlcz48dGl0bGU+
U2VsZW5pdW0gc3VwcGxlbWVudGF0aW9uIGFuZCB0aGUgaW5jaWRlbmNlIG9mIHByZWVjbGFtcHNp
YSBpbiBwcmVnbmFudCBJcmFuaWFuIHdvbWVuOiBhIHJhbmRvbWl6ZWQsIGRvdWJsZS1ibGluZCwg
cGxhY2Viby1jb250cm9sbGVkIHBpbG90IHRyaWFsPC90aXRsZT48c2Vjb25kYXJ5LXRpdGxlPlRh
aXdhbiBKIE9ic3RldCBHeW5lY29sPC9zZWNvbmRhcnktdGl0bGU+PC90aXRsZXM+PHBlcmlvZGlj
YWw+PGZ1bGwtdGl0bGU+VGFpd2FuIEogT2JzdGV0IEd5bmVjb2w8L2Z1bGwtdGl0bGU+PC9wZXJp
b2RpY2FsPjxwYWdlcz4xODEtNzwvcGFnZXM+PHZvbHVtZT40OTwvdm9sdW1lPjxudW1iZXI+Mjwv
bnVtYmVyPjxlZGl0aW9uPjIwMTAvMDgvMTc8L2VkaXRpb24+PGtleXdvcmRzPjxrZXl3b3JkPkFk
b2xlc2NlbnQ8L2tleXdvcmQ+PGtleXdvcmQ+QWR1bHQ8L2tleXdvcmQ+PGtleXdvcmQ+QW50aW94
aWRhbnRzL2FuYWx5c2lzLyp0aGVyYXBldXRpYyB1c2U8L2tleXdvcmQ+PGtleXdvcmQ+Qmxvb2Qg
UHJlc3N1cmU8L2tleXdvcmQ+PGtleXdvcmQ+Qy1SZWFjdGl2ZSBQcm90ZWluL2FuYWx5c2lzPC9r
ZXl3b3JkPjxrZXl3b3JkPkNob2xlc3Rlcm9sL2Jsb29kPC9rZXl3b3JkPjxrZXl3b3JkPkRvdWJs
ZS1CbGluZCBNZXRob2Q8L2tleXdvcmQ+PGtleXdvcmQ+RmVtYWxlPC9rZXl3b3JkPjxrZXl3b3Jk
Pkh1bWFuczwva2V5d29yZD48a2V5d29yZD5JbmNpZGVuY2U8L2tleXdvcmQ+PGtleXdvcmQ+SXJh
bi9lcGlkZW1pb2xvZ3k8L2tleXdvcmQ+PGtleXdvcmQ+TGlwb3Byb3RlaW5zLCBIREwvYmxvb2Q8
L2tleXdvcmQ+PGtleXdvcmQ+TGlwb3Byb3RlaW5zLCBMREwvYmxvb2Q8L2tleXdvcmQ+PGtleXdv
cmQ+UGlsb3QgUHJvamVjdHM8L2tleXdvcmQ+PGtleXdvcmQ+UHJlLUVjbGFtcHNpYS9lcGlkZW1p
b2xvZ3kvKnByZXZlbnRpb24gJmFtcDsgY29udHJvbDwva2V5d29yZD48a2V5d29yZD5QcmVnbmFu
Y3k8L2tleXdvcmQ+PGtleXdvcmQ+UHJlZ25hbmN5IFRyaW1lc3RlciwgRmlyc3Q8L2tleXdvcmQ+
PGtleXdvcmQ+U2VsZW5pdW0vYmxvb2QvKnRoZXJhcGV1dGljIHVzZTwva2V5d29yZD48a2V5d29y
ZD5UcmlnbHljZXJpZGVzL2Jsb29kPC9rZXl3b3JkPjwva2V5d29yZHM+PGRhdGVzPjx5ZWFyPjIw
MTA8L3llYXI+PHB1Yi1kYXRlcz48ZGF0ZT5KdW48L2RhdGU+PC9wdWItZGF0ZXM+PC9kYXRlcz48
aXNibj4xODc1LTYyNjMgKEVsZWN0cm9uaWMpJiN4RDsxMDI4LTQ1NTkgKExpbmtpbmcpPC9pc2Ju
PjxhY2Nlc3Npb24tbnVtPjIwNzA4NTI1PC9hY2Nlc3Npb24tbnVtPjx1cmxzPjxyZWxhdGVkLXVy
bHM+PHVybD5odHRwczovL3d3dy5uY2JpLm5sbS5uaWguZ292L3B1Ym1lZC8yMDcwODUyNTwvdXJs
PjwvcmVsYXRlZC11cmxzPjwvdXJscz48ZWxlY3Ryb25pYy1yZXNvdXJjZS1udW0+MTAuMTAxNi9T
MTAyOC00NTU5KDEwKTYwMDM4LTE8L2VsZWN0cm9uaWMtcmVzb3VyY2UtbnVtPjwvcmVjb3JkPjwv
Q2l0ZT48Q2l0ZT48QXV0aG9yPlRhcmE8L0F1dGhvcj48WWVhcj4yMDEwPC9ZZWFyPjxSZWNOdW0+
MTIxMzwvUmVjTnVtPjxyZWNvcmQ+PHJlYy1udW1iZXI+MTIxMzwvcmVjLW51bWJlcj48Zm9yZWln
bi1rZXlzPjxrZXkgYXBwPSJFTiIgZGItaWQ9ImV4dmFzcmZ4MmR0cmFvZXNhc3hwMnN6c3hhMmRm
NTAyNTkyeCIgdGltZXN0YW1wPSIxNTU5ODY3Mzk3Ij4xMjEzPC9rZXk+PGtleSBhcHA9IkVOV2Vi
IiBkYi1pZD0iIj4wPC9rZXk+PC9mb3JlaWduLWtleXM+PHJlZi10eXBlIG5hbWU9IkpvdXJuYWwg
QXJ0aWNsZSI+MTc8L3JlZi10eXBlPjxjb250cmlidXRvcnM+PGF1dGhvcnM+PGF1dGhvcj5UYXJh
LCBGLjwvYXV0aG9yPjxhdXRob3I+UmF5bWFuLCBNLiBQLjwvYXV0aG9yPjxhdXRob3I+Qm9za2Fi
YWRpLCBILjwvYXV0aG9yPjxhdXRob3I+R2hheW91ci1Nb2JhcmhhbiwgTS48L2F1dGhvcj48YXV0
aG9yPlNhaGVia2FyLCBBLjwvYXV0aG9yPjxhdXRob3I+WWF6YXJsdSwgTy48L2F1dGhvcj48YXV0
aG9yPk91bGFkYW4sIFMuPC9hdXRob3I+PGF1dGhvcj5UYXZhbGxhaWUsIFMuPC9hdXRob3I+PGF1
dGhvcj5BemltaS1OZXpoYWQsIE0uPC9hdXRob3I+PGF1dGhvcj5TaGFrZXJpLCBNLiBULjwvYXV0
aG9yPjxhdXRob3I+VGV5bW9vcmksIE0uIFMuPC9hdXRob3I+PGF1dGhvcj5SYXphdmksIEIuIFMu
PC9hdXRob3I+PGF1dGhvcj5PbGFkaSwgTS48L2F1dGhvcj48YXV0aG9yPkZlcm5zLCBHLjwvYXV0
aG9yPjwvYXV0aG9ycz48L2NvbnRyaWJ1dG9ycz48YXV0aC1hZGRyZXNzPkRlcGFydG1lbnQgb2Yg
T2JzdGV0cmljcyBhbmQgR3luYWVjb2xvZ3ksIE9NLUFsYmFuaW4gSG9zcGl0YWwsIE1hc2hoYWQg
VW5pdmVyc2l0eSBvZiBNZWRpY2FsIFNjaWVuY2VzLCBNYXNoaGFkLCBJcmFuPC9hdXRoLWFkZHJl
c3M+PHRpdGxlcz48dGl0bGU+U2VsZW5pdW0gc3VwcGxlbWVudGF0aW9uIGFuZCBwcmVtYXR1cmUg
KHByZS1sYWJvdXIpIHJ1cHR1cmUgb2YgbWVtYnJhbmVzOiBhIHJhbmRvbWlzZWQgZG91YmxlLWJs
aW5kIHBsYWNlYm8tY29udHJvbGxlZCB0cmlhbDwvdGl0bGU+PHNlY29uZGFyeS10aXRsZT5KIE9i
c3RldCBHeW5hZWNvbDwvc2Vjb25kYXJ5LXRpdGxlPjwvdGl0bGVzPjxwZXJpb2RpY2FsPjxmdWxs
LXRpdGxlPkogT2JzdGV0IEd5bmFlY29sPC9mdWxsLXRpdGxlPjwvcGVyaW9kaWNhbD48cGFnZXM+
MzAtNDwvcGFnZXM+PHZvbHVtZT4zMDwvdm9sdW1lPjxudW1iZXI+MTwvbnVtYmVyPjxlZGl0aW9u
PjIwMTAvMDIvMDQ8L2VkaXRpb24+PGtleXdvcmRzPjxrZXl3b3JkPkFkdWx0PC9rZXl3b3JkPjxr
ZXl3b3JkPkFudGlveGlkYW50cy8qdGhlcmFwZXV0aWMgdXNlPC9rZXl3b3JkPjxrZXl3b3JkPkRp
ZXRhcnkgU3VwcGxlbWVudHM8L2tleXdvcmQ+PGtleXdvcmQ+RG91YmxlLUJsaW5kIE1ldGhvZDwv
a2V5d29yZD48a2V5d29yZD5GZW1hbGU8L2tleXdvcmQ+PGtleXdvcmQ+RmV0YWwgTWVtYnJhbmVz
LCBQcmVtYXR1cmUgUnVwdHVyZS8qcHJldmVudGlvbiAmYW1wOyBjb250cm9sPC9rZXl3b3JkPjxr
ZXl3b3JkPkh1bWFuczwva2V5d29yZD48a2V5d29yZD5QcmVnbmFuY3k8L2tleXdvcmQ+PGtleXdv
cmQ+U2VsZW5pdW0vYmxvb2QvKnRoZXJhcGV1dGljIHVzZTwva2V5d29yZD48a2V5d29yZD5Zb3Vu
ZyBBZHVsdDwva2V5d29yZD48L2tleXdvcmRzPjxkYXRlcz48eWVhcj4yMDEwPC95ZWFyPjxwdWIt
ZGF0ZXM+PGRhdGU+SmFuPC9kYXRlPjwvcHViLWRhdGVzPjwvZGF0ZXM+PGlzYm4+MTM2NC02ODkz
IChFbGVjdHJvbmljKSYjeEQ7MDE0NC0zNjE1IChMaW5raW5nKTwvaXNibj48YWNjZXNzaW9uLW51
bT4yMDEyMTUwMDwvYWNjZXNzaW9uLW51bT48dXJscz48cmVsYXRlZC11cmxzPjx1cmw+aHR0cHM6
Ly93d3cubmNiaS5ubG0ubmloLmdvdi9wdWJtZWQvMjAxMjE1MDA8L3VybD48L3JlbGF0ZWQtdXJs
cz48L3VybHM+PGVsZWN0cm9uaWMtcmVzb3VyY2UtbnVtPjEwLjMxMDkvMDE0NDM2MTA5MDMyNjc1
MDc8L2VsZWN0cm9uaWMtcmVzb3VyY2UtbnVtPjwvcmVjb3JkPjwvQ2l0ZT48Q2l0ZT48QXV0aG9y
PkJvc2FrYWJhZGk8L0F1dGhvcj48WWVhcj4yMDEwPC9ZZWFyPjxSZWNOdW0+MTIxODwvUmVjTnVt
PjxyZWNvcmQ+PHJlYy1udW1iZXI+MTIxODwvcmVjLW51bWJlcj48Zm9yZWlnbi1rZXlzPjxrZXkg
YXBwPSJFTiIgZGItaWQ9ImV4dmFzcmZ4MmR0cmFvZXNhc3hwMnN6c3hhMmRmNTAyNTkyeCIgdGlt
ZXN0YW1wPSIxNTU5ODY4MTc4Ij4xMjE4PC9rZXk+PC9mb3JlaWduLWtleXM+PHJlZi10eXBlIG5h
bWU9IkpvdXJuYWwgQXJ0aWNsZSI+MTc8L3JlZi10eXBlPjxjb250cmlidXRvcnM+PGF1dGhvcnM+
PGF1dGhvcj5Cb3Nha2FiYWRpLCBILiw8L2F1dGhvcj48YXV0aG9yPlJlemFnaG9saXphZGUgT21y
YW4sIEYuLDwvYXV0aG9yPjxhdXRob3I+VGFyYSwgRi4sPC9hdXRob3I+PGF1dGhvcj5SYXltYW4s
IE0uUC4sPC9hdXRob3I+PGF1dGhvcj5HaGF5b3VyLU1vYmFyaGFuLCBNLiw8L2F1dGhvcj48YXV0
aG9yPlNhaGVia2FyLCBBLiw8L2F1dGhvcj48YXV0aG9yPlRhdmFsbGFpZSwgUy4sPC9hdXRob3I+
PGF1dGhvcj5TaGFrZXJpLCBNLlQuLDwvYXV0aG9yPjxhdXRob3I+QWxhbWRhcmksIEQuSC48L2F1
dGhvcj48L2F1dGhvcnM+PC9jb250cmlidXRvcnM+PHRpdGxlcz48dGl0bGU+VGhlIGVmZmVjdCBv
ZiBtYXRlcm5hbCBzZWxlbml1bSBzdXBwbGVtZW50YXRpb24gb24gcHJlZ25hbmN5IG91dGNvbWUg
YW5kIHRoZSBsZXZlbCBvZiBveGlkYXRpdmUgc3RyZXNzIGluIG5lb25hdGVzPC90aXRsZT48c2Vj
b25kYXJ5LXRpdGxlPklyYW5pYW4gUmVkIENyZXNjZW50IE1lZCBKPC9zZWNvbmRhcnktdGl0bGU+
PC90aXRsZXM+PHBlcmlvZGljYWw+PGZ1bGwtdGl0bGU+SXJhbmlhbiBSZWQgQ3Jlc2NlbnQgTWVk
IEo8L2Z1bGwtdGl0bGU+PC9wZXJpb2RpY2FsPjxwYWdlcz4yNTQtNTk8L3BhZ2VzPjx2b2x1bWU+
MTI8L3ZvbHVtZT48bnVtYmVyPjM8L251bWJlcj48ZGF0ZXM+PHllYXI+MjAxMDwveWVhcj48L2Rh
dGVzPjx1cmxzPjwvdXJscz48L3JlY29yZD48L0NpdGU+PENpdGU+PEF1dGhvcj5Nb2toYmVyPC9B
dXRob3I+PFllYXI+MjAxMTwvWWVhcj48UmVjTnVtPjEyMDk8L1JlY051bT48cmVjb3JkPjxyZWMt
bnVtYmVyPjEyMDk8L3JlYy1udW1iZXI+PGZvcmVpZ24ta2V5cz48a2V5IGFwcD0iRU4iIGRiLWlk
PSJleHZhc3JmeDJkdHJhb2VzYXN4cDJzenN4YTJkZjUwMjU5MngiIHRpbWVzdGFtcD0iMTU1OTg2
NzM4NSI+MTIwOTwva2V5PjxrZXkgYXBwPSJFTldlYiIgZGItaWQ9IiI+MDwva2V5PjwvZm9yZWln
bi1rZXlzPjxyZWYtdHlwZSBuYW1lPSJKb3VybmFsIEFydGljbGUiPjE3PC9yZWYtdHlwZT48Y29u
dHJpYnV0b3JzPjxhdXRob3JzPjxhdXRob3I+TW9raGJlciwgTi48L2F1dGhvcj48YXV0aG9yPk5h
bWpvbywgTS48L2F1dGhvcj48YXV0aG9yPlRhcmEsIEYuPC9hdXRob3I+PGF1dGhvcj5Cb3NrYWJh
ZGksIEguPC9hdXRob3I+PGF1dGhvcj5SYXltYW4sIE0uIFAuPC9hdXRob3I+PGF1dGhvcj5HaGF5
b3VyLU1vYmFyaGFuLCBNLjwvYXV0aG9yPjxhdXRob3I+U2FoZWJrYXIsIEEuPC9hdXRob3I+PGF1
dGhvcj5NYWpkaSwgTS4gUi48L2F1dGhvcj48YXV0aG9yPlRhdmFsbGFpZSwgUy48L2F1dGhvcj48
YXV0aG9yPkF6aW1pLU5lemhhZCwgTS48L2F1dGhvcj48YXV0aG9yPlNoYWtlcmksIE0uIFQuPC9h
dXRob3I+PGF1dGhvcj5OZW1hdHksIE0uPC9hdXRob3I+PGF1dGhvcj5PbGFkaSwgTS48L2F1dGhv
cj48YXV0aG9yPk1vaGFtbWFkaSwgTS48L2F1dGhvcj48YXV0aG9yPkZlcm5zLCBHLjwvYXV0aG9y
PjwvYXV0aG9ycz48L2NvbnRyaWJ1dG9ycz48YXV0aC1hZGRyZXNzPkRlcGFydG1lbnQgb2YgUHN5
Y2hpYXRyeSwgSWJuLVNpbmEgSG9zcGl0YWwsIE1hc2hoYWQgVW5pdmVyc2l0eSBvZiBNZWRpY2Fs
IFNjaWVuY2VzLCBNYXNoaGFkLCBJcmFuLjwvYXV0aC1hZGRyZXNzPjx0aXRsZXM+PHRpdGxlPkVm
ZmVjdCBvZiBzdXBwbGVtZW50YXRpb24gd2l0aCBzZWxlbml1bSBvbiBwb3N0cGFydHVtIGRlcHJl
c3Npb246IGEgcmFuZG9taXplZCBkb3VibGUtYmxpbmQgcGxhY2Viby1jb250cm9sbGVkIHRyaWFs
PC90aXRsZT48c2Vjb25kYXJ5LXRpdGxlPkogTWF0ZXJuIEZldGFsIE5lb25hdGFsIE1lZDwvc2Vj
b25kYXJ5LXRpdGxlPjwvdGl0bGVzPjxwZXJpb2RpY2FsPjxmdWxsLXRpdGxlPkogTWF0ZXJuIEZl
dGFsIE5lb25hdGFsIE1lZDwvZnVsbC10aXRsZT48L3BlcmlvZGljYWw+PHBhZ2VzPjEwNC04PC9w
YWdlcz48dm9sdW1lPjI0PC92b2x1bWU+PG51bWJlcj4xPC9udW1iZXI+PGVkaXRpb24+MjAxMC8w
Ni8xMDwvZWRpdGlvbj48a2V5d29yZHM+PGtleXdvcmQ+QWRvbGVzY2VudDwva2V5d29yZD48a2V5
d29yZD5BZHVsdDwva2V5d29yZD48a2V5d29yZD5EZXByZXNzaW9uLCBQb3N0cGFydHVtLypwcmV2
ZW50aW9uICZhbXA7IGNvbnRyb2w8L2tleXdvcmQ+PGtleXdvcmQ+RG91YmxlLUJsaW5kIE1ldGhv
ZDwva2V5d29yZD48a2V5d29yZD5GZW1hbGU8L2tleXdvcmQ+PGtleXdvcmQ+SHVtYW5zPC9rZXl3
b3JkPjxrZXl3b3JkPklyYW48L2tleXdvcmQ+PGtleXdvcmQ+UHJlZ25hbmN5PC9rZXl3b3JkPjxr
ZXl3b3JkPlNlbGVuaXVtL2Jsb29kLyp0aGVyYXBldXRpYyB1c2U8L2tleXdvcmQ+PGtleXdvcmQ+
VHJhY2UgRWxlbWVudHMvKnRoZXJhcGV1dGljIHVzZTwva2V5d29yZD48a2V5d29yZD5Zb3VuZyBB
ZHVsdDwva2V5d29yZD48L2tleXdvcmRzPjxkYXRlcz48eWVhcj4yMDExPC95ZWFyPjxwdWItZGF0
ZXM+PGRhdGU+SmFuPC9kYXRlPjwvcHViLWRhdGVzPjwvZGF0ZXM+PGlzYm4+MTQ3Ni00OTU0IChF
bGVjdHJvbmljKSYjeEQ7MTQ3Ni00OTU0IChMaW5raW5nKTwvaXNibj48YWNjZXNzaW9uLW51bT4y
MDUyODIxNjwvYWNjZXNzaW9uLW51bT48dXJscz48cmVsYXRlZC11cmxzPjx1cmw+aHR0cHM6Ly93
d3cubmNiaS5ubG0ubmloLmdvdi9wdWJtZWQvMjA1MjgyMTY8L3VybD48L3JlbGF0ZWQtdXJscz48
L3VybHM+PGVsZWN0cm9uaWMtcmVzb3VyY2UtbnVtPjEwLjMxMDkvMTQ3NjcwNTguMjAxMC40ODI1
OTg8L2VsZWN0cm9uaWMtcmVzb3VyY2UtbnVtPjwvcmVjb3JkPjwvQ2l0ZT48Q2l0ZT48QXV0aG9y
PlJheW1hbjwvQXV0aG9yPjxZZWFyPjIwMTQ8L1llYXI+PFJlY051bT4xMjExPC9SZWNOdW0+PHJl
Y29yZD48cmVjLW51bWJlcj4xMjExPC9yZWMtbnVtYmVyPjxmb3JlaWduLWtleXM+PGtleSBhcHA9
IkVOIiBkYi1pZD0iZXh2YXNyZngyZHRyYW9lc2FzeHAyc3pzeGEyZGY1MDI1OTJ4IiB0aW1lc3Rh
bXA9IjE1NTk4NjczOTIiPjEyMTE8L2tleT48a2V5IGFwcD0iRU5XZWIiIGRiLWlkPSIiPjA8L2tl
eT48L2ZvcmVpZ24ta2V5cz48cmVmLXR5cGUgbmFtZT0iSm91cm5hbCBBcnRpY2xlIj4xNzwvcmVm
LXR5cGU+PGNvbnRyaWJ1dG9ycz48YXV0aG9ycz48YXV0aG9yPlJheW1hbiwgTS4gUC48L2F1dGhv
cj48YXV0aG9yPlNlYXJsZSwgRS48L2F1dGhvcj48YXV0aG9yPktlbGx5LCBMLjwvYXV0aG9yPjxh
dXRob3I+Sm9obnNlbiwgUy48L2F1dGhvcj48YXV0aG9yPkJvZG1hbi1TbWl0aCwgSy48L2F1dGhv
cj48YXV0aG9yPkJhdGgsIFMuIEMuPC9hdXRob3I+PGF1dGhvcj5NYW8sIEouPC9hdXRob3I+PGF1
dGhvcj5SZWRtYW4sIEMuIFcuPC9hdXRob3I+PC9hdXRob3JzPjwvY29udHJpYnV0b3JzPjxhdXRo
LWFkZHJlc3M+RGVwYXJ0bWVudCBvZiBOdXRyaXRpb25hbCBTY2llbmNlcyxTY2hvb2wgb2YgQmlv
c2NpZW5jZXMgYW5kIE1lZGljaW5lLCBGYWN1bHR5IG9mIEhlYWx0aCBhbmQgTWVkaWNhbCBTY2ll
bmNlcywgVW5pdmVyc2l0eSBvZiBTdXJyZXksR3VpbGRmb3JkR1UyIDdYSCxVSy4mI3hEO051ZmZp
ZWxkIERlcGFydG1lbnQgb2YgT2JzdGV0cmljcyBhbmQgR3luYWVjb2xvZ3ksIFVuaXZlcnNpdHkg
b2YgT3hmb3JkLE94Zm9yZE9YMyA5RFUsVUsuJiN4RDtBbnUgUmVzZWFyY2ggQ2VudHJlLCBEZXBh
cnRtZW50IG9mIE9ic3RldHJpY3MgYW5kIEd5bmFlY29sb2d5LCBDb3JrIFVuaXZlcnNpdHkgTWF0
ZXJuaXR5IEhvc3BpdGFsLFdpbHRvbiwgQ29yayxSZXB1YmxpYyBvZiBJcmVsYW5kLiYjeEQ7U3Vy
cmV5IENsaW5pY2FsIFJlc2VhcmNoIENlbnRyZSAoQ1JDKSwgRmFjdWx0eSBvZiBIZWFsdGggYW5k
IE1lZGljYWwgU2NpZW5jZXMsIFVuaXZlcnNpdHkgb2YgU3VycmV5LEd1aWxkZm9yZEdVMiA3WFAs
VUsuPC9hdXRoLWFkZHJlc3M+PHRpdGxlcz48dGl0bGU+RWZmZWN0IG9mIHNlbGVuaXVtIG9uIG1h
cmtlcnMgb2YgcmlzayBvZiBwcmUtZWNsYW1wc2lhIGluIFVLIHByZWduYW50IHdvbWVuOiBhIHJh
bmRvbWlzZWQsIGNvbnRyb2xsZWQgcGlsb3QgdHJpYWw8L3RpdGxlPjxzZWNvbmRhcnktdGl0bGU+
QnIgSiBOdXRyPC9zZWNvbmRhcnktdGl0bGU+PC90aXRsZXM+PHBlcmlvZGljYWw+PGZ1bGwtdGl0
bGU+QnIgSiBOdXRyPC9mdWxsLXRpdGxlPjwvcGVyaW9kaWNhbD48cGFnZXM+OTktMTExPC9wYWdl
cz48dm9sdW1lPjExMjwvdm9sdW1lPjxudW1iZXI+MTwvbnVtYmVyPjxlZGl0aW9uPjIwMTQvMDQv
MDk8L2VkaXRpb24+PGtleXdvcmRzPjxrZXl3b3JkPkFkdWx0PC9rZXl3b3JkPjxrZXl3b3JkPkJp
b21hcmtlcnMvYW5hbHlzaXMvYmxvb2Q8L2tleXdvcmQ+PGtleXdvcmQ+KkRpZXRhcnkgU3VwcGxl
bWVudHM8L2tleXdvcmQ+PGtleXdvcmQ+RG91YmxlLUJsaW5kIE1ldGhvZDwva2V5d29yZD48a2V5
d29yZD5GZW1hbGU8L2tleXdvcmQ+PGtleXdvcmQ+SHVtYW5zPC9rZXl3b3JkPjxrZXl3b3JkPklu
Y2lkZW5jZTwva2V5d29yZD48a2V5d29yZD5OYWlscy9jaGVtaXN0cnk8L2tleXdvcmQ+PGtleXdv
cmQ+TnV0cml0aW9uYWwgU3RhdHVzPC9rZXl3b3JkPjxrZXl3b3JkPlBpbG90IFByb2plY3RzPC9r
ZXl3b3JkPjxrZXl3b3JkPlByZS1FY2xhbXBzaWEvYmxvb2QvZXBpZGVtaW9sb2d5L2V0aW9sb2d5
LypwcmV2ZW50aW9uICZhbXA7IGNvbnRyb2w8L2tleXdvcmQ+PGtleXdvcmQ+UHJlZ25hbmN5PC9r
ZXl3b3JkPjxrZXl3b3JkPlByZWduYW5jeSBUcmltZXN0ZXIsIEZpcnN0PC9rZXl3b3JkPjxrZXl3
b3JkPlJpc2s8L2tleXdvcmQ+PGtleXdvcmQ+U2VsZW5pdW0vYW5hbHlzaXMvYmxvb2QvZGVmaWNp
ZW5jeS8qdGhlcmFwZXV0aWMgdXNlPC9rZXl3b3JkPjxrZXl3b3JkPlNlbGVub3Byb3RlaW4gUC8q
Ymxvb2Q8L2tleXdvcmQ+PGtleXdvcmQ+VW5pdGVkIEtpbmdkb20vZXBpZGVtaW9sb2d5PC9rZXl3
b3JkPjxrZXl3b3JkPlZhc2N1bGFyIEVuZG90aGVsaWFsIEdyb3d0aCBGYWN0b3IgUmVjZXB0b3It
MS8qYmxvb2Q8L2tleXdvcmQ+PGtleXdvcmQ+WWVhc3QsIERyaWVkL2NoZW1pc3RyeS8qdGhlcmFw
ZXV0aWMgdXNlPC9rZXl3b3JkPjwva2V5d29yZHM+PGRhdGVzPjx5ZWFyPjIwMTQ8L3llYXI+PHB1
Yi1kYXRlcz48ZGF0ZT5KdWwgMTQ8L2RhdGU+PC9wdWItZGF0ZXM+PC9kYXRlcz48aXNibj4xNDc1
LTI2NjIgKEVsZWN0cm9uaWMpJiN4RDswMDA3LTExNDUgKExpbmtpbmcpPC9pc2JuPjxhY2Nlc3Np
b24tbnVtPjI0NzA4OTE3PC9hY2Nlc3Npb24tbnVtPjx1cmxzPjxyZWxhdGVkLXVybHM+PHVybD5o
dHRwczovL3d3dy5uY2JpLm5sbS5uaWguZ292L3B1Ym1lZC8yNDcwODkxNzwvdXJsPjwvcmVsYXRl
ZC11cmxzPjwvdXJscz48Y3VzdG9tMj5QTUM0MDU0NjYyPC9jdXN0b20yPjxlbGVjdHJvbmljLXJl
c291cmNlLW51bT4xMC4xMDE3L1MwMDA3MTE0NTE0MDAwNTMxPC9lbGVjdHJvbmljLXJlc291cmNl
LW51bT48L3JlY29yZD48L0NpdGU+PENpdGU+PEF1dGhvcj5NYW88L0F1dGhvcj48WWVhcj4yMDE2
PC9ZZWFyPjxSZWNOdW0+MTIwNjwvUmVjTnVtPjxyZWNvcmQ+PHJlYy1udW1iZXI+MTIwNjwvcmVj
LW51bWJlcj48Zm9yZWlnbi1rZXlzPjxrZXkgYXBwPSJFTiIgZGItaWQ9ImV4dmFzcmZ4MmR0cmFv
ZXNhc3hwMnN6c3hhMmRmNTAyNTkyeCIgdGltZXN0YW1wPSIxNTU5ODY3Mzc3Ij4xMjA2PC9rZXk+
PGtleSBhcHA9IkVOV2ViIiBkYi1pZD0iIj4wPC9rZXk+PC9mb3JlaWduLWtleXM+PHJlZi10eXBl
IG5hbWU9IkpvdXJuYWwgQXJ0aWNsZSI+MTc8L3JlZi10eXBlPjxjb250cmlidXRvcnM+PGF1dGhv
cnM+PGF1dGhvcj5NYW8sIEouPC9hdXRob3I+PGF1dGhvcj5CYXRoLCBTLiBDLjwvYXV0aG9yPjxh
dXRob3I+VmFuZGVybGVsaWUsIEouIEouPC9hdXRob3I+PGF1dGhvcj5QZXJraW5zLCBBLiBWLjwv
YXV0aG9yPjxhdXRob3I+UmVkbWFuLCBDLiBXLjwvYXV0aG9yPjxhdXRob3I+UmF5bWFuLCBNLiBQ
LjwvYXV0aG9yPjwvYXV0aG9ycz48L2NvbnRyaWJ1dG9ycz48YXV0aC1hZGRyZXNzPjFEZXBhcnRt
ZW50IG9mIEVuZG9jcmlub2xvZ3kgYW5kIE1ldGFib2xpc20sSW5zdGl0dXRlIG9mIEVuZG9jcmlu
b2xvZ3ksVGhlIEZpcnN0IEhvc3BpdGFsIG9mIENoaW5hIE1lZGljYWwgVW5pdmVyc2l0eSxTaGVu
eWFuZyAxMTAwMDEsUGVvcGxlJmFwb3M7cyBSZXB1YmxpYyBvZiBDaGluYS4mI3hEOzJEZXBhcnRt
ZW50IG9mIE51dHJpdGlvbmFsIFNjaWVuY2VzLEZhY3VsdHkgb2YgSGVhbHRoIGFuZCBNZWRpY2Fs
IFNjaWVuY2VzLFVuaXZlcnNpdHkgb2YgU3VycmV5LEd1aWxkZm9yZCBHVTIgN1hILFVLLiYjeEQ7
M1NjaG9vbCBvZiBNZWRpY2FsIFNjaWVuY2UsR3JpZmZpdGggSGVhbHRoIEluc3RpdHV0ZSxHcmlm
Zml0aCBVbml2ZXJzaXR5LFNvdXRocG9ydCxRTEQgNDIyMixBdXN0cmFsaWEuJiN4RDs0TnVmZmll
bGQgRGVwYXJ0bWVudCBvZiBPYnN0ZXRyaWNzIGFuZCBHeW5hZWNvbG9neSxVbml2ZXJzaXR5IG9m
IE94Zm9yZCxPeGZvcmQgT1gzIDlEVSxVSy48L2F1dGgtYWRkcmVzcz48dGl0bGVzPjx0aXRsZT5O
byBlZmZlY3Qgb2YgbW9kZXN0IHNlbGVuaXVtIHN1cHBsZW1lbnRhdGlvbiBvbiBpbnN1bGluIHJl
c2lzdGFuY2UgaW4gVUsgcHJlZ25hbnQgd29tZW4sIGFzIGFzc2Vzc2VkIGJ5IHBsYXNtYSBhZGlw
b25lY3RpbiBjb25jZW50cmF0aW9uPC90aXRsZT48c2Vjb25kYXJ5LXRpdGxlPkJyIEogTnV0cjwv
c2Vjb25kYXJ5LXRpdGxlPjwvdGl0bGVzPjxwZXJpb2RpY2FsPjxmdWxsLXRpdGxlPkJyIEogTnV0
cjwvZnVsbC10aXRsZT48L3BlcmlvZGljYWw+PHBhZ2VzPjMyLTg8L3BhZ2VzPjx2b2x1bWU+MTE1
PC92b2x1bWU+PG51bWJlcj4xPC9udW1iZXI+PGVkaXRpb24+MjAxNS8xMC8yMTwvZWRpdGlvbj48
a2V5d29yZHM+PGtleXdvcmQ+QWRpcG9uZWN0aW4vKmJsb29kPC9rZXl3b3JkPjxrZXl3b3JkPkFk
dWx0PC9rZXl3b3JkPjxrZXl3b3JkPkJpb21hcmtlcnMvYmxvb2Q8L2tleXdvcmQ+PGtleXdvcmQ+
Q3Jvc3MtU2VjdGlvbmFsIFN0dWRpZXM8L2tleXdvcmQ+PGtleXdvcmQ+RGlhYmV0ZXMsIEdlc3Rh
dGlvbmFsL2Jsb29kPC9rZXl3b3JkPjxrZXl3b3JkPipEaWV0YXJ5IFN1cHBsZW1lbnRzPC9rZXl3
b3JkPjxrZXl3b3JkPkZlbWFsZTwva2V5d29yZD48a2V5d29yZD5IdW1hbnM8L2tleXdvcmQ+PGtl
eXdvcmQ+Kkluc3VsaW4gUmVzaXN0YW5jZTwva2V5d29yZD48a2V5d29yZD5QcmVnbmFuY3kvKmJs
b29kPC9rZXl3b3JkPjxrZXl3b3JkPlNlbGVuaXVtL2FkdmVyc2UgZWZmZWN0cy9ibG9vZC8qcGhh
cm1hY29sb2d5PC9rZXl3b3JkPjxrZXl3b3JkPlRyYWNlIEVsZW1lbnRzL2FkdmVyc2UgZWZmZWN0
cy8qcGhhcm1hY29sb2d5PC9rZXl3b3JkPjxrZXl3b3JkPkFkaXBvbmVjdGluPC9rZXl3b3JkPjxr
ZXl3b3JkPkRpYWJldGVzPC9rZXl3b3JkPjxrZXl3b3JkPkdETSBnZXN0YXRpb25hbCBkaWFiZXRl
czwva2V5d29yZD48a2V5d29yZD5HUHgzIGdsdXRhdGhpb25lIHBlcm94aWRpc2UgMzwva2V5d29y
ZD48a2V5d29yZD5JbnN1bGluIHJlc2lzdGFuY2U8L2tleXdvcmQ+PGtleXdvcmQ+UHJlZ25hbmN5
PC9rZXl3b3JkPjxrZXl3b3JkPlJDVCByYW5kb21pc2VkLWNvbnRyb2xsZWQgdHJpYWw8L2tleXdv
cmQ+PGtleXdvcmQ+U0VQUDEgc2VsZW5vcHJvdGVpbiBQMTwva2V5d29yZD48a2V5d29yZD5TZWxl
bml1bTwva2V5d29yZD48a2V5d29yZD5UMkQgdHlwZSAyIGRpYWJldGVzPC9rZXl3b3JkPjwva2V5
d29yZHM+PGRhdGVzPjx5ZWFyPjIwMTY8L3llYXI+PHB1Yi1kYXRlcz48ZGF0ZT5KYW4gMTQ8L2Rh
dGU+PC9wdWItZGF0ZXM+PC9kYXRlcz48aXNibj4xNDc1LTI2NjIgKEVsZWN0cm9uaWMpJiN4RDsw
MDA3LTExNDUgKExpbmtpbmcpPC9pc2JuPjxhY2Nlc3Npb24tbnVtPjI2NDgxODExPC9hY2Nlc3Np
b24tbnVtPjx1cmxzPjxyZWxhdGVkLXVybHM+PHVybD5odHRwczovL3d3dy5uY2JpLm5sbS5uaWgu
Z292L3B1Ym1lZC8yNjQ4MTgxMTwvdXJsPjwvcmVsYXRlZC11cmxzPjwvdXJscz48ZWxlY3Ryb25p
Yy1yZXNvdXJjZS1udW0+MTAuMTAxNy9TMDAwNzExNDUxNTAwNDA2NzwvZWxlY3Ryb25pYy1yZXNv
dXJjZS1udW0+PC9yZWNvcmQ+PC9DaXRlPjxDaXRlPjxBdXRob3I+TWFvPC9BdXRob3I+PFllYXI+
MjAxNjwvWWVhcj48UmVjTnVtPjEyMDU8L1JlY051bT48cmVjb3JkPjxyZWMtbnVtYmVyPjEyMDU8
L3JlYy1udW1iZXI+PGZvcmVpZ24ta2V5cz48a2V5IGFwcD0iRU4iIGRiLWlkPSJleHZhc3JmeDJk
dHJhb2VzYXN4cDJzenN4YTJkZjUwMjU5MngiIHRpbWVzdGFtcD0iMTU1OTg2NzM3MyI+MTIwNTwv
a2V5PjxrZXkgYXBwPSJFTldlYiIgZGItaWQ9IiI+MDwva2V5PjwvZm9yZWlnbi1rZXlzPjxyZWYt
dHlwZSBuYW1lPSJKb3VybmFsIEFydGljbGUiPjE3PC9yZWYtdHlwZT48Y29udHJpYnV0b3JzPjxh
dXRob3JzPjxhdXRob3I+TWFvLCBKLjwvYXV0aG9yPjxhdXRob3I+UG9wLCBWLiBKLjwvYXV0aG9y
PjxhdXRob3I+QmF0aCwgUy4gQy48L2F1dGhvcj48YXV0aG9yPlZhZGVyLCBILiBMLjwvYXV0aG9y
PjxhdXRob3I+UmVkbWFuLCBDLiBXLjwvYXV0aG9yPjxhdXRob3I+UmF5bWFuLCBNLiBQLjwvYXV0
aG9yPjwvYXV0aG9ycz48L2NvbnRyaWJ1dG9ycz48YXV0aC1hZGRyZXNzPkRlcGFydG1lbnQgb2Yg
TnV0cml0aW9uYWwgU2NpZW5jZXMsIEZhY3VsdHkgb2YgSGVhbHRoIGFuZCBNZWRpY2FsIFNjaWVu
Y2VzLCBVbml2ZXJzaXR5IG9mIFN1cnJleSwgR3VpbGRmb3JkLCBHVTIgN1hILCBVSy4mI3hEO0Rl
cGFydG1lbnQgb2YgRW5kb2NyaW5vbG9neSBhbmQgTWV0YWJvbGlzbSwgVGhlIEZpcnN0IEhvc3Bp
dGFsIG9mIENoaW5hIE1lZGljYWwgVW5pdmVyc2l0eSwgU2hlbnlhbmcsIENoaW5hLiYjeEQ7RGVw
YXJ0bWVudCBvZiBDbGluaWNhbCBIZWFsdGggUHN5Y2hvbG9neSwgVGlsYnVyZyBVbml2ZXJzaXR5
LCBUaWxidXJnLCBUaGUgTmV0aGVybGFuZHMuJiN4RDtDbGluaWNhbCBMYWJvcmF0b3JpZXMsIE1h
eGltYSBNZWRpY2FsIENlbnRlciBFaW5kaG92ZW4sIFZlbGRob3ZlbiwgVGhlIE5ldGhlcmxhbmRz
LiYjeEQ7TnVmZmllbGQgRGVwYXJ0bWVudCBvZiBPYnN0ZXRyaWNzIGFuZCBHeW5hZWNvbG9neSwg
Sm9obiBSYWRjbGlmZmUgSG9zcGl0YWwsIFVuaXZlcnNpdHkgb2YgT3hmb3JkLCBPeGZvcmQsIFVL
LiYjeEQ7RGVwYXJ0bWVudCBvZiBOdXRyaXRpb25hbCBTY2llbmNlcywgRmFjdWx0eSBvZiBIZWFs
dGggYW5kIE1lZGljYWwgU2NpZW5jZXMsIFVuaXZlcnNpdHkgb2YgU3VycmV5LCBHdWlsZGZvcmQs
IEdVMiA3WEgsIFVLLiBtLnJheW1hbkBzdXJyZXkuYWMudWsuPC9hdXRoLWFkZHJlc3M+PHRpdGxl
cz48dGl0bGU+RWZmZWN0IG9mIGxvdy1kb3NlIHNlbGVuaXVtIG9uIHRoeXJvaWQgYXV0b2ltbXVu
aXR5IGFuZCB0aHlyb2lkIGZ1bmN0aW9uIGluIFVLIHByZWduYW50IHdvbWVuIHdpdGggbWlsZC10
by1tb2RlcmF0ZSBpb2RpbmUgZGVmaWNpZW5jeTwvdGl0bGU+PHNlY29uZGFyeS10aXRsZT5FdXIg
SiBOdXRyPC9zZWNvbmRhcnktdGl0bGU+PC90aXRsZXM+PHBlcmlvZGljYWw+PGZ1bGwtdGl0bGU+
RXVyIEogTnV0cjwvZnVsbC10aXRsZT48L3BlcmlvZGljYWw+PHBhZ2VzPjU1LTYxPC9wYWdlcz48
dm9sdW1lPjU1PC92b2x1bWU+PG51bWJlcj4xPC9udW1iZXI+PGVkaXRpb24+MjAxNC8xMi8yMDwv
ZWRpdGlvbj48a2V5d29yZHM+PGtleXdvcmQ+QXV0b2FudGlib2RpZXMvYmxvb2Q8L2tleXdvcmQ+
PGtleXdvcmQ+Qm9keSBNYXNzIEluZGV4PC9rZXl3b3JkPjxrZXl3b3JkPkRpZXRhcnkgU3VwcGxl
bWVudHM8L2tleXdvcmQ+PGtleXdvcmQ+RG9zZS1SZXNwb25zZSBSZWxhdGlvbnNoaXAsIERydWc8
L2tleXdvcmQ+PGtleXdvcmQ+RG91YmxlLUJsaW5kIE1ldGhvZDwva2V5d29yZD48a2V5d29yZD5G
ZW1hbGU8L2tleXdvcmQ+PGtleXdvcmQ+SHVtYW5zPC9rZXl3b3JkPjxrZXl3b3JkPklvZGluZS8q
Ymxvb2QvZGVmaWNpZW5jeTwva2V5d29yZD48a2V5d29yZD5QcmVnbmFuY3k8L2tleXdvcmQ+PGtl
eXdvcmQ+U2VsZW5pdW0vKmFkbWluaXN0cmF0aW9uICZhbXA7IGRvc2FnZS9ibG9vZDwva2V5d29y
ZD48a2V5d29yZD5UaHlyb2lkIEdsYW5kLypkcnVnIGVmZmVjdHMvKmltbXVub2xvZ3k8L2tleXdv
cmQ+PGtleXdvcmQ+VGh5cm90cm9waW4vYmxvb2Q8L2tleXdvcmQ+PGtleXdvcmQ+VGh5cm94aW5l
L2Jsb29kPC9rZXl3b3JkPjxrZXl3b3JkPlVuaXRlZCBLaW5nZG9tPC9rZXl3b3JkPjxrZXl3b3Jk
PklvZGluZTwva2V5d29yZD48a2V5d29yZD5TZWxlbml1bTwva2V5d29yZD48a2V5d29yZD5UaHly
b2lkIGF1dG9pbW11bml0eTwva2V5d29yZD48a2V5d29yZD5UaHlyb2lkIGZ1bmN0aW9uPC9rZXl3
b3JkPjxrZXl3b3JkPlRoeXJvaWQgcGVyb3hpZGFzZSBhbnRpYm9kaWVzPC9rZXl3b3JkPjwva2V5
d29yZHM+PGRhdGVzPjx5ZWFyPjIwMTY8L3llYXI+PHB1Yi1kYXRlcz48ZGF0ZT5GZWI8L2RhdGU+
PC9wdWItZGF0ZXM+PC9kYXRlcz48aXNibj4xNDM2LTYyMTUgKEVsZWN0cm9uaWMpJiN4RDsxNDM2
LTYyMDcgKExpbmtpbmcpPC9pc2JuPjxhY2Nlc3Npb24tbnVtPjI1NTI0MzI3PC9hY2Nlc3Npb24t
bnVtPjx1cmxzPjxyZWxhdGVkLXVybHM+PHVybD5odHRwczovL3d3dy5uY2JpLm5sbS5uaWguZ292
L3B1Ym1lZC8yNTUyNDMyNzwvdXJsPjwvcmVsYXRlZC11cmxzPjwvdXJscz48Y3VzdG9tMj5QTUM0
NzM3Nzg2PC9jdXN0b20yPjxlbGVjdHJvbmljLXJlc291cmNlLW51bT4xMC4xMDA3L3MwMDM5NC0w
MTQtMDgyMi05PC9lbGVjdHJvbmljLXJlc291cmNlLW51bT48L3JlY29yZD48L0NpdGU+PC9FbmRO
b3RlPn==
</w:fldData>
        </w:fldChar>
      </w:r>
      <w:r w:rsidR="002747EA">
        <w:instrText xml:space="preserve"> ADDIN EN.CITE </w:instrText>
      </w:r>
      <w:r w:rsidR="002747EA">
        <w:fldChar w:fldCharType="begin">
          <w:fldData xml:space="preserve">PEVuZE5vdGU+PENpdGU+PEF1dGhvcj5UYXJhPC9BdXRob3I+PFllYXI+MjAxMDwvWWVhcj48UmVj
TnVtPjEyMTQ8L1JlY051bT48RGlzcGxheVRleHQ+PHN0eWxlIGZhY2U9InN1cGVyc2NyaXB0IiBm
b250PSJUcmVidWNoZXQgTVMiIHNpemU9IjkiPjIxNy0yMjM8L3N0eWxlPjwvRGlzcGxheVRleHQ+
PHJlY29yZD48cmVjLW51bWJlcj4xMjE0PC9yZWMtbnVtYmVyPjxmb3JlaWduLWtleXM+PGtleSBh
cHA9IkVOIiBkYi1pZD0iZXh2YXNyZngyZHRyYW9lc2FzeHAyc3pzeGEyZGY1MDI1OTJ4IiB0aW1l
c3RhbXA9IjE1NTk4Njc0NjAiPjEyMTQ8L2tleT48L2ZvcmVpZ24ta2V5cz48cmVmLXR5cGUgbmFt
ZT0iSm91cm5hbCBBcnRpY2xlIj4xNzwvcmVmLXR5cGU+PGNvbnRyaWJ1dG9ycz48YXV0aG9ycz48
YXV0aG9yPlRhcmEsIEYuPC9hdXRob3I+PGF1dGhvcj5NYWFtb3VyaSwgRy48L2F1dGhvcj48YXV0
aG9yPlJheW1hbiwgTS4gUC48L2F1dGhvcj48YXV0aG9yPkdoYXlvdXItTW9iYXJoYW4sIE0uPC9h
dXRob3I+PGF1dGhvcj5TYWhlYmthciwgQS48L2F1dGhvcj48YXV0aG9yPllhemFybHUsIE8uPC9h
dXRob3I+PGF1dGhvcj5PdWxhZGFuLCBTLjwvYXV0aG9yPjxhdXRob3I+VGF2YWxsYWllLCBTLjwv
YXV0aG9yPjxhdXRob3I+QXppbWktTmV6aGFkLCBNLjwvYXV0aG9yPjxhdXRob3I+U2hha2VyaSwg
TS4gVC48L2F1dGhvcj48YXV0aG9yPkJvc2thYmFkaSwgSC48L2F1dGhvcj48YXV0aG9yPk9sYWRp
LCBNLjwvYXV0aG9yPjxhdXRob3I+U2FuZ2FuaSwgTS4gVC48L2F1dGhvcj48YXV0aG9yPlJhemF2
aSwgQi4gUy48L2F1dGhvcj48YXV0aG9yPkZlcm5zLCBHLjwvYXV0aG9yPjwvYXV0aG9ycz48L2Nv
bnRyaWJ1dG9ycz48YXV0aC1hZGRyZXNzPkRlcGFydG1lbnQgb2YgT2JzdGV0cmljcyBhbmQgR3lu
ZWNvbG9neSwgT21tb2xiYW5pbiBIb3NwaXRhbCwgTWFzaGhhZCBVbml2ZXJzaXR5IG9mIE1lZGlj
YWwgU2NpZW5jZXMsIE1hc2hoYWQsIElyYW4uPC9hdXRoLWFkZHJlc3M+PHRpdGxlcz48dGl0bGU+
U2VsZW5pdW0gc3VwcGxlbWVudGF0aW9uIGFuZCB0aGUgaW5jaWRlbmNlIG9mIHByZWVjbGFtcHNp
YSBpbiBwcmVnbmFudCBJcmFuaWFuIHdvbWVuOiBhIHJhbmRvbWl6ZWQsIGRvdWJsZS1ibGluZCwg
cGxhY2Viby1jb250cm9sbGVkIHBpbG90IHRyaWFsPC90aXRsZT48c2Vjb25kYXJ5LXRpdGxlPlRh
aXdhbiBKIE9ic3RldCBHeW5lY29sPC9zZWNvbmRhcnktdGl0bGU+PC90aXRsZXM+PHBlcmlvZGlj
YWw+PGZ1bGwtdGl0bGU+VGFpd2FuIEogT2JzdGV0IEd5bmVjb2w8L2Z1bGwtdGl0bGU+PC9wZXJp
b2RpY2FsPjxwYWdlcz4xODEtNzwvcGFnZXM+PHZvbHVtZT40OTwvdm9sdW1lPjxudW1iZXI+Mjwv
bnVtYmVyPjxlZGl0aW9uPjIwMTAvMDgvMTc8L2VkaXRpb24+PGtleXdvcmRzPjxrZXl3b3JkPkFk
b2xlc2NlbnQ8L2tleXdvcmQ+PGtleXdvcmQ+QWR1bHQ8L2tleXdvcmQ+PGtleXdvcmQ+QW50aW94
aWRhbnRzL2FuYWx5c2lzLyp0aGVyYXBldXRpYyB1c2U8L2tleXdvcmQ+PGtleXdvcmQ+Qmxvb2Qg
UHJlc3N1cmU8L2tleXdvcmQ+PGtleXdvcmQ+Qy1SZWFjdGl2ZSBQcm90ZWluL2FuYWx5c2lzPC9r
ZXl3b3JkPjxrZXl3b3JkPkNob2xlc3Rlcm9sL2Jsb29kPC9rZXl3b3JkPjxrZXl3b3JkPkRvdWJs
ZS1CbGluZCBNZXRob2Q8L2tleXdvcmQ+PGtleXdvcmQ+RmVtYWxlPC9rZXl3b3JkPjxrZXl3b3Jk
Pkh1bWFuczwva2V5d29yZD48a2V5d29yZD5JbmNpZGVuY2U8L2tleXdvcmQ+PGtleXdvcmQ+SXJh
bi9lcGlkZW1pb2xvZ3k8L2tleXdvcmQ+PGtleXdvcmQ+TGlwb3Byb3RlaW5zLCBIREwvYmxvb2Q8
L2tleXdvcmQ+PGtleXdvcmQ+TGlwb3Byb3RlaW5zLCBMREwvYmxvb2Q8L2tleXdvcmQ+PGtleXdv
cmQ+UGlsb3QgUHJvamVjdHM8L2tleXdvcmQ+PGtleXdvcmQ+UHJlLUVjbGFtcHNpYS9lcGlkZW1p
b2xvZ3kvKnByZXZlbnRpb24gJmFtcDsgY29udHJvbDwva2V5d29yZD48a2V5d29yZD5QcmVnbmFu
Y3k8L2tleXdvcmQ+PGtleXdvcmQ+UHJlZ25hbmN5IFRyaW1lc3RlciwgRmlyc3Q8L2tleXdvcmQ+
PGtleXdvcmQ+U2VsZW5pdW0vYmxvb2QvKnRoZXJhcGV1dGljIHVzZTwva2V5d29yZD48a2V5d29y
ZD5UcmlnbHljZXJpZGVzL2Jsb29kPC9rZXl3b3JkPjwva2V5d29yZHM+PGRhdGVzPjx5ZWFyPjIw
MTA8L3llYXI+PHB1Yi1kYXRlcz48ZGF0ZT5KdW48L2RhdGU+PC9wdWItZGF0ZXM+PC9kYXRlcz48
aXNibj4xODc1LTYyNjMgKEVsZWN0cm9uaWMpJiN4RDsxMDI4LTQ1NTkgKExpbmtpbmcpPC9pc2Ju
PjxhY2Nlc3Npb24tbnVtPjIwNzA4NTI1PC9hY2Nlc3Npb24tbnVtPjx1cmxzPjxyZWxhdGVkLXVy
bHM+PHVybD5odHRwczovL3d3dy5uY2JpLm5sbS5uaWguZ292L3B1Ym1lZC8yMDcwODUyNTwvdXJs
PjwvcmVsYXRlZC11cmxzPjwvdXJscz48ZWxlY3Ryb25pYy1yZXNvdXJjZS1udW0+MTAuMTAxNi9T
MTAyOC00NTU5KDEwKTYwMDM4LTE8L2VsZWN0cm9uaWMtcmVzb3VyY2UtbnVtPjwvcmVjb3JkPjwv
Q2l0ZT48Q2l0ZT48QXV0aG9yPlRhcmE8L0F1dGhvcj48WWVhcj4yMDEwPC9ZZWFyPjxSZWNOdW0+
MTIxMzwvUmVjTnVtPjxyZWNvcmQ+PHJlYy1udW1iZXI+MTIxMzwvcmVjLW51bWJlcj48Zm9yZWln
bi1rZXlzPjxrZXkgYXBwPSJFTiIgZGItaWQ9ImV4dmFzcmZ4MmR0cmFvZXNhc3hwMnN6c3hhMmRm
NTAyNTkyeCIgdGltZXN0YW1wPSIxNTU5ODY3Mzk3Ij4xMjEzPC9rZXk+PGtleSBhcHA9IkVOV2Vi
IiBkYi1pZD0iIj4wPC9rZXk+PC9mb3JlaWduLWtleXM+PHJlZi10eXBlIG5hbWU9IkpvdXJuYWwg
QXJ0aWNsZSI+MTc8L3JlZi10eXBlPjxjb250cmlidXRvcnM+PGF1dGhvcnM+PGF1dGhvcj5UYXJh
LCBGLjwvYXV0aG9yPjxhdXRob3I+UmF5bWFuLCBNLiBQLjwvYXV0aG9yPjxhdXRob3I+Qm9za2Fi
YWRpLCBILjwvYXV0aG9yPjxhdXRob3I+R2hheW91ci1Nb2JhcmhhbiwgTS48L2F1dGhvcj48YXV0
aG9yPlNhaGVia2FyLCBBLjwvYXV0aG9yPjxhdXRob3I+WWF6YXJsdSwgTy48L2F1dGhvcj48YXV0
aG9yPk91bGFkYW4sIFMuPC9hdXRob3I+PGF1dGhvcj5UYXZhbGxhaWUsIFMuPC9hdXRob3I+PGF1
dGhvcj5BemltaS1OZXpoYWQsIE0uPC9hdXRob3I+PGF1dGhvcj5TaGFrZXJpLCBNLiBULjwvYXV0
aG9yPjxhdXRob3I+VGV5bW9vcmksIE0uIFMuPC9hdXRob3I+PGF1dGhvcj5SYXphdmksIEIuIFMu
PC9hdXRob3I+PGF1dGhvcj5PbGFkaSwgTS48L2F1dGhvcj48YXV0aG9yPkZlcm5zLCBHLjwvYXV0
aG9yPjwvYXV0aG9ycz48L2NvbnRyaWJ1dG9ycz48YXV0aC1hZGRyZXNzPkRlcGFydG1lbnQgb2Yg
T2JzdGV0cmljcyBhbmQgR3luYWVjb2xvZ3ksIE9NLUFsYmFuaW4gSG9zcGl0YWwsIE1hc2hoYWQg
VW5pdmVyc2l0eSBvZiBNZWRpY2FsIFNjaWVuY2VzLCBNYXNoaGFkLCBJcmFuPC9hdXRoLWFkZHJl
c3M+PHRpdGxlcz48dGl0bGU+U2VsZW5pdW0gc3VwcGxlbWVudGF0aW9uIGFuZCBwcmVtYXR1cmUg
KHByZS1sYWJvdXIpIHJ1cHR1cmUgb2YgbWVtYnJhbmVzOiBhIHJhbmRvbWlzZWQgZG91YmxlLWJs
aW5kIHBsYWNlYm8tY29udHJvbGxlZCB0cmlhbDwvdGl0bGU+PHNlY29uZGFyeS10aXRsZT5KIE9i
c3RldCBHeW5hZWNvbDwvc2Vjb25kYXJ5LXRpdGxlPjwvdGl0bGVzPjxwZXJpb2RpY2FsPjxmdWxs
LXRpdGxlPkogT2JzdGV0IEd5bmFlY29sPC9mdWxsLXRpdGxlPjwvcGVyaW9kaWNhbD48cGFnZXM+
MzAtNDwvcGFnZXM+PHZvbHVtZT4zMDwvdm9sdW1lPjxudW1iZXI+MTwvbnVtYmVyPjxlZGl0aW9u
PjIwMTAvMDIvMDQ8L2VkaXRpb24+PGtleXdvcmRzPjxrZXl3b3JkPkFkdWx0PC9rZXl3b3JkPjxr
ZXl3b3JkPkFudGlveGlkYW50cy8qdGhlcmFwZXV0aWMgdXNlPC9rZXl3b3JkPjxrZXl3b3JkPkRp
ZXRhcnkgU3VwcGxlbWVudHM8L2tleXdvcmQ+PGtleXdvcmQ+RG91YmxlLUJsaW5kIE1ldGhvZDwv
a2V5d29yZD48a2V5d29yZD5GZW1hbGU8L2tleXdvcmQ+PGtleXdvcmQ+RmV0YWwgTWVtYnJhbmVz
LCBQcmVtYXR1cmUgUnVwdHVyZS8qcHJldmVudGlvbiAmYW1wOyBjb250cm9sPC9rZXl3b3JkPjxr
ZXl3b3JkPkh1bWFuczwva2V5d29yZD48a2V5d29yZD5QcmVnbmFuY3k8L2tleXdvcmQ+PGtleXdv
cmQ+U2VsZW5pdW0vYmxvb2QvKnRoZXJhcGV1dGljIHVzZTwva2V5d29yZD48a2V5d29yZD5Zb3Vu
ZyBBZHVsdDwva2V5d29yZD48L2tleXdvcmRzPjxkYXRlcz48eWVhcj4yMDEwPC95ZWFyPjxwdWIt
ZGF0ZXM+PGRhdGU+SmFuPC9kYXRlPjwvcHViLWRhdGVzPjwvZGF0ZXM+PGlzYm4+MTM2NC02ODkz
IChFbGVjdHJvbmljKSYjeEQ7MDE0NC0zNjE1IChMaW5raW5nKTwvaXNibj48YWNjZXNzaW9uLW51
bT4yMDEyMTUwMDwvYWNjZXNzaW9uLW51bT48dXJscz48cmVsYXRlZC11cmxzPjx1cmw+aHR0cHM6
Ly93d3cubmNiaS5ubG0ubmloLmdvdi9wdWJtZWQvMjAxMjE1MDA8L3VybD48L3JlbGF0ZWQtdXJs
cz48L3VybHM+PGVsZWN0cm9uaWMtcmVzb3VyY2UtbnVtPjEwLjMxMDkvMDE0NDM2MTA5MDMyNjc1
MDc8L2VsZWN0cm9uaWMtcmVzb3VyY2UtbnVtPjwvcmVjb3JkPjwvQ2l0ZT48Q2l0ZT48QXV0aG9y
PkJvc2FrYWJhZGk8L0F1dGhvcj48WWVhcj4yMDEwPC9ZZWFyPjxSZWNOdW0+MTIxODwvUmVjTnVt
PjxyZWNvcmQ+PHJlYy1udW1iZXI+MTIxODwvcmVjLW51bWJlcj48Zm9yZWlnbi1rZXlzPjxrZXkg
YXBwPSJFTiIgZGItaWQ9ImV4dmFzcmZ4MmR0cmFvZXNhc3hwMnN6c3hhMmRmNTAyNTkyeCIgdGlt
ZXN0YW1wPSIxNTU5ODY4MTc4Ij4xMjE4PC9rZXk+PC9mb3JlaWduLWtleXM+PHJlZi10eXBlIG5h
bWU9IkpvdXJuYWwgQXJ0aWNsZSI+MTc8L3JlZi10eXBlPjxjb250cmlidXRvcnM+PGF1dGhvcnM+
PGF1dGhvcj5Cb3Nha2FiYWRpLCBILiw8L2F1dGhvcj48YXV0aG9yPlJlemFnaG9saXphZGUgT21y
YW4sIEYuLDwvYXV0aG9yPjxhdXRob3I+VGFyYSwgRi4sPC9hdXRob3I+PGF1dGhvcj5SYXltYW4s
IE0uUC4sPC9hdXRob3I+PGF1dGhvcj5HaGF5b3VyLU1vYmFyaGFuLCBNLiw8L2F1dGhvcj48YXV0
aG9yPlNhaGVia2FyLCBBLiw8L2F1dGhvcj48YXV0aG9yPlRhdmFsbGFpZSwgUy4sPC9hdXRob3I+
PGF1dGhvcj5TaGFrZXJpLCBNLlQuLDwvYXV0aG9yPjxhdXRob3I+QWxhbWRhcmksIEQuSC48L2F1
dGhvcj48L2F1dGhvcnM+PC9jb250cmlidXRvcnM+PHRpdGxlcz48dGl0bGU+VGhlIGVmZmVjdCBv
ZiBtYXRlcm5hbCBzZWxlbml1bSBzdXBwbGVtZW50YXRpb24gb24gcHJlZ25hbmN5IG91dGNvbWUg
YW5kIHRoZSBsZXZlbCBvZiBveGlkYXRpdmUgc3RyZXNzIGluIG5lb25hdGVzPC90aXRsZT48c2Vj
b25kYXJ5LXRpdGxlPklyYW5pYW4gUmVkIENyZXNjZW50IE1lZCBKPC9zZWNvbmRhcnktdGl0bGU+
PC90aXRsZXM+PHBlcmlvZGljYWw+PGZ1bGwtdGl0bGU+SXJhbmlhbiBSZWQgQ3Jlc2NlbnQgTWVk
IEo8L2Z1bGwtdGl0bGU+PC9wZXJpb2RpY2FsPjxwYWdlcz4yNTQtNTk8L3BhZ2VzPjx2b2x1bWU+
MTI8L3ZvbHVtZT48bnVtYmVyPjM8L251bWJlcj48ZGF0ZXM+PHllYXI+MjAxMDwveWVhcj48L2Rh
dGVzPjx1cmxzPjwvdXJscz48L3JlY29yZD48L0NpdGU+PENpdGU+PEF1dGhvcj5Nb2toYmVyPC9B
dXRob3I+PFllYXI+MjAxMTwvWWVhcj48UmVjTnVtPjEyMDk8L1JlY051bT48cmVjb3JkPjxyZWMt
bnVtYmVyPjEyMDk8L3JlYy1udW1iZXI+PGZvcmVpZ24ta2V5cz48a2V5IGFwcD0iRU4iIGRiLWlk
PSJleHZhc3JmeDJkdHJhb2VzYXN4cDJzenN4YTJkZjUwMjU5MngiIHRpbWVzdGFtcD0iMTU1OTg2
NzM4NSI+MTIwOTwva2V5PjxrZXkgYXBwPSJFTldlYiIgZGItaWQ9IiI+MDwva2V5PjwvZm9yZWln
bi1rZXlzPjxyZWYtdHlwZSBuYW1lPSJKb3VybmFsIEFydGljbGUiPjE3PC9yZWYtdHlwZT48Y29u
dHJpYnV0b3JzPjxhdXRob3JzPjxhdXRob3I+TW9raGJlciwgTi48L2F1dGhvcj48YXV0aG9yPk5h
bWpvbywgTS48L2F1dGhvcj48YXV0aG9yPlRhcmEsIEYuPC9hdXRob3I+PGF1dGhvcj5Cb3NrYWJh
ZGksIEguPC9hdXRob3I+PGF1dGhvcj5SYXltYW4sIE0uIFAuPC9hdXRob3I+PGF1dGhvcj5HaGF5
b3VyLU1vYmFyaGFuLCBNLjwvYXV0aG9yPjxhdXRob3I+U2FoZWJrYXIsIEEuPC9hdXRob3I+PGF1
dGhvcj5NYWpkaSwgTS4gUi48L2F1dGhvcj48YXV0aG9yPlRhdmFsbGFpZSwgUy48L2F1dGhvcj48
YXV0aG9yPkF6aW1pLU5lemhhZCwgTS48L2F1dGhvcj48YXV0aG9yPlNoYWtlcmksIE0uIFQuPC9h
dXRob3I+PGF1dGhvcj5OZW1hdHksIE0uPC9hdXRob3I+PGF1dGhvcj5PbGFkaSwgTS48L2F1dGhv
cj48YXV0aG9yPk1vaGFtbWFkaSwgTS48L2F1dGhvcj48YXV0aG9yPkZlcm5zLCBHLjwvYXV0aG9y
PjwvYXV0aG9ycz48L2NvbnRyaWJ1dG9ycz48YXV0aC1hZGRyZXNzPkRlcGFydG1lbnQgb2YgUHN5
Y2hpYXRyeSwgSWJuLVNpbmEgSG9zcGl0YWwsIE1hc2hoYWQgVW5pdmVyc2l0eSBvZiBNZWRpY2Fs
IFNjaWVuY2VzLCBNYXNoaGFkLCBJcmFuLjwvYXV0aC1hZGRyZXNzPjx0aXRsZXM+PHRpdGxlPkVm
ZmVjdCBvZiBzdXBwbGVtZW50YXRpb24gd2l0aCBzZWxlbml1bSBvbiBwb3N0cGFydHVtIGRlcHJl
c3Npb246IGEgcmFuZG9taXplZCBkb3VibGUtYmxpbmQgcGxhY2Viby1jb250cm9sbGVkIHRyaWFs
PC90aXRsZT48c2Vjb25kYXJ5LXRpdGxlPkogTWF0ZXJuIEZldGFsIE5lb25hdGFsIE1lZDwvc2Vj
b25kYXJ5LXRpdGxlPjwvdGl0bGVzPjxwZXJpb2RpY2FsPjxmdWxsLXRpdGxlPkogTWF0ZXJuIEZl
dGFsIE5lb25hdGFsIE1lZDwvZnVsbC10aXRsZT48L3BlcmlvZGljYWw+PHBhZ2VzPjEwNC04PC9w
YWdlcz48dm9sdW1lPjI0PC92b2x1bWU+PG51bWJlcj4xPC9udW1iZXI+PGVkaXRpb24+MjAxMC8w
Ni8xMDwvZWRpdGlvbj48a2V5d29yZHM+PGtleXdvcmQ+QWRvbGVzY2VudDwva2V5d29yZD48a2V5
d29yZD5BZHVsdDwva2V5d29yZD48a2V5d29yZD5EZXByZXNzaW9uLCBQb3N0cGFydHVtLypwcmV2
ZW50aW9uICZhbXA7IGNvbnRyb2w8L2tleXdvcmQ+PGtleXdvcmQ+RG91YmxlLUJsaW5kIE1ldGhv
ZDwva2V5d29yZD48a2V5d29yZD5GZW1hbGU8L2tleXdvcmQ+PGtleXdvcmQ+SHVtYW5zPC9rZXl3
b3JkPjxrZXl3b3JkPklyYW48L2tleXdvcmQ+PGtleXdvcmQ+UHJlZ25hbmN5PC9rZXl3b3JkPjxr
ZXl3b3JkPlNlbGVuaXVtL2Jsb29kLyp0aGVyYXBldXRpYyB1c2U8L2tleXdvcmQ+PGtleXdvcmQ+
VHJhY2UgRWxlbWVudHMvKnRoZXJhcGV1dGljIHVzZTwva2V5d29yZD48a2V5d29yZD5Zb3VuZyBB
ZHVsdDwva2V5d29yZD48L2tleXdvcmRzPjxkYXRlcz48eWVhcj4yMDExPC95ZWFyPjxwdWItZGF0
ZXM+PGRhdGU+SmFuPC9kYXRlPjwvcHViLWRhdGVzPjwvZGF0ZXM+PGlzYm4+MTQ3Ni00OTU0IChF
bGVjdHJvbmljKSYjeEQ7MTQ3Ni00OTU0IChMaW5raW5nKTwvaXNibj48YWNjZXNzaW9uLW51bT4y
MDUyODIxNjwvYWNjZXNzaW9uLW51bT48dXJscz48cmVsYXRlZC11cmxzPjx1cmw+aHR0cHM6Ly93
d3cubmNiaS5ubG0ubmloLmdvdi9wdWJtZWQvMjA1MjgyMTY8L3VybD48L3JlbGF0ZWQtdXJscz48
L3VybHM+PGVsZWN0cm9uaWMtcmVzb3VyY2UtbnVtPjEwLjMxMDkvMTQ3NjcwNTguMjAxMC40ODI1
OTg8L2VsZWN0cm9uaWMtcmVzb3VyY2UtbnVtPjwvcmVjb3JkPjwvQ2l0ZT48Q2l0ZT48QXV0aG9y
PlJheW1hbjwvQXV0aG9yPjxZZWFyPjIwMTQ8L1llYXI+PFJlY051bT4xMjExPC9SZWNOdW0+PHJl
Y29yZD48cmVjLW51bWJlcj4xMjExPC9yZWMtbnVtYmVyPjxmb3JlaWduLWtleXM+PGtleSBhcHA9
IkVOIiBkYi1pZD0iZXh2YXNyZngyZHRyYW9lc2FzeHAyc3pzeGEyZGY1MDI1OTJ4IiB0aW1lc3Rh
bXA9IjE1NTk4NjczOTIiPjEyMTE8L2tleT48a2V5IGFwcD0iRU5XZWIiIGRiLWlkPSIiPjA8L2tl
eT48L2ZvcmVpZ24ta2V5cz48cmVmLXR5cGUgbmFtZT0iSm91cm5hbCBBcnRpY2xlIj4xNzwvcmVm
LXR5cGU+PGNvbnRyaWJ1dG9ycz48YXV0aG9ycz48YXV0aG9yPlJheW1hbiwgTS4gUC48L2F1dGhv
cj48YXV0aG9yPlNlYXJsZSwgRS48L2F1dGhvcj48YXV0aG9yPktlbGx5LCBMLjwvYXV0aG9yPjxh
dXRob3I+Sm9obnNlbiwgUy48L2F1dGhvcj48YXV0aG9yPkJvZG1hbi1TbWl0aCwgSy48L2F1dGhv
cj48YXV0aG9yPkJhdGgsIFMuIEMuPC9hdXRob3I+PGF1dGhvcj5NYW8sIEouPC9hdXRob3I+PGF1
dGhvcj5SZWRtYW4sIEMuIFcuPC9hdXRob3I+PC9hdXRob3JzPjwvY29udHJpYnV0b3JzPjxhdXRo
LWFkZHJlc3M+RGVwYXJ0bWVudCBvZiBOdXRyaXRpb25hbCBTY2llbmNlcyxTY2hvb2wgb2YgQmlv
c2NpZW5jZXMgYW5kIE1lZGljaW5lLCBGYWN1bHR5IG9mIEhlYWx0aCBhbmQgTWVkaWNhbCBTY2ll
bmNlcywgVW5pdmVyc2l0eSBvZiBTdXJyZXksR3VpbGRmb3JkR1UyIDdYSCxVSy4mI3hEO051ZmZp
ZWxkIERlcGFydG1lbnQgb2YgT2JzdGV0cmljcyBhbmQgR3luYWVjb2xvZ3ksIFVuaXZlcnNpdHkg
b2YgT3hmb3JkLE94Zm9yZE9YMyA5RFUsVUsuJiN4RDtBbnUgUmVzZWFyY2ggQ2VudHJlLCBEZXBh
cnRtZW50IG9mIE9ic3RldHJpY3MgYW5kIEd5bmFlY29sb2d5LCBDb3JrIFVuaXZlcnNpdHkgTWF0
ZXJuaXR5IEhvc3BpdGFsLFdpbHRvbiwgQ29yayxSZXB1YmxpYyBvZiBJcmVsYW5kLiYjeEQ7U3Vy
cmV5IENsaW5pY2FsIFJlc2VhcmNoIENlbnRyZSAoQ1JDKSwgRmFjdWx0eSBvZiBIZWFsdGggYW5k
IE1lZGljYWwgU2NpZW5jZXMsIFVuaXZlcnNpdHkgb2YgU3VycmV5LEd1aWxkZm9yZEdVMiA3WFAs
VUsuPC9hdXRoLWFkZHJlc3M+PHRpdGxlcz48dGl0bGU+RWZmZWN0IG9mIHNlbGVuaXVtIG9uIG1h
cmtlcnMgb2YgcmlzayBvZiBwcmUtZWNsYW1wc2lhIGluIFVLIHByZWduYW50IHdvbWVuOiBhIHJh
bmRvbWlzZWQsIGNvbnRyb2xsZWQgcGlsb3QgdHJpYWw8L3RpdGxlPjxzZWNvbmRhcnktdGl0bGU+
QnIgSiBOdXRyPC9zZWNvbmRhcnktdGl0bGU+PC90aXRsZXM+PHBlcmlvZGljYWw+PGZ1bGwtdGl0
bGU+QnIgSiBOdXRyPC9mdWxsLXRpdGxlPjwvcGVyaW9kaWNhbD48cGFnZXM+OTktMTExPC9wYWdl
cz48dm9sdW1lPjExMjwvdm9sdW1lPjxudW1iZXI+MTwvbnVtYmVyPjxlZGl0aW9uPjIwMTQvMDQv
MDk8L2VkaXRpb24+PGtleXdvcmRzPjxrZXl3b3JkPkFkdWx0PC9rZXl3b3JkPjxrZXl3b3JkPkJp
b21hcmtlcnMvYW5hbHlzaXMvYmxvb2Q8L2tleXdvcmQ+PGtleXdvcmQ+KkRpZXRhcnkgU3VwcGxl
bWVudHM8L2tleXdvcmQ+PGtleXdvcmQ+RG91YmxlLUJsaW5kIE1ldGhvZDwva2V5d29yZD48a2V5
d29yZD5GZW1hbGU8L2tleXdvcmQ+PGtleXdvcmQ+SHVtYW5zPC9rZXl3b3JkPjxrZXl3b3JkPklu
Y2lkZW5jZTwva2V5d29yZD48a2V5d29yZD5OYWlscy9jaGVtaXN0cnk8L2tleXdvcmQ+PGtleXdv
cmQ+TnV0cml0aW9uYWwgU3RhdHVzPC9rZXl3b3JkPjxrZXl3b3JkPlBpbG90IFByb2plY3RzPC9r
ZXl3b3JkPjxrZXl3b3JkPlByZS1FY2xhbXBzaWEvYmxvb2QvZXBpZGVtaW9sb2d5L2V0aW9sb2d5
LypwcmV2ZW50aW9uICZhbXA7IGNvbnRyb2w8L2tleXdvcmQ+PGtleXdvcmQ+UHJlZ25hbmN5PC9r
ZXl3b3JkPjxrZXl3b3JkPlByZWduYW5jeSBUcmltZXN0ZXIsIEZpcnN0PC9rZXl3b3JkPjxrZXl3
b3JkPlJpc2s8L2tleXdvcmQ+PGtleXdvcmQ+U2VsZW5pdW0vYW5hbHlzaXMvYmxvb2QvZGVmaWNp
ZW5jeS8qdGhlcmFwZXV0aWMgdXNlPC9rZXl3b3JkPjxrZXl3b3JkPlNlbGVub3Byb3RlaW4gUC8q
Ymxvb2Q8L2tleXdvcmQ+PGtleXdvcmQ+VW5pdGVkIEtpbmdkb20vZXBpZGVtaW9sb2d5PC9rZXl3
b3JkPjxrZXl3b3JkPlZhc2N1bGFyIEVuZG90aGVsaWFsIEdyb3d0aCBGYWN0b3IgUmVjZXB0b3It
MS8qYmxvb2Q8L2tleXdvcmQ+PGtleXdvcmQ+WWVhc3QsIERyaWVkL2NoZW1pc3RyeS8qdGhlcmFw
ZXV0aWMgdXNlPC9rZXl3b3JkPjwva2V5d29yZHM+PGRhdGVzPjx5ZWFyPjIwMTQ8L3llYXI+PHB1
Yi1kYXRlcz48ZGF0ZT5KdWwgMTQ8L2RhdGU+PC9wdWItZGF0ZXM+PC9kYXRlcz48aXNibj4xNDc1
LTI2NjIgKEVsZWN0cm9uaWMpJiN4RDswMDA3LTExNDUgKExpbmtpbmcpPC9pc2JuPjxhY2Nlc3Np
b24tbnVtPjI0NzA4OTE3PC9hY2Nlc3Npb24tbnVtPjx1cmxzPjxyZWxhdGVkLXVybHM+PHVybD5o
dHRwczovL3d3dy5uY2JpLm5sbS5uaWguZ292L3B1Ym1lZC8yNDcwODkxNzwvdXJsPjwvcmVsYXRl
ZC11cmxzPjwvdXJscz48Y3VzdG9tMj5QTUM0MDU0NjYyPC9jdXN0b20yPjxlbGVjdHJvbmljLXJl
c291cmNlLW51bT4xMC4xMDE3L1MwMDA3MTE0NTE0MDAwNTMxPC9lbGVjdHJvbmljLXJlc291cmNl
LW51bT48L3JlY29yZD48L0NpdGU+PENpdGU+PEF1dGhvcj5NYW88L0F1dGhvcj48WWVhcj4yMDE2
PC9ZZWFyPjxSZWNOdW0+MTIwNjwvUmVjTnVtPjxyZWNvcmQ+PHJlYy1udW1iZXI+MTIwNjwvcmVj
LW51bWJlcj48Zm9yZWlnbi1rZXlzPjxrZXkgYXBwPSJFTiIgZGItaWQ9ImV4dmFzcmZ4MmR0cmFv
ZXNhc3hwMnN6c3hhMmRmNTAyNTkyeCIgdGltZXN0YW1wPSIxNTU5ODY3Mzc3Ij4xMjA2PC9rZXk+
PGtleSBhcHA9IkVOV2ViIiBkYi1pZD0iIj4wPC9rZXk+PC9mb3JlaWduLWtleXM+PHJlZi10eXBl
IG5hbWU9IkpvdXJuYWwgQXJ0aWNsZSI+MTc8L3JlZi10eXBlPjxjb250cmlidXRvcnM+PGF1dGhv
cnM+PGF1dGhvcj5NYW8sIEouPC9hdXRob3I+PGF1dGhvcj5CYXRoLCBTLiBDLjwvYXV0aG9yPjxh
dXRob3I+VmFuZGVybGVsaWUsIEouIEouPC9hdXRob3I+PGF1dGhvcj5QZXJraW5zLCBBLiBWLjwv
YXV0aG9yPjxhdXRob3I+UmVkbWFuLCBDLiBXLjwvYXV0aG9yPjxhdXRob3I+UmF5bWFuLCBNLiBQ
LjwvYXV0aG9yPjwvYXV0aG9ycz48L2NvbnRyaWJ1dG9ycz48YXV0aC1hZGRyZXNzPjFEZXBhcnRt
ZW50IG9mIEVuZG9jcmlub2xvZ3kgYW5kIE1ldGFib2xpc20sSW5zdGl0dXRlIG9mIEVuZG9jcmlu
b2xvZ3ksVGhlIEZpcnN0IEhvc3BpdGFsIG9mIENoaW5hIE1lZGljYWwgVW5pdmVyc2l0eSxTaGVu
eWFuZyAxMTAwMDEsUGVvcGxlJmFwb3M7cyBSZXB1YmxpYyBvZiBDaGluYS4mI3hEOzJEZXBhcnRt
ZW50IG9mIE51dHJpdGlvbmFsIFNjaWVuY2VzLEZhY3VsdHkgb2YgSGVhbHRoIGFuZCBNZWRpY2Fs
IFNjaWVuY2VzLFVuaXZlcnNpdHkgb2YgU3VycmV5LEd1aWxkZm9yZCBHVTIgN1hILFVLLiYjeEQ7
M1NjaG9vbCBvZiBNZWRpY2FsIFNjaWVuY2UsR3JpZmZpdGggSGVhbHRoIEluc3RpdHV0ZSxHcmlm
Zml0aCBVbml2ZXJzaXR5LFNvdXRocG9ydCxRTEQgNDIyMixBdXN0cmFsaWEuJiN4RDs0TnVmZmll
bGQgRGVwYXJ0bWVudCBvZiBPYnN0ZXRyaWNzIGFuZCBHeW5hZWNvbG9neSxVbml2ZXJzaXR5IG9m
IE94Zm9yZCxPeGZvcmQgT1gzIDlEVSxVSy48L2F1dGgtYWRkcmVzcz48dGl0bGVzPjx0aXRsZT5O
byBlZmZlY3Qgb2YgbW9kZXN0IHNlbGVuaXVtIHN1cHBsZW1lbnRhdGlvbiBvbiBpbnN1bGluIHJl
c2lzdGFuY2UgaW4gVUsgcHJlZ25hbnQgd29tZW4sIGFzIGFzc2Vzc2VkIGJ5IHBsYXNtYSBhZGlw
b25lY3RpbiBjb25jZW50cmF0aW9uPC90aXRsZT48c2Vjb25kYXJ5LXRpdGxlPkJyIEogTnV0cjwv
c2Vjb25kYXJ5LXRpdGxlPjwvdGl0bGVzPjxwZXJpb2RpY2FsPjxmdWxsLXRpdGxlPkJyIEogTnV0
cjwvZnVsbC10aXRsZT48L3BlcmlvZGljYWw+PHBhZ2VzPjMyLTg8L3BhZ2VzPjx2b2x1bWU+MTE1
PC92b2x1bWU+PG51bWJlcj4xPC9udW1iZXI+PGVkaXRpb24+MjAxNS8xMC8yMTwvZWRpdGlvbj48
a2V5d29yZHM+PGtleXdvcmQ+QWRpcG9uZWN0aW4vKmJsb29kPC9rZXl3b3JkPjxrZXl3b3JkPkFk
dWx0PC9rZXl3b3JkPjxrZXl3b3JkPkJpb21hcmtlcnMvYmxvb2Q8L2tleXdvcmQ+PGtleXdvcmQ+
Q3Jvc3MtU2VjdGlvbmFsIFN0dWRpZXM8L2tleXdvcmQ+PGtleXdvcmQ+RGlhYmV0ZXMsIEdlc3Rh
dGlvbmFsL2Jsb29kPC9rZXl3b3JkPjxrZXl3b3JkPipEaWV0YXJ5IFN1cHBsZW1lbnRzPC9rZXl3
b3JkPjxrZXl3b3JkPkZlbWFsZTwva2V5d29yZD48a2V5d29yZD5IdW1hbnM8L2tleXdvcmQ+PGtl
eXdvcmQ+Kkluc3VsaW4gUmVzaXN0YW5jZTwva2V5d29yZD48a2V5d29yZD5QcmVnbmFuY3kvKmJs
b29kPC9rZXl3b3JkPjxrZXl3b3JkPlNlbGVuaXVtL2FkdmVyc2UgZWZmZWN0cy9ibG9vZC8qcGhh
cm1hY29sb2d5PC9rZXl3b3JkPjxrZXl3b3JkPlRyYWNlIEVsZW1lbnRzL2FkdmVyc2UgZWZmZWN0
cy8qcGhhcm1hY29sb2d5PC9rZXl3b3JkPjxrZXl3b3JkPkFkaXBvbmVjdGluPC9rZXl3b3JkPjxr
ZXl3b3JkPkRpYWJldGVzPC9rZXl3b3JkPjxrZXl3b3JkPkdETSBnZXN0YXRpb25hbCBkaWFiZXRl
czwva2V5d29yZD48a2V5d29yZD5HUHgzIGdsdXRhdGhpb25lIHBlcm94aWRpc2UgMzwva2V5d29y
ZD48a2V5d29yZD5JbnN1bGluIHJlc2lzdGFuY2U8L2tleXdvcmQ+PGtleXdvcmQ+UHJlZ25hbmN5
PC9rZXl3b3JkPjxrZXl3b3JkPlJDVCByYW5kb21pc2VkLWNvbnRyb2xsZWQgdHJpYWw8L2tleXdv
cmQ+PGtleXdvcmQ+U0VQUDEgc2VsZW5vcHJvdGVpbiBQMTwva2V5d29yZD48a2V5d29yZD5TZWxl
bml1bTwva2V5d29yZD48a2V5d29yZD5UMkQgdHlwZSAyIGRpYWJldGVzPC9rZXl3b3JkPjwva2V5
d29yZHM+PGRhdGVzPjx5ZWFyPjIwMTY8L3llYXI+PHB1Yi1kYXRlcz48ZGF0ZT5KYW4gMTQ8L2Rh
dGU+PC9wdWItZGF0ZXM+PC9kYXRlcz48aXNibj4xNDc1LTI2NjIgKEVsZWN0cm9uaWMpJiN4RDsw
MDA3LTExNDUgKExpbmtpbmcpPC9pc2JuPjxhY2Nlc3Npb24tbnVtPjI2NDgxODExPC9hY2Nlc3Np
b24tbnVtPjx1cmxzPjxyZWxhdGVkLXVybHM+PHVybD5odHRwczovL3d3dy5uY2JpLm5sbS5uaWgu
Z292L3B1Ym1lZC8yNjQ4MTgxMTwvdXJsPjwvcmVsYXRlZC11cmxzPjwvdXJscz48ZWxlY3Ryb25p
Yy1yZXNvdXJjZS1udW0+MTAuMTAxNy9TMDAwNzExNDUxNTAwNDA2NzwvZWxlY3Ryb25pYy1yZXNv
dXJjZS1udW0+PC9yZWNvcmQ+PC9DaXRlPjxDaXRlPjxBdXRob3I+TWFvPC9BdXRob3I+PFllYXI+
MjAxNjwvWWVhcj48UmVjTnVtPjEyMDU8L1JlY051bT48cmVjb3JkPjxyZWMtbnVtYmVyPjEyMDU8
L3JlYy1udW1iZXI+PGZvcmVpZ24ta2V5cz48a2V5IGFwcD0iRU4iIGRiLWlkPSJleHZhc3JmeDJk
dHJhb2VzYXN4cDJzenN4YTJkZjUwMjU5MngiIHRpbWVzdGFtcD0iMTU1OTg2NzM3MyI+MTIwNTwv
a2V5PjxrZXkgYXBwPSJFTldlYiIgZGItaWQ9IiI+MDwva2V5PjwvZm9yZWlnbi1rZXlzPjxyZWYt
dHlwZSBuYW1lPSJKb3VybmFsIEFydGljbGUiPjE3PC9yZWYtdHlwZT48Y29udHJpYnV0b3JzPjxh
dXRob3JzPjxhdXRob3I+TWFvLCBKLjwvYXV0aG9yPjxhdXRob3I+UG9wLCBWLiBKLjwvYXV0aG9y
PjxhdXRob3I+QmF0aCwgUy4gQy48L2F1dGhvcj48YXV0aG9yPlZhZGVyLCBILiBMLjwvYXV0aG9y
PjxhdXRob3I+UmVkbWFuLCBDLiBXLjwvYXV0aG9yPjxhdXRob3I+UmF5bWFuLCBNLiBQLjwvYXV0
aG9yPjwvYXV0aG9ycz48L2NvbnRyaWJ1dG9ycz48YXV0aC1hZGRyZXNzPkRlcGFydG1lbnQgb2Yg
TnV0cml0aW9uYWwgU2NpZW5jZXMsIEZhY3VsdHkgb2YgSGVhbHRoIGFuZCBNZWRpY2FsIFNjaWVu
Y2VzLCBVbml2ZXJzaXR5IG9mIFN1cnJleSwgR3VpbGRmb3JkLCBHVTIgN1hILCBVSy4mI3hEO0Rl
cGFydG1lbnQgb2YgRW5kb2NyaW5vbG9neSBhbmQgTWV0YWJvbGlzbSwgVGhlIEZpcnN0IEhvc3Bp
dGFsIG9mIENoaW5hIE1lZGljYWwgVW5pdmVyc2l0eSwgU2hlbnlhbmcsIENoaW5hLiYjeEQ7RGVw
YXJ0bWVudCBvZiBDbGluaWNhbCBIZWFsdGggUHN5Y2hvbG9neSwgVGlsYnVyZyBVbml2ZXJzaXR5
LCBUaWxidXJnLCBUaGUgTmV0aGVybGFuZHMuJiN4RDtDbGluaWNhbCBMYWJvcmF0b3JpZXMsIE1h
eGltYSBNZWRpY2FsIENlbnRlciBFaW5kaG92ZW4sIFZlbGRob3ZlbiwgVGhlIE5ldGhlcmxhbmRz
LiYjeEQ7TnVmZmllbGQgRGVwYXJ0bWVudCBvZiBPYnN0ZXRyaWNzIGFuZCBHeW5hZWNvbG9neSwg
Sm9obiBSYWRjbGlmZmUgSG9zcGl0YWwsIFVuaXZlcnNpdHkgb2YgT3hmb3JkLCBPeGZvcmQsIFVL
LiYjeEQ7RGVwYXJ0bWVudCBvZiBOdXRyaXRpb25hbCBTY2llbmNlcywgRmFjdWx0eSBvZiBIZWFs
dGggYW5kIE1lZGljYWwgU2NpZW5jZXMsIFVuaXZlcnNpdHkgb2YgU3VycmV5LCBHdWlsZGZvcmQs
IEdVMiA3WEgsIFVLLiBtLnJheW1hbkBzdXJyZXkuYWMudWsuPC9hdXRoLWFkZHJlc3M+PHRpdGxl
cz48dGl0bGU+RWZmZWN0IG9mIGxvdy1kb3NlIHNlbGVuaXVtIG9uIHRoeXJvaWQgYXV0b2ltbXVu
aXR5IGFuZCB0aHlyb2lkIGZ1bmN0aW9uIGluIFVLIHByZWduYW50IHdvbWVuIHdpdGggbWlsZC10
by1tb2RlcmF0ZSBpb2RpbmUgZGVmaWNpZW5jeTwvdGl0bGU+PHNlY29uZGFyeS10aXRsZT5FdXIg
SiBOdXRyPC9zZWNvbmRhcnktdGl0bGU+PC90aXRsZXM+PHBlcmlvZGljYWw+PGZ1bGwtdGl0bGU+
RXVyIEogTnV0cjwvZnVsbC10aXRsZT48L3BlcmlvZGljYWw+PHBhZ2VzPjU1LTYxPC9wYWdlcz48
dm9sdW1lPjU1PC92b2x1bWU+PG51bWJlcj4xPC9udW1iZXI+PGVkaXRpb24+MjAxNC8xMi8yMDwv
ZWRpdGlvbj48a2V5d29yZHM+PGtleXdvcmQ+QXV0b2FudGlib2RpZXMvYmxvb2Q8L2tleXdvcmQ+
PGtleXdvcmQ+Qm9keSBNYXNzIEluZGV4PC9rZXl3b3JkPjxrZXl3b3JkPkRpZXRhcnkgU3VwcGxl
bWVudHM8L2tleXdvcmQ+PGtleXdvcmQ+RG9zZS1SZXNwb25zZSBSZWxhdGlvbnNoaXAsIERydWc8
L2tleXdvcmQ+PGtleXdvcmQ+RG91YmxlLUJsaW5kIE1ldGhvZDwva2V5d29yZD48a2V5d29yZD5G
ZW1hbGU8L2tleXdvcmQ+PGtleXdvcmQ+SHVtYW5zPC9rZXl3b3JkPjxrZXl3b3JkPklvZGluZS8q
Ymxvb2QvZGVmaWNpZW5jeTwva2V5d29yZD48a2V5d29yZD5QcmVnbmFuY3k8L2tleXdvcmQ+PGtl
eXdvcmQ+U2VsZW5pdW0vKmFkbWluaXN0cmF0aW9uICZhbXA7IGRvc2FnZS9ibG9vZDwva2V5d29y
ZD48a2V5d29yZD5UaHlyb2lkIEdsYW5kLypkcnVnIGVmZmVjdHMvKmltbXVub2xvZ3k8L2tleXdv
cmQ+PGtleXdvcmQ+VGh5cm90cm9waW4vYmxvb2Q8L2tleXdvcmQ+PGtleXdvcmQ+VGh5cm94aW5l
L2Jsb29kPC9rZXl3b3JkPjxrZXl3b3JkPlVuaXRlZCBLaW5nZG9tPC9rZXl3b3JkPjxrZXl3b3Jk
PklvZGluZTwva2V5d29yZD48a2V5d29yZD5TZWxlbml1bTwva2V5d29yZD48a2V5d29yZD5UaHly
b2lkIGF1dG9pbW11bml0eTwva2V5d29yZD48a2V5d29yZD5UaHlyb2lkIGZ1bmN0aW9uPC9rZXl3
b3JkPjxrZXl3b3JkPlRoeXJvaWQgcGVyb3hpZGFzZSBhbnRpYm9kaWVzPC9rZXl3b3JkPjwva2V5
d29yZHM+PGRhdGVzPjx5ZWFyPjIwMTY8L3llYXI+PHB1Yi1kYXRlcz48ZGF0ZT5GZWI8L2RhdGU+
PC9wdWItZGF0ZXM+PC9kYXRlcz48aXNibj4xNDM2LTYyMTUgKEVsZWN0cm9uaWMpJiN4RDsxNDM2
LTYyMDcgKExpbmtpbmcpPC9pc2JuPjxhY2Nlc3Npb24tbnVtPjI1NTI0MzI3PC9hY2Nlc3Npb24t
bnVtPjx1cmxzPjxyZWxhdGVkLXVybHM+PHVybD5odHRwczovL3d3dy5uY2JpLm5sbS5uaWguZ292
L3B1Ym1lZC8yNTUyNDMyNzwvdXJsPjwvcmVsYXRlZC11cmxzPjwvdXJscz48Y3VzdG9tMj5QTUM0
NzM3Nzg2PC9jdXN0b20yPjxlbGVjdHJvbmljLXJlc291cmNlLW51bT4xMC4xMDA3L3MwMDM5NC0w
MTQtMDgyMi05PC9lbGVjdHJvbmljLXJlc291cmNlLW51bT48L3JlY29yZD48L0NpdGU+PC9FbmRO
b3RlPn==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217-223</w:t>
      </w:r>
      <w:r w:rsidR="003523C5">
        <w:fldChar w:fldCharType="end"/>
      </w:r>
      <w:r>
        <w:t xml:space="preserve"> </w:t>
      </w:r>
      <w:r w:rsidR="009C7C61">
        <w:t>One RCT reported a reduced risk of premature rupture of the membranes (</w:t>
      </w:r>
      <w:r w:rsidR="009C7C61" w:rsidRPr="00792EF5">
        <w:rPr>
          <w:sz w:val="16"/>
          <w:szCs w:val="16"/>
        </w:rPr>
        <w:t>RR 0.38; 95%CI 0.01 0.18 to 0.79; n=125</w:t>
      </w:r>
      <w:r w:rsidR="009C7C61">
        <w:t>).</w:t>
      </w:r>
      <w:r w:rsidR="003523C5">
        <w:fldChar w:fldCharType="begin">
          <w:fldData xml:space="preserve">PEVuZE5vdGU+PENpdGU+PEF1dGhvcj5UYXJhPC9BdXRob3I+PFllYXI+MjAxMDwvWWVhcj48UmVj
TnVtPjEyMTM8L1JlY051bT48RGlzcGxheVRleHQ+PHN0eWxlIGZhY2U9InN1cGVyc2NyaXB0IiBm
b250PSJUcmVidWNoZXQgTVMiIHNpemU9IjkiPjIxODwvc3R5bGU+PC9EaXNwbGF5VGV4dD48cmVj
b3JkPjxyZWMtbnVtYmVyPjEyMTM8L3JlYy1udW1iZXI+PGZvcmVpZ24ta2V5cz48a2V5IGFwcD0i
RU4iIGRiLWlkPSJleHZhc3JmeDJkdHJhb2VzYXN4cDJzenN4YTJkZjUwMjU5MngiIHRpbWVzdGFt
cD0iMTU1OTg2NzM5NyI+MTIxMzwva2V5PjxrZXkgYXBwPSJFTldlYiIgZGItaWQ9IiI+MDwva2V5
PjwvZm9yZWlnbi1rZXlzPjxyZWYtdHlwZSBuYW1lPSJKb3VybmFsIEFydGljbGUiPjE3PC9yZWYt
dHlwZT48Y29udHJpYnV0b3JzPjxhdXRob3JzPjxhdXRob3I+VGFyYSwgRi48L2F1dGhvcj48YXV0
aG9yPlJheW1hbiwgTS4gUC48L2F1dGhvcj48YXV0aG9yPkJvc2thYmFkaSwgSC48L2F1dGhvcj48
YXV0aG9yPkdoYXlvdXItTW9iYXJoYW4sIE0uPC9hdXRob3I+PGF1dGhvcj5TYWhlYmthciwgQS48
L2F1dGhvcj48YXV0aG9yPllhemFybHUsIE8uPC9hdXRob3I+PGF1dGhvcj5PdWxhZGFuLCBTLjwv
YXV0aG9yPjxhdXRob3I+VGF2YWxsYWllLCBTLjwvYXV0aG9yPjxhdXRob3I+QXppbWktTmV6aGFk
LCBNLjwvYXV0aG9yPjxhdXRob3I+U2hha2VyaSwgTS4gVC48L2F1dGhvcj48YXV0aG9yPlRleW1v
b3JpLCBNLiBTLjwvYXV0aG9yPjxhdXRob3I+UmF6YXZpLCBCLiBTLjwvYXV0aG9yPjxhdXRob3I+
T2xhZGksIE0uPC9hdXRob3I+PGF1dGhvcj5GZXJucywgRy48L2F1dGhvcj48L2F1dGhvcnM+PC9j
b250cmlidXRvcnM+PGF1dGgtYWRkcmVzcz5EZXBhcnRtZW50IG9mIE9ic3RldHJpY3MgYW5kIEd5
bmFlY29sb2d5LCBPTS1BbGJhbmluIEhvc3BpdGFsLCBNYXNoaGFkIFVuaXZlcnNpdHkgb2YgTWVk
aWNhbCBTY2llbmNlcywgTWFzaGhhZCwgSXJhbjwvYXV0aC1hZGRyZXNzPjx0aXRsZXM+PHRpdGxl
PlNlbGVuaXVtIHN1cHBsZW1lbnRhdGlvbiBhbmQgcHJlbWF0dXJlIChwcmUtbGFib3VyKSBydXB0
dXJlIG9mIG1lbWJyYW5lczogYSByYW5kb21pc2VkIGRvdWJsZS1ibGluZCBwbGFjZWJvLWNvbnRy
b2xsZWQgdHJpYWw8L3RpdGxlPjxzZWNvbmRhcnktdGl0bGU+SiBPYnN0ZXQgR3luYWVjb2w8L3Nl
Y29uZGFyeS10aXRsZT48L3RpdGxlcz48cGVyaW9kaWNhbD48ZnVsbC10aXRsZT5KIE9ic3RldCBH
eW5hZWNvbDwvZnVsbC10aXRsZT48L3BlcmlvZGljYWw+PHBhZ2VzPjMwLTQ8L3BhZ2VzPjx2b2x1
bWU+MzA8L3ZvbHVtZT48bnVtYmVyPjE8L251bWJlcj48ZWRpdGlvbj4yMDEwLzAyLzA0PC9lZGl0
aW9uPjxrZXl3b3Jkcz48a2V5d29yZD5BZHVsdDwva2V5d29yZD48a2V5d29yZD5BbnRpb3hpZGFu
dHMvKnRoZXJhcGV1dGljIHVzZTwva2V5d29yZD48a2V5d29yZD5EaWV0YXJ5IFN1cHBsZW1lbnRz
PC9rZXl3b3JkPjxrZXl3b3JkPkRvdWJsZS1CbGluZCBNZXRob2Q8L2tleXdvcmQ+PGtleXdvcmQ+
RmVtYWxlPC9rZXl3b3JkPjxrZXl3b3JkPkZldGFsIE1lbWJyYW5lcywgUHJlbWF0dXJlIFJ1cHR1
cmUvKnByZXZlbnRpb24gJmFtcDsgY29udHJvbDwva2V5d29yZD48a2V5d29yZD5IdW1hbnM8L2tl
eXdvcmQ+PGtleXdvcmQ+UHJlZ25hbmN5PC9rZXl3b3JkPjxrZXl3b3JkPlNlbGVuaXVtL2Jsb29k
Lyp0aGVyYXBldXRpYyB1c2U8L2tleXdvcmQ+PGtleXdvcmQ+WW91bmcgQWR1bHQ8L2tleXdvcmQ+
PC9rZXl3b3Jkcz48ZGF0ZXM+PHllYXI+MjAxMDwveWVhcj48cHViLWRhdGVzPjxkYXRlPkphbjwv
ZGF0ZT48L3B1Yi1kYXRlcz48L2RhdGVzPjxpc2JuPjEzNjQtNjg5MyAoRWxlY3Ryb25pYykmI3hE
OzAxNDQtMzYxNSAoTGlua2luZyk8L2lzYm4+PGFjY2Vzc2lvbi1udW0+MjAxMjE1MDA8L2FjY2Vz
c2lvbi1udW0+PHVybHM+PHJlbGF0ZWQtdXJscz48dXJsPmh0dHBzOi8vd3d3Lm5jYmkubmxtLm5p
aC5nb3YvcHVibWVkLzIwMTIxNTAwPC91cmw+PC9yZWxhdGVkLXVybHM+PC91cmxzPjxlbGVjdHJv
bmljLXJlc291cmNlLW51bT4xMC4zMTA5LzAxNDQzNjEwOTAzMjY3NTA3PC9lbGVjdHJvbmljLXJl
c291cmNlLW51bT48L3JlY29yZD48L0NpdGU+PC9FbmROb3RlPn==
</w:fldData>
        </w:fldChar>
      </w:r>
      <w:r w:rsidR="002747EA">
        <w:instrText xml:space="preserve"> ADDIN EN.CITE </w:instrText>
      </w:r>
      <w:r w:rsidR="002747EA">
        <w:fldChar w:fldCharType="begin">
          <w:fldData xml:space="preserve">PEVuZE5vdGU+PENpdGU+PEF1dGhvcj5UYXJhPC9BdXRob3I+PFllYXI+MjAxMDwvWWVhcj48UmVj
TnVtPjEyMTM8L1JlY051bT48RGlzcGxheVRleHQ+PHN0eWxlIGZhY2U9InN1cGVyc2NyaXB0IiBm
b250PSJUcmVidWNoZXQgTVMiIHNpemU9IjkiPjIxODwvc3R5bGU+PC9EaXNwbGF5VGV4dD48cmVj
b3JkPjxyZWMtbnVtYmVyPjEyMTM8L3JlYy1udW1iZXI+PGZvcmVpZ24ta2V5cz48a2V5IGFwcD0i
RU4iIGRiLWlkPSJleHZhc3JmeDJkdHJhb2VzYXN4cDJzenN4YTJkZjUwMjU5MngiIHRpbWVzdGFt
cD0iMTU1OTg2NzM5NyI+MTIxMzwva2V5PjxrZXkgYXBwPSJFTldlYiIgZGItaWQ9IiI+MDwva2V5
PjwvZm9yZWlnbi1rZXlzPjxyZWYtdHlwZSBuYW1lPSJKb3VybmFsIEFydGljbGUiPjE3PC9yZWYt
dHlwZT48Y29udHJpYnV0b3JzPjxhdXRob3JzPjxhdXRob3I+VGFyYSwgRi48L2F1dGhvcj48YXV0
aG9yPlJheW1hbiwgTS4gUC48L2F1dGhvcj48YXV0aG9yPkJvc2thYmFkaSwgSC48L2F1dGhvcj48
YXV0aG9yPkdoYXlvdXItTW9iYXJoYW4sIE0uPC9hdXRob3I+PGF1dGhvcj5TYWhlYmthciwgQS48
L2F1dGhvcj48YXV0aG9yPllhemFybHUsIE8uPC9hdXRob3I+PGF1dGhvcj5PdWxhZGFuLCBTLjwv
YXV0aG9yPjxhdXRob3I+VGF2YWxsYWllLCBTLjwvYXV0aG9yPjxhdXRob3I+QXppbWktTmV6aGFk
LCBNLjwvYXV0aG9yPjxhdXRob3I+U2hha2VyaSwgTS4gVC48L2F1dGhvcj48YXV0aG9yPlRleW1v
b3JpLCBNLiBTLjwvYXV0aG9yPjxhdXRob3I+UmF6YXZpLCBCLiBTLjwvYXV0aG9yPjxhdXRob3I+
T2xhZGksIE0uPC9hdXRob3I+PGF1dGhvcj5GZXJucywgRy48L2F1dGhvcj48L2F1dGhvcnM+PC9j
b250cmlidXRvcnM+PGF1dGgtYWRkcmVzcz5EZXBhcnRtZW50IG9mIE9ic3RldHJpY3MgYW5kIEd5
bmFlY29sb2d5LCBPTS1BbGJhbmluIEhvc3BpdGFsLCBNYXNoaGFkIFVuaXZlcnNpdHkgb2YgTWVk
aWNhbCBTY2llbmNlcywgTWFzaGhhZCwgSXJhbjwvYXV0aC1hZGRyZXNzPjx0aXRsZXM+PHRpdGxl
PlNlbGVuaXVtIHN1cHBsZW1lbnRhdGlvbiBhbmQgcHJlbWF0dXJlIChwcmUtbGFib3VyKSBydXB0
dXJlIG9mIG1lbWJyYW5lczogYSByYW5kb21pc2VkIGRvdWJsZS1ibGluZCBwbGFjZWJvLWNvbnRy
b2xsZWQgdHJpYWw8L3RpdGxlPjxzZWNvbmRhcnktdGl0bGU+SiBPYnN0ZXQgR3luYWVjb2w8L3Nl
Y29uZGFyeS10aXRsZT48L3RpdGxlcz48cGVyaW9kaWNhbD48ZnVsbC10aXRsZT5KIE9ic3RldCBH
eW5hZWNvbDwvZnVsbC10aXRsZT48L3BlcmlvZGljYWw+PHBhZ2VzPjMwLTQ8L3BhZ2VzPjx2b2x1
bWU+MzA8L3ZvbHVtZT48bnVtYmVyPjE8L251bWJlcj48ZWRpdGlvbj4yMDEwLzAyLzA0PC9lZGl0
aW9uPjxrZXl3b3Jkcz48a2V5d29yZD5BZHVsdDwva2V5d29yZD48a2V5d29yZD5BbnRpb3hpZGFu
dHMvKnRoZXJhcGV1dGljIHVzZTwva2V5d29yZD48a2V5d29yZD5EaWV0YXJ5IFN1cHBsZW1lbnRz
PC9rZXl3b3JkPjxrZXl3b3JkPkRvdWJsZS1CbGluZCBNZXRob2Q8L2tleXdvcmQ+PGtleXdvcmQ+
RmVtYWxlPC9rZXl3b3JkPjxrZXl3b3JkPkZldGFsIE1lbWJyYW5lcywgUHJlbWF0dXJlIFJ1cHR1
cmUvKnByZXZlbnRpb24gJmFtcDsgY29udHJvbDwva2V5d29yZD48a2V5d29yZD5IdW1hbnM8L2tl
eXdvcmQ+PGtleXdvcmQ+UHJlZ25hbmN5PC9rZXl3b3JkPjxrZXl3b3JkPlNlbGVuaXVtL2Jsb29k
Lyp0aGVyYXBldXRpYyB1c2U8L2tleXdvcmQ+PGtleXdvcmQ+WW91bmcgQWR1bHQ8L2tleXdvcmQ+
PC9rZXl3b3Jkcz48ZGF0ZXM+PHllYXI+MjAxMDwveWVhcj48cHViLWRhdGVzPjxkYXRlPkphbjwv
ZGF0ZT48L3B1Yi1kYXRlcz48L2RhdGVzPjxpc2JuPjEzNjQtNjg5MyAoRWxlY3Ryb25pYykmI3hE
OzAxNDQtMzYxNSAoTGlua2luZyk8L2lzYm4+PGFjY2Vzc2lvbi1udW0+MjAxMjE1MDA8L2FjY2Vz
c2lvbi1udW0+PHVybHM+PHJlbGF0ZWQtdXJscz48dXJsPmh0dHBzOi8vd3d3Lm5jYmkubmxtLm5p
aC5nb3YvcHVibWVkLzIwMTIxNTAwPC91cmw+PC9yZWxhdGVkLXVybHM+PC91cmxzPjxlbGVjdHJv
bmljLXJlc291cmNlLW51bT4xMC4zMTA5LzAxNDQzNjEwOTAzMjY3NTA3PC9lbGVjdHJvbmljLXJl
c291cmNlLW51bT48L3JlY29yZD48L0NpdGU+PC9FbmROb3RlPn==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218</w:t>
      </w:r>
      <w:r w:rsidR="003523C5">
        <w:fldChar w:fldCharType="end"/>
      </w:r>
      <w:r w:rsidR="009C7C61">
        <w:t xml:space="preserve"> </w:t>
      </w:r>
      <w:r w:rsidR="00B85259">
        <w:t>The incidence of pre-eclampsia</w:t>
      </w:r>
      <w:r w:rsidR="003523C5">
        <w:fldChar w:fldCharType="begin">
          <w:fldData xml:space="preserve">PEVuZE5vdGU+PENpdGU+PEF1dGhvcj5UYXJhPC9BdXRob3I+PFllYXI+MjAxMDwvWWVhcj48UmVj
TnVtPjEyMTQ8L1JlY051bT48RGlzcGxheVRleHQ+PHN0eWxlIGZhY2U9InN1cGVyc2NyaXB0IiBm
b250PSJUcmVidWNoZXQgTVMiIHNpemU9IjkiPjIxNzwvc3R5bGU+PC9EaXNwbGF5VGV4dD48cmVj
b3JkPjxyZWMtbnVtYmVyPjEyMTQ8L3JlYy1udW1iZXI+PGZvcmVpZ24ta2V5cz48a2V5IGFwcD0i
RU4iIGRiLWlkPSJleHZhc3JmeDJkdHJhb2VzYXN4cDJzenN4YTJkZjUwMjU5MngiIHRpbWVzdGFt
cD0iMTU1OTg2NzQ2MCI+MTIxNDwva2V5PjwvZm9yZWlnbi1rZXlzPjxyZWYtdHlwZSBuYW1lPSJK
b3VybmFsIEFydGljbGUiPjE3PC9yZWYtdHlwZT48Y29udHJpYnV0b3JzPjxhdXRob3JzPjxhdXRo
b3I+VGFyYSwgRi48L2F1dGhvcj48YXV0aG9yPk1hYW1vdXJpLCBHLjwvYXV0aG9yPjxhdXRob3I+
UmF5bWFuLCBNLiBQLjwvYXV0aG9yPjxhdXRob3I+R2hheW91ci1Nb2JhcmhhbiwgTS48L2F1dGhv
cj48YXV0aG9yPlNhaGVia2FyLCBBLjwvYXV0aG9yPjxhdXRob3I+WWF6YXJsdSwgTy48L2F1dGhv
cj48YXV0aG9yPk91bGFkYW4sIFMuPC9hdXRob3I+PGF1dGhvcj5UYXZhbGxhaWUsIFMuPC9hdXRo
b3I+PGF1dGhvcj5BemltaS1OZXpoYWQsIE0uPC9hdXRob3I+PGF1dGhvcj5TaGFrZXJpLCBNLiBU
LjwvYXV0aG9yPjxhdXRob3I+Qm9za2FiYWRpLCBILjwvYXV0aG9yPjxhdXRob3I+T2xhZGksIE0u
PC9hdXRob3I+PGF1dGhvcj5TYW5nYW5pLCBNLiBULjwvYXV0aG9yPjxhdXRob3I+UmF6YXZpLCBC
LiBTLjwvYXV0aG9yPjxhdXRob3I+RmVybnMsIEcuPC9hdXRob3I+PC9hdXRob3JzPjwvY29udHJp
YnV0b3JzPjxhdXRoLWFkZHJlc3M+RGVwYXJ0bWVudCBvZiBPYnN0ZXRyaWNzIGFuZCBHeW5lY29s
b2d5LCBPbW1vbGJhbmluIEhvc3BpdGFsLCBNYXNoaGFkIFVuaXZlcnNpdHkgb2YgTWVkaWNhbCBT
Y2llbmNlcywgTWFzaGhhZCwgSXJhbi48L2F1dGgtYWRkcmVzcz48dGl0bGVzPjx0aXRsZT5TZWxl
bml1bSBzdXBwbGVtZW50YXRpb24gYW5kIHRoZSBpbmNpZGVuY2Ugb2YgcHJlZWNsYW1wc2lhIGlu
IHByZWduYW50IElyYW5pYW4gd29tZW46IGEgcmFuZG9taXplZCwgZG91YmxlLWJsaW5kLCBwbGFj
ZWJvLWNvbnRyb2xsZWQgcGlsb3QgdHJpYWw8L3RpdGxlPjxzZWNvbmRhcnktdGl0bGU+VGFpd2Fu
IEogT2JzdGV0IEd5bmVjb2w8L3NlY29uZGFyeS10aXRsZT48L3RpdGxlcz48cGVyaW9kaWNhbD48
ZnVsbC10aXRsZT5UYWl3YW4gSiBPYnN0ZXQgR3luZWNvbDwvZnVsbC10aXRsZT48L3BlcmlvZGlj
YWw+PHBhZ2VzPjE4MS03PC9wYWdlcz48dm9sdW1lPjQ5PC92b2x1bWU+PG51bWJlcj4yPC9udW1i
ZXI+PGVkaXRpb24+MjAxMC8wOC8xNzwvZWRpdGlvbj48a2V5d29yZHM+PGtleXdvcmQ+QWRvbGVz
Y2VudDwva2V5d29yZD48a2V5d29yZD5BZHVsdDwva2V5d29yZD48a2V5d29yZD5BbnRpb3hpZGFu
dHMvYW5hbHlzaXMvKnRoZXJhcGV1dGljIHVzZTwva2V5d29yZD48a2V5d29yZD5CbG9vZCBQcmVz
c3VyZTwva2V5d29yZD48a2V5d29yZD5DLVJlYWN0aXZlIFByb3RlaW4vYW5hbHlzaXM8L2tleXdv
cmQ+PGtleXdvcmQ+Q2hvbGVzdGVyb2wvYmxvb2Q8L2tleXdvcmQ+PGtleXdvcmQ+RG91YmxlLUJs
aW5kIE1ldGhvZDwva2V5d29yZD48a2V5d29yZD5GZW1hbGU8L2tleXdvcmQ+PGtleXdvcmQ+SHVt
YW5zPC9rZXl3b3JkPjxrZXl3b3JkPkluY2lkZW5jZTwva2V5d29yZD48a2V5d29yZD5JcmFuL2Vw
aWRlbWlvbG9neTwva2V5d29yZD48a2V5d29yZD5MaXBvcHJvdGVpbnMsIEhETC9ibG9vZDwva2V5
d29yZD48a2V5d29yZD5MaXBvcHJvdGVpbnMsIExETC9ibG9vZDwva2V5d29yZD48a2V5d29yZD5Q
aWxvdCBQcm9qZWN0czwva2V5d29yZD48a2V5d29yZD5QcmUtRWNsYW1wc2lhL2VwaWRlbWlvbG9n
eS8qcHJldmVudGlvbiAmYW1wOyBjb250cm9sPC9rZXl3b3JkPjxrZXl3b3JkPlByZWduYW5jeTwv
a2V5d29yZD48a2V5d29yZD5QcmVnbmFuY3kgVHJpbWVzdGVyLCBGaXJzdDwva2V5d29yZD48a2V5
d29yZD5TZWxlbml1bS9ibG9vZC8qdGhlcmFwZXV0aWMgdXNlPC9rZXl3b3JkPjxrZXl3b3JkPlRy
aWdseWNlcmlkZXMvYmxvb2Q8L2tleXdvcmQ+PC9rZXl3b3Jkcz48ZGF0ZXM+PHllYXI+MjAxMDwv
eWVhcj48cHViLWRhdGVzPjxkYXRlPkp1bjwvZGF0ZT48L3B1Yi1kYXRlcz48L2RhdGVzPjxpc2Ju
PjE4NzUtNjI2MyAoRWxlY3Ryb25pYykmI3hEOzEwMjgtNDU1OSAoTGlua2luZyk8L2lzYm4+PGFj
Y2Vzc2lvbi1udW0+MjA3MDg1MjU8L2FjY2Vzc2lvbi1udW0+PHVybHM+PHJlbGF0ZWQtdXJscz48
dXJsPmh0dHBzOi8vd3d3Lm5jYmkubmxtLm5paC5nb3YvcHVibWVkLzIwNzA4NTI1PC91cmw+PC9y
ZWxhdGVkLXVybHM+PC91cmxzPjxlbGVjdHJvbmljLXJlc291cmNlLW51bT4xMC4xMDE2L1MxMDI4
LTQ1NTkoMTApNjAwMzgtMTwvZWxlY3Ryb25pYy1yZXNvdXJjZS1udW0+PC9yZWNvcmQ+PC9DaXRl
PjwvRW5kTm90ZT4A
</w:fldData>
        </w:fldChar>
      </w:r>
      <w:r w:rsidR="002747EA">
        <w:instrText xml:space="preserve"> ADDIN EN.CITE </w:instrText>
      </w:r>
      <w:r w:rsidR="002747EA">
        <w:fldChar w:fldCharType="begin">
          <w:fldData xml:space="preserve">PEVuZE5vdGU+PENpdGU+PEF1dGhvcj5UYXJhPC9BdXRob3I+PFllYXI+MjAxMDwvWWVhcj48UmVj
TnVtPjEyMTQ8L1JlY051bT48RGlzcGxheVRleHQ+PHN0eWxlIGZhY2U9InN1cGVyc2NyaXB0IiBm
b250PSJUcmVidWNoZXQgTVMiIHNpemU9IjkiPjIxNzwvc3R5bGU+PC9EaXNwbGF5VGV4dD48cmVj
b3JkPjxyZWMtbnVtYmVyPjEyMTQ8L3JlYy1udW1iZXI+PGZvcmVpZ24ta2V5cz48a2V5IGFwcD0i
RU4iIGRiLWlkPSJleHZhc3JmeDJkdHJhb2VzYXN4cDJzenN4YTJkZjUwMjU5MngiIHRpbWVzdGFt
cD0iMTU1OTg2NzQ2MCI+MTIxNDwva2V5PjwvZm9yZWlnbi1rZXlzPjxyZWYtdHlwZSBuYW1lPSJK
b3VybmFsIEFydGljbGUiPjE3PC9yZWYtdHlwZT48Y29udHJpYnV0b3JzPjxhdXRob3JzPjxhdXRo
b3I+VGFyYSwgRi48L2F1dGhvcj48YXV0aG9yPk1hYW1vdXJpLCBHLjwvYXV0aG9yPjxhdXRob3I+
UmF5bWFuLCBNLiBQLjwvYXV0aG9yPjxhdXRob3I+R2hheW91ci1Nb2JhcmhhbiwgTS48L2F1dGhv
cj48YXV0aG9yPlNhaGVia2FyLCBBLjwvYXV0aG9yPjxhdXRob3I+WWF6YXJsdSwgTy48L2F1dGhv
cj48YXV0aG9yPk91bGFkYW4sIFMuPC9hdXRob3I+PGF1dGhvcj5UYXZhbGxhaWUsIFMuPC9hdXRo
b3I+PGF1dGhvcj5BemltaS1OZXpoYWQsIE0uPC9hdXRob3I+PGF1dGhvcj5TaGFrZXJpLCBNLiBU
LjwvYXV0aG9yPjxhdXRob3I+Qm9za2FiYWRpLCBILjwvYXV0aG9yPjxhdXRob3I+T2xhZGksIE0u
PC9hdXRob3I+PGF1dGhvcj5TYW5nYW5pLCBNLiBULjwvYXV0aG9yPjxhdXRob3I+UmF6YXZpLCBC
LiBTLjwvYXV0aG9yPjxhdXRob3I+RmVybnMsIEcuPC9hdXRob3I+PC9hdXRob3JzPjwvY29udHJp
YnV0b3JzPjxhdXRoLWFkZHJlc3M+RGVwYXJ0bWVudCBvZiBPYnN0ZXRyaWNzIGFuZCBHeW5lY29s
b2d5LCBPbW1vbGJhbmluIEhvc3BpdGFsLCBNYXNoaGFkIFVuaXZlcnNpdHkgb2YgTWVkaWNhbCBT
Y2llbmNlcywgTWFzaGhhZCwgSXJhbi48L2F1dGgtYWRkcmVzcz48dGl0bGVzPjx0aXRsZT5TZWxl
bml1bSBzdXBwbGVtZW50YXRpb24gYW5kIHRoZSBpbmNpZGVuY2Ugb2YgcHJlZWNsYW1wc2lhIGlu
IHByZWduYW50IElyYW5pYW4gd29tZW46IGEgcmFuZG9taXplZCwgZG91YmxlLWJsaW5kLCBwbGFj
ZWJvLWNvbnRyb2xsZWQgcGlsb3QgdHJpYWw8L3RpdGxlPjxzZWNvbmRhcnktdGl0bGU+VGFpd2Fu
IEogT2JzdGV0IEd5bmVjb2w8L3NlY29uZGFyeS10aXRsZT48L3RpdGxlcz48cGVyaW9kaWNhbD48
ZnVsbC10aXRsZT5UYWl3YW4gSiBPYnN0ZXQgR3luZWNvbDwvZnVsbC10aXRsZT48L3BlcmlvZGlj
YWw+PHBhZ2VzPjE4MS03PC9wYWdlcz48dm9sdW1lPjQ5PC92b2x1bWU+PG51bWJlcj4yPC9udW1i
ZXI+PGVkaXRpb24+MjAxMC8wOC8xNzwvZWRpdGlvbj48a2V5d29yZHM+PGtleXdvcmQ+QWRvbGVz
Y2VudDwva2V5d29yZD48a2V5d29yZD5BZHVsdDwva2V5d29yZD48a2V5d29yZD5BbnRpb3hpZGFu
dHMvYW5hbHlzaXMvKnRoZXJhcGV1dGljIHVzZTwva2V5d29yZD48a2V5d29yZD5CbG9vZCBQcmVz
c3VyZTwva2V5d29yZD48a2V5d29yZD5DLVJlYWN0aXZlIFByb3RlaW4vYW5hbHlzaXM8L2tleXdv
cmQ+PGtleXdvcmQ+Q2hvbGVzdGVyb2wvYmxvb2Q8L2tleXdvcmQ+PGtleXdvcmQ+RG91YmxlLUJs
aW5kIE1ldGhvZDwva2V5d29yZD48a2V5d29yZD5GZW1hbGU8L2tleXdvcmQ+PGtleXdvcmQ+SHVt
YW5zPC9rZXl3b3JkPjxrZXl3b3JkPkluY2lkZW5jZTwva2V5d29yZD48a2V5d29yZD5JcmFuL2Vw
aWRlbWlvbG9neTwva2V5d29yZD48a2V5d29yZD5MaXBvcHJvdGVpbnMsIEhETC9ibG9vZDwva2V5
d29yZD48a2V5d29yZD5MaXBvcHJvdGVpbnMsIExETC9ibG9vZDwva2V5d29yZD48a2V5d29yZD5Q
aWxvdCBQcm9qZWN0czwva2V5d29yZD48a2V5d29yZD5QcmUtRWNsYW1wc2lhL2VwaWRlbWlvbG9n
eS8qcHJldmVudGlvbiAmYW1wOyBjb250cm9sPC9rZXl3b3JkPjxrZXl3b3JkPlByZWduYW5jeTwv
a2V5d29yZD48a2V5d29yZD5QcmVnbmFuY3kgVHJpbWVzdGVyLCBGaXJzdDwva2V5d29yZD48a2V5
d29yZD5TZWxlbml1bS9ibG9vZC8qdGhlcmFwZXV0aWMgdXNlPC9rZXl3b3JkPjxrZXl3b3JkPlRy
aWdseWNlcmlkZXMvYmxvb2Q8L2tleXdvcmQ+PC9rZXl3b3Jkcz48ZGF0ZXM+PHllYXI+MjAxMDwv
eWVhcj48cHViLWRhdGVzPjxkYXRlPkp1bjwvZGF0ZT48L3B1Yi1kYXRlcz48L2RhdGVzPjxpc2Ju
PjE4NzUtNjI2MyAoRWxlY3Ryb25pYykmI3hEOzEwMjgtNDU1OSAoTGlua2luZyk8L2lzYm4+PGFj
Y2Vzc2lvbi1udW0+MjA3MDg1MjU8L2FjY2Vzc2lvbi1udW0+PHVybHM+PHJlbGF0ZWQtdXJscz48
dXJsPmh0dHBzOi8vd3d3Lm5jYmkubmxtLm5paC5nb3YvcHVibWVkLzIwNzA4NTI1PC91cmw+PC9y
ZWxhdGVkLXVybHM+PC91cmxzPjxlbGVjdHJvbmljLXJlc291cmNlLW51bT4xMC4xMDE2L1MxMDI4
LTQ1NTkoMTApNjAwMzgtMTwvZWxlY3Ryb25pYy1yZXNvdXJjZS1udW0+PC9yZWNvcmQ+PC9DaXRl
PjwvRW5kTm90ZT4A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217</w:t>
      </w:r>
      <w:r w:rsidR="003523C5">
        <w:fldChar w:fldCharType="end"/>
      </w:r>
      <w:r w:rsidR="00B85259">
        <w:t xml:space="preserve"> and of biomarker</w:t>
      </w:r>
      <w:r w:rsidR="009C1941">
        <w:t>s</w:t>
      </w:r>
      <w:r w:rsidR="00B85259">
        <w:t xml:space="preserve"> for pre-eclampsia risk</w:t>
      </w:r>
      <w:r w:rsidR="003523C5">
        <w:fldChar w:fldCharType="begin">
          <w:fldData xml:space="preserve">PEVuZE5vdGU+PENpdGU+PEF1dGhvcj5SYXltYW48L0F1dGhvcj48WWVhcj4yMDE0PC9ZZWFyPjxS
ZWNOdW0+MTIxMTwvUmVjTnVtPjxEaXNwbGF5VGV4dD48c3R5bGUgZmFjZT0ic3VwZXJzY3JpcHQi
IGZvbnQ9IlRyZWJ1Y2hldCBNUyIgc2l6ZT0iOSI+MjIxPC9zdHlsZT48L0Rpc3BsYXlUZXh0Pjxy
ZWNvcmQ+PHJlYy1udW1iZXI+MTIxMTwvcmVjLW51bWJlcj48Zm9yZWlnbi1rZXlzPjxrZXkgYXBw
PSJFTiIgZGItaWQ9ImV4dmFzcmZ4MmR0cmFvZXNhc3hwMnN6c3hhMmRmNTAyNTkyeCIgdGltZXN0
YW1wPSIxNTU5ODY3MzkyIj4xMjExPC9rZXk+PGtleSBhcHA9IkVOV2ViIiBkYi1pZD0iIj4wPC9r
ZXk+PC9mb3JlaWduLWtleXM+PHJlZi10eXBlIG5hbWU9IkpvdXJuYWwgQXJ0aWNsZSI+MTc8L3Jl
Zi10eXBlPjxjb250cmlidXRvcnM+PGF1dGhvcnM+PGF1dGhvcj5SYXltYW4sIE0uIFAuPC9hdXRo
b3I+PGF1dGhvcj5TZWFybGUsIEUuPC9hdXRob3I+PGF1dGhvcj5LZWxseSwgTC48L2F1dGhvcj48
YXV0aG9yPkpvaG5zZW4sIFMuPC9hdXRob3I+PGF1dGhvcj5Cb2RtYW4tU21pdGgsIEsuPC9hdXRo
b3I+PGF1dGhvcj5CYXRoLCBTLiBDLjwvYXV0aG9yPjxhdXRob3I+TWFvLCBKLjwvYXV0aG9yPjxh
dXRob3I+UmVkbWFuLCBDLiBXLjwvYXV0aG9yPjwvYXV0aG9ycz48L2NvbnRyaWJ1dG9ycz48YXV0
aC1hZGRyZXNzPkRlcGFydG1lbnQgb2YgTnV0cml0aW9uYWwgU2NpZW5jZXMsU2Nob29sIG9mIEJp
b3NjaWVuY2VzIGFuZCBNZWRpY2luZSwgRmFjdWx0eSBvZiBIZWFsdGggYW5kIE1lZGljYWwgU2Np
ZW5jZXMsIFVuaXZlcnNpdHkgb2YgU3VycmV5LEd1aWxkZm9yZEdVMiA3WEgsVUsuJiN4RDtOdWZm
aWVsZCBEZXBhcnRtZW50IG9mIE9ic3RldHJpY3MgYW5kIEd5bmFlY29sb2d5LCBVbml2ZXJzaXR5
IG9mIE94Zm9yZCxPeGZvcmRPWDMgOURVLFVLLiYjeEQ7QW51IFJlc2VhcmNoIENlbnRyZSwgRGVw
YXJ0bWVudCBvZiBPYnN0ZXRyaWNzIGFuZCBHeW5hZWNvbG9neSwgQ29yayBVbml2ZXJzaXR5IE1h
dGVybml0eSBIb3NwaXRhbCxXaWx0b24sIENvcmssUmVwdWJsaWMgb2YgSXJlbGFuZC4mI3hEO1N1
cnJleSBDbGluaWNhbCBSZXNlYXJjaCBDZW50cmUgKENSQyksIEZhY3VsdHkgb2YgSGVhbHRoIGFu
ZCBNZWRpY2FsIFNjaWVuY2VzLCBVbml2ZXJzaXR5IG9mIFN1cnJleSxHdWlsZGZvcmRHVTIgN1hQ
LFVLLjwvYXV0aC1hZGRyZXNzPjx0aXRsZXM+PHRpdGxlPkVmZmVjdCBvZiBzZWxlbml1bSBvbiBt
YXJrZXJzIG9mIHJpc2sgb2YgcHJlLWVjbGFtcHNpYSBpbiBVSyBwcmVnbmFudCB3b21lbjogYSBy
YW5kb21pc2VkLCBjb250cm9sbGVkIHBpbG90IHRyaWFsPC90aXRsZT48c2Vjb25kYXJ5LXRpdGxl
PkJyIEogTnV0cjwvc2Vjb25kYXJ5LXRpdGxlPjwvdGl0bGVzPjxwZXJpb2RpY2FsPjxmdWxsLXRp
dGxlPkJyIEogTnV0cjwvZnVsbC10aXRsZT48L3BlcmlvZGljYWw+PHBhZ2VzPjk5LTExMTwvcGFn
ZXM+PHZvbHVtZT4xMTI8L3ZvbHVtZT48bnVtYmVyPjE8L251bWJlcj48ZWRpdGlvbj4yMDE0LzA0
LzA5PC9lZGl0aW9uPjxrZXl3b3Jkcz48a2V5d29yZD5BZHVsdDwva2V5d29yZD48a2V5d29yZD5C
aW9tYXJrZXJzL2FuYWx5c2lzL2Jsb29kPC9rZXl3b3JkPjxrZXl3b3JkPipEaWV0YXJ5IFN1cHBs
ZW1lbnRzPC9rZXl3b3JkPjxrZXl3b3JkPkRvdWJsZS1CbGluZCBNZXRob2Q8L2tleXdvcmQ+PGtl
eXdvcmQ+RmVtYWxlPC9rZXl3b3JkPjxrZXl3b3JkPkh1bWFuczwva2V5d29yZD48a2V5d29yZD5J
bmNpZGVuY2U8L2tleXdvcmQ+PGtleXdvcmQ+TmFpbHMvY2hlbWlzdHJ5PC9rZXl3b3JkPjxrZXl3
b3JkPk51dHJpdGlvbmFsIFN0YXR1czwva2V5d29yZD48a2V5d29yZD5QaWxvdCBQcm9qZWN0czwv
a2V5d29yZD48a2V5d29yZD5QcmUtRWNsYW1wc2lhL2Jsb29kL2VwaWRlbWlvbG9neS9ldGlvbG9n
eS8qcHJldmVudGlvbiAmYW1wOyBjb250cm9sPC9rZXl3b3JkPjxrZXl3b3JkPlByZWduYW5jeTwv
a2V5d29yZD48a2V5d29yZD5QcmVnbmFuY3kgVHJpbWVzdGVyLCBGaXJzdDwva2V5d29yZD48a2V5
d29yZD5SaXNrPC9rZXl3b3JkPjxrZXl3b3JkPlNlbGVuaXVtL2FuYWx5c2lzL2Jsb29kL2RlZmlj
aWVuY3kvKnRoZXJhcGV1dGljIHVzZTwva2V5d29yZD48a2V5d29yZD5TZWxlbm9wcm90ZWluIFAv
KmJsb29kPC9rZXl3b3JkPjxrZXl3b3JkPlVuaXRlZCBLaW5nZG9tL2VwaWRlbWlvbG9neTwva2V5
d29yZD48a2V5d29yZD5WYXNjdWxhciBFbmRvdGhlbGlhbCBHcm93dGggRmFjdG9yIFJlY2VwdG9y
LTEvKmJsb29kPC9rZXl3b3JkPjxrZXl3b3JkPlllYXN0LCBEcmllZC9jaGVtaXN0cnkvKnRoZXJh
cGV1dGljIHVzZTwva2V5d29yZD48L2tleXdvcmRzPjxkYXRlcz48eWVhcj4yMDE0PC95ZWFyPjxw
dWItZGF0ZXM+PGRhdGU+SnVsIDE0PC9kYXRlPjwvcHViLWRhdGVzPjwvZGF0ZXM+PGlzYm4+MTQ3
NS0yNjYyIChFbGVjdHJvbmljKSYjeEQ7MDAwNy0xMTQ1IChMaW5raW5nKTwvaXNibj48YWNjZXNz
aW9uLW51bT4yNDcwODkxNzwvYWNjZXNzaW9uLW51bT48dXJscz48cmVsYXRlZC11cmxzPjx1cmw+
aHR0cHM6Ly93d3cubmNiaS5ubG0ubmloLmdvdi9wdWJtZWQvMjQ3MDg5MTc8L3VybD48L3JlbGF0
ZWQtdXJscz48L3VybHM+PGN1c3RvbTI+UE1DNDA1NDY2MjwvY3VzdG9tMj48ZWxlY3Ryb25pYy1y
ZXNvdXJjZS1udW0+MTAuMTAxNy9TMDAwNzExNDUxNDAwMDUzMTwvZWxlY3Ryb25pYy1yZXNvdXJj
ZS1udW0+PC9yZWNvcmQ+PC9DaXRlPjwvRW5kTm90ZT5=
</w:fldData>
        </w:fldChar>
      </w:r>
      <w:r w:rsidR="002747EA">
        <w:instrText xml:space="preserve"> ADDIN EN.CITE </w:instrText>
      </w:r>
      <w:r w:rsidR="002747EA">
        <w:fldChar w:fldCharType="begin">
          <w:fldData xml:space="preserve">PEVuZE5vdGU+PENpdGU+PEF1dGhvcj5SYXltYW48L0F1dGhvcj48WWVhcj4yMDE0PC9ZZWFyPjxS
ZWNOdW0+MTIxMTwvUmVjTnVtPjxEaXNwbGF5VGV4dD48c3R5bGUgZmFjZT0ic3VwZXJzY3JpcHQi
IGZvbnQ9IlRyZWJ1Y2hldCBNUyIgc2l6ZT0iOSI+MjIxPC9zdHlsZT48L0Rpc3BsYXlUZXh0Pjxy
ZWNvcmQ+PHJlYy1udW1iZXI+MTIxMTwvcmVjLW51bWJlcj48Zm9yZWlnbi1rZXlzPjxrZXkgYXBw
PSJFTiIgZGItaWQ9ImV4dmFzcmZ4MmR0cmFvZXNhc3hwMnN6c3hhMmRmNTAyNTkyeCIgdGltZXN0
YW1wPSIxNTU5ODY3MzkyIj4xMjExPC9rZXk+PGtleSBhcHA9IkVOV2ViIiBkYi1pZD0iIj4wPC9r
ZXk+PC9mb3JlaWduLWtleXM+PHJlZi10eXBlIG5hbWU9IkpvdXJuYWwgQXJ0aWNsZSI+MTc8L3Jl
Zi10eXBlPjxjb250cmlidXRvcnM+PGF1dGhvcnM+PGF1dGhvcj5SYXltYW4sIE0uIFAuPC9hdXRo
b3I+PGF1dGhvcj5TZWFybGUsIEUuPC9hdXRob3I+PGF1dGhvcj5LZWxseSwgTC48L2F1dGhvcj48
YXV0aG9yPkpvaG5zZW4sIFMuPC9hdXRob3I+PGF1dGhvcj5Cb2RtYW4tU21pdGgsIEsuPC9hdXRo
b3I+PGF1dGhvcj5CYXRoLCBTLiBDLjwvYXV0aG9yPjxhdXRob3I+TWFvLCBKLjwvYXV0aG9yPjxh
dXRob3I+UmVkbWFuLCBDLiBXLjwvYXV0aG9yPjwvYXV0aG9ycz48L2NvbnRyaWJ1dG9ycz48YXV0
aC1hZGRyZXNzPkRlcGFydG1lbnQgb2YgTnV0cml0aW9uYWwgU2NpZW5jZXMsU2Nob29sIG9mIEJp
b3NjaWVuY2VzIGFuZCBNZWRpY2luZSwgRmFjdWx0eSBvZiBIZWFsdGggYW5kIE1lZGljYWwgU2Np
ZW5jZXMsIFVuaXZlcnNpdHkgb2YgU3VycmV5LEd1aWxkZm9yZEdVMiA3WEgsVUsuJiN4RDtOdWZm
aWVsZCBEZXBhcnRtZW50IG9mIE9ic3RldHJpY3MgYW5kIEd5bmFlY29sb2d5LCBVbml2ZXJzaXR5
IG9mIE94Zm9yZCxPeGZvcmRPWDMgOURVLFVLLiYjeEQ7QW51IFJlc2VhcmNoIENlbnRyZSwgRGVw
YXJ0bWVudCBvZiBPYnN0ZXRyaWNzIGFuZCBHeW5hZWNvbG9neSwgQ29yayBVbml2ZXJzaXR5IE1h
dGVybml0eSBIb3NwaXRhbCxXaWx0b24sIENvcmssUmVwdWJsaWMgb2YgSXJlbGFuZC4mI3hEO1N1
cnJleSBDbGluaWNhbCBSZXNlYXJjaCBDZW50cmUgKENSQyksIEZhY3VsdHkgb2YgSGVhbHRoIGFu
ZCBNZWRpY2FsIFNjaWVuY2VzLCBVbml2ZXJzaXR5IG9mIFN1cnJleSxHdWlsZGZvcmRHVTIgN1hQ
LFVLLjwvYXV0aC1hZGRyZXNzPjx0aXRsZXM+PHRpdGxlPkVmZmVjdCBvZiBzZWxlbml1bSBvbiBt
YXJrZXJzIG9mIHJpc2sgb2YgcHJlLWVjbGFtcHNpYSBpbiBVSyBwcmVnbmFudCB3b21lbjogYSBy
YW5kb21pc2VkLCBjb250cm9sbGVkIHBpbG90IHRyaWFsPC90aXRsZT48c2Vjb25kYXJ5LXRpdGxl
PkJyIEogTnV0cjwvc2Vjb25kYXJ5LXRpdGxlPjwvdGl0bGVzPjxwZXJpb2RpY2FsPjxmdWxsLXRp
dGxlPkJyIEogTnV0cjwvZnVsbC10aXRsZT48L3BlcmlvZGljYWw+PHBhZ2VzPjk5LTExMTwvcGFn
ZXM+PHZvbHVtZT4xMTI8L3ZvbHVtZT48bnVtYmVyPjE8L251bWJlcj48ZWRpdGlvbj4yMDE0LzA0
LzA5PC9lZGl0aW9uPjxrZXl3b3Jkcz48a2V5d29yZD5BZHVsdDwva2V5d29yZD48a2V5d29yZD5C
aW9tYXJrZXJzL2FuYWx5c2lzL2Jsb29kPC9rZXl3b3JkPjxrZXl3b3JkPipEaWV0YXJ5IFN1cHBs
ZW1lbnRzPC9rZXl3b3JkPjxrZXl3b3JkPkRvdWJsZS1CbGluZCBNZXRob2Q8L2tleXdvcmQ+PGtl
eXdvcmQ+RmVtYWxlPC9rZXl3b3JkPjxrZXl3b3JkPkh1bWFuczwva2V5d29yZD48a2V5d29yZD5J
bmNpZGVuY2U8L2tleXdvcmQ+PGtleXdvcmQ+TmFpbHMvY2hlbWlzdHJ5PC9rZXl3b3JkPjxrZXl3
b3JkPk51dHJpdGlvbmFsIFN0YXR1czwva2V5d29yZD48a2V5d29yZD5QaWxvdCBQcm9qZWN0czwv
a2V5d29yZD48a2V5d29yZD5QcmUtRWNsYW1wc2lhL2Jsb29kL2VwaWRlbWlvbG9neS9ldGlvbG9n
eS8qcHJldmVudGlvbiAmYW1wOyBjb250cm9sPC9rZXl3b3JkPjxrZXl3b3JkPlByZWduYW5jeTwv
a2V5d29yZD48a2V5d29yZD5QcmVnbmFuY3kgVHJpbWVzdGVyLCBGaXJzdDwva2V5d29yZD48a2V5
d29yZD5SaXNrPC9rZXl3b3JkPjxrZXl3b3JkPlNlbGVuaXVtL2FuYWx5c2lzL2Jsb29kL2RlZmlj
aWVuY3kvKnRoZXJhcGV1dGljIHVzZTwva2V5d29yZD48a2V5d29yZD5TZWxlbm9wcm90ZWluIFAv
KmJsb29kPC9rZXl3b3JkPjxrZXl3b3JkPlVuaXRlZCBLaW5nZG9tL2VwaWRlbWlvbG9neTwva2V5
d29yZD48a2V5d29yZD5WYXNjdWxhciBFbmRvdGhlbGlhbCBHcm93dGggRmFjdG9yIFJlY2VwdG9y
LTEvKmJsb29kPC9rZXl3b3JkPjxrZXl3b3JkPlllYXN0LCBEcmllZC9jaGVtaXN0cnkvKnRoZXJh
cGV1dGljIHVzZTwva2V5d29yZD48L2tleXdvcmRzPjxkYXRlcz48eWVhcj4yMDE0PC95ZWFyPjxw
dWItZGF0ZXM+PGRhdGU+SnVsIDE0PC9kYXRlPjwvcHViLWRhdGVzPjwvZGF0ZXM+PGlzYm4+MTQ3
NS0yNjYyIChFbGVjdHJvbmljKSYjeEQ7MDAwNy0xMTQ1IChMaW5raW5nKTwvaXNibj48YWNjZXNz
aW9uLW51bT4yNDcwODkxNzwvYWNjZXNzaW9uLW51bT48dXJscz48cmVsYXRlZC11cmxzPjx1cmw+
aHR0cHM6Ly93d3cubmNiaS5ubG0ubmloLmdvdi9wdWJtZWQvMjQ3MDg5MTc8L3VybD48L3JlbGF0
ZWQtdXJscz48L3VybHM+PGN1c3RvbTI+UE1DNDA1NDY2MjwvY3VzdG9tMj48ZWxlY3Ryb25pYy1y
ZXNvdXJjZS1udW0+MTAuMTAxNy9TMDAwNzExNDUxNDAwMDUzMTwvZWxlY3Ryb25pYy1yZXNvdXJj
ZS1udW0+PC9yZWNvcmQ+PC9DaXRlPjwvRW5kTm90ZT5=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221</w:t>
      </w:r>
      <w:r w:rsidR="003523C5">
        <w:fldChar w:fldCharType="end"/>
      </w:r>
      <w:r w:rsidR="00B85259">
        <w:t xml:space="preserve"> were lower in the supplementation groups but did not reach statistical significance. B</w:t>
      </w:r>
      <w:r w:rsidR="009C7C61">
        <w:t xml:space="preserve">oth studies noted that larger studies are required to draw conclusions on the efficacy of selenium supplementation in reducing risk of pre-eclampsia. </w:t>
      </w:r>
      <w:r w:rsidR="00B85259">
        <w:t>There were no clear differences in any other outcome in either study.</w:t>
      </w:r>
    </w:p>
    <w:p w14:paraId="60C0D44E" w14:textId="1E6C29C4" w:rsidR="009B221A" w:rsidRDefault="003429F4" w:rsidP="009B221A">
      <w:pPr>
        <w:pStyle w:val="Heading3"/>
      </w:pPr>
      <w:bookmarkStart w:id="75" w:name="_Toc40956500"/>
      <w:r>
        <w:t>Evidence statements</w:t>
      </w:r>
      <w:bookmarkEnd w:id="75"/>
    </w:p>
    <w:p w14:paraId="609DA148" w14:textId="646F0E2F" w:rsidR="009B221A" w:rsidRDefault="009B221A" w:rsidP="00D645E9">
      <w:pPr>
        <w:pStyle w:val="Heading4"/>
      </w:pPr>
      <w:r>
        <w:t>Vitamins</w:t>
      </w:r>
    </w:p>
    <w:p w14:paraId="458E90C2" w14:textId="1E47AE81" w:rsidR="00D645E9" w:rsidRDefault="00D645E9" w:rsidP="00D645E9">
      <w:pPr>
        <w:pStyle w:val="Heading5"/>
      </w:pPr>
      <w:r>
        <w:t>Folic acid</w:t>
      </w:r>
    </w:p>
    <w:p w14:paraId="5C18A357" w14:textId="461EAAE6" w:rsidR="00327308" w:rsidRDefault="00A458B5" w:rsidP="00DA0E1E">
      <w:r>
        <w:t xml:space="preserve">There is high </w:t>
      </w:r>
      <w:r w:rsidR="00FB2A6C">
        <w:t>certainty</w:t>
      </w:r>
      <w:r>
        <w:t xml:space="preserve"> evidence that folic acid supplementation in pregnancy is associated with a reduction in risk of neural tube defects</w:t>
      </w:r>
      <w:r w:rsidR="00327308">
        <w:t xml:space="preserve"> and lower </w:t>
      </w:r>
      <w:r w:rsidR="00FB2A6C">
        <w:t>certainty</w:t>
      </w:r>
      <w:r w:rsidR="00327308">
        <w:t xml:space="preserve"> evidence that it may also reduce the risk of orofacial clefts and congenital heart defects. </w:t>
      </w:r>
    </w:p>
    <w:p w14:paraId="3E38BFC3" w14:textId="261E32AD" w:rsidR="00327308" w:rsidRDefault="00327308" w:rsidP="00DA0E1E">
      <w:r>
        <w:t>There is evidence from systematic reviews of observational studies that folic acid supplementation during pregnancy may reduce the risk of acute myeloid leukaemia</w:t>
      </w:r>
      <w:r w:rsidR="00490AB2">
        <w:t>,</w:t>
      </w:r>
      <w:r>
        <w:t xml:space="preserve"> </w:t>
      </w:r>
      <w:r w:rsidRPr="0025225A">
        <w:t>brain and spinal cord tumo</w:t>
      </w:r>
      <w:r>
        <w:t>u</w:t>
      </w:r>
      <w:r w:rsidRPr="0025225A">
        <w:t>rs</w:t>
      </w:r>
      <w:r w:rsidR="00D0572F">
        <w:t xml:space="preserve"> in the child</w:t>
      </w:r>
      <w:r w:rsidR="00490AB2">
        <w:t xml:space="preserve"> and autism spectrum disorders</w:t>
      </w:r>
      <w:r>
        <w:t>.</w:t>
      </w:r>
    </w:p>
    <w:p w14:paraId="531049E2" w14:textId="22779040" w:rsidR="00A458B5" w:rsidRDefault="00A458B5" w:rsidP="00DA0E1E">
      <w:r>
        <w:t>The</w:t>
      </w:r>
      <w:r w:rsidR="00327308">
        <w:t xml:space="preserve"> </w:t>
      </w:r>
      <w:r>
        <w:t xml:space="preserve">evidence </w:t>
      </w:r>
      <w:r w:rsidR="00327308">
        <w:t>suggests</w:t>
      </w:r>
      <w:r>
        <w:t xml:space="preserve"> that folic acid </w:t>
      </w:r>
      <w:r w:rsidR="00327308">
        <w:t>supplementation does not a</w:t>
      </w:r>
      <w:r>
        <w:t xml:space="preserve">ffect </w:t>
      </w:r>
      <w:r w:rsidR="00327308">
        <w:t>the risk of</w:t>
      </w:r>
      <w:r w:rsidR="008F2298">
        <w:t xml:space="preserve"> early or late miscarriage, stillbirth,</w:t>
      </w:r>
      <w:r>
        <w:t xml:space="preserve"> </w:t>
      </w:r>
      <w:r w:rsidR="009C0D15">
        <w:t xml:space="preserve">fetal loss, </w:t>
      </w:r>
      <w:r>
        <w:t>preterm birth</w:t>
      </w:r>
      <w:r w:rsidR="00327308">
        <w:t xml:space="preserve">, </w:t>
      </w:r>
      <w:r w:rsidR="00490AB2">
        <w:t xml:space="preserve">low birth weight, </w:t>
      </w:r>
      <w:r w:rsidR="00327308">
        <w:t xml:space="preserve">perinatal death, or asthma or wheeze in the infant. </w:t>
      </w:r>
    </w:p>
    <w:p w14:paraId="6BFF5868" w14:textId="77777777" w:rsidR="00A458B5" w:rsidRDefault="00A458B5" w:rsidP="00DA0E1E">
      <w:r>
        <w:t>The evidence is inconsistent on the effect of folic acid supplementation on gestational hypertension, pre-ec</w:t>
      </w:r>
      <w:r w:rsidR="00327308">
        <w:t>lampsia and acute lymphoblastic leukaemia in the infant.</w:t>
      </w:r>
    </w:p>
    <w:p w14:paraId="2EEA62DE" w14:textId="77777777" w:rsidR="0030452C" w:rsidRDefault="0030452C" w:rsidP="0030452C">
      <w:pPr>
        <w:pStyle w:val="Heading5"/>
        <w:rPr>
          <w:vertAlign w:val="subscript"/>
        </w:rPr>
      </w:pPr>
      <w:r>
        <w:t>Vitamin B</w:t>
      </w:r>
      <w:r w:rsidRPr="00D645E9">
        <w:rPr>
          <w:vertAlign w:val="subscript"/>
        </w:rPr>
        <w:t>6</w:t>
      </w:r>
    </w:p>
    <w:p w14:paraId="3DEF6CB7" w14:textId="00417089" w:rsidR="0030452C" w:rsidRPr="00DC2B0B" w:rsidRDefault="0030452C" w:rsidP="0030452C">
      <w:r>
        <w:t>There is insufficient evidence to detect clinical benefits of vitamin B</w:t>
      </w:r>
      <w:r w:rsidRPr="0030452C">
        <w:rPr>
          <w:vertAlign w:val="subscript"/>
        </w:rPr>
        <w:t>6</w:t>
      </w:r>
      <w:r>
        <w:t xml:space="preserve"> in pregnancy</w:t>
      </w:r>
      <w:r w:rsidR="00B22903">
        <w:t>, although it appears to be of benefit in reducing nausea</w:t>
      </w:r>
      <w:r>
        <w:t>.</w:t>
      </w:r>
    </w:p>
    <w:p w14:paraId="7F16870B" w14:textId="15026A54" w:rsidR="00D645E9" w:rsidRDefault="00D645E9" w:rsidP="00D645E9">
      <w:pPr>
        <w:pStyle w:val="Heading5"/>
      </w:pPr>
      <w:r>
        <w:t>Vitamin B</w:t>
      </w:r>
      <w:r w:rsidRPr="00D645E9">
        <w:rPr>
          <w:vertAlign w:val="subscript"/>
        </w:rPr>
        <w:t>12</w:t>
      </w:r>
    </w:p>
    <w:p w14:paraId="4DB58541" w14:textId="4892DC37" w:rsidR="00D645E9" w:rsidRPr="005F5D31" w:rsidRDefault="00331E82" w:rsidP="00D645E9">
      <w:r>
        <w:t>The</w:t>
      </w:r>
      <w:r w:rsidR="00D645E9">
        <w:t xml:space="preserve"> </w:t>
      </w:r>
      <w:r w:rsidR="00B22903">
        <w:t>evidence on vitamin B</w:t>
      </w:r>
      <w:r w:rsidR="00B22903" w:rsidRPr="00B22903">
        <w:rPr>
          <w:vertAlign w:val="subscript"/>
        </w:rPr>
        <w:t>12</w:t>
      </w:r>
      <w:r w:rsidR="00B22903">
        <w:t xml:space="preserve"> supplementation in pregnancy is</w:t>
      </w:r>
      <w:r w:rsidR="00D645E9">
        <w:t xml:space="preserve"> </w:t>
      </w:r>
      <w:r w:rsidR="00B22903">
        <w:t xml:space="preserve">of </w:t>
      </w:r>
      <w:r w:rsidR="00D645E9">
        <w:t xml:space="preserve">insufficient </w:t>
      </w:r>
      <w:r w:rsidR="00B22903">
        <w:t xml:space="preserve">quality </w:t>
      </w:r>
      <w:r w:rsidR="00D645E9">
        <w:t xml:space="preserve">to </w:t>
      </w:r>
      <w:r w:rsidR="00B22903">
        <w:t>draw conclusions</w:t>
      </w:r>
      <w:r w:rsidR="00D645E9">
        <w:t>.</w:t>
      </w:r>
    </w:p>
    <w:p w14:paraId="26E0E284" w14:textId="743B4742" w:rsidR="00D645E9" w:rsidRDefault="00D645E9" w:rsidP="00D645E9">
      <w:pPr>
        <w:pStyle w:val="Heading5"/>
      </w:pPr>
      <w:r>
        <w:t>Vitamin C</w:t>
      </w:r>
    </w:p>
    <w:p w14:paraId="10BECD4B" w14:textId="768E90C8" w:rsidR="00D645E9" w:rsidRDefault="00D645E9" w:rsidP="00D645E9">
      <w:r>
        <w:t xml:space="preserve">The evidence does not support routine vitamin C supplementation </w:t>
      </w:r>
      <w:r w:rsidRPr="00E63AA9">
        <w:t xml:space="preserve">for the prevention of fetal or neonatal death, poor fetal growth, preterm birth or pre-eclampsia. Further research is required to </w:t>
      </w:r>
      <w:r>
        <w:t>clarify</w:t>
      </w:r>
      <w:r w:rsidRPr="00E63AA9">
        <w:t xml:space="preserve"> the possible role of vitamin C in the prevention of placental abruption and prelabour rupture of membranes. </w:t>
      </w:r>
    </w:p>
    <w:p w14:paraId="56553EE5" w14:textId="77777777" w:rsidR="00D645E9" w:rsidRDefault="00D645E9" w:rsidP="00BD3F08">
      <w:pPr>
        <w:pStyle w:val="Heading5"/>
        <w:spacing w:before="0"/>
      </w:pPr>
      <w:r>
        <w:t>Vitamin E</w:t>
      </w:r>
    </w:p>
    <w:p w14:paraId="7A294340" w14:textId="29BF33B8" w:rsidR="00D645E9" w:rsidRPr="00D645E9" w:rsidRDefault="00D645E9" w:rsidP="00D645E9">
      <w:r>
        <w:t>The evidence on vitamin E supplementation is of insufficient quality to draw conclusions.</w:t>
      </w:r>
    </w:p>
    <w:p w14:paraId="1C5E99B4" w14:textId="5829078F" w:rsidR="00D645E9" w:rsidRDefault="00D645E9" w:rsidP="00D645E9">
      <w:pPr>
        <w:pStyle w:val="Heading5"/>
      </w:pPr>
      <w:r>
        <w:t>Vitamins C and E combined</w:t>
      </w:r>
    </w:p>
    <w:p w14:paraId="71D01E58" w14:textId="2BB73AD1" w:rsidR="00D645E9" w:rsidRPr="00E63AA9" w:rsidRDefault="00D645E9" w:rsidP="00D645E9">
      <w:r>
        <w:t>Supplementation with vitamins C and E during pregnancy appears to reduce the risk of placental abruption and increase the risk of term PROM. It does not appear to affect other perinatal outcomes.</w:t>
      </w:r>
      <w:r w:rsidR="008D04E9">
        <w:t xml:space="preserve"> Combined vitamins C and E may reduce the risk of preterm birth</w:t>
      </w:r>
      <w:r w:rsidR="008D04E9" w:rsidRPr="00A01696">
        <w:t xml:space="preserve"> an</w:t>
      </w:r>
      <w:r w:rsidR="008D04E9">
        <w:t xml:space="preserve">d placental abruption </w:t>
      </w:r>
      <w:r w:rsidR="008D04E9" w:rsidRPr="00A01696">
        <w:t>in pre</w:t>
      </w:r>
      <w:r w:rsidR="008D04E9">
        <w:t>gnant women who smoke.</w:t>
      </w:r>
    </w:p>
    <w:p w14:paraId="2129AA03" w14:textId="4AA6C8BE" w:rsidR="00D645E9" w:rsidRDefault="00D645E9" w:rsidP="00D645E9">
      <w:pPr>
        <w:pStyle w:val="Heading5"/>
      </w:pPr>
      <w:r>
        <w:t>Vitamin A</w:t>
      </w:r>
    </w:p>
    <w:p w14:paraId="10C70FAB" w14:textId="4D9886E0" w:rsidR="00D645E9" w:rsidRDefault="00D645E9" w:rsidP="00D645E9">
      <w:r>
        <w:t xml:space="preserve">The evidence does not support vitamin A supplementation for the prevention of fetal loss, maternal mortality, perinatal mortality or preterm birth. The evidence on the role of vitamin A supplementation in reducing risk of maternal clinical infection and anaemia may not be generalisable to the Australian context. </w:t>
      </w:r>
    </w:p>
    <w:p w14:paraId="3913E0E0" w14:textId="281DFF3C" w:rsidR="00D645E9" w:rsidRPr="00D645E9" w:rsidRDefault="008D04E9" w:rsidP="00D645E9">
      <w:pPr>
        <w:pStyle w:val="Heading5"/>
      </w:pPr>
      <w:r>
        <w:t>Multiple micronuntrients</w:t>
      </w:r>
    </w:p>
    <w:p w14:paraId="6F7B2C65" w14:textId="2193A17C" w:rsidR="008D3B45" w:rsidRDefault="00C31BF3" w:rsidP="00D645E9">
      <w:r>
        <w:t xml:space="preserve">There is </w:t>
      </w:r>
      <w:r w:rsidR="002D6E81">
        <w:t xml:space="preserve">high </w:t>
      </w:r>
      <w:r w:rsidR="00FB2A6C">
        <w:t>certainty</w:t>
      </w:r>
      <w:r w:rsidR="002D6E81">
        <w:t xml:space="preserve"> evidence </w:t>
      </w:r>
      <w:r w:rsidR="00BD3F08">
        <w:t xml:space="preserve">from studies conducted in low- to middle-income countries </w:t>
      </w:r>
      <w:r w:rsidR="002D6E81">
        <w:t>that multivitamin use during pregnancy reduces the risk of low birth weight</w:t>
      </w:r>
      <w:r w:rsidR="009F3866">
        <w:t xml:space="preserve"> and may reduce the risk of stillbirth but does not affect the risk of perinatal or neonatal mortality. There is moderate </w:t>
      </w:r>
      <w:r w:rsidR="00FB2A6C">
        <w:t>certainty</w:t>
      </w:r>
      <w:r w:rsidR="009F3866">
        <w:t xml:space="preserve"> evidence of a reduction in</w:t>
      </w:r>
      <w:r w:rsidR="002D6E81">
        <w:t xml:space="preserve"> risk of small for gestational age</w:t>
      </w:r>
      <w:r w:rsidR="009F3866">
        <w:t xml:space="preserve"> and a possible reduction in risk of preterm birth (&lt;37 weeks). </w:t>
      </w:r>
      <w:r w:rsidR="008D3B45">
        <w:t xml:space="preserve">There is evidence of unspecified </w:t>
      </w:r>
      <w:r w:rsidR="00FB2A6C">
        <w:t>certainty</w:t>
      </w:r>
      <w:r w:rsidR="008D3B45">
        <w:t xml:space="preserve"> that multivitamin use is associated with a reduction in risk of very preterm birth (&lt;34 weeks), a possible reduction in risk of miscarriage and </w:t>
      </w:r>
      <w:r w:rsidR="00166B25">
        <w:t xml:space="preserve">has </w:t>
      </w:r>
      <w:r w:rsidR="008D3B45">
        <w:t>no effect on maternal mortality, maternal anaemia, caesarean section or congenital anomalies. These findings may not be generalisable to the Australian context.</w:t>
      </w:r>
    </w:p>
    <w:p w14:paraId="5C3C97D1" w14:textId="19527989" w:rsidR="008D3B45" w:rsidRPr="00D645E9" w:rsidRDefault="008D3B45" w:rsidP="00D645E9">
      <w:r>
        <w:t xml:space="preserve">There is very low to low </w:t>
      </w:r>
      <w:r w:rsidR="00FB2A6C">
        <w:t>certainty</w:t>
      </w:r>
      <w:r>
        <w:t xml:space="preserve"> evidence that prenatal multivitamin supplementation among women in high income countries is associated with a reduced risk of small for gestational age and some congenital anomalies and a possible reduced risk of preterm birth.</w:t>
      </w:r>
    </w:p>
    <w:p w14:paraId="5036E153" w14:textId="13800388" w:rsidR="009B221A" w:rsidRDefault="009B221A" w:rsidP="00D645E9">
      <w:pPr>
        <w:pStyle w:val="Heading4"/>
      </w:pPr>
      <w:r>
        <w:t>Minerals</w:t>
      </w:r>
    </w:p>
    <w:p w14:paraId="7DE7946B" w14:textId="051FCB99" w:rsidR="00D645E9" w:rsidRDefault="00D645E9" w:rsidP="00D645E9">
      <w:pPr>
        <w:pStyle w:val="Heading5"/>
      </w:pPr>
      <w:r>
        <w:t>Iron</w:t>
      </w:r>
    </w:p>
    <w:p w14:paraId="456A9FBD" w14:textId="301E0689" w:rsidR="003429F4" w:rsidRDefault="003429F4" w:rsidP="003429F4">
      <w:r>
        <w:t xml:space="preserve">There is moderate </w:t>
      </w:r>
      <w:r w:rsidR="00FB2A6C">
        <w:t>certainty</w:t>
      </w:r>
      <w:r>
        <w:t xml:space="preserve"> evidence that iron supplementation in pregnancy </w:t>
      </w:r>
      <w:r w:rsidR="001621FB">
        <w:t xml:space="preserve">has no clear effect on </w:t>
      </w:r>
      <w:r>
        <w:t xml:space="preserve">the risk of preterm birth. There is low </w:t>
      </w:r>
      <w:r w:rsidR="00FB2A6C">
        <w:t>certainty</w:t>
      </w:r>
      <w:r>
        <w:t xml:space="preserve"> evidence that iron supplementation in pregnancy reduces the risk of maternal anaemia </w:t>
      </w:r>
      <w:r w:rsidR="001621FB">
        <w:t xml:space="preserve">and iron deficiency at term </w:t>
      </w:r>
      <w:r>
        <w:t xml:space="preserve">and has no clear effect on </w:t>
      </w:r>
      <w:r w:rsidR="001621FB">
        <w:t xml:space="preserve">maternal infection, </w:t>
      </w:r>
      <w:r>
        <w:t>neonatal death</w:t>
      </w:r>
      <w:r w:rsidR="001621FB">
        <w:t>, congenital anomalies or</w:t>
      </w:r>
      <w:r>
        <w:t xml:space="preserve"> low birth weight. There is very low </w:t>
      </w:r>
      <w:r w:rsidR="00FB2A6C">
        <w:t>certainty</w:t>
      </w:r>
      <w:r>
        <w:t xml:space="preserve"> evidence that iron supplementation in pregnancy has no clear effect on the risk of </w:t>
      </w:r>
      <w:r w:rsidR="001621FB">
        <w:t xml:space="preserve">maternal death or </w:t>
      </w:r>
      <w:r>
        <w:t>maternal side effects</w:t>
      </w:r>
      <w:r w:rsidR="001621FB">
        <w:t>.</w:t>
      </w:r>
      <w:r w:rsidR="00BE48C6">
        <w:t xml:space="preserve"> There is evidence from a systematic review of RCTs that iron supplementation has no clear effect on infant neurodevelopment.</w:t>
      </w:r>
    </w:p>
    <w:p w14:paraId="23435C6A" w14:textId="1ADC0787" w:rsidR="001621FB" w:rsidRPr="003429F4" w:rsidRDefault="001621FB" w:rsidP="003429F4">
      <w:r>
        <w:t xml:space="preserve">There is low </w:t>
      </w:r>
      <w:r w:rsidR="00FB2A6C">
        <w:t>certainty</w:t>
      </w:r>
      <w:r>
        <w:t xml:space="preserve"> evidence that intermittent versus daily iron supplementation in pregnancy has no clear effect on preterm birth, birth weight or low birthweight. There is very low </w:t>
      </w:r>
      <w:r w:rsidR="00FB2A6C">
        <w:t>certainty</w:t>
      </w:r>
      <w:r>
        <w:t xml:space="preserve"> evidence that maternal side effects are reduced with intermittent versus daily iron supplementation and that there is no clear effect on maternal anaemia at term, maternal iron-deficiency at term or neonatal death. </w:t>
      </w:r>
    </w:p>
    <w:p w14:paraId="3835DB03" w14:textId="35D2C494" w:rsidR="00D645E9" w:rsidRDefault="00D645E9" w:rsidP="00D645E9">
      <w:pPr>
        <w:pStyle w:val="Heading5"/>
      </w:pPr>
      <w:r>
        <w:t>Calcium</w:t>
      </w:r>
    </w:p>
    <w:p w14:paraId="409C3790" w14:textId="5212EA9C" w:rsidR="00D645E9" w:rsidRPr="00BA37D8" w:rsidRDefault="00D645E9" w:rsidP="00D645E9">
      <w:pPr>
        <w:rPr>
          <w:lang w:val="en-AU"/>
        </w:rPr>
      </w:pPr>
      <w:r>
        <w:rPr>
          <w:lang w:val="en-AU"/>
        </w:rPr>
        <w:t>There is consistent evidence from systematic reviews that calcium supplementation reduces the risk of pre-eclampsia. Calcium supplements do not appear to be of benefit in preventing low birth weight and their role in preventing preterm birth is unclear.</w:t>
      </w:r>
      <w:r w:rsidR="001621FB">
        <w:rPr>
          <w:lang w:val="en-AU"/>
        </w:rPr>
        <w:t xml:space="preserve"> There is evidence that routine calcium supplementation is more cost-effective than selective supplementation.</w:t>
      </w:r>
    </w:p>
    <w:p w14:paraId="2FD26754" w14:textId="299E20B0" w:rsidR="00D645E9" w:rsidRDefault="00D645E9" w:rsidP="00D645E9">
      <w:pPr>
        <w:pStyle w:val="Heading5"/>
      </w:pPr>
      <w:r>
        <w:t>Iodine</w:t>
      </w:r>
    </w:p>
    <w:p w14:paraId="14938562" w14:textId="735E772D" w:rsidR="00D645E9" w:rsidRPr="00131D6B" w:rsidRDefault="001621FB" w:rsidP="00D645E9">
      <w:r>
        <w:t xml:space="preserve">There is low </w:t>
      </w:r>
      <w:r w:rsidR="00FB2A6C">
        <w:t>certainty</w:t>
      </w:r>
      <w:r>
        <w:t xml:space="preserve"> evidence that</w:t>
      </w:r>
      <w:r w:rsidR="004B758F">
        <w:t>, in settings with mild to moderate iodine deficiency,</w:t>
      </w:r>
      <w:r>
        <w:t xml:space="preserve"> i</w:t>
      </w:r>
      <w:r w:rsidR="00D645E9">
        <w:t xml:space="preserve">odine supplementation </w:t>
      </w:r>
      <w:r w:rsidR="00BD3F08">
        <w:t>may</w:t>
      </w:r>
      <w:r w:rsidR="00D645E9">
        <w:t xml:space="preserve"> reduce the risk of postpartum hyperthyroidism</w:t>
      </w:r>
      <w:r>
        <w:t xml:space="preserve"> and very low </w:t>
      </w:r>
      <w:r w:rsidR="00FB2A6C">
        <w:t>certainty</w:t>
      </w:r>
      <w:r>
        <w:t xml:space="preserve"> evidence of</w:t>
      </w:r>
      <w:r w:rsidR="00D645E9">
        <w:t xml:space="preserve"> an increased likelihood of gastrointestinal intolerance during pregnancy. </w:t>
      </w:r>
      <w:r w:rsidR="004869F2">
        <w:t xml:space="preserve">There is low </w:t>
      </w:r>
      <w:r w:rsidR="00FB2A6C">
        <w:t>certainty</w:t>
      </w:r>
      <w:r w:rsidR="004869F2">
        <w:t xml:space="preserve"> evidence that iodine supplementation </w:t>
      </w:r>
      <w:r w:rsidR="00D645E9">
        <w:t xml:space="preserve">does not appear to increase or decrease the likelihood of other outcomes or side effects for mothers or infants. Based on background information and the lack of harms associated with iodine supplementation in pregnancy, no changes to the existing recommendation are required. </w:t>
      </w:r>
    </w:p>
    <w:p w14:paraId="440C5ED0" w14:textId="5273E105" w:rsidR="00D645E9" w:rsidRDefault="00D645E9" w:rsidP="00D645E9">
      <w:pPr>
        <w:pStyle w:val="Heading5"/>
      </w:pPr>
      <w:r>
        <w:t>Zinc</w:t>
      </w:r>
    </w:p>
    <w:p w14:paraId="1F749F38" w14:textId="77BCD3AE" w:rsidR="00D645E9" w:rsidRPr="007B62DE" w:rsidRDefault="004869F2" w:rsidP="00D645E9">
      <w:r>
        <w:t xml:space="preserve">There is moderate </w:t>
      </w:r>
      <w:r w:rsidR="00FB2A6C">
        <w:t>certainty</w:t>
      </w:r>
      <w:r>
        <w:t xml:space="preserve"> evidence that z</w:t>
      </w:r>
      <w:r w:rsidR="00D645E9">
        <w:t xml:space="preserve">inc supplementation may play a role in reducing the risk of preterm birth but </w:t>
      </w:r>
      <w:r w:rsidR="003218E3">
        <w:t xml:space="preserve">has no clear effect on low birthweight. Supplementation </w:t>
      </w:r>
      <w:r w:rsidR="00D645E9">
        <w:t>does not appear to increase or reduce the risk of other outcomes. There is insufficient evidence to support a recommendation on zinc supplementation.</w:t>
      </w:r>
    </w:p>
    <w:p w14:paraId="7A70BF9D" w14:textId="030D9B1E" w:rsidR="00D645E9" w:rsidRDefault="00D645E9" w:rsidP="00D645E9">
      <w:pPr>
        <w:pStyle w:val="Heading5"/>
      </w:pPr>
      <w:r>
        <w:t>Magnesium</w:t>
      </w:r>
    </w:p>
    <w:p w14:paraId="122F2536" w14:textId="6B55B116" w:rsidR="00D645E9" w:rsidRPr="005F5D31" w:rsidRDefault="00D645E9" w:rsidP="00D645E9">
      <w:r>
        <w:t xml:space="preserve">There is insufficient evidence to </w:t>
      </w:r>
      <w:r w:rsidR="004869F2">
        <w:t>draw conclusions</w:t>
      </w:r>
      <w:r>
        <w:t xml:space="preserve"> on magnesium supplementation in pregnancy.</w:t>
      </w:r>
    </w:p>
    <w:p w14:paraId="580CEDDA" w14:textId="37999BF4" w:rsidR="00D645E9" w:rsidRDefault="00D645E9" w:rsidP="00D645E9">
      <w:pPr>
        <w:pStyle w:val="Heading5"/>
      </w:pPr>
      <w:r>
        <w:t>Selenium</w:t>
      </w:r>
    </w:p>
    <w:p w14:paraId="0396AF5B" w14:textId="6F745C00" w:rsidR="00D645E9" w:rsidRDefault="00D645E9" w:rsidP="00D645E9">
      <w:r>
        <w:t xml:space="preserve">There is insufficient evidence to </w:t>
      </w:r>
      <w:r w:rsidR="004869F2">
        <w:t>draw conclusions</w:t>
      </w:r>
      <w:r>
        <w:t xml:space="preserve"> on selenium supplementation in pregnancy. </w:t>
      </w:r>
    </w:p>
    <w:p w14:paraId="2D71D25D" w14:textId="77777777" w:rsidR="00444BF2" w:rsidRDefault="00444BF2" w:rsidP="00F43F44">
      <w:pPr>
        <w:pStyle w:val="Heading2"/>
        <w:rPr>
          <w:b/>
        </w:rPr>
        <w:sectPr w:rsidR="00444BF2" w:rsidSect="008A6B17">
          <w:pgSz w:w="11901" w:h="16817"/>
          <w:pgMar w:top="1134" w:right="1418" w:bottom="1134" w:left="1418" w:header="709" w:footer="709" w:gutter="0"/>
          <w:cols w:space="708"/>
          <w:docGrid w:linePitch="360"/>
        </w:sectPr>
      </w:pPr>
    </w:p>
    <w:p w14:paraId="755795F4" w14:textId="77777777" w:rsidR="007A6F4B" w:rsidRDefault="007A6F4B" w:rsidP="00E01B5B">
      <w:pPr>
        <w:pStyle w:val="Heading3"/>
      </w:pPr>
      <w:bookmarkStart w:id="76" w:name="_Toc40956501"/>
      <w:r>
        <w:t>Evidence tables</w:t>
      </w:r>
      <w:bookmarkEnd w:id="76"/>
    </w:p>
    <w:p w14:paraId="035608DA" w14:textId="3B9001E1" w:rsidR="00B85DD0" w:rsidRDefault="009C163D" w:rsidP="005719CE">
      <w:pPr>
        <w:pStyle w:val="TableName"/>
        <w:ind w:left="1134" w:hanging="1134"/>
      </w:pPr>
      <w:bookmarkStart w:id="77" w:name="_Toc40956612"/>
      <w:r>
        <w:t xml:space="preserve">Q3 </w:t>
      </w:r>
      <w:r w:rsidR="00B85DD0">
        <w:t xml:space="preserve">Harms and benefits of </w:t>
      </w:r>
      <w:r w:rsidR="000E188E">
        <w:t>vitamin B</w:t>
      </w:r>
      <w:r w:rsidR="000E188E" w:rsidRPr="00F63E96">
        <w:rPr>
          <w:vertAlign w:val="subscript"/>
        </w:rPr>
        <w:t>9</w:t>
      </w:r>
      <w:r w:rsidR="000E188E">
        <w:t xml:space="preserve"> (</w:t>
      </w:r>
      <w:r w:rsidR="00236C51">
        <w:t>folic acid</w:t>
      </w:r>
      <w:r w:rsidR="000E188E">
        <w:t>)</w:t>
      </w:r>
      <w:r w:rsidR="0076394C">
        <w:t xml:space="preserve"> supplementation</w:t>
      </w:r>
      <w:r w:rsidR="00B85DD0">
        <w:t xml:space="preserve"> in pregnancy — systematic reviews</w:t>
      </w:r>
      <w:bookmarkEnd w:id="7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4: Q3 Harms and benefits of vitamin B9 (folic acid) supplementation in pregnancy — systematic reviews"/>
      </w:tblPr>
      <w:tblGrid>
        <w:gridCol w:w="1304"/>
        <w:gridCol w:w="1390"/>
        <w:gridCol w:w="4819"/>
        <w:gridCol w:w="4536"/>
        <w:gridCol w:w="1843"/>
      </w:tblGrid>
      <w:tr w:rsidR="00B85DD0" w:rsidRPr="00F350A6" w14:paraId="74A74C38" w14:textId="77777777" w:rsidTr="00D84B93">
        <w:trPr>
          <w:cantSplit/>
          <w:trHeight w:val="390"/>
          <w:tblHeader/>
        </w:trPr>
        <w:tc>
          <w:tcPr>
            <w:tcW w:w="1304" w:type="dxa"/>
          </w:tcPr>
          <w:p w14:paraId="169E4C4B" w14:textId="77777777" w:rsidR="00B85DD0" w:rsidRPr="00F350A6" w:rsidRDefault="00B85DD0" w:rsidP="00B85DD0">
            <w:pPr>
              <w:keepNext/>
              <w:rPr>
                <w:b/>
              </w:rPr>
            </w:pPr>
            <w:r>
              <w:rPr>
                <w:b/>
              </w:rPr>
              <w:t>Study ref</w:t>
            </w:r>
          </w:p>
        </w:tc>
        <w:tc>
          <w:tcPr>
            <w:tcW w:w="1390" w:type="dxa"/>
          </w:tcPr>
          <w:p w14:paraId="51E19C75" w14:textId="77777777" w:rsidR="00B85DD0" w:rsidRPr="00F350A6" w:rsidRDefault="00B85DD0" w:rsidP="00B85DD0">
            <w:pPr>
              <w:keepNext/>
              <w:rPr>
                <w:b/>
              </w:rPr>
            </w:pPr>
            <w:r>
              <w:rPr>
                <w:b/>
              </w:rPr>
              <w:t>N</w:t>
            </w:r>
          </w:p>
        </w:tc>
        <w:tc>
          <w:tcPr>
            <w:tcW w:w="4819" w:type="dxa"/>
          </w:tcPr>
          <w:p w14:paraId="573C0BB8" w14:textId="77777777" w:rsidR="00B85DD0" w:rsidRPr="00F350A6" w:rsidRDefault="00B85DD0" w:rsidP="00B85DD0">
            <w:pPr>
              <w:keepNext/>
              <w:rPr>
                <w:b/>
              </w:rPr>
            </w:pPr>
            <w:r>
              <w:rPr>
                <w:b/>
              </w:rPr>
              <w:t>Aim/methods</w:t>
            </w:r>
          </w:p>
        </w:tc>
        <w:tc>
          <w:tcPr>
            <w:tcW w:w="4536" w:type="dxa"/>
          </w:tcPr>
          <w:p w14:paraId="359A7C2B" w14:textId="77777777" w:rsidR="00B85DD0" w:rsidRPr="00F350A6" w:rsidRDefault="00B85DD0" w:rsidP="00B85DD0">
            <w:pPr>
              <w:keepNext/>
              <w:rPr>
                <w:b/>
              </w:rPr>
            </w:pPr>
            <w:r>
              <w:rPr>
                <w:b/>
              </w:rPr>
              <w:t>Results</w:t>
            </w:r>
          </w:p>
        </w:tc>
        <w:tc>
          <w:tcPr>
            <w:tcW w:w="1843" w:type="dxa"/>
          </w:tcPr>
          <w:p w14:paraId="029A4DCC" w14:textId="77777777" w:rsidR="00B85DD0" w:rsidRPr="00F350A6" w:rsidRDefault="00B85DD0" w:rsidP="00B85DD0">
            <w:pPr>
              <w:keepNext/>
              <w:rPr>
                <w:b/>
              </w:rPr>
            </w:pPr>
            <w:r>
              <w:rPr>
                <w:b/>
              </w:rPr>
              <w:t>Comments</w:t>
            </w:r>
          </w:p>
        </w:tc>
      </w:tr>
      <w:tr w:rsidR="00383CD7" w:rsidRPr="00236C51" w14:paraId="44C0A355" w14:textId="77777777" w:rsidTr="00D84B93">
        <w:trPr>
          <w:cantSplit/>
          <w:trHeight w:val="390"/>
        </w:trPr>
        <w:tc>
          <w:tcPr>
            <w:tcW w:w="1304" w:type="dxa"/>
          </w:tcPr>
          <w:p w14:paraId="1F4EFCE2" w14:textId="7CBDF1F5" w:rsidR="00383CD7" w:rsidRDefault="00383CD7" w:rsidP="002747EA">
            <w:r>
              <w:t>Wang et al 2015</w:t>
            </w:r>
            <w:r w:rsidR="00201490">
              <w:fldChar w:fldCharType="begin"/>
            </w:r>
            <w:r w:rsidR="002747EA">
              <w:instrText xml:space="preserve"> ADDIN EN.CITE &lt;EndNote&gt;&lt;Cite&gt;&lt;Author&gt;Wang&lt;/Author&gt;&lt;Year&gt;2015&lt;/Year&gt;&lt;RecNum&gt;1616&lt;/RecNum&gt;&lt;DisplayText&gt;&lt;style face="superscript" font="Trebuchet MS" size="9"&gt;122&lt;/style&gt;&lt;/DisplayText&gt;&lt;record&gt;&lt;rec-number&gt;1616&lt;/rec-number&gt;&lt;foreign-keys&gt;&lt;key app="EN" db-id="exvasrfx2dtraoesasxp2szsxa2df502592x" timestamp="1576725325"&gt;1616&lt;/key&gt;&lt;key app="ENWeb" db-id=""&gt;0&lt;/key&gt;&lt;/foreign-keys&gt;&lt;ref-type name="Journal Article"&gt;17&lt;/ref-type&gt;&lt;contributors&gt;&lt;authors&gt;&lt;author&gt;Wang, Ting&lt;/author&gt;&lt;author&gt;Zhang, Hong-Ping&lt;/author&gt;&lt;author&gt;Zhang, Xin&lt;/author&gt;&lt;author&gt;Liang, Zong-An&lt;/author&gt;&lt;author&gt;Ji, Yu-Lin&lt;/author&gt;&lt;author&gt;Wang, Gang&lt;/author&gt;&lt;/authors&gt;&lt;/contributors&gt;&lt;titles&gt;&lt;title&gt;Is folate status a risk factor for asthma or other allergic diseases?&lt;/title&gt;&lt;secondary-title&gt;Allergy, Asthma &amp;amp; Immunology Research&lt;/secondary-title&gt;&lt;/titles&gt;&lt;periodical&gt;&lt;full-title&gt;Allergy, Asthma &amp;amp; Immunology Research&lt;/full-title&gt;&lt;/periodical&gt;&lt;volume&gt;7&lt;/volume&gt;&lt;number&gt;6&lt;/number&gt;&lt;section&gt;538&lt;/section&gt;&lt;dates&gt;&lt;year&gt;2015&lt;/year&gt;&lt;/dates&gt;&lt;isbn&gt;2092-7355&amp;#xD;2092-7363&lt;/isbn&gt;&lt;urls&gt;&lt;/urls&gt;&lt;electronic-resource-num&gt;10.4168/aair.2015.7.6.538&lt;/electronic-resource-num&gt;&lt;/record&gt;&lt;/Cite&gt;&lt;/EndNote&gt;</w:instrText>
            </w:r>
            <w:r w:rsidR="00201490">
              <w:fldChar w:fldCharType="separate"/>
            </w:r>
            <w:r w:rsidR="002747EA" w:rsidRPr="002747EA">
              <w:rPr>
                <w:noProof/>
                <w:vertAlign w:val="superscript"/>
              </w:rPr>
              <w:t>122</w:t>
            </w:r>
            <w:r w:rsidR="00201490">
              <w:fldChar w:fldCharType="end"/>
            </w:r>
          </w:p>
        </w:tc>
        <w:tc>
          <w:tcPr>
            <w:tcW w:w="1390" w:type="dxa"/>
          </w:tcPr>
          <w:p w14:paraId="344828D1" w14:textId="77777777" w:rsidR="00383CD7" w:rsidRDefault="00383CD7" w:rsidP="004B62DF">
            <w:r>
              <w:t>16 cohort</w:t>
            </w:r>
          </w:p>
          <w:p w14:paraId="4F52B50A" w14:textId="77777777" w:rsidR="00383CD7" w:rsidRDefault="00383CD7" w:rsidP="006005B6">
            <w:r w:rsidRPr="00454314">
              <w:t>7 case-control</w:t>
            </w:r>
          </w:p>
          <w:p w14:paraId="32F815AD" w14:textId="77777777" w:rsidR="00383CD7" w:rsidRDefault="00383CD7" w:rsidP="006005B6">
            <w:r w:rsidRPr="00454314">
              <w:t>3 cross-sectional studies</w:t>
            </w:r>
          </w:p>
        </w:tc>
        <w:tc>
          <w:tcPr>
            <w:tcW w:w="4819" w:type="dxa"/>
          </w:tcPr>
          <w:p w14:paraId="72646DE7" w14:textId="77777777" w:rsidR="00383CD7" w:rsidRDefault="00383CD7" w:rsidP="006005B6">
            <w:pPr>
              <w:rPr>
                <w:rFonts w:eastAsiaTheme="majorEastAsia"/>
                <w:b/>
                <w:bCs/>
                <w:color w:val="F88A27"/>
              </w:rPr>
            </w:pPr>
            <w:r w:rsidRPr="006005B6">
              <w:rPr>
                <w:rFonts w:eastAsiaTheme="majorEastAsia"/>
                <w:b/>
                <w:color w:val="000000"/>
                <w:szCs w:val="18"/>
              </w:rPr>
              <w:t>Aim</w:t>
            </w:r>
            <w:r>
              <w:rPr>
                <w:rFonts w:eastAsiaTheme="majorEastAsia"/>
                <w:color w:val="000000"/>
                <w:szCs w:val="18"/>
              </w:rPr>
              <w:t>: T</w:t>
            </w:r>
            <w:r w:rsidRPr="00454314">
              <w:t>o investigate whether indirect or direct exposure to folate and impaired folate metabolism, reflected as methylene-tetrahydrofolate reductase (</w:t>
            </w:r>
            <w:r w:rsidRPr="00454314">
              <w:rPr>
                <w:i/>
                <w:iCs/>
              </w:rPr>
              <w:t>MTHFR</w:t>
            </w:r>
            <w:r w:rsidRPr="00454314">
              <w:t xml:space="preserve">) C677T polymorphism, would contribute to the development of asthma and other allergic diseases. </w:t>
            </w:r>
          </w:p>
          <w:p w14:paraId="11D931E1" w14:textId="77777777" w:rsidR="00383CD7" w:rsidRPr="00F34C25" w:rsidRDefault="00383CD7" w:rsidP="00F34C25">
            <w:pPr>
              <w:rPr>
                <w:rFonts w:eastAsiaTheme="majorEastAsia"/>
                <w:b/>
                <w:bCs/>
                <w:color w:val="F88A27"/>
              </w:rPr>
            </w:pPr>
            <w:r w:rsidRPr="006005B6">
              <w:rPr>
                <w:rFonts w:eastAsiaTheme="majorEastAsia"/>
                <w:b/>
              </w:rPr>
              <w:t xml:space="preserve">Methods: </w:t>
            </w:r>
            <w:r w:rsidRPr="00454314">
              <w:t xml:space="preserve">Electronic databases were searched to identify all studies assessing the association between folate status and asthma or other allergic diseases. Two reviewers independently assessed the eligibility of studies and extracted data. The relative risk (RR) or odds ratio (OR) with 95% confidence intervals (CI) was calculated and pooled. </w:t>
            </w:r>
          </w:p>
        </w:tc>
        <w:tc>
          <w:tcPr>
            <w:tcW w:w="4536" w:type="dxa"/>
          </w:tcPr>
          <w:p w14:paraId="545B3B0F" w14:textId="77777777" w:rsidR="00383CD7" w:rsidRDefault="00383CD7" w:rsidP="00545B49">
            <w:r>
              <w:t>Supplementation during pregnancy vs no supplementation:</w:t>
            </w:r>
          </w:p>
          <w:p w14:paraId="4AF5A2BD" w14:textId="1A29C8B6" w:rsidR="00383CD7" w:rsidRDefault="00383CD7" w:rsidP="0030037E">
            <w:pPr>
              <w:pStyle w:val="bullet"/>
            </w:pPr>
            <w:r>
              <w:t xml:space="preserve">Asthma: RR 1.04; 95%CI 0.94 to 1.16; low </w:t>
            </w:r>
            <w:r w:rsidR="00FB2A6C">
              <w:t>certainty</w:t>
            </w:r>
          </w:p>
          <w:p w14:paraId="4C7102E7" w14:textId="06EF0989" w:rsidR="00383CD7" w:rsidRDefault="00383CD7" w:rsidP="0030037E">
            <w:pPr>
              <w:pStyle w:val="bullet"/>
            </w:pPr>
            <w:r>
              <w:t xml:space="preserve">Wheeze: RR 1.05; 95%CI 0.95 to 1.15; low </w:t>
            </w:r>
            <w:r w:rsidR="00FB2A6C">
              <w:t>certainty</w:t>
            </w:r>
          </w:p>
          <w:p w14:paraId="26893462" w14:textId="77777777" w:rsidR="00383CD7" w:rsidRDefault="00383CD7" w:rsidP="00545B49">
            <w:r>
              <w:t>Supplementation in early pregnancy vs no supplementation:</w:t>
            </w:r>
          </w:p>
          <w:p w14:paraId="78AB4C9E" w14:textId="080F991F" w:rsidR="00383CD7" w:rsidRDefault="00383CD7" w:rsidP="0030037E">
            <w:pPr>
              <w:pStyle w:val="bullet"/>
            </w:pPr>
            <w:r>
              <w:t xml:space="preserve">Asthma: RR 0.98; 95%CI 0.78 to 1.23; low </w:t>
            </w:r>
            <w:r w:rsidR="00FB2A6C">
              <w:t>certainty</w:t>
            </w:r>
          </w:p>
          <w:p w14:paraId="5EA7525E" w14:textId="0391D3A3" w:rsidR="00383CD7" w:rsidRDefault="00383CD7" w:rsidP="0030037E">
            <w:pPr>
              <w:pStyle w:val="bullet"/>
            </w:pPr>
            <w:r>
              <w:t xml:space="preserve">Wheeze: RR 1.06; 95%CI 1.02 to 1.09; low </w:t>
            </w:r>
            <w:r w:rsidR="00FB2A6C">
              <w:t>certainty</w:t>
            </w:r>
          </w:p>
          <w:p w14:paraId="540FBB7C" w14:textId="5D45077F" w:rsidR="00383CD7" w:rsidRDefault="00383CD7" w:rsidP="0030037E">
            <w:pPr>
              <w:pStyle w:val="bullet"/>
            </w:pPr>
            <w:r>
              <w:t xml:space="preserve">Atopic dermatitis: RR 1.15; 95%CI 0.91 to 1.45; very low </w:t>
            </w:r>
            <w:r w:rsidR="00FB2A6C">
              <w:t>certainty</w:t>
            </w:r>
          </w:p>
        </w:tc>
        <w:tc>
          <w:tcPr>
            <w:tcW w:w="1843" w:type="dxa"/>
          </w:tcPr>
          <w:p w14:paraId="7A986DFE" w14:textId="6948B670" w:rsidR="00383CD7" w:rsidRDefault="00383CD7" w:rsidP="00B85DD0">
            <w:pPr>
              <w:keepNext/>
            </w:pPr>
          </w:p>
        </w:tc>
      </w:tr>
      <w:tr w:rsidR="00383CD7" w:rsidRPr="00236C51" w14:paraId="7F35D7FB" w14:textId="77777777" w:rsidTr="00D84B93">
        <w:trPr>
          <w:cantSplit/>
          <w:trHeight w:val="390"/>
        </w:trPr>
        <w:tc>
          <w:tcPr>
            <w:tcW w:w="1304" w:type="dxa"/>
          </w:tcPr>
          <w:p w14:paraId="574D2BA2" w14:textId="775905A2" w:rsidR="00383CD7" w:rsidRDefault="00383CD7" w:rsidP="002747EA">
            <w:pPr>
              <w:keepNext/>
            </w:pPr>
            <w:r>
              <w:t>Wang et al 2017</w:t>
            </w:r>
            <w:r w:rsidR="00201490">
              <w:fldChar w:fldCharType="begin">
                <w:fldData xml:space="preserve">PEVuZE5vdGU+PENpdGU+PEF1dGhvcj5XYW5nPC9BdXRob3I+PFllYXI+MjAxNzwvWWVhcj48UmVj
TnVtPjE0NDM8L1JlY051bT48RGlzcGxheVRleHQ+PHN0eWxlIGZhY2U9InN1cGVyc2NyaXB0IiBm
b250PSJUcmVidWNoZXQgTVMiIHNpemU9IjkiPjExODwvc3R5bGU+PC9EaXNwbGF5VGV4dD48cmVj
b3JkPjxyZWMtbnVtYmVyPjE0NDM8L3JlYy1udW1iZXI+PGZvcmVpZ24ta2V5cz48a2V5IGFwcD0i
RU4iIGRiLWlkPSJleHZhc3JmeDJkdHJhb2VzYXN4cDJzenN4YTJkZjUwMjU5MngiIHRpbWVzdGFt
cD0iMTU3MTYyNjI3NyI+MTQ0Mzwva2V5PjxrZXkgYXBwPSJFTldlYiIgZGItaWQ9IiI+MDwva2V5
PjwvZm9yZWlnbi1rZXlzPjxyZWYtdHlwZSBuYW1lPSJKb3VybmFsIEFydGljbGUiPjE3PC9yZWYt
dHlwZT48Y29udHJpYnV0b3JzPjxhdXRob3JzPjxhdXRob3I+V2FuZywgTS48L2F1dGhvcj48YXV0
aG9yPkxpLCBLLjwvYXV0aG9yPjxhdXRob3I+WmhhbywgRC48L2F1dGhvcj48YXV0aG9yPkxpLCBM
LjwvYXV0aG9yPjwvYXV0aG9ycz48L2NvbnRyaWJ1dG9ycz48YXV0aC1hZGRyZXNzPkRlcGFydG1l
bnQgb2YgUGVkaWF0cmljIEhlYWx0aCBDYXJlLCBKaSZhcG9zO25hbiBDaGlsZHJlbiZhcG9zO3Mg
SG9zcGl0YWwgb2YgU2hhbmRvbmcgVW5pdmVyc2l0eSwgTm8uIDIzOTc2LCBKaW5nc2hpIFJvYWQs
IEppJmFwb3M7bmFuLCBTaGFuZG9uZyBQcm92aW5jZSAyNTAwMjIgQ2hpbmEuJiN4RDtEZXBhcnRt
ZW50IG9mIEd5bmVjb2xvZ3ksIFRoZSBDZW50cmFsIEhvc3BpdGFsIG9mIExpbnlpIENpdHksIExp
bnlpLCBTaGFuZG9uZyAyNzYwMDAgQ2hpbmEuPC9hdXRoLWFkZHJlc3M+PHRpdGxlcz48dGl0bGU+
VGhlIGFzc29jaWF0aW9uIGJldHdlZW4gbWF0ZXJuYWwgdXNlIG9mIGZvbGljIGFjaWQgc3VwcGxl
bWVudHMgZHVyaW5nIHByZWduYW5jeSBhbmQgcmlzayBvZiBhdXRpc20gc3BlY3RydW0gZGlzb3Jk
ZXJzIGluIGNoaWxkcmVuOiBhIG1ldGEtYW5hbHlzaXM8L3RpdGxlPjxzZWNvbmRhcnktdGl0bGU+
TW9sIEF1dGlzbTwvc2Vjb25kYXJ5LXRpdGxlPjwvdGl0bGVzPjxwZXJpb2RpY2FsPjxmdWxsLXRp
dGxlPk1vbCBBdXRpc208L2Z1bGwtdGl0bGU+PC9wZXJpb2RpY2FsPjxwYWdlcz41MTwvcGFnZXM+
PHZvbHVtZT44PC92b2x1bWU+PGVkaXRpb24+MjAxNy8xMC8xNDwvZWRpdGlvbj48a2V5d29yZHM+
PGtleXdvcmQ+QXV0aXNtIFNwZWN0cnVtIERpc29yZGVyLyplcGlkZW1pb2xvZ3kvKmV0aW9sb2d5
PC9rZXl3b3JkPjxrZXl3b3JkPkNoaWxkPC9rZXl3b3JkPjxrZXl3b3JkPkRpZXRhcnkgU3VwcGxl
bWVudHMvKmFkdmVyc2UgZWZmZWN0czwva2V5d29yZD48a2V5d29yZD5GZW1hbGU8L2tleXdvcmQ+
PGtleXdvcmQ+Rm9saWMgQWNpZC9hZG1pbmlzdHJhdGlvbiAmYW1wOyBkb3NhZ2UvKmFkdmVyc2Ug
ZWZmZWN0czwva2V5d29yZD48a2V5d29yZD5IdW1hbnM8L2tleXdvcmQ+PGtleXdvcmQ+TWF0ZXJu
YWwgRXhwb3N1cmUvKmFkdmVyc2UgZWZmZWN0czwva2V5d29yZD48a2V5d29yZD5PZGRzIFJhdGlv
PC9rZXl3b3JkPjxrZXl3b3JkPlByZWduYW5jeTwva2V5d29yZD48a2V5d29yZD4qUHJlbmF0YWwg
RXhwb3N1cmUgRGVsYXllZCBFZmZlY3RzPC9rZXl3b3JkPjxrZXl3b3JkPlJpc2s8L2tleXdvcmQ+
PGtleXdvcmQ+KkF1dGlzbSBzcGVjdHJ1bSBkaXNvcmRlcnM8L2tleXdvcmQ+PGtleXdvcmQ+KkNo
aWxkcmVuPC9rZXl3b3JkPjxrZXl3b3JkPipGb2xpYyBhY2lkIHN1cHBsZW1lbnRzPC9rZXl3b3Jk
PjxrZXl3b3JkPipNYXRlcm5hbDwva2V5d29yZD48a2V5d29yZD4qTWV0YS1hbmFseXNpczwva2V5
d29yZD48L2tleXdvcmRzPjxkYXRlcz48eWVhcj4yMDE3PC95ZWFyPjwvZGF0ZXM+PGlzYm4+MjA0
MC0yMzkyIChFbGVjdHJvbmljKTwvaXNibj48YWNjZXNzaW9uLW51bT4yOTAyNjUwODwvYWNjZXNz
aW9uLW51bT48dXJscz48cmVsYXRlZC11cmxzPjx1cmw+aHR0cHM6Ly93d3cubmNiaS5ubG0ubmlo
Lmdvdi9wdWJtZWQvMjkwMjY1MDg8L3VybD48L3JlbGF0ZWQtdXJscz48L3VybHM+PGN1c3RvbTI+
UE1DNTYyNTgyMTwvY3VzdG9tMj48ZWxlY3Ryb25pYy1yZXNvdXJjZS1udW0+MTAuMTE4Ni9zMTMy
MjktMDE3LTAxNzAtODwvZWxlY3Ryb25pYy1yZXNvdXJjZS1udW0+PC9yZWNvcmQ+PC9DaXRlPjwv
RW5kTm90ZT5=
</w:fldData>
              </w:fldChar>
            </w:r>
            <w:r w:rsidR="002747EA">
              <w:instrText xml:space="preserve"> ADDIN EN.CITE </w:instrText>
            </w:r>
            <w:r w:rsidR="002747EA">
              <w:fldChar w:fldCharType="begin">
                <w:fldData xml:space="preserve">PEVuZE5vdGU+PENpdGU+PEF1dGhvcj5XYW5nPC9BdXRob3I+PFllYXI+MjAxNzwvWWVhcj48UmVj
TnVtPjE0NDM8L1JlY051bT48RGlzcGxheVRleHQ+PHN0eWxlIGZhY2U9InN1cGVyc2NyaXB0IiBm
b250PSJUcmVidWNoZXQgTVMiIHNpemU9IjkiPjExODwvc3R5bGU+PC9EaXNwbGF5VGV4dD48cmVj
b3JkPjxyZWMtbnVtYmVyPjE0NDM8L3JlYy1udW1iZXI+PGZvcmVpZ24ta2V5cz48a2V5IGFwcD0i
RU4iIGRiLWlkPSJleHZhc3JmeDJkdHJhb2VzYXN4cDJzenN4YTJkZjUwMjU5MngiIHRpbWVzdGFt
cD0iMTU3MTYyNjI3NyI+MTQ0Mzwva2V5PjxrZXkgYXBwPSJFTldlYiIgZGItaWQ9IiI+MDwva2V5
PjwvZm9yZWlnbi1rZXlzPjxyZWYtdHlwZSBuYW1lPSJKb3VybmFsIEFydGljbGUiPjE3PC9yZWYt
dHlwZT48Y29udHJpYnV0b3JzPjxhdXRob3JzPjxhdXRob3I+V2FuZywgTS48L2F1dGhvcj48YXV0
aG9yPkxpLCBLLjwvYXV0aG9yPjxhdXRob3I+WmhhbywgRC48L2F1dGhvcj48YXV0aG9yPkxpLCBM
LjwvYXV0aG9yPjwvYXV0aG9ycz48L2NvbnRyaWJ1dG9ycz48YXV0aC1hZGRyZXNzPkRlcGFydG1l
bnQgb2YgUGVkaWF0cmljIEhlYWx0aCBDYXJlLCBKaSZhcG9zO25hbiBDaGlsZHJlbiZhcG9zO3Mg
SG9zcGl0YWwgb2YgU2hhbmRvbmcgVW5pdmVyc2l0eSwgTm8uIDIzOTc2LCBKaW5nc2hpIFJvYWQs
IEppJmFwb3M7bmFuLCBTaGFuZG9uZyBQcm92aW5jZSAyNTAwMjIgQ2hpbmEuJiN4RDtEZXBhcnRt
ZW50IG9mIEd5bmVjb2xvZ3ksIFRoZSBDZW50cmFsIEhvc3BpdGFsIG9mIExpbnlpIENpdHksIExp
bnlpLCBTaGFuZG9uZyAyNzYwMDAgQ2hpbmEuPC9hdXRoLWFkZHJlc3M+PHRpdGxlcz48dGl0bGU+
VGhlIGFzc29jaWF0aW9uIGJldHdlZW4gbWF0ZXJuYWwgdXNlIG9mIGZvbGljIGFjaWQgc3VwcGxl
bWVudHMgZHVyaW5nIHByZWduYW5jeSBhbmQgcmlzayBvZiBhdXRpc20gc3BlY3RydW0gZGlzb3Jk
ZXJzIGluIGNoaWxkcmVuOiBhIG1ldGEtYW5hbHlzaXM8L3RpdGxlPjxzZWNvbmRhcnktdGl0bGU+
TW9sIEF1dGlzbTwvc2Vjb25kYXJ5LXRpdGxlPjwvdGl0bGVzPjxwZXJpb2RpY2FsPjxmdWxsLXRp
dGxlPk1vbCBBdXRpc208L2Z1bGwtdGl0bGU+PC9wZXJpb2RpY2FsPjxwYWdlcz41MTwvcGFnZXM+
PHZvbHVtZT44PC92b2x1bWU+PGVkaXRpb24+MjAxNy8xMC8xNDwvZWRpdGlvbj48a2V5d29yZHM+
PGtleXdvcmQ+QXV0aXNtIFNwZWN0cnVtIERpc29yZGVyLyplcGlkZW1pb2xvZ3kvKmV0aW9sb2d5
PC9rZXl3b3JkPjxrZXl3b3JkPkNoaWxkPC9rZXl3b3JkPjxrZXl3b3JkPkRpZXRhcnkgU3VwcGxl
bWVudHMvKmFkdmVyc2UgZWZmZWN0czwva2V5d29yZD48a2V5d29yZD5GZW1hbGU8L2tleXdvcmQ+
PGtleXdvcmQ+Rm9saWMgQWNpZC9hZG1pbmlzdHJhdGlvbiAmYW1wOyBkb3NhZ2UvKmFkdmVyc2Ug
ZWZmZWN0czwva2V5d29yZD48a2V5d29yZD5IdW1hbnM8L2tleXdvcmQ+PGtleXdvcmQ+TWF0ZXJu
YWwgRXhwb3N1cmUvKmFkdmVyc2UgZWZmZWN0czwva2V5d29yZD48a2V5d29yZD5PZGRzIFJhdGlv
PC9rZXl3b3JkPjxrZXl3b3JkPlByZWduYW5jeTwva2V5d29yZD48a2V5d29yZD4qUHJlbmF0YWwg
RXhwb3N1cmUgRGVsYXllZCBFZmZlY3RzPC9rZXl3b3JkPjxrZXl3b3JkPlJpc2s8L2tleXdvcmQ+
PGtleXdvcmQ+KkF1dGlzbSBzcGVjdHJ1bSBkaXNvcmRlcnM8L2tleXdvcmQ+PGtleXdvcmQ+KkNo
aWxkcmVuPC9rZXl3b3JkPjxrZXl3b3JkPipGb2xpYyBhY2lkIHN1cHBsZW1lbnRzPC9rZXl3b3Jk
PjxrZXl3b3JkPipNYXRlcm5hbDwva2V5d29yZD48a2V5d29yZD4qTWV0YS1hbmFseXNpczwva2V5
d29yZD48L2tleXdvcmRzPjxkYXRlcz48eWVhcj4yMDE3PC95ZWFyPjwvZGF0ZXM+PGlzYm4+MjA0
MC0yMzkyIChFbGVjdHJvbmljKTwvaXNibj48YWNjZXNzaW9uLW51bT4yOTAyNjUwODwvYWNjZXNz
aW9uLW51bT48dXJscz48cmVsYXRlZC11cmxzPjx1cmw+aHR0cHM6Ly93d3cubmNiaS5ubG0ubmlo
Lmdvdi9wdWJtZWQvMjkwMjY1MDg8L3VybD48L3JlbGF0ZWQtdXJscz48L3VybHM+PGN1c3RvbTI+
UE1DNTYyNTgyMTwvY3VzdG9tMj48ZWxlY3Ryb25pYy1yZXNvdXJjZS1udW0+MTAuMTE4Ni9zMTMy
MjktMDE3LTAxNzAtODwvZWxlY3Ryb25pYy1yZXNvdXJjZS1udW0+PC9yZWNvcmQ+PC9DaXRlPjwv
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118</w:t>
            </w:r>
            <w:r w:rsidR="00201490">
              <w:fldChar w:fldCharType="end"/>
            </w:r>
          </w:p>
        </w:tc>
        <w:tc>
          <w:tcPr>
            <w:tcW w:w="1390" w:type="dxa"/>
          </w:tcPr>
          <w:p w14:paraId="468FD4E5" w14:textId="77777777" w:rsidR="00383CD7" w:rsidRDefault="00383CD7" w:rsidP="004B62DF">
            <w:r>
              <w:t>16 observational studies</w:t>
            </w:r>
          </w:p>
        </w:tc>
        <w:tc>
          <w:tcPr>
            <w:tcW w:w="4819" w:type="dxa"/>
          </w:tcPr>
          <w:p w14:paraId="16E73660" w14:textId="705FD46C" w:rsidR="00383CD7" w:rsidRDefault="00383CD7" w:rsidP="004B62DF">
            <w:r>
              <w:rPr>
                <w:b/>
              </w:rPr>
              <w:t xml:space="preserve">Aim: </w:t>
            </w:r>
            <w:r>
              <w:t>T</w:t>
            </w:r>
            <w:r w:rsidRPr="00E46C6D">
              <w:t xml:space="preserve">o reassess the relationship between folic acid and the risk of </w:t>
            </w:r>
            <w:r w:rsidR="00806F6F">
              <w:t>autism spectrum disorders</w:t>
            </w:r>
            <w:r w:rsidRPr="00E46C6D">
              <w:t xml:space="preserve">. </w:t>
            </w:r>
          </w:p>
          <w:p w14:paraId="3F1DCAE8" w14:textId="77777777" w:rsidR="00383CD7" w:rsidRPr="00FB6327" w:rsidRDefault="00383CD7" w:rsidP="00E75FAF">
            <w:pPr>
              <w:rPr>
                <w:b/>
              </w:rPr>
            </w:pPr>
            <w:r w:rsidRPr="00E46C6D">
              <w:rPr>
                <w:b/>
              </w:rPr>
              <w:t>Methods</w:t>
            </w:r>
            <w:r>
              <w:t xml:space="preserve">: </w:t>
            </w:r>
            <w:r w:rsidRPr="00E46C6D">
              <w:t xml:space="preserve">The electronic databases PubMed, Web of Knowledge, and Wanfang Data were carefully searched to find eligible studies as recent as March 2017. A random effects model was used to combine the relative risk (RR) with 95% confidence intervals (CI). Sensitivity analysis and publication bias were conducted. </w:t>
            </w:r>
          </w:p>
        </w:tc>
        <w:tc>
          <w:tcPr>
            <w:tcW w:w="4536" w:type="dxa"/>
          </w:tcPr>
          <w:p w14:paraId="74FDEB70" w14:textId="77777777" w:rsidR="00383CD7" w:rsidRDefault="00383CD7" w:rsidP="00E46C6D">
            <w:r>
              <w:t>Folic acid supplementation vs no supplementation:</w:t>
            </w:r>
          </w:p>
          <w:p w14:paraId="4C3E1AA1" w14:textId="77777777" w:rsidR="00383CD7" w:rsidRPr="00E75FAF" w:rsidRDefault="00383CD7" w:rsidP="00E75FAF">
            <w:pPr>
              <w:rPr>
                <w:i/>
              </w:rPr>
            </w:pPr>
            <w:r w:rsidRPr="00E75FAF">
              <w:rPr>
                <w:i/>
              </w:rPr>
              <w:t xml:space="preserve">Autism spectrum disorders </w:t>
            </w:r>
          </w:p>
          <w:p w14:paraId="05905E8B" w14:textId="641A5AE1" w:rsidR="00383CD7" w:rsidRDefault="00806F6F" w:rsidP="00E75FAF">
            <w:pPr>
              <w:pStyle w:val="bullet"/>
            </w:pPr>
            <w:r>
              <w:t>All populations: RR 0.77</w:t>
            </w:r>
            <w:r w:rsidR="00383CD7">
              <w:t xml:space="preserve">; 95%CI </w:t>
            </w:r>
            <w:r>
              <w:t>0.64 to 0.93</w:t>
            </w:r>
            <w:r w:rsidR="00383CD7">
              <w:t>, 16 studies</w:t>
            </w:r>
          </w:p>
          <w:p w14:paraId="0E87BBFD" w14:textId="77777777" w:rsidR="00383CD7" w:rsidRDefault="00383CD7" w:rsidP="00E75FAF">
            <w:pPr>
              <w:pStyle w:val="bullet"/>
            </w:pPr>
            <w:r>
              <w:t>Asian populations: RR 0.67; 95%CI 0.46 to 0.97; 8 studies</w:t>
            </w:r>
          </w:p>
          <w:p w14:paraId="084382F3" w14:textId="77777777" w:rsidR="00383CD7" w:rsidRDefault="00383CD7" w:rsidP="00E75FAF">
            <w:pPr>
              <w:pStyle w:val="bullet"/>
            </w:pPr>
            <w:r>
              <w:t>European populations: RR 0.84; 95%CI 0.68 to 0.99; 3 studies</w:t>
            </w:r>
          </w:p>
          <w:p w14:paraId="210353EF" w14:textId="77777777" w:rsidR="00383CD7" w:rsidRPr="00E75FAF" w:rsidRDefault="00383CD7" w:rsidP="00E75FAF">
            <w:pPr>
              <w:pStyle w:val="bullet"/>
            </w:pPr>
            <w:r>
              <w:t>American populations: RR 0.41; 95%CI 0.17 to 0.99; 5 studies</w:t>
            </w:r>
          </w:p>
        </w:tc>
        <w:tc>
          <w:tcPr>
            <w:tcW w:w="1843" w:type="dxa"/>
          </w:tcPr>
          <w:p w14:paraId="17B7BF62" w14:textId="01E227FD" w:rsidR="00383CD7" w:rsidRPr="00236C51" w:rsidRDefault="00383CD7" w:rsidP="00B85DD0">
            <w:pPr>
              <w:keepNext/>
            </w:pPr>
          </w:p>
        </w:tc>
      </w:tr>
      <w:tr w:rsidR="00383CD7" w:rsidRPr="00236C51" w14:paraId="12D1FF11" w14:textId="77777777" w:rsidTr="00D84B93">
        <w:trPr>
          <w:cantSplit/>
          <w:trHeight w:val="390"/>
        </w:trPr>
        <w:tc>
          <w:tcPr>
            <w:tcW w:w="1304" w:type="dxa"/>
          </w:tcPr>
          <w:p w14:paraId="4FABC007" w14:textId="63445B28" w:rsidR="00383CD7" w:rsidRPr="00456351" w:rsidRDefault="00383CD7" w:rsidP="002747EA">
            <w:r w:rsidRPr="00456351">
              <w:t>Metayer</w:t>
            </w:r>
            <w:r>
              <w:t xml:space="preserve"> et al 2014</w:t>
            </w:r>
            <w:r w:rsidR="00201490">
              <w:fldChar w:fldCharType="begin">
                <w:fldData xml:space="preserve">PEVuZE5vdGU+PENpdGU+PEF1dGhvcj5NZXRheWVyPC9BdXRob3I+PFllYXI+MjAxNDwvWWVhcj48
UmVjTnVtPjE2MTU8L1JlY051bT48RGlzcGxheVRleHQ+PHN0eWxlIGZhY2U9InN1cGVyc2NyaXB0
IiBmb250PSJUcmVidWNoZXQgTVMiIHNpemU9IjkiPjEyMDwvc3R5bGU+PC9EaXNwbGF5VGV4dD48
cmVjb3JkPjxyZWMtbnVtYmVyPjE2MTU8L3JlYy1udW1iZXI+PGZvcmVpZ24ta2V5cz48a2V5IGFw
cD0iRU4iIGRiLWlkPSJleHZhc3JmeDJkdHJhb2VzYXN4cDJzenN4YTJkZjUwMjU5MngiIHRpbWVz
dGFtcD0iMTU3NjcyMzY1OCI+MTYxNTwva2V5PjwvZm9yZWlnbi1rZXlzPjxyZWYtdHlwZSBuYW1l
PSJKb3VybmFsIEFydGljbGUiPjE3PC9yZWYtdHlwZT48Y29udHJpYnV0b3JzPjxhdXRob3JzPjxh
dXRob3I+TWV0YXllciwgQy48L2F1dGhvcj48YXV0aG9yPk1pbG5lLCBFLjwvYXV0aG9yPjxhdXRo
b3I+RG9ja2VydHksIEouIEQuPC9hdXRob3I+PGF1dGhvcj5DbGF2ZWwsIEouPC9hdXRob3I+PGF1
dGhvcj5Qb21iby1kZS1PbGl2ZWlyYSwgTS4gUy48L2F1dGhvcj48YXV0aG9yPldlc3NlbGluZywg
Qy48L2F1dGhvcj48YXV0aG9yPlNwZWN0b3IsIEwuIEcuPC9hdXRob3I+PGF1dGhvcj5TY2h1eiwg
Si48L2F1dGhvcj48YXV0aG9yPlBldHJpZG91LCBFLjwvYXV0aG9yPjxhdXRob3I+RXp6YXQsIFMu
PC9hdXRob3I+PGF1dGhvcj5Bcm1zdHJvbmcsIEIuIEsuPC9hdXRob3I+PGF1dGhvcj5SdWRhbnQs
IEouPC9hdXRob3I+PGF1dGhvcj5Lb2lmbWFuLCBTLjwvYXV0aG9yPjxhdXRob3I+S2FhdHNjaCwg
UC48L2F1dGhvcj48YXV0aG9yPk1vc2Nob3ZpLCBNLjwvYXV0aG9yPjxhdXRob3I+UmFzaGVkLCBX
LiBNLjwvYXV0aG9yPjxhdXRob3I+U2VsdmluLCBTLjwvYXV0aG9yPjxhdXRob3I+TWNDYXVsZXks
IEsuPC9hdXRob3I+PGF1dGhvcj5IdW5nLCBSLiBKLjwvYXV0aG9yPjxhdXRob3I+S2FuZywgQS4g
WS48L2F1dGhvcj48YXV0aG9yPkluZmFudGUtUml2YXJkLCBDLjwvYXV0aG9yPjwvYXV0aG9ycz48
L2NvbnRyaWJ1dG9ycz48YXV0aC1hZGRyZXNzPkZyb20gdGhlIGFVbml2ZXJzaXR5IG9mIENhbGlm
b3JuaWEsIFNjaG9vbCBvZiBQdWJsaWMgSGVhbHRoLCBCZXJrZWxleSwgQ0E7IGJUZWxldGhvbiBJ
bnN0aXR1dGUgZm9yIENoaWxkIEhlYWx0aCBSZXNlYXJjaCwgQ2VudHJlIGZvciBDaGlsZCBIZWFs
dGggUmVzZWFyY2gsIFVuaXZlcnNpdHkgb2YgV2VzdGVybiBBdXN0cmFsaWEsIFdlc3QgUGVydGgs
IFdlc3Rlcm4gQXVzdHJhbGlhOyBjRGVhbiZhcG9zO3MgRGVwYXJ0bWVudCBhbmQgRGVwYXJ0bWVu
dCBvZiBQcmV2ZW50aXZlIGFuZCBTb2NpYWwgTWVkaWNpbmUsIER1bmVkaW4gU2Nob29sIG9mIE1l
ZGljaW5lLCBVbml2ZXJzaXR5IG9mIE90YWdvLCBEdW5lZGluLCBOZXcgWmVhbGFuZDsgZEluc2Vy
bSwgQ0VTUCBDZW50cmUgZm9yIFJlc2VhcmNoIGluIEVwaWRlbWlvbG9neSBhbmQgUG9wdWxhdGlv
biBIZWFsdGgsIEVudmlyb25tZW50YWwgRXBpZGVtaW9sb2d5IG9mIENhbmNlciBUZWFtLCBVbml2
ZXJzaXRlIFBhcmlzLVN1ZCwgVmlsbGVqdWlmLCBGcmFuY2U7IGVQZWRpYXRyaWMgSGVtYXRvbG9n
eS1PbmNvbG9neSBQcm9ncmFtLCBSZXNlYXJjaCBQcm9ncmFtLCBJbnN0aXR1dG8gTmFjaW9uYWwg
ZGUgQ2FuY2VyLCBSaW8gZGUgSmFuZWlybywgQnJhemlsOyBmSW5zdGl0dXRvIFJlZ2lvbmFsIGRl
IEVzdHVkaW9zIGVuIFN1c3RhbmNpYXMgVG94aWNhcyAoSVJFVCksIFVuaXZlcnNpZGFkIE5hY2lv
bmFsLCBIZXJlZGlhLCBDb3N0YSBSaWNhOyBnRGl2aXNpb24gb2YgRXBpZGVtaW9sb2d5IENsaW5p
Y2FsIFJlc2VhcmNoLCBEZXBhcnRtZW50IG9mIFBlZGlhdHJpY3MgYW5kIE1hc29uaWMgQ2FuY2Vy
IENlbnRlciwgVW5pdmVyc2l0eSBvZiBNaW5uZXNvdGEsIE1pbm5lYXBvbGlzLCBNTjsgaEludGVy
bmF0aW9uYWwgQWdlbmN5IGZvciBSZXNlYXJjaCBvbiBDYW5jZXIsIFNlY3Rpb24gb2YgRW52aXJv
bm1lbnQgYW5kIFJhZGlhdGlvbiwgTHlvbiwgRnJhbmNlOyBpRGVwYXJ0bWVudCBvZiBIeWdpZW5l
LCBFcGlkZW1pb2xvZ3ksIGFuZCBNZWRpY2FsIFN0YXRpc3RpY3MsIE1lZGljYWwgU2Nob29sLCBO
YXRpb25hbCBhbmQgS2Fwb2Rpc3RyaWFuIFVuaXZlcnNpdHkgb2YgQXRoZW5zLCBBdGhlbnMsIEdy
ZWVjZTsgalJlc2VhcmNoIERlcGFydG1lbnQsIENoaWxkcmVuJmFwb3M7cyBDYW5jZXIgSG9zcGl0
YWwsIENhaXJvLCBFZ3lwdDsga1N5ZG5leSBTY2hvb2wgb2YgUHVibGljIEhlYWx0aCwgVW5pdmVy
c2l0eSBvZiBTeWRuZXksIE5ldyBTb3V0aCBXYWxlcywgQXVzdHJhbGlhOyBsTmF0aW9uYWwgU2No
b29sIG9mIFB1YmxpYyBIZWFsdGgsIE9zd2FsZG8gQ3J1eiBGb3VuZGF0aW9uIChGSU9DUlVaKSwg
TWluaXN0cnkgb2YgSGVhbHRoLCBSaW8gZGUgSmFuZWlybywgQnJhemlsOyBtR2VybWFuIENoaWxk
aG9vZCBDYW5jZXIgUmVnaXN0cnksIEluc3RpdHV0ZSBmb3IgTWVkaWNhbCBCaW9zdGF0aXN0aWNz
LCBFcGlkZW1pb2xvZ3kgYW5kIEluZm9ybWF0aWNzLCBVbml2ZXJzaXR5IE1lZGljYWwgQ2VudHJl
LCBKb2hhbm5lcyBHdXRlbmJlcmcgVW5pdmVyc2l0eSBNYWlueiwgTWFpbnosIEdlcm1hbnk7IG5M
dW5lbmZlbGQtVGFuZW5iYXVtIFJlc2VhcmNoIEluc3RpdHV0ZSBvZiBNb3VudCBTaW5haSBIb3Nw
aXRhbCwgVG9yb250bywgT250YXJpbywgQ2FuYWRhOyBhbmQgb0RlcGFydG1lbnQgb2YgRXBpZGVt
aW9sb2d5LCBCaW9zdGF0aXN0aWNzLCBhbmQgT2NjdXBhdGlvbmFsIEhlYWx0aCwgRmFjdWx0eSBv
ZiBNZWRpY2luZSwgTWNHaWxsIFVuaXZlcnNpdHksIE1vbnRyZWFsLCBQcm92aW5jZSBvZiBRdWVi
ZWMsIENhbmFkYS48L2F1dGgtYWRkcmVzcz48dGl0bGVzPjx0aXRsZT5NYXRlcm5hbCBzdXBwbGVt
ZW50YXRpb24gd2l0aCBmb2xpYyBhY2lkIGFuZCBvdGhlciB2aXRhbWlucyBhbmQgcmlzayBvZiBs
ZXVrZW1pYSBpbiBvZmZzcHJpbmc6IGEgQ2hpbGRob29kIExldWtlbWlhIEludGVybmF0aW9uYWwg
Q29uc29ydGl1bSBzdHVkeTwvdGl0bGU+PHNlY29uZGFyeS10aXRsZT5FcGlkZW1pb2xvZ3k8L3Nl
Y29uZGFyeS10aXRsZT48L3RpdGxlcz48cGVyaW9kaWNhbD48ZnVsbC10aXRsZT5FcGlkZW1pb2xv
Z3k8L2Z1bGwtdGl0bGU+PC9wZXJpb2RpY2FsPjxwYWdlcz44MTEtMjI8L3BhZ2VzPjx2b2x1bWU+
MjU8L3ZvbHVtZT48bnVtYmVyPjY8L251bWJlcj48ZWRpdGlvbj4yMDE0LzA5LzExPC9lZGl0aW9u
PjxrZXl3b3Jkcz48a2V5d29yZD5BZG9sZXNjZW50PC9rZXl3b3JkPjxrZXl3b3JkPkNhc2UtQ29u
dHJvbCBTdHVkaWVzPC9rZXl3b3JkPjxrZXl3b3JkPkNoaWxkPC9rZXl3b3JkPjxrZXl3b3JkPkNo
aWxkLCBQcmVzY2hvb2w8L2tleXdvcmQ+PGtleXdvcmQ+RGlldGFyeSBTdXBwbGVtZW50czwva2V5
d29yZD48a2V5d29yZD5GZW1hbGU8L2tleXdvcmQ+PGtleXdvcmQ+Rm9saWMgQWNpZC8qYWRtaW5p
c3RyYXRpb24gJmFtcDsgZG9zYWdlPC9rZXl3b3JkPjxrZXl3b3JkPkh1bWFuczwva2V5d29yZD48
a2V5d29yZD5JbmZhbnQ8L2tleXdvcmQ+PGtleXdvcmQ+SW5mYW50LCBOZXdib3JuPC9rZXl3b3Jk
PjxrZXl3b3JkPkxldWtlbWlhLCBNeWVsb2lkLCBBY3V0ZS8qZXBpZGVtaW9sb2d5LypwcmV2ZW50
aW9uICZhbXA7IGNvbnRyb2w8L2tleXdvcmQ+PGtleXdvcmQ+TWFsZTwva2V5d29yZD48a2V5d29y
ZD5NYXRlcm5hbC1GZXRhbCBFeGNoYW5nZTwva2V5d29yZD48a2V5d29yZD5QcmVjdXJzb3IgQ2Vs
bCBMeW1waG9ibGFzdGljIExldWtlbWlhLUx5bXBob21hLyplcGlkZW1pb2xvZ3kvKnByZXZlbnRp
b24gJmFtcDs8L2tleXdvcmQ+PGtleXdvcmQ+Y29udHJvbDwva2V5d29yZD48a2V5d29yZD5QcmVn
bmFuY3k8L2tleXdvcmQ+PGtleXdvcmQ+Umlzazwva2V5d29yZD48a2V5d29yZD5SaXNrIEZhY3Rv
cnM8L2tleXdvcmQ+PGtleXdvcmQ+Vml0YW1pbnMvKmFkbWluaXN0cmF0aW9uICZhbXA7IGRvc2Fn
ZTwva2V5d29yZD48L2tleXdvcmRzPjxkYXRlcz48eWVhcj4yMDE0PC95ZWFyPjxwdWItZGF0ZXM+
PGRhdGU+Tm92PC9kYXRlPjwvcHViLWRhdGVzPjwvZGF0ZXM+PGlzYm4+MTUzMS01NDg3IChFbGVj
dHJvbmljKSYjeEQ7MTA0NC0zOTgzIChMaW5raW5nKTwvaXNibj48YWNjZXNzaW9uLW51bT4yNTIw
Nzk1NDwvYWNjZXNzaW9uLW51bT48dXJscz48cmVsYXRlZC11cmxzPjx1cmw+aHR0cHM6Ly93d3cu
bmNiaS5ubG0ubmloLmdvdi9wdWJtZWQvMjUyMDc5NTQ8L3VybD48L3JlbGF0ZWQtdXJscz48L3Vy
bHM+PGN1c3RvbTI+UE1DNTkwMzU2MzwvY3VzdG9tMj48ZWxlY3Ryb25pYy1yZXNvdXJjZS1udW0+
MTAuMTA5Ny9FREUuMDAwMDAwMDAwMDAwMDE0MTwvZWxlY3Ryb25pYy1yZXNvdXJjZS1udW0+PC9y
ZWNvcmQ+PC9DaXRlPjwvRW5kTm90ZT5=
</w:fldData>
              </w:fldChar>
            </w:r>
            <w:r w:rsidR="002747EA">
              <w:instrText xml:space="preserve"> ADDIN EN.CITE </w:instrText>
            </w:r>
            <w:r w:rsidR="002747EA">
              <w:fldChar w:fldCharType="begin">
                <w:fldData xml:space="preserve">PEVuZE5vdGU+PENpdGU+PEF1dGhvcj5NZXRheWVyPC9BdXRob3I+PFllYXI+MjAxNDwvWWVhcj48
UmVjTnVtPjE2MTU8L1JlY051bT48RGlzcGxheVRleHQ+PHN0eWxlIGZhY2U9InN1cGVyc2NyaXB0
IiBmb250PSJUcmVidWNoZXQgTVMiIHNpemU9IjkiPjEyMDwvc3R5bGU+PC9EaXNwbGF5VGV4dD48
cmVjb3JkPjxyZWMtbnVtYmVyPjE2MTU8L3JlYy1udW1iZXI+PGZvcmVpZ24ta2V5cz48a2V5IGFw
cD0iRU4iIGRiLWlkPSJleHZhc3JmeDJkdHJhb2VzYXN4cDJzenN4YTJkZjUwMjU5MngiIHRpbWVz
dGFtcD0iMTU3NjcyMzY1OCI+MTYxNTwva2V5PjwvZm9yZWlnbi1rZXlzPjxyZWYtdHlwZSBuYW1l
PSJKb3VybmFsIEFydGljbGUiPjE3PC9yZWYtdHlwZT48Y29udHJpYnV0b3JzPjxhdXRob3JzPjxh
dXRob3I+TWV0YXllciwgQy48L2F1dGhvcj48YXV0aG9yPk1pbG5lLCBFLjwvYXV0aG9yPjxhdXRo
b3I+RG9ja2VydHksIEouIEQuPC9hdXRob3I+PGF1dGhvcj5DbGF2ZWwsIEouPC9hdXRob3I+PGF1
dGhvcj5Qb21iby1kZS1PbGl2ZWlyYSwgTS4gUy48L2F1dGhvcj48YXV0aG9yPldlc3NlbGluZywg
Qy48L2F1dGhvcj48YXV0aG9yPlNwZWN0b3IsIEwuIEcuPC9hdXRob3I+PGF1dGhvcj5TY2h1eiwg
Si48L2F1dGhvcj48YXV0aG9yPlBldHJpZG91LCBFLjwvYXV0aG9yPjxhdXRob3I+RXp6YXQsIFMu
PC9hdXRob3I+PGF1dGhvcj5Bcm1zdHJvbmcsIEIuIEsuPC9hdXRob3I+PGF1dGhvcj5SdWRhbnQs
IEouPC9hdXRob3I+PGF1dGhvcj5Lb2lmbWFuLCBTLjwvYXV0aG9yPjxhdXRob3I+S2FhdHNjaCwg
UC48L2F1dGhvcj48YXV0aG9yPk1vc2Nob3ZpLCBNLjwvYXV0aG9yPjxhdXRob3I+UmFzaGVkLCBX
LiBNLjwvYXV0aG9yPjxhdXRob3I+U2VsdmluLCBTLjwvYXV0aG9yPjxhdXRob3I+TWNDYXVsZXks
IEsuPC9hdXRob3I+PGF1dGhvcj5IdW5nLCBSLiBKLjwvYXV0aG9yPjxhdXRob3I+S2FuZywgQS4g
WS48L2F1dGhvcj48YXV0aG9yPkluZmFudGUtUml2YXJkLCBDLjwvYXV0aG9yPjwvYXV0aG9ycz48
L2NvbnRyaWJ1dG9ycz48YXV0aC1hZGRyZXNzPkZyb20gdGhlIGFVbml2ZXJzaXR5IG9mIENhbGlm
b3JuaWEsIFNjaG9vbCBvZiBQdWJsaWMgSGVhbHRoLCBCZXJrZWxleSwgQ0E7IGJUZWxldGhvbiBJ
bnN0aXR1dGUgZm9yIENoaWxkIEhlYWx0aCBSZXNlYXJjaCwgQ2VudHJlIGZvciBDaGlsZCBIZWFs
dGggUmVzZWFyY2gsIFVuaXZlcnNpdHkgb2YgV2VzdGVybiBBdXN0cmFsaWEsIFdlc3QgUGVydGgs
IFdlc3Rlcm4gQXVzdHJhbGlhOyBjRGVhbiZhcG9zO3MgRGVwYXJ0bWVudCBhbmQgRGVwYXJ0bWVu
dCBvZiBQcmV2ZW50aXZlIGFuZCBTb2NpYWwgTWVkaWNpbmUsIER1bmVkaW4gU2Nob29sIG9mIE1l
ZGljaW5lLCBVbml2ZXJzaXR5IG9mIE90YWdvLCBEdW5lZGluLCBOZXcgWmVhbGFuZDsgZEluc2Vy
bSwgQ0VTUCBDZW50cmUgZm9yIFJlc2VhcmNoIGluIEVwaWRlbWlvbG9neSBhbmQgUG9wdWxhdGlv
biBIZWFsdGgsIEVudmlyb25tZW50YWwgRXBpZGVtaW9sb2d5IG9mIENhbmNlciBUZWFtLCBVbml2
ZXJzaXRlIFBhcmlzLVN1ZCwgVmlsbGVqdWlmLCBGcmFuY2U7IGVQZWRpYXRyaWMgSGVtYXRvbG9n
eS1PbmNvbG9neSBQcm9ncmFtLCBSZXNlYXJjaCBQcm9ncmFtLCBJbnN0aXR1dG8gTmFjaW9uYWwg
ZGUgQ2FuY2VyLCBSaW8gZGUgSmFuZWlybywgQnJhemlsOyBmSW5zdGl0dXRvIFJlZ2lvbmFsIGRl
IEVzdHVkaW9zIGVuIFN1c3RhbmNpYXMgVG94aWNhcyAoSVJFVCksIFVuaXZlcnNpZGFkIE5hY2lv
bmFsLCBIZXJlZGlhLCBDb3N0YSBSaWNhOyBnRGl2aXNpb24gb2YgRXBpZGVtaW9sb2d5IENsaW5p
Y2FsIFJlc2VhcmNoLCBEZXBhcnRtZW50IG9mIFBlZGlhdHJpY3MgYW5kIE1hc29uaWMgQ2FuY2Vy
IENlbnRlciwgVW5pdmVyc2l0eSBvZiBNaW5uZXNvdGEsIE1pbm5lYXBvbGlzLCBNTjsgaEludGVy
bmF0aW9uYWwgQWdlbmN5IGZvciBSZXNlYXJjaCBvbiBDYW5jZXIsIFNlY3Rpb24gb2YgRW52aXJv
bm1lbnQgYW5kIFJhZGlhdGlvbiwgTHlvbiwgRnJhbmNlOyBpRGVwYXJ0bWVudCBvZiBIeWdpZW5l
LCBFcGlkZW1pb2xvZ3ksIGFuZCBNZWRpY2FsIFN0YXRpc3RpY3MsIE1lZGljYWwgU2Nob29sLCBO
YXRpb25hbCBhbmQgS2Fwb2Rpc3RyaWFuIFVuaXZlcnNpdHkgb2YgQXRoZW5zLCBBdGhlbnMsIEdy
ZWVjZTsgalJlc2VhcmNoIERlcGFydG1lbnQsIENoaWxkcmVuJmFwb3M7cyBDYW5jZXIgSG9zcGl0
YWwsIENhaXJvLCBFZ3lwdDsga1N5ZG5leSBTY2hvb2wgb2YgUHVibGljIEhlYWx0aCwgVW5pdmVy
c2l0eSBvZiBTeWRuZXksIE5ldyBTb3V0aCBXYWxlcywgQXVzdHJhbGlhOyBsTmF0aW9uYWwgU2No
b29sIG9mIFB1YmxpYyBIZWFsdGgsIE9zd2FsZG8gQ3J1eiBGb3VuZGF0aW9uIChGSU9DUlVaKSwg
TWluaXN0cnkgb2YgSGVhbHRoLCBSaW8gZGUgSmFuZWlybywgQnJhemlsOyBtR2VybWFuIENoaWxk
aG9vZCBDYW5jZXIgUmVnaXN0cnksIEluc3RpdHV0ZSBmb3IgTWVkaWNhbCBCaW9zdGF0aXN0aWNz
LCBFcGlkZW1pb2xvZ3kgYW5kIEluZm9ybWF0aWNzLCBVbml2ZXJzaXR5IE1lZGljYWwgQ2VudHJl
LCBKb2hhbm5lcyBHdXRlbmJlcmcgVW5pdmVyc2l0eSBNYWlueiwgTWFpbnosIEdlcm1hbnk7IG5M
dW5lbmZlbGQtVGFuZW5iYXVtIFJlc2VhcmNoIEluc3RpdHV0ZSBvZiBNb3VudCBTaW5haSBIb3Nw
aXRhbCwgVG9yb250bywgT250YXJpbywgQ2FuYWRhOyBhbmQgb0RlcGFydG1lbnQgb2YgRXBpZGVt
aW9sb2d5LCBCaW9zdGF0aXN0aWNzLCBhbmQgT2NjdXBhdGlvbmFsIEhlYWx0aCwgRmFjdWx0eSBv
ZiBNZWRpY2luZSwgTWNHaWxsIFVuaXZlcnNpdHksIE1vbnRyZWFsLCBQcm92aW5jZSBvZiBRdWVi
ZWMsIENhbmFkYS48L2F1dGgtYWRkcmVzcz48dGl0bGVzPjx0aXRsZT5NYXRlcm5hbCBzdXBwbGVt
ZW50YXRpb24gd2l0aCBmb2xpYyBhY2lkIGFuZCBvdGhlciB2aXRhbWlucyBhbmQgcmlzayBvZiBs
ZXVrZW1pYSBpbiBvZmZzcHJpbmc6IGEgQ2hpbGRob29kIExldWtlbWlhIEludGVybmF0aW9uYWwg
Q29uc29ydGl1bSBzdHVkeTwvdGl0bGU+PHNlY29uZGFyeS10aXRsZT5FcGlkZW1pb2xvZ3k8L3Nl
Y29uZGFyeS10aXRsZT48L3RpdGxlcz48cGVyaW9kaWNhbD48ZnVsbC10aXRsZT5FcGlkZW1pb2xv
Z3k8L2Z1bGwtdGl0bGU+PC9wZXJpb2RpY2FsPjxwYWdlcz44MTEtMjI8L3BhZ2VzPjx2b2x1bWU+
MjU8L3ZvbHVtZT48bnVtYmVyPjY8L251bWJlcj48ZWRpdGlvbj4yMDE0LzA5LzExPC9lZGl0aW9u
PjxrZXl3b3Jkcz48a2V5d29yZD5BZG9sZXNjZW50PC9rZXl3b3JkPjxrZXl3b3JkPkNhc2UtQ29u
dHJvbCBTdHVkaWVzPC9rZXl3b3JkPjxrZXl3b3JkPkNoaWxkPC9rZXl3b3JkPjxrZXl3b3JkPkNo
aWxkLCBQcmVzY2hvb2w8L2tleXdvcmQ+PGtleXdvcmQ+RGlldGFyeSBTdXBwbGVtZW50czwva2V5
d29yZD48a2V5d29yZD5GZW1hbGU8L2tleXdvcmQ+PGtleXdvcmQ+Rm9saWMgQWNpZC8qYWRtaW5p
c3RyYXRpb24gJmFtcDsgZG9zYWdlPC9rZXl3b3JkPjxrZXl3b3JkPkh1bWFuczwva2V5d29yZD48
a2V5d29yZD5JbmZhbnQ8L2tleXdvcmQ+PGtleXdvcmQ+SW5mYW50LCBOZXdib3JuPC9rZXl3b3Jk
PjxrZXl3b3JkPkxldWtlbWlhLCBNeWVsb2lkLCBBY3V0ZS8qZXBpZGVtaW9sb2d5LypwcmV2ZW50
aW9uICZhbXA7IGNvbnRyb2w8L2tleXdvcmQ+PGtleXdvcmQ+TWFsZTwva2V5d29yZD48a2V5d29y
ZD5NYXRlcm5hbC1GZXRhbCBFeGNoYW5nZTwva2V5d29yZD48a2V5d29yZD5QcmVjdXJzb3IgQ2Vs
bCBMeW1waG9ibGFzdGljIExldWtlbWlhLUx5bXBob21hLyplcGlkZW1pb2xvZ3kvKnByZXZlbnRp
b24gJmFtcDs8L2tleXdvcmQ+PGtleXdvcmQ+Y29udHJvbDwva2V5d29yZD48a2V5d29yZD5QcmVn
bmFuY3k8L2tleXdvcmQ+PGtleXdvcmQ+Umlzazwva2V5d29yZD48a2V5d29yZD5SaXNrIEZhY3Rv
cnM8L2tleXdvcmQ+PGtleXdvcmQ+Vml0YW1pbnMvKmFkbWluaXN0cmF0aW9uICZhbXA7IGRvc2Fn
ZTwva2V5d29yZD48L2tleXdvcmRzPjxkYXRlcz48eWVhcj4yMDE0PC95ZWFyPjxwdWItZGF0ZXM+
PGRhdGU+Tm92PC9kYXRlPjwvcHViLWRhdGVzPjwvZGF0ZXM+PGlzYm4+MTUzMS01NDg3IChFbGVj
dHJvbmljKSYjeEQ7MTA0NC0zOTgzIChMaW5raW5nKTwvaXNibj48YWNjZXNzaW9uLW51bT4yNTIw
Nzk1NDwvYWNjZXNzaW9uLW51bT48dXJscz48cmVsYXRlZC11cmxzPjx1cmw+aHR0cHM6Ly93d3cu
bmNiaS5ubG0ubmloLmdvdi9wdWJtZWQvMjUyMDc5NTQ8L3VybD48L3JlbGF0ZWQtdXJscz48L3Vy
bHM+PGN1c3RvbTI+UE1DNTkwMzU2MzwvY3VzdG9tMj48ZWxlY3Ryb25pYy1yZXNvdXJjZS1udW0+
MTAuMTA5Ny9FREUuMDAwMDAwMDAwMDAwMDE0MTwvZWxlY3Ryb25pYy1yZXNvdXJjZS1udW0+PC9y
ZWNvcmQ+PC9DaXRlPjwvRW5kTm90ZT5=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120</w:t>
            </w:r>
            <w:r w:rsidR="00201490">
              <w:fldChar w:fldCharType="end"/>
            </w:r>
          </w:p>
        </w:tc>
        <w:tc>
          <w:tcPr>
            <w:tcW w:w="1390" w:type="dxa"/>
          </w:tcPr>
          <w:p w14:paraId="0AF2B286" w14:textId="77777777" w:rsidR="00383CD7" w:rsidRDefault="00383CD7" w:rsidP="004B62DF">
            <w:r>
              <w:t>7 case-control studies</w:t>
            </w:r>
          </w:p>
        </w:tc>
        <w:tc>
          <w:tcPr>
            <w:tcW w:w="4819" w:type="dxa"/>
          </w:tcPr>
          <w:p w14:paraId="1BB77A53" w14:textId="5CA94036" w:rsidR="00383CD7" w:rsidRDefault="00383CD7" w:rsidP="00843CBB">
            <w:r w:rsidRPr="008318A9">
              <w:rPr>
                <w:b/>
              </w:rPr>
              <w:t>Aim</w:t>
            </w:r>
            <w:r>
              <w:t>: To examine</w:t>
            </w:r>
            <w:r w:rsidRPr="00843CBB">
              <w:t xml:space="preserve"> the association </w:t>
            </w:r>
            <w:r>
              <w:t>between maternal vitamin supplementation and</w:t>
            </w:r>
            <w:r w:rsidRPr="00843CBB">
              <w:t xml:space="preserve"> acute myeloid </w:t>
            </w:r>
            <w:r w:rsidR="00501148" w:rsidRPr="00843CBB">
              <w:t>leukaemia</w:t>
            </w:r>
            <w:r w:rsidRPr="00843CBB">
              <w:t xml:space="preserve"> (AML). </w:t>
            </w:r>
          </w:p>
          <w:p w14:paraId="68DC8C1B" w14:textId="748EC904" w:rsidR="00383CD7" w:rsidRPr="009626EC" w:rsidRDefault="00383CD7" w:rsidP="00843CBB">
            <w:pPr>
              <w:rPr>
                <w:b/>
              </w:rPr>
            </w:pPr>
            <w:r w:rsidRPr="00843CBB">
              <w:rPr>
                <w:b/>
              </w:rPr>
              <w:t>Methods</w:t>
            </w:r>
            <w:r w:rsidRPr="00843CBB">
              <w:t xml:space="preserve">: We obtained original data on prenatal use of folic acid and vitamins from 12 case-control studies participating in the Childhood </w:t>
            </w:r>
            <w:r w:rsidR="00501148" w:rsidRPr="00843CBB">
              <w:t>Leukaemia</w:t>
            </w:r>
            <w:r w:rsidRPr="00843CBB">
              <w:t xml:space="preserve"> International Consortium (</w:t>
            </w:r>
            <w:r w:rsidR="00501148" w:rsidRPr="00843CBB">
              <w:t>enrolment</w:t>
            </w:r>
            <w:r w:rsidRPr="00843CBB">
              <w:t xml:space="preserve"> period: 1980-2012), including 6,963 cases of ALL, 585 cases of AML, and 11,635 controls. Logistic regression was used to estimate pooled odds ratios (ORs) and 95% confidence intervals (CIs), adjusted for child's age, sex, ethnicity, parental education,</w:t>
            </w:r>
            <w:r>
              <w:t xml:space="preserve"> and study centre</w:t>
            </w:r>
            <w:r w:rsidRPr="00843CBB">
              <w:t xml:space="preserve">. </w:t>
            </w:r>
          </w:p>
        </w:tc>
        <w:tc>
          <w:tcPr>
            <w:tcW w:w="4536" w:type="dxa"/>
          </w:tcPr>
          <w:p w14:paraId="6FF7CC5C" w14:textId="77777777" w:rsidR="00383CD7" w:rsidRDefault="00383CD7" w:rsidP="00843CBB">
            <w:r>
              <w:t>Folic acid during pregnancy vs no folic acid:</w:t>
            </w:r>
          </w:p>
          <w:p w14:paraId="1067DC7C" w14:textId="79AE3F88" w:rsidR="00383CD7" w:rsidRDefault="00383CD7" w:rsidP="005E19F9">
            <w:pPr>
              <w:pStyle w:val="bullet"/>
            </w:pPr>
            <w:r>
              <w:t>Acute l</w:t>
            </w:r>
            <w:r w:rsidRPr="005E19F9">
              <w:t xml:space="preserve">ymphoblastic leukaemia: </w:t>
            </w:r>
            <w:r>
              <w:t>OR 0.77; 95%CI 0.67 to 0.88</w:t>
            </w:r>
          </w:p>
          <w:p w14:paraId="7261E8E0" w14:textId="32B51C90" w:rsidR="00383CD7" w:rsidRPr="008D209D" w:rsidRDefault="008D209D" w:rsidP="008D209D">
            <w:pPr>
              <w:pStyle w:val="bullet"/>
            </w:pPr>
            <w:r>
              <w:t xml:space="preserve">Acute myeloid leukaemia: OR 0.52; 95%CI </w:t>
            </w:r>
            <w:r w:rsidRPr="008D209D">
              <w:t>0.31</w:t>
            </w:r>
            <w:r>
              <w:t xml:space="preserve"> to 0.89</w:t>
            </w:r>
          </w:p>
        </w:tc>
        <w:tc>
          <w:tcPr>
            <w:tcW w:w="1843" w:type="dxa"/>
          </w:tcPr>
          <w:p w14:paraId="312FD382" w14:textId="2847A66E" w:rsidR="00383CD7" w:rsidRDefault="00383CD7" w:rsidP="00B85DD0">
            <w:pPr>
              <w:keepNext/>
            </w:pPr>
          </w:p>
        </w:tc>
      </w:tr>
      <w:tr w:rsidR="00D26DC6" w:rsidRPr="00236C51" w14:paraId="36693369" w14:textId="77777777" w:rsidTr="00201490">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304" w:type="dxa"/>
            <w:tcBorders>
              <w:top w:val="single" w:sz="4" w:space="0" w:color="auto"/>
              <w:left w:val="single" w:sz="4" w:space="0" w:color="auto"/>
              <w:bottom w:val="single" w:sz="4" w:space="0" w:color="auto"/>
              <w:right w:val="single" w:sz="4" w:space="0" w:color="auto"/>
            </w:tcBorders>
          </w:tcPr>
          <w:p w14:paraId="68106D66" w14:textId="69C45CE7" w:rsidR="00D26DC6" w:rsidRDefault="00D26DC6" w:rsidP="002747EA">
            <w:r>
              <w:t>Dessypris et al 2017</w:t>
            </w:r>
            <w:r>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 </w:instrText>
            </w:r>
            <w:r w:rsidR="002747EA">
              <w:fldChar w:fldCharType="begin">
                <w:fldData xml:space="preserve">PEVuZE5vdGU+PENpdGU+PEF1dGhvcj5EZXNzeXByaXM8L0F1dGhvcj48WWVhcj4yMDE3PC9ZZWFy
PjxSZWNOdW0+MTM1NDwvUmVjTnVtPjxEaXNwbGF5VGV4dD48c3R5bGUgZmFjZT0ic3VwZXJzY3Jp
cHQiIGZvbnQ9IlRyZWJ1Y2hldCBNUyIgc2l6ZT0iOSI+NzU8L3N0eWxlPjwvRGlzcGxheVRleHQ+
PHJlY29yZD48cmVjLW51bWJlcj4xMzU0PC9yZWMtbnVtYmVyPjxmb3JlaWduLWtleXM+PGtleSBh
cHA9IkVOIiBkYi1pZD0iZXh2YXNyZngyZHRyYW9lc2FzeHAyc3pzeGEyZGY1MDI1OTJ4IiB0aW1l
c3RhbXA9IjE1NjcwMzEwMjMiPjEzNTQ8L2tleT48a2V5IGFwcD0iRU5XZWIiIGRiLWlkPSIiPjA8
L2tleT48L2ZvcmVpZ24ta2V5cz48cmVmLXR5cGUgbmFtZT0iSm91cm5hbCBBcnRpY2xlIj4xNzwv
cmVmLXR5cGU+PGNvbnRyaWJ1dG9ycz48YXV0aG9ycz48YXV0aG9yPkRlc3N5cHJpcywgTi48L2F1
dGhvcj48YXV0aG9yPkthcmFsZXhpLCBNLiBBLjwvYXV0aG9yPjxhdXRob3I+TnRvdXZlbGlzLCBF
LjwvYXV0aG9yPjxhdXRob3I+RGlhbWFudGFyYXMsIEEuIEEuPC9hdXRob3I+PGF1dGhvcj5QYXBh
ZGFraXMsIFYuPC9hdXRob3I+PGF1dGhvcj5CYWthLCBNLjwvYXV0aG9yPjxhdXRob3I+SGF0emlw
YW50ZWxpcywgRS48L2F1dGhvcj48YXV0aG9yPktvdXJ0aSwgTS48L2F1dGhvcj48YXV0aG9yPk1v
c2Nob3ZpLCBNLjwvYXV0aG9yPjxhdXRob3I+UG9seWNocm9ub3BvdWxvdSwgUy48L2F1dGhvcj48
YXV0aG9yPlNpZGksIFYuPC9hdXRob3I+PGF1dGhvcj5TdGlha2FraSwgRS48L2F1dGhvcj48YXV0
aG9yPlBldHJpZG91LCBFLiBULjwvYXV0aG9yPjwvYXV0aG9ycz48L2NvbnRyaWJ1dG9ycz48YXV0
aC1hZGRyZXNzPkRlcGFydG1lbnQgb2YgSHlnaWVuZSwgRXBpZGVtaW9sb2d5IGFuZCBNZWRpY2Fs
IFN0YXRpc3RpY3MsIFNjaG9vbCBvZiBNZWRpY2luZSwgVW5pdmVyc2l0eSBvZiBBdGhlbnMsIEdy
ZWVjZS4mI3hEO0RlcGFydG1lbnQgb2YgSHlnaWVuZSwgRXBpZGVtaW9sb2d5IGFuZCBNZWRpY2Fs
IFN0YXRpc3RpY3MsIFNjaG9vbCBvZiBNZWRpY2luZSwgVW5pdmVyc2l0eSBvZiBBdGhlbnMsIEdy
ZWVjZTsgTmV1cm9sb2dpc2NoZSBLbGluaWssIEtsaW5pa3VtIE1pdHRlbGJhZGVuIFJhc3RhdHQs
IFJhc3RhdHQsIEdlcm1hbnkuJiN4RDtEZXBhcnRtZW50IG9mIFBlZGlhdHJpYyBIZW1hdG9sb2d5
LU9uY29sb2d5LCAmcXVvdDtQYW4uJmFtcDtBZ2wuIEt5cmlha291JnF1b3Q7IENoaWxkcmVuJmFw
b3M7cyBIb3NwaXRhbCwgQXRoZW5zLCBHcmVlY2UuJiN4RDsybmQgRGVwYXJ0bWVudCBvZiBQZWRp
YXRyaWNzLCBBcmlzdG90ZWxpb24gVW5pdmVyc2l0eSBvZiBUaGVzc2Fsb25pa2ksIEFIRVBBIEdl
bmVyYWwgSG9zcGl0YWwsIFRoZXNzYWxvbmlraSwgR3JlZWNlLiYjeEQ7RGVwYXJ0bWVudCBvZiBQ
ZWRpYXRyaWMgSGVtYXRvbG9neSBhbmQgT25jb2xvZ3ksIEhpcHBva3JhdGlvbiBIb3NwaXRhbCwg
VGhlc3NhbG9uaWtpLCBHcmVlY2UuJiN4RDtIYWVtYXRvbG9neS1PbmNvbG9neSBVbml0LCBGaXJz
dCBEZXBhcnRtZW50IG9mIFBlZGlhdHJpY3MsIEF0aGVucyBVbml2ZXJzaXR5IE1lZGljYWwgU2No
b29sLCAmcXVvdDtBZ2hpYSBTb3BoaWEmcXVvdDsgQ2hpbGRyZW4mYXBvcztzIEhvc3BpdGFsLCBB
dGhlbnMsIEdyZWVjZS4mI3hEO0RlcGFydG1lbnQgb2YgUGVkaWF0cmljIEhhZW1hdG9sb2d5LU9u
Y29sb2d5LCAmcXVvdDtBZ2hpYSBTb3BoaWEmcXVvdDsgQ2hpbGRyZW4mYXBvcztzIEhvc3BpdGFs
LCBBdGhlbnMsIEdyZWVjZS4mI3hEO0RlcGFydG1lbnQgb2YgUGVkaWF0cmljIEhlbWF0b2xvZ3kt
T25jb2xvZ3ksIFVuaXZlcnNpdHkgSG9zcGl0YWwgb2YgSGVyYWtsaW9uLCBIZXJha2xpb24sIEdy
ZWVjZS4mI3hEO0RlcGFydG1lbnQgb2YgSHlnaWVuZSwgRXBpZGVtaW9sb2d5IGFuZCBNZWRpY2Fs
IFN0YXRpc3RpY3MsIFNjaG9vbCBvZiBNZWRpY2luZSwgVW5pdmVyc2l0eSBvZiBBdGhlbnMsIEdy
ZWVjZS4gRWxlY3Ryb25pYyBhZGRyZXNzOiBlcGV0cmlkQG1lZC51b2EuZ3IuPC9hdXRoLWFkZHJl
c3M+PHRpdGxlcz48dGl0bGU+QXNzb2NpYXRpb24gb2YgbWF0ZXJuYWwgYW5kIGluZGV4IGNoaWxk
JmFwb3M7cyBkaWV0IHdpdGggc3Vic2VxdWVudCBsZXVrZW1pYSByaXNrOiBBIHN5c3RlbWF0aWMg
cmV2aWV3IGFuZCBtZXRhIGFuYWx5c2lzPC90aXRsZT48c2Vjb25kYXJ5LXRpdGxlPkNhbmNlciBF
cGlkZW1pb2w8L3NlY29uZGFyeS10aXRsZT48L3RpdGxlcz48cGVyaW9kaWNhbD48ZnVsbC10aXRs
ZT5DYW5jZXIgRXBpZGVtaW9sPC9mdWxsLXRpdGxlPjwvcGVyaW9kaWNhbD48cGFnZXM+NjQtNzU8
L3BhZ2VzPjx2b2x1bWU+NDc8L3ZvbHVtZT48ZWRpdGlvbj4yMDE3LzAxLzI5PC9lZGl0aW9uPjxr
ZXl3b3Jkcz48a2V5d29yZD5BZHVsdDwva2V5d29yZD48a2V5d29yZD5DaGlsZDwva2V5d29yZD48
a2V5d29yZD4qRGlldDwva2V5d29yZD48a2V5d29yZD4qRGlldGFyeSBTdXBwbGVtZW50czwva2V5
d29yZD48a2V5d29yZD5GZW1hbGU8L2tleXdvcmQ+PGtleXdvcmQ+SHVtYW5zPC9rZXl3b3JkPjxr
ZXl3b3JkPlByZWN1cnNvciBDZWxsIEx5bXBob2JsYXN0aWMgTGV1a2VtaWEtTHltcGhvbWEvKmV0
aW9sb2d5LypwcmV2ZW50aW9uICZhbXA7IGNvbnRyb2w8L2tleXdvcmQ+PGtleXdvcmQ+UHJlZ25h
bmN5PC9rZXl3b3JkPjxrZXl3b3JkPlJpc2sgRmFjdG9yczwva2V5d29yZD48a2V5d29yZD4qQ2hp
bGRob29kIGRpZXQ8L2tleXdvcmQ+PGtleXdvcmQ+KkZvbGljIGFjaWQ8L2tleXdvcmQ+PGtleXdv
cmQ+KkZvb2QgZ3JvdXA8L2tleXdvcmQ+PGtleXdvcmQ+Kklyb248L2tleXdvcmQ+PGtleXdvcmQ+
KkxldWtlbWlhPC9rZXl3b3JkPjxrZXl3b3JkPipNYXRlcm5hbCBkaWV0PC9rZXl3b3JkPjxrZXl3
b3JkPipNaWNyb251dHJpZW50czwva2V5d29yZD48a2V5d29yZD4qUHJlY29uY2VwdGlvbjwva2V5
d29yZD48a2V5d29yZD4qU3VwcGxlbWVudHM8L2tleXdvcmQ+PGtleXdvcmQ+KlZpdGFtaW5zPC9r
ZXl3b3JkPjwva2V5d29yZHM+PGRhdGVzPjx5ZWFyPjIwMTc8L3llYXI+PHB1Yi1kYXRlcz48ZGF0
ZT5BcHI8L2RhdGU+PC9wdWItZGF0ZXM+PC9kYXRlcz48aXNibj4xODc3LTc4M1ggKEVsZWN0cm9u
aWMpJiN4RDsxODc3LTc4MjEgKExpbmtpbmcpPC9pc2JuPjxhY2Nlc3Npb24tbnVtPjI4MTMwOTk2
PC9hY2Nlc3Npb24tbnVtPjx1cmxzPjxyZWxhdGVkLXVybHM+PHVybD5odHRwczovL3d3dy5uY2Jp
Lm5sbS5uaWguZ292L3B1Ym1lZC8yODEzMDk5NjwvdXJsPjwvcmVsYXRlZC11cmxzPjwvdXJscz48
ZWxlY3Ryb25pYy1yZXNvdXJjZS1udW0+MTAuMTAxNi9qLmNhbmVwLjIwMTcuMDEuMDAzPC9lbGVj
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75</w:t>
            </w:r>
            <w:r>
              <w:fldChar w:fldCharType="end"/>
            </w:r>
          </w:p>
        </w:tc>
        <w:tc>
          <w:tcPr>
            <w:tcW w:w="1390" w:type="dxa"/>
            <w:tcBorders>
              <w:top w:val="single" w:sz="4" w:space="0" w:color="auto"/>
              <w:left w:val="single" w:sz="4" w:space="0" w:color="auto"/>
              <w:bottom w:val="single" w:sz="4" w:space="0" w:color="auto"/>
              <w:right w:val="single" w:sz="4" w:space="0" w:color="auto"/>
            </w:tcBorders>
          </w:tcPr>
          <w:p w14:paraId="5941DBD0" w14:textId="77777777" w:rsidR="00D26DC6" w:rsidRDefault="00D26DC6" w:rsidP="00201490">
            <w:r>
              <w:t>3 case-control studies</w:t>
            </w:r>
          </w:p>
        </w:tc>
        <w:tc>
          <w:tcPr>
            <w:tcW w:w="4819" w:type="dxa"/>
            <w:tcBorders>
              <w:top w:val="single" w:sz="4" w:space="0" w:color="auto"/>
              <w:left w:val="single" w:sz="4" w:space="0" w:color="auto"/>
              <w:bottom w:val="single" w:sz="4" w:space="0" w:color="auto"/>
              <w:right w:val="single" w:sz="4" w:space="0" w:color="auto"/>
            </w:tcBorders>
          </w:tcPr>
          <w:p w14:paraId="4E9A9AC5" w14:textId="77777777" w:rsidR="00D26DC6" w:rsidRDefault="00D26DC6" w:rsidP="00201490">
            <w:r w:rsidRPr="001C127C">
              <w:rPr>
                <w:b/>
              </w:rPr>
              <w:t>Aim</w:t>
            </w:r>
            <w:r>
              <w:t>: To quantitatively synthesis</w:t>
            </w:r>
            <w:r w:rsidRPr="001C127C">
              <w:t>e published data on the association of maternal/child diet with leuk</w:t>
            </w:r>
            <w:r>
              <w:t>a</w:t>
            </w:r>
            <w:r w:rsidRPr="001C127C">
              <w:t xml:space="preserve">emia risk. </w:t>
            </w:r>
          </w:p>
          <w:p w14:paraId="1C305A1A" w14:textId="77777777" w:rsidR="00D26DC6" w:rsidRDefault="00D26DC6" w:rsidP="00201490">
            <w:pPr>
              <w:rPr>
                <w:b/>
              </w:rPr>
            </w:pPr>
            <w:r w:rsidRPr="001C127C">
              <w:rPr>
                <w:b/>
              </w:rPr>
              <w:t>Methods</w:t>
            </w:r>
            <w:r w:rsidRPr="001C127C">
              <w:t>: Medline was searched until June 30th, 2016 for eligible articles on the association of childhood leuk</w:t>
            </w:r>
            <w:r>
              <w:t>a</w:t>
            </w:r>
            <w:r w:rsidRPr="001C127C">
              <w:t>emia with consumption of (i) food groups, excluding alcoholic and non-alcoholic beverages, and (ii) specific dietary supplements before/during index pregnancy and childhood.</w:t>
            </w:r>
          </w:p>
        </w:tc>
        <w:tc>
          <w:tcPr>
            <w:tcW w:w="4536" w:type="dxa"/>
            <w:tcBorders>
              <w:top w:val="single" w:sz="4" w:space="0" w:color="auto"/>
              <w:left w:val="single" w:sz="4" w:space="0" w:color="auto"/>
              <w:bottom w:val="single" w:sz="4" w:space="0" w:color="auto"/>
              <w:right w:val="single" w:sz="4" w:space="0" w:color="auto"/>
            </w:tcBorders>
          </w:tcPr>
          <w:p w14:paraId="05FD4575" w14:textId="77777777" w:rsidR="00D26DC6" w:rsidRDefault="00D26DC6" w:rsidP="00201490">
            <w:r>
              <w:t>Dietary supplement of folic acid versus no supplement:</w:t>
            </w:r>
          </w:p>
          <w:p w14:paraId="605E3AD8" w14:textId="77777777" w:rsidR="00D26DC6" w:rsidRDefault="00D26DC6" w:rsidP="00201490">
            <w:pPr>
              <w:pStyle w:val="bullet"/>
            </w:pPr>
            <w:r>
              <w:t>Childhood acute lymphoblastic leukaemia: RR 0.87 (0.57 to 1.34); 3 studies</w:t>
            </w:r>
          </w:p>
        </w:tc>
        <w:tc>
          <w:tcPr>
            <w:tcW w:w="1843" w:type="dxa"/>
            <w:tcBorders>
              <w:top w:val="single" w:sz="4" w:space="0" w:color="auto"/>
              <w:left w:val="single" w:sz="4" w:space="0" w:color="auto"/>
              <w:bottom w:val="single" w:sz="4" w:space="0" w:color="auto"/>
              <w:right w:val="single" w:sz="4" w:space="0" w:color="auto"/>
            </w:tcBorders>
          </w:tcPr>
          <w:p w14:paraId="1A046A28" w14:textId="5FC88275" w:rsidR="00D26DC6" w:rsidRPr="00236C51" w:rsidRDefault="00D26DC6" w:rsidP="00201490"/>
        </w:tc>
      </w:tr>
      <w:tr w:rsidR="00383CD7" w:rsidRPr="00236C51" w14:paraId="5B720955" w14:textId="77777777" w:rsidTr="00D84B93">
        <w:trPr>
          <w:cantSplit/>
          <w:trHeight w:val="390"/>
        </w:trPr>
        <w:tc>
          <w:tcPr>
            <w:tcW w:w="1304" w:type="dxa"/>
          </w:tcPr>
          <w:p w14:paraId="1D32E4AD" w14:textId="724A8019" w:rsidR="00383CD7" w:rsidRDefault="00383CD7" w:rsidP="002747EA">
            <w:r>
              <w:t>Chiavarini et al 2018</w:t>
            </w:r>
            <w:r>
              <w:fldChar w:fldCharType="begin">
                <w:fldData xml:space="preserve">PEVuZE5vdGU+PENpdGU+PEF1dGhvcj5DaGlhdmFyaW5pPC9BdXRob3I+PFllYXI+MjAxODwvWWVh
cj48UmVjTnVtPjE0Mjc8L1JlY051bT48RGlzcGxheVRleHQ+PHN0eWxlIGZhY2U9InN1cGVyc2Ny
aXB0IiBmb250PSJUcmVidWNoZXQgTVMiIHNpemU9IjkiPjEyNzwvc3R5bGU+PC9EaXNwbGF5VGV4
dD48cmVjb3JkPjxyZWMtbnVtYmVyPjE0Mjc8L3JlYy1udW1iZXI+PGZvcmVpZ24ta2V5cz48a2V5
IGFwcD0iRU4iIGRiLWlkPSJleHZhc3JmeDJkdHJhb2VzYXN4cDJzenN4YTJkZjUwMjU5MngiIHRp
bWVzdGFtcD0iMTU3MTYyNjE4OSI+MTQyNzwva2V5PjxrZXkgYXBwPSJFTldlYiIgZGItaWQ9IiI+
MDwva2V5PjwvZm9yZWlnbi1rZXlzPjxyZWYtdHlwZSBuYW1lPSJKb3VybmFsIEFydGljbGUiPjE3
PC9yZWYtdHlwZT48Y29udHJpYnV0b3JzPjxhdXRob3JzPjxhdXRob3I+Q2hpYXZhcmluaSwgTS48
L2F1dGhvcj48YXV0aG9yPk5hbGRpbmksIEcuPC9hdXRob3I+PGF1dGhvcj5GYWJpYW5pLCBSLjwv
YXV0aG9yPjwvYXV0aG9ycz48L2NvbnRyaWJ1dG9ycz48YXV0aC1hZGRyZXNzPkRlcGFydG1lbnQg
b2YgRXhwZXJpbWVudGFsIE1lZGljaW5lLCBTZWN0aW9uIG9mIFB1YmxpYyBIZWF0aCwgVW5pdmVy
c2l0eSBvZiBQZXJ1Z2lhLCBQZXJ1Z2lhLCBJdGFseS4mI3hEO0RlcGFydG1lbnQgb2YgRXhwZXJp
bWVudGFsIE1lZGljaW5lLCBTZWN0aW9uIG9mIFB1YmxpYyBIZWF0aCwgU2Nob29sIG9mIEh5Z2ll
bmUgYW5kIFByZXZlbnRpdmUgTWVkaWNpbmUsIFVuaXZlcnNpdHkgb2YgUGVydWdpYSwgUGVydWdp
YSwgSXRhbHkuJiN4RDtEZXBhcnRtZW50IG9mIENoZW1pc3RyeSwgQmlvbG9neSBhbmQgQmlvdGVj
aG5vbG9neSwgVW5pdmVyc2l0eSBvZiBQZXJ1Z2lhLCBQZXJ1Z2lhLCBJdGFseS48L2F1dGgtYWRk
cmVzcz48dGl0bGVzPjx0aXRsZT5NYXRlcm5hbCBGb2xhdGUgSW50YWtlIGFuZCBSaXNrIG9mIENo
aWxkaG9vZCBCcmFpbiBhbmQgU3BpbmFsIENvcmQgVHVtb3JzOiBBIFN5c3RlbWF0aWMgUmV2aWV3
IGFuZCBNZXRhLUFuYWx5c2lzPC90aXRsZT48c2Vjb25kYXJ5LXRpdGxlPk5ldXJvZXBpZGVtaW9s
b2d5PC9zZWNvbmRhcnktdGl0bGU+PC90aXRsZXM+PHBlcmlvZGljYWw+PGZ1bGwtdGl0bGU+TmV1
cm9lcGlkZW1pb2xvZ3k8L2Z1bGwtdGl0bGU+PC9wZXJpb2RpY2FsPjxwYWdlcz44Mi05NTwvcGFn
ZXM+PHZvbHVtZT41MTwvdm9sdW1lPjxudW1iZXI+MS0yPC9udW1iZXI+PGVkaXRpb24+MjAxOC8w
Ny8wNDwvZWRpdGlvbj48a2V5d29yZHM+PGtleXdvcmQ+QnJhaW4gTmVvcGxhc21zLyplcGlkZW1p
b2xvZ3k8L2tleXdvcmQ+PGtleXdvcmQ+RmVtYWxlPC9rZXl3b3JkPjxrZXl3b3JkPipGb2xpYyBB
Y2lkPC9rZXl3b3JkPjxrZXl3b3JkPkh1bWFuczwva2V5d29yZD48a2V5d29yZD4qTWF0ZXJuYWwg
TnV0cml0aW9uYWwgUGh5c2lvbG9naWNhbCBQaGVub21lbmE8L2tleXdvcmQ+PGtleXdvcmQ+UHJl
Z25hbmN5PC9rZXl3b3JkPjxrZXl3b3JkPlJpc2s8L2tleXdvcmQ+PGtleXdvcmQ+U3BpbmFsIENv
cmQgTmVvcGxhc21zLyplcGlkZW1pb2xvZ3k8L2tleXdvcmQ+PGtleXdvcmQ+KkNlbnRyYWwgbmVy
dm91cyBzeXN0ZW0gbmVvcGxhc21zPC9rZXl3b3JkPjxrZXl3b3JkPipDaGlsZDwva2V5d29yZD48
a2V5d29yZD4qRm9saWMgYWNpZC9hZG1pbmlzdHJhdGlvbiBhbmQgZG9zYWdlPC9rZXl3b3JkPjxr
ZXl3b3JkPipNZXRhLWFuYWx5c2lzIGFzIHRvcGljPC9rZXl3b3JkPjxrZXl3b3JkPipQcmVuYXRh
bCBudXRyaXRpb25hbCBwaHlzaW9sb2dpY2FsIHBoZW5vbWVuYTwva2V5d29yZD48L2tleXdvcmRz
PjxkYXRlcz48eWVhcj4yMDE4PC95ZWFyPjwvZGF0ZXM+PGlzYm4+MTQyMy0wMjA4IChFbGVjdHJv
bmljKSYjeEQ7MDI1MS01MzUwIChMaW5raW5nKTwvaXNibj48YWNjZXNzaW9uLW51bT4yOTk2OTc2
NTwvYWNjZXNzaW9uLW51bT48dXJscz48cmVsYXRlZC11cmxzPjx1cmw+aHR0cHM6Ly93d3cubmNi
aS5ubG0ubmloLmdvdi9wdWJtZWQvMjk5Njk3NjU8L3VybD48L3JlbGF0ZWQtdXJscz48L3VybHM+
PGVsZWN0cm9uaWMtcmVzb3VyY2UtbnVtPjEwLjExNTkvMDAwNDkwMjQ5PC9lbGVjdHJvbmljLXJl
c291cmNlLW51bT48L3JlY29yZD48L0NpdGU+PC9FbmROb3RlPn==
</w:fldData>
              </w:fldChar>
            </w:r>
            <w:r w:rsidR="002747EA">
              <w:instrText xml:space="preserve"> ADDIN EN.CITE </w:instrText>
            </w:r>
            <w:r w:rsidR="002747EA">
              <w:fldChar w:fldCharType="begin">
                <w:fldData xml:space="preserve">PEVuZE5vdGU+PENpdGU+PEF1dGhvcj5DaGlhdmFyaW5pPC9BdXRob3I+PFllYXI+MjAxODwvWWVh
cj48UmVjTnVtPjE0Mjc8L1JlY051bT48RGlzcGxheVRleHQ+PHN0eWxlIGZhY2U9InN1cGVyc2Ny
aXB0IiBmb250PSJUcmVidWNoZXQgTVMiIHNpemU9IjkiPjEyNzwvc3R5bGU+PC9EaXNwbGF5VGV4
dD48cmVjb3JkPjxyZWMtbnVtYmVyPjE0Mjc8L3JlYy1udW1iZXI+PGZvcmVpZ24ta2V5cz48a2V5
IGFwcD0iRU4iIGRiLWlkPSJleHZhc3JmeDJkdHJhb2VzYXN4cDJzenN4YTJkZjUwMjU5MngiIHRp
bWVzdGFtcD0iMTU3MTYyNjE4OSI+MTQyNzwva2V5PjxrZXkgYXBwPSJFTldlYiIgZGItaWQ9IiI+
MDwva2V5PjwvZm9yZWlnbi1rZXlzPjxyZWYtdHlwZSBuYW1lPSJKb3VybmFsIEFydGljbGUiPjE3
PC9yZWYtdHlwZT48Y29udHJpYnV0b3JzPjxhdXRob3JzPjxhdXRob3I+Q2hpYXZhcmluaSwgTS48
L2F1dGhvcj48YXV0aG9yPk5hbGRpbmksIEcuPC9hdXRob3I+PGF1dGhvcj5GYWJpYW5pLCBSLjwv
YXV0aG9yPjwvYXV0aG9ycz48L2NvbnRyaWJ1dG9ycz48YXV0aC1hZGRyZXNzPkRlcGFydG1lbnQg
b2YgRXhwZXJpbWVudGFsIE1lZGljaW5lLCBTZWN0aW9uIG9mIFB1YmxpYyBIZWF0aCwgVW5pdmVy
c2l0eSBvZiBQZXJ1Z2lhLCBQZXJ1Z2lhLCBJdGFseS4mI3hEO0RlcGFydG1lbnQgb2YgRXhwZXJp
bWVudGFsIE1lZGljaW5lLCBTZWN0aW9uIG9mIFB1YmxpYyBIZWF0aCwgU2Nob29sIG9mIEh5Z2ll
bmUgYW5kIFByZXZlbnRpdmUgTWVkaWNpbmUsIFVuaXZlcnNpdHkgb2YgUGVydWdpYSwgUGVydWdp
YSwgSXRhbHkuJiN4RDtEZXBhcnRtZW50IG9mIENoZW1pc3RyeSwgQmlvbG9neSBhbmQgQmlvdGVj
aG5vbG9neSwgVW5pdmVyc2l0eSBvZiBQZXJ1Z2lhLCBQZXJ1Z2lhLCBJdGFseS48L2F1dGgtYWRk
cmVzcz48dGl0bGVzPjx0aXRsZT5NYXRlcm5hbCBGb2xhdGUgSW50YWtlIGFuZCBSaXNrIG9mIENo
aWxkaG9vZCBCcmFpbiBhbmQgU3BpbmFsIENvcmQgVHVtb3JzOiBBIFN5c3RlbWF0aWMgUmV2aWV3
IGFuZCBNZXRhLUFuYWx5c2lzPC90aXRsZT48c2Vjb25kYXJ5LXRpdGxlPk5ldXJvZXBpZGVtaW9s
b2d5PC9zZWNvbmRhcnktdGl0bGU+PC90aXRsZXM+PHBlcmlvZGljYWw+PGZ1bGwtdGl0bGU+TmV1
cm9lcGlkZW1pb2xvZ3k8L2Z1bGwtdGl0bGU+PC9wZXJpb2RpY2FsPjxwYWdlcz44Mi05NTwvcGFn
ZXM+PHZvbHVtZT41MTwvdm9sdW1lPjxudW1iZXI+MS0yPC9udW1iZXI+PGVkaXRpb24+MjAxOC8w
Ny8wNDwvZWRpdGlvbj48a2V5d29yZHM+PGtleXdvcmQ+QnJhaW4gTmVvcGxhc21zLyplcGlkZW1p
b2xvZ3k8L2tleXdvcmQ+PGtleXdvcmQ+RmVtYWxlPC9rZXl3b3JkPjxrZXl3b3JkPipGb2xpYyBB
Y2lkPC9rZXl3b3JkPjxrZXl3b3JkPkh1bWFuczwva2V5d29yZD48a2V5d29yZD4qTWF0ZXJuYWwg
TnV0cml0aW9uYWwgUGh5c2lvbG9naWNhbCBQaGVub21lbmE8L2tleXdvcmQ+PGtleXdvcmQ+UHJl
Z25hbmN5PC9rZXl3b3JkPjxrZXl3b3JkPlJpc2s8L2tleXdvcmQ+PGtleXdvcmQ+U3BpbmFsIENv
cmQgTmVvcGxhc21zLyplcGlkZW1pb2xvZ3k8L2tleXdvcmQ+PGtleXdvcmQ+KkNlbnRyYWwgbmVy
dm91cyBzeXN0ZW0gbmVvcGxhc21zPC9rZXl3b3JkPjxrZXl3b3JkPipDaGlsZDwva2V5d29yZD48
a2V5d29yZD4qRm9saWMgYWNpZC9hZG1pbmlzdHJhdGlvbiBhbmQgZG9zYWdlPC9rZXl3b3JkPjxr
ZXl3b3JkPipNZXRhLWFuYWx5c2lzIGFzIHRvcGljPC9rZXl3b3JkPjxrZXl3b3JkPipQcmVuYXRh
bCBudXRyaXRpb25hbCBwaHlzaW9sb2dpY2FsIHBoZW5vbWVuYTwva2V5d29yZD48L2tleXdvcmRz
PjxkYXRlcz48eWVhcj4yMDE4PC95ZWFyPjwvZGF0ZXM+PGlzYm4+MTQyMy0wMjA4IChFbGVjdHJv
bmljKSYjeEQ7MDI1MS01MzUwIChMaW5raW5nKTwvaXNibj48YWNjZXNzaW9uLW51bT4yOTk2OTc2
NTwvYWNjZXNzaW9uLW51bT48dXJscz48cmVsYXRlZC11cmxzPjx1cmw+aHR0cHM6Ly93d3cubmNi
aS5ubG0ubmloLmdvdi9wdWJtZWQvMjk5Njk3NjU8L3VybD48L3JlbGF0ZWQtdXJscz48L3VybHM+
PGVsZWN0cm9uaWMtcmVzb3VyY2UtbnVtPjEwLjExNTkvMDAwNDkwMjQ5PC9lbGVjdHJvbmljLXJl
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127</w:t>
            </w:r>
            <w:r>
              <w:fldChar w:fldCharType="end"/>
            </w:r>
          </w:p>
        </w:tc>
        <w:tc>
          <w:tcPr>
            <w:tcW w:w="1390" w:type="dxa"/>
          </w:tcPr>
          <w:p w14:paraId="447B8ED9" w14:textId="77777777" w:rsidR="00383CD7" w:rsidRDefault="00383CD7" w:rsidP="00CB7786">
            <w:r>
              <w:t>10 studies:</w:t>
            </w:r>
          </w:p>
          <w:p w14:paraId="5323F80B" w14:textId="77777777" w:rsidR="00383CD7" w:rsidRDefault="00383CD7" w:rsidP="00CB7786">
            <w:r>
              <w:t>1 cohort study</w:t>
            </w:r>
          </w:p>
          <w:p w14:paraId="25EF9657" w14:textId="77777777" w:rsidR="00383CD7" w:rsidRDefault="00383CD7" w:rsidP="00CB7786">
            <w:r>
              <w:t>9 case-control studies</w:t>
            </w:r>
          </w:p>
        </w:tc>
        <w:tc>
          <w:tcPr>
            <w:tcW w:w="4819" w:type="dxa"/>
          </w:tcPr>
          <w:p w14:paraId="736740FF" w14:textId="57602C5F" w:rsidR="00383CD7" w:rsidRDefault="00383CD7" w:rsidP="00CB7786">
            <w:r w:rsidRPr="0025225A">
              <w:rPr>
                <w:b/>
              </w:rPr>
              <w:t>Aim</w:t>
            </w:r>
            <w:r>
              <w:t>: To investigate</w:t>
            </w:r>
            <w:r w:rsidRPr="0025225A">
              <w:t xml:space="preserve"> the effect of maternal diet and prenatal multivitamin supplementation on p</w:t>
            </w:r>
            <w:r>
              <w:t>a</w:t>
            </w:r>
            <w:r w:rsidRPr="0025225A">
              <w:t>ediatric cancer risk</w:t>
            </w:r>
            <w:r>
              <w:t>, in particular c</w:t>
            </w:r>
            <w:r w:rsidRPr="0025225A">
              <w:t>hildhood brain and spinal cord tumo</w:t>
            </w:r>
            <w:r w:rsidR="00F615F8">
              <w:t>u</w:t>
            </w:r>
            <w:r w:rsidRPr="0025225A">
              <w:t xml:space="preserve">rs (CBSCT). </w:t>
            </w:r>
          </w:p>
          <w:p w14:paraId="5B357C15" w14:textId="19720CFF" w:rsidR="00383CD7" w:rsidRPr="0016156C" w:rsidRDefault="00383CD7" w:rsidP="00CB7786">
            <w:pPr>
              <w:rPr>
                <w:b/>
              </w:rPr>
            </w:pPr>
            <w:r w:rsidRPr="0025225A">
              <w:rPr>
                <w:b/>
              </w:rPr>
              <w:t>Methods</w:t>
            </w:r>
            <w:r w:rsidRPr="0025225A">
              <w:t xml:space="preserve">: We conducted a systematic review and meta-analysis on maternal folate intake before and during pregnancy and the risk of CBSCT. We systematically reviewed publications obtained by searching the </w:t>
            </w:r>
            <w:r w:rsidR="00501148" w:rsidRPr="0025225A">
              <w:t>Institute</w:t>
            </w:r>
            <w:r w:rsidRPr="0025225A">
              <w:t xml:space="preserve"> for Scientific Information Web of Knowledge and PubMed literature databases. We extracted the risk estimate of the highest and the lowest reported categories of intake from each study and conducted a meta-analysis using a random-effects model. </w:t>
            </w:r>
          </w:p>
        </w:tc>
        <w:tc>
          <w:tcPr>
            <w:tcW w:w="4536" w:type="dxa"/>
          </w:tcPr>
          <w:p w14:paraId="2DE61ECD" w14:textId="77777777" w:rsidR="00383CD7" w:rsidRDefault="00383CD7" w:rsidP="00CB7786">
            <w:r>
              <w:t>Folate supplementation vs no folate supplementation:</w:t>
            </w:r>
          </w:p>
          <w:p w14:paraId="70386AE6" w14:textId="2A419AB2" w:rsidR="00383CD7" w:rsidRPr="0025225A" w:rsidRDefault="00383CD7" w:rsidP="00F615F8">
            <w:pPr>
              <w:pStyle w:val="bullet"/>
            </w:pPr>
            <w:r>
              <w:t xml:space="preserve">CBSCT: </w:t>
            </w:r>
            <w:r w:rsidRPr="0025225A">
              <w:t>OR 0.77</w:t>
            </w:r>
            <w:r>
              <w:t xml:space="preserve"> (0.66 to </w:t>
            </w:r>
            <w:r w:rsidRPr="0025225A">
              <w:t>0.90</w:t>
            </w:r>
            <w:r>
              <w:t>), p=</w:t>
            </w:r>
            <w:r w:rsidRPr="0025225A">
              <w:t xml:space="preserve">0.001 </w:t>
            </w:r>
          </w:p>
        </w:tc>
        <w:tc>
          <w:tcPr>
            <w:tcW w:w="1843" w:type="dxa"/>
          </w:tcPr>
          <w:p w14:paraId="3F69DDE2" w14:textId="38ABF601" w:rsidR="00383CD7" w:rsidRPr="00236C51" w:rsidRDefault="00383CD7" w:rsidP="00CB7786"/>
        </w:tc>
      </w:tr>
      <w:tr w:rsidR="00383CD7" w:rsidRPr="00236C51" w14:paraId="66201CDA" w14:textId="77777777" w:rsidTr="00D84B93">
        <w:trPr>
          <w:cantSplit/>
          <w:trHeight w:val="390"/>
        </w:trPr>
        <w:tc>
          <w:tcPr>
            <w:tcW w:w="1304" w:type="dxa"/>
            <w:tcBorders>
              <w:bottom w:val="single" w:sz="4" w:space="0" w:color="auto"/>
            </w:tcBorders>
          </w:tcPr>
          <w:p w14:paraId="1D9C57AD" w14:textId="22E56313" w:rsidR="00383CD7" w:rsidRDefault="00383CD7" w:rsidP="002747EA">
            <w:r>
              <w:t>De Regil et al 2015</w:t>
            </w:r>
            <w:r>
              <w:fldChar w:fldCharType="begin"/>
            </w:r>
            <w:r w:rsidR="002747EA">
              <w:instrText xml:space="preserve"> ADDIN EN.CITE &lt;EndNote&gt;&lt;Cite&gt;&lt;Author&gt;De-Regil&lt;/Author&gt;&lt;Year&gt;2015&lt;/Year&gt;&lt;RecNum&gt;1430&lt;/RecNum&gt;&lt;DisplayText&gt;&lt;style face="superscript" font="Trebuchet MS" size="9"&gt;129&lt;/style&gt;&lt;/DisplayText&gt;&lt;record&gt;&lt;rec-number&gt;1430&lt;/rec-number&gt;&lt;foreign-keys&gt;&lt;key app="EN" db-id="exvasrfx2dtraoesasxp2szsxa2df502592x" timestamp="1571626206"&gt;1430&lt;/key&gt;&lt;key app="ENWeb" db-id=""&gt;0&lt;/key&gt;&lt;/foreign-keys&gt;&lt;ref-type name="Journal Article"&gt;17&lt;/ref-type&gt;&lt;contributors&gt;&lt;authors&gt;&lt;author&gt;De-Regil, L. M.&lt;/author&gt;&lt;author&gt;Pena-Rosas, J. P.&lt;/author&gt;&lt;author&gt;Fernandez-Gaxiola, A. C.&lt;/author&gt;&lt;author&gt;Rayco-Solon, P.&lt;/author&gt;&lt;/authors&gt;&lt;/contributors&gt;&lt;auth-address&gt;Research and Evaluation, Micronutrient Initiative, 180 Elgin Street, Suite 1000, Ottawa, ON, Canada, K2P 2K3.&lt;/auth-address&gt;&lt;titles&gt;&lt;title&gt;Effects and safety of periconceptional oral folate supplementation for preventing birth defects&lt;/title&gt;&lt;secondary-title&gt;Cochrane Database Syst Rev&lt;/secondary-title&gt;&lt;/titles&gt;&lt;periodical&gt;&lt;full-title&gt;Cochrane Database Syst Rev&lt;/full-title&gt;&lt;/periodical&gt;&lt;pages&gt;CD007950&lt;/pages&gt;&lt;number&gt;12&lt;/number&gt;&lt;edition&gt;2015/12/15&lt;/edition&gt;&lt;keywords&gt;&lt;keyword&gt;Dietary Supplements&lt;/keyword&gt;&lt;keyword&gt;Female&lt;/keyword&gt;&lt;keyword&gt;Folic Acid/*administration &amp;amp; dosage&lt;/keyword&gt;&lt;keyword&gt;Humans&lt;/keyword&gt;&lt;keyword&gt;Infant&lt;/keyword&gt;&lt;keyword&gt;Neural Tube Defects/*prevention &amp;amp; control&lt;/keyword&gt;&lt;keyword&gt;Preconception Care&lt;/keyword&gt;&lt;keyword&gt;Pregnancy&lt;/keyword&gt;&lt;keyword&gt;Randomized Controlled Trials as Topic&lt;/keyword&gt;&lt;keyword&gt;Vitamin B Complex/*administration &amp;amp; dosage&lt;/keyword&gt;&lt;/keywords&gt;&lt;dates&gt;&lt;year&gt;2015&lt;/year&gt;&lt;pub-dates&gt;&lt;date&gt;Dec 14&lt;/date&gt;&lt;/pub-dates&gt;&lt;/dates&gt;&lt;isbn&gt;1469-493X (Electronic)&amp;#xD;1361-6137 (Linking)&lt;/isbn&gt;&lt;accession-num&gt;26662928&lt;/accession-num&gt;&lt;urls&gt;&lt;related-urls&gt;&lt;url&gt;https://www.ncbi.nlm.nih.gov/pubmed/26662928&lt;/url&gt;&lt;/related-urls&gt;&lt;/urls&gt;&lt;electronic-resource-num&gt;10.1002/14651858.CD007950.pub3&lt;/electronic-resource-num&gt;&lt;/record&gt;&lt;/Cite&gt;&lt;/EndNote&gt;</w:instrText>
            </w:r>
            <w:r>
              <w:fldChar w:fldCharType="separate"/>
            </w:r>
            <w:r w:rsidR="002747EA" w:rsidRPr="002747EA">
              <w:rPr>
                <w:noProof/>
                <w:vertAlign w:val="superscript"/>
              </w:rPr>
              <w:t>129</w:t>
            </w:r>
            <w:r>
              <w:fldChar w:fldCharType="end"/>
            </w:r>
          </w:p>
        </w:tc>
        <w:tc>
          <w:tcPr>
            <w:tcW w:w="1390" w:type="dxa"/>
            <w:tcBorders>
              <w:bottom w:val="single" w:sz="4" w:space="0" w:color="auto"/>
            </w:tcBorders>
          </w:tcPr>
          <w:p w14:paraId="11DC413F" w14:textId="77777777" w:rsidR="00383CD7" w:rsidRDefault="00383CD7" w:rsidP="00CB7786">
            <w:r>
              <w:t>5 RCTs</w:t>
            </w:r>
          </w:p>
          <w:p w14:paraId="49BFC69B" w14:textId="77777777" w:rsidR="00383CD7" w:rsidRDefault="00383CD7" w:rsidP="00CB7786">
            <w:r>
              <w:t>2,033 women with a history of NTDs</w:t>
            </w:r>
          </w:p>
          <w:p w14:paraId="5D331567" w14:textId="77777777" w:rsidR="00383CD7" w:rsidRDefault="00383CD7" w:rsidP="00CB7786">
            <w:r>
              <w:t xml:space="preserve">5,358 women with no history </w:t>
            </w:r>
          </w:p>
        </w:tc>
        <w:tc>
          <w:tcPr>
            <w:tcW w:w="4819" w:type="dxa"/>
            <w:tcBorders>
              <w:bottom w:val="single" w:sz="4" w:space="0" w:color="auto"/>
            </w:tcBorders>
          </w:tcPr>
          <w:p w14:paraId="0BC8FC3E" w14:textId="77777777" w:rsidR="00383CD7" w:rsidRDefault="00383CD7" w:rsidP="00CB7786">
            <w:r>
              <w:rPr>
                <w:b/>
              </w:rPr>
              <w:t xml:space="preserve">Aim: </w:t>
            </w:r>
            <w:r>
              <w:t>T</w:t>
            </w:r>
            <w:r w:rsidRPr="000E188E">
              <w:t xml:space="preserve">o examine whether periconceptional folate supplementation reduces the risk of neural tube and other congenital anomalies (including cleft palate) without causing adverse outcomes in mothers or babies. </w:t>
            </w:r>
          </w:p>
          <w:p w14:paraId="3881989C" w14:textId="77777777" w:rsidR="00383CD7" w:rsidRPr="0025225A" w:rsidRDefault="00383CD7" w:rsidP="00CB7786">
            <w:pPr>
              <w:rPr>
                <w:b/>
              </w:rPr>
            </w:pPr>
            <w:r w:rsidRPr="000E188E">
              <w:rPr>
                <w:b/>
              </w:rPr>
              <w:t>Methods</w:t>
            </w:r>
            <w:r w:rsidRPr="000E188E">
              <w:t xml:space="preserve">: We searched the Cochrane Pregnancy and Childbirth Group's Trials Register (31 August 2015). Additionally, we searched the World Health Organization (WHO) International Clinical Trials Registry Platform (ICTRP) (31 August 2015) and contacted relevant organisations to identify ongoing and unpublished studies. We included all randomised or quasi-randomised trials evaluating the effect of periconceptional folate supplementation alone, or in combination with other vitamins and minerals, in women independent of age and parity. </w:t>
            </w:r>
          </w:p>
        </w:tc>
        <w:tc>
          <w:tcPr>
            <w:tcW w:w="4536" w:type="dxa"/>
            <w:tcBorders>
              <w:bottom w:val="single" w:sz="4" w:space="0" w:color="auto"/>
            </w:tcBorders>
          </w:tcPr>
          <w:p w14:paraId="5EC87A74" w14:textId="49081DA0" w:rsidR="00383CD7" w:rsidRDefault="00383CD7" w:rsidP="00CB7786">
            <w:r>
              <w:t>S</w:t>
            </w:r>
            <w:r w:rsidRPr="000E188E">
              <w:t xml:space="preserve">upplementation with folate </w:t>
            </w:r>
            <w:r w:rsidR="001930BB">
              <w:t xml:space="preserve">(alone or in combination with other vitamins and minerals) </w:t>
            </w:r>
            <w:r w:rsidRPr="000E188E">
              <w:t>versus no intervention, placebo or other micronutrients without folate</w:t>
            </w:r>
            <w:r>
              <w:t>:</w:t>
            </w:r>
          </w:p>
          <w:p w14:paraId="5765632F" w14:textId="1FD772F6" w:rsidR="001930BB" w:rsidRDefault="00383CD7" w:rsidP="00335498">
            <w:pPr>
              <w:pStyle w:val="bullet"/>
            </w:pPr>
            <w:r>
              <w:t xml:space="preserve">Neural tube defects: RR 0.31 (0.17 to 0.58); 5 </w:t>
            </w:r>
            <w:r w:rsidR="007A0BD2">
              <w:t>RCTs</w:t>
            </w:r>
            <w:r>
              <w:t>; n=6,708</w:t>
            </w:r>
            <w:r w:rsidR="001930BB">
              <w:t xml:space="preserve">; high </w:t>
            </w:r>
            <w:r w:rsidR="00FB2A6C">
              <w:t>certainty</w:t>
            </w:r>
          </w:p>
          <w:p w14:paraId="65A60523" w14:textId="79BDAA24" w:rsidR="00383CD7" w:rsidRDefault="00383CD7" w:rsidP="00CB7786">
            <w:pPr>
              <w:pStyle w:val="bullet"/>
            </w:pPr>
            <w:r>
              <w:t>Cleft lip: RR 0.79 (0.14 to 4.36); 3 studies; n=5,612</w:t>
            </w:r>
            <w:r w:rsidR="001930BB">
              <w:t xml:space="preserve">; low </w:t>
            </w:r>
            <w:r w:rsidR="00FB2A6C">
              <w:t>certainty</w:t>
            </w:r>
          </w:p>
          <w:p w14:paraId="2D2005A7" w14:textId="1B2B89C5" w:rsidR="00383CD7" w:rsidRDefault="00383CD7" w:rsidP="00CB7786">
            <w:pPr>
              <w:pStyle w:val="bullet"/>
            </w:pPr>
            <w:r>
              <w:t>Cleft palate: RR 0.73 (0.05 to 0.89); 3 studies; n=5,612</w:t>
            </w:r>
            <w:r w:rsidR="001930BB">
              <w:t xml:space="preserve">; low </w:t>
            </w:r>
            <w:r w:rsidR="00FB2A6C">
              <w:t>certainty</w:t>
            </w:r>
          </w:p>
          <w:p w14:paraId="4085ADC3" w14:textId="6F9EAD1D" w:rsidR="00383CD7" w:rsidRDefault="00383CD7" w:rsidP="00CB7786">
            <w:pPr>
              <w:pStyle w:val="bullet"/>
            </w:pPr>
            <w:r>
              <w:t xml:space="preserve">Congenital cardiovascular </w:t>
            </w:r>
            <w:r w:rsidR="001930BB">
              <w:t>defects</w:t>
            </w:r>
            <w:r>
              <w:t>: RR 0.57 (0.24 to 1.33); 3 studies; n=5,612</w:t>
            </w:r>
            <w:r w:rsidR="001930BB">
              <w:t xml:space="preserve">; low </w:t>
            </w:r>
            <w:r w:rsidR="00FB2A6C">
              <w:t>certainty</w:t>
            </w:r>
          </w:p>
          <w:p w14:paraId="6367E05D" w14:textId="77777777" w:rsidR="00383CD7" w:rsidRDefault="00383CD7" w:rsidP="00CB7786">
            <w:pPr>
              <w:pStyle w:val="bullet"/>
            </w:pPr>
            <w:r>
              <w:t>Other congenital anomalies: RR 0.94 (0.53 to 1.66); 3 studies; n=5,612</w:t>
            </w:r>
          </w:p>
          <w:p w14:paraId="2317376A" w14:textId="5B79A396" w:rsidR="00383CD7" w:rsidRDefault="00383CD7" w:rsidP="00CB7786">
            <w:pPr>
              <w:pStyle w:val="bullet"/>
            </w:pPr>
            <w:r>
              <w:t>Miscarriage: RR 1.10 (0.94 to 1.28); 5 studies; n=7,391</w:t>
            </w:r>
            <w:r w:rsidR="001930BB">
              <w:t xml:space="preserve">; moderate </w:t>
            </w:r>
            <w:r w:rsidR="00FB2A6C">
              <w:t>certainty</w:t>
            </w:r>
          </w:p>
          <w:p w14:paraId="01F2354B" w14:textId="7161B782" w:rsidR="00383CD7" w:rsidRPr="002E57EF" w:rsidRDefault="001930BB" w:rsidP="001930BB">
            <w:pPr>
              <w:pStyle w:val="bullet"/>
            </w:pPr>
            <w:r>
              <w:t xml:space="preserve">Any other birth defects: RR 0.94; 95%CI 0.53 to 1.66; 3 studies; n=5,612; low </w:t>
            </w:r>
            <w:r w:rsidR="00FB2A6C">
              <w:t>certainty</w:t>
            </w:r>
          </w:p>
        </w:tc>
        <w:tc>
          <w:tcPr>
            <w:tcW w:w="1843" w:type="dxa"/>
            <w:tcBorders>
              <w:bottom w:val="single" w:sz="4" w:space="0" w:color="auto"/>
            </w:tcBorders>
          </w:tcPr>
          <w:p w14:paraId="43F34162" w14:textId="3AAB6B2A" w:rsidR="00383CD7" w:rsidRPr="00236C51" w:rsidRDefault="00383CD7" w:rsidP="00CB7786"/>
        </w:tc>
      </w:tr>
      <w:tr w:rsidR="00383CD7" w:rsidRPr="00236C51" w14:paraId="0393CBC2" w14:textId="77777777" w:rsidTr="00D84B93">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304" w:type="dxa"/>
            <w:tcBorders>
              <w:top w:val="single" w:sz="4" w:space="0" w:color="auto"/>
              <w:left w:val="single" w:sz="4" w:space="0" w:color="auto"/>
              <w:bottom w:val="single" w:sz="4" w:space="0" w:color="auto"/>
              <w:right w:val="single" w:sz="4" w:space="0" w:color="auto"/>
            </w:tcBorders>
          </w:tcPr>
          <w:p w14:paraId="51D3714C" w14:textId="150EC21E" w:rsidR="00383CD7" w:rsidRDefault="00383CD7" w:rsidP="002747EA">
            <w:r w:rsidRPr="005818D1">
              <w:t>Feng et al 2015</w:t>
            </w:r>
            <w:r>
              <w:fldChar w:fldCharType="begin">
                <w:fldData xml:space="preserve">PEVuZE5vdGU+PENpdGU+PEF1dGhvcj5GZW5nPC9BdXRob3I+PFllYXI+MjAxNTwvWWVhcj48UmVj
TnVtPjE0MzI8L1JlY051bT48RGlzcGxheVRleHQ+PHN0eWxlIGZhY2U9InN1cGVyc2NyaXB0IiBm
b250PSJUcmVidWNoZXQgTVMiIHNpemU9IjkiPjEzMDwvc3R5bGU+PC9EaXNwbGF5VGV4dD48cmVj
b3JkPjxyZWMtbnVtYmVyPjE0MzI8L3JlYy1udW1iZXI+PGZvcmVpZ24ta2V5cz48a2V5IGFwcD0i
RU4iIGRiLWlkPSJleHZhc3JmeDJkdHJhb2VzYXN4cDJzenN4YTJkZjUwMjU5MngiIHRpbWVzdGFt
cD0iMTU3MTYyNjIxOCI+MTQzMjwva2V5PjxrZXkgYXBwPSJFTldlYiIgZGItaWQ9IiI+MDwva2V5
PjwvZm9yZWlnbi1rZXlzPjxyZWYtdHlwZSBuYW1lPSJKb3VybmFsIEFydGljbGUiPjE3PC9yZWYt
dHlwZT48Y29udHJpYnV0b3JzPjxhdXRob3JzPjxhdXRob3I+RmVuZywgWS48L2F1dGhvcj48YXV0
aG9yPldhbmcsIFMuPC9hdXRob3I+PGF1dGhvcj5DaGVuLCBSLjwvYXV0aG9yPjxhdXRob3I+VG9u
ZywgWC48L2F1dGhvcj48YXV0aG9yPld1LCBaLjwvYXV0aG9yPjxhdXRob3I+TW8sIFguPC9hdXRo
b3I+PC9hdXRob3JzPjwvY29udHJpYnV0b3JzPjxhdXRoLWFkZHJlc3M+RGVwYXJ0bWVudCBvZiBD
YXJkaW90aG9yYWNpYyBTdXJnZXJ5LCBUaGUgQWZmaWxpYXRlZCBDaGlsZHJlbiZhcG9zO3MgSG9z
cGl0YWwgb2YgTmFuamluZyBNZWRpY2FsIFVuaXZlcnNpdHksIE5hbmppbmcsIEppYW5nc3UsIENo
aW5hLiYjeEQ7QXRoZXJvc2NsZXJvc2lzIFJlc2VhcmNoIENlbnRlciwgS2V5IExhYm9yYXRvcnkg
b2YgQ2FyZGlvdmFzY3VsYXIgRGlzZWFzZSBhbmQgTW9sZWN1bGFyIEludGVydmVudGlvbiwgTmFu
amluZyBNZWRpY2FsIFVuaXZlcnNpdHksIE5hbmppbmcsIEppYW5nc3UsIENoaW5hLjwvYXV0aC1h
ZGRyZXNzPjx0aXRsZXM+PHRpdGxlPk1hdGVybmFsIGZvbGljIGFjaWQgc3VwcGxlbWVudGF0aW9u
IGFuZCB0aGUgcmlzayBvZiBjb25nZW5pdGFsIGhlYXJ0IGRlZmVjdHMgaW4gb2Zmc3ByaW5nOiBh
IG1ldGEtYW5hbHlzaXMgb2YgZXBpZGVtaW9sb2dpY2FsIG9ic2VydmF0aW9uYWwgc3R1ZGllczwv
dGl0bGU+PHNlY29uZGFyeS10aXRsZT5TY2kgUmVwPC9zZWNvbmRhcnktdGl0bGU+PC90aXRsZXM+
PHBlcmlvZGljYWw+PGZ1bGwtdGl0bGU+U2NpIFJlcDwvZnVsbC10aXRsZT48L3BlcmlvZGljYWw+
PHBhZ2VzPjg1MDY8L3BhZ2VzPjx2b2x1bWU+NTwvdm9sdW1lPjxlZGl0aW9uPjIwMTUvMDIvMTg8
L2VkaXRpb24+PGtleXdvcmRzPjxrZXl3b3JkPipEaWV0YXJ5IFN1cHBsZW1lbnRzPC9rZXl3b3Jk
PjxrZXl3b3JkPkZlbWFsZTwva2V5d29yZD48a2V5d29yZD5Gb2xpYyBBY2lkLyphZHZlcnNlIGVm
ZmVjdHM8L2tleXdvcmQ+PGtleXdvcmQ+SGVhcnQgRGVmZWN0cywgQ29uZ2VuaXRhbC8qZXBpZGVt
aW9sb2d5LypldGlvbG9neTwva2V5d29yZD48a2V5d29yZD5IdW1hbnM8L2tleXdvcmQ+PGtleXdv
cmQ+Kk1hdGVybmFsIEV4cG9zdXJlPC9rZXl3b3JkPjxrZXl3b3JkPk9kZHMgUmF0aW88L2tleXdv
cmQ+PGtleXdvcmQ+UHJlZ25hbmN5PC9rZXl3b3JkPjxrZXl3b3JkPipQcmVuYXRhbCBFeHBvc3Vy
ZSBEZWxheWVkIEVmZmVjdHM8L2tleXdvcmQ+PGtleXdvcmQ+Umlzazwva2V5d29yZD48L2tleXdv
cmRzPjxkYXRlcz48eWVhcj4yMDE1PC95ZWFyPjxwdWItZGF0ZXM+PGRhdGU+RmViIDE3PC9kYXRl
PjwvcHViLWRhdGVzPjwvZGF0ZXM+PGlzYm4+MjA0NS0yMzIyIChFbGVjdHJvbmljKSYjeEQ7MjA0
NS0yMzIyIChMaW5raW5nKTwvaXNibj48YWNjZXNzaW9uLW51bT4yNTY4NzU0NTwvYWNjZXNzaW9u
LW51bT48dXJscz48cmVsYXRlZC11cmxzPjx1cmw+aHR0cHM6Ly93d3cubmNiaS5ubG0ubmloLmdv
di9wdWJtZWQvMjU2ODc1NDU8L3VybD48L3JlbGF0ZWQtdXJscz48L3VybHM+PGN1c3RvbTI+UE1D
NDMzMDU0MjwvY3VzdG9tMj48ZWxlY3Ryb25pYy1yZXNvdXJjZS1udW0+MTAuMTAzOC9zcmVwMDg1
MDY8L2VsZWN0cm9uaWMtcmVzb3VyY2UtbnVtPjwvcmVjb3JkPjwvQ2l0ZT48L0VuZE5vdGU+AG==
</w:fldData>
              </w:fldChar>
            </w:r>
            <w:r w:rsidR="002747EA">
              <w:instrText xml:space="preserve"> ADDIN EN.CITE </w:instrText>
            </w:r>
            <w:r w:rsidR="002747EA">
              <w:fldChar w:fldCharType="begin">
                <w:fldData xml:space="preserve">PEVuZE5vdGU+PENpdGU+PEF1dGhvcj5GZW5nPC9BdXRob3I+PFllYXI+MjAxNTwvWWVhcj48UmVj
TnVtPjE0MzI8L1JlY051bT48RGlzcGxheVRleHQ+PHN0eWxlIGZhY2U9InN1cGVyc2NyaXB0IiBm
b250PSJUcmVidWNoZXQgTVMiIHNpemU9IjkiPjEzMDwvc3R5bGU+PC9EaXNwbGF5VGV4dD48cmVj
b3JkPjxyZWMtbnVtYmVyPjE0MzI8L3JlYy1udW1iZXI+PGZvcmVpZ24ta2V5cz48a2V5IGFwcD0i
RU4iIGRiLWlkPSJleHZhc3JmeDJkdHJhb2VzYXN4cDJzenN4YTJkZjUwMjU5MngiIHRpbWVzdGFt
cD0iMTU3MTYyNjIxOCI+MTQzMjwva2V5PjxrZXkgYXBwPSJFTldlYiIgZGItaWQ9IiI+MDwva2V5
PjwvZm9yZWlnbi1rZXlzPjxyZWYtdHlwZSBuYW1lPSJKb3VybmFsIEFydGljbGUiPjE3PC9yZWYt
dHlwZT48Y29udHJpYnV0b3JzPjxhdXRob3JzPjxhdXRob3I+RmVuZywgWS48L2F1dGhvcj48YXV0
aG9yPldhbmcsIFMuPC9hdXRob3I+PGF1dGhvcj5DaGVuLCBSLjwvYXV0aG9yPjxhdXRob3I+VG9u
ZywgWC48L2F1dGhvcj48YXV0aG9yPld1LCBaLjwvYXV0aG9yPjxhdXRob3I+TW8sIFguPC9hdXRo
b3I+PC9hdXRob3JzPjwvY29udHJpYnV0b3JzPjxhdXRoLWFkZHJlc3M+RGVwYXJ0bWVudCBvZiBD
YXJkaW90aG9yYWNpYyBTdXJnZXJ5LCBUaGUgQWZmaWxpYXRlZCBDaGlsZHJlbiZhcG9zO3MgSG9z
cGl0YWwgb2YgTmFuamluZyBNZWRpY2FsIFVuaXZlcnNpdHksIE5hbmppbmcsIEppYW5nc3UsIENo
aW5hLiYjeEQ7QXRoZXJvc2NsZXJvc2lzIFJlc2VhcmNoIENlbnRlciwgS2V5IExhYm9yYXRvcnkg
b2YgQ2FyZGlvdmFzY3VsYXIgRGlzZWFzZSBhbmQgTW9sZWN1bGFyIEludGVydmVudGlvbiwgTmFu
amluZyBNZWRpY2FsIFVuaXZlcnNpdHksIE5hbmppbmcsIEppYW5nc3UsIENoaW5hLjwvYXV0aC1h
ZGRyZXNzPjx0aXRsZXM+PHRpdGxlPk1hdGVybmFsIGZvbGljIGFjaWQgc3VwcGxlbWVudGF0aW9u
IGFuZCB0aGUgcmlzayBvZiBjb25nZW5pdGFsIGhlYXJ0IGRlZmVjdHMgaW4gb2Zmc3ByaW5nOiBh
IG1ldGEtYW5hbHlzaXMgb2YgZXBpZGVtaW9sb2dpY2FsIG9ic2VydmF0aW9uYWwgc3R1ZGllczwv
dGl0bGU+PHNlY29uZGFyeS10aXRsZT5TY2kgUmVwPC9zZWNvbmRhcnktdGl0bGU+PC90aXRsZXM+
PHBlcmlvZGljYWw+PGZ1bGwtdGl0bGU+U2NpIFJlcDwvZnVsbC10aXRsZT48L3BlcmlvZGljYWw+
PHBhZ2VzPjg1MDY8L3BhZ2VzPjx2b2x1bWU+NTwvdm9sdW1lPjxlZGl0aW9uPjIwMTUvMDIvMTg8
L2VkaXRpb24+PGtleXdvcmRzPjxrZXl3b3JkPipEaWV0YXJ5IFN1cHBsZW1lbnRzPC9rZXl3b3Jk
PjxrZXl3b3JkPkZlbWFsZTwva2V5d29yZD48a2V5d29yZD5Gb2xpYyBBY2lkLyphZHZlcnNlIGVm
ZmVjdHM8L2tleXdvcmQ+PGtleXdvcmQ+SGVhcnQgRGVmZWN0cywgQ29uZ2VuaXRhbC8qZXBpZGVt
aW9sb2d5LypldGlvbG9neTwva2V5d29yZD48a2V5d29yZD5IdW1hbnM8L2tleXdvcmQ+PGtleXdv
cmQ+Kk1hdGVybmFsIEV4cG9zdXJlPC9rZXl3b3JkPjxrZXl3b3JkPk9kZHMgUmF0aW88L2tleXdv
cmQ+PGtleXdvcmQ+UHJlZ25hbmN5PC9rZXl3b3JkPjxrZXl3b3JkPipQcmVuYXRhbCBFeHBvc3Vy
ZSBEZWxheWVkIEVmZmVjdHM8L2tleXdvcmQ+PGtleXdvcmQ+Umlzazwva2V5d29yZD48L2tleXdv
cmRzPjxkYXRlcz48eWVhcj4yMDE1PC95ZWFyPjxwdWItZGF0ZXM+PGRhdGU+RmViIDE3PC9kYXRl
PjwvcHViLWRhdGVzPjwvZGF0ZXM+PGlzYm4+MjA0NS0yMzIyIChFbGVjdHJvbmljKSYjeEQ7MjA0
NS0yMzIyIChMaW5raW5nKTwvaXNibj48YWNjZXNzaW9uLW51bT4yNTY4NzU0NTwvYWNjZXNzaW9u
LW51bT48dXJscz48cmVsYXRlZC11cmxzPjx1cmw+aHR0cHM6Ly93d3cubmNiaS5ubG0ubmloLmdv
di9wdWJtZWQvMjU2ODc1NDU8L3VybD48L3JlbGF0ZWQtdXJscz48L3VybHM+PGN1c3RvbTI+UE1D
NDMzMDU0MjwvY3VzdG9tMj48ZWxlY3Ryb25pYy1yZXNvdXJjZS1udW0+MTAuMTAzOC9zcmVwMDg1
MDY8L2VsZWN0cm9uaWMtcmVzb3VyY2UtbnVtPjwvcmVjb3JkPjwvQ2l0ZT48L0VuZE5vdGU+AG==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130</w:t>
            </w:r>
            <w:r>
              <w:fldChar w:fldCharType="end"/>
            </w:r>
          </w:p>
        </w:tc>
        <w:tc>
          <w:tcPr>
            <w:tcW w:w="1390" w:type="dxa"/>
            <w:tcBorders>
              <w:top w:val="single" w:sz="4" w:space="0" w:color="auto"/>
              <w:left w:val="single" w:sz="4" w:space="0" w:color="auto"/>
              <w:bottom w:val="single" w:sz="4" w:space="0" w:color="auto"/>
              <w:right w:val="single" w:sz="4" w:space="0" w:color="auto"/>
            </w:tcBorders>
          </w:tcPr>
          <w:p w14:paraId="37AE4401" w14:textId="77777777" w:rsidR="00383CD7" w:rsidRDefault="00383CD7" w:rsidP="00CB7786">
            <w:r>
              <w:t>18 studies:</w:t>
            </w:r>
          </w:p>
          <w:p w14:paraId="3373BA93" w14:textId="77777777" w:rsidR="00383CD7" w:rsidRDefault="00383CD7" w:rsidP="00CB7786">
            <w:r>
              <w:t>1 RCT</w:t>
            </w:r>
          </w:p>
          <w:p w14:paraId="79C95591" w14:textId="77777777" w:rsidR="00383CD7" w:rsidRDefault="00383CD7" w:rsidP="00CB7786">
            <w:r>
              <w:t>1 cohort study</w:t>
            </w:r>
          </w:p>
          <w:p w14:paraId="3BE49669" w14:textId="77777777" w:rsidR="00383CD7" w:rsidRDefault="00383CD7" w:rsidP="00CB7786">
            <w:r>
              <w:t>16 case-control studies</w:t>
            </w:r>
          </w:p>
        </w:tc>
        <w:tc>
          <w:tcPr>
            <w:tcW w:w="4819" w:type="dxa"/>
            <w:tcBorders>
              <w:top w:val="single" w:sz="4" w:space="0" w:color="auto"/>
              <w:left w:val="single" w:sz="4" w:space="0" w:color="auto"/>
              <w:bottom w:val="single" w:sz="4" w:space="0" w:color="auto"/>
              <w:right w:val="single" w:sz="4" w:space="0" w:color="auto"/>
            </w:tcBorders>
          </w:tcPr>
          <w:p w14:paraId="4B6B0200" w14:textId="77777777" w:rsidR="00383CD7" w:rsidRDefault="00383CD7" w:rsidP="00CB7786">
            <w:r w:rsidRPr="008E7B33">
              <w:rPr>
                <w:b/>
              </w:rPr>
              <w:t>Aim</w:t>
            </w:r>
            <w:r>
              <w:t>: To conduct</w:t>
            </w:r>
            <w:r w:rsidRPr="008E7B33">
              <w:t xml:space="preserve"> a meta-analysis of the association between maternal folic acid supplementation and </w:t>
            </w:r>
            <w:r>
              <w:t>congenital heart defects</w:t>
            </w:r>
            <w:r w:rsidRPr="008E7B33">
              <w:t xml:space="preserve"> in offspring</w:t>
            </w:r>
            <w:r>
              <w:t>.</w:t>
            </w:r>
          </w:p>
          <w:p w14:paraId="63389B41" w14:textId="5EDA460F" w:rsidR="00383CD7" w:rsidRPr="001C127C" w:rsidRDefault="00383CD7" w:rsidP="00CB7786">
            <w:pPr>
              <w:rPr>
                <w:b/>
              </w:rPr>
            </w:pPr>
            <w:r w:rsidRPr="008E7B33">
              <w:rPr>
                <w:b/>
              </w:rPr>
              <w:t>Methods</w:t>
            </w:r>
            <w:r>
              <w:t>:</w:t>
            </w:r>
            <w:r w:rsidRPr="008E7B33">
              <w:t xml:space="preserve"> We searched the MEDLINE and EMBASE databases for articles </w:t>
            </w:r>
            <w:r w:rsidR="00501148" w:rsidRPr="008E7B33">
              <w:t>catalogued</w:t>
            </w:r>
            <w:r w:rsidRPr="008E7B33">
              <w:t xml:space="preserve"> between their inceptions and October 10, 2014 and identified relevant published studies that assessed the association between maternal folate supplementation and the risk of CHDs. Study-specific relative risk estimates were pooled using random-effects or fixed-effects models. Out of the 1,606 articles found in our initial literature</w:t>
            </w:r>
            <w:r w:rsidR="00FB0ABB">
              <w:t xml:space="preserve"> searches, a total of 1 randomis</w:t>
            </w:r>
            <w:r w:rsidRPr="008E7B33">
              <w:t>ed controlled trial, 1 cohort study, and 16 case-control studies were included in our final meta-analysis.</w:t>
            </w:r>
          </w:p>
        </w:tc>
        <w:tc>
          <w:tcPr>
            <w:tcW w:w="4536" w:type="dxa"/>
            <w:tcBorders>
              <w:top w:val="single" w:sz="4" w:space="0" w:color="auto"/>
              <w:left w:val="single" w:sz="4" w:space="0" w:color="auto"/>
              <w:bottom w:val="single" w:sz="4" w:space="0" w:color="auto"/>
              <w:right w:val="single" w:sz="4" w:space="0" w:color="auto"/>
            </w:tcBorders>
          </w:tcPr>
          <w:p w14:paraId="0DA903FA" w14:textId="77777777" w:rsidR="00383CD7" w:rsidRDefault="00383CD7" w:rsidP="00CB7786">
            <w:r>
              <w:t>M</w:t>
            </w:r>
            <w:r w:rsidRPr="008E7B33">
              <w:t xml:space="preserve">aternal folate supplementation </w:t>
            </w:r>
            <w:r>
              <w:t>versus no supplementation:</w:t>
            </w:r>
          </w:p>
          <w:p w14:paraId="280A4EDC" w14:textId="77777777" w:rsidR="00383CD7" w:rsidRPr="008E7B33" w:rsidRDefault="00383CD7" w:rsidP="00CB7786">
            <w:pPr>
              <w:pStyle w:val="bullet"/>
            </w:pPr>
            <w:r>
              <w:t xml:space="preserve">Congenital heart defects: </w:t>
            </w:r>
            <w:r w:rsidRPr="008E7B33">
              <w:t>RR 0.72</w:t>
            </w:r>
            <w:r>
              <w:t xml:space="preserve"> (0.63 to 0.82)</w:t>
            </w:r>
          </w:p>
        </w:tc>
        <w:tc>
          <w:tcPr>
            <w:tcW w:w="1843" w:type="dxa"/>
            <w:tcBorders>
              <w:top w:val="single" w:sz="4" w:space="0" w:color="auto"/>
              <w:left w:val="single" w:sz="4" w:space="0" w:color="auto"/>
              <w:bottom w:val="single" w:sz="4" w:space="0" w:color="auto"/>
              <w:right w:val="single" w:sz="4" w:space="0" w:color="auto"/>
            </w:tcBorders>
          </w:tcPr>
          <w:p w14:paraId="2E801AE0" w14:textId="5CF4E96A" w:rsidR="00383CD7" w:rsidRPr="00236C51" w:rsidRDefault="00383CD7" w:rsidP="00CB7786"/>
        </w:tc>
      </w:tr>
      <w:tr w:rsidR="00383CD7" w:rsidRPr="00236C51" w14:paraId="2742C048" w14:textId="77777777" w:rsidTr="00D84B93">
        <w:trPr>
          <w:cantSplit/>
          <w:trHeight w:val="390"/>
        </w:trPr>
        <w:tc>
          <w:tcPr>
            <w:tcW w:w="1304" w:type="dxa"/>
          </w:tcPr>
          <w:p w14:paraId="57FC96C9" w14:textId="3F25AAFE" w:rsidR="00383CD7" w:rsidRDefault="00383CD7" w:rsidP="002747EA">
            <w:r>
              <w:t>Xu et al 2016</w:t>
            </w:r>
            <w:r w:rsidR="00201490">
              <w:fldChar w:fldCharType="begin"/>
            </w:r>
            <w:r w:rsidR="002747EA">
              <w:instrText xml:space="preserve"> ADDIN EN.CITE &lt;EndNote&gt;&lt;Cite&gt;&lt;Author&gt;Xu&lt;/Author&gt;&lt;Year&gt;2016&lt;/Year&gt;&lt;RecNum&gt;1618&lt;/RecNum&gt;&lt;DisplayText&gt;&lt;style face="superscript" font="Trebuchet MS" size="9"&gt;123&lt;/style&gt;&lt;/DisplayText&gt;&lt;record&gt;&lt;rec-number&gt;1618&lt;/rec-number&gt;&lt;foreign-keys&gt;&lt;key app="EN" db-id="exvasrfx2dtraoesasxp2szsxa2df502592x" timestamp="1576726470"&gt;1618&lt;/key&gt;&lt;/foreign-keys&gt;&lt;ref-type name="Journal Article"&gt;17&lt;/ref-type&gt;&lt;contributors&gt;&lt;authors&gt;&lt;author&gt;Xu, A.&lt;/author&gt;&lt;author&gt;Cao, X.&lt;/author&gt;&lt;author&gt;Lu, Y.&lt;/author&gt;&lt;author&gt;Li, H.&lt;/author&gt;&lt;author&gt;Zhu, Q.&lt;/author&gt;&lt;author&gt;Chen, X.&lt;/author&gt;&lt;author&gt;Jiang, H.&lt;/author&gt;&lt;author&gt;Li, X.&lt;/author&gt;&lt;/authors&gt;&lt;/contributors&gt;&lt;auth-address&gt;Prenatal Screening Diagnosis Center, Nantong Maternal and Child Health Hospital.&lt;/auth-address&gt;&lt;titles&gt;&lt;title&gt;A meta-analysis of the relationship between maternal folic acid supplementation and the risk of congenital heart defects&lt;/title&gt;&lt;secondary-title&gt;Int Heart J&lt;/secondary-title&gt;&lt;/titles&gt;&lt;periodical&gt;&lt;full-title&gt;Int Heart J&lt;/full-title&gt;&lt;/periodical&gt;&lt;pages&gt;725-728&lt;/pages&gt;&lt;volume&gt;57&lt;/volume&gt;&lt;number&gt;6&lt;/number&gt;&lt;edition&gt;2016/11/11&lt;/edition&gt;&lt;keywords&gt;&lt;keyword&gt;*Dietary Supplements&lt;/keyword&gt;&lt;keyword&gt;Female&lt;/keyword&gt;&lt;keyword&gt;Folic Acid/*therapeutic use&lt;/keyword&gt;&lt;keyword&gt;Heart Defects, Congenital/*prevention &amp;amp; control&lt;/keyword&gt;&lt;keyword&gt;Humans&lt;/keyword&gt;&lt;keyword&gt;Infant, Newborn&lt;/keyword&gt;&lt;keyword&gt;Pregnancy&lt;/keyword&gt;&lt;keyword&gt;Prenatal Care&lt;/keyword&gt;&lt;keyword&gt;Vitamin B Complex/*therapeutic use&lt;/keyword&gt;&lt;/keywords&gt;&lt;dates&gt;&lt;year&gt;2016&lt;/year&gt;&lt;pub-dates&gt;&lt;date&gt;Dec 2&lt;/date&gt;&lt;/pub-dates&gt;&lt;/dates&gt;&lt;isbn&gt;1349-3299 (Electronic)&amp;#xD;1349-2365 (Linking)&lt;/isbn&gt;&lt;accession-num&gt;27829639&lt;/accession-num&gt;&lt;urls&gt;&lt;related-urls&gt;&lt;url&gt;https://www.ncbi.nlm.nih.gov/pubmed/27829639&lt;/url&gt;&lt;/related-urls&gt;&lt;/urls&gt;&lt;electronic-resource-num&gt;10.1536/ihj.16-054&lt;/electronic-resource-num&gt;&lt;/record&gt;&lt;/Cite&gt;&lt;/EndNote&gt;</w:instrText>
            </w:r>
            <w:r w:rsidR="00201490">
              <w:fldChar w:fldCharType="separate"/>
            </w:r>
            <w:r w:rsidR="002747EA" w:rsidRPr="002747EA">
              <w:rPr>
                <w:noProof/>
                <w:vertAlign w:val="superscript"/>
              </w:rPr>
              <w:t>123</w:t>
            </w:r>
            <w:r w:rsidR="00201490">
              <w:fldChar w:fldCharType="end"/>
            </w:r>
          </w:p>
        </w:tc>
        <w:tc>
          <w:tcPr>
            <w:tcW w:w="1390" w:type="dxa"/>
          </w:tcPr>
          <w:p w14:paraId="10317789" w14:textId="77777777" w:rsidR="00383CD7" w:rsidRDefault="00383CD7" w:rsidP="008F5933">
            <w:r>
              <w:t>20 case-control studies</w:t>
            </w:r>
          </w:p>
        </w:tc>
        <w:tc>
          <w:tcPr>
            <w:tcW w:w="4819" w:type="dxa"/>
          </w:tcPr>
          <w:p w14:paraId="54C3866E" w14:textId="77777777" w:rsidR="00383CD7" w:rsidRDefault="00383CD7" w:rsidP="006E44B6">
            <w:r w:rsidRPr="006E44B6">
              <w:rPr>
                <w:b/>
              </w:rPr>
              <w:t>Aim</w:t>
            </w:r>
            <w:r>
              <w:t>: T</w:t>
            </w:r>
            <w:r w:rsidRPr="006E44B6">
              <w:t xml:space="preserve">o </w:t>
            </w:r>
            <w:r>
              <w:t xml:space="preserve">examine </w:t>
            </w:r>
            <w:r w:rsidRPr="006E44B6">
              <w:t>the relationship between maternal folic acid (FA) supplementation and birth prevalence of congenital heart defects (CHDs).</w:t>
            </w:r>
          </w:p>
          <w:p w14:paraId="6C09049F" w14:textId="77777777" w:rsidR="00383CD7" w:rsidRPr="006005B6" w:rsidRDefault="00383CD7" w:rsidP="006E44B6">
            <w:pPr>
              <w:rPr>
                <w:rFonts w:eastAsiaTheme="majorEastAsia"/>
                <w:b/>
                <w:color w:val="000000"/>
                <w:szCs w:val="18"/>
              </w:rPr>
            </w:pPr>
            <w:r w:rsidRPr="006E44B6">
              <w:rPr>
                <w:b/>
              </w:rPr>
              <w:t>Methods</w:t>
            </w:r>
            <w:r>
              <w:t xml:space="preserve">: </w:t>
            </w:r>
            <w:r w:rsidRPr="006E44B6">
              <w:t>Eligible articles were retrieved by searching databases, including PubMed, Cochrane library, EMBASE, CNKI, and WanFang up to September 2015. A meta-analysis was performed to evaluate the effects of FA on CHDs. Odds ratios (ORs) and 95% confidence interval (CIs) were merged using STATA 12.0. Meta-regression analysis was used to explore the possible sources of heterogeneity. Subgroup analysis according to the selected sources was also performed. Publication bias was assessed by Egger's test.</w:t>
            </w:r>
          </w:p>
        </w:tc>
        <w:tc>
          <w:tcPr>
            <w:tcW w:w="4536" w:type="dxa"/>
          </w:tcPr>
          <w:p w14:paraId="31033FB9" w14:textId="77777777" w:rsidR="00383CD7" w:rsidRDefault="00383CD7" w:rsidP="006E44B6">
            <w:r>
              <w:t>Supplementation vs no supplementation:</w:t>
            </w:r>
          </w:p>
          <w:p w14:paraId="64B06EB3" w14:textId="77777777" w:rsidR="00383CD7" w:rsidRPr="008F5933" w:rsidRDefault="00383CD7" w:rsidP="006E44B6">
            <w:pPr>
              <w:rPr>
                <w:i/>
              </w:rPr>
            </w:pPr>
            <w:r w:rsidRPr="008F5933">
              <w:rPr>
                <w:i/>
              </w:rPr>
              <w:t>Congenital heart defect</w:t>
            </w:r>
          </w:p>
          <w:p w14:paraId="5F93C8B4" w14:textId="09DE1004" w:rsidR="00383CD7" w:rsidRDefault="00F615F8" w:rsidP="008F5933">
            <w:pPr>
              <w:pStyle w:val="bullet"/>
            </w:pPr>
            <w:r>
              <w:t>All populations: OR</w:t>
            </w:r>
            <w:r w:rsidR="00383CD7">
              <w:t xml:space="preserve"> </w:t>
            </w:r>
            <w:r w:rsidR="008E0C77">
              <w:t xml:space="preserve">0.60; </w:t>
            </w:r>
            <w:r w:rsidR="00383CD7">
              <w:t>95%CI 0.49 to 0.71</w:t>
            </w:r>
          </w:p>
          <w:p w14:paraId="43878F03" w14:textId="77777777" w:rsidR="00383CD7" w:rsidRDefault="00383CD7" w:rsidP="008F5933">
            <w:pPr>
              <w:pStyle w:val="bullet"/>
            </w:pPr>
            <w:r>
              <w:t>American populations: OR 0.92; 95%CI 0.83 to 1.02</w:t>
            </w:r>
          </w:p>
          <w:p w14:paraId="428635F7" w14:textId="77777777" w:rsidR="00383CD7" w:rsidRDefault="00383CD7" w:rsidP="008F5933">
            <w:pPr>
              <w:pStyle w:val="bullet"/>
            </w:pPr>
            <w:r>
              <w:t>Chinese populations: OR 0.44; 95%CI 0.33 to 0.56</w:t>
            </w:r>
          </w:p>
          <w:p w14:paraId="31D11056" w14:textId="77777777" w:rsidR="00383CD7" w:rsidRPr="008F5933" w:rsidRDefault="00383CD7" w:rsidP="008F5933">
            <w:pPr>
              <w:pStyle w:val="bullet"/>
            </w:pPr>
            <w:r>
              <w:t>European populations: OR 0.83; 95%CI 0.75 to 0.91</w:t>
            </w:r>
          </w:p>
        </w:tc>
        <w:tc>
          <w:tcPr>
            <w:tcW w:w="1843" w:type="dxa"/>
          </w:tcPr>
          <w:p w14:paraId="3C6C7149" w14:textId="5746CA99" w:rsidR="00383CD7" w:rsidRDefault="00383CD7" w:rsidP="00B85DD0">
            <w:pPr>
              <w:keepNext/>
            </w:pPr>
          </w:p>
        </w:tc>
      </w:tr>
      <w:tr w:rsidR="00383CD7" w:rsidRPr="00236C51" w14:paraId="29FC5981" w14:textId="77777777" w:rsidTr="00D84B93">
        <w:trPr>
          <w:cantSplit/>
          <w:trHeight w:val="390"/>
        </w:trPr>
        <w:tc>
          <w:tcPr>
            <w:tcW w:w="1304" w:type="dxa"/>
          </w:tcPr>
          <w:p w14:paraId="46D75DED" w14:textId="37208012" w:rsidR="00383CD7" w:rsidRPr="00236C51" w:rsidRDefault="00383CD7" w:rsidP="002747EA">
            <w:r>
              <w:t>Balogun et al 2016</w:t>
            </w:r>
            <w:r>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fldChar w:fldCharType="separate"/>
            </w:r>
            <w:r w:rsidR="002747EA" w:rsidRPr="002747EA">
              <w:rPr>
                <w:noProof/>
                <w:vertAlign w:val="superscript"/>
              </w:rPr>
              <w:t>125</w:t>
            </w:r>
            <w:r>
              <w:fldChar w:fldCharType="end"/>
            </w:r>
          </w:p>
        </w:tc>
        <w:tc>
          <w:tcPr>
            <w:tcW w:w="1390" w:type="dxa"/>
          </w:tcPr>
          <w:p w14:paraId="4F3B29C9" w14:textId="77777777" w:rsidR="00383CD7" w:rsidRDefault="00383CD7" w:rsidP="00CB7786">
            <w:r>
              <w:t>1 RCT</w:t>
            </w:r>
          </w:p>
          <w:p w14:paraId="2BBED1F2" w14:textId="77777777" w:rsidR="00383CD7" w:rsidRPr="00236C51" w:rsidRDefault="00383CD7" w:rsidP="00CB7786">
            <w:r>
              <w:t>n=903</w:t>
            </w:r>
          </w:p>
        </w:tc>
        <w:tc>
          <w:tcPr>
            <w:tcW w:w="4819" w:type="dxa"/>
          </w:tcPr>
          <w:p w14:paraId="52890728" w14:textId="77777777" w:rsidR="00383CD7" w:rsidRPr="00FB6327" w:rsidRDefault="00383CD7" w:rsidP="00CB7786">
            <w:r w:rsidRPr="00FB6327">
              <w:rPr>
                <w:b/>
              </w:rPr>
              <w:t>Aim</w:t>
            </w:r>
            <w:r>
              <w:t xml:space="preserve">: </w:t>
            </w:r>
            <w:r w:rsidRPr="00FB6327">
              <w:t>to determine the effectiveness and safety</w:t>
            </w:r>
            <w:r>
              <w:t xml:space="preserve"> of any vitamin supplementation</w:t>
            </w:r>
            <w:r w:rsidRPr="00FB6327">
              <w:t xml:space="preserve"> on the risk of spontaneous</w:t>
            </w:r>
            <w:r>
              <w:t xml:space="preserve"> </w:t>
            </w:r>
            <w:r w:rsidRPr="00FB6327">
              <w:t>miscarriage.</w:t>
            </w:r>
          </w:p>
          <w:p w14:paraId="6DE465FE" w14:textId="77777777" w:rsidR="00383CD7" w:rsidRPr="00236C51" w:rsidRDefault="00383CD7" w:rsidP="00CB7786">
            <w:r w:rsidRPr="00FB6327">
              <w:rPr>
                <w:b/>
              </w:rPr>
              <w:t>Methods</w:t>
            </w:r>
            <w:r>
              <w:t xml:space="preserve">: </w:t>
            </w:r>
            <w:r w:rsidRPr="00FB6327">
              <w:t>We searched the Cochrane Pregnancy and Childbirth Group Trials Register (6 November 2015) and reference lists of retrieved studies.</w:t>
            </w:r>
            <w:r>
              <w:t xml:space="preserve"> </w:t>
            </w:r>
            <w:r w:rsidRPr="00FB6327">
              <w:t>All randomised and quasi-randomised trials comparing supplementation during pregnancy with one or more vitamins with either placebo, other vitamins, no vitamins or other interventions. We have included supplementation that started prior to conception, periconceptionally or in early pregnancy (less than 20 weeks’ gestation).</w:t>
            </w:r>
          </w:p>
        </w:tc>
        <w:tc>
          <w:tcPr>
            <w:tcW w:w="4536" w:type="dxa"/>
          </w:tcPr>
          <w:p w14:paraId="6E29A0A8" w14:textId="77777777" w:rsidR="00383CD7" w:rsidRDefault="00383CD7" w:rsidP="00CB7786">
            <w:r>
              <w:t>Folic acid without multivitamin vs no folic acid/multivitamin:</w:t>
            </w:r>
          </w:p>
          <w:p w14:paraId="4E052FB6" w14:textId="77777777" w:rsidR="00383CD7" w:rsidRPr="0083127A" w:rsidRDefault="00383CD7" w:rsidP="00CB7786">
            <w:pPr>
              <w:pStyle w:val="bullet"/>
            </w:pPr>
            <w:r w:rsidRPr="0083127A">
              <w:t xml:space="preserve">Total fetal loss: RR </w:t>
            </w:r>
            <w:r>
              <w:t>0.95</w:t>
            </w:r>
            <w:r w:rsidRPr="0083127A">
              <w:t xml:space="preserve"> (0.</w:t>
            </w:r>
            <w:r>
              <w:t>64</w:t>
            </w:r>
            <w:r w:rsidRPr="0083127A">
              <w:t xml:space="preserve"> to </w:t>
            </w:r>
            <w:r>
              <w:t>1.40</w:t>
            </w:r>
            <w:r w:rsidRPr="0083127A">
              <w:t xml:space="preserve">); </w:t>
            </w:r>
            <w:r>
              <w:t>1 study</w:t>
            </w:r>
            <w:r w:rsidRPr="0083127A">
              <w:t>; n=</w:t>
            </w:r>
            <w:r>
              <w:t>903</w:t>
            </w:r>
          </w:p>
          <w:p w14:paraId="38043B80" w14:textId="4FC4516C" w:rsidR="00383CD7" w:rsidRPr="0083127A" w:rsidRDefault="00AA7159" w:rsidP="00CB7786">
            <w:pPr>
              <w:pStyle w:val="bullet"/>
            </w:pPr>
            <w:r>
              <w:t>Early or late miscarriage:</w:t>
            </w:r>
            <w:r w:rsidR="00383CD7" w:rsidRPr="0083127A">
              <w:t xml:space="preserve"> RR </w:t>
            </w:r>
            <w:r w:rsidR="00383CD7">
              <w:t>0.97</w:t>
            </w:r>
            <w:r w:rsidR="00383CD7" w:rsidRPr="0083127A">
              <w:t xml:space="preserve"> (0.</w:t>
            </w:r>
            <w:r w:rsidR="00383CD7">
              <w:t>65</w:t>
            </w:r>
            <w:r w:rsidR="00383CD7" w:rsidRPr="0083127A">
              <w:t xml:space="preserve"> to </w:t>
            </w:r>
            <w:r w:rsidR="00383CD7">
              <w:t>1.44); 1 study</w:t>
            </w:r>
            <w:r w:rsidR="00383CD7" w:rsidRPr="0083127A">
              <w:t>; n=</w:t>
            </w:r>
            <w:r w:rsidR="00383CD7">
              <w:t>903</w:t>
            </w:r>
          </w:p>
          <w:p w14:paraId="156B63EF" w14:textId="77777777" w:rsidR="00383CD7" w:rsidRPr="00236C51" w:rsidRDefault="00383CD7" w:rsidP="00CB7786">
            <w:pPr>
              <w:pStyle w:val="bullet"/>
            </w:pPr>
            <w:r w:rsidRPr="0083127A">
              <w:t xml:space="preserve">Stillbirth: RR </w:t>
            </w:r>
            <w:r>
              <w:t>0.67 (0.11</w:t>
            </w:r>
            <w:r w:rsidRPr="0083127A">
              <w:t xml:space="preserve"> to </w:t>
            </w:r>
            <w:r>
              <w:t>4.02</w:t>
            </w:r>
            <w:r w:rsidRPr="0083127A">
              <w:t>); 1 study; n=</w:t>
            </w:r>
            <w:r>
              <w:t>903</w:t>
            </w:r>
          </w:p>
        </w:tc>
        <w:tc>
          <w:tcPr>
            <w:tcW w:w="1843" w:type="dxa"/>
          </w:tcPr>
          <w:p w14:paraId="53E597C6" w14:textId="39320F57" w:rsidR="00383CD7" w:rsidRPr="00236C51" w:rsidRDefault="00383CD7" w:rsidP="00CB7786"/>
        </w:tc>
      </w:tr>
      <w:tr w:rsidR="00383CD7" w:rsidRPr="00236C51" w14:paraId="109C52C7" w14:textId="77777777" w:rsidTr="00D84B93">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304" w:type="dxa"/>
            <w:tcBorders>
              <w:top w:val="single" w:sz="4" w:space="0" w:color="auto"/>
              <w:left w:val="single" w:sz="4" w:space="0" w:color="auto"/>
              <w:bottom w:val="single" w:sz="4" w:space="0" w:color="auto"/>
              <w:right w:val="single" w:sz="4" w:space="0" w:color="auto"/>
            </w:tcBorders>
          </w:tcPr>
          <w:p w14:paraId="510263C8" w14:textId="2E4C3499" w:rsidR="00383CD7" w:rsidRDefault="00383CD7" w:rsidP="002747EA">
            <w:r>
              <w:t>Hua et al 2016</w:t>
            </w:r>
            <w:r>
              <w:fldChar w:fldCharType="begin">
                <w:fldData xml:space="preserve">PEVuZE5vdGU+PENpdGU+PEF1dGhvcj5IdWE8L0F1dGhvcj48WWVhcj4yMDE2PC9ZZWFyPjxSZWNO
dW0+MTQzNDwvUmVjTnVtPjxEaXNwbGF5VGV4dD48c3R5bGUgZmFjZT0ic3VwZXJzY3JpcHQiIGZv
bnQ9IlRyZWJ1Y2hldCBNUyIgc2l6ZT0iOSI+MTMyPC9zdHlsZT48L0Rpc3BsYXlUZXh0PjxyZWNv
cmQ+PHJlYy1udW1iZXI+MTQzNDwvcmVjLW51bWJlcj48Zm9yZWlnbi1rZXlzPjxrZXkgYXBwPSJF
TiIgZGItaWQ9ImV4dmFzcmZ4MmR0cmFvZXNhc3hwMnN6c3hhMmRmNTAyNTkyeCIgdGltZXN0YW1w
PSIxNTcxNjI2MjI5Ij4xNDM0PC9rZXk+PGtleSBhcHA9IkVOV2ViIiBkYi1pZD0iIj4wPC9rZXk+
PC9mb3JlaWduLWtleXM+PHJlZi10eXBlIG5hbWU9IkpvdXJuYWwgQXJ0aWNsZSI+MTc8L3JlZi10
eXBlPjxjb250cmlidXRvcnM+PGF1dGhvcnM+PGF1dGhvcj5IdWEsIFguPC9hdXRob3I+PGF1dGhv
cj5aaGFuZywgSi48L2F1dGhvcj48YXV0aG9yPkd1bywgWS48L2F1dGhvcj48YXV0aG9yPlNoZW4s
IE0uPC9hdXRob3I+PGF1dGhvcj5HYXVkZXQsIEwuPC9hdXRob3I+PGF1dGhvcj5KYW5vdWRpLCBH
LjwvYXV0aG9yPjxhdXRob3I+V2Fsa2VyLCBNLjwvYXV0aG9yPjxhdXRob3I+V2VuLCBTLiBXLjwv
YXV0aG9yPjwvYXV0aG9ycz48L2NvbnRyaWJ1dG9ycz48YXV0aC1hZGRyZXNzPmEgRGVwYXJ0bWVu
dCBvZiBPYnN0ZXRyaWNzICwgWGluaHVhIEhvc3BpdGFsLCBTaGFuZ2hhaSBKaWFvIFRvbmcgVW5p
dmVyc2l0eSBTY2hvb2wgb2YgTWVkaWNpbmUgLCBTaGFuZ2hhaSAsIENoaW5hLiYjeEQ7YiBEZXBh
cnRtZW50IG9mIE9ic3RldHJpY3MgYW5kIEd5bmVjb2xvZ3ksIEZhY3VsdHkgb2YgTWVkaWNpbmUg
LCBPTU5JIFJlc2VhcmNoIEdyb3VwLCBVbml2ZXJzaXR5IG9mIE90dGF3YSAsIE90dGF3YSAsIE9u
dGFyaW8gLCBDYW5hZGEuJiN4RDtjIENsaW5pY2FsIEVwaWRlbWlvbG9neSBQcm9ncmFtICwgT3R0
YXdhIEhvc3BpdGFsIFJlc2VhcmNoIEluc3RpdHV0ZSAsIE90dGF3YSAsIE9udGFyaW8gLCBDYW5h
ZGEuJiN4RDtkIERlcGFydG1lbnQgb2YgT2JzdGV0cmljcyBhbmQgR3luZWNvbG9neSAsIEJlaWpp
bmcgRnJpZW5kc2hpcCBIb3NwaXRhbCwgQ2FwaXRhbCBNZWRpY2FsIFVuaXZlcnNpdHkgLCBCZWlq
aW5nICwgQ2hpbmEuJiN4RDtlIFNjaG9vbCBvZiBQdWJsaWMgSGVhbHRoICwgQ2VudHJhbCBTb3V0
aCBVbml2ZXJzaXR5ICwgQ2hhbmdzaGEgLCBDaGluYS4mI3hEO2YgQ2FuYWRpYW4gQWdlbmN5IGZv
ciBEcnVncyBhbmQgVGVjaG5vbG9naWVzIGluIEhlYWx0aCAsIE90dGF3YSAsIE9udGFyaW8gLCBD
YW5hZGEuJiN4RDtnIFNjaG9vbCBvZiBFcGlkZW1pb2xvZ3ksIFB1YmxpYyBIZWFsdGgsIGFuZCBQ
cmV2ZW50aXZlIE1lZGljaW5lICwgVW5pdmVyc2l0eSBvZiBPdHRhd2EgRmFjdWx0eSBvZiBNZWRp
Y2luZSAsIE90dGF3YSAsIE9udGFyaW8gLCBDYW5hZGEuPC9hdXRoLWFkZHJlc3M+PHRpdGxlcz48
dGl0bGU+RWZmZWN0IG9mIGZvbGljIGFjaWQgc3VwcGxlbWVudGF0aW9uIGR1cmluZyBwcmVnbmFu
Y3kgb24gZ2VzdGF0aW9uYWwgaHlwZXJ0ZW5zaW9uL3ByZWVjbGFtcHNpYTogQSBzeXN0ZW1hdGlj
IHJldmlldyBhbmQgbWV0YS1hbmFseXNpczwvdGl0bGU+PHNlY29uZGFyeS10aXRsZT5IeXBlcnRl
bnMgUHJlZ25hbmN5PC9zZWNvbmRhcnktdGl0bGU+PC90aXRsZXM+PHBlcmlvZGljYWw+PGZ1bGwt
dGl0bGU+SHlwZXJ0ZW5zIFByZWduYW5jeTwvZnVsbC10aXRsZT48L3BlcmlvZGljYWw+PHBhZ2Vz
PjQ0Ny00NjA8L3BhZ2VzPjx2b2x1bWU+MzU8L3ZvbHVtZT48bnVtYmVyPjQ8L251bWJlcj48ZWRp
dGlvbj4yMDE2LzExLzAzPC9lZGl0aW9uPjxrZXl3b3Jkcz48a2V5d29yZD4qRGlldGFyeSBTdXBw
bGVtZW50czwva2V5d29yZD48a2V5d29yZD5GZW1hbGU8L2tleXdvcmQ+PGtleXdvcmQ+Rm9saWMg
QWNpZC8qdGhlcmFwZXV0aWMgdXNlPC9rZXl3b3JkPjxrZXl3b3JkPkh1bWFuczwva2V5d29yZD48
a2V5d29yZD5IeXBlcnRlbnNpb24sIFByZWduYW5jeS1JbmR1Y2VkLypwcmV2ZW50aW9uICZhbXA7
IGNvbnRyb2w8L2tleXdvcmQ+PGtleXdvcmQ+UHJlZ25hbmN5PC9rZXl3b3JkPjxrZXl3b3JkPlRy
ZWF0bWVudCBPdXRjb21lPC9rZXl3b3JkPjxrZXl3b3JkPkZvbGljIGFjaWQ8L2tleXdvcmQ+PGtl
eXdvcmQ+Z2VzdGF0aW9uYWwgaHlwZXJ0ZW5zaW9uPC9rZXl3b3JkPjxrZXl3b3JkPnByZWVjbGFt
cHNpYTwva2V5d29yZD48a2V5d29yZD5zdXBwbGVtZW50YXRpb248L2tleXdvcmQ+PC9rZXl3b3Jk
cz48ZGF0ZXM+PHllYXI+MjAxNjwveWVhcj48cHViLWRhdGVzPjxkYXRlPk5vdjwvZGF0ZT48L3B1
Yi1kYXRlcz48L2RhdGVzPjxpc2JuPjE1MjUtNjA2NSAoRWxlY3Ryb25pYykmI3hEOzEwNjQtMTk1
NSAoTGlua2luZyk8L2lzYm4+PGFjY2Vzc2lvbi1udW0+MjczMTU0MDE8L2FjY2Vzc2lvbi1udW0+
PHVybHM+PHJlbGF0ZWQtdXJscz48dXJsPmh0dHBzOi8vd3d3Lm5jYmkubmxtLm5paC5nb3YvcHVi
bWVkLzI3MzE1NDAxPC91cmw+PC9yZWxhdGVkLXVybHM+PC91cmxzPjxlbGVjdHJvbmljLXJlc291
cmNlLW51bT4xMC4xMDgwLzEwNjQxOTU1LjIwMTYuMTE4MzY3MzwvZWxlY3Ryb25pYy1yZXNvdXJj
ZS1udW0+PC9yZWNvcmQ+PC9DaXRlPjwvRW5kTm90ZT5=
</w:fldData>
              </w:fldChar>
            </w:r>
            <w:r w:rsidR="002747EA">
              <w:instrText xml:space="preserve"> ADDIN EN.CITE </w:instrText>
            </w:r>
            <w:r w:rsidR="002747EA">
              <w:fldChar w:fldCharType="begin">
                <w:fldData xml:space="preserve">PEVuZE5vdGU+PENpdGU+PEF1dGhvcj5IdWE8L0F1dGhvcj48WWVhcj4yMDE2PC9ZZWFyPjxSZWNO
dW0+MTQzNDwvUmVjTnVtPjxEaXNwbGF5VGV4dD48c3R5bGUgZmFjZT0ic3VwZXJzY3JpcHQiIGZv
bnQ9IlRyZWJ1Y2hldCBNUyIgc2l6ZT0iOSI+MTMyPC9zdHlsZT48L0Rpc3BsYXlUZXh0PjxyZWNv
cmQ+PHJlYy1udW1iZXI+MTQzNDwvcmVjLW51bWJlcj48Zm9yZWlnbi1rZXlzPjxrZXkgYXBwPSJF
TiIgZGItaWQ9ImV4dmFzcmZ4MmR0cmFvZXNhc3hwMnN6c3hhMmRmNTAyNTkyeCIgdGltZXN0YW1w
PSIxNTcxNjI2MjI5Ij4xNDM0PC9rZXk+PGtleSBhcHA9IkVOV2ViIiBkYi1pZD0iIj4wPC9rZXk+
PC9mb3JlaWduLWtleXM+PHJlZi10eXBlIG5hbWU9IkpvdXJuYWwgQXJ0aWNsZSI+MTc8L3JlZi10
eXBlPjxjb250cmlidXRvcnM+PGF1dGhvcnM+PGF1dGhvcj5IdWEsIFguPC9hdXRob3I+PGF1dGhv
cj5aaGFuZywgSi48L2F1dGhvcj48YXV0aG9yPkd1bywgWS48L2F1dGhvcj48YXV0aG9yPlNoZW4s
IE0uPC9hdXRob3I+PGF1dGhvcj5HYXVkZXQsIEwuPC9hdXRob3I+PGF1dGhvcj5KYW5vdWRpLCBH
LjwvYXV0aG9yPjxhdXRob3I+V2Fsa2VyLCBNLjwvYXV0aG9yPjxhdXRob3I+V2VuLCBTLiBXLjwv
YXV0aG9yPjwvYXV0aG9ycz48L2NvbnRyaWJ1dG9ycz48YXV0aC1hZGRyZXNzPmEgRGVwYXJ0bWVu
dCBvZiBPYnN0ZXRyaWNzICwgWGluaHVhIEhvc3BpdGFsLCBTaGFuZ2hhaSBKaWFvIFRvbmcgVW5p
dmVyc2l0eSBTY2hvb2wgb2YgTWVkaWNpbmUgLCBTaGFuZ2hhaSAsIENoaW5hLiYjeEQ7YiBEZXBh
cnRtZW50IG9mIE9ic3RldHJpY3MgYW5kIEd5bmVjb2xvZ3ksIEZhY3VsdHkgb2YgTWVkaWNpbmUg
LCBPTU5JIFJlc2VhcmNoIEdyb3VwLCBVbml2ZXJzaXR5IG9mIE90dGF3YSAsIE90dGF3YSAsIE9u
dGFyaW8gLCBDYW5hZGEuJiN4RDtjIENsaW5pY2FsIEVwaWRlbWlvbG9neSBQcm9ncmFtICwgT3R0
YXdhIEhvc3BpdGFsIFJlc2VhcmNoIEluc3RpdHV0ZSAsIE90dGF3YSAsIE9udGFyaW8gLCBDYW5h
ZGEuJiN4RDtkIERlcGFydG1lbnQgb2YgT2JzdGV0cmljcyBhbmQgR3luZWNvbG9neSAsIEJlaWpp
bmcgRnJpZW5kc2hpcCBIb3NwaXRhbCwgQ2FwaXRhbCBNZWRpY2FsIFVuaXZlcnNpdHkgLCBCZWlq
aW5nICwgQ2hpbmEuJiN4RDtlIFNjaG9vbCBvZiBQdWJsaWMgSGVhbHRoICwgQ2VudHJhbCBTb3V0
aCBVbml2ZXJzaXR5ICwgQ2hhbmdzaGEgLCBDaGluYS4mI3hEO2YgQ2FuYWRpYW4gQWdlbmN5IGZv
ciBEcnVncyBhbmQgVGVjaG5vbG9naWVzIGluIEhlYWx0aCAsIE90dGF3YSAsIE9udGFyaW8gLCBD
YW5hZGEuJiN4RDtnIFNjaG9vbCBvZiBFcGlkZW1pb2xvZ3ksIFB1YmxpYyBIZWFsdGgsIGFuZCBQ
cmV2ZW50aXZlIE1lZGljaW5lICwgVW5pdmVyc2l0eSBvZiBPdHRhd2EgRmFjdWx0eSBvZiBNZWRp
Y2luZSAsIE90dGF3YSAsIE9udGFyaW8gLCBDYW5hZGEuPC9hdXRoLWFkZHJlc3M+PHRpdGxlcz48
dGl0bGU+RWZmZWN0IG9mIGZvbGljIGFjaWQgc3VwcGxlbWVudGF0aW9uIGR1cmluZyBwcmVnbmFu
Y3kgb24gZ2VzdGF0aW9uYWwgaHlwZXJ0ZW5zaW9uL3ByZWVjbGFtcHNpYTogQSBzeXN0ZW1hdGlj
IHJldmlldyBhbmQgbWV0YS1hbmFseXNpczwvdGl0bGU+PHNlY29uZGFyeS10aXRsZT5IeXBlcnRl
bnMgUHJlZ25hbmN5PC9zZWNvbmRhcnktdGl0bGU+PC90aXRsZXM+PHBlcmlvZGljYWw+PGZ1bGwt
dGl0bGU+SHlwZXJ0ZW5zIFByZWduYW5jeTwvZnVsbC10aXRsZT48L3BlcmlvZGljYWw+PHBhZ2Vz
PjQ0Ny00NjA8L3BhZ2VzPjx2b2x1bWU+MzU8L3ZvbHVtZT48bnVtYmVyPjQ8L251bWJlcj48ZWRp
dGlvbj4yMDE2LzExLzAzPC9lZGl0aW9uPjxrZXl3b3Jkcz48a2V5d29yZD4qRGlldGFyeSBTdXBw
bGVtZW50czwva2V5d29yZD48a2V5d29yZD5GZW1hbGU8L2tleXdvcmQ+PGtleXdvcmQ+Rm9saWMg
QWNpZC8qdGhlcmFwZXV0aWMgdXNlPC9rZXl3b3JkPjxrZXl3b3JkPkh1bWFuczwva2V5d29yZD48
a2V5d29yZD5IeXBlcnRlbnNpb24sIFByZWduYW5jeS1JbmR1Y2VkLypwcmV2ZW50aW9uICZhbXA7
IGNvbnRyb2w8L2tleXdvcmQ+PGtleXdvcmQ+UHJlZ25hbmN5PC9rZXl3b3JkPjxrZXl3b3JkPlRy
ZWF0bWVudCBPdXRjb21lPC9rZXl3b3JkPjxrZXl3b3JkPkZvbGljIGFjaWQ8L2tleXdvcmQ+PGtl
eXdvcmQ+Z2VzdGF0aW9uYWwgaHlwZXJ0ZW5zaW9uPC9rZXl3b3JkPjxrZXl3b3JkPnByZWVjbGFt
cHNpYTwva2V5d29yZD48a2V5d29yZD5zdXBwbGVtZW50YXRpb248L2tleXdvcmQ+PC9rZXl3b3Jk
cz48ZGF0ZXM+PHllYXI+MjAxNjwveWVhcj48cHViLWRhdGVzPjxkYXRlPk5vdjwvZGF0ZT48L3B1
Yi1kYXRlcz48L2RhdGVzPjxpc2JuPjE1MjUtNjA2NSAoRWxlY3Ryb25pYykmI3hEOzEwNjQtMTk1
NSAoTGlua2luZyk8L2lzYm4+PGFjY2Vzc2lvbi1udW0+MjczMTU0MDE8L2FjY2Vzc2lvbi1udW0+
PHVybHM+PHJlbGF0ZWQtdXJscz48dXJsPmh0dHBzOi8vd3d3Lm5jYmkubmxtLm5paC5nb3YvcHVi
bWVkLzI3MzE1NDAxPC91cmw+PC9yZWxhdGVkLXVybHM+PC91cmxzPjxlbGVjdHJvbmljLXJlc291
cmNlLW51bT4xMC4xMDgwLzEwNjQxOTU1LjIwMTYuMTE4MzY3MzwvZWxlY3Ryb25pYy1yZXNvdXJj
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132</w:t>
            </w:r>
            <w:r>
              <w:fldChar w:fldCharType="end"/>
            </w:r>
          </w:p>
        </w:tc>
        <w:tc>
          <w:tcPr>
            <w:tcW w:w="1390" w:type="dxa"/>
            <w:tcBorders>
              <w:top w:val="single" w:sz="4" w:space="0" w:color="auto"/>
              <w:left w:val="single" w:sz="4" w:space="0" w:color="auto"/>
              <w:bottom w:val="single" w:sz="4" w:space="0" w:color="auto"/>
              <w:right w:val="single" w:sz="4" w:space="0" w:color="auto"/>
            </w:tcBorders>
          </w:tcPr>
          <w:p w14:paraId="63BAD927" w14:textId="77777777" w:rsidR="00383CD7" w:rsidRDefault="00383CD7" w:rsidP="00CB7786">
            <w:r>
              <w:t>13 studies:</w:t>
            </w:r>
          </w:p>
          <w:p w14:paraId="1229A3C8" w14:textId="77777777" w:rsidR="00383CD7" w:rsidRDefault="00383CD7" w:rsidP="00CB7786">
            <w:r>
              <w:t>2 RCTs</w:t>
            </w:r>
          </w:p>
          <w:p w14:paraId="627CF7BC" w14:textId="77777777" w:rsidR="00383CD7" w:rsidRDefault="00383CD7" w:rsidP="00CB7786">
            <w:r>
              <w:t>10 cohort studies</w:t>
            </w:r>
          </w:p>
          <w:p w14:paraId="6F38DD75" w14:textId="77777777" w:rsidR="00383CD7" w:rsidRDefault="00383CD7" w:rsidP="00CB7786">
            <w:r>
              <w:t>1 case-control study</w:t>
            </w:r>
          </w:p>
        </w:tc>
        <w:tc>
          <w:tcPr>
            <w:tcW w:w="4819" w:type="dxa"/>
            <w:tcBorders>
              <w:top w:val="single" w:sz="4" w:space="0" w:color="auto"/>
              <w:left w:val="single" w:sz="4" w:space="0" w:color="auto"/>
              <w:bottom w:val="single" w:sz="4" w:space="0" w:color="auto"/>
              <w:right w:val="single" w:sz="4" w:space="0" w:color="auto"/>
            </w:tcBorders>
          </w:tcPr>
          <w:p w14:paraId="7394BC80" w14:textId="77777777" w:rsidR="00383CD7" w:rsidRDefault="00383CD7" w:rsidP="00CB7786">
            <w:r>
              <w:rPr>
                <w:b/>
              </w:rPr>
              <w:t xml:space="preserve">Aim: </w:t>
            </w:r>
            <w:r w:rsidRPr="009C1C4C">
              <w:t xml:space="preserve">To evaluate the effect of folic acid supplementation during pregnancy on the risk of gestational hypertension/preeclampsia. </w:t>
            </w:r>
          </w:p>
          <w:p w14:paraId="2C106307" w14:textId="77777777" w:rsidR="00383CD7" w:rsidRPr="009C1C4C" w:rsidRDefault="00383CD7" w:rsidP="00CB7786">
            <w:pPr>
              <w:rPr>
                <w:b/>
              </w:rPr>
            </w:pPr>
            <w:r w:rsidRPr="009C1C4C">
              <w:rPr>
                <w:b/>
              </w:rPr>
              <w:t>Methods</w:t>
            </w:r>
            <w:r w:rsidRPr="009C1C4C">
              <w:t xml:space="preserve">: A systematic review and meta-analysis were conducted. Medline, Embase, Scopus, and the Web of Science were searched from inception to December 2014. </w:t>
            </w:r>
          </w:p>
        </w:tc>
        <w:tc>
          <w:tcPr>
            <w:tcW w:w="4536" w:type="dxa"/>
            <w:tcBorders>
              <w:top w:val="single" w:sz="4" w:space="0" w:color="auto"/>
              <w:left w:val="single" w:sz="4" w:space="0" w:color="auto"/>
              <w:bottom w:val="single" w:sz="4" w:space="0" w:color="auto"/>
              <w:right w:val="single" w:sz="4" w:space="0" w:color="auto"/>
            </w:tcBorders>
          </w:tcPr>
          <w:p w14:paraId="0BB3C602" w14:textId="77777777" w:rsidR="00383CD7" w:rsidRDefault="00383CD7" w:rsidP="00CB7786">
            <w:r>
              <w:t>Folic acid in any format including in multivitamins vs no supplementation:</w:t>
            </w:r>
          </w:p>
          <w:p w14:paraId="0ABFF2A0" w14:textId="77777777" w:rsidR="00383CD7" w:rsidRDefault="00383CD7" w:rsidP="00CB7786">
            <w:pPr>
              <w:pStyle w:val="bullet"/>
            </w:pPr>
            <w:r>
              <w:t>G</w:t>
            </w:r>
            <w:r w:rsidRPr="009C1C4C">
              <w:t>estational hypertension/preeclampsia</w:t>
            </w:r>
            <w:r>
              <w:t xml:space="preserve">: RR 0.62 (0.45 to </w:t>
            </w:r>
            <w:r w:rsidRPr="009C1C4C">
              <w:t>0.87)</w:t>
            </w:r>
            <w:r>
              <w:t>; 2 RCTs</w:t>
            </w:r>
          </w:p>
          <w:p w14:paraId="00CBAAF0" w14:textId="77777777" w:rsidR="00383CD7" w:rsidRDefault="00383CD7" w:rsidP="00CB7786">
            <w:pPr>
              <w:pStyle w:val="bullet"/>
            </w:pPr>
            <w:r>
              <w:t>Gestational hypertension/pre-eclampsia: RR 0.92 (0.79 to 1.08); 9 cohort studies</w:t>
            </w:r>
          </w:p>
          <w:p w14:paraId="20695F41" w14:textId="77777777" w:rsidR="00383CD7" w:rsidRPr="009C1C4C" w:rsidRDefault="00383CD7" w:rsidP="00CB7786">
            <w:pPr>
              <w:pStyle w:val="bullet"/>
            </w:pPr>
            <w:r>
              <w:t>Pre-eclampsia: RR 0.88 (0.76 to 1.02); 8 cohort studies</w:t>
            </w:r>
          </w:p>
        </w:tc>
        <w:tc>
          <w:tcPr>
            <w:tcW w:w="1843" w:type="dxa"/>
            <w:tcBorders>
              <w:top w:val="single" w:sz="4" w:space="0" w:color="auto"/>
              <w:left w:val="single" w:sz="4" w:space="0" w:color="auto"/>
              <w:bottom w:val="single" w:sz="4" w:space="0" w:color="auto"/>
              <w:right w:val="single" w:sz="4" w:space="0" w:color="auto"/>
            </w:tcBorders>
          </w:tcPr>
          <w:p w14:paraId="676E616C" w14:textId="77777777" w:rsidR="00383CD7" w:rsidRPr="00236C51" w:rsidRDefault="00383CD7" w:rsidP="00CB7786">
            <w:r>
              <w:t>Considerable overlap in studies with Lui et al 2018</w:t>
            </w:r>
          </w:p>
        </w:tc>
      </w:tr>
      <w:tr w:rsidR="00383CD7" w:rsidRPr="00236C51" w14:paraId="4FC9EE56" w14:textId="77777777" w:rsidTr="00D84B93">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304" w:type="dxa"/>
            <w:tcBorders>
              <w:top w:val="single" w:sz="4" w:space="0" w:color="auto"/>
              <w:left w:val="single" w:sz="4" w:space="0" w:color="auto"/>
              <w:bottom w:val="single" w:sz="4" w:space="0" w:color="auto"/>
              <w:right w:val="single" w:sz="4" w:space="0" w:color="auto"/>
            </w:tcBorders>
          </w:tcPr>
          <w:p w14:paraId="582052B1" w14:textId="1F8D4162" w:rsidR="00383CD7" w:rsidRDefault="00383CD7" w:rsidP="002747EA">
            <w:r>
              <w:t>Liu et al 2018</w:t>
            </w:r>
            <w:r w:rsidR="00201490">
              <w:fldChar w:fldCharType="begin"/>
            </w:r>
            <w:r w:rsidR="002747EA">
              <w:instrText xml:space="preserve"> ADDIN EN.CITE &lt;EndNote&gt;&lt;Cite&gt;&lt;Author&gt;Liu&lt;/Author&gt;&lt;Year&gt;2018&lt;/Year&gt;&lt;RecNum&gt;1436&lt;/RecNum&gt;&lt;DisplayText&gt;&lt;style face="superscript" font="Trebuchet MS" size="9"&gt;134&lt;/style&gt;&lt;/DisplayText&gt;&lt;record&gt;&lt;rec-number&gt;1436&lt;/rec-number&gt;&lt;foreign-keys&gt;&lt;key app="EN" db-id="exvasrfx2dtraoesasxp2szsxa2df502592x" timestamp="1571626241"&gt;1436&lt;/key&gt;&lt;key app="ENWeb" db-id=""&gt;0&lt;/key&gt;&lt;/foreign-keys&gt;&lt;ref-type name="Journal Article"&gt;17&lt;/ref-type&gt;&lt;contributors&gt;&lt;authors&gt;&lt;author&gt;Liu, Cheng&lt;/author&gt;&lt;author&gt;Liu, Chongdong&lt;/author&gt;&lt;author&gt;Wang, Qiushi&lt;/author&gt;&lt;author&gt;Zhang, Zhenyu&lt;/author&gt;&lt;/authors&gt;&lt;/contributors&gt;&lt;titles&gt;&lt;title&gt;Supplementation of folic acid in pregnancy and the risk of preeclampsia and gestational hypertension: a meta-analysis&lt;/title&gt;&lt;secondary-title&gt;Archives of Gynecology and Obstetrics&lt;/secondary-title&gt;&lt;/titles&gt;&lt;periodical&gt;&lt;full-title&gt;Archives of Gynecology and Obstetrics&lt;/full-title&gt;&lt;/periodical&gt;&lt;pages&gt;697-704&lt;/pages&gt;&lt;volume&gt;298&lt;/volume&gt;&lt;number&gt;4&lt;/number&gt;&lt;section&gt;697&lt;/section&gt;&lt;dates&gt;&lt;year&gt;2018&lt;/year&gt;&lt;/dates&gt;&lt;isbn&gt;0932-0067&amp;#xD;1432-0711&lt;/isbn&gt;&lt;urls&gt;&lt;/urls&gt;&lt;electronic-resource-num&gt;10.1007/s00404-018-4823-4&lt;/electronic-resource-num&gt;&lt;/record&gt;&lt;/Cite&gt;&lt;/EndNote&gt;</w:instrText>
            </w:r>
            <w:r w:rsidR="00201490">
              <w:fldChar w:fldCharType="separate"/>
            </w:r>
            <w:r w:rsidR="002747EA" w:rsidRPr="002747EA">
              <w:rPr>
                <w:noProof/>
                <w:vertAlign w:val="superscript"/>
              </w:rPr>
              <w:t>134</w:t>
            </w:r>
            <w:r w:rsidR="00201490">
              <w:fldChar w:fldCharType="end"/>
            </w:r>
          </w:p>
        </w:tc>
        <w:tc>
          <w:tcPr>
            <w:tcW w:w="1390" w:type="dxa"/>
            <w:tcBorders>
              <w:top w:val="single" w:sz="4" w:space="0" w:color="auto"/>
              <w:left w:val="single" w:sz="4" w:space="0" w:color="auto"/>
              <w:bottom w:val="single" w:sz="4" w:space="0" w:color="auto"/>
              <w:right w:val="single" w:sz="4" w:space="0" w:color="auto"/>
            </w:tcBorders>
          </w:tcPr>
          <w:p w14:paraId="6B112531" w14:textId="77777777" w:rsidR="00383CD7" w:rsidRDefault="00383CD7" w:rsidP="00CB7786">
            <w:r>
              <w:t>14 studies</w:t>
            </w:r>
          </w:p>
          <w:p w14:paraId="0BCCC14A" w14:textId="77777777" w:rsidR="00383CD7" w:rsidRDefault="00383CD7" w:rsidP="00CB7786">
            <w:r>
              <w:t>1 RCT</w:t>
            </w:r>
          </w:p>
          <w:p w14:paraId="491FEA5B" w14:textId="77777777" w:rsidR="00383CD7" w:rsidRDefault="00383CD7" w:rsidP="00CB7786">
            <w:r>
              <w:t>13 cohort studies</w:t>
            </w:r>
          </w:p>
        </w:tc>
        <w:tc>
          <w:tcPr>
            <w:tcW w:w="4819" w:type="dxa"/>
            <w:tcBorders>
              <w:top w:val="single" w:sz="4" w:space="0" w:color="auto"/>
              <w:left w:val="single" w:sz="4" w:space="0" w:color="auto"/>
              <w:bottom w:val="single" w:sz="4" w:space="0" w:color="auto"/>
              <w:right w:val="single" w:sz="4" w:space="0" w:color="auto"/>
            </w:tcBorders>
          </w:tcPr>
          <w:p w14:paraId="686E80EB" w14:textId="77777777" w:rsidR="00383CD7" w:rsidRPr="00D84B93" w:rsidRDefault="00383CD7" w:rsidP="00CB7786">
            <w:r>
              <w:rPr>
                <w:b/>
              </w:rPr>
              <w:t xml:space="preserve">Aim: </w:t>
            </w:r>
            <w:r>
              <w:rPr>
                <w:rFonts w:eastAsiaTheme="majorEastAsia"/>
              </w:rPr>
              <w:t>T</w:t>
            </w:r>
            <w:r w:rsidRPr="00D84B93">
              <w:t>o systematically assess the relationship between folic acid supplementation in pregnancy and risk of</w:t>
            </w:r>
            <w:r>
              <w:t xml:space="preserve"> </w:t>
            </w:r>
            <w:r w:rsidRPr="00D84B93">
              <w:t>preeclampsia and gestational hypertension.</w:t>
            </w:r>
          </w:p>
          <w:p w14:paraId="7254ABBB" w14:textId="77777777" w:rsidR="00383CD7" w:rsidRPr="00D84B93" w:rsidRDefault="00383CD7" w:rsidP="00CB7786">
            <w:r w:rsidRPr="00D84B93">
              <w:rPr>
                <w:rFonts w:ascii="Helvetica" w:hAnsi="Helvetica"/>
                <w:b/>
              </w:rPr>
              <w:t>Methods</w:t>
            </w:r>
            <w:r>
              <w:rPr>
                <w:rFonts w:ascii="Helvetica" w:eastAsiaTheme="majorEastAsia" w:hAnsi="Helvetica"/>
                <w:b/>
              </w:rPr>
              <w:t xml:space="preserve">: </w:t>
            </w:r>
            <w:r w:rsidRPr="00D84B93">
              <w:t>The relevant studies were included by retrieving the Embase, PubMed and Cochrane library databases. Data</w:t>
            </w:r>
            <w:r>
              <w:t xml:space="preserve"> </w:t>
            </w:r>
            <w:r w:rsidRPr="00D84B93">
              <w:t>extraction was conducted by two investigators independently. The risk ratio (RR) and 95% confidence interval (CI) were</w:t>
            </w:r>
            <w:r>
              <w:t xml:space="preserve"> </w:t>
            </w:r>
            <w:r w:rsidRPr="00D84B93">
              <w:t>used as effect indexes to evaluate the relationship between folic acid supplementation and risk of gestational hypertension or</w:t>
            </w:r>
            <w:r>
              <w:t xml:space="preserve"> </w:t>
            </w:r>
            <w:r w:rsidRPr="00D84B93">
              <w:t>preeclampsia. A subgroup analysis was performed according to the supplementation patterns of folic acid. The homogeneity</w:t>
            </w:r>
            <w:r>
              <w:t xml:space="preserve"> </w:t>
            </w:r>
            <w:r w:rsidRPr="00D84B93">
              <w:t>of the effect size was tested across the studies, and publication biases were examined.</w:t>
            </w:r>
          </w:p>
        </w:tc>
        <w:tc>
          <w:tcPr>
            <w:tcW w:w="4536" w:type="dxa"/>
            <w:tcBorders>
              <w:top w:val="single" w:sz="4" w:space="0" w:color="auto"/>
              <w:left w:val="single" w:sz="4" w:space="0" w:color="auto"/>
              <w:bottom w:val="single" w:sz="4" w:space="0" w:color="auto"/>
              <w:right w:val="single" w:sz="4" w:space="0" w:color="auto"/>
            </w:tcBorders>
          </w:tcPr>
          <w:p w14:paraId="354D2882" w14:textId="77777777" w:rsidR="00383CD7" w:rsidRDefault="00383CD7" w:rsidP="00CB7786">
            <w:r>
              <w:t>Multivitamins containing folic acid versus no supplementation:</w:t>
            </w:r>
          </w:p>
          <w:p w14:paraId="6C17DB91" w14:textId="77777777" w:rsidR="00383CD7" w:rsidRDefault="00383CD7" w:rsidP="00CB7786">
            <w:pPr>
              <w:pStyle w:val="bullet"/>
            </w:pPr>
            <w:r>
              <w:t>Gestational hypertension: RR 1.19 (0.92 to 1.54); 4 studies; n=266,938</w:t>
            </w:r>
          </w:p>
          <w:p w14:paraId="6A4F296F" w14:textId="77777777" w:rsidR="00383CD7" w:rsidRDefault="00383CD7" w:rsidP="00CB7786">
            <w:pPr>
              <w:pStyle w:val="bullet"/>
            </w:pPr>
            <w:r>
              <w:t>Pre-eclampsia: RR 0.69 (0.58 to 0.83); 12 studies; n=311,991</w:t>
            </w:r>
          </w:p>
          <w:p w14:paraId="79F5668E" w14:textId="77777777" w:rsidR="00383CD7" w:rsidRDefault="00383CD7" w:rsidP="00CB7786">
            <w:r>
              <w:t>Folic acid alone versus no supplementation:</w:t>
            </w:r>
          </w:p>
          <w:p w14:paraId="566C509E" w14:textId="0707708B" w:rsidR="00383CD7" w:rsidRPr="00D84B93" w:rsidRDefault="00383CD7" w:rsidP="00CB7786">
            <w:pPr>
              <w:pStyle w:val="bullet"/>
            </w:pPr>
            <w:r>
              <w:t>Pre-eclampsia: RR 0.97 (0.80 to 1.17</w:t>
            </w:r>
            <w:r w:rsidR="00355BA1">
              <w:t>)</w:t>
            </w:r>
            <w:r w:rsidR="000809B3">
              <w:t>; 4 studies; n=210,896</w:t>
            </w:r>
          </w:p>
        </w:tc>
        <w:tc>
          <w:tcPr>
            <w:tcW w:w="1843" w:type="dxa"/>
            <w:tcBorders>
              <w:top w:val="single" w:sz="4" w:space="0" w:color="auto"/>
              <w:left w:val="single" w:sz="4" w:space="0" w:color="auto"/>
              <w:bottom w:val="single" w:sz="4" w:space="0" w:color="auto"/>
              <w:right w:val="single" w:sz="4" w:space="0" w:color="auto"/>
            </w:tcBorders>
          </w:tcPr>
          <w:p w14:paraId="66FB3FC2" w14:textId="56A8061F" w:rsidR="00383CD7" w:rsidRPr="00236C51" w:rsidRDefault="00383CD7" w:rsidP="002747EA">
            <w:r>
              <w:t>Considerable overlap in studies with Hua et al 2016</w:t>
            </w:r>
            <w:r>
              <w:fldChar w:fldCharType="begin">
                <w:fldData xml:space="preserve">PEVuZE5vdGU+PENpdGU+PEF1dGhvcj5IdWE8L0F1dGhvcj48WWVhcj4yMDE2PC9ZZWFyPjxSZWNO
dW0+MTQzNDwvUmVjTnVtPjxEaXNwbGF5VGV4dD48c3R5bGUgZmFjZT0ic3VwZXJzY3JpcHQiIGZv
bnQ9IlRyZWJ1Y2hldCBNUyIgc2l6ZT0iOSI+MTMyPC9zdHlsZT48L0Rpc3BsYXlUZXh0PjxyZWNv
cmQ+PHJlYy1udW1iZXI+MTQzNDwvcmVjLW51bWJlcj48Zm9yZWlnbi1rZXlzPjxrZXkgYXBwPSJF
TiIgZGItaWQ9ImV4dmFzcmZ4MmR0cmFvZXNhc3hwMnN6c3hhMmRmNTAyNTkyeCIgdGltZXN0YW1w
PSIxNTcxNjI2MjI5Ij4xNDM0PC9rZXk+PGtleSBhcHA9IkVOV2ViIiBkYi1pZD0iIj4wPC9rZXk+
PC9mb3JlaWduLWtleXM+PHJlZi10eXBlIG5hbWU9IkpvdXJuYWwgQXJ0aWNsZSI+MTc8L3JlZi10
eXBlPjxjb250cmlidXRvcnM+PGF1dGhvcnM+PGF1dGhvcj5IdWEsIFguPC9hdXRob3I+PGF1dGhv
cj5aaGFuZywgSi48L2F1dGhvcj48YXV0aG9yPkd1bywgWS48L2F1dGhvcj48YXV0aG9yPlNoZW4s
IE0uPC9hdXRob3I+PGF1dGhvcj5HYXVkZXQsIEwuPC9hdXRob3I+PGF1dGhvcj5KYW5vdWRpLCBH
LjwvYXV0aG9yPjxhdXRob3I+V2Fsa2VyLCBNLjwvYXV0aG9yPjxhdXRob3I+V2VuLCBTLiBXLjwv
YXV0aG9yPjwvYXV0aG9ycz48L2NvbnRyaWJ1dG9ycz48YXV0aC1hZGRyZXNzPmEgRGVwYXJ0bWVu
dCBvZiBPYnN0ZXRyaWNzICwgWGluaHVhIEhvc3BpdGFsLCBTaGFuZ2hhaSBKaWFvIFRvbmcgVW5p
dmVyc2l0eSBTY2hvb2wgb2YgTWVkaWNpbmUgLCBTaGFuZ2hhaSAsIENoaW5hLiYjeEQ7YiBEZXBh
cnRtZW50IG9mIE9ic3RldHJpY3MgYW5kIEd5bmVjb2xvZ3ksIEZhY3VsdHkgb2YgTWVkaWNpbmUg
LCBPTU5JIFJlc2VhcmNoIEdyb3VwLCBVbml2ZXJzaXR5IG9mIE90dGF3YSAsIE90dGF3YSAsIE9u
dGFyaW8gLCBDYW5hZGEuJiN4RDtjIENsaW5pY2FsIEVwaWRlbWlvbG9neSBQcm9ncmFtICwgT3R0
YXdhIEhvc3BpdGFsIFJlc2VhcmNoIEluc3RpdHV0ZSAsIE90dGF3YSAsIE9udGFyaW8gLCBDYW5h
ZGEuJiN4RDtkIERlcGFydG1lbnQgb2YgT2JzdGV0cmljcyBhbmQgR3luZWNvbG9neSAsIEJlaWpp
bmcgRnJpZW5kc2hpcCBIb3NwaXRhbCwgQ2FwaXRhbCBNZWRpY2FsIFVuaXZlcnNpdHkgLCBCZWlq
aW5nICwgQ2hpbmEuJiN4RDtlIFNjaG9vbCBvZiBQdWJsaWMgSGVhbHRoICwgQ2VudHJhbCBTb3V0
aCBVbml2ZXJzaXR5ICwgQ2hhbmdzaGEgLCBDaGluYS4mI3hEO2YgQ2FuYWRpYW4gQWdlbmN5IGZv
ciBEcnVncyBhbmQgVGVjaG5vbG9naWVzIGluIEhlYWx0aCAsIE90dGF3YSAsIE9udGFyaW8gLCBD
YW5hZGEuJiN4RDtnIFNjaG9vbCBvZiBFcGlkZW1pb2xvZ3ksIFB1YmxpYyBIZWFsdGgsIGFuZCBQ
cmV2ZW50aXZlIE1lZGljaW5lICwgVW5pdmVyc2l0eSBvZiBPdHRhd2EgRmFjdWx0eSBvZiBNZWRp
Y2luZSAsIE90dGF3YSAsIE9udGFyaW8gLCBDYW5hZGEuPC9hdXRoLWFkZHJlc3M+PHRpdGxlcz48
dGl0bGU+RWZmZWN0IG9mIGZvbGljIGFjaWQgc3VwcGxlbWVudGF0aW9uIGR1cmluZyBwcmVnbmFu
Y3kgb24gZ2VzdGF0aW9uYWwgaHlwZXJ0ZW5zaW9uL3ByZWVjbGFtcHNpYTogQSBzeXN0ZW1hdGlj
IHJldmlldyBhbmQgbWV0YS1hbmFseXNpczwvdGl0bGU+PHNlY29uZGFyeS10aXRsZT5IeXBlcnRl
bnMgUHJlZ25hbmN5PC9zZWNvbmRhcnktdGl0bGU+PC90aXRsZXM+PHBlcmlvZGljYWw+PGZ1bGwt
dGl0bGU+SHlwZXJ0ZW5zIFByZWduYW5jeTwvZnVsbC10aXRsZT48L3BlcmlvZGljYWw+PHBhZ2Vz
PjQ0Ny00NjA8L3BhZ2VzPjx2b2x1bWU+MzU8L3ZvbHVtZT48bnVtYmVyPjQ8L251bWJlcj48ZWRp
dGlvbj4yMDE2LzExLzAzPC9lZGl0aW9uPjxrZXl3b3Jkcz48a2V5d29yZD4qRGlldGFyeSBTdXBw
bGVtZW50czwva2V5d29yZD48a2V5d29yZD5GZW1hbGU8L2tleXdvcmQ+PGtleXdvcmQ+Rm9saWMg
QWNpZC8qdGhlcmFwZXV0aWMgdXNlPC9rZXl3b3JkPjxrZXl3b3JkPkh1bWFuczwva2V5d29yZD48
a2V5d29yZD5IeXBlcnRlbnNpb24sIFByZWduYW5jeS1JbmR1Y2VkLypwcmV2ZW50aW9uICZhbXA7
IGNvbnRyb2w8L2tleXdvcmQ+PGtleXdvcmQ+UHJlZ25hbmN5PC9rZXl3b3JkPjxrZXl3b3JkPlRy
ZWF0bWVudCBPdXRjb21lPC9rZXl3b3JkPjxrZXl3b3JkPkZvbGljIGFjaWQ8L2tleXdvcmQ+PGtl
eXdvcmQ+Z2VzdGF0aW9uYWwgaHlwZXJ0ZW5zaW9uPC9rZXl3b3JkPjxrZXl3b3JkPnByZWVjbGFt
cHNpYTwva2V5d29yZD48a2V5d29yZD5zdXBwbGVtZW50YXRpb248L2tleXdvcmQ+PC9rZXl3b3Jk
cz48ZGF0ZXM+PHllYXI+MjAxNjwveWVhcj48cHViLWRhdGVzPjxkYXRlPk5vdjwvZGF0ZT48L3B1
Yi1kYXRlcz48L2RhdGVzPjxpc2JuPjE1MjUtNjA2NSAoRWxlY3Ryb25pYykmI3hEOzEwNjQtMTk1
NSAoTGlua2luZyk8L2lzYm4+PGFjY2Vzc2lvbi1udW0+MjczMTU0MDE8L2FjY2Vzc2lvbi1udW0+
PHVybHM+PHJlbGF0ZWQtdXJscz48dXJsPmh0dHBzOi8vd3d3Lm5jYmkubmxtLm5paC5nb3YvcHVi
bWVkLzI3MzE1NDAxPC91cmw+PC9yZWxhdGVkLXVybHM+PC91cmxzPjxlbGVjdHJvbmljLXJlc291
cmNlLW51bT4xMC4xMDgwLzEwNjQxOTU1LjIwMTYuMTE4MzY3MzwvZWxlY3Ryb25pYy1yZXNvdXJj
ZS1udW0+PC9yZWNvcmQ+PC9DaXRlPjwvRW5kTm90ZT5=
</w:fldData>
              </w:fldChar>
            </w:r>
            <w:r w:rsidR="002747EA">
              <w:instrText xml:space="preserve"> ADDIN EN.CITE </w:instrText>
            </w:r>
            <w:r w:rsidR="002747EA">
              <w:fldChar w:fldCharType="begin">
                <w:fldData xml:space="preserve">PEVuZE5vdGU+PENpdGU+PEF1dGhvcj5IdWE8L0F1dGhvcj48WWVhcj4yMDE2PC9ZZWFyPjxSZWNO
dW0+MTQzNDwvUmVjTnVtPjxEaXNwbGF5VGV4dD48c3R5bGUgZmFjZT0ic3VwZXJzY3JpcHQiIGZv
bnQ9IlRyZWJ1Y2hldCBNUyIgc2l6ZT0iOSI+MTMyPC9zdHlsZT48L0Rpc3BsYXlUZXh0PjxyZWNv
cmQ+PHJlYy1udW1iZXI+MTQzNDwvcmVjLW51bWJlcj48Zm9yZWlnbi1rZXlzPjxrZXkgYXBwPSJF
TiIgZGItaWQ9ImV4dmFzcmZ4MmR0cmFvZXNhc3hwMnN6c3hhMmRmNTAyNTkyeCIgdGltZXN0YW1w
PSIxNTcxNjI2MjI5Ij4xNDM0PC9rZXk+PGtleSBhcHA9IkVOV2ViIiBkYi1pZD0iIj4wPC9rZXk+
PC9mb3JlaWduLWtleXM+PHJlZi10eXBlIG5hbWU9IkpvdXJuYWwgQXJ0aWNsZSI+MTc8L3JlZi10
eXBlPjxjb250cmlidXRvcnM+PGF1dGhvcnM+PGF1dGhvcj5IdWEsIFguPC9hdXRob3I+PGF1dGhv
cj5aaGFuZywgSi48L2F1dGhvcj48YXV0aG9yPkd1bywgWS48L2F1dGhvcj48YXV0aG9yPlNoZW4s
IE0uPC9hdXRob3I+PGF1dGhvcj5HYXVkZXQsIEwuPC9hdXRob3I+PGF1dGhvcj5KYW5vdWRpLCBH
LjwvYXV0aG9yPjxhdXRob3I+V2Fsa2VyLCBNLjwvYXV0aG9yPjxhdXRob3I+V2VuLCBTLiBXLjwv
YXV0aG9yPjwvYXV0aG9ycz48L2NvbnRyaWJ1dG9ycz48YXV0aC1hZGRyZXNzPmEgRGVwYXJ0bWVu
dCBvZiBPYnN0ZXRyaWNzICwgWGluaHVhIEhvc3BpdGFsLCBTaGFuZ2hhaSBKaWFvIFRvbmcgVW5p
dmVyc2l0eSBTY2hvb2wgb2YgTWVkaWNpbmUgLCBTaGFuZ2hhaSAsIENoaW5hLiYjeEQ7YiBEZXBh
cnRtZW50IG9mIE9ic3RldHJpY3MgYW5kIEd5bmVjb2xvZ3ksIEZhY3VsdHkgb2YgTWVkaWNpbmUg
LCBPTU5JIFJlc2VhcmNoIEdyb3VwLCBVbml2ZXJzaXR5IG9mIE90dGF3YSAsIE90dGF3YSAsIE9u
dGFyaW8gLCBDYW5hZGEuJiN4RDtjIENsaW5pY2FsIEVwaWRlbWlvbG9neSBQcm9ncmFtICwgT3R0
YXdhIEhvc3BpdGFsIFJlc2VhcmNoIEluc3RpdHV0ZSAsIE90dGF3YSAsIE9udGFyaW8gLCBDYW5h
ZGEuJiN4RDtkIERlcGFydG1lbnQgb2YgT2JzdGV0cmljcyBhbmQgR3luZWNvbG9neSAsIEJlaWpp
bmcgRnJpZW5kc2hpcCBIb3NwaXRhbCwgQ2FwaXRhbCBNZWRpY2FsIFVuaXZlcnNpdHkgLCBCZWlq
aW5nICwgQ2hpbmEuJiN4RDtlIFNjaG9vbCBvZiBQdWJsaWMgSGVhbHRoICwgQ2VudHJhbCBTb3V0
aCBVbml2ZXJzaXR5ICwgQ2hhbmdzaGEgLCBDaGluYS4mI3hEO2YgQ2FuYWRpYW4gQWdlbmN5IGZv
ciBEcnVncyBhbmQgVGVjaG5vbG9naWVzIGluIEhlYWx0aCAsIE90dGF3YSAsIE9udGFyaW8gLCBD
YW5hZGEuJiN4RDtnIFNjaG9vbCBvZiBFcGlkZW1pb2xvZ3ksIFB1YmxpYyBIZWFsdGgsIGFuZCBQ
cmV2ZW50aXZlIE1lZGljaW5lICwgVW5pdmVyc2l0eSBvZiBPdHRhd2EgRmFjdWx0eSBvZiBNZWRp
Y2luZSAsIE90dGF3YSAsIE9udGFyaW8gLCBDYW5hZGEuPC9hdXRoLWFkZHJlc3M+PHRpdGxlcz48
dGl0bGU+RWZmZWN0IG9mIGZvbGljIGFjaWQgc3VwcGxlbWVudGF0aW9uIGR1cmluZyBwcmVnbmFu
Y3kgb24gZ2VzdGF0aW9uYWwgaHlwZXJ0ZW5zaW9uL3ByZWVjbGFtcHNpYTogQSBzeXN0ZW1hdGlj
IHJldmlldyBhbmQgbWV0YS1hbmFseXNpczwvdGl0bGU+PHNlY29uZGFyeS10aXRsZT5IeXBlcnRl
bnMgUHJlZ25hbmN5PC9zZWNvbmRhcnktdGl0bGU+PC90aXRsZXM+PHBlcmlvZGljYWw+PGZ1bGwt
dGl0bGU+SHlwZXJ0ZW5zIFByZWduYW5jeTwvZnVsbC10aXRsZT48L3BlcmlvZGljYWw+PHBhZ2Vz
PjQ0Ny00NjA8L3BhZ2VzPjx2b2x1bWU+MzU8L3ZvbHVtZT48bnVtYmVyPjQ8L251bWJlcj48ZWRp
dGlvbj4yMDE2LzExLzAzPC9lZGl0aW9uPjxrZXl3b3Jkcz48a2V5d29yZD4qRGlldGFyeSBTdXBw
bGVtZW50czwva2V5d29yZD48a2V5d29yZD5GZW1hbGU8L2tleXdvcmQ+PGtleXdvcmQ+Rm9saWMg
QWNpZC8qdGhlcmFwZXV0aWMgdXNlPC9rZXl3b3JkPjxrZXl3b3JkPkh1bWFuczwva2V5d29yZD48
a2V5d29yZD5IeXBlcnRlbnNpb24sIFByZWduYW5jeS1JbmR1Y2VkLypwcmV2ZW50aW9uICZhbXA7
IGNvbnRyb2w8L2tleXdvcmQ+PGtleXdvcmQ+UHJlZ25hbmN5PC9rZXl3b3JkPjxrZXl3b3JkPlRy
ZWF0bWVudCBPdXRjb21lPC9rZXl3b3JkPjxrZXl3b3JkPkZvbGljIGFjaWQ8L2tleXdvcmQ+PGtl
eXdvcmQ+Z2VzdGF0aW9uYWwgaHlwZXJ0ZW5zaW9uPC9rZXl3b3JkPjxrZXl3b3JkPnByZWVjbGFt
cHNpYTwva2V5d29yZD48a2V5d29yZD5zdXBwbGVtZW50YXRpb248L2tleXdvcmQ+PC9rZXl3b3Jk
cz48ZGF0ZXM+PHllYXI+MjAxNjwveWVhcj48cHViLWRhdGVzPjxkYXRlPk5vdjwvZGF0ZT48L3B1
Yi1kYXRlcz48L2RhdGVzPjxpc2JuPjE1MjUtNjA2NSAoRWxlY3Ryb25pYykmI3hEOzEwNjQtMTk1
NSAoTGlua2luZyk8L2lzYm4+PGFjY2Vzc2lvbi1udW0+MjczMTU0MDE8L2FjY2Vzc2lvbi1udW0+
PHVybHM+PHJlbGF0ZWQtdXJscz48dXJsPmh0dHBzOi8vd3d3Lm5jYmkubmxtLm5paC5nb3YvcHVi
bWVkLzI3MzE1NDAxPC91cmw+PC9yZWxhdGVkLXVybHM+PC91cmxzPjxlbGVjdHJvbmljLXJlc291
cmNlLW51bT4xMC4xMDgwLzEwNjQxOTU1LjIwMTYuMTE4MzY3MzwvZWxlY3Ryb25pYy1yZXNvdXJj
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132</w:t>
            </w:r>
            <w:r>
              <w:fldChar w:fldCharType="end"/>
            </w:r>
          </w:p>
        </w:tc>
      </w:tr>
      <w:tr w:rsidR="00383CD7" w:rsidRPr="00236C51" w14:paraId="6919BE12" w14:textId="77777777" w:rsidTr="00D84B93">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304" w:type="dxa"/>
            <w:tcBorders>
              <w:top w:val="single" w:sz="4" w:space="0" w:color="auto"/>
              <w:left w:val="single" w:sz="4" w:space="0" w:color="auto"/>
              <w:bottom w:val="single" w:sz="4" w:space="0" w:color="auto"/>
              <w:right w:val="single" w:sz="4" w:space="0" w:color="auto"/>
            </w:tcBorders>
          </w:tcPr>
          <w:p w14:paraId="10C9328F" w14:textId="3F8F82D5" w:rsidR="00383CD7" w:rsidRPr="005818D1" w:rsidRDefault="00383CD7" w:rsidP="002747EA">
            <w:r>
              <w:t>Hodgetts et al 2015</w:t>
            </w:r>
            <w:r>
              <w:fldChar w:fldCharType="begin"/>
            </w:r>
            <w:r w:rsidR="002747EA">
              <w:instrText xml:space="preserve"> ADDIN EN.CITE &lt;EndNote&gt;&lt;Cite&gt;&lt;Author&gt;Hodgetts&lt;/Author&gt;&lt;Year&gt;2015&lt;/Year&gt;&lt;RecNum&gt;1449&lt;/RecNum&gt;&lt;DisplayText&gt;&lt;style face="superscript" font="Trebuchet MS" size="9"&gt;131&lt;/style&gt;&lt;/DisplayText&gt;&lt;record&gt;&lt;rec-number&gt;1449&lt;/rec-number&gt;&lt;foreign-keys&gt;&lt;key app="EN" db-id="exvasrfx2dtraoesasxp2szsxa2df502592x" timestamp="1571805799"&gt;1449&lt;/key&gt;&lt;/foreign-keys&gt;&lt;ref-type name="Journal Article"&gt;17&lt;/ref-type&gt;&lt;contributors&gt;&lt;authors&gt;&lt;author&gt;Hodgetts, V.A.,&lt;/author&gt;&lt;author&gt;Morris, R.K.,&lt;/author&gt;&lt;author&gt;Francis, A.,&lt;/author&gt;&lt;author&gt;Gardosi, J.,&lt;/author&gt;&lt;author&gt;Ismail, K.M.,&lt;/author&gt;&lt;/authors&gt;&lt;/contributors&gt;&lt;titles&gt;&lt;title&gt;Effectiveness of folic acid supplementation in pregnancy on reducing the risk of small-for-gestational age neonates: a population study, systematic review and meta-analysis&lt;/title&gt;&lt;secondary-title&gt;BJOG&lt;/secondary-title&gt;&lt;/titles&gt;&lt;periodical&gt;&lt;full-title&gt;BJOG&lt;/full-title&gt;&lt;/periodical&gt;&lt;pages&gt;478-90&lt;/pages&gt;&lt;volume&gt;122&lt;/volume&gt;&lt;number&gt;4&lt;/number&gt;&lt;dates&gt;&lt;year&gt;2015&lt;/year&gt;&lt;/dates&gt;&lt;urls&gt;&lt;/urls&gt;&lt;/record&gt;&lt;/Cite&gt;&lt;/EndNote&gt;</w:instrText>
            </w:r>
            <w:r>
              <w:fldChar w:fldCharType="separate"/>
            </w:r>
            <w:r w:rsidR="002747EA" w:rsidRPr="002747EA">
              <w:rPr>
                <w:noProof/>
                <w:vertAlign w:val="superscript"/>
              </w:rPr>
              <w:t>131</w:t>
            </w:r>
            <w:r>
              <w:fldChar w:fldCharType="end"/>
            </w:r>
          </w:p>
        </w:tc>
        <w:tc>
          <w:tcPr>
            <w:tcW w:w="1390" w:type="dxa"/>
            <w:tcBorders>
              <w:top w:val="single" w:sz="4" w:space="0" w:color="auto"/>
              <w:left w:val="single" w:sz="4" w:space="0" w:color="auto"/>
              <w:bottom w:val="single" w:sz="4" w:space="0" w:color="auto"/>
              <w:right w:val="single" w:sz="4" w:space="0" w:color="auto"/>
            </w:tcBorders>
          </w:tcPr>
          <w:p w14:paraId="11A55F36" w14:textId="77777777" w:rsidR="00383CD7" w:rsidRDefault="00383CD7" w:rsidP="00CB7786">
            <w:r>
              <w:t>1 cohort study</w:t>
            </w:r>
          </w:p>
          <w:p w14:paraId="10424421" w14:textId="77777777" w:rsidR="00383CD7" w:rsidRDefault="00383CD7" w:rsidP="00CB7786">
            <w:r>
              <w:t>Meta-analysis of:</w:t>
            </w:r>
          </w:p>
          <w:p w14:paraId="593C7197" w14:textId="77777777" w:rsidR="00383CD7" w:rsidRDefault="00383CD7" w:rsidP="00CB7786">
            <w:r>
              <w:t>3 RCTs</w:t>
            </w:r>
          </w:p>
          <w:p w14:paraId="7EDE9242" w14:textId="77777777" w:rsidR="00383CD7" w:rsidRDefault="00383CD7" w:rsidP="00CB7786">
            <w:r>
              <w:t>9 cohort studies</w:t>
            </w:r>
          </w:p>
          <w:p w14:paraId="3B9DD71A" w14:textId="77777777" w:rsidR="00383CD7" w:rsidRDefault="00383CD7" w:rsidP="00CB7786">
            <w:r>
              <w:t>1 case-control study</w:t>
            </w:r>
          </w:p>
        </w:tc>
        <w:tc>
          <w:tcPr>
            <w:tcW w:w="4819" w:type="dxa"/>
            <w:tcBorders>
              <w:top w:val="single" w:sz="4" w:space="0" w:color="auto"/>
              <w:left w:val="single" w:sz="4" w:space="0" w:color="auto"/>
              <w:bottom w:val="single" w:sz="4" w:space="0" w:color="auto"/>
              <w:right w:val="single" w:sz="4" w:space="0" w:color="auto"/>
            </w:tcBorders>
          </w:tcPr>
          <w:p w14:paraId="3151D44B" w14:textId="77777777" w:rsidR="00383CD7" w:rsidRDefault="00383CD7" w:rsidP="00CB7786">
            <w:pPr>
              <w:rPr>
                <w:rFonts w:ascii="Helvetica" w:eastAsiaTheme="majorEastAsia" w:hAnsi="Helvetica"/>
                <w:sz w:val="11"/>
                <w:szCs w:val="11"/>
              </w:rPr>
            </w:pPr>
            <w:r w:rsidRPr="009C1C4C">
              <w:rPr>
                <w:b/>
              </w:rPr>
              <w:t>Aim</w:t>
            </w:r>
            <w:r>
              <w:t xml:space="preserve">: </w:t>
            </w:r>
            <w:r w:rsidRPr="00DF07B1">
              <w:t>To assess the effect of timing of folic acid (FA)</w:t>
            </w:r>
            <w:r>
              <w:t xml:space="preserve"> </w:t>
            </w:r>
            <w:r w:rsidRPr="00DF07B1">
              <w:t>supplementation during pregnancy on the risk of the neonate</w:t>
            </w:r>
            <w:r>
              <w:t xml:space="preserve"> </w:t>
            </w:r>
            <w:r w:rsidRPr="00DF07B1">
              <w:t>being small for gestational age (SGA).</w:t>
            </w:r>
            <w:r>
              <w:t xml:space="preserve"> </w:t>
            </w:r>
          </w:p>
          <w:p w14:paraId="2B49FE8A" w14:textId="77777777" w:rsidR="00383CD7" w:rsidRPr="009C1C4C" w:rsidRDefault="00383CD7" w:rsidP="00CB7786">
            <w:r w:rsidRPr="009C1C4C">
              <w:rPr>
                <w:rFonts w:eastAsiaTheme="majorEastAsia"/>
                <w:b/>
              </w:rPr>
              <w:t>Methods</w:t>
            </w:r>
            <w:r w:rsidRPr="009C1C4C">
              <w:rPr>
                <w:rFonts w:eastAsiaTheme="majorEastAsia"/>
              </w:rPr>
              <w:t xml:space="preserve">: </w:t>
            </w:r>
            <w:r w:rsidRPr="009C1C4C">
              <w:t xml:space="preserve">A population database study and a systematic review with meta-analysis including the results of this population study. A UK regional database was used for the population study and an electronic literature search (from inception until August 2013) for the systematic review. </w:t>
            </w:r>
            <w:r w:rsidRPr="009C1C4C">
              <w:rPr>
                <w:rFonts w:eastAsiaTheme="majorEastAsia"/>
              </w:rPr>
              <w:t>Singleton live births with no</w:t>
            </w:r>
            <w:r w:rsidRPr="009C1C4C">
              <w:t xml:space="preserve"> known congenital anomalies</w:t>
            </w:r>
            <w:r>
              <w:t xml:space="preserve"> were included</w:t>
            </w:r>
            <w:r w:rsidRPr="009C1C4C">
              <w:t>; 111</w:t>
            </w:r>
            <w:r>
              <w:t>,</w:t>
            </w:r>
            <w:r w:rsidRPr="009C1C4C">
              <w:t xml:space="preserve">736 in population study and </w:t>
            </w:r>
            <w:r>
              <w:t>188,</w:t>
            </w:r>
            <w:r w:rsidRPr="009C1C4C">
              <w:t xml:space="preserve">796 in systematic review. </w:t>
            </w:r>
          </w:p>
        </w:tc>
        <w:tc>
          <w:tcPr>
            <w:tcW w:w="4536" w:type="dxa"/>
            <w:tcBorders>
              <w:top w:val="single" w:sz="4" w:space="0" w:color="auto"/>
              <w:left w:val="single" w:sz="4" w:space="0" w:color="auto"/>
              <w:bottom w:val="single" w:sz="4" w:space="0" w:color="auto"/>
              <w:right w:val="single" w:sz="4" w:space="0" w:color="auto"/>
            </w:tcBorders>
          </w:tcPr>
          <w:p w14:paraId="50B6BDF0" w14:textId="77777777" w:rsidR="00383CD7" w:rsidRDefault="00383CD7" w:rsidP="00CB7786">
            <w:r>
              <w:t>Folic acid supplementation 400-500 µg daily post-conception versus no supplementation:</w:t>
            </w:r>
          </w:p>
          <w:p w14:paraId="0DA176CF" w14:textId="77777777" w:rsidR="00383CD7" w:rsidRPr="003C165A" w:rsidRDefault="00383CD7" w:rsidP="00CB7786">
            <w:pPr>
              <w:pStyle w:val="bullet"/>
            </w:pPr>
            <w:r w:rsidRPr="003C165A">
              <w:t xml:space="preserve">Birthweight &lt;5th percentile: OR </w:t>
            </w:r>
            <w:r>
              <w:t>0.82 (0.63 to</w:t>
            </w:r>
            <w:r w:rsidRPr="003C165A">
              <w:t xml:space="preserve"> 1.06)</w:t>
            </w:r>
          </w:p>
        </w:tc>
        <w:tc>
          <w:tcPr>
            <w:tcW w:w="1843" w:type="dxa"/>
            <w:tcBorders>
              <w:top w:val="single" w:sz="4" w:space="0" w:color="auto"/>
              <w:left w:val="single" w:sz="4" w:space="0" w:color="auto"/>
              <w:bottom w:val="single" w:sz="4" w:space="0" w:color="auto"/>
              <w:right w:val="single" w:sz="4" w:space="0" w:color="auto"/>
            </w:tcBorders>
          </w:tcPr>
          <w:p w14:paraId="065795C8" w14:textId="5E5328BD" w:rsidR="00383CD7" w:rsidRPr="00236C51" w:rsidRDefault="00383CD7" w:rsidP="00CB7786"/>
        </w:tc>
      </w:tr>
      <w:tr w:rsidR="00383CD7" w:rsidRPr="00236C51" w14:paraId="3ADCF63F" w14:textId="77777777" w:rsidTr="00D84B93">
        <w:trPr>
          <w:cantSplit/>
          <w:trHeight w:val="390"/>
        </w:trPr>
        <w:tc>
          <w:tcPr>
            <w:tcW w:w="1304" w:type="dxa"/>
          </w:tcPr>
          <w:p w14:paraId="1B9D9D05" w14:textId="3307EC8A" w:rsidR="00383CD7" w:rsidRDefault="00383CD7" w:rsidP="002747EA">
            <w:pPr>
              <w:keepNext/>
            </w:pPr>
            <w:r>
              <w:t>Jahanbin et al 2018</w:t>
            </w:r>
            <w:r w:rsidR="00201490">
              <w:fldChar w:fldCharType="begin"/>
            </w:r>
            <w:r w:rsidR="002747EA">
              <w:instrText xml:space="preserve"> ADDIN EN.CITE &lt;EndNote&gt;&lt;Cite&gt;&lt;Author&gt;Jahanbin&lt;/Author&gt;&lt;Year&gt;2018&lt;/Year&gt;&lt;RecNum&gt;1614&lt;/RecNum&gt;&lt;DisplayText&gt;&lt;style face="superscript" font="Trebuchet MS" size="9"&gt;119&lt;/style&gt;&lt;/DisplayText&gt;&lt;record&gt;&lt;rec-number&gt;1614&lt;/rec-number&gt;&lt;foreign-keys&gt;&lt;key app="EN" db-id="exvasrfx2dtraoesasxp2szsxa2df502592x" timestamp="1576652279"&gt;1614&lt;/key&gt;&lt;key app="ENWeb" db-id=""&gt;0&lt;/key&gt;&lt;/foreign-keys&gt;&lt;ref-type name="Journal Article"&gt;17&lt;/ref-type&gt;&lt;contributors&gt;&lt;authors&gt;&lt;author&gt;Jahanbin, Arezoo&lt;/author&gt;&lt;author&gt;Shadkam, Elaheh&lt;/author&gt;&lt;author&gt;Miri, Hamid Heidarian&lt;/author&gt;&lt;author&gt;Shirazi, Alireza Sarraf&lt;/author&gt;&lt;author&gt;Abtahi, Mostafa&lt;/author&gt;&lt;/authors&gt;&lt;/contributors&gt;&lt;titles&gt;&lt;title&gt;Maternal folic acid supplementation and the risk of oral clefts in offspring&lt;/title&gt;&lt;secondary-title&gt;J Craniofacial Surg&lt;/secondary-title&gt;&lt;/titles&gt;&lt;periodical&gt;&lt;full-title&gt;J Craniofacial Surg&lt;/full-title&gt;&lt;/periodical&gt;&lt;pages&gt;e534-e541&lt;/pages&gt;&lt;volume&gt;29&lt;/volume&gt;&lt;number&gt;6&lt;/number&gt;&lt;section&gt;e534&lt;/section&gt;&lt;dates&gt;&lt;year&gt;2018&lt;/year&gt;&lt;/dates&gt;&lt;isbn&gt;1049-2275&lt;/isbn&gt;&lt;urls&gt;&lt;/urls&gt;&lt;electronic-resource-num&gt;10.1097/scs.0000000000004488&lt;/electronic-resource-num&gt;&lt;/record&gt;&lt;/Cite&gt;&lt;/EndNote&gt;</w:instrText>
            </w:r>
            <w:r w:rsidR="00201490">
              <w:fldChar w:fldCharType="separate"/>
            </w:r>
            <w:r w:rsidR="002747EA" w:rsidRPr="002747EA">
              <w:rPr>
                <w:noProof/>
                <w:vertAlign w:val="superscript"/>
              </w:rPr>
              <w:t>119</w:t>
            </w:r>
            <w:r w:rsidR="00201490">
              <w:fldChar w:fldCharType="end"/>
            </w:r>
          </w:p>
        </w:tc>
        <w:tc>
          <w:tcPr>
            <w:tcW w:w="1390" w:type="dxa"/>
          </w:tcPr>
          <w:p w14:paraId="089D928D" w14:textId="77777777" w:rsidR="00383CD7" w:rsidRDefault="00383CD7" w:rsidP="004B62DF">
            <w:r>
              <w:t>6 cohort studies</w:t>
            </w:r>
          </w:p>
          <w:p w14:paraId="200BD483" w14:textId="77777777" w:rsidR="00383CD7" w:rsidRDefault="00383CD7" w:rsidP="004B62DF">
            <w:r>
              <w:t>31 case-control studies</w:t>
            </w:r>
          </w:p>
        </w:tc>
        <w:tc>
          <w:tcPr>
            <w:tcW w:w="4819" w:type="dxa"/>
          </w:tcPr>
          <w:p w14:paraId="00E45C4B" w14:textId="77777777" w:rsidR="00383CD7" w:rsidRDefault="00383CD7" w:rsidP="004B62DF">
            <w:r w:rsidRPr="009626EC">
              <w:rPr>
                <w:b/>
              </w:rPr>
              <w:t>Aim</w:t>
            </w:r>
            <w:r>
              <w:t xml:space="preserve">: To assess whether folate supplementation during pregnancy can reduce the risk of nonsyndromic cleft lip with or without cleft palate (CL/P) and cleft palate only (CPO) in infants. </w:t>
            </w:r>
          </w:p>
          <w:p w14:paraId="53B54D49" w14:textId="77777777" w:rsidR="00383CD7" w:rsidRDefault="00383CD7" w:rsidP="009626EC">
            <w:pPr>
              <w:rPr>
                <w:b/>
              </w:rPr>
            </w:pPr>
            <w:r w:rsidRPr="009626EC">
              <w:rPr>
                <w:b/>
              </w:rPr>
              <w:t>Methods</w:t>
            </w:r>
            <w:r>
              <w:t xml:space="preserve">: Eligible articles were identified by searching databases, including PubMed, Medline, Scopus, ISI (Web of Knowledge) to September 2017. A meta-analysis was performed to evaluate the effects of maternal supplementation on oral clefts. Odds ratios (ORs) and 95% confidence intervals (CIs) were pooled using Stata software. Publication bias was assessed by the Begg and Egger test. </w:t>
            </w:r>
          </w:p>
        </w:tc>
        <w:tc>
          <w:tcPr>
            <w:tcW w:w="4536" w:type="dxa"/>
          </w:tcPr>
          <w:p w14:paraId="6D62D185" w14:textId="77777777" w:rsidR="00383CD7" w:rsidRDefault="00383CD7" w:rsidP="009626EC">
            <w:r>
              <w:t>Folic acid alone supplementation vs no supplementation:</w:t>
            </w:r>
          </w:p>
          <w:p w14:paraId="030CC51F" w14:textId="77777777" w:rsidR="00383CD7" w:rsidRDefault="00383CD7" w:rsidP="00B72E82">
            <w:pPr>
              <w:pStyle w:val="bullet"/>
            </w:pPr>
            <w:r>
              <w:t>Orofacial cleft: OR</w:t>
            </w:r>
            <w:r>
              <w:rPr>
                <w:rStyle w:val="s1"/>
              </w:rPr>
              <w:t xml:space="preserve"> </w:t>
            </w:r>
            <w:r>
              <w:t>0.73, 95%CI 0.62 to 0.85</w:t>
            </w:r>
          </w:p>
          <w:p w14:paraId="1BF2D5A9" w14:textId="77777777" w:rsidR="00383CD7" w:rsidRDefault="00383CD7" w:rsidP="00B72E82">
            <w:pPr>
              <w:pStyle w:val="bullet"/>
            </w:pPr>
            <w:r>
              <w:t>CL/P: OR 0.72; 95%CI 0.61 to 0.85</w:t>
            </w:r>
          </w:p>
          <w:p w14:paraId="4DFB6BFE" w14:textId="77777777" w:rsidR="00383CD7" w:rsidRDefault="00383CD7" w:rsidP="00B72E82">
            <w:pPr>
              <w:pStyle w:val="bullet"/>
            </w:pPr>
            <w:r>
              <w:t>CPO: OR</w:t>
            </w:r>
            <w:r>
              <w:rPr>
                <w:rStyle w:val="s1"/>
              </w:rPr>
              <w:t>.</w:t>
            </w:r>
            <w:r>
              <w:t xml:space="preserve">0.75, 95%CI 0.53 to 1.04.  </w:t>
            </w:r>
          </w:p>
        </w:tc>
        <w:tc>
          <w:tcPr>
            <w:tcW w:w="1843" w:type="dxa"/>
          </w:tcPr>
          <w:p w14:paraId="416AD793" w14:textId="30C54390" w:rsidR="00383CD7" w:rsidRDefault="00383CD7" w:rsidP="00B85DD0">
            <w:pPr>
              <w:keepNext/>
            </w:pPr>
          </w:p>
        </w:tc>
      </w:tr>
      <w:tr w:rsidR="00383CD7" w:rsidRPr="00236C51" w14:paraId="46E2C923" w14:textId="77777777" w:rsidTr="00D84B93">
        <w:trPr>
          <w:cantSplit/>
          <w:trHeight w:val="390"/>
        </w:trPr>
        <w:tc>
          <w:tcPr>
            <w:tcW w:w="1304" w:type="dxa"/>
          </w:tcPr>
          <w:p w14:paraId="49DFB28B" w14:textId="5928B341" w:rsidR="00383CD7" w:rsidRDefault="00383CD7" w:rsidP="002747EA">
            <w:r>
              <w:t>Bulloch et al 2018</w:t>
            </w:r>
            <w:r>
              <w:fldChar w:fldCharType="begin"/>
            </w:r>
            <w:r w:rsidR="002747EA">
              <w:instrText xml:space="preserve"> ADDIN EN.CITE &lt;EndNote&gt;&lt;Cite&gt;&lt;Author&gt;Bulloch&lt;/Author&gt;&lt;Year&gt;2018&lt;/Year&gt;&lt;RecNum&gt;1424&lt;/RecNum&gt;&lt;DisplayText&gt;&lt;style face="superscript" font="Trebuchet MS" size="9"&gt;126&lt;/style&gt;&lt;/DisplayText&gt;&lt;record&gt;&lt;rec-number&gt;1424&lt;/rec-number&gt;&lt;foreign-keys&gt;&lt;key app="EN" db-id="exvasrfx2dtraoesasxp2szsxa2df502592x" timestamp="1571626173"&gt;1424&lt;/key&gt;&lt;key app="ENWeb" db-id=""&gt;0&lt;/key&gt;&lt;/foreign-keys&gt;&lt;ref-type name="Journal Article"&gt;17&lt;/ref-type&gt;&lt;contributors&gt;&lt;authors&gt;&lt;author&gt;Bulloch, Rhodi E.&lt;/author&gt;&lt;author&gt;Lovell, Amy L.&lt;/author&gt;&lt;author&gt;Jordan, Vanessa M. B.&lt;/author&gt;&lt;author&gt;McCowan, Lesley M. E.&lt;/author&gt;&lt;author&gt;Thompson, John M. D.&lt;/author&gt;&lt;author&gt;Wall, Clare R.&lt;/author&gt;&lt;/authors&gt;&lt;/contributors&gt;&lt;titles&gt;&lt;title&gt;Maternal folic acid supplementation for the prevention of preeclampsia: A systematic review and meta-analysis&lt;/title&gt;&lt;secondary-title&gt;Paediatric and Perinatal Epidemiology&lt;/secondary-title&gt;&lt;/titles&gt;&lt;periodical&gt;&lt;full-title&gt;Paediatric and Perinatal Epidemiology&lt;/full-title&gt;&lt;/periodical&gt;&lt;pages&gt;346-357&lt;/pages&gt;&lt;volume&gt;32&lt;/volume&gt;&lt;number&gt;4&lt;/number&gt;&lt;section&gt;346&lt;/section&gt;&lt;dates&gt;&lt;year&gt;2018&lt;/year&gt;&lt;/dates&gt;&lt;isbn&gt;02695022&lt;/isbn&gt;&lt;urls&gt;&lt;/urls&gt;&lt;electronic-resource-num&gt;10.1111/ppe.12476&lt;/electronic-resource-num&gt;&lt;/record&gt;&lt;/Cite&gt;&lt;/EndNote&gt;</w:instrText>
            </w:r>
            <w:r>
              <w:fldChar w:fldCharType="separate"/>
            </w:r>
            <w:r w:rsidR="002747EA" w:rsidRPr="002747EA">
              <w:rPr>
                <w:noProof/>
                <w:vertAlign w:val="superscript"/>
              </w:rPr>
              <w:t>126</w:t>
            </w:r>
            <w:r>
              <w:fldChar w:fldCharType="end"/>
            </w:r>
          </w:p>
        </w:tc>
        <w:tc>
          <w:tcPr>
            <w:tcW w:w="1390" w:type="dxa"/>
          </w:tcPr>
          <w:p w14:paraId="25D1484D" w14:textId="77777777" w:rsidR="00383CD7" w:rsidRPr="00967618" w:rsidRDefault="00383CD7" w:rsidP="00CB7786">
            <w:r>
              <w:t>8 observational studies</w:t>
            </w:r>
          </w:p>
        </w:tc>
        <w:tc>
          <w:tcPr>
            <w:tcW w:w="4819" w:type="dxa"/>
          </w:tcPr>
          <w:p w14:paraId="68CF8896" w14:textId="77777777" w:rsidR="00383CD7" w:rsidRPr="0016156C" w:rsidRDefault="00383CD7" w:rsidP="00CB7786">
            <w:r w:rsidRPr="0016156C">
              <w:rPr>
                <w:b/>
              </w:rPr>
              <w:t>Aim</w:t>
            </w:r>
            <w:r>
              <w:t>: T</w:t>
            </w:r>
            <w:r w:rsidRPr="0016156C">
              <w:t>o investigate the effect of maternal folic acid supplementation</w:t>
            </w:r>
            <w:r>
              <w:t xml:space="preserve"> </w:t>
            </w:r>
            <w:r w:rsidRPr="0016156C">
              <w:t>during pregnancy on risk of preeclampsia and gestational hypertension.</w:t>
            </w:r>
          </w:p>
          <w:p w14:paraId="7CB7E1CB" w14:textId="77777777" w:rsidR="00383CD7" w:rsidRPr="0016156C" w:rsidRDefault="00383CD7" w:rsidP="00CB7786">
            <w:r w:rsidRPr="0016156C">
              <w:rPr>
                <w:b/>
              </w:rPr>
              <w:t>Methods</w:t>
            </w:r>
            <w:r w:rsidRPr="0016156C">
              <w:t>: Multiple scientific databases and grey literature were searched for relevant</w:t>
            </w:r>
            <w:r>
              <w:t xml:space="preserve"> </w:t>
            </w:r>
            <w:r w:rsidRPr="0016156C">
              <w:t>studies. Studies were reviewed according to pre-specified</w:t>
            </w:r>
            <w:r>
              <w:t xml:space="preserve"> </w:t>
            </w:r>
            <w:r w:rsidRPr="0016156C">
              <w:t>inclusion and exclusion</w:t>
            </w:r>
            <w:r>
              <w:t xml:space="preserve"> </w:t>
            </w:r>
            <w:r w:rsidRPr="0016156C">
              <w:t>criteria. Study characteristics were summarised and study quality was assessed.</w:t>
            </w:r>
            <w:r>
              <w:t xml:space="preserve"> </w:t>
            </w:r>
            <w:r w:rsidRPr="0016156C">
              <w:t>A meta-analysis</w:t>
            </w:r>
            <w:r>
              <w:t xml:space="preserve"> </w:t>
            </w:r>
            <w:r w:rsidRPr="0016156C">
              <w:t>of observational studies was conducted to examine the effect of</w:t>
            </w:r>
            <w:r>
              <w:t xml:space="preserve"> </w:t>
            </w:r>
            <w:r w:rsidRPr="0016156C">
              <w:t>maternal folic acid supplementation on preeclampsia risk.</w:t>
            </w:r>
          </w:p>
        </w:tc>
        <w:tc>
          <w:tcPr>
            <w:tcW w:w="4536" w:type="dxa"/>
          </w:tcPr>
          <w:p w14:paraId="355E19E4" w14:textId="77777777" w:rsidR="00383CD7" w:rsidRDefault="00383CD7" w:rsidP="00CB7786">
            <w:r>
              <w:t>Folic acid supplementation vs no folic acid supplementation:</w:t>
            </w:r>
          </w:p>
          <w:p w14:paraId="7613FE17" w14:textId="77777777" w:rsidR="00383CD7" w:rsidRDefault="00383CD7" w:rsidP="00CB7786">
            <w:pPr>
              <w:pStyle w:val="bullet"/>
            </w:pPr>
            <w:r w:rsidRPr="0016156C">
              <w:t>Pre</w:t>
            </w:r>
            <w:r>
              <w:t>-</w:t>
            </w:r>
            <w:r w:rsidRPr="0016156C">
              <w:t>eclampsia: OR 0.78 (</w:t>
            </w:r>
            <w:r>
              <w:t>0.63 to</w:t>
            </w:r>
            <w:r w:rsidRPr="0016156C">
              <w:t xml:space="preserve"> 0.98) </w:t>
            </w:r>
          </w:p>
          <w:p w14:paraId="7807B662" w14:textId="09F8D568" w:rsidR="00383CD7" w:rsidRPr="0016156C" w:rsidRDefault="00383CD7" w:rsidP="00E27064">
            <w:r w:rsidRPr="0016156C">
              <w:t>Subgroup analysis showed no significant difference between</w:t>
            </w:r>
            <w:r>
              <w:t xml:space="preserve"> </w:t>
            </w:r>
            <w:r w:rsidRPr="0016156C">
              <w:t>folic acid supplementation taken by itself, in comparison to folic acid taken in</w:t>
            </w:r>
            <w:r>
              <w:t xml:space="preserve"> </w:t>
            </w:r>
            <w:r w:rsidRPr="0016156C">
              <w:t>or alongside a multivitamin.</w:t>
            </w:r>
          </w:p>
        </w:tc>
        <w:tc>
          <w:tcPr>
            <w:tcW w:w="1843" w:type="dxa"/>
          </w:tcPr>
          <w:p w14:paraId="5AECBB85" w14:textId="4F17443D" w:rsidR="00383CD7" w:rsidRPr="00236C51" w:rsidRDefault="00383CD7" w:rsidP="00CB7786"/>
        </w:tc>
      </w:tr>
      <w:tr w:rsidR="00383CD7" w:rsidRPr="00236C51" w14:paraId="5CF30F47" w14:textId="77777777" w:rsidTr="00D84B93">
        <w:trPr>
          <w:cantSplit/>
          <w:trHeight w:val="390"/>
        </w:trPr>
        <w:tc>
          <w:tcPr>
            <w:tcW w:w="1304" w:type="dxa"/>
          </w:tcPr>
          <w:p w14:paraId="054B2C2B" w14:textId="52323976" w:rsidR="00383CD7" w:rsidRPr="00456351" w:rsidRDefault="00383CD7" w:rsidP="002747EA">
            <w:r>
              <w:t>Saccone et al 2016</w:t>
            </w:r>
            <w:r w:rsidR="00201490">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 </w:instrText>
            </w:r>
            <w:r w:rsidR="002747EA">
              <w:fldChar w:fldCharType="begin">
                <w:fldData xml:space="preserve">PEVuZE5vdGU+PENpdGU+PEF1dGhvcj5TYWNjb25lPC9BdXRob3I+PFllYXI+MjAxNjwvWWVhcj48
UmVjTnVtPjE0NDA8L1JlY051bT48RGlzcGxheVRleHQ+PHN0eWxlIGZhY2U9InN1cGVyc2NyaXB0
IiBmb250PSJUcmVidWNoZXQgTVMiIHNpemU9IjkiPjEyMTwvc3R5bGU+PC9EaXNwbGF5VGV4dD48
cmVjb3JkPjxyZWMtbnVtYmVyPjE0NDA8L3JlYy1udW1iZXI+PGZvcmVpZ24ta2V5cz48a2V5IGFw
cD0iRU4iIGRiLWlkPSJleHZhc3JmeDJkdHJhb2VzYXN4cDJzenN4YTJkZjUwMjU5MngiIHRpbWVz
dGFtcD0iMTU3MTYyNjI1NiI+MTQ0MDwva2V5PjxrZXkgYXBwPSJFTldlYiIgZGItaWQ9IiI+MDwv
a2V5PjwvZm9yZWlnbi1rZXlzPjxyZWYtdHlwZSBuYW1lPSJKb3VybmFsIEFydGljbGUiPjE3PC9y
ZWYtdHlwZT48Y29udHJpYnV0b3JzPjxhdXRob3JzPjxhdXRob3I+U2FjY29uZSwgRy48L2F1dGhv
cj48YXV0aG9yPkJlcmdoZWxsYSwgVi48L2F1dGhvcj48L2F1dGhvcnM+PC9jb250cmlidXRvcnM+
PGF1dGgtYWRkcmVzcz5EZXBhcnRtZW50IG9mIE5ldXJvc2NpZW5jZSwgUmVwcm9kdWN0aXZlIFNj
aWVuY2VzIGFuZCBEZW50aXN0cnksIFNjaG9vbCBvZiBNZWRpY2luZSwgVW5pdmVyc2l0eSBvZiBO
YXBsZXMgRmVkZXJpY28gSUksIE5hcGxlcywgSXRhbHkuJiN4RDtEaXZpc2lvbiBvZiBNYXRlcm5h
bC1GZXRhbCBNZWRpY2luZSwgRGVwYXJ0bWVudCBvZiBPYnN0ZXRyaWNzIGFuZCBHeW5lY29sb2d5
LCBTaWRuZXkgS2ltbWVsIE1lZGljYWwgQ29sbGVnZSBvZiBUaG9tYXMgSmVmZmVyc29uIFVuaXZl
cnNpdHksIFBoaWxhZGVscGhpYSwgVVNBLiBFbGVjdHJvbmljIGFkZHJlc3M6IHZpbmNlbnpvLmJl
cmdoZWxsYUBqZWZmZXJzb24uZWR1LjwvYXV0aC1hZGRyZXNzPjx0aXRsZXM+PHRpdGxlPkZvbGlj
IGFjaWQgc3VwcGxlbWVudGF0aW9uIGluIHByZWduYW5jeSB0byBwcmV2ZW50IHByZXRlcm0gYmly
dGg6IGEgc3lzdGVtYXRpYyByZXZpZXcgYW5kIG1ldGEtYW5hbHlzaXMgb2YgcmFuZG9taXplZCBj
b250cm9sbGVkIHRyaWFsczwvdGl0bGU+PHNlY29uZGFyeS10aXRsZT5FdXIgSiBPYnN0ZXQgR3lu
ZWNvbCBSZXByb2QgQmlvbDwvc2Vjb25kYXJ5LXRpdGxlPjwvdGl0bGVzPjxwZXJpb2RpY2FsPjxm
dWxsLXRpdGxlPkV1ciBKIE9ic3RldCBHeW5lY29sIFJlcHJvZCBCaW9sPC9mdWxsLXRpdGxlPjwv
cGVyaW9kaWNhbD48cGFnZXM+NzYtODE8L3BhZ2VzPjx2b2x1bWU+MTk5PC92b2x1bWU+PGVkaXRp
b24+MjAxNi8wMi8yNDwvZWRpdGlvbj48a2V5d29yZHM+PGtleXdvcmQ+KkRpZXRhcnkgU3VwcGxl
bWVudHM8L2tleXdvcmQ+PGtleXdvcmQ+RmVtYWxlPC9rZXl3b3JkPjxrZXl3b3JkPkZvbGljIEFj
aWQvYWRtaW5pc3RyYXRpb24gJmFtcDsgZG9zYWdlLyp0aGVyYXBldXRpYyB1c2U8L2tleXdvcmQ+
PGtleXdvcmQ+SHVtYW5zPC9rZXl3b3JkPjxrZXl3b3JkPlByZWduYW5jeTwva2V5d29yZD48a2V5
d29yZD5QcmVtYXR1cmUgQmlydGgvKnByZXZlbnRpb24gJmFtcDsgY29udHJvbDwva2V5d29yZD48
a2V5d29yZD5SYW5kb21pemVkIENvbnRyb2xsZWQgVHJpYWxzIGFzIFRvcGljPC9rZXl3b3JkPjxr
ZXl3b3JkPlRyZWF0bWVudCBPdXRjb21lPC9rZXl3b3JkPjxrZXl3b3JkPkRpZXQ8L2tleXdvcmQ+
PGtleXdvcmQ+Rm9sYXRlPC9rZXl3b3JkPjxrZXl3b3JkPlByZW1hdHVyaXR5PC9rZXl3b3JkPjxr
ZXl3b3JkPlByZXRlcm0gZGVsaXZlcnk8L2tleXdvcmQ+PGtleXdvcmQ+U3VwcGxlbWVudGF0aW9u
PC9rZXl3b3JkPjwva2V5d29yZHM+PGRhdGVzPjx5ZWFyPjIwMTY8L3llYXI+PHB1Yi1kYXRlcz48
ZGF0ZT5BcHI8L2RhdGU+PC9wdWItZGF0ZXM+PC9kYXRlcz48aXNibj4xODcyLTc2NTQgKEVsZWN0
cm9uaWMpJiN4RDswMzAxLTIxMTUgKExpbmtpbmcpPC9pc2JuPjxhY2Nlc3Npb24tbnVtPjI2OTAx
NDAxPC9hY2Nlc3Npb24tbnVtPjx1cmxzPjxyZWxhdGVkLXVybHM+PHVybD5odHRwczovL3d3dy5u
Y2JpLm5sbS5uaWguZ292L3B1Ym1lZC8yNjkwMTQwMTwvdXJsPjwvcmVsYXRlZC11cmxzPjwvdXJs
cz48ZWxlY3Ryb25pYy1yZXNvdXJjZS1udW0+MTAuMTAxNi9qLmVqb2dyYi4yMDE2LjAxLjA0Mjwv
ZWxlY3Ryb25pYy1yZXNvdXJjZS1udW0+PC9yZWNvcmQ+PC9DaXRlPjwvRW5kTm90ZT4A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121</w:t>
            </w:r>
            <w:r w:rsidR="00201490">
              <w:fldChar w:fldCharType="end"/>
            </w:r>
          </w:p>
        </w:tc>
        <w:tc>
          <w:tcPr>
            <w:tcW w:w="1390" w:type="dxa"/>
          </w:tcPr>
          <w:p w14:paraId="2FEA290A" w14:textId="77777777" w:rsidR="00383CD7" w:rsidRDefault="00383CD7" w:rsidP="004B62DF">
            <w:r>
              <w:t>5 RCTs</w:t>
            </w:r>
          </w:p>
        </w:tc>
        <w:tc>
          <w:tcPr>
            <w:tcW w:w="4819" w:type="dxa"/>
          </w:tcPr>
          <w:p w14:paraId="4535400C" w14:textId="77777777" w:rsidR="00383CD7" w:rsidRDefault="00383CD7" w:rsidP="00843CBB">
            <w:r w:rsidRPr="00545B49">
              <w:rPr>
                <w:b/>
              </w:rPr>
              <w:t>Aim</w:t>
            </w:r>
            <w:r>
              <w:t>: T</w:t>
            </w:r>
            <w:r w:rsidRPr="00545B49">
              <w:t xml:space="preserve">o evaluate the efficacy of folic acid supplementation during pregnancy to prevent preterm birth (PTB). </w:t>
            </w:r>
          </w:p>
          <w:p w14:paraId="26E6D6EA" w14:textId="77777777" w:rsidR="00383CD7" w:rsidRPr="008318A9" w:rsidRDefault="00383CD7" w:rsidP="00545B49">
            <w:pPr>
              <w:rPr>
                <w:b/>
              </w:rPr>
            </w:pPr>
            <w:r w:rsidRPr="00545B49">
              <w:rPr>
                <w:b/>
              </w:rPr>
              <w:t>Methods</w:t>
            </w:r>
            <w:r>
              <w:t xml:space="preserve">: </w:t>
            </w:r>
            <w:r w:rsidRPr="00545B49">
              <w:t>The research protocol was designed a priori, defining methods for searching the literature in electronic databases, including and examining art</w:t>
            </w:r>
            <w:r>
              <w:t>icles, and extracting and analys</w:t>
            </w:r>
            <w:r w:rsidRPr="00545B49">
              <w:t>ing data. We included all randomized trials (RCTs) of asymptomatic singleton gestations without prior PTB who were randomized to prophylactic treatment with either FA supplementation or control (placebo or no treatment). The primary outcome was the incidence of PTB &lt;37 weeks.</w:t>
            </w:r>
          </w:p>
        </w:tc>
        <w:tc>
          <w:tcPr>
            <w:tcW w:w="4536" w:type="dxa"/>
          </w:tcPr>
          <w:p w14:paraId="00CF9E96" w14:textId="77777777" w:rsidR="00383CD7" w:rsidRDefault="00383CD7" w:rsidP="00545B49">
            <w:r>
              <w:t>Folic acid vs placebo or no treatment:</w:t>
            </w:r>
          </w:p>
          <w:p w14:paraId="38039039" w14:textId="77777777" w:rsidR="00383CD7" w:rsidRDefault="00383CD7" w:rsidP="00645351">
            <w:pPr>
              <w:pStyle w:val="bullet"/>
            </w:pPr>
            <w:r>
              <w:t>Preterm birth</w:t>
            </w:r>
            <w:r w:rsidRPr="00545B49">
              <w:t xml:space="preserve"> &lt;37 weeks</w:t>
            </w:r>
            <w:r>
              <w:t>:</w:t>
            </w:r>
            <w:r w:rsidRPr="00545B49">
              <w:t xml:space="preserve"> </w:t>
            </w:r>
            <w:r>
              <w:t>RR 0.99; 95%</w:t>
            </w:r>
            <w:r w:rsidRPr="00545B49">
              <w:t>CI 0.82</w:t>
            </w:r>
            <w:r>
              <w:t xml:space="preserve"> to 1.18</w:t>
            </w:r>
            <w:r w:rsidRPr="00545B49">
              <w:t xml:space="preserve"> </w:t>
            </w:r>
          </w:p>
          <w:p w14:paraId="7BC0A93B" w14:textId="77777777" w:rsidR="00383CD7" w:rsidRDefault="00383CD7" w:rsidP="00645351">
            <w:pPr>
              <w:pStyle w:val="bullet"/>
            </w:pPr>
            <w:r>
              <w:t xml:space="preserve">Preterm birth </w:t>
            </w:r>
            <w:r w:rsidRPr="00545B49">
              <w:t>&lt;34 weeks</w:t>
            </w:r>
            <w:r>
              <w:t>: RR 0.77; 95%</w:t>
            </w:r>
            <w:r w:rsidRPr="00545B49">
              <w:t>CI 0.55</w:t>
            </w:r>
            <w:r>
              <w:t xml:space="preserve"> to 1.09</w:t>
            </w:r>
            <w:r w:rsidRPr="00545B49">
              <w:t xml:space="preserve"> </w:t>
            </w:r>
          </w:p>
          <w:p w14:paraId="29292F86" w14:textId="77777777" w:rsidR="00383CD7" w:rsidRDefault="00383CD7" w:rsidP="00645351">
            <w:pPr>
              <w:pStyle w:val="bullet"/>
            </w:pPr>
            <w:r>
              <w:t>P</w:t>
            </w:r>
            <w:r w:rsidRPr="00545B49">
              <w:t>reterm premature rupture of membranes</w:t>
            </w:r>
            <w:r>
              <w:t>: RR 0.81; 95%</w:t>
            </w:r>
            <w:r w:rsidRPr="00545B49">
              <w:t>CI 0.44</w:t>
            </w:r>
            <w:r>
              <w:t xml:space="preserve"> to </w:t>
            </w:r>
            <w:r w:rsidRPr="00545B49">
              <w:t>1.50</w:t>
            </w:r>
          </w:p>
          <w:p w14:paraId="2C110185" w14:textId="77777777" w:rsidR="00383CD7" w:rsidRDefault="00383CD7" w:rsidP="00645351">
            <w:pPr>
              <w:pStyle w:val="bullet"/>
            </w:pPr>
            <w:r>
              <w:t>Birth weight: MD 85.58g, 95%</w:t>
            </w:r>
            <w:r w:rsidRPr="00545B49">
              <w:t>CI -55.17</w:t>
            </w:r>
            <w:r>
              <w:t xml:space="preserve"> to </w:t>
            </w:r>
            <w:r w:rsidRPr="00545B49">
              <w:t>226.34</w:t>
            </w:r>
          </w:p>
          <w:p w14:paraId="23741CFE" w14:textId="77777777" w:rsidR="00383CD7" w:rsidRDefault="00383CD7" w:rsidP="00645351">
            <w:pPr>
              <w:pStyle w:val="bullet"/>
            </w:pPr>
            <w:r>
              <w:t>L</w:t>
            </w:r>
            <w:r w:rsidRPr="00545B49">
              <w:t>ow birth weight</w:t>
            </w:r>
            <w:r>
              <w:t>: RR 0.79; 95%</w:t>
            </w:r>
            <w:r w:rsidRPr="00545B49">
              <w:t>CI 0.49 to 1.28</w:t>
            </w:r>
          </w:p>
          <w:p w14:paraId="3888EF4D" w14:textId="0D346103" w:rsidR="00383CD7" w:rsidRPr="00545B49" w:rsidRDefault="00383CD7" w:rsidP="00645351">
            <w:pPr>
              <w:pStyle w:val="bullet"/>
            </w:pPr>
            <w:r>
              <w:t>P</w:t>
            </w:r>
            <w:r w:rsidRPr="00545B49">
              <w:t>erinatal death</w:t>
            </w:r>
            <w:r>
              <w:t>: RR 0.90; 95%</w:t>
            </w:r>
            <w:r w:rsidRPr="00545B49">
              <w:t>CI 0.60</w:t>
            </w:r>
            <w:r>
              <w:t xml:space="preserve"> to </w:t>
            </w:r>
            <w:r w:rsidR="009C3668">
              <w:t>1.34</w:t>
            </w:r>
          </w:p>
        </w:tc>
        <w:tc>
          <w:tcPr>
            <w:tcW w:w="1843" w:type="dxa"/>
          </w:tcPr>
          <w:p w14:paraId="78512B32" w14:textId="7F9594F5" w:rsidR="00383CD7" w:rsidRDefault="00383CD7" w:rsidP="00B85DD0">
            <w:pPr>
              <w:keepNext/>
            </w:pPr>
          </w:p>
        </w:tc>
      </w:tr>
      <w:tr w:rsidR="00383CD7" w:rsidRPr="00236C51" w14:paraId="5AE9B84D" w14:textId="77777777" w:rsidTr="00D84B93">
        <w:trPr>
          <w:cantSplit/>
          <w:trHeight w:val="390"/>
        </w:trPr>
        <w:tc>
          <w:tcPr>
            <w:tcW w:w="1304" w:type="dxa"/>
          </w:tcPr>
          <w:p w14:paraId="739E0935" w14:textId="7CBDD1BF" w:rsidR="00383CD7" w:rsidRDefault="00383CD7" w:rsidP="002747EA">
            <w:r>
              <w:t>Zhang et al 2017</w:t>
            </w:r>
            <w:r w:rsidR="00201490">
              <w:fldChar w:fldCharType="begin">
                <w:fldData xml:space="preserve">PEVuZE5vdGU+PENpdGU+PEF1dGhvcj5aaGFuZzwvQXV0aG9yPjxZZWFyPjIwMTc8L1llYXI+PFJl
Y051bT4xNDQ4PC9SZWNOdW0+PERpc3BsYXlUZXh0PjxzdHlsZSBmYWNlPSJzdXBlcnNjcmlwdCIg
Zm9udD0iVHJlYnVjaGV0IE1TIiBzaXplPSI5Ij4xMjQ8L3N0eWxlPjwvRGlzcGxheVRleHQ+PHJl
Y29yZD48cmVjLW51bWJlcj4xNDQ4PC9yZWMtbnVtYmVyPjxmb3JlaWduLWtleXM+PGtleSBhcHA9
IkVOIiBkYi1pZD0iZXh2YXNyZngyZHRyYW9lc2FzeHAyc3pzeGEyZGY1MDI1OTJ4IiB0aW1lc3Rh
bXA9IjE1NzE2MjYzMDQiPjE0NDg8L2tleT48a2V5IGFwcD0iRU5XZWIiIGRiLWlkPSIiPjA8L2tl
eT48L2ZvcmVpZ24ta2V5cz48cmVmLXR5cGUgbmFtZT0iSm91cm5hbCBBcnRpY2xlIj4xNzwvcmVm
LXR5cGU+PGNvbnRyaWJ1dG9ycz48YXV0aG9ycz48YXV0aG9yPlpoYW5nLCBRLjwvYXV0aG9yPjxh
dXRob3I+V2FuZywgWS48L2F1dGhvcj48YXV0aG9yPlhpbiwgWC48L2F1dGhvcj48YXV0aG9yPlpo
YW5nLCBZLjwvYXV0aG9yPjxhdXRob3I+TGl1LCBELjwvYXV0aG9yPjxhdXRob3I+UGVuZywgWi48
L2F1dGhvcj48YXV0aG9yPkhlLCBZLjwvYXV0aG9yPjxhdXRob3I+WHUsIEouPC9hdXRob3I+PGF1
dGhvcj5NYSwgWC48L2F1dGhvcj48L2F1dGhvcnM+PC9jb250cmlidXRvcnM+PGF1dGgtYWRkcmVz
cz5CZWlqaW5nIFVuaXZlcnNpdHkgb2YgQ2hpbmVzZSBNZWRpY2luZSwgQmVpIFNhbiBIdWFuIEVh
c3QgUm9hZCwgQ2hhb3lhbmcgRGlzdHJpY3QsIEJlaWppbmcgMTAwMDI5LCBQZW9wbGUmYXBvcztz
IFJlcHVibGljIG9mIENoaW5hOyBOYXRpb25hbCBSZXNlYXJjaCBJbnN0aXR1dGUgZm9yIEZhbWls
eSBQbGFubmluZywgMTIgRGEgSHVpIFRlbXBsZSBSb2FkLCBIYWlkaWFuIERpc3RyaWN0LCBCZWlq
aW5nIDEwMDE4MSwgUGVvcGxlJmFwb3M7cyBSZXB1YmxpYyBvZiBDaGluYTsgR3JhZHVhdGUgU2No
b29sIG9mIFBla2luZyBVbmlvbiBNZWRpY2FsIENvbGxlZ2UsIERvbmdkYW4gU2FuIFRpYW8sIERv
bmdjaGVuZyBEaXN0cmljdCwgQmVpamluZyAxMDA3MzAsIFBlb3BsZSZhcG9zO3MgUmVwdWJsaWMg
b2YgQ2hpbmEuJiN4RDtOYXRpb25hbCBSZXNlYXJjaCBJbnN0aXR1dGUgZm9yIEZhbWlseSBQbGFu
bmluZywgMTIgRGEgSHVpIFRlbXBsZSBSb2FkLCBIYWlkaWFuIERpc3RyaWN0LCBCZWlqaW5nIDEw
MDE4MSwgUGVvcGxlJmFwb3M7cyBSZXB1YmxpYyBvZiBDaGluYS4mI3hEO05hdGlvbmFsIFJlc2Vh
cmNoIEluc3RpdHV0ZSBmb3IgRmFtaWx5IFBsYW5uaW5nLCAxMiBEYSBIdWkgVGVtcGxlIFJvYWQs
IEhhaWRpYW4gRGlzdHJpY3QsIEJlaWppbmcgMTAwMTgxLCBQZW9wbGUmYXBvcztzIFJlcHVibGlj
IG9mIENoaW5hOyBHcmFkdWF0ZSBTY2hvb2wgb2YgUGVraW5nIFVuaW9uIE1lZGljYWwgQ29sbGVn
ZSwgRG9uZ2RhbiBTYW4gVGlhbywgRG9uZ2NoZW5nIERpc3RyaWN0LCBCZWlqaW5nIDEwMDczMCwg
UGVvcGxlJmFwb3M7cyBSZXB1YmxpYyBvZiBDaGluYS4mI3hEO05hdGlvbmFsIFJlc2VhcmNoIElu
c3RpdHV0ZSBmb3IgRmFtaWx5IFBsYW5uaW5nLCAxMiBEYSBIdWkgVGVtcGxlIFJvYWQsIEhhaWRp
YW4gRGlzdHJpY3QsIEJlaWppbmcgMTAwMTgxLCBQZW9wbGUmYXBvcztzIFJlcHVibGljIG9mIENo
aW5hOyBHcmFkdWF0ZSBTY2hvb2wgb2YgUGVraW5nIFVuaW9uIE1lZGljYWwgQ29sbGVnZSwgRG9u
Z2RhbiBTYW4gVGlhbywgRG9uZ2NoZW5nIERpc3RyaWN0LCBCZWlqaW5nIDEwMDczMCwgUGVvcGxl
JmFwb3M7cyBSZXB1YmxpYyBvZiBDaGluYS4gRWxlY3Ryb25pYyBhZGRyZXNzOiBtYXh1cHVtY0Ax
NjMuY29tLjwvYXV0aC1hZGRyZXNzPjx0aXRsZXM+PHRpdGxlPkVmZmVjdCBvZiBmb2xpYyBhY2lk
IHN1cHBsZW1lbnRhdGlvbiBvbiBwcmV0ZXJtIGRlbGl2ZXJ5IGFuZCBzbWFsbCBmb3IgZ2VzdGF0
aW9uYWwgYWdlIGJpcnRoczogQSBzeXN0ZW1hdGljIHJldmlldyBhbmQgbWV0YS1hbmFseXNpczwv
dGl0bGU+PHNlY29uZGFyeS10aXRsZT5SZXByb2QgVG94aWNvbDwvc2Vjb25kYXJ5LXRpdGxlPjwv
dGl0bGVzPjxwZXJpb2RpY2FsPjxmdWxsLXRpdGxlPlJlcHJvZCBUb3hpY29sPC9mdWxsLXRpdGxl
PjwvcGVyaW9kaWNhbD48cGFnZXM+MzUtNDE8L3BhZ2VzPjx2b2x1bWU+Njc8L3ZvbHVtZT48ZWRp
dGlvbj4yMDE2LzExLzIwPC9lZGl0aW9uPjxrZXl3b3Jkcz48a2V5d29yZD5Db2hvcnQgU3R1ZGll
czwva2V5d29yZD48a2V5d29yZD4qRGlldGFyeSBTdXBwbGVtZW50czwva2V5d29yZD48a2V5d29y
ZD5EcnVnIEFkbWluaXN0cmF0aW9uIFNjaGVkdWxlPC9rZXl3b3JkPjxrZXl3b3JkPkZlbWFsZTwv
a2V5d29yZD48a2V5d29yZD5Gb2xpYyBBY2lkLyphZG1pbmlzdHJhdGlvbiAmYW1wOyBkb3NhZ2U8
L2tleXdvcmQ+PGtleXdvcmQ+SHVtYW5zPC9rZXl3b3JkPjxrZXl3b3JkPkluZmFudCwgTmV3Ym9y
bjwva2V5d29yZD48a2V5d29yZD4qSW5mYW50LCBTbWFsbCBmb3IgR2VzdGF0aW9uYWwgQWdlPC9r
ZXl3b3JkPjxrZXl3b3JkPlByZWduYW5jeTwva2V5d29yZD48a2V5d29yZD5QcmVtYXR1cmUgQmly
dGgvZXBpZGVtaW9sb2d5LypwcmV2ZW50aW9uICZhbXA7IGNvbnRyb2w8L2tleXdvcmQ+PGtleXdv
cmQ+KkZvbGljIGFjaWQ8L2tleXdvcmQ+PGtleXdvcmQ+KlByZXRlcm0gZGVsaXZlcnk8L2tleXdv
cmQ+PGtleXdvcmQ+KlNtYWxsIGZvciBnZXN0YXRpb25hbCBhZ2U8L2tleXdvcmQ+PC9rZXl3b3Jk
cz48ZGF0ZXM+PHllYXI+MjAxNzwveWVhcj48cHViLWRhdGVzPjxkYXRlPkphbjwvZGF0ZT48L3B1
Yi1kYXRlcz48L2RhdGVzPjxpc2JuPjE4NzMtMTcwOCAoRWxlY3Ryb25pYykmI3hEOzA4OTAtNjIz
OCAoTGlua2luZyk8L2lzYm4+PGFjY2Vzc2lvbi1udW0+Mjc4NTYzNzA8L2FjY2Vzc2lvbi1udW0+
PHVybHM+PHJlbGF0ZWQtdXJscz48dXJsPmh0dHBzOi8vd3d3Lm5jYmkubmxtLm5paC5nb3YvcHVi
bWVkLzI3ODU2MzcwPC91cmw+PC9yZWxhdGVkLXVybHM+PC91cmxzPjxlbGVjdHJvbmljLXJlc291
cmNlLW51bT4xMC4xMDE2L2oucmVwcm90b3guMjAxNi4xMS4wMTI8L2VsZWN0cm9uaWMtcmVzb3Vy
Y2UtbnVtPjwvcmVjb3JkPjwvQ2l0ZT48L0VuZE5vdGU+AG==
</w:fldData>
              </w:fldChar>
            </w:r>
            <w:r w:rsidR="002747EA">
              <w:instrText xml:space="preserve"> ADDIN EN.CITE </w:instrText>
            </w:r>
            <w:r w:rsidR="002747EA">
              <w:fldChar w:fldCharType="begin">
                <w:fldData xml:space="preserve">PEVuZE5vdGU+PENpdGU+PEF1dGhvcj5aaGFuZzwvQXV0aG9yPjxZZWFyPjIwMTc8L1llYXI+PFJl
Y051bT4xNDQ4PC9SZWNOdW0+PERpc3BsYXlUZXh0PjxzdHlsZSBmYWNlPSJzdXBlcnNjcmlwdCIg
Zm9udD0iVHJlYnVjaGV0IE1TIiBzaXplPSI5Ij4xMjQ8L3N0eWxlPjwvRGlzcGxheVRleHQ+PHJl
Y29yZD48cmVjLW51bWJlcj4xNDQ4PC9yZWMtbnVtYmVyPjxmb3JlaWduLWtleXM+PGtleSBhcHA9
IkVOIiBkYi1pZD0iZXh2YXNyZngyZHRyYW9lc2FzeHAyc3pzeGEyZGY1MDI1OTJ4IiB0aW1lc3Rh
bXA9IjE1NzE2MjYzMDQiPjE0NDg8L2tleT48a2V5IGFwcD0iRU5XZWIiIGRiLWlkPSIiPjA8L2tl
eT48L2ZvcmVpZ24ta2V5cz48cmVmLXR5cGUgbmFtZT0iSm91cm5hbCBBcnRpY2xlIj4xNzwvcmVm
LXR5cGU+PGNvbnRyaWJ1dG9ycz48YXV0aG9ycz48YXV0aG9yPlpoYW5nLCBRLjwvYXV0aG9yPjxh
dXRob3I+V2FuZywgWS48L2F1dGhvcj48YXV0aG9yPlhpbiwgWC48L2F1dGhvcj48YXV0aG9yPlpo
YW5nLCBZLjwvYXV0aG9yPjxhdXRob3I+TGl1LCBELjwvYXV0aG9yPjxhdXRob3I+UGVuZywgWi48
L2F1dGhvcj48YXV0aG9yPkhlLCBZLjwvYXV0aG9yPjxhdXRob3I+WHUsIEouPC9hdXRob3I+PGF1
dGhvcj5NYSwgWC48L2F1dGhvcj48L2F1dGhvcnM+PC9jb250cmlidXRvcnM+PGF1dGgtYWRkcmVz
cz5CZWlqaW5nIFVuaXZlcnNpdHkgb2YgQ2hpbmVzZSBNZWRpY2luZSwgQmVpIFNhbiBIdWFuIEVh
c3QgUm9hZCwgQ2hhb3lhbmcgRGlzdHJpY3QsIEJlaWppbmcgMTAwMDI5LCBQZW9wbGUmYXBvcztz
IFJlcHVibGljIG9mIENoaW5hOyBOYXRpb25hbCBSZXNlYXJjaCBJbnN0aXR1dGUgZm9yIEZhbWls
eSBQbGFubmluZywgMTIgRGEgSHVpIFRlbXBsZSBSb2FkLCBIYWlkaWFuIERpc3RyaWN0LCBCZWlq
aW5nIDEwMDE4MSwgUGVvcGxlJmFwb3M7cyBSZXB1YmxpYyBvZiBDaGluYTsgR3JhZHVhdGUgU2No
b29sIG9mIFBla2luZyBVbmlvbiBNZWRpY2FsIENvbGxlZ2UsIERvbmdkYW4gU2FuIFRpYW8sIERv
bmdjaGVuZyBEaXN0cmljdCwgQmVpamluZyAxMDA3MzAsIFBlb3BsZSZhcG9zO3MgUmVwdWJsaWMg
b2YgQ2hpbmEuJiN4RDtOYXRpb25hbCBSZXNlYXJjaCBJbnN0aXR1dGUgZm9yIEZhbWlseSBQbGFu
bmluZywgMTIgRGEgSHVpIFRlbXBsZSBSb2FkLCBIYWlkaWFuIERpc3RyaWN0LCBCZWlqaW5nIDEw
MDE4MSwgUGVvcGxlJmFwb3M7cyBSZXB1YmxpYyBvZiBDaGluYS4mI3hEO05hdGlvbmFsIFJlc2Vh
cmNoIEluc3RpdHV0ZSBmb3IgRmFtaWx5IFBsYW5uaW5nLCAxMiBEYSBIdWkgVGVtcGxlIFJvYWQs
IEhhaWRpYW4gRGlzdHJpY3QsIEJlaWppbmcgMTAwMTgxLCBQZW9wbGUmYXBvcztzIFJlcHVibGlj
IG9mIENoaW5hOyBHcmFkdWF0ZSBTY2hvb2wgb2YgUGVraW5nIFVuaW9uIE1lZGljYWwgQ29sbGVn
ZSwgRG9uZ2RhbiBTYW4gVGlhbywgRG9uZ2NoZW5nIERpc3RyaWN0LCBCZWlqaW5nIDEwMDczMCwg
UGVvcGxlJmFwb3M7cyBSZXB1YmxpYyBvZiBDaGluYS4mI3hEO05hdGlvbmFsIFJlc2VhcmNoIElu
c3RpdHV0ZSBmb3IgRmFtaWx5IFBsYW5uaW5nLCAxMiBEYSBIdWkgVGVtcGxlIFJvYWQsIEhhaWRp
YW4gRGlzdHJpY3QsIEJlaWppbmcgMTAwMTgxLCBQZW9wbGUmYXBvcztzIFJlcHVibGljIG9mIENo
aW5hOyBHcmFkdWF0ZSBTY2hvb2wgb2YgUGVraW5nIFVuaW9uIE1lZGljYWwgQ29sbGVnZSwgRG9u
Z2RhbiBTYW4gVGlhbywgRG9uZ2NoZW5nIERpc3RyaWN0LCBCZWlqaW5nIDEwMDczMCwgUGVvcGxl
JmFwb3M7cyBSZXB1YmxpYyBvZiBDaGluYS4gRWxlY3Ryb25pYyBhZGRyZXNzOiBtYXh1cHVtY0Ax
NjMuY29tLjwvYXV0aC1hZGRyZXNzPjx0aXRsZXM+PHRpdGxlPkVmZmVjdCBvZiBmb2xpYyBhY2lk
IHN1cHBsZW1lbnRhdGlvbiBvbiBwcmV0ZXJtIGRlbGl2ZXJ5IGFuZCBzbWFsbCBmb3IgZ2VzdGF0
aW9uYWwgYWdlIGJpcnRoczogQSBzeXN0ZW1hdGljIHJldmlldyBhbmQgbWV0YS1hbmFseXNpczwv
dGl0bGU+PHNlY29uZGFyeS10aXRsZT5SZXByb2QgVG94aWNvbDwvc2Vjb25kYXJ5LXRpdGxlPjwv
dGl0bGVzPjxwZXJpb2RpY2FsPjxmdWxsLXRpdGxlPlJlcHJvZCBUb3hpY29sPC9mdWxsLXRpdGxl
PjwvcGVyaW9kaWNhbD48cGFnZXM+MzUtNDE8L3BhZ2VzPjx2b2x1bWU+Njc8L3ZvbHVtZT48ZWRp
dGlvbj4yMDE2LzExLzIwPC9lZGl0aW9uPjxrZXl3b3Jkcz48a2V5d29yZD5Db2hvcnQgU3R1ZGll
czwva2V5d29yZD48a2V5d29yZD4qRGlldGFyeSBTdXBwbGVtZW50czwva2V5d29yZD48a2V5d29y
ZD5EcnVnIEFkbWluaXN0cmF0aW9uIFNjaGVkdWxlPC9rZXl3b3JkPjxrZXl3b3JkPkZlbWFsZTwv
a2V5d29yZD48a2V5d29yZD5Gb2xpYyBBY2lkLyphZG1pbmlzdHJhdGlvbiAmYW1wOyBkb3NhZ2U8
L2tleXdvcmQ+PGtleXdvcmQ+SHVtYW5zPC9rZXl3b3JkPjxrZXl3b3JkPkluZmFudCwgTmV3Ym9y
bjwva2V5d29yZD48a2V5d29yZD4qSW5mYW50LCBTbWFsbCBmb3IgR2VzdGF0aW9uYWwgQWdlPC9r
ZXl3b3JkPjxrZXl3b3JkPlByZWduYW5jeTwva2V5d29yZD48a2V5d29yZD5QcmVtYXR1cmUgQmly
dGgvZXBpZGVtaW9sb2d5LypwcmV2ZW50aW9uICZhbXA7IGNvbnRyb2w8L2tleXdvcmQ+PGtleXdv
cmQ+KkZvbGljIGFjaWQ8L2tleXdvcmQ+PGtleXdvcmQ+KlByZXRlcm0gZGVsaXZlcnk8L2tleXdv
cmQ+PGtleXdvcmQ+KlNtYWxsIGZvciBnZXN0YXRpb25hbCBhZ2U8L2tleXdvcmQ+PC9rZXl3b3Jk
cz48ZGF0ZXM+PHllYXI+MjAxNzwveWVhcj48cHViLWRhdGVzPjxkYXRlPkphbjwvZGF0ZT48L3B1
Yi1kYXRlcz48L2RhdGVzPjxpc2JuPjE4NzMtMTcwOCAoRWxlY3Ryb25pYykmI3hEOzA4OTAtNjIz
OCAoTGlua2luZyk8L2lzYm4+PGFjY2Vzc2lvbi1udW0+Mjc4NTYzNzA8L2FjY2Vzc2lvbi1udW0+
PHVybHM+PHJlbGF0ZWQtdXJscz48dXJsPmh0dHBzOi8vd3d3Lm5jYmkubmxtLm5paC5nb3YvcHVi
bWVkLzI3ODU2MzcwPC91cmw+PC9yZWxhdGVkLXVybHM+PC91cmxzPjxlbGVjdHJvbmljLXJlc291
cmNlLW51bT4xMC4xMDE2L2oucmVwcm90b3guMjAxNi4xMS4wMTI8L2VsZWN0cm9uaWMtcmVzb3Vy
Y2UtbnVtPjwvcmVjb3JkPjwvQ2l0ZT48L0VuZE5vdGU+AG==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124</w:t>
            </w:r>
            <w:r w:rsidR="00201490">
              <w:fldChar w:fldCharType="end"/>
            </w:r>
          </w:p>
        </w:tc>
        <w:tc>
          <w:tcPr>
            <w:tcW w:w="1390" w:type="dxa"/>
          </w:tcPr>
          <w:p w14:paraId="10D41E1C" w14:textId="02EAE9A8" w:rsidR="00383CD7" w:rsidRDefault="005C76AC" w:rsidP="008F5933">
            <w:r>
              <w:t>12 cohort studies</w:t>
            </w:r>
          </w:p>
        </w:tc>
        <w:tc>
          <w:tcPr>
            <w:tcW w:w="4819" w:type="dxa"/>
          </w:tcPr>
          <w:p w14:paraId="3493C25C" w14:textId="77777777" w:rsidR="00383CD7" w:rsidRDefault="00383CD7" w:rsidP="00090C98">
            <w:r w:rsidRPr="00090C98">
              <w:rPr>
                <w:b/>
              </w:rPr>
              <w:t>Aim</w:t>
            </w:r>
            <w:r>
              <w:t xml:space="preserve">: </w:t>
            </w:r>
            <w:r w:rsidRPr="00090C98">
              <w:t xml:space="preserve">To investigate the effect of folic acid (FA) supplementation on the risks of preterm delivery (PTD) and small for gestational age births (SGA). </w:t>
            </w:r>
          </w:p>
          <w:p w14:paraId="23940104" w14:textId="77777777" w:rsidR="00383CD7" w:rsidRPr="006E44B6" w:rsidRDefault="00383CD7" w:rsidP="00090C98">
            <w:pPr>
              <w:rPr>
                <w:b/>
              </w:rPr>
            </w:pPr>
            <w:r w:rsidRPr="00090C98">
              <w:rPr>
                <w:b/>
              </w:rPr>
              <w:t>Methods</w:t>
            </w:r>
            <w:r w:rsidRPr="00090C98">
              <w:t xml:space="preserve">: Cohort studies </w:t>
            </w:r>
            <w:r>
              <w:t>including h</w:t>
            </w:r>
            <w:r w:rsidRPr="00090C98">
              <w:t xml:space="preserve">ealthy women who want to </w:t>
            </w:r>
            <w:r>
              <w:t xml:space="preserve">get pregnancy or being pregnant </w:t>
            </w:r>
            <w:r w:rsidRPr="00090C98">
              <w:t xml:space="preserve">were identified from MEDLINE, EMBASE, the Cochrane Library, CINAHL, and CBM from inception to January 2015. </w:t>
            </w:r>
          </w:p>
        </w:tc>
        <w:tc>
          <w:tcPr>
            <w:tcW w:w="4536" w:type="dxa"/>
          </w:tcPr>
          <w:p w14:paraId="7FF7B5C4" w14:textId="77777777" w:rsidR="00383CD7" w:rsidRDefault="00383CD7" w:rsidP="00090C98">
            <w:r>
              <w:t>Moderate to low dose of folic acid post conception vs no supplementation:</w:t>
            </w:r>
          </w:p>
          <w:p w14:paraId="5D050CB3" w14:textId="378CCDBD" w:rsidR="00383CD7" w:rsidRPr="002D1F3C" w:rsidRDefault="00383CD7" w:rsidP="002D1F3C">
            <w:pPr>
              <w:pStyle w:val="bullet"/>
            </w:pPr>
            <w:r w:rsidRPr="002D1F3C">
              <w:t xml:space="preserve">Preterm birth: RR </w:t>
            </w:r>
            <w:r>
              <w:t>0.68; 95%CI 0.52 to 0.90</w:t>
            </w:r>
            <w:r w:rsidR="002971FA">
              <w:t>; 2 studies; n=575</w:t>
            </w:r>
          </w:p>
          <w:p w14:paraId="25C50978" w14:textId="4146B0A1" w:rsidR="00383CD7" w:rsidRPr="002D1F3C" w:rsidRDefault="00383CD7" w:rsidP="002D1F3C">
            <w:pPr>
              <w:pStyle w:val="bullet"/>
            </w:pPr>
            <w:r>
              <w:t>Small for gestational age: RR 0.84; 95%CI 0.81 to 0.89</w:t>
            </w:r>
            <w:r w:rsidR="002971FA">
              <w:t>; 3 studies; n=17,553</w:t>
            </w:r>
          </w:p>
        </w:tc>
        <w:tc>
          <w:tcPr>
            <w:tcW w:w="1843" w:type="dxa"/>
          </w:tcPr>
          <w:p w14:paraId="1308FD4A" w14:textId="47CB82FD" w:rsidR="00383CD7" w:rsidRDefault="00383CD7" w:rsidP="00B85DD0">
            <w:pPr>
              <w:keepNext/>
            </w:pPr>
          </w:p>
        </w:tc>
      </w:tr>
      <w:tr w:rsidR="00383CD7" w:rsidRPr="00236C51" w14:paraId="599B21FA" w14:textId="77777777" w:rsidTr="00D84B93">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Height w:val="390"/>
        </w:trPr>
        <w:tc>
          <w:tcPr>
            <w:tcW w:w="1304" w:type="dxa"/>
            <w:tcBorders>
              <w:top w:val="single" w:sz="4" w:space="0" w:color="auto"/>
              <w:left w:val="single" w:sz="4" w:space="0" w:color="auto"/>
              <w:bottom w:val="single" w:sz="4" w:space="0" w:color="auto"/>
              <w:right w:val="single" w:sz="4" w:space="0" w:color="auto"/>
            </w:tcBorders>
          </w:tcPr>
          <w:p w14:paraId="5350598F" w14:textId="3A4E35F3" w:rsidR="00383CD7" w:rsidRDefault="00383CD7" w:rsidP="002747EA">
            <w:r>
              <w:t>Lassi et al 2013</w:t>
            </w:r>
            <w:r>
              <w:fldChar w:fldCharType="begin"/>
            </w:r>
            <w:r w:rsidR="002747EA">
              <w:instrText xml:space="preserve"> ADDIN EN.CITE &lt;EndNote&gt;&lt;Cite&gt;&lt;Author&gt;Lassi&lt;/Author&gt;&lt;Year&gt;2013&lt;/Year&gt;&lt;RecNum&gt;1435&lt;/RecNum&gt;&lt;DisplayText&gt;&lt;style face="superscript" font="Trebuchet MS" size="9"&gt;133&lt;/style&gt;&lt;/DisplayText&gt;&lt;record&gt;&lt;rec-number&gt;1435&lt;/rec-number&gt;&lt;foreign-keys&gt;&lt;key app="EN" db-id="exvasrfx2dtraoesasxp2szsxa2df502592x" timestamp="1571626233"&gt;1435&lt;/key&gt;&lt;key app="ENWeb" db-id=""&gt;0&lt;/key&gt;&lt;/foreign-keys&gt;&lt;ref-type name="Journal Article"&gt;17&lt;/ref-type&gt;&lt;contributors&gt;&lt;authors&gt;&lt;author&gt;Lassi, Zohra S.&lt;/author&gt;&lt;author&gt;Salam, Rehana A.&lt;/author&gt;&lt;author&gt;Haider, Batool A.&lt;/author&gt;&lt;author&gt;Bhutta, Zulfiqar A.&lt;/author&gt;&lt;/authors&gt;&lt;/contributors&gt;&lt;titles&gt;&lt;title&gt;Folic acid supplementation during pregnancy for maternal health and pregnancy outcomes&lt;/title&gt;&lt;secondary-title&gt;Cochrane Database of Systematic Reviews&lt;/secondary-title&gt;&lt;/titles&gt;&lt;periodical&gt;&lt;full-title&gt;Cochrane Database of Systematic Reviews&lt;/full-title&gt;&lt;/periodical&gt;&lt;dates&gt;&lt;year&gt;2013&lt;/year&gt;&lt;/dates&gt;&lt;isbn&gt;14651858&lt;/isbn&gt;&lt;urls&gt;&lt;/urls&gt;&lt;electronic-resource-num&gt;10.1002/14651858.CD006896.pub2&lt;/electronic-resource-num&gt;&lt;/record&gt;&lt;/Cite&gt;&lt;/EndNote&gt;</w:instrText>
            </w:r>
            <w:r>
              <w:fldChar w:fldCharType="separate"/>
            </w:r>
            <w:r w:rsidR="002747EA" w:rsidRPr="002747EA">
              <w:rPr>
                <w:noProof/>
                <w:vertAlign w:val="superscript"/>
              </w:rPr>
              <w:t>133</w:t>
            </w:r>
            <w:r>
              <w:fldChar w:fldCharType="end"/>
            </w:r>
          </w:p>
        </w:tc>
        <w:tc>
          <w:tcPr>
            <w:tcW w:w="1390" w:type="dxa"/>
            <w:tcBorders>
              <w:top w:val="single" w:sz="4" w:space="0" w:color="auto"/>
              <w:left w:val="single" w:sz="4" w:space="0" w:color="auto"/>
              <w:bottom w:val="single" w:sz="4" w:space="0" w:color="auto"/>
              <w:right w:val="single" w:sz="4" w:space="0" w:color="auto"/>
            </w:tcBorders>
          </w:tcPr>
          <w:p w14:paraId="4C8898E4" w14:textId="77777777" w:rsidR="00383CD7" w:rsidRDefault="00383CD7" w:rsidP="00CB7786">
            <w:r>
              <w:t>3 RCTs</w:t>
            </w:r>
          </w:p>
        </w:tc>
        <w:tc>
          <w:tcPr>
            <w:tcW w:w="4819" w:type="dxa"/>
            <w:tcBorders>
              <w:top w:val="single" w:sz="4" w:space="0" w:color="auto"/>
              <w:left w:val="single" w:sz="4" w:space="0" w:color="auto"/>
              <w:bottom w:val="single" w:sz="4" w:space="0" w:color="auto"/>
              <w:right w:val="single" w:sz="4" w:space="0" w:color="auto"/>
            </w:tcBorders>
          </w:tcPr>
          <w:p w14:paraId="2F5E49C8" w14:textId="77777777" w:rsidR="00383CD7" w:rsidRDefault="00383CD7" w:rsidP="00CB7786">
            <w:r w:rsidRPr="00391B6F">
              <w:rPr>
                <w:b/>
              </w:rPr>
              <w:t>Aim</w:t>
            </w:r>
            <w:r>
              <w:t xml:space="preserve">: </w:t>
            </w:r>
            <w:r w:rsidRPr="004B2424">
              <w:t>To assess the effectiveness of oral folic acid supplementation alone or with other micronutrients versus no folic acid (placebo or same</w:t>
            </w:r>
            <w:r>
              <w:t xml:space="preserve"> </w:t>
            </w:r>
            <w:r w:rsidRPr="004B2424">
              <w:t>micronutrients but no folic acid) during pregnancy on haematological and biochemical parameters during pregnancy and on pregnancy</w:t>
            </w:r>
            <w:r>
              <w:t xml:space="preserve"> </w:t>
            </w:r>
            <w:r w:rsidRPr="004B2424">
              <w:t>outcomes.</w:t>
            </w:r>
            <w:r>
              <w:t xml:space="preserve"> </w:t>
            </w:r>
          </w:p>
          <w:p w14:paraId="4F414729" w14:textId="77777777" w:rsidR="00383CD7" w:rsidRDefault="00383CD7" w:rsidP="00CB7786">
            <w:pPr>
              <w:rPr>
                <w:b/>
              </w:rPr>
            </w:pPr>
            <w:r w:rsidRPr="00391B6F">
              <w:rPr>
                <w:b/>
              </w:rPr>
              <w:t>Methods</w:t>
            </w:r>
            <w:r>
              <w:t xml:space="preserve">: </w:t>
            </w:r>
            <w:r w:rsidRPr="004B2424">
              <w:t>We searched the</w:t>
            </w:r>
            <w:r>
              <w:t xml:space="preserve"> </w:t>
            </w:r>
            <w:r w:rsidRPr="004B2424">
              <w:t>Cochrane Pregnancy and Childbirth</w:t>
            </w:r>
            <w:r>
              <w:t xml:space="preserve"> </w:t>
            </w:r>
            <w:r w:rsidRPr="004B2424">
              <w:t>Group’s Trials Register (31December 2012) and we contacted</w:t>
            </w:r>
            <w:r>
              <w:t xml:space="preserve"> </w:t>
            </w:r>
            <w:r w:rsidRPr="004B2424">
              <w:t>major organisations</w:t>
            </w:r>
            <w:r>
              <w:t xml:space="preserve"> </w:t>
            </w:r>
            <w:r w:rsidRPr="004B2424">
              <w:t>working in micronutrient supplementation, including UNICEF</w:t>
            </w:r>
            <w:r>
              <w:t xml:space="preserve"> </w:t>
            </w:r>
            <w:r w:rsidRPr="004B2424">
              <w:t>Nutrition Section,</w:t>
            </w:r>
            <w:r>
              <w:t xml:space="preserve"> </w:t>
            </w:r>
            <w:r w:rsidRPr="004B2424">
              <w:t>World</w:t>
            </w:r>
            <w:r>
              <w:t xml:space="preserve"> </w:t>
            </w:r>
            <w:r w:rsidRPr="004B2424">
              <w:t>Health Organization (WHO)</w:t>
            </w:r>
            <w:r>
              <w:t xml:space="preserve"> </w:t>
            </w:r>
            <w:r w:rsidRPr="004B2424">
              <w:t>Maternal and</w:t>
            </w:r>
            <w:r>
              <w:t xml:space="preserve"> </w:t>
            </w:r>
            <w:r w:rsidRPr="004B2424">
              <w:t>Reproductive Health, WHO Nutrition Division, and National Center</w:t>
            </w:r>
            <w:r>
              <w:t xml:space="preserve"> on Birth defects and Developmen</w:t>
            </w:r>
            <w:r w:rsidRPr="004B2424">
              <w:t>tal Disabilities, US Centers</w:t>
            </w:r>
            <w:r>
              <w:t xml:space="preserve"> </w:t>
            </w:r>
            <w:r w:rsidRPr="004B2424">
              <w:t>for Disease Control and Prevention (CDC).</w:t>
            </w:r>
            <w:r>
              <w:t xml:space="preserve"> We included a</w:t>
            </w:r>
            <w:r w:rsidRPr="004B2424">
              <w:t>ll randomised, cluster-randomised and cross-over controlled trials evaluating supplementation of folic acid alone or with other</w:t>
            </w:r>
            <w:r>
              <w:t xml:space="preserve"> </w:t>
            </w:r>
            <w:r w:rsidRPr="004B2424">
              <w:t>micronutrients versus no folic acid (placebo or same micronutrients but no folic acid) in pregnancy.</w:t>
            </w:r>
            <w:r>
              <w:t xml:space="preserve"> </w:t>
            </w:r>
          </w:p>
        </w:tc>
        <w:tc>
          <w:tcPr>
            <w:tcW w:w="4536" w:type="dxa"/>
            <w:tcBorders>
              <w:top w:val="single" w:sz="4" w:space="0" w:color="auto"/>
              <w:left w:val="single" w:sz="4" w:space="0" w:color="auto"/>
              <w:bottom w:val="single" w:sz="4" w:space="0" w:color="auto"/>
              <w:right w:val="single" w:sz="4" w:space="0" w:color="auto"/>
            </w:tcBorders>
          </w:tcPr>
          <w:p w14:paraId="1653D101" w14:textId="77777777" w:rsidR="00383CD7" w:rsidRDefault="00383CD7" w:rsidP="00CB7786">
            <w:r>
              <w:t>Folic acid alone or with other micronutrients versus no folic acid:</w:t>
            </w:r>
          </w:p>
          <w:p w14:paraId="2885D66D" w14:textId="77777777" w:rsidR="00383CD7" w:rsidRDefault="00383CD7" w:rsidP="00CB7786">
            <w:pPr>
              <w:pStyle w:val="bullet"/>
            </w:pPr>
            <w:r>
              <w:t>Preterm birth (&lt;37 weeks): RR 1.09 (0.77 to 1.54); 1 study; n=2,797</w:t>
            </w:r>
          </w:p>
          <w:p w14:paraId="317FDCE1" w14:textId="77777777" w:rsidR="00383CD7" w:rsidRDefault="00383CD7" w:rsidP="00CB7786">
            <w:pPr>
              <w:pStyle w:val="bullet"/>
            </w:pPr>
            <w:r>
              <w:t>Stillbirth/neonatal death: RR 1.33 (0.96 to 1.85); 3 studies; n=3,110</w:t>
            </w:r>
          </w:p>
          <w:p w14:paraId="11496FF2" w14:textId="77777777" w:rsidR="00383CD7" w:rsidRDefault="00383CD7" w:rsidP="00CB7786">
            <w:pPr>
              <w:pStyle w:val="bullet"/>
            </w:pPr>
            <w:r>
              <w:t>Low birthweight (&lt;2,500 g): RR 0.80 (0.63 to 1.02); 3 studies; n=3,089</w:t>
            </w:r>
          </w:p>
        </w:tc>
        <w:tc>
          <w:tcPr>
            <w:tcW w:w="1843" w:type="dxa"/>
            <w:tcBorders>
              <w:top w:val="single" w:sz="4" w:space="0" w:color="auto"/>
              <w:left w:val="single" w:sz="4" w:space="0" w:color="auto"/>
              <w:bottom w:val="single" w:sz="4" w:space="0" w:color="auto"/>
              <w:right w:val="single" w:sz="4" w:space="0" w:color="auto"/>
            </w:tcBorders>
          </w:tcPr>
          <w:p w14:paraId="49583FF9" w14:textId="26FFF2F5" w:rsidR="00383CD7" w:rsidRPr="00236C51" w:rsidRDefault="00383CD7" w:rsidP="00CB7786"/>
        </w:tc>
      </w:tr>
    </w:tbl>
    <w:p w14:paraId="7B34FA8B" w14:textId="1EA4F579" w:rsidR="003F046F" w:rsidRDefault="009C163D" w:rsidP="005719CE">
      <w:pPr>
        <w:pStyle w:val="TableName"/>
        <w:ind w:left="1134" w:hanging="1134"/>
      </w:pPr>
      <w:bookmarkStart w:id="78" w:name="_Toc40956613"/>
      <w:r>
        <w:t xml:space="preserve">Q3 </w:t>
      </w:r>
      <w:r w:rsidR="003F046F">
        <w:t xml:space="preserve">Harms and benefits of </w:t>
      </w:r>
      <w:r w:rsidR="00F63E96">
        <w:t>vitamin B</w:t>
      </w:r>
      <w:r w:rsidR="00F63E96" w:rsidRPr="00F63E96">
        <w:rPr>
          <w:vertAlign w:val="subscript"/>
        </w:rPr>
        <w:t>9</w:t>
      </w:r>
      <w:r w:rsidR="00F63E96">
        <w:t xml:space="preserve"> (</w:t>
      </w:r>
      <w:r w:rsidR="003F046F">
        <w:t>folic acid</w:t>
      </w:r>
      <w:r w:rsidR="00F63E96">
        <w:t>)</w:t>
      </w:r>
      <w:r w:rsidR="003F046F">
        <w:t xml:space="preserve"> supplementation in pregnancy — RCTs</w:t>
      </w:r>
      <w:bookmarkEnd w:id="7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5: Q3 Harms and benefits of vitamin B9 (folic acid) supplementation in pregnancy — RCTs"/>
      </w:tblPr>
      <w:tblGrid>
        <w:gridCol w:w="1304"/>
        <w:gridCol w:w="1390"/>
        <w:gridCol w:w="4819"/>
        <w:gridCol w:w="4535"/>
        <w:gridCol w:w="1844"/>
      </w:tblGrid>
      <w:tr w:rsidR="003F046F" w:rsidRPr="00F350A6" w14:paraId="10062F11" w14:textId="77777777" w:rsidTr="003F046F">
        <w:trPr>
          <w:cantSplit/>
          <w:trHeight w:val="390"/>
          <w:tblHeader/>
        </w:trPr>
        <w:tc>
          <w:tcPr>
            <w:tcW w:w="1304" w:type="dxa"/>
          </w:tcPr>
          <w:p w14:paraId="3A7C8D99" w14:textId="77777777" w:rsidR="003F046F" w:rsidRPr="00F350A6" w:rsidRDefault="003F046F" w:rsidP="00EF49B7">
            <w:pPr>
              <w:keepNext/>
              <w:rPr>
                <w:b/>
              </w:rPr>
            </w:pPr>
            <w:r>
              <w:rPr>
                <w:b/>
              </w:rPr>
              <w:t>Study ref</w:t>
            </w:r>
          </w:p>
        </w:tc>
        <w:tc>
          <w:tcPr>
            <w:tcW w:w="1390" w:type="dxa"/>
          </w:tcPr>
          <w:p w14:paraId="5750FE06" w14:textId="77777777" w:rsidR="003F046F" w:rsidRPr="00F350A6" w:rsidRDefault="003F046F" w:rsidP="00EF49B7">
            <w:pPr>
              <w:keepNext/>
              <w:rPr>
                <w:b/>
              </w:rPr>
            </w:pPr>
            <w:r>
              <w:rPr>
                <w:b/>
              </w:rPr>
              <w:t>N</w:t>
            </w:r>
          </w:p>
        </w:tc>
        <w:tc>
          <w:tcPr>
            <w:tcW w:w="4819" w:type="dxa"/>
          </w:tcPr>
          <w:p w14:paraId="592E050B" w14:textId="37859A71" w:rsidR="003F046F" w:rsidRPr="00F350A6" w:rsidRDefault="003F046F" w:rsidP="003F046F">
            <w:pPr>
              <w:keepNext/>
              <w:rPr>
                <w:b/>
              </w:rPr>
            </w:pPr>
            <w:r>
              <w:rPr>
                <w:b/>
              </w:rPr>
              <w:t>Aim/population/intervention</w:t>
            </w:r>
          </w:p>
        </w:tc>
        <w:tc>
          <w:tcPr>
            <w:tcW w:w="4535" w:type="dxa"/>
          </w:tcPr>
          <w:p w14:paraId="5584612B" w14:textId="77777777" w:rsidR="003F046F" w:rsidRPr="00F350A6" w:rsidRDefault="003F046F" w:rsidP="00EF49B7">
            <w:pPr>
              <w:keepNext/>
              <w:rPr>
                <w:b/>
              </w:rPr>
            </w:pPr>
            <w:r>
              <w:rPr>
                <w:b/>
              </w:rPr>
              <w:t>Results</w:t>
            </w:r>
          </w:p>
        </w:tc>
        <w:tc>
          <w:tcPr>
            <w:tcW w:w="1844" w:type="dxa"/>
          </w:tcPr>
          <w:p w14:paraId="52909738" w14:textId="77777777" w:rsidR="003F046F" w:rsidRPr="00F350A6" w:rsidRDefault="003F046F" w:rsidP="00EF49B7">
            <w:pPr>
              <w:keepNext/>
              <w:rPr>
                <w:b/>
              </w:rPr>
            </w:pPr>
            <w:r>
              <w:rPr>
                <w:b/>
              </w:rPr>
              <w:t>Comments</w:t>
            </w:r>
          </w:p>
        </w:tc>
      </w:tr>
      <w:tr w:rsidR="00151D3C" w:rsidRPr="003F046F" w14:paraId="3D1EBE1C" w14:textId="77777777" w:rsidTr="003F046F">
        <w:trPr>
          <w:cantSplit/>
          <w:trHeight w:val="390"/>
        </w:trPr>
        <w:tc>
          <w:tcPr>
            <w:tcW w:w="1304" w:type="dxa"/>
          </w:tcPr>
          <w:p w14:paraId="222B3CDB" w14:textId="26DD4819" w:rsidR="00151D3C" w:rsidRDefault="00151D3C" w:rsidP="003F046F">
            <w:r>
              <w:t>Catena et al 2016</w:t>
            </w:r>
            <w:r w:rsidR="00201490">
              <w:fldChar w:fldCharType="begin">
                <w:fldData xml:space="preserve">PEVuZE5vdGU+PENpdGU+PEF1dGhvcj5DYXRlbmE8L0F1dGhvcj48WWVhcj4yMDE2PC9ZZWFyPjxS
ZWNOdW0+MTQyNTwvUmVjTnVtPjxEaXNwbGF5VGV4dD48c3R5bGUgZmFjZT0ic3VwZXJzY3JpcHQi
IGZvbnQ9IlRyZWJ1Y2hldCBNUyIgc2l6ZT0iOSI+MTM1PC9zdHlsZT48L0Rpc3BsYXlUZXh0Pjxy
ZWNvcmQ+PHJlYy1udW1iZXI+MTQyNTwvcmVjLW51bWJlcj48Zm9yZWlnbi1rZXlzPjxrZXkgYXBw
PSJFTiIgZGItaWQ9ImV4dmFzcmZ4MmR0cmFvZXNhc3hwMnN6c3hhMmRmNTAyNTkyeCIgdGltZXN0
YW1wPSIxNTcxNjI2MTgwIj4xNDI1PC9rZXk+PGtleSBhcHA9IkVOV2ViIiBkYi1pZD0iIj4wPC9r
ZXk+PC9mb3JlaWduLWtleXM+PHJlZi10eXBlIG5hbWU9IkpvdXJuYWwgQXJ0aWNsZSI+MTc8L3Jl
Zi10eXBlPjxjb250cmlidXRvcnM+PGF1dGhvcnM+PGF1dGhvcj5DYXRlbmEsIEEuPC9hdXRob3I+
PGF1dGhvcj5NdW5vei1NYWNoaWNhbywgSi4gQS48L2F1dGhvcj48YXV0aG9yPlRvcnJlcy1Fc3Bp
bm9sYSwgRi4gSi48L2F1dGhvcj48YXV0aG9yPk1hcnRpbmV6LVphbGRpdmFyLCBDLjwvYXV0aG9y
PjxhdXRob3I+RGlhei1QaWVkcmEsIEMuPC9hdXRob3I+PGF1dGhvcj5HaWwsIEEuPC9hdXRob3I+
PGF1dGhvcj5IYWlsZSwgRy48L2F1dGhvcj48YXV0aG9yPkd5b3JlaSwgRS48L2F1dGhvcj48YXV0
aG9yPk1vbGxveSwgQS4gTS48L2F1dGhvcj48YXV0aG9yPkRlY3NpLCBULjwvYXV0aG9yPjxhdXRo
b3I+S29sZXR6a28sIEIuPC9hdXRob3I+PGF1dGhvcj5DYW1wb3ksIEMuPC9hdXRob3I+PC9hdXRo
b3JzPjwvY29udHJpYnV0b3JzPjxhdXRoLWFkZHJlc3M+TWluZCwgQnJhaW4sIGFuZCBCZWhhdmlv
ciBSZXNlYXJjaCBDZW50ZXItQ0lNQ1lDLiYjeEQ7RVVSSVNUSUtPUyBFeGNlbGxlbmNlIENlbnRl
ciBmb3IgUGVkaWF0cmljIFJlc2VhcmNoLCBhbmQuJiN4RDtEZXBhcnRtZW50cyBvZiBCaW9jaGVt
aXN0cnkgYW5kIE1vbGVjdWxhciBCaW9sb2d5IGFuZC4mI3hEO0RyLiB2b24gSGF1bmVyIENoaWxk
cmVuJmFwb3M7cyBIb3NwaXRhbCwgTHVkd2lnLU1heGltaWxpYW5zIFVuaXZlcnNpdHkgb2YgTXVu
aWNoIE1lZGljYWwgQ2VudGVyLCBNdW5pY2gsIEdlcm1hbnk7JiN4RDtEZXBhcnRtZW50IG9mIFBl
ZGlhdHJpY3MsIFVuaXZlcnNpdHkgb2YgUGVjcywgUGVjcywgSHVuZ2FyeTsgYW5kLiYjeEQ7U2No
b29sIG9mIENsaW5pY2FsIE1lZGljaW5lLCBUcmluaXR5IENvbGxlZ2UsIER1YmxpbiwgSXJlbGFu
ZC4mI3hEO0VVUklTVElLT1MgRXhjZWxsZW5jZSBDZW50ZXIgZm9yIFBlZGlhdHJpYyBSZXNlYXJj
aCwgYW5kIFBlZGlhdHJpY3MsIFVuaXZlcnNpdHkgb2YgR3JhbmFkYSwgR3JhbmFkYSwgU3BhaW47
IGNjYW1wb3lAdWdyLmVzLjwvYXV0aC1hZGRyZXNzPjx0aXRsZXM+PHRpdGxlPkZvbGF0ZSBhbmQg
bG9uZy1jaGFpbiBwb2x5dW5zYXR1cmF0ZWQgZmF0dHkgYWNpZCBzdXBwbGVtZW50YXRpb24gZHVy
aW5nIHByZWduYW5jeSBoYXMgbG9uZy10ZXJtIGVmZmVjdHMgb24gdGhlIGF0dGVudGlvbiBzeXN0
ZW0gb2YgOC41LXktb2xkIG9mZnNwcmluZzogYSByYW5kb21pemVkIGNvbnRyb2xsZWQgdHJpYWw8
L3RpdGxlPjxzZWNvbmRhcnktdGl0bGU+QW0gSiBDbGluIE51dHI8L3NlY29uZGFyeS10aXRsZT48
L3RpdGxlcz48cGVyaW9kaWNhbD48ZnVsbC10aXRsZT5BbSBKIENsaW4gTnV0cjwvZnVsbC10aXRs
ZT48L3BlcmlvZGljYWw+PHBhZ2VzPjExNS0yNzwvcGFnZXM+PHZvbHVtZT4xMDM8L3ZvbHVtZT48
bnVtYmVyPjE8L251bWJlcj48ZWRpdGlvbj4yMDE1LzExLzEzPC9lZGl0aW9uPjxrZXl3b3Jkcz48
a2V5d29yZD5BZHVsdDwva2V5d29yZD48a2V5d29yZD5BdHRlbnRpb24vKnBoeXNpb2xvZ3k8L2tl
eXdvcmQ+PGtleXdvcmQ+QnJhaW4vKmdyb3d0aCAmYW1wOyBkZXZlbG9wbWVudC9waHlzaW9sb2d5
PC9rZXl3b3JkPjxrZXl3b3JkPkNoaWxkPC9rZXl3b3JkPjxrZXl3b3JkPkNoaWxkIERldmVsb3Bt
ZW50PC9rZXl3b3JkPjxrZXl3b3JkPkRpZXRhcnkgRmF0cywgVW5zYXR1cmF0ZWQvKnBoYXJtYWNv
bG9neTwva2V5d29yZD48a2V5d29yZD4qRGlldGFyeSBTdXBwbGVtZW50czwva2V5d29yZD48a2V5
d29yZD5Eb3VibGUtQmxpbmQgTWV0aG9kPC9rZXl3b3JkPjxrZXl3b3JkPkV4ZWN1dGl2ZSBGdW5j
dGlvbi8qcGh5c2lvbG9neTwva2V5d29yZD48a2V5d29yZD5GZW1hbGU8L2tleXdvcmQ+PGtleXdv
cmQ+RmV0YWwgRGV2ZWxvcG1lbnQ8L2tleXdvcmQ+PGtleXdvcmQ+RmlzaCBPaWxzL3BoYXJtYWNv
bG9neTwva2V5d29yZD48a2V5d29yZD5Gb2xpYyBBY2lkL3BoYXJtYWNvbG9neTwva2V5d29yZD48
a2V5d29yZD5IdW1hbnM8L2tleXdvcmQ+PGtleXdvcmQ+TWFsZTwva2V5d29yZD48a2V5d29yZD5Q
cmVnbmFuY3k8L2tleXdvcmQ+PGtleXdvcmQ+KlByZW5hdGFsIE51dHJpdGlvbmFsIFBoeXNpb2xv
Z2ljYWwgUGhlbm9tZW5hPC9rZXl3b3JkPjxrZXl3b3JkPlRldHJhaHlkcm9mb2xhdGVzLypwaGFy
bWFjb2xvZ3k8L2tleXdvcmQ+PGtleXdvcmQ+Vml0YW1pbiBCIENvbXBsZXgvcGhhcm1hY29sb2d5
PC9rZXl3b3JkPjxrZXl3b3JkPmF0dGVudGlvbjwva2V5d29yZD48a2V5d29yZD5ldm9rZWQgcG90
ZW50aWFsczwva2V5d29yZD48a2V5d29yZD5mb2xhdGU8L2tleXdvcmQ+PGtleXdvcmQ+cG9seXVu
c2F0dXJhdGVkIGZhdHR5IGFjaWRzPC9rZXl3b3JkPjxrZXl3b3JkPnByZW5hdGFsIG51dHJpdGlv
bjwva2V5d29yZD48L2tleXdvcmRzPjxkYXRlcz48eWVhcj4yMDE2PC95ZWFyPjxwdWItZGF0ZXM+
PGRhdGU+SmFuPC9kYXRlPjwvcHViLWRhdGVzPjwvZGF0ZXM+PGlzYm4+MTkzOC0zMjA3IChFbGVj
dHJvbmljKSYjeEQ7MDAwMi05MTY1IChMaW5raW5nKTwvaXNibj48YWNjZXNzaW9uLW51bT4yNjU2
MTYxOTwvYWNjZXNzaW9uLW51bT48dXJscz48cmVsYXRlZC11cmxzPjx1cmw+aHR0cHM6Ly93d3cu
bmNiaS5ubG0ubmloLmdvdi9wdWJtZWQvMjY1NjE2MTk8L3VybD48L3JlbGF0ZWQtdXJscz48L3Vy
bHM+PGVsZWN0cm9uaWMtcmVzb3VyY2UtbnVtPjEwLjM5NDUvYWpjbi4xMTUuMTA5MTA4PC9lbGVj
dHJvbmljLXJlc291cmNlLW51bT48L3JlY29yZD48L0NpdGU+PC9FbmROb3RlPn==
</w:fldData>
              </w:fldChar>
            </w:r>
            <w:r w:rsidR="002747EA">
              <w:instrText xml:space="preserve"> ADDIN EN.CITE </w:instrText>
            </w:r>
            <w:r w:rsidR="002747EA">
              <w:fldChar w:fldCharType="begin">
                <w:fldData xml:space="preserve">PEVuZE5vdGU+PENpdGU+PEF1dGhvcj5DYXRlbmE8L0F1dGhvcj48WWVhcj4yMDE2PC9ZZWFyPjxS
ZWNOdW0+MTQyNTwvUmVjTnVtPjxEaXNwbGF5VGV4dD48c3R5bGUgZmFjZT0ic3VwZXJzY3JpcHQi
IGZvbnQ9IlRyZWJ1Y2hldCBNUyIgc2l6ZT0iOSI+MTM1PC9zdHlsZT48L0Rpc3BsYXlUZXh0Pjxy
ZWNvcmQ+PHJlYy1udW1iZXI+MTQyNTwvcmVjLW51bWJlcj48Zm9yZWlnbi1rZXlzPjxrZXkgYXBw
PSJFTiIgZGItaWQ9ImV4dmFzcmZ4MmR0cmFvZXNhc3hwMnN6c3hhMmRmNTAyNTkyeCIgdGltZXN0
YW1wPSIxNTcxNjI2MTgwIj4xNDI1PC9rZXk+PGtleSBhcHA9IkVOV2ViIiBkYi1pZD0iIj4wPC9r
ZXk+PC9mb3JlaWduLWtleXM+PHJlZi10eXBlIG5hbWU9IkpvdXJuYWwgQXJ0aWNsZSI+MTc8L3Jl
Zi10eXBlPjxjb250cmlidXRvcnM+PGF1dGhvcnM+PGF1dGhvcj5DYXRlbmEsIEEuPC9hdXRob3I+
PGF1dGhvcj5NdW5vei1NYWNoaWNhbywgSi4gQS48L2F1dGhvcj48YXV0aG9yPlRvcnJlcy1Fc3Bp
bm9sYSwgRi4gSi48L2F1dGhvcj48YXV0aG9yPk1hcnRpbmV6LVphbGRpdmFyLCBDLjwvYXV0aG9y
PjxhdXRob3I+RGlhei1QaWVkcmEsIEMuPC9hdXRob3I+PGF1dGhvcj5HaWwsIEEuPC9hdXRob3I+
PGF1dGhvcj5IYWlsZSwgRy48L2F1dGhvcj48YXV0aG9yPkd5b3JlaSwgRS48L2F1dGhvcj48YXV0
aG9yPk1vbGxveSwgQS4gTS48L2F1dGhvcj48YXV0aG9yPkRlY3NpLCBULjwvYXV0aG9yPjxhdXRo
b3I+S29sZXR6a28sIEIuPC9hdXRob3I+PGF1dGhvcj5DYW1wb3ksIEMuPC9hdXRob3I+PC9hdXRo
b3JzPjwvY29udHJpYnV0b3JzPjxhdXRoLWFkZHJlc3M+TWluZCwgQnJhaW4sIGFuZCBCZWhhdmlv
ciBSZXNlYXJjaCBDZW50ZXItQ0lNQ1lDLiYjeEQ7RVVSSVNUSUtPUyBFeGNlbGxlbmNlIENlbnRl
ciBmb3IgUGVkaWF0cmljIFJlc2VhcmNoLCBhbmQuJiN4RDtEZXBhcnRtZW50cyBvZiBCaW9jaGVt
aXN0cnkgYW5kIE1vbGVjdWxhciBCaW9sb2d5IGFuZC4mI3hEO0RyLiB2b24gSGF1bmVyIENoaWxk
cmVuJmFwb3M7cyBIb3NwaXRhbCwgTHVkd2lnLU1heGltaWxpYW5zIFVuaXZlcnNpdHkgb2YgTXVu
aWNoIE1lZGljYWwgQ2VudGVyLCBNdW5pY2gsIEdlcm1hbnk7JiN4RDtEZXBhcnRtZW50IG9mIFBl
ZGlhdHJpY3MsIFVuaXZlcnNpdHkgb2YgUGVjcywgUGVjcywgSHVuZ2FyeTsgYW5kLiYjeEQ7U2No
b29sIG9mIENsaW5pY2FsIE1lZGljaW5lLCBUcmluaXR5IENvbGxlZ2UsIER1YmxpbiwgSXJlbGFu
ZC4mI3hEO0VVUklTVElLT1MgRXhjZWxsZW5jZSBDZW50ZXIgZm9yIFBlZGlhdHJpYyBSZXNlYXJj
aCwgYW5kIFBlZGlhdHJpY3MsIFVuaXZlcnNpdHkgb2YgR3JhbmFkYSwgR3JhbmFkYSwgU3BhaW47
IGNjYW1wb3lAdWdyLmVzLjwvYXV0aC1hZGRyZXNzPjx0aXRsZXM+PHRpdGxlPkZvbGF0ZSBhbmQg
bG9uZy1jaGFpbiBwb2x5dW5zYXR1cmF0ZWQgZmF0dHkgYWNpZCBzdXBwbGVtZW50YXRpb24gZHVy
aW5nIHByZWduYW5jeSBoYXMgbG9uZy10ZXJtIGVmZmVjdHMgb24gdGhlIGF0dGVudGlvbiBzeXN0
ZW0gb2YgOC41LXktb2xkIG9mZnNwcmluZzogYSByYW5kb21pemVkIGNvbnRyb2xsZWQgdHJpYWw8
L3RpdGxlPjxzZWNvbmRhcnktdGl0bGU+QW0gSiBDbGluIE51dHI8L3NlY29uZGFyeS10aXRsZT48
L3RpdGxlcz48cGVyaW9kaWNhbD48ZnVsbC10aXRsZT5BbSBKIENsaW4gTnV0cjwvZnVsbC10aXRs
ZT48L3BlcmlvZGljYWw+PHBhZ2VzPjExNS0yNzwvcGFnZXM+PHZvbHVtZT4xMDM8L3ZvbHVtZT48
bnVtYmVyPjE8L251bWJlcj48ZWRpdGlvbj4yMDE1LzExLzEzPC9lZGl0aW9uPjxrZXl3b3Jkcz48
a2V5d29yZD5BZHVsdDwva2V5d29yZD48a2V5d29yZD5BdHRlbnRpb24vKnBoeXNpb2xvZ3k8L2tl
eXdvcmQ+PGtleXdvcmQ+QnJhaW4vKmdyb3d0aCAmYW1wOyBkZXZlbG9wbWVudC9waHlzaW9sb2d5
PC9rZXl3b3JkPjxrZXl3b3JkPkNoaWxkPC9rZXl3b3JkPjxrZXl3b3JkPkNoaWxkIERldmVsb3Bt
ZW50PC9rZXl3b3JkPjxrZXl3b3JkPkRpZXRhcnkgRmF0cywgVW5zYXR1cmF0ZWQvKnBoYXJtYWNv
bG9neTwva2V5d29yZD48a2V5d29yZD4qRGlldGFyeSBTdXBwbGVtZW50czwva2V5d29yZD48a2V5
d29yZD5Eb3VibGUtQmxpbmQgTWV0aG9kPC9rZXl3b3JkPjxrZXl3b3JkPkV4ZWN1dGl2ZSBGdW5j
dGlvbi8qcGh5c2lvbG9neTwva2V5d29yZD48a2V5d29yZD5GZW1hbGU8L2tleXdvcmQ+PGtleXdv
cmQ+RmV0YWwgRGV2ZWxvcG1lbnQ8L2tleXdvcmQ+PGtleXdvcmQ+RmlzaCBPaWxzL3BoYXJtYWNv
bG9neTwva2V5d29yZD48a2V5d29yZD5Gb2xpYyBBY2lkL3BoYXJtYWNvbG9neTwva2V5d29yZD48
a2V5d29yZD5IdW1hbnM8L2tleXdvcmQ+PGtleXdvcmQ+TWFsZTwva2V5d29yZD48a2V5d29yZD5Q
cmVnbmFuY3k8L2tleXdvcmQ+PGtleXdvcmQ+KlByZW5hdGFsIE51dHJpdGlvbmFsIFBoeXNpb2xv
Z2ljYWwgUGhlbm9tZW5hPC9rZXl3b3JkPjxrZXl3b3JkPlRldHJhaHlkcm9mb2xhdGVzLypwaGFy
bWFjb2xvZ3k8L2tleXdvcmQ+PGtleXdvcmQ+Vml0YW1pbiBCIENvbXBsZXgvcGhhcm1hY29sb2d5
PC9rZXl3b3JkPjxrZXl3b3JkPmF0dGVudGlvbjwva2V5d29yZD48a2V5d29yZD5ldm9rZWQgcG90
ZW50aWFsczwva2V5d29yZD48a2V5d29yZD5mb2xhdGU8L2tleXdvcmQ+PGtleXdvcmQ+cG9seXVu
c2F0dXJhdGVkIGZhdHR5IGFjaWRzPC9rZXl3b3JkPjxrZXl3b3JkPnByZW5hdGFsIG51dHJpdGlv
bjwva2V5d29yZD48L2tleXdvcmRzPjxkYXRlcz48eWVhcj4yMDE2PC95ZWFyPjxwdWItZGF0ZXM+
PGRhdGU+SmFuPC9kYXRlPjwvcHViLWRhdGVzPjwvZGF0ZXM+PGlzYm4+MTkzOC0zMjA3IChFbGVj
dHJvbmljKSYjeEQ7MDAwMi05MTY1IChMaW5raW5nKTwvaXNibj48YWNjZXNzaW9uLW51bT4yNjU2
MTYxOTwvYWNjZXNzaW9uLW51bT48dXJscz48cmVsYXRlZC11cmxzPjx1cmw+aHR0cHM6Ly93d3cu
bmNiaS5ubG0ubmloLmdvdi9wdWJtZWQvMjY1NjE2MTk8L3VybD48L3JlbGF0ZWQtdXJscz48L3Vy
bHM+PGVsZWN0cm9uaWMtcmVzb3VyY2UtbnVtPjEwLjM5NDUvYWpjbi4xMTUuMTA5MTA4PC9lbGVj
dHJvbmljLXJlc291cmNlLW51bT48L3JlY29yZD48L0NpdGU+PC9FbmROb3RlPn==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135</w:t>
            </w:r>
            <w:r w:rsidR="00201490">
              <w:fldChar w:fldCharType="end"/>
            </w:r>
          </w:p>
          <w:p w14:paraId="6FCA6B8E" w14:textId="77777777" w:rsidR="00151D3C" w:rsidRDefault="00151D3C" w:rsidP="003F046F">
            <w:r>
              <w:t>NUHEAL</w:t>
            </w:r>
          </w:p>
          <w:p w14:paraId="438D2A29" w14:textId="77777777" w:rsidR="00151D3C" w:rsidRPr="003F046F" w:rsidRDefault="00151D3C" w:rsidP="003F046F">
            <w:r>
              <w:t>Germany, Spain, Hungary</w:t>
            </w:r>
          </w:p>
        </w:tc>
        <w:tc>
          <w:tcPr>
            <w:tcW w:w="1390" w:type="dxa"/>
          </w:tcPr>
          <w:p w14:paraId="19973F3D" w14:textId="77777777" w:rsidR="00151D3C" w:rsidRDefault="00151D3C" w:rsidP="003F046F">
            <w:r>
              <w:t>Intervention 27</w:t>
            </w:r>
          </w:p>
          <w:p w14:paraId="5A61C08E" w14:textId="77777777" w:rsidR="00151D3C" w:rsidRPr="003F046F" w:rsidRDefault="00151D3C" w:rsidP="003F046F">
            <w:r>
              <w:t>Placebo 32</w:t>
            </w:r>
          </w:p>
        </w:tc>
        <w:tc>
          <w:tcPr>
            <w:tcW w:w="4819" w:type="dxa"/>
          </w:tcPr>
          <w:p w14:paraId="7324E6AB" w14:textId="77777777" w:rsidR="00151D3C" w:rsidRDefault="00151D3C" w:rsidP="003F046F">
            <w:r w:rsidRPr="003F046F">
              <w:rPr>
                <w:b/>
              </w:rPr>
              <w:t>Aim</w:t>
            </w:r>
            <w:r>
              <w:t>: To analys</w:t>
            </w:r>
            <w:r w:rsidRPr="003F046F">
              <w:t xml:space="preserve">e the long-term effects of FO, 5-methyltetrahydrofolate (5-MTHF), or FO+5-MTHF prenatal supplementation on attention networks. </w:t>
            </w:r>
          </w:p>
          <w:p w14:paraId="69B21B37" w14:textId="77777777" w:rsidR="00151D3C" w:rsidRDefault="00151D3C" w:rsidP="003F046F">
            <w:pPr>
              <w:rPr>
                <w:b/>
              </w:rPr>
            </w:pPr>
            <w:r>
              <w:rPr>
                <w:b/>
              </w:rPr>
              <w:t xml:space="preserve">Population: </w:t>
            </w:r>
            <w:r>
              <w:t>C</w:t>
            </w:r>
            <w:r w:rsidRPr="003F046F">
              <w:t>hildren born to mothers from the NUHEAL (Nutraceuticals for a Healthy Life) project</w:t>
            </w:r>
            <w:r>
              <w:t xml:space="preserve"> </w:t>
            </w:r>
            <w:r w:rsidRPr="003F046F">
              <w:t>who were recalled for a new examination 8.5 y later.</w:t>
            </w:r>
          </w:p>
          <w:p w14:paraId="70CAF8CD" w14:textId="77777777" w:rsidR="00151D3C" w:rsidRPr="003F046F" w:rsidRDefault="00151D3C" w:rsidP="003F046F">
            <w:r>
              <w:rPr>
                <w:b/>
              </w:rPr>
              <w:t>Intervention</w:t>
            </w:r>
            <w:r w:rsidRPr="003F046F">
              <w:t xml:space="preserve">: </w:t>
            </w:r>
            <w:r>
              <w:t xml:space="preserve">Women were </w:t>
            </w:r>
            <w:r w:rsidRPr="003F046F">
              <w:t xml:space="preserve">randomly assigned to receive </w:t>
            </w:r>
            <w:r>
              <w:t>fish oil</w:t>
            </w:r>
            <w:r w:rsidRPr="003F046F">
              <w:t xml:space="preserve"> and/or 5-MTHF or placebo prenatal supplementation</w:t>
            </w:r>
            <w:r>
              <w:t>.</w:t>
            </w:r>
          </w:p>
        </w:tc>
        <w:tc>
          <w:tcPr>
            <w:tcW w:w="4535" w:type="dxa"/>
          </w:tcPr>
          <w:p w14:paraId="35B7B8EC" w14:textId="77777777" w:rsidR="00151D3C" w:rsidRPr="003F046F" w:rsidRDefault="00151D3C" w:rsidP="00B5547B">
            <w:r w:rsidRPr="003F046F">
              <w:t xml:space="preserve">Children born to mothers supplemented with 5-MTHF alone solved the response conflict more quickly than did the placebo </w:t>
            </w:r>
            <w:r>
              <w:t>and the FO+5-MTHF groups (all P&lt;</w:t>
            </w:r>
            <w:r w:rsidRPr="003F046F">
              <w:t xml:space="preserve">0.05). </w:t>
            </w:r>
          </w:p>
        </w:tc>
        <w:tc>
          <w:tcPr>
            <w:tcW w:w="1844" w:type="dxa"/>
          </w:tcPr>
          <w:p w14:paraId="643E17AA" w14:textId="77777777" w:rsidR="00151D3C" w:rsidRPr="003F046F" w:rsidRDefault="00151D3C" w:rsidP="003F046F"/>
        </w:tc>
      </w:tr>
      <w:tr w:rsidR="00151D3C" w:rsidRPr="003F046F" w14:paraId="4459A5BF" w14:textId="77777777" w:rsidTr="003F046F">
        <w:trPr>
          <w:cantSplit/>
          <w:trHeight w:val="390"/>
        </w:trPr>
        <w:tc>
          <w:tcPr>
            <w:tcW w:w="1304" w:type="dxa"/>
          </w:tcPr>
          <w:p w14:paraId="5F6FFA7B" w14:textId="31FC0F0E" w:rsidR="00151D3C" w:rsidRDefault="00151D3C" w:rsidP="003F046F">
            <w:r>
              <w:t>McNulty et al 2013</w:t>
            </w:r>
            <w:r w:rsidR="00201490">
              <w:fldChar w:fldCharType="begin">
                <w:fldData xml:space="preserve">PEVuZE5vdGU+PENpdGU+PEF1dGhvcj5NY051bHR5PC9BdXRob3I+PFllYXI+MjAxMzwvWWVhcj48
UmVjTnVtPjE0Mzg8L1JlY051bT48RGlzcGxheVRleHQ+PHN0eWxlIGZhY2U9InN1cGVyc2NyaXB0
IiBmb250PSJUcmVidWNoZXQgTVMiIHNpemU9IjkiPjEzNjwvc3R5bGU+PC9EaXNwbGF5VGV4dD48
cmVjb3JkPjxyZWMtbnVtYmVyPjE0Mzg8L3JlYy1udW1iZXI+PGZvcmVpZ24ta2V5cz48a2V5IGFw
cD0iRU4iIGRiLWlkPSJleHZhc3JmeDJkdHJhb2VzYXN4cDJzenN4YTJkZjUwMjU5MngiIHRpbWVz
dGFtcD0iMTU3MTYyNjI1MSI+MTQzODwva2V5PjxrZXkgYXBwPSJFTldlYiIgZGItaWQ9IiI+MDwv
a2V5PjwvZm9yZWlnbi1rZXlzPjxyZWYtdHlwZSBuYW1lPSJKb3VybmFsIEFydGljbGUiPjE3PC9y
ZWYtdHlwZT48Y29udHJpYnV0b3JzPjxhdXRob3JzPjxhdXRob3I+TWNOdWx0eSwgQi48L2F1dGhv
cj48YXV0aG9yPk1jTnVsdHksIEguPC9hdXRob3I+PGF1dGhvcj5NYXJzaGFsbCwgQi48L2F1dGhv
cj48YXV0aG9yPldhcmQsIE0uPC9hdXRob3I+PGF1dGhvcj5Nb2xsb3ksIEEuIE0uPC9hdXRob3I+
PGF1dGhvcj5TY290dCwgSi4gTS48L2F1dGhvcj48YXV0aG9yPkRvcm5hbiwgSi48L2F1dGhvcj48
YXV0aG9yPlBlbnRpZXZhLCBLLjwvYXV0aG9yPjwvYXV0aG9ycz48L2NvbnRyaWJ1dG9ycz48YXV0
aC1hZGRyZXNzPk5vcnRoZXJuIElyZWxhbmQgQ2VudHJlIGZvciBGb29kICZhbXA7IEhlYWx0aCwg
U2Nob29sIG9mIEJpb21lZGljYWwgU2NpZW5jZXMsIFVuaXZlcnNpdHkgb2YgVWxzdGVyLCBDb2xl
cmFpbmUsIFVuaXRlZCBLaW5nZG9tLjwvYXV0aC1hZGRyZXNzPjx0aXRsZXM+PHRpdGxlPkltcGFj
dCBvZiBjb250aW51aW5nIGZvbGljIGFjaWQgYWZ0ZXIgdGhlIGZpcnN0IHRyaW1lc3RlciBvZiBw
cmVnbmFuY3k6IGZpbmRpbmdzIG9mIGEgcmFuZG9taXplZCB0cmlhbCBvZiBmb2xpYyBhY2lkIHN1
cHBsZW1lbnRhdGlvbiBpbiB0aGUgc2Vjb25kIGFuZCB0aGlyZCB0cmltZXN0ZXJzPC90aXRsZT48
c2Vjb25kYXJ5LXRpdGxlPkFtIEogQ2xpbiBOdXRyPC9zZWNvbmRhcnktdGl0bGU+PC90aXRsZXM+
PHBlcmlvZGljYWw+PGZ1bGwtdGl0bGU+QW0gSiBDbGluIE51dHI8L2Z1bGwtdGl0bGU+PC9wZXJp
b2RpY2FsPjxwYWdlcz45Mi04PC9wYWdlcz48dm9sdW1lPjk4PC92b2x1bWU+PG51bWJlcj4xPC9u
dW1iZXI+PGVkaXRpb24+MjAxMy8wNS8zMTwvZWRpdGlvbj48a2V5d29yZHM+PGtleXdvcmQ+QWRv
bGVzY2VudDwva2V5d29yZD48a2V5d29yZD5BZHVsdDwva2V5d29yZD48a2V5d29yZD4qRGlldGFy
eSBTdXBwbGVtZW50czwva2V5d29yZD48a2V5d29yZD5Eb3VibGUtQmxpbmQgTWV0aG9kPC9rZXl3
b3JkPjxrZXl3b3JkPkVyeXRocm9jeXRlcy9kcnVnIGVmZmVjdHMvbWV0YWJvbGlzbTwva2V5d29y
ZD48a2V5d29yZD5GZW1hbGU8L2tleXdvcmQ+PGtleXdvcmQ+Rm9saWMgQWNpZC8qYWRtaW5pc3Ry
YXRpb24gJmFtcDsgZG9zYWdlL2Jsb29kPC9rZXl3b3JkPjxrZXl3b3JkPkhvbW9jeXN0ZWluZS9i
bG9vZDwva2V5d29yZD48a2V5d29yZD5IdW1hbnM8L2tleXdvcmQ+PGtleXdvcmQ+SW5mYW50LCBO
ZXdib3JuPC9rZXl3b3JkPjxrZXl3b3JkPk1hbGU8L2tleXdvcmQ+PGtleXdvcmQ+TmV1cmFsIFR1
YmUgRGVmZWN0cy9wcmV2ZW50aW9uICZhbXA7IGNvbnRyb2w8L2tleXdvcmQ+PGtleXdvcmQ+Tm9y
dGhlcm4gSXJlbGFuZDwva2V5d29yZD48a2V5d29yZD5QcmVnbmFuY3k8L2tleXdvcmQ+PGtleXdv
cmQ+UHJlZ25hbmN5IFRyaW1lc3RlciwgRmlyc3QvKmRydWcgZWZmZWN0czwva2V5d29yZD48a2V5
d29yZD5QcmVnbmFuY3kgVHJpbWVzdGVyLCBTZWNvbmQvKmRydWcgZWZmZWN0czwva2V5d29yZD48
a2V5d29yZD5QcmVnbmFuY3kgVHJpbWVzdGVyLCBUaGlyZC8qZHJ1ZyBlZmZlY3RzPC9rZXl3b3Jk
PjxrZXl3b3JkPllvdW5nIEFkdWx0PC9rZXl3b3JkPjwva2V5d29yZHM+PGRhdGVzPjx5ZWFyPjIw
MTM8L3llYXI+PHB1Yi1kYXRlcz48ZGF0ZT5KdWw8L2RhdGU+PC9wdWItZGF0ZXM+PC9kYXRlcz48
aXNibj4xOTM4LTMyMDcgKEVsZWN0cm9uaWMpJiN4RDswMDAyLTkxNjUgKExpbmtpbmcpPC9pc2Ju
PjxhY2Nlc3Npb24tbnVtPjIzNzE5NTU0PC9hY2Nlc3Npb24tbnVtPjx1cmxzPjxyZWxhdGVkLXVy
bHM+PHVybD5odHRwczovL3d3dy5uY2JpLm5sbS5uaWguZ292L3B1Ym1lZC8yMzcxOTU1NDwvdXJs
PjwvcmVsYXRlZC11cmxzPjwvdXJscz48ZWxlY3Ryb25pYy1yZXNvdXJjZS1udW0+MTAuMzk0NS9h
amNuLjExMi4wNTc0ODk8L2VsZWN0cm9uaWMtcmVzb3VyY2UtbnVtPjwvcmVjb3JkPjwvQ2l0ZT48
L0VuZE5vdGU+
</w:fldData>
              </w:fldChar>
            </w:r>
            <w:r w:rsidR="002747EA">
              <w:instrText xml:space="preserve"> ADDIN EN.CITE </w:instrText>
            </w:r>
            <w:r w:rsidR="002747EA">
              <w:fldChar w:fldCharType="begin">
                <w:fldData xml:space="preserve">PEVuZE5vdGU+PENpdGU+PEF1dGhvcj5NY051bHR5PC9BdXRob3I+PFllYXI+MjAxMzwvWWVhcj48
UmVjTnVtPjE0Mzg8L1JlY051bT48RGlzcGxheVRleHQ+PHN0eWxlIGZhY2U9InN1cGVyc2NyaXB0
IiBmb250PSJUcmVidWNoZXQgTVMiIHNpemU9IjkiPjEzNjwvc3R5bGU+PC9EaXNwbGF5VGV4dD48
cmVjb3JkPjxyZWMtbnVtYmVyPjE0Mzg8L3JlYy1udW1iZXI+PGZvcmVpZ24ta2V5cz48a2V5IGFw
cD0iRU4iIGRiLWlkPSJleHZhc3JmeDJkdHJhb2VzYXN4cDJzenN4YTJkZjUwMjU5MngiIHRpbWVz
dGFtcD0iMTU3MTYyNjI1MSI+MTQzODwva2V5PjxrZXkgYXBwPSJFTldlYiIgZGItaWQ9IiI+MDwv
a2V5PjwvZm9yZWlnbi1rZXlzPjxyZWYtdHlwZSBuYW1lPSJKb3VybmFsIEFydGljbGUiPjE3PC9y
ZWYtdHlwZT48Y29udHJpYnV0b3JzPjxhdXRob3JzPjxhdXRob3I+TWNOdWx0eSwgQi48L2F1dGhv
cj48YXV0aG9yPk1jTnVsdHksIEguPC9hdXRob3I+PGF1dGhvcj5NYXJzaGFsbCwgQi48L2F1dGhv
cj48YXV0aG9yPldhcmQsIE0uPC9hdXRob3I+PGF1dGhvcj5Nb2xsb3ksIEEuIE0uPC9hdXRob3I+
PGF1dGhvcj5TY290dCwgSi4gTS48L2F1dGhvcj48YXV0aG9yPkRvcm5hbiwgSi48L2F1dGhvcj48
YXV0aG9yPlBlbnRpZXZhLCBLLjwvYXV0aG9yPjwvYXV0aG9ycz48L2NvbnRyaWJ1dG9ycz48YXV0
aC1hZGRyZXNzPk5vcnRoZXJuIElyZWxhbmQgQ2VudHJlIGZvciBGb29kICZhbXA7IEhlYWx0aCwg
U2Nob29sIG9mIEJpb21lZGljYWwgU2NpZW5jZXMsIFVuaXZlcnNpdHkgb2YgVWxzdGVyLCBDb2xl
cmFpbmUsIFVuaXRlZCBLaW5nZG9tLjwvYXV0aC1hZGRyZXNzPjx0aXRsZXM+PHRpdGxlPkltcGFj
dCBvZiBjb250aW51aW5nIGZvbGljIGFjaWQgYWZ0ZXIgdGhlIGZpcnN0IHRyaW1lc3RlciBvZiBw
cmVnbmFuY3k6IGZpbmRpbmdzIG9mIGEgcmFuZG9taXplZCB0cmlhbCBvZiBmb2xpYyBhY2lkIHN1
cHBsZW1lbnRhdGlvbiBpbiB0aGUgc2Vjb25kIGFuZCB0aGlyZCB0cmltZXN0ZXJzPC90aXRsZT48
c2Vjb25kYXJ5LXRpdGxlPkFtIEogQ2xpbiBOdXRyPC9zZWNvbmRhcnktdGl0bGU+PC90aXRsZXM+
PHBlcmlvZGljYWw+PGZ1bGwtdGl0bGU+QW0gSiBDbGluIE51dHI8L2Z1bGwtdGl0bGU+PC9wZXJp
b2RpY2FsPjxwYWdlcz45Mi04PC9wYWdlcz48dm9sdW1lPjk4PC92b2x1bWU+PG51bWJlcj4xPC9u
dW1iZXI+PGVkaXRpb24+MjAxMy8wNS8zMTwvZWRpdGlvbj48a2V5d29yZHM+PGtleXdvcmQ+QWRv
bGVzY2VudDwva2V5d29yZD48a2V5d29yZD5BZHVsdDwva2V5d29yZD48a2V5d29yZD4qRGlldGFy
eSBTdXBwbGVtZW50czwva2V5d29yZD48a2V5d29yZD5Eb3VibGUtQmxpbmQgTWV0aG9kPC9rZXl3
b3JkPjxrZXl3b3JkPkVyeXRocm9jeXRlcy9kcnVnIGVmZmVjdHMvbWV0YWJvbGlzbTwva2V5d29y
ZD48a2V5d29yZD5GZW1hbGU8L2tleXdvcmQ+PGtleXdvcmQ+Rm9saWMgQWNpZC8qYWRtaW5pc3Ry
YXRpb24gJmFtcDsgZG9zYWdlL2Jsb29kPC9rZXl3b3JkPjxrZXl3b3JkPkhvbW9jeXN0ZWluZS9i
bG9vZDwva2V5d29yZD48a2V5d29yZD5IdW1hbnM8L2tleXdvcmQ+PGtleXdvcmQ+SW5mYW50LCBO
ZXdib3JuPC9rZXl3b3JkPjxrZXl3b3JkPk1hbGU8L2tleXdvcmQ+PGtleXdvcmQ+TmV1cmFsIFR1
YmUgRGVmZWN0cy9wcmV2ZW50aW9uICZhbXA7IGNvbnRyb2w8L2tleXdvcmQ+PGtleXdvcmQ+Tm9y
dGhlcm4gSXJlbGFuZDwva2V5d29yZD48a2V5d29yZD5QcmVnbmFuY3k8L2tleXdvcmQ+PGtleXdv
cmQ+UHJlZ25hbmN5IFRyaW1lc3RlciwgRmlyc3QvKmRydWcgZWZmZWN0czwva2V5d29yZD48a2V5
d29yZD5QcmVnbmFuY3kgVHJpbWVzdGVyLCBTZWNvbmQvKmRydWcgZWZmZWN0czwva2V5d29yZD48
a2V5d29yZD5QcmVnbmFuY3kgVHJpbWVzdGVyLCBUaGlyZC8qZHJ1ZyBlZmZlY3RzPC9rZXl3b3Jk
PjxrZXl3b3JkPllvdW5nIEFkdWx0PC9rZXl3b3JkPjwva2V5d29yZHM+PGRhdGVzPjx5ZWFyPjIw
MTM8L3llYXI+PHB1Yi1kYXRlcz48ZGF0ZT5KdWw8L2RhdGU+PC9wdWItZGF0ZXM+PC9kYXRlcz48
aXNibj4xOTM4LTMyMDcgKEVsZWN0cm9uaWMpJiN4RDswMDAyLTkxNjUgKExpbmtpbmcpPC9pc2Ju
PjxhY2Nlc3Npb24tbnVtPjIzNzE5NTU0PC9hY2Nlc3Npb24tbnVtPjx1cmxzPjxyZWxhdGVkLXVy
bHM+PHVybD5odHRwczovL3d3dy5uY2JpLm5sbS5uaWguZ292L3B1Ym1lZC8yMzcxOTU1NDwvdXJs
PjwvcmVsYXRlZC11cmxzPjwvdXJscz48ZWxlY3Ryb25pYy1yZXNvdXJjZS1udW0+MTAuMzk0NS9h
amNuLjExMi4wNTc0ODk8L2VsZWN0cm9uaWMtcmVzb3VyY2UtbnVtPjwvcmVjb3JkPjwvQ2l0ZT48
L0VuZE5vdGU+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136</w:t>
            </w:r>
            <w:r w:rsidR="00201490">
              <w:fldChar w:fldCharType="end"/>
            </w:r>
          </w:p>
          <w:p w14:paraId="65E9375E" w14:textId="77777777" w:rsidR="00151D3C" w:rsidRDefault="00151D3C" w:rsidP="003F046F">
            <w:r>
              <w:t>Northern Ireland</w:t>
            </w:r>
          </w:p>
        </w:tc>
        <w:tc>
          <w:tcPr>
            <w:tcW w:w="1390" w:type="dxa"/>
          </w:tcPr>
          <w:p w14:paraId="3EFE0690" w14:textId="77777777" w:rsidR="00151D3C" w:rsidRDefault="00151D3C" w:rsidP="003F046F">
            <w:r>
              <w:t>Intervention 59</w:t>
            </w:r>
          </w:p>
          <w:p w14:paraId="324E8DFE" w14:textId="77777777" w:rsidR="00151D3C" w:rsidRDefault="00151D3C" w:rsidP="003F046F">
            <w:r>
              <w:t>Control 60</w:t>
            </w:r>
          </w:p>
        </w:tc>
        <w:tc>
          <w:tcPr>
            <w:tcW w:w="4819" w:type="dxa"/>
          </w:tcPr>
          <w:p w14:paraId="0AAA0E49" w14:textId="00C7AE2C" w:rsidR="00151D3C" w:rsidRDefault="00151D3C" w:rsidP="00601F55">
            <w:r w:rsidRPr="00601F55">
              <w:rPr>
                <w:b/>
              </w:rPr>
              <w:t>Aim</w:t>
            </w:r>
            <w:r>
              <w:t>: To investigate</w:t>
            </w:r>
            <w:r w:rsidRPr="00601F55">
              <w:t xml:space="preserve"> maternal folate and homocysteine responses and related effects in the newborn that resulted from continued </w:t>
            </w:r>
            <w:r w:rsidR="001462BD">
              <w:t>folic acid (</w:t>
            </w:r>
            <w:r w:rsidRPr="00601F55">
              <w:t>FA</w:t>
            </w:r>
            <w:r w:rsidR="001462BD">
              <w:t>)</w:t>
            </w:r>
            <w:r w:rsidRPr="00601F55">
              <w:t xml:space="preserve"> supplementation after the first trimester of pregnancy. </w:t>
            </w:r>
          </w:p>
          <w:p w14:paraId="38F2C529" w14:textId="77777777" w:rsidR="00151D3C" w:rsidRDefault="00151D3C" w:rsidP="00601F55">
            <w:r w:rsidRPr="00601F55">
              <w:rPr>
                <w:b/>
              </w:rPr>
              <w:t>Population</w:t>
            </w:r>
            <w:r w:rsidRPr="00601F55">
              <w:t>: Pregnant women, aged 18-35 y, who were attending an antenatal clinic with singleton uncomplicated pregnancies and reported taking FA supplements in the first trimester</w:t>
            </w:r>
            <w:r>
              <w:t>.</w:t>
            </w:r>
          </w:p>
          <w:p w14:paraId="54828A0A" w14:textId="77777777" w:rsidR="00151D3C" w:rsidRPr="003F046F" w:rsidRDefault="00151D3C" w:rsidP="00601F55">
            <w:pPr>
              <w:rPr>
                <w:b/>
              </w:rPr>
            </w:pPr>
            <w:r w:rsidRPr="00601F55">
              <w:rPr>
                <w:b/>
              </w:rPr>
              <w:t>Intervention</w:t>
            </w:r>
            <w:r>
              <w:t>: women were</w:t>
            </w:r>
            <w:r w:rsidRPr="00601F55">
              <w:t xml:space="preserve"> randomly assigned at the start of trimester</w:t>
            </w:r>
            <w:r>
              <w:t xml:space="preserve"> 2 to receive 400 mug FA/d or </w:t>
            </w:r>
            <w:r w:rsidRPr="00601F55">
              <w:t xml:space="preserve">placebo. </w:t>
            </w:r>
          </w:p>
        </w:tc>
        <w:tc>
          <w:tcPr>
            <w:tcW w:w="4535" w:type="dxa"/>
          </w:tcPr>
          <w:p w14:paraId="2EF67ACD" w14:textId="77777777" w:rsidR="00151D3C" w:rsidRDefault="00151D3C" w:rsidP="00601F55">
            <w:r>
              <w:t>Response from gestational weeks 14 to 36 intervention vs control:</w:t>
            </w:r>
          </w:p>
          <w:p w14:paraId="40D1C3CB" w14:textId="77777777" w:rsidR="00151D3C" w:rsidRDefault="00151D3C" w:rsidP="00A7545F">
            <w:pPr>
              <w:pStyle w:val="bullet"/>
            </w:pPr>
            <w:r>
              <w:t>Serum folate: 0.9±24.7 vs -26.1±19.0; p&lt;0.001</w:t>
            </w:r>
          </w:p>
          <w:p w14:paraId="4A511ADD" w14:textId="77777777" w:rsidR="00151D3C" w:rsidRDefault="00151D3C" w:rsidP="00A7545F">
            <w:pPr>
              <w:pStyle w:val="bullet"/>
            </w:pPr>
            <w:r>
              <w:t>Red blood cell folate: 549+661 vs -250±690; p&lt;0.001</w:t>
            </w:r>
          </w:p>
          <w:p w14:paraId="24805B24" w14:textId="77777777" w:rsidR="00151D3C" w:rsidRDefault="00151D3C" w:rsidP="00A7545F">
            <w:pPr>
              <w:pStyle w:val="bullet"/>
            </w:pPr>
            <w:r>
              <w:t>Plasma homocysteine: 0.1±1.1 vs 1.0±1.9; p=0.006</w:t>
            </w:r>
          </w:p>
          <w:p w14:paraId="6B353929" w14:textId="77777777" w:rsidR="00151D3C" w:rsidRPr="00A66EB5" w:rsidRDefault="00151D3C" w:rsidP="00601F55">
            <w:pPr>
              <w:pStyle w:val="bullet"/>
            </w:pPr>
            <w:r>
              <w:t>Cord blood folate: 1993±862 vs 1418±557; p=0.001</w:t>
            </w:r>
          </w:p>
        </w:tc>
        <w:tc>
          <w:tcPr>
            <w:tcW w:w="1844" w:type="dxa"/>
          </w:tcPr>
          <w:p w14:paraId="73DEC5DD" w14:textId="77777777" w:rsidR="00151D3C" w:rsidRPr="003F046F" w:rsidRDefault="00151D3C" w:rsidP="003F046F"/>
        </w:tc>
      </w:tr>
      <w:tr w:rsidR="00151D3C" w:rsidRPr="003F046F" w14:paraId="432F9F7A" w14:textId="77777777" w:rsidTr="003F046F">
        <w:trPr>
          <w:cantSplit/>
          <w:trHeight w:val="390"/>
        </w:trPr>
        <w:tc>
          <w:tcPr>
            <w:tcW w:w="1304" w:type="dxa"/>
          </w:tcPr>
          <w:p w14:paraId="3E3870F8" w14:textId="32A9A39D" w:rsidR="00151D3C" w:rsidRDefault="00151D3C" w:rsidP="003F046F">
            <w:r>
              <w:t>Sayyah-Melli et al 2016</w:t>
            </w:r>
            <w:r w:rsidR="00201490">
              <w:fldChar w:fldCharType="begin"/>
            </w:r>
            <w:r w:rsidR="002747EA">
              <w:instrText xml:space="preserve"> ADDIN EN.CITE &lt;EndNote&gt;&lt;Cite&gt;&lt;Author&gt;Sayyah-Melli&lt;/Author&gt;&lt;Year&gt;2016&lt;/Year&gt;&lt;RecNum&gt;1441&lt;/RecNum&gt;&lt;DisplayText&gt;&lt;style face="superscript" font="Trebuchet MS" size="9"&gt;137&lt;/style&gt;&lt;/DisplayText&gt;&lt;record&gt;&lt;rec-number&gt;1441&lt;/rec-number&gt;&lt;foreign-keys&gt;&lt;key app="EN" db-id="exvasrfx2dtraoesasxp2szsxa2df502592x" timestamp="1571626260"&gt;1441&lt;/key&gt;&lt;key app="ENWeb" db-id=""&gt;0&lt;/key&gt;&lt;/foreign-keys&gt;&lt;ref-type name="Journal Article"&gt;17&lt;/ref-type&gt;&lt;contributors&gt;&lt;authors&gt;&lt;author&gt;Sayyah-Melli, M.,&lt;/author&gt;&lt;author&gt;Ghorbanihaghjo, A.,&lt;/author&gt;&lt;author&gt;Alizadeh, M.,&lt;/author&gt;&lt;author&gt;Kazemi-Shishvan, M.,&lt;/author&gt;&lt;author&gt;Ghojazadeh, M.,&lt;/author&gt;&lt;author&gt;Bidadi, S.,&lt;/author&gt;&lt;/authors&gt;&lt;/contributors&gt;&lt;titles&gt;&lt;title&gt;The effect of high dose folic acid throughout pregnancy on homocysteine (hcy) concentration and pre-eclampsia: a randomized clinical trial&lt;/title&gt;&lt;secondary-title&gt;Plos One&lt;/secondary-title&gt;&lt;/titles&gt;&lt;periodical&gt;&lt;full-title&gt;PLoS One&lt;/full-title&gt;&lt;/periodical&gt;&lt;volume&gt;11&lt;/volume&gt;&lt;number&gt;5&lt;/number&gt;&lt;section&gt;e0154400&lt;/section&gt;&lt;dates&gt;&lt;year&gt;2016&lt;/year&gt;&lt;/dates&gt;&lt;isbn&gt;1932-6203&lt;/isbn&gt;&lt;urls&gt;&lt;/urls&gt;&lt;electronic-resource-num&gt;10.1371/journal.pone.0154400&lt;/electronic-resource-num&gt;&lt;/record&gt;&lt;/Cite&gt;&lt;/EndNote&gt;</w:instrText>
            </w:r>
            <w:r w:rsidR="00201490">
              <w:fldChar w:fldCharType="separate"/>
            </w:r>
            <w:r w:rsidR="002747EA" w:rsidRPr="002747EA">
              <w:rPr>
                <w:noProof/>
                <w:vertAlign w:val="superscript"/>
              </w:rPr>
              <w:t>137</w:t>
            </w:r>
            <w:r w:rsidR="00201490">
              <w:fldChar w:fldCharType="end"/>
            </w:r>
          </w:p>
          <w:p w14:paraId="1652B91B" w14:textId="77777777" w:rsidR="00151D3C" w:rsidRDefault="00151D3C" w:rsidP="003F046F">
            <w:r>
              <w:t>Iran</w:t>
            </w:r>
          </w:p>
        </w:tc>
        <w:tc>
          <w:tcPr>
            <w:tcW w:w="1390" w:type="dxa"/>
          </w:tcPr>
          <w:p w14:paraId="7E940092" w14:textId="77777777" w:rsidR="00151D3C" w:rsidRDefault="00151D3C" w:rsidP="003F046F">
            <w:r>
              <w:t>Low dose 200</w:t>
            </w:r>
          </w:p>
          <w:p w14:paraId="0EE6D0FC" w14:textId="77777777" w:rsidR="00151D3C" w:rsidRDefault="00151D3C" w:rsidP="003F046F">
            <w:r>
              <w:t>High dose 210</w:t>
            </w:r>
          </w:p>
        </w:tc>
        <w:tc>
          <w:tcPr>
            <w:tcW w:w="4819" w:type="dxa"/>
          </w:tcPr>
          <w:p w14:paraId="47EC1569" w14:textId="58F128E9" w:rsidR="00151D3C" w:rsidRDefault="00151D3C" w:rsidP="00601F55">
            <w:r w:rsidRPr="008457B5">
              <w:rPr>
                <w:b/>
              </w:rPr>
              <w:t>Aim</w:t>
            </w:r>
            <w:r>
              <w:t>: To assess</w:t>
            </w:r>
            <w:r w:rsidRPr="008457B5">
              <w:t xml:space="preserve"> the effect of low</w:t>
            </w:r>
            <w:r>
              <w:t xml:space="preserve"> </w:t>
            </w:r>
            <w:r w:rsidRPr="008457B5">
              <w:t xml:space="preserve">doses and high doses of </w:t>
            </w:r>
            <w:r w:rsidR="00AB09BD">
              <w:t>folic acid on homocysteine</w:t>
            </w:r>
            <w:r w:rsidRPr="008457B5">
              <w:t xml:space="preserve"> levels, blood pressure, urea, creatinine</w:t>
            </w:r>
            <w:r>
              <w:t xml:space="preserve"> </w:t>
            </w:r>
            <w:r w:rsidRPr="008457B5">
              <w:t xml:space="preserve">and neonatal outcome. </w:t>
            </w:r>
          </w:p>
          <w:p w14:paraId="46FE2A05" w14:textId="77777777" w:rsidR="00151D3C" w:rsidRDefault="00151D3C" w:rsidP="00601F55">
            <w:r w:rsidRPr="008457B5">
              <w:rPr>
                <w:b/>
              </w:rPr>
              <w:t>Population</w:t>
            </w:r>
            <w:r>
              <w:t>: Nulliparous pregnant women.</w:t>
            </w:r>
          </w:p>
          <w:p w14:paraId="1F9EE998" w14:textId="3AE26491" w:rsidR="00151D3C" w:rsidRPr="00601F55" w:rsidRDefault="00151D3C" w:rsidP="00AB09BD">
            <w:pPr>
              <w:rPr>
                <w:b/>
              </w:rPr>
            </w:pPr>
            <w:r w:rsidRPr="008457B5">
              <w:rPr>
                <w:b/>
              </w:rPr>
              <w:t>Intervention</w:t>
            </w:r>
            <w:r>
              <w:t xml:space="preserve">: </w:t>
            </w:r>
            <w:r w:rsidRPr="008457B5">
              <w:t xml:space="preserve">Group received 0.5 mg of folic acid </w:t>
            </w:r>
            <w:r>
              <w:t xml:space="preserve">daily </w:t>
            </w:r>
            <w:r w:rsidRPr="008457B5">
              <w:t>and group 2 received 5 mg of folic acid per daily.</w:t>
            </w:r>
            <w:r>
              <w:t xml:space="preserve"> </w:t>
            </w:r>
          </w:p>
        </w:tc>
        <w:tc>
          <w:tcPr>
            <w:tcW w:w="4535" w:type="dxa"/>
          </w:tcPr>
          <w:p w14:paraId="2E7435A6" w14:textId="77777777" w:rsidR="00151D3C" w:rsidRDefault="00151D3C" w:rsidP="008457B5">
            <w:r>
              <w:t>Low dose vs high dose:</w:t>
            </w:r>
          </w:p>
          <w:p w14:paraId="3B3AFB72" w14:textId="09409F84" w:rsidR="00151D3C" w:rsidRDefault="00151D3C" w:rsidP="008457B5">
            <w:pPr>
              <w:pStyle w:val="bullet"/>
            </w:pPr>
            <w:r w:rsidRPr="008457B5">
              <w:t>Homocysteine concentrations</w:t>
            </w:r>
            <w:r>
              <w:t>: 13.17±3.89 μmol/l</w:t>
            </w:r>
            <w:r w:rsidRPr="008457B5">
              <w:t xml:space="preserve"> </w:t>
            </w:r>
            <w:r>
              <w:t>vs 10.</w:t>
            </w:r>
            <w:r w:rsidR="00AB09BD">
              <w:t xml:space="preserve">31±3.54, μmol/l; </w:t>
            </w:r>
            <w:r>
              <w:t>p&lt;0.001</w:t>
            </w:r>
          </w:p>
          <w:p w14:paraId="60CD0B98" w14:textId="77777777" w:rsidR="00151D3C" w:rsidRDefault="00151D3C" w:rsidP="008457B5">
            <w:pPr>
              <w:pStyle w:val="bullet"/>
            </w:pPr>
            <w:r>
              <w:t>Systolic blood pressure: p=0.84</w:t>
            </w:r>
          </w:p>
          <w:p w14:paraId="3542B57D" w14:textId="77777777" w:rsidR="00151D3C" w:rsidRDefault="00151D3C" w:rsidP="008457B5">
            <w:pPr>
              <w:pStyle w:val="bullet"/>
            </w:pPr>
            <w:r>
              <w:t>Diastolic blood pressure: p=0.15</w:t>
            </w:r>
          </w:p>
          <w:p w14:paraId="5B394C22" w14:textId="77777777" w:rsidR="00151D3C" w:rsidRDefault="00151D3C" w:rsidP="008457B5">
            <w:pPr>
              <w:pStyle w:val="bullet"/>
            </w:pPr>
            <w:r>
              <w:t>Birthweight: 3,366.12±421.39 vs 3,456.39±410.30; p=0.031</w:t>
            </w:r>
          </w:p>
          <w:p w14:paraId="402A9862" w14:textId="77777777" w:rsidR="00151D3C" w:rsidRPr="00F70D38" w:rsidRDefault="00151D3C" w:rsidP="00F70D38">
            <w:pPr>
              <w:pStyle w:val="bullet"/>
            </w:pPr>
            <w:r>
              <w:t>Early abortion (not defined): 10/200 (5%) vs 1/210 (0.5%); p=0.005</w:t>
            </w:r>
          </w:p>
        </w:tc>
        <w:tc>
          <w:tcPr>
            <w:tcW w:w="1844" w:type="dxa"/>
          </w:tcPr>
          <w:p w14:paraId="3D24ADE3" w14:textId="77777777" w:rsidR="00151D3C" w:rsidRPr="003F046F" w:rsidRDefault="00151D3C" w:rsidP="003F046F"/>
        </w:tc>
      </w:tr>
      <w:tr w:rsidR="00151D3C" w:rsidRPr="003F046F" w14:paraId="149D8DA2" w14:textId="77777777" w:rsidTr="003F046F">
        <w:trPr>
          <w:cantSplit/>
          <w:trHeight w:val="390"/>
        </w:trPr>
        <w:tc>
          <w:tcPr>
            <w:tcW w:w="1304" w:type="dxa"/>
          </w:tcPr>
          <w:p w14:paraId="1505E623" w14:textId="1FA61348" w:rsidR="00151D3C" w:rsidRDefault="00151D3C" w:rsidP="003F046F">
            <w:r>
              <w:t>Wen at al 2018</w:t>
            </w:r>
            <w:r w:rsidR="00201490">
              <w:fldChar w:fldCharType="begin"/>
            </w:r>
            <w:r w:rsidR="002747EA">
              <w:instrText xml:space="preserve"> ADDIN EN.CITE &lt;EndNote&gt;&lt;Cite&gt;&lt;Author&gt;Wen&lt;/Author&gt;&lt;Year&gt;2018&lt;/Year&gt;&lt;RecNum&gt;1444&lt;/RecNum&gt;&lt;DisplayText&gt;&lt;style face="superscript" font="Trebuchet MS" size="9"&gt;138&lt;/style&gt;&lt;/DisplayText&gt;&lt;record&gt;&lt;rec-number&gt;1444&lt;/rec-number&gt;&lt;foreign-keys&gt;&lt;key app="EN" db-id="exvasrfx2dtraoesasxp2szsxa2df502592x" timestamp="1571626280"&gt;1444&lt;/key&gt;&lt;key app="ENWeb" db-id=""&gt;0&lt;/key&gt;&lt;/foreign-keys&gt;&lt;ref-type name="Journal Article"&gt;17&lt;/ref-type&gt;&lt;contributors&gt;&lt;authors&gt;&lt;author&gt;Wen, Shi Wu&lt;/author&gt;&lt;author&gt;White, Ruth Rennicks&lt;/author&gt;&lt;author&gt;Rybak, Natalie&lt;/author&gt;&lt;author&gt;Gaudet, Laura M.&lt;/author&gt;&lt;author&gt;Robson, Stephen&lt;/author&gt;&lt;author&gt;Hague, William&lt;/author&gt;&lt;author&gt;Simms-Stewart, Donnette&lt;/author&gt;&lt;author&gt;Carroli, Guillermo&lt;/author&gt;&lt;author&gt;Smith, Graeme&lt;/author&gt;&lt;author&gt;Fraser, William D.&lt;/author&gt;&lt;author&gt;Wells, George&lt;/author&gt;&lt;author&gt;Davidge, Sandra T.&lt;/author&gt;&lt;author&gt;Kingdom, John&lt;/author&gt;&lt;author&gt;Coyle, Doug&lt;/author&gt;&lt;author&gt;Fergusson, Dean&lt;/author&gt;&lt;author&gt;Corsi, Daniel J.&lt;/author&gt;&lt;author&gt;Champagne, Josee&lt;/author&gt;&lt;author&gt;Sabri, Elham&lt;/author&gt;&lt;author&gt;Ramsay, Tim&lt;/author&gt;&lt;author&gt;Mol, Ben Willem J.&lt;/author&gt;&lt;author&gt;Oudijk, Martijn A.&lt;/author&gt;&lt;author&gt;Walker, Mark C.&lt;/author&gt;&lt;/authors&gt;&lt;/contributors&gt;&lt;titles&gt;&lt;title&gt;Effect of high dose folic acid supplementation in pregnancy on pre-eclampsia (FACT): double blind, phase III, randomised controlled, international, multicentre trial&lt;/title&gt;&lt;secondary-title&gt;Bmj&lt;/secondary-title&gt;&lt;/titles&gt;&lt;periodical&gt;&lt;full-title&gt;BMJ&lt;/full-title&gt;&lt;/periodical&gt;&lt;section&gt;k3478&lt;/section&gt;&lt;dates&gt;&lt;year&gt;2018&lt;/year&gt;&lt;/dates&gt;&lt;isbn&gt;0959-8138&amp;#xD;1756-1833&lt;/isbn&gt;&lt;urls&gt;&lt;/urls&gt;&lt;electronic-resource-num&gt;10.1136/bmj.k3478&lt;/electronic-resource-num&gt;&lt;/record&gt;&lt;/Cite&gt;&lt;/EndNote&gt;</w:instrText>
            </w:r>
            <w:r w:rsidR="00201490">
              <w:fldChar w:fldCharType="separate"/>
            </w:r>
            <w:r w:rsidR="002747EA" w:rsidRPr="002747EA">
              <w:rPr>
                <w:noProof/>
                <w:vertAlign w:val="superscript"/>
              </w:rPr>
              <w:t>138</w:t>
            </w:r>
            <w:r w:rsidR="00201490">
              <w:fldChar w:fldCharType="end"/>
            </w:r>
          </w:p>
          <w:p w14:paraId="1E5A85E3" w14:textId="3EADF3B7" w:rsidR="00151D3C" w:rsidRDefault="00151D3C" w:rsidP="003F046F">
            <w:r>
              <w:t xml:space="preserve">Argentina, Australia, Canada, Jamaica, </w:t>
            </w:r>
            <w:r w:rsidR="002979C1">
              <w:t>U</w:t>
            </w:r>
            <w:r>
              <w:t>nited Kingdom</w:t>
            </w:r>
          </w:p>
        </w:tc>
        <w:tc>
          <w:tcPr>
            <w:tcW w:w="1390" w:type="dxa"/>
          </w:tcPr>
          <w:p w14:paraId="11CF1FA6" w14:textId="77777777" w:rsidR="00151D3C" w:rsidRDefault="00151D3C" w:rsidP="003F046F">
            <w:r>
              <w:t>Intervention 1,114</w:t>
            </w:r>
          </w:p>
          <w:p w14:paraId="51FDD009" w14:textId="77777777" w:rsidR="00151D3C" w:rsidRDefault="00151D3C" w:rsidP="003F046F">
            <w:r>
              <w:t>Control 1,157</w:t>
            </w:r>
          </w:p>
        </w:tc>
        <w:tc>
          <w:tcPr>
            <w:tcW w:w="4819" w:type="dxa"/>
          </w:tcPr>
          <w:p w14:paraId="1122D3F8" w14:textId="77777777" w:rsidR="00151D3C" w:rsidRDefault="00151D3C" w:rsidP="00F50477">
            <w:r>
              <w:rPr>
                <w:b/>
              </w:rPr>
              <w:t xml:space="preserve">Aim: </w:t>
            </w:r>
            <w:r w:rsidRPr="00535E97">
              <w:t>To determine the efficacy of high dose folic acid supplementation for prevention of pre-eclampsia in women with at least one risk factor</w:t>
            </w:r>
            <w:r>
              <w:t>.</w:t>
            </w:r>
          </w:p>
          <w:p w14:paraId="002A9DC0" w14:textId="77777777" w:rsidR="00151D3C" w:rsidRDefault="00151D3C" w:rsidP="00F50477">
            <w:r w:rsidRPr="00F50477">
              <w:rPr>
                <w:b/>
              </w:rPr>
              <w:t>Population</w:t>
            </w:r>
            <w:r>
              <w:t xml:space="preserve">: Pregnant women with </w:t>
            </w:r>
            <w:r w:rsidRPr="00535E97">
              <w:t xml:space="preserve">pre-existing hypertension, prepregnancy diabetes (type 1 or 2), twin pregnancy, pre-eclampsia in a previous pregnancy, or body mass index </w:t>
            </w:r>
            <w:r>
              <w:t>≥</w:t>
            </w:r>
            <w:r w:rsidRPr="00535E97">
              <w:t xml:space="preserve">35. </w:t>
            </w:r>
          </w:p>
          <w:p w14:paraId="7DF27B41" w14:textId="77777777" w:rsidR="00151D3C" w:rsidRPr="008457B5" w:rsidRDefault="00151D3C" w:rsidP="00F50477">
            <w:pPr>
              <w:rPr>
                <w:b/>
              </w:rPr>
            </w:pPr>
            <w:r w:rsidRPr="00F50477">
              <w:rPr>
                <w:b/>
              </w:rPr>
              <w:t>Intervention</w:t>
            </w:r>
            <w:r w:rsidRPr="00535E97">
              <w:t xml:space="preserve">: Eligible women were randomised to receive either daily high dose folic acid (four 1.0 mg oral tablets) or placebo from eight weeks of gestation to the end of week 16 of gestation until delivery. </w:t>
            </w:r>
          </w:p>
        </w:tc>
        <w:tc>
          <w:tcPr>
            <w:tcW w:w="4535" w:type="dxa"/>
          </w:tcPr>
          <w:p w14:paraId="5A6F68C5" w14:textId="77777777" w:rsidR="00151D3C" w:rsidRDefault="00151D3C" w:rsidP="00535E97">
            <w:r>
              <w:t>Intervention vs control:</w:t>
            </w:r>
          </w:p>
          <w:p w14:paraId="7F13350A" w14:textId="77777777" w:rsidR="00151D3C" w:rsidRPr="00535E97" w:rsidRDefault="00151D3C" w:rsidP="00F50477">
            <w:pPr>
              <w:pStyle w:val="bullet"/>
            </w:pPr>
            <w:r w:rsidRPr="00535E97">
              <w:t>Pre-eclampsia</w:t>
            </w:r>
            <w:r>
              <w:t>:</w:t>
            </w:r>
            <w:r w:rsidRPr="00535E97">
              <w:t xml:space="preserve"> 169/1144 (14.8%) </w:t>
            </w:r>
            <w:r>
              <w:t>vs</w:t>
            </w:r>
            <w:r w:rsidRPr="00535E97">
              <w:t xml:space="preserve"> 156/</w:t>
            </w:r>
            <w:r>
              <w:t xml:space="preserve">1157 (13.5%); RR </w:t>
            </w:r>
            <w:r w:rsidRPr="00535E97">
              <w:t>1.10, 95%</w:t>
            </w:r>
            <w:r>
              <w:t>CI 0.90 to 1.34; P=0.37</w:t>
            </w:r>
            <w:r w:rsidRPr="00535E97">
              <w:t xml:space="preserve">. </w:t>
            </w:r>
          </w:p>
        </w:tc>
        <w:tc>
          <w:tcPr>
            <w:tcW w:w="1844" w:type="dxa"/>
          </w:tcPr>
          <w:p w14:paraId="1EE6BAEB" w14:textId="77777777" w:rsidR="00151D3C" w:rsidRPr="003F046F" w:rsidRDefault="00151D3C" w:rsidP="003F046F"/>
        </w:tc>
      </w:tr>
      <w:tr w:rsidR="00151D3C" w:rsidRPr="003F046F" w14:paraId="15A3D91A" w14:textId="77777777" w:rsidTr="003F046F">
        <w:trPr>
          <w:cantSplit/>
          <w:trHeight w:val="390"/>
        </w:trPr>
        <w:tc>
          <w:tcPr>
            <w:tcW w:w="1304" w:type="dxa"/>
          </w:tcPr>
          <w:p w14:paraId="7B4F4588" w14:textId="1E26A46A" w:rsidR="00151D3C" w:rsidRDefault="00151D3C" w:rsidP="003F046F">
            <w:r>
              <w:t>Yusuf et al 2019</w:t>
            </w:r>
            <w:r w:rsidR="00201490">
              <w:fldChar w:fldCharType="begin"/>
            </w:r>
            <w:r w:rsidR="002747EA">
              <w:instrText xml:space="preserve"> ADDIN EN.CITE &lt;EndNote&gt;&lt;Cite&gt;&lt;Author&gt;Yusuf&lt;/Author&gt;&lt;Year&gt;2019&lt;/Year&gt;&lt;RecNum&gt;1612&lt;/RecNum&gt;&lt;DisplayText&gt;&lt;style face="superscript" font="Trebuchet MS" size="9"&gt;139&lt;/style&gt;&lt;/DisplayText&gt;&lt;record&gt;&lt;rec-number&gt;1612&lt;/rec-number&gt;&lt;foreign-keys&gt;&lt;key app="EN" db-id="exvasrfx2dtraoesasxp2szsxa2df502592x" timestamp="1576644300"&gt;1612&lt;/key&gt;&lt;key app="ENWeb" db-id=""&gt;0&lt;/key&gt;&lt;/foreign-keys&gt;&lt;ref-type name="Journal Article"&gt;17&lt;/ref-type&gt;&lt;contributors&gt;&lt;authors&gt;&lt;author&gt;Yusuf, K.K.,&lt;/author&gt;&lt;author&gt;Salihu, H.M.,&lt;/author&gt;&lt;author&gt;Wilson, R.,&lt;/author&gt;&lt;author&gt;Mbah, A.,&lt;/author&gt;&lt;author&gt;Sappenfield, W.,&lt;/author&gt;&lt;author&gt;King, L.M.,&lt;/author&gt;&lt;author&gt;Bruder, K.,&lt;/author&gt;&lt;/authors&gt;&lt;/contributors&gt;&lt;auth-address&gt;Karolinska Institutet, Stockholm, Sweden. sven.cnattingius@mep.ki.se&lt;/auth-address&gt;&lt;titles&gt;&lt;title&gt;Comparing folic acid dosage strengths to prevent reduction in fetal size among pregnant women who smoked cigarettes: a randomized clinical trial&lt;/title&gt;&lt;secondary-title&gt;JAMA Pediatrics&lt;/secondary-title&gt;&lt;/titles&gt;&lt;periodical&gt;&lt;full-title&gt;JAMA Pediatrics&lt;/full-title&gt;&lt;/periodical&gt;&lt;pages&gt;493-94&lt;/pages&gt;&lt;volume&gt;173&lt;/volume&gt;&lt;number&gt;5&lt;/number&gt;&lt;edition&gt;2004/06/19&lt;/edition&gt;&lt;keywords&gt;&lt;keyword&gt;Adult&lt;/keyword&gt;&lt;keyword&gt;Epidemiologic Studies&lt;/keyword&gt;&lt;keyword&gt;Female&lt;/keyword&gt;&lt;keyword&gt;Humans&lt;/keyword&gt;&lt;keyword&gt;Infant, Newborn&lt;/keyword&gt;&lt;keyword&gt;*Pregnancy&lt;/keyword&gt;&lt;keyword&gt;Pregnancy Complications/*etiology&lt;/keyword&gt;&lt;keyword&gt;Pregnancy Outcome&lt;/keyword&gt;&lt;keyword&gt;Prevalence&lt;/keyword&gt;&lt;keyword&gt;Risk Factors&lt;/keyword&gt;&lt;keyword&gt;Smoking/*epidemiology&lt;/keyword&gt;&lt;keyword&gt;Smoking Cessation&lt;/keyword&gt;&lt;/keywords&gt;&lt;dates&gt;&lt;year&gt;2019&lt;/year&gt;&lt;pub-dates&gt;&lt;date&gt;Apr&lt;/date&gt;&lt;/pub-dates&gt;&lt;/dates&gt;&lt;isbn&gt;1462-2203 (Print)&amp;#xD;1462-2203 (Linking)&lt;/isbn&gt;&lt;accession-num&gt;15203816&lt;/accession-num&gt;&lt;urls&gt;&lt;related-urls&gt;&lt;url&gt;https://www.ncbi.nlm.nih.gov/pubmed/15203816&lt;/url&gt;&lt;/related-urls&gt;&lt;/urls&gt;&lt;electronic-resource-num&gt;10.1080/14622200410001669187&lt;/electronic-resource-num&gt;&lt;/record&gt;&lt;/Cite&gt;&lt;/EndNote&gt;</w:instrText>
            </w:r>
            <w:r w:rsidR="00201490">
              <w:fldChar w:fldCharType="separate"/>
            </w:r>
            <w:r w:rsidR="002747EA" w:rsidRPr="002747EA">
              <w:rPr>
                <w:noProof/>
                <w:vertAlign w:val="superscript"/>
              </w:rPr>
              <w:t>139</w:t>
            </w:r>
            <w:r w:rsidR="00201490">
              <w:fldChar w:fldCharType="end"/>
            </w:r>
          </w:p>
          <w:p w14:paraId="2B2B6FC3" w14:textId="77777777" w:rsidR="00151D3C" w:rsidRDefault="00151D3C" w:rsidP="003F046F">
            <w:r>
              <w:t>United States</w:t>
            </w:r>
          </w:p>
        </w:tc>
        <w:tc>
          <w:tcPr>
            <w:tcW w:w="1390" w:type="dxa"/>
          </w:tcPr>
          <w:p w14:paraId="3C6B6155" w14:textId="77777777" w:rsidR="00151D3C" w:rsidRDefault="00151D3C" w:rsidP="003F046F">
            <w:r>
              <w:t>Low dose 171</w:t>
            </w:r>
          </w:p>
          <w:p w14:paraId="7E81DD61" w14:textId="77777777" w:rsidR="00151D3C" w:rsidRDefault="00151D3C" w:rsidP="003F046F">
            <w:r>
              <w:t>High dose 174</w:t>
            </w:r>
          </w:p>
        </w:tc>
        <w:tc>
          <w:tcPr>
            <w:tcW w:w="4819" w:type="dxa"/>
          </w:tcPr>
          <w:p w14:paraId="5716DAD5" w14:textId="77777777" w:rsidR="00151D3C" w:rsidRDefault="00151D3C" w:rsidP="00F90645">
            <w:r w:rsidRPr="00F90645">
              <w:rPr>
                <w:b/>
              </w:rPr>
              <w:t>Aim</w:t>
            </w:r>
            <w:r>
              <w:t xml:space="preserve">: To determine the efficacy of higher-dose folic acid in preventing a reduction in fetal body size among infants of women who smoked tobacco cigarettes during pregnancy. </w:t>
            </w:r>
          </w:p>
          <w:p w14:paraId="22D5FC51" w14:textId="77777777" w:rsidR="00151D3C" w:rsidRDefault="00151D3C" w:rsidP="00F90645">
            <w:r w:rsidRPr="00F90645">
              <w:rPr>
                <w:b/>
              </w:rPr>
              <w:t>Population</w:t>
            </w:r>
            <w:r>
              <w:t>: Pregnant women with status as currently active smokers per self report and cotinine biomarker; an age between 18 and 44 years; gestation &lt;21 weeks at study entry.</w:t>
            </w:r>
          </w:p>
          <w:p w14:paraId="063D683A" w14:textId="45D7E89B" w:rsidR="00151D3C" w:rsidRDefault="00151D3C" w:rsidP="00F90645">
            <w:pPr>
              <w:rPr>
                <w:b/>
              </w:rPr>
            </w:pPr>
            <w:r w:rsidRPr="00F90645">
              <w:rPr>
                <w:b/>
              </w:rPr>
              <w:t>Intervention</w:t>
            </w:r>
            <w:r>
              <w:t>: Eligible participants were randomly assigned in a 1:1 ratio to receive either 4mg of folic acid per day (the higher-dose group) or</w:t>
            </w:r>
            <w:r w:rsidR="008C3139">
              <w:t xml:space="preserve"> </w:t>
            </w:r>
            <w:r>
              <w:t xml:space="preserve">0.8mg of folic acid per day (the standard-dose group). </w:t>
            </w:r>
          </w:p>
        </w:tc>
        <w:tc>
          <w:tcPr>
            <w:tcW w:w="4535" w:type="dxa"/>
          </w:tcPr>
          <w:p w14:paraId="7CD42067" w14:textId="77777777" w:rsidR="00151D3C" w:rsidRDefault="00151D3C" w:rsidP="00F90645">
            <w:r>
              <w:t>High dose vs low dose:</w:t>
            </w:r>
          </w:p>
          <w:p w14:paraId="70EC1D7B" w14:textId="77777777" w:rsidR="00151D3C" w:rsidRDefault="00151D3C" w:rsidP="00561F77">
            <w:pPr>
              <w:pStyle w:val="bullet"/>
            </w:pPr>
            <w:r>
              <w:t xml:space="preserve">Birth weight: MD 140.39; 95% CI 1.63 to 279.15 g </w:t>
            </w:r>
          </w:p>
          <w:p w14:paraId="2D33E082" w14:textId="77777777" w:rsidR="00151D3C" w:rsidRDefault="00151D3C" w:rsidP="00561F77">
            <w:pPr>
              <w:pStyle w:val="bullet"/>
            </w:pPr>
            <w:r>
              <w:t>Small for gestational age: aRR 0.69; 95%CI 0.46 to 1.03</w:t>
            </w:r>
          </w:p>
          <w:p w14:paraId="3A38B990" w14:textId="77777777" w:rsidR="00151D3C" w:rsidRDefault="00151D3C" w:rsidP="00561F77">
            <w:pPr>
              <w:pStyle w:val="bullet"/>
            </w:pPr>
            <w:r>
              <w:t>Fetal growth restriction: aRR 0.65; 95%CI 0.46 to 0.93</w:t>
            </w:r>
          </w:p>
          <w:p w14:paraId="2D339717" w14:textId="77777777" w:rsidR="00151D3C" w:rsidRDefault="00151D3C" w:rsidP="00535E97">
            <w:r>
              <w:t>No elevated risk of adverse effects associated with higher dose folic acid were identified</w:t>
            </w:r>
          </w:p>
        </w:tc>
        <w:tc>
          <w:tcPr>
            <w:tcW w:w="1844" w:type="dxa"/>
          </w:tcPr>
          <w:p w14:paraId="2F3815AA" w14:textId="77777777" w:rsidR="00151D3C" w:rsidRPr="003F046F" w:rsidRDefault="00151D3C" w:rsidP="003F046F"/>
        </w:tc>
      </w:tr>
    </w:tbl>
    <w:p w14:paraId="2DBAA588" w14:textId="3969E98A" w:rsidR="00C510DB" w:rsidRDefault="009C163D" w:rsidP="005719CE">
      <w:pPr>
        <w:pStyle w:val="TableName"/>
        <w:ind w:left="1134" w:hanging="1134"/>
      </w:pPr>
      <w:bookmarkStart w:id="79" w:name="_Toc40956614"/>
      <w:r>
        <w:t xml:space="preserve">Q3 </w:t>
      </w:r>
      <w:r w:rsidR="00C510DB">
        <w:t>Harms and benefits of vitamin B</w:t>
      </w:r>
      <w:r w:rsidR="00C510DB">
        <w:rPr>
          <w:vertAlign w:val="subscript"/>
        </w:rPr>
        <w:t>6</w:t>
      </w:r>
      <w:r w:rsidR="00C510DB">
        <w:t xml:space="preserve"> supplementation in pregnancy — systematic review</w:t>
      </w:r>
      <w:bookmarkEnd w:id="7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6: Q3 Harms and benefits of vitamin B6 supplementation in pregnancy — systematic review"/>
      </w:tblPr>
      <w:tblGrid>
        <w:gridCol w:w="1275"/>
        <w:gridCol w:w="1418"/>
        <w:gridCol w:w="4819"/>
        <w:gridCol w:w="4536"/>
        <w:gridCol w:w="1844"/>
      </w:tblGrid>
      <w:tr w:rsidR="00C510DB" w:rsidRPr="00F350A6" w14:paraId="3EF66B65" w14:textId="77777777" w:rsidTr="00A71E25">
        <w:trPr>
          <w:cantSplit/>
          <w:trHeight w:val="390"/>
          <w:tblHeader/>
        </w:trPr>
        <w:tc>
          <w:tcPr>
            <w:tcW w:w="1275" w:type="dxa"/>
          </w:tcPr>
          <w:p w14:paraId="6C6D1E88" w14:textId="77777777" w:rsidR="00C510DB" w:rsidRPr="00F350A6" w:rsidRDefault="00C510DB" w:rsidP="00EF49B7">
            <w:pPr>
              <w:keepNext/>
              <w:rPr>
                <w:b/>
              </w:rPr>
            </w:pPr>
            <w:r>
              <w:rPr>
                <w:b/>
              </w:rPr>
              <w:t>Study ref</w:t>
            </w:r>
          </w:p>
        </w:tc>
        <w:tc>
          <w:tcPr>
            <w:tcW w:w="1418" w:type="dxa"/>
          </w:tcPr>
          <w:p w14:paraId="3139363A" w14:textId="77777777" w:rsidR="00C510DB" w:rsidRPr="00F350A6" w:rsidRDefault="00C510DB" w:rsidP="00EF49B7">
            <w:pPr>
              <w:keepNext/>
              <w:rPr>
                <w:b/>
              </w:rPr>
            </w:pPr>
            <w:r>
              <w:rPr>
                <w:b/>
              </w:rPr>
              <w:t>N</w:t>
            </w:r>
          </w:p>
        </w:tc>
        <w:tc>
          <w:tcPr>
            <w:tcW w:w="4819" w:type="dxa"/>
          </w:tcPr>
          <w:p w14:paraId="7AE21B6B" w14:textId="77777777" w:rsidR="00C510DB" w:rsidRPr="00F350A6" w:rsidRDefault="00C510DB" w:rsidP="00EF49B7">
            <w:pPr>
              <w:keepNext/>
              <w:rPr>
                <w:b/>
              </w:rPr>
            </w:pPr>
            <w:r>
              <w:rPr>
                <w:b/>
              </w:rPr>
              <w:t>Aim/methods</w:t>
            </w:r>
          </w:p>
        </w:tc>
        <w:tc>
          <w:tcPr>
            <w:tcW w:w="4536" w:type="dxa"/>
          </w:tcPr>
          <w:p w14:paraId="4F42DB98" w14:textId="77777777" w:rsidR="00C510DB" w:rsidRPr="00F350A6" w:rsidRDefault="00C510DB" w:rsidP="00EF49B7">
            <w:pPr>
              <w:keepNext/>
              <w:rPr>
                <w:b/>
              </w:rPr>
            </w:pPr>
            <w:r>
              <w:rPr>
                <w:b/>
              </w:rPr>
              <w:t>Results</w:t>
            </w:r>
          </w:p>
        </w:tc>
        <w:tc>
          <w:tcPr>
            <w:tcW w:w="1844" w:type="dxa"/>
          </w:tcPr>
          <w:p w14:paraId="52EF3CA5" w14:textId="77777777" w:rsidR="00C510DB" w:rsidRPr="00F350A6" w:rsidRDefault="00C510DB" w:rsidP="00EF49B7">
            <w:pPr>
              <w:keepNext/>
              <w:rPr>
                <w:b/>
              </w:rPr>
            </w:pPr>
            <w:r>
              <w:rPr>
                <w:b/>
              </w:rPr>
              <w:t>Comments</w:t>
            </w:r>
          </w:p>
        </w:tc>
      </w:tr>
      <w:tr w:rsidR="00A71E25" w:rsidRPr="00141F7B" w14:paraId="19B90766" w14:textId="77777777" w:rsidTr="00A71E25">
        <w:trPr>
          <w:cantSplit/>
          <w:trHeight w:val="390"/>
        </w:trPr>
        <w:tc>
          <w:tcPr>
            <w:tcW w:w="1275" w:type="dxa"/>
            <w:tcBorders>
              <w:bottom w:val="single" w:sz="4" w:space="0" w:color="auto"/>
            </w:tcBorders>
          </w:tcPr>
          <w:p w14:paraId="6BAEB171" w14:textId="0B827A78" w:rsidR="00C96533" w:rsidRDefault="00C96533" w:rsidP="005264F7">
            <w:r>
              <w:t>Sridharan et al 2018</w:t>
            </w:r>
            <w:r w:rsidR="00774750">
              <w:fldChar w:fldCharType="begin"/>
            </w:r>
            <w:r w:rsidR="002747EA">
              <w:instrText xml:space="preserve"> ADDIN EN.CITE &lt;EndNote&gt;&lt;Cite&gt;&lt;Author&gt;Sridharan&lt;/Author&gt;&lt;Year&gt;2018&lt;/Year&gt;&lt;RecNum&gt;1577&lt;/RecNum&gt;&lt;DisplayText&gt;&lt;style face="superscript" font="Trebuchet MS" size="9"&gt;141&lt;/style&gt;&lt;/DisplayText&gt;&lt;record&gt;&lt;rec-number&gt;1577&lt;/rec-number&gt;&lt;foreign-keys&gt;&lt;key app="EN" db-id="exvasrfx2dtraoesasxp2szsxa2df502592x" timestamp="1576536337"&gt;1577&lt;/key&gt;&lt;key app="ENWeb" db-id=""&gt;0&lt;/key&gt;&lt;/foreign-keys&gt;&lt;ref-type name="Journal Article"&gt;17&lt;/ref-type&gt;&lt;contributors&gt;&lt;authors&gt;&lt;author&gt;Sridharan, Kannan&lt;/author&gt;&lt;author&gt;Sivaramakrishnan, Gowri&lt;/author&gt;&lt;/authors&gt;&lt;/contributors&gt;&lt;titles&gt;&lt;title&gt;Interventions for treating nausea and vomiting in pregnancy: a network meta-analysis and trial sequential analysis of randomized clinical trials&lt;/title&gt;&lt;secondary-title&gt;Expert Review of Clinical Pharmacology&lt;/secondary-title&gt;&lt;/titles&gt;&lt;periodical&gt;&lt;full-title&gt;Expert Review of Clinical Pharmacology&lt;/full-title&gt;&lt;/periodical&gt;&lt;pages&gt;1143-1150&lt;/pages&gt;&lt;volume&gt;11&lt;/volume&gt;&lt;number&gt;11&lt;/number&gt;&lt;section&gt;1143&lt;/section&gt;&lt;dates&gt;&lt;year&gt;2018&lt;/year&gt;&lt;/dates&gt;&lt;isbn&gt;1751-2433&amp;#xD;1751-2441&lt;/isbn&gt;&lt;urls&gt;&lt;/urls&gt;&lt;electronic-resource-num&gt;10.1080/17512433.2018.1530108&lt;/electronic-resource-num&gt;&lt;/record&gt;&lt;/Cite&gt;&lt;/EndNote&gt;</w:instrText>
            </w:r>
            <w:r w:rsidR="00774750">
              <w:fldChar w:fldCharType="separate"/>
            </w:r>
            <w:r w:rsidR="002747EA" w:rsidRPr="002747EA">
              <w:rPr>
                <w:noProof/>
                <w:vertAlign w:val="superscript"/>
              </w:rPr>
              <w:t>141</w:t>
            </w:r>
            <w:r w:rsidR="00774750">
              <w:fldChar w:fldCharType="end"/>
            </w:r>
          </w:p>
          <w:p w14:paraId="27DA3E47" w14:textId="77777777" w:rsidR="00C96533" w:rsidRDefault="00C96533" w:rsidP="005264F7">
            <w:r>
              <w:t>SLR</w:t>
            </w:r>
          </w:p>
        </w:tc>
        <w:tc>
          <w:tcPr>
            <w:tcW w:w="1418" w:type="dxa"/>
            <w:tcBorders>
              <w:bottom w:val="single" w:sz="4" w:space="0" w:color="auto"/>
            </w:tcBorders>
          </w:tcPr>
          <w:p w14:paraId="7A93F7F1" w14:textId="0F4716CC" w:rsidR="00C96533" w:rsidRDefault="004E7AEC" w:rsidP="005264F7">
            <w:r>
              <w:t>2 studies</w:t>
            </w:r>
          </w:p>
        </w:tc>
        <w:tc>
          <w:tcPr>
            <w:tcW w:w="4819" w:type="dxa"/>
            <w:tcBorders>
              <w:bottom w:val="single" w:sz="4" w:space="0" w:color="auto"/>
            </w:tcBorders>
          </w:tcPr>
          <w:p w14:paraId="199BC3B3" w14:textId="77777777" w:rsidR="00C96533" w:rsidRPr="00665478" w:rsidRDefault="00C96533" w:rsidP="005264F7">
            <w:pPr>
              <w:rPr>
                <w:rFonts w:ascii="Helvetica" w:hAnsi="Helvetica"/>
                <w:sz w:val="14"/>
                <w:szCs w:val="14"/>
              </w:rPr>
            </w:pPr>
            <w:r>
              <w:rPr>
                <w:b/>
              </w:rPr>
              <w:t xml:space="preserve">Aim: To </w:t>
            </w:r>
            <w:r>
              <w:t>carry</w:t>
            </w:r>
            <w:r w:rsidRPr="00665478">
              <w:t xml:space="preserve"> out a network meta-analysis comparing the interventions used for treating nausea and vomi</w:t>
            </w:r>
            <w:r>
              <w:t>ting in pregnancy</w:t>
            </w:r>
            <w:r w:rsidRPr="00665478">
              <w:rPr>
                <w:rFonts w:ascii="Helvetica" w:hAnsi="Helvetica"/>
                <w:sz w:val="14"/>
                <w:szCs w:val="14"/>
              </w:rPr>
              <w:t>.</w:t>
            </w:r>
          </w:p>
          <w:p w14:paraId="07AF7A48" w14:textId="77777777" w:rsidR="00C96533" w:rsidRPr="005409D7" w:rsidRDefault="00C96533" w:rsidP="005264F7">
            <w:pPr>
              <w:rPr>
                <w:rFonts w:ascii="Helvetica" w:hAnsi="Helvetica"/>
                <w:sz w:val="14"/>
                <w:szCs w:val="14"/>
              </w:rPr>
            </w:pPr>
            <w:r>
              <w:rPr>
                <w:b/>
              </w:rPr>
              <w:t xml:space="preserve">Methods: </w:t>
            </w:r>
            <w:r w:rsidRPr="00665478">
              <w:t>We se</w:t>
            </w:r>
            <w:r w:rsidRPr="005409D7">
              <w:t xml:space="preserve">arched PubMed, Cochrane CENTRAL, and Google Scholar for </w:t>
            </w:r>
            <w:r>
              <w:t>randomis</w:t>
            </w:r>
            <w:r w:rsidRPr="005409D7">
              <w:t xml:space="preserve">ed clinical trials carried out in pregnant women with </w:t>
            </w:r>
            <w:r>
              <w:t>nausea or vomiting</w:t>
            </w:r>
            <w:r w:rsidRPr="005409D7">
              <w:t xml:space="preserve">. Those carried out in </w:t>
            </w:r>
            <w:r>
              <w:t>women</w:t>
            </w:r>
            <w:r w:rsidRPr="005409D7">
              <w:t xml:space="preserve"> with hyperemesis gravidarum were excluded. Direct estimates were derived by pooling the data from head-to-head clinical trials while indirect estimates through a common comparator. </w:t>
            </w:r>
          </w:p>
        </w:tc>
        <w:tc>
          <w:tcPr>
            <w:tcW w:w="4536" w:type="dxa"/>
            <w:tcBorders>
              <w:bottom w:val="single" w:sz="4" w:space="0" w:color="auto"/>
            </w:tcBorders>
          </w:tcPr>
          <w:p w14:paraId="6A736B60" w14:textId="77777777" w:rsidR="00A71E25" w:rsidRDefault="00A71E25" w:rsidP="005264F7">
            <w:r>
              <w:t>Vitamin B6 vs placebo:</w:t>
            </w:r>
          </w:p>
          <w:p w14:paraId="0D72250F" w14:textId="76BE3CA5" w:rsidR="00A71E25" w:rsidRDefault="00EF4659" w:rsidP="00EF4659">
            <w:pPr>
              <w:pStyle w:val="bullet"/>
            </w:pPr>
            <w:r>
              <w:t>Difference</w:t>
            </w:r>
            <w:r w:rsidR="00A71E25">
              <w:t xml:space="preserve"> in nausea score: MD -</w:t>
            </w:r>
            <w:r>
              <w:t>3.7</w:t>
            </w:r>
            <w:r w:rsidR="00A71E25">
              <w:t>; 95%CI -</w:t>
            </w:r>
            <w:r>
              <w:t>6.9</w:t>
            </w:r>
            <w:r w:rsidR="00A71E25">
              <w:t xml:space="preserve"> to -0.5</w:t>
            </w:r>
            <w:r>
              <w:t xml:space="preserve">; very low </w:t>
            </w:r>
            <w:r w:rsidR="00FB2A6C">
              <w:t>certainty</w:t>
            </w:r>
          </w:p>
        </w:tc>
        <w:tc>
          <w:tcPr>
            <w:tcW w:w="1844" w:type="dxa"/>
            <w:tcBorders>
              <w:bottom w:val="single" w:sz="4" w:space="0" w:color="auto"/>
            </w:tcBorders>
          </w:tcPr>
          <w:p w14:paraId="6F047994" w14:textId="77777777" w:rsidR="00C96533" w:rsidRDefault="00C96533" w:rsidP="005264F7"/>
        </w:tc>
      </w:tr>
      <w:tr w:rsidR="00C510DB" w:rsidRPr="00236C51" w14:paraId="68061753" w14:textId="77777777" w:rsidTr="00A71E25">
        <w:trPr>
          <w:cantSplit/>
          <w:trHeight w:val="390"/>
        </w:trPr>
        <w:tc>
          <w:tcPr>
            <w:tcW w:w="1275" w:type="dxa"/>
          </w:tcPr>
          <w:p w14:paraId="1E2E6909" w14:textId="172C573F" w:rsidR="00C510DB" w:rsidRDefault="0009796C" w:rsidP="002747EA">
            <w:pPr>
              <w:keepNext/>
            </w:pPr>
            <w:r>
              <w:t>Salam et al 2015</w:t>
            </w:r>
            <w:r w:rsidR="00201490">
              <w:fldChar w:fldCharType="begin"/>
            </w:r>
            <w:r w:rsidR="002747EA">
              <w:instrText xml:space="preserve"> ADDIN EN.CITE &lt;EndNote&gt;&lt;Cite&gt;&lt;Author&gt;Salam&lt;/Author&gt;&lt;Year&gt;2015&lt;/Year&gt;&lt;RecNum&gt;1602&lt;/RecNum&gt;&lt;DisplayText&gt;&lt;style face="superscript" font="Trebuchet MS" size="9"&gt;140&lt;/style&gt;&lt;/DisplayText&gt;&lt;record&gt;&lt;rec-number&gt;1602&lt;/rec-number&gt;&lt;foreign-keys&gt;&lt;key app="EN" db-id="exvasrfx2dtraoesasxp2szsxa2df502592x" timestamp="1576555048"&gt;1602&lt;/key&gt;&lt;key app="ENWeb" db-id=""&gt;0&lt;/key&gt;&lt;/foreign-keys&gt;&lt;ref-type name="Journal Article"&gt;17&lt;/ref-type&gt;&lt;contributors&gt;&lt;authors&gt;&lt;author&gt;Salam, R. A.&lt;/author&gt;&lt;author&gt;Zuberi, N. F.&lt;/author&gt;&lt;author&gt;Bhutta, Z. A.&lt;/author&gt;&lt;/authors&gt;&lt;/contributors&gt;&lt;auth-address&gt;Division of Women and Child Health, Aga Khan University Hospital, Stadium Road, PO Box 3500, Karachi, Sind, Pakistan, 74800.&lt;/auth-address&gt;&lt;titles&gt;&lt;title&gt;Pyridoxine (vitamin B6) supplementation during pregnancy or labour for maternal and neonatal outcomes&lt;/title&gt;&lt;secondary-title&gt;Cochrane Database Syst Rev&lt;/secondary-title&gt;&lt;/titles&gt;&lt;periodical&gt;&lt;full-title&gt;Cochrane Database Syst Rev&lt;/full-title&gt;&lt;/periodical&gt;&lt;pages&gt;CD000179&lt;/pages&gt;&lt;number&gt;6&lt;/number&gt;&lt;edition&gt;2015/06/04&lt;/edition&gt;&lt;keywords&gt;&lt;keyword&gt;Birth Weight&lt;/keyword&gt;&lt;keyword&gt;Dental Caries/prevention &amp;amp; control&lt;/keyword&gt;&lt;keyword&gt;*Dietary Supplements&lt;/keyword&gt;&lt;keyword&gt;Eclampsia/prevention &amp;amp; control&lt;/keyword&gt;&lt;keyword&gt;Female&lt;/keyword&gt;&lt;keyword&gt;Humans&lt;/keyword&gt;&lt;keyword&gt;Infant, Newborn&lt;/keyword&gt;&lt;keyword&gt;Labor, Obstetric&lt;/keyword&gt;&lt;keyword&gt;Pre-Eclampsia/prevention &amp;amp; control&lt;/keyword&gt;&lt;keyword&gt;*Pregnancy&lt;/keyword&gt;&lt;keyword&gt;Pregnancy Outcome&lt;/keyword&gt;&lt;keyword&gt;Pyridoxine/*administration &amp;amp; dosage&lt;/keyword&gt;&lt;keyword&gt;Randomized Controlled Trials as Topic&lt;/keyword&gt;&lt;keyword&gt;Vitamin B Complex/*administration &amp;amp; dosage&lt;/keyword&gt;&lt;/keywords&gt;&lt;dates&gt;&lt;year&gt;2015&lt;/year&gt;&lt;pub-dates&gt;&lt;date&gt;Jun 3&lt;/date&gt;&lt;/pub-dates&gt;&lt;/dates&gt;&lt;isbn&gt;1469-493X (Electronic)&amp;#xD;1361-6137 (Linking)&lt;/isbn&gt;&lt;accession-num&gt;26039815&lt;/accession-num&gt;&lt;urls&gt;&lt;related-urls&gt;&lt;url&gt;https://www.ncbi.nlm.nih.gov/pubmed/26039815&lt;/url&gt;&lt;/related-urls&gt;&lt;/urls&gt;&lt;electronic-resource-num&gt;10.1002/14651858.CD000179.pub3&lt;/electronic-resource-num&gt;&lt;/record&gt;&lt;/Cite&gt;&lt;/EndNote&gt;</w:instrText>
            </w:r>
            <w:r w:rsidR="00201490">
              <w:fldChar w:fldCharType="separate"/>
            </w:r>
            <w:r w:rsidR="002747EA" w:rsidRPr="002747EA">
              <w:rPr>
                <w:noProof/>
                <w:vertAlign w:val="superscript"/>
              </w:rPr>
              <w:t>140</w:t>
            </w:r>
            <w:r w:rsidR="00201490">
              <w:fldChar w:fldCharType="end"/>
            </w:r>
          </w:p>
        </w:tc>
        <w:tc>
          <w:tcPr>
            <w:tcW w:w="1418" w:type="dxa"/>
          </w:tcPr>
          <w:p w14:paraId="1B2EB932" w14:textId="77777777" w:rsidR="00C510DB" w:rsidRDefault="0009796C" w:rsidP="00EF49B7">
            <w:r>
              <w:t>4 studies</w:t>
            </w:r>
          </w:p>
          <w:p w14:paraId="75804872" w14:textId="4D19BDDB" w:rsidR="0009796C" w:rsidRDefault="0009796C" w:rsidP="00EF49B7">
            <w:r>
              <w:t>1,646 women</w:t>
            </w:r>
          </w:p>
        </w:tc>
        <w:tc>
          <w:tcPr>
            <w:tcW w:w="4819" w:type="dxa"/>
          </w:tcPr>
          <w:p w14:paraId="24948658" w14:textId="77777777" w:rsidR="00C510DB" w:rsidRDefault="00C510DB" w:rsidP="00C510DB">
            <w:r>
              <w:rPr>
                <w:b/>
              </w:rPr>
              <w:t xml:space="preserve">Aim: </w:t>
            </w:r>
            <w:r w:rsidRPr="00C510DB">
              <w:t xml:space="preserve">To evaluate the clinical effects of vitamin B6 supplementation during pregnancy and/or labour. </w:t>
            </w:r>
          </w:p>
          <w:p w14:paraId="556836DF" w14:textId="345BAAC7" w:rsidR="00C510DB" w:rsidRPr="00055BFC" w:rsidRDefault="00C510DB" w:rsidP="0009796C">
            <w:pPr>
              <w:rPr>
                <w:b/>
              </w:rPr>
            </w:pPr>
            <w:r w:rsidRPr="00C510DB">
              <w:rPr>
                <w:b/>
              </w:rPr>
              <w:t>Methods</w:t>
            </w:r>
            <w:r w:rsidRPr="00C510DB">
              <w:t xml:space="preserve">: We searched the Cochrane Pregnancy and Childbirth Group Trials Register (31 March 2015) and reference lists of retrieved studies. We included randomised controlled trials comparing vitamin B6 administration in pregnancy and/or labour with: placebos, no supplementations, or supplements not containing vitamin B6. Two review authors independently assessed trials for inclusion and risk of bias, extracted data and checked them for accuracy. For this update, we assessed methodological quality of the included trials using risk of bias and the GRADE approach. </w:t>
            </w:r>
          </w:p>
        </w:tc>
        <w:tc>
          <w:tcPr>
            <w:tcW w:w="4536" w:type="dxa"/>
          </w:tcPr>
          <w:p w14:paraId="7BE9DD43" w14:textId="77777777" w:rsidR="00483E9B" w:rsidRDefault="00C510DB" w:rsidP="0009796C">
            <w:r w:rsidRPr="00C510DB">
              <w:t xml:space="preserve">Vitamin B6 as oral capsules or lozenges </w:t>
            </w:r>
            <w:r w:rsidR="00483E9B">
              <w:t>vs placebo or no supplementation:</w:t>
            </w:r>
          </w:p>
          <w:p w14:paraId="2A02324E" w14:textId="5F3C86F3" w:rsidR="00162E95" w:rsidRDefault="00162E95" w:rsidP="00162E95">
            <w:pPr>
              <w:pStyle w:val="bullet"/>
            </w:pPr>
            <w:r>
              <w:t xml:space="preserve">dental decay in pregnant women: </w:t>
            </w:r>
            <w:r w:rsidR="00C510DB" w:rsidRPr="00C510DB">
              <w:t xml:space="preserve">capsules: </w:t>
            </w:r>
            <w:r>
              <w:t>RR</w:t>
            </w:r>
            <w:r w:rsidR="00C510DB" w:rsidRPr="00C510DB">
              <w:t xml:space="preserve"> 0.84; 95%</w:t>
            </w:r>
            <w:r>
              <w:t>CI</w:t>
            </w:r>
            <w:r w:rsidR="00C510DB" w:rsidRPr="00C510DB">
              <w:t xml:space="preserve"> 0.71 to 0.98; </w:t>
            </w:r>
            <w:r>
              <w:t>1 trial, n=</w:t>
            </w:r>
            <w:r w:rsidR="00C510DB" w:rsidRPr="00C510DB">
              <w:t xml:space="preserve">371, low </w:t>
            </w:r>
            <w:r w:rsidR="00FB2A6C">
              <w:t>certainty</w:t>
            </w:r>
            <w:r>
              <w:t>; lozenges: RR 0.68; 95%</w:t>
            </w:r>
            <w:r w:rsidR="00C510DB" w:rsidRPr="00C510DB">
              <w:t xml:space="preserve">CI 0.56 to 0.83; </w:t>
            </w:r>
            <w:r>
              <w:t>1 trial, n=</w:t>
            </w:r>
            <w:r w:rsidR="00C510DB" w:rsidRPr="00C510DB">
              <w:t xml:space="preserve">342, low </w:t>
            </w:r>
            <w:r w:rsidR="00FB2A6C">
              <w:t>certainty</w:t>
            </w:r>
            <w:r w:rsidR="00C510DB" w:rsidRPr="00C510DB">
              <w:t xml:space="preserve">. </w:t>
            </w:r>
          </w:p>
          <w:p w14:paraId="24247260" w14:textId="4D6A79D1" w:rsidR="00162E95" w:rsidRDefault="00162E95" w:rsidP="00162E95">
            <w:pPr>
              <w:pStyle w:val="bullet"/>
            </w:pPr>
            <w:r>
              <w:t xml:space="preserve">mean birthweights: </w:t>
            </w:r>
            <w:r w:rsidR="00C510DB" w:rsidRPr="00C510DB">
              <w:t>(</w:t>
            </w:r>
            <w:r>
              <w:t>MD -0.23 kg; 95%CI -0.42 to -0.04; n=</w:t>
            </w:r>
            <w:r w:rsidR="00C510DB" w:rsidRPr="00C510DB">
              <w:t xml:space="preserve">33; </w:t>
            </w:r>
            <w:r>
              <w:t>1 trial)</w:t>
            </w:r>
          </w:p>
          <w:p w14:paraId="55050B0C" w14:textId="0B3450DF" w:rsidR="00162E95" w:rsidRDefault="00162E95" w:rsidP="00162E95">
            <w:r>
              <w:t>There was no statistically significant difference in:</w:t>
            </w:r>
          </w:p>
          <w:p w14:paraId="71CFDC8A" w14:textId="6C7BA1B3" w:rsidR="00162E95" w:rsidRDefault="00162E95" w:rsidP="00162E95">
            <w:pPr>
              <w:pStyle w:val="bullet"/>
            </w:pPr>
            <w:r>
              <w:t>risk of eclampsia (capsules: n=</w:t>
            </w:r>
            <w:r w:rsidR="00C510DB" w:rsidRPr="00C510DB">
              <w:t>1</w:t>
            </w:r>
            <w:r>
              <w:t>,</w:t>
            </w:r>
            <w:r w:rsidR="00C510DB" w:rsidRPr="00C510DB">
              <w:t xml:space="preserve">242; </w:t>
            </w:r>
            <w:r>
              <w:t>3</w:t>
            </w:r>
            <w:r w:rsidR="00C510DB" w:rsidRPr="00C510DB">
              <w:t xml:space="preserve"> trials;</w:t>
            </w:r>
            <w:r>
              <w:t xml:space="preserve"> lozenges: n=944; 1 trial)</w:t>
            </w:r>
          </w:p>
          <w:p w14:paraId="06CB2195" w14:textId="17D44F7F" w:rsidR="00162E95" w:rsidRDefault="00C510DB" w:rsidP="00162E95">
            <w:pPr>
              <w:pStyle w:val="bullet"/>
            </w:pPr>
            <w:r w:rsidRPr="00C510DB">
              <w:t>pre-eclampsia (capsules n</w:t>
            </w:r>
            <w:r w:rsidR="00162E95">
              <w:t>=</w:t>
            </w:r>
            <w:r w:rsidRPr="00C510DB">
              <w:t>1</w:t>
            </w:r>
            <w:r w:rsidR="00162E95">
              <w:t>,</w:t>
            </w:r>
            <w:r w:rsidRPr="00C510DB">
              <w:t xml:space="preserve">197; </w:t>
            </w:r>
            <w:r w:rsidR="00162E95">
              <w:t>2</w:t>
            </w:r>
            <w:r w:rsidRPr="00C510DB">
              <w:t xml:space="preserve"> trials, low </w:t>
            </w:r>
            <w:r w:rsidR="00FB2A6C">
              <w:t>certainty</w:t>
            </w:r>
            <w:r w:rsidRPr="00C510DB">
              <w:t>; lozenges: n</w:t>
            </w:r>
            <w:r w:rsidR="00162E95">
              <w:t>=</w:t>
            </w:r>
            <w:r w:rsidRPr="00C510DB">
              <w:t xml:space="preserve">944; </w:t>
            </w:r>
            <w:r w:rsidR="00162E95">
              <w:t>1</w:t>
            </w:r>
            <w:r w:rsidRPr="00C510DB">
              <w:t xml:space="preserve"> </w:t>
            </w:r>
            <w:r w:rsidR="00162E95">
              <w:t>trial, low-</w:t>
            </w:r>
            <w:r w:rsidR="00FB2A6C">
              <w:t>certainty</w:t>
            </w:r>
            <w:r w:rsidR="00162E95">
              <w:t xml:space="preserve">) </w:t>
            </w:r>
          </w:p>
          <w:p w14:paraId="27DBFEBE" w14:textId="77777777" w:rsidR="00162E95" w:rsidRDefault="00C510DB" w:rsidP="00162E95">
            <w:pPr>
              <w:pStyle w:val="bullet"/>
            </w:pPr>
            <w:r w:rsidRPr="00C510DB">
              <w:t>low Apgar scores at one minute (oral pyridoxine: n</w:t>
            </w:r>
            <w:r w:rsidR="00162E95">
              <w:t>=</w:t>
            </w:r>
            <w:r w:rsidRPr="00C510DB">
              <w:t xml:space="preserve">45; one trial). </w:t>
            </w:r>
          </w:p>
          <w:p w14:paraId="1A0DF3CA" w14:textId="72C77C06" w:rsidR="00C510DB" w:rsidRDefault="00C510DB" w:rsidP="00162E95">
            <w:r w:rsidRPr="00C510DB">
              <w:t>No differences were found in Apgar scores at five minutes, or breastmilk production between controls and women receiving oral (n</w:t>
            </w:r>
            <w:r w:rsidR="00162E95">
              <w:t>=</w:t>
            </w:r>
            <w:r w:rsidRPr="00C510DB">
              <w:t xml:space="preserve">24; </w:t>
            </w:r>
            <w:r w:rsidR="00162E95">
              <w:t>1</w:t>
            </w:r>
            <w:r w:rsidRPr="00C510DB">
              <w:t xml:space="preserve"> trial) or intramuscular (n</w:t>
            </w:r>
            <w:r w:rsidR="00162E95">
              <w:t>=</w:t>
            </w:r>
            <w:r w:rsidRPr="00C510DB">
              <w:t xml:space="preserve">24; </w:t>
            </w:r>
            <w:r w:rsidR="00162E95">
              <w:t>1</w:t>
            </w:r>
            <w:r w:rsidRPr="00C510DB">
              <w:t xml:space="preserve"> trial) loading doses of pyridoxine at labour. </w:t>
            </w:r>
          </w:p>
        </w:tc>
        <w:tc>
          <w:tcPr>
            <w:tcW w:w="1844" w:type="dxa"/>
          </w:tcPr>
          <w:p w14:paraId="244E39A4" w14:textId="77777777" w:rsidR="00C510DB" w:rsidRPr="00236C51" w:rsidRDefault="00C510DB" w:rsidP="00EF49B7">
            <w:pPr>
              <w:keepNext/>
            </w:pPr>
          </w:p>
        </w:tc>
      </w:tr>
    </w:tbl>
    <w:p w14:paraId="4AC7C44C" w14:textId="2F313105" w:rsidR="00055BFC" w:rsidRDefault="009C163D" w:rsidP="00DD2114">
      <w:pPr>
        <w:pStyle w:val="TableName"/>
        <w:pageBreakBefore/>
        <w:ind w:left="1134" w:hanging="1134"/>
      </w:pPr>
      <w:bookmarkStart w:id="80" w:name="_Toc40956615"/>
      <w:r>
        <w:t xml:space="preserve">Q3 </w:t>
      </w:r>
      <w:r w:rsidR="00055BFC">
        <w:t>Harms and benefits of vitamin B</w:t>
      </w:r>
      <w:r w:rsidR="00055BFC" w:rsidRPr="000040A8">
        <w:rPr>
          <w:vertAlign w:val="subscript"/>
        </w:rPr>
        <w:t>12</w:t>
      </w:r>
      <w:r w:rsidR="00055BFC">
        <w:t xml:space="preserve"> supplementation in pregnancy — RCTs</w:t>
      </w:r>
      <w:bookmarkEnd w:id="8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7: Q3 Harms and benefits of vitamin B12 supplementation in pregnancy — RCTs"/>
      </w:tblPr>
      <w:tblGrid>
        <w:gridCol w:w="1304"/>
        <w:gridCol w:w="1390"/>
        <w:gridCol w:w="4819"/>
        <w:gridCol w:w="4535"/>
        <w:gridCol w:w="1844"/>
      </w:tblGrid>
      <w:tr w:rsidR="00055BFC" w:rsidRPr="00F350A6" w14:paraId="7A02BCDC" w14:textId="77777777" w:rsidTr="004867CC">
        <w:trPr>
          <w:cantSplit/>
          <w:trHeight w:val="390"/>
          <w:tblHeader/>
        </w:trPr>
        <w:tc>
          <w:tcPr>
            <w:tcW w:w="1304" w:type="dxa"/>
          </w:tcPr>
          <w:p w14:paraId="6CC2812E" w14:textId="77777777" w:rsidR="00055BFC" w:rsidRPr="00F350A6" w:rsidRDefault="00055BFC" w:rsidP="00543079">
            <w:pPr>
              <w:keepNext/>
              <w:rPr>
                <w:b/>
              </w:rPr>
            </w:pPr>
            <w:r>
              <w:rPr>
                <w:b/>
              </w:rPr>
              <w:t>Study ref</w:t>
            </w:r>
          </w:p>
        </w:tc>
        <w:tc>
          <w:tcPr>
            <w:tcW w:w="1390" w:type="dxa"/>
          </w:tcPr>
          <w:p w14:paraId="7CE2BF4A" w14:textId="77777777" w:rsidR="00055BFC" w:rsidRPr="00F350A6" w:rsidRDefault="00055BFC" w:rsidP="00543079">
            <w:pPr>
              <w:keepNext/>
              <w:rPr>
                <w:b/>
              </w:rPr>
            </w:pPr>
            <w:r>
              <w:rPr>
                <w:b/>
              </w:rPr>
              <w:t>N</w:t>
            </w:r>
          </w:p>
        </w:tc>
        <w:tc>
          <w:tcPr>
            <w:tcW w:w="4819" w:type="dxa"/>
          </w:tcPr>
          <w:p w14:paraId="21D16435" w14:textId="77777777" w:rsidR="00055BFC" w:rsidRPr="00F350A6" w:rsidRDefault="00055BFC" w:rsidP="00543079">
            <w:pPr>
              <w:keepNext/>
              <w:rPr>
                <w:b/>
              </w:rPr>
            </w:pPr>
            <w:r>
              <w:rPr>
                <w:b/>
              </w:rPr>
              <w:t>Aim/methods</w:t>
            </w:r>
          </w:p>
        </w:tc>
        <w:tc>
          <w:tcPr>
            <w:tcW w:w="4535" w:type="dxa"/>
          </w:tcPr>
          <w:p w14:paraId="78FE1580" w14:textId="77777777" w:rsidR="00055BFC" w:rsidRPr="00F350A6" w:rsidRDefault="00055BFC" w:rsidP="00543079">
            <w:pPr>
              <w:keepNext/>
              <w:rPr>
                <w:b/>
              </w:rPr>
            </w:pPr>
            <w:r>
              <w:rPr>
                <w:b/>
              </w:rPr>
              <w:t>Results</w:t>
            </w:r>
          </w:p>
        </w:tc>
        <w:tc>
          <w:tcPr>
            <w:tcW w:w="1844" w:type="dxa"/>
          </w:tcPr>
          <w:p w14:paraId="468BBDF2" w14:textId="77777777" w:rsidR="00055BFC" w:rsidRPr="00F350A6" w:rsidRDefault="00055BFC" w:rsidP="00543079">
            <w:pPr>
              <w:keepNext/>
              <w:rPr>
                <w:b/>
              </w:rPr>
            </w:pPr>
            <w:r>
              <w:rPr>
                <w:b/>
              </w:rPr>
              <w:t>Comments</w:t>
            </w:r>
          </w:p>
        </w:tc>
      </w:tr>
      <w:tr w:rsidR="00055BFC" w:rsidRPr="00236C51" w14:paraId="54C0543B" w14:textId="77777777" w:rsidTr="004867CC">
        <w:trPr>
          <w:cantSplit/>
          <w:trHeight w:val="390"/>
        </w:trPr>
        <w:tc>
          <w:tcPr>
            <w:tcW w:w="1304" w:type="dxa"/>
          </w:tcPr>
          <w:p w14:paraId="477E117C" w14:textId="215E3010" w:rsidR="00055BFC" w:rsidRDefault="00055BFC" w:rsidP="00543079">
            <w:pPr>
              <w:keepNext/>
            </w:pPr>
            <w:r>
              <w:t>Siddiqua et al 2016</w:t>
            </w:r>
            <w:r w:rsidR="00201490">
              <w:fldChar w:fldCharType="begin">
                <w:fldData xml:space="preserve">PEVuZE5vdGU+PENpdGU+PEF1dGhvcj5TaWRkaXF1YTwvQXV0aG9yPjxZZWFyPjIwMTY8L1llYXI+
PFJlY051bT4xNjA0PC9SZWNOdW0+PERpc3BsYXlUZXh0PjxzdHlsZSBmYWNlPSJzdXBlcnNjcmlw
dCIgZm9udD0iVHJlYnVjaGV0IE1TIiBzaXplPSI5Ij4xNDY8L3N0eWxlPjwvRGlzcGxheVRleHQ+
PHJlY29yZD48cmVjLW51bWJlcj4xNjA0PC9yZWMtbnVtYmVyPjxmb3JlaWduLWtleXM+PGtleSBh
cHA9IkVOIiBkYi1pZD0iZXh2YXNyZngyZHRyYW9lc2FzeHAyc3pzeGEyZGY1MDI1OTJ4IiB0aW1l
c3RhbXA9IjE1NzY1NTUwNTgiPjE2MDQ8L2tleT48a2V5IGFwcD0iRU5XZWIiIGRiLWlkPSIiPjA8
L2tleT48L2ZvcmVpZ24ta2V5cz48cmVmLXR5cGUgbmFtZT0iSm91cm5hbCBBcnRpY2xlIj4xNzwv
cmVmLXR5cGU+PGNvbnRyaWJ1dG9ycz48YXV0aG9ycz48YXV0aG9yPlNpZGRpcXVhLCBULiBKLjwv
YXV0aG9yPjxhdXRob3I+QWhtYWQsIFMuIE0uPC9hdXRob3I+PGF1dGhvcj5BaHNhbiwgSy4gQi48
L2F1dGhvcj48YXV0aG9yPlJhc2hpZCwgTS48L2F1dGhvcj48YXV0aG9yPlJveSwgQS48L2F1dGhv
cj48YXV0aG9yPlJhaG1hbiwgUy4gTS48L2F1dGhvcj48YXV0aG9yPlNoYWhhYi1GZXJkb3dzLCBT
LjwvYXV0aG9yPjxhdXRob3I+SGFtcGVsLCBELjwvYXV0aG9yPjxhdXRob3I+QWhtZWQsIFQuPC9h
dXRob3I+PGF1dGhvcj5BbGxlbiwgTC4gSC48L2F1dGhvcj48YXV0aG9yPlJhcWliLCBSLjwvYXV0
aG9yPjwvYXV0aG9ycz48L2NvbnRyaWJ1dG9ycz48YXV0aC1hZGRyZXNzPk51dHJpdGlvbmFsIEJp
b2NoZW1pc3RyeSBMYWJvcmF0b3J5LCBJbnRlcm5hdGlvbmFsIENlbnRyZSBmb3IgRGlhcnJoZWFs
IERpc2Vhc2UgUmVzZWFyY2gsIEJhbmdsYWRlc2ggKElDRERSLEIpLCA2OCBTaGFoZWVkIFRhanVk
ZGluIEFobWVkIFNhcmFuaSwgTW9oYWtoYWxpLCBEaGFrYSwgMTIxMiwgQmFuZ2xhZGVzaC4mI3hE
O0RlcGFydG1lbnQgb2YgTnV0cml0aW9uLCBVbml2ZXJzaXR5IG9mIENhbGlmb3JuaWEsIERhdmlz
LCBDQSwgVVNBLiYjeEQ7QVJTIFdlc3Rlcm4gSHVtYW4gTnV0cml0aW9uIFJlc2VhcmNoIENlbnRl
ciwgVVNEQSwgRGF2aXMsIENBLCBVU0EuJiN4RDtOdXRyaXRpb25hbCBCaW9jaGVtaXN0cnkgTGFi
b3JhdG9yeSwgSW50ZXJuYXRpb25hbCBDZW50cmUgZm9yIERpYXJyaGVhbCBEaXNlYXNlIFJlc2Vh
cmNoLCBCYW5nbGFkZXNoIChJQ0REUixCKSwgNjggU2hhaGVlZCBUYWp1ZGRpbiBBaG1lZCBTYXJh
bmksIE1vaGFraGFsaSwgRGhha2EsIDEyMTIsIEJhbmdsYWRlc2guIHJ1YmhhbmFAaWNkZHJiLm9y
Zy48L2F1dGgtYWRkcmVzcz48dGl0bGVzPjx0aXRsZT5WaXRhbWluIEIxMiBzdXBwbGVtZW50YXRp
b24gZHVyaW5nIHByZWduYW5jeSBhbmQgcG9zdHBhcnR1bSBpbXByb3ZlcyBCMTIgc3RhdHVzIG9m
IGJvdGggbW90aGVycyBhbmQgaW5mYW50cyBidXQgdmFjY2luZSByZXNwb25zZSBpbiBtb3RoZXJz
IG9ubHk6IGEgcmFuZG9taXplZCBjbGluaWNhbCB0cmlhbCBpbiBCYW5nbGFkZXNoPC90aXRsZT48
c2Vjb25kYXJ5LXRpdGxlPkV1ciBKIE51dHI8L3NlY29uZGFyeS10aXRsZT48L3RpdGxlcz48cGVy
aW9kaWNhbD48ZnVsbC10aXRsZT5FdXIgSiBOdXRyPC9mdWxsLXRpdGxlPjwvcGVyaW9kaWNhbD48
cGFnZXM+MjgxLTkzPC9wYWdlcz48dm9sdW1lPjU1PC92b2x1bWU+PG51bWJlcj4xPC9udW1iZXI+
PGVkaXRpb24+MjAxNS8wMi8wNTwvZWRpdGlvbj48a2V5d29yZHM+PGtleXdvcmQ+QWRvbGVzY2Vu
dDwva2V5d29yZD48a2V5d29yZD5BZHVsdDwva2V5d29yZD48a2V5d29yZD5CYW5nbGFkZXNoPC9r
ZXl3b3JkPjxrZXl3b3JkPkJpb21hcmtlcnMvYmxvb2Q8L2tleXdvcmQ+PGtleXdvcmQ+Qy1SZWFj
dGl2ZSBQcm90ZWluL21ldGFib2xpc208L2tleXdvcmQ+PGtleXdvcmQ+KkRpZXRhcnkgU3VwcGxl
bWVudHM8L2tleXdvcmQ+PGtleXdvcmQ+RG9zZS1SZXNwb25zZSBSZWxhdGlvbnNoaXAsIERydWc8
L2tleXdvcmQ+PGtleXdvcmQ+RmVtYWxlPC9rZXl3b3JkPjxrZXl3b3JkPkZlcnJpdGlucy9ibG9v
ZDwva2V5d29yZD48a2V5d29yZD5Gb2xpYyBBY2lkL2FkbWluaXN0cmF0aW9uICZhbXA7IGRvc2Fn
ZS9ibG9vZDwva2V5d29yZD48a2V5d29yZD5IZW1vZ2xvYmlucy9tZXRhYm9saXNtPC9rZXl3b3Jk
PjxrZXl3b3JkPkhvbW9jeXN0ZWluZS9ibG9vZDwva2V5d29yZD48a2V5d29yZD5IdW1hbnM8L2tl
eXdvcmQ+PGtleXdvcmQ+SW1tdW5vZ2xvYnVsaW4gQS9ibG9vZDwva2V5d29yZD48a2V5d29yZD5J
bmZhbnQ8L2tleXdvcmQ+PGtleXdvcmQ+SW5mbHVlbnphIEEgVmlydXMsIEgxTjEgU3VidHlwZTwv
a2V5d29yZD48a2V5d29yZD5JbmZsdWVuemEgVmFjY2luZXMvKmltbXVub2xvZ3k8L2tleXdvcmQ+
PGtleXdvcmQ+SW5mbHVlbnphLCBIdW1hbi9wcmV2ZW50aW9uICZhbXA7IGNvbnRyb2w8L2tleXdv
cmQ+PGtleXdvcmQ+TGFjdGF0aW9uPC9rZXl3b3JkPjxrZXl3b3JkPk1hdGVybmFsIE51dHJpdGlv
bmFsIFBoeXNpb2xvZ2ljYWwgUGhlbm9tZW5hPC9rZXl3b3JkPjxrZXl3b3JkPk1ldGh5bG1hbG9u
aWMgQWNpZC9ibG9vZDwva2V5d29yZD48a2V5d29yZD5NaWxrLCBIdW1hbjwva2V5d29yZD48a2V5
d29yZD5Pcm9zb211Y29pZC9tZXRhYm9saXNtPC9rZXl3b3JkPjxrZXl3b3JkPlBvc3RwYXJ0dW0g
UGVyaW9kLypkcnVnIGVmZmVjdHMvbWV0YWJvbGlzbTwva2V5d29yZD48a2V5d29yZD5QcmVnbmFu
Y3k8L2tleXdvcmQ+PGtleXdvcmQ+UmVjZXB0b3JzLCBUcmFuc2ZlcnJpbi9ibG9vZDwva2V5d29y
ZD48a2V5d29yZD5WaXRhbWluIEIgMTIvKmFkbWluaXN0cmF0aW9uICZhbXA7IGRvc2FnZS9ibG9v
ZDwva2V5d29yZD48a2V5d29yZD5Zb3VuZyBBZHVsdDwva2V5d29yZD48a2V5d29yZD5CcmVhc3Qg
bWlsayBCMTI8L2tleXdvcmQ+PGtleXdvcmQ+TWV0aHlsbWFsb25pYyBhY2lkPC9rZXl3b3JkPjxr
ZXl3b3JkPlZhY2NpbmUgcmVzcG9uc2U8L2tleXdvcmQ+PGtleXdvcmQ+Vml0YW1pbiBCMTIgc3Vw
cGxlbWVudGF0aW9uPC9rZXl3b3JkPjwva2V5d29yZHM+PGRhdGVzPjx5ZWFyPjIwMTY8L3llYXI+
PHB1Yi1kYXRlcz48ZGF0ZT5GZWI8L2RhdGU+PC9wdWItZGF0ZXM+PC9kYXRlcz48aXNibj4xNDM2
LTYyMTUgKEVsZWN0cm9uaWMpJiN4RDsxNDM2LTYyMDcgKExpbmtpbmcpPC9pc2JuPjxhY2Nlc3Np
b24tbnVtPjI1NjQ4NzM4PC9hY2Nlc3Npb24tbnVtPjx1cmxzPjxyZWxhdGVkLXVybHM+PHVybD5o
dHRwczovL3d3dy5uY2JpLm5sbS5uaWguZ292L3B1Ym1lZC8yNTY0ODczODwvdXJsPjwvcmVsYXRl
ZC11cmxzPjwvdXJscz48ZWxlY3Ryb25pYy1yZXNvdXJjZS1udW0+MTAuMTAwNy9zMDAzOTQtMDE1
LTA4NDUteDwvZWxlY3Ryb25pYy1yZXNvdXJjZS1udW0+PC9yZWNvcmQ+PC9DaXRlPjwvRW5kTm90
ZT5=
</w:fldData>
              </w:fldChar>
            </w:r>
            <w:r w:rsidR="002747EA">
              <w:instrText xml:space="preserve"> ADDIN EN.CITE </w:instrText>
            </w:r>
            <w:r w:rsidR="002747EA">
              <w:fldChar w:fldCharType="begin">
                <w:fldData xml:space="preserve">PEVuZE5vdGU+PENpdGU+PEF1dGhvcj5TaWRkaXF1YTwvQXV0aG9yPjxZZWFyPjIwMTY8L1llYXI+
PFJlY051bT4xNjA0PC9SZWNOdW0+PERpc3BsYXlUZXh0PjxzdHlsZSBmYWNlPSJzdXBlcnNjcmlw
dCIgZm9udD0iVHJlYnVjaGV0IE1TIiBzaXplPSI5Ij4xNDY8L3N0eWxlPjwvRGlzcGxheVRleHQ+
PHJlY29yZD48cmVjLW51bWJlcj4xNjA0PC9yZWMtbnVtYmVyPjxmb3JlaWduLWtleXM+PGtleSBh
cHA9IkVOIiBkYi1pZD0iZXh2YXNyZngyZHRyYW9lc2FzeHAyc3pzeGEyZGY1MDI1OTJ4IiB0aW1l
c3RhbXA9IjE1NzY1NTUwNTgiPjE2MDQ8L2tleT48a2V5IGFwcD0iRU5XZWIiIGRiLWlkPSIiPjA8
L2tleT48L2ZvcmVpZ24ta2V5cz48cmVmLXR5cGUgbmFtZT0iSm91cm5hbCBBcnRpY2xlIj4xNzwv
cmVmLXR5cGU+PGNvbnRyaWJ1dG9ycz48YXV0aG9ycz48YXV0aG9yPlNpZGRpcXVhLCBULiBKLjwv
YXV0aG9yPjxhdXRob3I+QWhtYWQsIFMuIE0uPC9hdXRob3I+PGF1dGhvcj5BaHNhbiwgSy4gQi48
L2F1dGhvcj48YXV0aG9yPlJhc2hpZCwgTS48L2F1dGhvcj48YXV0aG9yPlJveSwgQS48L2F1dGhv
cj48YXV0aG9yPlJhaG1hbiwgUy4gTS48L2F1dGhvcj48YXV0aG9yPlNoYWhhYi1GZXJkb3dzLCBT
LjwvYXV0aG9yPjxhdXRob3I+SGFtcGVsLCBELjwvYXV0aG9yPjxhdXRob3I+QWhtZWQsIFQuPC9h
dXRob3I+PGF1dGhvcj5BbGxlbiwgTC4gSC48L2F1dGhvcj48YXV0aG9yPlJhcWliLCBSLjwvYXV0
aG9yPjwvYXV0aG9ycz48L2NvbnRyaWJ1dG9ycz48YXV0aC1hZGRyZXNzPk51dHJpdGlvbmFsIEJp
b2NoZW1pc3RyeSBMYWJvcmF0b3J5LCBJbnRlcm5hdGlvbmFsIENlbnRyZSBmb3IgRGlhcnJoZWFs
IERpc2Vhc2UgUmVzZWFyY2gsIEJhbmdsYWRlc2ggKElDRERSLEIpLCA2OCBTaGFoZWVkIFRhanVk
ZGluIEFobWVkIFNhcmFuaSwgTW9oYWtoYWxpLCBEaGFrYSwgMTIxMiwgQmFuZ2xhZGVzaC4mI3hE
O0RlcGFydG1lbnQgb2YgTnV0cml0aW9uLCBVbml2ZXJzaXR5IG9mIENhbGlmb3JuaWEsIERhdmlz
LCBDQSwgVVNBLiYjeEQ7QVJTIFdlc3Rlcm4gSHVtYW4gTnV0cml0aW9uIFJlc2VhcmNoIENlbnRl
ciwgVVNEQSwgRGF2aXMsIENBLCBVU0EuJiN4RDtOdXRyaXRpb25hbCBCaW9jaGVtaXN0cnkgTGFi
b3JhdG9yeSwgSW50ZXJuYXRpb25hbCBDZW50cmUgZm9yIERpYXJyaGVhbCBEaXNlYXNlIFJlc2Vh
cmNoLCBCYW5nbGFkZXNoIChJQ0REUixCKSwgNjggU2hhaGVlZCBUYWp1ZGRpbiBBaG1lZCBTYXJh
bmksIE1vaGFraGFsaSwgRGhha2EsIDEyMTIsIEJhbmdsYWRlc2guIHJ1YmhhbmFAaWNkZHJiLm9y
Zy48L2F1dGgtYWRkcmVzcz48dGl0bGVzPjx0aXRsZT5WaXRhbWluIEIxMiBzdXBwbGVtZW50YXRp
b24gZHVyaW5nIHByZWduYW5jeSBhbmQgcG9zdHBhcnR1bSBpbXByb3ZlcyBCMTIgc3RhdHVzIG9m
IGJvdGggbW90aGVycyBhbmQgaW5mYW50cyBidXQgdmFjY2luZSByZXNwb25zZSBpbiBtb3RoZXJz
IG9ubHk6IGEgcmFuZG9taXplZCBjbGluaWNhbCB0cmlhbCBpbiBCYW5nbGFkZXNoPC90aXRsZT48
c2Vjb25kYXJ5LXRpdGxlPkV1ciBKIE51dHI8L3NlY29uZGFyeS10aXRsZT48L3RpdGxlcz48cGVy
aW9kaWNhbD48ZnVsbC10aXRsZT5FdXIgSiBOdXRyPC9mdWxsLXRpdGxlPjwvcGVyaW9kaWNhbD48
cGFnZXM+MjgxLTkzPC9wYWdlcz48dm9sdW1lPjU1PC92b2x1bWU+PG51bWJlcj4xPC9udW1iZXI+
PGVkaXRpb24+MjAxNS8wMi8wNTwvZWRpdGlvbj48a2V5d29yZHM+PGtleXdvcmQ+QWRvbGVzY2Vu
dDwva2V5d29yZD48a2V5d29yZD5BZHVsdDwva2V5d29yZD48a2V5d29yZD5CYW5nbGFkZXNoPC9r
ZXl3b3JkPjxrZXl3b3JkPkJpb21hcmtlcnMvYmxvb2Q8L2tleXdvcmQ+PGtleXdvcmQ+Qy1SZWFj
dGl2ZSBQcm90ZWluL21ldGFib2xpc208L2tleXdvcmQ+PGtleXdvcmQ+KkRpZXRhcnkgU3VwcGxl
bWVudHM8L2tleXdvcmQ+PGtleXdvcmQ+RG9zZS1SZXNwb25zZSBSZWxhdGlvbnNoaXAsIERydWc8
L2tleXdvcmQ+PGtleXdvcmQ+RmVtYWxlPC9rZXl3b3JkPjxrZXl3b3JkPkZlcnJpdGlucy9ibG9v
ZDwva2V5d29yZD48a2V5d29yZD5Gb2xpYyBBY2lkL2FkbWluaXN0cmF0aW9uICZhbXA7IGRvc2Fn
ZS9ibG9vZDwva2V5d29yZD48a2V5d29yZD5IZW1vZ2xvYmlucy9tZXRhYm9saXNtPC9rZXl3b3Jk
PjxrZXl3b3JkPkhvbW9jeXN0ZWluZS9ibG9vZDwva2V5d29yZD48a2V5d29yZD5IdW1hbnM8L2tl
eXdvcmQ+PGtleXdvcmQ+SW1tdW5vZ2xvYnVsaW4gQS9ibG9vZDwva2V5d29yZD48a2V5d29yZD5J
bmZhbnQ8L2tleXdvcmQ+PGtleXdvcmQ+SW5mbHVlbnphIEEgVmlydXMsIEgxTjEgU3VidHlwZTwv
a2V5d29yZD48a2V5d29yZD5JbmZsdWVuemEgVmFjY2luZXMvKmltbXVub2xvZ3k8L2tleXdvcmQ+
PGtleXdvcmQ+SW5mbHVlbnphLCBIdW1hbi9wcmV2ZW50aW9uICZhbXA7IGNvbnRyb2w8L2tleXdv
cmQ+PGtleXdvcmQ+TGFjdGF0aW9uPC9rZXl3b3JkPjxrZXl3b3JkPk1hdGVybmFsIE51dHJpdGlv
bmFsIFBoeXNpb2xvZ2ljYWwgUGhlbm9tZW5hPC9rZXl3b3JkPjxrZXl3b3JkPk1ldGh5bG1hbG9u
aWMgQWNpZC9ibG9vZDwva2V5d29yZD48a2V5d29yZD5NaWxrLCBIdW1hbjwva2V5d29yZD48a2V5
d29yZD5Pcm9zb211Y29pZC9tZXRhYm9saXNtPC9rZXl3b3JkPjxrZXl3b3JkPlBvc3RwYXJ0dW0g
UGVyaW9kLypkcnVnIGVmZmVjdHMvbWV0YWJvbGlzbTwva2V5d29yZD48a2V5d29yZD5QcmVnbmFu
Y3k8L2tleXdvcmQ+PGtleXdvcmQ+UmVjZXB0b3JzLCBUcmFuc2ZlcnJpbi9ibG9vZDwva2V5d29y
ZD48a2V5d29yZD5WaXRhbWluIEIgMTIvKmFkbWluaXN0cmF0aW9uICZhbXA7IGRvc2FnZS9ibG9v
ZDwva2V5d29yZD48a2V5d29yZD5Zb3VuZyBBZHVsdDwva2V5d29yZD48a2V5d29yZD5CcmVhc3Qg
bWlsayBCMTI8L2tleXdvcmQ+PGtleXdvcmQ+TWV0aHlsbWFsb25pYyBhY2lkPC9rZXl3b3JkPjxr
ZXl3b3JkPlZhY2NpbmUgcmVzcG9uc2U8L2tleXdvcmQ+PGtleXdvcmQ+Vml0YW1pbiBCMTIgc3Vw
cGxlbWVudGF0aW9uPC9rZXl3b3JkPjwva2V5d29yZHM+PGRhdGVzPjx5ZWFyPjIwMTY8L3llYXI+
PHB1Yi1kYXRlcz48ZGF0ZT5GZWI8L2RhdGU+PC9wdWItZGF0ZXM+PC9kYXRlcz48aXNibj4xNDM2
LTYyMTUgKEVsZWN0cm9uaWMpJiN4RDsxNDM2LTYyMDcgKExpbmtpbmcpPC9pc2JuPjxhY2Nlc3Np
b24tbnVtPjI1NjQ4NzM4PC9hY2Nlc3Npb24tbnVtPjx1cmxzPjxyZWxhdGVkLXVybHM+PHVybD5o
dHRwczovL3d3dy5uY2JpLm5sbS5uaWguZ292L3B1Ym1lZC8yNTY0ODczODwvdXJsPjwvcmVsYXRl
ZC11cmxzPjwvdXJscz48ZWxlY3Ryb25pYy1yZXNvdXJjZS1udW0+MTAuMTAwNy9zMDAzOTQtMDE1
LTA4NDUteDwvZWxlY3Ryb25pYy1yZXNvdXJjZS1udW0+PC9yZWNvcmQ+PC9DaXRlPjwvRW5kTm90
ZT5=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146</w:t>
            </w:r>
            <w:r w:rsidR="00201490">
              <w:fldChar w:fldCharType="end"/>
            </w:r>
          </w:p>
          <w:p w14:paraId="7E39F7C9" w14:textId="4A71A10E" w:rsidR="00055BFC" w:rsidRDefault="00055BFC" w:rsidP="00543079">
            <w:pPr>
              <w:keepNext/>
            </w:pPr>
            <w:r>
              <w:t>Bangladesh</w:t>
            </w:r>
          </w:p>
        </w:tc>
        <w:tc>
          <w:tcPr>
            <w:tcW w:w="1390" w:type="dxa"/>
          </w:tcPr>
          <w:p w14:paraId="10E3CD30" w14:textId="043C7C38" w:rsidR="00055BFC" w:rsidRDefault="00055BFC" w:rsidP="00543079">
            <w:r>
              <w:t>68</w:t>
            </w:r>
          </w:p>
        </w:tc>
        <w:tc>
          <w:tcPr>
            <w:tcW w:w="4819" w:type="dxa"/>
          </w:tcPr>
          <w:p w14:paraId="055B5519" w14:textId="77777777" w:rsidR="00055BFC" w:rsidRDefault="00055BFC" w:rsidP="00055BFC">
            <w:r w:rsidRPr="00055BFC">
              <w:rPr>
                <w:b/>
              </w:rPr>
              <w:t>Aim</w:t>
            </w:r>
            <w:r>
              <w:t>: T</w:t>
            </w:r>
            <w:r w:rsidRPr="00055BFC">
              <w:t>o evaluate effects of pre- and postnatal B12 supplementation on biomarkers of B</w:t>
            </w:r>
            <w:r w:rsidRPr="00055BFC">
              <w:rPr>
                <w:vertAlign w:val="subscript"/>
              </w:rPr>
              <w:t>12</w:t>
            </w:r>
            <w:r w:rsidRPr="00055BFC">
              <w:t xml:space="preserve"> status and vaccine-specific responses in mothers and infants. </w:t>
            </w:r>
          </w:p>
          <w:p w14:paraId="0C169FB9" w14:textId="150F0C0D" w:rsidR="00055BFC" w:rsidRDefault="00055BFC" w:rsidP="00055BFC">
            <w:r w:rsidRPr="0052004B">
              <w:rPr>
                <w:b/>
              </w:rPr>
              <w:t>Population</w:t>
            </w:r>
            <w:r>
              <w:t>: W</w:t>
            </w:r>
            <w:r w:rsidRPr="00055BFC">
              <w:t>omen age</w:t>
            </w:r>
            <w:r>
              <w:t>d</w:t>
            </w:r>
            <w:r w:rsidRPr="00055BFC">
              <w:t xml:space="preserve"> 18-35 years, </w:t>
            </w:r>
            <w:r w:rsidR="00501148" w:rsidRPr="00055BFC">
              <w:t>haemoglobin</w:t>
            </w:r>
            <w:r w:rsidRPr="00055BFC">
              <w:t xml:space="preserve"> &lt;110</w:t>
            </w:r>
            <w:r w:rsidR="004867CC">
              <w:t> </w:t>
            </w:r>
            <w:r w:rsidRPr="00055BFC">
              <w:t>g/L, 11-14 weeks pregnant</w:t>
            </w:r>
          </w:p>
          <w:p w14:paraId="0E4364F6" w14:textId="4908DC82" w:rsidR="00055BFC" w:rsidRPr="003D2ABA" w:rsidRDefault="00055BFC" w:rsidP="004867CC">
            <w:pPr>
              <w:rPr>
                <w:b/>
              </w:rPr>
            </w:pPr>
            <w:r w:rsidRPr="0052004B">
              <w:rPr>
                <w:b/>
              </w:rPr>
              <w:t>Intervention</w:t>
            </w:r>
            <w:r>
              <w:t xml:space="preserve">: </w:t>
            </w:r>
            <w:r w:rsidRPr="00055BFC">
              <w:t xml:space="preserve">250 mug/day B12 or a placebo throughout pregnancy and 3-month postpartum along with 60 mg iron + 400 mug folate. Women were immunized with pandemic influenza A (H1N1) vaccine at 26- to 28-week gestation. Blood from mothers (baseline, 72-h post-delivery, 3-month postpartum), newborns and infants (3-month) was </w:t>
            </w:r>
            <w:r w:rsidR="00501148" w:rsidRPr="00055BFC">
              <w:t>analysed</w:t>
            </w:r>
            <w:r w:rsidRPr="00055BFC">
              <w:t xml:space="preserve"> for </w:t>
            </w:r>
            <w:r w:rsidR="00501148" w:rsidRPr="00055BFC">
              <w:t>haemoglobin</w:t>
            </w:r>
            <w:r w:rsidRPr="00055BFC">
              <w:t>, B12, methylmalonic acid (MMA), total homocysteine (tHcy), ferritin and serum transferrin receptor, C-reactive protein (CRP) and alpha-1-acid glycoprotein (AGP).</w:t>
            </w:r>
          </w:p>
        </w:tc>
        <w:tc>
          <w:tcPr>
            <w:tcW w:w="4535" w:type="dxa"/>
          </w:tcPr>
          <w:p w14:paraId="15E2B827" w14:textId="77777777" w:rsidR="004867CC" w:rsidRDefault="004867CC" w:rsidP="00055BFC">
            <w:r>
              <w:t>B</w:t>
            </w:r>
            <w:r w:rsidRPr="004867CC">
              <w:rPr>
                <w:vertAlign w:val="subscript"/>
              </w:rPr>
              <w:t>12</w:t>
            </w:r>
            <w:r>
              <w:t xml:space="preserve"> s</w:t>
            </w:r>
            <w:r w:rsidR="00055BFC" w:rsidRPr="00055BFC">
              <w:t xml:space="preserve">upplementation </w:t>
            </w:r>
            <w:r>
              <w:t>vs placebo:</w:t>
            </w:r>
          </w:p>
          <w:p w14:paraId="2F166280" w14:textId="5F66252D" w:rsidR="004867CC" w:rsidRDefault="00055BFC" w:rsidP="004867CC">
            <w:pPr>
              <w:pStyle w:val="bullet"/>
            </w:pPr>
            <w:r w:rsidRPr="00055BFC">
              <w:t>increased B</w:t>
            </w:r>
            <w:r w:rsidRPr="004867CC">
              <w:rPr>
                <w:vertAlign w:val="subscript"/>
              </w:rPr>
              <w:t>12</w:t>
            </w:r>
            <w:r w:rsidRPr="00055BFC">
              <w:t xml:space="preserve"> in plasma, colos</w:t>
            </w:r>
            <w:r w:rsidR="004867CC">
              <w:t>trum and breast milk (p&lt;</w:t>
            </w:r>
            <w:r w:rsidRPr="00055BFC">
              <w:t>0.05)</w:t>
            </w:r>
          </w:p>
          <w:p w14:paraId="4A2D48DB" w14:textId="46125EED" w:rsidR="00055BFC" w:rsidRDefault="00055BFC" w:rsidP="004867CC">
            <w:pPr>
              <w:pStyle w:val="bullet"/>
            </w:pPr>
            <w:r w:rsidRPr="00055BFC">
              <w:t>lowered MMA in neonates, mot</w:t>
            </w:r>
            <w:r w:rsidR="004867CC">
              <w:t>hers and infants at 3 months (p&lt;0.05)</w:t>
            </w:r>
          </w:p>
          <w:p w14:paraId="4A84DF86" w14:textId="3B36D662" w:rsidR="00055BFC" w:rsidRPr="00055BFC" w:rsidRDefault="00055BFC" w:rsidP="004867CC">
            <w:pPr>
              <w:pStyle w:val="bullet"/>
            </w:pPr>
            <w:r w:rsidRPr="00055BFC">
              <w:t>increased H1N1-specific IgA re</w:t>
            </w:r>
            <w:r w:rsidR="004867CC">
              <w:t>sponses in plasma and colostrum</w:t>
            </w:r>
            <w:r w:rsidRPr="00055BFC">
              <w:t xml:space="preserve"> in mothers and reduced proportion of infants with elevated AGP and CRP</w:t>
            </w:r>
            <w:r w:rsidR="004867CC">
              <w:t>.</w:t>
            </w:r>
          </w:p>
        </w:tc>
        <w:tc>
          <w:tcPr>
            <w:tcW w:w="1844" w:type="dxa"/>
          </w:tcPr>
          <w:p w14:paraId="667FED52" w14:textId="77777777" w:rsidR="00055BFC" w:rsidRPr="00236C51" w:rsidRDefault="00055BFC" w:rsidP="00543079">
            <w:pPr>
              <w:keepNext/>
            </w:pPr>
          </w:p>
        </w:tc>
      </w:tr>
      <w:tr w:rsidR="00055BFC" w:rsidRPr="00236C51" w14:paraId="1F1042F2" w14:textId="77777777" w:rsidTr="004867CC">
        <w:trPr>
          <w:cantSplit/>
          <w:trHeight w:val="390"/>
        </w:trPr>
        <w:tc>
          <w:tcPr>
            <w:tcW w:w="1304" w:type="dxa"/>
          </w:tcPr>
          <w:p w14:paraId="1E3FE582" w14:textId="6A8F9C8E" w:rsidR="00055BFC" w:rsidRDefault="00055BFC" w:rsidP="00055BFC">
            <w:r w:rsidRPr="00055BFC">
              <w:t>Srinivasan</w:t>
            </w:r>
            <w:r>
              <w:t xml:space="preserve"> et al 2017</w:t>
            </w:r>
            <w:r w:rsidR="00201490">
              <w:fldChar w:fldCharType="begin">
                <w:fldData xml:space="preserve">PEVuZE5vdGU+PENpdGU+PEF1dGhvcj5TcmluaXZhc2FuPC9BdXRob3I+PFllYXI+MjAxNzwvWWVh
cj48UmVjTnVtPjE2MDU8L1JlY051bT48RGlzcGxheVRleHQ+PHN0eWxlIGZhY2U9InN1cGVyc2Ny
aXB0IiBmb250PSJUcmVidWNoZXQgTVMiIHNpemU9IjkiPjE0NCwxNDU8L3N0eWxlPjwvRGlzcGxh
eVRleHQ+PHJlY29yZD48cmVjLW51bWJlcj4xNjA1PC9yZWMtbnVtYmVyPjxmb3JlaWduLWtleXM+
PGtleSBhcHA9IkVOIiBkYi1pZD0iZXh2YXNyZngyZHRyYW9lc2FzeHAyc3pzeGEyZGY1MDI1OTJ4
IiB0aW1lc3RhbXA9IjE1NzY1NTUwNjQiPjE2MDU8L2tleT48a2V5IGFwcD0iRU5XZWIiIGRiLWlk
PSIiPjA8L2tleT48L2ZvcmVpZ24ta2V5cz48cmVmLXR5cGUgbmFtZT0iSm91cm5hbCBBcnRpY2xl
Ij4xNzwvcmVmLXR5cGU+PGNvbnRyaWJ1dG9ycz48YXV0aG9ycz48YXV0aG9yPlNyaW5pdmFzYW4s
IEsuPC9hdXRob3I+PGF1dGhvcj5UaG9tYXMsIFQuPC9hdXRob3I+PGF1dGhvcj5LYXBhbmVlLCBB
LiBSLjwvYXV0aG9yPjxhdXRob3I+UmFtdGhhbCwgQS48L2F1dGhvcj48YXV0aG9yPkJlbGxpbmdl
ciwgRC4gQy48L2F1dGhvcj48YXV0aG9yPkJvc2NoLCBSLiBKLjwvYXV0aG9yPjxhdXRob3I+S3Vy
cGFkLCBBLiBWLjwvYXV0aG9yPjxhdXRob3I+RHVnZ2FuLCBDLjwvYXV0aG9yPjwvYXV0aG9ycz48
L2NvbnRyaWJ1dG9ycz48YXV0aC1hZGRyZXNzPkRpdmlzaW9uIG9mIE1lbnRhbCBIZWFsdGggYW5k
IE5ldXJvc2NpZW5jZXMsIFN0LiBKb2huJmFwb3M7cyBSZXNlYXJjaCBJbnN0aXR1dGUsIEJlbmdh
bHVydSwgS2FybmF0YWthLCBJbmRpYS4mI3hEO0RlcGFydG1lbnQgb2YgUHN5Y2hpYXRyeSwgU3Qu
IEpvaG4mYXBvcztzIE1lZGljYWwgQ29sbGVnZSwgQmFuZ2Fsb3JlLCBLYXJuYXRha2EsIEluZGlh
LiYjeEQ7RGl2aXNpb24gb2YgRXBpZGVtaW9sb2d5LCBCaW9zdGF0aXN0aWNzIGFuZCBQb3B1bGF0
aW9uIEhlYWx0aCwgU3QuIEpvaG4mYXBvcztzIFJlc2VhcmNoIEluc3RpdHV0ZSwgQmFuZ2Fsb3Jl
LCBLYXJuYXRha2EsIEluZGlhLiYjeEQ7RGVwYXJ0bWVudCBvZiBDbGluaWNhbCBQc3ljaG9sb2d5
LCBOYXRpb25hbCBJbnN0aXR1dGUgb2YgTWVudGFsIEhlYWx0aCBhbmQgTmV1cm9zY2llbmNlcywg
QmFuZ2Fsb3JlLCBLYXJuYXRha2EsIEluZGlhLiYjeEQ7RGVwYXJ0bWVudCBvZiBOZXVyb2xvZ3ks
IEJvc3RvbiBDaGlsZHJlbiZhcG9zO3MgSG9zcGl0YWwsIEhhcnZhcmQgTWVkaWNhbCBTY2hvb2ws
IEJvc3RvbiwgTWFzc2FjaHVzZXR0cywgVVNBLiYjeEQ7RGVwYXJ0bWVudCBvZiBCaW9zdGF0aXN0
aWNzLCBIYXJ2YXJkIFNjaG9vbCBvZiBQdWJsaWMgSGVhbHRoLCBCb3N0b24sIE1hc3NhY2h1c2V0
dHMsIFVTQS4mI3hEO0RpdmlzaW9uIG9mIE51dHJpdGlvbiwgU3QuIEpvaG4mYXBvcztzIFJlc2Vh
cmNoIEluc3RpdHV0ZSwgQmFuZ2Fsb3JlLCBLYXJuYXRha2EsIEluZGlhLiYjeEQ7RGVwYXJ0bWVu
dCBvZiBQaHlzaW9sb2d5LCBTdC4gSm9obiZhcG9zO3MgTWVkaWNhbCBDb2xsZWdlLCBCYW5nYWxv
cmUsIEthcm5hdGFrYSwgSW5kaWEuJiN4RDtDZW50ZXIgZm9yIE51dHJpdGlvbiwgRGl2aXNpb24g
b2YgR2FzdHJvZW50ZXJvbG9neSwgSGVwYXRvbG9neSBhbmQgTnV0cml0aW9uLCBCb3N0b24gQ2hp
bGRyZW4mYXBvcztzIEhvc3BpdGFsLCBCb3N0b24sIE1hc3NhY2h1c2V0dHMsIFVTQS48L2F1dGgt
YWRkcmVzcz48dGl0bGVzPjx0aXRsZT5FZmZlY3RzIG9mIG1hdGVybmFsIHZpdGFtaW4gQjEyIHN1
cHBsZW1lbnRhdGlvbiBvbiBlYXJseSBpbmZhbnQgbmV1cm9jb2duaXRpdmUgb3V0Y29tZXM6IGEg
cmFuZG9taXplZCBjb250cm9sbGVkIGNsaW5pY2FsIHRyaWFsPC90aXRsZT48c2Vjb25kYXJ5LXRp
dGxlPk1hdGVybiBDaGlsZCBOdXRyPC9zZWNvbmRhcnktdGl0bGU+PC90aXRsZXM+PHBlcmlvZGlj
YWw+PGZ1bGwtdGl0bGU+TWF0ZXJuIENoaWxkIE51dHI8L2Z1bGwtdGl0bGU+PC9wZXJpb2RpY2Fs
Pjx2b2x1bWU+MTM8L3ZvbHVtZT48bnVtYmVyPjI8L251bWJlcj48ZWRpdGlvbj4yMDE2LzA3LzAx
PC9lZGl0aW9uPjxrZXl3b3Jkcz48a2V5d29yZD5BZHVsdDwva2V5d29yZD48a2V5d29yZD5CcmFp
bi9lbWJyeW9sb2d5Lypncm93dGggJmFtcDsgZGV2ZWxvcG1lbnQ8L2tleXdvcmQ+PGtleXdvcmQ+
Q2hpbGQgRGV2ZWxvcG1lbnQ8L2tleXdvcmQ+PGtleXdvcmQ+KkNvZ25pdGlvbjwva2V5d29yZD48
a2V5d29yZD4qRGlldGFyeSBTdXBwbGVtZW50czwva2V5d29yZD48a2V5d29yZD5Eb3VibGUtQmxp
bmQgTWV0aG9kPC9rZXl3b3JkPjxrZXl3b3JkPkZlbWFsZTwva2V5d29yZD48a2V5d29yZD5GZXRh
bCBEZXZlbG9wbWVudDwva2V5d29yZD48a2V5d29yZD5Ib21vY3lzdGVpbmUvYmxvb2Q8L2tleXdv
cmQ+PGtleXdvcmQ+SHVtYW5zPC9rZXl3b3JkPjxrZXl3b3JkPkluZGlhL2VwaWRlbWlvbG9neTwv
a2V5d29yZD48a2V5d29yZD5JbmZhbnQ8L2tleXdvcmQ+PGtleXdvcmQ+TGluZWFyIE1vZGVsczwv
a2V5d29yZD48a2V5d29yZD4qTWF0ZXJuYWwgTnV0cml0aW9uYWwgUGh5c2lvbG9naWNhbCBQaGVu
b21lbmE8L2tleXdvcmQ+PGtleXdvcmQ+TWljcm9udXRyaWVudHMvYWRtaW5pc3RyYXRpb24gJmFt
cDsgZG9zYWdlL2Jsb29kPC9rZXl3b3JkPjxrZXl3b3JkPk51dHJpdGlvbmFsIFN0YXR1czwva2V5
d29yZD48a2V5d29yZD5QcmVnbmFuY3k8L2tleXdvcmQ+PGtleXdvcmQ+UHJlbmF0YWwgRXhwb3N1
cmUgRGVsYXllZCBFZmZlY3RzPC9rZXl3b3JkPjxrZXl3b3JkPlByZXZhbGVuY2U8L2tleXdvcmQ+
PGtleXdvcmQ+U29jaW9lY29ub21pYyBGYWN0b3JzPC9rZXl3b3JkPjxrZXl3b3JkPlRyZWF0bWVu
dCBPdXRjb21lPC9rZXl3b3JkPjxrZXl3b3JkPlZpdGFtaW4gQiAxMi8qYWRtaW5pc3RyYXRpb24g
JmFtcDsgZG9zYWdlPC9rZXl3b3JkPjxrZXl3b3JkPlZpdGFtaW4gQiAxMiBEZWZpY2llbmN5Lypl
cGlkZW1pb2xvZ3k8L2tleXdvcmQ+PGtleXdvcmQ+WW91bmcgQWR1bHQ8L2tleXdvcmQ+PGtleXdv
cmQ+KmFudGVuYXRhbCBudXRyaXRpb248L2tleXdvcmQ+PGtleXdvcmQ+KmNvZ25pdGl2ZSBmdW5j
dGlvbjwva2V5d29yZD48a2V5d29yZD4qaG9tb2N5c3RlaW5lPC9rZXl3b3JkPjxrZXl3b3JkPipp
bmZhbnRzPC9rZXl3b3JkPjxrZXl3b3JkPiptYXRlcm5hbCBtaWNyb251dHJpZW50czwva2V5d29y
ZD48a2V5d29yZD4qbWF0ZXJuYWwgdml0YW1pbiBCMTI8L2tleXdvcmQ+PC9rZXl3b3Jkcz48ZGF0
ZXM+PHllYXI+MjAxNzwveWVhcj48cHViLWRhdGVzPjxkYXRlPkFwcjwvZGF0ZT48L3B1Yi1kYXRl
cz48L2RhdGVzPjxpc2JuPjE3NDAtODcwOSAoRWxlY3Ryb25pYykmI3hEOzE3NDAtODY5NSAoTGlu
a2luZyk8L2lzYm4+PGFjY2Vzc2lvbi1udW0+MjczNTY1NDc8L2FjY2Vzc2lvbi1udW0+PHVybHM+
PHJlbGF0ZWQtdXJscz48dXJsPmh0dHBzOi8vd3d3Lm5jYmkubmxtLm5paC5nb3YvcHVibWVkLzI3
MzU2NTQ3PC91cmw+PC9yZWxhdGVkLXVybHM+PC91cmxzPjxjdXN0b20yPlBNQzYwOTA1NDg8L2N1
c3RvbTI+PGVsZWN0cm9uaWMtcmVzb3VyY2UtbnVtPjEwLjExMTEvbWNuLjEyMzI1PC9lbGVjdHJv
bmljLXJlc291cmNlLW51bT48L3JlY29yZD48L0NpdGU+PENpdGU+PEF1dGhvcj5UaG9tYXM8L0F1
dGhvcj48WWVhcj4yMDE5PC9ZZWFyPjxSZWNOdW0+MTYwODwvUmVjTnVtPjxyZWNvcmQ+PHJlYy1u
dW1iZXI+MTYwODwvcmVjLW51bWJlcj48Zm9yZWlnbi1rZXlzPjxrZXkgYXBwPSJFTiIgZGItaWQ9
ImV4dmFzcmZ4MmR0cmFvZXNhc3hwMnN6c3hhMmRmNTAyNTkyeCIgdGltZXN0YW1wPSIxNTc2NTU1
MDgwIj4xNjA4PC9rZXk+PGtleSBhcHA9IkVOV2ViIiBkYi1pZD0iIj4wPC9rZXk+PC9mb3JlaWdu
LWtleXM+PHJlZi10eXBlIG5hbWU9IkpvdXJuYWwgQXJ0aWNsZSI+MTc8L3JlZi10eXBlPjxjb250
cmlidXRvcnM+PGF1dGhvcnM+PGF1dGhvcj5UaG9tYXMsIFMuPC9hdXRob3I+PGF1dGhvcj5UaG9t
YXMsIFQuPC9hdXRob3I+PGF1dGhvcj5Cb3NjaCwgUi4gSi48L2F1dGhvcj48YXV0aG9yPlJhbXRo
YWwsIEEuPC9hdXRob3I+PGF1dGhvcj5CZWxsaW5nZXIsIEQuIEMuPC9hdXRob3I+PGF1dGhvcj5L
dXJwYWQsIEEuIFYuPC9hdXRob3I+PGF1dGhvcj5EdWdnYW4sIEMuIFAuPC9hdXRob3I+PGF1dGhv
cj5TcmluaXZhc2FuLCBLLjwvYXV0aG9yPjwvYXV0aG9ycz48L2NvbnRyaWJ1dG9ycz48YXV0aC1h
ZGRyZXNzPkRpdmlzaW9uIG9mIE1lbnRhbCBIZWFsdGggJmFtcDsgTmV1cm9zY2llbmNlcywgU3Qg
Sm9obiZhcG9zO3MgTmF0aW9uYWwgQWNhZGVteSBvZiBIZWFsdGggU2NpZW5jZXMsIFN0IEpvaG4m
YXBvcztzIFJlc2VhcmNoIEluc3RpdHV0ZSwgQmVuZ2FsdXJ1LCBLYXJuYXRha2EsIDU2MDAzNCwg
SW5kaWEuJiN4RDtEaXZpc2lvbiBvZiBFcGlkZW1pb2xvZ3ksIEJpb3N0YXRpc3RpY3MgYW5kIFBv
cHVsYXRpb24gSGVhbHRoLCBTdCBKb2huJmFwb3M7cyBSZXNlYXJjaCBJbnN0aXR1dGUsIEJlbmdh
bHVydSwgS2FybmF0YWthLCBJbmRpYS4mI3hEO0RlcGFydG1lbnQgb2YgQmlvc3RhdGlzdGljcywg
SGFydmFyZCBUSCBDaGFuIFNjaG9vbCBvZiBQdWJsaWMgSGVhbHRoLCBCb3N0b24sIE1BLCBVU0Eu
JiN4RDtEZXBhcnRtZW50IG9mIE5ldXJvbG9neSwgQm9zdG9uIENoaWxkcmVuJmFwb3M7cyBIb3Nw
aXRhbCwgSGFydmFyZCBNZWRpY2FsIFNjaG9vbCwgQm9zdG9uLCBNQSwgVVNBLiYjeEQ7RGl2aXNp
b24gb2YgTnV0cml0aW9uLCBTdCBKb2huJmFwb3M7cyBSZXNlYXJjaCBJbnN0aXR1dGUsIEJlbmdh
bHVydSwgS2FybmF0YWthLCBJbmRpYS4mI3hEO0RlcGFydG1lbnQgb2YgUGh5c2lvbG9neSwgU3Qg
Sm9obnMgTWVkaWNhbCBDb2xsZWdlLCBCZW5nYWx1cnUsIEthcm5hdGFrYSwgSW5kaWEuJiN4RDtE
aXZpc2lvbiBvZiBHYXN0cm9lbnRlcm9sb2d5LCBIZXBhdG9sb2d5IGFuZCBOdXRyaXRpb24sIENl
bnRlciBmb3IgTnV0cml0aW9uLCBCb3N0b24gQ2hpbGRyZW4mYXBvcztzIEhvc3BpdGFsLCBCb3N0
b24sIE1BLCBVU0EuJiN4RDtEaXZpc2lvbiBvZiBNZW50YWwgSGVhbHRoICZhbXA7IE5ldXJvc2Np
ZW5jZXMsIFN0IEpvaG4mYXBvcztzIE5hdGlvbmFsIEFjYWRlbXkgb2YgSGVhbHRoIFNjaWVuY2Vz
LCBTdCBKb2huJmFwb3M7cyBSZXNlYXJjaCBJbnN0aXR1dGUsIEJlbmdhbHVydSwgS2FybmF0YWth
LCA1NjAwMzQsIEluZGlhLiBzcmluaXZhc0BzanJpLnJlcy5pbi4mI3hEO0RlcGFydG1lbnQgb2Yg
UHN5Y2hpYXRyeSwgU3QgSm9obiZhcG9zO3MgTWVkaWNhbCBDb2xsZWdlLCBCZW5nYWx1cnUsIEth
cm5hdGFrYSwgSW5kaWEuIHNyaW5pdmFzQHNqcmkucmVzLmluLjwvYXV0aC1hZGRyZXNzPjx0aXRs
ZXM+PHRpdGxlPkVmZmVjdCBvZiBtYXRlcm5hbCB2aXRhbWluIEIxMiBTdXBwbGVtZW50YXRpb24g
b24gY29nbml0aXZlIG91dGNvbWVzIGluIFNvdXRoIEluZGlhbiBjaGlsZHJlbjogYSByYW5kb21p
emVkIGNvbnRyb2xsZWQgY2xpbmljYWwgdHJpYWw8L3RpdGxlPjxzZWNvbmRhcnktdGl0bGU+TWF0
ZXJuIENoaWxkIEhlYWx0aCBKPC9zZWNvbmRhcnktdGl0bGU+PC90aXRsZXM+PHBlcmlvZGljYWw+
PGZ1bGwtdGl0bGU+TWF0ZXJuIENoaWxkIEhlYWx0aCBKPC9mdWxsLXRpdGxlPjwvcGVyaW9kaWNh
bD48cGFnZXM+MTU1LTE2MzwvcGFnZXM+PHZvbHVtZT4yMzwvdm9sdW1lPjxudW1iZXI+MjwvbnVt
YmVyPjxlZGl0aW9uPjIwMTgvMDcvMTQ8L2VkaXRpb24+PGtleXdvcmRzPjxrZXl3b3JkPkNoaWxk
PC9rZXl3b3JkPjxrZXl3b3JkPipDaGlsZCBEZXZlbG9wbWVudDwva2V5d29yZD48a2V5d29yZD5D
b2duaXRpb24vKmRydWcgZWZmZWN0cy9waHlzaW9sb2d5PC9rZXl3b3JkPjxrZXl3b3JkPipEaWV0
YXJ5IFN1cHBsZW1lbnRzPC9rZXl3b3JkPjxrZXl3b3JkPkZlbWFsZTwva2V5d29yZD48a2V5d29y
ZD4qRmV0YWwgRGV2ZWxvcG1lbnQ8L2tleXdvcmQ+PGtleXdvcmQ+SHVtYW5zPC9rZXl3b3JkPjxr
ZXl3b3JkPkluZGlhL2VwaWRlbWlvbG9neTwva2V5d29yZD48a2V5d29yZD5JbmZhbnQ8L2tleXdv
cmQ+PGtleXdvcmQ+TWFsZTwva2V5d29yZD48a2V5d29yZD5NYXRlcm5hbCBOdXRyaXRpb25hbCBQ
aHlzaW9sb2dpY2FsIFBoZW5vbWVuYTwva2V5d29yZD48a2V5d29yZD5Qb3N0bmF0YWwgQ2FyZTwv
a2V5d29yZD48a2V5d29yZD5QcmVnbmFuY3k8L2tleXdvcmQ+PGtleXdvcmQ+UHJlbmF0YWwgQ2Fy
ZTwva2V5d29yZD48a2V5d29yZD5QcmVuYXRhbCBFeHBvc3VyZSBEZWxheWVkIEVmZmVjdHM8L2tl
eXdvcmQ+PGtleXdvcmQ+U29jaW9lY29ub21pYyBGYWN0b3JzPC9rZXl3b3JkPjxrZXl3b3JkPlRy
ZWF0bWVudCBPdXRjb21lPC9rZXl3b3JkPjxrZXl3b3JkPlZpdGFtaW4gQiAxMi8qYWRtaW5pc3Ry
YXRpb24gJmFtcDsgZG9zYWdlL2Jsb29kPC9rZXl3b3JkPjxrZXl3b3JkPkNvZ25pdGlvbjwva2V5
d29yZD48a2V5d29yZD5FbGV2YXRlZCBob21vY3lzdGVpbmUgbGV2ZWxzPC9rZXl3b3JkPjxrZXl3
b3JkPlZpdGFtaW4gQjEyIHN1cHBsZW1lbnRhdGlvbjwva2V5d29yZD48L2tleXdvcmRzPjxkYXRl
cz48eWVhcj4yMDE5PC95ZWFyPjxwdWItZGF0ZXM+PGRhdGU+RmViPC9kYXRlPjwvcHViLWRhdGVz
PjwvZGF0ZXM+PGlzYm4+MTU3My02NjI4IChFbGVjdHJvbmljKSYjeEQ7MTA5Mi03ODc1IChMaW5r
aW5nKTwvaXNibj48YWNjZXNzaW9uLW51bT4zMDAwMzUyMTwvYWNjZXNzaW9uLW51bT48dXJscz48
cmVsYXRlZC11cmxzPjx1cmw+aHR0cHM6Ly93d3cubmNiaS5ubG0ubmloLmdvdi9wdWJtZWQvMzAw
MDM1MjE8L3VybD48L3JlbGF0ZWQtdXJscz48L3VybHM+PGVsZWN0cm9uaWMtcmVzb3VyY2UtbnVt
PjEwLjEwMDcvczEwOTk1LTAxOC0yNjA1LXo8L2VsZWN0cm9uaWMtcmVzb3VyY2UtbnVtPjwvcmVj
b3JkPjwvQ2l0ZT48L0VuZE5vdGU+
</w:fldData>
              </w:fldChar>
            </w:r>
            <w:r w:rsidR="002747EA">
              <w:instrText xml:space="preserve"> ADDIN EN.CITE </w:instrText>
            </w:r>
            <w:r w:rsidR="002747EA">
              <w:fldChar w:fldCharType="begin">
                <w:fldData xml:space="preserve">PEVuZE5vdGU+PENpdGU+PEF1dGhvcj5TcmluaXZhc2FuPC9BdXRob3I+PFllYXI+MjAxNzwvWWVh
cj48UmVjTnVtPjE2MDU8L1JlY051bT48RGlzcGxheVRleHQ+PHN0eWxlIGZhY2U9InN1cGVyc2Ny
aXB0IiBmb250PSJUcmVidWNoZXQgTVMiIHNpemU9IjkiPjE0NCwxNDU8L3N0eWxlPjwvRGlzcGxh
eVRleHQ+PHJlY29yZD48cmVjLW51bWJlcj4xNjA1PC9yZWMtbnVtYmVyPjxmb3JlaWduLWtleXM+
PGtleSBhcHA9IkVOIiBkYi1pZD0iZXh2YXNyZngyZHRyYW9lc2FzeHAyc3pzeGEyZGY1MDI1OTJ4
IiB0aW1lc3RhbXA9IjE1NzY1NTUwNjQiPjE2MDU8L2tleT48a2V5IGFwcD0iRU5XZWIiIGRiLWlk
PSIiPjA8L2tleT48L2ZvcmVpZ24ta2V5cz48cmVmLXR5cGUgbmFtZT0iSm91cm5hbCBBcnRpY2xl
Ij4xNzwvcmVmLXR5cGU+PGNvbnRyaWJ1dG9ycz48YXV0aG9ycz48YXV0aG9yPlNyaW5pdmFzYW4s
IEsuPC9hdXRob3I+PGF1dGhvcj5UaG9tYXMsIFQuPC9hdXRob3I+PGF1dGhvcj5LYXBhbmVlLCBB
LiBSLjwvYXV0aG9yPjxhdXRob3I+UmFtdGhhbCwgQS48L2F1dGhvcj48YXV0aG9yPkJlbGxpbmdl
ciwgRC4gQy48L2F1dGhvcj48YXV0aG9yPkJvc2NoLCBSLiBKLjwvYXV0aG9yPjxhdXRob3I+S3Vy
cGFkLCBBLiBWLjwvYXV0aG9yPjxhdXRob3I+RHVnZ2FuLCBDLjwvYXV0aG9yPjwvYXV0aG9ycz48
L2NvbnRyaWJ1dG9ycz48YXV0aC1hZGRyZXNzPkRpdmlzaW9uIG9mIE1lbnRhbCBIZWFsdGggYW5k
IE5ldXJvc2NpZW5jZXMsIFN0LiBKb2huJmFwb3M7cyBSZXNlYXJjaCBJbnN0aXR1dGUsIEJlbmdh
bHVydSwgS2FybmF0YWthLCBJbmRpYS4mI3hEO0RlcGFydG1lbnQgb2YgUHN5Y2hpYXRyeSwgU3Qu
IEpvaG4mYXBvcztzIE1lZGljYWwgQ29sbGVnZSwgQmFuZ2Fsb3JlLCBLYXJuYXRha2EsIEluZGlh
LiYjeEQ7RGl2aXNpb24gb2YgRXBpZGVtaW9sb2d5LCBCaW9zdGF0aXN0aWNzIGFuZCBQb3B1bGF0
aW9uIEhlYWx0aCwgU3QuIEpvaG4mYXBvcztzIFJlc2VhcmNoIEluc3RpdHV0ZSwgQmFuZ2Fsb3Jl
LCBLYXJuYXRha2EsIEluZGlhLiYjeEQ7RGVwYXJ0bWVudCBvZiBDbGluaWNhbCBQc3ljaG9sb2d5
LCBOYXRpb25hbCBJbnN0aXR1dGUgb2YgTWVudGFsIEhlYWx0aCBhbmQgTmV1cm9zY2llbmNlcywg
QmFuZ2Fsb3JlLCBLYXJuYXRha2EsIEluZGlhLiYjeEQ7RGVwYXJ0bWVudCBvZiBOZXVyb2xvZ3ks
IEJvc3RvbiBDaGlsZHJlbiZhcG9zO3MgSG9zcGl0YWwsIEhhcnZhcmQgTWVkaWNhbCBTY2hvb2ws
IEJvc3RvbiwgTWFzc2FjaHVzZXR0cywgVVNBLiYjeEQ7RGVwYXJ0bWVudCBvZiBCaW9zdGF0aXN0
aWNzLCBIYXJ2YXJkIFNjaG9vbCBvZiBQdWJsaWMgSGVhbHRoLCBCb3N0b24sIE1hc3NhY2h1c2V0
dHMsIFVTQS4mI3hEO0RpdmlzaW9uIG9mIE51dHJpdGlvbiwgU3QuIEpvaG4mYXBvcztzIFJlc2Vh
cmNoIEluc3RpdHV0ZSwgQmFuZ2Fsb3JlLCBLYXJuYXRha2EsIEluZGlhLiYjeEQ7RGVwYXJ0bWVu
dCBvZiBQaHlzaW9sb2d5LCBTdC4gSm9obiZhcG9zO3MgTWVkaWNhbCBDb2xsZWdlLCBCYW5nYWxv
cmUsIEthcm5hdGFrYSwgSW5kaWEuJiN4RDtDZW50ZXIgZm9yIE51dHJpdGlvbiwgRGl2aXNpb24g
b2YgR2FzdHJvZW50ZXJvbG9neSwgSGVwYXRvbG9neSBhbmQgTnV0cml0aW9uLCBCb3N0b24gQ2hp
bGRyZW4mYXBvcztzIEhvc3BpdGFsLCBCb3N0b24sIE1hc3NhY2h1c2V0dHMsIFVTQS48L2F1dGgt
YWRkcmVzcz48dGl0bGVzPjx0aXRsZT5FZmZlY3RzIG9mIG1hdGVybmFsIHZpdGFtaW4gQjEyIHN1
cHBsZW1lbnRhdGlvbiBvbiBlYXJseSBpbmZhbnQgbmV1cm9jb2duaXRpdmUgb3V0Y29tZXM6IGEg
cmFuZG9taXplZCBjb250cm9sbGVkIGNsaW5pY2FsIHRyaWFsPC90aXRsZT48c2Vjb25kYXJ5LXRp
dGxlPk1hdGVybiBDaGlsZCBOdXRyPC9zZWNvbmRhcnktdGl0bGU+PC90aXRsZXM+PHBlcmlvZGlj
YWw+PGZ1bGwtdGl0bGU+TWF0ZXJuIENoaWxkIE51dHI8L2Z1bGwtdGl0bGU+PC9wZXJpb2RpY2Fs
Pjx2b2x1bWU+MTM8L3ZvbHVtZT48bnVtYmVyPjI8L251bWJlcj48ZWRpdGlvbj4yMDE2LzA3LzAx
PC9lZGl0aW9uPjxrZXl3b3Jkcz48a2V5d29yZD5BZHVsdDwva2V5d29yZD48a2V5d29yZD5CcmFp
bi9lbWJyeW9sb2d5Lypncm93dGggJmFtcDsgZGV2ZWxvcG1lbnQ8L2tleXdvcmQ+PGtleXdvcmQ+
Q2hpbGQgRGV2ZWxvcG1lbnQ8L2tleXdvcmQ+PGtleXdvcmQ+KkNvZ25pdGlvbjwva2V5d29yZD48
a2V5d29yZD4qRGlldGFyeSBTdXBwbGVtZW50czwva2V5d29yZD48a2V5d29yZD5Eb3VibGUtQmxp
bmQgTWV0aG9kPC9rZXl3b3JkPjxrZXl3b3JkPkZlbWFsZTwva2V5d29yZD48a2V5d29yZD5GZXRh
bCBEZXZlbG9wbWVudDwva2V5d29yZD48a2V5d29yZD5Ib21vY3lzdGVpbmUvYmxvb2Q8L2tleXdv
cmQ+PGtleXdvcmQ+SHVtYW5zPC9rZXl3b3JkPjxrZXl3b3JkPkluZGlhL2VwaWRlbWlvbG9neTwv
a2V5d29yZD48a2V5d29yZD5JbmZhbnQ8L2tleXdvcmQ+PGtleXdvcmQ+TGluZWFyIE1vZGVsczwv
a2V5d29yZD48a2V5d29yZD4qTWF0ZXJuYWwgTnV0cml0aW9uYWwgUGh5c2lvbG9naWNhbCBQaGVu
b21lbmE8L2tleXdvcmQ+PGtleXdvcmQ+TWljcm9udXRyaWVudHMvYWRtaW5pc3RyYXRpb24gJmFt
cDsgZG9zYWdlL2Jsb29kPC9rZXl3b3JkPjxrZXl3b3JkPk51dHJpdGlvbmFsIFN0YXR1czwva2V5
d29yZD48a2V5d29yZD5QcmVnbmFuY3k8L2tleXdvcmQ+PGtleXdvcmQ+UHJlbmF0YWwgRXhwb3N1
cmUgRGVsYXllZCBFZmZlY3RzPC9rZXl3b3JkPjxrZXl3b3JkPlByZXZhbGVuY2U8L2tleXdvcmQ+
PGtleXdvcmQ+U29jaW9lY29ub21pYyBGYWN0b3JzPC9rZXl3b3JkPjxrZXl3b3JkPlRyZWF0bWVu
dCBPdXRjb21lPC9rZXl3b3JkPjxrZXl3b3JkPlZpdGFtaW4gQiAxMi8qYWRtaW5pc3RyYXRpb24g
JmFtcDsgZG9zYWdlPC9rZXl3b3JkPjxrZXl3b3JkPlZpdGFtaW4gQiAxMiBEZWZpY2llbmN5Lypl
cGlkZW1pb2xvZ3k8L2tleXdvcmQ+PGtleXdvcmQ+WW91bmcgQWR1bHQ8L2tleXdvcmQ+PGtleXdv
cmQ+KmFudGVuYXRhbCBudXRyaXRpb248L2tleXdvcmQ+PGtleXdvcmQ+KmNvZ25pdGl2ZSBmdW5j
dGlvbjwva2V5d29yZD48a2V5d29yZD4qaG9tb2N5c3RlaW5lPC9rZXl3b3JkPjxrZXl3b3JkPipp
bmZhbnRzPC9rZXl3b3JkPjxrZXl3b3JkPiptYXRlcm5hbCBtaWNyb251dHJpZW50czwva2V5d29y
ZD48a2V5d29yZD4qbWF0ZXJuYWwgdml0YW1pbiBCMTI8L2tleXdvcmQ+PC9rZXl3b3Jkcz48ZGF0
ZXM+PHllYXI+MjAxNzwveWVhcj48cHViLWRhdGVzPjxkYXRlPkFwcjwvZGF0ZT48L3B1Yi1kYXRl
cz48L2RhdGVzPjxpc2JuPjE3NDAtODcwOSAoRWxlY3Ryb25pYykmI3hEOzE3NDAtODY5NSAoTGlu
a2luZyk8L2lzYm4+PGFjY2Vzc2lvbi1udW0+MjczNTY1NDc8L2FjY2Vzc2lvbi1udW0+PHVybHM+
PHJlbGF0ZWQtdXJscz48dXJsPmh0dHBzOi8vd3d3Lm5jYmkubmxtLm5paC5nb3YvcHVibWVkLzI3
MzU2NTQ3PC91cmw+PC9yZWxhdGVkLXVybHM+PC91cmxzPjxjdXN0b20yPlBNQzYwOTA1NDg8L2N1
c3RvbTI+PGVsZWN0cm9uaWMtcmVzb3VyY2UtbnVtPjEwLjExMTEvbWNuLjEyMzI1PC9lbGVjdHJv
bmljLXJlc291cmNlLW51bT48L3JlY29yZD48L0NpdGU+PENpdGU+PEF1dGhvcj5UaG9tYXM8L0F1
dGhvcj48WWVhcj4yMDE5PC9ZZWFyPjxSZWNOdW0+MTYwODwvUmVjTnVtPjxyZWNvcmQ+PHJlYy1u
dW1iZXI+MTYwODwvcmVjLW51bWJlcj48Zm9yZWlnbi1rZXlzPjxrZXkgYXBwPSJFTiIgZGItaWQ9
ImV4dmFzcmZ4MmR0cmFvZXNhc3hwMnN6c3hhMmRmNTAyNTkyeCIgdGltZXN0YW1wPSIxNTc2NTU1
MDgwIj4xNjA4PC9rZXk+PGtleSBhcHA9IkVOV2ViIiBkYi1pZD0iIj4wPC9rZXk+PC9mb3JlaWdu
LWtleXM+PHJlZi10eXBlIG5hbWU9IkpvdXJuYWwgQXJ0aWNsZSI+MTc8L3JlZi10eXBlPjxjb250
cmlidXRvcnM+PGF1dGhvcnM+PGF1dGhvcj5UaG9tYXMsIFMuPC9hdXRob3I+PGF1dGhvcj5UaG9t
YXMsIFQuPC9hdXRob3I+PGF1dGhvcj5Cb3NjaCwgUi4gSi48L2F1dGhvcj48YXV0aG9yPlJhbXRo
YWwsIEEuPC9hdXRob3I+PGF1dGhvcj5CZWxsaW5nZXIsIEQuIEMuPC9hdXRob3I+PGF1dGhvcj5L
dXJwYWQsIEEuIFYuPC9hdXRob3I+PGF1dGhvcj5EdWdnYW4sIEMuIFAuPC9hdXRob3I+PGF1dGhv
cj5TcmluaXZhc2FuLCBLLjwvYXV0aG9yPjwvYXV0aG9ycz48L2NvbnRyaWJ1dG9ycz48YXV0aC1h
ZGRyZXNzPkRpdmlzaW9uIG9mIE1lbnRhbCBIZWFsdGggJmFtcDsgTmV1cm9zY2llbmNlcywgU3Qg
Sm9obiZhcG9zO3MgTmF0aW9uYWwgQWNhZGVteSBvZiBIZWFsdGggU2NpZW5jZXMsIFN0IEpvaG4m
YXBvcztzIFJlc2VhcmNoIEluc3RpdHV0ZSwgQmVuZ2FsdXJ1LCBLYXJuYXRha2EsIDU2MDAzNCwg
SW5kaWEuJiN4RDtEaXZpc2lvbiBvZiBFcGlkZW1pb2xvZ3ksIEJpb3N0YXRpc3RpY3MgYW5kIFBv
cHVsYXRpb24gSGVhbHRoLCBTdCBKb2huJmFwb3M7cyBSZXNlYXJjaCBJbnN0aXR1dGUsIEJlbmdh
bHVydSwgS2FybmF0YWthLCBJbmRpYS4mI3hEO0RlcGFydG1lbnQgb2YgQmlvc3RhdGlzdGljcywg
SGFydmFyZCBUSCBDaGFuIFNjaG9vbCBvZiBQdWJsaWMgSGVhbHRoLCBCb3N0b24sIE1BLCBVU0Eu
JiN4RDtEZXBhcnRtZW50IG9mIE5ldXJvbG9neSwgQm9zdG9uIENoaWxkcmVuJmFwb3M7cyBIb3Nw
aXRhbCwgSGFydmFyZCBNZWRpY2FsIFNjaG9vbCwgQm9zdG9uLCBNQSwgVVNBLiYjeEQ7RGl2aXNp
b24gb2YgTnV0cml0aW9uLCBTdCBKb2huJmFwb3M7cyBSZXNlYXJjaCBJbnN0aXR1dGUsIEJlbmdh
bHVydSwgS2FybmF0YWthLCBJbmRpYS4mI3hEO0RlcGFydG1lbnQgb2YgUGh5c2lvbG9neSwgU3Qg
Sm9obnMgTWVkaWNhbCBDb2xsZWdlLCBCZW5nYWx1cnUsIEthcm5hdGFrYSwgSW5kaWEuJiN4RDtE
aXZpc2lvbiBvZiBHYXN0cm9lbnRlcm9sb2d5LCBIZXBhdG9sb2d5IGFuZCBOdXRyaXRpb24sIENl
bnRlciBmb3IgTnV0cml0aW9uLCBCb3N0b24gQ2hpbGRyZW4mYXBvcztzIEhvc3BpdGFsLCBCb3N0
b24sIE1BLCBVU0EuJiN4RDtEaXZpc2lvbiBvZiBNZW50YWwgSGVhbHRoICZhbXA7IE5ldXJvc2Np
ZW5jZXMsIFN0IEpvaG4mYXBvcztzIE5hdGlvbmFsIEFjYWRlbXkgb2YgSGVhbHRoIFNjaWVuY2Vz
LCBTdCBKb2huJmFwb3M7cyBSZXNlYXJjaCBJbnN0aXR1dGUsIEJlbmdhbHVydSwgS2FybmF0YWth
LCA1NjAwMzQsIEluZGlhLiBzcmluaXZhc0BzanJpLnJlcy5pbi4mI3hEO0RlcGFydG1lbnQgb2Yg
UHN5Y2hpYXRyeSwgU3QgSm9obiZhcG9zO3MgTWVkaWNhbCBDb2xsZWdlLCBCZW5nYWx1cnUsIEth
cm5hdGFrYSwgSW5kaWEuIHNyaW5pdmFzQHNqcmkucmVzLmluLjwvYXV0aC1hZGRyZXNzPjx0aXRs
ZXM+PHRpdGxlPkVmZmVjdCBvZiBtYXRlcm5hbCB2aXRhbWluIEIxMiBTdXBwbGVtZW50YXRpb24g
b24gY29nbml0aXZlIG91dGNvbWVzIGluIFNvdXRoIEluZGlhbiBjaGlsZHJlbjogYSByYW5kb21p
emVkIGNvbnRyb2xsZWQgY2xpbmljYWwgdHJpYWw8L3RpdGxlPjxzZWNvbmRhcnktdGl0bGU+TWF0
ZXJuIENoaWxkIEhlYWx0aCBKPC9zZWNvbmRhcnktdGl0bGU+PC90aXRsZXM+PHBlcmlvZGljYWw+
PGZ1bGwtdGl0bGU+TWF0ZXJuIENoaWxkIEhlYWx0aCBKPC9mdWxsLXRpdGxlPjwvcGVyaW9kaWNh
bD48cGFnZXM+MTU1LTE2MzwvcGFnZXM+PHZvbHVtZT4yMzwvdm9sdW1lPjxudW1iZXI+MjwvbnVt
YmVyPjxlZGl0aW9uPjIwMTgvMDcvMTQ8L2VkaXRpb24+PGtleXdvcmRzPjxrZXl3b3JkPkNoaWxk
PC9rZXl3b3JkPjxrZXl3b3JkPipDaGlsZCBEZXZlbG9wbWVudDwva2V5d29yZD48a2V5d29yZD5D
b2duaXRpb24vKmRydWcgZWZmZWN0cy9waHlzaW9sb2d5PC9rZXl3b3JkPjxrZXl3b3JkPipEaWV0
YXJ5IFN1cHBsZW1lbnRzPC9rZXl3b3JkPjxrZXl3b3JkPkZlbWFsZTwva2V5d29yZD48a2V5d29y
ZD4qRmV0YWwgRGV2ZWxvcG1lbnQ8L2tleXdvcmQ+PGtleXdvcmQ+SHVtYW5zPC9rZXl3b3JkPjxr
ZXl3b3JkPkluZGlhL2VwaWRlbWlvbG9neTwva2V5d29yZD48a2V5d29yZD5JbmZhbnQ8L2tleXdv
cmQ+PGtleXdvcmQ+TWFsZTwva2V5d29yZD48a2V5d29yZD5NYXRlcm5hbCBOdXRyaXRpb25hbCBQ
aHlzaW9sb2dpY2FsIFBoZW5vbWVuYTwva2V5d29yZD48a2V5d29yZD5Qb3N0bmF0YWwgQ2FyZTwv
a2V5d29yZD48a2V5d29yZD5QcmVnbmFuY3k8L2tleXdvcmQ+PGtleXdvcmQ+UHJlbmF0YWwgQ2Fy
ZTwva2V5d29yZD48a2V5d29yZD5QcmVuYXRhbCBFeHBvc3VyZSBEZWxheWVkIEVmZmVjdHM8L2tl
eXdvcmQ+PGtleXdvcmQ+U29jaW9lY29ub21pYyBGYWN0b3JzPC9rZXl3b3JkPjxrZXl3b3JkPlRy
ZWF0bWVudCBPdXRjb21lPC9rZXl3b3JkPjxrZXl3b3JkPlZpdGFtaW4gQiAxMi8qYWRtaW5pc3Ry
YXRpb24gJmFtcDsgZG9zYWdlL2Jsb29kPC9rZXl3b3JkPjxrZXl3b3JkPkNvZ25pdGlvbjwva2V5
d29yZD48a2V5d29yZD5FbGV2YXRlZCBob21vY3lzdGVpbmUgbGV2ZWxzPC9rZXl3b3JkPjxrZXl3
b3JkPlZpdGFtaW4gQjEyIHN1cHBsZW1lbnRhdGlvbjwva2V5d29yZD48L2tleXdvcmRzPjxkYXRl
cz48eWVhcj4yMDE5PC95ZWFyPjxwdWItZGF0ZXM+PGRhdGU+RmViPC9kYXRlPjwvcHViLWRhdGVz
PjwvZGF0ZXM+PGlzYm4+MTU3My02NjI4IChFbGVjdHJvbmljKSYjeEQ7MTA5Mi03ODc1IChMaW5r
aW5nKTwvaXNibj48YWNjZXNzaW9uLW51bT4zMDAwMzUyMTwvYWNjZXNzaW9uLW51bT48dXJscz48
cmVsYXRlZC11cmxzPjx1cmw+aHR0cHM6Ly93d3cubmNiaS5ubG0ubmloLmdvdi9wdWJtZWQvMzAw
MDM1MjE8L3VybD48L3JlbGF0ZWQtdXJscz48L3VybHM+PGVsZWN0cm9uaWMtcmVzb3VyY2UtbnVt
PjEwLjEwMDcvczEwOTk1LTAxOC0yNjA1LXo8L2VsZWN0cm9uaWMtcmVzb3VyY2UtbnVtPjwvcmVj
b3JkPjwvQ2l0ZT48L0VuZE5vdGU+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144,145</w:t>
            </w:r>
            <w:r w:rsidR="00201490">
              <w:fldChar w:fldCharType="end"/>
            </w:r>
          </w:p>
          <w:p w14:paraId="7D86C3C8" w14:textId="14547E0D" w:rsidR="0090198B" w:rsidRPr="00055BFC" w:rsidRDefault="0090198B" w:rsidP="00055BFC">
            <w:r>
              <w:t>India</w:t>
            </w:r>
          </w:p>
        </w:tc>
        <w:tc>
          <w:tcPr>
            <w:tcW w:w="1390" w:type="dxa"/>
          </w:tcPr>
          <w:p w14:paraId="5064D07D" w14:textId="6D467463" w:rsidR="00055BFC" w:rsidRDefault="00F51AEF" w:rsidP="00543079">
            <w:r>
              <w:t xml:space="preserve">Intervention </w:t>
            </w:r>
            <w:r w:rsidR="00875388">
              <w:t>131</w:t>
            </w:r>
          </w:p>
          <w:p w14:paraId="3611CA77" w14:textId="78E1C61E" w:rsidR="00F51AEF" w:rsidRDefault="00F51AEF" w:rsidP="00543079">
            <w:r>
              <w:t>Control 1</w:t>
            </w:r>
            <w:r w:rsidR="00875388">
              <w:t>25</w:t>
            </w:r>
          </w:p>
        </w:tc>
        <w:tc>
          <w:tcPr>
            <w:tcW w:w="4819" w:type="dxa"/>
          </w:tcPr>
          <w:p w14:paraId="1C973DD9" w14:textId="68E81D02" w:rsidR="00F51AEF" w:rsidRDefault="00F51AEF" w:rsidP="00F51AEF">
            <w:r w:rsidRPr="0090198B">
              <w:rPr>
                <w:b/>
              </w:rPr>
              <w:t>Aim</w:t>
            </w:r>
            <w:r>
              <w:t xml:space="preserve">: To </w:t>
            </w:r>
            <w:r w:rsidRPr="00F51AEF">
              <w:t>report the effects of maternal B</w:t>
            </w:r>
            <w:r w:rsidRPr="00F51AEF">
              <w:rPr>
                <w:vertAlign w:val="subscript"/>
              </w:rPr>
              <w:t>12</w:t>
            </w:r>
            <w:r w:rsidRPr="00F51AEF">
              <w:t xml:space="preserve"> supplementation on cognitive development in infants.</w:t>
            </w:r>
          </w:p>
          <w:p w14:paraId="575CB6BE" w14:textId="39A9DEA0" w:rsidR="00F51AEF" w:rsidRDefault="00F51AEF" w:rsidP="00F51AEF">
            <w:r w:rsidRPr="0090198B">
              <w:rPr>
                <w:b/>
              </w:rPr>
              <w:t>Population</w:t>
            </w:r>
            <w:r>
              <w:t xml:space="preserve">: </w:t>
            </w:r>
            <w:r w:rsidR="0090198B">
              <w:t>Pregnant women less than 14 weeks gestation.</w:t>
            </w:r>
          </w:p>
          <w:p w14:paraId="639105FA" w14:textId="7CC7FC79" w:rsidR="00055BFC" w:rsidRPr="0090198B" w:rsidRDefault="0090198B" w:rsidP="0090198B">
            <w:r w:rsidRPr="0090198B">
              <w:rPr>
                <w:b/>
              </w:rPr>
              <w:t>Intervention</w:t>
            </w:r>
            <w:r>
              <w:t>: O</w:t>
            </w:r>
            <w:r w:rsidR="00F51AEF" w:rsidRPr="00F51AEF">
              <w:t xml:space="preserve">ral </w:t>
            </w:r>
            <w:r>
              <w:t xml:space="preserve">vitamin </w:t>
            </w:r>
            <w:r w:rsidR="00F51AEF" w:rsidRPr="00F51AEF">
              <w:t>B</w:t>
            </w:r>
            <w:r w:rsidR="00F51AEF" w:rsidRPr="0090198B">
              <w:rPr>
                <w:vertAlign w:val="subscript"/>
              </w:rPr>
              <w:t>12</w:t>
            </w:r>
            <w:r w:rsidR="00F51AEF" w:rsidRPr="00F51AEF">
              <w:t xml:space="preserve"> supplementation (50 microg</w:t>
            </w:r>
            <w:r w:rsidR="00D8469A">
              <w:t>/day</w:t>
            </w:r>
            <w:r w:rsidR="00F51AEF" w:rsidRPr="00F51AEF">
              <w:t xml:space="preserve">) beginning at </w:t>
            </w:r>
            <w:r>
              <w:t>&lt;14 weeks of gestation through to</w:t>
            </w:r>
            <w:r w:rsidR="00F51AEF" w:rsidRPr="00F51AEF">
              <w:t xml:space="preserve"> 6-week post-partum. </w:t>
            </w:r>
          </w:p>
        </w:tc>
        <w:tc>
          <w:tcPr>
            <w:tcW w:w="4535" w:type="dxa"/>
          </w:tcPr>
          <w:p w14:paraId="45FE463A" w14:textId="4D100AA8" w:rsidR="003C7DF5" w:rsidRDefault="003C7DF5" w:rsidP="00FE4CCC">
            <w:r>
              <w:t>Maternal B</w:t>
            </w:r>
            <w:r w:rsidRPr="003C7DF5">
              <w:rPr>
                <w:vertAlign w:val="subscript"/>
              </w:rPr>
              <w:t>12</w:t>
            </w:r>
            <w:r>
              <w:t xml:space="preserve"> supplementation </w:t>
            </w:r>
            <w:r w:rsidR="00875388">
              <w:t xml:space="preserve">(n=78) </w:t>
            </w:r>
            <w:r>
              <w:t>vs placebo in infants a</w:t>
            </w:r>
            <w:r w:rsidR="00875388">
              <w:t>t 9 months (n=100</w:t>
            </w:r>
            <w:r w:rsidR="00FE4CCC">
              <w:t>)</w:t>
            </w:r>
            <w:r>
              <w:t>:</w:t>
            </w:r>
          </w:p>
          <w:p w14:paraId="2EDC7C82" w14:textId="6E712069" w:rsidR="003C7DF5" w:rsidRDefault="00F51AEF" w:rsidP="003C7DF5">
            <w:pPr>
              <w:pStyle w:val="bullet"/>
            </w:pPr>
            <w:r w:rsidRPr="00F51AEF">
              <w:t xml:space="preserve">no significant differences in any subscales of BSID-III </w:t>
            </w:r>
          </w:p>
          <w:p w14:paraId="35C26041" w14:textId="54772D8F" w:rsidR="00A53432" w:rsidRDefault="00A53432" w:rsidP="00A53432">
            <w:r>
              <w:t xml:space="preserve">Elevated maternal </w:t>
            </w:r>
            <w:r w:rsidRPr="00F51AEF">
              <w:t>homocysteine levels</w:t>
            </w:r>
            <w:r w:rsidR="00875388">
              <w:t xml:space="preserve"> vs no elevated homocysteine</w:t>
            </w:r>
            <w:r>
              <w:t>:</w:t>
            </w:r>
          </w:p>
          <w:p w14:paraId="1280B5D8" w14:textId="62439496" w:rsidR="003C7DF5" w:rsidRDefault="00A53432" w:rsidP="003C7DF5">
            <w:pPr>
              <w:pStyle w:val="bullet"/>
            </w:pPr>
            <w:r>
              <w:t xml:space="preserve">second trimester: </w:t>
            </w:r>
            <w:r w:rsidR="00F51AEF" w:rsidRPr="00F51AEF">
              <w:t>expressive language (</w:t>
            </w:r>
            <w:r w:rsidR="00FE4CCC">
              <w:t xml:space="preserve">ß </w:t>
            </w:r>
            <w:r>
              <w:t>-</w:t>
            </w:r>
            <w:r w:rsidR="00FE4CCC">
              <w:t>3.13, P&lt;</w:t>
            </w:r>
            <w:r w:rsidR="00F51AEF" w:rsidRPr="00F51AEF">
              <w:t>0.001)</w:t>
            </w:r>
          </w:p>
          <w:p w14:paraId="47D440DF" w14:textId="3146722D" w:rsidR="00055BFC" w:rsidRDefault="00F51AEF" w:rsidP="003C7DF5">
            <w:pPr>
              <w:pStyle w:val="bullet"/>
            </w:pPr>
            <w:r w:rsidRPr="00F51AEF">
              <w:t>third trimester</w:t>
            </w:r>
            <w:r w:rsidR="00A53432">
              <w:t>:</w:t>
            </w:r>
            <w:r w:rsidRPr="00F51AEF">
              <w:t xml:space="preserve"> expressive language (</w:t>
            </w:r>
            <w:r w:rsidR="00A53432">
              <w:t>ß</w:t>
            </w:r>
            <w:r w:rsidRPr="00F51AEF">
              <w:t xml:space="preserve"> -2.29</w:t>
            </w:r>
            <w:r w:rsidR="00A53432">
              <w:t>, P&lt;</w:t>
            </w:r>
            <w:r w:rsidRPr="00F51AEF">
              <w:t>0.001) and fine motor (</w:t>
            </w:r>
            <w:r w:rsidR="00A53432">
              <w:t>ß -1.41, P=</w:t>
            </w:r>
            <w:r w:rsidRPr="00F51AEF">
              <w:t xml:space="preserve">0.005) </w:t>
            </w:r>
          </w:p>
          <w:p w14:paraId="07185944" w14:textId="0D62659D" w:rsidR="00A53432" w:rsidRDefault="00A53432" w:rsidP="00A53432">
            <w:r>
              <w:t>Maternal B</w:t>
            </w:r>
            <w:r w:rsidRPr="003C7DF5">
              <w:rPr>
                <w:vertAlign w:val="subscript"/>
              </w:rPr>
              <w:t>12</w:t>
            </w:r>
            <w:r>
              <w:t xml:space="preserve"> supplementation </w:t>
            </w:r>
            <w:r w:rsidR="00875388">
              <w:t xml:space="preserve">(n=114) </w:t>
            </w:r>
            <w:r>
              <w:t>vs placebo</w:t>
            </w:r>
            <w:r w:rsidR="00875388">
              <w:t xml:space="preserve"> (n=104)</w:t>
            </w:r>
            <w:r>
              <w:t xml:space="preserve"> in infants at 30 months:</w:t>
            </w:r>
          </w:p>
          <w:p w14:paraId="59A69309" w14:textId="77777777" w:rsidR="00875388" w:rsidRDefault="003C7DF5" w:rsidP="00A53432">
            <w:pPr>
              <w:pStyle w:val="bullet"/>
            </w:pPr>
            <w:r w:rsidRPr="0090198B">
              <w:t>significantly higher scores on expressive language (</w:t>
            </w:r>
            <w:r w:rsidR="00A53432">
              <w:t>ß 0.14, P=</w:t>
            </w:r>
            <w:r w:rsidR="00875388">
              <w:t>0.03).</w:t>
            </w:r>
          </w:p>
          <w:p w14:paraId="4932DE9D" w14:textId="087A67B6" w:rsidR="00875388" w:rsidRDefault="00875388" w:rsidP="00875388">
            <w:r>
              <w:t>E</w:t>
            </w:r>
            <w:r w:rsidR="003C7DF5" w:rsidRPr="0090198B">
              <w:t xml:space="preserve">levated </w:t>
            </w:r>
            <w:r>
              <w:t xml:space="preserve">maternal </w:t>
            </w:r>
            <w:r w:rsidR="003C7DF5" w:rsidRPr="0090198B">
              <w:t>homocysteine</w:t>
            </w:r>
            <w:r>
              <w:t xml:space="preserve"> vs no elevated homocysteine:</w:t>
            </w:r>
          </w:p>
          <w:p w14:paraId="02DE6EBA" w14:textId="696A6045" w:rsidR="00875388" w:rsidRDefault="00875388" w:rsidP="00875388">
            <w:pPr>
              <w:pStyle w:val="bullet"/>
            </w:pPr>
            <w:r>
              <w:t>Second trimester: expressive language (ß - 0.18, P=</w:t>
            </w:r>
            <w:r w:rsidRPr="0090198B">
              <w:t>0.03</w:t>
            </w:r>
            <w:r>
              <w:t xml:space="preserve">) and gross motor </w:t>
            </w:r>
            <w:r w:rsidRPr="0090198B">
              <w:t>(</w:t>
            </w:r>
            <w:r>
              <w:t>ß -0.23, P=</w:t>
            </w:r>
            <w:r w:rsidRPr="0090198B">
              <w:t>0.008</w:t>
            </w:r>
            <w:r>
              <w:t>)</w:t>
            </w:r>
          </w:p>
          <w:p w14:paraId="4D9F445A" w14:textId="42619015" w:rsidR="003C7DF5" w:rsidRPr="00055BFC" w:rsidRDefault="00875388" w:rsidP="00875388">
            <w:pPr>
              <w:pStyle w:val="bullet"/>
            </w:pPr>
            <w:r>
              <w:t xml:space="preserve">Third trimester: </w:t>
            </w:r>
            <w:r w:rsidR="003C7DF5" w:rsidRPr="0090198B">
              <w:t>expressive language (</w:t>
            </w:r>
            <w:r>
              <w:t>ß - 0.19, P=0.02</w:t>
            </w:r>
            <w:r w:rsidR="003C7DF5" w:rsidRPr="0090198B">
              <w:t xml:space="preserve">) and gross motor </w:t>
            </w:r>
            <w:r>
              <w:t>(ß -0.30, P=</w:t>
            </w:r>
            <w:r w:rsidR="003C7DF5" w:rsidRPr="0090198B">
              <w:t>0.001</w:t>
            </w:r>
            <w:r>
              <w:t>)</w:t>
            </w:r>
          </w:p>
        </w:tc>
        <w:tc>
          <w:tcPr>
            <w:tcW w:w="1844" w:type="dxa"/>
          </w:tcPr>
          <w:p w14:paraId="720E0630" w14:textId="77777777" w:rsidR="00055BFC" w:rsidRPr="00236C51" w:rsidRDefault="00055BFC" w:rsidP="00543079">
            <w:pPr>
              <w:keepNext/>
            </w:pPr>
          </w:p>
        </w:tc>
      </w:tr>
    </w:tbl>
    <w:p w14:paraId="05865E48" w14:textId="0D325726" w:rsidR="000209C8" w:rsidRDefault="009C163D" w:rsidP="005719CE">
      <w:pPr>
        <w:pStyle w:val="TableName"/>
        <w:ind w:left="1134" w:hanging="1134"/>
      </w:pPr>
      <w:bookmarkStart w:id="81" w:name="_Toc40956616"/>
      <w:r>
        <w:t xml:space="preserve">Q3 </w:t>
      </w:r>
      <w:r w:rsidR="000209C8">
        <w:t xml:space="preserve">Harms and benefits of </w:t>
      </w:r>
      <w:r w:rsidR="00DD7284">
        <w:t>vitamin C</w:t>
      </w:r>
      <w:r w:rsidR="000209C8">
        <w:t xml:space="preserve"> supplementation in pregnancy — systematic reviews</w:t>
      </w:r>
      <w:bookmarkEnd w:id="8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8: Q3 Harms and benefits of vitamin C supplementation in pregnancy — systematic reviews"/>
      </w:tblPr>
      <w:tblGrid>
        <w:gridCol w:w="1304"/>
        <w:gridCol w:w="1247"/>
        <w:gridCol w:w="4962"/>
        <w:gridCol w:w="4536"/>
        <w:gridCol w:w="1843"/>
      </w:tblGrid>
      <w:tr w:rsidR="000209C8" w:rsidRPr="00F350A6" w14:paraId="79031E87" w14:textId="77777777" w:rsidTr="00A54965">
        <w:trPr>
          <w:cantSplit/>
          <w:trHeight w:val="390"/>
          <w:tblHeader/>
        </w:trPr>
        <w:tc>
          <w:tcPr>
            <w:tcW w:w="1304" w:type="dxa"/>
          </w:tcPr>
          <w:p w14:paraId="0EDB9E64" w14:textId="77777777" w:rsidR="000209C8" w:rsidRPr="00F350A6" w:rsidRDefault="000209C8" w:rsidP="00632FE5">
            <w:pPr>
              <w:keepNext/>
              <w:rPr>
                <w:b/>
              </w:rPr>
            </w:pPr>
            <w:r>
              <w:rPr>
                <w:b/>
              </w:rPr>
              <w:t>Study ref</w:t>
            </w:r>
          </w:p>
        </w:tc>
        <w:tc>
          <w:tcPr>
            <w:tcW w:w="1247" w:type="dxa"/>
          </w:tcPr>
          <w:p w14:paraId="1A581894" w14:textId="77777777" w:rsidR="000209C8" w:rsidRPr="00F350A6" w:rsidRDefault="000209C8" w:rsidP="00632FE5">
            <w:pPr>
              <w:keepNext/>
              <w:rPr>
                <w:b/>
              </w:rPr>
            </w:pPr>
            <w:r>
              <w:rPr>
                <w:b/>
              </w:rPr>
              <w:t>N</w:t>
            </w:r>
          </w:p>
        </w:tc>
        <w:tc>
          <w:tcPr>
            <w:tcW w:w="4962" w:type="dxa"/>
          </w:tcPr>
          <w:p w14:paraId="40B3ACB9" w14:textId="3FFFB46A" w:rsidR="000209C8" w:rsidRPr="00F350A6" w:rsidRDefault="000209C8" w:rsidP="00354B87">
            <w:pPr>
              <w:keepNext/>
              <w:rPr>
                <w:b/>
              </w:rPr>
            </w:pPr>
            <w:r>
              <w:rPr>
                <w:b/>
              </w:rPr>
              <w:t>Aim/</w:t>
            </w:r>
            <w:r w:rsidR="00354B87">
              <w:rPr>
                <w:b/>
              </w:rPr>
              <w:t>methods</w:t>
            </w:r>
          </w:p>
        </w:tc>
        <w:tc>
          <w:tcPr>
            <w:tcW w:w="4536" w:type="dxa"/>
          </w:tcPr>
          <w:p w14:paraId="47F60F92" w14:textId="77777777" w:rsidR="000209C8" w:rsidRPr="00F350A6" w:rsidRDefault="000209C8" w:rsidP="00632FE5">
            <w:pPr>
              <w:keepNext/>
              <w:rPr>
                <w:b/>
              </w:rPr>
            </w:pPr>
            <w:r>
              <w:rPr>
                <w:b/>
              </w:rPr>
              <w:t>Results</w:t>
            </w:r>
          </w:p>
        </w:tc>
        <w:tc>
          <w:tcPr>
            <w:tcW w:w="1843" w:type="dxa"/>
          </w:tcPr>
          <w:p w14:paraId="45C03020" w14:textId="77777777" w:rsidR="000209C8" w:rsidRPr="00F350A6" w:rsidRDefault="000209C8" w:rsidP="00632FE5">
            <w:pPr>
              <w:keepNext/>
              <w:rPr>
                <w:b/>
              </w:rPr>
            </w:pPr>
            <w:r>
              <w:rPr>
                <w:b/>
              </w:rPr>
              <w:t>Comments</w:t>
            </w:r>
          </w:p>
        </w:tc>
      </w:tr>
      <w:tr w:rsidR="00B36B56" w:rsidRPr="00D150D8" w14:paraId="52D163D9" w14:textId="77777777" w:rsidTr="004B62DF">
        <w:trPr>
          <w:cantSplit/>
        </w:trPr>
        <w:tc>
          <w:tcPr>
            <w:tcW w:w="1304" w:type="dxa"/>
            <w:tcBorders>
              <w:bottom w:val="single" w:sz="4" w:space="0" w:color="auto"/>
            </w:tcBorders>
          </w:tcPr>
          <w:p w14:paraId="2739FCB8" w14:textId="49B76B25" w:rsidR="00B36B56" w:rsidRDefault="00B36B56" w:rsidP="002747EA">
            <w:r>
              <w:t>Balogun et al 2016</w:t>
            </w:r>
            <w:r w:rsidR="00E51743">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125</w:t>
            </w:r>
            <w:r w:rsidR="00E51743">
              <w:fldChar w:fldCharType="end"/>
            </w:r>
          </w:p>
        </w:tc>
        <w:tc>
          <w:tcPr>
            <w:tcW w:w="1247" w:type="dxa"/>
            <w:tcBorders>
              <w:bottom w:val="single" w:sz="4" w:space="0" w:color="auto"/>
            </w:tcBorders>
          </w:tcPr>
          <w:p w14:paraId="69C8CA2A" w14:textId="77777777" w:rsidR="00B36B56" w:rsidRDefault="00B36B56" w:rsidP="00632FE5">
            <w:r w:rsidRPr="00967618">
              <w:t xml:space="preserve">40 </w:t>
            </w:r>
            <w:r>
              <w:t>studies</w:t>
            </w:r>
            <w:r w:rsidRPr="00967618">
              <w:t xml:space="preserve"> </w:t>
            </w:r>
          </w:p>
          <w:p w14:paraId="76A0DF5B" w14:textId="57009362" w:rsidR="00B36B56" w:rsidRDefault="00B36B56" w:rsidP="00632FE5">
            <w:pPr>
              <w:keepNext/>
            </w:pPr>
            <w:r w:rsidRPr="00967618">
              <w:t>276,820</w:t>
            </w:r>
          </w:p>
        </w:tc>
        <w:tc>
          <w:tcPr>
            <w:tcW w:w="4962" w:type="dxa"/>
            <w:tcBorders>
              <w:bottom w:val="single" w:sz="4" w:space="0" w:color="auto"/>
            </w:tcBorders>
          </w:tcPr>
          <w:p w14:paraId="4C23068B" w14:textId="36B102E6" w:rsidR="00B36B56" w:rsidRPr="00FB6327" w:rsidRDefault="00B36B56" w:rsidP="00632FE5">
            <w:r w:rsidRPr="00FB6327">
              <w:rPr>
                <w:b/>
              </w:rPr>
              <w:t>Aim</w:t>
            </w:r>
            <w:r>
              <w:t xml:space="preserve">: </w:t>
            </w:r>
            <w:r w:rsidRPr="00FB6327">
              <w:t>to determine the effectiveness and safety</w:t>
            </w:r>
            <w:r w:rsidR="000376A4">
              <w:t xml:space="preserve"> of any vitamin supplementation</w:t>
            </w:r>
            <w:r w:rsidRPr="00FB6327">
              <w:t xml:space="preserve"> on the risk of spontaneous</w:t>
            </w:r>
            <w:r>
              <w:t xml:space="preserve"> </w:t>
            </w:r>
            <w:r w:rsidRPr="00FB6327">
              <w:t>miscarriage.</w:t>
            </w:r>
          </w:p>
          <w:p w14:paraId="14A58EF6" w14:textId="76BEEA92" w:rsidR="00B36B56" w:rsidRPr="00EE52B3" w:rsidRDefault="00B36B56" w:rsidP="00632FE5">
            <w:pPr>
              <w:rPr>
                <w:b/>
              </w:rPr>
            </w:pPr>
            <w:r w:rsidRPr="00FB6327">
              <w:rPr>
                <w:b/>
              </w:rPr>
              <w:t>Methods</w:t>
            </w:r>
            <w:r>
              <w:t xml:space="preserve">: </w:t>
            </w:r>
            <w:r w:rsidRPr="00FB6327">
              <w:t>We searched the Cochrane Pregnancy and Childbirth Group Trials Register (6 November 2015) and reference lists of retrieved studies.</w:t>
            </w:r>
            <w:r>
              <w:t xml:space="preserve"> </w:t>
            </w:r>
            <w:r w:rsidRPr="00FB6327">
              <w:t>All randomised and quasi-randomised trials comparing supplementation during pregnancy with one or more vitamins with either placebo, other vitamins, no vitamins or other interventions. We have included supplementation that started prior to conception, periconceptionally or in early pregnancy (less than 20 weeks’ gestation).</w:t>
            </w:r>
          </w:p>
        </w:tc>
        <w:tc>
          <w:tcPr>
            <w:tcW w:w="4536" w:type="dxa"/>
            <w:tcBorders>
              <w:bottom w:val="single" w:sz="4" w:space="0" w:color="auto"/>
            </w:tcBorders>
          </w:tcPr>
          <w:p w14:paraId="1539C858" w14:textId="77777777" w:rsidR="00B36B56" w:rsidRDefault="00B36B56" w:rsidP="00066BBF">
            <w:r>
              <w:t>Vitamin C vs placebo:</w:t>
            </w:r>
          </w:p>
          <w:p w14:paraId="4920BE99" w14:textId="4247B6CA" w:rsidR="00B36B56" w:rsidRPr="0083127A" w:rsidRDefault="00B36B56" w:rsidP="00B36B56">
            <w:pPr>
              <w:pStyle w:val="bullet"/>
            </w:pPr>
            <w:r w:rsidRPr="0083127A">
              <w:t>Total fetal loss: RR 1.28 (0.58 to 2.83); 2 studies; n=224</w:t>
            </w:r>
          </w:p>
          <w:p w14:paraId="083CD2D2" w14:textId="6215A6CD" w:rsidR="00B36B56" w:rsidRPr="0083127A" w:rsidRDefault="00B36B56" w:rsidP="00B36B56">
            <w:pPr>
              <w:pStyle w:val="bullet"/>
            </w:pPr>
            <w:r w:rsidRPr="0083127A">
              <w:t>Early or late miscarriage; RR 1.17 (0.52 to 2.65); 2 studies; n=224</w:t>
            </w:r>
          </w:p>
          <w:p w14:paraId="2E6A323C" w14:textId="2B1C61D9" w:rsidR="00B36B56" w:rsidRDefault="00B36B56" w:rsidP="00B36B56">
            <w:pPr>
              <w:pStyle w:val="bullet"/>
            </w:pPr>
            <w:r w:rsidRPr="0083127A">
              <w:t xml:space="preserve">Stillbirth: RR 3.0 (0.12 to 72.77); 1 study; n=200 </w:t>
            </w:r>
          </w:p>
        </w:tc>
        <w:tc>
          <w:tcPr>
            <w:tcW w:w="1843" w:type="dxa"/>
            <w:tcBorders>
              <w:bottom w:val="single" w:sz="4" w:space="0" w:color="auto"/>
            </w:tcBorders>
          </w:tcPr>
          <w:p w14:paraId="3B15EA7C" w14:textId="77777777" w:rsidR="00B36B56" w:rsidRPr="00D150D8" w:rsidRDefault="00B36B56" w:rsidP="00632FE5">
            <w:pPr>
              <w:keepNext/>
            </w:pPr>
          </w:p>
        </w:tc>
      </w:tr>
      <w:tr w:rsidR="001D527F" w:rsidRPr="00D150D8" w14:paraId="527CCC43" w14:textId="77777777" w:rsidTr="004B62DF">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c>
          <w:tcPr>
            <w:tcW w:w="1304" w:type="dxa"/>
            <w:tcBorders>
              <w:top w:val="single" w:sz="4" w:space="0" w:color="auto"/>
              <w:left w:val="single" w:sz="4" w:space="0" w:color="auto"/>
              <w:bottom w:val="single" w:sz="4" w:space="0" w:color="auto"/>
              <w:right w:val="single" w:sz="4" w:space="0" w:color="auto"/>
            </w:tcBorders>
          </w:tcPr>
          <w:p w14:paraId="2F0F556B" w14:textId="7683B45A" w:rsidR="001D527F" w:rsidRDefault="005D1E0B" w:rsidP="002747EA">
            <w:r>
              <w:t>Fu et al 2018</w:t>
            </w:r>
            <w:r w:rsidR="00E51743">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147</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7A4CBF5C" w14:textId="57587FFD" w:rsidR="001D527F" w:rsidRPr="00967618" w:rsidRDefault="001D527F" w:rsidP="007F3D92">
            <w:r>
              <w:t>1 study</w:t>
            </w:r>
          </w:p>
        </w:tc>
        <w:tc>
          <w:tcPr>
            <w:tcW w:w="4962" w:type="dxa"/>
            <w:tcBorders>
              <w:top w:val="single" w:sz="4" w:space="0" w:color="auto"/>
              <w:left w:val="single" w:sz="4" w:space="0" w:color="auto"/>
              <w:bottom w:val="single" w:sz="4" w:space="0" w:color="auto"/>
              <w:right w:val="single" w:sz="4" w:space="0" w:color="auto"/>
            </w:tcBorders>
          </w:tcPr>
          <w:p w14:paraId="6D56364A" w14:textId="77777777" w:rsidR="001D527F" w:rsidRDefault="001D527F" w:rsidP="007F3D92">
            <w:r w:rsidRPr="001D527F">
              <w:rPr>
                <w:b/>
              </w:rPr>
              <w:t>Aim</w:t>
            </w:r>
            <w:r>
              <w:t>: T</w:t>
            </w:r>
            <w:r w:rsidRPr="001D527F">
              <w:t xml:space="preserve">o define the efficacy of vitamins supplementation on the risk of preeclampsia. </w:t>
            </w:r>
          </w:p>
          <w:p w14:paraId="1F6D971E" w14:textId="496B13BC" w:rsidR="001D527F" w:rsidRPr="00FB6327" w:rsidRDefault="001D527F" w:rsidP="007F3D92">
            <w:pPr>
              <w:rPr>
                <w:b/>
              </w:rPr>
            </w:pPr>
            <w:r w:rsidRPr="001D527F">
              <w:rPr>
                <w:b/>
              </w:rPr>
              <w:t>Methods</w:t>
            </w:r>
            <w:r>
              <w:t xml:space="preserve">: </w:t>
            </w:r>
            <w:r w:rsidRPr="001D527F">
              <w:t xml:space="preserve">Potential articles were systematically searched on the databases of Pubmed, Embase and Web of Science up to May 2016. Relative risk (RR) and 95% confidence intervals (95%CIs) were used to </w:t>
            </w:r>
            <w:r w:rsidR="00501148" w:rsidRPr="001D527F">
              <w:t>analyse</w:t>
            </w:r>
            <w:r w:rsidRPr="001D527F">
              <w:t xml:space="preserve"> the relationship of vitamins supplementation with risk of preeclampsia. </w:t>
            </w:r>
          </w:p>
        </w:tc>
        <w:tc>
          <w:tcPr>
            <w:tcW w:w="4536" w:type="dxa"/>
            <w:tcBorders>
              <w:top w:val="single" w:sz="4" w:space="0" w:color="auto"/>
              <w:left w:val="single" w:sz="4" w:space="0" w:color="auto"/>
              <w:bottom w:val="single" w:sz="4" w:space="0" w:color="auto"/>
              <w:right w:val="single" w:sz="4" w:space="0" w:color="auto"/>
            </w:tcBorders>
          </w:tcPr>
          <w:p w14:paraId="4A4B1278" w14:textId="2D892882" w:rsidR="001D527F" w:rsidRDefault="005D1E0B" w:rsidP="007F3D92">
            <w:r>
              <w:t>Vitamin C vs placebo</w:t>
            </w:r>
            <w:r w:rsidR="001D527F">
              <w:t>:</w:t>
            </w:r>
          </w:p>
          <w:p w14:paraId="3D1064C1" w14:textId="747D96C4" w:rsidR="001D527F" w:rsidRDefault="001D527F" w:rsidP="001D527F">
            <w:pPr>
              <w:pStyle w:val="bullet"/>
            </w:pPr>
            <w:r>
              <w:t xml:space="preserve">Pre-eclampsia: RR 0.77 (0.38 to 1.57) </w:t>
            </w:r>
          </w:p>
        </w:tc>
        <w:tc>
          <w:tcPr>
            <w:tcW w:w="1843" w:type="dxa"/>
            <w:tcBorders>
              <w:top w:val="single" w:sz="4" w:space="0" w:color="auto"/>
              <w:left w:val="single" w:sz="4" w:space="0" w:color="auto"/>
              <w:bottom w:val="single" w:sz="4" w:space="0" w:color="auto"/>
              <w:right w:val="single" w:sz="4" w:space="0" w:color="auto"/>
            </w:tcBorders>
          </w:tcPr>
          <w:p w14:paraId="38F60DD1" w14:textId="77777777" w:rsidR="001D527F" w:rsidRPr="00D150D8" w:rsidRDefault="001D527F" w:rsidP="007F3D92">
            <w:pPr>
              <w:keepNext/>
            </w:pPr>
          </w:p>
        </w:tc>
      </w:tr>
      <w:tr w:rsidR="00EE52B3" w:rsidRPr="00D150D8" w14:paraId="5F0A0870" w14:textId="77777777" w:rsidTr="004B62DF">
        <w:trPr>
          <w:cantSplit/>
        </w:trPr>
        <w:tc>
          <w:tcPr>
            <w:tcW w:w="1304" w:type="dxa"/>
            <w:tcBorders>
              <w:top w:val="single" w:sz="4" w:space="0" w:color="auto"/>
            </w:tcBorders>
          </w:tcPr>
          <w:p w14:paraId="79A88DBC" w14:textId="65757756" w:rsidR="00EE52B3" w:rsidRDefault="00EE52B3" w:rsidP="002747EA">
            <w:r>
              <w:t>Rumbold et al 2015</w:t>
            </w:r>
            <w:r w:rsidR="00E51743">
              <w:fldChar w:fldCharType="begin">
                <w:fldData xml:space="preserve">PEVuZE5vdGU+PENpdGU+PEF1dGhvcj5SdW1ib2xkPC9BdXRob3I+PFllYXI+MjAxNTwvWWVhcj48
UmVjTnVtPjEyODI8L1JlY051bT48RGlzcGxheVRleHQ+PHN0eWxlIGZhY2U9InN1cGVyc2NyaXB0
IiBmb250PSJUcmVidWNoZXQgTVMiIHNpemU9IjkiPjE0ODwvc3R5bGU+PC9EaXNwbGF5VGV4dD48
cmVjb3JkPjxyZWMtbnVtYmVyPjEyODI8L3JlYy1udW1iZXI+PGZvcmVpZ24ta2V5cz48a2V5IGFw
cD0iRU4iIGRiLWlkPSJleHZhc3JmeDJkdHJhb2VzYXN4cDJzenN4YTJkZjUwMjU5MngiIHRpbWVz
dGFtcD0iMTU2MzMyMjA4MyI+MTI4Mjwva2V5PjxrZXkgYXBwPSJFTldlYiIgZGItaWQ9IiI+MDwv
a2V5PjwvZm9yZWlnbi1rZXlzPjxyZWYtdHlwZSBuYW1lPSJKb3VybmFsIEFydGljbGUiPjE3PC9y
ZWYtdHlwZT48Y29udHJpYnV0b3JzPjxhdXRob3JzPjxhdXRob3I+UnVtYm9sZCwgQS48L2F1dGhv
cj48YXV0aG9yPk90YSwgRS48L2F1dGhvcj48YXV0aG9yPk5hZ2F0YSwgQy48L2F1dGhvcj48YXV0
aG9yPlNoYWhyb29rLCBTLjwvYXV0aG9yPjxhdXRob3I+Q3Jvd3RoZXIsIEMuIEEuPC9hdXRob3I+
PC9hdXRob3JzPjwvY29udHJpYnV0b3JzPjxhdXRoLWFkZHJlc3M+VGhlIFJvYmluc29uIFJlc2Vh
cmNoIEluc3RpdHV0ZSwgVGhlIFVuaXZlcnNpdHkgb2YgQWRlbGFpZGUsIEdyb3VuZCBGbG9vciwg
Tm9yd2ljaCBDZW50cmUsIDU1IEtpbmcgV2lsbGlhbSBSb2FkLCBBZGVsYWlkZSwgTlQsIEF1c3Ry
YWxpYSwgU0EgNTAwNi48L2F1dGgtYWRkcmVzcz48dGl0bGVzPjx0aXRsZT5WaXRhbWluIEMgc3Vw
cGxlbWVudGF0aW9uIGluIHByZWduYW5jeTwvdGl0bGU+PHNlY29uZGFyeS10aXRsZT5Db2NocmFu
ZSBEYXRhYmFzZSBTeXN0IFJldjwvc2Vjb25kYXJ5LXRpdGxlPjwvdGl0bGVzPjxwZXJpb2RpY2Fs
PjxmdWxsLXRpdGxlPkNvY2hyYW5lIERhdGFiYXNlIFN5c3QgUmV2PC9mdWxsLXRpdGxlPjwvcGVy
aW9kaWNhbD48cGFnZXM+Q0QwMDQwNzI8L3BhZ2VzPjxudW1iZXI+OTwvbnVtYmVyPjxlZGl0aW9u
PjIwMTUvMDkvMzA8L2VkaXRpb24+PGtleXdvcmRzPjxrZXl3b3JkPkFuZW1pYS9wcmV2ZW50aW9u
ICZhbXA7IGNvbnRyb2w8L2tleXdvcmQ+PGtleXdvcmQ+QXNjb3JiaWMgQWNpZC8qYWRtaW5pc3Ry
YXRpb24gJmFtcDsgZG9zYWdlPC9rZXl3b3JkPjxrZXl3b3JkPipEaWV0YXJ5IFN1cHBsZW1lbnRz
PC9rZXl3b3JkPjxrZXl3b3JkPkZlbWFsZTwva2V5d29yZD48a2V5d29yZD5GZXRhbCBHcm93dGgg
UmV0YXJkYXRpb24vcHJldmVudGlvbiAmYW1wOyBjb250cm9sPC9rZXl3b3JkPjxrZXl3b3JkPkh1
bWFuczwva2V5d29yZD48a2V5d29yZD5QcmUtRWNsYW1wc2lhL3ByZXZlbnRpb24gJmFtcDsgY29u
dHJvbDwva2V5d29yZD48a2V5d29yZD5QcmVnbmFuY3k8L2tleXdvcmQ+PGtleXdvcmQ+UHJlZ25h
bmN5IENvbXBsaWNhdGlvbnMvKnByZXZlbnRpb24gJmFtcDsgY29udHJvbDwva2V5d29yZD48a2V5
d29yZD5QcmVnbmFuY3kgQ29tcGxpY2F0aW9ucywgSGVtYXRvbG9naWMvcHJldmVudGlvbiAmYW1w
OyBjb250cm9sPC9rZXl3b3JkPjxrZXl3b3JkPlJhbmRvbWl6ZWQgQ29udHJvbGxlZCBUcmlhbHMg
YXMgVG9waWM8L2tleXdvcmQ+PGtleXdvcmQ+Vml0YW1pbnMvKmFkbWluaXN0cmF0aW9uICZhbXA7
IGRvc2FnZTwva2V5d29yZD48L2tleXdvcmRzPjxkYXRlcz48eWVhcj4yMDE1PC95ZWFyPjxwdWIt
ZGF0ZXM+PGRhdGU+U2VwIDI5PC9kYXRlPjwvcHViLWRhdGVzPjwvZGF0ZXM+PGlzYm4+MTQ2OS00
OTNYIChFbGVjdHJvbmljKSYjeEQ7MTM2MS02MTM3IChMaW5raW5nKTwvaXNibj48YWNjZXNzaW9u
LW51bT4yNjQxNTc2MjwvYWNjZXNzaW9uLW51bT48dXJscz48cmVsYXRlZC11cmxzPjx1cmw+aHR0
cHM6Ly93d3cubmNiaS5ubG0ubmloLmdvdi9wdWJtZWQvMjY0MTU3NjI8L3VybD48L3JlbGF0ZWQt
dXJscz48L3VybHM+PGVsZWN0cm9uaWMtcmVzb3VyY2UtbnVtPjEwLjEwMDIvMTQ2NTE4NTguQ0Qw
MDQwNzIucHViMzwvZWxlY3Ryb25pYy1yZXNvdXJjZS1udW0+PC9yZWNvcmQ+PC9DaXRlPjwvRW5k
Tm90ZT4A
</w:fldData>
              </w:fldChar>
            </w:r>
            <w:r w:rsidR="002747EA">
              <w:instrText xml:space="preserve"> ADDIN EN.CITE </w:instrText>
            </w:r>
            <w:r w:rsidR="002747EA">
              <w:fldChar w:fldCharType="begin">
                <w:fldData xml:space="preserve">PEVuZE5vdGU+PENpdGU+PEF1dGhvcj5SdW1ib2xkPC9BdXRob3I+PFllYXI+MjAxNTwvWWVhcj48
UmVjTnVtPjEyODI8L1JlY051bT48RGlzcGxheVRleHQ+PHN0eWxlIGZhY2U9InN1cGVyc2NyaXB0
IiBmb250PSJUcmVidWNoZXQgTVMiIHNpemU9IjkiPjE0ODwvc3R5bGU+PC9EaXNwbGF5VGV4dD48
cmVjb3JkPjxyZWMtbnVtYmVyPjEyODI8L3JlYy1udW1iZXI+PGZvcmVpZ24ta2V5cz48a2V5IGFw
cD0iRU4iIGRiLWlkPSJleHZhc3JmeDJkdHJhb2VzYXN4cDJzenN4YTJkZjUwMjU5MngiIHRpbWVz
dGFtcD0iMTU2MzMyMjA4MyI+MTI4Mjwva2V5PjxrZXkgYXBwPSJFTldlYiIgZGItaWQ9IiI+MDwv
a2V5PjwvZm9yZWlnbi1rZXlzPjxyZWYtdHlwZSBuYW1lPSJKb3VybmFsIEFydGljbGUiPjE3PC9y
ZWYtdHlwZT48Y29udHJpYnV0b3JzPjxhdXRob3JzPjxhdXRob3I+UnVtYm9sZCwgQS48L2F1dGhv
cj48YXV0aG9yPk90YSwgRS48L2F1dGhvcj48YXV0aG9yPk5hZ2F0YSwgQy48L2F1dGhvcj48YXV0
aG9yPlNoYWhyb29rLCBTLjwvYXV0aG9yPjxhdXRob3I+Q3Jvd3RoZXIsIEMuIEEuPC9hdXRob3I+
PC9hdXRob3JzPjwvY29udHJpYnV0b3JzPjxhdXRoLWFkZHJlc3M+VGhlIFJvYmluc29uIFJlc2Vh
cmNoIEluc3RpdHV0ZSwgVGhlIFVuaXZlcnNpdHkgb2YgQWRlbGFpZGUsIEdyb3VuZCBGbG9vciwg
Tm9yd2ljaCBDZW50cmUsIDU1IEtpbmcgV2lsbGlhbSBSb2FkLCBBZGVsYWlkZSwgTlQsIEF1c3Ry
YWxpYSwgU0EgNTAwNi48L2F1dGgtYWRkcmVzcz48dGl0bGVzPjx0aXRsZT5WaXRhbWluIEMgc3Vw
cGxlbWVudGF0aW9uIGluIHByZWduYW5jeTwvdGl0bGU+PHNlY29uZGFyeS10aXRsZT5Db2NocmFu
ZSBEYXRhYmFzZSBTeXN0IFJldjwvc2Vjb25kYXJ5LXRpdGxlPjwvdGl0bGVzPjxwZXJpb2RpY2Fs
PjxmdWxsLXRpdGxlPkNvY2hyYW5lIERhdGFiYXNlIFN5c3QgUmV2PC9mdWxsLXRpdGxlPjwvcGVy
aW9kaWNhbD48cGFnZXM+Q0QwMDQwNzI8L3BhZ2VzPjxudW1iZXI+OTwvbnVtYmVyPjxlZGl0aW9u
PjIwMTUvMDkvMzA8L2VkaXRpb24+PGtleXdvcmRzPjxrZXl3b3JkPkFuZW1pYS9wcmV2ZW50aW9u
ICZhbXA7IGNvbnRyb2w8L2tleXdvcmQ+PGtleXdvcmQ+QXNjb3JiaWMgQWNpZC8qYWRtaW5pc3Ry
YXRpb24gJmFtcDsgZG9zYWdlPC9rZXl3b3JkPjxrZXl3b3JkPipEaWV0YXJ5IFN1cHBsZW1lbnRz
PC9rZXl3b3JkPjxrZXl3b3JkPkZlbWFsZTwva2V5d29yZD48a2V5d29yZD5GZXRhbCBHcm93dGgg
UmV0YXJkYXRpb24vcHJldmVudGlvbiAmYW1wOyBjb250cm9sPC9rZXl3b3JkPjxrZXl3b3JkPkh1
bWFuczwva2V5d29yZD48a2V5d29yZD5QcmUtRWNsYW1wc2lhL3ByZXZlbnRpb24gJmFtcDsgY29u
dHJvbDwva2V5d29yZD48a2V5d29yZD5QcmVnbmFuY3k8L2tleXdvcmQ+PGtleXdvcmQ+UHJlZ25h
bmN5IENvbXBsaWNhdGlvbnMvKnByZXZlbnRpb24gJmFtcDsgY29udHJvbDwva2V5d29yZD48a2V5
d29yZD5QcmVnbmFuY3kgQ29tcGxpY2F0aW9ucywgSGVtYXRvbG9naWMvcHJldmVudGlvbiAmYW1w
OyBjb250cm9sPC9rZXl3b3JkPjxrZXl3b3JkPlJhbmRvbWl6ZWQgQ29udHJvbGxlZCBUcmlhbHMg
YXMgVG9waWM8L2tleXdvcmQ+PGtleXdvcmQ+Vml0YW1pbnMvKmFkbWluaXN0cmF0aW9uICZhbXA7
IGRvc2FnZTwva2V5d29yZD48L2tleXdvcmRzPjxkYXRlcz48eWVhcj4yMDE1PC95ZWFyPjxwdWIt
ZGF0ZXM+PGRhdGU+U2VwIDI5PC9kYXRlPjwvcHViLWRhdGVzPjwvZGF0ZXM+PGlzYm4+MTQ2OS00
OTNYIChFbGVjdHJvbmljKSYjeEQ7MTM2MS02MTM3IChMaW5raW5nKTwvaXNibj48YWNjZXNzaW9u
LW51bT4yNjQxNTc2MjwvYWNjZXNzaW9uLW51bT48dXJscz48cmVsYXRlZC11cmxzPjx1cmw+aHR0
cHM6Ly93d3cubmNiaS5ubG0ubmloLmdvdi9wdWJtZWQvMjY0MTU3NjI8L3VybD48L3JlbGF0ZWQt
dXJscz48L3VybHM+PGVsZWN0cm9uaWMtcmVzb3VyY2UtbnVtPjEwLjEwMDIvMTQ2NTE4NTguQ0Qw
MDQwNzIucHViMzwvZWxlY3Ryb25pYy1yZXNvdXJjZS1udW0+PC9yZWNvcmQ+PC9DaXRlPjwvRW5k
Tm90ZT4A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148</w:t>
            </w:r>
            <w:r w:rsidR="00E51743">
              <w:fldChar w:fldCharType="end"/>
            </w:r>
          </w:p>
        </w:tc>
        <w:tc>
          <w:tcPr>
            <w:tcW w:w="1247" w:type="dxa"/>
            <w:tcBorders>
              <w:top w:val="single" w:sz="4" w:space="0" w:color="auto"/>
            </w:tcBorders>
          </w:tcPr>
          <w:p w14:paraId="58C74397" w14:textId="77777777" w:rsidR="00EE52B3" w:rsidRDefault="003E5151" w:rsidP="00632FE5">
            <w:pPr>
              <w:keepNext/>
            </w:pPr>
            <w:r>
              <w:t>29 studies</w:t>
            </w:r>
          </w:p>
          <w:p w14:paraId="52524E32" w14:textId="0BF14A3B" w:rsidR="003E5151" w:rsidRDefault="003E5151" w:rsidP="00632FE5">
            <w:pPr>
              <w:keepNext/>
            </w:pPr>
            <w:r>
              <w:t>24,300</w:t>
            </w:r>
          </w:p>
        </w:tc>
        <w:tc>
          <w:tcPr>
            <w:tcW w:w="4962" w:type="dxa"/>
            <w:tcBorders>
              <w:top w:val="single" w:sz="4" w:space="0" w:color="auto"/>
            </w:tcBorders>
          </w:tcPr>
          <w:p w14:paraId="286444CC" w14:textId="3C1EA51E" w:rsidR="00EE52B3" w:rsidRPr="00EE52B3" w:rsidRDefault="00EE52B3" w:rsidP="00EE52B3">
            <w:r w:rsidRPr="00EE52B3">
              <w:rPr>
                <w:b/>
              </w:rPr>
              <w:t>Aim</w:t>
            </w:r>
            <w:r>
              <w:t xml:space="preserve">: </w:t>
            </w:r>
            <w:r w:rsidRPr="00EE52B3">
              <w:t>To evaluate the effects of vitamin C supplementation, alone or in combination with other separate supplements</w:t>
            </w:r>
            <w:r w:rsidR="00157196">
              <w:t>,</w:t>
            </w:r>
            <w:r w:rsidRPr="00EE52B3">
              <w:t xml:space="preserve"> on pregnancy outcomes,</w:t>
            </w:r>
            <w:r>
              <w:t xml:space="preserve"> </w:t>
            </w:r>
            <w:r w:rsidRPr="00EE52B3">
              <w:t>adverse events, side effects and use of health resources.</w:t>
            </w:r>
          </w:p>
          <w:p w14:paraId="3A8EB965" w14:textId="0E078A74" w:rsidR="00EE52B3" w:rsidRPr="003E5151" w:rsidRDefault="00745FB6" w:rsidP="003E5151">
            <w:r>
              <w:rPr>
                <w:b/>
              </w:rPr>
              <w:t xml:space="preserve">Methods: </w:t>
            </w:r>
            <w:r w:rsidRPr="00745FB6">
              <w:t>We searched the Cochrane Pregnancy and Childbirth Group’s Trials Register (31 March 2015) and reference lists of retrieved studies</w:t>
            </w:r>
            <w:r w:rsidRPr="003E5151">
              <w:t>.</w:t>
            </w:r>
            <w:r w:rsidR="003E5151" w:rsidRPr="003E5151">
              <w:t xml:space="preserve"> </w:t>
            </w:r>
            <w:r w:rsidRPr="003E5151">
              <w:t>All randomised or quasi-randomised controlled trials evaluating vitamin C supplementation in pregnant women. Interventions using</w:t>
            </w:r>
            <w:r w:rsidR="003E5151" w:rsidRPr="003E5151">
              <w:t xml:space="preserve"> </w:t>
            </w:r>
            <w:r w:rsidRPr="003E5151">
              <w:t>a multivitamin supplement containing vitamin C or where the primary supplement was iron were excluded.</w:t>
            </w:r>
          </w:p>
        </w:tc>
        <w:tc>
          <w:tcPr>
            <w:tcW w:w="4536" w:type="dxa"/>
            <w:tcBorders>
              <w:top w:val="single" w:sz="4" w:space="0" w:color="auto"/>
            </w:tcBorders>
          </w:tcPr>
          <w:p w14:paraId="4C741C27" w14:textId="0B69677C" w:rsidR="001548E5" w:rsidRDefault="001548E5" w:rsidP="003E5151">
            <w:r>
              <w:t>V</w:t>
            </w:r>
            <w:r w:rsidR="003E5151" w:rsidRPr="003E5151">
              <w:t xml:space="preserve">itamin C </w:t>
            </w:r>
            <w:r w:rsidR="002C058C">
              <w:t xml:space="preserve">(1,000 mg) </w:t>
            </w:r>
            <w:r w:rsidR="003E5151" w:rsidRPr="003E5151">
              <w:t>supplementation alone</w:t>
            </w:r>
            <w:r>
              <w:t>:</w:t>
            </w:r>
          </w:p>
          <w:p w14:paraId="585A5DB4" w14:textId="71483753" w:rsidR="005E61BB" w:rsidRDefault="005E61BB" w:rsidP="00A54965">
            <w:pPr>
              <w:pStyle w:val="bullet"/>
            </w:pPr>
            <w:r>
              <w:t>Stillbirth: RR 1.06 (0.58 to 1.94); 2 studies; n=1,015</w:t>
            </w:r>
          </w:p>
          <w:p w14:paraId="0416955C" w14:textId="77777777" w:rsidR="005E61BB" w:rsidRDefault="005E61BB" w:rsidP="00A54965">
            <w:pPr>
              <w:pStyle w:val="bullet"/>
            </w:pPr>
            <w:r>
              <w:t>Neonatal death: RR 0.70 (0.30 to 1.63); 2 studies; n=958</w:t>
            </w:r>
          </w:p>
          <w:p w14:paraId="7A7F5DDD" w14:textId="232B51A5" w:rsidR="005E61BB" w:rsidRDefault="005E61BB" w:rsidP="00A54965">
            <w:pPr>
              <w:pStyle w:val="bullet"/>
            </w:pPr>
            <w:r>
              <w:t>Perinatal death: RR 0.51 (0.05 to 5.54); 1 study; n=182</w:t>
            </w:r>
          </w:p>
          <w:p w14:paraId="4FE7F3BE" w14:textId="77777777" w:rsidR="005E61BB" w:rsidRDefault="005E61BB" w:rsidP="00A54965">
            <w:pPr>
              <w:pStyle w:val="bullet"/>
            </w:pPr>
            <w:r>
              <w:t>Intrauterine growth restriction: RR 1.56 (0.63 to 3.89); 1 study; n=159</w:t>
            </w:r>
          </w:p>
          <w:p w14:paraId="64ECD8EE" w14:textId="70BB07C5" w:rsidR="005E61BB" w:rsidRDefault="005E61BB" w:rsidP="00A54965">
            <w:pPr>
              <w:pStyle w:val="bullet"/>
            </w:pPr>
            <w:r>
              <w:t>Preterm birth: RR 1.06 (0.75 to 1.48); 5 studies; n=1,685</w:t>
            </w:r>
          </w:p>
          <w:p w14:paraId="0C69A79E" w14:textId="272B5270" w:rsidR="001548E5" w:rsidRDefault="001548E5" w:rsidP="00A54965">
            <w:pPr>
              <w:pStyle w:val="bullet"/>
            </w:pPr>
            <w:r>
              <w:t xml:space="preserve">Preterm PROM: </w:t>
            </w:r>
            <w:r w:rsidR="003E5151" w:rsidRPr="003E5151">
              <w:t>average RR 0.66</w:t>
            </w:r>
            <w:r w:rsidR="005E61BB">
              <w:t xml:space="preserve"> (</w:t>
            </w:r>
            <w:r w:rsidR="003E5151" w:rsidRPr="003E5151">
              <w:t>0.48 to 0.91</w:t>
            </w:r>
            <w:r w:rsidR="005E61BB">
              <w:t>)</w:t>
            </w:r>
            <w:r w:rsidR="003E5151" w:rsidRPr="003E5151">
              <w:t xml:space="preserve">; </w:t>
            </w:r>
            <w:r>
              <w:t>5</w:t>
            </w:r>
            <w:r w:rsidR="003E5151" w:rsidRPr="003E5151">
              <w:t xml:space="preserve"> studies</w:t>
            </w:r>
            <w:r w:rsidR="005E61BB">
              <w:t>; n=</w:t>
            </w:r>
            <w:r w:rsidR="005E61BB" w:rsidRPr="003E5151">
              <w:t>1</w:t>
            </w:r>
            <w:r w:rsidR="005E61BB">
              <w:t>,</w:t>
            </w:r>
            <w:r w:rsidR="005E61BB" w:rsidRPr="003E5151">
              <w:t>282</w:t>
            </w:r>
          </w:p>
          <w:p w14:paraId="52E72B03" w14:textId="77777777" w:rsidR="005E61BB" w:rsidRDefault="001548E5" w:rsidP="00A54965">
            <w:pPr>
              <w:pStyle w:val="bullet"/>
            </w:pPr>
            <w:r>
              <w:t>T</w:t>
            </w:r>
            <w:r w:rsidR="003E5151" w:rsidRPr="003E5151">
              <w:t>erm PROM</w:t>
            </w:r>
            <w:r w:rsidR="005E61BB">
              <w:t xml:space="preserve">: </w:t>
            </w:r>
            <w:r w:rsidR="003E5151" w:rsidRPr="003E5151">
              <w:t>RR 0.55</w:t>
            </w:r>
            <w:r w:rsidR="005E61BB">
              <w:t xml:space="preserve"> (</w:t>
            </w:r>
            <w:r w:rsidR="003E5151" w:rsidRPr="003E5151">
              <w:t>0.32 to 0.94</w:t>
            </w:r>
            <w:r w:rsidR="005E61BB">
              <w:t>)</w:t>
            </w:r>
            <w:r w:rsidR="003E5151" w:rsidRPr="003E5151">
              <w:t xml:space="preserve">; </w:t>
            </w:r>
            <w:r w:rsidR="005E61BB">
              <w:t>1 study; n=</w:t>
            </w:r>
            <w:r w:rsidR="003E5151" w:rsidRPr="003E5151">
              <w:t>170</w:t>
            </w:r>
          </w:p>
          <w:p w14:paraId="106B1A61" w14:textId="63DBA629" w:rsidR="00EE52B3" w:rsidRPr="003B17A4" w:rsidRDefault="005E61BB" w:rsidP="00933684">
            <w:pPr>
              <w:pStyle w:val="bullet"/>
            </w:pPr>
            <w:r>
              <w:t>Clinical pre-eclampsia: RR 0.88 (0.48 to 1.61); 3 studies; n=1,191</w:t>
            </w:r>
            <w:r w:rsidR="003E5151" w:rsidRPr="003E5151">
              <w:t xml:space="preserve"> </w:t>
            </w:r>
          </w:p>
        </w:tc>
        <w:tc>
          <w:tcPr>
            <w:tcW w:w="1843" w:type="dxa"/>
            <w:tcBorders>
              <w:top w:val="single" w:sz="4" w:space="0" w:color="auto"/>
            </w:tcBorders>
          </w:tcPr>
          <w:p w14:paraId="77DFC809" w14:textId="77777777" w:rsidR="00EE52B3" w:rsidRPr="00D150D8" w:rsidRDefault="00EE52B3" w:rsidP="00632FE5">
            <w:pPr>
              <w:keepNext/>
            </w:pPr>
          </w:p>
        </w:tc>
      </w:tr>
    </w:tbl>
    <w:p w14:paraId="6F034CD7" w14:textId="5F460779" w:rsidR="007E567C" w:rsidRDefault="009C163D" w:rsidP="005719CE">
      <w:pPr>
        <w:pStyle w:val="TableName"/>
        <w:ind w:left="1134" w:hanging="1134"/>
      </w:pPr>
      <w:bookmarkStart w:id="82" w:name="_Toc40956617"/>
      <w:r>
        <w:t xml:space="preserve">Q3 </w:t>
      </w:r>
      <w:r w:rsidR="007E567C">
        <w:t xml:space="preserve">Harms and benefits of vitamin C supplementation in pregnancy — </w:t>
      </w:r>
      <w:r w:rsidR="006820C6">
        <w:t>RCT</w:t>
      </w:r>
      <w:bookmarkEnd w:id="8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39: Q3 Harms and benefits of vitamin C supplementation in pregnancy — RCT"/>
      </w:tblPr>
      <w:tblGrid>
        <w:gridCol w:w="1304"/>
        <w:gridCol w:w="1247"/>
        <w:gridCol w:w="4962"/>
        <w:gridCol w:w="4536"/>
        <w:gridCol w:w="1843"/>
      </w:tblGrid>
      <w:tr w:rsidR="007E567C" w:rsidRPr="00F350A6" w14:paraId="649EAC73" w14:textId="77777777" w:rsidTr="006820C6">
        <w:trPr>
          <w:cantSplit/>
          <w:trHeight w:val="390"/>
          <w:tblHeader/>
        </w:trPr>
        <w:tc>
          <w:tcPr>
            <w:tcW w:w="1304" w:type="dxa"/>
          </w:tcPr>
          <w:p w14:paraId="6CA7CDA3" w14:textId="77777777" w:rsidR="007E567C" w:rsidRPr="00F350A6" w:rsidRDefault="007E567C" w:rsidP="007F3D92">
            <w:pPr>
              <w:keepNext/>
              <w:rPr>
                <w:b/>
              </w:rPr>
            </w:pPr>
            <w:r>
              <w:rPr>
                <w:b/>
              </w:rPr>
              <w:t>Study ref</w:t>
            </w:r>
          </w:p>
        </w:tc>
        <w:tc>
          <w:tcPr>
            <w:tcW w:w="1247" w:type="dxa"/>
          </w:tcPr>
          <w:p w14:paraId="7C88D807" w14:textId="77777777" w:rsidR="007E567C" w:rsidRPr="00F350A6" w:rsidRDefault="007E567C" w:rsidP="007F3D92">
            <w:pPr>
              <w:keepNext/>
              <w:rPr>
                <w:b/>
              </w:rPr>
            </w:pPr>
            <w:r>
              <w:rPr>
                <w:b/>
              </w:rPr>
              <w:t>N</w:t>
            </w:r>
          </w:p>
        </w:tc>
        <w:tc>
          <w:tcPr>
            <w:tcW w:w="4962" w:type="dxa"/>
          </w:tcPr>
          <w:p w14:paraId="28D48173" w14:textId="02C0436D" w:rsidR="007E567C" w:rsidRPr="00F350A6" w:rsidRDefault="007E567C" w:rsidP="007F3D92">
            <w:pPr>
              <w:keepNext/>
              <w:rPr>
                <w:b/>
              </w:rPr>
            </w:pPr>
            <w:r>
              <w:rPr>
                <w:b/>
              </w:rPr>
              <w:t>Aim/population</w:t>
            </w:r>
            <w:r w:rsidR="006820C6">
              <w:rPr>
                <w:b/>
              </w:rPr>
              <w:t>/intervention</w:t>
            </w:r>
          </w:p>
        </w:tc>
        <w:tc>
          <w:tcPr>
            <w:tcW w:w="4536" w:type="dxa"/>
          </w:tcPr>
          <w:p w14:paraId="7B76EAD2" w14:textId="77777777" w:rsidR="007E567C" w:rsidRPr="00F350A6" w:rsidRDefault="007E567C" w:rsidP="007F3D92">
            <w:pPr>
              <w:keepNext/>
              <w:rPr>
                <w:b/>
              </w:rPr>
            </w:pPr>
            <w:r>
              <w:rPr>
                <w:b/>
              </w:rPr>
              <w:t>Results</w:t>
            </w:r>
          </w:p>
        </w:tc>
        <w:tc>
          <w:tcPr>
            <w:tcW w:w="1843" w:type="dxa"/>
          </w:tcPr>
          <w:p w14:paraId="1C1B7686" w14:textId="77777777" w:rsidR="007E567C" w:rsidRPr="00F350A6" w:rsidRDefault="007E567C" w:rsidP="007F3D92">
            <w:pPr>
              <w:keepNext/>
              <w:rPr>
                <w:b/>
              </w:rPr>
            </w:pPr>
            <w:r>
              <w:rPr>
                <w:b/>
              </w:rPr>
              <w:t>Comments</w:t>
            </w:r>
          </w:p>
        </w:tc>
      </w:tr>
      <w:tr w:rsidR="006820C6" w:rsidRPr="006820C6" w14:paraId="172E4756" w14:textId="77777777" w:rsidTr="007F3D92">
        <w:trPr>
          <w:cantSplit/>
          <w:trHeight w:val="390"/>
          <w:tblHeader/>
        </w:trPr>
        <w:tc>
          <w:tcPr>
            <w:tcW w:w="1304" w:type="dxa"/>
            <w:tcBorders>
              <w:bottom w:val="single" w:sz="4" w:space="0" w:color="auto"/>
            </w:tcBorders>
          </w:tcPr>
          <w:p w14:paraId="5E5451E0" w14:textId="6ADCBB05" w:rsidR="006820C6" w:rsidRDefault="000376A4" w:rsidP="007F3D92">
            <w:pPr>
              <w:keepNext/>
            </w:pPr>
            <w:r>
              <w:t>McEvoy et al 2019</w:t>
            </w:r>
            <w:r w:rsidR="00E51743">
              <w:fldChar w:fldCharType="begin">
                <w:fldData xml:space="preserve">PEVuZE5vdGU+PENpdGU+PEF1dGhvcj5NY0V2b3k8L0F1dGhvcj48WWVhcj4yMDE5PC9ZZWFyPjxS
ZWNOdW0+MTI4MTwvUmVjTnVtPjxEaXNwbGF5VGV4dD48c3R5bGUgZmFjZT0ic3VwZXJzY3JpcHQi
IGZvbnQ9IlRyZWJ1Y2hldCBNUyIgc2l6ZT0iOSI+MTQ5PC9zdHlsZT48L0Rpc3BsYXlUZXh0Pjxy
ZWNvcmQ+PHJlYy1udW1iZXI+MTI4MTwvcmVjLW51bWJlcj48Zm9yZWlnbi1rZXlzPjxrZXkgYXBw
PSJFTiIgZGItaWQ9ImV4dmFzcmZ4MmR0cmFvZXNhc3hwMnN6c3hhMmRmNTAyNTkyeCIgdGltZXN0
YW1wPSIxNTYzMzIyMDc5Ij4xMjgxPC9rZXk+PGtleSBhcHA9IkVOV2ViIiBkYi1pZD0iIj4wPC9r
ZXk+PC9mb3JlaWduLWtleXM+PHJlZi10eXBlIG5hbWU9IkpvdXJuYWwgQXJ0aWNsZSI+MTc8L3Jl
Zi10eXBlPjxjb250cmlidXRvcnM+PGF1dGhvcnM+PGF1dGhvcj5NY0V2b3ksIEMuIFQuPC9hdXRo
b3I+PGF1dGhvcj5TaG9yZXktS2VuZHJpY2ssIEwuIEUuPC9hdXRob3I+PGF1dGhvcj5NaWxuZXIs
IEsuPC9hdXRob3I+PGF1dGhvcj5TY2hpbGxpbmcsIEQuPC9hdXRob3I+PGF1dGhvcj5UaWxsZXIs
IEMuPC9hdXRob3I+PGF1dGhvcj5WdXlsc3Rla2UsIEIuPC9hdXRob3I+PGF1dGhvcj5TY2hlcm1h
biwgQS48L2F1dGhvcj48YXV0aG9yPkphY2tzb24sIEsuPC9hdXRob3I+PGF1dGhvcj5IYWFzLCBE
LiBNLjwvYXV0aG9yPjxhdXRob3I+SGFycmlzLCBKLjwvYXV0aG9yPjxhdXRob3I+U2NodWZmLCBS
LjwvYXV0aG9yPjxhdXRob3I+UGFyaywgQi4gUy48L2F1dGhvcj48YXV0aG9yPlZ1LCBBLjwvYXV0
aG9yPjxhdXRob3I+S3JhZW1lciwgRC4gRi48L2F1dGhvcj48YXV0aG9yPk1pdGNoZWxsLCBKLjwv
YXV0aG9yPjxhdXRob3I+TWV0eiwgSi48L2F1dGhvcj48YXV0aG9yPkdvbnphbGVzLCBELjwvYXV0
aG9yPjxhdXRob3I+QnVudGVuLCBDLjwvYXV0aG9yPjxhdXRob3I+U3BpbmRlbCwgRS4gUi48L2F1
dGhvcj48YXV0aG9yPlRlcHBlciwgUi4gUy48L2F1dGhvcj48YXV0aG9yPk1vcnJpcywgQy4gRC48
L2F1dGhvcj48L2F1dGhvcnM+PC9jb250cmlidXRvcnM+PGF1dGgtYWRkcmVzcz4xIERlcGFydG1l
bnQgb2YgUGVkaWF0cmljcy4mI3hEOzIgRGl2aXNpb24gb2YgTmV1cm9zY2llbmNlLCBPcmVnb24g
TmF0aW9uYWwgUHJpbWF0ZSBSZXNlYXJjaCBDZW50ZXIsIEJlYXZlcnRvbiwgT3JlZ29uLiYjeEQ7
MyBEZXBhcnRtZW50IG9mIFBlZGlhdHJpY3MgYW5kLiYjeEQ7NCBQZWFjZUhlYWx0aCBTb3V0aHdl
c3QgTWVkaWNhbCBDZW50ZXIsIFZhbmNvdXZlciwgV2FzaGluZ3Rvbi4mI3hEOzUgRGVwYXJ0bWVu
dCBvZiBPYnN0ZXRyaWNzIGFuZCBHeW5lY29sb2d5LCBJbmRpYW5hIFVuaXZlcnNpdHkgU2Nob29s
IG9mIE1lZGljaW5lLCBJbmRpYW5hcG9saXMsIEluZGlhbmEuJiN4RDs2IERlcGFydG1lbnQgb2Yg
TWVkaWNhbCBJbmZvcm1hdGljcyBhbmQgQ2xpbmljYWwgRXBpZGVtaW9sb2d5LiYjeEQ7NyBPcmVn
b24gQ2xpbmljYWwgJmFtcDsgVHJhbnNsYXRpb25hbCBSZXNlYXJjaCBJbnN0aXR1dGUsIGFuZC4m
I3hEOzggT3JlZ29uIEhlYWx0aCAmYW1wOyBTY2llbmNlIFVuaXZlcnNpdHktUG9ydGxhbmQgU3Rh
dGUgVW5pdmVyc2l0eSBTY2hvb2wgb2YgUHVibGljIEhlYWx0aCBhbmQgS25pZ2h0IENhbmNlciBJ
bnN0aXR1dGUsIFBvcnRsYW5kLCBPcmVnb247IGFuZC4mI3hEOzkgRGl2aXNpb24gb2YgUHVsbW9u
YXJ5ICZhbXA7IENyaXRpY2FsIENhcmUgTWVkaWNpbmUsIE9yZWdvbiBIZWFsdGggJmFtcDsgU2Np
ZW5jZSBVbml2ZXJzaXR5LCBQb3J0bGFuZCwgT3JlZ29uLiYjeEQ7MTAgVmFuY291dmVyIENsaW5p
YywgVmFuY291dmVyLCBXYXNoaW5ndG9uLjwvYXV0aC1hZGRyZXNzPjx0aXRsZXM+PHRpdGxlPk9y
YWwgVml0YW1pbiBDICg1MDAgbWcvZCkgdG8gUHJlZ25hbnQgU21va2VycyBJbXByb3ZlcyBJbmZh
bnQgQWlyd2F5IEZ1bmN0aW9uIGF0IDMgTW9udGhzIChWQ1NJUCkuIEEgUmFuZG9taXplZCBUcmlh
bDwvdGl0bGU+PHNlY29uZGFyeS10aXRsZT5BbSBKIFJlc3BpciBDcml0IENhcmUgTWVkPC9zZWNv
bmRhcnktdGl0bGU+PC90aXRsZXM+PHBlcmlvZGljYWw+PGZ1bGwtdGl0bGU+QW0gSiBSZXNwaXIg
Q3JpdCBDYXJlIE1lZDwvZnVsbC10aXRsZT48L3BlcmlvZGljYWw+PHBhZ2VzPjExMzktMTE0Nzwv
cGFnZXM+PHZvbHVtZT4xOTk8L3ZvbHVtZT48bnVtYmVyPjk8L251bWJlcj48ZWRpdGlvbj4yMDE4
LzEyLzE0PC9lZGl0aW9uPjxrZXl3b3Jkcz48a2V5d29yZD5mb3JjZWQgZXhwaXJhdG9yeSBmbG93
czwva2V5d29yZD48a2V5d29yZD5pbmZhbnQgcHVsbW9uYXJ5IGZ1bmN0aW9uPC9rZXl3b3JkPjxr
ZXl3b3JkPnNtb2tpbmcgaW4gcHJlZ25hbmN5PC9rZXl3b3JkPjxrZXl3b3JkPnZpdGFtaW4gQzwv
a2V5d29yZD48a2V5d29yZD53aGVlemluZzwva2V5d29yZD48L2tleXdvcmRzPjxkYXRlcz48eWVh
cj4yMDE5PC95ZWFyPjxwdWItZGF0ZXM+PGRhdGU+TWF5IDE8L2RhdGU+PC9wdWItZGF0ZXM+PC9k
YXRlcz48aXNibj4xNTM1LTQ5NzAgKEVsZWN0cm9uaWMpJiN4RDsxMDczLTQ0OVggKExpbmtpbmcp
PC9pc2JuPjxhY2Nlc3Npb24tbnVtPjMwNTIyMzQzPC9hY2Nlc3Npb24tbnVtPjx1cmxzPjxyZWxh
dGVkLXVybHM+PHVybD5odHRwczovL3d3dy5uY2JpLm5sbS5uaWguZ292L3B1Ym1lZC8zMDUyMjM0
MzwvdXJsPjwvcmVsYXRlZC11cmxzPjwvdXJscz48Y3VzdG9tMj5QTUM2NTE1ODc1PC9jdXN0b20y
PjxlbGVjdHJvbmljLXJlc291cmNlLW51bT4xMC4xMTY0L3JjY20uMjAxODA1LTEwMTFPQzwvZWxl
Y3Ryb25pYy1yZXNvdXJjZS1udW0+PC9yZWNvcmQ+PC9DaXRlPjwvRW5kTm90ZT5=
</w:fldData>
              </w:fldChar>
            </w:r>
            <w:r w:rsidR="002747EA">
              <w:instrText xml:space="preserve"> ADDIN EN.CITE </w:instrText>
            </w:r>
            <w:r w:rsidR="002747EA">
              <w:fldChar w:fldCharType="begin">
                <w:fldData xml:space="preserve">PEVuZE5vdGU+PENpdGU+PEF1dGhvcj5NY0V2b3k8L0F1dGhvcj48WWVhcj4yMDE5PC9ZZWFyPjxS
ZWNOdW0+MTI4MTwvUmVjTnVtPjxEaXNwbGF5VGV4dD48c3R5bGUgZmFjZT0ic3VwZXJzY3JpcHQi
IGZvbnQ9IlRyZWJ1Y2hldCBNUyIgc2l6ZT0iOSI+MTQ5PC9zdHlsZT48L0Rpc3BsYXlUZXh0Pjxy
ZWNvcmQ+PHJlYy1udW1iZXI+MTI4MTwvcmVjLW51bWJlcj48Zm9yZWlnbi1rZXlzPjxrZXkgYXBw
PSJFTiIgZGItaWQ9ImV4dmFzcmZ4MmR0cmFvZXNhc3hwMnN6c3hhMmRmNTAyNTkyeCIgdGltZXN0
YW1wPSIxNTYzMzIyMDc5Ij4xMjgxPC9rZXk+PGtleSBhcHA9IkVOV2ViIiBkYi1pZD0iIj4wPC9r
ZXk+PC9mb3JlaWduLWtleXM+PHJlZi10eXBlIG5hbWU9IkpvdXJuYWwgQXJ0aWNsZSI+MTc8L3Jl
Zi10eXBlPjxjb250cmlidXRvcnM+PGF1dGhvcnM+PGF1dGhvcj5NY0V2b3ksIEMuIFQuPC9hdXRo
b3I+PGF1dGhvcj5TaG9yZXktS2VuZHJpY2ssIEwuIEUuPC9hdXRob3I+PGF1dGhvcj5NaWxuZXIs
IEsuPC9hdXRob3I+PGF1dGhvcj5TY2hpbGxpbmcsIEQuPC9hdXRob3I+PGF1dGhvcj5UaWxsZXIs
IEMuPC9hdXRob3I+PGF1dGhvcj5WdXlsc3Rla2UsIEIuPC9hdXRob3I+PGF1dGhvcj5TY2hlcm1h
biwgQS48L2F1dGhvcj48YXV0aG9yPkphY2tzb24sIEsuPC9hdXRob3I+PGF1dGhvcj5IYWFzLCBE
LiBNLjwvYXV0aG9yPjxhdXRob3I+SGFycmlzLCBKLjwvYXV0aG9yPjxhdXRob3I+U2NodWZmLCBS
LjwvYXV0aG9yPjxhdXRob3I+UGFyaywgQi4gUy48L2F1dGhvcj48YXV0aG9yPlZ1LCBBLjwvYXV0
aG9yPjxhdXRob3I+S3JhZW1lciwgRC4gRi48L2F1dGhvcj48YXV0aG9yPk1pdGNoZWxsLCBKLjwv
YXV0aG9yPjxhdXRob3I+TWV0eiwgSi48L2F1dGhvcj48YXV0aG9yPkdvbnphbGVzLCBELjwvYXV0
aG9yPjxhdXRob3I+QnVudGVuLCBDLjwvYXV0aG9yPjxhdXRob3I+U3BpbmRlbCwgRS4gUi48L2F1
dGhvcj48YXV0aG9yPlRlcHBlciwgUi4gUy48L2F1dGhvcj48YXV0aG9yPk1vcnJpcywgQy4gRC48
L2F1dGhvcj48L2F1dGhvcnM+PC9jb250cmlidXRvcnM+PGF1dGgtYWRkcmVzcz4xIERlcGFydG1l
bnQgb2YgUGVkaWF0cmljcy4mI3hEOzIgRGl2aXNpb24gb2YgTmV1cm9zY2llbmNlLCBPcmVnb24g
TmF0aW9uYWwgUHJpbWF0ZSBSZXNlYXJjaCBDZW50ZXIsIEJlYXZlcnRvbiwgT3JlZ29uLiYjeEQ7
MyBEZXBhcnRtZW50IG9mIFBlZGlhdHJpY3MgYW5kLiYjeEQ7NCBQZWFjZUhlYWx0aCBTb3V0aHdl
c3QgTWVkaWNhbCBDZW50ZXIsIFZhbmNvdXZlciwgV2FzaGluZ3Rvbi4mI3hEOzUgRGVwYXJ0bWVu
dCBvZiBPYnN0ZXRyaWNzIGFuZCBHeW5lY29sb2d5LCBJbmRpYW5hIFVuaXZlcnNpdHkgU2Nob29s
IG9mIE1lZGljaW5lLCBJbmRpYW5hcG9saXMsIEluZGlhbmEuJiN4RDs2IERlcGFydG1lbnQgb2Yg
TWVkaWNhbCBJbmZvcm1hdGljcyBhbmQgQ2xpbmljYWwgRXBpZGVtaW9sb2d5LiYjeEQ7NyBPcmVn
b24gQ2xpbmljYWwgJmFtcDsgVHJhbnNsYXRpb25hbCBSZXNlYXJjaCBJbnN0aXR1dGUsIGFuZC4m
I3hEOzggT3JlZ29uIEhlYWx0aCAmYW1wOyBTY2llbmNlIFVuaXZlcnNpdHktUG9ydGxhbmQgU3Rh
dGUgVW5pdmVyc2l0eSBTY2hvb2wgb2YgUHVibGljIEhlYWx0aCBhbmQgS25pZ2h0IENhbmNlciBJ
bnN0aXR1dGUsIFBvcnRsYW5kLCBPcmVnb247IGFuZC4mI3hEOzkgRGl2aXNpb24gb2YgUHVsbW9u
YXJ5ICZhbXA7IENyaXRpY2FsIENhcmUgTWVkaWNpbmUsIE9yZWdvbiBIZWFsdGggJmFtcDsgU2Np
ZW5jZSBVbml2ZXJzaXR5LCBQb3J0bGFuZCwgT3JlZ29uLiYjeEQ7MTAgVmFuY291dmVyIENsaW5p
YywgVmFuY291dmVyLCBXYXNoaW5ndG9uLjwvYXV0aC1hZGRyZXNzPjx0aXRsZXM+PHRpdGxlPk9y
YWwgVml0YW1pbiBDICg1MDAgbWcvZCkgdG8gUHJlZ25hbnQgU21va2VycyBJbXByb3ZlcyBJbmZh
bnQgQWlyd2F5IEZ1bmN0aW9uIGF0IDMgTW9udGhzIChWQ1NJUCkuIEEgUmFuZG9taXplZCBUcmlh
bDwvdGl0bGU+PHNlY29uZGFyeS10aXRsZT5BbSBKIFJlc3BpciBDcml0IENhcmUgTWVkPC9zZWNv
bmRhcnktdGl0bGU+PC90aXRsZXM+PHBlcmlvZGljYWw+PGZ1bGwtdGl0bGU+QW0gSiBSZXNwaXIg
Q3JpdCBDYXJlIE1lZDwvZnVsbC10aXRsZT48L3BlcmlvZGljYWw+PHBhZ2VzPjExMzktMTE0Nzwv
cGFnZXM+PHZvbHVtZT4xOTk8L3ZvbHVtZT48bnVtYmVyPjk8L251bWJlcj48ZWRpdGlvbj4yMDE4
LzEyLzE0PC9lZGl0aW9uPjxrZXl3b3Jkcz48a2V5d29yZD5mb3JjZWQgZXhwaXJhdG9yeSBmbG93
czwva2V5d29yZD48a2V5d29yZD5pbmZhbnQgcHVsbW9uYXJ5IGZ1bmN0aW9uPC9rZXl3b3JkPjxr
ZXl3b3JkPnNtb2tpbmcgaW4gcHJlZ25hbmN5PC9rZXl3b3JkPjxrZXl3b3JkPnZpdGFtaW4gQzwv
a2V5d29yZD48a2V5d29yZD53aGVlemluZzwva2V5d29yZD48L2tleXdvcmRzPjxkYXRlcz48eWVh
cj4yMDE5PC95ZWFyPjxwdWItZGF0ZXM+PGRhdGU+TWF5IDE8L2RhdGU+PC9wdWItZGF0ZXM+PC9k
YXRlcz48aXNibj4xNTM1LTQ5NzAgKEVsZWN0cm9uaWMpJiN4RDsxMDczLTQ0OVggKExpbmtpbmcp
PC9pc2JuPjxhY2Nlc3Npb24tbnVtPjMwNTIyMzQzPC9hY2Nlc3Npb24tbnVtPjx1cmxzPjxyZWxh
dGVkLXVybHM+PHVybD5odHRwczovL3d3dy5uY2JpLm5sbS5uaWguZ292L3B1Ym1lZC8zMDUyMjM0
MzwvdXJsPjwvcmVsYXRlZC11cmxzPjwvdXJscz48Y3VzdG9tMj5QTUM2NTE1ODc1PC9jdXN0b20y
PjxlbGVjdHJvbmljLXJlc291cmNlLW51bT4xMC4xMTY0L3JjY20uMjAxODA1LTEwMTFPQzwvZWxl
Y3Ryb25pYy1yZXNvdXJjZS1udW0+PC9yZWNvcmQ+PC9DaXRlPjwvRW5kTm90ZT5=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149</w:t>
            </w:r>
            <w:r w:rsidR="00E51743">
              <w:fldChar w:fldCharType="end"/>
            </w:r>
          </w:p>
          <w:p w14:paraId="74D742A7" w14:textId="094AB7DF" w:rsidR="00097309" w:rsidRPr="006820C6" w:rsidRDefault="00097309" w:rsidP="007F3D92">
            <w:pPr>
              <w:keepNext/>
            </w:pPr>
            <w:r>
              <w:t>United States</w:t>
            </w:r>
          </w:p>
        </w:tc>
        <w:tc>
          <w:tcPr>
            <w:tcW w:w="1247" w:type="dxa"/>
            <w:tcBorders>
              <w:bottom w:val="single" w:sz="4" w:space="0" w:color="auto"/>
            </w:tcBorders>
          </w:tcPr>
          <w:p w14:paraId="5E95C4E8" w14:textId="4069E220" w:rsidR="006820C6" w:rsidRDefault="00097309" w:rsidP="007F3D92">
            <w:pPr>
              <w:keepNext/>
            </w:pPr>
            <w:r>
              <w:t>Intervention 113</w:t>
            </w:r>
          </w:p>
          <w:p w14:paraId="0124FE7A" w14:textId="1D68F1D7" w:rsidR="00097309" w:rsidRPr="006820C6" w:rsidRDefault="00097309" w:rsidP="007F3D92">
            <w:pPr>
              <w:keepNext/>
            </w:pPr>
            <w:r>
              <w:t>Control 109</w:t>
            </w:r>
          </w:p>
        </w:tc>
        <w:tc>
          <w:tcPr>
            <w:tcW w:w="4962" w:type="dxa"/>
            <w:tcBorders>
              <w:bottom w:val="single" w:sz="4" w:space="0" w:color="auto"/>
            </w:tcBorders>
          </w:tcPr>
          <w:p w14:paraId="181039E5" w14:textId="77777777" w:rsidR="00097309" w:rsidRDefault="00097309" w:rsidP="007F3D92">
            <w:pPr>
              <w:keepNext/>
            </w:pPr>
            <w:r w:rsidRPr="00097309">
              <w:rPr>
                <w:b/>
              </w:rPr>
              <w:t>Aim</w:t>
            </w:r>
            <w:r>
              <w:t xml:space="preserve">: </w:t>
            </w:r>
            <w:r w:rsidRPr="00097309">
              <w:t xml:space="preserve">To determine if infants of pregnant smokers randomized to daily supplemental vitamin C would have improved forced expiratory flows (FEFs) at 3 months of age compared with those randomized to placebo, and to investigate the association of the alpha5 nicotinic acetylcholine receptor. </w:t>
            </w:r>
          </w:p>
          <w:p w14:paraId="076526E8" w14:textId="6BF62E1F" w:rsidR="00097309" w:rsidRPr="00097309" w:rsidRDefault="00097309" w:rsidP="00097309">
            <w:r w:rsidRPr="00097309">
              <w:rPr>
                <w:b/>
              </w:rPr>
              <w:t>Population</w:t>
            </w:r>
            <w:r>
              <w:t xml:space="preserve">: </w:t>
            </w:r>
            <w:r w:rsidRPr="00097309">
              <w:t>women &gt;15 years old with a</w:t>
            </w:r>
            <w:r>
              <w:t xml:space="preserve"> </w:t>
            </w:r>
            <w:r w:rsidRPr="00097309">
              <w:t>singleton gestation between 13 weeks and</w:t>
            </w:r>
            <w:r>
              <w:t xml:space="preserve"> </w:t>
            </w:r>
            <w:r w:rsidRPr="00097309">
              <w:t>0 days and 22 weeks and 6 days based on</w:t>
            </w:r>
            <w:r>
              <w:t xml:space="preserve"> </w:t>
            </w:r>
            <w:r w:rsidRPr="00097309">
              <w:t>clinical information and con</w:t>
            </w:r>
            <w:r w:rsidRPr="00097309">
              <w:rPr>
                <w:rFonts w:ascii="Helvetica" w:hAnsi="Helvetica"/>
              </w:rPr>
              <w:t>fi</w:t>
            </w:r>
            <w:r w:rsidRPr="00097309">
              <w:t>rmed by</w:t>
            </w:r>
            <w:r>
              <w:t xml:space="preserve"> </w:t>
            </w:r>
            <w:r w:rsidRPr="00097309">
              <w:t>ultrasound, current cigarette smoker (</w:t>
            </w:r>
            <w:r w:rsidRPr="00097309">
              <w:rPr>
                <w:rFonts w:ascii="Helvetica" w:hAnsi="Helvetica"/>
              </w:rPr>
              <w:t>&gt;</w:t>
            </w:r>
            <w:r w:rsidRPr="00097309">
              <w:t>1</w:t>
            </w:r>
            <w:r>
              <w:t xml:space="preserve"> cigarette in last week).</w:t>
            </w:r>
          </w:p>
          <w:p w14:paraId="034340E7" w14:textId="2C63CED2" w:rsidR="006820C6" w:rsidRPr="006820C6" w:rsidRDefault="00097309" w:rsidP="00097309">
            <w:pPr>
              <w:keepNext/>
            </w:pPr>
            <w:r w:rsidRPr="00097309">
              <w:rPr>
                <w:b/>
              </w:rPr>
              <w:t>Intervention</w:t>
            </w:r>
            <w:r w:rsidRPr="00097309">
              <w:t xml:space="preserve">: </w:t>
            </w:r>
            <w:r>
              <w:t>V</w:t>
            </w:r>
            <w:r w:rsidRPr="00097309">
              <w:t xml:space="preserve">itamin C (500 mg/d). </w:t>
            </w:r>
          </w:p>
        </w:tc>
        <w:tc>
          <w:tcPr>
            <w:tcW w:w="4536" w:type="dxa"/>
            <w:tcBorders>
              <w:bottom w:val="single" w:sz="4" w:space="0" w:color="auto"/>
            </w:tcBorders>
          </w:tcPr>
          <w:p w14:paraId="0C022A4E" w14:textId="057B011C" w:rsidR="00097309" w:rsidRDefault="00097309" w:rsidP="00097309">
            <w:r>
              <w:t xml:space="preserve">Vitamin C </w:t>
            </w:r>
            <w:r w:rsidR="008E6B59">
              <w:t xml:space="preserve">(500 mg/d) </w:t>
            </w:r>
            <w:r>
              <w:t>versus placebo:</w:t>
            </w:r>
          </w:p>
          <w:p w14:paraId="491E79B4" w14:textId="18D3F9C6" w:rsidR="00097309" w:rsidRDefault="00097309" w:rsidP="002E17AE">
            <w:pPr>
              <w:pStyle w:val="bullet"/>
            </w:pPr>
            <w:r w:rsidRPr="00097309">
              <w:t>FEF</w:t>
            </w:r>
            <w:r w:rsidRPr="000376A4">
              <w:rPr>
                <w:vertAlign w:val="subscript"/>
              </w:rPr>
              <w:t>75</w:t>
            </w:r>
            <w:r w:rsidRPr="00097309">
              <w:t xml:space="preserve"> </w:t>
            </w:r>
            <w:r>
              <w:t>at 3 months: 200.7 vs</w:t>
            </w:r>
            <w:r w:rsidRPr="00097309">
              <w:t xml:space="preserve"> 188.7 ml/s; adjusted 95%</w:t>
            </w:r>
            <w:r>
              <w:t>CI -3.33 to 35.64; P=</w:t>
            </w:r>
            <w:r w:rsidRPr="00097309">
              <w:t>0.10</w:t>
            </w:r>
          </w:p>
          <w:p w14:paraId="024BA673" w14:textId="74CE8437" w:rsidR="00097309" w:rsidRDefault="00097309" w:rsidP="002E17AE">
            <w:pPr>
              <w:pStyle w:val="bullet"/>
            </w:pPr>
            <w:r>
              <w:t>FEF</w:t>
            </w:r>
            <w:r w:rsidRPr="000376A4">
              <w:rPr>
                <w:vertAlign w:val="subscript"/>
              </w:rPr>
              <w:t>50</w:t>
            </w:r>
            <w:r>
              <w:t xml:space="preserve"> at 3 months: 436.7 vs</w:t>
            </w:r>
            <w:r w:rsidRPr="00097309">
              <w:t xml:space="preserve"> 408.5 ml/s; adjusted 95</w:t>
            </w:r>
            <w:r>
              <w:t>%</w:t>
            </w:r>
            <w:r w:rsidRPr="00097309">
              <w:t xml:space="preserve">CI </w:t>
            </w:r>
            <w:r>
              <w:t xml:space="preserve">6.10 to </w:t>
            </w:r>
            <w:r w:rsidR="008E6B59">
              <w:t>61.30; P=</w:t>
            </w:r>
            <w:r w:rsidRPr="00097309">
              <w:t>0.02</w:t>
            </w:r>
          </w:p>
          <w:p w14:paraId="461D8256" w14:textId="3BC1F11A" w:rsidR="006820C6" w:rsidRPr="006820C6" w:rsidRDefault="00097309" w:rsidP="002E17AE">
            <w:pPr>
              <w:pStyle w:val="bullet"/>
            </w:pPr>
            <w:r>
              <w:t>FEF</w:t>
            </w:r>
            <w:r w:rsidRPr="000376A4">
              <w:rPr>
                <w:vertAlign w:val="subscript"/>
              </w:rPr>
              <w:t>25-75</w:t>
            </w:r>
            <w:r>
              <w:t>: 387.4 vs 365.8 ml/s; adjusted 95%CI</w:t>
            </w:r>
            <w:r w:rsidRPr="00097309">
              <w:t xml:space="preserve"> 0.92</w:t>
            </w:r>
            <w:r>
              <w:t xml:space="preserve"> to 55.34; P=</w:t>
            </w:r>
            <w:r w:rsidRPr="00097309">
              <w:t>0.04</w:t>
            </w:r>
          </w:p>
        </w:tc>
        <w:tc>
          <w:tcPr>
            <w:tcW w:w="1843" w:type="dxa"/>
            <w:tcBorders>
              <w:bottom w:val="single" w:sz="4" w:space="0" w:color="auto"/>
            </w:tcBorders>
          </w:tcPr>
          <w:p w14:paraId="751DE6DB" w14:textId="1B8E100B" w:rsidR="006820C6" w:rsidRPr="006820C6" w:rsidRDefault="001D527F" w:rsidP="002747EA">
            <w:pPr>
              <w:keepNext/>
            </w:pPr>
            <w:r>
              <w:t xml:space="preserve">Included in </w:t>
            </w:r>
            <w:r w:rsidRPr="00CF6E2F">
              <w:t>Vahdaninia</w:t>
            </w:r>
            <w:r w:rsidRPr="00CF6E2F">
              <w:rPr>
                <w:rFonts w:eastAsiaTheme="majorEastAsia"/>
              </w:rPr>
              <w:t xml:space="preserve"> et al 2017</w:t>
            </w:r>
            <w:r w:rsidR="00E51743">
              <w:fldChar w:fldCharType="begin"/>
            </w:r>
            <w:r w:rsidR="002747EA">
              <w:instrText xml:space="preserve"> ADDIN EN.CITE &lt;EndNote&gt;&lt;Cite&gt;&lt;Author&gt;Vahdaninia M.&lt;/Author&gt;&lt;Year&gt;2017&lt;/Year&gt;&lt;RecNum&gt;1289&lt;/RecNum&gt;&lt;DisplayText&gt;&lt;style face="superscript" font="Trebuchet MS" size="9"&gt;153&lt;/style&gt;&lt;/DisplayText&gt;&lt;record&gt;&lt;rec-number&gt;1289&lt;/rec-number&gt;&lt;foreign-keys&gt;&lt;key app="EN" db-id="exvasrfx2dtraoesasxp2szsxa2df502592x" timestamp="1563324040"&gt;1289&lt;/key&gt;&lt;/foreign-keys&gt;&lt;ref-type name="Journal Article"&gt;17&lt;/ref-type&gt;&lt;contributors&gt;&lt;authors&gt;&lt;author&gt;Vahdaninia M.,&lt;/author&gt;&lt;author&gt;Mackenzie H.,&lt;/author&gt;&lt;author&gt;Helps S.,&lt;/author&gt;&lt;author&gt;Dean T.,&lt;/author&gt;&lt;/authors&gt;&lt;/contributors&gt;&lt;titles&gt;&lt;title&gt;Prenatal intake of vitamins and allergic outcomes in the offspring: a systematic review and meta-analysis&lt;/title&gt;&lt;secondary-title&gt;J Allergy Clin Immunol Pract&lt;/secondary-title&gt;&lt;/titles&gt;&lt;periodical&gt;&lt;full-title&gt;J Allergy Clin Immunol Pract&lt;/full-title&gt;&lt;/periodical&gt;&lt;pages&gt;771-78&lt;/pages&gt;&lt;volume&gt;5&lt;/volume&gt;&lt;number&gt;3&lt;/number&gt;&lt;dates&gt;&lt;year&gt;2017&lt;/year&gt;&lt;/dates&gt;&lt;urls&gt;&lt;/urls&gt;&lt;/record&gt;&lt;/Cite&gt;&lt;/EndNote&gt;</w:instrText>
            </w:r>
            <w:r w:rsidR="00E51743">
              <w:fldChar w:fldCharType="separate"/>
            </w:r>
            <w:r w:rsidR="002747EA" w:rsidRPr="002747EA">
              <w:rPr>
                <w:noProof/>
                <w:vertAlign w:val="superscript"/>
              </w:rPr>
              <w:t>153</w:t>
            </w:r>
            <w:r w:rsidR="00E51743">
              <w:fldChar w:fldCharType="end"/>
            </w:r>
          </w:p>
        </w:tc>
      </w:tr>
    </w:tbl>
    <w:p w14:paraId="6311E9D6" w14:textId="1C998F6A" w:rsidR="007262D7" w:rsidRDefault="009C163D" w:rsidP="005719CE">
      <w:pPr>
        <w:pStyle w:val="TableName"/>
        <w:ind w:left="1134" w:hanging="1134"/>
      </w:pPr>
      <w:bookmarkStart w:id="83" w:name="_Toc40956618"/>
      <w:r>
        <w:t xml:space="preserve">Q3 </w:t>
      </w:r>
      <w:r w:rsidR="007262D7">
        <w:t>Harms and benefits of vitamin E supplementation — systematic reviews</w:t>
      </w:r>
      <w:bookmarkEnd w:id="8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0: Q3 Harms and benefits of vitamin E supplementation — systematic reviews"/>
      </w:tblPr>
      <w:tblGrid>
        <w:gridCol w:w="1304"/>
        <w:gridCol w:w="1247"/>
        <w:gridCol w:w="4962"/>
        <w:gridCol w:w="4536"/>
        <w:gridCol w:w="1843"/>
      </w:tblGrid>
      <w:tr w:rsidR="007262D7" w:rsidRPr="00F350A6" w14:paraId="6311D7F4" w14:textId="77777777" w:rsidTr="00D97E8C">
        <w:trPr>
          <w:cantSplit/>
          <w:trHeight w:val="390"/>
          <w:tblHeader/>
        </w:trPr>
        <w:tc>
          <w:tcPr>
            <w:tcW w:w="1304" w:type="dxa"/>
            <w:tcBorders>
              <w:bottom w:val="single" w:sz="4" w:space="0" w:color="auto"/>
            </w:tcBorders>
          </w:tcPr>
          <w:p w14:paraId="4144A32A" w14:textId="77777777" w:rsidR="007262D7" w:rsidRPr="00F350A6" w:rsidRDefault="007262D7" w:rsidP="003E753D">
            <w:pPr>
              <w:keepNext/>
              <w:rPr>
                <w:b/>
              </w:rPr>
            </w:pPr>
            <w:r>
              <w:rPr>
                <w:b/>
              </w:rPr>
              <w:t>Study ref</w:t>
            </w:r>
          </w:p>
        </w:tc>
        <w:tc>
          <w:tcPr>
            <w:tcW w:w="1247" w:type="dxa"/>
            <w:tcBorders>
              <w:bottom w:val="single" w:sz="4" w:space="0" w:color="auto"/>
            </w:tcBorders>
          </w:tcPr>
          <w:p w14:paraId="013455BB" w14:textId="77777777" w:rsidR="007262D7" w:rsidRPr="00F350A6" w:rsidRDefault="007262D7" w:rsidP="003E753D">
            <w:pPr>
              <w:keepNext/>
              <w:rPr>
                <w:b/>
              </w:rPr>
            </w:pPr>
            <w:r>
              <w:rPr>
                <w:b/>
              </w:rPr>
              <w:t>N</w:t>
            </w:r>
          </w:p>
        </w:tc>
        <w:tc>
          <w:tcPr>
            <w:tcW w:w="4962" w:type="dxa"/>
            <w:tcBorders>
              <w:bottom w:val="single" w:sz="4" w:space="0" w:color="auto"/>
            </w:tcBorders>
          </w:tcPr>
          <w:p w14:paraId="4FC9A7BF" w14:textId="77777777" w:rsidR="007262D7" w:rsidRPr="00F350A6" w:rsidRDefault="007262D7" w:rsidP="003E753D">
            <w:pPr>
              <w:keepNext/>
              <w:rPr>
                <w:b/>
              </w:rPr>
            </w:pPr>
            <w:r>
              <w:rPr>
                <w:b/>
              </w:rPr>
              <w:t>Aim/methods</w:t>
            </w:r>
          </w:p>
        </w:tc>
        <w:tc>
          <w:tcPr>
            <w:tcW w:w="4536" w:type="dxa"/>
            <w:tcBorders>
              <w:bottom w:val="single" w:sz="4" w:space="0" w:color="auto"/>
            </w:tcBorders>
          </w:tcPr>
          <w:p w14:paraId="063528CD" w14:textId="77777777" w:rsidR="007262D7" w:rsidRPr="00F350A6" w:rsidRDefault="007262D7" w:rsidP="003E753D">
            <w:pPr>
              <w:keepNext/>
              <w:rPr>
                <w:b/>
              </w:rPr>
            </w:pPr>
            <w:r>
              <w:rPr>
                <w:b/>
              </w:rPr>
              <w:t>Results</w:t>
            </w:r>
          </w:p>
        </w:tc>
        <w:tc>
          <w:tcPr>
            <w:tcW w:w="1843" w:type="dxa"/>
            <w:tcBorders>
              <w:bottom w:val="single" w:sz="4" w:space="0" w:color="auto"/>
            </w:tcBorders>
          </w:tcPr>
          <w:p w14:paraId="406AFA51" w14:textId="77777777" w:rsidR="007262D7" w:rsidRPr="00F350A6" w:rsidRDefault="007262D7" w:rsidP="003E753D">
            <w:pPr>
              <w:keepNext/>
              <w:rPr>
                <w:b/>
              </w:rPr>
            </w:pPr>
            <w:r>
              <w:rPr>
                <w:b/>
              </w:rPr>
              <w:t>Comments</w:t>
            </w:r>
          </w:p>
        </w:tc>
      </w:tr>
      <w:tr w:rsidR="007262D7" w:rsidRPr="00D150D8" w14:paraId="17DB9EBE" w14:textId="77777777" w:rsidTr="00D97E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3E96A660" w14:textId="08933DEA" w:rsidR="007262D7" w:rsidRDefault="007262D7" w:rsidP="002747EA">
            <w:r>
              <w:t>Fu et al 2018</w:t>
            </w:r>
            <w:r>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fldChar w:fldCharType="separate"/>
            </w:r>
            <w:r w:rsidR="002747EA" w:rsidRPr="002747EA">
              <w:rPr>
                <w:noProof/>
                <w:vertAlign w:val="superscript"/>
              </w:rPr>
              <w:t>147</w:t>
            </w:r>
            <w:r>
              <w:fldChar w:fldCharType="end"/>
            </w:r>
          </w:p>
        </w:tc>
        <w:tc>
          <w:tcPr>
            <w:tcW w:w="1247" w:type="dxa"/>
            <w:tcBorders>
              <w:top w:val="single" w:sz="4" w:space="0" w:color="auto"/>
              <w:left w:val="single" w:sz="4" w:space="0" w:color="auto"/>
              <w:bottom w:val="single" w:sz="4" w:space="0" w:color="auto"/>
              <w:right w:val="single" w:sz="4" w:space="0" w:color="auto"/>
            </w:tcBorders>
          </w:tcPr>
          <w:p w14:paraId="34797895" w14:textId="77777777" w:rsidR="007262D7" w:rsidRPr="00967618" w:rsidRDefault="007262D7" w:rsidP="003E753D">
            <w:r>
              <w:t>1 study</w:t>
            </w:r>
          </w:p>
        </w:tc>
        <w:tc>
          <w:tcPr>
            <w:tcW w:w="4962" w:type="dxa"/>
            <w:tcBorders>
              <w:top w:val="single" w:sz="4" w:space="0" w:color="auto"/>
              <w:left w:val="single" w:sz="4" w:space="0" w:color="auto"/>
              <w:bottom w:val="single" w:sz="4" w:space="0" w:color="auto"/>
              <w:right w:val="single" w:sz="4" w:space="0" w:color="auto"/>
            </w:tcBorders>
          </w:tcPr>
          <w:p w14:paraId="3313BF73" w14:textId="77777777" w:rsidR="007262D7" w:rsidRDefault="007262D7" w:rsidP="003E753D">
            <w:r w:rsidRPr="001D527F">
              <w:rPr>
                <w:b/>
              </w:rPr>
              <w:t>Aim</w:t>
            </w:r>
            <w:r>
              <w:t>: T</w:t>
            </w:r>
            <w:r w:rsidRPr="001D527F">
              <w:t xml:space="preserve">o define the efficacy of vitamins supplementation on the risk of preeclampsia. </w:t>
            </w:r>
          </w:p>
          <w:p w14:paraId="17A47805" w14:textId="6F6EE3F4" w:rsidR="007262D7" w:rsidRPr="00FB6327" w:rsidRDefault="007262D7" w:rsidP="003E753D">
            <w:pPr>
              <w:rPr>
                <w:b/>
              </w:rPr>
            </w:pPr>
            <w:r w:rsidRPr="001D527F">
              <w:rPr>
                <w:b/>
              </w:rPr>
              <w:t>Methods</w:t>
            </w:r>
            <w:r>
              <w:t xml:space="preserve">: </w:t>
            </w:r>
            <w:r w:rsidRPr="001D527F">
              <w:t xml:space="preserve">Potential articles were systematically searched on the databases of Pubmed, Embase and Web of Science up to May 2016. Relative risk (RR) and 95% confidence intervals (95%CIs) were used to </w:t>
            </w:r>
            <w:r w:rsidR="00501148" w:rsidRPr="001D527F">
              <w:t>analyse</w:t>
            </w:r>
            <w:r w:rsidRPr="001D527F">
              <w:t xml:space="preserve"> the relationship of vitamins supplementation with risk of preeclampsia. </w:t>
            </w:r>
          </w:p>
        </w:tc>
        <w:tc>
          <w:tcPr>
            <w:tcW w:w="4536" w:type="dxa"/>
            <w:tcBorders>
              <w:top w:val="single" w:sz="4" w:space="0" w:color="auto"/>
              <w:left w:val="single" w:sz="4" w:space="0" w:color="auto"/>
              <w:bottom w:val="single" w:sz="4" w:space="0" w:color="auto"/>
              <w:right w:val="single" w:sz="4" w:space="0" w:color="auto"/>
            </w:tcBorders>
          </w:tcPr>
          <w:p w14:paraId="1B9D181C" w14:textId="77777777" w:rsidR="007262D7" w:rsidRDefault="007262D7" w:rsidP="003E753D">
            <w:r>
              <w:t>Intervention vs control:</w:t>
            </w:r>
          </w:p>
          <w:p w14:paraId="74B297CD" w14:textId="612D8B07" w:rsidR="007262D7" w:rsidRDefault="007262D7" w:rsidP="003E753D">
            <w:pPr>
              <w:pStyle w:val="bullet"/>
            </w:pPr>
            <w:r>
              <w:t>Pre-ec</w:t>
            </w:r>
            <w:r w:rsidR="009C1941">
              <w:t>lampsia: RR 0.54 (0.06 to 5.11); 1 RCT</w:t>
            </w:r>
          </w:p>
        </w:tc>
        <w:tc>
          <w:tcPr>
            <w:tcW w:w="1843" w:type="dxa"/>
            <w:tcBorders>
              <w:top w:val="single" w:sz="4" w:space="0" w:color="auto"/>
              <w:left w:val="single" w:sz="4" w:space="0" w:color="auto"/>
              <w:bottom w:val="single" w:sz="4" w:space="0" w:color="auto"/>
              <w:right w:val="single" w:sz="4" w:space="0" w:color="auto"/>
            </w:tcBorders>
          </w:tcPr>
          <w:p w14:paraId="02768511" w14:textId="77777777" w:rsidR="007262D7" w:rsidRPr="00D150D8" w:rsidRDefault="007262D7" w:rsidP="003E753D">
            <w:pPr>
              <w:keepNext/>
            </w:pPr>
          </w:p>
        </w:tc>
      </w:tr>
      <w:tr w:rsidR="007262D7" w:rsidRPr="00D150D8" w14:paraId="438B7F50" w14:textId="77777777" w:rsidTr="00D97E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5F659007" w14:textId="2AB0AC34" w:rsidR="007262D7" w:rsidRDefault="007262D7" w:rsidP="002747EA">
            <w:r>
              <w:t>Wu et al 2018</w:t>
            </w:r>
            <w:r>
              <w:fldChar w:fldCharType="begin">
                <w:fldData xml:space="preserve">PEVuZE5vdGU+PENpdGU+PEF1dGhvcj5XdTwvQXV0aG9yPjxZZWFyPjIwMTg8L1llYXI+PFJlY051
bT4xMjk1PC9SZWNOdW0+PERpc3BsYXlUZXh0PjxzdHlsZSBmYWNlPSJzdXBlcnNjcmlwdCIgZm9u
dD0iVHJlYnVjaGV0IE1TIiBzaXplPSI5Ij4xNTA8L3N0eWxlPjwvRGlzcGxheVRleHQ+PHJlY29y
ZD48cmVjLW51bWJlcj4xMjk1PC9yZWMtbnVtYmVyPjxmb3JlaWduLWtleXM+PGtleSBhcHA9IkVO
IiBkYi1pZD0iZXh2YXNyZngyZHRyYW9lc2FzeHAyc3pzeGEyZGY1MDI1OTJ4IiB0aW1lc3RhbXA9
IjE1NjUyMjM2NDEiPjEyOTU8L2tleT48a2V5IGFwcD0iRU5XZWIiIGRiLWlkPSIiPjA8L2tleT48
L2ZvcmVpZ24ta2V5cz48cmVmLXR5cGUgbmFtZT0iSm91cm5hbCBBcnRpY2xlIj4xNzwvcmVmLXR5
cGU+PGNvbnRyaWJ1dG9ycz48YXV0aG9ycz48YXV0aG9yPld1LCBILjwvYXV0aG9yPjxhdXRob3I+
WmhhbmcsIEMuPC9hdXRob3I+PGF1dGhvcj5XYW5nLCBZLjwvYXV0aG9yPjxhdXRob3I+TGksIFku
PC9hdXRob3I+PC9hdXRob3JzPjwvY29udHJpYnV0b3JzPjxhdXRoLWFkZHJlc3M+RGVwYXJ0bWVu
dCBvZiBQZWRpYXRyaWNzLCBUaGUgRmlyc3QgUGVvcGxlIEhvc3BpdGFsIG9mIENoYW5nemhvdSBh
bmQgdGhlIFRoaXJkIEFmZmlsaWF0ZWQgSG9zcGl0YWwgb2YgU29vY2hvdyBVbml2ZXJzaXR5LCBD
aGFuZ3pob3UsIEppYW5nc3UgMjEzMDAwLCBDaGluYS4gRWxlY3Ryb25pYyBhZGRyZXNzOiAxNTYx
NDI4NTk4QHFxLmNvbS4mI3hEO0RlcGFydG1lbnQgb2YgUGVkaWF0cmljcywgVGhlIEZpcnN0IFBl
b3BsZSBIb3NwaXRhbCBvZiBDaGFuZ3pob3UgYW5kIHRoZSBUaGlyZCBBZmZpbGlhdGVkIEhvc3Bp
dGFsIG9mIFNvb2Nob3cgVW5pdmVyc2l0eSwgQ2hhbmd6aG91LCBKaWFuZ3N1IDIxMzAwMCwgQ2hp
bmEuIEVsZWN0cm9uaWMgYWRkcmVzczogMTExMzI3MzI5MUBxcS5jb20uJiN4RDtEZXBhcnRtZW50
IG9mIFBlZGlhdHJpY3MsIFRoZSBGaXJzdCBQZW9wbGUgSG9zcGl0YWwgb2YgQ2hhbmd6aG91IGFu
ZCB0aGUgVGhpcmQgQWZmaWxpYXRlZCBIb3NwaXRhbCBvZiBTb29jaG93IFVuaXZlcnNpdHksIENo
YW5nemhvdSwgSmlhbmdzdSAyMTMwMDAsIENoaW5hLiBFbGVjdHJvbmljIGFkZHJlc3M6IDIwNjA3
ODg3ODVAcXEuY29tLiYjeEQ7RGVwYXJ0bWVudCBvZiBQZWRpYXRyaWNzLCBUaGUgRmlyc3QgUGVv
cGxlIEhvc3BpdGFsIG9mIENoYW5nemhvdSBhbmQgdGhlIFRoaXJkIEFmZmlsaWF0ZWQgSG9zcGl0
YWwgb2YgU29vY2hvdyBVbml2ZXJzaXR5LCBDaGFuZ3pob3UsIEppYW5nc3UgMjEzMDAwLCBDaGlu
YS4gRWxlY3Ryb25pYyBhZGRyZXNzOiAxMzc3Njg2NzUyMUAxNjMuY29tLjwvYXV0aC1hZGRyZXNz
Pjx0aXRsZXM+PHRpdGxlPkRvZXMgdml0YW1pbiBFIHByZXZlbnQgYXN0aG1hIG9yIHdoZWV6ZSBp
biBjaGlsZHJlbjogQSBzeXN0ZW1hdGljIHJldmlldyBhbmQgbWV0YS1hbmFseXNpczwvdGl0bGU+
PHNlY29uZGFyeS10aXRsZT5QYWVkaWF0ciBSZXNwaXIgUmV2PC9zZWNvbmRhcnktdGl0bGU+PC90
aXRsZXM+PHBlcmlvZGljYWw+PGZ1bGwtdGl0bGU+UGFlZGlhdHIgUmVzcGlyIFJldjwvZnVsbC10
aXRsZT48L3BlcmlvZGljYWw+PHBhZ2VzPjYwLTY4PC9wYWdlcz48dm9sdW1lPjI3PC92b2x1bWU+
PGVkaXRpb24+MjAxNy8xMS8wODwvZWRpdGlvbj48a2V5d29yZHM+PGtleXdvcmQ+KkFzdGhtYS9w
aHlzaW9wYXRob2xvZ3kvcHJldmVudGlvbiAmYW1wOyBjb250cm9sPC9rZXl3b3JkPjxrZXl3b3Jk
PkNoaWxkPC9rZXl3b3JkPjxrZXl3b3JkPkh1bWFuczwva2V5d29yZD48a2V5d29yZD5PYnNlcnZh
dGlvbmFsIFN0dWRpZXMgYXMgVG9waWM8L2tleXdvcmQ+PGtleXdvcmQ+T3V0Y29tZSBBc3Nlc3Nt
ZW50IChIZWFsdGggQ2FyZSk8L2tleXdvcmQ+PGtleXdvcmQ+UmVzcGlyYXRvcnkgU291bmRzLypk
cnVnIGVmZmVjdHMvZXRpb2xvZ3k8L2tleXdvcmQ+PGtleXdvcmQ+Vml0YW1pbiBFLypwaGFybWFj
b2xvZ3k8L2tleXdvcmQ+PGtleXdvcmQ+Vml0YW1pbnMvcGhhcm1hY29sb2d5PC9rZXl3b3JkPjxr
ZXl3b3JkPkFzdGhtYTwva2V5d29yZD48a2V5d29yZD5DaGlsZGhvb2Q8L2tleXdvcmQ+PGtleXdv
cmQ+Vml0YW1pbiBFPC9rZXl3b3JkPjxrZXl3b3JkPldoZWV6aW5nPC9rZXl3b3JkPjwva2V5d29y
ZHM+PGRhdGVzPjx5ZWFyPjIwMTg8L3llYXI+PHB1Yi1kYXRlcz48ZGF0ZT5KdW48L2RhdGU+PC9w
dWItZGF0ZXM+PC9kYXRlcz48aXNibj4xNTI2LTA1NTAgKEVsZWN0cm9uaWMpJiN4RDsxNTI2LTA1
NDIgKExpbmtpbmcpPC9pc2JuPjxhY2Nlc3Npb24tbnVtPjI5MTA4ODY4PC9hY2Nlc3Npb24tbnVt
Pjx1cmxzPjxyZWxhdGVkLXVybHM+PHVybD5odHRwczovL3d3dy5uY2JpLm5sbS5uaWguZ292L3B1
Ym1lZC8yOTEwODg2ODwvdXJsPjwvcmVsYXRlZC11cmxzPjwvdXJscz48ZWxlY3Ryb25pYy1yZXNv
dXJjZS1udW0+MTAuMTAxNi9qLnBycnYuMjAxNy4wOC4wMDI8L2VsZWN0cm9uaWMtcmVzb3VyY2Ut
bnVtPjwvcmVjb3JkPjwvQ2l0ZT48L0VuZE5vdGU+
</w:fldData>
              </w:fldChar>
            </w:r>
            <w:r w:rsidR="002747EA">
              <w:instrText xml:space="preserve"> ADDIN EN.CITE </w:instrText>
            </w:r>
            <w:r w:rsidR="002747EA">
              <w:fldChar w:fldCharType="begin">
                <w:fldData xml:space="preserve">PEVuZE5vdGU+PENpdGU+PEF1dGhvcj5XdTwvQXV0aG9yPjxZZWFyPjIwMTg8L1llYXI+PFJlY051
bT4xMjk1PC9SZWNOdW0+PERpc3BsYXlUZXh0PjxzdHlsZSBmYWNlPSJzdXBlcnNjcmlwdCIgZm9u
dD0iVHJlYnVjaGV0IE1TIiBzaXplPSI5Ij4xNTA8L3N0eWxlPjwvRGlzcGxheVRleHQ+PHJlY29y
ZD48cmVjLW51bWJlcj4xMjk1PC9yZWMtbnVtYmVyPjxmb3JlaWduLWtleXM+PGtleSBhcHA9IkVO
IiBkYi1pZD0iZXh2YXNyZngyZHRyYW9lc2FzeHAyc3pzeGEyZGY1MDI1OTJ4IiB0aW1lc3RhbXA9
IjE1NjUyMjM2NDEiPjEyOTU8L2tleT48a2V5IGFwcD0iRU5XZWIiIGRiLWlkPSIiPjA8L2tleT48
L2ZvcmVpZ24ta2V5cz48cmVmLXR5cGUgbmFtZT0iSm91cm5hbCBBcnRpY2xlIj4xNzwvcmVmLXR5
cGU+PGNvbnRyaWJ1dG9ycz48YXV0aG9ycz48YXV0aG9yPld1LCBILjwvYXV0aG9yPjxhdXRob3I+
WmhhbmcsIEMuPC9hdXRob3I+PGF1dGhvcj5XYW5nLCBZLjwvYXV0aG9yPjxhdXRob3I+TGksIFku
PC9hdXRob3I+PC9hdXRob3JzPjwvY29udHJpYnV0b3JzPjxhdXRoLWFkZHJlc3M+RGVwYXJ0bWVu
dCBvZiBQZWRpYXRyaWNzLCBUaGUgRmlyc3QgUGVvcGxlIEhvc3BpdGFsIG9mIENoYW5nemhvdSBh
bmQgdGhlIFRoaXJkIEFmZmlsaWF0ZWQgSG9zcGl0YWwgb2YgU29vY2hvdyBVbml2ZXJzaXR5LCBD
aGFuZ3pob3UsIEppYW5nc3UgMjEzMDAwLCBDaGluYS4gRWxlY3Ryb25pYyBhZGRyZXNzOiAxNTYx
NDI4NTk4QHFxLmNvbS4mI3hEO0RlcGFydG1lbnQgb2YgUGVkaWF0cmljcywgVGhlIEZpcnN0IFBl
b3BsZSBIb3NwaXRhbCBvZiBDaGFuZ3pob3UgYW5kIHRoZSBUaGlyZCBBZmZpbGlhdGVkIEhvc3Bp
dGFsIG9mIFNvb2Nob3cgVW5pdmVyc2l0eSwgQ2hhbmd6aG91LCBKaWFuZ3N1IDIxMzAwMCwgQ2hp
bmEuIEVsZWN0cm9uaWMgYWRkcmVzczogMTExMzI3MzI5MUBxcS5jb20uJiN4RDtEZXBhcnRtZW50
IG9mIFBlZGlhdHJpY3MsIFRoZSBGaXJzdCBQZW9wbGUgSG9zcGl0YWwgb2YgQ2hhbmd6aG91IGFu
ZCB0aGUgVGhpcmQgQWZmaWxpYXRlZCBIb3NwaXRhbCBvZiBTb29jaG93IFVuaXZlcnNpdHksIENo
YW5nemhvdSwgSmlhbmdzdSAyMTMwMDAsIENoaW5hLiBFbGVjdHJvbmljIGFkZHJlc3M6IDIwNjA3
ODg3ODVAcXEuY29tLiYjeEQ7RGVwYXJ0bWVudCBvZiBQZWRpYXRyaWNzLCBUaGUgRmlyc3QgUGVv
cGxlIEhvc3BpdGFsIG9mIENoYW5nemhvdSBhbmQgdGhlIFRoaXJkIEFmZmlsaWF0ZWQgSG9zcGl0
YWwgb2YgU29vY2hvdyBVbml2ZXJzaXR5LCBDaGFuZ3pob3UsIEppYW5nc3UgMjEzMDAwLCBDaGlu
YS4gRWxlY3Ryb25pYyBhZGRyZXNzOiAxMzc3Njg2NzUyMUAxNjMuY29tLjwvYXV0aC1hZGRyZXNz
Pjx0aXRsZXM+PHRpdGxlPkRvZXMgdml0YW1pbiBFIHByZXZlbnQgYXN0aG1hIG9yIHdoZWV6ZSBp
biBjaGlsZHJlbjogQSBzeXN0ZW1hdGljIHJldmlldyBhbmQgbWV0YS1hbmFseXNpczwvdGl0bGU+
PHNlY29uZGFyeS10aXRsZT5QYWVkaWF0ciBSZXNwaXIgUmV2PC9zZWNvbmRhcnktdGl0bGU+PC90
aXRsZXM+PHBlcmlvZGljYWw+PGZ1bGwtdGl0bGU+UGFlZGlhdHIgUmVzcGlyIFJldjwvZnVsbC10
aXRsZT48L3BlcmlvZGljYWw+PHBhZ2VzPjYwLTY4PC9wYWdlcz48dm9sdW1lPjI3PC92b2x1bWU+
PGVkaXRpb24+MjAxNy8xMS8wODwvZWRpdGlvbj48a2V5d29yZHM+PGtleXdvcmQ+KkFzdGhtYS9w
aHlzaW9wYXRob2xvZ3kvcHJldmVudGlvbiAmYW1wOyBjb250cm9sPC9rZXl3b3JkPjxrZXl3b3Jk
PkNoaWxkPC9rZXl3b3JkPjxrZXl3b3JkPkh1bWFuczwva2V5d29yZD48a2V5d29yZD5PYnNlcnZh
dGlvbmFsIFN0dWRpZXMgYXMgVG9waWM8L2tleXdvcmQ+PGtleXdvcmQ+T3V0Y29tZSBBc3Nlc3Nt
ZW50IChIZWFsdGggQ2FyZSk8L2tleXdvcmQ+PGtleXdvcmQ+UmVzcGlyYXRvcnkgU291bmRzLypk
cnVnIGVmZmVjdHMvZXRpb2xvZ3k8L2tleXdvcmQ+PGtleXdvcmQ+Vml0YW1pbiBFLypwaGFybWFj
b2xvZ3k8L2tleXdvcmQ+PGtleXdvcmQ+Vml0YW1pbnMvcGhhcm1hY29sb2d5PC9rZXl3b3JkPjxr
ZXl3b3JkPkFzdGhtYTwva2V5d29yZD48a2V5d29yZD5DaGlsZGhvb2Q8L2tleXdvcmQ+PGtleXdv
cmQ+Vml0YW1pbiBFPC9rZXl3b3JkPjxrZXl3b3JkPldoZWV6aW5nPC9rZXl3b3JkPjwva2V5d29y
ZHM+PGRhdGVzPjx5ZWFyPjIwMTg8L3llYXI+PHB1Yi1kYXRlcz48ZGF0ZT5KdW48L2RhdGU+PC9w
dWItZGF0ZXM+PC9kYXRlcz48aXNibj4xNTI2LTA1NTAgKEVsZWN0cm9uaWMpJiN4RDsxNTI2LTA1
NDIgKExpbmtpbmcpPC9pc2JuPjxhY2Nlc3Npb24tbnVtPjI5MTA4ODY4PC9hY2Nlc3Npb24tbnVt
Pjx1cmxzPjxyZWxhdGVkLXVybHM+PHVybD5odHRwczovL3d3dy5uY2JpLm5sbS5uaWguZ292L3B1
Ym1lZC8yOTEwODg2ODwvdXJsPjwvcmVsYXRlZC11cmxzPjwvdXJscz48ZWxlY3Ryb25pYy1yZXNv
dXJjZS1udW0+MTAuMTAxNi9qLnBycnYuMjAxNy4wOC4wMDI8L2VsZWN0cm9uaWMtcmVzb3VyY2Ut
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150</w:t>
            </w:r>
            <w:r>
              <w:fldChar w:fldCharType="end"/>
            </w:r>
          </w:p>
        </w:tc>
        <w:tc>
          <w:tcPr>
            <w:tcW w:w="1247" w:type="dxa"/>
            <w:tcBorders>
              <w:top w:val="single" w:sz="4" w:space="0" w:color="auto"/>
              <w:left w:val="single" w:sz="4" w:space="0" w:color="auto"/>
              <w:bottom w:val="single" w:sz="4" w:space="0" w:color="auto"/>
              <w:right w:val="single" w:sz="4" w:space="0" w:color="auto"/>
            </w:tcBorders>
          </w:tcPr>
          <w:p w14:paraId="56534571" w14:textId="77777777" w:rsidR="007262D7" w:rsidRDefault="007262D7" w:rsidP="003E753D">
            <w:r>
              <w:t>19 studies</w:t>
            </w:r>
          </w:p>
        </w:tc>
        <w:tc>
          <w:tcPr>
            <w:tcW w:w="4962" w:type="dxa"/>
            <w:tcBorders>
              <w:top w:val="single" w:sz="4" w:space="0" w:color="auto"/>
              <w:left w:val="single" w:sz="4" w:space="0" w:color="auto"/>
              <w:bottom w:val="single" w:sz="4" w:space="0" w:color="auto"/>
              <w:right w:val="single" w:sz="4" w:space="0" w:color="auto"/>
            </w:tcBorders>
          </w:tcPr>
          <w:p w14:paraId="539BE547" w14:textId="77777777" w:rsidR="007262D7" w:rsidRDefault="007262D7" w:rsidP="003E753D">
            <w:r w:rsidRPr="00C95E98">
              <w:rPr>
                <w:b/>
              </w:rPr>
              <w:t>Aim</w:t>
            </w:r>
            <w:r>
              <w:t>: T</w:t>
            </w:r>
            <w:r w:rsidRPr="00C95E98">
              <w:t xml:space="preserve">o critically examine the current evidence on the association of vitamin E with childhood asthma and wheezing. </w:t>
            </w:r>
          </w:p>
          <w:p w14:paraId="1EB7BDD8" w14:textId="77777777" w:rsidR="007262D7" w:rsidRPr="001D527F" w:rsidRDefault="007262D7" w:rsidP="003E753D">
            <w:pPr>
              <w:rPr>
                <w:b/>
              </w:rPr>
            </w:pPr>
            <w:r w:rsidRPr="00C95E98">
              <w:rPr>
                <w:b/>
              </w:rPr>
              <w:t>Methods</w:t>
            </w:r>
            <w:r>
              <w:t xml:space="preserve">: </w:t>
            </w:r>
            <w:r w:rsidRPr="00C95E98">
              <w:t xml:space="preserve">We searched electronic databases for observational studies in English-language journals published from 2000 to 2016. </w:t>
            </w:r>
          </w:p>
        </w:tc>
        <w:tc>
          <w:tcPr>
            <w:tcW w:w="4536" w:type="dxa"/>
            <w:tcBorders>
              <w:top w:val="single" w:sz="4" w:space="0" w:color="auto"/>
              <w:left w:val="single" w:sz="4" w:space="0" w:color="auto"/>
              <w:bottom w:val="single" w:sz="4" w:space="0" w:color="auto"/>
              <w:right w:val="single" w:sz="4" w:space="0" w:color="auto"/>
            </w:tcBorders>
          </w:tcPr>
          <w:p w14:paraId="09FAD446" w14:textId="77777777" w:rsidR="007262D7" w:rsidRDefault="007262D7" w:rsidP="003E753D">
            <w:r>
              <w:t>Intervention vs control:</w:t>
            </w:r>
          </w:p>
          <w:p w14:paraId="76AE3BDF" w14:textId="77777777" w:rsidR="007262D7" w:rsidRDefault="007262D7" w:rsidP="003E753D">
            <w:pPr>
              <w:pStyle w:val="bullet"/>
            </w:pPr>
            <w:r>
              <w:t>Asthmatic diseases in childhood: OR 0.74 (0.61 to 0.89)</w:t>
            </w:r>
          </w:p>
          <w:p w14:paraId="153BCDEE" w14:textId="77777777" w:rsidR="007262D7" w:rsidRDefault="007262D7" w:rsidP="003E753D">
            <w:pPr>
              <w:pStyle w:val="bullet"/>
            </w:pPr>
            <w:r>
              <w:t>Childhood asthma: RR 0.97 (0.95 to 1.00)</w:t>
            </w:r>
          </w:p>
          <w:p w14:paraId="3257D6F0" w14:textId="77777777" w:rsidR="007262D7" w:rsidRDefault="007262D7" w:rsidP="003E753D">
            <w:pPr>
              <w:pStyle w:val="bullet"/>
            </w:pPr>
            <w:r>
              <w:t>Wheeze in children: RR 0.65 (0.56 to 0.75)</w:t>
            </w:r>
          </w:p>
        </w:tc>
        <w:tc>
          <w:tcPr>
            <w:tcW w:w="1843" w:type="dxa"/>
            <w:tcBorders>
              <w:top w:val="single" w:sz="4" w:space="0" w:color="auto"/>
              <w:left w:val="single" w:sz="4" w:space="0" w:color="auto"/>
              <w:bottom w:val="single" w:sz="4" w:space="0" w:color="auto"/>
              <w:right w:val="single" w:sz="4" w:space="0" w:color="auto"/>
            </w:tcBorders>
          </w:tcPr>
          <w:p w14:paraId="6EDD86DB" w14:textId="77777777" w:rsidR="007262D7" w:rsidRPr="00D150D8" w:rsidRDefault="007262D7" w:rsidP="003E753D">
            <w:pPr>
              <w:keepNext/>
            </w:pPr>
          </w:p>
        </w:tc>
      </w:tr>
    </w:tbl>
    <w:p w14:paraId="65C3721B" w14:textId="4A1FA2E9" w:rsidR="0080400E" w:rsidRDefault="009C163D" w:rsidP="005719CE">
      <w:pPr>
        <w:pStyle w:val="TableName"/>
        <w:ind w:left="1134" w:hanging="1134"/>
      </w:pPr>
      <w:bookmarkStart w:id="84" w:name="_Toc40956619"/>
      <w:r>
        <w:t xml:space="preserve">Q3 </w:t>
      </w:r>
      <w:r w:rsidR="0080400E">
        <w:t>Harms and benefits of vitamin C and vitamin E supplementation in pregnancy — systematic reviews</w:t>
      </w:r>
      <w:bookmarkEnd w:id="8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1: Q3 Harms and benefits of vitamin C and vitamin E supplementation in pregnancy — systematic reviews"/>
      </w:tblPr>
      <w:tblGrid>
        <w:gridCol w:w="1276"/>
        <w:gridCol w:w="28"/>
        <w:gridCol w:w="1247"/>
        <w:gridCol w:w="4962"/>
        <w:gridCol w:w="4536"/>
        <w:gridCol w:w="1843"/>
      </w:tblGrid>
      <w:tr w:rsidR="0080400E" w:rsidRPr="00F350A6" w14:paraId="462E8548" w14:textId="77777777" w:rsidTr="005A3D92">
        <w:trPr>
          <w:cantSplit/>
          <w:trHeight w:val="390"/>
          <w:tblHeader/>
        </w:trPr>
        <w:tc>
          <w:tcPr>
            <w:tcW w:w="1304" w:type="dxa"/>
            <w:gridSpan w:val="2"/>
            <w:tcBorders>
              <w:bottom w:val="single" w:sz="4" w:space="0" w:color="auto"/>
            </w:tcBorders>
          </w:tcPr>
          <w:p w14:paraId="15FD50C6" w14:textId="77777777" w:rsidR="0080400E" w:rsidRPr="00F350A6" w:rsidRDefault="0080400E" w:rsidP="00632FE5">
            <w:pPr>
              <w:keepNext/>
              <w:rPr>
                <w:b/>
              </w:rPr>
            </w:pPr>
            <w:r>
              <w:rPr>
                <w:b/>
              </w:rPr>
              <w:t>Study ref</w:t>
            </w:r>
          </w:p>
        </w:tc>
        <w:tc>
          <w:tcPr>
            <w:tcW w:w="1247" w:type="dxa"/>
            <w:tcBorders>
              <w:bottom w:val="single" w:sz="4" w:space="0" w:color="auto"/>
            </w:tcBorders>
          </w:tcPr>
          <w:p w14:paraId="3210830A" w14:textId="77777777" w:rsidR="0080400E" w:rsidRPr="00F350A6" w:rsidRDefault="0080400E" w:rsidP="00632FE5">
            <w:pPr>
              <w:keepNext/>
              <w:rPr>
                <w:b/>
              </w:rPr>
            </w:pPr>
            <w:r>
              <w:rPr>
                <w:b/>
              </w:rPr>
              <w:t>N</w:t>
            </w:r>
          </w:p>
        </w:tc>
        <w:tc>
          <w:tcPr>
            <w:tcW w:w="4962" w:type="dxa"/>
            <w:tcBorders>
              <w:bottom w:val="single" w:sz="4" w:space="0" w:color="auto"/>
            </w:tcBorders>
          </w:tcPr>
          <w:p w14:paraId="3E7FD892" w14:textId="0AF87512" w:rsidR="0080400E" w:rsidRPr="00F350A6" w:rsidRDefault="0080400E" w:rsidP="00354B87">
            <w:pPr>
              <w:keepNext/>
              <w:rPr>
                <w:b/>
              </w:rPr>
            </w:pPr>
            <w:r>
              <w:rPr>
                <w:b/>
              </w:rPr>
              <w:t>Aim/</w:t>
            </w:r>
            <w:r w:rsidR="00354B87">
              <w:rPr>
                <w:b/>
              </w:rPr>
              <w:t>methods</w:t>
            </w:r>
          </w:p>
        </w:tc>
        <w:tc>
          <w:tcPr>
            <w:tcW w:w="4536" w:type="dxa"/>
            <w:tcBorders>
              <w:bottom w:val="single" w:sz="4" w:space="0" w:color="auto"/>
            </w:tcBorders>
          </w:tcPr>
          <w:p w14:paraId="49A42CE2" w14:textId="77777777" w:rsidR="0080400E" w:rsidRPr="00F350A6" w:rsidRDefault="0080400E" w:rsidP="00632FE5">
            <w:pPr>
              <w:keepNext/>
              <w:rPr>
                <w:b/>
              </w:rPr>
            </w:pPr>
            <w:r>
              <w:rPr>
                <w:b/>
              </w:rPr>
              <w:t>Results</w:t>
            </w:r>
          </w:p>
        </w:tc>
        <w:tc>
          <w:tcPr>
            <w:tcW w:w="1843" w:type="dxa"/>
            <w:tcBorders>
              <w:bottom w:val="single" w:sz="4" w:space="0" w:color="auto"/>
            </w:tcBorders>
          </w:tcPr>
          <w:p w14:paraId="3A5ABDC2" w14:textId="77777777" w:rsidR="0080400E" w:rsidRPr="00F350A6" w:rsidRDefault="0080400E" w:rsidP="00632FE5">
            <w:pPr>
              <w:keepNext/>
              <w:rPr>
                <w:b/>
              </w:rPr>
            </w:pPr>
            <w:r>
              <w:rPr>
                <w:b/>
              </w:rPr>
              <w:t>Comments</w:t>
            </w:r>
          </w:p>
        </w:tc>
      </w:tr>
      <w:tr w:rsidR="00FB6327" w:rsidRPr="00D150D8" w14:paraId="55EAF154" w14:textId="77777777" w:rsidTr="00FB6327">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gridSpan w:val="2"/>
            <w:tcBorders>
              <w:top w:val="single" w:sz="4" w:space="0" w:color="auto"/>
              <w:left w:val="single" w:sz="4" w:space="0" w:color="auto"/>
              <w:bottom w:val="single" w:sz="4" w:space="0" w:color="auto"/>
              <w:right w:val="single" w:sz="4" w:space="0" w:color="auto"/>
            </w:tcBorders>
          </w:tcPr>
          <w:p w14:paraId="59B6F28F" w14:textId="738A00CF" w:rsidR="00FB6327" w:rsidRPr="00CF6E2F" w:rsidRDefault="00FB6327" w:rsidP="002747EA">
            <w:r>
              <w:t>Balogun et al 2016</w:t>
            </w:r>
            <w:r w:rsidR="00E51743">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125</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3D6CDAFF" w14:textId="77777777" w:rsidR="00967618" w:rsidRDefault="00967618" w:rsidP="00967618">
            <w:r w:rsidRPr="00967618">
              <w:t xml:space="preserve">40 </w:t>
            </w:r>
            <w:r>
              <w:t>studies</w:t>
            </w:r>
            <w:r w:rsidRPr="00967618">
              <w:t xml:space="preserve"> </w:t>
            </w:r>
          </w:p>
          <w:p w14:paraId="5A842F17" w14:textId="4F4F8A2A" w:rsidR="00FB6327" w:rsidRDefault="00967618" w:rsidP="00967618">
            <w:r w:rsidRPr="00967618">
              <w:t>276,820</w:t>
            </w:r>
          </w:p>
        </w:tc>
        <w:tc>
          <w:tcPr>
            <w:tcW w:w="4962" w:type="dxa"/>
            <w:tcBorders>
              <w:top w:val="single" w:sz="4" w:space="0" w:color="auto"/>
              <w:left w:val="single" w:sz="4" w:space="0" w:color="auto"/>
              <w:bottom w:val="single" w:sz="4" w:space="0" w:color="auto"/>
              <w:right w:val="single" w:sz="4" w:space="0" w:color="auto"/>
            </w:tcBorders>
          </w:tcPr>
          <w:p w14:paraId="74894816" w14:textId="665E0D32" w:rsidR="00FB6327" w:rsidRPr="00FB6327" w:rsidRDefault="00FB6327" w:rsidP="00FB6327">
            <w:r w:rsidRPr="00FB6327">
              <w:rPr>
                <w:b/>
              </w:rPr>
              <w:t>Aim</w:t>
            </w:r>
            <w:r>
              <w:t xml:space="preserve">: </w:t>
            </w:r>
            <w:r w:rsidRPr="00FB6327">
              <w:t>to determine the effectiveness and safety of any vitamin supplementation, on the risk of spontaneous</w:t>
            </w:r>
            <w:r>
              <w:t xml:space="preserve"> </w:t>
            </w:r>
            <w:r w:rsidRPr="00FB6327">
              <w:t>miscarriage.</w:t>
            </w:r>
          </w:p>
          <w:p w14:paraId="1C0F68B7" w14:textId="4EC67AD1" w:rsidR="00FB6327" w:rsidRPr="00D404CA" w:rsidRDefault="00FB6327" w:rsidP="00FB6327">
            <w:r w:rsidRPr="00FB6327">
              <w:rPr>
                <w:b/>
              </w:rPr>
              <w:t>Methods</w:t>
            </w:r>
            <w:r>
              <w:t xml:space="preserve">: </w:t>
            </w:r>
            <w:r w:rsidRPr="00FB6327">
              <w:t>We searched the Cochrane Pregnancy and Childbirth Group Trials Register (6 November 2015) and reference lists of retrieved studies.</w:t>
            </w:r>
            <w:r>
              <w:t xml:space="preserve"> </w:t>
            </w:r>
            <w:r w:rsidRPr="00FB6327">
              <w:t>All randomised and quasi-randomised trials comparing supplementation during pregnancy with one or more vitamins with either placebo, other vitamins, no vitamins or other interventions. We have included supplementation that started prior to conception, periconceptionally or in early pregnancy (less than 20 weeks’ gestation).</w:t>
            </w:r>
          </w:p>
        </w:tc>
        <w:tc>
          <w:tcPr>
            <w:tcW w:w="4536" w:type="dxa"/>
            <w:tcBorders>
              <w:top w:val="single" w:sz="4" w:space="0" w:color="auto"/>
              <w:left w:val="single" w:sz="4" w:space="0" w:color="auto"/>
              <w:bottom w:val="single" w:sz="4" w:space="0" w:color="auto"/>
              <w:right w:val="single" w:sz="4" w:space="0" w:color="auto"/>
            </w:tcBorders>
          </w:tcPr>
          <w:p w14:paraId="6A7D39FA" w14:textId="77777777" w:rsidR="00FB6327" w:rsidRDefault="00FB6327" w:rsidP="00FB6327">
            <w:r>
              <w:t>Vitamin C plus vitamin E vs placebo:</w:t>
            </w:r>
          </w:p>
          <w:p w14:paraId="32BA01C6" w14:textId="2398D54A" w:rsidR="00FB6327" w:rsidRPr="00D404CA" w:rsidRDefault="00FB6327" w:rsidP="00D404CA">
            <w:pPr>
              <w:pStyle w:val="bullet"/>
            </w:pPr>
            <w:r w:rsidRPr="00D404CA">
              <w:t>Total fetal loss</w:t>
            </w:r>
            <w:r>
              <w:t>: RR 1.14 (0.92 to 1.40);</w:t>
            </w:r>
            <w:r w:rsidRPr="00D404CA">
              <w:t xml:space="preserve"> 7 </w:t>
            </w:r>
            <w:r>
              <w:t>studies; n=</w:t>
            </w:r>
            <w:r w:rsidRPr="00D404CA">
              <w:t>18</w:t>
            </w:r>
            <w:r>
              <w:t>,</w:t>
            </w:r>
            <w:r w:rsidRPr="00D404CA">
              <w:t>949</w:t>
            </w:r>
          </w:p>
          <w:p w14:paraId="24E2E744" w14:textId="78B3A5C7" w:rsidR="00FB6327" w:rsidRPr="00D404CA" w:rsidRDefault="00FB6327" w:rsidP="00D404CA">
            <w:pPr>
              <w:pStyle w:val="bullet"/>
            </w:pPr>
            <w:r w:rsidRPr="00D404CA">
              <w:t>Early or late miscarriage</w:t>
            </w:r>
            <w:r>
              <w:t>: RR 0.90 (0.65 to 1.26);</w:t>
            </w:r>
            <w:r w:rsidRPr="00D404CA">
              <w:t xml:space="preserve"> 4 </w:t>
            </w:r>
            <w:r>
              <w:t>studies; n=</w:t>
            </w:r>
            <w:r w:rsidRPr="00D404CA">
              <w:t>13</w:t>
            </w:r>
            <w:r>
              <w:t>,</w:t>
            </w:r>
            <w:r w:rsidRPr="00D404CA">
              <w:t>346</w:t>
            </w:r>
          </w:p>
          <w:p w14:paraId="2FCEE97B" w14:textId="183B81FC" w:rsidR="00FB6327" w:rsidRPr="00D404CA" w:rsidRDefault="00FB6327" w:rsidP="00D404CA">
            <w:pPr>
              <w:pStyle w:val="bullet"/>
            </w:pPr>
            <w:r w:rsidRPr="00D404CA">
              <w:t>Stillbirth</w:t>
            </w:r>
            <w:r>
              <w:t>: RR 1.31 (0.97 to 1.76);</w:t>
            </w:r>
            <w:r w:rsidRPr="00D404CA">
              <w:t xml:space="preserve"> 7 </w:t>
            </w:r>
            <w:r>
              <w:t>studies; n=</w:t>
            </w:r>
            <w:r w:rsidRPr="00D404CA">
              <w:t>21</w:t>
            </w:r>
            <w:r>
              <w:t>,</w:t>
            </w:r>
            <w:r w:rsidRPr="00D404CA">
              <w:t>442</w:t>
            </w:r>
          </w:p>
          <w:p w14:paraId="2FDFDBFE" w14:textId="78B5F49C" w:rsidR="00FB6327" w:rsidRPr="00D404CA" w:rsidRDefault="00FB6327" w:rsidP="00D404CA">
            <w:pPr>
              <w:pStyle w:val="bullet"/>
            </w:pPr>
            <w:r w:rsidRPr="00D404CA">
              <w:t>Congenital malformations</w:t>
            </w:r>
            <w:r>
              <w:t>: RR 1.17 (0.84 to 1.62);</w:t>
            </w:r>
            <w:r w:rsidRPr="00D404CA">
              <w:t xml:space="preserve"> 5 </w:t>
            </w:r>
            <w:r>
              <w:t>studies; n=</w:t>
            </w:r>
            <w:r w:rsidRPr="00D404CA">
              <w:t>8</w:t>
            </w:r>
            <w:r>
              <w:t>,</w:t>
            </w:r>
            <w:r w:rsidRPr="00D404CA">
              <w:t>334</w:t>
            </w:r>
          </w:p>
          <w:p w14:paraId="1630E26A" w14:textId="712F4F21" w:rsidR="00FB6327" w:rsidRPr="00D404CA" w:rsidRDefault="00FB6327" w:rsidP="00FB6327">
            <w:pPr>
              <w:pStyle w:val="bullet"/>
            </w:pPr>
            <w:r w:rsidRPr="00D404CA">
              <w:t>Any adverse effects of vitamin</w:t>
            </w:r>
            <w:r>
              <w:t xml:space="preserve"> </w:t>
            </w:r>
            <w:r w:rsidRPr="00D404CA">
              <w:t>supplementation sufficient to</w:t>
            </w:r>
            <w:r>
              <w:t xml:space="preserve"> </w:t>
            </w:r>
            <w:r w:rsidRPr="00D404CA">
              <w:t>stop supplementation</w:t>
            </w:r>
            <w:r>
              <w:t xml:space="preserve">: RR 1.16 (0.39 to 3.41); </w:t>
            </w:r>
            <w:r w:rsidRPr="00D404CA">
              <w:t xml:space="preserve">1 </w:t>
            </w:r>
            <w:r>
              <w:t>study; n=</w:t>
            </w:r>
            <w:r w:rsidRPr="00D404CA">
              <w:t xml:space="preserve">739 </w:t>
            </w:r>
          </w:p>
        </w:tc>
        <w:tc>
          <w:tcPr>
            <w:tcW w:w="1843" w:type="dxa"/>
            <w:tcBorders>
              <w:top w:val="single" w:sz="4" w:space="0" w:color="auto"/>
              <w:left w:val="single" w:sz="4" w:space="0" w:color="auto"/>
              <w:bottom w:val="single" w:sz="4" w:space="0" w:color="auto"/>
              <w:right w:val="single" w:sz="4" w:space="0" w:color="auto"/>
            </w:tcBorders>
          </w:tcPr>
          <w:p w14:paraId="6C6ABD3E" w14:textId="77777777" w:rsidR="00FB6327" w:rsidRPr="00D150D8" w:rsidRDefault="00FB6327" w:rsidP="00632FE5">
            <w:pPr>
              <w:keepNext/>
            </w:pPr>
          </w:p>
        </w:tc>
      </w:tr>
      <w:tr w:rsidR="009A6DC6" w:rsidRPr="00D150D8" w14:paraId="2792FF62" w14:textId="77777777" w:rsidTr="00FB6327">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gridSpan w:val="2"/>
            <w:tcBorders>
              <w:top w:val="single" w:sz="4" w:space="0" w:color="auto"/>
              <w:left w:val="single" w:sz="4" w:space="0" w:color="auto"/>
              <w:bottom w:val="single" w:sz="4" w:space="0" w:color="auto"/>
              <w:right w:val="single" w:sz="4" w:space="0" w:color="auto"/>
            </w:tcBorders>
          </w:tcPr>
          <w:p w14:paraId="4DD76D6E" w14:textId="330DFE5E" w:rsidR="009A6DC6" w:rsidRDefault="001C05D1" w:rsidP="002747EA">
            <w:r>
              <w:t>Fu et al 2018</w:t>
            </w:r>
            <w:r w:rsidR="00E51743">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147</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5C8DE176" w14:textId="5FC94EC5" w:rsidR="009A6DC6" w:rsidRPr="00967618" w:rsidRDefault="009A6DC6" w:rsidP="00967618">
            <w:r>
              <w:t>12 studies</w:t>
            </w:r>
          </w:p>
        </w:tc>
        <w:tc>
          <w:tcPr>
            <w:tcW w:w="4962" w:type="dxa"/>
            <w:tcBorders>
              <w:top w:val="single" w:sz="4" w:space="0" w:color="auto"/>
              <w:left w:val="single" w:sz="4" w:space="0" w:color="auto"/>
              <w:bottom w:val="single" w:sz="4" w:space="0" w:color="auto"/>
              <w:right w:val="single" w:sz="4" w:space="0" w:color="auto"/>
            </w:tcBorders>
          </w:tcPr>
          <w:p w14:paraId="545C500D" w14:textId="77777777" w:rsidR="001D527F" w:rsidRDefault="001D527F" w:rsidP="001D527F">
            <w:r w:rsidRPr="001D527F">
              <w:rPr>
                <w:b/>
              </w:rPr>
              <w:t>Aim</w:t>
            </w:r>
            <w:r>
              <w:t>: T</w:t>
            </w:r>
            <w:r w:rsidRPr="001D527F">
              <w:t xml:space="preserve">o define the efficacy of vitamins supplementation on the risk of preeclampsia. </w:t>
            </w:r>
          </w:p>
          <w:p w14:paraId="4A0F572A" w14:textId="0D335DE1" w:rsidR="009A6DC6" w:rsidRPr="00FB6327" w:rsidRDefault="001D527F" w:rsidP="001D527F">
            <w:pPr>
              <w:rPr>
                <w:b/>
              </w:rPr>
            </w:pPr>
            <w:r w:rsidRPr="001D527F">
              <w:rPr>
                <w:b/>
              </w:rPr>
              <w:t>Methods</w:t>
            </w:r>
            <w:r>
              <w:t xml:space="preserve">: </w:t>
            </w:r>
            <w:r w:rsidRPr="001D527F">
              <w:t xml:space="preserve">Potential articles were systematically searched on the databases of Pubmed, Embase and Web of Science up to May 2016. Relative risk (RR) and 95% confidence intervals (95%CIs) were used to </w:t>
            </w:r>
            <w:r w:rsidR="00501148" w:rsidRPr="001D527F">
              <w:t>analyse</w:t>
            </w:r>
            <w:r w:rsidRPr="001D527F">
              <w:t xml:space="preserve"> the relationship of vitamins supplementation with risk of preeclampsia. </w:t>
            </w:r>
          </w:p>
        </w:tc>
        <w:tc>
          <w:tcPr>
            <w:tcW w:w="4536" w:type="dxa"/>
            <w:tcBorders>
              <w:top w:val="single" w:sz="4" w:space="0" w:color="auto"/>
              <w:left w:val="single" w:sz="4" w:space="0" w:color="auto"/>
              <w:bottom w:val="single" w:sz="4" w:space="0" w:color="auto"/>
              <w:right w:val="single" w:sz="4" w:space="0" w:color="auto"/>
            </w:tcBorders>
          </w:tcPr>
          <w:p w14:paraId="1F8AF0D4" w14:textId="77777777" w:rsidR="009A6DC6" w:rsidRDefault="009A6DC6" w:rsidP="00FB6327">
            <w:r>
              <w:t>Intervention vs control:</w:t>
            </w:r>
          </w:p>
          <w:p w14:paraId="498FC44B" w14:textId="7D04486E" w:rsidR="009A6DC6" w:rsidRDefault="009A6DC6" w:rsidP="009A6DC6">
            <w:pPr>
              <w:pStyle w:val="bullet"/>
            </w:pPr>
            <w:r>
              <w:t xml:space="preserve">Pre-eclampsia: RR 0.99 (0.90 to 1.08) </w:t>
            </w:r>
          </w:p>
        </w:tc>
        <w:tc>
          <w:tcPr>
            <w:tcW w:w="1843" w:type="dxa"/>
            <w:tcBorders>
              <w:top w:val="single" w:sz="4" w:space="0" w:color="auto"/>
              <w:left w:val="single" w:sz="4" w:space="0" w:color="auto"/>
              <w:bottom w:val="single" w:sz="4" w:space="0" w:color="auto"/>
              <w:right w:val="single" w:sz="4" w:space="0" w:color="auto"/>
            </w:tcBorders>
          </w:tcPr>
          <w:p w14:paraId="2B6A4983" w14:textId="77777777" w:rsidR="009A6DC6" w:rsidRPr="00D150D8" w:rsidRDefault="009A6DC6" w:rsidP="00632FE5">
            <w:pPr>
              <w:keepNext/>
            </w:pPr>
          </w:p>
        </w:tc>
      </w:tr>
      <w:tr w:rsidR="007262D7" w:rsidRPr="00D150D8" w14:paraId="6E9D07A1" w14:textId="77777777" w:rsidTr="003E753D">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276" w:type="dxa"/>
            <w:tcBorders>
              <w:top w:val="single" w:sz="4" w:space="0" w:color="auto"/>
              <w:left w:val="single" w:sz="4" w:space="0" w:color="auto"/>
              <w:bottom w:val="single" w:sz="4" w:space="0" w:color="auto"/>
              <w:right w:val="single" w:sz="4" w:space="0" w:color="auto"/>
            </w:tcBorders>
          </w:tcPr>
          <w:p w14:paraId="779062F8" w14:textId="012459DC" w:rsidR="007262D7" w:rsidRDefault="007262D7" w:rsidP="002747EA">
            <w:r>
              <w:t>Rumbold et al 2015</w:t>
            </w:r>
            <w:r>
              <w:fldChar w:fldCharType="begin"/>
            </w:r>
            <w:r w:rsidR="002747EA">
              <w:instrText xml:space="preserve"> ADDIN EN.CITE &lt;EndNote&gt;&lt;Cite&gt;&lt;Author&gt;Rumbold&lt;/Author&gt;&lt;Year&gt;2015&lt;/Year&gt;&lt;RecNum&gt;1294&lt;/RecNum&gt;&lt;DisplayText&gt;&lt;style face="superscript" font="Trebuchet MS" size="9"&gt;151&lt;/style&gt;&lt;/DisplayText&gt;&lt;record&gt;&lt;rec-number&gt;1294&lt;/rec-number&gt;&lt;foreign-keys&gt;&lt;key app="EN" db-id="exvasrfx2dtraoesasxp2szsxa2df502592x" timestamp="1565223630"&gt;1294&lt;/key&gt;&lt;key app="ENWeb" db-id=""&gt;0&lt;/key&gt;&lt;/foreign-keys&gt;&lt;ref-type name="Journal Article"&gt;17&lt;/ref-type&gt;&lt;contributors&gt;&lt;authors&gt;&lt;author&gt;Rumbold, A.&lt;/author&gt;&lt;author&gt;Ota, E.&lt;/author&gt;&lt;author&gt;Hori, H.&lt;/author&gt;&lt;author&gt;Miyazaki, C.&lt;/author&gt;&lt;author&gt;Crowther, C. A.&lt;/author&gt;&lt;/authors&gt;&lt;/contributors&gt;&lt;auth-address&gt;The Robinson Research Institute, The University of Adelaide, Ground Floor, Norwich Centre, 55 King William Road, Adelaide, NT, Australia, SA 5006.&lt;/auth-address&gt;&lt;titles&gt;&lt;title&gt;Vitamin E supplementation in pregnancy&lt;/title&gt;&lt;secondary-title&gt;Cochrane Database Syst Rev&lt;/secondary-title&gt;&lt;/titles&gt;&lt;periodical&gt;&lt;full-title&gt;Cochrane Database Syst Rev&lt;/full-title&gt;&lt;/periodical&gt;&lt;pages&gt;CD004069&lt;/pages&gt;&lt;number&gt;9&lt;/number&gt;&lt;edition&gt;2015/09/08&lt;/edition&gt;&lt;keywords&gt;&lt;keyword&gt;Antioxidants/*administration &amp;amp; dosage/adverse effects&lt;/keyword&gt;&lt;keyword&gt;*Dietary Supplements/adverse effects&lt;/keyword&gt;&lt;keyword&gt;Female&lt;/keyword&gt;&lt;keyword&gt;Humans&lt;/keyword&gt;&lt;keyword&gt;Infant, Newborn&lt;/keyword&gt;&lt;keyword&gt;Infant, Small for Gestational Age&lt;/keyword&gt;&lt;keyword&gt;Pre-Eclampsia/*prevention &amp;amp; control&lt;/keyword&gt;&lt;keyword&gt;Pregnancy&lt;/keyword&gt;&lt;keyword&gt;Pregnancy Complications/prevention &amp;amp; control&lt;/keyword&gt;&lt;keyword&gt;Pregnancy Outcome&lt;/keyword&gt;&lt;keyword&gt;Randomized Controlled Trials as Topic&lt;/keyword&gt;&lt;keyword&gt;Vitamin E/*administration &amp;amp; dosage/adverse effects&lt;/keyword&gt;&lt;/keywords&gt;&lt;dates&gt;&lt;year&gt;2015&lt;/year&gt;&lt;pub-dates&gt;&lt;date&gt;Sep 7&lt;/date&gt;&lt;/pub-dates&gt;&lt;/dates&gt;&lt;isbn&gt;1469-493X (Electronic)&amp;#xD;1361-6137 (Linking)&lt;/isbn&gt;&lt;accession-num&gt;26343254&lt;/accession-num&gt;&lt;urls&gt;&lt;related-urls&gt;&lt;url&gt;https://www.ncbi.nlm.nih.gov/pubmed/26343254&lt;/url&gt;&lt;/related-urls&gt;&lt;/urls&gt;&lt;electronic-resource-num&gt;10.1002/14651858.CD004069.pub3&lt;/electronic-resource-num&gt;&lt;/record&gt;&lt;/Cite&gt;&lt;/EndNote&gt;</w:instrText>
            </w:r>
            <w:r>
              <w:fldChar w:fldCharType="separate"/>
            </w:r>
            <w:r w:rsidR="002747EA" w:rsidRPr="002747EA">
              <w:rPr>
                <w:noProof/>
                <w:vertAlign w:val="superscript"/>
              </w:rPr>
              <w:t>151</w:t>
            </w:r>
            <w:r>
              <w:fldChar w:fldCharType="end"/>
            </w:r>
          </w:p>
        </w:tc>
        <w:tc>
          <w:tcPr>
            <w:tcW w:w="1275" w:type="dxa"/>
            <w:gridSpan w:val="2"/>
            <w:tcBorders>
              <w:top w:val="single" w:sz="4" w:space="0" w:color="auto"/>
              <w:left w:val="single" w:sz="4" w:space="0" w:color="auto"/>
              <w:bottom w:val="single" w:sz="4" w:space="0" w:color="auto"/>
              <w:right w:val="single" w:sz="4" w:space="0" w:color="auto"/>
            </w:tcBorders>
          </w:tcPr>
          <w:p w14:paraId="7931B84E" w14:textId="77777777" w:rsidR="007262D7" w:rsidRDefault="007262D7" w:rsidP="003E753D">
            <w:r>
              <w:t>17 studies</w:t>
            </w:r>
          </w:p>
          <w:p w14:paraId="03787E0D" w14:textId="77777777" w:rsidR="007262D7" w:rsidRPr="00967618" w:rsidRDefault="007262D7" w:rsidP="003E753D">
            <w:r>
              <w:t>22,129 women</w:t>
            </w:r>
          </w:p>
        </w:tc>
        <w:tc>
          <w:tcPr>
            <w:tcW w:w="4962" w:type="dxa"/>
            <w:tcBorders>
              <w:top w:val="single" w:sz="4" w:space="0" w:color="auto"/>
              <w:left w:val="single" w:sz="4" w:space="0" w:color="auto"/>
              <w:bottom w:val="single" w:sz="4" w:space="0" w:color="auto"/>
              <w:right w:val="single" w:sz="4" w:space="0" w:color="auto"/>
            </w:tcBorders>
          </w:tcPr>
          <w:p w14:paraId="408879FC" w14:textId="77777777" w:rsidR="007262D7" w:rsidRDefault="007262D7" w:rsidP="003E753D">
            <w:r>
              <w:rPr>
                <w:b/>
              </w:rPr>
              <w:t xml:space="preserve">Aim: </w:t>
            </w:r>
            <w:r w:rsidRPr="00354B87">
              <w:t>To assess the effects of vitamin E supplementation, alone or in combination with other separate supplements, on pregnancy outcomes, adverse events, side effec</w:t>
            </w:r>
            <w:r>
              <w:t xml:space="preserve">ts and use of health services. </w:t>
            </w:r>
          </w:p>
          <w:p w14:paraId="4EBC9A67" w14:textId="77777777" w:rsidR="007262D7" w:rsidRPr="00FB6327" w:rsidRDefault="007262D7" w:rsidP="003E753D">
            <w:pPr>
              <w:rPr>
                <w:b/>
              </w:rPr>
            </w:pPr>
            <w:r w:rsidRPr="00354B87">
              <w:rPr>
                <w:b/>
              </w:rPr>
              <w:t>Methods</w:t>
            </w:r>
            <w:r w:rsidRPr="00354B87">
              <w:t xml:space="preserve">: We searched the Cochrane Pregnancy and Childbirth Group's Trials Register (31 March 2015) and reference lists of retrieved studies. All randomised or quasi-randomised controlled trials evaluating vitamin E supplementation in pregnant women. We excluded interventions using a multivitamin supplement that contained vitamin E. </w:t>
            </w:r>
          </w:p>
        </w:tc>
        <w:tc>
          <w:tcPr>
            <w:tcW w:w="4536" w:type="dxa"/>
            <w:tcBorders>
              <w:top w:val="single" w:sz="4" w:space="0" w:color="auto"/>
              <w:left w:val="single" w:sz="4" w:space="0" w:color="auto"/>
              <w:bottom w:val="single" w:sz="4" w:space="0" w:color="auto"/>
              <w:right w:val="single" w:sz="4" w:space="0" w:color="auto"/>
            </w:tcBorders>
          </w:tcPr>
          <w:p w14:paraId="347C43CD" w14:textId="77777777" w:rsidR="007262D7" w:rsidRDefault="007262D7" w:rsidP="003E753D">
            <w:r>
              <w:t>Vitamin E alone or</w:t>
            </w:r>
            <w:r w:rsidRPr="003E5151">
              <w:t xml:space="preserve"> in combination with other supplements </w:t>
            </w:r>
            <w:r>
              <w:t xml:space="preserve">(most commonly vitamin C) </w:t>
            </w:r>
            <w:r w:rsidRPr="003E5151">
              <w:t>compared with placebo</w:t>
            </w:r>
            <w:r>
              <w:t>:</w:t>
            </w:r>
            <w:r w:rsidRPr="003E5151">
              <w:t xml:space="preserve"> </w:t>
            </w:r>
          </w:p>
          <w:p w14:paraId="1E41D5E8" w14:textId="0F6F9A5A" w:rsidR="007262D7" w:rsidRDefault="007262D7" w:rsidP="003E753D">
            <w:pPr>
              <w:pStyle w:val="bullet"/>
            </w:pPr>
            <w:r>
              <w:t>S</w:t>
            </w:r>
            <w:r w:rsidRPr="00354B87">
              <w:t>tillbirth</w:t>
            </w:r>
            <w:r>
              <w:t>: RR</w:t>
            </w:r>
            <w:r w:rsidRPr="00354B87">
              <w:t xml:space="preserve"> 1.17, 95%</w:t>
            </w:r>
            <w:r>
              <w:t xml:space="preserve">CI </w:t>
            </w:r>
            <w:r w:rsidRPr="00354B87">
              <w:t xml:space="preserve">0.88 to 1.56, </w:t>
            </w:r>
            <w:r>
              <w:t xml:space="preserve">9 studies, n=19,023; moderate </w:t>
            </w:r>
            <w:r w:rsidR="00FB2A6C">
              <w:t>certainty</w:t>
            </w:r>
          </w:p>
          <w:p w14:paraId="5EB7F53A" w14:textId="77777777" w:rsidR="007262D7" w:rsidRDefault="007262D7" w:rsidP="003E753D">
            <w:pPr>
              <w:pStyle w:val="bullet"/>
            </w:pPr>
            <w:r>
              <w:t xml:space="preserve">Neonatal death: </w:t>
            </w:r>
            <w:r w:rsidRPr="00354B87">
              <w:t xml:space="preserve">RR 0.81, 95% CI 0.58 to 1.13, </w:t>
            </w:r>
            <w:r>
              <w:t>9 </w:t>
            </w:r>
            <w:r w:rsidRPr="00354B87">
              <w:t xml:space="preserve">trials, </w:t>
            </w:r>
            <w:r>
              <w:t>n=</w:t>
            </w:r>
            <w:r w:rsidRPr="00354B87">
              <w:t xml:space="preserve">18,617 </w:t>
            </w:r>
          </w:p>
          <w:p w14:paraId="5247AB01" w14:textId="3E0EDA6B" w:rsidR="007262D7" w:rsidRDefault="007262D7" w:rsidP="003E753D">
            <w:pPr>
              <w:pStyle w:val="bullet"/>
            </w:pPr>
            <w:r>
              <w:t xml:space="preserve">Pre-eclampsia: </w:t>
            </w:r>
            <w:r w:rsidRPr="00354B87">
              <w:t xml:space="preserve">average RR 0.91, 95% CI 0.79 to 1.06; 14 trials, </w:t>
            </w:r>
            <w:r>
              <w:t xml:space="preserve">n=20,878; </w:t>
            </w:r>
            <w:r w:rsidRPr="00354B87">
              <w:t xml:space="preserve">moderate </w:t>
            </w:r>
            <w:r w:rsidR="00FB2A6C">
              <w:t>certainty</w:t>
            </w:r>
            <w:r w:rsidRPr="00354B87">
              <w:t xml:space="preserve"> </w:t>
            </w:r>
          </w:p>
          <w:p w14:paraId="227825A6" w14:textId="143222C7" w:rsidR="007262D7" w:rsidRDefault="007262D7" w:rsidP="003E753D">
            <w:pPr>
              <w:pStyle w:val="bullet"/>
            </w:pPr>
            <w:r>
              <w:t xml:space="preserve">Preterm birth: </w:t>
            </w:r>
            <w:r w:rsidRPr="00354B87">
              <w:t xml:space="preserve">average RR 0.98, 95% CI 0.88 to 1.09, 11 trials, </w:t>
            </w:r>
            <w:r>
              <w:t>n=</w:t>
            </w:r>
            <w:r w:rsidRPr="00354B87">
              <w:t>20,565</w:t>
            </w:r>
            <w:r>
              <w:t xml:space="preserve">; high </w:t>
            </w:r>
            <w:r w:rsidR="00FB2A6C">
              <w:t>certainty</w:t>
            </w:r>
            <w:r>
              <w:t xml:space="preserve"> </w:t>
            </w:r>
          </w:p>
          <w:p w14:paraId="76491470" w14:textId="049AE836" w:rsidR="007262D7" w:rsidRDefault="007262D7" w:rsidP="003E753D">
            <w:pPr>
              <w:pStyle w:val="bullet"/>
            </w:pPr>
            <w:r>
              <w:t>I</w:t>
            </w:r>
            <w:r w:rsidRPr="00354B87">
              <w:t>ntrauter</w:t>
            </w:r>
            <w:r>
              <w:t>ine growth restriction: RR 0.98, 95%</w:t>
            </w:r>
            <w:r w:rsidRPr="00354B87">
              <w:t xml:space="preserve">CI 0.91 to 1.06, 11 trials, </w:t>
            </w:r>
            <w:r>
              <w:t>n=</w:t>
            </w:r>
            <w:r w:rsidRPr="00354B87">
              <w:t xml:space="preserve">20,202; high </w:t>
            </w:r>
            <w:r w:rsidR="00FB2A6C">
              <w:t>certainty</w:t>
            </w:r>
            <w:r w:rsidRPr="00354B87">
              <w:t xml:space="preserve"> </w:t>
            </w:r>
          </w:p>
          <w:p w14:paraId="6CA2034C" w14:textId="184CAC8D" w:rsidR="007262D7" w:rsidRDefault="007262D7" w:rsidP="003E753D">
            <w:pPr>
              <w:pStyle w:val="bullet"/>
            </w:pPr>
            <w:r>
              <w:t>P</w:t>
            </w:r>
            <w:r w:rsidRPr="00354B87">
              <w:t>lace</w:t>
            </w:r>
            <w:r>
              <w:t xml:space="preserve">ntal abruption: </w:t>
            </w:r>
            <w:r w:rsidRPr="00354B87">
              <w:t xml:space="preserve">RR 0.64, 95% CI 0.44 to 0.93, </w:t>
            </w:r>
            <w:r>
              <w:t>7</w:t>
            </w:r>
            <w:r w:rsidRPr="00354B87">
              <w:t xml:space="preserve"> trials, </w:t>
            </w:r>
            <w:r>
              <w:t>n=</w:t>
            </w:r>
            <w:r w:rsidRPr="00354B87">
              <w:t xml:space="preserve">14,922; high </w:t>
            </w:r>
            <w:r w:rsidR="00FB2A6C">
              <w:t>certainty</w:t>
            </w:r>
          </w:p>
          <w:p w14:paraId="1E656922" w14:textId="77777777" w:rsidR="007262D7" w:rsidRDefault="007262D7" w:rsidP="003E753D">
            <w:pPr>
              <w:pStyle w:val="bullet"/>
            </w:pPr>
            <w:r>
              <w:t xml:space="preserve">Self-reported abdominal pain: </w:t>
            </w:r>
            <w:r w:rsidRPr="00354B87">
              <w:t xml:space="preserve">RR 1.66, 95% CI 1.16 to 2.37, </w:t>
            </w:r>
            <w:r>
              <w:t>1</w:t>
            </w:r>
            <w:r w:rsidRPr="00354B87">
              <w:t xml:space="preserve"> trial, </w:t>
            </w:r>
            <w:r>
              <w:t>n=</w:t>
            </w:r>
            <w:r w:rsidRPr="00354B87">
              <w:t>1877</w:t>
            </w:r>
          </w:p>
          <w:p w14:paraId="337EEDD5" w14:textId="77777777" w:rsidR="007262D7" w:rsidRDefault="007262D7" w:rsidP="003E753D">
            <w:pPr>
              <w:pStyle w:val="bullet"/>
            </w:pPr>
            <w:r>
              <w:t>T</w:t>
            </w:r>
            <w:r w:rsidRPr="00354B87">
              <w:t>erm prelabo</w:t>
            </w:r>
            <w:r>
              <w:t xml:space="preserve">ur rupture of membranes (PROM): </w:t>
            </w:r>
            <w:r w:rsidRPr="00354B87">
              <w:t xml:space="preserve">average RR 1.77, 95% CI 1.37 to 2.28, </w:t>
            </w:r>
            <w:r>
              <w:t>2</w:t>
            </w:r>
            <w:r w:rsidRPr="00354B87">
              <w:t xml:space="preserve"> trials, </w:t>
            </w:r>
            <w:r>
              <w:t>n=</w:t>
            </w:r>
            <w:r w:rsidRPr="00354B87">
              <w:t>2</w:t>
            </w:r>
            <w:r>
              <w:t>,</w:t>
            </w:r>
            <w:r w:rsidRPr="00354B87">
              <w:t xml:space="preserve">504 </w:t>
            </w:r>
          </w:p>
          <w:p w14:paraId="2776CBDD" w14:textId="023D907E" w:rsidR="007262D7" w:rsidRPr="009B244A" w:rsidRDefault="007262D7" w:rsidP="003E753D">
            <w:pPr>
              <w:pStyle w:val="bullet"/>
            </w:pPr>
            <w:r>
              <w:t xml:space="preserve">Preterm PROM: </w:t>
            </w:r>
            <w:r w:rsidRPr="00354B87">
              <w:t xml:space="preserve">average RR 1.27, 95% CI 0.93 to 1.75, </w:t>
            </w:r>
            <w:r>
              <w:t>5</w:t>
            </w:r>
            <w:r w:rsidRPr="00354B87">
              <w:t xml:space="preserve"> trials, </w:t>
            </w:r>
            <w:r>
              <w:t>n=</w:t>
            </w:r>
            <w:r w:rsidRPr="00354B87">
              <w:t>1</w:t>
            </w:r>
            <w:r>
              <w:t>,</w:t>
            </w:r>
            <w:r w:rsidRPr="00354B87">
              <w:t xml:space="preserve">999; low </w:t>
            </w:r>
            <w:r w:rsidR="00FB2A6C">
              <w:t>certainty</w:t>
            </w:r>
            <w:r w:rsidRPr="00354B87">
              <w:t xml:space="preserve"> </w:t>
            </w:r>
          </w:p>
        </w:tc>
        <w:tc>
          <w:tcPr>
            <w:tcW w:w="1843" w:type="dxa"/>
            <w:tcBorders>
              <w:top w:val="single" w:sz="4" w:space="0" w:color="auto"/>
              <w:left w:val="single" w:sz="4" w:space="0" w:color="auto"/>
              <w:bottom w:val="single" w:sz="4" w:space="0" w:color="auto"/>
              <w:right w:val="single" w:sz="4" w:space="0" w:color="auto"/>
            </w:tcBorders>
          </w:tcPr>
          <w:p w14:paraId="13779BB4" w14:textId="77777777" w:rsidR="007262D7" w:rsidRPr="00D150D8" w:rsidRDefault="007262D7" w:rsidP="003E753D">
            <w:pPr>
              <w:keepNext/>
            </w:pPr>
          </w:p>
        </w:tc>
      </w:tr>
      <w:tr w:rsidR="0030786A" w:rsidRPr="00D150D8" w14:paraId="6A97FF32" w14:textId="77777777" w:rsidTr="00FB6327">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gridSpan w:val="2"/>
            <w:tcBorders>
              <w:top w:val="single" w:sz="4" w:space="0" w:color="auto"/>
              <w:left w:val="single" w:sz="4" w:space="0" w:color="auto"/>
              <w:bottom w:val="single" w:sz="4" w:space="0" w:color="auto"/>
              <w:right w:val="single" w:sz="4" w:space="0" w:color="auto"/>
            </w:tcBorders>
          </w:tcPr>
          <w:p w14:paraId="25AE532C" w14:textId="08C5D15A" w:rsidR="0030786A" w:rsidRDefault="001C05D1" w:rsidP="002747EA">
            <w:r>
              <w:t>Tenorio et al 2018</w:t>
            </w:r>
            <w:r w:rsidR="00E51743">
              <w:fldChar w:fldCharType="begin">
                <w:fldData xml:space="preserve">PEVuZE5vdGU+PENpdGU+PEF1dGhvcj5UZW5vcmlvPC9BdXRob3I+PFllYXI+MjAxODwvWWVhcj48
UmVjTnVtPjEyODQ8L1JlY051bT48RGlzcGxheVRleHQ+PHN0eWxlIGZhY2U9InN1cGVyc2NyaXB0
IiBmb250PSJUcmVidWNoZXQgTVMiIHNpemU9IjkiPjE1Mjwvc3R5bGU+PC9EaXNwbGF5VGV4dD48
cmVjb3JkPjxyZWMtbnVtYmVyPjEyODQ8L3JlYy1udW1iZXI+PGZvcmVpZ24ta2V5cz48a2V5IGFw
cD0iRU4iIGRiLWlkPSJleHZhc3JmeDJkdHJhb2VzYXN4cDJzenN4YTJkZjUwMjU5MngiIHRpbWVz
dGFtcD0iMTU2MzMyMjA5MyI+MTI4NDwva2V5PjxrZXkgYXBwPSJFTldlYiIgZGItaWQ9IiI+MDwv
a2V5PjwvZm9yZWlnbi1rZXlzPjxyZWYtdHlwZSBuYW1lPSJKb3VybmFsIEFydGljbGUiPjE3PC9y
ZWYtdHlwZT48Y29udHJpYnV0b3JzPjxhdXRob3JzPjxhdXRob3I+VGVub3JpbywgTS4gQi48L2F1
dGhvcj48YXV0aG9yPkZlcnJlaXJhLCBSLiBDLjwvYXV0aG9yPjxhdXRob3I+TW91cmEsIEYuIEEu
PC9hdXRob3I+PGF1dGhvcj5CdWVubywgTi4gQi48L2F1dGhvcj48YXV0aG9yPkdvdWxhcnQsIE0u
IE8uIEYuPC9hdXRob3I+PGF1dGhvcj5PbGl2ZWlyYSwgQS4gQy4gTS48L2F1dGhvcj48L2F1dGhv
cnM+PC9jb250cmlidXRvcnM+PGF1dGgtYWRkcmVzcz5GYWN1bGRhZGUgZGUgTnV0cmljYW8sIFVu
aXZlcnNpZGFkZSBGZWRlcmFsIGRlIEFsYWdvYXMsIENhbXB1cyBBLiBDLiBTaW1vZXMsIEJSIDEw
NCBOb3J0ZSwgS20gOTYsNywgVGFidWxlaXJvIGRvcyBNYXJ0aW5zLCBDRVAgNTcuMDcyLTk3MCwg
TWFjZWlvLCBBbGFnb2FzLCBCcmF6aWwuJiN4RDtJbnN0aXR1dG8gZGUgUXVpbWljYSBlIEJpb3Rl
Y25vbG9naWEgKElRQi9VRkFMKSwgUmVkZSBOb3JkZXN0ZSBkZSBCaW90ZWNub2xvZ2lhIChSRU5P
UkJJTyksIFVuaXZlcnNpZGFkZSBGZWRlcmFsIGRlIEFsYWdvYXMsIENhbXB1cyBBLiBDLiBTaW1v
ZXMsIEJSIDEwNCBOb3J0ZSwgS20gOTYsNywgVGFidWxlaXJvIGRvcyBNYXJ0aW5zLCBDRVAgNTcu
MDcyLTk3MCwgTWFjZWlvLCBBbGFnb2FzLCBCcmF6aWwuJiN4RDtGYWN1bGRhZGUgZGUgTnV0cmlj
YW8sIFVuaXZlcnNpZGFkZSBGZWRlcmFsIGRlIEFsYWdvYXMsIENhbXB1cyBBLiBDLiBTaW1vZXMs
IEJSIDEwNCBOb3J0ZSwgS20gOTYsNywgVGFidWxlaXJvIGRvcyBNYXJ0aW5zLCBDRVAgNTcuMDcy
LTk3MCwgTWFjZWlvLCBBbGFnb2FzLCBCcmF6aWwuIEVsZWN0cm9uaWMgYWRkcmVzczogYWxhbmVj
YWJyYWxAZ21haWwuY29tLjwvYXV0aC1hZGRyZXNzPjx0aXRsZXM+PHRpdGxlPk9yYWwgYW50aW94
aWRhbnQgdGhlcmFweSBmb3IgcHJldmVudGlvbiBhbmQgdHJlYXRtZW50IG9mIHByZWVjbGFtcHNp
YTogTWV0YS1hbmFseXNpcyBvZiByYW5kb21pemVkIGNvbnRyb2xsZWQgdHJpYWxzPC90aXRsZT48
c2Vjb25kYXJ5LXRpdGxlPk51dHIgTWV0YWIgQ2FyZGlvdmFzYyBEaXM8L3NlY29uZGFyeS10aXRs
ZT48L3RpdGxlcz48cGVyaW9kaWNhbD48ZnVsbC10aXRsZT5OdXRyIE1ldGFiIENhcmRpb3Zhc2Mg
RGlzPC9mdWxsLXRpdGxlPjwvcGVyaW9kaWNhbD48cGFnZXM+ODY1LTg3NjwvcGFnZXM+PHZvbHVt
ZT4yODwvdm9sdW1lPjxudW1iZXI+OTwvbnVtYmVyPjxlZGl0aW9uPjIwMTgvMDgvMTc8L2VkaXRp
b24+PGtleXdvcmRzPjxrZXl3b3JkPkFkbWluaXN0cmF0aW9uLCBPcmFsPC9rZXl3b3JkPjxrZXl3
b3JkPkFkb2xlc2NlbnQ8L2tleXdvcmQ+PGtleXdvcmQ+QWR1bHQ8L2tleXdvcmQ+PGtleXdvcmQ+
QW50aWh5cGVydGVuc2l2ZSBBZ2VudHMvKmFkbWluaXN0cmF0aW9uICZhbXA7IGRvc2FnZS9hZHZl
cnNlIGVmZmVjdHM8L2tleXdvcmQ+PGtleXdvcmQ+QW50aW94aWRhbnRzLyphZG1pbmlzdHJhdGlv
biAmYW1wOyBkb3NhZ2UvYWR2ZXJzZSBlZmZlY3RzPC9rZXl3b3JkPjxrZXl3b3JkPkJsb29kIFBy
ZXNzdXJlLypkcnVnIGVmZmVjdHM8L2tleXdvcmQ+PGtleXdvcmQ+RXZpZGVuY2UtQmFzZWQgTWVk
aWNpbmU8L2tleXdvcmQ+PGtleXdvcmQ+RmVtYWxlPC9rZXl3b3JkPjxrZXl3b3JkPkZldGFsIEdy
b3d0aCBSZXRhcmRhdGlvbi9wcmV2ZW50aW9uICZhbXA7IGNvbnRyb2w8L2tleXdvcmQ+PGtleXdv
cmQ+SHVtYW5zPC9rZXl3b3JkPjxrZXl3b3JkPkluY2lkZW5jZTwva2V5d29yZD48a2V5d29yZD5Q
cmUtRWNsYW1wc2lhLypkcnVnIHRoZXJhcHkvbW9ydGFsaXR5L3BoeXNpb3BhdGhvbG9neS8qcHJl
dmVudGlvbiAmYW1wOyBjb250cm9sPC9rZXl3b3JkPjxrZXl3b3JkPlByZWduYW5jeTwva2V5d29y
ZD48a2V5d29yZD5SYW5kb21pemVkIENvbnRyb2xsZWQgVHJpYWxzIGFzIFRvcGljPC9rZXl3b3Jk
PjxrZXl3b3JkPlJpc2sgRmFjdG9yczwva2V5d29yZD48a2V5d29yZD5UcmVhdG1lbnQgT3V0Y29t
ZTwva2V5d29yZD48a2V5d29yZD5Zb3VuZyBBZHVsdDwva2V5d29yZD48a2V5d29yZD4qQW50aW94
aWRhbnQ8L2tleXdvcmQ+PGtleXdvcmQ+Kk9yYWwgYWRtaW5pc3RyYXRpb248L2tleXdvcmQ+PGtl
eXdvcmQ+KlByZWVjbGFtcHNpYTwva2V5d29yZD48a2V5d29yZD4qUHJlZ25hbnQgd29tZW48L2tl
eXdvcmQ+PC9rZXl3b3Jkcz48ZGF0ZXM+PHllYXI+MjAxODwveWVhcj48cHViLWRhdGVzPjxkYXRl
PlNlcDwvZGF0ZT48L3B1Yi1kYXRlcz48L2RhdGVzPjxpc2JuPjE1OTAtMzcyOSAoRWxlY3Ryb25p
YykmI3hEOzA5MzktNDc1MyAoTGlua2luZyk8L2lzYm4+PGFjY2Vzc2lvbi1udW0+MzAxMTE0OTM8
L2FjY2Vzc2lvbi1udW0+PHVybHM+PHJlbGF0ZWQtdXJscz48dXJsPmh0dHBzOi8vd3d3Lm5jYmku
bmxtLm5paC5nb3YvcHVibWVkLzMwMTExNDkzPC91cmw+PC9yZWxhdGVkLXVybHM+PC91cmxzPjxl
bGVjdHJvbmljLXJlc291cmNlLW51bT4xMC4xMDE2L2oubnVtZWNkLjIwMTguMDYuMDAyPC9lbGVj
dHJvbmljLXJlc291cmNlLW51bT48L3JlY29yZD48L0NpdGU+PC9FbmROb3RlPgB=
</w:fldData>
              </w:fldChar>
            </w:r>
            <w:r w:rsidR="002747EA">
              <w:instrText xml:space="preserve"> ADDIN EN.CITE </w:instrText>
            </w:r>
            <w:r w:rsidR="002747EA">
              <w:fldChar w:fldCharType="begin">
                <w:fldData xml:space="preserve">PEVuZE5vdGU+PENpdGU+PEF1dGhvcj5UZW5vcmlvPC9BdXRob3I+PFllYXI+MjAxODwvWWVhcj48
UmVjTnVtPjEyODQ8L1JlY051bT48RGlzcGxheVRleHQ+PHN0eWxlIGZhY2U9InN1cGVyc2NyaXB0
IiBmb250PSJUcmVidWNoZXQgTVMiIHNpemU9IjkiPjE1Mjwvc3R5bGU+PC9EaXNwbGF5VGV4dD48
cmVjb3JkPjxyZWMtbnVtYmVyPjEyODQ8L3JlYy1udW1iZXI+PGZvcmVpZ24ta2V5cz48a2V5IGFw
cD0iRU4iIGRiLWlkPSJleHZhc3JmeDJkdHJhb2VzYXN4cDJzenN4YTJkZjUwMjU5MngiIHRpbWVz
dGFtcD0iMTU2MzMyMjA5MyI+MTI4NDwva2V5PjxrZXkgYXBwPSJFTldlYiIgZGItaWQ9IiI+MDwv
a2V5PjwvZm9yZWlnbi1rZXlzPjxyZWYtdHlwZSBuYW1lPSJKb3VybmFsIEFydGljbGUiPjE3PC9y
ZWYtdHlwZT48Y29udHJpYnV0b3JzPjxhdXRob3JzPjxhdXRob3I+VGVub3JpbywgTS4gQi48L2F1
dGhvcj48YXV0aG9yPkZlcnJlaXJhLCBSLiBDLjwvYXV0aG9yPjxhdXRob3I+TW91cmEsIEYuIEEu
PC9hdXRob3I+PGF1dGhvcj5CdWVubywgTi4gQi48L2F1dGhvcj48YXV0aG9yPkdvdWxhcnQsIE0u
IE8uIEYuPC9hdXRob3I+PGF1dGhvcj5PbGl2ZWlyYSwgQS4gQy4gTS48L2F1dGhvcj48L2F1dGhv
cnM+PC9jb250cmlidXRvcnM+PGF1dGgtYWRkcmVzcz5GYWN1bGRhZGUgZGUgTnV0cmljYW8sIFVu
aXZlcnNpZGFkZSBGZWRlcmFsIGRlIEFsYWdvYXMsIENhbXB1cyBBLiBDLiBTaW1vZXMsIEJSIDEw
NCBOb3J0ZSwgS20gOTYsNywgVGFidWxlaXJvIGRvcyBNYXJ0aW5zLCBDRVAgNTcuMDcyLTk3MCwg
TWFjZWlvLCBBbGFnb2FzLCBCcmF6aWwuJiN4RDtJbnN0aXR1dG8gZGUgUXVpbWljYSBlIEJpb3Rl
Y25vbG9naWEgKElRQi9VRkFMKSwgUmVkZSBOb3JkZXN0ZSBkZSBCaW90ZWNub2xvZ2lhIChSRU5P
UkJJTyksIFVuaXZlcnNpZGFkZSBGZWRlcmFsIGRlIEFsYWdvYXMsIENhbXB1cyBBLiBDLiBTaW1v
ZXMsIEJSIDEwNCBOb3J0ZSwgS20gOTYsNywgVGFidWxlaXJvIGRvcyBNYXJ0aW5zLCBDRVAgNTcu
MDcyLTk3MCwgTWFjZWlvLCBBbGFnb2FzLCBCcmF6aWwuJiN4RDtGYWN1bGRhZGUgZGUgTnV0cmlj
YW8sIFVuaXZlcnNpZGFkZSBGZWRlcmFsIGRlIEFsYWdvYXMsIENhbXB1cyBBLiBDLiBTaW1vZXMs
IEJSIDEwNCBOb3J0ZSwgS20gOTYsNywgVGFidWxlaXJvIGRvcyBNYXJ0aW5zLCBDRVAgNTcuMDcy
LTk3MCwgTWFjZWlvLCBBbGFnb2FzLCBCcmF6aWwuIEVsZWN0cm9uaWMgYWRkcmVzczogYWxhbmVj
YWJyYWxAZ21haWwuY29tLjwvYXV0aC1hZGRyZXNzPjx0aXRsZXM+PHRpdGxlPk9yYWwgYW50aW94
aWRhbnQgdGhlcmFweSBmb3IgcHJldmVudGlvbiBhbmQgdHJlYXRtZW50IG9mIHByZWVjbGFtcHNp
YTogTWV0YS1hbmFseXNpcyBvZiByYW5kb21pemVkIGNvbnRyb2xsZWQgdHJpYWxzPC90aXRsZT48
c2Vjb25kYXJ5LXRpdGxlPk51dHIgTWV0YWIgQ2FyZGlvdmFzYyBEaXM8L3NlY29uZGFyeS10aXRs
ZT48L3RpdGxlcz48cGVyaW9kaWNhbD48ZnVsbC10aXRsZT5OdXRyIE1ldGFiIENhcmRpb3Zhc2Mg
RGlzPC9mdWxsLXRpdGxlPjwvcGVyaW9kaWNhbD48cGFnZXM+ODY1LTg3NjwvcGFnZXM+PHZvbHVt
ZT4yODwvdm9sdW1lPjxudW1iZXI+OTwvbnVtYmVyPjxlZGl0aW9uPjIwMTgvMDgvMTc8L2VkaXRp
b24+PGtleXdvcmRzPjxrZXl3b3JkPkFkbWluaXN0cmF0aW9uLCBPcmFsPC9rZXl3b3JkPjxrZXl3
b3JkPkFkb2xlc2NlbnQ8L2tleXdvcmQ+PGtleXdvcmQ+QWR1bHQ8L2tleXdvcmQ+PGtleXdvcmQ+
QW50aWh5cGVydGVuc2l2ZSBBZ2VudHMvKmFkbWluaXN0cmF0aW9uICZhbXA7IGRvc2FnZS9hZHZl
cnNlIGVmZmVjdHM8L2tleXdvcmQ+PGtleXdvcmQ+QW50aW94aWRhbnRzLyphZG1pbmlzdHJhdGlv
biAmYW1wOyBkb3NhZ2UvYWR2ZXJzZSBlZmZlY3RzPC9rZXl3b3JkPjxrZXl3b3JkPkJsb29kIFBy
ZXNzdXJlLypkcnVnIGVmZmVjdHM8L2tleXdvcmQ+PGtleXdvcmQ+RXZpZGVuY2UtQmFzZWQgTWVk
aWNpbmU8L2tleXdvcmQ+PGtleXdvcmQ+RmVtYWxlPC9rZXl3b3JkPjxrZXl3b3JkPkZldGFsIEdy
b3d0aCBSZXRhcmRhdGlvbi9wcmV2ZW50aW9uICZhbXA7IGNvbnRyb2w8L2tleXdvcmQ+PGtleXdv
cmQ+SHVtYW5zPC9rZXl3b3JkPjxrZXl3b3JkPkluY2lkZW5jZTwva2V5d29yZD48a2V5d29yZD5Q
cmUtRWNsYW1wc2lhLypkcnVnIHRoZXJhcHkvbW9ydGFsaXR5L3BoeXNpb3BhdGhvbG9neS8qcHJl
dmVudGlvbiAmYW1wOyBjb250cm9sPC9rZXl3b3JkPjxrZXl3b3JkPlByZWduYW5jeTwva2V5d29y
ZD48a2V5d29yZD5SYW5kb21pemVkIENvbnRyb2xsZWQgVHJpYWxzIGFzIFRvcGljPC9rZXl3b3Jk
PjxrZXl3b3JkPlJpc2sgRmFjdG9yczwva2V5d29yZD48a2V5d29yZD5UcmVhdG1lbnQgT3V0Y29t
ZTwva2V5d29yZD48a2V5d29yZD5Zb3VuZyBBZHVsdDwva2V5d29yZD48a2V5d29yZD4qQW50aW94
aWRhbnQ8L2tleXdvcmQ+PGtleXdvcmQ+Kk9yYWwgYWRtaW5pc3RyYXRpb248L2tleXdvcmQ+PGtl
eXdvcmQ+KlByZWVjbGFtcHNpYTwva2V5d29yZD48a2V5d29yZD4qUHJlZ25hbnQgd29tZW48L2tl
eXdvcmQ+PC9rZXl3b3Jkcz48ZGF0ZXM+PHllYXI+MjAxODwveWVhcj48cHViLWRhdGVzPjxkYXRl
PlNlcDwvZGF0ZT48L3B1Yi1kYXRlcz48L2RhdGVzPjxpc2JuPjE1OTAtMzcyOSAoRWxlY3Ryb25p
YykmI3hEOzA5MzktNDc1MyAoTGlua2luZyk8L2lzYm4+PGFjY2Vzc2lvbi1udW0+MzAxMTE0OTM8
L2FjY2Vzc2lvbi1udW0+PHVybHM+PHJlbGF0ZWQtdXJscz48dXJsPmh0dHBzOi8vd3d3Lm5jYmku
bmxtLm5paC5nb3YvcHVibWVkLzMwMTExNDkzPC91cmw+PC9yZWxhdGVkLXVybHM+PC91cmxzPjxl
bGVjdHJvbmljLXJlc291cmNlLW51bT4xMC4xMDE2L2oubnVtZWNkLjIwMTguMDYuMDAyPC9lbGVj
dHJvbmljLXJlc291cmNlLW51bT48L3JlY29yZD48L0NpdGU+PC9FbmROb3RlPgB=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152</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2BB987D1" w14:textId="145EFB73" w:rsidR="0030786A" w:rsidRPr="00967618" w:rsidRDefault="00BB013E" w:rsidP="00967618">
            <w:r>
              <w:t>11</w:t>
            </w:r>
            <w:r w:rsidR="0030786A">
              <w:t xml:space="preserve"> studies</w:t>
            </w:r>
          </w:p>
        </w:tc>
        <w:tc>
          <w:tcPr>
            <w:tcW w:w="4962" w:type="dxa"/>
            <w:tcBorders>
              <w:top w:val="single" w:sz="4" w:space="0" w:color="auto"/>
              <w:left w:val="single" w:sz="4" w:space="0" w:color="auto"/>
              <w:bottom w:val="single" w:sz="4" w:space="0" w:color="auto"/>
              <w:right w:val="single" w:sz="4" w:space="0" w:color="auto"/>
            </w:tcBorders>
          </w:tcPr>
          <w:p w14:paraId="2D90870E" w14:textId="77777777" w:rsidR="0030786A" w:rsidRDefault="0030786A" w:rsidP="0030786A">
            <w:r w:rsidRPr="0030786A">
              <w:rPr>
                <w:b/>
              </w:rPr>
              <w:t>Aim</w:t>
            </w:r>
            <w:r>
              <w:t xml:space="preserve">: </w:t>
            </w:r>
            <w:r w:rsidRPr="0030786A">
              <w:t>To determine whether oral antioxidant therapies, of various types and doses, are able to prevent or treat women with preeclampsia.</w:t>
            </w:r>
          </w:p>
          <w:p w14:paraId="079C25AF" w14:textId="4A0B5B4C" w:rsidR="0030786A" w:rsidRPr="00FB6327" w:rsidRDefault="0030786A" w:rsidP="0030786A">
            <w:pPr>
              <w:rPr>
                <w:b/>
              </w:rPr>
            </w:pPr>
            <w:r w:rsidRPr="0030786A">
              <w:rPr>
                <w:b/>
              </w:rPr>
              <w:t>Methods</w:t>
            </w:r>
            <w:r>
              <w:t xml:space="preserve">: </w:t>
            </w:r>
            <w:r w:rsidRPr="0030786A">
              <w:t xml:space="preserve">The following databases were searched: MEDLINE, CENTRAL, LILACS, and Web of Science. Inclusion criteria were: a) randomized clinical trials; b) oral antioxidant supplementation; c) study in pregnant women; d) control group, treated or not with placebo. Meta-analyses were conducted on prevention and treatment studies, separately. </w:t>
            </w:r>
          </w:p>
        </w:tc>
        <w:tc>
          <w:tcPr>
            <w:tcW w:w="4536" w:type="dxa"/>
            <w:tcBorders>
              <w:top w:val="single" w:sz="4" w:space="0" w:color="auto"/>
              <w:left w:val="single" w:sz="4" w:space="0" w:color="auto"/>
              <w:bottom w:val="single" w:sz="4" w:space="0" w:color="auto"/>
              <w:right w:val="single" w:sz="4" w:space="0" w:color="auto"/>
            </w:tcBorders>
          </w:tcPr>
          <w:p w14:paraId="124034D7" w14:textId="7449BE1E" w:rsidR="0030786A" w:rsidRDefault="0030786A" w:rsidP="0030786A">
            <w:r>
              <w:t xml:space="preserve">Intervention </w:t>
            </w:r>
            <w:r w:rsidR="00FC5900">
              <w:t xml:space="preserve">(500 to 1,000 mg vitamin C plus 400 IU vitamin E) </w:t>
            </w:r>
            <w:r>
              <w:t xml:space="preserve">vs </w:t>
            </w:r>
            <w:r w:rsidR="00FC5900">
              <w:t>placebo</w:t>
            </w:r>
            <w:r>
              <w:t>:</w:t>
            </w:r>
          </w:p>
          <w:p w14:paraId="0C5E6C5D" w14:textId="22242E7B" w:rsidR="0030786A" w:rsidRPr="0030786A" w:rsidRDefault="0030786A" w:rsidP="0030786A">
            <w:pPr>
              <w:pStyle w:val="bullet"/>
            </w:pPr>
            <w:r w:rsidRPr="0030786A">
              <w:t>Pre-eclampsia: RR: 1.00</w:t>
            </w:r>
            <w:r>
              <w:t xml:space="preserve"> (</w:t>
            </w:r>
            <w:r w:rsidRPr="0030786A">
              <w:t>0.91</w:t>
            </w:r>
            <w:r>
              <w:t xml:space="preserve"> to 1.10)</w:t>
            </w:r>
            <w:r w:rsidRPr="0030786A">
              <w:t xml:space="preserve"> P</w:t>
            </w:r>
            <w:r>
              <w:t>=</w:t>
            </w:r>
            <w:r w:rsidRPr="0030786A">
              <w:t>0.98</w:t>
            </w:r>
          </w:p>
        </w:tc>
        <w:tc>
          <w:tcPr>
            <w:tcW w:w="1843" w:type="dxa"/>
            <w:tcBorders>
              <w:top w:val="single" w:sz="4" w:space="0" w:color="auto"/>
              <w:left w:val="single" w:sz="4" w:space="0" w:color="auto"/>
              <w:bottom w:val="single" w:sz="4" w:space="0" w:color="auto"/>
              <w:right w:val="single" w:sz="4" w:space="0" w:color="auto"/>
            </w:tcBorders>
          </w:tcPr>
          <w:p w14:paraId="1D6FF1B2" w14:textId="77777777" w:rsidR="0030786A" w:rsidRPr="00D150D8" w:rsidRDefault="0030786A" w:rsidP="00632FE5">
            <w:pPr>
              <w:keepNext/>
            </w:pPr>
          </w:p>
        </w:tc>
      </w:tr>
      <w:tr w:rsidR="005A3D92" w:rsidRPr="00D150D8" w14:paraId="4FE4A656" w14:textId="77777777" w:rsidTr="005A3D92">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c>
          <w:tcPr>
            <w:tcW w:w="1304" w:type="dxa"/>
            <w:gridSpan w:val="2"/>
            <w:tcBorders>
              <w:top w:val="single" w:sz="4" w:space="0" w:color="auto"/>
              <w:left w:val="single" w:sz="4" w:space="0" w:color="auto"/>
              <w:bottom w:val="single" w:sz="4" w:space="0" w:color="auto"/>
              <w:right w:val="single" w:sz="4" w:space="0" w:color="auto"/>
            </w:tcBorders>
          </w:tcPr>
          <w:p w14:paraId="401A8331" w14:textId="7CC780E2" w:rsidR="005A3D92" w:rsidRPr="00CF6E2F" w:rsidRDefault="005A3D92" w:rsidP="002747EA">
            <w:r w:rsidRPr="00CF6E2F">
              <w:t>Vahdaninia</w:t>
            </w:r>
            <w:r w:rsidRPr="00CF6E2F">
              <w:rPr>
                <w:rFonts w:eastAsiaTheme="majorEastAsia"/>
              </w:rPr>
              <w:t xml:space="preserve"> et al 2017</w:t>
            </w:r>
            <w:r w:rsidR="00E51743">
              <w:fldChar w:fldCharType="begin"/>
            </w:r>
            <w:r w:rsidR="002747EA">
              <w:instrText xml:space="preserve"> ADDIN EN.CITE &lt;EndNote&gt;&lt;Cite&gt;&lt;Author&gt;Vahdaninia M.&lt;/Author&gt;&lt;Year&gt;2017&lt;/Year&gt;&lt;RecNum&gt;1289&lt;/RecNum&gt;&lt;DisplayText&gt;&lt;style face="superscript" font="Trebuchet MS" size="9"&gt;153&lt;/style&gt;&lt;/DisplayText&gt;&lt;record&gt;&lt;rec-number&gt;1289&lt;/rec-number&gt;&lt;foreign-keys&gt;&lt;key app="EN" db-id="exvasrfx2dtraoesasxp2szsxa2df502592x" timestamp="1563324040"&gt;1289&lt;/key&gt;&lt;/foreign-keys&gt;&lt;ref-type name="Journal Article"&gt;17&lt;/ref-type&gt;&lt;contributors&gt;&lt;authors&gt;&lt;author&gt;Vahdaninia M.,&lt;/author&gt;&lt;author&gt;Mackenzie H.,&lt;/author&gt;&lt;author&gt;Helps S.,&lt;/author&gt;&lt;author&gt;Dean T.,&lt;/author&gt;&lt;/authors&gt;&lt;/contributors&gt;&lt;titles&gt;&lt;title&gt;Prenatal intake of vitamins and allergic outcomes in the offspring: a systematic review and meta-analysis&lt;/title&gt;&lt;secondary-title&gt;J Allergy Clin Immunol Pract&lt;/secondary-title&gt;&lt;/titles&gt;&lt;periodical&gt;&lt;full-title&gt;J Allergy Clin Immunol Pract&lt;/full-title&gt;&lt;/periodical&gt;&lt;pages&gt;771-78&lt;/pages&gt;&lt;volume&gt;5&lt;/volume&gt;&lt;number&gt;3&lt;/number&gt;&lt;dates&gt;&lt;year&gt;2017&lt;/year&gt;&lt;/dates&gt;&lt;urls&gt;&lt;/urls&gt;&lt;/record&gt;&lt;/Cite&gt;&lt;/EndNote&gt;</w:instrText>
            </w:r>
            <w:r w:rsidR="00E51743">
              <w:fldChar w:fldCharType="separate"/>
            </w:r>
            <w:r w:rsidR="002747EA" w:rsidRPr="002747EA">
              <w:rPr>
                <w:noProof/>
                <w:vertAlign w:val="superscript"/>
              </w:rPr>
              <w:t>153</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15828AAB" w14:textId="1C9045A4" w:rsidR="005A3D92" w:rsidRDefault="008C325B" w:rsidP="00632FE5">
            <w:pPr>
              <w:keepNext/>
            </w:pPr>
            <w:r>
              <w:t>1 study</w:t>
            </w:r>
          </w:p>
        </w:tc>
        <w:tc>
          <w:tcPr>
            <w:tcW w:w="4962" w:type="dxa"/>
            <w:tcBorders>
              <w:top w:val="single" w:sz="4" w:space="0" w:color="auto"/>
              <w:left w:val="single" w:sz="4" w:space="0" w:color="auto"/>
              <w:bottom w:val="single" w:sz="4" w:space="0" w:color="auto"/>
              <w:right w:val="single" w:sz="4" w:space="0" w:color="auto"/>
            </w:tcBorders>
          </w:tcPr>
          <w:p w14:paraId="4C0E6F74" w14:textId="77777777" w:rsidR="005A3D92" w:rsidRPr="00CF6E2F" w:rsidRDefault="005A3D92" w:rsidP="00632FE5">
            <w:r>
              <w:rPr>
                <w:b/>
              </w:rPr>
              <w:t xml:space="preserve">Aim: </w:t>
            </w:r>
            <w:r w:rsidRPr="00CF6E2F">
              <w:t xml:space="preserve">To synthesise the evidence from </w:t>
            </w:r>
            <w:r>
              <w:t>RCTs</w:t>
            </w:r>
            <w:r w:rsidRPr="00CF6E2F">
              <w:t xml:space="preserve"> assessing the efficacy of vitamin interventions during pregnancy on developing allergic diseases in offspring.</w:t>
            </w:r>
            <w:r w:rsidRPr="00CF6E2F">
              <w:rPr>
                <w:rFonts w:eastAsiaTheme="majorEastAsia"/>
              </w:rPr>
              <w:t> </w:t>
            </w:r>
          </w:p>
          <w:p w14:paraId="60D68ADB" w14:textId="77777777" w:rsidR="005A3D92" w:rsidRPr="00CF6E2F" w:rsidRDefault="005A3D92" w:rsidP="00632FE5">
            <w:r>
              <w:rPr>
                <w:b/>
              </w:rPr>
              <w:t xml:space="preserve">Methods: </w:t>
            </w:r>
            <w:r w:rsidRPr="00CF6E2F">
              <w:t>We searched CENTRAL, MEDLINE, SCOPUS, WHO’s Int. Clin. Trials Reg., E-theses and Web of Science. Study quality was evaluated using the Cochrane’s risk of bias tool. Included RCTs had a minimum of 1-month follow-up post gestation.</w:t>
            </w:r>
            <w:r w:rsidRPr="00CF6E2F">
              <w:rPr>
                <w:rFonts w:eastAsiaTheme="majorEastAsia"/>
              </w:rPr>
              <w:t> </w:t>
            </w:r>
          </w:p>
        </w:tc>
        <w:tc>
          <w:tcPr>
            <w:tcW w:w="4536" w:type="dxa"/>
            <w:tcBorders>
              <w:top w:val="single" w:sz="4" w:space="0" w:color="auto"/>
              <w:left w:val="single" w:sz="4" w:space="0" w:color="auto"/>
              <w:bottom w:val="single" w:sz="4" w:space="0" w:color="auto"/>
              <w:right w:val="single" w:sz="4" w:space="0" w:color="auto"/>
            </w:tcBorders>
          </w:tcPr>
          <w:p w14:paraId="2199EBF8" w14:textId="3A820746" w:rsidR="005A3D92" w:rsidRDefault="005A3D92" w:rsidP="00632FE5">
            <w:r>
              <w:t>Intervention (1,000 mg vitamin C plu</w:t>
            </w:r>
            <w:r w:rsidR="00442DC2">
              <w:t>s</w:t>
            </w:r>
            <w:r>
              <w:t xml:space="preserve"> 400 IU vitamin</w:t>
            </w:r>
            <w:r w:rsidR="002C058C">
              <w:t> </w:t>
            </w:r>
            <w:r>
              <w:t>E from 16-22 weeks until birth) vs control:</w:t>
            </w:r>
          </w:p>
          <w:p w14:paraId="28FE5EF7" w14:textId="65CC568E" w:rsidR="005A3D92" w:rsidRDefault="005A3D92" w:rsidP="00632FE5">
            <w:pPr>
              <w:pStyle w:val="bullet"/>
            </w:pPr>
            <w:r>
              <w:t>R</w:t>
            </w:r>
            <w:r w:rsidRPr="005460D0">
              <w:t>ecurrent wheeze</w:t>
            </w:r>
            <w:r>
              <w:t xml:space="preserve">: OR 0.83, 95%CI </w:t>
            </w:r>
            <w:r w:rsidRPr="005460D0">
              <w:t>0.26</w:t>
            </w:r>
            <w:r>
              <w:t xml:space="preserve"> to 2.59, p=0.66</w:t>
            </w:r>
          </w:p>
          <w:p w14:paraId="418DE35A" w14:textId="6B217C58" w:rsidR="005A3D92" w:rsidRDefault="005A3D92" w:rsidP="00632FE5">
            <w:pPr>
              <w:pStyle w:val="bullet"/>
            </w:pPr>
            <w:r>
              <w:t xml:space="preserve">Asthma: OR 0.94, 95%CI </w:t>
            </w:r>
            <w:r w:rsidRPr="005460D0">
              <w:t>0.42</w:t>
            </w:r>
            <w:r>
              <w:t xml:space="preserve"> to 2.11, p=0.85</w:t>
            </w:r>
          </w:p>
          <w:p w14:paraId="7B57C151" w14:textId="7EAC3859" w:rsidR="005A3D92" w:rsidRPr="00F31D6E" w:rsidRDefault="005A3D92" w:rsidP="008C325B">
            <w:pPr>
              <w:pStyle w:val="bullet"/>
            </w:pPr>
            <w:r>
              <w:t xml:space="preserve">Eczema: OR 1.10, 95%CI </w:t>
            </w:r>
            <w:r w:rsidRPr="005460D0">
              <w:t>0.70</w:t>
            </w:r>
            <w:r>
              <w:t xml:space="preserve"> to </w:t>
            </w:r>
            <w:r w:rsidRPr="005460D0">
              <w:t>1.74, p=0.58</w:t>
            </w:r>
          </w:p>
        </w:tc>
        <w:tc>
          <w:tcPr>
            <w:tcW w:w="1843" w:type="dxa"/>
            <w:tcBorders>
              <w:top w:val="single" w:sz="4" w:space="0" w:color="auto"/>
              <w:left w:val="single" w:sz="4" w:space="0" w:color="auto"/>
              <w:bottom w:val="single" w:sz="4" w:space="0" w:color="auto"/>
              <w:right w:val="single" w:sz="4" w:space="0" w:color="auto"/>
            </w:tcBorders>
          </w:tcPr>
          <w:p w14:paraId="70A04785" w14:textId="77777777" w:rsidR="005A3D92" w:rsidRPr="00D150D8" w:rsidRDefault="005A3D92" w:rsidP="00632FE5">
            <w:pPr>
              <w:keepNext/>
            </w:pPr>
          </w:p>
        </w:tc>
      </w:tr>
    </w:tbl>
    <w:p w14:paraId="1361D1C5" w14:textId="3AB99079" w:rsidR="00AC2B31" w:rsidRDefault="009C163D" w:rsidP="005719CE">
      <w:pPr>
        <w:pStyle w:val="TableName"/>
        <w:ind w:left="1134" w:hanging="1134"/>
      </w:pPr>
      <w:bookmarkStart w:id="85" w:name="_Toc40956620"/>
      <w:r>
        <w:t xml:space="preserve">Q3 </w:t>
      </w:r>
      <w:r w:rsidR="00AC2B31">
        <w:t>Harms and benefits of vitamin C and vitamin E supplementation in pregnancy — RCTs</w:t>
      </w:r>
      <w:bookmarkEnd w:id="8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2: Q3 Harms and benefits of vitamin C and vitamin E supplementation in pregnancy — RCTs"/>
      </w:tblPr>
      <w:tblGrid>
        <w:gridCol w:w="1304"/>
        <w:gridCol w:w="1247"/>
        <w:gridCol w:w="4962"/>
        <w:gridCol w:w="4536"/>
        <w:gridCol w:w="1843"/>
      </w:tblGrid>
      <w:tr w:rsidR="00AC2B31" w:rsidRPr="00F350A6" w14:paraId="7FCC6EA8" w14:textId="77777777" w:rsidTr="007F3D92">
        <w:trPr>
          <w:cantSplit/>
          <w:trHeight w:val="390"/>
          <w:tblHeader/>
        </w:trPr>
        <w:tc>
          <w:tcPr>
            <w:tcW w:w="1304" w:type="dxa"/>
          </w:tcPr>
          <w:p w14:paraId="2AB940CB" w14:textId="77777777" w:rsidR="00AC2B31" w:rsidRPr="00F350A6" w:rsidRDefault="00AC2B31" w:rsidP="007F3D92">
            <w:pPr>
              <w:keepNext/>
              <w:rPr>
                <w:b/>
              </w:rPr>
            </w:pPr>
            <w:r>
              <w:rPr>
                <w:b/>
              </w:rPr>
              <w:t>Study ref</w:t>
            </w:r>
          </w:p>
        </w:tc>
        <w:tc>
          <w:tcPr>
            <w:tcW w:w="1247" w:type="dxa"/>
          </w:tcPr>
          <w:p w14:paraId="1FF77780" w14:textId="77777777" w:rsidR="00AC2B31" w:rsidRPr="00F350A6" w:rsidRDefault="00AC2B31" w:rsidP="007F3D92">
            <w:pPr>
              <w:keepNext/>
              <w:rPr>
                <w:b/>
              </w:rPr>
            </w:pPr>
            <w:r>
              <w:rPr>
                <w:b/>
              </w:rPr>
              <w:t>N</w:t>
            </w:r>
          </w:p>
        </w:tc>
        <w:tc>
          <w:tcPr>
            <w:tcW w:w="4962" w:type="dxa"/>
          </w:tcPr>
          <w:p w14:paraId="73B03579" w14:textId="77777777" w:rsidR="00AC2B31" w:rsidRPr="00F350A6" w:rsidRDefault="00AC2B31" w:rsidP="007F3D92">
            <w:pPr>
              <w:keepNext/>
              <w:rPr>
                <w:b/>
              </w:rPr>
            </w:pPr>
            <w:r>
              <w:rPr>
                <w:b/>
              </w:rPr>
              <w:t>Aim/population/intervention</w:t>
            </w:r>
          </w:p>
        </w:tc>
        <w:tc>
          <w:tcPr>
            <w:tcW w:w="4536" w:type="dxa"/>
          </w:tcPr>
          <w:p w14:paraId="4A006A34" w14:textId="77777777" w:rsidR="00AC2B31" w:rsidRPr="00F350A6" w:rsidRDefault="00AC2B31" w:rsidP="007F3D92">
            <w:pPr>
              <w:keepNext/>
              <w:rPr>
                <w:b/>
              </w:rPr>
            </w:pPr>
            <w:r>
              <w:rPr>
                <w:b/>
              </w:rPr>
              <w:t>Results</w:t>
            </w:r>
          </w:p>
        </w:tc>
        <w:tc>
          <w:tcPr>
            <w:tcW w:w="1843" w:type="dxa"/>
          </w:tcPr>
          <w:p w14:paraId="0CF7217D" w14:textId="77777777" w:rsidR="00AC2B31" w:rsidRPr="00F350A6" w:rsidRDefault="00AC2B31" w:rsidP="007F3D92">
            <w:pPr>
              <w:keepNext/>
              <w:rPr>
                <w:b/>
              </w:rPr>
            </w:pPr>
            <w:r>
              <w:rPr>
                <w:b/>
              </w:rPr>
              <w:t>Comments</w:t>
            </w:r>
          </w:p>
        </w:tc>
      </w:tr>
      <w:tr w:rsidR="00AC2B31" w:rsidRPr="00AC2B31" w14:paraId="79213B37" w14:textId="77777777" w:rsidTr="007F3D92">
        <w:trPr>
          <w:cantSplit/>
          <w:trHeight w:val="390"/>
          <w:tblHeader/>
        </w:trPr>
        <w:tc>
          <w:tcPr>
            <w:tcW w:w="1304" w:type="dxa"/>
          </w:tcPr>
          <w:p w14:paraId="7585FEE7" w14:textId="313491AA" w:rsidR="00AC2B31" w:rsidRDefault="001C05D1" w:rsidP="007F3D92">
            <w:pPr>
              <w:keepNext/>
            </w:pPr>
            <w:r>
              <w:t>Abramovici et al 2015</w:t>
            </w:r>
            <w:r w:rsidR="00E51743">
              <w:fldChar w:fldCharType="begin">
                <w:fldData xml:space="preserve">PEVuZE5vdGU+PENpdGU+PEF1dGhvcj5BYnJhbW92aWNpPC9BdXRob3I+PFllYXI+MjAxNTwvWWVh
cj48UmVjTnVtPjEyNzQ8L1JlY051bT48RGlzcGxheVRleHQ+PHN0eWxlIGZhY2U9InN1cGVyc2Ny
aXB0IiBmb250PSJUcmVidWNoZXQgTVMiIHNpemU9IjkiPjIyNDwvc3R5bGU+PC9EaXNwbGF5VGV4
dD48cmVjb3JkPjxyZWMtbnVtYmVyPjEyNzQ8L3JlYy1udW1iZXI+PGZvcmVpZ24ta2V5cz48a2V5
IGFwcD0iRU4iIGRiLWlkPSJleHZhc3JmeDJkdHJhb2VzYXN4cDJzenN4YTJkZjUwMjU5MngiIHRp
bWVzdGFtcD0iMTU2MzMyMjA1OCI+MTI3NDwva2V5PjxrZXkgYXBwPSJFTldlYiIgZGItaWQ9IiI+
MDwva2V5PjwvZm9yZWlnbi1rZXlzPjxyZWYtdHlwZSBuYW1lPSJKb3VybmFsIEFydGljbGUiPjE3
PC9yZWYtdHlwZT48Y29udHJpYnV0b3JzPjxhdXRob3JzPjxhdXRob3I+QWJyYW1vdmljaSwgQS48
L2F1dGhvcj48YXV0aG9yPkdhbmRsZXksIFIuIEUuPC9hdXRob3I+PGF1dGhvcj5DbGlmdG9uLCBS
LiBHLjwvYXV0aG9yPjxhdXRob3I+TGV2ZW5vLCBLLiBKLjwvYXV0aG9yPjxhdXRob3I+TXlhdHQs
IEwuPC9hdXRob3I+PGF1dGhvcj5XYXBuZXIsIFIuIEouPC9hdXRob3I+PGF1dGhvcj5UaG9ycCwg
Si4gTS4sIEpyLjwvYXV0aG9yPjxhdXRob3I+TWVyY2VyLCBCLiBNLjwvYXV0aG9yPjxhdXRob3I+
UGVhY2VtYW4sIEEuIE0uPC9hdXRob3I+PGF1dGhvcj5TYW11ZWxzLCBQLjwvYXV0aG9yPjxhdXRo
b3I+U2Npc2Npb25lLCBBLjwvYXV0aG9yPjxhdXRob3I+SGFycGVyLCBNLjwvYXV0aG9yPjxhdXRo
b3I+U2FhZGUsIEcuPC9hdXRob3I+PGF1dGhvcj5Tb3Jva2luLCBZLjwvYXV0aG9yPjxhdXRob3I+
RXVuaWNlIEtlbm5lZHkgU2hyaXZlciBOYXRpb25hbCBJbnN0aXR1dGUgb2YgQ2hpbGQgSGVhbHRo
IEh1bWFuIERldmVsb3BtZW50IE1hdGVybmFsLUZldGFsIE1lZGljaW5lIFVuaXRzLCBOZXR3b3Jr
PC9hdXRob3I+PC9hdXRob3JzPjwvY29udHJpYnV0b3JzPjxhdXRoLWFkZHJlc3M+RGVwYXJ0bWVu
dCBvZiBPYnN0ZXRyaWNzIGFuZCBHeW5lY29sb2d5LCBVbml2ZXJzaXR5IG9mIEFsYWJhbWEgYXQg
QmlybWluZ2hhbSwgQmlybWluZ2hhbSwgQUwsIFVTQS4mI3hEO0RlcGFydG1lbnQgb2YgT2JzdGV0
cmljcyBhbmQgR3luZWNvbG9neSwgVW5pdmVyc2l0eSBvZiBQaXR0c2J1cmdoLCBQaXR0c2J1cmdo
LCBQQSwgVVNBLiYjeEQ7RGVwYXJ0bWVudCBvZiBPYnN0ZXRyaWNzIGFuZCBHeW5lY29sb2d5LCBU
aGUgR2VvcmdlIFdhc2hpbmd0b24gVW5pdmVyc2l0eSBCaW9zdGF0aXN0aWNzIENlbnRlciwgV2Fz
aGluZ3RvbiwgREMsIFVTQS4mI3hEO0RlcGFydG1lbnQgb2YgT2JzdGV0cmljcyBhbmQgR3luZWNv
bG9neSwgU291dGh3ZXN0ZXJuIE1lZGljYWwgQ2VudGVyLCBVbml2ZXJzaXR5IG9mIFRleGFzLCBE
YWxsYXMsIFRYLCBVU0EuJiN4RDtEZXBhcnRtZW50IG9mIE9ic3RldHJpY3MgYW5kIEd5bmVjb2xv
Z3ksIFVuaXZlcnNpdHkgb2YgQ2luY2lubmF0aSwgQ2luY2lubmF0aSwgT0gsIFVTQS4mI3hEO0Rl
cGFydG1lbnQgb2YgT2JzdGV0cmljcyBhbmQgR3luZWNvbG9neSwgQ29sdW1iaWEgVW5pdmVyc2l0
eSwgTmV3IFlvcmssIE5ZLCBVU0EuJiN4RDtEZXBhcnRtZW50IG9mIE9ic3RldHJpY3MgYW5kIEd5
bmVjb2xvZ3ksIFVuaXZlcnNpdHkgb2YgTm9ydGggQ2Fyb2xpbmEgYXQgQ2hhcGVsIEhpbGwsIENo
YXBlbCBIaWxsLCBOQywgVVNBLiYjeEQ7RGVwYXJ0bWVudCBvZiBPYnN0ZXRyaWNzIGFuZCBHeW5l
Y29sb2d5LCBDYXNlIFdlc3Rlcm4gUmVzZXJ2ZSBVbml2ZXJzaXR5LU1ldHJvSGVhbHRoIE1lZGlj
YWwgQ2VudGVyLCBDbGV2ZWxhbmQsIE9ILCBVU0EuJiN4RDtEZXBhcnRtZW50IG9mIE9ic3RldHJp
Y3MgYW5kIEd5bmVjb2xvZ3ksIE5vcnRod2VzdGVybiBVbml2ZXJzaXR5LCBDaGljYWdvLCBJTCwg
VVNBLiYjeEQ7RGVwYXJ0bWVudCBvZiBPYnN0ZXRyaWNzIGFuZCBHeW5lY29sb2d5LCBUaGUgT2hp
byBTdGF0ZSBVbml2ZXJzaXR5LCBDb2x1bWJ1cywgT0gsIFVTQS4mI3hEO0RlcGFydG1lbnQgb2Yg
T2JzdGV0cmljcyBhbmQgR3luZWNvbG9neSwgRHJleGVsIFVuaXZlcnNpdHksIFBoaWxhZGVscGhp
YSwgUEEsIFVTQS4mI3hEO0RlcGFydG1lbnQgb2YgT2JzdGV0cmljcyBhbmQgR3luZWNvbG9neSwg
V2FrZSBGb3Jlc3QgVW5pdmVyc2l0eSBIZWFsdGggU2NpZW5jZXMsIFdpbnN0b24tU2FsZW0sIE5D
LCBVU0EuJiN4RDtEZXBhcnRtZW50IG9mIE9ic3RldHJpY3MgYW5kIEd5bmVjb2xvZ3ksIFVuaXZl
cnNpdHkgb2YgVGV4YXMgTWVkaWNhbCBCcmFuY2gsIEdhbHZlc3RvbiwgVFgsIFVTQS4mI3hEO0Rl
cGFydG1lbnQgb2YgT2JzdGV0cmljcyBhbmQgR3luZWNvbG9neSwgV2F5bmUgU3RhdGUgVW5pdmVy
c2l0eSwgRGV0cm9pdCwgTUksIFVTQS48L2F1dGgtYWRkcmVzcz48dGl0bGVzPjx0aXRsZT5QcmVu
YXRhbCB2aXRhbWluIEMgYW5kIEUgc3VwcGxlbWVudGF0aW9uIGluIHNtb2tlcnMgaXMgYXNzb2Np
YXRlZCB3aXRoIHJlZHVjZWQgcGxhY2VudGFsIGFicnVwdGlvbiBhbmQgcHJldGVybSBiaXJ0aDog
YSBzZWNvbmRhcnkgYW5hbHlzaXM8L3RpdGxlPjxzZWNvbmRhcnktdGl0bGU+QkpPRzwvc2Vjb25k
YXJ5LXRpdGxlPjwvdGl0bGVzPjxwZXJpb2RpY2FsPjxmdWxsLXRpdGxlPkJKT0c8L2Z1bGwtdGl0
bGU+PC9wZXJpb2RpY2FsPjxwYWdlcz4xNzQwLTc8L3BhZ2VzPjx2b2x1bWU+MTIyPC92b2x1bWU+
PG51bWJlcj4xMzwvbnVtYmVyPjxlZGl0aW9uPjIwMTQvMTIvMTg8L2VkaXRpb24+PGtleXdvcmRz
PjxrZXl3b3JkPkFicnVwdGlvIFBsYWNlbnRhZS8qZXBpZGVtaW9sb2d5PC9rZXl3b3JkPjxrZXl3
b3JkPkFkb2xlc2NlbnQ8L2tleXdvcmQ+PGtleXdvcmQ+QWR1bHQ8L2tleXdvcmQ+PGtleXdvcmQ+
QXNjb3JiaWMgQWNpZC9hZG1pbmlzdHJhdGlvbiAmYW1wOyBkb3NhZ2U8L2tleXdvcmQ+PGtleXdv
cmQ+RGlldGFyeSBTdXBwbGVtZW50czwva2V5d29yZD48a2V5d29yZD5Eb3VibGUtQmxpbmQgTWV0
aG9kPC9rZXl3b3JkPjxrZXl3b3JkPkZlbWFsZTwva2V5d29yZD48a2V5d29yZD5IdW1hbnM8L2tl
eXdvcmQ+PGtleXdvcmQ+SHlwZXJ0ZW5zaW9uLCBQcmVnbmFuY3ktSW5kdWNlZC8qZXBpZGVtaW9s
b2d5PC9rZXl3b3JkPjxrZXl3b3JkPlByZS1FY2xhbXBzaWEvKmVwaWRlbWlvbG9neTwva2V5d29y
ZD48a2V5d29yZD5QcmVnbmFuY3k8L2tleXdvcmQ+PGtleXdvcmQ+UHJlbWF0dXJlIEJpcnRoLypl
cGlkZW1pb2xvZ3k8L2tleXdvcmQ+PGtleXdvcmQ+U21va2luZy8qZXBpZGVtaW9sb2d5PC9rZXl3
b3JkPjxrZXl3b3JkPlZpdGFtaW4gRS9hZG1pbmlzdHJhdGlvbiAmYW1wOyBkb3NhZ2U8L2tleXdv
cmQ+PGtleXdvcmQ+Vml0YW1pbnMvKmFkbWluaXN0cmF0aW9uICZhbXA7IGRvc2FnZTwva2V5d29y
ZD48a2V5d29yZD5Zb3VuZyBBZHVsdDwva2V5d29yZD48a2V5d29yZD5QbGFjZW50YWwgYWJydXB0
aW9uPC9rZXl3b3JkPjxrZXl3b3JkPnByZXRlcm0gYmlydGg8L2tleXdvcmQ+PGtleXdvcmQ+c21v
a2luZzwva2V5d29yZD48L2tleXdvcmRzPjxkYXRlcz48eWVhcj4yMDE1PC95ZWFyPjxwdWItZGF0
ZXM+PGRhdGU+RGVjPC9kYXRlPjwvcHViLWRhdGVzPjwvZGF0ZXM+PGlzYm4+MTQ3MS0wNTI4IChF
bGVjdHJvbmljKSYjeEQ7MTQ3MC0wMzI4IChMaW5raW5nKTwvaXNibj48YWNjZXNzaW9uLW51bT4y
NTUxNjQ5NzwvYWNjZXNzaW9uLW51bT48dXJscz48cmVsYXRlZC11cmxzPjx1cmw+aHR0cHM6Ly93
d3cubmNiaS5ubG0ubmloLmdvdi9wdWJtZWQvMjU1MTY0OTc8L3VybD48L3JlbGF0ZWQtdXJscz48
L3VybHM+PGN1c3RvbTI+UE1DNDQ3MDg3NDwvY3VzdG9tMj48ZWxlY3Ryb25pYy1yZXNvdXJjZS1u
dW0+MTAuMTExMS8xNDcxLTA1MjguMTMyMDE8L2VsZWN0cm9uaWMtcmVzb3VyY2UtbnVtPjwvcmVj
b3JkPjwvQ2l0ZT48L0VuZE5vdGU+
</w:fldData>
              </w:fldChar>
            </w:r>
            <w:r w:rsidR="002747EA">
              <w:instrText xml:space="preserve"> ADDIN EN.CITE </w:instrText>
            </w:r>
            <w:r w:rsidR="002747EA">
              <w:fldChar w:fldCharType="begin">
                <w:fldData xml:space="preserve">PEVuZE5vdGU+PENpdGU+PEF1dGhvcj5BYnJhbW92aWNpPC9BdXRob3I+PFllYXI+MjAxNTwvWWVh
cj48UmVjTnVtPjEyNzQ8L1JlY051bT48RGlzcGxheVRleHQ+PHN0eWxlIGZhY2U9InN1cGVyc2Ny
aXB0IiBmb250PSJUcmVidWNoZXQgTVMiIHNpemU9IjkiPjIyNDwvc3R5bGU+PC9EaXNwbGF5VGV4
dD48cmVjb3JkPjxyZWMtbnVtYmVyPjEyNzQ8L3JlYy1udW1iZXI+PGZvcmVpZ24ta2V5cz48a2V5
IGFwcD0iRU4iIGRiLWlkPSJleHZhc3JmeDJkdHJhb2VzYXN4cDJzenN4YTJkZjUwMjU5MngiIHRp
bWVzdGFtcD0iMTU2MzMyMjA1OCI+MTI3NDwva2V5PjxrZXkgYXBwPSJFTldlYiIgZGItaWQ9IiI+
MDwva2V5PjwvZm9yZWlnbi1rZXlzPjxyZWYtdHlwZSBuYW1lPSJKb3VybmFsIEFydGljbGUiPjE3
PC9yZWYtdHlwZT48Y29udHJpYnV0b3JzPjxhdXRob3JzPjxhdXRob3I+QWJyYW1vdmljaSwgQS48
L2F1dGhvcj48YXV0aG9yPkdhbmRsZXksIFIuIEUuPC9hdXRob3I+PGF1dGhvcj5DbGlmdG9uLCBS
LiBHLjwvYXV0aG9yPjxhdXRob3I+TGV2ZW5vLCBLLiBKLjwvYXV0aG9yPjxhdXRob3I+TXlhdHQs
IEwuPC9hdXRob3I+PGF1dGhvcj5XYXBuZXIsIFIuIEouPC9hdXRob3I+PGF1dGhvcj5UaG9ycCwg
Si4gTS4sIEpyLjwvYXV0aG9yPjxhdXRob3I+TWVyY2VyLCBCLiBNLjwvYXV0aG9yPjxhdXRob3I+
UGVhY2VtYW4sIEEuIE0uPC9hdXRob3I+PGF1dGhvcj5TYW11ZWxzLCBQLjwvYXV0aG9yPjxhdXRo
b3I+U2Npc2Npb25lLCBBLjwvYXV0aG9yPjxhdXRob3I+SGFycGVyLCBNLjwvYXV0aG9yPjxhdXRo
b3I+U2FhZGUsIEcuPC9hdXRob3I+PGF1dGhvcj5Tb3Jva2luLCBZLjwvYXV0aG9yPjxhdXRob3I+
RXVuaWNlIEtlbm5lZHkgU2hyaXZlciBOYXRpb25hbCBJbnN0aXR1dGUgb2YgQ2hpbGQgSGVhbHRo
IEh1bWFuIERldmVsb3BtZW50IE1hdGVybmFsLUZldGFsIE1lZGljaW5lIFVuaXRzLCBOZXR3b3Jr
PC9hdXRob3I+PC9hdXRob3JzPjwvY29udHJpYnV0b3JzPjxhdXRoLWFkZHJlc3M+RGVwYXJ0bWVu
dCBvZiBPYnN0ZXRyaWNzIGFuZCBHeW5lY29sb2d5LCBVbml2ZXJzaXR5IG9mIEFsYWJhbWEgYXQg
QmlybWluZ2hhbSwgQmlybWluZ2hhbSwgQUwsIFVTQS4mI3hEO0RlcGFydG1lbnQgb2YgT2JzdGV0
cmljcyBhbmQgR3luZWNvbG9neSwgVW5pdmVyc2l0eSBvZiBQaXR0c2J1cmdoLCBQaXR0c2J1cmdo
LCBQQSwgVVNBLiYjeEQ7RGVwYXJ0bWVudCBvZiBPYnN0ZXRyaWNzIGFuZCBHeW5lY29sb2d5LCBU
aGUgR2VvcmdlIFdhc2hpbmd0b24gVW5pdmVyc2l0eSBCaW9zdGF0aXN0aWNzIENlbnRlciwgV2Fz
aGluZ3RvbiwgREMsIFVTQS4mI3hEO0RlcGFydG1lbnQgb2YgT2JzdGV0cmljcyBhbmQgR3luZWNv
bG9neSwgU291dGh3ZXN0ZXJuIE1lZGljYWwgQ2VudGVyLCBVbml2ZXJzaXR5IG9mIFRleGFzLCBE
YWxsYXMsIFRYLCBVU0EuJiN4RDtEZXBhcnRtZW50IG9mIE9ic3RldHJpY3MgYW5kIEd5bmVjb2xv
Z3ksIFVuaXZlcnNpdHkgb2YgQ2luY2lubmF0aSwgQ2luY2lubmF0aSwgT0gsIFVTQS4mI3hEO0Rl
cGFydG1lbnQgb2YgT2JzdGV0cmljcyBhbmQgR3luZWNvbG9neSwgQ29sdW1iaWEgVW5pdmVyc2l0
eSwgTmV3IFlvcmssIE5ZLCBVU0EuJiN4RDtEZXBhcnRtZW50IG9mIE9ic3RldHJpY3MgYW5kIEd5
bmVjb2xvZ3ksIFVuaXZlcnNpdHkgb2YgTm9ydGggQ2Fyb2xpbmEgYXQgQ2hhcGVsIEhpbGwsIENo
YXBlbCBIaWxsLCBOQywgVVNBLiYjeEQ7RGVwYXJ0bWVudCBvZiBPYnN0ZXRyaWNzIGFuZCBHeW5l
Y29sb2d5LCBDYXNlIFdlc3Rlcm4gUmVzZXJ2ZSBVbml2ZXJzaXR5LU1ldHJvSGVhbHRoIE1lZGlj
YWwgQ2VudGVyLCBDbGV2ZWxhbmQsIE9ILCBVU0EuJiN4RDtEZXBhcnRtZW50IG9mIE9ic3RldHJp
Y3MgYW5kIEd5bmVjb2xvZ3ksIE5vcnRod2VzdGVybiBVbml2ZXJzaXR5LCBDaGljYWdvLCBJTCwg
VVNBLiYjeEQ7RGVwYXJ0bWVudCBvZiBPYnN0ZXRyaWNzIGFuZCBHeW5lY29sb2d5LCBUaGUgT2hp
byBTdGF0ZSBVbml2ZXJzaXR5LCBDb2x1bWJ1cywgT0gsIFVTQS4mI3hEO0RlcGFydG1lbnQgb2Yg
T2JzdGV0cmljcyBhbmQgR3luZWNvbG9neSwgRHJleGVsIFVuaXZlcnNpdHksIFBoaWxhZGVscGhp
YSwgUEEsIFVTQS4mI3hEO0RlcGFydG1lbnQgb2YgT2JzdGV0cmljcyBhbmQgR3luZWNvbG9neSwg
V2FrZSBGb3Jlc3QgVW5pdmVyc2l0eSBIZWFsdGggU2NpZW5jZXMsIFdpbnN0b24tU2FsZW0sIE5D
LCBVU0EuJiN4RDtEZXBhcnRtZW50IG9mIE9ic3RldHJpY3MgYW5kIEd5bmVjb2xvZ3ksIFVuaXZl
cnNpdHkgb2YgVGV4YXMgTWVkaWNhbCBCcmFuY2gsIEdhbHZlc3RvbiwgVFgsIFVTQS4mI3hEO0Rl
cGFydG1lbnQgb2YgT2JzdGV0cmljcyBhbmQgR3luZWNvbG9neSwgV2F5bmUgU3RhdGUgVW5pdmVy
c2l0eSwgRGV0cm9pdCwgTUksIFVTQS48L2F1dGgtYWRkcmVzcz48dGl0bGVzPjx0aXRsZT5QcmVu
YXRhbCB2aXRhbWluIEMgYW5kIEUgc3VwcGxlbWVudGF0aW9uIGluIHNtb2tlcnMgaXMgYXNzb2Np
YXRlZCB3aXRoIHJlZHVjZWQgcGxhY2VudGFsIGFicnVwdGlvbiBhbmQgcHJldGVybSBiaXJ0aDog
YSBzZWNvbmRhcnkgYW5hbHlzaXM8L3RpdGxlPjxzZWNvbmRhcnktdGl0bGU+QkpPRzwvc2Vjb25k
YXJ5LXRpdGxlPjwvdGl0bGVzPjxwZXJpb2RpY2FsPjxmdWxsLXRpdGxlPkJKT0c8L2Z1bGwtdGl0
bGU+PC9wZXJpb2RpY2FsPjxwYWdlcz4xNzQwLTc8L3BhZ2VzPjx2b2x1bWU+MTIyPC92b2x1bWU+
PG51bWJlcj4xMzwvbnVtYmVyPjxlZGl0aW9uPjIwMTQvMTIvMTg8L2VkaXRpb24+PGtleXdvcmRz
PjxrZXl3b3JkPkFicnVwdGlvIFBsYWNlbnRhZS8qZXBpZGVtaW9sb2d5PC9rZXl3b3JkPjxrZXl3
b3JkPkFkb2xlc2NlbnQ8L2tleXdvcmQ+PGtleXdvcmQ+QWR1bHQ8L2tleXdvcmQ+PGtleXdvcmQ+
QXNjb3JiaWMgQWNpZC9hZG1pbmlzdHJhdGlvbiAmYW1wOyBkb3NhZ2U8L2tleXdvcmQ+PGtleXdv
cmQ+RGlldGFyeSBTdXBwbGVtZW50czwva2V5d29yZD48a2V5d29yZD5Eb3VibGUtQmxpbmQgTWV0
aG9kPC9rZXl3b3JkPjxrZXl3b3JkPkZlbWFsZTwva2V5d29yZD48a2V5d29yZD5IdW1hbnM8L2tl
eXdvcmQ+PGtleXdvcmQ+SHlwZXJ0ZW5zaW9uLCBQcmVnbmFuY3ktSW5kdWNlZC8qZXBpZGVtaW9s
b2d5PC9rZXl3b3JkPjxrZXl3b3JkPlByZS1FY2xhbXBzaWEvKmVwaWRlbWlvbG9neTwva2V5d29y
ZD48a2V5d29yZD5QcmVnbmFuY3k8L2tleXdvcmQ+PGtleXdvcmQ+UHJlbWF0dXJlIEJpcnRoLypl
cGlkZW1pb2xvZ3k8L2tleXdvcmQ+PGtleXdvcmQ+U21va2luZy8qZXBpZGVtaW9sb2d5PC9rZXl3
b3JkPjxrZXl3b3JkPlZpdGFtaW4gRS9hZG1pbmlzdHJhdGlvbiAmYW1wOyBkb3NhZ2U8L2tleXdv
cmQ+PGtleXdvcmQ+Vml0YW1pbnMvKmFkbWluaXN0cmF0aW9uICZhbXA7IGRvc2FnZTwva2V5d29y
ZD48a2V5d29yZD5Zb3VuZyBBZHVsdDwva2V5d29yZD48a2V5d29yZD5QbGFjZW50YWwgYWJydXB0
aW9uPC9rZXl3b3JkPjxrZXl3b3JkPnByZXRlcm0gYmlydGg8L2tleXdvcmQ+PGtleXdvcmQ+c21v
a2luZzwva2V5d29yZD48L2tleXdvcmRzPjxkYXRlcz48eWVhcj4yMDE1PC95ZWFyPjxwdWItZGF0
ZXM+PGRhdGU+RGVjPC9kYXRlPjwvcHViLWRhdGVzPjwvZGF0ZXM+PGlzYm4+MTQ3MS0wNTI4IChF
bGVjdHJvbmljKSYjeEQ7MTQ3MC0wMzI4IChMaW5raW5nKTwvaXNibj48YWNjZXNzaW9uLW51bT4y
NTUxNjQ5NzwvYWNjZXNzaW9uLW51bT48dXJscz48cmVsYXRlZC11cmxzPjx1cmw+aHR0cHM6Ly93
d3cubmNiaS5ubG0ubmloLmdvdi9wdWJtZWQvMjU1MTY0OTc8L3VybD48L3JlbGF0ZWQtdXJscz48
L3VybHM+PGN1c3RvbTI+UE1DNDQ3MDg3NDwvY3VzdG9tMj48ZWxlY3Ryb25pYy1yZXNvdXJjZS1u
dW0+MTAuMTExMS8xNDcxLTA1MjguMTMyMDE8L2VsZWN0cm9uaWMtcmVzb3VyY2UtbnVtPjwvcmVj
b3JkPjwvQ2l0ZT48L0VuZE5vdGU+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224</w:t>
            </w:r>
            <w:r w:rsidR="00E51743">
              <w:fldChar w:fldCharType="end"/>
            </w:r>
          </w:p>
          <w:p w14:paraId="5C8E7247" w14:textId="3A391FD9" w:rsidR="00AC2B31" w:rsidRPr="00AC2B31" w:rsidRDefault="00AC2B31" w:rsidP="007F3D92">
            <w:pPr>
              <w:keepNext/>
            </w:pPr>
            <w:r>
              <w:t xml:space="preserve">United States </w:t>
            </w:r>
          </w:p>
        </w:tc>
        <w:tc>
          <w:tcPr>
            <w:tcW w:w="1247" w:type="dxa"/>
          </w:tcPr>
          <w:p w14:paraId="56303D21" w14:textId="77777777" w:rsidR="00743C05" w:rsidRDefault="00743C05" w:rsidP="007F3D92">
            <w:pPr>
              <w:keepNext/>
            </w:pPr>
            <w:r>
              <w:t>Smokers:</w:t>
            </w:r>
          </w:p>
          <w:p w14:paraId="2E5FD1C5" w14:textId="77777777" w:rsidR="00743C05" w:rsidRDefault="00743C05" w:rsidP="007F3D92">
            <w:pPr>
              <w:keepNext/>
            </w:pPr>
            <w:r>
              <w:t>Intervention 788</w:t>
            </w:r>
          </w:p>
          <w:p w14:paraId="55B64AE5" w14:textId="77777777" w:rsidR="00743C05" w:rsidRDefault="00743C05" w:rsidP="007F3D92">
            <w:pPr>
              <w:keepNext/>
            </w:pPr>
            <w:r>
              <w:t>Control 763</w:t>
            </w:r>
          </w:p>
          <w:p w14:paraId="16A76BCA" w14:textId="77777777" w:rsidR="00743C05" w:rsidRDefault="00743C05" w:rsidP="007F3D92">
            <w:pPr>
              <w:keepNext/>
            </w:pPr>
            <w:r>
              <w:t>Non-smokers</w:t>
            </w:r>
          </w:p>
          <w:p w14:paraId="16AC5AD3" w14:textId="77777777" w:rsidR="00743C05" w:rsidRDefault="00743C05" w:rsidP="007F3D92">
            <w:pPr>
              <w:keepNext/>
            </w:pPr>
            <w:r>
              <w:t>Intervention 4,205</w:t>
            </w:r>
          </w:p>
          <w:p w14:paraId="5FC2F57E" w14:textId="41C88464" w:rsidR="00743C05" w:rsidRPr="00AC2B31" w:rsidRDefault="00743C05" w:rsidP="007F3D92">
            <w:pPr>
              <w:keepNext/>
            </w:pPr>
            <w:r>
              <w:t>Control 4,213</w:t>
            </w:r>
          </w:p>
        </w:tc>
        <w:tc>
          <w:tcPr>
            <w:tcW w:w="4962" w:type="dxa"/>
          </w:tcPr>
          <w:p w14:paraId="2D96BA3A" w14:textId="77777777" w:rsidR="00AC2B31" w:rsidRDefault="00AC2B31" w:rsidP="007F3D92">
            <w:pPr>
              <w:keepNext/>
            </w:pPr>
            <w:r w:rsidRPr="00205DCF">
              <w:rPr>
                <w:b/>
              </w:rPr>
              <w:t>Aim</w:t>
            </w:r>
            <w:r>
              <w:t>: To evaluate</w:t>
            </w:r>
            <w:r w:rsidRPr="00AC2B31">
              <w:t xml:space="preserve"> the relationship between prenatal vitamin C and E (C/E) supplementation and perinatal outcomes by maternal self-reported smoking status focusing on outcomes known to be impacted by maternal smoking. </w:t>
            </w:r>
          </w:p>
          <w:p w14:paraId="3C879E13" w14:textId="307EFBA3" w:rsidR="00AC2B31" w:rsidRDefault="00AC2B31" w:rsidP="007F3D92">
            <w:pPr>
              <w:keepNext/>
            </w:pPr>
            <w:r w:rsidRPr="00205DCF">
              <w:rPr>
                <w:b/>
              </w:rPr>
              <w:t>Population</w:t>
            </w:r>
            <w:r>
              <w:t xml:space="preserve">: </w:t>
            </w:r>
            <w:r w:rsidRPr="00AC2B31">
              <w:t xml:space="preserve">low-risk nulliparous women with singleton </w:t>
            </w:r>
            <w:r>
              <w:t>pregnancies at 9-16 weeks gestation</w:t>
            </w:r>
            <w:r w:rsidRPr="00AC2B31">
              <w:t xml:space="preserve">. </w:t>
            </w:r>
          </w:p>
          <w:p w14:paraId="5550CB99" w14:textId="47FB1C06" w:rsidR="00AC2B31" w:rsidRPr="00AC2B31" w:rsidRDefault="00AC2B31" w:rsidP="00205DCF">
            <w:r w:rsidRPr="00205DCF">
              <w:rPr>
                <w:b/>
              </w:rPr>
              <w:t>Intervention</w:t>
            </w:r>
            <w:r>
              <w:t xml:space="preserve">: </w:t>
            </w:r>
            <w:r w:rsidR="00205DCF" w:rsidRPr="00205DCF">
              <w:t>1000 mg of vitamin C (ascorbic acid)</w:t>
            </w:r>
            <w:r w:rsidR="00205DCF">
              <w:t xml:space="preserve"> </w:t>
            </w:r>
            <w:r w:rsidR="00205DCF" w:rsidRPr="00205DCF">
              <w:t>and 400 IU of vitamin E (RRR-</w:t>
            </w:r>
            <w:r w:rsidR="00205DCF" w:rsidRPr="00205DCF">
              <w:rPr>
                <w:rFonts w:ascii="Helvetica" w:hAnsi="Helvetica"/>
              </w:rPr>
              <w:t>a</w:t>
            </w:r>
            <w:r w:rsidR="00205DCF" w:rsidRPr="00205DCF">
              <w:t>-tocopherol acetate) or</w:t>
            </w:r>
            <w:r w:rsidR="00205DCF">
              <w:t xml:space="preserve"> </w:t>
            </w:r>
            <w:r w:rsidR="00205DCF" w:rsidRPr="00205DCF">
              <w:t>matching placebo</w:t>
            </w:r>
          </w:p>
        </w:tc>
        <w:tc>
          <w:tcPr>
            <w:tcW w:w="4536" w:type="dxa"/>
          </w:tcPr>
          <w:p w14:paraId="448BC991" w14:textId="5F023C07" w:rsidR="00743C05" w:rsidRDefault="002B31BC" w:rsidP="00AC2B31">
            <w:r>
              <w:t xml:space="preserve">Intervention vs control — </w:t>
            </w:r>
            <w:r w:rsidR="00743C05">
              <w:t>Smokers</w:t>
            </w:r>
            <w:r w:rsidR="001326EB">
              <w:t xml:space="preserve"> vs no</w:t>
            </w:r>
            <w:r>
              <w:t>n-smokers</w:t>
            </w:r>
          </w:p>
          <w:p w14:paraId="6DE844D1" w14:textId="467FC3F1" w:rsidR="00743C05" w:rsidRDefault="002B31BC" w:rsidP="002B31BC">
            <w:pPr>
              <w:pStyle w:val="bullet"/>
            </w:pPr>
            <w:r>
              <w:t>Pre-eclampsia: RR 1.15 (0.81 to 1.65)</w:t>
            </w:r>
            <w:r w:rsidR="00E91C59">
              <w:t xml:space="preserve"> vs RR 1.06 (0.90 to 1.24)</w:t>
            </w:r>
          </w:p>
          <w:p w14:paraId="40BC392B" w14:textId="6CB87DAB" w:rsidR="002B31BC" w:rsidRDefault="002B31BC" w:rsidP="002B31BC">
            <w:pPr>
              <w:pStyle w:val="bullet"/>
            </w:pPr>
            <w:r>
              <w:t>Pregnancy-associated hypertension: RR 1.14 (0.99 to 1.32)</w:t>
            </w:r>
            <w:r w:rsidR="00E91C59">
              <w:t xml:space="preserve"> vs RR 1.09 (1.01 to 1.17)</w:t>
            </w:r>
          </w:p>
          <w:p w14:paraId="626934E9" w14:textId="083284D5" w:rsidR="002B31BC" w:rsidRDefault="002B31BC" w:rsidP="002B31BC">
            <w:pPr>
              <w:pStyle w:val="bullet"/>
            </w:pPr>
            <w:r>
              <w:t>Placental abruption</w:t>
            </w:r>
            <w:r w:rsidR="00E91C59">
              <w:t>: RR 0.09 (0.00 to 0.87) vs RR 0.92 (0.52 to 1.62) p=0.01</w:t>
            </w:r>
          </w:p>
          <w:p w14:paraId="151EA43E" w14:textId="77777777" w:rsidR="00E91C59" w:rsidRDefault="00E91C59" w:rsidP="002B31BC">
            <w:pPr>
              <w:pStyle w:val="bullet"/>
            </w:pPr>
            <w:r>
              <w:t>Preterm birth (&lt;37 wks): RR 0.76 (0.58 to 0.99) vs RR 1.03 (0.90 to 1.17) p=0.46</w:t>
            </w:r>
          </w:p>
          <w:p w14:paraId="179F8AD8" w14:textId="5DF3B12E" w:rsidR="00AC2B31" w:rsidRPr="006C1B93" w:rsidRDefault="00E91C59" w:rsidP="006C1B93">
            <w:pPr>
              <w:pStyle w:val="bullet"/>
            </w:pPr>
            <w:r>
              <w:t>Small-for-gestational age (&lt;10</w:t>
            </w:r>
            <w:r w:rsidRPr="00E91C59">
              <w:rPr>
                <w:vertAlign w:val="superscript"/>
              </w:rPr>
              <w:t>th</w:t>
            </w:r>
            <w:r>
              <w:t xml:space="preserve"> %): RR 1.26 (0.98 to 1.63) vs RR 1.02 (0.90 to 1.16)</w:t>
            </w:r>
          </w:p>
        </w:tc>
        <w:tc>
          <w:tcPr>
            <w:tcW w:w="1843" w:type="dxa"/>
          </w:tcPr>
          <w:p w14:paraId="5E9E4746" w14:textId="6EF15999" w:rsidR="00AC2B31" w:rsidRPr="00AC2B31" w:rsidRDefault="006C1B93" w:rsidP="002747EA">
            <w:pPr>
              <w:keepNext/>
            </w:pPr>
            <w:r>
              <w:t>Results for pre-eclampsia i</w:t>
            </w:r>
            <w:r w:rsidR="00F84736">
              <w:t xml:space="preserve">ncluded in </w:t>
            </w:r>
            <w:r w:rsidR="00EE65F2">
              <w:t>Fu et al 2018</w:t>
            </w:r>
            <w:r w:rsidR="00E51743">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 </w:instrText>
            </w:r>
            <w:r w:rsidR="002747EA">
              <w:fldChar w:fldCharType="begin">
                <w:fldData xml:space="preserve">PEVuZE5vdGU+PENpdGU+PEF1dGhvcj5GdTwvQXV0aG9yPjxZZWFyPjIwMTg8L1llYXI+PFJlY051
bT4xMjkzPC9SZWNOdW0+PERpc3BsYXlUZXh0PjxzdHlsZSBmYWNlPSJzdXBlcnNjcmlwdCIgZm9u
dD0iVHJlYnVjaGV0IE1TIiBzaXplPSI5Ij4xNDc8L3N0eWxlPjwvRGlzcGxheVRleHQ+PHJlY29y
ZD48cmVjLW51bWJlcj4xMjkzPC9yZWMtbnVtYmVyPjxmb3JlaWduLWtleXM+PGtleSBhcHA9IkVO
IiBkYi1pZD0iZXh2YXNyZngyZHRyYW9lc2FzeHAyc3pzeGEyZGY1MDI1OTJ4IiB0aW1lc3RhbXA9
IjE1NjUyMjM2MjAiPjEyOTM8L2tleT48a2V5IGFwcD0iRU5XZWIiIGRiLWlkPSIiPjA8L2tleT48
L2ZvcmVpZ24ta2V5cz48cmVmLXR5cGUgbmFtZT0iSm91cm5hbCBBcnRpY2xlIj4xNzwvcmVmLXR5
cGU+PGNvbnRyaWJ1dG9ycz48YXV0aG9ycz48YXV0aG9yPkZ1LCBaLiBNLjwvYXV0aG9yPjxhdXRo
b3I+TWEsIFouIFouPC9hdXRob3I+PGF1dGhvcj5MaXUsIEcuIEouPC9hdXRob3I+PGF1dGhvcj5X
YW5nLCBMLiBMLjwvYXV0aG9yPjxhdXRob3I+R3VvLCBZLjwvYXV0aG9yPjwvYXV0aG9ycz48L2Nv
bnRyaWJ1dG9ycz48YXV0aC1hZGRyZXNzPk1hdGVybml0eSBEZXBhcnRtZW50LCBXLkYuIE1hdGVy
bml0eSBhbmQgQ2hpbGQgQ2FyZSBIb3NwaXRhbCwgNDA3IFFpbmduaWFuIFJvYWQsIFdlaWNoZW5n
IERpc3RyaWN0LCBXZWlmYW5nIDI2MTAxMSwgQ2hpbmEuJiN4RDtQaGFybWFjeSBEZXBhcnRtZW50
LCBXZWlmYW5nIFBlb3BsZSZhcG9zO3MgSG9zcGl0YWwsIDE1MSBHdWFuZ3dlbiBTdHJlZXQsIEt1
aXdlbiBEaXN0cmljdCwgV2VpZmFuZyAyNjEwNDEsIENoaW5hLiYjeEQ7TWF0ZXJuaXR5IERlcGFy
dG1lbnQsIFcuRi4gTWF0ZXJuaXR5IGFuZCBDaGlsZCBDYXJlIEhvc3BpdGFsLCA0MDcgUWluZ25p
YW4gUm9hZCwgV2VpY2hlbmcgRGlzdHJpY3QsIFdlaWZhbmcgMjYxMDExLCBDaGluYS4gRWxlY3Ry
b25pYyBhZGRyZXNzOiBHdW95d2ZAMTYzLmNvbS48L2F1dGgtYWRkcmVzcz48dGl0bGVzPjx0aXRs
ZT5WaXRhbWlucyBzdXBwbGVtZW50YXRpb24gYWZmZWN0cyB0aGUgb25zZXQgb2YgcHJlZWNsYW1w
c2lhPC90aXRsZT48c2Vjb25kYXJ5LXRpdGxlPkogRm9ybW9zIE1lZCBBc3NvYzwvc2Vjb25kYXJ5
LXRpdGxlPjwvdGl0bGVzPjxwZXJpb2RpY2FsPjxmdWxsLXRpdGxlPkogRm9ybW9zIE1lZCBBc3Nv
YzwvZnVsbC10aXRsZT48L3BlcmlvZGljYWw+PHBhZ2VzPjYtMTM8L3BhZ2VzPjx2b2x1bWU+MTE3
PC92b2x1bWU+PG51bWJlcj4xPC9udW1iZXI+PGVkaXRpb24+MjAxNy8wOS8wODwvZWRpdGlvbj48
a2V5d29yZHM+PGtleXdvcmQ+KkRpZXRhcnkgU3VwcGxlbWVudHM8L2tleXdvcmQ+PGtleXdvcmQ+
RmVtYWxlPC9rZXl3b3JkPjxrZXl3b3JkPkh1bWFuczwva2V5d29yZD48a2V5d29yZD5QcmUtRWNs
YW1wc2lhLyplcGlkZW1pb2xvZ3kvKnByZXZlbnRpb24gJmFtcDsgY29udHJvbDwva2V5d29yZD48
a2V5d29yZD5QcmVnbmFuY3k8L2tleXdvcmQ+PGtleXdvcmQ+UmFuZG9taXplZCBDb250cm9sbGVk
IFRyaWFscyBhcyBUb3BpYzwva2V5d29yZD48a2V5d29yZD5WaXRhbWlucy8qdGhlcmFwZXV0aWMg
dXNlPC9rZXl3b3JkPjxrZXl3b3JkPk1ldGEtYW5hbHlzaXM8L2tleXdvcmQ+PGtleXdvcmQ+UHJl
ZWNsYW1wc2lhPC9rZXl3b3JkPjxrZXl3b3JkPlJDVHM8L2tleXdvcmQ+PGtleXdvcmQ+Vml0YW1p
bnMgc3VwcGxlbWVudGF0aW9uPC9rZXl3b3JkPjwva2V5d29yZHM+PGRhdGVzPjx5ZWFyPjIwMTg8
L3llYXI+PHB1Yi1kYXRlcz48ZGF0ZT5KYW48L2RhdGU+PC9wdWItZGF0ZXM+PC9kYXRlcz48aXNi
bj4wOTI5LTY2NDYgKFByaW50KSYjeEQ7MDkyOS02NjQ2IChMaW5raW5nKTwvaXNibj48YWNjZXNz
aW9uLW51bT4yODg3Nzg1MzwvYWNjZXNzaW9uLW51bT48dXJscz48cmVsYXRlZC11cmxzPjx1cmw+
aHR0cHM6Ly93d3cubmNiaS5ubG0ubmloLmdvdi9wdWJtZWQvMjg4Nzc4NTM8L3VybD48L3JlbGF0
ZWQtdXJscz48L3VybHM+PGVsZWN0cm9uaWMtcmVzb3VyY2UtbnVtPjEwLjEwMTYvai5qZm1hLjIw
MTcuMDguMDA1PC9lbGVjdHJvbmljLXJlc291cmNlLW51bT48L3JlY29yZD48L0NpdGU+PC9FbmRO
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147</w:t>
            </w:r>
            <w:r w:rsidR="00E51743">
              <w:fldChar w:fldCharType="end"/>
            </w:r>
          </w:p>
        </w:tc>
      </w:tr>
    </w:tbl>
    <w:p w14:paraId="66FDE6EC" w14:textId="7BE844E6" w:rsidR="008D0E37" w:rsidRDefault="009C163D" w:rsidP="005719CE">
      <w:pPr>
        <w:pStyle w:val="TableName"/>
        <w:ind w:left="1134" w:hanging="1134"/>
      </w:pPr>
      <w:bookmarkStart w:id="86" w:name="_Toc40956621"/>
      <w:r>
        <w:t xml:space="preserve">Q3 </w:t>
      </w:r>
      <w:r w:rsidR="008D0E37">
        <w:t>Harms and benefits of vitamin A supplementation in pregnancy — systematic reviews</w:t>
      </w:r>
      <w:bookmarkEnd w:id="86"/>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3: Q3 Harms and benefits of vitamin A supplementation in pregnancy — systematic reviews"/>
      </w:tblPr>
      <w:tblGrid>
        <w:gridCol w:w="1304"/>
        <w:gridCol w:w="1247"/>
        <w:gridCol w:w="4962"/>
        <w:gridCol w:w="4536"/>
        <w:gridCol w:w="1843"/>
      </w:tblGrid>
      <w:tr w:rsidR="008D0E37" w:rsidRPr="00F350A6" w14:paraId="11C9DFA3" w14:textId="77777777" w:rsidTr="007F3D92">
        <w:trPr>
          <w:cantSplit/>
          <w:trHeight w:val="390"/>
          <w:tblHeader/>
        </w:trPr>
        <w:tc>
          <w:tcPr>
            <w:tcW w:w="1304" w:type="dxa"/>
            <w:tcBorders>
              <w:bottom w:val="single" w:sz="4" w:space="0" w:color="auto"/>
            </w:tcBorders>
          </w:tcPr>
          <w:p w14:paraId="3590E1F9" w14:textId="77777777" w:rsidR="008D0E37" w:rsidRPr="00F350A6" w:rsidRDefault="008D0E37" w:rsidP="007F3D92">
            <w:pPr>
              <w:keepNext/>
              <w:rPr>
                <w:b/>
              </w:rPr>
            </w:pPr>
            <w:r>
              <w:rPr>
                <w:b/>
              </w:rPr>
              <w:t>Study ref</w:t>
            </w:r>
          </w:p>
        </w:tc>
        <w:tc>
          <w:tcPr>
            <w:tcW w:w="1247" w:type="dxa"/>
            <w:tcBorders>
              <w:bottom w:val="single" w:sz="4" w:space="0" w:color="auto"/>
            </w:tcBorders>
          </w:tcPr>
          <w:p w14:paraId="1239D910" w14:textId="77777777" w:rsidR="008D0E37" w:rsidRPr="00F350A6" w:rsidRDefault="008D0E37" w:rsidP="007F3D92">
            <w:pPr>
              <w:keepNext/>
              <w:rPr>
                <w:b/>
              </w:rPr>
            </w:pPr>
            <w:r>
              <w:rPr>
                <w:b/>
              </w:rPr>
              <w:t>N</w:t>
            </w:r>
          </w:p>
        </w:tc>
        <w:tc>
          <w:tcPr>
            <w:tcW w:w="4962" w:type="dxa"/>
            <w:tcBorders>
              <w:bottom w:val="single" w:sz="4" w:space="0" w:color="auto"/>
            </w:tcBorders>
          </w:tcPr>
          <w:p w14:paraId="5048F8DA" w14:textId="77777777" w:rsidR="008D0E37" w:rsidRPr="00F350A6" w:rsidRDefault="008D0E37" w:rsidP="007F3D92">
            <w:pPr>
              <w:keepNext/>
              <w:rPr>
                <w:b/>
              </w:rPr>
            </w:pPr>
            <w:r>
              <w:rPr>
                <w:b/>
              </w:rPr>
              <w:t>Aim/methods</w:t>
            </w:r>
          </w:p>
        </w:tc>
        <w:tc>
          <w:tcPr>
            <w:tcW w:w="4536" w:type="dxa"/>
            <w:tcBorders>
              <w:bottom w:val="single" w:sz="4" w:space="0" w:color="auto"/>
            </w:tcBorders>
          </w:tcPr>
          <w:p w14:paraId="1A7FAC53" w14:textId="77777777" w:rsidR="008D0E37" w:rsidRPr="00F350A6" w:rsidRDefault="008D0E37" w:rsidP="007F3D92">
            <w:pPr>
              <w:keepNext/>
              <w:rPr>
                <w:b/>
              </w:rPr>
            </w:pPr>
            <w:r>
              <w:rPr>
                <w:b/>
              </w:rPr>
              <w:t>Results</w:t>
            </w:r>
          </w:p>
        </w:tc>
        <w:tc>
          <w:tcPr>
            <w:tcW w:w="1843" w:type="dxa"/>
            <w:tcBorders>
              <w:bottom w:val="single" w:sz="4" w:space="0" w:color="auto"/>
            </w:tcBorders>
          </w:tcPr>
          <w:p w14:paraId="2F02998F" w14:textId="77777777" w:rsidR="008D0E37" w:rsidRPr="00F350A6" w:rsidRDefault="008D0E37" w:rsidP="007F3D92">
            <w:pPr>
              <w:keepNext/>
              <w:rPr>
                <w:b/>
              </w:rPr>
            </w:pPr>
            <w:r>
              <w:rPr>
                <w:b/>
              </w:rPr>
              <w:t>Comments</w:t>
            </w:r>
          </w:p>
        </w:tc>
      </w:tr>
      <w:tr w:rsidR="008D0E37" w:rsidRPr="00D150D8" w14:paraId="26DC167F" w14:textId="77777777" w:rsidTr="007F3D92">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08953E25" w14:textId="63288E3C" w:rsidR="008D0E37" w:rsidRPr="00CF6E2F" w:rsidRDefault="008D0E37" w:rsidP="002747EA">
            <w:r>
              <w:t>Balogun et al 2016</w:t>
            </w:r>
            <w:r w:rsidR="00E51743">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 </w:instrText>
            </w:r>
            <w:r w:rsidR="002747EA">
              <w:fldChar w:fldCharType="begin">
                <w:fldData xml:space="preserve">PEVuZE5vdGU+PENpdGU+PEF1dGhvcj5CYWxvZ3VuPC9BdXRob3I+PFllYXI+MjAxNjwvWWVhcj48
UmVjTnVtPjEyNzY8L1JlY051bT48RGlzcGxheVRleHQ+PHN0eWxlIGZhY2U9InN1cGVyc2NyaXB0
IiBmb250PSJUcmVidWNoZXQgTVMiIHNpemU9IjkiPjEyNTwvc3R5bGU+PC9EaXNwbGF5VGV4dD48
cmVjb3JkPjxyZWMtbnVtYmVyPjEyNzY8L3JlYy1udW1iZXI+PGZvcmVpZ24ta2V5cz48a2V5IGFw
cD0iRU4iIGRiLWlkPSJleHZhc3JmeDJkdHJhb2VzYXN4cDJzenN4YTJkZjUwMjU5MngiIHRpbWVz
dGFtcD0iMTU2MzMyMjA2MiI+MTI3Njwva2V5PjxrZXkgYXBwPSJFTldlYiIgZGItaWQ9IiI+MDwv
a2V5PjwvZm9yZWlnbi1rZXlzPjxyZWYtdHlwZSBuYW1lPSJKb3VybmFsIEFydGljbGUiPjE3PC9y
ZWYtdHlwZT48Y29udHJpYnV0b3JzPjxhdXRob3JzPjxhdXRob3I+QmFsb2d1biwgTy4gTy48L2F1
dGhvcj48YXV0aG9yPmRhIFNpbHZhIExvcGVzLCBLLjwvYXV0aG9yPjxhdXRob3I+T3RhLCBFLjwv
YXV0aG9yPjxhdXRob3I+VGFrZW1vdG8sIFkuPC9hdXRob3I+PGF1dGhvcj5SdW1ib2xkLCBBLjwv
YXV0aG9yPjxhdXRob3I+VGFrZWdhdGEsIE0uPC9hdXRob3I+PGF1dGhvcj5Nb3JpLCBSLjwvYXV0
aG9yPjwvYXV0aG9ycz48L2NvbnRyaWJ1dG9ycz48YXV0aC1hZGRyZXNzPkRlcGFydG1lbnQgb2Yg
SGVhbHRoIFBvbGljeSwgTmF0aW9uYWwgQ2VudGVyIGZvciBDaGlsZCBIZWFsdGggYW5kIERldmVs
b3BtZW50LCBNZWRpY2FsIEJ1aWxkaW5nIE5vLiAyLCBIb25nbyBDYW1wdXMsIDItMTAtMSBPa3Vy
YSwgVG9reW8sIFRva3lvLCBKYXBhbiwgMTU3LTg1MzUuPC9hdXRoLWFkZHJlc3M+PHRpdGxlcz48
dGl0bGU+Vml0YW1pbiBzdXBwbGVtZW50YXRpb24gZm9yIHByZXZlbnRpbmcgbWlzY2FycmlhZ2U8
L3RpdGxlPjxzZWNvbmRhcnktdGl0bGU+Q29jaHJhbmUgRGF0YWJhc2UgU3lzdCBSZXY8L3NlY29u
ZGFyeS10aXRsZT48L3RpdGxlcz48cGVyaW9kaWNhbD48ZnVsbC10aXRsZT5Db2NocmFuZSBEYXRh
YmFzZSBTeXN0IFJldjwvZnVsbC10aXRsZT48L3BlcmlvZGljYWw+PHBhZ2VzPkNEMDA0MDczPC9w
YWdlcz48bnVtYmVyPjU8L251bWJlcj48ZWRpdGlvbj4yMDE2LzA1LzA3PC9lZGl0aW9uPjxrZXl3
b3Jkcz48a2V5d29yZD5BYm9ydGlvbiwgSGFiaXR1YWwvcHJldmVudGlvbiAmYW1wOyBjb250cm9s
PC9rZXl3b3JkPjxrZXl3b3JkPkFib3J0aW9uLCBTcG9udGFuZW91cy8qcHJldmVudGlvbiAmYW1w
OyBjb250cm9sPC9rZXl3b3JkPjxrZXl3b3JkPkFudGlveGlkYW50cy9hZG1pbmlzdHJhdGlvbiAm
YW1wOyBkb3NhZ2U8L2tleXdvcmQ+PGtleXdvcmQ+QXNjb3JiaWMgQWNpZC9hZG1pbmlzdHJhdGlv
biAmYW1wOyBkb3NhZ2U8L2tleXdvcmQ+PGtleXdvcmQ+RGlldGFyeSBTdXBwbGVtZW50cy8qYWR2
ZXJzZSBlZmZlY3RzPC9rZXl3b3JkPjxrZXl3b3JkPkZlbWFsZTwva2V5d29yZD48a2V5d29yZD5G
b2xpYyBBY2lkL2FkbWluaXN0cmF0aW9uICZhbXA7IGRvc2FnZTwva2V5d29yZD48a2V5d29yZD5I
dW1hbnM8L2tleXdvcmQ+PGtleXdvcmQ+SXJvbi9hZG1pbmlzdHJhdGlvbiAmYW1wOyBkb3NhZ2U8
L2tleXdvcmQ+PGtleXdvcmQ+UHJlLUVjbGFtcHNpYS9wcmV2ZW50aW9uICZhbXA7IGNvbnRyb2w8
L2tleXdvcmQ+PGtleXdvcmQ+UHJlZ25hbmN5PC9rZXl3b3JkPjxrZXl3b3JkPlByZWduYW5jeSBP
dXRjb21lPC9rZXl3b3JkPjxrZXl3b3JkPlByZWduYW5jeSwgTXVsdGlwbGU8L2tleXdvcmQ+PGtl
eXdvcmQ+UHJlbmF0YWwgQ2FyZTwva2V5d29yZD48a2V5d29yZD5SYW5kb21pemVkIENvbnRyb2xs
ZWQgVHJpYWxzIGFzIFRvcGljPC9rZXl3b3JkPjxrZXl3b3JkPlN0aWxsYmlydGg8L2tleXdvcmQ+
PGtleXdvcmQ+Vml0YW1pbiBBL2FkbWluaXN0cmF0aW9uICZhbXA7IGRvc2FnZTwva2V5d29yZD48
a2V5d29yZD5WaXRhbWlucy8qYWRtaW5pc3RyYXRpb24gJmFtcDsgZG9zYWdlL2FkdmVyc2UgZWZm
ZWN0czwva2V5d29yZD48L2tleXdvcmRzPjxkYXRlcz48eWVhcj4yMDE2PC95ZWFyPjxwdWItZGF0
ZXM+PGRhdGU+TWF5IDY8L2RhdGU+PC9wdWItZGF0ZXM+PC9kYXRlcz48aXNibj4xNDY5LTQ5M1gg
KEVsZWN0cm9uaWMpJiN4RDsxMzYxLTYxMzcgKExpbmtpbmcpPC9pc2JuPjxhY2Nlc3Npb24tbnVt
PjI3MTUwMjgwPC9hY2Nlc3Npb24tbnVtPjx1cmxzPjxyZWxhdGVkLXVybHM+PHVybD5odHRwczov
L3d3dy5uY2JpLm5sbS5uaWguZ292L3B1Ym1lZC8yNzE1MDI4MDwvdXJsPjwvcmVsYXRlZC11cmxz
PjwvdXJscz48ZWxlY3Ryb25pYy1yZXNvdXJjZS1udW0+MTAuMTAwMi8xNDY1MTg1OC5DRDAwNDA3
My5wdWI0PC9lbGVjdHJvbmljLXJlc291cmNlLW51bT48L3JlY29yZD48L0NpdGU+PC9FbmROb3Rl
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125</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607DC152" w14:textId="77777777" w:rsidR="008D0E37" w:rsidRDefault="008D0E37" w:rsidP="007F3D92">
            <w:r w:rsidRPr="00967618">
              <w:t xml:space="preserve">40 </w:t>
            </w:r>
            <w:r>
              <w:t>studies</w:t>
            </w:r>
            <w:r w:rsidRPr="00967618">
              <w:t xml:space="preserve"> </w:t>
            </w:r>
          </w:p>
          <w:p w14:paraId="536E4340" w14:textId="77777777" w:rsidR="008D0E37" w:rsidRDefault="008D0E37" w:rsidP="007F3D92">
            <w:r w:rsidRPr="00967618">
              <w:t>276,820</w:t>
            </w:r>
          </w:p>
        </w:tc>
        <w:tc>
          <w:tcPr>
            <w:tcW w:w="4962" w:type="dxa"/>
            <w:tcBorders>
              <w:top w:val="single" w:sz="4" w:space="0" w:color="auto"/>
              <w:left w:val="single" w:sz="4" w:space="0" w:color="auto"/>
              <w:bottom w:val="single" w:sz="4" w:space="0" w:color="auto"/>
              <w:right w:val="single" w:sz="4" w:space="0" w:color="auto"/>
            </w:tcBorders>
          </w:tcPr>
          <w:p w14:paraId="4816CDA2" w14:textId="77777777" w:rsidR="008D0E37" w:rsidRPr="00FB6327" w:rsidRDefault="008D0E37" w:rsidP="007F3D92">
            <w:r w:rsidRPr="00FB6327">
              <w:rPr>
                <w:b/>
              </w:rPr>
              <w:t>Aim</w:t>
            </w:r>
            <w:r>
              <w:t xml:space="preserve">: </w:t>
            </w:r>
            <w:r w:rsidRPr="00FB6327">
              <w:t>to determine the effectiveness and safety of any vitamin supplementation, on the risk of spontaneous</w:t>
            </w:r>
            <w:r>
              <w:t xml:space="preserve"> </w:t>
            </w:r>
            <w:r w:rsidRPr="00FB6327">
              <w:t>miscarriage.</w:t>
            </w:r>
          </w:p>
          <w:p w14:paraId="2DDBA275" w14:textId="77777777" w:rsidR="008D0E37" w:rsidRPr="00D404CA" w:rsidRDefault="008D0E37" w:rsidP="007F3D92">
            <w:r w:rsidRPr="00FB6327">
              <w:rPr>
                <w:b/>
              </w:rPr>
              <w:t>Methods</w:t>
            </w:r>
            <w:r>
              <w:t xml:space="preserve">: </w:t>
            </w:r>
            <w:r w:rsidRPr="00FB6327">
              <w:t>We searched the Cochrane Pregnancy and Childbirth Group Trials Register (6 November 2015) and reference lists of retrieved studies.</w:t>
            </w:r>
            <w:r>
              <w:t xml:space="preserve"> </w:t>
            </w:r>
            <w:r w:rsidRPr="00FB6327">
              <w:t>All randomised and quasi-randomised trials comparing supplementation during pregnancy with one or more vitamins with either placebo, other vitamins, no vitamins or other interventions. We have included supplementation that started prior to conception, periconceptionally or in early pregnancy (less than 20 weeks’ gestation).</w:t>
            </w:r>
          </w:p>
        </w:tc>
        <w:tc>
          <w:tcPr>
            <w:tcW w:w="4536" w:type="dxa"/>
            <w:tcBorders>
              <w:top w:val="single" w:sz="4" w:space="0" w:color="auto"/>
              <w:left w:val="single" w:sz="4" w:space="0" w:color="auto"/>
              <w:bottom w:val="single" w:sz="4" w:space="0" w:color="auto"/>
              <w:right w:val="single" w:sz="4" w:space="0" w:color="auto"/>
            </w:tcBorders>
          </w:tcPr>
          <w:p w14:paraId="5DF43DD7" w14:textId="69CF2EA1" w:rsidR="008D0E37" w:rsidRDefault="008D0E37" w:rsidP="007F3D92">
            <w:r>
              <w:t xml:space="preserve">Vitamin A </w:t>
            </w:r>
            <w:r w:rsidRPr="00074393">
              <w:t>compared</w:t>
            </w:r>
            <w:r>
              <w:t xml:space="preserve"> </w:t>
            </w:r>
            <w:r w:rsidRPr="00074393">
              <w:t>with placebo</w:t>
            </w:r>
            <w:r>
              <w:t>:</w:t>
            </w:r>
          </w:p>
          <w:p w14:paraId="7DF54B0D" w14:textId="788D7BDB" w:rsidR="008D0E37" w:rsidRDefault="008D0E37" w:rsidP="007F3D92">
            <w:pPr>
              <w:pStyle w:val="bullet"/>
            </w:pPr>
            <w:r>
              <w:t>Total fetal loss: RR 1.05, 95%</w:t>
            </w:r>
            <w:r w:rsidRPr="00074393">
              <w:t>CI 0.</w:t>
            </w:r>
            <w:r>
              <w:t>90</w:t>
            </w:r>
            <w:r w:rsidRPr="00074393">
              <w:t xml:space="preserve"> to 1.</w:t>
            </w:r>
            <w:r>
              <w:t>23</w:t>
            </w:r>
            <w:r w:rsidRPr="00074393">
              <w:t xml:space="preserve">, </w:t>
            </w:r>
            <w:r>
              <w:t>3 </w:t>
            </w:r>
            <w:r w:rsidRPr="00074393">
              <w:t xml:space="preserve">trials, </w:t>
            </w:r>
            <w:r>
              <w:t>n=</w:t>
            </w:r>
            <w:r w:rsidR="00D53A7D">
              <w:t>52,480</w:t>
            </w:r>
            <w:r w:rsidRPr="00074393">
              <w:t xml:space="preserve"> women</w:t>
            </w:r>
          </w:p>
          <w:p w14:paraId="464D2BC8" w14:textId="43831070" w:rsidR="008D0E37" w:rsidRDefault="008D0E37" w:rsidP="007F3D92">
            <w:pPr>
              <w:pStyle w:val="bullet"/>
            </w:pPr>
            <w:r>
              <w:t xml:space="preserve">Early or late miscarriage: </w:t>
            </w:r>
            <w:r w:rsidRPr="00074393">
              <w:t>RR 0.</w:t>
            </w:r>
            <w:r w:rsidR="00D53A7D">
              <w:t>98</w:t>
            </w:r>
            <w:r w:rsidRPr="00074393">
              <w:t>, 95% CI 0.</w:t>
            </w:r>
            <w:r w:rsidR="00D53A7D">
              <w:t>92</w:t>
            </w:r>
            <w:r w:rsidRPr="00074393">
              <w:t xml:space="preserve"> to 1.</w:t>
            </w:r>
            <w:r w:rsidR="00D53A7D">
              <w:t>04</w:t>
            </w:r>
            <w:r w:rsidRPr="00074393">
              <w:t xml:space="preserve">, </w:t>
            </w:r>
            <w:r w:rsidR="00D53A7D">
              <w:t>1</w:t>
            </w:r>
            <w:r w:rsidRPr="00074393">
              <w:t xml:space="preserve"> </w:t>
            </w:r>
            <w:r w:rsidR="00D53A7D">
              <w:t>trial</w:t>
            </w:r>
            <w:r w:rsidRPr="00074393">
              <w:t xml:space="preserve">, </w:t>
            </w:r>
            <w:r>
              <w:t>n=</w:t>
            </w:r>
            <w:r w:rsidR="00D53A7D">
              <w:t>39,668</w:t>
            </w:r>
          </w:p>
          <w:p w14:paraId="19956D74" w14:textId="2B440954" w:rsidR="008D0E37" w:rsidRPr="00D404CA" w:rsidRDefault="008D0E37" w:rsidP="00D53A7D">
            <w:pPr>
              <w:pStyle w:val="bullet"/>
            </w:pPr>
            <w:r>
              <w:t xml:space="preserve">Stillbirth: </w:t>
            </w:r>
            <w:r w:rsidRPr="00074393">
              <w:t xml:space="preserve">RR </w:t>
            </w:r>
            <w:r w:rsidR="00D53A7D">
              <w:t>0.95</w:t>
            </w:r>
            <w:r w:rsidRPr="00074393">
              <w:t>, 95%</w:t>
            </w:r>
            <w:r>
              <w:t xml:space="preserve"> </w:t>
            </w:r>
            <w:r w:rsidRPr="00074393">
              <w:t>CI 0.</w:t>
            </w:r>
            <w:r w:rsidR="00D53A7D">
              <w:t>86</w:t>
            </w:r>
            <w:r w:rsidRPr="00074393">
              <w:t xml:space="preserve"> to </w:t>
            </w:r>
            <w:r w:rsidR="00D53A7D">
              <w:t>1.06</w:t>
            </w:r>
            <w:r w:rsidRPr="00074393">
              <w:t xml:space="preserve">, </w:t>
            </w:r>
            <w:r w:rsidR="00D53A7D">
              <w:t>1 trial</w:t>
            </w:r>
            <w:r w:rsidRPr="00074393">
              <w:t xml:space="preserve">, </w:t>
            </w:r>
            <w:r>
              <w:t>n=</w:t>
            </w:r>
            <w:r w:rsidR="00D53A7D">
              <w:t>39,668</w:t>
            </w:r>
            <w:r w:rsidRPr="00074393">
              <w:t xml:space="preserve"> </w:t>
            </w:r>
          </w:p>
        </w:tc>
        <w:tc>
          <w:tcPr>
            <w:tcW w:w="1843" w:type="dxa"/>
            <w:tcBorders>
              <w:top w:val="single" w:sz="4" w:space="0" w:color="auto"/>
              <w:left w:val="single" w:sz="4" w:space="0" w:color="auto"/>
              <w:bottom w:val="single" w:sz="4" w:space="0" w:color="auto"/>
              <w:right w:val="single" w:sz="4" w:space="0" w:color="auto"/>
            </w:tcBorders>
          </w:tcPr>
          <w:p w14:paraId="1494ADCC" w14:textId="77777777" w:rsidR="008D0E37" w:rsidRPr="00D150D8" w:rsidRDefault="008D0E37" w:rsidP="007F3D92">
            <w:pPr>
              <w:keepNext/>
            </w:pPr>
          </w:p>
        </w:tc>
      </w:tr>
      <w:tr w:rsidR="00BE043C" w:rsidRPr="00D150D8" w14:paraId="694E678D" w14:textId="77777777" w:rsidTr="007F3D92">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601BC54F" w14:textId="4FFEBA5C" w:rsidR="00BE043C" w:rsidRDefault="00BE043C" w:rsidP="002747EA">
            <w:r>
              <w:t>McCauley et al 2015</w:t>
            </w:r>
            <w:r w:rsidR="00E51743">
              <w:fldChar w:fldCharType="begin">
                <w:fldData xml:space="preserve">PEVuZE5vdGU+PENpdGU+PEF1dGhvcj5NY0NhdWxleTwvQXV0aG9yPjxZZWFyPjIwMTU8L1llYXI+
PFJlY051bT4xMzA1PC9SZWNOdW0+PERpc3BsYXlUZXh0PjxzdHlsZSBmYWNlPSJzdXBlcnNjcmlw
dCIgZm9udD0iVHJlYnVjaGV0IE1TIiBzaXplPSI5Ij4xNTU8L3N0eWxlPjwvRGlzcGxheVRleHQ+
PHJlY29yZD48cmVjLW51bWJlcj4xMzA1PC9yZWMtbnVtYmVyPjxmb3JlaWduLWtleXM+PGtleSBh
cHA9IkVOIiBkYi1pZD0iZXh2YXNyZngyZHRyYW9lc2FzeHAyc3pzeGEyZGY1MDI1OTJ4IiB0aW1l
c3RhbXA9IjE1NjUzMTYzOTMiPjEzMDU8L2tleT48a2V5IGFwcD0iRU5XZWIiIGRiLWlkPSIiPjA8
L2tleT48L2ZvcmVpZ24ta2V5cz48cmVmLXR5cGUgbmFtZT0iSm91cm5hbCBBcnRpY2xlIj4xNzwv
cmVmLXR5cGU+PGNvbnRyaWJ1dG9ycz48YXV0aG9ycz48YXV0aG9yPk1jQ2F1bGV5LCBNLiBFLjwv
YXV0aG9yPjxhdXRob3I+dmFuIGRlbiBCcm9laywgTi48L2F1dGhvcj48YXV0aG9yPkRvdSwgTC48
L2F1dGhvcj48YXV0aG9yPk90aG1hbiwgTS48L2F1dGhvcj48L2F1dGhvcnM+PC9jb250cmlidXRv
cnM+PGF1dGgtYWRkcmVzcz5DZW50cmUgZm9yIE1hdGVybmFsIGFuZCBOZXdib3JuIEhlYWx0aCwg
RGVwYXJ0bWVudCBvZiBJbnRlcm5hdGlvbmFsIFB1YmxpYyBIZWFsdGgsIExpdmVycG9vbCBTY2hv
b2wgb2YgVHJvcGljYWwgTWVkaWNpbmUsIFBlbWJyb2tlIFBsYWNlLCBMaXZlcnBvb2wsIE1lcnNl
eXNpZGUsIFVLLCBMMyA1UUEuPC9hdXRoLWFkZHJlc3M+PHRpdGxlcz48dGl0bGU+Vml0YW1pbiBB
IHN1cHBsZW1lbnRhdGlvbiBkdXJpbmcgcHJlZ25hbmN5IGZvciBtYXRlcm5hbCBhbmQgbmV3Ym9y
biBvdXRjb21lczwvdGl0bGU+PHNlY29uZGFyeS10aXRsZT5Db2NocmFuZSBEYXRhYmFzZSBTeXN0
IFJldjwvc2Vjb25kYXJ5LXRpdGxlPjwvdGl0bGVzPjxwZXJpb2RpY2FsPjxmdWxsLXRpdGxlPkNv
Y2hyYW5lIERhdGFiYXNlIFN5c3QgUmV2PC9mdWxsLXRpdGxlPjwvcGVyaW9kaWNhbD48cGFnZXM+
Q0QwMDg2NjY8L3BhZ2VzPjxudW1iZXI+MTA8L251bWJlcj48ZWRpdGlvbj4yMDE1LzEwLzI4PC9l
ZGl0aW9uPjxrZXl3b3Jkcz48a2V5d29yZD5BbmVtaWEvcHJldmVudGlvbiAmYW1wOyBjb250cm9s
PC9rZXl3b3JkPjxrZXl3b3JkPkZlbWFsZTwva2V5d29yZD48a2V5d29yZD5IdW1hbnM8L2tleXdv
cmQ+PGtleXdvcmQ+SW5mYW50PC9rZXl3b3JkPjxrZXl3b3JkPkluZmFudCBNb3J0YWxpdHk8L2tl
eXdvcmQ+PGtleXdvcmQ+SW5mYW50LCBOZXdib3JuPC9rZXl3b3JkPjxrZXl3b3JkPk1hdGVybmFs
IE1vcnRhbGl0eTwva2V5d29yZD48a2V5d29yZD5OaWdodCBCbGluZG5lc3MvZHJ1ZyB0aGVyYXB5
PC9rZXl3b3JkPjxrZXl3b3JkPlByZWduYW5jeTwva2V5d29yZD48a2V5d29yZD5QcmVnbmFuY3kg
Q29tcGxpY2F0aW9ucy8qZHJ1ZyB0aGVyYXB5PC9rZXl3b3JkPjxrZXl3b3JkPlByZWduYW5jeSBD
b21wbGljYXRpb25zLCBJbmZlY3Rpb3VzL2RydWcgdGhlcmFweTwva2V5d29yZD48a2V5d29yZD5W
aXRhbWluIEEvKmFkbWluaXN0cmF0aW9uICZhbXA7IGRvc2FnZTwva2V5d29yZD48a2V5d29yZD5W
aXRhbWluIEEgRGVmaWNpZW5jeS8qZHJ1ZyB0aGVyYXB5PC9rZXl3b3JkPjxrZXl3b3JkPlZpdGFt
aW5zLyphZG1pbmlzdHJhdGlvbiAmYW1wOyBkb3NhZ2U8L2tleXdvcmQ+PC9rZXl3b3Jkcz48ZGF0
ZXM+PHllYXI+MjAxNTwveWVhcj48cHViLWRhdGVzPjxkYXRlPk9jdCAyNzwvZGF0ZT48L3B1Yi1k
YXRlcz48L2RhdGVzPjxpc2JuPjE0NjktNDkzWCAoRWxlY3Ryb25pYykmI3hEOzEzNjEtNjEzNyAo
TGlua2luZyk8L2lzYm4+PGFjY2Vzc2lvbi1udW0+MjY1MDM0OTg8L2FjY2Vzc2lvbi1udW0+PHVy
bHM+PHJlbGF0ZWQtdXJscz48dXJsPmh0dHBzOi8vd3d3Lm5jYmkubmxtLm5paC5nb3YvcHVibWVk
LzI2NTAzNDk4PC91cmw+PC9yZWxhdGVkLXVybHM+PC91cmxzPjxlbGVjdHJvbmljLXJlc291cmNl
LW51bT4xMC4xMDAyLzE0NjUxODU4LkNEMDA4NjY2LnB1YjM8L2VsZWN0cm9uaWMtcmVzb3VyY2Ut
bnVtPjwvcmVjb3JkPjwvQ2l0ZT48L0VuZE5vdGU+
</w:fldData>
              </w:fldChar>
            </w:r>
            <w:r w:rsidR="002747EA">
              <w:instrText xml:space="preserve"> ADDIN EN.CITE </w:instrText>
            </w:r>
            <w:r w:rsidR="002747EA">
              <w:fldChar w:fldCharType="begin">
                <w:fldData xml:space="preserve">PEVuZE5vdGU+PENpdGU+PEF1dGhvcj5NY0NhdWxleTwvQXV0aG9yPjxZZWFyPjIwMTU8L1llYXI+
PFJlY051bT4xMzA1PC9SZWNOdW0+PERpc3BsYXlUZXh0PjxzdHlsZSBmYWNlPSJzdXBlcnNjcmlw
dCIgZm9udD0iVHJlYnVjaGV0IE1TIiBzaXplPSI5Ij4xNTU8L3N0eWxlPjwvRGlzcGxheVRleHQ+
PHJlY29yZD48cmVjLW51bWJlcj4xMzA1PC9yZWMtbnVtYmVyPjxmb3JlaWduLWtleXM+PGtleSBh
cHA9IkVOIiBkYi1pZD0iZXh2YXNyZngyZHRyYW9lc2FzeHAyc3pzeGEyZGY1MDI1OTJ4IiB0aW1l
c3RhbXA9IjE1NjUzMTYzOTMiPjEzMDU8L2tleT48a2V5IGFwcD0iRU5XZWIiIGRiLWlkPSIiPjA8
L2tleT48L2ZvcmVpZ24ta2V5cz48cmVmLXR5cGUgbmFtZT0iSm91cm5hbCBBcnRpY2xlIj4xNzwv
cmVmLXR5cGU+PGNvbnRyaWJ1dG9ycz48YXV0aG9ycz48YXV0aG9yPk1jQ2F1bGV5LCBNLiBFLjwv
YXV0aG9yPjxhdXRob3I+dmFuIGRlbiBCcm9laywgTi48L2F1dGhvcj48YXV0aG9yPkRvdSwgTC48
L2F1dGhvcj48YXV0aG9yPk90aG1hbiwgTS48L2F1dGhvcj48L2F1dGhvcnM+PC9jb250cmlidXRv
cnM+PGF1dGgtYWRkcmVzcz5DZW50cmUgZm9yIE1hdGVybmFsIGFuZCBOZXdib3JuIEhlYWx0aCwg
RGVwYXJ0bWVudCBvZiBJbnRlcm5hdGlvbmFsIFB1YmxpYyBIZWFsdGgsIExpdmVycG9vbCBTY2hv
b2wgb2YgVHJvcGljYWwgTWVkaWNpbmUsIFBlbWJyb2tlIFBsYWNlLCBMaXZlcnBvb2wsIE1lcnNl
eXNpZGUsIFVLLCBMMyA1UUEuPC9hdXRoLWFkZHJlc3M+PHRpdGxlcz48dGl0bGU+Vml0YW1pbiBB
IHN1cHBsZW1lbnRhdGlvbiBkdXJpbmcgcHJlZ25hbmN5IGZvciBtYXRlcm5hbCBhbmQgbmV3Ym9y
biBvdXRjb21lczwvdGl0bGU+PHNlY29uZGFyeS10aXRsZT5Db2NocmFuZSBEYXRhYmFzZSBTeXN0
IFJldjwvc2Vjb25kYXJ5LXRpdGxlPjwvdGl0bGVzPjxwZXJpb2RpY2FsPjxmdWxsLXRpdGxlPkNv
Y2hyYW5lIERhdGFiYXNlIFN5c3QgUmV2PC9mdWxsLXRpdGxlPjwvcGVyaW9kaWNhbD48cGFnZXM+
Q0QwMDg2NjY8L3BhZ2VzPjxudW1iZXI+MTA8L251bWJlcj48ZWRpdGlvbj4yMDE1LzEwLzI4PC9l
ZGl0aW9uPjxrZXl3b3Jkcz48a2V5d29yZD5BbmVtaWEvcHJldmVudGlvbiAmYW1wOyBjb250cm9s
PC9rZXl3b3JkPjxrZXl3b3JkPkZlbWFsZTwva2V5d29yZD48a2V5d29yZD5IdW1hbnM8L2tleXdv
cmQ+PGtleXdvcmQ+SW5mYW50PC9rZXl3b3JkPjxrZXl3b3JkPkluZmFudCBNb3J0YWxpdHk8L2tl
eXdvcmQ+PGtleXdvcmQ+SW5mYW50LCBOZXdib3JuPC9rZXl3b3JkPjxrZXl3b3JkPk1hdGVybmFs
IE1vcnRhbGl0eTwva2V5d29yZD48a2V5d29yZD5OaWdodCBCbGluZG5lc3MvZHJ1ZyB0aGVyYXB5
PC9rZXl3b3JkPjxrZXl3b3JkPlByZWduYW5jeTwva2V5d29yZD48a2V5d29yZD5QcmVnbmFuY3kg
Q29tcGxpY2F0aW9ucy8qZHJ1ZyB0aGVyYXB5PC9rZXl3b3JkPjxrZXl3b3JkPlByZWduYW5jeSBD
b21wbGljYXRpb25zLCBJbmZlY3Rpb3VzL2RydWcgdGhlcmFweTwva2V5d29yZD48a2V5d29yZD5W
aXRhbWluIEEvKmFkbWluaXN0cmF0aW9uICZhbXA7IGRvc2FnZTwva2V5d29yZD48a2V5d29yZD5W
aXRhbWluIEEgRGVmaWNpZW5jeS8qZHJ1ZyB0aGVyYXB5PC9rZXl3b3JkPjxrZXl3b3JkPlZpdGFt
aW5zLyphZG1pbmlzdHJhdGlvbiAmYW1wOyBkb3NhZ2U8L2tleXdvcmQ+PC9rZXl3b3Jkcz48ZGF0
ZXM+PHllYXI+MjAxNTwveWVhcj48cHViLWRhdGVzPjxkYXRlPk9jdCAyNzwvZGF0ZT48L3B1Yi1k
YXRlcz48L2RhdGVzPjxpc2JuPjE0NjktNDkzWCAoRWxlY3Ryb25pYykmI3hEOzEzNjEtNjEzNyAo
TGlua2luZyk8L2lzYm4+PGFjY2Vzc2lvbi1udW0+MjY1MDM0OTg8L2FjY2Vzc2lvbi1udW0+PHVy
bHM+PHJlbGF0ZWQtdXJscz48dXJsPmh0dHBzOi8vd3d3Lm5jYmkubmxtLm5paC5nb3YvcHVibWVk
LzI2NTAzNDk4PC91cmw+PC9yZWxhdGVkLXVybHM+PC91cmxzPjxlbGVjdHJvbmljLXJlc291cmNl
LW51bT4xMC4xMDAyLzE0NjUxODU4LkNEMDA4NjY2LnB1YjM8L2VsZWN0cm9uaWMtcmVzb3VyY2Ut
bnVtPjwvcmVjb3JkPjwvQ2l0ZT48L0VuZE5vdGU+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155</w:t>
            </w:r>
            <w:r w:rsidR="00E51743">
              <w:fldChar w:fldCharType="end"/>
            </w:r>
          </w:p>
        </w:tc>
        <w:tc>
          <w:tcPr>
            <w:tcW w:w="1247" w:type="dxa"/>
            <w:tcBorders>
              <w:top w:val="single" w:sz="4" w:space="0" w:color="auto"/>
              <w:left w:val="single" w:sz="4" w:space="0" w:color="auto"/>
              <w:bottom w:val="single" w:sz="4" w:space="0" w:color="auto"/>
              <w:right w:val="single" w:sz="4" w:space="0" w:color="auto"/>
            </w:tcBorders>
          </w:tcPr>
          <w:p w14:paraId="0BE6883C" w14:textId="77777777" w:rsidR="00BE043C" w:rsidRDefault="00652F48" w:rsidP="007F3D92">
            <w:r>
              <w:t>19 trials</w:t>
            </w:r>
          </w:p>
          <w:p w14:paraId="246D5373" w14:textId="77E8A7D3" w:rsidR="00652F48" w:rsidRPr="00967618" w:rsidRDefault="00652F48" w:rsidP="007F3D92">
            <w:r>
              <w:t>Over 310,000 women</w:t>
            </w:r>
          </w:p>
        </w:tc>
        <w:tc>
          <w:tcPr>
            <w:tcW w:w="4962" w:type="dxa"/>
            <w:tcBorders>
              <w:top w:val="single" w:sz="4" w:space="0" w:color="auto"/>
              <w:left w:val="single" w:sz="4" w:space="0" w:color="auto"/>
              <w:bottom w:val="single" w:sz="4" w:space="0" w:color="auto"/>
              <w:right w:val="single" w:sz="4" w:space="0" w:color="auto"/>
            </w:tcBorders>
          </w:tcPr>
          <w:p w14:paraId="68A49C34" w14:textId="77777777" w:rsidR="00BE043C" w:rsidRDefault="00BE043C" w:rsidP="00BE043C">
            <w:r w:rsidRPr="00BE043C">
              <w:rPr>
                <w:b/>
              </w:rPr>
              <w:t>Aim</w:t>
            </w:r>
            <w:r>
              <w:t xml:space="preserve">: </w:t>
            </w:r>
            <w:r w:rsidRPr="00BE043C">
              <w:t xml:space="preserve">To review the effects of supplementation of vitamin A, or one of its derivatives, during pregnancy, alone or in combination with other vitamins and micronutrients, on maternal and newborn clinical outcomes. </w:t>
            </w:r>
          </w:p>
          <w:p w14:paraId="11271DE6" w14:textId="05432C24" w:rsidR="00BE043C" w:rsidRPr="00FB6327" w:rsidRDefault="00BE043C" w:rsidP="00BE043C">
            <w:pPr>
              <w:rPr>
                <w:b/>
              </w:rPr>
            </w:pPr>
            <w:r w:rsidRPr="00BE043C">
              <w:rPr>
                <w:b/>
              </w:rPr>
              <w:t>Methods</w:t>
            </w:r>
            <w:r w:rsidRPr="00BE043C">
              <w:t xml:space="preserve">: We searched the Cochrane Pregnancy and Childbirth Group's Trials Register (30 March 2015) and reference lists of retrieved studies. All randomised or quasi-randomised trials, including cluster-randomised trials, evaluating the effect of vitamin A supplementation in pregnant women. </w:t>
            </w:r>
          </w:p>
        </w:tc>
        <w:tc>
          <w:tcPr>
            <w:tcW w:w="4536" w:type="dxa"/>
            <w:tcBorders>
              <w:top w:val="single" w:sz="4" w:space="0" w:color="auto"/>
              <w:left w:val="single" w:sz="4" w:space="0" w:color="auto"/>
              <w:bottom w:val="single" w:sz="4" w:space="0" w:color="auto"/>
              <w:right w:val="single" w:sz="4" w:space="0" w:color="auto"/>
            </w:tcBorders>
          </w:tcPr>
          <w:p w14:paraId="1AC79400" w14:textId="77777777" w:rsidR="00652F48" w:rsidRDefault="00BE043C" w:rsidP="00BE043C">
            <w:r w:rsidRPr="00BE043C">
              <w:t>Vitamin A alone versus placebo or no treatment</w:t>
            </w:r>
            <w:r w:rsidR="00652F48">
              <w:t>:</w:t>
            </w:r>
          </w:p>
          <w:p w14:paraId="50BB46E8" w14:textId="4ACF5FDF" w:rsidR="00652F48" w:rsidRDefault="00652F48" w:rsidP="00652F48">
            <w:pPr>
              <w:pStyle w:val="bullet"/>
            </w:pPr>
            <w:r>
              <w:t>M</w:t>
            </w:r>
            <w:r w:rsidR="00BE043C" w:rsidRPr="00BE043C">
              <w:t>aternal mortality</w:t>
            </w:r>
            <w:r>
              <w:t>: RR</w:t>
            </w:r>
            <w:r w:rsidR="00BE043C" w:rsidRPr="00BE043C">
              <w:t xml:space="preserve"> 0.88</w:t>
            </w:r>
            <w:r>
              <w:t xml:space="preserve"> (</w:t>
            </w:r>
            <w:r w:rsidR="00BE043C" w:rsidRPr="00BE043C">
              <w:t>0.65 to 1.20</w:t>
            </w:r>
            <w:r>
              <w:t>)</w:t>
            </w:r>
            <w:r w:rsidR="00BE043C" w:rsidRPr="00BE043C">
              <w:t xml:space="preserve">; </w:t>
            </w:r>
            <w:r>
              <w:t>4 </w:t>
            </w:r>
            <w:r w:rsidR="00BE043C" w:rsidRPr="00BE043C">
              <w:t>trials</w:t>
            </w:r>
            <w:r>
              <w:t xml:space="preserve">; n=154,039; high </w:t>
            </w:r>
            <w:r w:rsidR="00FB2A6C">
              <w:t>certainty</w:t>
            </w:r>
            <w:r>
              <w:t xml:space="preserve"> </w:t>
            </w:r>
          </w:p>
          <w:p w14:paraId="2D1CE3D6" w14:textId="1313C4D3" w:rsidR="00652F48" w:rsidRDefault="00652F48" w:rsidP="00652F48">
            <w:pPr>
              <w:pStyle w:val="bullet"/>
            </w:pPr>
            <w:r>
              <w:t xml:space="preserve">Perinatal mortality: </w:t>
            </w:r>
            <w:r w:rsidR="00BE043C" w:rsidRPr="00BE043C">
              <w:t>RR 1.01</w:t>
            </w:r>
            <w:r>
              <w:t xml:space="preserve"> (0.95 to 1.07);</w:t>
            </w:r>
            <w:r w:rsidR="00BE043C" w:rsidRPr="00BE043C">
              <w:t xml:space="preserve"> </w:t>
            </w:r>
            <w:r>
              <w:t>1 </w:t>
            </w:r>
            <w:r w:rsidR="00BE043C" w:rsidRPr="00BE043C">
              <w:t xml:space="preserve">study, </w:t>
            </w:r>
            <w:r>
              <w:t xml:space="preserve">n=76,178; </w:t>
            </w:r>
            <w:r w:rsidR="00BE043C" w:rsidRPr="00BE043C">
              <w:t xml:space="preserve">high </w:t>
            </w:r>
            <w:r w:rsidR="00FB2A6C">
              <w:t>certainty</w:t>
            </w:r>
            <w:r w:rsidR="00BE043C" w:rsidRPr="00BE043C">
              <w:t xml:space="preserve"> </w:t>
            </w:r>
          </w:p>
          <w:p w14:paraId="1D23F58F" w14:textId="5BDB59CE" w:rsidR="00652F48" w:rsidRDefault="00652F48" w:rsidP="00652F48">
            <w:pPr>
              <w:pStyle w:val="bullet"/>
            </w:pPr>
            <w:r>
              <w:t xml:space="preserve">Preterm birth: </w:t>
            </w:r>
            <w:r w:rsidR="00BE043C" w:rsidRPr="00BE043C">
              <w:t>RR 0.98</w:t>
            </w:r>
            <w:r>
              <w:t xml:space="preserve"> (0.94 to 1.01);</w:t>
            </w:r>
            <w:r w:rsidR="00BE043C" w:rsidRPr="00BE043C">
              <w:t xml:space="preserve"> </w:t>
            </w:r>
            <w:r>
              <w:t>5</w:t>
            </w:r>
            <w:r w:rsidR="00BE043C" w:rsidRPr="00BE043C">
              <w:t xml:space="preserve"> studies, </w:t>
            </w:r>
            <w:r>
              <w:t xml:space="preserve">n=48,007; </w:t>
            </w:r>
            <w:r w:rsidR="00BE043C" w:rsidRPr="00BE043C">
              <w:t xml:space="preserve">high </w:t>
            </w:r>
            <w:r w:rsidR="00FB2A6C">
              <w:t>certainty</w:t>
            </w:r>
          </w:p>
          <w:p w14:paraId="0B3A3039" w14:textId="72A1C557" w:rsidR="00652F48" w:rsidRDefault="00652F48" w:rsidP="00652F48">
            <w:pPr>
              <w:pStyle w:val="bullet"/>
            </w:pPr>
            <w:r>
              <w:t xml:space="preserve">Maternal clinical infection: </w:t>
            </w:r>
            <w:r w:rsidR="00BE043C" w:rsidRPr="00BE043C">
              <w:t>RR 0.45</w:t>
            </w:r>
            <w:r>
              <w:t xml:space="preserve"> (0.20 to 0.99);</w:t>
            </w:r>
            <w:r w:rsidR="00BE043C" w:rsidRPr="00BE043C">
              <w:t xml:space="preserve"> </w:t>
            </w:r>
            <w:r>
              <w:t>5</w:t>
            </w:r>
            <w:r w:rsidR="00BE043C" w:rsidRPr="00BE043C">
              <w:t xml:space="preserve"> trials; </w:t>
            </w:r>
            <w:r>
              <w:t xml:space="preserve">n=17,313; low </w:t>
            </w:r>
            <w:r w:rsidR="00FB2A6C">
              <w:t>certainty</w:t>
            </w:r>
            <w:r w:rsidR="00BE043C" w:rsidRPr="00BE043C">
              <w:t xml:space="preserve"> </w:t>
            </w:r>
          </w:p>
          <w:p w14:paraId="24B2C019" w14:textId="377236BA" w:rsidR="00BE043C" w:rsidRDefault="00652F48" w:rsidP="00652F48">
            <w:pPr>
              <w:pStyle w:val="bullet"/>
            </w:pPr>
            <w:r>
              <w:t>M</w:t>
            </w:r>
            <w:r w:rsidR="00BE043C" w:rsidRPr="00BE043C">
              <w:t>aternal anaemia (RR 0.64</w:t>
            </w:r>
            <w:r>
              <w:t xml:space="preserve"> (</w:t>
            </w:r>
            <w:r w:rsidR="00BE043C" w:rsidRPr="00BE043C">
              <w:t>0.43 to 0.94</w:t>
            </w:r>
            <w:r>
              <w:t>)</w:t>
            </w:r>
            <w:r w:rsidR="00BE043C" w:rsidRPr="00BE043C">
              <w:t xml:space="preserve">; </w:t>
            </w:r>
            <w:r>
              <w:t>3 </w:t>
            </w:r>
            <w:r w:rsidR="00BE043C" w:rsidRPr="00BE043C">
              <w:t xml:space="preserve">studies, </w:t>
            </w:r>
            <w:r>
              <w:t xml:space="preserve">n=15,649; </w:t>
            </w:r>
            <w:r w:rsidR="00BE043C" w:rsidRPr="00BE043C">
              <w:t xml:space="preserve">moderate </w:t>
            </w:r>
            <w:r w:rsidR="00FB2A6C">
              <w:t>certainty</w:t>
            </w:r>
            <w:r w:rsidR="00BE043C" w:rsidRPr="00BE043C">
              <w:t xml:space="preserve"> </w:t>
            </w:r>
          </w:p>
        </w:tc>
        <w:tc>
          <w:tcPr>
            <w:tcW w:w="1843" w:type="dxa"/>
            <w:tcBorders>
              <w:top w:val="single" w:sz="4" w:space="0" w:color="auto"/>
              <w:left w:val="single" w:sz="4" w:space="0" w:color="auto"/>
              <w:bottom w:val="single" w:sz="4" w:space="0" w:color="auto"/>
              <w:right w:val="single" w:sz="4" w:space="0" w:color="auto"/>
            </w:tcBorders>
          </w:tcPr>
          <w:p w14:paraId="788033C1" w14:textId="77777777" w:rsidR="00BE043C" w:rsidRPr="00D150D8" w:rsidRDefault="00BE043C" w:rsidP="007F3D92">
            <w:pPr>
              <w:keepNext/>
            </w:pPr>
          </w:p>
        </w:tc>
      </w:tr>
    </w:tbl>
    <w:p w14:paraId="6A49E20E" w14:textId="18A82EAF" w:rsidR="00D61661" w:rsidRDefault="009C163D" w:rsidP="005719CE">
      <w:pPr>
        <w:pStyle w:val="TableName"/>
        <w:ind w:left="1134" w:hanging="1134"/>
      </w:pPr>
      <w:bookmarkStart w:id="87" w:name="_Toc40956622"/>
      <w:r>
        <w:t xml:space="preserve">Q3 </w:t>
      </w:r>
      <w:r w:rsidR="00D61661">
        <w:t xml:space="preserve">Harms and benefits of vitamin </w:t>
      </w:r>
      <w:r w:rsidR="005241DC">
        <w:t>A</w:t>
      </w:r>
      <w:r w:rsidR="00D61661">
        <w:t xml:space="preserve"> supplementation in pregnancy — RCTs</w:t>
      </w:r>
      <w:bookmarkEnd w:id="8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4: Q3 Harms and benefits of vitamin A supplementation in pregnancy — RCTs"/>
      </w:tblPr>
      <w:tblGrid>
        <w:gridCol w:w="1304"/>
        <w:gridCol w:w="1247"/>
        <w:gridCol w:w="4962"/>
        <w:gridCol w:w="4536"/>
        <w:gridCol w:w="1843"/>
      </w:tblGrid>
      <w:tr w:rsidR="00D61661" w:rsidRPr="00F350A6" w14:paraId="3B0B9B05" w14:textId="77777777" w:rsidTr="003F0702">
        <w:trPr>
          <w:cantSplit/>
          <w:trHeight w:val="390"/>
          <w:tblHeader/>
        </w:trPr>
        <w:tc>
          <w:tcPr>
            <w:tcW w:w="1304" w:type="dxa"/>
          </w:tcPr>
          <w:p w14:paraId="2F7217B7" w14:textId="77777777" w:rsidR="00D61661" w:rsidRPr="00F350A6" w:rsidRDefault="00D61661" w:rsidP="003F0702">
            <w:pPr>
              <w:keepNext/>
              <w:rPr>
                <w:b/>
              </w:rPr>
            </w:pPr>
            <w:r>
              <w:rPr>
                <w:b/>
              </w:rPr>
              <w:t>Study ref</w:t>
            </w:r>
          </w:p>
        </w:tc>
        <w:tc>
          <w:tcPr>
            <w:tcW w:w="1247" w:type="dxa"/>
          </w:tcPr>
          <w:p w14:paraId="47049F25" w14:textId="77777777" w:rsidR="00D61661" w:rsidRPr="00F350A6" w:rsidRDefault="00D61661" w:rsidP="003F0702">
            <w:pPr>
              <w:keepNext/>
              <w:rPr>
                <w:b/>
              </w:rPr>
            </w:pPr>
            <w:r>
              <w:rPr>
                <w:b/>
              </w:rPr>
              <w:t>N</w:t>
            </w:r>
          </w:p>
        </w:tc>
        <w:tc>
          <w:tcPr>
            <w:tcW w:w="4962" w:type="dxa"/>
          </w:tcPr>
          <w:p w14:paraId="175A3C37" w14:textId="77777777" w:rsidR="00D61661" w:rsidRPr="00F350A6" w:rsidRDefault="00D61661" w:rsidP="003F0702">
            <w:pPr>
              <w:keepNext/>
              <w:rPr>
                <w:b/>
              </w:rPr>
            </w:pPr>
            <w:r>
              <w:rPr>
                <w:b/>
              </w:rPr>
              <w:t>Aim/population/intervention</w:t>
            </w:r>
          </w:p>
        </w:tc>
        <w:tc>
          <w:tcPr>
            <w:tcW w:w="4536" w:type="dxa"/>
          </w:tcPr>
          <w:p w14:paraId="7BC4C16D" w14:textId="77777777" w:rsidR="00D61661" w:rsidRPr="00F350A6" w:rsidRDefault="00D61661" w:rsidP="003F0702">
            <w:pPr>
              <w:keepNext/>
              <w:rPr>
                <w:b/>
              </w:rPr>
            </w:pPr>
            <w:r>
              <w:rPr>
                <w:b/>
              </w:rPr>
              <w:t>Results</w:t>
            </w:r>
          </w:p>
        </w:tc>
        <w:tc>
          <w:tcPr>
            <w:tcW w:w="1843" w:type="dxa"/>
          </w:tcPr>
          <w:p w14:paraId="463D5C52" w14:textId="77777777" w:rsidR="00D61661" w:rsidRPr="00F350A6" w:rsidRDefault="00D61661" w:rsidP="003F0702">
            <w:pPr>
              <w:keepNext/>
              <w:rPr>
                <w:b/>
              </w:rPr>
            </w:pPr>
            <w:r>
              <w:rPr>
                <w:b/>
              </w:rPr>
              <w:t>Comments</w:t>
            </w:r>
          </w:p>
        </w:tc>
      </w:tr>
      <w:tr w:rsidR="005241DC" w:rsidRPr="005241DC" w14:paraId="2E23D978" w14:textId="77777777" w:rsidTr="003F0702">
        <w:trPr>
          <w:cantSplit/>
          <w:trHeight w:val="390"/>
          <w:tblHeader/>
        </w:trPr>
        <w:tc>
          <w:tcPr>
            <w:tcW w:w="1304" w:type="dxa"/>
          </w:tcPr>
          <w:p w14:paraId="021C393E" w14:textId="7EA51E9B" w:rsidR="005241DC" w:rsidRDefault="005241DC" w:rsidP="003F0702">
            <w:pPr>
              <w:keepNext/>
            </w:pPr>
            <w:r>
              <w:t>Ali et al 2017</w:t>
            </w:r>
            <w:r w:rsidR="00E51743">
              <w:fldChar w:fldCharType="begin">
                <w:fldData xml:space="preserve">PEVuZE5vdGU+PENpdGU+PEF1dGhvcj5BbGk8L0F1dGhvcj48WWVhcj4yMDE3PC9ZZWFyPjxSZWNO
dW0+MTMwNjwvUmVjTnVtPjxEaXNwbGF5VGV4dD48c3R5bGUgZmFjZT0ic3VwZXJzY3JpcHQiIGZv
bnQ9IlRyZWJ1Y2hldCBNUyIgc2l6ZT0iOSI+MTU2PC9zdHlsZT48L0Rpc3BsYXlUZXh0PjxyZWNv
cmQ+PHJlYy1udW1iZXI+MTMwNjwvcmVjLW51bWJlcj48Zm9yZWlnbi1rZXlzPjxrZXkgYXBwPSJF
TiIgZGItaWQ9ImV4dmFzcmZ4MmR0cmFvZXNhc3hwMnN6c3hhMmRmNTAyNTkyeCIgdGltZXN0YW1w
PSIxNTY1MzE4OTU3Ij4xMzA2PC9rZXk+PC9mb3JlaWduLWtleXM+PHJlZi10eXBlIG5hbWU9Ikpv
dXJuYWwgQXJ0aWNsZSI+MTc8L3JlZi10eXBlPjxjb250cmlidXRvcnM+PGF1dGhvcnM+PGF1dGhv
cj5BbGksIEguPC9hdXRob3I+PGF1dGhvcj5IYW1hZGFuaSwgSi48L2F1dGhvcj48YXV0aG9yPk1l
aHJhLCBTLjwvYXV0aG9yPjxhdXRob3I+VG9mYWlsLCBGLjwvYXV0aG9yPjxhdXRob3I+SGFzYW4s
IE0uIEkuPC9hdXRob3I+PGF1dGhvcj5TaGFpa2gsIFMuPC9hdXRob3I+PGF1dGhvcj5TaGFtaW0s
IEEuIEEuPC9hdXRob3I+PGF1dGhvcj5XdSwgTC4gUy48L2F1dGhvcj48YXV0aG9yPldlc3QsIEsu
IFAuLCBKci48L2F1dGhvcj48YXV0aG9yPkNocmlzdGlhbiwgUC48L2F1dGhvcj48L2F1dGhvcnM+
PC9jb250cmlidXRvcnM+PGF1dGgtYWRkcmVzcz5UaGUgSmlWaXRBIFByb2plY3QsIEpvaG5zIEhv
cGtpbnMgVW5pdmVyc2l0eSBCYW5nbGFkZXNoLCBQYXNjaGltIFBhcmEsIEdhaWJhbmRoYSwgQmFu
Z2xhZGVzaDsgaGFzbW90Lmppdml0YUBnbWFpbC5jb20uJiN4RDtDZW50ZXIgZm9yIEh1bWFuIE51
dHJpdGlvbiwgSm9obnMgSG9wa2lucyBCbG9vbWJlcmcgU2Nob29sIG9mIFB1YmxpYyBIZWFsdGgs
IEJhbHRpbW9yZSwgTUQuJiN4RDtDaGlsZCBEZXZlbG9wbWVudCBVbml0LCBJbnRlcm5hdGlvbmFs
IENlbnRlciBmb3IgRGlhcnJoZWFsIERpc2Vhc2UgUmVzZWFyY2gsIEJhbmdsYWRlc2gsIERoYWth
LCBCYW5nbGFkZXNoLiYjeEQ7VGhlIEppVml0QSBQcm9qZWN0LCBKb2hucyBIb3BraW5zIFVuaXZl
cnNpdHkgQmFuZ2xhZGVzaCwgUGFzY2hpbSBQYXJhLCBHYWliYW5kaGEsIEJhbmdsYWRlc2guJiN4
RDtGSEkgMzYwLCBEaGFrYSwgQmFuZ2xhZGVzaDsgYW5kLiYjeEQ7QmlsbCAmYW1wOyBNZWxpbmRh
IEdhdGVzIEZvdW5kYXRpb24sIFNlYXR0bGUsIFdBLjwvYXV0aC1hZGRyZXNzPjx0aXRsZXM+PHRp
dGxlPkVmZmVjdCBvZiBtYXRlcm5hbCBhbnRlbmF0YWwgYW5kIG5ld2Jvcm4gc3VwcGxlbWVudGF0
aW9uIHdpdGggdml0YW1pbiBBIG9uIGNvZ25pdGl2ZSBkZXZlbG9wbWVudCBvZiBzY2hvb2wtYWdl
ZCBjaGlsZHJlbiBpbiBydXJhbCBCYW5nbGFkZXNoOiBhIGZvbGxvdy11cCBvZiBhIHBsYWNlYm8t
Y29udHJvbGxlZCwgcmFuZG9taXplZCB0cmlhbDwvdGl0bGU+PHNlY29uZGFyeS10aXRsZT5BbSBK
IENsaW4gTnV0cjwvc2Vjb25kYXJ5LXRpdGxlPjwvdGl0bGVzPjxwZXJpb2RpY2FsPjxmdWxsLXRp
dGxlPkFtIEogQ2xpbiBOdXRyPC9mdWxsLXRpdGxlPjwvcGVyaW9kaWNhbD48cGFnZXM+NzctODc8
L3BhZ2VzPjx2b2x1bWU+MTA2PC92b2x1bWU+PG51bWJlcj4xPC9udW1iZXI+PGVkaXRpb24+MjAx
Ny8wNS8xMjwvZWRpdGlvbj48a2V5d29yZHM+PGtleXdvcmQ+QWRvbGVzY2VudDwva2V5d29yZD48
a2V5d29yZD5BZHVsdDwva2V5d29yZD48a2V5d29yZD5CYW5nbGFkZXNoPC9rZXl3b3JkPjxrZXl3
b3JkPkNoaWxkPC9rZXl3b3JkPjxrZXl3b3JkPkNoaWxkIERldmVsb3BtZW50LypkcnVnIGVmZmVj
dHM8L2tleXdvcmQ+PGtleXdvcmQ+KkNvZ25pdGlvbjwva2V5d29yZD48a2V5d29yZD4qRGlldGFy
eSBTdXBwbGVtZW50czwva2V5d29yZD48a2V5d29yZD5Eb3VibGUtQmxpbmQgTWV0aG9kPC9rZXl3
b3JkPjxrZXl3b3JkPipFeGVjdXRpdmUgRnVuY3Rpb248L2tleXdvcmQ+PGtleXdvcmQ+RmVtYWxl
PC9rZXl3b3JkPjxrZXl3b3JkPkZvbGxvdy1VcCBTdHVkaWVzPC9rZXl3b3JkPjxrZXl3b3JkPkh1
bWFuczwva2V5d29yZD48a2V5d29yZD5JbmZhbnQsIE5ld2Jvcm48L2tleXdvcmQ+PGtleXdvcmQ+
SW50ZWxsaWdlbmNlPC9rZXl3b3JkPjxrZXl3b3JkPipMZWFybmluZzwva2V5d29yZD48a2V5d29y
ZD5NYWxlPC9rZXl3b3JkPjxrZXl3b3JkPlBlcmluYXRhbCBDYXJlPC9rZXl3b3JkPjxrZXl3b3Jk
PlByZWduYW5jeTwva2V5d29yZD48a2V5d29yZD4qUHJlbmF0YWwgTnV0cml0aW9uYWwgUGh5c2lv
bG9naWNhbCBQaGVub21lbmE8L2tleXdvcmQ+PGtleXdvcmQ+UnVyYWwgUG9wdWxhdGlvbjwva2V5
d29yZD48a2V5d29yZD5WaXRhbWluIEEvKnBoYXJtYWNvbG9neTwva2V5d29yZD48a2V5d29yZD5W
aXRhbWlucy9waGFybWFjb2xvZ3k8L2tleXdvcmQ+PGtleXdvcmQ+WW91bmcgQWR1bHQ8L2tleXdv
cmQ+PGtleXdvcmQ+Y29nbml0aXZlIGZ1bmN0aW9uPC9rZXl3b3JkPjxrZXl3b3JkPm5ld2Jvcm48
L2tleXdvcmQ+PGtleXdvcmQ+cHJlbmF0YWw8L2tleXdvcmQ+PGtleXdvcmQ+c2Nob2xhc3RpYyBw
ZXJmb3JtYW5jZTwva2V5d29yZD48a2V5d29yZD52aXRhbWluIEE8L2tleXdvcmQ+PC9rZXl3b3Jk
cz48ZGF0ZXM+PHllYXI+MjAxNzwveWVhcj48cHViLWRhdGVzPjxkYXRlPkp1bDwvZGF0ZT48L3B1
Yi1kYXRlcz48L2RhdGVzPjxpc2JuPjE5MzgtMzIwNyAoRWxlY3Ryb25pYykmI3hEOzAwMDItOTE2
NSAoTGlua2luZyk8L2lzYm4+PGFjY2Vzc2lvbi1udW0+Mjg0OTA1MTM8L2FjY2Vzc2lvbi1udW0+
PHVybHM+PHJlbGF0ZWQtdXJscz48dXJsPmh0dHBzOi8vd3d3Lm5jYmkubmxtLm5paC5nb3YvcHVi
bWVkLzI4NDkwNTEzPC91cmw+PC9yZWxhdGVkLXVybHM+PC91cmxzPjxlbGVjdHJvbmljLXJlc291
cmNlLW51bT4xMC4zOTQ1L2FqY24uMTE2LjEzNDQ3ODwvZWxlY3Ryb25pYy1yZXNvdXJjZS1udW0+
PC9yZWNvcmQ+PC9DaXRlPjwvRW5kTm90ZT5=
</w:fldData>
              </w:fldChar>
            </w:r>
            <w:r w:rsidR="002747EA">
              <w:instrText xml:space="preserve"> ADDIN EN.CITE </w:instrText>
            </w:r>
            <w:r w:rsidR="002747EA">
              <w:fldChar w:fldCharType="begin">
                <w:fldData xml:space="preserve">PEVuZE5vdGU+PENpdGU+PEF1dGhvcj5BbGk8L0F1dGhvcj48WWVhcj4yMDE3PC9ZZWFyPjxSZWNO
dW0+MTMwNjwvUmVjTnVtPjxEaXNwbGF5VGV4dD48c3R5bGUgZmFjZT0ic3VwZXJzY3JpcHQiIGZv
bnQ9IlRyZWJ1Y2hldCBNUyIgc2l6ZT0iOSI+MTU2PC9zdHlsZT48L0Rpc3BsYXlUZXh0PjxyZWNv
cmQ+PHJlYy1udW1iZXI+MTMwNjwvcmVjLW51bWJlcj48Zm9yZWlnbi1rZXlzPjxrZXkgYXBwPSJF
TiIgZGItaWQ9ImV4dmFzcmZ4MmR0cmFvZXNhc3hwMnN6c3hhMmRmNTAyNTkyeCIgdGltZXN0YW1w
PSIxNTY1MzE4OTU3Ij4xMzA2PC9rZXk+PC9mb3JlaWduLWtleXM+PHJlZi10eXBlIG5hbWU9Ikpv
dXJuYWwgQXJ0aWNsZSI+MTc8L3JlZi10eXBlPjxjb250cmlidXRvcnM+PGF1dGhvcnM+PGF1dGhv
cj5BbGksIEguPC9hdXRob3I+PGF1dGhvcj5IYW1hZGFuaSwgSi48L2F1dGhvcj48YXV0aG9yPk1l
aHJhLCBTLjwvYXV0aG9yPjxhdXRob3I+VG9mYWlsLCBGLjwvYXV0aG9yPjxhdXRob3I+SGFzYW4s
IE0uIEkuPC9hdXRob3I+PGF1dGhvcj5TaGFpa2gsIFMuPC9hdXRob3I+PGF1dGhvcj5TaGFtaW0s
IEEuIEEuPC9hdXRob3I+PGF1dGhvcj5XdSwgTC4gUy48L2F1dGhvcj48YXV0aG9yPldlc3QsIEsu
IFAuLCBKci48L2F1dGhvcj48YXV0aG9yPkNocmlzdGlhbiwgUC48L2F1dGhvcj48L2F1dGhvcnM+
PC9jb250cmlidXRvcnM+PGF1dGgtYWRkcmVzcz5UaGUgSmlWaXRBIFByb2plY3QsIEpvaG5zIEhv
cGtpbnMgVW5pdmVyc2l0eSBCYW5nbGFkZXNoLCBQYXNjaGltIFBhcmEsIEdhaWJhbmRoYSwgQmFu
Z2xhZGVzaDsgaGFzbW90Lmppdml0YUBnbWFpbC5jb20uJiN4RDtDZW50ZXIgZm9yIEh1bWFuIE51
dHJpdGlvbiwgSm9obnMgSG9wa2lucyBCbG9vbWJlcmcgU2Nob29sIG9mIFB1YmxpYyBIZWFsdGgs
IEJhbHRpbW9yZSwgTUQuJiN4RDtDaGlsZCBEZXZlbG9wbWVudCBVbml0LCBJbnRlcm5hdGlvbmFs
IENlbnRlciBmb3IgRGlhcnJoZWFsIERpc2Vhc2UgUmVzZWFyY2gsIEJhbmdsYWRlc2gsIERoYWth
LCBCYW5nbGFkZXNoLiYjeEQ7VGhlIEppVml0QSBQcm9qZWN0LCBKb2hucyBIb3BraW5zIFVuaXZl
cnNpdHkgQmFuZ2xhZGVzaCwgUGFzY2hpbSBQYXJhLCBHYWliYW5kaGEsIEJhbmdsYWRlc2guJiN4
RDtGSEkgMzYwLCBEaGFrYSwgQmFuZ2xhZGVzaDsgYW5kLiYjeEQ7QmlsbCAmYW1wOyBNZWxpbmRh
IEdhdGVzIEZvdW5kYXRpb24sIFNlYXR0bGUsIFdBLjwvYXV0aC1hZGRyZXNzPjx0aXRsZXM+PHRp
dGxlPkVmZmVjdCBvZiBtYXRlcm5hbCBhbnRlbmF0YWwgYW5kIG5ld2Jvcm4gc3VwcGxlbWVudGF0
aW9uIHdpdGggdml0YW1pbiBBIG9uIGNvZ25pdGl2ZSBkZXZlbG9wbWVudCBvZiBzY2hvb2wtYWdl
ZCBjaGlsZHJlbiBpbiBydXJhbCBCYW5nbGFkZXNoOiBhIGZvbGxvdy11cCBvZiBhIHBsYWNlYm8t
Y29udHJvbGxlZCwgcmFuZG9taXplZCB0cmlhbDwvdGl0bGU+PHNlY29uZGFyeS10aXRsZT5BbSBK
IENsaW4gTnV0cjwvc2Vjb25kYXJ5LXRpdGxlPjwvdGl0bGVzPjxwZXJpb2RpY2FsPjxmdWxsLXRp
dGxlPkFtIEogQ2xpbiBOdXRyPC9mdWxsLXRpdGxlPjwvcGVyaW9kaWNhbD48cGFnZXM+NzctODc8
L3BhZ2VzPjx2b2x1bWU+MTA2PC92b2x1bWU+PG51bWJlcj4xPC9udW1iZXI+PGVkaXRpb24+MjAx
Ny8wNS8xMjwvZWRpdGlvbj48a2V5d29yZHM+PGtleXdvcmQ+QWRvbGVzY2VudDwva2V5d29yZD48
a2V5d29yZD5BZHVsdDwva2V5d29yZD48a2V5d29yZD5CYW5nbGFkZXNoPC9rZXl3b3JkPjxrZXl3
b3JkPkNoaWxkPC9rZXl3b3JkPjxrZXl3b3JkPkNoaWxkIERldmVsb3BtZW50LypkcnVnIGVmZmVj
dHM8L2tleXdvcmQ+PGtleXdvcmQ+KkNvZ25pdGlvbjwva2V5d29yZD48a2V5d29yZD4qRGlldGFy
eSBTdXBwbGVtZW50czwva2V5d29yZD48a2V5d29yZD5Eb3VibGUtQmxpbmQgTWV0aG9kPC9rZXl3
b3JkPjxrZXl3b3JkPipFeGVjdXRpdmUgRnVuY3Rpb248L2tleXdvcmQ+PGtleXdvcmQ+RmVtYWxl
PC9rZXl3b3JkPjxrZXl3b3JkPkZvbGxvdy1VcCBTdHVkaWVzPC9rZXl3b3JkPjxrZXl3b3JkPkh1
bWFuczwva2V5d29yZD48a2V5d29yZD5JbmZhbnQsIE5ld2Jvcm48L2tleXdvcmQ+PGtleXdvcmQ+
SW50ZWxsaWdlbmNlPC9rZXl3b3JkPjxrZXl3b3JkPipMZWFybmluZzwva2V5d29yZD48a2V5d29y
ZD5NYWxlPC9rZXl3b3JkPjxrZXl3b3JkPlBlcmluYXRhbCBDYXJlPC9rZXl3b3JkPjxrZXl3b3Jk
PlByZWduYW5jeTwva2V5d29yZD48a2V5d29yZD4qUHJlbmF0YWwgTnV0cml0aW9uYWwgUGh5c2lv
bG9naWNhbCBQaGVub21lbmE8L2tleXdvcmQ+PGtleXdvcmQ+UnVyYWwgUG9wdWxhdGlvbjwva2V5
d29yZD48a2V5d29yZD5WaXRhbWluIEEvKnBoYXJtYWNvbG9neTwva2V5d29yZD48a2V5d29yZD5W
aXRhbWlucy9waGFybWFjb2xvZ3k8L2tleXdvcmQ+PGtleXdvcmQ+WW91bmcgQWR1bHQ8L2tleXdv
cmQ+PGtleXdvcmQ+Y29nbml0aXZlIGZ1bmN0aW9uPC9rZXl3b3JkPjxrZXl3b3JkPm5ld2Jvcm48
L2tleXdvcmQ+PGtleXdvcmQ+cHJlbmF0YWw8L2tleXdvcmQ+PGtleXdvcmQ+c2Nob2xhc3RpYyBw
ZXJmb3JtYW5jZTwva2V5d29yZD48a2V5d29yZD52aXRhbWluIEE8L2tleXdvcmQ+PC9rZXl3b3Jk
cz48ZGF0ZXM+PHllYXI+MjAxNzwveWVhcj48cHViLWRhdGVzPjxkYXRlPkp1bDwvZGF0ZT48L3B1
Yi1kYXRlcz48L2RhdGVzPjxpc2JuPjE5MzgtMzIwNyAoRWxlY3Ryb25pYykmI3hEOzAwMDItOTE2
NSAoTGlua2luZyk8L2lzYm4+PGFjY2Vzc2lvbi1udW0+Mjg0OTA1MTM8L2FjY2Vzc2lvbi1udW0+
PHVybHM+PHJlbGF0ZWQtdXJscz48dXJsPmh0dHBzOi8vd3d3Lm5jYmkubmxtLm5paC5nb3YvcHVi
bWVkLzI4NDkwNTEzPC91cmw+PC9yZWxhdGVkLXVybHM+PC91cmxzPjxlbGVjdHJvbmljLXJlc291
cmNlLW51bT4xMC4zOTQ1L2FqY24uMTE2LjEzNDQ3ODwvZWxlY3Ryb25pYy1yZXNvdXJjZS1udW0+
PC9yZWNvcmQ+PC9DaXRlPjwvRW5kTm90ZT5=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156</w:t>
            </w:r>
            <w:r w:rsidR="00E51743">
              <w:fldChar w:fldCharType="end"/>
            </w:r>
          </w:p>
          <w:p w14:paraId="68CA8607" w14:textId="0FCCA511" w:rsidR="00A65929" w:rsidRPr="005241DC" w:rsidRDefault="00A65929" w:rsidP="003F0702">
            <w:pPr>
              <w:keepNext/>
            </w:pPr>
            <w:r>
              <w:t>Bangladesh</w:t>
            </w:r>
          </w:p>
        </w:tc>
        <w:tc>
          <w:tcPr>
            <w:tcW w:w="1247" w:type="dxa"/>
          </w:tcPr>
          <w:p w14:paraId="3C84A564" w14:textId="540C49A3" w:rsidR="005241DC" w:rsidRPr="005241DC" w:rsidRDefault="00063055" w:rsidP="003F0702">
            <w:pPr>
              <w:keepNext/>
            </w:pPr>
            <w:r>
              <w:t>1,577 children</w:t>
            </w:r>
          </w:p>
        </w:tc>
        <w:tc>
          <w:tcPr>
            <w:tcW w:w="4962" w:type="dxa"/>
          </w:tcPr>
          <w:p w14:paraId="309CFD45" w14:textId="77777777" w:rsidR="00A65929" w:rsidRDefault="00A65929" w:rsidP="00A65929">
            <w:r>
              <w:t>Aim: T</w:t>
            </w:r>
            <w:r w:rsidRPr="00A65929">
              <w:t>o examine independent and combined effects of antenatal and newborn supplementation with vitamin A on the cognitive function of children at 8 y of age.</w:t>
            </w:r>
          </w:p>
          <w:p w14:paraId="0D0F2CCD" w14:textId="435FFA26" w:rsidR="00A65929" w:rsidRDefault="00A65929" w:rsidP="00A65929">
            <w:r w:rsidRPr="00063055">
              <w:rPr>
                <w:b/>
              </w:rPr>
              <w:t>Population</w:t>
            </w:r>
            <w:r>
              <w:t xml:space="preserve">: </w:t>
            </w:r>
            <w:r w:rsidR="00063055">
              <w:t>Pregnant women; follow-up of children at 8 years.</w:t>
            </w:r>
            <w:r w:rsidRPr="00A65929">
              <w:t xml:space="preserve"> </w:t>
            </w:r>
          </w:p>
          <w:p w14:paraId="47C9C7EB" w14:textId="3F4E12BF" w:rsidR="005241DC" w:rsidRPr="00063055" w:rsidRDefault="00A65929" w:rsidP="00063055">
            <w:pPr>
              <w:rPr>
                <w:sz w:val="14"/>
                <w:szCs w:val="14"/>
              </w:rPr>
            </w:pPr>
            <w:r w:rsidRPr="00063055">
              <w:rPr>
                <w:b/>
              </w:rPr>
              <w:t>Intervention</w:t>
            </w:r>
            <w:r>
              <w:t xml:space="preserve">: </w:t>
            </w:r>
            <w:r w:rsidR="00063055" w:rsidRPr="00063055">
              <w:t>weekly oral doses of vitamin A (23,300 IU or 7000 mg retinol equivalents)</w:t>
            </w:r>
          </w:p>
        </w:tc>
        <w:tc>
          <w:tcPr>
            <w:tcW w:w="4536" w:type="dxa"/>
          </w:tcPr>
          <w:p w14:paraId="1FA588E1" w14:textId="77777777" w:rsidR="005241DC" w:rsidRDefault="005241DC" w:rsidP="003F0702">
            <w:pPr>
              <w:keepNext/>
            </w:pPr>
            <w:r>
              <w:t>Antenatal vitamin A supplementation vs placebo:</w:t>
            </w:r>
          </w:p>
          <w:p w14:paraId="69108A29" w14:textId="5B1D30C8" w:rsidR="005241DC" w:rsidRDefault="005241DC" w:rsidP="005241DC">
            <w:pPr>
              <w:pStyle w:val="bullet"/>
            </w:pPr>
            <w:r>
              <w:t>Proportion failed number stroop</w:t>
            </w:r>
            <w:r w:rsidR="005056D2">
              <w:t xml:space="preserve"> test</w:t>
            </w:r>
            <w:r>
              <w:t>: 1.37 (0.99 to 1.89)</w:t>
            </w:r>
          </w:p>
          <w:p w14:paraId="7295196C" w14:textId="77777777" w:rsidR="005241DC" w:rsidRDefault="005241DC" w:rsidP="005241DC">
            <w:pPr>
              <w:pStyle w:val="bullet"/>
            </w:pPr>
            <w:r>
              <w:t>Scholastic achievement standard score difference:</w:t>
            </w:r>
          </w:p>
          <w:p w14:paraId="1BA35EA3" w14:textId="77777777" w:rsidR="005241DC" w:rsidRDefault="005241DC" w:rsidP="005241DC">
            <w:pPr>
              <w:pStyle w:val="Sub-bullet"/>
            </w:pPr>
            <w:r>
              <w:t>Reading: -1.2 (-5.0 to 2.7)</w:t>
            </w:r>
          </w:p>
          <w:p w14:paraId="7B87CACF" w14:textId="34938D60" w:rsidR="005241DC" w:rsidRDefault="005241DC" w:rsidP="005241DC">
            <w:pPr>
              <w:pStyle w:val="Sub-bullet"/>
            </w:pPr>
            <w:r>
              <w:t>Spelling: -1.1 (-4.2 to 2.0)</w:t>
            </w:r>
          </w:p>
          <w:p w14:paraId="23074D00" w14:textId="748BDC69" w:rsidR="005241DC" w:rsidRPr="005241DC" w:rsidRDefault="005241DC" w:rsidP="005241DC">
            <w:pPr>
              <w:pStyle w:val="Sub-bullet"/>
            </w:pPr>
            <w:r>
              <w:t>Maths: -0.4 (-.28 to 2.1)</w:t>
            </w:r>
          </w:p>
        </w:tc>
        <w:tc>
          <w:tcPr>
            <w:tcW w:w="1843" w:type="dxa"/>
          </w:tcPr>
          <w:p w14:paraId="6A21CF8A" w14:textId="77777777" w:rsidR="005241DC" w:rsidRPr="005241DC" w:rsidRDefault="005241DC" w:rsidP="003F0702">
            <w:pPr>
              <w:keepNext/>
            </w:pPr>
          </w:p>
        </w:tc>
      </w:tr>
    </w:tbl>
    <w:p w14:paraId="67EF40ED" w14:textId="4F8D28D5" w:rsidR="001D527F" w:rsidRDefault="009C163D" w:rsidP="005719CE">
      <w:pPr>
        <w:pStyle w:val="TableName"/>
        <w:ind w:left="1134" w:hanging="1134"/>
      </w:pPr>
      <w:bookmarkStart w:id="88" w:name="_Toc40956623"/>
      <w:r>
        <w:t xml:space="preserve">Q3 </w:t>
      </w:r>
      <w:r w:rsidR="001D527F">
        <w:t xml:space="preserve">Harms and benefits of </w:t>
      </w:r>
      <w:r>
        <w:t xml:space="preserve">multiple micronutrient </w:t>
      </w:r>
      <w:r w:rsidR="001D527F">
        <w:t>supplementation in pregnancy — systematic reviews</w:t>
      </w:r>
      <w:bookmarkEnd w:id="8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5: Q3 Harms and benefits of multiple micronutrient supplementation in pregnancy — systematic reviews"/>
      </w:tblPr>
      <w:tblGrid>
        <w:gridCol w:w="1304"/>
        <w:gridCol w:w="1247"/>
        <w:gridCol w:w="4962"/>
        <w:gridCol w:w="4536"/>
        <w:gridCol w:w="1843"/>
      </w:tblGrid>
      <w:tr w:rsidR="001D527F" w:rsidRPr="00F350A6" w14:paraId="0422EDE9" w14:textId="77777777" w:rsidTr="00D97E8C">
        <w:trPr>
          <w:cantSplit/>
          <w:trHeight w:val="390"/>
          <w:tblHeader/>
        </w:trPr>
        <w:tc>
          <w:tcPr>
            <w:tcW w:w="1304" w:type="dxa"/>
            <w:tcBorders>
              <w:bottom w:val="single" w:sz="4" w:space="0" w:color="auto"/>
            </w:tcBorders>
          </w:tcPr>
          <w:p w14:paraId="609AC3EC" w14:textId="77777777" w:rsidR="001D527F" w:rsidRPr="00F350A6" w:rsidRDefault="001D527F" w:rsidP="007F3D92">
            <w:pPr>
              <w:keepNext/>
              <w:rPr>
                <w:b/>
              </w:rPr>
            </w:pPr>
            <w:r>
              <w:rPr>
                <w:b/>
              </w:rPr>
              <w:t>Study ref</w:t>
            </w:r>
          </w:p>
        </w:tc>
        <w:tc>
          <w:tcPr>
            <w:tcW w:w="1247" w:type="dxa"/>
            <w:tcBorders>
              <w:bottom w:val="single" w:sz="4" w:space="0" w:color="auto"/>
            </w:tcBorders>
          </w:tcPr>
          <w:p w14:paraId="2C5B304B" w14:textId="77777777" w:rsidR="001D527F" w:rsidRPr="00F350A6" w:rsidRDefault="001D527F" w:rsidP="007F3D92">
            <w:pPr>
              <w:keepNext/>
              <w:rPr>
                <w:b/>
              </w:rPr>
            </w:pPr>
            <w:r>
              <w:rPr>
                <w:b/>
              </w:rPr>
              <w:t>N</w:t>
            </w:r>
          </w:p>
        </w:tc>
        <w:tc>
          <w:tcPr>
            <w:tcW w:w="4962" w:type="dxa"/>
            <w:tcBorders>
              <w:bottom w:val="single" w:sz="4" w:space="0" w:color="auto"/>
            </w:tcBorders>
          </w:tcPr>
          <w:p w14:paraId="415874E1" w14:textId="77777777" w:rsidR="001D527F" w:rsidRPr="00F350A6" w:rsidRDefault="001D527F" w:rsidP="007F3D92">
            <w:pPr>
              <w:keepNext/>
              <w:rPr>
                <w:b/>
              </w:rPr>
            </w:pPr>
            <w:r>
              <w:rPr>
                <w:b/>
              </w:rPr>
              <w:t>Aim/methods</w:t>
            </w:r>
          </w:p>
        </w:tc>
        <w:tc>
          <w:tcPr>
            <w:tcW w:w="4536" w:type="dxa"/>
            <w:tcBorders>
              <w:bottom w:val="single" w:sz="4" w:space="0" w:color="auto"/>
            </w:tcBorders>
          </w:tcPr>
          <w:p w14:paraId="7988A816" w14:textId="77777777" w:rsidR="001D527F" w:rsidRPr="00F350A6" w:rsidRDefault="001D527F" w:rsidP="007F3D92">
            <w:pPr>
              <w:keepNext/>
              <w:rPr>
                <w:b/>
              </w:rPr>
            </w:pPr>
            <w:r>
              <w:rPr>
                <w:b/>
              </w:rPr>
              <w:t>Results</w:t>
            </w:r>
          </w:p>
        </w:tc>
        <w:tc>
          <w:tcPr>
            <w:tcW w:w="1843" w:type="dxa"/>
            <w:tcBorders>
              <w:bottom w:val="single" w:sz="4" w:space="0" w:color="auto"/>
            </w:tcBorders>
          </w:tcPr>
          <w:p w14:paraId="0AA557B8" w14:textId="77777777" w:rsidR="001D527F" w:rsidRPr="00F350A6" w:rsidRDefault="001D527F" w:rsidP="007F3D92">
            <w:pPr>
              <w:keepNext/>
              <w:rPr>
                <w:b/>
              </w:rPr>
            </w:pPr>
            <w:r>
              <w:rPr>
                <w:b/>
              </w:rPr>
              <w:t>Comments</w:t>
            </w:r>
          </w:p>
        </w:tc>
      </w:tr>
      <w:tr w:rsidR="00526FB5" w:rsidRPr="00D150D8" w14:paraId="1CBAB5EF" w14:textId="77777777" w:rsidTr="00D97E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48C8E6B4" w14:textId="24ED70CD" w:rsidR="00526FB5" w:rsidRDefault="00526FB5" w:rsidP="002747EA">
            <w:r>
              <w:t>Keats et al 2019</w:t>
            </w:r>
            <w:r w:rsidR="00BA7CBD">
              <w:fldChar w:fldCharType="begin">
                <w:fldData xml:space="preserve">PEVuZE5vdGU+PENpdGU+PEF1dGhvcj5LZWF0czwvQXV0aG9yPjxZZWFyPjIwMTk8L1llYXI+PFJl
Y051bT4xODA1PC9SZWNOdW0+PERpc3BsYXlUZXh0PjxzdHlsZSBmYWNlPSJzdXBlcnNjcmlwdCIg
Zm9udD0iVHJlYnVjaGV0IE1TIiBzaXplPSI5Ij4xNjQ8L3N0eWxlPjwvRGlzcGxheVRleHQ+PHJl
Y29yZD48cmVjLW51bWJlcj4xODA1PC9yZWMtbnVtYmVyPjxmb3JlaWduLWtleXM+PGtleSBhcHA9
IkVOIiBkYi1pZD0iZXh2YXNyZngyZHRyYW9lc2FzeHAyc3pzeGEyZGY1MDI1OTJ4IiB0aW1lc3Rh
bXA9IjE1ODM3MjYzOTQiPjE4MDU8L2tleT48a2V5IGFwcD0iRU5XZWIiIGRiLWlkPSIiPjA8L2tl
eT48L2ZvcmVpZ24ta2V5cz48cmVmLXR5cGUgbmFtZT0iSm91cm5hbCBBcnRpY2xlIj4xNzwvcmVm
LXR5cGU+PGNvbnRyaWJ1dG9ycz48YXV0aG9ycz48YXV0aG9yPktlYXRzLCBFLiBDLjwvYXV0aG9y
PjxhdXRob3I+SGFpZGVyLCBCLiBBLjwvYXV0aG9yPjxhdXRob3I+VGFtLCBFLjwvYXV0aG9yPjxh
dXRob3I+Qmh1dHRhLCBaLiBBLjwvYXV0aG9yPjwvYXV0aG9ycz48L2NvbnRyaWJ1dG9ycz48YXV0
aC1hZGRyZXNzPkNlbnRyZSBmb3IgR2xvYmFsIENoaWxkIEhlYWx0aCwgVGhlIEhvc3BpdGFsIGZv
ciBTaWNrIENoaWxkcmVuLCBUb3JvbnRvLCBDYW5hZGEuPC9hdXRoLWFkZHJlc3M+PHRpdGxlcz48
dGl0bGU+TXVsdGlwbGUtbWljcm9udXRyaWVudCBzdXBwbGVtZW50YXRpb24gZm9yIHdvbWVuIGR1
cmluZyBwcmVnbmFuY3k8L3RpdGxlPjxzZWNvbmRhcnktdGl0bGU+Q29jaHJhbmUgRGF0YWJhc2Ug
U3lzdCBSZXY8L3NlY29uZGFyeS10aXRsZT48L3RpdGxlcz48cGVyaW9kaWNhbD48ZnVsbC10aXRs
ZT5Db2NocmFuZSBEYXRhYmFzZSBTeXN0IFJldjwvZnVsbC10aXRsZT48L3BlcmlvZGljYWw+PHBh
Z2VzPkNEMDA0OTA1PC9wYWdlcz48dm9sdW1lPjM8L3ZvbHVtZT48ZWRpdGlvbj4yMDE5LzAzLzE2
PC9lZGl0aW9uPjxrZXl3b3Jkcz48a2V5d29yZD4qRGlldGFyeSBTdXBwbGVtZW50czwva2V5d29y
ZD48a2V5d29yZD5EcnVnIEludGVyYWN0aW9uczwva2V5d29yZD48a2V5d29yZD5GZW1hbGU8L2tl
eXdvcmQ+PGtleXdvcmQ+Rm9saWMgQWNpZC8qYWRtaW5pc3RyYXRpb24gJmFtcDsgZG9zYWdlPC9r
ZXl3b3JkPjxrZXl3b3JkPkh1bWFuczwva2V5d29yZD48a2V5d29yZD5JbmZhbnQsIE5ld2Jvcm48
L2tleXdvcmQ+PGtleXdvcmQ+SW5mYW50LCBTbWFsbCBmb3IgR2VzdGF0aW9uYWwgQWdlPC9rZXl3
b3JkPjxrZXl3b3JkPklyb24sIERpZXRhcnkvKmFkbWluaXN0cmF0aW9uICZhbXA7IGRvc2FnZTwv
a2V5d29yZD48a2V5d29yZD5NaWNyb251dHJpZW50cy8qYWRtaW5pc3RyYXRpb24gJmFtcDsgZG9z
YWdlL2FkdmVyc2UgZWZmZWN0cy9kZWZpY2llbmN5PC9rZXl3b3JkPjxrZXl3b3JkPlBlcmluYXRh
bCBNb3J0YWxpdHk8L2tleXdvcmQ+PGtleXdvcmQ+UHJlZ25hbmN5PC9rZXl3b3JkPjxrZXl3b3Jk
PlByZWduYW5jeSBDb21wbGljYXRpb25zLyp0aGVyYXB5PC9rZXl3b3JkPjxrZXl3b3JkPlByZWdu
YW5jeSBPdXRjb21lPC9rZXl3b3JkPjxrZXl3b3JkPlByZW1hdHVyZSBCaXJ0aC9lcGlkZW1pb2xv
Z3k8L2tleXdvcmQ+PGtleXdvcmQ+UmFuZG9taXplZCBDb250cm9sbGVkIFRyaWFscyBhcyBUb3Bp
Yzwva2V5d29yZD48L2tleXdvcmRzPjxkYXRlcz48eWVhcj4yMDE5PC95ZWFyPjxwdWItZGF0ZXM+
PGRhdGU+TWFyIDE0PC9kYXRlPjwvcHViLWRhdGVzPjwvZGF0ZXM+PGlzYm4+MTQ2OS00OTNYIChF
bGVjdHJvbmljKSYjeEQ7MTM2MS02MTM3IChMaW5raW5nKTwvaXNibj48YWNjZXNzaW9uLW51bT4z
MDg3MzU5ODwvYWNjZXNzaW9uLW51bT48dXJscz48cmVsYXRlZC11cmxzPjx1cmw+aHR0cHM6Ly93
d3cubmNiaS5ubG0ubmloLmdvdi9wdWJtZWQvMzA4NzM1OTg8L3VybD48L3JlbGF0ZWQtdXJscz48
L3VybHM+PGN1c3RvbTI+UE1DNjQxODQ3MTwvY3VzdG9tMj48ZWxlY3Ryb25pYy1yZXNvdXJjZS1u
dW0+MTAuMTAwMi8xNDY1MTg1OC5DRDAwNDkwNS5wdWI2PC9lbGVjdHJvbmljLXJlc291cmNlLW51
bT48L3JlY29yZD48L0NpdGU+PC9FbmROb3RlPn==
</w:fldData>
              </w:fldChar>
            </w:r>
            <w:r w:rsidR="002747EA">
              <w:instrText xml:space="preserve"> ADDIN EN.CITE </w:instrText>
            </w:r>
            <w:r w:rsidR="002747EA">
              <w:fldChar w:fldCharType="begin">
                <w:fldData xml:space="preserve">PEVuZE5vdGU+PENpdGU+PEF1dGhvcj5LZWF0czwvQXV0aG9yPjxZZWFyPjIwMTk8L1llYXI+PFJl
Y051bT4xODA1PC9SZWNOdW0+PERpc3BsYXlUZXh0PjxzdHlsZSBmYWNlPSJzdXBlcnNjcmlwdCIg
Zm9udD0iVHJlYnVjaGV0IE1TIiBzaXplPSI5Ij4xNjQ8L3N0eWxlPjwvRGlzcGxheVRleHQ+PHJl
Y29yZD48cmVjLW51bWJlcj4xODA1PC9yZWMtbnVtYmVyPjxmb3JlaWduLWtleXM+PGtleSBhcHA9
IkVOIiBkYi1pZD0iZXh2YXNyZngyZHRyYW9lc2FzeHAyc3pzeGEyZGY1MDI1OTJ4IiB0aW1lc3Rh
bXA9IjE1ODM3MjYzOTQiPjE4MDU8L2tleT48a2V5IGFwcD0iRU5XZWIiIGRiLWlkPSIiPjA8L2tl
eT48L2ZvcmVpZ24ta2V5cz48cmVmLXR5cGUgbmFtZT0iSm91cm5hbCBBcnRpY2xlIj4xNzwvcmVm
LXR5cGU+PGNvbnRyaWJ1dG9ycz48YXV0aG9ycz48YXV0aG9yPktlYXRzLCBFLiBDLjwvYXV0aG9y
PjxhdXRob3I+SGFpZGVyLCBCLiBBLjwvYXV0aG9yPjxhdXRob3I+VGFtLCBFLjwvYXV0aG9yPjxh
dXRob3I+Qmh1dHRhLCBaLiBBLjwvYXV0aG9yPjwvYXV0aG9ycz48L2NvbnRyaWJ1dG9ycz48YXV0
aC1hZGRyZXNzPkNlbnRyZSBmb3IgR2xvYmFsIENoaWxkIEhlYWx0aCwgVGhlIEhvc3BpdGFsIGZv
ciBTaWNrIENoaWxkcmVuLCBUb3JvbnRvLCBDYW5hZGEuPC9hdXRoLWFkZHJlc3M+PHRpdGxlcz48
dGl0bGU+TXVsdGlwbGUtbWljcm9udXRyaWVudCBzdXBwbGVtZW50YXRpb24gZm9yIHdvbWVuIGR1
cmluZyBwcmVnbmFuY3k8L3RpdGxlPjxzZWNvbmRhcnktdGl0bGU+Q29jaHJhbmUgRGF0YWJhc2Ug
U3lzdCBSZXY8L3NlY29uZGFyeS10aXRsZT48L3RpdGxlcz48cGVyaW9kaWNhbD48ZnVsbC10aXRs
ZT5Db2NocmFuZSBEYXRhYmFzZSBTeXN0IFJldjwvZnVsbC10aXRsZT48L3BlcmlvZGljYWw+PHBh
Z2VzPkNEMDA0OTA1PC9wYWdlcz48dm9sdW1lPjM8L3ZvbHVtZT48ZWRpdGlvbj4yMDE5LzAzLzE2
PC9lZGl0aW9uPjxrZXl3b3Jkcz48a2V5d29yZD4qRGlldGFyeSBTdXBwbGVtZW50czwva2V5d29y
ZD48a2V5d29yZD5EcnVnIEludGVyYWN0aW9uczwva2V5d29yZD48a2V5d29yZD5GZW1hbGU8L2tl
eXdvcmQ+PGtleXdvcmQ+Rm9saWMgQWNpZC8qYWRtaW5pc3RyYXRpb24gJmFtcDsgZG9zYWdlPC9r
ZXl3b3JkPjxrZXl3b3JkPkh1bWFuczwva2V5d29yZD48a2V5d29yZD5JbmZhbnQsIE5ld2Jvcm48
L2tleXdvcmQ+PGtleXdvcmQ+SW5mYW50LCBTbWFsbCBmb3IgR2VzdGF0aW9uYWwgQWdlPC9rZXl3
b3JkPjxrZXl3b3JkPklyb24sIERpZXRhcnkvKmFkbWluaXN0cmF0aW9uICZhbXA7IGRvc2FnZTwv
a2V5d29yZD48a2V5d29yZD5NaWNyb251dHJpZW50cy8qYWRtaW5pc3RyYXRpb24gJmFtcDsgZG9z
YWdlL2FkdmVyc2UgZWZmZWN0cy9kZWZpY2llbmN5PC9rZXl3b3JkPjxrZXl3b3JkPlBlcmluYXRh
bCBNb3J0YWxpdHk8L2tleXdvcmQ+PGtleXdvcmQ+UHJlZ25hbmN5PC9rZXl3b3JkPjxrZXl3b3Jk
PlByZWduYW5jeSBDb21wbGljYXRpb25zLyp0aGVyYXB5PC9rZXl3b3JkPjxrZXl3b3JkPlByZWdu
YW5jeSBPdXRjb21lPC9rZXl3b3JkPjxrZXl3b3JkPlByZW1hdHVyZSBCaXJ0aC9lcGlkZW1pb2xv
Z3k8L2tleXdvcmQ+PGtleXdvcmQ+UmFuZG9taXplZCBDb250cm9sbGVkIFRyaWFscyBhcyBUb3Bp
Yzwva2V5d29yZD48L2tleXdvcmRzPjxkYXRlcz48eWVhcj4yMDE5PC95ZWFyPjxwdWItZGF0ZXM+
PGRhdGU+TWFyIDE0PC9kYXRlPjwvcHViLWRhdGVzPjwvZGF0ZXM+PGlzYm4+MTQ2OS00OTNYIChF
bGVjdHJvbmljKSYjeEQ7MTM2MS02MTM3IChMaW5raW5nKTwvaXNibj48YWNjZXNzaW9uLW51bT4z
MDg3MzU5ODwvYWNjZXNzaW9uLW51bT48dXJscz48cmVsYXRlZC11cmxzPjx1cmw+aHR0cHM6Ly93
d3cubmNiaS5ubG0ubmloLmdvdi9wdWJtZWQvMzA4NzM1OTg8L3VybD48L3JlbGF0ZWQtdXJscz48
L3VybHM+PGN1c3RvbTI+UE1DNjQxODQ3MTwvY3VzdG9tMj48ZWxlY3Ryb25pYy1yZXNvdXJjZS1u
dW0+MTAuMTAwMi8xNDY1MTg1OC5DRDAwNDkwNS5wdWI2PC9lbGVjdHJvbmljLXJlc291cmNlLW51
bT48L3JlY29yZD48L0NpdGU+PC9FbmROb3RlPn==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164</w:t>
            </w:r>
            <w:r w:rsidR="00BA7CBD">
              <w:fldChar w:fldCharType="end"/>
            </w:r>
          </w:p>
        </w:tc>
        <w:tc>
          <w:tcPr>
            <w:tcW w:w="1247" w:type="dxa"/>
            <w:tcBorders>
              <w:top w:val="single" w:sz="4" w:space="0" w:color="auto"/>
              <w:left w:val="single" w:sz="4" w:space="0" w:color="auto"/>
              <w:bottom w:val="single" w:sz="4" w:space="0" w:color="auto"/>
              <w:right w:val="single" w:sz="4" w:space="0" w:color="auto"/>
            </w:tcBorders>
          </w:tcPr>
          <w:p w14:paraId="5E475889" w14:textId="26EC9FBD" w:rsidR="00526FB5" w:rsidRDefault="00526FB5" w:rsidP="007F3D92">
            <w:r>
              <w:t>20 RCTs</w:t>
            </w:r>
          </w:p>
        </w:tc>
        <w:tc>
          <w:tcPr>
            <w:tcW w:w="4962" w:type="dxa"/>
            <w:tcBorders>
              <w:top w:val="single" w:sz="4" w:space="0" w:color="auto"/>
              <w:left w:val="single" w:sz="4" w:space="0" w:color="auto"/>
              <w:bottom w:val="single" w:sz="4" w:space="0" w:color="auto"/>
              <w:right w:val="single" w:sz="4" w:space="0" w:color="auto"/>
            </w:tcBorders>
          </w:tcPr>
          <w:p w14:paraId="0853C539" w14:textId="644579B2" w:rsidR="00526FB5" w:rsidRDefault="00526FB5" w:rsidP="00526FB5">
            <w:r w:rsidRPr="00526FB5">
              <w:rPr>
                <w:b/>
              </w:rPr>
              <w:t>Aim</w:t>
            </w:r>
            <w:r>
              <w:t xml:space="preserve">: </w:t>
            </w:r>
            <w:r w:rsidRPr="00526FB5">
              <w:t xml:space="preserve">To evaluate the benefits of oral multiple-micronutrient </w:t>
            </w:r>
            <w:r>
              <w:t xml:space="preserve">(MMN) </w:t>
            </w:r>
            <w:r w:rsidRPr="00526FB5">
              <w:t xml:space="preserve">supplementation during pregnancy on maternal, fetal and infant health outcomes. </w:t>
            </w:r>
          </w:p>
          <w:p w14:paraId="721C751B" w14:textId="585A9AAC" w:rsidR="00526FB5" w:rsidRPr="00D07A1C" w:rsidRDefault="00526FB5" w:rsidP="00526FB5">
            <w:pPr>
              <w:rPr>
                <w:b/>
              </w:rPr>
            </w:pPr>
            <w:r w:rsidRPr="00526FB5">
              <w:rPr>
                <w:b/>
              </w:rPr>
              <w:t>Methods</w:t>
            </w:r>
            <w:r w:rsidRPr="00526FB5">
              <w:t xml:space="preserve">: All prospective randomised controlled trials evaluating MMN supplementation with iron and folic acid during pregnancy and its effects on pregnancy outcomes were eligible, irrespective of language or the publication status of the trials. We included cluster-randomised trials, but excluded quasi-randomised trials. Trial reports that were published as abstracts were eligible. </w:t>
            </w:r>
          </w:p>
        </w:tc>
        <w:tc>
          <w:tcPr>
            <w:tcW w:w="4536" w:type="dxa"/>
            <w:tcBorders>
              <w:top w:val="single" w:sz="4" w:space="0" w:color="auto"/>
              <w:left w:val="single" w:sz="4" w:space="0" w:color="auto"/>
              <w:bottom w:val="single" w:sz="4" w:space="0" w:color="auto"/>
              <w:right w:val="single" w:sz="4" w:space="0" w:color="auto"/>
            </w:tcBorders>
          </w:tcPr>
          <w:p w14:paraId="74ADC095" w14:textId="77777777" w:rsidR="00526FB5" w:rsidRDefault="00526FB5" w:rsidP="00526FB5">
            <w:r w:rsidRPr="00526FB5">
              <w:t>MMN with iron and folic acid versus i</w:t>
            </w:r>
            <w:r>
              <w:t>ron, with or without folic acid:</w:t>
            </w:r>
          </w:p>
          <w:p w14:paraId="2949AA05" w14:textId="2A0A7BC2" w:rsidR="00526FB5" w:rsidRPr="00616624" w:rsidRDefault="00526FB5" w:rsidP="00616624">
            <w:pPr>
              <w:pStyle w:val="bullet"/>
            </w:pPr>
            <w:r w:rsidRPr="00526FB5">
              <w:t>preterm</w:t>
            </w:r>
            <w:r w:rsidRPr="00616624">
              <w:t xml:space="preserve"> birth</w:t>
            </w:r>
            <w:r w:rsidR="00293A97" w:rsidRPr="00616624">
              <w:t xml:space="preserve"> (&lt;37 weeks)</w:t>
            </w:r>
            <w:r w:rsidRPr="00616624">
              <w:t xml:space="preserve">: RR 0.95, 95%CI 0.90 to 1.01; 18 trials, </w:t>
            </w:r>
            <w:r w:rsidR="00616624" w:rsidRPr="00616624">
              <w:t>n=</w:t>
            </w:r>
            <w:r w:rsidRPr="00616624">
              <w:t>91,425; moderate-</w:t>
            </w:r>
            <w:r w:rsidR="00FB2A6C">
              <w:t>certainty</w:t>
            </w:r>
            <w:r w:rsidRPr="00616624">
              <w:t xml:space="preserve"> </w:t>
            </w:r>
          </w:p>
          <w:p w14:paraId="2C13DD10" w14:textId="6A2D4966" w:rsidR="00526FB5" w:rsidRPr="00616624" w:rsidRDefault="00526FB5" w:rsidP="00616624">
            <w:pPr>
              <w:pStyle w:val="bullet"/>
            </w:pPr>
            <w:r w:rsidRPr="00616624">
              <w:t>very preterm birth</w:t>
            </w:r>
            <w:r w:rsidR="00293A97" w:rsidRPr="00616624">
              <w:t xml:space="preserve"> (&lt;34 weeks)</w:t>
            </w:r>
            <w:r w:rsidRPr="00616624">
              <w:t xml:space="preserve">: RR 0.81, 95% CI 0.71 to 0.93; 4 trials, </w:t>
            </w:r>
            <w:r w:rsidR="00616624" w:rsidRPr="00616624">
              <w:t>n=</w:t>
            </w:r>
            <w:r w:rsidRPr="00616624">
              <w:t xml:space="preserve">37,701 </w:t>
            </w:r>
          </w:p>
          <w:p w14:paraId="7B8FF7AD" w14:textId="31719D22" w:rsidR="00526FB5" w:rsidRPr="00616624" w:rsidRDefault="00526FB5" w:rsidP="00616624">
            <w:pPr>
              <w:pStyle w:val="bullet"/>
            </w:pPr>
            <w:r w:rsidRPr="00616624">
              <w:t xml:space="preserve">small-for-gestational age: RR 0.92, 95% CI 0.88 to 0.97; 17 trials; </w:t>
            </w:r>
            <w:r w:rsidR="00616624" w:rsidRPr="00616624">
              <w:t>n=</w:t>
            </w:r>
            <w:r w:rsidRPr="00616624">
              <w:t>57,348; moderate-</w:t>
            </w:r>
            <w:r w:rsidR="00FB2A6C">
              <w:t>certainty</w:t>
            </w:r>
            <w:r w:rsidRPr="00616624">
              <w:t xml:space="preserve"> </w:t>
            </w:r>
          </w:p>
          <w:p w14:paraId="3377B8E9" w14:textId="6CF942A1" w:rsidR="00526FB5" w:rsidRPr="00616624" w:rsidRDefault="00526FB5" w:rsidP="00616624">
            <w:pPr>
              <w:pStyle w:val="bullet"/>
            </w:pPr>
            <w:r w:rsidRPr="00616624">
              <w:t xml:space="preserve">low birthweight: RR 0.88, 95% CI 0.85 to 0.91; 18 trials, </w:t>
            </w:r>
            <w:r w:rsidR="00616624" w:rsidRPr="00616624">
              <w:t>n=</w:t>
            </w:r>
            <w:r w:rsidRPr="00616624">
              <w:t>68,801; high-</w:t>
            </w:r>
            <w:r w:rsidR="00FB2A6C">
              <w:t>certainty</w:t>
            </w:r>
            <w:r w:rsidRPr="00616624">
              <w:t xml:space="preserve"> </w:t>
            </w:r>
          </w:p>
          <w:p w14:paraId="2D91B136" w14:textId="4DDE4988" w:rsidR="00526FB5" w:rsidRPr="00616624" w:rsidRDefault="00526FB5" w:rsidP="00616624">
            <w:pPr>
              <w:pStyle w:val="bullet"/>
            </w:pPr>
            <w:r w:rsidRPr="00616624">
              <w:t xml:space="preserve">perinatal mortality: RR 1.00, 95% CI 0.90 to 1.11; 15 trials, </w:t>
            </w:r>
            <w:r w:rsidR="00616624" w:rsidRPr="00616624">
              <w:t>n=</w:t>
            </w:r>
            <w:r w:rsidRPr="00616624">
              <w:t>63,922; high-</w:t>
            </w:r>
            <w:r w:rsidR="00FB2A6C">
              <w:t>certainty</w:t>
            </w:r>
            <w:r w:rsidRPr="00616624">
              <w:t xml:space="preserve"> </w:t>
            </w:r>
          </w:p>
          <w:p w14:paraId="6E8DD121" w14:textId="19D8B3C3" w:rsidR="00526FB5" w:rsidRPr="00616624" w:rsidRDefault="00526FB5" w:rsidP="00616624">
            <w:pPr>
              <w:pStyle w:val="bullet"/>
            </w:pPr>
            <w:r w:rsidRPr="00616624">
              <w:t xml:space="preserve">stillbirth: RR 0.95, 95% CI 0.86 to 1.04; 17 trials, </w:t>
            </w:r>
            <w:r w:rsidR="00616624" w:rsidRPr="00616624">
              <w:t>n=</w:t>
            </w:r>
            <w:r w:rsidR="002915F3">
              <w:t>97,927; high-</w:t>
            </w:r>
            <w:r w:rsidR="00FB2A6C">
              <w:t>certainty</w:t>
            </w:r>
            <w:r w:rsidR="002915F3">
              <w:t xml:space="preserve"> </w:t>
            </w:r>
          </w:p>
          <w:p w14:paraId="599A90A5" w14:textId="083C89DE" w:rsidR="00526FB5" w:rsidRPr="00616624" w:rsidRDefault="00526FB5" w:rsidP="00616624">
            <w:pPr>
              <w:pStyle w:val="bullet"/>
            </w:pPr>
            <w:r w:rsidRPr="00616624">
              <w:t xml:space="preserve">neonatal mortality: RR 1.00, 95% CI 0.89 to 1.12; 14 trials, </w:t>
            </w:r>
            <w:r w:rsidR="00616624" w:rsidRPr="00616624">
              <w:t>n=</w:t>
            </w:r>
            <w:r w:rsidR="002915F3">
              <w:t>80,964; high-</w:t>
            </w:r>
            <w:r w:rsidR="00FB2A6C">
              <w:t>certainty</w:t>
            </w:r>
            <w:r w:rsidR="002915F3">
              <w:t xml:space="preserve"> </w:t>
            </w:r>
          </w:p>
          <w:p w14:paraId="2D0FAE4A" w14:textId="6E11EB50" w:rsidR="00526FB5" w:rsidRPr="00616624" w:rsidRDefault="00526FB5" w:rsidP="00616624">
            <w:pPr>
              <w:pStyle w:val="bullet"/>
            </w:pPr>
            <w:r w:rsidRPr="00616624">
              <w:t>maternal anaemia in the third trimester: RR</w:t>
            </w:r>
            <w:r w:rsidR="0099206A">
              <w:t> </w:t>
            </w:r>
            <w:r w:rsidRPr="00616624">
              <w:t xml:space="preserve">1.04, 95% CI 0.94 to 1.15; 9 trials, </w:t>
            </w:r>
            <w:r w:rsidR="00616624" w:rsidRPr="00616624">
              <w:t>n=</w:t>
            </w:r>
            <w:r w:rsidR="002915F3">
              <w:t>5912</w:t>
            </w:r>
          </w:p>
          <w:p w14:paraId="36434536" w14:textId="70683502" w:rsidR="00526FB5" w:rsidRPr="00616624" w:rsidRDefault="00526FB5" w:rsidP="00616624">
            <w:pPr>
              <w:pStyle w:val="bullet"/>
            </w:pPr>
            <w:r w:rsidRPr="00616624">
              <w:t xml:space="preserve">maternal mortality: RR 1.06, 95% CI 0.72 to 1.54; 6 trials, </w:t>
            </w:r>
            <w:r w:rsidR="00616624" w:rsidRPr="00616624">
              <w:t>n=</w:t>
            </w:r>
            <w:r w:rsidRPr="00616624">
              <w:t xml:space="preserve">106,275 </w:t>
            </w:r>
          </w:p>
          <w:p w14:paraId="4715893C" w14:textId="192FDC7C" w:rsidR="00526FB5" w:rsidRPr="00616624" w:rsidRDefault="00526FB5" w:rsidP="00616624">
            <w:pPr>
              <w:pStyle w:val="bullet"/>
            </w:pPr>
            <w:r w:rsidRPr="00616624">
              <w:t xml:space="preserve">miscarriage: RR 0.99, 95% CI 0.94 to 1.04; 12 trials, </w:t>
            </w:r>
            <w:r w:rsidR="00616624" w:rsidRPr="00616624">
              <w:t>n=</w:t>
            </w:r>
            <w:r w:rsidRPr="00616624">
              <w:t>100,565</w:t>
            </w:r>
          </w:p>
          <w:p w14:paraId="3F56D578" w14:textId="4DE4CCBB" w:rsidR="00526FB5" w:rsidRPr="00616624" w:rsidRDefault="00526FB5" w:rsidP="00616624">
            <w:pPr>
              <w:pStyle w:val="bullet"/>
            </w:pPr>
            <w:r w:rsidRPr="00616624">
              <w:t xml:space="preserve">caesarean section: RR 1.13, 95% CI 0.99 to 1.29; 5 trials, </w:t>
            </w:r>
            <w:r w:rsidR="00616624" w:rsidRPr="00616624">
              <w:t>n=</w:t>
            </w:r>
            <w:r w:rsidRPr="00616624">
              <w:t xml:space="preserve">12,836 </w:t>
            </w:r>
          </w:p>
          <w:p w14:paraId="48C577E2" w14:textId="56D0CD69" w:rsidR="00526FB5" w:rsidRPr="00D07A1C" w:rsidRDefault="00526FB5" w:rsidP="00616624">
            <w:pPr>
              <w:pStyle w:val="bullet"/>
            </w:pPr>
            <w:r w:rsidRPr="00616624">
              <w:t xml:space="preserve">congenital anomalies: RR 1.34, 95% CI 0.25 to 7.12; 2 trials, </w:t>
            </w:r>
            <w:r w:rsidR="00616624" w:rsidRPr="00616624">
              <w:t>n=</w:t>
            </w:r>
            <w:r w:rsidRPr="00616624">
              <w:t>1</w:t>
            </w:r>
            <w:r w:rsidR="00CC24AA">
              <w:t>,</w:t>
            </w:r>
            <w:r w:rsidRPr="00616624">
              <w:t>958</w:t>
            </w:r>
          </w:p>
        </w:tc>
        <w:tc>
          <w:tcPr>
            <w:tcW w:w="1843" w:type="dxa"/>
            <w:tcBorders>
              <w:top w:val="single" w:sz="4" w:space="0" w:color="auto"/>
              <w:left w:val="single" w:sz="4" w:space="0" w:color="auto"/>
              <w:bottom w:val="single" w:sz="4" w:space="0" w:color="auto"/>
              <w:right w:val="single" w:sz="4" w:space="0" w:color="auto"/>
            </w:tcBorders>
          </w:tcPr>
          <w:p w14:paraId="5A94E24E" w14:textId="77777777" w:rsidR="00526FB5" w:rsidRPr="00D150D8" w:rsidRDefault="00526FB5" w:rsidP="007F3D92">
            <w:pPr>
              <w:keepNext/>
            </w:pPr>
          </w:p>
        </w:tc>
      </w:tr>
      <w:tr w:rsidR="00264365" w:rsidRPr="00D150D8" w14:paraId="2133552F" w14:textId="77777777" w:rsidTr="00D97E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23F62DFA" w14:textId="688A4F7D" w:rsidR="00264365" w:rsidRDefault="00985ED3" w:rsidP="002747EA">
            <w:r>
              <w:t>Wolf et al 2017</w:t>
            </w:r>
            <w:r w:rsidR="00BA7CBD">
              <w:fldChar w:fldCharType="begin">
                <w:fldData xml:space="preserve">PEVuZE5vdGU+PENpdGU+PEF1dGhvcj5Xb2xmPC9BdXRob3I+PFllYXI+MjAxNzwvWWVhcj48UmVj
TnVtPjE4MjQ8L1JlY051bT48RGlzcGxheVRleHQ+PHN0eWxlIGZhY2U9InN1cGVyc2NyaXB0IiBm
b250PSJUcmVidWNoZXQgTVMiIHNpemU9IjkiPjE2NTwvc3R5bGU+PC9EaXNwbGF5VGV4dD48cmVj
b3JkPjxyZWMtbnVtYmVyPjE4MjQ8L3JlYy1udW1iZXI+PGZvcmVpZ24ta2V5cz48a2V5IGFwcD0i
RU4iIGRiLWlkPSJleHZhc3JmeDJkdHJhb2VzYXN4cDJzenN4YTJkZjUwMjU5MngiIHRpbWVzdGFt
cD0iMTU4MzcyNjUxOSI+MTgyNDwva2V5PjxrZXkgYXBwPSJFTldlYiIgZGItaWQ9IiI+MDwva2V5
PjwvZm9yZWlnbi1rZXlzPjxyZWYtdHlwZSBuYW1lPSJKb3VybmFsIEFydGljbGUiPjE3PC9yZWYt
dHlwZT48Y29udHJpYnV0b3JzPjxhdXRob3JzPjxhdXRob3I+V29sZiwgSC4gVC48L2F1dGhvcj48
YXV0aG9yPkhlZ2FhcmQsIEguIEsuPC9hdXRob3I+PGF1dGhvcj5IdXVzb20sIEwuIEQuPC9hdXRo
b3I+PGF1dGhvcj5QaW5ib3JnLCBBLiBCLjwvYXV0aG9yPjwvYXV0aG9ycz48L2NvbnRyaWJ1dG9y
cz48YXV0aC1hZGRyZXNzPkRlcGFydG1lbnQgb2YgT2JzdGV0cmljcyBhbmQgR3luYWVjb2xvZ3ks
IENvcGVuaGFnZW4gVW5pdmVyc2l0eSBIb3NwaXRhbCwgSHZpZG92cmUgSG9zcGl0YWwsIEh2aWRv
dnJlLCBDb3BlbmhhZ2VuLCBEZW5tYXJrLiBFbGVjdHJvbmljIGFkZHJlc3M6IHRyYXB3b2xmQGdt
YWlsLmNvbS4mI3hEO1Jlc2VhcmNoIFVuaXQsIERlcGFydG1lbnQgb2YgV29tZW4mYXBvcztzIGFu
ZCBDaGlsZHJlbiZhcG9zO3MgSGVhbHRoLCBKdWxpYW5lIE1hcmllIENlbnRlciBmb3IgV29tZW4s
IENoaWxkcmVuLCBhbmQgUmVwcm9kdWN0aW9uLCBDb3BlbmhhZ2VuIFVuaXZlcnNpdHkgSG9zcGl0
YWwsIFJpZ3Nob3NwaXRhbGV0LCBDb3BlbmhhZ2VuLCBEZW5tYXJrLiYjeEQ7RGVwYXJ0bWVudCBv
ZiBPYnN0ZXRyaWNzIGFuZCBHeW5hZWNvbG9neSwgQ29wZW5oYWdlbiBVbml2ZXJzaXR5IEhvc3Bp
dGFsLCBIdmlkb3ZyZSBIb3NwaXRhbCwgSHZpZG92cmUsIENvcGVuaGFnZW4sIERlbm1hcmsuPC9h
dXRoLWFkZHJlc3M+PHRpdGxlcz48dGl0bGU+TXVsdGl2aXRhbWluIHVzZSBhbmQgYWR2ZXJzZSBi
aXJ0aCBvdXRjb21lcyBpbiBoaWdoLWluY29tZSBjb3VudHJpZXM6IGEgc3lzdGVtYXRpYyByZXZp
ZXcgYW5kIG1ldGEtYW5hbHlzaXM8L3RpdGxlPjxzZWNvbmRhcnktdGl0bGU+QW0gSiBPYnN0ZXQg
R3luZWNvbDwvc2Vjb25kYXJ5LXRpdGxlPjwvdGl0bGVzPjxwZXJpb2RpY2FsPjxmdWxsLXRpdGxl
PkFtIEogT2JzdGV0IEd5bmVjb2w8L2Z1bGwtdGl0bGU+PC9wZXJpb2RpY2FsPjxwYWdlcz40MDQg
ZTEtNDA0IGUzMDwvcGFnZXM+PHZvbHVtZT4yMTc8L3ZvbHVtZT48bnVtYmVyPjQ8L251bWJlcj48
ZWRpdGlvbj4yMDE3LzA0LzA2PC9lZGl0aW9uPjxrZXl3b3Jkcz48a2V5d29yZD5Db25nZW5pdGFs
IEFibm9ybWFsaXRpZXM8L2tleXdvcmQ+PGtleXdvcmQ+RGV2ZWxvcGVkIENvdW50cmllczwva2V5
d29yZD48a2V5d29yZD5EaWV0PC9rZXl3b3JkPjxrZXl3b3JkPkZlbWFsZTwva2V5d29yZD48a2V5
d29yZD5IdW1hbnM8L2tleXdvcmQ+PGtleXdvcmQ+SW5mYW50LCBOZXdib3JuPC9rZXl3b3JkPjxr
ZXl3b3JkPkluZmFudCwgU21hbGwgZm9yIEdlc3RhdGlvbmFsIEFnZTwva2V5d29yZD48a2V5d29y
ZD5QcmVnbmFuY3k8L2tleXdvcmQ+PGtleXdvcmQ+KlByZWduYW5jeSBPdXRjb21lPC9rZXl3b3Jk
PjxrZXl3b3JkPlByZW1hdHVyZSBCaXJ0aDwva2V5d29yZD48a2V5d29yZD5WaXRhbWlucy8qdGhl
cmFwZXV0aWMgdXNlPC9rZXl3b3JkPjxrZXl3b3JkPiphZHZlcnNlIGJpcnRoIG91dGNvbWU8L2tl
eXdvcmQ+PGtleXdvcmQ+KmNvbmdlbml0YWwgYmlydGggZGVmZWN0czwva2V5d29yZD48a2V5d29y
ZD4qbWV0YS1hbmFseXNpczwva2V5d29yZD48a2V5d29yZD4qbXVsdGl2aXRhbWluPC9rZXl3b3Jk
PjxrZXl3b3JkPipwcmVnbmFuY3k8L2tleXdvcmQ+PGtleXdvcmQ+KnN5c3RlbWF0aWMgcmV2aWV3
PC9rZXl3b3JkPjwva2V5d29yZHM+PGRhdGVzPjx5ZWFyPjIwMTc8L3llYXI+PHB1Yi1kYXRlcz48
ZGF0ZT5PY3Q8L2RhdGU+PC9wdWItZGF0ZXM+PC9kYXRlcz48aXNibj4xMDk3LTY4NjggKEVsZWN0
cm9uaWMpJiN4RDswMDAyLTkzNzggKExpbmtpbmcpPC9pc2JuPjxhY2Nlc3Npb24tbnVtPjI4Mzc3
MjY5PC9hY2Nlc3Npb24tbnVtPjx1cmxzPjxyZWxhdGVkLXVybHM+PHVybD5odHRwczovL3d3dy5u
Y2JpLm5sbS5uaWguZ292L3B1Ym1lZC8yODM3NzI2OTwvdXJsPjwvcmVsYXRlZC11cmxzPjwvdXJs
cz48ZWxlY3Ryb25pYy1yZXNvdXJjZS1udW0+MTAuMTAxNi9qLmFqb2cuMjAxNy4wMy4wMjk8L2Vs
ZWN0cm9uaWMtcmVzb3VyY2UtbnVtPjwvcmVjb3JkPjwvQ2l0ZT48L0VuZE5vdGU+
</w:fldData>
              </w:fldChar>
            </w:r>
            <w:r w:rsidR="002747EA">
              <w:instrText xml:space="preserve"> ADDIN EN.CITE </w:instrText>
            </w:r>
            <w:r w:rsidR="002747EA">
              <w:fldChar w:fldCharType="begin">
                <w:fldData xml:space="preserve">PEVuZE5vdGU+PENpdGU+PEF1dGhvcj5Xb2xmPC9BdXRob3I+PFllYXI+MjAxNzwvWWVhcj48UmVj
TnVtPjE4MjQ8L1JlY051bT48RGlzcGxheVRleHQ+PHN0eWxlIGZhY2U9InN1cGVyc2NyaXB0IiBm
b250PSJUcmVidWNoZXQgTVMiIHNpemU9IjkiPjE2NTwvc3R5bGU+PC9EaXNwbGF5VGV4dD48cmVj
b3JkPjxyZWMtbnVtYmVyPjE4MjQ8L3JlYy1udW1iZXI+PGZvcmVpZ24ta2V5cz48a2V5IGFwcD0i
RU4iIGRiLWlkPSJleHZhc3JmeDJkdHJhb2VzYXN4cDJzenN4YTJkZjUwMjU5MngiIHRpbWVzdGFt
cD0iMTU4MzcyNjUxOSI+MTgyNDwva2V5PjxrZXkgYXBwPSJFTldlYiIgZGItaWQ9IiI+MDwva2V5
PjwvZm9yZWlnbi1rZXlzPjxyZWYtdHlwZSBuYW1lPSJKb3VybmFsIEFydGljbGUiPjE3PC9yZWYt
dHlwZT48Y29udHJpYnV0b3JzPjxhdXRob3JzPjxhdXRob3I+V29sZiwgSC4gVC48L2F1dGhvcj48
YXV0aG9yPkhlZ2FhcmQsIEguIEsuPC9hdXRob3I+PGF1dGhvcj5IdXVzb20sIEwuIEQuPC9hdXRo
b3I+PGF1dGhvcj5QaW5ib3JnLCBBLiBCLjwvYXV0aG9yPjwvYXV0aG9ycz48L2NvbnRyaWJ1dG9y
cz48YXV0aC1hZGRyZXNzPkRlcGFydG1lbnQgb2YgT2JzdGV0cmljcyBhbmQgR3luYWVjb2xvZ3ks
IENvcGVuaGFnZW4gVW5pdmVyc2l0eSBIb3NwaXRhbCwgSHZpZG92cmUgSG9zcGl0YWwsIEh2aWRv
dnJlLCBDb3BlbmhhZ2VuLCBEZW5tYXJrLiBFbGVjdHJvbmljIGFkZHJlc3M6IHRyYXB3b2xmQGdt
YWlsLmNvbS4mI3hEO1Jlc2VhcmNoIFVuaXQsIERlcGFydG1lbnQgb2YgV29tZW4mYXBvcztzIGFu
ZCBDaGlsZHJlbiZhcG9zO3MgSGVhbHRoLCBKdWxpYW5lIE1hcmllIENlbnRlciBmb3IgV29tZW4s
IENoaWxkcmVuLCBhbmQgUmVwcm9kdWN0aW9uLCBDb3BlbmhhZ2VuIFVuaXZlcnNpdHkgSG9zcGl0
YWwsIFJpZ3Nob3NwaXRhbGV0LCBDb3BlbmhhZ2VuLCBEZW5tYXJrLiYjeEQ7RGVwYXJ0bWVudCBv
ZiBPYnN0ZXRyaWNzIGFuZCBHeW5hZWNvbG9neSwgQ29wZW5oYWdlbiBVbml2ZXJzaXR5IEhvc3Bp
dGFsLCBIdmlkb3ZyZSBIb3NwaXRhbCwgSHZpZG92cmUsIENvcGVuaGFnZW4sIERlbm1hcmsuPC9h
dXRoLWFkZHJlc3M+PHRpdGxlcz48dGl0bGU+TXVsdGl2aXRhbWluIHVzZSBhbmQgYWR2ZXJzZSBi
aXJ0aCBvdXRjb21lcyBpbiBoaWdoLWluY29tZSBjb3VudHJpZXM6IGEgc3lzdGVtYXRpYyByZXZp
ZXcgYW5kIG1ldGEtYW5hbHlzaXM8L3RpdGxlPjxzZWNvbmRhcnktdGl0bGU+QW0gSiBPYnN0ZXQg
R3luZWNvbDwvc2Vjb25kYXJ5LXRpdGxlPjwvdGl0bGVzPjxwZXJpb2RpY2FsPjxmdWxsLXRpdGxl
PkFtIEogT2JzdGV0IEd5bmVjb2w8L2Z1bGwtdGl0bGU+PC9wZXJpb2RpY2FsPjxwYWdlcz40MDQg
ZTEtNDA0IGUzMDwvcGFnZXM+PHZvbHVtZT4yMTc8L3ZvbHVtZT48bnVtYmVyPjQ8L251bWJlcj48
ZWRpdGlvbj4yMDE3LzA0LzA2PC9lZGl0aW9uPjxrZXl3b3Jkcz48a2V5d29yZD5Db25nZW5pdGFs
IEFibm9ybWFsaXRpZXM8L2tleXdvcmQ+PGtleXdvcmQ+RGV2ZWxvcGVkIENvdW50cmllczwva2V5
d29yZD48a2V5d29yZD5EaWV0PC9rZXl3b3JkPjxrZXl3b3JkPkZlbWFsZTwva2V5d29yZD48a2V5
d29yZD5IdW1hbnM8L2tleXdvcmQ+PGtleXdvcmQ+SW5mYW50LCBOZXdib3JuPC9rZXl3b3JkPjxr
ZXl3b3JkPkluZmFudCwgU21hbGwgZm9yIEdlc3RhdGlvbmFsIEFnZTwva2V5d29yZD48a2V5d29y
ZD5QcmVnbmFuY3k8L2tleXdvcmQ+PGtleXdvcmQ+KlByZWduYW5jeSBPdXRjb21lPC9rZXl3b3Jk
PjxrZXl3b3JkPlByZW1hdHVyZSBCaXJ0aDwva2V5d29yZD48a2V5d29yZD5WaXRhbWlucy8qdGhl
cmFwZXV0aWMgdXNlPC9rZXl3b3JkPjxrZXl3b3JkPiphZHZlcnNlIGJpcnRoIG91dGNvbWU8L2tl
eXdvcmQ+PGtleXdvcmQ+KmNvbmdlbml0YWwgYmlydGggZGVmZWN0czwva2V5d29yZD48a2V5d29y
ZD4qbWV0YS1hbmFseXNpczwva2V5d29yZD48a2V5d29yZD4qbXVsdGl2aXRhbWluPC9rZXl3b3Jk
PjxrZXl3b3JkPipwcmVnbmFuY3k8L2tleXdvcmQ+PGtleXdvcmQ+KnN5c3RlbWF0aWMgcmV2aWV3
PC9rZXl3b3JkPjwva2V5d29yZHM+PGRhdGVzPjx5ZWFyPjIwMTc8L3llYXI+PHB1Yi1kYXRlcz48
ZGF0ZT5PY3Q8L2RhdGU+PC9wdWItZGF0ZXM+PC9kYXRlcz48aXNibj4xMDk3LTY4NjggKEVsZWN0
cm9uaWMpJiN4RDswMDAyLTkzNzggKExpbmtpbmcpPC9pc2JuPjxhY2Nlc3Npb24tbnVtPjI4Mzc3
MjY5PC9hY2Nlc3Npb24tbnVtPjx1cmxzPjxyZWxhdGVkLXVybHM+PHVybD5odHRwczovL3d3dy5u
Y2JpLm5sbS5uaWguZ292L3B1Ym1lZC8yODM3NzI2OTwvdXJsPjwvcmVsYXRlZC11cmxzPjwvdXJs
cz48ZWxlY3Ryb25pYy1yZXNvdXJjZS1udW0+MTAuMTAxNi9qLmFqb2cuMjAxNy4wMy4wMjk8L2Vs
ZWN0cm9uaWMtcmVzb3VyY2UtbnVtPjwvcmVjb3JkPjwvQ2l0ZT48L0VuZE5vdGU+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165</w:t>
            </w:r>
            <w:r w:rsidR="00BA7CBD">
              <w:fldChar w:fldCharType="end"/>
            </w:r>
          </w:p>
        </w:tc>
        <w:tc>
          <w:tcPr>
            <w:tcW w:w="1247" w:type="dxa"/>
            <w:tcBorders>
              <w:top w:val="single" w:sz="4" w:space="0" w:color="auto"/>
              <w:left w:val="single" w:sz="4" w:space="0" w:color="auto"/>
              <w:bottom w:val="single" w:sz="4" w:space="0" w:color="auto"/>
              <w:right w:val="single" w:sz="4" w:space="0" w:color="auto"/>
            </w:tcBorders>
          </w:tcPr>
          <w:p w14:paraId="746C7809" w14:textId="77777777" w:rsidR="007932AA" w:rsidRDefault="007932AA" w:rsidP="007F3D92">
            <w:r>
              <w:t>4 RCTs</w:t>
            </w:r>
          </w:p>
          <w:p w14:paraId="74354718" w14:textId="199D5907" w:rsidR="00264365" w:rsidRDefault="007932AA" w:rsidP="007F3D92">
            <w:r>
              <w:t>31 observa</w:t>
            </w:r>
            <w:r w:rsidR="008827C5">
              <w:t>t</w:t>
            </w:r>
            <w:r>
              <w:t>ional</w:t>
            </w:r>
            <w:r w:rsidR="00985ED3">
              <w:t xml:space="preserve"> studies</w:t>
            </w:r>
          </w:p>
          <w:p w14:paraId="364EA444" w14:textId="3AF55F47" w:rsidR="00985ED3" w:rsidRDefault="00985ED3" w:rsidP="007F3D92">
            <w:r w:rsidRPr="00264365">
              <w:t>98,926 women</w:t>
            </w:r>
          </w:p>
        </w:tc>
        <w:tc>
          <w:tcPr>
            <w:tcW w:w="4962" w:type="dxa"/>
            <w:tcBorders>
              <w:top w:val="single" w:sz="4" w:space="0" w:color="auto"/>
              <w:left w:val="single" w:sz="4" w:space="0" w:color="auto"/>
              <w:bottom w:val="single" w:sz="4" w:space="0" w:color="auto"/>
              <w:right w:val="single" w:sz="4" w:space="0" w:color="auto"/>
            </w:tcBorders>
          </w:tcPr>
          <w:p w14:paraId="66B08D60" w14:textId="77777777" w:rsidR="00985ED3" w:rsidRDefault="00264365" w:rsidP="00985ED3">
            <w:r w:rsidRPr="00264365">
              <w:rPr>
                <w:b/>
              </w:rPr>
              <w:t>Aim</w:t>
            </w:r>
            <w:r>
              <w:t>: T</w:t>
            </w:r>
            <w:r w:rsidRPr="00264365">
              <w:t xml:space="preserve">o evaluate the association between multivitamin use among women in high-income countries and the risk of adverse birth outcomes (preterm birth [primary outcome], low birthweight, small for gestational age, stillbirth, neonatal death, perinatal mortality, and congenital anomalies without further specification). </w:t>
            </w:r>
          </w:p>
          <w:p w14:paraId="02009362" w14:textId="3FB1A021" w:rsidR="00264365" w:rsidRPr="00526FB5" w:rsidRDefault="00985ED3" w:rsidP="00985ED3">
            <w:pPr>
              <w:rPr>
                <w:b/>
              </w:rPr>
            </w:pPr>
            <w:r w:rsidRPr="00985ED3">
              <w:rPr>
                <w:b/>
              </w:rPr>
              <w:t>Methods</w:t>
            </w:r>
            <w:r w:rsidR="00264365" w:rsidRPr="00264365">
              <w:t xml:space="preserve">: We searched electronic databases (MEDLINE, Embase, Cochrane, Scopus, and CINAHL) from inception to June 17, 2016, using synonyms of pregnancy, study/trial type, and multivitamins. Eligible studies were all studies in high-income countries investigating the association between multivitamin use (3 or more vitamins or minerals in tablets or capsules) and adverse birth outcomes. We evaluated randomized, controlled trials using the Cochrane Collaboration tool. Observational studies were evaluated using the Newcastle-Ottawa Scale. Meta-analyses were applied on raw data for outcomes with data for at least 2 studies and were conducted using RevMan (version 5.3). Outcomes were pooled using the random-effect model. The quality of evidence was assessed using the Grades of Research, Assessment, Development and Evaluation approach. </w:t>
            </w:r>
          </w:p>
        </w:tc>
        <w:tc>
          <w:tcPr>
            <w:tcW w:w="4536" w:type="dxa"/>
            <w:tcBorders>
              <w:top w:val="single" w:sz="4" w:space="0" w:color="auto"/>
              <w:left w:val="single" w:sz="4" w:space="0" w:color="auto"/>
              <w:bottom w:val="single" w:sz="4" w:space="0" w:color="auto"/>
              <w:right w:val="single" w:sz="4" w:space="0" w:color="auto"/>
            </w:tcBorders>
          </w:tcPr>
          <w:p w14:paraId="674E375D" w14:textId="348A1C1A" w:rsidR="007932AA" w:rsidRDefault="003558D1" w:rsidP="00264365">
            <w:r>
              <w:t>M</w:t>
            </w:r>
            <w:r w:rsidR="00264365" w:rsidRPr="00264365">
              <w:t xml:space="preserve">ultivitamin </w:t>
            </w:r>
            <w:r w:rsidR="00405280">
              <w:t xml:space="preserve">versus </w:t>
            </w:r>
            <w:r w:rsidR="00175403">
              <w:t>no vitamin use</w:t>
            </w:r>
            <w:r w:rsidR="00405280">
              <w:t>:</w:t>
            </w:r>
          </w:p>
          <w:p w14:paraId="6B077F4E" w14:textId="2C5870C6" w:rsidR="007932AA" w:rsidRDefault="00264365" w:rsidP="007932AA">
            <w:pPr>
              <w:pStyle w:val="bullet"/>
            </w:pPr>
            <w:r w:rsidRPr="00264365">
              <w:t>preterm birth</w:t>
            </w:r>
            <w:r w:rsidR="007932AA">
              <w:t xml:space="preserve">: RR 0.84; </w:t>
            </w:r>
            <w:r w:rsidRPr="00264365">
              <w:t>95%</w:t>
            </w:r>
            <w:r w:rsidR="007932AA">
              <w:t>CI 0.69 to 1.03</w:t>
            </w:r>
            <w:r w:rsidR="00F220D2">
              <w:t>; 4</w:t>
            </w:r>
            <w:r w:rsidR="00F01E53">
              <w:t> </w:t>
            </w:r>
            <w:r w:rsidR="00F220D2">
              <w:t>cohort studies</w:t>
            </w:r>
            <w:r w:rsidR="00E27858">
              <w:t xml:space="preserve">; very low </w:t>
            </w:r>
            <w:r w:rsidR="00FB2A6C">
              <w:t>certainty</w:t>
            </w:r>
          </w:p>
          <w:p w14:paraId="4347D088" w14:textId="73B18CCC" w:rsidR="00E27858" w:rsidRDefault="00E27858" w:rsidP="007932AA">
            <w:pPr>
              <w:pStyle w:val="bullet"/>
            </w:pPr>
            <w:r>
              <w:t>low birth weight: RR 0.79; 95%CI 0.45 to 1.41; 2</w:t>
            </w:r>
            <w:r w:rsidR="00F01E53">
              <w:t> </w:t>
            </w:r>
            <w:r>
              <w:t xml:space="preserve">studies; very low </w:t>
            </w:r>
            <w:r w:rsidR="00FB2A6C">
              <w:t>certainty</w:t>
            </w:r>
          </w:p>
          <w:p w14:paraId="6BDFD4EB" w14:textId="50C0605B" w:rsidR="007932AA" w:rsidRDefault="00264365" w:rsidP="007932AA">
            <w:pPr>
              <w:pStyle w:val="bullet"/>
            </w:pPr>
            <w:r w:rsidRPr="00264365">
              <w:t>small for gestational age</w:t>
            </w:r>
            <w:r w:rsidR="008827C5">
              <w:t xml:space="preserve">: RR 0.77; 95%CI </w:t>
            </w:r>
            <w:r w:rsidRPr="00264365">
              <w:t>0.63</w:t>
            </w:r>
            <w:r w:rsidR="008827C5">
              <w:t xml:space="preserve"> to 0.93</w:t>
            </w:r>
            <w:r w:rsidR="00001284">
              <w:t>; 3 cohort studies</w:t>
            </w:r>
            <w:r w:rsidR="00E27858">
              <w:t xml:space="preserve">; very low </w:t>
            </w:r>
            <w:r w:rsidR="00FB2A6C">
              <w:t>certainty</w:t>
            </w:r>
          </w:p>
          <w:p w14:paraId="34BD4F6A" w14:textId="738B8DE9" w:rsidR="00E27858" w:rsidRDefault="00E27858" w:rsidP="007932AA">
            <w:pPr>
              <w:pStyle w:val="bullet"/>
            </w:pPr>
            <w:r>
              <w:t xml:space="preserve">stillbirth: RR 0.78; 95%CI 0.59 to 1.03; </w:t>
            </w:r>
            <w:r w:rsidR="00F01E53">
              <w:t xml:space="preserve">2 studies; </w:t>
            </w:r>
            <w:r>
              <w:t xml:space="preserve">low </w:t>
            </w:r>
            <w:r w:rsidR="00FB2A6C">
              <w:t>certainty</w:t>
            </w:r>
          </w:p>
          <w:p w14:paraId="299F18F2" w14:textId="072AB98E" w:rsidR="007932AA" w:rsidRDefault="00264365" w:rsidP="007932AA">
            <w:pPr>
              <w:pStyle w:val="bullet"/>
            </w:pPr>
            <w:r w:rsidRPr="00264365">
              <w:t>neural tube defects</w:t>
            </w:r>
            <w:r w:rsidR="008827C5">
              <w:t>: RR</w:t>
            </w:r>
            <w:r w:rsidRPr="00264365">
              <w:t xml:space="preserve"> 0.67</w:t>
            </w:r>
            <w:r w:rsidR="008827C5">
              <w:t xml:space="preserve">; 95%CI 0.52 to </w:t>
            </w:r>
            <w:r w:rsidR="007932AA">
              <w:t>0.87</w:t>
            </w:r>
            <w:r w:rsidR="00E27858">
              <w:t xml:space="preserve">; 6 </w:t>
            </w:r>
            <w:r w:rsidR="00405280">
              <w:t xml:space="preserve">cohort </w:t>
            </w:r>
            <w:r w:rsidR="00E27858">
              <w:t>studies; very low</w:t>
            </w:r>
            <w:r w:rsidR="00175403">
              <w:t xml:space="preserve"> </w:t>
            </w:r>
            <w:r w:rsidR="00FB2A6C">
              <w:t>certainty</w:t>
            </w:r>
          </w:p>
          <w:p w14:paraId="1FF8C77D" w14:textId="32065BCA" w:rsidR="00F01E53" w:rsidRDefault="00F01E53" w:rsidP="007932AA">
            <w:pPr>
              <w:pStyle w:val="bullet"/>
            </w:pPr>
            <w:r>
              <w:t xml:space="preserve">cleft lip with or without cleft palate: RR 0.88; 95%CI 0.77 to 1.01; 6 </w:t>
            </w:r>
            <w:r w:rsidR="00405280">
              <w:t xml:space="preserve">cohort </w:t>
            </w:r>
            <w:r>
              <w:t xml:space="preserve">studies; low </w:t>
            </w:r>
            <w:r w:rsidR="00FB2A6C">
              <w:t>certainty</w:t>
            </w:r>
          </w:p>
          <w:p w14:paraId="2609D26D" w14:textId="3CAE7C14" w:rsidR="00F01E53" w:rsidRDefault="00F01E53" w:rsidP="007932AA">
            <w:pPr>
              <w:pStyle w:val="bullet"/>
            </w:pPr>
            <w:r>
              <w:t xml:space="preserve">cleft palate: RR 1.12; 95%CI 0.94 to 1.33; 6 </w:t>
            </w:r>
            <w:r w:rsidR="00405280">
              <w:t xml:space="preserve">cohort </w:t>
            </w:r>
            <w:r>
              <w:t xml:space="preserve">studies; low </w:t>
            </w:r>
            <w:r w:rsidR="00FB2A6C">
              <w:t>certainty</w:t>
            </w:r>
          </w:p>
          <w:p w14:paraId="4E507D0C" w14:textId="44D62B82" w:rsidR="007932AA" w:rsidRDefault="00264365" w:rsidP="007932AA">
            <w:pPr>
              <w:pStyle w:val="bullet"/>
            </w:pPr>
            <w:r w:rsidRPr="00264365">
              <w:t>cardiovascular defects</w:t>
            </w:r>
            <w:r w:rsidR="008827C5">
              <w:t>: RR</w:t>
            </w:r>
            <w:r w:rsidRPr="00264365">
              <w:t xml:space="preserve"> 0.83</w:t>
            </w:r>
            <w:r w:rsidR="008827C5">
              <w:t>; 95%CI</w:t>
            </w:r>
            <w:r w:rsidRPr="00264365">
              <w:t xml:space="preserve"> 0.70</w:t>
            </w:r>
            <w:r w:rsidR="008827C5">
              <w:t xml:space="preserve"> to 0.98</w:t>
            </w:r>
            <w:r w:rsidR="00F01E53">
              <w:t xml:space="preserve">; 6 </w:t>
            </w:r>
            <w:r w:rsidR="00405280">
              <w:t xml:space="preserve">cohort </w:t>
            </w:r>
            <w:r w:rsidR="00F01E53">
              <w:t xml:space="preserve">studies; low </w:t>
            </w:r>
            <w:r w:rsidR="00FB2A6C">
              <w:t>certainty</w:t>
            </w:r>
          </w:p>
          <w:p w14:paraId="493DE0EC" w14:textId="7E8D01CA" w:rsidR="007932AA" w:rsidRDefault="00F01E53" w:rsidP="007932AA">
            <w:pPr>
              <w:pStyle w:val="bullet"/>
            </w:pPr>
            <w:r>
              <w:t>urinary</w:t>
            </w:r>
            <w:r w:rsidR="00264365" w:rsidRPr="00264365">
              <w:t xml:space="preserve"> tract defects</w:t>
            </w:r>
            <w:r w:rsidR="008827C5">
              <w:t>: RR</w:t>
            </w:r>
            <w:r w:rsidR="00264365" w:rsidRPr="00264365">
              <w:t xml:space="preserve"> 0.60</w:t>
            </w:r>
            <w:r w:rsidR="008827C5">
              <w:t xml:space="preserve">; 95%CI 0.46 to </w:t>
            </w:r>
            <w:r>
              <w:t xml:space="preserve">0.78; 3 </w:t>
            </w:r>
            <w:r w:rsidR="00405280">
              <w:t xml:space="preserve">cohort </w:t>
            </w:r>
            <w:r>
              <w:t xml:space="preserve">studies; very low </w:t>
            </w:r>
            <w:r w:rsidR="00FB2A6C">
              <w:t>certainty</w:t>
            </w:r>
          </w:p>
          <w:p w14:paraId="6B22BF6F" w14:textId="18CBE600" w:rsidR="00264365" w:rsidRPr="00526FB5" w:rsidRDefault="008827C5" w:rsidP="008827C5">
            <w:pPr>
              <w:pStyle w:val="bullet"/>
            </w:pPr>
            <w:r>
              <w:t>limb deficiencies: RR</w:t>
            </w:r>
            <w:r w:rsidR="00264365" w:rsidRPr="00264365">
              <w:t xml:space="preserve"> 0.68</w:t>
            </w:r>
            <w:r>
              <w:t>; 95%CI</w:t>
            </w:r>
            <w:r w:rsidR="00264365" w:rsidRPr="00264365">
              <w:t xml:space="preserve"> 0.52</w:t>
            </w:r>
            <w:r>
              <w:t xml:space="preserve"> to </w:t>
            </w:r>
            <w:r w:rsidR="00264365" w:rsidRPr="00264365">
              <w:t>0.89</w:t>
            </w:r>
            <w:r w:rsidR="00F01E53">
              <w:t xml:space="preserve">; 3 </w:t>
            </w:r>
            <w:r w:rsidR="00405280">
              <w:t xml:space="preserve">cohort </w:t>
            </w:r>
            <w:r w:rsidR="00F01E53">
              <w:t xml:space="preserve">studies; very low </w:t>
            </w:r>
            <w:r w:rsidR="00FB2A6C">
              <w:t>certainty</w:t>
            </w:r>
          </w:p>
        </w:tc>
        <w:tc>
          <w:tcPr>
            <w:tcW w:w="1843" w:type="dxa"/>
            <w:tcBorders>
              <w:top w:val="single" w:sz="4" w:space="0" w:color="auto"/>
              <w:left w:val="single" w:sz="4" w:space="0" w:color="auto"/>
              <w:bottom w:val="single" w:sz="4" w:space="0" w:color="auto"/>
              <w:right w:val="single" w:sz="4" w:space="0" w:color="auto"/>
            </w:tcBorders>
          </w:tcPr>
          <w:p w14:paraId="2F17054E" w14:textId="3768F772" w:rsidR="00264365" w:rsidRPr="00D150D8" w:rsidRDefault="00E27858" w:rsidP="007F3D92">
            <w:pPr>
              <w:keepNext/>
            </w:pPr>
            <w:r>
              <w:t>Timing of supplementation varied in included studies (preconception, peri-conception and post-conception pooled)</w:t>
            </w:r>
          </w:p>
        </w:tc>
      </w:tr>
      <w:tr w:rsidR="00D07A1C" w:rsidRPr="00D150D8" w14:paraId="47FD65C4" w14:textId="77777777" w:rsidTr="00D97E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54EE56E6" w14:textId="608396C9" w:rsidR="00D07A1C" w:rsidRDefault="00170335" w:rsidP="00774750">
            <w:r>
              <w:t>Guo et al 2019</w:t>
            </w:r>
            <w:r w:rsidR="00BA7CBD">
              <w:fldChar w:fldCharType="begin"/>
            </w:r>
            <w:r w:rsidR="002747EA">
              <w:instrText xml:space="preserve"> ADDIN EN.CITE &lt;EndNote&gt;&lt;Cite&gt;&lt;Author&gt;Guo&lt;/Author&gt;&lt;Year&gt;2019&lt;/Year&gt;&lt;RecNum&gt;1804&lt;/RecNum&gt;&lt;DisplayText&gt;&lt;style face="superscript" font="Trebuchet MS" size="9"&gt;166&lt;/style&gt;&lt;/DisplayText&gt;&lt;record&gt;&lt;rec-number&gt;1804&lt;/rec-number&gt;&lt;foreign-keys&gt;&lt;key app="EN" db-id="exvasrfx2dtraoesasxp2szsxa2df502592x" timestamp="1583726388"&gt;1804&lt;/key&gt;&lt;key app="ENWeb" db-id=""&gt;0&lt;/key&gt;&lt;/foreign-keys&gt;&lt;ref-type name="Journal Article"&gt;17&lt;/ref-type&gt;&lt;contributors&gt;&lt;authors&gt;&lt;author&gt;Guo, B. Q.&lt;/author&gt;&lt;author&gt;Li, H. B.&lt;/author&gt;&lt;author&gt;Zhai, D. S.&lt;/author&gt;&lt;author&gt;Ding, S. B.&lt;/author&gt;&lt;/authors&gt;&lt;/contributors&gt;&lt;auth-address&gt;Department of Child and Adolescent Health, School of Public Health, Xinxiang Medical University, Xinxiang, Henan 453003, China. Electronic address: 161006@xxmu.edu.cn.&amp;#xD;Department of Child and Adolescent Health, School of Public Health, Xinxiang Medical University, Xinxiang, Henan 453003, China.&amp;#xD;Department of Nutrition and Food Hygiene, School of Public Health, Xinxiang Medical University, Xinxiang, Henan 453003, China.&lt;/auth-address&gt;&lt;titles&gt;&lt;title&gt;Maternal multivitamin supplementation is associated with a reduced risk of autism spectrum disorder in children: a systematic review and meta-analysis&lt;/title&gt;&lt;secondary-title&gt;Nutr Res&lt;/secondary-title&gt;&lt;/titles&gt;&lt;periodical&gt;&lt;full-title&gt;Nutr Res&lt;/full-title&gt;&lt;/periodical&gt;&lt;pages&gt;4-16&lt;/pages&gt;&lt;volume&gt;65&lt;/volume&gt;&lt;edition&gt;2019/04/07&lt;/edition&gt;&lt;keywords&gt;&lt;keyword&gt;*Autism spectrum disorder&lt;/keyword&gt;&lt;keyword&gt;*Children&lt;/keyword&gt;&lt;keyword&gt;*Meta-analysis&lt;/keyword&gt;&lt;keyword&gt;*Multivitamin supplementation&lt;/keyword&gt;&lt;keyword&gt;*Prenatal period&lt;/keyword&gt;&lt;/keywords&gt;&lt;dates&gt;&lt;year&gt;2019&lt;/year&gt;&lt;pub-dates&gt;&lt;date&gt;May&lt;/date&gt;&lt;/pub-dates&gt;&lt;/dates&gt;&lt;isbn&gt;1879-0739 (Electronic)&amp;#xD;0271-5317 (Linking)&lt;/isbn&gt;&lt;accession-num&gt;30952506&lt;/accession-num&gt;&lt;urls&gt;&lt;related-urls&gt;&lt;url&gt;https://www.ncbi.nlm.nih.gov/pubmed/30952506&lt;/url&gt;&lt;/related-urls&gt;&lt;/urls&gt;&lt;electronic-resource-num&gt;10.1016/j.nutres.2019.02.003&lt;/electronic-resource-num&gt;&lt;/record&gt;&lt;/Cite&gt;&lt;/EndNote&gt;</w:instrText>
            </w:r>
            <w:r w:rsidR="00BA7CBD">
              <w:fldChar w:fldCharType="separate"/>
            </w:r>
            <w:r w:rsidR="002747EA" w:rsidRPr="002747EA">
              <w:rPr>
                <w:noProof/>
                <w:vertAlign w:val="superscript"/>
              </w:rPr>
              <w:t>166</w:t>
            </w:r>
            <w:r w:rsidR="00BA7CBD">
              <w:fldChar w:fldCharType="end"/>
            </w:r>
          </w:p>
          <w:p w14:paraId="2177E666" w14:textId="77777777" w:rsidR="00170335" w:rsidRDefault="00170335" w:rsidP="00774750"/>
        </w:tc>
        <w:tc>
          <w:tcPr>
            <w:tcW w:w="1247" w:type="dxa"/>
            <w:tcBorders>
              <w:top w:val="single" w:sz="4" w:space="0" w:color="auto"/>
              <w:left w:val="single" w:sz="4" w:space="0" w:color="auto"/>
              <w:bottom w:val="single" w:sz="4" w:space="0" w:color="auto"/>
              <w:right w:val="single" w:sz="4" w:space="0" w:color="auto"/>
            </w:tcBorders>
          </w:tcPr>
          <w:p w14:paraId="27E73F14" w14:textId="77777777" w:rsidR="00D07A1C" w:rsidRDefault="00907790" w:rsidP="007F3D92">
            <w:r>
              <w:t>3 cohort</w:t>
            </w:r>
          </w:p>
          <w:p w14:paraId="59052A84" w14:textId="77777777" w:rsidR="00907790" w:rsidRDefault="00907790" w:rsidP="007F3D92">
            <w:r>
              <w:t>1 case-cohort</w:t>
            </w:r>
          </w:p>
          <w:p w14:paraId="0FCE9CD1" w14:textId="58213E3F" w:rsidR="00907790" w:rsidRDefault="00907790" w:rsidP="007F3D92">
            <w:r>
              <w:t>1 case-control</w:t>
            </w:r>
          </w:p>
        </w:tc>
        <w:tc>
          <w:tcPr>
            <w:tcW w:w="4962" w:type="dxa"/>
            <w:tcBorders>
              <w:top w:val="single" w:sz="4" w:space="0" w:color="auto"/>
              <w:left w:val="single" w:sz="4" w:space="0" w:color="auto"/>
              <w:bottom w:val="single" w:sz="4" w:space="0" w:color="auto"/>
              <w:right w:val="single" w:sz="4" w:space="0" w:color="auto"/>
            </w:tcBorders>
          </w:tcPr>
          <w:p w14:paraId="2026E4B4" w14:textId="60CFD748" w:rsidR="00D07A1C" w:rsidRDefault="00D07A1C" w:rsidP="007F3D92">
            <w:r w:rsidRPr="00D07A1C">
              <w:rPr>
                <w:b/>
              </w:rPr>
              <w:t>Aim</w:t>
            </w:r>
            <w:r>
              <w:t>: T</w:t>
            </w:r>
            <w:r w:rsidRPr="00D07A1C">
              <w:t xml:space="preserve">o perform a systematic review and meta-analysis of published studies to evaluate the actual association between maternal multivitamin supplementation during the prenatal period and the risk of </w:t>
            </w:r>
            <w:r w:rsidR="00170335">
              <w:t>autism spectrum disorder (</w:t>
            </w:r>
            <w:r w:rsidRPr="00D07A1C">
              <w:t>ASD</w:t>
            </w:r>
            <w:r w:rsidR="00170335">
              <w:t>)</w:t>
            </w:r>
            <w:r w:rsidRPr="00D07A1C">
              <w:t xml:space="preserve"> in children. </w:t>
            </w:r>
          </w:p>
          <w:p w14:paraId="0462B587" w14:textId="09E55ADA" w:rsidR="00D07A1C" w:rsidRPr="004049E3" w:rsidRDefault="00D07A1C" w:rsidP="00907790">
            <w:pPr>
              <w:rPr>
                <w:b/>
              </w:rPr>
            </w:pPr>
            <w:r w:rsidRPr="00D07A1C">
              <w:rPr>
                <w:b/>
              </w:rPr>
              <w:t>Methods</w:t>
            </w:r>
            <w:r>
              <w:t xml:space="preserve">: </w:t>
            </w:r>
            <w:r w:rsidRPr="00D07A1C">
              <w:t>PubMed, EMBASE, Psyc</w:t>
            </w:r>
            <w:r w:rsidR="005056D2">
              <w:t>h</w:t>
            </w:r>
            <w:r w:rsidRPr="00D07A1C">
              <w:t>INFO, Web of Science, and Cochrane Library were searched up to August 26, 2018. The random-effects model was used to calculate the pooled results. The adjusted risk ratios (RRs) were used as the common measure of association among studies. Sensitivity and subgroup analyses were also conducted.</w:t>
            </w:r>
          </w:p>
        </w:tc>
        <w:tc>
          <w:tcPr>
            <w:tcW w:w="4536" w:type="dxa"/>
            <w:tcBorders>
              <w:top w:val="single" w:sz="4" w:space="0" w:color="auto"/>
              <w:left w:val="single" w:sz="4" w:space="0" w:color="auto"/>
              <w:bottom w:val="single" w:sz="4" w:space="0" w:color="auto"/>
              <w:right w:val="single" w:sz="4" w:space="0" w:color="auto"/>
            </w:tcBorders>
          </w:tcPr>
          <w:p w14:paraId="7FBF30AB" w14:textId="77777777" w:rsidR="00B73A40" w:rsidRDefault="00B73A40" w:rsidP="00B73A40">
            <w:r>
              <w:t>Multivitamin use during pregnancy vs no multivitamin:</w:t>
            </w:r>
          </w:p>
          <w:p w14:paraId="59DAA6FA" w14:textId="526F6115" w:rsidR="00D07A1C" w:rsidRPr="00D07A1C" w:rsidRDefault="00B73A40" w:rsidP="00B73A40">
            <w:r>
              <w:t>ASD: RR</w:t>
            </w:r>
            <w:r w:rsidRPr="00B73A40">
              <w:t xml:space="preserve"> 0.5</w:t>
            </w:r>
            <w:r>
              <w:t>7; 95% CI, 0.36 to 0.91; p=0.018; 3 studies</w:t>
            </w:r>
          </w:p>
        </w:tc>
        <w:tc>
          <w:tcPr>
            <w:tcW w:w="1843" w:type="dxa"/>
            <w:tcBorders>
              <w:top w:val="single" w:sz="4" w:space="0" w:color="auto"/>
              <w:left w:val="single" w:sz="4" w:space="0" w:color="auto"/>
              <w:bottom w:val="single" w:sz="4" w:space="0" w:color="auto"/>
              <w:right w:val="single" w:sz="4" w:space="0" w:color="auto"/>
            </w:tcBorders>
          </w:tcPr>
          <w:p w14:paraId="3444A1BC" w14:textId="77777777" w:rsidR="00D07A1C" w:rsidRPr="00D150D8" w:rsidRDefault="00D07A1C" w:rsidP="007F3D92">
            <w:pPr>
              <w:keepNext/>
            </w:pPr>
          </w:p>
        </w:tc>
      </w:tr>
    </w:tbl>
    <w:p w14:paraId="578EF26B" w14:textId="756450BD" w:rsidR="00D05282" w:rsidRDefault="009C163D" w:rsidP="005719CE">
      <w:pPr>
        <w:pStyle w:val="TableName"/>
        <w:ind w:left="1134" w:hanging="1134"/>
      </w:pPr>
      <w:bookmarkStart w:id="89" w:name="_Toc40956624"/>
      <w:r>
        <w:t xml:space="preserve">Q3 </w:t>
      </w:r>
      <w:r w:rsidR="00D05282">
        <w:t xml:space="preserve">Harms and benefits of </w:t>
      </w:r>
      <w:r>
        <w:t>multiple micronutrient</w:t>
      </w:r>
      <w:r w:rsidR="00D05282">
        <w:t xml:space="preserve"> supplementation in pregnancy — RCTs</w:t>
      </w:r>
      <w:bookmarkEnd w:id="8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6: Q3 Harms and benefits of multiple micronutrient supplementation in pregnancy — RCTs"/>
      </w:tblPr>
      <w:tblGrid>
        <w:gridCol w:w="1304"/>
        <w:gridCol w:w="1247"/>
        <w:gridCol w:w="4962"/>
        <w:gridCol w:w="4536"/>
        <w:gridCol w:w="1843"/>
      </w:tblGrid>
      <w:tr w:rsidR="00D05282" w:rsidRPr="00F350A6" w14:paraId="23F6CC92" w14:textId="77777777" w:rsidTr="00C21506">
        <w:trPr>
          <w:cantSplit/>
          <w:trHeight w:val="390"/>
          <w:tblHeader/>
        </w:trPr>
        <w:tc>
          <w:tcPr>
            <w:tcW w:w="1304" w:type="dxa"/>
            <w:tcBorders>
              <w:bottom w:val="single" w:sz="4" w:space="0" w:color="auto"/>
            </w:tcBorders>
          </w:tcPr>
          <w:p w14:paraId="21F6DCAC" w14:textId="77777777" w:rsidR="00D05282" w:rsidRPr="00F350A6" w:rsidRDefault="00D05282" w:rsidP="00C21506">
            <w:pPr>
              <w:keepNext/>
              <w:rPr>
                <w:b/>
              </w:rPr>
            </w:pPr>
            <w:r>
              <w:rPr>
                <w:b/>
              </w:rPr>
              <w:t>Study ref</w:t>
            </w:r>
          </w:p>
        </w:tc>
        <w:tc>
          <w:tcPr>
            <w:tcW w:w="1247" w:type="dxa"/>
            <w:tcBorders>
              <w:bottom w:val="single" w:sz="4" w:space="0" w:color="auto"/>
            </w:tcBorders>
          </w:tcPr>
          <w:p w14:paraId="167C783F" w14:textId="77777777" w:rsidR="00D05282" w:rsidRPr="00F350A6" w:rsidRDefault="00D05282" w:rsidP="00C21506">
            <w:pPr>
              <w:keepNext/>
              <w:rPr>
                <w:b/>
              </w:rPr>
            </w:pPr>
            <w:r>
              <w:rPr>
                <w:b/>
              </w:rPr>
              <w:t>N</w:t>
            </w:r>
          </w:p>
        </w:tc>
        <w:tc>
          <w:tcPr>
            <w:tcW w:w="4962" w:type="dxa"/>
            <w:tcBorders>
              <w:bottom w:val="single" w:sz="4" w:space="0" w:color="auto"/>
            </w:tcBorders>
          </w:tcPr>
          <w:p w14:paraId="401DC07C" w14:textId="77777777" w:rsidR="00D05282" w:rsidRPr="00F350A6" w:rsidRDefault="00D05282" w:rsidP="00C21506">
            <w:pPr>
              <w:keepNext/>
              <w:rPr>
                <w:b/>
              </w:rPr>
            </w:pPr>
            <w:r>
              <w:rPr>
                <w:b/>
              </w:rPr>
              <w:t>Aim/methods</w:t>
            </w:r>
          </w:p>
        </w:tc>
        <w:tc>
          <w:tcPr>
            <w:tcW w:w="4536" w:type="dxa"/>
            <w:tcBorders>
              <w:bottom w:val="single" w:sz="4" w:space="0" w:color="auto"/>
            </w:tcBorders>
          </w:tcPr>
          <w:p w14:paraId="506E2658" w14:textId="77777777" w:rsidR="00D05282" w:rsidRPr="00F350A6" w:rsidRDefault="00D05282" w:rsidP="00C21506">
            <w:pPr>
              <w:keepNext/>
              <w:rPr>
                <w:b/>
              </w:rPr>
            </w:pPr>
            <w:r>
              <w:rPr>
                <w:b/>
              </w:rPr>
              <w:t>Results</w:t>
            </w:r>
          </w:p>
        </w:tc>
        <w:tc>
          <w:tcPr>
            <w:tcW w:w="1843" w:type="dxa"/>
            <w:tcBorders>
              <w:bottom w:val="single" w:sz="4" w:space="0" w:color="auto"/>
            </w:tcBorders>
          </w:tcPr>
          <w:p w14:paraId="2CC1DAE2" w14:textId="77777777" w:rsidR="00D05282" w:rsidRPr="00F350A6" w:rsidRDefault="00D05282" w:rsidP="00C21506">
            <w:pPr>
              <w:keepNext/>
              <w:rPr>
                <w:b/>
              </w:rPr>
            </w:pPr>
            <w:r>
              <w:rPr>
                <w:b/>
              </w:rPr>
              <w:t>Comments</w:t>
            </w:r>
          </w:p>
        </w:tc>
      </w:tr>
      <w:tr w:rsidR="00D05282" w:rsidRPr="00D150D8" w14:paraId="330C3E73" w14:textId="77777777" w:rsidTr="00C2150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7FEF4EAA" w14:textId="1CAFF3E8" w:rsidR="00D05282" w:rsidRDefault="00E458A4" w:rsidP="00C21506">
            <w:r>
              <w:t>Chen et al 2019</w:t>
            </w:r>
            <w:r w:rsidR="00BA7CBD">
              <w:fldChar w:fldCharType="begin">
                <w:fldData xml:space="preserve">PEVuZE5vdGU+PENpdGU+PEF1dGhvcj5DaGVuPC9BdXRob3I+PFllYXI+MjAxOTwvWWVhcj48UmVj
TnVtPjE4MDA8L1JlY051bT48RGlzcGxheVRleHQ+PHN0eWxlIGZhY2U9InN1cGVyc2NyaXB0IiBm
b250PSJUcmVidWNoZXQgTVMiIHNpemU9IjkiPjE2Nzwvc3R5bGU+PC9EaXNwbGF5VGV4dD48cmVj
b3JkPjxyZWMtbnVtYmVyPjE4MDA8L3JlYy1udW1iZXI+PGZvcmVpZ24ta2V5cz48a2V5IGFwcD0i
RU4iIGRiLWlkPSJleHZhc3JmeDJkdHJhb2VzYXN4cDJzenN4YTJkZjUwMjU5MngiIHRpbWVzdGFt
cD0iMTU4MzcyNjM2MiI+MTgwMDwva2V5PjxrZXkgYXBwPSJFTldlYiIgZGItaWQ9IiI+MDwva2V5
PjwvZm9yZWlnbi1rZXlzPjxyZWYtdHlwZSBuYW1lPSJKb3VybmFsIEFydGljbGUiPjE3PC9yZWYt
dHlwZT48Y29udHJpYnV0b3JzPjxhdXRob3JzPjxhdXRob3I+Q2hlbiwgUy48L2F1dGhvcj48YXV0
aG9yPkxpLCBOLjwvYXV0aG9yPjxhdXRob3I+TWVpLCBaLjwvYXV0aG9yPjxhdXRob3I+WWUsIFIu
PC9hdXRob3I+PGF1dGhvcj5MaSwgWi48L2F1dGhvcj48YXV0aG9yPkxpdSwgSi48L2F1dGhvcj48
YXV0aG9yPlNlcmR1bGEsIE0uIEsuPC9hdXRob3I+PC9hdXRob3JzPjwvY29udHJpYnV0b3JzPjxh
dXRoLWFkZHJlc3M+VGhlIEluc3RpdHV0ZSBvZiBSZXByb2R1Y3RpdmUgYW5kIENoaWxkIEhlYWx0
aC9NaW5pc3RyeSBvZiBIZWFsdGggS2V5IExhYm9yYXRvcnkgb2YgUmVwcm9kdWN0aXZlIEhlYWx0
aCwgRGVwYXJ0bWVudCBvZiBFcGlkZW1pb2xvZ3kgYW5kIEJpb3N0YXRpc3RpY3MsIFNjaG9vbCBv
ZiBQdWJsaWMgSGVhbHRoLCBQZWtpbmcgVW5pdmVyc2l0eSBIZWFsdGggU2NpZW5jZSBDZW50ZXIs
IEJlaWppbmcsIENoaW5hLiYjeEQ7RGl2aXNpb24gb2YgTnV0cml0aW9uLCBQaHlzaWNhbCBBY3Rp
dml0eSwgYW5kIE9iZXNpdHksIE5hdGlvbmFsIENlbnRlciBmb3IgQ2hyb25pYyBEaXNlYXNlIFBy
ZXZlbnRpb24gYW5kIEhlYWx0aCBQcm9tb3Rpb24sIENEQywgQXRsYW50YSwgR0EsIFVTQS4mI3hE
O1RoZSBJbnN0aXR1dGUgb2YgUmVwcm9kdWN0aXZlIGFuZCBDaGlsZCBIZWFsdGgvTWluaXN0cnkg
b2YgSGVhbHRoIEtleSBMYWJvcmF0b3J5IG9mIFJlcHJvZHVjdGl2ZSBIZWFsdGgsIERlcGFydG1l
bnQgb2YgRXBpZGVtaW9sb2d5IGFuZCBCaW9zdGF0aXN0aWNzLCBTY2hvb2wgb2YgUHVibGljIEhl
YWx0aCwgUGVraW5nIFVuaXZlcnNpdHkgSGVhbHRoIFNjaWVuY2UgQ2VudGVyLCBCZWlqaW5nLCBD
aGluYS4gRWxlY3Ryb25pYyBhZGRyZXNzOiB5ZXJ3QGJqbXUuZWR1LmNuLjwvYXV0aC1hZGRyZXNz
Pjx0aXRsZXM+PHRpdGxlPk1pY3JvbnV0cmllbnQgc3VwcGxlbWVudGF0aW9uIGR1cmluZyBwcmVn
bmFuY3kgYW5kIHRoZSByaXNrIG9mIHByZWduYW5jeS1pbmR1Y2VkIGh5cGVydGVuc2lvbjogQSBy
YW5kb21pemVkIGNsaW5pY2FsIHRyaWFsPC90aXRsZT48c2Vjb25kYXJ5LXRpdGxlPkNsaW4gTnV0
cjwvc2Vjb25kYXJ5LXRpdGxlPjwvdGl0bGVzPjxwZXJpb2RpY2FsPjxmdWxsLXRpdGxlPkNsaW4g
TnV0cjwvZnVsbC10aXRsZT48L3BlcmlvZGljYWw+PHBhZ2VzPjE0Ni0xNTE8L3BhZ2VzPjx2b2x1
bWU+Mzg8L3ZvbHVtZT48bnVtYmVyPjE8L251bWJlcj48ZWRpdGlvbj4yMDE4LzAyLzEzPC9lZGl0
aW9uPjxrZXl3b3Jkcz48a2V5d29yZD4qRm9saWMgYWNpZDwva2V5d29yZD48a2V5d29yZD4qSXJv
bjwva2V5d29yZD48a2V5d29yZD4qTWljcm9udXRyaWVudCBzdXBwbGVtZW50YXRpb248L2tleXdv
cmQ+PGtleXdvcmQ+KlByZWduYW5jeS1pbmR1Y2VkIGh5cGVydGVuc2lvbjwva2V5d29yZD48a2V5
d29yZD4qUmFuZG9taXplZCBjbGluaWNhbCB0cmlhbDwva2V5d29yZD48L2tleXdvcmRzPjxkYXRl
cz48eWVhcj4yMDE5PC95ZWFyPjxwdWItZGF0ZXM+PGRhdGU+RmViPC9kYXRlPjwvcHViLWRhdGVz
PjwvZGF0ZXM+PGlzYm4+MTUzMi0xOTgzIChFbGVjdHJvbmljKSYjeEQ7MDI2MS01NjE0IChMaW5r
aW5nKTwvaXNibj48YWNjZXNzaW9uLW51bT4yOTQyODc4NTwvYWNjZXNzaW9uLW51bT48dXJscz48
cmVsYXRlZC11cmxzPjx1cmw+aHR0cHM6Ly93d3cubmNiaS5ubG0ubmloLmdvdi9wdWJtZWQvMjk0
Mjg3ODU8L3VybD48L3JlbGF0ZWQtdXJscz48L3VybHM+PGVsZWN0cm9uaWMtcmVzb3VyY2UtbnVt
PjEwLjEwMTYvai5jbG51LjIwMTguMDEuMDI5PC9lbGVjdHJvbmljLXJlc291cmNlLW51bT48L3Jl
Y29yZD48L0NpdGU+PC9FbmROb3RlPgB=
</w:fldData>
              </w:fldChar>
            </w:r>
            <w:r w:rsidR="002747EA">
              <w:instrText xml:space="preserve"> ADDIN EN.CITE </w:instrText>
            </w:r>
            <w:r w:rsidR="002747EA">
              <w:fldChar w:fldCharType="begin">
                <w:fldData xml:space="preserve">PEVuZE5vdGU+PENpdGU+PEF1dGhvcj5DaGVuPC9BdXRob3I+PFllYXI+MjAxOTwvWWVhcj48UmVj
TnVtPjE4MDA8L1JlY051bT48RGlzcGxheVRleHQ+PHN0eWxlIGZhY2U9InN1cGVyc2NyaXB0IiBm
b250PSJUcmVidWNoZXQgTVMiIHNpemU9IjkiPjE2Nzwvc3R5bGU+PC9EaXNwbGF5VGV4dD48cmVj
b3JkPjxyZWMtbnVtYmVyPjE4MDA8L3JlYy1udW1iZXI+PGZvcmVpZ24ta2V5cz48a2V5IGFwcD0i
RU4iIGRiLWlkPSJleHZhc3JmeDJkdHJhb2VzYXN4cDJzenN4YTJkZjUwMjU5MngiIHRpbWVzdGFt
cD0iMTU4MzcyNjM2MiI+MTgwMDwva2V5PjxrZXkgYXBwPSJFTldlYiIgZGItaWQ9IiI+MDwva2V5
PjwvZm9yZWlnbi1rZXlzPjxyZWYtdHlwZSBuYW1lPSJKb3VybmFsIEFydGljbGUiPjE3PC9yZWYt
dHlwZT48Y29udHJpYnV0b3JzPjxhdXRob3JzPjxhdXRob3I+Q2hlbiwgUy48L2F1dGhvcj48YXV0
aG9yPkxpLCBOLjwvYXV0aG9yPjxhdXRob3I+TWVpLCBaLjwvYXV0aG9yPjxhdXRob3I+WWUsIFIu
PC9hdXRob3I+PGF1dGhvcj5MaSwgWi48L2F1dGhvcj48YXV0aG9yPkxpdSwgSi48L2F1dGhvcj48
YXV0aG9yPlNlcmR1bGEsIE0uIEsuPC9hdXRob3I+PC9hdXRob3JzPjwvY29udHJpYnV0b3JzPjxh
dXRoLWFkZHJlc3M+VGhlIEluc3RpdHV0ZSBvZiBSZXByb2R1Y3RpdmUgYW5kIENoaWxkIEhlYWx0
aC9NaW5pc3RyeSBvZiBIZWFsdGggS2V5IExhYm9yYXRvcnkgb2YgUmVwcm9kdWN0aXZlIEhlYWx0
aCwgRGVwYXJ0bWVudCBvZiBFcGlkZW1pb2xvZ3kgYW5kIEJpb3N0YXRpc3RpY3MsIFNjaG9vbCBv
ZiBQdWJsaWMgSGVhbHRoLCBQZWtpbmcgVW5pdmVyc2l0eSBIZWFsdGggU2NpZW5jZSBDZW50ZXIs
IEJlaWppbmcsIENoaW5hLiYjeEQ7RGl2aXNpb24gb2YgTnV0cml0aW9uLCBQaHlzaWNhbCBBY3Rp
dml0eSwgYW5kIE9iZXNpdHksIE5hdGlvbmFsIENlbnRlciBmb3IgQ2hyb25pYyBEaXNlYXNlIFBy
ZXZlbnRpb24gYW5kIEhlYWx0aCBQcm9tb3Rpb24sIENEQywgQXRsYW50YSwgR0EsIFVTQS4mI3hE
O1RoZSBJbnN0aXR1dGUgb2YgUmVwcm9kdWN0aXZlIGFuZCBDaGlsZCBIZWFsdGgvTWluaXN0cnkg
b2YgSGVhbHRoIEtleSBMYWJvcmF0b3J5IG9mIFJlcHJvZHVjdGl2ZSBIZWFsdGgsIERlcGFydG1l
bnQgb2YgRXBpZGVtaW9sb2d5IGFuZCBCaW9zdGF0aXN0aWNzLCBTY2hvb2wgb2YgUHVibGljIEhl
YWx0aCwgUGVraW5nIFVuaXZlcnNpdHkgSGVhbHRoIFNjaWVuY2UgQ2VudGVyLCBCZWlqaW5nLCBD
aGluYS4gRWxlY3Ryb25pYyBhZGRyZXNzOiB5ZXJ3QGJqbXUuZWR1LmNuLjwvYXV0aC1hZGRyZXNz
Pjx0aXRsZXM+PHRpdGxlPk1pY3JvbnV0cmllbnQgc3VwcGxlbWVudGF0aW9uIGR1cmluZyBwcmVn
bmFuY3kgYW5kIHRoZSByaXNrIG9mIHByZWduYW5jeS1pbmR1Y2VkIGh5cGVydGVuc2lvbjogQSBy
YW5kb21pemVkIGNsaW5pY2FsIHRyaWFsPC90aXRsZT48c2Vjb25kYXJ5LXRpdGxlPkNsaW4gTnV0
cjwvc2Vjb25kYXJ5LXRpdGxlPjwvdGl0bGVzPjxwZXJpb2RpY2FsPjxmdWxsLXRpdGxlPkNsaW4g
TnV0cjwvZnVsbC10aXRsZT48L3BlcmlvZGljYWw+PHBhZ2VzPjE0Ni0xNTE8L3BhZ2VzPjx2b2x1
bWU+Mzg8L3ZvbHVtZT48bnVtYmVyPjE8L251bWJlcj48ZWRpdGlvbj4yMDE4LzAyLzEzPC9lZGl0
aW9uPjxrZXl3b3Jkcz48a2V5d29yZD4qRm9saWMgYWNpZDwva2V5d29yZD48a2V5d29yZD4qSXJv
bjwva2V5d29yZD48a2V5d29yZD4qTWljcm9udXRyaWVudCBzdXBwbGVtZW50YXRpb248L2tleXdv
cmQ+PGtleXdvcmQ+KlByZWduYW5jeS1pbmR1Y2VkIGh5cGVydGVuc2lvbjwva2V5d29yZD48a2V5
d29yZD4qUmFuZG9taXplZCBjbGluaWNhbCB0cmlhbDwva2V5d29yZD48L2tleXdvcmRzPjxkYXRl
cz48eWVhcj4yMDE5PC95ZWFyPjxwdWItZGF0ZXM+PGRhdGU+RmViPC9kYXRlPjwvcHViLWRhdGVz
PjwvZGF0ZXM+PGlzYm4+MTUzMi0xOTgzIChFbGVjdHJvbmljKSYjeEQ7MDI2MS01NjE0IChMaW5r
aW5nKTwvaXNibj48YWNjZXNzaW9uLW51bT4yOTQyODc4NTwvYWNjZXNzaW9uLW51bT48dXJscz48
cmVsYXRlZC11cmxzPjx1cmw+aHR0cHM6Ly93d3cubmNiaS5ubG0ubmloLmdvdi9wdWJtZWQvMjk0
Mjg3ODU8L3VybD48L3JlbGF0ZWQtdXJscz48L3VybHM+PGVsZWN0cm9uaWMtcmVzb3VyY2UtbnVt
PjEwLjEwMTYvai5jbG51LjIwMTguMDEuMDI5PC9lbGVjdHJvbmljLXJlc291cmNlLW51bT48L3Jl
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167</w:t>
            </w:r>
            <w:r w:rsidR="00BA7CBD">
              <w:fldChar w:fldCharType="end"/>
            </w:r>
          </w:p>
          <w:p w14:paraId="3B9A0904" w14:textId="1AA9BEBB" w:rsidR="00930367" w:rsidRDefault="00930367" w:rsidP="00C21506">
            <w:r>
              <w:t>China</w:t>
            </w:r>
          </w:p>
        </w:tc>
        <w:tc>
          <w:tcPr>
            <w:tcW w:w="1247" w:type="dxa"/>
            <w:tcBorders>
              <w:top w:val="single" w:sz="4" w:space="0" w:color="auto"/>
              <w:left w:val="single" w:sz="4" w:space="0" w:color="auto"/>
              <w:bottom w:val="single" w:sz="4" w:space="0" w:color="auto"/>
              <w:right w:val="single" w:sz="4" w:space="0" w:color="auto"/>
            </w:tcBorders>
          </w:tcPr>
          <w:p w14:paraId="3D751882" w14:textId="77777777" w:rsidR="00120C7D" w:rsidRDefault="00120C7D" w:rsidP="00C21506">
            <w:r>
              <w:t>MMN 5,914</w:t>
            </w:r>
          </w:p>
          <w:p w14:paraId="460C0E3A" w14:textId="5039F935" w:rsidR="00D05282" w:rsidRDefault="00BB48E5" w:rsidP="00C21506">
            <w:r>
              <w:t>Folic acid 5,933</w:t>
            </w:r>
          </w:p>
          <w:p w14:paraId="1F58BE4A" w14:textId="1D488EC4" w:rsidR="00BB48E5" w:rsidRDefault="00BB48E5" w:rsidP="00C21506"/>
        </w:tc>
        <w:tc>
          <w:tcPr>
            <w:tcW w:w="4962" w:type="dxa"/>
            <w:tcBorders>
              <w:top w:val="single" w:sz="4" w:space="0" w:color="auto"/>
              <w:left w:val="single" w:sz="4" w:space="0" w:color="auto"/>
              <w:bottom w:val="single" w:sz="4" w:space="0" w:color="auto"/>
              <w:right w:val="single" w:sz="4" w:space="0" w:color="auto"/>
            </w:tcBorders>
          </w:tcPr>
          <w:p w14:paraId="00A05BD2" w14:textId="77777777" w:rsidR="00930367" w:rsidRDefault="00E458A4" w:rsidP="00930367">
            <w:r w:rsidRPr="00E458A4">
              <w:rPr>
                <w:b/>
              </w:rPr>
              <w:t>Aim</w:t>
            </w:r>
            <w:r>
              <w:t>: T</w:t>
            </w:r>
            <w:r w:rsidRPr="00E458A4">
              <w:t xml:space="preserve">o examine whether 30 mg iron plus folic acid or multiple micronutrients during pregnancy reduces the risk of pregnancy-induced hypertension. </w:t>
            </w:r>
          </w:p>
          <w:p w14:paraId="2A88DC93" w14:textId="162991FC" w:rsidR="00D05282" w:rsidRPr="00526FB5" w:rsidRDefault="00930367" w:rsidP="00930367">
            <w:pPr>
              <w:rPr>
                <w:b/>
              </w:rPr>
            </w:pPr>
            <w:r w:rsidRPr="00930367">
              <w:rPr>
                <w:b/>
              </w:rPr>
              <w:t>Methods</w:t>
            </w:r>
            <w:r w:rsidR="00E458A4" w:rsidRPr="00E458A4">
              <w:t>: We conducted a secondary data analysis by the data</w:t>
            </w:r>
            <w:r>
              <w:t>set from a double-blind randomis</w:t>
            </w:r>
            <w:r w:rsidR="00E458A4" w:rsidRPr="00E458A4">
              <w:t xml:space="preserve">ed controlled trial in China from 2006 to 2009 that was conducted to investigate the effects of multiple micronutrient supplements on adverse pregnancy outcomes when provided to pregnant women with no/mild </w:t>
            </w:r>
            <w:r w:rsidR="005056D2" w:rsidRPr="00E458A4">
              <w:t>anaemia</w:t>
            </w:r>
            <w:r w:rsidR="00E458A4" w:rsidRPr="00E458A4">
              <w:t xml:space="preserve">. We used logistic regression to estimate the adjusted odds ratio and 95% confidence interval and test for effect modification. </w:t>
            </w:r>
          </w:p>
        </w:tc>
        <w:tc>
          <w:tcPr>
            <w:tcW w:w="4536" w:type="dxa"/>
            <w:tcBorders>
              <w:top w:val="single" w:sz="4" w:space="0" w:color="auto"/>
              <w:left w:val="single" w:sz="4" w:space="0" w:color="auto"/>
              <w:bottom w:val="single" w:sz="4" w:space="0" w:color="auto"/>
              <w:right w:val="single" w:sz="4" w:space="0" w:color="auto"/>
            </w:tcBorders>
          </w:tcPr>
          <w:p w14:paraId="2676A494" w14:textId="77777777" w:rsidR="00930367" w:rsidRDefault="00930367" w:rsidP="00E458A4">
            <w:r>
              <w:t>Multiple micronutrient vs folic acid:</w:t>
            </w:r>
          </w:p>
          <w:p w14:paraId="22D0EE1F" w14:textId="3C329A8E" w:rsidR="00930367" w:rsidRDefault="00930367" w:rsidP="00930367">
            <w:pPr>
              <w:pStyle w:val="bullet"/>
            </w:pPr>
            <w:r>
              <w:t>P</w:t>
            </w:r>
            <w:r w:rsidR="00E458A4" w:rsidRPr="00E458A4">
              <w:t>regnancy-induced hypertension</w:t>
            </w:r>
            <w:r>
              <w:t xml:space="preserve">: aOR </w:t>
            </w:r>
            <w:r w:rsidR="00210C0F">
              <w:t xml:space="preserve">0.88; </w:t>
            </w:r>
            <w:r>
              <w:t xml:space="preserve">95%CI </w:t>
            </w:r>
            <w:r w:rsidR="00E458A4" w:rsidRPr="00E458A4">
              <w:t>0.76</w:t>
            </w:r>
            <w:r>
              <w:t xml:space="preserve"> to </w:t>
            </w:r>
            <w:r w:rsidR="00210C0F">
              <w:t>1.02</w:t>
            </w:r>
          </w:p>
          <w:p w14:paraId="2E7D1559" w14:textId="3836BD88" w:rsidR="00930367" w:rsidRDefault="00930367" w:rsidP="00930367">
            <w:pPr>
              <w:pStyle w:val="bullet"/>
            </w:pPr>
            <w:r>
              <w:t>Late-onset gestational hypertension: aOR 0.85; 95%CI 0.73 to 0.99</w:t>
            </w:r>
          </w:p>
          <w:p w14:paraId="5F82B603" w14:textId="2711E539" w:rsidR="00D05282" w:rsidRPr="00E458A4" w:rsidRDefault="00D05282" w:rsidP="00930367"/>
        </w:tc>
        <w:tc>
          <w:tcPr>
            <w:tcW w:w="1843" w:type="dxa"/>
            <w:tcBorders>
              <w:top w:val="single" w:sz="4" w:space="0" w:color="auto"/>
              <w:left w:val="single" w:sz="4" w:space="0" w:color="auto"/>
              <w:bottom w:val="single" w:sz="4" w:space="0" w:color="auto"/>
              <w:right w:val="single" w:sz="4" w:space="0" w:color="auto"/>
            </w:tcBorders>
          </w:tcPr>
          <w:p w14:paraId="348D7D4A" w14:textId="77777777" w:rsidR="00D05282" w:rsidRPr="00D150D8" w:rsidRDefault="00D05282" w:rsidP="00C21506">
            <w:pPr>
              <w:keepNext/>
            </w:pPr>
          </w:p>
        </w:tc>
      </w:tr>
      <w:tr w:rsidR="00930367" w:rsidRPr="00D150D8" w14:paraId="1085BA2E" w14:textId="77777777" w:rsidTr="00C2150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5D06F198" w14:textId="54203965" w:rsidR="00930367" w:rsidRDefault="000C073B" w:rsidP="00C21506">
            <w:r>
              <w:t>Devakumar et al 2015</w:t>
            </w:r>
            <w:r w:rsidR="00BA7CBD">
              <w:fldChar w:fldCharType="begin">
                <w:fldData xml:space="preserve">PEVuZE5vdGU+PENpdGU+PEF1dGhvcj5EZXZha3VtYXI8L0F1dGhvcj48WWVhcj4yMDE1PC9ZZWFy
PjxSZWNOdW0+MTgwMTwvUmVjTnVtPjxEaXNwbGF5VGV4dD48c3R5bGUgZmFjZT0ic3VwZXJzY3Jp
cHQiIGZvbnQ9IlRyZWJ1Y2hldCBNUyIgc2l6ZT0iOSI+MTY4PC9zdHlsZT48L0Rpc3BsYXlUZXh0
PjxyZWNvcmQ+PHJlYy1udW1iZXI+MTgwMTwvcmVjLW51bWJlcj48Zm9yZWlnbi1rZXlzPjxrZXkg
YXBwPSJFTiIgZGItaWQ9ImV4dmFzcmZ4MmR0cmFvZXNhc3hwMnN6c3hhMmRmNTAyNTkyeCIgdGlt
ZXN0YW1wPSIxNTgzNzI2MzY4Ij4xODAxPC9rZXk+PGtleSBhcHA9IkVOV2ViIiBkYi1pZD0iIj4w
PC9rZXk+PC9mb3JlaWduLWtleXM+PHJlZi10eXBlIG5hbWU9IkpvdXJuYWwgQXJ0aWNsZSI+MTc8
L3JlZi10eXBlPjxjb250cmlidXRvcnM+PGF1dGhvcnM+PGF1dGhvcj5EZXZha3VtYXIsIEQuPC9h
dXRob3I+PGF1dGhvcj5TdG9ja3MsIEouPC9hdXRob3I+PGF1dGhvcj5BeXJlcywgSi4gRy48L2F1
dGhvcj48YXV0aG9yPktpcmtieSwgSi48L2F1dGhvcj48YXV0aG9yPllhZGF2LCBTLiBLLjwvYXV0
aG9yPjxhdXRob3I+U2F2aWxsZSwgTi4gTS48L2F1dGhvcj48YXV0aG9yPkRldmVyZXV4LCBHLjwv
YXV0aG9yPjxhdXRob3I+V2VsbHMsIEouIEMuPC9hdXRob3I+PGF1dGhvcj5NYW5hbmRoYXIsIEQu
IFMuPC9hdXRob3I+PGF1dGhvcj5Db3N0ZWxsbywgQS48L2F1dGhvcj48YXV0aG9yPk9zcmluLCBE
LjwvYXV0aG9yPjwvYXV0aG9ycz48L2NvbnRyaWJ1dG9ycz48YXV0aC1hZGRyZXNzPkluc3RpdHV0
ZSBmb3IgR2xvYmFsIEhlYWx0aCwgVW5pdmVyc2l0eSBDb2xsZWdlIExvbmRvbiwgTG9uZG9uLCBV
Sy4gZC5kZXZha3VtYXJAdWNsLmFjLnVrLiYjeEQ7UmVzcGlyYXRvcnksIENyaXRpY2FsIENhcmUg
YW5kIEFuYWVzdGhlc2lhIFNlY3Rpb24gKFBvcnRleCBVbml0KSwgSW5zdGl0dXRlIG9mIENoaWxk
IEhlYWx0aCwgVW5pdmVyc2l0eSBDb2xsZWdlIExvbmRvbiwgTG9uZG9uLCBVSy4mI3hEO0luc3Rp
dHV0ZSBvZiBPY2N1cGF0aW9uYWwgYW5kIEVudmlyb25tZW50YWwgTWVkaWNpbmUsIFVuaXZlcnNp
dHkgb2YgQmlybWluZ2hhbSwgQmlybWluZ2hhbSwgVUsuJiN4RDtSZXNwaXJhdG9yeSwgQ3JpdGlj
YWwgQ2FyZSBhbmQgQW5hZXN0aGVzaWEgU2VjdGlvbiAoUG9ydGV4IFVuaXQpLCBJbnN0aXR1dGUg
b2YgQ2hpbGQgSGVhbHRoLCBVbml2ZXJzaXR5IENvbGxlZ2UgTG9uZG9uLCBMb25kb24sIFVLLiBH
cmVhdCBPcm1vbmQgU3RyZWV0IEhvc3BpdGFsIGZvciBDaGlsZHJlbiBOSFMgRm91bmRhdGlvbiBU
cnVzdCwgTG9uZG9uLCBVSy4mI3hEO01vdGhlciBhbmQgSW5mYW50IFJlc2VhcmNoIEFjdGl2aXRp
ZXMsIEthdGhtYW5kdSwgTmVwYWwuJiN4RDtJbnN0aXR1dGUgZm9yIEdsb2JhbCBIZWFsdGgsIFVu
aXZlcnNpdHkgQ29sbGVnZSBMb25kb24sIExvbmRvbiwgVUsuJiN4RDtDaGlsZCBIZWFsdGggRGVw
dCwgVW5pdmVyc2l0eSBvZiBBYmVyZGVlbiwgUm95YWwgQWJlcmRlZW4gQ2hpbGRyZW4mYXBvcztz
IEhvc3BpdGFsLCBBYmVyZGVlbiwgVUsuJiN4RDtDaGlsZGhvb2QgTnV0cml0aW9uIFJlc2VhcmNo
IENlbnRyZSwgSW5zdGl0dXRlIG9mIENoaWxkIEhlYWx0aCwgVW5pdmVyc2l0eSBDb2xsZWdlIExv
bmRvbiwgTG9uZG9uLCBVSy48L2F1dGgtYWRkcmVzcz48dGl0bGVzPjx0aXRsZT5FZmZlY3RzIG9m
IGFudGVuYXRhbCBtdWx0aXBsZSBtaWNyb251dHJpZW50IHN1cHBsZW1lbnRhdGlvbiBvbiBsdW5n
IGZ1bmN0aW9uIGluIG1pZC1jaGlsZGhvb2Q6IGZvbGxvdy11cCBvZiBhIGRvdWJsZS1ibGluZCBy
YW5kb21pc2VkIGNvbnRyb2xsZWQgdHJpYWwgaW4gTmVwYWw8L3RpdGxlPjxzZWNvbmRhcnktdGl0
bGU+RXVyIFJlc3BpciBKPC9zZWNvbmRhcnktdGl0bGU+PC90aXRsZXM+PHBlcmlvZGljYWw+PGZ1
bGwtdGl0bGU+RXVyIFJlc3BpciBKPC9mdWxsLXRpdGxlPjwvcGVyaW9kaWNhbD48cGFnZXM+MTU2
Ni03NTwvcGFnZXM+PHZvbHVtZT40NTwvdm9sdW1lPjxudW1iZXI+NjwvbnVtYmVyPjxlZGl0aW9u
PjIwMTUvMDIvMjQ8L2VkaXRpb24+PGtleXdvcmRzPjxrZXl3b3JkPkFpciBQb2xsdXRpb24vc3Rh
dGlzdGljcyAmYW1wOyBudW1lcmljYWwgZGF0YTwva2V5d29yZD48a2V5d29yZD4qQmlydGggV2Vp
Z2h0PC9rZXl3b3JkPjxrZXl3b3JkPkJvZHkgV2VpZ2h0PC9rZXl3b3JkPjxrZXl3b3JkPkNoaWxk
PC9rZXl3b3JkPjxrZXl3b3JkPkNvaG9ydCBTdHVkaWVzPC9rZXl3b3JkPjxrZXl3b3JkPipEaWV0
YXJ5IFN1cHBsZW1lbnRzPC9rZXl3b3JkPjxrZXl3b3JkPkRvdWJsZS1CbGluZCBNZXRob2Q8L2tl
eXdvcmQ+PGtleXdvcmQ+RmVtYWxlPC9rZXl3b3JkPjxrZXl3b3JkPkZvbGljIEFjaWQvdGhlcmFw
ZXV0aWMgdXNlPC9rZXl3b3JkPjxrZXl3b3JkPkZvbGxvdy1VcCBTdHVkaWVzPC9rZXl3b3JkPjxr
ZXl3b3JkPkZvcmNlZCBFeHBpcmF0b3J5IFZvbHVtZTwva2V5d29yZD48a2V5d29yZD5IdW1hbnM8
L2tleXdvcmQ+PGtleXdvcmQ+SXJvbi90aGVyYXBldXRpYyB1c2U8L2tleXdvcmQ+PGtleXdvcmQ+
TG9naXN0aWMgTW9kZWxzPC9rZXl3b3JkPjxrZXl3b3JkPkx1bmcvKnBoeXNpb2xvZ3kvcGh5c2lv
cGF0aG9sb2d5PC9rZXl3b3JkPjxrZXl3b3JkPk1hbGU8L2tleXdvcmQ+PGtleXdvcmQ+TWljcm9u
dXRyaWVudHMvKnRoZXJhcGV1dGljIHVzZTwva2V5d29yZD48a2V5d29yZD5NdWx0aXZhcmlhdGUg
QW5hbHlzaXM8L2tleXdvcmQ+PGtleXdvcmQ+TmVwYWw8L2tleXdvcmQ+PGtleXdvcmQ+UHJlZ25h
bmN5PC9rZXl3b3JkPjxrZXl3b3JkPlByZW5hdGFsIENhcmUvKm1ldGhvZHM8L2tleXdvcmQ+PGtl
eXdvcmQ+U3Bpcm9tZXRyeTwva2V5d29yZD48a2V5d29yZD5UcmFjZSBFbGVtZW50cy90aGVyYXBl
dXRpYyB1c2U8L2tleXdvcmQ+PGtleXdvcmQ+Vml0YWwgQ2FwYWNpdHk8L2tleXdvcmQ+PGtleXdv
cmQ+Vml0YW1pbnMvdGhlcmFwZXV0aWMgdXNlPC9rZXl3b3JkPjwva2V5d29yZHM+PGRhdGVzPjx5
ZWFyPjIwMTU8L3llYXI+PHB1Yi1kYXRlcz48ZGF0ZT5KdW48L2RhdGU+PC9wdWItZGF0ZXM+PC9k
YXRlcz48aXNibj4xMzk5LTMwMDMgKEVsZWN0cm9uaWMpJiN4RDswOTAzLTE5MzYgKExpbmtpbmcp
PC9pc2JuPjxhY2Nlc3Npb24tbnVtPjI1NzAwMzg2PC9hY2Nlc3Npb24tbnVtPjx1cmxzPjxyZWxh
dGVkLXVybHM+PHVybD5odHRwczovL3d3dy5uY2JpLm5sbS5uaWguZ292L3B1Ym1lZC8yNTcwMDM4
NjwvdXJsPjwvcmVsYXRlZC11cmxzPjwvdXJscz48Y3VzdG9tMj5QTUM0NjM2MDQ1PC9jdXN0b20y
PjxlbGVjdHJvbmljLXJlc291cmNlLW51bT4xMC4xMTgzLzA5MDMxOTM2LjAwMTg4OTE0PC9lbGVj
dHJvbmljLXJlc291cmNlLW51bT48L3JlY29yZD48L0NpdGU+PC9FbmROb3RlPgB=
</w:fldData>
              </w:fldChar>
            </w:r>
            <w:r w:rsidR="002747EA">
              <w:instrText xml:space="preserve"> ADDIN EN.CITE </w:instrText>
            </w:r>
            <w:r w:rsidR="002747EA">
              <w:fldChar w:fldCharType="begin">
                <w:fldData xml:space="preserve">PEVuZE5vdGU+PENpdGU+PEF1dGhvcj5EZXZha3VtYXI8L0F1dGhvcj48WWVhcj4yMDE1PC9ZZWFy
PjxSZWNOdW0+MTgwMTwvUmVjTnVtPjxEaXNwbGF5VGV4dD48c3R5bGUgZmFjZT0ic3VwZXJzY3Jp
cHQiIGZvbnQ9IlRyZWJ1Y2hldCBNUyIgc2l6ZT0iOSI+MTY4PC9zdHlsZT48L0Rpc3BsYXlUZXh0
PjxyZWNvcmQ+PHJlYy1udW1iZXI+MTgwMTwvcmVjLW51bWJlcj48Zm9yZWlnbi1rZXlzPjxrZXkg
YXBwPSJFTiIgZGItaWQ9ImV4dmFzcmZ4MmR0cmFvZXNhc3hwMnN6c3hhMmRmNTAyNTkyeCIgdGlt
ZXN0YW1wPSIxNTgzNzI2MzY4Ij4xODAxPC9rZXk+PGtleSBhcHA9IkVOV2ViIiBkYi1pZD0iIj4w
PC9rZXk+PC9mb3JlaWduLWtleXM+PHJlZi10eXBlIG5hbWU9IkpvdXJuYWwgQXJ0aWNsZSI+MTc8
L3JlZi10eXBlPjxjb250cmlidXRvcnM+PGF1dGhvcnM+PGF1dGhvcj5EZXZha3VtYXIsIEQuPC9h
dXRob3I+PGF1dGhvcj5TdG9ja3MsIEouPC9hdXRob3I+PGF1dGhvcj5BeXJlcywgSi4gRy48L2F1
dGhvcj48YXV0aG9yPktpcmtieSwgSi48L2F1dGhvcj48YXV0aG9yPllhZGF2LCBTLiBLLjwvYXV0
aG9yPjxhdXRob3I+U2F2aWxsZSwgTi4gTS48L2F1dGhvcj48YXV0aG9yPkRldmVyZXV4LCBHLjwv
YXV0aG9yPjxhdXRob3I+V2VsbHMsIEouIEMuPC9hdXRob3I+PGF1dGhvcj5NYW5hbmRoYXIsIEQu
IFMuPC9hdXRob3I+PGF1dGhvcj5Db3N0ZWxsbywgQS48L2F1dGhvcj48YXV0aG9yPk9zcmluLCBE
LjwvYXV0aG9yPjwvYXV0aG9ycz48L2NvbnRyaWJ1dG9ycz48YXV0aC1hZGRyZXNzPkluc3RpdHV0
ZSBmb3IgR2xvYmFsIEhlYWx0aCwgVW5pdmVyc2l0eSBDb2xsZWdlIExvbmRvbiwgTG9uZG9uLCBV
Sy4gZC5kZXZha3VtYXJAdWNsLmFjLnVrLiYjeEQ7UmVzcGlyYXRvcnksIENyaXRpY2FsIENhcmUg
YW5kIEFuYWVzdGhlc2lhIFNlY3Rpb24gKFBvcnRleCBVbml0KSwgSW5zdGl0dXRlIG9mIENoaWxk
IEhlYWx0aCwgVW5pdmVyc2l0eSBDb2xsZWdlIExvbmRvbiwgTG9uZG9uLCBVSy4mI3hEO0luc3Rp
dHV0ZSBvZiBPY2N1cGF0aW9uYWwgYW5kIEVudmlyb25tZW50YWwgTWVkaWNpbmUsIFVuaXZlcnNp
dHkgb2YgQmlybWluZ2hhbSwgQmlybWluZ2hhbSwgVUsuJiN4RDtSZXNwaXJhdG9yeSwgQ3JpdGlj
YWwgQ2FyZSBhbmQgQW5hZXN0aGVzaWEgU2VjdGlvbiAoUG9ydGV4IFVuaXQpLCBJbnN0aXR1dGUg
b2YgQ2hpbGQgSGVhbHRoLCBVbml2ZXJzaXR5IENvbGxlZ2UgTG9uZG9uLCBMb25kb24sIFVLLiBH
cmVhdCBPcm1vbmQgU3RyZWV0IEhvc3BpdGFsIGZvciBDaGlsZHJlbiBOSFMgRm91bmRhdGlvbiBU
cnVzdCwgTG9uZG9uLCBVSy4mI3hEO01vdGhlciBhbmQgSW5mYW50IFJlc2VhcmNoIEFjdGl2aXRp
ZXMsIEthdGhtYW5kdSwgTmVwYWwuJiN4RDtJbnN0aXR1dGUgZm9yIEdsb2JhbCBIZWFsdGgsIFVu
aXZlcnNpdHkgQ29sbGVnZSBMb25kb24sIExvbmRvbiwgVUsuJiN4RDtDaGlsZCBIZWFsdGggRGVw
dCwgVW5pdmVyc2l0eSBvZiBBYmVyZGVlbiwgUm95YWwgQWJlcmRlZW4gQ2hpbGRyZW4mYXBvcztz
IEhvc3BpdGFsLCBBYmVyZGVlbiwgVUsuJiN4RDtDaGlsZGhvb2QgTnV0cml0aW9uIFJlc2VhcmNo
IENlbnRyZSwgSW5zdGl0dXRlIG9mIENoaWxkIEhlYWx0aCwgVW5pdmVyc2l0eSBDb2xsZWdlIExv
bmRvbiwgTG9uZG9uLCBVSy48L2F1dGgtYWRkcmVzcz48dGl0bGVzPjx0aXRsZT5FZmZlY3RzIG9m
IGFudGVuYXRhbCBtdWx0aXBsZSBtaWNyb251dHJpZW50IHN1cHBsZW1lbnRhdGlvbiBvbiBsdW5n
IGZ1bmN0aW9uIGluIG1pZC1jaGlsZGhvb2Q6IGZvbGxvdy11cCBvZiBhIGRvdWJsZS1ibGluZCBy
YW5kb21pc2VkIGNvbnRyb2xsZWQgdHJpYWwgaW4gTmVwYWw8L3RpdGxlPjxzZWNvbmRhcnktdGl0
bGU+RXVyIFJlc3BpciBKPC9zZWNvbmRhcnktdGl0bGU+PC90aXRsZXM+PHBlcmlvZGljYWw+PGZ1
bGwtdGl0bGU+RXVyIFJlc3BpciBKPC9mdWxsLXRpdGxlPjwvcGVyaW9kaWNhbD48cGFnZXM+MTU2
Ni03NTwvcGFnZXM+PHZvbHVtZT40NTwvdm9sdW1lPjxudW1iZXI+NjwvbnVtYmVyPjxlZGl0aW9u
PjIwMTUvMDIvMjQ8L2VkaXRpb24+PGtleXdvcmRzPjxrZXl3b3JkPkFpciBQb2xsdXRpb24vc3Rh
dGlzdGljcyAmYW1wOyBudW1lcmljYWwgZGF0YTwva2V5d29yZD48a2V5d29yZD4qQmlydGggV2Vp
Z2h0PC9rZXl3b3JkPjxrZXl3b3JkPkJvZHkgV2VpZ2h0PC9rZXl3b3JkPjxrZXl3b3JkPkNoaWxk
PC9rZXl3b3JkPjxrZXl3b3JkPkNvaG9ydCBTdHVkaWVzPC9rZXl3b3JkPjxrZXl3b3JkPipEaWV0
YXJ5IFN1cHBsZW1lbnRzPC9rZXl3b3JkPjxrZXl3b3JkPkRvdWJsZS1CbGluZCBNZXRob2Q8L2tl
eXdvcmQ+PGtleXdvcmQ+RmVtYWxlPC9rZXl3b3JkPjxrZXl3b3JkPkZvbGljIEFjaWQvdGhlcmFw
ZXV0aWMgdXNlPC9rZXl3b3JkPjxrZXl3b3JkPkZvbGxvdy1VcCBTdHVkaWVzPC9rZXl3b3JkPjxr
ZXl3b3JkPkZvcmNlZCBFeHBpcmF0b3J5IFZvbHVtZTwva2V5d29yZD48a2V5d29yZD5IdW1hbnM8
L2tleXdvcmQ+PGtleXdvcmQ+SXJvbi90aGVyYXBldXRpYyB1c2U8L2tleXdvcmQ+PGtleXdvcmQ+
TG9naXN0aWMgTW9kZWxzPC9rZXl3b3JkPjxrZXl3b3JkPkx1bmcvKnBoeXNpb2xvZ3kvcGh5c2lv
cGF0aG9sb2d5PC9rZXl3b3JkPjxrZXl3b3JkPk1hbGU8L2tleXdvcmQ+PGtleXdvcmQ+TWljcm9u
dXRyaWVudHMvKnRoZXJhcGV1dGljIHVzZTwva2V5d29yZD48a2V5d29yZD5NdWx0aXZhcmlhdGUg
QW5hbHlzaXM8L2tleXdvcmQ+PGtleXdvcmQ+TmVwYWw8L2tleXdvcmQ+PGtleXdvcmQ+UHJlZ25h
bmN5PC9rZXl3b3JkPjxrZXl3b3JkPlByZW5hdGFsIENhcmUvKm1ldGhvZHM8L2tleXdvcmQ+PGtl
eXdvcmQ+U3Bpcm9tZXRyeTwva2V5d29yZD48a2V5d29yZD5UcmFjZSBFbGVtZW50cy90aGVyYXBl
dXRpYyB1c2U8L2tleXdvcmQ+PGtleXdvcmQ+Vml0YWwgQ2FwYWNpdHk8L2tleXdvcmQ+PGtleXdv
cmQ+Vml0YW1pbnMvdGhlcmFwZXV0aWMgdXNlPC9rZXl3b3JkPjwva2V5d29yZHM+PGRhdGVzPjx5
ZWFyPjIwMTU8L3llYXI+PHB1Yi1kYXRlcz48ZGF0ZT5KdW48L2RhdGU+PC9wdWItZGF0ZXM+PC9k
YXRlcz48aXNibj4xMzk5LTMwMDMgKEVsZWN0cm9uaWMpJiN4RDswOTAzLTE5MzYgKExpbmtpbmcp
PC9pc2JuPjxhY2Nlc3Npb24tbnVtPjI1NzAwMzg2PC9hY2Nlc3Npb24tbnVtPjx1cmxzPjxyZWxh
dGVkLXVybHM+PHVybD5odHRwczovL3d3dy5uY2JpLm5sbS5uaWguZ292L3B1Ym1lZC8yNTcwMDM4
NjwvdXJsPjwvcmVsYXRlZC11cmxzPjwvdXJscz48Y3VzdG9tMj5QTUM0NjM2MDQ1PC9jdXN0b20y
PjxlbGVjdHJvbmljLXJlc291cmNlLW51bT4xMC4xMTgzLzA5MDMxOTM2LjAwMTg4OTE0PC9lbGVj
dHJvbmljLXJlc291cmNlLW51bT48L3JlY29yZD48L0NpdGU+PC9FbmROb3RlPgB=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168</w:t>
            </w:r>
            <w:r w:rsidR="00BA7CBD">
              <w:fldChar w:fldCharType="end"/>
            </w:r>
          </w:p>
          <w:p w14:paraId="1566E4D0" w14:textId="6E6F3E8A" w:rsidR="0084339C" w:rsidRDefault="0084339C" w:rsidP="00C21506">
            <w:r>
              <w:t>Nepal</w:t>
            </w:r>
          </w:p>
        </w:tc>
        <w:tc>
          <w:tcPr>
            <w:tcW w:w="1247" w:type="dxa"/>
            <w:tcBorders>
              <w:top w:val="single" w:sz="4" w:space="0" w:color="auto"/>
              <w:left w:val="single" w:sz="4" w:space="0" w:color="auto"/>
              <w:bottom w:val="single" w:sz="4" w:space="0" w:color="auto"/>
              <w:right w:val="single" w:sz="4" w:space="0" w:color="auto"/>
            </w:tcBorders>
          </w:tcPr>
          <w:p w14:paraId="39228563" w14:textId="77777777" w:rsidR="00930367" w:rsidRDefault="00120C7D" w:rsidP="00C21506">
            <w:r>
              <w:t>MMN</w:t>
            </w:r>
            <w:r w:rsidR="00D07CF9">
              <w:t xml:space="preserve"> 400</w:t>
            </w:r>
          </w:p>
          <w:p w14:paraId="2764CE50" w14:textId="1CF7FE72" w:rsidR="00D07CF9" w:rsidRDefault="00D07CF9" w:rsidP="00C21506">
            <w:r>
              <w:t>IFA 393</w:t>
            </w:r>
          </w:p>
        </w:tc>
        <w:tc>
          <w:tcPr>
            <w:tcW w:w="4962" w:type="dxa"/>
            <w:tcBorders>
              <w:top w:val="single" w:sz="4" w:space="0" w:color="auto"/>
              <w:left w:val="single" w:sz="4" w:space="0" w:color="auto"/>
              <w:bottom w:val="single" w:sz="4" w:space="0" w:color="auto"/>
              <w:right w:val="single" w:sz="4" w:space="0" w:color="auto"/>
            </w:tcBorders>
          </w:tcPr>
          <w:p w14:paraId="187F8FC3" w14:textId="77777777" w:rsidR="000C073B" w:rsidRDefault="000C073B" w:rsidP="000C073B">
            <w:r w:rsidRPr="000C073B">
              <w:rPr>
                <w:b/>
              </w:rPr>
              <w:t>Aim</w:t>
            </w:r>
            <w:r>
              <w:t>: T</w:t>
            </w:r>
            <w:r w:rsidRPr="000C073B">
              <w:t>o investigate the effect of antenatal multiple micronutrients on subsequent lung function by measuring spiro</w:t>
            </w:r>
            <w:r>
              <w:t>metry at 7-9 years of age in c</w:t>
            </w:r>
            <w:r w:rsidRPr="000C073B">
              <w:t xml:space="preserve">hildren born during </w:t>
            </w:r>
            <w:r>
              <w:t>a</w:t>
            </w:r>
            <w:r w:rsidRPr="000C073B">
              <w:t xml:space="preserve"> trial</w:t>
            </w:r>
            <w:r>
              <w:t xml:space="preserve"> of micronutrients versus iron plus folic acid.</w:t>
            </w:r>
          </w:p>
          <w:p w14:paraId="614BA93A" w14:textId="5C2C3261" w:rsidR="00930367" w:rsidRPr="00E458A4" w:rsidRDefault="000C073B" w:rsidP="000C073B">
            <w:pPr>
              <w:rPr>
                <w:b/>
              </w:rPr>
            </w:pPr>
            <w:r w:rsidRPr="0084339C">
              <w:rPr>
                <w:b/>
              </w:rPr>
              <w:t>Methods</w:t>
            </w:r>
            <w:r>
              <w:t>:</w:t>
            </w:r>
            <w:r w:rsidRPr="000C073B">
              <w:t xml:space="preserve"> </w:t>
            </w:r>
            <w:r>
              <w:t>Children</w:t>
            </w:r>
            <w:r w:rsidRPr="000C073B">
              <w:t xml:space="preserve"> were seen at mean 8.5</w:t>
            </w:r>
            <w:r>
              <w:t>±</w:t>
            </w:r>
            <w:r w:rsidRPr="000C073B">
              <w:t>0.4 years. Technically successful spirometry results were obtained in 793 (94.3%) children, 50% of whom had been randomised to micronutrient supplementation. Background characteristics, including anthropometry, were similar in the two allocation groups.</w:t>
            </w:r>
          </w:p>
        </w:tc>
        <w:tc>
          <w:tcPr>
            <w:tcW w:w="4536" w:type="dxa"/>
            <w:tcBorders>
              <w:top w:val="single" w:sz="4" w:space="0" w:color="auto"/>
              <w:left w:val="single" w:sz="4" w:space="0" w:color="auto"/>
              <w:bottom w:val="single" w:sz="4" w:space="0" w:color="auto"/>
              <w:right w:val="single" w:sz="4" w:space="0" w:color="auto"/>
            </w:tcBorders>
          </w:tcPr>
          <w:p w14:paraId="3D66F31C" w14:textId="30945433" w:rsidR="00C24813" w:rsidRDefault="00C24813" w:rsidP="000C073B">
            <w:r>
              <w:t>MMN vs iron plus folic acid:</w:t>
            </w:r>
          </w:p>
          <w:p w14:paraId="168D3CC0" w14:textId="348B0EEF" w:rsidR="00C24813" w:rsidRDefault="00C24813" w:rsidP="00210C0F">
            <w:pPr>
              <w:pStyle w:val="bullet"/>
            </w:pPr>
            <w:r>
              <w:t>Forced expiratory volume: MD -0.08; 95%CI -0.19 to 0.04</w:t>
            </w:r>
            <w:r w:rsidR="000C073B" w:rsidRPr="000C073B">
              <w:t xml:space="preserve"> </w:t>
            </w:r>
          </w:p>
          <w:p w14:paraId="4240EF77" w14:textId="0432B666" w:rsidR="00C24813" w:rsidRDefault="00C24813" w:rsidP="00210C0F">
            <w:pPr>
              <w:pStyle w:val="bullet"/>
            </w:pPr>
            <w:r>
              <w:t>Forced vital capacity: MD -0.05; 95%CI -0.17 to 0.06</w:t>
            </w:r>
          </w:p>
          <w:p w14:paraId="2EA811EE" w14:textId="3216EA42" w:rsidR="00930367" w:rsidRPr="000C073B" w:rsidRDefault="00C24813" w:rsidP="00210C0F">
            <w:pPr>
              <w:pStyle w:val="bullet"/>
            </w:pPr>
            <w:r>
              <w:t xml:space="preserve">FEV1/FVC: MD -0.04; 95%CI -0.15 to </w:t>
            </w:r>
            <w:r w:rsidR="000C073B" w:rsidRPr="000C073B">
              <w:t>0.07</w:t>
            </w:r>
          </w:p>
        </w:tc>
        <w:tc>
          <w:tcPr>
            <w:tcW w:w="1843" w:type="dxa"/>
            <w:tcBorders>
              <w:top w:val="single" w:sz="4" w:space="0" w:color="auto"/>
              <w:left w:val="single" w:sz="4" w:space="0" w:color="auto"/>
              <w:bottom w:val="single" w:sz="4" w:space="0" w:color="auto"/>
              <w:right w:val="single" w:sz="4" w:space="0" w:color="auto"/>
            </w:tcBorders>
          </w:tcPr>
          <w:p w14:paraId="00C4949B" w14:textId="77777777" w:rsidR="00930367" w:rsidRPr="00D150D8" w:rsidRDefault="00930367" w:rsidP="00C21506">
            <w:pPr>
              <w:keepNext/>
            </w:pPr>
          </w:p>
        </w:tc>
      </w:tr>
      <w:tr w:rsidR="000C073B" w:rsidRPr="00D150D8" w14:paraId="730EF1D9" w14:textId="77777777" w:rsidTr="00C2150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1A2E4D12" w14:textId="4B445A5B" w:rsidR="000C073B" w:rsidRDefault="00F57623" w:rsidP="00C21506">
            <w:r>
              <w:t>Schulze et al 2019</w:t>
            </w:r>
            <w:r w:rsidR="00BA7CBD">
              <w:fldChar w:fldCharType="begin">
                <w:fldData xml:space="preserve">PEVuZE5vdGU+PENpdGU+PEF1dGhvcj5TY2h1bHplPC9BdXRob3I+PFllYXI+MjAxOTwvWWVhcj48
UmVjTnVtPjE4MTc8L1JlY051bT48RGlzcGxheVRleHQ+PHN0eWxlIGZhY2U9InN1cGVyc2NyaXB0
IiBmb250PSJUcmVidWNoZXQgTVMiIHNpemU9IjkiPjE2OTwvc3R5bGU+PC9EaXNwbGF5VGV4dD48
cmVjb3JkPjxyZWMtbnVtYmVyPjE4MTc8L3JlYy1udW1iZXI+PGZvcmVpZ24ta2V5cz48a2V5IGFw
cD0iRU4iIGRiLWlkPSJleHZhc3JmeDJkdHJhb2VzYXN4cDJzenN4YTJkZjUwMjU5MngiIHRpbWVz
dGFtcD0iMTU4MzcyNjQ3MiI+MTgxNzwva2V5PjxrZXkgYXBwPSJFTldlYiIgZGItaWQ9IiI+MDwv
a2V5PjwvZm9yZWlnbi1rZXlzPjxyZWYtdHlwZSBuYW1lPSJKb3VybmFsIEFydGljbGUiPjE3PC9y
ZWYtdHlwZT48Y29udHJpYnV0b3JzPjxhdXRob3JzPjxhdXRob3I+U2NodWx6ZSwgSy4gSi48L2F1
dGhvcj48YXV0aG9yPk1laHJhLCBTLjwvYXV0aG9yPjxhdXRob3I+U2hhaWtoLCBTLjwvYXV0aG9y
PjxhdXRob3I+QWxpLCBILjwvYXV0aG9yPjxhdXRob3I+U2hhbWltLCBBLiBBLjwvYXV0aG9yPjxh
dXRob3I+V3UsIEwuIFMuPC9hdXRob3I+PGF1dGhvcj5NaXRyYSwgTS48L2F1dGhvcj48YXV0aG9y
PkFyZ3VlbGxvLCBNLiBBLjwvYXV0aG9yPjxhdXRob3I+S211c2gsIEIuPC9hdXRob3I+PGF1dGhv
cj5TdW5ncHVhZywgUC48L2F1dGhvcj48YXV0aG9yPlVkb21rZXNtZWxlZSwgRS48L2F1dGhvcj48
YXV0aG9yPk1lcnJpbGwsIFIuPC9hdXRob3I+PGF1dGhvcj5LbGVtbSwgUi4gRC4gVy48L2F1dGhv
cj48YXV0aG9yPlVsbGFoLCBCLjwvYXV0aG9yPjxhdXRob3I+TGFicmlxdWUsIEEuIEIuPC9hdXRo
b3I+PGF1dGhvcj5XZXN0LCBLLiBQLjwvYXV0aG9yPjxhdXRob3I+Q2hyaXN0aWFuLCBQLjwvYXV0
aG9yPjwvYXV0aG9ycz48L2NvbnRyaWJ1dG9ycz48YXV0aC1hZGRyZXNzPkNlbnRlciBmb3IgSHVt
YW4gTnV0cml0aW9uLCBEZXBhcnRtZW50IG9mIEludGVybmF0aW9uYWwgSGVhbHRoLCBKb2hucyBI
b3BraW5zIEJsb29tYmVyZyBTY2hvb2wgb2YgUHVibGljIEhlYWx0aCwgQmFsdGltb3JlLCBNRC4m
I3hEO1RoZSBKaVZpdEEgUHJvamVjdCBvZiBKb2hucyBIb3BraW5zIFVuaXZlcnNpdHksIEJhbmds
YWRlc2gsIEdhaWJhbmRoYSwgQmFuZ2xhZGVzaC4mI3hEO0luc3RpdHV0ZSBvZiBOdXRyaXRpb24s
IE1haGlkb2wgVW5pdmVyc2l0eSwgQmFuZ2tvaywgVGhhaWxhbmQuPC9hdXRoLWFkZHJlc3M+PHRp
dGxlcz48dGl0bGU+QW50ZW5hdGFsIG11bHRpcGxlIG1pY3JvbnV0cmllbnQgc3VwcGxlbWVudGF0
aW9uIGNvbXBhcmVkIHRvIGlyb24tZm9saWMgYWNpZCBhZmZlY3RzIG1pY3JvbnV0cmllbnQgc3Rh
dHVzIGJ1dCBkb2VzIG5vdCBlbGltaW5hdGUgZGVmaWNpZW5jaWVzIGluIGEgcmFuZG9taXplZCBj
b250cm9sbGVkIHRyaWFsIGFtb25nIHByZWduYW50IHdvbWVuIG9mIHJ1cmFsIEJhbmdsYWRlc2g8
L3RpdGxlPjxzZWNvbmRhcnktdGl0bGU+SiBOdXRyPC9zZWNvbmRhcnktdGl0bGU+PC90aXRsZXM+
PHBlcmlvZGljYWw+PGZ1bGwtdGl0bGU+SiBOdXRyPC9mdWxsLXRpdGxlPjwvcGVyaW9kaWNhbD48
cGFnZXM+MTI2MC0xMjcwPC9wYWdlcz48dm9sdW1lPjE0OTwvdm9sdW1lPjxudW1iZXI+NzwvbnVt
YmVyPjxlZGl0aW9uPjIwMTkvMDQvMjM8L2VkaXRpb24+PGtleXdvcmRzPjxrZXl3b3JkPkJhbmds
YWRlc2g8L2tleXdvcmQ+PGtleXdvcmQ+U291dGggQXNpYTwva2V5d29yZD48a2V5d29yZD5hbnRl
bmF0YWw8L2tleXdvcmQ+PGtleXdvcmQ+bWljcm9udXRyaWVudHM8L2tleXdvcmQ+PGtleXdvcmQ+
bWluZXJhbHM8L2tleXdvcmQ+PGtleXdvcmQ+cHJlZ25hbmN5PC9rZXl3b3JkPjxrZXl3b3JkPnN1
cHBsZW1lbnRhdGlvbjwva2V5d29yZD48a2V5d29yZD50cmlhbDwva2V5d29yZD48a2V5d29yZD52
aXRhbWluczwva2V5d29yZD48L2tleXdvcmRzPjxkYXRlcz48eWVhcj4yMDE5PC95ZWFyPjxwdWIt
ZGF0ZXM+PGRhdGU+SnVsIDE8L2RhdGU+PC9wdWItZGF0ZXM+PC9kYXRlcz48aXNibj4xNTQxLTYx
MDAgKEVsZWN0cm9uaWMpJiN4RDswMDIyLTMxNjYgKExpbmtpbmcpPC9pc2JuPjxhY2Nlc3Npb24t
bnVtPjMxMDA2ODA2PC9hY2Nlc3Npb24tbnVtPjx1cmxzPjxyZWxhdGVkLXVybHM+PHVybD5odHRw
czovL3d3dy5uY2JpLm5sbS5uaWguZ292L3B1Ym1lZC8zMTAwNjgwNjwvdXJsPjwvcmVsYXRlZC11
cmxzPjwvdXJscz48Y3VzdG9tMj5QTUM2NjAyODkwPC9jdXN0b20yPjxlbGVjdHJvbmljLXJlc291
cmNlLW51bT4xMC4xMDkzL2puL254ejA0NjwvZWxlY3Ryb25pYy1yZXNvdXJjZS1udW0+PC9yZWNv
cmQ+PC9DaXRlPjwvRW5kTm90ZT4A
</w:fldData>
              </w:fldChar>
            </w:r>
            <w:r w:rsidR="002747EA">
              <w:instrText xml:space="preserve"> ADDIN EN.CITE </w:instrText>
            </w:r>
            <w:r w:rsidR="002747EA">
              <w:fldChar w:fldCharType="begin">
                <w:fldData xml:space="preserve">PEVuZE5vdGU+PENpdGU+PEF1dGhvcj5TY2h1bHplPC9BdXRob3I+PFllYXI+MjAxOTwvWWVhcj48
UmVjTnVtPjE4MTc8L1JlY051bT48RGlzcGxheVRleHQ+PHN0eWxlIGZhY2U9InN1cGVyc2NyaXB0
IiBmb250PSJUcmVidWNoZXQgTVMiIHNpemU9IjkiPjE2OTwvc3R5bGU+PC9EaXNwbGF5VGV4dD48
cmVjb3JkPjxyZWMtbnVtYmVyPjE4MTc8L3JlYy1udW1iZXI+PGZvcmVpZ24ta2V5cz48a2V5IGFw
cD0iRU4iIGRiLWlkPSJleHZhc3JmeDJkdHJhb2VzYXN4cDJzenN4YTJkZjUwMjU5MngiIHRpbWVz
dGFtcD0iMTU4MzcyNjQ3MiI+MTgxNzwva2V5PjxrZXkgYXBwPSJFTldlYiIgZGItaWQ9IiI+MDwv
a2V5PjwvZm9yZWlnbi1rZXlzPjxyZWYtdHlwZSBuYW1lPSJKb3VybmFsIEFydGljbGUiPjE3PC9y
ZWYtdHlwZT48Y29udHJpYnV0b3JzPjxhdXRob3JzPjxhdXRob3I+U2NodWx6ZSwgSy4gSi48L2F1
dGhvcj48YXV0aG9yPk1laHJhLCBTLjwvYXV0aG9yPjxhdXRob3I+U2hhaWtoLCBTLjwvYXV0aG9y
PjxhdXRob3I+QWxpLCBILjwvYXV0aG9yPjxhdXRob3I+U2hhbWltLCBBLiBBLjwvYXV0aG9yPjxh
dXRob3I+V3UsIEwuIFMuPC9hdXRob3I+PGF1dGhvcj5NaXRyYSwgTS48L2F1dGhvcj48YXV0aG9y
PkFyZ3VlbGxvLCBNLiBBLjwvYXV0aG9yPjxhdXRob3I+S211c2gsIEIuPC9hdXRob3I+PGF1dGhv
cj5TdW5ncHVhZywgUC48L2F1dGhvcj48YXV0aG9yPlVkb21rZXNtZWxlZSwgRS48L2F1dGhvcj48
YXV0aG9yPk1lcnJpbGwsIFIuPC9hdXRob3I+PGF1dGhvcj5LbGVtbSwgUi4gRC4gVy48L2F1dGhv
cj48YXV0aG9yPlVsbGFoLCBCLjwvYXV0aG9yPjxhdXRob3I+TGFicmlxdWUsIEEuIEIuPC9hdXRo
b3I+PGF1dGhvcj5XZXN0LCBLLiBQLjwvYXV0aG9yPjxhdXRob3I+Q2hyaXN0aWFuLCBQLjwvYXV0
aG9yPjwvYXV0aG9ycz48L2NvbnRyaWJ1dG9ycz48YXV0aC1hZGRyZXNzPkNlbnRlciBmb3IgSHVt
YW4gTnV0cml0aW9uLCBEZXBhcnRtZW50IG9mIEludGVybmF0aW9uYWwgSGVhbHRoLCBKb2hucyBI
b3BraW5zIEJsb29tYmVyZyBTY2hvb2wgb2YgUHVibGljIEhlYWx0aCwgQmFsdGltb3JlLCBNRC4m
I3hEO1RoZSBKaVZpdEEgUHJvamVjdCBvZiBKb2hucyBIb3BraW5zIFVuaXZlcnNpdHksIEJhbmds
YWRlc2gsIEdhaWJhbmRoYSwgQmFuZ2xhZGVzaC4mI3hEO0luc3RpdHV0ZSBvZiBOdXRyaXRpb24s
IE1haGlkb2wgVW5pdmVyc2l0eSwgQmFuZ2tvaywgVGhhaWxhbmQuPC9hdXRoLWFkZHJlc3M+PHRp
dGxlcz48dGl0bGU+QW50ZW5hdGFsIG11bHRpcGxlIG1pY3JvbnV0cmllbnQgc3VwcGxlbWVudGF0
aW9uIGNvbXBhcmVkIHRvIGlyb24tZm9saWMgYWNpZCBhZmZlY3RzIG1pY3JvbnV0cmllbnQgc3Rh
dHVzIGJ1dCBkb2VzIG5vdCBlbGltaW5hdGUgZGVmaWNpZW5jaWVzIGluIGEgcmFuZG9taXplZCBj
b250cm9sbGVkIHRyaWFsIGFtb25nIHByZWduYW50IHdvbWVuIG9mIHJ1cmFsIEJhbmdsYWRlc2g8
L3RpdGxlPjxzZWNvbmRhcnktdGl0bGU+SiBOdXRyPC9zZWNvbmRhcnktdGl0bGU+PC90aXRsZXM+
PHBlcmlvZGljYWw+PGZ1bGwtdGl0bGU+SiBOdXRyPC9mdWxsLXRpdGxlPjwvcGVyaW9kaWNhbD48
cGFnZXM+MTI2MC0xMjcwPC9wYWdlcz48dm9sdW1lPjE0OTwvdm9sdW1lPjxudW1iZXI+NzwvbnVt
YmVyPjxlZGl0aW9uPjIwMTkvMDQvMjM8L2VkaXRpb24+PGtleXdvcmRzPjxrZXl3b3JkPkJhbmds
YWRlc2g8L2tleXdvcmQ+PGtleXdvcmQ+U291dGggQXNpYTwva2V5d29yZD48a2V5d29yZD5hbnRl
bmF0YWw8L2tleXdvcmQ+PGtleXdvcmQ+bWljcm9udXRyaWVudHM8L2tleXdvcmQ+PGtleXdvcmQ+
bWluZXJhbHM8L2tleXdvcmQ+PGtleXdvcmQ+cHJlZ25hbmN5PC9rZXl3b3JkPjxrZXl3b3JkPnN1
cHBsZW1lbnRhdGlvbjwva2V5d29yZD48a2V5d29yZD50cmlhbDwva2V5d29yZD48a2V5d29yZD52
aXRhbWluczwva2V5d29yZD48L2tleXdvcmRzPjxkYXRlcz48eWVhcj4yMDE5PC95ZWFyPjxwdWIt
ZGF0ZXM+PGRhdGU+SnVsIDE8L2RhdGU+PC9wdWItZGF0ZXM+PC9kYXRlcz48aXNibj4xNTQxLTYx
MDAgKEVsZWN0cm9uaWMpJiN4RDswMDIyLTMxNjYgKExpbmtpbmcpPC9pc2JuPjxhY2Nlc3Npb24t
bnVtPjMxMDA2ODA2PC9hY2Nlc3Npb24tbnVtPjx1cmxzPjxyZWxhdGVkLXVybHM+PHVybD5odHRw
czovL3d3dy5uY2JpLm5sbS5uaWguZ292L3B1Ym1lZC8zMTAwNjgwNjwvdXJsPjwvcmVsYXRlZC11
cmxzPjwvdXJscz48Y3VzdG9tMj5QTUM2NjAyODkwPC9jdXN0b20yPjxlbGVjdHJvbmljLXJlc291
cmNlLW51bT4xMC4xMDkzL2puL254ejA0NjwvZWxlY3Ryb25pYy1yZXNvdXJjZS1udW0+PC9yZWNv
cmQ+PC9DaXRlPjwvRW5kTm90ZT4A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169</w:t>
            </w:r>
            <w:r w:rsidR="00BA7CBD">
              <w:fldChar w:fldCharType="end"/>
            </w:r>
          </w:p>
          <w:p w14:paraId="16D1741E" w14:textId="7D4F599E" w:rsidR="00F57623" w:rsidRDefault="00F57623" w:rsidP="00C21506">
            <w:r>
              <w:t>Bangladesh</w:t>
            </w:r>
          </w:p>
        </w:tc>
        <w:tc>
          <w:tcPr>
            <w:tcW w:w="1247" w:type="dxa"/>
            <w:tcBorders>
              <w:top w:val="single" w:sz="4" w:space="0" w:color="auto"/>
              <w:left w:val="single" w:sz="4" w:space="0" w:color="auto"/>
              <w:bottom w:val="single" w:sz="4" w:space="0" w:color="auto"/>
              <w:right w:val="single" w:sz="4" w:space="0" w:color="auto"/>
            </w:tcBorders>
          </w:tcPr>
          <w:p w14:paraId="7D9E1975" w14:textId="77777777" w:rsidR="000C073B" w:rsidRDefault="00F57623" w:rsidP="00C21506">
            <w:r>
              <w:t>MM 749</w:t>
            </w:r>
          </w:p>
          <w:p w14:paraId="7C605CAA" w14:textId="6EB985D5" w:rsidR="00F57623" w:rsidRDefault="00F57623" w:rsidP="00C21506">
            <w:r>
              <w:t>IFA 777</w:t>
            </w:r>
          </w:p>
        </w:tc>
        <w:tc>
          <w:tcPr>
            <w:tcW w:w="4962" w:type="dxa"/>
            <w:tcBorders>
              <w:top w:val="single" w:sz="4" w:space="0" w:color="auto"/>
              <w:left w:val="single" w:sz="4" w:space="0" w:color="auto"/>
              <w:bottom w:val="single" w:sz="4" w:space="0" w:color="auto"/>
              <w:right w:val="single" w:sz="4" w:space="0" w:color="auto"/>
            </w:tcBorders>
          </w:tcPr>
          <w:p w14:paraId="119A46E8" w14:textId="0C4FDC0D" w:rsidR="00F57623" w:rsidRDefault="00F57623" w:rsidP="00F57623">
            <w:r w:rsidRPr="00F57623">
              <w:rPr>
                <w:b/>
              </w:rPr>
              <w:t>Aim</w:t>
            </w:r>
            <w:r>
              <w:t>: To assess</w:t>
            </w:r>
            <w:r w:rsidRPr="00F57623">
              <w:t xml:space="preserve"> the efficacy of a daily </w:t>
            </w:r>
            <w:r>
              <w:t>multiple micronutrient (</w:t>
            </w:r>
            <w:r w:rsidRPr="00F57623">
              <w:t>MM</w:t>
            </w:r>
            <w:r>
              <w:t>)</w:t>
            </w:r>
            <w:r w:rsidRPr="00F57623">
              <w:t xml:space="preserve"> (15 nutrients) compared with </w:t>
            </w:r>
            <w:r>
              <w:t>iron plus folic acid (</w:t>
            </w:r>
            <w:r w:rsidRPr="00F57623">
              <w:t>IFA</w:t>
            </w:r>
            <w:r>
              <w:t>)</w:t>
            </w:r>
            <w:r w:rsidRPr="00F57623">
              <w:t xml:space="preserve"> supplement, each providing approximately 1 RDA of nutrients and given beginning at pregnancy ascertainment, on late pregnancy micronutrient status of women in rural Bangladesh. </w:t>
            </w:r>
          </w:p>
          <w:p w14:paraId="17CFE7B0" w14:textId="7B9580F6" w:rsidR="000C073B" w:rsidRPr="000C073B" w:rsidRDefault="00F57623" w:rsidP="0084339C">
            <w:pPr>
              <w:rPr>
                <w:b/>
              </w:rPr>
            </w:pPr>
            <w:r w:rsidRPr="00F57623">
              <w:rPr>
                <w:b/>
              </w:rPr>
              <w:t>Methods</w:t>
            </w:r>
            <w:r w:rsidRPr="00F57623">
              <w:t>: Within a double-masked trial (JiVitA-3) among 44,500 pregnant women, micronutrient status indicators were assessed in women, allocated</w:t>
            </w:r>
            <w:r>
              <w:t xml:space="preserve"> by cluster to receive daily MM</w:t>
            </w:r>
            <w:r w:rsidRPr="00F57623">
              <w:t xml:space="preserve"> or IFA at 10 wk (baseline: before supplementation) and 32 wk (during supplementation) gestation. Efficacy of MM supplementation on micronutrient status indicators at 32 wk was assessed, controlling for baseline status and other covariates (e.g., inflammation and season), in regression models. </w:t>
            </w:r>
          </w:p>
        </w:tc>
        <w:tc>
          <w:tcPr>
            <w:tcW w:w="4536" w:type="dxa"/>
            <w:tcBorders>
              <w:top w:val="single" w:sz="4" w:space="0" w:color="auto"/>
              <w:left w:val="single" w:sz="4" w:space="0" w:color="auto"/>
              <w:bottom w:val="single" w:sz="4" w:space="0" w:color="auto"/>
              <w:right w:val="single" w:sz="4" w:space="0" w:color="auto"/>
            </w:tcBorders>
          </w:tcPr>
          <w:p w14:paraId="1DF7FD37" w14:textId="63728FC5" w:rsidR="000C073B" w:rsidRPr="00F57623" w:rsidRDefault="00F57623" w:rsidP="00F57623">
            <w:r w:rsidRPr="00F57623">
              <w:t>At 32 wk gestation, vitamin B-12, A, and D and zinc status indicators were 3.7-13.7% higher, and ferritin, gamma-tocopherol, and thyroglobulin indicators were 8.7-16.6% lower, for the MM group compared with the IFA group, with a 15-38% lower prevalence of deficiencies of vitamins B-12, A, and D and zinc (all P &lt; 0.05). However, indicators typically suggested worsening status during pregnancy, even with supplementation, and baseline status or other covariates were more strongly associated with late pregnancy indicators than was MM supplementation. </w:t>
            </w:r>
          </w:p>
        </w:tc>
        <w:tc>
          <w:tcPr>
            <w:tcW w:w="1843" w:type="dxa"/>
            <w:tcBorders>
              <w:top w:val="single" w:sz="4" w:space="0" w:color="auto"/>
              <w:left w:val="single" w:sz="4" w:space="0" w:color="auto"/>
              <w:bottom w:val="single" w:sz="4" w:space="0" w:color="auto"/>
              <w:right w:val="single" w:sz="4" w:space="0" w:color="auto"/>
            </w:tcBorders>
          </w:tcPr>
          <w:p w14:paraId="4DB9FC40" w14:textId="77777777" w:rsidR="000C073B" w:rsidRPr="00D150D8" w:rsidRDefault="000C073B" w:rsidP="00C21506">
            <w:pPr>
              <w:keepNext/>
            </w:pPr>
          </w:p>
        </w:tc>
      </w:tr>
      <w:tr w:rsidR="00F4297E" w:rsidRPr="00D150D8" w14:paraId="29160210" w14:textId="77777777" w:rsidTr="00C2150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4" w:type="dxa"/>
            <w:tcBorders>
              <w:top w:val="single" w:sz="4" w:space="0" w:color="auto"/>
              <w:left w:val="single" w:sz="4" w:space="0" w:color="auto"/>
              <w:bottom w:val="single" w:sz="4" w:space="0" w:color="auto"/>
              <w:right w:val="single" w:sz="4" w:space="0" w:color="auto"/>
            </w:tcBorders>
          </w:tcPr>
          <w:p w14:paraId="2AAABE80" w14:textId="2BAD6AAB" w:rsidR="00F4297E" w:rsidRDefault="00F4297E" w:rsidP="00F4297E">
            <w:r w:rsidRPr="00F4297E">
              <w:t>Taghizadeh</w:t>
            </w:r>
            <w:r>
              <w:t xml:space="preserve"> et al 2015</w:t>
            </w:r>
            <w:r w:rsidR="00BA7CBD">
              <w:fldChar w:fldCharType="begin">
                <w:fldData xml:space="preserve">PEVuZE5vdGU+PENpdGU+PEF1dGhvcj5UYWdoaXphZGVoPC9BdXRob3I+PFllYXI+MjAxNTwvWWVh
cj48UmVjTnVtPjE4MjA8L1JlY051bT48RGlzcGxheVRleHQ+PHN0eWxlIGZhY2U9InN1cGVyc2Ny
aXB0IiBmb250PSJUcmVidWNoZXQgTVMiIHNpemU9IjkiPjE3MDwvc3R5bGU+PC9EaXNwbGF5VGV4
dD48cmVjb3JkPjxyZWMtbnVtYmVyPjE4MjA8L3JlYy1udW1iZXI+PGZvcmVpZ24ta2V5cz48a2V5
IGFwcD0iRU4iIGRiLWlkPSJleHZhc3JmeDJkdHJhb2VzYXN4cDJzenN4YTJkZjUwMjU5MngiIHRp
bWVzdGFtcD0iMTU4MzcyNjQ5MiI+MTgyMDwva2V5PjxrZXkgYXBwPSJFTldlYiIgZGItaWQ9IiI+
MDwva2V5PjwvZm9yZWlnbi1rZXlzPjxyZWYtdHlwZSBuYW1lPSJKb3VybmFsIEFydGljbGUiPjE3
PC9yZWYtdHlwZT48Y29udHJpYnV0b3JzPjxhdXRob3JzPjxhdXRob3I+VGFnaGl6YWRlaCwgTS48
L2F1dGhvcj48YXV0aG9yPlNhbWltaSwgTS48L2F1dGhvcj48YXV0aG9yPktvbGFoZG9veiwgRi48
L2F1dGhvcj48YXV0aG9yPlRhYmFzc2ksIFouPC9hdXRob3I+PGF1dGhvcj5KYW1pbGlhbiwgTS48
L2F1dGhvcj48YXV0aG9yPkFzZW1pLCBaLjwvYXV0aG9yPjwvYXV0aG9ycz48L2NvbnRyaWJ1dG9y
cz48YXV0aC1hZGRyZXNzPmEgUmVzZWFyY2ggQ2VudGVyIGZvciBCaW9jaGVtaXN0cnkgYW5kIE51
dHJpdGlvbiBpbiBNZXRhYm9saWMgRGlzZWFzZXMsIEthc2hhbiBVbml2ZXJzaXR5IG9mIE1lZGlj
YWwgU2NpZW5jZXMgLCBLYXNoYW4gLCBJLlIuIElyYW4uJiN4RDtiIERlcGFydG1lbnQgb2YgR3lu
ZWNvbG9neSBhbmQgT2JzdGV0cmljcyAsIFNjaG9vbCBvZiBNZWRpY2luZSwgS2FzaGFuIFVuaXZl
cnNpdHkgb2YgTWVkaWNhbCBTY2llbmNlcyAsIEthc2hhbiAsIEkuUi4gSXJhbi4mI3hEO2MgQWJv
cmlnaW5hbCBhbmQgR2xvYmFsIEhlYWx0aCBSZXNlYXJjaCBHcm91cCwgRGVwYXJ0bWVudCBvZiBN
ZWRpY2luZSAsIFVuaXZlcnNpdHkgb2YgQWxiZXJ0YSAsIEVkbW9udG9uICwgQ2FuYWRhICwgYW5k
LiYjeEQ7ZCBEZXBhcnRtZW50IG9mIEd5bmVjb2xvZ3kgYW5kIE9ic3RldHJpY3MgLCBTY2hvb2wg
b2YgTWVkaWNpbmUsIEFyYWsgVW5pdmVyc2l0eSBvZiBNZWRpY2FsIFNjaWVuY2VzICwgQXJhayAs
IElyYW4uPC9hdXRoLWFkZHJlc3M+PHRpdGxlcz48dGl0bGU+RWZmZWN0IG9mIG11bHRpdml0YW1p
biB2ZXJzdXMgbXVsdGl2aXRhbWluLW1pbmVyYWwgc3VwcGxlbWVudGF0aW9uIG9uIG1ldGFib2xp
YyBwcm9maWxlcyBhbmQgYmlvbWFya2VycyBvZiBveGlkYXRpdmUgc3RyZXNzIGluIHByZWduYW50
IHdvbWVuOiBhIGRvdWJsZS1ibGluZCByYW5kb21pemVkIGNsaW5pY2FsIHRyaWFsPC90aXRsZT48
c2Vjb25kYXJ5LXRpdGxlPkogTWF0ZXJuIEZldGFsIE5lb25hdGFsIE1lZDwvc2Vjb25kYXJ5LXRp
dGxlPjwvdGl0bGVzPjxwZXJpb2RpY2FsPjxmdWxsLXRpdGxlPkogTWF0ZXJuIEZldGFsIE5lb25h
dGFsIE1lZDwvZnVsbC10aXRsZT48L3BlcmlvZGljYWw+PHBhZ2VzPjEzMzYtMTM0MjwvcGFnZXM+
PHZvbHVtZT4yODwvdm9sdW1lPjxudW1iZXI+MTE8L251bWJlcj48ZWRpdGlvbj4yMDE0LzA4LzE1
PC9lZGl0aW9uPjxrZXl3b3Jkcz48a2V5d29yZD5NZXRhYm9saWMgcHJvZmlsZXM8L2tleXdvcmQ+
PGtleXdvcmQ+bWljcm9udXRyaWVudDwva2V5d29yZD48a2V5d29yZD5veGlkYXRpdmUgc3RyZXNz
PC9rZXl3b3JkPjxrZXl3b3JkPnByZWduYW5jeTwva2V5d29yZD48a2V5d29yZD5zdXBwbGVtZW50
YXRpb248L2tleXdvcmQ+PC9rZXl3b3Jkcz48ZGF0ZXM+PHllYXI+MjAxNTwveWVhcj48cHViLWRh
dGVzPjxkYXRlPkp1bDwvZGF0ZT48L3B1Yi1kYXRlcz48L2RhdGVzPjxpc2JuPjE0NzYtNDk1NCAo
RWxlY3Ryb25pYykmI3hEOzE0NzYtNDk1NCAoTGlua2luZyk8L2lzYm4+PGFjY2Vzc2lvbi1udW0+
MjUxMTUxNjQ8L2FjY2Vzc2lvbi1udW0+PHVybHM+PHJlbGF0ZWQtdXJscz48dXJsPmh0dHBzOi8v
d3d3Lm5jYmkubmxtLm5paC5nb3YvcHVibWVkLzI1MTE1MTY0PC91cmw+PC9yZWxhdGVkLXVybHM+
PC91cmxzPjxlbGVjdHJvbmljLXJlc291cmNlLW51bT4xMC4zMTA5LzE0NzY3MDU4LjIwMTQuOTU0
MjQxPC9lbGVjdHJvbmljLXJlc291cmNlLW51bT48L3JlY29yZD48L0NpdGU+PC9FbmROb3RlPn==
</w:fldData>
              </w:fldChar>
            </w:r>
            <w:r w:rsidR="002747EA">
              <w:instrText xml:space="preserve"> ADDIN EN.CITE </w:instrText>
            </w:r>
            <w:r w:rsidR="002747EA">
              <w:fldChar w:fldCharType="begin">
                <w:fldData xml:space="preserve">PEVuZE5vdGU+PENpdGU+PEF1dGhvcj5UYWdoaXphZGVoPC9BdXRob3I+PFllYXI+MjAxNTwvWWVh
cj48UmVjTnVtPjE4MjA8L1JlY051bT48RGlzcGxheVRleHQ+PHN0eWxlIGZhY2U9InN1cGVyc2Ny
aXB0IiBmb250PSJUcmVidWNoZXQgTVMiIHNpemU9IjkiPjE3MDwvc3R5bGU+PC9EaXNwbGF5VGV4
dD48cmVjb3JkPjxyZWMtbnVtYmVyPjE4MjA8L3JlYy1udW1iZXI+PGZvcmVpZ24ta2V5cz48a2V5
IGFwcD0iRU4iIGRiLWlkPSJleHZhc3JmeDJkdHJhb2VzYXN4cDJzenN4YTJkZjUwMjU5MngiIHRp
bWVzdGFtcD0iMTU4MzcyNjQ5MiI+MTgyMDwva2V5PjxrZXkgYXBwPSJFTldlYiIgZGItaWQ9IiI+
MDwva2V5PjwvZm9yZWlnbi1rZXlzPjxyZWYtdHlwZSBuYW1lPSJKb3VybmFsIEFydGljbGUiPjE3
PC9yZWYtdHlwZT48Y29udHJpYnV0b3JzPjxhdXRob3JzPjxhdXRob3I+VGFnaGl6YWRlaCwgTS48
L2F1dGhvcj48YXV0aG9yPlNhbWltaSwgTS48L2F1dGhvcj48YXV0aG9yPktvbGFoZG9veiwgRi48
L2F1dGhvcj48YXV0aG9yPlRhYmFzc2ksIFouPC9hdXRob3I+PGF1dGhvcj5KYW1pbGlhbiwgTS48
L2F1dGhvcj48YXV0aG9yPkFzZW1pLCBaLjwvYXV0aG9yPjwvYXV0aG9ycz48L2NvbnRyaWJ1dG9y
cz48YXV0aC1hZGRyZXNzPmEgUmVzZWFyY2ggQ2VudGVyIGZvciBCaW9jaGVtaXN0cnkgYW5kIE51
dHJpdGlvbiBpbiBNZXRhYm9saWMgRGlzZWFzZXMsIEthc2hhbiBVbml2ZXJzaXR5IG9mIE1lZGlj
YWwgU2NpZW5jZXMgLCBLYXNoYW4gLCBJLlIuIElyYW4uJiN4RDtiIERlcGFydG1lbnQgb2YgR3lu
ZWNvbG9neSBhbmQgT2JzdGV0cmljcyAsIFNjaG9vbCBvZiBNZWRpY2luZSwgS2FzaGFuIFVuaXZl
cnNpdHkgb2YgTWVkaWNhbCBTY2llbmNlcyAsIEthc2hhbiAsIEkuUi4gSXJhbi4mI3hEO2MgQWJv
cmlnaW5hbCBhbmQgR2xvYmFsIEhlYWx0aCBSZXNlYXJjaCBHcm91cCwgRGVwYXJ0bWVudCBvZiBN
ZWRpY2luZSAsIFVuaXZlcnNpdHkgb2YgQWxiZXJ0YSAsIEVkbW9udG9uICwgQ2FuYWRhICwgYW5k
LiYjeEQ7ZCBEZXBhcnRtZW50IG9mIEd5bmVjb2xvZ3kgYW5kIE9ic3RldHJpY3MgLCBTY2hvb2wg
b2YgTWVkaWNpbmUsIEFyYWsgVW5pdmVyc2l0eSBvZiBNZWRpY2FsIFNjaWVuY2VzICwgQXJhayAs
IElyYW4uPC9hdXRoLWFkZHJlc3M+PHRpdGxlcz48dGl0bGU+RWZmZWN0IG9mIG11bHRpdml0YW1p
biB2ZXJzdXMgbXVsdGl2aXRhbWluLW1pbmVyYWwgc3VwcGxlbWVudGF0aW9uIG9uIG1ldGFib2xp
YyBwcm9maWxlcyBhbmQgYmlvbWFya2VycyBvZiBveGlkYXRpdmUgc3RyZXNzIGluIHByZWduYW50
IHdvbWVuOiBhIGRvdWJsZS1ibGluZCByYW5kb21pemVkIGNsaW5pY2FsIHRyaWFsPC90aXRsZT48
c2Vjb25kYXJ5LXRpdGxlPkogTWF0ZXJuIEZldGFsIE5lb25hdGFsIE1lZDwvc2Vjb25kYXJ5LXRp
dGxlPjwvdGl0bGVzPjxwZXJpb2RpY2FsPjxmdWxsLXRpdGxlPkogTWF0ZXJuIEZldGFsIE5lb25h
dGFsIE1lZDwvZnVsbC10aXRsZT48L3BlcmlvZGljYWw+PHBhZ2VzPjEzMzYtMTM0MjwvcGFnZXM+
PHZvbHVtZT4yODwvdm9sdW1lPjxudW1iZXI+MTE8L251bWJlcj48ZWRpdGlvbj4yMDE0LzA4LzE1
PC9lZGl0aW9uPjxrZXl3b3Jkcz48a2V5d29yZD5NZXRhYm9saWMgcHJvZmlsZXM8L2tleXdvcmQ+
PGtleXdvcmQ+bWljcm9udXRyaWVudDwva2V5d29yZD48a2V5d29yZD5veGlkYXRpdmUgc3RyZXNz
PC9rZXl3b3JkPjxrZXl3b3JkPnByZWduYW5jeTwva2V5d29yZD48a2V5d29yZD5zdXBwbGVtZW50
YXRpb248L2tleXdvcmQ+PC9rZXl3b3Jkcz48ZGF0ZXM+PHllYXI+MjAxNTwveWVhcj48cHViLWRh
dGVzPjxkYXRlPkp1bDwvZGF0ZT48L3B1Yi1kYXRlcz48L2RhdGVzPjxpc2JuPjE0NzYtNDk1NCAo
RWxlY3Ryb25pYykmI3hEOzE0NzYtNDk1NCAoTGlua2luZyk8L2lzYm4+PGFjY2Vzc2lvbi1udW0+
MjUxMTUxNjQ8L2FjY2Vzc2lvbi1udW0+PHVybHM+PHJlbGF0ZWQtdXJscz48dXJsPmh0dHBzOi8v
d3d3Lm5jYmkubmxtLm5paC5nb3YvcHVibWVkLzI1MTE1MTY0PC91cmw+PC9yZWxhdGVkLXVybHM+
PC91cmxzPjxlbGVjdHJvbmljLXJlc291cmNlLW51bT4xMC4zMTA5LzE0NzY3MDU4LjIwMTQuOTU0
MjQxPC9lbGVjdHJvbmljLXJlc291cmNlLW51bT48L3JlY29yZD48L0NpdGU+PC9FbmROb3RlPn==
</w:fldData>
              </w:fldChar>
            </w:r>
            <w:r w:rsidR="002747EA">
              <w:instrText xml:space="preserve"> ADDIN EN.CITE.DATA </w:instrText>
            </w:r>
            <w:r w:rsidR="002747EA">
              <w:fldChar w:fldCharType="end"/>
            </w:r>
            <w:r w:rsidR="00BA7CBD">
              <w:fldChar w:fldCharType="separate"/>
            </w:r>
            <w:r w:rsidR="002747EA" w:rsidRPr="002747EA">
              <w:rPr>
                <w:noProof/>
                <w:vertAlign w:val="superscript"/>
              </w:rPr>
              <w:t>170</w:t>
            </w:r>
            <w:r w:rsidR="00BA7CBD">
              <w:fldChar w:fldCharType="end"/>
            </w:r>
          </w:p>
          <w:p w14:paraId="49150E5A" w14:textId="735AFA1B" w:rsidR="00F4297E" w:rsidRPr="00F4297E" w:rsidRDefault="00F4297E" w:rsidP="00F4297E">
            <w:r>
              <w:t>Iran</w:t>
            </w:r>
          </w:p>
        </w:tc>
        <w:tc>
          <w:tcPr>
            <w:tcW w:w="1247" w:type="dxa"/>
            <w:tcBorders>
              <w:top w:val="single" w:sz="4" w:space="0" w:color="auto"/>
              <w:left w:val="single" w:sz="4" w:space="0" w:color="auto"/>
              <w:bottom w:val="single" w:sz="4" w:space="0" w:color="auto"/>
              <w:right w:val="single" w:sz="4" w:space="0" w:color="auto"/>
            </w:tcBorders>
          </w:tcPr>
          <w:p w14:paraId="4967371B" w14:textId="77777777" w:rsidR="00F4297E" w:rsidRDefault="00F4297E" w:rsidP="00C21506">
            <w:r>
              <w:t>Multivitamin 35</w:t>
            </w:r>
          </w:p>
          <w:p w14:paraId="47D478D3" w14:textId="5275E042" w:rsidR="00F4297E" w:rsidRDefault="00F4297E" w:rsidP="00C21506">
            <w:r>
              <w:t>Multivitamin-mineral 35</w:t>
            </w:r>
          </w:p>
        </w:tc>
        <w:tc>
          <w:tcPr>
            <w:tcW w:w="4962" w:type="dxa"/>
            <w:tcBorders>
              <w:top w:val="single" w:sz="4" w:space="0" w:color="auto"/>
              <w:left w:val="single" w:sz="4" w:space="0" w:color="auto"/>
              <w:bottom w:val="single" w:sz="4" w:space="0" w:color="auto"/>
              <w:right w:val="single" w:sz="4" w:space="0" w:color="auto"/>
            </w:tcBorders>
          </w:tcPr>
          <w:p w14:paraId="410DE9B9" w14:textId="23E0A137" w:rsidR="00F4297E" w:rsidRDefault="00F4297E" w:rsidP="00F4297E">
            <w:r w:rsidRPr="00F4297E">
              <w:rPr>
                <w:b/>
              </w:rPr>
              <w:t>Aim</w:t>
            </w:r>
            <w:r>
              <w:t>: T</w:t>
            </w:r>
            <w:r w:rsidRPr="00F4297E">
              <w:t>o determine the favo</w:t>
            </w:r>
            <w:r w:rsidR="005B02D4">
              <w:t>u</w:t>
            </w:r>
            <w:r w:rsidRPr="00F4297E">
              <w:t>rable effects of multivitamin versus multivitamin-mineral</w:t>
            </w:r>
            <w:r w:rsidR="0084339C">
              <w:t xml:space="preserve"> (same multivitamin plus calcium, iron and magnesium)</w:t>
            </w:r>
            <w:r w:rsidRPr="00F4297E">
              <w:t xml:space="preserve"> supplements on metabolic profiles and biomarkers of oxidative stress among Iranian pregnant women. </w:t>
            </w:r>
          </w:p>
          <w:p w14:paraId="3D2C003C" w14:textId="4C4AC1C6" w:rsidR="00F4297E" w:rsidRPr="00F57623" w:rsidRDefault="00F4297E" w:rsidP="00F4297E">
            <w:pPr>
              <w:rPr>
                <w:b/>
              </w:rPr>
            </w:pPr>
            <w:r>
              <w:t>Methods</w:t>
            </w:r>
            <w:r w:rsidRPr="00F4297E">
              <w:t xml:space="preserve">: This double-blind randomized-controlled clinical trial was conducted among 70 pregnant women, primigravida, aged 18-35 years old between 16 and 37 weeks gestation. Subjects were randomly assigned to receive either the multivitamin or multivitamin-mineral supplements for 20 weeks. Fasting blood samples were taken at baseline and after a 20-week intervention to measure lipid profiles and biomarkers of oxidative stress. </w:t>
            </w:r>
          </w:p>
        </w:tc>
        <w:tc>
          <w:tcPr>
            <w:tcW w:w="4536" w:type="dxa"/>
            <w:tcBorders>
              <w:top w:val="single" w:sz="4" w:space="0" w:color="auto"/>
              <w:left w:val="single" w:sz="4" w:space="0" w:color="auto"/>
              <w:bottom w:val="single" w:sz="4" w:space="0" w:color="auto"/>
              <w:right w:val="single" w:sz="4" w:space="0" w:color="auto"/>
            </w:tcBorders>
          </w:tcPr>
          <w:p w14:paraId="4812D6A5" w14:textId="1C88B753" w:rsidR="00F4297E" w:rsidRDefault="00F4297E" w:rsidP="00F4297E">
            <w:r>
              <w:t>M</w:t>
            </w:r>
            <w:r w:rsidRPr="00F4297E">
              <w:t xml:space="preserve">ultivitamin-mineral </w:t>
            </w:r>
            <w:r>
              <w:t xml:space="preserve">versus multivitamin </w:t>
            </w:r>
            <w:r w:rsidRPr="00F4297E">
              <w:t>supplementation</w:t>
            </w:r>
            <w:r w:rsidR="00202278">
              <w:t>; changes in:</w:t>
            </w:r>
          </w:p>
          <w:p w14:paraId="14E1E205" w14:textId="2594D66A" w:rsidR="00202278" w:rsidRDefault="00A3395A" w:rsidP="00F4297E">
            <w:pPr>
              <w:pStyle w:val="bullet"/>
            </w:pPr>
            <w:r>
              <w:t>Fasting plasma glucose</w:t>
            </w:r>
            <w:r w:rsidR="00202278">
              <w:t xml:space="preserve"> (mg/dL): -2.6±2 vs 2.5±3; p=0.15</w:t>
            </w:r>
          </w:p>
          <w:p w14:paraId="2BB07740" w14:textId="24EFE555" w:rsidR="00202278" w:rsidRDefault="00202278" w:rsidP="00F4297E">
            <w:pPr>
              <w:pStyle w:val="bullet"/>
            </w:pPr>
            <w:r>
              <w:t>Total cholesterol: 11.1±8.9 vs 27.5±7.9; p=0.17</w:t>
            </w:r>
          </w:p>
          <w:p w14:paraId="3D83B9BA" w14:textId="1B174607" w:rsidR="00F4297E" w:rsidRDefault="00202278" w:rsidP="00F4297E">
            <w:pPr>
              <w:pStyle w:val="bullet"/>
            </w:pPr>
            <w:r>
              <w:t>T</w:t>
            </w:r>
            <w:r w:rsidR="00F4297E">
              <w:t>riglycerides</w:t>
            </w:r>
            <w:r>
              <w:t xml:space="preserve"> (mg/dL)</w:t>
            </w:r>
            <w:r w:rsidR="00F4297E">
              <w:t xml:space="preserve">: </w:t>
            </w:r>
            <w:r w:rsidR="00F4297E" w:rsidRPr="00F4297E">
              <w:t>6.1</w:t>
            </w:r>
            <w:r>
              <w:t>±13.2</w:t>
            </w:r>
            <w:r w:rsidR="00F4297E" w:rsidRPr="00F4297E">
              <w:t xml:space="preserve"> v</w:t>
            </w:r>
            <w:r w:rsidR="00F4297E">
              <w:t>s +45.9</w:t>
            </w:r>
            <w:r>
              <w:t>±14.3</w:t>
            </w:r>
            <w:r w:rsidR="00F4297E">
              <w:t xml:space="preserve"> mg/dl, p = 0.04</w:t>
            </w:r>
          </w:p>
          <w:p w14:paraId="223DB06B" w14:textId="33A5B7BD" w:rsidR="00202278" w:rsidRDefault="00202278" w:rsidP="00F4297E">
            <w:pPr>
              <w:pStyle w:val="bullet"/>
            </w:pPr>
            <w:r>
              <w:t>LDL cholesterol (mg/dL): 9.8±8.7 vs 25.7±6.2; p=0.13</w:t>
            </w:r>
          </w:p>
          <w:p w14:paraId="5C3CEFB7" w14:textId="70F89644" w:rsidR="00F4297E" w:rsidRDefault="00F4297E" w:rsidP="00F4297E">
            <w:pPr>
              <w:pStyle w:val="bullet"/>
            </w:pPr>
            <w:r w:rsidRPr="00F4297E">
              <w:t>HDL-cholesterol</w:t>
            </w:r>
            <w:r w:rsidR="00202278">
              <w:t xml:space="preserve"> (mg/dL)</w:t>
            </w:r>
            <w:r w:rsidRPr="00F4297E">
              <w:t xml:space="preserve">: +0.1 </w:t>
            </w:r>
            <w:r>
              <w:t>vs</w:t>
            </w:r>
            <w:r w:rsidRPr="00F4297E">
              <w:t xml:space="preserve"> </w:t>
            </w:r>
            <w:r>
              <w:t>-7.4 mg/dl, p = 0.02</w:t>
            </w:r>
          </w:p>
          <w:p w14:paraId="72109251" w14:textId="43EDF54B" w:rsidR="00202278" w:rsidRDefault="00202278" w:rsidP="00F4297E">
            <w:pPr>
              <w:pStyle w:val="bullet"/>
            </w:pPr>
            <w:r>
              <w:t>T</w:t>
            </w:r>
            <w:r w:rsidR="00A3395A">
              <w:t>otal antioxidant capacity</w:t>
            </w:r>
            <w:r>
              <w:t xml:space="preserve"> (mmol/L): 196.84±53.15 vs 149.23±33.8; p=0.45</w:t>
            </w:r>
          </w:p>
          <w:p w14:paraId="5C11BF82" w14:textId="14804411" w:rsidR="00F4297E" w:rsidRPr="00F4297E" w:rsidRDefault="00202278" w:rsidP="00202278">
            <w:pPr>
              <w:pStyle w:val="bullet"/>
            </w:pPr>
            <w:r>
              <w:t>G</w:t>
            </w:r>
            <w:r w:rsidR="00F4297E" w:rsidRPr="00F4297E">
              <w:t>lutathione</w:t>
            </w:r>
            <w:r>
              <w:t xml:space="preserve"> (micromol/L)</w:t>
            </w:r>
            <w:r w:rsidR="00F4297E" w:rsidRPr="00F4297E">
              <w:t>: +151.09</w:t>
            </w:r>
            <w:r>
              <w:t>±73.26</w:t>
            </w:r>
            <w:r w:rsidR="00F4297E" w:rsidRPr="00F4297E">
              <w:t xml:space="preserve"> </w:t>
            </w:r>
            <w:r w:rsidR="00F4297E">
              <w:t>vs</w:t>
            </w:r>
            <w:r w:rsidR="00F4297E" w:rsidRPr="00F4297E">
              <w:t xml:space="preserve"> -116.21</w:t>
            </w:r>
            <w:r>
              <w:t>±46.81</w:t>
            </w:r>
            <w:r w:rsidR="00F4297E" w:rsidRPr="00F4297E">
              <w:t>, p = 0.003</w:t>
            </w:r>
          </w:p>
        </w:tc>
        <w:tc>
          <w:tcPr>
            <w:tcW w:w="1843" w:type="dxa"/>
            <w:tcBorders>
              <w:top w:val="single" w:sz="4" w:space="0" w:color="auto"/>
              <w:left w:val="single" w:sz="4" w:space="0" w:color="auto"/>
              <w:bottom w:val="single" w:sz="4" w:space="0" w:color="auto"/>
              <w:right w:val="single" w:sz="4" w:space="0" w:color="auto"/>
            </w:tcBorders>
          </w:tcPr>
          <w:p w14:paraId="2FECC388" w14:textId="77777777" w:rsidR="00F4297E" w:rsidRPr="00D150D8" w:rsidRDefault="00F4297E" w:rsidP="00C21506">
            <w:pPr>
              <w:keepNext/>
            </w:pPr>
          </w:p>
        </w:tc>
      </w:tr>
    </w:tbl>
    <w:p w14:paraId="369A695A" w14:textId="1A11DDE4" w:rsidR="00E8589F" w:rsidRPr="009740A7" w:rsidRDefault="009C163D" w:rsidP="00932C6D">
      <w:pPr>
        <w:pStyle w:val="TableName"/>
      </w:pPr>
      <w:bookmarkStart w:id="90" w:name="_Toc40956625"/>
      <w:r>
        <w:t xml:space="preserve">Q3 </w:t>
      </w:r>
      <w:r w:rsidR="00E8589F">
        <w:t xml:space="preserve">Harms and benefits of iron supplementation in pregnancy — </w:t>
      </w:r>
      <w:r w:rsidR="00113718">
        <w:t>systematic reviews</w:t>
      </w:r>
      <w:bookmarkEnd w:id="9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7: Q3 Harms and benefits of iron supplementation in pregnancy — systematic reviews"/>
      </w:tblPr>
      <w:tblGrid>
        <w:gridCol w:w="1304"/>
        <w:gridCol w:w="1528"/>
        <w:gridCol w:w="4680"/>
        <w:gridCol w:w="4537"/>
        <w:gridCol w:w="1843"/>
      </w:tblGrid>
      <w:tr w:rsidR="00E8589F" w:rsidRPr="00F350A6" w14:paraId="2E5CC9D0" w14:textId="77777777" w:rsidTr="00330CDB">
        <w:trPr>
          <w:cantSplit/>
          <w:tblHeader/>
        </w:trPr>
        <w:tc>
          <w:tcPr>
            <w:tcW w:w="1304" w:type="dxa"/>
          </w:tcPr>
          <w:p w14:paraId="5CC86521" w14:textId="77777777" w:rsidR="00E8589F" w:rsidRPr="00F350A6" w:rsidRDefault="00E8589F" w:rsidP="00C344D0">
            <w:pPr>
              <w:keepNext/>
              <w:rPr>
                <w:b/>
              </w:rPr>
            </w:pPr>
            <w:r>
              <w:rPr>
                <w:b/>
              </w:rPr>
              <w:t>Study ref</w:t>
            </w:r>
          </w:p>
        </w:tc>
        <w:tc>
          <w:tcPr>
            <w:tcW w:w="1528" w:type="dxa"/>
          </w:tcPr>
          <w:p w14:paraId="0EDC8F1D" w14:textId="77777777" w:rsidR="00E8589F" w:rsidRPr="00F350A6" w:rsidRDefault="00E8589F" w:rsidP="00C344D0">
            <w:pPr>
              <w:keepNext/>
              <w:rPr>
                <w:b/>
              </w:rPr>
            </w:pPr>
            <w:r>
              <w:rPr>
                <w:b/>
              </w:rPr>
              <w:t>N</w:t>
            </w:r>
          </w:p>
        </w:tc>
        <w:tc>
          <w:tcPr>
            <w:tcW w:w="4680" w:type="dxa"/>
          </w:tcPr>
          <w:p w14:paraId="3E6B0322" w14:textId="797EC1E0" w:rsidR="00E8589F" w:rsidRPr="00F350A6" w:rsidRDefault="00E8589F" w:rsidP="00113718">
            <w:pPr>
              <w:keepNext/>
              <w:rPr>
                <w:b/>
              </w:rPr>
            </w:pPr>
            <w:r>
              <w:rPr>
                <w:b/>
              </w:rPr>
              <w:t>Aim/</w:t>
            </w:r>
            <w:r w:rsidR="00113718">
              <w:rPr>
                <w:b/>
              </w:rPr>
              <w:t>methods</w:t>
            </w:r>
          </w:p>
        </w:tc>
        <w:tc>
          <w:tcPr>
            <w:tcW w:w="4537" w:type="dxa"/>
          </w:tcPr>
          <w:p w14:paraId="2A6400A7" w14:textId="77777777" w:rsidR="00E8589F" w:rsidRPr="00F350A6" w:rsidRDefault="00E8589F" w:rsidP="00C344D0">
            <w:pPr>
              <w:keepNext/>
              <w:rPr>
                <w:b/>
              </w:rPr>
            </w:pPr>
            <w:r>
              <w:rPr>
                <w:b/>
              </w:rPr>
              <w:t>Results</w:t>
            </w:r>
          </w:p>
        </w:tc>
        <w:tc>
          <w:tcPr>
            <w:tcW w:w="1843" w:type="dxa"/>
          </w:tcPr>
          <w:p w14:paraId="5979BD37" w14:textId="77777777" w:rsidR="00E8589F" w:rsidRPr="00F350A6" w:rsidRDefault="00E8589F" w:rsidP="00C344D0">
            <w:pPr>
              <w:keepNext/>
              <w:rPr>
                <w:b/>
              </w:rPr>
            </w:pPr>
            <w:r>
              <w:rPr>
                <w:b/>
              </w:rPr>
              <w:t>Comments</w:t>
            </w:r>
          </w:p>
        </w:tc>
      </w:tr>
      <w:tr w:rsidR="00E8589F" w:rsidRPr="00D150D8" w14:paraId="46608F4A" w14:textId="77777777" w:rsidTr="00330CDB">
        <w:trPr>
          <w:cantSplit/>
        </w:trPr>
        <w:tc>
          <w:tcPr>
            <w:tcW w:w="1304" w:type="dxa"/>
          </w:tcPr>
          <w:p w14:paraId="38B6FA71" w14:textId="612A4CF1" w:rsidR="00E8589F" w:rsidRPr="00D150D8" w:rsidRDefault="00D26C7B" w:rsidP="002747EA">
            <w:r>
              <w:t>Abraha et al 2019</w:t>
            </w:r>
            <w:r w:rsidR="00201490">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 </w:instrText>
            </w:r>
            <w:r w:rsidR="002747EA">
              <w:fldChar w:fldCharType="begin">
                <w:fldData xml:space="preserve">PEVuZE5vdGU+PENpdGU+PEF1dGhvcj5BYnJhaGE8L0F1dGhvcj48WWVhcj4yMDE5PC9ZZWFyPjxS
ZWNOdW0+MTYxOTwvUmVjTnVtPjxEaXNwbGF5VGV4dD48c3R5bGUgZmFjZT0ic3VwZXJzY3JpcHQi
IGZvbnQ9IlRyZWJ1Y2hldCBNUyIgc2l6ZT0iOSI+MTczPC9zdHlsZT48L0Rpc3BsYXlUZXh0Pjxy
ZWNvcmQ+PHJlYy1udW1iZXI+MTYxOTwvcmVjLW51bWJlcj48Zm9yZWlnbi1rZXlzPjxrZXkgYXBw
PSJFTiIgZGItaWQ9ImV4dmFzcmZ4MmR0cmFvZXNhc3hwMnN6c3hhMmRmNTAyNTkyeCIgdGltZXN0
YW1wPSIxNTc2NzM0MjgzIj4xNjE5PC9rZXk+PGtleSBhcHA9IkVOV2ViIiBkYi1pZD0iIj4wPC9r
ZXk+PC9mb3JlaWduLWtleXM+PHJlZi10eXBlIG5hbWU9IkpvdXJuYWwgQXJ0aWNsZSI+MTc8L3Jl
Zi10eXBlPjxjb250cmlidXRvcnM+PGF1dGhvcnM+PGF1dGhvcj5BYnJhaGEsIEkuPC9hdXRob3I+
PGF1dGhvcj5Cb25hY2luaSwgTS4gSS48L2F1dGhvcj48YXV0aG9yPk1vbnRlZG9yaSwgQS48L2F1
dGhvcj48YXV0aG9yPkRpIFJlbnpvLCBHLiBDLjwvYXV0aG9yPjxhdXRob3I+QW5nZWxvenppLCBQ
LjwvYXV0aG9yPjxhdXRob3I+TWljaGVsaSwgTS48L2F1dGhvcj48YXV0aG9yPkdlcm1hbmksIEEu
PC9hdXRob3I+PGF1dGhvcj5DYXJsb25pLCBELjwvYXV0aG9yPjxhdXRob3I+U2NhY2NldHRpLCBB
LjwvYXV0aG9yPjxhdXRob3I+UGFsbWllcmksIEcuPC9hdXRob3I+PGF1dGhvcj5DYXNhbGksIE0u
PC9hdXRob3I+PGF1dGhvcj5OZW56LCBDLiBNLiBHLjwvYXV0aG9yPjxhdXRob3I+R2FyZ2Fubywg
RS48L2F1dGhvcj48YXV0aG9yPlBhenphZ2xpYSwgTS48L2F1dGhvcj48YXV0aG9yPkFnZWEsIEUu
PC9hdXRob3I+PGF1dGhvcj5CZXJjaGljY2ksIEwuPC9hdXRob3I+PGF1dGhvcj5UZXNvcm8sIFMu
PC9hdXRob3I+PGF1dGhvcj5BbGJpLCBOLjwvYXV0aG9yPjxhdXRob3I+TWluZWxsaSwgTy48L2F1
dGhvcj48YXV0aG9yPlBhc3F1YSwgQi4gTC48L2F1dGhvcj48YXV0aG9yPk9ub3JhdG8sIE0uPC9h
dXRob3I+PGF1dGhvcj5FcGljb2NvLCBHLjwvYXV0aG9yPjxhdXRob3I+TWFyY2hlc2ksIE0uPC9h
dXRob3I+PC9hdXRob3JzPjwvY29udHJpYnV0b3JzPjxhdXRoLWFkZHJlc3M+Q2VudHJvIFJlZ2lv
bmFsZSBTYW5ndWUsIFNlcnZpemlvIEltbXVub3RyYXNmdXNpb25hbGUsIEF6aWVuZGEgT3NwZWRh
bGllcmEgZGkgUGVydWdpYSwgUGVydWdpYSwgSXRhbHkuJiN4RDtIZWFsdGggUGxhbm5pbmcgU2Vy
dmljZSwgUmVnaW9uYWwgSGVhbHRoIEF1dGhvcml0eSBvZiBVbWJyaWEsIFBlcnVnaWEsIEl0YWx5
LiYjeEQ7QUJNIFVuaXZlcnNpdHkgSGVhbHRoIEJvYXJkLCBBZHZhbmNlZCBQaGFybWFjaXN0IFRl
Y2huaWNhbCBTZXJ2aWNlcywgU3dhbnNlYSwgVUsuJiN4RDtDbGluaWNhIE9zdGV0cmljYSBlIEdp
bmVjb2xvZ2ljYSwgUG9saWNsaW5pY28sIFVuaXZlcnNpdGEgZGkgUGVydWdpYSwgUGVydWdpYSwg
SXRhbHkuJiN4RDtHaW5lY29sb2dpYSBlIE9zdGV0cmljaWEsIFVTTCBVbWJyaWEgMiwgT3J2aWV0
bywgSXRhbHkuJiN4RDtTZXJ2aXppbyBJbW11bm90cmFzZnVzaW9uYWxlLCBVU0wgVW1icmlhIDIs
IEZvbGlnbm8sIEl0YWx5LiYjeEQ7QW5lc3Rlc2lhIGUgUmlhbmltYXppb25lLCBVU0wgVW1icmlh
IDIsIEZvbGlnbm8sIEl0YWx5LiYjeEQ7U2Vydml6aW8gSW1tdW5vdHJhc2Z1c2lvbmFsZSwgQXpp
ZW5kYSBPc3BlZGFsaWVyYSBkaSBUZXJuaSwgVGVybmksIEl0YWx5LiYjeEQ7QW5lc3Rlc2lhIGUg
UmlhbmltYXppb25lLCBBemllbmRhIE9zcGVkYWxpZXJlIGRpIFRlcm5pLCBUZXJuaSwgSXRhbHku
JiN4RDtHaW5lY29sb2dpYSBlIE9zdGV0cmljaWEsIEF6aWVuZGEgT3NwZWRhbGllcmUgZGkgVGVy
bmksIFRlcm5pLCBJdGFseS4mI3hEO1RlcmFwaWEgSW50ZW5zaXZhIGUgUmlhbmltYXppb25lLCBV
U0wgVW1icmlhIDEsIFBlcnVnaWEsIEl0YWx5LiYjeEQ7R2luZWNvbG9naWEgZSBPc3RldHJpY2lh
LCBVU0wgVW1icmlhIDEsIFBlcnVnaWEsIEl0YWx5LiYjeEQ7U2Vydml6aW8gSW1tdW5vdHJhc2Z1
c2lvbmFsZSwgVVNMIFVtYnJpYSAxLCBQZXJ1Z2lhLCBJdGFseS4mI3hEO0FuZXN0ZXNpYSBlIFJp
YW5pbWF6aW9uZSwgQXppZW5kYSBPc3BlZGFsaWVyZSBkaSBQZXJ1Z2lhLCBQZXJ1Z2lhLCBJdGFs
eS4mI3hEO0dpbmVjb2xvZ2lhIGUgT3N0ZXRyaWNpYSwgQXppZW5kYSBPc3BlZGFsaWVyZSBkaSBQ
ZXJ1Z2lhLCBQZXJ1Z2lhLCBJdGFseS48L2F1dGgtYWRkcmVzcz48dGl0bGVzPjx0aXRsZT5PcmFs
IGlyb24tYmFzZWQgaW50ZXJ2ZW50aW9ucyBmb3IgcHJldmVudGlvbiBvZiBjcml0aWNhbCBvdXRj
b21lcyBpbiBwcmVnbmFuY3kgYW5kIHBvc3RuYXRhbCBjYXJlOiBBbiBvdmVydmlldyBhbmQgdXBk
YXRlIG9mIHN5c3RlbWF0aWMgcmV2aWV3czwvdGl0bGU+PHNlY29uZGFyeS10aXRsZT5KIEV2aWQg
QmFzZWQgTWVkPC9zZWNvbmRhcnktdGl0bGU+PC90aXRsZXM+PHBlcmlvZGljYWw+PGZ1bGwtdGl0
bGU+SiBFdmlkIEJhc2VkIE1lZDwvZnVsbC10aXRsZT48L3BlcmlvZGljYWw+PHBhZ2VzPjE1NS0x
NjY8L3BhZ2VzPjx2b2x1bWU+MTI8L3ZvbHVtZT48bnVtYmVyPjI8L251bWJlcj48ZWRpdGlvbj4y
MDE5LzA1LzMxPC9lZGl0aW9uPjxrZXl3b3Jkcz48a2V5d29yZD5pcm9uIHRoZXJhcHk8L2tleXdv
cmQ+PGtleXdvcmQ+bWF0ZXJuYWwgYW5lbWlhPC9rZXl3b3JkPjxrZXl3b3JkPnByZWduYW5jeTwv
a2V5d29yZD48a2V5d29yZD5zeXN0ZW1hdGljIHJldmlld3M8L2tleXdvcmQ+PC9rZXl3b3Jkcz48
ZGF0ZXM+PHllYXI+MjAxOTwveWVhcj48cHViLWRhdGVzPjxkYXRlPk1heTwvZGF0ZT48L3B1Yi1k
YXRlcz48L2RhdGVzPjxpc2JuPjE3NTYtNTM5MSAoRWxlY3Ryb25pYykmI3hEOzE3NTYtNTM5MSAo
TGlua2luZyk8L2lzYm4+PGFjY2Vzc2lvbi1udW0+MzExNDQ0NjU8L2FjY2Vzc2lvbi1udW0+PHVy
bHM+PHJlbGF0ZWQtdXJscz48dXJsPmh0dHBzOi8vd3d3Lm5jYmkubmxtLm5paC5nb3YvcHVibWVk
LzMxMTQ0NDY1PC91cmw+PC9yZWxhdGVkLXVybHM+PC91cmxzPjxlbGVjdHJvbmljLXJlc291cmNl
LW51bT4xMC4xMTExL2plYm0uMTIzNDQ8L2VsZWN0cm9uaWMtcmVzb3VyY2UtbnVtPjwvcmVjb3Jk
PjwvQ2l0ZT48L0VuZE5vdGU+AG==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173</w:t>
            </w:r>
            <w:r w:rsidR="00201490">
              <w:fldChar w:fldCharType="end"/>
            </w:r>
          </w:p>
        </w:tc>
        <w:tc>
          <w:tcPr>
            <w:tcW w:w="1528" w:type="dxa"/>
          </w:tcPr>
          <w:p w14:paraId="5EB29EA2" w14:textId="0DA4F531" w:rsidR="00E8589F" w:rsidRPr="00D150D8" w:rsidRDefault="00CA1632" w:rsidP="00CA1632">
            <w:r>
              <w:t>9 systematic reviews</w:t>
            </w:r>
            <w:r w:rsidR="0066324A">
              <w:t>; 31 RCTs</w:t>
            </w:r>
          </w:p>
        </w:tc>
        <w:tc>
          <w:tcPr>
            <w:tcW w:w="4680" w:type="dxa"/>
          </w:tcPr>
          <w:p w14:paraId="21035A62" w14:textId="77777777" w:rsidR="00D26C7B" w:rsidRDefault="00D26C7B" w:rsidP="00D26C7B">
            <w:r w:rsidRPr="00D26C7B">
              <w:rPr>
                <w:b/>
              </w:rPr>
              <w:t>Aim</w:t>
            </w:r>
            <w:r>
              <w:t>: To summaris</w:t>
            </w:r>
            <w:r w:rsidRPr="00D26C7B">
              <w:t xml:space="preserve">e and update the evidence concerning oral iron-based interventions compared to placebo or no iron-based interventions to prevent critical outcomes in pregnancy or treat critical outcomes in the postpartum phase. </w:t>
            </w:r>
          </w:p>
          <w:p w14:paraId="057CA80A" w14:textId="6037C2C1" w:rsidR="00E8589F" w:rsidRPr="00D150D8" w:rsidRDefault="00D26C7B" w:rsidP="00D26C7B">
            <w:r w:rsidRPr="00D26C7B">
              <w:rPr>
                <w:b/>
              </w:rPr>
              <w:t>Methods</w:t>
            </w:r>
            <w:r w:rsidRPr="00D26C7B">
              <w:t xml:space="preserve">: Published systematic reviews (Feb 2018) and primary studies (from 2015 to March 2018) retrieved from MEDLINE, EMBASE, and the Cochrane Library were examined. The AMSTAR (Assessing the Methodological Quality of Systematic Reviews) tool was used to assess the quality of reviews. GRADE was used to rate the quality of the evidence for critical outcomes. </w:t>
            </w:r>
          </w:p>
        </w:tc>
        <w:tc>
          <w:tcPr>
            <w:tcW w:w="4537" w:type="dxa"/>
          </w:tcPr>
          <w:p w14:paraId="0843AA1D" w14:textId="77777777" w:rsidR="00D26C7B" w:rsidRDefault="00D26C7B" w:rsidP="00D26C7B">
            <w:r>
              <w:t xml:space="preserve">Iron-based therapies vs </w:t>
            </w:r>
            <w:r w:rsidRPr="00D26C7B">
              <w:t>placebo/no treatment</w:t>
            </w:r>
            <w:r>
              <w:t>:</w:t>
            </w:r>
          </w:p>
          <w:p w14:paraId="7F443D9C" w14:textId="67E00702" w:rsidR="00D26C7B" w:rsidRDefault="00D26C7B" w:rsidP="00D26C7B">
            <w:pPr>
              <w:pStyle w:val="bullet"/>
            </w:pPr>
            <w:r>
              <w:t>Maternal anaemia at term: RR 0.</w:t>
            </w:r>
            <w:r w:rsidR="00E760BE">
              <w:t>38</w:t>
            </w:r>
            <w:r>
              <w:t>;</w:t>
            </w:r>
            <w:r w:rsidRPr="00D26C7B">
              <w:t xml:space="preserve"> 95% CI 0.</w:t>
            </w:r>
            <w:r w:rsidR="00E760BE">
              <w:t>27</w:t>
            </w:r>
            <w:r>
              <w:t xml:space="preserve"> to </w:t>
            </w:r>
            <w:r w:rsidR="00E760BE">
              <w:t>0.3</w:t>
            </w:r>
            <w:r w:rsidRPr="00D26C7B">
              <w:t>3;</w:t>
            </w:r>
            <w:r w:rsidR="00C22052">
              <w:t xml:space="preserve"> </w:t>
            </w:r>
            <w:r w:rsidR="00E760BE">
              <w:t>13</w:t>
            </w:r>
            <w:r w:rsidRPr="00D26C7B">
              <w:t xml:space="preserve"> </w:t>
            </w:r>
            <w:r w:rsidR="00C30D6F">
              <w:t>RCTs</w:t>
            </w:r>
            <w:r w:rsidR="00C22052">
              <w:t xml:space="preserve"> </w:t>
            </w:r>
          </w:p>
          <w:p w14:paraId="50D83A09" w14:textId="12373AEC" w:rsidR="00337708" w:rsidRDefault="00337708" w:rsidP="00D26C7B">
            <w:pPr>
              <w:pStyle w:val="bullet"/>
            </w:pPr>
            <w:r>
              <w:t>Side effects: RR 1.42; 95%CI 0.91 to 2.21; 12 RCTs</w:t>
            </w:r>
          </w:p>
          <w:p w14:paraId="5B9AC421" w14:textId="700DC1A2" w:rsidR="00D26C7B" w:rsidRDefault="00D26C7B" w:rsidP="00D26C7B">
            <w:pPr>
              <w:pStyle w:val="bullet"/>
            </w:pPr>
            <w:r>
              <w:t>P</w:t>
            </w:r>
            <w:r w:rsidRPr="00D26C7B">
              <w:t xml:space="preserve">reterm </w:t>
            </w:r>
            <w:r w:rsidR="00C30D6F">
              <w:t>birth</w:t>
            </w:r>
            <w:r w:rsidR="00290443">
              <w:t>: RR 0.93; 95%</w:t>
            </w:r>
            <w:r w:rsidRPr="00D26C7B">
              <w:t>CI 0.84</w:t>
            </w:r>
            <w:r w:rsidR="00290443">
              <w:t xml:space="preserve"> to </w:t>
            </w:r>
            <w:r w:rsidRPr="00D26C7B">
              <w:t xml:space="preserve">1.03; </w:t>
            </w:r>
            <w:r w:rsidR="00290443">
              <w:t xml:space="preserve">13 </w:t>
            </w:r>
            <w:r w:rsidR="00C30D6F">
              <w:t>RCTs</w:t>
            </w:r>
            <w:r w:rsidR="00290443">
              <w:t>; low-</w:t>
            </w:r>
            <w:r w:rsidR="00FB2A6C">
              <w:t>certainty</w:t>
            </w:r>
            <w:r w:rsidR="00290443">
              <w:t xml:space="preserve"> </w:t>
            </w:r>
          </w:p>
          <w:p w14:paraId="2D4B54F2" w14:textId="20E3450B" w:rsidR="00C30D6F" w:rsidRDefault="00C30D6F" w:rsidP="00D26C7B">
            <w:pPr>
              <w:pStyle w:val="bullet"/>
            </w:pPr>
            <w:r>
              <w:t xml:space="preserve">Neonatal death: RR 0.93; 0.72 to 1.20; 7 RCTs; low </w:t>
            </w:r>
            <w:r w:rsidR="00FB2A6C">
              <w:t>certainty</w:t>
            </w:r>
          </w:p>
          <w:p w14:paraId="1A472C6D" w14:textId="29CD8008" w:rsidR="00E8589F" w:rsidRPr="00D26C7B" w:rsidRDefault="00D26C7B" w:rsidP="00C30D6F">
            <w:pPr>
              <w:pStyle w:val="bullet"/>
            </w:pPr>
            <w:r>
              <w:t>L</w:t>
            </w:r>
            <w:r w:rsidR="00290443">
              <w:t xml:space="preserve">ow birthweight: </w:t>
            </w:r>
            <w:r w:rsidRPr="00D26C7B">
              <w:t>RR 0.94, 95% CI 0.79</w:t>
            </w:r>
            <w:r w:rsidR="00290443">
              <w:t xml:space="preserve"> to 1.13; </w:t>
            </w:r>
            <w:r w:rsidR="00C112C4">
              <w:t xml:space="preserve">7 RCTs; </w:t>
            </w:r>
            <w:r w:rsidR="00290443">
              <w:t>low-</w:t>
            </w:r>
            <w:r w:rsidR="00FB2A6C">
              <w:t>certainty</w:t>
            </w:r>
            <w:r w:rsidR="00290443">
              <w:t xml:space="preserve"> </w:t>
            </w:r>
          </w:p>
        </w:tc>
        <w:tc>
          <w:tcPr>
            <w:tcW w:w="1843" w:type="dxa"/>
          </w:tcPr>
          <w:p w14:paraId="37800C31" w14:textId="77777777" w:rsidR="00E8589F" w:rsidRPr="00D150D8" w:rsidRDefault="00E8589F" w:rsidP="00C344D0"/>
        </w:tc>
      </w:tr>
      <w:tr w:rsidR="00076898" w:rsidRPr="00D150D8" w14:paraId="19608528" w14:textId="77777777" w:rsidTr="00330CDB">
        <w:trPr>
          <w:cantSplit/>
        </w:trPr>
        <w:tc>
          <w:tcPr>
            <w:tcW w:w="1304" w:type="dxa"/>
          </w:tcPr>
          <w:p w14:paraId="51099EDD" w14:textId="36C9AE3A" w:rsidR="00076898" w:rsidRDefault="00076898" w:rsidP="002747EA">
            <w:r>
              <w:t>Pena-Rosas et al 2015</w:t>
            </w:r>
            <w:r w:rsidR="00201490">
              <w:fldChar w:fldCharType="begin"/>
            </w:r>
            <w:r w:rsidR="002747EA">
              <w:instrText xml:space="preserve"> ADDIN EN.CITE &lt;EndNote&gt;&lt;Cite&gt;&lt;Author&gt;Peña-Rosas&lt;/Author&gt;&lt;Year&gt;2015&lt;/Year&gt;&lt;RecNum&gt;1636&lt;/RecNum&gt;&lt;DisplayText&gt;&lt;style face="superscript" font="Trebuchet MS" size="9"&gt;174&lt;/style&gt;&lt;/DisplayText&gt;&lt;record&gt;&lt;rec-number&gt;1636&lt;/rec-number&gt;&lt;foreign-keys&gt;&lt;key app="EN" db-id="exvasrfx2dtraoesasxp2szsxa2df502592x" timestamp="1576734362"&gt;1636&lt;/key&gt;&lt;key app="ENWeb" db-id=""&gt;0&lt;/key&gt;&lt;/foreign-keys&gt;&lt;ref-type name="Journal Article"&gt;17&lt;/ref-type&gt;&lt;contributors&gt;&lt;authors&gt;&lt;author&gt;Peña-Rosas, Juan Pablo&lt;/author&gt;&lt;author&gt;De-Regil, Luz Maria&lt;/author&gt;&lt;author&gt;Garcia-Casal, Maria N.&lt;/author&gt;&lt;author&gt;Dowswell, Therese&lt;/author&gt;&lt;/authors&gt;&lt;/contributors&gt;&lt;titles&gt;&lt;title&gt;Daily oral iron supplementation during pregnancy&lt;/title&gt;&lt;secondary-title&gt;Cochrane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004736.pub5&lt;/electronic-resource-num&gt;&lt;/record&gt;&lt;/Cite&gt;&lt;/EndNote&gt;</w:instrText>
            </w:r>
            <w:r w:rsidR="00201490">
              <w:fldChar w:fldCharType="separate"/>
            </w:r>
            <w:r w:rsidR="002747EA" w:rsidRPr="002747EA">
              <w:rPr>
                <w:noProof/>
                <w:vertAlign w:val="superscript"/>
              </w:rPr>
              <w:t>174</w:t>
            </w:r>
            <w:r w:rsidR="00201490">
              <w:fldChar w:fldCharType="end"/>
            </w:r>
          </w:p>
        </w:tc>
        <w:tc>
          <w:tcPr>
            <w:tcW w:w="1528" w:type="dxa"/>
          </w:tcPr>
          <w:p w14:paraId="79206072" w14:textId="7D4BA172" w:rsidR="00076898" w:rsidRDefault="0030452C" w:rsidP="00CA1632">
            <w:r>
              <w:t>44 RCTs</w:t>
            </w:r>
          </w:p>
        </w:tc>
        <w:tc>
          <w:tcPr>
            <w:tcW w:w="4680" w:type="dxa"/>
          </w:tcPr>
          <w:p w14:paraId="26E10302" w14:textId="77777777" w:rsidR="00076898" w:rsidRDefault="00076898" w:rsidP="00076898">
            <w:r w:rsidRPr="00244DFF">
              <w:rPr>
                <w:b/>
              </w:rPr>
              <w:t>Aim</w:t>
            </w:r>
            <w:r>
              <w:t xml:space="preserve">: To assess the effects of daily oral iron supplements for pregnant women, either alone or in conjunction with folic acid, or with other vitamins and minerals as a public health intervention in antenatal care. </w:t>
            </w:r>
          </w:p>
          <w:p w14:paraId="6A20DF49" w14:textId="273D35EF" w:rsidR="00076898" w:rsidRPr="00076898" w:rsidRDefault="00076898" w:rsidP="00B2318B">
            <w:r w:rsidRPr="00244DFF">
              <w:rPr>
                <w:b/>
              </w:rPr>
              <w:t>Methods</w:t>
            </w:r>
            <w:r>
              <w:t xml:space="preserve">: We searched the Cochrane Pregnancy and Childbirth Group’s Trials Register. We also searched the WHO International Clinical Trials Registry Platform and contacted relevant organisations for the identification of ongoing and unpublished studies. Selection criteria included randomised or quasi-randomised trials evaluating the effects of oral preventive supplementation with daily iron, iron + folic acid or iron + other vitamins and minerals during pregnancy. We assessed the methodological quality of trials using standard Cochrane criteria. Two review authors independently assessed trial eligibility, extracted data and conducted checks for accuracy. We used the GRADE approach to assess the quality of the evidence for primary outcomes. </w:t>
            </w:r>
          </w:p>
        </w:tc>
        <w:tc>
          <w:tcPr>
            <w:tcW w:w="4537" w:type="dxa"/>
          </w:tcPr>
          <w:p w14:paraId="1B9BDAF5" w14:textId="77777777" w:rsidR="00C344D0" w:rsidRDefault="00C344D0" w:rsidP="00C344D0">
            <w:r>
              <w:t>Any supplements containing iron vs same supplement without iron or no treatment/placebo:</w:t>
            </w:r>
          </w:p>
          <w:p w14:paraId="452BA15A" w14:textId="0F2D29D4" w:rsidR="00C344D0" w:rsidRDefault="00C344D0" w:rsidP="00C344D0">
            <w:pPr>
              <w:pStyle w:val="bullet"/>
            </w:pPr>
            <w:r>
              <w:t xml:space="preserve">Maternal anaemia at term: RR 0.30; 95%CI 0.19 to 0.46, 14 RCTs, n=2,199; low </w:t>
            </w:r>
            <w:r w:rsidR="00FB2A6C">
              <w:t>certainty</w:t>
            </w:r>
            <w:r>
              <w:t xml:space="preserve"> </w:t>
            </w:r>
          </w:p>
          <w:p w14:paraId="35D9C3F3" w14:textId="6E8F0866" w:rsidR="00C344D0" w:rsidRDefault="00C344D0" w:rsidP="00C344D0">
            <w:pPr>
              <w:pStyle w:val="bullet"/>
            </w:pPr>
            <w:r>
              <w:t xml:space="preserve">Iron deficiency at term: RR 0.43; 95%CI 0.27 to 0.66, 7 RCTs, n=1,256, low </w:t>
            </w:r>
            <w:r w:rsidR="00FB2A6C">
              <w:t>certainty</w:t>
            </w:r>
          </w:p>
          <w:p w14:paraId="7E3F1B56" w14:textId="029A0E7E" w:rsidR="00C344D0" w:rsidRDefault="00C344D0" w:rsidP="00C344D0">
            <w:pPr>
              <w:pStyle w:val="bullet"/>
            </w:pPr>
            <w:r>
              <w:t xml:space="preserve">Maternal severe anaemia in the second or third trimester: RR 0.22; 95% CI 0.01 to 3.20, 9 RCTs, n=2,125 women, very low </w:t>
            </w:r>
            <w:r w:rsidR="00FB2A6C">
              <w:t>certainty</w:t>
            </w:r>
            <w:r>
              <w:t xml:space="preserve"> </w:t>
            </w:r>
          </w:p>
          <w:p w14:paraId="5608BF2E" w14:textId="614B9B86" w:rsidR="00C344D0" w:rsidRDefault="00C344D0" w:rsidP="00C344D0">
            <w:pPr>
              <w:pStyle w:val="bullet"/>
            </w:pPr>
            <w:r>
              <w:t xml:space="preserve">Maternal infection during pregnancy: RR 1.21; 95%CI 0.33 to 4.46; 1 RCT, n=727; low </w:t>
            </w:r>
            <w:r w:rsidR="00FB2A6C">
              <w:t>certainty</w:t>
            </w:r>
            <w:r>
              <w:t xml:space="preserve"> </w:t>
            </w:r>
          </w:p>
          <w:p w14:paraId="289B3B2D" w14:textId="37DA3F16" w:rsidR="00C344D0" w:rsidRDefault="00C344D0" w:rsidP="00C344D0">
            <w:pPr>
              <w:pStyle w:val="bullet"/>
            </w:pPr>
            <w:r>
              <w:t xml:space="preserve">Maternal death: RR 0.33; 95%CI 0.01 to 8.19, 2 RCTs, n=12,560, very low </w:t>
            </w:r>
            <w:r w:rsidR="00FB2A6C">
              <w:t>certainty</w:t>
            </w:r>
            <w:r>
              <w:t xml:space="preserve"> </w:t>
            </w:r>
          </w:p>
          <w:p w14:paraId="663A03AA" w14:textId="5274D8E5" w:rsidR="00C344D0" w:rsidRDefault="00C344D0" w:rsidP="00C344D0">
            <w:pPr>
              <w:pStyle w:val="bullet"/>
            </w:pPr>
            <w:r>
              <w:t xml:space="preserve">Maternal side effects: RR 1.29; 95%CI 0.83 to 2.02, 11 RCTs, n=2,423, very low </w:t>
            </w:r>
            <w:r w:rsidR="00FB2A6C">
              <w:t>certainty</w:t>
            </w:r>
            <w:r>
              <w:t xml:space="preserve"> </w:t>
            </w:r>
          </w:p>
          <w:p w14:paraId="5AAB7430" w14:textId="242742D3" w:rsidR="00C344D0" w:rsidRDefault="00C344D0" w:rsidP="00C344D0">
            <w:pPr>
              <w:pStyle w:val="bullet"/>
            </w:pPr>
            <w:r>
              <w:t xml:space="preserve">Low birth weight: RR 0.84; 95%CI 0.69 to 1.03; n=17,613; 11 RCTs; low </w:t>
            </w:r>
            <w:r w:rsidR="00FB2A6C">
              <w:t>certainty</w:t>
            </w:r>
          </w:p>
          <w:p w14:paraId="7E9530B2" w14:textId="2AEA1F67" w:rsidR="00C344D0" w:rsidRDefault="00C73427" w:rsidP="00C344D0">
            <w:pPr>
              <w:pStyle w:val="bullet"/>
            </w:pPr>
            <w:r>
              <w:t>Preterm birth: RR 0.93; 95%C</w:t>
            </w:r>
            <w:r w:rsidR="00C344D0">
              <w:t xml:space="preserve">I 0.84 to 1.03, 13 RCTs, n=19,286, moderate </w:t>
            </w:r>
            <w:r w:rsidR="00FB2A6C">
              <w:t>certainty</w:t>
            </w:r>
          </w:p>
          <w:p w14:paraId="3C7A2602" w14:textId="519B20A6" w:rsidR="00C344D0" w:rsidRDefault="00C73427" w:rsidP="00C344D0">
            <w:pPr>
              <w:pStyle w:val="bullet"/>
            </w:pPr>
            <w:r>
              <w:t>Birthweight: MD</w:t>
            </w:r>
            <w:r w:rsidR="00C344D0">
              <w:t xml:space="preserve"> 23.75; 95%CI -3.02 to 50.51, 15 RCTs, n=18,590, moderate </w:t>
            </w:r>
            <w:r w:rsidR="00FB2A6C">
              <w:t>certainty</w:t>
            </w:r>
          </w:p>
          <w:p w14:paraId="3510F29E" w14:textId="0D69F11D" w:rsidR="00C344D0" w:rsidRDefault="00C344D0" w:rsidP="00C344D0">
            <w:pPr>
              <w:pStyle w:val="bullet"/>
            </w:pPr>
            <w:r>
              <w:t xml:space="preserve">Neonatal death: RR 0.91; 95%CI 0.71 to 1.18, 4 RCTs, n=16,603, low </w:t>
            </w:r>
            <w:r w:rsidR="00FB2A6C">
              <w:t>certainty</w:t>
            </w:r>
            <w:r>
              <w:t xml:space="preserve"> </w:t>
            </w:r>
          </w:p>
          <w:p w14:paraId="0A22E6B0" w14:textId="0683955E" w:rsidR="00076898" w:rsidRPr="00C344D0" w:rsidRDefault="00C344D0" w:rsidP="00B2318B">
            <w:pPr>
              <w:pStyle w:val="bullet"/>
            </w:pPr>
            <w:r>
              <w:t xml:space="preserve">Congenital anomalies: RR 0.88, 95%CI 0.58 to 1.33, 4 RCTs, n=14,636, low </w:t>
            </w:r>
            <w:r w:rsidR="00FB2A6C">
              <w:t>certainty</w:t>
            </w:r>
            <w:r>
              <w:t xml:space="preserve"> </w:t>
            </w:r>
          </w:p>
        </w:tc>
        <w:tc>
          <w:tcPr>
            <w:tcW w:w="1843" w:type="dxa"/>
          </w:tcPr>
          <w:p w14:paraId="77F8A861" w14:textId="77777777" w:rsidR="00076898" w:rsidRPr="00D150D8" w:rsidRDefault="00076898" w:rsidP="00C344D0"/>
        </w:tc>
      </w:tr>
      <w:tr w:rsidR="00B47684" w:rsidRPr="00D150D8" w14:paraId="4C71EACB" w14:textId="77777777" w:rsidTr="00330CDB">
        <w:trPr>
          <w:cantSplit/>
        </w:trPr>
        <w:tc>
          <w:tcPr>
            <w:tcW w:w="1304" w:type="dxa"/>
          </w:tcPr>
          <w:p w14:paraId="0EFFAC4E" w14:textId="3E8585BA" w:rsidR="00B47684" w:rsidRDefault="00B47684" w:rsidP="002747EA">
            <w:r>
              <w:t>Pena-Rosas et al 2015</w:t>
            </w:r>
            <w:r w:rsidR="00201490">
              <w:fldChar w:fldCharType="begin">
                <w:fldData xml:space="preserve">PEVuZE5vdGU+PENpdGU+PEF1dGhvcj5QZW5hLVJvc2FzPC9BdXRob3I+PFllYXI+MjAxNTwvWWVh
cj48UmVjTnVtPjE2Mzc8L1JlY051bT48RGlzcGxheVRleHQ+PHN0eWxlIGZhY2U9InN1cGVyc2Ny
aXB0IiBmb250PSJUcmVidWNoZXQgTVMiIHNpemU9IjkiPjE3NTwvc3R5bGU+PC9EaXNwbGF5VGV4
dD48cmVjb3JkPjxyZWMtbnVtYmVyPjE2Mzc8L3JlYy1udW1iZXI+PGZvcmVpZ24ta2V5cz48a2V5
IGFwcD0iRU4iIGRiLWlkPSJleHZhc3JmeDJkdHJhb2VzYXN4cDJzenN4YTJkZjUwMjU5MngiIHRp
bWVzdGFtcD0iMTU3NjczNDM3MSI+MTYzNzwva2V5PjxrZXkgYXBwPSJFTldlYiIgZGItaWQ9IiI+
MDwva2V5PjwvZm9yZWlnbi1rZXlzPjxyZWYtdHlwZSBuYW1lPSJKb3VybmFsIEFydGljbGUiPjE3
PC9yZWYtdHlwZT48Y29udHJpYnV0b3JzPjxhdXRob3JzPjxhdXRob3I+UGVuYS1Sb3NhcywgSi4g
UC48L2F1dGhvcj48YXV0aG9yPkRlLVJlZ2lsLCBMLiBNLjwvYXV0aG9yPjxhdXRob3I+R29tZXog
TWFsYXZlLCBILjwvYXV0aG9yPjxhdXRob3I+RmxvcmVzLVVycnV0aWEsIE0uIEMuPC9hdXRob3I+
PGF1dGhvcj5Eb3dzd2VsbCwgVC48L2F1dGhvcj48L2F1dGhvcnM+PC9jb250cmlidXRvcnM+PGF1
dGgtYWRkcmVzcz5FdmlkZW5jZSBhbmQgUHJvZ3JhbW1lIEd1aWRhbmNlLCBEZXBhcnRtZW50IG9m
IE51dHJpdGlvbiBmb3IgSGVhbHRoIGFuZCBEZXZlbG9wbWVudCwgV29ybGQgSGVhbHRoIE9yZ2Fu
aXphdGlvbiwgMjAgQXZlbnVlIEFwcGlhLCBHZW5ldmEsIFN3aXR6ZXJsYW5kLCAxMjExLjwvYXV0
aC1hZGRyZXNzPjx0aXRsZXM+PHRpdGxlPkludGVybWl0dGVudCBvcmFsIGlyb24gc3VwcGxlbWVu
dGF0aW9uIGR1cmluZyBwcmVnbmFuY3k8L3RpdGxlPjxzZWNvbmRhcnktdGl0bGU+Q29jaHJhbmUg
RGF0YWJhc2UgU3lzdCBSZXY8L3NlY29uZGFyeS10aXRsZT48L3RpdGxlcz48cGVyaW9kaWNhbD48
ZnVsbC10aXRsZT5Db2NocmFuZSBEYXRhYmFzZSBTeXN0IFJldjwvZnVsbC10aXRsZT48L3Blcmlv
ZGljYWw+PHBhZ2VzPkNEMDA5OTk3PC9wYWdlcz48bnVtYmVyPjEwPC9udW1iZXI+PGVkaXRpb24+
MjAxNS8xMC8yMTwvZWRpdGlvbj48a2V5d29yZHM+PGtleXdvcmQ+QWRtaW5pc3RyYXRpb24sIE9y
YWw8L2tleXdvcmQ+PGtleXdvcmQ+QW5lbWlhLCBJcm9uLURlZmljaWVuY3kvYmxvb2QvKnByZXZl
bnRpb24gJmFtcDsgY29udHJvbDwva2V5d29yZD48a2V5d29yZD5EZXZlbG9waW5nIENvdW50cmll
czwva2V5d29yZD48a2V5d29yZD5EaWV0YXJ5IFN1cHBsZW1lbnRzLyphZHZlcnNlIGVmZmVjdHM8
L2tleXdvcmQ+PGtleXdvcmQ+RHJ1ZyBBZG1pbmlzdHJhdGlvbiBTY2hlZHVsZTwva2V5d29yZD48
a2V5d29yZD5EcnVnIENvbWJpbmF0aW9uczwva2V5d29yZD48a2V5d29yZD5GZW1hbGU8L2tleXdv
cmQ+PGtleXdvcmQ+Rm9saWMgQWNpZC9hZG1pbmlzdHJhdGlvbiAmYW1wOyBkb3NhZ2U8L2tleXdv
cmQ+PGtleXdvcmQ+SGVtb2dsb2JpbiBBL21ldGFib2xpc208L2tleXdvcmQ+PGtleXdvcmQ+SHVt
YW5zPC9rZXl3b3JkPjxrZXl3b3JkPkluZmFudCwgTG93IEJpcnRoIFdlaWdodDwva2V5d29yZD48
a2V5d29yZD5JbmZhbnQsIE5ld2Jvcm48L2tleXdvcmQ+PGtleXdvcmQ+SXJvbi8qYWRtaW5pc3Ry
YXRpb24gJmFtcDsgZG9zYWdlL2FkdmVyc2UgZWZmZWN0czwva2V5d29yZD48a2V5d29yZD5Jcm9u
LCBEaWV0YXJ5LyphZG1pbmlzdHJhdGlvbiAmYW1wOyBkb3NhZ2U8L2tleXdvcmQ+PGtleXdvcmQ+
UHJlZ25hbmN5PC9rZXl3b3JkPjxrZXl3b3JkPlByZWduYW5jeSBDb21wbGljYXRpb25zLCBIZW1h
dG9sb2dpYy9ibG9vZC8qcHJldmVudGlvbiAmYW1wOyBjb250cm9sPC9rZXl3b3JkPjxrZXl3b3Jk
PlByZW1hdHVyZSBCaXJ0aDwva2V5d29yZD48a2V5d29yZD5SYW5kb21pemVkIENvbnRyb2xsZWQg
VHJpYWxzIGFzIFRvcGljPC9rZXl3b3JkPjxrZXl3b3JkPlZpdGFtaW5zL2FkbWluaXN0cmF0aW9u
ICZhbXA7IGRvc2FnZTwva2V5d29yZD48L2tleXdvcmRzPjxkYXRlcz48eWVhcj4yMDE1PC95ZWFy
PjxwdWItZGF0ZXM+PGRhdGU+T2N0IDE5PC9kYXRlPjwvcHViLWRhdGVzPjwvZGF0ZXM+PGlzYm4+
MTQ2OS00OTNYIChFbGVjdHJvbmljKSYjeEQ7MTM2MS02MTM3IChMaW5raW5nKTwvaXNibj48YWNj
ZXNzaW9uLW51bT4yNjQ4MjExMDwvYWNjZXNzaW9uLW51bT48dXJscz48cmVsYXRlZC11cmxzPjx1
cmw+aHR0cHM6Ly93d3cubmNiaS5ubG0ubmloLmdvdi9wdWJtZWQvMjY0ODIxMTA8L3VybD48L3Jl
bGF0ZWQtdXJscz48L3VybHM+PGVsZWN0cm9uaWMtcmVzb3VyY2UtbnVtPjEwLjEwMDIvMTQ2NTE4
NTguQ0QwMDk5OTcucHViMjwvZWxlY3Ryb25pYy1yZXNvdXJjZS1udW0+PC9yZWNvcmQ+PC9DaXRl
PjwvRW5kTm90ZT4A
</w:fldData>
              </w:fldChar>
            </w:r>
            <w:r w:rsidR="002747EA">
              <w:instrText xml:space="preserve"> ADDIN EN.CITE </w:instrText>
            </w:r>
            <w:r w:rsidR="002747EA">
              <w:fldChar w:fldCharType="begin">
                <w:fldData xml:space="preserve">PEVuZE5vdGU+PENpdGU+PEF1dGhvcj5QZW5hLVJvc2FzPC9BdXRob3I+PFllYXI+MjAxNTwvWWVh
cj48UmVjTnVtPjE2Mzc8L1JlY051bT48RGlzcGxheVRleHQ+PHN0eWxlIGZhY2U9InN1cGVyc2Ny
aXB0IiBmb250PSJUcmVidWNoZXQgTVMiIHNpemU9IjkiPjE3NTwvc3R5bGU+PC9EaXNwbGF5VGV4
dD48cmVjb3JkPjxyZWMtbnVtYmVyPjE2Mzc8L3JlYy1udW1iZXI+PGZvcmVpZ24ta2V5cz48a2V5
IGFwcD0iRU4iIGRiLWlkPSJleHZhc3JmeDJkdHJhb2VzYXN4cDJzenN4YTJkZjUwMjU5MngiIHRp
bWVzdGFtcD0iMTU3NjczNDM3MSI+MTYzNzwva2V5PjxrZXkgYXBwPSJFTldlYiIgZGItaWQ9IiI+
MDwva2V5PjwvZm9yZWlnbi1rZXlzPjxyZWYtdHlwZSBuYW1lPSJKb3VybmFsIEFydGljbGUiPjE3
PC9yZWYtdHlwZT48Y29udHJpYnV0b3JzPjxhdXRob3JzPjxhdXRob3I+UGVuYS1Sb3NhcywgSi4g
UC48L2F1dGhvcj48YXV0aG9yPkRlLVJlZ2lsLCBMLiBNLjwvYXV0aG9yPjxhdXRob3I+R29tZXog
TWFsYXZlLCBILjwvYXV0aG9yPjxhdXRob3I+RmxvcmVzLVVycnV0aWEsIE0uIEMuPC9hdXRob3I+
PGF1dGhvcj5Eb3dzd2VsbCwgVC48L2F1dGhvcj48L2F1dGhvcnM+PC9jb250cmlidXRvcnM+PGF1
dGgtYWRkcmVzcz5FdmlkZW5jZSBhbmQgUHJvZ3JhbW1lIEd1aWRhbmNlLCBEZXBhcnRtZW50IG9m
IE51dHJpdGlvbiBmb3IgSGVhbHRoIGFuZCBEZXZlbG9wbWVudCwgV29ybGQgSGVhbHRoIE9yZ2Fu
aXphdGlvbiwgMjAgQXZlbnVlIEFwcGlhLCBHZW5ldmEsIFN3aXR6ZXJsYW5kLCAxMjExLjwvYXV0
aC1hZGRyZXNzPjx0aXRsZXM+PHRpdGxlPkludGVybWl0dGVudCBvcmFsIGlyb24gc3VwcGxlbWVu
dGF0aW9uIGR1cmluZyBwcmVnbmFuY3k8L3RpdGxlPjxzZWNvbmRhcnktdGl0bGU+Q29jaHJhbmUg
RGF0YWJhc2UgU3lzdCBSZXY8L3NlY29uZGFyeS10aXRsZT48L3RpdGxlcz48cGVyaW9kaWNhbD48
ZnVsbC10aXRsZT5Db2NocmFuZSBEYXRhYmFzZSBTeXN0IFJldjwvZnVsbC10aXRsZT48L3Blcmlv
ZGljYWw+PHBhZ2VzPkNEMDA5OTk3PC9wYWdlcz48bnVtYmVyPjEwPC9udW1iZXI+PGVkaXRpb24+
MjAxNS8xMC8yMTwvZWRpdGlvbj48a2V5d29yZHM+PGtleXdvcmQ+QWRtaW5pc3RyYXRpb24sIE9y
YWw8L2tleXdvcmQ+PGtleXdvcmQ+QW5lbWlhLCBJcm9uLURlZmljaWVuY3kvYmxvb2QvKnByZXZl
bnRpb24gJmFtcDsgY29udHJvbDwva2V5d29yZD48a2V5d29yZD5EZXZlbG9waW5nIENvdW50cmll
czwva2V5d29yZD48a2V5d29yZD5EaWV0YXJ5IFN1cHBsZW1lbnRzLyphZHZlcnNlIGVmZmVjdHM8
L2tleXdvcmQ+PGtleXdvcmQ+RHJ1ZyBBZG1pbmlzdHJhdGlvbiBTY2hlZHVsZTwva2V5d29yZD48
a2V5d29yZD5EcnVnIENvbWJpbmF0aW9uczwva2V5d29yZD48a2V5d29yZD5GZW1hbGU8L2tleXdv
cmQ+PGtleXdvcmQ+Rm9saWMgQWNpZC9hZG1pbmlzdHJhdGlvbiAmYW1wOyBkb3NhZ2U8L2tleXdv
cmQ+PGtleXdvcmQ+SGVtb2dsb2JpbiBBL21ldGFib2xpc208L2tleXdvcmQ+PGtleXdvcmQ+SHVt
YW5zPC9rZXl3b3JkPjxrZXl3b3JkPkluZmFudCwgTG93IEJpcnRoIFdlaWdodDwva2V5d29yZD48
a2V5d29yZD5JbmZhbnQsIE5ld2Jvcm48L2tleXdvcmQ+PGtleXdvcmQ+SXJvbi8qYWRtaW5pc3Ry
YXRpb24gJmFtcDsgZG9zYWdlL2FkdmVyc2UgZWZmZWN0czwva2V5d29yZD48a2V5d29yZD5Jcm9u
LCBEaWV0YXJ5LyphZG1pbmlzdHJhdGlvbiAmYW1wOyBkb3NhZ2U8L2tleXdvcmQ+PGtleXdvcmQ+
UHJlZ25hbmN5PC9rZXl3b3JkPjxrZXl3b3JkPlByZWduYW5jeSBDb21wbGljYXRpb25zLCBIZW1h
dG9sb2dpYy9ibG9vZC8qcHJldmVudGlvbiAmYW1wOyBjb250cm9sPC9rZXl3b3JkPjxrZXl3b3Jk
PlByZW1hdHVyZSBCaXJ0aDwva2V5d29yZD48a2V5d29yZD5SYW5kb21pemVkIENvbnRyb2xsZWQg
VHJpYWxzIGFzIFRvcGljPC9rZXl3b3JkPjxrZXl3b3JkPlZpdGFtaW5zL2FkbWluaXN0cmF0aW9u
ICZhbXA7IGRvc2FnZTwva2V5d29yZD48L2tleXdvcmRzPjxkYXRlcz48eWVhcj4yMDE1PC95ZWFy
PjxwdWItZGF0ZXM+PGRhdGU+T2N0IDE5PC9kYXRlPjwvcHViLWRhdGVzPjwvZGF0ZXM+PGlzYm4+
MTQ2OS00OTNYIChFbGVjdHJvbmljKSYjeEQ7MTM2MS02MTM3IChMaW5raW5nKTwvaXNibj48YWNj
ZXNzaW9uLW51bT4yNjQ4MjExMDwvYWNjZXNzaW9uLW51bT48dXJscz48cmVsYXRlZC11cmxzPjx1
cmw+aHR0cHM6Ly93d3cubmNiaS5ubG0ubmloLmdvdi9wdWJtZWQvMjY0ODIxMTA8L3VybD48L3Jl
bGF0ZWQtdXJscz48L3VybHM+PGVsZWN0cm9uaWMtcmVzb3VyY2UtbnVtPjEwLjEwMDIvMTQ2NTE4
NTguQ0QwMDk5OTcucHViMjwvZWxlY3Ryb25pYy1yZXNvdXJjZS1udW0+PC9yZWNvcmQ+PC9DaXRl
PjwvRW5kTm90ZT4A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175</w:t>
            </w:r>
            <w:r w:rsidR="00201490">
              <w:fldChar w:fldCharType="end"/>
            </w:r>
          </w:p>
        </w:tc>
        <w:tc>
          <w:tcPr>
            <w:tcW w:w="1528" w:type="dxa"/>
          </w:tcPr>
          <w:p w14:paraId="0181EC41" w14:textId="59BEF69E" w:rsidR="00B47684" w:rsidRDefault="00B2318B" w:rsidP="00CA1632">
            <w:r>
              <w:t>21 RCTs</w:t>
            </w:r>
          </w:p>
        </w:tc>
        <w:tc>
          <w:tcPr>
            <w:tcW w:w="4680" w:type="dxa"/>
          </w:tcPr>
          <w:p w14:paraId="001BAD36" w14:textId="77777777" w:rsidR="00B2318B" w:rsidRDefault="00B2318B" w:rsidP="00B2318B">
            <w:r w:rsidRPr="00B2318B">
              <w:rPr>
                <w:b/>
              </w:rPr>
              <w:t>Aim</w:t>
            </w:r>
            <w:r>
              <w:t xml:space="preserve">: </w:t>
            </w:r>
            <w:r w:rsidRPr="00B2318B">
              <w:t xml:space="preserve">To assess the benefits and harms of intermittent supplementation with iron alone or in combination with folic acid or other vitamins and minerals to pregnant women on neonatal and pregnancy outcomes. </w:t>
            </w:r>
          </w:p>
          <w:p w14:paraId="70512AC3" w14:textId="5ACBDBE0" w:rsidR="00B47684" w:rsidRPr="00D26C7B" w:rsidRDefault="00B2318B" w:rsidP="00B2318B">
            <w:pPr>
              <w:rPr>
                <w:b/>
              </w:rPr>
            </w:pPr>
            <w:r w:rsidRPr="00B2318B">
              <w:rPr>
                <w:b/>
              </w:rPr>
              <w:t>Methods</w:t>
            </w:r>
            <w:r w:rsidRPr="00B2318B">
              <w:t>: We searched the Cochrane Pregnancy and Childbirth Group's Trials Register (31 July 2015), the WHO International Clinical Trials Registry Platform (ICTRP) (31 July 2015) and contacted relevant organisations for the identification of ongoing and unpub</w:t>
            </w:r>
            <w:r>
              <w:t xml:space="preserve">lished studies (31 July 2015). </w:t>
            </w:r>
            <w:r w:rsidRPr="00B2318B">
              <w:t>Randomised or quasi-randomised trials</w:t>
            </w:r>
            <w:r>
              <w:t xml:space="preserve"> were included</w:t>
            </w:r>
            <w:r w:rsidRPr="00B2318B">
              <w:t xml:space="preserve">. We assessed the methodological quality of trials using standard Cochrane criteria. Two review authors independently assessed trial eligibility, extracted data and conducted checks for accuracy. </w:t>
            </w:r>
          </w:p>
        </w:tc>
        <w:tc>
          <w:tcPr>
            <w:tcW w:w="4537" w:type="dxa"/>
          </w:tcPr>
          <w:p w14:paraId="52394BCF" w14:textId="3D249ADE" w:rsidR="00B2318B" w:rsidRDefault="00B2318B" w:rsidP="00B2318B">
            <w:r>
              <w:t>Intermittent vs d</w:t>
            </w:r>
            <w:r w:rsidRPr="00B2318B">
              <w:t xml:space="preserve">aily versus iron </w:t>
            </w:r>
            <w:r>
              <w:t xml:space="preserve">regimen </w:t>
            </w:r>
            <w:r w:rsidRPr="00B2318B">
              <w:t>(with or without other vitamins and minerals)</w:t>
            </w:r>
            <w:r>
              <w:t>:</w:t>
            </w:r>
            <w:r w:rsidRPr="00B2318B">
              <w:t xml:space="preserve"> </w:t>
            </w:r>
          </w:p>
          <w:p w14:paraId="5D489804" w14:textId="5CF5378D" w:rsidR="00B2318B" w:rsidRDefault="00B2318B" w:rsidP="00B2318B">
            <w:pPr>
              <w:pStyle w:val="bullet"/>
            </w:pPr>
            <w:r>
              <w:t>Low birthweight: RR</w:t>
            </w:r>
            <w:r w:rsidRPr="00B2318B">
              <w:t xml:space="preserve"> 0.82; 95%</w:t>
            </w:r>
            <w:r>
              <w:t>CI</w:t>
            </w:r>
            <w:r w:rsidRPr="00B2318B">
              <w:t xml:space="preserve"> 0.55 to 1.22; </w:t>
            </w:r>
            <w:r>
              <w:t>n=</w:t>
            </w:r>
            <w:r w:rsidRPr="00B2318B">
              <w:t>1</w:t>
            </w:r>
            <w:r>
              <w:t>,</w:t>
            </w:r>
            <w:r w:rsidRPr="00B2318B">
              <w:t xml:space="preserve">898; </w:t>
            </w:r>
            <w:r>
              <w:t>8 RCT</w:t>
            </w:r>
            <w:r w:rsidRPr="00B2318B">
              <w:t xml:space="preserve">; low </w:t>
            </w:r>
            <w:r w:rsidR="00FB2A6C">
              <w:t>certainty</w:t>
            </w:r>
          </w:p>
          <w:p w14:paraId="5CF839EB" w14:textId="13BDBF11" w:rsidR="00B2318B" w:rsidRDefault="00B2318B" w:rsidP="00B2318B">
            <w:pPr>
              <w:pStyle w:val="bullet"/>
            </w:pPr>
            <w:r>
              <w:t>Infant birthweight: MD 5.13 g; 95%</w:t>
            </w:r>
            <w:r w:rsidRPr="00B2318B">
              <w:t xml:space="preserve">CI -29.46 to 39.72; </w:t>
            </w:r>
            <w:r>
              <w:t>n=</w:t>
            </w:r>
            <w:r w:rsidRPr="00B2318B">
              <w:t>1</w:t>
            </w:r>
            <w:r>
              <w:t>,</w:t>
            </w:r>
            <w:r w:rsidRPr="00B2318B">
              <w:t xml:space="preserve">939; </w:t>
            </w:r>
            <w:r>
              <w:t>9 RCTs</w:t>
            </w:r>
            <w:r w:rsidRPr="00B2318B">
              <w:t xml:space="preserve">; low </w:t>
            </w:r>
            <w:r w:rsidR="00FB2A6C">
              <w:t>certainty</w:t>
            </w:r>
            <w:r w:rsidRPr="00B2318B">
              <w:t xml:space="preserve"> </w:t>
            </w:r>
          </w:p>
          <w:p w14:paraId="3BF5D34E" w14:textId="4DADE84F" w:rsidR="00B2318B" w:rsidRDefault="00B2318B" w:rsidP="00B2318B">
            <w:pPr>
              <w:pStyle w:val="bullet"/>
            </w:pPr>
            <w:r>
              <w:t>P</w:t>
            </w:r>
            <w:r w:rsidRPr="00B2318B">
              <w:t>remature birth</w:t>
            </w:r>
            <w:r>
              <w:t>: RR 1.03; 95%</w:t>
            </w:r>
            <w:r w:rsidRPr="00B2318B">
              <w:t xml:space="preserve">CI 0.76 to 1.39; </w:t>
            </w:r>
            <w:r>
              <w:t>n=</w:t>
            </w:r>
            <w:r w:rsidRPr="00B2318B">
              <w:t>1</w:t>
            </w:r>
            <w:r>
              <w:t>,</w:t>
            </w:r>
            <w:r w:rsidRPr="00B2318B">
              <w:t xml:space="preserve">177; </w:t>
            </w:r>
            <w:r>
              <w:t>5 RCTs</w:t>
            </w:r>
            <w:r w:rsidRPr="00B2318B">
              <w:t xml:space="preserve">; low </w:t>
            </w:r>
            <w:r w:rsidR="00FB2A6C">
              <w:t>certainty</w:t>
            </w:r>
          </w:p>
          <w:p w14:paraId="77103E5E" w14:textId="177F92A2" w:rsidR="00B2318B" w:rsidRDefault="00B2318B" w:rsidP="00B2318B">
            <w:pPr>
              <w:pStyle w:val="bullet"/>
            </w:pPr>
            <w:r>
              <w:t>N</w:t>
            </w:r>
            <w:r w:rsidRPr="00B2318B">
              <w:t>eonatal death</w:t>
            </w:r>
            <w:r>
              <w:t>: RR 0.49; 95%</w:t>
            </w:r>
            <w:r w:rsidRPr="00B2318B">
              <w:t xml:space="preserve">CI 0.04 to 5.42; </w:t>
            </w:r>
            <w:r>
              <w:t>n=</w:t>
            </w:r>
            <w:r w:rsidRPr="00B2318B">
              <w:t xml:space="preserve">795; </w:t>
            </w:r>
            <w:r>
              <w:t>1 RCT</w:t>
            </w:r>
            <w:r w:rsidRPr="00B2318B">
              <w:t xml:space="preserve">; </w:t>
            </w:r>
            <w:r>
              <w:t xml:space="preserve">very low </w:t>
            </w:r>
            <w:r w:rsidR="00FB2A6C">
              <w:t>certainty</w:t>
            </w:r>
          </w:p>
          <w:p w14:paraId="4B6845E9" w14:textId="08916E69" w:rsidR="00D002BF" w:rsidRDefault="00D002BF" w:rsidP="00D002BF">
            <w:pPr>
              <w:pStyle w:val="bullet"/>
            </w:pPr>
            <w:r>
              <w:t>Maternal a</w:t>
            </w:r>
            <w:r w:rsidR="00B2318B" w:rsidRPr="00B2318B">
              <w:t>naemia at term</w:t>
            </w:r>
            <w:r w:rsidR="00B2318B">
              <w:t>: RR 1.22; 95%</w:t>
            </w:r>
            <w:r w:rsidR="00B2318B" w:rsidRPr="00B2318B">
              <w:t xml:space="preserve">CI 0.84 to 1.80; </w:t>
            </w:r>
            <w:r w:rsidR="00B2318B">
              <w:t>n=</w:t>
            </w:r>
            <w:r w:rsidR="00B2318B" w:rsidRPr="00B2318B">
              <w:t xml:space="preserve">676; </w:t>
            </w:r>
            <w:r w:rsidR="00B2318B">
              <w:t>4 RCTs</w:t>
            </w:r>
            <w:r w:rsidR="00B2318B" w:rsidRPr="00B2318B">
              <w:t>;</w:t>
            </w:r>
            <w:r w:rsidR="00B2318B">
              <w:t xml:space="preserve"> very low </w:t>
            </w:r>
            <w:r w:rsidR="00FB2A6C">
              <w:t>certainty</w:t>
            </w:r>
          </w:p>
          <w:p w14:paraId="32D3CE32" w14:textId="571ED905" w:rsidR="00D002BF" w:rsidRDefault="00D002BF" w:rsidP="00D002BF">
            <w:pPr>
              <w:pStyle w:val="bullet"/>
            </w:pPr>
            <w:r>
              <w:t xml:space="preserve">Maternal iron deficiency anaemia at term: RR 0.71; 95%CI 0.08 to 6.63; 1 RCT, very low </w:t>
            </w:r>
            <w:r w:rsidR="00FB2A6C">
              <w:t>certainty</w:t>
            </w:r>
          </w:p>
          <w:p w14:paraId="74E28109" w14:textId="09032BA7" w:rsidR="00B47684" w:rsidRDefault="00D002BF" w:rsidP="00330CDB">
            <w:pPr>
              <w:pStyle w:val="bullet"/>
            </w:pPr>
            <w:r>
              <w:t>S</w:t>
            </w:r>
            <w:r w:rsidR="00B2318B" w:rsidRPr="00B2318B">
              <w:t>ide effects</w:t>
            </w:r>
            <w:r>
              <w:t>: RR 0.56; 95%</w:t>
            </w:r>
            <w:r w:rsidR="00B2318B" w:rsidRPr="00B2318B">
              <w:t xml:space="preserve">CI 0.37 to 0.84; </w:t>
            </w:r>
            <w:r>
              <w:t>n=</w:t>
            </w:r>
            <w:r w:rsidR="00B2318B" w:rsidRPr="00B2318B">
              <w:t>1</w:t>
            </w:r>
            <w:r>
              <w:t>,</w:t>
            </w:r>
            <w:r w:rsidR="00B2318B" w:rsidRPr="00B2318B">
              <w:t xml:space="preserve">777; </w:t>
            </w:r>
            <w:r>
              <w:t>1 RCT</w:t>
            </w:r>
            <w:r w:rsidR="00B2318B" w:rsidRPr="00B2318B">
              <w:t xml:space="preserve">; very low </w:t>
            </w:r>
            <w:r w:rsidR="00FB2A6C">
              <w:t>certainty</w:t>
            </w:r>
          </w:p>
        </w:tc>
        <w:tc>
          <w:tcPr>
            <w:tcW w:w="1843" w:type="dxa"/>
          </w:tcPr>
          <w:p w14:paraId="307D27F0" w14:textId="77777777" w:rsidR="00B47684" w:rsidRPr="00D150D8" w:rsidRDefault="00B47684" w:rsidP="00C344D0"/>
        </w:tc>
      </w:tr>
      <w:tr w:rsidR="0045378A" w:rsidRPr="00D150D8" w14:paraId="0DFC4EBF" w14:textId="77777777" w:rsidTr="00330CDB">
        <w:trPr>
          <w:cantSplit/>
        </w:trPr>
        <w:tc>
          <w:tcPr>
            <w:tcW w:w="1304" w:type="dxa"/>
          </w:tcPr>
          <w:p w14:paraId="171001E3" w14:textId="0A138481" w:rsidR="0045378A" w:rsidRDefault="0045378A" w:rsidP="002747EA">
            <w:r>
              <w:t>Jayasinghe et al 2018</w:t>
            </w:r>
            <w:r w:rsidR="00201490">
              <w:fldChar w:fldCharType="begin">
                <w:fldData xml:space="preserve">PEVuZE5vdGU+PENpdGU+PEF1dGhvcj5KYXlhc2luZ2hlPC9BdXRob3I+PFllYXI+MjAxODwvWWVh
cj48UmVjTnVtPjE2MzA8L1JlY051bT48RGlzcGxheVRleHQ+PHN0eWxlIGZhY2U9InN1cGVyc2Ny
aXB0IiBmb250PSJUcmVidWNoZXQgTVMiIHNpemU9IjkiPjE3Njwvc3R5bGU+PC9EaXNwbGF5VGV4
dD48cmVjb3JkPjxyZWMtbnVtYmVyPjE2MzA8L3JlYy1udW1iZXI+PGZvcmVpZ24ta2V5cz48a2V5
IGFwcD0iRU4iIGRiLWlkPSJleHZhc3JmeDJkdHJhb2VzYXN4cDJzenN4YTJkZjUwMjU5MngiIHRp
bWVzdGFtcD0iMTU3NjczNDMyOCI+MTYzMDwva2V5PjxrZXkgYXBwPSJFTldlYiIgZGItaWQ9IiI+
MDwva2V5PjwvZm9yZWlnbi1rZXlzPjxyZWYtdHlwZSBuYW1lPSJKb3VybmFsIEFydGljbGUiPjE3
PC9yZWYtdHlwZT48Y29udHJpYnV0b3JzPjxhdXRob3JzPjxhdXRob3I+SmF5YXNpbmdoZSwgQy48
L2F1dGhvcj48YXV0aG9yPlBvbHNvbiwgUi48L2F1dGhvcj48YXV0aG9yPnZhbiBXb2VyZGVuLCBI
LiBDLjwvYXV0aG9yPjxhdXRob3I+V2lsc29uLCBQLjwvYXV0aG9yPjwvYXV0aG9ycz48L2NvbnRy
aWJ1dG9ycz48YXV0aC1hZGRyZXNzPk1pbmlzdHJ5IG9mIEhlYWx0aCwgMzg1LCBWZW4uIEJhZGRl
Z2FtYSBXaW1hbGF3YW5zYSBUaGVybyBNYXdhdGhhLCBDb2xvbWJvLCAxMCwgU3JpIExhbmthLiBj
aGludGhhakB5YWhvby5jb20uJiN4RDtDZW50cmUgZm9yIEhlYWx0aCBTY2llbmNlLCBVbml2ZXJz
aXR5IG9mIHRoZSBIaWdobGFuZCBhbmQgSXNsYW5kcywgT2xkIFBlcnRoIFJvYWQsIEludmVybmVz
cywgSVYyIDNKSCwgVUsuJiN4RDtDZW50cmUgZm9yIFJ1cmFsIEhlYWx0aCwgVW5pdmVyc2l0eSBv
ZiBBYmVyZGVlbiwgT2xkIFBlcnRoIFJvYWQsIEludmVybmVzcywgSVYyIDNKSCwgVUsuPC9hdXRo
LWFkZHJlc3M+PHRpdGxlcz48dGl0bGU+VGhlIGVmZmVjdCBvZiB1bml2ZXJzYWwgbWF0ZXJuYWwg
YW50ZW5hdGFsIGlyb24gc3VwcGxlbWVudGF0aW9uIG9uIG5ldXJvZGV2ZWxvcG1lbnQgaW4gb2Zm
c3ByaW5nOiBhIHN5c3RlbWF0aWMgcmV2aWV3IGFuZCBtZXRhLWFuYWx5c2lzPC90aXRsZT48c2Vj
b25kYXJ5LXRpdGxlPkJNQyBQZWRpYXRyPC9zZWNvbmRhcnktdGl0bGU+PC90aXRsZXM+PHBlcmlv
ZGljYWw+PGZ1bGwtdGl0bGU+Qk1DIFBlZGlhdHI8L2Z1bGwtdGl0bGU+PC9wZXJpb2RpY2FsPjxw
YWdlcz4xNTA8L3BhZ2VzPjx2b2x1bWU+MTg8L3ZvbHVtZT48bnVtYmVyPjE8L251bWJlcj48ZWRp
dGlvbj4yMDE4LzA1LzA4PC9lZGl0aW9uPjxrZXl3b3Jkcz48a2V5d29yZD5BbmVtaWEsIElyb24t
RGVmaWNpZW5jeS9lcGlkZW1pb2xvZ3kvcHJldmVudGlvbiAmYW1wOyBjb250cm9sPC9rZXl3b3Jk
PjxrZXl3b3JkPkNoaWxkPC9rZXl3b3JkPjxrZXl3b3JkPkNoaWxkIEJlaGF2aW9yPC9rZXl3b3Jk
PjxrZXl3b3JkPipDaGlsZCBEZXZlbG9wbWVudDwva2V5d29yZD48a2V5d29yZD5Db2duaXRpb248
L2tleXdvcmQ+PGtleXdvcmQ+KkRpZXRhcnkgU3VwcGxlbWVudHM8L2tleXdvcmQ+PGtleXdvcmQ+
RmVtYWxlPC9rZXl3b3JkPjxrZXl3b3JkPkZvbGljIEFjaWQvKmFkbWluaXN0cmF0aW9uICZhbXA7
IGRvc2FnZTwva2V5d29yZD48a2V5d29yZD5IdW1hbnM8L2tleXdvcmQ+PGtleXdvcmQ+SW50ZWxs
aWdlbmNlPC9rZXl3b3JkPjxrZXl3b3JkPlByZWduYW5jeTwva2V5d29yZD48a2V5d29yZD5QcmVn
bmFuY3kgQ29tcGxpY2F0aW9ucywgSGVtYXRvbG9naWMvZXBpZGVtaW9sb2d5L3ByZXZlbnRpb24g
JmFtcDsgY29udHJvbDwva2V5d29yZD48a2V5d29yZD5QcmVuYXRhbCBDYXJlLyptZXRob2RzPC9r
ZXl3b3JkPjxrZXl3b3JkPlByZXZhbGVuY2U8L2tleXdvcmQ+PGtleXdvcmQ+KkFudGVuYXRhbDwv
a2V5d29yZD48a2V5d29yZD4qSXJvbiBkZWZpY2llbmN5IGFuYWVtaWE8L2tleXdvcmQ+PGtleXdv
cmQ+Kklyb24gc3VwcGxlbWVudGF0aW9uPC9rZXl3b3JkPjxrZXl3b3JkPipOZXVyb2RldmVsb3Bt
ZW50PC9rZXl3b3JkPjxrZXl3b3JkPipPZmZzcHJpbmc8L2tleXdvcmQ+PC9rZXl3b3Jkcz48ZGF0
ZXM+PHllYXI+MjAxODwveWVhcj48cHViLWRhdGVzPjxkYXRlPk1heSA0PC9kYXRlPjwvcHViLWRh
dGVzPjwvZGF0ZXM+PGlzYm4+MTQ3MS0yNDMxIChFbGVjdHJvbmljKSYjeEQ7MTQ3MS0yNDMxIChM
aW5raW5nKTwvaXNibj48YWNjZXNzaW9uLW51bT4yOTcyODA4NjwvYWNjZXNzaW9uLW51bT48dXJs
cz48cmVsYXRlZC11cmxzPjx1cmw+aHR0cHM6Ly93d3cubmNiaS5ubG0ubmloLmdvdi9wdWJtZWQv
Mjk3MjgwODY8L3VybD48L3JlbGF0ZWQtdXJscz48L3VybHM+PGN1c3RvbTI+UE1DNTkzNjAyNTwv
Y3VzdG9tMj48ZWxlY3Ryb25pYy1yZXNvdXJjZS1udW0+MTAuMTE4Ni9zMTI4ODctMDE4LTExMTgt
NzwvZWxlY3Ryb25pYy1yZXNvdXJjZS1udW0+PC9yZWNvcmQ+PC9DaXRlPjwvRW5kTm90ZT4A
</w:fldData>
              </w:fldChar>
            </w:r>
            <w:r w:rsidR="002747EA">
              <w:instrText xml:space="preserve"> ADDIN EN.CITE </w:instrText>
            </w:r>
            <w:r w:rsidR="002747EA">
              <w:fldChar w:fldCharType="begin">
                <w:fldData xml:space="preserve">PEVuZE5vdGU+PENpdGU+PEF1dGhvcj5KYXlhc2luZ2hlPC9BdXRob3I+PFllYXI+MjAxODwvWWVh
cj48UmVjTnVtPjE2MzA8L1JlY051bT48RGlzcGxheVRleHQ+PHN0eWxlIGZhY2U9InN1cGVyc2Ny
aXB0IiBmb250PSJUcmVidWNoZXQgTVMiIHNpemU9IjkiPjE3Njwvc3R5bGU+PC9EaXNwbGF5VGV4
dD48cmVjb3JkPjxyZWMtbnVtYmVyPjE2MzA8L3JlYy1udW1iZXI+PGZvcmVpZ24ta2V5cz48a2V5
IGFwcD0iRU4iIGRiLWlkPSJleHZhc3JmeDJkdHJhb2VzYXN4cDJzenN4YTJkZjUwMjU5MngiIHRp
bWVzdGFtcD0iMTU3NjczNDMyOCI+MTYzMDwva2V5PjxrZXkgYXBwPSJFTldlYiIgZGItaWQ9IiI+
MDwva2V5PjwvZm9yZWlnbi1rZXlzPjxyZWYtdHlwZSBuYW1lPSJKb3VybmFsIEFydGljbGUiPjE3
PC9yZWYtdHlwZT48Y29udHJpYnV0b3JzPjxhdXRob3JzPjxhdXRob3I+SmF5YXNpbmdoZSwgQy48
L2F1dGhvcj48YXV0aG9yPlBvbHNvbiwgUi48L2F1dGhvcj48YXV0aG9yPnZhbiBXb2VyZGVuLCBI
LiBDLjwvYXV0aG9yPjxhdXRob3I+V2lsc29uLCBQLjwvYXV0aG9yPjwvYXV0aG9ycz48L2NvbnRy
aWJ1dG9ycz48YXV0aC1hZGRyZXNzPk1pbmlzdHJ5IG9mIEhlYWx0aCwgMzg1LCBWZW4uIEJhZGRl
Z2FtYSBXaW1hbGF3YW5zYSBUaGVybyBNYXdhdGhhLCBDb2xvbWJvLCAxMCwgU3JpIExhbmthLiBj
aGludGhhakB5YWhvby5jb20uJiN4RDtDZW50cmUgZm9yIEhlYWx0aCBTY2llbmNlLCBVbml2ZXJz
aXR5IG9mIHRoZSBIaWdobGFuZCBhbmQgSXNsYW5kcywgT2xkIFBlcnRoIFJvYWQsIEludmVybmVz
cywgSVYyIDNKSCwgVUsuJiN4RDtDZW50cmUgZm9yIFJ1cmFsIEhlYWx0aCwgVW5pdmVyc2l0eSBv
ZiBBYmVyZGVlbiwgT2xkIFBlcnRoIFJvYWQsIEludmVybmVzcywgSVYyIDNKSCwgVUsuPC9hdXRo
LWFkZHJlc3M+PHRpdGxlcz48dGl0bGU+VGhlIGVmZmVjdCBvZiB1bml2ZXJzYWwgbWF0ZXJuYWwg
YW50ZW5hdGFsIGlyb24gc3VwcGxlbWVudGF0aW9uIG9uIG5ldXJvZGV2ZWxvcG1lbnQgaW4gb2Zm
c3ByaW5nOiBhIHN5c3RlbWF0aWMgcmV2aWV3IGFuZCBtZXRhLWFuYWx5c2lzPC90aXRsZT48c2Vj
b25kYXJ5LXRpdGxlPkJNQyBQZWRpYXRyPC9zZWNvbmRhcnktdGl0bGU+PC90aXRsZXM+PHBlcmlv
ZGljYWw+PGZ1bGwtdGl0bGU+Qk1DIFBlZGlhdHI8L2Z1bGwtdGl0bGU+PC9wZXJpb2RpY2FsPjxw
YWdlcz4xNTA8L3BhZ2VzPjx2b2x1bWU+MTg8L3ZvbHVtZT48bnVtYmVyPjE8L251bWJlcj48ZWRp
dGlvbj4yMDE4LzA1LzA4PC9lZGl0aW9uPjxrZXl3b3Jkcz48a2V5d29yZD5BbmVtaWEsIElyb24t
RGVmaWNpZW5jeS9lcGlkZW1pb2xvZ3kvcHJldmVudGlvbiAmYW1wOyBjb250cm9sPC9rZXl3b3Jk
PjxrZXl3b3JkPkNoaWxkPC9rZXl3b3JkPjxrZXl3b3JkPkNoaWxkIEJlaGF2aW9yPC9rZXl3b3Jk
PjxrZXl3b3JkPipDaGlsZCBEZXZlbG9wbWVudDwva2V5d29yZD48a2V5d29yZD5Db2duaXRpb248
L2tleXdvcmQ+PGtleXdvcmQ+KkRpZXRhcnkgU3VwcGxlbWVudHM8L2tleXdvcmQ+PGtleXdvcmQ+
RmVtYWxlPC9rZXl3b3JkPjxrZXl3b3JkPkZvbGljIEFjaWQvKmFkbWluaXN0cmF0aW9uICZhbXA7
IGRvc2FnZTwva2V5d29yZD48a2V5d29yZD5IdW1hbnM8L2tleXdvcmQ+PGtleXdvcmQ+SW50ZWxs
aWdlbmNlPC9rZXl3b3JkPjxrZXl3b3JkPlByZWduYW5jeTwva2V5d29yZD48a2V5d29yZD5QcmVn
bmFuY3kgQ29tcGxpY2F0aW9ucywgSGVtYXRvbG9naWMvZXBpZGVtaW9sb2d5L3ByZXZlbnRpb24g
JmFtcDsgY29udHJvbDwva2V5d29yZD48a2V5d29yZD5QcmVuYXRhbCBDYXJlLyptZXRob2RzPC9r
ZXl3b3JkPjxrZXl3b3JkPlByZXZhbGVuY2U8L2tleXdvcmQ+PGtleXdvcmQ+KkFudGVuYXRhbDwv
a2V5d29yZD48a2V5d29yZD4qSXJvbiBkZWZpY2llbmN5IGFuYWVtaWE8L2tleXdvcmQ+PGtleXdv
cmQ+Kklyb24gc3VwcGxlbWVudGF0aW9uPC9rZXl3b3JkPjxrZXl3b3JkPipOZXVyb2RldmVsb3Bt
ZW50PC9rZXl3b3JkPjxrZXl3b3JkPipPZmZzcHJpbmc8L2tleXdvcmQ+PC9rZXl3b3Jkcz48ZGF0
ZXM+PHllYXI+MjAxODwveWVhcj48cHViLWRhdGVzPjxkYXRlPk1heSA0PC9kYXRlPjwvcHViLWRh
dGVzPjwvZGF0ZXM+PGlzYm4+MTQ3MS0yNDMxIChFbGVjdHJvbmljKSYjeEQ7MTQ3MS0yNDMxIChM
aW5raW5nKTwvaXNibj48YWNjZXNzaW9uLW51bT4yOTcyODA4NjwvYWNjZXNzaW9uLW51bT48dXJs
cz48cmVsYXRlZC11cmxzPjx1cmw+aHR0cHM6Ly93d3cubmNiaS5ubG0ubmloLmdvdi9wdWJtZWQv
Mjk3MjgwODY8L3VybD48L3JlbGF0ZWQtdXJscz48L3VybHM+PGN1c3RvbTI+UE1DNTkzNjAyNTwv
Y3VzdG9tMj48ZWxlY3Ryb25pYy1yZXNvdXJjZS1udW0+MTAuMTE4Ni9zMTI4ODctMDE4LTExMTgt
NzwvZWxlY3Ryb25pYy1yZXNvdXJjZS1udW0+PC9yZWNvcmQ+PC9DaXRlPjwvRW5kTm90ZT4A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176</w:t>
            </w:r>
            <w:r w:rsidR="00201490">
              <w:fldChar w:fldCharType="end"/>
            </w:r>
          </w:p>
        </w:tc>
        <w:tc>
          <w:tcPr>
            <w:tcW w:w="1528" w:type="dxa"/>
          </w:tcPr>
          <w:p w14:paraId="5C251F5B" w14:textId="0B8EE845" w:rsidR="0045378A" w:rsidRDefault="0045378A" w:rsidP="00CA1632">
            <w:r>
              <w:t>3 RCTs</w:t>
            </w:r>
          </w:p>
        </w:tc>
        <w:tc>
          <w:tcPr>
            <w:tcW w:w="4680" w:type="dxa"/>
          </w:tcPr>
          <w:p w14:paraId="1A039C05" w14:textId="77777777" w:rsidR="0045378A" w:rsidRDefault="0045378A" w:rsidP="0045378A">
            <w:r w:rsidRPr="0045378A">
              <w:rPr>
                <w:b/>
              </w:rPr>
              <w:t>Aim</w:t>
            </w:r>
            <w:r>
              <w:t>: T</w:t>
            </w:r>
            <w:r w:rsidRPr="0045378A">
              <w:t xml:space="preserve">o assess whether routine maternal antenatal iron supplementation confers later neurodevelopmental benefit to offspring. </w:t>
            </w:r>
          </w:p>
          <w:p w14:paraId="1730C140" w14:textId="56C36FDA" w:rsidR="0045378A" w:rsidRPr="00915F24" w:rsidRDefault="0045378A" w:rsidP="007A0E04">
            <w:pPr>
              <w:rPr>
                <w:b/>
              </w:rPr>
            </w:pPr>
            <w:r w:rsidRPr="0045378A">
              <w:rPr>
                <w:b/>
              </w:rPr>
              <w:t>Methods</w:t>
            </w:r>
            <w:r w:rsidRPr="0045378A">
              <w:t>: Electronic databases were searched using MESH terms or key words and identified papers were reviewed by two independent reviewers. The study quality was assessed using the Cochrane risk of bias assessment tool. The review was registered in the PROSPERO CRD data base.</w:t>
            </w:r>
          </w:p>
        </w:tc>
        <w:tc>
          <w:tcPr>
            <w:tcW w:w="4537" w:type="dxa"/>
          </w:tcPr>
          <w:p w14:paraId="4D9F1A75" w14:textId="77777777" w:rsidR="0045378A" w:rsidRDefault="0045378A" w:rsidP="0045378A">
            <w:r>
              <w:t>I</w:t>
            </w:r>
            <w:r w:rsidRPr="0045378A">
              <w:t xml:space="preserve">ron supplementation </w:t>
            </w:r>
            <w:r>
              <w:t>vs no supplementation:</w:t>
            </w:r>
          </w:p>
          <w:p w14:paraId="447269E6" w14:textId="0FD93FCF" w:rsidR="0045378A" w:rsidRPr="0045378A" w:rsidRDefault="0045378A" w:rsidP="0045378A">
            <w:pPr>
              <w:pStyle w:val="bullet"/>
            </w:pPr>
            <w:r>
              <w:t>N</w:t>
            </w:r>
            <w:r w:rsidRPr="0045378A">
              <w:t>eurodevelopment of offspring</w:t>
            </w:r>
            <w:r>
              <w:t>: MD 0.54; 95% CI</w:t>
            </w:r>
            <w:r w:rsidRPr="0045378A">
              <w:t xml:space="preserve"> -0.67 to 1.75)</w:t>
            </w:r>
          </w:p>
        </w:tc>
        <w:tc>
          <w:tcPr>
            <w:tcW w:w="1843" w:type="dxa"/>
          </w:tcPr>
          <w:p w14:paraId="7455787D" w14:textId="77777777" w:rsidR="0045378A" w:rsidRPr="00D150D8" w:rsidRDefault="0045378A" w:rsidP="00C344D0"/>
        </w:tc>
      </w:tr>
    </w:tbl>
    <w:p w14:paraId="0DE94C76" w14:textId="3A7A44FA" w:rsidR="00D150D8" w:rsidRPr="009740A7" w:rsidRDefault="009C163D" w:rsidP="00932C6D">
      <w:pPr>
        <w:pStyle w:val="TableName"/>
      </w:pPr>
      <w:bookmarkStart w:id="91" w:name="_Toc40956626"/>
      <w:r>
        <w:t xml:space="preserve">Q3 </w:t>
      </w:r>
      <w:r w:rsidR="00D150D8">
        <w:t xml:space="preserve">Harms and benefits of iron supplementation </w:t>
      </w:r>
      <w:r w:rsidR="00BC1D42">
        <w:t xml:space="preserve">in pregnancy </w:t>
      </w:r>
      <w:r w:rsidR="00D150D8">
        <w:t xml:space="preserve">— </w:t>
      </w:r>
      <w:r w:rsidR="00D56FB3">
        <w:t>RCT</w:t>
      </w:r>
      <w:r w:rsidR="00D150D8">
        <w:t>s</w:t>
      </w:r>
      <w:bookmarkEnd w:id="9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8: Q3 Harms and benefits of iron supplementation in pregnancy — RCTs"/>
      </w:tblPr>
      <w:tblGrid>
        <w:gridCol w:w="1305"/>
        <w:gridCol w:w="1528"/>
        <w:gridCol w:w="4680"/>
        <w:gridCol w:w="4536"/>
        <w:gridCol w:w="1843"/>
      </w:tblGrid>
      <w:tr w:rsidR="00D150D8" w:rsidRPr="00F350A6" w14:paraId="56EDFB62" w14:textId="77777777" w:rsidTr="004C699A">
        <w:trPr>
          <w:cantSplit/>
          <w:tblHeader/>
        </w:trPr>
        <w:tc>
          <w:tcPr>
            <w:tcW w:w="1305" w:type="dxa"/>
          </w:tcPr>
          <w:p w14:paraId="4A26F401" w14:textId="77777777" w:rsidR="00D150D8" w:rsidRPr="00F350A6" w:rsidRDefault="00D150D8" w:rsidP="00D150D8">
            <w:pPr>
              <w:keepNext/>
              <w:rPr>
                <w:b/>
              </w:rPr>
            </w:pPr>
            <w:r>
              <w:rPr>
                <w:b/>
              </w:rPr>
              <w:t>Study ref</w:t>
            </w:r>
          </w:p>
        </w:tc>
        <w:tc>
          <w:tcPr>
            <w:tcW w:w="1528" w:type="dxa"/>
          </w:tcPr>
          <w:p w14:paraId="536B997D" w14:textId="77777777" w:rsidR="00D150D8" w:rsidRPr="00F350A6" w:rsidRDefault="00D150D8" w:rsidP="00D150D8">
            <w:pPr>
              <w:keepNext/>
              <w:rPr>
                <w:b/>
              </w:rPr>
            </w:pPr>
            <w:r>
              <w:rPr>
                <w:b/>
              </w:rPr>
              <w:t>N</w:t>
            </w:r>
          </w:p>
        </w:tc>
        <w:tc>
          <w:tcPr>
            <w:tcW w:w="4680" w:type="dxa"/>
          </w:tcPr>
          <w:p w14:paraId="61EC230E" w14:textId="5D486D7E" w:rsidR="00D150D8" w:rsidRPr="00F350A6" w:rsidRDefault="00D150D8" w:rsidP="00D150D8">
            <w:pPr>
              <w:keepNext/>
              <w:rPr>
                <w:b/>
              </w:rPr>
            </w:pPr>
            <w:r>
              <w:rPr>
                <w:b/>
              </w:rPr>
              <w:t>Aim/</w:t>
            </w:r>
            <w:r w:rsidRPr="00F350A6">
              <w:rPr>
                <w:b/>
              </w:rPr>
              <w:t>population</w:t>
            </w:r>
            <w:r w:rsidR="00113718">
              <w:rPr>
                <w:b/>
              </w:rPr>
              <w:t>/</w:t>
            </w:r>
            <w:r>
              <w:rPr>
                <w:b/>
              </w:rPr>
              <w:t>intervention</w:t>
            </w:r>
          </w:p>
        </w:tc>
        <w:tc>
          <w:tcPr>
            <w:tcW w:w="4536" w:type="dxa"/>
          </w:tcPr>
          <w:p w14:paraId="3B09B756" w14:textId="77777777" w:rsidR="00D150D8" w:rsidRPr="00F350A6" w:rsidRDefault="00D150D8" w:rsidP="00D150D8">
            <w:pPr>
              <w:keepNext/>
              <w:rPr>
                <w:b/>
              </w:rPr>
            </w:pPr>
            <w:r>
              <w:rPr>
                <w:b/>
              </w:rPr>
              <w:t>Results</w:t>
            </w:r>
          </w:p>
        </w:tc>
        <w:tc>
          <w:tcPr>
            <w:tcW w:w="1843" w:type="dxa"/>
          </w:tcPr>
          <w:p w14:paraId="7ECB439E" w14:textId="77777777" w:rsidR="00D150D8" w:rsidRPr="00F350A6" w:rsidRDefault="00D150D8" w:rsidP="00D150D8">
            <w:pPr>
              <w:keepNext/>
              <w:rPr>
                <w:b/>
              </w:rPr>
            </w:pPr>
            <w:r>
              <w:rPr>
                <w:b/>
              </w:rPr>
              <w:t>Comments</w:t>
            </w:r>
          </w:p>
        </w:tc>
      </w:tr>
      <w:tr w:rsidR="00D150D8" w:rsidRPr="00D150D8" w14:paraId="444944DF" w14:textId="77777777" w:rsidTr="004C699A">
        <w:trPr>
          <w:cantSplit/>
        </w:trPr>
        <w:tc>
          <w:tcPr>
            <w:tcW w:w="1305" w:type="dxa"/>
          </w:tcPr>
          <w:p w14:paraId="2F4D9562" w14:textId="0429BB79" w:rsidR="00D150D8" w:rsidRDefault="00E27A42" w:rsidP="00A118C5">
            <w:r>
              <w:t>A</w:t>
            </w:r>
            <w:r w:rsidR="004A2A1A">
              <w:t>lizadeh et al 2016</w:t>
            </w:r>
            <w:r w:rsidR="00201490">
              <w:fldChar w:fldCharType="begin"/>
            </w:r>
            <w:r w:rsidR="002747EA">
              <w:instrText xml:space="preserve"> ADDIN EN.CITE &lt;EndNote&gt;&lt;Cite&gt;&lt;Author&gt;Alizadeh&lt;/Author&gt;&lt;Year&gt;2016&lt;/Year&gt;&lt;RecNum&gt;1622&lt;/RecNum&gt;&lt;DisplayText&gt;&lt;style face="superscript" font="Trebuchet MS" size="9"&gt;177&lt;/style&gt;&lt;/DisplayText&gt;&lt;record&gt;&lt;rec-number&gt;1622&lt;/rec-number&gt;&lt;foreign-keys&gt;&lt;key app="EN" db-id="exvasrfx2dtraoesasxp2szsxa2df502592x" timestamp="1576734297"&gt;1622&lt;/key&gt;&lt;key app="ENWeb" db-id=""&gt;0&lt;/key&gt;&lt;/foreign-keys&gt;&lt;ref-type name="Journal Article"&gt;17&lt;/ref-type&gt;&lt;contributors&gt;&lt;authors&gt;&lt;author&gt;Alizadeh, L.&lt;/author&gt;&lt;author&gt;Salehi, L.&lt;/author&gt;&lt;/authors&gt;&lt;/contributors&gt;&lt;auth-address&gt;Department of Maternal and Child Health, Ardabil Branch, Islamic Azad University, Ardabil, IR Iran.&amp;#xD;Department of Health Education and Promotion, School of Public Health, Alborz University of Medical Sciences, Karaj, IR Iran.&lt;/auth-address&gt;&lt;titles&gt;&lt;title&gt;Is routine iron supplementation necessary in pregnant women with high hemoglobin?&lt;/title&gt;&lt;secondary-title&gt;Iran Red Crescent Med J&lt;/secondary-title&gt;&lt;/titles&gt;&lt;periodical&gt;&lt;full-title&gt;Iran Red Crescent Med J&lt;/full-title&gt;&lt;/periodical&gt;&lt;pages&gt;e22761&lt;/pages&gt;&lt;volume&gt;18&lt;/volume&gt;&lt;number&gt;1&lt;/number&gt;&lt;edition&gt;2016/02/19&lt;/edition&gt;&lt;keywords&gt;&lt;keyword&gt;Birth Weight&lt;/keyword&gt;&lt;keyword&gt;Hemoglobin&lt;/keyword&gt;&lt;keyword&gt;Iron, Ferritin&lt;/keyword&gt;&lt;keyword&gt;Pregnancy&lt;/keyword&gt;&lt;/keywords&gt;&lt;dates&gt;&lt;year&gt;2016&lt;/year&gt;&lt;pub-dates&gt;&lt;date&gt;Jan&lt;/date&gt;&lt;/pub-dates&gt;&lt;/dates&gt;&lt;isbn&gt;2074-1804 (Print)&amp;#xD;2074-1804 (Linking)&lt;/isbn&gt;&lt;accession-num&gt;26889391&lt;/accession-num&gt;&lt;urls&gt;&lt;related-urls&gt;&lt;url&gt;https://www.ncbi.nlm.nih.gov/pubmed/26889391&lt;/url&gt;&lt;/related-urls&gt;&lt;/urls&gt;&lt;custom2&gt;PMC4753023&lt;/custom2&gt;&lt;electronic-resource-num&gt;10.5812/ircmj.22761&lt;/electronic-resource-num&gt;&lt;/record&gt;&lt;/Cite&gt;&lt;/EndNote&gt;</w:instrText>
            </w:r>
            <w:r w:rsidR="00201490">
              <w:fldChar w:fldCharType="separate"/>
            </w:r>
            <w:r w:rsidR="002747EA" w:rsidRPr="002747EA">
              <w:rPr>
                <w:noProof/>
                <w:vertAlign w:val="superscript"/>
              </w:rPr>
              <w:t>177</w:t>
            </w:r>
            <w:r w:rsidR="00201490">
              <w:fldChar w:fldCharType="end"/>
            </w:r>
          </w:p>
          <w:p w14:paraId="02D1C987" w14:textId="4E689BAE" w:rsidR="004A2A1A" w:rsidRPr="00D150D8" w:rsidRDefault="004A2A1A" w:rsidP="00A118C5">
            <w:r>
              <w:t>Iran</w:t>
            </w:r>
          </w:p>
        </w:tc>
        <w:tc>
          <w:tcPr>
            <w:tcW w:w="1528" w:type="dxa"/>
          </w:tcPr>
          <w:p w14:paraId="336D56AF" w14:textId="77777777" w:rsidR="00D150D8" w:rsidRDefault="004A2A1A" w:rsidP="00A118C5">
            <w:r>
              <w:t>Intervention 32</w:t>
            </w:r>
          </w:p>
          <w:p w14:paraId="452CFB3D" w14:textId="07466EE4" w:rsidR="004A2A1A" w:rsidRPr="00D150D8" w:rsidRDefault="004A2A1A" w:rsidP="00A118C5">
            <w:r>
              <w:t>Control 32</w:t>
            </w:r>
          </w:p>
        </w:tc>
        <w:tc>
          <w:tcPr>
            <w:tcW w:w="4680" w:type="dxa"/>
          </w:tcPr>
          <w:p w14:paraId="2EF75023" w14:textId="515D2C23" w:rsidR="004A2A1A" w:rsidRDefault="00E27A42" w:rsidP="004A2A1A">
            <w:r w:rsidRPr="004A2A1A">
              <w:rPr>
                <w:b/>
              </w:rPr>
              <w:t>Aim</w:t>
            </w:r>
            <w:r>
              <w:t>: T</w:t>
            </w:r>
            <w:r w:rsidRPr="00E27A42">
              <w:t xml:space="preserve">o examine the effect of iron supplementation on iron status markers in pregnant women with high </w:t>
            </w:r>
            <w:r w:rsidR="004A2A1A">
              <w:t>haemoglobin</w:t>
            </w:r>
            <w:r w:rsidRPr="00E27A42">
              <w:t xml:space="preserve">. </w:t>
            </w:r>
          </w:p>
          <w:p w14:paraId="27E19D9E" w14:textId="0218AD1E" w:rsidR="004A2A1A" w:rsidRDefault="004A2A1A" w:rsidP="004A2A1A">
            <w:r w:rsidRPr="004A2A1A">
              <w:rPr>
                <w:b/>
              </w:rPr>
              <w:t>Population</w:t>
            </w:r>
            <w:r>
              <w:t>: Pregnant women with Hb&gt;13.2 g/dL and ferritin&gt;</w:t>
            </w:r>
            <w:r w:rsidR="00E27A42" w:rsidRPr="00E27A42">
              <w:t>15 mug/l in th</w:t>
            </w:r>
            <w:r>
              <w:t>e 16th-20th week of pregnancy.</w:t>
            </w:r>
          </w:p>
          <w:p w14:paraId="69AF19AB" w14:textId="75522908" w:rsidR="00D150D8" w:rsidRPr="00D150D8" w:rsidRDefault="004A2A1A" w:rsidP="00597F06">
            <w:r w:rsidRPr="004A2A1A">
              <w:rPr>
                <w:b/>
              </w:rPr>
              <w:t>Intervention</w:t>
            </w:r>
            <w:r>
              <w:t>: O</w:t>
            </w:r>
            <w:r w:rsidR="00E27A42" w:rsidRPr="00E27A42">
              <w:t>ne ferrous sulfate tablet containing 50</w:t>
            </w:r>
            <w:r w:rsidR="00597F06">
              <w:t> </w:t>
            </w:r>
            <w:r w:rsidR="00E27A42" w:rsidRPr="00E27A42">
              <w:t>mg of elemental iron daily</w:t>
            </w:r>
            <w:r>
              <w:t xml:space="preserve"> from week 20.</w:t>
            </w:r>
          </w:p>
        </w:tc>
        <w:tc>
          <w:tcPr>
            <w:tcW w:w="4536" w:type="dxa"/>
          </w:tcPr>
          <w:p w14:paraId="5BD9EA88" w14:textId="77777777" w:rsidR="004A2A1A" w:rsidRDefault="004A2A1A" w:rsidP="00E27A42">
            <w:r>
              <w:t xml:space="preserve">Intervention vs control: </w:t>
            </w:r>
          </w:p>
          <w:p w14:paraId="59844A18" w14:textId="77777777" w:rsidR="00501ED5" w:rsidRDefault="00501ED5" w:rsidP="00501ED5">
            <w:pPr>
              <w:pStyle w:val="bullet"/>
            </w:pPr>
            <w:r>
              <w:t>Haemoglobin level (g/dL): 12.05±0.9 vs 11.94±0.65; p=0.03</w:t>
            </w:r>
          </w:p>
          <w:p w14:paraId="49343862" w14:textId="77777777" w:rsidR="00501ED5" w:rsidRDefault="00501ED5" w:rsidP="00501ED5">
            <w:pPr>
              <w:pStyle w:val="bullet"/>
            </w:pPr>
            <w:r>
              <w:t>Ferritin level (µg/L): 28.5±9.3 vs 27.22±12.96; p=0.04</w:t>
            </w:r>
          </w:p>
          <w:p w14:paraId="7D78A30A" w14:textId="598D7B49" w:rsidR="00D150D8" w:rsidRPr="00E27A42" w:rsidRDefault="004A2A1A" w:rsidP="00501ED5">
            <w:pPr>
              <w:pStyle w:val="bullet"/>
            </w:pPr>
            <w:r>
              <w:t>B</w:t>
            </w:r>
            <w:r w:rsidR="00E27A42" w:rsidRPr="00E27A42">
              <w:t>irth weight</w:t>
            </w:r>
            <w:r>
              <w:t>:</w:t>
            </w:r>
            <w:r w:rsidR="00E27A42" w:rsidRPr="00E27A42">
              <w:t xml:space="preserve"> 3391/56</w:t>
            </w:r>
            <w:r>
              <w:t>±422 vs</w:t>
            </w:r>
            <w:r w:rsidR="00E27A42" w:rsidRPr="00E27A42">
              <w:t xml:space="preserve"> 3314/06</w:t>
            </w:r>
            <w:r w:rsidR="00501ED5">
              <w:t>±</w:t>
            </w:r>
            <w:r w:rsidR="00E27A42" w:rsidRPr="00E27A42">
              <w:t>341</w:t>
            </w:r>
            <w:r w:rsidR="00501ED5">
              <w:t>; p=0.2</w:t>
            </w:r>
            <w:r w:rsidR="00E27A42" w:rsidRPr="00E27A42">
              <w:t xml:space="preserve">. </w:t>
            </w:r>
          </w:p>
        </w:tc>
        <w:tc>
          <w:tcPr>
            <w:tcW w:w="1843" w:type="dxa"/>
          </w:tcPr>
          <w:p w14:paraId="1813A262" w14:textId="77777777" w:rsidR="00D150D8" w:rsidRPr="00D150D8" w:rsidRDefault="00D150D8" w:rsidP="00A118C5"/>
        </w:tc>
      </w:tr>
      <w:tr w:rsidR="00B4503E" w:rsidRPr="00D150D8" w14:paraId="0EA395CC" w14:textId="77777777" w:rsidTr="004C699A">
        <w:trPr>
          <w:cantSplit/>
        </w:trPr>
        <w:tc>
          <w:tcPr>
            <w:tcW w:w="1305" w:type="dxa"/>
          </w:tcPr>
          <w:p w14:paraId="0EDA36AE" w14:textId="45D73D0F" w:rsidR="00B4503E" w:rsidRDefault="00B4503E" w:rsidP="00A118C5">
            <w:r>
              <w:t>Etheredge et al 2015</w:t>
            </w:r>
            <w:r w:rsidR="00201490">
              <w:fldChar w:fldCharType="begin">
                <w:fldData xml:space="preserve">PEVuZE5vdGU+PENpdGU+PEF1dGhvcj5FdGhlcmVkZ2U8L0F1dGhvcj48WWVhcj4yMDE1PC9ZZWFy
PjxSZWNOdW0+MTYyNjwvUmVjTnVtPjxEaXNwbGF5VGV4dD48c3R5bGUgZmFjZT0ic3VwZXJzY3Jp
cHQiIGZvbnQ9IlRyZWJ1Y2hldCBNUyIgc2l6ZT0iOSI+MTc4PC9zdHlsZT48L0Rpc3BsYXlUZXh0
PjxyZWNvcmQ+PHJlYy1udW1iZXI+MTYyNjwvcmVjLW51bWJlcj48Zm9yZWlnbi1rZXlzPjxrZXkg
YXBwPSJFTiIgZGItaWQ9ImV4dmFzcmZ4MmR0cmFvZXNhc3hwMnN6c3hhMmRmNTAyNTkyeCIgdGlt
ZXN0YW1wPSIxNTc2NzM0MzEwIj4xNjI2PC9rZXk+PGtleSBhcHA9IkVOV2ViIiBkYi1pZD0iIj4w
PC9rZXk+PC9mb3JlaWduLWtleXM+PHJlZi10eXBlIG5hbWU9IkpvdXJuYWwgQXJ0aWNsZSI+MTc8
L3JlZi10eXBlPjxjb250cmlidXRvcnM+PGF1dGhvcnM+PGF1dGhvcj5FdGhlcmVkZ2UsIEEuIEou
PC9hdXRob3I+PGF1dGhvcj5QcmVtamksIFouPC9hdXRob3I+PGF1dGhvcj5HdW5hcmF0bmEsIE4u
IFMuPC9hdXRob3I+PGF1dGhvcj5BYmlveWUsIEEuIEkuPC9hdXRob3I+PGF1dGhvcj5BYm91ZCwg
Uy48L2F1dGhvcj48YXV0aG9yPkR1Z2dhbiwgQy48L2F1dGhvcj48YXV0aG9yPk1vbmdpLCBSLjwv
YXV0aG9yPjxhdXRob3I+TWVsb25leSwgTC48L2F1dGhvcj48YXV0aG9yPlNwaWVnZWxtYW4sIEQu
PC9hdXRob3I+PGF1dGhvcj5Sb2JlcnRzLCBELjwvYXV0aG9yPjxhdXRob3I+SGFtZXIsIEQuIEgu
PC9hdXRob3I+PGF1dGhvcj5GYXd6aSwgVy4gVy48L2F1dGhvcj48L2F1dGhvcnM+PC9jb250cmli
dXRvcnM+PGF1dGgtYWRkcmVzcz5EZXBhcnRtZW50IG9mIEdsb2JhbCBIZWFsdGggYW5kIFBvcHVs
YXRpb24sIEhhcnZhcmQgVC4gSC4gQ2hhbiBTY2hvb2wgb2YgUHVibGljIEhlYWx0aCwgQm9zdG9u
LCBNYXNzYWNodXNldHRzMkRpdmlzaW9uIG9mIEdhc3Ryb2VudGVyb2xvZ3ksIEhlcGF0b2xvZ3ks
IGFuZCBOdXRyaXRpb24sIEJvc3RvbiBDaGlsZHJlbiZhcG9zO3MgSG9zcGl0YWwsIEhhcnZhcmQg
TWVkaWNhbCBTY2hvb2wsIEJvc3RvbiwgTWFzc2FjaHVzZXR0cy4mI3hEO0RlcGFydG1lbnQgb2Yg
UGFyYXNpdG9sb2d5L01lZGljYWwgRW50b21vbG9neSwgU2Nob29sIG9mIFB1YmxpYyBIZWFsdGgg
YW5kIFNvY2lhbCBTY2llbmNlcywgTXVoaW1iaWxpIFVuaXZlcnNpdHkgb2YgSGVhbHRoIGFuZCBB
bGxpZWQgU2NpZW5jZXMsIERhciBlcyBTYWxhYW0sIFRhbnphbmlhLiYjeEQ7RGVwYXJ0bWVudCBv
ZiBHbG9iYWwgSGVhbHRoIGFuZCBQb3B1bGF0aW9uLCBIYXJ2YXJkIFQuIEguIENoYW4gU2Nob29s
IG9mIFB1YmxpYyBIZWFsdGgsIEJvc3RvbiwgTWFzc2FjaHVzZXR0cy4mI3hEO0RlcGFydG1lbnQg
b2YgTWljcm9iaW9sb2d5IGFuZCBJbW11bm9sb2d5LCBNdWhpbWJpbGkgVW5pdmVyc2l0eSBvZiBI
ZWFsdGggYW5kIEFsbGllZCBTY2llbmNlcywgRGFyIGVzIFNhbGFhbSwgVGFuemFuaWEuJiN4RDtE
ZXBhcnRtZW50IG9mIEdsb2JhbCBIZWFsdGggYW5kIFBvcHVsYXRpb24sIEhhcnZhcmQgVC4gSC4g
Q2hhbiBTY2hvb2wgb2YgUHVibGljIEhlYWx0aCwgQm9zdG9uLCBNYXNzYWNodXNldHRzMkRpdmlz
aW9uIG9mIEdhc3Ryb2VudGVyb2xvZ3ksIEhlcGF0b2xvZ3ksIGFuZCBOdXRyaXRpb24sIEJvc3Rv
biBDaGlsZHJlbiZhcG9zO3MgSG9zcGl0YWwsIEhhcnZhcmQgTWVkaWNhbCBTY2hvb2wsIEJvc3Rv
biwgTWFzc2FjaHVzZXR0czVEZXBhcnRtZW50IG9mLiYjeEQ7RGVwYXJ0bWVudCBvZiBOdXRyaXRp
b24sIEhhcnZhcmQgVC4gSC4gQ2hhbiBTY2hvb2wgb2YgUHVibGljIEhlYWx0aCwgQm9zdG9uLCBN
YXNzYWNodXNldHRzNkRlcGFydG1lbnQgb2YgRXBpZGVtaW9sb2d5LCBIYXJ2YXJkIFQuIEguIENo
YW4gU2Nob29sIG9mIFB1YmxpYyBIZWFsdGgsIEJvc3RvbiwgTWFzc2FjaHVzZXR0czdEZXBhcnRt
ZW50IG9mIEJpb3N0YXRpc3RpY3MsIEhhcnZhcmQgVC4gSC4gQ2hhbiBTY2hvb2wgb2YgUHVibGlj
IEhlYWx0LiYjeEQ7RGVwYXJ0bWVudCBvZiBQYXRob2xvZ3ksIE1hc3NhY2h1c2V0dHMgR2VuZXJh
bCBIb3NwaXRhbCwgQm9zdG9uLiYjeEQ7RGVwYXJ0bWVudCBvZiBHbG9iYWwgSGVhbHRoLCBCb3N0
b24gVW5pdmVyc2l0eSBTY2hvb2wgb2YgUHVibGljIEhlYWx0aCwgQm9zdG9uLCBNYXNzYWNodXNl
dHRzMTBDZW50ZXIgZm9yIEdsb2JhbCBIZWFsdGggYW5kIERldmVsb3BtZW50LCBCb3N0b24gVW5p
dmVyc2l0eSwgQm9zdG9uLCBNYXNzYWNodXNldHRzMTFTZWN0aW9uIG9mIEluZmVjdGlvdXMgRGlz
ZWFzZXMsIERlcGFydG1lbnQgb2YgTWVkaWNpbmUsIEJvc3RvbiBNZWRpY2FsIENlbnRlLiYjeEQ7
RGVwYXJ0bWVudCBvZiBHbG9iYWwgSGVhbHRoIGFuZCBQb3B1bGF0aW9uLCBIYXJ2YXJkIFQuIEgu
IENoYW4gU2Nob29sIG9mIFB1YmxpYyBIZWFsdGgsIEJvc3RvbiwgTWFzc2FjaHVzZXR0czVEZXBh
cnRtZW50IG9mIE51dHJpdGlvbiwgSGFydmFyZCBULiBILiBDaGFuIFNjaG9vbCBvZiBQdWJsaWMg
SGVhbHRoLCBCb3N0b24sIE1hc3NhY2h1c2V0dHM2RGVwYXJ0bWVudCBvZiBFcGlkZW1pb2xvZ3ks
IEhhcnZhcmQgVC4gSC4gQ2hhbiBTY2hvb2wuPC9hdXRoLWFkZHJlc3M+PHRpdGxlcz48dGl0bGU+
SXJvbiBzdXBwbGVtZW50YXRpb24gaW4gaXJvbi1yZXBsZXRlIGFuZCBub25hbmVtaWMgcHJlZ25h
bnQgd29tZW4gaW4gdGFuemFuaWE6IGEgcmFuZG9taXplZCBjbGluaWNhbCB0cmlhbDwvdGl0bGU+
PHNlY29uZGFyeS10aXRsZT5KQU1BIFBlZGlhdHI8L3NlY29uZGFyeS10aXRsZT48L3RpdGxlcz48
cGVyaW9kaWNhbD48ZnVsbC10aXRsZT5KQU1BIFBlZGlhdHI8L2Z1bGwtdGl0bGU+PC9wZXJpb2Rp
Y2FsPjxwYWdlcz45NDctNTU8L3BhZ2VzPjx2b2x1bWU+MTY5PC92b2x1bWU+PG51bWJlcj4xMDwv
bnVtYmVyPjxlZGl0aW9uPjIwMTUvMDgvMTk8L2VkaXRpb24+PGtleXdvcmRzPjxrZXl3b3JkPkFk
dWx0PC9rZXl3b3JkPjxrZXl3b3JkPkFuZW1pYSwgSXJvbi1EZWZpY2llbmN5LypwcmV2ZW50aW9u
ICZhbXA7IGNvbnRyb2w8L2tleXdvcmQ+PGtleXdvcmQ+QmlydGggV2VpZ2h0PC9rZXl3b3JkPjxr
ZXl3b3JkPipEaWV0YXJ5IFN1cHBsZW1lbnRzPC9rZXl3b3JkPjxrZXl3b3JkPkRvdWJsZS1CbGlu
ZCBNZXRob2Q8L2tleXdvcmQ+PGtleXdvcmQ+RmVtYWxlPC9rZXl3b3JkPjxrZXl3b3JkPkhlbW9n
bG9iaW5zL2FuYWx5c2lzPC9rZXl3b3JkPjxrZXl3b3JkPkh1bWFuczwva2V5d29yZD48a2V5d29y
ZD5Jcm9uLyp0aGVyYXBldXRpYyB1c2U8L2tleXdvcmQ+PGtleXdvcmQ+TWFsYXJpYS9lcGlkZW1p
b2xvZ3k8L2tleXdvcmQ+PGtleXdvcmQ+UGxhY2VudGEgRGlzZWFzZXMvZXBpZGVtaW9sb2d5PC9r
ZXl3b3JkPjxrZXl3b3JkPlByZWduYW5jeTwva2V5d29yZD48a2V5d29yZD5QcmVuYXRhbCBDYXJl
L21ldGhvZHM8L2tleXdvcmQ+PGtleXdvcmQ+VGFuemFuaWEvZXBpZGVtaW9sb2d5PC9rZXl3b3Jk
PjxrZXl3b3JkPlRyYWNlIEVsZW1lbnRzLyp0aGVyYXBldXRpYyB1c2U8L2tleXdvcmQ+PGtleXdv
cmQ+VHJlYXRtZW50IE91dGNvbWU8L2tleXdvcmQ+PGtleXdvcmQ+WW91bmcgQWR1bHQ8L2tleXdv
cmQ+PC9rZXl3b3Jkcz48ZGF0ZXM+PHllYXI+MjAxNTwveWVhcj48cHViLWRhdGVzPjxkYXRlPk9j
dDwvZGF0ZT48L3B1Yi1kYXRlcz48L2RhdGVzPjxpc2JuPjIxNjgtNjIxMSAoRWxlY3Ryb25pYykm
I3hEOzIxNjgtNjIwMyAoTGlua2luZyk8L2lzYm4+PGFjY2Vzc2lvbi1udW0+MjYyODA1MzQ8L2Fj
Y2Vzc2lvbi1udW0+PHVybHM+PHJlbGF0ZWQtdXJscz48dXJsPmh0dHBzOi8vd3d3Lm5jYmkubmxt
Lm5paC5nb3YvcHVibWVkLzI2MjgwNTM0PC91cmw+PC9yZWxhdGVkLXVybHM+PC91cmxzPjxjdXN0
b20yPlBNQzQ5MDQ3MTM8L2N1c3RvbTI+PGVsZWN0cm9uaWMtcmVzb3VyY2UtbnVtPjEwLjEwMDEv
amFtYXBlZGlhdHJpY3MuMjAxNS4xNDgwPC9lbGVjdHJvbmljLXJlc291cmNlLW51bT48L3JlY29y
ZD48L0NpdGU+PC9FbmROb3RlPgB=
</w:fldData>
              </w:fldChar>
            </w:r>
            <w:r w:rsidR="002747EA">
              <w:instrText xml:space="preserve"> ADDIN EN.CITE </w:instrText>
            </w:r>
            <w:r w:rsidR="002747EA">
              <w:fldChar w:fldCharType="begin">
                <w:fldData xml:space="preserve">PEVuZE5vdGU+PENpdGU+PEF1dGhvcj5FdGhlcmVkZ2U8L0F1dGhvcj48WWVhcj4yMDE1PC9ZZWFy
PjxSZWNOdW0+MTYyNjwvUmVjTnVtPjxEaXNwbGF5VGV4dD48c3R5bGUgZmFjZT0ic3VwZXJzY3Jp
cHQiIGZvbnQ9IlRyZWJ1Y2hldCBNUyIgc2l6ZT0iOSI+MTc4PC9zdHlsZT48L0Rpc3BsYXlUZXh0
PjxyZWNvcmQ+PHJlYy1udW1iZXI+MTYyNjwvcmVjLW51bWJlcj48Zm9yZWlnbi1rZXlzPjxrZXkg
YXBwPSJFTiIgZGItaWQ9ImV4dmFzcmZ4MmR0cmFvZXNhc3hwMnN6c3hhMmRmNTAyNTkyeCIgdGlt
ZXN0YW1wPSIxNTc2NzM0MzEwIj4xNjI2PC9rZXk+PGtleSBhcHA9IkVOV2ViIiBkYi1pZD0iIj4w
PC9rZXk+PC9mb3JlaWduLWtleXM+PHJlZi10eXBlIG5hbWU9IkpvdXJuYWwgQXJ0aWNsZSI+MTc8
L3JlZi10eXBlPjxjb250cmlidXRvcnM+PGF1dGhvcnM+PGF1dGhvcj5FdGhlcmVkZ2UsIEEuIEou
PC9hdXRob3I+PGF1dGhvcj5QcmVtamksIFouPC9hdXRob3I+PGF1dGhvcj5HdW5hcmF0bmEsIE4u
IFMuPC9hdXRob3I+PGF1dGhvcj5BYmlveWUsIEEuIEkuPC9hdXRob3I+PGF1dGhvcj5BYm91ZCwg
Uy48L2F1dGhvcj48YXV0aG9yPkR1Z2dhbiwgQy48L2F1dGhvcj48YXV0aG9yPk1vbmdpLCBSLjwv
YXV0aG9yPjxhdXRob3I+TWVsb25leSwgTC48L2F1dGhvcj48YXV0aG9yPlNwaWVnZWxtYW4sIEQu
PC9hdXRob3I+PGF1dGhvcj5Sb2JlcnRzLCBELjwvYXV0aG9yPjxhdXRob3I+SGFtZXIsIEQuIEgu
PC9hdXRob3I+PGF1dGhvcj5GYXd6aSwgVy4gVy48L2F1dGhvcj48L2F1dGhvcnM+PC9jb250cmli
dXRvcnM+PGF1dGgtYWRkcmVzcz5EZXBhcnRtZW50IG9mIEdsb2JhbCBIZWFsdGggYW5kIFBvcHVs
YXRpb24sIEhhcnZhcmQgVC4gSC4gQ2hhbiBTY2hvb2wgb2YgUHVibGljIEhlYWx0aCwgQm9zdG9u
LCBNYXNzYWNodXNldHRzMkRpdmlzaW9uIG9mIEdhc3Ryb2VudGVyb2xvZ3ksIEhlcGF0b2xvZ3ks
IGFuZCBOdXRyaXRpb24sIEJvc3RvbiBDaGlsZHJlbiZhcG9zO3MgSG9zcGl0YWwsIEhhcnZhcmQg
TWVkaWNhbCBTY2hvb2wsIEJvc3RvbiwgTWFzc2FjaHVzZXR0cy4mI3hEO0RlcGFydG1lbnQgb2Yg
UGFyYXNpdG9sb2d5L01lZGljYWwgRW50b21vbG9neSwgU2Nob29sIG9mIFB1YmxpYyBIZWFsdGgg
YW5kIFNvY2lhbCBTY2llbmNlcywgTXVoaW1iaWxpIFVuaXZlcnNpdHkgb2YgSGVhbHRoIGFuZCBB
bGxpZWQgU2NpZW5jZXMsIERhciBlcyBTYWxhYW0sIFRhbnphbmlhLiYjeEQ7RGVwYXJ0bWVudCBv
ZiBHbG9iYWwgSGVhbHRoIGFuZCBQb3B1bGF0aW9uLCBIYXJ2YXJkIFQuIEguIENoYW4gU2Nob29s
IG9mIFB1YmxpYyBIZWFsdGgsIEJvc3RvbiwgTWFzc2FjaHVzZXR0cy4mI3hEO0RlcGFydG1lbnQg
b2YgTWljcm9iaW9sb2d5IGFuZCBJbW11bm9sb2d5LCBNdWhpbWJpbGkgVW5pdmVyc2l0eSBvZiBI
ZWFsdGggYW5kIEFsbGllZCBTY2llbmNlcywgRGFyIGVzIFNhbGFhbSwgVGFuemFuaWEuJiN4RDtE
ZXBhcnRtZW50IG9mIEdsb2JhbCBIZWFsdGggYW5kIFBvcHVsYXRpb24sIEhhcnZhcmQgVC4gSC4g
Q2hhbiBTY2hvb2wgb2YgUHVibGljIEhlYWx0aCwgQm9zdG9uLCBNYXNzYWNodXNldHRzMkRpdmlz
aW9uIG9mIEdhc3Ryb2VudGVyb2xvZ3ksIEhlcGF0b2xvZ3ksIGFuZCBOdXRyaXRpb24sIEJvc3Rv
biBDaGlsZHJlbiZhcG9zO3MgSG9zcGl0YWwsIEhhcnZhcmQgTWVkaWNhbCBTY2hvb2wsIEJvc3Rv
biwgTWFzc2FjaHVzZXR0czVEZXBhcnRtZW50IG9mLiYjeEQ7RGVwYXJ0bWVudCBvZiBOdXRyaXRp
b24sIEhhcnZhcmQgVC4gSC4gQ2hhbiBTY2hvb2wgb2YgUHVibGljIEhlYWx0aCwgQm9zdG9uLCBN
YXNzYWNodXNldHRzNkRlcGFydG1lbnQgb2YgRXBpZGVtaW9sb2d5LCBIYXJ2YXJkIFQuIEguIENo
YW4gU2Nob29sIG9mIFB1YmxpYyBIZWFsdGgsIEJvc3RvbiwgTWFzc2FjaHVzZXR0czdEZXBhcnRt
ZW50IG9mIEJpb3N0YXRpc3RpY3MsIEhhcnZhcmQgVC4gSC4gQ2hhbiBTY2hvb2wgb2YgUHVibGlj
IEhlYWx0LiYjeEQ7RGVwYXJ0bWVudCBvZiBQYXRob2xvZ3ksIE1hc3NhY2h1c2V0dHMgR2VuZXJh
bCBIb3NwaXRhbCwgQm9zdG9uLiYjeEQ7RGVwYXJ0bWVudCBvZiBHbG9iYWwgSGVhbHRoLCBCb3N0
b24gVW5pdmVyc2l0eSBTY2hvb2wgb2YgUHVibGljIEhlYWx0aCwgQm9zdG9uLCBNYXNzYWNodXNl
dHRzMTBDZW50ZXIgZm9yIEdsb2JhbCBIZWFsdGggYW5kIERldmVsb3BtZW50LCBCb3N0b24gVW5p
dmVyc2l0eSwgQm9zdG9uLCBNYXNzYWNodXNldHRzMTFTZWN0aW9uIG9mIEluZmVjdGlvdXMgRGlz
ZWFzZXMsIERlcGFydG1lbnQgb2YgTWVkaWNpbmUsIEJvc3RvbiBNZWRpY2FsIENlbnRlLiYjeEQ7
RGVwYXJ0bWVudCBvZiBHbG9iYWwgSGVhbHRoIGFuZCBQb3B1bGF0aW9uLCBIYXJ2YXJkIFQuIEgu
IENoYW4gU2Nob29sIG9mIFB1YmxpYyBIZWFsdGgsIEJvc3RvbiwgTWFzc2FjaHVzZXR0czVEZXBh
cnRtZW50IG9mIE51dHJpdGlvbiwgSGFydmFyZCBULiBILiBDaGFuIFNjaG9vbCBvZiBQdWJsaWMg
SGVhbHRoLCBCb3N0b24sIE1hc3NhY2h1c2V0dHM2RGVwYXJ0bWVudCBvZiBFcGlkZW1pb2xvZ3ks
IEhhcnZhcmQgVC4gSC4gQ2hhbiBTY2hvb2wuPC9hdXRoLWFkZHJlc3M+PHRpdGxlcz48dGl0bGU+
SXJvbiBzdXBwbGVtZW50YXRpb24gaW4gaXJvbi1yZXBsZXRlIGFuZCBub25hbmVtaWMgcHJlZ25h
bnQgd29tZW4gaW4gdGFuemFuaWE6IGEgcmFuZG9taXplZCBjbGluaWNhbCB0cmlhbDwvdGl0bGU+
PHNlY29uZGFyeS10aXRsZT5KQU1BIFBlZGlhdHI8L3NlY29uZGFyeS10aXRsZT48L3RpdGxlcz48
cGVyaW9kaWNhbD48ZnVsbC10aXRsZT5KQU1BIFBlZGlhdHI8L2Z1bGwtdGl0bGU+PC9wZXJpb2Rp
Y2FsPjxwYWdlcz45NDctNTU8L3BhZ2VzPjx2b2x1bWU+MTY5PC92b2x1bWU+PG51bWJlcj4xMDwv
bnVtYmVyPjxlZGl0aW9uPjIwMTUvMDgvMTk8L2VkaXRpb24+PGtleXdvcmRzPjxrZXl3b3JkPkFk
dWx0PC9rZXl3b3JkPjxrZXl3b3JkPkFuZW1pYSwgSXJvbi1EZWZpY2llbmN5LypwcmV2ZW50aW9u
ICZhbXA7IGNvbnRyb2w8L2tleXdvcmQ+PGtleXdvcmQ+QmlydGggV2VpZ2h0PC9rZXl3b3JkPjxr
ZXl3b3JkPipEaWV0YXJ5IFN1cHBsZW1lbnRzPC9rZXl3b3JkPjxrZXl3b3JkPkRvdWJsZS1CbGlu
ZCBNZXRob2Q8L2tleXdvcmQ+PGtleXdvcmQ+RmVtYWxlPC9rZXl3b3JkPjxrZXl3b3JkPkhlbW9n
bG9iaW5zL2FuYWx5c2lzPC9rZXl3b3JkPjxrZXl3b3JkPkh1bWFuczwva2V5d29yZD48a2V5d29y
ZD5Jcm9uLyp0aGVyYXBldXRpYyB1c2U8L2tleXdvcmQ+PGtleXdvcmQ+TWFsYXJpYS9lcGlkZW1p
b2xvZ3k8L2tleXdvcmQ+PGtleXdvcmQ+UGxhY2VudGEgRGlzZWFzZXMvZXBpZGVtaW9sb2d5PC9r
ZXl3b3JkPjxrZXl3b3JkPlByZWduYW5jeTwva2V5d29yZD48a2V5d29yZD5QcmVuYXRhbCBDYXJl
L21ldGhvZHM8L2tleXdvcmQ+PGtleXdvcmQ+VGFuemFuaWEvZXBpZGVtaW9sb2d5PC9rZXl3b3Jk
PjxrZXl3b3JkPlRyYWNlIEVsZW1lbnRzLyp0aGVyYXBldXRpYyB1c2U8L2tleXdvcmQ+PGtleXdv
cmQ+VHJlYXRtZW50IE91dGNvbWU8L2tleXdvcmQ+PGtleXdvcmQ+WW91bmcgQWR1bHQ8L2tleXdv
cmQ+PC9rZXl3b3Jkcz48ZGF0ZXM+PHllYXI+MjAxNTwveWVhcj48cHViLWRhdGVzPjxkYXRlPk9j
dDwvZGF0ZT48L3B1Yi1kYXRlcz48L2RhdGVzPjxpc2JuPjIxNjgtNjIxMSAoRWxlY3Ryb25pYykm
I3hEOzIxNjgtNjIwMyAoTGlua2luZyk8L2lzYm4+PGFjY2Vzc2lvbi1udW0+MjYyODA1MzQ8L2Fj
Y2Vzc2lvbi1udW0+PHVybHM+PHJlbGF0ZWQtdXJscz48dXJsPmh0dHBzOi8vd3d3Lm5jYmkubmxt
Lm5paC5nb3YvcHVibWVkLzI2MjgwNTM0PC91cmw+PC9yZWxhdGVkLXVybHM+PC91cmxzPjxjdXN0
b20yPlBNQzQ5MDQ3MTM8L2N1c3RvbTI+PGVsZWN0cm9uaWMtcmVzb3VyY2UtbnVtPjEwLjEwMDEv
amFtYXBlZGlhdHJpY3MuMjAxNS4xNDgwPC9lbGVjdHJvbmljLXJlc291cmNlLW51bT48L3JlY29y
ZD48L0NpdGU+PC9FbmROb3RlPgB=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178</w:t>
            </w:r>
            <w:r w:rsidR="00201490">
              <w:fldChar w:fldCharType="end"/>
            </w:r>
          </w:p>
          <w:p w14:paraId="30675D0F" w14:textId="4909CC22" w:rsidR="00B4503E" w:rsidRDefault="00B4503E" w:rsidP="00A118C5">
            <w:r>
              <w:t>Tanzania</w:t>
            </w:r>
          </w:p>
        </w:tc>
        <w:tc>
          <w:tcPr>
            <w:tcW w:w="1528" w:type="dxa"/>
          </w:tcPr>
          <w:p w14:paraId="18550F15" w14:textId="77777777" w:rsidR="00B4503E" w:rsidRDefault="00B4503E" w:rsidP="00A118C5">
            <w:r>
              <w:t>Intervention 731</w:t>
            </w:r>
          </w:p>
          <w:p w14:paraId="0869DB53" w14:textId="61FE6F51" w:rsidR="00B4503E" w:rsidRDefault="00B4503E" w:rsidP="00A118C5">
            <w:r>
              <w:t>Control 738</w:t>
            </w:r>
          </w:p>
        </w:tc>
        <w:tc>
          <w:tcPr>
            <w:tcW w:w="4680" w:type="dxa"/>
          </w:tcPr>
          <w:p w14:paraId="39ABE883" w14:textId="77777777" w:rsidR="00B4503E" w:rsidRDefault="00B4503E" w:rsidP="00B4503E">
            <w:r w:rsidRPr="00B4503E">
              <w:rPr>
                <w:b/>
              </w:rPr>
              <w:t>Aim</w:t>
            </w:r>
            <w:r>
              <w:t xml:space="preserve">: </w:t>
            </w:r>
            <w:r w:rsidRPr="00B4503E">
              <w:t>To evaluate the safety and efficacy of iron supplementation during pregnan</w:t>
            </w:r>
            <w:r>
              <w:t>cy in a malaria-endemic region.</w:t>
            </w:r>
          </w:p>
          <w:p w14:paraId="25371848" w14:textId="77777777" w:rsidR="00B4503E" w:rsidRDefault="00B4503E" w:rsidP="00B4503E">
            <w:r w:rsidRPr="00B4503E">
              <w:rPr>
                <w:b/>
              </w:rPr>
              <w:t>Population</w:t>
            </w:r>
            <w:r>
              <w:t>:</w:t>
            </w:r>
            <w:r w:rsidRPr="00B4503E">
              <w:t xml:space="preserve"> Iron-replete, non</w:t>
            </w:r>
            <w:r>
              <w:t>-</w:t>
            </w:r>
            <w:r w:rsidRPr="00B4503E">
              <w:t>an</w:t>
            </w:r>
            <w:r>
              <w:t>a</w:t>
            </w:r>
            <w:r w:rsidRPr="00B4503E">
              <w:t xml:space="preserve">emic women </w:t>
            </w:r>
            <w:r>
              <w:t xml:space="preserve">who </w:t>
            </w:r>
            <w:r w:rsidRPr="00B4503E">
              <w:t xml:space="preserve">were uninfected with human immunodeficiency virus, primigravidae or secundigravidae, and at or before 27 weeks of gestation. </w:t>
            </w:r>
          </w:p>
          <w:p w14:paraId="600FAE95" w14:textId="43095A07" w:rsidR="00B4503E" w:rsidRPr="004A2A1A" w:rsidRDefault="00B4503E" w:rsidP="00B4503E">
            <w:pPr>
              <w:rPr>
                <w:b/>
              </w:rPr>
            </w:pPr>
            <w:r w:rsidRPr="00B4503E">
              <w:rPr>
                <w:b/>
              </w:rPr>
              <w:t>Intervention</w:t>
            </w:r>
            <w:r>
              <w:t>:</w:t>
            </w:r>
            <w:r w:rsidRPr="00B4503E">
              <w:t xml:space="preserve"> 60 mg of iron or placebo</w:t>
            </w:r>
            <w:r w:rsidR="00B4005E">
              <w:t xml:space="preserve"> daily</w:t>
            </w:r>
            <w:r w:rsidRPr="00B4503E">
              <w:t>, returning every 4 weeks for standard prenatal care, including malaria screening, prophylaxis with the combination of s</w:t>
            </w:r>
            <w:r w:rsidR="00934B36">
              <w:t>ulfadoxine and pyrimethamine and treatment</w:t>
            </w:r>
            <w:r w:rsidRPr="00B4503E">
              <w:t xml:space="preserve"> as needed.</w:t>
            </w:r>
          </w:p>
        </w:tc>
        <w:tc>
          <w:tcPr>
            <w:tcW w:w="4536" w:type="dxa"/>
          </w:tcPr>
          <w:p w14:paraId="64C4648C" w14:textId="77777777" w:rsidR="00B4503E" w:rsidRDefault="00B4503E" w:rsidP="00B4503E">
            <w:r>
              <w:t>Intervention vs control:</w:t>
            </w:r>
          </w:p>
          <w:p w14:paraId="121748EB" w14:textId="33C1CCE4" w:rsidR="00E91991" w:rsidRDefault="00B4503E" w:rsidP="00E91991">
            <w:pPr>
              <w:pStyle w:val="bullet"/>
            </w:pPr>
            <w:r>
              <w:t>P</w:t>
            </w:r>
            <w:r w:rsidRPr="00B4503E">
              <w:t>lacental malaria</w:t>
            </w:r>
            <w:r>
              <w:t>: RR 1.03; 95%</w:t>
            </w:r>
            <w:r w:rsidRPr="00B4503E">
              <w:t>CI, 0.65</w:t>
            </w:r>
            <w:r>
              <w:t xml:space="preserve"> to </w:t>
            </w:r>
            <w:r w:rsidRPr="00B4503E">
              <w:t>1.65</w:t>
            </w:r>
            <w:r w:rsidR="00E91991">
              <w:t>; p=0.89</w:t>
            </w:r>
          </w:p>
          <w:p w14:paraId="121A58AB" w14:textId="5EC0A700" w:rsidR="00E91991" w:rsidRDefault="00E91991" w:rsidP="00E91991">
            <w:pPr>
              <w:pStyle w:val="bullet"/>
            </w:pPr>
            <w:r>
              <w:t>Birthweight: 3,155 vs 3,137 g, P=0</w:t>
            </w:r>
            <w:r w:rsidR="00B4503E" w:rsidRPr="00B4503E">
              <w:t>.89</w:t>
            </w:r>
          </w:p>
          <w:p w14:paraId="12A5345B" w14:textId="77777777" w:rsidR="00E91991" w:rsidRDefault="00E91991" w:rsidP="00E91991">
            <w:pPr>
              <w:pStyle w:val="bullet"/>
            </w:pPr>
            <w:r>
              <w:t>M</w:t>
            </w:r>
            <w:r w:rsidR="00B4503E" w:rsidRPr="00B4503E">
              <w:t xml:space="preserve">ean increase </w:t>
            </w:r>
            <w:r>
              <w:t xml:space="preserve">in haemoglobin </w:t>
            </w:r>
            <w:r w:rsidR="00B4503E" w:rsidRPr="00B4503E">
              <w:t xml:space="preserve">from baseline to </w:t>
            </w:r>
            <w:r>
              <w:t>birth:</w:t>
            </w:r>
            <w:r w:rsidR="00B4503E" w:rsidRPr="00B4503E">
              <w:t xml:space="preserve"> </w:t>
            </w:r>
            <w:r>
              <w:t>0.1 vs -0.7 g/dL, P&lt;0</w:t>
            </w:r>
            <w:r w:rsidR="00B4503E" w:rsidRPr="00B4503E">
              <w:t>.001</w:t>
            </w:r>
          </w:p>
          <w:p w14:paraId="7E59D944" w14:textId="7F3F2029" w:rsidR="00E91991" w:rsidRDefault="00E91991" w:rsidP="00E91991">
            <w:pPr>
              <w:pStyle w:val="bullet"/>
            </w:pPr>
            <w:r>
              <w:t>M</w:t>
            </w:r>
            <w:r w:rsidRPr="00B4503E">
              <w:t xml:space="preserve">ean increase </w:t>
            </w:r>
            <w:r>
              <w:t>in</w:t>
            </w:r>
            <w:r w:rsidRPr="00B4503E">
              <w:t xml:space="preserve"> </w:t>
            </w:r>
            <w:r>
              <w:t>s</w:t>
            </w:r>
            <w:r w:rsidR="00B4503E" w:rsidRPr="00B4503E">
              <w:t>erum ferritin</w:t>
            </w:r>
            <w:r>
              <w:t xml:space="preserve"> from baseline to birth: 41.3 vs 11.3 microg/L, P&lt;0</w:t>
            </w:r>
            <w:r w:rsidR="00B4503E" w:rsidRPr="00B4503E">
              <w:t>.001</w:t>
            </w:r>
          </w:p>
          <w:p w14:paraId="4ED73942" w14:textId="3CE9C00A" w:rsidR="00E91991" w:rsidRDefault="00E91991" w:rsidP="00E91991">
            <w:pPr>
              <w:pStyle w:val="bullet"/>
            </w:pPr>
            <w:r>
              <w:t>A</w:t>
            </w:r>
            <w:r w:rsidR="00B4503E" w:rsidRPr="00B4503E">
              <w:t>n</w:t>
            </w:r>
            <w:r w:rsidR="00934B36">
              <w:t>a</w:t>
            </w:r>
            <w:r w:rsidR="00B4503E" w:rsidRPr="00B4503E">
              <w:t xml:space="preserve">emia at </w:t>
            </w:r>
            <w:r w:rsidR="00934B36">
              <w:t>birth</w:t>
            </w:r>
            <w:r>
              <w:t>: RR</w:t>
            </w:r>
            <w:r w:rsidR="00B4503E" w:rsidRPr="00B4503E">
              <w:t xml:space="preserve"> 0.60; 95% CI, 0.51</w:t>
            </w:r>
            <w:r>
              <w:t xml:space="preserve"> to </w:t>
            </w:r>
            <w:r w:rsidR="00B4503E" w:rsidRPr="00B4503E">
              <w:t>0.71</w:t>
            </w:r>
            <w:r>
              <w:t>; p&lt;0.001</w:t>
            </w:r>
          </w:p>
          <w:p w14:paraId="2263FCF8" w14:textId="124AFE82" w:rsidR="00E91991" w:rsidRDefault="00E91991" w:rsidP="00E91991">
            <w:pPr>
              <w:pStyle w:val="bullet"/>
            </w:pPr>
            <w:r>
              <w:t>Severe anemia: RR</w:t>
            </w:r>
            <w:r w:rsidR="00B4503E" w:rsidRPr="00B4503E">
              <w:t xml:space="preserve"> 0.68;</w:t>
            </w:r>
            <w:r>
              <w:t xml:space="preserve"> 95% CI 0.41 to 1.14; p=0.14</w:t>
            </w:r>
          </w:p>
          <w:p w14:paraId="0C081812" w14:textId="4F0CAA86" w:rsidR="00E91991" w:rsidRDefault="00E91991" w:rsidP="00E91991">
            <w:pPr>
              <w:pStyle w:val="bullet"/>
            </w:pPr>
            <w:r>
              <w:t>I</w:t>
            </w:r>
            <w:r w:rsidR="00B4503E" w:rsidRPr="00B4503E">
              <w:t xml:space="preserve">ron deficiency at </w:t>
            </w:r>
            <w:r w:rsidR="007C2966">
              <w:t>birth</w:t>
            </w:r>
            <w:r>
              <w:t>: RR</w:t>
            </w:r>
            <w:r w:rsidR="00B4503E" w:rsidRPr="00B4503E">
              <w:t xml:space="preserve"> 0.48; 95% CI, 0.32</w:t>
            </w:r>
            <w:r>
              <w:t xml:space="preserve"> to </w:t>
            </w:r>
            <w:r w:rsidR="00B4503E" w:rsidRPr="00B4503E">
              <w:t>0.70</w:t>
            </w:r>
            <w:r>
              <w:t>; p=0.001</w:t>
            </w:r>
          </w:p>
          <w:p w14:paraId="54A96325" w14:textId="640C5635" w:rsidR="00B4503E" w:rsidRDefault="00E91991" w:rsidP="008A19E7">
            <w:pPr>
              <w:pStyle w:val="bullet"/>
            </w:pPr>
            <w:r>
              <w:t>I</w:t>
            </w:r>
            <w:r w:rsidR="00B4503E" w:rsidRPr="00B4503E">
              <w:t>ron deficiency an</w:t>
            </w:r>
            <w:r>
              <w:t>a</w:t>
            </w:r>
            <w:r w:rsidR="00B4503E" w:rsidRPr="00B4503E">
              <w:t>emia</w:t>
            </w:r>
            <w:r>
              <w:t xml:space="preserve"> at birth: RR</w:t>
            </w:r>
            <w:r w:rsidR="00B4503E" w:rsidRPr="00B4503E">
              <w:t xml:space="preserve"> 0.34; 95% CI, 0.19</w:t>
            </w:r>
            <w:r>
              <w:t xml:space="preserve"> to 0.62; p&lt;0.001</w:t>
            </w:r>
            <w:r w:rsidR="00B4503E" w:rsidRPr="00B4503E">
              <w:t xml:space="preserve">. </w:t>
            </w:r>
          </w:p>
        </w:tc>
        <w:tc>
          <w:tcPr>
            <w:tcW w:w="1843" w:type="dxa"/>
          </w:tcPr>
          <w:p w14:paraId="014D5431" w14:textId="77777777" w:rsidR="00B4503E" w:rsidRPr="00D150D8" w:rsidRDefault="00B4503E" w:rsidP="00A118C5"/>
        </w:tc>
      </w:tr>
      <w:tr w:rsidR="00B4503E" w:rsidRPr="00D150D8" w14:paraId="6EAFF4A1" w14:textId="77777777" w:rsidTr="004C699A">
        <w:trPr>
          <w:cantSplit/>
        </w:trPr>
        <w:tc>
          <w:tcPr>
            <w:tcW w:w="1305" w:type="dxa"/>
          </w:tcPr>
          <w:p w14:paraId="5B549D1C" w14:textId="7FBE87F3" w:rsidR="00B4503E" w:rsidRDefault="00165972" w:rsidP="00A118C5">
            <w:r>
              <w:t>Goonewardene et al 2018</w:t>
            </w:r>
            <w:r w:rsidR="00201490">
              <w:fldChar w:fldCharType="begin">
                <w:fldData xml:space="preserve">PEVuZE5vdGU+PENpdGU+PEF1dGhvcj5Hb29uZXdhcmRlbmU8L0F1dGhvcj48WWVhcj4yMDE4PC9Z
ZWFyPjxSZWNOdW0+MTYyNzwvUmVjTnVtPjxEaXNwbGF5VGV4dD48c3R5bGUgZmFjZT0ic3VwZXJz
Y3JpcHQiIGZvbnQ9IlRyZWJ1Y2hldCBNUyIgc2l6ZT0iOSI+MTc5PC9zdHlsZT48L0Rpc3BsYXlU
ZXh0PjxyZWNvcmQ+PHJlYy1udW1iZXI+MTYyNzwvcmVjLW51bWJlcj48Zm9yZWlnbi1rZXlzPjxr
ZXkgYXBwPSJFTiIgZGItaWQ9ImV4dmFzcmZ4MmR0cmFvZXNhc3hwMnN6c3hhMmRmNTAyNTkyeCIg
dGltZXN0YW1wPSIxNTc2NzM0MzE2Ij4xNjI3PC9rZXk+PGtleSBhcHA9IkVOV2ViIiBkYi1pZD0i
Ij4wPC9rZXk+PC9mb3JlaWduLWtleXM+PHJlZi10eXBlIG5hbWU9IkpvdXJuYWwgQXJ0aWNsZSI+
MTc8L3JlZi10eXBlPjxjb250cmlidXRvcnM+PGF1dGhvcnM+PGF1dGhvcj5Hb29uZXdhcmRlbmUs
IEkuIE0uIFIuPC9hdXRob3I+PGF1dGhvcj5TZW5hZGhlZXJhLCBELiBJLjwvYXV0aG9yPjwvYXV0
aG9ycz48L2NvbnRyaWJ1dG9ycz48YXV0aC1hZGRyZXNzPkFjYWRlbWljIE9ic3RldHJpY3MgYW5k
IEd5bmFlY29sb2d5IFVuaXQsIFRlYWNoaW5nIEhvc3BpdGFsLCBHYWxsZSwgU3JpIExhbmthLjwv
YXV0aC1hZGRyZXNzPjx0aXRsZXM+PHRpdGxlPlJhbmRvbWl6ZWQgY29udHJvbCB0cmlhbCBjb21w
YXJpbmcgZWZmZWN0aXZlbmVzcyBvZiB3ZWVrbHkgdmVyc3VzIGRhaWx5IGFudGVuYXRhbCBvcmFs
IGlyb24gc3VwcGxlbWVudGF0aW9uIGluIHByZXZlbnRpbmcgYW5lbWlhIGR1cmluZyBwcmVnbmFu
Y3k8L3RpdGxlPjxzZWNvbmRhcnktdGl0bGU+SiBPYnN0ZXQgR3luYWVjb2wgUmVzPC9zZWNvbmRh
cnktdGl0bGU+PC90aXRsZXM+PHBlcmlvZGljYWw+PGZ1bGwtdGl0bGU+SiBPYnN0ZXQgR3luYWVj
b2wgUmVzPC9mdWxsLXRpdGxlPjwvcGVyaW9kaWNhbD48cGFnZXM+NDE3LTQyNDwvcGFnZXM+PHZv
bHVtZT40NDwvdm9sdW1lPjxudW1iZXI+MzwvbnVtYmVyPjxlZGl0aW9uPjIwMTcvMTIvMjM8L2Vk
aXRpb24+PGtleXdvcmRzPjxrZXl3b3JkPkFkdWx0PC9rZXl3b3JkPjxrZXl3b3JkPkFuZW1pYS8q
cHJldmVudGlvbiAmYW1wOyBjb250cm9sPC9rZXl3b3JkPjxrZXl3b3JkPkFuZW1pYSwgSXJvbi1E
ZWZpY2llbmN5L3ByZXZlbnRpb24gJmFtcDsgY29udHJvbDwva2V5d29yZD48a2V5d29yZD4qRGll
dGFyeSBTdXBwbGVtZW50czwva2V5d29yZD48a2V5d29yZD5GZW1hbGU8L2tleXdvcmQ+PGtleXdv
cmQ+Rm9saWMgQWNpZC9hZG1pbmlzdHJhdGlvbiAmYW1wOyBkb3NhZ2UvKnBoYXJtYWNvbG9neTwv
a2V5d29yZD48a2V5d29yZD5IdW1hbnM8L2tleXdvcmQ+PGtleXdvcmQ+SXJvbi9hZG1pbmlzdHJh
dGlvbiAmYW1wOyBkb3NhZ2UvKnBoYXJtYWNvbG9neTwva2V5d29yZD48a2V5d29yZD4qT3V0Y29t
ZSBBc3Nlc3NtZW50LCBIZWFsdGggQ2FyZTwva2V5d29yZD48a2V5d29yZD5QcmVnbmFuY3k8L2tl
eXdvcmQ+PGtleXdvcmQ+UHJlZ25hbmN5IENvbXBsaWNhdGlvbnMsIEhlbWF0b2xvZ2ljLypwcmV2
ZW50aW9uICZhbXA7IGNvbnRyb2w8L2tleXdvcmQ+PGtleXdvcmQ+U3JpIExhbmthPC9rZXl3b3Jk
PjxrZXl3b3JkPmFudGVuYXRhbCBvcmFsIGlyb24gYW5kIGZvbGF0ZTwva2V5d29yZD48a2V5d29y
ZD5pbnRlcm1pdHRlbnQ8L2tleXdvcmQ+PGtleXdvcmQ+bm9uLWFuZW1pYyBwcmVnbmFudCB3b21l
bjwva2V5d29yZD48a2V5d29yZD53ZWVrbHkgdmVyc3VzIGRhaWx5PC9rZXl3b3JkPjwva2V5d29y
ZHM+PGRhdGVzPjx5ZWFyPjIwMTg8L3llYXI+PHB1Yi1kYXRlcz48ZGF0ZT5NYXI8L2RhdGU+PC9w
dWItZGF0ZXM+PC9kYXRlcz48aXNibj4xNDQ3LTA3NTYgKEVsZWN0cm9uaWMpJiN4RDsxMzQxLTgw
NzYgKExpbmtpbmcpPC9pc2JuPjxhY2Nlc3Npb24tbnVtPjI5MjcxMDIyPC9hY2Nlc3Npb24tbnVt
Pjx1cmxzPjxyZWxhdGVkLXVybHM+PHVybD5odHRwczovL3d3dy5uY2JpLm5sbS5uaWguZ292L3B1
Ym1lZC8yOTI3MTAyMjwvdXJsPjwvcmVsYXRlZC11cmxzPjwvdXJscz48ZWxlY3Ryb25pYy1yZXNv
dXJjZS1udW0+MTAuMTExMS9qb2cuMTM1NDY8L2VsZWN0cm9uaWMtcmVzb3VyY2UtbnVtPjwvcmVj
b3JkPjwvQ2l0ZT48L0VuZE5vdGU+
</w:fldData>
              </w:fldChar>
            </w:r>
            <w:r w:rsidR="002747EA">
              <w:instrText xml:space="preserve"> ADDIN EN.CITE </w:instrText>
            </w:r>
            <w:r w:rsidR="002747EA">
              <w:fldChar w:fldCharType="begin">
                <w:fldData xml:space="preserve">PEVuZE5vdGU+PENpdGU+PEF1dGhvcj5Hb29uZXdhcmRlbmU8L0F1dGhvcj48WWVhcj4yMDE4PC9Z
ZWFyPjxSZWNOdW0+MTYyNzwvUmVjTnVtPjxEaXNwbGF5VGV4dD48c3R5bGUgZmFjZT0ic3VwZXJz
Y3JpcHQiIGZvbnQ9IlRyZWJ1Y2hldCBNUyIgc2l6ZT0iOSI+MTc5PC9zdHlsZT48L0Rpc3BsYXlU
ZXh0PjxyZWNvcmQ+PHJlYy1udW1iZXI+MTYyNzwvcmVjLW51bWJlcj48Zm9yZWlnbi1rZXlzPjxr
ZXkgYXBwPSJFTiIgZGItaWQ9ImV4dmFzcmZ4MmR0cmFvZXNhc3hwMnN6c3hhMmRmNTAyNTkyeCIg
dGltZXN0YW1wPSIxNTc2NzM0MzE2Ij4xNjI3PC9rZXk+PGtleSBhcHA9IkVOV2ViIiBkYi1pZD0i
Ij4wPC9rZXk+PC9mb3JlaWduLWtleXM+PHJlZi10eXBlIG5hbWU9IkpvdXJuYWwgQXJ0aWNsZSI+
MTc8L3JlZi10eXBlPjxjb250cmlidXRvcnM+PGF1dGhvcnM+PGF1dGhvcj5Hb29uZXdhcmRlbmUs
IEkuIE0uIFIuPC9hdXRob3I+PGF1dGhvcj5TZW5hZGhlZXJhLCBELiBJLjwvYXV0aG9yPjwvYXV0
aG9ycz48L2NvbnRyaWJ1dG9ycz48YXV0aC1hZGRyZXNzPkFjYWRlbWljIE9ic3RldHJpY3MgYW5k
IEd5bmFlY29sb2d5IFVuaXQsIFRlYWNoaW5nIEhvc3BpdGFsLCBHYWxsZSwgU3JpIExhbmthLjwv
YXV0aC1hZGRyZXNzPjx0aXRsZXM+PHRpdGxlPlJhbmRvbWl6ZWQgY29udHJvbCB0cmlhbCBjb21w
YXJpbmcgZWZmZWN0aXZlbmVzcyBvZiB3ZWVrbHkgdmVyc3VzIGRhaWx5IGFudGVuYXRhbCBvcmFs
IGlyb24gc3VwcGxlbWVudGF0aW9uIGluIHByZXZlbnRpbmcgYW5lbWlhIGR1cmluZyBwcmVnbmFu
Y3k8L3RpdGxlPjxzZWNvbmRhcnktdGl0bGU+SiBPYnN0ZXQgR3luYWVjb2wgUmVzPC9zZWNvbmRh
cnktdGl0bGU+PC90aXRsZXM+PHBlcmlvZGljYWw+PGZ1bGwtdGl0bGU+SiBPYnN0ZXQgR3luYWVj
b2wgUmVzPC9mdWxsLXRpdGxlPjwvcGVyaW9kaWNhbD48cGFnZXM+NDE3LTQyNDwvcGFnZXM+PHZv
bHVtZT40NDwvdm9sdW1lPjxudW1iZXI+MzwvbnVtYmVyPjxlZGl0aW9uPjIwMTcvMTIvMjM8L2Vk
aXRpb24+PGtleXdvcmRzPjxrZXl3b3JkPkFkdWx0PC9rZXl3b3JkPjxrZXl3b3JkPkFuZW1pYS8q
cHJldmVudGlvbiAmYW1wOyBjb250cm9sPC9rZXl3b3JkPjxrZXl3b3JkPkFuZW1pYSwgSXJvbi1E
ZWZpY2llbmN5L3ByZXZlbnRpb24gJmFtcDsgY29udHJvbDwva2V5d29yZD48a2V5d29yZD4qRGll
dGFyeSBTdXBwbGVtZW50czwva2V5d29yZD48a2V5d29yZD5GZW1hbGU8L2tleXdvcmQ+PGtleXdv
cmQ+Rm9saWMgQWNpZC9hZG1pbmlzdHJhdGlvbiAmYW1wOyBkb3NhZ2UvKnBoYXJtYWNvbG9neTwv
a2V5d29yZD48a2V5d29yZD5IdW1hbnM8L2tleXdvcmQ+PGtleXdvcmQ+SXJvbi9hZG1pbmlzdHJh
dGlvbiAmYW1wOyBkb3NhZ2UvKnBoYXJtYWNvbG9neTwva2V5d29yZD48a2V5d29yZD4qT3V0Y29t
ZSBBc3Nlc3NtZW50LCBIZWFsdGggQ2FyZTwva2V5d29yZD48a2V5d29yZD5QcmVnbmFuY3k8L2tl
eXdvcmQ+PGtleXdvcmQ+UHJlZ25hbmN5IENvbXBsaWNhdGlvbnMsIEhlbWF0b2xvZ2ljLypwcmV2
ZW50aW9uICZhbXA7IGNvbnRyb2w8L2tleXdvcmQ+PGtleXdvcmQ+U3JpIExhbmthPC9rZXl3b3Jk
PjxrZXl3b3JkPmFudGVuYXRhbCBvcmFsIGlyb24gYW5kIGZvbGF0ZTwva2V5d29yZD48a2V5d29y
ZD5pbnRlcm1pdHRlbnQ8L2tleXdvcmQ+PGtleXdvcmQ+bm9uLWFuZW1pYyBwcmVnbmFudCB3b21l
bjwva2V5d29yZD48a2V5d29yZD53ZWVrbHkgdmVyc3VzIGRhaWx5PC9rZXl3b3JkPjwva2V5d29y
ZHM+PGRhdGVzPjx5ZWFyPjIwMTg8L3llYXI+PHB1Yi1kYXRlcz48ZGF0ZT5NYXI8L2RhdGU+PC9w
dWItZGF0ZXM+PC9kYXRlcz48aXNibj4xNDQ3LTA3NTYgKEVsZWN0cm9uaWMpJiN4RDsxMzQxLTgw
NzYgKExpbmtpbmcpPC9pc2JuPjxhY2Nlc3Npb24tbnVtPjI5MjcxMDIyPC9hY2Nlc3Npb24tbnVt
Pjx1cmxzPjxyZWxhdGVkLXVybHM+PHVybD5odHRwczovL3d3dy5uY2JpLm5sbS5uaWguZ292L3B1
Ym1lZC8yOTI3MTAyMjwvdXJsPjwvcmVsYXRlZC11cmxzPjwvdXJscz48ZWxlY3Ryb25pYy1yZXNv
dXJjZS1udW0+MTAuMTExMS9qb2cuMTM1NDY8L2VsZWN0cm9uaWMtcmVzb3VyY2UtbnVtPjwvcmVj
b3JkPjwvQ2l0ZT48L0VuZE5vdGU+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179</w:t>
            </w:r>
            <w:r w:rsidR="00201490">
              <w:fldChar w:fldCharType="end"/>
            </w:r>
          </w:p>
          <w:p w14:paraId="06BA5BC8" w14:textId="581C2E30" w:rsidR="00165972" w:rsidRDefault="00165972" w:rsidP="00A118C5">
            <w:r>
              <w:t>Sri Lanka</w:t>
            </w:r>
          </w:p>
        </w:tc>
        <w:tc>
          <w:tcPr>
            <w:tcW w:w="1528" w:type="dxa"/>
          </w:tcPr>
          <w:p w14:paraId="5EF3A4DC" w14:textId="0912989B" w:rsidR="00B4503E" w:rsidRDefault="006D21D7" w:rsidP="00A118C5">
            <w:r>
              <w:t xml:space="preserve">Weekly </w:t>
            </w:r>
            <w:r w:rsidR="007A0E04">
              <w:t>149</w:t>
            </w:r>
          </w:p>
          <w:p w14:paraId="365FC1A7" w14:textId="0D5A0BA7" w:rsidR="006D21D7" w:rsidRDefault="006D21D7" w:rsidP="007A0E04">
            <w:r>
              <w:t>Daily 1</w:t>
            </w:r>
            <w:r w:rsidR="007A0E04">
              <w:t>43</w:t>
            </w:r>
          </w:p>
        </w:tc>
        <w:tc>
          <w:tcPr>
            <w:tcW w:w="4680" w:type="dxa"/>
          </w:tcPr>
          <w:p w14:paraId="0AF3F351" w14:textId="1EFACC90" w:rsidR="00165972" w:rsidRDefault="00165972" w:rsidP="00165972">
            <w:r>
              <w:rPr>
                <w:b/>
              </w:rPr>
              <w:t xml:space="preserve">Aim: </w:t>
            </w:r>
            <w:r>
              <w:t>T</w:t>
            </w:r>
            <w:r w:rsidRPr="00165972">
              <w:t>o determine whether weekly antenatal oral iron and folate supplementation is an effective alternative to a daily regimen in non-an</w:t>
            </w:r>
            <w:r w:rsidR="0030452C">
              <w:t>a</w:t>
            </w:r>
            <w:r w:rsidRPr="00165972">
              <w:t>emic pregnant women to prevent an</w:t>
            </w:r>
            <w:r w:rsidR="0030452C">
              <w:t>a</w:t>
            </w:r>
            <w:r w:rsidRPr="00165972">
              <w:t xml:space="preserve">emia and iron deficiency during the third trimester. </w:t>
            </w:r>
          </w:p>
          <w:p w14:paraId="659716F1" w14:textId="77777777" w:rsidR="006D21D7" w:rsidRDefault="00165972" w:rsidP="006D21D7">
            <w:r w:rsidRPr="00165972">
              <w:rPr>
                <w:b/>
              </w:rPr>
              <w:t>Population</w:t>
            </w:r>
            <w:r w:rsidRPr="00165972">
              <w:t xml:space="preserve">: </w:t>
            </w:r>
            <w:r>
              <w:t>N</w:t>
            </w:r>
            <w:r w:rsidRPr="00165972">
              <w:t>on-an</w:t>
            </w:r>
            <w:r>
              <w:t>aemic pregnant women</w:t>
            </w:r>
            <w:r w:rsidRPr="00165972">
              <w:t xml:space="preserve"> at 14-22 weeks gestation who had been treated with mebendazole 100 mg twice daily for three days</w:t>
            </w:r>
          </w:p>
          <w:p w14:paraId="1294EDC6" w14:textId="4BE0968A" w:rsidR="00B4503E" w:rsidRPr="004A2A1A" w:rsidRDefault="006D21D7" w:rsidP="00231113">
            <w:pPr>
              <w:rPr>
                <w:b/>
              </w:rPr>
            </w:pPr>
            <w:r w:rsidRPr="004877A0">
              <w:rPr>
                <w:b/>
              </w:rPr>
              <w:t>Intervention</w:t>
            </w:r>
            <w:r>
              <w:t>:</w:t>
            </w:r>
            <w:r w:rsidR="00165972" w:rsidRPr="00165972">
              <w:t xml:space="preserve"> 120 mg elemental iron, 3 mg folic acid and 100 mg vitamin C weekly or 60 mg elemental iron, 1 mg folic acid and 100 mg vitamin C daily.</w:t>
            </w:r>
          </w:p>
        </w:tc>
        <w:tc>
          <w:tcPr>
            <w:tcW w:w="4536" w:type="dxa"/>
          </w:tcPr>
          <w:p w14:paraId="1FDE960A" w14:textId="7D322C00" w:rsidR="00B4503E" w:rsidRDefault="007A0E04" w:rsidP="00165972">
            <w:r>
              <w:t>Daily vs weekly intervention:</w:t>
            </w:r>
          </w:p>
          <w:p w14:paraId="4FEB69BB" w14:textId="77777777" w:rsidR="007A0E04" w:rsidRDefault="007A0E04" w:rsidP="003C185E">
            <w:pPr>
              <w:pStyle w:val="bullet"/>
            </w:pPr>
            <w:r>
              <w:t>Haemoglobin &lt;11 g/dL: RR 1.01; 95%CI 0.76 to 1.34; p=0.943</w:t>
            </w:r>
          </w:p>
          <w:p w14:paraId="3AA5723C" w14:textId="396C32AB" w:rsidR="007A0E04" w:rsidRDefault="007A0E04" w:rsidP="003C185E">
            <w:pPr>
              <w:pStyle w:val="bullet"/>
            </w:pPr>
            <w:r>
              <w:t>Serum ferritin &lt;30 µg/L: RR 0.991; 95%CI 0.83 to 1.18; p=0.927</w:t>
            </w:r>
          </w:p>
          <w:p w14:paraId="7AA63D1D" w14:textId="77777777" w:rsidR="007A0E04" w:rsidRDefault="007A0E04" w:rsidP="003C185E">
            <w:pPr>
              <w:pStyle w:val="bullet"/>
            </w:pPr>
            <w:r>
              <w:t>Haemoglobin &lt;13 g/dL: RR 1.04; 95%CI 0.37 to 2.97; p=0.928</w:t>
            </w:r>
          </w:p>
          <w:p w14:paraId="14074FDD" w14:textId="77777777" w:rsidR="007A0E04" w:rsidRDefault="007A0E04" w:rsidP="003C185E">
            <w:pPr>
              <w:pStyle w:val="bullet"/>
            </w:pPr>
            <w:r>
              <w:t xml:space="preserve">Nausea: </w:t>
            </w:r>
            <w:r w:rsidR="00B97231">
              <w:t>56/143 (39%) vs 25/149 (17%); p&lt;0.001</w:t>
            </w:r>
          </w:p>
          <w:p w14:paraId="57CDFF8C" w14:textId="77777777" w:rsidR="00B97231" w:rsidRDefault="00B97231" w:rsidP="003C185E">
            <w:pPr>
              <w:pStyle w:val="bullet"/>
            </w:pPr>
            <w:r>
              <w:t>Dyspeptic symptoms: 40/143 (28%) vs 28/149 (19%); p=0.031</w:t>
            </w:r>
          </w:p>
          <w:p w14:paraId="420F6987" w14:textId="77777777" w:rsidR="00B97231" w:rsidRDefault="00B97231" w:rsidP="003C185E">
            <w:pPr>
              <w:pStyle w:val="bullet"/>
            </w:pPr>
            <w:r>
              <w:t>Vomiting: 27/143 (19%) vs 17/149 (9%); p=0.039</w:t>
            </w:r>
          </w:p>
          <w:p w14:paraId="7672910E" w14:textId="75A99AAF" w:rsidR="00B97231" w:rsidRPr="00165972" w:rsidRDefault="00B97231" w:rsidP="003C185E">
            <w:pPr>
              <w:pStyle w:val="bullet"/>
            </w:pPr>
            <w:r>
              <w:t>Constipation: 20/143 (14%) vs 10/149 (7%); p=0.017</w:t>
            </w:r>
          </w:p>
        </w:tc>
        <w:tc>
          <w:tcPr>
            <w:tcW w:w="1843" w:type="dxa"/>
          </w:tcPr>
          <w:p w14:paraId="2433B4E8" w14:textId="77777777" w:rsidR="00B4503E" w:rsidRPr="00D150D8" w:rsidRDefault="00B4503E" w:rsidP="00A118C5"/>
        </w:tc>
      </w:tr>
      <w:tr w:rsidR="00B4503E" w:rsidRPr="00D150D8" w14:paraId="76C9D078" w14:textId="77777777" w:rsidTr="004C699A">
        <w:trPr>
          <w:cantSplit/>
        </w:trPr>
        <w:tc>
          <w:tcPr>
            <w:tcW w:w="1305" w:type="dxa"/>
          </w:tcPr>
          <w:p w14:paraId="3D74865B" w14:textId="1555CDB3" w:rsidR="00B4503E" w:rsidRDefault="00FA2D02" w:rsidP="00A118C5">
            <w:r>
              <w:t>Jafarbegloo et al 2015</w:t>
            </w:r>
            <w:r w:rsidR="00201490">
              <w:fldChar w:fldCharType="begin"/>
            </w:r>
            <w:r w:rsidR="002747EA">
              <w:instrText xml:space="preserve"> ADDIN EN.CITE &lt;EndNote&gt;&lt;Cite&gt;&lt;Author&gt;Jafarbegloo&lt;/Author&gt;&lt;Year&gt;2015&lt;/Year&gt;&lt;RecNum&gt;1629&lt;/RecNum&gt;&lt;DisplayText&gt;&lt;style face="superscript" font="Trebuchet MS" size="9"&gt;180&lt;/style&gt;&lt;/DisplayText&gt;&lt;record&gt;&lt;rec-number&gt;1629&lt;/rec-number&gt;&lt;foreign-keys&gt;&lt;key app="EN" db-id="exvasrfx2dtraoesasxp2szsxa2df502592x" timestamp="1576734323"&gt;1629&lt;/key&gt;&lt;key app="ENWeb" db-id=""&gt;0&lt;/key&gt;&lt;/foreign-keys&gt;&lt;ref-type name="Journal Article"&gt;17&lt;/ref-type&gt;&lt;contributors&gt;&lt;authors&gt;&lt;author&gt;Jafarbegloo, E.&lt;/author&gt;&lt;author&gt;Ahmari Tehran, H.&lt;/author&gt;&lt;author&gt;Dadkhah Tehrani, T.&lt;/author&gt;&lt;/authors&gt;&lt;/contributors&gt;&lt;auth-address&gt;School of Nursing and Midwifery, Health Care Research Center, Qom University of Medical Sciences, Qom, IR Iran.&amp;#xD;PhD Student in Medical Education, Department of Medical Education, Tehran University of Medical Sciences, Tehran, IR Iran.&lt;/auth-address&gt;&lt;titles&gt;&lt;title&gt;Gastrointestinal complications of ferrous sulfate in pregnant women: a randomized double-blind placebo-controlled trial&lt;/title&gt;&lt;secondary-title&gt;Iran Red Crescent Med J&lt;/secondary-title&gt;&lt;/titles&gt;&lt;periodical&gt;&lt;full-title&gt;Iran Red Crescent Med J&lt;/full-title&gt;&lt;/periodical&gt;&lt;pages&gt;e15001&lt;/pages&gt;&lt;volume&gt;17&lt;/volume&gt;&lt;number&gt;8&lt;/number&gt;&lt;edition&gt;2015/10/03&lt;/edition&gt;&lt;keywords&gt;&lt;keyword&gt;Hemoglobin&lt;/keyword&gt;&lt;keyword&gt;Iron Supplement&lt;/keyword&gt;&lt;keyword&gt;Pregnant Women&lt;/keyword&gt;&lt;keyword&gt;Randomized Cotrolled Trial&lt;/keyword&gt;&lt;/keywords&gt;&lt;dates&gt;&lt;year&gt;2015&lt;/year&gt;&lt;pub-dates&gt;&lt;date&gt;Aug&lt;/date&gt;&lt;/pub-dates&gt;&lt;/dates&gt;&lt;isbn&gt;2074-1804 (Print)&amp;#xD;2074-1804 (Linking)&lt;/isbn&gt;&lt;accession-num&gt;26430520&lt;/accession-num&gt;&lt;urls&gt;&lt;related-urls&gt;&lt;url&gt;https://www.ncbi.nlm.nih.gov/pubmed/26430520&lt;/url&gt;&lt;/related-urls&gt;&lt;/urls&gt;&lt;custom2&gt;PMC4587092&lt;/custom2&gt;&lt;electronic-resource-num&gt;10.5812/ircmj.15001&lt;/electronic-resource-num&gt;&lt;/record&gt;&lt;/Cite&gt;&lt;/EndNote&gt;</w:instrText>
            </w:r>
            <w:r w:rsidR="00201490">
              <w:fldChar w:fldCharType="separate"/>
            </w:r>
            <w:r w:rsidR="002747EA" w:rsidRPr="002747EA">
              <w:rPr>
                <w:noProof/>
                <w:vertAlign w:val="superscript"/>
              </w:rPr>
              <w:t>180</w:t>
            </w:r>
            <w:r w:rsidR="00201490">
              <w:fldChar w:fldCharType="end"/>
            </w:r>
          </w:p>
          <w:p w14:paraId="50CE5069" w14:textId="3A533384" w:rsidR="00FA2D02" w:rsidRDefault="00FA2D02" w:rsidP="00A118C5">
            <w:r>
              <w:t>Iran</w:t>
            </w:r>
          </w:p>
        </w:tc>
        <w:tc>
          <w:tcPr>
            <w:tcW w:w="1528" w:type="dxa"/>
          </w:tcPr>
          <w:p w14:paraId="719F0E1E" w14:textId="3D44E781" w:rsidR="00B4503E" w:rsidRDefault="00FA2D02" w:rsidP="00A118C5">
            <w:r>
              <w:t xml:space="preserve">Intervention </w:t>
            </w:r>
            <w:r w:rsidR="00843AC7">
              <w:t>88</w:t>
            </w:r>
          </w:p>
          <w:p w14:paraId="15EFB1FA" w14:textId="0DCCD186" w:rsidR="00FA2D02" w:rsidRDefault="00FA2D02" w:rsidP="00843AC7">
            <w:r>
              <w:t xml:space="preserve">Control </w:t>
            </w:r>
            <w:r w:rsidR="00843AC7">
              <w:t>88</w:t>
            </w:r>
          </w:p>
        </w:tc>
        <w:tc>
          <w:tcPr>
            <w:tcW w:w="4680" w:type="dxa"/>
          </w:tcPr>
          <w:p w14:paraId="796EDB54" w14:textId="77777777" w:rsidR="00FA2D02" w:rsidRDefault="00FA2D02" w:rsidP="00FA2D02">
            <w:r w:rsidRPr="00FA2D02">
              <w:rPr>
                <w:b/>
              </w:rPr>
              <w:t>Aim</w:t>
            </w:r>
            <w:r>
              <w:t>: T</w:t>
            </w:r>
            <w:r w:rsidRPr="00FA2D02">
              <w:t xml:space="preserve">o assess </w:t>
            </w:r>
            <w:r>
              <w:t>gastrointestinal (</w:t>
            </w:r>
            <w:r w:rsidRPr="00FA2D02">
              <w:t>GI</w:t>
            </w:r>
            <w:r>
              <w:t>)</w:t>
            </w:r>
            <w:r w:rsidRPr="00FA2D02">
              <w:t xml:space="preserve"> complications of ferrous sulfate in pregnant women. </w:t>
            </w:r>
          </w:p>
          <w:p w14:paraId="4DE15D3E" w14:textId="77777777" w:rsidR="00FA2D02" w:rsidRDefault="00FA2D02" w:rsidP="00FA2D02">
            <w:r w:rsidRPr="00FA2D02">
              <w:rPr>
                <w:b/>
              </w:rPr>
              <w:t>Population</w:t>
            </w:r>
            <w:r>
              <w:t xml:space="preserve">: </w:t>
            </w:r>
            <w:r w:rsidRPr="00FA2D02">
              <w:t xml:space="preserve">Pregnant women with Hb </w:t>
            </w:r>
            <w:r>
              <w:t>≥</w:t>
            </w:r>
            <w:r w:rsidRPr="00FA2D02">
              <w:t>13.2 gr/dL at 13</w:t>
            </w:r>
            <w:r>
              <w:t>-</w:t>
            </w:r>
            <w:r w:rsidRPr="00FA2D02">
              <w:t>18</w:t>
            </w:r>
            <w:r>
              <w:t xml:space="preserve"> </w:t>
            </w:r>
            <w:r w:rsidRPr="00FA2D02">
              <w:t>weeks of gestation</w:t>
            </w:r>
            <w:r>
              <w:t>.</w:t>
            </w:r>
          </w:p>
          <w:p w14:paraId="278B7187" w14:textId="122AC96A" w:rsidR="00B4503E" w:rsidRPr="004A2A1A" w:rsidRDefault="00FA2D02" w:rsidP="00FA2D02">
            <w:pPr>
              <w:rPr>
                <w:b/>
              </w:rPr>
            </w:pPr>
            <w:r w:rsidRPr="00FA2D02">
              <w:rPr>
                <w:b/>
              </w:rPr>
              <w:t>Intervention</w:t>
            </w:r>
            <w:r>
              <w:t>:</w:t>
            </w:r>
            <w:r w:rsidRPr="00FA2D02">
              <w:t xml:space="preserve"> 50-mg ferrous sulfate tablet daily from the 20(th) week to the end of pregnancy</w:t>
            </w:r>
            <w:r>
              <w:t>.</w:t>
            </w:r>
          </w:p>
        </w:tc>
        <w:tc>
          <w:tcPr>
            <w:tcW w:w="4536" w:type="dxa"/>
          </w:tcPr>
          <w:p w14:paraId="2B8F1A3E" w14:textId="7CFE3F13" w:rsidR="00B4503E" w:rsidRPr="00DE3E29" w:rsidRDefault="00DE3E29" w:rsidP="00DE3E29">
            <w:r w:rsidRPr="00DE3E29">
              <w:t>None of the GI complications were significantly different between the ferrous sulfate and placebo groups at 24</w:t>
            </w:r>
            <w:r>
              <w:t>-28</w:t>
            </w:r>
            <w:r w:rsidRPr="00DE3E29">
              <w:t xml:space="preserve"> and 32</w:t>
            </w:r>
            <w:r>
              <w:t>-36</w:t>
            </w:r>
            <w:r w:rsidRPr="00DE3E29">
              <w:t xml:space="preserve"> weeks. H</w:t>
            </w:r>
            <w:r>
              <w:t>a</w:t>
            </w:r>
            <w:r w:rsidRPr="00DE3E29">
              <w:t>emoglobin drop lower than 10.5 gr/dL at 24</w:t>
            </w:r>
            <w:r>
              <w:t>-28</w:t>
            </w:r>
            <w:r w:rsidRPr="00DE3E29">
              <w:t xml:space="preserve"> weeks or lower than 11 g/dL at 32</w:t>
            </w:r>
            <w:r>
              <w:t>-36</w:t>
            </w:r>
            <w:r w:rsidRPr="00DE3E29">
              <w:t xml:space="preserve"> weeks was not observed in any </w:t>
            </w:r>
            <w:r>
              <w:t>women</w:t>
            </w:r>
            <w:r w:rsidRPr="00DE3E29">
              <w:t>. </w:t>
            </w:r>
          </w:p>
        </w:tc>
        <w:tc>
          <w:tcPr>
            <w:tcW w:w="1843" w:type="dxa"/>
          </w:tcPr>
          <w:p w14:paraId="2BEE79F7" w14:textId="659B6AD6" w:rsidR="00B4503E" w:rsidRPr="00D150D8" w:rsidRDefault="00A43E3A" w:rsidP="00A118C5">
            <w:r>
              <w:t xml:space="preserve">There are some discrepancies in the </w:t>
            </w:r>
            <w:r w:rsidR="00DE3E29">
              <w:t>reported outcomes so these have not been included here</w:t>
            </w:r>
          </w:p>
        </w:tc>
      </w:tr>
      <w:tr w:rsidR="00B4503E" w:rsidRPr="00D150D8" w14:paraId="41837042" w14:textId="77777777" w:rsidTr="004C699A">
        <w:trPr>
          <w:cantSplit/>
        </w:trPr>
        <w:tc>
          <w:tcPr>
            <w:tcW w:w="1305" w:type="dxa"/>
          </w:tcPr>
          <w:p w14:paraId="35FB046B" w14:textId="041CD7C4" w:rsidR="00B4503E" w:rsidRDefault="00541F5F" w:rsidP="00541F5F">
            <w:r>
              <w:t>Kinnunen et al 2016</w:t>
            </w:r>
            <w:r w:rsidR="00201490">
              <w:fldChar w:fldCharType="begin">
                <w:fldData xml:space="preserve">PEVuZE5vdGU+PENpdGU+PEF1dGhvcj5LaW5udW5lbjwvQXV0aG9yPjxZZWFyPjIwMTY8L1llYXI+
PFJlY051bT4xNjMxPC9SZWNOdW0+PERpc3BsYXlUZXh0PjxzdHlsZSBmYWNlPSJzdXBlcnNjcmlw
dCIgZm9udD0iVHJlYnVjaGV0IE1TIiBzaXplPSI5Ij4xODE8L3N0eWxlPjwvRGlzcGxheVRleHQ+
PHJlY29yZD48cmVjLW51bWJlcj4xNjMxPC9yZWMtbnVtYmVyPjxmb3JlaWduLWtleXM+PGtleSBh
cHA9IkVOIiBkYi1pZD0iZXh2YXNyZngyZHRyYW9lc2FzeHAyc3pzeGEyZGY1MDI1OTJ4IiB0aW1l
c3RhbXA9IjE1NzY3MzQzMzEiPjE2MzE8L2tleT48a2V5IGFwcD0iRU5XZWIiIGRiLWlkPSIiPjA8
L2tleT48L2ZvcmVpZ24ta2V5cz48cmVmLXR5cGUgbmFtZT0iSm91cm5hbCBBcnRpY2xlIj4xNzwv
cmVmLXR5cGU+PGNvbnRyaWJ1dG9ycz48YXV0aG9ycz48YXV0aG9yPktpbm51bmVuLCBULiBJLjwv
YXV0aG9yPjxhdXRob3I+THVvdG8sIFIuPC9hdXRob3I+PGF1dGhvcj5IZWxpbiwgQS48L2F1dGhv
cj48YXV0aG9yPkhlbW1pbmtpLCBFLjwvYXV0aG9yPjwvYXV0aG9ycz48L2NvbnRyaWJ1dG9ycz48
YXV0aC1hZGRyZXNzPlNjaG9vbCBvZiBIZWFsdGggU2NpZW5jZXMsIFVuaXZlcnNpdHkgb2YgVGFt
cGVyZSwgVGFtcGVyZSwgRmlubGFuZC4mI3hEO1RoZSBVS0sgSW5zdGl0dXRlIGZvciBIZWFsdGgg
UHJvbW90aW9uIFJlc2VhcmNoLCBUYW1wZXJlLCBGaW5sYW5kLiYjeEQ7RGVwYXJ0bWVudCBvZiBD
aGlsZHJlbiwgWW91bmcgUGVvcGxlIGFuZCBGYW1pbGllcywgVGhlIE5hdGlvbmFsIEluc3RpdHV0
ZSBmb3IgSGVhbHRoIGFuZCBXZWxmYXJlLCBIZWxzaW5raSwgRmlubGFuZC4mI3hEO1NlcnZpY2Ug
U3lzdGVtIERlcGFydG1lbnQsIFRoZSBOYXRpb25hbCBJbnN0aXR1dGUgZm9yIEhlYWx0aCBhbmQg
V2VsZmFyZSwgSGVsc2lua2ksIEZpbmxhbmQuPC9hdXRoLWFkZHJlc3M+PHRpdGxlcz48dGl0bGU+
U3VwcGxlbWVudGFsIGlyb24gaW50YWtlIGFuZCB0aGUgcmlzayBvZiBnbHVjb3NlIGludG9sZXJh
bmNlIGluIHByZWduYW5jeTogcmUtYW5hbHlzaXMgb2YgYSByYW5kb21pc2VkIGNvbnRyb2xsZWQg
dHJpYWwgaW4gRmlubGFuZDwvdGl0bGU+PHNlY29uZGFyeS10aXRsZT5NYXRlcm4gQ2hpbGQgTnV0
cjwvc2Vjb25kYXJ5LXRpdGxlPjwvdGl0bGVzPjxwZXJpb2RpY2FsPjxmdWxsLXRpdGxlPk1hdGVy
biBDaGlsZCBOdXRyPC9mdWxsLXRpdGxlPjwvcGVyaW9kaWNhbD48cGFnZXM+NzQtODQ8L3BhZ2Vz
Pjx2b2x1bWU+MTI8L3ZvbHVtZT48bnVtYmVyPjE8L251bWJlcj48ZWRpdGlvbj4yMDE0LzA3LzA2
PC9lZGl0aW9uPjxrZXl3b3Jkcz48a2V5d29yZD5BZHVsdDwva2V5d29yZD48a2V5d29yZD5BbmVt
aWEsIElyb24tRGVmaWNpZW5jeS8qZGlldCB0aGVyYXB5PC9rZXl3b3JkPjxrZXl3b3JkPkJpcnRo
IFdlaWdodDwva2V5d29yZD48a2V5d29yZD5EaWFiZXRlcywgR2VzdGF0aW9uYWwvZXBpZGVtaW9s
b2d5LypldGlvbG9neS9waHlzaW9wYXRob2xvZ3k8L2tleXdvcmQ+PGtleXdvcmQ+RGlldGFyeSBT
dXBwbGVtZW50cy8qYWR2ZXJzZSBlZmZlY3RzPC9rZXl3b3JkPjxrZXl3b3JkPkZlbWFsZTwva2V5
d29yZD48a2V5d29yZD5GZXRhbCBNYWNyb3NvbWlhL2VwaWRlbWlvbG9neS9ldGlvbG9neTwva2V5
d29yZD48a2V5d29yZD5GaW5sYW5kL2VwaWRlbWlvbG9neTwva2V5d29yZD48a2V5d29yZD5Gb2xs
b3ctVXAgU3R1ZGllczwva2V5d29yZD48a2V5d29yZD5HbHVjb3NlIEludG9sZXJhbmNlL2VwaWRl
bWlvbG9neS9ldGlvbG9neS9waHlzaW9wYXRob2xvZ3k8L2tleXdvcmQ+PGtleXdvcmQ+SHVtYW5z
PC9rZXl3b3JkPjxrZXl3b3JkPkluY2lkZW5jZTwva2V5d29yZD48a2V5d29yZD5JbmZhbnQsIE5l
d2Jvcm48L2tleXdvcmQ+PGtleXdvcmQ+SXJvbiwgRGlldGFyeS8qYWR2ZXJzZSBlZmZlY3RzL3Ro
ZXJhcGV1dGljIHVzZTwva2V5d29yZD48a2V5d29yZD5NYWxlPC9rZXl3b3JkPjxrZXl3b3JkPipN
YXRlcm5hbCBOdXRyaXRpb25hbCBQaHlzaW9sb2dpY2FsIFBoZW5vbWVuYTwva2V5d29yZD48a2V5
d29yZD5QcmVnbmFuY3k8L2tleXdvcmQ+PGtleXdvcmQ+UmlzayBGYWN0b3JzPC9rZXl3b3JkPjxr
ZXl3b3JkPldlaWdodCBHYWluPC9rZXl3b3JkPjxrZXl3b3JkPllvdW5nIEFkdWx0PC9rZXl3b3Jk
PjxrZXl3b3JkPmdlc3RhdGlvbmFsIGRpYWJldGVzPC9rZXl3b3JkPjxrZXl3b3JkPmdsdWNvc2Ug
aW50b2xlcmFuY2U8L2tleXdvcmQ+PGtleXdvcmQ+aXJvbiBzdXBwbGVtZW50YXRpb248L2tleXdv
cmQ+PGtleXdvcmQ+cmFuZG9taXNlZCBjb250cm9sbGVkIHRyaWFsPC9rZXl3b3JkPjwva2V5d29y
ZHM+PGRhdGVzPjx5ZWFyPjIwMTY8L3llYXI+PHB1Yi1kYXRlcz48ZGF0ZT5KYW48L2RhdGU+PC9w
dWItZGF0ZXM+PC9kYXRlcz48aXNibj4xNzQwLTg3MDkgKEVsZWN0cm9uaWMpJiN4RDsxNzQwLTg2
OTUgKExpbmtpbmcpPC9pc2JuPjxhY2Nlc3Npb24tbnVtPjI0OTk1NzAwPC9hY2Nlc3Npb24tbnVt
Pjx1cmxzPjxyZWxhdGVkLXVybHM+PHVybD5odHRwczovL3d3dy5uY2JpLm5sbS5uaWguZ292L3B1
Ym1lZC8yNDk5NTcwMDwvdXJsPjwvcmVsYXRlZC11cmxzPjwvdXJscz48ZWxlY3Ryb25pYy1yZXNv
dXJjZS1udW0+MTAuMTExMS9tY24uMTIxMzk8L2VsZWN0cm9uaWMtcmVzb3VyY2UtbnVtPjwvcmVj
b3JkPjwvQ2l0ZT48L0VuZE5vdGU+
</w:fldData>
              </w:fldChar>
            </w:r>
            <w:r w:rsidR="002747EA">
              <w:instrText xml:space="preserve"> ADDIN EN.CITE </w:instrText>
            </w:r>
            <w:r w:rsidR="002747EA">
              <w:fldChar w:fldCharType="begin">
                <w:fldData xml:space="preserve">PEVuZE5vdGU+PENpdGU+PEF1dGhvcj5LaW5udW5lbjwvQXV0aG9yPjxZZWFyPjIwMTY8L1llYXI+
PFJlY051bT4xNjMxPC9SZWNOdW0+PERpc3BsYXlUZXh0PjxzdHlsZSBmYWNlPSJzdXBlcnNjcmlw
dCIgZm9udD0iVHJlYnVjaGV0IE1TIiBzaXplPSI5Ij4xODE8L3N0eWxlPjwvRGlzcGxheVRleHQ+
PHJlY29yZD48cmVjLW51bWJlcj4xNjMxPC9yZWMtbnVtYmVyPjxmb3JlaWduLWtleXM+PGtleSBh
cHA9IkVOIiBkYi1pZD0iZXh2YXNyZngyZHRyYW9lc2FzeHAyc3pzeGEyZGY1MDI1OTJ4IiB0aW1l
c3RhbXA9IjE1NzY3MzQzMzEiPjE2MzE8L2tleT48a2V5IGFwcD0iRU5XZWIiIGRiLWlkPSIiPjA8
L2tleT48L2ZvcmVpZ24ta2V5cz48cmVmLXR5cGUgbmFtZT0iSm91cm5hbCBBcnRpY2xlIj4xNzwv
cmVmLXR5cGU+PGNvbnRyaWJ1dG9ycz48YXV0aG9ycz48YXV0aG9yPktpbm51bmVuLCBULiBJLjwv
YXV0aG9yPjxhdXRob3I+THVvdG8sIFIuPC9hdXRob3I+PGF1dGhvcj5IZWxpbiwgQS48L2F1dGhv
cj48YXV0aG9yPkhlbW1pbmtpLCBFLjwvYXV0aG9yPjwvYXV0aG9ycz48L2NvbnRyaWJ1dG9ycz48
YXV0aC1hZGRyZXNzPlNjaG9vbCBvZiBIZWFsdGggU2NpZW5jZXMsIFVuaXZlcnNpdHkgb2YgVGFt
cGVyZSwgVGFtcGVyZSwgRmlubGFuZC4mI3hEO1RoZSBVS0sgSW5zdGl0dXRlIGZvciBIZWFsdGgg
UHJvbW90aW9uIFJlc2VhcmNoLCBUYW1wZXJlLCBGaW5sYW5kLiYjeEQ7RGVwYXJ0bWVudCBvZiBD
aGlsZHJlbiwgWW91bmcgUGVvcGxlIGFuZCBGYW1pbGllcywgVGhlIE5hdGlvbmFsIEluc3RpdHV0
ZSBmb3IgSGVhbHRoIGFuZCBXZWxmYXJlLCBIZWxzaW5raSwgRmlubGFuZC4mI3hEO1NlcnZpY2Ug
U3lzdGVtIERlcGFydG1lbnQsIFRoZSBOYXRpb25hbCBJbnN0aXR1dGUgZm9yIEhlYWx0aCBhbmQg
V2VsZmFyZSwgSGVsc2lua2ksIEZpbmxhbmQuPC9hdXRoLWFkZHJlc3M+PHRpdGxlcz48dGl0bGU+
U3VwcGxlbWVudGFsIGlyb24gaW50YWtlIGFuZCB0aGUgcmlzayBvZiBnbHVjb3NlIGludG9sZXJh
bmNlIGluIHByZWduYW5jeTogcmUtYW5hbHlzaXMgb2YgYSByYW5kb21pc2VkIGNvbnRyb2xsZWQg
dHJpYWwgaW4gRmlubGFuZDwvdGl0bGU+PHNlY29uZGFyeS10aXRsZT5NYXRlcm4gQ2hpbGQgTnV0
cjwvc2Vjb25kYXJ5LXRpdGxlPjwvdGl0bGVzPjxwZXJpb2RpY2FsPjxmdWxsLXRpdGxlPk1hdGVy
biBDaGlsZCBOdXRyPC9mdWxsLXRpdGxlPjwvcGVyaW9kaWNhbD48cGFnZXM+NzQtODQ8L3BhZ2Vz
Pjx2b2x1bWU+MTI8L3ZvbHVtZT48bnVtYmVyPjE8L251bWJlcj48ZWRpdGlvbj4yMDE0LzA3LzA2
PC9lZGl0aW9uPjxrZXl3b3Jkcz48a2V5d29yZD5BZHVsdDwva2V5d29yZD48a2V5d29yZD5BbmVt
aWEsIElyb24tRGVmaWNpZW5jeS8qZGlldCB0aGVyYXB5PC9rZXl3b3JkPjxrZXl3b3JkPkJpcnRo
IFdlaWdodDwva2V5d29yZD48a2V5d29yZD5EaWFiZXRlcywgR2VzdGF0aW9uYWwvZXBpZGVtaW9s
b2d5LypldGlvbG9neS9waHlzaW9wYXRob2xvZ3k8L2tleXdvcmQ+PGtleXdvcmQ+RGlldGFyeSBT
dXBwbGVtZW50cy8qYWR2ZXJzZSBlZmZlY3RzPC9rZXl3b3JkPjxrZXl3b3JkPkZlbWFsZTwva2V5
d29yZD48a2V5d29yZD5GZXRhbCBNYWNyb3NvbWlhL2VwaWRlbWlvbG9neS9ldGlvbG9neTwva2V5
d29yZD48a2V5d29yZD5GaW5sYW5kL2VwaWRlbWlvbG9neTwva2V5d29yZD48a2V5d29yZD5Gb2xs
b3ctVXAgU3R1ZGllczwva2V5d29yZD48a2V5d29yZD5HbHVjb3NlIEludG9sZXJhbmNlL2VwaWRl
bWlvbG9neS9ldGlvbG9neS9waHlzaW9wYXRob2xvZ3k8L2tleXdvcmQ+PGtleXdvcmQ+SHVtYW5z
PC9rZXl3b3JkPjxrZXl3b3JkPkluY2lkZW5jZTwva2V5d29yZD48a2V5d29yZD5JbmZhbnQsIE5l
d2Jvcm48L2tleXdvcmQ+PGtleXdvcmQ+SXJvbiwgRGlldGFyeS8qYWR2ZXJzZSBlZmZlY3RzL3Ro
ZXJhcGV1dGljIHVzZTwva2V5d29yZD48a2V5d29yZD5NYWxlPC9rZXl3b3JkPjxrZXl3b3JkPipN
YXRlcm5hbCBOdXRyaXRpb25hbCBQaHlzaW9sb2dpY2FsIFBoZW5vbWVuYTwva2V5d29yZD48a2V5
d29yZD5QcmVnbmFuY3k8L2tleXdvcmQ+PGtleXdvcmQ+UmlzayBGYWN0b3JzPC9rZXl3b3JkPjxr
ZXl3b3JkPldlaWdodCBHYWluPC9rZXl3b3JkPjxrZXl3b3JkPllvdW5nIEFkdWx0PC9rZXl3b3Jk
PjxrZXl3b3JkPmdlc3RhdGlvbmFsIGRpYWJldGVzPC9rZXl3b3JkPjxrZXl3b3JkPmdsdWNvc2Ug
aW50b2xlcmFuY2U8L2tleXdvcmQ+PGtleXdvcmQ+aXJvbiBzdXBwbGVtZW50YXRpb248L2tleXdv
cmQ+PGtleXdvcmQ+cmFuZG9taXNlZCBjb250cm9sbGVkIHRyaWFsPC9rZXl3b3JkPjwva2V5d29y
ZHM+PGRhdGVzPjx5ZWFyPjIwMTY8L3llYXI+PHB1Yi1kYXRlcz48ZGF0ZT5KYW48L2RhdGU+PC9w
dWItZGF0ZXM+PC9kYXRlcz48aXNibj4xNzQwLTg3MDkgKEVsZWN0cm9uaWMpJiN4RDsxNzQwLTg2
OTUgKExpbmtpbmcpPC9pc2JuPjxhY2Nlc3Npb24tbnVtPjI0OTk1NzAwPC9hY2Nlc3Npb24tbnVt
Pjx1cmxzPjxyZWxhdGVkLXVybHM+PHVybD5odHRwczovL3d3dy5uY2JpLm5sbS5uaWguZ292L3B1
Ym1lZC8yNDk5NTcwMDwvdXJsPjwvcmVsYXRlZC11cmxzPjwvdXJscz48ZWxlY3Ryb25pYy1yZXNv
dXJjZS1udW0+MTAuMTExMS9tY24uMTIxMzk8L2VsZWN0cm9uaWMtcmVzb3VyY2UtbnVtPjwvcmVj
b3JkPjwvQ2l0ZT48L0VuZE5vdGU+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181</w:t>
            </w:r>
            <w:r w:rsidR="00201490">
              <w:fldChar w:fldCharType="end"/>
            </w:r>
          </w:p>
          <w:p w14:paraId="7202B6B2" w14:textId="79E55B94" w:rsidR="00541F5F" w:rsidRDefault="00541F5F" w:rsidP="00541F5F">
            <w:r>
              <w:t>Finland</w:t>
            </w:r>
          </w:p>
        </w:tc>
        <w:tc>
          <w:tcPr>
            <w:tcW w:w="1528" w:type="dxa"/>
          </w:tcPr>
          <w:p w14:paraId="0B30F398" w14:textId="77777777" w:rsidR="00541F5F" w:rsidRDefault="00541F5F" w:rsidP="00A118C5">
            <w:r>
              <w:t>Selective 1,358</w:t>
            </w:r>
          </w:p>
          <w:p w14:paraId="6D27BDC0" w14:textId="778BFDD9" w:rsidR="00B4503E" w:rsidRDefault="00541F5F" w:rsidP="00A118C5">
            <w:r>
              <w:t xml:space="preserve">Routine 1,336 </w:t>
            </w:r>
          </w:p>
        </w:tc>
        <w:tc>
          <w:tcPr>
            <w:tcW w:w="4680" w:type="dxa"/>
          </w:tcPr>
          <w:p w14:paraId="7A8E8958" w14:textId="77777777" w:rsidR="00541F5F" w:rsidRDefault="00541F5F" w:rsidP="00541F5F">
            <w:r w:rsidRPr="00541F5F">
              <w:rPr>
                <w:b/>
              </w:rPr>
              <w:t>Aim</w:t>
            </w:r>
            <w:r>
              <w:t>: To re-analyse</w:t>
            </w:r>
            <w:r w:rsidRPr="00541F5F">
              <w:t xml:space="preserve"> data from a randomised controlled trial of iron supplementation to see whether it supports the </w:t>
            </w:r>
            <w:r>
              <w:t xml:space="preserve">associated </w:t>
            </w:r>
            <w:r w:rsidRPr="00541F5F">
              <w:t xml:space="preserve">risk </w:t>
            </w:r>
            <w:r>
              <w:t xml:space="preserve">of gestational diabetes </w:t>
            </w:r>
            <w:r w:rsidRPr="00541F5F">
              <w:t xml:space="preserve">found in observational studies. </w:t>
            </w:r>
          </w:p>
          <w:p w14:paraId="00FF3F2B" w14:textId="77777777" w:rsidR="00541F5F" w:rsidRDefault="00541F5F" w:rsidP="00541F5F">
            <w:r w:rsidRPr="00541F5F">
              <w:rPr>
                <w:b/>
              </w:rPr>
              <w:t>Population</w:t>
            </w:r>
            <w:r>
              <w:t>: Pregnant women</w:t>
            </w:r>
          </w:p>
          <w:p w14:paraId="28A76EF4" w14:textId="50965ADA" w:rsidR="00B4503E" w:rsidRPr="004A2A1A" w:rsidRDefault="00541F5F" w:rsidP="00541F5F">
            <w:pPr>
              <w:rPr>
                <w:b/>
              </w:rPr>
            </w:pPr>
            <w:r w:rsidRPr="00541F5F">
              <w:rPr>
                <w:b/>
              </w:rPr>
              <w:t>Intervention</w:t>
            </w:r>
            <w:r>
              <w:t>: E</w:t>
            </w:r>
            <w:r w:rsidRPr="00541F5F">
              <w:t xml:space="preserve">lemental iron 50 mg twice a day only if diagnosed as anaemic, continuing until their haemoglobin increased to 110 g L(-1)) </w:t>
            </w:r>
            <w:r>
              <w:t xml:space="preserve">(selective group) </w:t>
            </w:r>
            <w:r w:rsidRPr="00541F5F">
              <w:t>or elemental iron 100 mg day(-1) throughout the pregnancy regardless of haemoglobin level</w:t>
            </w:r>
            <w:r>
              <w:t xml:space="preserve"> (routine group</w:t>
            </w:r>
            <w:r w:rsidRPr="00541F5F">
              <w:t xml:space="preserve">). </w:t>
            </w:r>
          </w:p>
        </w:tc>
        <w:tc>
          <w:tcPr>
            <w:tcW w:w="4536" w:type="dxa"/>
          </w:tcPr>
          <w:p w14:paraId="33284220" w14:textId="77777777" w:rsidR="00541F5F" w:rsidRDefault="00541F5F" w:rsidP="00541F5F">
            <w:r>
              <w:t>Selective vs routine:</w:t>
            </w:r>
          </w:p>
          <w:p w14:paraId="07DF7B5C" w14:textId="1539E80F" w:rsidR="00F160A8" w:rsidRDefault="00F160A8" w:rsidP="00F160A8">
            <w:pPr>
              <w:pStyle w:val="bullet"/>
            </w:pPr>
            <w:r>
              <w:t>Glucose intolerance</w:t>
            </w:r>
            <w:r w:rsidR="006E0465">
              <w:t>-related outcomes</w:t>
            </w:r>
            <w:r>
              <w:t>: 13.0 vs</w:t>
            </w:r>
            <w:r w:rsidR="00541F5F" w:rsidRPr="00541F5F">
              <w:t xml:space="preserve"> 11.0%, </w:t>
            </w:r>
            <w:r>
              <w:t>p=</w:t>
            </w:r>
            <w:r w:rsidR="00541F5F" w:rsidRPr="00541F5F">
              <w:t>0</w:t>
            </w:r>
            <w:r>
              <w:t>.12</w:t>
            </w:r>
            <w:r w:rsidR="00541F5F" w:rsidRPr="00541F5F">
              <w:t xml:space="preserve"> </w:t>
            </w:r>
          </w:p>
          <w:p w14:paraId="2A7765B4" w14:textId="77777777" w:rsidR="00B4503E" w:rsidRDefault="00F160A8" w:rsidP="00F160A8">
            <w:pPr>
              <w:pStyle w:val="bullet"/>
            </w:pPr>
            <w:r>
              <w:t>L</w:t>
            </w:r>
            <w:r w:rsidR="00541F5F" w:rsidRPr="00541F5F">
              <w:t>arge-for-gestational-age</w:t>
            </w:r>
            <w:r>
              <w:t>: 8.3 vs</w:t>
            </w:r>
            <w:r w:rsidR="00541F5F" w:rsidRPr="00541F5F">
              <w:t xml:space="preserve"> 8.2%, </w:t>
            </w:r>
            <w:r>
              <w:t>p=</w:t>
            </w:r>
            <w:r w:rsidR="006E0465">
              <w:t>0.95</w:t>
            </w:r>
          </w:p>
          <w:p w14:paraId="3A585863" w14:textId="41856835" w:rsidR="006E0465" w:rsidRPr="00541F5F" w:rsidRDefault="006E0465" w:rsidP="00F160A8">
            <w:pPr>
              <w:pStyle w:val="bullet"/>
            </w:pPr>
            <w:r>
              <w:t>Macrosomia (&gt;4,000 g): 21.3 vs 22.1%; p=0.60</w:t>
            </w:r>
          </w:p>
        </w:tc>
        <w:tc>
          <w:tcPr>
            <w:tcW w:w="1843" w:type="dxa"/>
          </w:tcPr>
          <w:p w14:paraId="6A43AE52" w14:textId="77777777" w:rsidR="00B4503E" w:rsidRPr="00D150D8" w:rsidRDefault="00B4503E" w:rsidP="00A118C5"/>
        </w:tc>
      </w:tr>
      <w:tr w:rsidR="00FE60A2" w:rsidRPr="00D150D8" w14:paraId="3DF020DA" w14:textId="77777777" w:rsidTr="004C699A">
        <w:trPr>
          <w:cantSplit/>
        </w:trPr>
        <w:tc>
          <w:tcPr>
            <w:tcW w:w="1305" w:type="dxa"/>
          </w:tcPr>
          <w:p w14:paraId="2A14008C" w14:textId="163AD4D9" w:rsidR="00FE60A2" w:rsidRDefault="00FE60A2" w:rsidP="00541F5F">
            <w:r>
              <w:t>Parisi et al 2017</w:t>
            </w:r>
            <w:r w:rsidR="00201490">
              <w:fldChar w:fldCharType="begin">
                <w:fldData xml:space="preserve">PEVuZE5vdGU+PENpdGU+PEF1dGhvcj5QYXJpc2k8L0F1dGhvcj48WWVhcj4yMDE3PC9ZZWFyPjxS
ZWNOdW0+MTYzNTwvUmVjTnVtPjxEaXNwbGF5VGV4dD48c3R5bGUgZmFjZT0ic3VwZXJzY3JpcHQi
IGZvbnQ9IlRyZWJ1Y2hldCBNUyIgc2l6ZT0iOSI+MTgyPC9zdHlsZT48L0Rpc3BsYXlUZXh0Pjxy
ZWNvcmQ+PHJlYy1udW1iZXI+MTYzNTwvcmVjLW51bWJlcj48Zm9yZWlnbi1rZXlzPjxrZXkgYXBw
PSJFTiIgZGItaWQ9ImV4dmFzcmZ4MmR0cmFvZXNhc3hwMnN6c3hhMmRmNTAyNTkyeCIgdGltZXN0
YW1wPSIxNTc2NzM0MzU4Ij4xNjM1PC9rZXk+PGtleSBhcHA9IkVOV2ViIiBkYi1pZD0iIj4wPC9r
ZXk+PC9mb3JlaWduLWtleXM+PHJlZi10eXBlIG5hbWU9IkpvdXJuYWwgQXJ0aWNsZSI+MTc8L3Jl
Zi10eXBlPjxjb250cmlidXRvcnM+PGF1dGhvcnM+PGF1dGhvcj5QYXJpc2ksIEYuPC9hdXRob3I+
PGF1dGhvcj5CZXJ0aSwgQy48L2F1dGhvcj48YXV0aG9yPk1hbmRvLCBDLjwvYXV0aG9yPjxhdXRo
b3I+TWFydGluZWxsaSwgQS48L2F1dGhvcj48YXV0aG9yPk1henphbGksIEMuPC9hdXRob3I+PGF1
dGhvcj5DZXRpbiwgSS48L2F1dGhvcj48L2F1dGhvcnM+PC9jb250cmlidXRvcnM+PGF1dGgtYWRk
cmVzcz5hIFVuaXQgb2YgT2JzdGV0cmljcyBhbmQgR3luZWNvbG9neSwgRGVwYXJ0bWVudCBvZiBC
aW9tZWRpY2FsIGFuZCBDbGluaWNhbCBTY2llbmNlcywgQ2VudGVyIGZvciBGZXRhbCBSZXNlYXJj
aCBHaW9yZ2lvIFBhcmRpLCBIb3NwaXRhbCBMdWlnaSBTYWNjbywgVW5pdmVyc2l0YSBkZWdsaSBT
dHVkaSBkaSBNaWxhbm8gLCBNaWxhbiAsIEl0YWx5IGFuZC4mI3hEO2IgVW5pdCBvZiBTdGF0aXN0
aWNzIGFuZCBCaW9tZXRyaWNzLCBEZXBhcnRtZW50IG9mIEJpb21lZGljYWwgYW5kIENsaW5pY2Fs
IFNjaWVuY2VzLCBIb3NwaXRhbCBMdWlnaSBTYWNjbywgVW5pdmVyc2l0YSBkZWdsaSBTdHVkaSBk
aSBNaWxhbm8gLCBNaWxhbiAsIEl0YWx5LjwvYXV0aC1hZGRyZXNzPjx0aXRsZXM+PHRpdGxlPkVm
ZmVjdHMgb2YgZGlmZmVyZW50IHJlZ2ltZW5zIG9mIGlyb24gcHJvcGh5bGF4aXMgb24gbWF0ZXJu
YWwgaXJvbiBzdGF0dXMgYW5kIHByZWduYW5jeSBvdXRjb21lOiBhIHJhbmRvbWl6ZWQgY29udHJv
bCB0cmlhbDwvdGl0bGU+PHNlY29uZGFyeS10aXRsZT5KIE1hdGVybiBGZXRhbCBOZW9uYXRhbCBN
ZWQ8L3NlY29uZGFyeS10aXRsZT48L3RpdGxlcz48cGVyaW9kaWNhbD48ZnVsbC10aXRsZT5KIE1h
dGVybiBGZXRhbCBOZW9uYXRhbCBNZWQ8L2Z1bGwtdGl0bGU+PC9wZXJpb2RpY2FsPjxwYWdlcz4x
Nzg3LTE3OTI8L3BhZ2VzPjx2b2x1bWU+MzA8L3ZvbHVtZT48bnVtYmVyPjE1PC9udW1iZXI+PGVk
aXRpb24+MjAxNi8wOS8wMzwvZWRpdGlvbj48a2V5d29yZHM+PGtleXdvcmQ+QWRvbGVzY2VudDwv
a2V5d29yZD48a2V5d29yZD5BZHVsdDwva2V5d29yZD48a2V5d29yZD5BbmVtaWEsIElyb24tRGVm
aWNpZW5jeS9ibG9vZC8qcHJldmVudGlvbiAmYW1wOyBjb250cm9sPC9rZXl3b3JkPjxrZXl3b3Jk
PkJpcnRoIFdlaWdodDwva2V5d29yZD48a2V5d29yZD5EaWV0YXJ5IFN1cHBsZW1lbnRzPC9rZXl3
b3JkPjxrZXl3b3JkPkZlbWFsZTwva2V5d29yZD48a2V5d29yZD5GZXJyaXRpbnMvYmxvb2Q8L2tl
eXdvcmQ+PGtleXdvcmQ+R2VzdGF0aW9uYWwgQWdlPC9rZXl3b3JkPjxrZXl3b3JkPkhlbW9nbG9i
aW5zL2FuYWx5c2lzPC9rZXl3b3JkPjxrZXl3b3JkPkh1bWFuczwva2V5d29yZD48a2V5d29yZD5J
cm9uLyphZG1pbmlzdHJhdGlvbiAmYW1wOyBkb3NhZ2U8L2tleXdvcmQ+PGtleXdvcmQ+TWlkZGxl
IEFnZWQ8L2tleXdvcmQ+PGtleXdvcmQ+Kk51dHJpdGlvbmFsIFN0YXR1czwva2V5d29yZD48a2V5
d29yZD5QcmVnbmFuY3k8L2tleXdvcmQ+PGtleXdvcmQ+UHJlZ25hbmN5IENvbXBsaWNhdGlvbnMs
IEhlbWF0b2xvZ2ljL2Jsb29kLypwcmV2ZW50aW9uICZhbXA7IGNvbnRyb2w8L2tleXdvcmQ+PGtl
eXdvcmQ+KlByZWduYW5jeSBPdXRjb21lPC9rZXl3b3JkPjxrZXl3b3JkPkFuZW1pYTwva2V5d29y
ZD48a2V5d29yZD5pcm9uIGRlZmljaWVuY3kgYW5lbWlhPC9rZXl3b3JkPjxrZXl3b3JkPmlyb24g
c3VwcGxlbWVudGF0aW9uPC9rZXl3b3JkPjxrZXl3b3JkPmxpcG9zb21hbCBpcm9uPC9rZXl3b3Jk
Pjwva2V5d29yZHM+PGRhdGVzPjx5ZWFyPjIwMTc8L3llYXI+PHB1Yi1kYXRlcz48ZGF0ZT5BdWc8
L2RhdGU+PC9wdWItZGF0ZXM+PC9kYXRlcz48aXNibj4xNDc2LTQ5NTQgKEVsZWN0cm9uaWMpJiN4
RDsxNDc2LTQ5NTQgKExpbmtpbmcpPC9pc2JuPjxhY2Nlc3Npb24tbnVtPjI3NTg4NTY4PC9hY2Nl
c3Npb24tbnVtPjx1cmxzPjxyZWxhdGVkLXVybHM+PHVybD5odHRwczovL3d3dy5uY2JpLm5sbS5u
aWguZ292L3B1Ym1lZC8yNzU4ODU2ODwvdXJsPjwvcmVsYXRlZC11cmxzPjwvdXJscz48ZWxlY3Ry
b25pYy1yZXNvdXJjZS1udW0+MTAuMTA4MC8xNDc2NzA1OC4yMDE2LjEyMjQ4NDE8L2VsZWN0cm9u
aWMtcmVzb3VyY2UtbnVtPjwvcmVjb3JkPjwvQ2l0ZT48L0VuZE5vdGU+
</w:fldData>
              </w:fldChar>
            </w:r>
            <w:r w:rsidR="002747EA">
              <w:instrText xml:space="preserve"> ADDIN EN.CITE </w:instrText>
            </w:r>
            <w:r w:rsidR="002747EA">
              <w:fldChar w:fldCharType="begin">
                <w:fldData xml:space="preserve">PEVuZE5vdGU+PENpdGU+PEF1dGhvcj5QYXJpc2k8L0F1dGhvcj48WWVhcj4yMDE3PC9ZZWFyPjxS
ZWNOdW0+MTYzNTwvUmVjTnVtPjxEaXNwbGF5VGV4dD48c3R5bGUgZmFjZT0ic3VwZXJzY3JpcHQi
IGZvbnQ9IlRyZWJ1Y2hldCBNUyIgc2l6ZT0iOSI+MTgyPC9zdHlsZT48L0Rpc3BsYXlUZXh0Pjxy
ZWNvcmQ+PHJlYy1udW1iZXI+MTYzNTwvcmVjLW51bWJlcj48Zm9yZWlnbi1rZXlzPjxrZXkgYXBw
PSJFTiIgZGItaWQ9ImV4dmFzcmZ4MmR0cmFvZXNhc3hwMnN6c3hhMmRmNTAyNTkyeCIgdGltZXN0
YW1wPSIxNTc2NzM0MzU4Ij4xNjM1PC9rZXk+PGtleSBhcHA9IkVOV2ViIiBkYi1pZD0iIj4wPC9r
ZXk+PC9mb3JlaWduLWtleXM+PHJlZi10eXBlIG5hbWU9IkpvdXJuYWwgQXJ0aWNsZSI+MTc8L3Jl
Zi10eXBlPjxjb250cmlidXRvcnM+PGF1dGhvcnM+PGF1dGhvcj5QYXJpc2ksIEYuPC9hdXRob3I+
PGF1dGhvcj5CZXJ0aSwgQy48L2F1dGhvcj48YXV0aG9yPk1hbmRvLCBDLjwvYXV0aG9yPjxhdXRo
b3I+TWFydGluZWxsaSwgQS48L2F1dGhvcj48YXV0aG9yPk1henphbGksIEMuPC9hdXRob3I+PGF1
dGhvcj5DZXRpbiwgSS48L2F1dGhvcj48L2F1dGhvcnM+PC9jb250cmlidXRvcnM+PGF1dGgtYWRk
cmVzcz5hIFVuaXQgb2YgT2JzdGV0cmljcyBhbmQgR3luZWNvbG9neSwgRGVwYXJ0bWVudCBvZiBC
aW9tZWRpY2FsIGFuZCBDbGluaWNhbCBTY2llbmNlcywgQ2VudGVyIGZvciBGZXRhbCBSZXNlYXJj
aCBHaW9yZ2lvIFBhcmRpLCBIb3NwaXRhbCBMdWlnaSBTYWNjbywgVW5pdmVyc2l0YSBkZWdsaSBT
dHVkaSBkaSBNaWxhbm8gLCBNaWxhbiAsIEl0YWx5IGFuZC4mI3hEO2IgVW5pdCBvZiBTdGF0aXN0
aWNzIGFuZCBCaW9tZXRyaWNzLCBEZXBhcnRtZW50IG9mIEJpb21lZGljYWwgYW5kIENsaW5pY2Fs
IFNjaWVuY2VzLCBIb3NwaXRhbCBMdWlnaSBTYWNjbywgVW5pdmVyc2l0YSBkZWdsaSBTdHVkaSBk
aSBNaWxhbm8gLCBNaWxhbiAsIEl0YWx5LjwvYXV0aC1hZGRyZXNzPjx0aXRsZXM+PHRpdGxlPkVm
ZmVjdHMgb2YgZGlmZmVyZW50IHJlZ2ltZW5zIG9mIGlyb24gcHJvcGh5bGF4aXMgb24gbWF0ZXJu
YWwgaXJvbiBzdGF0dXMgYW5kIHByZWduYW5jeSBvdXRjb21lOiBhIHJhbmRvbWl6ZWQgY29udHJv
bCB0cmlhbDwvdGl0bGU+PHNlY29uZGFyeS10aXRsZT5KIE1hdGVybiBGZXRhbCBOZW9uYXRhbCBN
ZWQ8L3NlY29uZGFyeS10aXRsZT48L3RpdGxlcz48cGVyaW9kaWNhbD48ZnVsbC10aXRsZT5KIE1h
dGVybiBGZXRhbCBOZW9uYXRhbCBNZWQ8L2Z1bGwtdGl0bGU+PC9wZXJpb2RpY2FsPjxwYWdlcz4x
Nzg3LTE3OTI8L3BhZ2VzPjx2b2x1bWU+MzA8L3ZvbHVtZT48bnVtYmVyPjE1PC9udW1iZXI+PGVk
aXRpb24+MjAxNi8wOS8wMzwvZWRpdGlvbj48a2V5d29yZHM+PGtleXdvcmQ+QWRvbGVzY2VudDwv
a2V5d29yZD48a2V5d29yZD5BZHVsdDwva2V5d29yZD48a2V5d29yZD5BbmVtaWEsIElyb24tRGVm
aWNpZW5jeS9ibG9vZC8qcHJldmVudGlvbiAmYW1wOyBjb250cm9sPC9rZXl3b3JkPjxrZXl3b3Jk
PkJpcnRoIFdlaWdodDwva2V5d29yZD48a2V5d29yZD5EaWV0YXJ5IFN1cHBsZW1lbnRzPC9rZXl3
b3JkPjxrZXl3b3JkPkZlbWFsZTwva2V5d29yZD48a2V5d29yZD5GZXJyaXRpbnMvYmxvb2Q8L2tl
eXdvcmQ+PGtleXdvcmQ+R2VzdGF0aW9uYWwgQWdlPC9rZXl3b3JkPjxrZXl3b3JkPkhlbW9nbG9i
aW5zL2FuYWx5c2lzPC9rZXl3b3JkPjxrZXl3b3JkPkh1bWFuczwva2V5d29yZD48a2V5d29yZD5J
cm9uLyphZG1pbmlzdHJhdGlvbiAmYW1wOyBkb3NhZ2U8L2tleXdvcmQ+PGtleXdvcmQ+TWlkZGxl
IEFnZWQ8L2tleXdvcmQ+PGtleXdvcmQ+Kk51dHJpdGlvbmFsIFN0YXR1czwva2V5d29yZD48a2V5
d29yZD5QcmVnbmFuY3k8L2tleXdvcmQ+PGtleXdvcmQ+UHJlZ25hbmN5IENvbXBsaWNhdGlvbnMs
IEhlbWF0b2xvZ2ljL2Jsb29kLypwcmV2ZW50aW9uICZhbXA7IGNvbnRyb2w8L2tleXdvcmQ+PGtl
eXdvcmQ+KlByZWduYW5jeSBPdXRjb21lPC9rZXl3b3JkPjxrZXl3b3JkPkFuZW1pYTwva2V5d29y
ZD48a2V5d29yZD5pcm9uIGRlZmljaWVuY3kgYW5lbWlhPC9rZXl3b3JkPjxrZXl3b3JkPmlyb24g
c3VwcGxlbWVudGF0aW9uPC9rZXl3b3JkPjxrZXl3b3JkPmxpcG9zb21hbCBpcm9uPC9rZXl3b3Jk
Pjwva2V5d29yZHM+PGRhdGVzPjx5ZWFyPjIwMTc8L3llYXI+PHB1Yi1kYXRlcz48ZGF0ZT5BdWc8
L2RhdGU+PC9wdWItZGF0ZXM+PC9kYXRlcz48aXNibj4xNDc2LTQ5NTQgKEVsZWN0cm9uaWMpJiN4
RDsxNDc2LTQ5NTQgKExpbmtpbmcpPC9pc2JuPjxhY2Nlc3Npb24tbnVtPjI3NTg4NTY4PC9hY2Nl
c3Npb24tbnVtPjx1cmxzPjxyZWxhdGVkLXVybHM+PHVybD5odHRwczovL3d3dy5uY2JpLm5sbS5u
aWguZ292L3B1Ym1lZC8yNzU4ODU2ODwvdXJsPjwvcmVsYXRlZC11cmxzPjwvdXJscz48ZWxlY3Ry
b25pYy1yZXNvdXJjZS1udW0+MTAuMTA4MC8xNDc2NzA1OC4yMDE2LjEyMjQ4NDE8L2VsZWN0cm9u
aWMtcmVzb3VyY2UtbnVtPjwvcmVjb3JkPjwvQ2l0ZT48L0VuZE5vdGU+
</w:fldData>
              </w:fldChar>
            </w:r>
            <w:r w:rsidR="002747EA">
              <w:instrText xml:space="preserve"> ADDIN EN.CITE.DATA </w:instrText>
            </w:r>
            <w:r w:rsidR="002747EA">
              <w:fldChar w:fldCharType="end"/>
            </w:r>
            <w:r w:rsidR="00201490">
              <w:fldChar w:fldCharType="separate"/>
            </w:r>
            <w:r w:rsidR="002747EA" w:rsidRPr="002747EA">
              <w:rPr>
                <w:noProof/>
                <w:vertAlign w:val="superscript"/>
              </w:rPr>
              <w:t>182</w:t>
            </w:r>
            <w:r w:rsidR="00201490">
              <w:fldChar w:fldCharType="end"/>
            </w:r>
          </w:p>
          <w:p w14:paraId="4863158A" w14:textId="5C65C26A" w:rsidR="00D60E6A" w:rsidRDefault="00D60E6A" w:rsidP="00541F5F">
            <w:r>
              <w:t>Italy</w:t>
            </w:r>
          </w:p>
        </w:tc>
        <w:tc>
          <w:tcPr>
            <w:tcW w:w="1528" w:type="dxa"/>
          </w:tcPr>
          <w:p w14:paraId="71F17D62" w14:textId="77777777" w:rsidR="00FE60A2" w:rsidRDefault="00FE60A2" w:rsidP="00A118C5">
            <w:r>
              <w:t>Ferrous iron 20</w:t>
            </w:r>
          </w:p>
          <w:p w14:paraId="13F2DEC2" w14:textId="562CC13E" w:rsidR="00FE60A2" w:rsidRDefault="00FE60A2" w:rsidP="00A118C5">
            <w:r>
              <w:t>Liposomal iron 14 mg 20</w:t>
            </w:r>
          </w:p>
          <w:p w14:paraId="0DFE51ED" w14:textId="7099A1E0" w:rsidR="00FE60A2" w:rsidRDefault="00FE60A2" w:rsidP="00A118C5">
            <w:r>
              <w:t>Liposomal iron 28 mg</w:t>
            </w:r>
          </w:p>
          <w:p w14:paraId="1C3E17E4" w14:textId="463AE0ED" w:rsidR="00FE60A2" w:rsidRDefault="00FE60A2" w:rsidP="00A118C5">
            <w:r>
              <w:t>Control 20</w:t>
            </w:r>
          </w:p>
        </w:tc>
        <w:tc>
          <w:tcPr>
            <w:tcW w:w="4680" w:type="dxa"/>
          </w:tcPr>
          <w:p w14:paraId="78898AE3" w14:textId="1EBA0880" w:rsidR="00FE60A2" w:rsidRDefault="00FE60A2" w:rsidP="00541F5F">
            <w:r w:rsidRPr="00FE60A2">
              <w:rPr>
                <w:b/>
              </w:rPr>
              <w:t>Aim</w:t>
            </w:r>
            <w:r>
              <w:t>: To compare</w:t>
            </w:r>
            <w:r w:rsidRPr="00FE60A2">
              <w:t xml:space="preserve"> different regimens of iron supplementation on maternal h</w:t>
            </w:r>
            <w:r w:rsidR="00041B83">
              <w:t>a</w:t>
            </w:r>
            <w:r w:rsidRPr="00FE60A2">
              <w:t>ematological status and pregnancy outcome</w:t>
            </w:r>
            <w:r>
              <w:t>.</w:t>
            </w:r>
          </w:p>
          <w:p w14:paraId="71DCDCC7" w14:textId="4E335A8C" w:rsidR="00FE60A2" w:rsidRDefault="00FE60A2" w:rsidP="00FE60A2">
            <w:r w:rsidRPr="00FE60A2">
              <w:rPr>
                <w:b/>
              </w:rPr>
              <w:t>Population</w:t>
            </w:r>
            <w:r>
              <w:t>:</w:t>
            </w:r>
            <w:r w:rsidRPr="00FE60A2">
              <w:t xml:space="preserve"> </w:t>
            </w:r>
            <w:r>
              <w:t>N</w:t>
            </w:r>
            <w:r w:rsidRPr="00FE60A2">
              <w:t>on-an</w:t>
            </w:r>
            <w:r>
              <w:t>a</w:t>
            </w:r>
            <w:r w:rsidRPr="00FE60A2">
              <w:t>emic women with a normal singleton pregnancy recruited at 11-13 weeks</w:t>
            </w:r>
            <w:r>
              <w:t>.</w:t>
            </w:r>
          </w:p>
          <w:p w14:paraId="1527479E" w14:textId="5969981A" w:rsidR="00FE60A2" w:rsidRPr="00541F5F" w:rsidRDefault="00FE60A2" w:rsidP="008A724B">
            <w:pPr>
              <w:rPr>
                <w:b/>
              </w:rPr>
            </w:pPr>
            <w:r w:rsidRPr="008A724B">
              <w:rPr>
                <w:b/>
              </w:rPr>
              <w:t>Intervention</w:t>
            </w:r>
            <w:r>
              <w:t xml:space="preserve">: </w:t>
            </w:r>
            <w:r w:rsidRPr="00FE60A2">
              <w:t>ferrous iron 30 mg</w:t>
            </w:r>
            <w:r w:rsidR="00041B83">
              <w:t>/daily;</w:t>
            </w:r>
            <w:r w:rsidRPr="00FE60A2">
              <w:t xml:space="preserve"> liposomal iron 14 mg</w:t>
            </w:r>
            <w:r w:rsidR="008A724B">
              <w:t>/daily</w:t>
            </w:r>
            <w:r w:rsidRPr="00FE60A2">
              <w:t xml:space="preserve"> </w:t>
            </w:r>
            <w:r w:rsidR="00041B83">
              <w:t>or liposomal iron 28 mg/daily</w:t>
            </w:r>
            <w:r w:rsidRPr="00FE60A2">
              <w:t xml:space="preserve"> up to 6 weeks post-partum. </w:t>
            </w:r>
          </w:p>
        </w:tc>
        <w:tc>
          <w:tcPr>
            <w:tcW w:w="4536" w:type="dxa"/>
          </w:tcPr>
          <w:p w14:paraId="1EF33E4F" w14:textId="70E55C54" w:rsidR="00FE60A2" w:rsidRPr="00FE60A2" w:rsidRDefault="00FE60A2" w:rsidP="00D60E6A">
            <w:r w:rsidRPr="00FE60A2">
              <w:t>Both LI28 and LI14 groups showed significantly higher h</w:t>
            </w:r>
            <w:r w:rsidR="00D60E6A">
              <w:t>a</w:t>
            </w:r>
            <w:r w:rsidRPr="00FE60A2">
              <w:t>emoglobin and ferritin concentrations compared with controls. Birth weight showed a trend to increase with supplementation, resulting in higher birth weight in the LI28 group compared with controls (3499</w:t>
            </w:r>
            <w:r w:rsidR="00D60E6A">
              <w:t>±</w:t>
            </w:r>
            <w:r w:rsidRPr="00FE60A2">
              <w:t>464.1 g and 3092</w:t>
            </w:r>
            <w:r w:rsidR="00D60E6A">
              <w:t>±</w:t>
            </w:r>
            <w:r w:rsidRPr="00FE60A2">
              <w:t xml:space="preserve">469.5 g, respectively, p &lt; 0.01). </w:t>
            </w:r>
          </w:p>
        </w:tc>
        <w:tc>
          <w:tcPr>
            <w:tcW w:w="1843" w:type="dxa"/>
          </w:tcPr>
          <w:p w14:paraId="74AA223B" w14:textId="77777777" w:rsidR="00FE60A2" w:rsidRPr="00D150D8" w:rsidRDefault="00FE60A2" w:rsidP="00A118C5"/>
        </w:tc>
      </w:tr>
    </w:tbl>
    <w:p w14:paraId="5F275ECA" w14:textId="7FB4F9CB" w:rsidR="00D150D8" w:rsidRDefault="009C163D" w:rsidP="005719CE">
      <w:pPr>
        <w:pStyle w:val="TableName"/>
        <w:ind w:left="1134" w:hanging="1134"/>
      </w:pPr>
      <w:bookmarkStart w:id="92" w:name="_Toc40956627"/>
      <w:r>
        <w:t xml:space="preserve">Q3 </w:t>
      </w:r>
      <w:r w:rsidR="00D150D8">
        <w:t xml:space="preserve">Harms and benefits of </w:t>
      </w:r>
      <w:r w:rsidR="00BC1D42">
        <w:t>calcium</w:t>
      </w:r>
      <w:r w:rsidR="00D150D8">
        <w:t xml:space="preserve"> supplementation </w:t>
      </w:r>
      <w:r w:rsidR="00BC1D42">
        <w:t xml:space="preserve">in pregnancy </w:t>
      </w:r>
      <w:r w:rsidR="00D150D8">
        <w:t>— systematic reviews</w:t>
      </w:r>
      <w:bookmarkEnd w:id="9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49: Q3 Harms and benefits of calcium supplementation in pregnancy — systematic reviews"/>
      </w:tblPr>
      <w:tblGrid>
        <w:gridCol w:w="1305"/>
        <w:gridCol w:w="1247"/>
        <w:gridCol w:w="4961"/>
        <w:gridCol w:w="4536"/>
        <w:gridCol w:w="1843"/>
      </w:tblGrid>
      <w:tr w:rsidR="00D150D8" w:rsidRPr="00F350A6" w14:paraId="36580876" w14:textId="77777777" w:rsidTr="0042115D">
        <w:trPr>
          <w:cantSplit/>
          <w:tblHeader/>
        </w:trPr>
        <w:tc>
          <w:tcPr>
            <w:tcW w:w="1305" w:type="dxa"/>
          </w:tcPr>
          <w:p w14:paraId="046C6645" w14:textId="77777777" w:rsidR="00D150D8" w:rsidRPr="00F350A6" w:rsidRDefault="00D150D8" w:rsidP="00D150D8">
            <w:pPr>
              <w:keepNext/>
              <w:rPr>
                <w:b/>
              </w:rPr>
            </w:pPr>
            <w:r>
              <w:rPr>
                <w:b/>
              </w:rPr>
              <w:t>Study ref</w:t>
            </w:r>
          </w:p>
        </w:tc>
        <w:tc>
          <w:tcPr>
            <w:tcW w:w="1247" w:type="dxa"/>
          </w:tcPr>
          <w:p w14:paraId="4D9C1458" w14:textId="77777777" w:rsidR="00D150D8" w:rsidRPr="00F350A6" w:rsidRDefault="00D150D8" w:rsidP="00D150D8">
            <w:pPr>
              <w:keepNext/>
              <w:rPr>
                <w:b/>
              </w:rPr>
            </w:pPr>
            <w:r>
              <w:rPr>
                <w:b/>
              </w:rPr>
              <w:t>N</w:t>
            </w:r>
          </w:p>
        </w:tc>
        <w:tc>
          <w:tcPr>
            <w:tcW w:w="4961" w:type="dxa"/>
          </w:tcPr>
          <w:p w14:paraId="77C56568" w14:textId="5B99A631" w:rsidR="00D150D8" w:rsidRPr="00F350A6" w:rsidRDefault="00D150D8" w:rsidP="00534972">
            <w:pPr>
              <w:keepNext/>
              <w:rPr>
                <w:b/>
              </w:rPr>
            </w:pPr>
            <w:r>
              <w:rPr>
                <w:b/>
              </w:rPr>
              <w:t>Aim/</w:t>
            </w:r>
            <w:r w:rsidR="00534972">
              <w:rPr>
                <w:b/>
              </w:rPr>
              <w:t>methods</w:t>
            </w:r>
          </w:p>
        </w:tc>
        <w:tc>
          <w:tcPr>
            <w:tcW w:w="4536" w:type="dxa"/>
          </w:tcPr>
          <w:p w14:paraId="6AD04722" w14:textId="77777777" w:rsidR="00D150D8" w:rsidRPr="00F350A6" w:rsidRDefault="00D150D8" w:rsidP="00D150D8">
            <w:pPr>
              <w:keepNext/>
              <w:rPr>
                <w:b/>
              </w:rPr>
            </w:pPr>
            <w:r>
              <w:rPr>
                <w:b/>
              </w:rPr>
              <w:t>Results</w:t>
            </w:r>
          </w:p>
        </w:tc>
        <w:tc>
          <w:tcPr>
            <w:tcW w:w="1843" w:type="dxa"/>
          </w:tcPr>
          <w:p w14:paraId="5345C309" w14:textId="77777777" w:rsidR="00D150D8" w:rsidRPr="00F350A6" w:rsidRDefault="00D150D8" w:rsidP="00D150D8">
            <w:pPr>
              <w:keepNext/>
              <w:rPr>
                <w:b/>
              </w:rPr>
            </w:pPr>
            <w:r>
              <w:rPr>
                <w:b/>
              </w:rPr>
              <w:t>Comments</w:t>
            </w:r>
          </w:p>
        </w:tc>
      </w:tr>
      <w:tr w:rsidR="00D150D8" w:rsidRPr="00D150D8" w14:paraId="7F664194" w14:textId="77777777" w:rsidTr="00A118C5">
        <w:trPr>
          <w:cantSplit/>
        </w:trPr>
        <w:tc>
          <w:tcPr>
            <w:tcW w:w="1305" w:type="dxa"/>
          </w:tcPr>
          <w:p w14:paraId="6A4968B0" w14:textId="16B43799" w:rsidR="00D150D8" w:rsidRPr="00D150D8" w:rsidRDefault="00534972" w:rsidP="002747EA">
            <w:r>
              <w:t>Buppasiri et al 2015</w:t>
            </w:r>
            <w:r w:rsidR="00E51743">
              <w:fldChar w:fldCharType="begin">
                <w:fldData xml:space="preserve">PEVuZE5vdGU+PENpdGU+PEF1dGhvcj5CdXBwYXNpcmk8L0F1dGhvcj48WWVhcj4yMDE1PC9ZZWFy
PjxSZWNOdW0+MTMxMTwvUmVjTnVtPjxEaXNwbGF5VGV4dD48c3R5bGUgZmFjZT0ic3VwZXJzY3Jp
cHQiIGZvbnQ9IlRyZWJ1Y2hldCBNUyIgc2l6ZT0iOSI+MTg1PC9zdHlsZT48L0Rpc3BsYXlUZXh0
PjxyZWNvcmQ+PHJlYy1udW1iZXI+MTMxMTwvcmVjLW51bWJlcj48Zm9yZWlnbi1rZXlzPjxrZXkg
YXBwPSJFTiIgZGItaWQ9ImV4dmFzcmZ4MmR0cmFvZXNhc3hwMnN6c3hhMmRmNTAyNTkyeCIgdGlt
ZXN0YW1wPSIxNTY2Nzk4MjE3Ij4xMzExPC9rZXk+PGtleSBhcHA9IkVOV2ViIiBkYi1pZD0iIj4w
PC9rZXk+PC9mb3JlaWduLWtleXM+PHJlZi10eXBlIG5hbWU9IkpvdXJuYWwgQXJ0aWNsZSI+MTc8
L3JlZi10eXBlPjxjb250cmlidXRvcnM+PGF1dGhvcnM+PGF1dGhvcj5CdXBwYXNpcmksIFAuPC9h
dXRob3I+PGF1dGhvcj5MdW1iaWdhbm9uLCBQLjwvYXV0aG9yPjxhdXRob3I+VGhpbmtoYW1yb3As
IEouPC9hdXRob3I+PGF1dGhvcj5OZ2FtamFydXMsIEMuPC9hdXRob3I+PGF1dGhvcj5MYW9wYWli
b29uLCBNLjwvYXV0aG9yPjxhdXRob3I+TWVkbGV5LCBOLjwvYXV0aG9yPjwvYXV0aG9ycz48L2Nv
bnRyaWJ1dG9ycz48YXV0aC1hZGRyZXNzPkRlcGFydG1lbnQgb2YgT2JzdGV0cmljcyBhbmQgR3lu
YWVjb2xvZ3ksIEZhY3VsdHkgb2YgTWVkaWNpbmUsIEtob24gS2FlbiBVbml2ZXJzaXR5LCBGYWN1
bHR5IG9mIE1lZGljaW5lLCBLaG9uIEthZW4sIEtob24gS2FlbiwgVGhhaWxhbmQsIDQwMDAyLjwv
YXV0aC1hZGRyZXNzPjx0aXRsZXM+PHRpdGxlPkNhbGNpdW0gc3VwcGxlbWVudGF0aW9uIChvdGhl
ciB0aGFuIGZvciBwcmV2ZW50aW5nIG9yIHRyZWF0aW5nIGh5cGVydGVuc2lvbikgZm9yIGltcHJv
dmluZyBwcmVnbmFuY3kgYW5kIGluZmFudCBvdXRjb21lczwvdGl0bGU+PHNlY29uZGFyeS10aXRs
ZT5Db2NocmFuZSBEYXRhYmFzZSBTeXN0IFJldjwvc2Vjb25kYXJ5LXRpdGxlPjwvdGl0bGVzPjxw
ZXJpb2RpY2FsPjxmdWxsLXRpdGxlPkNvY2hyYW5lIERhdGFiYXNlIFN5c3QgUmV2PC9mdWxsLXRp
dGxlPjwvcGVyaW9kaWNhbD48cGFnZXM+Q0QwMDcwNzk8L3BhZ2VzPjxudW1iZXI+MjwvbnVtYmVy
PjxlZGl0aW9uPjIwMTUvMDQvMzA8L2VkaXRpb24+PGtleXdvcmRzPjxrZXl3b3JkPkJpcnRoIFdl
aWdodDwva2V5d29yZD48a2V5d29yZD5DYWxjaXVtLCBEaWV0YXJ5LyphZG1pbmlzdHJhdGlvbiAm
YW1wOyBkb3NhZ2UvYWR2ZXJzZSBlZmZlY3RzPC9rZXl3b3JkPjxrZXl3b3JkPipEaWV0YXJ5IFN1
cHBsZW1lbnRzL2FkdmVyc2UgZWZmZWN0czwva2V5d29yZD48a2V5d29yZD5GZW1hbGU8L2tleXdv
cmQ+PGtleXdvcmQ+SHVtYW5zPC9rZXl3b3JkPjxrZXl3b3JkPipJbmZhbnQsIExvdyBCaXJ0aCBX
ZWlnaHQ8L2tleXdvcmQ+PGtleXdvcmQ+SW5mYW50LCBOZXdib3JuPC9rZXl3b3JkPjxrZXl3b3Jk
PlByZS1FY2xhbXBzaWEvcHJldmVudGlvbiAmYW1wOyBjb250cm9sPC9rZXl3b3JkPjxrZXl3b3Jk
PlByZWduYW5jeTwva2V5d29yZD48a2V5d29yZD4qUHJlZ25hbmN5IE91dGNvbWU8L2tleXdvcmQ+
PGtleXdvcmQ+UHJlbWF0dXJlIEJpcnRoLypwcmV2ZW50aW9uICZhbXA7IGNvbnRyb2w8L2tleXdv
cmQ+PGtleXdvcmQ+KlByZW5hdGFsIE51dHJpdGlvbmFsIFBoeXNpb2xvZ2ljYWwgUGhlbm9tZW5h
PC9rZXl3b3JkPjxrZXl3b3JkPlJhbmRvbWl6ZWQgQ29udHJvbGxlZCBUcmlhbHMgYXMgVG9waWM8
L2tleXdvcmQ+PGtleXdvcmQ+U2Vuc2l0aXZpdHkgYW5kIFNwZWNpZmljaXR5PC9rZXl3b3JkPjwv
a2V5d29yZHM+PGRhdGVzPjx5ZWFyPjIwMTU8L3llYXI+PHB1Yi1kYXRlcz48ZGF0ZT5GZWIgMjU8
L2RhdGU+PC9wdWItZGF0ZXM+PC9kYXRlcz48aXNibj4xNDY5LTQ5M1ggKEVsZWN0cm9uaWMpJiN4
RDsxMzYxLTYxMzcgKExpbmtpbmcpPC9pc2JuPjxhY2Nlc3Npb24tbnVtPjI1OTIyODYyPC9hY2Nl
c3Npb24tbnVtPjx1cmxzPjxyZWxhdGVkLXVybHM+PHVybD5odHRwczovL3d3dy5uY2JpLm5sbS5u
aWguZ292L3B1Ym1lZC8yNTkyMjg2MjwvdXJsPjwvcmVsYXRlZC11cmxzPjwvdXJscz48ZWxlY3Ry
b25pYy1yZXNvdXJjZS1udW0+MTAuMTAwMi8xNDY1MTg1OC5DRDAwNzA3OS5wdWIzPC9lbGVjdHJv
bmljLXJlc291cmNlLW51bT48L3JlY29yZD48L0NpdGU+PC9FbmROb3RlPgB=
</w:fldData>
              </w:fldChar>
            </w:r>
            <w:r w:rsidR="002747EA">
              <w:instrText xml:space="preserve"> ADDIN EN.CITE </w:instrText>
            </w:r>
            <w:r w:rsidR="002747EA">
              <w:fldChar w:fldCharType="begin">
                <w:fldData xml:space="preserve">PEVuZE5vdGU+PENpdGU+PEF1dGhvcj5CdXBwYXNpcmk8L0F1dGhvcj48WWVhcj4yMDE1PC9ZZWFy
PjxSZWNOdW0+MTMxMTwvUmVjTnVtPjxEaXNwbGF5VGV4dD48c3R5bGUgZmFjZT0ic3VwZXJzY3Jp
cHQiIGZvbnQ9IlRyZWJ1Y2hldCBNUyIgc2l6ZT0iOSI+MTg1PC9zdHlsZT48L0Rpc3BsYXlUZXh0
PjxyZWNvcmQ+PHJlYy1udW1iZXI+MTMxMTwvcmVjLW51bWJlcj48Zm9yZWlnbi1rZXlzPjxrZXkg
YXBwPSJFTiIgZGItaWQ9ImV4dmFzcmZ4MmR0cmFvZXNhc3hwMnN6c3hhMmRmNTAyNTkyeCIgdGlt
ZXN0YW1wPSIxNTY2Nzk4MjE3Ij4xMzExPC9rZXk+PGtleSBhcHA9IkVOV2ViIiBkYi1pZD0iIj4w
PC9rZXk+PC9mb3JlaWduLWtleXM+PHJlZi10eXBlIG5hbWU9IkpvdXJuYWwgQXJ0aWNsZSI+MTc8
L3JlZi10eXBlPjxjb250cmlidXRvcnM+PGF1dGhvcnM+PGF1dGhvcj5CdXBwYXNpcmksIFAuPC9h
dXRob3I+PGF1dGhvcj5MdW1iaWdhbm9uLCBQLjwvYXV0aG9yPjxhdXRob3I+VGhpbmtoYW1yb3As
IEouPC9hdXRob3I+PGF1dGhvcj5OZ2FtamFydXMsIEMuPC9hdXRob3I+PGF1dGhvcj5MYW9wYWli
b29uLCBNLjwvYXV0aG9yPjxhdXRob3I+TWVkbGV5LCBOLjwvYXV0aG9yPjwvYXV0aG9ycz48L2Nv
bnRyaWJ1dG9ycz48YXV0aC1hZGRyZXNzPkRlcGFydG1lbnQgb2YgT2JzdGV0cmljcyBhbmQgR3lu
YWVjb2xvZ3ksIEZhY3VsdHkgb2YgTWVkaWNpbmUsIEtob24gS2FlbiBVbml2ZXJzaXR5LCBGYWN1
bHR5IG9mIE1lZGljaW5lLCBLaG9uIEthZW4sIEtob24gS2FlbiwgVGhhaWxhbmQsIDQwMDAyLjwv
YXV0aC1hZGRyZXNzPjx0aXRsZXM+PHRpdGxlPkNhbGNpdW0gc3VwcGxlbWVudGF0aW9uIChvdGhl
ciB0aGFuIGZvciBwcmV2ZW50aW5nIG9yIHRyZWF0aW5nIGh5cGVydGVuc2lvbikgZm9yIGltcHJv
dmluZyBwcmVnbmFuY3kgYW5kIGluZmFudCBvdXRjb21lczwvdGl0bGU+PHNlY29uZGFyeS10aXRs
ZT5Db2NocmFuZSBEYXRhYmFzZSBTeXN0IFJldjwvc2Vjb25kYXJ5LXRpdGxlPjwvdGl0bGVzPjxw
ZXJpb2RpY2FsPjxmdWxsLXRpdGxlPkNvY2hyYW5lIERhdGFiYXNlIFN5c3QgUmV2PC9mdWxsLXRp
dGxlPjwvcGVyaW9kaWNhbD48cGFnZXM+Q0QwMDcwNzk8L3BhZ2VzPjxudW1iZXI+MjwvbnVtYmVy
PjxlZGl0aW9uPjIwMTUvMDQvMzA8L2VkaXRpb24+PGtleXdvcmRzPjxrZXl3b3JkPkJpcnRoIFdl
aWdodDwva2V5d29yZD48a2V5d29yZD5DYWxjaXVtLCBEaWV0YXJ5LyphZG1pbmlzdHJhdGlvbiAm
YW1wOyBkb3NhZ2UvYWR2ZXJzZSBlZmZlY3RzPC9rZXl3b3JkPjxrZXl3b3JkPipEaWV0YXJ5IFN1
cHBsZW1lbnRzL2FkdmVyc2UgZWZmZWN0czwva2V5d29yZD48a2V5d29yZD5GZW1hbGU8L2tleXdv
cmQ+PGtleXdvcmQ+SHVtYW5zPC9rZXl3b3JkPjxrZXl3b3JkPipJbmZhbnQsIExvdyBCaXJ0aCBX
ZWlnaHQ8L2tleXdvcmQ+PGtleXdvcmQ+SW5mYW50LCBOZXdib3JuPC9rZXl3b3JkPjxrZXl3b3Jk
PlByZS1FY2xhbXBzaWEvcHJldmVudGlvbiAmYW1wOyBjb250cm9sPC9rZXl3b3JkPjxrZXl3b3Jk
PlByZWduYW5jeTwva2V5d29yZD48a2V5d29yZD4qUHJlZ25hbmN5IE91dGNvbWU8L2tleXdvcmQ+
PGtleXdvcmQ+UHJlbWF0dXJlIEJpcnRoLypwcmV2ZW50aW9uICZhbXA7IGNvbnRyb2w8L2tleXdv
cmQ+PGtleXdvcmQ+KlByZW5hdGFsIE51dHJpdGlvbmFsIFBoeXNpb2xvZ2ljYWwgUGhlbm9tZW5h
PC9rZXl3b3JkPjxrZXl3b3JkPlJhbmRvbWl6ZWQgQ29udHJvbGxlZCBUcmlhbHMgYXMgVG9waWM8
L2tleXdvcmQ+PGtleXdvcmQ+U2Vuc2l0aXZpdHkgYW5kIFNwZWNpZmljaXR5PC9rZXl3b3JkPjwv
a2V5d29yZHM+PGRhdGVzPjx5ZWFyPjIwMTU8L3llYXI+PHB1Yi1kYXRlcz48ZGF0ZT5GZWIgMjU8
L2RhdGU+PC9wdWItZGF0ZXM+PC9kYXRlcz48aXNibj4xNDY5LTQ5M1ggKEVsZWN0cm9uaWMpJiN4
RDsxMzYxLTYxMzcgKExpbmtpbmcpPC9pc2JuPjxhY2Nlc3Npb24tbnVtPjI1OTIyODYyPC9hY2Nl
c3Npb24tbnVtPjx1cmxzPjxyZWxhdGVkLXVybHM+PHVybD5odHRwczovL3d3dy5uY2JpLm5sbS5u
aWguZ292L3B1Ym1lZC8yNTkyMjg2MjwvdXJsPjwvcmVsYXRlZC11cmxzPjwvdXJscz48ZWxlY3Ry
b25pYy1yZXNvdXJjZS1udW0+MTAuMTAwMi8xNDY1MTg1OC5DRDAwNzA3OS5wdWIzPC9lbGVjdHJv
bmljLXJlc291cmNlLW51bT48L3JlY29yZD48L0NpdGU+PC9FbmROb3RlPgB=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185</w:t>
            </w:r>
            <w:r w:rsidR="00E51743">
              <w:fldChar w:fldCharType="end"/>
            </w:r>
          </w:p>
        </w:tc>
        <w:tc>
          <w:tcPr>
            <w:tcW w:w="1247" w:type="dxa"/>
          </w:tcPr>
          <w:p w14:paraId="14C4A745" w14:textId="77777777" w:rsidR="00D150D8" w:rsidRDefault="00534972" w:rsidP="00A118C5">
            <w:r>
              <w:t>23 studies</w:t>
            </w:r>
          </w:p>
          <w:p w14:paraId="1D420F44" w14:textId="2A2388D4" w:rsidR="00534972" w:rsidRPr="009847B7" w:rsidRDefault="00534972" w:rsidP="00A118C5">
            <w:pPr>
              <w:rPr>
                <w:rFonts w:ascii="Helvetica" w:hAnsi="Helvetica"/>
                <w:szCs w:val="18"/>
              </w:rPr>
            </w:pPr>
            <w:r w:rsidRPr="00534972">
              <w:rPr>
                <w:rFonts w:ascii="Helvetica" w:hAnsi="Helvetica"/>
                <w:szCs w:val="18"/>
              </w:rPr>
              <w:t>17,842 women </w:t>
            </w:r>
          </w:p>
        </w:tc>
        <w:tc>
          <w:tcPr>
            <w:tcW w:w="4961" w:type="dxa"/>
          </w:tcPr>
          <w:p w14:paraId="6F23473F" w14:textId="77777777" w:rsidR="00534972" w:rsidRDefault="00534972" w:rsidP="00A118C5">
            <w:r w:rsidRPr="00534972">
              <w:rPr>
                <w:b/>
              </w:rPr>
              <w:t>Aim</w:t>
            </w:r>
            <w:r>
              <w:t xml:space="preserve">: </w:t>
            </w:r>
            <w:r w:rsidRPr="00534972">
              <w:t>To determine the effect of calcium supplementation on maternal, fetal and neonatal outcomes (other than for preventing or treating hypertension) as well as any possible side effects.</w:t>
            </w:r>
          </w:p>
          <w:p w14:paraId="0A5069B1" w14:textId="6181241C" w:rsidR="00D150D8" w:rsidRPr="00D150D8" w:rsidRDefault="00534972" w:rsidP="009847B7">
            <w:r w:rsidRPr="00534972">
              <w:rPr>
                <w:b/>
              </w:rPr>
              <w:t>Methods</w:t>
            </w:r>
            <w:r>
              <w:t xml:space="preserve">: </w:t>
            </w:r>
            <w:r w:rsidRPr="00534972">
              <w:t xml:space="preserve">We searched the Cochrane Pregnancy and Childbirth Group's Trials Register (30th September 2014). We considered all published, unpublished and ongoing randomised controlled trials (RCTs) comparing maternal, fetal and neonatal outcomes in pregnant women who received calcium supplementation versus placebo or no treatment. </w:t>
            </w:r>
          </w:p>
        </w:tc>
        <w:tc>
          <w:tcPr>
            <w:tcW w:w="4536" w:type="dxa"/>
          </w:tcPr>
          <w:p w14:paraId="46B07319" w14:textId="77777777" w:rsidR="00534972" w:rsidRDefault="00534972" w:rsidP="00A118C5">
            <w:r>
              <w:t>Calcium supplementation vs placebo:</w:t>
            </w:r>
          </w:p>
          <w:p w14:paraId="74D75FEE" w14:textId="13509314" w:rsidR="00534972" w:rsidRDefault="00534972" w:rsidP="001F08B3">
            <w:pPr>
              <w:pStyle w:val="bullet"/>
            </w:pPr>
            <w:r>
              <w:t>P</w:t>
            </w:r>
            <w:r w:rsidRPr="00534972">
              <w:t>reterm bir</w:t>
            </w:r>
            <w:r w:rsidRPr="001F08B3">
              <w:t>th (&lt;37 weeks</w:t>
            </w:r>
            <w:r w:rsidR="00320E51">
              <w:t>; all doses)</w:t>
            </w:r>
            <w:r w:rsidRPr="001F08B3">
              <w:t xml:space="preserve">: RR 0.86 (0.70 to 1.05); 13 studies, n=16,139; moderate </w:t>
            </w:r>
            <w:r w:rsidR="00FB2A6C">
              <w:t>certainty</w:t>
            </w:r>
          </w:p>
          <w:p w14:paraId="145AE1CB" w14:textId="7432E7DF" w:rsidR="00B2043C" w:rsidRDefault="00B2043C" w:rsidP="001F08B3">
            <w:pPr>
              <w:pStyle w:val="bullet"/>
            </w:pPr>
            <w:r>
              <w:t>Preterm birth (&lt;37 weeks; all doses</w:t>
            </w:r>
            <w:r w:rsidR="008719CC">
              <w:t>;</w:t>
            </w:r>
            <w:r>
              <w:t xml:space="preserve"> sensitivity analysis): RR 0.80 (0.65 to 0.99; 11 trials; n=15,379</w:t>
            </w:r>
          </w:p>
          <w:p w14:paraId="5DFC24C7" w14:textId="6A00A98E" w:rsidR="00320E51" w:rsidRPr="00320E51" w:rsidRDefault="00320E51" w:rsidP="00A912D4">
            <w:pPr>
              <w:pStyle w:val="bullet"/>
            </w:pPr>
            <w:r>
              <w:t xml:space="preserve">Preterm birth (&lt;37 weeks high dose): </w:t>
            </w:r>
            <w:r w:rsidR="00565185">
              <w:t xml:space="preserve">RR </w:t>
            </w:r>
            <w:r w:rsidR="008622C6">
              <w:t>0.81; 95%CI 0.66 to 0.99</w:t>
            </w:r>
            <w:r>
              <w:t>; 12 RCTs; n=</w:t>
            </w:r>
            <w:r w:rsidRPr="00320E51">
              <w:t>15</w:t>
            </w:r>
            <w:r>
              <w:t>,</w:t>
            </w:r>
            <w:r w:rsidRPr="00320E51">
              <w:t>479</w:t>
            </w:r>
          </w:p>
          <w:p w14:paraId="0678A74A" w14:textId="194411FD" w:rsidR="00534972" w:rsidRPr="001F08B3" w:rsidRDefault="00534972" w:rsidP="001F08B3">
            <w:pPr>
              <w:pStyle w:val="bullet"/>
            </w:pPr>
            <w:r w:rsidRPr="001F08B3">
              <w:t>Preterm birth (&lt;34 week</w:t>
            </w:r>
            <w:r w:rsidR="00C843A4">
              <w:t>s)</w:t>
            </w:r>
            <w:r w:rsidRPr="001F08B3">
              <w:t xml:space="preserve">: RR 1.04 (0.80 to 1.36); 4 trials, n=5,669; moderate </w:t>
            </w:r>
            <w:r w:rsidR="00FB2A6C">
              <w:t>certainty</w:t>
            </w:r>
          </w:p>
          <w:p w14:paraId="3DB5BB8E" w14:textId="494061CE" w:rsidR="00534972" w:rsidRPr="001F08B3" w:rsidRDefault="00534972" w:rsidP="001F08B3">
            <w:pPr>
              <w:pStyle w:val="bullet"/>
            </w:pPr>
            <w:r w:rsidRPr="001F08B3">
              <w:t xml:space="preserve">Low birthweight: RR 0.93 (0.81 to 1.07); 6 trials, n=14,162; moderate </w:t>
            </w:r>
            <w:r w:rsidR="00FB2A6C">
              <w:t>certainty</w:t>
            </w:r>
          </w:p>
          <w:p w14:paraId="6278379D" w14:textId="017D3E0F" w:rsidR="00D150D8" w:rsidRDefault="00534972" w:rsidP="001F08B3">
            <w:pPr>
              <w:pStyle w:val="bullet"/>
            </w:pPr>
            <w:r w:rsidRPr="001F08B3">
              <w:t>Birthweight: MD</w:t>
            </w:r>
            <w:r>
              <w:t xml:space="preserve"> </w:t>
            </w:r>
            <w:r w:rsidRPr="00534972">
              <w:t>56.40</w:t>
            </w:r>
            <w:r>
              <w:t xml:space="preserve"> (</w:t>
            </w:r>
            <w:r w:rsidRPr="00534972">
              <w:t>13.55 to 99.25</w:t>
            </w:r>
            <w:r>
              <w:t>)</w:t>
            </w:r>
            <w:r w:rsidRPr="00534972">
              <w:t xml:space="preserve">; 21 trials, </w:t>
            </w:r>
            <w:r>
              <w:t>n=</w:t>
            </w:r>
            <w:r w:rsidRPr="00534972">
              <w:t>9</w:t>
            </w:r>
            <w:r>
              <w:t>,</w:t>
            </w:r>
            <w:r w:rsidRPr="00534972">
              <w:t xml:space="preserve">202 </w:t>
            </w:r>
          </w:p>
          <w:p w14:paraId="49F35170" w14:textId="38FA6996" w:rsidR="00644290" w:rsidRPr="00534972" w:rsidRDefault="00644290" w:rsidP="00644290">
            <w:r>
              <w:t>There were no clear differences in rates of adverse effects.</w:t>
            </w:r>
          </w:p>
        </w:tc>
        <w:tc>
          <w:tcPr>
            <w:tcW w:w="1843" w:type="dxa"/>
          </w:tcPr>
          <w:p w14:paraId="168820FD" w14:textId="6B24D9C1" w:rsidR="00D150D8" w:rsidRPr="00D150D8" w:rsidRDefault="00A52DD2" w:rsidP="00A118C5">
            <w:r>
              <w:t>Preterm birth with low dose calcium not included as the single trial used calcium plus vitamin D</w:t>
            </w:r>
          </w:p>
        </w:tc>
      </w:tr>
      <w:tr w:rsidR="00CB201F" w:rsidRPr="00D150D8" w14:paraId="39F15236" w14:textId="77777777" w:rsidTr="00A118C5">
        <w:trPr>
          <w:cantSplit/>
        </w:trPr>
        <w:tc>
          <w:tcPr>
            <w:tcW w:w="1305" w:type="dxa"/>
          </w:tcPr>
          <w:p w14:paraId="769F5FF2" w14:textId="36DA763A" w:rsidR="00CB201F" w:rsidRPr="00D150D8" w:rsidRDefault="003D74A4" w:rsidP="002747EA">
            <w:r>
              <w:t>Hofmeyr et al 2018</w:t>
            </w:r>
            <w:r w:rsidR="00E51743">
              <w:fldChar w:fldCharType="begin"/>
            </w:r>
            <w:r w:rsidR="002747EA">
              <w:instrText xml:space="preserve"> ADDIN EN.CITE &lt;EndNote&gt;&lt;Cite&gt;&lt;Author&gt;Hofmeyr&lt;/Author&gt;&lt;Year&gt;2018&lt;/Year&gt;&lt;RecNum&gt;1316&lt;/RecNum&gt;&lt;DisplayText&gt;&lt;style face="superscript" font="Trebuchet MS" size="9"&gt;186&lt;/style&gt;&lt;/DisplayText&gt;&lt;record&gt;&lt;rec-number&gt;1316&lt;/rec-number&gt;&lt;foreign-keys&gt;&lt;key app="EN" db-id="exvasrfx2dtraoesasxp2szsxa2df502592x" timestamp="1566798243"&gt;1316&lt;/key&gt;&lt;key app="ENWeb" db-id=""&gt;0&lt;/key&gt;&lt;/foreign-keys&gt;&lt;ref-type name="Journal Article"&gt;17&lt;/ref-type&gt;&lt;contributors&gt;&lt;authors&gt;&lt;author&gt;Hofmeyr, G. Justus&lt;/author&gt;&lt;author&gt;Lawrie, Theresa A.&lt;/author&gt;&lt;author&gt;Atallah, Álvaro N.&lt;/author&gt;&lt;author&gt;Torloni, Maria Regina&lt;/author&gt;&lt;/authors&gt;&lt;/contributors&gt;&lt;titles&gt;&lt;title&gt;Calcium supplementation during pregnancy for preventing hypertensive disorders and related problems&lt;/title&gt;&lt;secondary-title&gt;Cochrane Database of Systematic Reviews&lt;/secondary-title&gt;&lt;/titles&gt;&lt;periodical&gt;&lt;full-title&gt;Cochrane Database of Systematic Reviews&lt;/full-title&gt;&lt;/periodical&gt;&lt;dates&gt;&lt;year&gt;2018&lt;/year&gt;&lt;/dates&gt;&lt;isbn&gt;14651858&lt;/isbn&gt;&lt;urls&gt;&lt;/urls&gt;&lt;electronic-resource-num&gt;10.1002/14651858.CD001059.pub5&lt;/electronic-resource-num&gt;&lt;/record&gt;&lt;/Cite&gt;&lt;/EndNote&gt;</w:instrText>
            </w:r>
            <w:r w:rsidR="00E51743">
              <w:fldChar w:fldCharType="separate"/>
            </w:r>
            <w:r w:rsidR="002747EA" w:rsidRPr="002747EA">
              <w:rPr>
                <w:noProof/>
                <w:vertAlign w:val="superscript"/>
              </w:rPr>
              <w:t>186</w:t>
            </w:r>
            <w:r w:rsidR="00E51743">
              <w:fldChar w:fldCharType="end"/>
            </w:r>
          </w:p>
        </w:tc>
        <w:tc>
          <w:tcPr>
            <w:tcW w:w="1247" w:type="dxa"/>
          </w:tcPr>
          <w:p w14:paraId="3381EE13" w14:textId="75C6CC5B" w:rsidR="004A4D82" w:rsidRDefault="004B0FCA" w:rsidP="004A4D82">
            <w:r>
              <w:t>13</w:t>
            </w:r>
            <w:r w:rsidR="004A4D82" w:rsidRPr="004A4D82">
              <w:t xml:space="preserve"> studies </w:t>
            </w:r>
          </w:p>
          <w:p w14:paraId="5B30C218" w14:textId="3044FBEB" w:rsidR="00CB201F" w:rsidRPr="00D150D8" w:rsidRDefault="004B0FCA" w:rsidP="00A118C5">
            <w:r w:rsidRPr="004B0FCA">
              <w:t>15,730</w:t>
            </w:r>
            <w:r w:rsidR="004A4D82">
              <w:t xml:space="preserve"> women</w:t>
            </w:r>
          </w:p>
        </w:tc>
        <w:tc>
          <w:tcPr>
            <w:tcW w:w="4961" w:type="dxa"/>
          </w:tcPr>
          <w:p w14:paraId="3A4F84D5" w14:textId="17799687" w:rsidR="004A4D82" w:rsidRPr="004A4D82" w:rsidRDefault="004A4D82" w:rsidP="004A4D82">
            <w:r w:rsidRPr="004A4D82">
              <w:rPr>
                <w:b/>
              </w:rPr>
              <w:t>Aim</w:t>
            </w:r>
            <w:r>
              <w:t xml:space="preserve">: </w:t>
            </w:r>
            <w:r w:rsidRPr="004A4D82">
              <w:t>To assess the effects of calcium supplementation during pregnancy on hypertensive disorders of pregnancy and related maternal and child outcomes.</w:t>
            </w:r>
          </w:p>
          <w:p w14:paraId="7893043B" w14:textId="35AB629C" w:rsidR="00CB201F" w:rsidRPr="004A4D82" w:rsidRDefault="004A4D82" w:rsidP="004A4D82">
            <w:pPr>
              <w:rPr>
                <w:rFonts w:ascii="Helvetica" w:hAnsi="Helvetica"/>
                <w:sz w:val="14"/>
                <w:szCs w:val="14"/>
              </w:rPr>
            </w:pPr>
            <w:r w:rsidRPr="004A4D82">
              <w:rPr>
                <w:b/>
              </w:rPr>
              <w:t>Methods</w:t>
            </w:r>
            <w:r>
              <w:t xml:space="preserve">: </w:t>
            </w:r>
            <w:r w:rsidRPr="004A4D82">
              <w:t xml:space="preserve">We searched Cochrane Pregnancy and Childbirth’s Trials Register, ClinicalTrials.gov, the WHO International Clinical Trials Registry </w:t>
            </w:r>
            <w:r>
              <w:t>Platform</w:t>
            </w:r>
            <w:r w:rsidRPr="004A4D82">
              <w:t xml:space="preserve"> and reference lists of retrieved studies. We included randomised controlled trials (RCTs), including cluster-randomised trials, comparing high-dose calcium supplementation (at least 1 g daily of calcium) during pregnancy with placebo. </w:t>
            </w:r>
          </w:p>
        </w:tc>
        <w:tc>
          <w:tcPr>
            <w:tcW w:w="4536" w:type="dxa"/>
          </w:tcPr>
          <w:p w14:paraId="0CFF1CCC" w14:textId="54CBE57C" w:rsidR="004B0FCA" w:rsidRDefault="003568AF" w:rsidP="001F08B3">
            <w:r>
              <w:t>Routine high</w:t>
            </w:r>
            <w:r w:rsidR="004B0FCA">
              <w:t xml:space="preserve">-dose calcium </w:t>
            </w:r>
            <w:r w:rsidR="001F08B3">
              <w:t>(&gt;</w:t>
            </w:r>
            <w:r w:rsidR="001F08B3" w:rsidRPr="001F08B3">
              <w:t>1 g daily)</w:t>
            </w:r>
            <w:r w:rsidR="001F08B3">
              <w:t xml:space="preserve"> </w:t>
            </w:r>
            <w:r w:rsidR="004B0FCA">
              <w:t>vs placebo:</w:t>
            </w:r>
          </w:p>
          <w:p w14:paraId="45AE90AC" w14:textId="1A9F1067" w:rsidR="004B0FCA" w:rsidRDefault="00680D46" w:rsidP="004B0FCA">
            <w:pPr>
              <w:pStyle w:val="bullet"/>
            </w:pPr>
            <w:r>
              <w:t>Gestational hypertension</w:t>
            </w:r>
            <w:r w:rsidR="00DE5C63">
              <w:t xml:space="preserve"> (all)</w:t>
            </w:r>
            <w:r>
              <w:t>:</w:t>
            </w:r>
            <w:r w:rsidR="004B0FCA">
              <w:t xml:space="preserve"> RR 0.65 (0.53 to 0.81); </w:t>
            </w:r>
            <w:r w:rsidR="004B0FCA" w:rsidRPr="004B0FCA">
              <w:t>12</w:t>
            </w:r>
            <w:r w:rsidR="00F57BC0">
              <w:t> </w:t>
            </w:r>
            <w:r w:rsidR="004B0FCA" w:rsidRPr="004B0FCA">
              <w:t xml:space="preserve">trials, </w:t>
            </w:r>
            <w:r w:rsidR="004B0FCA">
              <w:t>n=</w:t>
            </w:r>
            <w:r w:rsidR="004B0FCA" w:rsidRPr="004B0FCA">
              <w:t xml:space="preserve">15,470 </w:t>
            </w:r>
          </w:p>
          <w:p w14:paraId="46B16C26" w14:textId="629B29C3" w:rsidR="00DE5C63" w:rsidRDefault="00DE5C63" w:rsidP="004B0FCA">
            <w:pPr>
              <w:pStyle w:val="bullet"/>
            </w:pPr>
            <w:r>
              <w:t>Gestational hypertension (adequate Ca): RR 0.90 (0.81 to 0.99)</w:t>
            </w:r>
            <w:r w:rsidR="00132A21">
              <w:t>; 4 trials; n=5,022</w:t>
            </w:r>
          </w:p>
          <w:p w14:paraId="418E2DA2" w14:textId="759E10DA" w:rsidR="00DE5C63" w:rsidRDefault="00DE5C63" w:rsidP="004B0FCA">
            <w:pPr>
              <w:pStyle w:val="bullet"/>
            </w:pPr>
            <w:r>
              <w:t>Gestational hypertension (low Ca): RR 0.44 (0.28 to 0.70)</w:t>
            </w:r>
            <w:r w:rsidR="00132A21">
              <w:t>; 7 trials; n=10,418</w:t>
            </w:r>
          </w:p>
          <w:p w14:paraId="16836AFB" w14:textId="60F205FC" w:rsidR="004B0FCA" w:rsidRDefault="004B0FCA" w:rsidP="004B0FCA">
            <w:pPr>
              <w:pStyle w:val="bullet"/>
            </w:pPr>
            <w:r>
              <w:t>P</w:t>
            </w:r>
            <w:r w:rsidRPr="004B0FCA">
              <w:t>re-eclampsia</w:t>
            </w:r>
            <w:r>
              <w:t xml:space="preserve">: RR 0.45 (0.31 to 0.65); </w:t>
            </w:r>
            <w:r w:rsidRPr="004B0FCA">
              <w:t xml:space="preserve">13 trials, </w:t>
            </w:r>
            <w:r>
              <w:t>n=</w:t>
            </w:r>
            <w:r w:rsidRPr="004B0FCA">
              <w:t>15,730; low-</w:t>
            </w:r>
            <w:r w:rsidR="00FB2A6C">
              <w:t>certainty</w:t>
            </w:r>
            <w:r w:rsidR="00476EEC">
              <w:t xml:space="preserve"> evidence</w:t>
            </w:r>
          </w:p>
          <w:p w14:paraId="2F336F7D" w14:textId="4BF9746E" w:rsidR="00DE5C63" w:rsidRDefault="00DE5C63" w:rsidP="004B0FCA">
            <w:pPr>
              <w:pStyle w:val="bullet"/>
            </w:pPr>
            <w:r>
              <w:t>Pre-eclampsia (adequate Ca): RR 0.62 (0.32 to 1.20)</w:t>
            </w:r>
            <w:r w:rsidR="00132A21">
              <w:t>; 4 trials; n=5,022</w:t>
            </w:r>
          </w:p>
          <w:p w14:paraId="6348DBCF" w14:textId="3BF475E7" w:rsidR="00DE5C63" w:rsidRDefault="00DE5C63" w:rsidP="004B0FCA">
            <w:pPr>
              <w:pStyle w:val="bullet"/>
            </w:pPr>
            <w:r>
              <w:t>Pre-eclampsia (low Ca): RR 0.36 (0.20 to 0.65)</w:t>
            </w:r>
            <w:r w:rsidR="00132A21">
              <w:t>; 8 trials; n=10,678</w:t>
            </w:r>
          </w:p>
          <w:p w14:paraId="7454CC78" w14:textId="089485D8" w:rsidR="00476EEC" w:rsidRDefault="00476EEC" w:rsidP="00476EEC">
            <w:pPr>
              <w:pStyle w:val="bullet"/>
            </w:pPr>
            <w:r>
              <w:t>Preterm birth</w:t>
            </w:r>
            <w:r w:rsidR="00504B8E">
              <w:t xml:space="preserve"> (&lt;37 weeks</w:t>
            </w:r>
            <w:r w:rsidR="00DE5C63">
              <w:t>; all</w:t>
            </w:r>
            <w:r w:rsidR="00504B8E">
              <w:t>)</w:t>
            </w:r>
            <w:r>
              <w:t>: RR 0.76 (0.60 to 0.97); 11 trials, n=</w:t>
            </w:r>
            <w:r w:rsidRPr="00476EEC">
              <w:t>15,275</w:t>
            </w:r>
            <w:r>
              <w:t xml:space="preserve">; low </w:t>
            </w:r>
            <w:r w:rsidR="00FB2A6C">
              <w:t>certainty</w:t>
            </w:r>
            <w:r>
              <w:t xml:space="preserve"> evidence</w:t>
            </w:r>
          </w:p>
          <w:p w14:paraId="2AD665D6" w14:textId="593E6132" w:rsidR="005D76D9" w:rsidRDefault="005D76D9" w:rsidP="00A912D4">
            <w:r>
              <w:t xml:space="preserve">Low-dose calcium </w:t>
            </w:r>
            <w:r w:rsidR="00FF2029">
              <w:t xml:space="preserve">(&lt;1 g/day) </w:t>
            </w:r>
            <w:r>
              <w:t>vs placebo:</w:t>
            </w:r>
          </w:p>
          <w:p w14:paraId="58F79FAF" w14:textId="2D168699" w:rsidR="005D76D9" w:rsidRDefault="00FF2029" w:rsidP="00132A21">
            <w:pPr>
              <w:pStyle w:val="bullet"/>
            </w:pPr>
            <w:r>
              <w:t>Ge</w:t>
            </w:r>
            <w:r w:rsidR="005D76D9">
              <w:t>sta</w:t>
            </w:r>
            <w:r>
              <w:t>tional hypertension: RR</w:t>
            </w:r>
            <w:r w:rsidR="005D76D9">
              <w:t xml:space="preserve"> 0.57 (0.39 to 0.82); 3 trials; n=558</w:t>
            </w:r>
          </w:p>
          <w:p w14:paraId="3B1652C1" w14:textId="151F9C81" w:rsidR="00CB201F" w:rsidRPr="009847B7" w:rsidRDefault="00FF2029" w:rsidP="00FF2029">
            <w:pPr>
              <w:pStyle w:val="bullet"/>
            </w:pPr>
            <w:r>
              <w:t>Preterm birth: RR 0.40 (0.21 to 0.75); 1 trial; n=1,422</w:t>
            </w:r>
          </w:p>
        </w:tc>
        <w:tc>
          <w:tcPr>
            <w:tcW w:w="1843" w:type="dxa"/>
          </w:tcPr>
          <w:p w14:paraId="627191C0" w14:textId="77777777" w:rsidR="00CB201F" w:rsidRPr="00D150D8" w:rsidRDefault="00CB201F" w:rsidP="00A118C5"/>
        </w:tc>
      </w:tr>
      <w:tr w:rsidR="00CB201F" w:rsidRPr="00D150D8" w14:paraId="1B943F9F" w14:textId="77777777" w:rsidTr="00A118C5">
        <w:trPr>
          <w:cantSplit/>
        </w:trPr>
        <w:tc>
          <w:tcPr>
            <w:tcW w:w="1305" w:type="dxa"/>
          </w:tcPr>
          <w:p w14:paraId="10257EA7" w14:textId="332469BB" w:rsidR="00CB201F" w:rsidRPr="00D150D8" w:rsidRDefault="0042115D" w:rsidP="002747EA">
            <w:r>
              <w:t>Hofmeyr et al 2014</w:t>
            </w:r>
            <w:r w:rsidR="00E51743">
              <w:fldChar w:fldCharType="begin">
                <w:fldData xml:space="preserve">PEVuZE5vdGU+PENpdGU+PEF1dGhvcj5Ib2ZtZXlyPC9BdXRob3I+PFllYXI+MjAxNDwvWWVhcj48
UmVjTnVtPjEzMTg8L1JlY051bT48RGlzcGxheVRleHQ+PHN0eWxlIGZhY2U9InN1cGVyc2NyaXB0
IiBmb250PSJUcmVidWNoZXQgTVMiIHNpemU9IjkiPjE4Nzwvc3R5bGU+PC9EaXNwbGF5VGV4dD48
cmVjb3JkPjxyZWMtbnVtYmVyPjEzMTg8L3JlYy1udW1iZXI+PGZvcmVpZ24ta2V5cz48a2V5IGFw
cD0iRU4iIGRiLWlkPSJleHZhc3JmeDJkdHJhb2VzYXN4cDJzenN4YTJkZjUwMjU5MngiIHRpbWVz
dGFtcD0iMTU2Njc5ODI1NSI+MTMxODwva2V5PjxrZXkgYXBwPSJFTldlYiIgZGItaWQ9IiI+MDwv
a2V5PjwvZm9yZWlnbi1rZXlzPjxyZWYtdHlwZSBuYW1lPSJKb3VybmFsIEFydGljbGUiPjE3PC9y
ZWYtdHlwZT48Y29udHJpYnV0b3JzPjxhdXRob3JzPjxhdXRob3I+SG9mbWV5ciwgRy4gSi48L2F1
dGhvcj48YXV0aG9yPkJlbGl6YW4sIEouIE0uPC9hdXRob3I+PGF1dGhvcj52b24gRGFkZWxzemVu
LCBQLjwvYXV0aG9yPjxhdXRob3I+Q2FsY2l1bSw8L2F1dGhvcj48YXV0aG9yPlByZS1lY2xhbXBz
aWEgU3R1ZHksIEdyb3VwPC9hdXRob3I+PC9hdXRob3JzPjwvY29udHJpYnV0b3JzPjxhdXRoLWFk
ZHJlc3M+RWZmZWN0aXZlIENhcmUgUmVzZWFyY2ggVW5pdCwgRWFzdCBMb25kb24gSG9zcGl0YWwg
Q29tcGxleC9Vbml2ZXJzaXR5IG9mIHRoZSBXaXR3YXRlcnNyYW5kL1VuaXZlcnNpdHkgb2YgRm9y
dCBIYXJlLCBFYXN0IExvbmRvbiwgRWFzdGVybiBDYXBlLCBTb3V0aCBBZnJpY2EuPC9hdXRoLWFk
ZHJlc3M+PHRpdGxlcz48dGl0bGU+TG93LWRvc2UgY2FsY2l1bSBzdXBwbGVtZW50YXRpb24gZm9y
IHByZXZlbnRpbmcgcHJlLWVjbGFtcHNpYTogYSBzeXN0ZW1hdGljIHJldmlldyBhbmQgY29tbWVu
dGFyeTwvdGl0bGU+PHNlY29uZGFyeS10aXRsZT5CSk9HPC9zZWNvbmRhcnktdGl0bGU+PC90aXRs
ZXM+PHBlcmlvZGljYWw+PGZ1bGwtdGl0bGU+QkpPRzwvZnVsbC10aXRsZT48L3BlcmlvZGljYWw+
PHBhZ2VzPjk1MS03PC9wYWdlcz48dm9sdW1lPjEyMTwvdm9sdW1lPjxudW1iZXI+ODwvbnVtYmVy
PjxlZGl0aW9uPjIwMTQvMDMvMTQ8L2VkaXRpb24+PGtleXdvcmRzPjxrZXl3b3JkPkNhbGNpdW0s
IERpZXRhcnkvKmFkbWluaXN0cmF0aW9uICZhbXA7IGRvc2FnZS9hZHZlcnNlIGVmZmVjdHM8L2tl
eXdvcmQ+PGtleXdvcmQ+KkRpZXRhcnkgU3VwcGxlbWVudHMvYWR2ZXJzZSBlZmZlY3RzPC9rZXl3
b3JkPjxrZXl3b3JkPkZlbWFsZTwva2V5d29yZD48a2V5d29yZD5IdW1hbnM8L2tleXdvcmQ+PGtl
eXdvcmQ+SHlwZXJ0ZW5zaW9uLypwcmV2ZW50aW9uICZhbXA7IGNvbnRyb2w8L2tleXdvcmQ+PGtl
eXdvcmQ+UHJlLUVjbGFtcHNpYS8qcHJldmVudGlvbiAmYW1wOyBjb250cm9sPC9rZXl3b3JkPjxr
ZXl3b3JkPlByZWduYW5jeTwva2V5d29yZD48a2V5d29yZD5QcmVnbmFuY3kgQ29tcGxpY2F0aW9u
cywgQ2FyZGlvdmFzY3VsYXIvKnByZXZlbnRpb24gJmFtcDsgY29udHJvbDwva2V5d29yZD48a2V5
d29yZD5SYW5kb21pemVkIENvbnRyb2xsZWQgVHJpYWxzIGFzIFRvcGljPC9rZXl3b3JkPjxrZXl3
b3JkPlRyZWF0bWVudCBPdXRjb21lPC9rZXl3b3JkPjxrZXl3b3JkPkNhbGNpdW0gcmVwbGFjZW1l
bnQ8L2tleXdvcmQ+PGtleXdvcmQ+Y2FsY2l1bSBzdXBwbGVtZW50PC9rZXl3b3JkPjxrZXl3b3Jk
PmVjbGFtcHNpYTwva2V5d29yZD48a2V5d29yZD5sb3ctZG9zZSBjYWxjaXVtPC9rZXl3b3JkPjxr
ZXl3b3JkPnByZS1lY2xhbXBzaWE8L2tleXdvcmQ+PC9rZXl3b3Jkcz48ZGF0ZXM+PHllYXI+MjAx
NDwveWVhcj48cHViLWRhdGVzPjxkYXRlPkp1bDwvZGF0ZT48L3B1Yi1kYXRlcz48L2RhdGVzPjxp
c2JuPjE0NzEtMDUyOCAoRWxlY3Ryb25pYykmI3hEOzE0NzAtMDMyOCAoTGlua2luZyk8L2lzYm4+
PGFjY2Vzc2lvbi1udW0+MjQ2MjExNDE8L2FjY2Vzc2lvbi1udW0+PHVybHM+PHJlbGF0ZWQtdXJs
cz48dXJsPmh0dHBzOi8vd3d3Lm5jYmkubmxtLm5paC5nb3YvcHVibWVkLzI0NjIxMTQxPC91cmw+
PC9yZWxhdGVkLXVybHM+PC91cmxzPjxjdXN0b20yPlBNQzQyODIwNTU8L2N1c3RvbTI+PGVsZWN0
cm9uaWMtcmVzb3VyY2UtbnVtPjEwLjExMTEvMTQ3MS0wNTI4LjEyNjEzPC9lbGVjdHJvbmljLXJl
c291cmNlLW51bT48L3JlY29yZD48L0NpdGU+PC9FbmROb3RlPgB=
</w:fldData>
              </w:fldChar>
            </w:r>
            <w:r w:rsidR="002747EA">
              <w:instrText xml:space="preserve"> ADDIN EN.CITE </w:instrText>
            </w:r>
            <w:r w:rsidR="002747EA">
              <w:fldChar w:fldCharType="begin">
                <w:fldData xml:space="preserve">PEVuZE5vdGU+PENpdGU+PEF1dGhvcj5Ib2ZtZXlyPC9BdXRob3I+PFllYXI+MjAxNDwvWWVhcj48
UmVjTnVtPjEzMTg8L1JlY051bT48RGlzcGxheVRleHQ+PHN0eWxlIGZhY2U9InN1cGVyc2NyaXB0
IiBmb250PSJUcmVidWNoZXQgTVMiIHNpemU9IjkiPjE4Nzwvc3R5bGU+PC9EaXNwbGF5VGV4dD48
cmVjb3JkPjxyZWMtbnVtYmVyPjEzMTg8L3JlYy1udW1iZXI+PGZvcmVpZ24ta2V5cz48a2V5IGFw
cD0iRU4iIGRiLWlkPSJleHZhc3JmeDJkdHJhb2VzYXN4cDJzenN4YTJkZjUwMjU5MngiIHRpbWVz
dGFtcD0iMTU2Njc5ODI1NSI+MTMxODwva2V5PjxrZXkgYXBwPSJFTldlYiIgZGItaWQ9IiI+MDwv
a2V5PjwvZm9yZWlnbi1rZXlzPjxyZWYtdHlwZSBuYW1lPSJKb3VybmFsIEFydGljbGUiPjE3PC9y
ZWYtdHlwZT48Y29udHJpYnV0b3JzPjxhdXRob3JzPjxhdXRob3I+SG9mbWV5ciwgRy4gSi48L2F1
dGhvcj48YXV0aG9yPkJlbGl6YW4sIEouIE0uPC9hdXRob3I+PGF1dGhvcj52b24gRGFkZWxzemVu
LCBQLjwvYXV0aG9yPjxhdXRob3I+Q2FsY2l1bSw8L2F1dGhvcj48YXV0aG9yPlByZS1lY2xhbXBz
aWEgU3R1ZHksIEdyb3VwPC9hdXRob3I+PC9hdXRob3JzPjwvY29udHJpYnV0b3JzPjxhdXRoLWFk
ZHJlc3M+RWZmZWN0aXZlIENhcmUgUmVzZWFyY2ggVW5pdCwgRWFzdCBMb25kb24gSG9zcGl0YWwg
Q29tcGxleC9Vbml2ZXJzaXR5IG9mIHRoZSBXaXR3YXRlcnNyYW5kL1VuaXZlcnNpdHkgb2YgRm9y
dCBIYXJlLCBFYXN0IExvbmRvbiwgRWFzdGVybiBDYXBlLCBTb3V0aCBBZnJpY2EuPC9hdXRoLWFk
ZHJlc3M+PHRpdGxlcz48dGl0bGU+TG93LWRvc2UgY2FsY2l1bSBzdXBwbGVtZW50YXRpb24gZm9y
IHByZXZlbnRpbmcgcHJlLWVjbGFtcHNpYTogYSBzeXN0ZW1hdGljIHJldmlldyBhbmQgY29tbWVu
dGFyeTwvdGl0bGU+PHNlY29uZGFyeS10aXRsZT5CSk9HPC9zZWNvbmRhcnktdGl0bGU+PC90aXRs
ZXM+PHBlcmlvZGljYWw+PGZ1bGwtdGl0bGU+QkpPRzwvZnVsbC10aXRsZT48L3BlcmlvZGljYWw+
PHBhZ2VzPjk1MS03PC9wYWdlcz48dm9sdW1lPjEyMTwvdm9sdW1lPjxudW1iZXI+ODwvbnVtYmVy
PjxlZGl0aW9uPjIwMTQvMDMvMTQ8L2VkaXRpb24+PGtleXdvcmRzPjxrZXl3b3JkPkNhbGNpdW0s
IERpZXRhcnkvKmFkbWluaXN0cmF0aW9uICZhbXA7IGRvc2FnZS9hZHZlcnNlIGVmZmVjdHM8L2tl
eXdvcmQ+PGtleXdvcmQ+KkRpZXRhcnkgU3VwcGxlbWVudHMvYWR2ZXJzZSBlZmZlY3RzPC9rZXl3
b3JkPjxrZXl3b3JkPkZlbWFsZTwva2V5d29yZD48a2V5d29yZD5IdW1hbnM8L2tleXdvcmQ+PGtl
eXdvcmQ+SHlwZXJ0ZW5zaW9uLypwcmV2ZW50aW9uICZhbXA7IGNvbnRyb2w8L2tleXdvcmQ+PGtl
eXdvcmQ+UHJlLUVjbGFtcHNpYS8qcHJldmVudGlvbiAmYW1wOyBjb250cm9sPC9rZXl3b3JkPjxr
ZXl3b3JkPlByZWduYW5jeTwva2V5d29yZD48a2V5d29yZD5QcmVnbmFuY3kgQ29tcGxpY2F0aW9u
cywgQ2FyZGlvdmFzY3VsYXIvKnByZXZlbnRpb24gJmFtcDsgY29udHJvbDwva2V5d29yZD48a2V5
d29yZD5SYW5kb21pemVkIENvbnRyb2xsZWQgVHJpYWxzIGFzIFRvcGljPC9rZXl3b3JkPjxrZXl3
b3JkPlRyZWF0bWVudCBPdXRjb21lPC9rZXl3b3JkPjxrZXl3b3JkPkNhbGNpdW0gcmVwbGFjZW1l
bnQ8L2tleXdvcmQ+PGtleXdvcmQ+Y2FsY2l1bSBzdXBwbGVtZW50PC9rZXl3b3JkPjxrZXl3b3Jk
PmVjbGFtcHNpYTwva2V5d29yZD48a2V5d29yZD5sb3ctZG9zZSBjYWxjaXVtPC9rZXl3b3JkPjxr
ZXl3b3JkPnByZS1lY2xhbXBzaWE8L2tleXdvcmQ+PC9rZXl3b3Jkcz48ZGF0ZXM+PHllYXI+MjAx
NDwveWVhcj48cHViLWRhdGVzPjxkYXRlPkp1bDwvZGF0ZT48L3B1Yi1kYXRlcz48L2RhdGVzPjxp
c2JuPjE0NzEtMDUyOCAoRWxlY3Ryb25pYykmI3hEOzE0NzAtMDMyOCAoTGlua2luZyk8L2lzYm4+
PGFjY2Vzc2lvbi1udW0+MjQ2MjExNDE8L2FjY2Vzc2lvbi1udW0+PHVybHM+PHJlbGF0ZWQtdXJs
cz48dXJsPmh0dHBzOi8vd3d3Lm5jYmkubmxtLm5paC5nb3YvcHVibWVkLzI0NjIxMTQxPC91cmw+
PC9yZWxhdGVkLXVybHM+PC91cmxzPjxjdXN0b20yPlBNQzQyODIwNTU8L2N1c3RvbTI+PGVsZWN0
cm9uaWMtcmVzb3VyY2UtbnVtPjEwLjExMTEvMTQ3MS0wNTI4LjEyNjEzPC9lbGVjdHJvbmljLXJl
c291cmNlLW51bT48L3JlY29yZD48L0NpdGU+PC9FbmROb3RlPgB=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187</w:t>
            </w:r>
            <w:r w:rsidR="00E51743">
              <w:fldChar w:fldCharType="end"/>
            </w:r>
          </w:p>
        </w:tc>
        <w:tc>
          <w:tcPr>
            <w:tcW w:w="1247" w:type="dxa"/>
          </w:tcPr>
          <w:p w14:paraId="0964CDAD" w14:textId="77777777" w:rsidR="00CB201F" w:rsidRDefault="009847B7" w:rsidP="00A118C5">
            <w:r>
              <w:t>4 studies</w:t>
            </w:r>
          </w:p>
          <w:p w14:paraId="097897E6" w14:textId="723438C3" w:rsidR="009847B7" w:rsidRPr="00D150D8" w:rsidRDefault="009847B7" w:rsidP="00A118C5">
            <w:r>
              <w:t>980 women</w:t>
            </w:r>
          </w:p>
        </w:tc>
        <w:tc>
          <w:tcPr>
            <w:tcW w:w="4961" w:type="dxa"/>
          </w:tcPr>
          <w:p w14:paraId="1FA6AF4F" w14:textId="324D8564" w:rsidR="0042115D" w:rsidRDefault="0042115D" w:rsidP="0042115D">
            <w:r w:rsidRPr="0042115D">
              <w:rPr>
                <w:b/>
              </w:rPr>
              <w:t>Aim</w:t>
            </w:r>
            <w:r>
              <w:t xml:space="preserve">: </w:t>
            </w:r>
            <w:r w:rsidRPr="0042115D">
              <w:t xml:space="preserve">To review the impact of lower dose calcium </w:t>
            </w:r>
            <w:r>
              <w:t xml:space="preserve">(&lt;1g/day) </w:t>
            </w:r>
            <w:r w:rsidRPr="0042115D">
              <w:t xml:space="preserve">supplementation on pre-eclampsia risk. </w:t>
            </w:r>
          </w:p>
          <w:p w14:paraId="7268141D" w14:textId="63032D76" w:rsidR="00CB201F" w:rsidRPr="00D150D8" w:rsidRDefault="0042115D" w:rsidP="0042115D">
            <w:r w:rsidRPr="0042115D">
              <w:rPr>
                <w:b/>
              </w:rPr>
              <w:t>Methods</w:t>
            </w:r>
            <w:r>
              <w:t xml:space="preserve">: </w:t>
            </w:r>
            <w:r w:rsidRPr="0042115D">
              <w:t>We searched PubMed and the Cochrane Pregnancy and Childbirth Group trials register.</w:t>
            </w:r>
          </w:p>
        </w:tc>
        <w:tc>
          <w:tcPr>
            <w:tcW w:w="4536" w:type="dxa"/>
          </w:tcPr>
          <w:p w14:paraId="0BF3E36F" w14:textId="67214A96" w:rsidR="0042115D" w:rsidRDefault="0042115D" w:rsidP="0042115D">
            <w:r>
              <w:t xml:space="preserve">Low-dose calcium </w:t>
            </w:r>
            <w:r w:rsidR="00070D03">
              <w:t xml:space="preserve">(&lt;1 g/d) </w:t>
            </w:r>
            <w:r>
              <w:t>alone vs placebo:</w:t>
            </w:r>
          </w:p>
          <w:p w14:paraId="1DD89A44" w14:textId="14BF9D00" w:rsidR="0042115D" w:rsidRPr="0042115D" w:rsidRDefault="0042115D" w:rsidP="0042115D">
            <w:pPr>
              <w:pStyle w:val="bullet"/>
            </w:pPr>
            <w:r>
              <w:t xml:space="preserve">Pre-eclampsia: </w:t>
            </w:r>
            <w:r w:rsidRPr="0042115D">
              <w:t>RR 0.36</w:t>
            </w:r>
            <w:r>
              <w:t xml:space="preserve"> (</w:t>
            </w:r>
            <w:r w:rsidRPr="0042115D">
              <w:t>0.23</w:t>
            </w:r>
            <w:r>
              <w:t xml:space="preserve"> to </w:t>
            </w:r>
            <w:r w:rsidRPr="0042115D">
              <w:t>0.57</w:t>
            </w:r>
            <w:r>
              <w:t>); 4</w:t>
            </w:r>
            <w:r w:rsidRPr="0042115D">
              <w:t xml:space="preserve"> trials, </w:t>
            </w:r>
            <w:r>
              <w:t>n=</w:t>
            </w:r>
            <w:r w:rsidRPr="0042115D">
              <w:t>980 women</w:t>
            </w:r>
          </w:p>
        </w:tc>
        <w:tc>
          <w:tcPr>
            <w:tcW w:w="1843" w:type="dxa"/>
          </w:tcPr>
          <w:p w14:paraId="19A2F4C1" w14:textId="77777777" w:rsidR="00CB201F" w:rsidRPr="00D150D8" w:rsidRDefault="00CB201F" w:rsidP="00A118C5"/>
        </w:tc>
      </w:tr>
      <w:tr w:rsidR="00CB201F" w:rsidRPr="00D150D8" w14:paraId="72E1F448" w14:textId="77777777" w:rsidTr="00A118C5">
        <w:trPr>
          <w:cantSplit/>
        </w:trPr>
        <w:tc>
          <w:tcPr>
            <w:tcW w:w="1305" w:type="dxa"/>
          </w:tcPr>
          <w:p w14:paraId="38A5F3B2" w14:textId="5BAEB4ED" w:rsidR="00CB201F" w:rsidRPr="009847B7" w:rsidRDefault="009847B7" w:rsidP="002747EA">
            <w:r w:rsidRPr="009847B7">
              <w:t>Khaing</w:t>
            </w:r>
            <w:r>
              <w:t xml:space="preserve"> et al 2017</w:t>
            </w:r>
            <w:r w:rsidR="00E51743">
              <w:fldChar w:fldCharType="begin">
                <w:fldData xml:space="preserve">PEVuZE5vdGU+PENpdGU+PEF1dGhvcj5LaGFpbmc8L0F1dGhvcj48WWVhcj4yMDE3PC9ZZWFyPjxS
ZWNOdW0+MTMyMDwvUmVjTnVtPjxEaXNwbGF5VGV4dD48c3R5bGUgZmFjZT0ic3VwZXJzY3JpcHQi
IGZvbnQ9IlRyZWJ1Y2hldCBNUyIgc2l6ZT0iOSI+MTg4PC9zdHlsZT48L0Rpc3BsYXlUZXh0Pjxy
ZWNvcmQ+PHJlYy1udW1iZXI+MTMyMDwvcmVjLW51bWJlcj48Zm9yZWlnbi1rZXlzPjxrZXkgYXBw
PSJFTiIgZGItaWQ9ImV4dmFzcmZ4MmR0cmFvZXNhc3hwMnN6c3hhMmRmNTAyNTkyeCIgdGltZXN0
YW1wPSIxNTY2Nzk4MjYzIj4xMzIwPC9rZXk+PGtleSBhcHA9IkVOV2ViIiBkYi1pZD0iIj4wPC9r
ZXk+PC9mb3JlaWduLWtleXM+PHJlZi10eXBlIG5hbWU9IkpvdXJuYWwgQXJ0aWNsZSI+MTc8L3Jl
Zi10eXBlPjxjb250cmlidXRvcnM+PGF1dGhvcnM+PGF1dGhvcj5LaGFpbmcsIFcuPC9hdXRob3I+
PGF1dGhvcj5WYWxsaWJoYWthcmEsIFMuIEEuPC9hdXRob3I+PGF1dGhvcj5UYW50cmFrdWwsIFYu
PC9hdXRob3I+PGF1dGhvcj5WYWxsaWJoYWthcmEsIE8uPC9hdXRob3I+PGF1dGhvcj5SYXR0YW5h
c2lyaSwgUy48L2F1dGhvcj48YXV0aG9yPk1jRXZveSwgTS48L2F1dGhvcj48YXV0aG9yPkF0dGlh
LCBKLjwvYXV0aG9yPjxhdXRob3I+VGhha2tpbnN0aWFuLCBBLjwvYXV0aG9yPjwvYXV0aG9ycz48
L2NvbnRyaWJ1dG9ycz48YXV0aC1hZGRyZXNzPlNlY3Rpb24gZm9yIENsaW5pY2FsIEVwaWRlbWlv
bG9neSBhbmQgQmlvc3RhdGlzdGljcywgRmFjdWx0eSBvZiBNZWRpY2luZSwgUmFtYXRoaWJvZGkg
SG9zcGl0YWwsIE1haGlkb2wgVW5pdmVyc2l0eSwgMjcwIFJBTUEgVkkgUm9hZCwgUmFjaGF0aGV2
aSwgQmFuZ2tvayAxMDQwMCwgVGhhaWxhbmQuIGRyLndpbmtoYWluZ0BnbWFpbC5jb20uJiN4RDtE
ZXBhcnRtZW50IG9mIFByZXZlbnRpdmUgYW5kIFNvY2lhbCBNZWRpY2luZSwgVW5pdmVyc2l0eSBv
ZiBNZWRpY2luZSwgTWFuZGFsYXkgMTAwMTAyLCBNeWFubWFyLiBkci53aW5raGFpbmdAZ21haWwu
Y29tLiYjeEQ7U2VjdGlvbiBmb3IgQ2xpbmljYWwgRXBpZGVtaW9sb2d5IGFuZCBCaW9zdGF0aXN0
aWNzLCBGYWN1bHR5IG9mIE1lZGljaW5lLCBSYW1hdGhpYm9kaSBIb3NwaXRhbCwgTWFoaWRvbCBV
bml2ZXJzaXR5LCAyNzAgUkFNQSBWSSBSb2FkLCBSYWNoYXRoZXZpLCBCYW5na29rIDEwNDAwLCBU
aGFpbGFuZC4gZHIuc2FrZGFAZ21haWwuY29tLiYjeEQ7U2xlZXAgRGlzb3JkZXIgQ2VudGVyLCBE
aXZpc2lvbiBvZiBQdWxtb25hcnkgYW5kIENyaXRpY2FsIENhcmUsIEZhY3VsdHkgb2YgTWVkaWNp
bmUsIFJhbWF0aGlib2RpIEhvc3BpdGFsLCBNYWhpZG9sIFVuaXZlcnNpdHksIEJhbmdrb2sgMTA0
MDAsIFRoYWlsYW5kLiB2dGFudHJha3VsQGdtYWlsLmNvbS4mI3hEO0RlcGFydG1lbnQgb2YgT2Jz
dGV0cmljcyBhbmQgR3luZWNvbG9neSwgRmFjdWx0eSBvZiBNZWRpY2luZSwgUmFtYXRoaWJvZGkg
SG9zcGl0YWwsIE1haGlkb2wgVW5pdmVyc2l0eSwgQmFuZ2tvayAxMDQwMCwgVGhhaWxhbmQuIG9y
YXdpbnJhMzhAZ21haWwuY29tLiYjeEQ7U2VjdGlvbiBmb3IgQ2xpbmljYWwgRXBpZGVtaW9sb2d5
IGFuZCBCaW9zdGF0aXN0aWNzLCBGYWN1bHR5IG9mIE1lZGljaW5lLCBSYW1hdGhpYm9kaSBIb3Nw
aXRhbCwgTWFoaWRvbCBVbml2ZXJzaXR5LCAyNzAgUkFNQSBWSSBSb2FkLCBSYWNoYXRoZXZpLCBC
YW5na29rIDEwNDAwLCBUaGFpbGFuZC4gc2FzaXZpbW9sLnJhdEBtYWhpZG9sLmFjLnRoLiYjeEQ7
U2Nob29sIG9mIE1lZGljaW5lIGFuZCBQdWJsaWMgSGVhbHRoLCBGYWN1bHR5IG9mIEhlYWx0aCBh
bmQgTWVkaWNpbmUsIFRoZSBVbml2ZXJzaXR5IG9mIE5ld2Nhc3RsZSwgQ2FsbGFnaGFuLCBOU1cg
MjMwOCwgQXVzdHJhbGlhLiBtYXJrLm1jZXZveUBuZXdjYXN0bGUuZWR1LmF1LiYjeEQ7U2Nob29s
IG9mIE1lZGljaW5lIGFuZCBQdWJsaWMgSGVhbHRoLCBGYWN1bHR5IG9mIEhlYWx0aCBhbmQgTWVk
aWNpbmUsIFRoZSBVbml2ZXJzaXR5IG9mIE5ld2Nhc3RsZSwgQ2FsbGFnaGFuLCBOU1cgMjMwOCwg
QXVzdHJhbGlhLiBqb2huLmF0dGlhQG5ld2Nhc3RsZS5lZHUuYXUuJiN4RDtTZWN0aW9uIGZvciBD
bGluaWNhbCBFcGlkZW1pb2xvZ3kgYW5kIEJpb3N0YXRpc3RpY3MsIEZhY3VsdHkgb2YgTWVkaWNp
bmUsIFJhbWF0aGlib2RpIEhvc3BpdGFsLCBNYWhpZG9sIFVuaXZlcnNpdHksIDI3MCBSQU1BIFZJ
IFJvYWQsIFJhY2hhdGhldmksIEJhbmdrb2sgMTA0MDAsIFRoYWlsYW5kLiBhbW1hcmluLnRoYUBt
YWhpZG9sLmFjLnRoLjwvYXV0aC1hZGRyZXNzPjx0aXRsZXM+PHRpdGxlPkNhbGNpdW0gYW5kIFZp
dGFtaW4gRCBTdXBwbGVtZW50YXRpb24gZm9yIFByZXZlbnRpb24gb2YgUHJlZWNsYW1wc2lhOiBB
IFN5c3RlbWF0aWMgUmV2aWV3IGFuZCBOZXR3b3JrIE1ldGEtQW5hbHlzaXM8L3RpdGxlPjxzZWNv
bmRhcnktdGl0bGU+TnV0cmllbnRzPC9zZWNvbmRhcnktdGl0bGU+PC90aXRsZXM+PHBlcmlvZGlj
YWw+PGZ1bGwtdGl0bGU+TnV0cmllbnRzPC9mdWxsLXRpdGxlPjwvcGVyaW9kaWNhbD48dm9sdW1l
Pjk8L3ZvbHVtZT48bnVtYmVyPjEwPC9udW1iZXI+PGVkaXRpb24+MjAxNy8xMC8yNDwvZWRpdGlv
bj48a2V5d29yZHM+PGtleXdvcmQ+QWRvbGVzY2VudDwva2V5d29yZD48a2V5d29yZD5BZHVsdDwv
a2V5d29yZD48a2V5d29yZD5DYWxjaXVtLyphZG1pbmlzdHJhdGlvbiAmYW1wOyBkb3NhZ2UvYWR2
ZXJzZSBlZmZlY3RzPC9rZXl3b3JkPjxrZXl3b3JkPipEaWV0YXJ5IFN1cHBsZW1lbnRzL2FkdmVy
c2UgZWZmZWN0czwva2V5d29yZD48a2V5d29yZD5GZW1hbGU8L2tleXdvcmQ+PGtleXdvcmQ+SHVt
YW5zPC9rZXl3b3JkPjxrZXl3b3JkPlByZS1FY2xhbXBzaWEvZGlhZ25vc2lzL2VwaWRlbWlvbG9n
eS9waHlzaW9wYXRob2xvZ3kvKnByZXZlbnRpb24gJmFtcDsgY29udHJvbDwva2V5d29yZD48a2V5
d29yZD5QcmVnbmFuY3k8L2tleXdvcmQ+PGtleXdvcmQ+UmFuZG9taXplZCBDb250cm9sbGVkIFRy
aWFscyBhcyBUb3BpYzwva2V5d29yZD48a2V5d29yZD5SaXNrIEZhY3RvcnM8L2tleXdvcmQ+PGtl
eXdvcmQ+VHJlYXRtZW50IE91dGNvbWU8L2tleXdvcmQ+PGtleXdvcmQ+Vml0YW1pbiBELyphZG1p
bmlzdHJhdGlvbiAmYW1wOyBkb3NhZ2UvYWR2ZXJzZSBlZmZlY3RzPC9rZXl3b3JkPjxrZXl3b3Jk
PllvdW5nIEFkdWx0PC9rZXl3b3JkPjxrZXl3b3JkPmNhbGNpdW08L2tleXdvcmQ+PGtleXdvcmQ+
Z2VzdGF0aW9uYWwgaHlwZXJ0ZW5zaW9uPC9rZXl3b3JkPjxrZXl3b3JkPm5ldHdvcmsgbWV0YS1h
bmFseXNpczwva2V5d29yZD48a2V5d29yZD5wcmVlY2xhbXBzaWE8L2tleXdvcmQ+PGtleXdvcmQ+
cHJldmVudGlvbjwva2V5d29yZD48a2V5d29yZD5zeXN0ZW1hdGljIHJldmlldzwva2V5d29yZD48
a2V5d29yZD52aXRhbWluIEQ8L2tleXdvcmQ+PC9rZXl3b3Jkcz48ZGF0ZXM+PHllYXI+MjAxNzwv
eWVhcj48cHViLWRhdGVzPjxkYXRlPk9jdCAxODwvZGF0ZT48L3B1Yi1kYXRlcz48L2RhdGVzPjxp
c2JuPjIwNzItNjY0MyAoRWxlY3Ryb25pYykmI3hEOzIwNzItNjY0MyAoTGlua2luZyk8L2lzYm4+
PGFjY2Vzc2lvbi1udW0+MjkwNTc4NDM8L2FjY2Vzc2lvbi1udW0+PHVybHM+PHJlbGF0ZWQtdXJs
cz48dXJsPmh0dHBzOi8vd3d3Lm5jYmkubmxtLm5paC5nb3YvcHVibWVkLzI5MDU3ODQzPC91cmw+
PC9yZWxhdGVkLXVybHM+PC91cmxzPjxjdXN0b20yPlBNQzU2OTE3NTc8L2N1c3RvbTI+PGVsZWN0
cm9uaWMtcmVzb3VyY2UtbnVtPjEwLjMzOTAvbnU5MTAxMTQxPC9lbGVjdHJvbmljLXJlc291cmNl
LW51bT48L3JlY29yZD48L0NpdGU+PC9FbmROb3RlPn==
</w:fldData>
              </w:fldChar>
            </w:r>
            <w:r w:rsidR="002747EA">
              <w:instrText xml:space="preserve"> ADDIN EN.CITE </w:instrText>
            </w:r>
            <w:r w:rsidR="002747EA">
              <w:fldChar w:fldCharType="begin">
                <w:fldData xml:space="preserve">PEVuZE5vdGU+PENpdGU+PEF1dGhvcj5LaGFpbmc8L0F1dGhvcj48WWVhcj4yMDE3PC9ZZWFyPjxS
ZWNOdW0+MTMyMDwvUmVjTnVtPjxEaXNwbGF5VGV4dD48c3R5bGUgZmFjZT0ic3VwZXJzY3JpcHQi
IGZvbnQ9IlRyZWJ1Y2hldCBNUyIgc2l6ZT0iOSI+MTg4PC9zdHlsZT48L0Rpc3BsYXlUZXh0Pjxy
ZWNvcmQ+PHJlYy1udW1iZXI+MTMyMDwvcmVjLW51bWJlcj48Zm9yZWlnbi1rZXlzPjxrZXkgYXBw
PSJFTiIgZGItaWQ9ImV4dmFzcmZ4MmR0cmFvZXNhc3hwMnN6c3hhMmRmNTAyNTkyeCIgdGltZXN0
YW1wPSIxNTY2Nzk4MjYzIj4xMzIwPC9rZXk+PGtleSBhcHA9IkVOV2ViIiBkYi1pZD0iIj4wPC9r
ZXk+PC9mb3JlaWduLWtleXM+PHJlZi10eXBlIG5hbWU9IkpvdXJuYWwgQXJ0aWNsZSI+MTc8L3Jl
Zi10eXBlPjxjb250cmlidXRvcnM+PGF1dGhvcnM+PGF1dGhvcj5LaGFpbmcsIFcuPC9hdXRob3I+
PGF1dGhvcj5WYWxsaWJoYWthcmEsIFMuIEEuPC9hdXRob3I+PGF1dGhvcj5UYW50cmFrdWwsIFYu
PC9hdXRob3I+PGF1dGhvcj5WYWxsaWJoYWthcmEsIE8uPC9hdXRob3I+PGF1dGhvcj5SYXR0YW5h
c2lyaSwgUy48L2F1dGhvcj48YXV0aG9yPk1jRXZveSwgTS48L2F1dGhvcj48YXV0aG9yPkF0dGlh
LCBKLjwvYXV0aG9yPjxhdXRob3I+VGhha2tpbnN0aWFuLCBBLjwvYXV0aG9yPjwvYXV0aG9ycz48
L2NvbnRyaWJ1dG9ycz48YXV0aC1hZGRyZXNzPlNlY3Rpb24gZm9yIENsaW5pY2FsIEVwaWRlbWlv
bG9neSBhbmQgQmlvc3RhdGlzdGljcywgRmFjdWx0eSBvZiBNZWRpY2luZSwgUmFtYXRoaWJvZGkg
SG9zcGl0YWwsIE1haGlkb2wgVW5pdmVyc2l0eSwgMjcwIFJBTUEgVkkgUm9hZCwgUmFjaGF0aGV2
aSwgQmFuZ2tvayAxMDQwMCwgVGhhaWxhbmQuIGRyLndpbmtoYWluZ0BnbWFpbC5jb20uJiN4RDtE
ZXBhcnRtZW50IG9mIFByZXZlbnRpdmUgYW5kIFNvY2lhbCBNZWRpY2luZSwgVW5pdmVyc2l0eSBv
ZiBNZWRpY2luZSwgTWFuZGFsYXkgMTAwMTAyLCBNeWFubWFyLiBkci53aW5raGFpbmdAZ21haWwu
Y29tLiYjeEQ7U2VjdGlvbiBmb3IgQ2xpbmljYWwgRXBpZGVtaW9sb2d5IGFuZCBCaW9zdGF0aXN0
aWNzLCBGYWN1bHR5IG9mIE1lZGljaW5lLCBSYW1hdGhpYm9kaSBIb3NwaXRhbCwgTWFoaWRvbCBV
bml2ZXJzaXR5LCAyNzAgUkFNQSBWSSBSb2FkLCBSYWNoYXRoZXZpLCBCYW5na29rIDEwNDAwLCBU
aGFpbGFuZC4gZHIuc2FrZGFAZ21haWwuY29tLiYjeEQ7U2xlZXAgRGlzb3JkZXIgQ2VudGVyLCBE
aXZpc2lvbiBvZiBQdWxtb25hcnkgYW5kIENyaXRpY2FsIENhcmUsIEZhY3VsdHkgb2YgTWVkaWNp
bmUsIFJhbWF0aGlib2RpIEhvc3BpdGFsLCBNYWhpZG9sIFVuaXZlcnNpdHksIEJhbmdrb2sgMTA0
MDAsIFRoYWlsYW5kLiB2dGFudHJha3VsQGdtYWlsLmNvbS4mI3hEO0RlcGFydG1lbnQgb2YgT2Jz
dGV0cmljcyBhbmQgR3luZWNvbG9neSwgRmFjdWx0eSBvZiBNZWRpY2luZSwgUmFtYXRoaWJvZGkg
SG9zcGl0YWwsIE1haGlkb2wgVW5pdmVyc2l0eSwgQmFuZ2tvayAxMDQwMCwgVGhhaWxhbmQuIG9y
YXdpbnJhMzhAZ21haWwuY29tLiYjeEQ7U2VjdGlvbiBmb3IgQ2xpbmljYWwgRXBpZGVtaW9sb2d5
IGFuZCBCaW9zdGF0aXN0aWNzLCBGYWN1bHR5IG9mIE1lZGljaW5lLCBSYW1hdGhpYm9kaSBIb3Nw
aXRhbCwgTWFoaWRvbCBVbml2ZXJzaXR5LCAyNzAgUkFNQSBWSSBSb2FkLCBSYWNoYXRoZXZpLCBC
YW5na29rIDEwNDAwLCBUaGFpbGFuZC4gc2FzaXZpbW9sLnJhdEBtYWhpZG9sLmFjLnRoLiYjeEQ7
U2Nob29sIG9mIE1lZGljaW5lIGFuZCBQdWJsaWMgSGVhbHRoLCBGYWN1bHR5IG9mIEhlYWx0aCBh
bmQgTWVkaWNpbmUsIFRoZSBVbml2ZXJzaXR5IG9mIE5ld2Nhc3RsZSwgQ2FsbGFnaGFuLCBOU1cg
MjMwOCwgQXVzdHJhbGlhLiBtYXJrLm1jZXZveUBuZXdjYXN0bGUuZWR1LmF1LiYjeEQ7U2Nob29s
IG9mIE1lZGljaW5lIGFuZCBQdWJsaWMgSGVhbHRoLCBGYWN1bHR5IG9mIEhlYWx0aCBhbmQgTWVk
aWNpbmUsIFRoZSBVbml2ZXJzaXR5IG9mIE5ld2Nhc3RsZSwgQ2FsbGFnaGFuLCBOU1cgMjMwOCwg
QXVzdHJhbGlhLiBqb2huLmF0dGlhQG5ld2Nhc3RsZS5lZHUuYXUuJiN4RDtTZWN0aW9uIGZvciBD
bGluaWNhbCBFcGlkZW1pb2xvZ3kgYW5kIEJpb3N0YXRpc3RpY3MsIEZhY3VsdHkgb2YgTWVkaWNp
bmUsIFJhbWF0aGlib2RpIEhvc3BpdGFsLCBNYWhpZG9sIFVuaXZlcnNpdHksIDI3MCBSQU1BIFZJ
IFJvYWQsIFJhY2hhdGhldmksIEJhbmdrb2sgMTA0MDAsIFRoYWlsYW5kLiBhbW1hcmluLnRoYUBt
YWhpZG9sLmFjLnRoLjwvYXV0aC1hZGRyZXNzPjx0aXRsZXM+PHRpdGxlPkNhbGNpdW0gYW5kIFZp
dGFtaW4gRCBTdXBwbGVtZW50YXRpb24gZm9yIFByZXZlbnRpb24gb2YgUHJlZWNsYW1wc2lhOiBB
IFN5c3RlbWF0aWMgUmV2aWV3IGFuZCBOZXR3b3JrIE1ldGEtQW5hbHlzaXM8L3RpdGxlPjxzZWNv
bmRhcnktdGl0bGU+TnV0cmllbnRzPC9zZWNvbmRhcnktdGl0bGU+PC90aXRsZXM+PHBlcmlvZGlj
YWw+PGZ1bGwtdGl0bGU+TnV0cmllbnRzPC9mdWxsLXRpdGxlPjwvcGVyaW9kaWNhbD48dm9sdW1l
Pjk8L3ZvbHVtZT48bnVtYmVyPjEwPC9udW1iZXI+PGVkaXRpb24+MjAxNy8xMC8yNDwvZWRpdGlv
bj48a2V5d29yZHM+PGtleXdvcmQ+QWRvbGVzY2VudDwva2V5d29yZD48a2V5d29yZD5BZHVsdDwv
a2V5d29yZD48a2V5d29yZD5DYWxjaXVtLyphZG1pbmlzdHJhdGlvbiAmYW1wOyBkb3NhZ2UvYWR2
ZXJzZSBlZmZlY3RzPC9rZXl3b3JkPjxrZXl3b3JkPipEaWV0YXJ5IFN1cHBsZW1lbnRzL2FkdmVy
c2UgZWZmZWN0czwva2V5d29yZD48a2V5d29yZD5GZW1hbGU8L2tleXdvcmQ+PGtleXdvcmQ+SHVt
YW5zPC9rZXl3b3JkPjxrZXl3b3JkPlByZS1FY2xhbXBzaWEvZGlhZ25vc2lzL2VwaWRlbWlvbG9n
eS9waHlzaW9wYXRob2xvZ3kvKnByZXZlbnRpb24gJmFtcDsgY29udHJvbDwva2V5d29yZD48a2V5
d29yZD5QcmVnbmFuY3k8L2tleXdvcmQ+PGtleXdvcmQ+UmFuZG9taXplZCBDb250cm9sbGVkIFRy
aWFscyBhcyBUb3BpYzwva2V5d29yZD48a2V5d29yZD5SaXNrIEZhY3RvcnM8L2tleXdvcmQ+PGtl
eXdvcmQ+VHJlYXRtZW50IE91dGNvbWU8L2tleXdvcmQ+PGtleXdvcmQ+Vml0YW1pbiBELyphZG1p
bmlzdHJhdGlvbiAmYW1wOyBkb3NhZ2UvYWR2ZXJzZSBlZmZlY3RzPC9rZXl3b3JkPjxrZXl3b3Jk
PllvdW5nIEFkdWx0PC9rZXl3b3JkPjxrZXl3b3JkPmNhbGNpdW08L2tleXdvcmQ+PGtleXdvcmQ+
Z2VzdGF0aW9uYWwgaHlwZXJ0ZW5zaW9uPC9rZXl3b3JkPjxrZXl3b3JkPm5ldHdvcmsgbWV0YS1h
bmFseXNpczwva2V5d29yZD48a2V5d29yZD5wcmVlY2xhbXBzaWE8L2tleXdvcmQ+PGtleXdvcmQ+
cHJldmVudGlvbjwva2V5d29yZD48a2V5d29yZD5zeXN0ZW1hdGljIHJldmlldzwva2V5d29yZD48
a2V5d29yZD52aXRhbWluIEQ8L2tleXdvcmQ+PC9rZXl3b3Jkcz48ZGF0ZXM+PHllYXI+MjAxNzwv
eWVhcj48cHViLWRhdGVzPjxkYXRlPk9jdCAxODwvZGF0ZT48L3B1Yi1kYXRlcz48L2RhdGVzPjxp
c2JuPjIwNzItNjY0MyAoRWxlY3Ryb25pYykmI3hEOzIwNzItNjY0MyAoTGlua2luZyk8L2lzYm4+
PGFjY2Vzc2lvbi1udW0+MjkwNTc4NDM8L2FjY2Vzc2lvbi1udW0+PHVybHM+PHJlbGF0ZWQtdXJs
cz48dXJsPmh0dHBzOi8vd3d3Lm5jYmkubmxtLm5paC5nb3YvcHVibWVkLzI5MDU3ODQzPC91cmw+
PC9yZWxhdGVkLXVybHM+PC91cmxzPjxjdXN0b20yPlBNQzU2OTE3NTc8L2N1c3RvbTI+PGVsZWN0
cm9uaWMtcmVzb3VyY2UtbnVtPjEwLjMzOTAvbnU5MTAxMTQxPC9lbGVjdHJvbmljLXJlc291cmNl
LW51bT48L3JlY29yZD48L0NpdGU+PC9FbmROb3RlPn==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188</w:t>
            </w:r>
            <w:r w:rsidR="00E51743">
              <w:fldChar w:fldCharType="end"/>
            </w:r>
          </w:p>
        </w:tc>
        <w:tc>
          <w:tcPr>
            <w:tcW w:w="1247" w:type="dxa"/>
          </w:tcPr>
          <w:p w14:paraId="587281C1" w14:textId="77777777" w:rsidR="00CB201F" w:rsidRDefault="009847B7" w:rsidP="00A118C5">
            <w:r>
              <w:t>16 studies</w:t>
            </w:r>
          </w:p>
          <w:p w14:paraId="5182D512" w14:textId="6AF90BAF" w:rsidR="009847B7" w:rsidRPr="00D150D8" w:rsidRDefault="009847B7" w:rsidP="00A118C5">
            <w:r>
              <w:t>25,936 women</w:t>
            </w:r>
          </w:p>
        </w:tc>
        <w:tc>
          <w:tcPr>
            <w:tcW w:w="4961" w:type="dxa"/>
          </w:tcPr>
          <w:p w14:paraId="1486D648" w14:textId="1D52D57F" w:rsidR="00CB201F" w:rsidRDefault="009847B7" w:rsidP="00A118C5">
            <w:r w:rsidRPr="009847B7">
              <w:rPr>
                <w:b/>
              </w:rPr>
              <w:t>Aim</w:t>
            </w:r>
            <w:r>
              <w:t>: To determine the effects of vitamin D with or without calcium in preventing pre-eclampsia.</w:t>
            </w:r>
          </w:p>
          <w:p w14:paraId="2334F27A" w14:textId="5B0FFBDF" w:rsidR="009847B7" w:rsidRPr="00D150D8" w:rsidRDefault="009847B7" w:rsidP="00A118C5">
            <w:r w:rsidRPr="009847B7">
              <w:rPr>
                <w:b/>
              </w:rPr>
              <w:t>Methods</w:t>
            </w:r>
            <w:r>
              <w:t xml:space="preserve">: </w:t>
            </w:r>
            <w:r w:rsidRPr="009847B7">
              <w:t>Literature was systematically searched in Medline, Scopus and Cochrane databases from incep</w:t>
            </w:r>
            <w:r>
              <w:t>tion to July 2017. Only randomis</w:t>
            </w:r>
            <w:r w:rsidRPr="009847B7">
              <w:t>ed controlled trials (RCTs) in English were selected if they had any pair of interventions (calcium, vitamin D, both, or placebo).</w:t>
            </w:r>
          </w:p>
        </w:tc>
        <w:tc>
          <w:tcPr>
            <w:tcW w:w="4536" w:type="dxa"/>
          </w:tcPr>
          <w:p w14:paraId="6B2C0444" w14:textId="77777777" w:rsidR="00613ED0" w:rsidRDefault="00613ED0" w:rsidP="00613ED0">
            <w:r>
              <w:t>Calcium vs placebo:</w:t>
            </w:r>
          </w:p>
          <w:p w14:paraId="4146EB1E" w14:textId="78C3C844" w:rsidR="00613ED0" w:rsidRPr="009847B7" w:rsidRDefault="00613ED0" w:rsidP="009847B7">
            <w:pPr>
              <w:pStyle w:val="bullet"/>
            </w:pPr>
            <w:r>
              <w:t>P</w:t>
            </w:r>
            <w:r w:rsidRPr="00613ED0">
              <w:t>re-eclampsia: RR 0.54 (0.41</w:t>
            </w:r>
            <w:r w:rsidR="00565185">
              <w:t xml:space="preserve"> to</w:t>
            </w:r>
            <w:r w:rsidRPr="00613ED0">
              <w:t xml:space="preserve"> 0.70),</w:t>
            </w:r>
            <w:r w:rsidR="009847B7" w:rsidRPr="009847B7">
              <w:rPr>
                <w:rFonts w:ascii="Helvetica" w:eastAsiaTheme="minorHAnsi" w:hAnsi="Helvetica"/>
                <w:lang w:val="en-GB"/>
              </w:rPr>
              <w:t xml:space="preserve"> </w:t>
            </w:r>
            <w:r w:rsidR="009847B7">
              <w:t>16 RCTs, n=25</w:t>
            </w:r>
            <w:r w:rsidR="009847B7" w:rsidRPr="009847B7">
              <w:t>,</w:t>
            </w:r>
            <w:r w:rsidR="009847B7">
              <w:t>93</w:t>
            </w:r>
            <w:r w:rsidR="009847B7" w:rsidRPr="009847B7">
              <w:t>6 vs. 13,060</w:t>
            </w:r>
          </w:p>
        </w:tc>
        <w:tc>
          <w:tcPr>
            <w:tcW w:w="1843" w:type="dxa"/>
          </w:tcPr>
          <w:p w14:paraId="58B6AB99" w14:textId="77777777" w:rsidR="00CB201F" w:rsidRPr="00D150D8" w:rsidRDefault="00CB201F" w:rsidP="00A118C5"/>
        </w:tc>
      </w:tr>
      <w:tr w:rsidR="00CB201F" w:rsidRPr="00D150D8" w14:paraId="1687C912" w14:textId="77777777" w:rsidTr="00A118C5">
        <w:trPr>
          <w:cantSplit/>
        </w:trPr>
        <w:tc>
          <w:tcPr>
            <w:tcW w:w="1305" w:type="dxa"/>
          </w:tcPr>
          <w:p w14:paraId="2DD8DC9C" w14:textId="6317A305" w:rsidR="00CB201F" w:rsidRPr="00D150D8" w:rsidRDefault="00B81CD9" w:rsidP="002747EA">
            <w:r>
              <w:t>Sun et al 2019</w:t>
            </w:r>
            <w:r w:rsidR="00E51743">
              <w:fldChar w:fldCharType="begin">
                <w:fldData xml:space="preserve">PEVuZE5vdGU+PENpdGU+PEF1dGhvcj5TdW48L0F1dGhvcj48WWVhcj4yMDE5PC9ZZWFyPjxSZWNO
dW0+MTMyNDwvUmVjTnVtPjxEaXNwbGF5VGV4dD48c3R5bGUgZmFjZT0ic3VwZXJzY3JpcHQiIGZv
bnQ9IlRyZWJ1Y2hldCBNUyIgc2l6ZT0iOSI+MTg5PC9zdHlsZT48L0Rpc3BsYXlUZXh0PjxyZWNv
cmQ+PHJlYy1udW1iZXI+MTMyNDwvcmVjLW51bWJlcj48Zm9yZWlnbi1rZXlzPjxrZXkgYXBwPSJF
TiIgZGItaWQ9ImV4dmFzcmZ4MmR0cmFvZXNhc3hwMnN6c3hhMmRmNTAyNTkyeCIgdGltZXN0YW1w
PSIxNTY2Nzk4MjgyIj4xMzI0PC9rZXk+PGtleSBhcHA9IkVOV2ViIiBkYi1pZD0iIj4wPC9rZXk+
PC9mb3JlaWduLWtleXM+PHJlZi10eXBlIG5hbWU9IkpvdXJuYWwgQXJ0aWNsZSI+MTc8L3JlZi10
eXBlPjxjb250cmlidXRvcnM+PGF1dGhvcnM+PGF1dGhvcj5TdW4sIFguPC9hdXRob3I+PGF1dGhv
cj5MaSwgSC48L2F1dGhvcj48YXV0aG9yPkhlLCBYLjwvYXV0aG9yPjxhdXRob3I+TGksIE0uPC9h
dXRob3I+PGF1dGhvcj5ZYW4sIFAuPC9hdXRob3I+PGF1dGhvcj5YdW4sIFkuPC9hdXRob3I+PGF1
dGhvcj5MdSwgQy48L2F1dGhvcj48YXV0aG9yPllhbmcsIEsuPC9hdXRob3I+PGF1dGhvcj5aaGFu
ZywgWC48L2F1dGhvcj48L2F1dGhvcnM+PC9jb250cmlidXRvcnM+PGF1dGgtYWRkcmVzcz5hIERl
cGFydG1lbnQgb2YgT2JzdGV0cmljcyBhbmQgR3luZWNvbG9neSwgVGhlIEZpcnN0IENsaW5pY2Fs
IE1lZGljYWwgQ29sbGVnZSAsIExhbnpob3UgVW5pdmVyc2l0eSwgR2Fuc3UgUHJvdmluY2lhbCBI
b3NwaXRhbCAsIExhbnpob3UgLCBDaGluYS4mI3hEO2IgU2Nob29sIG9mIFB1YmxpYyBIZWFsdGgg
LCBMYW56aG91IFVuaXZlcnNpdHkgLCBMYW56aG91ICwgQ2hpbmEuJiN4RDtjIEV2aWRlbmNlLWJh
c2VkIFNvY2lhbCBTY2llbmNlcyBSZXNlYXJjaCBDZW50ZXIgLCBMYW56aG91IFVuaXZlcnNpdHkg
LCBMYW56aG91ICwgQ2hpbmEuJiN4RDtkIEV2aWRlbmNlLWJhc2VkIE1lZGljaW5lIENlbnRlciwg
U2Nob29sIG9mIEJhc2ljIE1lZGljYWwgU2NpZW5jZXMgLCBMYW56aG91IFVuaXZlcnNpdHkgLCBM
YW56aG91ICwgQ2hpbmEuJiN4RDtlIEluc3RpdHV0ZSBvZiBDbGluaWNhbCBSZXNlYXJjaCBhbmQg
RXZpZGVuY2UgQmFzZWQgTWVkaWNpbmUgLCBHYW5zdSBQcm92aW5jaWFsIEhvc3BpdGFsICwgTGFu
emhvdSAsIENoaW5hLiYjeEQ7ZiBSZXByb2R1Y3RpdmUgTWVkaWNpbmUgSG9zcGl0YWwgb2YgdGhl
IEZpcnN0IEhvc3BpdGFsIG9mIExhbnpob3UgVW5pdmVyc2l0eSAsIExhbnpob3UgLCBDaGluYS48
L2F1dGgtYWRkcmVzcz48dGl0bGVzPjx0aXRsZT5UaGUgYXNzb2NpYXRpb24gYmV0d2VlbiBjYWxj
aXVtIHN1cHBsZW1lbnQgYW5kIHByZWVjbGFtcHNpYSBhbmQgZ2VzdGF0aW9uYWwgaHlwZXJ0ZW5z
aW9uOiBhIHN5c3RlbWF0aWMgcmV2aWV3IGFuZCBtZXRhLWFuYWx5c2lzIG9mIHJhbmRvbWl6ZWQg
dHJpYWxzPC90aXRsZT48c2Vjb25kYXJ5LXRpdGxlPkh5cGVydGVucyBQcmVnbmFuY3k8L3NlY29u
ZGFyeS10aXRsZT48L3RpdGxlcz48cGVyaW9kaWNhbD48ZnVsbC10aXRsZT5IeXBlcnRlbnMgUHJl
Z25hbmN5PC9mdWxsLXRpdGxlPjwvcGVyaW9kaWNhbD48cGFnZXM+MTI5LTEzOTwvcGFnZXM+PHZv
bHVtZT4zODwvdm9sdW1lPjxudW1iZXI+MjwvbnVtYmVyPjxlZGl0aW9uPjIwMTkvMDQvMDM8L2Vk
aXRpb24+PGtleXdvcmRzPjxrZXl3b3JkPlByZWVjbGFtcHNpYTwva2V5d29yZD48a2V5d29yZD5j
YWxjaXVtIGRvc2U8L2tleXdvcmQ+PGtleXdvcmQ+Y2FsY2l1bSBzdXBwbGVtZW50PC9rZXl3b3Jk
PjxrZXl3b3JkPm1ldGEtYW5hbHlzaXM8L2tleXdvcmQ+PGtleXdvcmQ+cHJlZ25hbmN5LWluZHVj
ZWQtaHlwZXJ0ZW5zaW9uPC9rZXl3b3JkPjwva2V5d29yZHM+PGRhdGVzPjx5ZWFyPjIwMTk8L3ll
YXI+PHB1Yi1kYXRlcz48ZGF0ZT5NYXk8L2RhdGU+PC9wdWItZGF0ZXM+PC9kYXRlcz48aXNibj4x
NTI1LTYwNjUgKEVsZWN0cm9uaWMpJiN4RDsxMDY0LTE5NTUgKExpbmtpbmcpPC9pc2JuPjxhY2Nl
c3Npb24tbnVtPjMwOTM1MjQ2PC9hY2Nlc3Npb24tbnVtPjx1cmxzPjxyZWxhdGVkLXVybHM+PHVy
bD5odHRwczovL3d3dy5uY2JpLm5sbS5uaWguZ292L3B1Ym1lZC8zMDkzNTI0NjwvdXJsPjwvcmVs
YXRlZC11cmxzPjwvdXJscz48ZWxlY3Ryb25pYy1yZXNvdXJjZS1udW0+MTAuMTA4MC8xMDY0MTk1
NS4yMDE5LjE1OTM0NDU8L2VsZWN0cm9uaWMtcmVzb3VyY2UtbnVtPjwvcmVjb3JkPjwvQ2l0ZT48
L0VuZE5vdGU+AG==
</w:fldData>
              </w:fldChar>
            </w:r>
            <w:r w:rsidR="002747EA">
              <w:instrText xml:space="preserve"> ADDIN EN.CITE </w:instrText>
            </w:r>
            <w:r w:rsidR="002747EA">
              <w:fldChar w:fldCharType="begin">
                <w:fldData xml:space="preserve">PEVuZE5vdGU+PENpdGU+PEF1dGhvcj5TdW48L0F1dGhvcj48WWVhcj4yMDE5PC9ZZWFyPjxSZWNO
dW0+MTMyNDwvUmVjTnVtPjxEaXNwbGF5VGV4dD48c3R5bGUgZmFjZT0ic3VwZXJzY3JpcHQiIGZv
bnQ9IlRyZWJ1Y2hldCBNUyIgc2l6ZT0iOSI+MTg5PC9zdHlsZT48L0Rpc3BsYXlUZXh0PjxyZWNv
cmQ+PHJlYy1udW1iZXI+MTMyNDwvcmVjLW51bWJlcj48Zm9yZWlnbi1rZXlzPjxrZXkgYXBwPSJF
TiIgZGItaWQ9ImV4dmFzcmZ4MmR0cmFvZXNhc3hwMnN6c3hhMmRmNTAyNTkyeCIgdGltZXN0YW1w
PSIxNTY2Nzk4MjgyIj4xMzI0PC9rZXk+PGtleSBhcHA9IkVOV2ViIiBkYi1pZD0iIj4wPC9rZXk+
PC9mb3JlaWduLWtleXM+PHJlZi10eXBlIG5hbWU9IkpvdXJuYWwgQXJ0aWNsZSI+MTc8L3JlZi10
eXBlPjxjb250cmlidXRvcnM+PGF1dGhvcnM+PGF1dGhvcj5TdW4sIFguPC9hdXRob3I+PGF1dGhv
cj5MaSwgSC48L2F1dGhvcj48YXV0aG9yPkhlLCBYLjwvYXV0aG9yPjxhdXRob3I+TGksIE0uPC9h
dXRob3I+PGF1dGhvcj5ZYW4sIFAuPC9hdXRob3I+PGF1dGhvcj5YdW4sIFkuPC9hdXRob3I+PGF1
dGhvcj5MdSwgQy48L2F1dGhvcj48YXV0aG9yPllhbmcsIEsuPC9hdXRob3I+PGF1dGhvcj5aaGFu
ZywgWC48L2F1dGhvcj48L2F1dGhvcnM+PC9jb250cmlidXRvcnM+PGF1dGgtYWRkcmVzcz5hIERl
cGFydG1lbnQgb2YgT2JzdGV0cmljcyBhbmQgR3luZWNvbG9neSwgVGhlIEZpcnN0IENsaW5pY2Fs
IE1lZGljYWwgQ29sbGVnZSAsIExhbnpob3UgVW5pdmVyc2l0eSwgR2Fuc3UgUHJvdmluY2lhbCBI
b3NwaXRhbCAsIExhbnpob3UgLCBDaGluYS4mI3hEO2IgU2Nob29sIG9mIFB1YmxpYyBIZWFsdGgg
LCBMYW56aG91IFVuaXZlcnNpdHkgLCBMYW56aG91ICwgQ2hpbmEuJiN4RDtjIEV2aWRlbmNlLWJh
c2VkIFNvY2lhbCBTY2llbmNlcyBSZXNlYXJjaCBDZW50ZXIgLCBMYW56aG91IFVuaXZlcnNpdHkg
LCBMYW56aG91ICwgQ2hpbmEuJiN4RDtkIEV2aWRlbmNlLWJhc2VkIE1lZGljaW5lIENlbnRlciwg
U2Nob29sIG9mIEJhc2ljIE1lZGljYWwgU2NpZW5jZXMgLCBMYW56aG91IFVuaXZlcnNpdHkgLCBM
YW56aG91ICwgQ2hpbmEuJiN4RDtlIEluc3RpdHV0ZSBvZiBDbGluaWNhbCBSZXNlYXJjaCBhbmQg
RXZpZGVuY2UgQmFzZWQgTWVkaWNpbmUgLCBHYW5zdSBQcm92aW5jaWFsIEhvc3BpdGFsICwgTGFu
emhvdSAsIENoaW5hLiYjeEQ7ZiBSZXByb2R1Y3RpdmUgTWVkaWNpbmUgSG9zcGl0YWwgb2YgdGhl
IEZpcnN0IEhvc3BpdGFsIG9mIExhbnpob3UgVW5pdmVyc2l0eSAsIExhbnpob3UgLCBDaGluYS48
L2F1dGgtYWRkcmVzcz48dGl0bGVzPjx0aXRsZT5UaGUgYXNzb2NpYXRpb24gYmV0d2VlbiBjYWxj
aXVtIHN1cHBsZW1lbnQgYW5kIHByZWVjbGFtcHNpYSBhbmQgZ2VzdGF0aW9uYWwgaHlwZXJ0ZW5z
aW9uOiBhIHN5c3RlbWF0aWMgcmV2aWV3IGFuZCBtZXRhLWFuYWx5c2lzIG9mIHJhbmRvbWl6ZWQg
dHJpYWxzPC90aXRsZT48c2Vjb25kYXJ5LXRpdGxlPkh5cGVydGVucyBQcmVnbmFuY3k8L3NlY29u
ZGFyeS10aXRsZT48L3RpdGxlcz48cGVyaW9kaWNhbD48ZnVsbC10aXRsZT5IeXBlcnRlbnMgUHJl
Z25hbmN5PC9mdWxsLXRpdGxlPjwvcGVyaW9kaWNhbD48cGFnZXM+MTI5LTEzOTwvcGFnZXM+PHZv
bHVtZT4zODwvdm9sdW1lPjxudW1iZXI+MjwvbnVtYmVyPjxlZGl0aW9uPjIwMTkvMDQvMDM8L2Vk
aXRpb24+PGtleXdvcmRzPjxrZXl3b3JkPlByZWVjbGFtcHNpYTwva2V5d29yZD48a2V5d29yZD5j
YWxjaXVtIGRvc2U8L2tleXdvcmQ+PGtleXdvcmQ+Y2FsY2l1bSBzdXBwbGVtZW50PC9rZXl3b3Jk
PjxrZXl3b3JkPm1ldGEtYW5hbHlzaXM8L2tleXdvcmQ+PGtleXdvcmQ+cHJlZ25hbmN5LWluZHVj
ZWQtaHlwZXJ0ZW5zaW9uPC9rZXl3b3JkPjwva2V5d29yZHM+PGRhdGVzPjx5ZWFyPjIwMTk8L3ll
YXI+PHB1Yi1kYXRlcz48ZGF0ZT5NYXk8L2RhdGU+PC9wdWItZGF0ZXM+PC9kYXRlcz48aXNibj4x
NTI1LTYwNjUgKEVsZWN0cm9uaWMpJiN4RDsxMDY0LTE5NTUgKExpbmtpbmcpPC9pc2JuPjxhY2Nl
c3Npb24tbnVtPjMwOTM1MjQ2PC9hY2Nlc3Npb24tbnVtPjx1cmxzPjxyZWxhdGVkLXVybHM+PHVy
bD5odHRwczovL3d3dy5uY2JpLm5sbS5uaWguZ292L3B1Ym1lZC8zMDkzNTI0NjwvdXJsPjwvcmVs
YXRlZC11cmxzPjwvdXJscz48ZWxlY3Ryb25pYy1yZXNvdXJjZS1udW0+MTAuMTA4MC8xMDY0MTk1
NS4yMDE5LjE1OTM0NDU8L2VsZWN0cm9uaWMtcmVzb3VyY2UtbnVtPjwvcmVjb3JkPjwvQ2l0ZT48
L0VuZE5vdGU+AG==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189</w:t>
            </w:r>
            <w:r w:rsidR="00E51743">
              <w:fldChar w:fldCharType="end"/>
            </w:r>
          </w:p>
        </w:tc>
        <w:tc>
          <w:tcPr>
            <w:tcW w:w="1247" w:type="dxa"/>
          </w:tcPr>
          <w:p w14:paraId="683755C9" w14:textId="77777777" w:rsidR="00CB201F" w:rsidRDefault="00B81CD9" w:rsidP="00A118C5">
            <w:r>
              <w:t>27 studies</w:t>
            </w:r>
          </w:p>
          <w:p w14:paraId="73940BD5" w14:textId="76F14EDF" w:rsidR="00B81CD9" w:rsidRPr="00D150D8" w:rsidRDefault="00B81CD9" w:rsidP="00A118C5">
            <w:r>
              <w:t>28,492 women</w:t>
            </w:r>
          </w:p>
        </w:tc>
        <w:tc>
          <w:tcPr>
            <w:tcW w:w="4961" w:type="dxa"/>
          </w:tcPr>
          <w:p w14:paraId="5A5A4B8D" w14:textId="77777777" w:rsidR="00B81CD9" w:rsidRDefault="00B81CD9" w:rsidP="00B81CD9">
            <w:r w:rsidRPr="00B81CD9">
              <w:rPr>
                <w:b/>
              </w:rPr>
              <w:t>Aim</w:t>
            </w:r>
            <w:r>
              <w:t>: T</w:t>
            </w:r>
            <w:r w:rsidRPr="00B81CD9">
              <w:t xml:space="preserve">o investigate whether calcium supplement with or without other drugs could reduce the risk of preeclampsia and gestational hypertension. </w:t>
            </w:r>
          </w:p>
          <w:p w14:paraId="34575025" w14:textId="77777777" w:rsidR="00B81CD9" w:rsidRDefault="00B81CD9" w:rsidP="00B81CD9">
            <w:r w:rsidRPr="00B81CD9">
              <w:rPr>
                <w:b/>
              </w:rPr>
              <w:t>Methods</w:t>
            </w:r>
            <w:r w:rsidRPr="00B81CD9">
              <w:t xml:space="preserve">: PubMed, Cochrane library, and EMBASE database were searched. </w:t>
            </w:r>
          </w:p>
          <w:p w14:paraId="1196EF4E" w14:textId="240F86D2" w:rsidR="00CB201F" w:rsidRPr="00D150D8" w:rsidRDefault="00B81CD9" w:rsidP="00A118C5">
            <w:r w:rsidRPr="00B81CD9">
              <w:t>27 studies, with 28 492 pregnant women were included. The results showed calcium supplement was associated with lower incidence of Sub-analyses revealed high-dose (1.2-2 g/day), moderate-dose (0.6-1.2 g/day), and low-dose (&lt;0.6 g/day) of calcium supplement could reduce the risk of preeclampsia. For gestational hypertension, only high dose and moderate dose groups were associated with reducing the risk of gestational hypertension. However, we could draw a conclusion which does group was the most protective, as we were unable to directly compare the effects of different doses. </w:t>
            </w:r>
          </w:p>
        </w:tc>
        <w:tc>
          <w:tcPr>
            <w:tcW w:w="4536" w:type="dxa"/>
          </w:tcPr>
          <w:p w14:paraId="226BA844" w14:textId="77777777" w:rsidR="00CB201F" w:rsidRDefault="00B81CD9" w:rsidP="00A118C5">
            <w:r>
              <w:t>Calcium vs placebo:</w:t>
            </w:r>
          </w:p>
          <w:p w14:paraId="6351CD3C" w14:textId="77777777" w:rsidR="00B81CD9" w:rsidRDefault="00B81CD9" w:rsidP="00B81CD9">
            <w:pPr>
              <w:pStyle w:val="bullet"/>
            </w:pPr>
            <w:r>
              <w:t xml:space="preserve">Preeclampsia: </w:t>
            </w:r>
            <w:r w:rsidRPr="00B81CD9">
              <w:t>RR 0.51</w:t>
            </w:r>
            <w:r>
              <w:t xml:space="preserve"> (</w:t>
            </w:r>
            <w:r w:rsidRPr="00B81CD9">
              <w:t>0.40 to 0.64)</w:t>
            </w:r>
          </w:p>
          <w:p w14:paraId="66673FCD" w14:textId="44F91E63" w:rsidR="00B81CD9" w:rsidRPr="00D150D8" w:rsidRDefault="00B81CD9" w:rsidP="00B81CD9">
            <w:pPr>
              <w:pStyle w:val="bullet"/>
            </w:pPr>
            <w:r>
              <w:t xml:space="preserve">Gestational hypertension: </w:t>
            </w:r>
            <w:r w:rsidRPr="00B81CD9">
              <w:t>RR 0.70</w:t>
            </w:r>
            <w:r>
              <w:t xml:space="preserve"> (</w:t>
            </w:r>
            <w:r w:rsidRPr="00B81CD9">
              <w:t>0.60 to 0.82)</w:t>
            </w:r>
          </w:p>
        </w:tc>
        <w:tc>
          <w:tcPr>
            <w:tcW w:w="1843" w:type="dxa"/>
          </w:tcPr>
          <w:p w14:paraId="22078BB8" w14:textId="77777777" w:rsidR="00CB201F" w:rsidRPr="00D150D8" w:rsidRDefault="00CB201F" w:rsidP="00A118C5"/>
        </w:tc>
      </w:tr>
    </w:tbl>
    <w:p w14:paraId="10EEC966" w14:textId="5CDFCBD1" w:rsidR="00D150D8" w:rsidRPr="009740A7" w:rsidRDefault="009C163D" w:rsidP="00932C6D">
      <w:pPr>
        <w:pStyle w:val="TableName"/>
      </w:pPr>
      <w:bookmarkStart w:id="93" w:name="_Toc40956628"/>
      <w:r>
        <w:t xml:space="preserve">Q3 </w:t>
      </w:r>
      <w:r w:rsidR="00D150D8">
        <w:t xml:space="preserve">Harms and benefits of </w:t>
      </w:r>
      <w:r w:rsidR="00BC1D42">
        <w:t>calciu</w:t>
      </w:r>
      <w:r w:rsidR="00FF3C23">
        <w:t>m</w:t>
      </w:r>
      <w:r w:rsidR="00D150D8">
        <w:t xml:space="preserve"> supplementation</w:t>
      </w:r>
      <w:r w:rsidR="00BC1D42">
        <w:t xml:space="preserve"> in pregnancy</w:t>
      </w:r>
      <w:r w:rsidR="00D150D8">
        <w:t xml:space="preserve"> — </w:t>
      </w:r>
      <w:r w:rsidR="00D56FB3">
        <w:t>RCT</w:t>
      </w:r>
      <w:r w:rsidR="00D150D8">
        <w:t>s</w:t>
      </w:r>
      <w:bookmarkEnd w:id="9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0: Q3 Harms and benefits of calcium supplementation in pregnancy — RCTs"/>
      </w:tblPr>
      <w:tblGrid>
        <w:gridCol w:w="1305"/>
        <w:gridCol w:w="1528"/>
        <w:gridCol w:w="4680"/>
        <w:gridCol w:w="4536"/>
        <w:gridCol w:w="1843"/>
      </w:tblGrid>
      <w:tr w:rsidR="00D150D8" w:rsidRPr="00F350A6" w14:paraId="62FF1D08" w14:textId="77777777" w:rsidTr="00D150D8">
        <w:trPr>
          <w:cantSplit/>
          <w:tblHeader/>
        </w:trPr>
        <w:tc>
          <w:tcPr>
            <w:tcW w:w="1305" w:type="dxa"/>
          </w:tcPr>
          <w:p w14:paraId="33B100A2" w14:textId="77777777" w:rsidR="00D150D8" w:rsidRPr="00F350A6" w:rsidRDefault="00D150D8" w:rsidP="00D150D8">
            <w:pPr>
              <w:keepNext/>
              <w:rPr>
                <w:b/>
              </w:rPr>
            </w:pPr>
            <w:r>
              <w:rPr>
                <w:b/>
              </w:rPr>
              <w:t>Study ref</w:t>
            </w:r>
          </w:p>
        </w:tc>
        <w:tc>
          <w:tcPr>
            <w:tcW w:w="1528" w:type="dxa"/>
          </w:tcPr>
          <w:p w14:paraId="287211A2" w14:textId="77777777" w:rsidR="00D150D8" w:rsidRPr="00F350A6" w:rsidRDefault="00D150D8" w:rsidP="00D150D8">
            <w:pPr>
              <w:keepNext/>
              <w:rPr>
                <w:b/>
              </w:rPr>
            </w:pPr>
            <w:r>
              <w:rPr>
                <w:b/>
              </w:rPr>
              <w:t>N</w:t>
            </w:r>
          </w:p>
        </w:tc>
        <w:tc>
          <w:tcPr>
            <w:tcW w:w="4680" w:type="dxa"/>
          </w:tcPr>
          <w:p w14:paraId="3B1B31F8" w14:textId="0F73D6BA" w:rsidR="00D150D8" w:rsidRPr="00F350A6" w:rsidRDefault="00D150D8" w:rsidP="00D150D8">
            <w:pPr>
              <w:keepNext/>
              <w:rPr>
                <w:b/>
              </w:rPr>
            </w:pPr>
            <w:r>
              <w:rPr>
                <w:b/>
              </w:rPr>
              <w:t>Aim/</w:t>
            </w:r>
            <w:r w:rsidRPr="00F350A6">
              <w:rPr>
                <w:b/>
              </w:rPr>
              <w:t>population</w:t>
            </w:r>
            <w:r w:rsidR="0030367B">
              <w:rPr>
                <w:b/>
              </w:rPr>
              <w:t>/</w:t>
            </w:r>
            <w:r>
              <w:rPr>
                <w:b/>
              </w:rPr>
              <w:t>intervention</w:t>
            </w:r>
          </w:p>
        </w:tc>
        <w:tc>
          <w:tcPr>
            <w:tcW w:w="4536" w:type="dxa"/>
          </w:tcPr>
          <w:p w14:paraId="1D58C0D3" w14:textId="77777777" w:rsidR="00D150D8" w:rsidRPr="00F350A6" w:rsidRDefault="00D150D8" w:rsidP="00D150D8">
            <w:pPr>
              <w:keepNext/>
              <w:rPr>
                <w:b/>
              </w:rPr>
            </w:pPr>
            <w:r>
              <w:rPr>
                <w:b/>
              </w:rPr>
              <w:t>Results</w:t>
            </w:r>
          </w:p>
        </w:tc>
        <w:tc>
          <w:tcPr>
            <w:tcW w:w="1843" w:type="dxa"/>
          </w:tcPr>
          <w:p w14:paraId="70EA2E4C" w14:textId="77777777" w:rsidR="00D150D8" w:rsidRPr="00F350A6" w:rsidRDefault="00D150D8" w:rsidP="00D150D8">
            <w:pPr>
              <w:keepNext/>
              <w:rPr>
                <w:b/>
              </w:rPr>
            </w:pPr>
            <w:r>
              <w:rPr>
                <w:b/>
              </w:rPr>
              <w:t>Comments</w:t>
            </w:r>
          </w:p>
        </w:tc>
      </w:tr>
      <w:tr w:rsidR="00D150D8" w:rsidRPr="00D150D8" w14:paraId="08A7116D" w14:textId="77777777" w:rsidTr="00D150D8">
        <w:trPr>
          <w:cantSplit/>
          <w:tblHeader/>
        </w:trPr>
        <w:tc>
          <w:tcPr>
            <w:tcW w:w="1305" w:type="dxa"/>
          </w:tcPr>
          <w:p w14:paraId="7C5641F1" w14:textId="3BCF55A5" w:rsidR="00D150D8" w:rsidRDefault="0030367B" w:rsidP="00A118C5">
            <w:r>
              <w:t>Cullers et al 2019</w:t>
            </w:r>
            <w:r w:rsidR="00E51743">
              <w:fldChar w:fldCharType="begin"/>
            </w:r>
            <w:r w:rsidR="002747EA">
              <w:instrText xml:space="preserve"> ADDIN EN.CITE &lt;EndNote&gt;&lt;Cite&gt;&lt;Author&gt;Cullers&lt;/Author&gt;&lt;Year&gt;2019&lt;/Year&gt;&lt;RecNum&gt;1327&lt;/RecNum&gt;&lt;DisplayText&gt;&lt;style face="superscript" font="Trebuchet MS" size="9"&gt;190&lt;/style&gt;&lt;/DisplayText&gt;&lt;record&gt;&lt;rec-number&gt;1327&lt;/rec-number&gt;&lt;foreign-keys&gt;&lt;key app="EN" db-id="exvasrfx2dtraoesasxp2szsxa2df502592x" timestamp="1566802807"&gt;1327&lt;/key&gt;&lt;/foreign-keys&gt;&lt;ref-type name="Journal Article"&gt;17&lt;/ref-type&gt;&lt;contributors&gt;&lt;authors&gt;&lt;author&gt;Cullers, A.&lt;/author&gt;&lt;author&gt;King, J. C.&lt;/author&gt;&lt;author&gt;Van Loan, M.&lt;/author&gt;&lt;author&gt;Gildengorin, G.&lt;/author&gt;&lt;author&gt;Fung, E. B.&lt;/author&gt;&lt;/authors&gt;&lt;/contributors&gt;&lt;auth-address&gt;Department of Kinesiology, Missouri Southern State University, Joplin, MO.&amp;#xD;Children&amp;apos;s Hospital Oakland Research Institute, Oakland, CA.&amp;#xD;USDA Western States Nutrition Research Center, Davis, CA.&lt;/auth-address&gt;&lt;titles&gt;&lt;title&gt;Effect of prenatal calcium supplementation on bone during pregnancy and 1 y postpartum&lt;/title&gt;&lt;secondary-title&gt;Am J Clin Nutr&lt;/secondary-title&gt;&lt;/titles&gt;&lt;periodical&gt;&lt;full-title&gt;Am J Clin Nutr&lt;/full-title&gt;&lt;/periodical&gt;&lt;pages&gt;197-206&lt;/pages&gt;&lt;volume&gt;109&lt;/volume&gt;&lt;number&gt;1&lt;/number&gt;&lt;edition&gt;2019/01/17&lt;/edition&gt;&lt;dates&gt;&lt;year&gt;2019&lt;/year&gt;&lt;pub-dates&gt;&lt;date&gt;Jan 1&lt;/date&gt;&lt;/pub-dates&gt;&lt;/dates&gt;&lt;isbn&gt;1938-3207 (Electronic)&amp;#xD;0002-9165 (Linking)&lt;/isbn&gt;&lt;accession-num&gt;30649176&lt;/accession-num&gt;&lt;urls&gt;&lt;related-urls&gt;&lt;url&gt;https://www.ncbi.nlm.nih.gov/pubmed/30649176&lt;/url&gt;&lt;/related-urls&gt;&lt;/urls&gt;&lt;electronic-resource-num&gt;10.1093/ajcn/nqy233&lt;/electronic-resource-num&gt;&lt;/record&gt;&lt;/Cite&gt;&lt;/EndNote&gt;</w:instrText>
            </w:r>
            <w:r w:rsidR="00E51743">
              <w:fldChar w:fldCharType="separate"/>
            </w:r>
            <w:r w:rsidR="002747EA" w:rsidRPr="002747EA">
              <w:rPr>
                <w:noProof/>
                <w:vertAlign w:val="superscript"/>
              </w:rPr>
              <w:t>190</w:t>
            </w:r>
            <w:r w:rsidR="00E51743">
              <w:fldChar w:fldCharType="end"/>
            </w:r>
          </w:p>
          <w:p w14:paraId="7009ACD2" w14:textId="28F7EF6D" w:rsidR="0030367B" w:rsidRPr="00D150D8" w:rsidRDefault="0030367B" w:rsidP="00A118C5">
            <w:r>
              <w:t xml:space="preserve">United States </w:t>
            </w:r>
          </w:p>
        </w:tc>
        <w:tc>
          <w:tcPr>
            <w:tcW w:w="1528" w:type="dxa"/>
          </w:tcPr>
          <w:p w14:paraId="7A69F482" w14:textId="77777777" w:rsidR="00D150D8" w:rsidRDefault="00D015C6" w:rsidP="00A118C5">
            <w:r>
              <w:t>15 intervention</w:t>
            </w:r>
          </w:p>
          <w:p w14:paraId="3E37EA3A" w14:textId="2886A779" w:rsidR="00D015C6" w:rsidRPr="00D150D8" w:rsidRDefault="00D015C6" w:rsidP="00A118C5">
            <w:r>
              <w:t>15 control</w:t>
            </w:r>
          </w:p>
        </w:tc>
        <w:tc>
          <w:tcPr>
            <w:tcW w:w="4680" w:type="dxa"/>
          </w:tcPr>
          <w:p w14:paraId="23A80771" w14:textId="77777777" w:rsidR="0030367B" w:rsidRDefault="0030367B" w:rsidP="00A118C5">
            <w:r w:rsidRPr="0030367B">
              <w:rPr>
                <w:b/>
              </w:rPr>
              <w:t>Aim</w:t>
            </w:r>
            <w:r>
              <w:t>: T</w:t>
            </w:r>
            <w:r w:rsidRPr="003E4D93">
              <w:t xml:space="preserve">o determine the effect of maternal calcium supplementation on peripheral cortical and trabecular bone loss during pregnancy and bone gain postpartum. </w:t>
            </w:r>
          </w:p>
          <w:p w14:paraId="203D2364" w14:textId="4F3166FB" w:rsidR="0030367B" w:rsidRDefault="0030367B" w:rsidP="00A118C5">
            <w:r w:rsidRPr="0030367B">
              <w:rPr>
                <w:b/>
              </w:rPr>
              <w:t>Population</w:t>
            </w:r>
            <w:r>
              <w:t>: Women at 16 weeks gestation.</w:t>
            </w:r>
          </w:p>
          <w:p w14:paraId="02218951" w14:textId="10FDA55A" w:rsidR="00D150D8" w:rsidRPr="00D150D8" w:rsidRDefault="0030367B" w:rsidP="0030367B">
            <w:r w:rsidRPr="0030367B">
              <w:rPr>
                <w:b/>
              </w:rPr>
              <w:t>Intervention</w:t>
            </w:r>
            <w:r w:rsidRPr="003E4D93">
              <w:t xml:space="preserve">: </w:t>
            </w:r>
            <w:r>
              <w:t>1</w:t>
            </w:r>
            <w:r w:rsidR="004F206A">
              <w:t>,</w:t>
            </w:r>
            <w:r>
              <w:t>000 mg Ca/d</w:t>
            </w:r>
            <w:r w:rsidRPr="003E4D93">
              <w:t xml:space="preserve"> for the remainder of the pregnancy. </w:t>
            </w:r>
          </w:p>
        </w:tc>
        <w:tc>
          <w:tcPr>
            <w:tcW w:w="4536" w:type="dxa"/>
          </w:tcPr>
          <w:p w14:paraId="485D38A1" w14:textId="77777777" w:rsidR="00D150D8" w:rsidRDefault="00DB25CF" w:rsidP="00DB25CF">
            <w:r>
              <w:t>Intervention vs control:</w:t>
            </w:r>
          </w:p>
          <w:p w14:paraId="5F961AA8" w14:textId="77777777" w:rsidR="00DB25CF" w:rsidRDefault="00DB25CF" w:rsidP="00A118C5">
            <w:pPr>
              <w:pStyle w:val="bullet"/>
            </w:pPr>
            <w:r>
              <w:t xml:space="preserve">Osteocalcin (ng/mL) </w:t>
            </w:r>
            <w:r w:rsidR="00FE7482">
              <w:t>4 months postpartum: 14.2±2.5 vs 17.3±3.9</w:t>
            </w:r>
          </w:p>
          <w:p w14:paraId="5B9D9E86" w14:textId="027FE6C0" w:rsidR="00FE7482" w:rsidRPr="00D015C6" w:rsidRDefault="00FE7482" w:rsidP="00A118C5">
            <w:pPr>
              <w:pStyle w:val="bullet"/>
            </w:pPr>
            <w:r>
              <w:t xml:space="preserve">Osteocalcin (ng/mL) 12 months postpartum: </w:t>
            </w:r>
            <w:r w:rsidR="000A3481">
              <w:t>11.3±3.6 vs 13.9±3.4</w:t>
            </w:r>
          </w:p>
        </w:tc>
        <w:tc>
          <w:tcPr>
            <w:tcW w:w="1843" w:type="dxa"/>
          </w:tcPr>
          <w:p w14:paraId="48D75A11" w14:textId="77777777" w:rsidR="00D150D8" w:rsidRPr="00D150D8" w:rsidRDefault="00D150D8" w:rsidP="00A118C5"/>
        </w:tc>
      </w:tr>
      <w:tr w:rsidR="003B3442" w:rsidRPr="00D150D8" w14:paraId="7BD85F19" w14:textId="77777777" w:rsidTr="00D150D8">
        <w:trPr>
          <w:cantSplit/>
          <w:tblHeader/>
        </w:trPr>
        <w:tc>
          <w:tcPr>
            <w:tcW w:w="1305" w:type="dxa"/>
          </w:tcPr>
          <w:p w14:paraId="1F826001" w14:textId="77B218BA" w:rsidR="003B3442" w:rsidRDefault="003B3442" w:rsidP="00A118C5">
            <w:r>
              <w:t>Ettinger et al 2014</w:t>
            </w:r>
            <w:r w:rsidR="00E51743">
              <w:fldChar w:fldCharType="begin">
                <w:fldData xml:space="preserve">PEVuZE5vdGU+PENpdGU+PEF1dGhvcj5FdHRpbmdlcjwvQXV0aG9yPjxZZWFyPjIwMTQ8L1llYXI+
PFJlY051bT4xMzI2PC9SZWNOdW0+PERpc3BsYXlUZXh0PjxzdHlsZSBmYWNlPSJzdXBlcnNjcmlw
dCIgZm9udD0iVHJlYnVjaGV0IE1TIiBzaXplPSI5Ij4xOTE8L3N0eWxlPjwvRGlzcGxheVRleHQ+
PHJlY29yZD48cmVjLW51bWJlcj4xMzI2PC9yZWMtbnVtYmVyPjxmb3JlaWduLWtleXM+PGtleSBh
cHA9IkVOIiBkYi1pZD0iZXh2YXNyZngyZHRyYW9lc2FzeHAyc3pzeGEyZGY1MDI1OTJ4IiB0aW1l
c3RhbXA9IjE1NjY4MDI3MjQiPjEzMjY8L2tleT48L2ZvcmVpZ24ta2V5cz48cmVmLXR5cGUgbmFt
ZT0iSm91cm5hbCBBcnRpY2xlIj4xNzwvcmVmLXR5cGU+PGNvbnRyaWJ1dG9ycz48YXV0aG9ycz48
YXV0aG9yPkV0dGluZ2VyLCBBLiBTLjwvYXV0aG9yPjxhdXRob3I+TGFtYWRyaWQtRmlndWVyb2Es
IEguPC9hdXRob3I+PGF1dGhvcj5NZXJjYWRvLUdhcmNpYSwgQS48L2F1dGhvcj48YXV0aG9yPktv
cmRhcywgSy48L2F1dGhvcj48YXV0aG9yPldvb2QsIFIuIEouPC9hdXRob3I+PGF1dGhvcj5QZXRl
cnNvbiwgSy4gRS48L2F1dGhvcj48YXV0aG9yPkh1LCBILjwvYXV0aG9yPjxhdXRob3I+SGVybmFu
ZGV6LUF2aWxhLCBNLjwvYXV0aG9yPjxhdXRob3I+VGVsbGV6LVJvam8sIE0uIE0uPC9hdXRob3I+
PC9hdXRob3JzPjwvY29udHJpYnV0b3JzPjxhdXRoLWFkZHJlc3M+Q2VudGVyIGZvciBQZXJpbmF0
YWwsIFBlZGlhdHJpYywgYW5kIEVudmlyb25tZW50YWwgRXBpZGVtaW9sb2d5LCBZYWxlIFNjaG9v
bHMgb2YgUHVibGljIEhlYWx0aCBhbmQgTWVkaWNpbmUsIDEgQ2h1cmNoIFN0cmVldCA2dGggZmxv
b3IsIE5ldyBIYXZlbiwgQ1QgMDY1MTAsIFVTQS4gYWRyaWVubmUuZXR0aW5nZXJAeWFsZS5lZHUu
PC9hdXRoLWFkZHJlc3M+PHRpdGxlcz48dGl0bGU+RWZmZWN0IG9mIGNhbGNpdW0gc3VwcGxlbWVu
dGF0aW9uIG9uIGJvbmUgcmVzb3JwdGlvbiBpbiBwcmVnbmFuY3kgYW5kIHRoZSBlYXJseSBwb3N0
cGFydHVtOiBhIHJhbmRvbWl6ZWQgY29udHJvbGxlZCB0cmlhbCBpbiBNZXhpY2FuIHdvbWVuPC90
aXRsZT48c2Vjb25kYXJ5LXRpdGxlPk51dHIgSjwvc2Vjb25kYXJ5LXRpdGxlPjwvdGl0bGVzPjxw
ZXJpb2RpY2FsPjxmdWxsLXRpdGxlPk51dHIgSjwvZnVsbC10aXRsZT48L3BlcmlvZGljYWw+PHBh
Z2VzPjExNjwvcGFnZXM+PHZvbHVtZT4xMzwvdm9sdW1lPjxudW1iZXI+MTwvbnVtYmVyPjxlZGl0
aW9uPjIwMTQvMTIvMTc8L2VkaXRpb24+PGtleXdvcmRzPjxrZXl3b3JkPkFsa2FsaW5lIFBob3Nw
aGF0YXNlL2Jsb29kPC9rZXl3b3JkPjxrZXl3b3JkPkJpb21hcmtlcnMvdXJpbmU8L2tleXdvcmQ+
PGtleXdvcmQ+Qm9uZSBSZXNvcnB0aW9uL2NvbXBsaWNhdGlvbnMvKnByZXZlbnRpb24gJmFtcDsg
Y29udHJvbDwva2V5d29yZD48a2V5d29yZD5Cb25lIGFuZCBCb25lcy9kaWFnbm9zdGljIGltYWdp
bmcvZW56eW1vbG9neTwva2V5d29yZD48a2V5d29yZD5DYWxjaXVtLCBEaWV0YXJ5LyphZG1pbmlz
dHJhdGlvbiAmYW1wOyBkb3NhZ2U8L2tleXdvcmQ+PGtleXdvcmQ+Q29sbGFnZW4gVHlwZSBJL3Vy
aW5lPC9rZXl3b3JkPjxrZXl3b3JkPkRpZXRhcnkgU3VwcGxlbWVudHM8L2tleXdvcmQ+PGtleXdv
cmQ+RG91YmxlLUJsaW5kIE1ldGhvZDwva2V5d29yZD48a2V5d29yZD5GZW1hbGU8L2tleXdvcmQ+
PGtleXdvcmQ+SHVtYW5zPC9rZXl3b3JkPjxrZXl3b3JkPk1leGljbzwva2V5d29yZD48a2V5d29y
ZD5QZXB0aWRlcy91cmluZTwva2V5d29yZD48a2V5d29yZD5QbGFjZWJvczwva2V5d29yZD48a2V5
d29yZD4qUG9zdHBhcnR1bSBQZXJpb2Q8L2tleXdvcmQ+PGtleXdvcmQ+UHJlZ25hbmN5PC9rZXl3
b3JkPjxrZXl3b3JkPlByZWduYW5jeSBDb21wbGljYXRpb25zLypwcmV2ZW50aW9uICZhbXA7IGNv
bnRyb2w8L2tleXdvcmQ+PGtleXdvcmQ+VWx0cmFzb25vZ3JhcGh5PC9rZXl3b3JkPjwva2V5d29y
ZHM+PGRhdGVzPjx5ZWFyPjIwMTQ8L3llYXI+PHB1Yi1kYXRlcz48ZGF0ZT5EZWMgMTY8L2RhdGU+
PC9wdWItZGF0ZXM+PC9kYXRlcz48aXNibj4xNDc1LTI4OTEgKEVsZWN0cm9uaWMpJiN4RDsxNDc1
LTI4OTEgKExpbmtpbmcpPC9pc2JuPjxhY2Nlc3Npb24tbnVtPjI1NTExODE0PC9hY2Nlc3Npb24t
bnVtPjx1cmxzPjxyZWxhdGVkLXVybHM+PHVybD5odHRwczovL3d3dy5uY2JpLm5sbS5uaWguZ292
L3B1Ym1lZC8yNTUxMTgxNDwvdXJsPjwvcmVsYXRlZC11cmxzPjwvdXJscz48Y3VzdG9tMj5QTUM0
Mjg5NTUyPC9jdXN0b20yPjxlbGVjdHJvbmljLXJlc291cmNlLW51bT4xMC4xMTg2LzE0NzUtMjg5
MS0xMy0xMTY8L2VsZWN0cm9uaWMtcmVzb3VyY2UtbnVtPjwvcmVjb3JkPjwvQ2l0ZT48L0VuZE5v
dGU+AG==
</w:fldData>
              </w:fldChar>
            </w:r>
            <w:r w:rsidR="002747EA">
              <w:instrText xml:space="preserve"> ADDIN EN.CITE </w:instrText>
            </w:r>
            <w:r w:rsidR="002747EA">
              <w:fldChar w:fldCharType="begin">
                <w:fldData xml:space="preserve">PEVuZE5vdGU+PENpdGU+PEF1dGhvcj5FdHRpbmdlcjwvQXV0aG9yPjxZZWFyPjIwMTQ8L1llYXI+
PFJlY051bT4xMzI2PC9SZWNOdW0+PERpc3BsYXlUZXh0PjxzdHlsZSBmYWNlPSJzdXBlcnNjcmlw
dCIgZm9udD0iVHJlYnVjaGV0IE1TIiBzaXplPSI5Ij4xOTE8L3N0eWxlPjwvRGlzcGxheVRleHQ+
PHJlY29yZD48cmVjLW51bWJlcj4xMzI2PC9yZWMtbnVtYmVyPjxmb3JlaWduLWtleXM+PGtleSBh
cHA9IkVOIiBkYi1pZD0iZXh2YXNyZngyZHRyYW9lc2FzeHAyc3pzeGEyZGY1MDI1OTJ4IiB0aW1l
c3RhbXA9IjE1NjY4MDI3MjQiPjEzMjY8L2tleT48L2ZvcmVpZ24ta2V5cz48cmVmLXR5cGUgbmFt
ZT0iSm91cm5hbCBBcnRpY2xlIj4xNzwvcmVmLXR5cGU+PGNvbnRyaWJ1dG9ycz48YXV0aG9ycz48
YXV0aG9yPkV0dGluZ2VyLCBBLiBTLjwvYXV0aG9yPjxhdXRob3I+TGFtYWRyaWQtRmlndWVyb2Es
IEguPC9hdXRob3I+PGF1dGhvcj5NZXJjYWRvLUdhcmNpYSwgQS48L2F1dGhvcj48YXV0aG9yPktv
cmRhcywgSy48L2F1dGhvcj48YXV0aG9yPldvb2QsIFIuIEouPC9hdXRob3I+PGF1dGhvcj5QZXRl
cnNvbiwgSy4gRS48L2F1dGhvcj48YXV0aG9yPkh1LCBILjwvYXV0aG9yPjxhdXRob3I+SGVybmFu
ZGV6LUF2aWxhLCBNLjwvYXV0aG9yPjxhdXRob3I+VGVsbGV6LVJvam8sIE0uIE0uPC9hdXRob3I+
PC9hdXRob3JzPjwvY29udHJpYnV0b3JzPjxhdXRoLWFkZHJlc3M+Q2VudGVyIGZvciBQZXJpbmF0
YWwsIFBlZGlhdHJpYywgYW5kIEVudmlyb25tZW50YWwgRXBpZGVtaW9sb2d5LCBZYWxlIFNjaG9v
bHMgb2YgUHVibGljIEhlYWx0aCBhbmQgTWVkaWNpbmUsIDEgQ2h1cmNoIFN0cmVldCA2dGggZmxv
b3IsIE5ldyBIYXZlbiwgQ1QgMDY1MTAsIFVTQS4gYWRyaWVubmUuZXR0aW5nZXJAeWFsZS5lZHUu
PC9hdXRoLWFkZHJlc3M+PHRpdGxlcz48dGl0bGU+RWZmZWN0IG9mIGNhbGNpdW0gc3VwcGxlbWVu
dGF0aW9uIG9uIGJvbmUgcmVzb3JwdGlvbiBpbiBwcmVnbmFuY3kgYW5kIHRoZSBlYXJseSBwb3N0
cGFydHVtOiBhIHJhbmRvbWl6ZWQgY29udHJvbGxlZCB0cmlhbCBpbiBNZXhpY2FuIHdvbWVuPC90
aXRsZT48c2Vjb25kYXJ5LXRpdGxlPk51dHIgSjwvc2Vjb25kYXJ5LXRpdGxlPjwvdGl0bGVzPjxw
ZXJpb2RpY2FsPjxmdWxsLXRpdGxlPk51dHIgSjwvZnVsbC10aXRsZT48L3BlcmlvZGljYWw+PHBh
Z2VzPjExNjwvcGFnZXM+PHZvbHVtZT4xMzwvdm9sdW1lPjxudW1iZXI+MTwvbnVtYmVyPjxlZGl0
aW9uPjIwMTQvMTIvMTc8L2VkaXRpb24+PGtleXdvcmRzPjxrZXl3b3JkPkFsa2FsaW5lIFBob3Nw
aGF0YXNlL2Jsb29kPC9rZXl3b3JkPjxrZXl3b3JkPkJpb21hcmtlcnMvdXJpbmU8L2tleXdvcmQ+
PGtleXdvcmQ+Qm9uZSBSZXNvcnB0aW9uL2NvbXBsaWNhdGlvbnMvKnByZXZlbnRpb24gJmFtcDsg
Y29udHJvbDwva2V5d29yZD48a2V5d29yZD5Cb25lIGFuZCBCb25lcy9kaWFnbm9zdGljIGltYWdp
bmcvZW56eW1vbG9neTwva2V5d29yZD48a2V5d29yZD5DYWxjaXVtLCBEaWV0YXJ5LyphZG1pbmlz
dHJhdGlvbiAmYW1wOyBkb3NhZ2U8L2tleXdvcmQ+PGtleXdvcmQ+Q29sbGFnZW4gVHlwZSBJL3Vy
aW5lPC9rZXl3b3JkPjxrZXl3b3JkPkRpZXRhcnkgU3VwcGxlbWVudHM8L2tleXdvcmQ+PGtleXdv
cmQ+RG91YmxlLUJsaW5kIE1ldGhvZDwva2V5d29yZD48a2V5d29yZD5GZW1hbGU8L2tleXdvcmQ+
PGtleXdvcmQ+SHVtYW5zPC9rZXl3b3JkPjxrZXl3b3JkPk1leGljbzwva2V5d29yZD48a2V5d29y
ZD5QZXB0aWRlcy91cmluZTwva2V5d29yZD48a2V5d29yZD5QbGFjZWJvczwva2V5d29yZD48a2V5
d29yZD4qUG9zdHBhcnR1bSBQZXJpb2Q8L2tleXdvcmQ+PGtleXdvcmQ+UHJlZ25hbmN5PC9rZXl3
b3JkPjxrZXl3b3JkPlByZWduYW5jeSBDb21wbGljYXRpb25zLypwcmV2ZW50aW9uICZhbXA7IGNv
bnRyb2w8L2tleXdvcmQ+PGtleXdvcmQ+VWx0cmFzb25vZ3JhcGh5PC9rZXl3b3JkPjwva2V5d29y
ZHM+PGRhdGVzPjx5ZWFyPjIwMTQ8L3llYXI+PHB1Yi1kYXRlcz48ZGF0ZT5EZWMgMTY8L2RhdGU+
PC9wdWItZGF0ZXM+PC9kYXRlcz48aXNibj4xNDc1LTI4OTEgKEVsZWN0cm9uaWMpJiN4RDsxNDc1
LTI4OTEgKExpbmtpbmcpPC9pc2JuPjxhY2Nlc3Npb24tbnVtPjI1NTExODE0PC9hY2Nlc3Npb24t
bnVtPjx1cmxzPjxyZWxhdGVkLXVybHM+PHVybD5odHRwczovL3d3dy5uY2JpLm5sbS5uaWguZ292
L3B1Ym1lZC8yNTUxMTgxNDwvdXJsPjwvcmVsYXRlZC11cmxzPjwvdXJscz48Y3VzdG9tMj5QTUM0
Mjg5NTUyPC9jdXN0b20yPjxlbGVjdHJvbmljLXJlc291cmNlLW51bT4xMC4xMTg2LzE0NzUtMjg5
MS0xMy0xMTY8L2VsZWN0cm9uaWMtcmVzb3VyY2UtbnVtPjwvcmVjb3JkPjwvQ2l0ZT48L0VuZE5v
dGU+AG==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191</w:t>
            </w:r>
            <w:r w:rsidR="00E51743">
              <w:fldChar w:fldCharType="end"/>
            </w:r>
          </w:p>
          <w:p w14:paraId="04B32D96" w14:textId="67A9D1F7" w:rsidR="003B3442" w:rsidRDefault="003B3442" w:rsidP="00A118C5">
            <w:r>
              <w:t>Mexico</w:t>
            </w:r>
          </w:p>
        </w:tc>
        <w:tc>
          <w:tcPr>
            <w:tcW w:w="1528" w:type="dxa"/>
          </w:tcPr>
          <w:p w14:paraId="31699FD4" w14:textId="77777777" w:rsidR="003B3442" w:rsidRDefault="003B3442" w:rsidP="00A118C5">
            <w:r>
              <w:t>Intervention 334</w:t>
            </w:r>
          </w:p>
          <w:p w14:paraId="68E87E6D" w14:textId="7EC67BA5" w:rsidR="003B3442" w:rsidRDefault="003B3442" w:rsidP="00A118C5">
            <w:r>
              <w:t>Control 336</w:t>
            </w:r>
          </w:p>
        </w:tc>
        <w:tc>
          <w:tcPr>
            <w:tcW w:w="4680" w:type="dxa"/>
          </w:tcPr>
          <w:p w14:paraId="6BF81046" w14:textId="496A400F" w:rsidR="003B3442" w:rsidRPr="003B3442" w:rsidRDefault="003B3442" w:rsidP="003B3442">
            <w:r>
              <w:rPr>
                <w:b/>
              </w:rPr>
              <w:t>Aim:</w:t>
            </w:r>
            <w:r>
              <w:t xml:space="preserve"> T</w:t>
            </w:r>
            <w:r w:rsidRPr="003B3442">
              <w:t>o evaluate the effect</w:t>
            </w:r>
            <w:r>
              <w:t xml:space="preserve"> </w:t>
            </w:r>
            <w:r w:rsidRPr="003B3442">
              <w:t>of dietary calcium supplementation on bone turnover</w:t>
            </w:r>
            <w:r>
              <w:t xml:space="preserve"> </w:t>
            </w:r>
            <w:r w:rsidRPr="003B3442">
              <w:t>during pregnancy and the early postpartum period</w:t>
            </w:r>
          </w:p>
          <w:p w14:paraId="487F9538" w14:textId="0C285060" w:rsidR="003B3442" w:rsidRPr="003B3442" w:rsidRDefault="003B3442" w:rsidP="00A118C5">
            <w:r>
              <w:rPr>
                <w:b/>
              </w:rPr>
              <w:t>Population</w:t>
            </w:r>
            <w:r w:rsidRPr="003B3442">
              <w:t>: Women in the first trimester of pregnancy.</w:t>
            </w:r>
          </w:p>
          <w:p w14:paraId="3A46F882" w14:textId="01A02CF3" w:rsidR="003B3442" w:rsidRPr="0030367B" w:rsidRDefault="003B3442" w:rsidP="00A118C5">
            <w:pPr>
              <w:rPr>
                <w:b/>
              </w:rPr>
            </w:pPr>
            <w:r>
              <w:rPr>
                <w:b/>
              </w:rPr>
              <w:t>Intervention</w:t>
            </w:r>
            <w:r w:rsidRPr="003B3442">
              <w:t xml:space="preserve">: </w:t>
            </w:r>
            <w:r>
              <w:t>1,200 mg Ca/d</w:t>
            </w:r>
          </w:p>
        </w:tc>
        <w:tc>
          <w:tcPr>
            <w:tcW w:w="4536" w:type="dxa"/>
          </w:tcPr>
          <w:p w14:paraId="18E62B8F" w14:textId="1056B638" w:rsidR="005A34AC" w:rsidRPr="005A34AC" w:rsidRDefault="00BF3022" w:rsidP="005A34AC">
            <w:r>
              <w:t>I</w:t>
            </w:r>
            <w:r w:rsidR="005A34AC">
              <w:t>ntervention vs control:</w:t>
            </w:r>
          </w:p>
          <w:p w14:paraId="4FB8760E" w14:textId="1F362D05" w:rsidR="003B3442" w:rsidRDefault="00BF3022" w:rsidP="00864819">
            <w:pPr>
              <w:pStyle w:val="bullet"/>
            </w:pPr>
            <w:r>
              <w:t>Bone resorption: reduction of 15.8% relative to placebo (p&lt;0.001)</w:t>
            </w:r>
          </w:p>
        </w:tc>
        <w:tc>
          <w:tcPr>
            <w:tcW w:w="1843" w:type="dxa"/>
          </w:tcPr>
          <w:p w14:paraId="7295E753" w14:textId="77777777" w:rsidR="003B3442" w:rsidRPr="00D150D8" w:rsidRDefault="003B3442" w:rsidP="00A118C5"/>
        </w:tc>
      </w:tr>
    </w:tbl>
    <w:p w14:paraId="45416230" w14:textId="109B007F" w:rsidR="005668AF" w:rsidRPr="009740A7" w:rsidRDefault="009C163D" w:rsidP="00932C6D">
      <w:pPr>
        <w:pStyle w:val="TableName"/>
      </w:pPr>
      <w:bookmarkStart w:id="94" w:name="_Toc40956629"/>
      <w:r>
        <w:t xml:space="preserve">Q3 </w:t>
      </w:r>
      <w:r w:rsidR="005668AF">
        <w:t xml:space="preserve">Harms and benefits of calcium supplementation in pregnancy — </w:t>
      </w:r>
      <w:r w:rsidR="009B1EE9">
        <w:t>cost-effectiveness study</w:t>
      </w:r>
      <w:bookmarkEnd w:id="9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1: Q3 Harms and benefits of calcium supplementation in pregnancy — cost-effectiveness study"/>
      </w:tblPr>
      <w:tblGrid>
        <w:gridCol w:w="1417"/>
        <w:gridCol w:w="1417"/>
        <w:gridCol w:w="4679"/>
        <w:gridCol w:w="4536"/>
        <w:gridCol w:w="1843"/>
      </w:tblGrid>
      <w:tr w:rsidR="00360E5F" w:rsidRPr="00F350A6" w14:paraId="2CC3963A" w14:textId="77777777" w:rsidTr="00360E5F">
        <w:trPr>
          <w:cantSplit/>
          <w:tblHeader/>
        </w:trPr>
        <w:tc>
          <w:tcPr>
            <w:tcW w:w="1417" w:type="dxa"/>
          </w:tcPr>
          <w:p w14:paraId="786097A3" w14:textId="77777777" w:rsidR="005668AF" w:rsidRPr="00F350A6" w:rsidRDefault="005668AF" w:rsidP="00E51743">
            <w:pPr>
              <w:keepNext/>
              <w:rPr>
                <w:b/>
              </w:rPr>
            </w:pPr>
            <w:r>
              <w:rPr>
                <w:b/>
              </w:rPr>
              <w:t>Study ref</w:t>
            </w:r>
          </w:p>
        </w:tc>
        <w:tc>
          <w:tcPr>
            <w:tcW w:w="1417" w:type="dxa"/>
          </w:tcPr>
          <w:p w14:paraId="2CA63E01" w14:textId="77777777" w:rsidR="005668AF" w:rsidRPr="00F350A6" w:rsidRDefault="005668AF" w:rsidP="00E51743">
            <w:pPr>
              <w:keepNext/>
              <w:rPr>
                <w:b/>
              </w:rPr>
            </w:pPr>
            <w:r>
              <w:rPr>
                <w:b/>
              </w:rPr>
              <w:t>N</w:t>
            </w:r>
          </w:p>
        </w:tc>
        <w:tc>
          <w:tcPr>
            <w:tcW w:w="4679" w:type="dxa"/>
          </w:tcPr>
          <w:p w14:paraId="00A57486" w14:textId="43319672" w:rsidR="005668AF" w:rsidRPr="00F350A6" w:rsidRDefault="005668AF" w:rsidP="00360E5F">
            <w:pPr>
              <w:keepNext/>
              <w:rPr>
                <w:b/>
              </w:rPr>
            </w:pPr>
            <w:r>
              <w:rPr>
                <w:b/>
              </w:rPr>
              <w:t>Aim/methods</w:t>
            </w:r>
          </w:p>
        </w:tc>
        <w:tc>
          <w:tcPr>
            <w:tcW w:w="4536" w:type="dxa"/>
          </w:tcPr>
          <w:p w14:paraId="6673E915" w14:textId="77777777" w:rsidR="005668AF" w:rsidRPr="00F350A6" w:rsidRDefault="005668AF" w:rsidP="00E51743">
            <w:pPr>
              <w:keepNext/>
              <w:rPr>
                <w:b/>
              </w:rPr>
            </w:pPr>
            <w:r>
              <w:rPr>
                <w:b/>
              </w:rPr>
              <w:t>Results</w:t>
            </w:r>
          </w:p>
        </w:tc>
        <w:tc>
          <w:tcPr>
            <w:tcW w:w="1843" w:type="dxa"/>
          </w:tcPr>
          <w:p w14:paraId="07C1B183" w14:textId="77777777" w:rsidR="005668AF" w:rsidRPr="00F350A6" w:rsidRDefault="005668AF" w:rsidP="00E51743">
            <w:pPr>
              <w:keepNext/>
              <w:rPr>
                <w:b/>
              </w:rPr>
            </w:pPr>
            <w:r>
              <w:rPr>
                <w:b/>
              </w:rPr>
              <w:t>Comments</w:t>
            </w:r>
          </w:p>
        </w:tc>
      </w:tr>
      <w:tr w:rsidR="00360E5F" w:rsidRPr="005668AF" w14:paraId="42146A48" w14:textId="77777777" w:rsidTr="00360E5F">
        <w:trPr>
          <w:cantSplit/>
        </w:trPr>
        <w:tc>
          <w:tcPr>
            <w:tcW w:w="1417" w:type="dxa"/>
          </w:tcPr>
          <w:p w14:paraId="61000C22" w14:textId="10AD46AC" w:rsidR="007741B2" w:rsidRDefault="007741B2" w:rsidP="002747EA">
            <w:r>
              <w:t>Meertens et al 2018</w:t>
            </w:r>
            <w:r w:rsidR="00E51743">
              <w:fldChar w:fldCharType="begin">
                <w:fldData xml:space="preserve">PEVuZE5vdGU+PENpdGU+PEF1dGhvcj5NZWVydGVuczwvQXV0aG9yPjxZZWFyPjIwMTg8L1llYXI+
PFJlY051bT4xMzIzPC9SZWNOdW0+PERpc3BsYXlUZXh0PjxzdHlsZSBmYWNlPSJzdXBlcnNjcmlw
dCIgZm9udD0iVHJlYnVjaGV0IE1TIiBzaXplPSI5Ij4xOTI8L3N0eWxlPjwvRGlzcGxheVRleHQ+
PHJlY29yZD48cmVjLW51bWJlcj4xMzIzPC9yZWMtbnVtYmVyPjxmb3JlaWduLWtleXM+PGtleSBh
cHA9IkVOIiBkYi1pZD0iZXh2YXNyZngyZHRyYW9lc2FzeHAyc3pzeGEyZGY1MDI1OTJ4IiB0aW1l
c3RhbXA9IjE1NjY3OTgyNzgiPjEzMjM8L2tleT48a2V5IGFwcD0iRU5XZWIiIGRiLWlkPSIiPjA8
L2tleT48L2ZvcmVpZ24ta2V5cz48cmVmLXR5cGUgbmFtZT0iSm91cm5hbCBBcnRpY2xlIj4xNzwv
cmVmLXR5cGU+PGNvbnRyaWJ1dG9ycz48YXV0aG9ycz48YXV0aG9yPk1lZXJ0ZW5zLCBMLiBKLiBF
LjwvYXV0aG9yPjxhdXRob3I+U2NoZWVwZXJzLCBILiBDLiBKLjwvYXV0aG9yPjxhdXRob3I+V2ls
bGVtc2UsIEpwbW08L2F1dGhvcj48YXV0aG9yPlNwYWFuZGVybWFuLCBNLiBFLiBBLjwvYXV0aG9y
PjxhdXRob3I+U21pdHMsIEwuIEouIE0uPC9hdXRob3I+PC9hdXRob3JzPjwvY29udHJpYnV0b3Jz
PjxhdXRoLWFkZHJlc3M+RGVwYXJ0bWVudCBvZiBFcGlkZW1pb2xvZ3ksIENhcmUgYW5kIFB1Ymxp
YyBIZWFsdGggUmVzZWFyY2ggSW5zdGl0dXRlIChDQVBIUkkpLCBNYWFzdHJpY2h0IFVuaXZlcnNp
dHksIE1hYXN0cmljaHQsIFRoZSBOZXRoZXJsYW5kcy4mI3hEO0RlcGFydG1lbnQgb2YgT2JzdGV0
cmljcyBhbmQgR3luYWVjb2xvZ3ksIEdST1cgU2Nob29sIGZvciBPbmNvbG9neSBhbmQgRGV2ZWxv
cG1lbnRhbCBCaW9sb2d5LCBNYWFzdHJpY2h0IFVuaXZlcnNpdHkgTWVkaWNhbCBDZW50cmUsIE1h
YXN0cmljaHQsIFRoZSBOZXRoZXJsYW5kcy4mI3hEO0ZhY3VsdHkgb2YgSGVhbHRoIE1lZGljaW5l
IGFuZCBMaWZlIFNjaWVuY2VzLCBNYWFzdHJpY2h0IFVuaXZlcnNpdHksIE1hYXN0cmljaHQsIFRo
ZSBOZXRoZXJsYW5kcy48L2F1dGgtYWRkcmVzcz48dGl0bGVzPjx0aXRsZT5TaG91bGQgd29tZW4g
YmUgYWR2aXNlZCB0byB1c2UgY2FsY2l1bSBzdXBwbGVtZW50cyBkdXJpbmcgcHJlZ25hbmN5PyBB
IGRlY2lzaW9uIGFuYWx5c2lzPC90aXRsZT48c2Vjb25kYXJ5LXRpdGxlPk1hdGVybiBDaGlsZCBO
dXRyPC9zZWNvbmRhcnktdGl0bGU+PC90aXRsZXM+PHBlcmlvZGljYWw+PGZ1bGwtdGl0bGU+TWF0
ZXJuIENoaWxkIE51dHI8L2Z1bGwtdGl0bGU+PC9wZXJpb2RpY2FsPjx2b2x1bWU+MTQ8L3ZvbHVt
ZT48bnVtYmVyPjE8L251bWJlcj48ZWRpdGlvbj4yMDE3LzA2LzIwPC9lZGl0aW9uPjxrZXl3b3Jk
cz48a2V5d29yZD5BZHVsdDwva2V5d29yZD48a2V5d29yZD5DYWxjaXVtL2RlZmljaWVuY3k8L2tl
eXdvcmQ+PGtleXdvcmQ+Q2FsY2l1bSwgRGlldGFyeS9hZHZlcnNlIGVmZmVjdHMvZWNvbm9taWNz
Lyp0aGVyYXBldXRpYyB1c2U8L2tleXdvcmQ+PGtleXdvcmQ+Q29tYmluZWQgTW9kYWxpdHkgVGhl
cmFweS9lY29ub21pY3M8L2tleXdvcmQ+PGtleXdvcmQ+Q29zdCBTYXZpbmdzPC9rZXl3b3JkPjxr
ZXl3b3JkPkNvc3RzIGFuZCBDb3N0IEFuYWx5c2lzPC9rZXl3b3JkPjxrZXl3b3JkPkRlY2lzaW9u
IFN1cHBvcnQgVGVjaG5pcXVlczwva2V5d29yZD48a2V5d29yZD5EZWZpY2llbmN5IERpc2Vhc2Vz
L2Vjb25vbWljcy9lcGlkZW1pb2xvZ3kvcGh5c2lvcGF0aG9sb2d5L3ByZXZlbnRpb24gJmFtcDsg
Y29udHJvbDwva2V5d29yZD48a2V5d29yZD5EZXZlbG9wZWQgQ291bnRyaWVzPC9rZXl3b3JkPjxr
ZXl3b3JkPipEaWV0YXJ5IFN1cHBsZW1lbnRzL2FkdmVyc2UgZWZmZWN0cy9lY29ub21pY3M8L2tl
eXdvcmQ+PGtleXdvcmQ+KkV2aWRlbmNlLUJhc2VkIE1lZGljaW5lL2Vjb25vbWljczwva2V5d29y
ZD48a2V5d29yZD5GZW1hbGU8L2tleXdvcmQ+PGtleXdvcmQ+SG9zcGl0YWwgQ29zdHM8L2tleXdv
cmQ+PGtleXdvcmQ+SHVtYW5zPC9rZXl3b3JkPjxrZXl3b3JkPkluY2lkZW5jZTwva2V5d29yZD48
a2V5d29yZD4qTWF0ZXJuYWwgTnV0cml0aW9uYWwgUGh5c2lvbG9naWNhbCBQaGVub21lbmE8L2tl
eXdvcmQ+PGtleXdvcmQ+Kk1vZGVscywgRWNvbm9taWM8L2tleXdvcmQ+PGtleXdvcmQ+UGF0aWVu
dCBFZHVjYXRpb24gYXMgVG9waWMvZWNvbm9taWNzPC9rZXl3b3JkPjxrZXl3b3JkPipQcmFjdGlj
ZSBHdWlkZWxpbmVzIGFzIFRvcGljPC9rZXl3b3JkPjxrZXl3b3JkPlByZS1FY2xhbXBzaWEvZWNv
bm9taWNzL2V0aW9sb2d5LypwcmV2ZW50aW9uICZhbXA7IGNvbnRyb2wvdGhlcmFweTwva2V5d29y
ZD48a2V5d29yZD5QcmVnbmFuY3k8L2tleXdvcmQ+PGtleXdvcmQ+UHJlZ25hbmN5IENvbXBsaWNh
dGlvbnMvZWNvbm9taWNzL2VwaWRlbWlvbG9neS9waHlzaW9wYXRob2xvZ3kvcHJldmVudGlvbiAm
YW1wOzwva2V5d29yZD48a2V5d29yZD5jb250cm9sPC9rZXl3b3JkPjxrZXl3b3JkPlJpc2s8L2tl
eXdvcmQ+PGtleXdvcmQ+KmNhbGNpdW0gc3VwcGxlbWVudGF0aW9uPC9rZXl3b3JkPjxrZXl3b3Jk
PipkZWNpc2lvbiBhbmFseXNpczwva2V5d29yZD48a2V5d29yZD4qaW1wYWN0PC9rZXl3b3JkPjxr
ZXl3b3JkPipwcmUtZWNsYW1wc2lhPC9rZXl3b3JkPjwva2V5d29yZHM+PGRhdGVzPjx5ZWFyPjIw
MTg8L3llYXI+PHB1Yi1kYXRlcz48ZGF0ZT5KYW48L2RhdGU+PC9wdWItZGF0ZXM+PC9kYXRlcz48
aXNibj4xNzQwLTg3MDkgKEVsZWN0cm9uaWMpJiN4RDsxNzQwLTg2OTUgKExpbmtpbmcpPC9pc2Ju
PjxhY2Nlc3Npb24tbnVtPjI4NjI2ODc4PC9hY2Nlc3Npb24tbnVtPjx1cmxzPjxyZWxhdGVkLXVy
bHM+PHVybD5odHRwczovL3d3dy5uY2JpLm5sbS5uaWguZ292L3B1Ym1lZC8yODYyNjg3ODwvdXJs
PjwvcmVsYXRlZC11cmxzPjwvdXJscz48ZWxlY3Ryb25pYy1yZXNvdXJjZS1udW0+MTAuMTExMS9t
Y24uMTI0Nzk8L2VsZWN0cm9uaWMtcmVzb3VyY2UtbnVtPjwvcmVjb3JkPjwvQ2l0ZT48L0VuZE5v
dGU+
</w:fldData>
              </w:fldChar>
            </w:r>
            <w:r w:rsidR="002747EA">
              <w:instrText xml:space="preserve"> ADDIN EN.CITE </w:instrText>
            </w:r>
            <w:r w:rsidR="002747EA">
              <w:fldChar w:fldCharType="begin">
                <w:fldData xml:space="preserve">PEVuZE5vdGU+PENpdGU+PEF1dGhvcj5NZWVydGVuczwvQXV0aG9yPjxZZWFyPjIwMTg8L1llYXI+
PFJlY051bT4xMzIzPC9SZWNOdW0+PERpc3BsYXlUZXh0PjxzdHlsZSBmYWNlPSJzdXBlcnNjcmlw
dCIgZm9udD0iVHJlYnVjaGV0IE1TIiBzaXplPSI5Ij4xOTI8L3N0eWxlPjwvRGlzcGxheVRleHQ+
PHJlY29yZD48cmVjLW51bWJlcj4xMzIzPC9yZWMtbnVtYmVyPjxmb3JlaWduLWtleXM+PGtleSBh
cHA9IkVOIiBkYi1pZD0iZXh2YXNyZngyZHRyYW9lc2FzeHAyc3pzeGEyZGY1MDI1OTJ4IiB0aW1l
c3RhbXA9IjE1NjY3OTgyNzgiPjEzMjM8L2tleT48a2V5IGFwcD0iRU5XZWIiIGRiLWlkPSIiPjA8
L2tleT48L2ZvcmVpZ24ta2V5cz48cmVmLXR5cGUgbmFtZT0iSm91cm5hbCBBcnRpY2xlIj4xNzwv
cmVmLXR5cGU+PGNvbnRyaWJ1dG9ycz48YXV0aG9ycz48YXV0aG9yPk1lZXJ0ZW5zLCBMLiBKLiBF
LjwvYXV0aG9yPjxhdXRob3I+U2NoZWVwZXJzLCBILiBDLiBKLjwvYXV0aG9yPjxhdXRob3I+V2ls
bGVtc2UsIEpwbW08L2F1dGhvcj48YXV0aG9yPlNwYWFuZGVybWFuLCBNLiBFLiBBLjwvYXV0aG9y
PjxhdXRob3I+U21pdHMsIEwuIEouIE0uPC9hdXRob3I+PC9hdXRob3JzPjwvY29udHJpYnV0b3Jz
PjxhdXRoLWFkZHJlc3M+RGVwYXJ0bWVudCBvZiBFcGlkZW1pb2xvZ3ksIENhcmUgYW5kIFB1Ymxp
YyBIZWFsdGggUmVzZWFyY2ggSW5zdGl0dXRlIChDQVBIUkkpLCBNYWFzdHJpY2h0IFVuaXZlcnNp
dHksIE1hYXN0cmljaHQsIFRoZSBOZXRoZXJsYW5kcy4mI3hEO0RlcGFydG1lbnQgb2YgT2JzdGV0
cmljcyBhbmQgR3luYWVjb2xvZ3ksIEdST1cgU2Nob29sIGZvciBPbmNvbG9neSBhbmQgRGV2ZWxv
cG1lbnRhbCBCaW9sb2d5LCBNYWFzdHJpY2h0IFVuaXZlcnNpdHkgTWVkaWNhbCBDZW50cmUsIE1h
YXN0cmljaHQsIFRoZSBOZXRoZXJsYW5kcy4mI3hEO0ZhY3VsdHkgb2YgSGVhbHRoIE1lZGljaW5l
IGFuZCBMaWZlIFNjaWVuY2VzLCBNYWFzdHJpY2h0IFVuaXZlcnNpdHksIE1hYXN0cmljaHQsIFRo
ZSBOZXRoZXJsYW5kcy48L2F1dGgtYWRkcmVzcz48dGl0bGVzPjx0aXRsZT5TaG91bGQgd29tZW4g
YmUgYWR2aXNlZCB0byB1c2UgY2FsY2l1bSBzdXBwbGVtZW50cyBkdXJpbmcgcHJlZ25hbmN5PyBB
IGRlY2lzaW9uIGFuYWx5c2lzPC90aXRsZT48c2Vjb25kYXJ5LXRpdGxlPk1hdGVybiBDaGlsZCBO
dXRyPC9zZWNvbmRhcnktdGl0bGU+PC90aXRsZXM+PHBlcmlvZGljYWw+PGZ1bGwtdGl0bGU+TWF0
ZXJuIENoaWxkIE51dHI8L2Z1bGwtdGl0bGU+PC9wZXJpb2RpY2FsPjx2b2x1bWU+MTQ8L3ZvbHVt
ZT48bnVtYmVyPjE8L251bWJlcj48ZWRpdGlvbj4yMDE3LzA2LzIwPC9lZGl0aW9uPjxrZXl3b3Jk
cz48a2V5d29yZD5BZHVsdDwva2V5d29yZD48a2V5d29yZD5DYWxjaXVtL2RlZmljaWVuY3k8L2tl
eXdvcmQ+PGtleXdvcmQ+Q2FsY2l1bSwgRGlldGFyeS9hZHZlcnNlIGVmZmVjdHMvZWNvbm9taWNz
Lyp0aGVyYXBldXRpYyB1c2U8L2tleXdvcmQ+PGtleXdvcmQ+Q29tYmluZWQgTW9kYWxpdHkgVGhl
cmFweS9lY29ub21pY3M8L2tleXdvcmQ+PGtleXdvcmQ+Q29zdCBTYXZpbmdzPC9rZXl3b3JkPjxr
ZXl3b3JkPkNvc3RzIGFuZCBDb3N0IEFuYWx5c2lzPC9rZXl3b3JkPjxrZXl3b3JkPkRlY2lzaW9u
IFN1cHBvcnQgVGVjaG5pcXVlczwva2V5d29yZD48a2V5d29yZD5EZWZpY2llbmN5IERpc2Vhc2Vz
L2Vjb25vbWljcy9lcGlkZW1pb2xvZ3kvcGh5c2lvcGF0aG9sb2d5L3ByZXZlbnRpb24gJmFtcDsg
Y29udHJvbDwva2V5d29yZD48a2V5d29yZD5EZXZlbG9wZWQgQ291bnRyaWVzPC9rZXl3b3JkPjxr
ZXl3b3JkPipEaWV0YXJ5IFN1cHBsZW1lbnRzL2FkdmVyc2UgZWZmZWN0cy9lY29ub21pY3M8L2tl
eXdvcmQ+PGtleXdvcmQ+KkV2aWRlbmNlLUJhc2VkIE1lZGljaW5lL2Vjb25vbWljczwva2V5d29y
ZD48a2V5d29yZD5GZW1hbGU8L2tleXdvcmQ+PGtleXdvcmQ+SG9zcGl0YWwgQ29zdHM8L2tleXdv
cmQ+PGtleXdvcmQ+SHVtYW5zPC9rZXl3b3JkPjxrZXl3b3JkPkluY2lkZW5jZTwva2V5d29yZD48
a2V5d29yZD4qTWF0ZXJuYWwgTnV0cml0aW9uYWwgUGh5c2lvbG9naWNhbCBQaGVub21lbmE8L2tl
eXdvcmQ+PGtleXdvcmQ+Kk1vZGVscywgRWNvbm9taWM8L2tleXdvcmQ+PGtleXdvcmQ+UGF0aWVu
dCBFZHVjYXRpb24gYXMgVG9waWMvZWNvbm9taWNzPC9rZXl3b3JkPjxrZXl3b3JkPipQcmFjdGlj
ZSBHdWlkZWxpbmVzIGFzIFRvcGljPC9rZXl3b3JkPjxrZXl3b3JkPlByZS1FY2xhbXBzaWEvZWNv
bm9taWNzL2V0aW9sb2d5LypwcmV2ZW50aW9uICZhbXA7IGNvbnRyb2wvdGhlcmFweTwva2V5d29y
ZD48a2V5d29yZD5QcmVnbmFuY3k8L2tleXdvcmQ+PGtleXdvcmQ+UHJlZ25hbmN5IENvbXBsaWNh
dGlvbnMvZWNvbm9taWNzL2VwaWRlbWlvbG9neS9waHlzaW9wYXRob2xvZ3kvcHJldmVudGlvbiAm
YW1wOzwva2V5d29yZD48a2V5d29yZD5jb250cm9sPC9rZXl3b3JkPjxrZXl3b3JkPlJpc2s8L2tl
eXdvcmQ+PGtleXdvcmQ+KmNhbGNpdW0gc3VwcGxlbWVudGF0aW9uPC9rZXl3b3JkPjxrZXl3b3Jk
PipkZWNpc2lvbiBhbmFseXNpczwva2V5d29yZD48a2V5d29yZD4qaW1wYWN0PC9rZXl3b3JkPjxr
ZXl3b3JkPipwcmUtZWNsYW1wc2lhPC9rZXl3b3JkPjwva2V5d29yZHM+PGRhdGVzPjx5ZWFyPjIw
MTg8L3llYXI+PHB1Yi1kYXRlcz48ZGF0ZT5KYW48L2RhdGU+PC9wdWItZGF0ZXM+PC9kYXRlcz48
aXNibj4xNzQwLTg3MDkgKEVsZWN0cm9uaWMpJiN4RDsxNzQwLTg2OTUgKExpbmtpbmcpPC9pc2Ju
PjxhY2Nlc3Npb24tbnVtPjI4NjI2ODc4PC9hY2Nlc3Npb24tbnVtPjx1cmxzPjxyZWxhdGVkLXVy
bHM+PHVybD5odHRwczovL3d3dy5uY2JpLm5sbS5uaWguZ292L3B1Ym1lZC8yODYyNjg3ODwvdXJs
PjwvcmVsYXRlZC11cmxzPjwvdXJscz48ZWxlY3Ryb25pYy1yZXNvdXJjZS1udW0+MTAuMTExMS9t
Y24uMTI0Nzk8L2VsZWN0cm9uaWMtcmVzb3VyY2UtbnVtPjwvcmVjb3JkPjwvQ2l0ZT48L0VuZE5v
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192</w:t>
            </w:r>
            <w:r w:rsidR="00E51743">
              <w:fldChar w:fldCharType="end"/>
            </w:r>
          </w:p>
        </w:tc>
        <w:tc>
          <w:tcPr>
            <w:tcW w:w="1417" w:type="dxa"/>
          </w:tcPr>
          <w:p w14:paraId="59DE5502" w14:textId="14C15690" w:rsidR="007741B2" w:rsidRDefault="007741B2" w:rsidP="005668AF">
            <w:r>
              <w:t>100,000</w:t>
            </w:r>
          </w:p>
        </w:tc>
        <w:tc>
          <w:tcPr>
            <w:tcW w:w="4679" w:type="dxa"/>
          </w:tcPr>
          <w:p w14:paraId="4A2DEAC6" w14:textId="77777777" w:rsidR="007741B2" w:rsidRDefault="007741B2" w:rsidP="00D048E2">
            <w:r w:rsidRPr="007741B2">
              <w:rPr>
                <w:b/>
              </w:rPr>
              <w:t>Aim</w:t>
            </w:r>
            <w:r>
              <w:t>: T</w:t>
            </w:r>
            <w:r w:rsidRPr="007741B2">
              <w:t xml:space="preserve">o predict the impact of advising pregnant women to use calcium supplements (1,000 mg/day) on the number of cases of pre-eclampsia prevented and related health care costs. </w:t>
            </w:r>
          </w:p>
          <w:p w14:paraId="417013B4" w14:textId="26FB60E7" w:rsidR="007741B2" w:rsidRPr="00B85B9A" w:rsidRDefault="007741B2" w:rsidP="007741B2">
            <w:pPr>
              <w:rPr>
                <w:b/>
              </w:rPr>
            </w:pPr>
            <w:r w:rsidRPr="007741B2">
              <w:rPr>
                <w:b/>
              </w:rPr>
              <w:t>Methods</w:t>
            </w:r>
            <w:r>
              <w:t xml:space="preserve">: </w:t>
            </w:r>
            <w:r w:rsidRPr="007741B2">
              <w:t>By use of a decision-analytic model, we assessed the expected impact of advising calcium supplementation to either (1) all pregnant women, (2) women at high risk of developing pre-eclampsia, or (3) women with a low dietary calcium intake compared with current care. Calculations were performed for a hypothetical cohort of 100,000 pregnant women living in a high-income country.</w:t>
            </w:r>
          </w:p>
        </w:tc>
        <w:tc>
          <w:tcPr>
            <w:tcW w:w="4536" w:type="dxa"/>
          </w:tcPr>
          <w:p w14:paraId="03B0C267" w14:textId="2845EFE8" w:rsidR="007741B2" w:rsidRPr="007741B2" w:rsidRDefault="007741B2" w:rsidP="007741B2">
            <w:r w:rsidRPr="007741B2">
              <w:t>The incidence of pre-eclampsia could be reduced by 25%, 8%, or 13% when advising calcium supplementation to all pregnant women, women at high risk of pre-eclampsia, or women with a low dietary calcium intake, respectively. Expected net financial benefits of the three scenarios were of euro4,621,465, euro2,059,165, or euro2,822,115 per 100,000 pregnant women, respectively. Advising pregnant women to use calcium supplements can be expected to cause substantial reductions in the incidence of pre-eclampsia as well as related health care costs. It appears most efficient to advise calcium supplementation to all pregnant women, not subgroups only.</w:t>
            </w:r>
          </w:p>
        </w:tc>
        <w:tc>
          <w:tcPr>
            <w:tcW w:w="1843" w:type="dxa"/>
          </w:tcPr>
          <w:p w14:paraId="2F1E8D03" w14:textId="77777777" w:rsidR="007741B2" w:rsidRPr="005668AF" w:rsidRDefault="007741B2" w:rsidP="005668AF"/>
        </w:tc>
      </w:tr>
    </w:tbl>
    <w:p w14:paraId="6ACF20EC" w14:textId="256ECD5F" w:rsidR="00D150D8" w:rsidRDefault="009C163D" w:rsidP="005719CE">
      <w:pPr>
        <w:pStyle w:val="TableName"/>
        <w:ind w:left="1134" w:hanging="1134"/>
      </w:pPr>
      <w:bookmarkStart w:id="95" w:name="_Toc40956630"/>
      <w:r>
        <w:t xml:space="preserve">Q3 </w:t>
      </w:r>
      <w:r w:rsidR="00D150D8">
        <w:t xml:space="preserve">Harms and benefits of iodine supplementation </w:t>
      </w:r>
      <w:r w:rsidR="00BC1D42">
        <w:t xml:space="preserve">in pregnancy </w:t>
      </w:r>
      <w:r w:rsidR="00D150D8">
        <w:t>— systematic reviews</w:t>
      </w:r>
      <w:bookmarkEnd w:id="9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2: Q3 Harms and benefits of iodine supplementation in pregnancy — systematic reviews"/>
      </w:tblPr>
      <w:tblGrid>
        <w:gridCol w:w="1305"/>
        <w:gridCol w:w="1247"/>
        <w:gridCol w:w="4961"/>
        <w:gridCol w:w="4536"/>
        <w:gridCol w:w="1843"/>
      </w:tblGrid>
      <w:tr w:rsidR="00D150D8" w:rsidRPr="00F350A6" w14:paraId="7E2D8AAF" w14:textId="77777777" w:rsidTr="00E41F5F">
        <w:trPr>
          <w:cantSplit/>
          <w:tblHeader/>
        </w:trPr>
        <w:tc>
          <w:tcPr>
            <w:tcW w:w="1305" w:type="dxa"/>
          </w:tcPr>
          <w:p w14:paraId="272EDBB2" w14:textId="77777777" w:rsidR="00D150D8" w:rsidRPr="00F350A6" w:rsidRDefault="00D150D8" w:rsidP="00D150D8">
            <w:pPr>
              <w:keepNext/>
              <w:rPr>
                <w:b/>
              </w:rPr>
            </w:pPr>
            <w:r>
              <w:rPr>
                <w:b/>
              </w:rPr>
              <w:t>Study ref</w:t>
            </w:r>
          </w:p>
        </w:tc>
        <w:tc>
          <w:tcPr>
            <w:tcW w:w="1247" w:type="dxa"/>
          </w:tcPr>
          <w:p w14:paraId="4BAF0D1C" w14:textId="77777777" w:rsidR="00D150D8" w:rsidRPr="00F350A6" w:rsidRDefault="00D150D8" w:rsidP="00D150D8">
            <w:pPr>
              <w:keepNext/>
              <w:rPr>
                <w:b/>
              </w:rPr>
            </w:pPr>
            <w:r>
              <w:rPr>
                <w:b/>
              </w:rPr>
              <w:t>N</w:t>
            </w:r>
          </w:p>
        </w:tc>
        <w:tc>
          <w:tcPr>
            <w:tcW w:w="4961" w:type="dxa"/>
          </w:tcPr>
          <w:p w14:paraId="1596D606" w14:textId="0273CB04" w:rsidR="00D150D8" w:rsidRPr="00F350A6" w:rsidRDefault="00D150D8" w:rsidP="00DE2A9C">
            <w:pPr>
              <w:keepNext/>
              <w:rPr>
                <w:b/>
              </w:rPr>
            </w:pPr>
            <w:r>
              <w:rPr>
                <w:b/>
              </w:rPr>
              <w:t>Aim/</w:t>
            </w:r>
            <w:r w:rsidRPr="00F350A6">
              <w:rPr>
                <w:b/>
              </w:rPr>
              <w:t>population</w:t>
            </w:r>
            <w:r>
              <w:rPr>
                <w:b/>
              </w:rPr>
              <w:t>/interventions</w:t>
            </w:r>
          </w:p>
        </w:tc>
        <w:tc>
          <w:tcPr>
            <w:tcW w:w="4536" w:type="dxa"/>
          </w:tcPr>
          <w:p w14:paraId="569D5867" w14:textId="77777777" w:rsidR="00D150D8" w:rsidRPr="00F350A6" w:rsidRDefault="00D150D8" w:rsidP="00D150D8">
            <w:pPr>
              <w:keepNext/>
              <w:rPr>
                <w:b/>
              </w:rPr>
            </w:pPr>
            <w:r>
              <w:rPr>
                <w:b/>
              </w:rPr>
              <w:t>Results</w:t>
            </w:r>
          </w:p>
        </w:tc>
        <w:tc>
          <w:tcPr>
            <w:tcW w:w="1843" w:type="dxa"/>
          </w:tcPr>
          <w:p w14:paraId="6D555868" w14:textId="77777777" w:rsidR="00D150D8" w:rsidRPr="00F350A6" w:rsidRDefault="00D150D8" w:rsidP="00D150D8">
            <w:pPr>
              <w:keepNext/>
              <w:rPr>
                <w:b/>
              </w:rPr>
            </w:pPr>
            <w:r>
              <w:rPr>
                <w:b/>
              </w:rPr>
              <w:t>Comments</w:t>
            </w:r>
          </w:p>
        </w:tc>
      </w:tr>
      <w:tr w:rsidR="00D150D8" w:rsidRPr="00D150D8" w14:paraId="19918D1E" w14:textId="77777777" w:rsidTr="00E41F5F">
        <w:trPr>
          <w:cantSplit/>
        </w:trPr>
        <w:tc>
          <w:tcPr>
            <w:tcW w:w="1305" w:type="dxa"/>
          </w:tcPr>
          <w:p w14:paraId="342E53FC" w14:textId="4267ADFF" w:rsidR="00D150D8" w:rsidRPr="00D150D8" w:rsidRDefault="0057113C" w:rsidP="002747EA">
            <w:pPr>
              <w:keepNext/>
            </w:pPr>
            <w:r>
              <w:t>Harding et al 2017</w:t>
            </w:r>
            <w:r w:rsidR="003523C5">
              <w:fldChar w:fldCharType="begin">
                <w:fldData xml:space="preserve">PEVuZE5vdGU+PENpdGU+PEF1dGhvcj5IYXJkaW5nPC9BdXRob3I+PFllYXI+MjAxNzwvWWVhcj48
UmVjTnVtPjExOTg8L1JlY051bT48RGlzcGxheVRleHQ+PHN0eWxlIGZhY2U9InN1cGVyc2NyaXB0
IiBmb250PSJUcmVidWNoZXQgTVMiIHNpemU9IjkiPjIwMTwvc3R5bGU+PC9EaXNwbGF5VGV4dD48
cmVjb3JkPjxyZWMtbnVtYmVyPjExOTg8L3JlYy1udW1iZXI+PGZvcmVpZ24ta2V5cz48a2V5IGFw
cD0iRU4iIGRiLWlkPSJleHZhc3JmeDJkdHJhb2VzYXN4cDJzenN4YTJkZjUwMjU5MngiIHRpbWVz
dGFtcD0iMTU1OTYyMTcwMyI+MTE5ODwva2V5PjxrZXkgYXBwPSJFTldlYiIgZGItaWQ9IiI+MDwv
a2V5PjwvZm9yZWlnbi1rZXlzPjxyZWYtdHlwZSBuYW1lPSJKb3VybmFsIEFydGljbGUiPjE3PC9y
ZWYtdHlwZT48Y29udHJpYnV0b3JzPjxhdXRob3JzPjxhdXRob3I+SGFyZGluZywgSy4gQi48L2F1
dGhvcj48YXV0aG9yPlBlbmEtUm9zYXMsIEouIFAuPC9hdXRob3I+PGF1dGhvcj5XZWJzdGVyLCBB
LiBDLjwvYXV0aG9yPjxhdXRob3I+WWFwLCBDLiBNLjwvYXV0aG9yPjxhdXRob3I+UGF5bmUsIEIu
IEEuPC9hdXRob3I+PGF1dGhvcj5PdGEsIEUuPC9hdXRob3I+PGF1dGhvcj5EZS1SZWdpbCwgTC4g
TS48L2F1dGhvcj48L2F1dGhvcnM+PC9jb250cmlidXRvcnM+PGF1dGgtYWRkcmVzcz5SZXNlYXJj
aCBhbmQgRXZhbHVhdGlvbiwgTWljcm9udXRyaWVudCBJbml0aWF0aXZlLCAxODAgRWxnaW4gU3Ry
ZWV0LCBTdWl0ZSAxMDAwLCBPdHRhd2EsIE9OLCBDYW5hZGEsIEsyUCAySzMuJiN4RDtFdmlkZW5j
ZSBhbmQgUHJvZ3JhbW1lIEd1aWRhbmNlLCBEZXBhcnRtZW50IG9mIE51dHJpdGlvbiBmb3IgSGVh
bHRoIGFuZCBEZXZlbG9wbWVudCwgV29ybGQgSGVhbHRoIE9yZ2FuaXphdGlvbiwgMjAgQXZlbnVl
IEFwcGlhLCBHZW5ldmEsIEdFLCBTd2l0emVybGFuZCwgMTIxMS4mI3hEO1N5ZG5leSBTY2hvb2wg
b2YgUHVibGljIEhlYWx0aCwgVGhlIFVuaXZlcnNpdHkgb2YgU3lkbmV5LCBFZHdhcmQgRm9yZCBC
dWlsZGluZyBBMjcsIFN5ZG5leSwgTlNXLCBBdXN0cmFsaWEsIDIwMDYuJiN4RDtEZXBhcnRtZW50
IG9mIERpYWJldGVzIGFuZCBFbmRvY3Jpbm9sb2d5LCBXZXN0bWVhZCBIb3NwaXRhbCwgQ29ybmVy
IEhhd2tlc2J1cnkgYW5kIERhcmN5IFJvYWRzLCBXZXN0bWVhZCwgTlNXLCBBdXN0cmFsaWEsIDIx
NDUuJiN4RDtOYXRpb25hbCBOdXRyaXRpb24gQ2VudGVyLCBNaW5pc3RyeSBvZiBIZWFsdGggQmFy
YmFkb3MsIFN0IE1pY2hhZWwsIEJhcmJhZG9zLiYjeEQ7R2xvYmFsIEhlYWx0aCBOdXJzaW5nLCBT
dC4gTHVrZSZhcG9zO3MgSW50ZXJuYXRpb25hbCBVbml2ZXJzaXR5LCBHcmFkdWF0ZSBTY2hvb2wg
b2YgTnVyc2luZyBTY2llbmNlcywgMTAtMSBBa2FzaGktY2hvLCBDaHVvLUt1LCBUb2t5bywgSmFw
YW4sIDEwNC0wMDQ0LjwvYXV0aC1hZGRyZXNzPjx0aXRsZXM+PHRpdGxlPklvZGluZSBzdXBwbGVt
ZW50YXRpb24gZm9yIHdvbWVuIGR1cmluZyB0aGUgcHJlY29uY2VwdGlvbiwgcHJlZ25hbmN5IGFu
ZCBwb3N0cGFydHVtIHBlcmlvZDwvdGl0bGU+PHNlY29uZGFyeS10aXRsZT5Db2NocmFuZSBEYXRh
YmFzZSBTeXN0IFJldjwvc2Vjb25kYXJ5LXRpdGxlPjwvdGl0bGVzPjxwZXJpb2RpY2FsPjxmdWxs
LXRpdGxlPkNvY2hyYW5lIERhdGFiYXNlIFN5c3QgUmV2PC9mdWxsLXRpdGxlPjwvcGVyaW9kaWNh
bD48cGFnZXM+Q0QwMTE3NjE8L3BhZ2VzPjx2b2x1bWU+Mzwvdm9sdW1lPjxlZGl0aW9uPjIwMTcv
MDMvMDY8L2VkaXRpb24+PGtleXdvcmRzPjxrZXl3b3JkPipEaWV0YXJ5IFN1cHBsZW1lbnRzL2Fk
dmVyc2UgZWZmZWN0czwva2V5d29yZD48a2V5d29yZD5GZW1hbGU8L2tleXdvcmQ+PGtleXdvcmQ+
SHVtYW5zPC9rZXl3b3JkPjxrZXl3b3JkPkh5cGVydGh5cm9pZGlzbS9lcGlkZW1pb2xvZ3k8L2tl
eXdvcmQ+PGtleXdvcmQ+SHlwb3RoeXJvaWRpc20vZXBpZGVtaW9sb2d5PC9rZXl3b3JkPjxrZXl3
b3JkPkluZmFudCwgTmV3Ym9ybjwva2V5d29yZD48a2V5d29yZD5JbmZhbnQsIE5ld2Jvcm4sIERp
c2Vhc2VzL2VwaWRlbWlvbG9neTwva2V5d29yZD48a2V5d29yZD5Jb2RpbmUvKmFkbWluaXN0cmF0
aW9uICZhbXA7IGRvc2FnZS9hZHZlcnNlIGVmZmVjdHMvZGVmaWNpZW5jeTwva2V5d29yZD48a2V5
d29yZD5QZXJpbmF0YWwgTW9ydGFsaXR5PC9rZXl3b3JkPjxrZXl3b3JkPlBvc3RwYXJ0dW0gUGVy
aW9kPC9rZXl3b3JkPjxrZXl3b3JkPlByZWNvbmNlcHRpb24gQ2FyZS8qbWV0aG9kczwva2V5d29y
ZD48a2V5d29yZD5QcmVnbmFuY3k8L2tleXdvcmQ+PGtleXdvcmQ+UHJlZ25hbmN5IENvbXBsaWNh
dGlvbnMvZXBpZGVtaW9sb2d5PC9rZXl3b3JkPjxrZXl3b3JkPlByZW1hdHVyZSBCaXJ0aC9lcGlk
ZW1pb2xvZ3k8L2tleXdvcmQ+PGtleXdvcmQ+UHJlbmF0YWwgQ2FyZS8qbWV0aG9kczwva2V5d29y
ZD48a2V5d29yZD5SYW5kb21pemVkIENvbnRyb2xsZWQgVHJpYWxzIGFzIFRvcGljPC9rZXl3b3Jk
PjxrZXl3b3JkPlRoeXJvaWQgSG9ybW9uZXMvYmxvb2Q8L2tleXdvcmQ+PGtleXdvcmQ+VGh5cm90
cm9waW4vYmxvb2Q8L2tleXdvcmQ+PC9rZXl3b3Jkcz48ZGF0ZXM+PHllYXI+MjAxNzwveWVhcj48
cHViLWRhdGVzPjxkYXRlPk1hciA1PC9kYXRlPjwvcHViLWRhdGVzPjwvZGF0ZXM+PGlzYm4+MTQ2
OS00OTNYIChFbGVjdHJvbmljKSYjeEQ7MTM2MS02MTM3IChMaW5raW5nKTwvaXNibj48YWNjZXNz
aW9uLW51bT4yODI2MDI2MzwvYWNjZXNzaW9uLW51bT48dXJscz48cmVsYXRlZC11cmxzPjx1cmw+
aHR0cHM6Ly93d3cubmNiaS5ubG0ubmloLmdvdi9wdWJtZWQvMjgyNjAyNjM8L3VybD48L3JlbGF0
ZWQtdXJscz48L3VybHM+PGN1c3RvbTI+UE1DNjQ2NDY0NzwvY3VzdG9tMj48ZWxlY3Ryb25pYy1y
ZXNvdXJjZS1udW0+MTAuMTAwMi8xNDY1MTg1OC5DRDAxMTc2MS5wdWIyPC9lbGVjdHJvbmljLXJl
c291cmNlLW51bT48L3JlY29yZD48L0NpdGU+PC9FbmROb3RlPgB=
</w:fldData>
              </w:fldChar>
            </w:r>
            <w:r w:rsidR="002747EA">
              <w:instrText xml:space="preserve"> ADDIN EN.CITE </w:instrText>
            </w:r>
            <w:r w:rsidR="002747EA">
              <w:fldChar w:fldCharType="begin">
                <w:fldData xml:space="preserve">PEVuZE5vdGU+PENpdGU+PEF1dGhvcj5IYXJkaW5nPC9BdXRob3I+PFllYXI+MjAxNzwvWWVhcj48
UmVjTnVtPjExOTg8L1JlY051bT48RGlzcGxheVRleHQ+PHN0eWxlIGZhY2U9InN1cGVyc2NyaXB0
IiBmb250PSJUcmVidWNoZXQgTVMiIHNpemU9IjkiPjIwMTwvc3R5bGU+PC9EaXNwbGF5VGV4dD48
cmVjb3JkPjxyZWMtbnVtYmVyPjExOTg8L3JlYy1udW1iZXI+PGZvcmVpZ24ta2V5cz48a2V5IGFw
cD0iRU4iIGRiLWlkPSJleHZhc3JmeDJkdHJhb2VzYXN4cDJzenN4YTJkZjUwMjU5MngiIHRpbWVz
dGFtcD0iMTU1OTYyMTcwMyI+MTE5ODwva2V5PjxrZXkgYXBwPSJFTldlYiIgZGItaWQ9IiI+MDwv
a2V5PjwvZm9yZWlnbi1rZXlzPjxyZWYtdHlwZSBuYW1lPSJKb3VybmFsIEFydGljbGUiPjE3PC9y
ZWYtdHlwZT48Y29udHJpYnV0b3JzPjxhdXRob3JzPjxhdXRob3I+SGFyZGluZywgSy4gQi48L2F1
dGhvcj48YXV0aG9yPlBlbmEtUm9zYXMsIEouIFAuPC9hdXRob3I+PGF1dGhvcj5XZWJzdGVyLCBB
LiBDLjwvYXV0aG9yPjxhdXRob3I+WWFwLCBDLiBNLjwvYXV0aG9yPjxhdXRob3I+UGF5bmUsIEIu
IEEuPC9hdXRob3I+PGF1dGhvcj5PdGEsIEUuPC9hdXRob3I+PGF1dGhvcj5EZS1SZWdpbCwgTC4g
TS48L2F1dGhvcj48L2F1dGhvcnM+PC9jb250cmlidXRvcnM+PGF1dGgtYWRkcmVzcz5SZXNlYXJj
aCBhbmQgRXZhbHVhdGlvbiwgTWljcm9udXRyaWVudCBJbml0aWF0aXZlLCAxODAgRWxnaW4gU3Ry
ZWV0LCBTdWl0ZSAxMDAwLCBPdHRhd2EsIE9OLCBDYW5hZGEsIEsyUCAySzMuJiN4RDtFdmlkZW5j
ZSBhbmQgUHJvZ3JhbW1lIEd1aWRhbmNlLCBEZXBhcnRtZW50IG9mIE51dHJpdGlvbiBmb3IgSGVh
bHRoIGFuZCBEZXZlbG9wbWVudCwgV29ybGQgSGVhbHRoIE9yZ2FuaXphdGlvbiwgMjAgQXZlbnVl
IEFwcGlhLCBHZW5ldmEsIEdFLCBTd2l0emVybGFuZCwgMTIxMS4mI3hEO1N5ZG5leSBTY2hvb2wg
b2YgUHVibGljIEhlYWx0aCwgVGhlIFVuaXZlcnNpdHkgb2YgU3lkbmV5LCBFZHdhcmQgRm9yZCBC
dWlsZGluZyBBMjcsIFN5ZG5leSwgTlNXLCBBdXN0cmFsaWEsIDIwMDYuJiN4RDtEZXBhcnRtZW50
IG9mIERpYWJldGVzIGFuZCBFbmRvY3Jpbm9sb2d5LCBXZXN0bWVhZCBIb3NwaXRhbCwgQ29ybmVy
IEhhd2tlc2J1cnkgYW5kIERhcmN5IFJvYWRzLCBXZXN0bWVhZCwgTlNXLCBBdXN0cmFsaWEsIDIx
NDUuJiN4RDtOYXRpb25hbCBOdXRyaXRpb24gQ2VudGVyLCBNaW5pc3RyeSBvZiBIZWFsdGggQmFy
YmFkb3MsIFN0IE1pY2hhZWwsIEJhcmJhZG9zLiYjeEQ7R2xvYmFsIEhlYWx0aCBOdXJzaW5nLCBT
dC4gTHVrZSZhcG9zO3MgSW50ZXJuYXRpb25hbCBVbml2ZXJzaXR5LCBHcmFkdWF0ZSBTY2hvb2wg
b2YgTnVyc2luZyBTY2llbmNlcywgMTAtMSBBa2FzaGktY2hvLCBDaHVvLUt1LCBUb2t5bywgSmFw
YW4sIDEwNC0wMDQ0LjwvYXV0aC1hZGRyZXNzPjx0aXRsZXM+PHRpdGxlPklvZGluZSBzdXBwbGVt
ZW50YXRpb24gZm9yIHdvbWVuIGR1cmluZyB0aGUgcHJlY29uY2VwdGlvbiwgcHJlZ25hbmN5IGFu
ZCBwb3N0cGFydHVtIHBlcmlvZDwvdGl0bGU+PHNlY29uZGFyeS10aXRsZT5Db2NocmFuZSBEYXRh
YmFzZSBTeXN0IFJldjwvc2Vjb25kYXJ5LXRpdGxlPjwvdGl0bGVzPjxwZXJpb2RpY2FsPjxmdWxs
LXRpdGxlPkNvY2hyYW5lIERhdGFiYXNlIFN5c3QgUmV2PC9mdWxsLXRpdGxlPjwvcGVyaW9kaWNh
bD48cGFnZXM+Q0QwMTE3NjE8L3BhZ2VzPjx2b2x1bWU+Mzwvdm9sdW1lPjxlZGl0aW9uPjIwMTcv
MDMvMDY8L2VkaXRpb24+PGtleXdvcmRzPjxrZXl3b3JkPipEaWV0YXJ5IFN1cHBsZW1lbnRzL2Fk
dmVyc2UgZWZmZWN0czwva2V5d29yZD48a2V5d29yZD5GZW1hbGU8L2tleXdvcmQ+PGtleXdvcmQ+
SHVtYW5zPC9rZXl3b3JkPjxrZXl3b3JkPkh5cGVydGh5cm9pZGlzbS9lcGlkZW1pb2xvZ3k8L2tl
eXdvcmQ+PGtleXdvcmQ+SHlwb3RoeXJvaWRpc20vZXBpZGVtaW9sb2d5PC9rZXl3b3JkPjxrZXl3
b3JkPkluZmFudCwgTmV3Ym9ybjwva2V5d29yZD48a2V5d29yZD5JbmZhbnQsIE5ld2Jvcm4sIERp
c2Vhc2VzL2VwaWRlbWlvbG9neTwva2V5d29yZD48a2V5d29yZD5Jb2RpbmUvKmFkbWluaXN0cmF0
aW9uICZhbXA7IGRvc2FnZS9hZHZlcnNlIGVmZmVjdHMvZGVmaWNpZW5jeTwva2V5d29yZD48a2V5
d29yZD5QZXJpbmF0YWwgTW9ydGFsaXR5PC9rZXl3b3JkPjxrZXl3b3JkPlBvc3RwYXJ0dW0gUGVy
aW9kPC9rZXl3b3JkPjxrZXl3b3JkPlByZWNvbmNlcHRpb24gQ2FyZS8qbWV0aG9kczwva2V5d29y
ZD48a2V5d29yZD5QcmVnbmFuY3k8L2tleXdvcmQ+PGtleXdvcmQ+UHJlZ25hbmN5IENvbXBsaWNh
dGlvbnMvZXBpZGVtaW9sb2d5PC9rZXl3b3JkPjxrZXl3b3JkPlByZW1hdHVyZSBCaXJ0aC9lcGlk
ZW1pb2xvZ3k8L2tleXdvcmQ+PGtleXdvcmQ+UHJlbmF0YWwgQ2FyZS8qbWV0aG9kczwva2V5d29y
ZD48a2V5d29yZD5SYW5kb21pemVkIENvbnRyb2xsZWQgVHJpYWxzIGFzIFRvcGljPC9rZXl3b3Jk
PjxrZXl3b3JkPlRoeXJvaWQgSG9ybW9uZXMvYmxvb2Q8L2tleXdvcmQ+PGtleXdvcmQ+VGh5cm90
cm9waW4vYmxvb2Q8L2tleXdvcmQ+PC9rZXl3b3Jkcz48ZGF0ZXM+PHllYXI+MjAxNzwveWVhcj48
cHViLWRhdGVzPjxkYXRlPk1hciA1PC9kYXRlPjwvcHViLWRhdGVzPjwvZGF0ZXM+PGlzYm4+MTQ2
OS00OTNYIChFbGVjdHJvbmljKSYjeEQ7MTM2MS02MTM3IChMaW5raW5nKTwvaXNibj48YWNjZXNz
aW9uLW51bT4yODI2MDI2MzwvYWNjZXNzaW9uLW51bT48dXJscz48cmVsYXRlZC11cmxzPjx1cmw+
aHR0cHM6Ly93d3cubmNiaS5ubG0ubmloLmdvdi9wdWJtZWQvMjgyNjAyNjM8L3VybD48L3JlbGF0
ZWQtdXJscz48L3VybHM+PGN1c3RvbTI+UE1DNjQ2NDY0NzwvY3VzdG9tMj48ZWxlY3Ryb25pYy1y
ZXNvdXJjZS1udW0+MTAuMTAwMi8xNDY1MTg1OC5DRDAxMTc2MS5wdWIyPC9lbGVjdHJvbmljLXJl
c291cmNlLW51bT48L3JlY29yZD48L0NpdGU+PC9FbmROb3RlPgB=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201</w:t>
            </w:r>
            <w:r w:rsidR="003523C5">
              <w:fldChar w:fldCharType="end"/>
            </w:r>
          </w:p>
        </w:tc>
        <w:tc>
          <w:tcPr>
            <w:tcW w:w="1247" w:type="dxa"/>
          </w:tcPr>
          <w:p w14:paraId="5344F3AC" w14:textId="77777777" w:rsidR="00D150D8" w:rsidRDefault="00AF6E6F" w:rsidP="00D150D8">
            <w:pPr>
              <w:keepNext/>
            </w:pPr>
            <w:r>
              <w:t>11 studies</w:t>
            </w:r>
          </w:p>
          <w:p w14:paraId="7058C07D" w14:textId="4A5CB8F7" w:rsidR="00AF6E6F" w:rsidRPr="00D150D8" w:rsidRDefault="00AF6E6F" w:rsidP="00D150D8">
            <w:pPr>
              <w:keepNext/>
            </w:pPr>
            <w:r>
              <w:t>&gt;2,700 women</w:t>
            </w:r>
          </w:p>
        </w:tc>
        <w:tc>
          <w:tcPr>
            <w:tcW w:w="4961" w:type="dxa"/>
          </w:tcPr>
          <w:p w14:paraId="3008A058" w14:textId="25A54409" w:rsidR="008E2876" w:rsidRPr="00A958FD" w:rsidRDefault="008E2876" w:rsidP="00A958FD">
            <w:r w:rsidRPr="00A958FD">
              <w:rPr>
                <w:b/>
              </w:rPr>
              <w:t>Aim</w:t>
            </w:r>
            <w:r>
              <w:t xml:space="preserve">: </w:t>
            </w:r>
            <w:r w:rsidRPr="008E2876">
              <w:t>To assess the benefits and harms of supplementation with iodine, alone or in combination with other vitamins and minerals, for women</w:t>
            </w:r>
            <w:r w:rsidR="00A958FD">
              <w:t xml:space="preserve"> </w:t>
            </w:r>
            <w:r w:rsidRPr="00A958FD">
              <w:t>in the preconceptional, pregnancy or postpartum period on their and their children’s outcomes</w:t>
            </w:r>
          </w:p>
          <w:p w14:paraId="2FF7A5C9" w14:textId="7074B9AF" w:rsidR="00D150D8" w:rsidRPr="00234247" w:rsidRDefault="008E2876" w:rsidP="00B94D4E">
            <w:r w:rsidRPr="006A2344">
              <w:rPr>
                <w:b/>
              </w:rPr>
              <w:t>Population</w:t>
            </w:r>
            <w:r>
              <w:t>:</w:t>
            </w:r>
            <w:r w:rsidR="00234247">
              <w:t xml:space="preserve"> </w:t>
            </w:r>
            <w:r w:rsidR="00234247" w:rsidRPr="00234247">
              <w:t>women during the preconception, pregnancy and postpartum period</w:t>
            </w:r>
          </w:p>
          <w:p w14:paraId="4A9FED4E" w14:textId="38F87809" w:rsidR="008E2876" w:rsidRDefault="008E2876" w:rsidP="00A958FD">
            <w:r w:rsidRPr="00B94D4E">
              <w:rPr>
                <w:b/>
              </w:rPr>
              <w:t>Settings</w:t>
            </w:r>
            <w:r>
              <w:t xml:space="preserve">: </w:t>
            </w:r>
            <w:r w:rsidR="00A958FD">
              <w:t>S</w:t>
            </w:r>
            <w:r w:rsidR="00A958FD" w:rsidRPr="00B94D4E">
              <w:t>ettings with mild to moderate iodine deficiency</w:t>
            </w:r>
            <w:r w:rsidR="00A41B56" w:rsidRPr="00B94D4E">
              <w:t xml:space="preserve"> (</w:t>
            </w:r>
            <w:r w:rsidR="00B94D4E" w:rsidRPr="00B94D4E">
              <w:t>Denmark, Germany, Morocco, New Zealand, Thailand, Zaire)</w:t>
            </w:r>
          </w:p>
          <w:p w14:paraId="17DD625D" w14:textId="01D13E05" w:rsidR="008E2876" w:rsidRPr="00D150D8" w:rsidRDefault="008E2876" w:rsidP="00AF6E6F">
            <w:r w:rsidRPr="00B94D4E">
              <w:rPr>
                <w:b/>
              </w:rPr>
              <w:t>Intervention</w:t>
            </w:r>
            <w:r>
              <w:t xml:space="preserve">: </w:t>
            </w:r>
            <w:r w:rsidR="00AF6E6F" w:rsidRPr="00AF6E6F">
              <w:t>any supplement containing iodine versus same supplement without io</w:t>
            </w:r>
            <w:r w:rsidR="00AF6E6F">
              <w:t>dine or no intervention/placebo</w:t>
            </w:r>
          </w:p>
        </w:tc>
        <w:tc>
          <w:tcPr>
            <w:tcW w:w="4536" w:type="dxa"/>
          </w:tcPr>
          <w:p w14:paraId="502FD354" w14:textId="77777777" w:rsidR="00A958FD" w:rsidRDefault="00A958FD" w:rsidP="00A958FD">
            <w:r>
              <w:t>Intervention vs control:</w:t>
            </w:r>
          </w:p>
          <w:p w14:paraId="151C8F9D" w14:textId="4A2B60D8" w:rsidR="00B94D4E" w:rsidRDefault="00B94D4E" w:rsidP="00B94D4E">
            <w:pPr>
              <w:pStyle w:val="bullet"/>
            </w:pPr>
            <w:r>
              <w:t>H</w:t>
            </w:r>
            <w:r w:rsidRPr="00A958FD">
              <w:t>ypothyroidism in pregnancy or postpartum (pregnancy: average RR 1.90; 95%CI 0.57 to 6.38, one trial, 365 w</w:t>
            </w:r>
            <w:r>
              <w:t>omen, low-</w:t>
            </w:r>
            <w:r w:rsidR="00FB2A6C">
              <w:t>certainty</w:t>
            </w:r>
            <w:r>
              <w:t xml:space="preserve"> evidence, and </w:t>
            </w:r>
          </w:p>
          <w:p w14:paraId="03BE3203" w14:textId="1148F172" w:rsidR="00B94D4E" w:rsidRPr="00721A55" w:rsidRDefault="00B94D4E" w:rsidP="00B94D4E">
            <w:pPr>
              <w:pStyle w:val="bullet"/>
            </w:pPr>
            <w:r>
              <w:t>Hypothyroidism postpartum: average RR 0.44</w:t>
            </w:r>
            <w:r w:rsidRPr="00A958FD">
              <w:t xml:space="preserve"> </w:t>
            </w:r>
            <w:r>
              <w:t>(0.06 to 3.42)</w:t>
            </w:r>
            <w:r w:rsidRPr="00A958FD">
              <w:t xml:space="preserve"> </w:t>
            </w:r>
            <w:r>
              <w:t>(3</w:t>
            </w:r>
            <w:r w:rsidRPr="00A958FD">
              <w:t xml:space="preserve"> </w:t>
            </w:r>
            <w:r w:rsidRPr="00721A55">
              <w:t xml:space="preserve">studies; n= </w:t>
            </w:r>
            <w:r w:rsidRPr="00721A55">
              <w:rPr>
                <w:lang w:val="en-AU"/>
              </w:rPr>
              <w:t>540 women</w:t>
            </w:r>
            <w:r w:rsidRPr="00721A55">
              <w:t xml:space="preserve">; </w:t>
            </w:r>
            <w:r w:rsidRPr="00721A55">
              <w:rPr>
                <w:lang w:val="en-AU"/>
              </w:rPr>
              <w:t>low-</w:t>
            </w:r>
            <w:r w:rsidR="00FB2A6C">
              <w:rPr>
                <w:lang w:val="en-AU"/>
              </w:rPr>
              <w:t>certainty</w:t>
            </w:r>
            <w:r>
              <w:rPr>
                <w:lang w:val="en-AU"/>
              </w:rPr>
              <w:t>)</w:t>
            </w:r>
          </w:p>
          <w:p w14:paraId="32914481" w14:textId="1CDFD21F" w:rsidR="00B94D4E" w:rsidRDefault="00B94D4E" w:rsidP="00B94D4E">
            <w:pPr>
              <w:pStyle w:val="bullet"/>
            </w:pPr>
            <w:r>
              <w:t xml:space="preserve">Preterm birth: </w:t>
            </w:r>
            <w:r w:rsidRPr="00A958FD">
              <w:t>average RR 0.71</w:t>
            </w:r>
            <w:r>
              <w:t xml:space="preserve"> (CI 0.30 to 1.66)</w:t>
            </w:r>
            <w:r w:rsidRPr="00A958FD">
              <w:t xml:space="preserve"> </w:t>
            </w:r>
            <w:r>
              <w:t>(2 studies; n=</w:t>
            </w:r>
            <w:r w:rsidRPr="00A958FD">
              <w:t>376</w:t>
            </w:r>
            <w:r>
              <w:t xml:space="preserve">; </w:t>
            </w:r>
            <w:r w:rsidRPr="00A958FD">
              <w:t>low-</w:t>
            </w:r>
            <w:r w:rsidR="00FB2A6C">
              <w:t>certainty</w:t>
            </w:r>
            <w:r w:rsidRPr="00A958FD">
              <w:t xml:space="preserve">) </w:t>
            </w:r>
          </w:p>
          <w:p w14:paraId="09FDD12C" w14:textId="1E5F9AE6" w:rsidR="00B94D4E" w:rsidRDefault="00B94D4E" w:rsidP="00B94D4E">
            <w:pPr>
              <w:pStyle w:val="bullet"/>
            </w:pPr>
            <w:r>
              <w:t>E</w:t>
            </w:r>
            <w:r w:rsidRPr="00A958FD">
              <w:t>levated thyroid peroxidase antibodies (TPOab)</w:t>
            </w:r>
            <w:r>
              <w:t xml:space="preserve"> in pregnancy: a</w:t>
            </w:r>
            <w:r w:rsidRPr="00A958FD">
              <w:t>verage RR 0.95</w:t>
            </w:r>
            <w:r>
              <w:t xml:space="preserve"> (0.44 to 2.07)</w:t>
            </w:r>
            <w:r w:rsidRPr="00A958FD">
              <w:t xml:space="preserve"> </w:t>
            </w:r>
            <w:r>
              <w:t>(1 study; n=</w:t>
            </w:r>
            <w:r w:rsidRPr="00A958FD">
              <w:t>359</w:t>
            </w:r>
            <w:r>
              <w:t>;</w:t>
            </w:r>
            <w:r w:rsidRPr="00A958FD">
              <w:t xml:space="preserve"> low-</w:t>
            </w:r>
            <w:r w:rsidR="00FB2A6C">
              <w:t>certainty</w:t>
            </w:r>
            <w:r>
              <w:t>)</w:t>
            </w:r>
            <w:r w:rsidRPr="00A958FD">
              <w:t xml:space="preserve"> </w:t>
            </w:r>
          </w:p>
          <w:p w14:paraId="694E4353" w14:textId="5284E8D9" w:rsidR="00B94D4E" w:rsidRDefault="00B94D4E" w:rsidP="00B94D4E">
            <w:pPr>
              <w:pStyle w:val="bullet"/>
            </w:pPr>
            <w:r>
              <w:t>E</w:t>
            </w:r>
            <w:r w:rsidRPr="00A958FD">
              <w:t xml:space="preserve">levated </w:t>
            </w:r>
            <w:r>
              <w:t xml:space="preserve">TPOab postpartum: </w:t>
            </w:r>
            <w:r w:rsidRPr="00A958FD">
              <w:t>average RR 1.01</w:t>
            </w:r>
            <w:r>
              <w:t xml:space="preserve"> (</w:t>
            </w:r>
            <w:r w:rsidRPr="00A958FD">
              <w:t>0.78</w:t>
            </w:r>
            <w:r>
              <w:t xml:space="preserve"> to 1.30)</w:t>
            </w:r>
            <w:r w:rsidRPr="00A958FD">
              <w:t xml:space="preserve"> </w:t>
            </w:r>
            <w:r>
              <w:t>(3 studies; n=</w:t>
            </w:r>
            <w:r w:rsidRPr="00A958FD">
              <w:t xml:space="preserve">397 </w:t>
            </w:r>
            <w:r>
              <w:t xml:space="preserve">; </w:t>
            </w:r>
            <w:r w:rsidRPr="00A958FD">
              <w:t>low-</w:t>
            </w:r>
            <w:r w:rsidR="00FB2A6C">
              <w:t>certainty</w:t>
            </w:r>
            <w:r>
              <w:t>)</w:t>
            </w:r>
          </w:p>
          <w:p w14:paraId="27D9F9AC" w14:textId="3AFB0658" w:rsidR="00B94D4E" w:rsidRDefault="00B94D4E" w:rsidP="00B94D4E">
            <w:pPr>
              <w:pStyle w:val="bullet"/>
            </w:pPr>
            <w:r>
              <w:t>H</w:t>
            </w:r>
            <w:r w:rsidRPr="00A958FD">
              <w:t>yperthyroidism in pregnancy</w:t>
            </w:r>
            <w:r>
              <w:t xml:space="preserve">: </w:t>
            </w:r>
            <w:r w:rsidRPr="00A958FD">
              <w:t>average RR 1.90</w:t>
            </w:r>
            <w:r>
              <w:t xml:space="preserve"> (</w:t>
            </w:r>
            <w:r w:rsidRPr="00A958FD">
              <w:t>0.57 to 6.38</w:t>
            </w:r>
            <w:r>
              <w:t>)</w:t>
            </w:r>
            <w:r w:rsidRPr="00A958FD">
              <w:t xml:space="preserve"> </w:t>
            </w:r>
            <w:r>
              <w:t>(1</w:t>
            </w:r>
            <w:r w:rsidRPr="00A958FD">
              <w:t xml:space="preserve"> </w:t>
            </w:r>
            <w:r>
              <w:t xml:space="preserve">study; n=365; </w:t>
            </w:r>
            <w:r w:rsidRPr="00A958FD">
              <w:t>low-</w:t>
            </w:r>
            <w:r w:rsidR="00FB2A6C">
              <w:t>certainty</w:t>
            </w:r>
            <w:r>
              <w:t>)</w:t>
            </w:r>
          </w:p>
          <w:p w14:paraId="537B8C97" w14:textId="6AF8EED6" w:rsidR="00BD3F42" w:rsidRDefault="00BD3F42" w:rsidP="00B94D4E">
            <w:pPr>
              <w:pStyle w:val="bullet"/>
            </w:pPr>
            <w:r>
              <w:t>P</w:t>
            </w:r>
            <w:r w:rsidR="00A958FD" w:rsidRPr="00A958FD">
              <w:t>ostpartum hyperthyroidism</w:t>
            </w:r>
            <w:r>
              <w:t xml:space="preserve">: </w:t>
            </w:r>
            <w:r w:rsidR="00A958FD" w:rsidRPr="00A958FD">
              <w:t xml:space="preserve">average </w:t>
            </w:r>
            <w:r>
              <w:t>RR</w:t>
            </w:r>
            <w:r w:rsidR="00A958FD">
              <w:t xml:space="preserve"> </w:t>
            </w:r>
            <w:r w:rsidR="00A958FD" w:rsidRPr="00A958FD">
              <w:t>0.32</w:t>
            </w:r>
            <w:r>
              <w:t xml:space="preserve"> (0.11 to 0.91)</w:t>
            </w:r>
            <w:r w:rsidR="00A958FD" w:rsidRPr="00A958FD">
              <w:t xml:space="preserve"> </w:t>
            </w:r>
            <w:r>
              <w:t>(3 studies</w:t>
            </w:r>
            <w:r w:rsidR="00A958FD" w:rsidRPr="00A958FD">
              <w:t xml:space="preserve">, </w:t>
            </w:r>
            <w:r>
              <w:t>n=</w:t>
            </w:r>
            <w:r w:rsidR="00A958FD" w:rsidRPr="00A958FD">
              <w:t>543</w:t>
            </w:r>
            <w:r>
              <w:t>;</w:t>
            </w:r>
            <w:r w:rsidR="00A958FD" w:rsidRPr="00A958FD">
              <w:t xml:space="preserve"> low-</w:t>
            </w:r>
            <w:r w:rsidR="00FB2A6C">
              <w:t>certainty</w:t>
            </w:r>
            <w:r w:rsidR="00A958FD" w:rsidRPr="00A958FD">
              <w:t xml:space="preserve">) </w:t>
            </w:r>
          </w:p>
          <w:p w14:paraId="23135371" w14:textId="0289DD4D" w:rsidR="00D150D8" w:rsidRPr="00D150D8" w:rsidRDefault="00BD3F42" w:rsidP="00FF3C23">
            <w:pPr>
              <w:pStyle w:val="bullet"/>
            </w:pPr>
            <w:r>
              <w:t>D</w:t>
            </w:r>
            <w:r w:rsidR="00A958FD" w:rsidRPr="00A958FD">
              <w:t>igestive intolerance in pregnancy</w:t>
            </w:r>
            <w:r>
              <w:t>:</w:t>
            </w:r>
            <w:r w:rsidR="00A958FD">
              <w:t xml:space="preserve"> </w:t>
            </w:r>
            <w:r w:rsidR="00A958FD" w:rsidRPr="00A958FD">
              <w:t>average RR</w:t>
            </w:r>
            <w:r>
              <w:t> </w:t>
            </w:r>
            <w:r w:rsidR="00A958FD" w:rsidRPr="00A958FD">
              <w:t>15.33</w:t>
            </w:r>
            <w:r>
              <w:t xml:space="preserve"> (</w:t>
            </w:r>
            <w:r w:rsidR="00A958FD" w:rsidRPr="00A958FD">
              <w:t>2.07 to 113.70</w:t>
            </w:r>
            <w:r>
              <w:t>) (1</w:t>
            </w:r>
            <w:r w:rsidR="00A958FD" w:rsidRPr="00A958FD">
              <w:t xml:space="preserve"> </w:t>
            </w:r>
            <w:r>
              <w:t>study; n=</w:t>
            </w:r>
            <w:r w:rsidR="00A958FD" w:rsidRPr="00A958FD">
              <w:t>76</w:t>
            </w:r>
            <w:r>
              <w:t>;</w:t>
            </w:r>
            <w:r w:rsidR="00A958FD" w:rsidRPr="00A958FD">
              <w:t xml:space="preserve"> very low-</w:t>
            </w:r>
            <w:r w:rsidR="00FB2A6C">
              <w:t>certainty</w:t>
            </w:r>
            <w:r w:rsidR="00B94D4E">
              <w:t>)</w:t>
            </w:r>
          </w:p>
        </w:tc>
        <w:tc>
          <w:tcPr>
            <w:tcW w:w="1843" w:type="dxa"/>
          </w:tcPr>
          <w:p w14:paraId="3774DEBB" w14:textId="77777777" w:rsidR="00D150D8" w:rsidRPr="00D150D8" w:rsidRDefault="00D150D8" w:rsidP="00D150D8">
            <w:pPr>
              <w:keepNext/>
            </w:pPr>
          </w:p>
        </w:tc>
      </w:tr>
      <w:tr w:rsidR="00412299" w:rsidRPr="00D150D8" w14:paraId="6AAA0886" w14:textId="77777777" w:rsidTr="00E41F5F">
        <w:trPr>
          <w:cantSplit/>
        </w:trPr>
        <w:tc>
          <w:tcPr>
            <w:tcW w:w="1305" w:type="dxa"/>
          </w:tcPr>
          <w:p w14:paraId="48261323" w14:textId="1184D8CA" w:rsidR="00412299" w:rsidRDefault="00412299" w:rsidP="003523C5">
            <w:pPr>
              <w:keepNext/>
            </w:pPr>
            <w:r>
              <w:t>Farebrother et al 2018</w:t>
            </w:r>
            <w:r w:rsidR="003523C5">
              <w:fldChar w:fldCharType="begin">
                <w:fldData xml:space="preserve">PEVuZE5vdGU+PENpdGU+PEF1dGhvcj5GYXJlYnJvdGhlcjwvQXV0aG9yPjxZZWFyPjIwMTg8L1ll
YXI+PFJlY051bT4xMTk3PC9SZWNOdW0+PERpc3BsYXlUZXh0PjxzdHlsZSBmYWNlPSJzdXBlcnNj
cmlwdCIgZm9udD0iVHJlYnVjaGV0IE1TIiBzaXplPSI5Ij4yMDI8L3N0eWxlPjwvRGlzcGxheVRl
eHQ+PHJlY29yZD48cmVjLW51bWJlcj4xMTk3PC9yZWMtbnVtYmVyPjxmb3JlaWduLWtleXM+PGtl
eSBhcHA9IkVOIiBkYi1pZD0iZXh2YXNyZngyZHRyYW9lc2FzeHAyc3pzeGEyZGY1MDI1OTJ4IiB0
aW1lc3RhbXA9IjE1NTk1NDMyNDkiPjExOTc8L2tleT48a2V5IGFwcD0iRU5XZWIiIGRiLWlkPSIi
PjA8L2tleT48L2ZvcmVpZ24ta2V5cz48cmVmLXR5cGUgbmFtZT0iSm91cm5hbCBBcnRpY2xlIj4x
NzwvcmVmLXR5cGU+PGNvbnRyaWJ1dG9ycz48YXV0aG9ycz48YXV0aG9yPkZhcmVicm90aGVyLCBK
LjwvYXV0aG9yPjxhdXRob3I+TmF1ZGUsIEMuIEUuPC9hdXRob3I+PGF1dGhvcj5OaWNvbCwgTC48
L2F1dGhvcj48YXV0aG9yPlNhbmcsIFouPC9hdXRob3I+PGF1dGhvcj5ZYW5nLCBaLjwvYXV0aG9y
PjxhdXRob3I+Sm9vc3RlLCBQLiBMLjwvYXV0aG9yPjxhdXRob3I+QW5kZXJzc29uLCBNLjwvYXV0
aG9yPjxhdXRob3I+WmltbWVybWFubiwgTS4gQi48L2F1dGhvcj48L2F1dGhvcnM+PC9jb250cmli
dXRvcnM+PGF1dGgtYWRkcmVzcz5IdW1hbiBOdXRyaXRpb24gTGFib3JhdG9yeSwgSW5zdGl0dXRl
IG9mIEZvb2QsIE51dHJpdGlvbiwgYW5kIEhlYWx0aCwgRVRIIFp1cmljaCwgWnVyaWNoLCBTd2l0
emVybGFuZC4mI3hEO0NlbnRyZSBmb3IgRXZpZGVuY2UtQmFzZWQgSGVhbHRoIENhcmUsIEZhY3Vs
dHkgb2YgTWVkaWNpbmUgYW5kIEhlYWx0aCBTY2llbmNlcywgU3RlbGxlbmJvc2NoIFVuaXZlcnNp
dHksIFN0ZWxsZW5ib3NjaCwgU291dGggQWZyaWNhLiYjeEQ7RGVwYXJ0bWVudCBvZiBOdXRyaXRp
b24gYW5kIEZvb2QgSHlnaWVuZSwgU2Nob29sIG9mIFB1YmxpYyBIZWFsdGgsIFRpYW5qaW4gTWVk
aWNhbCBVbml2ZXJzaXR5LCBUaWFuamluLCBDaGluYS4mI3hEO05hdGlvbmFsIEluc3RpdHV0ZSBm
b3IgTnV0cml0aW9uIGFuZCBIZWFsdGgsIENoaW5lc2UgQ2VudHJlIGZvciBEaXNlYXNlIENvbnRy
b2wgYW5kIFByZXZlbnRpb24sIEtleSBMYWJvcmF0b3J5IG9mIFRyYWNlIEVsZW1lbnQgTnV0cml0
aW9uIG9mIHRoZSBNaW5pc3RyeSBvZiBIZWFsdGgsIEJlaWppbmcsIENoaW5hLiYjeEQ7Q2VudHJl
IG9mIEV4Y2VsbGVuY2UgZm9yIE51dHJpdGlvbiwgRmFjdWx0eSBvZiBIZWFsdGggU2NpZW5jZXMs
IE5vcnRoLVdlc3QgVW5pdmVyc2l0eSwgUG90Y2hlZnN0cm9vbSwgU291dGggQWZyaWNhLjwvYXV0
aC1hZGRyZXNzPjx0aXRsZXM+PHRpdGxlPkVmZmVjdHMgb2YgSW9kaXplZCBTYWx0IGFuZCBJb2Rp
bmUgU3VwcGxlbWVudHMgb24gUHJlbmF0YWwgYW5kIFBvc3RuYXRhbCBHcm93dGg6IEEgU3lzdGVt
YXRpYyBSZXZpZXc8L3RpdGxlPjxzZWNvbmRhcnktdGl0bGU+QWR2IE51dHI8L3NlY29uZGFyeS10
aXRsZT48L3RpdGxlcz48cGVyaW9kaWNhbD48ZnVsbC10aXRsZT5BZHYgTnV0cjwvZnVsbC10aXRs
ZT48L3BlcmlvZGljYWw+PHBhZ2VzPjIxOS0yMzc8L3BhZ2VzPjx2b2x1bWU+OTwvdm9sdW1lPjxu
dW1iZXI+MzwvbnVtYmVyPjxlZGl0aW9uPjIwMTgvMDUvMTc8L2VkaXRpb24+PGRhdGVzPjx5ZWFy
PjIwMTg8L3llYXI+PHB1Yi1kYXRlcz48ZGF0ZT5NYXkgMTwvZGF0ZT48L3B1Yi1kYXRlcz48L2Rh
dGVzPjxpc2JuPjIxNTYtNTM3NiAoRWxlY3Ryb25pYykmI3hEOzIxNjEtODMxMyAoTGlua2luZyk8
L2lzYm4+PGFjY2Vzc2lvbi1udW0+Mjk3Njc3MDA8L2FjY2Vzc2lvbi1udW0+PHVybHM+PHJlbGF0
ZWQtdXJscz48dXJsPmh0dHBzOi8vd3d3Lm5jYmkubmxtLm5paC5nb3YvcHVibWVkLzI5NzY3NzAw
PC91cmw+PC9yZWxhdGVkLXVybHM+PC91cmxzPjxjdXN0b20yPlBNQzU5NTI5NDc8L2N1c3RvbTI+
PGVsZWN0cm9uaWMtcmVzb3VyY2UtbnVtPjEwLjEwOTMvYWR2YW5jZXMvbm15MDA5PC9lbGVjdHJv
bmljLXJlc291cmNlLW51bT48L3JlY29yZD48L0NpdGU+PC9FbmROb3RlPgB=
</w:fldData>
              </w:fldChar>
            </w:r>
            <w:r w:rsidR="002747EA">
              <w:instrText xml:space="preserve"> ADDIN EN.CITE </w:instrText>
            </w:r>
            <w:r w:rsidR="002747EA">
              <w:fldChar w:fldCharType="begin">
                <w:fldData xml:space="preserve">PEVuZE5vdGU+PENpdGU+PEF1dGhvcj5GYXJlYnJvdGhlcjwvQXV0aG9yPjxZZWFyPjIwMTg8L1ll
YXI+PFJlY051bT4xMTk3PC9SZWNOdW0+PERpc3BsYXlUZXh0PjxzdHlsZSBmYWNlPSJzdXBlcnNj
cmlwdCIgZm9udD0iVHJlYnVjaGV0IE1TIiBzaXplPSI5Ij4yMDI8L3N0eWxlPjwvRGlzcGxheVRl
eHQ+PHJlY29yZD48cmVjLW51bWJlcj4xMTk3PC9yZWMtbnVtYmVyPjxmb3JlaWduLWtleXM+PGtl
eSBhcHA9IkVOIiBkYi1pZD0iZXh2YXNyZngyZHRyYW9lc2FzeHAyc3pzeGEyZGY1MDI1OTJ4IiB0
aW1lc3RhbXA9IjE1NTk1NDMyNDkiPjExOTc8L2tleT48a2V5IGFwcD0iRU5XZWIiIGRiLWlkPSIi
PjA8L2tleT48L2ZvcmVpZ24ta2V5cz48cmVmLXR5cGUgbmFtZT0iSm91cm5hbCBBcnRpY2xlIj4x
NzwvcmVmLXR5cGU+PGNvbnRyaWJ1dG9ycz48YXV0aG9ycz48YXV0aG9yPkZhcmVicm90aGVyLCBK
LjwvYXV0aG9yPjxhdXRob3I+TmF1ZGUsIEMuIEUuPC9hdXRob3I+PGF1dGhvcj5OaWNvbCwgTC48
L2F1dGhvcj48YXV0aG9yPlNhbmcsIFouPC9hdXRob3I+PGF1dGhvcj5ZYW5nLCBaLjwvYXV0aG9y
PjxhdXRob3I+Sm9vc3RlLCBQLiBMLjwvYXV0aG9yPjxhdXRob3I+QW5kZXJzc29uLCBNLjwvYXV0
aG9yPjxhdXRob3I+WmltbWVybWFubiwgTS4gQi48L2F1dGhvcj48L2F1dGhvcnM+PC9jb250cmli
dXRvcnM+PGF1dGgtYWRkcmVzcz5IdW1hbiBOdXRyaXRpb24gTGFib3JhdG9yeSwgSW5zdGl0dXRl
IG9mIEZvb2QsIE51dHJpdGlvbiwgYW5kIEhlYWx0aCwgRVRIIFp1cmljaCwgWnVyaWNoLCBTd2l0
emVybGFuZC4mI3hEO0NlbnRyZSBmb3IgRXZpZGVuY2UtQmFzZWQgSGVhbHRoIENhcmUsIEZhY3Vs
dHkgb2YgTWVkaWNpbmUgYW5kIEhlYWx0aCBTY2llbmNlcywgU3RlbGxlbmJvc2NoIFVuaXZlcnNp
dHksIFN0ZWxsZW5ib3NjaCwgU291dGggQWZyaWNhLiYjeEQ7RGVwYXJ0bWVudCBvZiBOdXRyaXRp
b24gYW5kIEZvb2QgSHlnaWVuZSwgU2Nob29sIG9mIFB1YmxpYyBIZWFsdGgsIFRpYW5qaW4gTWVk
aWNhbCBVbml2ZXJzaXR5LCBUaWFuamluLCBDaGluYS4mI3hEO05hdGlvbmFsIEluc3RpdHV0ZSBm
b3IgTnV0cml0aW9uIGFuZCBIZWFsdGgsIENoaW5lc2UgQ2VudHJlIGZvciBEaXNlYXNlIENvbnRy
b2wgYW5kIFByZXZlbnRpb24sIEtleSBMYWJvcmF0b3J5IG9mIFRyYWNlIEVsZW1lbnQgTnV0cml0
aW9uIG9mIHRoZSBNaW5pc3RyeSBvZiBIZWFsdGgsIEJlaWppbmcsIENoaW5hLiYjeEQ7Q2VudHJl
IG9mIEV4Y2VsbGVuY2UgZm9yIE51dHJpdGlvbiwgRmFjdWx0eSBvZiBIZWFsdGggU2NpZW5jZXMs
IE5vcnRoLVdlc3QgVW5pdmVyc2l0eSwgUG90Y2hlZnN0cm9vbSwgU291dGggQWZyaWNhLjwvYXV0
aC1hZGRyZXNzPjx0aXRsZXM+PHRpdGxlPkVmZmVjdHMgb2YgSW9kaXplZCBTYWx0IGFuZCBJb2Rp
bmUgU3VwcGxlbWVudHMgb24gUHJlbmF0YWwgYW5kIFBvc3RuYXRhbCBHcm93dGg6IEEgU3lzdGVt
YXRpYyBSZXZpZXc8L3RpdGxlPjxzZWNvbmRhcnktdGl0bGU+QWR2IE51dHI8L3NlY29uZGFyeS10
aXRsZT48L3RpdGxlcz48cGVyaW9kaWNhbD48ZnVsbC10aXRsZT5BZHYgTnV0cjwvZnVsbC10aXRs
ZT48L3BlcmlvZGljYWw+PHBhZ2VzPjIxOS0yMzc8L3BhZ2VzPjx2b2x1bWU+OTwvdm9sdW1lPjxu
dW1iZXI+MzwvbnVtYmVyPjxlZGl0aW9uPjIwMTgvMDUvMTc8L2VkaXRpb24+PGRhdGVzPjx5ZWFy
PjIwMTg8L3llYXI+PHB1Yi1kYXRlcz48ZGF0ZT5NYXkgMTwvZGF0ZT48L3B1Yi1kYXRlcz48L2Rh
dGVzPjxpc2JuPjIxNTYtNTM3NiAoRWxlY3Ryb25pYykmI3hEOzIxNjEtODMxMyAoTGlua2luZyk8
L2lzYm4+PGFjY2Vzc2lvbi1udW0+Mjk3Njc3MDA8L2FjY2Vzc2lvbi1udW0+PHVybHM+PHJlbGF0
ZWQtdXJscz48dXJsPmh0dHBzOi8vd3d3Lm5jYmkubmxtLm5paC5nb3YvcHVibWVkLzI5NzY3NzAw
PC91cmw+PC9yZWxhdGVkLXVybHM+PC91cmxzPjxjdXN0b20yPlBNQzU5NTI5NDc8L2N1c3RvbTI+
PGVsZWN0cm9uaWMtcmVzb3VyY2UtbnVtPjEwLjEwOTMvYWR2YW5jZXMvbm15MDA5PC9lbGVjdHJv
bmljLXJlc291cmNlLW51bT48L3JlY29yZD48L0NpdGU+PC9FbmROb3RlPgB=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202</w:t>
            </w:r>
            <w:r w:rsidR="003523C5">
              <w:fldChar w:fldCharType="end"/>
            </w:r>
          </w:p>
          <w:p w14:paraId="4F60D841" w14:textId="77B8F031" w:rsidR="00DE2A9C" w:rsidRPr="00D150D8" w:rsidRDefault="00DE2A9C" w:rsidP="003523C5">
            <w:pPr>
              <w:keepNext/>
            </w:pPr>
            <w:r>
              <w:t>Australia, China, France, India, Thailand</w:t>
            </w:r>
          </w:p>
        </w:tc>
        <w:tc>
          <w:tcPr>
            <w:tcW w:w="1247" w:type="dxa"/>
          </w:tcPr>
          <w:p w14:paraId="3A76B48F" w14:textId="77777777" w:rsidR="00412299" w:rsidRDefault="006A2344" w:rsidP="00D150D8">
            <w:pPr>
              <w:keepNext/>
            </w:pPr>
            <w:r>
              <w:t>4 studies</w:t>
            </w:r>
          </w:p>
          <w:p w14:paraId="51551E71" w14:textId="76F9B24E" w:rsidR="006A2344" w:rsidRPr="00D150D8" w:rsidRDefault="006A2344" w:rsidP="00D150D8">
            <w:pPr>
              <w:keepNext/>
            </w:pPr>
            <w:r>
              <w:t>783 women</w:t>
            </w:r>
          </w:p>
        </w:tc>
        <w:tc>
          <w:tcPr>
            <w:tcW w:w="4961" w:type="dxa"/>
          </w:tcPr>
          <w:p w14:paraId="5E635226" w14:textId="22A0F46B" w:rsidR="00412299" w:rsidRPr="00A41B56" w:rsidRDefault="008E2876" w:rsidP="00A41B56">
            <w:r w:rsidRPr="00A41B56">
              <w:rPr>
                <w:b/>
              </w:rPr>
              <w:t>Aim</w:t>
            </w:r>
            <w:r>
              <w:t xml:space="preserve">: </w:t>
            </w:r>
            <w:r w:rsidR="00A41B56" w:rsidRPr="00A41B56">
              <w:t>to assess the effects of iodine fortification or supplementation on prenatal and postnatal growth outcomes in noncretinous</w:t>
            </w:r>
            <w:r w:rsidR="00A41B56">
              <w:t xml:space="preserve"> </w:t>
            </w:r>
            <w:r w:rsidR="00A41B56" w:rsidRPr="00A41B56">
              <w:rPr>
                <w:rFonts w:ascii="Helvetica" w:hAnsi="Helvetica"/>
              </w:rPr>
              <w:t>children</w:t>
            </w:r>
          </w:p>
          <w:p w14:paraId="53C67609" w14:textId="4FE251C7" w:rsidR="008E2876" w:rsidRDefault="008E2876" w:rsidP="00D150D8">
            <w:pPr>
              <w:keepNext/>
            </w:pPr>
            <w:r w:rsidRPr="00067F8E">
              <w:rPr>
                <w:b/>
              </w:rPr>
              <w:t>Population</w:t>
            </w:r>
            <w:r>
              <w:t>:</w:t>
            </w:r>
            <w:r w:rsidR="00067F8E">
              <w:t xml:space="preserve"> Pregnant women</w:t>
            </w:r>
            <w:r w:rsidR="00ED6E11">
              <w:t xml:space="preserve"> with mild to moderate iodine deficiency</w:t>
            </w:r>
          </w:p>
          <w:p w14:paraId="497DA3F3" w14:textId="38EDDE3E" w:rsidR="008E2876" w:rsidRPr="006A2344" w:rsidRDefault="008E2876" w:rsidP="00D150D8">
            <w:pPr>
              <w:keepNext/>
              <w:rPr>
                <w:b/>
              </w:rPr>
            </w:pPr>
            <w:r w:rsidRPr="006A2344">
              <w:rPr>
                <w:b/>
              </w:rPr>
              <w:t>Intervention</w:t>
            </w:r>
            <w:r>
              <w:t xml:space="preserve">: </w:t>
            </w:r>
            <w:r w:rsidR="006A2344">
              <w:t xml:space="preserve">150–200 </w:t>
            </w:r>
            <w:r w:rsidR="006A2344">
              <w:rPr>
                <w:rFonts w:ascii="Times" w:hAnsi="Times"/>
              </w:rPr>
              <w:sym w:font="Symbol" w:char="F06D"/>
            </w:r>
            <w:r w:rsidR="006A2344" w:rsidRPr="00D741EF">
              <w:t>g</w:t>
            </w:r>
            <w:r w:rsidR="006A2344">
              <w:t>/day (for 30 days in one study and from enrolment until birth or 3 months postpartum in the others)</w:t>
            </w:r>
          </w:p>
        </w:tc>
        <w:tc>
          <w:tcPr>
            <w:tcW w:w="4536" w:type="dxa"/>
          </w:tcPr>
          <w:p w14:paraId="0078F0CE" w14:textId="77777777" w:rsidR="00412299" w:rsidRDefault="00E25DF1" w:rsidP="00D150D8">
            <w:pPr>
              <w:keepNext/>
            </w:pPr>
            <w:r>
              <w:t>Intervention vs control:</w:t>
            </w:r>
          </w:p>
          <w:p w14:paraId="74078561" w14:textId="5CA35FDF" w:rsidR="00E25DF1" w:rsidRPr="00D150D8" w:rsidRDefault="00E25DF1" w:rsidP="00E41F5F">
            <w:pPr>
              <w:pStyle w:val="bullet"/>
            </w:pPr>
            <w:r>
              <w:t xml:space="preserve">Birthweight: </w:t>
            </w:r>
            <w:r w:rsidR="00590213">
              <w:t>MD –13.75 (–212.46 to 184.97) (4</w:t>
            </w:r>
            <w:r w:rsidR="00E41F5F">
              <w:t> </w:t>
            </w:r>
            <w:r w:rsidR="00590213">
              <w:t>studies; n=1,743)</w:t>
            </w:r>
          </w:p>
        </w:tc>
        <w:tc>
          <w:tcPr>
            <w:tcW w:w="1843" w:type="dxa"/>
          </w:tcPr>
          <w:p w14:paraId="5F94CDDA" w14:textId="10B3485B" w:rsidR="00412299" w:rsidRPr="00D150D8" w:rsidRDefault="00EE1741" w:rsidP="002747EA">
            <w:pPr>
              <w:keepNext/>
            </w:pPr>
            <w:r>
              <w:t>Overlap of two studies with Harding et al 2017</w:t>
            </w:r>
            <w:r w:rsidR="003523C5">
              <w:fldChar w:fldCharType="begin">
                <w:fldData xml:space="preserve">PEVuZE5vdGU+PENpdGU+PEF1dGhvcj5IYXJkaW5nPC9BdXRob3I+PFllYXI+MjAxNzwvWWVhcj48
UmVjTnVtPjExOTg8L1JlY051bT48RGlzcGxheVRleHQ+PHN0eWxlIGZhY2U9InN1cGVyc2NyaXB0
IiBmb250PSJUcmVidWNoZXQgTVMiIHNpemU9IjkiPjIwMTwvc3R5bGU+PC9EaXNwbGF5VGV4dD48
cmVjb3JkPjxyZWMtbnVtYmVyPjExOTg8L3JlYy1udW1iZXI+PGZvcmVpZ24ta2V5cz48a2V5IGFw
cD0iRU4iIGRiLWlkPSJleHZhc3JmeDJkdHJhb2VzYXN4cDJzenN4YTJkZjUwMjU5MngiIHRpbWVz
dGFtcD0iMTU1OTYyMTcwMyI+MTE5ODwva2V5PjxrZXkgYXBwPSJFTldlYiIgZGItaWQ9IiI+MDwv
a2V5PjwvZm9yZWlnbi1rZXlzPjxyZWYtdHlwZSBuYW1lPSJKb3VybmFsIEFydGljbGUiPjE3PC9y
ZWYtdHlwZT48Y29udHJpYnV0b3JzPjxhdXRob3JzPjxhdXRob3I+SGFyZGluZywgSy4gQi48L2F1
dGhvcj48YXV0aG9yPlBlbmEtUm9zYXMsIEouIFAuPC9hdXRob3I+PGF1dGhvcj5XZWJzdGVyLCBB
LiBDLjwvYXV0aG9yPjxhdXRob3I+WWFwLCBDLiBNLjwvYXV0aG9yPjxhdXRob3I+UGF5bmUsIEIu
IEEuPC9hdXRob3I+PGF1dGhvcj5PdGEsIEUuPC9hdXRob3I+PGF1dGhvcj5EZS1SZWdpbCwgTC4g
TS48L2F1dGhvcj48L2F1dGhvcnM+PC9jb250cmlidXRvcnM+PGF1dGgtYWRkcmVzcz5SZXNlYXJj
aCBhbmQgRXZhbHVhdGlvbiwgTWljcm9udXRyaWVudCBJbml0aWF0aXZlLCAxODAgRWxnaW4gU3Ry
ZWV0LCBTdWl0ZSAxMDAwLCBPdHRhd2EsIE9OLCBDYW5hZGEsIEsyUCAySzMuJiN4RDtFdmlkZW5j
ZSBhbmQgUHJvZ3JhbW1lIEd1aWRhbmNlLCBEZXBhcnRtZW50IG9mIE51dHJpdGlvbiBmb3IgSGVh
bHRoIGFuZCBEZXZlbG9wbWVudCwgV29ybGQgSGVhbHRoIE9yZ2FuaXphdGlvbiwgMjAgQXZlbnVl
IEFwcGlhLCBHZW5ldmEsIEdFLCBTd2l0emVybGFuZCwgMTIxMS4mI3hEO1N5ZG5leSBTY2hvb2wg
b2YgUHVibGljIEhlYWx0aCwgVGhlIFVuaXZlcnNpdHkgb2YgU3lkbmV5LCBFZHdhcmQgRm9yZCBC
dWlsZGluZyBBMjcsIFN5ZG5leSwgTlNXLCBBdXN0cmFsaWEsIDIwMDYuJiN4RDtEZXBhcnRtZW50
IG9mIERpYWJldGVzIGFuZCBFbmRvY3Jpbm9sb2d5LCBXZXN0bWVhZCBIb3NwaXRhbCwgQ29ybmVy
IEhhd2tlc2J1cnkgYW5kIERhcmN5IFJvYWRzLCBXZXN0bWVhZCwgTlNXLCBBdXN0cmFsaWEsIDIx
NDUuJiN4RDtOYXRpb25hbCBOdXRyaXRpb24gQ2VudGVyLCBNaW5pc3RyeSBvZiBIZWFsdGggQmFy
YmFkb3MsIFN0IE1pY2hhZWwsIEJhcmJhZG9zLiYjeEQ7R2xvYmFsIEhlYWx0aCBOdXJzaW5nLCBT
dC4gTHVrZSZhcG9zO3MgSW50ZXJuYXRpb25hbCBVbml2ZXJzaXR5LCBHcmFkdWF0ZSBTY2hvb2wg
b2YgTnVyc2luZyBTY2llbmNlcywgMTAtMSBBa2FzaGktY2hvLCBDaHVvLUt1LCBUb2t5bywgSmFw
YW4sIDEwNC0wMDQ0LjwvYXV0aC1hZGRyZXNzPjx0aXRsZXM+PHRpdGxlPklvZGluZSBzdXBwbGVt
ZW50YXRpb24gZm9yIHdvbWVuIGR1cmluZyB0aGUgcHJlY29uY2VwdGlvbiwgcHJlZ25hbmN5IGFu
ZCBwb3N0cGFydHVtIHBlcmlvZDwvdGl0bGU+PHNlY29uZGFyeS10aXRsZT5Db2NocmFuZSBEYXRh
YmFzZSBTeXN0IFJldjwvc2Vjb25kYXJ5LXRpdGxlPjwvdGl0bGVzPjxwZXJpb2RpY2FsPjxmdWxs
LXRpdGxlPkNvY2hyYW5lIERhdGFiYXNlIFN5c3QgUmV2PC9mdWxsLXRpdGxlPjwvcGVyaW9kaWNh
bD48cGFnZXM+Q0QwMTE3NjE8L3BhZ2VzPjx2b2x1bWU+Mzwvdm9sdW1lPjxlZGl0aW9uPjIwMTcv
MDMvMDY8L2VkaXRpb24+PGtleXdvcmRzPjxrZXl3b3JkPipEaWV0YXJ5IFN1cHBsZW1lbnRzL2Fk
dmVyc2UgZWZmZWN0czwva2V5d29yZD48a2V5d29yZD5GZW1hbGU8L2tleXdvcmQ+PGtleXdvcmQ+
SHVtYW5zPC9rZXl3b3JkPjxrZXl3b3JkPkh5cGVydGh5cm9pZGlzbS9lcGlkZW1pb2xvZ3k8L2tl
eXdvcmQ+PGtleXdvcmQ+SHlwb3RoeXJvaWRpc20vZXBpZGVtaW9sb2d5PC9rZXl3b3JkPjxrZXl3
b3JkPkluZmFudCwgTmV3Ym9ybjwva2V5d29yZD48a2V5d29yZD5JbmZhbnQsIE5ld2Jvcm4sIERp
c2Vhc2VzL2VwaWRlbWlvbG9neTwva2V5d29yZD48a2V5d29yZD5Jb2RpbmUvKmFkbWluaXN0cmF0
aW9uICZhbXA7IGRvc2FnZS9hZHZlcnNlIGVmZmVjdHMvZGVmaWNpZW5jeTwva2V5d29yZD48a2V5
d29yZD5QZXJpbmF0YWwgTW9ydGFsaXR5PC9rZXl3b3JkPjxrZXl3b3JkPlBvc3RwYXJ0dW0gUGVy
aW9kPC9rZXl3b3JkPjxrZXl3b3JkPlByZWNvbmNlcHRpb24gQ2FyZS8qbWV0aG9kczwva2V5d29y
ZD48a2V5d29yZD5QcmVnbmFuY3k8L2tleXdvcmQ+PGtleXdvcmQ+UHJlZ25hbmN5IENvbXBsaWNh
dGlvbnMvZXBpZGVtaW9sb2d5PC9rZXl3b3JkPjxrZXl3b3JkPlByZW1hdHVyZSBCaXJ0aC9lcGlk
ZW1pb2xvZ3k8L2tleXdvcmQ+PGtleXdvcmQ+UHJlbmF0YWwgQ2FyZS8qbWV0aG9kczwva2V5d29y
ZD48a2V5d29yZD5SYW5kb21pemVkIENvbnRyb2xsZWQgVHJpYWxzIGFzIFRvcGljPC9rZXl3b3Jk
PjxrZXl3b3JkPlRoeXJvaWQgSG9ybW9uZXMvYmxvb2Q8L2tleXdvcmQ+PGtleXdvcmQ+VGh5cm90
cm9waW4vYmxvb2Q8L2tleXdvcmQ+PC9rZXl3b3Jkcz48ZGF0ZXM+PHllYXI+MjAxNzwveWVhcj48
cHViLWRhdGVzPjxkYXRlPk1hciA1PC9kYXRlPjwvcHViLWRhdGVzPjwvZGF0ZXM+PGlzYm4+MTQ2
OS00OTNYIChFbGVjdHJvbmljKSYjeEQ7MTM2MS02MTM3IChMaW5raW5nKTwvaXNibj48YWNjZXNz
aW9uLW51bT4yODI2MDI2MzwvYWNjZXNzaW9uLW51bT48dXJscz48cmVsYXRlZC11cmxzPjx1cmw+
aHR0cHM6Ly93d3cubmNiaS5ubG0ubmloLmdvdi9wdWJtZWQvMjgyNjAyNjM8L3VybD48L3JlbGF0
ZWQtdXJscz48L3VybHM+PGN1c3RvbTI+UE1DNjQ2NDY0NzwvY3VzdG9tMj48ZWxlY3Ryb25pYy1y
ZXNvdXJjZS1udW0+MTAuMTAwMi8xNDY1MTg1OC5DRDAxMTc2MS5wdWIyPC9lbGVjdHJvbmljLXJl
c291cmNlLW51bT48L3JlY29yZD48L0NpdGU+PC9FbmROb3RlPgB=
</w:fldData>
              </w:fldChar>
            </w:r>
            <w:r w:rsidR="002747EA">
              <w:instrText xml:space="preserve"> ADDIN EN.CITE </w:instrText>
            </w:r>
            <w:r w:rsidR="002747EA">
              <w:fldChar w:fldCharType="begin">
                <w:fldData xml:space="preserve">PEVuZE5vdGU+PENpdGU+PEF1dGhvcj5IYXJkaW5nPC9BdXRob3I+PFllYXI+MjAxNzwvWWVhcj48
UmVjTnVtPjExOTg8L1JlY051bT48RGlzcGxheVRleHQ+PHN0eWxlIGZhY2U9InN1cGVyc2NyaXB0
IiBmb250PSJUcmVidWNoZXQgTVMiIHNpemU9IjkiPjIwMTwvc3R5bGU+PC9EaXNwbGF5VGV4dD48
cmVjb3JkPjxyZWMtbnVtYmVyPjExOTg8L3JlYy1udW1iZXI+PGZvcmVpZ24ta2V5cz48a2V5IGFw
cD0iRU4iIGRiLWlkPSJleHZhc3JmeDJkdHJhb2VzYXN4cDJzenN4YTJkZjUwMjU5MngiIHRpbWVz
dGFtcD0iMTU1OTYyMTcwMyI+MTE5ODwva2V5PjxrZXkgYXBwPSJFTldlYiIgZGItaWQ9IiI+MDwv
a2V5PjwvZm9yZWlnbi1rZXlzPjxyZWYtdHlwZSBuYW1lPSJKb3VybmFsIEFydGljbGUiPjE3PC9y
ZWYtdHlwZT48Y29udHJpYnV0b3JzPjxhdXRob3JzPjxhdXRob3I+SGFyZGluZywgSy4gQi48L2F1
dGhvcj48YXV0aG9yPlBlbmEtUm9zYXMsIEouIFAuPC9hdXRob3I+PGF1dGhvcj5XZWJzdGVyLCBB
LiBDLjwvYXV0aG9yPjxhdXRob3I+WWFwLCBDLiBNLjwvYXV0aG9yPjxhdXRob3I+UGF5bmUsIEIu
IEEuPC9hdXRob3I+PGF1dGhvcj5PdGEsIEUuPC9hdXRob3I+PGF1dGhvcj5EZS1SZWdpbCwgTC4g
TS48L2F1dGhvcj48L2F1dGhvcnM+PC9jb250cmlidXRvcnM+PGF1dGgtYWRkcmVzcz5SZXNlYXJj
aCBhbmQgRXZhbHVhdGlvbiwgTWljcm9udXRyaWVudCBJbml0aWF0aXZlLCAxODAgRWxnaW4gU3Ry
ZWV0LCBTdWl0ZSAxMDAwLCBPdHRhd2EsIE9OLCBDYW5hZGEsIEsyUCAySzMuJiN4RDtFdmlkZW5j
ZSBhbmQgUHJvZ3JhbW1lIEd1aWRhbmNlLCBEZXBhcnRtZW50IG9mIE51dHJpdGlvbiBmb3IgSGVh
bHRoIGFuZCBEZXZlbG9wbWVudCwgV29ybGQgSGVhbHRoIE9yZ2FuaXphdGlvbiwgMjAgQXZlbnVl
IEFwcGlhLCBHZW5ldmEsIEdFLCBTd2l0emVybGFuZCwgMTIxMS4mI3hEO1N5ZG5leSBTY2hvb2wg
b2YgUHVibGljIEhlYWx0aCwgVGhlIFVuaXZlcnNpdHkgb2YgU3lkbmV5LCBFZHdhcmQgRm9yZCBC
dWlsZGluZyBBMjcsIFN5ZG5leSwgTlNXLCBBdXN0cmFsaWEsIDIwMDYuJiN4RDtEZXBhcnRtZW50
IG9mIERpYWJldGVzIGFuZCBFbmRvY3Jpbm9sb2d5LCBXZXN0bWVhZCBIb3NwaXRhbCwgQ29ybmVy
IEhhd2tlc2J1cnkgYW5kIERhcmN5IFJvYWRzLCBXZXN0bWVhZCwgTlNXLCBBdXN0cmFsaWEsIDIx
NDUuJiN4RDtOYXRpb25hbCBOdXRyaXRpb24gQ2VudGVyLCBNaW5pc3RyeSBvZiBIZWFsdGggQmFy
YmFkb3MsIFN0IE1pY2hhZWwsIEJhcmJhZG9zLiYjeEQ7R2xvYmFsIEhlYWx0aCBOdXJzaW5nLCBT
dC4gTHVrZSZhcG9zO3MgSW50ZXJuYXRpb25hbCBVbml2ZXJzaXR5LCBHcmFkdWF0ZSBTY2hvb2wg
b2YgTnVyc2luZyBTY2llbmNlcywgMTAtMSBBa2FzaGktY2hvLCBDaHVvLUt1LCBUb2t5bywgSmFw
YW4sIDEwNC0wMDQ0LjwvYXV0aC1hZGRyZXNzPjx0aXRsZXM+PHRpdGxlPklvZGluZSBzdXBwbGVt
ZW50YXRpb24gZm9yIHdvbWVuIGR1cmluZyB0aGUgcHJlY29uY2VwdGlvbiwgcHJlZ25hbmN5IGFu
ZCBwb3N0cGFydHVtIHBlcmlvZDwvdGl0bGU+PHNlY29uZGFyeS10aXRsZT5Db2NocmFuZSBEYXRh
YmFzZSBTeXN0IFJldjwvc2Vjb25kYXJ5LXRpdGxlPjwvdGl0bGVzPjxwZXJpb2RpY2FsPjxmdWxs
LXRpdGxlPkNvY2hyYW5lIERhdGFiYXNlIFN5c3QgUmV2PC9mdWxsLXRpdGxlPjwvcGVyaW9kaWNh
bD48cGFnZXM+Q0QwMTE3NjE8L3BhZ2VzPjx2b2x1bWU+Mzwvdm9sdW1lPjxlZGl0aW9uPjIwMTcv
MDMvMDY8L2VkaXRpb24+PGtleXdvcmRzPjxrZXl3b3JkPipEaWV0YXJ5IFN1cHBsZW1lbnRzL2Fk
dmVyc2UgZWZmZWN0czwva2V5d29yZD48a2V5d29yZD5GZW1hbGU8L2tleXdvcmQ+PGtleXdvcmQ+
SHVtYW5zPC9rZXl3b3JkPjxrZXl3b3JkPkh5cGVydGh5cm9pZGlzbS9lcGlkZW1pb2xvZ3k8L2tl
eXdvcmQ+PGtleXdvcmQ+SHlwb3RoeXJvaWRpc20vZXBpZGVtaW9sb2d5PC9rZXl3b3JkPjxrZXl3
b3JkPkluZmFudCwgTmV3Ym9ybjwva2V5d29yZD48a2V5d29yZD5JbmZhbnQsIE5ld2Jvcm4sIERp
c2Vhc2VzL2VwaWRlbWlvbG9neTwva2V5d29yZD48a2V5d29yZD5Jb2RpbmUvKmFkbWluaXN0cmF0
aW9uICZhbXA7IGRvc2FnZS9hZHZlcnNlIGVmZmVjdHMvZGVmaWNpZW5jeTwva2V5d29yZD48a2V5
d29yZD5QZXJpbmF0YWwgTW9ydGFsaXR5PC9rZXl3b3JkPjxrZXl3b3JkPlBvc3RwYXJ0dW0gUGVy
aW9kPC9rZXl3b3JkPjxrZXl3b3JkPlByZWNvbmNlcHRpb24gQ2FyZS8qbWV0aG9kczwva2V5d29y
ZD48a2V5d29yZD5QcmVnbmFuY3k8L2tleXdvcmQ+PGtleXdvcmQ+UHJlZ25hbmN5IENvbXBsaWNh
dGlvbnMvZXBpZGVtaW9sb2d5PC9rZXl3b3JkPjxrZXl3b3JkPlByZW1hdHVyZSBCaXJ0aC9lcGlk
ZW1pb2xvZ3k8L2tleXdvcmQ+PGtleXdvcmQ+UHJlbmF0YWwgQ2FyZS8qbWV0aG9kczwva2V5d29y
ZD48a2V5d29yZD5SYW5kb21pemVkIENvbnRyb2xsZWQgVHJpYWxzIGFzIFRvcGljPC9rZXl3b3Jk
PjxrZXl3b3JkPlRoeXJvaWQgSG9ybW9uZXMvYmxvb2Q8L2tleXdvcmQ+PGtleXdvcmQ+VGh5cm90
cm9waW4vYmxvb2Q8L2tleXdvcmQ+PC9rZXl3b3Jkcz48ZGF0ZXM+PHllYXI+MjAxNzwveWVhcj48
cHViLWRhdGVzPjxkYXRlPk1hciA1PC9kYXRlPjwvcHViLWRhdGVzPjwvZGF0ZXM+PGlzYm4+MTQ2
OS00OTNYIChFbGVjdHJvbmljKSYjeEQ7MTM2MS02MTM3IChMaW5raW5nKTwvaXNibj48YWNjZXNz
aW9uLW51bT4yODI2MDI2MzwvYWNjZXNzaW9uLW51bT48dXJscz48cmVsYXRlZC11cmxzPjx1cmw+
aHR0cHM6Ly93d3cubmNiaS5ubG0ubmloLmdvdi9wdWJtZWQvMjgyNjAyNjM8L3VybD48L3JlbGF0
ZWQtdXJscz48L3VybHM+PGN1c3RvbTI+UE1DNjQ2NDY0NzwvY3VzdG9tMj48ZWxlY3Ryb25pYy1y
ZXNvdXJjZS1udW0+MTAuMTAwMi8xNDY1MTg1OC5DRDAxMTc2MS5wdWIyPC9lbGVjdHJvbmljLXJl
c291cmNlLW51bT48L3JlY29yZD48L0NpdGU+PC9FbmROb3RlPgB=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201</w:t>
            </w:r>
            <w:r w:rsidR="003523C5">
              <w:fldChar w:fldCharType="end"/>
            </w:r>
          </w:p>
        </w:tc>
      </w:tr>
    </w:tbl>
    <w:p w14:paraId="7FDF81ED" w14:textId="26C9890F" w:rsidR="00D150D8" w:rsidRPr="009740A7" w:rsidRDefault="009C163D" w:rsidP="00932C6D">
      <w:pPr>
        <w:pStyle w:val="TableName"/>
      </w:pPr>
      <w:bookmarkStart w:id="96" w:name="_Toc40956631"/>
      <w:r>
        <w:t xml:space="preserve">Q3 </w:t>
      </w:r>
      <w:r w:rsidR="00D150D8">
        <w:t xml:space="preserve">Harms and benefits of iodine supplementation </w:t>
      </w:r>
      <w:r w:rsidR="00BC1D42">
        <w:t xml:space="preserve">in pregnancy </w:t>
      </w:r>
      <w:r w:rsidR="00D150D8">
        <w:t xml:space="preserve">— </w:t>
      </w:r>
      <w:r w:rsidR="00D56FB3">
        <w:t>RCT</w:t>
      </w:r>
      <w:r w:rsidR="00D150D8">
        <w:t>s</w:t>
      </w:r>
      <w:bookmarkEnd w:id="96"/>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3: Q3 Harms and benefits of iodine supplementation in pregnancy — RCTs"/>
      </w:tblPr>
      <w:tblGrid>
        <w:gridCol w:w="1305"/>
        <w:gridCol w:w="1528"/>
        <w:gridCol w:w="4680"/>
        <w:gridCol w:w="4536"/>
        <w:gridCol w:w="1843"/>
      </w:tblGrid>
      <w:tr w:rsidR="00D150D8" w:rsidRPr="00F350A6" w14:paraId="36C94A7B" w14:textId="77777777" w:rsidTr="005719CE">
        <w:trPr>
          <w:cantSplit/>
          <w:tblHeader/>
        </w:trPr>
        <w:tc>
          <w:tcPr>
            <w:tcW w:w="1305" w:type="dxa"/>
          </w:tcPr>
          <w:p w14:paraId="3C884C9F" w14:textId="77777777" w:rsidR="00D150D8" w:rsidRPr="00F350A6" w:rsidRDefault="00D150D8" w:rsidP="00D150D8">
            <w:pPr>
              <w:keepNext/>
              <w:rPr>
                <w:b/>
              </w:rPr>
            </w:pPr>
            <w:r>
              <w:rPr>
                <w:b/>
              </w:rPr>
              <w:t>Study ref</w:t>
            </w:r>
          </w:p>
        </w:tc>
        <w:tc>
          <w:tcPr>
            <w:tcW w:w="1528" w:type="dxa"/>
          </w:tcPr>
          <w:p w14:paraId="53F03C6A" w14:textId="77777777" w:rsidR="00D150D8" w:rsidRPr="00F350A6" w:rsidRDefault="00D150D8" w:rsidP="00D150D8">
            <w:pPr>
              <w:keepNext/>
              <w:rPr>
                <w:b/>
              </w:rPr>
            </w:pPr>
            <w:r>
              <w:rPr>
                <w:b/>
              </w:rPr>
              <w:t>N</w:t>
            </w:r>
          </w:p>
        </w:tc>
        <w:tc>
          <w:tcPr>
            <w:tcW w:w="4680" w:type="dxa"/>
          </w:tcPr>
          <w:p w14:paraId="424A8161" w14:textId="309EDC1C" w:rsidR="00D150D8" w:rsidRPr="00F350A6" w:rsidRDefault="00D150D8" w:rsidP="00DE2A9C">
            <w:pPr>
              <w:keepNext/>
              <w:rPr>
                <w:b/>
              </w:rPr>
            </w:pPr>
            <w:r>
              <w:rPr>
                <w:b/>
              </w:rPr>
              <w:t>Aim/</w:t>
            </w:r>
            <w:r w:rsidRPr="00F350A6">
              <w:rPr>
                <w:b/>
              </w:rPr>
              <w:t>population</w:t>
            </w:r>
            <w:r>
              <w:rPr>
                <w:b/>
              </w:rPr>
              <w:t>/intervention</w:t>
            </w:r>
          </w:p>
        </w:tc>
        <w:tc>
          <w:tcPr>
            <w:tcW w:w="4536" w:type="dxa"/>
          </w:tcPr>
          <w:p w14:paraId="3F523C08" w14:textId="77777777" w:rsidR="00D150D8" w:rsidRPr="00F350A6" w:rsidRDefault="00D150D8" w:rsidP="00D150D8">
            <w:pPr>
              <w:keepNext/>
              <w:rPr>
                <w:b/>
              </w:rPr>
            </w:pPr>
            <w:r>
              <w:rPr>
                <w:b/>
              </w:rPr>
              <w:t>Results</w:t>
            </w:r>
          </w:p>
        </w:tc>
        <w:tc>
          <w:tcPr>
            <w:tcW w:w="1843" w:type="dxa"/>
          </w:tcPr>
          <w:p w14:paraId="50D5D7EC" w14:textId="77777777" w:rsidR="00D150D8" w:rsidRPr="00F350A6" w:rsidRDefault="00D150D8" w:rsidP="00D150D8">
            <w:pPr>
              <w:keepNext/>
              <w:rPr>
                <w:b/>
              </w:rPr>
            </w:pPr>
            <w:r>
              <w:rPr>
                <w:b/>
              </w:rPr>
              <w:t>Comments</w:t>
            </w:r>
          </w:p>
        </w:tc>
      </w:tr>
      <w:tr w:rsidR="00CA78D5" w:rsidRPr="00D150D8" w14:paraId="0AA76FBD" w14:textId="77777777" w:rsidTr="005719CE">
        <w:trPr>
          <w:cantSplit/>
        </w:trPr>
        <w:tc>
          <w:tcPr>
            <w:tcW w:w="1305" w:type="dxa"/>
          </w:tcPr>
          <w:p w14:paraId="02318775" w14:textId="76908703" w:rsidR="00CA78D5" w:rsidRDefault="00CA78D5" w:rsidP="003523C5">
            <w:pPr>
              <w:keepNext/>
            </w:pPr>
            <w:r>
              <w:t>Censi et al 2019</w:t>
            </w:r>
            <w:r w:rsidR="00D07346">
              <w:fldChar w:fldCharType="begin">
                <w:fldData xml:space="preserve">PEVuZE5vdGU+PENpdGU+PEF1dGhvcj5DZW5zaTwvQXV0aG9yPjxZZWFyPjIwMTk8L1llYXI+PFJl
Y051bT4xODQ4PC9SZWNOdW0+PERpc3BsYXlUZXh0PjxzdHlsZSBmYWNlPSJzdXBlcnNjcmlwdCIg
Zm9udD0iVHJlYnVjaGV0IE1TIiBzaXplPSI5Ij4yMDQ8L3N0eWxlPjwvRGlzcGxheVRleHQ+PHJl
Y29yZD48cmVjLW51bWJlcj4xODQ4PC9yZWMtbnVtYmVyPjxmb3JlaWduLWtleXM+PGtleSBhcHA9
IkVOIiBkYi1pZD0iZXh2YXNyZngyZHRyYW9lc2FzeHAyc3pzeGEyZGY1MDI1OTJ4IiB0aW1lc3Rh
bXA9IjE1ODc2MTM3NjYiPjE4NDg8L2tleT48a2V5IGFwcD0iRU5XZWIiIGRiLWlkPSIiPjA8L2tl
eT48L2ZvcmVpZ24ta2V5cz48cmVmLXR5cGUgbmFtZT0iSm91cm5hbCBBcnRpY2xlIj4xNzwvcmVm
LXR5cGU+PGNvbnRyaWJ1dG9ycz48YXV0aG9ycz48YXV0aG9yPkNlbnNpLCBTLjwvYXV0aG9yPjxh
dXRob3I+V2F0dXRhbnRyaWdlLUZlcm5hbmRvLCBTLjwvYXV0aG9yPjxhdXRob3I+R3JvY2NpYSwg
Ry48L2F1dGhvcj48YXV0aG9yPk1hbnNvLCBKLjwvYXV0aG9yPjxhdXRob3I+UGxlYmFuaSwgTS48
L2F1dGhvcj48YXV0aG9yPkZhZ2dpYW4sIEQuPC9hdXRob3I+PGF1dGhvcj5NaW9uLCBNLiBNLjwv
YXV0aG9yPjxhdXRob3I+VmVudHVyaW5pLCBSLjwvYXV0aG9yPjxhdXRob3I+QW5kcmlzYW5pLCBB
LjwvYXV0aG9yPjxhdXRob3I+Q2FzYXJvLCBBLjwvYXV0aG9yPjxhdXRob3I+Vml0YSwgUC48L2F1
dGhvcj48YXV0aG9yPkF2b2dhZHJvLCBBLjwvYXV0aG9yPjxhdXRob3I+Q2FtaWxvdCwgTS48L2F1
dGhvcj48YXV0aG9yPlNjYXJvbmksIEMuPC9hdXRob3I+PGF1dGhvcj5CZXJ0YXp6YSwgTC48L2F1
dGhvcj48YXV0aG9yPkJhcm9sbG8sIFMuPC9hdXRob3I+PGF1dGhvcj5NaWFuLCBDLjwvYXV0aG9y
PjwvYXV0aG9ycz48L2NvbnRyaWJ1dG9ycz48YXV0aC1hZGRyZXNzPkRlcGFydG1lbnQgb2YgTWVk
aWNpbmUgKERJTUVEKSwgRW5kb2NyaW5vbG9neSBVbml0OyBVbml2ZXJzaXR5IG9mIFBhZG92YSwg
MzUxMjEgUGFkb3ZhLCBJdGFseS4gc2ltb25hLmNlbnNpQHBoZC51bmlwZC5pdC4mI3hEO0RlcGFy
dG1lbnQgb2YgTWVkaWNpbmUgKERJTUVEKSwgRW5kb2NyaW5vbG9neSBVbml0OyBVbml2ZXJzaXR5
IG9mIFBhZG92YSwgMzUxMjEgUGFkb3ZhLCBJdGFseS4gc2FyYS53YXR1dGFudHJpZ2VAZ21haWwu
Y29tLiYjeEQ7RGVwYXJ0bWVudCBvZiBNZWRpY2luZSAoRElNRUQpLCBFbmRvY3Jpbm9sb2d5IFVu
aXQ7IFVuaXZlcnNpdHkgb2YgUGFkb3ZhLCAzNTEyMSBQYWRvdmEsIEl0YWx5LiBnaXVsaWEuZ3Jv
Y2NpYUBnbWFpbC5jb20uJiN4RDtEZXBhcnRtZW50IG9mIE1lZGljaW5lIChESU1FRCksIEVuZG9j
cmlub2xvZ3kgVW5pdDsgVW5pdmVyc2l0eSBvZiBQYWRvdmEsIDM1MTIxIFBhZG92YSwgSXRhbHku
IGphY29wby5tYW5zb0BnbWFpbC5jb20uJiN4RDtMYWJvcmF0b3J5IE1lZGljaW5lLCBEZXBhcnRt
ZW50IG9mIE1lZGljYWwgYW5kIFN1cmdpY2FsIFNjaWVuY2VzLCBVbml2ZXJzaXR5IG9mIFBhZHVh
LCAzNTEyMSBQYWR1YSwgSXRhbHkuIG1hcmlvLnBsZWJhbmlAdW5pcGQuaXQuJiN4RDtMYWJvcmF0
b3J5IE1lZGljaW5lLCBEZXBhcnRtZW50IG9mIE1lZGljYWwgYW5kIFN1cmdpY2FsIFNjaWVuY2Vz
LCBVbml2ZXJzaXR5IG9mIFBhZHVhLCAzNTEyMSBQYWR1YSwgSXRhbHkuIGRpZWdvLmZhZ2dpYW5A
YW9wZC52ZW5ldG8uaXQuJiN4RDtMYWJvcmF0b3J5IE1lZGljaW5lLCBEZXBhcnRtZW50IG9mIE1l
ZGljYWwgYW5kIFN1cmdpY2FsIFNjaWVuY2VzLCBVbml2ZXJzaXR5IG9mIFBhZHVhLCAzNTEyMSBQ
YWR1YSwgSXRhbHkuIG1vbmljYS5taW9uQGFvcGQudmVuZXRvLml0LiYjeEQ7TGFib3JhdG9yeSBN
ZWRpY2luZSwgRGVwYXJ0bWVudCBvZiBNZWRpY2FsIGFuZCBTdXJnaWNhbCBTY2llbmNlcywgVW5p
dmVyc2l0eSBvZiBQYWR1YSwgMzUxMjEgUGFkdWEsIEl0YWx5LiByb2JlcnRhLnZlbnR1cmluaUBh
b3BkLnZlbmV0by5pdC4mI3hEO0RlcGFydG1lbnQgb2YgV29tZW4mYXBvcztzIGFuZCBDaGlsZHJl
biZhcG9zO3MgSGVhbHRoLCBVbml2ZXJzaXR5IG9mIFBhZHVhLCBTYWx1cyBQdWVyaSwgMzUxMjgg
UGFkdWEsIEl0YWx5LiBhbGVzc2FuZHJhLmFuZHJpc2FuaUB1bmlwZC5pdC4mI3hEO0RlcGFydG1l
bnQgb2YgTWVkaWNpbmUgKERJTUVEKSwgRW5kb2NyaW5vbG9neSBVbml0OyBVbml2ZXJzaXR5IG9m
IFBhZG92YSwgMzUxMjEgUGFkb3ZhLCBJdGFseS4gYW5uYS5jYXNhcm9AYXVsc3M2LnZlbmV0by5p
dC4mI3hEO0RlcGFydG1lbnQgb2YgTWVkaWNpbmUgKERJTUVEKSwgRW5kb2NyaW5vbG9neSBVbml0
OyBVbml2ZXJzaXR5IG9mIFBhZG92YSwgMzUxMjEgUGFkb3ZhLCBJdGFseS4gcGlldHJvLnZpZGFA
YXVsc3M2LnZlbmV0by5pdC4mI3hEO0RlcGFydG1lbnQgb2YgTWVkaWNpbmUgKERJTUVEKSwgRW5k
b2NyaW5vbG9neSBVbml0OyBVbml2ZXJzaXR5IG9mIFBhZG92YSwgMzUxMjEgUGFkb3ZhLCBJdGFs
eS4gYWxlc3NhbmRyYS5hdm9nYWRyb0BhdWxzczYudmVuZXRvLml0LiYjeEQ7RGVwYXJ0bWVudCBv
ZiBQZWRpYXRyaWNzLCBSZWdpb25hbCBDZW50cmUgZm9yIE5ld2Jvcm4gU2NyZWVuaW5nLCBEaWFn
bm9zaXMgYW5kIFRyZWF0bWVudCBvZiBJbmhlcml0ZWQgTWV0YWJvbGljIERpc2Vhc2VzIGFuZCBD
b25nZW5pdGFsIEVuZG9jcmluZSBEaXNlYXNlcywgQXppZW5kYSBPc3BlZGFsaWVyYSBVbml2ZXJz
aXRhcmlhIEludGVncmF0YSwgMzcxMzQgVmVyb25hLCBJdGFseS4gbWFydGEuY2FtaWxvdEBhb3Zy
LnZlbmV0by5pdC4mI3hEO0RlcGFydG1lbnQgb2YgTWVkaWNpbmUgKERJTUVEKSwgRW5kb2NyaW5v
bG9neSBVbml0OyBVbml2ZXJzaXR5IG9mIFBhZG92YSwgMzUxMjEgUGFkb3ZhLCBJdGFseS4gY2Fy
bGEuc2Nhcm9uaUB1bmlwZC5pdC4mI3hEO0RlcGFydG1lbnQgb2YgTWVkaWNpbmUgKERJTUVEKSwg
RW5kb2NyaW5vbG9neSBVbml0OyBVbml2ZXJzaXR5IG9mIFBhZG92YSwgMzUxMjEgUGFkb3ZhLCBJ
dGFseS4gbG9yaXMuYmVydGF6emFAdW5pcGQuaXQuJiN4RDtEZXBhcnRtZW50IG9mIE1lZGljaW5l
IChESU1FRCksIEVuZG9jcmlub2xvZ3kgVW5pdDsgVW5pdmVyc2l0eSBvZiBQYWRvdmEsIDM1MTIx
IFBhZG92YSwgSXRhbHkuIHN1c2liYXJvbGxvQHlhaG9vLml0LiYjeEQ7RGVwYXJ0bWVudCBvZiBN
ZWRpY2luZSAoRElNRUQpLCBFbmRvY3Jpbm9sb2d5IFVuaXQ7IFVuaXZlcnNpdHkgb2YgUGFkb3Zh
LCAzNTEyMSBQYWRvdmEsIEl0YWx5LiBjYXRlcmluYS5taWFuQHVuaXBkLml0LjwvYXV0aC1hZGRy
ZXNzPjx0aXRsZXM+PHRpdGxlPlRoZSBlZmZlY3RzIG9mIGlvZGluZSBzdXBwbGVtZW50YXRpb24g
aW4gcHJlZ25hbmN5IG9uIGlvZGluZSBzdGF0dXMsIHRoeXJvZ2xvYnVsaW4gbGV2ZWxzIGFuZCB0
aHlyb2lkIGZ1bmN0aW9uIHBhcmFtZXRlcnM6IHJlc3VsdHMgZnJvbSBhIHJhbmRvbWl6ZWQgY29u
dHJvbGxlZCBjbGluaWNhbCB0cmlhbCBpbiBhIG1pbGQtdG8tbW9kZXJhdGUgaW9kaW5lIGRlZmlj
aWVuY3kgYXJlYTwvdGl0bGU+PHNlY29uZGFyeS10aXRsZT5OdXRyaWVudHM8L3NlY29uZGFyeS10
aXRsZT48L3RpdGxlcz48cGVyaW9kaWNhbD48ZnVsbC10aXRsZT5OdXRyaWVudHM8L2Z1bGwtdGl0
bGU+PC9wZXJpb2RpY2FsPjx2b2x1bWU+MTE8L3ZvbHVtZT48bnVtYmVyPjExPC9udW1iZXI+PGVk
aXRpb24+MjAxOS8xMS8wNzwvZWRpdGlvbj48a2V5d29yZHM+PGtleXdvcmQ+aW9kaW5lPC9rZXl3
b3JkPjxrZXl3b3JkPm1pbGQtdG8tbW9kZXJhdGUgaW9kaW5lIGRlZmljaWVuY3k8L2tleXdvcmQ+
PGtleXdvcmQ+cHJlZ25hbmN5PC9rZXl3b3JkPjxrZXl3b3JkPnJhbmRvbWl6ZWQgYW5kIHBsYWNl
Ym8tY29udHJvbGxlZCB0cmlhbDwva2V5d29yZD48L2tleXdvcmRzPjxkYXRlcz48eWVhcj4yMDE5
PC95ZWFyPjxwdWItZGF0ZXM+PGRhdGU+Tm92IDQ8L2RhdGU+PC9wdWItZGF0ZXM+PC9kYXRlcz48
aXNibj4yMDcyLTY2NDMgKEVsZWN0cm9uaWMpJiN4RDsyMDcyLTY2NDMgKExpbmtpbmcpPC9pc2Ju
PjxhY2Nlc3Npb24tbnVtPjMxNjg5ODkwPC9hY2Nlc3Npb24tbnVtPjx1cmxzPjxyZWxhdGVkLXVy
bHM+PHVybD5odHRwczovL3d3dy5uY2JpLm5sbS5uaWguZ292L3B1Ym1lZC8zMTY4OTg5MDwvdXJs
PjwvcmVsYXRlZC11cmxzPjwvdXJscz48Y3VzdG9tMj5QTUM2ODkzNDMyPC9jdXN0b20yPjxlbGVj
dHJvbmljLXJlc291cmNlLW51bT4xMC4zMzkwL251MTExMTI2Mzk8L2VsZWN0cm9uaWMtcmVzb3Vy
Y2UtbnVtPjwvcmVjb3JkPjwvQ2l0ZT48L0VuZE5vdGU+
</w:fldData>
              </w:fldChar>
            </w:r>
            <w:r w:rsidR="002747EA">
              <w:instrText xml:space="preserve"> ADDIN EN.CITE </w:instrText>
            </w:r>
            <w:r w:rsidR="002747EA">
              <w:fldChar w:fldCharType="begin">
                <w:fldData xml:space="preserve">PEVuZE5vdGU+PENpdGU+PEF1dGhvcj5DZW5zaTwvQXV0aG9yPjxZZWFyPjIwMTk8L1llYXI+PFJl
Y051bT4xODQ4PC9SZWNOdW0+PERpc3BsYXlUZXh0PjxzdHlsZSBmYWNlPSJzdXBlcnNjcmlwdCIg
Zm9udD0iVHJlYnVjaGV0IE1TIiBzaXplPSI5Ij4yMDQ8L3N0eWxlPjwvRGlzcGxheVRleHQ+PHJl
Y29yZD48cmVjLW51bWJlcj4xODQ4PC9yZWMtbnVtYmVyPjxmb3JlaWduLWtleXM+PGtleSBhcHA9
IkVOIiBkYi1pZD0iZXh2YXNyZngyZHRyYW9lc2FzeHAyc3pzeGEyZGY1MDI1OTJ4IiB0aW1lc3Rh
bXA9IjE1ODc2MTM3NjYiPjE4NDg8L2tleT48a2V5IGFwcD0iRU5XZWIiIGRiLWlkPSIiPjA8L2tl
eT48L2ZvcmVpZ24ta2V5cz48cmVmLXR5cGUgbmFtZT0iSm91cm5hbCBBcnRpY2xlIj4xNzwvcmVm
LXR5cGU+PGNvbnRyaWJ1dG9ycz48YXV0aG9ycz48YXV0aG9yPkNlbnNpLCBTLjwvYXV0aG9yPjxh
dXRob3I+V2F0dXRhbnRyaWdlLUZlcm5hbmRvLCBTLjwvYXV0aG9yPjxhdXRob3I+R3JvY2NpYSwg
Ry48L2F1dGhvcj48YXV0aG9yPk1hbnNvLCBKLjwvYXV0aG9yPjxhdXRob3I+UGxlYmFuaSwgTS48
L2F1dGhvcj48YXV0aG9yPkZhZ2dpYW4sIEQuPC9hdXRob3I+PGF1dGhvcj5NaW9uLCBNLiBNLjwv
YXV0aG9yPjxhdXRob3I+VmVudHVyaW5pLCBSLjwvYXV0aG9yPjxhdXRob3I+QW5kcmlzYW5pLCBB
LjwvYXV0aG9yPjxhdXRob3I+Q2FzYXJvLCBBLjwvYXV0aG9yPjxhdXRob3I+Vml0YSwgUC48L2F1
dGhvcj48YXV0aG9yPkF2b2dhZHJvLCBBLjwvYXV0aG9yPjxhdXRob3I+Q2FtaWxvdCwgTS48L2F1
dGhvcj48YXV0aG9yPlNjYXJvbmksIEMuPC9hdXRob3I+PGF1dGhvcj5CZXJ0YXp6YSwgTC48L2F1
dGhvcj48YXV0aG9yPkJhcm9sbG8sIFMuPC9hdXRob3I+PGF1dGhvcj5NaWFuLCBDLjwvYXV0aG9y
PjwvYXV0aG9ycz48L2NvbnRyaWJ1dG9ycz48YXV0aC1hZGRyZXNzPkRlcGFydG1lbnQgb2YgTWVk
aWNpbmUgKERJTUVEKSwgRW5kb2NyaW5vbG9neSBVbml0OyBVbml2ZXJzaXR5IG9mIFBhZG92YSwg
MzUxMjEgUGFkb3ZhLCBJdGFseS4gc2ltb25hLmNlbnNpQHBoZC51bmlwZC5pdC4mI3hEO0RlcGFy
dG1lbnQgb2YgTWVkaWNpbmUgKERJTUVEKSwgRW5kb2NyaW5vbG9neSBVbml0OyBVbml2ZXJzaXR5
IG9mIFBhZG92YSwgMzUxMjEgUGFkb3ZhLCBJdGFseS4gc2FyYS53YXR1dGFudHJpZ2VAZ21haWwu
Y29tLiYjeEQ7RGVwYXJ0bWVudCBvZiBNZWRpY2luZSAoRElNRUQpLCBFbmRvY3Jpbm9sb2d5IFVu
aXQ7IFVuaXZlcnNpdHkgb2YgUGFkb3ZhLCAzNTEyMSBQYWRvdmEsIEl0YWx5LiBnaXVsaWEuZ3Jv
Y2NpYUBnbWFpbC5jb20uJiN4RDtEZXBhcnRtZW50IG9mIE1lZGljaW5lIChESU1FRCksIEVuZG9j
cmlub2xvZ3kgVW5pdDsgVW5pdmVyc2l0eSBvZiBQYWRvdmEsIDM1MTIxIFBhZG92YSwgSXRhbHku
IGphY29wby5tYW5zb0BnbWFpbC5jb20uJiN4RDtMYWJvcmF0b3J5IE1lZGljaW5lLCBEZXBhcnRt
ZW50IG9mIE1lZGljYWwgYW5kIFN1cmdpY2FsIFNjaWVuY2VzLCBVbml2ZXJzaXR5IG9mIFBhZHVh
LCAzNTEyMSBQYWR1YSwgSXRhbHkuIG1hcmlvLnBsZWJhbmlAdW5pcGQuaXQuJiN4RDtMYWJvcmF0
b3J5IE1lZGljaW5lLCBEZXBhcnRtZW50IG9mIE1lZGljYWwgYW5kIFN1cmdpY2FsIFNjaWVuY2Vz
LCBVbml2ZXJzaXR5IG9mIFBhZHVhLCAzNTEyMSBQYWR1YSwgSXRhbHkuIGRpZWdvLmZhZ2dpYW5A
YW9wZC52ZW5ldG8uaXQuJiN4RDtMYWJvcmF0b3J5IE1lZGljaW5lLCBEZXBhcnRtZW50IG9mIE1l
ZGljYWwgYW5kIFN1cmdpY2FsIFNjaWVuY2VzLCBVbml2ZXJzaXR5IG9mIFBhZHVhLCAzNTEyMSBQ
YWR1YSwgSXRhbHkuIG1vbmljYS5taW9uQGFvcGQudmVuZXRvLml0LiYjeEQ7TGFib3JhdG9yeSBN
ZWRpY2luZSwgRGVwYXJ0bWVudCBvZiBNZWRpY2FsIGFuZCBTdXJnaWNhbCBTY2llbmNlcywgVW5p
dmVyc2l0eSBvZiBQYWR1YSwgMzUxMjEgUGFkdWEsIEl0YWx5LiByb2JlcnRhLnZlbnR1cmluaUBh
b3BkLnZlbmV0by5pdC4mI3hEO0RlcGFydG1lbnQgb2YgV29tZW4mYXBvcztzIGFuZCBDaGlsZHJl
biZhcG9zO3MgSGVhbHRoLCBVbml2ZXJzaXR5IG9mIFBhZHVhLCBTYWx1cyBQdWVyaSwgMzUxMjgg
UGFkdWEsIEl0YWx5LiBhbGVzc2FuZHJhLmFuZHJpc2FuaUB1bmlwZC5pdC4mI3hEO0RlcGFydG1l
bnQgb2YgTWVkaWNpbmUgKERJTUVEKSwgRW5kb2NyaW5vbG9neSBVbml0OyBVbml2ZXJzaXR5IG9m
IFBhZG92YSwgMzUxMjEgUGFkb3ZhLCBJdGFseS4gYW5uYS5jYXNhcm9AYXVsc3M2LnZlbmV0by5p
dC4mI3hEO0RlcGFydG1lbnQgb2YgTWVkaWNpbmUgKERJTUVEKSwgRW5kb2NyaW5vbG9neSBVbml0
OyBVbml2ZXJzaXR5IG9mIFBhZG92YSwgMzUxMjEgUGFkb3ZhLCBJdGFseS4gcGlldHJvLnZpZGFA
YXVsc3M2LnZlbmV0by5pdC4mI3hEO0RlcGFydG1lbnQgb2YgTWVkaWNpbmUgKERJTUVEKSwgRW5k
b2NyaW5vbG9neSBVbml0OyBVbml2ZXJzaXR5IG9mIFBhZG92YSwgMzUxMjEgUGFkb3ZhLCBJdGFs
eS4gYWxlc3NhbmRyYS5hdm9nYWRyb0BhdWxzczYudmVuZXRvLml0LiYjeEQ7RGVwYXJ0bWVudCBv
ZiBQZWRpYXRyaWNzLCBSZWdpb25hbCBDZW50cmUgZm9yIE5ld2Jvcm4gU2NyZWVuaW5nLCBEaWFn
bm9zaXMgYW5kIFRyZWF0bWVudCBvZiBJbmhlcml0ZWQgTWV0YWJvbGljIERpc2Vhc2VzIGFuZCBD
b25nZW5pdGFsIEVuZG9jcmluZSBEaXNlYXNlcywgQXppZW5kYSBPc3BlZGFsaWVyYSBVbml2ZXJz
aXRhcmlhIEludGVncmF0YSwgMzcxMzQgVmVyb25hLCBJdGFseS4gbWFydGEuY2FtaWxvdEBhb3Zy
LnZlbmV0by5pdC4mI3hEO0RlcGFydG1lbnQgb2YgTWVkaWNpbmUgKERJTUVEKSwgRW5kb2NyaW5v
bG9neSBVbml0OyBVbml2ZXJzaXR5IG9mIFBhZG92YSwgMzUxMjEgUGFkb3ZhLCBJdGFseS4gY2Fy
bGEuc2Nhcm9uaUB1bmlwZC5pdC4mI3hEO0RlcGFydG1lbnQgb2YgTWVkaWNpbmUgKERJTUVEKSwg
RW5kb2NyaW5vbG9neSBVbml0OyBVbml2ZXJzaXR5IG9mIFBhZG92YSwgMzUxMjEgUGFkb3ZhLCBJ
dGFseS4gbG9yaXMuYmVydGF6emFAdW5pcGQuaXQuJiN4RDtEZXBhcnRtZW50IG9mIE1lZGljaW5l
IChESU1FRCksIEVuZG9jcmlub2xvZ3kgVW5pdDsgVW5pdmVyc2l0eSBvZiBQYWRvdmEsIDM1MTIx
IFBhZG92YSwgSXRhbHkuIHN1c2liYXJvbGxvQHlhaG9vLml0LiYjeEQ7RGVwYXJ0bWVudCBvZiBN
ZWRpY2luZSAoRElNRUQpLCBFbmRvY3Jpbm9sb2d5IFVuaXQ7IFVuaXZlcnNpdHkgb2YgUGFkb3Zh
LCAzNTEyMSBQYWRvdmEsIEl0YWx5LiBjYXRlcmluYS5taWFuQHVuaXBkLml0LjwvYXV0aC1hZGRy
ZXNzPjx0aXRsZXM+PHRpdGxlPlRoZSBlZmZlY3RzIG9mIGlvZGluZSBzdXBwbGVtZW50YXRpb24g
aW4gcHJlZ25hbmN5IG9uIGlvZGluZSBzdGF0dXMsIHRoeXJvZ2xvYnVsaW4gbGV2ZWxzIGFuZCB0
aHlyb2lkIGZ1bmN0aW9uIHBhcmFtZXRlcnM6IHJlc3VsdHMgZnJvbSBhIHJhbmRvbWl6ZWQgY29u
dHJvbGxlZCBjbGluaWNhbCB0cmlhbCBpbiBhIG1pbGQtdG8tbW9kZXJhdGUgaW9kaW5lIGRlZmlj
aWVuY3kgYXJlYTwvdGl0bGU+PHNlY29uZGFyeS10aXRsZT5OdXRyaWVudHM8L3NlY29uZGFyeS10
aXRsZT48L3RpdGxlcz48cGVyaW9kaWNhbD48ZnVsbC10aXRsZT5OdXRyaWVudHM8L2Z1bGwtdGl0
bGU+PC9wZXJpb2RpY2FsPjx2b2x1bWU+MTE8L3ZvbHVtZT48bnVtYmVyPjExPC9udW1iZXI+PGVk
aXRpb24+MjAxOS8xMS8wNzwvZWRpdGlvbj48a2V5d29yZHM+PGtleXdvcmQ+aW9kaW5lPC9rZXl3
b3JkPjxrZXl3b3JkPm1pbGQtdG8tbW9kZXJhdGUgaW9kaW5lIGRlZmljaWVuY3k8L2tleXdvcmQ+
PGtleXdvcmQ+cHJlZ25hbmN5PC9rZXl3b3JkPjxrZXl3b3JkPnJhbmRvbWl6ZWQgYW5kIHBsYWNl
Ym8tY29udHJvbGxlZCB0cmlhbDwva2V5d29yZD48L2tleXdvcmRzPjxkYXRlcz48eWVhcj4yMDE5
PC95ZWFyPjxwdWItZGF0ZXM+PGRhdGU+Tm92IDQ8L2RhdGU+PC9wdWItZGF0ZXM+PC9kYXRlcz48
aXNibj4yMDcyLTY2NDMgKEVsZWN0cm9uaWMpJiN4RDsyMDcyLTY2NDMgKExpbmtpbmcpPC9pc2Ju
PjxhY2Nlc3Npb24tbnVtPjMxNjg5ODkwPC9hY2Nlc3Npb24tbnVtPjx1cmxzPjxyZWxhdGVkLXVy
bHM+PHVybD5odHRwczovL3d3dy5uY2JpLm5sbS5uaWguZ292L3B1Ym1lZC8zMTY4OTg5MDwvdXJs
PjwvcmVsYXRlZC11cmxzPjwvdXJscz48Y3VzdG9tMj5QTUM2ODkzNDMyPC9jdXN0b20yPjxlbGVj
dHJvbmljLXJlc291cmNlLW51bT4xMC4zMzkwL251MTExMTI2Mzk8L2VsZWN0cm9uaWMtcmVzb3Vy
Y2UtbnVtPjwvcmVjb3JkPjwvQ2l0ZT48L0VuZE5vdGU+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204</w:t>
            </w:r>
            <w:r w:rsidR="00D07346">
              <w:fldChar w:fldCharType="end"/>
            </w:r>
          </w:p>
          <w:p w14:paraId="1A28BB79" w14:textId="41264149" w:rsidR="00CA78D5" w:rsidRDefault="00CA78D5" w:rsidP="003523C5">
            <w:pPr>
              <w:keepNext/>
            </w:pPr>
            <w:r>
              <w:t>Italy</w:t>
            </w:r>
          </w:p>
        </w:tc>
        <w:tc>
          <w:tcPr>
            <w:tcW w:w="1528" w:type="dxa"/>
          </w:tcPr>
          <w:p w14:paraId="721B1D22" w14:textId="77777777" w:rsidR="00CA78D5" w:rsidRDefault="00CA78D5" w:rsidP="00D150D8">
            <w:pPr>
              <w:keepNext/>
            </w:pPr>
            <w:r>
              <w:t>52 intervention</w:t>
            </w:r>
          </w:p>
          <w:p w14:paraId="27ACD837" w14:textId="5BE3F9C4" w:rsidR="00CA78D5" w:rsidRDefault="00CA78D5" w:rsidP="00D150D8">
            <w:pPr>
              <w:keepNext/>
            </w:pPr>
            <w:r>
              <w:t>38 control</w:t>
            </w:r>
          </w:p>
        </w:tc>
        <w:tc>
          <w:tcPr>
            <w:tcW w:w="4680" w:type="dxa"/>
          </w:tcPr>
          <w:p w14:paraId="53F1C532" w14:textId="0168639A" w:rsidR="00CA78D5" w:rsidRDefault="00CA78D5" w:rsidP="00F30291">
            <w:r w:rsidRPr="005719CE">
              <w:rPr>
                <w:b/>
              </w:rPr>
              <w:t>Aim</w:t>
            </w:r>
            <w:r>
              <w:t xml:space="preserve">: To assess the efficacy of iodine supplementation during pregnancy </w:t>
            </w:r>
            <w:r w:rsidRPr="00CA78D5">
              <w:t>in areas with mild-to-moderate iodine deficiency</w:t>
            </w:r>
            <w:r>
              <w:t>.</w:t>
            </w:r>
          </w:p>
          <w:p w14:paraId="584722B9" w14:textId="510C5F63" w:rsidR="00CA78D5" w:rsidRDefault="00CA78D5" w:rsidP="00F30291">
            <w:r w:rsidRPr="005719CE">
              <w:rPr>
                <w:b/>
              </w:rPr>
              <w:t>Population</w:t>
            </w:r>
            <w:r>
              <w:t>: Pregnant women before 12 weeks gestation.</w:t>
            </w:r>
          </w:p>
          <w:p w14:paraId="2CEF85DB" w14:textId="2E53EE70" w:rsidR="00CA78D5" w:rsidRPr="005719CE" w:rsidRDefault="00CA78D5" w:rsidP="00CA78D5">
            <w:r w:rsidRPr="005719CE">
              <w:rPr>
                <w:b/>
              </w:rPr>
              <w:t>Intervention</w:t>
            </w:r>
            <w:r>
              <w:t xml:space="preserve">: Women in the intervention group were given </w:t>
            </w:r>
            <w:r w:rsidRPr="00CA78D5">
              <w:t>an iodine supplement (225 ug/day, potassium iodide tablets)</w:t>
            </w:r>
            <w:r>
              <w:t xml:space="preserve"> from enrolment to 8 weeks after birth.</w:t>
            </w:r>
          </w:p>
        </w:tc>
        <w:tc>
          <w:tcPr>
            <w:tcW w:w="4536" w:type="dxa"/>
          </w:tcPr>
          <w:p w14:paraId="64EF117B" w14:textId="63D9565E" w:rsidR="00CA78D5" w:rsidRDefault="00CA78D5" w:rsidP="00CA78D5">
            <w:r>
              <w:t>Intervention vs control</w:t>
            </w:r>
            <w:r w:rsidR="00B86F78">
              <w:t xml:space="preserve"> at T3</w:t>
            </w:r>
            <w:r>
              <w:t>:</w:t>
            </w:r>
          </w:p>
          <w:p w14:paraId="4DC67674" w14:textId="49685E97" w:rsidR="00B86F78" w:rsidRDefault="00CA78D5" w:rsidP="005719CE">
            <w:pPr>
              <w:pStyle w:val="bullet"/>
            </w:pPr>
            <w:r w:rsidRPr="00CA78D5">
              <w:t xml:space="preserve">UI/Creat </w:t>
            </w:r>
            <w:r w:rsidR="00B86F78">
              <w:t>(ug/g): 171.16 vs 84.19 (p&lt;0.0001)</w:t>
            </w:r>
          </w:p>
          <w:p w14:paraId="7BEEEE28" w14:textId="63E75BE4" w:rsidR="00CA78D5" w:rsidRPr="00CA78D5" w:rsidRDefault="00575DD0" w:rsidP="005719CE">
            <w:pPr>
              <w:pStyle w:val="bullet"/>
            </w:pPr>
            <w:r>
              <w:t>Thyroglobulin</w:t>
            </w:r>
            <w:r w:rsidR="00B86F78">
              <w:t xml:space="preserve"> (ng/mL): 6.07 vs 9.8 (p=0.02)</w:t>
            </w:r>
            <w:r w:rsidR="00CA78D5" w:rsidRPr="00CA78D5">
              <w:t xml:space="preserve"> </w:t>
            </w:r>
          </w:p>
        </w:tc>
        <w:tc>
          <w:tcPr>
            <w:tcW w:w="1843" w:type="dxa"/>
          </w:tcPr>
          <w:p w14:paraId="18337F4D" w14:textId="77777777" w:rsidR="00CA78D5" w:rsidRPr="00D150D8" w:rsidRDefault="00CA78D5" w:rsidP="00D150D8">
            <w:pPr>
              <w:keepNext/>
            </w:pPr>
          </w:p>
        </w:tc>
      </w:tr>
      <w:tr w:rsidR="00431A72" w:rsidRPr="00D150D8" w14:paraId="3C7325D0" w14:textId="77777777" w:rsidTr="00CA78D5">
        <w:trPr>
          <w:cantSplit/>
        </w:trPr>
        <w:tc>
          <w:tcPr>
            <w:tcW w:w="1305" w:type="dxa"/>
          </w:tcPr>
          <w:p w14:paraId="23189FC6" w14:textId="592EF752" w:rsidR="00D144F5" w:rsidRPr="00D144F5" w:rsidRDefault="00D144F5" w:rsidP="005719CE">
            <w:r>
              <w:t>Chawanpaiboon et al 2019</w:t>
            </w:r>
            <w:r w:rsidR="00D07346">
              <w:fldChar w:fldCharType="begin"/>
            </w:r>
            <w:r w:rsidR="002747EA">
              <w:instrText xml:space="preserve"> ADDIN EN.CITE &lt;EndNote&gt;&lt;Cite&gt;&lt;Author&gt;Chawanpaiboon&lt;/Author&gt;&lt;Year&gt;2019&lt;/Year&gt;&lt;RecNum&gt;1849&lt;/RecNum&gt;&lt;DisplayText&gt;&lt;style face="superscript" font="Trebuchet MS" size="9"&gt;205&lt;/style&gt;&lt;/DisplayText&gt;&lt;record&gt;&lt;rec-number&gt;1849&lt;/rec-number&gt;&lt;foreign-keys&gt;&lt;key app="EN" db-id="exvasrfx2dtraoesasxp2szsxa2df502592x" timestamp="1587613770"&gt;1849&lt;/key&gt;&lt;key app="ENWeb" db-id=""&gt;0&lt;/key&gt;&lt;/foreign-keys&gt;&lt;ref-type name="Journal Article"&gt;17&lt;/ref-type&gt;&lt;contributors&gt;&lt;authors&gt;&lt;author&gt;Chawanpaiboon, S.,&lt;/author&gt;&lt;/authors&gt;&lt;/contributors&gt;&lt;titles&gt;&lt;title&gt;A randomized controlled trial of the correlation between iodine supplementation in pregnancy and maternal urine iodine and neonatal thyroid stimulating hormone levels&lt;/title&gt;&lt;secondary-title&gt;Siriraj Medical Journal&lt;/secondary-title&gt;&lt;/titles&gt;&lt;periodical&gt;&lt;full-title&gt;Siriraj Medical Journal&lt;/full-title&gt;&lt;/periodical&gt;&lt;volume&gt;71&lt;/volume&gt;&lt;number&gt;1&lt;/number&gt;&lt;dates&gt;&lt;year&gt;2019&lt;/year&gt;&lt;/dates&gt;&lt;isbn&gt;2629995X&amp;#xD;22288082&lt;/isbn&gt;&lt;urls&gt;&lt;/urls&gt;&lt;electronic-resource-num&gt;10.33192/Smj.2019.10&lt;/electronic-resource-num&gt;&lt;/record&gt;&lt;/Cite&gt;&lt;/EndNote&gt;</w:instrText>
            </w:r>
            <w:r w:rsidR="00D07346">
              <w:fldChar w:fldCharType="separate"/>
            </w:r>
            <w:r w:rsidR="002747EA" w:rsidRPr="002747EA">
              <w:rPr>
                <w:noProof/>
                <w:vertAlign w:val="superscript"/>
              </w:rPr>
              <w:t>205</w:t>
            </w:r>
            <w:r w:rsidR="00D07346">
              <w:fldChar w:fldCharType="end"/>
            </w:r>
          </w:p>
          <w:p w14:paraId="45BC3790" w14:textId="124636E2" w:rsidR="00805680" w:rsidRDefault="00805680" w:rsidP="003523C5">
            <w:pPr>
              <w:keepNext/>
            </w:pPr>
            <w:r>
              <w:t>Thailand</w:t>
            </w:r>
          </w:p>
        </w:tc>
        <w:tc>
          <w:tcPr>
            <w:tcW w:w="1528" w:type="dxa"/>
          </w:tcPr>
          <w:p w14:paraId="59935D0E" w14:textId="77777777" w:rsidR="00431A72" w:rsidRDefault="00805680" w:rsidP="00D150D8">
            <w:pPr>
              <w:keepNext/>
            </w:pPr>
            <w:r>
              <w:t>Intervention 112</w:t>
            </w:r>
          </w:p>
          <w:p w14:paraId="60AC6A6C" w14:textId="691E2C21" w:rsidR="00805680" w:rsidRDefault="00805680" w:rsidP="00D150D8">
            <w:pPr>
              <w:keepNext/>
            </w:pPr>
            <w:r>
              <w:t>Control 111</w:t>
            </w:r>
          </w:p>
        </w:tc>
        <w:tc>
          <w:tcPr>
            <w:tcW w:w="4680" w:type="dxa"/>
          </w:tcPr>
          <w:p w14:paraId="3628D553" w14:textId="347FD60D" w:rsidR="00431A72" w:rsidRDefault="00431A72" w:rsidP="00431A72">
            <w:r w:rsidRPr="00BD61CC">
              <w:rPr>
                <w:b/>
                <w:color w:val="000000"/>
                <w:szCs w:val="18"/>
              </w:rPr>
              <w:t>Aim</w:t>
            </w:r>
            <w:r>
              <w:rPr>
                <w:color w:val="000000"/>
                <w:szCs w:val="18"/>
              </w:rPr>
              <w:t xml:space="preserve">: </w:t>
            </w:r>
            <w:r w:rsidRPr="00535E8B">
              <w:t>To establish the correlation of maternal urine iodine and neonatal thyroid stimulating hormone (TSH) in iodine supplemented and non-iodine supplemented pregnant women</w:t>
            </w:r>
            <w:r w:rsidR="00991E0B">
              <w:t xml:space="preserve"> in an area of iodine deficiency</w:t>
            </w:r>
            <w:r w:rsidRPr="00535E8B">
              <w:t>. </w:t>
            </w:r>
          </w:p>
          <w:p w14:paraId="3A5A368E" w14:textId="08B44FF8" w:rsidR="00805680" w:rsidRPr="00805680" w:rsidRDefault="00431A72" w:rsidP="00BD61CC">
            <w:r w:rsidRPr="00BD61CC">
              <w:rPr>
                <w:b/>
              </w:rPr>
              <w:t>Population</w:t>
            </w:r>
            <w:r>
              <w:t xml:space="preserve">: </w:t>
            </w:r>
            <w:r w:rsidR="00805680">
              <w:t>P</w:t>
            </w:r>
            <w:r w:rsidR="00805680" w:rsidRPr="00805680">
              <w:t>regnant women who were older than 18</w:t>
            </w:r>
            <w:r w:rsidR="00805680">
              <w:t> </w:t>
            </w:r>
            <w:r w:rsidR="00805680" w:rsidRPr="00805680">
              <w:t>years and who had a singleton fetus at a gestational age of less than 18 weeks</w:t>
            </w:r>
            <w:r w:rsidR="00805680">
              <w:t>.</w:t>
            </w:r>
          </w:p>
          <w:p w14:paraId="517BACA4" w14:textId="600F47B8" w:rsidR="00431A72" w:rsidRPr="00BD61CC" w:rsidRDefault="00431A72" w:rsidP="00431A72">
            <w:r w:rsidRPr="00BD61CC">
              <w:rPr>
                <w:b/>
              </w:rPr>
              <w:t>Intervention</w:t>
            </w:r>
            <w:r>
              <w:t xml:space="preserve">: </w:t>
            </w:r>
            <w:r w:rsidR="00D144F5">
              <w:t>Participants in the intervention group were give</w:t>
            </w:r>
            <w:r w:rsidR="00D144F5" w:rsidRPr="00D144F5">
              <w:t xml:space="preserve">n </w:t>
            </w:r>
            <w:r w:rsidR="00D144F5" w:rsidRPr="00BD61CC">
              <w:t>iodine-containing ferrous tablet</w:t>
            </w:r>
            <w:r w:rsidR="00D144F5">
              <w:t>s</w:t>
            </w:r>
            <w:r w:rsidR="00D144F5" w:rsidRPr="00BD61CC">
              <w:t> </w:t>
            </w:r>
            <w:r w:rsidR="00D144F5">
              <w:t>and the control group were given ferrous tablets (no dosages reported).</w:t>
            </w:r>
          </w:p>
        </w:tc>
        <w:tc>
          <w:tcPr>
            <w:tcW w:w="4536" w:type="dxa"/>
          </w:tcPr>
          <w:p w14:paraId="7F462C48" w14:textId="77777777" w:rsidR="00991E0B" w:rsidRDefault="00991E0B" w:rsidP="00BD61CC">
            <w:r>
              <w:t>Intervention vs control:</w:t>
            </w:r>
          </w:p>
          <w:p w14:paraId="64D949F8" w14:textId="0AAF37A5" w:rsidR="00991E0B" w:rsidRDefault="00991E0B" w:rsidP="00BD61CC">
            <w:pPr>
              <w:pStyle w:val="bullet"/>
            </w:pPr>
            <w:r>
              <w:t>U</w:t>
            </w:r>
            <w:r w:rsidR="00431A72" w:rsidRPr="00535E8B">
              <w:t>rinary iodine levels</w:t>
            </w:r>
            <w:r>
              <w:t>: 84.14±</w:t>
            </w:r>
            <w:r w:rsidR="00431A72" w:rsidRPr="00535E8B">
              <w:t xml:space="preserve">61.85 </w:t>
            </w:r>
            <w:r>
              <w:t>vs 58.41±</w:t>
            </w:r>
            <w:r w:rsidR="00431A72" w:rsidRPr="00535E8B">
              <w:t>41.36 microgram/L</w:t>
            </w:r>
            <w:r>
              <w:t xml:space="preserve"> </w:t>
            </w:r>
            <w:r w:rsidRPr="00535E8B">
              <w:t>(p</w:t>
            </w:r>
            <w:r w:rsidR="00696E8F">
              <w:t>&lt;</w:t>
            </w:r>
            <w:r w:rsidRPr="00535E8B">
              <w:t>0.05)</w:t>
            </w:r>
          </w:p>
          <w:p w14:paraId="109AEFA4" w14:textId="3C500118" w:rsidR="00431A72" w:rsidRPr="00991E0B" w:rsidRDefault="00991E0B" w:rsidP="00BD61CC">
            <w:pPr>
              <w:pStyle w:val="bullet"/>
            </w:pPr>
            <w:r>
              <w:t>Median</w:t>
            </w:r>
            <w:r w:rsidR="00431A72" w:rsidRPr="00535E8B">
              <w:t xml:space="preserve"> neonatal TSH levels</w:t>
            </w:r>
            <w:r>
              <w:t>: 3.7±</w:t>
            </w:r>
            <w:r w:rsidR="00431A72" w:rsidRPr="00535E8B">
              <w:t xml:space="preserve">1.87 </w:t>
            </w:r>
            <w:r>
              <w:t>vs 4.4±</w:t>
            </w:r>
            <w:r w:rsidR="00431A72" w:rsidRPr="00535E8B">
              <w:t>1.99 mIU/ml (p</w:t>
            </w:r>
            <w:r w:rsidR="00696E8F">
              <w:t>&lt;</w:t>
            </w:r>
            <w:r w:rsidR="00431A72" w:rsidRPr="00535E8B">
              <w:t>0.05).</w:t>
            </w:r>
          </w:p>
        </w:tc>
        <w:tc>
          <w:tcPr>
            <w:tcW w:w="1843" w:type="dxa"/>
          </w:tcPr>
          <w:p w14:paraId="22E814D0" w14:textId="77777777" w:rsidR="00431A72" w:rsidRPr="00D150D8" w:rsidRDefault="00431A72" w:rsidP="00D150D8">
            <w:pPr>
              <w:keepNext/>
            </w:pPr>
          </w:p>
        </w:tc>
      </w:tr>
      <w:tr w:rsidR="00D150D8" w:rsidRPr="00D150D8" w14:paraId="36317812" w14:textId="77777777" w:rsidTr="00BD61CC">
        <w:trPr>
          <w:cantSplit/>
        </w:trPr>
        <w:tc>
          <w:tcPr>
            <w:tcW w:w="1305" w:type="dxa"/>
          </w:tcPr>
          <w:p w14:paraId="756906DF" w14:textId="1D9BDF44" w:rsidR="00D150D8" w:rsidRDefault="00F30291" w:rsidP="003523C5">
            <w:pPr>
              <w:keepNext/>
            </w:pPr>
            <w:r>
              <w:t>Gowachirapant et al 2017</w:t>
            </w:r>
            <w:r w:rsidR="003523C5">
              <w:fldChar w:fldCharType="begin"/>
            </w:r>
            <w:r w:rsidR="002747EA">
              <w:instrText xml:space="preserve"> ADDIN EN.CITE &lt;EndNote&gt;&lt;Cite&gt;&lt;Author&gt;Gowachirapant&lt;/Author&gt;&lt;Year&gt;2017&lt;/Year&gt;&lt;RecNum&gt;1199&lt;/RecNum&gt;&lt;DisplayText&gt;&lt;style face="superscript" font="Trebuchet MS" size="9"&gt;203&lt;/style&gt;&lt;/DisplayText&gt;&lt;record&gt;&lt;rec-number&gt;1199&lt;/rec-number&gt;&lt;foreign-keys&gt;&lt;key app="EN" db-id="exvasrfx2dtraoesasxp2szsxa2df502592x" timestamp="1559622618"&gt;1199&lt;/key&gt;&lt;key app="ENWeb" db-id=""&gt;0&lt;/key&gt;&lt;/foreign-keys&gt;&lt;ref-type name="Journal Article"&gt;17&lt;/ref-type&gt;&lt;contributors&gt;&lt;authors&gt;&lt;author&gt;Gowachirapant, S.,&lt;/author&gt;&lt;author&gt;Jaiswal, N.,&lt;/author&gt;&lt;author&gt;Melse-Boonstra, A.,&lt;/author&gt;&lt;author&gt;Galetti, V.,&lt;/author&gt;&lt;author&gt;Stinca, S.,&lt;/author&gt;&lt;author&gt;Mackenzie, I.,&lt;/author&gt;&lt;author&gt;Thomas, S.,&lt;/author&gt;&lt;author&gt;Thomas, T.,&lt;/author&gt;&lt;author&gt;Winichagoon, P.,&lt;/author&gt;&lt;author&gt;Srinivasan, K.,&lt;/author&gt;&lt;author&gt;Zimmermann, M.B.,&lt;/author&gt;&lt;/authors&gt;&lt;/contributors&gt;&lt;titles&gt;&lt;title&gt;Effect of iodine supplementation in pregnant women on child neurodevelopment: a randomised, double-blind, placebo-controlled trial&lt;/title&gt;&lt;secondary-title&gt;The Lancet Diabetes &amp;amp; Endocrinology&lt;/secondary-title&gt;&lt;/titles&gt;&lt;periodical&gt;&lt;full-title&gt;The Lancet Diabetes &amp;amp; Endocrinology&lt;/full-title&gt;&lt;/periodical&gt;&lt;pages&gt;853-63&lt;/pages&gt;&lt;volume&gt;5&lt;/volume&gt;&lt;number&gt;11&lt;/number&gt;&lt;section&gt;853&lt;/section&gt;&lt;dates&gt;&lt;year&gt;2017&lt;/year&gt;&lt;/dates&gt;&lt;isbn&gt;22138587&lt;/isbn&gt;&lt;urls&gt;&lt;/urls&gt;&lt;electronic-resource-num&gt;10.1016/s2213-8587(17)30332-7&lt;/electronic-resource-num&gt;&lt;/record&gt;&lt;/Cite&gt;&lt;/EndNote&gt;</w:instrText>
            </w:r>
            <w:r w:rsidR="003523C5">
              <w:fldChar w:fldCharType="separate"/>
            </w:r>
            <w:r w:rsidR="002747EA" w:rsidRPr="002747EA">
              <w:rPr>
                <w:noProof/>
                <w:vertAlign w:val="superscript"/>
              </w:rPr>
              <w:t>203</w:t>
            </w:r>
            <w:r w:rsidR="003523C5">
              <w:fldChar w:fldCharType="end"/>
            </w:r>
          </w:p>
          <w:p w14:paraId="633B310A" w14:textId="59398FD9" w:rsidR="00DE2A9C" w:rsidRPr="00D150D8" w:rsidRDefault="00DE2A9C" w:rsidP="003523C5">
            <w:pPr>
              <w:keepNext/>
            </w:pPr>
            <w:r>
              <w:t>India, Thailand</w:t>
            </w:r>
          </w:p>
        </w:tc>
        <w:tc>
          <w:tcPr>
            <w:tcW w:w="1528" w:type="dxa"/>
          </w:tcPr>
          <w:p w14:paraId="080B57D0" w14:textId="77777777" w:rsidR="00D150D8" w:rsidRDefault="00143BEF" w:rsidP="00D150D8">
            <w:pPr>
              <w:keepNext/>
            </w:pPr>
            <w:r>
              <w:t>Intervention 159</w:t>
            </w:r>
          </w:p>
          <w:p w14:paraId="70D53D19" w14:textId="15AAE9C6" w:rsidR="00143BEF" w:rsidRPr="00D150D8" w:rsidRDefault="00143BEF" w:rsidP="00D150D8">
            <w:pPr>
              <w:keepNext/>
            </w:pPr>
            <w:r>
              <w:t>Control 156</w:t>
            </w:r>
          </w:p>
        </w:tc>
        <w:tc>
          <w:tcPr>
            <w:tcW w:w="4680" w:type="dxa"/>
          </w:tcPr>
          <w:p w14:paraId="64DDECDB" w14:textId="5214FD5C" w:rsidR="00D150D8" w:rsidRPr="00F30291" w:rsidRDefault="00F30291" w:rsidP="00F30291">
            <w:r w:rsidRPr="00F30291">
              <w:rPr>
                <w:b/>
              </w:rPr>
              <w:t>Aim</w:t>
            </w:r>
            <w:r>
              <w:t xml:space="preserve">: To assess </w:t>
            </w:r>
            <w:r w:rsidRPr="00F30291">
              <w:t xml:space="preserve">the effect of </w:t>
            </w:r>
            <w:r>
              <w:t xml:space="preserve">maternal </w:t>
            </w:r>
            <w:r w:rsidRPr="00F30291">
              <w:t>iodine supplementation on neurodevelopment of their offspring in areas where schoolchildren were iodine sufficient</w:t>
            </w:r>
          </w:p>
          <w:p w14:paraId="17277671" w14:textId="6A76E74E" w:rsidR="00F30291" w:rsidRDefault="00F30291" w:rsidP="00D150D8">
            <w:pPr>
              <w:keepNext/>
            </w:pPr>
            <w:r w:rsidRPr="00F30291">
              <w:rPr>
                <w:b/>
              </w:rPr>
              <w:t>Population</w:t>
            </w:r>
            <w:r>
              <w:t>: M</w:t>
            </w:r>
            <w:r w:rsidRPr="00F30291">
              <w:t>ildly iodine-deficient pregnant women</w:t>
            </w:r>
          </w:p>
          <w:p w14:paraId="3F95DA93" w14:textId="0A48A5BD" w:rsidR="00F30291" w:rsidRPr="00D150D8" w:rsidRDefault="00F30291" w:rsidP="00F30291">
            <w:r w:rsidRPr="00F30291">
              <w:rPr>
                <w:b/>
              </w:rPr>
              <w:t>Intervention</w:t>
            </w:r>
            <w:r>
              <w:t xml:space="preserve">: </w:t>
            </w:r>
            <w:r w:rsidRPr="00F30291">
              <w:t>200 μg iodine orally once a day</w:t>
            </w:r>
          </w:p>
        </w:tc>
        <w:tc>
          <w:tcPr>
            <w:tcW w:w="4536" w:type="dxa"/>
          </w:tcPr>
          <w:p w14:paraId="55DF08BD" w14:textId="77777777" w:rsidR="00795090" w:rsidRDefault="00795090" w:rsidP="00795090">
            <w:r>
              <w:t>Intervention vs control:</w:t>
            </w:r>
          </w:p>
          <w:p w14:paraId="516B3CFA" w14:textId="5C558AA0" w:rsidR="00795090" w:rsidRPr="00795090" w:rsidRDefault="00795090" w:rsidP="00795090">
            <w:pPr>
              <w:pStyle w:val="bullet"/>
            </w:pPr>
            <w:r w:rsidRPr="00795090">
              <w:t>WPPSI-III, verbal IQ</w:t>
            </w:r>
            <w:r>
              <w:t>: MD</w:t>
            </w:r>
            <w:r w:rsidRPr="00795090">
              <w:t xml:space="preserve"> –0.7 (–2.9 to 1.5) </w:t>
            </w:r>
            <w:r w:rsidR="00143BEF">
              <w:t>p=</w:t>
            </w:r>
            <w:r w:rsidRPr="00795090">
              <w:t>0.77</w:t>
            </w:r>
          </w:p>
          <w:p w14:paraId="1A0F30AB" w14:textId="58B3F73D" w:rsidR="00795090" w:rsidRPr="00795090" w:rsidRDefault="00795090" w:rsidP="00795090">
            <w:pPr>
              <w:pStyle w:val="bullet"/>
            </w:pPr>
            <w:r w:rsidRPr="00795090">
              <w:t>WPPSI-III, performance IQ</w:t>
            </w:r>
            <w:r w:rsidR="00143BEF">
              <w:t>: MD</w:t>
            </w:r>
            <w:r w:rsidRPr="00795090">
              <w:t xml:space="preserve"> –1.6 (–4.5 to 1.3) </w:t>
            </w:r>
            <w:r w:rsidR="00143BEF">
              <w:t>p=</w:t>
            </w:r>
            <w:r w:rsidRPr="00795090">
              <w:t>0.44</w:t>
            </w:r>
          </w:p>
          <w:p w14:paraId="53CACE89" w14:textId="308054DF" w:rsidR="00795090" w:rsidRPr="00795090" w:rsidRDefault="00795090" w:rsidP="00795090">
            <w:pPr>
              <w:pStyle w:val="bullet"/>
            </w:pPr>
            <w:r w:rsidRPr="00795090">
              <w:t>WPPSI-III, processing speed</w:t>
            </w:r>
            <w:r w:rsidR="00143BEF">
              <w:t xml:space="preserve">: MD </w:t>
            </w:r>
            <w:r w:rsidRPr="00795090">
              <w:t xml:space="preserve">–1.6 (–4.2 to 1.0) </w:t>
            </w:r>
            <w:r w:rsidR="00143BEF">
              <w:t>p=</w:t>
            </w:r>
            <w:r w:rsidRPr="00795090">
              <w:t>0.15</w:t>
            </w:r>
          </w:p>
          <w:p w14:paraId="26624360" w14:textId="4F5EFD83" w:rsidR="00795090" w:rsidRPr="00795090" w:rsidRDefault="00143BEF" w:rsidP="00795090">
            <w:pPr>
              <w:pStyle w:val="bullet"/>
            </w:pPr>
            <w:r>
              <w:t>WPPSI-III, full scale IQ</w:t>
            </w:r>
            <w:r w:rsidR="00795090" w:rsidRPr="00795090">
              <w:t xml:space="preserve"> –1.2 (–3.5 to 1.1) </w:t>
            </w:r>
            <w:r>
              <w:t>p=</w:t>
            </w:r>
            <w:r w:rsidR="00795090" w:rsidRPr="00795090">
              <w:t>0.44</w:t>
            </w:r>
          </w:p>
          <w:p w14:paraId="22BF790B" w14:textId="67728B8F" w:rsidR="00795090" w:rsidRPr="00795090" w:rsidRDefault="00143BEF" w:rsidP="00795090">
            <w:pPr>
              <w:pStyle w:val="bullet"/>
            </w:pPr>
            <w:r>
              <w:t>BRIEF-P, global executive:</w:t>
            </w:r>
            <w:r w:rsidR="00795090" w:rsidRPr="00795090">
              <w:t xml:space="preserve"> –0.9 (–6.8 to 5.0) </w:t>
            </w:r>
            <w:r>
              <w:t>p=</w:t>
            </w:r>
            <w:r w:rsidR="00795090" w:rsidRPr="00795090">
              <w:t>0.74</w:t>
            </w:r>
          </w:p>
          <w:p w14:paraId="72EF01DB" w14:textId="5AFE351A" w:rsidR="00D150D8" w:rsidRPr="00143BEF" w:rsidRDefault="00143BEF" w:rsidP="00143BEF">
            <w:pPr>
              <w:rPr>
                <w:sz w:val="16"/>
                <w:szCs w:val="16"/>
              </w:rPr>
            </w:pPr>
            <w:r w:rsidRPr="00143BEF">
              <w:rPr>
                <w:sz w:val="16"/>
                <w:szCs w:val="16"/>
              </w:rPr>
              <w:t>WPPSI-III: Wechsler Preschool and Primary Scale of Intelligence Third Edition</w:t>
            </w:r>
          </w:p>
        </w:tc>
        <w:tc>
          <w:tcPr>
            <w:tcW w:w="1843" w:type="dxa"/>
          </w:tcPr>
          <w:p w14:paraId="56272133" w14:textId="77777777" w:rsidR="00D150D8" w:rsidRPr="00D150D8" w:rsidRDefault="00D150D8" w:rsidP="00D150D8">
            <w:pPr>
              <w:keepNext/>
            </w:pPr>
          </w:p>
        </w:tc>
      </w:tr>
    </w:tbl>
    <w:p w14:paraId="7034646F" w14:textId="1C9BCC3C" w:rsidR="00C97429" w:rsidRPr="009740A7" w:rsidRDefault="009C163D" w:rsidP="00BD61CC">
      <w:pPr>
        <w:pStyle w:val="TableName"/>
        <w:pageBreakBefore/>
        <w:ind w:left="1134" w:hanging="1134"/>
      </w:pPr>
      <w:bookmarkStart w:id="97" w:name="_Toc40956632"/>
      <w:r>
        <w:t xml:space="preserve">Q3 </w:t>
      </w:r>
      <w:r w:rsidR="00C97429">
        <w:t>Harms and benefits of zinc supplementation</w:t>
      </w:r>
      <w:r w:rsidR="00C97429" w:rsidRPr="009740A7">
        <w:t xml:space="preserve"> </w:t>
      </w:r>
      <w:r w:rsidR="00BC1D42">
        <w:t xml:space="preserve">in pregnancy </w:t>
      </w:r>
      <w:r w:rsidR="00C97429">
        <w:t>— systematic reviews</w:t>
      </w:r>
      <w:bookmarkEnd w:id="9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4: Q3 Harms and benefits of zinc supplementation in pregnancy — systematic reviews"/>
      </w:tblPr>
      <w:tblGrid>
        <w:gridCol w:w="1305"/>
        <w:gridCol w:w="1247"/>
        <w:gridCol w:w="4961"/>
        <w:gridCol w:w="4536"/>
        <w:gridCol w:w="1843"/>
      </w:tblGrid>
      <w:tr w:rsidR="0058428D" w:rsidRPr="00F350A6" w14:paraId="4BF3C24E" w14:textId="77777777" w:rsidTr="0057113C">
        <w:trPr>
          <w:cantSplit/>
          <w:tblHeader/>
        </w:trPr>
        <w:tc>
          <w:tcPr>
            <w:tcW w:w="1305" w:type="dxa"/>
          </w:tcPr>
          <w:p w14:paraId="7262207B" w14:textId="77777777" w:rsidR="0058428D" w:rsidRPr="00F350A6" w:rsidRDefault="0058428D" w:rsidP="000F71A9">
            <w:pPr>
              <w:keepNext/>
              <w:rPr>
                <w:b/>
              </w:rPr>
            </w:pPr>
            <w:r>
              <w:rPr>
                <w:b/>
              </w:rPr>
              <w:t>Study ref</w:t>
            </w:r>
          </w:p>
        </w:tc>
        <w:tc>
          <w:tcPr>
            <w:tcW w:w="1247" w:type="dxa"/>
          </w:tcPr>
          <w:p w14:paraId="39850393" w14:textId="77777777" w:rsidR="0058428D" w:rsidRPr="00F350A6" w:rsidRDefault="0058428D" w:rsidP="000F71A9">
            <w:pPr>
              <w:keepNext/>
              <w:rPr>
                <w:b/>
              </w:rPr>
            </w:pPr>
            <w:r>
              <w:rPr>
                <w:b/>
              </w:rPr>
              <w:t>N</w:t>
            </w:r>
          </w:p>
        </w:tc>
        <w:tc>
          <w:tcPr>
            <w:tcW w:w="4961" w:type="dxa"/>
          </w:tcPr>
          <w:p w14:paraId="3EE6DFAA" w14:textId="437D33CD" w:rsidR="0058428D" w:rsidRPr="00F350A6" w:rsidRDefault="0058428D" w:rsidP="00DE2A9C">
            <w:pPr>
              <w:keepNext/>
              <w:rPr>
                <w:b/>
              </w:rPr>
            </w:pPr>
            <w:r>
              <w:rPr>
                <w:b/>
              </w:rPr>
              <w:t>Aim/</w:t>
            </w:r>
            <w:r w:rsidRPr="00F350A6">
              <w:rPr>
                <w:b/>
              </w:rPr>
              <w:t>population</w:t>
            </w:r>
            <w:r>
              <w:rPr>
                <w:b/>
              </w:rPr>
              <w:t>/</w:t>
            </w:r>
            <w:r w:rsidR="00BE7640">
              <w:rPr>
                <w:b/>
              </w:rPr>
              <w:t>intervention</w:t>
            </w:r>
          </w:p>
        </w:tc>
        <w:tc>
          <w:tcPr>
            <w:tcW w:w="4536" w:type="dxa"/>
          </w:tcPr>
          <w:p w14:paraId="3A1F5E9D" w14:textId="77777777" w:rsidR="0058428D" w:rsidRPr="00F350A6" w:rsidRDefault="0058428D" w:rsidP="000F71A9">
            <w:pPr>
              <w:keepNext/>
              <w:rPr>
                <w:b/>
              </w:rPr>
            </w:pPr>
            <w:r>
              <w:rPr>
                <w:b/>
              </w:rPr>
              <w:t>Results</w:t>
            </w:r>
          </w:p>
        </w:tc>
        <w:tc>
          <w:tcPr>
            <w:tcW w:w="1843" w:type="dxa"/>
          </w:tcPr>
          <w:p w14:paraId="607D8F6A" w14:textId="77777777" w:rsidR="0058428D" w:rsidRPr="00F350A6" w:rsidRDefault="0058428D" w:rsidP="000F71A9">
            <w:pPr>
              <w:keepNext/>
              <w:rPr>
                <w:b/>
              </w:rPr>
            </w:pPr>
            <w:r>
              <w:rPr>
                <w:b/>
              </w:rPr>
              <w:t>Comments</w:t>
            </w:r>
          </w:p>
        </w:tc>
      </w:tr>
      <w:tr w:rsidR="0058428D" w:rsidRPr="00D77EAD" w14:paraId="2C1CC8E8" w14:textId="77777777" w:rsidTr="0057113C">
        <w:trPr>
          <w:cantSplit/>
        </w:trPr>
        <w:tc>
          <w:tcPr>
            <w:tcW w:w="1305" w:type="dxa"/>
          </w:tcPr>
          <w:p w14:paraId="3C59ADE3" w14:textId="40466FAF" w:rsidR="0058428D" w:rsidRDefault="00224DE7" w:rsidP="003523C5">
            <w:pPr>
              <w:keepNext/>
            </w:pPr>
            <w:r>
              <w:t>Ota et al 2015</w:t>
            </w:r>
            <w:r w:rsidR="00BE7640">
              <w:fldChar w:fldCharType="begin"/>
            </w:r>
            <w:r w:rsidR="002747EA">
              <w:instrText xml:space="preserve"> ADDIN EN.CITE &lt;EndNote&gt;&lt;Cite&gt;&lt;Author&gt;Ota&lt;/Author&gt;&lt;Year&gt;2015&lt;/Year&gt;&lt;RecNum&gt;1193&lt;/RecNum&gt;&lt;DisplayText&gt;&lt;style face="superscript" font="Trebuchet MS" size="9"&gt;206&lt;/style&gt;&lt;/DisplayText&gt;&lt;record&gt;&lt;rec-number&gt;1193&lt;/rec-number&gt;&lt;foreign-keys&gt;&lt;key app="EN" db-id="exvasrfx2dtraoesasxp2szsxa2df502592x" timestamp="1559532928"&gt;1193&lt;/key&gt;&lt;key app="ENWeb" db-id=""&gt;0&lt;/key&gt;&lt;/foreign-keys&gt;&lt;ref-type name="Journal Article"&gt;17&lt;/ref-type&gt;&lt;contributors&gt;&lt;authors&gt;&lt;author&gt;Ota, E.,&lt;/author&gt;&lt;author&gt;Mori, R.,&lt;/author&gt;&lt;author&gt;Middleton, P.,&lt;/author&gt;&lt;author&gt;Tobe-Gai, R.,&lt;/author&gt;&lt;author&gt;Mahomed, K.,&lt;/author&gt;&lt;author&gt;Miyazaki, C.,&lt;/author&gt;&lt;author&gt;Bhutta, Z.A.,&lt;/author&gt;&lt;/authors&gt;&lt;/contributors&gt;&lt;titles&gt;&lt;title&gt;Zinc supplementation for improving pregnancy and infant outcome&lt;/title&gt;&lt;secondary-title&gt;Cochrane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000230.pub5&lt;/electronic-resource-num&gt;&lt;/record&gt;&lt;/Cite&gt;&lt;/EndNote&gt;</w:instrText>
            </w:r>
            <w:r w:rsidR="00BE7640">
              <w:fldChar w:fldCharType="separate"/>
            </w:r>
            <w:r w:rsidR="002747EA" w:rsidRPr="002747EA">
              <w:rPr>
                <w:noProof/>
                <w:vertAlign w:val="superscript"/>
              </w:rPr>
              <w:t>206</w:t>
            </w:r>
            <w:r w:rsidR="00BE7640">
              <w:fldChar w:fldCharType="end"/>
            </w:r>
          </w:p>
          <w:p w14:paraId="6171FA48" w14:textId="5770B654" w:rsidR="00DE2A9C" w:rsidRPr="00D77EAD" w:rsidRDefault="00DE2A9C" w:rsidP="003523C5">
            <w:pPr>
              <w:keepNext/>
            </w:pPr>
            <w:r w:rsidRPr="009C73EC">
              <w:t>Bangladesh, Chile, China, Denmark, Egypt, Ghana, Indonesia, Iran, Nepal, Pakistan, Peru, Sou</w:t>
            </w:r>
            <w:r>
              <w:t>th Af</w:t>
            </w:r>
            <w:r w:rsidRPr="009C73EC">
              <w:t>rica, UK, USA</w:t>
            </w:r>
          </w:p>
        </w:tc>
        <w:tc>
          <w:tcPr>
            <w:tcW w:w="1247" w:type="dxa"/>
          </w:tcPr>
          <w:p w14:paraId="1AE7212D" w14:textId="77777777" w:rsidR="0058428D" w:rsidRDefault="007B62DE" w:rsidP="000F71A9">
            <w:pPr>
              <w:keepNext/>
            </w:pPr>
            <w:r>
              <w:t>21 studies</w:t>
            </w:r>
          </w:p>
          <w:p w14:paraId="6C9B9517" w14:textId="3A7E70C9" w:rsidR="007B62DE" w:rsidRPr="00D77EAD" w:rsidRDefault="007B62DE" w:rsidP="000F71A9">
            <w:pPr>
              <w:keepNext/>
            </w:pPr>
            <w:r>
              <w:t>&gt;17,000 women</w:t>
            </w:r>
          </w:p>
        </w:tc>
        <w:tc>
          <w:tcPr>
            <w:tcW w:w="4961" w:type="dxa"/>
          </w:tcPr>
          <w:p w14:paraId="11C2AA12" w14:textId="77777777" w:rsidR="007B62DE" w:rsidRPr="007B62DE" w:rsidRDefault="007B62DE" w:rsidP="007B62DE">
            <w:r w:rsidRPr="007B62DE">
              <w:rPr>
                <w:b/>
              </w:rPr>
              <w:t>Aim</w:t>
            </w:r>
            <w:r>
              <w:t xml:space="preserve">: </w:t>
            </w:r>
            <w:r w:rsidRPr="007B62DE">
              <w:t>To assess the effects of zinc supplementation in pregnancy on maternal, fetal, neonatal and infant outcomes.</w:t>
            </w:r>
          </w:p>
          <w:p w14:paraId="74032EAE" w14:textId="4932F904" w:rsidR="0058428D" w:rsidRDefault="007B62DE" w:rsidP="007B62DE">
            <w:r w:rsidRPr="009C73EC">
              <w:rPr>
                <w:b/>
              </w:rPr>
              <w:t>Population</w:t>
            </w:r>
            <w:r w:rsidR="009C73EC">
              <w:t>: Healthy</w:t>
            </w:r>
            <w:r w:rsidR="009C73EC" w:rsidRPr="009C73EC">
              <w:t xml:space="preserve"> pregnant women with no systemic illness. Women may</w:t>
            </w:r>
            <w:r w:rsidR="009C73EC">
              <w:t xml:space="preserve"> </w:t>
            </w:r>
            <w:r w:rsidR="009C73EC" w:rsidRPr="009C73EC">
              <w:t>have had normal zinc levels or they may have been, or likely to</w:t>
            </w:r>
            <w:r w:rsidR="009C73EC">
              <w:t xml:space="preserve"> </w:t>
            </w:r>
            <w:r w:rsidR="009C73EC" w:rsidRPr="009C73EC">
              <w:t>have been, zinc deficient.</w:t>
            </w:r>
          </w:p>
          <w:p w14:paraId="27B373A4" w14:textId="2CA5A650" w:rsidR="007B62DE" w:rsidRPr="00D77EAD" w:rsidRDefault="007B62DE" w:rsidP="00461769">
            <w:r w:rsidRPr="009C73EC">
              <w:rPr>
                <w:b/>
              </w:rPr>
              <w:t>Interventions</w:t>
            </w:r>
            <w:r>
              <w:t>:</w:t>
            </w:r>
            <w:r w:rsidR="00461769">
              <w:t xml:space="preserve"> </w:t>
            </w:r>
            <w:r w:rsidR="00461769" w:rsidRPr="00461769">
              <w:t>Most trials (15/21) compared zinc</w:t>
            </w:r>
            <w:r w:rsidR="00461769">
              <w:t xml:space="preserve"> </w:t>
            </w:r>
            <w:r w:rsidR="00461769" w:rsidRPr="00461769">
              <w:t>with placebo</w:t>
            </w:r>
            <w:r w:rsidR="00461769" w:rsidRPr="00461769">
              <w:rPr>
                <w:rFonts w:eastAsiaTheme="majorEastAsia"/>
                <w:color w:val="000000"/>
              </w:rPr>
              <w:t>. Two trials</w:t>
            </w:r>
            <w:r w:rsidR="00461769">
              <w:rPr>
                <w:rFonts w:eastAsiaTheme="majorEastAsia"/>
                <w:color w:val="000000"/>
              </w:rPr>
              <w:t xml:space="preserve"> </w:t>
            </w:r>
            <w:r w:rsidR="00461769" w:rsidRPr="00461769">
              <w:t>compared zinc with non-zinc supplement</w:t>
            </w:r>
            <w:r w:rsidR="00461769">
              <w:t xml:space="preserve"> </w:t>
            </w:r>
            <w:r w:rsidR="00461769" w:rsidRPr="00461769">
              <w:t>(iron plus folate). In some trials, all women were also given iron, folate or vitamins or</w:t>
            </w:r>
            <w:r w:rsidR="00461769">
              <w:t xml:space="preserve"> </w:t>
            </w:r>
            <w:r w:rsidR="00461769" w:rsidRPr="00461769">
              <w:t xml:space="preserve">combinations of these. </w:t>
            </w:r>
          </w:p>
        </w:tc>
        <w:tc>
          <w:tcPr>
            <w:tcW w:w="4536" w:type="dxa"/>
          </w:tcPr>
          <w:p w14:paraId="7B3C8395" w14:textId="77777777" w:rsidR="0058428D" w:rsidRDefault="007B62DE" w:rsidP="000F71A9">
            <w:pPr>
              <w:keepNext/>
            </w:pPr>
            <w:r>
              <w:t>Intervention vs control:</w:t>
            </w:r>
          </w:p>
          <w:p w14:paraId="5E6512DF" w14:textId="378F625D" w:rsidR="007B62DE" w:rsidRDefault="007B62DE" w:rsidP="007B62DE">
            <w:pPr>
              <w:pStyle w:val="bullet"/>
            </w:pPr>
            <w:r>
              <w:t>Preterm birth: RR 0.86 (0.76 to 0.97) (16</w:t>
            </w:r>
            <w:r w:rsidR="00461769">
              <w:t> </w:t>
            </w:r>
            <w:r>
              <w:t>studies; n=7,637</w:t>
            </w:r>
            <w:r w:rsidR="00461769">
              <w:t xml:space="preserve">; moderate </w:t>
            </w:r>
            <w:r w:rsidR="00FB2A6C">
              <w:t>certainty</w:t>
            </w:r>
            <w:r>
              <w:t>)</w:t>
            </w:r>
          </w:p>
          <w:p w14:paraId="6664ECAD" w14:textId="0533D35B" w:rsidR="007B62DE" w:rsidRDefault="007B62DE" w:rsidP="007B62DE">
            <w:pPr>
              <w:pStyle w:val="bullet"/>
            </w:pPr>
            <w:r>
              <w:t>Perinatal death: RR 1.12 (0.86 to 1.46) (8 studies; n=5,100</w:t>
            </w:r>
            <w:r w:rsidR="00461769">
              <w:t xml:space="preserve">; low </w:t>
            </w:r>
            <w:r w:rsidR="00FB2A6C">
              <w:t>certainty</w:t>
            </w:r>
            <w:r>
              <w:t>)</w:t>
            </w:r>
          </w:p>
          <w:p w14:paraId="727FDDF4" w14:textId="206D13C6" w:rsidR="00461769" w:rsidRDefault="00461769" w:rsidP="007B62DE">
            <w:pPr>
              <w:pStyle w:val="bullet"/>
            </w:pPr>
            <w:r>
              <w:t xml:space="preserve">Birthweight: MD 0.90 (-22.23 to 24.02) (17 studies; n=6,757; low </w:t>
            </w:r>
            <w:r w:rsidR="00FB2A6C">
              <w:t>certainty</w:t>
            </w:r>
            <w:r>
              <w:t>)</w:t>
            </w:r>
          </w:p>
          <w:p w14:paraId="02052A69" w14:textId="6F793C1A" w:rsidR="007B62DE" w:rsidRDefault="007B62DE" w:rsidP="007B62DE">
            <w:pPr>
              <w:pStyle w:val="bullet"/>
            </w:pPr>
            <w:r>
              <w:t>Small for gestational age: RR 1.02 (0.94 to 1.11) (8 studies; n=4,252</w:t>
            </w:r>
            <w:r w:rsidR="00461769">
              <w:t xml:space="preserve">; moderate </w:t>
            </w:r>
            <w:r w:rsidR="00FB2A6C">
              <w:t>certainty</w:t>
            </w:r>
            <w:r>
              <w:t>)</w:t>
            </w:r>
          </w:p>
          <w:p w14:paraId="2A681DCA" w14:textId="3D614373" w:rsidR="007B62DE" w:rsidRPr="00D77EAD" w:rsidRDefault="007B62DE" w:rsidP="00DE2A9C">
            <w:pPr>
              <w:pStyle w:val="bullet"/>
            </w:pPr>
            <w:r>
              <w:t>Low birthweight: RR 0.93 (0.78 to 1.12) (14 studies; n=5,643</w:t>
            </w:r>
            <w:r w:rsidR="00461769">
              <w:t xml:space="preserve">; moderate </w:t>
            </w:r>
            <w:r w:rsidR="00FB2A6C">
              <w:t>certainty</w:t>
            </w:r>
            <w:r>
              <w:t>)</w:t>
            </w:r>
          </w:p>
        </w:tc>
        <w:tc>
          <w:tcPr>
            <w:tcW w:w="1843" w:type="dxa"/>
          </w:tcPr>
          <w:p w14:paraId="774BA599" w14:textId="77777777" w:rsidR="0058428D" w:rsidRPr="00D77EAD" w:rsidRDefault="0058428D" w:rsidP="000F71A9">
            <w:pPr>
              <w:keepNext/>
            </w:pPr>
          </w:p>
        </w:tc>
      </w:tr>
      <w:tr w:rsidR="003222CF" w:rsidRPr="00D77EAD" w14:paraId="37768A9F" w14:textId="77777777" w:rsidTr="0057113C">
        <w:trPr>
          <w:cantSplit/>
        </w:trPr>
        <w:tc>
          <w:tcPr>
            <w:tcW w:w="1305" w:type="dxa"/>
          </w:tcPr>
          <w:p w14:paraId="40D868CA" w14:textId="23EDA16E" w:rsidR="003222CF" w:rsidRDefault="003222CF" w:rsidP="003523C5">
            <w:pPr>
              <w:keepNext/>
            </w:pPr>
            <w:r>
              <w:t>Liu et al 2018</w:t>
            </w:r>
            <w:r w:rsidR="00BE7640">
              <w:fldChar w:fldCharType="begin">
                <w:fldData xml:space="preserve">PEVuZE5vdGU+PENpdGU+PEF1dGhvcj5MaXU8L0F1dGhvcj48WWVhcj4yMDE4PC9ZZWFyPjxSZWNO
dW0+MTE5NTwvUmVjTnVtPjxEaXNwbGF5VGV4dD48c3R5bGUgZmFjZT0ic3VwZXJzY3JpcHQiIGZv
bnQ9IlRyZWJ1Y2hldCBNUyIgc2l6ZT0iOSI+MjA3PC9zdHlsZT48L0Rpc3BsYXlUZXh0PjxyZWNv
cmQ+PHJlYy1udW1iZXI+MTE5NTwvcmVjLW51bWJlcj48Zm9yZWlnbi1rZXlzPjxrZXkgYXBwPSJF
TiIgZGItaWQ9ImV4dmFzcmZ4MmR0cmFvZXNhc3hwMnN6c3hhMmRmNTAyNTkyeCIgdGltZXN0YW1w
PSIxNTU5NTM1ODg1Ij4xMTk1PC9rZXk+PGtleSBhcHA9IkVOV2ViIiBkYi1pZD0iIj4wPC9rZXk+
PC9mb3JlaWduLWtleXM+PHJlZi10eXBlIG5hbWU9IkpvdXJuYWwgQXJ0aWNsZSI+MTc8L3JlZi10
eXBlPjxjb250cmlidXRvcnM+PGF1dGhvcnM+PGF1dGhvcj5MaXUsIEUuPC9hdXRob3I+PGF1dGhv
cj5QaW1waW4sIEwuPC9hdXRob3I+PGF1dGhvcj5TaHVsa2luLCBNLjwvYXV0aG9yPjxhdXRob3I+
S3JhbnosIFMuPC9hdXRob3I+PGF1dGhvcj5EdWdnYW4sIEMuIFAuPC9hdXRob3I+PGF1dGhvcj5N
b3phZmZhcmlhbiwgRC48L2F1dGhvcj48YXV0aG9yPkZhd3ppLCBXLiBXLjwvYXV0aG9yPjwvYXV0
aG9ycz48L2NvbnRyaWJ1dG9ycz48YXV0aC1hZGRyZXNzPkluc3RpdHV0aW9uYWwgQ2VudGVycyBv
ZiBDbGluaWNhbCBhbmQgVHJhbnNsYXRpb25hbCBSZXNlYXJjaCwgQm9zdG9uIENoaWxkcmVuJmFw
b3M7cyBIb3NwaXRhbCwgMzAwIExvbmd3b29kIEF2ZSwgQm9zdG9uLCBNQSAwMjExNSwgVVNBLiBF
bmp1LkxpdUBjaGlsZHJlbnMuaGFydmFyZC5lZHUuJiN4RDtEaXZpc2lvbiBvZiBHYXN0cm9lbnRl
cm9sb2d5LCBIZXBhdG9sb2d5IGFuZCBOdXRyaXRpb24sIEJvc3RvbiBDaGlsZHJlbiZhcG9zO3Mg
SG9zcGl0YWwsIDMwMCBMb25nd29vZCBBdmUsIEJvc3RvbiwgTUEgMDIxMTUsIFVTQS4gRW5qdS5M
aXVAY2hpbGRyZW5zLmhhcnZhcmQuZWR1LiYjeEQ7RnJpZWRtYW4gU2Nob29sIG9mIE51dHJpdGlv
biBTY2llbmNlIGFuZCBQb2xpY3ksIFR1ZnRzIFVuaXZlcnNpdHksIDE1MCBIYXJyaXNvbiBBdmUs
IEJvc3RvbiwgTUEgMDIxMTEsIFVTQS4gbGF1cmEucGltcGluQGdtYWlsLmNvbS4mI3hEO0ZyaWVk
bWFuIFNjaG9vbCBvZiBOdXRyaXRpb24gU2NpZW5jZSBhbmQgUG9saWN5LCBUdWZ0cyBVbml2ZXJz
aXR5LCAxNTAgSGFycmlzb24gQXZlLCBCb3N0b24sIE1BIDAyMTExLCBVU0EuIHNodWxraW5tQGdt
YWlsLmNvbS4mI3hEO0ZyaWVkbWFuIFNjaG9vbCBvZiBOdXRyaXRpb24gU2NpZW5jZSBhbmQgUG9s
aWN5LCBUdWZ0cyBVbml2ZXJzaXR5LCAxNTAgSGFycmlzb24gQXZlLCBCb3N0b24sIE1BIDAyMTEx
LCBVU0EuIFNhcmFoLktyYW56QHR1ZnRzLmVkdS4mI3hEO0RpdmlzaW9uIG9mIEdhc3Ryb2VudGVy
b2xvZ3ksIEhlcGF0b2xvZ3kgYW5kIE51dHJpdGlvbiwgQm9zdG9uIENoaWxkcmVuJmFwb3M7cyBI
b3NwaXRhbCwgMzAwIExvbmd3b29kIEF2ZSwgQm9zdG9uLCBNQSAwMjExNSwgVVNBLiBjaHJpc3Rv
cGhlci5kdWdnYW5AY2hpbGRyZW5zLmhhcnZhcmQuZWR1LiYjeEQ7RGVwYXJ0bWVudCBvZiBOdXRy
aXRpb24sIEhhcnZhcmQgVC5ILiBDaGFuIFNjaG9vbCBvZiBQdWJsaWMgSGVhbHRoLCBIYXJ2YXJk
IFQuSC4gQ2hhbiBTY2hvb2wgb2YgUHVibGljIEhlYWx0aCwgNjc3IEh1bnRpbmd0b24gQXZlLCBC
b3N0b24sIE1BIDAyMTE1LCBVU0EuIGNocmlzdG9waGVyLmR1Z2dhbkBjaGlsZHJlbnMuaGFydmFy
ZC5lZHUuJiN4RDtEZXBhcnRtZW50IG9mIEdsb2JhbCBIZWFsdGggYW5kIFBvcHVsYXRpb24sIEhh
cnZhcmQgVC5ILiBDaGFuIFNjaG9vbCBvZiBQdWJsaWMgSGVhbHRoLCA2NzcgSHVudGluZ3RvbiBB
dmUsIEJvc3RvbiwgTUEgMDIxMTUsIFVTQS4gY2hyaXN0b3BoZXIuZHVnZ2FuQGNoaWxkcmVucy5o
YXJ2YXJkLmVkdS4mI3hEO0ZyaWVkbWFuIFNjaG9vbCBvZiBOdXRyaXRpb24gU2NpZW5jZSBhbmQg
UG9saWN5LCBUdWZ0cyBVbml2ZXJzaXR5LCAxNTAgSGFycmlzb24gQXZlLCBCb3N0b24sIE1BIDAy
MTExLCBVU0EuIERhcml1c2guTW96YWZmYXJpYW5AdHVmdHMuZWR1LiYjeEQ7RGVwYXJ0bWVudCBv
ZiBOdXRyaXRpb24sIEhhcnZhcmQgVC5ILiBDaGFuIFNjaG9vbCBvZiBQdWJsaWMgSGVhbHRoLCBI
YXJ2YXJkIFQuSC4gQ2hhbiBTY2hvb2wgb2YgUHVibGljIEhlYWx0aCwgNjc3IEh1bnRpbmd0b24g
QXZlLCBCb3N0b24sIE1BIDAyMTE1LCBVU0EuIG1pbmFAaHNwaC5oYXJ2YXJkLmVkdS4mI3hEO0Rl
cGFydG1lbnQgb2YgR2xvYmFsIEhlYWx0aCBhbmQgUG9wdWxhdGlvbiwgSGFydmFyZCBULkguIENo
YW4gU2Nob29sIG9mIFB1YmxpYyBIZWFsdGgsIDY3NyBIdW50aW5ndG9uIEF2ZSwgQm9zdG9uLCBN
QSAwMjExNSwgVVNBLiBtaW5hQGhzcGguaGFydmFyZC5lZHUuJiN4RDtEZXBhcnRtZW50IG9mIEVw
aWRlbWlvbG9neSwgSGFydmFyZCBULkguIENoYW4gU2Nob29sIG9mIFB1YmxpYyBIZWFsdGgsIDY3
NyBIdW50aW5ndG9uIEF2ZSwgQm9zdG9uLCBNQSAwMjExNSwgVVNBLiBtaW5hQGhzcGguaGFydmFy
ZC5lZHUuPC9hdXRoLWFkZHJlc3M+PHRpdGxlcz48dGl0bGU+RWZmZWN0IG9mIFppbmMgU3VwcGxl
bWVudGF0aW9uIG9uIEdyb3d0aCBPdXRjb21lcyBpbiBDaGlsZHJlbiB1bmRlciA1IFllYXJzIG9m
IEFnZTwvdGl0bGU+PHNlY29uZGFyeS10aXRsZT5OdXRyaWVudHM8L3NlY29uZGFyeS10aXRsZT48
L3RpdGxlcz48cGVyaW9kaWNhbD48ZnVsbC10aXRsZT5OdXRyaWVudHM8L2Z1bGwtdGl0bGU+PC9w
ZXJpb2RpY2FsPjx2b2x1bWU+MTA8L3ZvbHVtZT48bnVtYmVyPjM8L251bWJlcj48ZWRpdGlvbj4y
MDE4LzAzLzIxPC9lZGl0aW9uPjxrZXl3b3Jkcz48a2V5d29yZD5BZ2UgRmFjdG9yczwva2V5d29y
ZD48a2V5d29yZD5Cb2R5IEhlaWdodDwva2V5d29yZD48a2V5d29yZD4qQ2hpbGQgRGV2ZWxvcG1l
bnQ8L2tleXdvcmQ+PGtleXdvcmQ+KkNoaWxkIE51dHJpdGlvbmFsIFBoeXNpb2xvZ2ljYWwgUGhl
bm9tZW5hPC9rZXl3b3JkPjxrZXl3b3JkPkNoaWxkLCBQcmVzY2hvb2w8L2tleXdvcmQ+PGtleXdv
cmQ+KkRpZXRhcnkgU3VwcGxlbWVudHMvYWR2ZXJzZSBlZmZlY3RzPC9rZXl3b3JkPjxrZXl3b3Jk
PkZlbWFsZTwva2V5d29yZD48a2V5d29yZD5HZXN0YXRpb25hbCBBZ2U8L2tleXdvcmQ+PGtleXdv
cmQ+SHVtYW5zPC9rZXl3b3JkPjxrZXl3b3JkPkluZmFudDwva2V5d29yZD48a2V5d29yZD5JbmZh
bnQsIE5ld2Jvcm48L2tleXdvcmQ+PGtleXdvcmQ+TWFsZTwva2V5d29yZD48a2V5d29yZD5NYXRl
cm5hbCBOdXRyaXRpb25hbCBQaHlzaW9sb2dpY2FsIFBoZW5vbWVuYTwva2V5d29yZD48a2V5d29y
ZD4qTnV0cml0aW9uYWwgU3RhdHVzPC9rZXl3b3JkPjxrZXl3b3JkPlByZWduYW5jeTwva2V5d29y
ZD48a2V5d29yZD5QcmVuYXRhbCBDYXJlL21ldGhvZHM8L2tleXdvcmQ+PGtleXdvcmQ+UHJlbmF0
YWwgRXhwb3N1cmUgRGVsYXllZCBFZmZlY3RzPC9rZXl3b3JkPjxrZXl3b3JkPlJhbmRvbWl6ZWQg
Q29udHJvbGxlZCBUcmlhbHMgYXMgVG9waWM8L2tleXdvcmQ+PGtleXdvcmQ+UmVjb21tZW5kZWQg
RGlldGFyeSBBbGxvd2FuY2VzPC9rZXl3b3JkPjxrZXl3b3JkPldlaWdodCBHYWluPC9rZXl3b3Jk
PjxrZXl3b3JkPlppbmMvKmFkbWluaXN0cmF0aW9uICZhbXA7IGRvc2FnZS9hZHZlcnNlIGVmZmVj
dHM8L2tleXdvcmQ+PGtleXdvcmQ+Y2hpbGQgZ3Jvd3RoPC9rZXl3b3JkPjxrZXl3b3JkPm1ldGEt
YW5hbHlzaXM8L2tleXdvcmQ+PGtleXdvcmQ+cmFuZG9taXplZCBjb250cm9sbGVkIHRyaWFsPC9r
ZXl3b3JkPjxrZXl3b3JkPnN5c3RlbWF0aWMgcmV2aWV3PC9rZXl3b3JkPjxrZXl3b3JkPnppbmMg
c3VwcGxlbWVudGF0aW9uPC9rZXl3b3JkPjxrZXl3b3JkPkhhYXMgQXZvY2FkbyBCb2FyZCwgQXN0
cmEgWmVuZWNhLCBHT0VELCBEU00sIFBvbGxvY2sgQ29tbXVuaWNhdGlvbnMsIGFuZCBMaWZlPC9r
ZXl3b3JkPjxrZXl3b3JkPlNjaWVuY2VzIFJlc2VhcmNoIE9yZ2FuaXphdGlvbjwva2V5d29yZD48
a2V5d29yZD5jaGFwdGVyIHJveWFsdGllcyBmcm9tIFVwVG9EYXRlPC9rZXl3b3JkPjxrZXl3b3Jk
PmFuZCBzY2llbnRpZmljPC9rZXl3b3JkPjxrZXl3b3JkPmFkdmlzb3J5IGJvYXJkIGZvciBFbHlz
aXVtIEhlYWx0aCwgYW5kIE9tYWRhIEhlYWx0aC4gSGFydmFyZCBVbml2ZXJzaXR5IGhhcyBiZWVu
PC9rZXl3b3JkPjxrZXl3b3JkPmFzc2lnbmVkIHBhdGVudCBVUzg4ODk3MzkgQjIsIGxpc3Rpbmcg
TW96YWZmYXJpYW4gYXMgb25lIG9mIHRocmVlIGNvLWludmVudG9ycyw8L2tleXdvcmQ+PGtleXdv
cmQ+Zm9yICZxdW90O1VzZSBvZiB0cmFuc3BhbG1pdG9sZWljIGFjaWQgaW4gaWRlbnRpZnlpbmcg
YW5kIHRyZWF0aW5nIG1ldGFib2xpYyBkaXNlYXNlJnF1b3Q7Ljwva2V5d29yZD48a2V5d29yZD5E
dWdnYW4gcmVwb3J0cyByb3lhbHRpZXMgZnJvbSBVcFRvRGF0ZSwgYW5kIFBNUEg8L2tleXdvcmQ+
PGtleXdvcmQ+QWxsIG90aGVyIGF1dGhvcnMgZGVjbGFyZSBubzwva2V5d29yZD48a2V5d29yZD5j
b25mbGljdCBvZiBpbnRlcmVzdC4gVGhlIHN0dWR5IGlzIHNwb25zb3JlZCBieSBCaWxsICZhbXA7
IE1lbGluZGEgR2F0ZXMgRm91bmRhdGlvbiw8L2tleXdvcmQ+PGtleXdvcmQ+Z3JhbnQgbnVtYmVy
IE9QUDEwOTk1MDUuIENQRCB3YXMgc3VwcG9ydGVkIGluIHBhcnQgYnkgTklIIGdyYW50cyBLMjRE
SzEwNDY3NiBhbmQ8L2tleXdvcmQ+PGtleXdvcmQ+MlAzMERLMDQwNTYxLiBUaGUgZm91bmRpbmcg
c3BvbnNvcnMgaGFkIG5vIHJvbGUgaW4gdGhlIGRlc2lnbiBvZiB0aGUgc3R1ZHk8L2tleXdvcmQ+
PGtleXdvcmQ+aW48L2tleXdvcmQ+PGtleXdvcmQ+dGhlIGNvbGxlY3Rpb24sIGFuYWx5c2VzLCBv
ciBpbnRlcnByZXRhdGlvbiBvZiBkYXRhPC9rZXl3b3JkPjxrZXl3b3JkPmluIHRoZSB3cml0aW5n
IG9mIHRoZTwva2V5d29yZD48a2V5d29yZD5tYW51c2NyaXB0LCBhbmQgaW4gdGhlIGRlY2lzaW9u
IHRvIHB1Ymxpc2ggdGhlIHJlc3VsdHMuPC9rZXl3b3JkPjwva2V5d29yZHM+PGRhdGVzPjx5ZWFy
PjIwMTg8L3llYXI+PHB1Yi1kYXRlcz48ZGF0ZT5NYXIgMjA8L2RhdGU+PC9wdWItZGF0ZXM+PC9k
YXRlcz48aXNibj4yMDcyLTY2NDMgKEVsZWN0cm9uaWMpJiN4RDsyMDcyLTY2NDMgKExpbmtpbmcp
PC9pc2JuPjxhY2Nlc3Npb24tbnVtPjI5NTU4MzgzPC9hY2Nlc3Npb24tbnVtPjx1cmxzPjxyZWxh
dGVkLXVybHM+PHVybD5odHRwczovL3d3dy5uY2JpLm5sbS5uaWguZ292L3B1Ym1lZC8yOTU1ODM4
MzwvdXJsPjwvcmVsYXRlZC11cmxzPjwvdXJscz48Y3VzdG9tMj5QTUM1ODcyNzk1PC9jdXN0b20y
PjxlbGVjdHJvbmljLXJlc291cmNlLW51bT4xMC4zMzkwL251MTAwMzAzNzc8L2VsZWN0cm9uaWMt
cmVzb3VyY2UtbnVtPjwvcmVjb3JkPjwvQ2l0ZT48L0VuZE5vdGU+
</w:fldData>
              </w:fldChar>
            </w:r>
            <w:r w:rsidR="002747EA">
              <w:instrText xml:space="preserve"> ADDIN EN.CITE </w:instrText>
            </w:r>
            <w:r w:rsidR="002747EA">
              <w:fldChar w:fldCharType="begin">
                <w:fldData xml:space="preserve">PEVuZE5vdGU+PENpdGU+PEF1dGhvcj5MaXU8L0F1dGhvcj48WWVhcj4yMDE4PC9ZZWFyPjxSZWNO
dW0+MTE5NTwvUmVjTnVtPjxEaXNwbGF5VGV4dD48c3R5bGUgZmFjZT0ic3VwZXJzY3JpcHQiIGZv
bnQ9IlRyZWJ1Y2hldCBNUyIgc2l6ZT0iOSI+MjA3PC9zdHlsZT48L0Rpc3BsYXlUZXh0PjxyZWNv
cmQ+PHJlYy1udW1iZXI+MTE5NTwvcmVjLW51bWJlcj48Zm9yZWlnbi1rZXlzPjxrZXkgYXBwPSJF
TiIgZGItaWQ9ImV4dmFzcmZ4MmR0cmFvZXNhc3hwMnN6c3hhMmRmNTAyNTkyeCIgdGltZXN0YW1w
PSIxNTU5NTM1ODg1Ij4xMTk1PC9rZXk+PGtleSBhcHA9IkVOV2ViIiBkYi1pZD0iIj4wPC9rZXk+
PC9mb3JlaWduLWtleXM+PHJlZi10eXBlIG5hbWU9IkpvdXJuYWwgQXJ0aWNsZSI+MTc8L3JlZi10
eXBlPjxjb250cmlidXRvcnM+PGF1dGhvcnM+PGF1dGhvcj5MaXUsIEUuPC9hdXRob3I+PGF1dGhv
cj5QaW1waW4sIEwuPC9hdXRob3I+PGF1dGhvcj5TaHVsa2luLCBNLjwvYXV0aG9yPjxhdXRob3I+
S3JhbnosIFMuPC9hdXRob3I+PGF1dGhvcj5EdWdnYW4sIEMuIFAuPC9hdXRob3I+PGF1dGhvcj5N
b3phZmZhcmlhbiwgRC48L2F1dGhvcj48YXV0aG9yPkZhd3ppLCBXLiBXLjwvYXV0aG9yPjwvYXV0
aG9ycz48L2NvbnRyaWJ1dG9ycz48YXV0aC1hZGRyZXNzPkluc3RpdHV0aW9uYWwgQ2VudGVycyBv
ZiBDbGluaWNhbCBhbmQgVHJhbnNsYXRpb25hbCBSZXNlYXJjaCwgQm9zdG9uIENoaWxkcmVuJmFw
b3M7cyBIb3NwaXRhbCwgMzAwIExvbmd3b29kIEF2ZSwgQm9zdG9uLCBNQSAwMjExNSwgVVNBLiBF
bmp1LkxpdUBjaGlsZHJlbnMuaGFydmFyZC5lZHUuJiN4RDtEaXZpc2lvbiBvZiBHYXN0cm9lbnRl
cm9sb2d5LCBIZXBhdG9sb2d5IGFuZCBOdXRyaXRpb24sIEJvc3RvbiBDaGlsZHJlbiZhcG9zO3Mg
SG9zcGl0YWwsIDMwMCBMb25nd29vZCBBdmUsIEJvc3RvbiwgTUEgMDIxMTUsIFVTQS4gRW5qdS5M
aXVAY2hpbGRyZW5zLmhhcnZhcmQuZWR1LiYjeEQ7RnJpZWRtYW4gU2Nob29sIG9mIE51dHJpdGlv
biBTY2llbmNlIGFuZCBQb2xpY3ksIFR1ZnRzIFVuaXZlcnNpdHksIDE1MCBIYXJyaXNvbiBBdmUs
IEJvc3RvbiwgTUEgMDIxMTEsIFVTQS4gbGF1cmEucGltcGluQGdtYWlsLmNvbS4mI3hEO0ZyaWVk
bWFuIFNjaG9vbCBvZiBOdXRyaXRpb24gU2NpZW5jZSBhbmQgUG9saWN5LCBUdWZ0cyBVbml2ZXJz
aXR5LCAxNTAgSGFycmlzb24gQXZlLCBCb3N0b24sIE1BIDAyMTExLCBVU0EuIHNodWxraW5tQGdt
YWlsLmNvbS4mI3hEO0ZyaWVkbWFuIFNjaG9vbCBvZiBOdXRyaXRpb24gU2NpZW5jZSBhbmQgUG9s
aWN5LCBUdWZ0cyBVbml2ZXJzaXR5LCAxNTAgSGFycmlzb24gQXZlLCBCb3N0b24sIE1BIDAyMTEx
LCBVU0EuIFNhcmFoLktyYW56QHR1ZnRzLmVkdS4mI3hEO0RpdmlzaW9uIG9mIEdhc3Ryb2VudGVy
b2xvZ3ksIEhlcGF0b2xvZ3kgYW5kIE51dHJpdGlvbiwgQm9zdG9uIENoaWxkcmVuJmFwb3M7cyBI
b3NwaXRhbCwgMzAwIExvbmd3b29kIEF2ZSwgQm9zdG9uLCBNQSAwMjExNSwgVVNBLiBjaHJpc3Rv
cGhlci5kdWdnYW5AY2hpbGRyZW5zLmhhcnZhcmQuZWR1LiYjeEQ7RGVwYXJ0bWVudCBvZiBOdXRy
aXRpb24sIEhhcnZhcmQgVC5ILiBDaGFuIFNjaG9vbCBvZiBQdWJsaWMgSGVhbHRoLCBIYXJ2YXJk
IFQuSC4gQ2hhbiBTY2hvb2wgb2YgUHVibGljIEhlYWx0aCwgNjc3IEh1bnRpbmd0b24gQXZlLCBC
b3N0b24sIE1BIDAyMTE1LCBVU0EuIGNocmlzdG9waGVyLmR1Z2dhbkBjaGlsZHJlbnMuaGFydmFy
ZC5lZHUuJiN4RDtEZXBhcnRtZW50IG9mIEdsb2JhbCBIZWFsdGggYW5kIFBvcHVsYXRpb24sIEhh
cnZhcmQgVC5ILiBDaGFuIFNjaG9vbCBvZiBQdWJsaWMgSGVhbHRoLCA2NzcgSHVudGluZ3RvbiBB
dmUsIEJvc3RvbiwgTUEgMDIxMTUsIFVTQS4gY2hyaXN0b3BoZXIuZHVnZ2FuQGNoaWxkcmVucy5o
YXJ2YXJkLmVkdS4mI3hEO0ZyaWVkbWFuIFNjaG9vbCBvZiBOdXRyaXRpb24gU2NpZW5jZSBhbmQg
UG9saWN5LCBUdWZ0cyBVbml2ZXJzaXR5LCAxNTAgSGFycmlzb24gQXZlLCBCb3N0b24sIE1BIDAy
MTExLCBVU0EuIERhcml1c2guTW96YWZmYXJpYW5AdHVmdHMuZWR1LiYjeEQ7RGVwYXJ0bWVudCBv
ZiBOdXRyaXRpb24sIEhhcnZhcmQgVC5ILiBDaGFuIFNjaG9vbCBvZiBQdWJsaWMgSGVhbHRoLCBI
YXJ2YXJkIFQuSC4gQ2hhbiBTY2hvb2wgb2YgUHVibGljIEhlYWx0aCwgNjc3IEh1bnRpbmd0b24g
QXZlLCBCb3N0b24sIE1BIDAyMTE1LCBVU0EuIG1pbmFAaHNwaC5oYXJ2YXJkLmVkdS4mI3hEO0Rl
cGFydG1lbnQgb2YgR2xvYmFsIEhlYWx0aCBhbmQgUG9wdWxhdGlvbiwgSGFydmFyZCBULkguIENo
YW4gU2Nob29sIG9mIFB1YmxpYyBIZWFsdGgsIDY3NyBIdW50aW5ndG9uIEF2ZSwgQm9zdG9uLCBN
QSAwMjExNSwgVVNBLiBtaW5hQGhzcGguaGFydmFyZC5lZHUuJiN4RDtEZXBhcnRtZW50IG9mIEVw
aWRlbWlvbG9neSwgSGFydmFyZCBULkguIENoYW4gU2Nob29sIG9mIFB1YmxpYyBIZWFsdGgsIDY3
NyBIdW50aW5ndG9uIEF2ZSwgQm9zdG9uLCBNQSAwMjExNSwgVVNBLiBtaW5hQGhzcGguaGFydmFy
ZC5lZHUuPC9hdXRoLWFkZHJlc3M+PHRpdGxlcz48dGl0bGU+RWZmZWN0IG9mIFppbmMgU3VwcGxl
bWVudGF0aW9uIG9uIEdyb3d0aCBPdXRjb21lcyBpbiBDaGlsZHJlbiB1bmRlciA1IFllYXJzIG9m
IEFnZTwvdGl0bGU+PHNlY29uZGFyeS10aXRsZT5OdXRyaWVudHM8L3NlY29uZGFyeS10aXRsZT48
L3RpdGxlcz48cGVyaW9kaWNhbD48ZnVsbC10aXRsZT5OdXRyaWVudHM8L2Z1bGwtdGl0bGU+PC9w
ZXJpb2RpY2FsPjx2b2x1bWU+MTA8L3ZvbHVtZT48bnVtYmVyPjM8L251bWJlcj48ZWRpdGlvbj4y
MDE4LzAzLzIxPC9lZGl0aW9uPjxrZXl3b3Jkcz48a2V5d29yZD5BZ2UgRmFjdG9yczwva2V5d29y
ZD48a2V5d29yZD5Cb2R5IEhlaWdodDwva2V5d29yZD48a2V5d29yZD4qQ2hpbGQgRGV2ZWxvcG1l
bnQ8L2tleXdvcmQ+PGtleXdvcmQ+KkNoaWxkIE51dHJpdGlvbmFsIFBoeXNpb2xvZ2ljYWwgUGhl
bm9tZW5hPC9rZXl3b3JkPjxrZXl3b3JkPkNoaWxkLCBQcmVzY2hvb2w8L2tleXdvcmQ+PGtleXdv
cmQ+KkRpZXRhcnkgU3VwcGxlbWVudHMvYWR2ZXJzZSBlZmZlY3RzPC9rZXl3b3JkPjxrZXl3b3Jk
PkZlbWFsZTwva2V5d29yZD48a2V5d29yZD5HZXN0YXRpb25hbCBBZ2U8L2tleXdvcmQ+PGtleXdv
cmQ+SHVtYW5zPC9rZXl3b3JkPjxrZXl3b3JkPkluZmFudDwva2V5d29yZD48a2V5d29yZD5JbmZh
bnQsIE5ld2Jvcm48L2tleXdvcmQ+PGtleXdvcmQ+TWFsZTwva2V5d29yZD48a2V5d29yZD5NYXRl
cm5hbCBOdXRyaXRpb25hbCBQaHlzaW9sb2dpY2FsIFBoZW5vbWVuYTwva2V5d29yZD48a2V5d29y
ZD4qTnV0cml0aW9uYWwgU3RhdHVzPC9rZXl3b3JkPjxrZXl3b3JkPlByZWduYW5jeTwva2V5d29y
ZD48a2V5d29yZD5QcmVuYXRhbCBDYXJlL21ldGhvZHM8L2tleXdvcmQ+PGtleXdvcmQ+UHJlbmF0
YWwgRXhwb3N1cmUgRGVsYXllZCBFZmZlY3RzPC9rZXl3b3JkPjxrZXl3b3JkPlJhbmRvbWl6ZWQg
Q29udHJvbGxlZCBUcmlhbHMgYXMgVG9waWM8L2tleXdvcmQ+PGtleXdvcmQ+UmVjb21tZW5kZWQg
RGlldGFyeSBBbGxvd2FuY2VzPC9rZXl3b3JkPjxrZXl3b3JkPldlaWdodCBHYWluPC9rZXl3b3Jk
PjxrZXl3b3JkPlppbmMvKmFkbWluaXN0cmF0aW9uICZhbXA7IGRvc2FnZS9hZHZlcnNlIGVmZmVj
dHM8L2tleXdvcmQ+PGtleXdvcmQ+Y2hpbGQgZ3Jvd3RoPC9rZXl3b3JkPjxrZXl3b3JkPm1ldGEt
YW5hbHlzaXM8L2tleXdvcmQ+PGtleXdvcmQ+cmFuZG9taXplZCBjb250cm9sbGVkIHRyaWFsPC9r
ZXl3b3JkPjxrZXl3b3JkPnN5c3RlbWF0aWMgcmV2aWV3PC9rZXl3b3JkPjxrZXl3b3JkPnppbmMg
c3VwcGxlbWVudGF0aW9uPC9rZXl3b3JkPjxrZXl3b3JkPkhhYXMgQXZvY2FkbyBCb2FyZCwgQXN0
cmEgWmVuZWNhLCBHT0VELCBEU00sIFBvbGxvY2sgQ29tbXVuaWNhdGlvbnMsIGFuZCBMaWZlPC9r
ZXl3b3JkPjxrZXl3b3JkPlNjaWVuY2VzIFJlc2VhcmNoIE9yZ2FuaXphdGlvbjwva2V5d29yZD48
a2V5d29yZD5jaGFwdGVyIHJveWFsdGllcyBmcm9tIFVwVG9EYXRlPC9rZXl3b3JkPjxrZXl3b3Jk
PmFuZCBzY2llbnRpZmljPC9rZXl3b3JkPjxrZXl3b3JkPmFkdmlzb3J5IGJvYXJkIGZvciBFbHlz
aXVtIEhlYWx0aCwgYW5kIE9tYWRhIEhlYWx0aC4gSGFydmFyZCBVbml2ZXJzaXR5IGhhcyBiZWVu
PC9rZXl3b3JkPjxrZXl3b3JkPmFzc2lnbmVkIHBhdGVudCBVUzg4ODk3MzkgQjIsIGxpc3Rpbmcg
TW96YWZmYXJpYW4gYXMgb25lIG9mIHRocmVlIGNvLWludmVudG9ycyw8L2tleXdvcmQ+PGtleXdv
cmQ+Zm9yICZxdW90O1VzZSBvZiB0cmFuc3BhbG1pdG9sZWljIGFjaWQgaW4gaWRlbnRpZnlpbmcg
YW5kIHRyZWF0aW5nIG1ldGFib2xpYyBkaXNlYXNlJnF1b3Q7Ljwva2V5d29yZD48a2V5d29yZD5E
dWdnYW4gcmVwb3J0cyByb3lhbHRpZXMgZnJvbSBVcFRvRGF0ZSwgYW5kIFBNUEg8L2tleXdvcmQ+
PGtleXdvcmQ+QWxsIG90aGVyIGF1dGhvcnMgZGVjbGFyZSBubzwva2V5d29yZD48a2V5d29yZD5j
b25mbGljdCBvZiBpbnRlcmVzdC4gVGhlIHN0dWR5IGlzIHNwb25zb3JlZCBieSBCaWxsICZhbXA7
IE1lbGluZGEgR2F0ZXMgRm91bmRhdGlvbiw8L2tleXdvcmQ+PGtleXdvcmQ+Z3JhbnQgbnVtYmVy
IE9QUDEwOTk1MDUuIENQRCB3YXMgc3VwcG9ydGVkIGluIHBhcnQgYnkgTklIIGdyYW50cyBLMjRE
SzEwNDY3NiBhbmQ8L2tleXdvcmQ+PGtleXdvcmQ+MlAzMERLMDQwNTYxLiBUaGUgZm91bmRpbmcg
c3BvbnNvcnMgaGFkIG5vIHJvbGUgaW4gdGhlIGRlc2lnbiBvZiB0aGUgc3R1ZHk8L2tleXdvcmQ+
PGtleXdvcmQ+aW48L2tleXdvcmQ+PGtleXdvcmQ+dGhlIGNvbGxlY3Rpb24sIGFuYWx5c2VzLCBv
ciBpbnRlcnByZXRhdGlvbiBvZiBkYXRhPC9rZXl3b3JkPjxrZXl3b3JkPmluIHRoZSB3cml0aW5n
IG9mIHRoZTwva2V5d29yZD48a2V5d29yZD5tYW51c2NyaXB0LCBhbmQgaW4gdGhlIGRlY2lzaW9u
IHRvIHB1Ymxpc2ggdGhlIHJlc3VsdHMuPC9rZXl3b3JkPjwva2V5d29yZHM+PGRhdGVzPjx5ZWFy
PjIwMTg8L3llYXI+PHB1Yi1kYXRlcz48ZGF0ZT5NYXIgMjA8L2RhdGU+PC9wdWItZGF0ZXM+PC9k
YXRlcz48aXNibj4yMDcyLTY2NDMgKEVsZWN0cm9uaWMpJiN4RDsyMDcyLTY2NDMgKExpbmtpbmcp
PC9pc2JuPjxhY2Nlc3Npb24tbnVtPjI5NTU4MzgzPC9hY2Nlc3Npb24tbnVtPjx1cmxzPjxyZWxh
dGVkLXVybHM+PHVybD5odHRwczovL3d3dy5uY2JpLm5sbS5uaWguZ292L3B1Ym1lZC8yOTU1ODM4
MzwvdXJsPjwvcmVsYXRlZC11cmxzPjwvdXJscz48Y3VzdG9tMj5QTUM1ODcyNzk1PC9jdXN0b20y
PjxlbGVjdHJvbmljLXJlc291cmNlLW51bT4xMC4zMzkwL251MTAwMzAzNzc8L2VsZWN0cm9uaWMt
cmVzb3VyY2UtbnVtPjwvcmVjb3JkPjwvQ2l0ZT48L0VuZE5vdGU+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207</w:t>
            </w:r>
            <w:r w:rsidR="00BE7640">
              <w:fldChar w:fldCharType="end"/>
            </w:r>
          </w:p>
          <w:p w14:paraId="42FC3931" w14:textId="4938EA72" w:rsidR="00DE2A9C" w:rsidRDefault="00DE2A9C" w:rsidP="003523C5">
            <w:pPr>
              <w:keepNext/>
            </w:pPr>
            <w:r w:rsidRPr="00E11CB4">
              <w:t>Australia, Bangladesh, Chile, China, Denmark, Egypt, Ghana, India, Indonesia, Iran, Nepal, Pakistan, Peru, Tanzania, United Kingdom, United States</w:t>
            </w:r>
          </w:p>
        </w:tc>
        <w:tc>
          <w:tcPr>
            <w:tcW w:w="1247" w:type="dxa"/>
          </w:tcPr>
          <w:p w14:paraId="6BB87719" w14:textId="77777777" w:rsidR="003222CF" w:rsidRDefault="001A4976" w:rsidP="000F71A9">
            <w:pPr>
              <w:keepNext/>
            </w:pPr>
            <w:r>
              <w:t>24 studies</w:t>
            </w:r>
          </w:p>
          <w:p w14:paraId="612AEAE9" w14:textId="1EBDF484" w:rsidR="00DF3121" w:rsidRDefault="00DF3121" w:rsidP="000F71A9">
            <w:pPr>
              <w:keepNext/>
            </w:pPr>
            <w:r>
              <w:t>13,167 women</w:t>
            </w:r>
          </w:p>
        </w:tc>
        <w:tc>
          <w:tcPr>
            <w:tcW w:w="4961" w:type="dxa"/>
          </w:tcPr>
          <w:p w14:paraId="1A5E3ABE" w14:textId="778B4401" w:rsidR="00871EE2" w:rsidRPr="00871EE2" w:rsidRDefault="00871EE2" w:rsidP="008023BB">
            <w:r>
              <w:rPr>
                <w:b/>
              </w:rPr>
              <w:t xml:space="preserve">Aim: </w:t>
            </w:r>
            <w:r w:rsidRPr="00871EE2">
              <w:t>to syste</w:t>
            </w:r>
            <w:r w:rsidR="008023BB">
              <w:t>matically review and meta-analys</w:t>
            </w:r>
            <w:r w:rsidRPr="00871EE2">
              <w:t xml:space="preserve">e </w:t>
            </w:r>
            <w:r w:rsidR="008023BB">
              <w:t>RCT</w:t>
            </w:r>
            <w:r w:rsidRPr="00871EE2">
              <w:t>s evaluating effects of preventive zinc supplementation for 3 months or longer during</w:t>
            </w:r>
            <w:r>
              <w:t xml:space="preserve"> </w:t>
            </w:r>
            <w:r w:rsidRPr="00871EE2">
              <w:t>pregnancy</w:t>
            </w:r>
          </w:p>
          <w:p w14:paraId="7617AAEF" w14:textId="0D355065" w:rsidR="003222CF" w:rsidRDefault="008023BB" w:rsidP="007B62DE">
            <w:pPr>
              <w:rPr>
                <w:b/>
              </w:rPr>
            </w:pPr>
            <w:r>
              <w:rPr>
                <w:b/>
              </w:rPr>
              <w:t>Population</w:t>
            </w:r>
            <w:r w:rsidRPr="00B77378">
              <w:t xml:space="preserve">: </w:t>
            </w:r>
            <w:r w:rsidR="00B77378" w:rsidRPr="00B77378">
              <w:t>Pregnant women</w:t>
            </w:r>
          </w:p>
          <w:p w14:paraId="4682CBE1" w14:textId="479E5D3B" w:rsidR="008023BB" w:rsidRPr="007B62DE" w:rsidRDefault="008023BB" w:rsidP="007B62DE">
            <w:pPr>
              <w:rPr>
                <w:b/>
              </w:rPr>
            </w:pPr>
            <w:r>
              <w:rPr>
                <w:b/>
              </w:rPr>
              <w:t>Intervention</w:t>
            </w:r>
            <w:r w:rsidRPr="00DF61D1">
              <w:t>:</w:t>
            </w:r>
            <w:r w:rsidR="00E11CB4" w:rsidRPr="00DF61D1">
              <w:t xml:space="preserve"> 10–50 mg/day for </w:t>
            </w:r>
            <w:r w:rsidR="00DF61D1" w:rsidRPr="00DF61D1">
              <w:t>a mean duration of 22.9 weeks</w:t>
            </w:r>
          </w:p>
        </w:tc>
        <w:tc>
          <w:tcPr>
            <w:tcW w:w="4536" w:type="dxa"/>
          </w:tcPr>
          <w:p w14:paraId="7D01B9B8" w14:textId="77777777" w:rsidR="003222CF" w:rsidRDefault="003222CF" w:rsidP="000F71A9">
            <w:pPr>
              <w:keepNext/>
            </w:pPr>
            <w:r>
              <w:t>Intervention vs control:</w:t>
            </w:r>
          </w:p>
          <w:p w14:paraId="720BC06A" w14:textId="148C4FDA" w:rsidR="003222CF" w:rsidRDefault="003222CF" w:rsidP="003222CF">
            <w:pPr>
              <w:pStyle w:val="bullet"/>
            </w:pPr>
            <w:r>
              <w:t>Birthweight: WMD 0.08 kg (–0.05 to</w:t>
            </w:r>
            <w:r w:rsidRPr="007D6F28">
              <w:t xml:space="preserve"> 0.22</w:t>
            </w:r>
            <w:r>
              <w:t>)</w:t>
            </w:r>
          </w:p>
          <w:p w14:paraId="22D44B69" w14:textId="4C3E1B32" w:rsidR="003222CF" w:rsidRDefault="003222CF" w:rsidP="003222CF">
            <w:pPr>
              <w:pStyle w:val="bullet"/>
            </w:pPr>
            <w:r>
              <w:t xml:space="preserve">Low birthweight: </w:t>
            </w:r>
            <w:r w:rsidRPr="007D6F28">
              <w:t>RR 0.76</w:t>
            </w:r>
            <w:r>
              <w:t xml:space="preserve"> (</w:t>
            </w:r>
            <w:r w:rsidRPr="007D6F28">
              <w:t>0.52</w:t>
            </w:r>
            <w:r>
              <w:t xml:space="preserve"> to </w:t>
            </w:r>
            <w:r w:rsidRPr="007D6F28">
              <w:t>1.11</w:t>
            </w:r>
            <w:r>
              <w:t>)</w:t>
            </w:r>
          </w:p>
        </w:tc>
        <w:tc>
          <w:tcPr>
            <w:tcW w:w="1843" w:type="dxa"/>
          </w:tcPr>
          <w:p w14:paraId="455DB85C" w14:textId="718720B1" w:rsidR="003222CF" w:rsidRPr="00D77EAD" w:rsidRDefault="00415382" w:rsidP="002747EA">
            <w:pPr>
              <w:keepNext/>
            </w:pPr>
            <w:r>
              <w:t>Considerable overlap with</w:t>
            </w:r>
            <w:r w:rsidR="00E41F5F">
              <w:t xml:space="preserve"> Ota et al 2015;</w:t>
            </w:r>
            <w:r w:rsidR="00BE7640">
              <w:fldChar w:fldCharType="begin"/>
            </w:r>
            <w:r w:rsidR="002747EA">
              <w:instrText xml:space="preserve"> ADDIN EN.CITE &lt;EndNote&gt;&lt;Cite&gt;&lt;Author&gt;Ota&lt;/Author&gt;&lt;Year&gt;2015&lt;/Year&gt;&lt;RecNum&gt;1193&lt;/RecNum&gt;&lt;DisplayText&gt;&lt;style face="superscript" font="Trebuchet MS" size="9"&gt;206&lt;/style&gt;&lt;/DisplayText&gt;&lt;record&gt;&lt;rec-number&gt;1193&lt;/rec-number&gt;&lt;foreign-keys&gt;&lt;key app="EN" db-id="exvasrfx2dtraoesasxp2szsxa2df502592x" timestamp="1559532928"&gt;1193&lt;/key&gt;&lt;key app="ENWeb" db-id=""&gt;0&lt;/key&gt;&lt;/foreign-keys&gt;&lt;ref-type name="Journal Article"&gt;17&lt;/ref-type&gt;&lt;contributors&gt;&lt;authors&gt;&lt;author&gt;Ota, E.,&lt;/author&gt;&lt;author&gt;Mori, R.,&lt;/author&gt;&lt;author&gt;Middleton, P.,&lt;/author&gt;&lt;author&gt;Tobe-Gai, R.,&lt;/author&gt;&lt;author&gt;Mahomed, K.,&lt;/author&gt;&lt;author&gt;Miyazaki, C.,&lt;/author&gt;&lt;author&gt;Bhutta, Z.A.,&lt;/author&gt;&lt;/authors&gt;&lt;/contributors&gt;&lt;titles&gt;&lt;title&gt;Zinc supplementation for improving pregnancy and infant outcome&lt;/title&gt;&lt;secondary-title&gt;Cochrane Database of Systematic Reviews&lt;/secondary-title&gt;&lt;/titles&gt;&lt;periodical&gt;&lt;full-title&gt;Cochrane Database of Systematic Reviews&lt;/full-title&gt;&lt;/periodical&gt;&lt;dates&gt;&lt;year&gt;2015&lt;/year&gt;&lt;/dates&gt;&lt;isbn&gt;14651858&lt;/isbn&gt;&lt;urls&gt;&lt;/urls&gt;&lt;electronic-resource-num&gt;10.1002/14651858.CD000230.pub5&lt;/electronic-resource-num&gt;&lt;/record&gt;&lt;/Cite&gt;&lt;/EndNote&gt;</w:instrText>
            </w:r>
            <w:r w:rsidR="00BE7640">
              <w:fldChar w:fldCharType="separate"/>
            </w:r>
            <w:r w:rsidR="002747EA" w:rsidRPr="002747EA">
              <w:rPr>
                <w:noProof/>
                <w:vertAlign w:val="superscript"/>
              </w:rPr>
              <w:t>206</w:t>
            </w:r>
            <w:r w:rsidR="00BE7640">
              <w:fldChar w:fldCharType="end"/>
            </w:r>
            <w:r>
              <w:t xml:space="preserve"> includes some studies that were excluded from the Cochrane review.</w:t>
            </w:r>
          </w:p>
        </w:tc>
      </w:tr>
      <w:tr w:rsidR="009F491F" w:rsidRPr="00D77EAD" w14:paraId="64328097" w14:textId="77777777" w:rsidTr="0057113C">
        <w:trPr>
          <w:cantSplit/>
        </w:trPr>
        <w:tc>
          <w:tcPr>
            <w:tcW w:w="1305" w:type="dxa"/>
          </w:tcPr>
          <w:p w14:paraId="211D1F56" w14:textId="596AA7B9" w:rsidR="009F491F" w:rsidRDefault="009F491F" w:rsidP="002747EA">
            <w:pPr>
              <w:keepNext/>
            </w:pPr>
            <w:r>
              <w:t>Oh et al 2020</w:t>
            </w:r>
            <w:r w:rsidR="00D07346">
              <w:fldChar w:fldCharType="begin"/>
            </w:r>
            <w:r w:rsidR="002747EA">
              <w:instrText xml:space="preserve"> ADDIN EN.CITE &lt;EndNote&gt;&lt;Cite&gt;&lt;Author&gt;Oh&lt;/Author&gt;&lt;Year&gt;2020&lt;/Year&gt;&lt;RecNum&gt;1873&lt;/RecNum&gt;&lt;DisplayText&gt;&lt;style face="superscript" font="Trebuchet MS" size="9"&gt;208&lt;/style&gt;&lt;/DisplayText&gt;&lt;record&gt;&lt;rec-number&gt;1873&lt;/rec-number&gt;&lt;foreign-keys&gt;&lt;key app="EN" db-id="exvasrfx2dtraoesasxp2szsxa2df502592x" timestamp="1588138629"&gt;1873&lt;/key&gt;&lt;key app="ENWeb" db-id=""&gt;0&lt;/key&gt;&lt;/foreign-keys&gt;&lt;ref-type name="Journal Article"&gt;17&lt;/ref-type&gt;&lt;contributors&gt;&lt;authors&gt;&lt;author&gt;Oh, C.&lt;/author&gt;&lt;author&gt;Keats, E. C.&lt;/author&gt;&lt;author&gt;Bhutta, Z. A.&lt;/author&gt;&lt;/authors&gt;&lt;/contributors&gt;&lt;auth-address&gt;Centre for Global Child Health, The Hospital for Sick Children, Toronto, ON M5G 0A4, Canada.&amp;#xD;Centre of Excellence in Women and Child&amp;apos;s Health, Aga Khan University, Karachi 74800, Pakistan.&lt;/auth-address&gt;&lt;titles&gt;&lt;title&gt;Vitamin and mineral supplementation during pregnancy on maternal, birth, child health and development outcomes in low- and middle-income countries: a systematic review and meta-analysis&lt;/title&gt;&lt;secondary-title&gt;Nutrients&lt;/secondary-title&gt;&lt;/titles&gt;&lt;periodical&gt;&lt;full-title&gt;Nutrients&lt;/full-title&gt;&lt;/periodical&gt;&lt;volume&gt;12&lt;/volume&gt;&lt;number&gt;2&lt;/number&gt;&lt;edition&gt;2020/02/23&lt;/edition&gt;&lt;keywords&gt;&lt;keyword&gt;developing countries&lt;/keyword&gt;&lt;keyword&gt;micronutrient supplementation&lt;/keyword&gt;&lt;keyword&gt;pregnancy&lt;/keyword&gt;&lt;keyword&gt;vitamin supplementation&lt;/keyword&gt;&lt;/keywords&gt;&lt;dates&gt;&lt;year&gt;2020&lt;/year&gt;&lt;pub-dates&gt;&lt;date&gt;Feb 14&lt;/date&gt;&lt;/pub-dates&gt;&lt;/dates&gt;&lt;isbn&gt;2072-6643 (Electronic)&amp;#xD;2072-6643 (Linking)&lt;/isbn&gt;&lt;accession-num&gt;32075071&lt;/accession-num&gt;&lt;urls&gt;&lt;related-urls&gt;&lt;url&gt;https://www.ncbi.nlm.nih.gov/pubmed/32075071&lt;/url&gt;&lt;/related-urls&gt;&lt;/urls&gt;&lt;custom2&gt;PMC7071347&lt;/custom2&gt;&lt;electronic-resource-num&gt;10.3390/nu12020491&lt;/electronic-resource-num&gt;&lt;/record&gt;&lt;/Cite&gt;&lt;/EndNote&gt;</w:instrText>
            </w:r>
            <w:r w:rsidR="00D07346">
              <w:fldChar w:fldCharType="separate"/>
            </w:r>
            <w:r w:rsidR="002747EA" w:rsidRPr="002747EA">
              <w:rPr>
                <w:noProof/>
                <w:vertAlign w:val="superscript"/>
              </w:rPr>
              <w:t>208</w:t>
            </w:r>
            <w:r w:rsidR="00D07346">
              <w:fldChar w:fldCharType="end"/>
            </w:r>
          </w:p>
        </w:tc>
        <w:tc>
          <w:tcPr>
            <w:tcW w:w="1247" w:type="dxa"/>
          </w:tcPr>
          <w:p w14:paraId="7547ED59" w14:textId="329279E7" w:rsidR="009F491F" w:rsidRDefault="009F491F" w:rsidP="000F71A9">
            <w:pPr>
              <w:keepNext/>
            </w:pPr>
            <w:r>
              <w:t>2 studies</w:t>
            </w:r>
          </w:p>
        </w:tc>
        <w:tc>
          <w:tcPr>
            <w:tcW w:w="4961" w:type="dxa"/>
          </w:tcPr>
          <w:p w14:paraId="1ACB71AB" w14:textId="419AD6CA" w:rsidR="009F491F" w:rsidRPr="009F491F" w:rsidRDefault="009F491F" w:rsidP="00BD61CC">
            <w:r w:rsidRPr="00BD61CC">
              <w:rPr>
                <w:b/>
              </w:rPr>
              <w:t>Aim</w:t>
            </w:r>
            <w:r>
              <w:t>: T</w:t>
            </w:r>
            <w:r w:rsidRPr="009F491F">
              <w:t>o compile evidence from</w:t>
            </w:r>
            <w:r>
              <w:t xml:space="preserve"> both efficacy and eff</w:t>
            </w:r>
            <w:r w:rsidRPr="009F491F">
              <w:t>ectiveness trials, evaluating</w:t>
            </w:r>
            <w:r>
              <w:t xml:space="preserve"> diff</w:t>
            </w:r>
            <w:r w:rsidRPr="009F491F">
              <w:t>erent supplementation interventions on maternal, birth, child health, and developmental outcomes.</w:t>
            </w:r>
          </w:p>
          <w:p w14:paraId="636957A1" w14:textId="711E0023" w:rsidR="009F491F" w:rsidRPr="00BD61CC" w:rsidRDefault="009F491F" w:rsidP="008023BB">
            <w:r w:rsidRPr="00BD61CC">
              <w:rPr>
                <w:b/>
              </w:rPr>
              <w:t>Methods</w:t>
            </w:r>
            <w:r>
              <w:t>: We evaluated randomis</w:t>
            </w:r>
            <w:r w:rsidRPr="009F491F">
              <w:t>ed controlled trials and quasi-experimental studies published since 1995</w:t>
            </w:r>
            <w:r>
              <w:t xml:space="preserve"> </w:t>
            </w:r>
            <w:r w:rsidRPr="009F491F">
              <w:t>in peer-reviewed and grey literature</w:t>
            </w:r>
            <w:r>
              <w:t>.</w:t>
            </w:r>
          </w:p>
        </w:tc>
        <w:tc>
          <w:tcPr>
            <w:tcW w:w="4536" w:type="dxa"/>
          </w:tcPr>
          <w:p w14:paraId="2A9547EF" w14:textId="776D2E34" w:rsidR="009F491F" w:rsidRPr="009F491F" w:rsidRDefault="009F491F" w:rsidP="00BD61CC">
            <w:r>
              <w:t>Zinc versus placebo:</w:t>
            </w:r>
          </w:p>
          <w:p w14:paraId="5B53B5B2" w14:textId="7AC52018" w:rsidR="009F491F" w:rsidRPr="009F491F" w:rsidRDefault="009F491F" w:rsidP="00BD61CC">
            <w:pPr>
              <w:pStyle w:val="bullet"/>
            </w:pPr>
            <w:r w:rsidRPr="009F491F">
              <w:t>maternal serum/ plasma zinc concentration</w:t>
            </w:r>
            <w:r>
              <w:t>:</w:t>
            </w:r>
            <w:r w:rsidRPr="009F491F">
              <w:t xml:space="preserve"> </w:t>
            </w:r>
            <w:r w:rsidRPr="00BD61CC">
              <w:rPr>
                <w:rFonts w:eastAsia="Times New Roman"/>
                <w:lang w:val="en-AU"/>
              </w:rPr>
              <w:t>MD</w:t>
            </w:r>
            <w:r>
              <w:rPr>
                <w:rFonts w:eastAsia="Times New Roman"/>
                <w:lang w:val="en-AU"/>
              </w:rPr>
              <w:t> </w:t>
            </w:r>
            <w:r w:rsidRPr="009F491F">
              <w:rPr>
                <w:rFonts w:eastAsia="Times New Roman"/>
                <w:lang w:val="en-AU"/>
              </w:rPr>
              <w:t>0.86 umol/L, 95%</w:t>
            </w:r>
            <w:r w:rsidRPr="00BD61CC">
              <w:rPr>
                <w:rFonts w:eastAsia="Times New Roman"/>
                <w:lang w:val="en-AU"/>
              </w:rPr>
              <w:t xml:space="preserve">CI 0.67 to 1.05; </w:t>
            </w:r>
            <w:r>
              <w:rPr>
                <w:rFonts w:eastAsia="Times New Roman"/>
                <w:lang w:val="en-AU"/>
              </w:rPr>
              <w:t xml:space="preserve">2 </w:t>
            </w:r>
            <w:r w:rsidRPr="009F491F">
              <w:rPr>
                <w:rFonts w:eastAsia="Times New Roman"/>
                <w:lang w:val="en-AU"/>
              </w:rPr>
              <w:t>studies</w:t>
            </w:r>
          </w:p>
        </w:tc>
        <w:tc>
          <w:tcPr>
            <w:tcW w:w="1843" w:type="dxa"/>
          </w:tcPr>
          <w:p w14:paraId="356E5152" w14:textId="77777777" w:rsidR="009F491F" w:rsidRDefault="009F491F" w:rsidP="00F86F38">
            <w:pPr>
              <w:keepNext/>
            </w:pPr>
          </w:p>
        </w:tc>
      </w:tr>
    </w:tbl>
    <w:p w14:paraId="15994C34" w14:textId="1FF6CDB9" w:rsidR="00461769" w:rsidRPr="009740A7" w:rsidRDefault="009C163D" w:rsidP="00BD61CC">
      <w:pPr>
        <w:pStyle w:val="TableName"/>
        <w:ind w:left="1134" w:hanging="1134"/>
      </w:pPr>
      <w:bookmarkStart w:id="98" w:name="_Toc40956633"/>
      <w:r>
        <w:t xml:space="preserve">Q3 </w:t>
      </w:r>
      <w:r w:rsidR="00C97429">
        <w:t>Harms and benefits of zinc supplementation</w:t>
      </w:r>
      <w:r w:rsidR="00461769" w:rsidRPr="009740A7">
        <w:t xml:space="preserve"> </w:t>
      </w:r>
      <w:r w:rsidR="00BC1D42">
        <w:t xml:space="preserve">in pregnancy </w:t>
      </w:r>
      <w:r w:rsidR="00D56FB3">
        <w:t>— RCT</w:t>
      </w:r>
      <w:r w:rsidR="00461769">
        <w:t>s</w:t>
      </w:r>
      <w:bookmarkEnd w:id="9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5: Q3 Harms and benefits of zinc supplementation in pregnancy — RCTs"/>
      </w:tblPr>
      <w:tblGrid>
        <w:gridCol w:w="1305"/>
        <w:gridCol w:w="1528"/>
        <w:gridCol w:w="4680"/>
        <w:gridCol w:w="4536"/>
        <w:gridCol w:w="1843"/>
      </w:tblGrid>
      <w:tr w:rsidR="00461769" w:rsidRPr="00F350A6" w14:paraId="338C7C59" w14:textId="77777777" w:rsidTr="000F71A9">
        <w:trPr>
          <w:cantSplit/>
          <w:tblHeader/>
        </w:trPr>
        <w:tc>
          <w:tcPr>
            <w:tcW w:w="1305" w:type="dxa"/>
          </w:tcPr>
          <w:p w14:paraId="350D3557" w14:textId="77777777" w:rsidR="00461769" w:rsidRPr="00F350A6" w:rsidRDefault="00461769" w:rsidP="00C97429">
            <w:pPr>
              <w:keepNext/>
              <w:keepLines/>
              <w:rPr>
                <w:b/>
              </w:rPr>
            </w:pPr>
            <w:r>
              <w:rPr>
                <w:b/>
              </w:rPr>
              <w:t>Study ref</w:t>
            </w:r>
          </w:p>
        </w:tc>
        <w:tc>
          <w:tcPr>
            <w:tcW w:w="1528" w:type="dxa"/>
          </w:tcPr>
          <w:p w14:paraId="56C42B43" w14:textId="77777777" w:rsidR="00461769" w:rsidRPr="00F350A6" w:rsidRDefault="00461769" w:rsidP="00C97429">
            <w:pPr>
              <w:keepNext/>
              <w:keepLines/>
              <w:rPr>
                <w:b/>
              </w:rPr>
            </w:pPr>
            <w:r>
              <w:rPr>
                <w:b/>
              </w:rPr>
              <w:t>N</w:t>
            </w:r>
          </w:p>
        </w:tc>
        <w:tc>
          <w:tcPr>
            <w:tcW w:w="4680" w:type="dxa"/>
          </w:tcPr>
          <w:p w14:paraId="3EBC8F51" w14:textId="06BAC070" w:rsidR="00461769" w:rsidRPr="00F350A6" w:rsidRDefault="00BE7640" w:rsidP="00DE2A9C">
            <w:pPr>
              <w:keepNext/>
              <w:keepLines/>
              <w:rPr>
                <w:b/>
              </w:rPr>
            </w:pPr>
            <w:r>
              <w:rPr>
                <w:b/>
              </w:rPr>
              <w:t>Aim</w:t>
            </w:r>
            <w:r w:rsidR="00461769">
              <w:rPr>
                <w:b/>
              </w:rPr>
              <w:t>/</w:t>
            </w:r>
            <w:r w:rsidR="00461769" w:rsidRPr="00F350A6">
              <w:rPr>
                <w:b/>
              </w:rPr>
              <w:t>population</w:t>
            </w:r>
            <w:r w:rsidR="00461769">
              <w:rPr>
                <w:b/>
              </w:rPr>
              <w:t>/</w:t>
            </w:r>
            <w:r>
              <w:rPr>
                <w:b/>
              </w:rPr>
              <w:t>intervention</w:t>
            </w:r>
          </w:p>
        </w:tc>
        <w:tc>
          <w:tcPr>
            <w:tcW w:w="4536" w:type="dxa"/>
          </w:tcPr>
          <w:p w14:paraId="62D2F86E" w14:textId="77777777" w:rsidR="00461769" w:rsidRPr="00F350A6" w:rsidRDefault="00461769" w:rsidP="00C97429">
            <w:pPr>
              <w:keepNext/>
              <w:keepLines/>
              <w:rPr>
                <w:b/>
              </w:rPr>
            </w:pPr>
            <w:r>
              <w:rPr>
                <w:b/>
              </w:rPr>
              <w:t>Results</w:t>
            </w:r>
          </w:p>
        </w:tc>
        <w:tc>
          <w:tcPr>
            <w:tcW w:w="1843" w:type="dxa"/>
          </w:tcPr>
          <w:p w14:paraId="52918447" w14:textId="77777777" w:rsidR="00461769" w:rsidRPr="00F350A6" w:rsidRDefault="00461769" w:rsidP="00C97429">
            <w:pPr>
              <w:keepNext/>
              <w:keepLines/>
              <w:rPr>
                <w:b/>
              </w:rPr>
            </w:pPr>
            <w:r>
              <w:rPr>
                <w:b/>
              </w:rPr>
              <w:t>Comments</w:t>
            </w:r>
          </w:p>
        </w:tc>
      </w:tr>
      <w:tr w:rsidR="00AD0054" w:rsidRPr="00D77EAD" w14:paraId="1863C7FF" w14:textId="77777777" w:rsidTr="000F71A9">
        <w:trPr>
          <w:cantSplit/>
        </w:trPr>
        <w:tc>
          <w:tcPr>
            <w:tcW w:w="1305" w:type="dxa"/>
          </w:tcPr>
          <w:p w14:paraId="0E11B037" w14:textId="7D2FBC3B" w:rsidR="00AD0054" w:rsidRDefault="00AD0054" w:rsidP="002747EA">
            <w:r>
              <w:t>Noor et al 2019</w:t>
            </w:r>
            <w:r w:rsidR="00D07346">
              <w:fldChar w:fldCharType="begin">
                <w:fldData xml:space="preserve">PEVuZE5vdGU+PENpdGU+PEF1dGhvcj5Ob29yPC9BdXRob3I+PFllYXI+MjAyMDwvWWVhcj48UmVj
TnVtPjE4NzQ8L1JlY051bT48RGlzcGxheVRleHQ+PHN0eWxlIGZhY2U9InN1cGVyc2NyaXB0IiBm
b250PSJUcmVidWNoZXQgTVMiIHNpemU9IjkiPjIxMTwvc3R5bGU+PC9EaXNwbGF5VGV4dD48cmVj
b3JkPjxyZWMtbnVtYmVyPjE4NzQ8L3JlYy1udW1iZXI+PGZvcmVpZ24ta2V5cz48a2V5IGFwcD0i
RU4iIGRiLWlkPSJleHZhc3JmeDJkdHJhb2VzYXN4cDJzenN4YTJkZjUwMjU5MngiIHRpbWVzdGFt
cD0iMTU4ODEzODc2NiI+MTg3NDwva2V5PjxrZXkgYXBwPSJFTldlYiIgZGItaWQ9IiI+MDwva2V5
PjwvZm9yZWlnbi1rZXlzPjxyZWYtdHlwZSBuYW1lPSJKb3VybmFsIEFydGljbGUiPjE3PC9yZWYt
dHlwZT48Y29udHJpYnV0b3JzPjxhdXRob3JzPjxhdXRob3I+Tm9vciwgUi4gQS48L2F1dGhvcj48
YXV0aG9yPkFiaW95ZSwgQS4gSS48L2F1dGhvcj48YXV0aG9yPkRhcmxpbmcsIEEuIE0uPC9hdXRo
b3I+PGF1dGhvcj5IZXJ0em1hcmssIEUuPC9hdXRob3I+PGF1dGhvcj5BYm91ZCwgUy48L2F1dGhv
cj48YXV0aG9yPlByZW1qaSwgWi48L2F1dGhvcj48YXV0aG9yPk11Z3VzaSwgRi4gTS48L2F1dGhv
cj48YXV0aG9yPkR1Z2dhbiwgQy48L2F1dGhvcj48YXV0aG9yPlN1ZGZlbGQsIEMuIFIuPC9hdXRo
b3I+PGF1dGhvcj5TcGllZ2VsbWFuLCBELjwvYXV0aG9yPjxhdXRob3I+RmF3emksIFcuPC9hdXRo
b3I+PC9hdXRob3JzPjwvY29udHJpYnV0b3JzPjxhdXRoLWFkZHJlc3M+RGVwYXJ0bWVudCBvZiBO
dXRyaXRpb24sIEhhcnZhcmQgVEggQ2hhbiBTY2hvb2wgb2YgUHVibGljIEhlYWx0aCwgQm9zdG9u
LCBNQSwgVVNBLiYjeEQ7RGVwYXJ0bWVudCBvZiBHbG9iYWwgSGVhbHRoIGFuZCBQb3B1bGF0aW9u
LCBIYXJ2YXJkIFRIIENoYW4gU2Nob29sIG9mIFB1YmxpYyBIZWFsdGgsIEJvc3RvbiwgTUEsIFVT
QS4mI3hEO0RlcGFydG1lbnQgb2YgTWljcm9iaW9sb2d5IGFuZCBJbW11bm9sb2d5LCBTY2hvb2wg
b2YgTWVkaWNpbmUsIE11aGltYmlsaSBVbml2ZXJzaXR5IG9mIEhlYWx0aCBhbmQgQWxsaWVkIFNj
aWVuY2VzLCBEYXIgZXMgU2FsYWFtLCBUYW56YW5pYS4mI3hEO0RlcGFydG1lbnQgb2YgUGFyYXNp
dG9sb2d5L01lZGljYWwgRW50b21vbG9neSwgU2Nob29sIG9mIFB1YmxpYyBIZWFsdGggYW5kIFNv
Y2lhbCBTY2llbmNlcywgTXVoaW1iaWxpIFVuaXZlcnNpdHkgb2YgSGVhbHRoIGFuZCBBbGxpZWQg
U2NpZW5jZXMsIERhciBlcyBTYWxhYW0sIFRhbnphbmlhLiYjeEQ7RGVwYXJ0bWVudCBvZiBJbnRl
cm5hbCBNZWRpY2luZSwgTXVoaW1iaWxpIFVuaXZlcnNpdHkgb2YgSGVhbHRoIGFuZCBBbGxpZWQg
U2NpZW5jZXMsIERhciBlcyBTYWxhYW0sIFRhbnphbmlhLiYjeEQ7RGl2aXNpb24gb2YgR2FzdHJv
ZW50ZXJvbG9neSwgSGVwYXRvbG9neSBhbmQgTnV0cml0aW9uLCBCb3N0b24gQ2hpbGRyZW4mYXBv
cztzIEhvc3BpdGFsLCBIYXJ2YXJkIE1lZGljYWwgU2Nob29sLCBCb3N0b24sIE1BLCBVU0EuJiN4
RDtEZXBhcnRtZW50IG9mIEVwaWRlbWlvbG9neSwgSGFydmFyZCBUSCBDaGFuIFNjaG9vbCBvZiBQ
dWJsaWMgSGVhbHRoLCBCb3N0b24sIE1BLCBVU0EuJiN4RDtEZXBhcnRtZW50IG9mIEJpb3N0YXRp
c3RpY3MsIEhhcnZhcmQgVEggQ2hhbiBTY2hvb2wgb2YgUHVibGljIEhlYWx0aCwgQm9zdG9uLCBN
QSwgVVNBLiYjeEQ7RGVwYXJ0bWVudCBvZiBCaW9zdGF0aXN0aWNzLCBZYWxlIFNjaG9vbCBvZiBQ
dWJsaWMgSGVhbHRoLCBOZXcgSGF2ZW4sIENULCBVU0EuPC9hdXRoLWFkZHJlc3M+PHRpdGxlcz48
dGl0bGU+UHJlbmF0YWwgemluYyBhbmQgdml0YW1pbiBBIHJlZHVjZSB0aGUgYmVuZWZpdCBvZiBp
cm9uIG9uIG1hdGVybmFsIGhlbWF0b2xvZ2ljIGFuZCBtaWNyb251dHJpZW50IHN0YXR1cyBhdCBk
ZWxpdmVyeSBpbiBUYW56YW5pYTwvdGl0bGU+PHNlY29uZGFyeS10aXRsZT5KIE51dHI8L3NlY29u
ZGFyeS10aXRsZT48L3RpdGxlcz48cGVyaW9kaWNhbD48ZnVsbC10aXRsZT5KIE51dHI8L2Z1bGwt
dGl0bGU+PC9wZXJpb2RpY2FsPjxwYWdlcz4yNDAtMjQ4PC9wYWdlcz48dm9sdW1lPjE1MDwvdm9s
dW1lPjxudW1iZXI+MjwvbnVtYmVyPjxlZGl0aW9uPjIwMTkvMTAvMTc8L2VkaXRpb24+PGtleXdv
cmRzPjxrZXl3b3JkPmFuZW1pYTwva2V5d29yZD48a2V5d29yZD5pcm9uPC9rZXl3b3JkPjxrZXl3
b3JkPm1pY3JvbnV0cmllbnRzPC9rZXl3b3JkPjxrZXl3b3JkPnByZWduYW5jeTwva2V5d29yZD48
a2V5d29yZD52aXRhbWluIEE8L2tleXdvcmQ+PGtleXdvcmQ+emluYzwva2V5d29yZD48L2tleXdv
cmRzPjxkYXRlcz48eWVhcj4yMDIwPC95ZWFyPjxwdWItZGF0ZXM+PGRhdGU+RmViIDE8L2RhdGU+
PC9wdWItZGF0ZXM+PC9kYXRlcz48aXNibj4xNTQxLTYxMDAgKEVsZWN0cm9uaWMpJiN4RDswMDIy
LTMxNjYgKExpbmtpbmcpPC9pc2JuPjxhY2Nlc3Npb24tbnVtPjMxNjE4NDMwPC9hY2Nlc3Npb24t
bnVtPjx1cmxzPjxyZWxhdGVkLXVybHM+PHVybD5odHRwczovL3d3dy5uY2JpLm5sbS5uaWguZ292
L3B1Ym1lZC8zMTYxODQzMDwvdXJsPjwvcmVsYXRlZC11cmxzPjwvdXJscz48ZWxlY3Ryb25pYy1y
ZXNvdXJjZS1udW0+MTAuMTA5My9qbi9ueHoyNDI8L2VsZWN0cm9uaWMtcmVzb3VyY2UtbnVtPjwv
cmVjb3JkPjwvQ2l0ZT48L0VuZE5vdGU+AG==
</w:fldData>
              </w:fldChar>
            </w:r>
            <w:r w:rsidR="002747EA">
              <w:instrText xml:space="preserve"> ADDIN EN.CITE </w:instrText>
            </w:r>
            <w:r w:rsidR="002747EA">
              <w:fldChar w:fldCharType="begin">
                <w:fldData xml:space="preserve">PEVuZE5vdGU+PENpdGU+PEF1dGhvcj5Ob29yPC9BdXRob3I+PFllYXI+MjAyMDwvWWVhcj48UmVj
TnVtPjE4NzQ8L1JlY051bT48RGlzcGxheVRleHQ+PHN0eWxlIGZhY2U9InN1cGVyc2NyaXB0IiBm
b250PSJUcmVidWNoZXQgTVMiIHNpemU9IjkiPjIxMTwvc3R5bGU+PC9EaXNwbGF5VGV4dD48cmVj
b3JkPjxyZWMtbnVtYmVyPjE4NzQ8L3JlYy1udW1iZXI+PGZvcmVpZ24ta2V5cz48a2V5IGFwcD0i
RU4iIGRiLWlkPSJleHZhc3JmeDJkdHJhb2VzYXN4cDJzenN4YTJkZjUwMjU5MngiIHRpbWVzdGFt
cD0iMTU4ODEzODc2NiI+MTg3NDwva2V5PjxrZXkgYXBwPSJFTldlYiIgZGItaWQ9IiI+MDwva2V5
PjwvZm9yZWlnbi1rZXlzPjxyZWYtdHlwZSBuYW1lPSJKb3VybmFsIEFydGljbGUiPjE3PC9yZWYt
dHlwZT48Y29udHJpYnV0b3JzPjxhdXRob3JzPjxhdXRob3I+Tm9vciwgUi4gQS48L2F1dGhvcj48
YXV0aG9yPkFiaW95ZSwgQS4gSS48L2F1dGhvcj48YXV0aG9yPkRhcmxpbmcsIEEuIE0uPC9hdXRo
b3I+PGF1dGhvcj5IZXJ0em1hcmssIEUuPC9hdXRob3I+PGF1dGhvcj5BYm91ZCwgUy48L2F1dGhv
cj48YXV0aG9yPlByZW1qaSwgWi48L2F1dGhvcj48YXV0aG9yPk11Z3VzaSwgRi4gTS48L2F1dGhv
cj48YXV0aG9yPkR1Z2dhbiwgQy48L2F1dGhvcj48YXV0aG9yPlN1ZGZlbGQsIEMuIFIuPC9hdXRo
b3I+PGF1dGhvcj5TcGllZ2VsbWFuLCBELjwvYXV0aG9yPjxhdXRob3I+RmF3emksIFcuPC9hdXRo
b3I+PC9hdXRob3JzPjwvY29udHJpYnV0b3JzPjxhdXRoLWFkZHJlc3M+RGVwYXJ0bWVudCBvZiBO
dXRyaXRpb24sIEhhcnZhcmQgVEggQ2hhbiBTY2hvb2wgb2YgUHVibGljIEhlYWx0aCwgQm9zdG9u
LCBNQSwgVVNBLiYjeEQ7RGVwYXJ0bWVudCBvZiBHbG9iYWwgSGVhbHRoIGFuZCBQb3B1bGF0aW9u
LCBIYXJ2YXJkIFRIIENoYW4gU2Nob29sIG9mIFB1YmxpYyBIZWFsdGgsIEJvc3RvbiwgTUEsIFVT
QS4mI3hEO0RlcGFydG1lbnQgb2YgTWljcm9iaW9sb2d5IGFuZCBJbW11bm9sb2d5LCBTY2hvb2wg
b2YgTWVkaWNpbmUsIE11aGltYmlsaSBVbml2ZXJzaXR5IG9mIEhlYWx0aCBhbmQgQWxsaWVkIFNj
aWVuY2VzLCBEYXIgZXMgU2FsYWFtLCBUYW56YW5pYS4mI3hEO0RlcGFydG1lbnQgb2YgUGFyYXNp
dG9sb2d5L01lZGljYWwgRW50b21vbG9neSwgU2Nob29sIG9mIFB1YmxpYyBIZWFsdGggYW5kIFNv
Y2lhbCBTY2llbmNlcywgTXVoaW1iaWxpIFVuaXZlcnNpdHkgb2YgSGVhbHRoIGFuZCBBbGxpZWQg
U2NpZW5jZXMsIERhciBlcyBTYWxhYW0sIFRhbnphbmlhLiYjeEQ7RGVwYXJ0bWVudCBvZiBJbnRl
cm5hbCBNZWRpY2luZSwgTXVoaW1iaWxpIFVuaXZlcnNpdHkgb2YgSGVhbHRoIGFuZCBBbGxpZWQg
U2NpZW5jZXMsIERhciBlcyBTYWxhYW0sIFRhbnphbmlhLiYjeEQ7RGl2aXNpb24gb2YgR2FzdHJv
ZW50ZXJvbG9neSwgSGVwYXRvbG9neSBhbmQgTnV0cml0aW9uLCBCb3N0b24gQ2hpbGRyZW4mYXBv
cztzIEhvc3BpdGFsLCBIYXJ2YXJkIE1lZGljYWwgU2Nob29sLCBCb3N0b24sIE1BLCBVU0EuJiN4
RDtEZXBhcnRtZW50IG9mIEVwaWRlbWlvbG9neSwgSGFydmFyZCBUSCBDaGFuIFNjaG9vbCBvZiBQ
dWJsaWMgSGVhbHRoLCBCb3N0b24sIE1BLCBVU0EuJiN4RDtEZXBhcnRtZW50IG9mIEJpb3N0YXRp
c3RpY3MsIEhhcnZhcmQgVEggQ2hhbiBTY2hvb2wgb2YgUHVibGljIEhlYWx0aCwgQm9zdG9uLCBN
QSwgVVNBLiYjeEQ7RGVwYXJ0bWVudCBvZiBCaW9zdGF0aXN0aWNzLCBZYWxlIFNjaG9vbCBvZiBQ
dWJsaWMgSGVhbHRoLCBOZXcgSGF2ZW4sIENULCBVU0EuPC9hdXRoLWFkZHJlc3M+PHRpdGxlcz48
dGl0bGU+UHJlbmF0YWwgemluYyBhbmQgdml0YW1pbiBBIHJlZHVjZSB0aGUgYmVuZWZpdCBvZiBp
cm9uIG9uIG1hdGVybmFsIGhlbWF0b2xvZ2ljIGFuZCBtaWNyb251dHJpZW50IHN0YXR1cyBhdCBk
ZWxpdmVyeSBpbiBUYW56YW5pYTwvdGl0bGU+PHNlY29uZGFyeS10aXRsZT5KIE51dHI8L3NlY29u
ZGFyeS10aXRsZT48L3RpdGxlcz48cGVyaW9kaWNhbD48ZnVsbC10aXRsZT5KIE51dHI8L2Z1bGwt
dGl0bGU+PC9wZXJpb2RpY2FsPjxwYWdlcz4yNDAtMjQ4PC9wYWdlcz48dm9sdW1lPjE1MDwvdm9s
dW1lPjxudW1iZXI+MjwvbnVtYmVyPjxlZGl0aW9uPjIwMTkvMTAvMTc8L2VkaXRpb24+PGtleXdv
cmRzPjxrZXl3b3JkPmFuZW1pYTwva2V5d29yZD48a2V5d29yZD5pcm9uPC9rZXl3b3JkPjxrZXl3
b3JkPm1pY3JvbnV0cmllbnRzPC9rZXl3b3JkPjxrZXl3b3JkPnByZWduYW5jeTwva2V5d29yZD48
a2V5d29yZD52aXRhbWluIEE8L2tleXdvcmQ+PGtleXdvcmQ+emluYzwva2V5d29yZD48L2tleXdv
cmRzPjxkYXRlcz48eWVhcj4yMDIwPC95ZWFyPjxwdWItZGF0ZXM+PGRhdGU+RmViIDE8L2RhdGU+
PC9wdWItZGF0ZXM+PC9kYXRlcz48aXNibj4xNTQxLTYxMDAgKEVsZWN0cm9uaWMpJiN4RDswMDIy
LTMxNjYgKExpbmtpbmcpPC9pc2JuPjxhY2Nlc3Npb24tbnVtPjMxNjE4NDMwPC9hY2Nlc3Npb24t
bnVtPjx1cmxzPjxyZWxhdGVkLXVybHM+PHVybD5odHRwczovL3d3dy5uY2JpLm5sbS5uaWguZ292
L3B1Ym1lZC8zMTYxODQzMDwvdXJsPjwvcmVsYXRlZC11cmxzPjwvdXJscz48ZWxlY3Ryb25pYy1y
ZXNvdXJjZS1udW0+MTAuMTA5My9qbi9ueHoyNDI8L2VsZWN0cm9uaWMtcmVzb3VyY2UtbnVtPjwv
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211</w:t>
            </w:r>
            <w:r w:rsidR="00D07346">
              <w:fldChar w:fldCharType="end"/>
            </w:r>
          </w:p>
        </w:tc>
        <w:tc>
          <w:tcPr>
            <w:tcW w:w="1528" w:type="dxa"/>
          </w:tcPr>
          <w:p w14:paraId="4893ED19" w14:textId="77777777" w:rsidR="00AD0054" w:rsidRDefault="00194754" w:rsidP="004018E0">
            <w:r>
              <w:t>Intervention 641</w:t>
            </w:r>
          </w:p>
          <w:p w14:paraId="57A1E2A7" w14:textId="6ED0DAC7" w:rsidR="00194754" w:rsidRDefault="00194754" w:rsidP="004018E0">
            <w:r>
              <w:t>Control 639</w:t>
            </w:r>
          </w:p>
        </w:tc>
        <w:tc>
          <w:tcPr>
            <w:tcW w:w="4680" w:type="dxa"/>
          </w:tcPr>
          <w:p w14:paraId="1AED6779" w14:textId="77777777" w:rsidR="00AD0054" w:rsidRDefault="00AD0054" w:rsidP="00AD0054">
            <w:r>
              <w:rPr>
                <w:b/>
              </w:rPr>
              <w:t xml:space="preserve">Aim: </w:t>
            </w:r>
            <w:r w:rsidRPr="00BD61CC">
              <w:t xml:space="preserve">To </w:t>
            </w:r>
            <w:r w:rsidRPr="00AD0054">
              <w:t>d</w:t>
            </w:r>
            <w:r>
              <w:t>etermine</w:t>
            </w:r>
            <w:r w:rsidRPr="00AD0054">
              <w:t xml:space="preserve"> the effects of prenatal zinc, vitamin A, and iron supplementation on maternal hematologic and micronutrient status at delivery in Tanzania. </w:t>
            </w:r>
          </w:p>
          <w:p w14:paraId="7881151A" w14:textId="265C5E76" w:rsidR="00AD0054" w:rsidRPr="0058428D" w:rsidRDefault="00AD0054" w:rsidP="00AD0054">
            <w:pPr>
              <w:rPr>
                <w:b/>
              </w:rPr>
            </w:pPr>
            <w:r w:rsidRPr="00BD61CC">
              <w:rPr>
                <w:b/>
              </w:rPr>
              <w:t>Methods</w:t>
            </w:r>
            <w:r>
              <w:t>: We analys</w:t>
            </w:r>
            <w:r w:rsidRPr="00AD0054">
              <w:t xml:space="preserve">ed 2 large randomized controlled trials, using generalized estimating equations, and examined the effect of daily zinc (25 mg) and vitamin A (2500 IU) supplementation starting in the first trimester of pregnancy compared with placebo (n = 2500), and separately evaluated the safety and efficacy of daily iron (60 mg) supplementation among iron-replete pregnant women (n = 1500). Blood samples from baseline and delivery were tested for Hb, serum ferritin, soluble transferrin receptor, plasma zinc, and zinc protoporphyrin. </w:t>
            </w:r>
          </w:p>
        </w:tc>
        <w:tc>
          <w:tcPr>
            <w:tcW w:w="4536" w:type="dxa"/>
          </w:tcPr>
          <w:p w14:paraId="5624DC2C" w14:textId="2E2349BF" w:rsidR="00AD0054" w:rsidRDefault="00AD0054" w:rsidP="00AD0054">
            <w:r w:rsidRPr="00AD0054">
              <w:t xml:space="preserve">Zinc supplementation </w:t>
            </w:r>
            <w:r>
              <w:t xml:space="preserve">versus </w:t>
            </w:r>
            <w:r w:rsidR="00194754">
              <w:t>no zinc</w:t>
            </w:r>
            <w:r>
              <w:t>:</w:t>
            </w:r>
          </w:p>
          <w:p w14:paraId="7B344F64" w14:textId="652A0688" w:rsidR="00AD0054" w:rsidRDefault="00AD0054" w:rsidP="00BD61CC">
            <w:pPr>
              <w:pStyle w:val="bullet"/>
            </w:pPr>
            <w:r>
              <w:t>Haemoglobin</w:t>
            </w:r>
            <w:r w:rsidR="00194754">
              <w:t xml:space="preserve"> concentration</w:t>
            </w:r>
            <w:r w:rsidRPr="00AD0054">
              <w:t xml:space="preserve"> at </w:t>
            </w:r>
            <w:r>
              <w:t xml:space="preserve">birth: </w:t>
            </w:r>
            <w:r>
              <w:br/>
              <w:t>MD -0.26 g/dL; 95% CI: -0.50 to -0.02</w:t>
            </w:r>
            <w:r w:rsidR="00194754">
              <w:t>; p=0.03</w:t>
            </w:r>
          </w:p>
          <w:p w14:paraId="20D696F5" w14:textId="2DD96E0D" w:rsidR="00194754" w:rsidRDefault="00194754" w:rsidP="00BD61CC">
            <w:pPr>
              <w:pStyle w:val="bullet"/>
            </w:pPr>
            <w:r>
              <w:t>Serum ferritin at birth: -11.31 µg/L; 95%CI -26.19 to 3.56</w:t>
            </w:r>
            <w:r w:rsidR="00335558">
              <w:t xml:space="preserve">; </w:t>
            </w:r>
            <w:r>
              <w:t>p=0.14</w:t>
            </w:r>
          </w:p>
          <w:p w14:paraId="0B1390FE" w14:textId="583A5784" w:rsidR="00194754" w:rsidRPr="00AD0054" w:rsidRDefault="00194754" w:rsidP="00BD61CC">
            <w:pPr>
              <w:pStyle w:val="bullet"/>
            </w:pPr>
            <w:r>
              <w:t>Plasma zinc: -6.64</w:t>
            </w:r>
            <w:r w:rsidR="00335558">
              <w:t xml:space="preserve"> µg/dL</w:t>
            </w:r>
            <w:r>
              <w:t>; 95%CI -15.71 to 2.43</w:t>
            </w:r>
            <w:r w:rsidR="00335558">
              <w:t>; p=0.15</w:t>
            </w:r>
          </w:p>
        </w:tc>
        <w:tc>
          <w:tcPr>
            <w:tcW w:w="1843" w:type="dxa"/>
          </w:tcPr>
          <w:p w14:paraId="08AE0E35" w14:textId="77777777" w:rsidR="00AD0054" w:rsidRDefault="00AD0054" w:rsidP="00F86F38"/>
        </w:tc>
      </w:tr>
      <w:tr w:rsidR="00461769" w:rsidRPr="00D77EAD" w14:paraId="1D4FC915" w14:textId="77777777" w:rsidTr="000F71A9">
        <w:trPr>
          <w:cantSplit/>
        </w:trPr>
        <w:tc>
          <w:tcPr>
            <w:tcW w:w="1305" w:type="dxa"/>
          </w:tcPr>
          <w:p w14:paraId="476417FA" w14:textId="71E89BD0" w:rsidR="00461769" w:rsidRDefault="00871EE2" w:rsidP="003523C5">
            <w:r>
              <w:t>Nossier et al 2015</w:t>
            </w:r>
            <w:r w:rsidR="00BE7640">
              <w:fldChar w:fldCharType="begin"/>
            </w:r>
            <w:r w:rsidR="002747EA">
              <w:instrText xml:space="preserve"> ADDIN EN.CITE &lt;EndNote&gt;&lt;Cite&gt;&lt;Author&gt;Nossier&lt;/Author&gt;&lt;Year&gt;2015&lt;/Year&gt;&lt;RecNum&gt;1196&lt;/RecNum&gt;&lt;DisplayText&gt;&lt;style face="superscript" font="Trebuchet MS" size="9"&gt;209&lt;/style&gt;&lt;/DisplayText&gt;&lt;record&gt;&lt;rec-number&gt;1196&lt;/rec-number&gt;&lt;foreign-keys&gt;&lt;key app="EN" db-id="exvasrfx2dtraoesasxp2szsxa2df502592x" timestamp="1559536228"&gt;1196&lt;/key&gt;&lt;key app="ENWeb" db-id=""&gt;0&lt;/key&gt;&lt;/foreign-keys&gt;&lt;ref-type name="Journal Article"&gt;17&lt;/ref-type&gt;&lt;contributors&gt;&lt;authors&gt;&lt;author&gt;Nossier, S. A.&lt;/author&gt;&lt;author&gt;Naeim, N. E.&lt;/author&gt;&lt;author&gt;El-Sayed, N. A.&lt;/author&gt;&lt;author&gt;Abu Zeid, A. A.&lt;/author&gt;&lt;/authors&gt;&lt;/contributors&gt;&lt;titles&gt;&lt;title&gt;The effect of zinc supplementation on pregnancy outcomes: a double-blind, randomised controlled trial, Egypt&lt;/title&gt;&lt;secondary-title&gt;Br J Nutr&lt;/secondary-title&gt;&lt;/titles&gt;&lt;periodical&gt;&lt;full-title&gt;Br J Nutr&lt;/full-title&gt;&lt;/periodical&gt;&lt;pages&gt;274-85&lt;/pages&gt;&lt;volume&gt;114&lt;/volume&gt;&lt;number&gt;2&lt;/number&gt;&lt;edition&gt;2015/06/24&lt;/edition&gt;&lt;keywords&gt;&lt;keyword&gt;Adult&lt;/keyword&gt;&lt;keyword&gt;Birth Weight&lt;/keyword&gt;&lt;keyword&gt;*Dietary Supplements&lt;/keyword&gt;&lt;keyword&gt;Double-Blind Method&lt;/keyword&gt;&lt;keyword&gt;Egypt&lt;/keyword&gt;&lt;keyword&gt;Female&lt;/keyword&gt;&lt;keyword&gt;Healthy Volunteers&lt;/keyword&gt;&lt;keyword&gt;Humans&lt;/keyword&gt;&lt;keyword&gt;Middle Aged&lt;/keyword&gt;&lt;keyword&gt;Pregnancy&lt;/keyword&gt;&lt;keyword&gt;Pregnancy Complications/prevention &amp;amp; control&lt;/keyword&gt;&lt;keyword&gt;*Pregnancy Outcome&lt;/keyword&gt;&lt;keyword&gt;Premature Birth/prevention &amp;amp; control&lt;/keyword&gt;&lt;keyword&gt;Vitamins/administration &amp;amp; dosage&lt;/keyword&gt;&lt;keyword&gt;Young Adult&lt;/keyword&gt;&lt;keyword&gt;Zinc/*administration &amp;amp; dosage&lt;/keyword&gt;&lt;/keywords&gt;&lt;dates&gt;&lt;year&gt;2015&lt;/year&gt;&lt;pub-dates&gt;&lt;date&gt;Jul&lt;/date&gt;&lt;/pub-dates&gt;&lt;/dates&gt;&lt;isbn&gt;1475-2662 (Electronic)&amp;#xD;0007-1145 (Linking)&lt;/isbn&gt;&lt;accession-num&gt;26099195&lt;/accession-num&gt;&lt;urls&gt;&lt;related-urls&gt;&lt;url&gt;https://www.ncbi.nlm.nih.gov/pubmed/26099195&lt;/url&gt;&lt;/related-urls&gt;&lt;/urls&gt;&lt;electronic-resource-num&gt;10.1017/S000711451500166X&lt;/electronic-resource-num&gt;&lt;/record&gt;&lt;/Cite&gt;&lt;/EndNote&gt;</w:instrText>
            </w:r>
            <w:r w:rsidR="00BE7640">
              <w:fldChar w:fldCharType="separate"/>
            </w:r>
            <w:r w:rsidR="002747EA" w:rsidRPr="002747EA">
              <w:rPr>
                <w:noProof/>
                <w:vertAlign w:val="superscript"/>
              </w:rPr>
              <w:t>209</w:t>
            </w:r>
            <w:r w:rsidR="00BE7640">
              <w:fldChar w:fldCharType="end"/>
            </w:r>
          </w:p>
          <w:p w14:paraId="2F8B3308" w14:textId="65F8B7F2" w:rsidR="00DE2A9C" w:rsidRPr="00D77EAD" w:rsidRDefault="00DE2A9C" w:rsidP="003523C5">
            <w:r>
              <w:t>Egypt</w:t>
            </w:r>
          </w:p>
        </w:tc>
        <w:tc>
          <w:tcPr>
            <w:tcW w:w="1528" w:type="dxa"/>
          </w:tcPr>
          <w:p w14:paraId="0A318570" w14:textId="28D583C5" w:rsidR="00461769" w:rsidRDefault="00461769" w:rsidP="004018E0">
            <w:r>
              <w:t xml:space="preserve">Intervention </w:t>
            </w:r>
            <w:r w:rsidR="0060666D">
              <w:t>198</w:t>
            </w:r>
          </w:p>
          <w:p w14:paraId="6939E17A" w14:textId="5CCA249D" w:rsidR="00461769" w:rsidRDefault="00461769" w:rsidP="004018E0">
            <w:r>
              <w:t xml:space="preserve">Control </w:t>
            </w:r>
            <w:r w:rsidR="00460C92">
              <w:t>100</w:t>
            </w:r>
          </w:p>
          <w:p w14:paraId="28D8D0C3" w14:textId="6C8BF0C4" w:rsidR="00460C92" w:rsidRPr="00D77EAD" w:rsidRDefault="00460C92" w:rsidP="004018E0">
            <w:r>
              <w:t>3-armed study; control group halved</w:t>
            </w:r>
          </w:p>
        </w:tc>
        <w:tc>
          <w:tcPr>
            <w:tcW w:w="4680" w:type="dxa"/>
          </w:tcPr>
          <w:p w14:paraId="66601EB1" w14:textId="38EDD5C5" w:rsidR="00520633" w:rsidRPr="00520633" w:rsidRDefault="00461769" w:rsidP="004018E0">
            <w:r w:rsidRPr="0058428D">
              <w:rPr>
                <w:b/>
              </w:rPr>
              <w:t>Aim</w:t>
            </w:r>
            <w:r>
              <w:t xml:space="preserve">: </w:t>
            </w:r>
            <w:r w:rsidRPr="0058428D">
              <w:t xml:space="preserve">To </w:t>
            </w:r>
            <w:r w:rsidR="00520633" w:rsidRPr="00520633">
              <w:t xml:space="preserve">evaluate the effect of two regimens of </w:t>
            </w:r>
            <w:r w:rsidR="00D741EF">
              <w:t>zinc</w:t>
            </w:r>
            <w:r w:rsidR="00520633" w:rsidRPr="00520633">
              <w:t xml:space="preserve"> supplementation on pregnancy</w:t>
            </w:r>
          </w:p>
          <w:p w14:paraId="2F6D6529" w14:textId="307D7698" w:rsidR="00131D6B" w:rsidRPr="00131D6B" w:rsidRDefault="00461769" w:rsidP="004018E0">
            <w:r w:rsidRPr="0058428D">
              <w:rPr>
                <w:b/>
              </w:rPr>
              <w:t>Population</w:t>
            </w:r>
            <w:r>
              <w:t xml:space="preserve">: </w:t>
            </w:r>
            <w:r w:rsidR="00131D6B">
              <w:t>Healthy pregnant w</w:t>
            </w:r>
            <w:r w:rsidRPr="0058428D">
              <w:t>omen</w:t>
            </w:r>
            <w:r w:rsidR="00D741EF">
              <w:t xml:space="preserve"> </w:t>
            </w:r>
            <w:r w:rsidR="00131D6B">
              <w:t xml:space="preserve">at 16 weeks gestation with </w:t>
            </w:r>
            <w:r w:rsidR="00131D6B" w:rsidRPr="00131D6B">
              <w:t>Zn level at the time of enrolment below the estimated median for gestational age</w:t>
            </w:r>
            <w:r w:rsidR="00131D6B">
              <w:t>.</w:t>
            </w:r>
          </w:p>
          <w:p w14:paraId="1C4815B4" w14:textId="063F11DD" w:rsidR="00461769" w:rsidRPr="00D77EAD" w:rsidRDefault="00461769" w:rsidP="004018E0">
            <w:r>
              <w:rPr>
                <w:b/>
              </w:rPr>
              <w:t>Intervention</w:t>
            </w:r>
            <w:r w:rsidRPr="0058428D">
              <w:t xml:space="preserve">: </w:t>
            </w:r>
            <w:r w:rsidR="000F71A9">
              <w:t>30 mg/day</w:t>
            </w:r>
            <w:r w:rsidRPr="0058428D">
              <w:t xml:space="preserve">. </w:t>
            </w:r>
          </w:p>
        </w:tc>
        <w:tc>
          <w:tcPr>
            <w:tcW w:w="4536" w:type="dxa"/>
          </w:tcPr>
          <w:p w14:paraId="14754866" w14:textId="77777777" w:rsidR="00461769" w:rsidRDefault="00461769" w:rsidP="004018E0">
            <w:r>
              <w:t>Intervention vs control:</w:t>
            </w:r>
          </w:p>
          <w:p w14:paraId="7D5E6524" w14:textId="39762CDE" w:rsidR="00461769" w:rsidRDefault="00C13B31" w:rsidP="004018E0">
            <w:pPr>
              <w:pStyle w:val="bullet"/>
            </w:pPr>
            <w:r>
              <w:t xml:space="preserve">Stillbirth: 1/198 (0.5%) vs </w:t>
            </w:r>
            <w:r w:rsidR="00611DBC">
              <w:t>2</w:t>
            </w:r>
            <w:r>
              <w:t>/</w:t>
            </w:r>
            <w:r w:rsidR="00611DBC">
              <w:t>100</w:t>
            </w:r>
            <w:r>
              <w:t xml:space="preserve"> (2.5%)</w:t>
            </w:r>
            <w:r w:rsidR="00327199">
              <w:t xml:space="preserve"> </w:t>
            </w:r>
            <w:r w:rsidR="00611DBC">
              <w:t>— RR</w:t>
            </w:r>
            <w:r w:rsidR="00C65A72">
              <w:t> </w:t>
            </w:r>
            <w:r w:rsidR="00611DBC">
              <w:t>0.25 (0.02 to</w:t>
            </w:r>
            <w:r w:rsidR="00611DBC" w:rsidRPr="00B1105E">
              <w:t xml:space="preserve"> 2.75]</w:t>
            </w:r>
          </w:p>
          <w:p w14:paraId="23E05798" w14:textId="56798CF4" w:rsidR="00C13B31" w:rsidRDefault="00460C92" w:rsidP="004018E0">
            <w:pPr>
              <w:pStyle w:val="bullet"/>
            </w:pPr>
            <w:r>
              <w:t>Preterm birth: 2/198 (1.0%) vs 1</w:t>
            </w:r>
            <w:r w:rsidR="00C13B31">
              <w:t>1/</w:t>
            </w:r>
            <w:r>
              <w:t>100</w:t>
            </w:r>
            <w:r w:rsidR="00C13B31">
              <w:t xml:space="preserve"> (10.6%)</w:t>
            </w:r>
            <w:r w:rsidR="00F72623">
              <w:t xml:space="preserve"> — RR 0.10 (0.02 to 0.40)</w:t>
            </w:r>
          </w:p>
          <w:p w14:paraId="7CF96428" w14:textId="7E768395" w:rsidR="00C13B31" w:rsidRPr="00D3614F" w:rsidRDefault="00C13B31" w:rsidP="004018E0">
            <w:pPr>
              <w:pStyle w:val="bullet"/>
            </w:pPr>
            <w:r>
              <w:t>Birthweight: 2922.22±324.05 g vs 2929.12±330.28 g</w:t>
            </w:r>
            <w:r w:rsidR="00F72623">
              <w:t xml:space="preserve"> — MD </w:t>
            </w:r>
            <w:r w:rsidR="00C65A72">
              <w:t>-6.90 (-85.82 to</w:t>
            </w:r>
            <w:r w:rsidR="00C65A72" w:rsidRPr="00487C6B">
              <w:t xml:space="preserve"> 72.02</w:t>
            </w:r>
            <w:r w:rsidR="00C65A72">
              <w:t>)</w:t>
            </w:r>
          </w:p>
        </w:tc>
        <w:tc>
          <w:tcPr>
            <w:tcW w:w="1843" w:type="dxa"/>
          </w:tcPr>
          <w:p w14:paraId="06845223" w14:textId="7596F8A0" w:rsidR="00461769" w:rsidRPr="00D77EAD" w:rsidRDefault="000F71A9" w:rsidP="002747EA">
            <w:r>
              <w:t xml:space="preserve">Included in </w:t>
            </w:r>
            <w:r w:rsidR="004A0E1A">
              <w:t>Lui et al 2018</w:t>
            </w:r>
            <w:r w:rsidR="00BE7640">
              <w:fldChar w:fldCharType="begin">
                <w:fldData xml:space="preserve">PEVuZE5vdGU+PENpdGU+PEF1dGhvcj5MaXU8L0F1dGhvcj48WWVhcj4yMDE4PC9ZZWFyPjxSZWNO
dW0+MTE5NTwvUmVjTnVtPjxEaXNwbGF5VGV4dD48c3R5bGUgZmFjZT0ic3VwZXJzY3JpcHQiIGZv
bnQ9IlRyZWJ1Y2hldCBNUyIgc2l6ZT0iOSI+MjA3PC9zdHlsZT48L0Rpc3BsYXlUZXh0PjxyZWNv
cmQ+PHJlYy1udW1iZXI+MTE5NTwvcmVjLW51bWJlcj48Zm9yZWlnbi1rZXlzPjxrZXkgYXBwPSJF
TiIgZGItaWQ9ImV4dmFzcmZ4MmR0cmFvZXNhc3hwMnN6c3hhMmRmNTAyNTkyeCIgdGltZXN0YW1w
PSIxNTU5NTM1ODg1Ij4xMTk1PC9rZXk+PGtleSBhcHA9IkVOV2ViIiBkYi1pZD0iIj4wPC9rZXk+
PC9mb3JlaWduLWtleXM+PHJlZi10eXBlIG5hbWU9IkpvdXJuYWwgQXJ0aWNsZSI+MTc8L3JlZi10
eXBlPjxjb250cmlidXRvcnM+PGF1dGhvcnM+PGF1dGhvcj5MaXUsIEUuPC9hdXRob3I+PGF1dGhv
cj5QaW1waW4sIEwuPC9hdXRob3I+PGF1dGhvcj5TaHVsa2luLCBNLjwvYXV0aG9yPjxhdXRob3I+
S3JhbnosIFMuPC9hdXRob3I+PGF1dGhvcj5EdWdnYW4sIEMuIFAuPC9hdXRob3I+PGF1dGhvcj5N
b3phZmZhcmlhbiwgRC48L2F1dGhvcj48YXV0aG9yPkZhd3ppLCBXLiBXLjwvYXV0aG9yPjwvYXV0
aG9ycz48L2NvbnRyaWJ1dG9ycz48YXV0aC1hZGRyZXNzPkluc3RpdHV0aW9uYWwgQ2VudGVycyBv
ZiBDbGluaWNhbCBhbmQgVHJhbnNsYXRpb25hbCBSZXNlYXJjaCwgQm9zdG9uIENoaWxkcmVuJmFw
b3M7cyBIb3NwaXRhbCwgMzAwIExvbmd3b29kIEF2ZSwgQm9zdG9uLCBNQSAwMjExNSwgVVNBLiBF
bmp1LkxpdUBjaGlsZHJlbnMuaGFydmFyZC5lZHUuJiN4RDtEaXZpc2lvbiBvZiBHYXN0cm9lbnRl
cm9sb2d5LCBIZXBhdG9sb2d5IGFuZCBOdXRyaXRpb24sIEJvc3RvbiBDaGlsZHJlbiZhcG9zO3Mg
SG9zcGl0YWwsIDMwMCBMb25nd29vZCBBdmUsIEJvc3RvbiwgTUEgMDIxMTUsIFVTQS4gRW5qdS5M
aXVAY2hpbGRyZW5zLmhhcnZhcmQuZWR1LiYjeEQ7RnJpZWRtYW4gU2Nob29sIG9mIE51dHJpdGlv
biBTY2llbmNlIGFuZCBQb2xpY3ksIFR1ZnRzIFVuaXZlcnNpdHksIDE1MCBIYXJyaXNvbiBBdmUs
IEJvc3RvbiwgTUEgMDIxMTEsIFVTQS4gbGF1cmEucGltcGluQGdtYWlsLmNvbS4mI3hEO0ZyaWVk
bWFuIFNjaG9vbCBvZiBOdXRyaXRpb24gU2NpZW5jZSBhbmQgUG9saWN5LCBUdWZ0cyBVbml2ZXJz
aXR5LCAxNTAgSGFycmlzb24gQXZlLCBCb3N0b24sIE1BIDAyMTExLCBVU0EuIHNodWxraW5tQGdt
YWlsLmNvbS4mI3hEO0ZyaWVkbWFuIFNjaG9vbCBvZiBOdXRyaXRpb24gU2NpZW5jZSBhbmQgUG9s
aWN5LCBUdWZ0cyBVbml2ZXJzaXR5LCAxNTAgSGFycmlzb24gQXZlLCBCb3N0b24sIE1BIDAyMTEx
LCBVU0EuIFNhcmFoLktyYW56QHR1ZnRzLmVkdS4mI3hEO0RpdmlzaW9uIG9mIEdhc3Ryb2VudGVy
b2xvZ3ksIEhlcGF0b2xvZ3kgYW5kIE51dHJpdGlvbiwgQm9zdG9uIENoaWxkcmVuJmFwb3M7cyBI
b3NwaXRhbCwgMzAwIExvbmd3b29kIEF2ZSwgQm9zdG9uLCBNQSAwMjExNSwgVVNBLiBjaHJpc3Rv
cGhlci5kdWdnYW5AY2hpbGRyZW5zLmhhcnZhcmQuZWR1LiYjeEQ7RGVwYXJ0bWVudCBvZiBOdXRy
aXRpb24sIEhhcnZhcmQgVC5ILiBDaGFuIFNjaG9vbCBvZiBQdWJsaWMgSGVhbHRoLCBIYXJ2YXJk
IFQuSC4gQ2hhbiBTY2hvb2wgb2YgUHVibGljIEhlYWx0aCwgNjc3IEh1bnRpbmd0b24gQXZlLCBC
b3N0b24sIE1BIDAyMTE1LCBVU0EuIGNocmlzdG9waGVyLmR1Z2dhbkBjaGlsZHJlbnMuaGFydmFy
ZC5lZHUuJiN4RDtEZXBhcnRtZW50IG9mIEdsb2JhbCBIZWFsdGggYW5kIFBvcHVsYXRpb24sIEhh
cnZhcmQgVC5ILiBDaGFuIFNjaG9vbCBvZiBQdWJsaWMgSGVhbHRoLCA2NzcgSHVudGluZ3RvbiBB
dmUsIEJvc3RvbiwgTUEgMDIxMTUsIFVTQS4gY2hyaXN0b3BoZXIuZHVnZ2FuQGNoaWxkcmVucy5o
YXJ2YXJkLmVkdS4mI3hEO0ZyaWVkbWFuIFNjaG9vbCBvZiBOdXRyaXRpb24gU2NpZW5jZSBhbmQg
UG9saWN5LCBUdWZ0cyBVbml2ZXJzaXR5LCAxNTAgSGFycmlzb24gQXZlLCBCb3N0b24sIE1BIDAy
MTExLCBVU0EuIERhcml1c2guTW96YWZmYXJpYW5AdHVmdHMuZWR1LiYjeEQ7RGVwYXJ0bWVudCBv
ZiBOdXRyaXRpb24sIEhhcnZhcmQgVC5ILiBDaGFuIFNjaG9vbCBvZiBQdWJsaWMgSGVhbHRoLCBI
YXJ2YXJkIFQuSC4gQ2hhbiBTY2hvb2wgb2YgUHVibGljIEhlYWx0aCwgNjc3IEh1bnRpbmd0b24g
QXZlLCBCb3N0b24sIE1BIDAyMTE1LCBVU0EuIG1pbmFAaHNwaC5oYXJ2YXJkLmVkdS4mI3hEO0Rl
cGFydG1lbnQgb2YgR2xvYmFsIEhlYWx0aCBhbmQgUG9wdWxhdGlvbiwgSGFydmFyZCBULkguIENo
YW4gU2Nob29sIG9mIFB1YmxpYyBIZWFsdGgsIDY3NyBIdW50aW5ndG9uIEF2ZSwgQm9zdG9uLCBN
QSAwMjExNSwgVVNBLiBtaW5hQGhzcGguaGFydmFyZC5lZHUuJiN4RDtEZXBhcnRtZW50IG9mIEVw
aWRlbWlvbG9neSwgSGFydmFyZCBULkguIENoYW4gU2Nob29sIG9mIFB1YmxpYyBIZWFsdGgsIDY3
NyBIdW50aW5ndG9uIEF2ZSwgQm9zdG9uLCBNQSAwMjExNSwgVVNBLiBtaW5hQGhzcGguaGFydmFy
ZC5lZHUuPC9hdXRoLWFkZHJlc3M+PHRpdGxlcz48dGl0bGU+RWZmZWN0IG9mIFppbmMgU3VwcGxl
bWVudGF0aW9uIG9uIEdyb3d0aCBPdXRjb21lcyBpbiBDaGlsZHJlbiB1bmRlciA1IFllYXJzIG9m
IEFnZTwvdGl0bGU+PHNlY29uZGFyeS10aXRsZT5OdXRyaWVudHM8L3NlY29uZGFyeS10aXRsZT48
L3RpdGxlcz48cGVyaW9kaWNhbD48ZnVsbC10aXRsZT5OdXRyaWVudHM8L2Z1bGwtdGl0bGU+PC9w
ZXJpb2RpY2FsPjx2b2x1bWU+MTA8L3ZvbHVtZT48bnVtYmVyPjM8L251bWJlcj48ZWRpdGlvbj4y
MDE4LzAzLzIxPC9lZGl0aW9uPjxrZXl3b3Jkcz48a2V5d29yZD5BZ2UgRmFjdG9yczwva2V5d29y
ZD48a2V5d29yZD5Cb2R5IEhlaWdodDwva2V5d29yZD48a2V5d29yZD4qQ2hpbGQgRGV2ZWxvcG1l
bnQ8L2tleXdvcmQ+PGtleXdvcmQ+KkNoaWxkIE51dHJpdGlvbmFsIFBoeXNpb2xvZ2ljYWwgUGhl
bm9tZW5hPC9rZXl3b3JkPjxrZXl3b3JkPkNoaWxkLCBQcmVzY2hvb2w8L2tleXdvcmQ+PGtleXdv
cmQ+KkRpZXRhcnkgU3VwcGxlbWVudHMvYWR2ZXJzZSBlZmZlY3RzPC9rZXl3b3JkPjxrZXl3b3Jk
PkZlbWFsZTwva2V5d29yZD48a2V5d29yZD5HZXN0YXRpb25hbCBBZ2U8L2tleXdvcmQ+PGtleXdv
cmQ+SHVtYW5zPC9rZXl3b3JkPjxrZXl3b3JkPkluZmFudDwva2V5d29yZD48a2V5d29yZD5JbmZh
bnQsIE5ld2Jvcm48L2tleXdvcmQ+PGtleXdvcmQ+TWFsZTwva2V5d29yZD48a2V5d29yZD5NYXRl
cm5hbCBOdXRyaXRpb25hbCBQaHlzaW9sb2dpY2FsIFBoZW5vbWVuYTwva2V5d29yZD48a2V5d29y
ZD4qTnV0cml0aW9uYWwgU3RhdHVzPC9rZXl3b3JkPjxrZXl3b3JkPlByZWduYW5jeTwva2V5d29y
ZD48a2V5d29yZD5QcmVuYXRhbCBDYXJlL21ldGhvZHM8L2tleXdvcmQ+PGtleXdvcmQ+UHJlbmF0
YWwgRXhwb3N1cmUgRGVsYXllZCBFZmZlY3RzPC9rZXl3b3JkPjxrZXl3b3JkPlJhbmRvbWl6ZWQg
Q29udHJvbGxlZCBUcmlhbHMgYXMgVG9waWM8L2tleXdvcmQ+PGtleXdvcmQ+UmVjb21tZW5kZWQg
RGlldGFyeSBBbGxvd2FuY2VzPC9rZXl3b3JkPjxrZXl3b3JkPldlaWdodCBHYWluPC9rZXl3b3Jk
PjxrZXl3b3JkPlppbmMvKmFkbWluaXN0cmF0aW9uICZhbXA7IGRvc2FnZS9hZHZlcnNlIGVmZmVj
dHM8L2tleXdvcmQ+PGtleXdvcmQ+Y2hpbGQgZ3Jvd3RoPC9rZXl3b3JkPjxrZXl3b3JkPm1ldGEt
YW5hbHlzaXM8L2tleXdvcmQ+PGtleXdvcmQ+cmFuZG9taXplZCBjb250cm9sbGVkIHRyaWFsPC9r
ZXl3b3JkPjxrZXl3b3JkPnN5c3RlbWF0aWMgcmV2aWV3PC9rZXl3b3JkPjxrZXl3b3JkPnppbmMg
c3VwcGxlbWVudGF0aW9uPC9rZXl3b3JkPjxrZXl3b3JkPkhhYXMgQXZvY2FkbyBCb2FyZCwgQXN0
cmEgWmVuZWNhLCBHT0VELCBEU00sIFBvbGxvY2sgQ29tbXVuaWNhdGlvbnMsIGFuZCBMaWZlPC9r
ZXl3b3JkPjxrZXl3b3JkPlNjaWVuY2VzIFJlc2VhcmNoIE9yZ2FuaXphdGlvbjwva2V5d29yZD48
a2V5d29yZD5jaGFwdGVyIHJveWFsdGllcyBmcm9tIFVwVG9EYXRlPC9rZXl3b3JkPjxrZXl3b3Jk
PmFuZCBzY2llbnRpZmljPC9rZXl3b3JkPjxrZXl3b3JkPmFkdmlzb3J5IGJvYXJkIGZvciBFbHlz
aXVtIEhlYWx0aCwgYW5kIE9tYWRhIEhlYWx0aC4gSGFydmFyZCBVbml2ZXJzaXR5IGhhcyBiZWVu
PC9rZXl3b3JkPjxrZXl3b3JkPmFzc2lnbmVkIHBhdGVudCBVUzg4ODk3MzkgQjIsIGxpc3Rpbmcg
TW96YWZmYXJpYW4gYXMgb25lIG9mIHRocmVlIGNvLWludmVudG9ycyw8L2tleXdvcmQ+PGtleXdv
cmQ+Zm9yICZxdW90O1VzZSBvZiB0cmFuc3BhbG1pdG9sZWljIGFjaWQgaW4gaWRlbnRpZnlpbmcg
YW5kIHRyZWF0aW5nIG1ldGFib2xpYyBkaXNlYXNlJnF1b3Q7Ljwva2V5d29yZD48a2V5d29yZD5E
dWdnYW4gcmVwb3J0cyByb3lhbHRpZXMgZnJvbSBVcFRvRGF0ZSwgYW5kIFBNUEg8L2tleXdvcmQ+
PGtleXdvcmQ+QWxsIG90aGVyIGF1dGhvcnMgZGVjbGFyZSBubzwva2V5d29yZD48a2V5d29yZD5j
b25mbGljdCBvZiBpbnRlcmVzdC4gVGhlIHN0dWR5IGlzIHNwb25zb3JlZCBieSBCaWxsICZhbXA7
IE1lbGluZGEgR2F0ZXMgRm91bmRhdGlvbiw8L2tleXdvcmQ+PGtleXdvcmQ+Z3JhbnQgbnVtYmVy
IE9QUDEwOTk1MDUuIENQRCB3YXMgc3VwcG9ydGVkIGluIHBhcnQgYnkgTklIIGdyYW50cyBLMjRE
SzEwNDY3NiBhbmQ8L2tleXdvcmQ+PGtleXdvcmQ+MlAzMERLMDQwNTYxLiBUaGUgZm91bmRpbmcg
c3BvbnNvcnMgaGFkIG5vIHJvbGUgaW4gdGhlIGRlc2lnbiBvZiB0aGUgc3R1ZHk8L2tleXdvcmQ+
PGtleXdvcmQ+aW48L2tleXdvcmQ+PGtleXdvcmQ+dGhlIGNvbGxlY3Rpb24sIGFuYWx5c2VzLCBv
ciBpbnRlcnByZXRhdGlvbiBvZiBkYXRhPC9rZXl3b3JkPjxrZXl3b3JkPmluIHRoZSB3cml0aW5n
IG9mIHRoZTwva2V5d29yZD48a2V5d29yZD5tYW51c2NyaXB0LCBhbmQgaW4gdGhlIGRlY2lzaW9u
IHRvIHB1Ymxpc2ggdGhlIHJlc3VsdHMuPC9rZXl3b3JkPjwva2V5d29yZHM+PGRhdGVzPjx5ZWFy
PjIwMTg8L3llYXI+PHB1Yi1kYXRlcz48ZGF0ZT5NYXIgMjA8L2RhdGU+PC9wdWItZGF0ZXM+PC9k
YXRlcz48aXNibj4yMDcyLTY2NDMgKEVsZWN0cm9uaWMpJiN4RDsyMDcyLTY2NDMgKExpbmtpbmcp
PC9pc2JuPjxhY2Nlc3Npb24tbnVtPjI5NTU4MzgzPC9hY2Nlc3Npb24tbnVtPjx1cmxzPjxyZWxh
dGVkLXVybHM+PHVybD5odHRwczovL3d3dy5uY2JpLm5sbS5uaWguZ292L3B1Ym1lZC8yOTU1ODM4
MzwvdXJsPjwvcmVsYXRlZC11cmxzPjwvdXJscz48Y3VzdG9tMj5QTUM1ODcyNzk1PC9jdXN0b20y
PjxlbGVjdHJvbmljLXJlc291cmNlLW51bT4xMC4zMzkwL251MTAwMzAzNzc8L2VsZWN0cm9uaWMt
cmVzb3VyY2UtbnVtPjwvcmVjb3JkPjwvQ2l0ZT48L0VuZE5vdGU+
</w:fldData>
              </w:fldChar>
            </w:r>
            <w:r w:rsidR="002747EA">
              <w:instrText xml:space="preserve"> ADDIN EN.CITE </w:instrText>
            </w:r>
            <w:r w:rsidR="002747EA">
              <w:fldChar w:fldCharType="begin">
                <w:fldData xml:space="preserve">PEVuZE5vdGU+PENpdGU+PEF1dGhvcj5MaXU8L0F1dGhvcj48WWVhcj4yMDE4PC9ZZWFyPjxSZWNO
dW0+MTE5NTwvUmVjTnVtPjxEaXNwbGF5VGV4dD48c3R5bGUgZmFjZT0ic3VwZXJzY3JpcHQiIGZv
bnQ9IlRyZWJ1Y2hldCBNUyIgc2l6ZT0iOSI+MjA3PC9zdHlsZT48L0Rpc3BsYXlUZXh0PjxyZWNv
cmQ+PHJlYy1udW1iZXI+MTE5NTwvcmVjLW51bWJlcj48Zm9yZWlnbi1rZXlzPjxrZXkgYXBwPSJF
TiIgZGItaWQ9ImV4dmFzcmZ4MmR0cmFvZXNhc3hwMnN6c3hhMmRmNTAyNTkyeCIgdGltZXN0YW1w
PSIxNTU5NTM1ODg1Ij4xMTk1PC9rZXk+PGtleSBhcHA9IkVOV2ViIiBkYi1pZD0iIj4wPC9rZXk+
PC9mb3JlaWduLWtleXM+PHJlZi10eXBlIG5hbWU9IkpvdXJuYWwgQXJ0aWNsZSI+MTc8L3JlZi10
eXBlPjxjb250cmlidXRvcnM+PGF1dGhvcnM+PGF1dGhvcj5MaXUsIEUuPC9hdXRob3I+PGF1dGhv
cj5QaW1waW4sIEwuPC9hdXRob3I+PGF1dGhvcj5TaHVsa2luLCBNLjwvYXV0aG9yPjxhdXRob3I+
S3JhbnosIFMuPC9hdXRob3I+PGF1dGhvcj5EdWdnYW4sIEMuIFAuPC9hdXRob3I+PGF1dGhvcj5N
b3phZmZhcmlhbiwgRC48L2F1dGhvcj48YXV0aG9yPkZhd3ppLCBXLiBXLjwvYXV0aG9yPjwvYXV0
aG9ycz48L2NvbnRyaWJ1dG9ycz48YXV0aC1hZGRyZXNzPkluc3RpdHV0aW9uYWwgQ2VudGVycyBv
ZiBDbGluaWNhbCBhbmQgVHJhbnNsYXRpb25hbCBSZXNlYXJjaCwgQm9zdG9uIENoaWxkcmVuJmFw
b3M7cyBIb3NwaXRhbCwgMzAwIExvbmd3b29kIEF2ZSwgQm9zdG9uLCBNQSAwMjExNSwgVVNBLiBF
bmp1LkxpdUBjaGlsZHJlbnMuaGFydmFyZC5lZHUuJiN4RDtEaXZpc2lvbiBvZiBHYXN0cm9lbnRl
cm9sb2d5LCBIZXBhdG9sb2d5IGFuZCBOdXRyaXRpb24sIEJvc3RvbiBDaGlsZHJlbiZhcG9zO3Mg
SG9zcGl0YWwsIDMwMCBMb25nd29vZCBBdmUsIEJvc3RvbiwgTUEgMDIxMTUsIFVTQS4gRW5qdS5M
aXVAY2hpbGRyZW5zLmhhcnZhcmQuZWR1LiYjeEQ7RnJpZWRtYW4gU2Nob29sIG9mIE51dHJpdGlv
biBTY2llbmNlIGFuZCBQb2xpY3ksIFR1ZnRzIFVuaXZlcnNpdHksIDE1MCBIYXJyaXNvbiBBdmUs
IEJvc3RvbiwgTUEgMDIxMTEsIFVTQS4gbGF1cmEucGltcGluQGdtYWlsLmNvbS4mI3hEO0ZyaWVk
bWFuIFNjaG9vbCBvZiBOdXRyaXRpb24gU2NpZW5jZSBhbmQgUG9saWN5LCBUdWZ0cyBVbml2ZXJz
aXR5LCAxNTAgSGFycmlzb24gQXZlLCBCb3N0b24sIE1BIDAyMTExLCBVU0EuIHNodWxraW5tQGdt
YWlsLmNvbS4mI3hEO0ZyaWVkbWFuIFNjaG9vbCBvZiBOdXRyaXRpb24gU2NpZW5jZSBhbmQgUG9s
aWN5LCBUdWZ0cyBVbml2ZXJzaXR5LCAxNTAgSGFycmlzb24gQXZlLCBCb3N0b24sIE1BIDAyMTEx
LCBVU0EuIFNhcmFoLktyYW56QHR1ZnRzLmVkdS4mI3hEO0RpdmlzaW9uIG9mIEdhc3Ryb2VudGVy
b2xvZ3ksIEhlcGF0b2xvZ3kgYW5kIE51dHJpdGlvbiwgQm9zdG9uIENoaWxkcmVuJmFwb3M7cyBI
b3NwaXRhbCwgMzAwIExvbmd3b29kIEF2ZSwgQm9zdG9uLCBNQSAwMjExNSwgVVNBLiBjaHJpc3Rv
cGhlci5kdWdnYW5AY2hpbGRyZW5zLmhhcnZhcmQuZWR1LiYjeEQ7RGVwYXJ0bWVudCBvZiBOdXRy
aXRpb24sIEhhcnZhcmQgVC5ILiBDaGFuIFNjaG9vbCBvZiBQdWJsaWMgSGVhbHRoLCBIYXJ2YXJk
IFQuSC4gQ2hhbiBTY2hvb2wgb2YgUHVibGljIEhlYWx0aCwgNjc3IEh1bnRpbmd0b24gQXZlLCBC
b3N0b24sIE1BIDAyMTE1LCBVU0EuIGNocmlzdG9waGVyLmR1Z2dhbkBjaGlsZHJlbnMuaGFydmFy
ZC5lZHUuJiN4RDtEZXBhcnRtZW50IG9mIEdsb2JhbCBIZWFsdGggYW5kIFBvcHVsYXRpb24sIEhh
cnZhcmQgVC5ILiBDaGFuIFNjaG9vbCBvZiBQdWJsaWMgSGVhbHRoLCA2NzcgSHVudGluZ3RvbiBB
dmUsIEJvc3RvbiwgTUEgMDIxMTUsIFVTQS4gY2hyaXN0b3BoZXIuZHVnZ2FuQGNoaWxkcmVucy5o
YXJ2YXJkLmVkdS4mI3hEO0ZyaWVkbWFuIFNjaG9vbCBvZiBOdXRyaXRpb24gU2NpZW5jZSBhbmQg
UG9saWN5LCBUdWZ0cyBVbml2ZXJzaXR5LCAxNTAgSGFycmlzb24gQXZlLCBCb3N0b24sIE1BIDAy
MTExLCBVU0EuIERhcml1c2guTW96YWZmYXJpYW5AdHVmdHMuZWR1LiYjeEQ7RGVwYXJ0bWVudCBv
ZiBOdXRyaXRpb24sIEhhcnZhcmQgVC5ILiBDaGFuIFNjaG9vbCBvZiBQdWJsaWMgSGVhbHRoLCBI
YXJ2YXJkIFQuSC4gQ2hhbiBTY2hvb2wgb2YgUHVibGljIEhlYWx0aCwgNjc3IEh1bnRpbmd0b24g
QXZlLCBCb3N0b24sIE1BIDAyMTE1LCBVU0EuIG1pbmFAaHNwaC5oYXJ2YXJkLmVkdS4mI3hEO0Rl
cGFydG1lbnQgb2YgR2xvYmFsIEhlYWx0aCBhbmQgUG9wdWxhdGlvbiwgSGFydmFyZCBULkguIENo
YW4gU2Nob29sIG9mIFB1YmxpYyBIZWFsdGgsIDY3NyBIdW50aW5ndG9uIEF2ZSwgQm9zdG9uLCBN
QSAwMjExNSwgVVNBLiBtaW5hQGhzcGguaGFydmFyZC5lZHUuJiN4RDtEZXBhcnRtZW50IG9mIEVw
aWRlbWlvbG9neSwgSGFydmFyZCBULkguIENoYW4gU2Nob29sIG9mIFB1YmxpYyBIZWFsdGgsIDY3
NyBIdW50aW5ndG9uIEF2ZSwgQm9zdG9uLCBNQSAwMjExNSwgVVNBLiBtaW5hQGhzcGguaGFydmFy
ZC5lZHUuPC9hdXRoLWFkZHJlc3M+PHRpdGxlcz48dGl0bGU+RWZmZWN0IG9mIFppbmMgU3VwcGxl
bWVudGF0aW9uIG9uIEdyb3d0aCBPdXRjb21lcyBpbiBDaGlsZHJlbiB1bmRlciA1IFllYXJzIG9m
IEFnZTwvdGl0bGU+PHNlY29uZGFyeS10aXRsZT5OdXRyaWVudHM8L3NlY29uZGFyeS10aXRsZT48
L3RpdGxlcz48cGVyaW9kaWNhbD48ZnVsbC10aXRsZT5OdXRyaWVudHM8L2Z1bGwtdGl0bGU+PC9w
ZXJpb2RpY2FsPjx2b2x1bWU+MTA8L3ZvbHVtZT48bnVtYmVyPjM8L251bWJlcj48ZWRpdGlvbj4y
MDE4LzAzLzIxPC9lZGl0aW9uPjxrZXl3b3Jkcz48a2V5d29yZD5BZ2UgRmFjdG9yczwva2V5d29y
ZD48a2V5d29yZD5Cb2R5IEhlaWdodDwva2V5d29yZD48a2V5d29yZD4qQ2hpbGQgRGV2ZWxvcG1l
bnQ8L2tleXdvcmQ+PGtleXdvcmQ+KkNoaWxkIE51dHJpdGlvbmFsIFBoeXNpb2xvZ2ljYWwgUGhl
bm9tZW5hPC9rZXl3b3JkPjxrZXl3b3JkPkNoaWxkLCBQcmVzY2hvb2w8L2tleXdvcmQ+PGtleXdv
cmQ+KkRpZXRhcnkgU3VwcGxlbWVudHMvYWR2ZXJzZSBlZmZlY3RzPC9rZXl3b3JkPjxrZXl3b3Jk
PkZlbWFsZTwva2V5d29yZD48a2V5d29yZD5HZXN0YXRpb25hbCBBZ2U8L2tleXdvcmQ+PGtleXdv
cmQ+SHVtYW5zPC9rZXl3b3JkPjxrZXl3b3JkPkluZmFudDwva2V5d29yZD48a2V5d29yZD5JbmZh
bnQsIE5ld2Jvcm48L2tleXdvcmQ+PGtleXdvcmQ+TWFsZTwva2V5d29yZD48a2V5d29yZD5NYXRl
cm5hbCBOdXRyaXRpb25hbCBQaHlzaW9sb2dpY2FsIFBoZW5vbWVuYTwva2V5d29yZD48a2V5d29y
ZD4qTnV0cml0aW9uYWwgU3RhdHVzPC9rZXl3b3JkPjxrZXl3b3JkPlByZWduYW5jeTwva2V5d29y
ZD48a2V5d29yZD5QcmVuYXRhbCBDYXJlL21ldGhvZHM8L2tleXdvcmQ+PGtleXdvcmQ+UHJlbmF0
YWwgRXhwb3N1cmUgRGVsYXllZCBFZmZlY3RzPC9rZXl3b3JkPjxrZXl3b3JkPlJhbmRvbWl6ZWQg
Q29udHJvbGxlZCBUcmlhbHMgYXMgVG9waWM8L2tleXdvcmQ+PGtleXdvcmQ+UmVjb21tZW5kZWQg
RGlldGFyeSBBbGxvd2FuY2VzPC9rZXl3b3JkPjxrZXl3b3JkPldlaWdodCBHYWluPC9rZXl3b3Jk
PjxrZXl3b3JkPlppbmMvKmFkbWluaXN0cmF0aW9uICZhbXA7IGRvc2FnZS9hZHZlcnNlIGVmZmVj
dHM8L2tleXdvcmQ+PGtleXdvcmQ+Y2hpbGQgZ3Jvd3RoPC9rZXl3b3JkPjxrZXl3b3JkPm1ldGEt
YW5hbHlzaXM8L2tleXdvcmQ+PGtleXdvcmQ+cmFuZG9taXplZCBjb250cm9sbGVkIHRyaWFsPC9r
ZXl3b3JkPjxrZXl3b3JkPnN5c3RlbWF0aWMgcmV2aWV3PC9rZXl3b3JkPjxrZXl3b3JkPnppbmMg
c3VwcGxlbWVudGF0aW9uPC9rZXl3b3JkPjxrZXl3b3JkPkhhYXMgQXZvY2FkbyBCb2FyZCwgQXN0
cmEgWmVuZWNhLCBHT0VELCBEU00sIFBvbGxvY2sgQ29tbXVuaWNhdGlvbnMsIGFuZCBMaWZlPC9r
ZXl3b3JkPjxrZXl3b3JkPlNjaWVuY2VzIFJlc2VhcmNoIE9yZ2FuaXphdGlvbjwva2V5d29yZD48
a2V5d29yZD5jaGFwdGVyIHJveWFsdGllcyBmcm9tIFVwVG9EYXRlPC9rZXl3b3JkPjxrZXl3b3Jk
PmFuZCBzY2llbnRpZmljPC9rZXl3b3JkPjxrZXl3b3JkPmFkdmlzb3J5IGJvYXJkIGZvciBFbHlz
aXVtIEhlYWx0aCwgYW5kIE9tYWRhIEhlYWx0aC4gSGFydmFyZCBVbml2ZXJzaXR5IGhhcyBiZWVu
PC9rZXl3b3JkPjxrZXl3b3JkPmFzc2lnbmVkIHBhdGVudCBVUzg4ODk3MzkgQjIsIGxpc3Rpbmcg
TW96YWZmYXJpYW4gYXMgb25lIG9mIHRocmVlIGNvLWludmVudG9ycyw8L2tleXdvcmQ+PGtleXdv
cmQ+Zm9yICZxdW90O1VzZSBvZiB0cmFuc3BhbG1pdG9sZWljIGFjaWQgaW4gaWRlbnRpZnlpbmcg
YW5kIHRyZWF0aW5nIG1ldGFib2xpYyBkaXNlYXNlJnF1b3Q7Ljwva2V5d29yZD48a2V5d29yZD5E
dWdnYW4gcmVwb3J0cyByb3lhbHRpZXMgZnJvbSBVcFRvRGF0ZSwgYW5kIFBNUEg8L2tleXdvcmQ+
PGtleXdvcmQ+QWxsIG90aGVyIGF1dGhvcnMgZGVjbGFyZSBubzwva2V5d29yZD48a2V5d29yZD5j
b25mbGljdCBvZiBpbnRlcmVzdC4gVGhlIHN0dWR5IGlzIHNwb25zb3JlZCBieSBCaWxsICZhbXA7
IE1lbGluZGEgR2F0ZXMgRm91bmRhdGlvbiw8L2tleXdvcmQ+PGtleXdvcmQ+Z3JhbnQgbnVtYmVy
IE9QUDEwOTk1MDUuIENQRCB3YXMgc3VwcG9ydGVkIGluIHBhcnQgYnkgTklIIGdyYW50cyBLMjRE
SzEwNDY3NiBhbmQ8L2tleXdvcmQ+PGtleXdvcmQ+MlAzMERLMDQwNTYxLiBUaGUgZm91bmRpbmcg
c3BvbnNvcnMgaGFkIG5vIHJvbGUgaW4gdGhlIGRlc2lnbiBvZiB0aGUgc3R1ZHk8L2tleXdvcmQ+
PGtleXdvcmQ+aW48L2tleXdvcmQ+PGtleXdvcmQ+dGhlIGNvbGxlY3Rpb24sIGFuYWx5c2VzLCBv
ciBpbnRlcnByZXRhdGlvbiBvZiBkYXRhPC9rZXl3b3JkPjxrZXl3b3JkPmluIHRoZSB3cml0aW5n
IG9mIHRoZTwva2V5d29yZD48a2V5d29yZD5tYW51c2NyaXB0LCBhbmQgaW4gdGhlIGRlY2lzaW9u
IHRvIHB1Ymxpc2ggdGhlIHJlc3VsdHMuPC9rZXl3b3JkPjwva2V5d29yZHM+PGRhdGVzPjx5ZWFy
PjIwMTg8L3llYXI+PHB1Yi1kYXRlcz48ZGF0ZT5NYXIgMjA8L2RhdGU+PC9wdWItZGF0ZXM+PC9k
YXRlcz48aXNibj4yMDcyLTY2NDMgKEVsZWN0cm9uaWMpJiN4RDsyMDcyLTY2NDMgKExpbmtpbmcp
PC9pc2JuPjxhY2Nlc3Npb24tbnVtPjI5NTU4MzgzPC9hY2Nlc3Npb24tbnVtPjx1cmxzPjxyZWxh
dGVkLXVybHM+PHVybD5odHRwczovL3d3dy5uY2JpLm5sbS5uaWguZ292L3B1Ym1lZC8yOTU1ODM4
MzwvdXJsPjwvcmVsYXRlZC11cmxzPjwvdXJscz48Y3VzdG9tMj5QTUM1ODcyNzk1PC9jdXN0b20y
PjxlbGVjdHJvbmljLXJlc291cmNlLW51bT4xMC4zMzkwL251MTAwMzAzNzc8L2VsZWN0cm9uaWMt
cmVzb3VyY2UtbnVtPjwvcmVjb3JkPjwvQ2l0ZT48L0VuZE5vdGU+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207</w:t>
            </w:r>
            <w:r w:rsidR="00BE7640">
              <w:fldChar w:fldCharType="end"/>
            </w:r>
          </w:p>
        </w:tc>
      </w:tr>
      <w:tr w:rsidR="000F71A9" w:rsidRPr="00D77EAD" w14:paraId="4F295D5D" w14:textId="77777777" w:rsidTr="000F71A9">
        <w:trPr>
          <w:cantSplit/>
        </w:trPr>
        <w:tc>
          <w:tcPr>
            <w:tcW w:w="1305" w:type="dxa"/>
          </w:tcPr>
          <w:p w14:paraId="4E136B30" w14:textId="4CDBC8CF" w:rsidR="000F71A9" w:rsidRDefault="000F71A9" w:rsidP="003523C5">
            <w:pPr>
              <w:keepNext/>
            </w:pPr>
            <w:r>
              <w:t>Zahiri Sorouri et al 2016</w:t>
            </w:r>
            <w:r w:rsidR="00BE7640">
              <w:fldChar w:fldCharType="begin">
                <w:fldData xml:space="preserve">PEVuZE5vdGU+PENpdGU+PEF1dGhvcj5aYWhpcmkgU29yb3VyaTwvQXV0aG9yPjxZZWFyPjIwMTY8
L1llYXI+PFJlY051bT4xMTk0PC9SZWNOdW0+PERpc3BsYXlUZXh0PjxzdHlsZSBmYWNlPSJzdXBl
cnNjcmlwdCIgZm9udD0iVHJlYnVjaGV0IE1TIiBzaXplPSI5Ij4yMTA8L3N0eWxlPjwvRGlzcGxh
eVRleHQ+PHJlY29yZD48cmVjLW51bWJlcj4xMTk0PC9yZWMtbnVtYmVyPjxmb3JlaWduLWtleXM+
PGtleSBhcHA9IkVOIiBkYi1pZD0iZXh2YXNyZngyZHRyYW9lc2FzeHAyc3pzeGEyZGY1MDI1OTJ4
IiB0aW1lc3RhbXA9IjE1NTk1MzM3MTYiPjExOTQ8L2tleT48a2V5IGFwcD0iRU5XZWIiIGRiLWlk
PSIiPjA8L2tleT48L2ZvcmVpZ24ta2V5cz48cmVmLXR5cGUgbmFtZT0iSm91cm5hbCBBcnRpY2xl
Ij4xNzwvcmVmLXR5cGU+PGNvbnRyaWJ1dG9ycz48YXV0aG9ycz48YXV0aG9yPlphaGlyaSBTb3Jv
dXJpLCBaLjwvYXV0aG9yPjxhdXRob3I+U2FkZWdoaSwgSC48L2F1dGhvcj48YXV0aG9yPlBvdXJt
YXJ6aSwgRC48L2F1dGhvcj48L2F1dGhvcnM+PC9jb250cmlidXRvcnM+PGF1dGgtYWRkcmVzcz5h
IERlcGFydG1lbnQgb2YgT2JzdGV0cmljcyBhbmQgR3luZWNvbG9neSAsIFJlcHJvZHVjdGl2ZSBI
ZWFsdGggUmVzZWFyY2ggQ2VudGVyLCBBbHphaHJhIEhvc3BpdGFsLCBHdWlsYW4gVW5pdmVyc2l0
eSBvZiBNZWRpY2FsIFNjaWVuY2VzICwgUmFzaHQgLCBJcmFuIGFuZC4mI3hEO2IgUmVwcm9kdWN0
aXZlIEhlYWx0aCBSZXNlYXJjaCBDZW50ZXIsIEFsemFocmEgSG9zcGl0YWwsIEd1aWxhbiBVbml2
ZXJzaXR5IG9mIE1lZGljYWwgU2NpZW5jZXMgLCBSYXNodCAsIElyYW4uPC9hdXRoLWFkZHJlc3M+
PHRpdGxlcz48dGl0bGU+VGhlIGVmZmVjdCBvZiB6aW5jIHN1cHBsZW1lbnRhdGlvbiBvbiBwcmVn
bmFuY3kgb3V0Y29tZTogYSByYW5kb21pemVkIGNvbnRyb2xsZWQgdHJpYWw8L3RpdGxlPjxzZWNv
bmRhcnktdGl0bGU+SiBNYXRlcm4gRmV0YWwgTmVvbmF0YWwgTWVkPC9zZWNvbmRhcnktdGl0bGU+
PC90aXRsZXM+PHBlcmlvZGljYWw+PGZ1bGwtdGl0bGU+SiBNYXRlcm4gRmV0YWwgTmVvbmF0YWwg
TWVkPC9mdWxsLXRpdGxlPjwvcGVyaW9kaWNhbD48cGFnZXM+MjE5NC04PC9wYWdlcz48dm9sdW1l
PjI5PC92b2x1bWU+PG51bWJlcj4xMzwvbnVtYmVyPjxlZGl0aW9uPjIwMTUvMDkvMTU8L2VkaXRp
b24+PGtleXdvcmRzPjxrZXl3b3JkPkFkdWx0PC9rZXl3b3JkPjxrZXl3b3JkPkJpcnRoIFdlaWdo
dC9kcnVnIGVmZmVjdHM8L2tleXdvcmQ+PGtleXdvcmQ+KkRpZXRhcnkgU3VwcGxlbWVudHM8L2tl
eXdvcmQ+PGtleXdvcmQ+RmVtYWxlPC9rZXl3b3JkPjxrZXl3b3JkPkh1bWFuczwva2V5d29yZD48
a2V5d29yZD5JbmZhbnQsIE5ld2Jvcm48L2tleXdvcmQ+PGtleXdvcmQ+SXJhbi9lcGlkZW1pb2xv
Z3k8L2tleXdvcmQ+PGtleXdvcmQ+UHJlZ25hbmN5PC9rZXl3b3JkPjxrZXl3b3JkPlByZWduYW5j
eSBDb21wbGljYXRpb25zL2VwaWRlbWlvbG9neTwva2V5d29yZD48a2V5d29yZD4qUHJlZ25hbmN5
IE91dGNvbWUvZXBpZGVtaW9sb2d5PC9rZXl3b3JkPjxrZXl3b3JkPllvdW5nIEFkdWx0PC9rZXl3
b3JkPjxrZXl3b3JkPlppbmMvKmFkbWluaXN0cmF0aW9uICZhbXA7IGRvc2FnZTwva2V5d29yZD48
a2V5d29yZD5CaXJ0aCB3ZWlnaHQ8L2tleXdvcmQ+PGtleXdvcmQ+bWF0ZXJuYWwgb3V0Y29tZTwv
a2V5d29yZD48a2V5d29yZD5uZW9uYXRhbCBvdXRjb21lPC9rZXl3b3JkPjxrZXl3b3JkPnppbmMg
c3VwcGxlbWVudGF0aW9uPC9rZXl3b3JkPjwva2V5d29yZHM+PGRhdGVzPjx5ZWFyPjIwMTY8L3ll
YXI+PC9kYXRlcz48aXNibj4xNDc2LTQ5NTQgKEVsZWN0cm9uaWMpJiN4RDsxNDc2LTQ5NTQgKExp
bmtpbmcpPC9pc2JuPjxhY2Nlc3Npb24tbnVtPjI2MzY1MzMwPC9hY2Nlc3Npb24tbnVtPjx1cmxz
PjxyZWxhdGVkLXVybHM+PHVybD5odHRwczovL3d3dy5uY2JpLm5sbS5uaWguZ292L3B1Ym1lZC8y
NjM2NTMzMDwvdXJsPjwvcmVsYXRlZC11cmxzPjwvdXJscz48ZWxlY3Ryb25pYy1yZXNvdXJjZS1u
dW0+MTAuMzEwOS8xNDc2NzA1OC4yMDE1LjEwNzk2MTU8L2VsZWN0cm9uaWMtcmVzb3VyY2UtbnVt
PjwvcmVjb3JkPjwvQ2l0ZT48L0VuZE5vdGU+
</w:fldData>
              </w:fldChar>
            </w:r>
            <w:r w:rsidR="002747EA">
              <w:instrText xml:space="preserve"> ADDIN EN.CITE </w:instrText>
            </w:r>
            <w:r w:rsidR="002747EA">
              <w:fldChar w:fldCharType="begin">
                <w:fldData xml:space="preserve">PEVuZE5vdGU+PENpdGU+PEF1dGhvcj5aYWhpcmkgU29yb3VyaTwvQXV0aG9yPjxZZWFyPjIwMTY8
L1llYXI+PFJlY051bT4xMTk0PC9SZWNOdW0+PERpc3BsYXlUZXh0PjxzdHlsZSBmYWNlPSJzdXBl
cnNjcmlwdCIgZm9udD0iVHJlYnVjaGV0IE1TIiBzaXplPSI5Ij4yMTA8L3N0eWxlPjwvRGlzcGxh
eVRleHQ+PHJlY29yZD48cmVjLW51bWJlcj4xMTk0PC9yZWMtbnVtYmVyPjxmb3JlaWduLWtleXM+
PGtleSBhcHA9IkVOIiBkYi1pZD0iZXh2YXNyZngyZHRyYW9lc2FzeHAyc3pzeGEyZGY1MDI1OTJ4
IiB0aW1lc3RhbXA9IjE1NTk1MzM3MTYiPjExOTQ8L2tleT48a2V5IGFwcD0iRU5XZWIiIGRiLWlk
PSIiPjA8L2tleT48L2ZvcmVpZ24ta2V5cz48cmVmLXR5cGUgbmFtZT0iSm91cm5hbCBBcnRpY2xl
Ij4xNzwvcmVmLXR5cGU+PGNvbnRyaWJ1dG9ycz48YXV0aG9ycz48YXV0aG9yPlphaGlyaSBTb3Jv
dXJpLCBaLjwvYXV0aG9yPjxhdXRob3I+U2FkZWdoaSwgSC48L2F1dGhvcj48YXV0aG9yPlBvdXJt
YXJ6aSwgRC48L2F1dGhvcj48L2F1dGhvcnM+PC9jb250cmlidXRvcnM+PGF1dGgtYWRkcmVzcz5h
IERlcGFydG1lbnQgb2YgT2JzdGV0cmljcyBhbmQgR3luZWNvbG9neSAsIFJlcHJvZHVjdGl2ZSBI
ZWFsdGggUmVzZWFyY2ggQ2VudGVyLCBBbHphaHJhIEhvc3BpdGFsLCBHdWlsYW4gVW5pdmVyc2l0
eSBvZiBNZWRpY2FsIFNjaWVuY2VzICwgUmFzaHQgLCBJcmFuIGFuZC4mI3hEO2IgUmVwcm9kdWN0
aXZlIEhlYWx0aCBSZXNlYXJjaCBDZW50ZXIsIEFsemFocmEgSG9zcGl0YWwsIEd1aWxhbiBVbml2
ZXJzaXR5IG9mIE1lZGljYWwgU2NpZW5jZXMgLCBSYXNodCAsIElyYW4uPC9hdXRoLWFkZHJlc3M+
PHRpdGxlcz48dGl0bGU+VGhlIGVmZmVjdCBvZiB6aW5jIHN1cHBsZW1lbnRhdGlvbiBvbiBwcmVn
bmFuY3kgb3V0Y29tZTogYSByYW5kb21pemVkIGNvbnRyb2xsZWQgdHJpYWw8L3RpdGxlPjxzZWNv
bmRhcnktdGl0bGU+SiBNYXRlcm4gRmV0YWwgTmVvbmF0YWwgTWVkPC9zZWNvbmRhcnktdGl0bGU+
PC90aXRsZXM+PHBlcmlvZGljYWw+PGZ1bGwtdGl0bGU+SiBNYXRlcm4gRmV0YWwgTmVvbmF0YWwg
TWVkPC9mdWxsLXRpdGxlPjwvcGVyaW9kaWNhbD48cGFnZXM+MjE5NC04PC9wYWdlcz48dm9sdW1l
PjI5PC92b2x1bWU+PG51bWJlcj4xMzwvbnVtYmVyPjxlZGl0aW9uPjIwMTUvMDkvMTU8L2VkaXRp
b24+PGtleXdvcmRzPjxrZXl3b3JkPkFkdWx0PC9rZXl3b3JkPjxrZXl3b3JkPkJpcnRoIFdlaWdo
dC9kcnVnIGVmZmVjdHM8L2tleXdvcmQ+PGtleXdvcmQ+KkRpZXRhcnkgU3VwcGxlbWVudHM8L2tl
eXdvcmQ+PGtleXdvcmQ+RmVtYWxlPC9rZXl3b3JkPjxrZXl3b3JkPkh1bWFuczwva2V5d29yZD48
a2V5d29yZD5JbmZhbnQsIE5ld2Jvcm48L2tleXdvcmQ+PGtleXdvcmQ+SXJhbi9lcGlkZW1pb2xv
Z3k8L2tleXdvcmQ+PGtleXdvcmQ+UHJlZ25hbmN5PC9rZXl3b3JkPjxrZXl3b3JkPlByZWduYW5j
eSBDb21wbGljYXRpb25zL2VwaWRlbWlvbG9neTwva2V5d29yZD48a2V5d29yZD4qUHJlZ25hbmN5
IE91dGNvbWUvZXBpZGVtaW9sb2d5PC9rZXl3b3JkPjxrZXl3b3JkPllvdW5nIEFkdWx0PC9rZXl3
b3JkPjxrZXl3b3JkPlppbmMvKmFkbWluaXN0cmF0aW9uICZhbXA7IGRvc2FnZTwva2V5d29yZD48
a2V5d29yZD5CaXJ0aCB3ZWlnaHQ8L2tleXdvcmQ+PGtleXdvcmQ+bWF0ZXJuYWwgb3V0Y29tZTwv
a2V5d29yZD48a2V5d29yZD5uZW9uYXRhbCBvdXRjb21lPC9rZXl3b3JkPjxrZXl3b3JkPnppbmMg
c3VwcGxlbWVudGF0aW9uPC9rZXl3b3JkPjwva2V5d29yZHM+PGRhdGVzPjx5ZWFyPjIwMTY8L3ll
YXI+PC9kYXRlcz48aXNibj4xNDc2LTQ5NTQgKEVsZWN0cm9uaWMpJiN4RDsxNDc2LTQ5NTQgKExp
bmtpbmcpPC9pc2JuPjxhY2Nlc3Npb24tbnVtPjI2MzY1MzMwPC9hY2Nlc3Npb24tbnVtPjx1cmxz
PjxyZWxhdGVkLXVybHM+PHVybD5odHRwczovL3d3dy5uY2JpLm5sbS5uaWguZ292L3B1Ym1lZC8y
NjM2NTMzMDwvdXJsPjwvcmVsYXRlZC11cmxzPjwvdXJscz48ZWxlY3Ryb25pYy1yZXNvdXJjZS1u
dW0+MTAuMzEwOS8xNDc2NzA1OC4yMDE1LjEwNzk2MTU8L2VsZWN0cm9uaWMtcmVzb3VyY2UtbnVt
PjwvcmVjb3JkPjwvQ2l0ZT48L0VuZE5vdGU+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210</w:t>
            </w:r>
            <w:r w:rsidR="00BE7640">
              <w:fldChar w:fldCharType="end"/>
            </w:r>
          </w:p>
          <w:p w14:paraId="039ED9AE" w14:textId="5A03F01F" w:rsidR="00DE2A9C" w:rsidRDefault="00DE2A9C" w:rsidP="003523C5">
            <w:pPr>
              <w:keepNext/>
            </w:pPr>
            <w:r>
              <w:t>Iran</w:t>
            </w:r>
          </w:p>
        </w:tc>
        <w:tc>
          <w:tcPr>
            <w:tcW w:w="1528" w:type="dxa"/>
          </w:tcPr>
          <w:p w14:paraId="30AAD184" w14:textId="77777777" w:rsidR="000F71A9" w:rsidRDefault="000F71A9" w:rsidP="000F71A9">
            <w:pPr>
              <w:keepNext/>
            </w:pPr>
            <w:r>
              <w:t>Intervention</w:t>
            </w:r>
            <w:r w:rsidR="00FC6609">
              <w:t xml:space="preserve"> 270</w:t>
            </w:r>
          </w:p>
          <w:p w14:paraId="001193AC" w14:textId="04FA8F2E" w:rsidR="00FC6609" w:rsidRDefault="00C65A72" w:rsidP="000F71A9">
            <w:pPr>
              <w:keepNext/>
            </w:pPr>
            <w:r>
              <w:t xml:space="preserve">Control </w:t>
            </w:r>
            <w:r w:rsidR="00FC6609">
              <w:t>270</w:t>
            </w:r>
          </w:p>
        </w:tc>
        <w:tc>
          <w:tcPr>
            <w:tcW w:w="4680" w:type="dxa"/>
          </w:tcPr>
          <w:p w14:paraId="1925F08A" w14:textId="40300AF8" w:rsidR="00D741EF" w:rsidRPr="00D741EF" w:rsidRDefault="00D741EF" w:rsidP="00D741EF">
            <w:pPr>
              <w:rPr>
                <w:rFonts w:ascii="Helvetica" w:hAnsi="Helvetica"/>
              </w:rPr>
            </w:pPr>
            <w:r>
              <w:rPr>
                <w:b/>
              </w:rPr>
              <w:t xml:space="preserve">Aim: </w:t>
            </w:r>
            <w:r w:rsidRPr="00D741EF">
              <w:t>to evaluate the impact of prenatal zinc supplementation on</w:t>
            </w:r>
            <w:r>
              <w:t xml:space="preserve"> </w:t>
            </w:r>
            <w:r w:rsidRPr="00D741EF">
              <w:rPr>
                <w:rFonts w:ascii="Helvetica" w:hAnsi="Helvetica"/>
              </w:rPr>
              <w:t>pregnancy outcomes.</w:t>
            </w:r>
          </w:p>
          <w:p w14:paraId="4C9E9755" w14:textId="6D194F62" w:rsidR="000F71A9" w:rsidRPr="00D741EF" w:rsidRDefault="00D741EF" w:rsidP="00D741EF">
            <w:r>
              <w:rPr>
                <w:b/>
              </w:rPr>
              <w:t xml:space="preserve">Population: </w:t>
            </w:r>
            <w:r w:rsidRPr="00D741EF">
              <w:t>healthy women at 16 weeks of</w:t>
            </w:r>
            <w:r>
              <w:t xml:space="preserve"> </w:t>
            </w:r>
            <w:r w:rsidRPr="00D741EF">
              <w:t>gestatio</w:t>
            </w:r>
            <w:r>
              <w:t>n</w:t>
            </w:r>
          </w:p>
          <w:p w14:paraId="3D5AEE73" w14:textId="25855530" w:rsidR="00D741EF" w:rsidRPr="00D741EF" w:rsidRDefault="00D741EF" w:rsidP="00131D6B">
            <w:r w:rsidRPr="00D741EF">
              <w:rPr>
                <w:b/>
              </w:rPr>
              <w:t>Intervention</w:t>
            </w:r>
            <w:r>
              <w:t xml:space="preserve">: </w:t>
            </w:r>
            <w:r w:rsidRPr="00D741EF">
              <w:t>400</w:t>
            </w:r>
            <w:r w:rsidR="00131D6B">
              <w:t xml:space="preserve"> </w:t>
            </w:r>
            <w:r w:rsidR="00131D6B">
              <w:rPr>
                <w:rFonts w:ascii="Times" w:hAnsi="Times"/>
              </w:rPr>
              <w:sym w:font="Symbol" w:char="F06D"/>
            </w:r>
            <w:r w:rsidRPr="00D741EF">
              <w:t>g f</w:t>
            </w:r>
            <w:r w:rsidR="00131D6B">
              <w:t>olic acid and 30 mg ferrous sulph</w:t>
            </w:r>
            <w:r w:rsidRPr="00D741EF">
              <w:t>ate,</w:t>
            </w:r>
            <w:r>
              <w:t xml:space="preserve"> </w:t>
            </w:r>
            <w:r w:rsidR="00131D6B">
              <w:t>with or without 15-mg zinc sulph</w:t>
            </w:r>
            <w:r w:rsidRPr="00D741EF">
              <w:t xml:space="preserve">ate from the 16th week of gestation until </w:t>
            </w:r>
            <w:r w:rsidR="00131D6B">
              <w:t>birth.</w:t>
            </w:r>
          </w:p>
        </w:tc>
        <w:tc>
          <w:tcPr>
            <w:tcW w:w="4536" w:type="dxa"/>
          </w:tcPr>
          <w:p w14:paraId="770ABDD6" w14:textId="77777777" w:rsidR="000F71A9" w:rsidRDefault="00131D6B" w:rsidP="000F71A9">
            <w:r>
              <w:t>Intervention vs control:</w:t>
            </w:r>
          </w:p>
          <w:p w14:paraId="7782A00F" w14:textId="0B20E5A4" w:rsidR="008F26DC" w:rsidRPr="008F26DC" w:rsidRDefault="000F7BE5" w:rsidP="008F26DC">
            <w:pPr>
              <w:pStyle w:val="bullet"/>
            </w:pPr>
            <w:r>
              <w:t>Pre-eclampsia: 23/270 (8.5%) vs 19/270 (7.0%)</w:t>
            </w:r>
            <w:r w:rsidR="008F26DC">
              <w:t xml:space="preserve"> — </w:t>
            </w:r>
            <w:r w:rsidR="008F26DC" w:rsidRPr="008F26DC">
              <w:rPr>
                <w:lang w:val="en-AU"/>
              </w:rPr>
              <w:t xml:space="preserve">RR </w:t>
            </w:r>
            <w:r w:rsidR="008F26DC">
              <w:rPr>
                <w:lang w:val="en-AU"/>
              </w:rPr>
              <w:t>1.21 (0.68 to 2.17)</w:t>
            </w:r>
          </w:p>
          <w:p w14:paraId="45C17A11" w14:textId="0F2DFF9D" w:rsidR="00131D6B" w:rsidRDefault="000F7BE5" w:rsidP="00C17D56">
            <w:pPr>
              <w:pStyle w:val="bullet"/>
            </w:pPr>
            <w:r>
              <w:t>Preterm birth (&lt;37 wks): 14/270 (8.5%) vs 15/270 (5.6%)</w:t>
            </w:r>
            <w:r w:rsidR="00C17D56">
              <w:t xml:space="preserve"> </w:t>
            </w:r>
            <w:r w:rsidR="00C17D56" w:rsidRPr="00C17D56">
              <w:t xml:space="preserve">— </w:t>
            </w:r>
            <w:r w:rsidR="00DC7007">
              <w:t xml:space="preserve">RR </w:t>
            </w:r>
            <w:r w:rsidR="00C17D56" w:rsidRPr="00C17D56">
              <w:t>0.93 (0.46 to</w:t>
            </w:r>
            <w:r w:rsidR="00C17D56" w:rsidRPr="00C17D56">
              <w:rPr>
                <w:lang w:val="en-AU"/>
              </w:rPr>
              <w:t xml:space="preserve"> 1.90</w:t>
            </w:r>
            <w:r w:rsidR="00C17D56" w:rsidRPr="00C17D56">
              <w:t>)</w:t>
            </w:r>
          </w:p>
          <w:p w14:paraId="0B18E04A" w14:textId="2F2A8CEF" w:rsidR="000F7BE5" w:rsidRDefault="000F7BE5" w:rsidP="00967A97">
            <w:pPr>
              <w:pStyle w:val="bullet"/>
            </w:pPr>
            <w:r>
              <w:t>Low birthweight: 17/263 (6.5%) vs 19/265 (7.2%)</w:t>
            </w:r>
            <w:r w:rsidR="00967A97">
              <w:t xml:space="preserve"> — RR</w:t>
            </w:r>
            <w:r w:rsidR="00967A97" w:rsidRPr="00967A97">
              <w:t xml:space="preserve"> </w:t>
            </w:r>
            <w:r w:rsidR="00967A97">
              <w:rPr>
                <w:lang w:val="en-AU"/>
              </w:rPr>
              <w:t>0.90 (0.48 to 1.70)</w:t>
            </w:r>
          </w:p>
          <w:p w14:paraId="36A5629E" w14:textId="2F91345F" w:rsidR="000F7BE5" w:rsidRDefault="000F7BE5" w:rsidP="00E5661E">
            <w:pPr>
              <w:pStyle w:val="bullet"/>
            </w:pPr>
            <w:r>
              <w:t>Macrosomia (≥4,000 g): 11/263 (4.2%) vs 8/265 (3.0%)</w:t>
            </w:r>
            <w:r w:rsidR="00967A97">
              <w:t xml:space="preserve"> — RR</w:t>
            </w:r>
            <w:r w:rsidR="00E5661E">
              <w:t xml:space="preserve"> </w:t>
            </w:r>
            <w:r w:rsidR="00E5661E">
              <w:rPr>
                <w:lang w:val="en-AU"/>
              </w:rPr>
              <w:t>1.39 (0.57 to 3.39)</w:t>
            </w:r>
          </w:p>
          <w:p w14:paraId="647A77C3" w14:textId="1606B575" w:rsidR="000F7BE5" w:rsidRDefault="000F7BE5" w:rsidP="006C0497">
            <w:pPr>
              <w:pStyle w:val="bullet"/>
            </w:pPr>
            <w:r>
              <w:t>Apgar score &lt;7 at 5 mins: 16/263 (6.1%) vs 17/265 (6.4%)</w:t>
            </w:r>
            <w:r w:rsidR="006C0497">
              <w:t xml:space="preserve"> — RR</w:t>
            </w:r>
            <w:r w:rsidR="006C0497" w:rsidRPr="006C0497">
              <w:t xml:space="preserve"> </w:t>
            </w:r>
            <w:r w:rsidR="006C0497">
              <w:rPr>
                <w:lang w:val="en-AU"/>
              </w:rPr>
              <w:t>0.95 (0.49 to</w:t>
            </w:r>
            <w:r w:rsidR="006C0497" w:rsidRPr="006C0497">
              <w:rPr>
                <w:lang w:val="en-AU"/>
              </w:rPr>
              <w:t xml:space="preserve"> 1.84</w:t>
            </w:r>
            <w:r w:rsidR="006C0497">
              <w:rPr>
                <w:lang w:val="en-AU"/>
              </w:rPr>
              <w:t>)</w:t>
            </w:r>
          </w:p>
        </w:tc>
        <w:tc>
          <w:tcPr>
            <w:tcW w:w="1843" w:type="dxa"/>
          </w:tcPr>
          <w:p w14:paraId="49514DFA" w14:textId="77777777" w:rsidR="000F71A9" w:rsidRDefault="000F71A9" w:rsidP="000F71A9">
            <w:pPr>
              <w:keepNext/>
            </w:pPr>
          </w:p>
        </w:tc>
      </w:tr>
    </w:tbl>
    <w:p w14:paraId="635670C8" w14:textId="5A3F0753" w:rsidR="005F5D31" w:rsidRDefault="009C163D" w:rsidP="00BD61CC">
      <w:pPr>
        <w:pStyle w:val="TableName"/>
        <w:pageBreakBefore/>
        <w:ind w:left="1134" w:hanging="1134"/>
      </w:pPr>
      <w:bookmarkStart w:id="99" w:name="_Toc40956634"/>
      <w:r>
        <w:t xml:space="preserve">Q3 </w:t>
      </w:r>
      <w:r w:rsidR="00D150D8">
        <w:t>Harms and benefits of m</w:t>
      </w:r>
      <w:r w:rsidR="005F5D31">
        <w:t xml:space="preserve">agnesium </w:t>
      </w:r>
      <w:r w:rsidR="00D150D8">
        <w:t xml:space="preserve">supplementation </w:t>
      </w:r>
      <w:r w:rsidR="00BC1D42">
        <w:t xml:space="preserve">in pregnancy </w:t>
      </w:r>
      <w:r w:rsidR="005F5D31">
        <w:t>— systematic reviews</w:t>
      </w:r>
      <w:bookmarkEnd w:id="9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6: Q3 Harms and benefits of magnesium supplementation in pregnancy — systematic reviews"/>
      </w:tblPr>
      <w:tblGrid>
        <w:gridCol w:w="1305"/>
        <w:gridCol w:w="1247"/>
        <w:gridCol w:w="4961"/>
        <w:gridCol w:w="4536"/>
        <w:gridCol w:w="1843"/>
      </w:tblGrid>
      <w:tr w:rsidR="005F5D31" w:rsidRPr="00F350A6" w14:paraId="3DCFC8C6" w14:textId="77777777" w:rsidTr="000F71A9">
        <w:trPr>
          <w:cantSplit/>
          <w:tblHeader/>
        </w:trPr>
        <w:tc>
          <w:tcPr>
            <w:tcW w:w="1305" w:type="dxa"/>
          </w:tcPr>
          <w:p w14:paraId="7FC552D7" w14:textId="77777777" w:rsidR="005F5D31" w:rsidRPr="00F350A6" w:rsidRDefault="005F5D31" w:rsidP="000F71A9">
            <w:pPr>
              <w:keepNext/>
              <w:rPr>
                <w:b/>
              </w:rPr>
            </w:pPr>
            <w:r>
              <w:rPr>
                <w:b/>
              </w:rPr>
              <w:t>Study ref</w:t>
            </w:r>
          </w:p>
        </w:tc>
        <w:tc>
          <w:tcPr>
            <w:tcW w:w="1247" w:type="dxa"/>
          </w:tcPr>
          <w:p w14:paraId="50080A1A" w14:textId="77777777" w:rsidR="005F5D31" w:rsidRPr="00F350A6" w:rsidRDefault="005F5D31" w:rsidP="000F71A9">
            <w:pPr>
              <w:keepNext/>
              <w:rPr>
                <w:b/>
              </w:rPr>
            </w:pPr>
            <w:r>
              <w:rPr>
                <w:b/>
              </w:rPr>
              <w:t>N</w:t>
            </w:r>
          </w:p>
        </w:tc>
        <w:tc>
          <w:tcPr>
            <w:tcW w:w="4961" w:type="dxa"/>
          </w:tcPr>
          <w:p w14:paraId="5F7854FF" w14:textId="502A0775" w:rsidR="005F5D31" w:rsidRPr="00F350A6" w:rsidRDefault="00DC7D99" w:rsidP="00DE2A9C">
            <w:pPr>
              <w:keepNext/>
              <w:rPr>
                <w:b/>
              </w:rPr>
            </w:pPr>
            <w:r>
              <w:rPr>
                <w:b/>
              </w:rPr>
              <w:t>Aim</w:t>
            </w:r>
            <w:r w:rsidR="005F5D31">
              <w:rPr>
                <w:b/>
              </w:rPr>
              <w:t>/</w:t>
            </w:r>
            <w:r w:rsidR="005F5D31" w:rsidRPr="00F350A6">
              <w:rPr>
                <w:b/>
              </w:rPr>
              <w:t>population</w:t>
            </w:r>
            <w:r w:rsidR="005F5D31">
              <w:rPr>
                <w:b/>
              </w:rPr>
              <w:t>/</w:t>
            </w:r>
            <w:r>
              <w:rPr>
                <w:b/>
              </w:rPr>
              <w:t>interventions</w:t>
            </w:r>
          </w:p>
        </w:tc>
        <w:tc>
          <w:tcPr>
            <w:tcW w:w="4536" w:type="dxa"/>
          </w:tcPr>
          <w:p w14:paraId="26619467" w14:textId="77777777" w:rsidR="005F5D31" w:rsidRPr="00F350A6" w:rsidRDefault="005F5D31" w:rsidP="000F71A9">
            <w:pPr>
              <w:keepNext/>
              <w:rPr>
                <w:b/>
              </w:rPr>
            </w:pPr>
            <w:r>
              <w:rPr>
                <w:b/>
              </w:rPr>
              <w:t>Results</w:t>
            </w:r>
          </w:p>
        </w:tc>
        <w:tc>
          <w:tcPr>
            <w:tcW w:w="1843" w:type="dxa"/>
          </w:tcPr>
          <w:p w14:paraId="0886FE20" w14:textId="77777777" w:rsidR="005F5D31" w:rsidRPr="00F350A6" w:rsidRDefault="005F5D31" w:rsidP="000F71A9">
            <w:pPr>
              <w:keepNext/>
              <w:rPr>
                <w:b/>
              </w:rPr>
            </w:pPr>
            <w:r>
              <w:rPr>
                <w:b/>
              </w:rPr>
              <w:t>Comments</w:t>
            </w:r>
          </w:p>
        </w:tc>
      </w:tr>
      <w:tr w:rsidR="005F5D31" w:rsidRPr="00D77EAD" w14:paraId="5057B2BA" w14:textId="77777777" w:rsidTr="000F71A9">
        <w:trPr>
          <w:cantSplit/>
        </w:trPr>
        <w:tc>
          <w:tcPr>
            <w:tcW w:w="1305" w:type="dxa"/>
          </w:tcPr>
          <w:p w14:paraId="4A2AC272" w14:textId="14E2C352" w:rsidR="005F5D31" w:rsidRDefault="005F5D31" w:rsidP="003523C5">
            <w:pPr>
              <w:keepNext/>
            </w:pPr>
            <w:r>
              <w:t>Makrides et al 2014</w:t>
            </w:r>
            <w:r w:rsidR="00BE7640">
              <w:fldChar w:fldCharType="begin"/>
            </w:r>
            <w:r w:rsidR="002747EA">
              <w:instrText xml:space="preserve"> ADDIN EN.CITE &lt;EndNote&gt;&lt;Cite&gt;&lt;Author&gt;Makrides&lt;/Author&gt;&lt;Year&gt;2014&lt;/Year&gt;&lt;RecNum&gt;1192&lt;/RecNum&gt;&lt;DisplayText&gt;&lt;style face="superscript" font="Trebuchet MS" size="9"&gt;212&lt;/style&gt;&lt;/DisplayText&gt;&lt;record&gt;&lt;rec-number&gt;1192&lt;/rec-number&gt;&lt;foreign-keys&gt;&lt;key app="EN" db-id="exvasrfx2dtraoesasxp2szsxa2df502592x" timestamp="1559283572"&gt;1192&lt;/key&gt;&lt;key app="ENWeb" db-id=""&gt;0&lt;/key&gt;&lt;/foreign-keys&gt;&lt;ref-type name="Journal Article"&gt;17&lt;/ref-type&gt;&lt;contributors&gt;&lt;authors&gt;&lt;author&gt;Makrides, Maria&lt;/author&gt;&lt;author&gt;Crosby, Danielle D.&lt;/author&gt;&lt;author&gt;Shepherd, Emily&lt;/author&gt;&lt;author&gt;Crowther, Caroline A.&lt;/author&gt;&lt;/authors&gt;&lt;/contributors&gt;&lt;titles&gt;&lt;title&gt;Magnesium supplementation in pregnancy&lt;/title&gt;&lt;secondary-title&gt;Cochrane Database of Systematic Reviews&lt;/secondary-title&gt;&lt;/titles&gt;&lt;periodical&gt;&lt;full-title&gt;Cochrane Database of Systematic Reviews&lt;/full-title&gt;&lt;/periodical&gt;&lt;dates&gt;&lt;year&gt;2014&lt;/year&gt;&lt;/dates&gt;&lt;isbn&gt;14651858&lt;/isbn&gt;&lt;urls&gt;&lt;/urls&gt;&lt;electronic-resource-num&gt;10.1002/14651858.CD000937.pub2&lt;/electronic-resource-num&gt;&lt;/record&gt;&lt;/Cite&gt;&lt;/EndNote&gt;</w:instrText>
            </w:r>
            <w:r w:rsidR="00BE7640">
              <w:fldChar w:fldCharType="separate"/>
            </w:r>
            <w:r w:rsidR="002747EA" w:rsidRPr="002747EA">
              <w:rPr>
                <w:noProof/>
                <w:vertAlign w:val="superscript"/>
              </w:rPr>
              <w:t>212</w:t>
            </w:r>
            <w:r w:rsidR="00BE7640">
              <w:fldChar w:fldCharType="end"/>
            </w:r>
          </w:p>
          <w:p w14:paraId="675621C7" w14:textId="28F9B938" w:rsidR="00DE2A9C" w:rsidRPr="00D77EAD" w:rsidRDefault="00DE2A9C" w:rsidP="00DE2A9C">
            <w:pPr>
              <w:keepNext/>
            </w:pPr>
            <w:r>
              <w:t xml:space="preserve">Angola, </w:t>
            </w:r>
            <w:r w:rsidRPr="00FB5FF2">
              <w:rPr>
                <w:rFonts w:eastAsiaTheme="majorEastAsia"/>
              </w:rPr>
              <w:t>Austria</w:t>
            </w:r>
            <w:r>
              <w:rPr>
                <w:rFonts w:eastAsiaTheme="majorEastAsia"/>
              </w:rPr>
              <w:t>,</w:t>
            </w:r>
            <w:r w:rsidRPr="00FB5FF2">
              <w:t xml:space="preserve"> </w:t>
            </w:r>
            <w:r>
              <w:t xml:space="preserve">China, </w:t>
            </w:r>
            <w:r w:rsidRPr="00FB5FF2">
              <w:rPr>
                <w:rFonts w:eastAsiaTheme="majorEastAsia"/>
              </w:rPr>
              <w:t>Hungary</w:t>
            </w:r>
            <w:r>
              <w:rPr>
                <w:rFonts w:eastAsiaTheme="majorEastAsia"/>
                <w:color w:val="000000"/>
              </w:rPr>
              <w:t>,</w:t>
            </w:r>
            <w:r w:rsidRPr="00FB5FF2">
              <w:rPr>
                <w:rFonts w:eastAsiaTheme="majorEastAsia"/>
                <w:color w:val="000000"/>
              </w:rPr>
              <w:t xml:space="preserve"> </w:t>
            </w:r>
            <w:r w:rsidRPr="00FB5FF2">
              <w:t>Italy</w:t>
            </w:r>
            <w:r>
              <w:t>,</w:t>
            </w:r>
            <w:r w:rsidRPr="00FB5FF2">
              <w:rPr>
                <w:rFonts w:eastAsiaTheme="majorEastAsia"/>
                <w:color w:val="000000"/>
              </w:rPr>
              <w:t xml:space="preserve"> </w:t>
            </w:r>
            <w:r>
              <w:t>Switzerland, South Africa, United States</w:t>
            </w:r>
          </w:p>
        </w:tc>
        <w:tc>
          <w:tcPr>
            <w:tcW w:w="1247" w:type="dxa"/>
          </w:tcPr>
          <w:p w14:paraId="577AD61B" w14:textId="77777777" w:rsidR="005F5D31" w:rsidRDefault="005F5D31" w:rsidP="000F71A9">
            <w:pPr>
              <w:keepNext/>
            </w:pPr>
            <w:r>
              <w:t>10 studies</w:t>
            </w:r>
          </w:p>
          <w:p w14:paraId="2B41BF0C" w14:textId="7EE46460" w:rsidR="005F5D31" w:rsidRPr="00D77EAD" w:rsidRDefault="005F5D31" w:rsidP="000F71A9">
            <w:pPr>
              <w:keepNext/>
            </w:pPr>
            <w:r>
              <w:t>9,090 women</w:t>
            </w:r>
          </w:p>
        </w:tc>
        <w:tc>
          <w:tcPr>
            <w:tcW w:w="4961" w:type="dxa"/>
          </w:tcPr>
          <w:p w14:paraId="144AE815" w14:textId="5989B066" w:rsidR="005F5D31" w:rsidRPr="00B7017E" w:rsidRDefault="005F5D31" w:rsidP="00B7017E">
            <w:r w:rsidRPr="0058428D">
              <w:rPr>
                <w:b/>
              </w:rPr>
              <w:t>Aim</w:t>
            </w:r>
            <w:r>
              <w:t xml:space="preserve">: </w:t>
            </w:r>
            <w:r w:rsidR="00B7017E" w:rsidRPr="00B7017E">
              <w:t>To assess the effects of magnesium supplementation during pregnancy on maternal, neonatal/infant and paediatric outcomes</w:t>
            </w:r>
          </w:p>
          <w:p w14:paraId="18B6345D" w14:textId="12412747" w:rsidR="005F5D31" w:rsidRDefault="005F5D31" w:rsidP="000F71A9">
            <w:r w:rsidRPr="0058428D">
              <w:rPr>
                <w:b/>
              </w:rPr>
              <w:t>Population</w:t>
            </w:r>
            <w:r>
              <w:t xml:space="preserve">: </w:t>
            </w:r>
            <w:r w:rsidR="00B7017E">
              <w:t>Primiparous and multiparous women</w:t>
            </w:r>
          </w:p>
          <w:p w14:paraId="221AC7FA" w14:textId="064A9926" w:rsidR="005F5D31" w:rsidRPr="00D77EAD" w:rsidRDefault="005F5D31" w:rsidP="000F71A9">
            <w:r>
              <w:rPr>
                <w:b/>
              </w:rPr>
              <w:t>Interventions</w:t>
            </w:r>
            <w:r w:rsidRPr="0058428D">
              <w:t xml:space="preserve">: </w:t>
            </w:r>
            <w:r w:rsidRPr="00903956">
              <w:t>the compositions of the magnesium supplements,</w:t>
            </w:r>
            <w:r>
              <w:t xml:space="preserve"> </w:t>
            </w:r>
            <w:r w:rsidRPr="00903956">
              <w:t>gestational ages at commencement, and doses administered varied, including: magnesium oxide, 1000 mg daily from four months</w:t>
            </w:r>
            <w:r>
              <w:t xml:space="preserve"> </w:t>
            </w:r>
            <w:r w:rsidRPr="00903956">
              <w:t>post-conception (one trial); magnesium citrate, 365 mg daily from 18 weeks until hospitalisation after 38 weeks (one trial), and 340</w:t>
            </w:r>
            <w:r>
              <w:t xml:space="preserve"> </w:t>
            </w:r>
            <w:r w:rsidRPr="00903956">
              <w:t>mg daily from nine to 27 weeks’ gestation (one trial); magnesium gluconate, 2 to 3 g from 28 weeks’ gestation until birth (one trial),</w:t>
            </w:r>
            <w:r>
              <w:t xml:space="preserve"> </w:t>
            </w:r>
            <w:r w:rsidRPr="005F5D31">
              <w:t>and 4 g daily from 23 weeks’ gestation (one trial); magnesium aspartate, 15 mmol daily (three trials, commencing from either six to 21</w:t>
            </w:r>
            <w:r>
              <w:t xml:space="preserve"> </w:t>
            </w:r>
            <w:r w:rsidRPr="005F5D31">
              <w:t>weeks’ gestation until birth, 16 weeks’ gestation until birth, or &lt; 12 weeks until birth), or 365 mg daily from 13 to 24 weeks until</w:t>
            </w:r>
            <w:r>
              <w:t xml:space="preserve"> </w:t>
            </w:r>
            <w:r w:rsidRPr="005F5D31">
              <w:t>birth (one trial); and magnesium stearate, 128 mg elemental magnesium from 10 to 35 weeks until birth (one trial)</w:t>
            </w:r>
            <w:r w:rsidRPr="0058428D">
              <w:t xml:space="preserve">. </w:t>
            </w:r>
          </w:p>
        </w:tc>
        <w:tc>
          <w:tcPr>
            <w:tcW w:w="4536" w:type="dxa"/>
          </w:tcPr>
          <w:p w14:paraId="78767D3C" w14:textId="77777777" w:rsidR="005F5D31" w:rsidRDefault="005F5D31" w:rsidP="000F71A9">
            <w:r>
              <w:t>Intervention vs control:</w:t>
            </w:r>
          </w:p>
          <w:p w14:paraId="68932333" w14:textId="77777777" w:rsidR="005F5D31" w:rsidRDefault="0054415E" w:rsidP="000F71A9">
            <w:pPr>
              <w:pStyle w:val="bullet"/>
            </w:pPr>
            <w:r>
              <w:t>Perinatal mortality: RR 1.10 (0.72 to 1.67) (5 studies; n=5,903)</w:t>
            </w:r>
          </w:p>
          <w:p w14:paraId="6FBA5C7A" w14:textId="286D9672" w:rsidR="00F875EA" w:rsidRDefault="00F875EA" w:rsidP="000F71A9">
            <w:pPr>
              <w:pStyle w:val="bullet"/>
            </w:pPr>
            <w:r>
              <w:t>Small for gestational age:</w:t>
            </w:r>
            <w:r w:rsidR="00F64710">
              <w:t xml:space="preserve"> RR 0.76 (0.54 to 1.07) (3 studie</w:t>
            </w:r>
            <w:r>
              <w:t>s; n=1,291)</w:t>
            </w:r>
          </w:p>
          <w:p w14:paraId="1C974048" w14:textId="77777777" w:rsidR="00F875EA" w:rsidRDefault="00F875EA" w:rsidP="000F71A9">
            <w:pPr>
              <w:pStyle w:val="bullet"/>
            </w:pPr>
            <w:r>
              <w:t>Pre-eclampsia RR 0.87 (0.58 to 1.32) (3 studies; n=1,042)</w:t>
            </w:r>
          </w:p>
          <w:p w14:paraId="5058D231" w14:textId="77777777" w:rsidR="00F875EA" w:rsidRDefault="00F875EA" w:rsidP="000F71A9">
            <w:pPr>
              <w:pStyle w:val="bullet"/>
            </w:pPr>
            <w:r>
              <w:t>Miscarriage &lt;20 wks: RR 0.85 (0.49 to 1.49) (6 studies; n=3,704)</w:t>
            </w:r>
          </w:p>
          <w:p w14:paraId="45A529FA" w14:textId="1B5FEFE7" w:rsidR="00F875EA" w:rsidRDefault="00F875EA" w:rsidP="000F71A9">
            <w:pPr>
              <w:pStyle w:val="bullet"/>
            </w:pPr>
            <w:r>
              <w:t>Preterm birth (&lt;37 wks):</w:t>
            </w:r>
            <w:r w:rsidR="00F64710">
              <w:t xml:space="preserve"> RR 0.89 (0.69 to 1.14) (7 studi</w:t>
            </w:r>
            <w:r>
              <w:t>es; n=5,981)</w:t>
            </w:r>
          </w:p>
          <w:p w14:paraId="2978E37B" w14:textId="77777777" w:rsidR="00F875EA" w:rsidRDefault="00F875EA" w:rsidP="000F71A9">
            <w:pPr>
              <w:pStyle w:val="bullet"/>
            </w:pPr>
            <w:r>
              <w:t>Low birthweight (&lt;2,500 g): RR 0.95 (0.83 to 1.09) (5 studies; n=5,577)</w:t>
            </w:r>
          </w:p>
          <w:p w14:paraId="45C953B3" w14:textId="77777777" w:rsidR="00F875EA" w:rsidRDefault="00F875EA" w:rsidP="000F71A9">
            <w:pPr>
              <w:pStyle w:val="bullet"/>
            </w:pPr>
            <w:r>
              <w:t>Apgar score &lt;7 at 5 min: RR 0.34 (0.15 to 0.80) (4 studies; n=1.083)</w:t>
            </w:r>
          </w:p>
          <w:p w14:paraId="70E78FF9" w14:textId="77777777" w:rsidR="00F875EA" w:rsidRDefault="00F875EA" w:rsidP="000F71A9">
            <w:pPr>
              <w:pStyle w:val="bullet"/>
            </w:pPr>
            <w:r>
              <w:t>Significant congenital abnormality: RR 2.05 (0.77 to 5.45) (1 study; n=4,082)</w:t>
            </w:r>
          </w:p>
          <w:p w14:paraId="3D4577DF" w14:textId="77777777" w:rsidR="00F875EA" w:rsidRDefault="00F875EA" w:rsidP="000F71A9">
            <w:pPr>
              <w:pStyle w:val="bullet"/>
            </w:pPr>
            <w:r>
              <w:t>Maternal gastrointestinal side effects: RR 0.88 (0.69 to 1.12) (4 studies; n=1,388)</w:t>
            </w:r>
          </w:p>
          <w:p w14:paraId="296669E9" w14:textId="77777777" w:rsidR="00F875EA" w:rsidRDefault="00F875EA" w:rsidP="000F71A9">
            <w:pPr>
              <w:pStyle w:val="bullet"/>
            </w:pPr>
            <w:r>
              <w:t>Systolic blood pressure near birth: MD 1.0 (0.03 to 1.97) (3 studies; n=1,432)</w:t>
            </w:r>
          </w:p>
          <w:p w14:paraId="72AF5709" w14:textId="15A36FCE" w:rsidR="00F875EA" w:rsidRDefault="00F875EA" w:rsidP="000F71A9">
            <w:pPr>
              <w:pStyle w:val="bullet"/>
            </w:pPr>
            <w:r>
              <w:t xml:space="preserve">Diastolic blood pressure near birth: MD 0.23 </w:t>
            </w:r>
            <w:r w:rsidR="004018E0">
              <w:br/>
            </w:r>
            <w:r>
              <w:t>(-0.67 to 1.13) (3 studies; n=1,432)</w:t>
            </w:r>
          </w:p>
          <w:p w14:paraId="7899D5E4" w14:textId="77777777" w:rsidR="00F875EA" w:rsidRDefault="00F875EA" w:rsidP="000F71A9">
            <w:pPr>
              <w:pStyle w:val="bullet"/>
            </w:pPr>
            <w:r>
              <w:t>Pregnancy-induced hypertension: RR 0.39 (0.11 to 1.41) (3 studies; n=4,284)</w:t>
            </w:r>
          </w:p>
          <w:p w14:paraId="084B99F6" w14:textId="7552B6A0" w:rsidR="00F875EA" w:rsidRPr="00D3614F" w:rsidRDefault="00F875EA" w:rsidP="000F71A9">
            <w:pPr>
              <w:pStyle w:val="bullet"/>
            </w:pPr>
            <w:r>
              <w:t>Need f</w:t>
            </w:r>
            <w:r w:rsidR="0013716C">
              <w:t>or maternal hospitalis</w:t>
            </w:r>
            <w:r>
              <w:t>ation: RR 0.65 (0.48 to 0.86) (3 studies; n=1,158)</w:t>
            </w:r>
          </w:p>
        </w:tc>
        <w:tc>
          <w:tcPr>
            <w:tcW w:w="1843" w:type="dxa"/>
          </w:tcPr>
          <w:p w14:paraId="575E1BA7" w14:textId="67FF26D6" w:rsidR="005F5D31" w:rsidRPr="00D77EAD" w:rsidRDefault="00F64710" w:rsidP="000F71A9">
            <w:pPr>
              <w:keepNext/>
            </w:pPr>
            <w:r w:rsidRPr="005F5D31">
              <w:t xml:space="preserve">Of the 10 trials included in the review, only two were judged to be of high </w:t>
            </w:r>
            <w:r w:rsidR="00FB2A6C">
              <w:t>certainty</w:t>
            </w:r>
            <w:r w:rsidRPr="005F5D31">
              <w:t xml:space="preserve"> overall. When an analysis was restricted to these two</w:t>
            </w:r>
            <w:r>
              <w:t xml:space="preserve"> </w:t>
            </w:r>
            <w:r w:rsidRPr="005F5D31">
              <w:t>trials none of the review’s primary outcomes (perinatal mortality, small-for-gestational age, pre-eclampsia) were significantly different</w:t>
            </w:r>
            <w:r>
              <w:t xml:space="preserve"> </w:t>
            </w:r>
            <w:r w:rsidRPr="005F5D31">
              <w:t>between the magnesium supplemented and control groups.</w:t>
            </w:r>
          </w:p>
        </w:tc>
      </w:tr>
    </w:tbl>
    <w:p w14:paraId="500571AE" w14:textId="3F08E22E" w:rsidR="00222336" w:rsidRPr="009740A7" w:rsidRDefault="009C163D" w:rsidP="00932C6D">
      <w:pPr>
        <w:pStyle w:val="TableName"/>
      </w:pPr>
      <w:bookmarkStart w:id="100" w:name="_Toc40956635"/>
      <w:r>
        <w:t xml:space="preserve">Q3 </w:t>
      </w:r>
      <w:r w:rsidR="00D150D8">
        <w:t xml:space="preserve">Harms and benefits of magnesium supplementation </w:t>
      </w:r>
      <w:r w:rsidR="00BC1D42">
        <w:t xml:space="preserve">in pregnancy </w:t>
      </w:r>
      <w:r w:rsidR="005F5D31">
        <w:t xml:space="preserve">— </w:t>
      </w:r>
      <w:r w:rsidR="00D56FB3">
        <w:t>RCT</w:t>
      </w:r>
      <w:r w:rsidR="005F5D31">
        <w:t>s</w:t>
      </w:r>
      <w:bookmarkEnd w:id="10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7: Q3 Harms and benefits of magnesium supplementation in pregnancy — RCTs"/>
      </w:tblPr>
      <w:tblGrid>
        <w:gridCol w:w="1305"/>
        <w:gridCol w:w="1528"/>
        <w:gridCol w:w="4680"/>
        <w:gridCol w:w="4536"/>
        <w:gridCol w:w="1843"/>
      </w:tblGrid>
      <w:tr w:rsidR="00105F33" w:rsidRPr="00F350A6" w14:paraId="5748290D" w14:textId="77777777" w:rsidTr="00105F33">
        <w:trPr>
          <w:cantSplit/>
          <w:tblHeader/>
        </w:trPr>
        <w:tc>
          <w:tcPr>
            <w:tcW w:w="1305" w:type="dxa"/>
          </w:tcPr>
          <w:p w14:paraId="7BE7049D" w14:textId="77777777" w:rsidR="00222336" w:rsidRPr="00F350A6" w:rsidRDefault="00222336" w:rsidP="000F71A9">
            <w:pPr>
              <w:keepNext/>
              <w:rPr>
                <w:b/>
              </w:rPr>
            </w:pPr>
            <w:r>
              <w:rPr>
                <w:b/>
              </w:rPr>
              <w:t>Study ref</w:t>
            </w:r>
          </w:p>
        </w:tc>
        <w:tc>
          <w:tcPr>
            <w:tcW w:w="1528" w:type="dxa"/>
          </w:tcPr>
          <w:p w14:paraId="68A8E428" w14:textId="77777777" w:rsidR="00222336" w:rsidRPr="00F350A6" w:rsidRDefault="00222336" w:rsidP="000F71A9">
            <w:pPr>
              <w:keepNext/>
              <w:rPr>
                <w:b/>
              </w:rPr>
            </w:pPr>
            <w:r>
              <w:rPr>
                <w:b/>
              </w:rPr>
              <w:t>N</w:t>
            </w:r>
          </w:p>
        </w:tc>
        <w:tc>
          <w:tcPr>
            <w:tcW w:w="4680" w:type="dxa"/>
          </w:tcPr>
          <w:p w14:paraId="3245CCBE" w14:textId="4D83EECC" w:rsidR="00222336" w:rsidRPr="00F350A6" w:rsidRDefault="00BE7640" w:rsidP="00DE2A9C">
            <w:pPr>
              <w:keepNext/>
              <w:rPr>
                <w:b/>
              </w:rPr>
            </w:pPr>
            <w:r>
              <w:rPr>
                <w:b/>
              </w:rPr>
              <w:t>Aim/</w:t>
            </w:r>
            <w:r w:rsidRPr="00F350A6">
              <w:rPr>
                <w:b/>
              </w:rPr>
              <w:t>population</w:t>
            </w:r>
            <w:r>
              <w:rPr>
                <w:b/>
              </w:rPr>
              <w:t>/intervention</w:t>
            </w:r>
          </w:p>
        </w:tc>
        <w:tc>
          <w:tcPr>
            <w:tcW w:w="4536" w:type="dxa"/>
          </w:tcPr>
          <w:p w14:paraId="3ACC5251" w14:textId="77777777" w:rsidR="00222336" w:rsidRPr="00F350A6" w:rsidRDefault="00222336" w:rsidP="000F71A9">
            <w:pPr>
              <w:keepNext/>
              <w:rPr>
                <w:b/>
              </w:rPr>
            </w:pPr>
            <w:r>
              <w:rPr>
                <w:b/>
              </w:rPr>
              <w:t>Results</w:t>
            </w:r>
          </w:p>
        </w:tc>
        <w:tc>
          <w:tcPr>
            <w:tcW w:w="1843" w:type="dxa"/>
          </w:tcPr>
          <w:p w14:paraId="4B7EB73B" w14:textId="77777777" w:rsidR="00222336" w:rsidRPr="00F350A6" w:rsidRDefault="00222336" w:rsidP="000F71A9">
            <w:pPr>
              <w:keepNext/>
              <w:rPr>
                <w:b/>
              </w:rPr>
            </w:pPr>
            <w:r>
              <w:rPr>
                <w:b/>
              </w:rPr>
              <w:t>Comments</w:t>
            </w:r>
          </w:p>
        </w:tc>
      </w:tr>
      <w:tr w:rsidR="00105F33" w:rsidRPr="00D77EAD" w14:paraId="71B9F470" w14:textId="77777777" w:rsidTr="00105F33">
        <w:trPr>
          <w:cantSplit/>
        </w:trPr>
        <w:tc>
          <w:tcPr>
            <w:tcW w:w="1305" w:type="dxa"/>
          </w:tcPr>
          <w:p w14:paraId="35017FA6" w14:textId="62E71DFC" w:rsidR="00222336" w:rsidRDefault="0058428D" w:rsidP="003523C5">
            <w:pPr>
              <w:keepNext/>
            </w:pPr>
            <w:r>
              <w:t>Bullarbo et al 2013</w:t>
            </w:r>
            <w:r w:rsidR="00BE7640">
              <w:fldChar w:fldCharType="begin">
                <w:fldData xml:space="preserve">PEVuZE5vdGU+PENpdGU+PEF1dGhvcj5CdWxsYXJibzwvQXV0aG9yPjxZZWFyPjIwMTM8L1llYXI+
PFJlY051bT4xMTg5PC9SZWNOdW0+PERpc3BsYXlUZXh0PjxzdHlsZSBmYWNlPSJzdXBlcnNjcmlw
dCIgZm9udD0iVHJlYnVjaGV0IE1TIiBzaXplPSI5Ij4yMTQ8L3N0eWxlPjwvRGlzcGxheVRleHQ+
PHJlY29yZD48cmVjLW51bWJlcj4xMTg5PC9yZWMtbnVtYmVyPjxmb3JlaWduLWtleXM+PGtleSBh
cHA9IkVOIiBkYi1pZD0iZXh2YXNyZngyZHRyYW9lc2FzeHAyc3pzeGEyZGY1MDI1OTJ4IiB0aW1l
c3RhbXA9IjE1NTkyNjkzNzAiPjExODk8L2tleT48a2V5IGFwcD0iRU5XZWIiIGRiLWlkPSIiPjA8
L2tleT48L2ZvcmVpZ24ta2V5cz48cmVmLXR5cGUgbmFtZT0iSm91cm5hbCBBcnRpY2xlIj4xNzwv
cmVmLXR5cGU+PGNvbnRyaWJ1dG9ycz48YXV0aG9ycz48YXV0aG9yPkJ1bGxhcmJvLCBNLjwvYXV0
aG9yPjxhdXRob3I+T2RtYW4sIE4uPC9hdXRob3I+PGF1dGhvcj5OZXN0bGVyLCBBLjwvYXV0aG9y
PjxhdXRob3I+TmllbHNlbiwgVC48L2F1dGhvcj48YXV0aG9yPktvbGlzZWssIE0uPC9hdXRob3I+
PGF1dGhvcj5Wb3JtYW5uLCBKLjwvYXV0aG9yPjxhdXRob3I+UnlsYW5kZXIsIFIuPC9hdXRob3I+
PC9hdXRob3JzPjwvY29udHJpYnV0b3JzPjxhdXRoLWFkZHJlc3M+RGVwYXJ0bWVudCBvZiBPYnN0
ZXRyaWNzIGFuZCBHeW5hZWNvbG9neSwgYXQgU2FobGdyZW5za2EgQWNhZGVteSwgVW5pdmVyc2l0
eSBvZiBHb3RoZW5idXJnLCBHb3RoZW5idXJnLCBTd2VkZW4sIG1hcmlhLmJ1bGxhcmJvQHZncmVn
aW9uLnNlLjwvYXV0aC1hZGRyZXNzPjx0aXRsZXM+PHRpdGxlPk1hZ25lc2l1bSBzdXBwbGVtZW50
YXRpb24gdG8gcHJldmVudCBoaWdoIGJsb29kIHByZXNzdXJlIGluIHByZWduYW5jeTogYSByYW5k
b21pc2VkIHBsYWNlYm8gY29udHJvbCB0cmlhbDwvdGl0bGU+PHNlY29uZGFyeS10aXRsZT5BcmNo
IEd5bmVjb2wgT2JzdGV0PC9zZWNvbmRhcnktdGl0bGU+PC90aXRsZXM+PHBlcmlvZGljYWw+PGZ1
bGwtdGl0bGU+QXJjaCBHeW5lY29sIE9ic3RldDwvZnVsbC10aXRsZT48L3BlcmlvZGljYWw+PHBh
Z2VzPjEyNjktNzQ8L3BhZ2VzPjx2b2x1bWU+Mjg4PC92b2x1bWU+PG51bWJlcj42PC9udW1iZXI+
PGVkaXRpb24+MjAxMy8wNS8zMDwvZWRpdGlvbj48a2V5d29yZHM+PGtleXdvcmQ+QWRtaW5pc3Ry
YXRpb24sIE9yYWw8L2tleXdvcmQ+PGtleXdvcmQ+QWR1bHQ8L2tleXdvcmQ+PGtleXdvcmQ+Qmxv
b2QgUHJlc3N1cmUvKmRydWcgZWZmZWN0cy9waHlzaW9sb2d5PC9rZXl3b3JkPjxrZXl3b3JkPkNh
bGNpdW0vdXJpbmU8L2tleXdvcmQ+PGtleXdvcmQ+Q2l0cmljIEFjaWQvKmFkbWluaXN0cmF0aW9u
ICZhbXA7IGRvc2FnZS91cmluZTwva2V5d29yZD48a2V5d29yZD5Eb3VibGUtQmxpbmQgTWV0aG9k
PC9rZXl3b3JkPjxrZXl3b3JkPkZlbWFsZTwva2V5d29yZD48a2V5d29yZD5IdW1hbnM8L2tleXdv
cmQ+PGtleXdvcmQ+SHlwZXJ0ZW5zaW9uLypkcnVnIHRoZXJhcHk8L2tleXdvcmQ+PGtleXdvcmQ+
T3JnYW5vbWV0YWxsaWMgQ29tcG91bmRzLyphZG1pbmlzdHJhdGlvbiAmYW1wOyBkb3NhZ2UvdXJp
bmU8L2tleXdvcmQ+PGtleXdvcmQ+UHJlZ25hbmN5PC9rZXl3b3JkPjxrZXl3b3JkPlByZWduYW5j
eSBPdXRjb21lPC9rZXl3b3JkPjxrZXl3b3JkPlByZWduYW5jeSBUcmltZXN0ZXIsIFNlY29uZDwv
a2V5d29yZD48a2V5d29yZD5QcmVnbmFuY3kgVHJpbWVzdGVyLCBUaGlyZDwva2V5d29yZD48a2V5
d29yZD5Tb2Npb2Vjb25vbWljIEZhY3RvcnM8L2tleXdvcmQ+PGtleXdvcmQ+U3dlZGVuPC9rZXl3
b3JkPjxrZXl3b3JkPlRyZWF0bWVudCBPdXRjb21lPC9rZXl3b3JkPjwva2V5d29yZHM+PGRhdGVz
Pjx5ZWFyPjIwMTM8L3llYXI+PHB1Yi1kYXRlcz48ZGF0ZT5EZWM8L2RhdGU+PC9wdWItZGF0ZXM+
PC9kYXRlcz48aXNibj4xNDMyLTA3MTEgKEVsZWN0cm9uaWMpJiN4RDswOTMyLTAwNjcgKExpbmtp
bmcpPC9pc2JuPjxhY2Nlc3Npb24tbnVtPjIzNzE1OTI0PC9hY2Nlc3Npb24tbnVtPjx1cmxzPjxy
ZWxhdGVkLXVybHM+PHVybD5odHRwczovL3d3dy5uY2JpLm5sbS5uaWguZ292L3B1Ym1lZC8yMzcx
NTkyNDwvdXJsPjwvcmVsYXRlZC11cmxzPjwvdXJscz48ZWxlY3Ryb25pYy1yZXNvdXJjZS1udW0+
MTAuMTAwNy9zMDA0MDQtMDEzLTI5MDAtMjwvZWxlY3Ryb25pYy1yZXNvdXJjZS1udW0+PC9yZWNv
cmQ+PC9DaXRlPjwvRW5kTm90ZT4A
</w:fldData>
              </w:fldChar>
            </w:r>
            <w:r w:rsidR="002747EA">
              <w:instrText xml:space="preserve"> ADDIN EN.CITE </w:instrText>
            </w:r>
            <w:r w:rsidR="002747EA">
              <w:fldChar w:fldCharType="begin">
                <w:fldData xml:space="preserve">PEVuZE5vdGU+PENpdGU+PEF1dGhvcj5CdWxsYXJibzwvQXV0aG9yPjxZZWFyPjIwMTM8L1llYXI+
PFJlY051bT4xMTg5PC9SZWNOdW0+PERpc3BsYXlUZXh0PjxzdHlsZSBmYWNlPSJzdXBlcnNjcmlw
dCIgZm9udD0iVHJlYnVjaGV0IE1TIiBzaXplPSI5Ij4yMTQ8L3N0eWxlPjwvRGlzcGxheVRleHQ+
PHJlY29yZD48cmVjLW51bWJlcj4xMTg5PC9yZWMtbnVtYmVyPjxmb3JlaWduLWtleXM+PGtleSBh
cHA9IkVOIiBkYi1pZD0iZXh2YXNyZngyZHRyYW9lc2FzeHAyc3pzeGEyZGY1MDI1OTJ4IiB0aW1l
c3RhbXA9IjE1NTkyNjkzNzAiPjExODk8L2tleT48a2V5IGFwcD0iRU5XZWIiIGRiLWlkPSIiPjA8
L2tleT48L2ZvcmVpZ24ta2V5cz48cmVmLXR5cGUgbmFtZT0iSm91cm5hbCBBcnRpY2xlIj4xNzwv
cmVmLXR5cGU+PGNvbnRyaWJ1dG9ycz48YXV0aG9ycz48YXV0aG9yPkJ1bGxhcmJvLCBNLjwvYXV0
aG9yPjxhdXRob3I+T2RtYW4sIE4uPC9hdXRob3I+PGF1dGhvcj5OZXN0bGVyLCBBLjwvYXV0aG9y
PjxhdXRob3I+TmllbHNlbiwgVC48L2F1dGhvcj48YXV0aG9yPktvbGlzZWssIE0uPC9hdXRob3I+
PGF1dGhvcj5Wb3JtYW5uLCBKLjwvYXV0aG9yPjxhdXRob3I+UnlsYW5kZXIsIFIuPC9hdXRob3I+
PC9hdXRob3JzPjwvY29udHJpYnV0b3JzPjxhdXRoLWFkZHJlc3M+RGVwYXJ0bWVudCBvZiBPYnN0
ZXRyaWNzIGFuZCBHeW5hZWNvbG9neSwgYXQgU2FobGdyZW5za2EgQWNhZGVteSwgVW5pdmVyc2l0
eSBvZiBHb3RoZW5idXJnLCBHb3RoZW5idXJnLCBTd2VkZW4sIG1hcmlhLmJ1bGxhcmJvQHZncmVn
aW9uLnNlLjwvYXV0aC1hZGRyZXNzPjx0aXRsZXM+PHRpdGxlPk1hZ25lc2l1bSBzdXBwbGVtZW50
YXRpb24gdG8gcHJldmVudCBoaWdoIGJsb29kIHByZXNzdXJlIGluIHByZWduYW5jeTogYSByYW5k
b21pc2VkIHBsYWNlYm8gY29udHJvbCB0cmlhbDwvdGl0bGU+PHNlY29uZGFyeS10aXRsZT5BcmNo
IEd5bmVjb2wgT2JzdGV0PC9zZWNvbmRhcnktdGl0bGU+PC90aXRsZXM+PHBlcmlvZGljYWw+PGZ1
bGwtdGl0bGU+QXJjaCBHeW5lY29sIE9ic3RldDwvZnVsbC10aXRsZT48L3BlcmlvZGljYWw+PHBh
Z2VzPjEyNjktNzQ8L3BhZ2VzPjx2b2x1bWU+Mjg4PC92b2x1bWU+PG51bWJlcj42PC9udW1iZXI+
PGVkaXRpb24+MjAxMy8wNS8zMDwvZWRpdGlvbj48a2V5d29yZHM+PGtleXdvcmQ+QWRtaW5pc3Ry
YXRpb24sIE9yYWw8L2tleXdvcmQ+PGtleXdvcmQ+QWR1bHQ8L2tleXdvcmQ+PGtleXdvcmQ+Qmxv
b2QgUHJlc3N1cmUvKmRydWcgZWZmZWN0cy9waHlzaW9sb2d5PC9rZXl3b3JkPjxrZXl3b3JkPkNh
bGNpdW0vdXJpbmU8L2tleXdvcmQ+PGtleXdvcmQ+Q2l0cmljIEFjaWQvKmFkbWluaXN0cmF0aW9u
ICZhbXA7IGRvc2FnZS91cmluZTwva2V5d29yZD48a2V5d29yZD5Eb3VibGUtQmxpbmQgTWV0aG9k
PC9rZXl3b3JkPjxrZXl3b3JkPkZlbWFsZTwva2V5d29yZD48a2V5d29yZD5IdW1hbnM8L2tleXdv
cmQ+PGtleXdvcmQ+SHlwZXJ0ZW5zaW9uLypkcnVnIHRoZXJhcHk8L2tleXdvcmQ+PGtleXdvcmQ+
T3JnYW5vbWV0YWxsaWMgQ29tcG91bmRzLyphZG1pbmlzdHJhdGlvbiAmYW1wOyBkb3NhZ2UvdXJp
bmU8L2tleXdvcmQ+PGtleXdvcmQ+UHJlZ25hbmN5PC9rZXl3b3JkPjxrZXl3b3JkPlByZWduYW5j
eSBPdXRjb21lPC9rZXl3b3JkPjxrZXl3b3JkPlByZWduYW5jeSBUcmltZXN0ZXIsIFNlY29uZDwv
a2V5d29yZD48a2V5d29yZD5QcmVnbmFuY3kgVHJpbWVzdGVyLCBUaGlyZDwva2V5d29yZD48a2V5
d29yZD5Tb2Npb2Vjb25vbWljIEZhY3RvcnM8L2tleXdvcmQ+PGtleXdvcmQ+U3dlZGVuPC9rZXl3
b3JkPjxrZXl3b3JkPlRyZWF0bWVudCBPdXRjb21lPC9rZXl3b3JkPjwva2V5d29yZHM+PGRhdGVz
Pjx5ZWFyPjIwMTM8L3llYXI+PHB1Yi1kYXRlcz48ZGF0ZT5EZWM8L2RhdGU+PC9wdWItZGF0ZXM+
PC9kYXRlcz48aXNibj4xNDMyLTA3MTEgKEVsZWN0cm9uaWMpJiN4RDswOTMyLTAwNjcgKExpbmtp
bmcpPC9pc2JuPjxhY2Nlc3Npb24tbnVtPjIzNzE1OTI0PC9hY2Nlc3Npb24tbnVtPjx1cmxzPjxy
ZWxhdGVkLXVybHM+PHVybD5odHRwczovL3d3dy5uY2JpLm5sbS5uaWguZ292L3B1Ym1lZC8yMzcx
NTkyNDwvdXJsPjwvcmVsYXRlZC11cmxzPjwvdXJscz48ZWxlY3Ryb25pYy1yZXNvdXJjZS1udW0+
MTAuMTAwNy9zMDA0MDQtMDEzLTI5MDAtMjwvZWxlY3Ryb25pYy1yZXNvdXJjZS1udW0+PC9yZWNv
cmQ+PC9DaXRlPjwvRW5kTm90ZT4A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214</w:t>
            </w:r>
            <w:r w:rsidR="00BE7640">
              <w:fldChar w:fldCharType="end"/>
            </w:r>
          </w:p>
          <w:p w14:paraId="065BB0AB" w14:textId="158ACEE9" w:rsidR="00DE2A9C" w:rsidRPr="00D77EAD" w:rsidRDefault="00DE2A9C" w:rsidP="003523C5">
            <w:pPr>
              <w:keepNext/>
            </w:pPr>
            <w:r>
              <w:t>Sweden</w:t>
            </w:r>
          </w:p>
        </w:tc>
        <w:tc>
          <w:tcPr>
            <w:tcW w:w="1528" w:type="dxa"/>
          </w:tcPr>
          <w:p w14:paraId="597812D7" w14:textId="32850D69" w:rsidR="00222336" w:rsidRDefault="00357C6B" w:rsidP="000F71A9">
            <w:pPr>
              <w:keepNext/>
            </w:pPr>
            <w:r>
              <w:t>Intervention 28</w:t>
            </w:r>
          </w:p>
          <w:p w14:paraId="0695348A" w14:textId="35604F36" w:rsidR="00357C6B" w:rsidRPr="00D77EAD" w:rsidRDefault="00357C6B" w:rsidP="000F71A9">
            <w:pPr>
              <w:keepNext/>
            </w:pPr>
            <w:r>
              <w:t>Control 29</w:t>
            </w:r>
          </w:p>
        </w:tc>
        <w:tc>
          <w:tcPr>
            <w:tcW w:w="4680" w:type="dxa"/>
          </w:tcPr>
          <w:p w14:paraId="654C0CE0" w14:textId="77777777" w:rsidR="0058428D" w:rsidRDefault="0058428D" w:rsidP="0058428D">
            <w:r w:rsidRPr="0058428D">
              <w:rPr>
                <w:b/>
              </w:rPr>
              <w:t>Aim</w:t>
            </w:r>
            <w:r>
              <w:t xml:space="preserve">: </w:t>
            </w:r>
            <w:r w:rsidRPr="0058428D">
              <w:t xml:space="preserve">To assess if hypertension during the last part of pregnancy could be prevented by magnesium supplementation. </w:t>
            </w:r>
          </w:p>
          <w:p w14:paraId="1A124EE3" w14:textId="5CB81D6E" w:rsidR="0058428D" w:rsidRPr="003F3753" w:rsidRDefault="0058428D" w:rsidP="003F3753">
            <w:r w:rsidRPr="0058428D">
              <w:rPr>
                <w:b/>
              </w:rPr>
              <w:t>Population</w:t>
            </w:r>
            <w:r>
              <w:t xml:space="preserve">: </w:t>
            </w:r>
            <w:r w:rsidR="003F3753">
              <w:t>P</w:t>
            </w:r>
            <w:r w:rsidR="003F3753" w:rsidRPr="003F3753">
              <w:t>regnant nulliparous women with high</w:t>
            </w:r>
            <w:r w:rsidR="003F3753">
              <w:t xml:space="preserve"> </w:t>
            </w:r>
            <w:r w:rsidR="003F3753" w:rsidRPr="003F3753">
              <w:t>urinary excretion of Mg and calcium in early pregnancy,</w:t>
            </w:r>
            <w:r w:rsidR="003F3753">
              <w:t xml:space="preserve"> </w:t>
            </w:r>
            <w:r w:rsidR="003F3753" w:rsidRPr="003F3753">
              <w:t>indirectly indicating</w:t>
            </w:r>
            <w:r w:rsidR="003F3753">
              <w:t xml:space="preserve"> </w:t>
            </w:r>
            <w:r w:rsidR="003F3753" w:rsidRPr="003F3753">
              <w:t>Mg</w:t>
            </w:r>
            <w:r w:rsidR="003F3753">
              <w:t xml:space="preserve"> </w:t>
            </w:r>
            <w:r w:rsidR="003F3753" w:rsidRPr="003F3753">
              <w:t>deficiency</w:t>
            </w:r>
          </w:p>
          <w:p w14:paraId="250D5040" w14:textId="5C6596B5" w:rsidR="00222336" w:rsidRPr="00D77EAD" w:rsidRDefault="0058428D" w:rsidP="00672843">
            <w:r>
              <w:rPr>
                <w:b/>
              </w:rPr>
              <w:t>Intervention</w:t>
            </w:r>
            <w:r w:rsidRPr="0058428D">
              <w:t xml:space="preserve">: 300 mg </w:t>
            </w:r>
            <w:r>
              <w:t xml:space="preserve">oral </w:t>
            </w:r>
            <w:r w:rsidRPr="0058428D">
              <w:t xml:space="preserve">magnesium as citrate from pregnancy week 25. </w:t>
            </w:r>
          </w:p>
        </w:tc>
        <w:tc>
          <w:tcPr>
            <w:tcW w:w="4536" w:type="dxa"/>
          </w:tcPr>
          <w:p w14:paraId="3AB791B0" w14:textId="77777777" w:rsidR="0058428D" w:rsidRDefault="0058428D" w:rsidP="0058428D">
            <w:r>
              <w:t>Intervention vs control:</w:t>
            </w:r>
          </w:p>
          <w:p w14:paraId="16B35B14" w14:textId="3718568F" w:rsidR="007271E1" w:rsidRPr="007271E1" w:rsidRDefault="006777B5" w:rsidP="007271E1">
            <w:pPr>
              <w:pStyle w:val="bullet"/>
            </w:pPr>
            <w:r>
              <w:t xml:space="preserve">Diastolic blood pressure </w:t>
            </w:r>
            <w:r w:rsidR="00504448">
              <w:t>at 37 weeks</w:t>
            </w:r>
            <w:r>
              <w:t>:</w:t>
            </w:r>
            <w:r w:rsidR="000F4863">
              <w:t xml:space="preserve"> </w:t>
            </w:r>
            <w:r w:rsidR="00584F85">
              <w:t>72/1.4 mean/SEM vs 77/1.4, p=</w:t>
            </w:r>
            <w:r w:rsidR="000F4863" w:rsidRPr="0058428D">
              <w:t>0.031</w:t>
            </w:r>
            <w:r w:rsidR="007271E1">
              <w:t xml:space="preserve"> — </w:t>
            </w:r>
            <w:r w:rsidR="007271E1" w:rsidRPr="007271E1">
              <w:t xml:space="preserve">MD </w:t>
            </w:r>
            <w:r w:rsidR="007271E1">
              <w:rPr>
                <w:lang w:val="en-AU"/>
              </w:rPr>
              <w:t>-0.66 (-1.20 to -0.13)</w:t>
            </w:r>
          </w:p>
          <w:p w14:paraId="0ACC70FC" w14:textId="7EF6AB48" w:rsidR="00222336" w:rsidRPr="00D3614F" w:rsidRDefault="006777B5" w:rsidP="007271E1">
            <w:pPr>
              <w:pStyle w:val="bullet"/>
            </w:pPr>
            <w:r>
              <w:t>Increase in DBP ≥15 mmHg</w:t>
            </w:r>
            <w:r w:rsidR="00D3614F">
              <w:t>: significantly higher in the placebo group than in the magnesium group p=0.012 (actual data not reported).</w:t>
            </w:r>
          </w:p>
        </w:tc>
        <w:tc>
          <w:tcPr>
            <w:tcW w:w="1843" w:type="dxa"/>
          </w:tcPr>
          <w:p w14:paraId="60171CD5" w14:textId="77777777" w:rsidR="00222336" w:rsidRPr="00D77EAD" w:rsidRDefault="00222336" w:rsidP="000F71A9">
            <w:pPr>
              <w:keepNext/>
            </w:pPr>
          </w:p>
        </w:tc>
      </w:tr>
      <w:tr w:rsidR="00105F33" w:rsidRPr="00D77EAD" w14:paraId="07DD05BB" w14:textId="77777777" w:rsidTr="00105F33">
        <w:trPr>
          <w:cantSplit/>
        </w:trPr>
        <w:tc>
          <w:tcPr>
            <w:tcW w:w="1305" w:type="dxa"/>
          </w:tcPr>
          <w:p w14:paraId="4270650D" w14:textId="058C90F7" w:rsidR="0058428D" w:rsidRDefault="0058428D" w:rsidP="003523C5">
            <w:pPr>
              <w:keepNext/>
            </w:pPr>
            <w:r>
              <w:t>Bullarbo et al 2018</w:t>
            </w:r>
            <w:r w:rsidR="00BE7640">
              <w:fldChar w:fldCharType="begin">
                <w:fldData xml:space="preserve">PEVuZE5vdGU+PENpdGU+PEF1dGhvcj5CdWxsYXJibzwvQXV0aG9yPjxZZWFyPjIwMTg8L1llYXI+
PFJlY051bT4xMTg4PC9SZWNOdW0+PERpc3BsYXlUZXh0PjxzdHlsZSBmYWNlPSJzdXBlcnNjcmlw
dCIgZm9udD0iVHJlYnVjaGV0IE1TIiBzaXplPSI5Ij4yMTM8L3N0eWxlPjwvRGlzcGxheVRleHQ+
PHJlY29yZD48cmVjLW51bWJlcj4xMTg4PC9yZWMtbnVtYmVyPjxmb3JlaWduLWtleXM+PGtleSBh
cHA9IkVOIiBkYi1pZD0iZXh2YXNyZngyZHRyYW9lc2FzeHAyc3pzeGEyZGY1MDI1OTJ4IiB0aW1l
c3RhbXA9IjE1NTkyNjkzNjYiPjExODg8L2tleT48a2V5IGFwcD0iRU5XZWIiIGRiLWlkPSIiPjA8
L2tleT48L2ZvcmVpZ24ta2V5cz48cmVmLXR5cGUgbmFtZT0iSm91cm5hbCBBcnRpY2xlIj4xNzwv
cmVmLXR5cGU+PGNvbnRyaWJ1dG9ycz48YXV0aG9ycz48YXV0aG9yPkJ1bGxhcmJvLCBNLjwvYXV0
aG9yPjxhdXRob3I+TWF0dHNvbiwgSC48L2F1dGhvcj48YXV0aG9yPkJyb21hbiwgQS4gSy48L2F1
dGhvcj48YXV0aG9yPk9kbWFuLCBOLjwvYXV0aG9yPjxhdXRob3I+TmllbHNlbiwgVC4gRi48L2F1
dGhvcj48L2F1dGhvcnM+PC9jb250cmlidXRvcnM+PGF1dGgtYWRkcmVzcz5EZXBhcnRtZW50IG9m
IE9ic3RldHJpY3MgYW5kIEd5bmVjb2xvZ3ksIFNhaGxncmVuc2thIEFjYWRlbXksIFVuaXZlcnNp
dHkgb2YgR290aGVuYnVyZywgR290aGVuYnVyZywgU3dlZGVuLiYjeEQ7RGVwYXJ0bWVudCBvZiBH
eW5lY29sb2d5LCBOYXJoYWxzYW4sIE1vbG5kYWwsIFN3ZWRlbi4mI3hEO1dvbWVuJmFwb3M7cyBD
bGluaWMsIFNvZHJhIEFsdnNib3JncyBIb3NwaXRhbCwgQm9yYXMsIFN3ZWRlbi4mI3hEO1dvbWVu
JmFwb3M7cyBDbGluaWMsIE5vcnJhIEFsdnNib3JncyBIb3NwaXRhbCwgVHJvbGxoYXR0YW4sIFN3
ZWRlbi48L2F1dGgtYWRkcmVzcz48dGl0bGVzPjx0aXRsZT5NYWduZXNpdW0gU3VwcGxlbWVudGF0
aW9uIGFuZCBCbG9vZCBQcmVzc3VyZSBpbiBQcmVnbmFuY3k6IEEgRG91YmxlLUJsaW5kIFJhbmRv
bWl6ZWQgTXVsdGljZW50ZXIgU3R1ZHk8L3RpdGxlPjxzZWNvbmRhcnktdGl0bGU+SiBQcmVnbmFu
Y3k8L3NlY29uZGFyeS10aXRsZT48L3RpdGxlcz48cGVyaW9kaWNhbD48ZnVsbC10aXRsZT5KIFBy
ZWduYW5jeTwvZnVsbC10aXRsZT48L3BlcmlvZGljYWw+PHBhZ2VzPjQ4NDMxNTk8L3BhZ2VzPjx2
b2x1bWU+MjAxODwvdm9sdW1lPjxlZGl0aW9uPjIwMTgvMDcvMTQ8L2VkaXRpb24+PGtleXdvcmRz
PjxrZXl3b3JkPkFkdWx0PC9rZXl3b3JkPjxrZXl3b3JkPkJpcnRoIFdlaWdodDwva2V5d29yZD48
a2V5d29yZD5EZWxpdmVyeSwgT2JzdGV0cmljL3N0YXRpc3RpY3MgJmFtcDsgbnVtZXJpY2FsIGRh
dGE8L2tleXdvcmQ+PGtleXdvcmQ+KkRpZXRhcnkgU3VwcGxlbWVudHM8L2tleXdvcmQ+PGtleXdv
cmQ+RG91YmxlLUJsaW5kIE1ldGhvZDwva2V5d29yZD48a2V5d29yZD5GZW1hbGU8L2tleXdvcmQ+
PGtleXdvcmQ+SHVtYW5zPC9rZXl3b3JkPjxrZXl3b3JkPkh5cGVydGVuc2lvbiwgUHJlZ25hbmN5
LUluZHVjZWQvYmxvb2QvKnByZXZlbnRpb24gJmFtcDsgY29udHJvbDwva2V5d29yZD48a2V5d29y
ZD5JbmZhbnQsIE5ld2Jvcm48L2tleXdvcmQ+PGtleXdvcmQ+TWFnbmVzaXVtLyphZG1pbmlzdHJh
dGlvbiAmYW1wOyBkb3NhZ2UvYmxvb2Q8L2tleXdvcmQ+PGtleXdvcmQ+UHJlZ25hbmN5PC9rZXl3
b3JkPjxrZXl3b3JkPllvdW5nIEFkdWx0PC9rZXl3b3JkPjwva2V5d29yZHM+PGRhdGVzPjx5ZWFy
PjIwMTg8L3llYXI+PC9kYXRlcz48aXNibj4yMDkwLTI3MzUgKEVsZWN0cm9uaWMpJiN4RDsyMDkw
LTI3MjcgKExpbmtpbmcpPC9pc2JuPjxhY2Nlc3Npb24tbnVtPjMwMDAyOTMxPC9hY2Nlc3Npb24t
bnVtPjx1cmxzPjxyZWxhdGVkLXVybHM+PHVybD5odHRwczovL3d3dy5uY2JpLm5sbS5uaWguZ292
L3B1Ym1lZC8zMDAwMjkzMTwvdXJsPjwvcmVsYXRlZC11cmxzPjwvdXJscz48Y3VzdG9tMj5QTUM1
OTk2NDE1PC9jdXN0b20yPjxlbGVjdHJvbmljLXJlc291cmNlLW51bT4xMC4xMTU1LzIwMTgvNDg0
MzE1OTwvZWxlY3Ryb25pYy1yZXNvdXJjZS1udW0+PC9yZWNvcmQ+PC9DaXRlPjwvRW5kTm90ZT5=
</w:fldData>
              </w:fldChar>
            </w:r>
            <w:r w:rsidR="002747EA">
              <w:instrText xml:space="preserve"> ADDIN EN.CITE </w:instrText>
            </w:r>
            <w:r w:rsidR="002747EA">
              <w:fldChar w:fldCharType="begin">
                <w:fldData xml:space="preserve">PEVuZE5vdGU+PENpdGU+PEF1dGhvcj5CdWxsYXJibzwvQXV0aG9yPjxZZWFyPjIwMTg8L1llYXI+
PFJlY051bT4xMTg4PC9SZWNOdW0+PERpc3BsYXlUZXh0PjxzdHlsZSBmYWNlPSJzdXBlcnNjcmlw
dCIgZm9udD0iVHJlYnVjaGV0IE1TIiBzaXplPSI5Ij4yMTM8L3N0eWxlPjwvRGlzcGxheVRleHQ+
PHJlY29yZD48cmVjLW51bWJlcj4xMTg4PC9yZWMtbnVtYmVyPjxmb3JlaWduLWtleXM+PGtleSBh
cHA9IkVOIiBkYi1pZD0iZXh2YXNyZngyZHRyYW9lc2FzeHAyc3pzeGEyZGY1MDI1OTJ4IiB0aW1l
c3RhbXA9IjE1NTkyNjkzNjYiPjExODg8L2tleT48a2V5IGFwcD0iRU5XZWIiIGRiLWlkPSIiPjA8
L2tleT48L2ZvcmVpZ24ta2V5cz48cmVmLXR5cGUgbmFtZT0iSm91cm5hbCBBcnRpY2xlIj4xNzwv
cmVmLXR5cGU+PGNvbnRyaWJ1dG9ycz48YXV0aG9ycz48YXV0aG9yPkJ1bGxhcmJvLCBNLjwvYXV0
aG9yPjxhdXRob3I+TWF0dHNvbiwgSC48L2F1dGhvcj48YXV0aG9yPkJyb21hbiwgQS4gSy48L2F1
dGhvcj48YXV0aG9yPk9kbWFuLCBOLjwvYXV0aG9yPjxhdXRob3I+TmllbHNlbiwgVC4gRi48L2F1
dGhvcj48L2F1dGhvcnM+PC9jb250cmlidXRvcnM+PGF1dGgtYWRkcmVzcz5EZXBhcnRtZW50IG9m
IE9ic3RldHJpY3MgYW5kIEd5bmVjb2xvZ3ksIFNhaGxncmVuc2thIEFjYWRlbXksIFVuaXZlcnNp
dHkgb2YgR290aGVuYnVyZywgR290aGVuYnVyZywgU3dlZGVuLiYjeEQ7RGVwYXJ0bWVudCBvZiBH
eW5lY29sb2d5LCBOYXJoYWxzYW4sIE1vbG5kYWwsIFN3ZWRlbi4mI3hEO1dvbWVuJmFwb3M7cyBD
bGluaWMsIFNvZHJhIEFsdnNib3JncyBIb3NwaXRhbCwgQm9yYXMsIFN3ZWRlbi4mI3hEO1dvbWVu
JmFwb3M7cyBDbGluaWMsIE5vcnJhIEFsdnNib3JncyBIb3NwaXRhbCwgVHJvbGxoYXR0YW4sIFN3
ZWRlbi48L2F1dGgtYWRkcmVzcz48dGl0bGVzPjx0aXRsZT5NYWduZXNpdW0gU3VwcGxlbWVudGF0
aW9uIGFuZCBCbG9vZCBQcmVzc3VyZSBpbiBQcmVnbmFuY3k6IEEgRG91YmxlLUJsaW5kIFJhbmRv
bWl6ZWQgTXVsdGljZW50ZXIgU3R1ZHk8L3RpdGxlPjxzZWNvbmRhcnktdGl0bGU+SiBQcmVnbmFu
Y3k8L3NlY29uZGFyeS10aXRsZT48L3RpdGxlcz48cGVyaW9kaWNhbD48ZnVsbC10aXRsZT5KIFBy
ZWduYW5jeTwvZnVsbC10aXRsZT48L3BlcmlvZGljYWw+PHBhZ2VzPjQ4NDMxNTk8L3BhZ2VzPjx2
b2x1bWU+MjAxODwvdm9sdW1lPjxlZGl0aW9uPjIwMTgvMDcvMTQ8L2VkaXRpb24+PGtleXdvcmRz
PjxrZXl3b3JkPkFkdWx0PC9rZXl3b3JkPjxrZXl3b3JkPkJpcnRoIFdlaWdodDwva2V5d29yZD48
a2V5d29yZD5EZWxpdmVyeSwgT2JzdGV0cmljL3N0YXRpc3RpY3MgJmFtcDsgbnVtZXJpY2FsIGRh
dGE8L2tleXdvcmQ+PGtleXdvcmQ+KkRpZXRhcnkgU3VwcGxlbWVudHM8L2tleXdvcmQ+PGtleXdv
cmQ+RG91YmxlLUJsaW5kIE1ldGhvZDwva2V5d29yZD48a2V5d29yZD5GZW1hbGU8L2tleXdvcmQ+
PGtleXdvcmQ+SHVtYW5zPC9rZXl3b3JkPjxrZXl3b3JkPkh5cGVydGVuc2lvbiwgUHJlZ25hbmN5
LUluZHVjZWQvYmxvb2QvKnByZXZlbnRpb24gJmFtcDsgY29udHJvbDwva2V5d29yZD48a2V5d29y
ZD5JbmZhbnQsIE5ld2Jvcm48L2tleXdvcmQ+PGtleXdvcmQ+TWFnbmVzaXVtLyphZG1pbmlzdHJh
dGlvbiAmYW1wOyBkb3NhZ2UvYmxvb2Q8L2tleXdvcmQ+PGtleXdvcmQ+UHJlZ25hbmN5PC9rZXl3
b3JkPjxrZXl3b3JkPllvdW5nIEFkdWx0PC9rZXl3b3JkPjwva2V5d29yZHM+PGRhdGVzPjx5ZWFy
PjIwMTg8L3llYXI+PC9kYXRlcz48aXNibj4yMDkwLTI3MzUgKEVsZWN0cm9uaWMpJiN4RDsyMDkw
LTI3MjcgKExpbmtpbmcpPC9pc2JuPjxhY2Nlc3Npb24tbnVtPjMwMDAyOTMxPC9hY2Nlc3Npb24t
bnVtPjx1cmxzPjxyZWxhdGVkLXVybHM+PHVybD5odHRwczovL3d3dy5uY2JpLm5sbS5uaWguZ292
L3B1Ym1lZC8zMDAwMjkzMTwvdXJsPjwvcmVsYXRlZC11cmxzPjwvdXJscz48Y3VzdG9tMj5QTUM1
OTk2NDE1PC9jdXN0b20yPjxlbGVjdHJvbmljLXJlc291cmNlLW51bT4xMC4xMTU1LzIwMTgvNDg0
MzE1OTwvZWxlY3Ryb25pYy1yZXNvdXJjZS1udW0+PC9yZWNvcmQ+PC9DaXRlPjwvRW5kTm90ZT5=
</w:fldData>
              </w:fldChar>
            </w:r>
            <w:r w:rsidR="002747EA">
              <w:instrText xml:space="preserve"> ADDIN EN.CITE.DATA </w:instrText>
            </w:r>
            <w:r w:rsidR="002747EA">
              <w:fldChar w:fldCharType="end"/>
            </w:r>
            <w:r w:rsidR="00BE7640">
              <w:fldChar w:fldCharType="separate"/>
            </w:r>
            <w:r w:rsidR="002747EA" w:rsidRPr="002747EA">
              <w:rPr>
                <w:noProof/>
                <w:vertAlign w:val="superscript"/>
              </w:rPr>
              <w:t>213</w:t>
            </w:r>
            <w:r w:rsidR="00BE7640">
              <w:fldChar w:fldCharType="end"/>
            </w:r>
          </w:p>
          <w:p w14:paraId="49C4A13E" w14:textId="6CE1831B" w:rsidR="00DE2A9C" w:rsidRDefault="00DE2A9C" w:rsidP="003523C5">
            <w:pPr>
              <w:keepNext/>
            </w:pPr>
            <w:r>
              <w:t>Sweden</w:t>
            </w:r>
          </w:p>
        </w:tc>
        <w:tc>
          <w:tcPr>
            <w:tcW w:w="1528" w:type="dxa"/>
          </w:tcPr>
          <w:p w14:paraId="19267546" w14:textId="77934D1C" w:rsidR="0058428D" w:rsidRDefault="00C7535E" w:rsidP="000F71A9">
            <w:pPr>
              <w:keepNext/>
            </w:pPr>
            <w:r>
              <w:t>Intervention 5</w:t>
            </w:r>
            <w:r w:rsidR="00105F33">
              <w:t>3</w:t>
            </w:r>
          </w:p>
          <w:p w14:paraId="176AAAF5" w14:textId="7E5FC19A" w:rsidR="00105F33" w:rsidRPr="00D77EAD" w:rsidRDefault="00C7535E" w:rsidP="000F71A9">
            <w:pPr>
              <w:keepNext/>
            </w:pPr>
            <w:r>
              <w:t>Control 58</w:t>
            </w:r>
          </w:p>
        </w:tc>
        <w:tc>
          <w:tcPr>
            <w:tcW w:w="4680" w:type="dxa"/>
          </w:tcPr>
          <w:p w14:paraId="353C81EE" w14:textId="77777777" w:rsidR="00DB7D10" w:rsidRDefault="0058428D" w:rsidP="0058428D">
            <w:r w:rsidRPr="006777B5">
              <w:rPr>
                <w:b/>
              </w:rPr>
              <w:t>Aim</w:t>
            </w:r>
            <w:r>
              <w:t xml:space="preserve">: </w:t>
            </w:r>
            <w:r w:rsidRPr="0058428D">
              <w:t>To investigate the effect of magnesium (Mg) supplementation in healthy pregnant women for prevention of blood pressure increase.</w:t>
            </w:r>
          </w:p>
          <w:p w14:paraId="62544394" w14:textId="47243165" w:rsidR="00DB7D10" w:rsidRDefault="00DB7D10" w:rsidP="0058428D">
            <w:r w:rsidRPr="006777B5">
              <w:rPr>
                <w:b/>
              </w:rPr>
              <w:t>Population</w:t>
            </w:r>
            <w:r>
              <w:t>:</w:t>
            </w:r>
            <w:r w:rsidR="00A7615C">
              <w:t xml:space="preserve"> </w:t>
            </w:r>
            <w:r w:rsidR="00672843">
              <w:t>Women who were nulliparous with</w:t>
            </w:r>
            <w:r w:rsidR="00A7615C">
              <w:t xml:space="preserve"> </w:t>
            </w:r>
            <w:r w:rsidR="00A7615C" w:rsidRPr="00A7615C">
              <w:t>no regular medication, normotension, singleton pregnancy,</w:t>
            </w:r>
            <w:r w:rsidR="00A7615C">
              <w:t xml:space="preserve"> and maternal</w:t>
            </w:r>
            <w:r w:rsidR="00A7615C" w:rsidRPr="00A7615C">
              <w:t xml:space="preserve"> age &gt;18 years and &lt;40 years</w:t>
            </w:r>
          </w:p>
          <w:p w14:paraId="722D2DE7" w14:textId="3E10F7B1" w:rsidR="0058428D" w:rsidRPr="0002705E" w:rsidRDefault="0002705E" w:rsidP="002E34E2">
            <w:r w:rsidRPr="00CB49EE">
              <w:rPr>
                <w:b/>
              </w:rPr>
              <w:t>Intervention</w:t>
            </w:r>
            <w:r>
              <w:t xml:space="preserve">: </w:t>
            </w:r>
            <w:r w:rsidR="00844C24">
              <w:t> 400 mg m</w:t>
            </w:r>
            <w:r w:rsidR="00CB49EE" w:rsidRPr="00CB49EE">
              <w:t>agnesium</w:t>
            </w:r>
          </w:p>
        </w:tc>
        <w:tc>
          <w:tcPr>
            <w:tcW w:w="4536" w:type="dxa"/>
          </w:tcPr>
          <w:p w14:paraId="5CC66947" w14:textId="77777777" w:rsidR="00DB7D10" w:rsidRDefault="00DB7D10" w:rsidP="0058428D">
            <w:r>
              <w:t>Intervention vs control:</w:t>
            </w:r>
          </w:p>
          <w:p w14:paraId="6E4AEE18" w14:textId="5DD7164F" w:rsidR="00DB7D10" w:rsidRDefault="00DB7D10" w:rsidP="00EE7D5C">
            <w:pPr>
              <w:pStyle w:val="bullet"/>
            </w:pPr>
            <w:r>
              <w:t xml:space="preserve">Increase in </w:t>
            </w:r>
            <w:r w:rsidR="000A57B7">
              <w:t xml:space="preserve">diastolic </w:t>
            </w:r>
            <w:r>
              <w:t>blood pressure</w:t>
            </w:r>
            <w:r w:rsidR="000A57B7">
              <w:t xml:space="preserve"> ≥15 mmHg</w:t>
            </w:r>
            <w:r>
              <w:t xml:space="preserve">: </w:t>
            </w:r>
            <w:r w:rsidR="00C7535E">
              <w:t>25/53 (47.2%) vs 25/58 (43.1%)</w:t>
            </w:r>
            <w:r w:rsidR="00EE7D5C">
              <w:t xml:space="preserve"> — </w:t>
            </w:r>
            <w:r w:rsidR="00EE7D5C" w:rsidRPr="00EE7D5C">
              <w:t xml:space="preserve">RR </w:t>
            </w:r>
            <w:r w:rsidR="00EE7D5C">
              <w:rPr>
                <w:lang w:val="en-AU"/>
              </w:rPr>
              <w:t>1.09 (0.73 to 1.65)</w:t>
            </w:r>
          </w:p>
          <w:p w14:paraId="53033CF2" w14:textId="0E47F04A" w:rsidR="00173B5E" w:rsidRPr="00FF3C23" w:rsidRDefault="00173B5E" w:rsidP="00FF3C23">
            <w:pPr>
              <w:pStyle w:val="bullet"/>
            </w:pPr>
            <w:r>
              <w:t>Increase in systolic blood pressure</w:t>
            </w:r>
            <w:r w:rsidR="00672843">
              <w:t xml:space="preserve"> </w:t>
            </w:r>
            <w:r>
              <w:t xml:space="preserve">≥30 mmHg: </w:t>
            </w:r>
            <w:r w:rsidR="00C7535E">
              <w:t>3/53 (5.7%) vs 6/58 (10.3%)</w:t>
            </w:r>
            <w:r w:rsidR="00EE7D5C">
              <w:t xml:space="preserve"> —</w:t>
            </w:r>
            <w:r w:rsidR="00EE7D5C" w:rsidRPr="00FF3C23">
              <w:t xml:space="preserve"> </w:t>
            </w:r>
            <w:r w:rsidR="00FF3C23" w:rsidRPr="00FF3C23">
              <w:t xml:space="preserve">RR </w:t>
            </w:r>
            <w:r w:rsidR="00AF5FCC">
              <w:rPr>
                <w:lang w:val="en-AU"/>
              </w:rPr>
              <w:t>0.55 (0.14 to</w:t>
            </w:r>
            <w:r w:rsidR="00FF3C23">
              <w:rPr>
                <w:lang w:val="en-AU"/>
              </w:rPr>
              <w:t xml:space="preserve"> 2.08)</w:t>
            </w:r>
          </w:p>
          <w:p w14:paraId="4A46D9E6" w14:textId="28BD6803" w:rsidR="0058428D" w:rsidRPr="00C7535E" w:rsidRDefault="007832A6" w:rsidP="00C7535E">
            <w:pPr>
              <w:pStyle w:val="bullet"/>
            </w:pPr>
            <w:r>
              <w:t xml:space="preserve">Gestational hypertension: </w:t>
            </w:r>
            <w:r w:rsidR="00C7535E">
              <w:t>11/53 (20.8%) vs 10/58 (17.2%)</w:t>
            </w:r>
            <w:r w:rsidR="0058428D" w:rsidRPr="00C7535E">
              <w:rPr>
                <w:rFonts w:eastAsia="Times New Roman"/>
                <w:lang w:val="en-AU"/>
              </w:rPr>
              <w:t xml:space="preserve"> </w:t>
            </w:r>
            <w:r w:rsidR="007271E1">
              <w:rPr>
                <w:rFonts w:eastAsia="Times New Roman"/>
                <w:lang w:val="en-AU"/>
              </w:rPr>
              <w:t>— RR 1.20 (0.56 to 2.60)</w:t>
            </w:r>
          </w:p>
        </w:tc>
        <w:tc>
          <w:tcPr>
            <w:tcW w:w="1843" w:type="dxa"/>
          </w:tcPr>
          <w:p w14:paraId="1B222473" w14:textId="77777777" w:rsidR="0058428D" w:rsidRPr="00D77EAD" w:rsidRDefault="0058428D" w:rsidP="000F71A9">
            <w:pPr>
              <w:keepNext/>
            </w:pPr>
          </w:p>
        </w:tc>
      </w:tr>
      <w:tr w:rsidR="00954F0F" w:rsidRPr="00D77EAD" w14:paraId="499885C6" w14:textId="77777777" w:rsidTr="00105F33">
        <w:trPr>
          <w:cantSplit/>
        </w:trPr>
        <w:tc>
          <w:tcPr>
            <w:tcW w:w="1305" w:type="dxa"/>
          </w:tcPr>
          <w:p w14:paraId="226F0291" w14:textId="5B15AE57" w:rsidR="00954F0F" w:rsidRDefault="00954F0F" w:rsidP="003523C5">
            <w:pPr>
              <w:keepNext/>
            </w:pPr>
            <w:r>
              <w:t>Parente et al 201</w:t>
            </w:r>
            <w:r w:rsidR="00883203">
              <w:t>4</w:t>
            </w:r>
            <w:r w:rsidR="00BE7640">
              <w:fldChar w:fldCharType="begin"/>
            </w:r>
            <w:r w:rsidR="002747EA">
              <w:instrText xml:space="preserve"> ADDIN EN.CITE &lt;EndNote&gt;&lt;Cite&gt;&lt;Author&gt;Parente&lt;/Author&gt;&lt;Year&gt;2014&lt;/Year&gt;&lt;RecNum&gt;1190&lt;/RecNum&gt;&lt;DisplayText&gt;&lt;style face="superscript" font="Trebuchet MS" size="9"&gt;215&lt;/style&gt;&lt;/DisplayText&gt;&lt;record&gt;&lt;rec-number&gt;1190&lt;/rec-number&gt;&lt;foreign-keys&gt;&lt;key app="EN" db-id="exvasrfx2dtraoesasxp2szsxa2df502592x" timestamp="1559269375"&gt;1190&lt;/key&gt;&lt;key app="ENWeb" db-id=""&gt;0&lt;/key&gt;&lt;/foreign-keys&gt;&lt;ref-type name="Journal Article"&gt;17&lt;/ref-type&gt;&lt;contributors&gt;&lt;authors&gt;&lt;author&gt;Parente, Eligio&lt;/author&gt;&lt;author&gt;Colannino, Giulia&lt;/author&gt;&lt;author&gt;Ferrara, Pasquale&lt;/author&gt;&lt;/authors&gt;&lt;/contributors&gt;&lt;titles&gt;&lt;title&gt;Efficacy of Magnesium and Alpha Lipoic Acid Supplementation in Reducing Premature Uterine Contractions&lt;/title&gt;&lt;secondary-title&gt;Open Journal of Obstetrics and Gynecology&lt;/secondary-title&gt;&lt;/titles&gt;&lt;periodical&gt;&lt;full-title&gt;Open Journal of Obstetrics and Gynecology&lt;/full-title&gt;&lt;/periodical&gt;&lt;pages&gt;578-583&lt;/pages&gt;&lt;volume&gt;04&lt;/volume&gt;&lt;number&gt;09&lt;/number&gt;&lt;section&gt;578&lt;/section&gt;&lt;dates&gt;&lt;year&gt;2014&lt;/year&gt;&lt;/dates&gt;&lt;isbn&gt;2160-8792&amp;#xD;2160-8806&lt;/isbn&gt;&lt;urls&gt;&lt;/urls&gt;&lt;electronic-resource-num&gt;10.4236/ojog.2014.49082&lt;/electronic-resource-num&gt;&lt;/record&gt;&lt;/Cite&gt;&lt;/EndNote&gt;</w:instrText>
            </w:r>
            <w:r w:rsidR="00BE7640">
              <w:fldChar w:fldCharType="separate"/>
            </w:r>
            <w:r w:rsidR="002747EA" w:rsidRPr="002747EA">
              <w:rPr>
                <w:noProof/>
                <w:vertAlign w:val="superscript"/>
              </w:rPr>
              <w:t>215</w:t>
            </w:r>
            <w:r w:rsidR="00BE7640">
              <w:fldChar w:fldCharType="end"/>
            </w:r>
          </w:p>
          <w:p w14:paraId="77479831" w14:textId="17C24A66" w:rsidR="00DE2A9C" w:rsidRDefault="00DE2A9C" w:rsidP="003523C5">
            <w:pPr>
              <w:keepNext/>
            </w:pPr>
            <w:r>
              <w:t>Italy</w:t>
            </w:r>
          </w:p>
        </w:tc>
        <w:tc>
          <w:tcPr>
            <w:tcW w:w="1528" w:type="dxa"/>
          </w:tcPr>
          <w:p w14:paraId="002C61B3" w14:textId="77777777" w:rsidR="00954F0F" w:rsidRDefault="002B5ADB" w:rsidP="000F71A9">
            <w:pPr>
              <w:keepNext/>
            </w:pPr>
            <w:r>
              <w:t>Intervention 250</w:t>
            </w:r>
          </w:p>
          <w:p w14:paraId="10A682D2" w14:textId="19C41556" w:rsidR="002B5ADB" w:rsidRDefault="002B5ADB" w:rsidP="000F71A9">
            <w:pPr>
              <w:keepNext/>
            </w:pPr>
            <w:r>
              <w:t>Control 50</w:t>
            </w:r>
          </w:p>
        </w:tc>
        <w:tc>
          <w:tcPr>
            <w:tcW w:w="4680" w:type="dxa"/>
          </w:tcPr>
          <w:p w14:paraId="7EB47C67" w14:textId="268D2F05" w:rsidR="00954F0F" w:rsidRPr="00483939" w:rsidRDefault="00303D77" w:rsidP="0058428D">
            <w:r>
              <w:rPr>
                <w:b/>
              </w:rPr>
              <w:t>Aim</w:t>
            </w:r>
            <w:r w:rsidRPr="00483939">
              <w:t>:</w:t>
            </w:r>
            <w:r w:rsidR="00483939" w:rsidRPr="00483939">
              <w:t xml:space="preserve"> To evaluate</w:t>
            </w:r>
            <w:r w:rsidR="00483939">
              <w:rPr>
                <w:b/>
              </w:rPr>
              <w:t xml:space="preserve"> </w:t>
            </w:r>
            <w:r w:rsidR="00483939" w:rsidRPr="00483939">
              <w:t>the efficacy of a supplementation of</w:t>
            </w:r>
            <w:r w:rsidR="00483939">
              <w:t xml:space="preserve"> </w:t>
            </w:r>
            <w:r w:rsidR="00483939" w:rsidRPr="00483939">
              <w:t>magnesium and alpha-lipoic acid</w:t>
            </w:r>
            <w:r w:rsidR="00483939">
              <w:t xml:space="preserve"> in preventing</w:t>
            </w:r>
            <w:r w:rsidR="00483939" w:rsidRPr="00483939">
              <w:t xml:space="preserve"> premature uterine contractions</w:t>
            </w:r>
            <w:r w:rsidR="00483939">
              <w:t>.</w:t>
            </w:r>
          </w:p>
          <w:p w14:paraId="2D061D78" w14:textId="14259B6C" w:rsidR="00303D77" w:rsidRPr="00483939" w:rsidRDefault="00303D77" w:rsidP="0058428D">
            <w:r>
              <w:rPr>
                <w:b/>
              </w:rPr>
              <w:t>Population:</w:t>
            </w:r>
            <w:r w:rsidR="00483939">
              <w:rPr>
                <w:b/>
              </w:rPr>
              <w:t xml:space="preserve"> </w:t>
            </w:r>
            <w:r w:rsidR="00483939" w:rsidRPr="00483939">
              <w:t xml:space="preserve">nulliparous </w:t>
            </w:r>
            <w:r w:rsidR="00483939">
              <w:t xml:space="preserve">(n=100) </w:t>
            </w:r>
            <w:r w:rsidR="00483939" w:rsidRPr="00483939">
              <w:t xml:space="preserve">and multiparous </w:t>
            </w:r>
            <w:r w:rsidR="00483939">
              <w:t xml:space="preserve">(n=200) </w:t>
            </w:r>
            <w:r w:rsidR="00483939" w:rsidRPr="00483939">
              <w:t xml:space="preserve">with history of spontaneous </w:t>
            </w:r>
            <w:r w:rsidR="00483939">
              <w:t>birth</w:t>
            </w:r>
            <w:r w:rsidR="00483939" w:rsidRPr="00483939">
              <w:t xml:space="preserve"> or</w:t>
            </w:r>
            <w:r w:rsidR="00483939">
              <w:t xml:space="preserve"> </w:t>
            </w:r>
            <w:r w:rsidR="00483939" w:rsidRPr="00483939">
              <w:t>c</w:t>
            </w:r>
            <w:r w:rsidR="00483939">
              <w:t>a</w:t>
            </w:r>
            <w:r w:rsidR="00483939" w:rsidRPr="00483939">
              <w:t xml:space="preserve">esarean section, among which 50 women reported previous miscarriages or preterm </w:t>
            </w:r>
            <w:r w:rsidR="00483939">
              <w:t>birth</w:t>
            </w:r>
            <w:r w:rsidR="00483939" w:rsidRPr="00483939">
              <w:t xml:space="preserve"> (before 35 weeks</w:t>
            </w:r>
            <w:r w:rsidR="00483939">
              <w:t xml:space="preserve"> </w:t>
            </w:r>
            <w:r w:rsidR="00483939" w:rsidRPr="00483939">
              <w:rPr>
                <w:rFonts w:ascii="Helvetica" w:hAnsi="Helvetica"/>
              </w:rPr>
              <w:t>of gestation).</w:t>
            </w:r>
          </w:p>
          <w:p w14:paraId="5EF55EDF" w14:textId="060A838E" w:rsidR="00303D77" w:rsidRPr="00303D77" w:rsidRDefault="00303D77" w:rsidP="00672843">
            <w:r>
              <w:rPr>
                <w:b/>
              </w:rPr>
              <w:t xml:space="preserve">Intervention: </w:t>
            </w:r>
            <w:r>
              <w:t>M</w:t>
            </w:r>
            <w:r w:rsidRPr="00303D77">
              <w:t>agnesium 225 mg, alpha lipoic acid 100</w:t>
            </w:r>
            <w:r w:rsidR="00672843">
              <w:t> </w:t>
            </w:r>
            <w:r w:rsidRPr="00303D77">
              <w:t>mg and vitamin B6 1.3 mg</w:t>
            </w:r>
          </w:p>
        </w:tc>
        <w:tc>
          <w:tcPr>
            <w:tcW w:w="4536" w:type="dxa"/>
          </w:tcPr>
          <w:p w14:paraId="12733CAB" w14:textId="77777777" w:rsidR="00954F0F" w:rsidRDefault="002B5ADB" w:rsidP="0058428D">
            <w:r>
              <w:t>Intervention vs control:</w:t>
            </w:r>
          </w:p>
          <w:p w14:paraId="4B8918E0" w14:textId="2ABA37D6" w:rsidR="00391E99" w:rsidRPr="00391E99" w:rsidRDefault="002B5ADB" w:rsidP="00391E99">
            <w:pPr>
              <w:pStyle w:val="bullet"/>
            </w:pPr>
            <w:r w:rsidRPr="002B5ADB">
              <w:t>Frequent and persistent episodes of preterm</w:t>
            </w:r>
            <w:r>
              <w:t xml:space="preserve"> </w:t>
            </w:r>
            <w:r w:rsidRPr="002B5ADB">
              <w:t>uterine contractions associated with pain</w:t>
            </w:r>
            <w:r>
              <w:t xml:space="preserve">: 50/250 </w:t>
            </w:r>
            <w:r w:rsidR="006A75CD">
              <w:t xml:space="preserve">(20%) </w:t>
            </w:r>
            <w:r>
              <w:t>vs 30/50</w:t>
            </w:r>
            <w:r w:rsidR="006A75CD">
              <w:t xml:space="preserve"> (60%)</w:t>
            </w:r>
            <w:r w:rsidR="004F05F7">
              <w:t xml:space="preserve"> — </w:t>
            </w:r>
            <w:r w:rsidR="00391E99">
              <w:t xml:space="preserve">RR </w:t>
            </w:r>
            <w:r w:rsidR="00391E99">
              <w:rPr>
                <w:lang w:val="en-AU"/>
              </w:rPr>
              <w:t>0.33 (0.24 to 0.47)</w:t>
            </w:r>
          </w:p>
          <w:p w14:paraId="06456DC7" w14:textId="1CDCDCE8" w:rsidR="002B5ADB" w:rsidRDefault="002B5ADB" w:rsidP="002D387F">
            <w:pPr>
              <w:pStyle w:val="bullet"/>
            </w:pPr>
            <w:r w:rsidRPr="002B5ADB">
              <w:t>Maternal need for hospital admission for</w:t>
            </w:r>
            <w:r>
              <w:t xml:space="preserve"> </w:t>
            </w:r>
            <w:r w:rsidRPr="002B5ADB">
              <w:t>threatened preterm labor</w:t>
            </w:r>
            <w:r>
              <w:t xml:space="preserve">: 50/250 </w:t>
            </w:r>
            <w:r w:rsidR="006A75CD">
              <w:t xml:space="preserve">(20%) </w:t>
            </w:r>
            <w:r>
              <w:t>vs 20/50</w:t>
            </w:r>
            <w:r w:rsidR="006A75CD">
              <w:t xml:space="preserve"> (40%)</w:t>
            </w:r>
            <w:r w:rsidR="004F05F7">
              <w:t xml:space="preserve"> — </w:t>
            </w:r>
            <w:r w:rsidR="002D387F" w:rsidRPr="002D387F">
              <w:t>RR 0.50 (0.33 to</w:t>
            </w:r>
            <w:r w:rsidR="002D387F" w:rsidRPr="002D387F">
              <w:rPr>
                <w:lang w:val="en-AU"/>
              </w:rPr>
              <w:t xml:space="preserve"> 0.76</w:t>
            </w:r>
            <w:r w:rsidR="002D387F" w:rsidRPr="002D387F">
              <w:t>)</w:t>
            </w:r>
          </w:p>
        </w:tc>
        <w:tc>
          <w:tcPr>
            <w:tcW w:w="1843" w:type="dxa"/>
          </w:tcPr>
          <w:p w14:paraId="309119D3" w14:textId="77777777" w:rsidR="00954F0F" w:rsidRPr="00D77EAD" w:rsidRDefault="00954F0F" w:rsidP="000F71A9">
            <w:pPr>
              <w:keepNext/>
            </w:pPr>
          </w:p>
        </w:tc>
      </w:tr>
      <w:tr w:rsidR="006777B5" w:rsidRPr="00D77EAD" w14:paraId="07B61927" w14:textId="77777777" w:rsidTr="00105F33">
        <w:trPr>
          <w:cantSplit/>
        </w:trPr>
        <w:tc>
          <w:tcPr>
            <w:tcW w:w="1305" w:type="dxa"/>
          </w:tcPr>
          <w:p w14:paraId="397F3F2B" w14:textId="007F0C81" w:rsidR="006777B5" w:rsidRDefault="006777B5" w:rsidP="003523C5">
            <w:pPr>
              <w:keepNext/>
            </w:pPr>
            <w:r>
              <w:t>Supakatisant et al 2015</w:t>
            </w:r>
            <w:r w:rsidR="00BE7640">
              <w:fldChar w:fldCharType="begin"/>
            </w:r>
            <w:r w:rsidR="002747EA">
              <w:instrText xml:space="preserve"> ADDIN EN.CITE &lt;EndNote&gt;&lt;Cite&gt;&lt;Author&gt;Supakatisant&lt;/Author&gt;&lt;Year&gt;2015&lt;/Year&gt;&lt;RecNum&gt;1191&lt;/RecNum&gt;&lt;DisplayText&gt;&lt;style face="superscript" font="Trebuchet MS" size="9"&gt;216&lt;/style&gt;&lt;/DisplayText&gt;&lt;record&gt;&lt;rec-number&gt;1191&lt;/rec-number&gt;&lt;foreign-keys&gt;&lt;key app="EN" db-id="exvasrfx2dtraoesasxp2szsxa2df502592x" timestamp="1559269381"&gt;1191&lt;/key&gt;&lt;key app="ENWeb" db-id=""&gt;0&lt;/key&gt;&lt;/foreign-keys&gt;&lt;ref-type name="Journal Article"&gt;17&lt;/ref-type&gt;&lt;contributors&gt;&lt;authors&gt;&lt;author&gt;Supakatisant, C.&lt;/author&gt;&lt;author&gt;Phupong, V.&lt;/author&gt;&lt;/authors&gt;&lt;/contributors&gt;&lt;auth-address&gt;Department of Obstetrics and Gynecology, Faculty of Medicine, Chulalongkorn University, Pathumwan, Bangkok, 10330, Thailand.&lt;/auth-address&gt;&lt;titles&gt;&lt;title&gt;Oral magnesium for relief in pregnancy-induced leg cramps: a randomised controlled trial&lt;/title&gt;&lt;secondary-title&gt;Matern Child Nutr&lt;/secondary-title&gt;&lt;/titles&gt;&lt;periodical&gt;&lt;full-title&gt;Matern Child Nutr&lt;/full-title&gt;&lt;/periodical&gt;&lt;pages&gt;139-45&lt;/pages&gt;&lt;volume&gt;11&lt;/volume&gt;&lt;number&gt;2&lt;/number&gt;&lt;edition&gt;2012/08/23&lt;/edition&gt;&lt;keywords&gt;&lt;keyword&gt;Administration, Oral&lt;/keyword&gt;&lt;keyword&gt;Adult&lt;/keyword&gt;&lt;keyword&gt;Double-Blind Method&lt;/keyword&gt;&lt;keyword&gt;Female&lt;/keyword&gt;&lt;keyword&gt;Humans&lt;/keyword&gt;&lt;keyword&gt;Leg/*physiopathology&lt;/keyword&gt;&lt;keyword&gt;Magnesium/*administration &amp;amp; dosage&lt;/keyword&gt;&lt;keyword&gt;Muscle Cramp/*drug therapy&lt;/keyword&gt;&lt;keyword&gt;Pregnancy&lt;/keyword&gt;&lt;keyword&gt;Pregnancy Complications/*drug therapy&lt;/keyword&gt;&lt;keyword&gt;Treatment Outcome&lt;/keyword&gt;&lt;keyword&gt;Young Adult&lt;/keyword&gt;&lt;keyword&gt;leg cramps&lt;/keyword&gt;&lt;keyword&gt;magnesium bisglycinate chelate&lt;/keyword&gt;&lt;keyword&gt;oral&lt;/keyword&gt;&lt;keyword&gt;trial&lt;/keyword&gt;&lt;/keywords&gt;&lt;dates&gt;&lt;year&gt;2015&lt;/year&gt;&lt;pub-dates&gt;&lt;date&gt;Apr&lt;/date&gt;&lt;/pub-dates&gt;&lt;/dates&gt;&lt;isbn&gt;1740-8709 (Electronic)&amp;#xD;1740-8695 (Linking)&lt;/isbn&gt;&lt;accession-num&gt;22909270&lt;/accession-num&gt;&lt;urls&gt;&lt;related-urls&gt;&lt;url&gt;https://www.ncbi.nlm.nih.gov/pubmed/22909270&lt;/url&gt;&lt;/related-urls&gt;&lt;/urls&gt;&lt;electronic-resource-num&gt;10.1111/j.1740-8709.2012.00440.x&lt;/electronic-resource-num&gt;&lt;/record&gt;&lt;/Cite&gt;&lt;/EndNote&gt;</w:instrText>
            </w:r>
            <w:r w:rsidR="00BE7640">
              <w:fldChar w:fldCharType="separate"/>
            </w:r>
            <w:r w:rsidR="002747EA" w:rsidRPr="002747EA">
              <w:rPr>
                <w:noProof/>
                <w:vertAlign w:val="superscript"/>
              </w:rPr>
              <w:t>216</w:t>
            </w:r>
            <w:r w:rsidR="00BE7640">
              <w:fldChar w:fldCharType="end"/>
            </w:r>
          </w:p>
          <w:p w14:paraId="78DA58AC" w14:textId="61A7355A" w:rsidR="00DE2A9C" w:rsidRDefault="00DE2A9C" w:rsidP="003523C5">
            <w:pPr>
              <w:keepNext/>
            </w:pPr>
            <w:r>
              <w:t>Thailand</w:t>
            </w:r>
          </w:p>
        </w:tc>
        <w:tc>
          <w:tcPr>
            <w:tcW w:w="1528" w:type="dxa"/>
          </w:tcPr>
          <w:p w14:paraId="77ABC033" w14:textId="77777777" w:rsidR="006777B5" w:rsidRDefault="006777B5" w:rsidP="000F71A9">
            <w:pPr>
              <w:keepNext/>
            </w:pPr>
            <w:r>
              <w:t>Intervention 41</w:t>
            </w:r>
          </w:p>
          <w:p w14:paraId="6B88AA61" w14:textId="0EC31B4D" w:rsidR="006777B5" w:rsidRDefault="006777B5" w:rsidP="000F71A9">
            <w:pPr>
              <w:keepNext/>
            </w:pPr>
            <w:r>
              <w:t>Placebo 39</w:t>
            </w:r>
          </w:p>
        </w:tc>
        <w:tc>
          <w:tcPr>
            <w:tcW w:w="4680" w:type="dxa"/>
          </w:tcPr>
          <w:p w14:paraId="79F4D8A2" w14:textId="000CB7C0" w:rsidR="006777B5" w:rsidRDefault="006777B5" w:rsidP="0058428D">
            <w:r>
              <w:rPr>
                <w:b/>
              </w:rPr>
              <w:t xml:space="preserve">Aim: </w:t>
            </w:r>
            <w:r w:rsidR="00483939">
              <w:t>T</w:t>
            </w:r>
            <w:r w:rsidRPr="006777B5">
              <w:t xml:space="preserve">o evaluate the therapeutic efficacy of oral magnesium in pregnant women with leg cramps. </w:t>
            </w:r>
          </w:p>
          <w:p w14:paraId="53A6C4C5" w14:textId="3423D871" w:rsidR="006777B5" w:rsidRDefault="006777B5" w:rsidP="0058428D">
            <w:r w:rsidRPr="006777B5">
              <w:rPr>
                <w:b/>
              </w:rPr>
              <w:t>Population</w:t>
            </w:r>
            <w:r w:rsidR="003F3753">
              <w:t>: H</w:t>
            </w:r>
            <w:r>
              <w:t>ealthy pregnant women at</w:t>
            </w:r>
            <w:r w:rsidRPr="006777B5">
              <w:t xml:space="preserve"> 14-34 weeks of gestation who had leg cramps at least twice per week. </w:t>
            </w:r>
          </w:p>
          <w:p w14:paraId="74FD3AA7" w14:textId="0E9E8143" w:rsidR="006777B5" w:rsidRPr="006777B5" w:rsidRDefault="006777B5" w:rsidP="0058428D">
            <w:r w:rsidRPr="006777B5">
              <w:rPr>
                <w:b/>
              </w:rPr>
              <w:t>Intervention</w:t>
            </w:r>
            <w:r>
              <w:t xml:space="preserve">: 300 mg </w:t>
            </w:r>
            <w:r w:rsidRPr="006777B5">
              <w:t>magnesium bisglycinate chelate</w:t>
            </w:r>
            <w:r>
              <w:t xml:space="preserve"> daily.</w:t>
            </w:r>
          </w:p>
        </w:tc>
        <w:tc>
          <w:tcPr>
            <w:tcW w:w="4536" w:type="dxa"/>
          </w:tcPr>
          <w:p w14:paraId="6E562F0C" w14:textId="77777777" w:rsidR="00AF4042" w:rsidRDefault="00AF4042" w:rsidP="006777B5">
            <w:r>
              <w:t>Intervention vs control:</w:t>
            </w:r>
          </w:p>
          <w:p w14:paraId="0F46FC36" w14:textId="3B57D9B3" w:rsidR="00AF4042" w:rsidRDefault="00AF4042" w:rsidP="00AF4042">
            <w:pPr>
              <w:pStyle w:val="bullet"/>
            </w:pPr>
            <w:r>
              <w:t>Re</w:t>
            </w:r>
            <w:r w:rsidR="006777B5" w:rsidRPr="006777B5">
              <w:t>duction of cramp frequency</w:t>
            </w:r>
            <w:r>
              <w:t xml:space="preserve">: </w:t>
            </w:r>
            <w:r w:rsidR="003F3753">
              <w:t>86.0% vs. 60.5%, P=0.007</w:t>
            </w:r>
          </w:p>
          <w:p w14:paraId="31C01CC5" w14:textId="57898746" w:rsidR="006777B5" w:rsidRPr="006777B5" w:rsidRDefault="006777B5" w:rsidP="00AF4042">
            <w:pPr>
              <w:pStyle w:val="bullet"/>
            </w:pPr>
            <w:r w:rsidRPr="006777B5">
              <w:t>50% reduction of cramp intensity</w:t>
            </w:r>
            <w:r w:rsidR="00AF4042">
              <w:t>: 69.8% vs. 48.8%, P=0.048</w:t>
            </w:r>
            <w:r w:rsidRPr="006777B5">
              <w:t xml:space="preserve">. </w:t>
            </w:r>
          </w:p>
        </w:tc>
        <w:tc>
          <w:tcPr>
            <w:tcW w:w="1843" w:type="dxa"/>
          </w:tcPr>
          <w:p w14:paraId="321C6E09" w14:textId="77777777" w:rsidR="006777B5" w:rsidRPr="00D77EAD" w:rsidRDefault="006777B5" w:rsidP="000F71A9">
            <w:pPr>
              <w:keepNext/>
            </w:pPr>
          </w:p>
        </w:tc>
      </w:tr>
    </w:tbl>
    <w:p w14:paraId="440F28D5" w14:textId="52D9CF2F" w:rsidR="00D150D8" w:rsidRPr="009740A7" w:rsidRDefault="009C163D" w:rsidP="00932C6D">
      <w:pPr>
        <w:pStyle w:val="TableName"/>
      </w:pPr>
      <w:bookmarkStart w:id="101" w:name="_Toc40956636"/>
      <w:r>
        <w:t xml:space="preserve">Q3 </w:t>
      </w:r>
      <w:r w:rsidR="00D150D8">
        <w:t xml:space="preserve">Harms and benefits of selenium supplementation </w:t>
      </w:r>
      <w:r w:rsidR="00BC1D42">
        <w:t xml:space="preserve">in pregnancy </w:t>
      </w:r>
      <w:r w:rsidR="00D150D8">
        <w:t xml:space="preserve">— </w:t>
      </w:r>
      <w:r w:rsidR="00D56FB3">
        <w:t>RCT</w:t>
      </w:r>
      <w:r w:rsidR="00D150D8">
        <w:t>s</w:t>
      </w:r>
      <w:bookmarkEnd w:id="10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8: Q3 Harms and benefits of selenium supplementation in pregnancy — RCTs"/>
      </w:tblPr>
      <w:tblGrid>
        <w:gridCol w:w="1305"/>
        <w:gridCol w:w="1528"/>
        <w:gridCol w:w="4680"/>
        <w:gridCol w:w="4536"/>
        <w:gridCol w:w="1843"/>
      </w:tblGrid>
      <w:tr w:rsidR="00D150D8" w:rsidRPr="00F350A6" w14:paraId="20901145" w14:textId="77777777" w:rsidTr="00055933">
        <w:trPr>
          <w:cantSplit/>
          <w:tblHeader/>
        </w:trPr>
        <w:tc>
          <w:tcPr>
            <w:tcW w:w="1305" w:type="dxa"/>
          </w:tcPr>
          <w:p w14:paraId="149E5DB5" w14:textId="77777777" w:rsidR="00D150D8" w:rsidRPr="00F350A6" w:rsidRDefault="00D150D8" w:rsidP="00D150D8">
            <w:pPr>
              <w:keepNext/>
              <w:rPr>
                <w:b/>
              </w:rPr>
            </w:pPr>
            <w:r>
              <w:rPr>
                <w:b/>
              </w:rPr>
              <w:t>Study ref</w:t>
            </w:r>
          </w:p>
        </w:tc>
        <w:tc>
          <w:tcPr>
            <w:tcW w:w="1528" w:type="dxa"/>
          </w:tcPr>
          <w:p w14:paraId="1A7D9291" w14:textId="77777777" w:rsidR="00D150D8" w:rsidRPr="00F350A6" w:rsidRDefault="00D150D8" w:rsidP="00D150D8">
            <w:pPr>
              <w:keepNext/>
              <w:rPr>
                <w:b/>
              </w:rPr>
            </w:pPr>
            <w:r>
              <w:rPr>
                <w:b/>
              </w:rPr>
              <w:t>N</w:t>
            </w:r>
          </w:p>
        </w:tc>
        <w:tc>
          <w:tcPr>
            <w:tcW w:w="4680" w:type="dxa"/>
          </w:tcPr>
          <w:p w14:paraId="5E6C85C9" w14:textId="5D6C268F" w:rsidR="00D150D8" w:rsidRPr="00F350A6" w:rsidRDefault="00D150D8" w:rsidP="00DE2A9C">
            <w:pPr>
              <w:keepNext/>
              <w:rPr>
                <w:b/>
              </w:rPr>
            </w:pPr>
            <w:r>
              <w:rPr>
                <w:b/>
              </w:rPr>
              <w:t>Aim/</w:t>
            </w:r>
            <w:r w:rsidRPr="00F350A6">
              <w:rPr>
                <w:b/>
              </w:rPr>
              <w:t>population</w:t>
            </w:r>
            <w:r>
              <w:rPr>
                <w:b/>
              </w:rPr>
              <w:t>/intervention</w:t>
            </w:r>
          </w:p>
        </w:tc>
        <w:tc>
          <w:tcPr>
            <w:tcW w:w="4536" w:type="dxa"/>
          </w:tcPr>
          <w:p w14:paraId="04556A4E" w14:textId="77777777" w:rsidR="00D150D8" w:rsidRPr="00F350A6" w:rsidRDefault="00D150D8" w:rsidP="00D150D8">
            <w:pPr>
              <w:keepNext/>
              <w:rPr>
                <w:b/>
              </w:rPr>
            </w:pPr>
            <w:r>
              <w:rPr>
                <w:b/>
              </w:rPr>
              <w:t>Results</w:t>
            </w:r>
          </w:p>
        </w:tc>
        <w:tc>
          <w:tcPr>
            <w:tcW w:w="1843" w:type="dxa"/>
          </w:tcPr>
          <w:p w14:paraId="5BDBF698" w14:textId="77777777" w:rsidR="00D150D8" w:rsidRPr="00F350A6" w:rsidRDefault="00D150D8" w:rsidP="00D150D8">
            <w:pPr>
              <w:keepNext/>
              <w:rPr>
                <w:b/>
              </w:rPr>
            </w:pPr>
            <w:r>
              <w:rPr>
                <w:b/>
              </w:rPr>
              <w:t>Comments</w:t>
            </w:r>
          </w:p>
        </w:tc>
      </w:tr>
      <w:tr w:rsidR="00A44F5D" w:rsidRPr="00D150D8" w14:paraId="2200C8B4" w14:textId="77777777" w:rsidTr="00E61C09">
        <w:trPr>
          <w:cantSplit/>
        </w:trPr>
        <w:tc>
          <w:tcPr>
            <w:tcW w:w="1305" w:type="dxa"/>
          </w:tcPr>
          <w:p w14:paraId="0E9F8C04" w14:textId="173A1B62" w:rsidR="00A44F5D" w:rsidRDefault="00BC6CD6" w:rsidP="003523C5">
            <w:pPr>
              <w:keepNext/>
            </w:pPr>
            <w:r>
              <w:t>Tara et al 2010</w:t>
            </w:r>
            <w:r w:rsidR="003523C5">
              <w:fldChar w:fldCharType="begin">
                <w:fldData xml:space="preserve">PEVuZE5vdGU+PENpdGU+PEF1dGhvcj5UYXJhPC9BdXRob3I+PFllYXI+MjAxMDwvWWVhcj48UmVj
TnVtPjEyMTQ8L1JlY051bT48RGlzcGxheVRleHQ+PHN0eWxlIGZhY2U9InN1cGVyc2NyaXB0IiBm
b250PSJUcmVidWNoZXQgTVMiIHNpemU9IjkiPjIxNy0yMjA8L3N0eWxlPjwvRGlzcGxheVRleHQ+
PHJlY29yZD48cmVjLW51bWJlcj4xMjE0PC9yZWMtbnVtYmVyPjxmb3JlaWduLWtleXM+PGtleSBh
cHA9IkVOIiBkYi1pZD0iZXh2YXNyZngyZHRyYW9lc2FzeHAyc3pzeGEyZGY1MDI1OTJ4IiB0aW1l
c3RhbXA9IjE1NTk4Njc0NjAiPjEyMTQ8L2tleT48L2ZvcmVpZ24ta2V5cz48cmVmLXR5cGUgbmFt
ZT0iSm91cm5hbCBBcnRpY2xlIj4xNzwvcmVmLXR5cGU+PGNvbnRyaWJ1dG9ycz48YXV0aG9ycz48
YXV0aG9yPlRhcmEsIEYuPC9hdXRob3I+PGF1dGhvcj5NYWFtb3VyaSwgRy48L2F1dGhvcj48YXV0
aG9yPlJheW1hbiwgTS4gUC48L2F1dGhvcj48YXV0aG9yPkdoYXlvdXItTW9iYXJoYW4sIE0uPC9h
dXRob3I+PGF1dGhvcj5TYWhlYmthciwgQS48L2F1dGhvcj48YXV0aG9yPllhemFybHUsIE8uPC9h
dXRob3I+PGF1dGhvcj5PdWxhZGFuLCBTLjwvYXV0aG9yPjxhdXRob3I+VGF2YWxsYWllLCBTLjwv
YXV0aG9yPjxhdXRob3I+QXppbWktTmV6aGFkLCBNLjwvYXV0aG9yPjxhdXRob3I+U2hha2VyaSwg
TS4gVC48L2F1dGhvcj48YXV0aG9yPkJvc2thYmFkaSwgSC48L2F1dGhvcj48YXV0aG9yPk9sYWRp
LCBNLjwvYXV0aG9yPjxhdXRob3I+U2FuZ2FuaSwgTS4gVC48L2F1dGhvcj48YXV0aG9yPlJhemF2
aSwgQi4gUy48L2F1dGhvcj48YXV0aG9yPkZlcm5zLCBHLjwvYXV0aG9yPjwvYXV0aG9ycz48L2Nv
bnRyaWJ1dG9ycz48YXV0aC1hZGRyZXNzPkRlcGFydG1lbnQgb2YgT2JzdGV0cmljcyBhbmQgR3lu
ZWNvbG9neSwgT21tb2xiYW5pbiBIb3NwaXRhbCwgTWFzaGhhZCBVbml2ZXJzaXR5IG9mIE1lZGlj
YWwgU2NpZW5jZXMsIE1hc2hoYWQsIElyYW4uPC9hdXRoLWFkZHJlc3M+PHRpdGxlcz48dGl0bGU+
U2VsZW5pdW0gc3VwcGxlbWVudGF0aW9uIGFuZCB0aGUgaW5jaWRlbmNlIG9mIHByZWVjbGFtcHNp
YSBpbiBwcmVnbmFudCBJcmFuaWFuIHdvbWVuOiBhIHJhbmRvbWl6ZWQsIGRvdWJsZS1ibGluZCwg
cGxhY2Viby1jb250cm9sbGVkIHBpbG90IHRyaWFsPC90aXRsZT48c2Vjb25kYXJ5LXRpdGxlPlRh
aXdhbiBKIE9ic3RldCBHeW5lY29sPC9zZWNvbmRhcnktdGl0bGU+PC90aXRsZXM+PHBlcmlvZGlj
YWw+PGZ1bGwtdGl0bGU+VGFpd2FuIEogT2JzdGV0IEd5bmVjb2w8L2Z1bGwtdGl0bGU+PC9wZXJp
b2RpY2FsPjxwYWdlcz4xODEtNzwvcGFnZXM+PHZvbHVtZT40OTwvdm9sdW1lPjxudW1iZXI+Mjwv
bnVtYmVyPjxlZGl0aW9uPjIwMTAvMDgvMTc8L2VkaXRpb24+PGtleXdvcmRzPjxrZXl3b3JkPkFk
b2xlc2NlbnQ8L2tleXdvcmQ+PGtleXdvcmQ+QWR1bHQ8L2tleXdvcmQ+PGtleXdvcmQ+QW50aW94
aWRhbnRzL2FuYWx5c2lzLyp0aGVyYXBldXRpYyB1c2U8L2tleXdvcmQ+PGtleXdvcmQ+Qmxvb2Qg
UHJlc3N1cmU8L2tleXdvcmQ+PGtleXdvcmQ+Qy1SZWFjdGl2ZSBQcm90ZWluL2FuYWx5c2lzPC9r
ZXl3b3JkPjxrZXl3b3JkPkNob2xlc3Rlcm9sL2Jsb29kPC9rZXl3b3JkPjxrZXl3b3JkPkRvdWJs
ZS1CbGluZCBNZXRob2Q8L2tleXdvcmQ+PGtleXdvcmQ+RmVtYWxlPC9rZXl3b3JkPjxrZXl3b3Jk
Pkh1bWFuczwva2V5d29yZD48a2V5d29yZD5JbmNpZGVuY2U8L2tleXdvcmQ+PGtleXdvcmQ+SXJh
bi9lcGlkZW1pb2xvZ3k8L2tleXdvcmQ+PGtleXdvcmQ+TGlwb3Byb3RlaW5zLCBIREwvYmxvb2Q8
L2tleXdvcmQ+PGtleXdvcmQ+TGlwb3Byb3RlaW5zLCBMREwvYmxvb2Q8L2tleXdvcmQ+PGtleXdv
cmQ+UGlsb3QgUHJvamVjdHM8L2tleXdvcmQ+PGtleXdvcmQ+UHJlLUVjbGFtcHNpYS9lcGlkZW1p
b2xvZ3kvKnByZXZlbnRpb24gJmFtcDsgY29udHJvbDwva2V5d29yZD48a2V5d29yZD5QcmVnbmFu
Y3k8L2tleXdvcmQ+PGtleXdvcmQ+UHJlZ25hbmN5IFRyaW1lc3RlciwgRmlyc3Q8L2tleXdvcmQ+
PGtleXdvcmQ+U2VsZW5pdW0vYmxvb2QvKnRoZXJhcGV1dGljIHVzZTwva2V5d29yZD48a2V5d29y
ZD5UcmlnbHljZXJpZGVzL2Jsb29kPC9rZXl3b3JkPjwva2V5d29yZHM+PGRhdGVzPjx5ZWFyPjIw
MTA8L3llYXI+PHB1Yi1kYXRlcz48ZGF0ZT5KdW48L2RhdGU+PC9wdWItZGF0ZXM+PC9kYXRlcz48
aXNibj4xODc1LTYyNjMgKEVsZWN0cm9uaWMpJiN4RDsxMDI4LTQ1NTkgKExpbmtpbmcpPC9pc2Ju
PjxhY2Nlc3Npb24tbnVtPjIwNzA4NTI1PC9hY2Nlc3Npb24tbnVtPjx1cmxzPjxyZWxhdGVkLXVy
bHM+PHVybD5odHRwczovL3d3dy5uY2JpLm5sbS5uaWguZ292L3B1Ym1lZC8yMDcwODUyNTwvdXJs
PjwvcmVsYXRlZC11cmxzPjwvdXJscz48ZWxlY3Ryb25pYy1yZXNvdXJjZS1udW0+MTAuMTAxNi9T
MTAyOC00NTU5KDEwKTYwMDM4LTE8L2VsZWN0cm9uaWMtcmVzb3VyY2UtbnVtPjwvcmVjb3JkPjwv
Q2l0ZT48Q2l0ZT48QXV0aG9yPlRhcmE8L0F1dGhvcj48WWVhcj4yMDEwPC9ZZWFyPjxSZWNOdW0+
MTIxMzwvUmVjTnVtPjxyZWNvcmQ+PHJlYy1udW1iZXI+MTIxMzwvcmVjLW51bWJlcj48Zm9yZWln
bi1rZXlzPjxrZXkgYXBwPSJFTiIgZGItaWQ9ImV4dmFzcmZ4MmR0cmFvZXNhc3hwMnN6c3hhMmRm
NTAyNTkyeCIgdGltZXN0YW1wPSIxNTU5ODY3Mzk3Ij4xMjEzPC9rZXk+PGtleSBhcHA9IkVOV2Vi
IiBkYi1pZD0iIj4wPC9rZXk+PC9mb3JlaWduLWtleXM+PHJlZi10eXBlIG5hbWU9IkpvdXJuYWwg
QXJ0aWNsZSI+MTc8L3JlZi10eXBlPjxjb250cmlidXRvcnM+PGF1dGhvcnM+PGF1dGhvcj5UYXJh
LCBGLjwvYXV0aG9yPjxhdXRob3I+UmF5bWFuLCBNLiBQLjwvYXV0aG9yPjxhdXRob3I+Qm9za2Fi
YWRpLCBILjwvYXV0aG9yPjxhdXRob3I+R2hheW91ci1Nb2JhcmhhbiwgTS48L2F1dGhvcj48YXV0
aG9yPlNhaGVia2FyLCBBLjwvYXV0aG9yPjxhdXRob3I+WWF6YXJsdSwgTy48L2F1dGhvcj48YXV0
aG9yPk91bGFkYW4sIFMuPC9hdXRob3I+PGF1dGhvcj5UYXZhbGxhaWUsIFMuPC9hdXRob3I+PGF1
dGhvcj5BemltaS1OZXpoYWQsIE0uPC9hdXRob3I+PGF1dGhvcj5TaGFrZXJpLCBNLiBULjwvYXV0
aG9yPjxhdXRob3I+VGV5bW9vcmksIE0uIFMuPC9hdXRob3I+PGF1dGhvcj5SYXphdmksIEIuIFMu
PC9hdXRob3I+PGF1dGhvcj5PbGFkaSwgTS48L2F1dGhvcj48YXV0aG9yPkZlcm5zLCBHLjwvYXV0
aG9yPjwvYXV0aG9ycz48L2NvbnRyaWJ1dG9ycz48YXV0aC1hZGRyZXNzPkRlcGFydG1lbnQgb2Yg
T2JzdGV0cmljcyBhbmQgR3luYWVjb2xvZ3ksIE9NLUFsYmFuaW4gSG9zcGl0YWwsIE1hc2hoYWQg
VW5pdmVyc2l0eSBvZiBNZWRpY2FsIFNjaWVuY2VzLCBNYXNoaGFkLCBJcmFuPC9hdXRoLWFkZHJl
c3M+PHRpdGxlcz48dGl0bGU+U2VsZW5pdW0gc3VwcGxlbWVudGF0aW9uIGFuZCBwcmVtYXR1cmUg
KHByZS1sYWJvdXIpIHJ1cHR1cmUgb2YgbWVtYnJhbmVzOiBhIHJhbmRvbWlzZWQgZG91YmxlLWJs
aW5kIHBsYWNlYm8tY29udHJvbGxlZCB0cmlhbDwvdGl0bGU+PHNlY29uZGFyeS10aXRsZT5KIE9i
c3RldCBHeW5hZWNvbDwvc2Vjb25kYXJ5LXRpdGxlPjwvdGl0bGVzPjxwZXJpb2RpY2FsPjxmdWxs
LXRpdGxlPkogT2JzdGV0IEd5bmFlY29sPC9mdWxsLXRpdGxlPjwvcGVyaW9kaWNhbD48cGFnZXM+
MzAtNDwvcGFnZXM+PHZvbHVtZT4zMDwvdm9sdW1lPjxudW1iZXI+MTwvbnVtYmVyPjxlZGl0aW9u
PjIwMTAvMDIvMDQ8L2VkaXRpb24+PGtleXdvcmRzPjxrZXl3b3JkPkFkdWx0PC9rZXl3b3JkPjxr
ZXl3b3JkPkFudGlveGlkYW50cy8qdGhlcmFwZXV0aWMgdXNlPC9rZXl3b3JkPjxrZXl3b3JkPkRp
ZXRhcnkgU3VwcGxlbWVudHM8L2tleXdvcmQ+PGtleXdvcmQ+RG91YmxlLUJsaW5kIE1ldGhvZDwv
a2V5d29yZD48a2V5d29yZD5GZW1hbGU8L2tleXdvcmQ+PGtleXdvcmQ+RmV0YWwgTWVtYnJhbmVz
LCBQcmVtYXR1cmUgUnVwdHVyZS8qcHJldmVudGlvbiAmYW1wOyBjb250cm9sPC9rZXl3b3JkPjxr
ZXl3b3JkPkh1bWFuczwva2V5d29yZD48a2V5d29yZD5QcmVnbmFuY3k8L2tleXdvcmQ+PGtleXdv
cmQ+U2VsZW5pdW0vYmxvb2QvKnRoZXJhcGV1dGljIHVzZTwva2V5d29yZD48a2V5d29yZD5Zb3Vu
ZyBBZHVsdDwva2V5d29yZD48L2tleXdvcmRzPjxkYXRlcz48eWVhcj4yMDEwPC95ZWFyPjxwdWIt
ZGF0ZXM+PGRhdGU+SmFuPC9kYXRlPjwvcHViLWRhdGVzPjwvZGF0ZXM+PGlzYm4+MTM2NC02ODkz
IChFbGVjdHJvbmljKSYjeEQ7MDE0NC0zNjE1IChMaW5raW5nKTwvaXNibj48YWNjZXNzaW9uLW51
bT4yMDEyMTUwMDwvYWNjZXNzaW9uLW51bT48dXJscz48cmVsYXRlZC11cmxzPjx1cmw+aHR0cHM6
Ly93d3cubmNiaS5ubG0ubmloLmdvdi9wdWJtZWQvMjAxMjE1MDA8L3VybD48L3JlbGF0ZWQtdXJs
cz48L3VybHM+PGVsZWN0cm9uaWMtcmVzb3VyY2UtbnVtPjEwLjMxMDkvMDE0NDM2MTA5MDMyNjc1
MDc8L2VsZWN0cm9uaWMtcmVzb3VyY2UtbnVtPjwvcmVjb3JkPjwvQ2l0ZT48Q2l0ZT48QXV0aG9y
PkJvc2FrYWJhZGk8L0F1dGhvcj48WWVhcj4yMDEwPC9ZZWFyPjxSZWNOdW0+MTIxODwvUmVjTnVt
PjxyZWNvcmQ+PHJlYy1udW1iZXI+MTIxODwvcmVjLW51bWJlcj48Zm9yZWlnbi1rZXlzPjxrZXkg
YXBwPSJFTiIgZGItaWQ9ImV4dmFzcmZ4MmR0cmFvZXNhc3hwMnN6c3hhMmRmNTAyNTkyeCIgdGlt
ZXN0YW1wPSIxNTU5ODY4MTc4Ij4xMjE4PC9rZXk+PC9mb3JlaWduLWtleXM+PHJlZi10eXBlIG5h
bWU9IkpvdXJuYWwgQXJ0aWNsZSI+MTc8L3JlZi10eXBlPjxjb250cmlidXRvcnM+PGF1dGhvcnM+
PGF1dGhvcj5Cb3Nha2FiYWRpLCBILiw8L2F1dGhvcj48YXV0aG9yPlJlemFnaG9saXphZGUgT21y
YW4sIEYuLDwvYXV0aG9yPjxhdXRob3I+VGFyYSwgRi4sPC9hdXRob3I+PGF1dGhvcj5SYXltYW4s
IE0uUC4sPC9hdXRob3I+PGF1dGhvcj5HaGF5b3VyLU1vYmFyaGFuLCBNLiw8L2F1dGhvcj48YXV0
aG9yPlNhaGVia2FyLCBBLiw8L2F1dGhvcj48YXV0aG9yPlRhdmFsbGFpZSwgUy4sPC9hdXRob3I+
PGF1dGhvcj5TaGFrZXJpLCBNLlQuLDwvYXV0aG9yPjxhdXRob3I+QWxhbWRhcmksIEQuSC48L2F1
dGhvcj48L2F1dGhvcnM+PC9jb250cmlidXRvcnM+PHRpdGxlcz48dGl0bGU+VGhlIGVmZmVjdCBv
ZiBtYXRlcm5hbCBzZWxlbml1bSBzdXBwbGVtZW50YXRpb24gb24gcHJlZ25hbmN5IG91dGNvbWUg
YW5kIHRoZSBsZXZlbCBvZiBveGlkYXRpdmUgc3RyZXNzIGluIG5lb25hdGVzPC90aXRsZT48c2Vj
b25kYXJ5LXRpdGxlPklyYW5pYW4gUmVkIENyZXNjZW50IE1lZCBKPC9zZWNvbmRhcnktdGl0bGU+
PC90aXRsZXM+PHBlcmlvZGljYWw+PGZ1bGwtdGl0bGU+SXJhbmlhbiBSZWQgQ3Jlc2NlbnQgTWVk
IEo8L2Z1bGwtdGl0bGU+PC9wZXJpb2RpY2FsPjxwYWdlcz4yNTQtNTk8L3BhZ2VzPjx2b2x1bWU+
MTI8L3ZvbHVtZT48bnVtYmVyPjM8L251bWJlcj48ZGF0ZXM+PHllYXI+MjAxMDwveWVhcj48L2Rh
dGVzPjx1cmxzPjwvdXJscz48L3JlY29yZD48L0NpdGU+PENpdGU+PEF1dGhvcj5Nb2toYmVyPC9B
dXRob3I+PFllYXI+MjAxMTwvWWVhcj48UmVjTnVtPjEyMDk8L1JlY051bT48cmVjb3JkPjxyZWMt
bnVtYmVyPjEyMDk8L3JlYy1udW1iZXI+PGZvcmVpZ24ta2V5cz48a2V5IGFwcD0iRU4iIGRiLWlk
PSJleHZhc3JmeDJkdHJhb2VzYXN4cDJzenN4YTJkZjUwMjU5MngiIHRpbWVzdGFtcD0iMTU1OTg2
NzM4NSI+MTIwOTwva2V5PjxrZXkgYXBwPSJFTldlYiIgZGItaWQ9IiI+MDwva2V5PjwvZm9yZWln
bi1rZXlzPjxyZWYtdHlwZSBuYW1lPSJKb3VybmFsIEFydGljbGUiPjE3PC9yZWYtdHlwZT48Y29u
dHJpYnV0b3JzPjxhdXRob3JzPjxhdXRob3I+TW9raGJlciwgTi48L2F1dGhvcj48YXV0aG9yPk5h
bWpvbywgTS48L2F1dGhvcj48YXV0aG9yPlRhcmEsIEYuPC9hdXRob3I+PGF1dGhvcj5Cb3NrYWJh
ZGksIEguPC9hdXRob3I+PGF1dGhvcj5SYXltYW4sIE0uIFAuPC9hdXRob3I+PGF1dGhvcj5HaGF5
b3VyLU1vYmFyaGFuLCBNLjwvYXV0aG9yPjxhdXRob3I+U2FoZWJrYXIsIEEuPC9hdXRob3I+PGF1
dGhvcj5NYWpkaSwgTS4gUi48L2F1dGhvcj48YXV0aG9yPlRhdmFsbGFpZSwgUy48L2F1dGhvcj48
YXV0aG9yPkF6aW1pLU5lemhhZCwgTS48L2F1dGhvcj48YXV0aG9yPlNoYWtlcmksIE0uIFQuPC9h
dXRob3I+PGF1dGhvcj5OZW1hdHksIE0uPC9hdXRob3I+PGF1dGhvcj5PbGFkaSwgTS48L2F1dGhv
cj48YXV0aG9yPk1vaGFtbWFkaSwgTS48L2F1dGhvcj48YXV0aG9yPkZlcm5zLCBHLjwvYXV0aG9y
PjwvYXV0aG9ycz48L2NvbnRyaWJ1dG9ycz48YXV0aC1hZGRyZXNzPkRlcGFydG1lbnQgb2YgUHN5
Y2hpYXRyeSwgSWJuLVNpbmEgSG9zcGl0YWwsIE1hc2hoYWQgVW5pdmVyc2l0eSBvZiBNZWRpY2Fs
IFNjaWVuY2VzLCBNYXNoaGFkLCBJcmFuLjwvYXV0aC1hZGRyZXNzPjx0aXRsZXM+PHRpdGxlPkVm
ZmVjdCBvZiBzdXBwbGVtZW50YXRpb24gd2l0aCBzZWxlbml1bSBvbiBwb3N0cGFydHVtIGRlcHJl
c3Npb246IGEgcmFuZG9taXplZCBkb3VibGUtYmxpbmQgcGxhY2Viby1jb250cm9sbGVkIHRyaWFs
PC90aXRsZT48c2Vjb25kYXJ5LXRpdGxlPkogTWF0ZXJuIEZldGFsIE5lb25hdGFsIE1lZDwvc2Vj
b25kYXJ5LXRpdGxlPjwvdGl0bGVzPjxwZXJpb2RpY2FsPjxmdWxsLXRpdGxlPkogTWF0ZXJuIEZl
dGFsIE5lb25hdGFsIE1lZDwvZnVsbC10aXRsZT48L3BlcmlvZGljYWw+PHBhZ2VzPjEwNC04PC9w
YWdlcz48dm9sdW1lPjI0PC92b2x1bWU+PG51bWJlcj4xPC9udW1iZXI+PGVkaXRpb24+MjAxMC8w
Ni8xMDwvZWRpdGlvbj48a2V5d29yZHM+PGtleXdvcmQ+QWRvbGVzY2VudDwva2V5d29yZD48a2V5
d29yZD5BZHVsdDwva2V5d29yZD48a2V5d29yZD5EZXByZXNzaW9uLCBQb3N0cGFydHVtLypwcmV2
ZW50aW9uICZhbXA7IGNvbnRyb2w8L2tleXdvcmQ+PGtleXdvcmQ+RG91YmxlLUJsaW5kIE1ldGhv
ZDwva2V5d29yZD48a2V5d29yZD5GZW1hbGU8L2tleXdvcmQ+PGtleXdvcmQ+SHVtYW5zPC9rZXl3
b3JkPjxrZXl3b3JkPklyYW48L2tleXdvcmQ+PGtleXdvcmQ+UHJlZ25hbmN5PC9rZXl3b3JkPjxr
ZXl3b3JkPlNlbGVuaXVtL2Jsb29kLyp0aGVyYXBldXRpYyB1c2U8L2tleXdvcmQ+PGtleXdvcmQ+
VHJhY2UgRWxlbWVudHMvKnRoZXJhcGV1dGljIHVzZTwva2V5d29yZD48a2V5d29yZD5Zb3VuZyBB
ZHVsdDwva2V5d29yZD48L2tleXdvcmRzPjxkYXRlcz48eWVhcj4yMDExPC95ZWFyPjxwdWItZGF0
ZXM+PGRhdGU+SmFuPC9kYXRlPjwvcHViLWRhdGVzPjwvZGF0ZXM+PGlzYm4+MTQ3Ni00OTU0IChF
bGVjdHJvbmljKSYjeEQ7MTQ3Ni00OTU0IChMaW5raW5nKTwvaXNibj48YWNjZXNzaW9uLW51bT4y
MDUyODIxNjwvYWNjZXNzaW9uLW51bT48dXJscz48cmVsYXRlZC11cmxzPjx1cmw+aHR0cHM6Ly93
d3cubmNiaS5ubG0ubmloLmdvdi9wdWJtZWQvMjA1MjgyMTY8L3VybD48L3JlbGF0ZWQtdXJscz48
L3VybHM+PGVsZWN0cm9uaWMtcmVzb3VyY2UtbnVtPjEwLjMxMDkvMTQ3NjcwNTguMjAxMC40ODI1
OTg8L2VsZWN0cm9uaWMtcmVzb3VyY2UtbnVtPjwvcmVjb3JkPjwvQ2l0ZT48L0VuZE5vdGU+AG==
</w:fldData>
              </w:fldChar>
            </w:r>
            <w:r w:rsidR="002747EA">
              <w:instrText xml:space="preserve"> ADDIN EN.CITE </w:instrText>
            </w:r>
            <w:r w:rsidR="002747EA">
              <w:fldChar w:fldCharType="begin">
                <w:fldData xml:space="preserve">PEVuZE5vdGU+PENpdGU+PEF1dGhvcj5UYXJhPC9BdXRob3I+PFllYXI+MjAxMDwvWWVhcj48UmVj
TnVtPjEyMTQ8L1JlY051bT48RGlzcGxheVRleHQ+PHN0eWxlIGZhY2U9InN1cGVyc2NyaXB0IiBm
b250PSJUcmVidWNoZXQgTVMiIHNpemU9IjkiPjIxNy0yMjA8L3N0eWxlPjwvRGlzcGxheVRleHQ+
PHJlY29yZD48cmVjLW51bWJlcj4xMjE0PC9yZWMtbnVtYmVyPjxmb3JlaWduLWtleXM+PGtleSBh
cHA9IkVOIiBkYi1pZD0iZXh2YXNyZngyZHRyYW9lc2FzeHAyc3pzeGEyZGY1MDI1OTJ4IiB0aW1l
c3RhbXA9IjE1NTk4Njc0NjAiPjEyMTQ8L2tleT48L2ZvcmVpZ24ta2V5cz48cmVmLXR5cGUgbmFt
ZT0iSm91cm5hbCBBcnRpY2xlIj4xNzwvcmVmLXR5cGU+PGNvbnRyaWJ1dG9ycz48YXV0aG9ycz48
YXV0aG9yPlRhcmEsIEYuPC9hdXRob3I+PGF1dGhvcj5NYWFtb3VyaSwgRy48L2F1dGhvcj48YXV0
aG9yPlJheW1hbiwgTS4gUC48L2F1dGhvcj48YXV0aG9yPkdoYXlvdXItTW9iYXJoYW4sIE0uPC9h
dXRob3I+PGF1dGhvcj5TYWhlYmthciwgQS48L2F1dGhvcj48YXV0aG9yPllhemFybHUsIE8uPC9h
dXRob3I+PGF1dGhvcj5PdWxhZGFuLCBTLjwvYXV0aG9yPjxhdXRob3I+VGF2YWxsYWllLCBTLjwv
YXV0aG9yPjxhdXRob3I+QXppbWktTmV6aGFkLCBNLjwvYXV0aG9yPjxhdXRob3I+U2hha2VyaSwg
TS4gVC48L2F1dGhvcj48YXV0aG9yPkJvc2thYmFkaSwgSC48L2F1dGhvcj48YXV0aG9yPk9sYWRp
LCBNLjwvYXV0aG9yPjxhdXRob3I+U2FuZ2FuaSwgTS4gVC48L2F1dGhvcj48YXV0aG9yPlJhemF2
aSwgQi4gUy48L2F1dGhvcj48YXV0aG9yPkZlcm5zLCBHLjwvYXV0aG9yPjwvYXV0aG9ycz48L2Nv
bnRyaWJ1dG9ycz48YXV0aC1hZGRyZXNzPkRlcGFydG1lbnQgb2YgT2JzdGV0cmljcyBhbmQgR3lu
ZWNvbG9neSwgT21tb2xiYW5pbiBIb3NwaXRhbCwgTWFzaGhhZCBVbml2ZXJzaXR5IG9mIE1lZGlj
YWwgU2NpZW5jZXMsIE1hc2hoYWQsIElyYW4uPC9hdXRoLWFkZHJlc3M+PHRpdGxlcz48dGl0bGU+
U2VsZW5pdW0gc3VwcGxlbWVudGF0aW9uIGFuZCB0aGUgaW5jaWRlbmNlIG9mIHByZWVjbGFtcHNp
YSBpbiBwcmVnbmFudCBJcmFuaWFuIHdvbWVuOiBhIHJhbmRvbWl6ZWQsIGRvdWJsZS1ibGluZCwg
cGxhY2Viby1jb250cm9sbGVkIHBpbG90IHRyaWFsPC90aXRsZT48c2Vjb25kYXJ5LXRpdGxlPlRh
aXdhbiBKIE9ic3RldCBHeW5lY29sPC9zZWNvbmRhcnktdGl0bGU+PC90aXRsZXM+PHBlcmlvZGlj
YWw+PGZ1bGwtdGl0bGU+VGFpd2FuIEogT2JzdGV0IEd5bmVjb2w8L2Z1bGwtdGl0bGU+PC9wZXJp
b2RpY2FsPjxwYWdlcz4xODEtNzwvcGFnZXM+PHZvbHVtZT40OTwvdm9sdW1lPjxudW1iZXI+Mjwv
bnVtYmVyPjxlZGl0aW9uPjIwMTAvMDgvMTc8L2VkaXRpb24+PGtleXdvcmRzPjxrZXl3b3JkPkFk
b2xlc2NlbnQ8L2tleXdvcmQ+PGtleXdvcmQ+QWR1bHQ8L2tleXdvcmQ+PGtleXdvcmQ+QW50aW94
aWRhbnRzL2FuYWx5c2lzLyp0aGVyYXBldXRpYyB1c2U8L2tleXdvcmQ+PGtleXdvcmQ+Qmxvb2Qg
UHJlc3N1cmU8L2tleXdvcmQ+PGtleXdvcmQ+Qy1SZWFjdGl2ZSBQcm90ZWluL2FuYWx5c2lzPC9r
ZXl3b3JkPjxrZXl3b3JkPkNob2xlc3Rlcm9sL2Jsb29kPC9rZXl3b3JkPjxrZXl3b3JkPkRvdWJs
ZS1CbGluZCBNZXRob2Q8L2tleXdvcmQ+PGtleXdvcmQ+RmVtYWxlPC9rZXl3b3JkPjxrZXl3b3Jk
Pkh1bWFuczwva2V5d29yZD48a2V5d29yZD5JbmNpZGVuY2U8L2tleXdvcmQ+PGtleXdvcmQ+SXJh
bi9lcGlkZW1pb2xvZ3k8L2tleXdvcmQ+PGtleXdvcmQ+TGlwb3Byb3RlaW5zLCBIREwvYmxvb2Q8
L2tleXdvcmQ+PGtleXdvcmQ+TGlwb3Byb3RlaW5zLCBMREwvYmxvb2Q8L2tleXdvcmQ+PGtleXdv
cmQ+UGlsb3QgUHJvamVjdHM8L2tleXdvcmQ+PGtleXdvcmQ+UHJlLUVjbGFtcHNpYS9lcGlkZW1p
b2xvZ3kvKnByZXZlbnRpb24gJmFtcDsgY29udHJvbDwva2V5d29yZD48a2V5d29yZD5QcmVnbmFu
Y3k8L2tleXdvcmQ+PGtleXdvcmQ+UHJlZ25hbmN5IFRyaW1lc3RlciwgRmlyc3Q8L2tleXdvcmQ+
PGtleXdvcmQ+U2VsZW5pdW0vYmxvb2QvKnRoZXJhcGV1dGljIHVzZTwva2V5d29yZD48a2V5d29y
ZD5UcmlnbHljZXJpZGVzL2Jsb29kPC9rZXl3b3JkPjwva2V5d29yZHM+PGRhdGVzPjx5ZWFyPjIw
MTA8L3llYXI+PHB1Yi1kYXRlcz48ZGF0ZT5KdW48L2RhdGU+PC9wdWItZGF0ZXM+PC9kYXRlcz48
aXNibj4xODc1LTYyNjMgKEVsZWN0cm9uaWMpJiN4RDsxMDI4LTQ1NTkgKExpbmtpbmcpPC9pc2Ju
PjxhY2Nlc3Npb24tbnVtPjIwNzA4NTI1PC9hY2Nlc3Npb24tbnVtPjx1cmxzPjxyZWxhdGVkLXVy
bHM+PHVybD5odHRwczovL3d3dy5uY2JpLm5sbS5uaWguZ292L3B1Ym1lZC8yMDcwODUyNTwvdXJs
PjwvcmVsYXRlZC11cmxzPjwvdXJscz48ZWxlY3Ryb25pYy1yZXNvdXJjZS1udW0+MTAuMTAxNi9T
MTAyOC00NTU5KDEwKTYwMDM4LTE8L2VsZWN0cm9uaWMtcmVzb3VyY2UtbnVtPjwvcmVjb3JkPjwv
Q2l0ZT48Q2l0ZT48QXV0aG9yPlRhcmE8L0F1dGhvcj48WWVhcj4yMDEwPC9ZZWFyPjxSZWNOdW0+
MTIxMzwvUmVjTnVtPjxyZWNvcmQ+PHJlYy1udW1iZXI+MTIxMzwvcmVjLW51bWJlcj48Zm9yZWln
bi1rZXlzPjxrZXkgYXBwPSJFTiIgZGItaWQ9ImV4dmFzcmZ4MmR0cmFvZXNhc3hwMnN6c3hhMmRm
NTAyNTkyeCIgdGltZXN0YW1wPSIxNTU5ODY3Mzk3Ij4xMjEzPC9rZXk+PGtleSBhcHA9IkVOV2Vi
IiBkYi1pZD0iIj4wPC9rZXk+PC9mb3JlaWduLWtleXM+PHJlZi10eXBlIG5hbWU9IkpvdXJuYWwg
QXJ0aWNsZSI+MTc8L3JlZi10eXBlPjxjb250cmlidXRvcnM+PGF1dGhvcnM+PGF1dGhvcj5UYXJh
LCBGLjwvYXV0aG9yPjxhdXRob3I+UmF5bWFuLCBNLiBQLjwvYXV0aG9yPjxhdXRob3I+Qm9za2Fi
YWRpLCBILjwvYXV0aG9yPjxhdXRob3I+R2hheW91ci1Nb2JhcmhhbiwgTS48L2F1dGhvcj48YXV0
aG9yPlNhaGVia2FyLCBBLjwvYXV0aG9yPjxhdXRob3I+WWF6YXJsdSwgTy48L2F1dGhvcj48YXV0
aG9yPk91bGFkYW4sIFMuPC9hdXRob3I+PGF1dGhvcj5UYXZhbGxhaWUsIFMuPC9hdXRob3I+PGF1
dGhvcj5BemltaS1OZXpoYWQsIE0uPC9hdXRob3I+PGF1dGhvcj5TaGFrZXJpLCBNLiBULjwvYXV0
aG9yPjxhdXRob3I+VGV5bW9vcmksIE0uIFMuPC9hdXRob3I+PGF1dGhvcj5SYXphdmksIEIuIFMu
PC9hdXRob3I+PGF1dGhvcj5PbGFkaSwgTS48L2F1dGhvcj48YXV0aG9yPkZlcm5zLCBHLjwvYXV0
aG9yPjwvYXV0aG9ycz48L2NvbnRyaWJ1dG9ycz48YXV0aC1hZGRyZXNzPkRlcGFydG1lbnQgb2Yg
T2JzdGV0cmljcyBhbmQgR3luYWVjb2xvZ3ksIE9NLUFsYmFuaW4gSG9zcGl0YWwsIE1hc2hoYWQg
VW5pdmVyc2l0eSBvZiBNZWRpY2FsIFNjaWVuY2VzLCBNYXNoaGFkLCBJcmFuPC9hdXRoLWFkZHJl
c3M+PHRpdGxlcz48dGl0bGU+U2VsZW5pdW0gc3VwcGxlbWVudGF0aW9uIGFuZCBwcmVtYXR1cmUg
KHByZS1sYWJvdXIpIHJ1cHR1cmUgb2YgbWVtYnJhbmVzOiBhIHJhbmRvbWlzZWQgZG91YmxlLWJs
aW5kIHBsYWNlYm8tY29udHJvbGxlZCB0cmlhbDwvdGl0bGU+PHNlY29uZGFyeS10aXRsZT5KIE9i
c3RldCBHeW5hZWNvbDwvc2Vjb25kYXJ5LXRpdGxlPjwvdGl0bGVzPjxwZXJpb2RpY2FsPjxmdWxs
LXRpdGxlPkogT2JzdGV0IEd5bmFlY29sPC9mdWxsLXRpdGxlPjwvcGVyaW9kaWNhbD48cGFnZXM+
MzAtNDwvcGFnZXM+PHZvbHVtZT4zMDwvdm9sdW1lPjxudW1iZXI+MTwvbnVtYmVyPjxlZGl0aW9u
PjIwMTAvMDIvMDQ8L2VkaXRpb24+PGtleXdvcmRzPjxrZXl3b3JkPkFkdWx0PC9rZXl3b3JkPjxr
ZXl3b3JkPkFudGlveGlkYW50cy8qdGhlcmFwZXV0aWMgdXNlPC9rZXl3b3JkPjxrZXl3b3JkPkRp
ZXRhcnkgU3VwcGxlbWVudHM8L2tleXdvcmQ+PGtleXdvcmQ+RG91YmxlLUJsaW5kIE1ldGhvZDwv
a2V5d29yZD48a2V5d29yZD5GZW1hbGU8L2tleXdvcmQ+PGtleXdvcmQ+RmV0YWwgTWVtYnJhbmVz
LCBQcmVtYXR1cmUgUnVwdHVyZS8qcHJldmVudGlvbiAmYW1wOyBjb250cm9sPC9rZXl3b3JkPjxr
ZXl3b3JkPkh1bWFuczwva2V5d29yZD48a2V5d29yZD5QcmVnbmFuY3k8L2tleXdvcmQ+PGtleXdv
cmQ+U2VsZW5pdW0vYmxvb2QvKnRoZXJhcGV1dGljIHVzZTwva2V5d29yZD48a2V5d29yZD5Zb3Vu
ZyBBZHVsdDwva2V5d29yZD48L2tleXdvcmRzPjxkYXRlcz48eWVhcj4yMDEwPC95ZWFyPjxwdWIt
ZGF0ZXM+PGRhdGU+SmFuPC9kYXRlPjwvcHViLWRhdGVzPjwvZGF0ZXM+PGlzYm4+MTM2NC02ODkz
IChFbGVjdHJvbmljKSYjeEQ7MDE0NC0zNjE1IChMaW5raW5nKTwvaXNibj48YWNjZXNzaW9uLW51
bT4yMDEyMTUwMDwvYWNjZXNzaW9uLW51bT48dXJscz48cmVsYXRlZC11cmxzPjx1cmw+aHR0cHM6
Ly93d3cubmNiaS5ubG0ubmloLmdvdi9wdWJtZWQvMjAxMjE1MDA8L3VybD48L3JlbGF0ZWQtdXJs
cz48L3VybHM+PGVsZWN0cm9uaWMtcmVzb3VyY2UtbnVtPjEwLjMxMDkvMDE0NDM2MTA5MDMyNjc1
MDc8L2VsZWN0cm9uaWMtcmVzb3VyY2UtbnVtPjwvcmVjb3JkPjwvQ2l0ZT48Q2l0ZT48QXV0aG9y
PkJvc2FrYWJhZGk8L0F1dGhvcj48WWVhcj4yMDEwPC9ZZWFyPjxSZWNOdW0+MTIxODwvUmVjTnVt
PjxyZWNvcmQ+PHJlYy1udW1iZXI+MTIxODwvcmVjLW51bWJlcj48Zm9yZWlnbi1rZXlzPjxrZXkg
YXBwPSJFTiIgZGItaWQ9ImV4dmFzcmZ4MmR0cmFvZXNhc3hwMnN6c3hhMmRmNTAyNTkyeCIgdGlt
ZXN0YW1wPSIxNTU5ODY4MTc4Ij4xMjE4PC9rZXk+PC9mb3JlaWduLWtleXM+PHJlZi10eXBlIG5h
bWU9IkpvdXJuYWwgQXJ0aWNsZSI+MTc8L3JlZi10eXBlPjxjb250cmlidXRvcnM+PGF1dGhvcnM+
PGF1dGhvcj5Cb3Nha2FiYWRpLCBILiw8L2F1dGhvcj48YXV0aG9yPlJlemFnaG9saXphZGUgT21y
YW4sIEYuLDwvYXV0aG9yPjxhdXRob3I+VGFyYSwgRi4sPC9hdXRob3I+PGF1dGhvcj5SYXltYW4s
IE0uUC4sPC9hdXRob3I+PGF1dGhvcj5HaGF5b3VyLU1vYmFyaGFuLCBNLiw8L2F1dGhvcj48YXV0
aG9yPlNhaGVia2FyLCBBLiw8L2F1dGhvcj48YXV0aG9yPlRhdmFsbGFpZSwgUy4sPC9hdXRob3I+
PGF1dGhvcj5TaGFrZXJpLCBNLlQuLDwvYXV0aG9yPjxhdXRob3I+QWxhbWRhcmksIEQuSC48L2F1
dGhvcj48L2F1dGhvcnM+PC9jb250cmlidXRvcnM+PHRpdGxlcz48dGl0bGU+VGhlIGVmZmVjdCBv
ZiBtYXRlcm5hbCBzZWxlbml1bSBzdXBwbGVtZW50YXRpb24gb24gcHJlZ25hbmN5IG91dGNvbWUg
YW5kIHRoZSBsZXZlbCBvZiBveGlkYXRpdmUgc3RyZXNzIGluIG5lb25hdGVzPC90aXRsZT48c2Vj
b25kYXJ5LXRpdGxlPklyYW5pYW4gUmVkIENyZXNjZW50IE1lZCBKPC9zZWNvbmRhcnktdGl0bGU+
PC90aXRsZXM+PHBlcmlvZGljYWw+PGZ1bGwtdGl0bGU+SXJhbmlhbiBSZWQgQ3Jlc2NlbnQgTWVk
IEo8L2Z1bGwtdGl0bGU+PC9wZXJpb2RpY2FsPjxwYWdlcz4yNTQtNTk8L3BhZ2VzPjx2b2x1bWU+
MTI8L3ZvbHVtZT48bnVtYmVyPjM8L251bWJlcj48ZGF0ZXM+PHllYXI+MjAxMDwveWVhcj48L2Rh
dGVzPjx1cmxzPjwvdXJscz48L3JlY29yZD48L0NpdGU+PENpdGU+PEF1dGhvcj5Nb2toYmVyPC9B
dXRob3I+PFllYXI+MjAxMTwvWWVhcj48UmVjTnVtPjEyMDk8L1JlY051bT48cmVjb3JkPjxyZWMt
bnVtYmVyPjEyMDk8L3JlYy1udW1iZXI+PGZvcmVpZ24ta2V5cz48a2V5IGFwcD0iRU4iIGRiLWlk
PSJleHZhc3JmeDJkdHJhb2VzYXN4cDJzenN4YTJkZjUwMjU5MngiIHRpbWVzdGFtcD0iMTU1OTg2
NzM4NSI+MTIwOTwva2V5PjxrZXkgYXBwPSJFTldlYiIgZGItaWQ9IiI+MDwva2V5PjwvZm9yZWln
bi1rZXlzPjxyZWYtdHlwZSBuYW1lPSJKb3VybmFsIEFydGljbGUiPjE3PC9yZWYtdHlwZT48Y29u
dHJpYnV0b3JzPjxhdXRob3JzPjxhdXRob3I+TW9raGJlciwgTi48L2F1dGhvcj48YXV0aG9yPk5h
bWpvbywgTS48L2F1dGhvcj48YXV0aG9yPlRhcmEsIEYuPC9hdXRob3I+PGF1dGhvcj5Cb3NrYWJh
ZGksIEguPC9hdXRob3I+PGF1dGhvcj5SYXltYW4sIE0uIFAuPC9hdXRob3I+PGF1dGhvcj5HaGF5
b3VyLU1vYmFyaGFuLCBNLjwvYXV0aG9yPjxhdXRob3I+U2FoZWJrYXIsIEEuPC9hdXRob3I+PGF1
dGhvcj5NYWpkaSwgTS4gUi48L2F1dGhvcj48YXV0aG9yPlRhdmFsbGFpZSwgUy48L2F1dGhvcj48
YXV0aG9yPkF6aW1pLU5lemhhZCwgTS48L2F1dGhvcj48YXV0aG9yPlNoYWtlcmksIE0uIFQuPC9h
dXRob3I+PGF1dGhvcj5OZW1hdHksIE0uPC9hdXRob3I+PGF1dGhvcj5PbGFkaSwgTS48L2F1dGhv
cj48YXV0aG9yPk1vaGFtbWFkaSwgTS48L2F1dGhvcj48YXV0aG9yPkZlcm5zLCBHLjwvYXV0aG9y
PjwvYXV0aG9ycz48L2NvbnRyaWJ1dG9ycz48YXV0aC1hZGRyZXNzPkRlcGFydG1lbnQgb2YgUHN5
Y2hpYXRyeSwgSWJuLVNpbmEgSG9zcGl0YWwsIE1hc2hoYWQgVW5pdmVyc2l0eSBvZiBNZWRpY2Fs
IFNjaWVuY2VzLCBNYXNoaGFkLCBJcmFuLjwvYXV0aC1hZGRyZXNzPjx0aXRsZXM+PHRpdGxlPkVm
ZmVjdCBvZiBzdXBwbGVtZW50YXRpb24gd2l0aCBzZWxlbml1bSBvbiBwb3N0cGFydHVtIGRlcHJl
c3Npb246IGEgcmFuZG9taXplZCBkb3VibGUtYmxpbmQgcGxhY2Viby1jb250cm9sbGVkIHRyaWFs
PC90aXRsZT48c2Vjb25kYXJ5LXRpdGxlPkogTWF0ZXJuIEZldGFsIE5lb25hdGFsIE1lZDwvc2Vj
b25kYXJ5LXRpdGxlPjwvdGl0bGVzPjxwZXJpb2RpY2FsPjxmdWxsLXRpdGxlPkogTWF0ZXJuIEZl
dGFsIE5lb25hdGFsIE1lZDwvZnVsbC10aXRsZT48L3BlcmlvZGljYWw+PHBhZ2VzPjEwNC04PC9w
YWdlcz48dm9sdW1lPjI0PC92b2x1bWU+PG51bWJlcj4xPC9udW1iZXI+PGVkaXRpb24+MjAxMC8w
Ni8xMDwvZWRpdGlvbj48a2V5d29yZHM+PGtleXdvcmQ+QWRvbGVzY2VudDwva2V5d29yZD48a2V5
d29yZD5BZHVsdDwva2V5d29yZD48a2V5d29yZD5EZXByZXNzaW9uLCBQb3N0cGFydHVtLypwcmV2
ZW50aW9uICZhbXA7IGNvbnRyb2w8L2tleXdvcmQ+PGtleXdvcmQ+RG91YmxlLUJsaW5kIE1ldGhv
ZDwva2V5d29yZD48a2V5d29yZD5GZW1hbGU8L2tleXdvcmQ+PGtleXdvcmQ+SHVtYW5zPC9rZXl3
b3JkPjxrZXl3b3JkPklyYW48L2tleXdvcmQ+PGtleXdvcmQ+UHJlZ25hbmN5PC9rZXl3b3JkPjxr
ZXl3b3JkPlNlbGVuaXVtL2Jsb29kLyp0aGVyYXBldXRpYyB1c2U8L2tleXdvcmQ+PGtleXdvcmQ+
VHJhY2UgRWxlbWVudHMvKnRoZXJhcGV1dGljIHVzZTwva2V5d29yZD48a2V5d29yZD5Zb3VuZyBB
ZHVsdDwva2V5d29yZD48L2tleXdvcmRzPjxkYXRlcz48eWVhcj4yMDExPC95ZWFyPjxwdWItZGF0
ZXM+PGRhdGU+SmFuPC9kYXRlPjwvcHViLWRhdGVzPjwvZGF0ZXM+PGlzYm4+MTQ3Ni00OTU0IChF
bGVjdHJvbmljKSYjeEQ7MTQ3Ni00OTU0IChMaW5raW5nKTwvaXNibj48YWNjZXNzaW9uLW51bT4y
MDUyODIxNjwvYWNjZXNzaW9uLW51bT48dXJscz48cmVsYXRlZC11cmxzPjx1cmw+aHR0cHM6Ly93
d3cubmNiaS5ubG0ubmloLmdvdi9wdWJtZWQvMjA1MjgyMTY8L3VybD48L3JlbGF0ZWQtdXJscz48
L3VybHM+PGVsZWN0cm9uaWMtcmVzb3VyY2UtbnVtPjEwLjMxMDkvMTQ3NjcwNTguMjAxMC40ODI1
OTg8L2VsZWN0cm9uaWMtcmVzb3VyY2UtbnVtPjwvcmVjb3JkPjwvQ2l0ZT48L0VuZE5vdGU+AG==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217-220</w:t>
            </w:r>
            <w:r w:rsidR="003523C5">
              <w:fldChar w:fldCharType="end"/>
            </w:r>
          </w:p>
          <w:p w14:paraId="02E24182" w14:textId="19CB220A" w:rsidR="00DE2A9C" w:rsidRPr="00D150D8" w:rsidRDefault="00DE2A9C" w:rsidP="003523C5">
            <w:pPr>
              <w:keepNext/>
            </w:pPr>
            <w:r>
              <w:t>Iran</w:t>
            </w:r>
          </w:p>
        </w:tc>
        <w:tc>
          <w:tcPr>
            <w:tcW w:w="1528" w:type="dxa"/>
          </w:tcPr>
          <w:p w14:paraId="3CF7CA0E" w14:textId="77777777" w:rsidR="00A44F5D" w:rsidRDefault="00A44F5D" w:rsidP="00E61C09">
            <w:pPr>
              <w:keepNext/>
            </w:pPr>
            <w:r>
              <w:t>Intervention 61</w:t>
            </w:r>
          </w:p>
          <w:p w14:paraId="090F4CEA" w14:textId="77777777" w:rsidR="00A44F5D" w:rsidRPr="00D150D8" w:rsidRDefault="00A44F5D" w:rsidP="00E61C09">
            <w:pPr>
              <w:keepNext/>
            </w:pPr>
            <w:r>
              <w:t>Control 64</w:t>
            </w:r>
          </w:p>
        </w:tc>
        <w:tc>
          <w:tcPr>
            <w:tcW w:w="4680" w:type="dxa"/>
          </w:tcPr>
          <w:p w14:paraId="2B065E9D" w14:textId="77777777" w:rsidR="00A44F5D" w:rsidRPr="006B6969" w:rsidRDefault="00A44F5D" w:rsidP="00E61C09">
            <w:r w:rsidRPr="006B6969">
              <w:rPr>
                <w:b/>
              </w:rPr>
              <w:t>Aim</w:t>
            </w:r>
            <w:r>
              <w:t>: T</w:t>
            </w:r>
            <w:r w:rsidRPr="006B6969">
              <w:t>o examine the effects of selenium supplementation in the prevention of preeclampsia in high-risk pregnant women</w:t>
            </w:r>
            <w:r>
              <w:t>.</w:t>
            </w:r>
          </w:p>
          <w:p w14:paraId="2E6869F4" w14:textId="77777777" w:rsidR="00A44F5D" w:rsidRDefault="00A44F5D" w:rsidP="00E61C09">
            <w:r w:rsidRPr="006B6969">
              <w:rPr>
                <w:b/>
              </w:rPr>
              <w:t>Population</w:t>
            </w:r>
            <w:r>
              <w:t xml:space="preserve">: </w:t>
            </w:r>
            <w:r w:rsidRPr="006B6969">
              <w:t>primigravid pregnant women</w:t>
            </w:r>
          </w:p>
          <w:p w14:paraId="2C6E28F4" w14:textId="77777777" w:rsidR="00A44F5D" w:rsidRPr="000D0F0D" w:rsidRDefault="00A44F5D" w:rsidP="00E61C09">
            <w:r w:rsidRPr="006B6969">
              <w:rPr>
                <w:b/>
              </w:rPr>
              <w:t>Intervention</w:t>
            </w:r>
            <w:r>
              <w:t xml:space="preserve">: </w:t>
            </w:r>
            <w:r w:rsidRPr="000D0F0D">
              <w:t>100 μg of selenium yeast daily from the first</w:t>
            </w:r>
            <w:r>
              <w:t xml:space="preserve"> </w:t>
            </w:r>
            <w:r w:rsidRPr="000D0F0D">
              <w:t>trimester of their pregnancy until delivery for a period</w:t>
            </w:r>
            <w:r>
              <w:t xml:space="preserve"> </w:t>
            </w:r>
            <w:r w:rsidRPr="000D0F0D">
              <w:t>of approximately 6 months</w:t>
            </w:r>
            <w:r>
              <w:t>.</w:t>
            </w:r>
          </w:p>
        </w:tc>
        <w:tc>
          <w:tcPr>
            <w:tcW w:w="4536" w:type="dxa"/>
          </w:tcPr>
          <w:p w14:paraId="1925EFC9" w14:textId="77777777" w:rsidR="00A44F5D" w:rsidRDefault="00A44F5D" w:rsidP="00E61C09">
            <w:r>
              <w:t>Intervention vs control:</w:t>
            </w:r>
          </w:p>
          <w:p w14:paraId="7E016ABF" w14:textId="77777777" w:rsidR="00A44F5D" w:rsidRPr="00DB27FE" w:rsidRDefault="00A44F5D" w:rsidP="00E61C09">
            <w:pPr>
              <w:pStyle w:val="bullet"/>
            </w:pPr>
            <w:r>
              <w:t>Pre-eclampsia: 0/61 vs 3/64 — RR</w:t>
            </w:r>
            <w:r w:rsidRPr="00643283">
              <w:t xml:space="preserve"> </w:t>
            </w:r>
            <w:r>
              <w:rPr>
                <w:lang w:val="en-AU"/>
              </w:rPr>
              <w:t>0.15 (0.01 to 2.84)</w:t>
            </w:r>
          </w:p>
          <w:p w14:paraId="4AE49761" w14:textId="77777777" w:rsidR="00DB27FE" w:rsidRPr="004F48C4" w:rsidRDefault="00DB27FE" w:rsidP="00A80955">
            <w:pPr>
              <w:pStyle w:val="bullet"/>
            </w:pPr>
            <w:r>
              <w:rPr>
                <w:lang w:val="en-AU"/>
              </w:rPr>
              <w:t xml:space="preserve">Premature rupture of the membranes: </w:t>
            </w:r>
            <w:r w:rsidR="006B6005">
              <w:rPr>
                <w:lang w:val="en-AU"/>
              </w:rPr>
              <w:t>8/61 vs 22/64</w:t>
            </w:r>
            <w:r w:rsidR="00A80955">
              <w:rPr>
                <w:lang w:val="en-AU"/>
              </w:rPr>
              <w:t xml:space="preserve"> — RR</w:t>
            </w:r>
            <w:r w:rsidR="00A80955" w:rsidRPr="00A80955">
              <w:t xml:space="preserve"> </w:t>
            </w:r>
            <w:r w:rsidR="00A80955">
              <w:rPr>
                <w:lang w:val="en-AU"/>
              </w:rPr>
              <w:t>0.38 (0.18 to 0.79)</w:t>
            </w:r>
          </w:p>
          <w:p w14:paraId="0DF261B7" w14:textId="77777777" w:rsidR="004F48C4" w:rsidRPr="00FE6359" w:rsidRDefault="004F48C4" w:rsidP="00B35A49">
            <w:pPr>
              <w:pStyle w:val="bullet"/>
            </w:pPr>
            <w:r>
              <w:rPr>
                <w:lang w:val="en-AU"/>
              </w:rPr>
              <w:t xml:space="preserve">Birthweight: </w:t>
            </w:r>
            <w:r>
              <w:t xml:space="preserve">3085.3±622.2 vs </w:t>
            </w:r>
            <w:r w:rsidRPr="004F48C4">
              <w:t>3069.0±551.1</w:t>
            </w:r>
            <w:r>
              <w:t xml:space="preserve"> — </w:t>
            </w:r>
            <w:r w:rsidR="00B35A49">
              <w:t>MD </w:t>
            </w:r>
            <w:r w:rsidR="00B35A49">
              <w:rPr>
                <w:rFonts w:eastAsia="Times New Roman"/>
                <w:lang w:val="en-AU"/>
              </w:rPr>
              <w:t>16.30 (-190.12 to 222.72)</w:t>
            </w:r>
          </w:p>
          <w:p w14:paraId="5F6CAF02" w14:textId="721C596D" w:rsidR="00FE6359" w:rsidRPr="00451945" w:rsidRDefault="00FE6359" w:rsidP="00DE2A9C">
            <w:pPr>
              <w:pStyle w:val="bullet"/>
            </w:pPr>
            <w:r>
              <w:rPr>
                <w:rFonts w:eastAsia="Times New Roman"/>
                <w:lang w:val="en-AU"/>
              </w:rPr>
              <w:t>EPDS score</w:t>
            </w:r>
            <w:r>
              <w:t xml:space="preserve">: </w:t>
            </w:r>
            <w:r w:rsidRPr="00FE6359">
              <w:t>8.8+5.1</w:t>
            </w:r>
            <w:r>
              <w:t xml:space="preserve"> </w:t>
            </w:r>
            <w:r w:rsidR="00DE01BA">
              <w:t xml:space="preserve">(n=44) </w:t>
            </w:r>
            <w:r>
              <w:t>vs</w:t>
            </w:r>
            <w:r>
              <w:rPr>
                <w:rFonts w:eastAsia="Times New Roman"/>
                <w:lang w:val="en-AU"/>
              </w:rPr>
              <w:t xml:space="preserve"> </w:t>
            </w:r>
            <w:r w:rsidRPr="00FE6359">
              <w:t>10.7+4.4</w:t>
            </w:r>
            <w:r>
              <w:t xml:space="preserve"> </w:t>
            </w:r>
            <w:r w:rsidR="00DE01BA">
              <w:t xml:space="preserve">(n=41) </w:t>
            </w:r>
            <w:r>
              <w:t xml:space="preserve">— </w:t>
            </w:r>
            <w:r w:rsidR="00DE01BA" w:rsidRPr="00DE01BA">
              <w:rPr>
                <w:lang w:val="en-AU"/>
              </w:rPr>
              <w:t>MD -1.90 (-3.92, 0.12)</w:t>
            </w:r>
          </w:p>
        </w:tc>
        <w:tc>
          <w:tcPr>
            <w:tcW w:w="1843" w:type="dxa"/>
          </w:tcPr>
          <w:p w14:paraId="6782DA62" w14:textId="449F95BF" w:rsidR="00A44F5D" w:rsidRPr="000C642D" w:rsidRDefault="00A44F5D" w:rsidP="00DE2A9C">
            <w:r w:rsidRPr="000C642D">
              <w:t xml:space="preserve">The </w:t>
            </w:r>
            <w:r>
              <w:t xml:space="preserve">authors note that larger trials are required to draw conclusions on the </w:t>
            </w:r>
            <w:r w:rsidRPr="000C642D">
              <w:t>efficacy of selenium</w:t>
            </w:r>
            <w:r>
              <w:t xml:space="preserve"> </w:t>
            </w:r>
            <w:r w:rsidRPr="000C642D">
              <w:t>supplementation in pregnancy for preventing</w:t>
            </w:r>
            <w:r>
              <w:t xml:space="preserve"> </w:t>
            </w:r>
            <w:r w:rsidRPr="000C642D">
              <w:t>preeclampsia.</w:t>
            </w:r>
          </w:p>
        </w:tc>
      </w:tr>
      <w:tr w:rsidR="00451945" w:rsidRPr="00D150D8" w14:paraId="5BF79D6F" w14:textId="77777777" w:rsidTr="00055933">
        <w:trPr>
          <w:cantSplit/>
        </w:trPr>
        <w:tc>
          <w:tcPr>
            <w:tcW w:w="1305" w:type="dxa"/>
          </w:tcPr>
          <w:p w14:paraId="1C9374DB" w14:textId="3CCB15AE" w:rsidR="00451945" w:rsidRDefault="005B0938" w:rsidP="003523C5">
            <w:pPr>
              <w:keepNext/>
            </w:pPr>
            <w:r>
              <w:t>Rayman et al 2014</w:t>
            </w:r>
            <w:r w:rsidR="003523C5">
              <w:fldChar w:fldCharType="begin">
                <w:fldData xml:space="preserve">PEVuZE5vdGU+PENpdGU+PEF1dGhvcj5SYXltYW48L0F1dGhvcj48WWVhcj4yMDE0PC9ZZWFyPjxS
ZWNOdW0+MTIxMTwvUmVjTnVtPjxEaXNwbGF5VGV4dD48c3R5bGUgZmFjZT0ic3VwZXJzY3JpcHQi
IGZvbnQ9IlRyZWJ1Y2hldCBNUyIgc2l6ZT0iOSI+MjIxLTIyMzwvc3R5bGU+PC9EaXNwbGF5VGV4
dD48cmVjb3JkPjxyZWMtbnVtYmVyPjEyMTE8L3JlYy1udW1iZXI+PGZvcmVpZ24ta2V5cz48a2V5
IGFwcD0iRU4iIGRiLWlkPSJleHZhc3JmeDJkdHJhb2VzYXN4cDJzenN4YTJkZjUwMjU5MngiIHRp
bWVzdGFtcD0iMTU1OTg2NzM5MiI+MTIxMTwva2V5PjxrZXkgYXBwPSJFTldlYiIgZGItaWQ9IiI+
MDwva2V5PjwvZm9yZWlnbi1rZXlzPjxyZWYtdHlwZSBuYW1lPSJKb3VybmFsIEFydGljbGUiPjE3
PC9yZWYtdHlwZT48Y29udHJpYnV0b3JzPjxhdXRob3JzPjxhdXRob3I+UmF5bWFuLCBNLiBQLjwv
YXV0aG9yPjxhdXRob3I+U2VhcmxlLCBFLjwvYXV0aG9yPjxhdXRob3I+S2VsbHksIEwuPC9hdXRo
b3I+PGF1dGhvcj5Kb2huc2VuLCBTLjwvYXV0aG9yPjxhdXRob3I+Qm9kbWFuLVNtaXRoLCBLLjwv
YXV0aG9yPjxhdXRob3I+QmF0aCwgUy4gQy48L2F1dGhvcj48YXV0aG9yPk1hbywgSi48L2F1dGhv
cj48YXV0aG9yPlJlZG1hbiwgQy4gVy48L2F1dGhvcj48L2F1dGhvcnM+PC9jb250cmlidXRvcnM+
PGF1dGgtYWRkcmVzcz5EZXBhcnRtZW50IG9mIE51dHJpdGlvbmFsIFNjaWVuY2VzLFNjaG9vbCBv
ZiBCaW9zY2llbmNlcyBhbmQgTWVkaWNpbmUsIEZhY3VsdHkgb2YgSGVhbHRoIGFuZCBNZWRpY2Fs
IFNjaWVuY2VzLCBVbml2ZXJzaXR5IG9mIFN1cnJleSxHdWlsZGZvcmRHVTIgN1hILFVLLiYjeEQ7
TnVmZmllbGQgRGVwYXJ0bWVudCBvZiBPYnN0ZXRyaWNzIGFuZCBHeW5hZWNvbG9neSwgVW5pdmVy
c2l0eSBvZiBPeGZvcmQsT3hmb3JkT1gzIDlEVSxVSy4mI3hEO0FudSBSZXNlYXJjaCBDZW50cmUs
IERlcGFydG1lbnQgb2YgT2JzdGV0cmljcyBhbmQgR3luYWVjb2xvZ3ksIENvcmsgVW5pdmVyc2l0
eSBNYXRlcm5pdHkgSG9zcGl0YWwsV2lsdG9uLCBDb3JrLFJlcHVibGljIG9mIElyZWxhbmQuJiN4
RDtTdXJyZXkgQ2xpbmljYWwgUmVzZWFyY2ggQ2VudHJlIChDUkMpLCBGYWN1bHR5IG9mIEhlYWx0
aCBhbmQgTWVkaWNhbCBTY2llbmNlcywgVW5pdmVyc2l0eSBvZiBTdXJyZXksR3VpbGRmb3JkR1Uy
IDdYUCxVSy48L2F1dGgtYWRkcmVzcz48dGl0bGVzPjx0aXRsZT5FZmZlY3Qgb2Ygc2VsZW5pdW0g
b24gbWFya2VycyBvZiByaXNrIG9mIHByZS1lY2xhbXBzaWEgaW4gVUsgcHJlZ25hbnQgd29tZW46
IGEgcmFuZG9taXNlZCwgY29udHJvbGxlZCBwaWxvdCB0cmlhbDwvdGl0bGU+PHNlY29uZGFyeS10
aXRsZT5CciBKIE51dHI8L3NlY29uZGFyeS10aXRsZT48L3RpdGxlcz48cGVyaW9kaWNhbD48ZnVs
bC10aXRsZT5CciBKIE51dHI8L2Z1bGwtdGl0bGU+PC9wZXJpb2RpY2FsPjxwYWdlcz45OS0xMTE8
L3BhZ2VzPjx2b2x1bWU+MTEyPC92b2x1bWU+PG51bWJlcj4xPC9udW1iZXI+PGVkaXRpb24+MjAx
NC8wNC8wOTwvZWRpdGlvbj48a2V5d29yZHM+PGtleXdvcmQ+QWR1bHQ8L2tleXdvcmQ+PGtleXdv
cmQ+QmlvbWFya2Vycy9hbmFseXNpcy9ibG9vZDwva2V5d29yZD48a2V5d29yZD4qRGlldGFyeSBT
dXBwbGVtZW50czwva2V5d29yZD48a2V5d29yZD5Eb3VibGUtQmxpbmQgTWV0aG9kPC9rZXl3b3Jk
PjxrZXl3b3JkPkZlbWFsZTwva2V5d29yZD48a2V5d29yZD5IdW1hbnM8L2tleXdvcmQ+PGtleXdv
cmQ+SW5jaWRlbmNlPC9rZXl3b3JkPjxrZXl3b3JkPk5haWxzL2NoZW1pc3RyeTwva2V5d29yZD48
a2V5d29yZD5OdXRyaXRpb25hbCBTdGF0dXM8L2tleXdvcmQ+PGtleXdvcmQ+UGlsb3QgUHJvamVj
dHM8L2tleXdvcmQ+PGtleXdvcmQ+UHJlLUVjbGFtcHNpYS9ibG9vZC9lcGlkZW1pb2xvZ3kvZXRp
b2xvZ3kvKnByZXZlbnRpb24gJmFtcDsgY29udHJvbDwva2V5d29yZD48a2V5d29yZD5QcmVnbmFu
Y3k8L2tleXdvcmQ+PGtleXdvcmQ+UHJlZ25hbmN5IFRyaW1lc3RlciwgRmlyc3Q8L2tleXdvcmQ+
PGtleXdvcmQ+Umlzazwva2V5d29yZD48a2V5d29yZD5TZWxlbml1bS9hbmFseXNpcy9ibG9vZC9k
ZWZpY2llbmN5Lyp0aGVyYXBldXRpYyB1c2U8L2tleXdvcmQ+PGtleXdvcmQ+U2VsZW5vcHJvdGVp
biBQLypibG9vZDwva2V5d29yZD48a2V5d29yZD5Vbml0ZWQgS2luZ2RvbS9lcGlkZW1pb2xvZ3k8
L2tleXdvcmQ+PGtleXdvcmQ+VmFzY3VsYXIgRW5kb3RoZWxpYWwgR3Jvd3RoIEZhY3RvciBSZWNl
cHRvci0xLypibG9vZDwva2V5d29yZD48a2V5d29yZD5ZZWFzdCwgRHJpZWQvY2hlbWlzdHJ5Lyp0
aGVyYXBldXRpYyB1c2U8L2tleXdvcmQ+PC9rZXl3b3Jkcz48ZGF0ZXM+PHllYXI+MjAxNDwveWVh
cj48cHViLWRhdGVzPjxkYXRlPkp1bCAxNDwvZGF0ZT48L3B1Yi1kYXRlcz48L2RhdGVzPjxpc2Ju
PjE0NzUtMjY2MiAoRWxlY3Ryb25pYykmI3hEOzAwMDctMTE0NSAoTGlua2luZyk8L2lzYm4+PGFj
Y2Vzc2lvbi1udW0+MjQ3MDg5MTc8L2FjY2Vzc2lvbi1udW0+PHVybHM+PHJlbGF0ZWQtdXJscz48
dXJsPmh0dHBzOi8vd3d3Lm5jYmkubmxtLm5paC5nb3YvcHVibWVkLzI0NzA4OTE3PC91cmw+PC9y
ZWxhdGVkLXVybHM+PC91cmxzPjxjdXN0b20yPlBNQzQwNTQ2NjI8L2N1c3RvbTI+PGVsZWN0cm9u
aWMtcmVzb3VyY2UtbnVtPjEwLjEwMTcvUzAwMDcxMTQ1MTQwMDA1MzE8L2VsZWN0cm9uaWMtcmVz
b3VyY2UtbnVtPjwvcmVjb3JkPjwvQ2l0ZT48Q2l0ZT48QXV0aG9yPk1hbzwvQXV0aG9yPjxZZWFy
PjIwMTY8L1llYXI+PFJlY051bT4xMjA2PC9SZWNOdW0+PHJlY29yZD48cmVjLW51bWJlcj4xMjA2
PC9yZWMtbnVtYmVyPjxmb3JlaWduLWtleXM+PGtleSBhcHA9IkVOIiBkYi1pZD0iZXh2YXNyZngy
ZHRyYW9lc2FzeHAyc3pzeGEyZGY1MDI1OTJ4IiB0aW1lc3RhbXA9IjE1NTk4NjczNzciPjEyMDY8
L2tleT48a2V5IGFwcD0iRU5XZWIiIGRiLWlkPSIiPjA8L2tleT48L2ZvcmVpZ24ta2V5cz48cmVm
LXR5cGUgbmFtZT0iSm91cm5hbCBBcnRpY2xlIj4xNzwvcmVmLXR5cGU+PGNvbnRyaWJ1dG9ycz48
YXV0aG9ycz48YXV0aG9yPk1hbywgSi48L2F1dGhvcj48YXV0aG9yPkJhdGgsIFMuIEMuPC9hdXRo
b3I+PGF1dGhvcj5WYW5kZXJsZWxpZSwgSi4gSi48L2F1dGhvcj48YXV0aG9yPlBlcmtpbnMsIEEu
IFYuPC9hdXRob3I+PGF1dGhvcj5SZWRtYW4sIEMuIFcuPC9hdXRob3I+PGF1dGhvcj5SYXltYW4s
IE0uIFAuPC9hdXRob3I+PC9hdXRob3JzPjwvY29udHJpYnV0b3JzPjxhdXRoLWFkZHJlc3M+MURl
cGFydG1lbnQgb2YgRW5kb2NyaW5vbG9neSBhbmQgTWV0YWJvbGlzbSxJbnN0aXR1dGUgb2YgRW5k
b2NyaW5vbG9neSxUaGUgRmlyc3QgSG9zcGl0YWwgb2YgQ2hpbmEgTWVkaWNhbCBVbml2ZXJzaXR5
LFNoZW55YW5nIDExMDAwMSxQZW9wbGUmYXBvcztzIFJlcHVibGljIG9mIENoaW5hLiYjeEQ7MkRl
cGFydG1lbnQgb2YgTnV0cml0aW9uYWwgU2NpZW5jZXMsRmFjdWx0eSBvZiBIZWFsdGggYW5kIE1l
ZGljYWwgU2NpZW5jZXMsVW5pdmVyc2l0eSBvZiBTdXJyZXksR3VpbGRmb3JkIEdVMiA3WEgsVUsu
JiN4RDszU2Nob29sIG9mIE1lZGljYWwgU2NpZW5jZSxHcmlmZml0aCBIZWFsdGggSW5zdGl0dXRl
LEdyaWZmaXRoIFVuaXZlcnNpdHksU291dGhwb3J0LFFMRCA0MjIyLEF1c3RyYWxpYS4mI3hEOzRO
dWZmaWVsZCBEZXBhcnRtZW50IG9mIE9ic3RldHJpY3MgYW5kIEd5bmFlY29sb2d5LFVuaXZlcnNp
dHkgb2YgT3hmb3JkLE94Zm9yZCBPWDMgOURVLFVLLjwvYXV0aC1hZGRyZXNzPjx0aXRsZXM+PHRp
dGxlPk5vIGVmZmVjdCBvZiBtb2Rlc3Qgc2VsZW5pdW0gc3VwcGxlbWVudGF0aW9uIG9uIGluc3Vs
aW4gcmVzaXN0YW5jZSBpbiBVSyBwcmVnbmFudCB3b21lbiwgYXMgYXNzZXNzZWQgYnkgcGxhc21h
IGFkaXBvbmVjdGluIGNvbmNlbnRyYXRpb248L3RpdGxlPjxzZWNvbmRhcnktdGl0bGU+QnIgSiBO
dXRyPC9zZWNvbmRhcnktdGl0bGU+PC90aXRsZXM+PHBlcmlvZGljYWw+PGZ1bGwtdGl0bGU+QnIg
SiBOdXRyPC9mdWxsLXRpdGxlPjwvcGVyaW9kaWNhbD48cGFnZXM+MzItODwvcGFnZXM+PHZvbHVt
ZT4xMTU8L3ZvbHVtZT48bnVtYmVyPjE8L251bWJlcj48ZWRpdGlvbj4yMDE1LzEwLzIxPC9lZGl0
aW9uPjxrZXl3b3Jkcz48a2V5d29yZD5BZGlwb25lY3Rpbi8qYmxvb2Q8L2tleXdvcmQ+PGtleXdv
cmQ+QWR1bHQ8L2tleXdvcmQ+PGtleXdvcmQ+QmlvbWFya2Vycy9ibG9vZDwva2V5d29yZD48a2V5
d29yZD5Dcm9zcy1TZWN0aW9uYWwgU3R1ZGllczwva2V5d29yZD48a2V5d29yZD5EaWFiZXRlcywg
R2VzdGF0aW9uYWwvYmxvb2Q8L2tleXdvcmQ+PGtleXdvcmQ+KkRpZXRhcnkgU3VwcGxlbWVudHM8
L2tleXdvcmQ+PGtleXdvcmQ+RmVtYWxlPC9rZXl3b3JkPjxrZXl3b3JkPkh1bWFuczwva2V5d29y
ZD48a2V5d29yZD4qSW5zdWxpbiBSZXNpc3RhbmNlPC9rZXl3b3JkPjxrZXl3b3JkPlByZWduYW5j
eS8qYmxvb2Q8L2tleXdvcmQ+PGtleXdvcmQ+U2VsZW5pdW0vYWR2ZXJzZSBlZmZlY3RzL2Jsb29k
LypwaGFybWFjb2xvZ3k8L2tleXdvcmQ+PGtleXdvcmQ+VHJhY2UgRWxlbWVudHMvYWR2ZXJzZSBl
ZmZlY3RzLypwaGFybWFjb2xvZ3k8L2tleXdvcmQ+PGtleXdvcmQ+QWRpcG9uZWN0aW48L2tleXdv
cmQ+PGtleXdvcmQ+RGlhYmV0ZXM8L2tleXdvcmQ+PGtleXdvcmQ+R0RNIGdlc3RhdGlvbmFsIGRp
YWJldGVzPC9rZXl3b3JkPjxrZXl3b3JkPkdQeDMgZ2x1dGF0aGlvbmUgcGVyb3hpZGlzZSAzPC9r
ZXl3b3JkPjxrZXl3b3JkPkluc3VsaW4gcmVzaXN0YW5jZTwva2V5d29yZD48a2V5d29yZD5QcmVn
bmFuY3k8L2tleXdvcmQ+PGtleXdvcmQ+UkNUIHJhbmRvbWlzZWQtY29udHJvbGxlZCB0cmlhbDwv
a2V5d29yZD48a2V5d29yZD5TRVBQMSBzZWxlbm9wcm90ZWluIFAxPC9rZXl3b3JkPjxrZXl3b3Jk
PlNlbGVuaXVtPC9rZXl3b3JkPjxrZXl3b3JkPlQyRCB0eXBlIDIgZGlhYmV0ZXM8L2tleXdvcmQ+
PC9rZXl3b3Jkcz48ZGF0ZXM+PHllYXI+MjAxNjwveWVhcj48cHViLWRhdGVzPjxkYXRlPkphbiAx
NDwvZGF0ZT48L3B1Yi1kYXRlcz48L2RhdGVzPjxpc2JuPjE0NzUtMjY2MiAoRWxlY3Ryb25pYykm
I3hEOzAwMDctMTE0NSAoTGlua2luZyk8L2lzYm4+PGFjY2Vzc2lvbi1udW0+MjY0ODE4MTE8L2Fj
Y2Vzc2lvbi1udW0+PHVybHM+PHJlbGF0ZWQtdXJscz48dXJsPmh0dHBzOi8vd3d3Lm5jYmkubmxt
Lm5paC5nb3YvcHVibWVkLzI2NDgxODExPC91cmw+PC9yZWxhdGVkLXVybHM+PC91cmxzPjxlbGVj
dHJvbmljLXJlc291cmNlLW51bT4xMC4xMDE3L1MwMDA3MTE0NTE1MDA0MDY3PC9lbGVjdHJvbmlj
LXJlc291cmNlLW51bT48L3JlY29yZD48L0NpdGU+PENpdGU+PEF1dGhvcj5NYW88L0F1dGhvcj48
WWVhcj4yMDE2PC9ZZWFyPjxSZWNOdW0+MTIwNTwvUmVjTnVtPjxyZWNvcmQ+PHJlYy1udW1iZXI+
MTIwNTwvcmVjLW51bWJlcj48Zm9yZWlnbi1rZXlzPjxrZXkgYXBwPSJFTiIgZGItaWQ9ImV4dmFz
cmZ4MmR0cmFvZXNhc3hwMnN6c3hhMmRmNTAyNTkyeCIgdGltZXN0YW1wPSIxNTU5ODY3MzczIj4x
MjA1PC9rZXk+PGtleSBhcHA9IkVOV2ViIiBkYi1pZD0iIj4wPC9rZXk+PC9mb3JlaWduLWtleXM+
PHJlZi10eXBlIG5hbWU9IkpvdXJuYWwgQXJ0aWNsZSI+MTc8L3JlZi10eXBlPjxjb250cmlidXRv
cnM+PGF1dGhvcnM+PGF1dGhvcj5NYW8sIEouPC9hdXRob3I+PGF1dGhvcj5Qb3AsIFYuIEouPC9h
dXRob3I+PGF1dGhvcj5CYXRoLCBTLiBDLjwvYXV0aG9yPjxhdXRob3I+VmFkZXIsIEguIEwuPC9h
dXRob3I+PGF1dGhvcj5SZWRtYW4sIEMuIFcuPC9hdXRob3I+PGF1dGhvcj5SYXltYW4sIE0uIFAu
PC9hdXRob3I+PC9hdXRob3JzPjwvY29udHJpYnV0b3JzPjxhdXRoLWFkZHJlc3M+RGVwYXJ0bWVu
dCBvZiBOdXRyaXRpb25hbCBTY2llbmNlcywgRmFjdWx0eSBvZiBIZWFsdGggYW5kIE1lZGljYWwg
U2NpZW5jZXMsIFVuaXZlcnNpdHkgb2YgU3VycmV5LCBHdWlsZGZvcmQsIEdVMiA3WEgsIFVLLiYj
eEQ7RGVwYXJ0bWVudCBvZiBFbmRvY3Jpbm9sb2d5IGFuZCBNZXRhYm9saXNtLCBUaGUgRmlyc3Qg
SG9zcGl0YWwgb2YgQ2hpbmEgTWVkaWNhbCBVbml2ZXJzaXR5LCBTaGVueWFuZywgQ2hpbmEuJiN4
RDtEZXBhcnRtZW50IG9mIENsaW5pY2FsIEhlYWx0aCBQc3ljaG9sb2d5LCBUaWxidXJnIFVuaXZl
cnNpdHksIFRpbGJ1cmcsIFRoZSBOZXRoZXJsYW5kcy4mI3hEO0NsaW5pY2FsIExhYm9yYXRvcmll
cywgTWF4aW1hIE1lZGljYWwgQ2VudGVyIEVpbmRob3ZlbiwgVmVsZGhvdmVuLCBUaGUgTmV0aGVy
bGFuZHMuJiN4RDtOdWZmaWVsZCBEZXBhcnRtZW50IG9mIE9ic3RldHJpY3MgYW5kIEd5bmFlY29s
b2d5LCBKb2huIFJhZGNsaWZmZSBIb3NwaXRhbCwgVW5pdmVyc2l0eSBvZiBPeGZvcmQsIE94Zm9y
ZCwgVUsuJiN4RDtEZXBhcnRtZW50IG9mIE51dHJpdGlvbmFsIFNjaWVuY2VzLCBGYWN1bHR5IG9m
IEhlYWx0aCBhbmQgTWVkaWNhbCBTY2llbmNlcywgVW5pdmVyc2l0eSBvZiBTdXJyZXksIEd1aWxk
Zm9yZCwgR1UyIDdYSCwgVUsuIG0ucmF5bWFuQHN1cnJleS5hYy51ay48L2F1dGgtYWRkcmVzcz48
dGl0bGVzPjx0aXRsZT5FZmZlY3Qgb2YgbG93LWRvc2Ugc2VsZW5pdW0gb24gdGh5cm9pZCBhdXRv
aW1tdW5pdHkgYW5kIHRoeXJvaWQgZnVuY3Rpb24gaW4gVUsgcHJlZ25hbnQgd29tZW4gd2l0aCBt
aWxkLXRvLW1vZGVyYXRlIGlvZGluZSBkZWZpY2llbmN5PC90aXRsZT48c2Vjb25kYXJ5LXRpdGxl
PkV1ciBKIE51dHI8L3NlY29uZGFyeS10aXRsZT48L3RpdGxlcz48cGVyaW9kaWNhbD48ZnVsbC10
aXRsZT5FdXIgSiBOdXRyPC9mdWxsLXRpdGxlPjwvcGVyaW9kaWNhbD48cGFnZXM+NTUtNjE8L3Bh
Z2VzPjx2b2x1bWU+NTU8L3ZvbHVtZT48bnVtYmVyPjE8L251bWJlcj48ZWRpdGlvbj4yMDE0LzEy
LzIwPC9lZGl0aW9uPjxrZXl3b3Jkcz48a2V5d29yZD5BdXRvYW50aWJvZGllcy9ibG9vZDwva2V5
d29yZD48a2V5d29yZD5Cb2R5IE1hc3MgSW5kZXg8L2tleXdvcmQ+PGtleXdvcmQ+RGlldGFyeSBT
dXBwbGVtZW50czwva2V5d29yZD48a2V5d29yZD5Eb3NlLVJlc3BvbnNlIFJlbGF0aW9uc2hpcCwg
RHJ1Zzwva2V5d29yZD48a2V5d29yZD5Eb3VibGUtQmxpbmQgTWV0aG9kPC9rZXl3b3JkPjxrZXl3
b3JkPkZlbWFsZTwva2V5d29yZD48a2V5d29yZD5IdW1hbnM8L2tleXdvcmQ+PGtleXdvcmQ+SW9k
aW5lLypibG9vZC9kZWZpY2llbmN5PC9rZXl3b3JkPjxrZXl3b3JkPlByZWduYW5jeTwva2V5d29y
ZD48a2V5d29yZD5TZWxlbml1bS8qYWRtaW5pc3RyYXRpb24gJmFtcDsgZG9zYWdlL2Jsb29kPC9r
ZXl3b3JkPjxrZXl3b3JkPlRoeXJvaWQgR2xhbmQvKmRydWcgZWZmZWN0cy8qaW1tdW5vbG9neTwv
a2V5d29yZD48a2V5d29yZD5UaHlyb3Ryb3Bpbi9ibG9vZDwva2V5d29yZD48a2V5d29yZD5UaHly
b3hpbmUvYmxvb2Q8L2tleXdvcmQ+PGtleXdvcmQ+VW5pdGVkIEtpbmdkb208L2tleXdvcmQ+PGtl
eXdvcmQ+SW9kaW5lPC9rZXl3b3JkPjxrZXl3b3JkPlNlbGVuaXVtPC9rZXl3b3JkPjxrZXl3b3Jk
PlRoeXJvaWQgYXV0b2ltbXVuaXR5PC9rZXl3b3JkPjxrZXl3b3JkPlRoeXJvaWQgZnVuY3Rpb248
L2tleXdvcmQ+PGtleXdvcmQ+VGh5cm9pZCBwZXJveGlkYXNlIGFudGlib2RpZXM8L2tleXdvcmQ+
PC9rZXl3b3Jkcz48ZGF0ZXM+PHllYXI+MjAxNjwveWVhcj48cHViLWRhdGVzPjxkYXRlPkZlYjwv
ZGF0ZT48L3B1Yi1kYXRlcz48L2RhdGVzPjxpc2JuPjE0MzYtNjIxNSAoRWxlY3Ryb25pYykmI3hE
OzE0MzYtNjIwNyAoTGlua2luZyk8L2lzYm4+PGFjY2Vzc2lvbi1udW0+MjU1MjQzMjc8L2FjY2Vz
c2lvbi1udW0+PHVybHM+PHJlbGF0ZWQtdXJscz48dXJsPmh0dHBzOi8vd3d3Lm5jYmkubmxtLm5p
aC5nb3YvcHVibWVkLzI1NTI0MzI3PC91cmw+PC9yZWxhdGVkLXVybHM+PC91cmxzPjxjdXN0b20y
PlBNQzQ3Mzc3ODY8L2N1c3RvbTI+PGVsZWN0cm9uaWMtcmVzb3VyY2UtbnVtPjEwLjEwMDcvczAw
Mzk0LTAxNC0wODIyLTk8L2VsZWN0cm9uaWMtcmVzb3VyY2UtbnVtPjwvcmVjb3JkPjwvQ2l0ZT48
L0VuZE5vdGU+AG==
</w:fldData>
              </w:fldChar>
            </w:r>
            <w:r w:rsidR="002747EA">
              <w:instrText xml:space="preserve"> ADDIN EN.CITE </w:instrText>
            </w:r>
            <w:r w:rsidR="002747EA">
              <w:fldChar w:fldCharType="begin">
                <w:fldData xml:space="preserve">PEVuZE5vdGU+PENpdGU+PEF1dGhvcj5SYXltYW48L0F1dGhvcj48WWVhcj4yMDE0PC9ZZWFyPjxS
ZWNOdW0+MTIxMTwvUmVjTnVtPjxEaXNwbGF5VGV4dD48c3R5bGUgZmFjZT0ic3VwZXJzY3JpcHQi
IGZvbnQ9IlRyZWJ1Y2hldCBNUyIgc2l6ZT0iOSI+MjIxLTIyMzwvc3R5bGU+PC9EaXNwbGF5VGV4
dD48cmVjb3JkPjxyZWMtbnVtYmVyPjEyMTE8L3JlYy1udW1iZXI+PGZvcmVpZ24ta2V5cz48a2V5
IGFwcD0iRU4iIGRiLWlkPSJleHZhc3JmeDJkdHJhb2VzYXN4cDJzenN4YTJkZjUwMjU5MngiIHRp
bWVzdGFtcD0iMTU1OTg2NzM5MiI+MTIxMTwva2V5PjxrZXkgYXBwPSJFTldlYiIgZGItaWQ9IiI+
MDwva2V5PjwvZm9yZWlnbi1rZXlzPjxyZWYtdHlwZSBuYW1lPSJKb3VybmFsIEFydGljbGUiPjE3
PC9yZWYtdHlwZT48Y29udHJpYnV0b3JzPjxhdXRob3JzPjxhdXRob3I+UmF5bWFuLCBNLiBQLjwv
YXV0aG9yPjxhdXRob3I+U2VhcmxlLCBFLjwvYXV0aG9yPjxhdXRob3I+S2VsbHksIEwuPC9hdXRo
b3I+PGF1dGhvcj5Kb2huc2VuLCBTLjwvYXV0aG9yPjxhdXRob3I+Qm9kbWFuLVNtaXRoLCBLLjwv
YXV0aG9yPjxhdXRob3I+QmF0aCwgUy4gQy48L2F1dGhvcj48YXV0aG9yPk1hbywgSi48L2F1dGhv
cj48YXV0aG9yPlJlZG1hbiwgQy4gVy48L2F1dGhvcj48L2F1dGhvcnM+PC9jb250cmlidXRvcnM+
PGF1dGgtYWRkcmVzcz5EZXBhcnRtZW50IG9mIE51dHJpdGlvbmFsIFNjaWVuY2VzLFNjaG9vbCBv
ZiBCaW9zY2llbmNlcyBhbmQgTWVkaWNpbmUsIEZhY3VsdHkgb2YgSGVhbHRoIGFuZCBNZWRpY2Fs
IFNjaWVuY2VzLCBVbml2ZXJzaXR5IG9mIFN1cnJleSxHdWlsZGZvcmRHVTIgN1hILFVLLiYjeEQ7
TnVmZmllbGQgRGVwYXJ0bWVudCBvZiBPYnN0ZXRyaWNzIGFuZCBHeW5hZWNvbG9neSwgVW5pdmVy
c2l0eSBvZiBPeGZvcmQsT3hmb3JkT1gzIDlEVSxVSy4mI3hEO0FudSBSZXNlYXJjaCBDZW50cmUs
IERlcGFydG1lbnQgb2YgT2JzdGV0cmljcyBhbmQgR3luYWVjb2xvZ3ksIENvcmsgVW5pdmVyc2l0
eSBNYXRlcm5pdHkgSG9zcGl0YWwsV2lsdG9uLCBDb3JrLFJlcHVibGljIG9mIElyZWxhbmQuJiN4
RDtTdXJyZXkgQ2xpbmljYWwgUmVzZWFyY2ggQ2VudHJlIChDUkMpLCBGYWN1bHR5IG9mIEhlYWx0
aCBhbmQgTWVkaWNhbCBTY2llbmNlcywgVW5pdmVyc2l0eSBvZiBTdXJyZXksR3VpbGRmb3JkR1Uy
IDdYUCxVSy48L2F1dGgtYWRkcmVzcz48dGl0bGVzPjx0aXRsZT5FZmZlY3Qgb2Ygc2VsZW5pdW0g
b24gbWFya2VycyBvZiByaXNrIG9mIHByZS1lY2xhbXBzaWEgaW4gVUsgcHJlZ25hbnQgd29tZW46
IGEgcmFuZG9taXNlZCwgY29udHJvbGxlZCBwaWxvdCB0cmlhbDwvdGl0bGU+PHNlY29uZGFyeS10
aXRsZT5CciBKIE51dHI8L3NlY29uZGFyeS10aXRsZT48L3RpdGxlcz48cGVyaW9kaWNhbD48ZnVs
bC10aXRsZT5CciBKIE51dHI8L2Z1bGwtdGl0bGU+PC9wZXJpb2RpY2FsPjxwYWdlcz45OS0xMTE8
L3BhZ2VzPjx2b2x1bWU+MTEyPC92b2x1bWU+PG51bWJlcj4xPC9udW1iZXI+PGVkaXRpb24+MjAx
NC8wNC8wOTwvZWRpdGlvbj48a2V5d29yZHM+PGtleXdvcmQ+QWR1bHQ8L2tleXdvcmQ+PGtleXdv
cmQ+QmlvbWFya2Vycy9hbmFseXNpcy9ibG9vZDwva2V5d29yZD48a2V5d29yZD4qRGlldGFyeSBT
dXBwbGVtZW50czwva2V5d29yZD48a2V5d29yZD5Eb3VibGUtQmxpbmQgTWV0aG9kPC9rZXl3b3Jk
PjxrZXl3b3JkPkZlbWFsZTwva2V5d29yZD48a2V5d29yZD5IdW1hbnM8L2tleXdvcmQ+PGtleXdv
cmQ+SW5jaWRlbmNlPC9rZXl3b3JkPjxrZXl3b3JkPk5haWxzL2NoZW1pc3RyeTwva2V5d29yZD48
a2V5d29yZD5OdXRyaXRpb25hbCBTdGF0dXM8L2tleXdvcmQ+PGtleXdvcmQ+UGlsb3QgUHJvamVj
dHM8L2tleXdvcmQ+PGtleXdvcmQ+UHJlLUVjbGFtcHNpYS9ibG9vZC9lcGlkZW1pb2xvZ3kvZXRp
b2xvZ3kvKnByZXZlbnRpb24gJmFtcDsgY29udHJvbDwva2V5d29yZD48a2V5d29yZD5QcmVnbmFu
Y3k8L2tleXdvcmQ+PGtleXdvcmQ+UHJlZ25hbmN5IFRyaW1lc3RlciwgRmlyc3Q8L2tleXdvcmQ+
PGtleXdvcmQ+Umlzazwva2V5d29yZD48a2V5d29yZD5TZWxlbml1bS9hbmFseXNpcy9ibG9vZC9k
ZWZpY2llbmN5Lyp0aGVyYXBldXRpYyB1c2U8L2tleXdvcmQ+PGtleXdvcmQ+U2VsZW5vcHJvdGVp
biBQLypibG9vZDwva2V5d29yZD48a2V5d29yZD5Vbml0ZWQgS2luZ2RvbS9lcGlkZW1pb2xvZ3k8
L2tleXdvcmQ+PGtleXdvcmQ+VmFzY3VsYXIgRW5kb3RoZWxpYWwgR3Jvd3RoIEZhY3RvciBSZWNl
cHRvci0xLypibG9vZDwva2V5d29yZD48a2V5d29yZD5ZZWFzdCwgRHJpZWQvY2hlbWlzdHJ5Lyp0
aGVyYXBldXRpYyB1c2U8L2tleXdvcmQ+PC9rZXl3b3Jkcz48ZGF0ZXM+PHllYXI+MjAxNDwveWVh
cj48cHViLWRhdGVzPjxkYXRlPkp1bCAxNDwvZGF0ZT48L3B1Yi1kYXRlcz48L2RhdGVzPjxpc2Ju
PjE0NzUtMjY2MiAoRWxlY3Ryb25pYykmI3hEOzAwMDctMTE0NSAoTGlua2luZyk8L2lzYm4+PGFj
Y2Vzc2lvbi1udW0+MjQ3MDg5MTc8L2FjY2Vzc2lvbi1udW0+PHVybHM+PHJlbGF0ZWQtdXJscz48
dXJsPmh0dHBzOi8vd3d3Lm5jYmkubmxtLm5paC5nb3YvcHVibWVkLzI0NzA4OTE3PC91cmw+PC9y
ZWxhdGVkLXVybHM+PC91cmxzPjxjdXN0b20yPlBNQzQwNTQ2NjI8L2N1c3RvbTI+PGVsZWN0cm9u
aWMtcmVzb3VyY2UtbnVtPjEwLjEwMTcvUzAwMDcxMTQ1MTQwMDA1MzE8L2VsZWN0cm9uaWMtcmVz
b3VyY2UtbnVtPjwvcmVjb3JkPjwvQ2l0ZT48Q2l0ZT48QXV0aG9yPk1hbzwvQXV0aG9yPjxZZWFy
PjIwMTY8L1llYXI+PFJlY051bT4xMjA2PC9SZWNOdW0+PHJlY29yZD48cmVjLW51bWJlcj4xMjA2
PC9yZWMtbnVtYmVyPjxmb3JlaWduLWtleXM+PGtleSBhcHA9IkVOIiBkYi1pZD0iZXh2YXNyZngy
ZHRyYW9lc2FzeHAyc3pzeGEyZGY1MDI1OTJ4IiB0aW1lc3RhbXA9IjE1NTk4NjczNzciPjEyMDY8
L2tleT48a2V5IGFwcD0iRU5XZWIiIGRiLWlkPSIiPjA8L2tleT48L2ZvcmVpZ24ta2V5cz48cmVm
LXR5cGUgbmFtZT0iSm91cm5hbCBBcnRpY2xlIj4xNzwvcmVmLXR5cGU+PGNvbnRyaWJ1dG9ycz48
YXV0aG9ycz48YXV0aG9yPk1hbywgSi48L2F1dGhvcj48YXV0aG9yPkJhdGgsIFMuIEMuPC9hdXRo
b3I+PGF1dGhvcj5WYW5kZXJsZWxpZSwgSi4gSi48L2F1dGhvcj48YXV0aG9yPlBlcmtpbnMsIEEu
IFYuPC9hdXRob3I+PGF1dGhvcj5SZWRtYW4sIEMuIFcuPC9hdXRob3I+PGF1dGhvcj5SYXltYW4s
IE0uIFAuPC9hdXRob3I+PC9hdXRob3JzPjwvY29udHJpYnV0b3JzPjxhdXRoLWFkZHJlc3M+MURl
cGFydG1lbnQgb2YgRW5kb2NyaW5vbG9neSBhbmQgTWV0YWJvbGlzbSxJbnN0aXR1dGUgb2YgRW5k
b2NyaW5vbG9neSxUaGUgRmlyc3QgSG9zcGl0YWwgb2YgQ2hpbmEgTWVkaWNhbCBVbml2ZXJzaXR5
LFNoZW55YW5nIDExMDAwMSxQZW9wbGUmYXBvcztzIFJlcHVibGljIG9mIENoaW5hLiYjeEQ7MkRl
cGFydG1lbnQgb2YgTnV0cml0aW9uYWwgU2NpZW5jZXMsRmFjdWx0eSBvZiBIZWFsdGggYW5kIE1l
ZGljYWwgU2NpZW5jZXMsVW5pdmVyc2l0eSBvZiBTdXJyZXksR3VpbGRmb3JkIEdVMiA3WEgsVUsu
JiN4RDszU2Nob29sIG9mIE1lZGljYWwgU2NpZW5jZSxHcmlmZml0aCBIZWFsdGggSW5zdGl0dXRl
LEdyaWZmaXRoIFVuaXZlcnNpdHksU291dGhwb3J0LFFMRCA0MjIyLEF1c3RyYWxpYS4mI3hEOzRO
dWZmaWVsZCBEZXBhcnRtZW50IG9mIE9ic3RldHJpY3MgYW5kIEd5bmFlY29sb2d5LFVuaXZlcnNp
dHkgb2YgT3hmb3JkLE94Zm9yZCBPWDMgOURVLFVLLjwvYXV0aC1hZGRyZXNzPjx0aXRsZXM+PHRp
dGxlPk5vIGVmZmVjdCBvZiBtb2Rlc3Qgc2VsZW5pdW0gc3VwcGxlbWVudGF0aW9uIG9uIGluc3Vs
aW4gcmVzaXN0YW5jZSBpbiBVSyBwcmVnbmFudCB3b21lbiwgYXMgYXNzZXNzZWQgYnkgcGxhc21h
IGFkaXBvbmVjdGluIGNvbmNlbnRyYXRpb248L3RpdGxlPjxzZWNvbmRhcnktdGl0bGU+QnIgSiBO
dXRyPC9zZWNvbmRhcnktdGl0bGU+PC90aXRsZXM+PHBlcmlvZGljYWw+PGZ1bGwtdGl0bGU+QnIg
SiBOdXRyPC9mdWxsLXRpdGxlPjwvcGVyaW9kaWNhbD48cGFnZXM+MzItODwvcGFnZXM+PHZvbHVt
ZT4xMTU8L3ZvbHVtZT48bnVtYmVyPjE8L251bWJlcj48ZWRpdGlvbj4yMDE1LzEwLzIxPC9lZGl0
aW9uPjxrZXl3b3Jkcz48a2V5d29yZD5BZGlwb25lY3Rpbi8qYmxvb2Q8L2tleXdvcmQ+PGtleXdv
cmQ+QWR1bHQ8L2tleXdvcmQ+PGtleXdvcmQ+QmlvbWFya2Vycy9ibG9vZDwva2V5d29yZD48a2V5
d29yZD5Dcm9zcy1TZWN0aW9uYWwgU3R1ZGllczwva2V5d29yZD48a2V5d29yZD5EaWFiZXRlcywg
R2VzdGF0aW9uYWwvYmxvb2Q8L2tleXdvcmQ+PGtleXdvcmQ+KkRpZXRhcnkgU3VwcGxlbWVudHM8
L2tleXdvcmQ+PGtleXdvcmQ+RmVtYWxlPC9rZXl3b3JkPjxrZXl3b3JkPkh1bWFuczwva2V5d29y
ZD48a2V5d29yZD4qSW5zdWxpbiBSZXNpc3RhbmNlPC9rZXl3b3JkPjxrZXl3b3JkPlByZWduYW5j
eS8qYmxvb2Q8L2tleXdvcmQ+PGtleXdvcmQ+U2VsZW5pdW0vYWR2ZXJzZSBlZmZlY3RzL2Jsb29k
LypwaGFybWFjb2xvZ3k8L2tleXdvcmQ+PGtleXdvcmQ+VHJhY2UgRWxlbWVudHMvYWR2ZXJzZSBl
ZmZlY3RzLypwaGFybWFjb2xvZ3k8L2tleXdvcmQ+PGtleXdvcmQ+QWRpcG9uZWN0aW48L2tleXdv
cmQ+PGtleXdvcmQ+RGlhYmV0ZXM8L2tleXdvcmQ+PGtleXdvcmQ+R0RNIGdlc3RhdGlvbmFsIGRp
YWJldGVzPC9rZXl3b3JkPjxrZXl3b3JkPkdQeDMgZ2x1dGF0aGlvbmUgcGVyb3hpZGlzZSAzPC9r
ZXl3b3JkPjxrZXl3b3JkPkluc3VsaW4gcmVzaXN0YW5jZTwva2V5d29yZD48a2V5d29yZD5QcmVn
bmFuY3k8L2tleXdvcmQ+PGtleXdvcmQ+UkNUIHJhbmRvbWlzZWQtY29udHJvbGxlZCB0cmlhbDwv
a2V5d29yZD48a2V5d29yZD5TRVBQMSBzZWxlbm9wcm90ZWluIFAxPC9rZXl3b3JkPjxrZXl3b3Jk
PlNlbGVuaXVtPC9rZXl3b3JkPjxrZXl3b3JkPlQyRCB0eXBlIDIgZGlhYmV0ZXM8L2tleXdvcmQ+
PC9rZXl3b3Jkcz48ZGF0ZXM+PHllYXI+MjAxNjwveWVhcj48cHViLWRhdGVzPjxkYXRlPkphbiAx
NDwvZGF0ZT48L3B1Yi1kYXRlcz48L2RhdGVzPjxpc2JuPjE0NzUtMjY2MiAoRWxlY3Ryb25pYykm
I3hEOzAwMDctMTE0NSAoTGlua2luZyk8L2lzYm4+PGFjY2Vzc2lvbi1udW0+MjY0ODE4MTE8L2Fj
Y2Vzc2lvbi1udW0+PHVybHM+PHJlbGF0ZWQtdXJscz48dXJsPmh0dHBzOi8vd3d3Lm5jYmkubmxt
Lm5paC5nb3YvcHVibWVkLzI2NDgxODExPC91cmw+PC9yZWxhdGVkLXVybHM+PC91cmxzPjxlbGVj
dHJvbmljLXJlc291cmNlLW51bT4xMC4xMDE3L1MwMDA3MTE0NTE1MDA0MDY3PC9lbGVjdHJvbmlj
LXJlc291cmNlLW51bT48L3JlY29yZD48L0NpdGU+PENpdGU+PEF1dGhvcj5NYW88L0F1dGhvcj48
WWVhcj4yMDE2PC9ZZWFyPjxSZWNOdW0+MTIwNTwvUmVjTnVtPjxyZWNvcmQ+PHJlYy1udW1iZXI+
MTIwNTwvcmVjLW51bWJlcj48Zm9yZWlnbi1rZXlzPjxrZXkgYXBwPSJFTiIgZGItaWQ9ImV4dmFz
cmZ4MmR0cmFvZXNhc3hwMnN6c3hhMmRmNTAyNTkyeCIgdGltZXN0YW1wPSIxNTU5ODY3MzczIj4x
MjA1PC9rZXk+PGtleSBhcHA9IkVOV2ViIiBkYi1pZD0iIj4wPC9rZXk+PC9mb3JlaWduLWtleXM+
PHJlZi10eXBlIG5hbWU9IkpvdXJuYWwgQXJ0aWNsZSI+MTc8L3JlZi10eXBlPjxjb250cmlidXRv
cnM+PGF1dGhvcnM+PGF1dGhvcj5NYW8sIEouPC9hdXRob3I+PGF1dGhvcj5Qb3AsIFYuIEouPC9h
dXRob3I+PGF1dGhvcj5CYXRoLCBTLiBDLjwvYXV0aG9yPjxhdXRob3I+VmFkZXIsIEguIEwuPC9h
dXRob3I+PGF1dGhvcj5SZWRtYW4sIEMuIFcuPC9hdXRob3I+PGF1dGhvcj5SYXltYW4sIE0uIFAu
PC9hdXRob3I+PC9hdXRob3JzPjwvY29udHJpYnV0b3JzPjxhdXRoLWFkZHJlc3M+RGVwYXJ0bWVu
dCBvZiBOdXRyaXRpb25hbCBTY2llbmNlcywgRmFjdWx0eSBvZiBIZWFsdGggYW5kIE1lZGljYWwg
U2NpZW5jZXMsIFVuaXZlcnNpdHkgb2YgU3VycmV5LCBHdWlsZGZvcmQsIEdVMiA3WEgsIFVLLiYj
eEQ7RGVwYXJ0bWVudCBvZiBFbmRvY3Jpbm9sb2d5IGFuZCBNZXRhYm9saXNtLCBUaGUgRmlyc3Qg
SG9zcGl0YWwgb2YgQ2hpbmEgTWVkaWNhbCBVbml2ZXJzaXR5LCBTaGVueWFuZywgQ2hpbmEuJiN4
RDtEZXBhcnRtZW50IG9mIENsaW5pY2FsIEhlYWx0aCBQc3ljaG9sb2d5LCBUaWxidXJnIFVuaXZl
cnNpdHksIFRpbGJ1cmcsIFRoZSBOZXRoZXJsYW5kcy4mI3hEO0NsaW5pY2FsIExhYm9yYXRvcmll
cywgTWF4aW1hIE1lZGljYWwgQ2VudGVyIEVpbmRob3ZlbiwgVmVsZGhvdmVuLCBUaGUgTmV0aGVy
bGFuZHMuJiN4RDtOdWZmaWVsZCBEZXBhcnRtZW50IG9mIE9ic3RldHJpY3MgYW5kIEd5bmFlY29s
b2d5LCBKb2huIFJhZGNsaWZmZSBIb3NwaXRhbCwgVW5pdmVyc2l0eSBvZiBPeGZvcmQsIE94Zm9y
ZCwgVUsuJiN4RDtEZXBhcnRtZW50IG9mIE51dHJpdGlvbmFsIFNjaWVuY2VzLCBGYWN1bHR5IG9m
IEhlYWx0aCBhbmQgTWVkaWNhbCBTY2llbmNlcywgVW5pdmVyc2l0eSBvZiBTdXJyZXksIEd1aWxk
Zm9yZCwgR1UyIDdYSCwgVUsuIG0ucmF5bWFuQHN1cnJleS5hYy51ay48L2F1dGgtYWRkcmVzcz48
dGl0bGVzPjx0aXRsZT5FZmZlY3Qgb2YgbG93LWRvc2Ugc2VsZW5pdW0gb24gdGh5cm9pZCBhdXRv
aW1tdW5pdHkgYW5kIHRoeXJvaWQgZnVuY3Rpb24gaW4gVUsgcHJlZ25hbnQgd29tZW4gd2l0aCBt
aWxkLXRvLW1vZGVyYXRlIGlvZGluZSBkZWZpY2llbmN5PC90aXRsZT48c2Vjb25kYXJ5LXRpdGxl
PkV1ciBKIE51dHI8L3NlY29uZGFyeS10aXRsZT48L3RpdGxlcz48cGVyaW9kaWNhbD48ZnVsbC10
aXRsZT5FdXIgSiBOdXRyPC9mdWxsLXRpdGxlPjwvcGVyaW9kaWNhbD48cGFnZXM+NTUtNjE8L3Bh
Z2VzPjx2b2x1bWU+NTU8L3ZvbHVtZT48bnVtYmVyPjE8L251bWJlcj48ZWRpdGlvbj4yMDE0LzEy
LzIwPC9lZGl0aW9uPjxrZXl3b3Jkcz48a2V5d29yZD5BdXRvYW50aWJvZGllcy9ibG9vZDwva2V5
d29yZD48a2V5d29yZD5Cb2R5IE1hc3MgSW5kZXg8L2tleXdvcmQ+PGtleXdvcmQ+RGlldGFyeSBT
dXBwbGVtZW50czwva2V5d29yZD48a2V5d29yZD5Eb3NlLVJlc3BvbnNlIFJlbGF0aW9uc2hpcCwg
RHJ1Zzwva2V5d29yZD48a2V5d29yZD5Eb3VibGUtQmxpbmQgTWV0aG9kPC9rZXl3b3JkPjxrZXl3
b3JkPkZlbWFsZTwva2V5d29yZD48a2V5d29yZD5IdW1hbnM8L2tleXdvcmQ+PGtleXdvcmQ+SW9k
aW5lLypibG9vZC9kZWZpY2llbmN5PC9rZXl3b3JkPjxrZXl3b3JkPlByZWduYW5jeTwva2V5d29y
ZD48a2V5d29yZD5TZWxlbml1bS8qYWRtaW5pc3RyYXRpb24gJmFtcDsgZG9zYWdlL2Jsb29kPC9r
ZXl3b3JkPjxrZXl3b3JkPlRoeXJvaWQgR2xhbmQvKmRydWcgZWZmZWN0cy8qaW1tdW5vbG9neTwv
a2V5d29yZD48a2V5d29yZD5UaHlyb3Ryb3Bpbi9ibG9vZDwva2V5d29yZD48a2V5d29yZD5UaHly
b3hpbmUvYmxvb2Q8L2tleXdvcmQ+PGtleXdvcmQ+VW5pdGVkIEtpbmdkb208L2tleXdvcmQ+PGtl
eXdvcmQ+SW9kaW5lPC9rZXl3b3JkPjxrZXl3b3JkPlNlbGVuaXVtPC9rZXl3b3JkPjxrZXl3b3Jk
PlRoeXJvaWQgYXV0b2ltbXVuaXR5PC9rZXl3b3JkPjxrZXl3b3JkPlRoeXJvaWQgZnVuY3Rpb248
L2tleXdvcmQ+PGtleXdvcmQ+VGh5cm9pZCBwZXJveGlkYXNlIGFudGlib2RpZXM8L2tleXdvcmQ+
PC9rZXl3b3Jkcz48ZGF0ZXM+PHllYXI+MjAxNjwveWVhcj48cHViLWRhdGVzPjxkYXRlPkZlYjwv
ZGF0ZT48L3B1Yi1kYXRlcz48L2RhdGVzPjxpc2JuPjE0MzYtNjIxNSAoRWxlY3Ryb25pYykmI3hE
OzE0MzYtNjIwNyAoTGlua2luZyk8L2lzYm4+PGFjY2Vzc2lvbi1udW0+MjU1MjQzMjc8L2FjY2Vz
c2lvbi1udW0+PHVybHM+PHJlbGF0ZWQtdXJscz48dXJsPmh0dHBzOi8vd3d3Lm5jYmkubmxtLm5p
aC5nb3YvcHVibWVkLzI1NTI0MzI3PC91cmw+PC9yZWxhdGVkLXVybHM+PC91cmxzPjxjdXN0b20y
PlBNQzQ3Mzc3ODY8L2N1c3RvbTI+PGVsZWN0cm9uaWMtcmVzb3VyY2UtbnVtPjEwLjEwMDcvczAw
Mzk0LTAxNC0wODIyLTk8L2VsZWN0cm9uaWMtcmVzb3VyY2UtbnVtPjwvcmVjb3JkPjwvQ2l0ZT48
L0VuZE5vdGU+AG==
</w:fldData>
              </w:fldChar>
            </w:r>
            <w:r w:rsidR="002747EA">
              <w:instrText xml:space="preserve"> ADDIN EN.CITE.DATA </w:instrText>
            </w:r>
            <w:r w:rsidR="002747EA">
              <w:fldChar w:fldCharType="end"/>
            </w:r>
            <w:r w:rsidR="003523C5">
              <w:fldChar w:fldCharType="separate"/>
            </w:r>
            <w:r w:rsidR="002747EA" w:rsidRPr="002747EA">
              <w:rPr>
                <w:noProof/>
                <w:vertAlign w:val="superscript"/>
              </w:rPr>
              <w:t>221-223</w:t>
            </w:r>
            <w:r w:rsidR="003523C5">
              <w:fldChar w:fldCharType="end"/>
            </w:r>
          </w:p>
          <w:p w14:paraId="0CF3C8D2" w14:textId="5FF6BEB0" w:rsidR="00DE2A9C" w:rsidRPr="00D150D8" w:rsidRDefault="00DE2A9C" w:rsidP="003523C5">
            <w:pPr>
              <w:keepNext/>
            </w:pPr>
            <w:r>
              <w:t>United Kingdom</w:t>
            </w:r>
          </w:p>
        </w:tc>
        <w:tc>
          <w:tcPr>
            <w:tcW w:w="1528" w:type="dxa"/>
          </w:tcPr>
          <w:p w14:paraId="219AC462" w14:textId="77777777" w:rsidR="00451945" w:rsidRDefault="004B3A90" w:rsidP="00D150D8">
            <w:pPr>
              <w:keepNext/>
            </w:pPr>
            <w:r>
              <w:t>Intervention 105</w:t>
            </w:r>
          </w:p>
          <w:p w14:paraId="7F6BE73E" w14:textId="6B282FAB" w:rsidR="004B3A90" w:rsidRPr="00D150D8" w:rsidRDefault="004B3A90" w:rsidP="00D150D8">
            <w:pPr>
              <w:keepNext/>
            </w:pPr>
            <w:r>
              <w:t>Control 109</w:t>
            </w:r>
          </w:p>
        </w:tc>
        <w:tc>
          <w:tcPr>
            <w:tcW w:w="4680" w:type="dxa"/>
          </w:tcPr>
          <w:p w14:paraId="1F15DD7F" w14:textId="038C4C0B" w:rsidR="00451945" w:rsidRDefault="001C2AF7" w:rsidP="00D150D8">
            <w:pPr>
              <w:keepNext/>
            </w:pPr>
            <w:r w:rsidRPr="004B3A90">
              <w:rPr>
                <w:b/>
              </w:rPr>
              <w:t>Aim</w:t>
            </w:r>
            <w:r>
              <w:t>:</w:t>
            </w:r>
            <w:r w:rsidR="00BF2E1B">
              <w:t xml:space="preserve"> To </w:t>
            </w:r>
            <w:r w:rsidR="004B3A90">
              <w:t>evaluate the role of selenium supplementation in reducing risk of pre-eclampsia.</w:t>
            </w:r>
          </w:p>
          <w:p w14:paraId="263DA319" w14:textId="24F500F7" w:rsidR="00055933" w:rsidRPr="00055933" w:rsidRDefault="001C2AF7" w:rsidP="00055933">
            <w:pPr>
              <w:rPr>
                <w:sz w:val="14"/>
                <w:szCs w:val="14"/>
              </w:rPr>
            </w:pPr>
            <w:r w:rsidRPr="00055933">
              <w:rPr>
                <w:b/>
              </w:rPr>
              <w:t>Population</w:t>
            </w:r>
            <w:r>
              <w:t>:</w:t>
            </w:r>
            <w:r w:rsidR="00055933">
              <w:t xml:space="preserve"> Women with a </w:t>
            </w:r>
            <w:r w:rsidR="00055933" w:rsidRPr="00055933">
              <w:t xml:space="preserve">first pregnancy </w:t>
            </w:r>
            <w:r w:rsidR="00055933">
              <w:t>at</w:t>
            </w:r>
            <w:r w:rsidR="00055933" w:rsidRPr="00055933">
              <w:t xml:space="preserve"> 12–14</w:t>
            </w:r>
            <w:r w:rsidR="00055933">
              <w:t xml:space="preserve"> </w:t>
            </w:r>
            <w:r w:rsidR="00055933" w:rsidRPr="00055933">
              <w:t>weeks.</w:t>
            </w:r>
          </w:p>
          <w:p w14:paraId="6993363F" w14:textId="068F3C45" w:rsidR="001C2AF7" w:rsidRPr="00D150D8" w:rsidRDefault="001C2AF7" w:rsidP="00A44F5D">
            <w:r w:rsidRPr="00055933">
              <w:rPr>
                <w:b/>
              </w:rPr>
              <w:t>Intervention</w:t>
            </w:r>
            <w:r>
              <w:t>:</w:t>
            </w:r>
            <w:r w:rsidR="00055933">
              <w:t xml:space="preserve"> </w:t>
            </w:r>
            <w:r w:rsidR="00055933" w:rsidRPr="00055933">
              <w:t xml:space="preserve">60 </w:t>
            </w:r>
            <w:r w:rsidR="00055933" w:rsidRPr="000D0F0D">
              <w:t>μg</w:t>
            </w:r>
            <w:r w:rsidR="00055933">
              <w:t xml:space="preserve"> </w:t>
            </w:r>
            <w:r w:rsidR="00055933" w:rsidRPr="00055933">
              <w:t>d</w:t>
            </w:r>
            <w:r w:rsidR="00055933">
              <w:t>aily</w:t>
            </w:r>
            <w:r w:rsidR="00055933" w:rsidRPr="00055933">
              <w:t xml:space="preserve"> of </w:t>
            </w:r>
            <w:r w:rsidR="00055933">
              <w:t>selenium</w:t>
            </w:r>
            <w:r w:rsidR="00055933" w:rsidRPr="00055933">
              <w:t xml:space="preserve"> as </w:t>
            </w:r>
            <w:r w:rsidR="00055933">
              <w:t>selenium</w:t>
            </w:r>
            <w:r w:rsidR="00055933" w:rsidRPr="00055933">
              <w:t>-enriched yeast</w:t>
            </w:r>
          </w:p>
        </w:tc>
        <w:tc>
          <w:tcPr>
            <w:tcW w:w="4536" w:type="dxa"/>
          </w:tcPr>
          <w:p w14:paraId="75AED126" w14:textId="77777777" w:rsidR="00451945" w:rsidRDefault="00A44F5D" w:rsidP="001C2AF7">
            <w:r>
              <w:t>Intervention vs control:</w:t>
            </w:r>
          </w:p>
          <w:p w14:paraId="44EE8CED" w14:textId="7731BCB7" w:rsidR="00A44F5D" w:rsidRPr="00A44F5D" w:rsidRDefault="00A44F5D" w:rsidP="00A44F5D">
            <w:pPr>
              <w:pStyle w:val="bullet"/>
            </w:pPr>
            <w:r w:rsidRPr="00A44F5D">
              <w:t xml:space="preserve">sFlt-1: RR 0·95 </w:t>
            </w:r>
            <w:r>
              <w:t>(0·80 to</w:t>
            </w:r>
            <w:r w:rsidRPr="00A44F5D">
              <w:t xml:space="preserve"> 1·12</w:t>
            </w:r>
            <w:r>
              <w:t>)</w:t>
            </w:r>
          </w:p>
          <w:p w14:paraId="21A24FA1" w14:textId="4DA0CEBC" w:rsidR="00A44F5D" w:rsidRPr="00A44F5D" w:rsidRDefault="00A44F5D" w:rsidP="00A44F5D">
            <w:pPr>
              <w:pStyle w:val="bullet"/>
            </w:pPr>
            <w:r w:rsidRPr="00A44F5D">
              <w:t xml:space="preserve">PlGF: </w:t>
            </w:r>
            <w:r>
              <w:t xml:space="preserve">RR </w:t>
            </w:r>
            <w:r w:rsidRPr="00A44F5D">
              <w:t xml:space="preserve">0·97 </w:t>
            </w:r>
            <w:r>
              <w:t>(0·78 to</w:t>
            </w:r>
            <w:r w:rsidRPr="00A44F5D">
              <w:t xml:space="preserve"> 1·21</w:t>
            </w:r>
            <w:r>
              <w:t>)</w:t>
            </w:r>
          </w:p>
          <w:p w14:paraId="328FCB9F" w14:textId="77777777" w:rsidR="00A44F5D" w:rsidRDefault="00A44F5D" w:rsidP="00A44F5D">
            <w:pPr>
              <w:pStyle w:val="bullet"/>
            </w:pPr>
            <w:r w:rsidRPr="00A44F5D">
              <w:t xml:space="preserve">sFlt-1:PlGF: </w:t>
            </w:r>
            <w:r>
              <w:t xml:space="preserve">RR </w:t>
            </w:r>
            <w:r w:rsidRPr="00A44F5D">
              <w:t xml:space="preserve">0·97 </w:t>
            </w:r>
            <w:r>
              <w:t>(0·70 to</w:t>
            </w:r>
            <w:r w:rsidRPr="00A44F5D">
              <w:t xml:space="preserve"> 1·36</w:t>
            </w:r>
            <w:r>
              <w:t>)</w:t>
            </w:r>
          </w:p>
          <w:p w14:paraId="3363D282" w14:textId="3BEA5F28" w:rsidR="00672032" w:rsidRPr="00672032" w:rsidRDefault="00672032" w:rsidP="00672032">
            <w:pPr>
              <w:pStyle w:val="bullet"/>
            </w:pPr>
            <w:r>
              <w:t xml:space="preserve">subclinical hypothyroidism: 16/106 vs 13/109 — </w:t>
            </w:r>
            <w:r w:rsidRPr="00672032">
              <w:t xml:space="preserve">RR </w:t>
            </w:r>
            <w:r>
              <w:rPr>
                <w:lang w:val="en-AU"/>
              </w:rPr>
              <w:t>1.37 (0.68 to 2.76)</w:t>
            </w:r>
          </w:p>
          <w:p w14:paraId="4F95117C" w14:textId="66BC4E0A" w:rsidR="00AB2A48" w:rsidRPr="006A3838" w:rsidRDefault="006A3838" w:rsidP="009C7C61">
            <w:pPr>
              <w:pStyle w:val="bullet"/>
            </w:pPr>
            <w:r>
              <w:t xml:space="preserve">Insulin resistance: </w:t>
            </w:r>
            <w:r w:rsidRPr="006A3838">
              <w:t>no adverse effect on the concentration of</w:t>
            </w:r>
            <w:r>
              <w:t xml:space="preserve"> </w:t>
            </w:r>
            <w:r w:rsidRPr="006A3838">
              <w:t xml:space="preserve">adiponectin, a biomarker of insulin resistance, in pregnant women of modest </w:t>
            </w:r>
            <w:r w:rsidR="009C7C61">
              <w:t>selenium</w:t>
            </w:r>
            <w:r w:rsidRPr="006A3838">
              <w:t xml:space="preserve"> status</w:t>
            </w:r>
            <w:r w:rsidR="009C7C61">
              <w:t>.</w:t>
            </w:r>
          </w:p>
        </w:tc>
        <w:tc>
          <w:tcPr>
            <w:tcW w:w="1843" w:type="dxa"/>
          </w:tcPr>
          <w:p w14:paraId="24CCB2E4" w14:textId="22E9259E" w:rsidR="00451945" w:rsidRPr="00BF2E1B" w:rsidRDefault="00BF2E1B" w:rsidP="00A44F5D">
            <w:r w:rsidRPr="00BF2E1B">
              <w:t>The</w:t>
            </w:r>
            <w:r>
              <w:t xml:space="preserve"> authors note that the</w:t>
            </w:r>
            <w:r w:rsidRPr="00BF2E1B">
              <w:t xml:space="preserve"> </w:t>
            </w:r>
            <w:r>
              <w:t>finding that selenium</w:t>
            </w:r>
            <w:r w:rsidRPr="00BF2E1B">
              <w:t xml:space="preserve"> supplementation has the potential to reduce the risk of pre-eclampsia needs to be validated in an adequately powered trial.</w:t>
            </w:r>
          </w:p>
        </w:tc>
      </w:tr>
    </w:tbl>
    <w:p w14:paraId="65D5FDF0" w14:textId="77777777" w:rsidR="00D77EAD" w:rsidRPr="00D77EAD" w:rsidRDefault="00D77EAD" w:rsidP="00D77EAD"/>
    <w:p w14:paraId="2E6D6805" w14:textId="77777777" w:rsidR="00D77EAD" w:rsidRDefault="00D77EAD" w:rsidP="00F43F44">
      <w:pPr>
        <w:pStyle w:val="Heading2"/>
        <w:rPr>
          <w:b/>
        </w:rPr>
        <w:sectPr w:rsidR="00D77EAD" w:rsidSect="00D77EAD">
          <w:pgSz w:w="16820" w:h="11900" w:orient="landscape"/>
          <w:pgMar w:top="1418" w:right="1134" w:bottom="1418" w:left="1134" w:header="709" w:footer="709" w:gutter="0"/>
          <w:cols w:space="708"/>
          <w:docGrid w:linePitch="360"/>
        </w:sectPr>
      </w:pPr>
    </w:p>
    <w:p w14:paraId="37F573C8" w14:textId="1F58D844" w:rsidR="00F43F44" w:rsidRDefault="00F43F44" w:rsidP="00F43F44">
      <w:pPr>
        <w:pStyle w:val="Heading2"/>
      </w:pPr>
      <w:bookmarkStart w:id="102" w:name="_Toc40956502"/>
      <w:r w:rsidRPr="00F43F44">
        <w:rPr>
          <w:b/>
        </w:rPr>
        <w:t>Q4</w:t>
      </w:r>
      <w:r>
        <w:t xml:space="preserve">: </w:t>
      </w:r>
      <w:r w:rsidRPr="00F16C5B">
        <w:t xml:space="preserve">What are the </w:t>
      </w:r>
      <w:r>
        <w:t>harms and benefits</w:t>
      </w:r>
      <w:r w:rsidRPr="00F16C5B">
        <w:t xml:space="preserve"> of </w:t>
      </w:r>
      <w:r>
        <w:t xml:space="preserve">nutritionally based </w:t>
      </w:r>
      <w:r w:rsidRPr="00F16C5B">
        <w:t>complem</w:t>
      </w:r>
      <w:r>
        <w:t>entary medicines in pregnancy?</w:t>
      </w:r>
      <w:bookmarkEnd w:id="102"/>
    </w:p>
    <w:p w14:paraId="718355DD" w14:textId="383AB074" w:rsidR="00301F21" w:rsidRDefault="00201307" w:rsidP="002170A1">
      <w:pPr>
        <w:pStyle w:val="Heading3"/>
      </w:pPr>
      <w:bookmarkStart w:id="103" w:name="_Toc40956503"/>
      <w:r>
        <w:t>Omega-3 fatty acids</w:t>
      </w:r>
      <w:bookmarkEnd w:id="103"/>
    </w:p>
    <w:p w14:paraId="67655ED2" w14:textId="77777777" w:rsidR="00102216" w:rsidRDefault="00102216" w:rsidP="00102216">
      <w:pPr>
        <w:pStyle w:val="Heading4"/>
      </w:pPr>
      <w:r>
        <w:t>Background</w:t>
      </w:r>
    </w:p>
    <w:p w14:paraId="4F83F06E" w14:textId="36F386D1" w:rsidR="004C299A" w:rsidRDefault="004C299A" w:rsidP="008A6B17">
      <w:r w:rsidRPr="00401D96">
        <w:t>Higher intakes of foods containing omega-3 long-chain polyunsaturated fatty acids (LCPUFA), such as fish, during pregnancy have been associated with longer gestations and improved perinatal outcomes.</w:t>
      </w:r>
    </w:p>
    <w:p w14:paraId="7EB3A137" w14:textId="4C3CB1BE" w:rsidR="00102216" w:rsidRDefault="00102216" w:rsidP="008A6B17">
      <w:r>
        <w:t>The guidelines do not currently include information on omega-3 fatty acids.</w:t>
      </w:r>
    </w:p>
    <w:p w14:paraId="3787C250" w14:textId="32338CF7" w:rsidR="00102216" w:rsidRDefault="00102216" w:rsidP="00102216">
      <w:pPr>
        <w:pStyle w:val="Heading4"/>
      </w:pPr>
      <w:r>
        <w:t>Current review</w:t>
      </w:r>
    </w:p>
    <w:p w14:paraId="67104CC9" w14:textId="58D712BC" w:rsidR="008A6B17" w:rsidRPr="00401D96" w:rsidRDefault="004C299A" w:rsidP="008A6B17">
      <w:r w:rsidRPr="00BD61D3">
        <w:t xml:space="preserve">As a </w:t>
      </w:r>
      <w:r w:rsidR="00D2012E">
        <w:t xml:space="preserve">recent </w:t>
      </w:r>
      <w:r w:rsidRPr="00BD61D3">
        <w:t xml:space="preserve">Cochrane review on </w:t>
      </w:r>
      <w:r>
        <w:t>omega-3 fatty acids</w:t>
      </w:r>
      <w:r w:rsidRPr="00BD61D3">
        <w:t xml:space="preserve"> for improving birth outcomes for women at or beyond term has recently been published, it was agreed that the </w:t>
      </w:r>
      <w:r w:rsidR="00D2012E">
        <w:t xml:space="preserve">findings from the </w:t>
      </w:r>
      <w:r w:rsidRPr="00BD61D3">
        <w:t xml:space="preserve">review be used </w:t>
      </w:r>
      <w:r w:rsidR="00D2012E">
        <w:t xml:space="preserve">to inform this </w:t>
      </w:r>
      <w:r w:rsidR="005056D2">
        <w:t>review</w:t>
      </w:r>
      <w:r w:rsidR="00D2012E">
        <w:t xml:space="preserve"> rather than new searches being conducted</w:t>
      </w:r>
      <w:r w:rsidR="008A6B17" w:rsidRPr="00401D96">
        <w:t>.</w:t>
      </w:r>
    </w:p>
    <w:p w14:paraId="12C8F081" w14:textId="3593AF6A" w:rsidR="008A6B17" w:rsidRDefault="004C299A" w:rsidP="008A6B17">
      <w:r>
        <w:t>The update</w:t>
      </w:r>
      <w:r w:rsidR="00D2012E">
        <w:t>d review</w:t>
      </w:r>
      <w:r w:rsidR="008A6B17" w:rsidRPr="00401D96">
        <w:t xml:space="preserve"> included 70 RCTs (involving 19,927 women at low, mixed or high risk of poor pregnancy outcomes) which compared omega-3 LCPUFA interventions (supplements and food) compared with placebo or no omega-3. Overall study-level risk of bias was mixed, with selection and performance bias mostly at low risk, but there was high risk of attrition bias in some trials. Most trials were conducted in upper-middle or high-income countries; and nearly half the trials included women at increased/high risk for factors which might increase the risk of adverse maternal and birth outcomes.</w:t>
      </w:r>
    </w:p>
    <w:p w14:paraId="6364EACC" w14:textId="40346084" w:rsidR="008A6B17" w:rsidRPr="00401D96" w:rsidRDefault="00D2012E" w:rsidP="00D2012E">
      <w:r>
        <w:t xml:space="preserve">The review found lower rates of </w:t>
      </w:r>
      <w:r>
        <w:rPr>
          <w:b/>
        </w:rPr>
        <w:t>p</w:t>
      </w:r>
      <w:r>
        <w:t>reterm birth &lt;</w:t>
      </w:r>
      <w:r w:rsidR="008A6B17" w:rsidRPr="00401D96">
        <w:t>37 weeks (</w:t>
      </w:r>
      <w:r w:rsidR="008A6B17" w:rsidRPr="004C299A">
        <w:rPr>
          <w:sz w:val="16"/>
          <w:szCs w:val="16"/>
        </w:rPr>
        <w:t xml:space="preserve">13.4% versus 11.9%; </w:t>
      </w:r>
      <w:r w:rsidR="004C299A" w:rsidRPr="004C299A">
        <w:rPr>
          <w:sz w:val="16"/>
          <w:szCs w:val="16"/>
        </w:rPr>
        <w:t>RR</w:t>
      </w:r>
      <w:r w:rsidR="008A6B17" w:rsidRPr="004C299A">
        <w:rPr>
          <w:sz w:val="16"/>
          <w:szCs w:val="16"/>
        </w:rPr>
        <w:t xml:space="preserve"> 0.89, 95%</w:t>
      </w:r>
      <w:r w:rsidR="004C299A" w:rsidRPr="004C299A">
        <w:rPr>
          <w:sz w:val="16"/>
          <w:szCs w:val="16"/>
        </w:rPr>
        <w:t>CI</w:t>
      </w:r>
      <w:r w:rsidR="008A6B17" w:rsidRPr="004C299A">
        <w:rPr>
          <w:sz w:val="16"/>
          <w:szCs w:val="16"/>
        </w:rPr>
        <w:t xml:space="preserve"> 0.81 to 0.97; 26 RCTs, </w:t>
      </w:r>
      <w:r w:rsidR="004C299A" w:rsidRPr="004C299A">
        <w:rPr>
          <w:sz w:val="16"/>
          <w:szCs w:val="16"/>
        </w:rPr>
        <w:t>n=</w:t>
      </w:r>
      <w:r w:rsidR="008A6B17" w:rsidRPr="004C299A">
        <w:rPr>
          <w:sz w:val="16"/>
          <w:szCs w:val="16"/>
        </w:rPr>
        <w:t>10,304; high-</w:t>
      </w:r>
      <w:r w:rsidR="00FB2A6C">
        <w:rPr>
          <w:sz w:val="16"/>
          <w:szCs w:val="16"/>
        </w:rPr>
        <w:t>certainty</w:t>
      </w:r>
      <w:r w:rsidR="00F10B5A">
        <w:t>) and early preterm birth &lt;</w:t>
      </w:r>
      <w:r w:rsidR="008A6B17" w:rsidRPr="00401D96">
        <w:t>34 weeks (</w:t>
      </w:r>
      <w:r w:rsidR="008A6B17" w:rsidRPr="004C299A">
        <w:rPr>
          <w:sz w:val="16"/>
          <w:szCs w:val="16"/>
        </w:rPr>
        <w:t xml:space="preserve">4.6% </w:t>
      </w:r>
      <w:r w:rsidR="004C299A" w:rsidRPr="004C299A">
        <w:rPr>
          <w:sz w:val="16"/>
          <w:szCs w:val="16"/>
        </w:rPr>
        <w:t>v</w:t>
      </w:r>
      <w:r w:rsidR="008A6B17" w:rsidRPr="004C299A">
        <w:rPr>
          <w:sz w:val="16"/>
          <w:szCs w:val="16"/>
        </w:rPr>
        <w:t xml:space="preserve">s 2.7%; RR 0.58, 95%CI 0.44 to 0.77; 9 RCTs, </w:t>
      </w:r>
      <w:r w:rsidR="004C299A" w:rsidRPr="004C299A">
        <w:rPr>
          <w:sz w:val="16"/>
          <w:szCs w:val="16"/>
        </w:rPr>
        <w:t>n=</w:t>
      </w:r>
      <w:r w:rsidR="008A6B17" w:rsidRPr="004C299A">
        <w:rPr>
          <w:sz w:val="16"/>
          <w:szCs w:val="16"/>
        </w:rPr>
        <w:t>5</w:t>
      </w:r>
      <w:r w:rsidR="004C299A" w:rsidRPr="004C299A">
        <w:rPr>
          <w:sz w:val="16"/>
          <w:szCs w:val="16"/>
        </w:rPr>
        <w:t>,</w:t>
      </w:r>
      <w:r w:rsidR="008A6B17" w:rsidRPr="004C299A">
        <w:rPr>
          <w:sz w:val="16"/>
          <w:szCs w:val="16"/>
        </w:rPr>
        <w:t>204; high-</w:t>
      </w:r>
      <w:r w:rsidR="00FB2A6C">
        <w:rPr>
          <w:sz w:val="16"/>
          <w:szCs w:val="16"/>
        </w:rPr>
        <w:t>certainty</w:t>
      </w:r>
      <w:r w:rsidR="008A6B17" w:rsidRPr="00401D96">
        <w:t xml:space="preserve">) </w:t>
      </w:r>
      <w:r>
        <w:t xml:space="preserve">among </w:t>
      </w:r>
      <w:r w:rsidR="008A6B17" w:rsidRPr="00401D96">
        <w:t xml:space="preserve">women who received omega-3 LCPUFA compared with no omega-3. Prolonged </w:t>
      </w:r>
      <w:r w:rsidR="00F10B5A">
        <w:t>pregnancy</w:t>
      </w:r>
      <w:r w:rsidR="008A6B17" w:rsidRPr="00401D96">
        <w:t xml:space="preserve"> &gt;42 weeks was probably increased from 1.6% to 2.6% in women who received omega-3 LCPUFA compared with no omega-3 (</w:t>
      </w:r>
      <w:r w:rsidR="008A6B17" w:rsidRPr="004C299A">
        <w:rPr>
          <w:sz w:val="16"/>
          <w:szCs w:val="16"/>
        </w:rPr>
        <w:t xml:space="preserve">RR 1.61 95%CI 1.11 to 2.33; </w:t>
      </w:r>
      <w:r w:rsidR="004C299A" w:rsidRPr="004C299A">
        <w:rPr>
          <w:sz w:val="16"/>
          <w:szCs w:val="16"/>
        </w:rPr>
        <w:t>n=</w:t>
      </w:r>
      <w:r w:rsidR="008A6B17" w:rsidRPr="004C299A">
        <w:rPr>
          <w:sz w:val="16"/>
          <w:szCs w:val="16"/>
        </w:rPr>
        <w:t>5</w:t>
      </w:r>
      <w:r w:rsidR="004C299A" w:rsidRPr="004C299A">
        <w:rPr>
          <w:sz w:val="16"/>
          <w:szCs w:val="16"/>
        </w:rPr>
        <w:t>,</w:t>
      </w:r>
      <w:r w:rsidR="008A6B17" w:rsidRPr="004C299A">
        <w:rPr>
          <w:sz w:val="16"/>
          <w:szCs w:val="16"/>
        </w:rPr>
        <w:t>141; 6 RCTs; moderate-</w:t>
      </w:r>
      <w:r w:rsidR="00FB2A6C">
        <w:rPr>
          <w:sz w:val="16"/>
          <w:szCs w:val="16"/>
        </w:rPr>
        <w:t>certainty</w:t>
      </w:r>
      <w:r w:rsidR="008A6B17" w:rsidRPr="004C299A">
        <w:rPr>
          <w:sz w:val="16"/>
          <w:szCs w:val="16"/>
        </w:rPr>
        <w:t xml:space="preserve"> evidence</w:t>
      </w:r>
      <w:r w:rsidR="008A6B17" w:rsidRPr="00401D96">
        <w:t>).</w:t>
      </w:r>
    </w:p>
    <w:p w14:paraId="180982D5" w14:textId="757FD3E1" w:rsidR="00D2012E" w:rsidRDefault="008A6B17" w:rsidP="008A6B17">
      <w:r w:rsidRPr="00401D96">
        <w:t>F</w:t>
      </w:r>
      <w:r w:rsidR="00D2012E">
        <w:t>or infant outcomes, there was:</w:t>
      </w:r>
    </w:p>
    <w:p w14:paraId="4E088B7A" w14:textId="7FD75257" w:rsidR="00D2012E" w:rsidRDefault="008A6B17" w:rsidP="00D2012E">
      <w:pPr>
        <w:pStyle w:val="bullet"/>
      </w:pPr>
      <w:r w:rsidRPr="00401D96">
        <w:t>a possibly reduced risk of perinatal death (</w:t>
      </w:r>
      <w:r w:rsidRPr="00D2012E">
        <w:rPr>
          <w:sz w:val="16"/>
          <w:szCs w:val="16"/>
        </w:rPr>
        <w:t xml:space="preserve">RR 0.75, 95%CI 0.54 to 1.03; 10 RCTs, </w:t>
      </w:r>
      <w:r w:rsidR="004C299A" w:rsidRPr="00D2012E">
        <w:rPr>
          <w:sz w:val="16"/>
          <w:szCs w:val="16"/>
        </w:rPr>
        <w:t>n=</w:t>
      </w:r>
      <w:r w:rsidRPr="00D2012E">
        <w:rPr>
          <w:sz w:val="16"/>
          <w:szCs w:val="16"/>
        </w:rPr>
        <w:t>7</w:t>
      </w:r>
      <w:r w:rsidR="004C299A" w:rsidRPr="00D2012E">
        <w:rPr>
          <w:sz w:val="16"/>
          <w:szCs w:val="16"/>
        </w:rPr>
        <w:t>,</w:t>
      </w:r>
      <w:r w:rsidRPr="00D2012E">
        <w:rPr>
          <w:sz w:val="16"/>
          <w:szCs w:val="16"/>
        </w:rPr>
        <w:t xml:space="preserve">416; </w:t>
      </w:r>
      <w:r w:rsidR="004C299A" w:rsidRPr="00D2012E">
        <w:rPr>
          <w:sz w:val="16"/>
          <w:szCs w:val="16"/>
        </w:rPr>
        <w:t>moderate-</w:t>
      </w:r>
      <w:r w:rsidR="00FB2A6C">
        <w:rPr>
          <w:sz w:val="16"/>
          <w:szCs w:val="16"/>
        </w:rPr>
        <w:t>certainty</w:t>
      </w:r>
      <w:r w:rsidRPr="00401D96">
        <w:t xml:space="preserve">) </w:t>
      </w:r>
    </w:p>
    <w:p w14:paraId="1D0BAA31" w14:textId="55C4670D" w:rsidR="00D2012E" w:rsidRDefault="008A6B17" w:rsidP="00D2012E">
      <w:pPr>
        <w:pStyle w:val="bullet"/>
      </w:pPr>
      <w:r w:rsidRPr="00401D96">
        <w:t>possibly fewer neonatal care admissions (</w:t>
      </w:r>
      <w:r w:rsidRPr="00D2012E">
        <w:rPr>
          <w:sz w:val="16"/>
          <w:szCs w:val="16"/>
        </w:rPr>
        <w:t xml:space="preserve">RR 0.92, 95%CI 0.83 to 1.03; 9 RCTs, </w:t>
      </w:r>
      <w:r w:rsidR="004C299A" w:rsidRPr="00D2012E">
        <w:rPr>
          <w:sz w:val="16"/>
          <w:szCs w:val="16"/>
        </w:rPr>
        <w:t>n=</w:t>
      </w:r>
      <w:r w:rsidRPr="00D2012E">
        <w:rPr>
          <w:sz w:val="16"/>
          <w:szCs w:val="16"/>
        </w:rPr>
        <w:t>6</w:t>
      </w:r>
      <w:r w:rsidR="004C299A" w:rsidRPr="00D2012E">
        <w:rPr>
          <w:sz w:val="16"/>
          <w:szCs w:val="16"/>
        </w:rPr>
        <w:t>,</w:t>
      </w:r>
      <w:r w:rsidRPr="00D2012E">
        <w:rPr>
          <w:sz w:val="16"/>
          <w:szCs w:val="16"/>
        </w:rPr>
        <w:t>920; moderate-</w:t>
      </w:r>
      <w:r w:rsidR="00FB2A6C">
        <w:rPr>
          <w:sz w:val="16"/>
          <w:szCs w:val="16"/>
        </w:rPr>
        <w:t>certainty</w:t>
      </w:r>
      <w:r w:rsidRPr="00401D96">
        <w:t>)</w:t>
      </w:r>
    </w:p>
    <w:p w14:paraId="011A5B38" w14:textId="5593EF40" w:rsidR="00D2012E" w:rsidRDefault="008A6B17" w:rsidP="00D2012E">
      <w:pPr>
        <w:pStyle w:val="bullet"/>
      </w:pPr>
      <w:r w:rsidRPr="00401D96">
        <w:t>a reduced risk of low birthweight (</w:t>
      </w:r>
      <w:r w:rsidRPr="00D2012E">
        <w:rPr>
          <w:sz w:val="16"/>
          <w:szCs w:val="16"/>
        </w:rPr>
        <w:t xml:space="preserve">15.6% </w:t>
      </w:r>
      <w:r w:rsidR="004C299A" w:rsidRPr="00D2012E">
        <w:rPr>
          <w:sz w:val="16"/>
          <w:szCs w:val="16"/>
        </w:rPr>
        <w:t>v</w:t>
      </w:r>
      <w:r w:rsidRPr="00D2012E">
        <w:rPr>
          <w:sz w:val="16"/>
          <w:szCs w:val="16"/>
        </w:rPr>
        <w:t xml:space="preserve">s 14%; RR 0.90, 95%CI 0.82 to 0.99; 15 trials, </w:t>
      </w:r>
      <w:r w:rsidR="004C299A" w:rsidRPr="00D2012E">
        <w:rPr>
          <w:sz w:val="16"/>
          <w:szCs w:val="16"/>
        </w:rPr>
        <w:t>n=</w:t>
      </w:r>
      <w:r w:rsidRPr="00D2012E">
        <w:rPr>
          <w:sz w:val="16"/>
          <w:szCs w:val="16"/>
        </w:rPr>
        <w:t>8</w:t>
      </w:r>
      <w:r w:rsidR="004C299A" w:rsidRPr="00D2012E">
        <w:rPr>
          <w:sz w:val="16"/>
          <w:szCs w:val="16"/>
        </w:rPr>
        <w:t>,</w:t>
      </w:r>
      <w:r w:rsidRPr="00D2012E">
        <w:rPr>
          <w:sz w:val="16"/>
          <w:szCs w:val="16"/>
        </w:rPr>
        <w:t>449; high-</w:t>
      </w:r>
      <w:r w:rsidR="00FB2A6C">
        <w:rPr>
          <w:sz w:val="16"/>
          <w:szCs w:val="16"/>
        </w:rPr>
        <w:t>certainty</w:t>
      </w:r>
      <w:r w:rsidRPr="00401D96">
        <w:t>)</w:t>
      </w:r>
    </w:p>
    <w:p w14:paraId="414DF122" w14:textId="00187DB9" w:rsidR="00D2012E" w:rsidRDefault="008A6B17" w:rsidP="00D2012E">
      <w:pPr>
        <w:pStyle w:val="bullet"/>
      </w:pPr>
      <w:r w:rsidRPr="00401D96">
        <w:t>a possible small increase in large-for-gestational age babies (</w:t>
      </w:r>
      <w:r w:rsidRPr="00F10B5A">
        <w:rPr>
          <w:sz w:val="16"/>
          <w:szCs w:val="16"/>
        </w:rPr>
        <w:t>RR</w:t>
      </w:r>
      <w:r w:rsidR="004C299A" w:rsidRPr="00F10B5A">
        <w:rPr>
          <w:sz w:val="16"/>
          <w:szCs w:val="16"/>
        </w:rPr>
        <w:t> </w:t>
      </w:r>
      <w:r w:rsidRPr="00F10B5A">
        <w:rPr>
          <w:sz w:val="16"/>
          <w:szCs w:val="16"/>
        </w:rPr>
        <w:t xml:space="preserve">1.15, 95%CI 0.97 to 1.36; 6 RCTs, </w:t>
      </w:r>
      <w:r w:rsidR="004C299A" w:rsidRPr="00F10B5A">
        <w:rPr>
          <w:sz w:val="16"/>
          <w:szCs w:val="16"/>
        </w:rPr>
        <w:t>n=</w:t>
      </w:r>
      <w:r w:rsidRPr="00F10B5A">
        <w:rPr>
          <w:sz w:val="16"/>
          <w:szCs w:val="16"/>
        </w:rPr>
        <w:t>3</w:t>
      </w:r>
      <w:r w:rsidR="004C299A" w:rsidRPr="00F10B5A">
        <w:rPr>
          <w:sz w:val="16"/>
          <w:szCs w:val="16"/>
        </w:rPr>
        <w:t>,</w:t>
      </w:r>
      <w:r w:rsidRPr="00F10B5A">
        <w:rPr>
          <w:sz w:val="16"/>
          <w:szCs w:val="16"/>
        </w:rPr>
        <w:t>722; moderate-</w:t>
      </w:r>
      <w:r w:rsidR="00FB2A6C">
        <w:rPr>
          <w:sz w:val="16"/>
          <w:szCs w:val="16"/>
        </w:rPr>
        <w:t>certainty</w:t>
      </w:r>
      <w:r w:rsidR="004C299A">
        <w:t>)</w:t>
      </w:r>
      <w:r w:rsidRPr="00401D96">
        <w:t xml:space="preserve"> </w:t>
      </w:r>
    </w:p>
    <w:p w14:paraId="31907BF6" w14:textId="61BDBF21" w:rsidR="008A6B17" w:rsidRPr="00401D96" w:rsidRDefault="00D2012E" w:rsidP="00D2012E">
      <w:pPr>
        <w:pStyle w:val="bullet"/>
      </w:pPr>
      <w:r>
        <w:t>l</w:t>
      </w:r>
      <w:r w:rsidR="008A6B17" w:rsidRPr="00401D96">
        <w:t>ittle or no difference</w:t>
      </w:r>
      <w:r w:rsidR="008E03BA">
        <w:t xml:space="preserve"> </w:t>
      </w:r>
      <w:r w:rsidR="008A6B17" w:rsidRPr="00401D96">
        <w:t>in small-for-gestational age or intrauterine growth restriction (</w:t>
      </w:r>
      <w:r w:rsidR="008A6B17" w:rsidRPr="00D2012E">
        <w:rPr>
          <w:sz w:val="16"/>
          <w:szCs w:val="16"/>
        </w:rPr>
        <w:t>RR</w:t>
      </w:r>
      <w:r w:rsidR="008E03BA" w:rsidRPr="00D2012E">
        <w:rPr>
          <w:sz w:val="16"/>
          <w:szCs w:val="16"/>
        </w:rPr>
        <w:t> </w:t>
      </w:r>
      <w:r w:rsidR="008A6B17" w:rsidRPr="00D2012E">
        <w:rPr>
          <w:sz w:val="16"/>
          <w:szCs w:val="16"/>
        </w:rPr>
        <w:t xml:space="preserve">1.01, 95%CI 0.90 to 1.13; 8 RCTs, </w:t>
      </w:r>
      <w:r w:rsidR="008E03BA" w:rsidRPr="00D2012E">
        <w:rPr>
          <w:sz w:val="16"/>
          <w:szCs w:val="16"/>
        </w:rPr>
        <w:t>n=</w:t>
      </w:r>
      <w:r w:rsidR="008A6B17" w:rsidRPr="00D2012E">
        <w:rPr>
          <w:sz w:val="16"/>
          <w:szCs w:val="16"/>
        </w:rPr>
        <w:t>6907; moderate-</w:t>
      </w:r>
      <w:r w:rsidR="00FB2A6C">
        <w:rPr>
          <w:sz w:val="16"/>
          <w:szCs w:val="16"/>
        </w:rPr>
        <w:t>certainty</w:t>
      </w:r>
      <w:r w:rsidR="008A6B17" w:rsidRPr="00401D96">
        <w:t>).</w:t>
      </w:r>
    </w:p>
    <w:p w14:paraId="23241B9F" w14:textId="77777777" w:rsidR="00F10B5A" w:rsidRDefault="008A6B17" w:rsidP="008A6B17">
      <w:r w:rsidRPr="00401D96">
        <w:t>For the maternal outcomes, there is insufficient evidence to determine the effects of omega-3 on</w:t>
      </w:r>
      <w:r w:rsidR="00F10B5A">
        <w:t>:</w:t>
      </w:r>
      <w:r w:rsidRPr="00401D96">
        <w:t xml:space="preserve"> </w:t>
      </w:r>
    </w:p>
    <w:p w14:paraId="7FD5B059" w14:textId="69EB8AE0" w:rsidR="00F10B5A" w:rsidRDefault="008A6B17" w:rsidP="00F10B5A">
      <w:pPr>
        <w:pStyle w:val="bullet"/>
      </w:pPr>
      <w:r w:rsidRPr="00401D96">
        <w:t xml:space="preserve">induction </w:t>
      </w:r>
      <w:r w:rsidR="003D4065">
        <w:t>post-term (</w:t>
      </w:r>
      <w:r w:rsidR="003D4065" w:rsidRPr="00F10B5A">
        <w:rPr>
          <w:sz w:val="16"/>
          <w:szCs w:val="16"/>
        </w:rPr>
        <w:t>average RR 0.82, 95%</w:t>
      </w:r>
      <w:r w:rsidRPr="00F10B5A">
        <w:rPr>
          <w:sz w:val="16"/>
          <w:szCs w:val="16"/>
        </w:rPr>
        <w:t xml:space="preserve">CI 0.22 to 2.98; 3 </w:t>
      </w:r>
      <w:r w:rsidR="003D4065" w:rsidRPr="00F10B5A">
        <w:rPr>
          <w:sz w:val="16"/>
          <w:szCs w:val="16"/>
        </w:rPr>
        <w:t>RCTs</w:t>
      </w:r>
      <w:r w:rsidRPr="00F10B5A">
        <w:rPr>
          <w:sz w:val="16"/>
          <w:szCs w:val="16"/>
        </w:rPr>
        <w:t xml:space="preserve">, </w:t>
      </w:r>
      <w:r w:rsidR="003D4065" w:rsidRPr="00F10B5A">
        <w:rPr>
          <w:sz w:val="16"/>
          <w:szCs w:val="16"/>
        </w:rPr>
        <w:t>n=</w:t>
      </w:r>
      <w:r w:rsidRPr="00F10B5A">
        <w:rPr>
          <w:sz w:val="16"/>
          <w:szCs w:val="16"/>
        </w:rPr>
        <w:t>2</w:t>
      </w:r>
      <w:r w:rsidR="003D4065" w:rsidRPr="00F10B5A">
        <w:rPr>
          <w:sz w:val="16"/>
          <w:szCs w:val="16"/>
        </w:rPr>
        <w:t>,</w:t>
      </w:r>
      <w:r w:rsidRPr="00F10B5A">
        <w:rPr>
          <w:sz w:val="16"/>
          <w:szCs w:val="16"/>
        </w:rPr>
        <w:t>900; low-</w:t>
      </w:r>
      <w:r w:rsidR="00FB2A6C">
        <w:rPr>
          <w:sz w:val="16"/>
          <w:szCs w:val="16"/>
        </w:rPr>
        <w:t>certainty</w:t>
      </w:r>
      <w:r w:rsidR="00F10B5A">
        <w:t>)</w:t>
      </w:r>
    </w:p>
    <w:p w14:paraId="61CF0BA8" w14:textId="666E2894" w:rsidR="00F10B5A" w:rsidRDefault="008A6B17" w:rsidP="00F10B5A">
      <w:pPr>
        <w:pStyle w:val="bullet"/>
      </w:pPr>
      <w:r w:rsidRPr="00401D96">
        <w:t>maternal serio</w:t>
      </w:r>
      <w:r w:rsidR="003D4065">
        <w:t>us adverse events (</w:t>
      </w:r>
      <w:r w:rsidR="003D4065" w:rsidRPr="00F10B5A">
        <w:rPr>
          <w:sz w:val="16"/>
          <w:szCs w:val="16"/>
        </w:rPr>
        <w:t>RR 1.04, 95%</w:t>
      </w:r>
      <w:r w:rsidRPr="00F10B5A">
        <w:rPr>
          <w:sz w:val="16"/>
          <w:szCs w:val="16"/>
        </w:rPr>
        <w:t>CI</w:t>
      </w:r>
      <w:r w:rsidR="008E03BA" w:rsidRPr="00F10B5A">
        <w:rPr>
          <w:sz w:val="16"/>
          <w:szCs w:val="16"/>
        </w:rPr>
        <w:t xml:space="preserve"> </w:t>
      </w:r>
      <w:r w:rsidRPr="00F10B5A">
        <w:rPr>
          <w:sz w:val="16"/>
          <w:szCs w:val="16"/>
        </w:rPr>
        <w:t xml:space="preserve">0.40 to 2.72; 2 </w:t>
      </w:r>
      <w:r w:rsidR="003D4065" w:rsidRPr="00F10B5A">
        <w:rPr>
          <w:sz w:val="16"/>
          <w:szCs w:val="16"/>
        </w:rPr>
        <w:t>RCTs</w:t>
      </w:r>
      <w:r w:rsidRPr="00F10B5A">
        <w:rPr>
          <w:sz w:val="16"/>
          <w:szCs w:val="16"/>
        </w:rPr>
        <w:t xml:space="preserve">, </w:t>
      </w:r>
      <w:r w:rsidR="003D4065" w:rsidRPr="00F10B5A">
        <w:rPr>
          <w:sz w:val="16"/>
          <w:szCs w:val="16"/>
        </w:rPr>
        <w:t>n=</w:t>
      </w:r>
      <w:r w:rsidRPr="00F10B5A">
        <w:rPr>
          <w:sz w:val="16"/>
          <w:szCs w:val="16"/>
        </w:rPr>
        <w:t>2</w:t>
      </w:r>
      <w:r w:rsidR="003D4065" w:rsidRPr="00F10B5A">
        <w:rPr>
          <w:sz w:val="16"/>
          <w:szCs w:val="16"/>
        </w:rPr>
        <w:t>,</w:t>
      </w:r>
      <w:r w:rsidRPr="00F10B5A">
        <w:rPr>
          <w:sz w:val="16"/>
          <w:szCs w:val="16"/>
        </w:rPr>
        <w:t>690; low-</w:t>
      </w:r>
      <w:r w:rsidR="00FB2A6C">
        <w:rPr>
          <w:sz w:val="16"/>
          <w:szCs w:val="16"/>
        </w:rPr>
        <w:t>certainty</w:t>
      </w:r>
      <w:r w:rsidR="00F10B5A">
        <w:t>)</w:t>
      </w:r>
    </w:p>
    <w:p w14:paraId="7D170868" w14:textId="43ECA7F6" w:rsidR="00F10B5A" w:rsidRDefault="008A6B17" w:rsidP="00F10B5A">
      <w:pPr>
        <w:pStyle w:val="bullet"/>
      </w:pPr>
      <w:r w:rsidRPr="00401D96">
        <w:t>maternal admission to intensiv</w:t>
      </w:r>
      <w:r w:rsidR="003D4065">
        <w:t>e care (</w:t>
      </w:r>
      <w:r w:rsidR="003D4065" w:rsidRPr="00F10B5A">
        <w:rPr>
          <w:sz w:val="16"/>
          <w:szCs w:val="16"/>
        </w:rPr>
        <w:t>RR 0.56, 95%</w:t>
      </w:r>
      <w:r w:rsidRPr="00F10B5A">
        <w:rPr>
          <w:sz w:val="16"/>
          <w:szCs w:val="16"/>
        </w:rPr>
        <w:t xml:space="preserve">CI 0.12 to 2.63; 2 </w:t>
      </w:r>
      <w:r w:rsidR="003D4065" w:rsidRPr="00F10B5A">
        <w:rPr>
          <w:sz w:val="16"/>
          <w:szCs w:val="16"/>
        </w:rPr>
        <w:t>RCTs</w:t>
      </w:r>
      <w:r w:rsidRPr="00F10B5A">
        <w:rPr>
          <w:sz w:val="16"/>
          <w:szCs w:val="16"/>
        </w:rPr>
        <w:t xml:space="preserve">, </w:t>
      </w:r>
      <w:r w:rsidR="003D4065" w:rsidRPr="00F10B5A">
        <w:rPr>
          <w:sz w:val="16"/>
          <w:szCs w:val="16"/>
        </w:rPr>
        <w:t>n=</w:t>
      </w:r>
      <w:r w:rsidRPr="00F10B5A">
        <w:rPr>
          <w:sz w:val="16"/>
          <w:szCs w:val="16"/>
        </w:rPr>
        <w:t>2</w:t>
      </w:r>
      <w:r w:rsidR="003D4065" w:rsidRPr="00F10B5A">
        <w:rPr>
          <w:sz w:val="16"/>
          <w:szCs w:val="16"/>
        </w:rPr>
        <w:t>,</w:t>
      </w:r>
      <w:r w:rsidRPr="00F10B5A">
        <w:rPr>
          <w:sz w:val="16"/>
          <w:szCs w:val="16"/>
        </w:rPr>
        <w:t>458; low-</w:t>
      </w:r>
      <w:r w:rsidR="00FB2A6C">
        <w:rPr>
          <w:sz w:val="16"/>
          <w:szCs w:val="16"/>
        </w:rPr>
        <w:t>certainty</w:t>
      </w:r>
      <w:r w:rsidRPr="00401D96">
        <w:t>)</w:t>
      </w:r>
    </w:p>
    <w:p w14:paraId="639BB3B0" w14:textId="01A4E5B9" w:rsidR="00F10B5A" w:rsidRDefault="008A6B17" w:rsidP="00F10B5A">
      <w:pPr>
        <w:pStyle w:val="bullet"/>
      </w:pPr>
      <w:r w:rsidRPr="00401D96">
        <w:t>postnatal d</w:t>
      </w:r>
      <w:r w:rsidR="003D4065">
        <w:t>epression (</w:t>
      </w:r>
      <w:r w:rsidR="003D4065" w:rsidRPr="00F10B5A">
        <w:rPr>
          <w:sz w:val="16"/>
          <w:szCs w:val="16"/>
        </w:rPr>
        <w:t>average RR 0.99, 95%</w:t>
      </w:r>
      <w:r w:rsidRPr="00F10B5A">
        <w:rPr>
          <w:sz w:val="16"/>
          <w:szCs w:val="16"/>
        </w:rPr>
        <w:t xml:space="preserve">CI 0.56 to 1.77; 2 </w:t>
      </w:r>
      <w:r w:rsidR="003D4065" w:rsidRPr="00F10B5A">
        <w:rPr>
          <w:sz w:val="16"/>
          <w:szCs w:val="16"/>
        </w:rPr>
        <w:t>RCTs</w:t>
      </w:r>
      <w:r w:rsidRPr="00F10B5A">
        <w:rPr>
          <w:sz w:val="16"/>
          <w:szCs w:val="16"/>
        </w:rPr>
        <w:t xml:space="preserve">, </w:t>
      </w:r>
      <w:r w:rsidR="003D4065" w:rsidRPr="00F10B5A">
        <w:rPr>
          <w:sz w:val="16"/>
          <w:szCs w:val="16"/>
        </w:rPr>
        <w:t>n=</w:t>
      </w:r>
      <w:r w:rsidRPr="00F10B5A">
        <w:rPr>
          <w:sz w:val="16"/>
          <w:szCs w:val="16"/>
        </w:rPr>
        <w:t>2</w:t>
      </w:r>
      <w:r w:rsidR="003D4065" w:rsidRPr="00F10B5A">
        <w:rPr>
          <w:sz w:val="16"/>
          <w:szCs w:val="16"/>
        </w:rPr>
        <w:t>,</w:t>
      </w:r>
      <w:r w:rsidRPr="00F10B5A">
        <w:rPr>
          <w:sz w:val="16"/>
          <w:szCs w:val="16"/>
        </w:rPr>
        <w:t>431; low-</w:t>
      </w:r>
      <w:r w:rsidR="00FB2A6C">
        <w:rPr>
          <w:sz w:val="16"/>
          <w:szCs w:val="16"/>
        </w:rPr>
        <w:t>certainty</w:t>
      </w:r>
      <w:r w:rsidRPr="00401D96">
        <w:t xml:space="preserve">). </w:t>
      </w:r>
    </w:p>
    <w:p w14:paraId="3623A139" w14:textId="7B4F429E" w:rsidR="008A6B17" w:rsidRPr="00401D96" w:rsidRDefault="008A6B17" w:rsidP="00F10B5A">
      <w:r w:rsidRPr="00401D96">
        <w:t>Mean gestational length was greater in women who received omega-3 LCPUFA (</w:t>
      </w:r>
      <w:r w:rsidR="003D4065" w:rsidRPr="00F10B5A">
        <w:rPr>
          <w:sz w:val="16"/>
          <w:szCs w:val="16"/>
        </w:rPr>
        <w:t>MD 1.67 days, 95%</w:t>
      </w:r>
      <w:r w:rsidRPr="00F10B5A">
        <w:rPr>
          <w:sz w:val="16"/>
          <w:szCs w:val="16"/>
        </w:rPr>
        <w:t xml:space="preserve">CI 0.95 to 2.39; 41 </w:t>
      </w:r>
      <w:r w:rsidR="003D4065" w:rsidRPr="00F10B5A">
        <w:rPr>
          <w:sz w:val="16"/>
          <w:szCs w:val="16"/>
        </w:rPr>
        <w:t>RCTs</w:t>
      </w:r>
      <w:r w:rsidRPr="00F10B5A">
        <w:rPr>
          <w:sz w:val="16"/>
          <w:szCs w:val="16"/>
        </w:rPr>
        <w:t xml:space="preserve">, </w:t>
      </w:r>
      <w:r w:rsidR="003D4065" w:rsidRPr="00F10B5A">
        <w:rPr>
          <w:sz w:val="16"/>
          <w:szCs w:val="16"/>
        </w:rPr>
        <w:t>n=</w:t>
      </w:r>
      <w:r w:rsidR="00F10B5A">
        <w:rPr>
          <w:sz w:val="16"/>
          <w:szCs w:val="16"/>
        </w:rPr>
        <w:t xml:space="preserve">12,517; moderate </w:t>
      </w:r>
      <w:r w:rsidR="00FB2A6C">
        <w:rPr>
          <w:sz w:val="16"/>
          <w:szCs w:val="16"/>
        </w:rPr>
        <w:t>certainty</w:t>
      </w:r>
      <w:r w:rsidRPr="00401D96">
        <w:t>), and pre-eclampsia may possibly be reduced wi</w:t>
      </w:r>
      <w:r w:rsidR="003D4065">
        <w:t>th omega-3 LCPUFA (</w:t>
      </w:r>
      <w:r w:rsidR="003D4065" w:rsidRPr="00F10B5A">
        <w:rPr>
          <w:sz w:val="16"/>
          <w:szCs w:val="16"/>
        </w:rPr>
        <w:t>RR 0.84, 95%</w:t>
      </w:r>
      <w:r w:rsidRPr="00F10B5A">
        <w:rPr>
          <w:sz w:val="16"/>
          <w:szCs w:val="16"/>
        </w:rPr>
        <w:t xml:space="preserve">CI 0.69 to 1.01; 20 </w:t>
      </w:r>
      <w:r w:rsidR="003D4065" w:rsidRPr="00F10B5A">
        <w:rPr>
          <w:sz w:val="16"/>
          <w:szCs w:val="16"/>
        </w:rPr>
        <w:t>RCTs</w:t>
      </w:r>
      <w:r w:rsidRPr="00F10B5A">
        <w:rPr>
          <w:sz w:val="16"/>
          <w:szCs w:val="16"/>
        </w:rPr>
        <w:t xml:space="preserve">, </w:t>
      </w:r>
      <w:r w:rsidR="003D4065" w:rsidRPr="00F10B5A">
        <w:rPr>
          <w:sz w:val="16"/>
          <w:szCs w:val="16"/>
        </w:rPr>
        <w:t>n=</w:t>
      </w:r>
      <w:r w:rsidRPr="00F10B5A">
        <w:rPr>
          <w:sz w:val="16"/>
          <w:szCs w:val="16"/>
        </w:rPr>
        <w:t>8</w:t>
      </w:r>
      <w:r w:rsidR="003D4065" w:rsidRPr="00F10B5A">
        <w:rPr>
          <w:sz w:val="16"/>
          <w:szCs w:val="16"/>
        </w:rPr>
        <w:t>,</w:t>
      </w:r>
      <w:r w:rsidR="00F10B5A">
        <w:rPr>
          <w:sz w:val="16"/>
          <w:szCs w:val="16"/>
        </w:rPr>
        <w:t xml:space="preserve">306; low </w:t>
      </w:r>
      <w:r w:rsidR="00FB2A6C">
        <w:rPr>
          <w:sz w:val="16"/>
          <w:szCs w:val="16"/>
        </w:rPr>
        <w:t>certainty</w:t>
      </w:r>
      <w:r w:rsidRPr="00401D96">
        <w:t>).</w:t>
      </w:r>
    </w:p>
    <w:p w14:paraId="0FECCF44" w14:textId="4A075173" w:rsidR="008A6B17" w:rsidRPr="00401D96" w:rsidRDefault="008A6B17" w:rsidP="008A6B17">
      <w:r w:rsidRPr="00401D96">
        <w:t>For the child/adult outcomes, very few differences between antenatal omega-3 LCPUFA supplementation and no omega-3 were observed in cognition, IQ, vision, other neurodevelopment and growth outcomes, language and behaviour (mostly low-</w:t>
      </w:r>
      <w:r w:rsidR="00FB2A6C">
        <w:t>certainty</w:t>
      </w:r>
      <w:r w:rsidRPr="00401D96">
        <w:t xml:space="preserve"> to very low-</w:t>
      </w:r>
      <w:r w:rsidR="00FB2A6C">
        <w:t>certainty</w:t>
      </w:r>
      <w:r w:rsidRPr="00401D96">
        <w:t xml:space="preserve"> evidence). The effect of omega-3 LCPUFA on body ma</w:t>
      </w:r>
      <w:r w:rsidR="003D4065">
        <w:t>ss index at 19 years (</w:t>
      </w:r>
      <w:r w:rsidR="003D4065" w:rsidRPr="003D4065">
        <w:rPr>
          <w:sz w:val="16"/>
          <w:szCs w:val="16"/>
        </w:rPr>
        <w:t>MD 0, 95%</w:t>
      </w:r>
      <w:r w:rsidRPr="003D4065">
        <w:rPr>
          <w:sz w:val="16"/>
          <w:szCs w:val="16"/>
        </w:rPr>
        <w:t xml:space="preserve">CI -0.83 to 0.83; 1 </w:t>
      </w:r>
      <w:r w:rsidR="003D4065" w:rsidRPr="003D4065">
        <w:rPr>
          <w:sz w:val="16"/>
          <w:szCs w:val="16"/>
        </w:rPr>
        <w:t>RCT</w:t>
      </w:r>
      <w:r w:rsidRPr="003D4065">
        <w:rPr>
          <w:sz w:val="16"/>
          <w:szCs w:val="16"/>
        </w:rPr>
        <w:t xml:space="preserve">, </w:t>
      </w:r>
      <w:r w:rsidR="003D4065" w:rsidRPr="003D4065">
        <w:rPr>
          <w:sz w:val="16"/>
          <w:szCs w:val="16"/>
        </w:rPr>
        <w:t>n=</w:t>
      </w:r>
      <w:r w:rsidRPr="003D4065">
        <w:rPr>
          <w:sz w:val="16"/>
          <w:szCs w:val="16"/>
        </w:rPr>
        <w:t>243; very low-</w:t>
      </w:r>
      <w:r w:rsidR="00FB2A6C">
        <w:rPr>
          <w:sz w:val="16"/>
          <w:szCs w:val="16"/>
        </w:rPr>
        <w:t>certainty</w:t>
      </w:r>
      <w:r w:rsidRPr="003D4065">
        <w:rPr>
          <w:sz w:val="16"/>
          <w:szCs w:val="16"/>
        </w:rPr>
        <w:t xml:space="preserve"> evidence</w:t>
      </w:r>
      <w:r w:rsidRPr="00401D96">
        <w:t>) was uncertain. No data were reported for development of diabetes in the children of study participants.</w:t>
      </w:r>
    </w:p>
    <w:p w14:paraId="35AA7FF6" w14:textId="78665B90" w:rsidR="008A6B17" w:rsidRPr="00401D96" w:rsidRDefault="008A6B17" w:rsidP="008A6B17"/>
    <w:p w14:paraId="286BF68C" w14:textId="77777777" w:rsidR="008A6B17" w:rsidRDefault="008A6B17" w:rsidP="008E03BA">
      <w:pPr>
        <w:pStyle w:val="Heading4"/>
        <w:sectPr w:rsidR="008A6B17" w:rsidSect="008A6B17">
          <w:pgSz w:w="11901" w:h="16817"/>
          <w:pgMar w:top="1134" w:right="1418" w:bottom="1134" w:left="1418" w:header="709" w:footer="709" w:gutter="0"/>
          <w:cols w:space="708"/>
          <w:docGrid w:linePitch="360"/>
        </w:sectPr>
      </w:pPr>
      <w:bookmarkStart w:id="104" w:name="_TOC_250009"/>
      <w:bookmarkEnd w:id="104"/>
    </w:p>
    <w:tbl>
      <w:tblPr>
        <w:tblW w:w="5000" w:type="pct"/>
        <w:tblCellMar>
          <w:top w:w="100" w:type="dxa"/>
          <w:left w:w="100" w:type="dxa"/>
          <w:bottom w:w="100" w:type="dxa"/>
          <w:right w:w="100" w:type="dxa"/>
        </w:tblCellMar>
        <w:tblLook w:val="04A0" w:firstRow="1" w:lastRow="0" w:firstColumn="1" w:lastColumn="0" w:noHBand="0" w:noVBand="1"/>
      </w:tblPr>
      <w:tblGrid>
        <w:gridCol w:w="1254"/>
        <w:gridCol w:w="1683"/>
        <w:gridCol w:w="2020"/>
        <w:gridCol w:w="1458"/>
        <w:gridCol w:w="1455"/>
        <w:gridCol w:w="1395"/>
      </w:tblGrid>
      <w:tr w:rsidR="002170A1" w:rsidRPr="00C12274" w14:paraId="4F0F01C2" w14:textId="77777777" w:rsidTr="008E03BA">
        <w:trPr>
          <w:cantSplit/>
          <w:tblHeader/>
        </w:trPr>
        <w:tc>
          <w:tcPr>
            <w:tcW w:w="5000" w:type="pct"/>
            <w:gridSpan w:val="6"/>
            <w:tcBorders>
              <w:top w:val="nil"/>
              <w:left w:val="nil"/>
              <w:bottom w:val="nil"/>
              <w:right w:val="nil"/>
            </w:tcBorders>
            <w:vAlign w:val="center"/>
            <w:hideMark/>
          </w:tcPr>
          <w:p w14:paraId="448C225C" w14:textId="3CEB42BC" w:rsidR="002170A1" w:rsidRPr="00C12274" w:rsidRDefault="002170A1" w:rsidP="008E03BA">
            <w:pPr>
              <w:pStyle w:val="Heading4"/>
            </w:pPr>
            <w:r w:rsidRPr="00C12274">
              <w:t>Summary of findings</w:t>
            </w:r>
          </w:p>
        </w:tc>
      </w:tr>
      <w:tr w:rsidR="002170A1" w:rsidRPr="002170A1" w14:paraId="1611AEEC" w14:textId="77777777" w:rsidTr="008E03BA">
        <w:trPr>
          <w:cantSplit/>
          <w:tblHeader/>
        </w:trPr>
        <w:tc>
          <w:tcPr>
            <w:tcW w:w="5000" w:type="pct"/>
            <w:gridSpan w:val="6"/>
            <w:tcBorders>
              <w:top w:val="single" w:sz="12" w:space="0" w:color="000000"/>
              <w:left w:val="nil"/>
              <w:bottom w:val="single" w:sz="12" w:space="0" w:color="000000"/>
              <w:right w:val="nil"/>
            </w:tcBorders>
            <w:vAlign w:val="center"/>
            <w:hideMark/>
          </w:tcPr>
          <w:p w14:paraId="0DC33D41" w14:textId="6CF6BA99" w:rsidR="002170A1" w:rsidRPr="002170A1" w:rsidRDefault="002170A1" w:rsidP="008E03BA">
            <w:pPr>
              <w:pStyle w:val="Heading5"/>
            </w:pPr>
            <w:r w:rsidRPr="002170A1">
              <w:t>Omega- 3 LCPUFA compared with no omega- 3 during pregnancy: birth/ infant outcomes</w:t>
            </w:r>
          </w:p>
        </w:tc>
      </w:tr>
      <w:tr w:rsidR="002170A1" w:rsidRPr="00C12274" w14:paraId="6A7F2849" w14:textId="77777777" w:rsidTr="008E03BA">
        <w:trPr>
          <w:cantSplit/>
          <w:tblHeader/>
        </w:trPr>
        <w:tc>
          <w:tcPr>
            <w:tcW w:w="5000" w:type="pct"/>
            <w:gridSpan w:val="6"/>
            <w:tcBorders>
              <w:top w:val="single" w:sz="12" w:space="0" w:color="000000"/>
              <w:left w:val="nil"/>
              <w:bottom w:val="single" w:sz="12" w:space="0" w:color="000000"/>
              <w:right w:val="nil"/>
            </w:tcBorders>
            <w:vAlign w:val="center"/>
            <w:hideMark/>
          </w:tcPr>
          <w:p w14:paraId="3F705213" w14:textId="3E3764C7" w:rsidR="002170A1" w:rsidRPr="00C12274" w:rsidRDefault="002170A1" w:rsidP="008E03BA">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Patient or population</w:t>
            </w:r>
            <w:r w:rsidRPr="00C12274">
              <w:rPr>
                <w:rFonts w:ascii="Arial Narrow" w:eastAsia="Times New Roman" w:hAnsi="Arial Narrow"/>
                <w:sz w:val="16"/>
                <w:szCs w:val="16"/>
              </w:rPr>
              <w:t xml:space="preserve">: Pregnant women </w:t>
            </w:r>
            <w:r>
              <w:rPr>
                <w:rFonts w:ascii="Arial Narrow" w:eastAsia="Times New Roman" w:hAnsi="Arial Narrow"/>
                <w:sz w:val="16"/>
                <w:szCs w:val="16"/>
              </w:rPr>
              <w:t>and their babies</w:t>
            </w:r>
            <w:r w:rsidRPr="00C12274">
              <w:rPr>
                <w:rFonts w:ascii="Arial Narrow" w:eastAsia="Times New Roman" w:hAnsi="Arial Narrow"/>
                <w:sz w:val="16"/>
                <w:szCs w:val="16"/>
              </w:rPr>
              <w:t xml:space="preserve"> </w:t>
            </w:r>
          </w:p>
          <w:p w14:paraId="53098189" w14:textId="39DC1671" w:rsidR="002170A1" w:rsidRPr="002170A1" w:rsidRDefault="002170A1" w:rsidP="008E03BA">
            <w:pPr>
              <w:spacing w:line="240" w:lineRule="auto"/>
              <w:rPr>
                <w:sz w:val="16"/>
                <w:szCs w:val="16"/>
              </w:rPr>
            </w:pPr>
            <w:r w:rsidRPr="00C12274">
              <w:rPr>
                <w:rFonts w:ascii="Arial Narrow" w:eastAsia="Times New Roman" w:hAnsi="Arial Narrow"/>
                <w:b/>
                <w:bCs/>
                <w:sz w:val="16"/>
                <w:szCs w:val="16"/>
              </w:rPr>
              <w:t>Setting</w:t>
            </w:r>
            <w:r w:rsidRPr="00C12274">
              <w:rPr>
                <w:rFonts w:ascii="Arial Narrow" w:eastAsia="Times New Roman" w:hAnsi="Arial Narrow"/>
                <w:sz w:val="16"/>
                <w:szCs w:val="16"/>
              </w:rPr>
              <w:t>:</w:t>
            </w:r>
            <w:r w:rsidRPr="00555A80">
              <w:rPr>
                <w:rFonts w:ascii="Arial Narrow" w:eastAsia="Times New Roman" w:hAnsi="Arial Narrow"/>
                <w:sz w:val="16"/>
                <w:szCs w:val="16"/>
              </w:rPr>
              <w:t xml:space="preserve"> </w:t>
            </w:r>
            <w:r w:rsidRPr="00555A80">
              <w:rPr>
                <w:rFonts w:ascii="Arial Narrow" w:hAnsi="Arial Narrow"/>
                <w:sz w:val="16"/>
                <w:szCs w:val="16"/>
              </w:rPr>
              <w:t>Angola, Australia, Belgium, Canada, Chile, Croatia, Chile, Denmark, Egypt, Germany, India, Iran, Italy, Mexico, Netherlands, Norway, Russia, Sweden, Turkey, UK, USA</w:t>
            </w:r>
          </w:p>
          <w:p w14:paraId="2EBB4E6B" w14:textId="4230C2E2" w:rsidR="002170A1" w:rsidRPr="00C12274" w:rsidRDefault="002170A1" w:rsidP="008E03BA">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Intervention</w:t>
            </w:r>
            <w:r w:rsidRPr="00C12274">
              <w:rPr>
                <w:rFonts w:ascii="Arial Narrow" w:eastAsia="Times New Roman" w:hAnsi="Arial Narrow"/>
                <w:sz w:val="16"/>
                <w:szCs w:val="16"/>
              </w:rPr>
              <w:t xml:space="preserve">: </w:t>
            </w:r>
            <w:r>
              <w:rPr>
                <w:rFonts w:ascii="Arial Narrow" w:eastAsia="Times New Roman" w:hAnsi="Arial Narrow"/>
                <w:sz w:val="16"/>
                <w:szCs w:val="16"/>
              </w:rPr>
              <w:t>Omega-3</w:t>
            </w:r>
            <w:r w:rsidRPr="00C12274">
              <w:rPr>
                <w:rFonts w:ascii="Arial Narrow" w:eastAsia="Times New Roman" w:hAnsi="Arial Narrow"/>
                <w:sz w:val="16"/>
                <w:szCs w:val="16"/>
              </w:rPr>
              <w:t xml:space="preserve"> </w:t>
            </w:r>
          </w:p>
          <w:p w14:paraId="62BC3D0E" w14:textId="216DE9DC" w:rsidR="002170A1" w:rsidRPr="00C12274" w:rsidRDefault="002170A1" w:rsidP="002170A1">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Comparison</w:t>
            </w:r>
            <w:r w:rsidRPr="00C12274">
              <w:rPr>
                <w:rFonts w:ascii="Arial Narrow" w:eastAsia="Times New Roman" w:hAnsi="Arial Narrow"/>
                <w:sz w:val="16"/>
                <w:szCs w:val="16"/>
              </w:rPr>
              <w:t xml:space="preserve">: </w:t>
            </w:r>
            <w:r>
              <w:rPr>
                <w:rFonts w:ascii="Arial Narrow" w:eastAsia="Times New Roman" w:hAnsi="Arial Narrow"/>
                <w:sz w:val="16"/>
                <w:szCs w:val="16"/>
              </w:rPr>
              <w:t>No omega-3</w:t>
            </w:r>
          </w:p>
        </w:tc>
      </w:tr>
      <w:tr w:rsidR="002170A1" w:rsidRPr="00C12274" w14:paraId="0B6E2BE1" w14:textId="77777777" w:rsidTr="005A3845">
        <w:trPr>
          <w:cantSplit/>
          <w:tblHeader/>
        </w:trPr>
        <w:tc>
          <w:tcPr>
            <w:tcW w:w="677" w:type="pct"/>
            <w:vMerge w:val="restart"/>
            <w:tcBorders>
              <w:right w:val="single" w:sz="6" w:space="0" w:color="EFEFEF"/>
            </w:tcBorders>
            <w:shd w:val="clear" w:color="auto" w:fill="3271AA"/>
            <w:vAlign w:val="center"/>
            <w:hideMark/>
          </w:tcPr>
          <w:p w14:paraId="2B396F6F" w14:textId="77777777" w:rsidR="002170A1" w:rsidRPr="00C12274" w:rsidRDefault="002170A1" w:rsidP="008E03BA">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Outcomes</w:t>
            </w:r>
          </w:p>
        </w:tc>
        <w:tc>
          <w:tcPr>
            <w:tcW w:w="1997" w:type="pct"/>
            <w:gridSpan w:val="2"/>
            <w:tcBorders>
              <w:top w:val="single" w:sz="6" w:space="0" w:color="EFEFEF"/>
              <w:right w:val="single" w:sz="6" w:space="0" w:color="EFEFEF"/>
            </w:tcBorders>
            <w:shd w:val="clear" w:color="auto" w:fill="E0E0E0"/>
            <w:hideMark/>
          </w:tcPr>
          <w:p w14:paraId="5574B2EA" w14:textId="6BCC5C78" w:rsidR="002170A1" w:rsidRPr="00C12274" w:rsidRDefault="002170A1" w:rsidP="008E03BA">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Illustrative comparative risks</w:t>
            </w:r>
            <w:r w:rsidRPr="00C12274">
              <w:rPr>
                <w:rFonts w:ascii="Arial Narrow" w:hAnsi="Arial Narrow"/>
                <w:b/>
                <w:bCs/>
                <w:sz w:val="16"/>
                <w:szCs w:val="16"/>
                <w:vertAlign w:val="superscript"/>
              </w:rPr>
              <w:t>*</w:t>
            </w:r>
            <w:r w:rsidRPr="00C12274">
              <w:rPr>
                <w:rFonts w:ascii="Arial Narrow" w:hAnsi="Arial Narrow"/>
                <w:b/>
                <w:bCs/>
                <w:sz w:val="16"/>
                <w:szCs w:val="16"/>
              </w:rPr>
              <w:t xml:space="preserve"> </w:t>
            </w:r>
            <w:r w:rsidRPr="00C12274">
              <w:rPr>
                <w:rFonts w:ascii="Arial Narrow" w:hAnsi="Arial Narrow"/>
                <w:sz w:val="16"/>
                <w:szCs w:val="16"/>
              </w:rPr>
              <w:t>(95% CI)</w:t>
            </w:r>
            <w:r w:rsidRPr="00C12274">
              <w:rPr>
                <w:rFonts w:ascii="Arial Narrow" w:hAnsi="Arial Narrow"/>
                <w:b/>
                <w:bCs/>
                <w:sz w:val="16"/>
                <w:szCs w:val="16"/>
              </w:rPr>
              <w:t xml:space="preserve"> </w:t>
            </w:r>
          </w:p>
        </w:tc>
        <w:tc>
          <w:tcPr>
            <w:tcW w:w="787" w:type="pct"/>
            <w:vMerge w:val="restart"/>
            <w:tcBorders>
              <w:right w:val="single" w:sz="6" w:space="0" w:color="EFEFEF"/>
            </w:tcBorders>
            <w:shd w:val="clear" w:color="auto" w:fill="3271AA"/>
            <w:vAlign w:val="center"/>
            <w:hideMark/>
          </w:tcPr>
          <w:p w14:paraId="7900A0AF" w14:textId="77777777" w:rsidR="002170A1" w:rsidRPr="00C12274" w:rsidRDefault="002170A1" w:rsidP="008E03BA">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Relative effect</w:t>
            </w:r>
            <w:r w:rsidRPr="00C12274">
              <w:rPr>
                <w:rFonts w:ascii="Arial Narrow" w:hAnsi="Arial Narrow"/>
                <w:color w:val="FFFFFF"/>
                <w:sz w:val="16"/>
                <w:szCs w:val="16"/>
              </w:rPr>
              <w:br/>
              <w:t xml:space="preserve">(95% CI) </w:t>
            </w:r>
          </w:p>
        </w:tc>
        <w:tc>
          <w:tcPr>
            <w:tcW w:w="785" w:type="pct"/>
            <w:vMerge w:val="restart"/>
            <w:tcBorders>
              <w:right w:val="single" w:sz="6" w:space="0" w:color="EFEFEF"/>
            </w:tcBorders>
            <w:shd w:val="clear" w:color="auto" w:fill="3271AA"/>
            <w:vAlign w:val="center"/>
            <w:hideMark/>
          </w:tcPr>
          <w:p w14:paraId="28214612" w14:textId="77777777" w:rsidR="002170A1" w:rsidRPr="00C12274" w:rsidRDefault="002170A1" w:rsidP="008E03BA">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 xml:space="preserve">№ of participants </w:t>
            </w:r>
            <w:r w:rsidRPr="00C12274">
              <w:rPr>
                <w:rFonts w:ascii="Arial Narrow" w:hAnsi="Arial Narrow"/>
                <w:color w:val="FFFFFF"/>
                <w:sz w:val="16"/>
                <w:szCs w:val="16"/>
              </w:rPr>
              <w:br/>
              <w:t xml:space="preserve">(studies) </w:t>
            </w:r>
          </w:p>
        </w:tc>
        <w:tc>
          <w:tcPr>
            <w:tcW w:w="754" w:type="pct"/>
            <w:vMerge w:val="restart"/>
            <w:tcBorders>
              <w:right w:val="single" w:sz="6" w:space="0" w:color="EFEFEF"/>
            </w:tcBorders>
            <w:shd w:val="clear" w:color="auto" w:fill="3271AA"/>
            <w:vAlign w:val="center"/>
            <w:hideMark/>
          </w:tcPr>
          <w:p w14:paraId="1F89FAFB" w14:textId="77777777" w:rsidR="002170A1" w:rsidRPr="00C12274" w:rsidRDefault="002170A1" w:rsidP="008E03BA">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Certainty of the evidence</w:t>
            </w:r>
            <w:r w:rsidRPr="00C12274">
              <w:rPr>
                <w:rFonts w:ascii="Arial Narrow" w:hAnsi="Arial Narrow"/>
                <w:color w:val="FFFFFF"/>
                <w:sz w:val="16"/>
                <w:szCs w:val="16"/>
              </w:rPr>
              <w:br/>
              <w:t xml:space="preserve">(GRADE) </w:t>
            </w:r>
          </w:p>
        </w:tc>
      </w:tr>
      <w:tr w:rsidR="005A3845" w:rsidRPr="00C12274" w14:paraId="3CB621AF" w14:textId="77777777" w:rsidTr="005A3845">
        <w:trPr>
          <w:cantSplit/>
          <w:tblHeader/>
        </w:trPr>
        <w:tc>
          <w:tcPr>
            <w:tcW w:w="677" w:type="pct"/>
            <w:vMerge/>
            <w:tcBorders>
              <w:right w:val="single" w:sz="6" w:space="0" w:color="EFEFEF"/>
            </w:tcBorders>
            <w:vAlign w:val="center"/>
            <w:hideMark/>
          </w:tcPr>
          <w:p w14:paraId="1C960F29" w14:textId="77777777" w:rsidR="002170A1" w:rsidRPr="00C12274" w:rsidRDefault="002170A1" w:rsidP="008E03BA">
            <w:pPr>
              <w:rPr>
                <w:rFonts w:ascii="Arial Narrow" w:eastAsiaTheme="minorEastAsia" w:hAnsi="Arial Narrow"/>
                <w:color w:val="FFFFFF"/>
                <w:sz w:val="16"/>
                <w:szCs w:val="16"/>
              </w:rPr>
            </w:pPr>
          </w:p>
        </w:tc>
        <w:tc>
          <w:tcPr>
            <w:tcW w:w="908" w:type="pct"/>
            <w:tcBorders>
              <w:top w:val="single" w:sz="6" w:space="0" w:color="EFEFEF"/>
              <w:right w:val="single" w:sz="6" w:space="0" w:color="EFEFEF"/>
            </w:tcBorders>
            <w:shd w:val="clear" w:color="auto" w:fill="E0E0E0"/>
            <w:hideMark/>
          </w:tcPr>
          <w:p w14:paraId="43D0691E" w14:textId="019EFA1B" w:rsidR="002170A1" w:rsidRPr="00C12274" w:rsidRDefault="002170A1" w:rsidP="002170A1">
            <w:pPr>
              <w:pStyle w:val="first-letter"/>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 xml:space="preserve">Risk with </w:t>
            </w:r>
            <w:r>
              <w:rPr>
                <w:rFonts w:ascii="Arial Narrow" w:hAnsi="Arial Narrow"/>
                <w:b/>
                <w:bCs/>
                <w:sz w:val="16"/>
                <w:szCs w:val="16"/>
              </w:rPr>
              <w:t>no omega-3</w:t>
            </w:r>
          </w:p>
        </w:tc>
        <w:tc>
          <w:tcPr>
            <w:tcW w:w="1090" w:type="pct"/>
            <w:tcBorders>
              <w:top w:val="single" w:sz="6" w:space="0" w:color="EFEFEF"/>
              <w:right w:val="single" w:sz="6" w:space="0" w:color="EFEFEF"/>
            </w:tcBorders>
            <w:shd w:val="clear" w:color="auto" w:fill="E0E0E0"/>
            <w:hideMark/>
          </w:tcPr>
          <w:p w14:paraId="2D5D79D8" w14:textId="149B49D6" w:rsidR="002170A1" w:rsidRPr="00C12274" w:rsidRDefault="002170A1" w:rsidP="002170A1">
            <w:pPr>
              <w:pStyle w:val="first-letter"/>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 xml:space="preserve">Risk with </w:t>
            </w:r>
            <w:r>
              <w:rPr>
                <w:rFonts w:ascii="Arial Narrow" w:hAnsi="Arial Narrow"/>
                <w:b/>
                <w:bCs/>
                <w:sz w:val="16"/>
                <w:szCs w:val="16"/>
              </w:rPr>
              <w:t>omega-3</w:t>
            </w:r>
          </w:p>
        </w:tc>
        <w:tc>
          <w:tcPr>
            <w:tcW w:w="787" w:type="pct"/>
            <w:vMerge/>
            <w:tcBorders>
              <w:right w:val="single" w:sz="6" w:space="0" w:color="EFEFEF"/>
            </w:tcBorders>
            <w:vAlign w:val="center"/>
            <w:hideMark/>
          </w:tcPr>
          <w:p w14:paraId="7618140E" w14:textId="77777777" w:rsidR="002170A1" w:rsidRPr="00C12274" w:rsidRDefault="002170A1" w:rsidP="008E03BA">
            <w:pPr>
              <w:rPr>
                <w:rFonts w:ascii="Arial Narrow" w:eastAsiaTheme="minorEastAsia" w:hAnsi="Arial Narrow"/>
                <w:color w:val="FFFFFF"/>
                <w:sz w:val="16"/>
                <w:szCs w:val="16"/>
              </w:rPr>
            </w:pPr>
          </w:p>
        </w:tc>
        <w:tc>
          <w:tcPr>
            <w:tcW w:w="785" w:type="pct"/>
            <w:vMerge/>
            <w:tcBorders>
              <w:right w:val="single" w:sz="6" w:space="0" w:color="EFEFEF"/>
            </w:tcBorders>
            <w:vAlign w:val="center"/>
            <w:hideMark/>
          </w:tcPr>
          <w:p w14:paraId="14C64CF5" w14:textId="77777777" w:rsidR="002170A1" w:rsidRPr="00C12274" w:rsidRDefault="002170A1" w:rsidP="008E03BA">
            <w:pPr>
              <w:rPr>
                <w:rFonts w:ascii="Arial Narrow" w:eastAsiaTheme="minorEastAsia" w:hAnsi="Arial Narrow"/>
                <w:color w:val="FFFFFF"/>
                <w:sz w:val="16"/>
                <w:szCs w:val="16"/>
              </w:rPr>
            </w:pPr>
          </w:p>
        </w:tc>
        <w:tc>
          <w:tcPr>
            <w:tcW w:w="754" w:type="pct"/>
            <w:vMerge/>
            <w:tcBorders>
              <w:right w:val="single" w:sz="6" w:space="0" w:color="EFEFEF"/>
            </w:tcBorders>
            <w:vAlign w:val="center"/>
            <w:hideMark/>
          </w:tcPr>
          <w:p w14:paraId="16830DD3" w14:textId="77777777" w:rsidR="002170A1" w:rsidRPr="00C12274" w:rsidRDefault="002170A1" w:rsidP="008E03BA">
            <w:pPr>
              <w:rPr>
                <w:rFonts w:ascii="Arial Narrow" w:eastAsiaTheme="minorEastAsia" w:hAnsi="Arial Narrow"/>
                <w:color w:val="FFFFFF"/>
                <w:sz w:val="16"/>
                <w:szCs w:val="16"/>
              </w:rPr>
            </w:pPr>
          </w:p>
        </w:tc>
      </w:tr>
      <w:tr w:rsidR="005A3845" w:rsidRPr="00C12274" w14:paraId="132DCF64" w14:textId="77777777" w:rsidTr="005A3845">
        <w:trPr>
          <w:cantSplit/>
        </w:trPr>
        <w:tc>
          <w:tcPr>
            <w:tcW w:w="677" w:type="pct"/>
            <w:tcBorders>
              <w:top w:val="single" w:sz="6" w:space="0" w:color="000000"/>
              <w:left w:val="nil"/>
              <w:bottom w:val="single" w:sz="6" w:space="0" w:color="000000"/>
              <w:right w:val="nil"/>
            </w:tcBorders>
            <w:vAlign w:val="center"/>
            <w:hideMark/>
          </w:tcPr>
          <w:p w14:paraId="2D22FB93" w14:textId="57061B5C" w:rsidR="002170A1" w:rsidRPr="00C12274" w:rsidRDefault="002170A1" w:rsidP="008E03BA">
            <w:pPr>
              <w:jc w:val="center"/>
              <w:rPr>
                <w:rFonts w:ascii="Arial Narrow" w:eastAsia="Times New Roman" w:hAnsi="Arial Narrow"/>
                <w:sz w:val="16"/>
                <w:szCs w:val="16"/>
              </w:rPr>
            </w:pPr>
            <w:r>
              <w:rPr>
                <w:rStyle w:val="label"/>
                <w:rFonts w:ascii="Arial Narrow" w:eastAsia="Times New Roman" w:hAnsi="Arial Narrow"/>
                <w:szCs w:val="18"/>
              </w:rPr>
              <w:t>Preterm birth &lt;37 weeks</w:t>
            </w:r>
          </w:p>
        </w:tc>
        <w:tc>
          <w:tcPr>
            <w:tcW w:w="908" w:type="pct"/>
            <w:tcBorders>
              <w:top w:val="single" w:sz="6" w:space="0" w:color="000000"/>
              <w:left w:val="nil"/>
              <w:bottom w:val="single" w:sz="6" w:space="0" w:color="000000"/>
              <w:right w:val="nil"/>
            </w:tcBorders>
            <w:vAlign w:val="center"/>
            <w:hideMark/>
          </w:tcPr>
          <w:p w14:paraId="321A0D2C" w14:textId="61827397" w:rsidR="002170A1" w:rsidRPr="00C12274" w:rsidRDefault="002170A1" w:rsidP="008E03BA">
            <w:pPr>
              <w:rPr>
                <w:rFonts w:ascii="Arial Narrow" w:eastAsia="Times New Roman" w:hAnsi="Arial Narrow"/>
                <w:sz w:val="16"/>
                <w:szCs w:val="16"/>
              </w:rPr>
            </w:pPr>
            <w:r>
              <w:rPr>
                <w:rFonts w:ascii="Arial Narrow" w:eastAsia="Times New Roman" w:hAnsi="Arial Narrow"/>
                <w:sz w:val="16"/>
                <w:szCs w:val="16"/>
              </w:rPr>
              <w:t>134</w:t>
            </w:r>
            <w:r w:rsidRPr="00C12274">
              <w:rPr>
                <w:rFonts w:ascii="Arial Narrow" w:eastAsia="Times New Roman" w:hAnsi="Arial Narrow"/>
                <w:sz w:val="16"/>
                <w:szCs w:val="16"/>
              </w:rPr>
              <w:t xml:space="preserve"> per 1,000 </w:t>
            </w:r>
          </w:p>
        </w:tc>
        <w:tc>
          <w:tcPr>
            <w:tcW w:w="1090" w:type="pct"/>
            <w:tcBorders>
              <w:top w:val="single" w:sz="6" w:space="0" w:color="000000"/>
              <w:left w:val="nil"/>
              <w:bottom w:val="single" w:sz="6" w:space="0" w:color="000000"/>
              <w:right w:val="nil"/>
            </w:tcBorders>
            <w:shd w:val="clear" w:color="auto" w:fill="EBEBEB"/>
            <w:hideMark/>
          </w:tcPr>
          <w:p w14:paraId="2C781180" w14:textId="4A0B7FDB" w:rsidR="002170A1" w:rsidRPr="00C12274" w:rsidRDefault="002170A1" w:rsidP="002170A1">
            <w:pPr>
              <w:jc w:val="center"/>
              <w:rPr>
                <w:rFonts w:ascii="Arial Narrow" w:eastAsia="Times New Roman" w:hAnsi="Arial Narrow"/>
                <w:sz w:val="16"/>
                <w:szCs w:val="16"/>
              </w:rPr>
            </w:pPr>
            <w:r>
              <w:rPr>
                <w:rStyle w:val="cell-value"/>
                <w:rFonts w:ascii="Arial Narrow" w:eastAsia="Times New Roman" w:hAnsi="Arial Narrow"/>
                <w:b/>
                <w:bCs/>
                <w:szCs w:val="18"/>
              </w:rPr>
              <w:t>119</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w:t>
            </w:r>
            <w:r>
              <w:rPr>
                <w:rStyle w:val="cell-value"/>
                <w:rFonts w:ascii="Arial Narrow" w:eastAsia="Times New Roman" w:hAnsi="Arial Narrow"/>
                <w:szCs w:val="18"/>
              </w:rPr>
              <w:t>109 to 130</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15441E0A" w14:textId="7F21C8B3" w:rsidR="002170A1" w:rsidRPr="00C12274" w:rsidRDefault="002170A1" w:rsidP="002170A1">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Pr>
                <w:rStyle w:val="block"/>
                <w:rFonts w:ascii="Arial Narrow" w:eastAsia="Times New Roman" w:hAnsi="Arial Narrow"/>
                <w:b/>
                <w:bCs/>
                <w:sz w:val="16"/>
                <w:szCs w:val="16"/>
              </w:rPr>
              <w:t>89</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81 to 0.97</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7141247F" w14:textId="0D4B3435" w:rsidR="002170A1" w:rsidRPr="00C12274" w:rsidRDefault="002170A1" w:rsidP="008E03BA">
            <w:pPr>
              <w:jc w:val="center"/>
              <w:rPr>
                <w:rFonts w:ascii="Arial Narrow" w:eastAsia="Times New Roman" w:hAnsi="Arial Narrow"/>
                <w:sz w:val="16"/>
                <w:szCs w:val="16"/>
              </w:rPr>
            </w:pPr>
            <w:r>
              <w:rPr>
                <w:rFonts w:ascii="Arial Narrow" w:eastAsia="Times New Roman" w:hAnsi="Arial Narrow"/>
                <w:sz w:val="16"/>
                <w:szCs w:val="16"/>
              </w:rPr>
              <w:t>10,304</w:t>
            </w:r>
            <w:r>
              <w:rPr>
                <w:rFonts w:ascii="Arial Narrow" w:eastAsia="Times New Roman" w:hAnsi="Arial Narrow"/>
                <w:sz w:val="16"/>
                <w:szCs w:val="16"/>
              </w:rPr>
              <w:br/>
              <w:t>(2</w:t>
            </w:r>
            <w:r w:rsidRPr="00C12274">
              <w:rPr>
                <w:rFonts w:ascii="Arial Narrow" w:eastAsia="Times New Roman" w:hAnsi="Arial Narrow"/>
                <w:sz w:val="16"/>
                <w:szCs w:val="16"/>
              </w:rPr>
              <w:t xml:space="preserve">6 RCTs) </w:t>
            </w:r>
          </w:p>
        </w:tc>
        <w:tc>
          <w:tcPr>
            <w:tcW w:w="754" w:type="pct"/>
            <w:tcBorders>
              <w:top w:val="single" w:sz="6" w:space="0" w:color="000000"/>
              <w:left w:val="nil"/>
              <w:bottom w:val="single" w:sz="6" w:space="0" w:color="000000"/>
              <w:right w:val="nil"/>
            </w:tcBorders>
            <w:vAlign w:val="center"/>
            <w:hideMark/>
          </w:tcPr>
          <w:p w14:paraId="6B22052F" w14:textId="13098886" w:rsidR="002170A1" w:rsidRPr="00C12274" w:rsidRDefault="002170A1" w:rsidP="002170A1">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HIGH</w:t>
            </w:r>
            <w:r w:rsidRPr="00C12274">
              <w:rPr>
                <w:rFonts w:ascii="Arial Narrow" w:eastAsia="Times New Roman" w:hAnsi="Arial Narrow"/>
                <w:sz w:val="16"/>
                <w:szCs w:val="16"/>
              </w:rPr>
              <w:t xml:space="preserve"> </w:t>
            </w:r>
            <w:r>
              <w:rPr>
                <w:rFonts w:ascii="Arial Narrow" w:eastAsia="Times New Roman" w:hAnsi="Arial Narrow"/>
                <w:sz w:val="16"/>
                <w:szCs w:val="16"/>
                <w:vertAlign w:val="superscript"/>
              </w:rPr>
              <w:t>1</w:t>
            </w:r>
          </w:p>
        </w:tc>
      </w:tr>
      <w:tr w:rsidR="005A3845" w:rsidRPr="00C12274" w14:paraId="22B9B9C3" w14:textId="77777777" w:rsidTr="005A3845">
        <w:trPr>
          <w:cantSplit/>
        </w:trPr>
        <w:tc>
          <w:tcPr>
            <w:tcW w:w="677" w:type="pct"/>
            <w:tcBorders>
              <w:top w:val="single" w:sz="6" w:space="0" w:color="000000"/>
              <w:left w:val="nil"/>
              <w:bottom w:val="single" w:sz="6" w:space="0" w:color="000000"/>
              <w:right w:val="nil"/>
            </w:tcBorders>
            <w:vAlign w:val="center"/>
            <w:hideMark/>
          </w:tcPr>
          <w:p w14:paraId="5F79F7C8" w14:textId="61E05163" w:rsidR="002170A1" w:rsidRPr="00C12274" w:rsidRDefault="002170A1" w:rsidP="008E03BA">
            <w:pPr>
              <w:jc w:val="center"/>
              <w:rPr>
                <w:rFonts w:ascii="Arial Narrow" w:eastAsia="Times New Roman" w:hAnsi="Arial Narrow"/>
                <w:sz w:val="16"/>
                <w:szCs w:val="16"/>
              </w:rPr>
            </w:pPr>
            <w:r>
              <w:rPr>
                <w:rStyle w:val="label"/>
                <w:rFonts w:ascii="Arial Narrow" w:eastAsia="Times New Roman" w:hAnsi="Arial Narrow"/>
                <w:szCs w:val="18"/>
              </w:rPr>
              <w:t>Early preterm birth &lt;34 weeks</w:t>
            </w:r>
          </w:p>
        </w:tc>
        <w:tc>
          <w:tcPr>
            <w:tcW w:w="908" w:type="pct"/>
            <w:tcBorders>
              <w:top w:val="single" w:sz="6" w:space="0" w:color="000000"/>
              <w:left w:val="nil"/>
              <w:bottom w:val="single" w:sz="6" w:space="0" w:color="000000"/>
              <w:right w:val="nil"/>
            </w:tcBorders>
            <w:vAlign w:val="center"/>
            <w:hideMark/>
          </w:tcPr>
          <w:p w14:paraId="6523A64B" w14:textId="74321BBB" w:rsidR="002170A1" w:rsidRPr="00C12274" w:rsidRDefault="002170A1" w:rsidP="008E03BA">
            <w:pPr>
              <w:rPr>
                <w:rFonts w:ascii="Arial Narrow" w:eastAsia="Times New Roman" w:hAnsi="Arial Narrow"/>
                <w:sz w:val="16"/>
                <w:szCs w:val="16"/>
              </w:rPr>
            </w:pPr>
            <w:r>
              <w:rPr>
                <w:rFonts w:ascii="Arial Narrow" w:eastAsia="Times New Roman" w:hAnsi="Arial Narrow"/>
                <w:sz w:val="16"/>
                <w:szCs w:val="16"/>
              </w:rPr>
              <w:t>46</w:t>
            </w:r>
            <w:r w:rsidRPr="00C12274">
              <w:rPr>
                <w:rFonts w:ascii="Arial Narrow" w:eastAsia="Times New Roman" w:hAnsi="Arial Narrow"/>
                <w:sz w:val="16"/>
                <w:szCs w:val="16"/>
              </w:rPr>
              <w:t xml:space="preserve"> per 1,000 </w:t>
            </w:r>
          </w:p>
        </w:tc>
        <w:tc>
          <w:tcPr>
            <w:tcW w:w="1090" w:type="pct"/>
            <w:tcBorders>
              <w:top w:val="single" w:sz="6" w:space="0" w:color="000000"/>
              <w:left w:val="nil"/>
              <w:bottom w:val="single" w:sz="6" w:space="0" w:color="000000"/>
              <w:right w:val="nil"/>
            </w:tcBorders>
            <w:shd w:val="clear" w:color="auto" w:fill="EBEBEB"/>
            <w:hideMark/>
          </w:tcPr>
          <w:p w14:paraId="23AF8801" w14:textId="1D80E30C" w:rsidR="002170A1" w:rsidRPr="00C12274" w:rsidRDefault="002170A1" w:rsidP="002170A1">
            <w:pPr>
              <w:jc w:val="center"/>
              <w:rPr>
                <w:rFonts w:ascii="Arial Narrow" w:eastAsia="Times New Roman" w:hAnsi="Arial Narrow"/>
                <w:sz w:val="16"/>
                <w:szCs w:val="16"/>
              </w:rPr>
            </w:pPr>
            <w:r>
              <w:rPr>
                <w:rStyle w:val="cell-value"/>
                <w:rFonts w:ascii="Arial Narrow" w:eastAsia="Times New Roman" w:hAnsi="Arial Narrow"/>
                <w:b/>
                <w:bCs/>
                <w:szCs w:val="18"/>
              </w:rPr>
              <w:t>27</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w:t>
            </w:r>
            <w:r>
              <w:rPr>
                <w:rStyle w:val="cell-value"/>
                <w:rFonts w:ascii="Arial Narrow" w:eastAsia="Times New Roman" w:hAnsi="Arial Narrow"/>
                <w:szCs w:val="18"/>
              </w:rPr>
              <w:t>20 to 35</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20015267" w14:textId="40ECC4C5" w:rsidR="002170A1" w:rsidRPr="00C12274" w:rsidRDefault="002170A1" w:rsidP="002170A1">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Pr>
                <w:rStyle w:val="block"/>
                <w:rFonts w:ascii="Arial Narrow" w:eastAsia="Times New Roman" w:hAnsi="Arial Narrow"/>
                <w:b/>
                <w:bCs/>
                <w:sz w:val="16"/>
                <w:szCs w:val="16"/>
              </w:rPr>
              <w:t>58</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44</w:t>
            </w:r>
            <w:r w:rsidRPr="00C12274">
              <w:rPr>
                <w:rStyle w:val="cell"/>
                <w:rFonts w:ascii="Arial Narrow" w:eastAsia="Times New Roman" w:hAnsi="Arial Narrow"/>
                <w:sz w:val="16"/>
                <w:szCs w:val="16"/>
              </w:rPr>
              <w:t xml:space="preserve"> to 0.</w:t>
            </w:r>
            <w:r>
              <w:rPr>
                <w:rStyle w:val="cell"/>
                <w:rFonts w:ascii="Arial Narrow" w:eastAsia="Times New Roman" w:hAnsi="Arial Narrow"/>
                <w:sz w:val="16"/>
                <w:szCs w:val="16"/>
              </w:rPr>
              <w:t>77</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6DC2EA32" w14:textId="7AC80047" w:rsidR="002170A1" w:rsidRPr="00C12274" w:rsidRDefault="002170A1" w:rsidP="002170A1">
            <w:pPr>
              <w:jc w:val="center"/>
              <w:rPr>
                <w:rFonts w:ascii="Arial Narrow" w:eastAsia="Times New Roman" w:hAnsi="Arial Narrow"/>
                <w:sz w:val="16"/>
                <w:szCs w:val="16"/>
              </w:rPr>
            </w:pPr>
            <w:r w:rsidRPr="00C12274">
              <w:rPr>
                <w:rFonts w:ascii="Arial Narrow" w:eastAsia="Times New Roman" w:hAnsi="Arial Narrow"/>
                <w:sz w:val="16"/>
                <w:szCs w:val="16"/>
              </w:rPr>
              <w:t>5,</w:t>
            </w:r>
            <w:r>
              <w:rPr>
                <w:rFonts w:ascii="Arial Narrow" w:eastAsia="Times New Roman" w:hAnsi="Arial Narrow"/>
                <w:sz w:val="16"/>
                <w:szCs w:val="16"/>
              </w:rPr>
              <w:t>204</w:t>
            </w:r>
            <w:r w:rsidRPr="00C12274">
              <w:rPr>
                <w:rFonts w:ascii="Arial Narrow" w:eastAsia="Times New Roman" w:hAnsi="Arial Narrow"/>
                <w:sz w:val="16"/>
                <w:szCs w:val="16"/>
              </w:rPr>
              <w:br/>
              <w:t>(</w:t>
            </w:r>
            <w:r>
              <w:rPr>
                <w:rFonts w:ascii="Arial Narrow" w:eastAsia="Times New Roman" w:hAnsi="Arial Narrow"/>
                <w:sz w:val="16"/>
                <w:szCs w:val="16"/>
              </w:rPr>
              <w:t>9</w:t>
            </w:r>
            <w:r w:rsidRPr="00C12274">
              <w:rPr>
                <w:rFonts w:ascii="Arial Narrow" w:eastAsia="Times New Roman" w:hAnsi="Arial Narrow"/>
                <w:sz w:val="16"/>
                <w:szCs w:val="16"/>
              </w:rPr>
              <w:t xml:space="preserve"> RCTs) </w:t>
            </w:r>
          </w:p>
        </w:tc>
        <w:tc>
          <w:tcPr>
            <w:tcW w:w="754" w:type="pct"/>
            <w:tcBorders>
              <w:top w:val="single" w:sz="6" w:space="0" w:color="000000"/>
              <w:left w:val="nil"/>
              <w:bottom w:val="single" w:sz="6" w:space="0" w:color="000000"/>
              <w:right w:val="nil"/>
            </w:tcBorders>
            <w:vAlign w:val="center"/>
            <w:hideMark/>
          </w:tcPr>
          <w:p w14:paraId="699F6384" w14:textId="74EC7DE1" w:rsidR="002170A1" w:rsidRPr="00C12274" w:rsidRDefault="002170A1" w:rsidP="008E03BA">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HIGH</w:t>
            </w:r>
            <w:r w:rsidRPr="00C12274">
              <w:rPr>
                <w:rFonts w:ascii="Arial Narrow" w:eastAsia="Times New Roman" w:hAnsi="Arial Narrow"/>
                <w:sz w:val="16"/>
                <w:szCs w:val="16"/>
              </w:rPr>
              <w:t xml:space="preserve"> </w:t>
            </w:r>
            <w:r>
              <w:rPr>
                <w:rFonts w:ascii="Arial Narrow" w:eastAsia="Times New Roman" w:hAnsi="Arial Narrow"/>
                <w:sz w:val="16"/>
                <w:szCs w:val="16"/>
                <w:vertAlign w:val="superscript"/>
              </w:rPr>
              <w:t>2</w:t>
            </w:r>
          </w:p>
        </w:tc>
      </w:tr>
      <w:tr w:rsidR="005A3845" w:rsidRPr="00C12274" w14:paraId="64C19139" w14:textId="77777777" w:rsidTr="005A3845">
        <w:trPr>
          <w:cantSplit/>
        </w:trPr>
        <w:tc>
          <w:tcPr>
            <w:tcW w:w="677" w:type="pct"/>
            <w:tcBorders>
              <w:top w:val="single" w:sz="6" w:space="0" w:color="000000"/>
              <w:left w:val="nil"/>
              <w:bottom w:val="single" w:sz="6" w:space="0" w:color="000000"/>
              <w:right w:val="nil"/>
            </w:tcBorders>
            <w:vAlign w:val="center"/>
            <w:hideMark/>
          </w:tcPr>
          <w:p w14:paraId="4A183C84" w14:textId="03E680AE" w:rsidR="002170A1" w:rsidRPr="00C12274" w:rsidRDefault="002170A1" w:rsidP="008E03BA">
            <w:pPr>
              <w:jc w:val="center"/>
              <w:rPr>
                <w:rFonts w:ascii="Arial Narrow" w:eastAsia="Times New Roman" w:hAnsi="Arial Narrow"/>
                <w:sz w:val="16"/>
                <w:szCs w:val="16"/>
              </w:rPr>
            </w:pPr>
            <w:r>
              <w:rPr>
                <w:rStyle w:val="label"/>
                <w:rFonts w:ascii="Arial Narrow" w:eastAsia="Times New Roman" w:hAnsi="Arial Narrow"/>
                <w:szCs w:val="18"/>
              </w:rPr>
              <w:t>Perinatal death</w:t>
            </w:r>
            <w:r w:rsidRPr="00C12274">
              <w:rPr>
                <w:rFonts w:ascii="Arial Narrow" w:eastAsia="Times New Roman" w:hAnsi="Arial Narrow"/>
                <w:sz w:val="16"/>
                <w:szCs w:val="16"/>
              </w:rPr>
              <w:t xml:space="preserve"> </w:t>
            </w:r>
          </w:p>
        </w:tc>
        <w:tc>
          <w:tcPr>
            <w:tcW w:w="908" w:type="pct"/>
            <w:tcBorders>
              <w:top w:val="single" w:sz="6" w:space="0" w:color="000000"/>
              <w:left w:val="nil"/>
              <w:bottom w:val="single" w:sz="6" w:space="0" w:color="000000"/>
              <w:right w:val="nil"/>
            </w:tcBorders>
            <w:vAlign w:val="center"/>
            <w:hideMark/>
          </w:tcPr>
          <w:p w14:paraId="1ED66328" w14:textId="5C984B05" w:rsidR="002170A1" w:rsidRPr="00C12274" w:rsidRDefault="002170A1" w:rsidP="008E03BA">
            <w:pPr>
              <w:rPr>
                <w:rFonts w:ascii="Arial Narrow" w:eastAsia="Times New Roman" w:hAnsi="Arial Narrow"/>
                <w:sz w:val="16"/>
                <w:szCs w:val="16"/>
              </w:rPr>
            </w:pPr>
            <w:r>
              <w:rPr>
                <w:rFonts w:ascii="Arial Narrow" w:eastAsia="Times New Roman" w:hAnsi="Arial Narrow"/>
                <w:sz w:val="16"/>
                <w:szCs w:val="16"/>
              </w:rPr>
              <w:t>20</w:t>
            </w:r>
            <w:r w:rsidRPr="00C12274">
              <w:rPr>
                <w:rFonts w:ascii="Arial Narrow" w:eastAsia="Times New Roman" w:hAnsi="Arial Narrow"/>
                <w:sz w:val="16"/>
                <w:szCs w:val="16"/>
              </w:rPr>
              <w:t xml:space="preserve"> per 1,000 </w:t>
            </w:r>
          </w:p>
        </w:tc>
        <w:tc>
          <w:tcPr>
            <w:tcW w:w="1090" w:type="pct"/>
            <w:tcBorders>
              <w:top w:val="single" w:sz="6" w:space="0" w:color="000000"/>
              <w:left w:val="nil"/>
              <w:bottom w:val="single" w:sz="6" w:space="0" w:color="000000"/>
              <w:right w:val="nil"/>
            </w:tcBorders>
            <w:shd w:val="clear" w:color="auto" w:fill="EBEBEB"/>
            <w:hideMark/>
          </w:tcPr>
          <w:p w14:paraId="21A6A8C9" w14:textId="5449EEDD" w:rsidR="002170A1" w:rsidRPr="00C12274" w:rsidRDefault="002170A1" w:rsidP="002170A1">
            <w:pPr>
              <w:jc w:val="center"/>
              <w:rPr>
                <w:rFonts w:ascii="Arial Narrow" w:eastAsia="Times New Roman" w:hAnsi="Arial Narrow"/>
                <w:sz w:val="16"/>
                <w:szCs w:val="16"/>
              </w:rPr>
            </w:pPr>
            <w:r>
              <w:rPr>
                <w:rStyle w:val="cell-value"/>
                <w:rFonts w:ascii="Arial Narrow" w:eastAsia="Times New Roman" w:hAnsi="Arial Narrow"/>
                <w:b/>
                <w:bCs/>
                <w:szCs w:val="18"/>
              </w:rPr>
              <w:t>15</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w:t>
            </w:r>
            <w:r>
              <w:rPr>
                <w:rStyle w:val="cell-value"/>
                <w:rFonts w:ascii="Arial Narrow" w:eastAsia="Times New Roman" w:hAnsi="Arial Narrow"/>
                <w:szCs w:val="18"/>
              </w:rPr>
              <w:t>15 to 21</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11A5E3CA" w14:textId="02AA6B7B" w:rsidR="002170A1" w:rsidRPr="00C12274" w:rsidRDefault="002170A1" w:rsidP="002170A1">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Pr>
                <w:rStyle w:val="block"/>
                <w:rFonts w:ascii="Arial Narrow" w:eastAsia="Times New Roman" w:hAnsi="Arial Narrow"/>
                <w:b/>
                <w:bCs/>
                <w:sz w:val="16"/>
                <w:szCs w:val="16"/>
              </w:rPr>
              <w:t>75</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54</w:t>
            </w:r>
            <w:r w:rsidRPr="00C12274">
              <w:rPr>
                <w:rStyle w:val="cell"/>
                <w:rFonts w:ascii="Arial Narrow" w:eastAsia="Times New Roman" w:hAnsi="Arial Narrow"/>
                <w:sz w:val="16"/>
                <w:szCs w:val="16"/>
              </w:rPr>
              <w:t xml:space="preserve"> to </w:t>
            </w:r>
            <w:r>
              <w:rPr>
                <w:rStyle w:val="cell"/>
                <w:rFonts w:ascii="Arial Narrow" w:eastAsia="Times New Roman" w:hAnsi="Arial Narrow"/>
                <w:sz w:val="16"/>
                <w:szCs w:val="16"/>
              </w:rPr>
              <w:t>1.03</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24207BC6" w14:textId="6BB1F188" w:rsidR="002170A1" w:rsidRPr="00C12274" w:rsidRDefault="002170A1" w:rsidP="008E03BA">
            <w:pPr>
              <w:jc w:val="center"/>
              <w:rPr>
                <w:rFonts w:ascii="Arial Narrow" w:eastAsia="Times New Roman" w:hAnsi="Arial Narrow"/>
                <w:sz w:val="16"/>
                <w:szCs w:val="16"/>
              </w:rPr>
            </w:pPr>
            <w:r>
              <w:rPr>
                <w:rFonts w:ascii="Arial Narrow" w:eastAsia="Times New Roman" w:hAnsi="Arial Narrow"/>
                <w:sz w:val="16"/>
                <w:szCs w:val="16"/>
              </w:rPr>
              <w:t>7,416</w:t>
            </w:r>
            <w:r>
              <w:rPr>
                <w:rFonts w:ascii="Arial Narrow" w:eastAsia="Times New Roman" w:hAnsi="Arial Narrow"/>
                <w:sz w:val="16"/>
                <w:szCs w:val="16"/>
              </w:rPr>
              <w:br/>
              <w:t>(10</w:t>
            </w:r>
            <w:r w:rsidRPr="00C12274">
              <w:rPr>
                <w:rFonts w:ascii="Arial Narrow" w:eastAsia="Times New Roman" w:hAnsi="Arial Narrow"/>
                <w:sz w:val="16"/>
                <w:szCs w:val="16"/>
              </w:rPr>
              <w:t xml:space="preserve"> RCTs) </w:t>
            </w:r>
          </w:p>
        </w:tc>
        <w:tc>
          <w:tcPr>
            <w:tcW w:w="754" w:type="pct"/>
            <w:tcBorders>
              <w:top w:val="single" w:sz="6" w:space="0" w:color="000000"/>
              <w:left w:val="nil"/>
              <w:bottom w:val="single" w:sz="6" w:space="0" w:color="000000"/>
              <w:right w:val="nil"/>
            </w:tcBorders>
            <w:vAlign w:val="center"/>
            <w:hideMark/>
          </w:tcPr>
          <w:p w14:paraId="0D392809" w14:textId="133F0FD1" w:rsidR="002170A1" w:rsidRPr="00C12274" w:rsidRDefault="002170A1" w:rsidP="008E03BA">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Pr>
                <w:rFonts w:ascii="Arial Narrow" w:eastAsia="Times New Roman" w:hAnsi="Arial Narrow"/>
                <w:sz w:val="16"/>
                <w:szCs w:val="16"/>
                <w:vertAlign w:val="superscript"/>
              </w:rPr>
              <w:t>3</w:t>
            </w:r>
          </w:p>
        </w:tc>
      </w:tr>
      <w:tr w:rsidR="005A3845" w:rsidRPr="00C12274" w14:paraId="7328F526" w14:textId="77777777" w:rsidTr="005A3845">
        <w:trPr>
          <w:cantSplit/>
        </w:trPr>
        <w:tc>
          <w:tcPr>
            <w:tcW w:w="677" w:type="pct"/>
            <w:tcBorders>
              <w:top w:val="single" w:sz="6" w:space="0" w:color="000000"/>
              <w:left w:val="nil"/>
              <w:bottom w:val="single" w:sz="6" w:space="0" w:color="000000"/>
              <w:right w:val="nil"/>
            </w:tcBorders>
            <w:vAlign w:val="center"/>
            <w:hideMark/>
          </w:tcPr>
          <w:p w14:paraId="70ED1B22" w14:textId="22F25A99" w:rsidR="002170A1" w:rsidRPr="00C12274" w:rsidRDefault="002170A1" w:rsidP="008E03BA">
            <w:pPr>
              <w:jc w:val="center"/>
              <w:rPr>
                <w:rFonts w:ascii="Arial Narrow" w:eastAsia="Times New Roman" w:hAnsi="Arial Narrow"/>
                <w:sz w:val="16"/>
                <w:szCs w:val="16"/>
              </w:rPr>
            </w:pPr>
            <w:r>
              <w:rPr>
                <w:rStyle w:val="label"/>
                <w:rFonts w:ascii="Arial Narrow" w:eastAsia="Times New Roman" w:hAnsi="Arial Narrow"/>
                <w:szCs w:val="18"/>
              </w:rPr>
              <w:t>Small for gestational age</w:t>
            </w:r>
            <w:r w:rsidRPr="00C12274">
              <w:rPr>
                <w:rFonts w:ascii="Arial Narrow" w:eastAsia="Times New Roman" w:hAnsi="Arial Narrow"/>
                <w:sz w:val="16"/>
                <w:szCs w:val="16"/>
              </w:rPr>
              <w:t xml:space="preserve"> </w:t>
            </w:r>
          </w:p>
        </w:tc>
        <w:tc>
          <w:tcPr>
            <w:tcW w:w="908" w:type="pct"/>
            <w:tcBorders>
              <w:top w:val="single" w:sz="6" w:space="0" w:color="000000"/>
              <w:left w:val="nil"/>
              <w:bottom w:val="single" w:sz="6" w:space="0" w:color="000000"/>
              <w:right w:val="nil"/>
            </w:tcBorders>
            <w:vAlign w:val="center"/>
            <w:hideMark/>
          </w:tcPr>
          <w:p w14:paraId="5336E8FA" w14:textId="48839FDD" w:rsidR="002170A1" w:rsidRPr="00C12274" w:rsidRDefault="002170A1" w:rsidP="008E03BA">
            <w:pPr>
              <w:rPr>
                <w:rFonts w:ascii="Arial Narrow" w:eastAsia="Times New Roman" w:hAnsi="Arial Narrow"/>
                <w:sz w:val="16"/>
                <w:szCs w:val="16"/>
              </w:rPr>
            </w:pPr>
            <w:r>
              <w:rPr>
                <w:rFonts w:ascii="Arial Narrow" w:eastAsia="Times New Roman" w:hAnsi="Arial Narrow"/>
                <w:sz w:val="16"/>
                <w:szCs w:val="16"/>
              </w:rPr>
              <w:t>129</w:t>
            </w:r>
            <w:r w:rsidRPr="00C12274">
              <w:rPr>
                <w:rFonts w:ascii="Arial Narrow" w:eastAsia="Times New Roman" w:hAnsi="Arial Narrow"/>
                <w:sz w:val="16"/>
                <w:szCs w:val="16"/>
              </w:rPr>
              <w:t xml:space="preserve"> per 1,000 </w:t>
            </w:r>
          </w:p>
        </w:tc>
        <w:tc>
          <w:tcPr>
            <w:tcW w:w="1090" w:type="pct"/>
            <w:tcBorders>
              <w:top w:val="single" w:sz="6" w:space="0" w:color="000000"/>
              <w:left w:val="nil"/>
              <w:bottom w:val="single" w:sz="6" w:space="0" w:color="000000"/>
              <w:right w:val="nil"/>
            </w:tcBorders>
            <w:shd w:val="clear" w:color="auto" w:fill="EBEBEB"/>
            <w:hideMark/>
          </w:tcPr>
          <w:p w14:paraId="7C94A1F2" w14:textId="505F8421" w:rsidR="002170A1" w:rsidRPr="00C12274" w:rsidRDefault="002170A1" w:rsidP="002170A1">
            <w:pPr>
              <w:jc w:val="center"/>
              <w:rPr>
                <w:rFonts w:ascii="Arial Narrow" w:eastAsia="Times New Roman" w:hAnsi="Arial Narrow"/>
                <w:sz w:val="16"/>
                <w:szCs w:val="16"/>
              </w:rPr>
            </w:pPr>
            <w:r>
              <w:rPr>
                <w:rStyle w:val="cell-value"/>
                <w:rFonts w:ascii="Arial Narrow" w:eastAsia="Times New Roman" w:hAnsi="Arial Narrow"/>
                <w:b/>
                <w:bCs/>
                <w:szCs w:val="18"/>
              </w:rPr>
              <w:t>130</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w:t>
            </w:r>
            <w:r>
              <w:rPr>
                <w:rStyle w:val="cell-value"/>
                <w:rFonts w:ascii="Arial Narrow" w:eastAsia="Times New Roman" w:hAnsi="Arial Narrow"/>
                <w:szCs w:val="18"/>
              </w:rPr>
              <w:t>116 to 146</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6D15CD07" w14:textId="2116E47F" w:rsidR="002170A1" w:rsidRPr="00C12274" w:rsidRDefault="002170A1" w:rsidP="002170A1">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 xml:space="preserve">RR </w:t>
            </w:r>
            <w:r>
              <w:rPr>
                <w:rStyle w:val="block"/>
                <w:rFonts w:ascii="Arial Narrow" w:eastAsia="Times New Roman" w:hAnsi="Arial Narrow"/>
                <w:b/>
                <w:bCs/>
                <w:sz w:val="16"/>
                <w:szCs w:val="16"/>
              </w:rPr>
              <w:t>1.01</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90</w:t>
            </w:r>
            <w:r w:rsidRPr="00C12274">
              <w:rPr>
                <w:rStyle w:val="cell"/>
                <w:rFonts w:ascii="Arial Narrow" w:eastAsia="Times New Roman" w:hAnsi="Arial Narrow"/>
                <w:sz w:val="16"/>
                <w:szCs w:val="16"/>
              </w:rPr>
              <w:t xml:space="preserve"> to 1.</w:t>
            </w:r>
            <w:r>
              <w:rPr>
                <w:rStyle w:val="cell"/>
                <w:rFonts w:ascii="Arial Narrow" w:eastAsia="Times New Roman" w:hAnsi="Arial Narrow"/>
                <w:sz w:val="16"/>
                <w:szCs w:val="16"/>
              </w:rPr>
              <w:t>13</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78677927" w14:textId="6A8BA184" w:rsidR="002170A1" w:rsidRPr="00C12274" w:rsidRDefault="002170A1" w:rsidP="008E03BA">
            <w:pPr>
              <w:jc w:val="center"/>
              <w:rPr>
                <w:rFonts w:ascii="Arial Narrow" w:eastAsia="Times New Roman" w:hAnsi="Arial Narrow"/>
                <w:sz w:val="16"/>
                <w:szCs w:val="16"/>
              </w:rPr>
            </w:pPr>
            <w:r>
              <w:rPr>
                <w:rFonts w:ascii="Arial Narrow" w:eastAsia="Times New Roman" w:hAnsi="Arial Narrow"/>
                <w:sz w:val="16"/>
                <w:szCs w:val="16"/>
              </w:rPr>
              <w:t>6,907</w:t>
            </w:r>
            <w:r w:rsidRPr="00C12274">
              <w:rPr>
                <w:rFonts w:ascii="Arial Narrow" w:eastAsia="Times New Roman" w:hAnsi="Arial Narrow"/>
                <w:sz w:val="16"/>
                <w:szCs w:val="16"/>
              </w:rPr>
              <w:br/>
              <w:t>(</w:t>
            </w:r>
            <w:r>
              <w:rPr>
                <w:rFonts w:ascii="Arial Narrow" w:eastAsia="Times New Roman" w:hAnsi="Arial Narrow"/>
                <w:sz w:val="16"/>
                <w:szCs w:val="16"/>
              </w:rPr>
              <w:t>8</w:t>
            </w:r>
            <w:r w:rsidRPr="00C12274">
              <w:rPr>
                <w:rFonts w:ascii="Arial Narrow" w:eastAsia="Times New Roman" w:hAnsi="Arial Narrow"/>
                <w:sz w:val="16"/>
                <w:szCs w:val="16"/>
              </w:rPr>
              <w:t xml:space="preserve"> RCTs) </w:t>
            </w:r>
          </w:p>
        </w:tc>
        <w:tc>
          <w:tcPr>
            <w:tcW w:w="754" w:type="pct"/>
            <w:tcBorders>
              <w:top w:val="single" w:sz="6" w:space="0" w:color="000000"/>
              <w:left w:val="nil"/>
              <w:bottom w:val="single" w:sz="6" w:space="0" w:color="000000"/>
              <w:right w:val="nil"/>
            </w:tcBorders>
            <w:vAlign w:val="center"/>
            <w:hideMark/>
          </w:tcPr>
          <w:p w14:paraId="349FD7DC" w14:textId="2FFBE346" w:rsidR="002170A1" w:rsidRPr="00C12274" w:rsidRDefault="002170A1" w:rsidP="008E03BA">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Pr>
                <w:rFonts w:ascii="Arial Narrow" w:eastAsia="Times New Roman" w:hAnsi="Arial Narrow"/>
                <w:sz w:val="16"/>
                <w:szCs w:val="16"/>
                <w:vertAlign w:val="superscript"/>
              </w:rPr>
              <w:t>3</w:t>
            </w:r>
          </w:p>
        </w:tc>
      </w:tr>
      <w:tr w:rsidR="005A3845" w:rsidRPr="00C12274" w14:paraId="7183F39A" w14:textId="77777777" w:rsidTr="005A3845">
        <w:trPr>
          <w:cantSplit/>
        </w:trPr>
        <w:tc>
          <w:tcPr>
            <w:tcW w:w="677" w:type="pct"/>
            <w:tcBorders>
              <w:top w:val="single" w:sz="6" w:space="0" w:color="000000"/>
              <w:left w:val="nil"/>
              <w:bottom w:val="single" w:sz="6" w:space="0" w:color="000000"/>
              <w:right w:val="nil"/>
            </w:tcBorders>
            <w:vAlign w:val="center"/>
            <w:hideMark/>
          </w:tcPr>
          <w:p w14:paraId="0551B808" w14:textId="6828D223" w:rsidR="002170A1" w:rsidRPr="00C12274" w:rsidRDefault="002170A1" w:rsidP="008E03BA">
            <w:pPr>
              <w:jc w:val="center"/>
              <w:rPr>
                <w:rFonts w:ascii="Arial Narrow" w:eastAsia="Times New Roman" w:hAnsi="Arial Narrow"/>
                <w:sz w:val="16"/>
                <w:szCs w:val="16"/>
              </w:rPr>
            </w:pPr>
            <w:r>
              <w:rPr>
                <w:rStyle w:val="label"/>
                <w:rFonts w:ascii="Arial Narrow" w:eastAsia="Times New Roman" w:hAnsi="Arial Narrow"/>
                <w:szCs w:val="18"/>
              </w:rPr>
              <w:t>Low birth weight</w:t>
            </w:r>
            <w:r w:rsidRPr="00C12274">
              <w:rPr>
                <w:rFonts w:ascii="Arial Narrow" w:eastAsia="Times New Roman" w:hAnsi="Arial Narrow"/>
                <w:sz w:val="16"/>
                <w:szCs w:val="16"/>
              </w:rPr>
              <w:t xml:space="preserve"> </w:t>
            </w:r>
          </w:p>
        </w:tc>
        <w:tc>
          <w:tcPr>
            <w:tcW w:w="908" w:type="pct"/>
            <w:tcBorders>
              <w:top w:val="single" w:sz="6" w:space="0" w:color="000000"/>
              <w:left w:val="nil"/>
              <w:bottom w:val="single" w:sz="6" w:space="0" w:color="000000"/>
              <w:right w:val="nil"/>
            </w:tcBorders>
            <w:vAlign w:val="center"/>
            <w:hideMark/>
          </w:tcPr>
          <w:p w14:paraId="2B0DBCE3" w14:textId="39F12C89" w:rsidR="002170A1" w:rsidRPr="00C12274" w:rsidRDefault="002170A1" w:rsidP="008E03BA">
            <w:pPr>
              <w:rPr>
                <w:rFonts w:ascii="Arial Narrow" w:eastAsia="Times New Roman" w:hAnsi="Arial Narrow"/>
                <w:sz w:val="16"/>
                <w:szCs w:val="16"/>
              </w:rPr>
            </w:pPr>
            <w:r>
              <w:rPr>
                <w:rFonts w:ascii="Arial Narrow" w:eastAsia="Times New Roman" w:hAnsi="Arial Narrow"/>
                <w:sz w:val="16"/>
                <w:szCs w:val="16"/>
              </w:rPr>
              <w:t>156</w:t>
            </w:r>
            <w:r w:rsidRPr="00C12274">
              <w:rPr>
                <w:rFonts w:ascii="Arial Narrow" w:eastAsia="Times New Roman" w:hAnsi="Arial Narrow"/>
                <w:sz w:val="16"/>
                <w:szCs w:val="16"/>
              </w:rPr>
              <w:t xml:space="preserve"> per 1,000 </w:t>
            </w:r>
          </w:p>
        </w:tc>
        <w:tc>
          <w:tcPr>
            <w:tcW w:w="1090" w:type="pct"/>
            <w:tcBorders>
              <w:top w:val="single" w:sz="6" w:space="0" w:color="000000"/>
              <w:left w:val="nil"/>
              <w:bottom w:val="single" w:sz="6" w:space="0" w:color="000000"/>
              <w:right w:val="nil"/>
            </w:tcBorders>
            <w:shd w:val="clear" w:color="auto" w:fill="EBEBEB"/>
            <w:hideMark/>
          </w:tcPr>
          <w:p w14:paraId="491409DC" w14:textId="5A783CB7" w:rsidR="002170A1" w:rsidRPr="00C12274" w:rsidRDefault="002170A1" w:rsidP="002170A1">
            <w:pPr>
              <w:jc w:val="center"/>
              <w:rPr>
                <w:rFonts w:ascii="Arial Narrow" w:eastAsia="Times New Roman" w:hAnsi="Arial Narrow"/>
                <w:sz w:val="16"/>
                <w:szCs w:val="16"/>
              </w:rPr>
            </w:pPr>
            <w:r w:rsidRPr="00C12274">
              <w:rPr>
                <w:rStyle w:val="cell-value"/>
                <w:rFonts w:ascii="Arial Narrow" w:eastAsia="Times New Roman" w:hAnsi="Arial Narrow"/>
                <w:b/>
                <w:bCs/>
                <w:szCs w:val="18"/>
              </w:rPr>
              <w:t>1</w:t>
            </w:r>
            <w:r>
              <w:rPr>
                <w:rStyle w:val="cell-value"/>
                <w:rFonts w:ascii="Arial Narrow" w:eastAsia="Times New Roman" w:hAnsi="Arial Narrow"/>
                <w:b/>
                <w:bCs/>
                <w:szCs w:val="18"/>
              </w:rPr>
              <w:t>40</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(1</w:t>
            </w:r>
            <w:r>
              <w:rPr>
                <w:rStyle w:val="cell-value"/>
                <w:rFonts w:ascii="Arial Narrow" w:eastAsia="Times New Roman" w:hAnsi="Arial Narrow"/>
                <w:szCs w:val="18"/>
              </w:rPr>
              <w:t>28</w:t>
            </w:r>
            <w:r w:rsidRPr="00C12274">
              <w:rPr>
                <w:rStyle w:val="cell-value"/>
                <w:rFonts w:ascii="Arial Narrow" w:eastAsia="Times New Roman" w:hAnsi="Arial Narrow"/>
                <w:szCs w:val="18"/>
              </w:rPr>
              <w:t xml:space="preserve"> to </w:t>
            </w:r>
            <w:r>
              <w:rPr>
                <w:rStyle w:val="cell-value"/>
                <w:rFonts w:ascii="Arial Narrow" w:eastAsia="Times New Roman" w:hAnsi="Arial Narrow"/>
                <w:szCs w:val="18"/>
              </w:rPr>
              <w:t>154</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20CB1C02" w14:textId="0AF3F96A" w:rsidR="002170A1" w:rsidRPr="00C12274" w:rsidRDefault="002170A1" w:rsidP="002170A1">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Pr>
                <w:rStyle w:val="block"/>
                <w:rFonts w:ascii="Arial Narrow" w:eastAsia="Times New Roman" w:hAnsi="Arial Narrow"/>
                <w:b/>
                <w:bCs/>
                <w:sz w:val="16"/>
                <w:szCs w:val="16"/>
              </w:rPr>
              <w:t>90</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82</w:t>
            </w:r>
            <w:r w:rsidRPr="00C12274">
              <w:rPr>
                <w:rStyle w:val="cell"/>
                <w:rFonts w:ascii="Arial Narrow" w:eastAsia="Times New Roman" w:hAnsi="Arial Narrow"/>
                <w:sz w:val="16"/>
                <w:szCs w:val="16"/>
              </w:rPr>
              <w:t xml:space="preserve"> to 0.9</w:t>
            </w:r>
            <w:r>
              <w:rPr>
                <w:rStyle w:val="cell"/>
                <w:rFonts w:ascii="Arial Narrow" w:eastAsia="Times New Roman" w:hAnsi="Arial Narrow"/>
                <w:sz w:val="16"/>
                <w:szCs w:val="16"/>
              </w:rPr>
              <w:t>9</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2AFE3F76" w14:textId="6A40CA7C" w:rsidR="002170A1" w:rsidRPr="00C12274" w:rsidRDefault="002170A1" w:rsidP="002170A1">
            <w:pPr>
              <w:jc w:val="center"/>
              <w:rPr>
                <w:rFonts w:ascii="Arial Narrow" w:eastAsia="Times New Roman" w:hAnsi="Arial Narrow"/>
                <w:sz w:val="16"/>
                <w:szCs w:val="16"/>
              </w:rPr>
            </w:pPr>
            <w:r>
              <w:rPr>
                <w:rFonts w:ascii="Arial Narrow" w:eastAsia="Times New Roman" w:hAnsi="Arial Narrow"/>
                <w:sz w:val="16"/>
                <w:szCs w:val="16"/>
              </w:rPr>
              <w:t>8,449</w:t>
            </w:r>
            <w:r w:rsidRPr="00C12274">
              <w:rPr>
                <w:rFonts w:ascii="Arial Narrow" w:eastAsia="Times New Roman" w:hAnsi="Arial Narrow"/>
                <w:sz w:val="16"/>
                <w:szCs w:val="16"/>
              </w:rPr>
              <w:br/>
              <w:t>(</w:t>
            </w:r>
            <w:r>
              <w:rPr>
                <w:rFonts w:ascii="Arial Narrow" w:eastAsia="Times New Roman" w:hAnsi="Arial Narrow"/>
                <w:sz w:val="16"/>
                <w:szCs w:val="16"/>
              </w:rPr>
              <w:t>15</w:t>
            </w:r>
            <w:r w:rsidRPr="00C12274">
              <w:rPr>
                <w:rFonts w:ascii="Arial Narrow" w:eastAsia="Times New Roman" w:hAnsi="Arial Narrow"/>
                <w:sz w:val="16"/>
                <w:szCs w:val="16"/>
              </w:rPr>
              <w:t xml:space="preserve"> RCTs) </w:t>
            </w:r>
          </w:p>
        </w:tc>
        <w:tc>
          <w:tcPr>
            <w:tcW w:w="754" w:type="pct"/>
            <w:tcBorders>
              <w:top w:val="single" w:sz="6" w:space="0" w:color="000000"/>
              <w:left w:val="nil"/>
              <w:bottom w:val="single" w:sz="6" w:space="0" w:color="000000"/>
              <w:right w:val="nil"/>
            </w:tcBorders>
            <w:vAlign w:val="center"/>
            <w:hideMark/>
          </w:tcPr>
          <w:p w14:paraId="76D55753" w14:textId="25E7D5C3" w:rsidR="002170A1" w:rsidRPr="00C12274" w:rsidRDefault="002170A1" w:rsidP="002170A1">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HIGH</w:t>
            </w:r>
            <w:r w:rsidRPr="00C12274">
              <w:rPr>
                <w:rFonts w:ascii="Arial Narrow" w:eastAsia="Times New Roman" w:hAnsi="Arial Narrow"/>
                <w:sz w:val="16"/>
                <w:szCs w:val="16"/>
              </w:rPr>
              <w:t xml:space="preserve"> </w:t>
            </w:r>
          </w:p>
        </w:tc>
      </w:tr>
      <w:tr w:rsidR="005A3845" w:rsidRPr="00C12274" w14:paraId="5BAA5EC9" w14:textId="77777777" w:rsidTr="005A3845">
        <w:trPr>
          <w:cantSplit/>
        </w:trPr>
        <w:tc>
          <w:tcPr>
            <w:tcW w:w="677" w:type="pct"/>
            <w:tcBorders>
              <w:top w:val="single" w:sz="6" w:space="0" w:color="000000"/>
              <w:left w:val="nil"/>
              <w:bottom w:val="single" w:sz="6" w:space="0" w:color="000000"/>
              <w:right w:val="nil"/>
            </w:tcBorders>
            <w:vAlign w:val="center"/>
          </w:tcPr>
          <w:p w14:paraId="113EF212" w14:textId="3D0E6C3B" w:rsidR="002170A1" w:rsidRPr="00C12274" w:rsidRDefault="002170A1" w:rsidP="008E03BA">
            <w:pPr>
              <w:jc w:val="center"/>
              <w:rPr>
                <w:rStyle w:val="label"/>
                <w:rFonts w:ascii="Arial Narrow" w:eastAsia="Times New Roman" w:hAnsi="Arial Narrow"/>
                <w:szCs w:val="18"/>
              </w:rPr>
            </w:pPr>
            <w:r>
              <w:rPr>
                <w:rStyle w:val="label"/>
                <w:rFonts w:ascii="Arial Narrow" w:eastAsia="Times New Roman" w:hAnsi="Arial Narrow"/>
                <w:szCs w:val="18"/>
              </w:rPr>
              <w:t>Large for gestational age</w:t>
            </w:r>
          </w:p>
        </w:tc>
        <w:tc>
          <w:tcPr>
            <w:tcW w:w="908" w:type="pct"/>
            <w:tcBorders>
              <w:top w:val="single" w:sz="6" w:space="0" w:color="000000"/>
              <w:left w:val="nil"/>
              <w:bottom w:val="single" w:sz="6" w:space="0" w:color="000000"/>
              <w:right w:val="nil"/>
            </w:tcBorders>
            <w:vAlign w:val="center"/>
          </w:tcPr>
          <w:p w14:paraId="36D955CA" w14:textId="556CDB2B" w:rsidR="002170A1" w:rsidRPr="00C12274" w:rsidRDefault="002170A1" w:rsidP="008E03BA">
            <w:pPr>
              <w:rPr>
                <w:rFonts w:ascii="Arial Narrow" w:eastAsia="Times New Roman" w:hAnsi="Arial Narrow"/>
                <w:sz w:val="16"/>
                <w:szCs w:val="16"/>
              </w:rPr>
            </w:pPr>
            <w:r>
              <w:rPr>
                <w:rFonts w:ascii="Arial Narrow" w:eastAsia="Times New Roman" w:hAnsi="Arial Narrow"/>
                <w:sz w:val="16"/>
                <w:szCs w:val="16"/>
              </w:rPr>
              <w:t>117</w:t>
            </w:r>
            <w:r w:rsidRPr="00C12274">
              <w:rPr>
                <w:rFonts w:ascii="Arial Narrow" w:eastAsia="Times New Roman" w:hAnsi="Arial Narrow"/>
                <w:sz w:val="16"/>
                <w:szCs w:val="16"/>
              </w:rPr>
              <w:t xml:space="preserve"> per 1,000</w:t>
            </w:r>
          </w:p>
        </w:tc>
        <w:tc>
          <w:tcPr>
            <w:tcW w:w="1090" w:type="pct"/>
            <w:tcBorders>
              <w:top w:val="single" w:sz="6" w:space="0" w:color="000000"/>
              <w:left w:val="nil"/>
              <w:bottom w:val="single" w:sz="6" w:space="0" w:color="000000"/>
              <w:right w:val="nil"/>
            </w:tcBorders>
            <w:shd w:val="clear" w:color="auto" w:fill="EBEBEB"/>
          </w:tcPr>
          <w:p w14:paraId="4ABCE82B" w14:textId="1D8A5046" w:rsidR="002170A1" w:rsidRPr="00C12274" w:rsidRDefault="002170A1" w:rsidP="002170A1">
            <w:pPr>
              <w:jc w:val="center"/>
              <w:rPr>
                <w:rStyle w:val="cell-value"/>
                <w:rFonts w:ascii="Arial Narrow" w:eastAsia="Times New Roman" w:hAnsi="Arial Narrow"/>
                <w:b/>
                <w:bCs/>
                <w:szCs w:val="18"/>
              </w:rPr>
            </w:pPr>
            <w:r>
              <w:rPr>
                <w:rStyle w:val="cell-value"/>
                <w:rFonts w:ascii="Arial Narrow" w:eastAsia="Times New Roman" w:hAnsi="Arial Narrow"/>
                <w:b/>
                <w:bCs/>
                <w:szCs w:val="18"/>
              </w:rPr>
              <w:t>134</w:t>
            </w:r>
            <w:r w:rsidRPr="00C12274">
              <w:rPr>
                <w:rStyle w:val="cell-value"/>
                <w:rFonts w:ascii="Arial Narrow" w:eastAsia="Times New Roman" w:hAnsi="Arial Narrow"/>
                <w:b/>
                <w:bCs/>
                <w:szCs w:val="18"/>
              </w:rPr>
              <w:t xml:space="preserve"> per 1,000</w:t>
            </w:r>
            <w:r w:rsidRPr="00C12274">
              <w:rPr>
                <w:rStyle w:val="cell-value"/>
                <w:rFonts w:ascii="Arial Narrow" w:eastAsia="Times New Roman" w:hAnsi="Arial Narrow"/>
                <w:b/>
                <w:bCs/>
                <w:szCs w:val="18"/>
              </w:rPr>
              <w:br/>
            </w:r>
            <w:r w:rsidRPr="00C12274">
              <w:rPr>
                <w:rStyle w:val="cell-value"/>
                <w:rFonts w:ascii="Arial Narrow" w:eastAsia="Times New Roman" w:hAnsi="Arial Narrow"/>
                <w:bCs/>
                <w:szCs w:val="18"/>
              </w:rPr>
              <w:t>(</w:t>
            </w:r>
            <w:r>
              <w:rPr>
                <w:rStyle w:val="cell-value"/>
                <w:rFonts w:ascii="Arial Narrow" w:eastAsia="Times New Roman" w:hAnsi="Arial Narrow"/>
                <w:bCs/>
                <w:szCs w:val="18"/>
              </w:rPr>
              <w:t>113</w:t>
            </w:r>
            <w:r w:rsidRPr="00C12274">
              <w:rPr>
                <w:rStyle w:val="cell-value"/>
                <w:rFonts w:ascii="Arial Narrow" w:eastAsia="Times New Roman" w:hAnsi="Arial Narrow"/>
                <w:bCs/>
                <w:szCs w:val="18"/>
              </w:rPr>
              <w:t xml:space="preserve"> to 1</w:t>
            </w:r>
            <w:r>
              <w:rPr>
                <w:rStyle w:val="cell-value"/>
                <w:rFonts w:ascii="Arial Narrow" w:eastAsia="Times New Roman" w:hAnsi="Arial Narrow"/>
                <w:bCs/>
                <w:szCs w:val="18"/>
              </w:rPr>
              <w:t>59</w:t>
            </w:r>
            <w:r w:rsidRPr="00C12274">
              <w:rPr>
                <w:rStyle w:val="cell-value"/>
                <w:rFonts w:ascii="Arial Narrow" w:eastAsia="Times New Roman" w:hAnsi="Arial Narrow"/>
                <w:bCs/>
                <w:szCs w:val="18"/>
              </w:rPr>
              <w:t>)</w:t>
            </w:r>
          </w:p>
        </w:tc>
        <w:tc>
          <w:tcPr>
            <w:tcW w:w="787" w:type="pct"/>
            <w:tcBorders>
              <w:top w:val="single" w:sz="6" w:space="0" w:color="000000"/>
              <w:left w:val="nil"/>
              <w:bottom w:val="single" w:sz="6" w:space="0" w:color="000000"/>
              <w:right w:val="nil"/>
            </w:tcBorders>
            <w:vAlign w:val="center"/>
          </w:tcPr>
          <w:p w14:paraId="4C23A5E4" w14:textId="668D6808" w:rsidR="002170A1" w:rsidRPr="00C12274" w:rsidRDefault="002170A1" w:rsidP="00555A80">
            <w:pPr>
              <w:jc w:val="center"/>
              <w:rPr>
                <w:rStyle w:val="block"/>
                <w:rFonts w:ascii="Arial Narrow" w:eastAsia="Times New Roman" w:hAnsi="Arial Narrow"/>
                <w:b/>
                <w:bCs/>
                <w:sz w:val="16"/>
                <w:szCs w:val="16"/>
              </w:rPr>
            </w:pPr>
            <w:r w:rsidRPr="00C12274">
              <w:rPr>
                <w:rStyle w:val="block"/>
                <w:rFonts w:ascii="Arial Narrow" w:eastAsia="Times New Roman" w:hAnsi="Arial Narrow"/>
                <w:b/>
                <w:bCs/>
                <w:sz w:val="16"/>
                <w:szCs w:val="16"/>
              </w:rPr>
              <w:t xml:space="preserve">RR </w:t>
            </w:r>
            <w:r>
              <w:rPr>
                <w:rStyle w:val="block"/>
                <w:rFonts w:ascii="Arial Narrow" w:eastAsia="Times New Roman" w:hAnsi="Arial Narrow"/>
                <w:b/>
                <w:bCs/>
                <w:sz w:val="16"/>
                <w:szCs w:val="16"/>
              </w:rPr>
              <w:t>1.15</w:t>
            </w:r>
            <w:r w:rsidRPr="00C12274">
              <w:rPr>
                <w:rStyle w:val="block"/>
                <w:rFonts w:ascii="Arial Narrow" w:eastAsia="Times New Roman" w:hAnsi="Arial Narrow"/>
                <w:b/>
                <w:bCs/>
                <w:sz w:val="16"/>
                <w:szCs w:val="16"/>
              </w:rPr>
              <w:br/>
            </w:r>
            <w:r w:rsidRPr="00C12274">
              <w:rPr>
                <w:rStyle w:val="block"/>
                <w:rFonts w:ascii="Arial Narrow" w:eastAsia="Times New Roman" w:hAnsi="Arial Narrow"/>
                <w:bCs/>
                <w:sz w:val="16"/>
                <w:szCs w:val="16"/>
              </w:rPr>
              <w:t>(0.</w:t>
            </w:r>
            <w:r w:rsidR="00555A80">
              <w:rPr>
                <w:rStyle w:val="block"/>
                <w:rFonts w:ascii="Arial Narrow" w:eastAsia="Times New Roman" w:hAnsi="Arial Narrow"/>
                <w:bCs/>
                <w:sz w:val="16"/>
                <w:szCs w:val="16"/>
              </w:rPr>
              <w:t>97</w:t>
            </w:r>
            <w:r w:rsidRPr="00C12274">
              <w:rPr>
                <w:rStyle w:val="block"/>
                <w:rFonts w:ascii="Arial Narrow" w:eastAsia="Times New Roman" w:hAnsi="Arial Narrow"/>
                <w:bCs/>
                <w:sz w:val="16"/>
                <w:szCs w:val="16"/>
              </w:rPr>
              <w:t xml:space="preserve"> to </w:t>
            </w:r>
            <w:r w:rsidR="00555A80">
              <w:rPr>
                <w:rStyle w:val="block"/>
                <w:rFonts w:ascii="Arial Narrow" w:eastAsia="Times New Roman" w:hAnsi="Arial Narrow"/>
                <w:bCs/>
                <w:sz w:val="16"/>
                <w:szCs w:val="16"/>
              </w:rPr>
              <w:t>1.36</w:t>
            </w:r>
            <w:r w:rsidRPr="00C12274">
              <w:rPr>
                <w:rStyle w:val="block"/>
                <w:rFonts w:ascii="Arial Narrow" w:eastAsia="Times New Roman" w:hAnsi="Arial Narrow"/>
                <w:bCs/>
                <w:sz w:val="16"/>
                <w:szCs w:val="16"/>
              </w:rPr>
              <w:t>)</w:t>
            </w:r>
          </w:p>
        </w:tc>
        <w:tc>
          <w:tcPr>
            <w:tcW w:w="785" w:type="pct"/>
            <w:tcBorders>
              <w:top w:val="single" w:sz="6" w:space="0" w:color="000000"/>
              <w:left w:val="nil"/>
              <w:bottom w:val="single" w:sz="6" w:space="0" w:color="000000"/>
              <w:right w:val="nil"/>
            </w:tcBorders>
            <w:vAlign w:val="center"/>
          </w:tcPr>
          <w:p w14:paraId="0EA007BA" w14:textId="3B879003" w:rsidR="002170A1" w:rsidRPr="00C12274" w:rsidDel="000D5A95" w:rsidRDefault="00555A80" w:rsidP="008E03BA">
            <w:pPr>
              <w:jc w:val="center"/>
              <w:rPr>
                <w:rFonts w:ascii="Arial Narrow" w:eastAsia="Times New Roman" w:hAnsi="Arial Narrow"/>
                <w:sz w:val="16"/>
                <w:szCs w:val="16"/>
              </w:rPr>
            </w:pPr>
            <w:r>
              <w:rPr>
                <w:rFonts w:ascii="Arial Narrow" w:eastAsia="Times New Roman" w:hAnsi="Arial Narrow"/>
                <w:sz w:val="16"/>
                <w:szCs w:val="16"/>
              </w:rPr>
              <w:t>3,722</w:t>
            </w:r>
            <w:r>
              <w:rPr>
                <w:rFonts w:ascii="Arial Narrow" w:eastAsia="Times New Roman" w:hAnsi="Arial Narrow"/>
                <w:sz w:val="16"/>
                <w:szCs w:val="16"/>
              </w:rPr>
              <w:br/>
              <w:t>(6</w:t>
            </w:r>
            <w:r w:rsidR="002170A1" w:rsidRPr="00C12274">
              <w:rPr>
                <w:rFonts w:ascii="Arial Narrow" w:eastAsia="Times New Roman" w:hAnsi="Arial Narrow"/>
                <w:sz w:val="16"/>
                <w:szCs w:val="16"/>
              </w:rPr>
              <w:t xml:space="preserve"> RCTs)</w:t>
            </w:r>
          </w:p>
        </w:tc>
        <w:tc>
          <w:tcPr>
            <w:tcW w:w="754" w:type="pct"/>
            <w:tcBorders>
              <w:top w:val="single" w:sz="6" w:space="0" w:color="000000"/>
              <w:left w:val="nil"/>
              <w:bottom w:val="single" w:sz="6" w:space="0" w:color="000000"/>
              <w:right w:val="nil"/>
            </w:tcBorders>
            <w:vAlign w:val="center"/>
          </w:tcPr>
          <w:p w14:paraId="2C5533A0" w14:textId="2130A189" w:rsidR="002170A1" w:rsidRPr="00C12274" w:rsidRDefault="002170A1" w:rsidP="00555A80">
            <w:pPr>
              <w:jc w:val="center"/>
              <w:rPr>
                <w:rStyle w:val="quality-sign"/>
                <w:rFonts w:ascii="Cambria" w:eastAsia="Cambria" w:hAnsi="Cambria" w:cs="Cambria"/>
                <w:sz w:val="21"/>
                <w:szCs w:val="21"/>
              </w:rPr>
            </w:pPr>
            <w:r w:rsidRPr="00C12274">
              <w:rPr>
                <w:rStyle w:val="quality-sign"/>
                <w:rFonts w:ascii="Cambria" w:eastAsia="Cambria" w:hAnsi="Cambria" w:cs="Cambria"/>
                <w:sz w:val="21"/>
                <w:szCs w:val="21"/>
              </w:rPr>
              <w:t>⨁⨁⨁</w:t>
            </w:r>
            <w:r w:rsidR="00555A80"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00555A80">
              <w:rPr>
                <w:rStyle w:val="quality-text"/>
                <w:rFonts w:ascii="Arial Narrow" w:eastAsia="Times New Roman" w:hAnsi="Arial Narrow"/>
                <w:sz w:val="16"/>
                <w:szCs w:val="16"/>
              </w:rPr>
              <w:t>MODERATE</w:t>
            </w:r>
            <w:r w:rsidR="00555A80" w:rsidRPr="00C12274">
              <w:rPr>
                <w:rFonts w:ascii="Arial Narrow" w:eastAsia="Times New Roman" w:hAnsi="Arial Narrow"/>
                <w:sz w:val="16"/>
                <w:szCs w:val="16"/>
              </w:rPr>
              <w:t xml:space="preserve"> </w:t>
            </w:r>
            <w:r w:rsidR="00555A80">
              <w:rPr>
                <w:rFonts w:ascii="Arial Narrow" w:eastAsia="Times New Roman" w:hAnsi="Arial Narrow"/>
                <w:sz w:val="16"/>
                <w:szCs w:val="16"/>
                <w:vertAlign w:val="superscript"/>
              </w:rPr>
              <w:t>4</w:t>
            </w:r>
          </w:p>
        </w:tc>
      </w:tr>
      <w:tr w:rsidR="005A3845" w:rsidRPr="00C12274" w14:paraId="42F0762E" w14:textId="77777777" w:rsidTr="005A3845">
        <w:trPr>
          <w:cantSplit/>
        </w:trPr>
        <w:tc>
          <w:tcPr>
            <w:tcW w:w="677" w:type="pct"/>
            <w:tcBorders>
              <w:top w:val="single" w:sz="6" w:space="0" w:color="000000"/>
              <w:left w:val="nil"/>
              <w:bottom w:val="single" w:sz="6" w:space="0" w:color="000000"/>
              <w:right w:val="nil"/>
            </w:tcBorders>
            <w:vAlign w:val="center"/>
          </w:tcPr>
          <w:p w14:paraId="0CB467B8" w14:textId="4D53CDE0" w:rsidR="00555A80" w:rsidRPr="00C12274" w:rsidRDefault="00555A80" w:rsidP="008E03BA">
            <w:pPr>
              <w:jc w:val="center"/>
              <w:rPr>
                <w:rStyle w:val="label"/>
                <w:rFonts w:ascii="Arial Narrow" w:eastAsia="Times New Roman" w:hAnsi="Arial Narrow"/>
                <w:szCs w:val="18"/>
              </w:rPr>
            </w:pPr>
            <w:r>
              <w:rPr>
                <w:rStyle w:val="label"/>
                <w:rFonts w:ascii="Arial Narrow" w:eastAsia="Times New Roman" w:hAnsi="Arial Narrow"/>
                <w:szCs w:val="18"/>
              </w:rPr>
              <w:t>Serious adverse events for neonate /infant</w:t>
            </w:r>
          </w:p>
        </w:tc>
        <w:tc>
          <w:tcPr>
            <w:tcW w:w="908" w:type="pct"/>
            <w:tcBorders>
              <w:top w:val="single" w:sz="6" w:space="0" w:color="000000"/>
              <w:left w:val="nil"/>
              <w:bottom w:val="single" w:sz="6" w:space="0" w:color="000000"/>
              <w:right w:val="nil"/>
            </w:tcBorders>
            <w:vAlign w:val="center"/>
          </w:tcPr>
          <w:p w14:paraId="7FFBABB2" w14:textId="666C20FE" w:rsidR="00555A80" w:rsidRPr="00C12274" w:rsidRDefault="00555A80" w:rsidP="008E03BA">
            <w:pPr>
              <w:rPr>
                <w:rFonts w:ascii="Arial Narrow" w:eastAsia="Times New Roman" w:hAnsi="Arial Narrow"/>
                <w:sz w:val="16"/>
                <w:szCs w:val="16"/>
              </w:rPr>
            </w:pPr>
            <w:r>
              <w:rPr>
                <w:rFonts w:ascii="Arial Narrow" w:eastAsia="Times New Roman" w:hAnsi="Arial Narrow"/>
                <w:sz w:val="16"/>
                <w:szCs w:val="16"/>
              </w:rPr>
              <w:t>63</w:t>
            </w:r>
            <w:r w:rsidRPr="00C12274">
              <w:rPr>
                <w:rFonts w:ascii="Arial Narrow" w:eastAsia="Times New Roman" w:hAnsi="Arial Narrow"/>
                <w:sz w:val="16"/>
                <w:szCs w:val="16"/>
              </w:rPr>
              <w:t xml:space="preserve"> per 1,000</w:t>
            </w:r>
          </w:p>
        </w:tc>
        <w:tc>
          <w:tcPr>
            <w:tcW w:w="1090" w:type="pct"/>
            <w:tcBorders>
              <w:top w:val="single" w:sz="6" w:space="0" w:color="000000"/>
              <w:left w:val="nil"/>
              <w:bottom w:val="single" w:sz="6" w:space="0" w:color="000000"/>
              <w:right w:val="nil"/>
            </w:tcBorders>
            <w:shd w:val="clear" w:color="auto" w:fill="EBEBEB"/>
          </w:tcPr>
          <w:p w14:paraId="74F6D228" w14:textId="308217CA" w:rsidR="00555A80" w:rsidRPr="00C12274" w:rsidRDefault="00555A80" w:rsidP="00555A80">
            <w:pPr>
              <w:jc w:val="center"/>
              <w:rPr>
                <w:rStyle w:val="cell-value"/>
                <w:rFonts w:ascii="Arial Narrow" w:eastAsia="Times New Roman" w:hAnsi="Arial Narrow"/>
                <w:b/>
                <w:bCs/>
                <w:szCs w:val="18"/>
              </w:rPr>
            </w:pPr>
            <w:r>
              <w:rPr>
                <w:rStyle w:val="cell-value"/>
                <w:rFonts w:ascii="Arial Narrow" w:eastAsia="Times New Roman" w:hAnsi="Arial Narrow"/>
                <w:b/>
                <w:bCs/>
                <w:szCs w:val="18"/>
              </w:rPr>
              <w:t>45</w:t>
            </w:r>
            <w:r w:rsidRPr="00C12274">
              <w:rPr>
                <w:rStyle w:val="cell-value"/>
                <w:rFonts w:ascii="Arial Narrow" w:eastAsia="Times New Roman" w:hAnsi="Arial Narrow"/>
                <w:b/>
                <w:bCs/>
                <w:szCs w:val="18"/>
              </w:rPr>
              <w:t xml:space="preserve"> per 1,000</w:t>
            </w:r>
            <w:r w:rsidRPr="00C12274">
              <w:rPr>
                <w:rStyle w:val="cell-value"/>
                <w:rFonts w:ascii="Arial Narrow" w:eastAsia="Times New Roman" w:hAnsi="Arial Narrow"/>
                <w:b/>
                <w:bCs/>
                <w:szCs w:val="18"/>
              </w:rPr>
              <w:br/>
            </w:r>
            <w:r w:rsidRPr="00C12274">
              <w:rPr>
                <w:rStyle w:val="cell-value"/>
                <w:rFonts w:ascii="Arial Narrow" w:eastAsia="Times New Roman" w:hAnsi="Arial Narrow"/>
                <w:bCs/>
                <w:szCs w:val="18"/>
              </w:rPr>
              <w:t>(</w:t>
            </w:r>
            <w:r>
              <w:rPr>
                <w:rStyle w:val="cell-value"/>
                <w:rFonts w:ascii="Arial Narrow" w:eastAsia="Times New Roman" w:hAnsi="Arial Narrow"/>
                <w:bCs/>
                <w:szCs w:val="18"/>
              </w:rPr>
              <w:t>37 to 62</w:t>
            </w:r>
            <w:r w:rsidRPr="00C12274">
              <w:rPr>
                <w:rStyle w:val="cell-value"/>
                <w:rFonts w:ascii="Arial Narrow" w:eastAsia="Times New Roman" w:hAnsi="Arial Narrow"/>
                <w:bCs/>
                <w:szCs w:val="18"/>
              </w:rPr>
              <w:t>)</w:t>
            </w:r>
          </w:p>
        </w:tc>
        <w:tc>
          <w:tcPr>
            <w:tcW w:w="787" w:type="pct"/>
            <w:tcBorders>
              <w:top w:val="single" w:sz="6" w:space="0" w:color="000000"/>
              <w:left w:val="nil"/>
              <w:bottom w:val="single" w:sz="6" w:space="0" w:color="000000"/>
              <w:right w:val="nil"/>
            </w:tcBorders>
            <w:vAlign w:val="center"/>
          </w:tcPr>
          <w:p w14:paraId="3BE94A88" w14:textId="0E9260A5" w:rsidR="00555A80" w:rsidRPr="00C12274" w:rsidRDefault="00555A80" w:rsidP="00555A80">
            <w:pPr>
              <w:jc w:val="center"/>
              <w:rPr>
                <w:rStyle w:val="block"/>
                <w:rFonts w:ascii="Arial Narrow" w:eastAsia="Times New Roman" w:hAnsi="Arial Narrow"/>
                <w:b/>
                <w:bCs/>
                <w:sz w:val="16"/>
                <w:szCs w:val="16"/>
              </w:rPr>
            </w:pPr>
            <w:r w:rsidRPr="00C12274">
              <w:rPr>
                <w:rStyle w:val="block"/>
                <w:rFonts w:ascii="Arial Narrow" w:eastAsia="Times New Roman" w:hAnsi="Arial Narrow"/>
                <w:b/>
                <w:bCs/>
                <w:sz w:val="16"/>
                <w:szCs w:val="16"/>
              </w:rPr>
              <w:t xml:space="preserve">RR </w:t>
            </w:r>
            <w:r>
              <w:rPr>
                <w:rStyle w:val="block"/>
                <w:rFonts w:ascii="Arial Narrow" w:eastAsia="Times New Roman" w:hAnsi="Arial Narrow"/>
                <w:b/>
                <w:bCs/>
                <w:sz w:val="16"/>
                <w:szCs w:val="16"/>
              </w:rPr>
              <w:t>0.72</w:t>
            </w:r>
            <w:r w:rsidRPr="00C12274">
              <w:rPr>
                <w:rStyle w:val="block"/>
                <w:rFonts w:ascii="Arial Narrow" w:eastAsia="Times New Roman" w:hAnsi="Arial Narrow"/>
                <w:b/>
                <w:bCs/>
                <w:sz w:val="16"/>
                <w:szCs w:val="16"/>
              </w:rPr>
              <w:br/>
            </w:r>
            <w:r w:rsidRPr="00C12274">
              <w:rPr>
                <w:rStyle w:val="block"/>
                <w:rFonts w:ascii="Arial Narrow" w:eastAsia="Times New Roman" w:hAnsi="Arial Narrow"/>
                <w:bCs/>
                <w:sz w:val="16"/>
                <w:szCs w:val="16"/>
              </w:rPr>
              <w:t>(0.</w:t>
            </w:r>
            <w:r>
              <w:rPr>
                <w:rStyle w:val="block"/>
                <w:rFonts w:ascii="Arial Narrow" w:eastAsia="Times New Roman" w:hAnsi="Arial Narrow"/>
                <w:bCs/>
                <w:sz w:val="16"/>
                <w:szCs w:val="16"/>
              </w:rPr>
              <w:t>53</w:t>
            </w:r>
            <w:r w:rsidRPr="00C12274">
              <w:rPr>
                <w:rStyle w:val="block"/>
                <w:rFonts w:ascii="Arial Narrow" w:eastAsia="Times New Roman" w:hAnsi="Arial Narrow"/>
                <w:bCs/>
                <w:sz w:val="16"/>
                <w:szCs w:val="16"/>
              </w:rPr>
              <w:t xml:space="preserve"> to </w:t>
            </w:r>
            <w:r>
              <w:rPr>
                <w:rStyle w:val="block"/>
                <w:rFonts w:ascii="Arial Narrow" w:eastAsia="Times New Roman" w:hAnsi="Arial Narrow"/>
                <w:bCs/>
                <w:sz w:val="16"/>
                <w:szCs w:val="16"/>
              </w:rPr>
              <w:t>0.99</w:t>
            </w:r>
            <w:r w:rsidRPr="00C12274">
              <w:rPr>
                <w:rStyle w:val="block"/>
                <w:rFonts w:ascii="Arial Narrow" w:eastAsia="Times New Roman" w:hAnsi="Arial Narrow"/>
                <w:bCs/>
                <w:sz w:val="16"/>
                <w:szCs w:val="16"/>
              </w:rPr>
              <w:t>)</w:t>
            </w:r>
          </w:p>
        </w:tc>
        <w:tc>
          <w:tcPr>
            <w:tcW w:w="785" w:type="pct"/>
            <w:tcBorders>
              <w:top w:val="single" w:sz="6" w:space="0" w:color="000000"/>
              <w:left w:val="nil"/>
              <w:bottom w:val="single" w:sz="6" w:space="0" w:color="000000"/>
              <w:right w:val="nil"/>
            </w:tcBorders>
            <w:vAlign w:val="center"/>
          </w:tcPr>
          <w:p w14:paraId="7FDD22F0" w14:textId="407451C9" w:rsidR="00555A80" w:rsidRPr="00C12274" w:rsidDel="000D5A95" w:rsidRDefault="00555A80" w:rsidP="008E03BA">
            <w:pPr>
              <w:jc w:val="center"/>
              <w:rPr>
                <w:rFonts w:ascii="Arial Narrow" w:eastAsia="Times New Roman" w:hAnsi="Arial Narrow"/>
                <w:sz w:val="16"/>
                <w:szCs w:val="16"/>
              </w:rPr>
            </w:pPr>
            <w:r>
              <w:rPr>
                <w:rFonts w:ascii="Arial Narrow" w:eastAsia="Times New Roman" w:hAnsi="Arial Narrow"/>
                <w:sz w:val="16"/>
                <w:szCs w:val="16"/>
              </w:rPr>
              <w:t>2,690</w:t>
            </w:r>
            <w:r>
              <w:rPr>
                <w:rFonts w:ascii="Arial Narrow" w:eastAsia="Times New Roman" w:hAnsi="Arial Narrow"/>
                <w:sz w:val="16"/>
                <w:szCs w:val="16"/>
              </w:rPr>
              <w:br/>
              <w:t>(2</w:t>
            </w:r>
            <w:r w:rsidRPr="00C12274">
              <w:rPr>
                <w:rFonts w:ascii="Arial Narrow" w:eastAsia="Times New Roman" w:hAnsi="Arial Narrow"/>
                <w:sz w:val="16"/>
                <w:szCs w:val="16"/>
              </w:rPr>
              <w:t xml:space="preserve"> RCTs)</w:t>
            </w:r>
          </w:p>
        </w:tc>
        <w:tc>
          <w:tcPr>
            <w:tcW w:w="754" w:type="pct"/>
            <w:tcBorders>
              <w:top w:val="single" w:sz="6" w:space="0" w:color="000000"/>
              <w:left w:val="nil"/>
              <w:bottom w:val="single" w:sz="6" w:space="0" w:color="000000"/>
              <w:right w:val="nil"/>
            </w:tcBorders>
            <w:vAlign w:val="center"/>
          </w:tcPr>
          <w:p w14:paraId="619241BA" w14:textId="2E28559B" w:rsidR="00555A80" w:rsidRPr="00C12274" w:rsidRDefault="00555A80" w:rsidP="00555A80">
            <w:pPr>
              <w:jc w:val="center"/>
              <w:rPr>
                <w:rStyle w:val="quality-sign"/>
                <w:rFonts w:ascii="Cambria" w:eastAsia="Cambria" w:hAnsi="Cambria" w:cs="Cambria"/>
                <w:sz w:val="21"/>
                <w:szCs w:val="21"/>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LOW</w:t>
            </w:r>
            <w:r w:rsidRPr="00C12274">
              <w:rPr>
                <w:rFonts w:ascii="Arial Narrow" w:eastAsia="Times New Roman" w:hAnsi="Arial Narrow"/>
                <w:sz w:val="16"/>
                <w:szCs w:val="16"/>
              </w:rPr>
              <w:t xml:space="preserve"> </w:t>
            </w:r>
            <w:r>
              <w:rPr>
                <w:rFonts w:ascii="Arial Narrow" w:eastAsia="Times New Roman" w:hAnsi="Arial Narrow"/>
                <w:sz w:val="16"/>
                <w:szCs w:val="16"/>
                <w:vertAlign w:val="superscript"/>
              </w:rPr>
              <w:t>5</w:t>
            </w:r>
          </w:p>
        </w:tc>
      </w:tr>
      <w:tr w:rsidR="002170A1" w:rsidRPr="00C12274" w14:paraId="5630EE3A" w14:textId="77777777" w:rsidTr="008A6B17">
        <w:trPr>
          <w:cantSplit/>
        </w:trPr>
        <w:tc>
          <w:tcPr>
            <w:tcW w:w="5000" w:type="pct"/>
            <w:gridSpan w:val="6"/>
            <w:tcBorders>
              <w:top w:val="single" w:sz="6" w:space="0" w:color="000000"/>
              <w:left w:val="nil"/>
              <w:bottom w:val="single" w:sz="6" w:space="0" w:color="000000"/>
              <w:right w:val="nil"/>
            </w:tcBorders>
            <w:vAlign w:val="center"/>
            <w:hideMark/>
          </w:tcPr>
          <w:p w14:paraId="1B41C29B" w14:textId="2598A715" w:rsidR="008A6B17" w:rsidRPr="008A6B17" w:rsidRDefault="008A6B17" w:rsidP="008A6B17">
            <w:pPr>
              <w:spacing w:before="0" w:after="0" w:line="240" w:lineRule="auto"/>
              <w:rPr>
                <w:rFonts w:ascii="Helvetica" w:hAnsi="Helvetica"/>
                <w:sz w:val="14"/>
                <w:szCs w:val="14"/>
              </w:rPr>
            </w:pPr>
            <w:r w:rsidRPr="008A6B17">
              <w:rPr>
                <w:rFonts w:ascii="Helvetica" w:hAnsi="Helvetica"/>
                <w:sz w:val="14"/>
                <w:szCs w:val="14"/>
              </w:rPr>
              <w:t>* The basis for the assumed risk (e.g. the median control group risk across studies) is provided in footnotes. The corre</w:t>
            </w:r>
            <w:r>
              <w:rPr>
                <w:rFonts w:ascii="Helvetica" w:hAnsi="Helvetica"/>
                <w:sz w:val="14"/>
                <w:szCs w:val="14"/>
              </w:rPr>
              <w:t>sponding risk (and its 95% conf</w:t>
            </w:r>
            <w:r w:rsidRPr="008A6B17">
              <w:rPr>
                <w:rFonts w:ascii="Helvetica" w:hAnsi="Helvetica"/>
                <w:sz w:val="14"/>
                <w:szCs w:val="14"/>
              </w:rPr>
              <w:t>idence interval) is</w:t>
            </w:r>
            <w:r>
              <w:rPr>
                <w:rFonts w:ascii="Helvetica" w:hAnsi="Helvetica"/>
                <w:sz w:val="14"/>
                <w:szCs w:val="14"/>
              </w:rPr>
              <w:t xml:space="preserve"> </w:t>
            </w:r>
            <w:r w:rsidRPr="008A6B17">
              <w:rPr>
                <w:rFonts w:ascii="Helvetica" w:hAnsi="Helvetica"/>
                <w:sz w:val="14"/>
                <w:szCs w:val="14"/>
              </w:rPr>
              <w:t>based on the assumed risk in the comparison group and the relative effect of the intervention (and its 95%CI).</w:t>
            </w:r>
          </w:p>
          <w:p w14:paraId="61DF7FA6" w14:textId="49D36D43" w:rsidR="002170A1" w:rsidRPr="008A6B17" w:rsidRDefault="008A6B17" w:rsidP="008A6B17">
            <w:pPr>
              <w:spacing w:before="0" w:after="0" w:line="240" w:lineRule="auto"/>
              <w:rPr>
                <w:rFonts w:ascii="Helvetica" w:hAnsi="Helvetica"/>
                <w:sz w:val="14"/>
                <w:szCs w:val="14"/>
              </w:rPr>
            </w:pPr>
            <w:r w:rsidRPr="008A6B17">
              <w:rPr>
                <w:rFonts w:ascii="Helvetica" w:hAnsi="Helvetica"/>
                <w:b/>
                <w:sz w:val="14"/>
                <w:szCs w:val="14"/>
              </w:rPr>
              <w:t>CI</w:t>
            </w:r>
            <w:r>
              <w:rPr>
                <w:rFonts w:ascii="Helvetica" w:hAnsi="Helvetica"/>
                <w:sz w:val="14"/>
                <w:szCs w:val="14"/>
              </w:rPr>
              <w:t>: conf</w:t>
            </w:r>
            <w:r w:rsidRPr="008A6B17">
              <w:rPr>
                <w:rFonts w:ascii="Helvetica" w:hAnsi="Helvetica"/>
                <w:sz w:val="14"/>
                <w:szCs w:val="14"/>
              </w:rPr>
              <w:t xml:space="preserve">idence interval; </w:t>
            </w:r>
            <w:r w:rsidRPr="008A6B17">
              <w:rPr>
                <w:rFonts w:ascii="Helvetica" w:hAnsi="Helvetica"/>
                <w:b/>
                <w:sz w:val="14"/>
                <w:szCs w:val="14"/>
              </w:rPr>
              <w:t>RCT</w:t>
            </w:r>
            <w:r w:rsidRPr="008A6B17">
              <w:rPr>
                <w:rFonts w:ascii="Helvetica" w:hAnsi="Helvetica"/>
                <w:sz w:val="14"/>
                <w:szCs w:val="14"/>
              </w:rPr>
              <w:t xml:space="preserve">: randomised controlled trial; </w:t>
            </w:r>
            <w:r w:rsidRPr="008A6B17">
              <w:rPr>
                <w:rFonts w:ascii="Helvetica" w:hAnsi="Helvetica"/>
                <w:b/>
                <w:sz w:val="14"/>
                <w:szCs w:val="14"/>
              </w:rPr>
              <w:t>RR</w:t>
            </w:r>
            <w:r w:rsidRPr="008A6B17">
              <w:rPr>
                <w:rFonts w:ascii="Helvetica" w:hAnsi="Helvetica"/>
                <w:sz w:val="14"/>
                <w:szCs w:val="14"/>
              </w:rPr>
              <w:t xml:space="preserve">: risk ratio; </w:t>
            </w:r>
          </w:p>
        </w:tc>
      </w:tr>
      <w:tr w:rsidR="002170A1" w:rsidRPr="00C12274" w14:paraId="03C7CF00" w14:textId="77777777" w:rsidTr="008E03BA">
        <w:trPr>
          <w:cantSplit/>
        </w:trPr>
        <w:tc>
          <w:tcPr>
            <w:tcW w:w="5000" w:type="pct"/>
            <w:gridSpan w:val="6"/>
            <w:tcBorders>
              <w:top w:val="single" w:sz="6" w:space="0" w:color="000000"/>
              <w:left w:val="nil"/>
              <w:bottom w:val="single" w:sz="6" w:space="0" w:color="000000"/>
              <w:right w:val="nil"/>
            </w:tcBorders>
            <w:vAlign w:val="center"/>
            <w:hideMark/>
          </w:tcPr>
          <w:p w14:paraId="2E3008A1" w14:textId="77777777" w:rsidR="002170A1" w:rsidRPr="00C12274" w:rsidRDefault="002170A1" w:rsidP="008E03BA">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GRADE Working Group grades of evidence</w:t>
            </w:r>
            <w:r w:rsidRPr="00C12274">
              <w:rPr>
                <w:rFonts w:ascii="Arial Narrow" w:eastAsia="Times New Roman" w:hAnsi="Arial Narrow"/>
                <w:sz w:val="16"/>
                <w:szCs w:val="16"/>
              </w:rPr>
              <w:br/>
            </w:r>
            <w:r w:rsidRPr="00C12274">
              <w:rPr>
                <w:rFonts w:ascii="Arial Narrow" w:eastAsia="Times New Roman" w:hAnsi="Arial Narrow"/>
                <w:b/>
                <w:bCs/>
                <w:sz w:val="16"/>
                <w:szCs w:val="16"/>
              </w:rPr>
              <w:t>High certainty:</w:t>
            </w:r>
            <w:r w:rsidRPr="00C12274">
              <w:rPr>
                <w:rFonts w:ascii="Arial Narrow" w:eastAsia="Times New Roman" w:hAnsi="Arial Narrow"/>
                <w:sz w:val="16"/>
                <w:szCs w:val="16"/>
              </w:rPr>
              <w:t xml:space="preserve"> We are very confident that the true effect lies close to that of the estimate of the effect</w:t>
            </w:r>
            <w:r w:rsidRPr="00C12274">
              <w:rPr>
                <w:rFonts w:ascii="Arial Narrow" w:eastAsia="Times New Roman" w:hAnsi="Arial Narrow"/>
                <w:sz w:val="16"/>
                <w:szCs w:val="16"/>
              </w:rPr>
              <w:br/>
            </w:r>
            <w:r w:rsidRPr="00C12274">
              <w:rPr>
                <w:rFonts w:ascii="Arial Narrow" w:eastAsia="Times New Roman" w:hAnsi="Arial Narrow"/>
                <w:b/>
                <w:bCs/>
                <w:sz w:val="16"/>
                <w:szCs w:val="16"/>
              </w:rPr>
              <w:t>Moderate certainty:</w:t>
            </w:r>
            <w:r w:rsidRPr="00C12274">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C12274">
              <w:rPr>
                <w:rFonts w:ascii="Arial Narrow" w:eastAsia="Times New Roman" w:hAnsi="Arial Narrow"/>
                <w:sz w:val="16"/>
                <w:szCs w:val="16"/>
              </w:rPr>
              <w:br/>
            </w:r>
            <w:r w:rsidRPr="00C12274">
              <w:rPr>
                <w:rFonts w:ascii="Arial Narrow" w:eastAsia="Times New Roman" w:hAnsi="Arial Narrow"/>
                <w:b/>
                <w:bCs/>
                <w:sz w:val="16"/>
                <w:szCs w:val="16"/>
              </w:rPr>
              <w:t>Low certainty:</w:t>
            </w:r>
            <w:r w:rsidRPr="00C12274">
              <w:rPr>
                <w:rFonts w:ascii="Arial Narrow" w:eastAsia="Times New Roman" w:hAnsi="Arial Narrow"/>
                <w:sz w:val="16"/>
                <w:szCs w:val="16"/>
              </w:rPr>
              <w:t xml:space="preserve"> Our confidence in the effect estimate is limited: The true effect may be substantially different from the estimate of the effect</w:t>
            </w:r>
            <w:r w:rsidRPr="00C12274">
              <w:rPr>
                <w:rFonts w:ascii="Arial Narrow" w:eastAsia="Times New Roman" w:hAnsi="Arial Narrow"/>
                <w:sz w:val="16"/>
                <w:szCs w:val="16"/>
              </w:rPr>
              <w:br/>
            </w:r>
            <w:r w:rsidRPr="00C12274">
              <w:rPr>
                <w:rFonts w:ascii="Arial Narrow" w:eastAsia="Times New Roman" w:hAnsi="Arial Narrow"/>
                <w:b/>
                <w:bCs/>
                <w:sz w:val="16"/>
                <w:szCs w:val="16"/>
              </w:rPr>
              <w:t>Very low certainty:</w:t>
            </w:r>
            <w:r w:rsidRPr="00C12274">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5D5C7BAC" w14:textId="4F04E33E" w:rsidR="00555A80" w:rsidRPr="00555A80" w:rsidRDefault="00555A80" w:rsidP="00555A80">
      <w:pPr>
        <w:pStyle w:val="BodyText"/>
        <w:spacing w:before="20" w:after="20" w:line="240" w:lineRule="auto"/>
        <w:ind w:left="284" w:hanging="284"/>
        <w:rPr>
          <w:rFonts w:ascii="Arial Narrow" w:hAnsi="Arial Narrow"/>
          <w:sz w:val="16"/>
          <w:szCs w:val="16"/>
        </w:rPr>
      </w:pPr>
      <w:r w:rsidRPr="00555A80">
        <w:rPr>
          <w:rFonts w:ascii="Arial Narrow" w:hAnsi="Arial Narrow"/>
          <w:sz w:val="16"/>
          <w:szCs w:val="16"/>
        </w:rPr>
        <w:t>1</w:t>
      </w:r>
      <w:r w:rsidRPr="00555A80">
        <w:rPr>
          <w:rFonts w:ascii="Arial Narrow" w:hAnsi="Arial Narrow"/>
          <w:sz w:val="16"/>
          <w:szCs w:val="16"/>
        </w:rPr>
        <w:tab/>
        <w:t>Design limitations: larger studies of high quality, but some smaller studies with unclear risk of selective reporting and some smaller studies with unclear or high attrition bias at the time of birth (not downgraded for study limitations)</w:t>
      </w:r>
    </w:p>
    <w:p w14:paraId="0D24B6A3" w14:textId="3F1BEE42" w:rsidR="00555A80" w:rsidRPr="00555A80" w:rsidRDefault="00555A80" w:rsidP="00555A80">
      <w:pPr>
        <w:pStyle w:val="BodyText"/>
        <w:spacing w:before="20" w:after="20" w:line="240" w:lineRule="auto"/>
        <w:ind w:left="284" w:hanging="284"/>
        <w:rPr>
          <w:rFonts w:ascii="Arial Narrow" w:hAnsi="Arial Narrow"/>
          <w:sz w:val="16"/>
          <w:szCs w:val="16"/>
        </w:rPr>
      </w:pPr>
      <w:r w:rsidRPr="00555A80">
        <w:rPr>
          <w:rFonts w:ascii="Arial Narrow" w:hAnsi="Arial Narrow"/>
          <w:sz w:val="16"/>
          <w:szCs w:val="16"/>
        </w:rPr>
        <w:t>2</w:t>
      </w:r>
      <w:r w:rsidRPr="00555A80">
        <w:rPr>
          <w:rFonts w:ascii="Arial Narrow" w:hAnsi="Arial Narrow"/>
          <w:sz w:val="16"/>
          <w:szCs w:val="16"/>
        </w:rPr>
        <w:tab/>
        <w:t>Design limitations: larger studies of higher quality, but several studies with unclear or high attrition bias at the time of birth, or baseline imbalances (not downgraded for study limitations)</w:t>
      </w:r>
    </w:p>
    <w:p w14:paraId="547F5192" w14:textId="1111DDE6" w:rsidR="00555A80" w:rsidRPr="00555A80" w:rsidRDefault="00555A80" w:rsidP="00555A80">
      <w:pPr>
        <w:pStyle w:val="BodyText"/>
        <w:spacing w:before="20" w:after="20" w:line="240" w:lineRule="auto"/>
        <w:ind w:left="284" w:hanging="284"/>
        <w:rPr>
          <w:rFonts w:ascii="Arial Narrow" w:hAnsi="Arial Narrow"/>
          <w:sz w:val="16"/>
          <w:szCs w:val="16"/>
        </w:rPr>
      </w:pPr>
      <w:r w:rsidRPr="00555A80">
        <w:rPr>
          <w:rFonts w:ascii="Arial Narrow" w:hAnsi="Arial Narrow"/>
          <w:sz w:val="16"/>
          <w:szCs w:val="16"/>
        </w:rPr>
        <w:t xml:space="preserve">3 </w:t>
      </w:r>
      <w:r w:rsidRPr="00555A80">
        <w:rPr>
          <w:rFonts w:ascii="Arial Narrow" w:hAnsi="Arial Narrow"/>
          <w:sz w:val="16"/>
          <w:szCs w:val="16"/>
        </w:rPr>
        <w:tab/>
      </w:r>
      <w:r>
        <w:rPr>
          <w:rFonts w:ascii="Arial Narrow" w:hAnsi="Arial Narrow"/>
          <w:sz w:val="16"/>
          <w:szCs w:val="16"/>
        </w:rPr>
        <w:t>I</w:t>
      </w:r>
      <w:r w:rsidRPr="00555A80">
        <w:rPr>
          <w:rFonts w:ascii="Arial Narrow" w:hAnsi="Arial Narrow"/>
          <w:sz w:val="16"/>
          <w:szCs w:val="16"/>
        </w:rPr>
        <w:t xml:space="preserve">mprecision (-1): downgraded one level due to crossing line </w:t>
      </w:r>
      <w:r>
        <w:rPr>
          <w:rFonts w:ascii="Arial Narrow" w:hAnsi="Arial Narrow"/>
          <w:sz w:val="16"/>
          <w:szCs w:val="16"/>
        </w:rPr>
        <w:t>of no ef</w:t>
      </w:r>
      <w:r w:rsidRPr="00555A80">
        <w:rPr>
          <w:rFonts w:ascii="Arial Narrow" w:hAnsi="Arial Narrow"/>
          <w:sz w:val="16"/>
          <w:szCs w:val="16"/>
        </w:rPr>
        <w:t>fect and/ or wide confidence intervals</w:t>
      </w:r>
    </w:p>
    <w:p w14:paraId="33693D62" w14:textId="6EBC94EF" w:rsidR="00555A80" w:rsidRPr="00555A80" w:rsidRDefault="00555A80" w:rsidP="00555A80">
      <w:pPr>
        <w:pStyle w:val="BodyText"/>
        <w:spacing w:before="20" w:after="20" w:line="240" w:lineRule="auto"/>
        <w:ind w:left="284" w:hanging="284"/>
        <w:rPr>
          <w:rFonts w:ascii="Arial Narrow" w:hAnsi="Arial Narrow"/>
          <w:sz w:val="16"/>
          <w:szCs w:val="16"/>
        </w:rPr>
      </w:pPr>
      <w:r w:rsidRPr="00555A80">
        <w:rPr>
          <w:rFonts w:ascii="Arial Narrow" w:hAnsi="Arial Narrow"/>
          <w:sz w:val="16"/>
          <w:szCs w:val="16"/>
        </w:rPr>
        <w:t xml:space="preserve">4 </w:t>
      </w:r>
      <w:r w:rsidRPr="00555A80">
        <w:rPr>
          <w:rFonts w:ascii="Arial Narrow" w:hAnsi="Arial Narrow"/>
          <w:sz w:val="16"/>
          <w:szCs w:val="16"/>
        </w:rPr>
        <w:tab/>
        <w:t>Imprecision (-1): downgraded one level due to wide confidence intervals</w:t>
      </w:r>
    </w:p>
    <w:p w14:paraId="3A3972ED" w14:textId="53AA8032" w:rsidR="002170A1" w:rsidRPr="00555A80" w:rsidRDefault="00555A80" w:rsidP="00555A80">
      <w:pPr>
        <w:spacing w:before="20" w:after="20" w:line="240" w:lineRule="auto"/>
        <w:ind w:left="284" w:hanging="284"/>
        <w:rPr>
          <w:rFonts w:ascii="Arial Narrow" w:hAnsi="Arial Narrow"/>
          <w:sz w:val="16"/>
          <w:szCs w:val="16"/>
        </w:rPr>
      </w:pPr>
      <w:r w:rsidRPr="00555A80">
        <w:rPr>
          <w:rFonts w:ascii="Arial Narrow" w:hAnsi="Arial Narrow"/>
          <w:sz w:val="16"/>
          <w:szCs w:val="16"/>
        </w:rPr>
        <w:t xml:space="preserve">5 </w:t>
      </w:r>
      <w:r w:rsidRPr="00555A80">
        <w:rPr>
          <w:rFonts w:ascii="Arial Narrow" w:hAnsi="Arial Narrow"/>
          <w:sz w:val="16"/>
          <w:szCs w:val="16"/>
        </w:rPr>
        <w:tab/>
        <w:t>Design limitations (-2): downgraded two levels; one study with unclear allocation concealment and attrition bias; specific adverse events not detailed in this study</w:t>
      </w:r>
    </w:p>
    <w:p w14:paraId="12FEEAF0" w14:textId="77777777" w:rsidR="00201307" w:rsidRDefault="00201307" w:rsidP="00301F21"/>
    <w:p w14:paraId="7306FD33" w14:textId="77777777" w:rsidR="00301F21" w:rsidRDefault="00301F21" w:rsidP="00301F21">
      <w:pPr>
        <w:pStyle w:val="Heading3"/>
        <w:sectPr w:rsidR="00301F21" w:rsidSect="008A6B17">
          <w:pgSz w:w="11901" w:h="16817"/>
          <w:pgMar w:top="1134" w:right="1418" w:bottom="1134" w:left="1418" w:header="709" w:footer="709" w:gutter="0"/>
          <w:cols w:space="708"/>
          <w:docGrid w:linePitch="360"/>
        </w:sectPr>
      </w:pPr>
    </w:p>
    <w:p w14:paraId="5EB6E7E6" w14:textId="77777777" w:rsidR="00677230" w:rsidRDefault="00677230" w:rsidP="00677230">
      <w:pPr>
        <w:pStyle w:val="Heading3"/>
      </w:pPr>
      <w:bookmarkStart w:id="105" w:name="_Toc40956504"/>
      <w:r>
        <w:t>Probiotics</w:t>
      </w:r>
      <w:bookmarkEnd w:id="105"/>
    </w:p>
    <w:p w14:paraId="485E604C" w14:textId="2DB6B6A3" w:rsidR="005B4719" w:rsidRDefault="005B4719" w:rsidP="005B4719">
      <w:pPr>
        <w:pStyle w:val="Heading4"/>
      </w:pPr>
      <w:r>
        <w:t>Background</w:t>
      </w:r>
    </w:p>
    <w:p w14:paraId="2465387D" w14:textId="39B2969D" w:rsidR="0099206A" w:rsidRDefault="0099206A" w:rsidP="0099206A">
      <w:r>
        <w:t>The guidelines do not currently include information on probiotics.</w:t>
      </w:r>
    </w:p>
    <w:p w14:paraId="67A12FE1" w14:textId="55895445" w:rsidR="005B4719" w:rsidRPr="005B4719" w:rsidRDefault="005B4719" w:rsidP="005B4719">
      <w:pPr>
        <w:pStyle w:val="Heading4"/>
      </w:pPr>
      <w:r>
        <w:t>Current review</w:t>
      </w:r>
    </w:p>
    <w:p w14:paraId="5C10C341" w14:textId="193701F3" w:rsidR="00A9542F" w:rsidRDefault="005B4719" w:rsidP="005B4719">
      <w:r>
        <w:t>This review identified three systematic reviews</w:t>
      </w:r>
      <w:r w:rsidR="00AB21E2">
        <w:fldChar w:fldCharType="begin">
          <w:fldData xml:space="preserve">PEVuZE5vdGU+PENpdGU+PEF1dGhvcj5KYXJkZTwvQXV0aG9yPjxZZWFyPjIwMTg8L1llYXI+PFJl
Y051bT4xNjU5PC9SZWNOdW0+PERpc3BsYXlUZXh0PjxzdHlsZSBmYWNlPSJzdXBlcnNjcmlwdCIg
Zm9udD0iVHJlYnVjaGV0IE1TIiBzaXplPSI5Ij4yMjUtMjI3PC9zdHlsZT48L0Rpc3BsYXlUZXh0
PjxyZWNvcmQ+PHJlYy1udW1iZXI+MTY1OTwvcmVjLW51bWJlcj48Zm9yZWlnbi1rZXlzPjxrZXkg
YXBwPSJFTiIgZGItaWQ9ImV4dmFzcmZ4MmR0cmFvZXNhc3hwMnN6c3hhMmRmNTAyNTkyeCIgdGlt
ZXN0YW1wPSIxNTgxMzEyNzY0Ij4xNjU5PC9rZXk+PGtleSBhcHA9IkVOV2ViIiBkYi1pZD0iIj4w
PC9rZXk+PC9mb3JlaWduLWtleXM+PHJlZi10eXBlIG5hbWU9IkpvdXJuYWwgQXJ0aWNsZSI+MTc8
L3JlZi10eXBlPjxjb250cmlidXRvcnM+PGF1dGhvcnM+PGF1dGhvcj5KYXJkZSwgQS48L2F1dGhv
cj48YXV0aG9yPkxld2lzLU1pa2hhZWwsIEEuIE0uPC9hdXRob3I+PGF1dGhvcj5Nb2F5eWVkaSwg
UC48L2F1dGhvcj48YXV0aG9yPlN0ZWFybnMsIEouIEMuPC9hdXRob3I+PGF1dGhvcj5Db2xsaW5z
LCBTLiBNLjwvYXV0aG9yPjxhdXRob3I+QmV5ZW5lLCBKLjwvYXV0aG9yPjxhdXRob3I+TWNEb25h
bGQsIFMuIEQuPC9hdXRob3I+PC9hdXRob3JzPjwvY29udHJpYnV0b3JzPjxhdXRoLWFkZHJlc3M+
RGVwYXJ0bWVudCBvZiBPYnN0ZXRyaWNzIGFuZCBHeW5lY29sb2d5LCBNY01hc3RlciBVbml2ZXJz
aXR5LCAxMjgwIE1haW4gU3RyZWV0IFdlc3QsIEhhbWlsdG9uLCBPTiwgTDhTIDRLMSwgQ2FuYWRh
LiBqYXJkZUBtY21hc3Rlci5jYS4mI3hEO0RlcGFydG1lbnQgb2YgT2JzdGV0cmljcyBhbmQgR3lu
ZWNvbG9neSwgTWNNYXN0ZXIgVW5pdmVyc2l0eSwgMTI4MCBNYWluIFN0cmVldCBXZXN0LCBIYW1p
bHRvbiwgT04sIEw4UyA0SzEsIENhbmFkYS4mI3hEO0RlcGFydG1lbnQgb2YgTWVkaWNpbmUsIEdh
c3Ryb2VudGVyb2xvZ3kgRGl2aXNpb24sIE1jTWFzdGVyIFVuaXZlcnNpdHksIEhhbWlsdG9uLCBP
TiwgQ2FuYWRhLiYjeEQ7RmFybmNvbWJlIEZhbWlseSBEaWdlc3RpdmUgSGVhbHRoIFJlc2VhcmNo
IEluc3RpdHV0ZSwgTWNNYXN0ZXIgVW5pdmVyc2l0eSwgSGFtaWx0b24sIE9OLCBDYW5hZGEuJiN4
RDtGYXJuY29tYmUgRmFtaWx5IERpZ2VzdGl2ZSBIZWFsdGggUmVzZWFyY2ggSW5zdGl0dXRlLCBE
ZXBhcnRtZW50IG9mIE1lZGljaW5lLCBNY01hc3RlciBVbml2ZXJzaXR5LCBIYW1pbHRvbiwgT04s
IENhbmFkYS4mI3hEO0RlcGFydG1lbnQgb2YgQ2xpbmljYWwgRXBpZGVtaW9sb2d5IGFuZCBCaW9z
dGF0aXN0aWNzLCBNY01hc3RlciBVbml2ZXJzaXR5LCBIYW1pbHRvbiwgT04sIENhbmFkYS48L2F1
dGgtYWRkcmVzcz48dGl0bGVzPjx0aXRsZT5QcmVnbmFuY3kgb3V0Y29tZXMgaW4gd29tZW4gdGFr
aW5nIHByb2Jpb3RpY3Mgb3IgcHJlYmlvdGljczogYSBzeXN0ZW1hdGljIHJldmlldyBhbmQgbWV0
YS1hbmFseXNpczwvdGl0bGU+PHNlY29uZGFyeS10aXRsZT5CTUMgUHJlZ25hbmN5IENoaWxkYmly
dGg8L3NlY29uZGFyeS10aXRsZT48L3RpdGxlcz48cGVyaW9kaWNhbD48ZnVsbC10aXRsZT5CTUMg
UHJlZ25hbmN5IENoaWxkYmlydGg8L2Z1bGwtdGl0bGU+PC9wZXJpb2RpY2FsPjxwYWdlcz4xNDwv
cGFnZXM+PHZvbHVtZT4xODwvdm9sdW1lPjxudW1iZXI+MTwvbnVtYmVyPjxlZGl0aW9uPjIwMTgv
MDEvMTA8L2VkaXRpb24+PGtleXdvcmRzPjxrZXl3b3JkPkRpYWJldGVzLCBHZXN0YXRpb25hbC9l
cGlkZW1pb2xvZ3k8L2tleXdvcmQ+PGtleXdvcmQ+RmVtYWxlPC9rZXl3b3JkPjxrZXl3b3JkPkh1
bWFuczwva2V5d29yZD48a2V5d29yZD4qUHJlYmlvdGljczwva2V5d29yZD48a2V5d29yZD5QcmVn
bmFuY3k8L2tleXdvcmQ+PGtleXdvcmQ+KlByZWduYW5jeSBPdXRjb21lPC9rZXl3b3JkPjxrZXl3
b3JkPlByZW1hdHVyZSBCaXJ0aC8qZXBpZGVtaW9sb2d5PC9rZXl3b3JkPjxrZXl3b3JkPlByb2Jp
b3RpY3MvKnRoZXJhcGV1dGljIHVzZTwva2V5d29yZD48a2V5d29yZD5SYW5kb21pemVkIENvbnRy
b2xsZWQgVHJpYWxzIGFzIFRvcGljPC9rZXl3b3JkPjxrZXl3b3JkPipQcmVnbmFuY3k8L2tleXdv
cmQ+PGtleXdvcmQ+KlByZXRlcm0gYmlydGg8L2tleXdvcmQ+PGtleXdvcmQ+KlByb2Jpb3RpY3M8
L2tleXdvcmQ+PGtleXdvcmQ+KlN5bmJpb3RpY3M8L2tleXdvcmQ+PC9rZXl3b3Jkcz48ZGF0ZXM+
PHllYXI+MjAxODwveWVhcj48cHViLWRhdGVzPjxkYXRlPkphbiA4PC9kYXRlPjwvcHViLWRhdGVz
PjwvZGF0ZXM+PGlzYm4+MTQ3MS0yMzkzIChFbGVjdHJvbmljKSYjeEQ7MTQ3MS0yMzkzIChMaW5r
aW5nKTwvaXNibj48YWNjZXNzaW9uLW51bT4yOTMxMDYxMDwvYWNjZXNzaW9uLW51bT48dXJscz48
cmVsYXRlZC11cmxzPjx1cmw+aHR0cHM6Ly93d3cubmNiaS5ubG0ubmloLmdvdi9wdWJtZWQvMjkz
MTA2MTA8L3VybD48L3JlbGF0ZWQtdXJscz48L3VybHM+PGN1c3RvbTI+UE1DNTc1OTIxMjwvY3Vz
dG9tMj48ZWxlY3Ryb25pYy1yZXNvdXJjZS1udW0+MTAuMTE4Ni9zMTI4ODQtMDE3LTE2MjktNTwv
ZWxlY3Ryb25pYy1yZXNvdXJjZS1udW0+PC9yZWNvcmQ+PC9DaXRlPjxDaXRlPjxBdXRob3I+R3Jl
djwvQXV0aG9yPjxZZWFyPjIwMTg8L1llYXI+PFJlY051bT4xNjU0PC9SZWNOdW0+PHJlY29yZD48
cmVjLW51bWJlcj4xNjU0PC9yZWMtbnVtYmVyPjxmb3JlaWduLWtleXM+PGtleSBhcHA9IkVOIiBk
Yi1pZD0iZXh2YXNyZngyZHRyYW9lc2FzeHAyc3pzeGEyZGY1MDI1OTJ4IiB0aW1lc3RhbXA9IjE1
ODEzMTI3MzQiPjE2NTQ8L2tleT48a2V5IGFwcD0iRU5XZWIiIGRiLWlkPSIiPjA8L2tleT48L2Zv
cmVpZ24ta2V5cz48cmVmLXR5cGUgbmFtZT0iSm91cm5hbCBBcnRpY2xlIj4xNzwvcmVmLXR5cGU+
PGNvbnRyaWJ1dG9ycz48YXV0aG9ycz48YXV0aG9yPkdyZXYsIEouPC9hdXRob3I+PGF1dGhvcj5C
ZXJnLCBNLjwvYXV0aG9yPjxhdXRob3I+U29sbCwgUi48L2F1dGhvcj48L2F1dGhvcnM+PC9jb250
cmlidXRvcnM+PGF1dGgtYWRkcmVzcz5Vbml2ZXJzaXR5IG9mIFZlcm1vbnQgTWVkaWNhbCBDZW50
ZXIsIEJ1cmxpbmd0b24gVlQsIFVTQS48L2F1dGgtYWRkcmVzcz48dGl0bGVzPjx0aXRsZT5NYXRl
cm5hbCBwcm9iaW90aWMgc3VwcGxlbWVudGF0aW9uIGZvciBwcmV2ZW50aW9uIG9mIG1vcmJpZGl0
eSBhbmQgbW9ydGFsaXR5IGluIHByZXRlcm0gaW5mYW50czwvdGl0bGU+PHNlY29uZGFyeS10aXRs
ZT5Db2NocmFuZSBEYXRhYmFzZSBTeXN0IFJldjwvc2Vjb25kYXJ5LXRpdGxlPjwvdGl0bGVzPjxw
ZXJpb2RpY2FsPjxmdWxsLXRpdGxlPkNvY2hyYW5lIERhdGFiYXNlIFN5c3QgUmV2PC9mdWxsLXRp
dGxlPjwvcGVyaW9kaWNhbD48cGFnZXM+Q0QwMTI1MTk8L3BhZ2VzPjx2b2x1bWU+MTI8L3ZvbHVt
ZT48ZWRpdGlvbj4yMDE4LzEyLzE1PC9lZGl0aW9uPjxrZXl3b3Jkcz48a2V5d29yZD5BZG1pbmlz
dHJhdGlvbiwgT3JhbDwva2V5d29yZD48a2V5d29yZD5FbnRlcm9jb2xpdGlzLCBOZWNyb3Rpemlu
Zy8qcHJldmVudGlvbiAmYW1wOyBjb250cm9sPC9rZXl3b3JkPjxrZXl3b3JkPkdhc3Ryb2ludGVz
dGluYWwgTWljcm9iaW9tZTwva2V5d29yZD48a2V5d29yZD5IdW1hbnM8L2tleXdvcmQ+PGtleXdv
cmQ+SW5mYW50PC9rZXl3b3JkPjxrZXl3b3JkPkluZmFudCBNb3J0YWxpdHk8L2tleXdvcmQ+PGtl
eXdvcmQ+SW5mYW50LCBOZXdib3JuPC9rZXl3b3JkPjxrZXl3b3JkPipJbmZhbnQsIFByZW1hdHVy
ZTwva2V5d29yZD48a2V5d29yZD5JbmZhbnQsIFByZW1hdHVyZSwgRGlzZWFzZXMvKnByZXZlbnRp
b24gJmFtcDsgY29udHJvbDwva2V5d29yZD48a2V5d29yZD5JbmZsYW1tYXRpb248L2tleXdvcmQ+
PGtleXdvcmQ+TW9yYmlkaXR5PC9rZXl3b3JkPjxrZXl3b3JkPipNb3RoZXJzPC9rZXl3b3JkPjxr
ZXl3b3JkPlByZW5hdGFsIENhcmU8L2tleXdvcmQ+PGtleXdvcmQ+UHJvYmlvdGljcy8qYWRtaW5p
c3RyYXRpb24gJmFtcDsgZG9zYWdlPC9rZXl3b3JkPjxrZXl3b3JkPlJhbmRvbWl6ZWQgQ29udHJv
bGxlZCBUcmlhbHMgYXMgVG9waWM8L2tleXdvcmQ+PC9rZXl3b3Jkcz48ZGF0ZXM+PHllYXI+MjAx
ODwveWVhcj48cHViLWRhdGVzPjxkYXRlPkRlYyAxMjwvZGF0ZT48L3B1Yi1kYXRlcz48L2RhdGVz
Pjxpc2JuPjE0NjktNDkzWCAoRWxlY3Ryb25pYykmI3hEOzEzNjEtNjEzNyAoTGlua2luZyk8L2lz
Ym4+PGFjY2Vzc2lvbi1udW0+MzA1NDg0ODM8L2FjY2Vzc2lvbi1udW0+PHVybHM+PHJlbGF0ZWQt
dXJscz48dXJsPmh0dHBzOi8vd3d3Lm5jYmkubmxtLm5paC5nb3YvcHVibWVkLzMwNTQ4NDgzPC91
cmw+PC9yZWxhdGVkLXVybHM+PC91cmxzPjxjdXN0b20yPlBNQzY1MTY5OTk8L2N1c3RvbTI+PGVs
ZWN0cm9uaWMtcmVzb3VyY2UtbnVtPjEwLjEwMDIvMTQ2NTE4NTguQ0QwMTI1MTkucHViMjwvZWxl
Y3Ryb25pYy1yZXNvdXJjZS1udW0+PC9yZWNvcmQ+PC9DaXRlPjxDaXRlPjxBdXRob3I+SGFuPC9B
dXRob3I+PFllYXI+MjAxOTwvWWVhcj48UmVjTnVtPjE2NTU8L1JlY051bT48cmVjb3JkPjxyZWMt
bnVtYmVyPjE2NTU8L3JlYy1udW1iZXI+PGZvcmVpZ24ta2V5cz48a2V5IGFwcD0iRU4iIGRiLWlk
PSJleHZhc3JmeDJkdHJhb2VzYXN4cDJzenN4YTJkZjUwMjU5MngiIHRpbWVzdGFtcD0iMTU4MTMx
Mjc0MiI+MTY1NTwva2V5PjxrZXkgYXBwPSJFTldlYiIgZGItaWQ9IiI+MDwva2V5PjwvZm9yZWln
bi1rZXlzPjxyZWYtdHlwZSBuYW1lPSJKb3VybmFsIEFydGljbGUiPjE3PC9yZWYtdHlwZT48Y29u
dHJpYnV0b3JzPjxhdXRob3JzPjxhdXRob3I+SGFuLCBNLiBNLjwvYXV0aG9yPjxhdXRob3I+U3Vu
LCBKLiBGLjwvYXV0aG9yPjxhdXRob3I+U3UsIFguIEguPC9hdXRob3I+PGF1dGhvcj5QZW5nLCBZ
LiBGLjwvYXV0aG9yPjxhdXRob3I+R295YWwsIEguPC9hdXRob3I+PGF1dGhvcj5XdSwgQy4gSC48
L2F1dGhvcj48YXV0aG9yPlpodSwgWC4gWS48L2F1dGhvcj48YXV0aG9yPkxpLCBMLjwvYXV0aG9y
PjwvYXV0aG9ycz48L2NvbnRyaWJ1dG9ycz48YXV0aC1hZGRyZXNzPkRlcGFydG1lbnQgb2YgRW5k
b2NyaW5vbG9neSwgWmhvbmdkYSBIb3NwaXRhbCwgU2Nob29sIG9mIE1lZGljaW5lLCBTb3V0aGVh
c3QgVW5pdmVyc2l0eSwgTmFuamluZyAyMTAwMDksIENoaW5hLiYjeEQ7UGFuY3JlYXRpYyBSZXNl
YXJjaCBJbnN0aXR1dGUsIE1pbmlzdHJ5IG9mIEVkdWNhdGlvbiwgU2Nob29sIG9mIFB1YmxpYyBI
ZWFsdGgsIFNvdXRoZWFzdCBVbml2ZXJzaXR5LCBOYW5qaW5nIDIxMDAwOSwgQ2hpbmEuJiN4RDtL
ZXkgTGFib3JhdG9yeSBvZiBFbnZpcm9ubWVudGFsIE1lZGljaW5lIEVuZ2luZWVyaW5nLCBNaW5p
c3RyeSBvZiBFZHVjYXRpb24sIFNjaG9vbCBvZiBQdWJsaWMgSGVhbHRoLCBTb3V0aGVhc3QgVW5p
dmVyc2l0eSwgTmFuamluZyAyMTAwMDksIENoaW5hLiYjeEQ7RGVwYXJ0bWVudCBvZiBFbmRvY3Jp
bm9sb2d5LCB0aGUgRmlyc3QgQWZmaWxpYXRlZCBIb3NwaXRhbCBvZiB0aGUgTWVkaWNhbCBDb2xs
ZWdlLCBTaGloZXppIFVuaXZlcnNpdHksIFNoaWhlemkgODMyMDAzLCBDaGluYS4mI3hEO0RlcGFy
dG1lbnQgb2YgSW50ZXJuYWwgTWVkaWNpbmUsIFNjaG9vbCBvZiBNZWRpY2luZSwgTWVyY2VyIFVu
aXZlcnNpdHksIE1hY29uLCBVU0EuJiN4RDtEZXBhcnRtZW50IG9mIEdlbmVyYWwgbWVkaWNpbmUs
IFpob25nZGEgSG9zcGl0YWwsIFNjaG9vbCBvZiBNZWRpY2luZSwgU291dGhlYXN0IFVuaXZlcnNp
dHksIE5hbmppbmcgMjEwMDA5LCBDaGluYS48L2F1dGgtYWRkcmVzcz48dGl0bGVzPjx0aXRsZT5Q
cm9iaW90aWNzIGltcHJvdmUgZ2x1Y29zZSBhbmQgbGlwaWQgbWV0YWJvbGlzbSBpbiBwcmVnbmFu
dCB3b21lbjogYSBtZXRhLWFuYWx5c2lzPC90aXRsZT48c2Vjb25kYXJ5LXRpdGxlPkFubiBUcmFu
c2wgTWVkPC9zZWNvbmRhcnktdGl0bGU+PC90aXRsZXM+PHBlcmlvZGljYWw+PGZ1bGwtdGl0bGU+
QW5uIFRyYW5zbCBNZWQ8L2Z1bGwtdGl0bGU+PC9wZXJpb2RpY2FsPjxwYWdlcz45OTwvcGFnZXM+
PHZvbHVtZT43PC92b2x1bWU+PG51bWJlcj41PC9udW1iZXI+PGVkaXRpb24+MjAxOS8wNC8yNjwv
ZWRpdGlvbj48a2V5d29yZHM+PGtleXdvcmQ+UHJlZ25hbmN5PC9rZXl3b3JkPjxrZXl3b3JkPmdl
c3RhdGlvbmFsIGRpYWJldGVzIG1lbGxpdHVzIChHRE0pPC9rZXl3b3JkPjxrZXl3b3JkPmdseWNv
bWV0YWJvbGlzbTwva2V5d29yZD48a2V5d29yZD5ndXQgbWljcm9iaW90YTwva2V5d29yZD48a2V5
d29yZD5saXBpZCBwcm9maWxlPC9rZXl3b3JkPjxrZXl3b3JkPnByb2Jpb3RpY3M8L2tleXdvcmQ+
PC9rZXl3b3Jkcz48ZGF0ZXM+PHllYXI+MjAxOTwveWVhcj48cHViLWRhdGVzPjxkYXRlPk1hcjwv
ZGF0ZT48L3B1Yi1kYXRlcz48L2RhdGVzPjxpc2JuPjIzMDUtNTgzOSAoUHJpbnQpJiN4RDsyMzA1
LTU4MzkgKExpbmtpbmcpPC9pc2JuPjxhY2Nlc3Npb24tbnVtPjMxMDE5OTQ5PC9hY2Nlc3Npb24t
bnVtPjx1cmxzPjxyZWxhdGVkLXVybHM+PHVybD5odHRwczovL3d3dy5uY2JpLm5sbS5uaWguZ292
L3B1Ym1lZC8zMTAxOTk0OTwvdXJsPjwvcmVsYXRlZC11cmxzPjwvdXJscz48Y3VzdG9tMj5QTUM2
NDYyNjYxPC9jdXN0b20yPjxlbGVjdHJvbmljLXJlc291cmNlLW51bT4xMC4yMTAzNy9hdG0uMjAx
OS4wMS42MTwvZWxlY3Ryb25pYy1yZXNvdXJjZS1udW0+PC9yZWNvcmQ+PC9DaXRlPjwvRW5kTm90
ZT5=
</w:fldData>
        </w:fldChar>
      </w:r>
      <w:r w:rsidR="002747EA">
        <w:instrText xml:space="preserve"> ADDIN EN.CITE </w:instrText>
      </w:r>
      <w:r w:rsidR="002747EA">
        <w:fldChar w:fldCharType="begin">
          <w:fldData xml:space="preserve">PEVuZE5vdGU+PENpdGU+PEF1dGhvcj5KYXJkZTwvQXV0aG9yPjxZZWFyPjIwMTg8L1llYXI+PFJl
Y051bT4xNjU5PC9SZWNOdW0+PERpc3BsYXlUZXh0PjxzdHlsZSBmYWNlPSJzdXBlcnNjcmlwdCIg
Zm9udD0iVHJlYnVjaGV0IE1TIiBzaXplPSI5Ij4yMjUtMjI3PC9zdHlsZT48L0Rpc3BsYXlUZXh0
PjxyZWNvcmQ+PHJlYy1udW1iZXI+MTY1OTwvcmVjLW51bWJlcj48Zm9yZWlnbi1rZXlzPjxrZXkg
YXBwPSJFTiIgZGItaWQ9ImV4dmFzcmZ4MmR0cmFvZXNhc3hwMnN6c3hhMmRmNTAyNTkyeCIgdGlt
ZXN0YW1wPSIxNTgxMzEyNzY0Ij4xNjU5PC9rZXk+PGtleSBhcHA9IkVOV2ViIiBkYi1pZD0iIj4w
PC9rZXk+PC9mb3JlaWduLWtleXM+PHJlZi10eXBlIG5hbWU9IkpvdXJuYWwgQXJ0aWNsZSI+MTc8
L3JlZi10eXBlPjxjb250cmlidXRvcnM+PGF1dGhvcnM+PGF1dGhvcj5KYXJkZSwgQS48L2F1dGhv
cj48YXV0aG9yPkxld2lzLU1pa2hhZWwsIEEuIE0uPC9hdXRob3I+PGF1dGhvcj5Nb2F5eWVkaSwg
UC48L2F1dGhvcj48YXV0aG9yPlN0ZWFybnMsIEouIEMuPC9hdXRob3I+PGF1dGhvcj5Db2xsaW5z
LCBTLiBNLjwvYXV0aG9yPjxhdXRob3I+QmV5ZW5lLCBKLjwvYXV0aG9yPjxhdXRob3I+TWNEb25h
bGQsIFMuIEQuPC9hdXRob3I+PC9hdXRob3JzPjwvY29udHJpYnV0b3JzPjxhdXRoLWFkZHJlc3M+
RGVwYXJ0bWVudCBvZiBPYnN0ZXRyaWNzIGFuZCBHeW5lY29sb2d5LCBNY01hc3RlciBVbml2ZXJz
aXR5LCAxMjgwIE1haW4gU3RyZWV0IFdlc3QsIEhhbWlsdG9uLCBPTiwgTDhTIDRLMSwgQ2FuYWRh
LiBqYXJkZUBtY21hc3Rlci5jYS4mI3hEO0RlcGFydG1lbnQgb2YgT2JzdGV0cmljcyBhbmQgR3lu
ZWNvbG9neSwgTWNNYXN0ZXIgVW5pdmVyc2l0eSwgMTI4MCBNYWluIFN0cmVldCBXZXN0LCBIYW1p
bHRvbiwgT04sIEw4UyA0SzEsIENhbmFkYS4mI3hEO0RlcGFydG1lbnQgb2YgTWVkaWNpbmUsIEdh
c3Ryb2VudGVyb2xvZ3kgRGl2aXNpb24sIE1jTWFzdGVyIFVuaXZlcnNpdHksIEhhbWlsdG9uLCBP
TiwgQ2FuYWRhLiYjeEQ7RmFybmNvbWJlIEZhbWlseSBEaWdlc3RpdmUgSGVhbHRoIFJlc2VhcmNo
IEluc3RpdHV0ZSwgTWNNYXN0ZXIgVW5pdmVyc2l0eSwgSGFtaWx0b24sIE9OLCBDYW5hZGEuJiN4
RDtGYXJuY29tYmUgRmFtaWx5IERpZ2VzdGl2ZSBIZWFsdGggUmVzZWFyY2ggSW5zdGl0dXRlLCBE
ZXBhcnRtZW50IG9mIE1lZGljaW5lLCBNY01hc3RlciBVbml2ZXJzaXR5LCBIYW1pbHRvbiwgT04s
IENhbmFkYS4mI3hEO0RlcGFydG1lbnQgb2YgQ2xpbmljYWwgRXBpZGVtaW9sb2d5IGFuZCBCaW9z
dGF0aXN0aWNzLCBNY01hc3RlciBVbml2ZXJzaXR5LCBIYW1pbHRvbiwgT04sIENhbmFkYS48L2F1
dGgtYWRkcmVzcz48dGl0bGVzPjx0aXRsZT5QcmVnbmFuY3kgb3V0Y29tZXMgaW4gd29tZW4gdGFr
aW5nIHByb2Jpb3RpY3Mgb3IgcHJlYmlvdGljczogYSBzeXN0ZW1hdGljIHJldmlldyBhbmQgbWV0
YS1hbmFseXNpczwvdGl0bGU+PHNlY29uZGFyeS10aXRsZT5CTUMgUHJlZ25hbmN5IENoaWxkYmly
dGg8L3NlY29uZGFyeS10aXRsZT48L3RpdGxlcz48cGVyaW9kaWNhbD48ZnVsbC10aXRsZT5CTUMg
UHJlZ25hbmN5IENoaWxkYmlydGg8L2Z1bGwtdGl0bGU+PC9wZXJpb2RpY2FsPjxwYWdlcz4xNDwv
cGFnZXM+PHZvbHVtZT4xODwvdm9sdW1lPjxudW1iZXI+MTwvbnVtYmVyPjxlZGl0aW9uPjIwMTgv
MDEvMTA8L2VkaXRpb24+PGtleXdvcmRzPjxrZXl3b3JkPkRpYWJldGVzLCBHZXN0YXRpb25hbC9l
cGlkZW1pb2xvZ3k8L2tleXdvcmQ+PGtleXdvcmQ+RmVtYWxlPC9rZXl3b3JkPjxrZXl3b3JkPkh1
bWFuczwva2V5d29yZD48a2V5d29yZD4qUHJlYmlvdGljczwva2V5d29yZD48a2V5d29yZD5QcmVn
bmFuY3k8L2tleXdvcmQ+PGtleXdvcmQ+KlByZWduYW5jeSBPdXRjb21lPC9rZXl3b3JkPjxrZXl3
b3JkPlByZW1hdHVyZSBCaXJ0aC8qZXBpZGVtaW9sb2d5PC9rZXl3b3JkPjxrZXl3b3JkPlByb2Jp
b3RpY3MvKnRoZXJhcGV1dGljIHVzZTwva2V5d29yZD48a2V5d29yZD5SYW5kb21pemVkIENvbnRy
b2xsZWQgVHJpYWxzIGFzIFRvcGljPC9rZXl3b3JkPjxrZXl3b3JkPipQcmVnbmFuY3k8L2tleXdv
cmQ+PGtleXdvcmQ+KlByZXRlcm0gYmlydGg8L2tleXdvcmQ+PGtleXdvcmQ+KlByb2Jpb3RpY3M8
L2tleXdvcmQ+PGtleXdvcmQ+KlN5bmJpb3RpY3M8L2tleXdvcmQ+PC9rZXl3b3Jkcz48ZGF0ZXM+
PHllYXI+MjAxODwveWVhcj48cHViLWRhdGVzPjxkYXRlPkphbiA4PC9kYXRlPjwvcHViLWRhdGVz
PjwvZGF0ZXM+PGlzYm4+MTQ3MS0yMzkzIChFbGVjdHJvbmljKSYjeEQ7MTQ3MS0yMzkzIChMaW5r
aW5nKTwvaXNibj48YWNjZXNzaW9uLW51bT4yOTMxMDYxMDwvYWNjZXNzaW9uLW51bT48dXJscz48
cmVsYXRlZC11cmxzPjx1cmw+aHR0cHM6Ly93d3cubmNiaS5ubG0ubmloLmdvdi9wdWJtZWQvMjkz
MTA2MTA8L3VybD48L3JlbGF0ZWQtdXJscz48L3VybHM+PGN1c3RvbTI+UE1DNTc1OTIxMjwvY3Vz
dG9tMj48ZWxlY3Ryb25pYy1yZXNvdXJjZS1udW0+MTAuMTE4Ni9zMTI4ODQtMDE3LTE2MjktNTwv
ZWxlY3Ryb25pYy1yZXNvdXJjZS1udW0+PC9yZWNvcmQ+PC9DaXRlPjxDaXRlPjxBdXRob3I+R3Jl
djwvQXV0aG9yPjxZZWFyPjIwMTg8L1llYXI+PFJlY051bT4xNjU0PC9SZWNOdW0+PHJlY29yZD48
cmVjLW51bWJlcj4xNjU0PC9yZWMtbnVtYmVyPjxmb3JlaWduLWtleXM+PGtleSBhcHA9IkVOIiBk
Yi1pZD0iZXh2YXNyZngyZHRyYW9lc2FzeHAyc3pzeGEyZGY1MDI1OTJ4IiB0aW1lc3RhbXA9IjE1
ODEzMTI3MzQiPjE2NTQ8L2tleT48a2V5IGFwcD0iRU5XZWIiIGRiLWlkPSIiPjA8L2tleT48L2Zv
cmVpZ24ta2V5cz48cmVmLXR5cGUgbmFtZT0iSm91cm5hbCBBcnRpY2xlIj4xNzwvcmVmLXR5cGU+
PGNvbnRyaWJ1dG9ycz48YXV0aG9ycz48YXV0aG9yPkdyZXYsIEouPC9hdXRob3I+PGF1dGhvcj5C
ZXJnLCBNLjwvYXV0aG9yPjxhdXRob3I+U29sbCwgUi48L2F1dGhvcj48L2F1dGhvcnM+PC9jb250
cmlidXRvcnM+PGF1dGgtYWRkcmVzcz5Vbml2ZXJzaXR5IG9mIFZlcm1vbnQgTWVkaWNhbCBDZW50
ZXIsIEJ1cmxpbmd0b24gVlQsIFVTQS48L2F1dGgtYWRkcmVzcz48dGl0bGVzPjx0aXRsZT5NYXRl
cm5hbCBwcm9iaW90aWMgc3VwcGxlbWVudGF0aW9uIGZvciBwcmV2ZW50aW9uIG9mIG1vcmJpZGl0
eSBhbmQgbW9ydGFsaXR5IGluIHByZXRlcm0gaW5mYW50czwvdGl0bGU+PHNlY29uZGFyeS10aXRs
ZT5Db2NocmFuZSBEYXRhYmFzZSBTeXN0IFJldjwvc2Vjb25kYXJ5LXRpdGxlPjwvdGl0bGVzPjxw
ZXJpb2RpY2FsPjxmdWxsLXRpdGxlPkNvY2hyYW5lIERhdGFiYXNlIFN5c3QgUmV2PC9mdWxsLXRp
dGxlPjwvcGVyaW9kaWNhbD48cGFnZXM+Q0QwMTI1MTk8L3BhZ2VzPjx2b2x1bWU+MTI8L3ZvbHVt
ZT48ZWRpdGlvbj4yMDE4LzEyLzE1PC9lZGl0aW9uPjxrZXl3b3Jkcz48a2V5d29yZD5BZG1pbmlz
dHJhdGlvbiwgT3JhbDwva2V5d29yZD48a2V5d29yZD5FbnRlcm9jb2xpdGlzLCBOZWNyb3Rpemlu
Zy8qcHJldmVudGlvbiAmYW1wOyBjb250cm9sPC9rZXl3b3JkPjxrZXl3b3JkPkdhc3Ryb2ludGVz
dGluYWwgTWljcm9iaW9tZTwva2V5d29yZD48a2V5d29yZD5IdW1hbnM8L2tleXdvcmQ+PGtleXdv
cmQ+SW5mYW50PC9rZXl3b3JkPjxrZXl3b3JkPkluZmFudCBNb3J0YWxpdHk8L2tleXdvcmQ+PGtl
eXdvcmQ+SW5mYW50LCBOZXdib3JuPC9rZXl3b3JkPjxrZXl3b3JkPipJbmZhbnQsIFByZW1hdHVy
ZTwva2V5d29yZD48a2V5d29yZD5JbmZhbnQsIFByZW1hdHVyZSwgRGlzZWFzZXMvKnByZXZlbnRp
b24gJmFtcDsgY29udHJvbDwva2V5d29yZD48a2V5d29yZD5JbmZsYW1tYXRpb248L2tleXdvcmQ+
PGtleXdvcmQ+TW9yYmlkaXR5PC9rZXl3b3JkPjxrZXl3b3JkPipNb3RoZXJzPC9rZXl3b3JkPjxr
ZXl3b3JkPlByZW5hdGFsIENhcmU8L2tleXdvcmQ+PGtleXdvcmQ+UHJvYmlvdGljcy8qYWRtaW5p
c3RyYXRpb24gJmFtcDsgZG9zYWdlPC9rZXl3b3JkPjxrZXl3b3JkPlJhbmRvbWl6ZWQgQ29udHJv
bGxlZCBUcmlhbHMgYXMgVG9waWM8L2tleXdvcmQ+PC9rZXl3b3Jkcz48ZGF0ZXM+PHllYXI+MjAx
ODwveWVhcj48cHViLWRhdGVzPjxkYXRlPkRlYyAxMjwvZGF0ZT48L3B1Yi1kYXRlcz48L2RhdGVz
Pjxpc2JuPjE0NjktNDkzWCAoRWxlY3Ryb25pYykmI3hEOzEzNjEtNjEzNyAoTGlua2luZyk8L2lz
Ym4+PGFjY2Vzc2lvbi1udW0+MzA1NDg0ODM8L2FjY2Vzc2lvbi1udW0+PHVybHM+PHJlbGF0ZWQt
dXJscz48dXJsPmh0dHBzOi8vd3d3Lm5jYmkubmxtLm5paC5nb3YvcHVibWVkLzMwNTQ4NDgzPC91
cmw+PC9yZWxhdGVkLXVybHM+PC91cmxzPjxjdXN0b20yPlBNQzY1MTY5OTk8L2N1c3RvbTI+PGVs
ZWN0cm9uaWMtcmVzb3VyY2UtbnVtPjEwLjEwMDIvMTQ2NTE4NTguQ0QwMTI1MTkucHViMjwvZWxl
Y3Ryb25pYy1yZXNvdXJjZS1udW0+PC9yZWNvcmQ+PC9DaXRlPjxDaXRlPjxBdXRob3I+SGFuPC9B
dXRob3I+PFllYXI+MjAxOTwvWWVhcj48UmVjTnVtPjE2NTU8L1JlY051bT48cmVjb3JkPjxyZWMt
bnVtYmVyPjE2NTU8L3JlYy1udW1iZXI+PGZvcmVpZ24ta2V5cz48a2V5IGFwcD0iRU4iIGRiLWlk
PSJleHZhc3JmeDJkdHJhb2VzYXN4cDJzenN4YTJkZjUwMjU5MngiIHRpbWVzdGFtcD0iMTU4MTMx
Mjc0MiI+MTY1NTwva2V5PjxrZXkgYXBwPSJFTldlYiIgZGItaWQ9IiI+MDwva2V5PjwvZm9yZWln
bi1rZXlzPjxyZWYtdHlwZSBuYW1lPSJKb3VybmFsIEFydGljbGUiPjE3PC9yZWYtdHlwZT48Y29u
dHJpYnV0b3JzPjxhdXRob3JzPjxhdXRob3I+SGFuLCBNLiBNLjwvYXV0aG9yPjxhdXRob3I+U3Vu
LCBKLiBGLjwvYXV0aG9yPjxhdXRob3I+U3UsIFguIEguPC9hdXRob3I+PGF1dGhvcj5QZW5nLCBZ
LiBGLjwvYXV0aG9yPjxhdXRob3I+R295YWwsIEguPC9hdXRob3I+PGF1dGhvcj5XdSwgQy4gSC48
L2F1dGhvcj48YXV0aG9yPlpodSwgWC4gWS48L2F1dGhvcj48YXV0aG9yPkxpLCBMLjwvYXV0aG9y
PjwvYXV0aG9ycz48L2NvbnRyaWJ1dG9ycz48YXV0aC1hZGRyZXNzPkRlcGFydG1lbnQgb2YgRW5k
b2NyaW5vbG9neSwgWmhvbmdkYSBIb3NwaXRhbCwgU2Nob29sIG9mIE1lZGljaW5lLCBTb3V0aGVh
c3QgVW5pdmVyc2l0eSwgTmFuamluZyAyMTAwMDksIENoaW5hLiYjeEQ7UGFuY3JlYXRpYyBSZXNl
YXJjaCBJbnN0aXR1dGUsIE1pbmlzdHJ5IG9mIEVkdWNhdGlvbiwgU2Nob29sIG9mIFB1YmxpYyBI
ZWFsdGgsIFNvdXRoZWFzdCBVbml2ZXJzaXR5LCBOYW5qaW5nIDIxMDAwOSwgQ2hpbmEuJiN4RDtL
ZXkgTGFib3JhdG9yeSBvZiBFbnZpcm9ubWVudGFsIE1lZGljaW5lIEVuZ2luZWVyaW5nLCBNaW5p
c3RyeSBvZiBFZHVjYXRpb24sIFNjaG9vbCBvZiBQdWJsaWMgSGVhbHRoLCBTb3V0aGVhc3QgVW5p
dmVyc2l0eSwgTmFuamluZyAyMTAwMDksIENoaW5hLiYjeEQ7RGVwYXJ0bWVudCBvZiBFbmRvY3Jp
bm9sb2d5LCB0aGUgRmlyc3QgQWZmaWxpYXRlZCBIb3NwaXRhbCBvZiB0aGUgTWVkaWNhbCBDb2xs
ZWdlLCBTaGloZXppIFVuaXZlcnNpdHksIFNoaWhlemkgODMyMDAzLCBDaGluYS4mI3hEO0RlcGFy
dG1lbnQgb2YgSW50ZXJuYWwgTWVkaWNpbmUsIFNjaG9vbCBvZiBNZWRpY2luZSwgTWVyY2VyIFVu
aXZlcnNpdHksIE1hY29uLCBVU0EuJiN4RDtEZXBhcnRtZW50IG9mIEdlbmVyYWwgbWVkaWNpbmUs
IFpob25nZGEgSG9zcGl0YWwsIFNjaG9vbCBvZiBNZWRpY2luZSwgU291dGhlYXN0IFVuaXZlcnNp
dHksIE5hbmppbmcgMjEwMDA5LCBDaGluYS48L2F1dGgtYWRkcmVzcz48dGl0bGVzPjx0aXRsZT5Q
cm9iaW90aWNzIGltcHJvdmUgZ2x1Y29zZSBhbmQgbGlwaWQgbWV0YWJvbGlzbSBpbiBwcmVnbmFu
dCB3b21lbjogYSBtZXRhLWFuYWx5c2lzPC90aXRsZT48c2Vjb25kYXJ5LXRpdGxlPkFubiBUcmFu
c2wgTWVkPC9zZWNvbmRhcnktdGl0bGU+PC90aXRsZXM+PHBlcmlvZGljYWw+PGZ1bGwtdGl0bGU+
QW5uIFRyYW5zbCBNZWQ8L2Z1bGwtdGl0bGU+PC9wZXJpb2RpY2FsPjxwYWdlcz45OTwvcGFnZXM+
PHZvbHVtZT43PC92b2x1bWU+PG51bWJlcj41PC9udW1iZXI+PGVkaXRpb24+MjAxOS8wNC8yNjwv
ZWRpdGlvbj48a2V5d29yZHM+PGtleXdvcmQ+UHJlZ25hbmN5PC9rZXl3b3JkPjxrZXl3b3JkPmdl
c3RhdGlvbmFsIGRpYWJldGVzIG1lbGxpdHVzIChHRE0pPC9rZXl3b3JkPjxrZXl3b3JkPmdseWNv
bWV0YWJvbGlzbTwva2V5d29yZD48a2V5d29yZD5ndXQgbWljcm9iaW90YTwva2V5d29yZD48a2V5
d29yZD5saXBpZCBwcm9maWxlPC9rZXl3b3JkPjxrZXl3b3JkPnByb2Jpb3RpY3M8L2tleXdvcmQ+
PC9rZXl3b3Jkcz48ZGF0ZXM+PHllYXI+MjAxOTwveWVhcj48cHViLWRhdGVzPjxkYXRlPk1hcjwv
ZGF0ZT48L3B1Yi1kYXRlcz48L2RhdGVzPjxpc2JuPjIzMDUtNTgzOSAoUHJpbnQpJiN4RDsyMzA1
LTU4MzkgKExpbmtpbmcpPC9pc2JuPjxhY2Nlc3Npb24tbnVtPjMxMDE5OTQ5PC9hY2Nlc3Npb24t
bnVtPjx1cmxzPjxyZWxhdGVkLXVybHM+PHVybD5odHRwczovL3d3dy5uY2JpLm5sbS5uaWguZ292
L3B1Ym1lZC8zMTAxOTk0OTwvdXJsPjwvcmVsYXRlZC11cmxzPjwvdXJscz48Y3VzdG9tMj5QTUM2
NDYyNjYxPC9jdXN0b20yPjxlbGVjdHJvbmljLXJlc291cmNlLW51bT4xMC4yMTAzNy9hdG0uMjAx
OS4wMS42MTwvZWxlY3Ryb25pYy1yZXNvdXJjZS1udW0+PC9yZWNvcmQ+PC9DaXRlPjwvRW5kTm90
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225-227</w:t>
      </w:r>
      <w:r w:rsidR="00AB21E2">
        <w:fldChar w:fldCharType="end"/>
      </w:r>
      <w:r w:rsidR="00F730C0">
        <w:t xml:space="preserve">, from which </w:t>
      </w:r>
      <w:r w:rsidR="00424D97">
        <w:t xml:space="preserve">study </w:t>
      </w:r>
      <w:r w:rsidR="00F730C0">
        <w:t xml:space="preserve">data </w:t>
      </w:r>
      <w:r w:rsidR="00424D97">
        <w:t xml:space="preserve">and risk of bias </w:t>
      </w:r>
      <w:r w:rsidR="00AB21E2">
        <w:t xml:space="preserve">assessment </w:t>
      </w:r>
      <w:r w:rsidR="00285C71">
        <w:t>were extracted for</w:t>
      </w:r>
      <w:r w:rsidR="00FD6130">
        <w:t xml:space="preserve"> </w:t>
      </w:r>
      <w:r w:rsidR="00B675A9">
        <w:t>15</w:t>
      </w:r>
      <w:r w:rsidR="00FD6130">
        <w:t xml:space="preserve"> RCTs</w:t>
      </w:r>
      <w:r w:rsidR="00AB21E2">
        <w:t>,</w:t>
      </w:r>
      <w:r>
        <w:t xml:space="preserve"> and </w:t>
      </w:r>
      <w:r w:rsidR="00B675A9">
        <w:t>10</w:t>
      </w:r>
      <w:r>
        <w:t xml:space="preserve"> RCTs</w:t>
      </w:r>
      <w:r w:rsidR="00AB21E2">
        <w:fldChar w:fldCharType="begin">
          <w:fldData xml:space="preserve">PEVuZE5vdGU+PENpdGU+PEF1dGhvcj5DYWxsYXdheTwvQXV0aG9yPjxZZWFyPjIwMTk8L1llYXI+
PFJlY051bT4xNjQ5PC9SZWNOdW0+PERpc3BsYXlUZXh0PjxzdHlsZSBmYWNlPSJzdXBlcnNjcmlw
dCIgZm9udD0iVHJlYnVjaGV0IE1TIiBzaXplPSI5Ij4yMjgtMjM3PC9zdHlsZT48L0Rpc3BsYXlU
ZXh0PjxyZWNvcmQ+PHJlYy1udW1iZXI+MTY0OTwvcmVjLW51bWJlcj48Zm9yZWlnbi1rZXlzPjxr
ZXkgYXBwPSJFTiIgZGItaWQ9ImV4dmFzcmZ4MmR0cmFvZXNhc3hwMnN6c3hhMmRmNTAyNTkyeCIg
dGltZXN0YW1wPSIxNTgxMzEyNjk4Ij4xNjQ5PC9rZXk+PGtleSBhcHA9IkVOV2ViIiBkYi1pZD0i
Ij4wPC9rZXk+PC9mb3JlaWduLWtleXM+PHJlZi10eXBlIG5hbWU9IkpvdXJuYWwgQXJ0aWNsZSI+
MTc8L3JlZi10eXBlPjxjb250cmlidXRvcnM+PGF1dGhvcnM+PGF1dGhvcj5DYWxsYXdheSwgTC4g
Sy48L2F1dGhvcj48YXV0aG9yPk1jSW50eXJlLCBILiBELjwvYXV0aG9yPjxhdXRob3I+QmFycmV0
dCwgSC4gTC48L2F1dGhvcj48YXV0aG9yPkZveGNyb2Z0LCBLLjwvYXV0aG9yPjxhdXRob3I+VHJl
bWVsbGVuLCBBLjwvYXV0aG9yPjxhdXRob3I+TGluZ3dvb2QsIEIuIEUuPC9hdXRob3I+PGF1dGhv
cj5Ub2JpbiwgSi4gTS48L2F1dGhvcj48YXV0aG9yPldpbGtpbnNvbiwgUy48L2F1dGhvcj48YXV0
aG9yPktvdGhhcmksIEEuPC9hdXRob3I+PGF1dGhvcj5Nb3JyaXNvbiwgTS48L2F1dGhvcj48YXV0
aG9yPk8mYXBvcztSb3Vya2UsIFAuPC9hdXRob3I+PGF1dGhvcj5QZWxlY2Fub3MsIEEuPC9hdXRo
b3I+PGF1dGhvcj5EZWtrZXIgTml0ZXJ0LCBNLjwvYXV0aG9yPjwvYXV0aG9ycz48L2NvbnRyaWJ1
dG9ycz48YXV0aC1hZGRyZXNzPldvbWVuJmFwb3M7cyBhbmQgTmV3Ym9ybiBTZXJ2aWNlcywgUm95
YWwgQnJpc2JhbmUgYW5kIFdvbWVuJmFwb3M7cyBIb3NwaXRhbCwgSGVyc3RvbiwgQXVzdHJhbGlh
IGwuY2FsbGF3YXlAdXEuZWR1LmF1LiYjeEQ7RmFjdWx0eSBvZiBNZWRpY2luZSwgVGhlIFVuaXZl
cnNpdHkgb2YgUXVlZW5zbGFuZCwgSGVyc3RvbiwgQXVzdHJhbGlhLiYjeEQ7TWF0ZXIgTWVkaWNh
bCBSZXNlYXJjaCBJbnN0aXR1dGUsIFNvdXRoIEJyaXNiYW5lLCBBdXN0cmFsaWEuJiN4RDtXb21l
biZhcG9zO3MgYW5kIE5ld2Jvcm4gU2VydmljZXMsIFJveWFsIEJyaXNiYW5lIGFuZCBXb21lbiZh
cG9zO3MgSG9zcGl0YWwsIEhlcnN0b24sIEF1c3RyYWxpYS4mI3hEO0phbWVzIENvb2sgVW5pdmVy
c2l0eSwgTWFja2F5LCBBdXN0cmFsaWEuJiN4RDtEZXBhcnRtZW50IG9mIE51dHJpdGlvbiBhbmQg
RGlldGV0aWNzLCBNYXRlciBHcm91cCwgU291dGggQnJpc2JhbmUsIEF1c3RyYWxpYS4mI3hEO1Jl
ZGNsaWZmZSBIb3NwaXRhbCwgUmVkY2xpZmZlLCBBdXN0cmFsaWEuJiN4RDtGYWN1bHR5IG9mIE1l
ZGljaW5lLCBVbml2ZXJzaXR5IG9mIFF1ZWVuc2xhbmQgRGlhbWFudGluYSBJbnN0aXR1dGUsIFRy
YW5zbGF0aW9uYWwgUmVzZWFyY2ggSW5zdGl0dXRlLCBXb29sbG9vbmdhYmJhLCBBdXN0cmFsaWEu
JiN4RDtRSU1SIEJlcmdob2ZlciBNZWRpY2FsIFJlc2VhcmNoIEluc3RpdHV0ZSwgSGVyc3Rvbiwg
QXVzdHJhbGlhLiYjeEQ7U2Nob29sIG9mIENoZW1pc3RyeSBhbmQgTW9sZWN1bGFyIEJpb3NjaWVu
Y2VzLCBUaGUgVW5pdmVyc2l0eSBvZiBRdWVlbnNsYW5kLCBTdCBMdWNpYSwgQXVzdHJhbGlhLjwv
YXV0aC1hZGRyZXNzPjx0aXRsZXM+PHRpdGxlPlByb2Jpb3RpY3MgZm9yIHRoZSBwcmV2ZW50aW9u
IG9mIGdlc3RhdGlvbmFsIGRpYWJldGVzIG1lbGxpdHVzIGluIG92ZXJ3ZWlnaHQgYW5kIG9iZXNl
IHdvbWVuOiBGaW5kaW5ncyBmcm9tIHRoZSBTUFJJTkcgZG91YmxlLWJsaW5kIHJhbmRvbWl6ZWQg
Y29udHJvbGxlZCB0cmlhbDwvdGl0bGU+PHNlY29uZGFyeS10aXRsZT5EaWFiZXRlcyBDYXJlPC9z
ZWNvbmRhcnktdGl0bGU+PC90aXRsZXM+PHBlcmlvZGljYWw+PGZ1bGwtdGl0bGU+RGlhYmV0ZXMg
Q2FyZTwvZnVsbC10aXRsZT48L3BlcmlvZGljYWw+PHBhZ2VzPjM2NC0zNzE8L3BhZ2VzPjx2b2x1
bWU+NDI8L3ZvbHVtZT48bnVtYmVyPjM8L251bWJlcj48ZWRpdGlvbj4yMDE5LzAxLzIwPC9lZGl0
aW9uPjxrZXl3b3Jkcz48a2V5d29yZD5BZHVsdDwva2V5d29yZD48a2V5d29yZD5BdXN0cmFsaWE8
L2tleXdvcmQ+PGtleXdvcmQ+RGlhYmV0ZXMsIEdlc3RhdGlvbmFsL2Jsb29kLypwcmV2ZW50aW9u
ICZhbXA7IGNvbnRyb2w8L2tleXdvcmQ+PGtleXdvcmQ+RG91YmxlLUJsaW5kIE1ldGhvZDwva2V5
d29yZD48a2V5d29yZD5GZW1hbGU8L2tleXdvcmQ+PGtleXdvcmQ+R2FzdHJvaW50ZXN0aW5hbCBN
aWNyb2Jpb21lPC9rZXl3b3JkPjxrZXl3b3JkPkdsdWNvc2UgVG9sZXJhbmNlIFRlc3Q8L2tleXdv
cmQ+PGtleXdvcmQ+SHVtYW5zPC9rZXl3b3JkPjxrZXl3b3JkPk9iZXNpdHkvY29tcGxpY2F0aW9u
cy8qZGlldCB0aGVyYXB5PC9rZXl3b3JkPjxrZXl3b3JkPk92ZXJ3ZWlnaHQvY29tcGxpY2F0aW9u
cy8qZGlldCB0aGVyYXB5PC9rZXl3b3JkPjxrZXl3b3JkPlByZWduYW5jeTwva2V5d29yZD48a2V5
d29yZD5QcmVnbmFuY3kgQ29tcGxpY2F0aW9ucy8qZGlldCB0aGVyYXB5PC9rZXl3b3JkPjxrZXl3
b3JkPlByb2Jpb3RpY3MvKnRoZXJhcGV1dGljIHVzZTwva2V5d29yZD48a2V5d29yZD5XZWlnaHQg
R2Fpbjwva2V5d29yZD48L2tleXdvcmRzPjxkYXRlcz48eWVhcj4yMDE5PC95ZWFyPjxwdWItZGF0
ZXM+PGRhdGU+TWFyPC9kYXRlPjwvcHViLWRhdGVzPjwvZGF0ZXM+PGlzYm4+MTkzNS01NTQ4IChF
bGVjdHJvbmljKSYjeEQ7MDE0OS01OTkyIChMaW5raW5nKTwvaXNibj48YWNjZXNzaW9uLW51bT4z
MDY1OTA3MDwvYWNjZXNzaW9uLW51bT48dXJscz48cmVsYXRlZC11cmxzPjx1cmw+aHR0cHM6Ly93
d3cubmNiaS5ubG0ubmloLmdvdi9wdWJtZWQvMzA2NTkwNzA8L3VybD48L3JlbGF0ZWQtdXJscz48
L3VybHM+PGVsZWN0cm9uaWMtcmVzb3VyY2UtbnVtPjEwLjIzMzcvZGMxOC0yMjQ4PC9lbGVjdHJv
bmljLXJlc291cmNlLW51bT48L3JlY29yZD48L0NpdGU+PENpdGU+PEF1dGhvcj5HaWxsZTwvQXV0
aG9yPjxZZWFyPjIwMTY8L1llYXI+PFJlY051bT4xNjUzPC9SZWNOdW0+PHJlY29yZD48cmVjLW51
bWJlcj4xNjUzPC9yZWMtbnVtYmVyPjxmb3JlaWduLWtleXM+PGtleSBhcHA9IkVOIiBkYi1pZD0i
ZXh2YXNyZngyZHRyYW9lc2FzeHAyc3pzeGEyZGY1MDI1OTJ4IiB0aW1lc3RhbXA9IjE1ODEzMTI3
MjkiPjE2NTM8L2tleT48a2V5IGFwcD0iRU5XZWIiIGRiLWlkPSIiPjA8L2tleT48L2ZvcmVpZ24t
a2V5cz48cmVmLXR5cGUgbmFtZT0iSm91cm5hbCBBcnRpY2xlIj4xNzwvcmVmLXR5cGU+PGNvbnRy
aWJ1dG9ycz48YXV0aG9ycz48YXV0aG9yPkdpbGxlLCBDLjwvYXV0aG9yPjxhdXRob3I+Qm9lciwg
Qi48L2F1dGhvcj48YXV0aG9yPk1hcnNjaGFsLCBNLjwvYXV0aG9yPjxhdXRob3I+VXJzY2hpdHos
IE0uIFMuPC9hdXRob3I+PGF1dGhvcj5IZWluZWNrZSwgVi48L2F1dGhvcj48YXV0aG9yPkh1bmQs
IFYuPC9hdXRob3I+PGF1dGhvcj5TcGVpZGVsLCBTLjwvYXV0aG9yPjxhdXRob3I+VGFybm93LCBJ
LjwvYXV0aG9yPjxhdXRob3I+TXlsb25hcywgSS48L2F1dGhvcj48YXV0aG9yPkZyYW56LCBBLjwv
YXV0aG9yPjxhdXRob3I+RW5nZWwsIEMuPC9hdXRob3I+PGF1dGhvcj5Qb2V0cywgQy4gRi48L2F1
dGhvcj48L2F1dGhvcnM+PC9jb250cmlidXRvcnM+PGF1dGgtYWRkcmVzcz5EZXBhcnRtZW50IG9m
IE5lb25hdG9sb2d5LCBVbml2ZXJzaXR5IENoaWxkcmVuJmFwb3M7cyBIb3NwaXRhbCwgVW5pdmVy
c2l0eSBIb3NwaXRhbCwgVHVlYmluZ2VuLCBHZXJtYW55LiYjeEQ7RGVwYXJ0bWVudCBvZiBPYnN0
ZXRyaWNzIGFuZCBHeW5lY29sb2d5LCBVbml2ZXJzaXR5IEhvc3BpdGFsLCBUdWViaW5nZW4sIEdl
cm1hbnkuJiN4RDtJbnN0aXR1dGUgZm9yIE1lZGljYWwgTWljcm9iaW9sb2d5LCBVbml2ZXJzaXR5
IEhvc3BpdGFsLCBUdWViaW5nZW4sIEdlcm1hbnkuJiN4RDtJbnN0aXR1dGUgb2YgTWVkaWNhbCBC
aW9zdGF0aXN0aWNzLCBFcGlkZW1pb2xvZ3ksIGFuZCBJbmZvcm1hdGljcywgRGl2aXNpb24gb2Yg
UGVkaWF0cmljIEVwaWRlbWlvbG9neSBVbml2ZXJzaXR5IE1lZGljYWwgQ2VudGVyIG9mIHRoZSBK
b2hhbm5lcyBHdXRlbmJlcmcgVW5pdmVyc2l0eSBNYWlueiwgR2VybWFueS4mI3hEO09ic3RldHJp
YyBwcmFjdGljZSwgQmFkIFVyYWNoLCBHZXJtYW55LiYjeEQ7VW5pdmVyc2l0eSBQaGFybWFjeSwg
VW5pdmVyc2l0eSBIb3NwaXRhbCwgVHVlYmluZ2VuLCBHZXJtYW55LiYjeEQ7U2VyZW5kZXggUGhh
cm1hY2V1dGljYWxzLCBIb3JzaG9sbSwgRGVubWFyay4mI3hEO0RlcGFydG1lbnQgb2YgT2JzdGV0
cmljcyBhbmQgR3luZWNvbG9neSwgTHVkd2lnLU1heGltaWxpYW5zLVVuaXZlcnNpdHksIE11bmlj
aCwgR2VybWFueS4mI3hEO0NlbnRlciBmb3IgUGVkaWF0cmljIENsaW5pY2FsIFN0dWRpZXMsIFVu
aXZlcnNpdHkgQ2hpbGRyZW4mYXBvcztzIEhvc3BpdGFsLCBVbml2ZXJzaXR5IEhvc3BpdGFsLCBU
dWViaW5nZW4sIEdlcm1hbnkuJiN4RDtEZXBhcnRtZW50IG9mIE5lb25hdG9sb2d5LCBVbml2ZXJz
aXR5IENoaWxkcmVuJmFwb3M7cyBIb3NwaXRhbCwgVW5pdmVyc2l0eSBIb3NwaXRhbCwgVHVlYmlu
Z2VuLCBHZXJtYW55LiBFbGVjdHJvbmljIGFkZHJlc3M6IGNocmlzdGlhbi1mLnBvZXRzQG1lZC51
bmktdHVlYmluZ2VuLmRlLjwvYXV0aC1hZGRyZXNzPjx0aXRsZXM+PHRpdGxlPkVmZmVjdCBvZiBw
cm9iaW90aWNzIG9uIHZhZ2luYWwgaGVhbHRoIGluIHByZWduYW5jeS4gRUZGUFJPLCBhIHJhbmRv
bWl6ZWQgY29udHJvbGxlZCB0cmlhbDwvdGl0bGU+PHNlY29uZGFyeS10aXRsZT5BbSBKIE9ic3Rl
dCBHeW5lY29sPC9zZWNvbmRhcnktdGl0bGU+PC90aXRsZXM+PHBlcmlvZGljYWw+PGZ1bGwtdGl0
bGU+QW0gSiBPYnN0ZXQgR3luZWNvbDwvZnVsbC10aXRsZT48L3BlcmlvZGljYWw+PHBhZ2VzPjYw
OCBlMS02MDggZTc8L3BhZ2VzPjx2b2x1bWU+MjE1PC92b2x1bWU+PG51bWJlcj41PC9udW1iZXI+
PGVkaXRpb24+MjAxNi8xMC8zMDwvZWRpdGlvbj48a2V5d29yZHM+PGtleXdvcmQ+QWRtaW5pc3Ry
YXRpb24sIE9yYWw8L2tleXdvcmQ+PGtleXdvcmQ+QWR1bHQ8L2tleXdvcmQ+PGtleXdvcmQ+RmVt
YWxlPC9rZXl3b3JkPjxrZXl3b3JkPkh1bWFuczwva2V5d29yZD48a2V5d29yZD4qTGFjdG9iYWNp
bGx1cyByZXV0ZXJpPC9rZXl3b3JkPjxrZXl3b3JkPipMYWN0b2JhY2lsbHVzIHJoYW1ub3N1czwv
a2V5d29yZD48a2V5d29yZD5NaWNyb2Jpb3RhLypkcnVnIGVmZmVjdHM8L2tleXdvcmQ+PGtleXdv
cmQ+TWlkZGxlIEFnZWQ8L2tleXdvcmQ+PGtleXdvcmQ+UHJlZ25hbmN5PC9rZXl3b3JkPjxrZXl3
b3JkPlByZWduYW5jeSBUcmltZXN0ZXIsIEZpcnN0PC9rZXl3b3JkPjxrZXl3b3JkPlByb2Jpb3Rp
Y3MvKnBoYXJtYWNvbG9neTwva2V5d29yZD48a2V5d29yZD5WYWdpbmEvKmRydWcgZWZmZWN0czwv
a2V5d29yZD48a2V5d29yZD5Zb3VuZyBBZHVsdDwva2V5d29yZD48a2V5d29yZD4qYmFjdGVyaWFs
IHZhZ2lub3Npczwva2V5d29yZD48a2V5d29yZD4qcHJldGVybSBiaXJ0aDwva2V5d29yZD48a2V5
d29yZD4qcHJvYmlvdGljczwva2V5d29yZD48a2V5d29yZD4qdmFnaW5hbCBtaWNyb2Jpb3RhPC9r
ZXl3b3JkPjwva2V5d29yZHM+PGRhdGVzPjx5ZWFyPjIwMTY8L3llYXI+PHB1Yi1kYXRlcz48ZGF0
ZT5Ob3Y8L2RhdGU+PC9wdWItZGF0ZXM+PC9kYXRlcz48aXNibj4xMDk3LTY4NjggKEVsZWN0cm9u
aWMpJiN4RDswMDAyLTkzNzggKExpbmtpbmcpPC9pc2JuPjxhY2Nlc3Npb24tbnVtPjI3MzQyMDQ2
PC9hY2Nlc3Npb24tbnVtPjx1cmxzPjxyZWxhdGVkLXVybHM+PHVybD5odHRwczovL3d3dy5uY2Jp
Lm5sbS5uaWguZ292L3B1Ym1lZC8yNzM0MjA0NjwvdXJsPjwvcmVsYXRlZC11cmxzPjwvdXJscz48
ZWxlY3Ryb25pYy1yZXNvdXJjZS1udW0+MTAuMTAxNi9qLmFqb2cuMjAxNi4wNi4wMjE8L2VsZWN0
cm9uaWMtcmVzb3VyY2UtbnVtPjwvcmVjb3JkPjwvQ2l0ZT48Q2l0ZT48QXV0aG9yPkhvPC9BdXRo
b3I+PFllYXI+MjAxNjwvWWVhcj48UmVjTnVtPjE2NTY8L1JlY051bT48cmVjb3JkPjxyZWMtbnVt
YmVyPjE2NTY8L3JlYy1udW1iZXI+PGZvcmVpZ24ta2V5cz48a2V5IGFwcD0iRU4iIGRiLWlkPSJl
eHZhc3JmeDJkdHJhb2VzYXN4cDJzenN4YTJkZjUwMjU5MngiIHRpbWVzdGFtcD0iMTU4MTMxMjc1
MSI+MTY1Njwva2V5PjxrZXkgYXBwPSJFTldlYiIgZGItaWQ9IiI+MDwva2V5PjwvZm9yZWlnbi1r
ZXlzPjxyZWYtdHlwZSBuYW1lPSJKb3VybmFsIEFydGljbGUiPjE3PC9yZWYtdHlwZT48Y29udHJp
YnV0b3JzPjxhdXRob3JzPjxhdXRob3I+SG8sIE0uPC9hdXRob3I+PGF1dGhvcj5DaGFuZywgWS4g
WS48L2F1dGhvcj48YXV0aG9yPkNoYW5nLCBXLiBDLjwvYXV0aG9yPjxhdXRob3I+TGluLCBILiBD
LjwvYXV0aG9yPjxhdXRob3I+V2FuZywgTS4gSC48L2F1dGhvcj48YXV0aG9yPkxpbiwgVy4gQy48
L2F1dGhvcj48YXV0aG9yPkNoaXUsIFQuIEguPC9hdXRob3I+PC9hdXRob3JzPjwvY29udHJpYnV0
b3JzPjxhdXRoLWFkZHJlc3M+RGVwYXJ0bWVudCBvZiBPYnN0ZXRyaWNzIGFuZCBHeW5lY29sb2d5
LCBDaGluYSBNZWRpY2FsIFVuaXZlcnNpdHkgSG9zcGl0YWwsIENoaW5hIE1lZGljYWwgVW5pdmVy
c2l0eSwgVGFpY2h1bmcgNDA0MDIsIFRhaXdhbi4mI3hEO0RlcGFydG1lbnQgb2YgUGVkaWF0cmlj
cywgQ2hpbmEgTWVkaWNhbCBVbml2ZXJzaXR5IEhvc3BpdGFsLCBDaGluYSBNZWRpY2FsIFVuaXZl
cnNpdHksIFRhaWNodW5nIDQwNDAyLCBUYWl3YW4uJiN4RDtEZXBhcnRtZW50IG9mIE9ic3RldHJp
Y3MgYW5kIEd5bmVjb2xvZ3ksIENoaW5hIE1lZGljYWwgVW5pdmVyc2l0eSBIb3NwaXRhbCwgQ2hp
bmEgTWVkaWNhbCBVbml2ZXJzaXR5LCBUYWljaHVuZyA0MDQwMiwgVGFpd2FuLiBFbGVjdHJvbmlj
IGFkZHJlc3M6IGQ0Nzk4QG1haWwuY211aC5vcmcudHcuPC9hdXRoLWFkZHJlc3M+PHRpdGxlcz48
dGl0bGU+T3JhbCBMYWN0b2JhY2lsbHVzIHJoYW1ub3N1cyBHUi0xIGFuZCBMYWN0b2JhY2lsbHVz
IHJldXRlcmkgUkMtMTQgdG8gcmVkdWNlIEdyb3VwIEIgU3RyZXB0b2NvY2N1cyBjb2xvbml6YXRp
b24gaW4gcHJlZ25hbnQgd29tZW46IEEgcmFuZG9taXplZCBjb250cm9sbGVkIHRyaWFsPC90aXRs
ZT48c2Vjb25kYXJ5LXRpdGxlPlRhaXdhbiBKIE9ic3RldCBHeW5lY29sPC9zZWNvbmRhcnktdGl0
bGU+PC90aXRsZXM+PHBlcmlvZGljYWw+PGZ1bGwtdGl0bGU+VGFpd2FuIEogT2JzdGV0IEd5bmVj
b2w8L2Z1bGwtdGl0bGU+PC9wZXJpb2RpY2FsPjxwYWdlcz41MTUtODwvcGFnZXM+PHZvbHVtZT41
NTwvdm9sdW1lPjxudW1iZXI+NDwvbnVtYmVyPjxlZGl0aW9uPjIwMTYvMDkvMDQ8L2VkaXRpb24+
PGtleXdvcmRzPjxrZXl3b3JkPkFkdWx0PC9rZXl3b3JkPjxrZXl3b3JkPkRvdWJsZS1CbGluZCBN
ZXRob2Q8L2tleXdvcmQ+PGtleXdvcmQ+RmVtYWxlPC9rZXl3b3JkPjxrZXl3b3JkPkh1bWFuczwv
a2V5d29yZD48a2V5d29yZD5JbmZlY3Rpb3VzIERpc2Vhc2UgVHJhbnNtaXNzaW9uLCBWZXJ0aWNh
bC9wcmV2ZW50aW9uICZhbXA7IGNvbnRyb2w8L2tleXdvcmQ+PGtleXdvcmQ+KkxhY3RvYmFjaWxs
dXMgcmV1dGVyaTwva2V5d29yZD48a2V5d29yZD4qTGFjdG9iYWNpbGx1cyByaGFtbm9zdXM8L2tl
eXdvcmQ+PGtleXdvcmQ+UHJlZ25hbmN5PC9rZXl3b3JkPjxrZXl3b3JkPipQcmVnbmFuY3kgVHJp
bWVzdGVyLCBUaGlyZDwva2V5d29yZD48a2V5d29yZD5Qcm9iaW90aWNzLyp0aGVyYXBldXRpYyB1
c2U8L2tleXdvcmQ+PGtleXdvcmQ+UHJvc3BlY3RpdmUgU3R1ZGllczwva2V5d29yZD48a2V5d29y
ZD5SZWN0dW0vbWljcm9iaW9sb2d5PC9rZXl3b3JkPjxrZXl3b3JkPlN0cmVwdG9jb2NjYWwgSW5m
ZWN0aW9ucy9taWNyb2Jpb2xvZ3kvcHJldmVudGlvbiAmYW1wOyBjb250cm9sL3RyYW5zbWlzc2lv
bjwva2V5d29yZD48a2V5d29yZD5TdHJlcHRvY29jY3VzIGFnYWxhY3RpYWUvKmdyb3d0aCAmYW1w
OyBkZXZlbG9wbWVudDwva2V5d29yZD48a2V5d29yZD5WYWdpbmEvbWljcm9iaW9sb2d5PC9rZXl3
b3JkPjxrZXl3b3JkPipHQlMgY29sb25pemF0aW9uPC9rZXl3b3JkPjxrZXl3b3JkPipHQlMgaW5m
ZWN0aW9uPC9rZXl3b3JkPjxrZXl3b3JkPippbnRyYXBhcnR1bSBhbnRpYmlvdGljPC9rZXl3b3Jk
PjxrZXl3b3JkPipvcmFsIHByb2Jpb3RpY3M8L2tleXdvcmQ+PC9rZXl3b3Jkcz48ZGF0ZXM+PHll
YXI+MjAxNjwveWVhcj48cHViLWRhdGVzPjxkYXRlPkF1ZzwvZGF0ZT48L3B1Yi1kYXRlcz48L2Rh
dGVzPjxpc2JuPjE4NzUtNjI2MyAoRWxlY3Ryb25pYykmI3hEOzEwMjgtNDU1OSAoTGlua2luZyk8
L2lzYm4+PGFjY2Vzc2lvbi1udW0+Mjc1OTAzNzQ8L2FjY2Vzc2lvbi1udW0+PHVybHM+PHJlbGF0
ZWQtdXJscz48dXJsPmh0dHBzOi8vd3d3Lm5jYmkubmxtLm5paC5nb3YvcHVibWVkLzI3NTkwMzc0
PC91cmw+PC9yZWxhdGVkLXVybHM+PC91cmxzPjxlbGVjdHJvbmljLXJlc291cmNlLW51bT4xMC4x
MDE2L2oudGpvZy4yMDE2LjA2LjAwMzwvZWxlY3Ryb25pYy1yZXNvdXJjZS1udW0+PC9yZWNvcmQ+
PC9DaXRlPjxDaXRlPjxBdXRob3I+SHVzYWluPC9BdXRob3I+PFllYXI+MjAyMDwvWWVhcj48UmVj
TnVtPjE2ODE8L1JlY051bT48cmVjb3JkPjxyZWMtbnVtYmVyPjE2ODE8L3JlYy1udW1iZXI+PGZv
cmVpZ24ta2V5cz48a2V5IGFwcD0iRU4iIGRiLWlkPSJleHZhc3JmeDJkdHJhb2VzYXN4cDJzenN4
YTJkZjUwMjU5MngiIHRpbWVzdGFtcD0iMTU4MTM3OTg3NCI+MTY4MTwva2V5PjwvZm9yZWlnbi1r
ZXlzPjxyZWYtdHlwZSBuYW1lPSJKb3VybmFsIEFydGljbGUiPjE3PC9yZWYtdHlwZT48Y29udHJp
YnV0b3JzPjxhdXRob3JzPjxhdXRob3I+SHVzYWluLCBTLjwvYXV0aG9yPjxhdXRob3I+QWxsb3Rl
eSwgSi48L2F1dGhvcj48YXV0aG9yPkRyeW1vdXNzaSwgWi48L2F1dGhvcj48YXV0aG9yPldpbGtz
LCBNLjwvYXV0aG9yPjxhdXRob3I+RmVybmFuZGV6LUZlbGl4LCBCLiBNLjwvYXV0aG9yPjxhdXRo
b3I+V2hpbGV5LCBBLjwvYXV0aG9yPjxhdXRob3I+RG9kZHMsIEouPC9hdXRob3I+PGF1dGhvcj5U
aGFuZ2FyYXRpbmFtLCBTLjwvYXV0aG9yPjxhdXRob3I+TWNDb3VydCwgQy48L2F1dGhvcj48YXV0
aG9yPlByb3Nkb2NpbWksIEUuIE0uPC9hdXRob3I+PGF1dGhvcj5XYWRlLCBXLiBHLjwvYXV0aG9y
PjxhdXRob3I+ZGUgVGVqYWRhLCBCLiBNLjwvYXV0aG9yPjxhdXRob3I+WmFtb3JhLCBKLjwvYXV0
aG9yPjxhdXRob3I+S2hhbiwgSy48L2F1dGhvcj48YXV0aG9yPk1pbGxhciwgTS48L2F1dGhvcj48
L2F1dGhvcnM+PC9jb250cmlidXRvcnM+PGF1dGgtYWRkcmVzcz5CYXJ0cyBhbmQgdGhlIExvbmRv
biBTY2hvb2wgb2YgTWVkaWNpbmUgYW5kIERlbnRpc3RyeSwgQmxpemFyZCBJbnN0aXR1dGUsIFF1
ZWVuIE1hcnkgVW5pdmVyc2l0eSBvZiBMb25kb24sIExvbmRvbiwgVUsuJiN4RDtOZW9uYXRhbCBV
bml0LCBIb21lcnRvbiBVbml2ZXJzaXR5IEhvc3BpdGFsIE5IUyBGb3VuZGF0aW9uIFRydXN0LCBM
b25kb24sIFVLLiYjeEQ7V29tZW4mYXBvcztzIEhlYWx0aCBSZXNlYXJjaCBVbml0LCBCYXJ0cyBh
bmQgdGhlIExvbmRvbiBTY2hvb2wgb2YgTWVkaWNpbmUgYW5kIERlbnRpc3RyeSwgUXVlZW4gTWFy
eSBVbml2ZXJzaXR5IG9mIExvbmRvbiwgTG9uZG9uLCBVSy4mI3hEO0JhcnRzIGFuZCB0aGUgTG9u
ZG9uIFNjaG9vbCBvZiBNZWRpY2luZSBhbmQgRGVudGlzdHJ5LCBRdWVlbiBNYXJ5IFVuaXZlcnNp
dHkgb2YgTG9uZG9uLCBMb25kb24sIFVLLiYjeEQ7QmFydHMgSGVhbHRoIE5IUyBUcnVzdCwgTG9u
ZG9uLCBVSy4mI3hEO0NJQkVSIEVwaWRlbWlvbG9neSBhbmQgUHVibGljIEhlYWx0aCAoQ0lCRVJF
U1ApLCBNYWRyaWQsIFNwYWluLiYjeEQ7Q2xpbmljYWwgQmlvc3RhdGlzdGljcyBVbml0LCBIb3Nw
aXRhbCBSYW1vbiB5IENhamFsIChJUllDSVMpLCBNYWRyaWQsIFNwYWluLiYjeEQ7Q2l0eSBVbml2
ZXJzaXR5IG9mIExvbmRvbiwgVW5pdmVyc2l0eSBvZiBMb25kb24sIExvbmRvbiwgVUsuJiN4RDtD
ZW50cmUgZm9yIEhvc3QtTWljcm9iaW9tZSBJbnRlcmFjdGlvbnMsIEtpbmcmYXBvcztzIENvbGxl
Z2UgTG9uZG9uLCBMb25kb24sIFVLLiYjeEQ7RGVwYXJ0bWVudCBvZiBPYnN0ZXRyaWNzIGFuZCBH
eW5hZWNvbG9neSwgRmFjdWx0eSBvZiBNZWRpY2luZSwgVW5pdmVyc2l0eSBIb3NwaXRhbHMgb2Yg
R2VuZXZhLCBHZW5ldmEsIFN3aXR6ZXJsYW5kLjwvYXV0aC1hZGRyZXNzPjx0aXRsZXM+PHRpdGxl
PkVmZmVjdHMgb2Ygb3JhbCBwcm9iaW90aWMgc3VwcGxlbWVudHMgb24gdmFnaW5hbCBtaWNyb2Jp
b3RhIGR1cmluZyBwcmVnbmFuY3k6IGEgcmFuZG9taXNlZCwgZG91YmxlLWJsaW5kLCBwbGFjZWJv
LWNvbnRyb2xsZWQgdHJpYWwgd2l0aCBtaWNyb2Jpb21lIGFuYWx5c2lzPC90aXRsZT48c2Vjb25k
YXJ5LXRpdGxlPkJKT0c8L3NlY29uZGFyeS10aXRsZT48L3RpdGxlcz48cGVyaW9kaWNhbD48ZnVs
bC10aXRsZT5CSk9HPC9mdWxsLXRpdGxlPjwvcGVyaW9kaWNhbD48cGFnZXM+Mjc1LTI4NDwvcGFn
ZXM+PHZvbHVtZT4xMjc8L3ZvbHVtZT48bnVtYmVyPjI8L251bWJlcj48ZWRpdGlvbj4yMDE5LzA0
LzAyPC9lZGl0aW9uPjxrZXl3b3Jkcz48a2V5d29yZD5BZHVsdDwva2V5d29yZD48a2V5d29yZD5E
b3VibGUtQmxpbmQgTWV0aG9kPC9rZXl3b3JkPjxrZXl3b3JkPkZlbWFsZTwva2V5d29yZD48a2V5
d29yZD5IdW1hbnM8L2tleXdvcmQ+PGtleXdvcmQ+TGFjdG9iYWNpbGx1cyByZXV0ZXJpL2RydWcg
ZWZmZWN0czwva2V5d29yZD48a2V5d29yZD5MYWN0b2JhY2lsbHVzIHJoYW1ub3N1cy9kcnVnIGVm
ZmVjdHM8L2tleXdvcmQ+PGtleXdvcmQ+TWljcm9iaW90YS8qcGh5c2lvbG9neTwva2V5d29yZD48
a2V5d29yZD5QcmVnbmFuY3k8L2tleXdvcmQ+PGtleXdvcmQ+UHJlZ25hbmN5IENvbXBsaWNhdGlv
bnMsIEluZmVjdGlvdXMvKm1pY3JvYmlvbG9neTwva2V5d29yZD48a2V5d29yZD5QcmVnbmFuY3kg
VHJpbWVzdGVyLCBGaXJzdDwva2V5d29yZD48a2V5d29yZD5Qcm9iaW90aWNzLyp0aGVyYXBldXRp
YyB1c2U8L2tleXdvcmQ+PGtleXdvcmQ+VmFnaW5hLyptaWNyb2Jpb2xvZ3k8L2tleXdvcmQ+PGtl
eXdvcmQ+VmFnaW5vc2lzLCBCYWN0ZXJpYWwvY29tcGxpY2F0aW9ucy9kcnVnIHRoZXJhcHkvbWlj
cm9iaW9sb2d5PC9rZXl3b3JkPjxrZXl3b3JkPllvdW5nIEFkdWx0PC9rZXl3b3JkPjxrZXl3b3Jk
PiogTGFjdG9iYWNpbGx1cyByZXV0ZXJpPC9rZXl3b3JkPjxrZXl3b3JkPiogTGFjdG9iYWNpbGx1
cyByaGFtbm9zdXM8L2tleXdvcmQ+PGtleXdvcmQ+KkJhY3RlcmlhbCB2YWdpbm9zaXM8L2tleXdv
cmQ+PGtleXdvcmQ+KnByb2Jpb3RpYzwva2V5d29yZD48L2tleXdvcmRzPjxkYXRlcz48eWVhcj4y
MDIwPC95ZWFyPjxwdWItZGF0ZXM+PGRhdGU+SmFuPC9kYXRlPjwvcHViLWRhdGVzPjwvZGF0ZXM+
PGlzYm4+MTQ3MS0wNTI4IChFbGVjdHJvbmljKSYjeEQ7MTQ3MC0wMzI4IChMaW5raW5nKTwvaXNi
bj48YWNjZXNzaW9uLW51bT4zMDkzMjMxNzwvYWNjZXNzaW9uLW51bT48dXJscz48cmVsYXRlZC11
cmxzPjx1cmw+aHR0cHM6Ly93d3cubmNiaS5ubG0ubmloLmdvdi9wdWJtZWQvMzA5MzIzMTc8L3Vy
bD48L3JlbGF0ZWQtdXJscz48L3VybHM+PGN1c3RvbTI+UE1DNjk3MzE0OTwvY3VzdG9tMj48ZWxl
Y3Ryb25pYy1yZXNvdXJjZS1udW0+MTAuMTExMS8xNDcxLTA1MjguMTU2NzU8L2VsZWN0cm9uaWMt
cmVzb3VyY2UtbnVtPjwvcmVjb3JkPjwvQ2l0ZT48Q2l0ZT48QXV0aG9yPk9rZXNlbmUtR2FmYTwv
QXV0aG9yPjxZZWFyPjIwMTk8L1llYXI+PFJlY051bT4xMzkwPC9SZWNOdW0+PHJlY29yZD48cmVj
LW51bWJlcj4xMzkwPC9yZWMtbnVtYmVyPjxmb3JlaWduLWtleXM+PGtleSBhcHA9IkVOIiBkYi1p
ZD0iZXh2YXNyZngyZHRyYW9lc2FzeHAyc3pzeGEyZGY1MDI1OTJ4IiB0aW1lc3RhbXA9IjE1Njc3
NDYxMTYiPjEzOTA8L2tleT48a2V5IGFwcD0iRU5XZWIiIGRiLWlkPSIiPjA8L2tleT48L2ZvcmVp
Z24ta2V5cz48cmVmLXR5cGUgbmFtZT0iSm91cm5hbCBBcnRpY2xlIj4xNzwvcmVmLXR5cGU+PGNv
bnRyaWJ1dG9ycz48YXV0aG9ycz48YXV0aG9yPk9rZXNlbmUtR2FmYSwgSy5BLk0uLDwvYXV0aG9y
PjxhdXRob3I+TGksIE0uLDwvYXV0aG9yPjxhdXRob3I+TWNLaW5sYXksIEMuSi5ELiw8L2F1dGhv
cj48YXV0aG9yPlRheWxvciwgUi5TLiw8L2F1dGhvcj48YXV0aG9yPlJ1c2gsIEUuQy4sPC9hdXRo
b3I+PGF1dGhvcj5XYWxsLCBDLlIuLDwvYXV0aG9yPjxhdXRob3I+V2lsc29uLCBKLiw8L2F1dGhv
cj48YXV0aG9yPk11cnBoeSwgUi4sPC9hdXRob3I+PGF1dGhvcj5UYXlsb3IsIFIuLDwvYXV0aG9y
PjxhdXRob3I+VGhvbXBzb24sIEouTS5ELiw8L2F1dGhvcj48YXV0aG9yPkNyb3d0aGVyLCBDLkEu
LDwvYXV0aG9yPjxhdXRob3I+TWNDb3dhbiwgTC5NLkUuLDwvYXV0aG9yPjwvYXV0aG9ycz48L2Nv
bnRyaWJ1dG9ycz48YXV0aC1hZGRyZXNzPkRlcGFydG1lbnQgb2YgT2JzdGV0cmljcyBhbmQgR3lu
YWVjb2xvZ3ksIFVuaXZlcnNpdHkgb2YgQXVja2xhbmQsIEF1Y2tsYW5kLCBOZXcgWmVhbGFuZDsg
RmFjdWx0eSBvZiBNZWRpY2FsIGFuZCBIZWFsdGggU2NpZW5jZXMsIFVuaXZlcnNpdHkgb2YgQXVj
a2xhbmQsIEF1Y2tsYW5kLCBOZXcgWmVhbGFuZDsgTWlkZGxlbW9yZSBIb3NwaXRhbCwgU291dGgg
QXVja2xhbmQsIE5ldyBaZWFsYW5kLiBFbGVjdHJvbmljIGFkZHJlc3M6IGsub2tlc2VuZS1nYWZh
QGF1Y2tsYW5kLmFjLm56LiYjeEQ7RGVwYXJ0bWVudCBvZiBPYnN0ZXRyaWNzIGFuZCBHeW5hZWNv
bG9neSwgVW5pdmVyc2l0eSBvZiBBdWNrbGFuZCwgQXVja2xhbmQsIE5ldyBaZWFsYW5kOyBGYWN1
bHR5IG9mIE1lZGljYWwgYW5kIEhlYWx0aCBTY2llbmNlcywgVW5pdmVyc2l0eSBvZiBBdWNrbGFu
ZCwgQXVja2xhbmQsIE5ldyBaZWFsYW5kLiYjeEQ7RGVwYXJ0bWVudCBvZiBQYWVkaWF0cmljcywg
Q2hpbGQgYW5kIFlvdXRoIEhlYWx0aCwgVW5pdmVyc2l0eSBvZiBBdWNrbGFuZCwgQXVja2xhbmQs
IE5ldyBaZWFsYW5kOyBMaWdnaW5zIEluc3RpdHV0ZSwgVW5pdmVyc2l0eSBvZiBBdWNrbGFuZCwg
QXVja2xhbmQsIE5ldyBaZWFsYW5kOyBLaWR6IEZpcnN0IE5lb25hdGFsIENhcmUsIENvdW50aWVz
IE1hbnVrYXUgSGVhbHRoLCBBdWNrbGFuZCwgTmV3IFplYWxhbmQuJiN4RDtGYWN1bHR5IG9mIEhl
YWx0aCBhbmQgRW52aXJvbm1lbnRhbCBTY2llbmNlLCBBdWNrbGFuZCBVbml2ZXJzaXR5IG9mIFRl
Y2hub2xvZ3ksIEF1Y2tsYW5kLCBOZXcgWmVhbGFuZC4mI3hEO0ZhY3VsdHkgb2YgTWVkaWNhbCBh
bmQgSGVhbHRoIFNjaWVuY2VzLCBVbml2ZXJzaXR5IG9mIEF1Y2tsYW5kLCBBdWNrbGFuZCwgTmV3
IFplYWxhbmQuJiN4RDtGYWN1bHR5IG9mIE1lZGljYWwgYW5kIEhlYWx0aCBTY2llbmNlcywgVW5p
dmVyc2l0eSBvZiBBdWNrbGFuZCwgQXVja2xhbmQsIE5ldyBaZWFsYW5kOyBEZXBhcnRtZW50IG9m
IFBhZWRpYXRyaWNzLCBDaGlsZCBhbmQgWW91dGggSGVhbHRoLCBVbml2ZXJzaXR5IG9mIEF1Y2ts
YW5kLCBBdWNrbGFuZCwgTmV3IFplYWxhbmQuJiN4RDtEZXBhcnRtZW50IG9mIE1lZGljaW5lLCBT
Y2hvb2wgb2YgTWVkaWNpbmUsIFVuaXZlcnNpdHkgb2YgQXVja2xhbmQsIEF1Y2tsYW5kLCBOZXcg
WmVhbGFuZC4mI3hEO0RlcGFydG1lbnQgb2YgTWVkaWNpbmUsIFVuaXZlcnNpdHkgb2YgT3RhZ28s
IER1bmVkaW4sIE5ldyBaZWFsYW5kLiYjeEQ7TGlnZ2lucyBJbnN0aXR1dGUsIFVuaXZlcnNpdHkg
b2YgQXVja2xhbmQsIEF1Y2tsYW5kLCBOZXcgWmVhbGFuZC48L2F1dGgtYWRkcmVzcz48dGl0bGVz
Pjx0aXRsZT5FZmZlY3Qgb2YgYW50ZW5hdGFsIGRpZXRhcnkgaW50ZXJ2ZW50aW9ucyBpbiBtYXRl
cm5hbCBvYmVzaXR5IG9uIHByZWduYW5jeSB3ZWlnaHQtZ2FpbiBhbmQgYmlydGh3ZWlnaHQ6IEhl
YWx0aHkgTXVtcyBhbmQgQmFiaWVzIChIVU1CQSkgcmFuZG9taXplZCB0cmlhbDwvdGl0bGU+PHNl
Y29uZGFyeS10aXRsZT5BbSBKIE9ic3RldCBHeW5lY29sPC9zZWNvbmRhcnktdGl0bGU+PC90aXRs
ZXM+PHBlcmlvZGljYWw+PGZ1bGwtdGl0bGU+QW0gSiBPYnN0ZXQgR3luZWNvbDwvZnVsbC10aXRs
ZT48L3BlcmlvZGljYWw+PHBhZ2VzPjE1MiBlMS0xNTIgZTEzPC9wYWdlcz48dm9sdW1lPjIyMTwv
dm9sdW1lPjxudW1iZXI+MjwvbnVtYmVyPjxlZGl0aW9uPjIwMTkvMDMvMTg8L2VkaXRpb24+PGtl
eXdvcmRzPjxrZXl3b3JkPmNvbW11bml0eSBoZWFsdGggd29ya2VyPC9rZXl3b3JkPjxrZXl3b3Jk
Pmdlc3RhdGlvbmFsIHdlaWdodCBnYWluPC9rZXl3b3JkPjxrZXl3b3JkPnByb2Jpb3RpY3M8L2tl
eXdvcmQ+PGtleXdvcmQ+dGV4dCBtZXNzYWdpbmc8L2tleXdvcmQ+PC9rZXl3b3Jkcz48ZGF0ZXM+
PHllYXI+MjAxOTwveWVhcj48cHViLWRhdGVzPjxkYXRlPkF1ZzwvZGF0ZT48L3B1Yi1kYXRlcz48
L2RhdGVzPjxpc2JuPjEwOTctNjg2OCAoRWxlY3Ryb25pYykmI3hEOzAwMDItOTM3OCAoTGlua2lu
Zyk8L2lzYm4+PGFjY2Vzc2lvbi1udW0+MzA4NzgzMjM8L2FjY2Vzc2lvbi1udW0+PHVybHM+PHJl
bGF0ZWQtdXJscz48dXJsPmh0dHBzOi8vd3d3Lm5jYmkubmxtLm5paC5nb3YvcHVibWVkLzMwODc4
MzIzPC91cmw+PC9yZWxhdGVkLXVybHM+PC91cmxzPjxlbGVjdHJvbmljLXJlc291cmNlLW51bT4x
MC4xMDE2L2ouYWpvZy4yMDE5LjAzLjAwMzwvZWxlY3Ryb25pYy1yZXNvdXJjZS1udW0+PC9yZWNv
cmQ+PC9DaXRlPjxDaXRlPjxBdXRob3I+UGVsbG9ucGVyYTwvQXV0aG9yPjxZZWFyPjIwMTk8L1ll
YXI+PFJlY051bT4xNjY5PC9SZWNOdW0+PHJlY29yZD48cmVjLW51bWJlcj4xNjY5PC9yZWMtbnVt
YmVyPjxmb3JlaWduLWtleXM+PGtleSBhcHA9IkVOIiBkYi1pZD0iZXh2YXNyZngyZHRyYW9lc2Fz
eHAyc3pzeGEyZGY1MDI1OTJ4IiB0aW1lc3RhbXA9IjE1ODEzMTI4NDAiPjE2Njk8L2tleT48a2V5
IGFwcD0iRU5XZWIiIGRiLWlkPSIiPjA8L2tleT48L2ZvcmVpZ24ta2V5cz48cmVmLXR5cGUgbmFt
ZT0iSm91cm5hbCBBcnRpY2xlIj4xNzwvcmVmLXR5cGU+PGNvbnRyaWJ1dG9ycz48YXV0aG9ycz48
YXV0aG9yPlBlbGxvbnBlcmEsIE8uPC9hdXRob3I+PGF1dGhvcj5Nb2trYWxhLCBLLjwvYXV0aG9y
PjxhdXRob3I+SG91dHR1LCBOLjwvYXV0aG9yPjxhdXRob3I+VmFobGJlcmcsIFQuPC9hdXRob3I+
PGF1dGhvcj5Lb2l2dW5pZW1pLCBFLjwvYXV0aG9yPjxhdXRob3I+VGVydHRpLCBLLjwvYXV0aG9y
PjxhdXRob3I+Um9ubmVtYWEsIFQuPC9hdXRob3I+PGF1dGhvcj5MYWl0aW5lbiwgSy48L2F1dGhv
cj48L2F1dGhvcnM+PC9jb250cmlidXRvcnM+PGF1dGgtYWRkcmVzcz5EZXBhcnRtZW50IG9mIE9i
c3RldHJpY3MgYW5kIEd5bmVjb2xvZ3ksIFVuaXZlcnNpdHkgb2YgVHVya3UgYW5kIFR1cmt1IFVu
aXZlcnNpdHkgSG9zcGl0YWwsIFR1cmt1LCBGaW5sYW5kIG91dGkucGVsbG9ucGVyYUB1dHUuZmku
JiN4RDtJbnRlZ3JhdGl2ZSBQaHlzaW9sb2d5IGFuZCBQaGFybWFjb2xvZ3ksIEluc3RpdHV0ZSBv
ZiBCaW9tZWRpY2luZSwgVW5pdmVyc2l0eSBvZiBUdXJrdSwgVHVya3UsIEZpbmxhbmQuJiN4RDtC
aW9zdGF0aXN0aWNzLCBJbnN0aXR1dGUgb2YgQ2xpbmljYWwgTWVkaWNpbmUsIFVuaXZlcnNpdHkg
b2YgVHVya3UsIFR1cmt1LCBGaW5sYW5kLiYjeEQ7RGVwYXJ0bWVudCBvZiBPYnN0ZXRyaWNzIGFu
ZCBHeW5lY29sb2d5LCBVbml2ZXJzaXR5IG9mIFR1cmt1IGFuZCBUdXJrdSBVbml2ZXJzaXR5IEhv
c3BpdGFsLCBUdXJrdSwgRmlubGFuZC4mI3hEO0RlcGFydG1lbnQgb2YgTWVkaWNpbmUsIFVuaXZl
cnNpdHkgb2YgVHVya3UgYW5kIFR1cmt1IFVuaXZlcnNpdHkgSG9zcGl0YWwsIFR1cmt1LCBGaW5s
YW5kLjwvYXV0aC1hZGRyZXNzPjx0aXRsZXM+PHRpdGxlPkVmZmljYWN5IG9mIGZpc2ggb2lsIGFu
ZC9vciBwcm9iaW90aWMgaW50ZXJ2ZW50aW9uIG9uIHRoZSBpbmNpZGVuY2Ugb2YgZ2VzdGF0aW9u
YWwgZGlhYmV0ZXMgbWVsbGl0dXMgaW4gYW4gYXQtcmlzayBncm91cCBvZiBvdmVyd2VpZ2h0IGFu
ZCBvYmVzZSB3b21lbjogYSByYW5kb21pemVkLCBwbGFjZWJvLWNvbnRyb2xsZWQsIGRvdWJsZS1i
bGluZCBjbGluaWNhbCB0cmlhbDwvdGl0bGU+PHNlY29uZGFyeS10aXRsZT5EaWFiZXRlcyBDYXJl
PC9zZWNvbmRhcnktdGl0bGU+PC90aXRsZXM+PHBlcmlvZGljYWw+PGZ1bGwtdGl0bGU+RGlhYmV0
ZXMgQ2FyZTwvZnVsbC10aXRsZT48L3BlcmlvZGljYWw+PHBhZ2VzPjEwMDktMTAxNzwvcGFnZXM+
PHZvbHVtZT40Mjwvdm9sdW1lPjxudW1iZXI+NjwvbnVtYmVyPjxlZGl0aW9uPjIwMTkvMDQvMTE8
L2VkaXRpb24+PGRhdGVzPjx5ZWFyPjIwMTk8L3llYXI+PHB1Yi1kYXRlcz48ZGF0ZT5KdW48L2Rh
dGU+PC9wdWItZGF0ZXM+PC9kYXRlcz48aXNibj4xOTM1LTU1NDggKEVsZWN0cm9uaWMpJiN4RDsw
MTQ5LTU5OTIgKExpbmtpbmcpPC9pc2JuPjxhY2Nlc3Npb24tbnVtPjMwOTY3NDM2PC9hY2Nlc3Np
b24tbnVtPjx1cmxzPjxyZWxhdGVkLXVybHM+PHVybD5odHRwczovL3d3dy5uY2JpLm5sbS5uaWgu
Z292L3B1Ym1lZC8zMDk2NzQzNjwvdXJsPjwvcmVsYXRlZC11cmxzPjwvdXJscz48ZWxlY3Ryb25p
Yy1yZXNvdXJjZS1udW0+MTAuMjMzNy9kYzE4LTI1OTE8L2VsZWN0cm9uaWMtcmVzb3VyY2UtbnVt
PjwvcmVjb3JkPjwvQ2l0ZT48Q2l0ZT48QXV0aG9yPlNoYXJwZTwvQXV0aG9yPjxZZWFyPjIwMTk8
L1llYXI+PFJlY051bT4xNjcwPC9SZWNOdW0+PHJlY29yZD48cmVjLW51bWJlcj4xNjcwPC9yZWMt
bnVtYmVyPjxmb3JlaWduLWtleXM+PGtleSBhcHA9IkVOIiBkYi1pZD0iZXh2YXNyZngyZHRyYW9l
c2FzeHAyc3pzeGEyZGY1MDI1OTJ4IiB0aW1lc3RhbXA9IjE1ODEzMTI4NDciPjE2NzA8L2tleT48
a2V5IGFwcD0iRU5XZWIiIGRiLWlkPSIiPjA8L2tleT48L2ZvcmVpZ24ta2V5cz48cmVmLXR5cGUg
bmFtZT0iSm91cm5hbCBBcnRpY2xlIj4xNzwvcmVmLXR5cGU+PGNvbnRyaWJ1dG9ycz48YXV0aG9y
cz48YXV0aG9yPlNoYXJwZSwgTS48L2F1dGhvcj48YXV0aG9yPlNoYWgsIFYuPC9hdXRob3I+PGF1
dGhvcj5GcmVpcmUtTGl6YW1hLCBULjwvYXV0aG9yPjxhdXRob3I+Q2F0ZXMsIEUuIEMuPC9hdXRo
b3I+PGF1dGhvcj5NY0dyYXRoLCBLLjwvYXV0aG9yPjxhdXRob3I+RGF2aWQsIEkuPC9hdXRob3I+
PGF1dGhvcj5Db3dhbiwgUy48L2F1dGhvcj48YXV0aG9yPkxldGtlbWFuLCBKLjwvYXV0aG9yPjxh
dXRob3I+U3Rld2FydC1XaWxzb24sIEUuPC9hdXRob3I+PC9hdXRob3JzPjwvY29udHJpYnV0b3Jz
PjxhdXRoLWFkZHJlc3M+YSBNaWR3aWZlcnkgRWR1Y2F0aW9uIFByb2dyYW0sIFJ5ZXJzb24gVW5p
dmVyc2l0eSAsIFRvcm9udG8gLCBDYW5hZGEuJiN4RDtiIERlcGFydG1lbnQgb2YgUGVkaWF0cmlj
cywgTW91bnQgU2luYWkgSG9zcGl0YWwgLCBUb3JvbnRvICwgQ2FuYWRhLiYjeEQ7YyBEZXBhcnRt
ZW50IG9mIE9ic3RldHJpY3MgYW5kIEd5bmVjb2xvZ3ksIFN0LiBNaWNoYWVsJmFwb3M7cyBIb3Nw
aXRhbCAsIFRvcm9udG8gLCBDYW5hZGEuJiN4RDtkIERlcGFydG1lbnQgb2YgUHN5Y2hvbG9neSwg
UnllcnNvbiBVbml2ZXJzaXR5ICwgVG9yb250byAsIENhbmFkYS48L2F1dGgtYWRkcmVzcz48dGl0
bGVzPjx0aXRsZT5FZmZlY3RpdmVuZXNzIG9mIG9yYWwgaW50YWtlIG9mIExhY3RvYmFjaWxsdXMg
cmhhbW5vc3VzIEdSLTEgYW5kIExhY3RvYmFjaWxsdXMgcmV1dGVyaSBSQy0xNCBvbiBHcm91cCBC
IFN0cmVwdG9jb2NjdXMgY29sb25pemF0aW9uIGR1cmluZyBwcmVnbmFuY3k6IGEgbWlkd2lmZXJ5
LWxlZCBkb3VibGUtYmxpbmQgcmFuZG9taXplZCBjb250cm9sbGVkIHBpbG90IHRyaWFsPC90aXRs
ZT48c2Vjb25kYXJ5LXRpdGxlPkogTWF0ZXJuIEZldGFsIE5lb25hdGFsIE1lZDwvc2Vjb25kYXJ5
LXRpdGxlPjwvdGl0bGVzPjxwZXJpb2RpY2FsPjxmdWxsLXRpdGxlPkogTWF0ZXJuIEZldGFsIE5l
b25hdGFsIE1lZDwvZnVsbC10aXRsZT48L3BlcmlvZGljYWw+PHBhZ2VzPjEtODwvcGFnZXM+PGVk
aXRpb24+MjAxOS8wOC8wMTwvZWRpdGlvbj48a2V5d29yZHM+PGtleXdvcmQ+Q2xpbmljYWwgdHJp
YWw8L2tleXdvcmQ+PGtleXdvcmQ+Z3JvdXAgQiBTdHJlcHRvY29jY3VzPC9rZXl3b3JkPjxrZXl3
b3JkPm1pZHdpZmVyeTwva2V5d29yZD48a2V5d29yZD5wcmVnbmFuY3k8L2tleXdvcmQ+PGtleXdv
cmQ+cHJvYmlvdGljczwva2V5d29yZD48L2tleXdvcmRzPjxkYXRlcz48eWVhcj4yMDE5PC95ZWFy
PjxwdWItZGF0ZXM+PGRhdGU+QXVnIDEzPC9kYXRlPjwvcHViLWRhdGVzPjwvZGF0ZXM+PGlzYm4+
MTQ3Ni00OTU0IChFbGVjdHJvbmljKSYjeEQ7MTQ3Ni00OTU0IChMaW5raW5nKTwvaXNibj48YWNj
ZXNzaW9uLW51bT4zMTM2MjU3MjwvYWNjZXNzaW9uLW51bT48dXJscz48cmVsYXRlZC11cmxzPjx1
cmw+aHR0cHM6Ly93d3cubmNiaS5ubG0ubmloLmdvdi9wdWJtZWQvMzEzNjI1NzI8L3VybD48L3Jl
bGF0ZWQtdXJscz48L3VybHM+PGVsZWN0cm9uaWMtcmVzb3VyY2UtbnVtPjEwLjEwODAvMTQ3Njcw
NTguMjAxOS4xNjUwOTA3PC9lbGVjdHJvbmljLXJlc291cmNlLW51bT48L3JlY29yZD48L0NpdGU+
PENpdGU+PEF1dGhvcj5PbHNlbjwvQXV0aG9yPjxZZWFyPjIwMTg8L1llYXI+PFJlY051bT4xNzA5
PC9SZWNOdW0+PHJlY29yZD48cmVjLW51bWJlcj4xNzA5PC9yZWMtbnVtYmVyPjxmb3JlaWduLWtl
eXM+PGtleSBhcHA9IkVOIiBkYi1pZD0iZXh2YXNyZngyZHRyYW9lc2FzeHAyc3pzeGEyZGY1MDI1
OTJ4IiB0aW1lc3RhbXA9IjE1ODI0OTkxODIiPjE3MDk8L2tleT48L2ZvcmVpZ24ta2V5cz48cmVm
LXR5cGUgbmFtZT0iSm91cm5hbCBBcnRpY2xlIj4xNzwvcmVmLXR5cGU+PGNvbnRyaWJ1dG9ycz48
YXV0aG9ycz48YXV0aG9yPk9sc2VuLCBQYXVsYTwvYXV0aG9yPjxhdXRob3I+V2lsbGlhbXNvbiwg
TW9pcmE8L2F1dGhvcj48YXV0aG9yPlRyYXlub3IsIFZpY3RvcmlhPC9hdXRob3I+PGF1dGhvcj5H
ZW9yZ2lvdSwgQ2hyaXM8L2F1dGhvcj48L2F1dGhvcnM+PC9jb250cmlidXRvcnM+PHRpdGxlcz48
dGl0bGU+VGhlIGltcGFjdCBvZiBvcmFsIHByb2Jpb3RpY3Mgb24gdmFnaW5hbCBHcm91cCBCIFN0
cmVwdG9jb2NjYWwgY29sb25pc2F0aW9uIHJhdGVzIGluIHByZWduYW50IHdvbWVuOiBBIHBpbG90
IHJhbmRvbWlzZWQgY29udHJvbCBzdHVkeTwvdGl0bGU+PHNlY29uZGFyeS10aXRsZT5Xb21lbiBh
bmQgQmlydGg8L3NlY29uZGFyeS10aXRsZT48L3RpdGxlcz48cGVyaW9kaWNhbD48ZnVsbC10aXRs
ZT5Xb21lbiBhbmQgQmlydGg8L2Z1bGwtdGl0bGU+PC9wZXJpb2RpY2FsPjxwYWdlcz4zMS0zNzwv
cGFnZXM+PHZvbHVtZT4zMTwvdm9sdW1lPjxudW1iZXI+MTwvbnVtYmVyPjxzZWN0aW9uPjMxPC9z
ZWN0aW9uPjxkYXRlcz48eWVhcj4yMDE4PC95ZWFyPjwvZGF0ZXM+PGlzYm4+MTg3MTUxOTI8L2lz
Ym4+PHVybHM+PC91cmxzPjxlbGVjdHJvbmljLXJlc291cmNlLW51bT4xMC4xMDE2L2oud29tYmku
MjAxNy4wNi4wMTI8L2VsZWN0cm9uaWMtcmVzb3VyY2UtbnVtPjwvcmVjb3JkPjwvQ2l0ZT48Q2l0
ZT48QXV0aG9yPkxpbmRzYXk8L0F1dGhvcj48WWVhcj4yMDE0PC9ZZWFyPjxSZWNOdW0+MTg0Njwv
UmVjTnVtPjxyZWNvcmQ+PHJlYy1udW1iZXI+MTg0NjwvcmVjLW51bWJlcj48Zm9yZWlnbi1rZXlz
PjxrZXkgYXBwPSJFTiIgZGItaWQ9ImV4dmFzcmZ4MmR0cmFvZXNhc3hwMnN6c3hhMmRmNTAyNTky
eCIgdGltZXN0YW1wPSIxNTg3MDk3MzM2Ij4xODQ2PC9rZXk+PC9mb3JlaWduLWtleXM+PHJlZi10
eXBlIG5hbWU9IkpvdXJuYWwgQXJ0aWNsZSI+MTc8L3JlZi10eXBlPjxjb250cmlidXRvcnM+PGF1
dGhvcnM+PGF1dGhvcj5MaW5kc2F5LCBLLiBMLjwvYXV0aG9yPjxhdXRob3I+S2VubmVsbHksIE0u
PC9hdXRob3I+PGF1dGhvcj5DdWxsaXRvbiwgTS48L2F1dGhvcj48YXV0aG9yPlNtaXRoLCBULjwv
YXV0aG9yPjxhdXRob3I+TWFndWlyZSwgTy4gQy48L2F1dGhvcj48YXV0aG9yPlNoYW5haGFuLCBG
LjwvYXV0aG9yPjxhdXRob3I+QnJlbm5hbiwgTC48L2F1dGhvcj48YXV0aG9yPk1jQXVsaWZmZSwg
Ri4gTS48L2F1dGhvcj48L2F1dGhvcnM+PC9jb250cmlidXRvcnM+PGF1dGgtYWRkcmVzcz5Gcm9t
IHRoZSBVbml2ZXJzaXR5IENvbGxlZ2UgRHVibGluIChVQ0QpIE9ic3RldHJpY3MgYW5kIEd5bmFl
Y29sb2d5LCBTY2hvb2wgb2YgTWVkaWNpbmUgYW5kIE1lZGljYWwgU2NpZW5jZSwgVUNELCBOYXRp
b25hbCBNYXRlcm5pdHkgSG9zcGl0YWwsIER1YmxpbiwgSXJlbGFuZCAoS0xMLCBNSywgYW5kIEZN
TSk7IExhYm9yYXRvcnkgTWVkaWNpbmUsIE5hdGlvbmFsIE1hdGVybml0eSBIb3NwaXRhbCwgRHVi
bGluLCBJcmVsYW5kIChNQyk7IHRoZSBEZXBhcnRtZW50IG9mIENsaW5pY2FsIENoZW1pc3RyeSwg
U3QgVmluY2VudCZhcG9zO3MgVW5pdmVyc2l0eSBIb3NwaXRhbCwgRWxtIFBhcmssIER1Ymxpbiwg
SXJlbGFuZCAoVFMgYW5kIE9DTSk7IHRoZSBEZXBhcnRtZW50IG9mIE1lZGljaW5lLCBBbGltZW50
YXJ5IGFuZCBQaGFybWFiaW90aWMgQ2VudHJlLCBVbml2ZXJzaXR5IENvbGxlZ2UgQ29yaywgQ29y
aywgSXJlbGFuZCAoRlMpOyBhbmQgdGhlIEluc3RpdHV0ZSBvZiBGb29kIGFuZCBIZWFsdGgsIFVD
RCBTY2hvb2wgb2YgQWdyaWN1bHR1cmUgYW5kIEZvb2QgU2NpZW5jZSwgVUNELCBCZWxmaWVsZCwg
RHVibGluLCBJcmVsYW5kIChMQikuPC9hdXRoLWFkZHJlc3M+PHRpdGxlcz48dGl0bGU+UHJvYmlv
dGljcyBpbiBvYmVzZSBwcmVnbmFuY3kgZG8gbm90IHJlZHVjZSBtYXRlcm5hbCBmYXN0aW5nIGds
dWNvc2U6IGEgZG91YmxlLWJsaW5kLCBwbGFjZWJvLWNvbnRyb2xsZWQsIHJhbmRvbWl6ZWQgdHJp
YWwgKFByb2Jpb3RpY3MgaW4gUHJlZ25hbmN5IFN0dWR5KTwvdGl0bGU+PHNlY29uZGFyeS10aXRs
ZT5BbSBKIENsaW4gTnV0cjwvc2Vjb25kYXJ5LXRpdGxlPjwvdGl0bGVzPjxwZXJpb2RpY2FsPjxm
dWxsLXRpdGxlPkFtIEogQ2xpbiBOdXRyPC9mdWxsLXRpdGxlPjwvcGVyaW9kaWNhbD48cGFnZXM+
MTQzMi05PC9wYWdlcz48dm9sdW1lPjk5PC92b2x1bWU+PG51bWJlcj42PC9udW1iZXI+PGVkaXRp
b24+MjAxNC8wMy8yMjwvZWRpdGlvbj48a2V5d29yZHM+PGtleXdvcmQ+QWR1bHQ8L2tleXdvcmQ+
PGtleXdvcmQ+Qm9keSBNYXNzIEluZGV4PC9rZXl3b3JkPjxrZXl3b3JkPkNvaG9ydCBTdHVkaWVz
PC9rZXl3b3JkPjxrZXl3b3JkPkRpYWJldGVzLCBHZXN0YXRpb25hbC9lcGlkZW1pb2xvZ3kvZXRp
b2xvZ3kvcHJldmVudGlvbiAmYW1wOyBjb250cm9sPC9rZXl3b3JkPjxrZXl3b3JkPkRvdWJsZS1C
bGluZCBNZXRob2Q8L2tleXdvcmQ+PGtleXdvcmQ+RmVtYWxlPC9rZXl3b3JkPjxrZXl3b3JkPkds
dWNvc2UgSW50b2xlcmFuY2UvZXBpZGVtaW9sb2d5L2V0aW9sb2d5L3ByZXZlbnRpb24gJmFtcDsg
Y29udHJvbDwva2V5d29yZD48a2V5d29yZD5Ib3NwaXRhbHMsIE1hdGVybml0eTwva2V5d29yZD48
a2V5d29yZD5IdW1hbnM8L2tleXdvcmQ+PGtleXdvcmQ+SHlwZXJnbHljZW1pYS9lcGlkZW1pb2xv
Z3kvZXRpb2xvZ3kvKnByZXZlbnRpb24gJmFtcDsgY29udHJvbDwva2V5d29yZD48a2V5d29yZD5J
bmNpZGVuY2U8L2tleXdvcmQ+PGtleXdvcmQ+SXJlbGFuZC9lcGlkZW1pb2xvZ3k8L2tleXdvcmQ+
PGtleXdvcmQ+KkxhY3RvYmFjaWxsdXM8L2tleXdvcmQ+PGtleXdvcmQ+Kk1hdGVybmFsIE51dHJp
dGlvbmFsIFBoeXNpb2xvZ2ljYWwgUGhlbm9tZW5hPC9rZXl3b3JkPjxrZXl3b3JkPk9iZXNpdHkv
Ymxvb2QvKmRpZXQgdGhlcmFweS9waHlzaW9wYXRob2xvZ3k8L2tleXdvcmQ+PGtleXdvcmQ+T3V0
cGF0aWVudCBDbGluaWNzLCBIb3NwaXRhbDwva2V5d29yZD48a2V5d29yZD5QcmVnbmFuY3k8L2tl
eXdvcmQ+PGtleXdvcmQ+UHJlZ25hbmN5IENvbXBsaWNhdGlvbnMvYmxvb2QvKmRpZXQgdGhlcmFw
eS9waHlzaW9wYXRob2xvZ3k8L2tleXdvcmQ+PGtleXdvcmQ+UHJvYmlvdGljcy9hZHZlcnNlIGVm
ZmVjdHMvKnRoZXJhcGV1dGljIHVzZTwva2V5d29yZD48a2V5d29yZD5SaXNrPC9rZXl3b3JkPjwv
a2V5d29yZHM+PGRhdGVzPjx5ZWFyPjIwMTQ8L3llYXI+PHB1Yi1kYXRlcz48ZGF0ZT5KdW48L2Rh
dGU+PC9wdWItZGF0ZXM+PC9kYXRlcz48aXNibj4xOTM4LTMyMDcgKEVsZWN0cm9uaWMpJiN4RDsw
MDAyLTkxNjUgKExpbmtpbmcpPC9pc2JuPjxhY2Nlc3Npb24tbnVtPjI0NjQ2ODE5PC9hY2Nlc3Np
b24tbnVtPjx1cmxzPjxyZWxhdGVkLXVybHM+PHVybD5odHRwczovL3d3dy5uY2JpLm5sbS5uaWgu
Z292L3B1Ym1lZC8yNDY0NjgxOTwvdXJsPjwvcmVsYXRlZC11cmxzPjwvdXJscz48ZWxlY3Ryb25p
Yy1yZXNvdXJjZS1udW0+MTAuMzk0NS9hamNuLjExMy4wNzk3MjM8L2VsZWN0cm9uaWMtcmVzb3Vy
Y2UtbnVtPjwvcmVjb3JkPjwvQ2l0ZT48Q2l0ZT48QXV0aG9yPldpY2tlbnM8L0F1dGhvcj48WWVh
cj4yMDE3PC9ZZWFyPjxSZWNOdW0+MTY3NTwvUmVjTnVtPjxyZWNvcmQ+PHJlYy1udW1iZXI+MTY3
NTwvcmVjLW51bWJlcj48Zm9yZWlnbi1rZXlzPjxrZXkgYXBwPSJFTiIgZGItaWQ9ImV4dmFzcmZ4
MmR0cmFvZXNhc3hwMnN6c3hhMmRmNTAyNTkyeCIgdGltZXN0YW1wPSIxNTgxMzEyODgwIj4xNjc1
PC9rZXk+PGtleSBhcHA9IkVOV2ViIiBkYi1pZD0iIj4wPC9rZXk+PC9mb3JlaWduLWtleXM+PHJl
Zi10eXBlIG5hbWU9IkpvdXJuYWwgQXJ0aWNsZSI+MTc8L3JlZi10eXBlPjxjb250cmlidXRvcnM+
PGF1dGhvcnM+PGF1dGhvcj5XaWNrZW5zLCBLLiBMLjwvYXV0aG9yPjxhdXRob3I+QmFydGhvdywg
Qy4gQS48L2F1dGhvcj48YXV0aG9yPk11cnBoeSwgUi48L2F1dGhvcj48YXV0aG9yPkFiZWxzLCBQ
LiBSLjwvYXV0aG9yPjxhdXRob3I+TWF1ZGUsIFIuIE0uPC9hdXRob3I+PGF1dGhvcj5TdG9uZSwg
UC4gUi48L2F1dGhvcj48YXV0aG9yPk1pdGNoZWxsLCBFLiBBLjwvYXV0aG9yPjxhdXRob3I+U3Rh
bmxleSwgVC4gVi48L2F1dGhvcj48YXV0aG9yPlB1cmRpZSwgRy4gTC48L2F1dGhvcj48YXV0aG9y
PkthbmcsIEouIE0uPC9hdXRob3I+PGF1dGhvcj5Ib29kLCBGLiBFLjwvYXV0aG9yPjxhdXRob3I+
Um93ZGVuLCBKLiBMLjwvYXV0aG9yPjxhdXRob3I+QmFybmVzLCBQLiBLLjwvYXV0aG9yPjxhdXRo
b3I+Rml0emhhcnJpcywgUC4gRi48L2F1dGhvcj48YXV0aG9yPkNyYW5lLCBKLjwvYXV0aG9yPjwv
YXV0aG9ycz48L2NvbnRyaWJ1dG9ycz48YXV0aC1hZGRyZXNzPjFVbml2ZXJzaXR5IG9mIE90YWdv
LFdlbGxpbmd0b24gNjAyMSxOZXcgWmVhbGFuZC4mI3hEOzJVbml2ZXJzaXR5IG9mIEF1Y2tsYW5k
LEF1Y2tsYW5kIDExNDIsTmV3IFplYWxhbmQuJiN4RDs0VmljdG9yaWEgVW5pdmVyc2l0eSxXZWxs
aW5ndG9uIDYwMjEsTmV3IFplYWxhbmQuJiN4RDs1QXVja2xhbmQgSG9zcGl0YWwsQXVja2xhbmQg
MTE0MixOZXcgWmVhbGFuZC48L2F1dGgtYWRkcmVzcz48dGl0bGVzPjx0aXRsZT5FYXJseSBwcmVn
bmFuY3kgcHJvYmlvdGljIHN1cHBsZW1lbnRhdGlvbiB3aXRoIExhY3RvYmFjaWxsdXMgcmhhbW5v
c3VzIEhOMDAxIG1heSByZWR1Y2UgdGhlIHByZXZhbGVuY2Ugb2YgZ2VzdGF0aW9uYWwgZGlhYmV0
ZXMgbWVsbGl0dXM6IGEgcmFuZG9taXNlZCBjb250cm9sbGVkIHRyaWFsPC90aXRsZT48c2Vjb25k
YXJ5LXRpdGxlPkJyIEogTnV0cjwvc2Vjb25kYXJ5LXRpdGxlPjwvdGl0bGVzPjxwZXJpb2RpY2Fs
PjxmdWxsLXRpdGxlPkJyIEogTnV0cjwvZnVsbC10aXRsZT48L3BlcmlvZGljYWw+PHBhZ2VzPjgw
NC04MTM8L3BhZ2VzPjx2b2x1bWU+MTE3PC92b2x1bWU+PG51bWJlcj42PC9udW1iZXI+PGVkaXRp
b24+MjAxNy8wNC8wNDwvZWRpdGlvbj48a2V5d29yZHM+PGtleXdvcmQ+QWR1bHQ8L2tleXdvcmQ+
PGtleXdvcmQ+Qmxvb2QgR2x1Y29zZS8qbWV0YWJvbGlzbTwva2V5d29yZD48a2V5d29yZD5EaWFi
ZXRlcywgR2VzdGF0aW9uYWwvYmxvb2QvKnByZXZlbnRpb24gJmFtcDsgY29udHJvbDwva2V5d29y
ZD48a2V5d29yZD5Eb3VibGUtQmxpbmQgTWV0aG9kPC9rZXl3b3JkPjxrZXl3b3JkPkZlbWFsZTwv
a2V5d29yZD48a2V5d29yZD5IdW1hbnM8L2tleXdvcmQ+PGtleXdvcmQ+KkxhY3RvYmFjaWxsdXMg
cmhhbW5vc3VzPC9rZXl3b3JkPjxrZXl3b3JkPk5ldyBaZWFsYW5kL2VwaWRlbWlvbG9neTwva2V5
d29yZD48a2V5d29yZD5QcmVnbmFuY3k8L2tleXdvcmQ+PGtleXdvcmQ+UHJldmFsZW5jZTwva2V5
d29yZD48a2V5d29yZD5Qcm9iaW90aWNzLyp0aGVyYXBldXRpYyB1c2U8L2tleXdvcmQ+PGtleXdv
cmQ+TGFjdG9iYWNpbGx1cyByaGFtbm9zdXMgSE4wMDE8L2tleXdvcmQ+PGtleXdvcmQ+Rm9udGVy
cmEgRm9udGVycmEgQ28tb3BlcmF0aXZlIEdyb3VwIEx0ZDwva2V5d29yZD48a2V5d29yZD5HRE0g
Z2VzdGF0aW9uYWwgZGlhYmV0ZXMgbWVsbGl0dXM8L2tleXdvcmQ+PGtleXdvcmQ+R1RUIGdsdWNv
c2UgdG9sZXJhbmNlIHRlc3Q8L2tleXdvcmQ+PGtleXdvcmQ+SE4wMDEgTGFjdG9iYWNpbGx1cyBy
aGFtbm9zdXMgSE4wMDE8L2tleXdvcmQ+PGtleXdvcmQ+SUFEUFNHIEludGVybmF0aW9uYWwgQXNz
b2NpYXRpb24gb2YgRGlhYmV0ZXMgYW5kIFByZWduYW5jeSBTdHVkeSBHcm91cDwva2V5d29yZD48
a2V5d29yZD5OWiBOZXcgWmVhbGFuZDwva2V5d29yZD48a2V5d29yZD5SUiByZWxhdGl2ZSByYXRl
PC9rZXl3b3JkPjxrZXl3b3JkPkdlc3RhdGlvbmFsIGRpYWJldGVzIG1lbGxpdHVzPC9rZXl3b3Jk
PjxrZXl3b3JkPlByb2Jpb3RpY3M8L2tleXdvcmQ+PGtleXdvcmQ+UmFuZG9taXNlZCBjb250cm9s
bGVkIHRyaWFsczwva2V5d29yZD48L2tleXdvcmRzPjxkYXRlcz48eWVhcj4yMDE3PC95ZWFyPjxw
dWItZGF0ZXM+PGRhdGU+TWFyPC9kYXRlPjwvcHViLWRhdGVzPjwvZGF0ZXM+PGlzYm4+MTQ3NS0y
NjYyIChFbGVjdHJvbmljKSYjeEQ7MDAwNy0xMTQ1IChMaW5raW5nKTwvaXNibj48YWNjZXNzaW9u
LW51bT4yODM2Nzc2NTwvYWNjZXNzaW9uLW51bT48dXJscz48cmVsYXRlZC11cmxzPjx1cmw+aHR0
cHM6Ly93d3cubmNiaS5ubG0ubmloLmdvdi9wdWJtZWQvMjgzNjc3NjU8L3VybD48L3JlbGF0ZWQt
dXJscz48L3VybHM+PGN1c3RvbTI+UE1DNTQyNjMyMjwvY3VzdG9tMj48ZWxlY3Ryb25pYy1yZXNv
dXJjZS1udW0+MTAuMTAxNy9TMDAwNzExNDUxNzAwMDI4OTwvZWxlY3Ryb25pYy1yZXNvdXJjZS1u
dW0+PC9yZWNvcmQ+PC9DaXRlPjwvRW5kTm90ZT5=
</w:fldData>
        </w:fldChar>
      </w:r>
      <w:r w:rsidR="002747EA">
        <w:instrText xml:space="preserve"> ADDIN EN.CITE </w:instrText>
      </w:r>
      <w:r w:rsidR="002747EA">
        <w:fldChar w:fldCharType="begin">
          <w:fldData xml:space="preserve">PEVuZE5vdGU+PENpdGU+PEF1dGhvcj5DYWxsYXdheTwvQXV0aG9yPjxZZWFyPjIwMTk8L1llYXI+
PFJlY051bT4xNjQ5PC9SZWNOdW0+PERpc3BsYXlUZXh0PjxzdHlsZSBmYWNlPSJzdXBlcnNjcmlw
dCIgZm9udD0iVHJlYnVjaGV0IE1TIiBzaXplPSI5Ij4yMjgtMjM3PC9zdHlsZT48L0Rpc3BsYXlU
ZXh0PjxyZWNvcmQ+PHJlYy1udW1iZXI+MTY0OTwvcmVjLW51bWJlcj48Zm9yZWlnbi1rZXlzPjxr
ZXkgYXBwPSJFTiIgZGItaWQ9ImV4dmFzcmZ4MmR0cmFvZXNhc3hwMnN6c3hhMmRmNTAyNTkyeCIg
dGltZXN0YW1wPSIxNTgxMzEyNjk4Ij4xNjQ5PC9rZXk+PGtleSBhcHA9IkVOV2ViIiBkYi1pZD0i
Ij4wPC9rZXk+PC9mb3JlaWduLWtleXM+PHJlZi10eXBlIG5hbWU9IkpvdXJuYWwgQXJ0aWNsZSI+
MTc8L3JlZi10eXBlPjxjb250cmlidXRvcnM+PGF1dGhvcnM+PGF1dGhvcj5DYWxsYXdheSwgTC4g
Sy48L2F1dGhvcj48YXV0aG9yPk1jSW50eXJlLCBILiBELjwvYXV0aG9yPjxhdXRob3I+QmFycmV0
dCwgSC4gTC48L2F1dGhvcj48YXV0aG9yPkZveGNyb2Z0LCBLLjwvYXV0aG9yPjxhdXRob3I+VHJl
bWVsbGVuLCBBLjwvYXV0aG9yPjxhdXRob3I+TGluZ3dvb2QsIEIuIEUuPC9hdXRob3I+PGF1dGhv
cj5Ub2JpbiwgSi4gTS48L2F1dGhvcj48YXV0aG9yPldpbGtpbnNvbiwgUy48L2F1dGhvcj48YXV0
aG9yPktvdGhhcmksIEEuPC9hdXRob3I+PGF1dGhvcj5Nb3JyaXNvbiwgTS48L2F1dGhvcj48YXV0
aG9yPk8mYXBvcztSb3Vya2UsIFAuPC9hdXRob3I+PGF1dGhvcj5QZWxlY2Fub3MsIEEuPC9hdXRo
b3I+PGF1dGhvcj5EZWtrZXIgTml0ZXJ0LCBNLjwvYXV0aG9yPjwvYXV0aG9ycz48L2NvbnRyaWJ1
dG9ycz48YXV0aC1hZGRyZXNzPldvbWVuJmFwb3M7cyBhbmQgTmV3Ym9ybiBTZXJ2aWNlcywgUm95
YWwgQnJpc2JhbmUgYW5kIFdvbWVuJmFwb3M7cyBIb3NwaXRhbCwgSGVyc3RvbiwgQXVzdHJhbGlh
IGwuY2FsbGF3YXlAdXEuZWR1LmF1LiYjeEQ7RmFjdWx0eSBvZiBNZWRpY2luZSwgVGhlIFVuaXZl
cnNpdHkgb2YgUXVlZW5zbGFuZCwgSGVyc3RvbiwgQXVzdHJhbGlhLiYjeEQ7TWF0ZXIgTWVkaWNh
bCBSZXNlYXJjaCBJbnN0aXR1dGUsIFNvdXRoIEJyaXNiYW5lLCBBdXN0cmFsaWEuJiN4RDtXb21l
biZhcG9zO3MgYW5kIE5ld2Jvcm4gU2VydmljZXMsIFJveWFsIEJyaXNiYW5lIGFuZCBXb21lbiZh
cG9zO3MgSG9zcGl0YWwsIEhlcnN0b24sIEF1c3RyYWxpYS4mI3hEO0phbWVzIENvb2sgVW5pdmVy
c2l0eSwgTWFja2F5LCBBdXN0cmFsaWEuJiN4RDtEZXBhcnRtZW50IG9mIE51dHJpdGlvbiBhbmQg
RGlldGV0aWNzLCBNYXRlciBHcm91cCwgU291dGggQnJpc2JhbmUsIEF1c3RyYWxpYS4mI3hEO1Jl
ZGNsaWZmZSBIb3NwaXRhbCwgUmVkY2xpZmZlLCBBdXN0cmFsaWEuJiN4RDtGYWN1bHR5IG9mIE1l
ZGljaW5lLCBVbml2ZXJzaXR5IG9mIFF1ZWVuc2xhbmQgRGlhbWFudGluYSBJbnN0aXR1dGUsIFRy
YW5zbGF0aW9uYWwgUmVzZWFyY2ggSW5zdGl0dXRlLCBXb29sbG9vbmdhYmJhLCBBdXN0cmFsaWEu
JiN4RDtRSU1SIEJlcmdob2ZlciBNZWRpY2FsIFJlc2VhcmNoIEluc3RpdHV0ZSwgSGVyc3Rvbiwg
QXVzdHJhbGlhLiYjeEQ7U2Nob29sIG9mIENoZW1pc3RyeSBhbmQgTW9sZWN1bGFyIEJpb3NjaWVu
Y2VzLCBUaGUgVW5pdmVyc2l0eSBvZiBRdWVlbnNsYW5kLCBTdCBMdWNpYSwgQXVzdHJhbGlhLjwv
YXV0aC1hZGRyZXNzPjx0aXRsZXM+PHRpdGxlPlByb2Jpb3RpY3MgZm9yIHRoZSBwcmV2ZW50aW9u
IG9mIGdlc3RhdGlvbmFsIGRpYWJldGVzIG1lbGxpdHVzIGluIG92ZXJ3ZWlnaHQgYW5kIG9iZXNl
IHdvbWVuOiBGaW5kaW5ncyBmcm9tIHRoZSBTUFJJTkcgZG91YmxlLWJsaW5kIHJhbmRvbWl6ZWQg
Y29udHJvbGxlZCB0cmlhbDwvdGl0bGU+PHNlY29uZGFyeS10aXRsZT5EaWFiZXRlcyBDYXJlPC9z
ZWNvbmRhcnktdGl0bGU+PC90aXRsZXM+PHBlcmlvZGljYWw+PGZ1bGwtdGl0bGU+RGlhYmV0ZXMg
Q2FyZTwvZnVsbC10aXRsZT48L3BlcmlvZGljYWw+PHBhZ2VzPjM2NC0zNzE8L3BhZ2VzPjx2b2x1
bWU+NDI8L3ZvbHVtZT48bnVtYmVyPjM8L251bWJlcj48ZWRpdGlvbj4yMDE5LzAxLzIwPC9lZGl0
aW9uPjxrZXl3b3Jkcz48a2V5d29yZD5BZHVsdDwva2V5d29yZD48a2V5d29yZD5BdXN0cmFsaWE8
L2tleXdvcmQ+PGtleXdvcmQ+RGlhYmV0ZXMsIEdlc3RhdGlvbmFsL2Jsb29kLypwcmV2ZW50aW9u
ICZhbXA7IGNvbnRyb2w8L2tleXdvcmQ+PGtleXdvcmQ+RG91YmxlLUJsaW5kIE1ldGhvZDwva2V5
d29yZD48a2V5d29yZD5GZW1hbGU8L2tleXdvcmQ+PGtleXdvcmQ+R2FzdHJvaW50ZXN0aW5hbCBN
aWNyb2Jpb21lPC9rZXl3b3JkPjxrZXl3b3JkPkdsdWNvc2UgVG9sZXJhbmNlIFRlc3Q8L2tleXdv
cmQ+PGtleXdvcmQ+SHVtYW5zPC9rZXl3b3JkPjxrZXl3b3JkPk9iZXNpdHkvY29tcGxpY2F0aW9u
cy8qZGlldCB0aGVyYXB5PC9rZXl3b3JkPjxrZXl3b3JkPk92ZXJ3ZWlnaHQvY29tcGxpY2F0aW9u
cy8qZGlldCB0aGVyYXB5PC9rZXl3b3JkPjxrZXl3b3JkPlByZWduYW5jeTwva2V5d29yZD48a2V5
d29yZD5QcmVnbmFuY3kgQ29tcGxpY2F0aW9ucy8qZGlldCB0aGVyYXB5PC9rZXl3b3JkPjxrZXl3
b3JkPlByb2Jpb3RpY3MvKnRoZXJhcGV1dGljIHVzZTwva2V5d29yZD48a2V5d29yZD5XZWlnaHQg
R2Fpbjwva2V5d29yZD48L2tleXdvcmRzPjxkYXRlcz48eWVhcj4yMDE5PC95ZWFyPjxwdWItZGF0
ZXM+PGRhdGU+TWFyPC9kYXRlPjwvcHViLWRhdGVzPjwvZGF0ZXM+PGlzYm4+MTkzNS01NTQ4IChF
bGVjdHJvbmljKSYjeEQ7MDE0OS01OTkyIChMaW5raW5nKTwvaXNibj48YWNjZXNzaW9uLW51bT4z
MDY1OTA3MDwvYWNjZXNzaW9uLW51bT48dXJscz48cmVsYXRlZC11cmxzPjx1cmw+aHR0cHM6Ly93
d3cubmNiaS5ubG0ubmloLmdvdi9wdWJtZWQvMzA2NTkwNzA8L3VybD48L3JlbGF0ZWQtdXJscz48
L3VybHM+PGVsZWN0cm9uaWMtcmVzb3VyY2UtbnVtPjEwLjIzMzcvZGMxOC0yMjQ4PC9lbGVjdHJv
bmljLXJlc291cmNlLW51bT48L3JlY29yZD48L0NpdGU+PENpdGU+PEF1dGhvcj5HaWxsZTwvQXV0
aG9yPjxZZWFyPjIwMTY8L1llYXI+PFJlY051bT4xNjUzPC9SZWNOdW0+PHJlY29yZD48cmVjLW51
bWJlcj4xNjUzPC9yZWMtbnVtYmVyPjxmb3JlaWduLWtleXM+PGtleSBhcHA9IkVOIiBkYi1pZD0i
ZXh2YXNyZngyZHRyYW9lc2FzeHAyc3pzeGEyZGY1MDI1OTJ4IiB0aW1lc3RhbXA9IjE1ODEzMTI3
MjkiPjE2NTM8L2tleT48a2V5IGFwcD0iRU5XZWIiIGRiLWlkPSIiPjA8L2tleT48L2ZvcmVpZ24t
a2V5cz48cmVmLXR5cGUgbmFtZT0iSm91cm5hbCBBcnRpY2xlIj4xNzwvcmVmLXR5cGU+PGNvbnRy
aWJ1dG9ycz48YXV0aG9ycz48YXV0aG9yPkdpbGxlLCBDLjwvYXV0aG9yPjxhdXRob3I+Qm9lciwg
Qi48L2F1dGhvcj48YXV0aG9yPk1hcnNjaGFsLCBNLjwvYXV0aG9yPjxhdXRob3I+VXJzY2hpdHos
IE0uIFMuPC9hdXRob3I+PGF1dGhvcj5IZWluZWNrZSwgVi48L2F1dGhvcj48YXV0aG9yPkh1bmQs
IFYuPC9hdXRob3I+PGF1dGhvcj5TcGVpZGVsLCBTLjwvYXV0aG9yPjxhdXRob3I+VGFybm93LCBJ
LjwvYXV0aG9yPjxhdXRob3I+TXlsb25hcywgSS48L2F1dGhvcj48YXV0aG9yPkZyYW56LCBBLjwv
YXV0aG9yPjxhdXRob3I+RW5nZWwsIEMuPC9hdXRob3I+PGF1dGhvcj5Qb2V0cywgQy4gRi48L2F1
dGhvcj48L2F1dGhvcnM+PC9jb250cmlidXRvcnM+PGF1dGgtYWRkcmVzcz5EZXBhcnRtZW50IG9m
IE5lb25hdG9sb2d5LCBVbml2ZXJzaXR5IENoaWxkcmVuJmFwb3M7cyBIb3NwaXRhbCwgVW5pdmVy
c2l0eSBIb3NwaXRhbCwgVHVlYmluZ2VuLCBHZXJtYW55LiYjeEQ7RGVwYXJ0bWVudCBvZiBPYnN0
ZXRyaWNzIGFuZCBHeW5lY29sb2d5LCBVbml2ZXJzaXR5IEhvc3BpdGFsLCBUdWViaW5nZW4sIEdl
cm1hbnkuJiN4RDtJbnN0aXR1dGUgZm9yIE1lZGljYWwgTWljcm9iaW9sb2d5LCBVbml2ZXJzaXR5
IEhvc3BpdGFsLCBUdWViaW5nZW4sIEdlcm1hbnkuJiN4RDtJbnN0aXR1dGUgb2YgTWVkaWNhbCBC
aW9zdGF0aXN0aWNzLCBFcGlkZW1pb2xvZ3ksIGFuZCBJbmZvcm1hdGljcywgRGl2aXNpb24gb2Yg
UGVkaWF0cmljIEVwaWRlbWlvbG9neSBVbml2ZXJzaXR5IE1lZGljYWwgQ2VudGVyIG9mIHRoZSBK
b2hhbm5lcyBHdXRlbmJlcmcgVW5pdmVyc2l0eSBNYWlueiwgR2VybWFueS4mI3hEO09ic3RldHJp
YyBwcmFjdGljZSwgQmFkIFVyYWNoLCBHZXJtYW55LiYjeEQ7VW5pdmVyc2l0eSBQaGFybWFjeSwg
VW5pdmVyc2l0eSBIb3NwaXRhbCwgVHVlYmluZ2VuLCBHZXJtYW55LiYjeEQ7U2VyZW5kZXggUGhh
cm1hY2V1dGljYWxzLCBIb3JzaG9sbSwgRGVubWFyay4mI3hEO0RlcGFydG1lbnQgb2YgT2JzdGV0
cmljcyBhbmQgR3luZWNvbG9neSwgTHVkd2lnLU1heGltaWxpYW5zLVVuaXZlcnNpdHksIE11bmlj
aCwgR2VybWFueS4mI3hEO0NlbnRlciBmb3IgUGVkaWF0cmljIENsaW5pY2FsIFN0dWRpZXMsIFVu
aXZlcnNpdHkgQ2hpbGRyZW4mYXBvcztzIEhvc3BpdGFsLCBVbml2ZXJzaXR5IEhvc3BpdGFsLCBU
dWViaW5nZW4sIEdlcm1hbnkuJiN4RDtEZXBhcnRtZW50IG9mIE5lb25hdG9sb2d5LCBVbml2ZXJz
aXR5IENoaWxkcmVuJmFwb3M7cyBIb3NwaXRhbCwgVW5pdmVyc2l0eSBIb3NwaXRhbCwgVHVlYmlu
Z2VuLCBHZXJtYW55LiBFbGVjdHJvbmljIGFkZHJlc3M6IGNocmlzdGlhbi1mLnBvZXRzQG1lZC51
bmktdHVlYmluZ2VuLmRlLjwvYXV0aC1hZGRyZXNzPjx0aXRsZXM+PHRpdGxlPkVmZmVjdCBvZiBw
cm9iaW90aWNzIG9uIHZhZ2luYWwgaGVhbHRoIGluIHByZWduYW5jeS4gRUZGUFJPLCBhIHJhbmRv
bWl6ZWQgY29udHJvbGxlZCB0cmlhbDwvdGl0bGU+PHNlY29uZGFyeS10aXRsZT5BbSBKIE9ic3Rl
dCBHeW5lY29sPC9zZWNvbmRhcnktdGl0bGU+PC90aXRsZXM+PHBlcmlvZGljYWw+PGZ1bGwtdGl0
bGU+QW0gSiBPYnN0ZXQgR3luZWNvbDwvZnVsbC10aXRsZT48L3BlcmlvZGljYWw+PHBhZ2VzPjYw
OCBlMS02MDggZTc8L3BhZ2VzPjx2b2x1bWU+MjE1PC92b2x1bWU+PG51bWJlcj41PC9udW1iZXI+
PGVkaXRpb24+MjAxNi8xMC8zMDwvZWRpdGlvbj48a2V5d29yZHM+PGtleXdvcmQ+QWRtaW5pc3Ry
YXRpb24sIE9yYWw8L2tleXdvcmQ+PGtleXdvcmQ+QWR1bHQ8L2tleXdvcmQ+PGtleXdvcmQ+RmVt
YWxlPC9rZXl3b3JkPjxrZXl3b3JkPkh1bWFuczwva2V5d29yZD48a2V5d29yZD4qTGFjdG9iYWNp
bGx1cyByZXV0ZXJpPC9rZXl3b3JkPjxrZXl3b3JkPipMYWN0b2JhY2lsbHVzIHJoYW1ub3N1czwv
a2V5d29yZD48a2V5d29yZD5NaWNyb2Jpb3RhLypkcnVnIGVmZmVjdHM8L2tleXdvcmQ+PGtleXdv
cmQ+TWlkZGxlIEFnZWQ8L2tleXdvcmQ+PGtleXdvcmQ+UHJlZ25hbmN5PC9rZXl3b3JkPjxrZXl3
b3JkPlByZWduYW5jeSBUcmltZXN0ZXIsIEZpcnN0PC9rZXl3b3JkPjxrZXl3b3JkPlByb2Jpb3Rp
Y3MvKnBoYXJtYWNvbG9neTwva2V5d29yZD48a2V5d29yZD5WYWdpbmEvKmRydWcgZWZmZWN0czwv
a2V5d29yZD48a2V5d29yZD5Zb3VuZyBBZHVsdDwva2V5d29yZD48a2V5d29yZD4qYmFjdGVyaWFs
IHZhZ2lub3Npczwva2V5d29yZD48a2V5d29yZD4qcHJldGVybSBiaXJ0aDwva2V5d29yZD48a2V5
d29yZD4qcHJvYmlvdGljczwva2V5d29yZD48a2V5d29yZD4qdmFnaW5hbCBtaWNyb2Jpb3RhPC9r
ZXl3b3JkPjwva2V5d29yZHM+PGRhdGVzPjx5ZWFyPjIwMTY8L3llYXI+PHB1Yi1kYXRlcz48ZGF0
ZT5Ob3Y8L2RhdGU+PC9wdWItZGF0ZXM+PC9kYXRlcz48aXNibj4xMDk3LTY4NjggKEVsZWN0cm9u
aWMpJiN4RDswMDAyLTkzNzggKExpbmtpbmcpPC9pc2JuPjxhY2Nlc3Npb24tbnVtPjI3MzQyMDQ2
PC9hY2Nlc3Npb24tbnVtPjx1cmxzPjxyZWxhdGVkLXVybHM+PHVybD5odHRwczovL3d3dy5uY2Jp
Lm5sbS5uaWguZ292L3B1Ym1lZC8yNzM0MjA0NjwvdXJsPjwvcmVsYXRlZC11cmxzPjwvdXJscz48
ZWxlY3Ryb25pYy1yZXNvdXJjZS1udW0+MTAuMTAxNi9qLmFqb2cuMjAxNi4wNi4wMjE8L2VsZWN0
cm9uaWMtcmVzb3VyY2UtbnVtPjwvcmVjb3JkPjwvQ2l0ZT48Q2l0ZT48QXV0aG9yPkhvPC9BdXRo
b3I+PFllYXI+MjAxNjwvWWVhcj48UmVjTnVtPjE2NTY8L1JlY051bT48cmVjb3JkPjxyZWMtbnVt
YmVyPjE2NTY8L3JlYy1udW1iZXI+PGZvcmVpZ24ta2V5cz48a2V5IGFwcD0iRU4iIGRiLWlkPSJl
eHZhc3JmeDJkdHJhb2VzYXN4cDJzenN4YTJkZjUwMjU5MngiIHRpbWVzdGFtcD0iMTU4MTMxMjc1
MSI+MTY1Njwva2V5PjxrZXkgYXBwPSJFTldlYiIgZGItaWQ9IiI+MDwva2V5PjwvZm9yZWlnbi1r
ZXlzPjxyZWYtdHlwZSBuYW1lPSJKb3VybmFsIEFydGljbGUiPjE3PC9yZWYtdHlwZT48Y29udHJp
YnV0b3JzPjxhdXRob3JzPjxhdXRob3I+SG8sIE0uPC9hdXRob3I+PGF1dGhvcj5DaGFuZywgWS4g
WS48L2F1dGhvcj48YXV0aG9yPkNoYW5nLCBXLiBDLjwvYXV0aG9yPjxhdXRob3I+TGluLCBILiBD
LjwvYXV0aG9yPjxhdXRob3I+V2FuZywgTS4gSC48L2F1dGhvcj48YXV0aG9yPkxpbiwgVy4gQy48
L2F1dGhvcj48YXV0aG9yPkNoaXUsIFQuIEguPC9hdXRob3I+PC9hdXRob3JzPjwvY29udHJpYnV0
b3JzPjxhdXRoLWFkZHJlc3M+RGVwYXJ0bWVudCBvZiBPYnN0ZXRyaWNzIGFuZCBHeW5lY29sb2d5
LCBDaGluYSBNZWRpY2FsIFVuaXZlcnNpdHkgSG9zcGl0YWwsIENoaW5hIE1lZGljYWwgVW5pdmVy
c2l0eSwgVGFpY2h1bmcgNDA0MDIsIFRhaXdhbi4mI3hEO0RlcGFydG1lbnQgb2YgUGVkaWF0cmlj
cywgQ2hpbmEgTWVkaWNhbCBVbml2ZXJzaXR5IEhvc3BpdGFsLCBDaGluYSBNZWRpY2FsIFVuaXZl
cnNpdHksIFRhaWNodW5nIDQwNDAyLCBUYWl3YW4uJiN4RDtEZXBhcnRtZW50IG9mIE9ic3RldHJp
Y3MgYW5kIEd5bmVjb2xvZ3ksIENoaW5hIE1lZGljYWwgVW5pdmVyc2l0eSBIb3NwaXRhbCwgQ2hp
bmEgTWVkaWNhbCBVbml2ZXJzaXR5LCBUYWljaHVuZyA0MDQwMiwgVGFpd2FuLiBFbGVjdHJvbmlj
IGFkZHJlc3M6IGQ0Nzk4QG1haWwuY211aC5vcmcudHcuPC9hdXRoLWFkZHJlc3M+PHRpdGxlcz48
dGl0bGU+T3JhbCBMYWN0b2JhY2lsbHVzIHJoYW1ub3N1cyBHUi0xIGFuZCBMYWN0b2JhY2lsbHVz
IHJldXRlcmkgUkMtMTQgdG8gcmVkdWNlIEdyb3VwIEIgU3RyZXB0b2NvY2N1cyBjb2xvbml6YXRp
b24gaW4gcHJlZ25hbnQgd29tZW46IEEgcmFuZG9taXplZCBjb250cm9sbGVkIHRyaWFsPC90aXRs
ZT48c2Vjb25kYXJ5LXRpdGxlPlRhaXdhbiBKIE9ic3RldCBHeW5lY29sPC9zZWNvbmRhcnktdGl0
bGU+PC90aXRsZXM+PHBlcmlvZGljYWw+PGZ1bGwtdGl0bGU+VGFpd2FuIEogT2JzdGV0IEd5bmVj
b2w8L2Z1bGwtdGl0bGU+PC9wZXJpb2RpY2FsPjxwYWdlcz41MTUtODwvcGFnZXM+PHZvbHVtZT41
NTwvdm9sdW1lPjxudW1iZXI+NDwvbnVtYmVyPjxlZGl0aW9uPjIwMTYvMDkvMDQ8L2VkaXRpb24+
PGtleXdvcmRzPjxrZXl3b3JkPkFkdWx0PC9rZXl3b3JkPjxrZXl3b3JkPkRvdWJsZS1CbGluZCBN
ZXRob2Q8L2tleXdvcmQ+PGtleXdvcmQ+RmVtYWxlPC9rZXl3b3JkPjxrZXl3b3JkPkh1bWFuczwv
a2V5d29yZD48a2V5d29yZD5JbmZlY3Rpb3VzIERpc2Vhc2UgVHJhbnNtaXNzaW9uLCBWZXJ0aWNh
bC9wcmV2ZW50aW9uICZhbXA7IGNvbnRyb2w8L2tleXdvcmQ+PGtleXdvcmQ+KkxhY3RvYmFjaWxs
dXMgcmV1dGVyaTwva2V5d29yZD48a2V5d29yZD4qTGFjdG9iYWNpbGx1cyByaGFtbm9zdXM8L2tl
eXdvcmQ+PGtleXdvcmQ+UHJlZ25hbmN5PC9rZXl3b3JkPjxrZXl3b3JkPipQcmVnbmFuY3kgVHJp
bWVzdGVyLCBUaGlyZDwva2V5d29yZD48a2V5d29yZD5Qcm9iaW90aWNzLyp0aGVyYXBldXRpYyB1
c2U8L2tleXdvcmQ+PGtleXdvcmQ+UHJvc3BlY3RpdmUgU3R1ZGllczwva2V5d29yZD48a2V5d29y
ZD5SZWN0dW0vbWljcm9iaW9sb2d5PC9rZXl3b3JkPjxrZXl3b3JkPlN0cmVwdG9jb2NjYWwgSW5m
ZWN0aW9ucy9taWNyb2Jpb2xvZ3kvcHJldmVudGlvbiAmYW1wOyBjb250cm9sL3RyYW5zbWlzc2lv
bjwva2V5d29yZD48a2V5d29yZD5TdHJlcHRvY29jY3VzIGFnYWxhY3RpYWUvKmdyb3d0aCAmYW1w
OyBkZXZlbG9wbWVudDwva2V5d29yZD48a2V5d29yZD5WYWdpbmEvbWljcm9iaW9sb2d5PC9rZXl3
b3JkPjxrZXl3b3JkPipHQlMgY29sb25pemF0aW9uPC9rZXl3b3JkPjxrZXl3b3JkPipHQlMgaW5m
ZWN0aW9uPC9rZXl3b3JkPjxrZXl3b3JkPippbnRyYXBhcnR1bSBhbnRpYmlvdGljPC9rZXl3b3Jk
PjxrZXl3b3JkPipvcmFsIHByb2Jpb3RpY3M8L2tleXdvcmQ+PC9rZXl3b3Jkcz48ZGF0ZXM+PHll
YXI+MjAxNjwveWVhcj48cHViLWRhdGVzPjxkYXRlPkF1ZzwvZGF0ZT48L3B1Yi1kYXRlcz48L2Rh
dGVzPjxpc2JuPjE4NzUtNjI2MyAoRWxlY3Ryb25pYykmI3hEOzEwMjgtNDU1OSAoTGlua2luZyk8
L2lzYm4+PGFjY2Vzc2lvbi1udW0+Mjc1OTAzNzQ8L2FjY2Vzc2lvbi1udW0+PHVybHM+PHJlbGF0
ZWQtdXJscz48dXJsPmh0dHBzOi8vd3d3Lm5jYmkubmxtLm5paC5nb3YvcHVibWVkLzI3NTkwMzc0
PC91cmw+PC9yZWxhdGVkLXVybHM+PC91cmxzPjxlbGVjdHJvbmljLXJlc291cmNlLW51bT4xMC4x
MDE2L2oudGpvZy4yMDE2LjA2LjAwMzwvZWxlY3Ryb25pYy1yZXNvdXJjZS1udW0+PC9yZWNvcmQ+
PC9DaXRlPjxDaXRlPjxBdXRob3I+SHVzYWluPC9BdXRob3I+PFllYXI+MjAyMDwvWWVhcj48UmVj
TnVtPjE2ODE8L1JlY051bT48cmVjb3JkPjxyZWMtbnVtYmVyPjE2ODE8L3JlYy1udW1iZXI+PGZv
cmVpZ24ta2V5cz48a2V5IGFwcD0iRU4iIGRiLWlkPSJleHZhc3JmeDJkdHJhb2VzYXN4cDJzenN4
YTJkZjUwMjU5MngiIHRpbWVzdGFtcD0iMTU4MTM3OTg3NCI+MTY4MTwva2V5PjwvZm9yZWlnbi1r
ZXlzPjxyZWYtdHlwZSBuYW1lPSJKb3VybmFsIEFydGljbGUiPjE3PC9yZWYtdHlwZT48Y29udHJp
YnV0b3JzPjxhdXRob3JzPjxhdXRob3I+SHVzYWluLCBTLjwvYXV0aG9yPjxhdXRob3I+QWxsb3Rl
eSwgSi48L2F1dGhvcj48YXV0aG9yPkRyeW1vdXNzaSwgWi48L2F1dGhvcj48YXV0aG9yPldpbGtz
LCBNLjwvYXV0aG9yPjxhdXRob3I+RmVybmFuZGV6LUZlbGl4LCBCLiBNLjwvYXV0aG9yPjxhdXRo
b3I+V2hpbGV5LCBBLjwvYXV0aG9yPjxhdXRob3I+RG9kZHMsIEouPC9hdXRob3I+PGF1dGhvcj5U
aGFuZ2FyYXRpbmFtLCBTLjwvYXV0aG9yPjxhdXRob3I+TWNDb3VydCwgQy48L2F1dGhvcj48YXV0
aG9yPlByb3Nkb2NpbWksIEUuIE0uPC9hdXRob3I+PGF1dGhvcj5XYWRlLCBXLiBHLjwvYXV0aG9y
PjxhdXRob3I+ZGUgVGVqYWRhLCBCLiBNLjwvYXV0aG9yPjxhdXRob3I+WmFtb3JhLCBKLjwvYXV0
aG9yPjxhdXRob3I+S2hhbiwgSy48L2F1dGhvcj48YXV0aG9yPk1pbGxhciwgTS48L2F1dGhvcj48
L2F1dGhvcnM+PC9jb250cmlidXRvcnM+PGF1dGgtYWRkcmVzcz5CYXJ0cyBhbmQgdGhlIExvbmRv
biBTY2hvb2wgb2YgTWVkaWNpbmUgYW5kIERlbnRpc3RyeSwgQmxpemFyZCBJbnN0aXR1dGUsIFF1
ZWVuIE1hcnkgVW5pdmVyc2l0eSBvZiBMb25kb24sIExvbmRvbiwgVUsuJiN4RDtOZW9uYXRhbCBV
bml0LCBIb21lcnRvbiBVbml2ZXJzaXR5IEhvc3BpdGFsIE5IUyBGb3VuZGF0aW9uIFRydXN0LCBM
b25kb24sIFVLLiYjeEQ7V29tZW4mYXBvcztzIEhlYWx0aCBSZXNlYXJjaCBVbml0LCBCYXJ0cyBh
bmQgdGhlIExvbmRvbiBTY2hvb2wgb2YgTWVkaWNpbmUgYW5kIERlbnRpc3RyeSwgUXVlZW4gTWFy
eSBVbml2ZXJzaXR5IG9mIExvbmRvbiwgTG9uZG9uLCBVSy4mI3hEO0JhcnRzIGFuZCB0aGUgTG9u
ZG9uIFNjaG9vbCBvZiBNZWRpY2luZSBhbmQgRGVudGlzdHJ5LCBRdWVlbiBNYXJ5IFVuaXZlcnNp
dHkgb2YgTG9uZG9uLCBMb25kb24sIFVLLiYjeEQ7QmFydHMgSGVhbHRoIE5IUyBUcnVzdCwgTG9u
ZG9uLCBVSy4mI3hEO0NJQkVSIEVwaWRlbWlvbG9neSBhbmQgUHVibGljIEhlYWx0aCAoQ0lCRVJF
U1ApLCBNYWRyaWQsIFNwYWluLiYjeEQ7Q2xpbmljYWwgQmlvc3RhdGlzdGljcyBVbml0LCBIb3Nw
aXRhbCBSYW1vbiB5IENhamFsIChJUllDSVMpLCBNYWRyaWQsIFNwYWluLiYjeEQ7Q2l0eSBVbml2
ZXJzaXR5IG9mIExvbmRvbiwgVW5pdmVyc2l0eSBvZiBMb25kb24sIExvbmRvbiwgVUsuJiN4RDtD
ZW50cmUgZm9yIEhvc3QtTWljcm9iaW9tZSBJbnRlcmFjdGlvbnMsIEtpbmcmYXBvcztzIENvbGxl
Z2UgTG9uZG9uLCBMb25kb24sIFVLLiYjeEQ7RGVwYXJ0bWVudCBvZiBPYnN0ZXRyaWNzIGFuZCBH
eW5hZWNvbG9neSwgRmFjdWx0eSBvZiBNZWRpY2luZSwgVW5pdmVyc2l0eSBIb3NwaXRhbHMgb2Yg
R2VuZXZhLCBHZW5ldmEsIFN3aXR6ZXJsYW5kLjwvYXV0aC1hZGRyZXNzPjx0aXRsZXM+PHRpdGxl
PkVmZmVjdHMgb2Ygb3JhbCBwcm9iaW90aWMgc3VwcGxlbWVudHMgb24gdmFnaW5hbCBtaWNyb2Jp
b3RhIGR1cmluZyBwcmVnbmFuY3k6IGEgcmFuZG9taXNlZCwgZG91YmxlLWJsaW5kLCBwbGFjZWJv
LWNvbnRyb2xsZWQgdHJpYWwgd2l0aCBtaWNyb2Jpb21lIGFuYWx5c2lzPC90aXRsZT48c2Vjb25k
YXJ5LXRpdGxlPkJKT0c8L3NlY29uZGFyeS10aXRsZT48L3RpdGxlcz48cGVyaW9kaWNhbD48ZnVs
bC10aXRsZT5CSk9HPC9mdWxsLXRpdGxlPjwvcGVyaW9kaWNhbD48cGFnZXM+Mjc1LTI4NDwvcGFn
ZXM+PHZvbHVtZT4xMjc8L3ZvbHVtZT48bnVtYmVyPjI8L251bWJlcj48ZWRpdGlvbj4yMDE5LzA0
LzAyPC9lZGl0aW9uPjxrZXl3b3Jkcz48a2V5d29yZD5BZHVsdDwva2V5d29yZD48a2V5d29yZD5E
b3VibGUtQmxpbmQgTWV0aG9kPC9rZXl3b3JkPjxrZXl3b3JkPkZlbWFsZTwva2V5d29yZD48a2V5
d29yZD5IdW1hbnM8L2tleXdvcmQ+PGtleXdvcmQ+TGFjdG9iYWNpbGx1cyByZXV0ZXJpL2RydWcg
ZWZmZWN0czwva2V5d29yZD48a2V5d29yZD5MYWN0b2JhY2lsbHVzIHJoYW1ub3N1cy9kcnVnIGVm
ZmVjdHM8L2tleXdvcmQ+PGtleXdvcmQ+TWljcm9iaW90YS8qcGh5c2lvbG9neTwva2V5d29yZD48
a2V5d29yZD5QcmVnbmFuY3k8L2tleXdvcmQ+PGtleXdvcmQ+UHJlZ25hbmN5IENvbXBsaWNhdGlv
bnMsIEluZmVjdGlvdXMvKm1pY3JvYmlvbG9neTwva2V5d29yZD48a2V5d29yZD5QcmVnbmFuY3kg
VHJpbWVzdGVyLCBGaXJzdDwva2V5d29yZD48a2V5d29yZD5Qcm9iaW90aWNzLyp0aGVyYXBldXRp
YyB1c2U8L2tleXdvcmQ+PGtleXdvcmQ+VmFnaW5hLyptaWNyb2Jpb2xvZ3k8L2tleXdvcmQ+PGtl
eXdvcmQ+VmFnaW5vc2lzLCBCYWN0ZXJpYWwvY29tcGxpY2F0aW9ucy9kcnVnIHRoZXJhcHkvbWlj
cm9iaW9sb2d5PC9rZXl3b3JkPjxrZXl3b3JkPllvdW5nIEFkdWx0PC9rZXl3b3JkPjxrZXl3b3Jk
PiogTGFjdG9iYWNpbGx1cyByZXV0ZXJpPC9rZXl3b3JkPjxrZXl3b3JkPiogTGFjdG9iYWNpbGx1
cyByaGFtbm9zdXM8L2tleXdvcmQ+PGtleXdvcmQ+KkJhY3RlcmlhbCB2YWdpbm9zaXM8L2tleXdv
cmQ+PGtleXdvcmQ+KnByb2Jpb3RpYzwva2V5d29yZD48L2tleXdvcmRzPjxkYXRlcz48eWVhcj4y
MDIwPC95ZWFyPjxwdWItZGF0ZXM+PGRhdGU+SmFuPC9kYXRlPjwvcHViLWRhdGVzPjwvZGF0ZXM+
PGlzYm4+MTQ3MS0wNTI4IChFbGVjdHJvbmljKSYjeEQ7MTQ3MC0wMzI4IChMaW5raW5nKTwvaXNi
bj48YWNjZXNzaW9uLW51bT4zMDkzMjMxNzwvYWNjZXNzaW9uLW51bT48dXJscz48cmVsYXRlZC11
cmxzPjx1cmw+aHR0cHM6Ly93d3cubmNiaS5ubG0ubmloLmdvdi9wdWJtZWQvMzA5MzIzMTc8L3Vy
bD48L3JlbGF0ZWQtdXJscz48L3VybHM+PGN1c3RvbTI+UE1DNjk3MzE0OTwvY3VzdG9tMj48ZWxl
Y3Ryb25pYy1yZXNvdXJjZS1udW0+MTAuMTExMS8xNDcxLTA1MjguMTU2NzU8L2VsZWN0cm9uaWMt
cmVzb3VyY2UtbnVtPjwvcmVjb3JkPjwvQ2l0ZT48Q2l0ZT48QXV0aG9yPk9rZXNlbmUtR2FmYTwv
QXV0aG9yPjxZZWFyPjIwMTk8L1llYXI+PFJlY051bT4xMzkwPC9SZWNOdW0+PHJlY29yZD48cmVj
LW51bWJlcj4xMzkwPC9yZWMtbnVtYmVyPjxmb3JlaWduLWtleXM+PGtleSBhcHA9IkVOIiBkYi1p
ZD0iZXh2YXNyZngyZHRyYW9lc2FzeHAyc3pzeGEyZGY1MDI1OTJ4IiB0aW1lc3RhbXA9IjE1Njc3
NDYxMTYiPjEzOTA8L2tleT48a2V5IGFwcD0iRU5XZWIiIGRiLWlkPSIiPjA8L2tleT48L2ZvcmVp
Z24ta2V5cz48cmVmLXR5cGUgbmFtZT0iSm91cm5hbCBBcnRpY2xlIj4xNzwvcmVmLXR5cGU+PGNv
bnRyaWJ1dG9ycz48YXV0aG9ycz48YXV0aG9yPk9rZXNlbmUtR2FmYSwgSy5BLk0uLDwvYXV0aG9y
PjxhdXRob3I+TGksIE0uLDwvYXV0aG9yPjxhdXRob3I+TWNLaW5sYXksIEMuSi5ELiw8L2F1dGhv
cj48YXV0aG9yPlRheWxvciwgUi5TLiw8L2F1dGhvcj48YXV0aG9yPlJ1c2gsIEUuQy4sPC9hdXRo
b3I+PGF1dGhvcj5XYWxsLCBDLlIuLDwvYXV0aG9yPjxhdXRob3I+V2lsc29uLCBKLiw8L2F1dGhv
cj48YXV0aG9yPk11cnBoeSwgUi4sPC9hdXRob3I+PGF1dGhvcj5UYXlsb3IsIFIuLDwvYXV0aG9y
PjxhdXRob3I+VGhvbXBzb24sIEouTS5ELiw8L2F1dGhvcj48YXV0aG9yPkNyb3d0aGVyLCBDLkEu
LDwvYXV0aG9yPjxhdXRob3I+TWNDb3dhbiwgTC5NLkUuLDwvYXV0aG9yPjwvYXV0aG9ycz48L2Nv
bnRyaWJ1dG9ycz48YXV0aC1hZGRyZXNzPkRlcGFydG1lbnQgb2YgT2JzdGV0cmljcyBhbmQgR3lu
YWVjb2xvZ3ksIFVuaXZlcnNpdHkgb2YgQXVja2xhbmQsIEF1Y2tsYW5kLCBOZXcgWmVhbGFuZDsg
RmFjdWx0eSBvZiBNZWRpY2FsIGFuZCBIZWFsdGggU2NpZW5jZXMsIFVuaXZlcnNpdHkgb2YgQXVj
a2xhbmQsIEF1Y2tsYW5kLCBOZXcgWmVhbGFuZDsgTWlkZGxlbW9yZSBIb3NwaXRhbCwgU291dGgg
QXVja2xhbmQsIE5ldyBaZWFsYW5kLiBFbGVjdHJvbmljIGFkZHJlc3M6IGsub2tlc2VuZS1nYWZh
QGF1Y2tsYW5kLmFjLm56LiYjeEQ7RGVwYXJ0bWVudCBvZiBPYnN0ZXRyaWNzIGFuZCBHeW5hZWNv
bG9neSwgVW5pdmVyc2l0eSBvZiBBdWNrbGFuZCwgQXVja2xhbmQsIE5ldyBaZWFsYW5kOyBGYWN1
bHR5IG9mIE1lZGljYWwgYW5kIEhlYWx0aCBTY2llbmNlcywgVW5pdmVyc2l0eSBvZiBBdWNrbGFu
ZCwgQXVja2xhbmQsIE5ldyBaZWFsYW5kLiYjeEQ7RGVwYXJ0bWVudCBvZiBQYWVkaWF0cmljcywg
Q2hpbGQgYW5kIFlvdXRoIEhlYWx0aCwgVW5pdmVyc2l0eSBvZiBBdWNrbGFuZCwgQXVja2xhbmQs
IE5ldyBaZWFsYW5kOyBMaWdnaW5zIEluc3RpdHV0ZSwgVW5pdmVyc2l0eSBvZiBBdWNrbGFuZCwg
QXVja2xhbmQsIE5ldyBaZWFsYW5kOyBLaWR6IEZpcnN0IE5lb25hdGFsIENhcmUsIENvdW50aWVz
IE1hbnVrYXUgSGVhbHRoLCBBdWNrbGFuZCwgTmV3IFplYWxhbmQuJiN4RDtGYWN1bHR5IG9mIEhl
YWx0aCBhbmQgRW52aXJvbm1lbnRhbCBTY2llbmNlLCBBdWNrbGFuZCBVbml2ZXJzaXR5IG9mIFRl
Y2hub2xvZ3ksIEF1Y2tsYW5kLCBOZXcgWmVhbGFuZC4mI3hEO0ZhY3VsdHkgb2YgTWVkaWNhbCBh
bmQgSGVhbHRoIFNjaWVuY2VzLCBVbml2ZXJzaXR5IG9mIEF1Y2tsYW5kLCBBdWNrbGFuZCwgTmV3
IFplYWxhbmQuJiN4RDtGYWN1bHR5IG9mIE1lZGljYWwgYW5kIEhlYWx0aCBTY2llbmNlcywgVW5p
dmVyc2l0eSBvZiBBdWNrbGFuZCwgQXVja2xhbmQsIE5ldyBaZWFsYW5kOyBEZXBhcnRtZW50IG9m
IFBhZWRpYXRyaWNzLCBDaGlsZCBhbmQgWW91dGggSGVhbHRoLCBVbml2ZXJzaXR5IG9mIEF1Y2ts
YW5kLCBBdWNrbGFuZCwgTmV3IFplYWxhbmQuJiN4RDtEZXBhcnRtZW50IG9mIE1lZGljaW5lLCBT
Y2hvb2wgb2YgTWVkaWNpbmUsIFVuaXZlcnNpdHkgb2YgQXVja2xhbmQsIEF1Y2tsYW5kLCBOZXcg
WmVhbGFuZC4mI3hEO0RlcGFydG1lbnQgb2YgTWVkaWNpbmUsIFVuaXZlcnNpdHkgb2YgT3RhZ28s
IER1bmVkaW4sIE5ldyBaZWFsYW5kLiYjeEQ7TGlnZ2lucyBJbnN0aXR1dGUsIFVuaXZlcnNpdHkg
b2YgQXVja2xhbmQsIEF1Y2tsYW5kLCBOZXcgWmVhbGFuZC48L2F1dGgtYWRkcmVzcz48dGl0bGVz
Pjx0aXRsZT5FZmZlY3Qgb2YgYW50ZW5hdGFsIGRpZXRhcnkgaW50ZXJ2ZW50aW9ucyBpbiBtYXRl
cm5hbCBvYmVzaXR5IG9uIHByZWduYW5jeSB3ZWlnaHQtZ2FpbiBhbmQgYmlydGh3ZWlnaHQ6IEhl
YWx0aHkgTXVtcyBhbmQgQmFiaWVzIChIVU1CQSkgcmFuZG9taXplZCB0cmlhbDwvdGl0bGU+PHNl
Y29uZGFyeS10aXRsZT5BbSBKIE9ic3RldCBHeW5lY29sPC9zZWNvbmRhcnktdGl0bGU+PC90aXRs
ZXM+PHBlcmlvZGljYWw+PGZ1bGwtdGl0bGU+QW0gSiBPYnN0ZXQgR3luZWNvbDwvZnVsbC10aXRs
ZT48L3BlcmlvZGljYWw+PHBhZ2VzPjE1MiBlMS0xNTIgZTEzPC9wYWdlcz48dm9sdW1lPjIyMTwv
dm9sdW1lPjxudW1iZXI+MjwvbnVtYmVyPjxlZGl0aW9uPjIwMTkvMDMvMTg8L2VkaXRpb24+PGtl
eXdvcmRzPjxrZXl3b3JkPmNvbW11bml0eSBoZWFsdGggd29ya2VyPC9rZXl3b3JkPjxrZXl3b3Jk
Pmdlc3RhdGlvbmFsIHdlaWdodCBnYWluPC9rZXl3b3JkPjxrZXl3b3JkPnByb2Jpb3RpY3M8L2tl
eXdvcmQ+PGtleXdvcmQ+dGV4dCBtZXNzYWdpbmc8L2tleXdvcmQ+PC9rZXl3b3Jkcz48ZGF0ZXM+
PHllYXI+MjAxOTwveWVhcj48cHViLWRhdGVzPjxkYXRlPkF1ZzwvZGF0ZT48L3B1Yi1kYXRlcz48
L2RhdGVzPjxpc2JuPjEwOTctNjg2OCAoRWxlY3Ryb25pYykmI3hEOzAwMDItOTM3OCAoTGlua2lu
Zyk8L2lzYm4+PGFjY2Vzc2lvbi1udW0+MzA4NzgzMjM8L2FjY2Vzc2lvbi1udW0+PHVybHM+PHJl
bGF0ZWQtdXJscz48dXJsPmh0dHBzOi8vd3d3Lm5jYmkubmxtLm5paC5nb3YvcHVibWVkLzMwODc4
MzIzPC91cmw+PC9yZWxhdGVkLXVybHM+PC91cmxzPjxlbGVjdHJvbmljLXJlc291cmNlLW51bT4x
MC4xMDE2L2ouYWpvZy4yMDE5LjAzLjAwMzwvZWxlY3Ryb25pYy1yZXNvdXJjZS1udW0+PC9yZWNv
cmQ+PC9DaXRlPjxDaXRlPjxBdXRob3I+UGVsbG9ucGVyYTwvQXV0aG9yPjxZZWFyPjIwMTk8L1ll
YXI+PFJlY051bT4xNjY5PC9SZWNOdW0+PHJlY29yZD48cmVjLW51bWJlcj4xNjY5PC9yZWMtbnVt
YmVyPjxmb3JlaWduLWtleXM+PGtleSBhcHA9IkVOIiBkYi1pZD0iZXh2YXNyZngyZHRyYW9lc2Fz
eHAyc3pzeGEyZGY1MDI1OTJ4IiB0aW1lc3RhbXA9IjE1ODEzMTI4NDAiPjE2Njk8L2tleT48a2V5
IGFwcD0iRU5XZWIiIGRiLWlkPSIiPjA8L2tleT48L2ZvcmVpZ24ta2V5cz48cmVmLXR5cGUgbmFt
ZT0iSm91cm5hbCBBcnRpY2xlIj4xNzwvcmVmLXR5cGU+PGNvbnRyaWJ1dG9ycz48YXV0aG9ycz48
YXV0aG9yPlBlbGxvbnBlcmEsIE8uPC9hdXRob3I+PGF1dGhvcj5Nb2trYWxhLCBLLjwvYXV0aG9y
PjxhdXRob3I+SG91dHR1LCBOLjwvYXV0aG9yPjxhdXRob3I+VmFobGJlcmcsIFQuPC9hdXRob3I+
PGF1dGhvcj5Lb2l2dW5pZW1pLCBFLjwvYXV0aG9yPjxhdXRob3I+VGVydHRpLCBLLjwvYXV0aG9y
PjxhdXRob3I+Um9ubmVtYWEsIFQuPC9hdXRob3I+PGF1dGhvcj5MYWl0aW5lbiwgSy48L2F1dGhv
cj48L2F1dGhvcnM+PC9jb250cmlidXRvcnM+PGF1dGgtYWRkcmVzcz5EZXBhcnRtZW50IG9mIE9i
c3RldHJpY3MgYW5kIEd5bmVjb2xvZ3ksIFVuaXZlcnNpdHkgb2YgVHVya3UgYW5kIFR1cmt1IFVu
aXZlcnNpdHkgSG9zcGl0YWwsIFR1cmt1LCBGaW5sYW5kIG91dGkucGVsbG9ucGVyYUB1dHUuZmku
JiN4RDtJbnRlZ3JhdGl2ZSBQaHlzaW9sb2d5IGFuZCBQaGFybWFjb2xvZ3ksIEluc3RpdHV0ZSBv
ZiBCaW9tZWRpY2luZSwgVW5pdmVyc2l0eSBvZiBUdXJrdSwgVHVya3UsIEZpbmxhbmQuJiN4RDtC
aW9zdGF0aXN0aWNzLCBJbnN0aXR1dGUgb2YgQ2xpbmljYWwgTWVkaWNpbmUsIFVuaXZlcnNpdHkg
b2YgVHVya3UsIFR1cmt1LCBGaW5sYW5kLiYjeEQ7RGVwYXJ0bWVudCBvZiBPYnN0ZXRyaWNzIGFu
ZCBHeW5lY29sb2d5LCBVbml2ZXJzaXR5IG9mIFR1cmt1IGFuZCBUdXJrdSBVbml2ZXJzaXR5IEhv
c3BpdGFsLCBUdXJrdSwgRmlubGFuZC4mI3hEO0RlcGFydG1lbnQgb2YgTWVkaWNpbmUsIFVuaXZl
cnNpdHkgb2YgVHVya3UgYW5kIFR1cmt1IFVuaXZlcnNpdHkgSG9zcGl0YWwsIFR1cmt1LCBGaW5s
YW5kLjwvYXV0aC1hZGRyZXNzPjx0aXRsZXM+PHRpdGxlPkVmZmljYWN5IG9mIGZpc2ggb2lsIGFu
ZC9vciBwcm9iaW90aWMgaW50ZXJ2ZW50aW9uIG9uIHRoZSBpbmNpZGVuY2Ugb2YgZ2VzdGF0aW9u
YWwgZGlhYmV0ZXMgbWVsbGl0dXMgaW4gYW4gYXQtcmlzayBncm91cCBvZiBvdmVyd2VpZ2h0IGFu
ZCBvYmVzZSB3b21lbjogYSByYW5kb21pemVkLCBwbGFjZWJvLWNvbnRyb2xsZWQsIGRvdWJsZS1i
bGluZCBjbGluaWNhbCB0cmlhbDwvdGl0bGU+PHNlY29uZGFyeS10aXRsZT5EaWFiZXRlcyBDYXJl
PC9zZWNvbmRhcnktdGl0bGU+PC90aXRsZXM+PHBlcmlvZGljYWw+PGZ1bGwtdGl0bGU+RGlhYmV0
ZXMgQ2FyZTwvZnVsbC10aXRsZT48L3BlcmlvZGljYWw+PHBhZ2VzPjEwMDktMTAxNzwvcGFnZXM+
PHZvbHVtZT40Mjwvdm9sdW1lPjxudW1iZXI+NjwvbnVtYmVyPjxlZGl0aW9uPjIwMTkvMDQvMTE8
L2VkaXRpb24+PGRhdGVzPjx5ZWFyPjIwMTk8L3llYXI+PHB1Yi1kYXRlcz48ZGF0ZT5KdW48L2Rh
dGU+PC9wdWItZGF0ZXM+PC9kYXRlcz48aXNibj4xOTM1LTU1NDggKEVsZWN0cm9uaWMpJiN4RDsw
MTQ5LTU5OTIgKExpbmtpbmcpPC9pc2JuPjxhY2Nlc3Npb24tbnVtPjMwOTY3NDM2PC9hY2Nlc3Np
b24tbnVtPjx1cmxzPjxyZWxhdGVkLXVybHM+PHVybD5odHRwczovL3d3dy5uY2JpLm5sbS5uaWgu
Z292L3B1Ym1lZC8zMDk2NzQzNjwvdXJsPjwvcmVsYXRlZC11cmxzPjwvdXJscz48ZWxlY3Ryb25p
Yy1yZXNvdXJjZS1udW0+MTAuMjMzNy9kYzE4LTI1OTE8L2VsZWN0cm9uaWMtcmVzb3VyY2UtbnVt
PjwvcmVjb3JkPjwvQ2l0ZT48Q2l0ZT48QXV0aG9yPlNoYXJwZTwvQXV0aG9yPjxZZWFyPjIwMTk8
L1llYXI+PFJlY051bT4xNjcwPC9SZWNOdW0+PHJlY29yZD48cmVjLW51bWJlcj4xNjcwPC9yZWMt
bnVtYmVyPjxmb3JlaWduLWtleXM+PGtleSBhcHA9IkVOIiBkYi1pZD0iZXh2YXNyZngyZHRyYW9l
c2FzeHAyc3pzeGEyZGY1MDI1OTJ4IiB0aW1lc3RhbXA9IjE1ODEzMTI4NDciPjE2NzA8L2tleT48
a2V5IGFwcD0iRU5XZWIiIGRiLWlkPSIiPjA8L2tleT48L2ZvcmVpZ24ta2V5cz48cmVmLXR5cGUg
bmFtZT0iSm91cm5hbCBBcnRpY2xlIj4xNzwvcmVmLXR5cGU+PGNvbnRyaWJ1dG9ycz48YXV0aG9y
cz48YXV0aG9yPlNoYXJwZSwgTS48L2F1dGhvcj48YXV0aG9yPlNoYWgsIFYuPC9hdXRob3I+PGF1
dGhvcj5GcmVpcmUtTGl6YW1hLCBULjwvYXV0aG9yPjxhdXRob3I+Q2F0ZXMsIEUuIEMuPC9hdXRo
b3I+PGF1dGhvcj5NY0dyYXRoLCBLLjwvYXV0aG9yPjxhdXRob3I+RGF2aWQsIEkuPC9hdXRob3I+
PGF1dGhvcj5Db3dhbiwgUy48L2F1dGhvcj48YXV0aG9yPkxldGtlbWFuLCBKLjwvYXV0aG9yPjxh
dXRob3I+U3Rld2FydC1XaWxzb24sIEUuPC9hdXRob3I+PC9hdXRob3JzPjwvY29udHJpYnV0b3Jz
PjxhdXRoLWFkZHJlc3M+YSBNaWR3aWZlcnkgRWR1Y2F0aW9uIFByb2dyYW0sIFJ5ZXJzb24gVW5p
dmVyc2l0eSAsIFRvcm9udG8gLCBDYW5hZGEuJiN4RDtiIERlcGFydG1lbnQgb2YgUGVkaWF0cmlj
cywgTW91bnQgU2luYWkgSG9zcGl0YWwgLCBUb3JvbnRvICwgQ2FuYWRhLiYjeEQ7YyBEZXBhcnRt
ZW50IG9mIE9ic3RldHJpY3MgYW5kIEd5bmVjb2xvZ3ksIFN0LiBNaWNoYWVsJmFwb3M7cyBIb3Nw
aXRhbCAsIFRvcm9udG8gLCBDYW5hZGEuJiN4RDtkIERlcGFydG1lbnQgb2YgUHN5Y2hvbG9neSwg
UnllcnNvbiBVbml2ZXJzaXR5ICwgVG9yb250byAsIENhbmFkYS48L2F1dGgtYWRkcmVzcz48dGl0
bGVzPjx0aXRsZT5FZmZlY3RpdmVuZXNzIG9mIG9yYWwgaW50YWtlIG9mIExhY3RvYmFjaWxsdXMg
cmhhbW5vc3VzIEdSLTEgYW5kIExhY3RvYmFjaWxsdXMgcmV1dGVyaSBSQy0xNCBvbiBHcm91cCBC
IFN0cmVwdG9jb2NjdXMgY29sb25pemF0aW9uIGR1cmluZyBwcmVnbmFuY3k6IGEgbWlkd2lmZXJ5
LWxlZCBkb3VibGUtYmxpbmQgcmFuZG9taXplZCBjb250cm9sbGVkIHBpbG90IHRyaWFsPC90aXRs
ZT48c2Vjb25kYXJ5LXRpdGxlPkogTWF0ZXJuIEZldGFsIE5lb25hdGFsIE1lZDwvc2Vjb25kYXJ5
LXRpdGxlPjwvdGl0bGVzPjxwZXJpb2RpY2FsPjxmdWxsLXRpdGxlPkogTWF0ZXJuIEZldGFsIE5l
b25hdGFsIE1lZDwvZnVsbC10aXRsZT48L3BlcmlvZGljYWw+PHBhZ2VzPjEtODwvcGFnZXM+PGVk
aXRpb24+MjAxOS8wOC8wMTwvZWRpdGlvbj48a2V5d29yZHM+PGtleXdvcmQ+Q2xpbmljYWwgdHJp
YWw8L2tleXdvcmQ+PGtleXdvcmQ+Z3JvdXAgQiBTdHJlcHRvY29jY3VzPC9rZXl3b3JkPjxrZXl3
b3JkPm1pZHdpZmVyeTwva2V5d29yZD48a2V5d29yZD5wcmVnbmFuY3k8L2tleXdvcmQ+PGtleXdv
cmQ+cHJvYmlvdGljczwva2V5d29yZD48L2tleXdvcmRzPjxkYXRlcz48eWVhcj4yMDE5PC95ZWFy
PjxwdWItZGF0ZXM+PGRhdGU+QXVnIDEzPC9kYXRlPjwvcHViLWRhdGVzPjwvZGF0ZXM+PGlzYm4+
MTQ3Ni00OTU0IChFbGVjdHJvbmljKSYjeEQ7MTQ3Ni00OTU0IChMaW5raW5nKTwvaXNibj48YWNj
ZXNzaW9uLW51bT4zMTM2MjU3MjwvYWNjZXNzaW9uLW51bT48dXJscz48cmVsYXRlZC11cmxzPjx1
cmw+aHR0cHM6Ly93d3cubmNiaS5ubG0ubmloLmdvdi9wdWJtZWQvMzEzNjI1NzI8L3VybD48L3Jl
bGF0ZWQtdXJscz48L3VybHM+PGVsZWN0cm9uaWMtcmVzb3VyY2UtbnVtPjEwLjEwODAvMTQ3Njcw
NTguMjAxOS4xNjUwOTA3PC9lbGVjdHJvbmljLXJlc291cmNlLW51bT48L3JlY29yZD48L0NpdGU+
PENpdGU+PEF1dGhvcj5PbHNlbjwvQXV0aG9yPjxZZWFyPjIwMTg8L1llYXI+PFJlY051bT4xNzA5
PC9SZWNOdW0+PHJlY29yZD48cmVjLW51bWJlcj4xNzA5PC9yZWMtbnVtYmVyPjxmb3JlaWduLWtl
eXM+PGtleSBhcHA9IkVOIiBkYi1pZD0iZXh2YXNyZngyZHRyYW9lc2FzeHAyc3pzeGEyZGY1MDI1
OTJ4IiB0aW1lc3RhbXA9IjE1ODI0OTkxODIiPjE3MDk8L2tleT48L2ZvcmVpZ24ta2V5cz48cmVm
LXR5cGUgbmFtZT0iSm91cm5hbCBBcnRpY2xlIj4xNzwvcmVmLXR5cGU+PGNvbnRyaWJ1dG9ycz48
YXV0aG9ycz48YXV0aG9yPk9sc2VuLCBQYXVsYTwvYXV0aG9yPjxhdXRob3I+V2lsbGlhbXNvbiwg
TW9pcmE8L2F1dGhvcj48YXV0aG9yPlRyYXlub3IsIFZpY3RvcmlhPC9hdXRob3I+PGF1dGhvcj5H
ZW9yZ2lvdSwgQ2hyaXM8L2F1dGhvcj48L2F1dGhvcnM+PC9jb250cmlidXRvcnM+PHRpdGxlcz48
dGl0bGU+VGhlIGltcGFjdCBvZiBvcmFsIHByb2Jpb3RpY3Mgb24gdmFnaW5hbCBHcm91cCBCIFN0
cmVwdG9jb2NjYWwgY29sb25pc2F0aW9uIHJhdGVzIGluIHByZWduYW50IHdvbWVuOiBBIHBpbG90
IHJhbmRvbWlzZWQgY29udHJvbCBzdHVkeTwvdGl0bGU+PHNlY29uZGFyeS10aXRsZT5Xb21lbiBh
bmQgQmlydGg8L3NlY29uZGFyeS10aXRsZT48L3RpdGxlcz48cGVyaW9kaWNhbD48ZnVsbC10aXRs
ZT5Xb21lbiBhbmQgQmlydGg8L2Z1bGwtdGl0bGU+PC9wZXJpb2RpY2FsPjxwYWdlcz4zMS0zNzwv
cGFnZXM+PHZvbHVtZT4zMTwvdm9sdW1lPjxudW1iZXI+MTwvbnVtYmVyPjxzZWN0aW9uPjMxPC9z
ZWN0aW9uPjxkYXRlcz48eWVhcj4yMDE4PC95ZWFyPjwvZGF0ZXM+PGlzYm4+MTg3MTUxOTI8L2lz
Ym4+PHVybHM+PC91cmxzPjxlbGVjdHJvbmljLXJlc291cmNlLW51bT4xMC4xMDE2L2oud29tYmku
MjAxNy4wNi4wMTI8L2VsZWN0cm9uaWMtcmVzb3VyY2UtbnVtPjwvcmVjb3JkPjwvQ2l0ZT48Q2l0
ZT48QXV0aG9yPkxpbmRzYXk8L0F1dGhvcj48WWVhcj4yMDE0PC9ZZWFyPjxSZWNOdW0+MTg0Njwv
UmVjTnVtPjxyZWNvcmQ+PHJlYy1udW1iZXI+MTg0NjwvcmVjLW51bWJlcj48Zm9yZWlnbi1rZXlz
PjxrZXkgYXBwPSJFTiIgZGItaWQ9ImV4dmFzcmZ4MmR0cmFvZXNhc3hwMnN6c3hhMmRmNTAyNTky
eCIgdGltZXN0YW1wPSIxNTg3MDk3MzM2Ij4xODQ2PC9rZXk+PC9mb3JlaWduLWtleXM+PHJlZi10
eXBlIG5hbWU9IkpvdXJuYWwgQXJ0aWNsZSI+MTc8L3JlZi10eXBlPjxjb250cmlidXRvcnM+PGF1
dGhvcnM+PGF1dGhvcj5MaW5kc2F5LCBLLiBMLjwvYXV0aG9yPjxhdXRob3I+S2VubmVsbHksIE0u
PC9hdXRob3I+PGF1dGhvcj5DdWxsaXRvbiwgTS48L2F1dGhvcj48YXV0aG9yPlNtaXRoLCBULjwv
YXV0aG9yPjxhdXRob3I+TWFndWlyZSwgTy4gQy48L2F1dGhvcj48YXV0aG9yPlNoYW5haGFuLCBG
LjwvYXV0aG9yPjxhdXRob3I+QnJlbm5hbiwgTC48L2F1dGhvcj48YXV0aG9yPk1jQXVsaWZmZSwg
Ri4gTS48L2F1dGhvcj48L2F1dGhvcnM+PC9jb250cmlidXRvcnM+PGF1dGgtYWRkcmVzcz5Gcm9t
IHRoZSBVbml2ZXJzaXR5IENvbGxlZ2UgRHVibGluIChVQ0QpIE9ic3RldHJpY3MgYW5kIEd5bmFl
Y29sb2d5LCBTY2hvb2wgb2YgTWVkaWNpbmUgYW5kIE1lZGljYWwgU2NpZW5jZSwgVUNELCBOYXRp
b25hbCBNYXRlcm5pdHkgSG9zcGl0YWwsIER1YmxpbiwgSXJlbGFuZCAoS0xMLCBNSywgYW5kIEZN
TSk7IExhYm9yYXRvcnkgTWVkaWNpbmUsIE5hdGlvbmFsIE1hdGVybml0eSBIb3NwaXRhbCwgRHVi
bGluLCBJcmVsYW5kIChNQyk7IHRoZSBEZXBhcnRtZW50IG9mIENsaW5pY2FsIENoZW1pc3RyeSwg
U3QgVmluY2VudCZhcG9zO3MgVW5pdmVyc2l0eSBIb3NwaXRhbCwgRWxtIFBhcmssIER1Ymxpbiwg
SXJlbGFuZCAoVFMgYW5kIE9DTSk7IHRoZSBEZXBhcnRtZW50IG9mIE1lZGljaW5lLCBBbGltZW50
YXJ5IGFuZCBQaGFybWFiaW90aWMgQ2VudHJlLCBVbml2ZXJzaXR5IENvbGxlZ2UgQ29yaywgQ29y
aywgSXJlbGFuZCAoRlMpOyBhbmQgdGhlIEluc3RpdHV0ZSBvZiBGb29kIGFuZCBIZWFsdGgsIFVD
RCBTY2hvb2wgb2YgQWdyaWN1bHR1cmUgYW5kIEZvb2QgU2NpZW5jZSwgVUNELCBCZWxmaWVsZCwg
RHVibGluLCBJcmVsYW5kIChMQikuPC9hdXRoLWFkZHJlc3M+PHRpdGxlcz48dGl0bGU+UHJvYmlv
dGljcyBpbiBvYmVzZSBwcmVnbmFuY3kgZG8gbm90IHJlZHVjZSBtYXRlcm5hbCBmYXN0aW5nIGds
dWNvc2U6IGEgZG91YmxlLWJsaW5kLCBwbGFjZWJvLWNvbnRyb2xsZWQsIHJhbmRvbWl6ZWQgdHJp
YWwgKFByb2Jpb3RpY3MgaW4gUHJlZ25hbmN5IFN0dWR5KTwvdGl0bGU+PHNlY29uZGFyeS10aXRs
ZT5BbSBKIENsaW4gTnV0cjwvc2Vjb25kYXJ5LXRpdGxlPjwvdGl0bGVzPjxwZXJpb2RpY2FsPjxm
dWxsLXRpdGxlPkFtIEogQ2xpbiBOdXRyPC9mdWxsLXRpdGxlPjwvcGVyaW9kaWNhbD48cGFnZXM+
MTQzMi05PC9wYWdlcz48dm9sdW1lPjk5PC92b2x1bWU+PG51bWJlcj42PC9udW1iZXI+PGVkaXRp
b24+MjAxNC8wMy8yMjwvZWRpdGlvbj48a2V5d29yZHM+PGtleXdvcmQ+QWR1bHQ8L2tleXdvcmQ+
PGtleXdvcmQ+Qm9keSBNYXNzIEluZGV4PC9rZXl3b3JkPjxrZXl3b3JkPkNvaG9ydCBTdHVkaWVz
PC9rZXl3b3JkPjxrZXl3b3JkPkRpYWJldGVzLCBHZXN0YXRpb25hbC9lcGlkZW1pb2xvZ3kvZXRp
b2xvZ3kvcHJldmVudGlvbiAmYW1wOyBjb250cm9sPC9rZXl3b3JkPjxrZXl3b3JkPkRvdWJsZS1C
bGluZCBNZXRob2Q8L2tleXdvcmQ+PGtleXdvcmQ+RmVtYWxlPC9rZXl3b3JkPjxrZXl3b3JkPkds
dWNvc2UgSW50b2xlcmFuY2UvZXBpZGVtaW9sb2d5L2V0aW9sb2d5L3ByZXZlbnRpb24gJmFtcDsg
Y29udHJvbDwva2V5d29yZD48a2V5d29yZD5Ib3NwaXRhbHMsIE1hdGVybml0eTwva2V5d29yZD48
a2V5d29yZD5IdW1hbnM8L2tleXdvcmQ+PGtleXdvcmQ+SHlwZXJnbHljZW1pYS9lcGlkZW1pb2xv
Z3kvZXRpb2xvZ3kvKnByZXZlbnRpb24gJmFtcDsgY29udHJvbDwva2V5d29yZD48a2V5d29yZD5J
bmNpZGVuY2U8L2tleXdvcmQ+PGtleXdvcmQ+SXJlbGFuZC9lcGlkZW1pb2xvZ3k8L2tleXdvcmQ+
PGtleXdvcmQ+KkxhY3RvYmFjaWxsdXM8L2tleXdvcmQ+PGtleXdvcmQ+Kk1hdGVybmFsIE51dHJp
dGlvbmFsIFBoeXNpb2xvZ2ljYWwgUGhlbm9tZW5hPC9rZXl3b3JkPjxrZXl3b3JkPk9iZXNpdHkv
Ymxvb2QvKmRpZXQgdGhlcmFweS9waHlzaW9wYXRob2xvZ3k8L2tleXdvcmQ+PGtleXdvcmQ+T3V0
cGF0aWVudCBDbGluaWNzLCBIb3NwaXRhbDwva2V5d29yZD48a2V5d29yZD5QcmVnbmFuY3k8L2tl
eXdvcmQ+PGtleXdvcmQ+UHJlZ25hbmN5IENvbXBsaWNhdGlvbnMvYmxvb2QvKmRpZXQgdGhlcmFw
eS9waHlzaW9wYXRob2xvZ3k8L2tleXdvcmQ+PGtleXdvcmQ+UHJvYmlvdGljcy9hZHZlcnNlIGVm
ZmVjdHMvKnRoZXJhcGV1dGljIHVzZTwva2V5d29yZD48a2V5d29yZD5SaXNrPC9rZXl3b3JkPjwv
a2V5d29yZHM+PGRhdGVzPjx5ZWFyPjIwMTQ8L3llYXI+PHB1Yi1kYXRlcz48ZGF0ZT5KdW48L2Rh
dGU+PC9wdWItZGF0ZXM+PC9kYXRlcz48aXNibj4xOTM4LTMyMDcgKEVsZWN0cm9uaWMpJiN4RDsw
MDAyLTkxNjUgKExpbmtpbmcpPC9pc2JuPjxhY2Nlc3Npb24tbnVtPjI0NjQ2ODE5PC9hY2Nlc3Np
b24tbnVtPjx1cmxzPjxyZWxhdGVkLXVybHM+PHVybD5odHRwczovL3d3dy5uY2JpLm5sbS5uaWgu
Z292L3B1Ym1lZC8yNDY0NjgxOTwvdXJsPjwvcmVsYXRlZC11cmxzPjwvdXJscz48ZWxlY3Ryb25p
Yy1yZXNvdXJjZS1udW0+MTAuMzk0NS9hamNuLjExMy4wNzk3MjM8L2VsZWN0cm9uaWMtcmVzb3Vy
Y2UtbnVtPjwvcmVjb3JkPjwvQ2l0ZT48Q2l0ZT48QXV0aG9yPldpY2tlbnM8L0F1dGhvcj48WWVh
cj4yMDE3PC9ZZWFyPjxSZWNOdW0+MTY3NTwvUmVjTnVtPjxyZWNvcmQ+PHJlYy1udW1iZXI+MTY3
NTwvcmVjLW51bWJlcj48Zm9yZWlnbi1rZXlzPjxrZXkgYXBwPSJFTiIgZGItaWQ9ImV4dmFzcmZ4
MmR0cmFvZXNhc3hwMnN6c3hhMmRmNTAyNTkyeCIgdGltZXN0YW1wPSIxNTgxMzEyODgwIj4xNjc1
PC9rZXk+PGtleSBhcHA9IkVOV2ViIiBkYi1pZD0iIj4wPC9rZXk+PC9mb3JlaWduLWtleXM+PHJl
Zi10eXBlIG5hbWU9IkpvdXJuYWwgQXJ0aWNsZSI+MTc8L3JlZi10eXBlPjxjb250cmlidXRvcnM+
PGF1dGhvcnM+PGF1dGhvcj5XaWNrZW5zLCBLLiBMLjwvYXV0aG9yPjxhdXRob3I+QmFydGhvdywg
Qy4gQS48L2F1dGhvcj48YXV0aG9yPk11cnBoeSwgUi48L2F1dGhvcj48YXV0aG9yPkFiZWxzLCBQ
LiBSLjwvYXV0aG9yPjxhdXRob3I+TWF1ZGUsIFIuIE0uPC9hdXRob3I+PGF1dGhvcj5TdG9uZSwg
UC4gUi48L2F1dGhvcj48YXV0aG9yPk1pdGNoZWxsLCBFLiBBLjwvYXV0aG9yPjxhdXRob3I+U3Rh
bmxleSwgVC4gVi48L2F1dGhvcj48YXV0aG9yPlB1cmRpZSwgRy4gTC48L2F1dGhvcj48YXV0aG9y
PkthbmcsIEouIE0uPC9hdXRob3I+PGF1dGhvcj5Ib29kLCBGLiBFLjwvYXV0aG9yPjxhdXRob3I+
Um93ZGVuLCBKLiBMLjwvYXV0aG9yPjxhdXRob3I+QmFybmVzLCBQLiBLLjwvYXV0aG9yPjxhdXRo
b3I+Rml0emhhcnJpcywgUC4gRi48L2F1dGhvcj48YXV0aG9yPkNyYW5lLCBKLjwvYXV0aG9yPjwv
YXV0aG9ycz48L2NvbnRyaWJ1dG9ycz48YXV0aC1hZGRyZXNzPjFVbml2ZXJzaXR5IG9mIE90YWdv
LFdlbGxpbmd0b24gNjAyMSxOZXcgWmVhbGFuZC4mI3hEOzJVbml2ZXJzaXR5IG9mIEF1Y2tsYW5k
LEF1Y2tsYW5kIDExNDIsTmV3IFplYWxhbmQuJiN4RDs0VmljdG9yaWEgVW5pdmVyc2l0eSxXZWxs
aW5ndG9uIDYwMjEsTmV3IFplYWxhbmQuJiN4RDs1QXVja2xhbmQgSG9zcGl0YWwsQXVja2xhbmQg
MTE0MixOZXcgWmVhbGFuZC48L2F1dGgtYWRkcmVzcz48dGl0bGVzPjx0aXRsZT5FYXJseSBwcmVn
bmFuY3kgcHJvYmlvdGljIHN1cHBsZW1lbnRhdGlvbiB3aXRoIExhY3RvYmFjaWxsdXMgcmhhbW5v
c3VzIEhOMDAxIG1heSByZWR1Y2UgdGhlIHByZXZhbGVuY2Ugb2YgZ2VzdGF0aW9uYWwgZGlhYmV0
ZXMgbWVsbGl0dXM6IGEgcmFuZG9taXNlZCBjb250cm9sbGVkIHRyaWFsPC90aXRsZT48c2Vjb25k
YXJ5LXRpdGxlPkJyIEogTnV0cjwvc2Vjb25kYXJ5LXRpdGxlPjwvdGl0bGVzPjxwZXJpb2RpY2Fs
PjxmdWxsLXRpdGxlPkJyIEogTnV0cjwvZnVsbC10aXRsZT48L3BlcmlvZGljYWw+PHBhZ2VzPjgw
NC04MTM8L3BhZ2VzPjx2b2x1bWU+MTE3PC92b2x1bWU+PG51bWJlcj42PC9udW1iZXI+PGVkaXRp
b24+MjAxNy8wNC8wNDwvZWRpdGlvbj48a2V5d29yZHM+PGtleXdvcmQ+QWR1bHQ8L2tleXdvcmQ+
PGtleXdvcmQ+Qmxvb2QgR2x1Y29zZS8qbWV0YWJvbGlzbTwva2V5d29yZD48a2V5d29yZD5EaWFi
ZXRlcywgR2VzdGF0aW9uYWwvYmxvb2QvKnByZXZlbnRpb24gJmFtcDsgY29udHJvbDwva2V5d29y
ZD48a2V5d29yZD5Eb3VibGUtQmxpbmQgTWV0aG9kPC9rZXl3b3JkPjxrZXl3b3JkPkZlbWFsZTwv
a2V5d29yZD48a2V5d29yZD5IdW1hbnM8L2tleXdvcmQ+PGtleXdvcmQ+KkxhY3RvYmFjaWxsdXMg
cmhhbW5vc3VzPC9rZXl3b3JkPjxrZXl3b3JkPk5ldyBaZWFsYW5kL2VwaWRlbWlvbG9neTwva2V5
d29yZD48a2V5d29yZD5QcmVnbmFuY3k8L2tleXdvcmQ+PGtleXdvcmQ+UHJldmFsZW5jZTwva2V5
d29yZD48a2V5d29yZD5Qcm9iaW90aWNzLyp0aGVyYXBldXRpYyB1c2U8L2tleXdvcmQ+PGtleXdv
cmQ+TGFjdG9iYWNpbGx1cyByaGFtbm9zdXMgSE4wMDE8L2tleXdvcmQ+PGtleXdvcmQ+Rm9udGVy
cmEgRm9udGVycmEgQ28tb3BlcmF0aXZlIEdyb3VwIEx0ZDwva2V5d29yZD48a2V5d29yZD5HRE0g
Z2VzdGF0aW9uYWwgZGlhYmV0ZXMgbWVsbGl0dXM8L2tleXdvcmQ+PGtleXdvcmQ+R1RUIGdsdWNv
c2UgdG9sZXJhbmNlIHRlc3Q8L2tleXdvcmQ+PGtleXdvcmQ+SE4wMDEgTGFjdG9iYWNpbGx1cyBy
aGFtbm9zdXMgSE4wMDE8L2tleXdvcmQ+PGtleXdvcmQ+SUFEUFNHIEludGVybmF0aW9uYWwgQXNz
b2NpYXRpb24gb2YgRGlhYmV0ZXMgYW5kIFByZWduYW5jeSBTdHVkeSBHcm91cDwva2V5d29yZD48
a2V5d29yZD5OWiBOZXcgWmVhbGFuZDwva2V5d29yZD48a2V5d29yZD5SUiByZWxhdGl2ZSByYXRl
PC9rZXl3b3JkPjxrZXl3b3JkPkdlc3RhdGlvbmFsIGRpYWJldGVzIG1lbGxpdHVzPC9rZXl3b3Jk
PjxrZXl3b3JkPlByb2Jpb3RpY3M8L2tleXdvcmQ+PGtleXdvcmQ+UmFuZG9taXNlZCBjb250cm9s
bGVkIHRyaWFsczwva2V5d29yZD48L2tleXdvcmRzPjxkYXRlcz48eWVhcj4yMDE3PC95ZWFyPjxw
dWItZGF0ZXM+PGRhdGU+TWFyPC9kYXRlPjwvcHViLWRhdGVzPjwvZGF0ZXM+PGlzYm4+MTQ3NS0y
NjYyIChFbGVjdHJvbmljKSYjeEQ7MDAwNy0xMTQ1IChMaW5raW5nKTwvaXNibj48YWNjZXNzaW9u
LW51bT4yODM2Nzc2NTwvYWNjZXNzaW9uLW51bT48dXJscz48cmVsYXRlZC11cmxzPjx1cmw+aHR0
cHM6Ly93d3cubmNiaS5ubG0ubmloLmdvdi9wdWJtZWQvMjgzNjc3NjU8L3VybD48L3JlbGF0ZWQt
dXJscz48L3VybHM+PGN1c3RvbTI+UE1DNTQyNjMyMjwvY3VzdG9tMj48ZWxlY3Ryb25pYy1yZXNv
dXJjZS1udW0+MTAuMTAxNy9TMDAwNzExNDUxNzAwMDI4OTwvZWxlY3Ryb25pYy1yZXNvdXJjZS1u
dW0+PC9yZWNvcmQ+PC9DaXRlPjwvRW5kTm90ZT5=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228-237</w:t>
      </w:r>
      <w:r w:rsidR="00AB21E2">
        <w:fldChar w:fldCharType="end"/>
      </w:r>
      <w:r>
        <w:t xml:space="preserve"> published subsequent</w:t>
      </w:r>
      <w:r w:rsidR="00C370FB">
        <w:t>ly</w:t>
      </w:r>
      <w:r>
        <w:t xml:space="preserve"> to the reviews. </w:t>
      </w:r>
    </w:p>
    <w:p w14:paraId="46A4645B" w14:textId="0AF06C21" w:rsidR="00DF23E5" w:rsidRDefault="005B4719" w:rsidP="005B4719">
      <w:r>
        <w:t>The inclusion criteria differed between the systematic rev</w:t>
      </w:r>
      <w:r w:rsidR="00582145">
        <w:t>iews but results were consistent</w:t>
      </w:r>
      <w:r>
        <w:t xml:space="preserve"> in finding no clear difference in risk of preterm birth</w:t>
      </w:r>
      <w:r w:rsidR="00513E14">
        <w:t>,</w:t>
      </w:r>
      <w:r w:rsidR="00AB21E2">
        <w:fldChar w:fldCharType="begin">
          <w:fldData xml:space="preserve">PEVuZE5vdGU+PENpdGU+PEF1dGhvcj5HcmV2PC9BdXRob3I+PFllYXI+MjAxODwvWWVhcj48UmVj
TnVtPjE2NTQ8L1JlY051bT48RGlzcGxheVRleHQ+PHN0eWxlIGZhY2U9InN1cGVyc2NyaXB0IiBm
b250PSJUcmVidWNoZXQgTVMiIHNpemU9IjkiPjIyNS0yMjc8L3N0eWxlPjwvRGlzcGxheVRleHQ+
PHJlY29yZD48cmVjLW51bWJlcj4xNjU0PC9yZWMtbnVtYmVyPjxmb3JlaWduLWtleXM+PGtleSBh
cHA9IkVOIiBkYi1pZD0iZXh2YXNyZngyZHRyYW9lc2FzeHAyc3pzeGEyZGY1MDI1OTJ4IiB0aW1l
c3RhbXA9IjE1ODEzMTI3MzQiPjE2NTQ8L2tleT48a2V5IGFwcD0iRU5XZWIiIGRiLWlkPSIiPjA8
L2tleT48L2ZvcmVpZ24ta2V5cz48cmVmLXR5cGUgbmFtZT0iSm91cm5hbCBBcnRpY2xlIj4xNzwv
cmVmLXR5cGU+PGNvbnRyaWJ1dG9ycz48YXV0aG9ycz48YXV0aG9yPkdyZXYsIEouPC9hdXRob3I+
PGF1dGhvcj5CZXJnLCBNLjwvYXV0aG9yPjxhdXRob3I+U29sbCwgUi48L2F1dGhvcj48L2F1dGhv
cnM+PC9jb250cmlidXRvcnM+PGF1dGgtYWRkcmVzcz5Vbml2ZXJzaXR5IG9mIFZlcm1vbnQgTWVk
aWNhbCBDZW50ZXIsIEJ1cmxpbmd0b24gVlQsIFVTQS48L2F1dGgtYWRkcmVzcz48dGl0bGVzPjx0
aXRsZT5NYXRlcm5hbCBwcm9iaW90aWMgc3VwcGxlbWVudGF0aW9uIGZvciBwcmV2ZW50aW9uIG9m
IG1vcmJpZGl0eSBhbmQgbW9ydGFsaXR5IGluIHByZXRlcm0gaW5mYW50czwvdGl0bGU+PHNlY29u
ZGFyeS10aXRsZT5Db2NocmFuZSBEYXRhYmFzZSBTeXN0IFJldjwvc2Vjb25kYXJ5LXRpdGxlPjwv
dGl0bGVzPjxwZXJpb2RpY2FsPjxmdWxsLXRpdGxlPkNvY2hyYW5lIERhdGFiYXNlIFN5c3QgUmV2
PC9mdWxsLXRpdGxlPjwvcGVyaW9kaWNhbD48cGFnZXM+Q0QwMTI1MTk8L3BhZ2VzPjx2b2x1bWU+
MTI8L3ZvbHVtZT48ZWRpdGlvbj4yMDE4LzEyLzE1PC9lZGl0aW9uPjxrZXl3b3Jkcz48a2V5d29y
ZD5BZG1pbmlzdHJhdGlvbiwgT3JhbDwva2V5d29yZD48a2V5d29yZD5FbnRlcm9jb2xpdGlzLCBO
ZWNyb3RpemluZy8qcHJldmVudGlvbiAmYW1wOyBjb250cm9sPC9rZXl3b3JkPjxrZXl3b3JkPkdh
c3Ryb2ludGVzdGluYWwgTWljcm9iaW9tZTwva2V5d29yZD48a2V5d29yZD5IdW1hbnM8L2tleXdv
cmQ+PGtleXdvcmQ+SW5mYW50PC9rZXl3b3JkPjxrZXl3b3JkPkluZmFudCBNb3J0YWxpdHk8L2tl
eXdvcmQ+PGtleXdvcmQ+SW5mYW50LCBOZXdib3JuPC9rZXl3b3JkPjxrZXl3b3JkPipJbmZhbnQs
IFByZW1hdHVyZTwva2V5d29yZD48a2V5d29yZD5JbmZhbnQsIFByZW1hdHVyZSwgRGlzZWFzZXMv
KnByZXZlbnRpb24gJmFtcDsgY29udHJvbDwva2V5d29yZD48a2V5d29yZD5JbmZsYW1tYXRpb248
L2tleXdvcmQ+PGtleXdvcmQ+TW9yYmlkaXR5PC9rZXl3b3JkPjxrZXl3b3JkPipNb3RoZXJzPC9r
ZXl3b3JkPjxrZXl3b3JkPlByZW5hdGFsIENhcmU8L2tleXdvcmQ+PGtleXdvcmQ+UHJvYmlvdGlj
cy8qYWRtaW5pc3RyYXRpb24gJmFtcDsgZG9zYWdlPC9rZXl3b3JkPjxrZXl3b3JkPlJhbmRvbWl6
ZWQgQ29udHJvbGxlZCBUcmlhbHMgYXMgVG9waWM8L2tleXdvcmQ+PC9rZXl3b3Jkcz48ZGF0ZXM+
PHllYXI+MjAxODwveWVhcj48cHViLWRhdGVzPjxkYXRlPkRlYyAxMjwvZGF0ZT48L3B1Yi1kYXRl
cz48L2RhdGVzPjxpc2JuPjE0NjktNDkzWCAoRWxlY3Ryb25pYykmI3hEOzEzNjEtNjEzNyAoTGlu
a2luZyk8L2lzYm4+PGFjY2Vzc2lvbi1udW0+MzA1NDg0ODM8L2FjY2Vzc2lvbi1udW0+PHVybHM+
PHJlbGF0ZWQtdXJscz48dXJsPmh0dHBzOi8vd3d3Lm5jYmkubmxtLm5paC5nb3YvcHVibWVkLzMw
NTQ4NDgzPC91cmw+PC9yZWxhdGVkLXVybHM+PC91cmxzPjxjdXN0b20yPlBNQzY1MTY5OTk8L2N1
c3RvbTI+PGVsZWN0cm9uaWMtcmVzb3VyY2UtbnVtPjEwLjEwMDIvMTQ2NTE4NTguQ0QwMTI1MTku
cHViMjwvZWxlY3Ryb25pYy1yZXNvdXJjZS1udW0+PC9yZWNvcmQ+PC9DaXRlPjxDaXRlPjxBdXRo
b3I+SmFyZGU8L0F1dGhvcj48WWVhcj4yMDE4PC9ZZWFyPjxSZWNOdW0+MTY1OTwvUmVjTnVtPjxy
ZWNvcmQ+PHJlYy1udW1iZXI+MTY1OTwvcmVjLW51bWJlcj48Zm9yZWlnbi1rZXlzPjxrZXkgYXBw
PSJFTiIgZGItaWQ9ImV4dmFzcmZ4MmR0cmFvZXNhc3hwMnN6c3hhMmRmNTAyNTkyeCIgdGltZXN0
YW1wPSIxNTgxMzEyNzY0Ij4xNjU5PC9rZXk+PGtleSBhcHA9IkVOV2ViIiBkYi1pZD0iIj4wPC9r
ZXk+PC9mb3JlaWduLWtleXM+PHJlZi10eXBlIG5hbWU9IkpvdXJuYWwgQXJ0aWNsZSI+MTc8L3Jl
Zi10eXBlPjxjb250cmlidXRvcnM+PGF1dGhvcnM+PGF1dGhvcj5KYXJkZSwgQS48L2F1dGhvcj48
YXV0aG9yPkxld2lzLU1pa2hhZWwsIEEuIE0uPC9hdXRob3I+PGF1dGhvcj5Nb2F5eWVkaSwgUC48
L2F1dGhvcj48YXV0aG9yPlN0ZWFybnMsIEouIEMuPC9hdXRob3I+PGF1dGhvcj5Db2xsaW5zLCBT
LiBNLjwvYXV0aG9yPjxhdXRob3I+QmV5ZW5lLCBKLjwvYXV0aG9yPjxhdXRob3I+TWNEb25hbGQs
IFMuIEQuPC9hdXRob3I+PC9hdXRob3JzPjwvY29udHJpYnV0b3JzPjxhdXRoLWFkZHJlc3M+RGVw
YXJ0bWVudCBvZiBPYnN0ZXRyaWNzIGFuZCBHeW5lY29sb2d5LCBNY01hc3RlciBVbml2ZXJzaXR5
LCAxMjgwIE1haW4gU3RyZWV0IFdlc3QsIEhhbWlsdG9uLCBPTiwgTDhTIDRLMSwgQ2FuYWRhLiBq
YXJkZUBtY21hc3Rlci5jYS4mI3hEO0RlcGFydG1lbnQgb2YgT2JzdGV0cmljcyBhbmQgR3luZWNv
bG9neSwgTWNNYXN0ZXIgVW5pdmVyc2l0eSwgMTI4MCBNYWluIFN0cmVldCBXZXN0LCBIYW1pbHRv
biwgT04sIEw4UyA0SzEsIENhbmFkYS4mI3hEO0RlcGFydG1lbnQgb2YgTWVkaWNpbmUsIEdhc3Ry
b2VudGVyb2xvZ3kgRGl2aXNpb24sIE1jTWFzdGVyIFVuaXZlcnNpdHksIEhhbWlsdG9uLCBPTiwg
Q2FuYWRhLiYjeEQ7RmFybmNvbWJlIEZhbWlseSBEaWdlc3RpdmUgSGVhbHRoIFJlc2VhcmNoIElu
c3RpdHV0ZSwgTWNNYXN0ZXIgVW5pdmVyc2l0eSwgSGFtaWx0b24sIE9OLCBDYW5hZGEuJiN4RDtG
YXJuY29tYmUgRmFtaWx5IERpZ2VzdGl2ZSBIZWFsdGggUmVzZWFyY2ggSW5zdGl0dXRlLCBEZXBh
cnRtZW50IG9mIE1lZGljaW5lLCBNY01hc3RlciBVbml2ZXJzaXR5LCBIYW1pbHRvbiwgT04sIENh
bmFkYS4mI3hEO0RlcGFydG1lbnQgb2YgQ2xpbmljYWwgRXBpZGVtaW9sb2d5IGFuZCBCaW9zdGF0
aXN0aWNzLCBNY01hc3RlciBVbml2ZXJzaXR5LCBIYW1pbHRvbiwgT04sIENhbmFkYS48L2F1dGgt
YWRkcmVzcz48dGl0bGVzPjx0aXRsZT5QcmVnbmFuY3kgb3V0Y29tZXMgaW4gd29tZW4gdGFraW5n
IHByb2Jpb3RpY3Mgb3IgcHJlYmlvdGljczogYSBzeXN0ZW1hdGljIHJldmlldyBhbmQgbWV0YS1h
bmFseXNpczwvdGl0bGU+PHNlY29uZGFyeS10aXRsZT5CTUMgUHJlZ25hbmN5IENoaWxkYmlydGg8
L3NlY29uZGFyeS10aXRsZT48L3RpdGxlcz48cGVyaW9kaWNhbD48ZnVsbC10aXRsZT5CTUMgUHJl
Z25hbmN5IENoaWxkYmlydGg8L2Z1bGwtdGl0bGU+PC9wZXJpb2RpY2FsPjxwYWdlcz4xNDwvcGFn
ZXM+PHZvbHVtZT4xODwvdm9sdW1lPjxudW1iZXI+MTwvbnVtYmVyPjxlZGl0aW9uPjIwMTgvMDEv
MTA8L2VkaXRpb24+PGtleXdvcmRzPjxrZXl3b3JkPkRpYWJldGVzLCBHZXN0YXRpb25hbC9lcGlk
ZW1pb2xvZ3k8L2tleXdvcmQ+PGtleXdvcmQ+RmVtYWxlPC9rZXl3b3JkPjxrZXl3b3JkPkh1bWFu
czwva2V5d29yZD48a2V5d29yZD4qUHJlYmlvdGljczwva2V5d29yZD48a2V5d29yZD5QcmVnbmFu
Y3k8L2tleXdvcmQ+PGtleXdvcmQ+KlByZWduYW5jeSBPdXRjb21lPC9rZXl3b3JkPjxrZXl3b3Jk
PlByZW1hdHVyZSBCaXJ0aC8qZXBpZGVtaW9sb2d5PC9rZXl3b3JkPjxrZXl3b3JkPlByb2Jpb3Rp
Y3MvKnRoZXJhcGV1dGljIHVzZTwva2V5d29yZD48a2V5d29yZD5SYW5kb21pemVkIENvbnRyb2xs
ZWQgVHJpYWxzIGFzIFRvcGljPC9rZXl3b3JkPjxrZXl3b3JkPipQcmVnbmFuY3k8L2tleXdvcmQ+
PGtleXdvcmQ+KlByZXRlcm0gYmlydGg8L2tleXdvcmQ+PGtleXdvcmQ+KlByb2Jpb3RpY3M8L2tl
eXdvcmQ+PGtleXdvcmQ+KlN5bmJpb3RpY3M8L2tleXdvcmQ+PC9rZXl3b3Jkcz48ZGF0ZXM+PHll
YXI+MjAxODwveWVhcj48cHViLWRhdGVzPjxkYXRlPkphbiA4PC9kYXRlPjwvcHViLWRhdGVzPjwv
ZGF0ZXM+PGlzYm4+MTQ3MS0yMzkzIChFbGVjdHJvbmljKSYjeEQ7MTQ3MS0yMzkzIChMaW5raW5n
KTwvaXNibj48YWNjZXNzaW9uLW51bT4yOTMxMDYxMDwvYWNjZXNzaW9uLW51bT48dXJscz48cmVs
YXRlZC11cmxzPjx1cmw+aHR0cHM6Ly93d3cubmNiaS5ubG0ubmloLmdvdi9wdWJtZWQvMjkzMTA2
MTA8L3VybD48L3JlbGF0ZWQtdXJscz48L3VybHM+PGN1c3RvbTI+UE1DNTc1OTIxMjwvY3VzdG9t
Mj48ZWxlY3Ryb25pYy1yZXNvdXJjZS1udW0+MTAuMTE4Ni9zMTI4ODQtMDE3LTE2MjktNTwvZWxl
Y3Ryb25pYy1yZXNvdXJjZS1udW0+PC9yZWNvcmQ+PC9DaXRlPjxDaXRlPjxBdXRob3I+SGFuPC9B
dXRob3I+PFllYXI+MjAxOTwvWWVhcj48UmVjTnVtPjE2NTU8L1JlY051bT48cmVjb3JkPjxyZWMt
bnVtYmVyPjE2NTU8L3JlYy1udW1iZXI+PGZvcmVpZ24ta2V5cz48a2V5IGFwcD0iRU4iIGRiLWlk
PSJleHZhc3JmeDJkdHJhb2VzYXN4cDJzenN4YTJkZjUwMjU5MngiIHRpbWVzdGFtcD0iMTU4MTMx
Mjc0MiI+MTY1NTwva2V5PjxrZXkgYXBwPSJFTldlYiIgZGItaWQ9IiI+MDwva2V5PjwvZm9yZWln
bi1rZXlzPjxyZWYtdHlwZSBuYW1lPSJKb3VybmFsIEFydGljbGUiPjE3PC9yZWYtdHlwZT48Y29u
dHJpYnV0b3JzPjxhdXRob3JzPjxhdXRob3I+SGFuLCBNLiBNLjwvYXV0aG9yPjxhdXRob3I+U3Vu
LCBKLiBGLjwvYXV0aG9yPjxhdXRob3I+U3UsIFguIEguPC9hdXRob3I+PGF1dGhvcj5QZW5nLCBZ
LiBGLjwvYXV0aG9yPjxhdXRob3I+R295YWwsIEguPC9hdXRob3I+PGF1dGhvcj5XdSwgQy4gSC48
L2F1dGhvcj48YXV0aG9yPlpodSwgWC4gWS48L2F1dGhvcj48YXV0aG9yPkxpLCBMLjwvYXV0aG9y
PjwvYXV0aG9ycz48L2NvbnRyaWJ1dG9ycz48YXV0aC1hZGRyZXNzPkRlcGFydG1lbnQgb2YgRW5k
b2NyaW5vbG9neSwgWmhvbmdkYSBIb3NwaXRhbCwgU2Nob29sIG9mIE1lZGljaW5lLCBTb3V0aGVh
c3QgVW5pdmVyc2l0eSwgTmFuamluZyAyMTAwMDksIENoaW5hLiYjeEQ7UGFuY3JlYXRpYyBSZXNl
YXJjaCBJbnN0aXR1dGUsIE1pbmlzdHJ5IG9mIEVkdWNhdGlvbiwgU2Nob29sIG9mIFB1YmxpYyBI
ZWFsdGgsIFNvdXRoZWFzdCBVbml2ZXJzaXR5LCBOYW5qaW5nIDIxMDAwOSwgQ2hpbmEuJiN4RDtL
ZXkgTGFib3JhdG9yeSBvZiBFbnZpcm9ubWVudGFsIE1lZGljaW5lIEVuZ2luZWVyaW5nLCBNaW5p
c3RyeSBvZiBFZHVjYXRpb24sIFNjaG9vbCBvZiBQdWJsaWMgSGVhbHRoLCBTb3V0aGVhc3QgVW5p
dmVyc2l0eSwgTmFuamluZyAyMTAwMDksIENoaW5hLiYjeEQ7RGVwYXJ0bWVudCBvZiBFbmRvY3Jp
bm9sb2d5LCB0aGUgRmlyc3QgQWZmaWxpYXRlZCBIb3NwaXRhbCBvZiB0aGUgTWVkaWNhbCBDb2xs
ZWdlLCBTaGloZXppIFVuaXZlcnNpdHksIFNoaWhlemkgODMyMDAzLCBDaGluYS4mI3hEO0RlcGFy
dG1lbnQgb2YgSW50ZXJuYWwgTWVkaWNpbmUsIFNjaG9vbCBvZiBNZWRpY2luZSwgTWVyY2VyIFVu
aXZlcnNpdHksIE1hY29uLCBVU0EuJiN4RDtEZXBhcnRtZW50IG9mIEdlbmVyYWwgbWVkaWNpbmUs
IFpob25nZGEgSG9zcGl0YWwsIFNjaG9vbCBvZiBNZWRpY2luZSwgU291dGhlYXN0IFVuaXZlcnNp
dHksIE5hbmppbmcgMjEwMDA5LCBDaGluYS48L2F1dGgtYWRkcmVzcz48dGl0bGVzPjx0aXRsZT5Q
cm9iaW90aWNzIGltcHJvdmUgZ2x1Y29zZSBhbmQgbGlwaWQgbWV0YWJvbGlzbSBpbiBwcmVnbmFu
dCB3b21lbjogYSBtZXRhLWFuYWx5c2lzPC90aXRsZT48c2Vjb25kYXJ5LXRpdGxlPkFubiBUcmFu
c2wgTWVkPC9zZWNvbmRhcnktdGl0bGU+PC90aXRsZXM+PHBlcmlvZGljYWw+PGZ1bGwtdGl0bGU+
QW5uIFRyYW5zbCBNZWQ8L2Z1bGwtdGl0bGU+PC9wZXJpb2RpY2FsPjxwYWdlcz45OTwvcGFnZXM+
PHZvbHVtZT43PC92b2x1bWU+PG51bWJlcj41PC9udW1iZXI+PGVkaXRpb24+MjAxOS8wNC8yNjwv
ZWRpdGlvbj48a2V5d29yZHM+PGtleXdvcmQ+UHJlZ25hbmN5PC9rZXl3b3JkPjxrZXl3b3JkPmdl
c3RhdGlvbmFsIGRpYWJldGVzIG1lbGxpdHVzIChHRE0pPC9rZXl3b3JkPjxrZXl3b3JkPmdseWNv
bWV0YWJvbGlzbTwva2V5d29yZD48a2V5d29yZD5ndXQgbWljcm9iaW90YTwva2V5d29yZD48a2V5
d29yZD5saXBpZCBwcm9maWxlPC9rZXl3b3JkPjxrZXl3b3JkPnByb2Jpb3RpY3M8L2tleXdvcmQ+
PC9rZXl3b3Jkcz48ZGF0ZXM+PHllYXI+MjAxOTwveWVhcj48cHViLWRhdGVzPjxkYXRlPk1hcjwv
ZGF0ZT48L3B1Yi1kYXRlcz48L2RhdGVzPjxpc2JuPjIzMDUtNTgzOSAoUHJpbnQpJiN4RDsyMzA1
LTU4MzkgKExpbmtpbmcpPC9pc2JuPjxhY2Nlc3Npb24tbnVtPjMxMDE5OTQ5PC9hY2Nlc3Npb24t
bnVtPjx1cmxzPjxyZWxhdGVkLXVybHM+PHVybD5odHRwczovL3d3dy5uY2JpLm5sbS5uaWguZ292
L3B1Ym1lZC8zMTAxOTk0OTwvdXJsPjwvcmVsYXRlZC11cmxzPjwvdXJscz48Y3VzdG9tMj5QTUM2
NDYyNjYxPC9jdXN0b20yPjxlbGVjdHJvbmljLXJlc291cmNlLW51bT4xMC4yMTAzNy9hdG0uMjAx
OS4wMS42MTwvZWxlY3Ryb25pYy1yZXNvdXJjZS1udW0+PC9yZWNvcmQ+PC9DaXRlPjwvRW5kTm90
ZT5=
</w:fldData>
        </w:fldChar>
      </w:r>
      <w:r w:rsidR="002747EA">
        <w:instrText xml:space="preserve"> ADDIN EN.CITE </w:instrText>
      </w:r>
      <w:r w:rsidR="002747EA">
        <w:fldChar w:fldCharType="begin">
          <w:fldData xml:space="preserve">PEVuZE5vdGU+PENpdGU+PEF1dGhvcj5HcmV2PC9BdXRob3I+PFllYXI+MjAxODwvWWVhcj48UmVj
TnVtPjE2NTQ8L1JlY051bT48RGlzcGxheVRleHQ+PHN0eWxlIGZhY2U9InN1cGVyc2NyaXB0IiBm
b250PSJUcmVidWNoZXQgTVMiIHNpemU9IjkiPjIyNS0yMjc8L3N0eWxlPjwvRGlzcGxheVRleHQ+
PHJlY29yZD48cmVjLW51bWJlcj4xNjU0PC9yZWMtbnVtYmVyPjxmb3JlaWduLWtleXM+PGtleSBh
cHA9IkVOIiBkYi1pZD0iZXh2YXNyZngyZHRyYW9lc2FzeHAyc3pzeGEyZGY1MDI1OTJ4IiB0aW1l
c3RhbXA9IjE1ODEzMTI3MzQiPjE2NTQ8L2tleT48a2V5IGFwcD0iRU5XZWIiIGRiLWlkPSIiPjA8
L2tleT48L2ZvcmVpZ24ta2V5cz48cmVmLXR5cGUgbmFtZT0iSm91cm5hbCBBcnRpY2xlIj4xNzwv
cmVmLXR5cGU+PGNvbnRyaWJ1dG9ycz48YXV0aG9ycz48YXV0aG9yPkdyZXYsIEouPC9hdXRob3I+
PGF1dGhvcj5CZXJnLCBNLjwvYXV0aG9yPjxhdXRob3I+U29sbCwgUi48L2F1dGhvcj48L2F1dGhv
cnM+PC9jb250cmlidXRvcnM+PGF1dGgtYWRkcmVzcz5Vbml2ZXJzaXR5IG9mIFZlcm1vbnQgTWVk
aWNhbCBDZW50ZXIsIEJ1cmxpbmd0b24gVlQsIFVTQS48L2F1dGgtYWRkcmVzcz48dGl0bGVzPjx0
aXRsZT5NYXRlcm5hbCBwcm9iaW90aWMgc3VwcGxlbWVudGF0aW9uIGZvciBwcmV2ZW50aW9uIG9m
IG1vcmJpZGl0eSBhbmQgbW9ydGFsaXR5IGluIHByZXRlcm0gaW5mYW50czwvdGl0bGU+PHNlY29u
ZGFyeS10aXRsZT5Db2NocmFuZSBEYXRhYmFzZSBTeXN0IFJldjwvc2Vjb25kYXJ5LXRpdGxlPjwv
dGl0bGVzPjxwZXJpb2RpY2FsPjxmdWxsLXRpdGxlPkNvY2hyYW5lIERhdGFiYXNlIFN5c3QgUmV2
PC9mdWxsLXRpdGxlPjwvcGVyaW9kaWNhbD48cGFnZXM+Q0QwMTI1MTk8L3BhZ2VzPjx2b2x1bWU+
MTI8L3ZvbHVtZT48ZWRpdGlvbj4yMDE4LzEyLzE1PC9lZGl0aW9uPjxrZXl3b3Jkcz48a2V5d29y
ZD5BZG1pbmlzdHJhdGlvbiwgT3JhbDwva2V5d29yZD48a2V5d29yZD5FbnRlcm9jb2xpdGlzLCBO
ZWNyb3RpemluZy8qcHJldmVudGlvbiAmYW1wOyBjb250cm9sPC9rZXl3b3JkPjxrZXl3b3JkPkdh
c3Ryb2ludGVzdGluYWwgTWljcm9iaW9tZTwva2V5d29yZD48a2V5d29yZD5IdW1hbnM8L2tleXdv
cmQ+PGtleXdvcmQ+SW5mYW50PC9rZXl3b3JkPjxrZXl3b3JkPkluZmFudCBNb3J0YWxpdHk8L2tl
eXdvcmQ+PGtleXdvcmQ+SW5mYW50LCBOZXdib3JuPC9rZXl3b3JkPjxrZXl3b3JkPipJbmZhbnQs
IFByZW1hdHVyZTwva2V5d29yZD48a2V5d29yZD5JbmZhbnQsIFByZW1hdHVyZSwgRGlzZWFzZXMv
KnByZXZlbnRpb24gJmFtcDsgY29udHJvbDwva2V5d29yZD48a2V5d29yZD5JbmZsYW1tYXRpb248
L2tleXdvcmQ+PGtleXdvcmQ+TW9yYmlkaXR5PC9rZXl3b3JkPjxrZXl3b3JkPipNb3RoZXJzPC9r
ZXl3b3JkPjxrZXl3b3JkPlByZW5hdGFsIENhcmU8L2tleXdvcmQ+PGtleXdvcmQ+UHJvYmlvdGlj
cy8qYWRtaW5pc3RyYXRpb24gJmFtcDsgZG9zYWdlPC9rZXl3b3JkPjxrZXl3b3JkPlJhbmRvbWl6
ZWQgQ29udHJvbGxlZCBUcmlhbHMgYXMgVG9waWM8L2tleXdvcmQ+PC9rZXl3b3Jkcz48ZGF0ZXM+
PHllYXI+MjAxODwveWVhcj48cHViLWRhdGVzPjxkYXRlPkRlYyAxMjwvZGF0ZT48L3B1Yi1kYXRl
cz48L2RhdGVzPjxpc2JuPjE0NjktNDkzWCAoRWxlY3Ryb25pYykmI3hEOzEzNjEtNjEzNyAoTGlu
a2luZyk8L2lzYm4+PGFjY2Vzc2lvbi1udW0+MzA1NDg0ODM8L2FjY2Vzc2lvbi1udW0+PHVybHM+
PHJlbGF0ZWQtdXJscz48dXJsPmh0dHBzOi8vd3d3Lm5jYmkubmxtLm5paC5nb3YvcHVibWVkLzMw
NTQ4NDgzPC91cmw+PC9yZWxhdGVkLXVybHM+PC91cmxzPjxjdXN0b20yPlBNQzY1MTY5OTk8L2N1
c3RvbTI+PGVsZWN0cm9uaWMtcmVzb3VyY2UtbnVtPjEwLjEwMDIvMTQ2NTE4NTguQ0QwMTI1MTku
cHViMjwvZWxlY3Ryb25pYy1yZXNvdXJjZS1udW0+PC9yZWNvcmQ+PC9DaXRlPjxDaXRlPjxBdXRo
b3I+SmFyZGU8L0F1dGhvcj48WWVhcj4yMDE4PC9ZZWFyPjxSZWNOdW0+MTY1OTwvUmVjTnVtPjxy
ZWNvcmQ+PHJlYy1udW1iZXI+MTY1OTwvcmVjLW51bWJlcj48Zm9yZWlnbi1rZXlzPjxrZXkgYXBw
PSJFTiIgZGItaWQ9ImV4dmFzcmZ4MmR0cmFvZXNhc3hwMnN6c3hhMmRmNTAyNTkyeCIgdGltZXN0
YW1wPSIxNTgxMzEyNzY0Ij4xNjU5PC9rZXk+PGtleSBhcHA9IkVOV2ViIiBkYi1pZD0iIj4wPC9r
ZXk+PC9mb3JlaWduLWtleXM+PHJlZi10eXBlIG5hbWU9IkpvdXJuYWwgQXJ0aWNsZSI+MTc8L3Jl
Zi10eXBlPjxjb250cmlidXRvcnM+PGF1dGhvcnM+PGF1dGhvcj5KYXJkZSwgQS48L2F1dGhvcj48
YXV0aG9yPkxld2lzLU1pa2hhZWwsIEEuIE0uPC9hdXRob3I+PGF1dGhvcj5Nb2F5eWVkaSwgUC48
L2F1dGhvcj48YXV0aG9yPlN0ZWFybnMsIEouIEMuPC9hdXRob3I+PGF1dGhvcj5Db2xsaW5zLCBT
LiBNLjwvYXV0aG9yPjxhdXRob3I+QmV5ZW5lLCBKLjwvYXV0aG9yPjxhdXRob3I+TWNEb25hbGQs
IFMuIEQuPC9hdXRob3I+PC9hdXRob3JzPjwvY29udHJpYnV0b3JzPjxhdXRoLWFkZHJlc3M+RGVw
YXJ0bWVudCBvZiBPYnN0ZXRyaWNzIGFuZCBHeW5lY29sb2d5LCBNY01hc3RlciBVbml2ZXJzaXR5
LCAxMjgwIE1haW4gU3RyZWV0IFdlc3QsIEhhbWlsdG9uLCBPTiwgTDhTIDRLMSwgQ2FuYWRhLiBq
YXJkZUBtY21hc3Rlci5jYS4mI3hEO0RlcGFydG1lbnQgb2YgT2JzdGV0cmljcyBhbmQgR3luZWNv
bG9neSwgTWNNYXN0ZXIgVW5pdmVyc2l0eSwgMTI4MCBNYWluIFN0cmVldCBXZXN0LCBIYW1pbHRv
biwgT04sIEw4UyA0SzEsIENhbmFkYS4mI3hEO0RlcGFydG1lbnQgb2YgTWVkaWNpbmUsIEdhc3Ry
b2VudGVyb2xvZ3kgRGl2aXNpb24sIE1jTWFzdGVyIFVuaXZlcnNpdHksIEhhbWlsdG9uLCBPTiwg
Q2FuYWRhLiYjeEQ7RmFybmNvbWJlIEZhbWlseSBEaWdlc3RpdmUgSGVhbHRoIFJlc2VhcmNoIElu
c3RpdHV0ZSwgTWNNYXN0ZXIgVW5pdmVyc2l0eSwgSGFtaWx0b24sIE9OLCBDYW5hZGEuJiN4RDtG
YXJuY29tYmUgRmFtaWx5IERpZ2VzdGl2ZSBIZWFsdGggUmVzZWFyY2ggSW5zdGl0dXRlLCBEZXBh
cnRtZW50IG9mIE1lZGljaW5lLCBNY01hc3RlciBVbml2ZXJzaXR5LCBIYW1pbHRvbiwgT04sIENh
bmFkYS4mI3hEO0RlcGFydG1lbnQgb2YgQ2xpbmljYWwgRXBpZGVtaW9sb2d5IGFuZCBCaW9zdGF0
aXN0aWNzLCBNY01hc3RlciBVbml2ZXJzaXR5LCBIYW1pbHRvbiwgT04sIENhbmFkYS48L2F1dGgt
YWRkcmVzcz48dGl0bGVzPjx0aXRsZT5QcmVnbmFuY3kgb3V0Y29tZXMgaW4gd29tZW4gdGFraW5n
IHByb2Jpb3RpY3Mgb3IgcHJlYmlvdGljczogYSBzeXN0ZW1hdGljIHJldmlldyBhbmQgbWV0YS1h
bmFseXNpczwvdGl0bGU+PHNlY29uZGFyeS10aXRsZT5CTUMgUHJlZ25hbmN5IENoaWxkYmlydGg8
L3NlY29uZGFyeS10aXRsZT48L3RpdGxlcz48cGVyaW9kaWNhbD48ZnVsbC10aXRsZT5CTUMgUHJl
Z25hbmN5IENoaWxkYmlydGg8L2Z1bGwtdGl0bGU+PC9wZXJpb2RpY2FsPjxwYWdlcz4xNDwvcGFn
ZXM+PHZvbHVtZT4xODwvdm9sdW1lPjxudW1iZXI+MTwvbnVtYmVyPjxlZGl0aW9uPjIwMTgvMDEv
MTA8L2VkaXRpb24+PGtleXdvcmRzPjxrZXl3b3JkPkRpYWJldGVzLCBHZXN0YXRpb25hbC9lcGlk
ZW1pb2xvZ3k8L2tleXdvcmQ+PGtleXdvcmQ+RmVtYWxlPC9rZXl3b3JkPjxrZXl3b3JkPkh1bWFu
czwva2V5d29yZD48a2V5d29yZD4qUHJlYmlvdGljczwva2V5d29yZD48a2V5d29yZD5QcmVnbmFu
Y3k8L2tleXdvcmQ+PGtleXdvcmQ+KlByZWduYW5jeSBPdXRjb21lPC9rZXl3b3JkPjxrZXl3b3Jk
PlByZW1hdHVyZSBCaXJ0aC8qZXBpZGVtaW9sb2d5PC9rZXl3b3JkPjxrZXl3b3JkPlByb2Jpb3Rp
Y3MvKnRoZXJhcGV1dGljIHVzZTwva2V5d29yZD48a2V5d29yZD5SYW5kb21pemVkIENvbnRyb2xs
ZWQgVHJpYWxzIGFzIFRvcGljPC9rZXl3b3JkPjxrZXl3b3JkPipQcmVnbmFuY3k8L2tleXdvcmQ+
PGtleXdvcmQ+KlByZXRlcm0gYmlydGg8L2tleXdvcmQ+PGtleXdvcmQ+KlByb2Jpb3RpY3M8L2tl
eXdvcmQ+PGtleXdvcmQ+KlN5bmJpb3RpY3M8L2tleXdvcmQ+PC9rZXl3b3Jkcz48ZGF0ZXM+PHll
YXI+MjAxODwveWVhcj48cHViLWRhdGVzPjxkYXRlPkphbiA4PC9kYXRlPjwvcHViLWRhdGVzPjwv
ZGF0ZXM+PGlzYm4+MTQ3MS0yMzkzIChFbGVjdHJvbmljKSYjeEQ7MTQ3MS0yMzkzIChMaW5raW5n
KTwvaXNibj48YWNjZXNzaW9uLW51bT4yOTMxMDYxMDwvYWNjZXNzaW9uLW51bT48dXJscz48cmVs
YXRlZC11cmxzPjx1cmw+aHR0cHM6Ly93d3cubmNiaS5ubG0ubmloLmdvdi9wdWJtZWQvMjkzMTA2
MTA8L3VybD48L3JlbGF0ZWQtdXJscz48L3VybHM+PGN1c3RvbTI+UE1DNTc1OTIxMjwvY3VzdG9t
Mj48ZWxlY3Ryb25pYy1yZXNvdXJjZS1udW0+MTAuMTE4Ni9zMTI4ODQtMDE3LTE2MjktNTwvZWxl
Y3Ryb25pYy1yZXNvdXJjZS1udW0+PC9yZWNvcmQ+PC9DaXRlPjxDaXRlPjxBdXRob3I+SGFuPC9B
dXRob3I+PFllYXI+MjAxOTwvWWVhcj48UmVjTnVtPjE2NTU8L1JlY051bT48cmVjb3JkPjxyZWMt
bnVtYmVyPjE2NTU8L3JlYy1udW1iZXI+PGZvcmVpZ24ta2V5cz48a2V5IGFwcD0iRU4iIGRiLWlk
PSJleHZhc3JmeDJkdHJhb2VzYXN4cDJzenN4YTJkZjUwMjU5MngiIHRpbWVzdGFtcD0iMTU4MTMx
Mjc0MiI+MTY1NTwva2V5PjxrZXkgYXBwPSJFTldlYiIgZGItaWQ9IiI+MDwva2V5PjwvZm9yZWln
bi1rZXlzPjxyZWYtdHlwZSBuYW1lPSJKb3VybmFsIEFydGljbGUiPjE3PC9yZWYtdHlwZT48Y29u
dHJpYnV0b3JzPjxhdXRob3JzPjxhdXRob3I+SGFuLCBNLiBNLjwvYXV0aG9yPjxhdXRob3I+U3Vu
LCBKLiBGLjwvYXV0aG9yPjxhdXRob3I+U3UsIFguIEguPC9hdXRob3I+PGF1dGhvcj5QZW5nLCBZ
LiBGLjwvYXV0aG9yPjxhdXRob3I+R295YWwsIEguPC9hdXRob3I+PGF1dGhvcj5XdSwgQy4gSC48
L2F1dGhvcj48YXV0aG9yPlpodSwgWC4gWS48L2F1dGhvcj48YXV0aG9yPkxpLCBMLjwvYXV0aG9y
PjwvYXV0aG9ycz48L2NvbnRyaWJ1dG9ycz48YXV0aC1hZGRyZXNzPkRlcGFydG1lbnQgb2YgRW5k
b2NyaW5vbG9neSwgWmhvbmdkYSBIb3NwaXRhbCwgU2Nob29sIG9mIE1lZGljaW5lLCBTb3V0aGVh
c3QgVW5pdmVyc2l0eSwgTmFuamluZyAyMTAwMDksIENoaW5hLiYjeEQ7UGFuY3JlYXRpYyBSZXNl
YXJjaCBJbnN0aXR1dGUsIE1pbmlzdHJ5IG9mIEVkdWNhdGlvbiwgU2Nob29sIG9mIFB1YmxpYyBI
ZWFsdGgsIFNvdXRoZWFzdCBVbml2ZXJzaXR5LCBOYW5qaW5nIDIxMDAwOSwgQ2hpbmEuJiN4RDtL
ZXkgTGFib3JhdG9yeSBvZiBFbnZpcm9ubWVudGFsIE1lZGljaW5lIEVuZ2luZWVyaW5nLCBNaW5p
c3RyeSBvZiBFZHVjYXRpb24sIFNjaG9vbCBvZiBQdWJsaWMgSGVhbHRoLCBTb3V0aGVhc3QgVW5p
dmVyc2l0eSwgTmFuamluZyAyMTAwMDksIENoaW5hLiYjeEQ7RGVwYXJ0bWVudCBvZiBFbmRvY3Jp
bm9sb2d5LCB0aGUgRmlyc3QgQWZmaWxpYXRlZCBIb3NwaXRhbCBvZiB0aGUgTWVkaWNhbCBDb2xs
ZWdlLCBTaGloZXppIFVuaXZlcnNpdHksIFNoaWhlemkgODMyMDAzLCBDaGluYS4mI3hEO0RlcGFy
dG1lbnQgb2YgSW50ZXJuYWwgTWVkaWNpbmUsIFNjaG9vbCBvZiBNZWRpY2luZSwgTWVyY2VyIFVu
aXZlcnNpdHksIE1hY29uLCBVU0EuJiN4RDtEZXBhcnRtZW50IG9mIEdlbmVyYWwgbWVkaWNpbmUs
IFpob25nZGEgSG9zcGl0YWwsIFNjaG9vbCBvZiBNZWRpY2luZSwgU291dGhlYXN0IFVuaXZlcnNp
dHksIE5hbmppbmcgMjEwMDA5LCBDaGluYS48L2F1dGgtYWRkcmVzcz48dGl0bGVzPjx0aXRsZT5Q
cm9iaW90aWNzIGltcHJvdmUgZ2x1Y29zZSBhbmQgbGlwaWQgbWV0YWJvbGlzbSBpbiBwcmVnbmFu
dCB3b21lbjogYSBtZXRhLWFuYWx5c2lzPC90aXRsZT48c2Vjb25kYXJ5LXRpdGxlPkFubiBUcmFu
c2wgTWVkPC9zZWNvbmRhcnktdGl0bGU+PC90aXRsZXM+PHBlcmlvZGljYWw+PGZ1bGwtdGl0bGU+
QW5uIFRyYW5zbCBNZWQ8L2Z1bGwtdGl0bGU+PC9wZXJpb2RpY2FsPjxwYWdlcz45OTwvcGFnZXM+
PHZvbHVtZT43PC92b2x1bWU+PG51bWJlcj41PC9udW1iZXI+PGVkaXRpb24+MjAxOS8wNC8yNjwv
ZWRpdGlvbj48a2V5d29yZHM+PGtleXdvcmQ+UHJlZ25hbmN5PC9rZXl3b3JkPjxrZXl3b3JkPmdl
c3RhdGlvbmFsIGRpYWJldGVzIG1lbGxpdHVzIChHRE0pPC9rZXl3b3JkPjxrZXl3b3JkPmdseWNv
bWV0YWJvbGlzbTwva2V5d29yZD48a2V5d29yZD5ndXQgbWljcm9iaW90YTwva2V5d29yZD48a2V5
d29yZD5saXBpZCBwcm9maWxlPC9rZXl3b3JkPjxrZXl3b3JkPnByb2Jpb3RpY3M8L2tleXdvcmQ+
PC9rZXl3b3Jkcz48ZGF0ZXM+PHllYXI+MjAxOTwveWVhcj48cHViLWRhdGVzPjxkYXRlPk1hcjwv
ZGF0ZT48L3B1Yi1kYXRlcz48L2RhdGVzPjxpc2JuPjIzMDUtNTgzOSAoUHJpbnQpJiN4RDsyMzA1
LTU4MzkgKExpbmtpbmcpPC9pc2JuPjxhY2Nlc3Npb24tbnVtPjMxMDE5OTQ5PC9hY2Nlc3Npb24t
bnVtPjx1cmxzPjxyZWxhdGVkLXVybHM+PHVybD5odHRwczovL3d3dy5uY2JpLm5sbS5uaWguZ292
L3B1Ym1lZC8zMTAxOTk0OTwvdXJsPjwvcmVsYXRlZC11cmxzPjwvdXJscz48Y3VzdG9tMj5QTUM2
NDYyNjYxPC9jdXN0b20yPjxlbGVjdHJvbmljLXJlc291cmNlLW51bT4xMC4yMTAzNy9hdG0uMjAx
OS4wMS42MTwvZWxlY3Ryb25pYy1yZXNvdXJjZS1udW0+PC9yZWNvcmQ+PC9DaXRlPjwvRW5kTm90
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225-227</w:t>
      </w:r>
      <w:r w:rsidR="00AB21E2">
        <w:fldChar w:fldCharType="end"/>
      </w:r>
      <w:r w:rsidR="00513E14">
        <w:t xml:space="preserve"> caesarean section</w:t>
      </w:r>
      <w:r w:rsidR="00AB21E2">
        <w:fldChar w:fldCharType="begin">
          <w:fldData xml:space="preserve">PEVuZE5vdGU+PENpdGU+PEF1dGhvcj5KYXJkZTwvQXV0aG9yPjxZZWFyPjIwMTg8L1llYXI+PFJl
Y051bT4xNjU5PC9SZWNOdW0+PERpc3BsYXlUZXh0PjxzdHlsZSBmYWNlPSJzdXBlcnNjcmlwdCIg
Zm9udD0iVHJlYnVjaGV0IE1TIiBzaXplPSI5Ij4yMjUsMjI3PC9zdHlsZT48L0Rpc3BsYXlUZXh0
PjxyZWNvcmQ+PHJlYy1udW1iZXI+MTY1OTwvcmVjLW51bWJlcj48Zm9yZWlnbi1rZXlzPjxrZXkg
YXBwPSJFTiIgZGItaWQ9ImV4dmFzcmZ4MmR0cmFvZXNhc3hwMnN6c3hhMmRmNTAyNTkyeCIgdGlt
ZXN0YW1wPSIxNTgxMzEyNzY0Ij4xNjU5PC9rZXk+PGtleSBhcHA9IkVOV2ViIiBkYi1pZD0iIj4w
PC9rZXk+PC9mb3JlaWduLWtleXM+PHJlZi10eXBlIG5hbWU9IkpvdXJuYWwgQXJ0aWNsZSI+MTc8
L3JlZi10eXBlPjxjb250cmlidXRvcnM+PGF1dGhvcnM+PGF1dGhvcj5KYXJkZSwgQS48L2F1dGhv
cj48YXV0aG9yPkxld2lzLU1pa2hhZWwsIEEuIE0uPC9hdXRob3I+PGF1dGhvcj5Nb2F5eWVkaSwg
UC48L2F1dGhvcj48YXV0aG9yPlN0ZWFybnMsIEouIEMuPC9hdXRob3I+PGF1dGhvcj5Db2xsaW5z
LCBTLiBNLjwvYXV0aG9yPjxhdXRob3I+QmV5ZW5lLCBKLjwvYXV0aG9yPjxhdXRob3I+TWNEb25h
bGQsIFMuIEQuPC9hdXRob3I+PC9hdXRob3JzPjwvY29udHJpYnV0b3JzPjxhdXRoLWFkZHJlc3M+
RGVwYXJ0bWVudCBvZiBPYnN0ZXRyaWNzIGFuZCBHeW5lY29sb2d5LCBNY01hc3RlciBVbml2ZXJz
aXR5LCAxMjgwIE1haW4gU3RyZWV0IFdlc3QsIEhhbWlsdG9uLCBPTiwgTDhTIDRLMSwgQ2FuYWRh
LiBqYXJkZUBtY21hc3Rlci5jYS4mI3hEO0RlcGFydG1lbnQgb2YgT2JzdGV0cmljcyBhbmQgR3lu
ZWNvbG9neSwgTWNNYXN0ZXIgVW5pdmVyc2l0eSwgMTI4MCBNYWluIFN0cmVldCBXZXN0LCBIYW1p
bHRvbiwgT04sIEw4UyA0SzEsIENhbmFkYS4mI3hEO0RlcGFydG1lbnQgb2YgTWVkaWNpbmUsIEdh
c3Ryb2VudGVyb2xvZ3kgRGl2aXNpb24sIE1jTWFzdGVyIFVuaXZlcnNpdHksIEhhbWlsdG9uLCBP
TiwgQ2FuYWRhLiYjeEQ7RmFybmNvbWJlIEZhbWlseSBEaWdlc3RpdmUgSGVhbHRoIFJlc2VhcmNo
IEluc3RpdHV0ZSwgTWNNYXN0ZXIgVW5pdmVyc2l0eSwgSGFtaWx0b24sIE9OLCBDYW5hZGEuJiN4
RDtGYXJuY29tYmUgRmFtaWx5IERpZ2VzdGl2ZSBIZWFsdGggUmVzZWFyY2ggSW5zdGl0dXRlLCBE
ZXBhcnRtZW50IG9mIE1lZGljaW5lLCBNY01hc3RlciBVbml2ZXJzaXR5LCBIYW1pbHRvbiwgT04s
IENhbmFkYS4mI3hEO0RlcGFydG1lbnQgb2YgQ2xpbmljYWwgRXBpZGVtaW9sb2d5IGFuZCBCaW9z
dGF0aXN0aWNzLCBNY01hc3RlciBVbml2ZXJzaXR5LCBIYW1pbHRvbiwgT04sIENhbmFkYS48L2F1
dGgtYWRkcmVzcz48dGl0bGVzPjx0aXRsZT5QcmVnbmFuY3kgb3V0Y29tZXMgaW4gd29tZW4gdGFr
aW5nIHByb2Jpb3RpY3Mgb3IgcHJlYmlvdGljczogYSBzeXN0ZW1hdGljIHJldmlldyBhbmQgbWV0
YS1hbmFseXNpczwvdGl0bGU+PHNlY29uZGFyeS10aXRsZT5CTUMgUHJlZ25hbmN5IENoaWxkYmly
dGg8L3NlY29uZGFyeS10aXRsZT48L3RpdGxlcz48cGVyaW9kaWNhbD48ZnVsbC10aXRsZT5CTUMg
UHJlZ25hbmN5IENoaWxkYmlydGg8L2Z1bGwtdGl0bGU+PC9wZXJpb2RpY2FsPjxwYWdlcz4xNDwv
cGFnZXM+PHZvbHVtZT4xODwvdm9sdW1lPjxudW1iZXI+MTwvbnVtYmVyPjxlZGl0aW9uPjIwMTgv
MDEvMTA8L2VkaXRpb24+PGtleXdvcmRzPjxrZXl3b3JkPkRpYWJldGVzLCBHZXN0YXRpb25hbC9l
cGlkZW1pb2xvZ3k8L2tleXdvcmQ+PGtleXdvcmQ+RmVtYWxlPC9rZXl3b3JkPjxrZXl3b3JkPkh1
bWFuczwva2V5d29yZD48a2V5d29yZD4qUHJlYmlvdGljczwva2V5d29yZD48a2V5d29yZD5QcmVn
bmFuY3k8L2tleXdvcmQ+PGtleXdvcmQ+KlByZWduYW5jeSBPdXRjb21lPC9rZXl3b3JkPjxrZXl3
b3JkPlByZW1hdHVyZSBCaXJ0aC8qZXBpZGVtaW9sb2d5PC9rZXl3b3JkPjxrZXl3b3JkPlByb2Jp
b3RpY3MvKnRoZXJhcGV1dGljIHVzZTwva2V5d29yZD48a2V5d29yZD5SYW5kb21pemVkIENvbnRy
b2xsZWQgVHJpYWxzIGFzIFRvcGljPC9rZXl3b3JkPjxrZXl3b3JkPipQcmVnbmFuY3k8L2tleXdv
cmQ+PGtleXdvcmQ+KlByZXRlcm0gYmlydGg8L2tleXdvcmQ+PGtleXdvcmQ+KlByb2Jpb3RpY3M8
L2tleXdvcmQ+PGtleXdvcmQ+KlN5bmJpb3RpY3M8L2tleXdvcmQ+PC9rZXl3b3Jkcz48ZGF0ZXM+
PHllYXI+MjAxODwveWVhcj48cHViLWRhdGVzPjxkYXRlPkphbiA4PC9kYXRlPjwvcHViLWRhdGVz
PjwvZGF0ZXM+PGlzYm4+MTQ3MS0yMzkzIChFbGVjdHJvbmljKSYjeEQ7MTQ3MS0yMzkzIChMaW5r
aW5nKTwvaXNibj48YWNjZXNzaW9uLW51bT4yOTMxMDYxMDwvYWNjZXNzaW9uLW51bT48dXJscz48
cmVsYXRlZC11cmxzPjx1cmw+aHR0cHM6Ly93d3cubmNiaS5ubG0ubmloLmdvdi9wdWJtZWQvMjkz
MTA2MTA8L3VybD48L3JlbGF0ZWQtdXJscz48L3VybHM+PGN1c3RvbTI+UE1DNTc1OTIxMjwvY3Vz
dG9tMj48ZWxlY3Ryb25pYy1yZXNvdXJjZS1udW0+MTAuMTE4Ni9zMTI4ODQtMDE3LTE2MjktNTwv
ZWxlY3Ryb25pYy1yZXNvdXJjZS1udW0+PC9yZWNvcmQ+PC9DaXRlPjxDaXRlPjxBdXRob3I+SGFu
PC9BdXRob3I+PFllYXI+MjAxOTwvWWVhcj48UmVjTnVtPjE2NTU8L1JlY051bT48cmVjb3JkPjxy
ZWMtbnVtYmVyPjE2NTU8L3JlYy1udW1iZXI+PGZvcmVpZ24ta2V5cz48a2V5IGFwcD0iRU4iIGRi
LWlkPSJleHZhc3JmeDJkdHJhb2VzYXN4cDJzenN4YTJkZjUwMjU5MngiIHRpbWVzdGFtcD0iMTU4
MTMxMjc0MiI+MTY1NTwva2V5PjxrZXkgYXBwPSJFTldlYiIgZGItaWQ9IiI+MDwva2V5PjwvZm9y
ZWlnbi1rZXlzPjxyZWYtdHlwZSBuYW1lPSJKb3VybmFsIEFydGljbGUiPjE3PC9yZWYtdHlwZT48
Y29udHJpYnV0b3JzPjxhdXRob3JzPjxhdXRob3I+SGFuLCBNLiBNLjwvYXV0aG9yPjxhdXRob3I+
U3VuLCBKLiBGLjwvYXV0aG9yPjxhdXRob3I+U3UsIFguIEguPC9hdXRob3I+PGF1dGhvcj5QZW5n
LCBZLiBGLjwvYXV0aG9yPjxhdXRob3I+R295YWwsIEguPC9hdXRob3I+PGF1dGhvcj5XdSwgQy4g
SC48L2F1dGhvcj48YXV0aG9yPlpodSwgWC4gWS48L2F1dGhvcj48YXV0aG9yPkxpLCBMLjwvYXV0
aG9yPjwvYXV0aG9ycz48L2NvbnRyaWJ1dG9ycz48YXV0aC1hZGRyZXNzPkRlcGFydG1lbnQgb2Yg
RW5kb2NyaW5vbG9neSwgWmhvbmdkYSBIb3NwaXRhbCwgU2Nob29sIG9mIE1lZGljaW5lLCBTb3V0
aGVhc3QgVW5pdmVyc2l0eSwgTmFuamluZyAyMTAwMDksIENoaW5hLiYjeEQ7UGFuY3JlYXRpYyBS
ZXNlYXJjaCBJbnN0aXR1dGUsIE1pbmlzdHJ5IG9mIEVkdWNhdGlvbiwgU2Nob29sIG9mIFB1Ymxp
YyBIZWFsdGgsIFNvdXRoZWFzdCBVbml2ZXJzaXR5LCBOYW5qaW5nIDIxMDAwOSwgQ2hpbmEuJiN4
RDtLZXkgTGFib3JhdG9yeSBvZiBFbnZpcm9ubWVudGFsIE1lZGljaW5lIEVuZ2luZWVyaW5nLCBN
aW5pc3RyeSBvZiBFZHVjYXRpb24sIFNjaG9vbCBvZiBQdWJsaWMgSGVhbHRoLCBTb3V0aGVhc3Qg
VW5pdmVyc2l0eSwgTmFuamluZyAyMTAwMDksIENoaW5hLiYjeEQ7RGVwYXJ0bWVudCBvZiBFbmRv
Y3Jpbm9sb2d5LCB0aGUgRmlyc3QgQWZmaWxpYXRlZCBIb3NwaXRhbCBvZiB0aGUgTWVkaWNhbCBD
b2xsZWdlLCBTaGloZXppIFVuaXZlcnNpdHksIFNoaWhlemkgODMyMDAzLCBDaGluYS4mI3hEO0Rl
cGFydG1lbnQgb2YgSW50ZXJuYWwgTWVkaWNpbmUsIFNjaG9vbCBvZiBNZWRpY2luZSwgTWVyY2Vy
IFVuaXZlcnNpdHksIE1hY29uLCBVU0EuJiN4RDtEZXBhcnRtZW50IG9mIEdlbmVyYWwgbWVkaWNp
bmUsIFpob25nZGEgSG9zcGl0YWwsIFNjaG9vbCBvZiBNZWRpY2luZSwgU291dGhlYXN0IFVuaXZl
cnNpdHksIE5hbmppbmcgMjEwMDA5LCBDaGluYS48L2F1dGgtYWRkcmVzcz48dGl0bGVzPjx0aXRs
ZT5Qcm9iaW90aWNzIGltcHJvdmUgZ2x1Y29zZSBhbmQgbGlwaWQgbWV0YWJvbGlzbSBpbiBwcmVn
bmFudCB3b21lbjogYSBtZXRhLWFuYWx5c2lzPC90aXRsZT48c2Vjb25kYXJ5LXRpdGxlPkFubiBU
cmFuc2wgTWVkPC9zZWNvbmRhcnktdGl0bGU+PC90aXRsZXM+PHBlcmlvZGljYWw+PGZ1bGwtdGl0
bGU+QW5uIFRyYW5zbCBNZWQ8L2Z1bGwtdGl0bGU+PC9wZXJpb2RpY2FsPjxwYWdlcz45OTwvcGFn
ZXM+PHZvbHVtZT43PC92b2x1bWU+PG51bWJlcj41PC9udW1iZXI+PGVkaXRpb24+MjAxOS8wNC8y
NjwvZWRpdGlvbj48a2V5d29yZHM+PGtleXdvcmQ+UHJlZ25hbmN5PC9rZXl3b3JkPjxrZXl3b3Jk
Pmdlc3RhdGlvbmFsIGRpYWJldGVzIG1lbGxpdHVzIChHRE0pPC9rZXl3b3JkPjxrZXl3b3JkPmds
eWNvbWV0YWJvbGlzbTwva2V5d29yZD48a2V5d29yZD5ndXQgbWljcm9iaW90YTwva2V5d29yZD48
a2V5d29yZD5saXBpZCBwcm9maWxlPC9rZXl3b3JkPjxrZXl3b3JkPnByb2Jpb3RpY3M8L2tleXdv
cmQ+PC9rZXl3b3Jkcz48ZGF0ZXM+PHllYXI+MjAxOTwveWVhcj48cHViLWRhdGVzPjxkYXRlPk1h
cjwvZGF0ZT48L3B1Yi1kYXRlcz48L2RhdGVzPjxpc2JuPjIzMDUtNTgzOSAoUHJpbnQpJiN4RDsy
MzA1LTU4MzkgKExpbmtpbmcpPC9pc2JuPjxhY2Nlc3Npb24tbnVtPjMxMDE5OTQ5PC9hY2Nlc3Np
b24tbnVtPjx1cmxzPjxyZWxhdGVkLXVybHM+PHVybD5odHRwczovL3d3dy5uY2JpLm5sbS5uaWgu
Z292L3B1Ym1lZC8zMTAxOTk0OTwvdXJsPjwvcmVsYXRlZC11cmxzPjwvdXJscz48Y3VzdG9tMj5Q
TUM2NDYyNjYxPC9jdXN0b20yPjxlbGVjdHJvbmljLXJlc291cmNlLW51bT4xMC4yMTAzNy9hdG0u
MjAxOS4wMS42MTwvZWxlY3Ryb25pYy1yZXNvdXJjZS1udW0+PC9yZWNvcmQ+PC9DaXRlPjwvRW5k
Tm90ZT5=
</w:fldData>
        </w:fldChar>
      </w:r>
      <w:r w:rsidR="002747EA">
        <w:instrText xml:space="preserve"> ADDIN EN.CITE </w:instrText>
      </w:r>
      <w:r w:rsidR="002747EA">
        <w:fldChar w:fldCharType="begin">
          <w:fldData xml:space="preserve">PEVuZE5vdGU+PENpdGU+PEF1dGhvcj5KYXJkZTwvQXV0aG9yPjxZZWFyPjIwMTg8L1llYXI+PFJl
Y051bT4xNjU5PC9SZWNOdW0+PERpc3BsYXlUZXh0PjxzdHlsZSBmYWNlPSJzdXBlcnNjcmlwdCIg
Zm9udD0iVHJlYnVjaGV0IE1TIiBzaXplPSI5Ij4yMjUsMjI3PC9zdHlsZT48L0Rpc3BsYXlUZXh0
PjxyZWNvcmQ+PHJlYy1udW1iZXI+MTY1OTwvcmVjLW51bWJlcj48Zm9yZWlnbi1rZXlzPjxrZXkg
YXBwPSJFTiIgZGItaWQ9ImV4dmFzcmZ4MmR0cmFvZXNhc3hwMnN6c3hhMmRmNTAyNTkyeCIgdGlt
ZXN0YW1wPSIxNTgxMzEyNzY0Ij4xNjU5PC9rZXk+PGtleSBhcHA9IkVOV2ViIiBkYi1pZD0iIj4w
PC9rZXk+PC9mb3JlaWduLWtleXM+PHJlZi10eXBlIG5hbWU9IkpvdXJuYWwgQXJ0aWNsZSI+MTc8
L3JlZi10eXBlPjxjb250cmlidXRvcnM+PGF1dGhvcnM+PGF1dGhvcj5KYXJkZSwgQS48L2F1dGhv
cj48YXV0aG9yPkxld2lzLU1pa2hhZWwsIEEuIE0uPC9hdXRob3I+PGF1dGhvcj5Nb2F5eWVkaSwg
UC48L2F1dGhvcj48YXV0aG9yPlN0ZWFybnMsIEouIEMuPC9hdXRob3I+PGF1dGhvcj5Db2xsaW5z
LCBTLiBNLjwvYXV0aG9yPjxhdXRob3I+QmV5ZW5lLCBKLjwvYXV0aG9yPjxhdXRob3I+TWNEb25h
bGQsIFMuIEQuPC9hdXRob3I+PC9hdXRob3JzPjwvY29udHJpYnV0b3JzPjxhdXRoLWFkZHJlc3M+
RGVwYXJ0bWVudCBvZiBPYnN0ZXRyaWNzIGFuZCBHeW5lY29sb2d5LCBNY01hc3RlciBVbml2ZXJz
aXR5LCAxMjgwIE1haW4gU3RyZWV0IFdlc3QsIEhhbWlsdG9uLCBPTiwgTDhTIDRLMSwgQ2FuYWRh
LiBqYXJkZUBtY21hc3Rlci5jYS4mI3hEO0RlcGFydG1lbnQgb2YgT2JzdGV0cmljcyBhbmQgR3lu
ZWNvbG9neSwgTWNNYXN0ZXIgVW5pdmVyc2l0eSwgMTI4MCBNYWluIFN0cmVldCBXZXN0LCBIYW1p
bHRvbiwgT04sIEw4UyA0SzEsIENhbmFkYS4mI3hEO0RlcGFydG1lbnQgb2YgTWVkaWNpbmUsIEdh
c3Ryb2VudGVyb2xvZ3kgRGl2aXNpb24sIE1jTWFzdGVyIFVuaXZlcnNpdHksIEhhbWlsdG9uLCBP
TiwgQ2FuYWRhLiYjeEQ7RmFybmNvbWJlIEZhbWlseSBEaWdlc3RpdmUgSGVhbHRoIFJlc2VhcmNo
IEluc3RpdHV0ZSwgTWNNYXN0ZXIgVW5pdmVyc2l0eSwgSGFtaWx0b24sIE9OLCBDYW5hZGEuJiN4
RDtGYXJuY29tYmUgRmFtaWx5IERpZ2VzdGl2ZSBIZWFsdGggUmVzZWFyY2ggSW5zdGl0dXRlLCBE
ZXBhcnRtZW50IG9mIE1lZGljaW5lLCBNY01hc3RlciBVbml2ZXJzaXR5LCBIYW1pbHRvbiwgT04s
IENhbmFkYS4mI3hEO0RlcGFydG1lbnQgb2YgQ2xpbmljYWwgRXBpZGVtaW9sb2d5IGFuZCBCaW9z
dGF0aXN0aWNzLCBNY01hc3RlciBVbml2ZXJzaXR5LCBIYW1pbHRvbiwgT04sIENhbmFkYS48L2F1
dGgtYWRkcmVzcz48dGl0bGVzPjx0aXRsZT5QcmVnbmFuY3kgb3V0Y29tZXMgaW4gd29tZW4gdGFr
aW5nIHByb2Jpb3RpY3Mgb3IgcHJlYmlvdGljczogYSBzeXN0ZW1hdGljIHJldmlldyBhbmQgbWV0
YS1hbmFseXNpczwvdGl0bGU+PHNlY29uZGFyeS10aXRsZT5CTUMgUHJlZ25hbmN5IENoaWxkYmly
dGg8L3NlY29uZGFyeS10aXRsZT48L3RpdGxlcz48cGVyaW9kaWNhbD48ZnVsbC10aXRsZT5CTUMg
UHJlZ25hbmN5IENoaWxkYmlydGg8L2Z1bGwtdGl0bGU+PC9wZXJpb2RpY2FsPjxwYWdlcz4xNDwv
cGFnZXM+PHZvbHVtZT4xODwvdm9sdW1lPjxudW1iZXI+MTwvbnVtYmVyPjxlZGl0aW9uPjIwMTgv
MDEvMTA8L2VkaXRpb24+PGtleXdvcmRzPjxrZXl3b3JkPkRpYWJldGVzLCBHZXN0YXRpb25hbC9l
cGlkZW1pb2xvZ3k8L2tleXdvcmQ+PGtleXdvcmQ+RmVtYWxlPC9rZXl3b3JkPjxrZXl3b3JkPkh1
bWFuczwva2V5d29yZD48a2V5d29yZD4qUHJlYmlvdGljczwva2V5d29yZD48a2V5d29yZD5QcmVn
bmFuY3k8L2tleXdvcmQ+PGtleXdvcmQ+KlByZWduYW5jeSBPdXRjb21lPC9rZXl3b3JkPjxrZXl3
b3JkPlByZW1hdHVyZSBCaXJ0aC8qZXBpZGVtaW9sb2d5PC9rZXl3b3JkPjxrZXl3b3JkPlByb2Jp
b3RpY3MvKnRoZXJhcGV1dGljIHVzZTwva2V5d29yZD48a2V5d29yZD5SYW5kb21pemVkIENvbnRy
b2xsZWQgVHJpYWxzIGFzIFRvcGljPC9rZXl3b3JkPjxrZXl3b3JkPipQcmVnbmFuY3k8L2tleXdv
cmQ+PGtleXdvcmQ+KlByZXRlcm0gYmlydGg8L2tleXdvcmQ+PGtleXdvcmQ+KlByb2Jpb3RpY3M8
L2tleXdvcmQ+PGtleXdvcmQ+KlN5bmJpb3RpY3M8L2tleXdvcmQ+PC9rZXl3b3Jkcz48ZGF0ZXM+
PHllYXI+MjAxODwveWVhcj48cHViLWRhdGVzPjxkYXRlPkphbiA4PC9kYXRlPjwvcHViLWRhdGVz
PjwvZGF0ZXM+PGlzYm4+MTQ3MS0yMzkzIChFbGVjdHJvbmljKSYjeEQ7MTQ3MS0yMzkzIChMaW5r
aW5nKTwvaXNibj48YWNjZXNzaW9uLW51bT4yOTMxMDYxMDwvYWNjZXNzaW9uLW51bT48dXJscz48
cmVsYXRlZC11cmxzPjx1cmw+aHR0cHM6Ly93d3cubmNiaS5ubG0ubmloLmdvdi9wdWJtZWQvMjkz
MTA2MTA8L3VybD48L3JlbGF0ZWQtdXJscz48L3VybHM+PGN1c3RvbTI+UE1DNTc1OTIxMjwvY3Vz
dG9tMj48ZWxlY3Ryb25pYy1yZXNvdXJjZS1udW0+MTAuMTE4Ni9zMTI4ODQtMDE3LTE2MjktNTwv
ZWxlY3Ryb25pYy1yZXNvdXJjZS1udW0+PC9yZWNvcmQ+PC9DaXRlPjxDaXRlPjxBdXRob3I+SGFu
PC9BdXRob3I+PFllYXI+MjAxOTwvWWVhcj48UmVjTnVtPjE2NTU8L1JlY051bT48cmVjb3JkPjxy
ZWMtbnVtYmVyPjE2NTU8L3JlYy1udW1iZXI+PGZvcmVpZ24ta2V5cz48a2V5IGFwcD0iRU4iIGRi
LWlkPSJleHZhc3JmeDJkdHJhb2VzYXN4cDJzenN4YTJkZjUwMjU5MngiIHRpbWVzdGFtcD0iMTU4
MTMxMjc0MiI+MTY1NTwva2V5PjxrZXkgYXBwPSJFTldlYiIgZGItaWQ9IiI+MDwva2V5PjwvZm9y
ZWlnbi1rZXlzPjxyZWYtdHlwZSBuYW1lPSJKb3VybmFsIEFydGljbGUiPjE3PC9yZWYtdHlwZT48
Y29udHJpYnV0b3JzPjxhdXRob3JzPjxhdXRob3I+SGFuLCBNLiBNLjwvYXV0aG9yPjxhdXRob3I+
U3VuLCBKLiBGLjwvYXV0aG9yPjxhdXRob3I+U3UsIFguIEguPC9hdXRob3I+PGF1dGhvcj5QZW5n
LCBZLiBGLjwvYXV0aG9yPjxhdXRob3I+R295YWwsIEguPC9hdXRob3I+PGF1dGhvcj5XdSwgQy4g
SC48L2F1dGhvcj48YXV0aG9yPlpodSwgWC4gWS48L2F1dGhvcj48YXV0aG9yPkxpLCBMLjwvYXV0
aG9yPjwvYXV0aG9ycz48L2NvbnRyaWJ1dG9ycz48YXV0aC1hZGRyZXNzPkRlcGFydG1lbnQgb2Yg
RW5kb2NyaW5vbG9neSwgWmhvbmdkYSBIb3NwaXRhbCwgU2Nob29sIG9mIE1lZGljaW5lLCBTb3V0
aGVhc3QgVW5pdmVyc2l0eSwgTmFuamluZyAyMTAwMDksIENoaW5hLiYjeEQ7UGFuY3JlYXRpYyBS
ZXNlYXJjaCBJbnN0aXR1dGUsIE1pbmlzdHJ5IG9mIEVkdWNhdGlvbiwgU2Nob29sIG9mIFB1Ymxp
YyBIZWFsdGgsIFNvdXRoZWFzdCBVbml2ZXJzaXR5LCBOYW5qaW5nIDIxMDAwOSwgQ2hpbmEuJiN4
RDtLZXkgTGFib3JhdG9yeSBvZiBFbnZpcm9ubWVudGFsIE1lZGljaW5lIEVuZ2luZWVyaW5nLCBN
aW5pc3RyeSBvZiBFZHVjYXRpb24sIFNjaG9vbCBvZiBQdWJsaWMgSGVhbHRoLCBTb3V0aGVhc3Qg
VW5pdmVyc2l0eSwgTmFuamluZyAyMTAwMDksIENoaW5hLiYjeEQ7RGVwYXJ0bWVudCBvZiBFbmRv
Y3Jpbm9sb2d5LCB0aGUgRmlyc3QgQWZmaWxpYXRlZCBIb3NwaXRhbCBvZiB0aGUgTWVkaWNhbCBD
b2xsZWdlLCBTaGloZXppIFVuaXZlcnNpdHksIFNoaWhlemkgODMyMDAzLCBDaGluYS4mI3hEO0Rl
cGFydG1lbnQgb2YgSW50ZXJuYWwgTWVkaWNpbmUsIFNjaG9vbCBvZiBNZWRpY2luZSwgTWVyY2Vy
IFVuaXZlcnNpdHksIE1hY29uLCBVU0EuJiN4RDtEZXBhcnRtZW50IG9mIEdlbmVyYWwgbWVkaWNp
bmUsIFpob25nZGEgSG9zcGl0YWwsIFNjaG9vbCBvZiBNZWRpY2luZSwgU291dGhlYXN0IFVuaXZl
cnNpdHksIE5hbmppbmcgMjEwMDA5LCBDaGluYS48L2F1dGgtYWRkcmVzcz48dGl0bGVzPjx0aXRs
ZT5Qcm9iaW90aWNzIGltcHJvdmUgZ2x1Y29zZSBhbmQgbGlwaWQgbWV0YWJvbGlzbSBpbiBwcmVn
bmFudCB3b21lbjogYSBtZXRhLWFuYWx5c2lzPC90aXRsZT48c2Vjb25kYXJ5LXRpdGxlPkFubiBU
cmFuc2wgTWVkPC9zZWNvbmRhcnktdGl0bGU+PC90aXRsZXM+PHBlcmlvZGljYWw+PGZ1bGwtdGl0
bGU+QW5uIFRyYW5zbCBNZWQ8L2Z1bGwtdGl0bGU+PC9wZXJpb2RpY2FsPjxwYWdlcz45OTwvcGFn
ZXM+PHZvbHVtZT43PC92b2x1bWU+PG51bWJlcj41PC9udW1iZXI+PGVkaXRpb24+MjAxOS8wNC8y
NjwvZWRpdGlvbj48a2V5d29yZHM+PGtleXdvcmQ+UHJlZ25hbmN5PC9rZXl3b3JkPjxrZXl3b3Jk
Pmdlc3RhdGlvbmFsIGRpYWJldGVzIG1lbGxpdHVzIChHRE0pPC9rZXl3b3JkPjxrZXl3b3JkPmds
eWNvbWV0YWJvbGlzbTwva2V5d29yZD48a2V5d29yZD5ndXQgbWljcm9iaW90YTwva2V5d29yZD48
a2V5d29yZD5saXBpZCBwcm9maWxlPC9rZXl3b3JkPjxrZXl3b3JkPnByb2Jpb3RpY3M8L2tleXdv
cmQ+PC9rZXl3b3Jkcz48ZGF0ZXM+PHllYXI+MjAxOTwveWVhcj48cHViLWRhdGVzPjxkYXRlPk1h
cjwvZGF0ZT48L3B1Yi1kYXRlcz48L2RhdGVzPjxpc2JuPjIzMDUtNTgzOSAoUHJpbnQpJiN4RDsy
MzA1LTU4MzkgKExpbmtpbmcpPC9pc2JuPjxhY2Nlc3Npb24tbnVtPjMxMDE5OTQ5PC9hY2Nlc3Np
b24tbnVtPjx1cmxzPjxyZWxhdGVkLXVybHM+PHVybD5odHRwczovL3d3dy5uY2JpLm5sbS5uaWgu
Z292L3B1Ym1lZC8zMTAxOTk0OTwvdXJsPjwvcmVsYXRlZC11cmxzPjwvdXJscz48Y3VzdG9tMj5Q
TUM2NDYyNjYxPC9jdXN0b20yPjxlbGVjdHJvbmljLXJlc291cmNlLW51bT4xMC4yMTAzNy9hdG0u
MjAxOS4wMS42MTwvZWxlY3Ryb25pYy1yZXNvdXJjZS1udW0+PC9yZWNvcmQ+PC9DaXRlPjwvRW5k
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225,227</w:t>
      </w:r>
      <w:r w:rsidR="00AB21E2">
        <w:fldChar w:fldCharType="end"/>
      </w:r>
      <w:r w:rsidR="00513E14">
        <w:t xml:space="preserve"> </w:t>
      </w:r>
      <w:r w:rsidR="00C370FB">
        <w:t xml:space="preserve">or </w:t>
      </w:r>
      <w:r w:rsidR="00513E14">
        <w:t>macrosomia</w:t>
      </w:r>
      <w:r>
        <w:t>.</w:t>
      </w:r>
      <w:r w:rsidR="00AB21E2">
        <w:fldChar w:fldCharType="begin">
          <w:fldData xml:space="preserve">PEVuZE5vdGU+PENpdGU+PEF1dGhvcj5KYXJkZTwvQXV0aG9yPjxZZWFyPjIwMTg8L1llYXI+PFJl
Y051bT4xNjU5PC9SZWNOdW0+PERpc3BsYXlUZXh0PjxzdHlsZSBmYWNlPSJzdXBlcnNjcmlwdCIg
Zm9udD0iVHJlYnVjaGV0IE1TIiBzaXplPSI5Ij4yMjUsMjI3PC9zdHlsZT48L0Rpc3BsYXlUZXh0
PjxyZWNvcmQ+PHJlYy1udW1iZXI+MTY1OTwvcmVjLW51bWJlcj48Zm9yZWlnbi1rZXlzPjxrZXkg
YXBwPSJFTiIgZGItaWQ9ImV4dmFzcmZ4MmR0cmFvZXNhc3hwMnN6c3hhMmRmNTAyNTkyeCIgdGlt
ZXN0YW1wPSIxNTgxMzEyNzY0Ij4xNjU5PC9rZXk+PGtleSBhcHA9IkVOV2ViIiBkYi1pZD0iIj4w
PC9rZXk+PC9mb3JlaWduLWtleXM+PHJlZi10eXBlIG5hbWU9IkpvdXJuYWwgQXJ0aWNsZSI+MTc8
L3JlZi10eXBlPjxjb250cmlidXRvcnM+PGF1dGhvcnM+PGF1dGhvcj5KYXJkZSwgQS48L2F1dGhv
cj48YXV0aG9yPkxld2lzLU1pa2hhZWwsIEEuIE0uPC9hdXRob3I+PGF1dGhvcj5Nb2F5eWVkaSwg
UC48L2F1dGhvcj48YXV0aG9yPlN0ZWFybnMsIEouIEMuPC9hdXRob3I+PGF1dGhvcj5Db2xsaW5z
LCBTLiBNLjwvYXV0aG9yPjxhdXRob3I+QmV5ZW5lLCBKLjwvYXV0aG9yPjxhdXRob3I+TWNEb25h
bGQsIFMuIEQuPC9hdXRob3I+PC9hdXRob3JzPjwvY29udHJpYnV0b3JzPjxhdXRoLWFkZHJlc3M+
RGVwYXJ0bWVudCBvZiBPYnN0ZXRyaWNzIGFuZCBHeW5lY29sb2d5LCBNY01hc3RlciBVbml2ZXJz
aXR5LCAxMjgwIE1haW4gU3RyZWV0IFdlc3QsIEhhbWlsdG9uLCBPTiwgTDhTIDRLMSwgQ2FuYWRh
LiBqYXJkZUBtY21hc3Rlci5jYS4mI3hEO0RlcGFydG1lbnQgb2YgT2JzdGV0cmljcyBhbmQgR3lu
ZWNvbG9neSwgTWNNYXN0ZXIgVW5pdmVyc2l0eSwgMTI4MCBNYWluIFN0cmVldCBXZXN0LCBIYW1p
bHRvbiwgT04sIEw4UyA0SzEsIENhbmFkYS4mI3hEO0RlcGFydG1lbnQgb2YgTWVkaWNpbmUsIEdh
c3Ryb2VudGVyb2xvZ3kgRGl2aXNpb24sIE1jTWFzdGVyIFVuaXZlcnNpdHksIEhhbWlsdG9uLCBP
TiwgQ2FuYWRhLiYjeEQ7RmFybmNvbWJlIEZhbWlseSBEaWdlc3RpdmUgSGVhbHRoIFJlc2VhcmNo
IEluc3RpdHV0ZSwgTWNNYXN0ZXIgVW5pdmVyc2l0eSwgSGFtaWx0b24sIE9OLCBDYW5hZGEuJiN4
RDtGYXJuY29tYmUgRmFtaWx5IERpZ2VzdGl2ZSBIZWFsdGggUmVzZWFyY2ggSW5zdGl0dXRlLCBE
ZXBhcnRtZW50IG9mIE1lZGljaW5lLCBNY01hc3RlciBVbml2ZXJzaXR5LCBIYW1pbHRvbiwgT04s
IENhbmFkYS4mI3hEO0RlcGFydG1lbnQgb2YgQ2xpbmljYWwgRXBpZGVtaW9sb2d5IGFuZCBCaW9z
dGF0aXN0aWNzLCBNY01hc3RlciBVbml2ZXJzaXR5LCBIYW1pbHRvbiwgT04sIENhbmFkYS48L2F1
dGgtYWRkcmVzcz48dGl0bGVzPjx0aXRsZT5QcmVnbmFuY3kgb3V0Y29tZXMgaW4gd29tZW4gdGFr
aW5nIHByb2Jpb3RpY3Mgb3IgcHJlYmlvdGljczogYSBzeXN0ZW1hdGljIHJldmlldyBhbmQgbWV0
YS1hbmFseXNpczwvdGl0bGU+PHNlY29uZGFyeS10aXRsZT5CTUMgUHJlZ25hbmN5IENoaWxkYmly
dGg8L3NlY29uZGFyeS10aXRsZT48L3RpdGxlcz48cGVyaW9kaWNhbD48ZnVsbC10aXRsZT5CTUMg
UHJlZ25hbmN5IENoaWxkYmlydGg8L2Z1bGwtdGl0bGU+PC9wZXJpb2RpY2FsPjxwYWdlcz4xNDwv
cGFnZXM+PHZvbHVtZT4xODwvdm9sdW1lPjxudW1iZXI+MTwvbnVtYmVyPjxlZGl0aW9uPjIwMTgv
MDEvMTA8L2VkaXRpb24+PGtleXdvcmRzPjxrZXl3b3JkPkRpYWJldGVzLCBHZXN0YXRpb25hbC9l
cGlkZW1pb2xvZ3k8L2tleXdvcmQ+PGtleXdvcmQ+RmVtYWxlPC9rZXl3b3JkPjxrZXl3b3JkPkh1
bWFuczwva2V5d29yZD48a2V5d29yZD4qUHJlYmlvdGljczwva2V5d29yZD48a2V5d29yZD5QcmVn
bmFuY3k8L2tleXdvcmQ+PGtleXdvcmQ+KlByZWduYW5jeSBPdXRjb21lPC9rZXl3b3JkPjxrZXl3
b3JkPlByZW1hdHVyZSBCaXJ0aC8qZXBpZGVtaW9sb2d5PC9rZXl3b3JkPjxrZXl3b3JkPlByb2Jp
b3RpY3MvKnRoZXJhcGV1dGljIHVzZTwva2V5d29yZD48a2V5d29yZD5SYW5kb21pemVkIENvbnRy
b2xsZWQgVHJpYWxzIGFzIFRvcGljPC9rZXl3b3JkPjxrZXl3b3JkPipQcmVnbmFuY3k8L2tleXdv
cmQ+PGtleXdvcmQ+KlByZXRlcm0gYmlydGg8L2tleXdvcmQ+PGtleXdvcmQ+KlByb2Jpb3RpY3M8
L2tleXdvcmQ+PGtleXdvcmQ+KlN5bmJpb3RpY3M8L2tleXdvcmQ+PC9rZXl3b3Jkcz48ZGF0ZXM+
PHllYXI+MjAxODwveWVhcj48cHViLWRhdGVzPjxkYXRlPkphbiA4PC9kYXRlPjwvcHViLWRhdGVz
PjwvZGF0ZXM+PGlzYm4+MTQ3MS0yMzkzIChFbGVjdHJvbmljKSYjeEQ7MTQ3MS0yMzkzIChMaW5r
aW5nKTwvaXNibj48YWNjZXNzaW9uLW51bT4yOTMxMDYxMDwvYWNjZXNzaW9uLW51bT48dXJscz48
cmVsYXRlZC11cmxzPjx1cmw+aHR0cHM6Ly93d3cubmNiaS5ubG0ubmloLmdvdi9wdWJtZWQvMjkz
MTA2MTA8L3VybD48L3JlbGF0ZWQtdXJscz48L3VybHM+PGN1c3RvbTI+UE1DNTc1OTIxMjwvY3Vz
dG9tMj48ZWxlY3Ryb25pYy1yZXNvdXJjZS1udW0+MTAuMTE4Ni9zMTI4ODQtMDE3LTE2MjktNTwv
ZWxlY3Ryb25pYy1yZXNvdXJjZS1udW0+PC9yZWNvcmQ+PC9DaXRlPjxDaXRlPjxBdXRob3I+SGFu
PC9BdXRob3I+PFllYXI+MjAxOTwvWWVhcj48UmVjTnVtPjE2NTU8L1JlY051bT48cmVjb3JkPjxy
ZWMtbnVtYmVyPjE2NTU8L3JlYy1udW1iZXI+PGZvcmVpZ24ta2V5cz48a2V5IGFwcD0iRU4iIGRi
LWlkPSJleHZhc3JmeDJkdHJhb2VzYXN4cDJzenN4YTJkZjUwMjU5MngiIHRpbWVzdGFtcD0iMTU4
MTMxMjc0MiI+MTY1NTwva2V5PjxrZXkgYXBwPSJFTldlYiIgZGItaWQ9IiI+MDwva2V5PjwvZm9y
ZWlnbi1rZXlzPjxyZWYtdHlwZSBuYW1lPSJKb3VybmFsIEFydGljbGUiPjE3PC9yZWYtdHlwZT48
Y29udHJpYnV0b3JzPjxhdXRob3JzPjxhdXRob3I+SGFuLCBNLiBNLjwvYXV0aG9yPjxhdXRob3I+
U3VuLCBKLiBGLjwvYXV0aG9yPjxhdXRob3I+U3UsIFguIEguPC9hdXRob3I+PGF1dGhvcj5QZW5n
LCBZLiBGLjwvYXV0aG9yPjxhdXRob3I+R295YWwsIEguPC9hdXRob3I+PGF1dGhvcj5XdSwgQy4g
SC48L2F1dGhvcj48YXV0aG9yPlpodSwgWC4gWS48L2F1dGhvcj48YXV0aG9yPkxpLCBMLjwvYXV0
aG9yPjwvYXV0aG9ycz48L2NvbnRyaWJ1dG9ycz48YXV0aC1hZGRyZXNzPkRlcGFydG1lbnQgb2Yg
RW5kb2NyaW5vbG9neSwgWmhvbmdkYSBIb3NwaXRhbCwgU2Nob29sIG9mIE1lZGljaW5lLCBTb3V0
aGVhc3QgVW5pdmVyc2l0eSwgTmFuamluZyAyMTAwMDksIENoaW5hLiYjeEQ7UGFuY3JlYXRpYyBS
ZXNlYXJjaCBJbnN0aXR1dGUsIE1pbmlzdHJ5IG9mIEVkdWNhdGlvbiwgU2Nob29sIG9mIFB1Ymxp
YyBIZWFsdGgsIFNvdXRoZWFzdCBVbml2ZXJzaXR5LCBOYW5qaW5nIDIxMDAwOSwgQ2hpbmEuJiN4
RDtLZXkgTGFib3JhdG9yeSBvZiBFbnZpcm9ubWVudGFsIE1lZGljaW5lIEVuZ2luZWVyaW5nLCBN
aW5pc3RyeSBvZiBFZHVjYXRpb24sIFNjaG9vbCBvZiBQdWJsaWMgSGVhbHRoLCBTb3V0aGVhc3Qg
VW5pdmVyc2l0eSwgTmFuamluZyAyMTAwMDksIENoaW5hLiYjeEQ7RGVwYXJ0bWVudCBvZiBFbmRv
Y3Jpbm9sb2d5LCB0aGUgRmlyc3QgQWZmaWxpYXRlZCBIb3NwaXRhbCBvZiB0aGUgTWVkaWNhbCBD
b2xsZWdlLCBTaGloZXppIFVuaXZlcnNpdHksIFNoaWhlemkgODMyMDAzLCBDaGluYS4mI3hEO0Rl
cGFydG1lbnQgb2YgSW50ZXJuYWwgTWVkaWNpbmUsIFNjaG9vbCBvZiBNZWRpY2luZSwgTWVyY2Vy
IFVuaXZlcnNpdHksIE1hY29uLCBVU0EuJiN4RDtEZXBhcnRtZW50IG9mIEdlbmVyYWwgbWVkaWNp
bmUsIFpob25nZGEgSG9zcGl0YWwsIFNjaG9vbCBvZiBNZWRpY2luZSwgU291dGhlYXN0IFVuaXZl
cnNpdHksIE5hbmppbmcgMjEwMDA5LCBDaGluYS48L2F1dGgtYWRkcmVzcz48dGl0bGVzPjx0aXRs
ZT5Qcm9iaW90aWNzIGltcHJvdmUgZ2x1Y29zZSBhbmQgbGlwaWQgbWV0YWJvbGlzbSBpbiBwcmVn
bmFudCB3b21lbjogYSBtZXRhLWFuYWx5c2lzPC90aXRsZT48c2Vjb25kYXJ5LXRpdGxlPkFubiBU
cmFuc2wgTWVkPC9zZWNvbmRhcnktdGl0bGU+PC90aXRsZXM+PHBlcmlvZGljYWw+PGZ1bGwtdGl0
bGU+QW5uIFRyYW5zbCBNZWQ8L2Z1bGwtdGl0bGU+PC9wZXJpb2RpY2FsPjxwYWdlcz45OTwvcGFn
ZXM+PHZvbHVtZT43PC92b2x1bWU+PG51bWJlcj41PC9udW1iZXI+PGVkaXRpb24+MjAxOS8wNC8y
NjwvZWRpdGlvbj48a2V5d29yZHM+PGtleXdvcmQ+UHJlZ25hbmN5PC9rZXl3b3JkPjxrZXl3b3Jk
Pmdlc3RhdGlvbmFsIGRpYWJldGVzIG1lbGxpdHVzIChHRE0pPC9rZXl3b3JkPjxrZXl3b3JkPmds
eWNvbWV0YWJvbGlzbTwva2V5d29yZD48a2V5d29yZD5ndXQgbWljcm9iaW90YTwva2V5d29yZD48
a2V5d29yZD5saXBpZCBwcm9maWxlPC9rZXl3b3JkPjxrZXl3b3JkPnByb2Jpb3RpY3M8L2tleXdv
cmQ+PC9rZXl3b3Jkcz48ZGF0ZXM+PHllYXI+MjAxOTwveWVhcj48cHViLWRhdGVzPjxkYXRlPk1h
cjwvZGF0ZT48L3B1Yi1kYXRlcz48L2RhdGVzPjxpc2JuPjIzMDUtNTgzOSAoUHJpbnQpJiN4RDsy
MzA1LTU4MzkgKExpbmtpbmcpPC9pc2JuPjxhY2Nlc3Npb24tbnVtPjMxMDE5OTQ5PC9hY2Nlc3Np
b24tbnVtPjx1cmxzPjxyZWxhdGVkLXVybHM+PHVybD5odHRwczovL3d3dy5uY2JpLm5sbS5uaWgu
Z292L3B1Ym1lZC8zMTAxOTk0OTwvdXJsPjwvcmVsYXRlZC11cmxzPjwvdXJscz48Y3VzdG9tMj5Q
TUM2NDYyNjYxPC9jdXN0b20yPjxlbGVjdHJvbmljLXJlc291cmNlLW51bT4xMC4yMTAzNy9hdG0u
MjAxOS4wMS42MTwvZWxlY3Ryb25pYy1yZXNvdXJjZS1udW0+PC9yZWNvcmQ+PC9DaXRlPjwvRW5k
Tm90ZT5=
</w:fldData>
        </w:fldChar>
      </w:r>
      <w:r w:rsidR="002747EA">
        <w:instrText xml:space="preserve"> ADDIN EN.CITE </w:instrText>
      </w:r>
      <w:r w:rsidR="002747EA">
        <w:fldChar w:fldCharType="begin">
          <w:fldData xml:space="preserve">PEVuZE5vdGU+PENpdGU+PEF1dGhvcj5KYXJkZTwvQXV0aG9yPjxZZWFyPjIwMTg8L1llYXI+PFJl
Y051bT4xNjU5PC9SZWNOdW0+PERpc3BsYXlUZXh0PjxzdHlsZSBmYWNlPSJzdXBlcnNjcmlwdCIg
Zm9udD0iVHJlYnVjaGV0IE1TIiBzaXplPSI5Ij4yMjUsMjI3PC9zdHlsZT48L0Rpc3BsYXlUZXh0
PjxyZWNvcmQ+PHJlYy1udW1iZXI+MTY1OTwvcmVjLW51bWJlcj48Zm9yZWlnbi1rZXlzPjxrZXkg
YXBwPSJFTiIgZGItaWQ9ImV4dmFzcmZ4MmR0cmFvZXNhc3hwMnN6c3hhMmRmNTAyNTkyeCIgdGlt
ZXN0YW1wPSIxNTgxMzEyNzY0Ij4xNjU5PC9rZXk+PGtleSBhcHA9IkVOV2ViIiBkYi1pZD0iIj4w
PC9rZXk+PC9mb3JlaWduLWtleXM+PHJlZi10eXBlIG5hbWU9IkpvdXJuYWwgQXJ0aWNsZSI+MTc8
L3JlZi10eXBlPjxjb250cmlidXRvcnM+PGF1dGhvcnM+PGF1dGhvcj5KYXJkZSwgQS48L2F1dGhv
cj48YXV0aG9yPkxld2lzLU1pa2hhZWwsIEEuIE0uPC9hdXRob3I+PGF1dGhvcj5Nb2F5eWVkaSwg
UC48L2F1dGhvcj48YXV0aG9yPlN0ZWFybnMsIEouIEMuPC9hdXRob3I+PGF1dGhvcj5Db2xsaW5z
LCBTLiBNLjwvYXV0aG9yPjxhdXRob3I+QmV5ZW5lLCBKLjwvYXV0aG9yPjxhdXRob3I+TWNEb25h
bGQsIFMuIEQuPC9hdXRob3I+PC9hdXRob3JzPjwvY29udHJpYnV0b3JzPjxhdXRoLWFkZHJlc3M+
RGVwYXJ0bWVudCBvZiBPYnN0ZXRyaWNzIGFuZCBHeW5lY29sb2d5LCBNY01hc3RlciBVbml2ZXJz
aXR5LCAxMjgwIE1haW4gU3RyZWV0IFdlc3QsIEhhbWlsdG9uLCBPTiwgTDhTIDRLMSwgQ2FuYWRh
LiBqYXJkZUBtY21hc3Rlci5jYS4mI3hEO0RlcGFydG1lbnQgb2YgT2JzdGV0cmljcyBhbmQgR3lu
ZWNvbG9neSwgTWNNYXN0ZXIgVW5pdmVyc2l0eSwgMTI4MCBNYWluIFN0cmVldCBXZXN0LCBIYW1p
bHRvbiwgT04sIEw4UyA0SzEsIENhbmFkYS4mI3hEO0RlcGFydG1lbnQgb2YgTWVkaWNpbmUsIEdh
c3Ryb2VudGVyb2xvZ3kgRGl2aXNpb24sIE1jTWFzdGVyIFVuaXZlcnNpdHksIEhhbWlsdG9uLCBP
TiwgQ2FuYWRhLiYjeEQ7RmFybmNvbWJlIEZhbWlseSBEaWdlc3RpdmUgSGVhbHRoIFJlc2VhcmNo
IEluc3RpdHV0ZSwgTWNNYXN0ZXIgVW5pdmVyc2l0eSwgSGFtaWx0b24sIE9OLCBDYW5hZGEuJiN4
RDtGYXJuY29tYmUgRmFtaWx5IERpZ2VzdGl2ZSBIZWFsdGggUmVzZWFyY2ggSW5zdGl0dXRlLCBE
ZXBhcnRtZW50IG9mIE1lZGljaW5lLCBNY01hc3RlciBVbml2ZXJzaXR5LCBIYW1pbHRvbiwgT04s
IENhbmFkYS4mI3hEO0RlcGFydG1lbnQgb2YgQ2xpbmljYWwgRXBpZGVtaW9sb2d5IGFuZCBCaW9z
dGF0aXN0aWNzLCBNY01hc3RlciBVbml2ZXJzaXR5LCBIYW1pbHRvbiwgT04sIENhbmFkYS48L2F1
dGgtYWRkcmVzcz48dGl0bGVzPjx0aXRsZT5QcmVnbmFuY3kgb3V0Y29tZXMgaW4gd29tZW4gdGFr
aW5nIHByb2Jpb3RpY3Mgb3IgcHJlYmlvdGljczogYSBzeXN0ZW1hdGljIHJldmlldyBhbmQgbWV0
YS1hbmFseXNpczwvdGl0bGU+PHNlY29uZGFyeS10aXRsZT5CTUMgUHJlZ25hbmN5IENoaWxkYmly
dGg8L3NlY29uZGFyeS10aXRsZT48L3RpdGxlcz48cGVyaW9kaWNhbD48ZnVsbC10aXRsZT5CTUMg
UHJlZ25hbmN5IENoaWxkYmlydGg8L2Z1bGwtdGl0bGU+PC9wZXJpb2RpY2FsPjxwYWdlcz4xNDwv
cGFnZXM+PHZvbHVtZT4xODwvdm9sdW1lPjxudW1iZXI+MTwvbnVtYmVyPjxlZGl0aW9uPjIwMTgv
MDEvMTA8L2VkaXRpb24+PGtleXdvcmRzPjxrZXl3b3JkPkRpYWJldGVzLCBHZXN0YXRpb25hbC9l
cGlkZW1pb2xvZ3k8L2tleXdvcmQ+PGtleXdvcmQ+RmVtYWxlPC9rZXl3b3JkPjxrZXl3b3JkPkh1
bWFuczwva2V5d29yZD48a2V5d29yZD4qUHJlYmlvdGljczwva2V5d29yZD48a2V5d29yZD5QcmVn
bmFuY3k8L2tleXdvcmQ+PGtleXdvcmQ+KlByZWduYW5jeSBPdXRjb21lPC9rZXl3b3JkPjxrZXl3
b3JkPlByZW1hdHVyZSBCaXJ0aC8qZXBpZGVtaW9sb2d5PC9rZXl3b3JkPjxrZXl3b3JkPlByb2Jp
b3RpY3MvKnRoZXJhcGV1dGljIHVzZTwva2V5d29yZD48a2V5d29yZD5SYW5kb21pemVkIENvbnRy
b2xsZWQgVHJpYWxzIGFzIFRvcGljPC9rZXl3b3JkPjxrZXl3b3JkPipQcmVnbmFuY3k8L2tleXdv
cmQ+PGtleXdvcmQ+KlByZXRlcm0gYmlydGg8L2tleXdvcmQ+PGtleXdvcmQ+KlByb2Jpb3RpY3M8
L2tleXdvcmQ+PGtleXdvcmQ+KlN5bmJpb3RpY3M8L2tleXdvcmQ+PC9rZXl3b3Jkcz48ZGF0ZXM+
PHllYXI+MjAxODwveWVhcj48cHViLWRhdGVzPjxkYXRlPkphbiA4PC9kYXRlPjwvcHViLWRhdGVz
PjwvZGF0ZXM+PGlzYm4+MTQ3MS0yMzkzIChFbGVjdHJvbmljKSYjeEQ7MTQ3MS0yMzkzIChMaW5r
aW5nKTwvaXNibj48YWNjZXNzaW9uLW51bT4yOTMxMDYxMDwvYWNjZXNzaW9uLW51bT48dXJscz48
cmVsYXRlZC11cmxzPjx1cmw+aHR0cHM6Ly93d3cubmNiaS5ubG0ubmloLmdvdi9wdWJtZWQvMjkz
MTA2MTA8L3VybD48L3JlbGF0ZWQtdXJscz48L3VybHM+PGN1c3RvbTI+UE1DNTc1OTIxMjwvY3Vz
dG9tMj48ZWxlY3Ryb25pYy1yZXNvdXJjZS1udW0+MTAuMTE4Ni9zMTI4ODQtMDE3LTE2MjktNTwv
ZWxlY3Ryb25pYy1yZXNvdXJjZS1udW0+PC9yZWNvcmQ+PC9DaXRlPjxDaXRlPjxBdXRob3I+SGFu
PC9BdXRob3I+PFllYXI+MjAxOTwvWWVhcj48UmVjTnVtPjE2NTU8L1JlY051bT48cmVjb3JkPjxy
ZWMtbnVtYmVyPjE2NTU8L3JlYy1udW1iZXI+PGZvcmVpZ24ta2V5cz48a2V5IGFwcD0iRU4iIGRi
LWlkPSJleHZhc3JmeDJkdHJhb2VzYXN4cDJzenN4YTJkZjUwMjU5MngiIHRpbWVzdGFtcD0iMTU4
MTMxMjc0MiI+MTY1NTwva2V5PjxrZXkgYXBwPSJFTldlYiIgZGItaWQ9IiI+MDwva2V5PjwvZm9y
ZWlnbi1rZXlzPjxyZWYtdHlwZSBuYW1lPSJKb3VybmFsIEFydGljbGUiPjE3PC9yZWYtdHlwZT48
Y29udHJpYnV0b3JzPjxhdXRob3JzPjxhdXRob3I+SGFuLCBNLiBNLjwvYXV0aG9yPjxhdXRob3I+
U3VuLCBKLiBGLjwvYXV0aG9yPjxhdXRob3I+U3UsIFguIEguPC9hdXRob3I+PGF1dGhvcj5QZW5n
LCBZLiBGLjwvYXV0aG9yPjxhdXRob3I+R295YWwsIEguPC9hdXRob3I+PGF1dGhvcj5XdSwgQy4g
SC48L2F1dGhvcj48YXV0aG9yPlpodSwgWC4gWS48L2F1dGhvcj48YXV0aG9yPkxpLCBMLjwvYXV0
aG9yPjwvYXV0aG9ycz48L2NvbnRyaWJ1dG9ycz48YXV0aC1hZGRyZXNzPkRlcGFydG1lbnQgb2Yg
RW5kb2NyaW5vbG9neSwgWmhvbmdkYSBIb3NwaXRhbCwgU2Nob29sIG9mIE1lZGljaW5lLCBTb3V0
aGVhc3QgVW5pdmVyc2l0eSwgTmFuamluZyAyMTAwMDksIENoaW5hLiYjeEQ7UGFuY3JlYXRpYyBS
ZXNlYXJjaCBJbnN0aXR1dGUsIE1pbmlzdHJ5IG9mIEVkdWNhdGlvbiwgU2Nob29sIG9mIFB1Ymxp
YyBIZWFsdGgsIFNvdXRoZWFzdCBVbml2ZXJzaXR5LCBOYW5qaW5nIDIxMDAwOSwgQ2hpbmEuJiN4
RDtLZXkgTGFib3JhdG9yeSBvZiBFbnZpcm9ubWVudGFsIE1lZGljaW5lIEVuZ2luZWVyaW5nLCBN
aW5pc3RyeSBvZiBFZHVjYXRpb24sIFNjaG9vbCBvZiBQdWJsaWMgSGVhbHRoLCBTb3V0aGVhc3Qg
VW5pdmVyc2l0eSwgTmFuamluZyAyMTAwMDksIENoaW5hLiYjeEQ7RGVwYXJ0bWVudCBvZiBFbmRv
Y3Jpbm9sb2d5LCB0aGUgRmlyc3QgQWZmaWxpYXRlZCBIb3NwaXRhbCBvZiB0aGUgTWVkaWNhbCBD
b2xsZWdlLCBTaGloZXppIFVuaXZlcnNpdHksIFNoaWhlemkgODMyMDAzLCBDaGluYS4mI3hEO0Rl
cGFydG1lbnQgb2YgSW50ZXJuYWwgTWVkaWNpbmUsIFNjaG9vbCBvZiBNZWRpY2luZSwgTWVyY2Vy
IFVuaXZlcnNpdHksIE1hY29uLCBVU0EuJiN4RDtEZXBhcnRtZW50IG9mIEdlbmVyYWwgbWVkaWNp
bmUsIFpob25nZGEgSG9zcGl0YWwsIFNjaG9vbCBvZiBNZWRpY2luZSwgU291dGhlYXN0IFVuaXZl
cnNpdHksIE5hbmppbmcgMjEwMDA5LCBDaGluYS48L2F1dGgtYWRkcmVzcz48dGl0bGVzPjx0aXRs
ZT5Qcm9iaW90aWNzIGltcHJvdmUgZ2x1Y29zZSBhbmQgbGlwaWQgbWV0YWJvbGlzbSBpbiBwcmVn
bmFudCB3b21lbjogYSBtZXRhLWFuYWx5c2lzPC90aXRsZT48c2Vjb25kYXJ5LXRpdGxlPkFubiBU
cmFuc2wgTWVkPC9zZWNvbmRhcnktdGl0bGU+PC90aXRsZXM+PHBlcmlvZGljYWw+PGZ1bGwtdGl0
bGU+QW5uIFRyYW5zbCBNZWQ8L2Z1bGwtdGl0bGU+PC9wZXJpb2RpY2FsPjxwYWdlcz45OTwvcGFn
ZXM+PHZvbHVtZT43PC92b2x1bWU+PG51bWJlcj41PC9udW1iZXI+PGVkaXRpb24+MjAxOS8wNC8y
NjwvZWRpdGlvbj48a2V5d29yZHM+PGtleXdvcmQ+UHJlZ25hbmN5PC9rZXl3b3JkPjxrZXl3b3Jk
Pmdlc3RhdGlvbmFsIGRpYWJldGVzIG1lbGxpdHVzIChHRE0pPC9rZXl3b3JkPjxrZXl3b3JkPmds
eWNvbWV0YWJvbGlzbTwva2V5d29yZD48a2V5d29yZD5ndXQgbWljcm9iaW90YTwva2V5d29yZD48
a2V5d29yZD5saXBpZCBwcm9maWxlPC9rZXl3b3JkPjxrZXl3b3JkPnByb2Jpb3RpY3M8L2tleXdv
cmQ+PC9rZXl3b3Jkcz48ZGF0ZXM+PHllYXI+MjAxOTwveWVhcj48cHViLWRhdGVzPjxkYXRlPk1h
cjwvZGF0ZT48L3B1Yi1kYXRlcz48L2RhdGVzPjxpc2JuPjIzMDUtNTgzOSAoUHJpbnQpJiN4RDsy
MzA1LTU4MzkgKExpbmtpbmcpPC9pc2JuPjxhY2Nlc3Npb24tbnVtPjMxMDE5OTQ5PC9hY2Nlc3Np
b24tbnVtPjx1cmxzPjxyZWxhdGVkLXVybHM+PHVybD5odHRwczovL3d3dy5uY2JpLm5sbS5uaWgu
Z292L3B1Ym1lZC8zMTAxOTk0OTwvdXJsPjwvcmVsYXRlZC11cmxzPjwvdXJscz48Y3VzdG9tMj5Q
TUM2NDYyNjYxPC9jdXN0b20yPjxlbGVjdHJvbmljLXJlc291cmNlLW51bT4xMC4yMTAzNy9hdG0u
MjAxOS4wMS42MTwvZWxlY3Ryb25pYy1yZXNvdXJjZS1udW0+PC9yZWNvcmQ+PC9DaXRlPjwvRW5k
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225,227</w:t>
      </w:r>
      <w:r w:rsidR="00AB21E2">
        <w:fldChar w:fldCharType="end"/>
      </w:r>
      <w:r>
        <w:t xml:space="preserve"> </w:t>
      </w:r>
      <w:r w:rsidR="00513E14">
        <w:t>The two reviews that conducted a meta-analysis of risk of gestational diabetes were inconsistent (</w:t>
      </w:r>
      <w:r w:rsidR="00513E14" w:rsidRPr="00C370FB">
        <w:rPr>
          <w:sz w:val="16"/>
          <w:szCs w:val="16"/>
        </w:rPr>
        <w:t xml:space="preserve">RR 0.52; 95%CI 0.34 to 0.80; 3 </w:t>
      </w:r>
      <w:r w:rsidR="00C370FB">
        <w:rPr>
          <w:sz w:val="16"/>
          <w:szCs w:val="16"/>
        </w:rPr>
        <w:t>RCT</w:t>
      </w:r>
      <w:r w:rsidR="00513E14" w:rsidRPr="00C370FB">
        <w:rPr>
          <w:sz w:val="16"/>
          <w:szCs w:val="16"/>
        </w:rPr>
        <w:t>s</w:t>
      </w:r>
      <w:r w:rsidR="00AB21E2">
        <w:fldChar w:fldCharType="begin">
          <w:fldData xml:space="preserve">PEVuZE5vdGU+PENpdGU+PEF1dGhvcj5IYW48L0F1dGhvcj48WWVhcj4yMDE5PC9ZZWFyPjxSZWNO
dW0+MTY1NTwvUmVjTnVtPjxEaXNwbGF5VGV4dD48c3R5bGUgZmFjZT0ic3VwZXJzY3JpcHQiIGZv
bnQ9IlRyZWJ1Y2hldCBNUyIgc2l6ZT0iOSI+MjI3PC9zdHlsZT48L0Rpc3BsYXlUZXh0PjxyZWNv
cmQ+PHJlYy1udW1iZXI+MTY1NTwvcmVjLW51bWJlcj48Zm9yZWlnbi1rZXlzPjxrZXkgYXBwPSJF
TiIgZGItaWQ9ImV4dmFzcmZ4MmR0cmFvZXNhc3hwMnN6c3hhMmRmNTAyNTkyeCIgdGltZXN0YW1w
PSIxNTgxMzEyNzQyIj4xNjU1PC9rZXk+PGtleSBhcHA9IkVOV2ViIiBkYi1pZD0iIj4wPC9rZXk+
PC9mb3JlaWduLWtleXM+PHJlZi10eXBlIG5hbWU9IkpvdXJuYWwgQXJ0aWNsZSI+MTc8L3JlZi10
eXBlPjxjb250cmlidXRvcnM+PGF1dGhvcnM+PGF1dGhvcj5IYW4sIE0uIE0uPC9hdXRob3I+PGF1
dGhvcj5TdW4sIEouIEYuPC9hdXRob3I+PGF1dGhvcj5TdSwgWC4gSC48L2F1dGhvcj48YXV0aG9y
PlBlbmcsIFkuIEYuPC9hdXRob3I+PGF1dGhvcj5Hb3lhbCwgSC48L2F1dGhvcj48YXV0aG9yPld1
LCBDLiBILjwvYXV0aG9yPjxhdXRob3I+Wmh1LCBYLiBZLjwvYXV0aG9yPjxhdXRob3I+TGksIEwu
PC9hdXRob3I+PC9hdXRob3JzPjwvY29udHJpYnV0b3JzPjxhdXRoLWFkZHJlc3M+RGVwYXJ0bWVu
dCBvZiBFbmRvY3Jpbm9sb2d5LCBaaG9uZ2RhIEhvc3BpdGFsLCBTY2hvb2wgb2YgTWVkaWNpbmUs
IFNvdXRoZWFzdCBVbml2ZXJzaXR5LCBOYW5qaW5nIDIxMDAwOSwgQ2hpbmEuJiN4RDtQYW5jcmVh
dGljIFJlc2VhcmNoIEluc3RpdHV0ZSwgTWluaXN0cnkgb2YgRWR1Y2F0aW9uLCBTY2hvb2wgb2Yg
UHVibGljIEhlYWx0aCwgU291dGhlYXN0IFVuaXZlcnNpdHksIE5hbmppbmcgMjEwMDA5LCBDaGlu
YS4mI3hEO0tleSBMYWJvcmF0b3J5IG9mIEVudmlyb25tZW50YWwgTWVkaWNpbmUgRW5naW5lZXJp
bmcsIE1pbmlzdHJ5IG9mIEVkdWNhdGlvbiwgU2Nob29sIG9mIFB1YmxpYyBIZWFsdGgsIFNvdXRo
ZWFzdCBVbml2ZXJzaXR5LCBOYW5qaW5nIDIxMDAwOSwgQ2hpbmEuJiN4RDtEZXBhcnRtZW50IG9m
IEVuZG9jcmlub2xvZ3ksIHRoZSBGaXJzdCBBZmZpbGlhdGVkIEhvc3BpdGFsIG9mIHRoZSBNZWRp
Y2FsIENvbGxlZ2UsIFNoaWhlemkgVW5pdmVyc2l0eSwgU2hpaGV6aSA4MzIwMDMsIENoaW5hLiYj
eEQ7RGVwYXJ0bWVudCBvZiBJbnRlcm5hbCBNZWRpY2luZSwgU2Nob29sIG9mIE1lZGljaW5lLCBN
ZXJjZXIgVW5pdmVyc2l0eSwgTWFjb24sIFVTQS4mI3hEO0RlcGFydG1lbnQgb2YgR2VuZXJhbCBt
ZWRpY2luZSwgWmhvbmdkYSBIb3NwaXRhbCwgU2Nob29sIG9mIE1lZGljaW5lLCBTb3V0aGVhc3Qg
VW5pdmVyc2l0eSwgTmFuamluZyAyMTAwMDksIENoaW5hLjwvYXV0aC1hZGRyZXNzPjx0aXRsZXM+
PHRpdGxlPlByb2Jpb3RpY3MgaW1wcm92ZSBnbHVjb3NlIGFuZCBsaXBpZCBtZXRhYm9saXNtIGlu
IHByZWduYW50IHdvbWVuOiBhIG1ldGEtYW5hbHlzaXM8L3RpdGxlPjxzZWNvbmRhcnktdGl0bGU+
QW5uIFRyYW5zbCBNZWQ8L3NlY29uZGFyeS10aXRsZT48L3RpdGxlcz48cGVyaW9kaWNhbD48ZnVs
bC10aXRsZT5Bbm4gVHJhbnNsIE1lZDwvZnVsbC10aXRsZT48L3BlcmlvZGljYWw+PHBhZ2VzPjk5
PC9wYWdlcz48dm9sdW1lPjc8L3ZvbHVtZT48bnVtYmVyPjU8L251bWJlcj48ZWRpdGlvbj4yMDE5
LzA0LzI2PC9lZGl0aW9uPjxrZXl3b3Jkcz48a2V5d29yZD5QcmVnbmFuY3k8L2tleXdvcmQ+PGtl
eXdvcmQ+Z2VzdGF0aW9uYWwgZGlhYmV0ZXMgbWVsbGl0dXMgKEdETSk8L2tleXdvcmQ+PGtleXdv
cmQ+Z2x5Y29tZXRhYm9saXNtPC9rZXl3b3JkPjxrZXl3b3JkPmd1dCBtaWNyb2Jpb3RhPC9rZXl3
b3JkPjxrZXl3b3JkPmxpcGlkIHByb2ZpbGU8L2tleXdvcmQ+PGtleXdvcmQ+cHJvYmlvdGljczwv
a2V5d29yZD48L2tleXdvcmRzPjxkYXRlcz48eWVhcj4yMDE5PC95ZWFyPjxwdWItZGF0ZXM+PGRh
dGU+TWFyPC9kYXRlPjwvcHViLWRhdGVzPjwvZGF0ZXM+PGlzYm4+MjMwNS01ODM5IChQcmludCkm
I3hEOzIzMDUtNTgzOSAoTGlua2luZyk8L2lzYm4+PGFjY2Vzc2lvbi1udW0+MzEwMTk5NDk8L2Fj
Y2Vzc2lvbi1udW0+PHVybHM+PHJlbGF0ZWQtdXJscz48dXJsPmh0dHBzOi8vd3d3Lm5jYmkubmxt
Lm5paC5nb3YvcHVibWVkLzMxMDE5OTQ5PC91cmw+PC9yZWxhdGVkLXVybHM+PC91cmxzPjxjdXN0
b20yPlBNQzY0NjI2NjE8L2N1c3RvbTI+PGVsZWN0cm9uaWMtcmVzb3VyY2UtbnVtPjEwLjIxMDM3
L2F0bS4yMDE5LjAxLjYxPC9lbGVjdHJvbmljLXJlc291cmNlLW51bT48L3JlY29yZD48L0NpdGU+
PC9FbmROb3RlPgB=
</w:fldData>
        </w:fldChar>
      </w:r>
      <w:r w:rsidR="002747EA">
        <w:instrText xml:space="preserve"> ADDIN EN.CITE </w:instrText>
      </w:r>
      <w:r w:rsidR="002747EA">
        <w:fldChar w:fldCharType="begin">
          <w:fldData xml:space="preserve">PEVuZE5vdGU+PENpdGU+PEF1dGhvcj5IYW48L0F1dGhvcj48WWVhcj4yMDE5PC9ZZWFyPjxSZWNO
dW0+MTY1NTwvUmVjTnVtPjxEaXNwbGF5VGV4dD48c3R5bGUgZmFjZT0ic3VwZXJzY3JpcHQiIGZv
bnQ9IlRyZWJ1Y2hldCBNUyIgc2l6ZT0iOSI+MjI3PC9zdHlsZT48L0Rpc3BsYXlUZXh0PjxyZWNv
cmQ+PHJlYy1udW1iZXI+MTY1NTwvcmVjLW51bWJlcj48Zm9yZWlnbi1rZXlzPjxrZXkgYXBwPSJF
TiIgZGItaWQ9ImV4dmFzcmZ4MmR0cmFvZXNhc3hwMnN6c3hhMmRmNTAyNTkyeCIgdGltZXN0YW1w
PSIxNTgxMzEyNzQyIj4xNjU1PC9rZXk+PGtleSBhcHA9IkVOV2ViIiBkYi1pZD0iIj4wPC9rZXk+
PC9mb3JlaWduLWtleXM+PHJlZi10eXBlIG5hbWU9IkpvdXJuYWwgQXJ0aWNsZSI+MTc8L3JlZi10
eXBlPjxjb250cmlidXRvcnM+PGF1dGhvcnM+PGF1dGhvcj5IYW4sIE0uIE0uPC9hdXRob3I+PGF1
dGhvcj5TdW4sIEouIEYuPC9hdXRob3I+PGF1dGhvcj5TdSwgWC4gSC48L2F1dGhvcj48YXV0aG9y
PlBlbmcsIFkuIEYuPC9hdXRob3I+PGF1dGhvcj5Hb3lhbCwgSC48L2F1dGhvcj48YXV0aG9yPld1
LCBDLiBILjwvYXV0aG9yPjxhdXRob3I+Wmh1LCBYLiBZLjwvYXV0aG9yPjxhdXRob3I+TGksIEwu
PC9hdXRob3I+PC9hdXRob3JzPjwvY29udHJpYnV0b3JzPjxhdXRoLWFkZHJlc3M+RGVwYXJ0bWVu
dCBvZiBFbmRvY3Jpbm9sb2d5LCBaaG9uZ2RhIEhvc3BpdGFsLCBTY2hvb2wgb2YgTWVkaWNpbmUs
IFNvdXRoZWFzdCBVbml2ZXJzaXR5LCBOYW5qaW5nIDIxMDAwOSwgQ2hpbmEuJiN4RDtQYW5jcmVh
dGljIFJlc2VhcmNoIEluc3RpdHV0ZSwgTWluaXN0cnkgb2YgRWR1Y2F0aW9uLCBTY2hvb2wgb2Yg
UHVibGljIEhlYWx0aCwgU291dGhlYXN0IFVuaXZlcnNpdHksIE5hbmppbmcgMjEwMDA5LCBDaGlu
YS4mI3hEO0tleSBMYWJvcmF0b3J5IG9mIEVudmlyb25tZW50YWwgTWVkaWNpbmUgRW5naW5lZXJp
bmcsIE1pbmlzdHJ5IG9mIEVkdWNhdGlvbiwgU2Nob29sIG9mIFB1YmxpYyBIZWFsdGgsIFNvdXRo
ZWFzdCBVbml2ZXJzaXR5LCBOYW5qaW5nIDIxMDAwOSwgQ2hpbmEuJiN4RDtEZXBhcnRtZW50IG9m
IEVuZG9jcmlub2xvZ3ksIHRoZSBGaXJzdCBBZmZpbGlhdGVkIEhvc3BpdGFsIG9mIHRoZSBNZWRp
Y2FsIENvbGxlZ2UsIFNoaWhlemkgVW5pdmVyc2l0eSwgU2hpaGV6aSA4MzIwMDMsIENoaW5hLiYj
eEQ7RGVwYXJ0bWVudCBvZiBJbnRlcm5hbCBNZWRpY2luZSwgU2Nob29sIG9mIE1lZGljaW5lLCBN
ZXJjZXIgVW5pdmVyc2l0eSwgTWFjb24sIFVTQS4mI3hEO0RlcGFydG1lbnQgb2YgR2VuZXJhbCBt
ZWRpY2luZSwgWmhvbmdkYSBIb3NwaXRhbCwgU2Nob29sIG9mIE1lZGljaW5lLCBTb3V0aGVhc3Qg
VW5pdmVyc2l0eSwgTmFuamluZyAyMTAwMDksIENoaW5hLjwvYXV0aC1hZGRyZXNzPjx0aXRsZXM+
PHRpdGxlPlByb2Jpb3RpY3MgaW1wcm92ZSBnbHVjb3NlIGFuZCBsaXBpZCBtZXRhYm9saXNtIGlu
IHByZWduYW50IHdvbWVuOiBhIG1ldGEtYW5hbHlzaXM8L3RpdGxlPjxzZWNvbmRhcnktdGl0bGU+
QW5uIFRyYW5zbCBNZWQ8L3NlY29uZGFyeS10aXRsZT48L3RpdGxlcz48cGVyaW9kaWNhbD48ZnVs
bC10aXRsZT5Bbm4gVHJhbnNsIE1lZDwvZnVsbC10aXRsZT48L3BlcmlvZGljYWw+PHBhZ2VzPjk5
PC9wYWdlcz48dm9sdW1lPjc8L3ZvbHVtZT48bnVtYmVyPjU8L251bWJlcj48ZWRpdGlvbj4yMDE5
LzA0LzI2PC9lZGl0aW9uPjxrZXl3b3Jkcz48a2V5d29yZD5QcmVnbmFuY3k8L2tleXdvcmQ+PGtl
eXdvcmQ+Z2VzdGF0aW9uYWwgZGlhYmV0ZXMgbWVsbGl0dXMgKEdETSk8L2tleXdvcmQ+PGtleXdv
cmQ+Z2x5Y29tZXRhYm9saXNtPC9rZXl3b3JkPjxrZXl3b3JkPmd1dCBtaWNyb2Jpb3RhPC9rZXl3
b3JkPjxrZXl3b3JkPmxpcGlkIHByb2ZpbGU8L2tleXdvcmQ+PGtleXdvcmQ+cHJvYmlvdGljczwv
a2V5d29yZD48L2tleXdvcmRzPjxkYXRlcz48eWVhcj4yMDE5PC95ZWFyPjxwdWItZGF0ZXM+PGRh
dGU+TWFyPC9kYXRlPjwvcHViLWRhdGVzPjwvZGF0ZXM+PGlzYm4+MjMwNS01ODM5IChQcmludCkm
I3hEOzIzMDUtNTgzOSAoTGlua2luZyk8L2lzYm4+PGFjY2Vzc2lvbi1udW0+MzEwMTk5NDk8L2Fj
Y2Vzc2lvbi1udW0+PHVybHM+PHJlbGF0ZWQtdXJscz48dXJsPmh0dHBzOi8vd3d3Lm5jYmkubmxt
Lm5paC5nb3YvcHVibWVkLzMxMDE5OTQ5PC91cmw+PC9yZWxhdGVkLXVybHM+PC91cmxzPjxjdXN0
b20yPlBNQzY0NjI2NjE8L2N1c3RvbTI+PGVsZWN0cm9uaWMtcmVzb3VyY2UtbnVtPjEwLjIxMDM3
L2F0bS4yMDE5LjAxLjYxPC9lbGVjdHJvbmljLXJlc291cmNlLW51bT48L3JlY29yZD48L0NpdGU+
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227</w:t>
      </w:r>
      <w:r w:rsidR="00AB21E2">
        <w:fldChar w:fldCharType="end"/>
      </w:r>
      <w:r w:rsidR="00513E14">
        <w:t xml:space="preserve"> </w:t>
      </w:r>
      <w:r w:rsidR="00513E14" w:rsidRPr="00C370FB">
        <w:rPr>
          <w:sz w:val="16"/>
          <w:szCs w:val="16"/>
        </w:rPr>
        <w:t>versus RR 1.25; 95%CI 0.61 to 2.56; 388; 3 RCTs</w:t>
      </w:r>
      <w:r w:rsidR="00AB21E2">
        <w:fldChar w:fldCharType="begin">
          <w:fldData xml:space="preserve">PEVuZE5vdGU+PENpdGU+PEF1dGhvcj5KYXJkZTwvQXV0aG9yPjxZZWFyPjIwMTg8L1llYXI+PFJl
Y051bT4xNjU5PC9SZWNOdW0+PERpc3BsYXlUZXh0PjxzdHlsZSBmYWNlPSJzdXBlcnNjcmlwdCIg
Zm9udD0iVHJlYnVjaGV0IE1TIiBzaXplPSI5Ij4yMjU8L3N0eWxlPjwvRGlzcGxheVRleHQ+PHJl
Y29yZD48cmVjLW51bWJlcj4xNjU5PC9yZWMtbnVtYmVyPjxmb3JlaWduLWtleXM+PGtleSBhcHA9
IkVOIiBkYi1pZD0iZXh2YXNyZngyZHRyYW9lc2FzeHAyc3pzeGEyZGY1MDI1OTJ4IiB0aW1lc3Rh
bXA9IjE1ODEzMTI3NjQiPjE2NTk8L2tleT48a2V5IGFwcD0iRU5XZWIiIGRiLWlkPSIiPjA8L2tl
eT48L2ZvcmVpZ24ta2V5cz48cmVmLXR5cGUgbmFtZT0iSm91cm5hbCBBcnRpY2xlIj4xNzwvcmVm
LXR5cGU+PGNvbnRyaWJ1dG9ycz48YXV0aG9ycz48YXV0aG9yPkphcmRlLCBBLjwvYXV0aG9yPjxh
dXRob3I+TGV3aXMtTWlraGFlbCwgQS4gTS48L2F1dGhvcj48YXV0aG9yPk1vYXl5ZWRpLCBQLjwv
YXV0aG9yPjxhdXRob3I+U3RlYXJucywgSi4gQy48L2F1dGhvcj48YXV0aG9yPkNvbGxpbnMsIFMu
IE0uPC9hdXRob3I+PGF1dGhvcj5CZXllbmUsIEouPC9hdXRob3I+PGF1dGhvcj5NY0RvbmFsZCwg
Uy4gRC48L2F1dGhvcj48L2F1dGhvcnM+PC9jb250cmlidXRvcnM+PGF1dGgtYWRkcmVzcz5EZXBh
cnRtZW50IG9mIE9ic3RldHJpY3MgYW5kIEd5bmVjb2xvZ3ksIE1jTWFzdGVyIFVuaXZlcnNpdHks
IDEyODAgTWFpbiBTdHJlZXQgV2VzdCwgSGFtaWx0b24sIE9OLCBMOFMgNEsxLCBDYW5hZGEuIGph
cmRlQG1jbWFzdGVyLmNhLiYjeEQ7RGVwYXJ0bWVudCBvZiBPYnN0ZXRyaWNzIGFuZCBHeW5lY29s
b2d5LCBNY01hc3RlciBVbml2ZXJzaXR5LCAxMjgwIE1haW4gU3RyZWV0IFdlc3QsIEhhbWlsdG9u
LCBPTiwgTDhTIDRLMSwgQ2FuYWRhLiYjeEQ7RGVwYXJ0bWVudCBvZiBNZWRpY2luZSwgR2FzdHJv
ZW50ZXJvbG9neSBEaXZpc2lvbiwgTWNNYXN0ZXIgVW5pdmVyc2l0eSwgSGFtaWx0b24sIE9OLCBD
YW5hZGEuJiN4RDtGYXJuY29tYmUgRmFtaWx5IERpZ2VzdGl2ZSBIZWFsdGggUmVzZWFyY2ggSW5z
dGl0dXRlLCBNY01hc3RlciBVbml2ZXJzaXR5LCBIYW1pbHRvbiwgT04sIENhbmFkYS4mI3hEO0Zh
cm5jb21iZSBGYW1pbHkgRGlnZXN0aXZlIEhlYWx0aCBSZXNlYXJjaCBJbnN0aXR1dGUsIERlcGFy
dG1lbnQgb2YgTWVkaWNpbmUsIE1jTWFzdGVyIFVuaXZlcnNpdHksIEhhbWlsdG9uLCBPTiwgQ2Fu
YWRhLiYjeEQ7RGVwYXJ0bWVudCBvZiBDbGluaWNhbCBFcGlkZW1pb2xvZ3kgYW5kIEJpb3N0YXRp
c3RpY3MsIE1jTWFzdGVyIFVuaXZlcnNpdHksIEhhbWlsdG9uLCBPTiwgQ2FuYWRhLjwvYXV0aC1h
ZGRyZXNzPjx0aXRsZXM+PHRpdGxlPlByZWduYW5jeSBvdXRjb21lcyBpbiB3b21lbiB0YWtpbmcg
cHJvYmlvdGljcyBvciBwcmViaW90aWNzOiBhIHN5c3RlbWF0aWMgcmV2aWV3IGFuZCBtZXRhLWFu
YWx5c2lzPC90aXRsZT48c2Vjb25kYXJ5LXRpdGxlPkJNQyBQcmVnbmFuY3kgQ2hpbGRiaXJ0aDwv
c2Vjb25kYXJ5LXRpdGxlPjwvdGl0bGVzPjxwZXJpb2RpY2FsPjxmdWxsLXRpdGxlPkJNQyBQcmVn
bmFuY3kgQ2hpbGRiaXJ0aDwvZnVsbC10aXRsZT48L3BlcmlvZGljYWw+PHBhZ2VzPjE0PC9wYWdl
cz48dm9sdW1lPjE4PC92b2x1bWU+PG51bWJlcj4xPC9udW1iZXI+PGVkaXRpb24+MjAxOC8wMS8x
MDwvZWRpdGlvbj48a2V5d29yZHM+PGtleXdvcmQ+RGlhYmV0ZXMsIEdlc3RhdGlvbmFsL2VwaWRl
bWlvbG9neTwva2V5d29yZD48a2V5d29yZD5GZW1hbGU8L2tleXdvcmQ+PGtleXdvcmQ+SHVtYW5z
PC9rZXl3b3JkPjxrZXl3b3JkPipQcmViaW90aWNzPC9rZXl3b3JkPjxrZXl3b3JkPlByZWduYW5j
eTwva2V5d29yZD48a2V5d29yZD4qUHJlZ25hbmN5IE91dGNvbWU8L2tleXdvcmQ+PGtleXdvcmQ+
UHJlbWF0dXJlIEJpcnRoLyplcGlkZW1pb2xvZ3k8L2tleXdvcmQ+PGtleXdvcmQ+UHJvYmlvdGlj
cy8qdGhlcmFwZXV0aWMgdXNlPC9rZXl3b3JkPjxrZXl3b3JkPlJhbmRvbWl6ZWQgQ29udHJvbGxl
ZCBUcmlhbHMgYXMgVG9waWM8L2tleXdvcmQ+PGtleXdvcmQ+KlByZWduYW5jeTwva2V5d29yZD48
a2V5d29yZD4qUHJldGVybSBiaXJ0aDwva2V5d29yZD48a2V5d29yZD4qUHJvYmlvdGljczwva2V5
d29yZD48a2V5d29yZD4qU3luYmlvdGljczwva2V5d29yZD48L2tleXdvcmRzPjxkYXRlcz48eWVh
cj4yMDE4PC95ZWFyPjxwdWItZGF0ZXM+PGRhdGU+SmFuIDg8L2RhdGU+PC9wdWItZGF0ZXM+PC9k
YXRlcz48aXNibj4xNDcxLTIzOTMgKEVsZWN0cm9uaWMpJiN4RDsxNDcxLTIzOTMgKExpbmtpbmcp
PC9pc2JuPjxhY2Nlc3Npb24tbnVtPjI5MzEwNjEwPC9hY2Nlc3Npb24tbnVtPjx1cmxzPjxyZWxh
dGVkLXVybHM+PHVybD5odHRwczovL3d3dy5uY2JpLm5sbS5uaWguZ292L3B1Ym1lZC8yOTMxMDYx
MDwvdXJsPjwvcmVsYXRlZC11cmxzPjwvdXJscz48Y3VzdG9tMj5QTUM1NzU5MjEyPC9jdXN0b20y
PjxlbGVjdHJvbmljLXJlc291cmNlLW51bT4xMC4xMTg2L3MxMjg4NC0wMTctMTYyOS01PC9lbGVj
dHJvbmljLXJlc291cmNlLW51bT48L3JlY29yZD48L0NpdGU+PC9FbmROb3RlPgB=
</w:fldData>
        </w:fldChar>
      </w:r>
      <w:r w:rsidR="002747EA">
        <w:instrText xml:space="preserve"> ADDIN EN.CITE </w:instrText>
      </w:r>
      <w:r w:rsidR="002747EA">
        <w:fldChar w:fldCharType="begin">
          <w:fldData xml:space="preserve">PEVuZE5vdGU+PENpdGU+PEF1dGhvcj5KYXJkZTwvQXV0aG9yPjxZZWFyPjIwMTg8L1llYXI+PFJl
Y051bT4xNjU5PC9SZWNOdW0+PERpc3BsYXlUZXh0PjxzdHlsZSBmYWNlPSJzdXBlcnNjcmlwdCIg
Zm9udD0iVHJlYnVjaGV0IE1TIiBzaXplPSI5Ij4yMjU8L3N0eWxlPjwvRGlzcGxheVRleHQ+PHJl
Y29yZD48cmVjLW51bWJlcj4xNjU5PC9yZWMtbnVtYmVyPjxmb3JlaWduLWtleXM+PGtleSBhcHA9
IkVOIiBkYi1pZD0iZXh2YXNyZngyZHRyYW9lc2FzeHAyc3pzeGEyZGY1MDI1OTJ4IiB0aW1lc3Rh
bXA9IjE1ODEzMTI3NjQiPjE2NTk8L2tleT48a2V5IGFwcD0iRU5XZWIiIGRiLWlkPSIiPjA8L2tl
eT48L2ZvcmVpZ24ta2V5cz48cmVmLXR5cGUgbmFtZT0iSm91cm5hbCBBcnRpY2xlIj4xNzwvcmVm
LXR5cGU+PGNvbnRyaWJ1dG9ycz48YXV0aG9ycz48YXV0aG9yPkphcmRlLCBBLjwvYXV0aG9yPjxh
dXRob3I+TGV3aXMtTWlraGFlbCwgQS4gTS48L2F1dGhvcj48YXV0aG9yPk1vYXl5ZWRpLCBQLjwv
YXV0aG9yPjxhdXRob3I+U3RlYXJucywgSi4gQy48L2F1dGhvcj48YXV0aG9yPkNvbGxpbnMsIFMu
IE0uPC9hdXRob3I+PGF1dGhvcj5CZXllbmUsIEouPC9hdXRob3I+PGF1dGhvcj5NY0RvbmFsZCwg
Uy4gRC48L2F1dGhvcj48L2F1dGhvcnM+PC9jb250cmlidXRvcnM+PGF1dGgtYWRkcmVzcz5EZXBh
cnRtZW50IG9mIE9ic3RldHJpY3MgYW5kIEd5bmVjb2xvZ3ksIE1jTWFzdGVyIFVuaXZlcnNpdHks
IDEyODAgTWFpbiBTdHJlZXQgV2VzdCwgSGFtaWx0b24sIE9OLCBMOFMgNEsxLCBDYW5hZGEuIGph
cmRlQG1jbWFzdGVyLmNhLiYjeEQ7RGVwYXJ0bWVudCBvZiBPYnN0ZXRyaWNzIGFuZCBHeW5lY29s
b2d5LCBNY01hc3RlciBVbml2ZXJzaXR5LCAxMjgwIE1haW4gU3RyZWV0IFdlc3QsIEhhbWlsdG9u
LCBPTiwgTDhTIDRLMSwgQ2FuYWRhLiYjeEQ7RGVwYXJ0bWVudCBvZiBNZWRpY2luZSwgR2FzdHJv
ZW50ZXJvbG9neSBEaXZpc2lvbiwgTWNNYXN0ZXIgVW5pdmVyc2l0eSwgSGFtaWx0b24sIE9OLCBD
YW5hZGEuJiN4RDtGYXJuY29tYmUgRmFtaWx5IERpZ2VzdGl2ZSBIZWFsdGggUmVzZWFyY2ggSW5z
dGl0dXRlLCBNY01hc3RlciBVbml2ZXJzaXR5LCBIYW1pbHRvbiwgT04sIENhbmFkYS4mI3hEO0Zh
cm5jb21iZSBGYW1pbHkgRGlnZXN0aXZlIEhlYWx0aCBSZXNlYXJjaCBJbnN0aXR1dGUsIERlcGFy
dG1lbnQgb2YgTWVkaWNpbmUsIE1jTWFzdGVyIFVuaXZlcnNpdHksIEhhbWlsdG9uLCBPTiwgQ2Fu
YWRhLiYjeEQ7RGVwYXJ0bWVudCBvZiBDbGluaWNhbCBFcGlkZW1pb2xvZ3kgYW5kIEJpb3N0YXRp
c3RpY3MsIE1jTWFzdGVyIFVuaXZlcnNpdHksIEhhbWlsdG9uLCBPTiwgQ2FuYWRhLjwvYXV0aC1h
ZGRyZXNzPjx0aXRsZXM+PHRpdGxlPlByZWduYW5jeSBvdXRjb21lcyBpbiB3b21lbiB0YWtpbmcg
cHJvYmlvdGljcyBvciBwcmViaW90aWNzOiBhIHN5c3RlbWF0aWMgcmV2aWV3IGFuZCBtZXRhLWFu
YWx5c2lzPC90aXRsZT48c2Vjb25kYXJ5LXRpdGxlPkJNQyBQcmVnbmFuY3kgQ2hpbGRiaXJ0aDwv
c2Vjb25kYXJ5LXRpdGxlPjwvdGl0bGVzPjxwZXJpb2RpY2FsPjxmdWxsLXRpdGxlPkJNQyBQcmVn
bmFuY3kgQ2hpbGRiaXJ0aDwvZnVsbC10aXRsZT48L3BlcmlvZGljYWw+PHBhZ2VzPjE0PC9wYWdl
cz48dm9sdW1lPjE4PC92b2x1bWU+PG51bWJlcj4xPC9udW1iZXI+PGVkaXRpb24+MjAxOC8wMS8x
MDwvZWRpdGlvbj48a2V5d29yZHM+PGtleXdvcmQ+RGlhYmV0ZXMsIEdlc3RhdGlvbmFsL2VwaWRl
bWlvbG9neTwva2V5d29yZD48a2V5d29yZD5GZW1hbGU8L2tleXdvcmQ+PGtleXdvcmQ+SHVtYW5z
PC9rZXl3b3JkPjxrZXl3b3JkPipQcmViaW90aWNzPC9rZXl3b3JkPjxrZXl3b3JkPlByZWduYW5j
eTwva2V5d29yZD48a2V5d29yZD4qUHJlZ25hbmN5IE91dGNvbWU8L2tleXdvcmQ+PGtleXdvcmQ+
UHJlbWF0dXJlIEJpcnRoLyplcGlkZW1pb2xvZ3k8L2tleXdvcmQ+PGtleXdvcmQ+UHJvYmlvdGlj
cy8qdGhlcmFwZXV0aWMgdXNlPC9rZXl3b3JkPjxrZXl3b3JkPlJhbmRvbWl6ZWQgQ29udHJvbGxl
ZCBUcmlhbHMgYXMgVG9waWM8L2tleXdvcmQ+PGtleXdvcmQ+KlByZWduYW5jeTwva2V5d29yZD48
a2V5d29yZD4qUHJldGVybSBiaXJ0aDwva2V5d29yZD48a2V5d29yZD4qUHJvYmlvdGljczwva2V5
d29yZD48a2V5d29yZD4qU3luYmlvdGljczwva2V5d29yZD48L2tleXdvcmRzPjxkYXRlcz48eWVh
cj4yMDE4PC95ZWFyPjxwdWItZGF0ZXM+PGRhdGU+SmFuIDg8L2RhdGU+PC9wdWItZGF0ZXM+PC9k
YXRlcz48aXNibj4xNDcxLTIzOTMgKEVsZWN0cm9uaWMpJiN4RDsxNDcxLTIzOTMgKExpbmtpbmcp
PC9pc2JuPjxhY2Nlc3Npb24tbnVtPjI5MzEwNjEwPC9hY2Nlc3Npb24tbnVtPjx1cmxzPjxyZWxh
dGVkLXVybHM+PHVybD5odHRwczovL3d3dy5uY2JpLm5sbS5uaWguZ292L3B1Ym1lZC8yOTMxMDYx
MDwvdXJsPjwvcmVsYXRlZC11cmxzPjwvdXJscz48Y3VzdG9tMj5QTUM1NzU5MjEyPC9jdXN0b20y
PjxlbGVjdHJvbmljLXJlc291cmNlLW51bT4xMC4xMTg2L3MxMjg4NC0wMTctMTYyOS01PC9lbGVj
dHJvbmljLXJlc291cmNlLW51bT48L3JlY29yZD48L0NpdGU+PC9FbmROb3RlPgB=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w:t>
      </w:r>
      <w:r w:rsidR="00AB21E2">
        <w:fldChar w:fldCharType="end"/>
      </w:r>
      <w:r w:rsidR="00513E14">
        <w:t>).</w:t>
      </w:r>
      <w:r w:rsidR="00102383">
        <w:t xml:space="preserve"> One review found no clear difference in infant mortality.</w:t>
      </w:r>
      <w:r w:rsidR="00AB21E2">
        <w:fldChar w:fldCharType="begin"/>
      </w:r>
      <w:r w:rsidR="002747EA">
        <w:instrText xml:space="preserve"> ADDIN EN.CITE &lt;EndNote&gt;&lt;Cite&gt;&lt;Author&gt;Grev&lt;/Author&gt;&lt;Year&gt;2018&lt;/Year&gt;&lt;RecNum&gt;1654&lt;/RecNum&gt;&lt;DisplayText&gt;&lt;style face="superscript" font="Trebuchet MS" size="9"&gt;226&lt;/style&gt;&lt;/DisplayText&gt;&lt;record&gt;&lt;rec-number&gt;1654&lt;/rec-number&gt;&lt;foreign-keys&gt;&lt;key app="EN" db-id="exvasrfx2dtraoesasxp2szsxa2df502592x" timestamp="1581312734"&gt;1654&lt;/key&gt;&lt;key app="ENWeb" db-id=""&gt;0&lt;/key&gt;&lt;/foreign-keys&gt;&lt;ref-type name="Journal Article"&gt;17&lt;/ref-type&gt;&lt;contributors&gt;&lt;authors&gt;&lt;author&gt;Grev, J.&lt;/author&gt;&lt;author&gt;Berg, M.&lt;/author&gt;&lt;author&gt;Soll, R.&lt;/author&gt;&lt;/authors&gt;&lt;/contributors&gt;&lt;auth-address&gt;University of Vermont Medical Center, Burlington VT, USA.&lt;/auth-address&gt;&lt;titles&gt;&lt;title&gt;Maternal probiotic supplementation for prevention of morbidity and mortality in preterm infants&lt;/title&gt;&lt;secondary-title&gt;Cochrane Database Syst Rev&lt;/secondary-title&gt;&lt;/titles&gt;&lt;periodical&gt;&lt;full-title&gt;Cochrane Database Syst Rev&lt;/full-title&gt;&lt;/periodical&gt;&lt;pages&gt;CD012519&lt;/pages&gt;&lt;volume&gt;12&lt;/volume&gt;&lt;edition&gt;2018/12/15&lt;/edition&gt;&lt;keywords&gt;&lt;keyword&gt;Administration, Oral&lt;/keyword&gt;&lt;keyword&gt;Enterocolitis, Necrotizing/*prevention &amp;amp; control&lt;/keyword&gt;&lt;keyword&gt;Gastrointestinal Microbiome&lt;/keyword&gt;&lt;keyword&gt;Humans&lt;/keyword&gt;&lt;keyword&gt;Infant&lt;/keyword&gt;&lt;keyword&gt;Infant Mortality&lt;/keyword&gt;&lt;keyword&gt;Infant, Newborn&lt;/keyword&gt;&lt;keyword&gt;*Infant, Premature&lt;/keyword&gt;&lt;keyword&gt;Infant, Premature, Diseases/*prevention &amp;amp; control&lt;/keyword&gt;&lt;keyword&gt;Inflammation&lt;/keyword&gt;&lt;keyword&gt;Morbidity&lt;/keyword&gt;&lt;keyword&gt;*Mothers&lt;/keyword&gt;&lt;keyword&gt;Prenatal Care&lt;/keyword&gt;&lt;keyword&gt;Probiotics/*administration &amp;amp; dosage&lt;/keyword&gt;&lt;keyword&gt;Randomized Controlled Trials as Topic&lt;/keyword&gt;&lt;/keywords&gt;&lt;dates&gt;&lt;year&gt;2018&lt;/year&gt;&lt;pub-dates&gt;&lt;date&gt;Dec 12&lt;/date&gt;&lt;/pub-dates&gt;&lt;/dates&gt;&lt;isbn&gt;1469-493X (Electronic)&amp;#xD;1361-6137 (Linking)&lt;/isbn&gt;&lt;accession-num&gt;30548483&lt;/accession-num&gt;&lt;urls&gt;&lt;related-urls&gt;&lt;url&gt;https://www.ncbi.nlm.nih.gov/pubmed/30548483&lt;/url&gt;&lt;/related-urls&gt;&lt;/urls&gt;&lt;custom2&gt;PMC6516999&lt;/custom2&gt;&lt;electronic-resource-num&gt;10.1002/14651858.CD012519.pub2&lt;/electronic-resource-num&gt;&lt;/record&gt;&lt;/Cite&gt;&lt;/EndNote&gt;</w:instrText>
      </w:r>
      <w:r w:rsidR="00AB21E2">
        <w:fldChar w:fldCharType="separate"/>
      </w:r>
      <w:r w:rsidR="002747EA" w:rsidRPr="002747EA">
        <w:rPr>
          <w:noProof/>
          <w:vertAlign w:val="superscript"/>
        </w:rPr>
        <w:t>226</w:t>
      </w:r>
      <w:r w:rsidR="00AB21E2">
        <w:fldChar w:fldCharType="end"/>
      </w:r>
      <w:r w:rsidR="00102383">
        <w:t xml:space="preserve"> Another found no clear difference in risk of gestational hypertension, </w:t>
      </w:r>
      <w:r w:rsidR="008F2A78">
        <w:t>small for gestational age or</w:t>
      </w:r>
      <w:r w:rsidR="00102383">
        <w:t xml:space="preserve"> large for gestational age.</w:t>
      </w:r>
      <w:r w:rsidR="00AB21E2">
        <w:fldChar w:fldCharType="begin">
          <w:fldData xml:space="preserve">PEVuZE5vdGU+PENpdGU+PEF1dGhvcj5KYXJkZTwvQXV0aG9yPjxZZWFyPjIwMTg8L1llYXI+PFJl
Y051bT4xNjU5PC9SZWNOdW0+PERpc3BsYXlUZXh0PjxzdHlsZSBmYWNlPSJzdXBlcnNjcmlwdCIg
Zm9udD0iVHJlYnVjaGV0IE1TIiBzaXplPSI5Ij4yMjU8L3N0eWxlPjwvRGlzcGxheVRleHQ+PHJl
Y29yZD48cmVjLW51bWJlcj4xNjU5PC9yZWMtbnVtYmVyPjxmb3JlaWduLWtleXM+PGtleSBhcHA9
IkVOIiBkYi1pZD0iZXh2YXNyZngyZHRyYW9lc2FzeHAyc3pzeGEyZGY1MDI1OTJ4IiB0aW1lc3Rh
bXA9IjE1ODEzMTI3NjQiPjE2NTk8L2tleT48a2V5IGFwcD0iRU5XZWIiIGRiLWlkPSIiPjA8L2tl
eT48L2ZvcmVpZ24ta2V5cz48cmVmLXR5cGUgbmFtZT0iSm91cm5hbCBBcnRpY2xlIj4xNzwvcmVm
LXR5cGU+PGNvbnRyaWJ1dG9ycz48YXV0aG9ycz48YXV0aG9yPkphcmRlLCBBLjwvYXV0aG9yPjxh
dXRob3I+TGV3aXMtTWlraGFlbCwgQS4gTS48L2F1dGhvcj48YXV0aG9yPk1vYXl5ZWRpLCBQLjwv
YXV0aG9yPjxhdXRob3I+U3RlYXJucywgSi4gQy48L2F1dGhvcj48YXV0aG9yPkNvbGxpbnMsIFMu
IE0uPC9hdXRob3I+PGF1dGhvcj5CZXllbmUsIEouPC9hdXRob3I+PGF1dGhvcj5NY0RvbmFsZCwg
Uy4gRC48L2F1dGhvcj48L2F1dGhvcnM+PC9jb250cmlidXRvcnM+PGF1dGgtYWRkcmVzcz5EZXBh
cnRtZW50IG9mIE9ic3RldHJpY3MgYW5kIEd5bmVjb2xvZ3ksIE1jTWFzdGVyIFVuaXZlcnNpdHks
IDEyODAgTWFpbiBTdHJlZXQgV2VzdCwgSGFtaWx0b24sIE9OLCBMOFMgNEsxLCBDYW5hZGEuIGph
cmRlQG1jbWFzdGVyLmNhLiYjeEQ7RGVwYXJ0bWVudCBvZiBPYnN0ZXRyaWNzIGFuZCBHeW5lY29s
b2d5LCBNY01hc3RlciBVbml2ZXJzaXR5LCAxMjgwIE1haW4gU3RyZWV0IFdlc3QsIEhhbWlsdG9u
LCBPTiwgTDhTIDRLMSwgQ2FuYWRhLiYjeEQ7RGVwYXJ0bWVudCBvZiBNZWRpY2luZSwgR2FzdHJv
ZW50ZXJvbG9neSBEaXZpc2lvbiwgTWNNYXN0ZXIgVW5pdmVyc2l0eSwgSGFtaWx0b24sIE9OLCBD
YW5hZGEuJiN4RDtGYXJuY29tYmUgRmFtaWx5IERpZ2VzdGl2ZSBIZWFsdGggUmVzZWFyY2ggSW5z
dGl0dXRlLCBNY01hc3RlciBVbml2ZXJzaXR5LCBIYW1pbHRvbiwgT04sIENhbmFkYS4mI3hEO0Zh
cm5jb21iZSBGYW1pbHkgRGlnZXN0aXZlIEhlYWx0aCBSZXNlYXJjaCBJbnN0aXR1dGUsIERlcGFy
dG1lbnQgb2YgTWVkaWNpbmUsIE1jTWFzdGVyIFVuaXZlcnNpdHksIEhhbWlsdG9uLCBPTiwgQ2Fu
YWRhLiYjeEQ7RGVwYXJ0bWVudCBvZiBDbGluaWNhbCBFcGlkZW1pb2xvZ3kgYW5kIEJpb3N0YXRp
c3RpY3MsIE1jTWFzdGVyIFVuaXZlcnNpdHksIEhhbWlsdG9uLCBPTiwgQ2FuYWRhLjwvYXV0aC1h
ZGRyZXNzPjx0aXRsZXM+PHRpdGxlPlByZWduYW5jeSBvdXRjb21lcyBpbiB3b21lbiB0YWtpbmcg
cHJvYmlvdGljcyBvciBwcmViaW90aWNzOiBhIHN5c3RlbWF0aWMgcmV2aWV3IGFuZCBtZXRhLWFu
YWx5c2lzPC90aXRsZT48c2Vjb25kYXJ5LXRpdGxlPkJNQyBQcmVnbmFuY3kgQ2hpbGRiaXJ0aDwv
c2Vjb25kYXJ5LXRpdGxlPjwvdGl0bGVzPjxwZXJpb2RpY2FsPjxmdWxsLXRpdGxlPkJNQyBQcmVn
bmFuY3kgQ2hpbGRiaXJ0aDwvZnVsbC10aXRsZT48L3BlcmlvZGljYWw+PHBhZ2VzPjE0PC9wYWdl
cz48dm9sdW1lPjE4PC92b2x1bWU+PG51bWJlcj4xPC9udW1iZXI+PGVkaXRpb24+MjAxOC8wMS8x
MDwvZWRpdGlvbj48a2V5d29yZHM+PGtleXdvcmQ+RGlhYmV0ZXMsIEdlc3RhdGlvbmFsL2VwaWRl
bWlvbG9neTwva2V5d29yZD48a2V5d29yZD5GZW1hbGU8L2tleXdvcmQ+PGtleXdvcmQ+SHVtYW5z
PC9rZXl3b3JkPjxrZXl3b3JkPipQcmViaW90aWNzPC9rZXl3b3JkPjxrZXl3b3JkPlByZWduYW5j
eTwva2V5d29yZD48a2V5d29yZD4qUHJlZ25hbmN5IE91dGNvbWU8L2tleXdvcmQ+PGtleXdvcmQ+
UHJlbWF0dXJlIEJpcnRoLyplcGlkZW1pb2xvZ3k8L2tleXdvcmQ+PGtleXdvcmQ+UHJvYmlvdGlj
cy8qdGhlcmFwZXV0aWMgdXNlPC9rZXl3b3JkPjxrZXl3b3JkPlJhbmRvbWl6ZWQgQ29udHJvbGxl
ZCBUcmlhbHMgYXMgVG9waWM8L2tleXdvcmQ+PGtleXdvcmQ+KlByZWduYW5jeTwva2V5d29yZD48
a2V5d29yZD4qUHJldGVybSBiaXJ0aDwva2V5d29yZD48a2V5d29yZD4qUHJvYmlvdGljczwva2V5
d29yZD48a2V5d29yZD4qU3luYmlvdGljczwva2V5d29yZD48L2tleXdvcmRzPjxkYXRlcz48eWVh
cj4yMDE4PC95ZWFyPjxwdWItZGF0ZXM+PGRhdGU+SmFuIDg8L2RhdGU+PC9wdWItZGF0ZXM+PC9k
YXRlcz48aXNibj4xNDcxLTIzOTMgKEVsZWN0cm9uaWMpJiN4RDsxNDcxLTIzOTMgKExpbmtpbmcp
PC9pc2JuPjxhY2Nlc3Npb24tbnVtPjI5MzEwNjEwPC9hY2Nlc3Npb24tbnVtPjx1cmxzPjxyZWxh
dGVkLXVybHM+PHVybD5odHRwczovL3d3dy5uY2JpLm5sbS5uaWguZ292L3B1Ym1lZC8yOTMxMDYx
MDwvdXJsPjwvcmVsYXRlZC11cmxzPjwvdXJscz48Y3VzdG9tMj5QTUM1NzU5MjEyPC9jdXN0b20y
PjxlbGVjdHJvbmljLXJlc291cmNlLW51bT4xMC4xMTg2L3MxMjg4NC0wMTctMTYyOS01PC9lbGVj
dHJvbmljLXJlc291cmNlLW51bT48L3JlY29yZD48L0NpdGU+PC9FbmROb3RlPgB=
</w:fldData>
        </w:fldChar>
      </w:r>
      <w:r w:rsidR="002747EA">
        <w:instrText xml:space="preserve"> ADDIN EN.CITE </w:instrText>
      </w:r>
      <w:r w:rsidR="002747EA">
        <w:fldChar w:fldCharType="begin">
          <w:fldData xml:space="preserve">PEVuZE5vdGU+PENpdGU+PEF1dGhvcj5KYXJkZTwvQXV0aG9yPjxZZWFyPjIwMTg8L1llYXI+PFJl
Y051bT4xNjU5PC9SZWNOdW0+PERpc3BsYXlUZXh0PjxzdHlsZSBmYWNlPSJzdXBlcnNjcmlwdCIg
Zm9udD0iVHJlYnVjaGV0IE1TIiBzaXplPSI5Ij4yMjU8L3N0eWxlPjwvRGlzcGxheVRleHQ+PHJl
Y29yZD48cmVjLW51bWJlcj4xNjU5PC9yZWMtbnVtYmVyPjxmb3JlaWduLWtleXM+PGtleSBhcHA9
IkVOIiBkYi1pZD0iZXh2YXNyZngyZHRyYW9lc2FzeHAyc3pzeGEyZGY1MDI1OTJ4IiB0aW1lc3Rh
bXA9IjE1ODEzMTI3NjQiPjE2NTk8L2tleT48a2V5IGFwcD0iRU5XZWIiIGRiLWlkPSIiPjA8L2tl
eT48L2ZvcmVpZ24ta2V5cz48cmVmLXR5cGUgbmFtZT0iSm91cm5hbCBBcnRpY2xlIj4xNzwvcmVm
LXR5cGU+PGNvbnRyaWJ1dG9ycz48YXV0aG9ycz48YXV0aG9yPkphcmRlLCBBLjwvYXV0aG9yPjxh
dXRob3I+TGV3aXMtTWlraGFlbCwgQS4gTS48L2F1dGhvcj48YXV0aG9yPk1vYXl5ZWRpLCBQLjwv
YXV0aG9yPjxhdXRob3I+U3RlYXJucywgSi4gQy48L2F1dGhvcj48YXV0aG9yPkNvbGxpbnMsIFMu
IE0uPC9hdXRob3I+PGF1dGhvcj5CZXllbmUsIEouPC9hdXRob3I+PGF1dGhvcj5NY0RvbmFsZCwg
Uy4gRC48L2F1dGhvcj48L2F1dGhvcnM+PC9jb250cmlidXRvcnM+PGF1dGgtYWRkcmVzcz5EZXBh
cnRtZW50IG9mIE9ic3RldHJpY3MgYW5kIEd5bmVjb2xvZ3ksIE1jTWFzdGVyIFVuaXZlcnNpdHks
IDEyODAgTWFpbiBTdHJlZXQgV2VzdCwgSGFtaWx0b24sIE9OLCBMOFMgNEsxLCBDYW5hZGEuIGph
cmRlQG1jbWFzdGVyLmNhLiYjeEQ7RGVwYXJ0bWVudCBvZiBPYnN0ZXRyaWNzIGFuZCBHeW5lY29s
b2d5LCBNY01hc3RlciBVbml2ZXJzaXR5LCAxMjgwIE1haW4gU3RyZWV0IFdlc3QsIEhhbWlsdG9u
LCBPTiwgTDhTIDRLMSwgQ2FuYWRhLiYjeEQ7RGVwYXJ0bWVudCBvZiBNZWRpY2luZSwgR2FzdHJv
ZW50ZXJvbG9neSBEaXZpc2lvbiwgTWNNYXN0ZXIgVW5pdmVyc2l0eSwgSGFtaWx0b24sIE9OLCBD
YW5hZGEuJiN4RDtGYXJuY29tYmUgRmFtaWx5IERpZ2VzdGl2ZSBIZWFsdGggUmVzZWFyY2ggSW5z
dGl0dXRlLCBNY01hc3RlciBVbml2ZXJzaXR5LCBIYW1pbHRvbiwgT04sIENhbmFkYS4mI3hEO0Zh
cm5jb21iZSBGYW1pbHkgRGlnZXN0aXZlIEhlYWx0aCBSZXNlYXJjaCBJbnN0aXR1dGUsIERlcGFy
dG1lbnQgb2YgTWVkaWNpbmUsIE1jTWFzdGVyIFVuaXZlcnNpdHksIEhhbWlsdG9uLCBPTiwgQ2Fu
YWRhLiYjeEQ7RGVwYXJ0bWVudCBvZiBDbGluaWNhbCBFcGlkZW1pb2xvZ3kgYW5kIEJpb3N0YXRp
c3RpY3MsIE1jTWFzdGVyIFVuaXZlcnNpdHksIEhhbWlsdG9uLCBPTiwgQ2FuYWRhLjwvYXV0aC1h
ZGRyZXNzPjx0aXRsZXM+PHRpdGxlPlByZWduYW5jeSBvdXRjb21lcyBpbiB3b21lbiB0YWtpbmcg
cHJvYmlvdGljcyBvciBwcmViaW90aWNzOiBhIHN5c3RlbWF0aWMgcmV2aWV3IGFuZCBtZXRhLWFu
YWx5c2lzPC90aXRsZT48c2Vjb25kYXJ5LXRpdGxlPkJNQyBQcmVnbmFuY3kgQ2hpbGRiaXJ0aDwv
c2Vjb25kYXJ5LXRpdGxlPjwvdGl0bGVzPjxwZXJpb2RpY2FsPjxmdWxsLXRpdGxlPkJNQyBQcmVn
bmFuY3kgQ2hpbGRiaXJ0aDwvZnVsbC10aXRsZT48L3BlcmlvZGljYWw+PHBhZ2VzPjE0PC9wYWdl
cz48dm9sdW1lPjE4PC92b2x1bWU+PG51bWJlcj4xPC9udW1iZXI+PGVkaXRpb24+MjAxOC8wMS8x
MDwvZWRpdGlvbj48a2V5d29yZHM+PGtleXdvcmQ+RGlhYmV0ZXMsIEdlc3RhdGlvbmFsL2VwaWRl
bWlvbG9neTwva2V5d29yZD48a2V5d29yZD5GZW1hbGU8L2tleXdvcmQ+PGtleXdvcmQ+SHVtYW5z
PC9rZXl3b3JkPjxrZXl3b3JkPipQcmViaW90aWNzPC9rZXl3b3JkPjxrZXl3b3JkPlByZWduYW5j
eTwva2V5d29yZD48a2V5d29yZD4qUHJlZ25hbmN5IE91dGNvbWU8L2tleXdvcmQ+PGtleXdvcmQ+
UHJlbWF0dXJlIEJpcnRoLyplcGlkZW1pb2xvZ3k8L2tleXdvcmQ+PGtleXdvcmQ+UHJvYmlvdGlj
cy8qdGhlcmFwZXV0aWMgdXNlPC9rZXl3b3JkPjxrZXl3b3JkPlJhbmRvbWl6ZWQgQ29udHJvbGxl
ZCBUcmlhbHMgYXMgVG9waWM8L2tleXdvcmQ+PGtleXdvcmQ+KlByZWduYW5jeTwva2V5d29yZD48
a2V5d29yZD4qUHJldGVybSBiaXJ0aDwva2V5d29yZD48a2V5d29yZD4qUHJvYmlvdGljczwva2V5
d29yZD48a2V5d29yZD4qU3luYmlvdGljczwva2V5d29yZD48L2tleXdvcmRzPjxkYXRlcz48eWVh
cj4yMDE4PC95ZWFyPjxwdWItZGF0ZXM+PGRhdGU+SmFuIDg8L2RhdGU+PC9wdWItZGF0ZXM+PC9k
YXRlcz48aXNibj4xNDcxLTIzOTMgKEVsZWN0cm9uaWMpJiN4RDsxNDcxLTIzOTMgKExpbmtpbmcp
PC9pc2JuPjxhY2Nlc3Npb24tbnVtPjI5MzEwNjEwPC9hY2Nlc3Npb24tbnVtPjx1cmxzPjxyZWxh
dGVkLXVybHM+PHVybD5odHRwczovL3d3dy5uY2JpLm5sbS5uaWguZ292L3B1Ym1lZC8yOTMxMDYx
MDwvdXJsPjwvcmVsYXRlZC11cmxzPjwvdXJscz48Y3VzdG9tMj5QTUM1NzU5MjEyPC9jdXN0b20y
PjxlbGVjdHJvbmljLXJlc291cmNlLW51bT4xMC4xMTg2L3MxMjg4NC0wMTctMTYyOS01PC9lbGVj
dHJvbmljLXJlc291cmNlLW51bT48L3JlY29yZD48L0NpdGU+PC9FbmROb3RlPgB=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w:t>
      </w:r>
      <w:r w:rsidR="00AB21E2">
        <w:fldChar w:fldCharType="end"/>
      </w:r>
    </w:p>
    <w:p w14:paraId="039D3469" w14:textId="73EAF4BE" w:rsidR="00D76EA6" w:rsidRDefault="005864DA" w:rsidP="005B4719">
      <w:r>
        <w:t>T</w:t>
      </w:r>
      <w:r w:rsidR="005B4719">
        <w:t>his meta-analysis</w:t>
      </w:r>
      <w:r>
        <w:t xml:space="preserve"> includes</w:t>
      </w:r>
      <w:r w:rsidR="005B4719">
        <w:t xml:space="preserve"> RCTs that compared probio</w:t>
      </w:r>
      <w:r w:rsidR="00DF23E5">
        <w:t xml:space="preserve">tics </w:t>
      </w:r>
      <w:r w:rsidR="00C56E2C">
        <w:t xml:space="preserve">during pregnancy </w:t>
      </w:r>
      <w:r w:rsidR="00DF23E5">
        <w:t>with placebo</w:t>
      </w:r>
      <w:r w:rsidR="00446960">
        <w:t xml:space="preserve"> or no intervention</w:t>
      </w:r>
      <w:r w:rsidR="00A71BDF">
        <w:t xml:space="preserve">. </w:t>
      </w:r>
      <w:r w:rsidR="00D76EA6">
        <w:t>The study populations were heterogeneous and included healthy pregnant women,</w:t>
      </w:r>
      <w:r w:rsidR="00AB21E2">
        <w:fldChar w:fldCharType="begin">
          <w:fldData xml:space="preserve">PEVuZE5vdGU+PENpdGU+PEF1dGhvcj5TaGFycGU8L0F1dGhvcj48WWVhcj4yMDE5PC9ZZWFyPjxS
ZWNOdW0+MTY3MDwvUmVjTnVtPjxEaXNwbGF5VGV4dD48c3R5bGUgZmFjZT0ic3VwZXJzY3JpcHQi
IGZvbnQ9IlRyZWJ1Y2hldCBNUyIgc2l6ZT0iOSI+MjI5LDIzMSwyMzMsMjM0LDIzOC0yNDA8L3N0
eWxlPjwvRGlzcGxheVRleHQ+PHJlY29yZD48cmVjLW51bWJlcj4xNjcwPC9yZWMtbnVtYmVyPjxm
b3JlaWduLWtleXM+PGtleSBhcHA9IkVOIiBkYi1pZD0iZXh2YXNyZngyZHRyYW9lc2FzeHAyc3pz
eGEyZGY1MDI1OTJ4IiB0aW1lc3RhbXA9IjE1ODEzMTI4NDciPjE2NzA8L2tleT48a2V5IGFwcD0i
RU5XZWIiIGRiLWlkPSIiPjA8L2tleT48L2ZvcmVpZ24ta2V5cz48cmVmLXR5cGUgbmFtZT0iSm91
cm5hbCBBcnRpY2xlIj4xNzwvcmVmLXR5cGU+PGNvbnRyaWJ1dG9ycz48YXV0aG9ycz48YXV0aG9y
PlNoYXJwZSwgTS48L2F1dGhvcj48YXV0aG9yPlNoYWgsIFYuPC9hdXRob3I+PGF1dGhvcj5GcmVp
cmUtTGl6YW1hLCBULjwvYXV0aG9yPjxhdXRob3I+Q2F0ZXMsIEUuIEMuPC9hdXRob3I+PGF1dGhv
cj5NY0dyYXRoLCBLLjwvYXV0aG9yPjxhdXRob3I+RGF2aWQsIEkuPC9hdXRob3I+PGF1dGhvcj5D
b3dhbiwgUy48L2F1dGhvcj48YXV0aG9yPkxldGtlbWFuLCBKLjwvYXV0aG9yPjxhdXRob3I+U3Rl
d2FydC1XaWxzb24sIEUuPC9hdXRob3I+PC9hdXRob3JzPjwvY29udHJpYnV0b3JzPjxhdXRoLWFk
ZHJlc3M+YSBNaWR3aWZlcnkgRWR1Y2F0aW9uIFByb2dyYW0sIFJ5ZXJzb24gVW5pdmVyc2l0eSAs
IFRvcm9udG8gLCBDYW5hZGEuJiN4RDtiIERlcGFydG1lbnQgb2YgUGVkaWF0cmljcywgTW91bnQg
U2luYWkgSG9zcGl0YWwgLCBUb3JvbnRvICwgQ2FuYWRhLiYjeEQ7YyBEZXBhcnRtZW50IG9mIE9i
c3RldHJpY3MgYW5kIEd5bmVjb2xvZ3ksIFN0LiBNaWNoYWVsJmFwb3M7cyBIb3NwaXRhbCAsIFRv
cm9udG8gLCBDYW5hZGEuJiN4RDtkIERlcGFydG1lbnQgb2YgUHN5Y2hvbG9neSwgUnllcnNvbiBV
bml2ZXJzaXR5ICwgVG9yb250byAsIENhbmFkYS48L2F1dGgtYWRkcmVzcz48dGl0bGVzPjx0aXRs
ZT5FZmZlY3RpdmVuZXNzIG9mIG9yYWwgaW50YWtlIG9mIExhY3RvYmFjaWxsdXMgcmhhbW5vc3Vz
IEdSLTEgYW5kIExhY3RvYmFjaWxsdXMgcmV1dGVyaSBSQy0xNCBvbiBHcm91cCBCIFN0cmVwdG9j
b2NjdXMgY29sb25pemF0aW9uIGR1cmluZyBwcmVnbmFuY3k6IGEgbWlkd2lmZXJ5LWxlZCBkb3Vi
bGUtYmxpbmQgcmFuZG9taXplZCBjb250cm9sbGVkIHBpbG90IHRyaWFsPC90aXRsZT48c2Vjb25k
YXJ5LXRpdGxlPkogTWF0ZXJuIEZldGFsIE5lb25hdGFsIE1lZDwvc2Vjb25kYXJ5LXRpdGxlPjwv
dGl0bGVzPjxwZXJpb2RpY2FsPjxmdWxsLXRpdGxlPkogTWF0ZXJuIEZldGFsIE5lb25hdGFsIE1l
ZDwvZnVsbC10aXRsZT48L3BlcmlvZGljYWw+PHBhZ2VzPjEtODwvcGFnZXM+PGVkaXRpb24+MjAx
OS8wOC8wMTwvZWRpdGlvbj48a2V5d29yZHM+PGtleXdvcmQ+Q2xpbmljYWwgdHJpYWw8L2tleXdv
cmQ+PGtleXdvcmQ+Z3JvdXAgQiBTdHJlcHRvY29jY3VzPC9rZXl3b3JkPjxrZXl3b3JkPm1pZHdp
ZmVyeTwva2V5d29yZD48a2V5d29yZD5wcmVnbmFuY3k8L2tleXdvcmQ+PGtleXdvcmQ+cHJvYmlv
dGljczwva2V5d29yZD48L2tleXdvcmRzPjxkYXRlcz48eWVhcj4yMDE5PC95ZWFyPjxwdWItZGF0
ZXM+PGRhdGU+QXVnIDEzPC9kYXRlPjwvcHViLWRhdGVzPjwvZGF0ZXM+PGlzYm4+MTQ3Ni00OTU0
IChFbGVjdHJvbmljKSYjeEQ7MTQ3Ni00OTU0IChMaW5raW5nKTwvaXNibj48YWNjZXNzaW9uLW51
bT4zMTM2MjU3MjwvYWNjZXNzaW9uLW51bT48dXJscz48cmVsYXRlZC11cmxzPjx1cmw+aHR0cHM6
Ly93d3cubmNiaS5ubG0ubmloLmdvdi9wdWJtZWQvMzEzNjI1NzI8L3VybD48L3JlbGF0ZWQtdXJs
cz48L3VybHM+PGVsZWN0cm9uaWMtcmVzb3VyY2UtbnVtPjEwLjEwODAvMTQ3NjcwNTguMjAxOS4x
NjUwOTA3PC9lbGVjdHJvbmljLXJlc291cmNlLW51bT48L3JlY29yZD48L0NpdGU+PENpdGU+PEF1
dGhvcj5QZWxsb25wZXJhPC9BdXRob3I+PFllYXI+MjAxOTwvWWVhcj48UmVjTnVtPjE2Njk8L1Jl
Y051bT48cmVjb3JkPjxyZWMtbnVtYmVyPjE2Njk8L3JlYy1udW1iZXI+PGZvcmVpZ24ta2V5cz48
a2V5IGFwcD0iRU4iIGRiLWlkPSJleHZhc3JmeDJkdHJhb2VzYXN4cDJzenN4YTJkZjUwMjU5Mngi
IHRpbWVzdGFtcD0iMTU4MTMxMjg0MCI+MTY2OTwva2V5PjxrZXkgYXBwPSJFTldlYiIgZGItaWQ9
IiI+MDwva2V5PjwvZm9yZWlnbi1rZXlzPjxyZWYtdHlwZSBuYW1lPSJKb3VybmFsIEFydGljbGUi
PjE3PC9yZWYtdHlwZT48Y29udHJpYnV0b3JzPjxhdXRob3JzPjxhdXRob3I+UGVsbG9ucGVyYSwg
Ty48L2F1dGhvcj48YXV0aG9yPk1va2thbGEsIEsuPC9hdXRob3I+PGF1dGhvcj5Ib3V0dHUsIE4u
PC9hdXRob3I+PGF1dGhvcj5WYWhsYmVyZywgVC48L2F1dGhvcj48YXV0aG9yPktvaXZ1bmllbWks
IEUuPC9hdXRob3I+PGF1dGhvcj5UZXJ0dGksIEsuPC9hdXRob3I+PGF1dGhvcj5Sb25uZW1hYSwg
VC48L2F1dGhvcj48YXV0aG9yPkxhaXRpbmVuLCBLLjwvYXV0aG9yPjwvYXV0aG9ycz48L2NvbnRy
aWJ1dG9ycz48YXV0aC1hZGRyZXNzPkRlcGFydG1lbnQgb2YgT2JzdGV0cmljcyBhbmQgR3luZWNv
bG9neSwgVW5pdmVyc2l0eSBvZiBUdXJrdSBhbmQgVHVya3UgVW5pdmVyc2l0eSBIb3NwaXRhbCwg
VHVya3UsIEZpbmxhbmQgb3V0aS5wZWxsb25wZXJhQHV0dS5maS4mI3hEO0ludGVncmF0aXZlIFBo
eXNpb2xvZ3kgYW5kIFBoYXJtYWNvbG9neSwgSW5zdGl0dXRlIG9mIEJpb21lZGljaW5lLCBVbml2
ZXJzaXR5IG9mIFR1cmt1LCBUdXJrdSwgRmlubGFuZC4mI3hEO0Jpb3N0YXRpc3RpY3MsIEluc3Rp
dHV0ZSBvZiBDbGluaWNhbCBNZWRpY2luZSwgVW5pdmVyc2l0eSBvZiBUdXJrdSwgVHVya3UsIEZp
bmxhbmQuJiN4RDtEZXBhcnRtZW50IG9mIE9ic3RldHJpY3MgYW5kIEd5bmVjb2xvZ3ksIFVuaXZl
cnNpdHkgb2YgVHVya3UgYW5kIFR1cmt1IFVuaXZlcnNpdHkgSG9zcGl0YWwsIFR1cmt1LCBGaW5s
YW5kLiYjeEQ7RGVwYXJ0bWVudCBvZiBNZWRpY2luZSwgVW5pdmVyc2l0eSBvZiBUdXJrdSBhbmQg
VHVya3UgVW5pdmVyc2l0eSBIb3NwaXRhbCwgVHVya3UsIEZpbmxhbmQuPC9hdXRoLWFkZHJlc3M+
PHRpdGxlcz48dGl0bGU+RWZmaWNhY3kgb2YgZmlzaCBvaWwgYW5kL29yIHByb2Jpb3RpYyBpbnRl
cnZlbnRpb24gb24gdGhlIGluY2lkZW5jZSBvZiBnZXN0YXRpb25hbCBkaWFiZXRlcyBtZWxsaXR1
cyBpbiBhbiBhdC1yaXNrIGdyb3VwIG9mIG92ZXJ3ZWlnaHQgYW5kIG9iZXNlIHdvbWVuOiBhIHJh
bmRvbWl6ZWQsIHBsYWNlYm8tY29udHJvbGxlZCwgZG91YmxlLWJsaW5kIGNsaW5pY2FsIHRyaWFs
PC90aXRsZT48c2Vjb25kYXJ5LXRpdGxlPkRpYWJldGVzIENhcmU8L3NlY29uZGFyeS10aXRsZT48
L3RpdGxlcz48cGVyaW9kaWNhbD48ZnVsbC10aXRsZT5EaWFiZXRlcyBDYXJlPC9mdWxsLXRpdGxl
PjwvcGVyaW9kaWNhbD48cGFnZXM+MTAwOS0xMDE3PC9wYWdlcz48dm9sdW1lPjQyPC92b2x1bWU+
PG51bWJlcj42PC9udW1iZXI+PGVkaXRpb24+MjAxOS8wNC8xMTwvZWRpdGlvbj48ZGF0ZXM+PHll
YXI+MjAxOTwveWVhcj48cHViLWRhdGVzPjxkYXRlPkp1bjwvZGF0ZT48L3B1Yi1kYXRlcz48L2Rh
dGVzPjxpc2JuPjE5MzUtNTU0OCAoRWxlY3Ryb25pYykmI3hEOzAxNDktNTk5MiAoTGlua2luZyk8
L2lzYm4+PGFjY2Vzc2lvbi1udW0+MzA5Njc0MzY8L2FjY2Vzc2lvbi1udW0+PHVybHM+PHJlbGF0
ZWQtdXJscz48dXJsPmh0dHBzOi8vd3d3Lm5jYmkubmxtLm5paC5nb3YvcHVibWVkLzMwOTY3NDM2
PC91cmw+PC9yZWxhdGVkLXVybHM+PC91cmxzPjxlbGVjdHJvbmljLXJlc291cmNlLW51bT4xMC4y
MzM3L2RjMTgtMjU5MTwvZWxlY3Ryb25pYy1yZXNvdXJjZS1udW0+PC9yZWNvcmQ+PC9DaXRlPjxD
aXRlPjxBdXRob3I+TWFzdHJvbWFyaW5vPC9BdXRob3I+PFllYXI+MjAxNTwvWWVhcj48UmVjTnVt
PjE2OTI8L1JlY051bT48cmVjb3JkPjxyZWMtbnVtYmVyPjE2OTI8L3JlYy1udW1iZXI+PGZvcmVp
Z24ta2V5cz48a2V5IGFwcD0iRU4iIGRiLWlkPSJleHZhc3JmeDJkdHJhb2VzYXN4cDJzenN4YTJk
ZjUwMjU5MngiIHRpbWVzdGFtcD0iMTU4MTgzMjA3NiI+MTY5Mjwva2V5PjwvZm9yZWlnbi1rZXlz
PjxyZWYtdHlwZSBuYW1lPSJKb3VybmFsIEFydGljbGUiPjE3PC9yZWYtdHlwZT48Y29udHJpYnV0
b3JzPjxhdXRob3JzPjxhdXRob3I+TWFzdHJvbWFyaW5vLCBQLjwvYXV0aG9yPjxhdXRob3I+Q2Fw
b2JpYW5jbywgRC48L2F1dGhvcj48YXV0aG9yPk1pY2NoZWxpLCBBLjwvYXV0aG9yPjxhdXRob3I+
UHJhdGljbywgRy48L2F1dGhvcj48YXV0aG9yPkNhbXBhZ25hLCBHLjwvYXV0aG9yPjxhdXRob3I+
TGFmb3JnaWEsIE4uPC9hdXRob3I+PGF1dGhvcj5DYXB1cnNpLCBULjwvYXV0aG9yPjxhdXRob3I+
QmFsZGFzc2FycmUsIE0uIEUuPC9hdXRob3I+PC9hdXRob3JzPjwvY29udHJpYnV0b3JzPjxhdXRo
LWFkZHJlc3M+RGVwYXJ0bWVudCBvZiBQdWJsaWMgSGVhbHRoIGFuZCBJbmZlY3Rpb3VzIERpc2Vh
c2VzLCBTZWN0aW9uIG9mIE1pY3JvYmlvbG9neSwgU2FwaWVuemEgVW5pdmVyc2l0eSwgUGlhenph
bGUgQWxkbyBNb3JvIDUsIEktMDAxODUgUm9tZSwgSXRhbHkuIEVsZWN0cm9uaWMgYWRkcmVzczog
cGFvbGEubWFzdHJvbWFyaW5vQHVuaXJvbWExLml0LiYjeEQ7RGVwYXJ0bWVudCBvZiBQdWJsaWMg
SGVhbHRoIGFuZCBJbmZlY3Rpb3VzIERpc2Vhc2VzLCBTZWN0aW9uIG9mIE1pY3JvYmlvbG9neSwg
U2FwaWVuemEgVW5pdmVyc2l0eSwgUGlhenphbGUgQWxkbyBNb3JvIDUsIEktMDAxODUgUm9tZSwg
SXRhbHkuJiN4RDtEZXBhcnRtZW50IG9mIENoZW1pc3RyeSwgU2FwaWVuemEgVW5pdmVyc2l0eSwg
UGlhenphbGUgQWxkbyBNb3JvIDUsIEktMDAxODUgUm9tZSwgSXRhbHkuJiN4RDtEZXBhcnRtZW50
IG9mIEV4cGVyaW1lbnRhbCBNZWRpY2luZSwgU2FwaWVuemEgVW5pdmVyc2l0eSwgUGlhenphbGUg
QWxkbyBNb3JvIDUsIEktMDAxODUgUm9tZSwgSXRhbHkuJiN4RDtEZXBhcnRtZW50IG9mIE1lZGlj
YWwgU2NpZW5jZSBhbmQgT25jb2xvZ3ksIFNlY3Rpb24gb2YgTmVvbmF0b2xvZ3kgYW5kIE5JQ1Us
IFVuaXZlcnNpdHkgb2YgQmFyaSwgUGlhenphIEcuIENlc2FyZSAxMSwgNzAxMjQgQmFyaSwgSXRh
bHkuJiN4RDtEZXBhcnRtZW50IG9mIE1lZGljYWwgU2NpZW5jZSBhbmQgT25jb2xvZ3ksIFNlY3Rp
b24gb2YgR3luYWVjb2xvZ3kgYW5kIE9ic3RldHJpY3MsIFVuaXZlcnNpdHkgb2YgQmFyaSwgUGlh
enphIEcuIENlc2FyZSAxMSwgNzAxMjQgQmFyaSwgSXRhbHkuPC9hdXRoLWFkZHJlc3M+PHRpdGxl
cz48dGl0bGU+QWRtaW5pc3RyYXRpb24gb2YgYSBtdWx0aXN0cmFpbiBwcm9iaW90aWMgcHJvZHVj
dCAoVlNMIzMpIHRvIHdvbWVuIGluIHRoZSBwZXJpbmF0YWwgcGVyaW9kIGRpZmZlcmVudGlhbGx5
IGFmZmVjdHMgYnJlYXN0IG1pbGsgYmVuZWZpY2lhbCBtaWNyb2Jpb3RhIGluIHJlbGF0aW9uIHRv
IG1vZGUgb2YgZGVsaXZlcnk8L3RpdGxlPjxzZWNvbmRhcnktdGl0bGU+UGhhcm1hY29sIFJlczwv
c2Vjb25kYXJ5LXRpdGxlPjwvdGl0bGVzPjxwZXJpb2RpY2FsPjxmdWxsLXRpdGxlPlBoYXJtYWNv
bCBSZXM8L2Z1bGwtdGl0bGU+PC9wZXJpb2RpY2FsPjxwYWdlcz42My03MDwvcGFnZXM+PHZvbHVt
ZT45NS05Njwvdm9sdW1lPjxlZGl0aW9uPjIwMTUvMDQvMDQ8L2VkaXRpb24+PGtleXdvcmRzPjxr
ZXl3b3JkPkFkbWluaXN0cmF0aW9uLCBPcmFsPC9rZXl3b3JkPjxrZXl3b3JkPkFkb2xlc2NlbnQ8
L2tleXdvcmQ+PGtleXdvcmQ+QWR1bHQ8L2tleXdvcmQ+PGtleXdvcmQ+QmlmaWRvYmFjdGVyaXVt
L2RydWcgZWZmZWN0cy9nZW5ldGljczwva2V5d29yZD48a2V5d29yZD5ETkEsIEJhY3RlcmlhbC9p
c29sYXRpb24gJmFtcDsgcHVyaWZpY2F0aW9uPC9rZXl3b3JkPjxrZXl3b3JkPkRlbGl2ZXJ5LCBP
YnN0ZXRyaWMvKm1ldGhvZHM8L2tleXdvcmQ+PGtleXdvcmQ+RG91YmxlLUJsaW5kIE1ldGhvZDwv
a2V5d29yZD48a2V5d29yZD5GZW1hbGU8L2tleXdvcmQ+PGtleXdvcmQ+SHVtYW5zPC9rZXl3b3Jk
PjxrZXl3b3JkPkxhY3RvYmFjaWxsdXMvZHJ1ZyBlZmZlY3RzL2dlbmV0aWNzPC9rZXl3b3JkPjxr
ZXl3b3JkPk1pY3JvYmlvdGEvKmRydWcgZWZmZWN0cy9nZW5ldGljczwva2V5d29yZD48a2V5d29y
ZD5NaWRkbGUgQWdlZDwva2V5d29yZD48a2V5d29yZD5NaWxrLCBIdW1hbi8qbWljcm9iaW9sb2d5
PC9rZXl3b3JkPjxrZXl3b3JkPlBlcmluYXRhbCBDYXJlLyptZXRob2RzPC9rZXl3b3JkPjxrZXl3
b3JkPlByZWduYW5jeTwva2V5d29yZD48a2V5d29yZD5Qcm9iaW90aWNzLyphZG1pbmlzdHJhdGlv
biAmYW1wOyBkb3NhZ2UvcGhhcm1hY29sb2d5PC9rZXl3b3JkPjxrZXl3b3JkPlJlYWwtVGltZSBQ
b2x5bWVyYXNlIENoYWluIFJlYWN0aW9uPC9rZXl3b3JkPjxrZXl3b3JkPllvdW5nIEFkdWx0PC9r
ZXl3b3JkPjxrZXl3b3JkPkJyZWFzdCBtaWxrPC9rZXl3b3JkPjxrZXl3b3JkPk1pbGsgZnVuY3Rp
b25hbCBjb21wb25lbnRzPC9rZXl3b3JkPjxrZXl3b3JkPk1pbGsgbWljcm9iaW90YTwva2V5d29y
ZD48a2V5d29yZD5Nb2RlIG9mIGRlbGl2ZXJ5PC9rZXl3b3JkPjxrZXl3b3JkPlByb2Jpb3RpYzwv
a2V5d29yZD48L2tleXdvcmRzPjxkYXRlcz48eWVhcj4yMDE1PC95ZWFyPjxwdWItZGF0ZXM+PGRh
dGU+TWF5LUp1bjwvZGF0ZT48L3B1Yi1kYXRlcz48L2RhdGVzPjxpc2JuPjEwOTYtMTE4NiAoRWxl
Y3Ryb25pYykmI3hEOzEwNDMtNjYxOCAoTGlua2luZyk8L2lzYm4+PGFjY2Vzc2lvbi1udW0+MjU4
MzY5MjI8L2FjY2Vzc2lvbi1udW0+PHVybHM+PHJlbGF0ZWQtdXJscz48dXJsPmh0dHBzOi8vd3d3
Lm5jYmkubmxtLm5paC5nb3YvcHVibWVkLzI1ODM2OTIyPC91cmw+PC9yZWxhdGVkLXVybHM+PC91
cmxzPjxlbGVjdHJvbmljLXJlc291cmNlLW51bT4xMC4xMDE2L2oucGhycy4yMDE1LjAzLjAxMzwv
ZWxlY3Ryb25pYy1yZXNvdXJjZS1udW0+PC9yZWNvcmQ+PC9DaXRlPjxDaXRlPjxBdXRob3I+S3Jh
dXNzLVNpbHZhPC9BdXRob3I+PFllYXI+MjAxMTwvWWVhcj48UmVjTnVtPjE2OTE8L1JlY051bT48
cmVjb3JkPjxyZWMtbnVtYmVyPjE2OTE8L3JlYy1udW1iZXI+PGZvcmVpZ24ta2V5cz48a2V5IGFw
cD0iRU4iIGRiLWlkPSJleHZhc3JmeDJkdHJhb2VzYXN4cDJzenN4YTJkZjUwMjU5MngiIHRpbWVz
dGFtcD0iMTU4MTgzMjA3NiI+MTY5MTwva2V5PjwvZm9yZWlnbi1rZXlzPjxyZWYtdHlwZSBuYW1l
PSJKb3VybmFsIEFydGljbGUiPjE3PC9yZWYtdHlwZT48Y29udHJpYnV0b3JzPjxhdXRob3JzPjxh
dXRob3I+S3JhdXNzLVNpbHZhLCBMLjwvYXV0aG9yPjxhdXRob3I+TW9yZWlyYSwgTS4gRS48L2F1
dGhvcj48YXV0aG9yPkFsdmVzLCBNLiBCLjwvYXV0aG9yPjxhdXRob3I+QnJhZ2EsIEEuPC9hdXRo
b3I+PGF1dGhvcj5DYW1hY2hvLCBLLiBHLjwvYXV0aG9yPjxhdXRob3I+QmF0aXN0YSwgTS4gUi48
L2F1dGhvcj48YXV0aG9yPkFsbWFkYS1Ib3J0YSwgQS48L2F1dGhvcj48YXV0aG9yPlJlYmVsbG8s
IE0uIFIuPC9hdXRob3I+PGF1dGhvcj5HdWVycmEsIEYuPC9hdXRob3I+PC9hdXRob3JzPjwvY29u
dHJpYnV0b3JzPjxhdXRoLWFkZHJlc3M+SGVhbHRoIFRlY2hub2xvZ3kgQXNzZXNzbWVudCBVbml0
LCBOYXRpb25hbCBTY2hvb2wgb2YgUHVibGljIEhlYWx0aCwgT3N3YWxkbyBDcnV6IEZvdW5kYXRp
b24sIEJyYXppbGlhbiBIZWFsdGggTWluaXN0cnksIFJpbyBkZSBKYW5laXJvLCBCcmF6aWwuIGxl
dGljaWFrQGVuc3AuZmlvY3J1ei5icjwvYXV0aC1hZGRyZXNzPjx0aXRsZXM+PHRpdGxlPkEgcmFu
ZG9taXNlZCBjb250cm9sbGVkIHRyaWFsIG9mIHByb2Jpb3RpY3MgZm9yIHRoZSBwcmV2ZW50aW9u
IG9mIHNwb250YW5lb3VzIHByZXRlcm0gZGVsaXZlcnkgYXNzb2NpYXRlZCB3aXRoIGJhY3Rlcmlh
bCB2YWdpbm9zaXM6IHByZWxpbWluYXJ5IHJlc3VsdHM8L3RpdGxlPjxzZWNvbmRhcnktdGl0bGU+
VHJpYWxzPC9zZWNvbmRhcnktdGl0bGU+PC90aXRsZXM+PHBlcmlvZGljYWw+PGZ1bGwtdGl0bGU+
VHJpYWxzPC9mdWxsLXRpdGxlPjwvcGVyaW9kaWNhbD48cGFnZXM+MjM5PC9wYWdlcz48dm9sdW1l
PjEyPC92b2x1bWU+PGVkaXRpb24+MjAxMS8xMS8wOTwvZWRpdGlvbj48a2V5d29yZHM+PGtleXdv
cmQ+RmVtYWxlPC9rZXl3b3JkPjxrZXl3b3JkPkh1bWFuczwva2V5d29yZD48a2V5d29yZD5JbmZh
bnQsIE5ld2Jvcm48L2tleXdvcmQ+PGtleXdvcmQ+UHJlZ25hbmN5PC9rZXl3b3JkPjxrZXl3b3Jk
PlByZW1hdHVyZSBCaXJ0aC8qcHJldmVudGlvbiAmYW1wOyBjb250cm9sPC9rZXl3b3JkPjxrZXl3
b3JkPlByb2Jpb3RpY3MvKnRoZXJhcGV1dGljIHVzZTwva2V5d29yZD48a2V5d29yZD5WYWdpbm9z
aXMsIEJhY3RlcmlhbC8qZHJ1ZyB0aGVyYXB5PC9rZXl3b3JkPjwva2V5d29yZHM+PGRhdGVzPjx5
ZWFyPjIwMTE8L3llYXI+PHB1Yi1kYXRlcz48ZGF0ZT5Ob3YgODwvZGF0ZT48L3B1Yi1kYXRlcz48
L2RhdGVzPjxpc2JuPjE3NDUtNjIxNSAoRWxlY3Ryb25pYykmI3hEOzE3NDUtNjIxNSAoTGlua2lu
Zyk8L2lzYm4+PGFjY2Vzc2lvbi1udW0+MjIwNTk0MDk8L2FjY2Vzc2lvbi1udW0+PHVybHM+PHJl
bGF0ZWQtdXJscz48dXJsPmh0dHBzOi8vd3d3Lm5jYmkubmxtLm5paC5nb3YvcHVibWVkLzIyMDU5
NDA5PC91cmw+PC9yZWxhdGVkLXVybHM+PC91cmxzPjxjdXN0b20yPlBNQzMyNjQ1MTQ8L2N1c3Rv
bTI+PGVsZWN0cm9uaWMtcmVzb3VyY2UtbnVtPjEwLjExODYvMTc0NS02MjE1LTEyLTIzOTwvZWxl
Y3Ryb25pYy1yZXNvdXJjZS1udW0+PC9yZWNvcmQ+PC9DaXRlPjxDaXRlPjxBdXRob3I+R2lsbGU8
L0F1dGhvcj48WWVhcj4yMDE2PC9ZZWFyPjxSZWNOdW0+MTY1MzwvUmVjTnVtPjxyZWNvcmQ+PHJl
Yy1udW1iZXI+MTY1MzwvcmVjLW51bWJlcj48Zm9yZWlnbi1rZXlzPjxrZXkgYXBwPSJFTiIgZGIt
aWQ9ImV4dmFzcmZ4MmR0cmFvZXNhc3hwMnN6c3hhMmRmNTAyNTkyeCIgdGltZXN0YW1wPSIxNTgx
MzEyNzI5Ij4xNjUzPC9rZXk+PGtleSBhcHA9IkVOV2ViIiBkYi1pZD0iIj4wPC9rZXk+PC9mb3Jl
aWduLWtleXM+PHJlZi10eXBlIG5hbWU9IkpvdXJuYWwgQXJ0aWNsZSI+MTc8L3JlZi10eXBlPjxj
b250cmlidXRvcnM+PGF1dGhvcnM+PGF1dGhvcj5HaWxsZSwgQy48L2F1dGhvcj48YXV0aG9yPkJv
ZXIsIEIuPC9hdXRob3I+PGF1dGhvcj5NYXJzY2hhbCwgTS48L2F1dGhvcj48YXV0aG9yPlVyc2No
aXR6LCBNLiBTLjwvYXV0aG9yPjxhdXRob3I+SGVpbmVja2UsIFYuPC9hdXRob3I+PGF1dGhvcj5I
dW5kLCBWLjwvYXV0aG9yPjxhdXRob3I+U3BlaWRlbCwgUy48L2F1dGhvcj48YXV0aG9yPlRhcm5v
dywgSS48L2F1dGhvcj48YXV0aG9yPk15bG9uYXMsIEkuPC9hdXRob3I+PGF1dGhvcj5GcmFueiwg
QS48L2F1dGhvcj48YXV0aG9yPkVuZ2VsLCBDLjwvYXV0aG9yPjxhdXRob3I+UG9ldHMsIEMuIEYu
PC9hdXRob3I+PC9hdXRob3JzPjwvY29udHJpYnV0b3JzPjxhdXRoLWFkZHJlc3M+RGVwYXJ0bWVu
dCBvZiBOZW9uYXRvbG9neSwgVW5pdmVyc2l0eSBDaGlsZHJlbiZhcG9zO3MgSG9zcGl0YWwsIFVu
aXZlcnNpdHkgSG9zcGl0YWwsIFR1ZWJpbmdlbiwgR2VybWFueS4mI3hEO0RlcGFydG1lbnQgb2Yg
T2JzdGV0cmljcyBhbmQgR3luZWNvbG9neSwgVW5pdmVyc2l0eSBIb3NwaXRhbCwgVHVlYmluZ2Vu
LCBHZXJtYW55LiYjeEQ7SW5zdGl0dXRlIGZvciBNZWRpY2FsIE1pY3JvYmlvbG9neSwgVW5pdmVy
c2l0eSBIb3NwaXRhbCwgVHVlYmluZ2VuLCBHZXJtYW55LiYjeEQ7SW5zdGl0dXRlIG9mIE1lZGlj
YWwgQmlvc3RhdGlzdGljcywgRXBpZGVtaW9sb2d5LCBhbmQgSW5mb3JtYXRpY3MsIERpdmlzaW9u
IG9mIFBlZGlhdHJpYyBFcGlkZW1pb2xvZ3kgVW5pdmVyc2l0eSBNZWRpY2FsIENlbnRlciBvZiB0
aGUgSm9oYW5uZXMgR3V0ZW5iZXJnIFVuaXZlcnNpdHkgTWFpbnosIEdlcm1hbnkuJiN4RDtPYnN0
ZXRyaWMgcHJhY3RpY2UsIEJhZCBVcmFjaCwgR2VybWFueS4mI3hEO1VuaXZlcnNpdHkgUGhhcm1h
Y3ksIFVuaXZlcnNpdHkgSG9zcGl0YWwsIFR1ZWJpbmdlbiwgR2VybWFueS4mI3hEO1NlcmVuZGV4
IFBoYXJtYWNldXRpY2FscywgSG9yc2hvbG0sIERlbm1hcmsuJiN4RDtEZXBhcnRtZW50IG9mIE9i
c3RldHJpY3MgYW5kIEd5bmVjb2xvZ3ksIEx1ZHdpZy1NYXhpbWlsaWFucy1Vbml2ZXJzaXR5LCBN
dW5pY2gsIEdlcm1hbnkuJiN4RDtDZW50ZXIgZm9yIFBlZGlhdHJpYyBDbGluaWNhbCBTdHVkaWVz
LCBVbml2ZXJzaXR5IENoaWxkcmVuJmFwb3M7cyBIb3NwaXRhbCwgVW5pdmVyc2l0eSBIb3NwaXRh
bCwgVHVlYmluZ2VuLCBHZXJtYW55LiYjeEQ7RGVwYXJ0bWVudCBvZiBOZW9uYXRvbG9neSwgVW5p
dmVyc2l0eSBDaGlsZHJlbiZhcG9zO3MgSG9zcGl0YWwsIFVuaXZlcnNpdHkgSG9zcGl0YWwsIFR1
ZWJpbmdlbiwgR2VybWFueS4gRWxlY3Ryb25pYyBhZGRyZXNzOiBjaHJpc3RpYW4tZi5wb2V0c0Bt
ZWQudW5pLXR1ZWJpbmdlbi5kZS48L2F1dGgtYWRkcmVzcz48dGl0bGVzPjx0aXRsZT5FZmZlY3Qg
b2YgcHJvYmlvdGljcyBvbiB2YWdpbmFsIGhlYWx0aCBpbiBwcmVnbmFuY3kuIEVGRlBSTywgYSBy
YW5kb21pemVkIGNvbnRyb2xsZWQgdHJpYWw8L3RpdGxlPjxzZWNvbmRhcnktdGl0bGU+QW0gSiBP
YnN0ZXQgR3luZWNvbDwvc2Vjb25kYXJ5LXRpdGxlPjwvdGl0bGVzPjxwZXJpb2RpY2FsPjxmdWxs
LXRpdGxlPkFtIEogT2JzdGV0IEd5bmVjb2w8L2Z1bGwtdGl0bGU+PC9wZXJpb2RpY2FsPjxwYWdl
cz42MDggZTEtNjA4IGU3PC9wYWdlcz48dm9sdW1lPjIxNTwvdm9sdW1lPjxudW1iZXI+NTwvbnVt
YmVyPjxlZGl0aW9uPjIwMTYvMTAvMzA8L2VkaXRpb24+PGtleXdvcmRzPjxrZXl3b3JkPkFkbWlu
aXN0cmF0aW9uLCBPcmFsPC9rZXl3b3JkPjxrZXl3b3JkPkFkdWx0PC9rZXl3b3JkPjxrZXl3b3Jk
PkZlbWFsZTwva2V5d29yZD48a2V5d29yZD5IdW1hbnM8L2tleXdvcmQ+PGtleXdvcmQ+KkxhY3Rv
YmFjaWxsdXMgcmV1dGVyaTwva2V5d29yZD48a2V5d29yZD4qTGFjdG9iYWNpbGx1cyByaGFtbm9z
dXM8L2tleXdvcmQ+PGtleXdvcmQ+TWljcm9iaW90YS8qZHJ1ZyBlZmZlY3RzPC9rZXl3b3JkPjxr
ZXl3b3JkPk1pZGRsZSBBZ2VkPC9rZXl3b3JkPjxrZXl3b3JkPlByZWduYW5jeTwva2V5d29yZD48
a2V5d29yZD5QcmVnbmFuY3kgVHJpbWVzdGVyLCBGaXJzdDwva2V5d29yZD48a2V5d29yZD5Qcm9i
aW90aWNzLypwaGFybWFjb2xvZ3k8L2tleXdvcmQ+PGtleXdvcmQ+VmFnaW5hLypkcnVnIGVmZmVj
dHM8L2tleXdvcmQ+PGtleXdvcmQ+WW91bmcgQWR1bHQ8L2tleXdvcmQ+PGtleXdvcmQ+KmJhY3Rl
cmlhbCB2YWdpbm9zaXM8L2tleXdvcmQ+PGtleXdvcmQ+KnByZXRlcm0gYmlydGg8L2tleXdvcmQ+
PGtleXdvcmQ+KnByb2Jpb3RpY3M8L2tleXdvcmQ+PGtleXdvcmQ+KnZhZ2luYWwgbWljcm9iaW90
YTwva2V5d29yZD48L2tleXdvcmRzPjxkYXRlcz48eWVhcj4yMDE2PC95ZWFyPjxwdWItZGF0ZXM+
PGRhdGU+Tm92PC9kYXRlPjwvcHViLWRhdGVzPjwvZGF0ZXM+PGlzYm4+MTA5Ny02ODY4IChFbGVj
dHJvbmljKSYjeEQ7MDAwMi05Mzc4IChMaW5raW5nKTwvaXNibj48YWNjZXNzaW9uLW51bT4yNzM0
MjA0NjwvYWNjZXNzaW9uLW51bT48dXJscz48cmVsYXRlZC11cmxzPjx1cmw+aHR0cHM6Ly93d3cu
bmNiaS5ubG0ubmloLmdvdi9wdWJtZWQvMjczNDIwNDY8L3VybD48L3JlbGF0ZWQtdXJscz48L3Vy
bHM+PGVsZWN0cm9uaWMtcmVzb3VyY2UtbnVtPjEwLjEwMTYvai5ham9nLjIwMTYuMDYuMDIxPC9l
bGVjdHJvbmljLXJlc291cmNlLW51bT48L3JlY29yZD48L0NpdGU+PENpdGU+PEF1dGhvcj5IdXNh
aW48L0F1dGhvcj48WWVhcj4yMDIwPC9ZZWFyPjxSZWNOdW0+MTY4MTwvUmVjTnVtPjxyZWNvcmQ+
PHJlYy1udW1iZXI+MTY4MTwvcmVjLW51bWJlcj48Zm9yZWlnbi1rZXlzPjxrZXkgYXBwPSJFTiIg
ZGItaWQ9ImV4dmFzcmZ4MmR0cmFvZXNhc3hwMnN6c3hhMmRmNTAyNTkyeCIgdGltZXN0YW1wPSIx
NTgxMzc5ODc0Ij4xNjgxPC9rZXk+PC9mb3JlaWduLWtleXM+PHJlZi10eXBlIG5hbWU9IkpvdXJu
YWwgQXJ0aWNsZSI+MTc8L3JlZi10eXBlPjxjb250cmlidXRvcnM+PGF1dGhvcnM+PGF1dGhvcj5I
dXNhaW4sIFMuPC9hdXRob3I+PGF1dGhvcj5BbGxvdGV5LCBKLjwvYXV0aG9yPjxhdXRob3I+RHJ5
bW91c3NpLCBaLjwvYXV0aG9yPjxhdXRob3I+V2lsa3MsIE0uPC9hdXRob3I+PGF1dGhvcj5GZXJu
YW5kZXotRmVsaXgsIEIuIE0uPC9hdXRob3I+PGF1dGhvcj5XaGlsZXksIEEuPC9hdXRob3I+PGF1
dGhvcj5Eb2RkcywgSi48L2F1dGhvcj48YXV0aG9yPlRoYW5nYXJhdGluYW0sIFMuPC9hdXRob3I+
PGF1dGhvcj5NY0NvdXJ0LCBDLjwvYXV0aG9yPjxhdXRob3I+UHJvc2RvY2ltaSwgRS4gTS48L2F1
dGhvcj48YXV0aG9yPldhZGUsIFcuIEcuPC9hdXRob3I+PGF1dGhvcj5kZSBUZWphZGEsIEIuIE0u
PC9hdXRob3I+PGF1dGhvcj5aYW1vcmEsIEouPC9hdXRob3I+PGF1dGhvcj5LaGFuLCBLLjwvYXV0
aG9yPjxhdXRob3I+TWlsbGFyLCBNLjwvYXV0aG9yPjwvYXV0aG9ycz48L2NvbnRyaWJ1dG9ycz48
YXV0aC1hZGRyZXNzPkJhcnRzIGFuZCB0aGUgTG9uZG9uIFNjaG9vbCBvZiBNZWRpY2luZSBhbmQg
RGVudGlzdHJ5LCBCbGl6YXJkIEluc3RpdHV0ZSwgUXVlZW4gTWFyeSBVbml2ZXJzaXR5IG9mIExv
bmRvbiwgTG9uZG9uLCBVSy4mI3hEO05lb25hdGFsIFVuaXQsIEhvbWVydG9uIFVuaXZlcnNpdHkg
SG9zcGl0YWwgTkhTIEZvdW5kYXRpb24gVHJ1c3QsIExvbmRvbiwgVUsuJiN4RDtXb21lbiZhcG9z
O3MgSGVhbHRoIFJlc2VhcmNoIFVuaXQsIEJhcnRzIGFuZCB0aGUgTG9uZG9uIFNjaG9vbCBvZiBN
ZWRpY2luZSBhbmQgRGVudGlzdHJ5LCBRdWVlbiBNYXJ5IFVuaXZlcnNpdHkgb2YgTG9uZG9uLCBM
b25kb24sIFVLLiYjeEQ7QmFydHMgYW5kIHRoZSBMb25kb24gU2Nob29sIG9mIE1lZGljaW5lIGFu
ZCBEZW50aXN0cnksIFF1ZWVuIE1hcnkgVW5pdmVyc2l0eSBvZiBMb25kb24sIExvbmRvbiwgVUsu
JiN4RDtCYXJ0cyBIZWFsdGggTkhTIFRydXN0LCBMb25kb24sIFVLLiYjeEQ7Q0lCRVIgRXBpZGVt
aW9sb2d5IGFuZCBQdWJsaWMgSGVhbHRoIChDSUJFUkVTUCksIE1hZHJpZCwgU3BhaW4uJiN4RDtD
bGluaWNhbCBCaW9zdGF0aXN0aWNzIFVuaXQsIEhvc3BpdGFsIFJhbW9uIHkgQ2FqYWwgKElSWUNJ
UyksIE1hZHJpZCwgU3BhaW4uJiN4RDtDaXR5IFVuaXZlcnNpdHkgb2YgTG9uZG9uLCBVbml2ZXJz
aXR5IG9mIExvbmRvbiwgTG9uZG9uLCBVSy4mI3hEO0NlbnRyZSBmb3IgSG9zdC1NaWNyb2Jpb21l
IEludGVyYWN0aW9ucywgS2luZyZhcG9zO3MgQ29sbGVnZSBMb25kb24sIExvbmRvbiwgVUsuJiN4
RDtEZXBhcnRtZW50IG9mIE9ic3RldHJpY3MgYW5kIEd5bmFlY29sb2d5LCBGYWN1bHR5IG9mIE1l
ZGljaW5lLCBVbml2ZXJzaXR5IEhvc3BpdGFscyBvZiBHZW5ldmEsIEdlbmV2YSwgU3dpdHplcmxh
bmQuPC9hdXRoLWFkZHJlc3M+PHRpdGxlcz48dGl0bGU+RWZmZWN0cyBvZiBvcmFsIHByb2Jpb3Rp
YyBzdXBwbGVtZW50cyBvbiB2YWdpbmFsIG1pY3JvYmlvdGEgZHVyaW5nIHByZWduYW5jeTogYSBy
YW5kb21pc2VkLCBkb3VibGUtYmxpbmQsIHBsYWNlYm8tY29udHJvbGxlZCB0cmlhbCB3aXRoIG1p
Y3JvYmlvbWUgYW5hbHlzaXM8L3RpdGxlPjxzZWNvbmRhcnktdGl0bGU+QkpPRzwvc2Vjb25kYXJ5
LXRpdGxlPjwvdGl0bGVzPjxwZXJpb2RpY2FsPjxmdWxsLXRpdGxlPkJKT0c8L2Z1bGwtdGl0bGU+
PC9wZXJpb2RpY2FsPjxwYWdlcz4yNzUtMjg0PC9wYWdlcz48dm9sdW1lPjEyNzwvdm9sdW1lPjxu
dW1iZXI+MjwvbnVtYmVyPjxlZGl0aW9uPjIwMTkvMDQvMDI8L2VkaXRpb24+PGtleXdvcmRzPjxr
ZXl3b3JkPkFkdWx0PC9rZXl3b3JkPjxrZXl3b3JkPkRvdWJsZS1CbGluZCBNZXRob2Q8L2tleXdv
cmQ+PGtleXdvcmQ+RmVtYWxlPC9rZXl3b3JkPjxrZXl3b3JkPkh1bWFuczwva2V5d29yZD48a2V5
d29yZD5MYWN0b2JhY2lsbHVzIHJldXRlcmkvZHJ1ZyBlZmZlY3RzPC9rZXl3b3JkPjxrZXl3b3Jk
PkxhY3RvYmFjaWxsdXMgcmhhbW5vc3VzL2RydWcgZWZmZWN0czwva2V5d29yZD48a2V5d29yZD5N
aWNyb2Jpb3RhLypwaHlzaW9sb2d5PC9rZXl3b3JkPjxrZXl3b3JkPlByZWduYW5jeTwva2V5d29y
ZD48a2V5d29yZD5QcmVnbmFuY3kgQ29tcGxpY2F0aW9ucywgSW5mZWN0aW91cy8qbWljcm9iaW9s
b2d5PC9rZXl3b3JkPjxrZXl3b3JkPlByZWduYW5jeSBUcmltZXN0ZXIsIEZpcnN0PC9rZXl3b3Jk
PjxrZXl3b3JkPlByb2Jpb3RpY3MvKnRoZXJhcGV1dGljIHVzZTwva2V5d29yZD48a2V5d29yZD5W
YWdpbmEvKm1pY3JvYmlvbG9neTwva2V5d29yZD48a2V5d29yZD5WYWdpbm9zaXMsIEJhY3Rlcmlh
bC9jb21wbGljYXRpb25zL2RydWcgdGhlcmFweS9taWNyb2Jpb2xvZ3k8L2tleXdvcmQ+PGtleXdv
cmQ+WW91bmcgQWR1bHQ8L2tleXdvcmQ+PGtleXdvcmQ+KiBMYWN0b2JhY2lsbHVzIHJldXRlcmk8
L2tleXdvcmQ+PGtleXdvcmQ+KiBMYWN0b2JhY2lsbHVzIHJoYW1ub3N1czwva2V5d29yZD48a2V5
d29yZD4qQmFjdGVyaWFsIHZhZ2lub3Npczwva2V5d29yZD48a2V5d29yZD4qcHJvYmlvdGljPC9r
ZXl3b3JkPjwva2V5d29yZHM+PGRhdGVzPjx5ZWFyPjIwMjA8L3llYXI+PHB1Yi1kYXRlcz48ZGF0
ZT5KYW48L2RhdGU+PC9wdWItZGF0ZXM+PC9kYXRlcz48aXNibj4xNDcxLTA1MjggKEVsZWN0cm9u
aWMpJiN4RDsxNDcwLTAzMjggKExpbmtpbmcpPC9pc2JuPjxhY2Nlc3Npb24tbnVtPjMwOTMyMzE3
PC9hY2Nlc3Npb24tbnVtPjx1cmxzPjxyZWxhdGVkLXVybHM+PHVybD5odHRwczovL3d3dy5uY2Jp
Lm5sbS5uaWguZ292L3B1Ym1lZC8zMDkzMjMxNzwvdXJsPjwvcmVsYXRlZC11cmxzPjwvdXJscz48
Y3VzdG9tMj5QTUM2OTczMTQ5PC9jdXN0b20yPjxlbGVjdHJvbmljLXJlc291cmNlLW51bT4xMC4x
MTExLzE0NzEtMDUyOC4xNTY3NTwvZWxlY3Ryb25pYy1yZXNvdXJjZS1udW0+PC9yZWNvcmQ+PC9D
aXRlPjxDaXRlPjxBdXRob3I+TGFpdGluZW48L0F1dGhvcj48WWVhcj4yMDA5PC9ZZWFyPjxSZWNO
dW0+MTE0ODwvUmVjTnVtPjxyZWNvcmQ+PHJlYy1udW1iZXI+MTE0ODwvcmVjLW51bWJlcj48Zm9y
ZWlnbi1rZXlzPjxrZXkgYXBwPSJFTiIgZGItaWQ9ImV4dmFzcmZ4MmR0cmFvZXNhc3hwMnN6c3hh
MmRmNTAyNTkyeCIgdGltZXN0YW1wPSIxNTU1NTY2ODE2Ij4xMTQ4PC9rZXk+PGtleSBhcHA9IkVO
V2ViIiBkYi1pZD0iIj4wPC9rZXk+PC9mb3JlaWduLWtleXM+PHJlZi10eXBlIG5hbWU9IkpvdXJu
YWwgQXJ0aWNsZSI+MTc8L3JlZi10eXBlPjxjb250cmlidXRvcnM+PGF1dGhvcnM+PGF1dGhvcj5M
YWl0aW5lbiwgSy48L2F1dGhvcj48YXV0aG9yPlBvdXNzYSwgVC48L2F1dGhvcj48YXV0aG9yPklz
b2xhdXJpLCBFLjwvYXV0aG9yPjxhdXRob3I+TnV0cml0aW9uLCBBbGxlcmd5IE11Y29zYWwgSW1t
dW5vbG9neTwvYXV0aG9yPjxhdXRob3I+SW50ZXN0aW5hbCBNaWNyb2Jpb3RhLCBHcm91cDwvYXV0
aG9yPjwvYXV0aG9ycz48L2NvbnRyaWJ1dG9ycz48YXV0aC1hZGRyZXNzPkRlcGFydG1lbnQgb2Yg
QmlvY2hlbWlzdHJ5IGFuZCBGb29kIENoZW1pc3RyeSwgVW5pdmVyc2l0eSBvZiBUdXJrdSwgMjAw
MTQgVHVya3UsIEZpbmxhbmQuIGtpcnNpLmxhaXRpbmVuQHV0dS5maTwvYXV0aC1hZGRyZXNzPjx0
aXRsZXM+PHRpdGxlPlByb2Jpb3RpY3MgYW5kIGRpZXRhcnkgY291bnNlbGxpbmcgY29udHJpYnV0
ZSB0byBnbHVjb3NlIHJlZ3VsYXRpb24gZHVyaW5nIGFuZCBhZnRlciBwcmVnbmFuY3k6IGEgcmFu
ZG9taXNlZCBjb250cm9sbGVkIHRyaWFsPC90aXRsZT48c2Vjb25kYXJ5LXRpdGxlPkJyIEogTnV0
cjwvc2Vjb25kYXJ5LXRpdGxlPjwvdGl0bGVzPjxwZXJpb2RpY2FsPjxmdWxsLXRpdGxlPkJyIEog
TnV0cjwvZnVsbC10aXRsZT48L3BlcmlvZGljYWw+PHBhZ2VzPjE2NzktODc8L3BhZ2VzPjx2b2x1
bWU+MTAxPC92b2x1bWU+PG51bWJlcj4xMTwvbnVtYmVyPjxlZGl0aW9uPjIwMDgvMTEvMjA8L2Vk
aXRpb24+PGtleXdvcmRzPjxrZXl3b3JkPkFkdWx0PC9rZXl3b3JkPjxrZXl3b3JkPkJsb29kIEds
dWNvc2UvKm1ldGFib2xpc208L2tleXdvcmQ+PGtleXdvcmQ+Q291bnNlbGluZzwva2V5d29yZD48
a2V5d29yZD4qRGlldDwva2V5d29yZD48a2V5d29yZD5FbmVyZ3kgSW50YWtlL3BoeXNpb2xvZ3k8
L2tleXdvcmQ+PGtleXdvcmQ+RmVtYWxlPC9rZXl3b3JkPjxrZXl3b3JkPkh1bWFuczwva2V5d29y
ZD48a2V5d29yZD5JbnN1bGluL2Jsb29kPC9rZXl3b3JkPjxrZXl3b3JkPkluc3VsaW4gUmVzaXN0
YW5jZS9waHlzaW9sb2d5PC9rZXl3b3JkPjxrZXl3b3JkPk1hdGVybmFsIE51dHJpdGlvbmFsIFBo
eXNpb2xvZ2ljYWwgUGhlbm9tZW5hLypwaHlzaW9sb2d5PC9rZXl3b3JkPjxrZXl3b3JkPlBvc3Rw
YXJ0dW0gUGVyaW9kL2Jsb29kPC9rZXl3b3JkPjxrZXl3b3JkPlByZWduYW5jeS8qYmxvb2Q8L2tl
eXdvcmQ+PGtleXdvcmQ+KlByb2Jpb3RpY3M8L2tleXdvcmQ+PGtleXdvcmQ+UHJvc3BlY3RpdmUg
U3R1ZGllczwva2V5d29yZD48a2V5d29yZD5Zb3VuZyBBZHVsdDwva2V5d29yZD48L2tleXdvcmRz
PjxkYXRlcz48eWVhcj4yMDA5PC95ZWFyPjxwdWItZGF0ZXM+PGRhdGU+SnVuPC9kYXRlPjwvcHVi
LWRhdGVzPjwvZGF0ZXM+PGlzYm4+MTQ3NS0yNjYyIChFbGVjdHJvbmljKSYjeEQ7MDAwNy0xMTQ1
IChMaW5raW5nKTwvaXNibj48YWNjZXNzaW9uLW51bT4xOTAxNzQxODwvYWNjZXNzaW9uLW51bT48
dXJscz48cmVsYXRlZC11cmxzPjx1cmw+aHR0cHM6Ly93d3cubmNiaS5ubG0ubmloLmdvdi9wdWJt
ZWQvMTkwMTc0MTg8L3VybD48L3JlbGF0ZWQtdXJscz48L3VybHM+PGVsZWN0cm9uaWMtcmVzb3Vy
Y2UtbnVtPjEwLjEwMTcvUzAwMDcxMTQ1MDgxMTE0NjE8L2VsZWN0cm9uaWMtcmVzb3VyY2UtbnVt
PjwvcmVjb3JkPjwvQ2l0ZT48L0VuZE5vdGU+AG==
</w:fldData>
        </w:fldChar>
      </w:r>
      <w:r w:rsidR="002747EA">
        <w:instrText xml:space="preserve"> ADDIN EN.CITE </w:instrText>
      </w:r>
      <w:r w:rsidR="002747EA">
        <w:fldChar w:fldCharType="begin">
          <w:fldData xml:space="preserve">PEVuZE5vdGU+PENpdGU+PEF1dGhvcj5TaGFycGU8L0F1dGhvcj48WWVhcj4yMDE5PC9ZZWFyPjxS
ZWNOdW0+MTY3MDwvUmVjTnVtPjxEaXNwbGF5VGV4dD48c3R5bGUgZmFjZT0ic3VwZXJzY3JpcHQi
IGZvbnQ9IlRyZWJ1Y2hldCBNUyIgc2l6ZT0iOSI+MjI5LDIzMSwyMzMsMjM0LDIzOC0yNDA8L3N0
eWxlPjwvRGlzcGxheVRleHQ+PHJlY29yZD48cmVjLW51bWJlcj4xNjcwPC9yZWMtbnVtYmVyPjxm
b3JlaWduLWtleXM+PGtleSBhcHA9IkVOIiBkYi1pZD0iZXh2YXNyZngyZHRyYW9lc2FzeHAyc3pz
eGEyZGY1MDI1OTJ4IiB0aW1lc3RhbXA9IjE1ODEzMTI4NDciPjE2NzA8L2tleT48a2V5IGFwcD0i
RU5XZWIiIGRiLWlkPSIiPjA8L2tleT48L2ZvcmVpZ24ta2V5cz48cmVmLXR5cGUgbmFtZT0iSm91
cm5hbCBBcnRpY2xlIj4xNzwvcmVmLXR5cGU+PGNvbnRyaWJ1dG9ycz48YXV0aG9ycz48YXV0aG9y
PlNoYXJwZSwgTS48L2F1dGhvcj48YXV0aG9yPlNoYWgsIFYuPC9hdXRob3I+PGF1dGhvcj5GcmVp
cmUtTGl6YW1hLCBULjwvYXV0aG9yPjxhdXRob3I+Q2F0ZXMsIEUuIEMuPC9hdXRob3I+PGF1dGhv
cj5NY0dyYXRoLCBLLjwvYXV0aG9yPjxhdXRob3I+RGF2aWQsIEkuPC9hdXRob3I+PGF1dGhvcj5D
b3dhbiwgUy48L2F1dGhvcj48YXV0aG9yPkxldGtlbWFuLCBKLjwvYXV0aG9yPjxhdXRob3I+U3Rl
d2FydC1XaWxzb24sIEUuPC9hdXRob3I+PC9hdXRob3JzPjwvY29udHJpYnV0b3JzPjxhdXRoLWFk
ZHJlc3M+YSBNaWR3aWZlcnkgRWR1Y2F0aW9uIFByb2dyYW0sIFJ5ZXJzb24gVW5pdmVyc2l0eSAs
IFRvcm9udG8gLCBDYW5hZGEuJiN4RDtiIERlcGFydG1lbnQgb2YgUGVkaWF0cmljcywgTW91bnQg
U2luYWkgSG9zcGl0YWwgLCBUb3JvbnRvICwgQ2FuYWRhLiYjeEQ7YyBEZXBhcnRtZW50IG9mIE9i
c3RldHJpY3MgYW5kIEd5bmVjb2xvZ3ksIFN0LiBNaWNoYWVsJmFwb3M7cyBIb3NwaXRhbCAsIFRv
cm9udG8gLCBDYW5hZGEuJiN4RDtkIERlcGFydG1lbnQgb2YgUHN5Y2hvbG9neSwgUnllcnNvbiBV
bml2ZXJzaXR5ICwgVG9yb250byAsIENhbmFkYS48L2F1dGgtYWRkcmVzcz48dGl0bGVzPjx0aXRs
ZT5FZmZlY3RpdmVuZXNzIG9mIG9yYWwgaW50YWtlIG9mIExhY3RvYmFjaWxsdXMgcmhhbW5vc3Vz
IEdSLTEgYW5kIExhY3RvYmFjaWxsdXMgcmV1dGVyaSBSQy0xNCBvbiBHcm91cCBCIFN0cmVwdG9j
b2NjdXMgY29sb25pemF0aW9uIGR1cmluZyBwcmVnbmFuY3k6IGEgbWlkd2lmZXJ5LWxlZCBkb3Vi
bGUtYmxpbmQgcmFuZG9taXplZCBjb250cm9sbGVkIHBpbG90IHRyaWFsPC90aXRsZT48c2Vjb25k
YXJ5LXRpdGxlPkogTWF0ZXJuIEZldGFsIE5lb25hdGFsIE1lZDwvc2Vjb25kYXJ5LXRpdGxlPjwv
dGl0bGVzPjxwZXJpb2RpY2FsPjxmdWxsLXRpdGxlPkogTWF0ZXJuIEZldGFsIE5lb25hdGFsIE1l
ZDwvZnVsbC10aXRsZT48L3BlcmlvZGljYWw+PHBhZ2VzPjEtODwvcGFnZXM+PGVkaXRpb24+MjAx
OS8wOC8wMTwvZWRpdGlvbj48a2V5d29yZHM+PGtleXdvcmQ+Q2xpbmljYWwgdHJpYWw8L2tleXdv
cmQ+PGtleXdvcmQ+Z3JvdXAgQiBTdHJlcHRvY29jY3VzPC9rZXl3b3JkPjxrZXl3b3JkPm1pZHdp
ZmVyeTwva2V5d29yZD48a2V5d29yZD5wcmVnbmFuY3k8L2tleXdvcmQ+PGtleXdvcmQ+cHJvYmlv
dGljczwva2V5d29yZD48L2tleXdvcmRzPjxkYXRlcz48eWVhcj4yMDE5PC95ZWFyPjxwdWItZGF0
ZXM+PGRhdGU+QXVnIDEzPC9kYXRlPjwvcHViLWRhdGVzPjwvZGF0ZXM+PGlzYm4+MTQ3Ni00OTU0
IChFbGVjdHJvbmljKSYjeEQ7MTQ3Ni00OTU0IChMaW5raW5nKTwvaXNibj48YWNjZXNzaW9uLW51
bT4zMTM2MjU3MjwvYWNjZXNzaW9uLW51bT48dXJscz48cmVsYXRlZC11cmxzPjx1cmw+aHR0cHM6
Ly93d3cubmNiaS5ubG0ubmloLmdvdi9wdWJtZWQvMzEzNjI1NzI8L3VybD48L3JlbGF0ZWQtdXJs
cz48L3VybHM+PGVsZWN0cm9uaWMtcmVzb3VyY2UtbnVtPjEwLjEwODAvMTQ3NjcwNTguMjAxOS4x
NjUwOTA3PC9lbGVjdHJvbmljLXJlc291cmNlLW51bT48L3JlY29yZD48L0NpdGU+PENpdGU+PEF1
dGhvcj5QZWxsb25wZXJhPC9BdXRob3I+PFllYXI+MjAxOTwvWWVhcj48UmVjTnVtPjE2Njk8L1Jl
Y051bT48cmVjb3JkPjxyZWMtbnVtYmVyPjE2Njk8L3JlYy1udW1iZXI+PGZvcmVpZ24ta2V5cz48
a2V5IGFwcD0iRU4iIGRiLWlkPSJleHZhc3JmeDJkdHJhb2VzYXN4cDJzenN4YTJkZjUwMjU5Mngi
IHRpbWVzdGFtcD0iMTU4MTMxMjg0MCI+MTY2OTwva2V5PjxrZXkgYXBwPSJFTldlYiIgZGItaWQ9
IiI+MDwva2V5PjwvZm9yZWlnbi1rZXlzPjxyZWYtdHlwZSBuYW1lPSJKb3VybmFsIEFydGljbGUi
PjE3PC9yZWYtdHlwZT48Y29udHJpYnV0b3JzPjxhdXRob3JzPjxhdXRob3I+UGVsbG9ucGVyYSwg
Ty48L2F1dGhvcj48YXV0aG9yPk1va2thbGEsIEsuPC9hdXRob3I+PGF1dGhvcj5Ib3V0dHUsIE4u
PC9hdXRob3I+PGF1dGhvcj5WYWhsYmVyZywgVC48L2F1dGhvcj48YXV0aG9yPktvaXZ1bmllbWks
IEUuPC9hdXRob3I+PGF1dGhvcj5UZXJ0dGksIEsuPC9hdXRob3I+PGF1dGhvcj5Sb25uZW1hYSwg
VC48L2F1dGhvcj48YXV0aG9yPkxhaXRpbmVuLCBLLjwvYXV0aG9yPjwvYXV0aG9ycz48L2NvbnRy
aWJ1dG9ycz48YXV0aC1hZGRyZXNzPkRlcGFydG1lbnQgb2YgT2JzdGV0cmljcyBhbmQgR3luZWNv
bG9neSwgVW5pdmVyc2l0eSBvZiBUdXJrdSBhbmQgVHVya3UgVW5pdmVyc2l0eSBIb3NwaXRhbCwg
VHVya3UsIEZpbmxhbmQgb3V0aS5wZWxsb25wZXJhQHV0dS5maS4mI3hEO0ludGVncmF0aXZlIFBo
eXNpb2xvZ3kgYW5kIFBoYXJtYWNvbG9neSwgSW5zdGl0dXRlIG9mIEJpb21lZGljaW5lLCBVbml2
ZXJzaXR5IG9mIFR1cmt1LCBUdXJrdSwgRmlubGFuZC4mI3hEO0Jpb3N0YXRpc3RpY3MsIEluc3Rp
dHV0ZSBvZiBDbGluaWNhbCBNZWRpY2luZSwgVW5pdmVyc2l0eSBvZiBUdXJrdSwgVHVya3UsIEZp
bmxhbmQuJiN4RDtEZXBhcnRtZW50IG9mIE9ic3RldHJpY3MgYW5kIEd5bmVjb2xvZ3ksIFVuaXZl
cnNpdHkgb2YgVHVya3UgYW5kIFR1cmt1IFVuaXZlcnNpdHkgSG9zcGl0YWwsIFR1cmt1LCBGaW5s
YW5kLiYjeEQ7RGVwYXJ0bWVudCBvZiBNZWRpY2luZSwgVW5pdmVyc2l0eSBvZiBUdXJrdSBhbmQg
VHVya3UgVW5pdmVyc2l0eSBIb3NwaXRhbCwgVHVya3UsIEZpbmxhbmQuPC9hdXRoLWFkZHJlc3M+
PHRpdGxlcz48dGl0bGU+RWZmaWNhY3kgb2YgZmlzaCBvaWwgYW5kL29yIHByb2Jpb3RpYyBpbnRl
cnZlbnRpb24gb24gdGhlIGluY2lkZW5jZSBvZiBnZXN0YXRpb25hbCBkaWFiZXRlcyBtZWxsaXR1
cyBpbiBhbiBhdC1yaXNrIGdyb3VwIG9mIG92ZXJ3ZWlnaHQgYW5kIG9iZXNlIHdvbWVuOiBhIHJh
bmRvbWl6ZWQsIHBsYWNlYm8tY29udHJvbGxlZCwgZG91YmxlLWJsaW5kIGNsaW5pY2FsIHRyaWFs
PC90aXRsZT48c2Vjb25kYXJ5LXRpdGxlPkRpYWJldGVzIENhcmU8L3NlY29uZGFyeS10aXRsZT48
L3RpdGxlcz48cGVyaW9kaWNhbD48ZnVsbC10aXRsZT5EaWFiZXRlcyBDYXJlPC9mdWxsLXRpdGxl
PjwvcGVyaW9kaWNhbD48cGFnZXM+MTAwOS0xMDE3PC9wYWdlcz48dm9sdW1lPjQyPC92b2x1bWU+
PG51bWJlcj42PC9udW1iZXI+PGVkaXRpb24+MjAxOS8wNC8xMTwvZWRpdGlvbj48ZGF0ZXM+PHll
YXI+MjAxOTwveWVhcj48cHViLWRhdGVzPjxkYXRlPkp1bjwvZGF0ZT48L3B1Yi1kYXRlcz48L2Rh
dGVzPjxpc2JuPjE5MzUtNTU0OCAoRWxlY3Ryb25pYykmI3hEOzAxNDktNTk5MiAoTGlua2luZyk8
L2lzYm4+PGFjY2Vzc2lvbi1udW0+MzA5Njc0MzY8L2FjY2Vzc2lvbi1udW0+PHVybHM+PHJlbGF0
ZWQtdXJscz48dXJsPmh0dHBzOi8vd3d3Lm5jYmkubmxtLm5paC5nb3YvcHVibWVkLzMwOTY3NDM2
PC91cmw+PC9yZWxhdGVkLXVybHM+PC91cmxzPjxlbGVjdHJvbmljLXJlc291cmNlLW51bT4xMC4y
MzM3L2RjMTgtMjU5MTwvZWxlY3Ryb25pYy1yZXNvdXJjZS1udW0+PC9yZWNvcmQ+PC9DaXRlPjxD
aXRlPjxBdXRob3I+TWFzdHJvbWFyaW5vPC9BdXRob3I+PFllYXI+MjAxNTwvWWVhcj48UmVjTnVt
PjE2OTI8L1JlY051bT48cmVjb3JkPjxyZWMtbnVtYmVyPjE2OTI8L3JlYy1udW1iZXI+PGZvcmVp
Z24ta2V5cz48a2V5IGFwcD0iRU4iIGRiLWlkPSJleHZhc3JmeDJkdHJhb2VzYXN4cDJzenN4YTJk
ZjUwMjU5MngiIHRpbWVzdGFtcD0iMTU4MTgzMjA3NiI+MTY5Mjwva2V5PjwvZm9yZWlnbi1rZXlz
PjxyZWYtdHlwZSBuYW1lPSJKb3VybmFsIEFydGljbGUiPjE3PC9yZWYtdHlwZT48Y29udHJpYnV0
b3JzPjxhdXRob3JzPjxhdXRob3I+TWFzdHJvbWFyaW5vLCBQLjwvYXV0aG9yPjxhdXRob3I+Q2Fw
b2JpYW5jbywgRC48L2F1dGhvcj48YXV0aG9yPk1pY2NoZWxpLCBBLjwvYXV0aG9yPjxhdXRob3I+
UHJhdGljbywgRy48L2F1dGhvcj48YXV0aG9yPkNhbXBhZ25hLCBHLjwvYXV0aG9yPjxhdXRob3I+
TGFmb3JnaWEsIE4uPC9hdXRob3I+PGF1dGhvcj5DYXB1cnNpLCBULjwvYXV0aG9yPjxhdXRob3I+
QmFsZGFzc2FycmUsIE0uIEUuPC9hdXRob3I+PC9hdXRob3JzPjwvY29udHJpYnV0b3JzPjxhdXRo
LWFkZHJlc3M+RGVwYXJ0bWVudCBvZiBQdWJsaWMgSGVhbHRoIGFuZCBJbmZlY3Rpb3VzIERpc2Vh
c2VzLCBTZWN0aW9uIG9mIE1pY3JvYmlvbG9neSwgU2FwaWVuemEgVW5pdmVyc2l0eSwgUGlhenph
bGUgQWxkbyBNb3JvIDUsIEktMDAxODUgUm9tZSwgSXRhbHkuIEVsZWN0cm9uaWMgYWRkcmVzczog
cGFvbGEubWFzdHJvbWFyaW5vQHVuaXJvbWExLml0LiYjeEQ7RGVwYXJ0bWVudCBvZiBQdWJsaWMg
SGVhbHRoIGFuZCBJbmZlY3Rpb3VzIERpc2Vhc2VzLCBTZWN0aW9uIG9mIE1pY3JvYmlvbG9neSwg
U2FwaWVuemEgVW5pdmVyc2l0eSwgUGlhenphbGUgQWxkbyBNb3JvIDUsIEktMDAxODUgUm9tZSwg
SXRhbHkuJiN4RDtEZXBhcnRtZW50IG9mIENoZW1pc3RyeSwgU2FwaWVuemEgVW5pdmVyc2l0eSwg
UGlhenphbGUgQWxkbyBNb3JvIDUsIEktMDAxODUgUm9tZSwgSXRhbHkuJiN4RDtEZXBhcnRtZW50
IG9mIEV4cGVyaW1lbnRhbCBNZWRpY2luZSwgU2FwaWVuemEgVW5pdmVyc2l0eSwgUGlhenphbGUg
QWxkbyBNb3JvIDUsIEktMDAxODUgUm9tZSwgSXRhbHkuJiN4RDtEZXBhcnRtZW50IG9mIE1lZGlj
YWwgU2NpZW5jZSBhbmQgT25jb2xvZ3ksIFNlY3Rpb24gb2YgTmVvbmF0b2xvZ3kgYW5kIE5JQ1Us
IFVuaXZlcnNpdHkgb2YgQmFyaSwgUGlhenphIEcuIENlc2FyZSAxMSwgNzAxMjQgQmFyaSwgSXRh
bHkuJiN4RDtEZXBhcnRtZW50IG9mIE1lZGljYWwgU2NpZW5jZSBhbmQgT25jb2xvZ3ksIFNlY3Rp
b24gb2YgR3luYWVjb2xvZ3kgYW5kIE9ic3RldHJpY3MsIFVuaXZlcnNpdHkgb2YgQmFyaSwgUGlh
enphIEcuIENlc2FyZSAxMSwgNzAxMjQgQmFyaSwgSXRhbHkuPC9hdXRoLWFkZHJlc3M+PHRpdGxl
cz48dGl0bGU+QWRtaW5pc3RyYXRpb24gb2YgYSBtdWx0aXN0cmFpbiBwcm9iaW90aWMgcHJvZHVj
dCAoVlNMIzMpIHRvIHdvbWVuIGluIHRoZSBwZXJpbmF0YWwgcGVyaW9kIGRpZmZlcmVudGlhbGx5
IGFmZmVjdHMgYnJlYXN0IG1pbGsgYmVuZWZpY2lhbCBtaWNyb2Jpb3RhIGluIHJlbGF0aW9uIHRv
IG1vZGUgb2YgZGVsaXZlcnk8L3RpdGxlPjxzZWNvbmRhcnktdGl0bGU+UGhhcm1hY29sIFJlczwv
c2Vjb25kYXJ5LXRpdGxlPjwvdGl0bGVzPjxwZXJpb2RpY2FsPjxmdWxsLXRpdGxlPlBoYXJtYWNv
bCBSZXM8L2Z1bGwtdGl0bGU+PC9wZXJpb2RpY2FsPjxwYWdlcz42My03MDwvcGFnZXM+PHZvbHVt
ZT45NS05Njwvdm9sdW1lPjxlZGl0aW9uPjIwMTUvMDQvMDQ8L2VkaXRpb24+PGtleXdvcmRzPjxr
ZXl3b3JkPkFkbWluaXN0cmF0aW9uLCBPcmFsPC9rZXl3b3JkPjxrZXl3b3JkPkFkb2xlc2NlbnQ8
L2tleXdvcmQ+PGtleXdvcmQ+QWR1bHQ8L2tleXdvcmQ+PGtleXdvcmQ+QmlmaWRvYmFjdGVyaXVt
L2RydWcgZWZmZWN0cy9nZW5ldGljczwva2V5d29yZD48a2V5d29yZD5ETkEsIEJhY3RlcmlhbC9p
c29sYXRpb24gJmFtcDsgcHVyaWZpY2F0aW9uPC9rZXl3b3JkPjxrZXl3b3JkPkRlbGl2ZXJ5LCBP
YnN0ZXRyaWMvKm1ldGhvZHM8L2tleXdvcmQ+PGtleXdvcmQ+RG91YmxlLUJsaW5kIE1ldGhvZDwv
a2V5d29yZD48a2V5d29yZD5GZW1hbGU8L2tleXdvcmQ+PGtleXdvcmQ+SHVtYW5zPC9rZXl3b3Jk
PjxrZXl3b3JkPkxhY3RvYmFjaWxsdXMvZHJ1ZyBlZmZlY3RzL2dlbmV0aWNzPC9rZXl3b3JkPjxr
ZXl3b3JkPk1pY3JvYmlvdGEvKmRydWcgZWZmZWN0cy9nZW5ldGljczwva2V5d29yZD48a2V5d29y
ZD5NaWRkbGUgQWdlZDwva2V5d29yZD48a2V5d29yZD5NaWxrLCBIdW1hbi8qbWljcm9iaW9sb2d5
PC9rZXl3b3JkPjxrZXl3b3JkPlBlcmluYXRhbCBDYXJlLyptZXRob2RzPC9rZXl3b3JkPjxrZXl3
b3JkPlByZWduYW5jeTwva2V5d29yZD48a2V5d29yZD5Qcm9iaW90aWNzLyphZG1pbmlzdHJhdGlv
biAmYW1wOyBkb3NhZ2UvcGhhcm1hY29sb2d5PC9rZXl3b3JkPjxrZXl3b3JkPlJlYWwtVGltZSBQ
b2x5bWVyYXNlIENoYWluIFJlYWN0aW9uPC9rZXl3b3JkPjxrZXl3b3JkPllvdW5nIEFkdWx0PC9r
ZXl3b3JkPjxrZXl3b3JkPkJyZWFzdCBtaWxrPC9rZXl3b3JkPjxrZXl3b3JkPk1pbGsgZnVuY3Rp
b25hbCBjb21wb25lbnRzPC9rZXl3b3JkPjxrZXl3b3JkPk1pbGsgbWljcm9iaW90YTwva2V5d29y
ZD48a2V5d29yZD5Nb2RlIG9mIGRlbGl2ZXJ5PC9rZXl3b3JkPjxrZXl3b3JkPlByb2Jpb3RpYzwv
a2V5d29yZD48L2tleXdvcmRzPjxkYXRlcz48eWVhcj4yMDE1PC95ZWFyPjxwdWItZGF0ZXM+PGRh
dGU+TWF5LUp1bjwvZGF0ZT48L3B1Yi1kYXRlcz48L2RhdGVzPjxpc2JuPjEwOTYtMTE4NiAoRWxl
Y3Ryb25pYykmI3hEOzEwNDMtNjYxOCAoTGlua2luZyk8L2lzYm4+PGFjY2Vzc2lvbi1udW0+MjU4
MzY5MjI8L2FjY2Vzc2lvbi1udW0+PHVybHM+PHJlbGF0ZWQtdXJscz48dXJsPmh0dHBzOi8vd3d3
Lm5jYmkubmxtLm5paC5nb3YvcHVibWVkLzI1ODM2OTIyPC91cmw+PC9yZWxhdGVkLXVybHM+PC91
cmxzPjxlbGVjdHJvbmljLXJlc291cmNlLW51bT4xMC4xMDE2L2oucGhycy4yMDE1LjAzLjAxMzwv
ZWxlY3Ryb25pYy1yZXNvdXJjZS1udW0+PC9yZWNvcmQ+PC9DaXRlPjxDaXRlPjxBdXRob3I+S3Jh
dXNzLVNpbHZhPC9BdXRob3I+PFllYXI+MjAxMTwvWWVhcj48UmVjTnVtPjE2OTE8L1JlY051bT48
cmVjb3JkPjxyZWMtbnVtYmVyPjE2OTE8L3JlYy1udW1iZXI+PGZvcmVpZ24ta2V5cz48a2V5IGFw
cD0iRU4iIGRiLWlkPSJleHZhc3JmeDJkdHJhb2VzYXN4cDJzenN4YTJkZjUwMjU5MngiIHRpbWVz
dGFtcD0iMTU4MTgzMjA3NiI+MTY5MTwva2V5PjwvZm9yZWlnbi1rZXlzPjxyZWYtdHlwZSBuYW1l
PSJKb3VybmFsIEFydGljbGUiPjE3PC9yZWYtdHlwZT48Y29udHJpYnV0b3JzPjxhdXRob3JzPjxh
dXRob3I+S3JhdXNzLVNpbHZhLCBMLjwvYXV0aG9yPjxhdXRob3I+TW9yZWlyYSwgTS4gRS48L2F1
dGhvcj48YXV0aG9yPkFsdmVzLCBNLiBCLjwvYXV0aG9yPjxhdXRob3I+QnJhZ2EsIEEuPC9hdXRo
b3I+PGF1dGhvcj5DYW1hY2hvLCBLLiBHLjwvYXV0aG9yPjxhdXRob3I+QmF0aXN0YSwgTS4gUi48
L2F1dGhvcj48YXV0aG9yPkFsbWFkYS1Ib3J0YSwgQS48L2F1dGhvcj48YXV0aG9yPlJlYmVsbG8s
IE0uIFIuPC9hdXRob3I+PGF1dGhvcj5HdWVycmEsIEYuPC9hdXRob3I+PC9hdXRob3JzPjwvY29u
dHJpYnV0b3JzPjxhdXRoLWFkZHJlc3M+SGVhbHRoIFRlY2hub2xvZ3kgQXNzZXNzbWVudCBVbml0
LCBOYXRpb25hbCBTY2hvb2wgb2YgUHVibGljIEhlYWx0aCwgT3N3YWxkbyBDcnV6IEZvdW5kYXRp
b24sIEJyYXppbGlhbiBIZWFsdGggTWluaXN0cnksIFJpbyBkZSBKYW5laXJvLCBCcmF6aWwuIGxl
dGljaWFrQGVuc3AuZmlvY3J1ei5icjwvYXV0aC1hZGRyZXNzPjx0aXRsZXM+PHRpdGxlPkEgcmFu
ZG9taXNlZCBjb250cm9sbGVkIHRyaWFsIG9mIHByb2Jpb3RpY3MgZm9yIHRoZSBwcmV2ZW50aW9u
IG9mIHNwb250YW5lb3VzIHByZXRlcm0gZGVsaXZlcnkgYXNzb2NpYXRlZCB3aXRoIGJhY3Rlcmlh
bCB2YWdpbm9zaXM6IHByZWxpbWluYXJ5IHJlc3VsdHM8L3RpdGxlPjxzZWNvbmRhcnktdGl0bGU+
VHJpYWxzPC9zZWNvbmRhcnktdGl0bGU+PC90aXRsZXM+PHBlcmlvZGljYWw+PGZ1bGwtdGl0bGU+
VHJpYWxzPC9mdWxsLXRpdGxlPjwvcGVyaW9kaWNhbD48cGFnZXM+MjM5PC9wYWdlcz48dm9sdW1l
PjEyPC92b2x1bWU+PGVkaXRpb24+MjAxMS8xMS8wOTwvZWRpdGlvbj48a2V5d29yZHM+PGtleXdv
cmQ+RmVtYWxlPC9rZXl3b3JkPjxrZXl3b3JkPkh1bWFuczwva2V5d29yZD48a2V5d29yZD5JbmZh
bnQsIE5ld2Jvcm48L2tleXdvcmQ+PGtleXdvcmQ+UHJlZ25hbmN5PC9rZXl3b3JkPjxrZXl3b3Jk
PlByZW1hdHVyZSBCaXJ0aC8qcHJldmVudGlvbiAmYW1wOyBjb250cm9sPC9rZXl3b3JkPjxrZXl3
b3JkPlByb2Jpb3RpY3MvKnRoZXJhcGV1dGljIHVzZTwva2V5d29yZD48a2V5d29yZD5WYWdpbm9z
aXMsIEJhY3RlcmlhbC8qZHJ1ZyB0aGVyYXB5PC9rZXl3b3JkPjwva2V5d29yZHM+PGRhdGVzPjx5
ZWFyPjIwMTE8L3llYXI+PHB1Yi1kYXRlcz48ZGF0ZT5Ob3YgODwvZGF0ZT48L3B1Yi1kYXRlcz48
L2RhdGVzPjxpc2JuPjE3NDUtNjIxNSAoRWxlY3Ryb25pYykmI3hEOzE3NDUtNjIxNSAoTGlua2lu
Zyk8L2lzYm4+PGFjY2Vzc2lvbi1udW0+MjIwNTk0MDk8L2FjY2Vzc2lvbi1udW0+PHVybHM+PHJl
bGF0ZWQtdXJscz48dXJsPmh0dHBzOi8vd3d3Lm5jYmkubmxtLm5paC5nb3YvcHVibWVkLzIyMDU5
NDA5PC91cmw+PC9yZWxhdGVkLXVybHM+PC91cmxzPjxjdXN0b20yPlBNQzMyNjQ1MTQ8L2N1c3Rv
bTI+PGVsZWN0cm9uaWMtcmVzb3VyY2UtbnVtPjEwLjExODYvMTc0NS02MjE1LTEyLTIzOTwvZWxl
Y3Ryb25pYy1yZXNvdXJjZS1udW0+PC9yZWNvcmQ+PC9DaXRlPjxDaXRlPjxBdXRob3I+R2lsbGU8
L0F1dGhvcj48WWVhcj4yMDE2PC9ZZWFyPjxSZWNOdW0+MTY1MzwvUmVjTnVtPjxyZWNvcmQ+PHJl
Yy1udW1iZXI+MTY1MzwvcmVjLW51bWJlcj48Zm9yZWlnbi1rZXlzPjxrZXkgYXBwPSJFTiIgZGIt
aWQ9ImV4dmFzcmZ4MmR0cmFvZXNhc3hwMnN6c3hhMmRmNTAyNTkyeCIgdGltZXN0YW1wPSIxNTgx
MzEyNzI5Ij4xNjUzPC9rZXk+PGtleSBhcHA9IkVOV2ViIiBkYi1pZD0iIj4wPC9rZXk+PC9mb3Jl
aWduLWtleXM+PHJlZi10eXBlIG5hbWU9IkpvdXJuYWwgQXJ0aWNsZSI+MTc8L3JlZi10eXBlPjxj
b250cmlidXRvcnM+PGF1dGhvcnM+PGF1dGhvcj5HaWxsZSwgQy48L2F1dGhvcj48YXV0aG9yPkJv
ZXIsIEIuPC9hdXRob3I+PGF1dGhvcj5NYXJzY2hhbCwgTS48L2F1dGhvcj48YXV0aG9yPlVyc2No
aXR6LCBNLiBTLjwvYXV0aG9yPjxhdXRob3I+SGVpbmVja2UsIFYuPC9hdXRob3I+PGF1dGhvcj5I
dW5kLCBWLjwvYXV0aG9yPjxhdXRob3I+U3BlaWRlbCwgUy48L2F1dGhvcj48YXV0aG9yPlRhcm5v
dywgSS48L2F1dGhvcj48YXV0aG9yPk15bG9uYXMsIEkuPC9hdXRob3I+PGF1dGhvcj5GcmFueiwg
QS48L2F1dGhvcj48YXV0aG9yPkVuZ2VsLCBDLjwvYXV0aG9yPjxhdXRob3I+UG9ldHMsIEMuIEYu
PC9hdXRob3I+PC9hdXRob3JzPjwvY29udHJpYnV0b3JzPjxhdXRoLWFkZHJlc3M+RGVwYXJ0bWVu
dCBvZiBOZW9uYXRvbG9neSwgVW5pdmVyc2l0eSBDaGlsZHJlbiZhcG9zO3MgSG9zcGl0YWwsIFVu
aXZlcnNpdHkgSG9zcGl0YWwsIFR1ZWJpbmdlbiwgR2VybWFueS4mI3hEO0RlcGFydG1lbnQgb2Yg
T2JzdGV0cmljcyBhbmQgR3luZWNvbG9neSwgVW5pdmVyc2l0eSBIb3NwaXRhbCwgVHVlYmluZ2Vu
LCBHZXJtYW55LiYjeEQ7SW5zdGl0dXRlIGZvciBNZWRpY2FsIE1pY3JvYmlvbG9neSwgVW5pdmVy
c2l0eSBIb3NwaXRhbCwgVHVlYmluZ2VuLCBHZXJtYW55LiYjeEQ7SW5zdGl0dXRlIG9mIE1lZGlj
YWwgQmlvc3RhdGlzdGljcywgRXBpZGVtaW9sb2d5LCBhbmQgSW5mb3JtYXRpY3MsIERpdmlzaW9u
IG9mIFBlZGlhdHJpYyBFcGlkZW1pb2xvZ3kgVW5pdmVyc2l0eSBNZWRpY2FsIENlbnRlciBvZiB0
aGUgSm9oYW5uZXMgR3V0ZW5iZXJnIFVuaXZlcnNpdHkgTWFpbnosIEdlcm1hbnkuJiN4RDtPYnN0
ZXRyaWMgcHJhY3RpY2UsIEJhZCBVcmFjaCwgR2VybWFueS4mI3hEO1VuaXZlcnNpdHkgUGhhcm1h
Y3ksIFVuaXZlcnNpdHkgSG9zcGl0YWwsIFR1ZWJpbmdlbiwgR2VybWFueS4mI3hEO1NlcmVuZGV4
IFBoYXJtYWNldXRpY2FscywgSG9yc2hvbG0sIERlbm1hcmsuJiN4RDtEZXBhcnRtZW50IG9mIE9i
c3RldHJpY3MgYW5kIEd5bmVjb2xvZ3ksIEx1ZHdpZy1NYXhpbWlsaWFucy1Vbml2ZXJzaXR5LCBN
dW5pY2gsIEdlcm1hbnkuJiN4RDtDZW50ZXIgZm9yIFBlZGlhdHJpYyBDbGluaWNhbCBTdHVkaWVz
LCBVbml2ZXJzaXR5IENoaWxkcmVuJmFwb3M7cyBIb3NwaXRhbCwgVW5pdmVyc2l0eSBIb3NwaXRh
bCwgVHVlYmluZ2VuLCBHZXJtYW55LiYjeEQ7RGVwYXJ0bWVudCBvZiBOZW9uYXRvbG9neSwgVW5p
dmVyc2l0eSBDaGlsZHJlbiZhcG9zO3MgSG9zcGl0YWwsIFVuaXZlcnNpdHkgSG9zcGl0YWwsIFR1
ZWJpbmdlbiwgR2VybWFueS4gRWxlY3Ryb25pYyBhZGRyZXNzOiBjaHJpc3RpYW4tZi5wb2V0c0Bt
ZWQudW5pLXR1ZWJpbmdlbi5kZS48L2F1dGgtYWRkcmVzcz48dGl0bGVzPjx0aXRsZT5FZmZlY3Qg
b2YgcHJvYmlvdGljcyBvbiB2YWdpbmFsIGhlYWx0aCBpbiBwcmVnbmFuY3kuIEVGRlBSTywgYSBy
YW5kb21pemVkIGNvbnRyb2xsZWQgdHJpYWw8L3RpdGxlPjxzZWNvbmRhcnktdGl0bGU+QW0gSiBP
YnN0ZXQgR3luZWNvbDwvc2Vjb25kYXJ5LXRpdGxlPjwvdGl0bGVzPjxwZXJpb2RpY2FsPjxmdWxs
LXRpdGxlPkFtIEogT2JzdGV0IEd5bmVjb2w8L2Z1bGwtdGl0bGU+PC9wZXJpb2RpY2FsPjxwYWdl
cz42MDggZTEtNjA4IGU3PC9wYWdlcz48dm9sdW1lPjIxNTwvdm9sdW1lPjxudW1iZXI+NTwvbnVt
YmVyPjxlZGl0aW9uPjIwMTYvMTAvMzA8L2VkaXRpb24+PGtleXdvcmRzPjxrZXl3b3JkPkFkbWlu
aXN0cmF0aW9uLCBPcmFsPC9rZXl3b3JkPjxrZXl3b3JkPkFkdWx0PC9rZXl3b3JkPjxrZXl3b3Jk
PkZlbWFsZTwva2V5d29yZD48a2V5d29yZD5IdW1hbnM8L2tleXdvcmQ+PGtleXdvcmQ+KkxhY3Rv
YmFjaWxsdXMgcmV1dGVyaTwva2V5d29yZD48a2V5d29yZD4qTGFjdG9iYWNpbGx1cyByaGFtbm9z
dXM8L2tleXdvcmQ+PGtleXdvcmQ+TWljcm9iaW90YS8qZHJ1ZyBlZmZlY3RzPC9rZXl3b3JkPjxr
ZXl3b3JkPk1pZGRsZSBBZ2VkPC9rZXl3b3JkPjxrZXl3b3JkPlByZWduYW5jeTwva2V5d29yZD48
a2V5d29yZD5QcmVnbmFuY3kgVHJpbWVzdGVyLCBGaXJzdDwva2V5d29yZD48a2V5d29yZD5Qcm9i
aW90aWNzLypwaGFybWFjb2xvZ3k8L2tleXdvcmQ+PGtleXdvcmQ+VmFnaW5hLypkcnVnIGVmZmVj
dHM8L2tleXdvcmQ+PGtleXdvcmQ+WW91bmcgQWR1bHQ8L2tleXdvcmQ+PGtleXdvcmQ+KmJhY3Rl
cmlhbCB2YWdpbm9zaXM8L2tleXdvcmQ+PGtleXdvcmQ+KnByZXRlcm0gYmlydGg8L2tleXdvcmQ+
PGtleXdvcmQ+KnByb2Jpb3RpY3M8L2tleXdvcmQ+PGtleXdvcmQ+KnZhZ2luYWwgbWljcm9iaW90
YTwva2V5d29yZD48L2tleXdvcmRzPjxkYXRlcz48eWVhcj4yMDE2PC95ZWFyPjxwdWItZGF0ZXM+
PGRhdGU+Tm92PC9kYXRlPjwvcHViLWRhdGVzPjwvZGF0ZXM+PGlzYm4+MTA5Ny02ODY4IChFbGVj
dHJvbmljKSYjeEQ7MDAwMi05Mzc4IChMaW5raW5nKTwvaXNibj48YWNjZXNzaW9uLW51bT4yNzM0
MjA0NjwvYWNjZXNzaW9uLW51bT48dXJscz48cmVsYXRlZC11cmxzPjx1cmw+aHR0cHM6Ly93d3cu
bmNiaS5ubG0ubmloLmdvdi9wdWJtZWQvMjczNDIwNDY8L3VybD48L3JlbGF0ZWQtdXJscz48L3Vy
bHM+PGVsZWN0cm9uaWMtcmVzb3VyY2UtbnVtPjEwLjEwMTYvai5ham9nLjIwMTYuMDYuMDIxPC9l
bGVjdHJvbmljLXJlc291cmNlLW51bT48L3JlY29yZD48L0NpdGU+PENpdGU+PEF1dGhvcj5IdXNh
aW48L0F1dGhvcj48WWVhcj4yMDIwPC9ZZWFyPjxSZWNOdW0+MTY4MTwvUmVjTnVtPjxyZWNvcmQ+
PHJlYy1udW1iZXI+MTY4MTwvcmVjLW51bWJlcj48Zm9yZWlnbi1rZXlzPjxrZXkgYXBwPSJFTiIg
ZGItaWQ9ImV4dmFzcmZ4MmR0cmFvZXNhc3hwMnN6c3hhMmRmNTAyNTkyeCIgdGltZXN0YW1wPSIx
NTgxMzc5ODc0Ij4xNjgxPC9rZXk+PC9mb3JlaWduLWtleXM+PHJlZi10eXBlIG5hbWU9IkpvdXJu
YWwgQXJ0aWNsZSI+MTc8L3JlZi10eXBlPjxjb250cmlidXRvcnM+PGF1dGhvcnM+PGF1dGhvcj5I
dXNhaW4sIFMuPC9hdXRob3I+PGF1dGhvcj5BbGxvdGV5LCBKLjwvYXV0aG9yPjxhdXRob3I+RHJ5
bW91c3NpLCBaLjwvYXV0aG9yPjxhdXRob3I+V2lsa3MsIE0uPC9hdXRob3I+PGF1dGhvcj5GZXJu
YW5kZXotRmVsaXgsIEIuIE0uPC9hdXRob3I+PGF1dGhvcj5XaGlsZXksIEEuPC9hdXRob3I+PGF1
dGhvcj5Eb2RkcywgSi48L2F1dGhvcj48YXV0aG9yPlRoYW5nYXJhdGluYW0sIFMuPC9hdXRob3I+
PGF1dGhvcj5NY0NvdXJ0LCBDLjwvYXV0aG9yPjxhdXRob3I+UHJvc2RvY2ltaSwgRS4gTS48L2F1
dGhvcj48YXV0aG9yPldhZGUsIFcuIEcuPC9hdXRob3I+PGF1dGhvcj5kZSBUZWphZGEsIEIuIE0u
PC9hdXRob3I+PGF1dGhvcj5aYW1vcmEsIEouPC9hdXRob3I+PGF1dGhvcj5LaGFuLCBLLjwvYXV0
aG9yPjxhdXRob3I+TWlsbGFyLCBNLjwvYXV0aG9yPjwvYXV0aG9ycz48L2NvbnRyaWJ1dG9ycz48
YXV0aC1hZGRyZXNzPkJhcnRzIGFuZCB0aGUgTG9uZG9uIFNjaG9vbCBvZiBNZWRpY2luZSBhbmQg
RGVudGlzdHJ5LCBCbGl6YXJkIEluc3RpdHV0ZSwgUXVlZW4gTWFyeSBVbml2ZXJzaXR5IG9mIExv
bmRvbiwgTG9uZG9uLCBVSy4mI3hEO05lb25hdGFsIFVuaXQsIEhvbWVydG9uIFVuaXZlcnNpdHkg
SG9zcGl0YWwgTkhTIEZvdW5kYXRpb24gVHJ1c3QsIExvbmRvbiwgVUsuJiN4RDtXb21lbiZhcG9z
O3MgSGVhbHRoIFJlc2VhcmNoIFVuaXQsIEJhcnRzIGFuZCB0aGUgTG9uZG9uIFNjaG9vbCBvZiBN
ZWRpY2luZSBhbmQgRGVudGlzdHJ5LCBRdWVlbiBNYXJ5IFVuaXZlcnNpdHkgb2YgTG9uZG9uLCBM
b25kb24sIFVLLiYjeEQ7QmFydHMgYW5kIHRoZSBMb25kb24gU2Nob29sIG9mIE1lZGljaW5lIGFu
ZCBEZW50aXN0cnksIFF1ZWVuIE1hcnkgVW5pdmVyc2l0eSBvZiBMb25kb24sIExvbmRvbiwgVUsu
JiN4RDtCYXJ0cyBIZWFsdGggTkhTIFRydXN0LCBMb25kb24sIFVLLiYjeEQ7Q0lCRVIgRXBpZGVt
aW9sb2d5IGFuZCBQdWJsaWMgSGVhbHRoIChDSUJFUkVTUCksIE1hZHJpZCwgU3BhaW4uJiN4RDtD
bGluaWNhbCBCaW9zdGF0aXN0aWNzIFVuaXQsIEhvc3BpdGFsIFJhbW9uIHkgQ2FqYWwgKElSWUNJ
UyksIE1hZHJpZCwgU3BhaW4uJiN4RDtDaXR5IFVuaXZlcnNpdHkgb2YgTG9uZG9uLCBVbml2ZXJz
aXR5IG9mIExvbmRvbiwgTG9uZG9uLCBVSy4mI3hEO0NlbnRyZSBmb3IgSG9zdC1NaWNyb2Jpb21l
IEludGVyYWN0aW9ucywgS2luZyZhcG9zO3MgQ29sbGVnZSBMb25kb24sIExvbmRvbiwgVUsuJiN4
RDtEZXBhcnRtZW50IG9mIE9ic3RldHJpY3MgYW5kIEd5bmFlY29sb2d5LCBGYWN1bHR5IG9mIE1l
ZGljaW5lLCBVbml2ZXJzaXR5IEhvc3BpdGFscyBvZiBHZW5ldmEsIEdlbmV2YSwgU3dpdHplcmxh
bmQuPC9hdXRoLWFkZHJlc3M+PHRpdGxlcz48dGl0bGU+RWZmZWN0cyBvZiBvcmFsIHByb2Jpb3Rp
YyBzdXBwbGVtZW50cyBvbiB2YWdpbmFsIG1pY3JvYmlvdGEgZHVyaW5nIHByZWduYW5jeTogYSBy
YW5kb21pc2VkLCBkb3VibGUtYmxpbmQsIHBsYWNlYm8tY29udHJvbGxlZCB0cmlhbCB3aXRoIG1p
Y3JvYmlvbWUgYW5hbHlzaXM8L3RpdGxlPjxzZWNvbmRhcnktdGl0bGU+QkpPRzwvc2Vjb25kYXJ5
LXRpdGxlPjwvdGl0bGVzPjxwZXJpb2RpY2FsPjxmdWxsLXRpdGxlPkJKT0c8L2Z1bGwtdGl0bGU+
PC9wZXJpb2RpY2FsPjxwYWdlcz4yNzUtMjg0PC9wYWdlcz48dm9sdW1lPjEyNzwvdm9sdW1lPjxu
dW1iZXI+MjwvbnVtYmVyPjxlZGl0aW9uPjIwMTkvMDQvMDI8L2VkaXRpb24+PGtleXdvcmRzPjxr
ZXl3b3JkPkFkdWx0PC9rZXl3b3JkPjxrZXl3b3JkPkRvdWJsZS1CbGluZCBNZXRob2Q8L2tleXdv
cmQ+PGtleXdvcmQ+RmVtYWxlPC9rZXl3b3JkPjxrZXl3b3JkPkh1bWFuczwva2V5d29yZD48a2V5
d29yZD5MYWN0b2JhY2lsbHVzIHJldXRlcmkvZHJ1ZyBlZmZlY3RzPC9rZXl3b3JkPjxrZXl3b3Jk
PkxhY3RvYmFjaWxsdXMgcmhhbW5vc3VzL2RydWcgZWZmZWN0czwva2V5d29yZD48a2V5d29yZD5N
aWNyb2Jpb3RhLypwaHlzaW9sb2d5PC9rZXl3b3JkPjxrZXl3b3JkPlByZWduYW5jeTwva2V5d29y
ZD48a2V5d29yZD5QcmVnbmFuY3kgQ29tcGxpY2F0aW9ucywgSW5mZWN0aW91cy8qbWljcm9iaW9s
b2d5PC9rZXl3b3JkPjxrZXl3b3JkPlByZWduYW5jeSBUcmltZXN0ZXIsIEZpcnN0PC9rZXl3b3Jk
PjxrZXl3b3JkPlByb2Jpb3RpY3MvKnRoZXJhcGV1dGljIHVzZTwva2V5d29yZD48a2V5d29yZD5W
YWdpbmEvKm1pY3JvYmlvbG9neTwva2V5d29yZD48a2V5d29yZD5WYWdpbm9zaXMsIEJhY3Rlcmlh
bC9jb21wbGljYXRpb25zL2RydWcgdGhlcmFweS9taWNyb2Jpb2xvZ3k8L2tleXdvcmQ+PGtleXdv
cmQ+WW91bmcgQWR1bHQ8L2tleXdvcmQ+PGtleXdvcmQ+KiBMYWN0b2JhY2lsbHVzIHJldXRlcmk8
L2tleXdvcmQ+PGtleXdvcmQ+KiBMYWN0b2JhY2lsbHVzIHJoYW1ub3N1czwva2V5d29yZD48a2V5
d29yZD4qQmFjdGVyaWFsIHZhZ2lub3Npczwva2V5d29yZD48a2V5d29yZD4qcHJvYmlvdGljPC9r
ZXl3b3JkPjwva2V5d29yZHM+PGRhdGVzPjx5ZWFyPjIwMjA8L3llYXI+PHB1Yi1kYXRlcz48ZGF0
ZT5KYW48L2RhdGU+PC9wdWItZGF0ZXM+PC9kYXRlcz48aXNibj4xNDcxLTA1MjggKEVsZWN0cm9u
aWMpJiN4RDsxNDcwLTAzMjggKExpbmtpbmcpPC9pc2JuPjxhY2Nlc3Npb24tbnVtPjMwOTMyMzE3
PC9hY2Nlc3Npb24tbnVtPjx1cmxzPjxyZWxhdGVkLXVybHM+PHVybD5odHRwczovL3d3dy5uY2Jp
Lm5sbS5uaWguZ292L3B1Ym1lZC8zMDkzMjMxNzwvdXJsPjwvcmVsYXRlZC11cmxzPjwvdXJscz48
Y3VzdG9tMj5QTUM2OTczMTQ5PC9jdXN0b20yPjxlbGVjdHJvbmljLXJlc291cmNlLW51bT4xMC4x
MTExLzE0NzEtMDUyOC4xNTY3NTwvZWxlY3Ryb25pYy1yZXNvdXJjZS1udW0+PC9yZWNvcmQ+PC9D
aXRlPjxDaXRlPjxBdXRob3I+TGFpdGluZW48L0F1dGhvcj48WWVhcj4yMDA5PC9ZZWFyPjxSZWNO
dW0+MTE0ODwvUmVjTnVtPjxyZWNvcmQ+PHJlYy1udW1iZXI+MTE0ODwvcmVjLW51bWJlcj48Zm9y
ZWlnbi1rZXlzPjxrZXkgYXBwPSJFTiIgZGItaWQ9ImV4dmFzcmZ4MmR0cmFvZXNhc3hwMnN6c3hh
MmRmNTAyNTkyeCIgdGltZXN0YW1wPSIxNTU1NTY2ODE2Ij4xMTQ4PC9rZXk+PGtleSBhcHA9IkVO
V2ViIiBkYi1pZD0iIj4wPC9rZXk+PC9mb3JlaWduLWtleXM+PHJlZi10eXBlIG5hbWU9IkpvdXJu
YWwgQXJ0aWNsZSI+MTc8L3JlZi10eXBlPjxjb250cmlidXRvcnM+PGF1dGhvcnM+PGF1dGhvcj5M
YWl0aW5lbiwgSy48L2F1dGhvcj48YXV0aG9yPlBvdXNzYSwgVC48L2F1dGhvcj48YXV0aG9yPklz
b2xhdXJpLCBFLjwvYXV0aG9yPjxhdXRob3I+TnV0cml0aW9uLCBBbGxlcmd5IE11Y29zYWwgSW1t
dW5vbG9neTwvYXV0aG9yPjxhdXRob3I+SW50ZXN0aW5hbCBNaWNyb2Jpb3RhLCBHcm91cDwvYXV0
aG9yPjwvYXV0aG9ycz48L2NvbnRyaWJ1dG9ycz48YXV0aC1hZGRyZXNzPkRlcGFydG1lbnQgb2Yg
QmlvY2hlbWlzdHJ5IGFuZCBGb29kIENoZW1pc3RyeSwgVW5pdmVyc2l0eSBvZiBUdXJrdSwgMjAw
MTQgVHVya3UsIEZpbmxhbmQuIGtpcnNpLmxhaXRpbmVuQHV0dS5maTwvYXV0aC1hZGRyZXNzPjx0
aXRsZXM+PHRpdGxlPlByb2Jpb3RpY3MgYW5kIGRpZXRhcnkgY291bnNlbGxpbmcgY29udHJpYnV0
ZSB0byBnbHVjb3NlIHJlZ3VsYXRpb24gZHVyaW5nIGFuZCBhZnRlciBwcmVnbmFuY3k6IGEgcmFu
ZG9taXNlZCBjb250cm9sbGVkIHRyaWFsPC90aXRsZT48c2Vjb25kYXJ5LXRpdGxlPkJyIEogTnV0
cjwvc2Vjb25kYXJ5LXRpdGxlPjwvdGl0bGVzPjxwZXJpb2RpY2FsPjxmdWxsLXRpdGxlPkJyIEog
TnV0cjwvZnVsbC10aXRsZT48L3BlcmlvZGljYWw+PHBhZ2VzPjE2NzktODc8L3BhZ2VzPjx2b2x1
bWU+MTAxPC92b2x1bWU+PG51bWJlcj4xMTwvbnVtYmVyPjxlZGl0aW9uPjIwMDgvMTEvMjA8L2Vk
aXRpb24+PGtleXdvcmRzPjxrZXl3b3JkPkFkdWx0PC9rZXl3b3JkPjxrZXl3b3JkPkJsb29kIEds
dWNvc2UvKm1ldGFib2xpc208L2tleXdvcmQ+PGtleXdvcmQ+Q291bnNlbGluZzwva2V5d29yZD48
a2V5d29yZD4qRGlldDwva2V5d29yZD48a2V5d29yZD5FbmVyZ3kgSW50YWtlL3BoeXNpb2xvZ3k8
L2tleXdvcmQ+PGtleXdvcmQ+RmVtYWxlPC9rZXl3b3JkPjxrZXl3b3JkPkh1bWFuczwva2V5d29y
ZD48a2V5d29yZD5JbnN1bGluL2Jsb29kPC9rZXl3b3JkPjxrZXl3b3JkPkluc3VsaW4gUmVzaXN0
YW5jZS9waHlzaW9sb2d5PC9rZXl3b3JkPjxrZXl3b3JkPk1hdGVybmFsIE51dHJpdGlvbmFsIFBo
eXNpb2xvZ2ljYWwgUGhlbm9tZW5hLypwaHlzaW9sb2d5PC9rZXl3b3JkPjxrZXl3b3JkPlBvc3Rw
YXJ0dW0gUGVyaW9kL2Jsb29kPC9rZXl3b3JkPjxrZXl3b3JkPlByZWduYW5jeS8qYmxvb2Q8L2tl
eXdvcmQ+PGtleXdvcmQ+KlByb2Jpb3RpY3M8L2tleXdvcmQ+PGtleXdvcmQ+UHJvc3BlY3RpdmUg
U3R1ZGllczwva2V5d29yZD48a2V5d29yZD5Zb3VuZyBBZHVsdDwva2V5d29yZD48L2tleXdvcmRz
PjxkYXRlcz48eWVhcj4yMDA5PC95ZWFyPjxwdWItZGF0ZXM+PGRhdGU+SnVuPC9kYXRlPjwvcHVi
LWRhdGVzPjwvZGF0ZXM+PGlzYm4+MTQ3NS0yNjYyIChFbGVjdHJvbmljKSYjeEQ7MDAwNy0xMTQ1
IChMaW5raW5nKTwvaXNibj48YWNjZXNzaW9uLW51bT4xOTAxNzQxODwvYWNjZXNzaW9uLW51bT48
dXJscz48cmVsYXRlZC11cmxzPjx1cmw+aHR0cHM6Ly93d3cubmNiaS5ubG0ubmloLmdvdi9wdWJt
ZWQvMTkwMTc0MTg8L3VybD48L3JlbGF0ZWQtdXJscz48L3VybHM+PGVsZWN0cm9uaWMtcmVzb3Vy
Y2UtbnVtPjEwLjEwMTcvUzAwMDcxMTQ1MDgxMTE0NjE8L2VsZWN0cm9uaWMtcmVzb3VyY2UtbnVt
PjwvcmVjb3JkPjwvQ2l0ZT48L0VuZE5vdGU+AG==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229,231,233,234,238-240</w:t>
      </w:r>
      <w:r w:rsidR="00AB21E2">
        <w:fldChar w:fldCharType="end"/>
      </w:r>
      <w:r w:rsidR="00D76EA6">
        <w:t xml:space="preserve"> women with gestational diabetes,</w:t>
      </w:r>
      <w:r w:rsidR="00AB21E2">
        <w:fldChar w:fldCharType="begin">
          <w:fldData xml:space="preserve">PEVuZE5vdGU+PENpdGU+PEF1dGhvcj5MaW5kc2F5PC9BdXRob3I+PFllYXI+MjAxNTwvWWVhcj48
UmVjTnVtPjE2OTY8L1JlY051bT48RGlzcGxheVRleHQ+PHN0eWxlIGZhY2U9InN1cGVyc2NyaXB0
IiBmb250PSJUcmVidWNoZXQgTVMiIHNpemU9IjkiPjI0MS0yNDU8L3N0eWxlPjwvRGlzcGxheVRl
eHQ+PHJlY29yZD48cmVjLW51bWJlcj4xNjk2PC9yZWMtbnVtYmVyPjxmb3JlaWduLWtleXM+PGtl
eSBhcHA9IkVOIiBkYi1pZD0iZXh2YXNyZngyZHRyYW9lc2FzeHAyc3pzeGEyZGY1MDI1OTJ4IiB0
aW1lc3RhbXA9IjE1ODE4MzIyODkiPjE2OTY8L2tleT48L2ZvcmVpZ24ta2V5cz48cmVmLXR5cGUg
bmFtZT0iSm91cm5hbCBBcnRpY2xlIj4xNzwvcmVmLXR5cGU+PGNvbnRyaWJ1dG9ycz48YXV0aG9y
cz48YXV0aG9yPkxpbmRzYXksIEsuIEwuPC9hdXRob3I+PGF1dGhvcj5CcmVubmFuLCBMLjwvYXV0
aG9yPjxhdXRob3I+S2VubmVsbHksIE0uIEEuPC9hdXRob3I+PGF1dGhvcj5NYWd1aXJlLCBPLiBD
LjwvYXV0aG9yPjxhdXRob3I+U21pdGgsIFQuPC9hdXRob3I+PGF1dGhvcj5DdXJyYW4sIFMuPC9h
dXRob3I+PGF1dGhvcj5Db2ZmZXksIE0uPC9hdXRob3I+PGF1dGhvcj5Gb2xleSwgTS4gRS48L2F1
dGhvcj48YXV0aG9yPkhhdHVuaWMsIE0uPC9hdXRob3I+PGF1dGhvcj5TaGFuYWhhbiwgRi48L2F1
dGhvcj48YXV0aG9yPk1jQXVsaWZmZSwgRi4gTS48L2F1dGhvcj48L2F1dGhvcnM+PC9jb250cmli
dXRvcnM+PGF1dGgtYWRkcmVzcz5VQ0QgT2JzdGV0cmljcyBhbmQgR3luZWNvbG9neSwgU2Nob29s
IG9mIE1lZGljaW5lIGFuZCBNZWRpY2FsIFNjaWVuY2UsIGFuZCBOYXRpb25hbCBNYXRlcm5pdHkg
SG9zcGl0YWwsIFVuaXZlcnNpdHkgQ29sbGVnZSBEdWJsaW4sIER1YmxpbiwgSXJlbGFuZC4mI3hE
O1VDRCBJbnN0aXR1dGUgb2YgRm9vZCBhbmQgSGVhbHRoLCBTY2hvb2wgb2YgQWdyaWN1bHR1cmUg
YW5kIEZvb2QgU2NpZW5jZSwgVW5pdmVyc2l0eSBDb2xsZWdlIER1YmxpbiwgRHVibGluLCBJcmVs
YW5kLiYjeEQ7RGVwYXJ0bWVudCBvZiBDbGluaWNhbCBDaGVtaXN0cnksIFN0LiBWaW5jZW50JmFw
b3M7cyBVbml2ZXJzaXR5IEhvc3BpdGFsLCBFbG0gUGFyaywgRHVibGluLCBJcmVsYW5kLiYjeEQ7
RGVwYXJ0bWVudCBvZiBDbGluaWNhbCBOdXRyaXRpb24sIE5hdGlvbmFsIE1hdGVybml0eSBIb3Nw
aXRhbCwgRHVibGluLCBJcmVsYW5kLiYjeEQ7RGVwYXJ0bWVudCBvZiBNaWR3aWZlcnksIE5hdGlv
bmFsIE1hdGVybml0eSBIb3NwaXRhbCwgRHVibGluLCBJcmVsYW5kLiYjeEQ7RGVwYXJ0bWVudCBv
ZiBFbmRvY3Jpbm9sb2d5LCBOYXRpb25hbCBNYXRlcm5pdHkgSG9zcGl0YWwsIER1YmxpbiwgSXJl
bGFuZC4mI3hEO0RlcGFydG1lbnQgb2YgTWVkaWNpbmUsIEFsaW1lbnRhcnkgYW5kIFBoYXJtYWJp
b3RpYyBDZW50ZXIsIFVuaXZlcnNpdHkgQ29sbGVnZSBDb3JrLCBDb3JrLCBJcmVsYW5kLiYjeEQ7
VUNEIE9ic3RldHJpY3MgYW5kIEd5bmVjb2xvZ3ksIFNjaG9vbCBvZiBNZWRpY2luZSBhbmQgTWVk
aWNhbCBTY2llbmNlLCBhbmQgTmF0aW9uYWwgTWF0ZXJuaXR5IEhvc3BpdGFsLCBVbml2ZXJzaXR5
IENvbGxlZ2UgRHVibGluLCBEdWJsaW4sIElyZWxhbmQuIEVsZWN0cm9uaWMgYWRkcmVzczogZmlv
bm51YWxhLm1jYXVsaWZmZUB1Y2QuaWUuPC9hdXRoLWFkZHJlc3M+PHRpdGxlcz48dGl0bGU+SW1w
YWN0IG9mIHByb2Jpb3RpY3MgaW4gd29tZW4gd2l0aCBnZXN0YXRpb25hbCBkaWFiZXRlcyBtZWxs
aXR1cyBvbiBtZXRhYm9saWMgaGVhbHRoOiBhIHJhbmRvbWl6ZWQgY29udHJvbGxlZCB0cmlhbDwv
dGl0bGU+PHNlY29uZGFyeS10aXRsZT5BbSBKIE9ic3RldCBHeW5lY29sPC9zZWNvbmRhcnktdGl0
bGU+PC90aXRsZXM+PHBlcmlvZGljYWw+PGZ1bGwtdGl0bGU+QW0gSiBPYnN0ZXQgR3luZWNvbDwv
ZnVsbC10aXRsZT48L3BlcmlvZGljYWw+PHBhZ2VzPjQ5NiBlMS0xMTwvcGFnZXM+PHZvbHVtZT4y
MTI8L3ZvbHVtZT48bnVtYmVyPjQ8L251bWJlcj48ZWRpdGlvbj4yMDE1LzAyLzE4PC9lZGl0aW9u
PjxrZXl3b3Jkcz48a2V5d29yZD5BZHVsdDwva2V5d29yZD48a2V5d29yZD5CaW9tYXJrZXJzL2Js
b29kPC9rZXl3b3JkPjxrZXl3b3JkPkJsb29kIEdsdWNvc2UvbWV0YWJvbGlzbTwva2V5d29yZD48
a2V5d29yZD5DLVBlcHRpZGUvYmxvb2Q8L2tleXdvcmQ+PGtleXdvcmQ+Q2hvbGVzdGVyb2wvYmxv
b2Q8L2tleXdvcmQ+PGtleXdvcmQ+RGlhYmV0ZXMsIEdlc3RhdGlvbmFsL2Jsb29kLyp0aGVyYXB5
PC9rZXl3b3JkPjxrZXl3b3JkPkRvdWJsZS1CbGluZCBNZXRob2Q8L2tleXdvcmQ+PGtleXdvcmQ+
RmVtYWxlPC9rZXl3b3JkPjxrZXl3b3JkPkh1bWFuczwva2V5d29yZD48a2V5d29yZD5JbmZhbnQs
IE5ld2Jvcm48L2tleXdvcmQ+PGtleXdvcmQ+SW5zdWxpbi9ibG9vZDwva2V5d29yZD48a2V5d29y
ZD5JbnRlbnRpb24gdG8gVHJlYXQgQW5hbHlzaXM8L2tleXdvcmQ+PGtleXdvcmQ+KkxhY3RvYmFj
aWxsdXM8L2tleXdvcmQ+PGtleXdvcmQ+UHJlZ25hbmN5PC9rZXl3b3JkPjxrZXl3b3JkPlByZWdu
YW5jeSBPdXRjb21lPC9rZXl3b3JkPjxrZXl3b3JkPlByb2Jpb3RpY3MvKnRoZXJhcGV1dGljIHVz
ZTwva2V5d29yZD48a2V5d29yZD5UcmVhdG1lbnQgT3V0Y29tZTwva2V5d29yZD48a2V5d29yZD5n
ZXN0YXRpb25hbCBkaWFiZXRlczwva2V5d29yZD48a2V5d29yZD5nbHljZW1pYyBjb250cm9sPC9r
ZXl3b3JkPjxrZXl3b3JkPmxvdy1kZW5zaXR5IGxpcG9wcm90ZWluIGNob2xlc3Rlcm9sPC9rZXl3
b3JkPjxrZXl3b3JkPnByb2Jpb3RpY3M8L2tleXdvcmQ+PGtleXdvcmQ+dG90YWwgY2hvbGVzdGVy
b2w8L2tleXdvcmQ+PC9rZXl3b3Jkcz48ZGF0ZXM+PHllYXI+MjAxNTwveWVhcj48cHViLWRhdGVz
PjxkYXRlPkFwcjwvZGF0ZT48L3B1Yi1kYXRlcz48L2RhdGVzPjxpc2JuPjEwOTctNjg2OCAoRWxl
Y3Ryb25pYykmI3hEOzAwMDItOTM3OCAoTGlua2luZyk8L2lzYm4+PGFjY2Vzc2lvbi1udW0+MjU2
ODc1Njg8L2FjY2Vzc2lvbi1udW0+PHVybHM+PHJlbGF0ZWQtdXJscz48dXJsPmh0dHBzOi8vd3d3
Lm5jYmkubmxtLm5paC5nb3YvcHVibWVkLzI1Njg3NTY4PC91cmw+PC9yZWxhdGVkLXVybHM+PC91
cmxzPjxlbGVjdHJvbmljLXJlc291cmNlLW51bT4xMC4xMDE2L2ouYWpvZy4yMDE1LjAyLjAwODwv
ZWxlY3Ryb25pYy1yZXNvdXJjZS1udW0+PC9yZWNvcmQ+PC9DaXRlPjxDaXRlPjxBdXRob3I+S2Fy
YW1hbGk8L0F1dGhvcj48WWVhcj4yMDE2PC9ZZWFyPjxSZWNOdW0+MTY4OTwvUmVjTnVtPjxyZWNv
cmQ+PHJlYy1udW1iZXI+MTY4OTwvcmVjLW51bWJlcj48Zm9yZWlnbi1rZXlzPjxrZXkgYXBwPSJF
TiIgZGItaWQ9ImV4dmFzcmZ4MmR0cmFvZXNhc3hwMnN6c3hhMmRmNTAyNTkyeCIgdGltZXN0YW1w
PSIxNTgxODMyMDc2Ij4xNjg5PC9rZXk+PC9mb3JlaWduLWtleXM+PHJlZi10eXBlIG5hbWU9Ikpv
dXJuYWwgQXJ0aWNsZSI+MTc8L3JlZi10eXBlPjxjb250cmlidXRvcnM+PGF1dGhvcnM+PGF1dGhv
cj5LYXJhbWFsaSwgTS48L2F1dGhvcj48YXV0aG9yPkRhZGtoYWgsIEYuPC9hdXRob3I+PGF1dGhv
cj5TYWRya2hhbmxvdSwgTS48L2F1dGhvcj48YXV0aG9yPkphbWlsaWFuLCBNLjwvYXV0aG9yPjxh
dXRob3I+QWhtYWRpLCBTLjwvYXV0aG9yPjxhdXRob3I+VGFqYWJhZGktRWJyYWhpbWksIE0uPC9h
dXRob3I+PGF1dGhvcj5KYWZhcmksIFAuPC9hdXRob3I+PGF1dGhvcj5Bc2VtaSwgWi48L2F1dGhv
cj48L2F1dGhvcnM+PC9jb250cmlidXRvcnM+PGF1dGgtYWRkcmVzcz5EZXBhcnRtZW50IG9mIGd5
bmVjb2xvZ3kgYW5kIG9ic3RldHJpY3MsIHNjaG9vbCBvZiBtZWRpY2luZSwgSXJhbiB1bml2ZXJz
aXR5IG9mIG1lZGljYWwgc2NpZW5jZXMsIFRlaHJhbiwgSXJhbi4mI3hEO0VuZG9jcmlub2xvZ3kg
YW5kIG1ldGFib2xpc20gcmVzZWFyY2ggY2VudGVyLCBkZXBhcnRtZW50IG9mIGd5bmVjb2xvZ3kg
YW5kIG9ic3RldHJpY3MsIHNjaG9vbCBvZiBtZWRpY2luZSwgQXJhayB1bml2ZXJzaXR5IG9mIG1l
ZGljYWwgc2NpZW5jZXMsIEFyYWssIElyYW4uJiN4RDtEZXBhcnRtZW50IG9mIGd5bmVjb2xvZ3kg
YW5kIG9ic3RldHJpY3MsIHNjaG9vbCBvZiBtZWRpY2luZSwgSXJhbiB1bml2ZXJzaXR5IG9mIG1l
ZGljYWwgc2NpZW5jZXMsIFRlaHJhbiwgSXJhbjsgRGVwYXJ0bWVudCBvZiBneW5lY29sb2d5IGFu
ZCBvYnN0ZXRyaWNzLCBzY2hvb2wgb2YgbWVkaWNpbmUsIEJ1c2hlaHIgdW5pdmVyc2l0eSBvZiBt
ZWRpY2FsIHNjaWVuY2VzLCBCdXNoZWhyLCBJcmFuLiYjeEQ7RmFjdWx0eSBtZW1iZXIgb2Ygc2Np
ZW5jZSBkZXBhcnRtZW50LCBzY2llbmNlIGZhY3VsdHksIElzbGFtaWMgQXphZCB1bml2ZXJzaXR5
LCBUZWhyYW4gQ2VudHJhbCBicmFuY2gsIFRlaHJhbiwgSXJhbi4mI3hEO0RlcGFydG1lbnQgb2Yg
bWljcm9iaW9sb2d5LCBzY2llbmNlIGZhY3VsdHksIElzbGFtaWMgQXphZCB1bml2ZXJzaXR5LCBB
cmFrIGJyYW5jaCwgQXJhaywgSXJhbi4mI3hEO1Jlc2VhcmNoIGNlbnRlciBmb3IgYmlvY2hlbWlz
dHJ5IGFuZCBudXRyaXRpb24gaW4gbWV0YWJvbGljIGRpc2Vhc2VzLCBLYXNoYW4gdW5pdmVyc2l0
eSBvZiBtZWRpY2FsIHNjaWVuY2VzLCBLYXNoYW4sIElyYW4uIEVsZWN0cm9uaWMgYWRkcmVzczog
YXNlbWlfckB5YWhvby5jb20uPC9hdXRoLWFkZHJlc3M+PHRpdGxlcz48dGl0bGU+RWZmZWN0cyBv
ZiBwcm9iaW90aWMgc3VwcGxlbWVudGF0aW9uIG9uIGdseWNhZW1pYyBjb250cm9sIGFuZCBsaXBp
ZCBwcm9maWxlcyBpbiBnZXN0YXRpb25hbCBkaWFiZXRlczogQSByYW5kb21pemVkLCBkb3VibGUt
YmxpbmQsIHBsYWNlYm8tY29udHJvbGxlZCB0cmlhbDwvdGl0bGU+PHNlY29uZGFyeS10aXRsZT5E
aWFiZXRlcyBNZXRhYjwvc2Vjb25kYXJ5LXRpdGxlPjwvdGl0bGVzPjxwZXJpb2RpY2FsPjxmdWxs
LXRpdGxlPkRpYWJldGVzIE1ldGFiPC9mdWxsLXRpdGxlPjwvcGVyaW9kaWNhbD48cGFnZXM+MjM0
LTQxPC9wYWdlcz48dm9sdW1lPjQyPC92b2x1bWU+PG51bWJlcj40PC9udW1iZXI+PGVkaXRpb24+
MjAxNi8wNS8yMzwvZWRpdGlvbj48a2V5d29yZHM+PGtleXdvcmQ+QWRvbGVzY2VudDwva2V5d29y
ZD48a2V5d29yZD5BZHVsdDwva2V5d29yZD48a2V5d29yZD5CbG9vZCBHbHVjb3NlLypkcnVnIGVm
ZmVjdHM8L2tleXdvcmQ+PGtleXdvcmQ+RGlhYmV0ZXMsIEdlc3RhdGlvbmFsLypibG9vZC8qZGll
dCB0aGVyYXB5PC9rZXl3b3JkPjxrZXl3b3JkPkRpZXRhcnkgU3VwcGxlbWVudHM8L2tleXdvcmQ+
PGtleXdvcmQ+RG91YmxlLUJsaW5kIE1ldGhvZDwva2V5d29yZD48a2V5d29yZD5GZW1hbGU8L2tl
eXdvcmQ+PGtleXdvcmQ+SHVtYW5zPC9rZXl3b3JkPjxrZXl3b3JkPkxhY3RvYmFjaWxsdXMgYWNp
ZG9waGlsdXM8L2tleXdvcmQ+PGtleXdvcmQ+TGlwaWQgTWV0YWJvbGlzbS9kcnVnIGVmZmVjdHM8
L2tleXdvcmQ+PGtleXdvcmQ+TGlwaWRzLypibG9vZDwva2V5d29yZD48a2V5d29yZD5QbGFjZWJv
czwva2V5d29yZD48a2V5d29yZD5QcmVnbmFuY3k8L2tleXdvcmQ+PGtleXdvcmQ+UHJvYmlvdGlj
cy8qdGhlcmFwZXV0aWMgdXNlPC9rZXl3b3JkPjxrZXl3b3JkPllvdW5nIEFkdWx0PC9rZXl3b3Jk
PjxrZXl3b3JkPipHZXN0YXRpb25hbCBkaWFiZXRlcyBtZWxsaXR1czwva2V5d29yZD48a2V5d29y
ZD4qSW5zdWxpbiByZXNpc3RhbmNlPC9rZXl3b3JkPjxrZXl3b3JkPipMaXBpZCBwcm9maWxlczwv
a2V5d29yZD48a2V5d29yZD4qUHJvYmlvdGljIHN1cHBsZW1lbnRhdGlvbjwva2V5d29yZD48L2tl
eXdvcmRzPjxkYXRlcz48eWVhcj4yMDE2PC95ZWFyPjxwdWItZGF0ZXM+PGRhdGU+U2VwPC9kYXRl
PjwvcHViLWRhdGVzPjwvZGF0ZXM+PGlzYm4+MTg3OC0xNzgwIChFbGVjdHJvbmljKSYjeEQ7MTI2
Mi0zNjM2IChMaW5raW5nKTwvaXNibj48YWNjZXNzaW9uLW51bT4yNzIwOTQzOTwvYWNjZXNzaW9u
LW51bT48dXJscz48cmVsYXRlZC11cmxzPjx1cmw+aHR0cHM6Ly93d3cubmNiaS5ubG0ubmloLmdv
di9wdWJtZWQvMjcyMDk0Mzk8L3VybD48L3JlbGF0ZWQtdXJscz48L3VybHM+PGVsZWN0cm9uaWMt
cmVzb3VyY2UtbnVtPjEwLjEwMTYvai5kaWFiZXQuMjAxNi4wNC4wMDk8L2VsZWN0cm9uaWMtcmVz
b3VyY2UtbnVtPjwvcmVjb3JkPjwvQ2l0ZT48Q2l0ZT48QXV0aG9yPkJhZGVobm9vc2g8L0F1dGhv
cj48WWVhcj4yMDE4PC9ZZWFyPjxSZWNOdW0+MTY4NDwvUmVjTnVtPjxyZWNvcmQ+PHJlYy1udW1i
ZXI+MTY4NDwvcmVjLW51bWJlcj48Zm9yZWlnbi1rZXlzPjxrZXkgYXBwPSJFTiIgZGItaWQ9ImV4
dmFzcmZ4MmR0cmFvZXNhc3hwMnN6c3hhMmRmNTAyNTkyeCIgdGltZXN0YW1wPSIxNTgxODMyMDc2
Ij4xNjg0PC9rZXk+PC9mb3JlaWduLWtleXM+PHJlZi10eXBlIG5hbWU9IkpvdXJuYWwgQXJ0aWNs
ZSI+MTc8L3JlZi10eXBlPjxjb250cmlidXRvcnM+PGF1dGhvcnM+PGF1dGhvcj5CYWRlaG5vb3No
LCBCLjwvYXV0aG9yPjxhdXRob3I+S2FyYW1hbGksIE0uPC9hdXRob3I+PGF1dGhvcj5aYXJyYXRp
LCBNLjwvYXV0aG9yPjxhdXRob3I+SmFtaWxpYW4sIE0uPC9hdXRob3I+PGF1dGhvcj5CYWhtYW5p
LCBGLjwvYXV0aG9yPjxhdXRob3I+VGFqYWJhZGktRWJyYWhpbWksIE0uPC9hdXRob3I+PGF1dGhv
cj5KYWZhcmksIFAuPC9hdXRob3I+PGF1dGhvcj5SYWhtYW5pLCBFLjwvYXV0aG9yPjxhdXRob3I+
QXNlbWksIFouPC9hdXRob3I+PC9hdXRob3JzPjwvY29udHJpYnV0b3JzPjxhdXRoLWFkZHJlc3M+
YSBEZXBhcnRtZW50IG9mIEd5bmVjb2xvZ3kgYW5kIE9ic3RldHJpY3MgLCBTY2hvb2wgb2YgTWVk
aWNpbmUsIEFsYm9yeiBVbml2ZXJzaXR5IG9mIE1lZGljYWwgU2NpZW5jZXMgLCBLYXJhaiAsIEly
YW4uJiN4RDtiIERlcGFydG1lbnQgb2YgR3luZWNvbG9neSBhbmQgT2JzdGV0cmljcyAsIFNjaG9v
bCBvZiBNZWRpY2luZSwgSXJhbiBVbml2ZXJzaXR5IG9mIE1lZGljYWwgU2NpZW5jZXMgLCBUZWhy
YW4gLCBJcmFuLiYjeEQ7YyBGYWN1bHR5IG9mIE51dHJpdGlvbiAsIFNjaG9vbCBvZiBQdWJsaWMg
SGVhbHRoLCBJcmFuIFVuaXZlcnNpdHkgb2YgTWVkaWNhbCBTY2llbmNlcyAsIFRlaHJhbiAsIEly
YW4uJiN4RDtkIEVuZG9jcmlub2xvZ3kgYW5kIE1ldGFib2xpc20gUmVzZWFyY2ggQ2VudGVyLCBB
cmFrIFVuaXZlcnNpdHkgb2YgTWVkaWNhbCBTY2llbmNlcyAsIEFyYWsgLCBJcmFuLiYjeEQ7ZSBS
ZXNlYXJjaCBDZW50ZXIgZm9yIEJpb2NoZW1pc3RyeSBhbmQgTnV0cml0aW9uIGluIE1ldGFib2xp
YyBEaXNlYXNlcywgS2FzaGFuIFVuaXZlcnNpdHkgb2YgTWVkaWNhbCBTY2llbmNlcyAsIEthc2hh
biAsIElyYW4uJiN4RDtmIEZhY3VsdHkgbWVtYmVyIG9mIFNjaWVuY2UgZGVwYXJ0bWVudCwgU2Np
ZW5jZSBmYWN1bHR5ICwgSXNsYW1pYyBBemFkIFVuaXZlcnNpdHkgLCBUZWhyYW4gLCBJcmFuLiYj
eEQ7ZyBEZXBhcnRtZW50IG9mIE1pY3JvYmlvbG9neSwgU2NpZW5jZSBmYWN1bHR5ICwgSXNsYW1p
YyBBemFkIFVuaXZlcnNpdHkgLCBBcmFrICwgSXJhbi4mI3hEO2ggRGVwYXJ0bWVudCBvZiBHeW5l
Y29sb2d5IGFuZCBPYnN0ZXRyaWNzICwgU2Nob29sIG9mIE1lZGljaW5lLCBCdXNoZWhyIFVuaXZl
cnNpdHkgb2YgTWVkaWNhbCBTY2llbmNlcyAsIEJ1c2hlaHIgLCBJcmFuLjwvYXV0aC1hZGRyZXNz
Pjx0aXRsZXM+PHRpdGxlPlRoZSBlZmZlY3RzIG9mIHByb2Jpb3RpYyBzdXBwbGVtZW50YXRpb24g
b24gYmlvbWFya2VycyBvZiBpbmZsYW1tYXRpb24sIG94aWRhdGl2ZSBzdHJlc3MgYW5kIHByZWdu
YW5jeSBvdXRjb21lcyBpbiBnZXN0YXRpb25hbCBkaWFiZXRlczwvdGl0bGU+PHNlY29uZGFyeS10
aXRsZT5KIE1hdGVybiBGZXRhbCBOZW9uYXRhbCBNZWQ8L3NlY29uZGFyeS10aXRsZT48L3RpdGxl
cz48cGVyaW9kaWNhbD48ZnVsbC10aXRsZT5KIE1hdGVybiBGZXRhbCBOZW9uYXRhbCBNZWQ8L2Z1
bGwtdGl0bGU+PC9wZXJpb2RpY2FsPjxwYWdlcz4xMTI4LTExMzY8L3BhZ2VzPjx2b2x1bWU+MzE8
L3ZvbHVtZT48bnVtYmVyPjk8L251bWJlcj48ZWRpdGlvbj4yMDE3LzAzLzIzPC9lZGl0aW9uPjxr
ZXl3b3Jkcz48a2V5d29yZD5BZHVsdDwva2V5d29yZD48a2V5d29yZD5CaW9tYXJrZXJzLypibG9v
ZDwva2V5d29yZD48a2V5d29yZD5CbG9vZCBHbHVjb3NlL2FuYWx5c2lzPC9rZXl3b3JkPjxrZXl3
b3JkPkMtUmVhY3RpdmUgUHJvdGVpbi9hbmFseXNpczwva2V5d29yZD48a2V5d29yZD5EaWFiZXRl
cywgR2VzdGF0aW9uYWwvKmJsb29kPC9rZXl3b3JkPjxrZXl3b3JkPkRpZXRhcnkgU3VwcGxlbWVu
dHM8L2tleXdvcmQ+PGtleXdvcmQ+RG91YmxlLUJsaW5kIE1ldGhvZDwva2V5d29yZD48a2V5d29y
ZD5GZW1hbGU8L2tleXdvcmQ+PGtleXdvcmQ+SHVtYW5zPC9rZXl3b3JkPjxrZXl3b3JkPkluZmxh
bW1hdGlvbi8qYmxvb2Q8L2tleXdvcmQ+PGtleXdvcmQ+TWFsb25kaWFsZGVoeWRlL2Jsb29kPC9r
ZXl3b3JkPjxrZXl3b3JkPk94aWRhdGl2ZSBTdHJlc3MvKnBoeXNpb2xvZ3k8L2tleXdvcmQ+PGtl
eXdvcmQ+UGxhY2Vib3M8L2tleXdvcmQ+PGtleXdvcmQ+UHJlZ25hbmN5PC9rZXl3b3JkPjxrZXl3
b3JkPipQcmVnbmFuY3kgT3V0Y29tZTwva2V5d29yZD48a2V5d29yZD5Qcm9iaW90aWNzLyphZG1p
bmlzdHJhdGlvbiAmYW1wOyBkb3NhZ2U8L2tleXdvcmQ+PGtleXdvcmQ+UHJvYmlvdGljIHN1cHBs
ZW1lbnRhdGlvbjwva2V5d29yZD48a2V5d29yZD5nZXN0YXRpb25hbCBkaWFiZXRlczwva2V5d29y
ZD48a2V5d29yZD5wcmVnbmFudCB3b21lbjwva2V5d29yZD48L2tleXdvcmRzPjxkYXRlcz48eWVh
cj4yMDE4PC95ZWFyPjxwdWItZGF0ZXM+PGRhdGU+TWF5PC9kYXRlPjwvcHViLWRhdGVzPjwvZGF0
ZXM+PGlzYm4+MTQ3Ni00OTU0IChFbGVjdHJvbmljKSYjeEQ7MTQ3Ni00OTU0IChMaW5raW5nKTwv
aXNibj48YWNjZXNzaW9uLW51bT4yODMyNjg4MTwvYWNjZXNzaW9uLW51bT48dXJscz48cmVsYXRl
ZC11cmxzPjx1cmw+aHR0cHM6Ly93d3cubmNiaS5ubG0ubmloLmdvdi9wdWJtZWQvMjgzMjY4ODE8
L3VybD48L3JlbGF0ZWQtdXJscz48L3VybHM+PGVsZWN0cm9uaWMtcmVzb3VyY2UtbnVtPjEwLjEw
ODAvMTQ3NjcwNTguMjAxNy4xMzEwMTkzPC9lbGVjdHJvbmljLXJlc291cmNlLW51bT48L3JlY29y
ZD48L0NpdGU+PENpdGU+PEF1dGhvcj5Eb2xhdGtoYWg8L0F1dGhvcj48WWVhcj4yMDE1PC9ZZWFy
PjxSZWNOdW0+MTY4NTwvUmVjTnVtPjxyZWNvcmQ+PHJlYy1udW1iZXI+MTY4NTwvcmVjLW51bWJl
cj48Zm9yZWlnbi1rZXlzPjxrZXkgYXBwPSJFTiIgZGItaWQ9ImV4dmFzcmZ4MmR0cmFvZXNhc3hw
MnN6c3hhMmRmNTAyNTkyeCIgdGltZXN0YW1wPSIxNTgxODMyMDc2Ij4xNjg1PC9rZXk+PC9mb3Jl
aWduLWtleXM+PHJlZi10eXBlIG5hbWU9IkpvdXJuYWwgQXJ0aWNsZSI+MTc8L3JlZi10eXBlPjxj
b250cmlidXRvcnM+PGF1dGhvcnM+PGF1dGhvcj5Eb2xhdGtoYWgsIE4uPC9hdXRob3I+PGF1dGhv
cj5IYWppZmFyYWppLCBNLjwvYXV0aG9yPjxhdXRob3I+QWJiYXNhbGl6YWRlaCwgRi48L2F1dGhv
cj48YXV0aG9yPkFnaGFtb2hhbW1hZHphZGVoLCBOLjwvYXV0aG9yPjxhdXRob3I+TWVocmFiaSwg
WS48L2F1dGhvcj48YXV0aG9yPkFiYmFzaSwgTS4gTS48L2F1dGhvcj48L2F1dGhvcnM+PC9jb250
cmlidXRvcnM+PGF1dGgtYWRkcmVzcz5EZXBhcnRtZW50IG9mIE51dHJpdGlvbiBTY2llbmNlcywg
U2hhaGlkIEJlaGVzaHRpIFVuaXZlcnNpdHkgb2YgTWVkaWNhbCBTY2llbmNlcyAoU0JVTVMpLCBJ
bnRlcm5hdGlvbmFsIEJyYW5jaCwgdGVocmFuLCBpcmFuLiBuZWRhLmRvbGF0a2hhaGJAZ21haWwu
Y29tLiYjeEQ7TnV0cml0aW9uIFNvY2lldHksIE5hdGlvbmFsIE51dHJpdGlvbiBhbmQgRm9vZCBU
ZWNobm9sb2d5IFJlc2VhcmNoIEluc3RpdHV0ZSwgRmFjdWx0eSBvZiBOdXRyaXRpb24gYW5kIEZv
b2QgVGVjaG5vbG9neSwgQmVoZXNodGkgVW5pdmVyc2l0eSBvZiBNZWRpY2FsIFNjaWVuY2VzLCBC
YXJhbiAzLCBXZXN0IEFyZ2hhdmFuLCBGYXJhaHphZGkgQmx2ZC4sIFNoYWhyYWsgUW9kcywgMTkz
OTUtNDc0MSwgaXN0YW5idWwsIDE5ODE2MTk1NzMsIHR1cmtleS4gbS5oYWppZmFyYWppQG5uZnRy
aS5hYy5pci4mI3hEO0RlcGFydG1lbnQgb2YgT2JzdGV0cmljcyAmYW1wOyBHeW5lY29sb2d5LCBU
YWJyaXogVW5pdmVyc2l0eSBvZiBNZWRpY2FsIFNjaWVuY2VzLCB0YWJyaXosIGlyYW4uIGZhdGVt
ZWguYWJhc2FsaXphZGVoQHlhaG9vLmNvbS4mI3hEO1NlY3Rpb24gb2YgRW5kb2NyaW5vbG9neSAm
YW1wOyBNZXRhYm9saXNtLCBEZXBhcnRtZW50IG9mIEludGVybmFsIE1lZGljaW5lLCBUYWJyaXog
VW5pdmVyc2l0eSBvZiBNZWRpY2FsIFNjaWVuY2VzLCBUYWJyaXosIElyYW4uIG5hc2VyLmFnaGFt
b2hhbW1hZHphZGVoQHlhaG9vLmNvbS4mI3hEO0RlcGFydG1lbnQgb2YgQmlvc3RhdGlzdGljcyAm
YW1wOyBFcGlkZW1pb2xvZ3ksIFNoYWhpZCBCZWhlc2h0aSBVbml2ZXJzaXR5IG9mIE1lZGljYWwg
U2NpZW5jZXMsIFRlaHJhbiwgSXJhbi4geWFkb2xsYWgubWVocmFiaWJAZ21haWwuY29tLiYjeEQ7
RHJ1ZyBBcHBsaWVkIFJlc2VhcmNoIENlbnRlciwgVGFicml6IFVuaXZlcnNpdHkgb2YgTWVkaWNh
bCBTY2llbmNlcywgVGFicml6LCBJcmFuLiBtZWhyYW4ubWVzZ2FyaWFiYmFzaUBnbWFpbC5jb20u
PC9hdXRoLWFkZHJlc3M+PHRpdGxlcz48dGl0bGU+SXMgdGhlcmUgYSB2YWx1ZSBmb3IgcHJvYmlv
dGljIHN1cHBsZW1lbnRzIGluIGdlc3RhdGlvbmFsIGRpYWJldGVzIG1lbGxpdHVzPyBBIHJhbmRv
bWl6ZWQgY2xpbmljYWwgdHJpYWw8L3RpdGxlPjxzZWNvbmRhcnktdGl0bGU+SiBIZWFsdGggUG9w
dWwgTnV0cjwvc2Vjb25kYXJ5LXRpdGxlPjwvdGl0bGVzPjxwZXJpb2RpY2FsPjxmdWxsLXRpdGxl
PkogSGVhbHRoIFBvcHVsIE51dHI8L2Z1bGwtdGl0bGU+PC9wZXJpb2RpY2FsPjxwYWdlcz4yNTwv
cGFnZXM+PHZvbHVtZT4zMzwvdm9sdW1lPjxlZGl0aW9uPjIwMTYvMDEvMzE8L2VkaXRpb24+PGtl
eXdvcmRzPjxrZXl3b3JkPkFkdWx0PC9rZXl3b3JkPjxrZXl3b3JkPkFudGktT2Jlc2l0eSBBZ2Vu
dHMvKnRoZXJhcGV1dGljIHVzZTwva2V5d29yZD48a2V5d29yZD5CaWZpZG9iYWN0ZXJpdW0gYW5p
bWFsaXMvZ3Jvd3RoICZhbXA7IGRldmVsb3BtZW50PC9rZXl3b3JkPjxrZXl3b3JkPkJsb29kIEds
dWNvc2UvYW5hbHlzaXM8L2tleXdvcmQ+PGtleXdvcmQ+RGlhYmV0ZXMsIEdlc3RhdGlvbmFsL2Js
b29kLypkaWV0IHRoZXJhcHkvbWV0YWJvbGlzbTwva2V5d29yZD48a2V5d29yZD5EaWV0LCBEaWFi
ZXRpYzwva2V5d29yZD48a2V5d29yZD5Eb3VibGUtQmxpbmQgTWV0aG9kPC9rZXl3b3JkPjxrZXl3
b3JkPkZlbWFsZTwva2V5d29yZD48a2V5d29yZD5IdW1hbnM8L2tleXdvcmQ+PGtleXdvcmQ+SHlw
ZXJnbHljZW1pYS8qcHJldmVudGlvbiAmYW1wOyBjb250cm9sPC9rZXl3b3JkPjxrZXl3b3JkPkh5
cG9nbHljZW1pYyBBZ2VudHMvKnRoZXJhcGV1dGljIHVzZTwva2V5d29yZD48a2V5d29yZD4qSW5z
dWxpbiBSZXNpc3RhbmNlPC9rZXl3b3JkPjxrZXl3b3JkPklyYW48L2tleXdvcmQ+PGtleXdvcmQ+
TGFjdG9iYWNpbGx1cyBhY2lkb3BoaWx1cy9ncm93dGggJmFtcDsgZGV2ZWxvcG1lbnQ8L2tleXdv
cmQ+PGtleXdvcmQ+TGFjdG9iYWNpbGx1cyBkZWxicnVlY2tpaS9ncm93dGggJmFtcDsgZGV2ZWxv
cG1lbnQ8L2tleXdvcmQ+PGtleXdvcmQ+Kk1hdGVybmFsIE51dHJpdGlvbmFsIFBoeXNpb2xvZ2lj
YWwgUGhlbm9tZW5hPC9rZXl3b3JkPjxrZXl3b3JkPlByZWduYW5jeTwva2V5d29yZD48a2V5d29y
ZD5QcmVnbmFuY3kgVHJpbWVzdGVyLCBUaGlyZDwva2V5d29yZD48a2V5d29yZD5Qcm9iaW90aWNz
Lyp0aGVyYXBldXRpYyB1c2U8L2tleXdvcmQ+PGtleXdvcmQ+U3RyZXB0b2NvY2N1cyB0aGVybW9w
aGlsdXMvZ3Jvd3RoICZhbXA7IGRldmVsb3BtZW50PC9rZXl3b3JkPjxrZXl3b3JkPldlaWdodCBH
YWluPC9rZXl3b3JkPjxrZXl3b3JkPllvdW5nIEFkdWx0PC9rZXl3b3JkPjwva2V5d29yZHM+PGRh
dGVzPjx5ZWFyPjIwMTU8L3llYXI+PHB1Yi1kYXRlcz48ZGF0ZT5Ob3YgMjU8L2RhdGU+PC9wdWIt
ZGF0ZXM+PC9kYXRlcz48aXNibj4yMDcyLTEzMTUgKEVsZWN0cm9uaWMpJiN4RDsxNjA2LTA5OTcg
KExpbmtpbmcpPC9pc2JuPjxhY2Nlc3Npb24tbnVtPjI2ODI1NjY2PC9hY2Nlc3Npb24tbnVtPjx1
cmxzPjxyZWxhdGVkLXVybHM+PHVybD5odHRwczovL3d3dy5uY2JpLm5sbS5uaWguZ292L3B1Ym1l
ZC8yNjgyNTY2NjwvdXJsPjwvcmVsYXRlZC11cmxzPjwvdXJscz48Y3VzdG9tMj5QTUM1MDI2MDE4
PC9jdXN0b20yPjxlbGVjdHJvbmljLXJlc291cmNlLW51bT4xMC4xMTg2L3M0MTA0My0wMTUtMDAz
NC05PC9lbGVjdHJvbmljLXJlc291cmNlLW51bT48L3JlY29yZD48L0NpdGU+PENpdGU+PEF1dGhv
cj5KYWZhcm5lamFkPC9BdXRob3I+PFllYXI+MjAxNjwvWWVhcj48UmVjTnVtPjE2ODc8L1JlY051
bT48cmVjb3JkPjxyZWMtbnVtYmVyPjE2ODc8L3JlYy1udW1iZXI+PGZvcmVpZ24ta2V5cz48a2V5
IGFwcD0iRU4iIGRiLWlkPSJleHZhc3JmeDJkdHJhb2VzYXN4cDJzenN4YTJkZjUwMjU5MngiIHRp
bWVzdGFtcD0iMTU4MTgzMjA3NiI+MTY4Nzwva2V5PjwvZm9yZWlnbi1rZXlzPjxyZWYtdHlwZSBu
YW1lPSJKb3VybmFsIEFydGljbGUiPjE3PC9yZWYtdHlwZT48Y29udHJpYnV0b3JzPjxhdXRob3Jz
PjxhdXRob3I+SmFmYXJuZWphZCwgUy48L2F1dGhvcj48YXV0aG9yPlNhcmVtaSwgUy48L2F1dGhv
cj48YXV0aG9yPkphZmFybmVqYWQsIEYuPC9hdXRob3I+PGF1dGhvcj5BcmFiLCBBLjwvYXV0aG9y
PjwvYXV0aG9ycz48L2NvbnRyaWJ1dG9ycz48YXV0aC1hZGRyZXNzPkRlcGFydG1lbnQgb2YgQ2xp
bmljYWwgTnV0cml0aW9uLCBTY2hvb2wgb2YgTnV0cml0aW9uYWwgU2NpZW5jZXMgYW5kIERpZXRl
dGljLCBUZWhyYW4gVW5pdmVyc2l0eSBvZiBNZWRpY2FsIFNjaWVuY2VzLCBQLk8uIEJveCAxNDE1
NS02MTE3LCBUZWhyYW4sIElyYW4uJiN4RDtEZXBhcnRtZW50IG9mIFB1YmxpYyBIZWFsdGgsIElz
ZmFoYW4gVW5pdmVyc2l0eSBvZiBNZWRpY2FsIFNjaWVuY2VzLCBJc2ZhaGFuLCBJcmFuLiYjeEQ7
RGVwYXJ0bWVudCBvZiBIZWFsdGggSW5mb3JtYXRpb24gTWFuYWdlbWVudCwgTWF6YW5kYXJhbiBV
bml2ZXJzaXR5IG9mIE1lZGljYWwgU2NpZW5jZXMsIFNhcmksIElyYW4uJiN4RDtEZXBhcnRtZW50
IG9mIENvbW11bml0eSBOdXRyaXRpb24sIFNjaG9vbCBvZiBOdXRyaXRpb24gYW5kIEZvb2QgU2Np
ZW5jZSwgSXNmYWhhbiBVbml2ZXJzaXR5IG9mIE1lZGljYWwgU2NpZW5jZXMsIElzZmFoYW4sIEly
YW4uPC9hdXRoLWFkZHJlc3M+PHRpdGxlcz48dGl0bGU+RWZmZWN0cyBvZiBhIE11bHRpc3BlY2ll
cyBQcm9iaW90aWMgTWl4dHVyZSBvbiBHbHljZW1pYyBDb250cm9sIGFuZCBJbmZsYW1tYXRvcnkg
U3RhdHVzIGluIFdvbWVuIHdpdGggR2VzdGF0aW9uYWwgRGlhYmV0ZXM6IEEgUmFuZG9taXplZCBD
b250cm9sbGVkIENsaW5pY2FsIFRyaWFsPC90aXRsZT48c2Vjb25kYXJ5LXRpdGxlPkogTnV0ciBN
ZXRhYjwvc2Vjb25kYXJ5LXRpdGxlPjwvdGl0bGVzPjxwZXJpb2RpY2FsPjxmdWxsLXRpdGxlPkog
TnV0ciBNZXRhYjwvZnVsbC10aXRsZT48L3BlcmlvZGljYWw+PHBhZ2VzPjUxOTA4NDY8L3BhZ2Vz
Pjx2b2x1bWU+MjAxNjwvdm9sdW1lPjxlZGl0aW9uPjIwMTYvMDcvMTk8L2VkaXRpb24+PGRhdGVz
Pjx5ZWFyPjIwMTY8L3llYXI+PC9kYXRlcz48aXNibj4yMDkwLTA3MjQgKFByaW50KSYjeEQ7MjA5
MC0wNzI0IChMaW5raW5nKTwvaXNibj48YWNjZXNzaW9uLW51bT4yNzQyOTgwMzwvYWNjZXNzaW9u
LW51bT48dXJscz48cmVsYXRlZC11cmxzPjx1cmw+aHR0cHM6Ly93d3cubmNiaS5ubG0ubmloLmdv
di9wdWJtZWQvMjc0Mjk4MDM8L3VybD48L3JlbGF0ZWQtdXJscz48L3VybHM+PGN1c3RvbTI+UE1D
NDkzOTE5MzwvY3VzdG9tMj48ZWxlY3Ryb25pYy1yZXNvdXJjZS1udW0+MTAuMTE1NS8yMDE2LzUx
OTA4NDY8L2VsZWN0cm9uaWMtcmVzb3VyY2UtbnVtPjwvcmVjb3JkPjwvQ2l0ZT48L0VuZE5vdGU+
</w:fldData>
        </w:fldChar>
      </w:r>
      <w:r w:rsidR="002747EA">
        <w:instrText xml:space="preserve"> ADDIN EN.CITE </w:instrText>
      </w:r>
      <w:r w:rsidR="002747EA">
        <w:fldChar w:fldCharType="begin">
          <w:fldData xml:space="preserve">PEVuZE5vdGU+PENpdGU+PEF1dGhvcj5MaW5kc2F5PC9BdXRob3I+PFllYXI+MjAxNTwvWWVhcj48
UmVjTnVtPjE2OTY8L1JlY051bT48RGlzcGxheVRleHQ+PHN0eWxlIGZhY2U9InN1cGVyc2NyaXB0
IiBmb250PSJUcmVidWNoZXQgTVMiIHNpemU9IjkiPjI0MS0yNDU8L3N0eWxlPjwvRGlzcGxheVRl
eHQ+PHJlY29yZD48cmVjLW51bWJlcj4xNjk2PC9yZWMtbnVtYmVyPjxmb3JlaWduLWtleXM+PGtl
eSBhcHA9IkVOIiBkYi1pZD0iZXh2YXNyZngyZHRyYW9lc2FzeHAyc3pzeGEyZGY1MDI1OTJ4IiB0
aW1lc3RhbXA9IjE1ODE4MzIyODkiPjE2OTY8L2tleT48L2ZvcmVpZ24ta2V5cz48cmVmLXR5cGUg
bmFtZT0iSm91cm5hbCBBcnRpY2xlIj4xNzwvcmVmLXR5cGU+PGNvbnRyaWJ1dG9ycz48YXV0aG9y
cz48YXV0aG9yPkxpbmRzYXksIEsuIEwuPC9hdXRob3I+PGF1dGhvcj5CcmVubmFuLCBMLjwvYXV0
aG9yPjxhdXRob3I+S2VubmVsbHksIE0uIEEuPC9hdXRob3I+PGF1dGhvcj5NYWd1aXJlLCBPLiBD
LjwvYXV0aG9yPjxhdXRob3I+U21pdGgsIFQuPC9hdXRob3I+PGF1dGhvcj5DdXJyYW4sIFMuPC9h
dXRob3I+PGF1dGhvcj5Db2ZmZXksIE0uPC9hdXRob3I+PGF1dGhvcj5Gb2xleSwgTS4gRS48L2F1
dGhvcj48YXV0aG9yPkhhdHVuaWMsIE0uPC9hdXRob3I+PGF1dGhvcj5TaGFuYWhhbiwgRi48L2F1
dGhvcj48YXV0aG9yPk1jQXVsaWZmZSwgRi4gTS48L2F1dGhvcj48L2F1dGhvcnM+PC9jb250cmli
dXRvcnM+PGF1dGgtYWRkcmVzcz5VQ0QgT2JzdGV0cmljcyBhbmQgR3luZWNvbG9neSwgU2Nob29s
IG9mIE1lZGljaW5lIGFuZCBNZWRpY2FsIFNjaWVuY2UsIGFuZCBOYXRpb25hbCBNYXRlcm5pdHkg
SG9zcGl0YWwsIFVuaXZlcnNpdHkgQ29sbGVnZSBEdWJsaW4sIER1YmxpbiwgSXJlbGFuZC4mI3hE
O1VDRCBJbnN0aXR1dGUgb2YgRm9vZCBhbmQgSGVhbHRoLCBTY2hvb2wgb2YgQWdyaWN1bHR1cmUg
YW5kIEZvb2QgU2NpZW5jZSwgVW5pdmVyc2l0eSBDb2xsZWdlIER1YmxpbiwgRHVibGluLCBJcmVs
YW5kLiYjeEQ7RGVwYXJ0bWVudCBvZiBDbGluaWNhbCBDaGVtaXN0cnksIFN0LiBWaW5jZW50JmFw
b3M7cyBVbml2ZXJzaXR5IEhvc3BpdGFsLCBFbG0gUGFyaywgRHVibGluLCBJcmVsYW5kLiYjeEQ7
RGVwYXJ0bWVudCBvZiBDbGluaWNhbCBOdXRyaXRpb24sIE5hdGlvbmFsIE1hdGVybml0eSBIb3Nw
aXRhbCwgRHVibGluLCBJcmVsYW5kLiYjeEQ7RGVwYXJ0bWVudCBvZiBNaWR3aWZlcnksIE5hdGlv
bmFsIE1hdGVybml0eSBIb3NwaXRhbCwgRHVibGluLCBJcmVsYW5kLiYjeEQ7RGVwYXJ0bWVudCBv
ZiBFbmRvY3Jpbm9sb2d5LCBOYXRpb25hbCBNYXRlcm5pdHkgSG9zcGl0YWwsIER1YmxpbiwgSXJl
bGFuZC4mI3hEO0RlcGFydG1lbnQgb2YgTWVkaWNpbmUsIEFsaW1lbnRhcnkgYW5kIFBoYXJtYWJp
b3RpYyBDZW50ZXIsIFVuaXZlcnNpdHkgQ29sbGVnZSBDb3JrLCBDb3JrLCBJcmVsYW5kLiYjeEQ7
VUNEIE9ic3RldHJpY3MgYW5kIEd5bmVjb2xvZ3ksIFNjaG9vbCBvZiBNZWRpY2luZSBhbmQgTWVk
aWNhbCBTY2llbmNlLCBhbmQgTmF0aW9uYWwgTWF0ZXJuaXR5IEhvc3BpdGFsLCBVbml2ZXJzaXR5
IENvbGxlZ2UgRHVibGluLCBEdWJsaW4sIElyZWxhbmQuIEVsZWN0cm9uaWMgYWRkcmVzczogZmlv
bm51YWxhLm1jYXVsaWZmZUB1Y2QuaWUuPC9hdXRoLWFkZHJlc3M+PHRpdGxlcz48dGl0bGU+SW1w
YWN0IG9mIHByb2Jpb3RpY3MgaW4gd29tZW4gd2l0aCBnZXN0YXRpb25hbCBkaWFiZXRlcyBtZWxs
aXR1cyBvbiBtZXRhYm9saWMgaGVhbHRoOiBhIHJhbmRvbWl6ZWQgY29udHJvbGxlZCB0cmlhbDwv
dGl0bGU+PHNlY29uZGFyeS10aXRsZT5BbSBKIE9ic3RldCBHeW5lY29sPC9zZWNvbmRhcnktdGl0
bGU+PC90aXRsZXM+PHBlcmlvZGljYWw+PGZ1bGwtdGl0bGU+QW0gSiBPYnN0ZXQgR3luZWNvbDwv
ZnVsbC10aXRsZT48L3BlcmlvZGljYWw+PHBhZ2VzPjQ5NiBlMS0xMTwvcGFnZXM+PHZvbHVtZT4y
MTI8L3ZvbHVtZT48bnVtYmVyPjQ8L251bWJlcj48ZWRpdGlvbj4yMDE1LzAyLzE4PC9lZGl0aW9u
PjxrZXl3b3Jkcz48a2V5d29yZD5BZHVsdDwva2V5d29yZD48a2V5d29yZD5CaW9tYXJrZXJzL2Js
b29kPC9rZXl3b3JkPjxrZXl3b3JkPkJsb29kIEdsdWNvc2UvbWV0YWJvbGlzbTwva2V5d29yZD48
a2V5d29yZD5DLVBlcHRpZGUvYmxvb2Q8L2tleXdvcmQ+PGtleXdvcmQ+Q2hvbGVzdGVyb2wvYmxv
b2Q8L2tleXdvcmQ+PGtleXdvcmQ+RGlhYmV0ZXMsIEdlc3RhdGlvbmFsL2Jsb29kLyp0aGVyYXB5
PC9rZXl3b3JkPjxrZXl3b3JkPkRvdWJsZS1CbGluZCBNZXRob2Q8L2tleXdvcmQ+PGtleXdvcmQ+
RmVtYWxlPC9rZXl3b3JkPjxrZXl3b3JkPkh1bWFuczwva2V5d29yZD48a2V5d29yZD5JbmZhbnQs
IE5ld2Jvcm48L2tleXdvcmQ+PGtleXdvcmQ+SW5zdWxpbi9ibG9vZDwva2V5d29yZD48a2V5d29y
ZD5JbnRlbnRpb24gdG8gVHJlYXQgQW5hbHlzaXM8L2tleXdvcmQ+PGtleXdvcmQ+KkxhY3RvYmFj
aWxsdXM8L2tleXdvcmQ+PGtleXdvcmQ+UHJlZ25hbmN5PC9rZXl3b3JkPjxrZXl3b3JkPlByZWdu
YW5jeSBPdXRjb21lPC9rZXl3b3JkPjxrZXl3b3JkPlByb2Jpb3RpY3MvKnRoZXJhcGV1dGljIHVz
ZTwva2V5d29yZD48a2V5d29yZD5UcmVhdG1lbnQgT3V0Y29tZTwva2V5d29yZD48a2V5d29yZD5n
ZXN0YXRpb25hbCBkaWFiZXRlczwva2V5d29yZD48a2V5d29yZD5nbHljZW1pYyBjb250cm9sPC9r
ZXl3b3JkPjxrZXl3b3JkPmxvdy1kZW5zaXR5IGxpcG9wcm90ZWluIGNob2xlc3Rlcm9sPC9rZXl3
b3JkPjxrZXl3b3JkPnByb2Jpb3RpY3M8L2tleXdvcmQ+PGtleXdvcmQ+dG90YWwgY2hvbGVzdGVy
b2w8L2tleXdvcmQ+PC9rZXl3b3Jkcz48ZGF0ZXM+PHllYXI+MjAxNTwveWVhcj48cHViLWRhdGVz
PjxkYXRlPkFwcjwvZGF0ZT48L3B1Yi1kYXRlcz48L2RhdGVzPjxpc2JuPjEwOTctNjg2OCAoRWxl
Y3Ryb25pYykmI3hEOzAwMDItOTM3OCAoTGlua2luZyk8L2lzYm4+PGFjY2Vzc2lvbi1udW0+MjU2
ODc1Njg8L2FjY2Vzc2lvbi1udW0+PHVybHM+PHJlbGF0ZWQtdXJscz48dXJsPmh0dHBzOi8vd3d3
Lm5jYmkubmxtLm5paC5nb3YvcHVibWVkLzI1Njg3NTY4PC91cmw+PC9yZWxhdGVkLXVybHM+PC91
cmxzPjxlbGVjdHJvbmljLXJlc291cmNlLW51bT4xMC4xMDE2L2ouYWpvZy4yMDE1LjAyLjAwODwv
ZWxlY3Ryb25pYy1yZXNvdXJjZS1udW0+PC9yZWNvcmQ+PC9DaXRlPjxDaXRlPjxBdXRob3I+S2Fy
YW1hbGk8L0F1dGhvcj48WWVhcj4yMDE2PC9ZZWFyPjxSZWNOdW0+MTY4OTwvUmVjTnVtPjxyZWNv
cmQ+PHJlYy1udW1iZXI+MTY4OTwvcmVjLW51bWJlcj48Zm9yZWlnbi1rZXlzPjxrZXkgYXBwPSJF
TiIgZGItaWQ9ImV4dmFzcmZ4MmR0cmFvZXNhc3hwMnN6c3hhMmRmNTAyNTkyeCIgdGltZXN0YW1w
PSIxNTgxODMyMDc2Ij4xNjg5PC9rZXk+PC9mb3JlaWduLWtleXM+PHJlZi10eXBlIG5hbWU9Ikpv
dXJuYWwgQXJ0aWNsZSI+MTc8L3JlZi10eXBlPjxjb250cmlidXRvcnM+PGF1dGhvcnM+PGF1dGhv
cj5LYXJhbWFsaSwgTS48L2F1dGhvcj48YXV0aG9yPkRhZGtoYWgsIEYuPC9hdXRob3I+PGF1dGhv
cj5TYWRya2hhbmxvdSwgTS48L2F1dGhvcj48YXV0aG9yPkphbWlsaWFuLCBNLjwvYXV0aG9yPjxh
dXRob3I+QWhtYWRpLCBTLjwvYXV0aG9yPjxhdXRob3I+VGFqYWJhZGktRWJyYWhpbWksIE0uPC9h
dXRob3I+PGF1dGhvcj5KYWZhcmksIFAuPC9hdXRob3I+PGF1dGhvcj5Bc2VtaSwgWi48L2F1dGhv
cj48L2F1dGhvcnM+PC9jb250cmlidXRvcnM+PGF1dGgtYWRkcmVzcz5EZXBhcnRtZW50IG9mIGd5
bmVjb2xvZ3kgYW5kIG9ic3RldHJpY3MsIHNjaG9vbCBvZiBtZWRpY2luZSwgSXJhbiB1bml2ZXJz
aXR5IG9mIG1lZGljYWwgc2NpZW5jZXMsIFRlaHJhbiwgSXJhbi4mI3hEO0VuZG9jcmlub2xvZ3kg
YW5kIG1ldGFib2xpc20gcmVzZWFyY2ggY2VudGVyLCBkZXBhcnRtZW50IG9mIGd5bmVjb2xvZ3kg
YW5kIG9ic3RldHJpY3MsIHNjaG9vbCBvZiBtZWRpY2luZSwgQXJhayB1bml2ZXJzaXR5IG9mIG1l
ZGljYWwgc2NpZW5jZXMsIEFyYWssIElyYW4uJiN4RDtEZXBhcnRtZW50IG9mIGd5bmVjb2xvZ3kg
YW5kIG9ic3RldHJpY3MsIHNjaG9vbCBvZiBtZWRpY2luZSwgSXJhbiB1bml2ZXJzaXR5IG9mIG1l
ZGljYWwgc2NpZW5jZXMsIFRlaHJhbiwgSXJhbjsgRGVwYXJ0bWVudCBvZiBneW5lY29sb2d5IGFu
ZCBvYnN0ZXRyaWNzLCBzY2hvb2wgb2YgbWVkaWNpbmUsIEJ1c2hlaHIgdW5pdmVyc2l0eSBvZiBt
ZWRpY2FsIHNjaWVuY2VzLCBCdXNoZWhyLCBJcmFuLiYjeEQ7RmFjdWx0eSBtZW1iZXIgb2Ygc2Np
ZW5jZSBkZXBhcnRtZW50LCBzY2llbmNlIGZhY3VsdHksIElzbGFtaWMgQXphZCB1bml2ZXJzaXR5
LCBUZWhyYW4gQ2VudHJhbCBicmFuY2gsIFRlaHJhbiwgSXJhbi4mI3hEO0RlcGFydG1lbnQgb2Yg
bWljcm9iaW9sb2d5LCBzY2llbmNlIGZhY3VsdHksIElzbGFtaWMgQXphZCB1bml2ZXJzaXR5LCBB
cmFrIGJyYW5jaCwgQXJhaywgSXJhbi4mI3hEO1Jlc2VhcmNoIGNlbnRlciBmb3IgYmlvY2hlbWlz
dHJ5IGFuZCBudXRyaXRpb24gaW4gbWV0YWJvbGljIGRpc2Vhc2VzLCBLYXNoYW4gdW5pdmVyc2l0
eSBvZiBtZWRpY2FsIHNjaWVuY2VzLCBLYXNoYW4sIElyYW4uIEVsZWN0cm9uaWMgYWRkcmVzczog
YXNlbWlfckB5YWhvby5jb20uPC9hdXRoLWFkZHJlc3M+PHRpdGxlcz48dGl0bGU+RWZmZWN0cyBv
ZiBwcm9iaW90aWMgc3VwcGxlbWVudGF0aW9uIG9uIGdseWNhZW1pYyBjb250cm9sIGFuZCBsaXBp
ZCBwcm9maWxlcyBpbiBnZXN0YXRpb25hbCBkaWFiZXRlczogQSByYW5kb21pemVkLCBkb3VibGUt
YmxpbmQsIHBsYWNlYm8tY29udHJvbGxlZCB0cmlhbDwvdGl0bGU+PHNlY29uZGFyeS10aXRsZT5E
aWFiZXRlcyBNZXRhYjwvc2Vjb25kYXJ5LXRpdGxlPjwvdGl0bGVzPjxwZXJpb2RpY2FsPjxmdWxs
LXRpdGxlPkRpYWJldGVzIE1ldGFiPC9mdWxsLXRpdGxlPjwvcGVyaW9kaWNhbD48cGFnZXM+MjM0
LTQxPC9wYWdlcz48dm9sdW1lPjQyPC92b2x1bWU+PG51bWJlcj40PC9udW1iZXI+PGVkaXRpb24+
MjAxNi8wNS8yMzwvZWRpdGlvbj48a2V5d29yZHM+PGtleXdvcmQ+QWRvbGVzY2VudDwva2V5d29y
ZD48a2V5d29yZD5BZHVsdDwva2V5d29yZD48a2V5d29yZD5CbG9vZCBHbHVjb3NlLypkcnVnIGVm
ZmVjdHM8L2tleXdvcmQ+PGtleXdvcmQ+RGlhYmV0ZXMsIEdlc3RhdGlvbmFsLypibG9vZC8qZGll
dCB0aGVyYXB5PC9rZXl3b3JkPjxrZXl3b3JkPkRpZXRhcnkgU3VwcGxlbWVudHM8L2tleXdvcmQ+
PGtleXdvcmQ+RG91YmxlLUJsaW5kIE1ldGhvZDwva2V5d29yZD48a2V5d29yZD5GZW1hbGU8L2tl
eXdvcmQ+PGtleXdvcmQ+SHVtYW5zPC9rZXl3b3JkPjxrZXl3b3JkPkxhY3RvYmFjaWxsdXMgYWNp
ZG9waGlsdXM8L2tleXdvcmQ+PGtleXdvcmQ+TGlwaWQgTWV0YWJvbGlzbS9kcnVnIGVmZmVjdHM8
L2tleXdvcmQ+PGtleXdvcmQ+TGlwaWRzLypibG9vZDwva2V5d29yZD48a2V5d29yZD5QbGFjZWJv
czwva2V5d29yZD48a2V5d29yZD5QcmVnbmFuY3k8L2tleXdvcmQ+PGtleXdvcmQ+UHJvYmlvdGlj
cy8qdGhlcmFwZXV0aWMgdXNlPC9rZXl3b3JkPjxrZXl3b3JkPllvdW5nIEFkdWx0PC9rZXl3b3Jk
PjxrZXl3b3JkPipHZXN0YXRpb25hbCBkaWFiZXRlcyBtZWxsaXR1czwva2V5d29yZD48a2V5d29y
ZD4qSW5zdWxpbiByZXNpc3RhbmNlPC9rZXl3b3JkPjxrZXl3b3JkPipMaXBpZCBwcm9maWxlczwv
a2V5d29yZD48a2V5d29yZD4qUHJvYmlvdGljIHN1cHBsZW1lbnRhdGlvbjwva2V5d29yZD48L2tl
eXdvcmRzPjxkYXRlcz48eWVhcj4yMDE2PC95ZWFyPjxwdWItZGF0ZXM+PGRhdGU+U2VwPC9kYXRl
PjwvcHViLWRhdGVzPjwvZGF0ZXM+PGlzYm4+MTg3OC0xNzgwIChFbGVjdHJvbmljKSYjeEQ7MTI2
Mi0zNjM2IChMaW5raW5nKTwvaXNibj48YWNjZXNzaW9uLW51bT4yNzIwOTQzOTwvYWNjZXNzaW9u
LW51bT48dXJscz48cmVsYXRlZC11cmxzPjx1cmw+aHR0cHM6Ly93d3cubmNiaS5ubG0ubmloLmdv
di9wdWJtZWQvMjcyMDk0Mzk8L3VybD48L3JlbGF0ZWQtdXJscz48L3VybHM+PGVsZWN0cm9uaWMt
cmVzb3VyY2UtbnVtPjEwLjEwMTYvai5kaWFiZXQuMjAxNi4wNC4wMDk8L2VsZWN0cm9uaWMtcmVz
b3VyY2UtbnVtPjwvcmVjb3JkPjwvQ2l0ZT48Q2l0ZT48QXV0aG9yPkJhZGVobm9vc2g8L0F1dGhv
cj48WWVhcj4yMDE4PC9ZZWFyPjxSZWNOdW0+MTY4NDwvUmVjTnVtPjxyZWNvcmQ+PHJlYy1udW1i
ZXI+MTY4NDwvcmVjLW51bWJlcj48Zm9yZWlnbi1rZXlzPjxrZXkgYXBwPSJFTiIgZGItaWQ9ImV4
dmFzcmZ4MmR0cmFvZXNhc3hwMnN6c3hhMmRmNTAyNTkyeCIgdGltZXN0YW1wPSIxNTgxODMyMDc2
Ij4xNjg0PC9rZXk+PC9mb3JlaWduLWtleXM+PHJlZi10eXBlIG5hbWU9IkpvdXJuYWwgQXJ0aWNs
ZSI+MTc8L3JlZi10eXBlPjxjb250cmlidXRvcnM+PGF1dGhvcnM+PGF1dGhvcj5CYWRlaG5vb3No
LCBCLjwvYXV0aG9yPjxhdXRob3I+S2FyYW1hbGksIE0uPC9hdXRob3I+PGF1dGhvcj5aYXJyYXRp
LCBNLjwvYXV0aG9yPjxhdXRob3I+SmFtaWxpYW4sIE0uPC9hdXRob3I+PGF1dGhvcj5CYWhtYW5p
LCBGLjwvYXV0aG9yPjxhdXRob3I+VGFqYWJhZGktRWJyYWhpbWksIE0uPC9hdXRob3I+PGF1dGhv
cj5KYWZhcmksIFAuPC9hdXRob3I+PGF1dGhvcj5SYWhtYW5pLCBFLjwvYXV0aG9yPjxhdXRob3I+
QXNlbWksIFouPC9hdXRob3I+PC9hdXRob3JzPjwvY29udHJpYnV0b3JzPjxhdXRoLWFkZHJlc3M+
YSBEZXBhcnRtZW50IG9mIEd5bmVjb2xvZ3kgYW5kIE9ic3RldHJpY3MgLCBTY2hvb2wgb2YgTWVk
aWNpbmUsIEFsYm9yeiBVbml2ZXJzaXR5IG9mIE1lZGljYWwgU2NpZW5jZXMgLCBLYXJhaiAsIEly
YW4uJiN4RDtiIERlcGFydG1lbnQgb2YgR3luZWNvbG9neSBhbmQgT2JzdGV0cmljcyAsIFNjaG9v
bCBvZiBNZWRpY2luZSwgSXJhbiBVbml2ZXJzaXR5IG9mIE1lZGljYWwgU2NpZW5jZXMgLCBUZWhy
YW4gLCBJcmFuLiYjeEQ7YyBGYWN1bHR5IG9mIE51dHJpdGlvbiAsIFNjaG9vbCBvZiBQdWJsaWMg
SGVhbHRoLCBJcmFuIFVuaXZlcnNpdHkgb2YgTWVkaWNhbCBTY2llbmNlcyAsIFRlaHJhbiAsIEly
YW4uJiN4RDtkIEVuZG9jcmlub2xvZ3kgYW5kIE1ldGFib2xpc20gUmVzZWFyY2ggQ2VudGVyLCBB
cmFrIFVuaXZlcnNpdHkgb2YgTWVkaWNhbCBTY2llbmNlcyAsIEFyYWsgLCBJcmFuLiYjeEQ7ZSBS
ZXNlYXJjaCBDZW50ZXIgZm9yIEJpb2NoZW1pc3RyeSBhbmQgTnV0cml0aW9uIGluIE1ldGFib2xp
YyBEaXNlYXNlcywgS2FzaGFuIFVuaXZlcnNpdHkgb2YgTWVkaWNhbCBTY2llbmNlcyAsIEthc2hh
biAsIElyYW4uJiN4RDtmIEZhY3VsdHkgbWVtYmVyIG9mIFNjaWVuY2UgZGVwYXJ0bWVudCwgU2Np
ZW5jZSBmYWN1bHR5ICwgSXNsYW1pYyBBemFkIFVuaXZlcnNpdHkgLCBUZWhyYW4gLCBJcmFuLiYj
eEQ7ZyBEZXBhcnRtZW50IG9mIE1pY3JvYmlvbG9neSwgU2NpZW5jZSBmYWN1bHR5ICwgSXNsYW1p
YyBBemFkIFVuaXZlcnNpdHkgLCBBcmFrICwgSXJhbi4mI3hEO2ggRGVwYXJ0bWVudCBvZiBHeW5l
Y29sb2d5IGFuZCBPYnN0ZXRyaWNzICwgU2Nob29sIG9mIE1lZGljaW5lLCBCdXNoZWhyIFVuaXZl
cnNpdHkgb2YgTWVkaWNhbCBTY2llbmNlcyAsIEJ1c2hlaHIgLCBJcmFuLjwvYXV0aC1hZGRyZXNz
Pjx0aXRsZXM+PHRpdGxlPlRoZSBlZmZlY3RzIG9mIHByb2Jpb3RpYyBzdXBwbGVtZW50YXRpb24g
b24gYmlvbWFya2VycyBvZiBpbmZsYW1tYXRpb24sIG94aWRhdGl2ZSBzdHJlc3MgYW5kIHByZWdu
YW5jeSBvdXRjb21lcyBpbiBnZXN0YXRpb25hbCBkaWFiZXRlczwvdGl0bGU+PHNlY29uZGFyeS10
aXRsZT5KIE1hdGVybiBGZXRhbCBOZW9uYXRhbCBNZWQ8L3NlY29uZGFyeS10aXRsZT48L3RpdGxl
cz48cGVyaW9kaWNhbD48ZnVsbC10aXRsZT5KIE1hdGVybiBGZXRhbCBOZW9uYXRhbCBNZWQ8L2Z1
bGwtdGl0bGU+PC9wZXJpb2RpY2FsPjxwYWdlcz4xMTI4LTExMzY8L3BhZ2VzPjx2b2x1bWU+MzE8
L3ZvbHVtZT48bnVtYmVyPjk8L251bWJlcj48ZWRpdGlvbj4yMDE3LzAzLzIzPC9lZGl0aW9uPjxr
ZXl3b3Jkcz48a2V5d29yZD5BZHVsdDwva2V5d29yZD48a2V5d29yZD5CaW9tYXJrZXJzLypibG9v
ZDwva2V5d29yZD48a2V5d29yZD5CbG9vZCBHbHVjb3NlL2FuYWx5c2lzPC9rZXl3b3JkPjxrZXl3
b3JkPkMtUmVhY3RpdmUgUHJvdGVpbi9hbmFseXNpczwva2V5d29yZD48a2V5d29yZD5EaWFiZXRl
cywgR2VzdGF0aW9uYWwvKmJsb29kPC9rZXl3b3JkPjxrZXl3b3JkPkRpZXRhcnkgU3VwcGxlbWVu
dHM8L2tleXdvcmQ+PGtleXdvcmQ+RG91YmxlLUJsaW5kIE1ldGhvZDwva2V5d29yZD48a2V5d29y
ZD5GZW1hbGU8L2tleXdvcmQ+PGtleXdvcmQ+SHVtYW5zPC9rZXl3b3JkPjxrZXl3b3JkPkluZmxh
bW1hdGlvbi8qYmxvb2Q8L2tleXdvcmQ+PGtleXdvcmQ+TWFsb25kaWFsZGVoeWRlL2Jsb29kPC9r
ZXl3b3JkPjxrZXl3b3JkPk94aWRhdGl2ZSBTdHJlc3MvKnBoeXNpb2xvZ3k8L2tleXdvcmQ+PGtl
eXdvcmQ+UGxhY2Vib3M8L2tleXdvcmQ+PGtleXdvcmQ+UHJlZ25hbmN5PC9rZXl3b3JkPjxrZXl3
b3JkPipQcmVnbmFuY3kgT3V0Y29tZTwva2V5d29yZD48a2V5d29yZD5Qcm9iaW90aWNzLyphZG1p
bmlzdHJhdGlvbiAmYW1wOyBkb3NhZ2U8L2tleXdvcmQ+PGtleXdvcmQ+UHJvYmlvdGljIHN1cHBs
ZW1lbnRhdGlvbjwva2V5d29yZD48a2V5d29yZD5nZXN0YXRpb25hbCBkaWFiZXRlczwva2V5d29y
ZD48a2V5d29yZD5wcmVnbmFudCB3b21lbjwva2V5d29yZD48L2tleXdvcmRzPjxkYXRlcz48eWVh
cj4yMDE4PC95ZWFyPjxwdWItZGF0ZXM+PGRhdGU+TWF5PC9kYXRlPjwvcHViLWRhdGVzPjwvZGF0
ZXM+PGlzYm4+MTQ3Ni00OTU0IChFbGVjdHJvbmljKSYjeEQ7MTQ3Ni00OTU0IChMaW5raW5nKTwv
aXNibj48YWNjZXNzaW9uLW51bT4yODMyNjg4MTwvYWNjZXNzaW9uLW51bT48dXJscz48cmVsYXRl
ZC11cmxzPjx1cmw+aHR0cHM6Ly93d3cubmNiaS5ubG0ubmloLmdvdi9wdWJtZWQvMjgzMjY4ODE8
L3VybD48L3JlbGF0ZWQtdXJscz48L3VybHM+PGVsZWN0cm9uaWMtcmVzb3VyY2UtbnVtPjEwLjEw
ODAvMTQ3NjcwNTguMjAxNy4xMzEwMTkzPC9lbGVjdHJvbmljLXJlc291cmNlLW51bT48L3JlY29y
ZD48L0NpdGU+PENpdGU+PEF1dGhvcj5Eb2xhdGtoYWg8L0F1dGhvcj48WWVhcj4yMDE1PC9ZZWFy
PjxSZWNOdW0+MTY4NTwvUmVjTnVtPjxyZWNvcmQ+PHJlYy1udW1iZXI+MTY4NTwvcmVjLW51bWJl
cj48Zm9yZWlnbi1rZXlzPjxrZXkgYXBwPSJFTiIgZGItaWQ9ImV4dmFzcmZ4MmR0cmFvZXNhc3hw
MnN6c3hhMmRmNTAyNTkyeCIgdGltZXN0YW1wPSIxNTgxODMyMDc2Ij4xNjg1PC9rZXk+PC9mb3Jl
aWduLWtleXM+PHJlZi10eXBlIG5hbWU9IkpvdXJuYWwgQXJ0aWNsZSI+MTc8L3JlZi10eXBlPjxj
b250cmlidXRvcnM+PGF1dGhvcnM+PGF1dGhvcj5Eb2xhdGtoYWgsIE4uPC9hdXRob3I+PGF1dGhv
cj5IYWppZmFyYWppLCBNLjwvYXV0aG9yPjxhdXRob3I+QWJiYXNhbGl6YWRlaCwgRi48L2F1dGhv
cj48YXV0aG9yPkFnaGFtb2hhbW1hZHphZGVoLCBOLjwvYXV0aG9yPjxhdXRob3I+TWVocmFiaSwg
WS48L2F1dGhvcj48YXV0aG9yPkFiYmFzaSwgTS4gTS48L2F1dGhvcj48L2F1dGhvcnM+PC9jb250
cmlidXRvcnM+PGF1dGgtYWRkcmVzcz5EZXBhcnRtZW50IG9mIE51dHJpdGlvbiBTY2llbmNlcywg
U2hhaGlkIEJlaGVzaHRpIFVuaXZlcnNpdHkgb2YgTWVkaWNhbCBTY2llbmNlcyAoU0JVTVMpLCBJ
bnRlcm5hdGlvbmFsIEJyYW5jaCwgdGVocmFuLCBpcmFuLiBuZWRhLmRvbGF0a2hhaGJAZ21haWwu
Y29tLiYjeEQ7TnV0cml0aW9uIFNvY2lldHksIE5hdGlvbmFsIE51dHJpdGlvbiBhbmQgRm9vZCBU
ZWNobm9sb2d5IFJlc2VhcmNoIEluc3RpdHV0ZSwgRmFjdWx0eSBvZiBOdXRyaXRpb24gYW5kIEZv
b2QgVGVjaG5vbG9neSwgQmVoZXNodGkgVW5pdmVyc2l0eSBvZiBNZWRpY2FsIFNjaWVuY2VzLCBC
YXJhbiAzLCBXZXN0IEFyZ2hhdmFuLCBGYXJhaHphZGkgQmx2ZC4sIFNoYWhyYWsgUW9kcywgMTkz
OTUtNDc0MSwgaXN0YW5idWwsIDE5ODE2MTk1NzMsIHR1cmtleS4gbS5oYWppZmFyYWppQG5uZnRy
aS5hYy5pci4mI3hEO0RlcGFydG1lbnQgb2YgT2JzdGV0cmljcyAmYW1wOyBHeW5lY29sb2d5LCBU
YWJyaXogVW5pdmVyc2l0eSBvZiBNZWRpY2FsIFNjaWVuY2VzLCB0YWJyaXosIGlyYW4uIGZhdGVt
ZWguYWJhc2FsaXphZGVoQHlhaG9vLmNvbS4mI3hEO1NlY3Rpb24gb2YgRW5kb2NyaW5vbG9neSAm
YW1wOyBNZXRhYm9saXNtLCBEZXBhcnRtZW50IG9mIEludGVybmFsIE1lZGljaW5lLCBUYWJyaXog
VW5pdmVyc2l0eSBvZiBNZWRpY2FsIFNjaWVuY2VzLCBUYWJyaXosIElyYW4uIG5hc2VyLmFnaGFt
b2hhbW1hZHphZGVoQHlhaG9vLmNvbS4mI3hEO0RlcGFydG1lbnQgb2YgQmlvc3RhdGlzdGljcyAm
YW1wOyBFcGlkZW1pb2xvZ3ksIFNoYWhpZCBCZWhlc2h0aSBVbml2ZXJzaXR5IG9mIE1lZGljYWwg
U2NpZW5jZXMsIFRlaHJhbiwgSXJhbi4geWFkb2xsYWgubWVocmFiaWJAZ21haWwuY29tLiYjeEQ7
RHJ1ZyBBcHBsaWVkIFJlc2VhcmNoIENlbnRlciwgVGFicml6IFVuaXZlcnNpdHkgb2YgTWVkaWNh
bCBTY2llbmNlcywgVGFicml6LCBJcmFuLiBtZWhyYW4ubWVzZ2FyaWFiYmFzaUBnbWFpbC5jb20u
PC9hdXRoLWFkZHJlc3M+PHRpdGxlcz48dGl0bGU+SXMgdGhlcmUgYSB2YWx1ZSBmb3IgcHJvYmlv
dGljIHN1cHBsZW1lbnRzIGluIGdlc3RhdGlvbmFsIGRpYWJldGVzIG1lbGxpdHVzPyBBIHJhbmRv
bWl6ZWQgY2xpbmljYWwgdHJpYWw8L3RpdGxlPjxzZWNvbmRhcnktdGl0bGU+SiBIZWFsdGggUG9w
dWwgTnV0cjwvc2Vjb25kYXJ5LXRpdGxlPjwvdGl0bGVzPjxwZXJpb2RpY2FsPjxmdWxsLXRpdGxl
PkogSGVhbHRoIFBvcHVsIE51dHI8L2Z1bGwtdGl0bGU+PC9wZXJpb2RpY2FsPjxwYWdlcz4yNTwv
cGFnZXM+PHZvbHVtZT4zMzwvdm9sdW1lPjxlZGl0aW9uPjIwMTYvMDEvMzE8L2VkaXRpb24+PGtl
eXdvcmRzPjxrZXl3b3JkPkFkdWx0PC9rZXl3b3JkPjxrZXl3b3JkPkFudGktT2Jlc2l0eSBBZ2Vu
dHMvKnRoZXJhcGV1dGljIHVzZTwva2V5d29yZD48a2V5d29yZD5CaWZpZG9iYWN0ZXJpdW0gYW5p
bWFsaXMvZ3Jvd3RoICZhbXA7IGRldmVsb3BtZW50PC9rZXl3b3JkPjxrZXl3b3JkPkJsb29kIEds
dWNvc2UvYW5hbHlzaXM8L2tleXdvcmQ+PGtleXdvcmQ+RGlhYmV0ZXMsIEdlc3RhdGlvbmFsL2Js
b29kLypkaWV0IHRoZXJhcHkvbWV0YWJvbGlzbTwva2V5d29yZD48a2V5d29yZD5EaWV0LCBEaWFi
ZXRpYzwva2V5d29yZD48a2V5d29yZD5Eb3VibGUtQmxpbmQgTWV0aG9kPC9rZXl3b3JkPjxrZXl3
b3JkPkZlbWFsZTwva2V5d29yZD48a2V5d29yZD5IdW1hbnM8L2tleXdvcmQ+PGtleXdvcmQ+SHlw
ZXJnbHljZW1pYS8qcHJldmVudGlvbiAmYW1wOyBjb250cm9sPC9rZXl3b3JkPjxrZXl3b3JkPkh5
cG9nbHljZW1pYyBBZ2VudHMvKnRoZXJhcGV1dGljIHVzZTwva2V5d29yZD48a2V5d29yZD4qSW5z
dWxpbiBSZXNpc3RhbmNlPC9rZXl3b3JkPjxrZXl3b3JkPklyYW48L2tleXdvcmQ+PGtleXdvcmQ+
TGFjdG9iYWNpbGx1cyBhY2lkb3BoaWx1cy9ncm93dGggJmFtcDsgZGV2ZWxvcG1lbnQ8L2tleXdv
cmQ+PGtleXdvcmQ+TGFjdG9iYWNpbGx1cyBkZWxicnVlY2tpaS9ncm93dGggJmFtcDsgZGV2ZWxv
cG1lbnQ8L2tleXdvcmQ+PGtleXdvcmQ+Kk1hdGVybmFsIE51dHJpdGlvbmFsIFBoeXNpb2xvZ2lj
YWwgUGhlbm9tZW5hPC9rZXl3b3JkPjxrZXl3b3JkPlByZWduYW5jeTwva2V5d29yZD48a2V5d29y
ZD5QcmVnbmFuY3kgVHJpbWVzdGVyLCBUaGlyZDwva2V5d29yZD48a2V5d29yZD5Qcm9iaW90aWNz
Lyp0aGVyYXBldXRpYyB1c2U8L2tleXdvcmQ+PGtleXdvcmQ+U3RyZXB0b2NvY2N1cyB0aGVybW9w
aGlsdXMvZ3Jvd3RoICZhbXA7IGRldmVsb3BtZW50PC9rZXl3b3JkPjxrZXl3b3JkPldlaWdodCBH
YWluPC9rZXl3b3JkPjxrZXl3b3JkPllvdW5nIEFkdWx0PC9rZXl3b3JkPjwva2V5d29yZHM+PGRh
dGVzPjx5ZWFyPjIwMTU8L3llYXI+PHB1Yi1kYXRlcz48ZGF0ZT5Ob3YgMjU8L2RhdGU+PC9wdWIt
ZGF0ZXM+PC9kYXRlcz48aXNibj4yMDcyLTEzMTUgKEVsZWN0cm9uaWMpJiN4RDsxNjA2LTA5OTcg
KExpbmtpbmcpPC9pc2JuPjxhY2Nlc3Npb24tbnVtPjI2ODI1NjY2PC9hY2Nlc3Npb24tbnVtPjx1
cmxzPjxyZWxhdGVkLXVybHM+PHVybD5odHRwczovL3d3dy5uY2JpLm5sbS5uaWguZ292L3B1Ym1l
ZC8yNjgyNTY2NjwvdXJsPjwvcmVsYXRlZC11cmxzPjwvdXJscz48Y3VzdG9tMj5QTUM1MDI2MDE4
PC9jdXN0b20yPjxlbGVjdHJvbmljLXJlc291cmNlLW51bT4xMC4xMTg2L3M0MTA0My0wMTUtMDAz
NC05PC9lbGVjdHJvbmljLXJlc291cmNlLW51bT48L3JlY29yZD48L0NpdGU+PENpdGU+PEF1dGhv
cj5KYWZhcm5lamFkPC9BdXRob3I+PFllYXI+MjAxNjwvWWVhcj48UmVjTnVtPjE2ODc8L1JlY051
bT48cmVjb3JkPjxyZWMtbnVtYmVyPjE2ODc8L3JlYy1udW1iZXI+PGZvcmVpZ24ta2V5cz48a2V5
IGFwcD0iRU4iIGRiLWlkPSJleHZhc3JmeDJkdHJhb2VzYXN4cDJzenN4YTJkZjUwMjU5MngiIHRp
bWVzdGFtcD0iMTU4MTgzMjA3NiI+MTY4Nzwva2V5PjwvZm9yZWlnbi1rZXlzPjxyZWYtdHlwZSBu
YW1lPSJKb3VybmFsIEFydGljbGUiPjE3PC9yZWYtdHlwZT48Y29udHJpYnV0b3JzPjxhdXRob3Jz
PjxhdXRob3I+SmFmYXJuZWphZCwgUy48L2F1dGhvcj48YXV0aG9yPlNhcmVtaSwgUy48L2F1dGhv
cj48YXV0aG9yPkphZmFybmVqYWQsIEYuPC9hdXRob3I+PGF1dGhvcj5BcmFiLCBBLjwvYXV0aG9y
PjwvYXV0aG9ycz48L2NvbnRyaWJ1dG9ycz48YXV0aC1hZGRyZXNzPkRlcGFydG1lbnQgb2YgQ2xp
bmljYWwgTnV0cml0aW9uLCBTY2hvb2wgb2YgTnV0cml0aW9uYWwgU2NpZW5jZXMgYW5kIERpZXRl
dGljLCBUZWhyYW4gVW5pdmVyc2l0eSBvZiBNZWRpY2FsIFNjaWVuY2VzLCBQLk8uIEJveCAxNDE1
NS02MTE3LCBUZWhyYW4sIElyYW4uJiN4RDtEZXBhcnRtZW50IG9mIFB1YmxpYyBIZWFsdGgsIElz
ZmFoYW4gVW5pdmVyc2l0eSBvZiBNZWRpY2FsIFNjaWVuY2VzLCBJc2ZhaGFuLCBJcmFuLiYjeEQ7
RGVwYXJ0bWVudCBvZiBIZWFsdGggSW5mb3JtYXRpb24gTWFuYWdlbWVudCwgTWF6YW5kYXJhbiBV
bml2ZXJzaXR5IG9mIE1lZGljYWwgU2NpZW5jZXMsIFNhcmksIElyYW4uJiN4RDtEZXBhcnRtZW50
IG9mIENvbW11bml0eSBOdXRyaXRpb24sIFNjaG9vbCBvZiBOdXRyaXRpb24gYW5kIEZvb2QgU2Np
ZW5jZSwgSXNmYWhhbiBVbml2ZXJzaXR5IG9mIE1lZGljYWwgU2NpZW5jZXMsIElzZmFoYW4sIEly
YW4uPC9hdXRoLWFkZHJlc3M+PHRpdGxlcz48dGl0bGU+RWZmZWN0cyBvZiBhIE11bHRpc3BlY2ll
cyBQcm9iaW90aWMgTWl4dHVyZSBvbiBHbHljZW1pYyBDb250cm9sIGFuZCBJbmZsYW1tYXRvcnkg
U3RhdHVzIGluIFdvbWVuIHdpdGggR2VzdGF0aW9uYWwgRGlhYmV0ZXM6IEEgUmFuZG9taXplZCBD
b250cm9sbGVkIENsaW5pY2FsIFRyaWFsPC90aXRsZT48c2Vjb25kYXJ5LXRpdGxlPkogTnV0ciBN
ZXRhYjwvc2Vjb25kYXJ5LXRpdGxlPjwvdGl0bGVzPjxwZXJpb2RpY2FsPjxmdWxsLXRpdGxlPkog
TnV0ciBNZXRhYjwvZnVsbC10aXRsZT48L3BlcmlvZGljYWw+PHBhZ2VzPjUxOTA4NDY8L3BhZ2Vz
Pjx2b2x1bWU+MjAxNjwvdm9sdW1lPjxlZGl0aW9uPjIwMTYvMDcvMTk8L2VkaXRpb24+PGRhdGVz
Pjx5ZWFyPjIwMTY8L3llYXI+PC9kYXRlcz48aXNibj4yMDkwLTA3MjQgKFByaW50KSYjeEQ7MjA5
MC0wNzI0IChMaW5raW5nKTwvaXNibj48YWNjZXNzaW9uLW51bT4yNzQyOTgwMzwvYWNjZXNzaW9u
LW51bT48dXJscz48cmVsYXRlZC11cmxzPjx1cmw+aHR0cHM6Ly93d3cubmNiaS5ubG0ubmloLmdv
di9wdWJtZWQvMjc0Mjk4MDM8L3VybD48L3JlbGF0ZWQtdXJscz48L3VybHM+PGN1c3RvbTI+UE1D
NDkzOTE5MzwvY3VzdG9tMj48ZWxlY3Ryb25pYy1yZXNvdXJjZS1udW0+MTAuMTE1NS8yMDE2LzUx
OTA4NDY8L2VsZWN0cm9uaWMtcmVzb3VyY2UtbnVtPjwvcmVjb3JkPjwvQ2l0ZT48L0VuZE5vdGU+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241-245</w:t>
      </w:r>
      <w:r w:rsidR="00AB21E2">
        <w:fldChar w:fldCharType="end"/>
      </w:r>
      <w:r w:rsidR="00D76EA6">
        <w:t xml:space="preserve"> women who were overweight or obese,</w:t>
      </w:r>
      <w:r w:rsidR="00AB21E2">
        <w:fldChar w:fldCharType="begin">
          <w:fldData xml:space="preserve">PEVuZE5vdGU+PENpdGU+PEF1dGhvcj5Pa2VzZW5lLUdhZmE8L0F1dGhvcj48WWVhcj4yMDE5PC9Z
ZWFyPjxSZWNOdW0+MTM5MDwvUmVjTnVtPjxEaXNwbGF5VGV4dD48c3R5bGUgZmFjZT0ic3VwZXJz
Y3JpcHQiIGZvbnQ9IlRyZWJ1Y2hldCBNUyIgc2l6ZT0iOSI+MjI4LDIzMiwyMzY8L3N0eWxlPjwv
RGlzcGxheVRleHQ+PHJlY29yZD48cmVjLW51bWJlcj4xMzkwPC9yZWMtbnVtYmVyPjxmb3JlaWdu
LWtleXM+PGtleSBhcHA9IkVOIiBkYi1pZD0iZXh2YXNyZngyZHRyYW9lc2FzeHAyc3pzeGEyZGY1
MDI1OTJ4IiB0aW1lc3RhbXA9IjE1Njc3NDYxMTYiPjEzOTA8L2tleT48a2V5IGFwcD0iRU5XZWIi
IGRiLWlkPSIiPjA8L2tleT48L2ZvcmVpZ24ta2V5cz48cmVmLXR5cGUgbmFtZT0iSm91cm5hbCBB
cnRpY2xlIj4xNzwvcmVmLXR5cGU+PGNvbnRyaWJ1dG9ycz48YXV0aG9ycz48YXV0aG9yPk9rZXNl
bmUtR2FmYSwgSy5BLk0uLDwvYXV0aG9yPjxhdXRob3I+TGksIE0uLDwvYXV0aG9yPjxhdXRob3I+
TWNLaW5sYXksIEMuSi5ELiw8L2F1dGhvcj48YXV0aG9yPlRheWxvciwgUi5TLiw8L2F1dGhvcj48
YXV0aG9yPlJ1c2gsIEUuQy4sPC9hdXRob3I+PGF1dGhvcj5XYWxsLCBDLlIuLDwvYXV0aG9yPjxh
dXRob3I+V2lsc29uLCBKLiw8L2F1dGhvcj48YXV0aG9yPk11cnBoeSwgUi4sPC9hdXRob3I+PGF1
dGhvcj5UYXlsb3IsIFIuLDwvYXV0aG9yPjxhdXRob3I+VGhvbXBzb24sIEouTS5ELiw8L2F1dGhv
cj48YXV0aG9yPkNyb3d0aGVyLCBDLkEuLDwvYXV0aG9yPjxhdXRob3I+TWNDb3dhbiwgTC5NLkUu
LDwvYXV0aG9yPjwvYXV0aG9ycz48L2NvbnRyaWJ1dG9ycz48YXV0aC1hZGRyZXNzPkRlcGFydG1l
bnQgb2YgT2JzdGV0cmljcyBhbmQgR3luYWVjb2xvZ3ksIFVuaXZlcnNpdHkgb2YgQXVja2xhbmQs
IEF1Y2tsYW5kLCBOZXcgWmVhbGFuZDsgRmFjdWx0eSBvZiBNZWRpY2FsIGFuZCBIZWFsdGggU2Np
ZW5jZXMsIFVuaXZlcnNpdHkgb2YgQXVja2xhbmQsIEF1Y2tsYW5kLCBOZXcgWmVhbGFuZDsgTWlk
ZGxlbW9yZSBIb3NwaXRhbCwgU291dGggQXVja2xhbmQsIE5ldyBaZWFsYW5kLiBFbGVjdHJvbmlj
IGFkZHJlc3M6IGsub2tlc2VuZS1nYWZhQGF1Y2tsYW5kLmFjLm56LiYjeEQ7RGVwYXJ0bWVudCBv
ZiBPYnN0ZXRyaWNzIGFuZCBHeW5hZWNvbG9neSwgVW5pdmVyc2l0eSBvZiBBdWNrbGFuZCwgQXVj
a2xhbmQsIE5ldyBaZWFsYW5kOyBGYWN1bHR5IG9mIE1lZGljYWwgYW5kIEhlYWx0aCBTY2llbmNl
cywgVW5pdmVyc2l0eSBvZiBBdWNrbGFuZCwgQXVja2xhbmQsIE5ldyBaZWFsYW5kLiYjeEQ7RGVw
YXJ0bWVudCBvZiBQYWVkaWF0cmljcywgQ2hpbGQgYW5kIFlvdXRoIEhlYWx0aCwgVW5pdmVyc2l0
eSBvZiBBdWNrbGFuZCwgQXVja2xhbmQsIE5ldyBaZWFsYW5kOyBMaWdnaW5zIEluc3RpdHV0ZSwg
VW5pdmVyc2l0eSBvZiBBdWNrbGFuZCwgQXVja2xhbmQsIE5ldyBaZWFsYW5kOyBLaWR6IEZpcnN0
IE5lb25hdGFsIENhcmUsIENvdW50aWVzIE1hbnVrYXUgSGVhbHRoLCBBdWNrbGFuZCwgTmV3IFpl
YWxhbmQuJiN4RDtGYWN1bHR5IG9mIEhlYWx0aCBhbmQgRW52aXJvbm1lbnRhbCBTY2llbmNlLCBB
dWNrbGFuZCBVbml2ZXJzaXR5IG9mIFRlY2hub2xvZ3ksIEF1Y2tsYW5kLCBOZXcgWmVhbGFuZC4m
I3hEO0ZhY3VsdHkgb2YgTWVkaWNhbCBhbmQgSGVhbHRoIFNjaWVuY2VzLCBVbml2ZXJzaXR5IG9m
IEF1Y2tsYW5kLCBBdWNrbGFuZCwgTmV3IFplYWxhbmQuJiN4RDtGYWN1bHR5IG9mIE1lZGljYWwg
YW5kIEhlYWx0aCBTY2llbmNlcywgVW5pdmVyc2l0eSBvZiBBdWNrbGFuZCwgQXVja2xhbmQsIE5l
dyBaZWFsYW5kOyBEZXBhcnRtZW50IG9mIFBhZWRpYXRyaWNzLCBDaGlsZCBhbmQgWW91dGggSGVh
bHRoLCBVbml2ZXJzaXR5IG9mIEF1Y2tsYW5kLCBBdWNrbGFuZCwgTmV3IFplYWxhbmQuJiN4RDtE
ZXBhcnRtZW50IG9mIE1lZGljaW5lLCBTY2hvb2wgb2YgTWVkaWNpbmUsIFVuaXZlcnNpdHkgb2Yg
QXVja2xhbmQsIEF1Y2tsYW5kLCBOZXcgWmVhbGFuZC4mI3hEO0RlcGFydG1lbnQgb2YgTWVkaWNp
bmUsIFVuaXZlcnNpdHkgb2YgT3RhZ28sIER1bmVkaW4sIE5ldyBaZWFsYW5kLiYjeEQ7TGlnZ2lu
cyBJbnN0aXR1dGUsIFVuaXZlcnNpdHkgb2YgQXVja2xhbmQsIEF1Y2tsYW5kLCBOZXcgWmVhbGFu
ZC48L2F1dGgtYWRkcmVzcz48dGl0bGVzPjx0aXRsZT5FZmZlY3Qgb2YgYW50ZW5hdGFsIGRpZXRh
cnkgaW50ZXJ2ZW50aW9ucyBpbiBtYXRlcm5hbCBvYmVzaXR5IG9uIHByZWduYW5jeSB3ZWlnaHQt
Z2FpbiBhbmQgYmlydGh3ZWlnaHQ6IEhlYWx0aHkgTXVtcyBhbmQgQmFiaWVzIChIVU1CQSkgcmFu
ZG9taXplZCB0cmlhbDwvdGl0bGU+PHNlY29uZGFyeS10aXRsZT5BbSBKIE9ic3RldCBHeW5lY29s
PC9zZWNvbmRhcnktdGl0bGU+PC90aXRsZXM+PHBlcmlvZGljYWw+PGZ1bGwtdGl0bGU+QW0gSiBP
YnN0ZXQgR3luZWNvbDwvZnVsbC10aXRsZT48L3BlcmlvZGljYWw+PHBhZ2VzPjE1MiBlMS0xNTIg
ZTEzPC9wYWdlcz48dm9sdW1lPjIyMTwvdm9sdW1lPjxudW1iZXI+MjwvbnVtYmVyPjxlZGl0aW9u
PjIwMTkvMDMvMTg8L2VkaXRpb24+PGtleXdvcmRzPjxrZXl3b3JkPmNvbW11bml0eSBoZWFsdGgg
d29ya2VyPC9rZXl3b3JkPjxrZXl3b3JkPmdlc3RhdGlvbmFsIHdlaWdodCBnYWluPC9rZXl3b3Jk
PjxrZXl3b3JkPnByb2Jpb3RpY3M8L2tleXdvcmQ+PGtleXdvcmQ+dGV4dCBtZXNzYWdpbmc8L2tl
eXdvcmQ+PC9rZXl3b3Jkcz48ZGF0ZXM+PHllYXI+MjAxOTwveWVhcj48cHViLWRhdGVzPjxkYXRl
PkF1ZzwvZGF0ZT48L3B1Yi1kYXRlcz48L2RhdGVzPjxpc2JuPjEwOTctNjg2OCAoRWxlY3Ryb25p
YykmI3hEOzAwMDItOTM3OCAoTGlua2luZyk8L2lzYm4+PGFjY2Vzc2lvbi1udW0+MzA4NzgzMjM8
L2FjY2Vzc2lvbi1udW0+PHVybHM+PHJlbGF0ZWQtdXJscz48dXJsPmh0dHBzOi8vd3d3Lm5jYmku
bmxtLm5paC5nb3YvcHVibWVkLzMwODc4MzIzPC91cmw+PC9yZWxhdGVkLXVybHM+PC91cmxzPjxl
bGVjdHJvbmljLXJlc291cmNlLW51bT4xMC4xMDE2L2ouYWpvZy4yMDE5LjAzLjAwMzwvZWxlY3Ry
b25pYy1yZXNvdXJjZS1udW0+PC9yZWNvcmQ+PC9DaXRlPjxDaXRlPjxBdXRob3I+Q2FsbGF3YXk8
L0F1dGhvcj48WWVhcj4yMDE5PC9ZZWFyPjxSZWNOdW0+MTY0OTwvUmVjTnVtPjxyZWNvcmQ+PHJl
Yy1udW1iZXI+MTY0OTwvcmVjLW51bWJlcj48Zm9yZWlnbi1rZXlzPjxrZXkgYXBwPSJFTiIgZGIt
aWQ9ImV4dmFzcmZ4MmR0cmFvZXNhc3hwMnN6c3hhMmRmNTAyNTkyeCIgdGltZXN0YW1wPSIxNTgx
MzEyNjk4Ij4xNjQ5PC9rZXk+PGtleSBhcHA9IkVOV2ViIiBkYi1pZD0iIj4wPC9rZXk+PC9mb3Jl
aWduLWtleXM+PHJlZi10eXBlIG5hbWU9IkpvdXJuYWwgQXJ0aWNsZSI+MTc8L3JlZi10eXBlPjxj
b250cmlidXRvcnM+PGF1dGhvcnM+PGF1dGhvcj5DYWxsYXdheSwgTC4gSy48L2F1dGhvcj48YXV0
aG9yPk1jSW50eXJlLCBILiBELjwvYXV0aG9yPjxhdXRob3I+QmFycmV0dCwgSC4gTC48L2F1dGhv
cj48YXV0aG9yPkZveGNyb2Z0LCBLLjwvYXV0aG9yPjxhdXRob3I+VHJlbWVsbGVuLCBBLjwvYXV0
aG9yPjxhdXRob3I+TGluZ3dvb2QsIEIuIEUuPC9hdXRob3I+PGF1dGhvcj5Ub2JpbiwgSi4gTS48
L2F1dGhvcj48YXV0aG9yPldpbGtpbnNvbiwgUy48L2F1dGhvcj48YXV0aG9yPktvdGhhcmksIEEu
PC9hdXRob3I+PGF1dGhvcj5Nb3JyaXNvbiwgTS48L2F1dGhvcj48YXV0aG9yPk8mYXBvcztSb3Vy
a2UsIFAuPC9hdXRob3I+PGF1dGhvcj5QZWxlY2Fub3MsIEEuPC9hdXRob3I+PGF1dGhvcj5EZWtr
ZXIgTml0ZXJ0LCBNLjwvYXV0aG9yPjwvYXV0aG9ycz48L2NvbnRyaWJ1dG9ycz48YXV0aC1hZGRy
ZXNzPldvbWVuJmFwb3M7cyBhbmQgTmV3Ym9ybiBTZXJ2aWNlcywgUm95YWwgQnJpc2JhbmUgYW5k
IFdvbWVuJmFwb3M7cyBIb3NwaXRhbCwgSGVyc3RvbiwgQXVzdHJhbGlhIGwuY2FsbGF3YXlAdXEu
ZWR1LmF1LiYjeEQ7RmFjdWx0eSBvZiBNZWRpY2luZSwgVGhlIFVuaXZlcnNpdHkgb2YgUXVlZW5z
bGFuZCwgSGVyc3RvbiwgQXVzdHJhbGlhLiYjeEQ7TWF0ZXIgTWVkaWNhbCBSZXNlYXJjaCBJbnN0
aXR1dGUsIFNvdXRoIEJyaXNiYW5lLCBBdXN0cmFsaWEuJiN4RDtXb21lbiZhcG9zO3MgYW5kIE5l
d2Jvcm4gU2VydmljZXMsIFJveWFsIEJyaXNiYW5lIGFuZCBXb21lbiZhcG9zO3MgSG9zcGl0YWws
IEhlcnN0b24sIEF1c3RyYWxpYS4mI3hEO0phbWVzIENvb2sgVW5pdmVyc2l0eSwgTWFja2F5LCBB
dXN0cmFsaWEuJiN4RDtEZXBhcnRtZW50IG9mIE51dHJpdGlvbiBhbmQgRGlldGV0aWNzLCBNYXRl
ciBHcm91cCwgU291dGggQnJpc2JhbmUsIEF1c3RyYWxpYS4mI3hEO1JlZGNsaWZmZSBIb3NwaXRh
bCwgUmVkY2xpZmZlLCBBdXN0cmFsaWEuJiN4RDtGYWN1bHR5IG9mIE1lZGljaW5lLCBVbml2ZXJz
aXR5IG9mIFF1ZWVuc2xhbmQgRGlhbWFudGluYSBJbnN0aXR1dGUsIFRyYW5zbGF0aW9uYWwgUmVz
ZWFyY2ggSW5zdGl0dXRlLCBXb29sbG9vbmdhYmJhLCBBdXN0cmFsaWEuJiN4RDtRSU1SIEJlcmdo
b2ZlciBNZWRpY2FsIFJlc2VhcmNoIEluc3RpdHV0ZSwgSGVyc3RvbiwgQXVzdHJhbGlhLiYjeEQ7
U2Nob29sIG9mIENoZW1pc3RyeSBhbmQgTW9sZWN1bGFyIEJpb3NjaWVuY2VzLCBUaGUgVW5pdmVy
c2l0eSBvZiBRdWVlbnNsYW5kLCBTdCBMdWNpYSwgQXVzdHJhbGlhLjwvYXV0aC1hZGRyZXNzPjx0
aXRsZXM+PHRpdGxlPlByb2Jpb3RpY3MgZm9yIHRoZSBwcmV2ZW50aW9uIG9mIGdlc3RhdGlvbmFs
IGRpYWJldGVzIG1lbGxpdHVzIGluIG92ZXJ3ZWlnaHQgYW5kIG9iZXNlIHdvbWVuOiBGaW5kaW5n
cyBmcm9tIHRoZSBTUFJJTkcgZG91YmxlLWJsaW5kIHJhbmRvbWl6ZWQgY29udHJvbGxlZCB0cmlh
bDwvdGl0bGU+PHNlY29uZGFyeS10aXRsZT5EaWFiZXRlcyBDYXJlPC9zZWNvbmRhcnktdGl0bGU+
PC90aXRsZXM+PHBlcmlvZGljYWw+PGZ1bGwtdGl0bGU+RGlhYmV0ZXMgQ2FyZTwvZnVsbC10aXRs
ZT48L3BlcmlvZGljYWw+PHBhZ2VzPjM2NC0zNzE8L3BhZ2VzPjx2b2x1bWU+NDI8L3ZvbHVtZT48
bnVtYmVyPjM8L251bWJlcj48ZWRpdGlvbj4yMDE5LzAxLzIwPC9lZGl0aW9uPjxrZXl3b3Jkcz48
a2V5d29yZD5BZHVsdDwva2V5d29yZD48a2V5d29yZD5BdXN0cmFsaWE8L2tleXdvcmQ+PGtleXdv
cmQ+RGlhYmV0ZXMsIEdlc3RhdGlvbmFsL2Jsb29kLypwcmV2ZW50aW9uICZhbXA7IGNvbnRyb2w8
L2tleXdvcmQ+PGtleXdvcmQ+RG91YmxlLUJsaW5kIE1ldGhvZDwva2V5d29yZD48a2V5d29yZD5G
ZW1hbGU8L2tleXdvcmQ+PGtleXdvcmQ+R2FzdHJvaW50ZXN0aW5hbCBNaWNyb2Jpb21lPC9rZXl3
b3JkPjxrZXl3b3JkPkdsdWNvc2UgVG9sZXJhbmNlIFRlc3Q8L2tleXdvcmQ+PGtleXdvcmQ+SHVt
YW5zPC9rZXl3b3JkPjxrZXl3b3JkPk9iZXNpdHkvY29tcGxpY2F0aW9ucy8qZGlldCB0aGVyYXB5
PC9rZXl3b3JkPjxrZXl3b3JkPk92ZXJ3ZWlnaHQvY29tcGxpY2F0aW9ucy8qZGlldCB0aGVyYXB5
PC9rZXl3b3JkPjxrZXl3b3JkPlByZWduYW5jeTwva2V5d29yZD48a2V5d29yZD5QcmVnbmFuY3kg
Q29tcGxpY2F0aW9ucy8qZGlldCB0aGVyYXB5PC9rZXl3b3JkPjxrZXl3b3JkPlByb2Jpb3RpY3Mv
KnRoZXJhcGV1dGljIHVzZTwva2V5d29yZD48a2V5d29yZD5XZWlnaHQgR2Fpbjwva2V5d29yZD48
L2tleXdvcmRzPjxkYXRlcz48eWVhcj4yMDE5PC95ZWFyPjxwdWItZGF0ZXM+PGRhdGU+TWFyPC9k
YXRlPjwvcHViLWRhdGVzPjwvZGF0ZXM+PGlzYm4+MTkzNS01NTQ4IChFbGVjdHJvbmljKSYjeEQ7
MDE0OS01OTkyIChMaW5raW5nKTwvaXNibj48YWNjZXNzaW9uLW51bT4zMDY1OTA3MDwvYWNjZXNz
aW9uLW51bT48dXJscz48cmVsYXRlZC11cmxzPjx1cmw+aHR0cHM6Ly93d3cubmNiaS5ubG0ubmlo
Lmdvdi9wdWJtZWQvMzA2NTkwNzA8L3VybD48L3JlbGF0ZWQtdXJscz48L3VybHM+PGVsZWN0cm9u
aWMtcmVzb3VyY2UtbnVtPjEwLjIzMzcvZGMxOC0yMjQ4PC9lbGVjdHJvbmljLXJlc291cmNlLW51
bT48L3JlY29yZD48L0NpdGU+PENpdGU+PEF1dGhvcj5MaW5kc2F5PC9BdXRob3I+PFllYXI+MjAx
NDwvWWVhcj48UmVjTnVtPjE4NDY8L1JlY051bT48cmVjb3JkPjxyZWMtbnVtYmVyPjE4NDY8L3Jl
Yy1udW1iZXI+PGZvcmVpZ24ta2V5cz48a2V5IGFwcD0iRU4iIGRiLWlkPSJleHZhc3JmeDJkdHJh
b2VzYXN4cDJzenN4YTJkZjUwMjU5MngiIHRpbWVzdGFtcD0iMTU4NzA5NzMzNiI+MTg0Njwva2V5
PjwvZm9yZWlnbi1rZXlzPjxyZWYtdHlwZSBuYW1lPSJKb3VybmFsIEFydGljbGUiPjE3PC9yZWYt
dHlwZT48Y29udHJpYnV0b3JzPjxhdXRob3JzPjxhdXRob3I+TGluZHNheSwgSy4gTC48L2F1dGhv
cj48YXV0aG9yPktlbm5lbGx5LCBNLjwvYXV0aG9yPjxhdXRob3I+Q3VsbGl0b24sIE0uPC9hdXRo
b3I+PGF1dGhvcj5TbWl0aCwgVC48L2F1dGhvcj48YXV0aG9yPk1hZ3VpcmUsIE8uIEMuPC9hdXRo
b3I+PGF1dGhvcj5TaGFuYWhhbiwgRi48L2F1dGhvcj48YXV0aG9yPkJyZW5uYW4sIEwuPC9hdXRo
b3I+PGF1dGhvcj5NY0F1bGlmZmUsIEYuIE0uPC9hdXRob3I+PC9hdXRob3JzPjwvY29udHJpYnV0
b3JzPjxhdXRoLWFkZHJlc3M+RnJvbSB0aGUgVW5pdmVyc2l0eSBDb2xsZWdlIER1YmxpbiAoVUNE
KSBPYnN0ZXRyaWNzIGFuZCBHeW5hZWNvbG9neSwgU2Nob29sIG9mIE1lZGljaW5lIGFuZCBNZWRp
Y2FsIFNjaWVuY2UsIFVDRCwgTmF0aW9uYWwgTWF0ZXJuaXR5IEhvc3BpdGFsLCBEdWJsaW4sIEly
ZWxhbmQgKEtMTCwgTUssIGFuZCBGTU0pOyBMYWJvcmF0b3J5IE1lZGljaW5lLCBOYXRpb25hbCBN
YXRlcm5pdHkgSG9zcGl0YWwsIER1YmxpbiwgSXJlbGFuZCAoTUMpOyB0aGUgRGVwYXJ0bWVudCBv
ZiBDbGluaWNhbCBDaGVtaXN0cnksIFN0IFZpbmNlbnQmYXBvcztzIFVuaXZlcnNpdHkgSG9zcGl0
YWwsIEVsbSBQYXJrLCBEdWJsaW4sIElyZWxhbmQgKFRTIGFuZCBPQ00pOyB0aGUgRGVwYXJ0bWVu
dCBvZiBNZWRpY2luZSwgQWxpbWVudGFyeSBhbmQgUGhhcm1hYmlvdGljIENlbnRyZSwgVW5pdmVy
c2l0eSBDb2xsZWdlIENvcmssIENvcmssIElyZWxhbmQgKEZTKTsgYW5kIHRoZSBJbnN0aXR1dGUg
b2YgRm9vZCBhbmQgSGVhbHRoLCBVQ0QgU2Nob29sIG9mIEFncmljdWx0dXJlIGFuZCBGb29kIFNj
aWVuY2UsIFVDRCwgQmVsZmllbGQsIER1YmxpbiwgSXJlbGFuZCAoTEIpLjwvYXV0aC1hZGRyZXNz
Pjx0aXRsZXM+PHRpdGxlPlByb2Jpb3RpY3MgaW4gb2Jlc2UgcHJlZ25hbmN5IGRvIG5vdCByZWR1
Y2UgbWF0ZXJuYWwgZmFzdGluZyBnbHVjb3NlOiBhIGRvdWJsZS1ibGluZCwgcGxhY2Viby1jb250
cm9sbGVkLCByYW5kb21pemVkIHRyaWFsIChQcm9iaW90aWNzIGluIFByZWduYW5jeSBTdHVkeSk8
L3RpdGxlPjxzZWNvbmRhcnktdGl0bGU+QW0gSiBDbGluIE51dHI8L3NlY29uZGFyeS10aXRsZT48
L3RpdGxlcz48cGVyaW9kaWNhbD48ZnVsbC10aXRsZT5BbSBKIENsaW4gTnV0cjwvZnVsbC10aXRs
ZT48L3BlcmlvZGljYWw+PHBhZ2VzPjE0MzItOTwvcGFnZXM+PHZvbHVtZT45OTwvdm9sdW1lPjxu
dW1iZXI+NjwvbnVtYmVyPjxlZGl0aW9uPjIwMTQvMDMvMjI8L2VkaXRpb24+PGtleXdvcmRzPjxr
ZXl3b3JkPkFkdWx0PC9rZXl3b3JkPjxrZXl3b3JkPkJvZHkgTWFzcyBJbmRleDwva2V5d29yZD48
a2V5d29yZD5Db2hvcnQgU3R1ZGllczwva2V5d29yZD48a2V5d29yZD5EaWFiZXRlcywgR2VzdGF0
aW9uYWwvZXBpZGVtaW9sb2d5L2V0aW9sb2d5L3ByZXZlbnRpb24gJmFtcDsgY29udHJvbDwva2V5
d29yZD48a2V5d29yZD5Eb3VibGUtQmxpbmQgTWV0aG9kPC9rZXl3b3JkPjxrZXl3b3JkPkZlbWFs
ZTwva2V5d29yZD48a2V5d29yZD5HbHVjb3NlIEludG9sZXJhbmNlL2VwaWRlbWlvbG9neS9ldGlv
bG9neS9wcmV2ZW50aW9uICZhbXA7IGNvbnRyb2w8L2tleXdvcmQ+PGtleXdvcmQ+SG9zcGl0YWxz
LCBNYXRlcm5pdHk8L2tleXdvcmQ+PGtleXdvcmQ+SHVtYW5zPC9rZXl3b3JkPjxrZXl3b3JkPkh5
cGVyZ2x5Y2VtaWEvZXBpZGVtaW9sb2d5L2V0aW9sb2d5LypwcmV2ZW50aW9uICZhbXA7IGNvbnRy
b2w8L2tleXdvcmQ+PGtleXdvcmQ+SW5jaWRlbmNlPC9rZXl3b3JkPjxrZXl3b3JkPklyZWxhbmQv
ZXBpZGVtaW9sb2d5PC9rZXl3b3JkPjxrZXl3b3JkPipMYWN0b2JhY2lsbHVzPC9rZXl3b3JkPjxr
ZXl3b3JkPipNYXRlcm5hbCBOdXRyaXRpb25hbCBQaHlzaW9sb2dpY2FsIFBoZW5vbWVuYTwva2V5
d29yZD48a2V5d29yZD5PYmVzaXR5L2Jsb29kLypkaWV0IHRoZXJhcHkvcGh5c2lvcGF0aG9sb2d5
PC9rZXl3b3JkPjxrZXl3b3JkPk91dHBhdGllbnQgQ2xpbmljcywgSG9zcGl0YWw8L2tleXdvcmQ+
PGtleXdvcmQ+UHJlZ25hbmN5PC9rZXl3b3JkPjxrZXl3b3JkPlByZWduYW5jeSBDb21wbGljYXRp
b25zL2Jsb29kLypkaWV0IHRoZXJhcHkvcGh5c2lvcGF0aG9sb2d5PC9rZXl3b3JkPjxrZXl3b3Jk
PlByb2Jpb3RpY3MvYWR2ZXJzZSBlZmZlY3RzLyp0aGVyYXBldXRpYyB1c2U8L2tleXdvcmQ+PGtl
eXdvcmQ+Umlzazwva2V5d29yZD48L2tleXdvcmRzPjxkYXRlcz48eWVhcj4yMDE0PC95ZWFyPjxw
dWItZGF0ZXM+PGRhdGU+SnVuPC9kYXRlPjwvcHViLWRhdGVzPjwvZGF0ZXM+PGlzYm4+MTkzOC0z
MjA3IChFbGVjdHJvbmljKSYjeEQ7MDAwMi05MTY1IChMaW5raW5nKTwvaXNibj48YWNjZXNzaW9u
LW51bT4yNDY0NjgxOTwvYWNjZXNzaW9uLW51bT48dXJscz48cmVsYXRlZC11cmxzPjx1cmw+aHR0
cHM6Ly93d3cubmNiaS5ubG0ubmloLmdvdi9wdWJtZWQvMjQ2NDY4MTk8L3VybD48L3JlbGF0ZWQt
dXJscz48L3VybHM+PGVsZWN0cm9uaWMtcmVzb3VyY2UtbnVtPjEwLjM5NDUvYWpjbi4xMTMuMDc5
NzIzPC9lbGVjdHJvbmljLXJlc291cmNlLW51bT48L3JlY29yZD48L0NpdGU+PC9FbmROb3RlPgB=
</w:fldData>
        </w:fldChar>
      </w:r>
      <w:r w:rsidR="002747EA">
        <w:instrText xml:space="preserve"> ADDIN EN.CITE </w:instrText>
      </w:r>
      <w:r w:rsidR="002747EA">
        <w:fldChar w:fldCharType="begin">
          <w:fldData xml:space="preserve">PEVuZE5vdGU+PENpdGU+PEF1dGhvcj5Pa2VzZW5lLUdhZmE8L0F1dGhvcj48WWVhcj4yMDE5PC9Z
ZWFyPjxSZWNOdW0+MTM5MDwvUmVjTnVtPjxEaXNwbGF5VGV4dD48c3R5bGUgZmFjZT0ic3VwZXJz
Y3JpcHQiIGZvbnQ9IlRyZWJ1Y2hldCBNUyIgc2l6ZT0iOSI+MjI4LDIzMiwyMzY8L3N0eWxlPjwv
RGlzcGxheVRleHQ+PHJlY29yZD48cmVjLW51bWJlcj4xMzkwPC9yZWMtbnVtYmVyPjxmb3JlaWdu
LWtleXM+PGtleSBhcHA9IkVOIiBkYi1pZD0iZXh2YXNyZngyZHRyYW9lc2FzeHAyc3pzeGEyZGY1
MDI1OTJ4IiB0aW1lc3RhbXA9IjE1Njc3NDYxMTYiPjEzOTA8L2tleT48a2V5IGFwcD0iRU5XZWIi
IGRiLWlkPSIiPjA8L2tleT48L2ZvcmVpZ24ta2V5cz48cmVmLXR5cGUgbmFtZT0iSm91cm5hbCBB
cnRpY2xlIj4xNzwvcmVmLXR5cGU+PGNvbnRyaWJ1dG9ycz48YXV0aG9ycz48YXV0aG9yPk9rZXNl
bmUtR2FmYSwgSy5BLk0uLDwvYXV0aG9yPjxhdXRob3I+TGksIE0uLDwvYXV0aG9yPjxhdXRob3I+
TWNLaW5sYXksIEMuSi5ELiw8L2F1dGhvcj48YXV0aG9yPlRheWxvciwgUi5TLiw8L2F1dGhvcj48
YXV0aG9yPlJ1c2gsIEUuQy4sPC9hdXRob3I+PGF1dGhvcj5XYWxsLCBDLlIuLDwvYXV0aG9yPjxh
dXRob3I+V2lsc29uLCBKLiw8L2F1dGhvcj48YXV0aG9yPk11cnBoeSwgUi4sPC9hdXRob3I+PGF1
dGhvcj5UYXlsb3IsIFIuLDwvYXV0aG9yPjxhdXRob3I+VGhvbXBzb24sIEouTS5ELiw8L2F1dGhv
cj48YXV0aG9yPkNyb3d0aGVyLCBDLkEuLDwvYXV0aG9yPjxhdXRob3I+TWNDb3dhbiwgTC5NLkUu
LDwvYXV0aG9yPjwvYXV0aG9ycz48L2NvbnRyaWJ1dG9ycz48YXV0aC1hZGRyZXNzPkRlcGFydG1l
bnQgb2YgT2JzdGV0cmljcyBhbmQgR3luYWVjb2xvZ3ksIFVuaXZlcnNpdHkgb2YgQXVja2xhbmQs
IEF1Y2tsYW5kLCBOZXcgWmVhbGFuZDsgRmFjdWx0eSBvZiBNZWRpY2FsIGFuZCBIZWFsdGggU2Np
ZW5jZXMsIFVuaXZlcnNpdHkgb2YgQXVja2xhbmQsIEF1Y2tsYW5kLCBOZXcgWmVhbGFuZDsgTWlk
ZGxlbW9yZSBIb3NwaXRhbCwgU291dGggQXVja2xhbmQsIE5ldyBaZWFsYW5kLiBFbGVjdHJvbmlj
IGFkZHJlc3M6IGsub2tlc2VuZS1nYWZhQGF1Y2tsYW5kLmFjLm56LiYjeEQ7RGVwYXJ0bWVudCBv
ZiBPYnN0ZXRyaWNzIGFuZCBHeW5hZWNvbG9neSwgVW5pdmVyc2l0eSBvZiBBdWNrbGFuZCwgQXVj
a2xhbmQsIE5ldyBaZWFsYW5kOyBGYWN1bHR5IG9mIE1lZGljYWwgYW5kIEhlYWx0aCBTY2llbmNl
cywgVW5pdmVyc2l0eSBvZiBBdWNrbGFuZCwgQXVja2xhbmQsIE5ldyBaZWFsYW5kLiYjeEQ7RGVw
YXJ0bWVudCBvZiBQYWVkaWF0cmljcywgQ2hpbGQgYW5kIFlvdXRoIEhlYWx0aCwgVW5pdmVyc2l0
eSBvZiBBdWNrbGFuZCwgQXVja2xhbmQsIE5ldyBaZWFsYW5kOyBMaWdnaW5zIEluc3RpdHV0ZSwg
VW5pdmVyc2l0eSBvZiBBdWNrbGFuZCwgQXVja2xhbmQsIE5ldyBaZWFsYW5kOyBLaWR6IEZpcnN0
IE5lb25hdGFsIENhcmUsIENvdW50aWVzIE1hbnVrYXUgSGVhbHRoLCBBdWNrbGFuZCwgTmV3IFpl
YWxhbmQuJiN4RDtGYWN1bHR5IG9mIEhlYWx0aCBhbmQgRW52aXJvbm1lbnRhbCBTY2llbmNlLCBB
dWNrbGFuZCBVbml2ZXJzaXR5IG9mIFRlY2hub2xvZ3ksIEF1Y2tsYW5kLCBOZXcgWmVhbGFuZC4m
I3hEO0ZhY3VsdHkgb2YgTWVkaWNhbCBhbmQgSGVhbHRoIFNjaWVuY2VzLCBVbml2ZXJzaXR5IG9m
IEF1Y2tsYW5kLCBBdWNrbGFuZCwgTmV3IFplYWxhbmQuJiN4RDtGYWN1bHR5IG9mIE1lZGljYWwg
YW5kIEhlYWx0aCBTY2llbmNlcywgVW5pdmVyc2l0eSBvZiBBdWNrbGFuZCwgQXVja2xhbmQsIE5l
dyBaZWFsYW5kOyBEZXBhcnRtZW50IG9mIFBhZWRpYXRyaWNzLCBDaGlsZCBhbmQgWW91dGggSGVh
bHRoLCBVbml2ZXJzaXR5IG9mIEF1Y2tsYW5kLCBBdWNrbGFuZCwgTmV3IFplYWxhbmQuJiN4RDtE
ZXBhcnRtZW50IG9mIE1lZGljaW5lLCBTY2hvb2wgb2YgTWVkaWNpbmUsIFVuaXZlcnNpdHkgb2Yg
QXVja2xhbmQsIEF1Y2tsYW5kLCBOZXcgWmVhbGFuZC4mI3hEO0RlcGFydG1lbnQgb2YgTWVkaWNp
bmUsIFVuaXZlcnNpdHkgb2YgT3RhZ28sIER1bmVkaW4sIE5ldyBaZWFsYW5kLiYjeEQ7TGlnZ2lu
cyBJbnN0aXR1dGUsIFVuaXZlcnNpdHkgb2YgQXVja2xhbmQsIEF1Y2tsYW5kLCBOZXcgWmVhbGFu
ZC48L2F1dGgtYWRkcmVzcz48dGl0bGVzPjx0aXRsZT5FZmZlY3Qgb2YgYW50ZW5hdGFsIGRpZXRh
cnkgaW50ZXJ2ZW50aW9ucyBpbiBtYXRlcm5hbCBvYmVzaXR5IG9uIHByZWduYW5jeSB3ZWlnaHQt
Z2FpbiBhbmQgYmlydGh3ZWlnaHQ6IEhlYWx0aHkgTXVtcyBhbmQgQmFiaWVzIChIVU1CQSkgcmFu
ZG9taXplZCB0cmlhbDwvdGl0bGU+PHNlY29uZGFyeS10aXRsZT5BbSBKIE9ic3RldCBHeW5lY29s
PC9zZWNvbmRhcnktdGl0bGU+PC90aXRsZXM+PHBlcmlvZGljYWw+PGZ1bGwtdGl0bGU+QW0gSiBP
YnN0ZXQgR3luZWNvbDwvZnVsbC10aXRsZT48L3BlcmlvZGljYWw+PHBhZ2VzPjE1MiBlMS0xNTIg
ZTEzPC9wYWdlcz48dm9sdW1lPjIyMTwvdm9sdW1lPjxudW1iZXI+MjwvbnVtYmVyPjxlZGl0aW9u
PjIwMTkvMDMvMTg8L2VkaXRpb24+PGtleXdvcmRzPjxrZXl3b3JkPmNvbW11bml0eSBoZWFsdGgg
d29ya2VyPC9rZXl3b3JkPjxrZXl3b3JkPmdlc3RhdGlvbmFsIHdlaWdodCBnYWluPC9rZXl3b3Jk
PjxrZXl3b3JkPnByb2Jpb3RpY3M8L2tleXdvcmQ+PGtleXdvcmQ+dGV4dCBtZXNzYWdpbmc8L2tl
eXdvcmQ+PC9rZXl3b3Jkcz48ZGF0ZXM+PHllYXI+MjAxOTwveWVhcj48cHViLWRhdGVzPjxkYXRl
PkF1ZzwvZGF0ZT48L3B1Yi1kYXRlcz48L2RhdGVzPjxpc2JuPjEwOTctNjg2OCAoRWxlY3Ryb25p
YykmI3hEOzAwMDItOTM3OCAoTGlua2luZyk8L2lzYm4+PGFjY2Vzc2lvbi1udW0+MzA4NzgzMjM8
L2FjY2Vzc2lvbi1udW0+PHVybHM+PHJlbGF0ZWQtdXJscz48dXJsPmh0dHBzOi8vd3d3Lm5jYmku
bmxtLm5paC5nb3YvcHVibWVkLzMwODc4MzIzPC91cmw+PC9yZWxhdGVkLXVybHM+PC91cmxzPjxl
bGVjdHJvbmljLXJlc291cmNlLW51bT4xMC4xMDE2L2ouYWpvZy4yMDE5LjAzLjAwMzwvZWxlY3Ry
b25pYy1yZXNvdXJjZS1udW0+PC9yZWNvcmQ+PC9DaXRlPjxDaXRlPjxBdXRob3I+Q2FsbGF3YXk8
L0F1dGhvcj48WWVhcj4yMDE5PC9ZZWFyPjxSZWNOdW0+MTY0OTwvUmVjTnVtPjxyZWNvcmQ+PHJl
Yy1udW1iZXI+MTY0OTwvcmVjLW51bWJlcj48Zm9yZWlnbi1rZXlzPjxrZXkgYXBwPSJFTiIgZGIt
aWQ9ImV4dmFzcmZ4MmR0cmFvZXNhc3hwMnN6c3hhMmRmNTAyNTkyeCIgdGltZXN0YW1wPSIxNTgx
MzEyNjk4Ij4xNjQ5PC9rZXk+PGtleSBhcHA9IkVOV2ViIiBkYi1pZD0iIj4wPC9rZXk+PC9mb3Jl
aWduLWtleXM+PHJlZi10eXBlIG5hbWU9IkpvdXJuYWwgQXJ0aWNsZSI+MTc8L3JlZi10eXBlPjxj
b250cmlidXRvcnM+PGF1dGhvcnM+PGF1dGhvcj5DYWxsYXdheSwgTC4gSy48L2F1dGhvcj48YXV0
aG9yPk1jSW50eXJlLCBILiBELjwvYXV0aG9yPjxhdXRob3I+QmFycmV0dCwgSC4gTC48L2F1dGhv
cj48YXV0aG9yPkZveGNyb2Z0LCBLLjwvYXV0aG9yPjxhdXRob3I+VHJlbWVsbGVuLCBBLjwvYXV0
aG9yPjxhdXRob3I+TGluZ3dvb2QsIEIuIEUuPC9hdXRob3I+PGF1dGhvcj5Ub2JpbiwgSi4gTS48
L2F1dGhvcj48YXV0aG9yPldpbGtpbnNvbiwgUy48L2F1dGhvcj48YXV0aG9yPktvdGhhcmksIEEu
PC9hdXRob3I+PGF1dGhvcj5Nb3JyaXNvbiwgTS48L2F1dGhvcj48YXV0aG9yPk8mYXBvcztSb3Vy
a2UsIFAuPC9hdXRob3I+PGF1dGhvcj5QZWxlY2Fub3MsIEEuPC9hdXRob3I+PGF1dGhvcj5EZWtr
ZXIgTml0ZXJ0LCBNLjwvYXV0aG9yPjwvYXV0aG9ycz48L2NvbnRyaWJ1dG9ycz48YXV0aC1hZGRy
ZXNzPldvbWVuJmFwb3M7cyBhbmQgTmV3Ym9ybiBTZXJ2aWNlcywgUm95YWwgQnJpc2JhbmUgYW5k
IFdvbWVuJmFwb3M7cyBIb3NwaXRhbCwgSGVyc3RvbiwgQXVzdHJhbGlhIGwuY2FsbGF3YXlAdXEu
ZWR1LmF1LiYjeEQ7RmFjdWx0eSBvZiBNZWRpY2luZSwgVGhlIFVuaXZlcnNpdHkgb2YgUXVlZW5z
bGFuZCwgSGVyc3RvbiwgQXVzdHJhbGlhLiYjeEQ7TWF0ZXIgTWVkaWNhbCBSZXNlYXJjaCBJbnN0
aXR1dGUsIFNvdXRoIEJyaXNiYW5lLCBBdXN0cmFsaWEuJiN4RDtXb21lbiZhcG9zO3MgYW5kIE5l
d2Jvcm4gU2VydmljZXMsIFJveWFsIEJyaXNiYW5lIGFuZCBXb21lbiZhcG9zO3MgSG9zcGl0YWws
IEhlcnN0b24sIEF1c3RyYWxpYS4mI3hEO0phbWVzIENvb2sgVW5pdmVyc2l0eSwgTWFja2F5LCBB
dXN0cmFsaWEuJiN4RDtEZXBhcnRtZW50IG9mIE51dHJpdGlvbiBhbmQgRGlldGV0aWNzLCBNYXRl
ciBHcm91cCwgU291dGggQnJpc2JhbmUsIEF1c3RyYWxpYS4mI3hEO1JlZGNsaWZmZSBIb3NwaXRh
bCwgUmVkY2xpZmZlLCBBdXN0cmFsaWEuJiN4RDtGYWN1bHR5IG9mIE1lZGljaW5lLCBVbml2ZXJz
aXR5IG9mIFF1ZWVuc2xhbmQgRGlhbWFudGluYSBJbnN0aXR1dGUsIFRyYW5zbGF0aW9uYWwgUmVz
ZWFyY2ggSW5zdGl0dXRlLCBXb29sbG9vbmdhYmJhLCBBdXN0cmFsaWEuJiN4RDtRSU1SIEJlcmdo
b2ZlciBNZWRpY2FsIFJlc2VhcmNoIEluc3RpdHV0ZSwgSGVyc3RvbiwgQXVzdHJhbGlhLiYjeEQ7
U2Nob29sIG9mIENoZW1pc3RyeSBhbmQgTW9sZWN1bGFyIEJpb3NjaWVuY2VzLCBUaGUgVW5pdmVy
c2l0eSBvZiBRdWVlbnNsYW5kLCBTdCBMdWNpYSwgQXVzdHJhbGlhLjwvYXV0aC1hZGRyZXNzPjx0
aXRsZXM+PHRpdGxlPlByb2Jpb3RpY3MgZm9yIHRoZSBwcmV2ZW50aW9uIG9mIGdlc3RhdGlvbmFs
IGRpYWJldGVzIG1lbGxpdHVzIGluIG92ZXJ3ZWlnaHQgYW5kIG9iZXNlIHdvbWVuOiBGaW5kaW5n
cyBmcm9tIHRoZSBTUFJJTkcgZG91YmxlLWJsaW5kIHJhbmRvbWl6ZWQgY29udHJvbGxlZCB0cmlh
bDwvdGl0bGU+PHNlY29uZGFyeS10aXRsZT5EaWFiZXRlcyBDYXJlPC9zZWNvbmRhcnktdGl0bGU+
PC90aXRsZXM+PHBlcmlvZGljYWw+PGZ1bGwtdGl0bGU+RGlhYmV0ZXMgQ2FyZTwvZnVsbC10aXRs
ZT48L3BlcmlvZGljYWw+PHBhZ2VzPjM2NC0zNzE8L3BhZ2VzPjx2b2x1bWU+NDI8L3ZvbHVtZT48
bnVtYmVyPjM8L251bWJlcj48ZWRpdGlvbj4yMDE5LzAxLzIwPC9lZGl0aW9uPjxrZXl3b3Jkcz48
a2V5d29yZD5BZHVsdDwva2V5d29yZD48a2V5d29yZD5BdXN0cmFsaWE8L2tleXdvcmQ+PGtleXdv
cmQ+RGlhYmV0ZXMsIEdlc3RhdGlvbmFsL2Jsb29kLypwcmV2ZW50aW9uICZhbXA7IGNvbnRyb2w8
L2tleXdvcmQ+PGtleXdvcmQ+RG91YmxlLUJsaW5kIE1ldGhvZDwva2V5d29yZD48a2V5d29yZD5G
ZW1hbGU8L2tleXdvcmQ+PGtleXdvcmQ+R2FzdHJvaW50ZXN0aW5hbCBNaWNyb2Jpb21lPC9rZXl3
b3JkPjxrZXl3b3JkPkdsdWNvc2UgVG9sZXJhbmNlIFRlc3Q8L2tleXdvcmQ+PGtleXdvcmQ+SHVt
YW5zPC9rZXl3b3JkPjxrZXl3b3JkPk9iZXNpdHkvY29tcGxpY2F0aW9ucy8qZGlldCB0aGVyYXB5
PC9rZXl3b3JkPjxrZXl3b3JkPk92ZXJ3ZWlnaHQvY29tcGxpY2F0aW9ucy8qZGlldCB0aGVyYXB5
PC9rZXl3b3JkPjxrZXl3b3JkPlByZWduYW5jeTwva2V5d29yZD48a2V5d29yZD5QcmVnbmFuY3kg
Q29tcGxpY2F0aW9ucy8qZGlldCB0aGVyYXB5PC9rZXl3b3JkPjxrZXl3b3JkPlByb2Jpb3RpY3Mv
KnRoZXJhcGV1dGljIHVzZTwva2V5d29yZD48a2V5d29yZD5XZWlnaHQgR2Fpbjwva2V5d29yZD48
L2tleXdvcmRzPjxkYXRlcz48eWVhcj4yMDE5PC95ZWFyPjxwdWItZGF0ZXM+PGRhdGU+TWFyPC9k
YXRlPjwvcHViLWRhdGVzPjwvZGF0ZXM+PGlzYm4+MTkzNS01NTQ4IChFbGVjdHJvbmljKSYjeEQ7
MDE0OS01OTkyIChMaW5raW5nKTwvaXNibj48YWNjZXNzaW9uLW51bT4zMDY1OTA3MDwvYWNjZXNz
aW9uLW51bT48dXJscz48cmVsYXRlZC11cmxzPjx1cmw+aHR0cHM6Ly93d3cubmNiaS5ubG0ubmlo
Lmdvdi9wdWJtZWQvMzA2NTkwNzA8L3VybD48L3JlbGF0ZWQtdXJscz48L3VybHM+PGVsZWN0cm9u
aWMtcmVzb3VyY2UtbnVtPjEwLjIzMzcvZGMxOC0yMjQ4PC9lbGVjdHJvbmljLXJlc291cmNlLW51
bT48L3JlY29yZD48L0NpdGU+PENpdGU+PEF1dGhvcj5MaW5kc2F5PC9BdXRob3I+PFllYXI+MjAx
NDwvWWVhcj48UmVjTnVtPjE4NDY8L1JlY051bT48cmVjb3JkPjxyZWMtbnVtYmVyPjE4NDY8L3Jl
Yy1udW1iZXI+PGZvcmVpZ24ta2V5cz48a2V5IGFwcD0iRU4iIGRiLWlkPSJleHZhc3JmeDJkdHJh
b2VzYXN4cDJzenN4YTJkZjUwMjU5MngiIHRpbWVzdGFtcD0iMTU4NzA5NzMzNiI+MTg0Njwva2V5
PjwvZm9yZWlnbi1rZXlzPjxyZWYtdHlwZSBuYW1lPSJKb3VybmFsIEFydGljbGUiPjE3PC9yZWYt
dHlwZT48Y29udHJpYnV0b3JzPjxhdXRob3JzPjxhdXRob3I+TGluZHNheSwgSy4gTC48L2F1dGhv
cj48YXV0aG9yPktlbm5lbGx5LCBNLjwvYXV0aG9yPjxhdXRob3I+Q3VsbGl0b24sIE0uPC9hdXRo
b3I+PGF1dGhvcj5TbWl0aCwgVC48L2F1dGhvcj48YXV0aG9yPk1hZ3VpcmUsIE8uIEMuPC9hdXRo
b3I+PGF1dGhvcj5TaGFuYWhhbiwgRi48L2F1dGhvcj48YXV0aG9yPkJyZW5uYW4sIEwuPC9hdXRo
b3I+PGF1dGhvcj5NY0F1bGlmZmUsIEYuIE0uPC9hdXRob3I+PC9hdXRob3JzPjwvY29udHJpYnV0
b3JzPjxhdXRoLWFkZHJlc3M+RnJvbSB0aGUgVW5pdmVyc2l0eSBDb2xsZWdlIER1YmxpbiAoVUNE
KSBPYnN0ZXRyaWNzIGFuZCBHeW5hZWNvbG9neSwgU2Nob29sIG9mIE1lZGljaW5lIGFuZCBNZWRp
Y2FsIFNjaWVuY2UsIFVDRCwgTmF0aW9uYWwgTWF0ZXJuaXR5IEhvc3BpdGFsLCBEdWJsaW4sIEly
ZWxhbmQgKEtMTCwgTUssIGFuZCBGTU0pOyBMYWJvcmF0b3J5IE1lZGljaW5lLCBOYXRpb25hbCBN
YXRlcm5pdHkgSG9zcGl0YWwsIER1YmxpbiwgSXJlbGFuZCAoTUMpOyB0aGUgRGVwYXJ0bWVudCBv
ZiBDbGluaWNhbCBDaGVtaXN0cnksIFN0IFZpbmNlbnQmYXBvcztzIFVuaXZlcnNpdHkgSG9zcGl0
YWwsIEVsbSBQYXJrLCBEdWJsaW4sIElyZWxhbmQgKFRTIGFuZCBPQ00pOyB0aGUgRGVwYXJ0bWVu
dCBvZiBNZWRpY2luZSwgQWxpbWVudGFyeSBhbmQgUGhhcm1hYmlvdGljIENlbnRyZSwgVW5pdmVy
c2l0eSBDb2xsZWdlIENvcmssIENvcmssIElyZWxhbmQgKEZTKTsgYW5kIHRoZSBJbnN0aXR1dGUg
b2YgRm9vZCBhbmQgSGVhbHRoLCBVQ0QgU2Nob29sIG9mIEFncmljdWx0dXJlIGFuZCBGb29kIFNj
aWVuY2UsIFVDRCwgQmVsZmllbGQsIER1YmxpbiwgSXJlbGFuZCAoTEIpLjwvYXV0aC1hZGRyZXNz
Pjx0aXRsZXM+PHRpdGxlPlByb2Jpb3RpY3MgaW4gb2Jlc2UgcHJlZ25hbmN5IGRvIG5vdCByZWR1
Y2UgbWF0ZXJuYWwgZmFzdGluZyBnbHVjb3NlOiBhIGRvdWJsZS1ibGluZCwgcGxhY2Viby1jb250
cm9sbGVkLCByYW5kb21pemVkIHRyaWFsIChQcm9iaW90aWNzIGluIFByZWduYW5jeSBTdHVkeSk8
L3RpdGxlPjxzZWNvbmRhcnktdGl0bGU+QW0gSiBDbGluIE51dHI8L3NlY29uZGFyeS10aXRsZT48
L3RpdGxlcz48cGVyaW9kaWNhbD48ZnVsbC10aXRsZT5BbSBKIENsaW4gTnV0cjwvZnVsbC10aXRs
ZT48L3BlcmlvZGljYWw+PHBhZ2VzPjE0MzItOTwvcGFnZXM+PHZvbHVtZT45OTwvdm9sdW1lPjxu
dW1iZXI+NjwvbnVtYmVyPjxlZGl0aW9uPjIwMTQvMDMvMjI8L2VkaXRpb24+PGtleXdvcmRzPjxr
ZXl3b3JkPkFkdWx0PC9rZXl3b3JkPjxrZXl3b3JkPkJvZHkgTWFzcyBJbmRleDwva2V5d29yZD48
a2V5d29yZD5Db2hvcnQgU3R1ZGllczwva2V5d29yZD48a2V5d29yZD5EaWFiZXRlcywgR2VzdGF0
aW9uYWwvZXBpZGVtaW9sb2d5L2V0aW9sb2d5L3ByZXZlbnRpb24gJmFtcDsgY29udHJvbDwva2V5
d29yZD48a2V5d29yZD5Eb3VibGUtQmxpbmQgTWV0aG9kPC9rZXl3b3JkPjxrZXl3b3JkPkZlbWFs
ZTwva2V5d29yZD48a2V5d29yZD5HbHVjb3NlIEludG9sZXJhbmNlL2VwaWRlbWlvbG9neS9ldGlv
bG9neS9wcmV2ZW50aW9uICZhbXA7IGNvbnRyb2w8L2tleXdvcmQ+PGtleXdvcmQ+SG9zcGl0YWxz
LCBNYXRlcm5pdHk8L2tleXdvcmQ+PGtleXdvcmQ+SHVtYW5zPC9rZXl3b3JkPjxrZXl3b3JkPkh5
cGVyZ2x5Y2VtaWEvZXBpZGVtaW9sb2d5L2V0aW9sb2d5LypwcmV2ZW50aW9uICZhbXA7IGNvbnRy
b2w8L2tleXdvcmQ+PGtleXdvcmQ+SW5jaWRlbmNlPC9rZXl3b3JkPjxrZXl3b3JkPklyZWxhbmQv
ZXBpZGVtaW9sb2d5PC9rZXl3b3JkPjxrZXl3b3JkPipMYWN0b2JhY2lsbHVzPC9rZXl3b3JkPjxr
ZXl3b3JkPipNYXRlcm5hbCBOdXRyaXRpb25hbCBQaHlzaW9sb2dpY2FsIFBoZW5vbWVuYTwva2V5
d29yZD48a2V5d29yZD5PYmVzaXR5L2Jsb29kLypkaWV0IHRoZXJhcHkvcGh5c2lvcGF0aG9sb2d5
PC9rZXl3b3JkPjxrZXl3b3JkPk91dHBhdGllbnQgQ2xpbmljcywgSG9zcGl0YWw8L2tleXdvcmQ+
PGtleXdvcmQ+UHJlZ25hbmN5PC9rZXl3b3JkPjxrZXl3b3JkPlByZWduYW5jeSBDb21wbGljYXRp
b25zL2Jsb29kLypkaWV0IHRoZXJhcHkvcGh5c2lvcGF0aG9sb2d5PC9rZXl3b3JkPjxrZXl3b3Jk
PlByb2Jpb3RpY3MvYWR2ZXJzZSBlZmZlY3RzLyp0aGVyYXBldXRpYyB1c2U8L2tleXdvcmQ+PGtl
eXdvcmQ+Umlzazwva2V5d29yZD48L2tleXdvcmRzPjxkYXRlcz48eWVhcj4yMDE0PC95ZWFyPjxw
dWItZGF0ZXM+PGRhdGU+SnVuPC9kYXRlPjwvcHViLWRhdGVzPjwvZGF0ZXM+PGlzYm4+MTkzOC0z
MjA3IChFbGVjdHJvbmljKSYjeEQ7MDAwMi05MTY1IChMaW5raW5nKTwvaXNibj48YWNjZXNzaW9u
LW51bT4yNDY0NjgxOTwvYWNjZXNzaW9uLW51bT48dXJscz48cmVsYXRlZC11cmxzPjx1cmw+aHR0
cHM6Ly93d3cubmNiaS5ubG0ubmloLmdvdi9wdWJtZWQvMjQ2NDY4MTk8L3VybD48L3JlbGF0ZWQt
dXJscz48L3VybHM+PGVsZWN0cm9uaWMtcmVzb3VyY2UtbnVtPjEwLjM5NDUvYWpjbi4xMTMuMDc5
NzIzPC9lbGVjdHJvbmljLXJlc291cmNlLW51bT48L3JlY29yZD48L0NpdGU+PC9FbmROb3RlPgB=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228,232,236</w:t>
      </w:r>
      <w:r w:rsidR="00AB21E2">
        <w:fldChar w:fldCharType="end"/>
      </w:r>
      <w:r w:rsidR="00D76EA6">
        <w:t xml:space="preserve"> women colonised with Group B streptococcus,</w:t>
      </w:r>
      <w:r w:rsidR="00AB21E2">
        <w:fldChar w:fldCharType="begin">
          <w:fldData xml:space="preserve">PEVuZE5vdGU+PENpdGU+PEF1dGhvcj5IbzwvQXV0aG9yPjxZZWFyPjIwMTY8L1llYXI+PFJlY051
bT4xNjU2PC9SZWNOdW0+PERpc3BsYXlUZXh0PjxzdHlsZSBmYWNlPSJzdXBlcnNjcmlwdCIgZm9u
dD0iVHJlYnVjaGV0IE1TIiBzaXplPSI5Ij4yMzAsMjM1PC9zdHlsZT48L0Rpc3BsYXlUZXh0Pjxy
ZWNvcmQ+PHJlYy1udW1iZXI+MTY1NjwvcmVjLW51bWJlcj48Zm9yZWlnbi1rZXlzPjxrZXkgYXBw
PSJFTiIgZGItaWQ9ImV4dmFzcmZ4MmR0cmFvZXNhc3hwMnN6c3hhMmRmNTAyNTkyeCIgdGltZXN0
YW1wPSIxNTgxMzEyNzUxIj4xNjU2PC9rZXk+PGtleSBhcHA9IkVOV2ViIiBkYi1pZD0iIj4wPC9r
ZXk+PC9mb3JlaWduLWtleXM+PHJlZi10eXBlIG5hbWU9IkpvdXJuYWwgQXJ0aWNsZSI+MTc8L3Jl
Zi10eXBlPjxjb250cmlidXRvcnM+PGF1dGhvcnM+PGF1dGhvcj5IbywgTS48L2F1dGhvcj48YXV0
aG9yPkNoYW5nLCBZLiBZLjwvYXV0aG9yPjxhdXRob3I+Q2hhbmcsIFcuIEMuPC9hdXRob3I+PGF1
dGhvcj5MaW4sIEguIEMuPC9hdXRob3I+PGF1dGhvcj5XYW5nLCBNLiBILjwvYXV0aG9yPjxhdXRo
b3I+TGluLCBXLiBDLjwvYXV0aG9yPjxhdXRob3I+Q2hpdSwgVC4gSC48L2F1dGhvcj48L2F1dGhv
cnM+PC9jb250cmlidXRvcnM+PGF1dGgtYWRkcmVzcz5EZXBhcnRtZW50IG9mIE9ic3RldHJpY3Mg
YW5kIEd5bmVjb2xvZ3ksIENoaW5hIE1lZGljYWwgVW5pdmVyc2l0eSBIb3NwaXRhbCwgQ2hpbmEg
TWVkaWNhbCBVbml2ZXJzaXR5LCBUYWljaHVuZyA0MDQwMiwgVGFpd2FuLiYjeEQ7RGVwYXJ0bWVu
dCBvZiBQZWRpYXRyaWNzLCBDaGluYSBNZWRpY2FsIFVuaXZlcnNpdHkgSG9zcGl0YWwsIENoaW5h
IE1lZGljYWwgVW5pdmVyc2l0eSwgVGFpY2h1bmcgNDA0MDIsIFRhaXdhbi4mI3hEO0RlcGFydG1l
bnQgb2YgT2JzdGV0cmljcyBhbmQgR3luZWNvbG9neSwgQ2hpbmEgTWVkaWNhbCBVbml2ZXJzaXR5
IEhvc3BpdGFsLCBDaGluYSBNZWRpY2FsIFVuaXZlcnNpdHksIFRhaWNodW5nIDQwNDAyLCBUYWl3
YW4uIEVsZWN0cm9uaWMgYWRkcmVzczogZDQ3OThAbWFpbC5jbXVoLm9yZy50dy48L2F1dGgtYWRk
cmVzcz48dGl0bGVzPjx0aXRsZT5PcmFsIExhY3RvYmFjaWxsdXMgcmhhbW5vc3VzIEdSLTEgYW5k
IExhY3RvYmFjaWxsdXMgcmV1dGVyaSBSQy0xNCB0byByZWR1Y2UgR3JvdXAgQiBTdHJlcHRvY29j
Y3VzIGNvbG9uaXphdGlvbiBpbiBwcmVnbmFudCB3b21lbjogQSByYW5kb21pemVkIGNvbnRyb2xs
ZWQgdHJpYWw8L3RpdGxlPjxzZWNvbmRhcnktdGl0bGU+VGFpd2FuIEogT2JzdGV0IEd5bmVjb2w8
L3NlY29uZGFyeS10aXRsZT48L3RpdGxlcz48cGVyaW9kaWNhbD48ZnVsbC10aXRsZT5UYWl3YW4g
SiBPYnN0ZXQgR3luZWNvbDwvZnVsbC10aXRsZT48L3BlcmlvZGljYWw+PHBhZ2VzPjUxNS04PC9w
YWdlcz48dm9sdW1lPjU1PC92b2x1bWU+PG51bWJlcj40PC9udW1iZXI+PGVkaXRpb24+MjAxNi8w
OS8wNDwvZWRpdGlvbj48a2V5d29yZHM+PGtleXdvcmQ+QWR1bHQ8L2tleXdvcmQ+PGtleXdvcmQ+
RG91YmxlLUJsaW5kIE1ldGhvZDwva2V5d29yZD48a2V5d29yZD5GZW1hbGU8L2tleXdvcmQ+PGtl
eXdvcmQ+SHVtYW5zPC9rZXl3b3JkPjxrZXl3b3JkPkluZmVjdGlvdXMgRGlzZWFzZSBUcmFuc21p
c3Npb24sIFZlcnRpY2FsL3ByZXZlbnRpb24gJmFtcDsgY29udHJvbDwva2V5d29yZD48a2V5d29y
ZD4qTGFjdG9iYWNpbGx1cyByZXV0ZXJpPC9rZXl3b3JkPjxrZXl3b3JkPipMYWN0b2JhY2lsbHVz
IHJoYW1ub3N1czwva2V5d29yZD48a2V5d29yZD5QcmVnbmFuY3k8L2tleXdvcmQ+PGtleXdvcmQ+
KlByZWduYW5jeSBUcmltZXN0ZXIsIFRoaXJkPC9rZXl3b3JkPjxrZXl3b3JkPlByb2Jpb3RpY3Mv
KnRoZXJhcGV1dGljIHVzZTwva2V5d29yZD48a2V5d29yZD5Qcm9zcGVjdGl2ZSBTdHVkaWVzPC9r
ZXl3b3JkPjxrZXl3b3JkPlJlY3R1bS9taWNyb2Jpb2xvZ3k8L2tleXdvcmQ+PGtleXdvcmQ+U3Ry
ZXB0b2NvY2NhbCBJbmZlY3Rpb25zL21pY3JvYmlvbG9neS9wcmV2ZW50aW9uICZhbXA7IGNvbnRy
b2wvdHJhbnNtaXNzaW9uPC9rZXl3b3JkPjxrZXl3b3JkPlN0cmVwdG9jb2NjdXMgYWdhbGFjdGlh
ZS8qZ3Jvd3RoICZhbXA7IGRldmVsb3BtZW50PC9rZXl3b3JkPjxrZXl3b3JkPlZhZ2luYS9taWNy
b2Jpb2xvZ3k8L2tleXdvcmQ+PGtleXdvcmQ+KkdCUyBjb2xvbml6YXRpb248L2tleXdvcmQ+PGtl
eXdvcmQ+KkdCUyBpbmZlY3Rpb248L2tleXdvcmQ+PGtleXdvcmQ+KmludHJhcGFydHVtIGFudGli
aW90aWM8L2tleXdvcmQ+PGtleXdvcmQ+Km9yYWwgcHJvYmlvdGljczwva2V5d29yZD48L2tleXdv
cmRzPjxkYXRlcz48eWVhcj4yMDE2PC95ZWFyPjxwdWItZGF0ZXM+PGRhdGU+QXVnPC9kYXRlPjwv
cHViLWRhdGVzPjwvZGF0ZXM+PGlzYm4+MTg3NS02MjYzIChFbGVjdHJvbmljKSYjeEQ7MTAyOC00
NTU5IChMaW5raW5nKTwvaXNibj48YWNjZXNzaW9uLW51bT4yNzU5MDM3NDwvYWNjZXNzaW9uLW51
bT48dXJscz48cmVsYXRlZC11cmxzPjx1cmw+aHR0cHM6Ly93d3cubmNiaS5ubG0ubmloLmdvdi9w
dWJtZWQvMjc1OTAzNzQ8L3VybD48L3JlbGF0ZWQtdXJscz48L3VybHM+PGVsZWN0cm9uaWMtcmVz
b3VyY2UtbnVtPjEwLjEwMTYvai50am9nLjIwMTYuMDYuMDAzPC9lbGVjdHJvbmljLXJlc291cmNl
LW51bT48L3JlY29yZD48L0NpdGU+PENpdGU+PEF1dGhvcj5PbHNlbjwvQXV0aG9yPjxZZWFyPjIw
MTg8L1llYXI+PFJlY051bT4xNzA5PC9SZWNOdW0+PHJlY29yZD48cmVjLW51bWJlcj4xNzA5PC9y
ZWMtbnVtYmVyPjxmb3JlaWduLWtleXM+PGtleSBhcHA9IkVOIiBkYi1pZD0iZXh2YXNyZngyZHRy
YW9lc2FzeHAyc3pzeGEyZGY1MDI1OTJ4IiB0aW1lc3RhbXA9IjE1ODI0OTkxODIiPjE3MDk8L2tl
eT48L2ZvcmVpZ24ta2V5cz48cmVmLXR5cGUgbmFtZT0iSm91cm5hbCBBcnRpY2xlIj4xNzwvcmVm
LXR5cGU+PGNvbnRyaWJ1dG9ycz48YXV0aG9ycz48YXV0aG9yPk9sc2VuLCBQYXVsYTwvYXV0aG9y
PjxhdXRob3I+V2lsbGlhbXNvbiwgTW9pcmE8L2F1dGhvcj48YXV0aG9yPlRyYXlub3IsIFZpY3Rv
cmlhPC9hdXRob3I+PGF1dGhvcj5HZW9yZ2lvdSwgQ2hyaXM8L2F1dGhvcj48L2F1dGhvcnM+PC9j
b250cmlidXRvcnM+PHRpdGxlcz48dGl0bGU+VGhlIGltcGFjdCBvZiBvcmFsIHByb2Jpb3RpY3Mg
b24gdmFnaW5hbCBHcm91cCBCIFN0cmVwdG9jb2NjYWwgY29sb25pc2F0aW9uIHJhdGVzIGluIHBy
ZWduYW50IHdvbWVuOiBBIHBpbG90IHJhbmRvbWlzZWQgY29udHJvbCBzdHVkeTwvdGl0bGU+PHNl
Y29uZGFyeS10aXRsZT5Xb21lbiBhbmQgQmlydGg8L3NlY29uZGFyeS10aXRsZT48L3RpdGxlcz48
cGVyaW9kaWNhbD48ZnVsbC10aXRsZT5Xb21lbiBhbmQgQmlydGg8L2Z1bGwtdGl0bGU+PC9wZXJp
b2RpY2FsPjxwYWdlcz4zMS0zNzwvcGFnZXM+PHZvbHVtZT4zMTwvdm9sdW1lPjxudW1iZXI+MTwv
bnVtYmVyPjxzZWN0aW9uPjMxPC9zZWN0aW9uPjxkYXRlcz48eWVhcj4yMDE4PC95ZWFyPjwvZGF0
ZXM+PGlzYm4+MTg3MTUxOTI8L2lzYm4+PHVybHM+PC91cmxzPjxlbGVjdHJvbmljLXJlc291cmNl
LW51bT4xMC4xMDE2L2oud29tYmkuMjAxNy4wNi4wMTI8L2VsZWN0cm9uaWMtcmVzb3VyY2UtbnVt
PjwvcmVjb3JkPjwvQ2l0ZT48L0VuZE5vdGU+AG==
</w:fldData>
        </w:fldChar>
      </w:r>
      <w:r w:rsidR="002747EA">
        <w:instrText xml:space="preserve"> ADDIN EN.CITE </w:instrText>
      </w:r>
      <w:r w:rsidR="002747EA">
        <w:fldChar w:fldCharType="begin">
          <w:fldData xml:space="preserve">PEVuZE5vdGU+PENpdGU+PEF1dGhvcj5IbzwvQXV0aG9yPjxZZWFyPjIwMTY8L1llYXI+PFJlY051
bT4xNjU2PC9SZWNOdW0+PERpc3BsYXlUZXh0PjxzdHlsZSBmYWNlPSJzdXBlcnNjcmlwdCIgZm9u
dD0iVHJlYnVjaGV0IE1TIiBzaXplPSI5Ij4yMzAsMjM1PC9zdHlsZT48L0Rpc3BsYXlUZXh0Pjxy
ZWNvcmQ+PHJlYy1udW1iZXI+MTY1NjwvcmVjLW51bWJlcj48Zm9yZWlnbi1rZXlzPjxrZXkgYXBw
PSJFTiIgZGItaWQ9ImV4dmFzcmZ4MmR0cmFvZXNhc3hwMnN6c3hhMmRmNTAyNTkyeCIgdGltZXN0
YW1wPSIxNTgxMzEyNzUxIj4xNjU2PC9rZXk+PGtleSBhcHA9IkVOV2ViIiBkYi1pZD0iIj4wPC9r
ZXk+PC9mb3JlaWduLWtleXM+PHJlZi10eXBlIG5hbWU9IkpvdXJuYWwgQXJ0aWNsZSI+MTc8L3Jl
Zi10eXBlPjxjb250cmlidXRvcnM+PGF1dGhvcnM+PGF1dGhvcj5IbywgTS48L2F1dGhvcj48YXV0
aG9yPkNoYW5nLCBZLiBZLjwvYXV0aG9yPjxhdXRob3I+Q2hhbmcsIFcuIEMuPC9hdXRob3I+PGF1
dGhvcj5MaW4sIEguIEMuPC9hdXRob3I+PGF1dGhvcj5XYW5nLCBNLiBILjwvYXV0aG9yPjxhdXRo
b3I+TGluLCBXLiBDLjwvYXV0aG9yPjxhdXRob3I+Q2hpdSwgVC4gSC48L2F1dGhvcj48L2F1dGhv
cnM+PC9jb250cmlidXRvcnM+PGF1dGgtYWRkcmVzcz5EZXBhcnRtZW50IG9mIE9ic3RldHJpY3Mg
YW5kIEd5bmVjb2xvZ3ksIENoaW5hIE1lZGljYWwgVW5pdmVyc2l0eSBIb3NwaXRhbCwgQ2hpbmEg
TWVkaWNhbCBVbml2ZXJzaXR5LCBUYWljaHVuZyA0MDQwMiwgVGFpd2FuLiYjeEQ7RGVwYXJ0bWVu
dCBvZiBQZWRpYXRyaWNzLCBDaGluYSBNZWRpY2FsIFVuaXZlcnNpdHkgSG9zcGl0YWwsIENoaW5h
IE1lZGljYWwgVW5pdmVyc2l0eSwgVGFpY2h1bmcgNDA0MDIsIFRhaXdhbi4mI3hEO0RlcGFydG1l
bnQgb2YgT2JzdGV0cmljcyBhbmQgR3luZWNvbG9neSwgQ2hpbmEgTWVkaWNhbCBVbml2ZXJzaXR5
IEhvc3BpdGFsLCBDaGluYSBNZWRpY2FsIFVuaXZlcnNpdHksIFRhaWNodW5nIDQwNDAyLCBUYWl3
YW4uIEVsZWN0cm9uaWMgYWRkcmVzczogZDQ3OThAbWFpbC5jbXVoLm9yZy50dy48L2F1dGgtYWRk
cmVzcz48dGl0bGVzPjx0aXRsZT5PcmFsIExhY3RvYmFjaWxsdXMgcmhhbW5vc3VzIEdSLTEgYW5k
IExhY3RvYmFjaWxsdXMgcmV1dGVyaSBSQy0xNCB0byByZWR1Y2UgR3JvdXAgQiBTdHJlcHRvY29j
Y3VzIGNvbG9uaXphdGlvbiBpbiBwcmVnbmFudCB3b21lbjogQSByYW5kb21pemVkIGNvbnRyb2xs
ZWQgdHJpYWw8L3RpdGxlPjxzZWNvbmRhcnktdGl0bGU+VGFpd2FuIEogT2JzdGV0IEd5bmVjb2w8
L3NlY29uZGFyeS10aXRsZT48L3RpdGxlcz48cGVyaW9kaWNhbD48ZnVsbC10aXRsZT5UYWl3YW4g
SiBPYnN0ZXQgR3luZWNvbDwvZnVsbC10aXRsZT48L3BlcmlvZGljYWw+PHBhZ2VzPjUxNS04PC9w
YWdlcz48dm9sdW1lPjU1PC92b2x1bWU+PG51bWJlcj40PC9udW1iZXI+PGVkaXRpb24+MjAxNi8w
OS8wNDwvZWRpdGlvbj48a2V5d29yZHM+PGtleXdvcmQ+QWR1bHQ8L2tleXdvcmQ+PGtleXdvcmQ+
RG91YmxlLUJsaW5kIE1ldGhvZDwva2V5d29yZD48a2V5d29yZD5GZW1hbGU8L2tleXdvcmQ+PGtl
eXdvcmQ+SHVtYW5zPC9rZXl3b3JkPjxrZXl3b3JkPkluZmVjdGlvdXMgRGlzZWFzZSBUcmFuc21p
c3Npb24sIFZlcnRpY2FsL3ByZXZlbnRpb24gJmFtcDsgY29udHJvbDwva2V5d29yZD48a2V5d29y
ZD4qTGFjdG9iYWNpbGx1cyByZXV0ZXJpPC9rZXl3b3JkPjxrZXl3b3JkPipMYWN0b2JhY2lsbHVz
IHJoYW1ub3N1czwva2V5d29yZD48a2V5d29yZD5QcmVnbmFuY3k8L2tleXdvcmQ+PGtleXdvcmQ+
KlByZWduYW5jeSBUcmltZXN0ZXIsIFRoaXJkPC9rZXl3b3JkPjxrZXl3b3JkPlByb2Jpb3RpY3Mv
KnRoZXJhcGV1dGljIHVzZTwva2V5d29yZD48a2V5d29yZD5Qcm9zcGVjdGl2ZSBTdHVkaWVzPC9r
ZXl3b3JkPjxrZXl3b3JkPlJlY3R1bS9taWNyb2Jpb2xvZ3k8L2tleXdvcmQ+PGtleXdvcmQ+U3Ry
ZXB0b2NvY2NhbCBJbmZlY3Rpb25zL21pY3JvYmlvbG9neS9wcmV2ZW50aW9uICZhbXA7IGNvbnRy
b2wvdHJhbnNtaXNzaW9uPC9rZXl3b3JkPjxrZXl3b3JkPlN0cmVwdG9jb2NjdXMgYWdhbGFjdGlh
ZS8qZ3Jvd3RoICZhbXA7IGRldmVsb3BtZW50PC9rZXl3b3JkPjxrZXl3b3JkPlZhZ2luYS9taWNy
b2Jpb2xvZ3k8L2tleXdvcmQ+PGtleXdvcmQ+KkdCUyBjb2xvbml6YXRpb248L2tleXdvcmQ+PGtl
eXdvcmQ+KkdCUyBpbmZlY3Rpb248L2tleXdvcmQ+PGtleXdvcmQ+KmludHJhcGFydHVtIGFudGli
aW90aWM8L2tleXdvcmQ+PGtleXdvcmQ+Km9yYWwgcHJvYmlvdGljczwva2V5d29yZD48L2tleXdv
cmRzPjxkYXRlcz48eWVhcj4yMDE2PC95ZWFyPjxwdWItZGF0ZXM+PGRhdGU+QXVnPC9kYXRlPjwv
cHViLWRhdGVzPjwvZGF0ZXM+PGlzYm4+MTg3NS02MjYzIChFbGVjdHJvbmljKSYjeEQ7MTAyOC00
NTU5IChMaW5raW5nKTwvaXNibj48YWNjZXNzaW9uLW51bT4yNzU5MDM3NDwvYWNjZXNzaW9uLW51
bT48dXJscz48cmVsYXRlZC11cmxzPjx1cmw+aHR0cHM6Ly93d3cubmNiaS5ubG0ubmloLmdvdi9w
dWJtZWQvMjc1OTAzNzQ8L3VybD48L3JlbGF0ZWQtdXJscz48L3VybHM+PGVsZWN0cm9uaWMtcmVz
b3VyY2UtbnVtPjEwLjEwMTYvai50am9nLjIwMTYuMDYuMDAzPC9lbGVjdHJvbmljLXJlc291cmNl
LW51bT48L3JlY29yZD48L0NpdGU+PENpdGU+PEF1dGhvcj5PbHNlbjwvQXV0aG9yPjxZZWFyPjIw
MTg8L1llYXI+PFJlY051bT4xNzA5PC9SZWNOdW0+PHJlY29yZD48cmVjLW51bWJlcj4xNzA5PC9y
ZWMtbnVtYmVyPjxmb3JlaWduLWtleXM+PGtleSBhcHA9IkVOIiBkYi1pZD0iZXh2YXNyZngyZHRy
YW9lc2FzeHAyc3pzeGEyZGY1MDI1OTJ4IiB0aW1lc3RhbXA9IjE1ODI0OTkxODIiPjE3MDk8L2tl
eT48L2ZvcmVpZ24ta2V5cz48cmVmLXR5cGUgbmFtZT0iSm91cm5hbCBBcnRpY2xlIj4xNzwvcmVm
LXR5cGU+PGNvbnRyaWJ1dG9ycz48YXV0aG9ycz48YXV0aG9yPk9sc2VuLCBQYXVsYTwvYXV0aG9y
PjxhdXRob3I+V2lsbGlhbXNvbiwgTW9pcmE8L2F1dGhvcj48YXV0aG9yPlRyYXlub3IsIFZpY3Rv
cmlhPC9hdXRob3I+PGF1dGhvcj5HZW9yZ2lvdSwgQ2hyaXM8L2F1dGhvcj48L2F1dGhvcnM+PC9j
b250cmlidXRvcnM+PHRpdGxlcz48dGl0bGU+VGhlIGltcGFjdCBvZiBvcmFsIHByb2Jpb3RpY3Mg
b24gdmFnaW5hbCBHcm91cCBCIFN0cmVwdG9jb2NjYWwgY29sb25pc2F0aW9uIHJhdGVzIGluIHBy
ZWduYW50IHdvbWVuOiBBIHBpbG90IHJhbmRvbWlzZWQgY29udHJvbCBzdHVkeTwvdGl0bGU+PHNl
Y29uZGFyeS10aXRsZT5Xb21lbiBhbmQgQmlydGg8L3NlY29uZGFyeS10aXRsZT48L3RpdGxlcz48
cGVyaW9kaWNhbD48ZnVsbC10aXRsZT5Xb21lbiBhbmQgQmlydGg8L2Z1bGwtdGl0bGU+PC9wZXJp
b2RpY2FsPjxwYWdlcz4zMS0zNzwvcGFnZXM+PHZvbHVtZT4zMTwvdm9sdW1lPjxudW1iZXI+MTwv
bnVtYmVyPjxzZWN0aW9uPjMxPC9zZWN0aW9uPjxkYXRlcz48eWVhcj4yMDE4PC95ZWFyPjwvZGF0
ZXM+PGlzYm4+MTg3MTUxOTI8L2lzYm4+PHVybHM+PC91cmxzPjxlbGVjdHJvbmljLXJlc291cmNl
LW51bT4xMC4xMDE2L2oud29tYmkuMjAxNy4wNi4wMTI8L2VsZWN0cm9uaWMtcmVzb3VyY2UtbnVt
PjwvcmVjb3JkPjwvQ2l0ZT48L0VuZE5vdGU+AG==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230,235</w:t>
      </w:r>
      <w:r w:rsidR="00AB21E2">
        <w:fldChar w:fldCharType="end"/>
      </w:r>
      <w:r w:rsidR="00D76EA6">
        <w:t xml:space="preserve"> and women with a fetus at risk of allergies.</w:t>
      </w:r>
      <w:r w:rsidR="00AB21E2">
        <w:fldChar w:fldCharType="begin">
          <w:fldData xml:space="preserve">PEVuZE5vdGU+PENpdGU+PEF1dGhvcj5BYnJhaGFtc3NvbjwvQXV0aG9yPjxZZWFyPjIwMDc8L1ll
YXI+PFJlY051bT4xNjgzPC9SZWNOdW0+PERpc3BsYXlUZXh0PjxzdHlsZSBmYWNlPSJzdXBlcnNj
cmlwdCIgZm9udD0iVHJlYnVjaGV0IE1TIiBzaXplPSI5Ij4yMzcsMjQ2LTI1MTwvc3R5bGU+PC9E
aXNwbGF5VGV4dD48cmVjb3JkPjxyZWMtbnVtYmVyPjE2ODM8L3JlYy1udW1iZXI+PGZvcmVpZ24t
a2V5cz48a2V5IGFwcD0iRU4iIGRiLWlkPSJleHZhc3JmeDJkdHJhb2VzYXN4cDJzenN4YTJkZjUw
MjU5MngiIHRpbWVzdGFtcD0iMTU4MTgzMjA3NiI+MTY4Mzwva2V5PjwvZm9yZWlnbi1rZXlzPjxy
ZWYtdHlwZSBuYW1lPSJKb3VybmFsIEFydGljbGUiPjE3PC9yZWYtdHlwZT48Y29udHJpYnV0b3Jz
PjxhdXRob3JzPjxhdXRob3I+QWJyYWhhbXNzb24sIFQuIFIuPC9hdXRob3I+PGF1dGhvcj5KYWtv
YnNzb24sIFQuPC9hdXRob3I+PGF1dGhvcj5Cb3R0Y2hlciwgTS4gRi48L2F1dGhvcj48YXV0aG9y
PkZyZWRyaWtzb24sIE0uPC9hdXRob3I+PGF1dGhvcj5KZW5tYWxtLCBNLiBDLjwvYXV0aG9yPjxh
dXRob3I+QmpvcmtzdGVuLCBCLjwvYXV0aG9yPjxhdXRob3I+T2xkYWV1cywgRy48L2F1dGhvcj48
L2F1dGhvcnM+PC9jb250cmlidXRvcnM+PGF1dGgtYWRkcmVzcz5EZXBhcnRtZW50IG9mIE1vbGVj
dWxhciBhbmQgQ2xpbmljYWwgTWVkaWNpbmUsIERpdmlzaW9uIG9mIFBlZGlhdHJpY3MsIExpbmtv
cGluZyBVbml2ZXJzaXR5LCBTd2VkZW4uIFRob21hcy5BYnJhaGFtc3NvbkBsaW8uc2U8L2F1dGgt
YWRkcmVzcz48dGl0bGVzPjx0aXRsZT5Qcm9iaW90aWNzIGluIHByZXZlbnRpb24gb2YgSWdFLWFz
c29jaWF0ZWQgZWN6ZW1hOiBhIGRvdWJsZS1ibGluZCwgcmFuZG9taXplZCwgcGxhY2Viby1jb250
cm9sbGVkIHRyaWFsPC90aXRsZT48c2Vjb25kYXJ5LXRpdGxlPkogQWxsZXJneSBDbGluIEltbXVu
b2w8L3NlY29uZGFyeS10aXRsZT48L3RpdGxlcz48cGVyaW9kaWNhbD48ZnVsbC10aXRsZT5KIEFs
bGVyZ3kgQ2xpbiBJbW11bm9sPC9mdWxsLXRpdGxlPjwvcGVyaW9kaWNhbD48cGFnZXM+MTE3NC04
MDwvcGFnZXM+PHZvbHVtZT4xMTk8L3ZvbHVtZT48bnVtYmVyPjU8L251bWJlcj48ZWRpdGlvbj4y
MDA3LzAzLzE0PC9lZGl0aW9uPjxrZXl3b3Jkcz48a2V5d29yZD5DaGlsZCwgUHJlc2Nob29sPC9r
ZXl3b3JkPjxrZXl3b3JkPkVjemVtYS8qcHJldmVudGlvbiAmYW1wOyBjb250cm9sPC9rZXl3b3Jk
PjxrZXl3b3JkPkZlbWFsZTwva2V5d29yZD48a2V5d29yZD5IdW1hbnM8L2tleXdvcmQ+PGtleXdv
cmQ+SHlwZXJzZW5zaXRpdml0eS8qcHJldmVudGlvbiAmYW1wOyBjb250cm9sPC9rZXl3b3JkPjxr
ZXl3b3JkPkltbXVub2dsb2J1bGluIEUvYmxvb2Q8L2tleXdvcmQ+PGtleXdvcmQ+SW5mYW50PC9r
ZXl3b3JkPjxrZXl3b3JkPkluZmFudCwgTmV3Ym9ybjwva2V5d29yZD48a2V5d29yZD5MYWN0b2Jh
Y2lsbHVzIHJldXRlcmkvKmltbXVub2xvZ3k8L2tleXdvcmQ+PGtleXdvcmQ+TWFsZTwva2V5d29y
ZD48a2V5d29yZD5QcmVnbmFuY3k8L2tleXdvcmQ+PGtleXdvcmQ+UHJvYmlvdGljcy8qdGhlcmFw
ZXV0aWMgdXNlPC9rZXl3b3JkPjxrZXl3b3JkPlNraW4gVGVzdHM8L2tleXdvcmQ+PC9rZXl3b3Jk
cz48ZGF0ZXM+PHllYXI+MjAwNzwveWVhcj48cHViLWRhdGVzPjxkYXRlPk1heTwvZGF0ZT48L3B1
Yi1kYXRlcz48L2RhdGVzPjxpc2JuPjAwOTEtNjc0OSAoUHJpbnQpJiN4RDswMDkxLTY3NDkgKExp
bmtpbmcpPC9pc2JuPjxhY2Nlc3Npb24tbnVtPjE3MzQ5Njg2PC9hY2Nlc3Npb24tbnVtPjx1cmxz
PjxyZWxhdGVkLXVybHM+PHVybD5odHRwczovL3d3dy5uY2JpLm5sbS5uaWguZ292L3B1Ym1lZC8x
NzM0OTY4NjwvdXJsPjwvcmVsYXRlZC11cmxzPjwvdXJscz48ZWxlY3Ryb25pYy1yZXNvdXJjZS1u
dW0+MTAuMTAxNi9qLmphY2kuMjAwNy4wMS4wMDc8L2VsZWN0cm9uaWMtcmVzb3VyY2UtbnVtPjwv
cmVjb3JkPjwvQ2l0ZT48Q2l0ZT48QXV0aG9yPkJveWxlPC9BdXRob3I+PFllYXI+MjAxMTwvWWVh
cj48UmVjTnVtPjgwPC9SZWNOdW0+PHJlY29yZD48cmVjLW51bWJlcj44MDwvcmVjLW51bWJlcj48
Zm9yZWlnbi1rZXlzPjxrZXkgYXBwPSJFTiIgZGItaWQ9ImVkMnA5YTBheDVyeHdiZWUwdm12OTk5
bnJ4dnphMGF3MmZkeCIgdGltZXN0YW1wPSIxNTgxODMxNDMzIj44MDwva2V5PjwvZm9yZWlnbi1r
ZXlzPjxyZWYtdHlwZSBuYW1lPSJKb3VybmFsIEFydGljbGUiPjE3PC9yZWYtdHlwZT48Y29udHJp
YnV0b3JzPjxhdXRob3JzPjxhdXRob3I+Qm95bGUsIFIuIEouPC9hdXRob3I+PGF1dGhvcj5Jc21h
aWwsIEkuIEguPC9hdXRob3I+PGF1dGhvcj5LaXZpdnVvcmksIFMuPC9hdXRob3I+PGF1dGhvcj5M
aWNjaWFyZGksIFAuIFYuPC9hdXRob3I+PGF1dGhvcj5Sb2JpbnMtQnJvd25lLCBSLiBNLjwvYXV0
aG9yPjxhdXRob3I+TWFoLCBMLiBKLjwvYXV0aG9yPjxhdXRob3I+QXhlbHJhZCwgQy48L2F1dGhv
cj48YXV0aG9yPk1vb3JlLCBTLjwvYXV0aG9yPjxhdXRob3I+RG9uYXRoLCBTLjwvYXV0aG9yPjxh
dXRob3I+Q2FybGluLCBKLiBCLjwvYXV0aG9yPjxhdXRob3I+TGFodGluZW4sIFMuIEouPC9hdXRo
b3I+PGF1dGhvcj5UYW5nLCBNLiBMLjwvYXV0aG9yPjwvYXV0aG9ycz48L2NvbnRyaWJ1dG9ycz48
YXV0aC1hZGRyZXNzPkFsbGVyZ3kgYW5kIEltbXVuZSBEaXNvcmRlcnMsIE11cmRvY2ggQ2hpbGRy
ZW4mYXBvcztzIFJlc2VhcmNoIEluc3RpdHV0ZSwgVW5pdmVyc2l0eSBvZiBNZWxib3VybmUsIE1l
bGJvdXJuZSwgQXVzdHJhbGlhLjwvYXV0aC1hZGRyZXNzPjx0aXRsZXM+PHRpdGxlPkxhY3RvYmFj
aWxsdXMgR0cgdHJlYXRtZW50IGR1cmluZyBwcmVnbmFuY3kgZm9yIHRoZSBwcmV2ZW50aW9uIG9m
IGVjemVtYTogYSByYW5kb21pemVkIGNvbnRyb2xsZWQgdHJpYWw8L3RpdGxlPjxzZWNvbmRhcnkt
dGl0bGU+QWxsZXJneTwvc2Vjb25kYXJ5LXRpdGxlPjwvdGl0bGVzPjxwZXJpb2RpY2FsPjxmdWxs
LXRpdGxlPkFsbGVyZ3k8L2Z1bGwtdGl0bGU+PC9wZXJpb2RpY2FsPjxwYWdlcz41MDktMTY8L3Bh
Z2VzPjx2b2x1bWU+NjY8L3ZvbHVtZT48bnVtYmVyPjQ8L251bWJlcj48ZWRpdGlvbj4yMDEwLzEy
LzAzPC9lZGl0aW9uPjxrZXl3b3Jkcz48a2V5d29yZD5BZHVsdDwva2V5d29yZD48a2V5d29yZD5F
Y3plbWEvZXBpZGVtaW9sb2d5LypwcmV2ZW50aW9uICZhbXA7IGNvbnRyb2w8L2tleXdvcmQ+PGtl
eXdvcmQ+RW56eW1lLUxpbmtlZCBJbW11bm9zb3JiZW50IEFzc2F5PC9rZXl3b3JkPjxrZXl3b3Jk
PkZlbWFsZTwva2V5d29yZD48a2V5d29yZD5GZXRhbCBCbG9vZC9jaGVtaXN0cnkvaW1tdW5vbG9n
eTwva2V5d29yZD48a2V5d29yZD5IdW1hbnM8L2tleXdvcmQ+PGtleXdvcmQ+SW5mYW50PC9rZXl3
b3JkPjxrZXl3b3JkPkxhY3RvYmFjaWxsdXMgcmhhbW5vc3VzLyppbW11bm9sb2d5PC9rZXl3b3Jk
PjxrZXl3b3JkPk1pZGRsZSBBZ2VkPC9rZXl3b3JkPjxrZXl3b3JkPk1pbGssIEh1bWFuL2NoZW1p
c3RyeS9pbW11bm9sb2d5PC9rZXl3b3JkPjxrZXl3b3JkPlByZWduYW5jeTwva2V5d29yZD48a2V5
d29yZD5QcmVuYXRhbCBFeHBvc3VyZSBEZWxheWVkIEVmZmVjdHMvKmltbXVub2xvZ3k8L2tleXdv
cmQ+PGtleXdvcmQ+UHJvYmlvdGljcy8qdGhlcmFwZXV0aWMgdXNlPC9rZXl3b3JkPjxrZXl3b3Jk
PllvdW5nIEFkdWx0PC9rZXl3b3JkPjwva2V5d29yZHM+PGRhdGVzPjx5ZWFyPjIwMTE8L3llYXI+
PHB1Yi1kYXRlcz48ZGF0ZT5BcHI8L2RhdGU+PC9wdWItZGF0ZXM+PC9kYXRlcz48aXNibj4xMzk4
LTk5OTUgKEVsZWN0cm9uaWMpJiN4RDswMTA1LTQ1MzggKExpbmtpbmcpPC9pc2JuPjxhY2Nlc3Np
b24tbnVtPjIxMTIxOTI3PC9hY2Nlc3Npb24tbnVtPjx1cmxzPjxyZWxhdGVkLXVybHM+PHVybD5o
dHRwczovL3d3dy5uY2JpLm5sbS5uaWguZ292L3B1Ym1lZC8yMTEyMTkyNzwvdXJsPjwvcmVsYXRl
ZC11cmxzPjwvdXJscz48ZWxlY3Ryb25pYy1yZXNvdXJjZS1udW0+MTAuMTExMS9qLjEzOTgtOTk5
NS4yMDEwLjAyNTA3Lng8L2VsZWN0cm9uaWMtcmVzb3VyY2UtbnVtPjwvcmVjb3JkPjwvQ2l0ZT48
Q2l0ZT48QXV0aG9yPkthbGxpb21ha2k8L0F1dGhvcj48WWVhcj4yMDAxPC9ZZWFyPjxSZWNOdW0+
MTY4ODwvUmVjTnVtPjxyZWNvcmQ+PHJlYy1udW1iZXI+MTY4ODwvcmVjLW51bWJlcj48Zm9yZWln
bi1rZXlzPjxrZXkgYXBwPSJFTiIgZGItaWQ9ImV4dmFzcmZ4MmR0cmFvZXNhc3hwMnN6c3hhMmRm
NTAyNTkyeCIgdGltZXN0YW1wPSIxNTgxODMyMDc2Ij4xNjg4PC9rZXk+PC9mb3JlaWduLWtleXM+
PHJlZi10eXBlIG5hbWU9IkpvdXJuYWwgQXJ0aWNsZSI+MTc8L3JlZi10eXBlPjxjb250cmlidXRv
cnM+PGF1dGhvcnM+PGF1dGhvcj5LYWxsaW9tYWtpLCBNLjwvYXV0aG9yPjxhdXRob3I+U2FsbWlu
ZW4sIFMuPC9hdXRob3I+PGF1dGhvcj5BcnZpbG9tbWksIEguPC9hdXRob3I+PGF1dGhvcj5LZXJv
LCBQLjwvYXV0aG9yPjxhdXRob3I+S29za2luZW4sIFAuPC9hdXRob3I+PGF1dGhvcj5Jc29sYXVy
aSwgRS48L2F1dGhvcj48L2F1dGhvcnM+PC9jb250cmlidXRvcnM+PGF1dGgtYWRkcmVzcz5EZXBh
cnRtZW50IG9mIFBhZWRpYXRyaWNzLCBVbml2ZXJzaXR5IG9mIFR1cmt1IGFuZCBUdXJrdSBVbml2
ZXJzaXR5IEhvc3BpdGFsLCBGaW5sYW5kLiBtYXJrYWxAdXR1LmZpPC9hdXRoLWFkZHJlc3M+PHRp
dGxlcz48dGl0bGU+UHJvYmlvdGljcyBpbiBwcmltYXJ5IHByZXZlbnRpb24gb2YgYXRvcGljIGRp
c2Vhc2U6IGEgcmFuZG9taXNlZCBwbGFjZWJvLWNvbnRyb2xsZWQgdHJpYWw8L3RpdGxlPjxzZWNv
bmRhcnktdGl0bGU+TGFuY2V0PC9zZWNvbmRhcnktdGl0bGU+PC90aXRsZXM+PHBlcmlvZGljYWw+
PGZ1bGwtdGl0bGU+TGFuY2V0PC9mdWxsLXRpdGxlPjwvcGVyaW9kaWNhbD48cGFnZXM+MTA3Ni05
PC9wYWdlcz48dm9sdW1lPjM1Nzwvdm9sdW1lPjxudW1iZXI+OTI2MjwvbnVtYmVyPjxlZGl0aW9u
PjIwMDEvMDQvMTI8L2VkaXRpb24+PGtleXdvcmRzPjxrZXl3b3JkPkNoaWxkLCBQcmVzY2hvb2w8
L2tleXdvcmQ+PGtleXdvcmQ+Q2hyb25pYyBEaXNlYXNlPC9rZXl3b3JkPjxrZXl3b3JkPkRlcm1h
dGl0aXMsIEF0b3BpYy9nZW5ldGljcy9pbW11bm9sb2d5L3ByZXZlbnRpb24gJmFtcDsgY29udHJv
bDwva2V5d29yZD48a2V5d29yZD5Eb3VibGUtQmxpbmQgTWV0aG9kPC9rZXl3b3JkPjxrZXl3b3Jk
PkZlbWFsZTwva2V5d29yZD48a2V5d29yZD5IdW1hbnM8L2tleXdvcmQ+PGtleXdvcmQ+SHlwZXJz
ZW5zaXRpdml0eSwgSW1tZWRpYXRlL2RpYWdub3Npcy9nZW5ldGljcy8qcHJldmVudGlvbiAmYW1w
OyBjb250cm9sPC9rZXl3b3JkPjxrZXl3b3JkPkltbXVub2dsb2J1bGluIEUvYmxvb2Q8L2tleXdv
cmQ+PGtleXdvcmQ+SW5mYW50PC9rZXl3b3JkPjxrZXl3b3JkPkluZmFudCwgTmV3Ym9ybjwva2V5
d29yZD48a2V5d29yZD5JbnRlc3RpbmVzL21pY3JvYmlvbG9neTwva2V5d29yZD48a2V5d29yZD4q
TGFjdG9iYWNpbGx1czwva2V5d29yZD48a2V5d29yZD5QcmVnbmFuY3k8L2tleXdvcmQ+PGtleXdv
cmQ+UHJlbmF0YWwgRXhwb3N1cmUgRGVsYXllZCBFZmZlY3RzPC9rZXl3b3JkPjxrZXl3b3JkPlBy
aW1hcnkgUHJldmVudGlvbjwva2V5d29yZD48a2V5d29yZD5Qcm9iaW90aWNzL2FkbWluaXN0cmF0
aW9uICZhbXA7IGRvc2FnZS8qdGhlcmFwZXV0aWMgdXNlPC9rZXl3b3JkPjxrZXl3b3JkPlJlY3Vy
cmVuY2U8L2tleXdvcmQ+PGtleXdvcmQ+UmlzayBGYWN0b3JzPC9rZXl3b3JkPjxrZXl3b3JkPlNr
aW4gVGVzdHM8L2tleXdvcmQ+PC9rZXl3b3Jkcz48ZGF0ZXM+PHllYXI+MjAwMTwveWVhcj48cHVi
LWRhdGVzPjxkYXRlPkFwciA3PC9kYXRlPjwvcHViLWRhdGVzPjwvZGF0ZXM+PGlzYm4+MDE0MC02
NzM2IChQcmludCkmI3hEOzAxNDAtNjczNiAoTGlua2luZyk8L2lzYm4+PGFjY2Vzc2lvbi1udW0+
MTEyOTc5NTg8L2FjY2Vzc2lvbi1udW0+PHVybHM+PHJlbGF0ZWQtdXJscz48dXJsPmh0dHBzOi8v
d3d3Lm5jYmkubmxtLm5paC5nb3YvcHVibWVkLzExMjk3OTU4PC91cmw+PC9yZWxhdGVkLXVybHM+
PC91cmxzPjxlbGVjdHJvbmljLXJlc291cmNlLW51bT4xMC4xMDE2L1MwMTQwLTY3MzYoMDApMDQy
NTktODwvZWxlY3Ryb25pYy1yZXNvdXJjZS1udW0+PC9yZWNvcmQ+PC9DaXRlPjxDaXRlPjxBdXRo
b3I+S2ltPC9BdXRob3I+PFllYXI+MjAxMDwvWWVhcj48UmVjTnVtPjE2OTA8L1JlY051bT48cmVj
b3JkPjxyZWMtbnVtYmVyPjE2OTA8L3JlYy1udW1iZXI+PGZvcmVpZ24ta2V5cz48a2V5IGFwcD0i
RU4iIGRiLWlkPSJleHZhc3JmeDJkdHJhb2VzYXN4cDJzenN4YTJkZjUwMjU5MngiIHRpbWVzdGFt
cD0iMTU4MTgzMjA3NiI+MTY5MDwva2V5PjwvZm9yZWlnbi1rZXlzPjxyZWYtdHlwZSBuYW1lPSJK
b3VybmFsIEFydGljbGUiPjE3PC9yZWYtdHlwZT48Y29udHJpYnV0b3JzPjxhdXRob3JzPjxhdXRo
b3I+S2ltLCBKLiBZLjwvYXV0aG9yPjxhdXRob3I+S3dvbiwgSi4gSC48L2F1dGhvcj48YXV0aG9y
PkFobiwgUy4gSC48L2F1dGhvcj48YXV0aG9yPkxlZSwgUy4gSS48L2F1dGhvcj48YXV0aG9yPkhh
biwgWS4gUy48L2F1dGhvcj48YXV0aG9yPkNob2ksIFkuIE8uPC9hdXRob3I+PGF1dGhvcj5MZWUs
IFMuIFkuPC9hdXRob3I+PGF1dGhvcj5BaG4sIEsuIE0uPC9hdXRob3I+PGF1dGhvcj5KaSwgRy4g
RS48L2F1dGhvcj48L2F1dGhvcnM+PC9jb250cmlidXRvcnM+PGF1dGgtYWRkcmVzcz5EZXBhcnRt
ZW50IG9mIEZvb2QgYW5kIE51dHJpdGlvbiwgQ29sbGVnZSBvZiBIdW1hbiBFY29sb2d5LCBTZW91
bCBOYXRpb25hbCBVbml2ZXJzaXR5LCBTYW4gNTYtMSwgU2hpbmxpbWRvbmcsIEt3YW5ha2t1LCBT
ZW91bCwgS29yZWEuPC9hdXRoLWFkZHJlc3M+PHRpdGxlcz48dGl0bGU+RWZmZWN0IG9mIHByb2Jp
b3RpYyBtaXggKEJpZmlkb2JhY3Rlcml1bSBiaWZpZHVtLCBCaWZpZG9iYWN0ZXJpdW0gbGFjdGlz
LCBMYWN0b2JhY2lsbHVzIGFjaWRvcGhpbHVzKSBpbiB0aGUgcHJpbWFyeSBwcmV2ZW50aW9uIG9m
IGVjemVtYTogYSBkb3VibGUtYmxpbmQsIHJhbmRvbWl6ZWQsIHBsYWNlYm8tY29udHJvbGxlZCB0
cmlhbDwvdGl0bGU+PHNlY29uZGFyeS10aXRsZT5QZWRpYXRyIEFsbGVyZ3kgSW1tdW5vbDwvc2Vj
b25kYXJ5LXRpdGxlPjwvdGl0bGVzPjxwZXJpb2RpY2FsPjxmdWxsLXRpdGxlPlBlZGlhdHIgQWxs
ZXJneSBJbW11bm9sPC9mdWxsLXRpdGxlPjwvcGVyaW9kaWNhbD48cGFnZXM+ZTM4Ni05MzwvcGFn
ZXM+PHZvbHVtZT4yMTwvdm9sdW1lPjxudW1iZXI+MiBQdCAyPC9udW1iZXI+PGVkaXRpb24+MjAw
OS8xMC8yMTwvZWRpdGlvbj48a2V5d29yZHM+PGtleXdvcmQ+QmlmaWRvYmFjdGVyaXVtL2NsYXNz
aWZpY2F0aW9uLyppbW11bm9sb2d5PC9rZXl3b3JkPjxrZXl3b3JkPkJyZWFzdCBGZWVkaW5nPC9r
ZXl3b3JkPjxrZXl3b3JkPkRlcm1hdGl0aXMsIEF0b3BpYy9lcGlkZW1pb2xvZ3kvaW1tdW5vbG9n
eS9wcmV2ZW50aW9uICZhbXA7IGNvbnRyb2w8L2tleXdvcmQ+PGtleXdvcmQ+RG91YmxlLUJsaW5k
IE1ldGhvZDwva2V5d29yZD48a2V5d29yZD5FY3plbWEvKmVwaWRlbWlvbG9neS9pbW11bm9sb2d5
L3ByZXZlbnRpb24gJmFtcDsgY29udHJvbDwva2V5d29yZD48a2V5d29yZD5GZW1hbGU8L2tleXdv
cmQ+PGtleXdvcmQ+Rm9vZCBIeXBlcnNlbnNpdGl2aXR5L3ByZXZlbnRpb24gJmFtcDsgY29udHJv
bDwva2V5d29yZD48a2V5d29yZD5IdW1hbnM8L2tleXdvcmQ+PGtleXdvcmQ+SW1tdW5vZ2xvYnVs
aW4gRS9ibG9vZDwva2V5d29yZD48a2V5d29yZD5JbmNpZGVuY2U8L2tleXdvcmQ+PGtleXdvcmQ+
SW5mYW50PC9rZXl3b3JkPjxrZXl3b3JkPkluZmFudCwgTmV3Ym9ybjwva2V5d29yZD48a2V5d29y
ZD5MYWN0b2JhY2lsbHVzIGFjaWRvcGhpbHVzLyppbW11bm9sb2d5PC9rZXl3b3JkPjxrZXl3b3Jk
PlBvc3RuYXRhbCBDYXJlPC9rZXl3b3JkPjxrZXl3b3JkPlByZWduYW5jeTwva2V5d29yZD48a2V5
d29yZD5QcmVuYXRhbCBDYXJlPC9rZXl3b3JkPjxrZXl3b3JkPlByZXZhbGVuY2U8L2tleXdvcmQ+
PGtleXdvcmQ+UHJvYmlvdGljcy8qYWRtaW5pc3RyYXRpb24gJmFtcDsgZG9zYWdlPC9rZXl3b3Jk
PjxrZXl3b3JkPlRyZWF0bWVudCBPdXRjb21lPC9rZXl3b3JkPjwva2V5d29yZHM+PGRhdGVzPjx5
ZWFyPjIwMTA8L3llYXI+PHB1Yi1kYXRlcz48ZGF0ZT5NYXI8L2RhdGU+PC9wdWItZGF0ZXM+PC9k
YXRlcz48aXNibj4xMzk5LTMwMzggKEVsZWN0cm9uaWMpJiN4RDswOTA1LTYxNTcgKExpbmtpbmcp
PC9pc2JuPjxhY2Nlc3Npb24tbnVtPjE5ODQwMzAwPC9hY2Nlc3Npb24tbnVtPjx1cmxzPjxyZWxh
dGVkLXVybHM+PHVybD5odHRwczovL3d3dy5uY2JpLm5sbS5uaWguZ292L3B1Ym1lZC8xOTg0MDMw
MDwvdXJsPjwvcmVsYXRlZC11cmxzPjwvdXJscz48ZWxlY3Ryb25pYy1yZXNvdXJjZS1udW0+MTAu
MTExMS9qLjEzOTktMzAzOC4yMDA5LjAwOTU4Lng8L2VsZWN0cm9uaWMtcmVzb3VyY2UtbnVtPjwv
cmVjb3JkPjwvQ2l0ZT48Q2l0ZT48QXV0aG9yPk5pZXJzPC9BdXRob3I+PFllYXI+MjAwOTwvWWVh
cj48UmVjTnVtPjE2OTM8L1JlY051bT48cmVjb3JkPjxyZWMtbnVtYmVyPjE2OTM8L3JlYy1udW1i
ZXI+PGZvcmVpZ24ta2V5cz48a2V5IGFwcD0iRU4iIGRiLWlkPSJleHZhc3JmeDJkdHJhb2VzYXN4
cDJzenN4YTJkZjUwMjU5MngiIHRpbWVzdGFtcD0iMTU4MTgzMjA3NiI+MTY5Mzwva2V5PjwvZm9y
ZWlnbi1rZXlzPjxyZWYtdHlwZSBuYW1lPSJKb3VybmFsIEFydGljbGUiPjE3PC9yZWYtdHlwZT48
Y29udHJpYnV0b3JzPjxhdXRob3JzPjxhdXRob3I+TmllcnMsIEwuPC9hdXRob3I+PGF1dGhvcj5N
YXJ0aW4sIFIuPC9hdXRob3I+PGF1dGhvcj5SaWprZXJzLCBHLjwvYXV0aG9yPjxhdXRob3I+U2Vu
Z2VycywgRi48L2F1dGhvcj48YXV0aG9yPlRpbW1lcm1hbiwgSC48L2F1dGhvcj48YXV0aG9yPnZh
biBVZGVuLCBOLjwvYXV0aG9yPjxhdXRob3I+U21pZHQsIEguPC9hdXRob3I+PGF1dGhvcj5LaW1w
ZW4sIEouPC9hdXRob3I+PGF1dGhvcj5Ib2Vrc3RyYSwgTS48L2F1dGhvcj48L2F1dGhvcnM+PC9j
b250cmlidXRvcnM+PGF1dGgtYWRkcmVzcz5EZXBhcnRtZW50IG9mIFBlZGlhdHJpY3MsIFdpbGhl
bG1pbmEgQ2hpbGRyZW4mYXBvcztzJmFwb3M7IEhvc3BpdGFsLCBVbml2ZXJzaXR5IE1lZGljYWwg
Q2VudGVyLCBVdHJlY2h0LCB0aGUgTmV0aGVybGFuZHMuPC9hdXRoLWFkZHJlc3M+PHRpdGxlcz48
dGl0bGU+VGhlIGVmZmVjdHMgb2Ygc2VsZWN0ZWQgcHJvYmlvdGljIHN0cmFpbnMgb24gdGhlIGRl
dmVsb3BtZW50IG9mIGVjemVtYSAodGhlIFBhbmRBIHN0dWR5KTwvdGl0bGU+PHNlY29uZGFyeS10
aXRsZT5BbGxlcmd5PC9zZWNvbmRhcnktdGl0bGU+PC90aXRsZXM+PHBlcmlvZGljYWw+PGZ1bGwt
dGl0bGU+QWxsZXJneTwvZnVsbC10aXRsZT48L3BlcmlvZGljYWw+PHBhZ2VzPjEzNDktNTg8L3Bh
Z2VzPjx2b2x1bWU+NjQ8L3ZvbHVtZT48bnVtYmVyPjk8L251bWJlcj48ZWRpdGlvbj4yMDA5LzA0
LzI4PC9lZGl0aW9uPjxrZXl3b3Jkcz48a2V5d29yZD5BZHVsdDwva2V5d29yZD48a2V5d29yZD4q
QmlmaWRvYmFjdGVyaXVtPC9rZXl3b3JkPjxrZXl3b3JkPkN5dG9raW5lcy9ibG9vZDwva2V5d29y
ZD48a2V5d29yZD5Eb3VibGUtQmxpbmQgTWV0aG9kPC9rZXl3b3JkPjxrZXl3b3JkPkVjemVtYS9p
bW11bm9sb2d5L21pY3JvYmlvbG9neS8qcHJldmVudGlvbiAmYW1wOyBjb250cm9sPC9rZXl3b3Jk
PjxrZXl3b3JkPkZlbWFsZTwva2V5d29yZD48a2V5d29yZD5IdW1hbnM8L2tleXdvcmQ+PGtleXdv
cmQ+SHlwZXJzZW5zaXRpdml0eS9pbW11bm9sb2d5L21pY3JvYmlvbG9neS8qcHJldmVudGlvbiAm
YW1wOyBjb250cm9sPC9rZXl3b3JkPjxrZXl3b3JkPkltbXVub2dsb2J1bGluIEUvYmxvb2Q8L2tl
eXdvcmQ+PGtleXdvcmQ+SW5mYW50PC9rZXl3b3JkPjxrZXl3b3JkPipMYWN0b2NvY2N1cyBsYWN0
aXM8L2tleXdvcmQ+PGtleXdvcmQ+TWFsZTwva2V5d29yZD48a2V5d29yZD5QcmVnbmFuY3k8L2tl
eXdvcmQ+PGtleXdvcmQ+UHJvYmlvdGljcy8qdGhlcmFwZXV0aWMgdXNlPC9rZXl3b3JkPjwva2V5
d29yZHM+PGRhdGVzPjx5ZWFyPjIwMDk8L3llYXI+PHB1Yi1kYXRlcz48ZGF0ZT5TZXA8L2RhdGU+
PC9wdWItZGF0ZXM+PC9kYXRlcz48aXNibj4xMzk4LTk5OTUgKEVsZWN0cm9uaWMpJiN4RDswMTA1
LTQ1MzggKExpbmtpbmcpPC9pc2JuPjxhY2Nlc3Npb24tbnVtPjE5MzkyOTkzPC9hY2Nlc3Npb24t
bnVtPjx1cmxzPjxyZWxhdGVkLXVybHM+PHVybD5odHRwczovL3d3dy5uY2JpLm5sbS5uaWguZ292
L3B1Ym1lZC8xOTM5Mjk5MzwvdXJsPjwvcmVsYXRlZC11cmxzPjwvdXJscz48ZWxlY3Ryb25pYy1y
ZXNvdXJjZS1udW0+MTAuMTExMS9qLjEzOTgtOTk5NS4yMDA5LjAyMDIxLng8L2VsZWN0cm9uaWMt
cmVzb3VyY2UtbnVtPjwvcmVjb3JkPjwvQ2l0ZT48Q2l0ZT48QXV0aG9yPlJhdXRhdmE8L0F1dGhv
cj48WWVhcj4yMDEyPC9ZZWFyPjxSZWNOdW0+MTY5NDwvUmVjTnVtPjxyZWNvcmQ+PHJlYy1udW1i
ZXI+MTY5NDwvcmVjLW51bWJlcj48Zm9yZWlnbi1rZXlzPjxrZXkgYXBwPSJFTiIgZGItaWQ9ImV4
dmFzcmZ4MmR0cmFvZXNhc3hwMnN6c3hhMmRmNTAyNTkyeCIgdGltZXN0YW1wPSIxNTgxODMyMDc2
Ij4xNjk0PC9rZXk+PC9mb3JlaWduLWtleXM+PHJlZi10eXBlIG5hbWU9IkpvdXJuYWwgQXJ0aWNs
ZSI+MTc8L3JlZi10eXBlPjxjb250cmlidXRvcnM+PGF1dGhvcnM+PGF1dGhvcj5SYXV0YXZhLCBT
LjwvYXV0aG9yPjxhdXRob3I+S2Fpbm9uZW4sIEUuPC9hdXRob3I+PGF1dGhvcj5TYWxtaW5lbiwg
Uy48L2F1dGhvcj48YXV0aG9yPklzb2xhdXJpLCBFLjwvYXV0aG9yPjwvYXV0aG9ycz48L2NvbnRy
aWJ1dG9ycz48YXV0aC1hZGRyZXNzPkRlcGFydG1lbnQgb2YgUGFlZGlhdHJpY3MsIFR1cmt1IFVu
aXZlcnNpdHkgQ2VudHJhbCBIb3NwaXRhbCwgVHVya3UsIEZpbmxhbmQuIHNhbXJhdUB1dHUuZmk8
L2F1dGgtYWRkcmVzcz48dGl0bGVzPjx0aXRsZT5NYXRlcm5hbCBwcm9iaW90aWMgc3VwcGxlbWVu
dGF0aW9uIGR1cmluZyBwcmVnbmFuY3kgYW5kIGJyZWFzdC1mZWVkaW5nIHJlZHVjZXMgdGhlIHJp
c2sgb2YgZWN6ZW1hIGluIHRoZSBpbmZhbnQ8L3RpdGxlPjxzZWNvbmRhcnktdGl0bGU+SiBBbGxl
cmd5IENsaW4gSW1tdW5vbDwvc2Vjb25kYXJ5LXRpdGxlPjwvdGl0bGVzPjxwZXJpb2RpY2FsPjxm
dWxsLXRpdGxlPkogQWxsZXJneSBDbGluIEltbXVub2w8L2Z1bGwtdGl0bGU+PC9wZXJpb2RpY2Fs
PjxwYWdlcz4xMzU1LTYwPC9wYWdlcz48dm9sdW1lPjEzMDwvdm9sdW1lPjxudW1iZXI+NjwvbnVt
YmVyPjxlZGl0aW9uPjIwMTIvMTAvMjM8L2VkaXRpb24+PGtleXdvcmRzPjxrZXl3b3JkPkFkdWx0
PC9rZXl3b3JkPjxrZXl3b3JkPkJyZWFzdCBGZWVkaW5nPC9rZXl3b3JkPjxrZXl3b3JkPipEaWV0
YXJ5IFN1cHBsZW1lbnRzPC9rZXl3b3JkPjxrZXl3b3JkPkVjemVtYS9pbW11bm9sb2d5LypwcmV2
ZW50aW9uICZhbXA7IGNvbnRyb2w8L2tleXdvcmQ+PGtleXdvcmQ+RmVtYWxlPC9rZXl3b3JkPjxr
ZXl3b3JkPkZvbGxvdy1VcCBTdHVkaWVzPC9rZXl3b3JkPjxrZXl3b3JkPkh1bWFuczwva2V5d29y
ZD48a2V5d29yZD5JbW11bm9nbG9idWxpbiBFL2Jsb29kPC9rZXl3b3JkPjxrZXl3b3JkPkluZmFu
dCwgTmV3Ym9ybjwva2V5d29yZD48a2V5d29yZD5NYWxlPC9rZXl3b3JkPjxrZXl3b3JkPk1hdGVy
bmFsIEV4cG9zdXJlPC9rZXl3b3JkPjxrZXl3b3JkPlByZWduYW5jeTwva2V5d29yZD48a2V5d29y
ZD5Qcm9iaW90aWNzLyphZG1pbmlzdHJhdGlvbiAmYW1wOyBkb3NhZ2U8L2tleXdvcmQ+PGtleXdv
cmQ+Umlzazwva2V5d29yZD48a2V5d29yZD5Ta2luIFRlc3RzPC9rZXl3b3JkPjxrZXl3b3JkPllv
dW5nIEFkdWx0PC9rZXl3b3JkPjwva2V5d29yZHM+PGRhdGVzPjx5ZWFyPjIwMTI8L3llYXI+PHB1
Yi1kYXRlcz48ZGF0ZT5EZWM8L2RhdGU+PC9wdWItZGF0ZXM+PC9kYXRlcz48aXNibj4xMDk3LTY4
MjUgKEVsZWN0cm9uaWMpJiN4RDswMDkxLTY3NDkgKExpbmtpbmcpPC9pc2JuPjxhY2Nlc3Npb24t
bnVtPjIzMDgzNjczPC9hY2Nlc3Npb24tbnVtPjx1cmxzPjxyZWxhdGVkLXVybHM+PHVybD5odHRw
czovL3d3dy5uY2JpLm5sbS5uaWguZ292L3B1Ym1lZC8yMzA4MzY3MzwvdXJsPjwvcmVsYXRlZC11
cmxzPjwvdXJscz48ZWxlY3Ryb25pYy1yZXNvdXJjZS1udW0+MTAuMTAxNi9qLmphY2kuMjAxMi4w
OS4wMDM8L2VsZWN0cm9uaWMtcmVzb3VyY2UtbnVtPjwvcmVjb3JkPjwvQ2l0ZT48Q2l0ZT48QXV0
aG9yPldpY2tlbnM8L0F1dGhvcj48WWVhcj4yMDE3PC9ZZWFyPjxSZWNOdW0+MTY3NTwvUmVjTnVt
PjxyZWNvcmQ+PHJlYy1udW1iZXI+MTY3NTwvcmVjLW51bWJlcj48Zm9yZWlnbi1rZXlzPjxrZXkg
YXBwPSJFTiIgZGItaWQ9ImV4dmFzcmZ4MmR0cmFvZXNhc3hwMnN6c3hhMmRmNTAyNTkyeCIgdGlt
ZXN0YW1wPSIxNTgxMzEyODgwIj4xNjc1PC9rZXk+PGtleSBhcHA9IkVOV2ViIiBkYi1pZD0iIj4w
PC9rZXk+PC9mb3JlaWduLWtleXM+PHJlZi10eXBlIG5hbWU9IkpvdXJuYWwgQXJ0aWNsZSI+MTc8
L3JlZi10eXBlPjxjb250cmlidXRvcnM+PGF1dGhvcnM+PGF1dGhvcj5XaWNrZW5zLCBLLiBMLjwv
YXV0aG9yPjxhdXRob3I+QmFydGhvdywgQy4gQS48L2F1dGhvcj48YXV0aG9yPk11cnBoeSwgUi48
L2F1dGhvcj48YXV0aG9yPkFiZWxzLCBQLiBSLjwvYXV0aG9yPjxhdXRob3I+TWF1ZGUsIFIuIE0u
PC9hdXRob3I+PGF1dGhvcj5TdG9uZSwgUC4gUi48L2F1dGhvcj48YXV0aG9yPk1pdGNoZWxsLCBF
LiBBLjwvYXV0aG9yPjxhdXRob3I+U3RhbmxleSwgVC4gVi48L2F1dGhvcj48YXV0aG9yPlB1cmRp
ZSwgRy4gTC48L2F1dGhvcj48YXV0aG9yPkthbmcsIEouIE0uPC9hdXRob3I+PGF1dGhvcj5Ib29k
LCBGLiBFLjwvYXV0aG9yPjxhdXRob3I+Um93ZGVuLCBKLiBMLjwvYXV0aG9yPjxhdXRob3I+QmFy
bmVzLCBQLiBLLjwvYXV0aG9yPjxhdXRob3I+Rml0emhhcnJpcywgUC4gRi48L2F1dGhvcj48YXV0
aG9yPkNyYW5lLCBKLjwvYXV0aG9yPjwvYXV0aG9ycz48L2NvbnRyaWJ1dG9ycz48YXV0aC1hZGRy
ZXNzPjFVbml2ZXJzaXR5IG9mIE90YWdvLFdlbGxpbmd0b24gNjAyMSxOZXcgWmVhbGFuZC4mI3hE
OzJVbml2ZXJzaXR5IG9mIEF1Y2tsYW5kLEF1Y2tsYW5kIDExNDIsTmV3IFplYWxhbmQuJiN4RDs0
VmljdG9yaWEgVW5pdmVyc2l0eSxXZWxsaW5ndG9uIDYwMjEsTmV3IFplYWxhbmQuJiN4RDs1QXVj
a2xhbmQgSG9zcGl0YWwsQXVja2xhbmQgMTE0MixOZXcgWmVhbGFuZC48L2F1dGgtYWRkcmVzcz48
dGl0bGVzPjx0aXRsZT5FYXJseSBwcmVnbmFuY3kgcHJvYmlvdGljIHN1cHBsZW1lbnRhdGlvbiB3
aXRoIExhY3RvYmFjaWxsdXMgcmhhbW5vc3VzIEhOMDAxIG1heSByZWR1Y2UgdGhlIHByZXZhbGVu
Y2Ugb2YgZ2VzdGF0aW9uYWwgZGlhYmV0ZXMgbWVsbGl0dXM6IGEgcmFuZG9taXNlZCBjb250cm9s
bGVkIHRyaWFsPC90aXRsZT48c2Vjb25kYXJ5LXRpdGxlPkJyIEogTnV0cjwvc2Vjb25kYXJ5LXRp
dGxlPjwvdGl0bGVzPjxwZXJpb2RpY2FsPjxmdWxsLXRpdGxlPkJyIEogTnV0cjwvZnVsbC10aXRs
ZT48L3BlcmlvZGljYWw+PHBhZ2VzPjgwNC04MTM8L3BhZ2VzPjx2b2x1bWU+MTE3PC92b2x1bWU+
PG51bWJlcj42PC9udW1iZXI+PGVkaXRpb24+MjAxNy8wNC8wNDwvZWRpdGlvbj48a2V5d29yZHM+
PGtleXdvcmQ+QWR1bHQ8L2tleXdvcmQ+PGtleXdvcmQ+Qmxvb2QgR2x1Y29zZS8qbWV0YWJvbGlz
bTwva2V5d29yZD48a2V5d29yZD5EaWFiZXRlcywgR2VzdGF0aW9uYWwvYmxvb2QvKnByZXZlbnRp
b24gJmFtcDsgY29udHJvbDwva2V5d29yZD48a2V5d29yZD5Eb3VibGUtQmxpbmQgTWV0aG9kPC9r
ZXl3b3JkPjxrZXl3b3JkPkZlbWFsZTwva2V5d29yZD48a2V5d29yZD5IdW1hbnM8L2tleXdvcmQ+
PGtleXdvcmQ+KkxhY3RvYmFjaWxsdXMgcmhhbW5vc3VzPC9rZXl3b3JkPjxrZXl3b3JkPk5ldyBa
ZWFsYW5kL2VwaWRlbWlvbG9neTwva2V5d29yZD48a2V5d29yZD5QcmVnbmFuY3k8L2tleXdvcmQ+
PGtleXdvcmQ+UHJldmFsZW5jZTwva2V5d29yZD48a2V5d29yZD5Qcm9iaW90aWNzLyp0aGVyYXBl
dXRpYyB1c2U8L2tleXdvcmQ+PGtleXdvcmQ+TGFjdG9iYWNpbGx1cyByaGFtbm9zdXMgSE4wMDE8
L2tleXdvcmQ+PGtleXdvcmQ+Rm9udGVycmEgRm9udGVycmEgQ28tb3BlcmF0aXZlIEdyb3VwIEx0
ZDwva2V5d29yZD48a2V5d29yZD5HRE0gZ2VzdGF0aW9uYWwgZGlhYmV0ZXMgbWVsbGl0dXM8L2tl
eXdvcmQ+PGtleXdvcmQ+R1RUIGdsdWNvc2UgdG9sZXJhbmNlIHRlc3Q8L2tleXdvcmQ+PGtleXdv
cmQ+SE4wMDEgTGFjdG9iYWNpbGx1cyByaGFtbm9zdXMgSE4wMDE8L2tleXdvcmQ+PGtleXdvcmQ+
SUFEUFNHIEludGVybmF0aW9uYWwgQXNzb2NpYXRpb24gb2YgRGlhYmV0ZXMgYW5kIFByZWduYW5j
eSBTdHVkeSBHcm91cDwva2V5d29yZD48a2V5d29yZD5OWiBOZXcgWmVhbGFuZDwva2V5d29yZD48
a2V5d29yZD5SUiByZWxhdGl2ZSByYXRlPC9rZXl3b3JkPjxrZXl3b3JkPkdlc3RhdGlvbmFsIGRp
YWJldGVzIG1lbGxpdHVzPC9rZXl3b3JkPjxrZXl3b3JkPlByb2Jpb3RpY3M8L2tleXdvcmQ+PGtl
eXdvcmQ+UmFuZG9taXNlZCBjb250cm9sbGVkIHRyaWFsczwva2V5d29yZD48L2tleXdvcmRzPjxk
YXRlcz48eWVhcj4yMDE3PC95ZWFyPjxwdWItZGF0ZXM+PGRhdGU+TWFyPC9kYXRlPjwvcHViLWRh
dGVzPjwvZGF0ZXM+PGlzYm4+MTQ3NS0yNjYyIChFbGVjdHJvbmljKSYjeEQ7MDAwNy0xMTQ1IChM
aW5raW5nKTwvaXNibj48YWNjZXNzaW9uLW51bT4yODM2Nzc2NTwvYWNjZXNzaW9uLW51bT48dXJs
cz48cmVsYXRlZC11cmxzPjx1cmw+aHR0cHM6Ly93d3cubmNiaS5ubG0ubmloLmdvdi9wdWJtZWQv
MjgzNjc3NjU8L3VybD48L3JlbGF0ZWQtdXJscz48L3VybHM+PGN1c3RvbTI+UE1DNTQyNjMyMjwv
Y3VzdG9tMj48ZWxlY3Ryb25pYy1yZXNvdXJjZS1udW0+MTAuMTAxNy9TMDAwNzExNDUxNzAwMDI4
OTwvZWxlY3Ryb25pYy1yZXNvdXJjZS1udW0+PC9yZWNvcmQ+PC9DaXRlPjwvRW5kTm90ZT5=
</w:fldData>
        </w:fldChar>
      </w:r>
      <w:r w:rsidR="002747EA">
        <w:instrText xml:space="preserve"> ADDIN EN.CITE </w:instrText>
      </w:r>
      <w:r w:rsidR="002747EA">
        <w:fldChar w:fldCharType="begin">
          <w:fldData xml:space="preserve">PEVuZE5vdGU+PENpdGU+PEF1dGhvcj5BYnJhaGFtc3NvbjwvQXV0aG9yPjxZZWFyPjIwMDc8L1ll
YXI+PFJlY051bT4xNjgzPC9SZWNOdW0+PERpc3BsYXlUZXh0PjxzdHlsZSBmYWNlPSJzdXBlcnNj
cmlwdCIgZm9udD0iVHJlYnVjaGV0IE1TIiBzaXplPSI5Ij4yMzcsMjQ2LTI1MTwvc3R5bGU+PC9E
aXNwbGF5VGV4dD48cmVjb3JkPjxyZWMtbnVtYmVyPjE2ODM8L3JlYy1udW1iZXI+PGZvcmVpZ24t
a2V5cz48a2V5IGFwcD0iRU4iIGRiLWlkPSJleHZhc3JmeDJkdHJhb2VzYXN4cDJzenN4YTJkZjUw
MjU5MngiIHRpbWVzdGFtcD0iMTU4MTgzMjA3NiI+MTY4Mzwva2V5PjwvZm9yZWlnbi1rZXlzPjxy
ZWYtdHlwZSBuYW1lPSJKb3VybmFsIEFydGljbGUiPjE3PC9yZWYtdHlwZT48Y29udHJpYnV0b3Jz
PjxhdXRob3JzPjxhdXRob3I+QWJyYWhhbXNzb24sIFQuIFIuPC9hdXRob3I+PGF1dGhvcj5KYWtv
YnNzb24sIFQuPC9hdXRob3I+PGF1dGhvcj5Cb3R0Y2hlciwgTS4gRi48L2F1dGhvcj48YXV0aG9y
PkZyZWRyaWtzb24sIE0uPC9hdXRob3I+PGF1dGhvcj5KZW5tYWxtLCBNLiBDLjwvYXV0aG9yPjxh
dXRob3I+QmpvcmtzdGVuLCBCLjwvYXV0aG9yPjxhdXRob3I+T2xkYWV1cywgRy48L2F1dGhvcj48
L2F1dGhvcnM+PC9jb250cmlidXRvcnM+PGF1dGgtYWRkcmVzcz5EZXBhcnRtZW50IG9mIE1vbGVj
dWxhciBhbmQgQ2xpbmljYWwgTWVkaWNpbmUsIERpdmlzaW9uIG9mIFBlZGlhdHJpY3MsIExpbmtv
cGluZyBVbml2ZXJzaXR5LCBTd2VkZW4uIFRob21hcy5BYnJhaGFtc3NvbkBsaW8uc2U8L2F1dGgt
YWRkcmVzcz48dGl0bGVzPjx0aXRsZT5Qcm9iaW90aWNzIGluIHByZXZlbnRpb24gb2YgSWdFLWFz
c29jaWF0ZWQgZWN6ZW1hOiBhIGRvdWJsZS1ibGluZCwgcmFuZG9taXplZCwgcGxhY2Viby1jb250
cm9sbGVkIHRyaWFsPC90aXRsZT48c2Vjb25kYXJ5LXRpdGxlPkogQWxsZXJneSBDbGluIEltbXVu
b2w8L3NlY29uZGFyeS10aXRsZT48L3RpdGxlcz48cGVyaW9kaWNhbD48ZnVsbC10aXRsZT5KIEFs
bGVyZ3kgQ2xpbiBJbW11bm9sPC9mdWxsLXRpdGxlPjwvcGVyaW9kaWNhbD48cGFnZXM+MTE3NC04
MDwvcGFnZXM+PHZvbHVtZT4xMTk8L3ZvbHVtZT48bnVtYmVyPjU8L251bWJlcj48ZWRpdGlvbj4y
MDA3LzAzLzE0PC9lZGl0aW9uPjxrZXl3b3Jkcz48a2V5d29yZD5DaGlsZCwgUHJlc2Nob29sPC9r
ZXl3b3JkPjxrZXl3b3JkPkVjemVtYS8qcHJldmVudGlvbiAmYW1wOyBjb250cm9sPC9rZXl3b3Jk
PjxrZXl3b3JkPkZlbWFsZTwva2V5d29yZD48a2V5d29yZD5IdW1hbnM8L2tleXdvcmQ+PGtleXdv
cmQ+SHlwZXJzZW5zaXRpdml0eS8qcHJldmVudGlvbiAmYW1wOyBjb250cm9sPC9rZXl3b3JkPjxr
ZXl3b3JkPkltbXVub2dsb2J1bGluIEUvYmxvb2Q8L2tleXdvcmQ+PGtleXdvcmQ+SW5mYW50PC9r
ZXl3b3JkPjxrZXl3b3JkPkluZmFudCwgTmV3Ym9ybjwva2V5d29yZD48a2V5d29yZD5MYWN0b2Jh
Y2lsbHVzIHJldXRlcmkvKmltbXVub2xvZ3k8L2tleXdvcmQ+PGtleXdvcmQ+TWFsZTwva2V5d29y
ZD48a2V5d29yZD5QcmVnbmFuY3k8L2tleXdvcmQ+PGtleXdvcmQ+UHJvYmlvdGljcy8qdGhlcmFw
ZXV0aWMgdXNlPC9rZXl3b3JkPjxrZXl3b3JkPlNraW4gVGVzdHM8L2tleXdvcmQ+PC9rZXl3b3Jk
cz48ZGF0ZXM+PHllYXI+MjAwNzwveWVhcj48cHViLWRhdGVzPjxkYXRlPk1heTwvZGF0ZT48L3B1
Yi1kYXRlcz48L2RhdGVzPjxpc2JuPjAwOTEtNjc0OSAoUHJpbnQpJiN4RDswMDkxLTY3NDkgKExp
bmtpbmcpPC9pc2JuPjxhY2Nlc3Npb24tbnVtPjE3MzQ5Njg2PC9hY2Nlc3Npb24tbnVtPjx1cmxz
PjxyZWxhdGVkLXVybHM+PHVybD5odHRwczovL3d3dy5uY2JpLm5sbS5uaWguZ292L3B1Ym1lZC8x
NzM0OTY4NjwvdXJsPjwvcmVsYXRlZC11cmxzPjwvdXJscz48ZWxlY3Ryb25pYy1yZXNvdXJjZS1u
dW0+MTAuMTAxNi9qLmphY2kuMjAwNy4wMS4wMDc8L2VsZWN0cm9uaWMtcmVzb3VyY2UtbnVtPjwv
cmVjb3JkPjwvQ2l0ZT48Q2l0ZT48QXV0aG9yPkJveWxlPC9BdXRob3I+PFllYXI+MjAxMTwvWWVh
cj48UmVjTnVtPjgwPC9SZWNOdW0+PHJlY29yZD48cmVjLW51bWJlcj44MDwvcmVjLW51bWJlcj48
Zm9yZWlnbi1rZXlzPjxrZXkgYXBwPSJFTiIgZGItaWQ9ImVkMnA5YTBheDVyeHdiZWUwdm12OTk5
bnJ4dnphMGF3MmZkeCIgdGltZXN0YW1wPSIxNTgxODMxNDMzIj44MDwva2V5PjwvZm9yZWlnbi1r
ZXlzPjxyZWYtdHlwZSBuYW1lPSJKb3VybmFsIEFydGljbGUiPjE3PC9yZWYtdHlwZT48Y29udHJp
YnV0b3JzPjxhdXRob3JzPjxhdXRob3I+Qm95bGUsIFIuIEouPC9hdXRob3I+PGF1dGhvcj5Jc21h
aWwsIEkuIEguPC9hdXRob3I+PGF1dGhvcj5LaXZpdnVvcmksIFMuPC9hdXRob3I+PGF1dGhvcj5M
aWNjaWFyZGksIFAuIFYuPC9hdXRob3I+PGF1dGhvcj5Sb2JpbnMtQnJvd25lLCBSLiBNLjwvYXV0
aG9yPjxhdXRob3I+TWFoLCBMLiBKLjwvYXV0aG9yPjxhdXRob3I+QXhlbHJhZCwgQy48L2F1dGhv
cj48YXV0aG9yPk1vb3JlLCBTLjwvYXV0aG9yPjxhdXRob3I+RG9uYXRoLCBTLjwvYXV0aG9yPjxh
dXRob3I+Q2FybGluLCBKLiBCLjwvYXV0aG9yPjxhdXRob3I+TGFodGluZW4sIFMuIEouPC9hdXRo
b3I+PGF1dGhvcj5UYW5nLCBNLiBMLjwvYXV0aG9yPjwvYXV0aG9ycz48L2NvbnRyaWJ1dG9ycz48
YXV0aC1hZGRyZXNzPkFsbGVyZ3kgYW5kIEltbXVuZSBEaXNvcmRlcnMsIE11cmRvY2ggQ2hpbGRy
ZW4mYXBvcztzIFJlc2VhcmNoIEluc3RpdHV0ZSwgVW5pdmVyc2l0eSBvZiBNZWxib3VybmUsIE1l
bGJvdXJuZSwgQXVzdHJhbGlhLjwvYXV0aC1hZGRyZXNzPjx0aXRsZXM+PHRpdGxlPkxhY3RvYmFj
aWxsdXMgR0cgdHJlYXRtZW50IGR1cmluZyBwcmVnbmFuY3kgZm9yIHRoZSBwcmV2ZW50aW9uIG9m
IGVjemVtYTogYSByYW5kb21pemVkIGNvbnRyb2xsZWQgdHJpYWw8L3RpdGxlPjxzZWNvbmRhcnkt
dGl0bGU+QWxsZXJneTwvc2Vjb25kYXJ5LXRpdGxlPjwvdGl0bGVzPjxwZXJpb2RpY2FsPjxmdWxs
LXRpdGxlPkFsbGVyZ3k8L2Z1bGwtdGl0bGU+PC9wZXJpb2RpY2FsPjxwYWdlcz41MDktMTY8L3Bh
Z2VzPjx2b2x1bWU+NjY8L3ZvbHVtZT48bnVtYmVyPjQ8L251bWJlcj48ZWRpdGlvbj4yMDEwLzEy
LzAzPC9lZGl0aW9uPjxrZXl3b3Jkcz48a2V5d29yZD5BZHVsdDwva2V5d29yZD48a2V5d29yZD5F
Y3plbWEvZXBpZGVtaW9sb2d5LypwcmV2ZW50aW9uICZhbXA7IGNvbnRyb2w8L2tleXdvcmQ+PGtl
eXdvcmQ+RW56eW1lLUxpbmtlZCBJbW11bm9zb3JiZW50IEFzc2F5PC9rZXl3b3JkPjxrZXl3b3Jk
PkZlbWFsZTwva2V5d29yZD48a2V5d29yZD5GZXRhbCBCbG9vZC9jaGVtaXN0cnkvaW1tdW5vbG9n
eTwva2V5d29yZD48a2V5d29yZD5IdW1hbnM8L2tleXdvcmQ+PGtleXdvcmQ+SW5mYW50PC9rZXl3
b3JkPjxrZXl3b3JkPkxhY3RvYmFjaWxsdXMgcmhhbW5vc3VzLyppbW11bm9sb2d5PC9rZXl3b3Jk
PjxrZXl3b3JkPk1pZGRsZSBBZ2VkPC9rZXl3b3JkPjxrZXl3b3JkPk1pbGssIEh1bWFuL2NoZW1p
c3RyeS9pbW11bm9sb2d5PC9rZXl3b3JkPjxrZXl3b3JkPlByZWduYW5jeTwva2V5d29yZD48a2V5
d29yZD5QcmVuYXRhbCBFeHBvc3VyZSBEZWxheWVkIEVmZmVjdHMvKmltbXVub2xvZ3k8L2tleXdv
cmQ+PGtleXdvcmQ+UHJvYmlvdGljcy8qdGhlcmFwZXV0aWMgdXNlPC9rZXl3b3JkPjxrZXl3b3Jk
PllvdW5nIEFkdWx0PC9rZXl3b3JkPjwva2V5d29yZHM+PGRhdGVzPjx5ZWFyPjIwMTE8L3llYXI+
PHB1Yi1kYXRlcz48ZGF0ZT5BcHI8L2RhdGU+PC9wdWItZGF0ZXM+PC9kYXRlcz48aXNibj4xMzk4
LTk5OTUgKEVsZWN0cm9uaWMpJiN4RDswMTA1LTQ1MzggKExpbmtpbmcpPC9pc2JuPjxhY2Nlc3Np
b24tbnVtPjIxMTIxOTI3PC9hY2Nlc3Npb24tbnVtPjx1cmxzPjxyZWxhdGVkLXVybHM+PHVybD5o
dHRwczovL3d3dy5uY2JpLm5sbS5uaWguZ292L3B1Ym1lZC8yMTEyMTkyNzwvdXJsPjwvcmVsYXRl
ZC11cmxzPjwvdXJscz48ZWxlY3Ryb25pYy1yZXNvdXJjZS1udW0+MTAuMTExMS9qLjEzOTgtOTk5
NS4yMDEwLjAyNTA3Lng8L2VsZWN0cm9uaWMtcmVzb3VyY2UtbnVtPjwvcmVjb3JkPjwvQ2l0ZT48
Q2l0ZT48QXV0aG9yPkthbGxpb21ha2k8L0F1dGhvcj48WWVhcj4yMDAxPC9ZZWFyPjxSZWNOdW0+
MTY4ODwvUmVjTnVtPjxyZWNvcmQ+PHJlYy1udW1iZXI+MTY4ODwvcmVjLW51bWJlcj48Zm9yZWln
bi1rZXlzPjxrZXkgYXBwPSJFTiIgZGItaWQ9ImV4dmFzcmZ4MmR0cmFvZXNhc3hwMnN6c3hhMmRm
NTAyNTkyeCIgdGltZXN0YW1wPSIxNTgxODMyMDc2Ij4xNjg4PC9rZXk+PC9mb3JlaWduLWtleXM+
PHJlZi10eXBlIG5hbWU9IkpvdXJuYWwgQXJ0aWNsZSI+MTc8L3JlZi10eXBlPjxjb250cmlidXRv
cnM+PGF1dGhvcnM+PGF1dGhvcj5LYWxsaW9tYWtpLCBNLjwvYXV0aG9yPjxhdXRob3I+U2FsbWlu
ZW4sIFMuPC9hdXRob3I+PGF1dGhvcj5BcnZpbG9tbWksIEguPC9hdXRob3I+PGF1dGhvcj5LZXJv
LCBQLjwvYXV0aG9yPjxhdXRob3I+S29za2luZW4sIFAuPC9hdXRob3I+PGF1dGhvcj5Jc29sYXVy
aSwgRS48L2F1dGhvcj48L2F1dGhvcnM+PC9jb250cmlidXRvcnM+PGF1dGgtYWRkcmVzcz5EZXBh
cnRtZW50IG9mIFBhZWRpYXRyaWNzLCBVbml2ZXJzaXR5IG9mIFR1cmt1IGFuZCBUdXJrdSBVbml2
ZXJzaXR5IEhvc3BpdGFsLCBGaW5sYW5kLiBtYXJrYWxAdXR1LmZpPC9hdXRoLWFkZHJlc3M+PHRp
dGxlcz48dGl0bGU+UHJvYmlvdGljcyBpbiBwcmltYXJ5IHByZXZlbnRpb24gb2YgYXRvcGljIGRp
c2Vhc2U6IGEgcmFuZG9taXNlZCBwbGFjZWJvLWNvbnRyb2xsZWQgdHJpYWw8L3RpdGxlPjxzZWNv
bmRhcnktdGl0bGU+TGFuY2V0PC9zZWNvbmRhcnktdGl0bGU+PC90aXRsZXM+PHBlcmlvZGljYWw+
PGZ1bGwtdGl0bGU+TGFuY2V0PC9mdWxsLXRpdGxlPjwvcGVyaW9kaWNhbD48cGFnZXM+MTA3Ni05
PC9wYWdlcz48dm9sdW1lPjM1Nzwvdm9sdW1lPjxudW1iZXI+OTI2MjwvbnVtYmVyPjxlZGl0aW9u
PjIwMDEvMDQvMTI8L2VkaXRpb24+PGtleXdvcmRzPjxrZXl3b3JkPkNoaWxkLCBQcmVzY2hvb2w8
L2tleXdvcmQ+PGtleXdvcmQ+Q2hyb25pYyBEaXNlYXNlPC9rZXl3b3JkPjxrZXl3b3JkPkRlcm1h
dGl0aXMsIEF0b3BpYy9nZW5ldGljcy9pbW11bm9sb2d5L3ByZXZlbnRpb24gJmFtcDsgY29udHJv
bDwva2V5d29yZD48a2V5d29yZD5Eb3VibGUtQmxpbmQgTWV0aG9kPC9rZXl3b3JkPjxrZXl3b3Jk
PkZlbWFsZTwva2V5d29yZD48a2V5d29yZD5IdW1hbnM8L2tleXdvcmQ+PGtleXdvcmQ+SHlwZXJz
ZW5zaXRpdml0eSwgSW1tZWRpYXRlL2RpYWdub3Npcy9nZW5ldGljcy8qcHJldmVudGlvbiAmYW1w
OyBjb250cm9sPC9rZXl3b3JkPjxrZXl3b3JkPkltbXVub2dsb2J1bGluIEUvYmxvb2Q8L2tleXdv
cmQ+PGtleXdvcmQ+SW5mYW50PC9rZXl3b3JkPjxrZXl3b3JkPkluZmFudCwgTmV3Ym9ybjwva2V5
d29yZD48a2V5d29yZD5JbnRlc3RpbmVzL21pY3JvYmlvbG9neTwva2V5d29yZD48a2V5d29yZD4q
TGFjdG9iYWNpbGx1czwva2V5d29yZD48a2V5d29yZD5QcmVnbmFuY3k8L2tleXdvcmQ+PGtleXdv
cmQ+UHJlbmF0YWwgRXhwb3N1cmUgRGVsYXllZCBFZmZlY3RzPC9rZXl3b3JkPjxrZXl3b3JkPlBy
aW1hcnkgUHJldmVudGlvbjwva2V5d29yZD48a2V5d29yZD5Qcm9iaW90aWNzL2FkbWluaXN0cmF0
aW9uICZhbXA7IGRvc2FnZS8qdGhlcmFwZXV0aWMgdXNlPC9rZXl3b3JkPjxrZXl3b3JkPlJlY3Vy
cmVuY2U8L2tleXdvcmQ+PGtleXdvcmQ+UmlzayBGYWN0b3JzPC9rZXl3b3JkPjxrZXl3b3JkPlNr
aW4gVGVzdHM8L2tleXdvcmQ+PC9rZXl3b3Jkcz48ZGF0ZXM+PHllYXI+MjAwMTwveWVhcj48cHVi
LWRhdGVzPjxkYXRlPkFwciA3PC9kYXRlPjwvcHViLWRhdGVzPjwvZGF0ZXM+PGlzYm4+MDE0MC02
NzM2IChQcmludCkmI3hEOzAxNDAtNjczNiAoTGlua2luZyk8L2lzYm4+PGFjY2Vzc2lvbi1udW0+
MTEyOTc5NTg8L2FjY2Vzc2lvbi1udW0+PHVybHM+PHJlbGF0ZWQtdXJscz48dXJsPmh0dHBzOi8v
d3d3Lm5jYmkubmxtLm5paC5nb3YvcHVibWVkLzExMjk3OTU4PC91cmw+PC9yZWxhdGVkLXVybHM+
PC91cmxzPjxlbGVjdHJvbmljLXJlc291cmNlLW51bT4xMC4xMDE2L1MwMTQwLTY3MzYoMDApMDQy
NTktODwvZWxlY3Ryb25pYy1yZXNvdXJjZS1udW0+PC9yZWNvcmQ+PC9DaXRlPjxDaXRlPjxBdXRo
b3I+S2ltPC9BdXRob3I+PFllYXI+MjAxMDwvWWVhcj48UmVjTnVtPjE2OTA8L1JlY051bT48cmVj
b3JkPjxyZWMtbnVtYmVyPjE2OTA8L3JlYy1udW1iZXI+PGZvcmVpZ24ta2V5cz48a2V5IGFwcD0i
RU4iIGRiLWlkPSJleHZhc3JmeDJkdHJhb2VzYXN4cDJzenN4YTJkZjUwMjU5MngiIHRpbWVzdGFt
cD0iMTU4MTgzMjA3NiI+MTY5MDwva2V5PjwvZm9yZWlnbi1rZXlzPjxyZWYtdHlwZSBuYW1lPSJK
b3VybmFsIEFydGljbGUiPjE3PC9yZWYtdHlwZT48Y29udHJpYnV0b3JzPjxhdXRob3JzPjxhdXRo
b3I+S2ltLCBKLiBZLjwvYXV0aG9yPjxhdXRob3I+S3dvbiwgSi4gSC48L2F1dGhvcj48YXV0aG9y
PkFobiwgUy4gSC48L2F1dGhvcj48YXV0aG9yPkxlZSwgUy4gSS48L2F1dGhvcj48YXV0aG9yPkhh
biwgWS4gUy48L2F1dGhvcj48YXV0aG9yPkNob2ksIFkuIE8uPC9hdXRob3I+PGF1dGhvcj5MZWUs
IFMuIFkuPC9hdXRob3I+PGF1dGhvcj5BaG4sIEsuIE0uPC9hdXRob3I+PGF1dGhvcj5KaSwgRy4g
RS48L2F1dGhvcj48L2F1dGhvcnM+PC9jb250cmlidXRvcnM+PGF1dGgtYWRkcmVzcz5EZXBhcnRt
ZW50IG9mIEZvb2QgYW5kIE51dHJpdGlvbiwgQ29sbGVnZSBvZiBIdW1hbiBFY29sb2d5LCBTZW91
bCBOYXRpb25hbCBVbml2ZXJzaXR5LCBTYW4gNTYtMSwgU2hpbmxpbWRvbmcsIEt3YW5ha2t1LCBT
ZW91bCwgS29yZWEuPC9hdXRoLWFkZHJlc3M+PHRpdGxlcz48dGl0bGU+RWZmZWN0IG9mIHByb2Jp
b3RpYyBtaXggKEJpZmlkb2JhY3Rlcml1bSBiaWZpZHVtLCBCaWZpZG9iYWN0ZXJpdW0gbGFjdGlz
LCBMYWN0b2JhY2lsbHVzIGFjaWRvcGhpbHVzKSBpbiB0aGUgcHJpbWFyeSBwcmV2ZW50aW9uIG9m
IGVjemVtYTogYSBkb3VibGUtYmxpbmQsIHJhbmRvbWl6ZWQsIHBsYWNlYm8tY29udHJvbGxlZCB0
cmlhbDwvdGl0bGU+PHNlY29uZGFyeS10aXRsZT5QZWRpYXRyIEFsbGVyZ3kgSW1tdW5vbDwvc2Vj
b25kYXJ5LXRpdGxlPjwvdGl0bGVzPjxwZXJpb2RpY2FsPjxmdWxsLXRpdGxlPlBlZGlhdHIgQWxs
ZXJneSBJbW11bm9sPC9mdWxsLXRpdGxlPjwvcGVyaW9kaWNhbD48cGFnZXM+ZTM4Ni05MzwvcGFn
ZXM+PHZvbHVtZT4yMTwvdm9sdW1lPjxudW1iZXI+MiBQdCAyPC9udW1iZXI+PGVkaXRpb24+MjAw
OS8xMC8yMTwvZWRpdGlvbj48a2V5d29yZHM+PGtleXdvcmQ+QmlmaWRvYmFjdGVyaXVtL2NsYXNz
aWZpY2F0aW9uLyppbW11bm9sb2d5PC9rZXl3b3JkPjxrZXl3b3JkPkJyZWFzdCBGZWVkaW5nPC9r
ZXl3b3JkPjxrZXl3b3JkPkRlcm1hdGl0aXMsIEF0b3BpYy9lcGlkZW1pb2xvZ3kvaW1tdW5vbG9n
eS9wcmV2ZW50aW9uICZhbXA7IGNvbnRyb2w8L2tleXdvcmQ+PGtleXdvcmQ+RG91YmxlLUJsaW5k
IE1ldGhvZDwva2V5d29yZD48a2V5d29yZD5FY3plbWEvKmVwaWRlbWlvbG9neS9pbW11bm9sb2d5
L3ByZXZlbnRpb24gJmFtcDsgY29udHJvbDwva2V5d29yZD48a2V5d29yZD5GZW1hbGU8L2tleXdv
cmQ+PGtleXdvcmQ+Rm9vZCBIeXBlcnNlbnNpdGl2aXR5L3ByZXZlbnRpb24gJmFtcDsgY29udHJv
bDwva2V5d29yZD48a2V5d29yZD5IdW1hbnM8L2tleXdvcmQ+PGtleXdvcmQ+SW1tdW5vZ2xvYnVs
aW4gRS9ibG9vZDwva2V5d29yZD48a2V5d29yZD5JbmNpZGVuY2U8L2tleXdvcmQ+PGtleXdvcmQ+
SW5mYW50PC9rZXl3b3JkPjxrZXl3b3JkPkluZmFudCwgTmV3Ym9ybjwva2V5d29yZD48a2V5d29y
ZD5MYWN0b2JhY2lsbHVzIGFjaWRvcGhpbHVzLyppbW11bm9sb2d5PC9rZXl3b3JkPjxrZXl3b3Jk
PlBvc3RuYXRhbCBDYXJlPC9rZXl3b3JkPjxrZXl3b3JkPlByZWduYW5jeTwva2V5d29yZD48a2V5
d29yZD5QcmVuYXRhbCBDYXJlPC9rZXl3b3JkPjxrZXl3b3JkPlByZXZhbGVuY2U8L2tleXdvcmQ+
PGtleXdvcmQ+UHJvYmlvdGljcy8qYWRtaW5pc3RyYXRpb24gJmFtcDsgZG9zYWdlPC9rZXl3b3Jk
PjxrZXl3b3JkPlRyZWF0bWVudCBPdXRjb21lPC9rZXl3b3JkPjwva2V5d29yZHM+PGRhdGVzPjx5
ZWFyPjIwMTA8L3llYXI+PHB1Yi1kYXRlcz48ZGF0ZT5NYXI8L2RhdGU+PC9wdWItZGF0ZXM+PC9k
YXRlcz48aXNibj4xMzk5LTMwMzggKEVsZWN0cm9uaWMpJiN4RDswOTA1LTYxNTcgKExpbmtpbmcp
PC9pc2JuPjxhY2Nlc3Npb24tbnVtPjE5ODQwMzAwPC9hY2Nlc3Npb24tbnVtPjx1cmxzPjxyZWxh
dGVkLXVybHM+PHVybD5odHRwczovL3d3dy5uY2JpLm5sbS5uaWguZ292L3B1Ym1lZC8xOTg0MDMw
MDwvdXJsPjwvcmVsYXRlZC11cmxzPjwvdXJscz48ZWxlY3Ryb25pYy1yZXNvdXJjZS1udW0+MTAu
MTExMS9qLjEzOTktMzAzOC4yMDA5LjAwOTU4Lng8L2VsZWN0cm9uaWMtcmVzb3VyY2UtbnVtPjwv
cmVjb3JkPjwvQ2l0ZT48Q2l0ZT48QXV0aG9yPk5pZXJzPC9BdXRob3I+PFllYXI+MjAwOTwvWWVh
cj48UmVjTnVtPjE2OTM8L1JlY051bT48cmVjb3JkPjxyZWMtbnVtYmVyPjE2OTM8L3JlYy1udW1i
ZXI+PGZvcmVpZ24ta2V5cz48a2V5IGFwcD0iRU4iIGRiLWlkPSJleHZhc3JmeDJkdHJhb2VzYXN4
cDJzenN4YTJkZjUwMjU5MngiIHRpbWVzdGFtcD0iMTU4MTgzMjA3NiI+MTY5Mzwva2V5PjwvZm9y
ZWlnbi1rZXlzPjxyZWYtdHlwZSBuYW1lPSJKb3VybmFsIEFydGljbGUiPjE3PC9yZWYtdHlwZT48
Y29udHJpYnV0b3JzPjxhdXRob3JzPjxhdXRob3I+TmllcnMsIEwuPC9hdXRob3I+PGF1dGhvcj5N
YXJ0aW4sIFIuPC9hdXRob3I+PGF1dGhvcj5SaWprZXJzLCBHLjwvYXV0aG9yPjxhdXRob3I+U2Vu
Z2VycywgRi48L2F1dGhvcj48YXV0aG9yPlRpbW1lcm1hbiwgSC48L2F1dGhvcj48YXV0aG9yPnZh
biBVZGVuLCBOLjwvYXV0aG9yPjxhdXRob3I+U21pZHQsIEguPC9hdXRob3I+PGF1dGhvcj5LaW1w
ZW4sIEouPC9hdXRob3I+PGF1dGhvcj5Ib2Vrc3RyYSwgTS48L2F1dGhvcj48L2F1dGhvcnM+PC9j
b250cmlidXRvcnM+PGF1dGgtYWRkcmVzcz5EZXBhcnRtZW50IG9mIFBlZGlhdHJpY3MsIFdpbGhl
bG1pbmEgQ2hpbGRyZW4mYXBvcztzJmFwb3M7IEhvc3BpdGFsLCBVbml2ZXJzaXR5IE1lZGljYWwg
Q2VudGVyLCBVdHJlY2h0LCB0aGUgTmV0aGVybGFuZHMuPC9hdXRoLWFkZHJlc3M+PHRpdGxlcz48
dGl0bGU+VGhlIGVmZmVjdHMgb2Ygc2VsZWN0ZWQgcHJvYmlvdGljIHN0cmFpbnMgb24gdGhlIGRl
dmVsb3BtZW50IG9mIGVjemVtYSAodGhlIFBhbmRBIHN0dWR5KTwvdGl0bGU+PHNlY29uZGFyeS10
aXRsZT5BbGxlcmd5PC9zZWNvbmRhcnktdGl0bGU+PC90aXRsZXM+PHBlcmlvZGljYWw+PGZ1bGwt
dGl0bGU+QWxsZXJneTwvZnVsbC10aXRsZT48L3BlcmlvZGljYWw+PHBhZ2VzPjEzNDktNTg8L3Bh
Z2VzPjx2b2x1bWU+NjQ8L3ZvbHVtZT48bnVtYmVyPjk8L251bWJlcj48ZWRpdGlvbj4yMDA5LzA0
LzI4PC9lZGl0aW9uPjxrZXl3b3Jkcz48a2V5d29yZD5BZHVsdDwva2V5d29yZD48a2V5d29yZD4q
QmlmaWRvYmFjdGVyaXVtPC9rZXl3b3JkPjxrZXl3b3JkPkN5dG9raW5lcy9ibG9vZDwva2V5d29y
ZD48a2V5d29yZD5Eb3VibGUtQmxpbmQgTWV0aG9kPC9rZXl3b3JkPjxrZXl3b3JkPkVjemVtYS9p
bW11bm9sb2d5L21pY3JvYmlvbG9neS8qcHJldmVudGlvbiAmYW1wOyBjb250cm9sPC9rZXl3b3Jk
PjxrZXl3b3JkPkZlbWFsZTwva2V5d29yZD48a2V5d29yZD5IdW1hbnM8L2tleXdvcmQ+PGtleXdv
cmQ+SHlwZXJzZW5zaXRpdml0eS9pbW11bm9sb2d5L21pY3JvYmlvbG9neS8qcHJldmVudGlvbiAm
YW1wOyBjb250cm9sPC9rZXl3b3JkPjxrZXl3b3JkPkltbXVub2dsb2J1bGluIEUvYmxvb2Q8L2tl
eXdvcmQ+PGtleXdvcmQ+SW5mYW50PC9rZXl3b3JkPjxrZXl3b3JkPipMYWN0b2NvY2N1cyBsYWN0
aXM8L2tleXdvcmQ+PGtleXdvcmQ+TWFsZTwva2V5d29yZD48a2V5d29yZD5QcmVnbmFuY3k8L2tl
eXdvcmQ+PGtleXdvcmQ+UHJvYmlvdGljcy8qdGhlcmFwZXV0aWMgdXNlPC9rZXl3b3JkPjwva2V5
d29yZHM+PGRhdGVzPjx5ZWFyPjIwMDk8L3llYXI+PHB1Yi1kYXRlcz48ZGF0ZT5TZXA8L2RhdGU+
PC9wdWItZGF0ZXM+PC9kYXRlcz48aXNibj4xMzk4LTk5OTUgKEVsZWN0cm9uaWMpJiN4RDswMTA1
LTQ1MzggKExpbmtpbmcpPC9pc2JuPjxhY2Nlc3Npb24tbnVtPjE5MzkyOTkzPC9hY2Nlc3Npb24t
bnVtPjx1cmxzPjxyZWxhdGVkLXVybHM+PHVybD5odHRwczovL3d3dy5uY2JpLm5sbS5uaWguZ292
L3B1Ym1lZC8xOTM5Mjk5MzwvdXJsPjwvcmVsYXRlZC11cmxzPjwvdXJscz48ZWxlY3Ryb25pYy1y
ZXNvdXJjZS1udW0+MTAuMTExMS9qLjEzOTgtOTk5NS4yMDA5LjAyMDIxLng8L2VsZWN0cm9uaWMt
cmVzb3VyY2UtbnVtPjwvcmVjb3JkPjwvQ2l0ZT48Q2l0ZT48QXV0aG9yPlJhdXRhdmE8L0F1dGhv
cj48WWVhcj4yMDEyPC9ZZWFyPjxSZWNOdW0+MTY5NDwvUmVjTnVtPjxyZWNvcmQ+PHJlYy1udW1i
ZXI+MTY5NDwvcmVjLW51bWJlcj48Zm9yZWlnbi1rZXlzPjxrZXkgYXBwPSJFTiIgZGItaWQ9ImV4
dmFzcmZ4MmR0cmFvZXNhc3hwMnN6c3hhMmRmNTAyNTkyeCIgdGltZXN0YW1wPSIxNTgxODMyMDc2
Ij4xNjk0PC9rZXk+PC9mb3JlaWduLWtleXM+PHJlZi10eXBlIG5hbWU9IkpvdXJuYWwgQXJ0aWNs
ZSI+MTc8L3JlZi10eXBlPjxjb250cmlidXRvcnM+PGF1dGhvcnM+PGF1dGhvcj5SYXV0YXZhLCBT
LjwvYXV0aG9yPjxhdXRob3I+S2Fpbm9uZW4sIEUuPC9hdXRob3I+PGF1dGhvcj5TYWxtaW5lbiwg
Uy48L2F1dGhvcj48YXV0aG9yPklzb2xhdXJpLCBFLjwvYXV0aG9yPjwvYXV0aG9ycz48L2NvbnRy
aWJ1dG9ycz48YXV0aC1hZGRyZXNzPkRlcGFydG1lbnQgb2YgUGFlZGlhdHJpY3MsIFR1cmt1IFVu
aXZlcnNpdHkgQ2VudHJhbCBIb3NwaXRhbCwgVHVya3UsIEZpbmxhbmQuIHNhbXJhdUB1dHUuZmk8
L2F1dGgtYWRkcmVzcz48dGl0bGVzPjx0aXRsZT5NYXRlcm5hbCBwcm9iaW90aWMgc3VwcGxlbWVu
dGF0aW9uIGR1cmluZyBwcmVnbmFuY3kgYW5kIGJyZWFzdC1mZWVkaW5nIHJlZHVjZXMgdGhlIHJp
c2sgb2YgZWN6ZW1hIGluIHRoZSBpbmZhbnQ8L3RpdGxlPjxzZWNvbmRhcnktdGl0bGU+SiBBbGxl
cmd5IENsaW4gSW1tdW5vbDwvc2Vjb25kYXJ5LXRpdGxlPjwvdGl0bGVzPjxwZXJpb2RpY2FsPjxm
dWxsLXRpdGxlPkogQWxsZXJneSBDbGluIEltbXVub2w8L2Z1bGwtdGl0bGU+PC9wZXJpb2RpY2Fs
PjxwYWdlcz4xMzU1LTYwPC9wYWdlcz48dm9sdW1lPjEzMDwvdm9sdW1lPjxudW1iZXI+NjwvbnVt
YmVyPjxlZGl0aW9uPjIwMTIvMTAvMjM8L2VkaXRpb24+PGtleXdvcmRzPjxrZXl3b3JkPkFkdWx0
PC9rZXl3b3JkPjxrZXl3b3JkPkJyZWFzdCBGZWVkaW5nPC9rZXl3b3JkPjxrZXl3b3JkPipEaWV0
YXJ5IFN1cHBsZW1lbnRzPC9rZXl3b3JkPjxrZXl3b3JkPkVjemVtYS9pbW11bm9sb2d5LypwcmV2
ZW50aW9uICZhbXA7IGNvbnRyb2w8L2tleXdvcmQ+PGtleXdvcmQ+RmVtYWxlPC9rZXl3b3JkPjxr
ZXl3b3JkPkZvbGxvdy1VcCBTdHVkaWVzPC9rZXl3b3JkPjxrZXl3b3JkPkh1bWFuczwva2V5d29y
ZD48a2V5d29yZD5JbW11bm9nbG9idWxpbiBFL2Jsb29kPC9rZXl3b3JkPjxrZXl3b3JkPkluZmFu
dCwgTmV3Ym9ybjwva2V5d29yZD48a2V5d29yZD5NYWxlPC9rZXl3b3JkPjxrZXl3b3JkPk1hdGVy
bmFsIEV4cG9zdXJlPC9rZXl3b3JkPjxrZXl3b3JkPlByZWduYW5jeTwva2V5d29yZD48a2V5d29y
ZD5Qcm9iaW90aWNzLyphZG1pbmlzdHJhdGlvbiAmYW1wOyBkb3NhZ2U8L2tleXdvcmQ+PGtleXdv
cmQ+Umlzazwva2V5d29yZD48a2V5d29yZD5Ta2luIFRlc3RzPC9rZXl3b3JkPjxrZXl3b3JkPllv
dW5nIEFkdWx0PC9rZXl3b3JkPjwva2V5d29yZHM+PGRhdGVzPjx5ZWFyPjIwMTI8L3llYXI+PHB1
Yi1kYXRlcz48ZGF0ZT5EZWM8L2RhdGU+PC9wdWItZGF0ZXM+PC9kYXRlcz48aXNibj4xMDk3LTY4
MjUgKEVsZWN0cm9uaWMpJiN4RDswMDkxLTY3NDkgKExpbmtpbmcpPC9pc2JuPjxhY2Nlc3Npb24t
bnVtPjIzMDgzNjczPC9hY2Nlc3Npb24tbnVtPjx1cmxzPjxyZWxhdGVkLXVybHM+PHVybD5odHRw
czovL3d3dy5uY2JpLm5sbS5uaWguZ292L3B1Ym1lZC8yMzA4MzY3MzwvdXJsPjwvcmVsYXRlZC11
cmxzPjwvdXJscz48ZWxlY3Ryb25pYy1yZXNvdXJjZS1udW0+MTAuMTAxNi9qLmphY2kuMjAxMi4w
OS4wMDM8L2VsZWN0cm9uaWMtcmVzb3VyY2UtbnVtPjwvcmVjb3JkPjwvQ2l0ZT48Q2l0ZT48QXV0
aG9yPldpY2tlbnM8L0F1dGhvcj48WWVhcj4yMDE3PC9ZZWFyPjxSZWNOdW0+MTY3NTwvUmVjTnVt
PjxyZWNvcmQ+PHJlYy1udW1iZXI+MTY3NTwvcmVjLW51bWJlcj48Zm9yZWlnbi1rZXlzPjxrZXkg
YXBwPSJFTiIgZGItaWQ9ImV4dmFzcmZ4MmR0cmFvZXNhc3hwMnN6c3hhMmRmNTAyNTkyeCIgdGlt
ZXN0YW1wPSIxNTgxMzEyODgwIj4xNjc1PC9rZXk+PGtleSBhcHA9IkVOV2ViIiBkYi1pZD0iIj4w
PC9rZXk+PC9mb3JlaWduLWtleXM+PHJlZi10eXBlIG5hbWU9IkpvdXJuYWwgQXJ0aWNsZSI+MTc8
L3JlZi10eXBlPjxjb250cmlidXRvcnM+PGF1dGhvcnM+PGF1dGhvcj5XaWNrZW5zLCBLLiBMLjwv
YXV0aG9yPjxhdXRob3I+QmFydGhvdywgQy4gQS48L2F1dGhvcj48YXV0aG9yPk11cnBoeSwgUi48
L2F1dGhvcj48YXV0aG9yPkFiZWxzLCBQLiBSLjwvYXV0aG9yPjxhdXRob3I+TWF1ZGUsIFIuIE0u
PC9hdXRob3I+PGF1dGhvcj5TdG9uZSwgUC4gUi48L2F1dGhvcj48YXV0aG9yPk1pdGNoZWxsLCBF
LiBBLjwvYXV0aG9yPjxhdXRob3I+U3RhbmxleSwgVC4gVi48L2F1dGhvcj48YXV0aG9yPlB1cmRp
ZSwgRy4gTC48L2F1dGhvcj48YXV0aG9yPkthbmcsIEouIE0uPC9hdXRob3I+PGF1dGhvcj5Ib29k
LCBGLiBFLjwvYXV0aG9yPjxhdXRob3I+Um93ZGVuLCBKLiBMLjwvYXV0aG9yPjxhdXRob3I+QmFy
bmVzLCBQLiBLLjwvYXV0aG9yPjxhdXRob3I+Rml0emhhcnJpcywgUC4gRi48L2F1dGhvcj48YXV0
aG9yPkNyYW5lLCBKLjwvYXV0aG9yPjwvYXV0aG9ycz48L2NvbnRyaWJ1dG9ycz48YXV0aC1hZGRy
ZXNzPjFVbml2ZXJzaXR5IG9mIE90YWdvLFdlbGxpbmd0b24gNjAyMSxOZXcgWmVhbGFuZC4mI3hE
OzJVbml2ZXJzaXR5IG9mIEF1Y2tsYW5kLEF1Y2tsYW5kIDExNDIsTmV3IFplYWxhbmQuJiN4RDs0
VmljdG9yaWEgVW5pdmVyc2l0eSxXZWxsaW5ndG9uIDYwMjEsTmV3IFplYWxhbmQuJiN4RDs1QXVj
a2xhbmQgSG9zcGl0YWwsQXVja2xhbmQgMTE0MixOZXcgWmVhbGFuZC48L2F1dGgtYWRkcmVzcz48
dGl0bGVzPjx0aXRsZT5FYXJseSBwcmVnbmFuY3kgcHJvYmlvdGljIHN1cHBsZW1lbnRhdGlvbiB3
aXRoIExhY3RvYmFjaWxsdXMgcmhhbW5vc3VzIEhOMDAxIG1heSByZWR1Y2UgdGhlIHByZXZhbGVu
Y2Ugb2YgZ2VzdGF0aW9uYWwgZGlhYmV0ZXMgbWVsbGl0dXM6IGEgcmFuZG9taXNlZCBjb250cm9s
bGVkIHRyaWFsPC90aXRsZT48c2Vjb25kYXJ5LXRpdGxlPkJyIEogTnV0cjwvc2Vjb25kYXJ5LXRp
dGxlPjwvdGl0bGVzPjxwZXJpb2RpY2FsPjxmdWxsLXRpdGxlPkJyIEogTnV0cjwvZnVsbC10aXRs
ZT48L3BlcmlvZGljYWw+PHBhZ2VzPjgwNC04MTM8L3BhZ2VzPjx2b2x1bWU+MTE3PC92b2x1bWU+
PG51bWJlcj42PC9udW1iZXI+PGVkaXRpb24+MjAxNy8wNC8wNDwvZWRpdGlvbj48a2V5d29yZHM+
PGtleXdvcmQ+QWR1bHQ8L2tleXdvcmQ+PGtleXdvcmQ+Qmxvb2QgR2x1Y29zZS8qbWV0YWJvbGlz
bTwva2V5d29yZD48a2V5d29yZD5EaWFiZXRlcywgR2VzdGF0aW9uYWwvYmxvb2QvKnByZXZlbnRp
b24gJmFtcDsgY29udHJvbDwva2V5d29yZD48a2V5d29yZD5Eb3VibGUtQmxpbmQgTWV0aG9kPC9r
ZXl3b3JkPjxrZXl3b3JkPkZlbWFsZTwva2V5d29yZD48a2V5d29yZD5IdW1hbnM8L2tleXdvcmQ+
PGtleXdvcmQ+KkxhY3RvYmFjaWxsdXMgcmhhbW5vc3VzPC9rZXl3b3JkPjxrZXl3b3JkPk5ldyBa
ZWFsYW5kL2VwaWRlbWlvbG9neTwva2V5d29yZD48a2V5d29yZD5QcmVnbmFuY3k8L2tleXdvcmQ+
PGtleXdvcmQ+UHJldmFsZW5jZTwva2V5d29yZD48a2V5d29yZD5Qcm9iaW90aWNzLyp0aGVyYXBl
dXRpYyB1c2U8L2tleXdvcmQ+PGtleXdvcmQ+TGFjdG9iYWNpbGx1cyByaGFtbm9zdXMgSE4wMDE8
L2tleXdvcmQ+PGtleXdvcmQ+Rm9udGVycmEgRm9udGVycmEgQ28tb3BlcmF0aXZlIEdyb3VwIEx0
ZDwva2V5d29yZD48a2V5d29yZD5HRE0gZ2VzdGF0aW9uYWwgZGlhYmV0ZXMgbWVsbGl0dXM8L2tl
eXdvcmQ+PGtleXdvcmQ+R1RUIGdsdWNvc2UgdG9sZXJhbmNlIHRlc3Q8L2tleXdvcmQ+PGtleXdv
cmQ+SE4wMDEgTGFjdG9iYWNpbGx1cyByaGFtbm9zdXMgSE4wMDE8L2tleXdvcmQ+PGtleXdvcmQ+
SUFEUFNHIEludGVybmF0aW9uYWwgQXNzb2NpYXRpb24gb2YgRGlhYmV0ZXMgYW5kIFByZWduYW5j
eSBTdHVkeSBHcm91cDwva2V5d29yZD48a2V5d29yZD5OWiBOZXcgWmVhbGFuZDwva2V5d29yZD48
a2V5d29yZD5SUiByZWxhdGl2ZSByYXRlPC9rZXl3b3JkPjxrZXl3b3JkPkdlc3RhdGlvbmFsIGRp
YWJldGVzIG1lbGxpdHVzPC9rZXl3b3JkPjxrZXl3b3JkPlByb2Jpb3RpY3M8L2tleXdvcmQ+PGtl
eXdvcmQ+UmFuZG9taXNlZCBjb250cm9sbGVkIHRyaWFsczwva2V5d29yZD48L2tleXdvcmRzPjxk
YXRlcz48eWVhcj4yMDE3PC95ZWFyPjxwdWItZGF0ZXM+PGRhdGU+TWFyPC9kYXRlPjwvcHViLWRh
dGVzPjwvZGF0ZXM+PGlzYm4+MTQ3NS0yNjYyIChFbGVjdHJvbmljKSYjeEQ7MDAwNy0xMTQ1IChM
aW5raW5nKTwvaXNibj48YWNjZXNzaW9uLW51bT4yODM2Nzc2NTwvYWNjZXNzaW9uLW51bT48dXJs
cz48cmVsYXRlZC11cmxzPjx1cmw+aHR0cHM6Ly93d3cubmNiaS5ubG0ubmloLmdvdi9wdWJtZWQv
MjgzNjc3NjU8L3VybD48L3JlbGF0ZWQtdXJscz48L3VybHM+PGN1c3RvbTI+UE1DNTQyNjMyMjwv
Y3VzdG9tMj48ZWxlY3Ryb25pYy1yZXNvdXJjZS1udW0+MTAuMTAxNy9TMDAwNzExNDUxNzAwMDI4
OTwvZWxlY3Ryb25pYy1yZXNvdXJjZS1udW0+PC9yZWNvcmQ+PC9DaXRlPjwvRW5kTm90ZT5=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237,246-251</w:t>
      </w:r>
      <w:r w:rsidR="00AB21E2">
        <w:fldChar w:fldCharType="end"/>
      </w:r>
      <w:r w:rsidR="00D76EA6">
        <w:t xml:space="preserve"> </w:t>
      </w:r>
    </w:p>
    <w:p w14:paraId="0C43D4DB" w14:textId="174A5EE5" w:rsidR="00AB21E2" w:rsidRDefault="00AB21E2" w:rsidP="005B4719">
      <w:r>
        <w:t>The type(s) of probiotic given in the studies also varied, as did the timing and duration of the intervention, with duration varying from 4 to 31 weeks.</w:t>
      </w:r>
    </w:p>
    <w:p w14:paraId="555BC93B" w14:textId="74F3F84D" w:rsidR="00855446" w:rsidRDefault="00B16E31" w:rsidP="005B4719">
      <w:r>
        <w:t>The studies were carried out in Australia (</w:t>
      </w:r>
      <w:r w:rsidRPr="00D676D7">
        <w:rPr>
          <w:sz w:val="16"/>
          <w:szCs w:val="16"/>
        </w:rPr>
        <w:t>n=</w:t>
      </w:r>
      <w:r w:rsidR="00446960">
        <w:rPr>
          <w:sz w:val="16"/>
          <w:szCs w:val="16"/>
        </w:rPr>
        <w:t>3</w:t>
      </w:r>
      <w:r>
        <w:t>),</w:t>
      </w:r>
      <w:r w:rsidR="00AB21E2">
        <w:fldChar w:fldCharType="begin">
          <w:fldData xml:space="preserve">PEVuZE5vdGU+PENpdGU+PEF1dGhvcj5Cb3lsZTwvQXV0aG9yPjxZZWFyPjIwMTE8L1llYXI+PFJl
Y051bT44MDwvUmVjTnVtPjxEaXNwbGF5VGV4dD48c3R5bGUgZmFjZT0ic3VwZXJzY3JpcHQiIGZv
bnQ9IlRyZWJ1Y2hldCBNUyIgc2l6ZT0iOSI+MjI4LDIzNSwyNDc8L3N0eWxlPjwvRGlzcGxheVRl
eHQ+PHJlY29yZD48cmVjLW51bWJlcj44MDwvcmVjLW51bWJlcj48Zm9yZWlnbi1rZXlzPjxrZXkg
YXBwPSJFTiIgZGItaWQ9ImVkMnA5YTBheDVyeHdiZWUwdm12OTk5bnJ4dnphMGF3MmZkeCIgdGlt
ZXN0YW1wPSIxNTgxODMxNDMzIj44MDwva2V5PjwvZm9yZWlnbi1rZXlzPjxyZWYtdHlwZSBuYW1l
PSJKb3VybmFsIEFydGljbGUiPjE3PC9yZWYtdHlwZT48Y29udHJpYnV0b3JzPjxhdXRob3JzPjxh
dXRob3I+Qm95bGUsIFIuIEouPC9hdXRob3I+PGF1dGhvcj5Jc21haWwsIEkuIEguPC9hdXRob3I+
PGF1dGhvcj5LaXZpdnVvcmksIFMuPC9hdXRob3I+PGF1dGhvcj5MaWNjaWFyZGksIFAuIFYuPC9h
dXRob3I+PGF1dGhvcj5Sb2JpbnMtQnJvd25lLCBSLiBNLjwvYXV0aG9yPjxhdXRob3I+TWFoLCBM
LiBKLjwvYXV0aG9yPjxhdXRob3I+QXhlbHJhZCwgQy48L2F1dGhvcj48YXV0aG9yPk1vb3JlLCBT
LjwvYXV0aG9yPjxhdXRob3I+RG9uYXRoLCBTLjwvYXV0aG9yPjxhdXRob3I+Q2FybGluLCBKLiBC
LjwvYXV0aG9yPjxhdXRob3I+TGFodGluZW4sIFMuIEouPC9hdXRob3I+PGF1dGhvcj5UYW5nLCBN
LiBMLjwvYXV0aG9yPjwvYXV0aG9ycz48L2NvbnRyaWJ1dG9ycz48YXV0aC1hZGRyZXNzPkFsbGVy
Z3kgYW5kIEltbXVuZSBEaXNvcmRlcnMsIE11cmRvY2ggQ2hpbGRyZW4mYXBvcztzIFJlc2VhcmNo
IEluc3RpdHV0ZSwgVW5pdmVyc2l0eSBvZiBNZWxib3VybmUsIE1lbGJvdXJuZSwgQXVzdHJhbGlh
LjwvYXV0aC1hZGRyZXNzPjx0aXRsZXM+PHRpdGxlPkxhY3RvYmFjaWxsdXMgR0cgdHJlYXRtZW50
IGR1cmluZyBwcmVnbmFuY3kgZm9yIHRoZSBwcmV2ZW50aW9uIG9mIGVjemVtYTogYSByYW5kb21p
emVkIGNvbnRyb2xsZWQgdHJpYWw8L3RpdGxlPjxzZWNvbmRhcnktdGl0bGU+QWxsZXJneTwvc2Vj
b25kYXJ5LXRpdGxlPjwvdGl0bGVzPjxwZXJpb2RpY2FsPjxmdWxsLXRpdGxlPkFsbGVyZ3k8L2Z1
bGwtdGl0bGU+PC9wZXJpb2RpY2FsPjxwYWdlcz41MDktMTY8L3BhZ2VzPjx2b2x1bWU+NjY8L3Zv
bHVtZT48bnVtYmVyPjQ8L251bWJlcj48ZWRpdGlvbj4yMDEwLzEyLzAzPC9lZGl0aW9uPjxrZXl3
b3Jkcz48a2V5d29yZD5BZHVsdDwva2V5d29yZD48a2V5d29yZD5FY3plbWEvZXBpZGVtaW9sb2d5
LypwcmV2ZW50aW9uICZhbXA7IGNvbnRyb2w8L2tleXdvcmQ+PGtleXdvcmQ+RW56eW1lLUxpbmtl
ZCBJbW11bm9zb3JiZW50IEFzc2F5PC9rZXl3b3JkPjxrZXl3b3JkPkZlbWFsZTwva2V5d29yZD48
a2V5d29yZD5GZXRhbCBCbG9vZC9jaGVtaXN0cnkvaW1tdW5vbG9neTwva2V5d29yZD48a2V5d29y
ZD5IdW1hbnM8L2tleXdvcmQ+PGtleXdvcmQ+SW5mYW50PC9rZXl3b3JkPjxrZXl3b3JkPkxhY3Rv
YmFjaWxsdXMgcmhhbW5vc3VzLyppbW11bm9sb2d5PC9rZXl3b3JkPjxrZXl3b3JkPk1pZGRsZSBB
Z2VkPC9rZXl3b3JkPjxrZXl3b3JkPk1pbGssIEh1bWFuL2NoZW1pc3RyeS9pbW11bm9sb2d5PC9r
ZXl3b3JkPjxrZXl3b3JkPlByZWduYW5jeTwva2V5d29yZD48a2V5d29yZD5QcmVuYXRhbCBFeHBv
c3VyZSBEZWxheWVkIEVmZmVjdHMvKmltbXVub2xvZ3k8L2tleXdvcmQ+PGtleXdvcmQ+UHJvYmlv
dGljcy8qdGhlcmFwZXV0aWMgdXNlPC9rZXl3b3JkPjxrZXl3b3JkPllvdW5nIEFkdWx0PC9rZXl3
b3JkPjwva2V5d29yZHM+PGRhdGVzPjx5ZWFyPjIwMTE8L3llYXI+PHB1Yi1kYXRlcz48ZGF0ZT5B
cHI8L2RhdGU+PC9wdWItZGF0ZXM+PC9kYXRlcz48aXNibj4xMzk4LTk5OTUgKEVsZWN0cm9uaWMp
JiN4RDswMTA1LTQ1MzggKExpbmtpbmcpPC9pc2JuPjxhY2Nlc3Npb24tbnVtPjIxMTIxOTI3PC9h
Y2Nlc3Npb24tbnVtPjx1cmxzPjxyZWxhdGVkLXVybHM+PHVybD5odHRwczovL3d3dy5uY2JpLm5s
bS5uaWguZ292L3B1Ym1lZC8yMTEyMTkyNzwvdXJsPjwvcmVsYXRlZC11cmxzPjwvdXJscz48ZWxl
Y3Ryb25pYy1yZXNvdXJjZS1udW0+MTAuMTExMS9qLjEzOTgtOTk5NS4yMDEwLjAyNTA3Lng8L2Vs
ZWN0cm9uaWMtcmVzb3VyY2UtbnVtPjwvcmVjb3JkPjwvQ2l0ZT48Q2l0ZT48QXV0aG9yPkNhbGxh
d2F5PC9BdXRob3I+PFllYXI+MjAxOTwvWWVhcj48UmVjTnVtPjE2NDk8L1JlY051bT48cmVjb3Jk
PjxyZWMtbnVtYmVyPjE2NDk8L3JlYy1udW1iZXI+PGZvcmVpZ24ta2V5cz48a2V5IGFwcD0iRU4i
IGRiLWlkPSJleHZhc3JmeDJkdHJhb2VzYXN4cDJzenN4YTJkZjUwMjU5MngiIHRpbWVzdGFtcD0i
MTU4MTMxMjY5OCI+MTY0OTwva2V5PjxrZXkgYXBwPSJFTldlYiIgZGItaWQ9IiI+MDwva2V5Pjwv
Zm9yZWlnbi1rZXlzPjxyZWYtdHlwZSBuYW1lPSJKb3VybmFsIEFydGljbGUiPjE3PC9yZWYtdHlw
ZT48Y29udHJpYnV0b3JzPjxhdXRob3JzPjxhdXRob3I+Q2FsbGF3YXksIEwuIEsuPC9hdXRob3I+
PGF1dGhvcj5NY0ludHlyZSwgSC4gRC48L2F1dGhvcj48YXV0aG9yPkJhcnJldHQsIEguIEwuPC9h
dXRob3I+PGF1dGhvcj5Gb3hjcm9mdCwgSy48L2F1dGhvcj48YXV0aG9yPlRyZW1lbGxlbiwgQS48
L2F1dGhvcj48YXV0aG9yPkxpbmd3b29kLCBCLiBFLjwvYXV0aG9yPjxhdXRob3I+VG9iaW4sIEou
IE0uPC9hdXRob3I+PGF1dGhvcj5XaWxraW5zb24sIFMuPC9hdXRob3I+PGF1dGhvcj5Lb3RoYXJp
LCBBLjwvYXV0aG9yPjxhdXRob3I+TW9ycmlzb24sIE0uPC9hdXRob3I+PGF1dGhvcj5PJmFwb3M7
Um91cmtlLCBQLjwvYXV0aG9yPjxhdXRob3I+UGVsZWNhbm9zLCBBLjwvYXV0aG9yPjxhdXRob3I+
RGVra2VyIE5pdGVydCwgTS48L2F1dGhvcj48L2F1dGhvcnM+PC9jb250cmlidXRvcnM+PGF1dGgt
YWRkcmVzcz5Xb21lbiZhcG9zO3MgYW5kIE5ld2Jvcm4gU2VydmljZXMsIFJveWFsIEJyaXNiYW5l
IGFuZCBXb21lbiZhcG9zO3MgSG9zcGl0YWwsIEhlcnN0b24sIEF1c3RyYWxpYSBsLmNhbGxhd2F5
QHVxLmVkdS5hdS4mI3hEO0ZhY3VsdHkgb2YgTWVkaWNpbmUsIFRoZSBVbml2ZXJzaXR5IG9mIFF1
ZWVuc2xhbmQsIEhlcnN0b24sIEF1c3RyYWxpYS4mI3hEO01hdGVyIE1lZGljYWwgUmVzZWFyY2gg
SW5zdGl0dXRlLCBTb3V0aCBCcmlzYmFuZSwgQXVzdHJhbGlhLiYjeEQ7V29tZW4mYXBvcztzIGFu
ZCBOZXdib3JuIFNlcnZpY2VzLCBSb3lhbCBCcmlzYmFuZSBhbmQgV29tZW4mYXBvcztzIEhvc3Bp
dGFsLCBIZXJzdG9uLCBBdXN0cmFsaWEuJiN4RDtKYW1lcyBDb29rIFVuaXZlcnNpdHksIE1hY2th
eSwgQXVzdHJhbGlhLiYjeEQ7RGVwYXJ0bWVudCBvZiBOdXRyaXRpb24gYW5kIERpZXRldGljcywg
TWF0ZXIgR3JvdXAsIFNvdXRoIEJyaXNiYW5lLCBBdXN0cmFsaWEuJiN4RDtSZWRjbGlmZmUgSG9z
cGl0YWwsIFJlZGNsaWZmZSwgQXVzdHJhbGlhLiYjeEQ7RmFjdWx0eSBvZiBNZWRpY2luZSwgVW5p
dmVyc2l0eSBvZiBRdWVlbnNsYW5kIERpYW1hbnRpbmEgSW5zdGl0dXRlLCBUcmFuc2xhdGlvbmFs
IFJlc2VhcmNoIEluc3RpdHV0ZSwgV29vbGxvb25nYWJiYSwgQXVzdHJhbGlhLiYjeEQ7UUlNUiBC
ZXJnaG9mZXIgTWVkaWNhbCBSZXNlYXJjaCBJbnN0aXR1dGUsIEhlcnN0b24sIEF1c3RyYWxpYS4m
I3hEO1NjaG9vbCBvZiBDaGVtaXN0cnkgYW5kIE1vbGVjdWxhciBCaW9zY2llbmNlcywgVGhlIFVu
aXZlcnNpdHkgb2YgUXVlZW5zbGFuZCwgU3QgTHVjaWEsIEF1c3RyYWxpYS48L2F1dGgtYWRkcmVz
cz48dGl0bGVzPjx0aXRsZT5Qcm9iaW90aWNzIGZvciB0aGUgcHJldmVudGlvbiBvZiBnZXN0YXRp
b25hbCBkaWFiZXRlcyBtZWxsaXR1cyBpbiBvdmVyd2VpZ2h0IGFuZCBvYmVzZSB3b21lbjogRmlu
ZGluZ3MgZnJvbSB0aGUgU1BSSU5HIGRvdWJsZS1ibGluZCByYW5kb21pemVkIGNvbnRyb2xsZWQg
dHJpYWw8L3RpdGxlPjxzZWNvbmRhcnktdGl0bGU+RGlhYmV0ZXMgQ2FyZTwvc2Vjb25kYXJ5LXRp
dGxlPjwvdGl0bGVzPjxwZXJpb2RpY2FsPjxmdWxsLXRpdGxlPkRpYWJldGVzIENhcmU8L2Z1bGwt
dGl0bGU+PC9wZXJpb2RpY2FsPjxwYWdlcz4zNjQtMzcxPC9wYWdlcz48dm9sdW1lPjQyPC92b2x1
bWU+PG51bWJlcj4zPC9udW1iZXI+PGVkaXRpb24+MjAxOS8wMS8yMDwvZWRpdGlvbj48a2V5d29y
ZHM+PGtleXdvcmQ+QWR1bHQ8L2tleXdvcmQ+PGtleXdvcmQ+QXVzdHJhbGlhPC9rZXl3b3JkPjxr
ZXl3b3JkPkRpYWJldGVzLCBHZXN0YXRpb25hbC9ibG9vZC8qcHJldmVudGlvbiAmYW1wOyBjb250
cm9sPC9rZXl3b3JkPjxrZXl3b3JkPkRvdWJsZS1CbGluZCBNZXRob2Q8L2tleXdvcmQ+PGtleXdv
cmQ+RmVtYWxlPC9rZXl3b3JkPjxrZXl3b3JkPkdhc3Ryb2ludGVzdGluYWwgTWljcm9iaW9tZTwv
a2V5d29yZD48a2V5d29yZD5HbHVjb3NlIFRvbGVyYW5jZSBUZXN0PC9rZXl3b3JkPjxrZXl3b3Jk
Pkh1bWFuczwva2V5d29yZD48a2V5d29yZD5PYmVzaXR5L2NvbXBsaWNhdGlvbnMvKmRpZXQgdGhl
cmFweTwva2V5d29yZD48a2V5d29yZD5PdmVyd2VpZ2h0L2NvbXBsaWNhdGlvbnMvKmRpZXQgdGhl
cmFweTwva2V5d29yZD48a2V5d29yZD5QcmVnbmFuY3k8L2tleXdvcmQ+PGtleXdvcmQ+UHJlZ25h
bmN5IENvbXBsaWNhdGlvbnMvKmRpZXQgdGhlcmFweTwva2V5d29yZD48a2V5d29yZD5Qcm9iaW90
aWNzLyp0aGVyYXBldXRpYyB1c2U8L2tleXdvcmQ+PGtleXdvcmQ+V2VpZ2h0IEdhaW48L2tleXdv
cmQ+PC9rZXl3b3Jkcz48ZGF0ZXM+PHllYXI+MjAxOTwveWVhcj48cHViLWRhdGVzPjxkYXRlPk1h
cjwvZGF0ZT48L3B1Yi1kYXRlcz48L2RhdGVzPjxpc2JuPjE5MzUtNTU0OCAoRWxlY3Ryb25pYykm
I3hEOzAxNDktNTk5MiAoTGlua2luZyk8L2lzYm4+PGFjY2Vzc2lvbi1udW0+MzA2NTkwNzA8L2Fj
Y2Vzc2lvbi1udW0+PHVybHM+PHJlbGF0ZWQtdXJscz48dXJsPmh0dHBzOi8vd3d3Lm5jYmkubmxt
Lm5paC5nb3YvcHVibWVkLzMwNjU5MDcwPC91cmw+PC9yZWxhdGVkLXVybHM+PC91cmxzPjxlbGVj
dHJvbmljLXJlc291cmNlLW51bT4xMC4yMzM3L2RjMTgtMjI0ODwvZWxlY3Ryb25pYy1yZXNvdXJj
ZS1udW0+PC9yZWNvcmQ+PC9DaXRlPjxDaXRlPjxBdXRob3I+T2xzZW48L0F1dGhvcj48WWVhcj4y
MDE4PC9ZZWFyPjxSZWNOdW0+MTcwOTwvUmVjTnVtPjxyZWNvcmQ+PHJlYy1udW1iZXI+MTcwOTwv
cmVjLW51bWJlcj48Zm9yZWlnbi1rZXlzPjxrZXkgYXBwPSJFTiIgZGItaWQ9ImV4dmFzcmZ4MmR0
cmFvZXNhc3hwMnN6c3hhMmRmNTAyNTkyeCIgdGltZXN0YW1wPSIxNTgyNDk5MTgyIj4xNzA5PC9r
ZXk+PC9mb3JlaWduLWtleXM+PHJlZi10eXBlIG5hbWU9IkpvdXJuYWwgQXJ0aWNsZSI+MTc8L3Jl
Zi10eXBlPjxjb250cmlidXRvcnM+PGF1dGhvcnM+PGF1dGhvcj5PbHNlbiwgUGF1bGE8L2F1dGhv
cj48YXV0aG9yPldpbGxpYW1zb24sIE1vaXJhPC9hdXRob3I+PGF1dGhvcj5UcmF5bm9yLCBWaWN0
b3JpYTwvYXV0aG9yPjxhdXRob3I+R2Vvcmdpb3UsIENocmlzPC9hdXRob3I+PC9hdXRob3JzPjwv
Y29udHJpYnV0b3JzPjx0aXRsZXM+PHRpdGxlPlRoZSBpbXBhY3Qgb2Ygb3JhbCBwcm9iaW90aWNz
IG9uIHZhZ2luYWwgR3JvdXAgQiBTdHJlcHRvY29jY2FsIGNvbG9uaXNhdGlvbiByYXRlcyBpbiBw
cmVnbmFudCB3b21lbjogQSBwaWxvdCByYW5kb21pc2VkIGNvbnRyb2wgc3R1ZHk8L3RpdGxlPjxz
ZWNvbmRhcnktdGl0bGU+V29tZW4gYW5kIEJpcnRoPC9zZWNvbmRhcnktdGl0bGU+PC90aXRsZXM+
PHBlcmlvZGljYWw+PGZ1bGwtdGl0bGU+V29tZW4gYW5kIEJpcnRoPC9mdWxsLXRpdGxlPjwvcGVy
aW9kaWNhbD48cGFnZXM+MzEtMzc8L3BhZ2VzPjx2b2x1bWU+MzE8L3ZvbHVtZT48bnVtYmVyPjE8
L251bWJlcj48c2VjdGlvbj4zMTwvc2VjdGlvbj48ZGF0ZXM+PHllYXI+MjAxODwveWVhcj48L2Rh
dGVzPjxpc2JuPjE4NzE1MTkyPC9pc2JuPjx1cmxzPjwvdXJscz48ZWxlY3Ryb25pYy1yZXNvdXJj
ZS1udW0+MTAuMTAxNi9qLndvbWJpLjIwMTcuMDYuMDEyPC9lbGVjdHJvbmljLXJlc291cmNlLW51
bT48L3JlY29yZD48L0NpdGU+PC9FbmROb3RlPgB=
</w:fldData>
        </w:fldChar>
      </w:r>
      <w:r w:rsidR="002747EA">
        <w:instrText xml:space="preserve"> ADDIN EN.CITE </w:instrText>
      </w:r>
      <w:r w:rsidR="002747EA">
        <w:fldChar w:fldCharType="begin">
          <w:fldData xml:space="preserve">PEVuZE5vdGU+PENpdGU+PEF1dGhvcj5Cb3lsZTwvQXV0aG9yPjxZZWFyPjIwMTE8L1llYXI+PFJl
Y051bT44MDwvUmVjTnVtPjxEaXNwbGF5VGV4dD48c3R5bGUgZmFjZT0ic3VwZXJzY3JpcHQiIGZv
bnQ9IlRyZWJ1Y2hldCBNUyIgc2l6ZT0iOSI+MjI4LDIzNSwyNDc8L3N0eWxlPjwvRGlzcGxheVRl
eHQ+PHJlY29yZD48cmVjLW51bWJlcj44MDwvcmVjLW51bWJlcj48Zm9yZWlnbi1rZXlzPjxrZXkg
YXBwPSJFTiIgZGItaWQ9ImVkMnA5YTBheDVyeHdiZWUwdm12OTk5bnJ4dnphMGF3MmZkeCIgdGlt
ZXN0YW1wPSIxNTgxODMxNDMzIj44MDwva2V5PjwvZm9yZWlnbi1rZXlzPjxyZWYtdHlwZSBuYW1l
PSJKb3VybmFsIEFydGljbGUiPjE3PC9yZWYtdHlwZT48Y29udHJpYnV0b3JzPjxhdXRob3JzPjxh
dXRob3I+Qm95bGUsIFIuIEouPC9hdXRob3I+PGF1dGhvcj5Jc21haWwsIEkuIEguPC9hdXRob3I+
PGF1dGhvcj5LaXZpdnVvcmksIFMuPC9hdXRob3I+PGF1dGhvcj5MaWNjaWFyZGksIFAuIFYuPC9h
dXRob3I+PGF1dGhvcj5Sb2JpbnMtQnJvd25lLCBSLiBNLjwvYXV0aG9yPjxhdXRob3I+TWFoLCBM
LiBKLjwvYXV0aG9yPjxhdXRob3I+QXhlbHJhZCwgQy48L2F1dGhvcj48YXV0aG9yPk1vb3JlLCBT
LjwvYXV0aG9yPjxhdXRob3I+RG9uYXRoLCBTLjwvYXV0aG9yPjxhdXRob3I+Q2FybGluLCBKLiBC
LjwvYXV0aG9yPjxhdXRob3I+TGFodGluZW4sIFMuIEouPC9hdXRob3I+PGF1dGhvcj5UYW5nLCBN
LiBMLjwvYXV0aG9yPjwvYXV0aG9ycz48L2NvbnRyaWJ1dG9ycz48YXV0aC1hZGRyZXNzPkFsbGVy
Z3kgYW5kIEltbXVuZSBEaXNvcmRlcnMsIE11cmRvY2ggQ2hpbGRyZW4mYXBvcztzIFJlc2VhcmNo
IEluc3RpdHV0ZSwgVW5pdmVyc2l0eSBvZiBNZWxib3VybmUsIE1lbGJvdXJuZSwgQXVzdHJhbGlh
LjwvYXV0aC1hZGRyZXNzPjx0aXRsZXM+PHRpdGxlPkxhY3RvYmFjaWxsdXMgR0cgdHJlYXRtZW50
IGR1cmluZyBwcmVnbmFuY3kgZm9yIHRoZSBwcmV2ZW50aW9uIG9mIGVjemVtYTogYSByYW5kb21p
emVkIGNvbnRyb2xsZWQgdHJpYWw8L3RpdGxlPjxzZWNvbmRhcnktdGl0bGU+QWxsZXJneTwvc2Vj
b25kYXJ5LXRpdGxlPjwvdGl0bGVzPjxwZXJpb2RpY2FsPjxmdWxsLXRpdGxlPkFsbGVyZ3k8L2Z1
bGwtdGl0bGU+PC9wZXJpb2RpY2FsPjxwYWdlcz41MDktMTY8L3BhZ2VzPjx2b2x1bWU+NjY8L3Zv
bHVtZT48bnVtYmVyPjQ8L251bWJlcj48ZWRpdGlvbj4yMDEwLzEyLzAzPC9lZGl0aW9uPjxrZXl3
b3Jkcz48a2V5d29yZD5BZHVsdDwva2V5d29yZD48a2V5d29yZD5FY3plbWEvZXBpZGVtaW9sb2d5
LypwcmV2ZW50aW9uICZhbXA7IGNvbnRyb2w8L2tleXdvcmQ+PGtleXdvcmQ+RW56eW1lLUxpbmtl
ZCBJbW11bm9zb3JiZW50IEFzc2F5PC9rZXl3b3JkPjxrZXl3b3JkPkZlbWFsZTwva2V5d29yZD48
a2V5d29yZD5GZXRhbCBCbG9vZC9jaGVtaXN0cnkvaW1tdW5vbG9neTwva2V5d29yZD48a2V5d29y
ZD5IdW1hbnM8L2tleXdvcmQ+PGtleXdvcmQ+SW5mYW50PC9rZXl3b3JkPjxrZXl3b3JkPkxhY3Rv
YmFjaWxsdXMgcmhhbW5vc3VzLyppbW11bm9sb2d5PC9rZXl3b3JkPjxrZXl3b3JkPk1pZGRsZSBB
Z2VkPC9rZXl3b3JkPjxrZXl3b3JkPk1pbGssIEh1bWFuL2NoZW1pc3RyeS9pbW11bm9sb2d5PC9r
ZXl3b3JkPjxrZXl3b3JkPlByZWduYW5jeTwva2V5d29yZD48a2V5d29yZD5QcmVuYXRhbCBFeHBv
c3VyZSBEZWxheWVkIEVmZmVjdHMvKmltbXVub2xvZ3k8L2tleXdvcmQ+PGtleXdvcmQ+UHJvYmlv
dGljcy8qdGhlcmFwZXV0aWMgdXNlPC9rZXl3b3JkPjxrZXl3b3JkPllvdW5nIEFkdWx0PC9rZXl3
b3JkPjwva2V5d29yZHM+PGRhdGVzPjx5ZWFyPjIwMTE8L3llYXI+PHB1Yi1kYXRlcz48ZGF0ZT5B
cHI8L2RhdGU+PC9wdWItZGF0ZXM+PC9kYXRlcz48aXNibj4xMzk4LTk5OTUgKEVsZWN0cm9uaWMp
JiN4RDswMTA1LTQ1MzggKExpbmtpbmcpPC9pc2JuPjxhY2Nlc3Npb24tbnVtPjIxMTIxOTI3PC9h
Y2Nlc3Npb24tbnVtPjx1cmxzPjxyZWxhdGVkLXVybHM+PHVybD5odHRwczovL3d3dy5uY2JpLm5s
bS5uaWguZ292L3B1Ym1lZC8yMTEyMTkyNzwvdXJsPjwvcmVsYXRlZC11cmxzPjwvdXJscz48ZWxl
Y3Ryb25pYy1yZXNvdXJjZS1udW0+MTAuMTExMS9qLjEzOTgtOTk5NS4yMDEwLjAyNTA3Lng8L2Vs
ZWN0cm9uaWMtcmVzb3VyY2UtbnVtPjwvcmVjb3JkPjwvQ2l0ZT48Q2l0ZT48QXV0aG9yPkNhbGxh
d2F5PC9BdXRob3I+PFllYXI+MjAxOTwvWWVhcj48UmVjTnVtPjE2NDk8L1JlY051bT48cmVjb3Jk
PjxyZWMtbnVtYmVyPjE2NDk8L3JlYy1udW1iZXI+PGZvcmVpZ24ta2V5cz48a2V5IGFwcD0iRU4i
IGRiLWlkPSJleHZhc3JmeDJkdHJhb2VzYXN4cDJzenN4YTJkZjUwMjU5MngiIHRpbWVzdGFtcD0i
MTU4MTMxMjY5OCI+MTY0OTwva2V5PjxrZXkgYXBwPSJFTldlYiIgZGItaWQ9IiI+MDwva2V5Pjwv
Zm9yZWlnbi1rZXlzPjxyZWYtdHlwZSBuYW1lPSJKb3VybmFsIEFydGljbGUiPjE3PC9yZWYtdHlw
ZT48Y29udHJpYnV0b3JzPjxhdXRob3JzPjxhdXRob3I+Q2FsbGF3YXksIEwuIEsuPC9hdXRob3I+
PGF1dGhvcj5NY0ludHlyZSwgSC4gRC48L2F1dGhvcj48YXV0aG9yPkJhcnJldHQsIEguIEwuPC9h
dXRob3I+PGF1dGhvcj5Gb3hjcm9mdCwgSy48L2F1dGhvcj48YXV0aG9yPlRyZW1lbGxlbiwgQS48
L2F1dGhvcj48YXV0aG9yPkxpbmd3b29kLCBCLiBFLjwvYXV0aG9yPjxhdXRob3I+VG9iaW4sIEou
IE0uPC9hdXRob3I+PGF1dGhvcj5XaWxraW5zb24sIFMuPC9hdXRob3I+PGF1dGhvcj5Lb3RoYXJp
LCBBLjwvYXV0aG9yPjxhdXRob3I+TW9ycmlzb24sIE0uPC9hdXRob3I+PGF1dGhvcj5PJmFwb3M7
Um91cmtlLCBQLjwvYXV0aG9yPjxhdXRob3I+UGVsZWNhbm9zLCBBLjwvYXV0aG9yPjxhdXRob3I+
RGVra2VyIE5pdGVydCwgTS48L2F1dGhvcj48L2F1dGhvcnM+PC9jb250cmlidXRvcnM+PGF1dGgt
YWRkcmVzcz5Xb21lbiZhcG9zO3MgYW5kIE5ld2Jvcm4gU2VydmljZXMsIFJveWFsIEJyaXNiYW5l
IGFuZCBXb21lbiZhcG9zO3MgSG9zcGl0YWwsIEhlcnN0b24sIEF1c3RyYWxpYSBsLmNhbGxhd2F5
QHVxLmVkdS5hdS4mI3hEO0ZhY3VsdHkgb2YgTWVkaWNpbmUsIFRoZSBVbml2ZXJzaXR5IG9mIFF1
ZWVuc2xhbmQsIEhlcnN0b24sIEF1c3RyYWxpYS4mI3hEO01hdGVyIE1lZGljYWwgUmVzZWFyY2gg
SW5zdGl0dXRlLCBTb3V0aCBCcmlzYmFuZSwgQXVzdHJhbGlhLiYjeEQ7V29tZW4mYXBvcztzIGFu
ZCBOZXdib3JuIFNlcnZpY2VzLCBSb3lhbCBCcmlzYmFuZSBhbmQgV29tZW4mYXBvcztzIEhvc3Bp
dGFsLCBIZXJzdG9uLCBBdXN0cmFsaWEuJiN4RDtKYW1lcyBDb29rIFVuaXZlcnNpdHksIE1hY2th
eSwgQXVzdHJhbGlhLiYjeEQ7RGVwYXJ0bWVudCBvZiBOdXRyaXRpb24gYW5kIERpZXRldGljcywg
TWF0ZXIgR3JvdXAsIFNvdXRoIEJyaXNiYW5lLCBBdXN0cmFsaWEuJiN4RDtSZWRjbGlmZmUgSG9z
cGl0YWwsIFJlZGNsaWZmZSwgQXVzdHJhbGlhLiYjeEQ7RmFjdWx0eSBvZiBNZWRpY2luZSwgVW5p
dmVyc2l0eSBvZiBRdWVlbnNsYW5kIERpYW1hbnRpbmEgSW5zdGl0dXRlLCBUcmFuc2xhdGlvbmFs
IFJlc2VhcmNoIEluc3RpdHV0ZSwgV29vbGxvb25nYWJiYSwgQXVzdHJhbGlhLiYjeEQ7UUlNUiBC
ZXJnaG9mZXIgTWVkaWNhbCBSZXNlYXJjaCBJbnN0aXR1dGUsIEhlcnN0b24sIEF1c3RyYWxpYS4m
I3hEO1NjaG9vbCBvZiBDaGVtaXN0cnkgYW5kIE1vbGVjdWxhciBCaW9zY2llbmNlcywgVGhlIFVu
aXZlcnNpdHkgb2YgUXVlZW5zbGFuZCwgU3QgTHVjaWEsIEF1c3RyYWxpYS48L2F1dGgtYWRkcmVz
cz48dGl0bGVzPjx0aXRsZT5Qcm9iaW90aWNzIGZvciB0aGUgcHJldmVudGlvbiBvZiBnZXN0YXRp
b25hbCBkaWFiZXRlcyBtZWxsaXR1cyBpbiBvdmVyd2VpZ2h0IGFuZCBvYmVzZSB3b21lbjogRmlu
ZGluZ3MgZnJvbSB0aGUgU1BSSU5HIGRvdWJsZS1ibGluZCByYW5kb21pemVkIGNvbnRyb2xsZWQg
dHJpYWw8L3RpdGxlPjxzZWNvbmRhcnktdGl0bGU+RGlhYmV0ZXMgQ2FyZTwvc2Vjb25kYXJ5LXRp
dGxlPjwvdGl0bGVzPjxwZXJpb2RpY2FsPjxmdWxsLXRpdGxlPkRpYWJldGVzIENhcmU8L2Z1bGwt
dGl0bGU+PC9wZXJpb2RpY2FsPjxwYWdlcz4zNjQtMzcxPC9wYWdlcz48dm9sdW1lPjQyPC92b2x1
bWU+PG51bWJlcj4zPC9udW1iZXI+PGVkaXRpb24+MjAxOS8wMS8yMDwvZWRpdGlvbj48a2V5d29y
ZHM+PGtleXdvcmQ+QWR1bHQ8L2tleXdvcmQ+PGtleXdvcmQ+QXVzdHJhbGlhPC9rZXl3b3JkPjxr
ZXl3b3JkPkRpYWJldGVzLCBHZXN0YXRpb25hbC9ibG9vZC8qcHJldmVudGlvbiAmYW1wOyBjb250
cm9sPC9rZXl3b3JkPjxrZXl3b3JkPkRvdWJsZS1CbGluZCBNZXRob2Q8L2tleXdvcmQ+PGtleXdv
cmQ+RmVtYWxlPC9rZXl3b3JkPjxrZXl3b3JkPkdhc3Ryb2ludGVzdGluYWwgTWljcm9iaW9tZTwv
a2V5d29yZD48a2V5d29yZD5HbHVjb3NlIFRvbGVyYW5jZSBUZXN0PC9rZXl3b3JkPjxrZXl3b3Jk
Pkh1bWFuczwva2V5d29yZD48a2V5d29yZD5PYmVzaXR5L2NvbXBsaWNhdGlvbnMvKmRpZXQgdGhl
cmFweTwva2V5d29yZD48a2V5d29yZD5PdmVyd2VpZ2h0L2NvbXBsaWNhdGlvbnMvKmRpZXQgdGhl
cmFweTwva2V5d29yZD48a2V5d29yZD5QcmVnbmFuY3k8L2tleXdvcmQ+PGtleXdvcmQ+UHJlZ25h
bmN5IENvbXBsaWNhdGlvbnMvKmRpZXQgdGhlcmFweTwva2V5d29yZD48a2V5d29yZD5Qcm9iaW90
aWNzLyp0aGVyYXBldXRpYyB1c2U8L2tleXdvcmQ+PGtleXdvcmQ+V2VpZ2h0IEdhaW48L2tleXdv
cmQ+PC9rZXl3b3Jkcz48ZGF0ZXM+PHllYXI+MjAxOTwveWVhcj48cHViLWRhdGVzPjxkYXRlPk1h
cjwvZGF0ZT48L3B1Yi1kYXRlcz48L2RhdGVzPjxpc2JuPjE5MzUtNTU0OCAoRWxlY3Ryb25pYykm
I3hEOzAxNDktNTk5MiAoTGlua2luZyk8L2lzYm4+PGFjY2Vzc2lvbi1udW0+MzA2NTkwNzA8L2Fj
Y2Vzc2lvbi1udW0+PHVybHM+PHJlbGF0ZWQtdXJscz48dXJsPmh0dHBzOi8vd3d3Lm5jYmkubmxt
Lm5paC5nb3YvcHVibWVkLzMwNjU5MDcwPC91cmw+PC9yZWxhdGVkLXVybHM+PC91cmxzPjxlbGVj
dHJvbmljLXJlc291cmNlLW51bT4xMC4yMzM3L2RjMTgtMjI0ODwvZWxlY3Ryb25pYy1yZXNvdXJj
ZS1udW0+PC9yZWNvcmQ+PC9DaXRlPjxDaXRlPjxBdXRob3I+T2xzZW48L0F1dGhvcj48WWVhcj4y
MDE4PC9ZZWFyPjxSZWNOdW0+MTcwOTwvUmVjTnVtPjxyZWNvcmQ+PHJlYy1udW1iZXI+MTcwOTwv
cmVjLW51bWJlcj48Zm9yZWlnbi1rZXlzPjxrZXkgYXBwPSJFTiIgZGItaWQ9ImV4dmFzcmZ4MmR0
cmFvZXNhc3hwMnN6c3hhMmRmNTAyNTkyeCIgdGltZXN0YW1wPSIxNTgyNDk5MTgyIj4xNzA5PC9r
ZXk+PC9mb3JlaWduLWtleXM+PHJlZi10eXBlIG5hbWU9IkpvdXJuYWwgQXJ0aWNsZSI+MTc8L3Jl
Zi10eXBlPjxjb250cmlidXRvcnM+PGF1dGhvcnM+PGF1dGhvcj5PbHNlbiwgUGF1bGE8L2F1dGhv
cj48YXV0aG9yPldpbGxpYW1zb24sIE1vaXJhPC9hdXRob3I+PGF1dGhvcj5UcmF5bm9yLCBWaWN0
b3JpYTwvYXV0aG9yPjxhdXRob3I+R2Vvcmdpb3UsIENocmlzPC9hdXRob3I+PC9hdXRob3JzPjwv
Y29udHJpYnV0b3JzPjx0aXRsZXM+PHRpdGxlPlRoZSBpbXBhY3Qgb2Ygb3JhbCBwcm9iaW90aWNz
IG9uIHZhZ2luYWwgR3JvdXAgQiBTdHJlcHRvY29jY2FsIGNvbG9uaXNhdGlvbiByYXRlcyBpbiBw
cmVnbmFudCB3b21lbjogQSBwaWxvdCByYW5kb21pc2VkIGNvbnRyb2wgc3R1ZHk8L3RpdGxlPjxz
ZWNvbmRhcnktdGl0bGU+V29tZW4gYW5kIEJpcnRoPC9zZWNvbmRhcnktdGl0bGU+PC90aXRsZXM+
PHBlcmlvZGljYWw+PGZ1bGwtdGl0bGU+V29tZW4gYW5kIEJpcnRoPC9mdWxsLXRpdGxlPjwvcGVy
aW9kaWNhbD48cGFnZXM+MzEtMzc8L3BhZ2VzPjx2b2x1bWU+MzE8L3ZvbHVtZT48bnVtYmVyPjE8
L251bWJlcj48c2VjdGlvbj4zMTwvc2VjdGlvbj48ZGF0ZXM+PHllYXI+MjAxODwveWVhcj48L2Rh
dGVzPjxpc2JuPjE4NzE1MTkyPC9pc2JuPjx1cmxzPjwvdXJscz48ZWxlY3Ryb25pYy1yZXNvdXJj
ZS1udW0+MTAuMTAxNi9qLndvbWJpLjIwMTcuMDYuMDEyPC9lbGVjdHJvbmljLXJlc291cmNlLW51
bT48L3JlY29yZD48L0NpdGU+PC9FbmROb3RlPgB=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228,235,247</w:t>
      </w:r>
      <w:r w:rsidR="00AB21E2">
        <w:fldChar w:fldCharType="end"/>
      </w:r>
      <w:r>
        <w:t xml:space="preserve"> Brazil (</w:t>
      </w:r>
      <w:r w:rsidRPr="00D676D7">
        <w:rPr>
          <w:sz w:val="16"/>
          <w:szCs w:val="16"/>
        </w:rPr>
        <w:t>n=1</w:t>
      </w:r>
      <w:r>
        <w:t>),</w:t>
      </w:r>
      <w:r w:rsidR="00AB21E2">
        <w:fldChar w:fldCharType="begin"/>
      </w:r>
      <w:r w:rsidR="002747EA">
        <w:instrText xml:space="preserve"> ADDIN EN.CITE &lt;EndNote&gt;&lt;Cite&gt;&lt;Author&gt;Krauss-Silva&lt;/Author&gt;&lt;Year&gt;2011&lt;/Year&gt;&lt;RecNum&gt;1691&lt;/RecNum&gt;&lt;DisplayText&gt;&lt;style face="superscript" font="Trebuchet MS" size="9"&gt;239&lt;/style&gt;&lt;/DisplayText&gt;&lt;record&gt;&lt;rec-number&gt;1691&lt;/rec-number&gt;&lt;foreign-keys&gt;&lt;key app="EN" db-id="exvasrfx2dtraoesasxp2szsxa2df502592x" timestamp="1581832076"&gt;1691&lt;/key&gt;&lt;/foreign-keys&gt;&lt;ref-type name="Journal Article"&gt;17&lt;/ref-type&gt;&lt;contributors&gt;&lt;authors&gt;&lt;author&gt;Krauss-Silva, L.&lt;/author&gt;&lt;author&gt;Moreira, M. E.&lt;/author&gt;&lt;author&gt;Alves, M. B.&lt;/author&gt;&lt;author&gt;Braga, A.&lt;/author&gt;&lt;author&gt;Camacho, K. G.&lt;/author&gt;&lt;author&gt;Batista, M. R.&lt;/author&gt;&lt;author&gt;Almada-Horta, A.&lt;/author&gt;&lt;author&gt;Rebello, M. R.&lt;/author&gt;&lt;author&gt;Guerra, F.&lt;/author&gt;&lt;/authors&gt;&lt;/contributors&gt;&lt;auth-address&gt;Health Technology Assessment Unit, National School of Public Health, Oswaldo Cruz Foundation, Brazilian Health Ministry, Rio de Janeiro, Brazil. leticiak@ensp.fiocruz.br&lt;/auth-address&gt;&lt;titles&gt;&lt;title&gt;A randomised controlled trial of probiotics for the prevention of spontaneous preterm delivery associated with bacterial vaginosis: preliminary results&lt;/title&gt;&lt;secondary-title&gt;Trials&lt;/secondary-title&gt;&lt;/titles&gt;&lt;periodical&gt;&lt;full-title&gt;Trials&lt;/full-title&gt;&lt;/periodical&gt;&lt;pages&gt;239&lt;/pages&gt;&lt;volume&gt;12&lt;/volume&gt;&lt;edition&gt;2011/11/09&lt;/edition&gt;&lt;keywords&gt;&lt;keyword&gt;Female&lt;/keyword&gt;&lt;keyword&gt;Humans&lt;/keyword&gt;&lt;keyword&gt;Infant, Newborn&lt;/keyword&gt;&lt;keyword&gt;Pregnancy&lt;/keyword&gt;&lt;keyword&gt;Premature Birth/*prevention &amp;amp; control&lt;/keyword&gt;&lt;keyword&gt;Probiotics/*therapeutic use&lt;/keyword&gt;&lt;keyword&gt;Vaginosis, Bacterial/*drug therapy&lt;/keyword&gt;&lt;/keywords&gt;&lt;dates&gt;&lt;year&gt;2011&lt;/year&gt;&lt;pub-dates&gt;&lt;date&gt;Nov 8&lt;/date&gt;&lt;/pub-dates&gt;&lt;/dates&gt;&lt;isbn&gt;1745-6215 (Electronic)&amp;#xD;1745-6215 (Linking)&lt;/isbn&gt;&lt;accession-num&gt;22059409&lt;/accession-num&gt;&lt;urls&gt;&lt;related-urls&gt;&lt;url&gt;https://www.ncbi.nlm.nih.gov/pubmed/22059409&lt;/url&gt;&lt;/related-urls&gt;&lt;/urls&gt;&lt;custom2&gt;PMC3264514&lt;/custom2&gt;&lt;electronic-resource-num&gt;10.1186/1745-6215-12-239&lt;/electronic-resource-num&gt;&lt;/record&gt;&lt;/Cite&gt;&lt;/EndNote&gt;</w:instrText>
      </w:r>
      <w:r w:rsidR="00AB21E2">
        <w:fldChar w:fldCharType="separate"/>
      </w:r>
      <w:r w:rsidR="002747EA" w:rsidRPr="002747EA">
        <w:rPr>
          <w:noProof/>
          <w:vertAlign w:val="superscript"/>
        </w:rPr>
        <w:t>239</w:t>
      </w:r>
      <w:r w:rsidR="00AB21E2">
        <w:fldChar w:fldCharType="end"/>
      </w:r>
      <w:r>
        <w:t xml:space="preserve"> Canada (</w:t>
      </w:r>
      <w:r w:rsidRPr="00D676D7">
        <w:rPr>
          <w:sz w:val="16"/>
          <w:szCs w:val="16"/>
        </w:rPr>
        <w:t>n=1</w:t>
      </w:r>
      <w:r>
        <w:t>),</w:t>
      </w:r>
      <w:r w:rsidR="00AB21E2">
        <w:fldChar w:fldCharType="begin"/>
      </w:r>
      <w:r w:rsidR="002747EA">
        <w:instrText xml:space="preserve"> ADDIN EN.CITE &lt;EndNote&gt;&lt;Cite&gt;&lt;Author&gt;Sharpe&lt;/Author&gt;&lt;Year&gt;2019&lt;/Year&gt;&lt;RecNum&gt;1670&lt;/RecNum&gt;&lt;DisplayText&gt;&lt;style face="superscript" font="Trebuchet MS" size="9"&gt;234&lt;/style&gt;&lt;/DisplayText&gt;&lt;record&gt;&lt;rec-number&gt;1670&lt;/rec-number&gt;&lt;foreign-keys&gt;&lt;key app="EN" db-id="exvasrfx2dtraoesasxp2szsxa2df502592x" timestamp="1581312847"&gt;1670&lt;/key&gt;&lt;key app="ENWeb" db-id=""&gt;0&lt;/key&gt;&lt;/foreign-keys&gt;&lt;ref-type name="Journal Article"&gt;17&lt;/ref-type&gt;&lt;contributors&gt;&lt;authors&gt;&lt;author&gt;Sharpe, M.&lt;/author&gt;&lt;author&gt;Shah, V.&lt;/author&gt;&lt;author&gt;Freire-Lizama, T.&lt;/author&gt;&lt;author&gt;Cates, E. C.&lt;/author&gt;&lt;author&gt;McGrath, K.&lt;/author&gt;&lt;author&gt;David, I.&lt;/author&gt;&lt;author&gt;Cowan, S.&lt;/author&gt;&lt;author&gt;Letkeman, J.&lt;/author&gt;&lt;author&gt;Stewart-Wilson, E.&lt;/author&gt;&lt;/authors&gt;&lt;/contributors&gt;&lt;auth-address&gt;a Midwifery Education Program, Ryerson University , Toronto , Canada.&amp;#xD;b Department of Pediatrics, Mount Sinai Hospital , Toronto , Canada.&amp;#xD;c Department of Obstetrics and Gynecology, St. Michael&amp;apos;s Hospital , Toronto , Canada.&amp;#xD;d Department of Psychology, Ryerson University , Toronto , Canada.&lt;/auth-address&gt;&lt;titles&gt;&lt;title&gt;Effectiveness of oral intake of Lactobacillus rhamnosus GR-1 and Lactobacillus reuteri RC-14 on Group B Streptococcus colonization during pregnancy: a midwifery-led double-blind randomized controlled pilot trial&lt;/title&gt;&lt;secondary-title&gt;J Matern Fetal Neonatal Med&lt;/secondary-title&gt;&lt;/titles&gt;&lt;periodical&gt;&lt;full-title&gt;J Matern Fetal Neonatal Med&lt;/full-title&gt;&lt;/periodical&gt;&lt;pages&gt;1-8&lt;/pages&gt;&lt;edition&gt;2019/08/01&lt;/edition&gt;&lt;keywords&gt;&lt;keyword&gt;Clinical trial&lt;/keyword&gt;&lt;keyword&gt;group B Streptococcus&lt;/keyword&gt;&lt;keyword&gt;midwifery&lt;/keyword&gt;&lt;keyword&gt;pregnancy&lt;/keyword&gt;&lt;keyword&gt;probiotics&lt;/keyword&gt;&lt;/keywords&gt;&lt;dates&gt;&lt;year&gt;2019&lt;/year&gt;&lt;pub-dates&gt;&lt;date&gt;Aug 13&lt;/date&gt;&lt;/pub-dates&gt;&lt;/dates&gt;&lt;isbn&gt;1476-4954 (Electronic)&amp;#xD;1476-4954 (Linking)&lt;/isbn&gt;&lt;accession-num&gt;31362572&lt;/accession-num&gt;&lt;urls&gt;&lt;related-urls&gt;&lt;url&gt;https://www.ncbi.nlm.nih.gov/pubmed/31362572&lt;/url&gt;&lt;/related-urls&gt;&lt;/urls&gt;&lt;electronic-resource-num&gt;10.1080/14767058.2019.1650907&lt;/electronic-resource-num&gt;&lt;/record&gt;&lt;/Cite&gt;&lt;/EndNote&gt;</w:instrText>
      </w:r>
      <w:r w:rsidR="00AB21E2">
        <w:fldChar w:fldCharType="separate"/>
      </w:r>
      <w:r w:rsidR="002747EA" w:rsidRPr="002747EA">
        <w:rPr>
          <w:noProof/>
          <w:vertAlign w:val="superscript"/>
        </w:rPr>
        <w:t>234</w:t>
      </w:r>
      <w:r w:rsidR="00AB21E2">
        <w:fldChar w:fldCharType="end"/>
      </w:r>
      <w:r>
        <w:t xml:space="preserve"> Finland (</w:t>
      </w:r>
      <w:r w:rsidRPr="00D676D7">
        <w:rPr>
          <w:sz w:val="16"/>
          <w:szCs w:val="16"/>
        </w:rPr>
        <w:t>n=4</w:t>
      </w:r>
      <w:r>
        <w:t>),</w:t>
      </w:r>
      <w:r w:rsidR="00AB21E2">
        <w:fldChar w:fldCharType="begin">
          <w:fldData xml:space="preserve">PEVuZE5vdGU+PENpdGU+PEF1dGhvcj5LYWxsaW9tYWtpPC9BdXRob3I+PFllYXI+MjAwMTwvWWVh
cj48UmVjTnVtPjE2ODg8L1JlY051bT48RGlzcGxheVRleHQ+PHN0eWxlIGZhY2U9InN1cGVyc2Ny
aXB0IiBmb250PSJUcmVidWNoZXQgTVMiIHNpemU9IjkiPjIzMywyNDAsMjQ4LDI1MTwvc3R5bGU+
PC9EaXNwbGF5VGV4dD48cmVjb3JkPjxyZWMtbnVtYmVyPjE2ODg8L3JlYy1udW1iZXI+PGZvcmVp
Z24ta2V5cz48a2V5IGFwcD0iRU4iIGRiLWlkPSJleHZhc3JmeDJkdHJhb2VzYXN4cDJzenN4YTJk
ZjUwMjU5MngiIHRpbWVzdGFtcD0iMTU4MTgzMjA3NiI+MTY4ODwva2V5PjwvZm9yZWlnbi1rZXlz
PjxyZWYtdHlwZSBuYW1lPSJKb3VybmFsIEFydGljbGUiPjE3PC9yZWYtdHlwZT48Y29udHJpYnV0
b3JzPjxhdXRob3JzPjxhdXRob3I+S2FsbGlvbWFraSwgTS48L2F1dGhvcj48YXV0aG9yPlNhbG1p
bmVuLCBTLjwvYXV0aG9yPjxhdXRob3I+QXJ2aWxvbW1pLCBILjwvYXV0aG9yPjxhdXRob3I+S2Vy
bywgUC48L2F1dGhvcj48YXV0aG9yPktvc2tpbmVuLCBQLjwvYXV0aG9yPjxhdXRob3I+SXNvbGF1
cmksIEUuPC9hdXRob3I+PC9hdXRob3JzPjwvY29udHJpYnV0b3JzPjxhdXRoLWFkZHJlc3M+RGVw
YXJ0bWVudCBvZiBQYWVkaWF0cmljcywgVW5pdmVyc2l0eSBvZiBUdXJrdSBhbmQgVHVya3UgVW5p
dmVyc2l0eSBIb3NwaXRhbCwgRmlubGFuZC4gbWFya2FsQHV0dS5maTwvYXV0aC1hZGRyZXNzPjx0
aXRsZXM+PHRpdGxlPlByb2Jpb3RpY3MgaW4gcHJpbWFyeSBwcmV2ZW50aW9uIG9mIGF0b3BpYyBk
aXNlYXNlOiBhIHJhbmRvbWlzZWQgcGxhY2Viby1jb250cm9sbGVkIHRyaWFsPC90aXRsZT48c2Vj
b25kYXJ5LXRpdGxlPkxhbmNldDwvc2Vjb25kYXJ5LXRpdGxlPjwvdGl0bGVzPjxwZXJpb2RpY2Fs
PjxmdWxsLXRpdGxlPkxhbmNldDwvZnVsbC10aXRsZT48L3BlcmlvZGljYWw+PHBhZ2VzPjEwNzYt
OTwvcGFnZXM+PHZvbHVtZT4zNTc8L3ZvbHVtZT48bnVtYmVyPjkyNjI8L251bWJlcj48ZWRpdGlv
bj4yMDAxLzA0LzEyPC9lZGl0aW9uPjxrZXl3b3Jkcz48a2V5d29yZD5DaGlsZCwgUHJlc2Nob29s
PC9rZXl3b3JkPjxrZXl3b3JkPkNocm9uaWMgRGlzZWFzZTwva2V5d29yZD48a2V5d29yZD5EZXJt
YXRpdGlzLCBBdG9waWMvZ2VuZXRpY3MvaW1tdW5vbG9neS9wcmV2ZW50aW9uICZhbXA7IGNvbnRy
b2w8L2tleXdvcmQ+PGtleXdvcmQ+RG91YmxlLUJsaW5kIE1ldGhvZDwva2V5d29yZD48a2V5d29y
ZD5GZW1hbGU8L2tleXdvcmQ+PGtleXdvcmQ+SHVtYW5zPC9rZXl3b3JkPjxrZXl3b3JkPkh5cGVy
c2Vuc2l0aXZpdHksIEltbWVkaWF0ZS9kaWFnbm9zaXMvZ2VuZXRpY3MvKnByZXZlbnRpb24gJmFt
cDsgY29udHJvbDwva2V5d29yZD48a2V5d29yZD5JbW11bm9nbG9idWxpbiBFL2Jsb29kPC9rZXl3
b3JkPjxrZXl3b3JkPkluZmFudDwva2V5d29yZD48a2V5d29yZD5JbmZhbnQsIE5ld2Jvcm48L2tl
eXdvcmQ+PGtleXdvcmQ+SW50ZXN0aW5lcy9taWNyb2Jpb2xvZ3k8L2tleXdvcmQ+PGtleXdvcmQ+
KkxhY3RvYmFjaWxsdXM8L2tleXdvcmQ+PGtleXdvcmQ+UHJlZ25hbmN5PC9rZXl3b3JkPjxrZXl3
b3JkPlByZW5hdGFsIEV4cG9zdXJlIERlbGF5ZWQgRWZmZWN0czwva2V5d29yZD48a2V5d29yZD5Q
cmltYXJ5IFByZXZlbnRpb248L2tleXdvcmQ+PGtleXdvcmQ+UHJvYmlvdGljcy9hZG1pbmlzdHJh
dGlvbiAmYW1wOyBkb3NhZ2UvKnRoZXJhcGV1dGljIHVzZTwva2V5d29yZD48a2V5d29yZD5SZWN1
cnJlbmNlPC9rZXl3b3JkPjxrZXl3b3JkPlJpc2sgRmFjdG9yczwva2V5d29yZD48a2V5d29yZD5T
a2luIFRlc3RzPC9rZXl3b3JkPjwva2V5d29yZHM+PGRhdGVzPjx5ZWFyPjIwMDE8L3llYXI+PHB1
Yi1kYXRlcz48ZGF0ZT5BcHIgNzwvZGF0ZT48L3B1Yi1kYXRlcz48L2RhdGVzPjxpc2JuPjAxNDAt
NjczNiAoUHJpbnQpJiN4RDswMTQwLTY3MzYgKExpbmtpbmcpPC9pc2JuPjxhY2Nlc3Npb24tbnVt
PjExMjk3OTU4PC9hY2Nlc3Npb24tbnVtPjx1cmxzPjxyZWxhdGVkLXVybHM+PHVybD5odHRwczov
L3d3dy5uY2JpLm5sbS5uaWguZ292L3B1Ym1lZC8xMTI5Nzk1ODwvdXJsPjwvcmVsYXRlZC11cmxz
PjwvdXJscz48ZWxlY3Ryb25pYy1yZXNvdXJjZS1udW0+MTAuMTAxNi9TMDE0MC02NzM2KDAwKTA0
MjU5LTg8L2VsZWN0cm9uaWMtcmVzb3VyY2UtbnVtPjwvcmVjb3JkPjwvQ2l0ZT48Q2l0ZT48QXV0
aG9yPkxhaXRpbmVuPC9BdXRob3I+PFllYXI+MjAwOTwvWWVhcj48UmVjTnVtPjExNDg8L1JlY051
bT48cmVjb3JkPjxyZWMtbnVtYmVyPjExNDg8L3JlYy1udW1iZXI+PGZvcmVpZ24ta2V5cz48a2V5
IGFwcD0iRU4iIGRiLWlkPSJleHZhc3JmeDJkdHJhb2VzYXN4cDJzenN4YTJkZjUwMjU5MngiIHRp
bWVzdGFtcD0iMTU1NTU2NjgxNiI+MTE0ODwva2V5PjxrZXkgYXBwPSJFTldlYiIgZGItaWQ9IiI+
MDwva2V5PjwvZm9yZWlnbi1rZXlzPjxyZWYtdHlwZSBuYW1lPSJKb3VybmFsIEFydGljbGUiPjE3
PC9yZWYtdHlwZT48Y29udHJpYnV0b3JzPjxhdXRob3JzPjxhdXRob3I+TGFpdGluZW4sIEsuPC9h
dXRob3I+PGF1dGhvcj5Qb3Vzc2EsIFQuPC9hdXRob3I+PGF1dGhvcj5Jc29sYXVyaSwgRS48L2F1
dGhvcj48YXV0aG9yPk51dHJpdGlvbiwgQWxsZXJneSBNdWNvc2FsIEltbXVub2xvZ3k8L2F1dGhv
cj48YXV0aG9yPkludGVzdGluYWwgTWljcm9iaW90YSwgR3JvdXA8L2F1dGhvcj48L2F1dGhvcnM+
PC9jb250cmlidXRvcnM+PGF1dGgtYWRkcmVzcz5EZXBhcnRtZW50IG9mIEJpb2NoZW1pc3RyeSBh
bmQgRm9vZCBDaGVtaXN0cnksIFVuaXZlcnNpdHkgb2YgVHVya3UsIDIwMDE0IFR1cmt1LCBGaW5s
YW5kLiBraXJzaS5sYWl0aW5lbkB1dHUuZmk8L2F1dGgtYWRkcmVzcz48dGl0bGVzPjx0aXRsZT5Q
cm9iaW90aWNzIGFuZCBkaWV0YXJ5IGNvdW5zZWxsaW5nIGNvbnRyaWJ1dGUgdG8gZ2x1Y29zZSBy
ZWd1bGF0aW9uIGR1cmluZyBhbmQgYWZ0ZXIgcHJlZ25hbmN5OiBhIHJhbmRvbWlzZWQgY29udHJv
bGxlZCB0cmlhbDwvdGl0bGU+PHNlY29uZGFyeS10aXRsZT5CciBKIE51dHI8L3NlY29uZGFyeS10
aXRsZT48L3RpdGxlcz48cGVyaW9kaWNhbD48ZnVsbC10aXRsZT5CciBKIE51dHI8L2Z1bGwtdGl0
bGU+PC9wZXJpb2RpY2FsPjxwYWdlcz4xNjc5LTg3PC9wYWdlcz48dm9sdW1lPjEwMTwvdm9sdW1l
PjxudW1iZXI+MTE8L251bWJlcj48ZWRpdGlvbj4yMDA4LzExLzIwPC9lZGl0aW9uPjxrZXl3b3Jk
cz48a2V5d29yZD5BZHVsdDwva2V5d29yZD48a2V5d29yZD5CbG9vZCBHbHVjb3NlLyptZXRhYm9s
aXNtPC9rZXl3b3JkPjxrZXl3b3JkPkNvdW5zZWxpbmc8L2tleXdvcmQ+PGtleXdvcmQ+KkRpZXQ8
L2tleXdvcmQ+PGtleXdvcmQ+RW5lcmd5IEludGFrZS9waHlzaW9sb2d5PC9rZXl3b3JkPjxrZXl3
b3JkPkZlbWFsZTwva2V5d29yZD48a2V5d29yZD5IdW1hbnM8L2tleXdvcmQ+PGtleXdvcmQ+SW5z
dWxpbi9ibG9vZDwva2V5d29yZD48a2V5d29yZD5JbnN1bGluIFJlc2lzdGFuY2UvcGh5c2lvbG9n
eTwva2V5d29yZD48a2V5d29yZD5NYXRlcm5hbCBOdXRyaXRpb25hbCBQaHlzaW9sb2dpY2FsIFBo
ZW5vbWVuYS8qcGh5c2lvbG9neTwva2V5d29yZD48a2V5d29yZD5Qb3N0cGFydHVtIFBlcmlvZC9i
bG9vZDwva2V5d29yZD48a2V5d29yZD5QcmVnbmFuY3kvKmJsb29kPC9rZXl3b3JkPjxrZXl3b3Jk
PipQcm9iaW90aWNzPC9rZXl3b3JkPjxrZXl3b3JkPlByb3NwZWN0aXZlIFN0dWRpZXM8L2tleXdv
cmQ+PGtleXdvcmQ+WW91bmcgQWR1bHQ8L2tleXdvcmQ+PC9rZXl3b3Jkcz48ZGF0ZXM+PHllYXI+
MjAwOTwveWVhcj48cHViLWRhdGVzPjxkYXRlPkp1bjwvZGF0ZT48L3B1Yi1kYXRlcz48L2RhdGVz
Pjxpc2JuPjE0NzUtMjY2MiAoRWxlY3Ryb25pYykmI3hEOzAwMDctMTE0NSAoTGlua2luZyk8L2lz
Ym4+PGFjY2Vzc2lvbi1udW0+MTkwMTc0MTg8L2FjY2Vzc2lvbi1udW0+PHVybHM+PHJlbGF0ZWQt
dXJscz48dXJsPmh0dHBzOi8vd3d3Lm5jYmkubmxtLm5paC5nb3YvcHVibWVkLzE5MDE3NDE4PC91
cmw+PC9yZWxhdGVkLXVybHM+PC91cmxzPjxlbGVjdHJvbmljLXJlc291cmNlLW51bT4xMC4xMDE3
L1MwMDA3MTE0NTA4MTExNDYxPC9lbGVjdHJvbmljLXJlc291cmNlLW51bT48L3JlY29yZD48L0Np
dGU+PENpdGU+PEF1dGhvcj5QZWxsb25wZXJhPC9BdXRob3I+PFllYXI+MjAxOTwvWWVhcj48UmVj
TnVtPjE2Njk8L1JlY051bT48cmVjb3JkPjxyZWMtbnVtYmVyPjE2Njk8L3JlYy1udW1iZXI+PGZv
cmVpZ24ta2V5cz48a2V5IGFwcD0iRU4iIGRiLWlkPSJleHZhc3JmeDJkdHJhb2VzYXN4cDJzenN4
YTJkZjUwMjU5MngiIHRpbWVzdGFtcD0iMTU4MTMxMjg0MCI+MTY2OTwva2V5PjxrZXkgYXBwPSJF
TldlYiIgZGItaWQ9IiI+MDwva2V5PjwvZm9yZWlnbi1rZXlzPjxyZWYtdHlwZSBuYW1lPSJKb3Vy
bmFsIEFydGljbGUiPjE3PC9yZWYtdHlwZT48Y29udHJpYnV0b3JzPjxhdXRob3JzPjxhdXRob3I+
UGVsbG9ucGVyYSwgTy48L2F1dGhvcj48YXV0aG9yPk1va2thbGEsIEsuPC9hdXRob3I+PGF1dGhv
cj5Ib3V0dHUsIE4uPC9hdXRob3I+PGF1dGhvcj5WYWhsYmVyZywgVC48L2F1dGhvcj48YXV0aG9y
PktvaXZ1bmllbWksIEUuPC9hdXRob3I+PGF1dGhvcj5UZXJ0dGksIEsuPC9hdXRob3I+PGF1dGhv
cj5Sb25uZW1hYSwgVC48L2F1dGhvcj48YXV0aG9yPkxhaXRpbmVuLCBLLjwvYXV0aG9yPjwvYXV0
aG9ycz48L2NvbnRyaWJ1dG9ycz48YXV0aC1hZGRyZXNzPkRlcGFydG1lbnQgb2YgT2JzdGV0cmlj
cyBhbmQgR3luZWNvbG9neSwgVW5pdmVyc2l0eSBvZiBUdXJrdSBhbmQgVHVya3UgVW5pdmVyc2l0
eSBIb3NwaXRhbCwgVHVya3UsIEZpbmxhbmQgb3V0aS5wZWxsb25wZXJhQHV0dS5maS4mI3hEO0lu
dGVncmF0aXZlIFBoeXNpb2xvZ3kgYW5kIFBoYXJtYWNvbG9neSwgSW5zdGl0dXRlIG9mIEJpb21l
ZGljaW5lLCBVbml2ZXJzaXR5IG9mIFR1cmt1LCBUdXJrdSwgRmlubGFuZC4mI3hEO0Jpb3N0YXRp
c3RpY3MsIEluc3RpdHV0ZSBvZiBDbGluaWNhbCBNZWRpY2luZSwgVW5pdmVyc2l0eSBvZiBUdXJr
dSwgVHVya3UsIEZpbmxhbmQuJiN4RDtEZXBhcnRtZW50IG9mIE9ic3RldHJpY3MgYW5kIEd5bmVj
b2xvZ3ksIFVuaXZlcnNpdHkgb2YgVHVya3UgYW5kIFR1cmt1IFVuaXZlcnNpdHkgSG9zcGl0YWws
IFR1cmt1LCBGaW5sYW5kLiYjeEQ7RGVwYXJ0bWVudCBvZiBNZWRpY2luZSwgVW5pdmVyc2l0eSBv
ZiBUdXJrdSBhbmQgVHVya3UgVW5pdmVyc2l0eSBIb3NwaXRhbCwgVHVya3UsIEZpbmxhbmQuPC9h
dXRoLWFkZHJlc3M+PHRpdGxlcz48dGl0bGU+RWZmaWNhY3kgb2YgZmlzaCBvaWwgYW5kL29yIHBy
b2Jpb3RpYyBpbnRlcnZlbnRpb24gb24gdGhlIGluY2lkZW5jZSBvZiBnZXN0YXRpb25hbCBkaWFi
ZXRlcyBtZWxsaXR1cyBpbiBhbiBhdC1yaXNrIGdyb3VwIG9mIG92ZXJ3ZWlnaHQgYW5kIG9iZXNl
IHdvbWVuOiBhIHJhbmRvbWl6ZWQsIHBsYWNlYm8tY29udHJvbGxlZCwgZG91YmxlLWJsaW5kIGNs
aW5pY2FsIHRyaWFsPC90aXRsZT48c2Vjb25kYXJ5LXRpdGxlPkRpYWJldGVzIENhcmU8L3NlY29u
ZGFyeS10aXRsZT48L3RpdGxlcz48cGVyaW9kaWNhbD48ZnVsbC10aXRsZT5EaWFiZXRlcyBDYXJl
PC9mdWxsLXRpdGxlPjwvcGVyaW9kaWNhbD48cGFnZXM+MTAwOS0xMDE3PC9wYWdlcz48dm9sdW1l
PjQyPC92b2x1bWU+PG51bWJlcj42PC9udW1iZXI+PGVkaXRpb24+MjAxOS8wNC8xMTwvZWRpdGlv
bj48ZGF0ZXM+PHllYXI+MjAxOTwveWVhcj48cHViLWRhdGVzPjxkYXRlPkp1bjwvZGF0ZT48L3B1
Yi1kYXRlcz48L2RhdGVzPjxpc2JuPjE5MzUtNTU0OCAoRWxlY3Ryb25pYykmI3hEOzAxNDktNTk5
MiAoTGlua2luZyk8L2lzYm4+PGFjY2Vzc2lvbi1udW0+MzA5Njc0MzY8L2FjY2Vzc2lvbi1udW0+
PHVybHM+PHJlbGF0ZWQtdXJscz48dXJsPmh0dHBzOi8vd3d3Lm5jYmkubmxtLm5paC5nb3YvcHVi
bWVkLzMwOTY3NDM2PC91cmw+PC9yZWxhdGVkLXVybHM+PC91cmxzPjxlbGVjdHJvbmljLXJlc291
cmNlLW51bT4xMC4yMzM3L2RjMTgtMjU5MTwvZWxlY3Ryb25pYy1yZXNvdXJjZS1udW0+PC9yZWNv
cmQ+PC9DaXRlPjxDaXRlPjxBdXRob3I+UmF1dGF2YTwvQXV0aG9yPjxZZWFyPjIwMTI8L1llYXI+
PFJlY051bT4xNjk0PC9SZWNOdW0+PHJlY29yZD48cmVjLW51bWJlcj4xNjk0PC9yZWMtbnVtYmVy
Pjxmb3JlaWduLWtleXM+PGtleSBhcHA9IkVOIiBkYi1pZD0iZXh2YXNyZngyZHRyYW9lc2FzeHAy
c3pzeGEyZGY1MDI1OTJ4IiB0aW1lc3RhbXA9IjE1ODE4MzIwNzYiPjE2OTQ8L2tleT48L2ZvcmVp
Z24ta2V5cz48cmVmLXR5cGUgbmFtZT0iSm91cm5hbCBBcnRpY2xlIj4xNzwvcmVmLXR5cGU+PGNv
bnRyaWJ1dG9ycz48YXV0aG9ycz48YXV0aG9yPlJhdXRhdmEsIFMuPC9hdXRob3I+PGF1dGhvcj5L
YWlub25lbiwgRS48L2F1dGhvcj48YXV0aG9yPlNhbG1pbmVuLCBTLjwvYXV0aG9yPjxhdXRob3I+
SXNvbGF1cmksIEUuPC9hdXRob3I+PC9hdXRob3JzPjwvY29udHJpYnV0b3JzPjxhdXRoLWFkZHJl
c3M+RGVwYXJ0bWVudCBvZiBQYWVkaWF0cmljcywgVHVya3UgVW5pdmVyc2l0eSBDZW50cmFsIEhv
c3BpdGFsLCBUdXJrdSwgRmlubGFuZC4gc2FtcmF1QHV0dS5maTwvYXV0aC1hZGRyZXNzPjx0aXRs
ZXM+PHRpdGxlPk1hdGVybmFsIHByb2Jpb3RpYyBzdXBwbGVtZW50YXRpb24gZHVyaW5nIHByZWdu
YW5jeSBhbmQgYnJlYXN0LWZlZWRpbmcgcmVkdWNlcyB0aGUgcmlzayBvZiBlY3plbWEgaW4gdGhl
IGluZmFudDwvdGl0bGU+PHNlY29uZGFyeS10aXRsZT5KIEFsbGVyZ3kgQ2xpbiBJbW11bm9sPC9z
ZWNvbmRhcnktdGl0bGU+PC90aXRsZXM+PHBlcmlvZGljYWw+PGZ1bGwtdGl0bGU+SiBBbGxlcmd5
IENsaW4gSW1tdW5vbDwvZnVsbC10aXRsZT48L3BlcmlvZGljYWw+PHBhZ2VzPjEzNTUtNjA8L3Bh
Z2VzPjx2b2x1bWU+MTMwPC92b2x1bWU+PG51bWJlcj42PC9udW1iZXI+PGVkaXRpb24+MjAxMi8x
MC8yMzwvZWRpdGlvbj48a2V5d29yZHM+PGtleXdvcmQ+QWR1bHQ8L2tleXdvcmQ+PGtleXdvcmQ+
QnJlYXN0IEZlZWRpbmc8L2tleXdvcmQ+PGtleXdvcmQ+KkRpZXRhcnkgU3VwcGxlbWVudHM8L2tl
eXdvcmQ+PGtleXdvcmQ+RWN6ZW1hL2ltbXVub2xvZ3kvKnByZXZlbnRpb24gJmFtcDsgY29udHJv
bDwva2V5d29yZD48a2V5d29yZD5GZW1hbGU8L2tleXdvcmQ+PGtleXdvcmQ+Rm9sbG93LVVwIFN0
dWRpZXM8L2tleXdvcmQ+PGtleXdvcmQ+SHVtYW5zPC9rZXl3b3JkPjxrZXl3b3JkPkltbXVub2ds
b2J1bGluIEUvYmxvb2Q8L2tleXdvcmQ+PGtleXdvcmQ+SW5mYW50LCBOZXdib3JuPC9rZXl3b3Jk
PjxrZXl3b3JkPk1hbGU8L2tleXdvcmQ+PGtleXdvcmQ+TWF0ZXJuYWwgRXhwb3N1cmU8L2tleXdv
cmQ+PGtleXdvcmQ+UHJlZ25hbmN5PC9rZXl3b3JkPjxrZXl3b3JkPlByb2Jpb3RpY3MvKmFkbWlu
aXN0cmF0aW9uICZhbXA7IGRvc2FnZTwva2V5d29yZD48a2V5d29yZD5SaXNrPC9rZXl3b3JkPjxr
ZXl3b3JkPlNraW4gVGVzdHM8L2tleXdvcmQ+PGtleXdvcmQ+WW91bmcgQWR1bHQ8L2tleXdvcmQ+
PC9rZXl3b3Jkcz48ZGF0ZXM+PHllYXI+MjAxMjwveWVhcj48cHViLWRhdGVzPjxkYXRlPkRlYzwv
ZGF0ZT48L3B1Yi1kYXRlcz48L2RhdGVzPjxpc2JuPjEwOTctNjgyNSAoRWxlY3Ryb25pYykmI3hE
OzAwOTEtNjc0OSAoTGlua2luZyk8L2lzYm4+PGFjY2Vzc2lvbi1udW0+MjMwODM2NzM8L2FjY2Vz
c2lvbi1udW0+PHVybHM+PHJlbGF0ZWQtdXJscz48dXJsPmh0dHBzOi8vd3d3Lm5jYmkubmxtLm5p
aC5nb3YvcHVibWVkLzIzMDgzNjczPC91cmw+PC9yZWxhdGVkLXVybHM+PC91cmxzPjxlbGVjdHJv
bmljLXJlc291cmNlLW51bT4xMC4xMDE2L2ouamFjaS4yMDEyLjA5LjAwMzwvZWxlY3Ryb25pYy1y
ZXNvdXJjZS1udW0+PC9yZWNvcmQ+PC9DaXRlPjwvRW5kTm90ZT4A
</w:fldData>
        </w:fldChar>
      </w:r>
      <w:r w:rsidR="002747EA">
        <w:instrText xml:space="preserve"> ADDIN EN.CITE </w:instrText>
      </w:r>
      <w:r w:rsidR="002747EA">
        <w:fldChar w:fldCharType="begin">
          <w:fldData xml:space="preserve">PEVuZE5vdGU+PENpdGU+PEF1dGhvcj5LYWxsaW9tYWtpPC9BdXRob3I+PFllYXI+MjAwMTwvWWVh
cj48UmVjTnVtPjE2ODg8L1JlY051bT48RGlzcGxheVRleHQ+PHN0eWxlIGZhY2U9InN1cGVyc2Ny
aXB0IiBmb250PSJUcmVidWNoZXQgTVMiIHNpemU9IjkiPjIzMywyNDAsMjQ4LDI1MTwvc3R5bGU+
PC9EaXNwbGF5VGV4dD48cmVjb3JkPjxyZWMtbnVtYmVyPjE2ODg8L3JlYy1udW1iZXI+PGZvcmVp
Z24ta2V5cz48a2V5IGFwcD0iRU4iIGRiLWlkPSJleHZhc3JmeDJkdHJhb2VzYXN4cDJzenN4YTJk
ZjUwMjU5MngiIHRpbWVzdGFtcD0iMTU4MTgzMjA3NiI+MTY4ODwva2V5PjwvZm9yZWlnbi1rZXlz
PjxyZWYtdHlwZSBuYW1lPSJKb3VybmFsIEFydGljbGUiPjE3PC9yZWYtdHlwZT48Y29udHJpYnV0
b3JzPjxhdXRob3JzPjxhdXRob3I+S2FsbGlvbWFraSwgTS48L2F1dGhvcj48YXV0aG9yPlNhbG1p
bmVuLCBTLjwvYXV0aG9yPjxhdXRob3I+QXJ2aWxvbW1pLCBILjwvYXV0aG9yPjxhdXRob3I+S2Vy
bywgUC48L2F1dGhvcj48YXV0aG9yPktvc2tpbmVuLCBQLjwvYXV0aG9yPjxhdXRob3I+SXNvbGF1
cmksIEUuPC9hdXRob3I+PC9hdXRob3JzPjwvY29udHJpYnV0b3JzPjxhdXRoLWFkZHJlc3M+RGVw
YXJ0bWVudCBvZiBQYWVkaWF0cmljcywgVW5pdmVyc2l0eSBvZiBUdXJrdSBhbmQgVHVya3UgVW5p
dmVyc2l0eSBIb3NwaXRhbCwgRmlubGFuZC4gbWFya2FsQHV0dS5maTwvYXV0aC1hZGRyZXNzPjx0
aXRsZXM+PHRpdGxlPlByb2Jpb3RpY3MgaW4gcHJpbWFyeSBwcmV2ZW50aW9uIG9mIGF0b3BpYyBk
aXNlYXNlOiBhIHJhbmRvbWlzZWQgcGxhY2Viby1jb250cm9sbGVkIHRyaWFsPC90aXRsZT48c2Vj
b25kYXJ5LXRpdGxlPkxhbmNldDwvc2Vjb25kYXJ5LXRpdGxlPjwvdGl0bGVzPjxwZXJpb2RpY2Fs
PjxmdWxsLXRpdGxlPkxhbmNldDwvZnVsbC10aXRsZT48L3BlcmlvZGljYWw+PHBhZ2VzPjEwNzYt
OTwvcGFnZXM+PHZvbHVtZT4zNTc8L3ZvbHVtZT48bnVtYmVyPjkyNjI8L251bWJlcj48ZWRpdGlv
bj4yMDAxLzA0LzEyPC9lZGl0aW9uPjxrZXl3b3Jkcz48a2V5d29yZD5DaGlsZCwgUHJlc2Nob29s
PC9rZXl3b3JkPjxrZXl3b3JkPkNocm9uaWMgRGlzZWFzZTwva2V5d29yZD48a2V5d29yZD5EZXJt
YXRpdGlzLCBBdG9waWMvZ2VuZXRpY3MvaW1tdW5vbG9neS9wcmV2ZW50aW9uICZhbXA7IGNvbnRy
b2w8L2tleXdvcmQ+PGtleXdvcmQ+RG91YmxlLUJsaW5kIE1ldGhvZDwva2V5d29yZD48a2V5d29y
ZD5GZW1hbGU8L2tleXdvcmQ+PGtleXdvcmQ+SHVtYW5zPC9rZXl3b3JkPjxrZXl3b3JkPkh5cGVy
c2Vuc2l0aXZpdHksIEltbWVkaWF0ZS9kaWFnbm9zaXMvZ2VuZXRpY3MvKnByZXZlbnRpb24gJmFt
cDsgY29udHJvbDwva2V5d29yZD48a2V5d29yZD5JbW11bm9nbG9idWxpbiBFL2Jsb29kPC9rZXl3
b3JkPjxrZXl3b3JkPkluZmFudDwva2V5d29yZD48a2V5d29yZD5JbmZhbnQsIE5ld2Jvcm48L2tl
eXdvcmQ+PGtleXdvcmQ+SW50ZXN0aW5lcy9taWNyb2Jpb2xvZ3k8L2tleXdvcmQ+PGtleXdvcmQ+
KkxhY3RvYmFjaWxsdXM8L2tleXdvcmQ+PGtleXdvcmQ+UHJlZ25hbmN5PC9rZXl3b3JkPjxrZXl3
b3JkPlByZW5hdGFsIEV4cG9zdXJlIERlbGF5ZWQgRWZmZWN0czwva2V5d29yZD48a2V5d29yZD5Q
cmltYXJ5IFByZXZlbnRpb248L2tleXdvcmQ+PGtleXdvcmQ+UHJvYmlvdGljcy9hZG1pbmlzdHJh
dGlvbiAmYW1wOyBkb3NhZ2UvKnRoZXJhcGV1dGljIHVzZTwva2V5d29yZD48a2V5d29yZD5SZWN1
cnJlbmNlPC9rZXl3b3JkPjxrZXl3b3JkPlJpc2sgRmFjdG9yczwva2V5d29yZD48a2V5d29yZD5T
a2luIFRlc3RzPC9rZXl3b3JkPjwva2V5d29yZHM+PGRhdGVzPjx5ZWFyPjIwMDE8L3llYXI+PHB1
Yi1kYXRlcz48ZGF0ZT5BcHIgNzwvZGF0ZT48L3B1Yi1kYXRlcz48L2RhdGVzPjxpc2JuPjAxNDAt
NjczNiAoUHJpbnQpJiN4RDswMTQwLTY3MzYgKExpbmtpbmcpPC9pc2JuPjxhY2Nlc3Npb24tbnVt
PjExMjk3OTU4PC9hY2Nlc3Npb24tbnVtPjx1cmxzPjxyZWxhdGVkLXVybHM+PHVybD5odHRwczov
L3d3dy5uY2JpLm5sbS5uaWguZ292L3B1Ym1lZC8xMTI5Nzk1ODwvdXJsPjwvcmVsYXRlZC11cmxz
PjwvdXJscz48ZWxlY3Ryb25pYy1yZXNvdXJjZS1udW0+MTAuMTAxNi9TMDE0MC02NzM2KDAwKTA0
MjU5LTg8L2VsZWN0cm9uaWMtcmVzb3VyY2UtbnVtPjwvcmVjb3JkPjwvQ2l0ZT48Q2l0ZT48QXV0
aG9yPkxhaXRpbmVuPC9BdXRob3I+PFllYXI+MjAwOTwvWWVhcj48UmVjTnVtPjExNDg8L1JlY051
bT48cmVjb3JkPjxyZWMtbnVtYmVyPjExNDg8L3JlYy1udW1iZXI+PGZvcmVpZ24ta2V5cz48a2V5
IGFwcD0iRU4iIGRiLWlkPSJleHZhc3JmeDJkdHJhb2VzYXN4cDJzenN4YTJkZjUwMjU5MngiIHRp
bWVzdGFtcD0iMTU1NTU2NjgxNiI+MTE0ODwva2V5PjxrZXkgYXBwPSJFTldlYiIgZGItaWQ9IiI+
MDwva2V5PjwvZm9yZWlnbi1rZXlzPjxyZWYtdHlwZSBuYW1lPSJKb3VybmFsIEFydGljbGUiPjE3
PC9yZWYtdHlwZT48Y29udHJpYnV0b3JzPjxhdXRob3JzPjxhdXRob3I+TGFpdGluZW4sIEsuPC9h
dXRob3I+PGF1dGhvcj5Qb3Vzc2EsIFQuPC9hdXRob3I+PGF1dGhvcj5Jc29sYXVyaSwgRS48L2F1
dGhvcj48YXV0aG9yPk51dHJpdGlvbiwgQWxsZXJneSBNdWNvc2FsIEltbXVub2xvZ3k8L2F1dGhv
cj48YXV0aG9yPkludGVzdGluYWwgTWljcm9iaW90YSwgR3JvdXA8L2F1dGhvcj48L2F1dGhvcnM+
PC9jb250cmlidXRvcnM+PGF1dGgtYWRkcmVzcz5EZXBhcnRtZW50IG9mIEJpb2NoZW1pc3RyeSBh
bmQgRm9vZCBDaGVtaXN0cnksIFVuaXZlcnNpdHkgb2YgVHVya3UsIDIwMDE0IFR1cmt1LCBGaW5s
YW5kLiBraXJzaS5sYWl0aW5lbkB1dHUuZmk8L2F1dGgtYWRkcmVzcz48dGl0bGVzPjx0aXRsZT5Q
cm9iaW90aWNzIGFuZCBkaWV0YXJ5IGNvdW5zZWxsaW5nIGNvbnRyaWJ1dGUgdG8gZ2x1Y29zZSBy
ZWd1bGF0aW9uIGR1cmluZyBhbmQgYWZ0ZXIgcHJlZ25hbmN5OiBhIHJhbmRvbWlzZWQgY29udHJv
bGxlZCB0cmlhbDwvdGl0bGU+PHNlY29uZGFyeS10aXRsZT5CciBKIE51dHI8L3NlY29uZGFyeS10
aXRsZT48L3RpdGxlcz48cGVyaW9kaWNhbD48ZnVsbC10aXRsZT5CciBKIE51dHI8L2Z1bGwtdGl0
bGU+PC9wZXJpb2RpY2FsPjxwYWdlcz4xNjc5LTg3PC9wYWdlcz48dm9sdW1lPjEwMTwvdm9sdW1l
PjxudW1iZXI+MTE8L251bWJlcj48ZWRpdGlvbj4yMDA4LzExLzIwPC9lZGl0aW9uPjxrZXl3b3Jk
cz48a2V5d29yZD5BZHVsdDwva2V5d29yZD48a2V5d29yZD5CbG9vZCBHbHVjb3NlLyptZXRhYm9s
aXNtPC9rZXl3b3JkPjxrZXl3b3JkPkNvdW5zZWxpbmc8L2tleXdvcmQ+PGtleXdvcmQ+KkRpZXQ8
L2tleXdvcmQ+PGtleXdvcmQ+RW5lcmd5IEludGFrZS9waHlzaW9sb2d5PC9rZXl3b3JkPjxrZXl3
b3JkPkZlbWFsZTwva2V5d29yZD48a2V5d29yZD5IdW1hbnM8L2tleXdvcmQ+PGtleXdvcmQ+SW5z
dWxpbi9ibG9vZDwva2V5d29yZD48a2V5d29yZD5JbnN1bGluIFJlc2lzdGFuY2UvcGh5c2lvbG9n
eTwva2V5d29yZD48a2V5d29yZD5NYXRlcm5hbCBOdXRyaXRpb25hbCBQaHlzaW9sb2dpY2FsIFBo
ZW5vbWVuYS8qcGh5c2lvbG9neTwva2V5d29yZD48a2V5d29yZD5Qb3N0cGFydHVtIFBlcmlvZC9i
bG9vZDwva2V5d29yZD48a2V5d29yZD5QcmVnbmFuY3kvKmJsb29kPC9rZXl3b3JkPjxrZXl3b3Jk
PipQcm9iaW90aWNzPC9rZXl3b3JkPjxrZXl3b3JkPlByb3NwZWN0aXZlIFN0dWRpZXM8L2tleXdv
cmQ+PGtleXdvcmQ+WW91bmcgQWR1bHQ8L2tleXdvcmQ+PC9rZXl3b3Jkcz48ZGF0ZXM+PHllYXI+
MjAwOTwveWVhcj48cHViLWRhdGVzPjxkYXRlPkp1bjwvZGF0ZT48L3B1Yi1kYXRlcz48L2RhdGVz
Pjxpc2JuPjE0NzUtMjY2MiAoRWxlY3Ryb25pYykmI3hEOzAwMDctMTE0NSAoTGlua2luZyk8L2lz
Ym4+PGFjY2Vzc2lvbi1udW0+MTkwMTc0MTg8L2FjY2Vzc2lvbi1udW0+PHVybHM+PHJlbGF0ZWQt
dXJscz48dXJsPmh0dHBzOi8vd3d3Lm5jYmkubmxtLm5paC5nb3YvcHVibWVkLzE5MDE3NDE4PC91
cmw+PC9yZWxhdGVkLXVybHM+PC91cmxzPjxlbGVjdHJvbmljLXJlc291cmNlLW51bT4xMC4xMDE3
L1MwMDA3MTE0NTA4MTExNDYxPC9lbGVjdHJvbmljLXJlc291cmNlLW51bT48L3JlY29yZD48L0Np
dGU+PENpdGU+PEF1dGhvcj5QZWxsb25wZXJhPC9BdXRob3I+PFllYXI+MjAxOTwvWWVhcj48UmVj
TnVtPjE2Njk8L1JlY051bT48cmVjb3JkPjxyZWMtbnVtYmVyPjE2Njk8L3JlYy1udW1iZXI+PGZv
cmVpZ24ta2V5cz48a2V5IGFwcD0iRU4iIGRiLWlkPSJleHZhc3JmeDJkdHJhb2VzYXN4cDJzenN4
YTJkZjUwMjU5MngiIHRpbWVzdGFtcD0iMTU4MTMxMjg0MCI+MTY2OTwva2V5PjxrZXkgYXBwPSJF
TldlYiIgZGItaWQ9IiI+MDwva2V5PjwvZm9yZWlnbi1rZXlzPjxyZWYtdHlwZSBuYW1lPSJKb3Vy
bmFsIEFydGljbGUiPjE3PC9yZWYtdHlwZT48Y29udHJpYnV0b3JzPjxhdXRob3JzPjxhdXRob3I+
UGVsbG9ucGVyYSwgTy48L2F1dGhvcj48YXV0aG9yPk1va2thbGEsIEsuPC9hdXRob3I+PGF1dGhv
cj5Ib3V0dHUsIE4uPC9hdXRob3I+PGF1dGhvcj5WYWhsYmVyZywgVC48L2F1dGhvcj48YXV0aG9y
PktvaXZ1bmllbWksIEUuPC9hdXRob3I+PGF1dGhvcj5UZXJ0dGksIEsuPC9hdXRob3I+PGF1dGhv
cj5Sb25uZW1hYSwgVC48L2F1dGhvcj48YXV0aG9yPkxhaXRpbmVuLCBLLjwvYXV0aG9yPjwvYXV0
aG9ycz48L2NvbnRyaWJ1dG9ycz48YXV0aC1hZGRyZXNzPkRlcGFydG1lbnQgb2YgT2JzdGV0cmlj
cyBhbmQgR3luZWNvbG9neSwgVW5pdmVyc2l0eSBvZiBUdXJrdSBhbmQgVHVya3UgVW5pdmVyc2l0
eSBIb3NwaXRhbCwgVHVya3UsIEZpbmxhbmQgb3V0aS5wZWxsb25wZXJhQHV0dS5maS4mI3hEO0lu
dGVncmF0aXZlIFBoeXNpb2xvZ3kgYW5kIFBoYXJtYWNvbG9neSwgSW5zdGl0dXRlIG9mIEJpb21l
ZGljaW5lLCBVbml2ZXJzaXR5IG9mIFR1cmt1LCBUdXJrdSwgRmlubGFuZC4mI3hEO0Jpb3N0YXRp
c3RpY3MsIEluc3RpdHV0ZSBvZiBDbGluaWNhbCBNZWRpY2luZSwgVW5pdmVyc2l0eSBvZiBUdXJr
dSwgVHVya3UsIEZpbmxhbmQuJiN4RDtEZXBhcnRtZW50IG9mIE9ic3RldHJpY3MgYW5kIEd5bmVj
b2xvZ3ksIFVuaXZlcnNpdHkgb2YgVHVya3UgYW5kIFR1cmt1IFVuaXZlcnNpdHkgSG9zcGl0YWws
IFR1cmt1LCBGaW5sYW5kLiYjeEQ7RGVwYXJ0bWVudCBvZiBNZWRpY2luZSwgVW5pdmVyc2l0eSBv
ZiBUdXJrdSBhbmQgVHVya3UgVW5pdmVyc2l0eSBIb3NwaXRhbCwgVHVya3UsIEZpbmxhbmQuPC9h
dXRoLWFkZHJlc3M+PHRpdGxlcz48dGl0bGU+RWZmaWNhY3kgb2YgZmlzaCBvaWwgYW5kL29yIHBy
b2Jpb3RpYyBpbnRlcnZlbnRpb24gb24gdGhlIGluY2lkZW5jZSBvZiBnZXN0YXRpb25hbCBkaWFi
ZXRlcyBtZWxsaXR1cyBpbiBhbiBhdC1yaXNrIGdyb3VwIG9mIG92ZXJ3ZWlnaHQgYW5kIG9iZXNl
IHdvbWVuOiBhIHJhbmRvbWl6ZWQsIHBsYWNlYm8tY29udHJvbGxlZCwgZG91YmxlLWJsaW5kIGNs
aW5pY2FsIHRyaWFsPC90aXRsZT48c2Vjb25kYXJ5LXRpdGxlPkRpYWJldGVzIENhcmU8L3NlY29u
ZGFyeS10aXRsZT48L3RpdGxlcz48cGVyaW9kaWNhbD48ZnVsbC10aXRsZT5EaWFiZXRlcyBDYXJl
PC9mdWxsLXRpdGxlPjwvcGVyaW9kaWNhbD48cGFnZXM+MTAwOS0xMDE3PC9wYWdlcz48dm9sdW1l
PjQyPC92b2x1bWU+PG51bWJlcj42PC9udW1iZXI+PGVkaXRpb24+MjAxOS8wNC8xMTwvZWRpdGlv
bj48ZGF0ZXM+PHllYXI+MjAxOTwveWVhcj48cHViLWRhdGVzPjxkYXRlPkp1bjwvZGF0ZT48L3B1
Yi1kYXRlcz48L2RhdGVzPjxpc2JuPjE5MzUtNTU0OCAoRWxlY3Ryb25pYykmI3hEOzAxNDktNTk5
MiAoTGlua2luZyk8L2lzYm4+PGFjY2Vzc2lvbi1udW0+MzA5Njc0MzY8L2FjY2Vzc2lvbi1udW0+
PHVybHM+PHJlbGF0ZWQtdXJscz48dXJsPmh0dHBzOi8vd3d3Lm5jYmkubmxtLm5paC5nb3YvcHVi
bWVkLzMwOTY3NDM2PC91cmw+PC9yZWxhdGVkLXVybHM+PC91cmxzPjxlbGVjdHJvbmljLXJlc291
cmNlLW51bT4xMC4yMzM3L2RjMTgtMjU5MTwvZWxlY3Ryb25pYy1yZXNvdXJjZS1udW0+PC9yZWNv
cmQ+PC9DaXRlPjxDaXRlPjxBdXRob3I+UmF1dGF2YTwvQXV0aG9yPjxZZWFyPjIwMTI8L1llYXI+
PFJlY051bT4xNjk0PC9SZWNOdW0+PHJlY29yZD48cmVjLW51bWJlcj4xNjk0PC9yZWMtbnVtYmVy
Pjxmb3JlaWduLWtleXM+PGtleSBhcHA9IkVOIiBkYi1pZD0iZXh2YXNyZngyZHRyYW9lc2FzeHAy
c3pzeGEyZGY1MDI1OTJ4IiB0aW1lc3RhbXA9IjE1ODE4MzIwNzYiPjE2OTQ8L2tleT48L2ZvcmVp
Z24ta2V5cz48cmVmLXR5cGUgbmFtZT0iSm91cm5hbCBBcnRpY2xlIj4xNzwvcmVmLXR5cGU+PGNv
bnRyaWJ1dG9ycz48YXV0aG9ycz48YXV0aG9yPlJhdXRhdmEsIFMuPC9hdXRob3I+PGF1dGhvcj5L
YWlub25lbiwgRS48L2F1dGhvcj48YXV0aG9yPlNhbG1pbmVuLCBTLjwvYXV0aG9yPjxhdXRob3I+
SXNvbGF1cmksIEUuPC9hdXRob3I+PC9hdXRob3JzPjwvY29udHJpYnV0b3JzPjxhdXRoLWFkZHJl
c3M+RGVwYXJ0bWVudCBvZiBQYWVkaWF0cmljcywgVHVya3UgVW5pdmVyc2l0eSBDZW50cmFsIEhv
c3BpdGFsLCBUdXJrdSwgRmlubGFuZC4gc2FtcmF1QHV0dS5maTwvYXV0aC1hZGRyZXNzPjx0aXRs
ZXM+PHRpdGxlPk1hdGVybmFsIHByb2Jpb3RpYyBzdXBwbGVtZW50YXRpb24gZHVyaW5nIHByZWdu
YW5jeSBhbmQgYnJlYXN0LWZlZWRpbmcgcmVkdWNlcyB0aGUgcmlzayBvZiBlY3plbWEgaW4gdGhl
IGluZmFudDwvdGl0bGU+PHNlY29uZGFyeS10aXRsZT5KIEFsbGVyZ3kgQ2xpbiBJbW11bm9sPC9z
ZWNvbmRhcnktdGl0bGU+PC90aXRsZXM+PHBlcmlvZGljYWw+PGZ1bGwtdGl0bGU+SiBBbGxlcmd5
IENsaW4gSW1tdW5vbDwvZnVsbC10aXRsZT48L3BlcmlvZGljYWw+PHBhZ2VzPjEzNTUtNjA8L3Bh
Z2VzPjx2b2x1bWU+MTMwPC92b2x1bWU+PG51bWJlcj42PC9udW1iZXI+PGVkaXRpb24+MjAxMi8x
MC8yMzwvZWRpdGlvbj48a2V5d29yZHM+PGtleXdvcmQ+QWR1bHQ8L2tleXdvcmQ+PGtleXdvcmQ+
QnJlYXN0IEZlZWRpbmc8L2tleXdvcmQ+PGtleXdvcmQ+KkRpZXRhcnkgU3VwcGxlbWVudHM8L2tl
eXdvcmQ+PGtleXdvcmQ+RWN6ZW1hL2ltbXVub2xvZ3kvKnByZXZlbnRpb24gJmFtcDsgY29udHJv
bDwva2V5d29yZD48a2V5d29yZD5GZW1hbGU8L2tleXdvcmQ+PGtleXdvcmQ+Rm9sbG93LVVwIFN0
dWRpZXM8L2tleXdvcmQ+PGtleXdvcmQ+SHVtYW5zPC9rZXl3b3JkPjxrZXl3b3JkPkltbXVub2ds
b2J1bGluIEUvYmxvb2Q8L2tleXdvcmQ+PGtleXdvcmQ+SW5mYW50LCBOZXdib3JuPC9rZXl3b3Jk
PjxrZXl3b3JkPk1hbGU8L2tleXdvcmQ+PGtleXdvcmQ+TWF0ZXJuYWwgRXhwb3N1cmU8L2tleXdv
cmQ+PGtleXdvcmQ+UHJlZ25hbmN5PC9rZXl3b3JkPjxrZXl3b3JkPlByb2Jpb3RpY3MvKmFkbWlu
aXN0cmF0aW9uICZhbXA7IGRvc2FnZTwva2V5d29yZD48a2V5d29yZD5SaXNrPC9rZXl3b3JkPjxr
ZXl3b3JkPlNraW4gVGVzdHM8L2tleXdvcmQ+PGtleXdvcmQ+WW91bmcgQWR1bHQ8L2tleXdvcmQ+
PC9rZXl3b3Jkcz48ZGF0ZXM+PHllYXI+MjAxMjwveWVhcj48cHViLWRhdGVzPjxkYXRlPkRlYzwv
ZGF0ZT48L3B1Yi1kYXRlcz48L2RhdGVzPjxpc2JuPjEwOTctNjgyNSAoRWxlY3Ryb25pYykmI3hE
OzAwOTEtNjc0OSAoTGlua2luZyk8L2lzYm4+PGFjY2Vzc2lvbi1udW0+MjMwODM2NzM8L2FjY2Vz
c2lvbi1udW0+PHVybHM+PHJlbGF0ZWQtdXJscz48dXJsPmh0dHBzOi8vd3d3Lm5jYmkubmxtLm5p
aC5nb3YvcHVibWVkLzIzMDgzNjczPC91cmw+PC9yZWxhdGVkLXVybHM+PC91cmxzPjxlbGVjdHJv
bmljLXJlc291cmNlLW51bT4xMC4xMDE2L2ouamFjaS4yMDEyLjA5LjAwMzwvZWxlY3Ryb25pYy1y
ZXNvdXJjZS1udW0+PC9yZWNvcmQ+PC9DaXRlPjwvRW5kTm90ZT4A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233,240,248,251</w:t>
      </w:r>
      <w:r w:rsidR="00AB21E2">
        <w:fldChar w:fldCharType="end"/>
      </w:r>
      <w:r>
        <w:t xml:space="preserve"> Germany (</w:t>
      </w:r>
      <w:r w:rsidRPr="00D676D7">
        <w:rPr>
          <w:sz w:val="16"/>
          <w:szCs w:val="16"/>
        </w:rPr>
        <w:t>n=1</w:t>
      </w:r>
      <w:r>
        <w:t>),</w:t>
      </w:r>
      <w:r w:rsidR="00AB21E2">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instrText xml:space="preserve"> ADDIN EN.CITE </w:instrText>
      </w:r>
      <w:r w:rsidR="002747EA">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229</w:t>
      </w:r>
      <w:r w:rsidR="00AB21E2">
        <w:fldChar w:fldCharType="end"/>
      </w:r>
      <w:r>
        <w:t xml:space="preserve"> Iran (</w:t>
      </w:r>
      <w:r w:rsidRPr="00D676D7">
        <w:rPr>
          <w:sz w:val="16"/>
          <w:szCs w:val="16"/>
        </w:rPr>
        <w:t>n=4</w:t>
      </w:r>
      <w:r>
        <w:t>),</w:t>
      </w:r>
      <w:r w:rsidR="00AB21E2">
        <w:fldChar w:fldCharType="begin">
          <w:fldData xml:space="preserve">PEVuZE5vdGU+PENpdGU+PEF1dGhvcj5CYWRlaG5vb3NoPC9BdXRob3I+PFllYXI+MjAxODwvWWVh
cj48UmVjTnVtPjE2ODQ8L1JlY051bT48RGlzcGxheVRleHQ+PHN0eWxlIGZhY2U9InN1cGVyc2Ny
aXB0IiBmb250PSJUcmVidWNoZXQgTVMiIHNpemU9IjkiPjI0Mi0yNDU8L3N0eWxlPjwvRGlzcGxh
eVRleHQ+PHJlY29yZD48cmVjLW51bWJlcj4xNjg0PC9yZWMtbnVtYmVyPjxmb3JlaWduLWtleXM+
PGtleSBhcHA9IkVOIiBkYi1pZD0iZXh2YXNyZngyZHRyYW9lc2FzeHAyc3pzeGEyZGY1MDI1OTJ4
IiB0aW1lc3RhbXA9IjE1ODE4MzIwNzYiPjE2ODQ8L2tleT48L2ZvcmVpZ24ta2V5cz48cmVmLXR5
cGUgbmFtZT0iSm91cm5hbCBBcnRpY2xlIj4xNzwvcmVmLXR5cGU+PGNvbnRyaWJ1dG9ycz48YXV0
aG9ycz48YXV0aG9yPkJhZGVobm9vc2gsIEIuPC9hdXRob3I+PGF1dGhvcj5LYXJhbWFsaSwgTS48
L2F1dGhvcj48YXV0aG9yPlphcnJhdGksIE0uPC9hdXRob3I+PGF1dGhvcj5KYW1pbGlhbiwgTS48
L2F1dGhvcj48YXV0aG9yPkJhaG1hbmksIEYuPC9hdXRob3I+PGF1dGhvcj5UYWphYmFkaS1FYnJh
aGltaSwgTS48L2F1dGhvcj48YXV0aG9yPkphZmFyaSwgUC48L2F1dGhvcj48YXV0aG9yPlJhaG1h
bmksIEUuPC9hdXRob3I+PGF1dGhvcj5Bc2VtaSwgWi48L2F1dGhvcj48L2F1dGhvcnM+PC9jb250
cmlidXRvcnM+PGF1dGgtYWRkcmVzcz5hIERlcGFydG1lbnQgb2YgR3luZWNvbG9neSBhbmQgT2Jz
dGV0cmljcyAsIFNjaG9vbCBvZiBNZWRpY2luZSwgQWxib3J6IFVuaXZlcnNpdHkgb2YgTWVkaWNh
bCBTY2llbmNlcyAsIEthcmFqICwgSXJhbi4mI3hEO2IgRGVwYXJ0bWVudCBvZiBHeW5lY29sb2d5
IGFuZCBPYnN0ZXRyaWNzICwgU2Nob29sIG9mIE1lZGljaW5lLCBJcmFuIFVuaXZlcnNpdHkgb2Yg
TWVkaWNhbCBTY2llbmNlcyAsIFRlaHJhbiAsIElyYW4uJiN4RDtjIEZhY3VsdHkgb2YgTnV0cml0
aW9uICwgU2Nob29sIG9mIFB1YmxpYyBIZWFsdGgsIElyYW4gVW5pdmVyc2l0eSBvZiBNZWRpY2Fs
IFNjaWVuY2VzICwgVGVocmFuICwgSXJhbi4mI3hEO2QgRW5kb2NyaW5vbG9neSBhbmQgTWV0YWJv
bGlzbSBSZXNlYXJjaCBDZW50ZXIsIEFyYWsgVW5pdmVyc2l0eSBvZiBNZWRpY2FsIFNjaWVuY2Vz
ICwgQXJhayAsIElyYW4uJiN4RDtlIFJlc2VhcmNoIENlbnRlciBmb3IgQmlvY2hlbWlzdHJ5IGFu
ZCBOdXRyaXRpb24gaW4gTWV0YWJvbGljIERpc2Vhc2VzLCBLYXNoYW4gVW5pdmVyc2l0eSBvZiBN
ZWRpY2FsIFNjaWVuY2VzICwgS2FzaGFuICwgSXJhbi4mI3hEO2YgRmFjdWx0eSBtZW1iZXIgb2Yg
U2NpZW5jZSBkZXBhcnRtZW50LCBTY2llbmNlIGZhY3VsdHkgLCBJc2xhbWljIEF6YWQgVW5pdmVy
c2l0eSAsIFRlaHJhbiAsIElyYW4uJiN4RDtnIERlcGFydG1lbnQgb2YgTWljcm9iaW9sb2d5LCBT
Y2llbmNlIGZhY3VsdHkgLCBJc2xhbWljIEF6YWQgVW5pdmVyc2l0eSAsIEFyYWsgLCBJcmFuLiYj
eEQ7aCBEZXBhcnRtZW50IG9mIEd5bmVjb2xvZ3kgYW5kIE9ic3RldHJpY3MgLCBTY2hvb2wgb2Yg
TWVkaWNpbmUsIEJ1c2hlaHIgVW5pdmVyc2l0eSBvZiBNZWRpY2FsIFNjaWVuY2VzICwgQnVzaGVo
ciAsIElyYW4uPC9hdXRoLWFkZHJlc3M+PHRpdGxlcz48dGl0bGU+VGhlIGVmZmVjdHMgb2YgcHJv
YmlvdGljIHN1cHBsZW1lbnRhdGlvbiBvbiBiaW9tYXJrZXJzIG9mIGluZmxhbW1hdGlvbiwgb3hp
ZGF0aXZlIHN0cmVzcyBhbmQgcHJlZ25hbmN5IG91dGNvbWVzIGluIGdlc3RhdGlvbmFsIGRpYWJl
dGVzPC90aXRsZT48c2Vjb25kYXJ5LXRpdGxlPkogTWF0ZXJuIEZldGFsIE5lb25hdGFsIE1lZDwv
c2Vjb25kYXJ5LXRpdGxlPjwvdGl0bGVzPjxwZXJpb2RpY2FsPjxmdWxsLXRpdGxlPkogTWF0ZXJu
IEZldGFsIE5lb25hdGFsIE1lZDwvZnVsbC10aXRsZT48L3BlcmlvZGljYWw+PHBhZ2VzPjExMjgt
MTEzNjwvcGFnZXM+PHZvbHVtZT4zMTwvdm9sdW1lPjxudW1iZXI+OTwvbnVtYmVyPjxlZGl0aW9u
PjIwMTcvMDMvMjM8L2VkaXRpb24+PGtleXdvcmRzPjxrZXl3b3JkPkFkdWx0PC9rZXl3b3JkPjxr
ZXl3b3JkPkJpb21hcmtlcnMvKmJsb29kPC9rZXl3b3JkPjxrZXl3b3JkPkJsb29kIEdsdWNvc2Uv
YW5hbHlzaXM8L2tleXdvcmQ+PGtleXdvcmQ+Qy1SZWFjdGl2ZSBQcm90ZWluL2FuYWx5c2lzPC9r
ZXl3b3JkPjxrZXl3b3JkPkRpYWJldGVzLCBHZXN0YXRpb25hbC8qYmxvb2Q8L2tleXdvcmQ+PGtl
eXdvcmQ+RGlldGFyeSBTdXBwbGVtZW50czwva2V5d29yZD48a2V5d29yZD5Eb3VibGUtQmxpbmQg
TWV0aG9kPC9rZXl3b3JkPjxrZXl3b3JkPkZlbWFsZTwva2V5d29yZD48a2V5d29yZD5IdW1hbnM8
L2tleXdvcmQ+PGtleXdvcmQ+SW5mbGFtbWF0aW9uLypibG9vZDwva2V5d29yZD48a2V5d29yZD5N
YWxvbmRpYWxkZWh5ZGUvYmxvb2Q8L2tleXdvcmQ+PGtleXdvcmQ+T3hpZGF0aXZlIFN0cmVzcy8q
cGh5c2lvbG9neTwva2V5d29yZD48a2V5d29yZD5QbGFjZWJvczwva2V5d29yZD48a2V5d29yZD5Q
cmVnbmFuY3k8L2tleXdvcmQ+PGtleXdvcmQ+KlByZWduYW5jeSBPdXRjb21lPC9rZXl3b3JkPjxr
ZXl3b3JkPlByb2Jpb3RpY3MvKmFkbWluaXN0cmF0aW9uICZhbXA7IGRvc2FnZTwva2V5d29yZD48
a2V5d29yZD5Qcm9iaW90aWMgc3VwcGxlbWVudGF0aW9uPC9rZXl3b3JkPjxrZXl3b3JkPmdlc3Rh
dGlvbmFsIGRpYWJldGVzPC9rZXl3b3JkPjxrZXl3b3JkPnByZWduYW50IHdvbWVuPC9rZXl3b3Jk
Pjwva2V5d29yZHM+PGRhdGVzPjx5ZWFyPjIwMTg8L3llYXI+PHB1Yi1kYXRlcz48ZGF0ZT5NYXk8
L2RhdGU+PC9wdWItZGF0ZXM+PC9kYXRlcz48aXNibj4xNDc2LTQ5NTQgKEVsZWN0cm9uaWMpJiN4
RDsxNDc2LTQ5NTQgKExpbmtpbmcpPC9pc2JuPjxhY2Nlc3Npb24tbnVtPjI4MzI2ODgxPC9hY2Nl
c3Npb24tbnVtPjx1cmxzPjxyZWxhdGVkLXVybHM+PHVybD5odHRwczovL3d3dy5uY2JpLm5sbS5u
aWguZ292L3B1Ym1lZC8yODMyNjg4MTwvdXJsPjwvcmVsYXRlZC11cmxzPjwvdXJscz48ZWxlY3Ry
b25pYy1yZXNvdXJjZS1udW0+MTAuMTA4MC8xNDc2NzA1OC4yMDE3LjEzMTAxOTM8L2VsZWN0cm9u
aWMtcmVzb3VyY2UtbnVtPjwvcmVjb3JkPjwvQ2l0ZT48Q2l0ZT48QXV0aG9yPkRvbGF0a2hhaDwv
QXV0aG9yPjxZZWFyPjIwMTU8L1llYXI+PFJlY051bT4xNjg1PC9SZWNOdW0+PHJlY29yZD48cmVj
LW51bWJlcj4xNjg1PC9yZWMtbnVtYmVyPjxmb3JlaWduLWtleXM+PGtleSBhcHA9IkVOIiBkYi1p
ZD0iZXh2YXNyZngyZHRyYW9lc2FzeHAyc3pzeGEyZGY1MDI1OTJ4IiB0aW1lc3RhbXA9IjE1ODE4
MzIwNzYiPjE2ODU8L2tleT48L2ZvcmVpZ24ta2V5cz48cmVmLXR5cGUgbmFtZT0iSm91cm5hbCBB
cnRpY2xlIj4xNzwvcmVmLXR5cGU+PGNvbnRyaWJ1dG9ycz48YXV0aG9ycz48YXV0aG9yPkRvbGF0
a2hhaCwgTi48L2F1dGhvcj48YXV0aG9yPkhhamlmYXJhamksIE0uPC9hdXRob3I+PGF1dGhvcj5B
YmJhc2FsaXphZGVoLCBGLjwvYXV0aG9yPjxhdXRob3I+QWdoYW1vaGFtbWFkemFkZWgsIE4uPC9h
dXRob3I+PGF1dGhvcj5NZWhyYWJpLCBZLjwvYXV0aG9yPjxhdXRob3I+QWJiYXNpLCBNLiBNLjwv
YXV0aG9yPjwvYXV0aG9ycz48L2NvbnRyaWJ1dG9ycz48YXV0aC1hZGRyZXNzPkRlcGFydG1lbnQg
b2YgTnV0cml0aW9uIFNjaWVuY2VzLCBTaGFoaWQgQmVoZXNodGkgVW5pdmVyc2l0eSBvZiBNZWRp
Y2FsIFNjaWVuY2VzIChTQlVNUyksIEludGVybmF0aW9uYWwgQnJhbmNoLCB0ZWhyYW4sIGlyYW4u
IG5lZGEuZG9sYXRraGFoYkBnbWFpbC5jb20uJiN4RDtOdXRyaXRpb24gU29jaWV0eSwgTmF0aW9u
YWwgTnV0cml0aW9uIGFuZCBGb29kIFRlY2hub2xvZ3kgUmVzZWFyY2ggSW5zdGl0dXRlLCBGYWN1
bHR5IG9mIE51dHJpdGlvbiBhbmQgRm9vZCBUZWNobm9sb2d5LCBCZWhlc2h0aSBVbml2ZXJzaXR5
IG9mIE1lZGljYWwgU2NpZW5jZXMsIEJhcmFuIDMsIFdlc3QgQXJnaGF2YW4sIEZhcmFoemFkaSBC
bHZkLiwgU2hhaHJhayBRb2RzLCAxOTM5NS00NzQxLCBpc3RhbmJ1bCwgMTk4MTYxOTU3MywgdHVy
a2V5LiBtLmhhamlmYXJhamlAbm5mdHJpLmFjLmlyLiYjeEQ7RGVwYXJ0bWVudCBvZiBPYnN0ZXRy
aWNzICZhbXA7IEd5bmVjb2xvZ3ksIFRhYnJpeiBVbml2ZXJzaXR5IG9mIE1lZGljYWwgU2NpZW5j
ZXMsIHRhYnJpeiwgaXJhbi4gZmF0ZW1laC5hYmFzYWxpemFkZWhAeWFob28uY29tLiYjeEQ7U2Vj
dGlvbiBvZiBFbmRvY3Jpbm9sb2d5ICZhbXA7IE1ldGFib2xpc20sIERlcGFydG1lbnQgb2YgSW50
ZXJuYWwgTWVkaWNpbmUsIFRhYnJpeiBVbml2ZXJzaXR5IG9mIE1lZGljYWwgU2NpZW5jZXMsIFRh
YnJpeiwgSXJhbi4gbmFzZXIuYWdoYW1vaGFtbWFkemFkZWhAeWFob28uY29tLiYjeEQ7RGVwYXJ0
bWVudCBvZiBCaW9zdGF0aXN0aWNzICZhbXA7IEVwaWRlbWlvbG9neSwgU2hhaGlkIEJlaGVzaHRp
IFVuaXZlcnNpdHkgb2YgTWVkaWNhbCBTY2llbmNlcywgVGVocmFuLCBJcmFuLiB5YWRvbGxhaC5t
ZWhyYWJpYkBnbWFpbC5jb20uJiN4RDtEcnVnIEFwcGxpZWQgUmVzZWFyY2ggQ2VudGVyLCBUYWJy
aXogVW5pdmVyc2l0eSBvZiBNZWRpY2FsIFNjaWVuY2VzLCBUYWJyaXosIElyYW4uIG1laHJhbi5t
ZXNnYXJpYWJiYXNpQGdtYWlsLmNvbS48L2F1dGgtYWRkcmVzcz48dGl0bGVzPjx0aXRsZT5JcyB0
aGVyZSBhIHZhbHVlIGZvciBwcm9iaW90aWMgc3VwcGxlbWVudHMgaW4gZ2VzdGF0aW9uYWwgZGlh
YmV0ZXMgbWVsbGl0dXM/IEEgcmFuZG9taXplZCBjbGluaWNhbCB0cmlhbDwvdGl0bGU+PHNlY29u
ZGFyeS10aXRsZT5KIEhlYWx0aCBQb3B1bCBOdXRyPC9zZWNvbmRhcnktdGl0bGU+PC90aXRsZXM+
PHBlcmlvZGljYWw+PGZ1bGwtdGl0bGU+SiBIZWFsdGggUG9wdWwgTnV0cjwvZnVsbC10aXRsZT48
L3BlcmlvZGljYWw+PHBhZ2VzPjI1PC9wYWdlcz48dm9sdW1lPjMzPC92b2x1bWU+PGVkaXRpb24+
MjAxNi8wMS8zMTwvZWRpdGlvbj48a2V5d29yZHM+PGtleXdvcmQ+QWR1bHQ8L2tleXdvcmQ+PGtl
eXdvcmQ+QW50aS1PYmVzaXR5IEFnZW50cy8qdGhlcmFwZXV0aWMgdXNlPC9rZXl3b3JkPjxrZXl3
b3JkPkJpZmlkb2JhY3Rlcml1bSBhbmltYWxpcy9ncm93dGggJmFtcDsgZGV2ZWxvcG1lbnQ8L2tl
eXdvcmQ+PGtleXdvcmQ+Qmxvb2QgR2x1Y29zZS9hbmFseXNpczwva2V5d29yZD48a2V5d29yZD5E
aWFiZXRlcywgR2VzdGF0aW9uYWwvYmxvb2QvKmRpZXQgdGhlcmFweS9tZXRhYm9saXNtPC9rZXl3
b3JkPjxrZXl3b3JkPkRpZXQsIERpYWJldGljPC9rZXl3b3JkPjxrZXl3b3JkPkRvdWJsZS1CbGlu
ZCBNZXRob2Q8L2tleXdvcmQ+PGtleXdvcmQ+RmVtYWxlPC9rZXl3b3JkPjxrZXl3b3JkPkh1bWFu
czwva2V5d29yZD48a2V5d29yZD5IeXBlcmdseWNlbWlhLypwcmV2ZW50aW9uICZhbXA7IGNvbnRy
b2w8L2tleXdvcmQ+PGtleXdvcmQ+SHlwb2dseWNlbWljIEFnZW50cy8qdGhlcmFwZXV0aWMgdXNl
PC9rZXl3b3JkPjxrZXl3b3JkPipJbnN1bGluIFJlc2lzdGFuY2U8L2tleXdvcmQ+PGtleXdvcmQ+
SXJhbjwva2V5d29yZD48a2V5d29yZD5MYWN0b2JhY2lsbHVzIGFjaWRvcGhpbHVzL2dyb3d0aCAm
YW1wOyBkZXZlbG9wbWVudDwva2V5d29yZD48a2V5d29yZD5MYWN0b2JhY2lsbHVzIGRlbGJydWVj
a2lpL2dyb3d0aCAmYW1wOyBkZXZlbG9wbWVudDwva2V5d29yZD48a2V5d29yZD4qTWF0ZXJuYWwg
TnV0cml0aW9uYWwgUGh5c2lvbG9naWNhbCBQaGVub21lbmE8L2tleXdvcmQ+PGtleXdvcmQ+UHJl
Z25hbmN5PC9rZXl3b3JkPjxrZXl3b3JkPlByZWduYW5jeSBUcmltZXN0ZXIsIFRoaXJkPC9rZXl3
b3JkPjxrZXl3b3JkPlByb2Jpb3RpY3MvKnRoZXJhcGV1dGljIHVzZTwva2V5d29yZD48a2V5d29y
ZD5TdHJlcHRvY29jY3VzIHRoZXJtb3BoaWx1cy9ncm93dGggJmFtcDsgZGV2ZWxvcG1lbnQ8L2tl
eXdvcmQ+PGtleXdvcmQ+V2VpZ2h0IEdhaW48L2tleXdvcmQ+PGtleXdvcmQ+WW91bmcgQWR1bHQ8
L2tleXdvcmQ+PC9rZXl3b3Jkcz48ZGF0ZXM+PHllYXI+MjAxNTwveWVhcj48cHViLWRhdGVzPjxk
YXRlPk5vdiAyNTwvZGF0ZT48L3B1Yi1kYXRlcz48L2RhdGVzPjxpc2JuPjIwNzItMTMxNSAoRWxl
Y3Ryb25pYykmI3hEOzE2MDYtMDk5NyAoTGlua2luZyk8L2lzYm4+PGFjY2Vzc2lvbi1udW0+MjY4
MjU2NjY8L2FjY2Vzc2lvbi1udW0+PHVybHM+PHJlbGF0ZWQtdXJscz48dXJsPmh0dHBzOi8vd3d3
Lm5jYmkubmxtLm5paC5nb3YvcHVibWVkLzI2ODI1NjY2PC91cmw+PC9yZWxhdGVkLXVybHM+PC91
cmxzPjxjdXN0b20yPlBNQzUwMjYwMTg8L2N1c3RvbTI+PGVsZWN0cm9uaWMtcmVzb3VyY2UtbnVt
PjEwLjExODYvczQxMDQzLTAxNS0wMDM0LTk8L2VsZWN0cm9uaWMtcmVzb3VyY2UtbnVtPjwvcmVj
b3JkPjwvQ2l0ZT48Q2l0ZT48QXV0aG9yPkphZmFybmVqYWQ8L0F1dGhvcj48WWVhcj4yMDE2PC9Z
ZWFyPjxSZWNOdW0+MTY4NzwvUmVjTnVtPjxyZWNvcmQ+PHJlYy1udW1iZXI+MTY4NzwvcmVjLW51
bWJlcj48Zm9yZWlnbi1rZXlzPjxrZXkgYXBwPSJFTiIgZGItaWQ9ImV4dmFzcmZ4MmR0cmFvZXNh
c3hwMnN6c3hhMmRmNTAyNTkyeCIgdGltZXN0YW1wPSIxNTgxODMyMDc2Ij4xNjg3PC9rZXk+PC9m
b3JlaWduLWtleXM+PHJlZi10eXBlIG5hbWU9IkpvdXJuYWwgQXJ0aWNsZSI+MTc8L3JlZi10eXBl
Pjxjb250cmlidXRvcnM+PGF1dGhvcnM+PGF1dGhvcj5KYWZhcm5lamFkLCBTLjwvYXV0aG9yPjxh
dXRob3I+U2FyZW1pLCBTLjwvYXV0aG9yPjxhdXRob3I+SmFmYXJuZWphZCwgRi48L2F1dGhvcj48
YXV0aG9yPkFyYWIsIEEuPC9hdXRob3I+PC9hdXRob3JzPjwvY29udHJpYnV0b3JzPjxhdXRoLWFk
ZHJlc3M+RGVwYXJ0bWVudCBvZiBDbGluaWNhbCBOdXRyaXRpb24sIFNjaG9vbCBvZiBOdXRyaXRp
b25hbCBTY2llbmNlcyBhbmQgRGlldGV0aWMsIFRlaHJhbiBVbml2ZXJzaXR5IG9mIE1lZGljYWwg
U2NpZW5jZXMsIFAuTy4gQm94IDE0MTU1LTYxMTcsIFRlaHJhbiwgSXJhbi4mI3hEO0RlcGFydG1l
bnQgb2YgUHVibGljIEhlYWx0aCwgSXNmYWhhbiBVbml2ZXJzaXR5IG9mIE1lZGljYWwgU2NpZW5j
ZXMsIElzZmFoYW4sIElyYW4uJiN4RDtEZXBhcnRtZW50IG9mIEhlYWx0aCBJbmZvcm1hdGlvbiBN
YW5hZ2VtZW50LCBNYXphbmRhcmFuIFVuaXZlcnNpdHkgb2YgTWVkaWNhbCBTY2llbmNlcywgU2Fy
aSwgSXJhbi4mI3hEO0RlcGFydG1lbnQgb2YgQ29tbXVuaXR5IE51dHJpdGlvbiwgU2Nob29sIG9m
IE51dHJpdGlvbiBhbmQgRm9vZCBTY2llbmNlLCBJc2ZhaGFuIFVuaXZlcnNpdHkgb2YgTWVkaWNh
bCBTY2llbmNlcywgSXNmYWhhbiwgSXJhbi48L2F1dGgtYWRkcmVzcz48dGl0bGVzPjx0aXRsZT5F
ZmZlY3RzIG9mIGEgTXVsdGlzcGVjaWVzIFByb2Jpb3RpYyBNaXh0dXJlIG9uIEdseWNlbWljIENv
bnRyb2wgYW5kIEluZmxhbW1hdG9yeSBTdGF0dXMgaW4gV29tZW4gd2l0aCBHZXN0YXRpb25hbCBE
aWFiZXRlczogQSBSYW5kb21pemVkIENvbnRyb2xsZWQgQ2xpbmljYWwgVHJpYWw8L3RpdGxlPjxz
ZWNvbmRhcnktdGl0bGU+SiBOdXRyIE1ldGFiPC9zZWNvbmRhcnktdGl0bGU+PC90aXRsZXM+PHBl
cmlvZGljYWw+PGZ1bGwtdGl0bGU+SiBOdXRyIE1ldGFiPC9mdWxsLXRpdGxlPjwvcGVyaW9kaWNh
bD48cGFnZXM+NTE5MDg0NjwvcGFnZXM+PHZvbHVtZT4yMDE2PC92b2x1bWU+PGVkaXRpb24+MjAx
Ni8wNy8xOTwvZWRpdGlvbj48ZGF0ZXM+PHllYXI+MjAxNjwveWVhcj48L2RhdGVzPjxpc2JuPjIw
OTAtMDcyNCAoUHJpbnQpJiN4RDsyMDkwLTA3MjQgKExpbmtpbmcpPC9pc2JuPjxhY2Nlc3Npb24t
bnVtPjI3NDI5ODAzPC9hY2Nlc3Npb24tbnVtPjx1cmxzPjxyZWxhdGVkLXVybHM+PHVybD5odHRw
czovL3d3dy5uY2JpLm5sbS5uaWguZ292L3B1Ym1lZC8yNzQyOTgwMzwvdXJsPjwvcmVsYXRlZC11
cmxzPjwvdXJscz48Y3VzdG9tMj5QTUM0OTM5MTkzPC9jdXN0b20yPjxlbGVjdHJvbmljLXJlc291
cmNlLW51bT4xMC4xMTU1LzIwMTYvNTE5MDg0NjwvZWxlY3Ryb25pYy1yZXNvdXJjZS1udW0+PC9y
ZWNvcmQ+PC9DaXRlPjxDaXRlPjxBdXRob3I+S2FyYW1hbGk8L0F1dGhvcj48WWVhcj4yMDE2PC9Z
ZWFyPjxSZWNOdW0+MTY4OTwvUmVjTnVtPjxyZWNvcmQ+PHJlYy1udW1iZXI+MTY4OTwvcmVjLW51
bWJlcj48Zm9yZWlnbi1rZXlzPjxrZXkgYXBwPSJFTiIgZGItaWQ9ImV4dmFzcmZ4MmR0cmFvZXNh
c3hwMnN6c3hhMmRmNTAyNTkyeCIgdGltZXN0YW1wPSIxNTgxODMyMDc2Ij4xNjg5PC9rZXk+PC9m
b3JlaWduLWtleXM+PHJlZi10eXBlIG5hbWU9IkpvdXJuYWwgQXJ0aWNsZSI+MTc8L3JlZi10eXBl
Pjxjb250cmlidXRvcnM+PGF1dGhvcnM+PGF1dGhvcj5LYXJhbWFsaSwgTS48L2F1dGhvcj48YXV0
aG9yPkRhZGtoYWgsIEYuPC9hdXRob3I+PGF1dGhvcj5TYWRya2hhbmxvdSwgTS48L2F1dGhvcj48
YXV0aG9yPkphbWlsaWFuLCBNLjwvYXV0aG9yPjxhdXRob3I+QWhtYWRpLCBTLjwvYXV0aG9yPjxh
dXRob3I+VGFqYWJhZGktRWJyYWhpbWksIE0uPC9hdXRob3I+PGF1dGhvcj5KYWZhcmksIFAuPC9h
dXRob3I+PGF1dGhvcj5Bc2VtaSwgWi48L2F1dGhvcj48L2F1dGhvcnM+PC9jb250cmlidXRvcnM+
PGF1dGgtYWRkcmVzcz5EZXBhcnRtZW50IG9mIGd5bmVjb2xvZ3kgYW5kIG9ic3RldHJpY3MsIHNj
aG9vbCBvZiBtZWRpY2luZSwgSXJhbiB1bml2ZXJzaXR5IG9mIG1lZGljYWwgc2NpZW5jZXMsIFRl
aHJhbiwgSXJhbi4mI3hEO0VuZG9jcmlub2xvZ3kgYW5kIG1ldGFib2xpc20gcmVzZWFyY2ggY2Vu
dGVyLCBkZXBhcnRtZW50IG9mIGd5bmVjb2xvZ3kgYW5kIG9ic3RldHJpY3MsIHNjaG9vbCBvZiBt
ZWRpY2luZSwgQXJhayB1bml2ZXJzaXR5IG9mIG1lZGljYWwgc2NpZW5jZXMsIEFyYWssIElyYW4u
JiN4RDtEZXBhcnRtZW50IG9mIGd5bmVjb2xvZ3kgYW5kIG9ic3RldHJpY3MsIHNjaG9vbCBvZiBt
ZWRpY2luZSwgSXJhbiB1bml2ZXJzaXR5IG9mIG1lZGljYWwgc2NpZW5jZXMsIFRlaHJhbiwgSXJh
bjsgRGVwYXJ0bWVudCBvZiBneW5lY29sb2d5IGFuZCBvYnN0ZXRyaWNzLCBzY2hvb2wgb2YgbWVk
aWNpbmUsIEJ1c2hlaHIgdW5pdmVyc2l0eSBvZiBtZWRpY2FsIHNjaWVuY2VzLCBCdXNoZWhyLCBJ
cmFuLiYjeEQ7RmFjdWx0eSBtZW1iZXIgb2Ygc2NpZW5jZSBkZXBhcnRtZW50LCBzY2llbmNlIGZh
Y3VsdHksIElzbGFtaWMgQXphZCB1bml2ZXJzaXR5LCBUZWhyYW4gQ2VudHJhbCBicmFuY2gsIFRl
aHJhbiwgSXJhbi4mI3hEO0RlcGFydG1lbnQgb2YgbWljcm9iaW9sb2d5LCBzY2llbmNlIGZhY3Vs
dHksIElzbGFtaWMgQXphZCB1bml2ZXJzaXR5LCBBcmFrIGJyYW5jaCwgQXJhaywgSXJhbi4mI3hE
O1Jlc2VhcmNoIGNlbnRlciBmb3IgYmlvY2hlbWlzdHJ5IGFuZCBudXRyaXRpb24gaW4gbWV0YWJv
bGljIGRpc2Vhc2VzLCBLYXNoYW4gdW5pdmVyc2l0eSBvZiBtZWRpY2FsIHNjaWVuY2VzLCBLYXNo
YW4sIElyYW4uIEVsZWN0cm9uaWMgYWRkcmVzczogYXNlbWlfckB5YWhvby5jb20uPC9hdXRoLWFk
ZHJlc3M+PHRpdGxlcz48dGl0bGU+RWZmZWN0cyBvZiBwcm9iaW90aWMgc3VwcGxlbWVudGF0aW9u
IG9uIGdseWNhZW1pYyBjb250cm9sIGFuZCBsaXBpZCBwcm9maWxlcyBpbiBnZXN0YXRpb25hbCBk
aWFiZXRlczogQSByYW5kb21pemVkLCBkb3VibGUtYmxpbmQsIHBsYWNlYm8tY29udHJvbGxlZCB0
cmlhbDwvdGl0bGU+PHNlY29uZGFyeS10aXRsZT5EaWFiZXRlcyBNZXRhYjwvc2Vjb25kYXJ5LXRp
dGxlPjwvdGl0bGVzPjxwZXJpb2RpY2FsPjxmdWxsLXRpdGxlPkRpYWJldGVzIE1ldGFiPC9mdWxs
LXRpdGxlPjwvcGVyaW9kaWNhbD48cGFnZXM+MjM0LTQxPC9wYWdlcz48dm9sdW1lPjQyPC92b2x1
bWU+PG51bWJlcj40PC9udW1iZXI+PGVkaXRpb24+MjAxNi8wNS8yMzwvZWRpdGlvbj48a2V5d29y
ZHM+PGtleXdvcmQ+QWRvbGVzY2VudDwva2V5d29yZD48a2V5d29yZD5BZHVsdDwva2V5d29yZD48
a2V5d29yZD5CbG9vZCBHbHVjb3NlLypkcnVnIGVmZmVjdHM8L2tleXdvcmQ+PGtleXdvcmQ+RGlh
YmV0ZXMsIEdlc3RhdGlvbmFsLypibG9vZC8qZGlldCB0aGVyYXB5PC9rZXl3b3JkPjxrZXl3b3Jk
PkRpZXRhcnkgU3VwcGxlbWVudHM8L2tleXdvcmQ+PGtleXdvcmQ+RG91YmxlLUJsaW5kIE1ldGhv
ZDwva2V5d29yZD48a2V5d29yZD5GZW1hbGU8L2tleXdvcmQ+PGtleXdvcmQ+SHVtYW5zPC9rZXl3
b3JkPjxrZXl3b3JkPkxhY3RvYmFjaWxsdXMgYWNpZG9waGlsdXM8L2tleXdvcmQ+PGtleXdvcmQ+
TGlwaWQgTWV0YWJvbGlzbS9kcnVnIGVmZmVjdHM8L2tleXdvcmQ+PGtleXdvcmQ+TGlwaWRzLypi
bG9vZDwva2V5d29yZD48a2V5d29yZD5QbGFjZWJvczwva2V5d29yZD48a2V5d29yZD5QcmVnbmFu
Y3k8L2tleXdvcmQ+PGtleXdvcmQ+UHJvYmlvdGljcy8qdGhlcmFwZXV0aWMgdXNlPC9rZXl3b3Jk
PjxrZXl3b3JkPllvdW5nIEFkdWx0PC9rZXl3b3JkPjxrZXl3b3JkPipHZXN0YXRpb25hbCBkaWFi
ZXRlcyBtZWxsaXR1czwva2V5d29yZD48a2V5d29yZD4qSW5zdWxpbiByZXNpc3RhbmNlPC9rZXl3
b3JkPjxrZXl3b3JkPipMaXBpZCBwcm9maWxlczwva2V5d29yZD48a2V5d29yZD4qUHJvYmlvdGlj
IHN1cHBsZW1lbnRhdGlvbjwva2V5d29yZD48L2tleXdvcmRzPjxkYXRlcz48eWVhcj4yMDE2PC95
ZWFyPjxwdWItZGF0ZXM+PGRhdGU+U2VwPC9kYXRlPjwvcHViLWRhdGVzPjwvZGF0ZXM+PGlzYm4+
MTg3OC0xNzgwIChFbGVjdHJvbmljKSYjeEQ7MTI2Mi0zNjM2IChMaW5raW5nKTwvaXNibj48YWNj
ZXNzaW9uLW51bT4yNzIwOTQzOTwvYWNjZXNzaW9uLW51bT48dXJscz48cmVsYXRlZC11cmxzPjx1
cmw+aHR0cHM6Ly93d3cubmNiaS5ubG0ubmloLmdvdi9wdWJtZWQvMjcyMDk0Mzk8L3VybD48L3Jl
bGF0ZWQtdXJscz48L3VybHM+PGVsZWN0cm9uaWMtcmVzb3VyY2UtbnVtPjEwLjEwMTYvai5kaWFi
ZXQuMjAxNi4wNC4wMDk8L2VsZWN0cm9uaWMtcmVzb3VyY2UtbnVtPjwvcmVjb3JkPjwvQ2l0ZT48
L0VuZE5vdGU+
</w:fldData>
        </w:fldChar>
      </w:r>
      <w:r w:rsidR="002747EA">
        <w:instrText xml:space="preserve"> ADDIN EN.CITE </w:instrText>
      </w:r>
      <w:r w:rsidR="002747EA">
        <w:fldChar w:fldCharType="begin">
          <w:fldData xml:space="preserve">PEVuZE5vdGU+PENpdGU+PEF1dGhvcj5CYWRlaG5vb3NoPC9BdXRob3I+PFllYXI+MjAxODwvWWVh
cj48UmVjTnVtPjE2ODQ8L1JlY051bT48RGlzcGxheVRleHQ+PHN0eWxlIGZhY2U9InN1cGVyc2Ny
aXB0IiBmb250PSJUcmVidWNoZXQgTVMiIHNpemU9IjkiPjI0Mi0yNDU8L3N0eWxlPjwvRGlzcGxh
eVRleHQ+PHJlY29yZD48cmVjLW51bWJlcj4xNjg0PC9yZWMtbnVtYmVyPjxmb3JlaWduLWtleXM+
PGtleSBhcHA9IkVOIiBkYi1pZD0iZXh2YXNyZngyZHRyYW9lc2FzeHAyc3pzeGEyZGY1MDI1OTJ4
IiB0aW1lc3RhbXA9IjE1ODE4MzIwNzYiPjE2ODQ8L2tleT48L2ZvcmVpZ24ta2V5cz48cmVmLXR5
cGUgbmFtZT0iSm91cm5hbCBBcnRpY2xlIj4xNzwvcmVmLXR5cGU+PGNvbnRyaWJ1dG9ycz48YXV0
aG9ycz48YXV0aG9yPkJhZGVobm9vc2gsIEIuPC9hdXRob3I+PGF1dGhvcj5LYXJhbWFsaSwgTS48
L2F1dGhvcj48YXV0aG9yPlphcnJhdGksIE0uPC9hdXRob3I+PGF1dGhvcj5KYW1pbGlhbiwgTS48
L2F1dGhvcj48YXV0aG9yPkJhaG1hbmksIEYuPC9hdXRob3I+PGF1dGhvcj5UYWphYmFkaS1FYnJh
aGltaSwgTS48L2F1dGhvcj48YXV0aG9yPkphZmFyaSwgUC48L2F1dGhvcj48YXV0aG9yPlJhaG1h
bmksIEUuPC9hdXRob3I+PGF1dGhvcj5Bc2VtaSwgWi48L2F1dGhvcj48L2F1dGhvcnM+PC9jb250
cmlidXRvcnM+PGF1dGgtYWRkcmVzcz5hIERlcGFydG1lbnQgb2YgR3luZWNvbG9neSBhbmQgT2Jz
dGV0cmljcyAsIFNjaG9vbCBvZiBNZWRpY2luZSwgQWxib3J6IFVuaXZlcnNpdHkgb2YgTWVkaWNh
bCBTY2llbmNlcyAsIEthcmFqICwgSXJhbi4mI3hEO2IgRGVwYXJ0bWVudCBvZiBHeW5lY29sb2d5
IGFuZCBPYnN0ZXRyaWNzICwgU2Nob29sIG9mIE1lZGljaW5lLCBJcmFuIFVuaXZlcnNpdHkgb2Yg
TWVkaWNhbCBTY2llbmNlcyAsIFRlaHJhbiAsIElyYW4uJiN4RDtjIEZhY3VsdHkgb2YgTnV0cml0
aW9uICwgU2Nob29sIG9mIFB1YmxpYyBIZWFsdGgsIElyYW4gVW5pdmVyc2l0eSBvZiBNZWRpY2Fs
IFNjaWVuY2VzICwgVGVocmFuICwgSXJhbi4mI3hEO2QgRW5kb2NyaW5vbG9neSBhbmQgTWV0YWJv
bGlzbSBSZXNlYXJjaCBDZW50ZXIsIEFyYWsgVW5pdmVyc2l0eSBvZiBNZWRpY2FsIFNjaWVuY2Vz
ICwgQXJhayAsIElyYW4uJiN4RDtlIFJlc2VhcmNoIENlbnRlciBmb3IgQmlvY2hlbWlzdHJ5IGFu
ZCBOdXRyaXRpb24gaW4gTWV0YWJvbGljIERpc2Vhc2VzLCBLYXNoYW4gVW5pdmVyc2l0eSBvZiBN
ZWRpY2FsIFNjaWVuY2VzICwgS2FzaGFuICwgSXJhbi4mI3hEO2YgRmFjdWx0eSBtZW1iZXIgb2Yg
U2NpZW5jZSBkZXBhcnRtZW50LCBTY2llbmNlIGZhY3VsdHkgLCBJc2xhbWljIEF6YWQgVW5pdmVy
c2l0eSAsIFRlaHJhbiAsIElyYW4uJiN4RDtnIERlcGFydG1lbnQgb2YgTWljcm9iaW9sb2d5LCBT
Y2llbmNlIGZhY3VsdHkgLCBJc2xhbWljIEF6YWQgVW5pdmVyc2l0eSAsIEFyYWsgLCBJcmFuLiYj
eEQ7aCBEZXBhcnRtZW50IG9mIEd5bmVjb2xvZ3kgYW5kIE9ic3RldHJpY3MgLCBTY2hvb2wgb2Yg
TWVkaWNpbmUsIEJ1c2hlaHIgVW5pdmVyc2l0eSBvZiBNZWRpY2FsIFNjaWVuY2VzICwgQnVzaGVo
ciAsIElyYW4uPC9hdXRoLWFkZHJlc3M+PHRpdGxlcz48dGl0bGU+VGhlIGVmZmVjdHMgb2YgcHJv
YmlvdGljIHN1cHBsZW1lbnRhdGlvbiBvbiBiaW9tYXJrZXJzIG9mIGluZmxhbW1hdGlvbiwgb3hp
ZGF0aXZlIHN0cmVzcyBhbmQgcHJlZ25hbmN5IG91dGNvbWVzIGluIGdlc3RhdGlvbmFsIGRpYWJl
dGVzPC90aXRsZT48c2Vjb25kYXJ5LXRpdGxlPkogTWF0ZXJuIEZldGFsIE5lb25hdGFsIE1lZDwv
c2Vjb25kYXJ5LXRpdGxlPjwvdGl0bGVzPjxwZXJpb2RpY2FsPjxmdWxsLXRpdGxlPkogTWF0ZXJu
IEZldGFsIE5lb25hdGFsIE1lZDwvZnVsbC10aXRsZT48L3BlcmlvZGljYWw+PHBhZ2VzPjExMjgt
MTEzNjwvcGFnZXM+PHZvbHVtZT4zMTwvdm9sdW1lPjxudW1iZXI+OTwvbnVtYmVyPjxlZGl0aW9u
PjIwMTcvMDMvMjM8L2VkaXRpb24+PGtleXdvcmRzPjxrZXl3b3JkPkFkdWx0PC9rZXl3b3JkPjxr
ZXl3b3JkPkJpb21hcmtlcnMvKmJsb29kPC9rZXl3b3JkPjxrZXl3b3JkPkJsb29kIEdsdWNvc2Uv
YW5hbHlzaXM8L2tleXdvcmQ+PGtleXdvcmQ+Qy1SZWFjdGl2ZSBQcm90ZWluL2FuYWx5c2lzPC9r
ZXl3b3JkPjxrZXl3b3JkPkRpYWJldGVzLCBHZXN0YXRpb25hbC8qYmxvb2Q8L2tleXdvcmQ+PGtl
eXdvcmQ+RGlldGFyeSBTdXBwbGVtZW50czwva2V5d29yZD48a2V5d29yZD5Eb3VibGUtQmxpbmQg
TWV0aG9kPC9rZXl3b3JkPjxrZXl3b3JkPkZlbWFsZTwva2V5d29yZD48a2V5d29yZD5IdW1hbnM8
L2tleXdvcmQ+PGtleXdvcmQ+SW5mbGFtbWF0aW9uLypibG9vZDwva2V5d29yZD48a2V5d29yZD5N
YWxvbmRpYWxkZWh5ZGUvYmxvb2Q8L2tleXdvcmQ+PGtleXdvcmQ+T3hpZGF0aXZlIFN0cmVzcy8q
cGh5c2lvbG9neTwva2V5d29yZD48a2V5d29yZD5QbGFjZWJvczwva2V5d29yZD48a2V5d29yZD5Q
cmVnbmFuY3k8L2tleXdvcmQ+PGtleXdvcmQ+KlByZWduYW5jeSBPdXRjb21lPC9rZXl3b3JkPjxr
ZXl3b3JkPlByb2Jpb3RpY3MvKmFkbWluaXN0cmF0aW9uICZhbXA7IGRvc2FnZTwva2V5d29yZD48
a2V5d29yZD5Qcm9iaW90aWMgc3VwcGxlbWVudGF0aW9uPC9rZXl3b3JkPjxrZXl3b3JkPmdlc3Rh
dGlvbmFsIGRpYWJldGVzPC9rZXl3b3JkPjxrZXl3b3JkPnByZWduYW50IHdvbWVuPC9rZXl3b3Jk
Pjwva2V5d29yZHM+PGRhdGVzPjx5ZWFyPjIwMTg8L3llYXI+PHB1Yi1kYXRlcz48ZGF0ZT5NYXk8
L2RhdGU+PC9wdWItZGF0ZXM+PC9kYXRlcz48aXNibj4xNDc2LTQ5NTQgKEVsZWN0cm9uaWMpJiN4
RDsxNDc2LTQ5NTQgKExpbmtpbmcpPC9pc2JuPjxhY2Nlc3Npb24tbnVtPjI4MzI2ODgxPC9hY2Nl
c3Npb24tbnVtPjx1cmxzPjxyZWxhdGVkLXVybHM+PHVybD5odHRwczovL3d3dy5uY2JpLm5sbS5u
aWguZ292L3B1Ym1lZC8yODMyNjg4MTwvdXJsPjwvcmVsYXRlZC11cmxzPjwvdXJscz48ZWxlY3Ry
b25pYy1yZXNvdXJjZS1udW0+MTAuMTA4MC8xNDc2NzA1OC4yMDE3LjEzMTAxOTM8L2VsZWN0cm9u
aWMtcmVzb3VyY2UtbnVtPjwvcmVjb3JkPjwvQ2l0ZT48Q2l0ZT48QXV0aG9yPkRvbGF0a2hhaDwv
QXV0aG9yPjxZZWFyPjIwMTU8L1llYXI+PFJlY051bT4xNjg1PC9SZWNOdW0+PHJlY29yZD48cmVj
LW51bWJlcj4xNjg1PC9yZWMtbnVtYmVyPjxmb3JlaWduLWtleXM+PGtleSBhcHA9IkVOIiBkYi1p
ZD0iZXh2YXNyZngyZHRyYW9lc2FzeHAyc3pzeGEyZGY1MDI1OTJ4IiB0aW1lc3RhbXA9IjE1ODE4
MzIwNzYiPjE2ODU8L2tleT48L2ZvcmVpZ24ta2V5cz48cmVmLXR5cGUgbmFtZT0iSm91cm5hbCBB
cnRpY2xlIj4xNzwvcmVmLXR5cGU+PGNvbnRyaWJ1dG9ycz48YXV0aG9ycz48YXV0aG9yPkRvbGF0
a2hhaCwgTi48L2F1dGhvcj48YXV0aG9yPkhhamlmYXJhamksIE0uPC9hdXRob3I+PGF1dGhvcj5B
YmJhc2FsaXphZGVoLCBGLjwvYXV0aG9yPjxhdXRob3I+QWdoYW1vaGFtbWFkemFkZWgsIE4uPC9h
dXRob3I+PGF1dGhvcj5NZWhyYWJpLCBZLjwvYXV0aG9yPjxhdXRob3I+QWJiYXNpLCBNLiBNLjwv
YXV0aG9yPjwvYXV0aG9ycz48L2NvbnRyaWJ1dG9ycz48YXV0aC1hZGRyZXNzPkRlcGFydG1lbnQg
b2YgTnV0cml0aW9uIFNjaWVuY2VzLCBTaGFoaWQgQmVoZXNodGkgVW5pdmVyc2l0eSBvZiBNZWRp
Y2FsIFNjaWVuY2VzIChTQlVNUyksIEludGVybmF0aW9uYWwgQnJhbmNoLCB0ZWhyYW4sIGlyYW4u
IG5lZGEuZG9sYXRraGFoYkBnbWFpbC5jb20uJiN4RDtOdXRyaXRpb24gU29jaWV0eSwgTmF0aW9u
YWwgTnV0cml0aW9uIGFuZCBGb29kIFRlY2hub2xvZ3kgUmVzZWFyY2ggSW5zdGl0dXRlLCBGYWN1
bHR5IG9mIE51dHJpdGlvbiBhbmQgRm9vZCBUZWNobm9sb2d5LCBCZWhlc2h0aSBVbml2ZXJzaXR5
IG9mIE1lZGljYWwgU2NpZW5jZXMsIEJhcmFuIDMsIFdlc3QgQXJnaGF2YW4sIEZhcmFoemFkaSBC
bHZkLiwgU2hhaHJhayBRb2RzLCAxOTM5NS00NzQxLCBpc3RhbmJ1bCwgMTk4MTYxOTU3MywgdHVy
a2V5LiBtLmhhamlmYXJhamlAbm5mdHJpLmFjLmlyLiYjeEQ7RGVwYXJ0bWVudCBvZiBPYnN0ZXRy
aWNzICZhbXA7IEd5bmVjb2xvZ3ksIFRhYnJpeiBVbml2ZXJzaXR5IG9mIE1lZGljYWwgU2NpZW5j
ZXMsIHRhYnJpeiwgaXJhbi4gZmF0ZW1laC5hYmFzYWxpemFkZWhAeWFob28uY29tLiYjeEQ7U2Vj
dGlvbiBvZiBFbmRvY3Jpbm9sb2d5ICZhbXA7IE1ldGFib2xpc20sIERlcGFydG1lbnQgb2YgSW50
ZXJuYWwgTWVkaWNpbmUsIFRhYnJpeiBVbml2ZXJzaXR5IG9mIE1lZGljYWwgU2NpZW5jZXMsIFRh
YnJpeiwgSXJhbi4gbmFzZXIuYWdoYW1vaGFtbWFkemFkZWhAeWFob28uY29tLiYjeEQ7RGVwYXJ0
bWVudCBvZiBCaW9zdGF0aXN0aWNzICZhbXA7IEVwaWRlbWlvbG9neSwgU2hhaGlkIEJlaGVzaHRp
IFVuaXZlcnNpdHkgb2YgTWVkaWNhbCBTY2llbmNlcywgVGVocmFuLCBJcmFuLiB5YWRvbGxhaC5t
ZWhyYWJpYkBnbWFpbC5jb20uJiN4RDtEcnVnIEFwcGxpZWQgUmVzZWFyY2ggQ2VudGVyLCBUYWJy
aXogVW5pdmVyc2l0eSBvZiBNZWRpY2FsIFNjaWVuY2VzLCBUYWJyaXosIElyYW4uIG1laHJhbi5t
ZXNnYXJpYWJiYXNpQGdtYWlsLmNvbS48L2F1dGgtYWRkcmVzcz48dGl0bGVzPjx0aXRsZT5JcyB0
aGVyZSBhIHZhbHVlIGZvciBwcm9iaW90aWMgc3VwcGxlbWVudHMgaW4gZ2VzdGF0aW9uYWwgZGlh
YmV0ZXMgbWVsbGl0dXM/IEEgcmFuZG9taXplZCBjbGluaWNhbCB0cmlhbDwvdGl0bGU+PHNlY29u
ZGFyeS10aXRsZT5KIEhlYWx0aCBQb3B1bCBOdXRyPC9zZWNvbmRhcnktdGl0bGU+PC90aXRsZXM+
PHBlcmlvZGljYWw+PGZ1bGwtdGl0bGU+SiBIZWFsdGggUG9wdWwgTnV0cjwvZnVsbC10aXRsZT48
L3BlcmlvZGljYWw+PHBhZ2VzPjI1PC9wYWdlcz48dm9sdW1lPjMzPC92b2x1bWU+PGVkaXRpb24+
MjAxNi8wMS8zMTwvZWRpdGlvbj48a2V5d29yZHM+PGtleXdvcmQ+QWR1bHQ8L2tleXdvcmQ+PGtl
eXdvcmQ+QW50aS1PYmVzaXR5IEFnZW50cy8qdGhlcmFwZXV0aWMgdXNlPC9rZXl3b3JkPjxrZXl3
b3JkPkJpZmlkb2JhY3Rlcml1bSBhbmltYWxpcy9ncm93dGggJmFtcDsgZGV2ZWxvcG1lbnQ8L2tl
eXdvcmQ+PGtleXdvcmQ+Qmxvb2QgR2x1Y29zZS9hbmFseXNpczwva2V5d29yZD48a2V5d29yZD5E
aWFiZXRlcywgR2VzdGF0aW9uYWwvYmxvb2QvKmRpZXQgdGhlcmFweS9tZXRhYm9saXNtPC9rZXl3
b3JkPjxrZXl3b3JkPkRpZXQsIERpYWJldGljPC9rZXl3b3JkPjxrZXl3b3JkPkRvdWJsZS1CbGlu
ZCBNZXRob2Q8L2tleXdvcmQ+PGtleXdvcmQ+RmVtYWxlPC9rZXl3b3JkPjxrZXl3b3JkPkh1bWFu
czwva2V5d29yZD48a2V5d29yZD5IeXBlcmdseWNlbWlhLypwcmV2ZW50aW9uICZhbXA7IGNvbnRy
b2w8L2tleXdvcmQ+PGtleXdvcmQ+SHlwb2dseWNlbWljIEFnZW50cy8qdGhlcmFwZXV0aWMgdXNl
PC9rZXl3b3JkPjxrZXl3b3JkPipJbnN1bGluIFJlc2lzdGFuY2U8L2tleXdvcmQ+PGtleXdvcmQ+
SXJhbjwva2V5d29yZD48a2V5d29yZD5MYWN0b2JhY2lsbHVzIGFjaWRvcGhpbHVzL2dyb3d0aCAm
YW1wOyBkZXZlbG9wbWVudDwva2V5d29yZD48a2V5d29yZD5MYWN0b2JhY2lsbHVzIGRlbGJydWVj
a2lpL2dyb3d0aCAmYW1wOyBkZXZlbG9wbWVudDwva2V5d29yZD48a2V5d29yZD4qTWF0ZXJuYWwg
TnV0cml0aW9uYWwgUGh5c2lvbG9naWNhbCBQaGVub21lbmE8L2tleXdvcmQ+PGtleXdvcmQ+UHJl
Z25hbmN5PC9rZXl3b3JkPjxrZXl3b3JkPlByZWduYW5jeSBUcmltZXN0ZXIsIFRoaXJkPC9rZXl3
b3JkPjxrZXl3b3JkPlByb2Jpb3RpY3MvKnRoZXJhcGV1dGljIHVzZTwva2V5d29yZD48a2V5d29y
ZD5TdHJlcHRvY29jY3VzIHRoZXJtb3BoaWx1cy9ncm93dGggJmFtcDsgZGV2ZWxvcG1lbnQ8L2tl
eXdvcmQ+PGtleXdvcmQ+V2VpZ2h0IEdhaW48L2tleXdvcmQ+PGtleXdvcmQ+WW91bmcgQWR1bHQ8
L2tleXdvcmQ+PC9rZXl3b3Jkcz48ZGF0ZXM+PHllYXI+MjAxNTwveWVhcj48cHViLWRhdGVzPjxk
YXRlPk5vdiAyNTwvZGF0ZT48L3B1Yi1kYXRlcz48L2RhdGVzPjxpc2JuPjIwNzItMTMxNSAoRWxl
Y3Ryb25pYykmI3hEOzE2MDYtMDk5NyAoTGlua2luZyk8L2lzYm4+PGFjY2Vzc2lvbi1udW0+MjY4
MjU2NjY8L2FjY2Vzc2lvbi1udW0+PHVybHM+PHJlbGF0ZWQtdXJscz48dXJsPmh0dHBzOi8vd3d3
Lm5jYmkubmxtLm5paC5nb3YvcHVibWVkLzI2ODI1NjY2PC91cmw+PC9yZWxhdGVkLXVybHM+PC91
cmxzPjxjdXN0b20yPlBNQzUwMjYwMTg8L2N1c3RvbTI+PGVsZWN0cm9uaWMtcmVzb3VyY2UtbnVt
PjEwLjExODYvczQxMDQzLTAxNS0wMDM0LTk8L2VsZWN0cm9uaWMtcmVzb3VyY2UtbnVtPjwvcmVj
b3JkPjwvQ2l0ZT48Q2l0ZT48QXV0aG9yPkphZmFybmVqYWQ8L0F1dGhvcj48WWVhcj4yMDE2PC9Z
ZWFyPjxSZWNOdW0+MTY4NzwvUmVjTnVtPjxyZWNvcmQ+PHJlYy1udW1iZXI+MTY4NzwvcmVjLW51
bWJlcj48Zm9yZWlnbi1rZXlzPjxrZXkgYXBwPSJFTiIgZGItaWQ9ImV4dmFzcmZ4MmR0cmFvZXNh
c3hwMnN6c3hhMmRmNTAyNTkyeCIgdGltZXN0YW1wPSIxNTgxODMyMDc2Ij4xNjg3PC9rZXk+PC9m
b3JlaWduLWtleXM+PHJlZi10eXBlIG5hbWU9IkpvdXJuYWwgQXJ0aWNsZSI+MTc8L3JlZi10eXBl
Pjxjb250cmlidXRvcnM+PGF1dGhvcnM+PGF1dGhvcj5KYWZhcm5lamFkLCBTLjwvYXV0aG9yPjxh
dXRob3I+U2FyZW1pLCBTLjwvYXV0aG9yPjxhdXRob3I+SmFmYXJuZWphZCwgRi48L2F1dGhvcj48
YXV0aG9yPkFyYWIsIEEuPC9hdXRob3I+PC9hdXRob3JzPjwvY29udHJpYnV0b3JzPjxhdXRoLWFk
ZHJlc3M+RGVwYXJ0bWVudCBvZiBDbGluaWNhbCBOdXRyaXRpb24sIFNjaG9vbCBvZiBOdXRyaXRp
b25hbCBTY2llbmNlcyBhbmQgRGlldGV0aWMsIFRlaHJhbiBVbml2ZXJzaXR5IG9mIE1lZGljYWwg
U2NpZW5jZXMsIFAuTy4gQm94IDE0MTU1LTYxMTcsIFRlaHJhbiwgSXJhbi4mI3hEO0RlcGFydG1l
bnQgb2YgUHVibGljIEhlYWx0aCwgSXNmYWhhbiBVbml2ZXJzaXR5IG9mIE1lZGljYWwgU2NpZW5j
ZXMsIElzZmFoYW4sIElyYW4uJiN4RDtEZXBhcnRtZW50IG9mIEhlYWx0aCBJbmZvcm1hdGlvbiBN
YW5hZ2VtZW50LCBNYXphbmRhcmFuIFVuaXZlcnNpdHkgb2YgTWVkaWNhbCBTY2llbmNlcywgU2Fy
aSwgSXJhbi4mI3hEO0RlcGFydG1lbnQgb2YgQ29tbXVuaXR5IE51dHJpdGlvbiwgU2Nob29sIG9m
IE51dHJpdGlvbiBhbmQgRm9vZCBTY2llbmNlLCBJc2ZhaGFuIFVuaXZlcnNpdHkgb2YgTWVkaWNh
bCBTY2llbmNlcywgSXNmYWhhbiwgSXJhbi48L2F1dGgtYWRkcmVzcz48dGl0bGVzPjx0aXRsZT5F
ZmZlY3RzIG9mIGEgTXVsdGlzcGVjaWVzIFByb2Jpb3RpYyBNaXh0dXJlIG9uIEdseWNlbWljIENv
bnRyb2wgYW5kIEluZmxhbW1hdG9yeSBTdGF0dXMgaW4gV29tZW4gd2l0aCBHZXN0YXRpb25hbCBE
aWFiZXRlczogQSBSYW5kb21pemVkIENvbnRyb2xsZWQgQ2xpbmljYWwgVHJpYWw8L3RpdGxlPjxz
ZWNvbmRhcnktdGl0bGU+SiBOdXRyIE1ldGFiPC9zZWNvbmRhcnktdGl0bGU+PC90aXRsZXM+PHBl
cmlvZGljYWw+PGZ1bGwtdGl0bGU+SiBOdXRyIE1ldGFiPC9mdWxsLXRpdGxlPjwvcGVyaW9kaWNh
bD48cGFnZXM+NTE5MDg0NjwvcGFnZXM+PHZvbHVtZT4yMDE2PC92b2x1bWU+PGVkaXRpb24+MjAx
Ni8wNy8xOTwvZWRpdGlvbj48ZGF0ZXM+PHllYXI+MjAxNjwveWVhcj48L2RhdGVzPjxpc2JuPjIw
OTAtMDcyNCAoUHJpbnQpJiN4RDsyMDkwLTA3MjQgKExpbmtpbmcpPC9pc2JuPjxhY2Nlc3Npb24t
bnVtPjI3NDI5ODAzPC9hY2Nlc3Npb24tbnVtPjx1cmxzPjxyZWxhdGVkLXVybHM+PHVybD5odHRw
czovL3d3dy5uY2JpLm5sbS5uaWguZ292L3B1Ym1lZC8yNzQyOTgwMzwvdXJsPjwvcmVsYXRlZC11
cmxzPjwvdXJscz48Y3VzdG9tMj5QTUM0OTM5MTkzPC9jdXN0b20yPjxlbGVjdHJvbmljLXJlc291
cmNlLW51bT4xMC4xMTU1LzIwMTYvNTE5MDg0NjwvZWxlY3Ryb25pYy1yZXNvdXJjZS1udW0+PC9y
ZWNvcmQ+PC9DaXRlPjxDaXRlPjxBdXRob3I+S2FyYW1hbGk8L0F1dGhvcj48WWVhcj4yMDE2PC9Z
ZWFyPjxSZWNOdW0+MTY4OTwvUmVjTnVtPjxyZWNvcmQ+PHJlYy1udW1iZXI+MTY4OTwvcmVjLW51
bWJlcj48Zm9yZWlnbi1rZXlzPjxrZXkgYXBwPSJFTiIgZGItaWQ9ImV4dmFzcmZ4MmR0cmFvZXNh
c3hwMnN6c3hhMmRmNTAyNTkyeCIgdGltZXN0YW1wPSIxNTgxODMyMDc2Ij4xNjg5PC9rZXk+PC9m
b3JlaWduLWtleXM+PHJlZi10eXBlIG5hbWU9IkpvdXJuYWwgQXJ0aWNsZSI+MTc8L3JlZi10eXBl
Pjxjb250cmlidXRvcnM+PGF1dGhvcnM+PGF1dGhvcj5LYXJhbWFsaSwgTS48L2F1dGhvcj48YXV0
aG9yPkRhZGtoYWgsIEYuPC9hdXRob3I+PGF1dGhvcj5TYWRya2hhbmxvdSwgTS48L2F1dGhvcj48
YXV0aG9yPkphbWlsaWFuLCBNLjwvYXV0aG9yPjxhdXRob3I+QWhtYWRpLCBTLjwvYXV0aG9yPjxh
dXRob3I+VGFqYWJhZGktRWJyYWhpbWksIE0uPC9hdXRob3I+PGF1dGhvcj5KYWZhcmksIFAuPC9h
dXRob3I+PGF1dGhvcj5Bc2VtaSwgWi48L2F1dGhvcj48L2F1dGhvcnM+PC9jb250cmlidXRvcnM+
PGF1dGgtYWRkcmVzcz5EZXBhcnRtZW50IG9mIGd5bmVjb2xvZ3kgYW5kIG9ic3RldHJpY3MsIHNj
aG9vbCBvZiBtZWRpY2luZSwgSXJhbiB1bml2ZXJzaXR5IG9mIG1lZGljYWwgc2NpZW5jZXMsIFRl
aHJhbiwgSXJhbi4mI3hEO0VuZG9jcmlub2xvZ3kgYW5kIG1ldGFib2xpc20gcmVzZWFyY2ggY2Vu
dGVyLCBkZXBhcnRtZW50IG9mIGd5bmVjb2xvZ3kgYW5kIG9ic3RldHJpY3MsIHNjaG9vbCBvZiBt
ZWRpY2luZSwgQXJhayB1bml2ZXJzaXR5IG9mIG1lZGljYWwgc2NpZW5jZXMsIEFyYWssIElyYW4u
JiN4RDtEZXBhcnRtZW50IG9mIGd5bmVjb2xvZ3kgYW5kIG9ic3RldHJpY3MsIHNjaG9vbCBvZiBt
ZWRpY2luZSwgSXJhbiB1bml2ZXJzaXR5IG9mIG1lZGljYWwgc2NpZW5jZXMsIFRlaHJhbiwgSXJh
bjsgRGVwYXJ0bWVudCBvZiBneW5lY29sb2d5IGFuZCBvYnN0ZXRyaWNzLCBzY2hvb2wgb2YgbWVk
aWNpbmUsIEJ1c2hlaHIgdW5pdmVyc2l0eSBvZiBtZWRpY2FsIHNjaWVuY2VzLCBCdXNoZWhyLCBJ
cmFuLiYjeEQ7RmFjdWx0eSBtZW1iZXIgb2Ygc2NpZW5jZSBkZXBhcnRtZW50LCBzY2llbmNlIGZh
Y3VsdHksIElzbGFtaWMgQXphZCB1bml2ZXJzaXR5LCBUZWhyYW4gQ2VudHJhbCBicmFuY2gsIFRl
aHJhbiwgSXJhbi4mI3hEO0RlcGFydG1lbnQgb2YgbWljcm9iaW9sb2d5LCBzY2llbmNlIGZhY3Vs
dHksIElzbGFtaWMgQXphZCB1bml2ZXJzaXR5LCBBcmFrIGJyYW5jaCwgQXJhaywgSXJhbi4mI3hE
O1Jlc2VhcmNoIGNlbnRlciBmb3IgYmlvY2hlbWlzdHJ5IGFuZCBudXRyaXRpb24gaW4gbWV0YWJv
bGljIGRpc2Vhc2VzLCBLYXNoYW4gdW5pdmVyc2l0eSBvZiBtZWRpY2FsIHNjaWVuY2VzLCBLYXNo
YW4sIElyYW4uIEVsZWN0cm9uaWMgYWRkcmVzczogYXNlbWlfckB5YWhvby5jb20uPC9hdXRoLWFk
ZHJlc3M+PHRpdGxlcz48dGl0bGU+RWZmZWN0cyBvZiBwcm9iaW90aWMgc3VwcGxlbWVudGF0aW9u
IG9uIGdseWNhZW1pYyBjb250cm9sIGFuZCBsaXBpZCBwcm9maWxlcyBpbiBnZXN0YXRpb25hbCBk
aWFiZXRlczogQSByYW5kb21pemVkLCBkb3VibGUtYmxpbmQsIHBsYWNlYm8tY29udHJvbGxlZCB0
cmlhbDwvdGl0bGU+PHNlY29uZGFyeS10aXRsZT5EaWFiZXRlcyBNZXRhYjwvc2Vjb25kYXJ5LXRp
dGxlPjwvdGl0bGVzPjxwZXJpb2RpY2FsPjxmdWxsLXRpdGxlPkRpYWJldGVzIE1ldGFiPC9mdWxs
LXRpdGxlPjwvcGVyaW9kaWNhbD48cGFnZXM+MjM0LTQxPC9wYWdlcz48dm9sdW1lPjQyPC92b2x1
bWU+PG51bWJlcj40PC9udW1iZXI+PGVkaXRpb24+MjAxNi8wNS8yMzwvZWRpdGlvbj48a2V5d29y
ZHM+PGtleXdvcmQ+QWRvbGVzY2VudDwva2V5d29yZD48a2V5d29yZD5BZHVsdDwva2V5d29yZD48
a2V5d29yZD5CbG9vZCBHbHVjb3NlLypkcnVnIGVmZmVjdHM8L2tleXdvcmQ+PGtleXdvcmQ+RGlh
YmV0ZXMsIEdlc3RhdGlvbmFsLypibG9vZC8qZGlldCB0aGVyYXB5PC9rZXl3b3JkPjxrZXl3b3Jk
PkRpZXRhcnkgU3VwcGxlbWVudHM8L2tleXdvcmQ+PGtleXdvcmQ+RG91YmxlLUJsaW5kIE1ldGhv
ZDwva2V5d29yZD48a2V5d29yZD5GZW1hbGU8L2tleXdvcmQ+PGtleXdvcmQ+SHVtYW5zPC9rZXl3
b3JkPjxrZXl3b3JkPkxhY3RvYmFjaWxsdXMgYWNpZG9waGlsdXM8L2tleXdvcmQ+PGtleXdvcmQ+
TGlwaWQgTWV0YWJvbGlzbS9kcnVnIGVmZmVjdHM8L2tleXdvcmQ+PGtleXdvcmQ+TGlwaWRzLypi
bG9vZDwva2V5d29yZD48a2V5d29yZD5QbGFjZWJvczwva2V5d29yZD48a2V5d29yZD5QcmVnbmFu
Y3k8L2tleXdvcmQ+PGtleXdvcmQ+UHJvYmlvdGljcy8qdGhlcmFwZXV0aWMgdXNlPC9rZXl3b3Jk
PjxrZXl3b3JkPllvdW5nIEFkdWx0PC9rZXl3b3JkPjxrZXl3b3JkPipHZXN0YXRpb25hbCBkaWFi
ZXRlcyBtZWxsaXR1czwva2V5d29yZD48a2V5d29yZD4qSW5zdWxpbiByZXNpc3RhbmNlPC9rZXl3
b3JkPjxrZXl3b3JkPipMaXBpZCBwcm9maWxlczwva2V5d29yZD48a2V5d29yZD4qUHJvYmlvdGlj
IHN1cHBsZW1lbnRhdGlvbjwva2V5d29yZD48L2tleXdvcmRzPjxkYXRlcz48eWVhcj4yMDE2PC95
ZWFyPjxwdWItZGF0ZXM+PGRhdGU+U2VwPC9kYXRlPjwvcHViLWRhdGVzPjwvZGF0ZXM+PGlzYm4+
MTg3OC0xNzgwIChFbGVjdHJvbmljKSYjeEQ7MTI2Mi0zNjM2IChMaW5raW5nKTwvaXNibj48YWNj
ZXNzaW9uLW51bT4yNzIwOTQzOTwvYWNjZXNzaW9uLW51bT48dXJscz48cmVsYXRlZC11cmxzPjx1
cmw+aHR0cHM6Ly93d3cubmNiaS5ubG0ubmloLmdvdi9wdWJtZWQvMjcyMDk0Mzk8L3VybD48L3Jl
bGF0ZWQtdXJscz48L3VybHM+PGVsZWN0cm9uaWMtcmVzb3VyY2UtbnVtPjEwLjEwMTYvai5kaWFi
ZXQuMjAxNi4wNC4wMDk8L2VsZWN0cm9uaWMtcmVzb3VyY2UtbnVtPjwvcmVjb3JkPjwvQ2l0ZT48
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242-245</w:t>
      </w:r>
      <w:r w:rsidR="00AB21E2">
        <w:fldChar w:fldCharType="end"/>
      </w:r>
      <w:r>
        <w:t xml:space="preserve"> Ireland (</w:t>
      </w:r>
      <w:r w:rsidRPr="00D676D7">
        <w:rPr>
          <w:sz w:val="16"/>
          <w:szCs w:val="16"/>
        </w:rPr>
        <w:t>n=2</w:t>
      </w:r>
      <w:r>
        <w:t>),</w:t>
      </w:r>
      <w:r w:rsidR="00AB21E2">
        <w:fldChar w:fldCharType="begin">
          <w:fldData xml:space="preserve">PEVuZE5vdGU+PENpdGU+PEF1dGhvcj5MaW5kc2F5PC9BdXRob3I+PFllYXI+MjAxNDwvWWVhcj48
UmVjTnVtPjE4NDY8L1JlY051bT48RGlzcGxheVRleHQ+PHN0eWxlIGZhY2U9InN1cGVyc2NyaXB0
IiBmb250PSJUcmVidWNoZXQgTVMiIHNpemU9IjkiPjIzNiwyNDE8L3N0eWxlPjwvRGlzcGxheVRl
eHQ+PHJlY29yZD48cmVjLW51bWJlcj4xODQ2PC9yZWMtbnVtYmVyPjxmb3JlaWduLWtleXM+PGtl
eSBhcHA9IkVOIiBkYi1pZD0iZXh2YXNyZngyZHRyYW9lc2FzeHAyc3pzeGEyZGY1MDI1OTJ4IiB0
aW1lc3RhbXA9IjE1ODcwOTczMzYiPjE4NDY8L2tleT48L2ZvcmVpZ24ta2V5cz48cmVmLXR5cGUg
bmFtZT0iSm91cm5hbCBBcnRpY2xlIj4xNzwvcmVmLXR5cGU+PGNvbnRyaWJ1dG9ycz48YXV0aG9y
cz48YXV0aG9yPkxpbmRzYXksIEsuIEwuPC9hdXRob3I+PGF1dGhvcj5LZW5uZWxseSwgTS48L2F1
dGhvcj48YXV0aG9yPkN1bGxpdG9uLCBNLjwvYXV0aG9yPjxhdXRob3I+U21pdGgsIFQuPC9hdXRo
b3I+PGF1dGhvcj5NYWd1aXJlLCBPLiBDLjwvYXV0aG9yPjxhdXRob3I+U2hhbmFoYW4sIEYuPC9h
dXRob3I+PGF1dGhvcj5CcmVubmFuLCBMLjwvYXV0aG9yPjxhdXRob3I+TWNBdWxpZmZlLCBGLiBN
LjwvYXV0aG9yPjwvYXV0aG9ycz48L2NvbnRyaWJ1dG9ycz48YXV0aC1hZGRyZXNzPkZyb20gdGhl
IFVuaXZlcnNpdHkgQ29sbGVnZSBEdWJsaW4gKFVDRCkgT2JzdGV0cmljcyBhbmQgR3luYWVjb2xv
Z3ksIFNjaG9vbCBvZiBNZWRpY2luZSBhbmQgTWVkaWNhbCBTY2llbmNlLCBVQ0QsIE5hdGlvbmFs
IE1hdGVybml0eSBIb3NwaXRhbCwgRHVibGluLCBJcmVsYW5kIChLTEwsIE1LLCBhbmQgRk1NKTsg
TGFib3JhdG9yeSBNZWRpY2luZSwgTmF0aW9uYWwgTWF0ZXJuaXR5IEhvc3BpdGFsLCBEdWJsaW4s
IElyZWxhbmQgKE1DKTsgdGhlIERlcGFydG1lbnQgb2YgQ2xpbmljYWwgQ2hlbWlzdHJ5LCBTdCBW
aW5jZW50JmFwb3M7cyBVbml2ZXJzaXR5IEhvc3BpdGFsLCBFbG0gUGFyaywgRHVibGluLCBJcmVs
YW5kIChUUyBhbmQgT0NNKTsgdGhlIERlcGFydG1lbnQgb2YgTWVkaWNpbmUsIEFsaW1lbnRhcnkg
YW5kIFBoYXJtYWJpb3RpYyBDZW50cmUsIFVuaXZlcnNpdHkgQ29sbGVnZSBDb3JrLCBDb3JrLCBJ
cmVsYW5kIChGUyk7IGFuZCB0aGUgSW5zdGl0dXRlIG9mIEZvb2QgYW5kIEhlYWx0aCwgVUNEIFNj
aG9vbCBvZiBBZ3JpY3VsdHVyZSBhbmQgRm9vZCBTY2llbmNlLCBVQ0QsIEJlbGZpZWxkLCBEdWJs
aW4sIElyZWxhbmQgKExCKS48L2F1dGgtYWRkcmVzcz48dGl0bGVzPjx0aXRsZT5Qcm9iaW90aWNz
IGluIG9iZXNlIHByZWduYW5jeSBkbyBub3QgcmVkdWNlIG1hdGVybmFsIGZhc3RpbmcgZ2x1Y29z
ZTogYSBkb3VibGUtYmxpbmQsIHBsYWNlYm8tY29udHJvbGxlZCwgcmFuZG9taXplZCB0cmlhbCAo
UHJvYmlvdGljcyBpbiBQcmVnbmFuY3kgU3R1ZHkpPC90aXRsZT48c2Vjb25kYXJ5LXRpdGxlPkFt
IEogQ2xpbiBOdXRyPC9zZWNvbmRhcnktdGl0bGU+PC90aXRsZXM+PHBlcmlvZGljYWw+PGZ1bGwt
dGl0bGU+QW0gSiBDbGluIE51dHI8L2Z1bGwtdGl0bGU+PC9wZXJpb2RpY2FsPjxwYWdlcz4xNDMy
LTk8L3BhZ2VzPjx2b2x1bWU+OTk8L3ZvbHVtZT48bnVtYmVyPjY8L251bWJlcj48ZWRpdGlvbj4y
MDE0LzAzLzIyPC9lZGl0aW9uPjxrZXl3b3Jkcz48a2V5d29yZD5BZHVsdDwva2V5d29yZD48a2V5
d29yZD5Cb2R5IE1hc3MgSW5kZXg8L2tleXdvcmQ+PGtleXdvcmQ+Q29ob3J0IFN0dWRpZXM8L2tl
eXdvcmQ+PGtleXdvcmQ+RGlhYmV0ZXMsIEdlc3RhdGlvbmFsL2VwaWRlbWlvbG9neS9ldGlvbG9n
eS9wcmV2ZW50aW9uICZhbXA7IGNvbnRyb2w8L2tleXdvcmQ+PGtleXdvcmQ+RG91YmxlLUJsaW5k
IE1ldGhvZDwva2V5d29yZD48a2V5d29yZD5GZW1hbGU8L2tleXdvcmQ+PGtleXdvcmQ+R2x1Y29z
ZSBJbnRvbGVyYW5jZS9lcGlkZW1pb2xvZ3kvZXRpb2xvZ3kvcHJldmVudGlvbiAmYW1wOyBjb250
cm9sPC9rZXl3b3JkPjxrZXl3b3JkPkhvc3BpdGFscywgTWF0ZXJuaXR5PC9rZXl3b3JkPjxrZXl3
b3JkPkh1bWFuczwva2V5d29yZD48a2V5d29yZD5IeXBlcmdseWNlbWlhL2VwaWRlbWlvbG9neS9l
dGlvbG9neS8qcHJldmVudGlvbiAmYW1wOyBjb250cm9sPC9rZXl3b3JkPjxrZXl3b3JkPkluY2lk
ZW5jZTwva2V5d29yZD48a2V5d29yZD5JcmVsYW5kL2VwaWRlbWlvbG9neTwva2V5d29yZD48a2V5
d29yZD4qTGFjdG9iYWNpbGx1czwva2V5d29yZD48a2V5d29yZD4qTWF0ZXJuYWwgTnV0cml0aW9u
YWwgUGh5c2lvbG9naWNhbCBQaGVub21lbmE8L2tleXdvcmQ+PGtleXdvcmQ+T2Jlc2l0eS9ibG9v
ZC8qZGlldCB0aGVyYXB5L3BoeXNpb3BhdGhvbG9neTwva2V5d29yZD48a2V5d29yZD5PdXRwYXRp
ZW50IENsaW5pY3MsIEhvc3BpdGFsPC9rZXl3b3JkPjxrZXl3b3JkPlByZWduYW5jeTwva2V5d29y
ZD48a2V5d29yZD5QcmVnbmFuY3kgQ29tcGxpY2F0aW9ucy9ibG9vZC8qZGlldCB0aGVyYXB5L3Bo
eXNpb3BhdGhvbG9neTwva2V5d29yZD48a2V5d29yZD5Qcm9iaW90aWNzL2FkdmVyc2UgZWZmZWN0
cy8qdGhlcmFwZXV0aWMgdXNlPC9rZXl3b3JkPjxrZXl3b3JkPlJpc2s8L2tleXdvcmQ+PC9rZXl3
b3Jkcz48ZGF0ZXM+PHllYXI+MjAxNDwveWVhcj48cHViLWRhdGVzPjxkYXRlPkp1bjwvZGF0ZT48
L3B1Yi1kYXRlcz48L2RhdGVzPjxpc2JuPjE5MzgtMzIwNyAoRWxlY3Ryb25pYykmI3hEOzAwMDIt
OTE2NSAoTGlua2luZyk8L2lzYm4+PGFjY2Vzc2lvbi1udW0+MjQ2NDY4MTk8L2FjY2Vzc2lvbi1u
dW0+PHVybHM+PHJlbGF0ZWQtdXJscz48dXJsPmh0dHBzOi8vd3d3Lm5jYmkubmxtLm5paC5nb3Yv
cHVibWVkLzI0NjQ2ODE5PC91cmw+PC9yZWxhdGVkLXVybHM+PC91cmxzPjxlbGVjdHJvbmljLXJl
c291cmNlLW51bT4xMC4zOTQ1L2FqY24uMTEzLjA3OTcyMzwvZWxlY3Ryb25pYy1yZXNvdXJjZS1u
dW0+PC9yZWNvcmQ+PC9DaXRlPjxDaXRlPjxBdXRob3I+TGluZHNheTwvQXV0aG9yPjxZZWFyPjIw
MTU8L1llYXI+PFJlY051bT4xNjk2PC9SZWNOdW0+PHJlY29yZD48cmVjLW51bWJlcj4xNjk2PC9y
ZWMtbnVtYmVyPjxmb3JlaWduLWtleXM+PGtleSBhcHA9IkVOIiBkYi1pZD0iZXh2YXNyZngyZHRy
YW9lc2FzeHAyc3pzeGEyZGY1MDI1OTJ4IiB0aW1lc3RhbXA9IjE1ODE4MzIyODkiPjE2OTY8L2tl
eT48L2ZvcmVpZ24ta2V5cz48cmVmLXR5cGUgbmFtZT0iSm91cm5hbCBBcnRpY2xlIj4xNzwvcmVm
LXR5cGU+PGNvbnRyaWJ1dG9ycz48YXV0aG9ycz48YXV0aG9yPkxpbmRzYXksIEsuIEwuPC9hdXRo
b3I+PGF1dGhvcj5CcmVubmFuLCBMLjwvYXV0aG9yPjxhdXRob3I+S2VubmVsbHksIE0uIEEuPC9h
dXRob3I+PGF1dGhvcj5NYWd1aXJlLCBPLiBDLjwvYXV0aG9yPjxhdXRob3I+U21pdGgsIFQuPC9h
dXRob3I+PGF1dGhvcj5DdXJyYW4sIFMuPC9hdXRob3I+PGF1dGhvcj5Db2ZmZXksIE0uPC9hdXRo
b3I+PGF1dGhvcj5Gb2xleSwgTS4gRS48L2F1dGhvcj48YXV0aG9yPkhhdHVuaWMsIE0uPC9hdXRo
b3I+PGF1dGhvcj5TaGFuYWhhbiwgRi48L2F1dGhvcj48YXV0aG9yPk1jQXVsaWZmZSwgRi4gTS48
L2F1dGhvcj48L2F1dGhvcnM+PC9jb250cmlidXRvcnM+PGF1dGgtYWRkcmVzcz5VQ0QgT2JzdGV0
cmljcyBhbmQgR3luZWNvbG9neSwgU2Nob29sIG9mIE1lZGljaW5lIGFuZCBNZWRpY2FsIFNjaWVu
Y2UsIGFuZCBOYXRpb25hbCBNYXRlcm5pdHkgSG9zcGl0YWwsIFVuaXZlcnNpdHkgQ29sbGVnZSBE
dWJsaW4sIER1YmxpbiwgSXJlbGFuZC4mI3hEO1VDRCBJbnN0aXR1dGUgb2YgRm9vZCBhbmQgSGVh
bHRoLCBTY2hvb2wgb2YgQWdyaWN1bHR1cmUgYW5kIEZvb2QgU2NpZW5jZSwgVW5pdmVyc2l0eSBD
b2xsZWdlIER1YmxpbiwgRHVibGluLCBJcmVsYW5kLiYjeEQ7RGVwYXJ0bWVudCBvZiBDbGluaWNh
bCBDaGVtaXN0cnksIFN0LiBWaW5jZW50JmFwb3M7cyBVbml2ZXJzaXR5IEhvc3BpdGFsLCBFbG0g
UGFyaywgRHVibGluLCBJcmVsYW5kLiYjeEQ7RGVwYXJ0bWVudCBvZiBDbGluaWNhbCBOdXRyaXRp
b24sIE5hdGlvbmFsIE1hdGVybml0eSBIb3NwaXRhbCwgRHVibGluLCBJcmVsYW5kLiYjeEQ7RGVw
YXJ0bWVudCBvZiBNaWR3aWZlcnksIE5hdGlvbmFsIE1hdGVybml0eSBIb3NwaXRhbCwgRHVibGlu
LCBJcmVsYW5kLiYjeEQ7RGVwYXJ0bWVudCBvZiBFbmRvY3Jpbm9sb2d5LCBOYXRpb25hbCBNYXRl
cm5pdHkgSG9zcGl0YWwsIER1YmxpbiwgSXJlbGFuZC4mI3hEO0RlcGFydG1lbnQgb2YgTWVkaWNp
bmUsIEFsaW1lbnRhcnkgYW5kIFBoYXJtYWJpb3RpYyBDZW50ZXIsIFVuaXZlcnNpdHkgQ29sbGVn
ZSBDb3JrLCBDb3JrLCBJcmVsYW5kLiYjeEQ7VUNEIE9ic3RldHJpY3MgYW5kIEd5bmVjb2xvZ3ks
IFNjaG9vbCBvZiBNZWRpY2luZSBhbmQgTWVkaWNhbCBTY2llbmNlLCBhbmQgTmF0aW9uYWwgTWF0
ZXJuaXR5IEhvc3BpdGFsLCBVbml2ZXJzaXR5IENvbGxlZ2UgRHVibGluLCBEdWJsaW4sIElyZWxh
bmQuIEVsZWN0cm9uaWMgYWRkcmVzczogZmlvbm51YWxhLm1jYXVsaWZmZUB1Y2QuaWUuPC9hdXRo
LWFkZHJlc3M+PHRpdGxlcz48dGl0bGU+SW1wYWN0IG9mIHByb2Jpb3RpY3MgaW4gd29tZW4gd2l0
aCBnZXN0YXRpb25hbCBkaWFiZXRlcyBtZWxsaXR1cyBvbiBtZXRhYm9saWMgaGVhbHRoOiBhIHJh
bmRvbWl6ZWQgY29udHJvbGxlZCB0cmlhbDwvdGl0bGU+PHNlY29uZGFyeS10aXRsZT5BbSBKIE9i
c3RldCBHeW5lY29sPC9zZWNvbmRhcnktdGl0bGU+PC90aXRsZXM+PHBlcmlvZGljYWw+PGZ1bGwt
dGl0bGU+QW0gSiBPYnN0ZXQgR3luZWNvbDwvZnVsbC10aXRsZT48L3BlcmlvZGljYWw+PHBhZ2Vz
PjQ5NiBlMS0xMTwvcGFnZXM+PHZvbHVtZT4yMTI8L3ZvbHVtZT48bnVtYmVyPjQ8L251bWJlcj48
ZWRpdGlvbj4yMDE1LzAyLzE4PC9lZGl0aW9uPjxrZXl3b3Jkcz48a2V5d29yZD5BZHVsdDwva2V5
d29yZD48a2V5d29yZD5CaW9tYXJrZXJzL2Jsb29kPC9rZXl3b3JkPjxrZXl3b3JkPkJsb29kIEds
dWNvc2UvbWV0YWJvbGlzbTwva2V5d29yZD48a2V5d29yZD5DLVBlcHRpZGUvYmxvb2Q8L2tleXdv
cmQ+PGtleXdvcmQ+Q2hvbGVzdGVyb2wvYmxvb2Q8L2tleXdvcmQ+PGtleXdvcmQ+RGlhYmV0ZXMs
IEdlc3RhdGlvbmFsL2Jsb29kLyp0aGVyYXB5PC9rZXl3b3JkPjxrZXl3b3JkPkRvdWJsZS1CbGlu
ZCBNZXRob2Q8L2tleXdvcmQ+PGtleXdvcmQ+RmVtYWxlPC9rZXl3b3JkPjxrZXl3b3JkPkh1bWFu
czwva2V5d29yZD48a2V5d29yZD5JbmZhbnQsIE5ld2Jvcm48L2tleXdvcmQ+PGtleXdvcmQ+SW5z
dWxpbi9ibG9vZDwva2V5d29yZD48a2V5d29yZD5JbnRlbnRpb24gdG8gVHJlYXQgQW5hbHlzaXM8
L2tleXdvcmQ+PGtleXdvcmQ+KkxhY3RvYmFjaWxsdXM8L2tleXdvcmQ+PGtleXdvcmQ+UHJlZ25h
bmN5PC9rZXl3b3JkPjxrZXl3b3JkPlByZWduYW5jeSBPdXRjb21lPC9rZXl3b3JkPjxrZXl3b3Jk
PlByb2Jpb3RpY3MvKnRoZXJhcGV1dGljIHVzZTwva2V5d29yZD48a2V5d29yZD5UcmVhdG1lbnQg
T3V0Y29tZTwva2V5d29yZD48a2V5d29yZD5nZXN0YXRpb25hbCBkaWFiZXRlczwva2V5d29yZD48
a2V5d29yZD5nbHljZW1pYyBjb250cm9sPC9rZXl3b3JkPjxrZXl3b3JkPmxvdy1kZW5zaXR5IGxp
cG9wcm90ZWluIGNob2xlc3Rlcm9sPC9rZXl3b3JkPjxrZXl3b3JkPnByb2Jpb3RpY3M8L2tleXdv
cmQ+PGtleXdvcmQ+dG90YWwgY2hvbGVzdGVyb2w8L2tleXdvcmQ+PC9rZXl3b3Jkcz48ZGF0ZXM+
PHllYXI+MjAxNTwveWVhcj48cHViLWRhdGVzPjxkYXRlPkFwcjwvZGF0ZT48L3B1Yi1kYXRlcz48
L2RhdGVzPjxpc2JuPjEwOTctNjg2OCAoRWxlY3Ryb25pYykmI3hEOzAwMDItOTM3OCAoTGlua2lu
Zyk8L2lzYm4+PGFjY2Vzc2lvbi1udW0+MjU2ODc1Njg8L2FjY2Vzc2lvbi1udW0+PHVybHM+PHJl
bGF0ZWQtdXJscz48dXJsPmh0dHBzOi8vd3d3Lm5jYmkubmxtLm5paC5nb3YvcHVibWVkLzI1Njg3
NTY4PC91cmw+PC9yZWxhdGVkLXVybHM+PC91cmxzPjxlbGVjdHJvbmljLXJlc291cmNlLW51bT4x
MC4xMDE2L2ouYWpvZy4yMDE1LjAyLjAwODwvZWxlY3Ryb25pYy1yZXNvdXJjZS1udW0+PC9yZWNv
cmQ+PC9DaXRlPjwvRW5kTm90ZT4A
</w:fldData>
        </w:fldChar>
      </w:r>
      <w:r w:rsidR="002747EA">
        <w:instrText xml:space="preserve"> ADDIN EN.CITE </w:instrText>
      </w:r>
      <w:r w:rsidR="002747EA">
        <w:fldChar w:fldCharType="begin">
          <w:fldData xml:space="preserve">PEVuZE5vdGU+PENpdGU+PEF1dGhvcj5MaW5kc2F5PC9BdXRob3I+PFllYXI+MjAxNDwvWWVhcj48
UmVjTnVtPjE4NDY8L1JlY051bT48RGlzcGxheVRleHQ+PHN0eWxlIGZhY2U9InN1cGVyc2NyaXB0
IiBmb250PSJUcmVidWNoZXQgTVMiIHNpemU9IjkiPjIzNiwyNDE8L3N0eWxlPjwvRGlzcGxheVRl
eHQ+PHJlY29yZD48cmVjLW51bWJlcj4xODQ2PC9yZWMtbnVtYmVyPjxmb3JlaWduLWtleXM+PGtl
eSBhcHA9IkVOIiBkYi1pZD0iZXh2YXNyZngyZHRyYW9lc2FzeHAyc3pzeGEyZGY1MDI1OTJ4IiB0
aW1lc3RhbXA9IjE1ODcwOTczMzYiPjE4NDY8L2tleT48L2ZvcmVpZ24ta2V5cz48cmVmLXR5cGUg
bmFtZT0iSm91cm5hbCBBcnRpY2xlIj4xNzwvcmVmLXR5cGU+PGNvbnRyaWJ1dG9ycz48YXV0aG9y
cz48YXV0aG9yPkxpbmRzYXksIEsuIEwuPC9hdXRob3I+PGF1dGhvcj5LZW5uZWxseSwgTS48L2F1
dGhvcj48YXV0aG9yPkN1bGxpdG9uLCBNLjwvYXV0aG9yPjxhdXRob3I+U21pdGgsIFQuPC9hdXRo
b3I+PGF1dGhvcj5NYWd1aXJlLCBPLiBDLjwvYXV0aG9yPjxhdXRob3I+U2hhbmFoYW4sIEYuPC9h
dXRob3I+PGF1dGhvcj5CcmVubmFuLCBMLjwvYXV0aG9yPjxhdXRob3I+TWNBdWxpZmZlLCBGLiBN
LjwvYXV0aG9yPjwvYXV0aG9ycz48L2NvbnRyaWJ1dG9ycz48YXV0aC1hZGRyZXNzPkZyb20gdGhl
IFVuaXZlcnNpdHkgQ29sbGVnZSBEdWJsaW4gKFVDRCkgT2JzdGV0cmljcyBhbmQgR3luYWVjb2xv
Z3ksIFNjaG9vbCBvZiBNZWRpY2luZSBhbmQgTWVkaWNhbCBTY2llbmNlLCBVQ0QsIE5hdGlvbmFs
IE1hdGVybml0eSBIb3NwaXRhbCwgRHVibGluLCBJcmVsYW5kIChLTEwsIE1LLCBhbmQgRk1NKTsg
TGFib3JhdG9yeSBNZWRpY2luZSwgTmF0aW9uYWwgTWF0ZXJuaXR5IEhvc3BpdGFsLCBEdWJsaW4s
IElyZWxhbmQgKE1DKTsgdGhlIERlcGFydG1lbnQgb2YgQ2xpbmljYWwgQ2hlbWlzdHJ5LCBTdCBW
aW5jZW50JmFwb3M7cyBVbml2ZXJzaXR5IEhvc3BpdGFsLCBFbG0gUGFyaywgRHVibGluLCBJcmVs
YW5kIChUUyBhbmQgT0NNKTsgdGhlIERlcGFydG1lbnQgb2YgTWVkaWNpbmUsIEFsaW1lbnRhcnkg
YW5kIFBoYXJtYWJpb3RpYyBDZW50cmUsIFVuaXZlcnNpdHkgQ29sbGVnZSBDb3JrLCBDb3JrLCBJ
cmVsYW5kIChGUyk7IGFuZCB0aGUgSW5zdGl0dXRlIG9mIEZvb2QgYW5kIEhlYWx0aCwgVUNEIFNj
aG9vbCBvZiBBZ3JpY3VsdHVyZSBhbmQgRm9vZCBTY2llbmNlLCBVQ0QsIEJlbGZpZWxkLCBEdWJs
aW4sIElyZWxhbmQgKExCKS48L2F1dGgtYWRkcmVzcz48dGl0bGVzPjx0aXRsZT5Qcm9iaW90aWNz
IGluIG9iZXNlIHByZWduYW5jeSBkbyBub3QgcmVkdWNlIG1hdGVybmFsIGZhc3RpbmcgZ2x1Y29z
ZTogYSBkb3VibGUtYmxpbmQsIHBsYWNlYm8tY29udHJvbGxlZCwgcmFuZG9taXplZCB0cmlhbCAo
UHJvYmlvdGljcyBpbiBQcmVnbmFuY3kgU3R1ZHkpPC90aXRsZT48c2Vjb25kYXJ5LXRpdGxlPkFt
IEogQ2xpbiBOdXRyPC9zZWNvbmRhcnktdGl0bGU+PC90aXRsZXM+PHBlcmlvZGljYWw+PGZ1bGwt
dGl0bGU+QW0gSiBDbGluIE51dHI8L2Z1bGwtdGl0bGU+PC9wZXJpb2RpY2FsPjxwYWdlcz4xNDMy
LTk8L3BhZ2VzPjx2b2x1bWU+OTk8L3ZvbHVtZT48bnVtYmVyPjY8L251bWJlcj48ZWRpdGlvbj4y
MDE0LzAzLzIyPC9lZGl0aW9uPjxrZXl3b3Jkcz48a2V5d29yZD5BZHVsdDwva2V5d29yZD48a2V5
d29yZD5Cb2R5IE1hc3MgSW5kZXg8L2tleXdvcmQ+PGtleXdvcmQ+Q29ob3J0IFN0dWRpZXM8L2tl
eXdvcmQ+PGtleXdvcmQ+RGlhYmV0ZXMsIEdlc3RhdGlvbmFsL2VwaWRlbWlvbG9neS9ldGlvbG9n
eS9wcmV2ZW50aW9uICZhbXA7IGNvbnRyb2w8L2tleXdvcmQ+PGtleXdvcmQ+RG91YmxlLUJsaW5k
IE1ldGhvZDwva2V5d29yZD48a2V5d29yZD5GZW1hbGU8L2tleXdvcmQ+PGtleXdvcmQ+R2x1Y29z
ZSBJbnRvbGVyYW5jZS9lcGlkZW1pb2xvZ3kvZXRpb2xvZ3kvcHJldmVudGlvbiAmYW1wOyBjb250
cm9sPC9rZXl3b3JkPjxrZXl3b3JkPkhvc3BpdGFscywgTWF0ZXJuaXR5PC9rZXl3b3JkPjxrZXl3
b3JkPkh1bWFuczwva2V5d29yZD48a2V5d29yZD5IeXBlcmdseWNlbWlhL2VwaWRlbWlvbG9neS9l
dGlvbG9neS8qcHJldmVudGlvbiAmYW1wOyBjb250cm9sPC9rZXl3b3JkPjxrZXl3b3JkPkluY2lk
ZW5jZTwva2V5d29yZD48a2V5d29yZD5JcmVsYW5kL2VwaWRlbWlvbG9neTwva2V5d29yZD48a2V5
d29yZD4qTGFjdG9iYWNpbGx1czwva2V5d29yZD48a2V5d29yZD4qTWF0ZXJuYWwgTnV0cml0aW9u
YWwgUGh5c2lvbG9naWNhbCBQaGVub21lbmE8L2tleXdvcmQ+PGtleXdvcmQ+T2Jlc2l0eS9ibG9v
ZC8qZGlldCB0aGVyYXB5L3BoeXNpb3BhdGhvbG9neTwva2V5d29yZD48a2V5d29yZD5PdXRwYXRp
ZW50IENsaW5pY3MsIEhvc3BpdGFsPC9rZXl3b3JkPjxrZXl3b3JkPlByZWduYW5jeTwva2V5d29y
ZD48a2V5d29yZD5QcmVnbmFuY3kgQ29tcGxpY2F0aW9ucy9ibG9vZC8qZGlldCB0aGVyYXB5L3Bo
eXNpb3BhdGhvbG9neTwva2V5d29yZD48a2V5d29yZD5Qcm9iaW90aWNzL2FkdmVyc2UgZWZmZWN0
cy8qdGhlcmFwZXV0aWMgdXNlPC9rZXl3b3JkPjxrZXl3b3JkPlJpc2s8L2tleXdvcmQ+PC9rZXl3
b3Jkcz48ZGF0ZXM+PHllYXI+MjAxNDwveWVhcj48cHViLWRhdGVzPjxkYXRlPkp1bjwvZGF0ZT48
L3B1Yi1kYXRlcz48L2RhdGVzPjxpc2JuPjE5MzgtMzIwNyAoRWxlY3Ryb25pYykmI3hEOzAwMDIt
OTE2NSAoTGlua2luZyk8L2lzYm4+PGFjY2Vzc2lvbi1udW0+MjQ2NDY4MTk8L2FjY2Vzc2lvbi1u
dW0+PHVybHM+PHJlbGF0ZWQtdXJscz48dXJsPmh0dHBzOi8vd3d3Lm5jYmkubmxtLm5paC5nb3Yv
cHVibWVkLzI0NjQ2ODE5PC91cmw+PC9yZWxhdGVkLXVybHM+PC91cmxzPjxlbGVjdHJvbmljLXJl
c291cmNlLW51bT4xMC4zOTQ1L2FqY24uMTEzLjA3OTcyMzwvZWxlY3Ryb25pYy1yZXNvdXJjZS1u
dW0+PC9yZWNvcmQ+PC9DaXRlPjxDaXRlPjxBdXRob3I+TGluZHNheTwvQXV0aG9yPjxZZWFyPjIw
MTU8L1llYXI+PFJlY051bT4xNjk2PC9SZWNOdW0+PHJlY29yZD48cmVjLW51bWJlcj4xNjk2PC9y
ZWMtbnVtYmVyPjxmb3JlaWduLWtleXM+PGtleSBhcHA9IkVOIiBkYi1pZD0iZXh2YXNyZngyZHRy
YW9lc2FzeHAyc3pzeGEyZGY1MDI1OTJ4IiB0aW1lc3RhbXA9IjE1ODE4MzIyODkiPjE2OTY8L2tl
eT48L2ZvcmVpZ24ta2V5cz48cmVmLXR5cGUgbmFtZT0iSm91cm5hbCBBcnRpY2xlIj4xNzwvcmVm
LXR5cGU+PGNvbnRyaWJ1dG9ycz48YXV0aG9ycz48YXV0aG9yPkxpbmRzYXksIEsuIEwuPC9hdXRo
b3I+PGF1dGhvcj5CcmVubmFuLCBMLjwvYXV0aG9yPjxhdXRob3I+S2VubmVsbHksIE0uIEEuPC9h
dXRob3I+PGF1dGhvcj5NYWd1aXJlLCBPLiBDLjwvYXV0aG9yPjxhdXRob3I+U21pdGgsIFQuPC9h
dXRob3I+PGF1dGhvcj5DdXJyYW4sIFMuPC9hdXRob3I+PGF1dGhvcj5Db2ZmZXksIE0uPC9hdXRo
b3I+PGF1dGhvcj5Gb2xleSwgTS4gRS48L2F1dGhvcj48YXV0aG9yPkhhdHVuaWMsIE0uPC9hdXRo
b3I+PGF1dGhvcj5TaGFuYWhhbiwgRi48L2F1dGhvcj48YXV0aG9yPk1jQXVsaWZmZSwgRi4gTS48
L2F1dGhvcj48L2F1dGhvcnM+PC9jb250cmlidXRvcnM+PGF1dGgtYWRkcmVzcz5VQ0QgT2JzdGV0
cmljcyBhbmQgR3luZWNvbG9neSwgU2Nob29sIG9mIE1lZGljaW5lIGFuZCBNZWRpY2FsIFNjaWVu
Y2UsIGFuZCBOYXRpb25hbCBNYXRlcm5pdHkgSG9zcGl0YWwsIFVuaXZlcnNpdHkgQ29sbGVnZSBE
dWJsaW4sIER1YmxpbiwgSXJlbGFuZC4mI3hEO1VDRCBJbnN0aXR1dGUgb2YgRm9vZCBhbmQgSGVh
bHRoLCBTY2hvb2wgb2YgQWdyaWN1bHR1cmUgYW5kIEZvb2QgU2NpZW5jZSwgVW5pdmVyc2l0eSBD
b2xsZWdlIER1YmxpbiwgRHVibGluLCBJcmVsYW5kLiYjeEQ7RGVwYXJ0bWVudCBvZiBDbGluaWNh
bCBDaGVtaXN0cnksIFN0LiBWaW5jZW50JmFwb3M7cyBVbml2ZXJzaXR5IEhvc3BpdGFsLCBFbG0g
UGFyaywgRHVibGluLCBJcmVsYW5kLiYjeEQ7RGVwYXJ0bWVudCBvZiBDbGluaWNhbCBOdXRyaXRp
b24sIE5hdGlvbmFsIE1hdGVybml0eSBIb3NwaXRhbCwgRHVibGluLCBJcmVsYW5kLiYjeEQ7RGVw
YXJ0bWVudCBvZiBNaWR3aWZlcnksIE5hdGlvbmFsIE1hdGVybml0eSBIb3NwaXRhbCwgRHVibGlu
LCBJcmVsYW5kLiYjeEQ7RGVwYXJ0bWVudCBvZiBFbmRvY3Jpbm9sb2d5LCBOYXRpb25hbCBNYXRl
cm5pdHkgSG9zcGl0YWwsIER1YmxpbiwgSXJlbGFuZC4mI3hEO0RlcGFydG1lbnQgb2YgTWVkaWNp
bmUsIEFsaW1lbnRhcnkgYW5kIFBoYXJtYWJpb3RpYyBDZW50ZXIsIFVuaXZlcnNpdHkgQ29sbGVn
ZSBDb3JrLCBDb3JrLCBJcmVsYW5kLiYjeEQ7VUNEIE9ic3RldHJpY3MgYW5kIEd5bmVjb2xvZ3ks
IFNjaG9vbCBvZiBNZWRpY2luZSBhbmQgTWVkaWNhbCBTY2llbmNlLCBhbmQgTmF0aW9uYWwgTWF0
ZXJuaXR5IEhvc3BpdGFsLCBVbml2ZXJzaXR5IENvbGxlZ2UgRHVibGluLCBEdWJsaW4sIElyZWxh
bmQuIEVsZWN0cm9uaWMgYWRkcmVzczogZmlvbm51YWxhLm1jYXVsaWZmZUB1Y2QuaWUuPC9hdXRo
LWFkZHJlc3M+PHRpdGxlcz48dGl0bGU+SW1wYWN0IG9mIHByb2Jpb3RpY3MgaW4gd29tZW4gd2l0
aCBnZXN0YXRpb25hbCBkaWFiZXRlcyBtZWxsaXR1cyBvbiBtZXRhYm9saWMgaGVhbHRoOiBhIHJh
bmRvbWl6ZWQgY29udHJvbGxlZCB0cmlhbDwvdGl0bGU+PHNlY29uZGFyeS10aXRsZT5BbSBKIE9i
c3RldCBHeW5lY29sPC9zZWNvbmRhcnktdGl0bGU+PC90aXRsZXM+PHBlcmlvZGljYWw+PGZ1bGwt
dGl0bGU+QW0gSiBPYnN0ZXQgR3luZWNvbDwvZnVsbC10aXRsZT48L3BlcmlvZGljYWw+PHBhZ2Vz
PjQ5NiBlMS0xMTwvcGFnZXM+PHZvbHVtZT4yMTI8L3ZvbHVtZT48bnVtYmVyPjQ8L251bWJlcj48
ZWRpdGlvbj4yMDE1LzAyLzE4PC9lZGl0aW9uPjxrZXl3b3Jkcz48a2V5d29yZD5BZHVsdDwva2V5
d29yZD48a2V5d29yZD5CaW9tYXJrZXJzL2Jsb29kPC9rZXl3b3JkPjxrZXl3b3JkPkJsb29kIEds
dWNvc2UvbWV0YWJvbGlzbTwva2V5d29yZD48a2V5d29yZD5DLVBlcHRpZGUvYmxvb2Q8L2tleXdv
cmQ+PGtleXdvcmQ+Q2hvbGVzdGVyb2wvYmxvb2Q8L2tleXdvcmQ+PGtleXdvcmQ+RGlhYmV0ZXMs
IEdlc3RhdGlvbmFsL2Jsb29kLyp0aGVyYXB5PC9rZXl3b3JkPjxrZXl3b3JkPkRvdWJsZS1CbGlu
ZCBNZXRob2Q8L2tleXdvcmQ+PGtleXdvcmQ+RmVtYWxlPC9rZXl3b3JkPjxrZXl3b3JkPkh1bWFu
czwva2V5d29yZD48a2V5d29yZD5JbmZhbnQsIE5ld2Jvcm48L2tleXdvcmQ+PGtleXdvcmQ+SW5z
dWxpbi9ibG9vZDwva2V5d29yZD48a2V5d29yZD5JbnRlbnRpb24gdG8gVHJlYXQgQW5hbHlzaXM8
L2tleXdvcmQ+PGtleXdvcmQ+KkxhY3RvYmFjaWxsdXM8L2tleXdvcmQ+PGtleXdvcmQ+UHJlZ25h
bmN5PC9rZXl3b3JkPjxrZXl3b3JkPlByZWduYW5jeSBPdXRjb21lPC9rZXl3b3JkPjxrZXl3b3Jk
PlByb2Jpb3RpY3MvKnRoZXJhcGV1dGljIHVzZTwva2V5d29yZD48a2V5d29yZD5UcmVhdG1lbnQg
T3V0Y29tZTwva2V5d29yZD48a2V5d29yZD5nZXN0YXRpb25hbCBkaWFiZXRlczwva2V5d29yZD48
a2V5d29yZD5nbHljZW1pYyBjb250cm9sPC9rZXl3b3JkPjxrZXl3b3JkPmxvdy1kZW5zaXR5IGxp
cG9wcm90ZWluIGNob2xlc3Rlcm9sPC9rZXl3b3JkPjxrZXl3b3JkPnByb2Jpb3RpY3M8L2tleXdv
cmQ+PGtleXdvcmQ+dG90YWwgY2hvbGVzdGVyb2w8L2tleXdvcmQ+PC9rZXl3b3Jkcz48ZGF0ZXM+
PHllYXI+MjAxNTwveWVhcj48cHViLWRhdGVzPjxkYXRlPkFwcjwvZGF0ZT48L3B1Yi1kYXRlcz48
L2RhdGVzPjxpc2JuPjEwOTctNjg2OCAoRWxlY3Ryb25pYykmI3hEOzAwMDItOTM3OCAoTGlua2lu
Zyk8L2lzYm4+PGFjY2Vzc2lvbi1udW0+MjU2ODc1Njg8L2FjY2Vzc2lvbi1udW0+PHVybHM+PHJl
bGF0ZWQtdXJscz48dXJsPmh0dHBzOi8vd3d3Lm5jYmkubmxtLm5paC5nb3YvcHVibWVkLzI1Njg3
NTY4PC91cmw+PC9yZWxhdGVkLXVybHM+PC91cmxzPjxlbGVjdHJvbmljLXJlc291cmNlLW51bT4x
MC4xMDE2L2ouYWpvZy4yMDE1LjAyLjAwODwvZWxlY3Ryb25pYy1yZXNvdXJjZS1udW0+PC9yZWNv
cmQ+PC9DaXRlPjwvRW5kTm90ZT4A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236,241</w:t>
      </w:r>
      <w:r w:rsidR="00AB21E2">
        <w:fldChar w:fldCharType="end"/>
      </w:r>
      <w:r>
        <w:t xml:space="preserve"> Italy (</w:t>
      </w:r>
      <w:r w:rsidRPr="00D676D7">
        <w:rPr>
          <w:sz w:val="16"/>
          <w:szCs w:val="16"/>
        </w:rPr>
        <w:t>n=1</w:t>
      </w:r>
      <w:r>
        <w:t>),</w:t>
      </w:r>
      <w:r w:rsidR="00AB21E2">
        <w:fldChar w:fldCharType="begin">
          <w:fldData xml:space="preserve">PEVuZE5vdGU+PENpdGU+PEF1dGhvcj5NYXN0cm9tYXJpbm88L0F1dGhvcj48WWVhcj4yMDE1PC9Z
ZWFyPjxSZWNOdW0+MTY5MjwvUmVjTnVtPjxEaXNwbGF5VGV4dD48c3R5bGUgZmFjZT0ic3VwZXJz
Y3JpcHQiIGZvbnQ9IlRyZWJ1Y2hldCBNUyIgc2l6ZT0iOSI+MjM4PC9zdHlsZT48L0Rpc3BsYXlU
ZXh0PjxyZWNvcmQ+PHJlYy1udW1iZXI+MTY5MjwvcmVjLW51bWJlcj48Zm9yZWlnbi1rZXlzPjxr
ZXkgYXBwPSJFTiIgZGItaWQ9ImV4dmFzcmZ4MmR0cmFvZXNhc3hwMnN6c3hhMmRmNTAyNTkyeCIg
dGltZXN0YW1wPSIxNTgxODMyMDc2Ij4xNjkyPC9rZXk+PC9mb3JlaWduLWtleXM+PHJlZi10eXBl
IG5hbWU9IkpvdXJuYWwgQXJ0aWNsZSI+MTc8L3JlZi10eXBlPjxjb250cmlidXRvcnM+PGF1dGhv
cnM+PGF1dGhvcj5NYXN0cm9tYXJpbm8sIFAuPC9hdXRob3I+PGF1dGhvcj5DYXBvYmlhbmNvLCBE
LjwvYXV0aG9yPjxhdXRob3I+TWljY2hlbGksIEEuPC9hdXRob3I+PGF1dGhvcj5QcmF0aWNvLCBH
LjwvYXV0aG9yPjxhdXRob3I+Q2FtcGFnbmEsIEcuPC9hdXRob3I+PGF1dGhvcj5MYWZvcmdpYSwg
Ti48L2F1dGhvcj48YXV0aG9yPkNhcHVyc2ksIFQuPC9hdXRob3I+PGF1dGhvcj5CYWxkYXNzYXJy
ZSwgTS4gRS48L2F1dGhvcj48L2F1dGhvcnM+PC9jb250cmlidXRvcnM+PGF1dGgtYWRkcmVzcz5E
ZXBhcnRtZW50IG9mIFB1YmxpYyBIZWFsdGggYW5kIEluZmVjdGlvdXMgRGlzZWFzZXMsIFNlY3Rp
b24gb2YgTWljcm9iaW9sb2d5LCBTYXBpZW56YSBVbml2ZXJzaXR5LCBQaWF6emFsZSBBbGRvIE1v
cm8gNSwgSS0wMDE4NSBSb21lLCBJdGFseS4gRWxlY3Ryb25pYyBhZGRyZXNzOiBwYW9sYS5tYXN0
cm9tYXJpbm9AdW5pcm9tYTEuaXQuJiN4RDtEZXBhcnRtZW50IG9mIFB1YmxpYyBIZWFsdGggYW5k
IEluZmVjdGlvdXMgRGlzZWFzZXMsIFNlY3Rpb24gb2YgTWljcm9iaW9sb2d5LCBTYXBpZW56YSBV
bml2ZXJzaXR5LCBQaWF6emFsZSBBbGRvIE1vcm8gNSwgSS0wMDE4NSBSb21lLCBJdGFseS4mI3hE
O0RlcGFydG1lbnQgb2YgQ2hlbWlzdHJ5LCBTYXBpZW56YSBVbml2ZXJzaXR5LCBQaWF6emFsZSBB
bGRvIE1vcm8gNSwgSS0wMDE4NSBSb21lLCBJdGFseS4mI3hEO0RlcGFydG1lbnQgb2YgRXhwZXJp
bWVudGFsIE1lZGljaW5lLCBTYXBpZW56YSBVbml2ZXJzaXR5LCBQaWF6emFsZSBBbGRvIE1vcm8g
NSwgSS0wMDE4NSBSb21lLCBJdGFseS4mI3hEO0RlcGFydG1lbnQgb2YgTWVkaWNhbCBTY2llbmNl
IGFuZCBPbmNvbG9neSwgU2VjdGlvbiBvZiBOZW9uYXRvbG9neSBhbmQgTklDVSwgVW5pdmVyc2l0
eSBvZiBCYXJpLCBQaWF6emEgRy4gQ2VzYXJlIDExLCA3MDEyNCBCYXJpLCBJdGFseS4mI3hEO0Rl
cGFydG1lbnQgb2YgTWVkaWNhbCBTY2llbmNlIGFuZCBPbmNvbG9neSwgU2VjdGlvbiBvZiBHeW5h
ZWNvbG9neSBhbmQgT2JzdGV0cmljcywgVW5pdmVyc2l0eSBvZiBCYXJpLCBQaWF6emEgRy4gQ2Vz
YXJlIDExLCA3MDEyNCBCYXJpLCBJdGFseS48L2F1dGgtYWRkcmVzcz48dGl0bGVzPjx0aXRsZT5B
ZG1pbmlzdHJhdGlvbiBvZiBhIG11bHRpc3RyYWluIHByb2Jpb3RpYyBwcm9kdWN0IChWU0wjMykg
dG8gd29tZW4gaW4gdGhlIHBlcmluYXRhbCBwZXJpb2QgZGlmZmVyZW50aWFsbHkgYWZmZWN0cyBi
cmVhc3QgbWlsayBiZW5lZmljaWFsIG1pY3JvYmlvdGEgaW4gcmVsYXRpb24gdG8gbW9kZSBvZiBk
ZWxpdmVyeTwvdGl0bGU+PHNlY29uZGFyeS10aXRsZT5QaGFybWFjb2wgUmVzPC9zZWNvbmRhcnkt
dGl0bGU+PC90aXRsZXM+PHBlcmlvZGljYWw+PGZ1bGwtdGl0bGU+UGhhcm1hY29sIFJlczwvZnVs
bC10aXRsZT48L3BlcmlvZGljYWw+PHBhZ2VzPjYzLTcwPC9wYWdlcz48dm9sdW1lPjk1LTk2PC92
b2x1bWU+PGVkaXRpb24+MjAxNS8wNC8wNDwvZWRpdGlvbj48a2V5d29yZHM+PGtleXdvcmQ+QWRt
aW5pc3RyYXRpb24sIE9yYWw8L2tleXdvcmQ+PGtleXdvcmQ+QWRvbGVzY2VudDwva2V5d29yZD48
a2V5d29yZD5BZHVsdDwva2V5d29yZD48a2V5d29yZD5CaWZpZG9iYWN0ZXJpdW0vZHJ1ZyBlZmZl
Y3RzL2dlbmV0aWNzPC9rZXl3b3JkPjxrZXl3b3JkPkROQSwgQmFjdGVyaWFsL2lzb2xhdGlvbiAm
YW1wOyBwdXJpZmljYXRpb248L2tleXdvcmQ+PGtleXdvcmQ+RGVsaXZlcnksIE9ic3RldHJpYy8q
bWV0aG9kczwva2V5d29yZD48a2V5d29yZD5Eb3VibGUtQmxpbmQgTWV0aG9kPC9rZXl3b3JkPjxr
ZXl3b3JkPkZlbWFsZTwva2V5d29yZD48a2V5d29yZD5IdW1hbnM8L2tleXdvcmQ+PGtleXdvcmQ+
TGFjdG9iYWNpbGx1cy9kcnVnIGVmZmVjdHMvZ2VuZXRpY3M8L2tleXdvcmQ+PGtleXdvcmQ+TWlj
cm9iaW90YS8qZHJ1ZyBlZmZlY3RzL2dlbmV0aWNzPC9rZXl3b3JkPjxrZXl3b3JkPk1pZGRsZSBB
Z2VkPC9rZXl3b3JkPjxrZXl3b3JkPk1pbGssIEh1bWFuLyptaWNyb2Jpb2xvZ3k8L2tleXdvcmQ+
PGtleXdvcmQ+UGVyaW5hdGFsIENhcmUvKm1ldGhvZHM8L2tleXdvcmQ+PGtleXdvcmQ+UHJlZ25h
bmN5PC9rZXl3b3JkPjxrZXl3b3JkPlByb2Jpb3RpY3MvKmFkbWluaXN0cmF0aW9uICZhbXA7IGRv
c2FnZS9waGFybWFjb2xvZ3k8L2tleXdvcmQ+PGtleXdvcmQ+UmVhbC1UaW1lIFBvbHltZXJhc2Ug
Q2hhaW4gUmVhY3Rpb248L2tleXdvcmQ+PGtleXdvcmQ+WW91bmcgQWR1bHQ8L2tleXdvcmQ+PGtl
eXdvcmQ+QnJlYXN0IG1pbGs8L2tleXdvcmQ+PGtleXdvcmQ+TWlsayBmdW5jdGlvbmFsIGNvbXBv
bmVudHM8L2tleXdvcmQ+PGtleXdvcmQ+TWlsayBtaWNyb2Jpb3RhPC9rZXl3b3JkPjxrZXl3b3Jk
Pk1vZGUgb2YgZGVsaXZlcnk8L2tleXdvcmQ+PGtleXdvcmQ+UHJvYmlvdGljPC9rZXl3b3JkPjwv
a2V5d29yZHM+PGRhdGVzPjx5ZWFyPjIwMTU8L3llYXI+PHB1Yi1kYXRlcz48ZGF0ZT5NYXktSnVu
PC9kYXRlPjwvcHViLWRhdGVzPjwvZGF0ZXM+PGlzYm4+MTA5Ni0xMTg2IChFbGVjdHJvbmljKSYj
eEQ7MTA0My02NjE4IChMaW5raW5nKTwvaXNibj48YWNjZXNzaW9uLW51bT4yNTgzNjkyMjwvYWNj
ZXNzaW9uLW51bT48dXJscz48cmVsYXRlZC11cmxzPjx1cmw+aHR0cHM6Ly93d3cubmNiaS5ubG0u
bmloLmdvdi9wdWJtZWQvMjU4MzY5MjI8L3VybD48L3JlbGF0ZWQtdXJscz48L3VybHM+PGVsZWN0
cm9uaWMtcmVzb3VyY2UtbnVtPjEwLjEwMTYvai5waHJzLjIwMTUuMDMuMDEzPC9lbGVjdHJvbmlj
LXJlc291cmNlLW51bT48L3JlY29yZD48L0NpdGU+PC9FbmROb3RlPn==
</w:fldData>
        </w:fldChar>
      </w:r>
      <w:r w:rsidR="002747EA">
        <w:instrText xml:space="preserve"> ADDIN EN.CITE </w:instrText>
      </w:r>
      <w:r w:rsidR="002747EA">
        <w:fldChar w:fldCharType="begin">
          <w:fldData xml:space="preserve">PEVuZE5vdGU+PENpdGU+PEF1dGhvcj5NYXN0cm9tYXJpbm88L0F1dGhvcj48WWVhcj4yMDE1PC9Z
ZWFyPjxSZWNOdW0+MTY5MjwvUmVjTnVtPjxEaXNwbGF5VGV4dD48c3R5bGUgZmFjZT0ic3VwZXJz
Y3JpcHQiIGZvbnQ9IlRyZWJ1Y2hldCBNUyIgc2l6ZT0iOSI+MjM4PC9zdHlsZT48L0Rpc3BsYXlU
ZXh0PjxyZWNvcmQ+PHJlYy1udW1iZXI+MTY5MjwvcmVjLW51bWJlcj48Zm9yZWlnbi1rZXlzPjxr
ZXkgYXBwPSJFTiIgZGItaWQ9ImV4dmFzcmZ4MmR0cmFvZXNhc3hwMnN6c3hhMmRmNTAyNTkyeCIg
dGltZXN0YW1wPSIxNTgxODMyMDc2Ij4xNjkyPC9rZXk+PC9mb3JlaWduLWtleXM+PHJlZi10eXBl
IG5hbWU9IkpvdXJuYWwgQXJ0aWNsZSI+MTc8L3JlZi10eXBlPjxjb250cmlidXRvcnM+PGF1dGhv
cnM+PGF1dGhvcj5NYXN0cm9tYXJpbm8sIFAuPC9hdXRob3I+PGF1dGhvcj5DYXBvYmlhbmNvLCBE
LjwvYXV0aG9yPjxhdXRob3I+TWljY2hlbGksIEEuPC9hdXRob3I+PGF1dGhvcj5QcmF0aWNvLCBH
LjwvYXV0aG9yPjxhdXRob3I+Q2FtcGFnbmEsIEcuPC9hdXRob3I+PGF1dGhvcj5MYWZvcmdpYSwg
Ti48L2F1dGhvcj48YXV0aG9yPkNhcHVyc2ksIFQuPC9hdXRob3I+PGF1dGhvcj5CYWxkYXNzYXJy
ZSwgTS4gRS48L2F1dGhvcj48L2F1dGhvcnM+PC9jb250cmlidXRvcnM+PGF1dGgtYWRkcmVzcz5E
ZXBhcnRtZW50IG9mIFB1YmxpYyBIZWFsdGggYW5kIEluZmVjdGlvdXMgRGlzZWFzZXMsIFNlY3Rp
b24gb2YgTWljcm9iaW9sb2d5LCBTYXBpZW56YSBVbml2ZXJzaXR5LCBQaWF6emFsZSBBbGRvIE1v
cm8gNSwgSS0wMDE4NSBSb21lLCBJdGFseS4gRWxlY3Ryb25pYyBhZGRyZXNzOiBwYW9sYS5tYXN0
cm9tYXJpbm9AdW5pcm9tYTEuaXQuJiN4RDtEZXBhcnRtZW50IG9mIFB1YmxpYyBIZWFsdGggYW5k
IEluZmVjdGlvdXMgRGlzZWFzZXMsIFNlY3Rpb24gb2YgTWljcm9iaW9sb2d5LCBTYXBpZW56YSBV
bml2ZXJzaXR5LCBQaWF6emFsZSBBbGRvIE1vcm8gNSwgSS0wMDE4NSBSb21lLCBJdGFseS4mI3hE
O0RlcGFydG1lbnQgb2YgQ2hlbWlzdHJ5LCBTYXBpZW56YSBVbml2ZXJzaXR5LCBQaWF6emFsZSBB
bGRvIE1vcm8gNSwgSS0wMDE4NSBSb21lLCBJdGFseS4mI3hEO0RlcGFydG1lbnQgb2YgRXhwZXJp
bWVudGFsIE1lZGljaW5lLCBTYXBpZW56YSBVbml2ZXJzaXR5LCBQaWF6emFsZSBBbGRvIE1vcm8g
NSwgSS0wMDE4NSBSb21lLCBJdGFseS4mI3hEO0RlcGFydG1lbnQgb2YgTWVkaWNhbCBTY2llbmNl
IGFuZCBPbmNvbG9neSwgU2VjdGlvbiBvZiBOZW9uYXRvbG9neSBhbmQgTklDVSwgVW5pdmVyc2l0
eSBvZiBCYXJpLCBQaWF6emEgRy4gQ2VzYXJlIDExLCA3MDEyNCBCYXJpLCBJdGFseS4mI3hEO0Rl
cGFydG1lbnQgb2YgTWVkaWNhbCBTY2llbmNlIGFuZCBPbmNvbG9neSwgU2VjdGlvbiBvZiBHeW5h
ZWNvbG9neSBhbmQgT2JzdGV0cmljcywgVW5pdmVyc2l0eSBvZiBCYXJpLCBQaWF6emEgRy4gQ2Vz
YXJlIDExLCA3MDEyNCBCYXJpLCBJdGFseS48L2F1dGgtYWRkcmVzcz48dGl0bGVzPjx0aXRsZT5B
ZG1pbmlzdHJhdGlvbiBvZiBhIG11bHRpc3RyYWluIHByb2Jpb3RpYyBwcm9kdWN0IChWU0wjMykg
dG8gd29tZW4gaW4gdGhlIHBlcmluYXRhbCBwZXJpb2QgZGlmZmVyZW50aWFsbHkgYWZmZWN0cyBi
cmVhc3QgbWlsayBiZW5lZmljaWFsIG1pY3JvYmlvdGEgaW4gcmVsYXRpb24gdG8gbW9kZSBvZiBk
ZWxpdmVyeTwvdGl0bGU+PHNlY29uZGFyeS10aXRsZT5QaGFybWFjb2wgUmVzPC9zZWNvbmRhcnkt
dGl0bGU+PC90aXRsZXM+PHBlcmlvZGljYWw+PGZ1bGwtdGl0bGU+UGhhcm1hY29sIFJlczwvZnVs
bC10aXRsZT48L3BlcmlvZGljYWw+PHBhZ2VzPjYzLTcwPC9wYWdlcz48dm9sdW1lPjk1LTk2PC92
b2x1bWU+PGVkaXRpb24+MjAxNS8wNC8wNDwvZWRpdGlvbj48a2V5d29yZHM+PGtleXdvcmQ+QWRt
aW5pc3RyYXRpb24sIE9yYWw8L2tleXdvcmQ+PGtleXdvcmQ+QWRvbGVzY2VudDwva2V5d29yZD48
a2V5d29yZD5BZHVsdDwva2V5d29yZD48a2V5d29yZD5CaWZpZG9iYWN0ZXJpdW0vZHJ1ZyBlZmZl
Y3RzL2dlbmV0aWNzPC9rZXl3b3JkPjxrZXl3b3JkPkROQSwgQmFjdGVyaWFsL2lzb2xhdGlvbiAm
YW1wOyBwdXJpZmljYXRpb248L2tleXdvcmQ+PGtleXdvcmQ+RGVsaXZlcnksIE9ic3RldHJpYy8q
bWV0aG9kczwva2V5d29yZD48a2V5d29yZD5Eb3VibGUtQmxpbmQgTWV0aG9kPC9rZXl3b3JkPjxr
ZXl3b3JkPkZlbWFsZTwva2V5d29yZD48a2V5d29yZD5IdW1hbnM8L2tleXdvcmQ+PGtleXdvcmQ+
TGFjdG9iYWNpbGx1cy9kcnVnIGVmZmVjdHMvZ2VuZXRpY3M8L2tleXdvcmQ+PGtleXdvcmQ+TWlj
cm9iaW90YS8qZHJ1ZyBlZmZlY3RzL2dlbmV0aWNzPC9rZXl3b3JkPjxrZXl3b3JkPk1pZGRsZSBB
Z2VkPC9rZXl3b3JkPjxrZXl3b3JkPk1pbGssIEh1bWFuLyptaWNyb2Jpb2xvZ3k8L2tleXdvcmQ+
PGtleXdvcmQ+UGVyaW5hdGFsIENhcmUvKm1ldGhvZHM8L2tleXdvcmQ+PGtleXdvcmQ+UHJlZ25h
bmN5PC9rZXl3b3JkPjxrZXl3b3JkPlByb2Jpb3RpY3MvKmFkbWluaXN0cmF0aW9uICZhbXA7IGRv
c2FnZS9waGFybWFjb2xvZ3k8L2tleXdvcmQ+PGtleXdvcmQ+UmVhbC1UaW1lIFBvbHltZXJhc2Ug
Q2hhaW4gUmVhY3Rpb248L2tleXdvcmQ+PGtleXdvcmQ+WW91bmcgQWR1bHQ8L2tleXdvcmQ+PGtl
eXdvcmQ+QnJlYXN0IG1pbGs8L2tleXdvcmQ+PGtleXdvcmQ+TWlsayBmdW5jdGlvbmFsIGNvbXBv
bmVudHM8L2tleXdvcmQ+PGtleXdvcmQ+TWlsayBtaWNyb2Jpb3RhPC9rZXl3b3JkPjxrZXl3b3Jk
Pk1vZGUgb2YgZGVsaXZlcnk8L2tleXdvcmQ+PGtleXdvcmQ+UHJvYmlvdGljPC9rZXl3b3JkPjwv
a2V5d29yZHM+PGRhdGVzPjx5ZWFyPjIwMTU8L3llYXI+PHB1Yi1kYXRlcz48ZGF0ZT5NYXktSnVu
PC9kYXRlPjwvcHViLWRhdGVzPjwvZGF0ZXM+PGlzYm4+MTA5Ni0xMTg2IChFbGVjdHJvbmljKSYj
eEQ7MTA0My02NjE4IChMaW5raW5nKTwvaXNibj48YWNjZXNzaW9uLW51bT4yNTgzNjkyMjwvYWNj
ZXNzaW9uLW51bT48dXJscz48cmVsYXRlZC11cmxzPjx1cmw+aHR0cHM6Ly93d3cubmNiaS5ubG0u
bmloLmdvdi9wdWJtZWQvMjU4MzY5MjI8L3VybD48L3JlbGF0ZWQtdXJscz48L3VybHM+PGVsZWN0
cm9uaWMtcmVzb3VyY2UtbnVtPjEwLjEwMTYvai5waHJzLjIwMTUuMDMuMDEzPC9lbGVjdHJvbmlj
LXJlc291cmNlLW51bT48L3JlY29yZD48L0NpdGU+PC9FbmROb3RlPn==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238</w:t>
      </w:r>
      <w:r w:rsidR="00AB21E2">
        <w:fldChar w:fldCharType="end"/>
      </w:r>
      <w:r>
        <w:t xml:space="preserve"> Korea (</w:t>
      </w:r>
      <w:r w:rsidRPr="00D676D7">
        <w:rPr>
          <w:sz w:val="16"/>
          <w:szCs w:val="16"/>
        </w:rPr>
        <w:t>n=1</w:t>
      </w:r>
      <w:r>
        <w:t>),</w:t>
      </w:r>
      <w:r w:rsidR="00AB21E2">
        <w:fldChar w:fldCharType="begin">
          <w:fldData xml:space="preserve">PEVuZE5vdGU+PENpdGU+PEF1dGhvcj5LaW08L0F1dGhvcj48WWVhcj4yMDEwPC9ZZWFyPjxSZWNO
dW0+MTY5MDwvUmVjTnVtPjxEaXNwbGF5VGV4dD48c3R5bGUgZmFjZT0ic3VwZXJzY3JpcHQiIGZv
bnQ9IlRyZWJ1Y2hldCBNUyIgc2l6ZT0iOSI+MjQ5PC9zdHlsZT48L0Rpc3BsYXlUZXh0PjxyZWNv
cmQ+PHJlYy1udW1iZXI+MTY5MDwvcmVjLW51bWJlcj48Zm9yZWlnbi1rZXlzPjxrZXkgYXBwPSJF
TiIgZGItaWQ9ImV4dmFzcmZ4MmR0cmFvZXNhc3hwMnN6c3hhMmRmNTAyNTkyeCIgdGltZXN0YW1w
PSIxNTgxODMyMDc2Ij4xNjkwPC9rZXk+PC9mb3JlaWduLWtleXM+PHJlZi10eXBlIG5hbWU9Ikpv
dXJuYWwgQXJ0aWNsZSI+MTc8L3JlZi10eXBlPjxjb250cmlidXRvcnM+PGF1dGhvcnM+PGF1dGhv
cj5LaW0sIEouIFkuPC9hdXRob3I+PGF1dGhvcj5Ld29uLCBKLiBILjwvYXV0aG9yPjxhdXRob3I+
QWhuLCBTLiBILjwvYXV0aG9yPjxhdXRob3I+TGVlLCBTLiBJLjwvYXV0aG9yPjxhdXRob3I+SGFu
LCBZLiBTLjwvYXV0aG9yPjxhdXRob3I+Q2hvaSwgWS4gTy48L2F1dGhvcj48YXV0aG9yPkxlZSwg
Uy4gWS48L2F1dGhvcj48YXV0aG9yPkFobiwgSy4gTS48L2F1dGhvcj48YXV0aG9yPkppLCBHLiBF
LjwvYXV0aG9yPjwvYXV0aG9ycz48L2NvbnRyaWJ1dG9ycz48YXV0aC1hZGRyZXNzPkRlcGFydG1l
bnQgb2YgRm9vZCBhbmQgTnV0cml0aW9uLCBDb2xsZWdlIG9mIEh1bWFuIEVjb2xvZ3ksIFNlb3Vs
IE5hdGlvbmFsIFVuaXZlcnNpdHksIFNhbiA1Ni0xLCBTaGlubGltZG9uZywgS3dhbmFra3UsIFNl
b3VsLCBLb3JlYS48L2F1dGgtYWRkcmVzcz48dGl0bGVzPjx0aXRsZT5FZmZlY3Qgb2YgcHJvYmlv
dGljIG1peCAoQmlmaWRvYmFjdGVyaXVtIGJpZmlkdW0sIEJpZmlkb2JhY3Rlcml1bSBsYWN0aXMs
IExhY3RvYmFjaWxsdXMgYWNpZG9waGlsdXMpIGluIHRoZSBwcmltYXJ5IHByZXZlbnRpb24gb2Yg
ZWN6ZW1hOiBhIGRvdWJsZS1ibGluZCwgcmFuZG9taXplZCwgcGxhY2Viby1jb250cm9sbGVkIHRy
aWFsPC90aXRsZT48c2Vjb25kYXJ5LXRpdGxlPlBlZGlhdHIgQWxsZXJneSBJbW11bm9sPC9zZWNv
bmRhcnktdGl0bGU+PC90aXRsZXM+PHBlcmlvZGljYWw+PGZ1bGwtdGl0bGU+UGVkaWF0ciBBbGxl
cmd5IEltbXVub2w8L2Z1bGwtdGl0bGU+PC9wZXJpb2RpY2FsPjxwYWdlcz5lMzg2LTkzPC9wYWdl
cz48dm9sdW1lPjIxPC92b2x1bWU+PG51bWJlcj4yIFB0IDI8L251bWJlcj48ZWRpdGlvbj4yMDA5
LzEwLzIxPC9lZGl0aW9uPjxrZXl3b3Jkcz48a2V5d29yZD5CaWZpZG9iYWN0ZXJpdW0vY2xhc3Np
ZmljYXRpb24vKmltbXVub2xvZ3k8L2tleXdvcmQ+PGtleXdvcmQ+QnJlYXN0IEZlZWRpbmc8L2tl
eXdvcmQ+PGtleXdvcmQ+RGVybWF0aXRpcywgQXRvcGljL2VwaWRlbWlvbG9neS9pbW11bm9sb2d5
L3ByZXZlbnRpb24gJmFtcDsgY29udHJvbDwva2V5d29yZD48a2V5d29yZD5Eb3VibGUtQmxpbmQg
TWV0aG9kPC9rZXl3b3JkPjxrZXl3b3JkPkVjemVtYS8qZXBpZGVtaW9sb2d5L2ltbXVub2xvZ3kv
cHJldmVudGlvbiAmYW1wOyBjb250cm9sPC9rZXl3b3JkPjxrZXl3b3JkPkZlbWFsZTwva2V5d29y
ZD48a2V5d29yZD5Gb29kIEh5cGVyc2Vuc2l0aXZpdHkvcHJldmVudGlvbiAmYW1wOyBjb250cm9s
PC9rZXl3b3JkPjxrZXl3b3JkPkh1bWFuczwva2V5d29yZD48a2V5d29yZD5JbW11bm9nbG9idWxp
biBFL2Jsb29kPC9rZXl3b3JkPjxrZXl3b3JkPkluY2lkZW5jZTwva2V5d29yZD48a2V5d29yZD5J
bmZhbnQ8L2tleXdvcmQ+PGtleXdvcmQ+SW5mYW50LCBOZXdib3JuPC9rZXl3b3JkPjxrZXl3b3Jk
PkxhY3RvYmFjaWxsdXMgYWNpZG9waGlsdXMvKmltbXVub2xvZ3k8L2tleXdvcmQ+PGtleXdvcmQ+
UG9zdG5hdGFsIENhcmU8L2tleXdvcmQ+PGtleXdvcmQ+UHJlZ25hbmN5PC9rZXl3b3JkPjxrZXl3
b3JkPlByZW5hdGFsIENhcmU8L2tleXdvcmQ+PGtleXdvcmQ+UHJldmFsZW5jZTwva2V5d29yZD48
a2V5d29yZD5Qcm9iaW90aWNzLyphZG1pbmlzdHJhdGlvbiAmYW1wOyBkb3NhZ2U8L2tleXdvcmQ+
PGtleXdvcmQ+VHJlYXRtZW50IE91dGNvbWU8L2tleXdvcmQ+PC9rZXl3b3Jkcz48ZGF0ZXM+PHll
YXI+MjAxMDwveWVhcj48cHViLWRhdGVzPjxkYXRlPk1hcjwvZGF0ZT48L3B1Yi1kYXRlcz48L2Rh
dGVzPjxpc2JuPjEzOTktMzAzOCAoRWxlY3Ryb25pYykmI3hEOzA5MDUtNjE1NyAoTGlua2luZyk8
L2lzYm4+PGFjY2Vzc2lvbi1udW0+MTk4NDAzMDA8L2FjY2Vzc2lvbi1udW0+PHVybHM+PHJlbGF0
ZWQtdXJscz48dXJsPmh0dHBzOi8vd3d3Lm5jYmkubmxtLm5paC5nb3YvcHVibWVkLzE5ODQwMzAw
PC91cmw+PC9yZWxhdGVkLXVybHM+PC91cmxzPjxlbGVjdHJvbmljLXJlc291cmNlLW51bT4xMC4x
MTExL2ouMTM5OS0zMDM4LjIwMDkuMDA5NTgueDwvZWxlY3Ryb25pYy1yZXNvdXJjZS1udW0+PC9y
ZWNvcmQ+PC9DaXRlPjwvRW5kTm90ZT5=
</w:fldData>
        </w:fldChar>
      </w:r>
      <w:r w:rsidR="002747EA">
        <w:instrText xml:space="preserve"> ADDIN EN.CITE </w:instrText>
      </w:r>
      <w:r w:rsidR="002747EA">
        <w:fldChar w:fldCharType="begin">
          <w:fldData xml:space="preserve">PEVuZE5vdGU+PENpdGU+PEF1dGhvcj5LaW08L0F1dGhvcj48WWVhcj4yMDEwPC9ZZWFyPjxSZWNO
dW0+MTY5MDwvUmVjTnVtPjxEaXNwbGF5VGV4dD48c3R5bGUgZmFjZT0ic3VwZXJzY3JpcHQiIGZv
bnQ9IlRyZWJ1Y2hldCBNUyIgc2l6ZT0iOSI+MjQ5PC9zdHlsZT48L0Rpc3BsYXlUZXh0PjxyZWNv
cmQ+PHJlYy1udW1iZXI+MTY5MDwvcmVjLW51bWJlcj48Zm9yZWlnbi1rZXlzPjxrZXkgYXBwPSJF
TiIgZGItaWQ9ImV4dmFzcmZ4MmR0cmFvZXNhc3hwMnN6c3hhMmRmNTAyNTkyeCIgdGltZXN0YW1w
PSIxNTgxODMyMDc2Ij4xNjkwPC9rZXk+PC9mb3JlaWduLWtleXM+PHJlZi10eXBlIG5hbWU9Ikpv
dXJuYWwgQXJ0aWNsZSI+MTc8L3JlZi10eXBlPjxjb250cmlidXRvcnM+PGF1dGhvcnM+PGF1dGhv
cj5LaW0sIEouIFkuPC9hdXRob3I+PGF1dGhvcj5Ld29uLCBKLiBILjwvYXV0aG9yPjxhdXRob3I+
QWhuLCBTLiBILjwvYXV0aG9yPjxhdXRob3I+TGVlLCBTLiBJLjwvYXV0aG9yPjxhdXRob3I+SGFu
LCBZLiBTLjwvYXV0aG9yPjxhdXRob3I+Q2hvaSwgWS4gTy48L2F1dGhvcj48YXV0aG9yPkxlZSwg
Uy4gWS48L2F1dGhvcj48YXV0aG9yPkFobiwgSy4gTS48L2F1dGhvcj48YXV0aG9yPkppLCBHLiBF
LjwvYXV0aG9yPjwvYXV0aG9ycz48L2NvbnRyaWJ1dG9ycz48YXV0aC1hZGRyZXNzPkRlcGFydG1l
bnQgb2YgRm9vZCBhbmQgTnV0cml0aW9uLCBDb2xsZWdlIG9mIEh1bWFuIEVjb2xvZ3ksIFNlb3Vs
IE5hdGlvbmFsIFVuaXZlcnNpdHksIFNhbiA1Ni0xLCBTaGlubGltZG9uZywgS3dhbmFra3UsIFNl
b3VsLCBLb3JlYS48L2F1dGgtYWRkcmVzcz48dGl0bGVzPjx0aXRsZT5FZmZlY3Qgb2YgcHJvYmlv
dGljIG1peCAoQmlmaWRvYmFjdGVyaXVtIGJpZmlkdW0sIEJpZmlkb2JhY3Rlcml1bSBsYWN0aXMs
IExhY3RvYmFjaWxsdXMgYWNpZG9waGlsdXMpIGluIHRoZSBwcmltYXJ5IHByZXZlbnRpb24gb2Yg
ZWN6ZW1hOiBhIGRvdWJsZS1ibGluZCwgcmFuZG9taXplZCwgcGxhY2Viby1jb250cm9sbGVkIHRy
aWFsPC90aXRsZT48c2Vjb25kYXJ5LXRpdGxlPlBlZGlhdHIgQWxsZXJneSBJbW11bm9sPC9zZWNv
bmRhcnktdGl0bGU+PC90aXRsZXM+PHBlcmlvZGljYWw+PGZ1bGwtdGl0bGU+UGVkaWF0ciBBbGxl
cmd5IEltbXVub2w8L2Z1bGwtdGl0bGU+PC9wZXJpb2RpY2FsPjxwYWdlcz5lMzg2LTkzPC9wYWdl
cz48dm9sdW1lPjIxPC92b2x1bWU+PG51bWJlcj4yIFB0IDI8L251bWJlcj48ZWRpdGlvbj4yMDA5
LzEwLzIxPC9lZGl0aW9uPjxrZXl3b3Jkcz48a2V5d29yZD5CaWZpZG9iYWN0ZXJpdW0vY2xhc3Np
ZmljYXRpb24vKmltbXVub2xvZ3k8L2tleXdvcmQ+PGtleXdvcmQ+QnJlYXN0IEZlZWRpbmc8L2tl
eXdvcmQ+PGtleXdvcmQ+RGVybWF0aXRpcywgQXRvcGljL2VwaWRlbWlvbG9neS9pbW11bm9sb2d5
L3ByZXZlbnRpb24gJmFtcDsgY29udHJvbDwva2V5d29yZD48a2V5d29yZD5Eb3VibGUtQmxpbmQg
TWV0aG9kPC9rZXl3b3JkPjxrZXl3b3JkPkVjemVtYS8qZXBpZGVtaW9sb2d5L2ltbXVub2xvZ3kv
cHJldmVudGlvbiAmYW1wOyBjb250cm9sPC9rZXl3b3JkPjxrZXl3b3JkPkZlbWFsZTwva2V5d29y
ZD48a2V5d29yZD5Gb29kIEh5cGVyc2Vuc2l0aXZpdHkvcHJldmVudGlvbiAmYW1wOyBjb250cm9s
PC9rZXl3b3JkPjxrZXl3b3JkPkh1bWFuczwva2V5d29yZD48a2V5d29yZD5JbW11bm9nbG9idWxp
biBFL2Jsb29kPC9rZXl3b3JkPjxrZXl3b3JkPkluY2lkZW5jZTwva2V5d29yZD48a2V5d29yZD5J
bmZhbnQ8L2tleXdvcmQ+PGtleXdvcmQ+SW5mYW50LCBOZXdib3JuPC9rZXl3b3JkPjxrZXl3b3Jk
PkxhY3RvYmFjaWxsdXMgYWNpZG9waGlsdXMvKmltbXVub2xvZ3k8L2tleXdvcmQ+PGtleXdvcmQ+
UG9zdG5hdGFsIENhcmU8L2tleXdvcmQ+PGtleXdvcmQ+UHJlZ25hbmN5PC9rZXl3b3JkPjxrZXl3
b3JkPlByZW5hdGFsIENhcmU8L2tleXdvcmQ+PGtleXdvcmQ+UHJldmFsZW5jZTwva2V5d29yZD48
a2V5d29yZD5Qcm9iaW90aWNzLyphZG1pbmlzdHJhdGlvbiAmYW1wOyBkb3NhZ2U8L2tleXdvcmQ+
PGtleXdvcmQ+VHJlYXRtZW50IE91dGNvbWU8L2tleXdvcmQ+PC9rZXl3b3Jkcz48ZGF0ZXM+PHll
YXI+MjAxMDwveWVhcj48cHViLWRhdGVzPjxkYXRlPk1hcjwvZGF0ZT48L3B1Yi1kYXRlcz48L2Rh
dGVzPjxpc2JuPjEzOTktMzAzOCAoRWxlY3Ryb25pYykmI3hEOzA5MDUtNjE1NyAoTGlua2luZyk8
L2lzYm4+PGFjY2Vzc2lvbi1udW0+MTk4NDAzMDA8L2FjY2Vzc2lvbi1udW0+PHVybHM+PHJlbGF0
ZWQtdXJscz48dXJsPmh0dHBzOi8vd3d3Lm5jYmkubmxtLm5paC5nb3YvcHVibWVkLzE5ODQwMzAw
PC91cmw+PC9yZWxhdGVkLXVybHM+PC91cmxzPjxlbGVjdHJvbmljLXJlc291cmNlLW51bT4xMC4x
MTExL2ouMTM5OS0zMDM4LjIwMDkuMDA5NTgueDwvZWxlY3Ryb25pYy1yZXNvdXJjZS1udW0+PC9y
ZWNvcmQ+PC9DaXRlPjwvRW5kTm90ZT5=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249</w:t>
      </w:r>
      <w:r w:rsidR="00AB21E2">
        <w:fldChar w:fldCharType="end"/>
      </w:r>
      <w:r>
        <w:t xml:space="preserve"> the Netherlands (</w:t>
      </w:r>
      <w:r w:rsidRPr="00D676D7">
        <w:rPr>
          <w:sz w:val="16"/>
          <w:szCs w:val="16"/>
        </w:rPr>
        <w:t>n=1</w:t>
      </w:r>
      <w:r>
        <w:t>),</w:t>
      </w:r>
      <w:r w:rsidR="00AB21E2">
        <w:fldChar w:fldCharType="begin">
          <w:fldData xml:space="preserve">PEVuZE5vdGU+PENpdGU+PEF1dGhvcj5OaWVyczwvQXV0aG9yPjxZZWFyPjIwMDk8L1llYXI+PFJl
Y051bT4xNjkzPC9SZWNOdW0+PERpc3BsYXlUZXh0PjxzdHlsZSBmYWNlPSJzdXBlcnNjcmlwdCIg
Zm9udD0iVHJlYnVjaGV0IE1TIiBzaXplPSI5Ij4yNTA8L3N0eWxlPjwvRGlzcGxheVRleHQ+PHJl
Y29yZD48cmVjLW51bWJlcj4xNjkzPC9yZWMtbnVtYmVyPjxmb3JlaWduLWtleXM+PGtleSBhcHA9
IkVOIiBkYi1pZD0iZXh2YXNyZngyZHRyYW9lc2FzeHAyc3pzeGEyZGY1MDI1OTJ4IiB0aW1lc3Rh
bXA9IjE1ODE4MzIwNzYiPjE2OTM8L2tleT48L2ZvcmVpZ24ta2V5cz48cmVmLXR5cGUgbmFtZT0i
Sm91cm5hbCBBcnRpY2xlIj4xNzwvcmVmLXR5cGU+PGNvbnRyaWJ1dG9ycz48YXV0aG9ycz48YXV0
aG9yPk5pZXJzLCBMLjwvYXV0aG9yPjxhdXRob3I+TWFydGluLCBSLjwvYXV0aG9yPjxhdXRob3I+
Umlqa2VycywgRy48L2F1dGhvcj48YXV0aG9yPlNlbmdlcnMsIEYuPC9hdXRob3I+PGF1dGhvcj5U
aW1tZXJtYW4sIEguPC9hdXRob3I+PGF1dGhvcj52YW4gVWRlbiwgTi48L2F1dGhvcj48YXV0aG9y
PlNtaWR0LCBILjwvYXV0aG9yPjxhdXRob3I+S2ltcGVuLCBKLjwvYXV0aG9yPjxhdXRob3I+SG9l
a3N0cmEsIE0uPC9hdXRob3I+PC9hdXRob3JzPjwvY29udHJpYnV0b3JzPjxhdXRoLWFkZHJlc3M+
RGVwYXJ0bWVudCBvZiBQZWRpYXRyaWNzLCBXaWxoZWxtaW5hIENoaWxkcmVuJmFwb3M7cyZhcG9z
OyBIb3NwaXRhbCwgVW5pdmVyc2l0eSBNZWRpY2FsIENlbnRlciwgVXRyZWNodCwgdGhlIE5ldGhl
cmxhbmRzLjwvYXV0aC1hZGRyZXNzPjx0aXRsZXM+PHRpdGxlPlRoZSBlZmZlY3RzIG9mIHNlbGVj
dGVkIHByb2Jpb3RpYyBzdHJhaW5zIG9uIHRoZSBkZXZlbG9wbWVudCBvZiBlY3plbWEgKHRoZSBQ
YW5kQSBzdHVkeSk8L3RpdGxlPjxzZWNvbmRhcnktdGl0bGU+QWxsZXJneTwvc2Vjb25kYXJ5LXRp
dGxlPjwvdGl0bGVzPjxwZXJpb2RpY2FsPjxmdWxsLXRpdGxlPkFsbGVyZ3k8L2Z1bGwtdGl0bGU+
PC9wZXJpb2RpY2FsPjxwYWdlcz4xMzQ5LTU4PC9wYWdlcz48dm9sdW1lPjY0PC92b2x1bWU+PG51
bWJlcj45PC9udW1iZXI+PGVkaXRpb24+MjAwOS8wNC8yODwvZWRpdGlvbj48a2V5d29yZHM+PGtl
eXdvcmQ+QWR1bHQ8L2tleXdvcmQ+PGtleXdvcmQ+KkJpZmlkb2JhY3Rlcml1bTwva2V5d29yZD48
a2V5d29yZD5DeXRva2luZXMvYmxvb2Q8L2tleXdvcmQ+PGtleXdvcmQ+RG91YmxlLUJsaW5kIE1l
dGhvZDwva2V5d29yZD48a2V5d29yZD5FY3plbWEvaW1tdW5vbG9neS9taWNyb2Jpb2xvZ3kvKnBy
ZXZlbnRpb24gJmFtcDsgY29udHJvbDwva2V5d29yZD48a2V5d29yZD5GZW1hbGU8L2tleXdvcmQ+
PGtleXdvcmQ+SHVtYW5zPC9rZXl3b3JkPjxrZXl3b3JkPkh5cGVyc2Vuc2l0aXZpdHkvaW1tdW5v
bG9neS9taWNyb2Jpb2xvZ3kvKnByZXZlbnRpb24gJmFtcDsgY29udHJvbDwva2V5d29yZD48a2V5
d29yZD5JbW11bm9nbG9idWxpbiBFL2Jsb29kPC9rZXl3b3JkPjxrZXl3b3JkPkluZmFudDwva2V5
d29yZD48a2V5d29yZD4qTGFjdG9jb2NjdXMgbGFjdGlzPC9rZXl3b3JkPjxrZXl3b3JkPk1hbGU8
L2tleXdvcmQ+PGtleXdvcmQ+UHJlZ25hbmN5PC9rZXl3b3JkPjxrZXl3b3JkPlByb2Jpb3RpY3Mv
KnRoZXJhcGV1dGljIHVzZTwva2V5d29yZD48L2tleXdvcmRzPjxkYXRlcz48eWVhcj4yMDA5PC95
ZWFyPjxwdWItZGF0ZXM+PGRhdGU+U2VwPC9kYXRlPjwvcHViLWRhdGVzPjwvZGF0ZXM+PGlzYm4+
MTM5OC05OTk1IChFbGVjdHJvbmljKSYjeEQ7MDEwNS00NTM4IChMaW5raW5nKTwvaXNibj48YWNj
ZXNzaW9uLW51bT4xOTM5Mjk5MzwvYWNjZXNzaW9uLW51bT48dXJscz48cmVsYXRlZC11cmxzPjx1
cmw+aHR0cHM6Ly93d3cubmNiaS5ubG0ubmloLmdvdi9wdWJtZWQvMTkzOTI5OTM8L3VybD48L3Jl
bGF0ZWQtdXJscz48L3VybHM+PGVsZWN0cm9uaWMtcmVzb3VyY2UtbnVtPjEwLjExMTEvai4xMzk4
LTk5OTUuMjAwOS4wMjAyMS54PC9lbGVjdHJvbmljLXJlc291cmNlLW51bT48L3JlY29yZD48L0Np
dGU+PC9FbmROb3RlPgB=
</w:fldData>
        </w:fldChar>
      </w:r>
      <w:r w:rsidR="002747EA">
        <w:instrText xml:space="preserve"> ADDIN EN.CITE </w:instrText>
      </w:r>
      <w:r w:rsidR="002747EA">
        <w:fldChar w:fldCharType="begin">
          <w:fldData xml:space="preserve">PEVuZE5vdGU+PENpdGU+PEF1dGhvcj5OaWVyczwvQXV0aG9yPjxZZWFyPjIwMDk8L1llYXI+PFJl
Y051bT4xNjkzPC9SZWNOdW0+PERpc3BsYXlUZXh0PjxzdHlsZSBmYWNlPSJzdXBlcnNjcmlwdCIg
Zm9udD0iVHJlYnVjaGV0IE1TIiBzaXplPSI5Ij4yNTA8L3N0eWxlPjwvRGlzcGxheVRleHQ+PHJl
Y29yZD48cmVjLW51bWJlcj4xNjkzPC9yZWMtbnVtYmVyPjxmb3JlaWduLWtleXM+PGtleSBhcHA9
IkVOIiBkYi1pZD0iZXh2YXNyZngyZHRyYW9lc2FzeHAyc3pzeGEyZGY1MDI1OTJ4IiB0aW1lc3Rh
bXA9IjE1ODE4MzIwNzYiPjE2OTM8L2tleT48L2ZvcmVpZ24ta2V5cz48cmVmLXR5cGUgbmFtZT0i
Sm91cm5hbCBBcnRpY2xlIj4xNzwvcmVmLXR5cGU+PGNvbnRyaWJ1dG9ycz48YXV0aG9ycz48YXV0
aG9yPk5pZXJzLCBMLjwvYXV0aG9yPjxhdXRob3I+TWFydGluLCBSLjwvYXV0aG9yPjxhdXRob3I+
Umlqa2VycywgRy48L2F1dGhvcj48YXV0aG9yPlNlbmdlcnMsIEYuPC9hdXRob3I+PGF1dGhvcj5U
aW1tZXJtYW4sIEguPC9hdXRob3I+PGF1dGhvcj52YW4gVWRlbiwgTi48L2F1dGhvcj48YXV0aG9y
PlNtaWR0LCBILjwvYXV0aG9yPjxhdXRob3I+S2ltcGVuLCBKLjwvYXV0aG9yPjxhdXRob3I+SG9l
a3N0cmEsIE0uPC9hdXRob3I+PC9hdXRob3JzPjwvY29udHJpYnV0b3JzPjxhdXRoLWFkZHJlc3M+
RGVwYXJ0bWVudCBvZiBQZWRpYXRyaWNzLCBXaWxoZWxtaW5hIENoaWxkcmVuJmFwb3M7cyZhcG9z
OyBIb3NwaXRhbCwgVW5pdmVyc2l0eSBNZWRpY2FsIENlbnRlciwgVXRyZWNodCwgdGhlIE5ldGhl
cmxhbmRzLjwvYXV0aC1hZGRyZXNzPjx0aXRsZXM+PHRpdGxlPlRoZSBlZmZlY3RzIG9mIHNlbGVj
dGVkIHByb2Jpb3RpYyBzdHJhaW5zIG9uIHRoZSBkZXZlbG9wbWVudCBvZiBlY3plbWEgKHRoZSBQ
YW5kQSBzdHVkeSk8L3RpdGxlPjxzZWNvbmRhcnktdGl0bGU+QWxsZXJneTwvc2Vjb25kYXJ5LXRp
dGxlPjwvdGl0bGVzPjxwZXJpb2RpY2FsPjxmdWxsLXRpdGxlPkFsbGVyZ3k8L2Z1bGwtdGl0bGU+
PC9wZXJpb2RpY2FsPjxwYWdlcz4xMzQ5LTU4PC9wYWdlcz48dm9sdW1lPjY0PC92b2x1bWU+PG51
bWJlcj45PC9udW1iZXI+PGVkaXRpb24+MjAwOS8wNC8yODwvZWRpdGlvbj48a2V5d29yZHM+PGtl
eXdvcmQ+QWR1bHQ8L2tleXdvcmQ+PGtleXdvcmQ+KkJpZmlkb2JhY3Rlcml1bTwva2V5d29yZD48
a2V5d29yZD5DeXRva2luZXMvYmxvb2Q8L2tleXdvcmQ+PGtleXdvcmQ+RG91YmxlLUJsaW5kIE1l
dGhvZDwva2V5d29yZD48a2V5d29yZD5FY3plbWEvaW1tdW5vbG9neS9taWNyb2Jpb2xvZ3kvKnBy
ZXZlbnRpb24gJmFtcDsgY29udHJvbDwva2V5d29yZD48a2V5d29yZD5GZW1hbGU8L2tleXdvcmQ+
PGtleXdvcmQ+SHVtYW5zPC9rZXl3b3JkPjxrZXl3b3JkPkh5cGVyc2Vuc2l0aXZpdHkvaW1tdW5v
bG9neS9taWNyb2Jpb2xvZ3kvKnByZXZlbnRpb24gJmFtcDsgY29udHJvbDwva2V5d29yZD48a2V5
d29yZD5JbW11bm9nbG9idWxpbiBFL2Jsb29kPC9rZXl3b3JkPjxrZXl3b3JkPkluZmFudDwva2V5
d29yZD48a2V5d29yZD4qTGFjdG9jb2NjdXMgbGFjdGlzPC9rZXl3b3JkPjxrZXl3b3JkPk1hbGU8
L2tleXdvcmQ+PGtleXdvcmQ+UHJlZ25hbmN5PC9rZXl3b3JkPjxrZXl3b3JkPlByb2Jpb3RpY3Mv
KnRoZXJhcGV1dGljIHVzZTwva2V5d29yZD48L2tleXdvcmRzPjxkYXRlcz48eWVhcj4yMDA5PC95
ZWFyPjxwdWItZGF0ZXM+PGRhdGU+U2VwPC9kYXRlPjwvcHViLWRhdGVzPjwvZGF0ZXM+PGlzYm4+
MTM5OC05OTk1IChFbGVjdHJvbmljKSYjeEQ7MDEwNS00NTM4IChMaW5raW5nKTwvaXNibj48YWNj
ZXNzaW9uLW51bT4xOTM5Mjk5MzwvYWNjZXNzaW9uLW51bT48dXJscz48cmVsYXRlZC11cmxzPjx1
cmw+aHR0cHM6Ly93d3cubmNiaS5ubG0ubmloLmdvdi9wdWJtZWQvMTkzOTI5OTM8L3VybD48L3Jl
bGF0ZWQtdXJscz48L3VybHM+PGVsZWN0cm9uaWMtcmVzb3VyY2UtbnVtPjEwLjExMTEvai4xMzk4
LTk5OTUuMjAwOS4wMjAyMS54PC9lbGVjdHJvbmljLXJlc291cmNlLW51bT48L3JlY29yZD48L0Np
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250</w:t>
      </w:r>
      <w:r w:rsidR="00AB21E2">
        <w:fldChar w:fldCharType="end"/>
      </w:r>
      <w:r>
        <w:t xml:space="preserve"> New Zealand (</w:t>
      </w:r>
      <w:r w:rsidRPr="00D676D7">
        <w:rPr>
          <w:sz w:val="16"/>
          <w:szCs w:val="16"/>
        </w:rPr>
        <w:t>n=2</w:t>
      </w:r>
      <w:r>
        <w:t>),</w:t>
      </w:r>
      <w:r w:rsidR="00AB21E2">
        <w:fldChar w:fldCharType="begin">
          <w:fldData xml:space="preserve">PEVuZE5vdGU+PENpdGU+PEF1dGhvcj5Pa2VzZW5lLUdhZmE8L0F1dGhvcj48WWVhcj4yMDE5PC9Z
ZWFyPjxSZWNOdW0+MTM5MDwvUmVjTnVtPjxEaXNwbGF5VGV4dD48c3R5bGUgZmFjZT0ic3VwZXJz
Y3JpcHQiIGZvbnQ9IlRyZWJ1Y2hldCBNUyIgc2l6ZT0iOSI+MjMyLDIzNzwvc3R5bGU+PC9EaXNw
bGF5VGV4dD48cmVjb3JkPjxyZWMtbnVtYmVyPjEzOTA8L3JlYy1udW1iZXI+PGZvcmVpZ24ta2V5
cz48a2V5IGFwcD0iRU4iIGRiLWlkPSJleHZhc3JmeDJkdHJhb2VzYXN4cDJzenN4YTJkZjUwMjU5
MngiIHRpbWVzdGFtcD0iMTU2Nzc0NjExNiI+MTM5MDwva2V5PjxrZXkgYXBwPSJFTldlYiIgZGIt
aWQ9IiI+MDwva2V5PjwvZm9yZWlnbi1rZXlzPjxyZWYtdHlwZSBuYW1lPSJKb3VybmFsIEFydGlj
bGUiPjE3PC9yZWYtdHlwZT48Y29udHJpYnV0b3JzPjxhdXRob3JzPjxhdXRob3I+T2tlc2VuZS1H
YWZhLCBLLkEuTS4sPC9hdXRob3I+PGF1dGhvcj5MaSwgTS4sPC9hdXRob3I+PGF1dGhvcj5NY0tp
bmxheSwgQy5KLkQuLDwvYXV0aG9yPjxhdXRob3I+VGF5bG9yLCBSLlMuLDwvYXV0aG9yPjxhdXRo
b3I+UnVzaCwgRS5DLiw8L2F1dGhvcj48YXV0aG9yPldhbGwsIEMuUi4sPC9hdXRob3I+PGF1dGhv
cj5XaWxzb24sIEouLDwvYXV0aG9yPjxhdXRob3I+TXVycGh5LCBSLiw8L2F1dGhvcj48YXV0aG9y
PlRheWxvciwgUi4sPC9hdXRob3I+PGF1dGhvcj5UaG9tcHNvbiwgSi5NLkQuLDwvYXV0aG9yPjxh
dXRob3I+Q3Jvd3RoZXIsIEMuQS4sPC9hdXRob3I+PGF1dGhvcj5NY0Nvd2FuLCBMLk0uRS4sPC9h
dXRob3I+PC9hdXRob3JzPjwvY29udHJpYnV0b3JzPjxhdXRoLWFkZHJlc3M+RGVwYXJ0bWVudCBv
ZiBPYnN0ZXRyaWNzIGFuZCBHeW5hZWNvbG9neSwgVW5pdmVyc2l0eSBvZiBBdWNrbGFuZCwgQXVj
a2xhbmQsIE5ldyBaZWFsYW5kOyBGYWN1bHR5IG9mIE1lZGljYWwgYW5kIEhlYWx0aCBTY2llbmNl
cywgVW5pdmVyc2l0eSBvZiBBdWNrbGFuZCwgQXVja2xhbmQsIE5ldyBaZWFsYW5kOyBNaWRkbGVt
b3JlIEhvc3BpdGFsLCBTb3V0aCBBdWNrbGFuZCwgTmV3IFplYWxhbmQuIEVsZWN0cm9uaWMgYWRk
cmVzczogay5va2VzZW5lLWdhZmFAYXVja2xhbmQuYWMubnouJiN4RDtEZXBhcnRtZW50IG9mIE9i
c3RldHJpY3MgYW5kIEd5bmFlY29sb2d5LCBVbml2ZXJzaXR5IG9mIEF1Y2tsYW5kLCBBdWNrbGFu
ZCwgTmV3IFplYWxhbmQ7IEZhY3VsdHkgb2YgTWVkaWNhbCBhbmQgSGVhbHRoIFNjaWVuY2VzLCBV
bml2ZXJzaXR5IG9mIEF1Y2tsYW5kLCBBdWNrbGFuZCwgTmV3IFplYWxhbmQuJiN4RDtEZXBhcnRt
ZW50IG9mIFBhZWRpYXRyaWNzLCBDaGlsZCBhbmQgWW91dGggSGVhbHRoLCBVbml2ZXJzaXR5IG9m
IEF1Y2tsYW5kLCBBdWNrbGFuZCwgTmV3IFplYWxhbmQ7IExpZ2dpbnMgSW5zdGl0dXRlLCBVbml2
ZXJzaXR5IG9mIEF1Y2tsYW5kLCBBdWNrbGFuZCwgTmV3IFplYWxhbmQ7IEtpZHogRmlyc3QgTmVv
bmF0YWwgQ2FyZSwgQ291bnRpZXMgTWFudWthdSBIZWFsdGgsIEF1Y2tsYW5kLCBOZXcgWmVhbGFu
ZC4mI3hEO0ZhY3VsdHkgb2YgSGVhbHRoIGFuZCBFbnZpcm9ubWVudGFsIFNjaWVuY2UsIEF1Y2ts
YW5kIFVuaXZlcnNpdHkgb2YgVGVjaG5vbG9neSwgQXVja2xhbmQsIE5ldyBaZWFsYW5kLiYjeEQ7
RmFjdWx0eSBvZiBNZWRpY2FsIGFuZCBIZWFsdGggU2NpZW5jZXMsIFVuaXZlcnNpdHkgb2YgQXVj
a2xhbmQsIEF1Y2tsYW5kLCBOZXcgWmVhbGFuZC4mI3hEO0ZhY3VsdHkgb2YgTWVkaWNhbCBhbmQg
SGVhbHRoIFNjaWVuY2VzLCBVbml2ZXJzaXR5IG9mIEF1Y2tsYW5kLCBBdWNrbGFuZCwgTmV3IFpl
YWxhbmQ7IERlcGFydG1lbnQgb2YgUGFlZGlhdHJpY3MsIENoaWxkIGFuZCBZb3V0aCBIZWFsdGgs
IFVuaXZlcnNpdHkgb2YgQXVja2xhbmQsIEF1Y2tsYW5kLCBOZXcgWmVhbGFuZC4mI3hEO0RlcGFy
dG1lbnQgb2YgTWVkaWNpbmUsIFNjaG9vbCBvZiBNZWRpY2luZSwgVW5pdmVyc2l0eSBvZiBBdWNr
bGFuZCwgQXVja2xhbmQsIE5ldyBaZWFsYW5kLiYjeEQ7RGVwYXJ0bWVudCBvZiBNZWRpY2luZSwg
VW5pdmVyc2l0eSBvZiBPdGFnbywgRHVuZWRpbiwgTmV3IFplYWxhbmQuJiN4RDtMaWdnaW5zIElu
c3RpdHV0ZSwgVW5pdmVyc2l0eSBvZiBBdWNrbGFuZCwgQXVja2xhbmQsIE5ldyBaZWFsYW5kLjwv
YXV0aC1hZGRyZXNzPjx0aXRsZXM+PHRpdGxlPkVmZmVjdCBvZiBhbnRlbmF0YWwgZGlldGFyeSBp
bnRlcnZlbnRpb25zIGluIG1hdGVybmFsIG9iZXNpdHkgb24gcHJlZ25hbmN5IHdlaWdodC1nYWlu
IGFuZCBiaXJ0aHdlaWdodDogSGVhbHRoeSBNdW1zIGFuZCBCYWJpZXMgKEhVTUJBKSByYW5kb21p
emVkIHRyaWFsPC90aXRsZT48c2Vjb25kYXJ5LXRpdGxlPkFtIEogT2JzdGV0IEd5bmVjb2w8L3Nl
Y29uZGFyeS10aXRsZT48L3RpdGxlcz48cGVyaW9kaWNhbD48ZnVsbC10aXRsZT5BbSBKIE9ic3Rl
dCBHeW5lY29sPC9mdWxsLXRpdGxlPjwvcGVyaW9kaWNhbD48cGFnZXM+MTUyIGUxLTE1MiBlMTM8
L3BhZ2VzPjx2b2x1bWU+MjIxPC92b2x1bWU+PG51bWJlcj4yPC9udW1iZXI+PGVkaXRpb24+MjAx
OS8wMy8xODwvZWRpdGlvbj48a2V5d29yZHM+PGtleXdvcmQ+Y29tbXVuaXR5IGhlYWx0aCB3b3Jr
ZXI8L2tleXdvcmQ+PGtleXdvcmQ+Z2VzdGF0aW9uYWwgd2VpZ2h0IGdhaW48L2tleXdvcmQ+PGtl
eXdvcmQ+cHJvYmlvdGljczwva2V5d29yZD48a2V5d29yZD50ZXh0IG1lc3NhZ2luZzwva2V5d29y
ZD48L2tleXdvcmRzPjxkYXRlcz48eWVhcj4yMDE5PC95ZWFyPjxwdWItZGF0ZXM+PGRhdGU+QXVn
PC9kYXRlPjwvcHViLWRhdGVzPjwvZGF0ZXM+PGlzYm4+MTA5Ny02ODY4IChFbGVjdHJvbmljKSYj
eEQ7MDAwMi05Mzc4IChMaW5raW5nKTwvaXNibj48YWNjZXNzaW9uLW51bT4zMDg3ODMyMzwvYWNj
ZXNzaW9uLW51bT48dXJscz48cmVsYXRlZC11cmxzPjx1cmw+aHR0cHM6Ly93d3cubmNiaS5ubG0u
bmloLmdvdi9wdWJtZWQvMzA4NzgzMjM8L3VybD48L3JlbGF0ZWQtdXJscz48L3VybHM+PGVsZWN0
cm9uaWMtcmVzb3VyY2UtbnVtPjEwLjEwMTYvai5ham9nLjIwMTkuMDMuMDAzPC9lbGVjdHJvbmlj
LXJlc291cmNlLW51bT48L3JlY29yZD48L0NpdGU+PENpdGU+PEF1dGhvcj5XaWNrZW5zPC9BdXRo
b3I+PFllYXI+MjAxNzwvWWVhcj48UmVjTnVtPjE2NzU8L1JlY051bT48cmVjb3JkPjxyZWMtbnVt
YmVyPjE2NzU8L3JlYy1udW1iZXI+PGZvcmVpZ24ta2V5cz48a2V5IGFwcD0iRU4iIGRiLWlkPSJl
eHZhc3JmeDJkdHJhb2VzYXN4cDJzenN4YTJkZjUwMjU5MngiIHRpbWVzdGFtcD0iMTU4MTMxMjg4
MCI+MTY3NTwva2V5PjxrZXkgYXBwPSJFTldlYiIgZGItaWQ9IiI+MDwva2V5PjwvZm9yZWlnbi1r
ZXlzPjxyZWYtdHlwZSBuYW1lPSJKb3VybmFsIEFydGljbGUiPjE3PC9yZWYtdHlwZT48Y29udHJp
YnV0b3JzPjxhdXRob3JzPjxhdXRob3I+V2lja2VucywgSy4gTC48L2F1dGhvcj48YXV0aG9yPkJh
cnRob3csIEMuIEEuPC9hdXRob3I+PGF1dGhvcj5NdXJwaHksIFIuPC9hdXRob3I+PGF1dGhvcj5B
YmVscywgUC4gUi48L2F1dGhvcj48YXV0aG9yPk1hdWRlLCBSLiBNLjwvYXV0aG9yPjxhdXRob3I+
U3RvbmUsIFAuIFIuPC9hdXRob3I+PGF1dGhvcj5NaXRjaGVsbCwgRS4gQS48L2F1dGhvcj48YXV0
aG9yPlN0YW5sZXksIFQuIFYuPC9hdXRob3I+PGF1dGhvcj5QdXJkaWUsIEcuIEwuPC9hdXRob3I+
PGF1dGhvcj5LYW5nLCBKLiBNLjwvYXV0aG9yPjxhdXRob3I+SG9vZCwgRi4gRS48L2F1dGhvcj48
YXV0aG9yPlJvd2RlbiwgSi4gTC48L2F1dGhvcj48YXV0aG9yPkJhcm5lcywgUC4gSy48L2F1dGhv
cj48YXV0aG9yPkZpdHpoYXJyaXMsIFAuIEYuPC9hdXRob3I+PGF1dGhvcj5DcmFuZSwgSi48L2F1
dGhvcj48L2F1dGhvcnM+PC9jb250cmlidXRvcnM+PGF1dGgtYWRkcmVzcz4xVW5pdmVyc2l0eSBv
ZiBPdGFnbyxXZWxsaW5ndG9uIDYwMjEsTmV3IFplYWxhbmQuJiN4RDsyVW5pdmVyc2l0eSBvZiBB
dWNrbGFuZCxBdWNrbGFuZCAxMTQyLE5ldyBaZWFsYW5kLiYjeEQ7NFZpY3RvcmlhIFVuaXZlcnNp
dHksV2VsbGluZ3RvbiA2MDIxLE5ldyBaZWFsYW5kLiYjeEQ7NUF1Y2tsYW5kIEhvc3BpdGFsLEF1
Y2tsYW5kIDExNDIsTmV3IFplYWxhbmQuPC9hdXRoLWFkZHJlc3M+PHRpdGxlcz48dGl0bGU+RWFy
bHkgcHJlZ25hbmN5IHByb2Jpb3RpYyBzdXBwbGVtZW50YXRpb24gd2l0aCBMYWN0b2JhY2lsbHVz
IHJoYW1ub3N1cyBITjAwMSBtYXkgcmVkdWNlIHRoZSBwcmV2YWxlbmNlIG9mIGdlc3RhdGlvbmFs
IGRpYWJldGVzIG1lbGxpdHVzOiBhIHJhbmRvbWlzZWQgY29udHJvbGxlZCB0cmlhbDwvdGl0bGU+
PHNlY29uZGFyeS10aXRsZT5CciBKIE51dHI8L3NlY29uZGFyeS10aXRsZT48L3RpdGxlcz48cGVy
aW9kaWNhbD48ZnVsbC10aXRsZT5CciBKIE51dHI8L2Z1bGwtdGl0bGU+PC9wZXJpb2RpY2FsPjxw
YWdlcz44MDQtODEzPC9wYWdlcz48dm9sdW1lPjExNzwvdm9sdW1lPjxudW1iZXI+NjwvbnVtYmVy
PjxlZGl0aW9uPjIwMTcvMDQvMDQ8L2VkaXRpb24+PGtleXdvcmRzPjxrZXl3b3JkPkFkdWx0PC9r
ZXl3b3JkPjxrZXl3b3JkPkJsb29kIEdsdWNvc2UvKm1ldGFib2xpc208L2tleXdvcmQ+PGtleXdv
cmQ+RGlhYmV0ZXMsIEdlc3RhdGlvbmFsL2Jsb29kLypwcmV2ZW50aW9uICZhbXA7IGNvbnRyb2w8
L2tleXdvcmQ+PGtleXdvcmQ+RG91YmxlLUJsaW5kIE1ldGhvZDwva2V5d29yZD48a2V5d29yZD5G
ZW1hbGU8L2tleXdvcmQ+PGtleXdvcmQ+SHVtYW5zPC9rZXl3b3JkPjxrZXl3b3JkPipMYWN0b2Jh
Y2lsbHVzIHJoYW1ub3N1czwva2V5d29yZD48a2V5d29yZD5OZXcgWmVhbGFuZC9lcGlkZW1pb2xv
Z3k8L2tleXdvcmQ+PGtleXdvcmQ+UHJlZ25hbmN5PC9rZXl3b3JkPjxrZXl3b3JkPlByZXZhbGVu
Y2U8L2tleXdvcmQ+PGtleXdvcmQ+UHJvYmlvdGljcy8qdGhlcmFwZXV0aWMgdXNlPC9rZXl3b3Jk
PjxrZXl3b3JkPkxhY3RvYmFjaWxsdXMgcmhhbW5vc3VzIEhOMDAxPC9rZXl3b3JkPjxrZXl3b3Jk
PkZvbnRlcnJhIEZvbnRlcnJhIENvLW9wZXJhdGl2ZSBHcm91cCBMdGQ8L2tleXdvcmQ+PGtleXdv
cmQ+R0RNIGdlc3RhdGlvbmFsIGRpYWJldGVzIG1lbGxpdHVzPC9rZXl3b3JkPjxrZXl3b3JkPkdU
VCBnbHVjb3NlIHRvbGVyYW5jZSB0ZXN0PC9rZXl3b3JkPjxrZXl3b3JkPkhOMDAxIExhY3RvYmFj
aWxsdXMgcmhhbW5vc3VzIEhOMDAxPC9rZXl3b3JkPjxrZXl3b3JkPklBRFBTRyBJbnRlcm5hdGlv
bmFsIEFzc29jaWF0aW9uIG9mIERpYWJldGVzIGFuZCBQcmVnbmFuY3kgU3R1ZHkgR3JvdXA8L2tl
eXdvcmQ+PGtleXdvcmQ+TlogTmV3IFplYWxhbmQ8L2tleXdvcmQ+PGtleXdvcmQ+UlIgcmVsYXRp
dmUgcmF0ZTwva2V5d29yZD48a2V5d29yZD5HZXN0YXRpb25hbCBkaWFiZXRlcyBtZWxsaXR1czwv
a2V5d29yZD48a2V5d29yZD5Qcm9iaW90aWNzPC9rZXl3b3JkPjxrZXl3b3JkPlJhbmRvbWlzZWQg
Y29udHJvbGxlZCB0cmlhbHM8L2tleXdvcmQ+PC9rZXl3b3Jkcz48ZGF0ZXM+PHllYXI+MjAxNzwv
eWVhcj48cHViLWRhdGVzPjxkYXRlPk1hcjwvZGF0ZT48L3B1Yi1kYXRlcz48L2RhdGVzPjxpc2Ju
PjE0NzUtMjY2MiAoRWxlY3Ryb25pYykmI3hEOzAwMDctMTE0NSAoTGlua2luZyk8L2lzYm4+PGFj
Y2Vzc2lvbi1udW0+MjgzNjc3NjU8L2FjY2Vzc2lvbi1udW0+PHVybHM+PHJlbGF0ZWQtdXJscz48
dXJsPmh0dHBzOi8vd3d3Lm5jYmkubmxtLm5paC5nb3YvcHVibWVkLzI4MzY3NzY1PC91cmw+PC9y
ZWxhdGVkLXVybHM+PC91cmxzPjxjdXN0b20yPlBNQzU0MjYzMjI8L2N1c3RvbTI+PGVsZWN0cm9u
aWMtcmVzb3VyY2UtbnVtPjEwLjEwMTcvUzAwMDcxMTQ1MTcwMDAyODk8L2VsZWN0cm9uaWMtcmVz
b3VyY2UtbnVtPjwvcmVjb3JkPjwvQ2l0ZT48L0VuZE5vdGU+AG==
</w:fldData>
        </w:fldChar>
      </w:r>
      <w:r w:rsidR="002747EA">
        <w:instrText xml:space="preserve"> ADDIN EN.CITE </w:instrText>
      </w:r>
      <w:r w:rsidR="002747EA">
        <w:fldChar w:fldCharType="begin">
          <w:fldData xml:space="preserve">PEVuZE5vdGU+PENpdGU+PEF1dGhvcj5Pa2VzZW5lLUdhZmE8L0F1dGhvcj48WWVhcj4yMDE5PC9Z
ZWFyPjxSZWNOdW0+MTM5MDwvUmVjTnVtPjxEaXNwbGF5VGV4dD48c3R5bGUgZmFjZT0ic3VwZXJz
Y3JpcHQiIGZvbnQ9IlRyZWJ1Y2hldCBNUyIgc2l6ZT0iOSI+MjMyLDIzNzwvc3R5bGU+PC9EaXNw
bGF5VGV4dD48cmVjb3JkPjxyZWMtbnVtYmVyPjEzOTA8L3JlYy1udW1iZXI+PGZvcmVpZ24ta2V5
cz48a2V5IGFwcD0iRU4iIGRiLWlkPSJleHZhc3JmeDJkdHJhb2VzYXN4cDJzenN4YTJkZjUwMjU5
MngiIHRpbWVzdGFtcD0iMTU2Nzc0NjExNiI+MTM5MDwva2V5PjxrZXkgYXBwPSJFTldlYiIgZGIt
aWQ9IiI+MDwva2V5PjwvZm9yZWlnbi1rZXlzPjxyZWYtdHlwZSBuYW1lPSJKb3VybmFsIEFydGlj
bGUiPjE3PC9yZWYtdHlwZT48Y29udHJpYnV0b3JzPjxhdXRob3JzPjxhdXRob3I+T2tlc2VuZS1H
YWZhLCBLLkEuTS4sPC9hdXRob3I+PGF1dGhvcj5MaSwgTS4sPC9hdXRob3I+PGF1dGhvcj5NY0tp
bmxheSwgQy5KLkQuLDwvYXV0aG9yPjxhdXRob3I+VGF5bG9yLCBSLlMuLDwvYXV0aG9yPjxhdXRo
b3I+UnVzaCwgRS5DLiw8L2F1dGhvcj48YXV0aG9yPldhbGwsIEMuUi4sPC9hdXRob3I+PGF1dGhv
cj5XaWxzb24sIEouLDwvYXV0aG9yPjxhdXRob3I+TXVycGh5LCBSLiw8L2F1dGhvcj48YXV0aG9y
PlRheWxvciwgUi4sPC9hdXRob3I+PGF1dGhvcj5UaG9tcHNvbiwgSi5NLkQuLDwvYXV0aG9yPjxh
dXRob3I+Q3Jvd3RoZXIsIEMuQS4sPC9hdXRob3I+PGF1dGhvcj5NY0Nvd2FuLCBMLk0uRS4sPC9h
dXRob3I+PC9hdXRob3JzPjwvY29udHJpYnV0b3JzPjxhdXRoLWFkZHJlc3M+RGVwYXJ0bWVudCBv
ZiBPYnN0ZXRyaWNzIGFuZCBHeW5hZWNvbG9neSwgVW5pdmVyc2l0eSBvZiBBdWNrbGFuZCwgQXVj
a2xhbmQsIE5ldyBaZWFsYW5kOyBGYWN1bHR5IG9mIE1lZGljYWwgYW5kIEhlYWx0aCBTY2llbmNl
cywgVW5pdmVyc2l0eSBvZiBBdWNrbGFuZCwgQXVja2xhbmQsIE5ldyBaZWFsYW5kOyBNaWRkbGVt
b3JlIEhvc3BpdGFsLCBTb3V0aCBBdWNrbGFuZCwgTmV3IFplYWxhbmQuIEVsZWN0cm9uaWMgYWRk
cmVzczogay5va2VzZW5lLWdhZmFAYXVja2xhbmQuYWMubnouJiN4RDtEZXBhcnRtZW50IG9mIE9i
c3RldHJpY3MgYW5kIEd5bmFlY29sb2d5LCBVbml2ZXJzaXR5IG9mIEF1Y2tsYW5kLCBBdWNrbGFu
ZCwgTmV3IFplYWxhbmQ7IEZhY3VsdHkgb2YgTWVkaWNhbCBhbmQgSGVhbHRoIFNjaWVuY2VzLCBV
bml2ZXJzaXR5IG9mIEF1Y2tsYW5kLCBBdWNrbGFuZCwgTmV3IFplYWxhbmQuJiN4RDtEZXBhcnRt
ZW50IG9mIFBhZWRpYXRyaWNzLCBDaGlsZCBhbmQgWW91dGggSGVhbHRoLCBVbml2ZXJzaXR5IG9m
IEF1Y2tsYW5kLCBBdWNrbGFuZCwgTmV3IFplYWxhbmQ7IExpZ2dpbnMgSW5zdGl0dXRlLCBVbml2
ZXJzaXR5IG9mIEF1Y2tsYW5kLCBBdWNrbGFuZCwgTmV3IFplYWxhbmQ7IEtpZHogRmlyc3QgTmVv
bmF0YWwgQ2FyZSwgQ291bnRpZXMgTWFudWthdSBIZWFsdGgsIEF1Y2tsYW5kLCBOZXcgWmVhbGFu
ZC4mI3hEO0ZhY3VsdHkgb2YgSGVhbHRoIGFuZCBFbnZpcm9ubWVudGFsIFNjaWVuY2UsIEF1Y2ts
YW5kIFVuaXZlcnNpdHkgb2YgVGVjaG5vbG9neSwgQXVja2xhbmQsIE5ldyBaZWFsYW5kLiYjeEQ7
RmFjdWx0eSBvZiBNZWRpY2FsIGFuZCBIZWFsdGggU2NpZW5jZXMsIFVuaXZlcnNpdHkgb2YgQXVj
a2xhbmQsIEF1Y2tsYW5kLCBOZXcgWmVhbGFuZC4mI3hEO0ZhY3VsdHkgb2YgTWVkaWNhbCBhbmQg
SGVhbHRoIFNjaWVuY2VzLCBVbml2ZXJzaXR5IG9mIEF1Y2tsYW5kLCBBdWNrbGFuZCwgTmV3IFpl
YWxhbmQ7IERlcGFydG1lbnQgb2YgUGFlZGlhdHJpY3MsIENoaWxkIGFuZCBZb3V0aCBIZWFsdGgs
IFVuaXZlcnNpdHkgb2YgQXVja2xhbmQsIEF1Y2tsYW5kLCBOZXcgWmVhbGFuZC4mI3hEO0RlcGFy
dG1lbnQgb2YgTWVkaWNpbmUsIFNjaG9vbCBvZiBNZWRpY2luZSwgVW5pdmVyc2l0eSBvZiBBdWNr
bGFuZCwgQXVja2xhbmQsIE5ldyBaZWFsYW5kLiYjeEQ7RGVwYXJ0bWVudCBvZiBNZWRpY2luZSwg
VW5pdmVyc2l0eSBvZiBPdGFnbywgRHVuZWRpbiwgTmV3IFplYWxhbmQuJiN4RDtMaWdnaW5zIElu
c3RpdHV0ZSwgVW5pdmVyc2l0eSBvZiBBdWNrbGFuZCwgQXVja2xhbmQsIE5ldyBaZWFsYW5kLjwv
YXV0aC1hZGRyZXNzPjx0aXRsZXM+PHRpdGxlPkVmZmVjdCBvZiBhbnRlbmF0YWwgZGlldGFyeSBp
bnRlcnZlbnRpb25zIGluIG1hdGVybmFsIG9iZXNpdHkgb24gcHJlZ25hbmN5IHdlaWdodC1nYWlu
IGFuZCBiaXJ0aHdlaWdodDogSGVhbHRoeSBNdW1zIGFuZCBCYWJpZXMgKEhVTUJBKSByYW5kb21p
emVkIHRyaWFsPC90aXRsZT48c2Vjb25kYXJ5LXRpdGxlPkFtIEogT2JzdGV0IEd5bmVjb2w8L3Nl
Y29uZGFyeS10aXRsZT48L3RpdGxlcz48cGVyaW9kaWNhbD48ZnVsbC10aXRsZT5BbSBKIE9ic3Rl
dCBHeW5lY29sPC9mdWxsLXRpdGxlPjwvcGVyaW9kaWNhbD48cGFnZXM+MTUyIGUxLTE1MiBlMTM8
L3BhZ2VzPjx2b2x1bWU+MjIxPC92b2x1bWU+PG51bWJlcj4yPC9udW1iZXI+PGVkaXRpb24+MjAx
OS8wMy8xODwvZWRpdGlvbj48a2V5d29yZHM+PGtleXdvcmQ+Y29tbXVuaXR5IGhlYWx0aCB3b3Jr
ZXI8L2tleXdvcmQ+PGtleXdvcmQ+Z2VzdGF0aW9uYWwgd2VpZ2h0IGdhaW48L2tleXdvcmQ+PGtl
eXdvcmQ+cHJvYmlvdGljczwva2V5d29yZD48a2V5d29yZD50ZXh0IG1lc3NhZ2luZzwva2V5d29y
ZD48L2tleXdvcmRzPjxkYXRlcz48eWVhcj4yMDE5PC95ZWFyPjxwdWItZGF0ZXM+PGRhdGU+QXVn
PC9kYXRlPjwvcHViLWRhdGVzPjwvZGF0ZXM+PGlzYm4+MTA5Ny02ODY4IChFbGVjdHJvbmljKSYj
eEQ7MDAwMi05Mzc4IChMaW5raW5nKTwvaXNibj48YWNjZXNzaW9uLW51bT4zMDg3ODMyMzwvYWNj
ZXNzaW9uLW51bT48dXJscz48cmVsYXRlZC11cmxzPjx1cmw+aHR0cHM6Ly93d3cubmNiaS5ubG0u
bmloLmdvdi9wdWJtZWQvMzA4NzgzMjM8L3VybD48L3JlbGF0ZWQtdXJscz48L3VybHM+PGVsZWN0
cm9uaWMtcmVzb3VyY2UtbnVtPjEwLjEwMTYvai5ham9nLjIwMTkuMDMuMDAzPC9lbGVjdHJvbmlj
LXJlc291cmNlLW51bT48L3JlY29yZD48L0NpdGU+PENpdGU+PEF1dGhvcj5XaWNrZW5zPC9BdXRo
b3I+PFllYXI+MjAxNzwvWWVhcj48UmVjTnVtPjE2NzU8L1JlY051bT48cmVjb3JkPjxyZWMtbnVt
YmVyPjE2NzU8L3JlYy1udW1iZXI+PGZvcmVpZ24ta2V5cz48a2V5IGFwcD0iRU4iIGRiLWlkPSJl
eHZhc3JmeDJkdHJhb2VzYXN4cDJzenN4YTJkZjUwMjU5MngiIHRpbWVzdGFtcD0iMTU4MTMxMjg4
MCI+MTY3NTwva2V5PjxrZXkgYXBwPSJFTldlYiIgZGItaWQ9IiI+MDwva2V5PjwvZm9yZWlnbi1r
ZXlzPjxyZWYtdHlwZSBuYW1lPSJKb3VybmFsIEFydGljbGUiPjE3PC9yZWYtdHlwZT48Y29udHJp
YnV0b3JzPjxhdXRob3JzPjxhdXRob3I+V2lja2VucywgSy4gTC48L2F1dGhvcj48YXV0aG9yPkJh
cnRob3csIEMuIEEuPC9hdXRob3I+PGF1dGhvcj5NdXJwaHksIFIuPC9hdXRob3I+PGF1dGhvcj5B
YmVscywgUC4gUi48L2F1dGhvcj48YXV0aG9yPk1hdWRlLCBSLiBNLjwvYXV0aG9yPjxhdXRob3I+
U3RvbmUsIFAuIFIuPC9hdXRob3I+PGF1dGhvcj5NaXRjaGVsbCwgRS4gQS48L2F1dGhvcj48YXV0
aG9yPlN0YW5sZXksIFQuIFYuPC9hdXRob3I+PGF1dGhvcj5QdXJkaWUsIEcuIEwuPC9hdXRob3I+
PGF1dGhvcj5LYW5nLCBKLiBNLjwvYXV0aG9yPjxhdXRob3I+SG9vZCwgRi4gRS48L2F1dGhvcj48
YXV0aG9yPlJvd2RlbiwgSi4gTC48L2F1dGhvcj48YXV0aG9yPkJhcm5lcywgUC4gSy48L2F1dGhv
cj48YXV0aG9yPkZpdHpoYXJyaXMsIFAuIEYuPC9hdXRob3I+PGF1dGhvcj5DcmFuZSwgSi48L2F1
dGhvcj48L2F1dGhvcnM+PC9jb250cmlidXRvcnM+PGF1dGgtYWRkcmVzcz4xVW5pdmVyc2l0eSBv
ZiBPdGFnbyxXZWxsaW5ndG9uIDYwMjEsTmV3IFplYWxhbmQuJiN4RDsyVW5pdmVyc2l0eSBvZiBB
dWNrbGFuZCxBdWNrbGFuZCAxMTQyLE5ldyBaZWFsYW5kLiYjeEQ7NFZpY3RvcmlhIFVuaXZlcnNp
dHksV2VsbGluZ3RvbiA2MDIxLE5ldyBaZWFsYW5kLiYjeEQ7NUF1Y2tsYW5kIEhvc3BpdGFsLEF1
Y2tsYW5kIDExNDIsTmV3IFplYWxhbmQuPC9hdXRoLWFkZHJlc3M+PHRpdGxlcz48dGl0bGU+RWFy
bHkgcHJlZ25hbmN5IHByb2Jpb3RpYyBzdXBwbGVtZW50YXRpb24gd2l0aCBMYWN0b2JhY2lsbHVz
IHJoYW1ub3N1cyBITjAwMSBtYXkgcmVkdWNlIHRoZSBwcmV2YWxlbmNlIG9mIGdlc3RhdGlvbmFs
IGRpYWJldGVzIG1lbGxpdHVzOiBhIHJhbmRvbWlzZWQgY29udHJvbGxlZCB0cmlhbDwvdGl0bGU+
PHNlY29uZGFyeS10aXRsZT5CciBKIE51dHI8L3NlY29uZGFyeS10aXRsZT48L3RpdGxlcz48cGVy
aW9kaWNhbD48ZnVsbC10aXRsZT5CciBKIE51dHI8L2Z1bGwtdGl0bGU+PC9wZXJpb2RpY2FsPjxw
YWdlcz44MDQtODEzPC9wYWdlcz48dm9sdW1lPjExNzwvdm9sdW1lPjxudW1iZXI+NjwvbnVtYmVy
PjxlZGl0aW9uPjIwMTcvMDQvMDQ8L2VkaXRpb24+PGtleXdvcmRzPjxrZXl3b3JkPkFkdWx0PC9r
ZXl3b3JkPjxrZXl3b3JkPkJsb29kIEdsdWNvc2UvKm1ldGFib2xpc208L2tleXdvcmQ+PGtleXdv
cmQ+RGlhYmV0ZXMsIEdlc3RhdGlvbmFsL2Jsb29kLypwcmV2ZW50aW9uICZhbXA7IGNvbnRyb2w8
L2tleXdvcmQ+PGtleXdvcmQ+RG91YmxlLUJsaW5kIE1ldGhvZDwva2V5d29yZD48a2V5d29yZD5G
ZW1hbGU8L2tleXdvcmQ+PGtleXdvcmQ+SHVtYW5zPC9rZXl3b3JkPjxrZXl3b3JkPipMYWN0b2Jh
Y2lsbHVzIHJoYW1ub3N1czwva2V5d29yZD48a2V5d29yZD5OZXcgWmVhbGFuZC9lcGlkZW1pb2xv
Z3k8L2tleXdvcmQ+PGtleXdvcmQ+UHJlZ25hbmN5PC9rZXl3b3JkPjxrZXl3b3JkPlByZXZhbGVu
Y2U8L2tleXdvcmQ+PGtleXdvcmQ+UHJvYmlvdGljcy8qdGhlcmFwZXV0aWMgdXNlPC9rZXl3b3Jk
PjxrZXl3b3JkPkxhY3RvYmFjaWxsdXMgcmhhbW5vc3VzIEhOMDAxPC9rZXl3b3JkPjxrZXl3b3Jk
PkZvbnRlcnJhIEZvbnRlcnJhIENvLW9wZXJhdGl2ZSBHcm91cCBMdGQ8L2tleXdvcmQ+PGtleXdv
cmQ+R0RNIGdlc3RhdGlvbmFsIGRpYWJldGVzIG1lbGxpdHVzPC9rZXl3b3JkPjxrZXl3b3JkPkdU
VCBnbHVjb3NlIHRvbGVyYW5jZSB0ZXN0PC9rZXl3b3JkPjxrZXl3b3JkPkhOMDAxIExhY3RvYmFj
aWxsdXMgcmhhbW5vc3VzIEhOMDAxPC9rZXl3b3JkPjxrZXl3b3JkPklBRFBTRyBJbnRlcm5hdGlv
bmFsIEFzc29jaWF0aW9uIG9mIERpYWJldGVzIGFuZCBQcmVnbmFuY3kgU3R1ZHkgR3JvdXA8L2tl
eXdvcmQ+PGtleXdvcmQ+TlogTmV3IFplYWxhbmQ8L2tleXdvcmQ+PGtleXdvcmQ+UlIgcmVsYXRp
dmUgcmF0ZTwva2V5d29yZD48a2V5d29yZD5HZXN0YXRpb25hbCBkaWFiZXRlcyBtZWxsaXR1czwv
a2V5d29yZD48a2V5d29yZD5Qcm9iaW90aWNzPC9rZXl3b3JkPjxrZXl3b3JkPlJhbmRvbWlzZWQg
Y29udHJvbGxlZCB0cmlhbHM8L2tleXdvcmQ+PC9rZXl3b3Jkcz48ZGF0ZXM+PHllYXI+MjAxNzwv
eWVhcj48cHViLWRhdGVzPjxkYXRlPk1hcjwvZGF0ZT48L3B1Yi1kYXRlcz48L2RhdGVzPjxpc2Ju
PjE0NzUtMjY2MiAoRWxlY3Ryb25pYykmI3hEOzAwMDctMTE0NSAoTGlua2luZyk8L2lzYm4+PGFj
Y2Vzc2lvbi1udW0+MjgzNjc3NjU8L2FjY2Vzc2lvbi1udW0+PHVybHM+PHJlbGF0ZWQtdXJscz48
dXJsPmh0dHBzOi8vd3d3Lm5jYmkubmxtLm5paC5nb3YvcHVibWVkLzI4MzY3NzY1PC91cmw+PC9y
ZWxhdGVkLXVybHM+PC91cmxzPjxjdXN0b20yPlBNQzU0MjYzMjI8L2N1c3RvbTI+PGVsZWN0cm9u
aWMtcmVzb3VyY2UtbnVtPjEwLjEwMTcvUzAwMDcxMTQ1MTcwMDAyODk8L2VsZWN0cm9uaWMtcmVz
b3VyY2UtbnVtPjwvcmVjb3JkPjwvQ2l0ZT48L0VuZE5vdGU+AG==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232,237</w:t>
      </w:r>
      <w:r w:rsidR="00AB21E2">
        <w:fldChar w:fldCharType="end"/>
      </w:r>
      <w:r>
        <w:t xml:space="preserve"> Norway (</w:t>
      </w:r>
      <w:r w:rsidRPr="00D676D7">
        <w:rPr>
          <w:sz w:val="16"/>
          <w:szCs w:val="16"/>
        </w:rPr>
        <w:t>n=1</w:t>
      </w:r>
      <w:r>
        <w:t>),</w:t>
      </w:r>
      <w:r w:rsidR="00AB21E2">
        <w:fldChar w:fldCharType="begin">
          <w:fldData xml:space="preserve">PEVuZE5vdGU+PENpdGU+PEF1dGhvcj5Eb3R0ZXJ1ZDwvQXV0aG9yPjxZZWFyPjIwMTA8L1llYXI+
PFJlY051bT4xNjg2PC9SZWNOdW0+PERpc3BsYXlUZXh0PjxzdHlsZSBmYWNlPSJzdXBlcnNjcmlw
dCIgZm9udD0iVHJlYnVjaGV0IE1TIiBzaXplPSI5Ij4yNTI8L3N0eWxlPjwvRGlzcGxheVRleHQ+
PHJlY29yZD48cmVjLW51bWJlcj4xNjg2PC9yZWMtbnVtYmVyPjxmb3JlaWduLWtleXM+PGtleSBh
cHA9IkVOIiBkYi1pZD0iZXh2YXNyZngyZHRyYW9lc2FzeHAyc3pzeGEyZGY1MDI1OTJ4IiB0aW1l
c3RhbXA9IjE1ODE4MzIwNzYiPjE2ODY8L2tleT48L2ZvcmVpZ24ta2V5cz48cmVmLXR5cGUgbmFt
ZT0iSm91cm5hbCBBcnRpY2xlIj4xNzwvcmVmLXR5cGU+PGNvbnRyaWJ1dG9ycz48YXV0aG9ycz48
YXV0aG9yPkRvdHRlcnVkLCBDLiBLLjwvYXV0aG9yPjxhdXRob3I+U3RvcnJvLCBPLjwvYXV0aG9y
PjxhdXRob3I+Sm9obnNlbiwgUi48L2F1dGhvcj48YXV0aG9yPk9pZW4sIFQuPC9hdXRob3I+PC9h
dXRob3JzPjwvY29udHJpYnV0b3JzPjxhdXRoLWFkZHJlc3M+RGVwYXJ0bWVudCBvZiBQdWJsaWMg
SGVhbHRoIGFuZCBHZW5lcmFsIFByYWN0aWNlLCBOb3J3ZWdpYW4gVW5pdmVyc2l0eSBvZiBTY2ll
bmNlIGFuZCBUZWNobm9sb2d5LCBOLTc0ODkgVHJvbmRoZWltLCBOb3J3YXkuIGRvdHRlcnVkQHN0
dWQubnRudS5ubzwvYXV0aC1hZGRyZXNzPjx0aXRsZXM+PHRpdGxlPlByb2Jpb3RpY3MgaW4gcHJl
Z25hbnQgd29tZW4gdG8gcHJldmVudCBhbGxlcmdpYyBkaXNlYXNlOiBhIHJhbmRvbWl6ZWQsIGRv
dWJsZS1ibGluZCB0cmlhbDwvdGl0bGU+PHNlY29uZGFyeS10aXRsZT5CciBKIERlcm1hdG9sPC9z
ZWNvbmRhcnktdGl0bGU+PC90aXRsZXM+PHBlcmlvZGljYWw+PGZ1bGwtdGl0bGU+QnIgSiBEZXJt
YXRvbDwvZnVsbC10aXRsZT48L3BlcmlvZGljYWw+PHBhZ2VzPjYxNi0yMzwvcGFnZXM+PHZvbHVt
ZT4xNjM8L3ZvbHVtZT48bnVtYmVyPjM8L251bWJlcj48ZWRpdGlvbj4yMDEwLzA2LzE2PC9lZGl0
aW9uPjxrZXl3b3Jkcz48a2V5d29yZD5BZHVsdDwva2V5d29yZD48a2V5d29yZD5Bc3RobWEvZXBp
ZGVtaW9sb2d5L3ByZXZlbnRpb24gJmFtcDsgY29udHJvbDwva2V5d29yZD48a2V5d29yZD5CaWZp
ZG9iYWN0ZXJpdW08L2tleXdvcmQ+PGtleXdvcmQ+Q29uanVuY3Rpdml0aXMsIEFsbGVyZ2ljL2Vw
aWRlbWlvbG9neS9wcmV2ZW50aW9uICZhbXA7IGNvbnRyb2w8L2tleXdvcmQ+PGtleXdvcmQ+RGVy
bWF0aXRpcywgQXRvcGljL2VwaWRlbWlvbG9neS9wcmV2ZW50aW9uICZhbXA7IGNvbnRyb2w8L2tl
eXdvcmQ+PGtleXdvcmQ+RGlldGFyeSBTdXBwbGVtZW50czwva2V5d29yZD48a2V5d29yZD5Eb3Vi
bGUtQmxpbmQgTWV0aG9kPC9rZXl3b3JkPjxrZXl3b3JkPkVjemVtYS9lcGlkZW1pb2xvZ3kvcHJl
dmVudGlvbiAmYW1wOyBjb250cm9sPC9rZXl3b3JkPjxrZXl3b3JkPkZlbWFsZTwva2V5d29yZD48
a2V5d29yZD5IdW1hbnM8L2tleXdvcmQ+PGtleXdvcmQ+SHlwZXJzZW5zaXRpdml0eS9lcGlkZW1p
b2xvZ3kvKnByZXZlbnRpb24gJmFtcDsgY29udHJvbDwva2V5d29yZD48a2V5d29yZD5IeXBlcnNl
bnNpdGl2aXR5LCBJbW1lZGlhdGUvZXBpZGVtaW9sb2d5L3ByZXZlbnRpb24gJmFtcDsgY29udHJv
bDwva2V5d29yZD48a2V5d29yZD5JbmNpZGVuY2U8L2tleXdvcmQ+PGtleXdvcmQ+SW5mYW50PC9r
ZXl3b3JkPjxrZXl3b3JkPkluZmFudCwgTmV3Ym9ybjwva2V5d29yZD48a2V5d29yZD5JbnRlbnRp
b24gdG8gVHJlYXQgQW5hbHlzaXM8L2tleXdvcmQ+PGtleXdvcmQ+TGFjdG9iYWNpbGx1cyBhY2lk
b3BoaWx1czwva2V5d29yZD48a2V5d29yZD5MYWN0b2JhY2lsbHVzIHJoYW1ub3N1czwva2V5d29y
ZD48a2V5d29yZD5QcmVnbmFuY3k8L2tleXdvcmQ+PGtleXdvcmQ+UHJvYmlvdGljcy8qdGhlcmFw
ZXV0aWMgdXNlPC9rZXl3b3JkPjxrZXl3b3JkPlN1cnZleXMgYW5kIFF1ZXN0aW9ubmFpcmVzPC9r
ZXl3b3JkPjwva2V5d29yZHM+PGRhdGVzPjx5ZWFyPjIwMTA8L3llYXI+PHB1Yi1kYXRlcz48ZGF0
ZT5TZXA8L2RhdGU+PC9wdWItZGF0ZXM+PC9kYXRlcz48aXNibj4xMzY1LTIxMzMgKEVsZWN0cm9u
aWMpJiN4RDswMDA3LTA5NjMgKExpbmtpbmcpPC9pc2JuPjxhY2Nlc3Npb24tbnVtPjIwNTQ1Njg4
PC9hY2Nlc3Npb24tbnVtPjx1cmxzPjxyZWxhdGVkLXVybHM+PHVybD5odHRwczovL3d3dy5uY2Jp
Lm5sbS5uaWguZ292L3B1Ym1lZC8yMDU0NTY4ODwvdXJsPjwvcmVsYXRlZC11cmxzPjwvdXJscz48
ZWxlY3Ryb25pYy1yZXNvdXJjZS1udW0+MTAuMTExMS9qLjEzNjUtMjEzMy4yMDEwLjA5ODg5Lng8
L2VsZWN0cm9uaWMtcmVzb3VyY2UtbnVtPjwvcmVjb3JkPjwvQ2l0ZT48L0VuZE5vdGU+
</w:fldData>
        </w:fldChar>
      </w:r>
      <w:r w:rsidR="002747EA">
        <w:instrText xml:space="preserve"> ADDIN EN.CITE </w:instrText>
      </w:r>
      <w:r w:rsidR="002747EA">
        <w:fldChar w:fldCharType="begin">
          <w:fldData xml:space="preserve">PEVuZE5vdGU+PENpdGU+PEF1dGhvcj5Eb3R0ZXJ1ZDwvQXV0aG9yPjxZZWFyPjIwMTA8L1llYXI+
PFJlY051bT4xNjg2PC9SZWNOdW0+PERpc3BsYXlUZXh0PjxzdHlsZSBmYWNlPSJzdXBlcnNjcmlw
dCIgZm9udD0iVHJlYnVjaGV0IE1TIiBzaXplPSI5Ij4yNTI8L3N0eWxlPjwvRGlzcGxheVRleHQ+
PHJlY29yZD48cmVjLW51bWJlcj4xNjg2PC9yZWMtbnVtYmVyPjxmb3JlaWduLWtleXM+PGtleSBh
cHA9IkVOIiBkYi1pZD0iZXh2YXNyZngyZHRyYW9lc2FzeHAyc3pzeGEyZGY1MDI1OTJ4IiB0aW1l
c3RhbXA9IjE1ODE4MzIwNzYiPjE2ODY8L2tleT48L2ZvcmVpZ24ta2V5cz48cmVmLXR5cGUgbmFt
ZT0iSm91cm5hbCBBcnRpY2xlIj4xNzwvcmVmLXR5cGU+PGNvbnRyaWJ1dG9ycz48YXV0aG9ycz48
YXV0aG9yPkRvdHRlcnVkLCBDLiBLLjwvYXV0aG9yPjxhdXRob3I+U3RvcnJvLCBPLjwvYXV0aG9y
PjxhdXRob3I+Sm9obnNlbiwgUi48L2F1dGhvcj48YXV0aG9yPk9pZW4sIFQuPC9hdXRob3I+PC9h
dXRob3JzPjwvY29udHJpYnV0b3JzPjxhdXRoLWFkZHJlc3M+RGVwYXJ0bWVudCBvZiBQdWJsaWMg
SGVhbHRoIGFuZCBHZW5lcmFsIFByYWN0aWNlLCBOb3J3ZWdpYW4gVW5pdmVyc2l0eSBvZiBTY2ll
bmNlIGFuZCBUZWNobm9sb2d5LCBOLTc0ODkgVHJvbmRoZWltLCBOb3J3YXkuIGRvdHRlcnVkQHN0
dWQubnRudS5ubzwvYXV0aC1hZGRyZXNzPjx0aXRsZXM+PHRpdGxlPlByb2Jpb3RpY3MgaW4gcHJl
Z25hbnQgd29tZW4gdG8gcHJldmVudCBhbGxlcmdpYyBkaXNlYXNlOiBhIHJhbmRvbWl6ZWQsIGRv
dWJsZS1ibGluZCB0cmlhbDwvdGl0bGU+PHNlY29uZGFyeS10aXRsZT5CciBKIERlcm1hdG9sPC9z
ZWNvbmRhcnktdGl0bGU+PC90aXRsZXM+PHBlcmlvZGljYWw+PGZ1bGwtdGl0bGU+QnIgSiBEZXJt
YXRvbDwvZnVsbC10aXRsZT48L3BlcmlvZGljYWw+PHBhZ2VzPjYxNi0yMzwvcGFnZXM+PHZvbHVt
ZT4xNjM8L3ZvbHVtZT48bnVtYmVyPjM8L251bWJlcj48ZWRpdGlvbj4yMDEwLzA2LzE2PC9lZGl0
aW9uPjxrZXl3b3Jkcz48a2V5d29yZD5BZHVsdDwva2V5d29yZD48a2V5d29yZD5Bc3RobWEvZXBp
ZGVtaW9sb2d5L3ByZXZlbnRpb24gJmFtcDsgY29udHJvbDwva2V5d29yZD48a2V5d29yZD5CaWZp
ZG9iYWN0ZXJpdW08L2tleXdvcmQ+PGtleXdvcmQ+Q29uanVuY3Rpdml0aXMsIEFsbGVyZ2ljL2Vw
aWRlbWlvbG9neS9wcmV2ZW50aW9uICZhbXA7IGNvbnRyb2w8L2tleXdvcmQ+PGtleXdvcmQ+RGVy
bWF0aXRpcywgQXRvcGljL2VwaWRlbWlvbG9neS9wcmV2ZW50aW9uICZhbXA7IGNvbnRyb2w8L2tl
eXdvcmQ+PGtleXdvcmQ+RGlldGFyeSBTdXBwbGVtZW50czwva2V5d29yZD48a2V5d29yZD5Eb3Vi
bGUtQmxpbmQgTWV0aG9kPC9rZXl3b3JkPjxrZXl3b3JkPkVjemVtYS9lcGlkZW1pb2xvZ3kvcHJl
dmVudGlvbiAmYW1wOyBjb250cm9sPC9rZXl3b3JkPjxrZXl3b3JkPkZlbWFsZTwva2V5d29yZD48
a2V5d29yZD5IdW1hbnM8L2tleXdvcmQ+PGtleXdvcmQ+SHlwZXJzZW5zaXRpdml0eS9lcGlkZW1p
b2xvZ3kvKnByZXZlbnRpb24gJmFtcDsgY29udHJvbDwva2V5d29yZD48a2V5d29yZD5IeXBlcnNl
bnNpdGl2aXR5LCBJbW1lZGlhdGUvZXBpZGVtaW9sb2d5L3ByZXZlbnRpb24gJmFtcDsgY29udHJv
bDwva2V5d29yZD48a2V5d29yZD5JbmNpZGVuY2U8L2tleXdvcmQ+PGtleXdvcmQ+SW5mYW50PC9r
ZXl3b3JkPjxrZXl3b3JkPkluZmFudCwgTmV3Ym9ybjwva2V5d29yZD48a2V5d29yZD5JbnRlbnRp
b24gdG8gVHJlYXQgQW5hbHlzaXM8L2tleXdvcmQ+PGtleXdvcmQ+TGFjdG9iYWNpbGx1cyBhY2lk
b3BoaWx1czwva2V5d29yZD48a2V5d29yZD5MYWN0b2JhY2lsbHVzIHJoYW1ub3N1czwva2V5d29y
ZD48a2V5d29yZD5QcmVnbmFuY3k8L2tleXdvcmQ+PGtleXdvcmQ+UHJvYmlvdGljcy8qdGhlcmFw
ZXV0aWMgdXNlPC9rZXl3b3JkPjxrZXl3b3JkPlN1cnZleXMgYW5kIFF1ZXN0aW9ubmFpcmVzPC9r
ZXl3b3JkPjwva2V5d29yZHM+PGRhdGVzPjx5ZWFyPjIwMTA8L3llYXI+PHB1Yi1kYXRlcz48ZGF0
ZT5TZXA8L2RhdGU+PC9wdWItZGF0ZXM+PC9kYXRlcz48aXNibj4xMzY1LTIxMzMgKEVsZWN0cm9u
aWMpJiN4RDswMDA3LTA5NjMgKExpbmtpbmcpPC9pc2JuPjxhY2Nlc3Npb24tbnVtPjIwNTQ1Njg4
PC9hY2Nlc3Npb24tbnVtPjx1cmxzPjxyZWxhdGVkLXVybHM+PHVybD5odHRwczovL3d3dy5uY2Jp
Lm5sbS5uaWguZ292L3B1Ym1lZC8yMDU0NTY4ODwvdXJsPjwvcmVsYXRlZC11cmxzPjwvdXJscz48
ZWxlY3Ryb25pYy1yZXNvdXJjZS1udW0+MTAuMTExMS9qLjEzNjUtMjEzMy4yMDEwLjA5ODg5Lng8
L2VsZWN0cm9uaWMtcmVzb3VyY2UtbnVtPjwvcmVjb3JkPjwvQ2l0ZT48L0VuZE5vdGU+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252</w:t>
      </w:r>
      <w:r w:rsidR="00AB21E2">
        <w:fldChar w:fldCharType="end"/>
      </w:r>
      <w:r>
        <w:t xml:space="preserve"> Sweden (</w:t>
      </w:r>
      <w:r w:rsidRPr="00D676D7">
        <w:rPr>
          <w:sz w:val="16"/>
          <w:szCs w:val="16"/>
        </w:rPr>
        <w:t>n=1</w:t>
      </w:r>
      <w:r>
        <w:t>),</w:t>
      </w:r>
      <w:r w:rsidR="00AB21E2">
        <w:fldChar w:fldCharType="begin"/>
      </w:r>
      <w:r w:rsidR="002747EA">
        <w:instrText xml:space="preserve"> ADDIN EN.CITE &lt;EndNote&gt;&lt;Cite&gt;&lt;Author&gt;Abrahamsson&lt;/Author&gt;&lt;Year&gt;2007&lt;/Year&gt;&lt;RecNum&gt;1683&lt;/RecNum&gt;&lt;DisplayText&gt;&lt;style face="superscript" font="Trebuchet MS" size="9"&gt;246&lt;/style&gt;&lt;/DisplayText&gt;&lt;record&gt;&lt;rec-number&gt;1683&lt;/rec-number&gt;&lt;foreign-keys&gt;&lt;key app="EN" db-id="exvasrfx2dtraoesasxp2szsxa2df502592x" timestamp="1581832076"&gt;1683&lt;/key&gt;&lt;/foreign-keys&gt;&lt;ref-type name="Journal Article"&gt;17&lt;/ref-type&gt;&lt;contributors&gt;&lt;authors&gt;&lt;author&gt;Abrahamsson, T. R.&lt;/author&gt;&lt;author&gt;Jakobsson, T.&lt;/author&gt;&lt;author&gt;Bottcher, M. F.&lt;/author&gt;&lt;author&gt;Fredrikson, M.&lt;/author&gt;&lt;author&gt;Jenmalm, M. C.&lt;/author&gt;&lt;author&gt;Bjorksten, B.&lt;/author&gt;&lt;author&gt;Oldaeus, G.&lt;/author&gt;&lt;/authors&gt;&lt;/contributors&gt;&lt;auth-address&gt;Department of Molecular and Clinical Medicine, Division of Pediatrics, Linkoping University, Sweden. Thomas.Abrahamsson@lio.se&lt;/auth-address&gt;&lt;titles&gt;&lt;title&gt;Probiotics in prevention of IgE-associated eczema: a double-blind, randomized, placebo-controlled trial&lt;/title&gt;&lt;secondary-title&gt;J Allergy Clin Immunol&lt;/secondary-title&gt;&lt;/titles&gt;&lt;periodical&gt;&lt;full-title&gt;J Allergy Clin Immunol&lt;/full-title&gt;&lt;/periodical&gt;&lt;pages&gt;1174-80&lt;/pages&gt;&lt;volume&gt;119&lt;/volume&gt;&lt;number&gt;5&lt;/number&gt;&lt;edition&gt;2007/03/14&lt;/edition&gt;&lt;keywords&gt;&lt;keyword&gt;Child, Preschool&lt;/keyword&gt;&lt;keyword&gt;Eczema/*prevention &amp;amp; control&lt;/keyword&gt;&lt;keyword&gt;Female&lt;/keyword&gt;&lt;keyword&gt;Humans&lt;/keyword&gt;&lt;keyword&gt;Hypersensitivity/*prevention &amp;amp; control&lt;/keyword&gt;&lt;keyword&gt;Immunoglobulin E/blood&lt;/keyword&gt;&lt;keyword&gt;Infant&lt;/keyword&gt;&lt;keyword&gt;Infant, Newborn&lt;/keyword&gt;&lt;keyword&gt;Lactobacillus reuteri/*immunology&lt;/keyword&gt;&lt;keyword&gt;Male&lt;/keyword&gt;&lt;keyword&gt;Pregnancy&lt;/keyword&gt;&lt;keyword&gt;Probiotics/*therapeutic use&lt;/keyword&gt;&lt;keyword&gt;Skin Tests&lt;/keyword&gt;&lt;/keywords&gt;&lt;dates&gt;&lt;year&gt;2007&lt;/year&gt;&lt;pub-dates&gt;&lt;date&gt;May&lt;/date&gt;&lt;/pub-dates&gt;&lt;/dates&gt;&lt;isbn&gt;0091-6749 (Print)&amp;#xD;0091-6749 (Linking)&lt;/isbn&gt;&lt;accession-num&gt;17349686&lt;/accession-num&gt;&lt;urls&gt;&lt;related-urls&gt;&lt;url&gt;https://www.ncbi.nlm.nih.gov/pubmed/17349686&lt;/url&gt;&lt;/related-urls&gt;&lt;/urls&gt;&lt;electronic-resource-num&gt;10.1016/j.jaci.2007.01.007&lt;/electronic-resource-num&gt;&lt;/record&gt;&lt;/Cite&gt;&lt;/EndNote&gt;</w:instrText>
      </w:r>
      <w:r w:rsidR="00AB21E2">
        <w:fldChar w:fldCharType="separate"/>
      </w:r>
      <w:r w:rsidR="002747EA" w:rsidRPr="002747EA">
        <w:rPr>
          <w:noProof/>
          <w:vertAlign w:val="superscript"/>
        </w:rPr>
        <w:t>246</w:t>
      </w:r>
      <w:r w:rsidR="00AB21E2">
        <w:fldChar w:fldCharType="end"/>
      </w:r>
      <w:r>
        <w:t xml:space="preserve"> Taiwan (</w:t>
      </w:r>
      <w:r w:rsidRPr="00D676D7">
        <w:rPr>
          <w:sz w:val="16"/>
          <w:szCs w:val="16"/>
        </w:rPr>
        <w:t>n=1</w:t>
      </w:r>
      <w:r>
        <w:t>),</w:t>
      </w:r>
      <w:r w:rsidR="00AB21E2">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instrText xml:space="preserve"> ADDIN EN.CITE </w:instrText>
      </w:r>
      <w:r w:rsidR="002747EA">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230</w:t>
      </w:r>
      <w:r w:rsidR="00AB21E2">
        <w:fldChar w:fldCharType="end"/>
      </w:r>
      <w:r>
        <w:t xml:space="preserve"> and the United Kingdom (</w:t>
      </w:r>
      <w:r w:rsidRPr="00D676D7">
        <w:rPr>
          <w:sz w:val="16"/>
          <w:szCs w:val="16"/>
        </w:rPr>
        <w:t>n=1</w:t>
      </w:r>
      <w:r>
        <w:t>)</w:t>
      </w:r>
      <w:r w:rsidR="002D4009">
        <w:t>.</w:t>
      </w:r>
      <w:r w:rsidR="00AB21E2">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instrText xml:space="preserve"> ADDIN EN.CITE </w:instrText>
      </w:r>
      <w:r w:rsidR="002747EA">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231</w:t>
      </w:r>
      <w:r w:rsidR="00AB21E2">
        <w:fldChar w:fldCharType="end"/>
      </w:r>
      <w:r w:rsidR="002D4009">
        <w:t xml:space="preserve"> Study </w:t>
      </w:r>
      <w:r w:rsidR="00E742BB">
        <w:t>sample</w:t>
      </w:r>
      <w:r w:rsidR="00C438AA">
        <w:t xml:space="preserve"> sizes</w:t>
      </w:r>
      <w:r w:rsidR="002D4009">
        <w:t xml:space="preserve"> were </w:t>
      </w:r>
      <w:r w:rsidR="00E742BB">
        <w:t>small with all but one study having a samp</w:t>
      </w:r>
      <w:r w:rsidR="006429D8">
        <w:t>l</w:t>
      </w:r>
      <w:r w:rsidR="00E742BB">
        <w:t>e size of less than 500</w:t>
      </w:r>
      <w:r w:rsidR="00BD067E">
        <w:t xml:space="preserve"> — </w:t>
      </w:r>
      <w:r w:rsidR="002D4009">
        <w:t>≤100 (</w:t>
      </w:r>
      <w:r w:rsidR="002D4009" w:rsidRPr="00D676D7">
        <w:rPr>
          <w:sz w:val="16"/>
          <w:szCs w:val="16"/>
        </w:rPr>
        <w:t>n=</w:t>
      </w:r>
      <w:r w:rsidR="00446960">
        <w:rPr>
          <w:sz w:val="16"/>
          <w:szCs w:val="16"/>
        </w:rPr>
        <w:t>7</w:t>
      </w:r>
      <w:r w:rsidR="002D4009">
        <w:t>),</w:t>
      </w:r>
      <w:r w:rsidR="00E30F0E">
        <w:fldChar w:fldCharType="begin">
          <w:fldData xml:space="preserve">PEVuZE5vdGU+PENpdGU+PEF1dGhvcj5CYWRlaG5vb3NoPC9BdXRob3I+PFllYXI+MjAxODwvWWVh
cj48UmVjTnVtPjE2ODQ8L1JlY051bT48RGlzcGxheVRleHQ+PHN0eWxlIGZhY2U9InN1cGVyc2Ny
aXB0IiBmb250PSJUcmVidWNoZXQgTVMiIHNpemU9IjkiPjIzMCwyMzUsMjM4LDI0Mi0yNDU8L3N0
eWxlPjwvRGlzcGxheVRleHQ+PHJlY29yZD48cmVjLW51bWJlcj4xNjg0PC9yZWMtbnVtYmVyPjxm
b3JlaWduLWtleXM+PGtleSBhcHA9IkVOIiBkYi1pZD0iZXh2YXNyZngyZHRyYW9lc2FzeHAyc3pz
eGEyZGY1MDI1OTJ4IiB0aW1lc3RhbXA9IjE1ODE4MzIwNzYiPjE2ODQ8L2tleT48L2ZvcmVpZ24t
a2V5cz48cmVmLXR5cGUgbmFtZT0iSm91cm5hbCBBcnRpY2xlIj4xNzwvcmVmLXR5cGU+PGNvbnRy
aWJ1dG9ycz48YXV0aG9ycz48YXV0aG9yPkJhZGVobm9vc2gsIEIuPC9hdXRob3I+PGF1dGhvcj5L
YXJhbWFsaSwgTS48L2F1dGhvcj48YXV0aG9yPlphcnJhdGksIE0uPC9hdXRob3I+PGF1dGhvcj5K
YW1pbGlhbiwgTS48L2F1dGhvcj48YXV0aG9yPkJhaG1hbmksIEYuPC9hdXRob3I+PGF1dGhvcj5U
YWphYmFkaS1FYnJhaGltaSwgTS48L2F1dGhvcj48YXV0aG9yPkphZmFyaSwgUC48L2F1dGhvcj48
YXV0aG9yPlJhaG1hbmksIEUuPC9hdXRob3I+PGF1dGhvcj5Bc2VtaSwgWi48L2F1dGhvcj48L2F1
dGhvcnM+PC9jb250cmlidXRvcnM+PGF1dGgtYWRkcmVzcz5hIERlcGFydG1lbnQgb2YgR3luZWNv
bG9neSBhbmQgT2JzdGV0cmljcyAsIFNjaG9vbCBvZiBNZWRpY2luZSwgQWxib3J6IFVuaXZlcnNp
dHkgb2YgTWVkaWNhbCBTY2llbmNlcyAsIEthcmFqICwgSXJhbi4mI3hEO2IgRGVwYXJ0bWVudCBv
ZiBHeW5lY29sb2d5IGFuZCBPYnN0ZXRyaWNzICwgU2Nob29sIG9mIE1lZGljaW5lLCBJcmFuIFVu
aXZlcnNpdHkgb2YgTWVkaWNhbCBTY2llbmNlcyAsIFRlaHJhbiAsIElyYW4uJiN4RDtjIEZhY3Vs
dHkgb2YgTnV0cml0aW9uICwgU2Nob29sIG9mIFB1YmxpYyBIZWFsdGgsIElyYW4gVW5pdmVyc2l0
eSBvZiBNZWRpY2FsIFNjaWVuY2VzICwgVGVocmFuICwgSXJhbi4mI3hEO2QgRW5kb2NyaW5vbG9n
eSBhbmQgTWV0YWJvbGlzbSBSZXNlYXJjaCBDZW50ZXIsIEFyYWsgVW5pdmVyc2l0eSBvZiBNZWRp
Y2FsIFNjaWVuY2VzICwgQXJhayAsIElyYW4uJiN4RDtlIFJlc2VhcmNoIENlbnRlciBmb3IgQmlv
Y2hlbWlzdHJ5IGFuZCBOdXRyaXRpb24gaW4gTWV0YWJvbGljIERpc2Vhc2VzLCBLYXNoYW4gVW5p
dmVyc2l0eSBvZiBNZWRpY2FsIFNjaWVuY2VzICwgS2FzaGFuICwgSXJhbi4mI3hEO2YgRmFjdWx0
eSBtZW1iZXIgb2YgU2NpZW5jZSBkZXBhcnRtZW50LCBTY2llbmNlIGZhY3VsdHkgLCBJc2xhbWlj
IEF6YWQgVW5pdmVyc2l0eSAsIFRlaHJhbiAsIElyYW4uJiN4RDtnIERlcGFydG1lbnQgb2YgTWlj
cm9iaW9sb2d5LCBTY2llbmNlIGZhY3VsdHkgLCBJc2xhbWljIEF6YWQgVW5pdmVyc2l0eSAsIEFy
YWsgLCBJcmFuLiYjeEQ7aCBEZXBhcnRtZW50IG9mIEd5bmVjb2xvZ3kgYW5kIE9ic3RldHJpY3Mg
LCBTY2hvb2wgb2YgTWVkaWNpbmUsIEJ1c2hlaHIgVW5pdmVyc2l0eSBvZiBNZWRpY2FsIFNjaWVu
Y2VzICwgQnVzaGVociAsIElyYW4uPC9hdXRoLWFkZHJlc3M+PHRpdGxlcz48dGl0bGU+VGhlIGVm
ZmVjdHMgb2YgcHJvYmlvdGljIHN1cHBsZW1lbnRhdGlvbiBvbiBiaW9tYXJrZXJzIG9mIGluZmxh
bW1hdGlvbiwgb3hpZGF0aXZlIHN0cmVzcyBhbmQgcHJlZ25hbmN5IG91dGNvbWVzIGluIGdlc3Rh
dGlvbmFsIGRpYWJldGVzPC90aXRsZT48c2Vjb25kYXJ5LXRpdGxlPkogTWF0ZXJuIEZldGFsIE5l
b25hdGFsIE1lZDwvc2Vjb25kYXJ5LXRpdGxlPjwvdGl0bGVzPjxwZXJpb2RpY2FsPjxmdWxsLXRp
dGxlPkogTWF0ZXJuIEZldGFsIE5lb25hdGFsIE1lZDwvZnVsbC10aXRsZT48L3BlcmlvZGljYWw+
PHBhZ2VzPjExMjgtMTEzNjwvcGFnZXM+PHZvbHVtZT4zMTwvdm9sdW1lPjxudW1iZXI+OTwvbnVt
YmVyPjxlZGl0aW9uPjIwMTcvMDMvMjM8L2VkaXRpb24+PGtleXdvcmRzPjxrZXl3b3JkPkFkdWx0
PC9rZXl3b3JkPjxrZXl3b3JkPkJpb21hcmtlcnMvKmJsb29kPC9rZXl3b3JkPjxrZXl3b3JkPkJs
b29kIEdsdWNvc2UvYW5hbHlzaXM8L2tleXdvcmQ+PGtleXdvcmQ+Qy1SZWFjdGl2ZSBQcm90ZWlu
L2FuYWx5c2lzPC9rZXl3b3JkPjxrZXl3b3JkPkRpYWJldGVzLCBHZXN0YXRpb25hbC8qYmxvb2Q8
L2tleXdvcmQ+PGtleXdvcmQ+RGlldGFyeSBTdXBwbGVtZW50czwva2V5d29yZD48a2V5d29yZD5E
b3VibGUtQmxpbmQgTWV0aG9kPC9rZXl3b3JkPjxrZXl3b3JkPkZlbWFsZTwva2V5d29yZD48a2V5
d29yZD5IdW1hbnM8L2tleXdvcmQ+PGtleXdvcmQ+SW5mbGFtbWF0aW9uLypibG9vZDwva2V5d29y
ZD48a2V5d29yZD5NYWxvbmRpYWxkZWh5ZGUvYmxvb2Q8L2tleXdvcmQ+PGtleXdvcmQ+T3hpZGF0
aXZlIFN0cmVzcy8qcGh5c2lvbG9neTwva2V5d29yZD48a2V5d29yZD5QbGFjZWJvczwva2V5d29y
ZD48a2V5d29yZD5QcmVnbmFuY3k8L2tleXdvcmQ+PGtleXdvcmQ+KlByZWduYW5jeSBPdXRjb21l
PC9rZXl3b3JkPjxrZXl3b3JkPlByb2Jpb3RpY3MvKmFkbWluaXN0cmF0aW9uICZhbXA7IGRvc2Fn
ZTwva2V5d29yZD48a2V5d29yZD5Qcm9iaW90aWMgc3VwcGxlbWVudGF0aW9uPC9rZXl3b3JkPjxr
ZXl3b3JkPmdlc3RhdGlvbmFsIGRpYWJldGVzPC9rZXl3b3JkPjxrZXl3b3JkPnByZWduYW50IHdv
bWVuPC9rZXl3b3JkPjwva2V5d29yZHM+PGRhdGVzPjx5ZWFyPjIwMTg8L3llYXI+PHB1Yi1kYXRl
cz48ZGF0ZT5NYXk8L2RhdGU+PC9wdWItZGF0ZXM+PC9kYXRlcz48aXNibj4xNDc2LTQ5NTQgKEVs
ZWN0cm9uaWMpJiN4RDsxNDc2LTQ5NTQgKExpbmtpbmcpPC9pc2JuPjxhY2Nlc3Npb24tbnVtPjI4
MzI2ODgxPC9hY2Nlc3Npb24tbnVtPjx1cmxzPjxyZWxhdGVkLXVybHM+PHVybD5odHRwczovL3d3
dy5uY2JpLm5sbS5uaWguZ292L3B1Ym1lZC8yODMyNjg4MTwvdXJsPjwvcmVsYXRlZC11cmxzPjwv
dXJscz48ZWxlY3Ryb25pYy1yZXNvdXJjZS1udW0+MTAuMTA4MC8xNDc2NzA1OC4yMDE3LjEzMTAx
OTM8L2VsZWN0cm9uaWMtcmVzb3VyY2UtbnVtPjwvcmVjb3JkPjwvQ2l0ZT48Q2l0ZT48QXV0aG9y
PkRvbGF0a2hhaDwvQXV0aG9yPjxZZWFyPjIwMTU8L1llYXI+PFJlY051bT4xNjg1PC9SZWNOdW0+
PHJlY29yZD48cmVjLW51bWJlcj4xNjg1PC9yZWMtbnVtYmVyPjxmb3JlaWduLWtleXM+PGtleSBh
cHA9IkVOIiBkYi1pZD0iZXh2YXNyZngyZHRyYW9lc2FzeHAyc3pzeGEyZGY1MDI1OTJ4IiB0aW1l
c3RhbXA9IjE1ODE4MzIwNzYiPjE2ODU8L2tleT48L2ZvcmVpZ24ta2V5cz48cmVmLXR5cGUgbmFt
ZT0iSm91cm5hbCBBcnRpY2xlIj4xNzwvcmVmLXR5cGU+PGNvbnRyaWJ1dG9ycz48YXV0aG9ycz48
YXV0aG9yPkRvbGF0a2hhaCwgTi48L2F1dGhvcj48YXV0aG9yPkhhamlmYXJhamksIE0uPC9hdXRo
b3I+PGF1dGhvcj5BYmJhc2FsaXphZGVoLCBGLjwvYXV0aG9yPjxhdXRob3I+QWdoYW1vaGFtbWFk
emFkZWgsIE4uPC9hdXRob3I+PGF1dGhvcj5NZWhyYWJpLCBZLjwvYXV0aG9yPjxhdXRob3I+QWJi
YXNpLCBNLiBNLjwvYXV0aG9yPjwvYXV0aG9ycz48L2NvbnRyaWJ1dG9ycz48YXV0aC1hZGRyZXNz
PkRlcGFydG1lbnQgb2YgTnV0cml0aW9uIFNjaWVuY2VzLCBTaGFoaWQgQmVoZXNodGkgVW5pdmVy
c2l0eSBvZiBNZWRpY2FsIFNjaWVuY2VzIChTQlVNUyksIEludGVybmF0aW9uYWwgQnJhbmNoLCB0
ZWhyYW4sIGlyYW4uIG5lZGEuZG9sYXRraGFoYkBnbWFpbC5jb20uJiN4RDtOdXRyaXRpb24gU29j
aWV0eSwgTmF0aW9uYWwgTnV0cml0aW9uIGFuZCBGb29kIFRlY2hub2xvZ3kgUmVzZWFyY2ggSW5z
dGl0dXRlLCBGYWN1bHR5IG9mIE51dHJpdGlvbiBhbmQgRm9vZCBUZWNobm9sb2d5LCBCZWhlc2h0
aSBVbml2ZXJzaXR5IG9mIE1lZGljYWwgU2NpZW5jZXMsIEJhcmFuIDMsIFdlc3QgQXJnaGF2YW4s
IEZhcmFoemFkaSBCbHZkLiwgU2hhaHJhayBRb2RzLCAxOTM5NS00NzQxLCBpc3RhbmJ1bCwgMTk4
MTYxOTU3MywgdHVya2V5LiBtLmhhamlmYXJhamlAbm5mdHJpLmFjLmlyLiYjeEQ7RGVwYXJ0bWVu
dCBvZiBPYnN0ZXRyaWNzICZhbXA7IEd5bmVjb2xvZ3ksIFRhYnJpeiBVbml2ZXJzaXR5IG9mIE1l
ZGljYWwgU2NpZW5jZXMsIHRhYnJpeiwgaXJhbi4gZmF0ZW1laC5hYmFzYWxpemFkZWhAeWFob28u
Y29tLiYjeEQ7U2VjdGlvbiBvZiBFbmRvY3Jpbm9sb2d5ICZhbXA7IE1ldGFib2xpc20sIERlcGFy
dG1lbnQgb2YgSW50ZXJuYWwgTWVkaWNpbmUsIFRhYnJpeiBVbml2ZXJzaXR5IG9mIE1lZGljYWwg
U2NpZW5jZXMsIFRhYnJpeiwgSXJhbi4gbmFzZXIuYWdoYW1vaGFtbWFkemFkZWhAeWFob28uY29t
LiYjeEQ7RGVwYXJ0bWVudCBvZiBCaW9zdGF0aXN0aWNzICZhbXA7IEVwaWRlbWlvbG9neSwgU2hh
aGlkIEJlaGVzaHRpIFVuaXZlcnNpdHkgb2YgTWVkaWNhbCBTY2llbmNlcywgVGVocmFuLCBJcmFu
LiB5YWRvbGxhaC5tZWhyYWJpYkBnbWFpbC5jb20uJiN4RDtEcnVnIEFwcGxpZWQgUmVzZWFyY2gg
Q2VudGVyLCBUYWJyaXogVW5pdmVyc2l0eSBvZiBNZWRpY2FsIFNjaWVuY2VzLCBUYWJyaXosIEly
YW4uIG1laHJhbi5tZXNnYXJpYWJiYXNpQGdtYWlsLmNvbS48L2F1dGgtYWRkcmVzcz48dGl0bGVz
Pjx0aXRsZT5JcyB0aGVyZSBhIHZhbHVlIGZvciBwcm9iaW90aWMgc3VwcGxlbWVudHMgaW4gZ2Vz
dGF0aW9uYWwgZGlhYmV0ZXMgbWVsbGl0dXM/IEEgcmFuZG9taXplZCBjbGluaWNhbCB0cmlhbDwv
dGl0bGU+PHNlY29uZGFyeS10aXRsZT5KIEhlYWx0aCBQb3B1bCBOdXRyPC9zZWNvbmRhcnktdGl0
bGU+PC90aXRsZXM+PHBlcmlvZGljYWw+PGZ1bGwtdGl0bGU+SiBIZWFsdGggUG9wdWwgTnV0cjwv
ZnVsbC10aXRsZT48L3BlcmlvZGljYWw+PHBhZ2VzPjI1PC9wYWdlcz48dm9sdW1lPjMzPC92b2x1
bWU+PGVkaXRpb24+MjAxNi8wMS8zMTwvZWRpdGlvbj48a2V5d29yZHM+PGtleXdvcmQ+QWR1bHQ8
L2tleXdvcmQ+PGtleXdvcmQ+QW50aS1PYmVzaXR5IEFnZW50cy8qdGhlcmFwZXV0aWMgdXNlPC9r
ZXl3b3JkPjxrZXl3b3JkPkJpZmlkb2JhY3Rlcml1bSBhbmltYWxpcy9ncm93dGggJmFtcDsgZGV2
ZWxvcG1lbnQ8L2tleXdvcmQ+PGtleXdvcmQ+Qmxvb2QgR2x1Y29zZS9hbmFseXNpczwva2V5d29y
ZD48a2V5d29yZD5EaWFiZXRlcywgR2VzdGF0aW9uYWwvYmxvb2QvKmRpZXQgdGhlcmFweS9tZXRh
Ym9saXNtPC9rZXl3b3JkPjxrZXl3b3JkPkRpZXQsIERpYWJldGljPC9rZXl3b3JkPjxrZXl3b3Jk
PkRvdWJsZS1CbGluZCBNZXRob2Q8L2tleXdvcmQ+PGtleXdvcmQ+RmVtYWxlPC9rZXl3b3JkPjxr
ZXl3b3JkPkh1bWFuczwva2V5d29yZD48a2V5d29yZD5IeXBlcmdseWNlbWlhLypwcmV2ZW50aW9u
ICZhbXA7IGNvbnRyb2w8L2tleXdvcmQ+PGtleXdvcmQ+SHlwb2dseWNlbWljIEFnZW50cy8qdGhl
cmFwZXV0aWMgdXNlPC9rZXl3b3JkPjxrZXl3b3JkPipJbnN1bGluIFJlc2lzdGFuY2U8L2tleXdv
cmQ+PGtleXdvcmQ+SXJhbjwva2V5d29yZD48a2V5d29yZD5MYWN0b2JhY2lsbHVzIGFjaWRvcGhp
bHVzL2dyb3d0aCAmYW1wOyBkZXZlbG9wbWVudDwva2V5d29yZD48a2V5d29yZD5MYWN0b2JhY2ls
bHVzIGRlbGJydWVja2lpL2dyb3d0aCAmYW1wOyBkZXZlbG9wbWVudDwva2V5d29yZD48a2V5d29y
ZD4qTWF0ZXJuYWwgTnV0cml0aW9uYWwgUGh5c2lvbG9naWNhbCBQaGVub21lbmE8L2tleXdvcmQ+
PGtleXdvcmQ+UHJlZ25hbmN5PC9rZXl3b3JkPjxrZXl3b3JkPlByZWduYW5jeSBUcmltZXN0ZXIs
IFRoaXJkPC9rZXl3b3JkPjxrZXl3b3JkPlByb2Jpb3RpY3MvKnRoZXJhcGV1dGljIHVzZTwva2V5
d29yZD48a2V5d29yZD5TdHJlcHRvY29jY3VzIHRoZXJtb3BoaWx1cy9ncm93dGggJmFtcDsgZGV2
ZWxvcG1lbnQ8L2tleXdvcmQ+PGtleXdvcmQ+V2VpZ2h0IEdhaW48L2tleXdvcmQ+PGtleXdvcmQ+
WW91bmcgQWR1bHQ8L2tleXdvcmQ+PC9rZXl3b3Jkcz48ZGF0ZXM+PHllYXI+MjAxNTwveWVhcj48
cHViLWRhdGVzPjxkYXRlPk5vdiAyNTwvZGF0ZT48L3B1Yi1kYXRlcz48L2RhdGVzPjxpc2JuPjIw
NzItMTMxNSAoRWxlY3Ryb25pYykmI3hEOzE2MDYtMDk5NyAoTGlua2luZyk8L2lzYm4+PGFjY2Vz
c2lvbi1udW0+MjY4MjU2NjY8L2FjY2Vzc2lvbi1udW0+PHVybHM+PHJlbGF0ZWQtdXJscz48dXJs
Pmh0dHBzOi8vd3d3Lm5jYmkubmxtLm5paC5nb3YvcHVibWVkLzI2ODI1NjY2PC91cmw+PC9yZWxh
dGVkLXVybHM+PC91cmxzPjxjdXN0b20yPlBNQzUwMjYwMTg8L2N1c3RvbTI+PGVsZWN0cm9uaWMt
cmVzb3VyY2UtbnVtPjEwLjExODYvczQxMDQzLTAxNS0wMDM0LTk8L2VsZWN0cm9uaWMtcmVzb3Vy
Y2UtbnVtPjwvcmVjb3JkPjwvQ2l0ZT48Q2l0ZT48QXV0aG9yPkhvPC9BdXRob3I+PFllYXI+MjAx
NjwvWWVhcj48UmVjTnVtPjE2NTY8L1JlY051bT48cmVjb3JkPjxyZWMtbnVtYmVyPjE2NTY8L3Jl
Yy1udW1iZXI+PGZvcmVpZ24ta2V5cz48a2V5IGFwcD0iRU4iIGRiLWlkPSJleHZhc3JmeDJkdHJh
b2VzYXN4cDJzenN4YTJkZjUwMjU5MngiIHRpbWVzdGFtcD0iMTU4MTMxMjc1MSI+MTY1Njwva2V5
PjxrZXkgYXBwPSJFTldlYiIgZGItaWQ9IiI+MDwva2V5PjwvZm9yZWlnbi1rZXlzPjxyZWYtdHlw
ZSBuYW1lPSJKb3VybmFsIEFydGljbGUiPjE3PC9yZWYtdHlwZT48Y29udHJpYnV0b3JzPjxhdXRo
b3JzPjxhdXRob3I+SG8sIE0uPC9hdXRob3I+PGF1dGhvcj5DaGFuZywgWS4gWS48L2F1dGhvcj48
YXV0aG9yPkNoYW5nLCBXLiBDLjwvYXV0aG9yPjxhdXRob3I+TGluLCBILiBDLjwvYXV0aG9yPjxh
dXRob3I+V2FuZywgTS4gSC48L2F1dGhvcj48YXV0aG9yPkxpbiwgVy4gQy48L2F1dGhvcj48YXV0
aG9yPkNoaXUsIFQuIEguPC9hdXRob3I+PC9hdXRob3JzPjwvY29udHJpYnV0b3JzPjxhdXRoLWFk
ZHJlc3M+RGVwYXJ0bWVudCBvZiBPYnN0ZXRyaWNzIGFuZCBHeW5lY29sb2d5LCBDaGluYSBNZWRp
Y2FsIFVuaXZlcnNpdHkgSG9zcGl0YWwsIENoaW5hIE1lZGljYWwgVW5pdmVyc2l0eSwgVGFpY2h1
bmcgNDA0MDIsIFRhaXdhbi4mI3hEO0RlcGFydG1lbnQgb2YgUGVkaWF0cmljcywgQ2hpbmEgTWVk
aWNhbCBVbml2ZXJzaXR5IEhvc3BpdGFsLCBDaGluYSBNZWRpY2FsIFVuaXZlcnNpdHksIFRhaWNo
dW5nIDQwNDAyLCBUYWl3YW4uJiN4RDtEZXBhcnRtZW50IG9mIE9ic3RldHJpY3MgYW5kIEd5bmVj
b2xvZ3ksIENoaW5hIE1lZGljYWwgVW5pdmVyc2l0eSBIb3NwaXRhbCwgQ2hpbmEgTWVkaWNhbCBV
bml2ZXJzaXR5LCBUYWljaHVuZyA0MDQwMiwgVGFpd2FuLiBFbGVjdHJvbmljIGFkZHJlc3M6IGQ0
Nzk4QG1haWwuY211aC5vcmcudHcuPC9hdXRoLWFkZHJlc3M+PHRpdGxlcz48dGl0bGU+T3JhbCBM
YWN0b2JhY2lsbHVzIHJoYW1ub3N1cyBHUi0xIGFuZCBMYWN0b2JhY2lsbHVzIHJldXRlcmkgUkMt
MTQgdG8gcmVkdWNlIEdyb3VwIEIgU3RyZXB0b2NvY2N1cyBjb2xvbml6YXRpb24gaW4gcHJlZ25h
bnQgd29tZW46IEEgcmFuZG9taXplZCBjb250cm9sbGVkIHRyaWFsPC90aXRsZT48c2Vjb25kYXJ5
LXRpdGxlPlRhaXdhbiBKIE9ic3RldCBHeW5lY29sPC9zZWNvbmRhcnktdGl0bGU+PC90aXRsZXM+
PHBlcmlvZGljYWw+PGZ1bGwtdGl0bGU+VGFpd2FuIEogT2JzdGV0IEd5bmVjb2w8L2Z1bGwtdGl0
bGU+PC9wZXJpb2RpY2FsPjxwYWdlcz41MTUtODwvcGFnZXM+PHZvbHVtZT41NTwvdm9sdW1lPjxu
dW1iZXI+NDwvbnVtYmVyPjxlZGl0aW9uPjIwMTYvMDkvMDQ8L2VkaXRpb24+PGtleXdvcmRzPjxr
ZXl3b3JkPkFkdWx0PC9rZXl3b3JkPjxrZXl3b3JkPkRvdWJsZS1CbGluZCBNZXRob2Q8L2tleXdv
cmQ+PGtleXdvcmQ+RmVtYWxlPC9rZXl3b3JkPjxrZXl3b3JkPkh1bWFuczwva2V5d29yZD48a2V5
d29yZD5JbmZlY3Rpb3VzIERpc2Vhc2UgVHJhbnNtaXNzaW9uLCBWZXJ0aWNhbC9wcmV2ZW50aW9u
ICZhbXA7IGNvbnRyb2w8L2tleXdvcmQ+PGtleXdvcmQ+KkxhY3RvYmFjaWxsdXMgcmV1dGVyaTwv
a2V5d29yZD48a2V5d29yZD4qTGFjdG9iYWNpbGx1cyByaGFtbm9zdXM8L2tleXdvcmQ+PGtleXdv
cmQ+UHJlZ25hbmN5PC9rZXl3b3JkPjxrZXl3b3JkPipQcmVnbmFuY3kgVHJpbWVzdGVyLCBUaGly
ZDwva2V5d29yZD48a2V5d29yZD5Qcm9iaW90aWNzLyp0aGVyYXBldXRpYyB1c2U8L2tleXdvcmQ+
PGtleXdvcmQ+UHJvc3BlY3RpdmUgU3R1ZGllczwva2V5d29yZD48a2V5d29yZD5SZWN0dW0vbWlj
cm9iaW9sb2d5PC9rZXl3b3JkPjxrZXl3b3JkPlN0cmVwdG9jb2NjYWwgSW5mZWN0aW9ucy9taWNy
b2Jpb2xvZ3kvcHJldmVudGlvbiAmYW1wOyBjb250cm9sL3RyYW5zbWlzc2lvbjwva2V5d29yZD48
a2V5d29yZD5TdHJlcHRvY29jY3VzIGFnYWxhY3RpYWUvKmdyb3d0aCAmYW1wOyBkZXZlbG9wbWVu
dDwva2V5d29yZD48a2V5d29yZD5WYWdpbmEvbWljcm9iaW9sb2d5PC9rZXl3b3JkPjxrZXl3b3Jk
PipHQlMgY29sb25pemF0aW9uPC9rZXl3b3JkPjxrZXl3b3JkPipHQlMgaW5mZWN0aW9uPC9rZXl3
b3JkPjxrZXl3b3JkPippbnRyYXBhcnR1bSBhbnRpYmlvdGljPC9rZXl3b3JkPjxrZXl3b3JkPipv
cmFsIHByb2Jpb3RpY3M8L2tleXdvcmQ+PC9rZXl3b3Jkcz48ZGF0ZXM+PHllYXI+MjAxNjwveWVh
cj48cHViLWRhdGVzPjxkYXRlPkF1ZzwvZGF0ZT48L3B1Yi1kYXRlcz48L2RhdGVzPjxpc2JuPjE4
NzUtNjI2MyAoRWxlY3Ryb25pYykmI3hEOzEwMjgtNDU1OSAoTGlua2luZyk8L2lzYm4+PGFjY2Vz
c2lvbi1udW0+Mjc1OTAzNzQ8L2FjY2Vzc2lvbi1udW0+PHVybHM+PHJlbGF0ZWQtdXJscz48dXJs
Pmh0dHBzOi8vd3d3Lm5jYmkubmxtLm5paC5nb3YvcHVibWVkLzI3NTkwMzc0PC91cmw+PC9yZWxh
dGVkLXVybHM+PC91cmxzPjxlbGVjdHJvbmljLXJlc291cmNlLW51bT4xMC4xMDE2L2oudGpvZy4y
MDE2LjA2LjAwMzwvZWxlY3Ryb25pYy1yZXNvdXJjZS1udW0+PC9yZWNvcmQ+PC9DaXRlPjxDaXRl
PjxBdXRob3I+SmFmYXJuZWphZDwvQXV0aG9yPjxZZWFyPjIwMTY8L1llYXI+PFJlY051bT4xNjg3
PC9SZWNOdW0+PHJlY29yZD48cmVjLW51bWJlcj4xNjg3PC9yZWMtbnVtYmVyPjxmb3JlaWduLWtl
eXM+PGtleSBhcHA9IkVOIiBkYi1pZD0iZXh2YXNyZngyZHRyYW9lc2FzeHAyc3pzeGEyZGY1MDI1
OTJ4IiB0aW1lc3RhbXA9IjE1ODE4MzIwNzYiPjE2ODc8L2tleT48L2ZvcmVpZ24ta2V5cz48cmVm
LXR5cGUgbmFtZT0iSm91cm5hbCBBcnRpY2xlIj4xNzwvcmVmLXR5cGU+PGNvbnRyaWJ1dG9ycz48
YXV0aG9ycz48YXV0aG9yPkphZmFybmVqYWQsIFMuPC9hdXRob3I+PGF1dGhvcj5TYXJlbWksIFMu
PC9hdXRob3I+PGF1dGhvcj5KYWZhcm5lamFkLCBGLjwvYXV0aG9yPjxhdXRob3I+QXJhYiwgQS48
L2F1dGhvcj48L2F1dGhvcnM+PC9jb250cmlidXRvcnM+PGF1dGgtYWRkcmVzcz5EZXBhcnRtZW50
IG9mIENsaW5pY2FsIE51dHJpdGlvbiwgU2Nob29sIG9mIE51dHJpdGlvbmFsIFNjaWVuY2VzIGFu
ZCBEaWV0ZXRpYywgVGVocmFuIFVuaXZlcnNpdHkgb2YgTWVkaWNhbCBTY2llbmNlcywgUC5PLiBC
b3ggMTQxNTUtNjExNywgVGVocmFuLCBJcmFuLiYjeEQ7RGVwYXJ0bWVudCBvZiBQdWJsaWMgSGVh
bHRoLCBJc2ZhaGFuIFVuaXZlcnNpdHkgb2YgTWVkaWNhbCBTY2llbmNlcywgSXNmYWhhbiwgSXJh
bi4mI3hEO0RlcGFydG1lbnQgb2YgSGVhbHRoIEluZm9ybWF0aW9uIE1hbmFnZW1lbnQsIE1hemFu
ZGFyYW4gVW5pdmVyc2l0eSBvZiBNZWRpY2FsIFNjaWVuY2VzLCBTYXJpLCBJcmFuLiYjeEQ7RGVw
YXJ0bWVudCBvZiBDb21tdW5pdHkgTnV0cml0aW9uLCBTY2hvb2wgb2YgTnV0cml0aW9uIGFuZCBG
b29kIFNjaWVuY2UsIElzZmFoYW4gVW5pdmVyc2l0eSBvZiBNZWRpY2FsIFNjaWVuY2VzLCBJc2Zh
aGFuLCBJcmFuLjwvYXV0aC1hZGRyZXNzPjx0aXRsZXM+PHRpdGxlPkVmZmVjdHMgb2YgYSBNdWx0
aXNwZWNpZXMgUHJvYmlvdGljIE1peHR1cmUgb24gR2x5Y2VtaWMgQ29udHJvbCBhbmQgSW5mbGFt
bWF0b3J5IFN0YXR1cyBpbiBXb21lbiB3aXRoIEdlc3RhdGlvbmFsIERpYWJldGVzOiBBIFJhbmRv
bWl6ZWQgQ29udHJvbGxlZCBDbGluaWNhbCBUcmlhbDwvdGl0bGU+PHNlY29uZGFyeS10aXRsZT5K
IE51dHIgTWV0YWI8L3NlY29uZGFyeS10aXRsZT48L3RpdGxlcz48cGVyaW9kaWNhbD48ZnVsbC10
aXRsZT5KIE51dHIgTWV0YWI8L2Z1bGwtdGl0bGU+PC9wZXJpb2RpY2FsPjxwYWdlcz41MTkwODQ2
PC9wYWdlcz48dm9sdW1lPjIwMTY8L3ZvbHVtZT48ZWRpdGlvbj4yMDE2LzA3LzE5PC9lZGl0aW9u
PjxkYXRlcz48eWVhcj4yMDE2PC95ZWFyPjwvZGF0ZXM+PGlzYm4+MjA5MC0wNzI0IChQcmludCkm
I3hEOzIwOTAtMDcyNCAoTGlua2luZyk8L2lzYm4+PGFjY2Vzc2lvbi1udW0+Mjc0Mjk4MDM8L2Fj
Y2Vzc2lvbi1udW0+PHVybHM+PHJlbGF0ZWQtdXJscz48dXJsPmh0dHBzOi8vd3d3Lm5jYmkubmxt
Lm5paC5nb3YvcHVibWVkLzI3NDI5ODAzPC91cmw+PC9yZWxhdGVkLXVybHM+PC91cmxzPjxjdXN0
b20yPlBNQzQ5MzkxOTM8L2N1c3RvbTI+PGVsZWN0cm9uaWMtcmVzb3VyY2UtbnVtPjEwLjExNTUv
MjAxNi81MTkwODQ2PC9lbGVjdHJvbmljLXJlc291cmNlLW51bT48L3JlY29yZD48L0NpdGU+PENp
dGU+PEF1dGhvcj5LYXJhbWFsaTwvQXV0aG9yPjxZZWFyPjIwMTY8L1llYXI+PFJlY051bT4xNjg5
PC9SZWNOdW0+PHJlY29yZD48cmVjLW51bWJlcj4xNjg5PC9yZWMtbnVtYmVyPjxmb3JlaWduLWtl
eXM+PGtleSBhcHA9IkVOIiBkYi1pZD0iZXh2YXNyZngyZHRyYW9lc2FzeHAyc3pzeGEyZGY1MDI1
OTJ4IiB0aW1lc3RhbXA9IjE1ODE4MzIwNzYiPjE2ODk8L2tleT48L2ZvcmVpZ24ta2V5cz48cmVm
LXR5cGUgbmFtZT0iSm91cm5hbCBBcnRpY2xlIj4xNzwvcmVmLXR5cGU+PGNvbnRyaWJ1dG9ycz48
YXV0aG9ycz48YXV0aG9yPkthcmFtYWxpLCBNLjwvYXV0aG9yPjxhdXRob3I+RGFka2hhaCwgRi48
L2F1dGhvcj48YXV0aG9yPlNhZHJraGFubG91LCBNLjwvYXV0aG9yPjxhdXRob3I+SmFtaWxpYW4s
IE0uPC9hdXRob3I+PGF1dGhvcj5BaG1hZGksIFMuPC9hdXRob3I+PGF1dGhvcj5UYWphYmFkaS1F
YnJhaGltaSwgTS48L2F1dGhvcj48YXV0aG9yPkphZmFyaSwgUC48L2F1dGhvcj48YXV0aG9yPkFz
ZW1pLCBaLjwvYXV0aG9yPjwvYXV0aG9ycz48L2NvbnRyaWJ1dG9ycz48YXV0aC1hZGRyZXNzPkRl
cGFydG1lbnQgb2YgZ3luZWNvbG9neSBhbmQgb2JzdGV0cmljcywgc2Nob29sIG9mIG1lZGljaW5l
LCBJcmFuIHVuaXZlcnNpdHkgb2YgbWVkaWNhbCBzY2llbmNlcywgVGVocmFuLCBJcmFuLiYjeEQ7
RW5kb2NyaW5vbG9neSBhbmQgbWV0YWJvbGlzbSByZXNlYXJjaCBjZW50ZXIsIGRlcGFydG1lbnQg
b2YgZ3luZWNvbG9neSBhbmQgb2JzdGV0cmljcywgc2Nob29sIG9mIG1lZGljaW5lLCBBcmFrIHVu
aXZlcnNpdHkgb2YgbWVkaWNhbCBzY2llbmNlcywgQXJhaywgSXJhbi4mI3hEO0RlcGFydG1lbnQg
b2YgZ3luZWNvbG9neSBhbmQgb2JzdGV0cmljcywgc2Nob29sIG9mIG1lZGljaW5lLCBJcmFuIHVu
aXZlcnNpdHkgb2YgbWVkaWNhbCBzY2llbmNlcywgVGVocmFuLCBJcmFuOyBEZXBhcnRtZW50IG9m
IGd5bmVjb2xvZ3kgYW5kIG9ic3RldHJpY3MsIHNjaG9vbCBvZiBtZWRpY2luZSwgQnVzaGVociB1
bml2ZXJzaXR5IG9mIG1lZGljYWwgc2NpZW5jZXMsIEJ1c2hlaHIsIElyYW4uJiN4RDtGYWN1bHR5
IG1lbWJlciBvZiBzY2llbmNlIGRlcGFydG1lbnQsIHNjaWVuY2UgZmFjdWx0eSwgSXNsYW1pYyBB
emFkIHVuaXZlcnNpdHksIFRlaHJhbiBDZW50cmFsIGJyYW5jaCwgVGVocmFuLCBJcmFuLiYjeEQ7
RGVwYXJ0bWVudCBvZiBtaWNyb2Jpb2xvZ3ksIHNjaWVuY2UgZmFjdWx0eSwgSXNsYW1pYyBBemFk
IHVuaXZlcnNpdHksIEFyYWsgYnJhbmNoLCBBcmFrLCBJcmFuLiYjeEQ7UmVzZWFyY2ggY2VudGVy
IGZvciBiaW9jaGVtaXN0cnkgYW5kIG51dHJpdGlvbiBpbiBtZXRhYm9saWMgZGlzZWFzZXMsIEth
c2hhbiB1bml2ZXJzaXR5IG9mIG1lZGljYWwgc2NpZW5jZXMsIEthc2hhbiwgSXJhbi4gRWxlY3Ry
b25pYyBhZGRyZXNzOiBhc2VtaV9yQHlhaG9vLmNvbS48L2F1dGgtYWRkcmVzcz48dGl0bGVzPjx0
aXRsZT5FZmZlY3RzIG9mIHByb2Jpb3RpYyBzdXBwbGVtZW50YXRpb24gb24gZ2x5Y2FlbWljIGNv
bnRyb2wgYW5kIGxpcGlkIHByb2ZpbGVzIGluIGdlc3RhdGlvbmFsIGRpYWJldGVzOiBBIHJhbmRv
bWl6ZWQsIGRvdWJsZS1ibGluZCwgcGxhY2Viby1jb250cm9sbGVkIHRyaWFsPC90aXRsZT48c2Vj
b25kYXJ5LXRpdGxlPkRpYWJldGVzIE1ldGFiPC9zZWNvbmRhcnktdGl0bGU+PC90aXRsZXM+PHBl
cmlvZGljYWw+PGZ1bGwtdGl0bGU+RGlhYmV0ZXMgTWV0YWI8L2Z1bGwtdGl0bGU+PC9wZXJpb2Rp
Y2FsPjxwYWdlcz4yMzQtNDE8L3BhZ2VzPjx2b2x1bWU+NDI8L3ZvbHVtZT48bnVtYmVyPjQ8L251
bWJlcj48ZWRpdGlvbj4yMDE2LzA1LzIzPC9lZGl0aW9uPjxrZXl3b3Jkcz48a2V5d29yZD5BZG9s
ZXNjZW50PC9rZXl3b3JkPjxrZXl3b3JkPkFkdWx0PC9rZXl3b3JkPjxrZXl3b3JkPkJsb29kIEds
dWNvc2UvKmRydWcgZWZmZWN0czwva2V5d29yZD48a2V5d29yZD5EaWFiZXRlcywgR2VzdGF0aW9u
YWwvKmJsb29kLypkaWV0IHRoZXJhcHk8L2tleXdvcmQ+PGtleXdvcmQ+RGlldGFyeSBTdXBwbGVt
ZW50czwva2V5d29yZD48a2V5d29yZD5Eb3VibGUtQmxpbmQgTWV0aG9kPC9rZXl3b3JkPjxrZXl3
b3JkPkZlbWFsZTwva2V5d29yZD48a2V5d29yZD5IdW1hbnM8L2tleXdvcmQ+PGtleXdvcmQ+TGFj
dG9iYWNpbGx1cyBhY2lkb3BoaWx1czwva2V5d29yZD48a2V5d29yZD5MaXBpZCBNZXRhYm9saXNt
L2RydWcgZWZmZWN0czwva2V5d29yZD48a2V5d29yZD5MaXBpZHMvKmJsb29kPC9rZXl3b3JkPjxr
ZXl3b3JkPlBsYWNlYm9zPC9rZXl3b3JkPjxrZXl3b3JkPlByZWduYW5jeTwva2V5d29yZD48a2V5
d29yZD5Qcm9iaW90aWNzLyp0aGVyYXBldXRpYyB1c2U8L2tleXdvcmQ+PGtleXdvcmQ+WW91bmcg
QWR1bHQ8L2tleXdvcmQ+PGtleXdvcmQ+Kkdlc3RhdGlvbmFsIGRpYWJldGVzIG1lbGxpdHVzPC9r
ZXl3b3JkPjxrZXl3b3JkPipJbnN1bGluIHJlc2lzdGFuY2U8L2tleXdvcmQ+PGtleXdvcmQ+Kkxp
cGlkIHByb2ZpbGVzPC9rZXl3b3JkPjxrZXl3b3JkPipQcm9iaW90aWMgc3VwcGxlbWVudGF0aW9u
PC9rZXl3b3JkPjwva2V5d29yZHM+PGRhdGVzPjx5ZWFyPjIwMTY8L3llYXI+PHB1Yi1kYXRlcz48
ZGF0ZT5TZXA8L2RhdGU+PC9wdWItZGF0ZXM+PC9kYXRlcz48aXNibj4xODc4LTE3ODAgKEVsZWN0
cm9uaWMpJiN4RDsxMjYyLTM2MzYgKExpbmtpbmcpPC9pc2JuPjxhY2Nlc3Npb24tbnVtPjI3MjA5
NDM5PC9hY2Nlc3Npb24tbnVtPjx1cmxzPjxyZWxhdGVkLXVybHM+PHVybD5odHRwczovL3d3dy5u
Y2JpLm5sbS5uaWguZ292L3B1Ym1lZC8yNzIwOTQzOTwvdXJsPjwvcmVsYXRlZC11cmxzPjwvdXJs
cz48ZWxlY3Ryb25pYy1yZXNvdXJjZS1udW0+MTAuMTAxNi9qLmRpYWJldC4yMDE2LjA0LjAwOTwv
ZWxlY3Ryb25pYy1yZXNvdXJjZS1udW0+PC9yZWNvcmQ+PC9DaXRlPjxDaXRlPjxBdXRob3I+TWFz
dHJvbWFyaW5vPC9BdXRob3I+PFllYXI+MjAxNTwvWWVhcj48UmVjTnVtPjE2OTI8L1JlY051bT48
cmVjb3JkPjxyZWMtbnVtYmVyPjE2OTI8L3JlYy1udW1iZXI+PGZvcmVpZ24ta2V5cz48a2V5IGFw
cD0iRU4iIGRiLWlkPSJleHZhc3JmeDJkdHJhb2VzYXN4cDJzenN4YTJkZjUwMjU5MngiIHRpbWVz
dGFtcD0iMTU4MTgzMjA3NiI+MTY5Mjwva2V5PjwvZm9yZWlnbi1rZXlzPjxyZWYtdHlwZSBuYW1l
PSJKb3VybmFsIEFydGljbGUiPjE3PC9yZWYtdHlwZT48Y29udHJpYnV0b3JzPjxhdXRob3JzPjxh
dXRob3I+TWFzdHJvbWFyaW5vLCBQLjwvYXV0aG9yPjxhdXRob3I+Q2Fwb2JpYW5jbywgRC48L2F1
dGhvcj48YXV0aG9yPk1pY2NoZWxpLCBBLjwvYXV0aG9yPjxhdXRob3I+UHJhdGljbywgRy48L2F1
dGhvcj48YXV0aG9yPkNhbXBhZ25hLCBHLjwvYXV0aG9yPjxhdXRob3I+TGFmb3JnaWEsIE4uPC9h
dXRob3I+PGF1dGhvcj5DYXB1cnNpLCBULjwvYXV0aG9yPjxhdXRob3I+QmFsZGFzc2FycmUsIE0u
IEUuPC9hdXRob3I+PC9hdXRob3JzPjwvY29udHJpYnV0b3JzPjxhdXRoLWFkZHJlc3M+RGVwYXJ0
bWVudCBvZiBQdWJsaWMgSGVhbHRoIGFuZCBJbmZlY3Rpb3VzIERpc2Vhc2VzLCBTZWN0aW9uIG9m
IE1pY3JvYmlvbG9neSwgU2FwaWVuemEgVW5pdmVyc2l0eSwgUGlhenphbGUgQWxkbyBNb3JvIDUs
IEktMDAxODUgUm9tZSwgSXRhbHkuIEVsZWN0cm9uaWMgYWRkcmVzczogcGFvbGEubWFzdHJvbWFy
aW5vQHVuaXJvbWExLml0LiYjeEQ7RGVwYXJ0bWVudCBvZiBQdWJsaWMgSGVhbHRoIGFuZCBJbmZl
Y3Rpb3VzIERpc2Vhc2VzLCBTZWN0aW9uIG9mIE1pY3JvYmlvbG9neSwgU2FwaWVuemEgVW5pdmVy
c2l0eSwgUGlhenphbGUgQWxkbyBNb3JvIDUsIEktMDAxODUgUm9tZSwgSXRhbHkuJiN4RDtEZXBh
cnRtZW50IG9mIENoZW1pc3RyeSwgU2FwaWVuemEgVW5pdmVyc2l0eSwgUGlhenphbGUgQWxkbyBN
b3JvIDUsIEktMDAxODUgUm9tZSwgSXRhbHkuJiN4RDtEZXBhcnRtZW50IG9mIEV4cGVyaW1lbnRh
bCBNZWRpY2luZSwgU2FwaWVuemEgVW5pdmVyc2l0eSwgUGlhenphbGUgQWxkbyBNb3JvIDUsIEkt
MDAxODUgUm9tZSwgSXRhbHkuJiN4RDtEZXBhcnRtZW50IG9mIE1lZGljYWwgU2NpZW5jZSBhbmQg
T25jb2xvZ3ksIFNlY3Rpb24gb2YgTmVvbmF0b2xvZ3kgYW5kIE5JQ1UsIFVuaXZlcnNpdHkgb2Yg
QmFyaSwgUGlhenphIEcuIENlc2FyZSAxMSwgNzAxMjQgQmFyaSwgSXRhbHkuJiN4RDtEZXBhcnRt
ZW50IG9mIE1lZGljYWwgU2NpZW5jZSBhbmQgT25jb2xvZ3ksIFNlY3Rpb24gb2YgR3luYWVjb2xv
Z3kgYW5kIE9ic3RldHJpY3MsIFVuaXZlcnNpdHkgb2YgQmFyaSwgUGlhenphIEcuIENlc2FyZSAx
MSwgNzAxMjQgQmFyaSwgSXRhbHkuPC9hdXRoLWFkZHJlc3M+PHRpdGxlcz48dGl0bGU+QWRtaW5p
c3RyYXRpb24gb2YgYSBtdWx0aXN0cmFpbiBwcm9iaW90aWMgcHJvZHVjdCAoVlNMIzMpIHRvIHdv
bWVuIGluIHRoZSBwZXJpbmF0YWwgcGVyaW9kIGRpZmZlcmVudGlhbGx5IGFmZmVjdHMgYnJlYXN0
IG1pbGsgYmVuZWZpY2lhbCBtaWNyb2Jpb3RhIGluIHJlbGF0aW9uIHRvIG1vZGUgb2YgZGVsaXZl
cnk8L3RpdGxlPjxzZWNvbmRhcnktdGl0bGU+UGhhcm1hY29sIFJlczwvc2Vjb25kYXJ5LXRpdGxl
PjwvdGl0bGVzPjxwZXJpb2RpY2FsPjxmdWxsLXRpdGxlPlBoYXJtYWNvbCBSZXM8L2Z1bGwtdGl0
bGU+PC9wZXJpb2RpY2FsPjxwYWdlcz42My03MDwvcGFnZXM+PHZvbHVtZT45NS05Njwvdm9sdW1l
PjxlZGl0aW9uPjIwMTUvMDQvMDQ8L2VkaXRpb24+PGtleXdvcmRzPjxrZXl3b3JkPkFkbWluaXN0
cmF0aW9uLCBPcmFsPC9rZXl3b3JkPjxrZXl3b3JkPkFkb2xlc2NlbnQ8L2tleXdvcmQ+PGtleXdv
cmQ+QWR1bHQ8L2tleXdvcmQ+PGtleXdvcmQ+QmlmaWRvYmFjdGVyaXVtL2RydWcgZWZmZWN0cy9n
ZW5ldGljczwva2V5d29yZD48a2V5d29yZD5ETkEsIEJhY3RlcmlhbC9pc29sYXRpb24gJmFtcDsg
cHVyaWZpY2F0aW9uPC9rZXl3b3JkPjxrZXl3b3JkPkRlbGl2ZXJ5LCBPYnN0ZXRyaWMvKm1ldGhv
ZHM8L2tleXdvcmQ+PGtleXdvcmQ+RG91YmxlLUJsaW5kIE1ldGhvZDwva2V5d29yZD48a2V5d29y
ZD5GZW1hbGU8L2tleXdvcmQ+PGtleXdvcmQ+SHVtYW5zPC9rZXl3b3JkPjxrZXl3b3JkPkxhY3Rv
YmFjaWxsdXMvZHJ1ZyBlZmZlY3RzL2dlbmV0aWNzPC9rZXl3b3JkPjxrZXl3b3JkPk1pY3JvYmlv
dGEvKmRydWcgZWZmZWN0cy9nZW5ldGljczwva2V5d29yZD48a2V5d29yZD5NaWRkbGUgQWdlZDwv
a2V5d29yZD48a2V5d29yZD5NaWxrLCBIdW1hbi8qbWljcm9iaW9sb2d5PC9rZXl3b3JkPjxrZXl3
b3JkPlBlcmluYXRhbCBDYXJlLyptZXRob2RzPC9rZXl3b3JkPjxrZXl3b3JkPlByZWduYW5jeTwv
a2V5d29yZD48a2V5d29yZD5Qcm9iaW90aWNzLyphZG1pbmlzdHJhdGlvbiAmYW1wOyBkb3NhZ2Uv
cGhhcm1hY29sb2d5PC9rZXl3b3JkPjxrZXl3b3JkPlJlYWwtVGltZSBQb2x5bWVyYXNlIENoYWlu
IFJlYWN0aW9uPC9rZXl3b3JkPjxrZXl3b3JkPllvdW5nIEFkdWx0PC9rZXl3b3JkPjxrZXl3b3Jk
PkJyZWFzdCBtaWxrPC9rZXl3b3JkPjxrZXl3b3JkPk1pbGsgZnVuY3Rpb25hbCBjb21wb25lbnRz
PC9rZXl3b3JkPjxrZXl3b3JkPk1pbGsgbWljcm9iaW90YTwva2V5d29yZD48a2V5d29yZD5Nb2Rl
IG9mIGRlbGl2ZXJ5PC9rZXl3b3JkPjxrZXl3b3JkPlByb2Jpb3RpYzwva2V5d29yZD48L2tleXdv
cmRzPjxkYXRlcz48eWVhcj4yMDE1PC95ZWFyPjxwdWItZGF0ZXM+PGRhdGU+TWF5LUp1bjwvZGF0
ZT48L3B1Yi1kYXRlcz48L2RhdGVzPjxpc2JuPjEwOTYtMTE4NiAoRWxlY3Ryb25pYykmI3hEOzEw
NDMtNjYxOCAoTGlua2luZyk8L2lzYm4+PGFjY2Vzc2lvbi1udW0+MjU4MzY5MjI8L2FjY2Vzc2lv
bi1udW0+PHVybHM+PHJlbGF0ZWQtdXJscz48dXJsPmh0dHBzOi8vd3d3Lm5jYmkubmxtLm5paC5n
b3YvcHVibWVkLzI1ODM2OTIyPC91cmw+PC9yZWxhdGVkLXVybHM+PC91cmxzPjxlbGVjdHJvbmlj
LXJlc291cmNlLW51bT4xMC4xMDE2L2oucGhycy4yMDE1LjAzLjAxMzwvZWxlY3Ryb25pYy1yZXNv
dXJjZS1udW0+PC9yZWNvcmQ+PC9DaXRlPjxDaXRlPjxBdXRob3I+T2xzZW48L0F1dGhvcj48WWVh
cj4yMDE4PC9ZZWFyPjxSZWNOdW0+MTcwOTwvUmVjTnVtPjxyZWNvcmQ+PHJlYy1udW1iZXI+MTcw
OTwvcmVjLW51bWJlcj48Zm9yZWlnbi1rZXlzPjxrZXkgYXBwPSJFTiIgZGItaWQ9ImV4dmFzcmZ4
MmR0cmFvZXNhc3hwMnN6c3hhMmRmNTAyNTkyeCIgdGltZXN0YW1wPSIxNTgyNDk5MTgyIj4xNzA5
PC9rZXk+PC9mb3JlaWduLWtleXM+PHJlZi10eXBlIG5hbWU9IkpvdXJuYWwgQXJ0aWNsZSI+MTc8
L3JlZi10eXBlPjxjb250cmlidXRvcnM+PGF1dGhvcnM+PGF1dGhvcj5PbHNlbiwgUGF1bGE8L2F1
dGhvcj48YXV0aG9yPldpbGxpYW1zb24sIE1vaXJhPC9hdXRob3I+PGF1dGhvcj5UcmF5bm9yLCBW
aWN0b3JpYTwvYXV0aG9yPjxhdXRob3I+R2Vvcmdpb3UsIENocmlzPC9hdXRob3I+PC9hdXRob3Jz
PjwvY29udHJpYnV0b3JzPjx0aXRsZXM+PHRpdGxlPlRoZSBpbXBhY3Qgb2Ygb3JhbCBwcm9iaW90
aWNzIG9uIHZhZ2luYWwgR3JvdXAgQiBTdHJlcHRvY29jY2FsIGNvbG9uaXNhdGlvbiByYXRlcyBp
biBwcmVnbmFudCB3b21lbjogQSBwaWxvdCByYW5kb21pc2VkIGNvbnRyb2wgc3R1ZHk8L3RpdGxl
PjxzZWNvbmRhcnktdGl0bGU+V29tZW4gYW5kIEJpcnRoPC9zZWNvbmRhcnktdGl0bGU+PC90aXRs
ZXM+PHBlcmlvZGljYWw+PGZ1bGwtdGl0bGU+V29tZW4gYW5kIEJpcnRoPC9mdWxsLXRpdGxlPjwv
cGVyaW9kaWNhbD48cGFnZXM+MzEtMzc8L3BhZ2VzPjx2b2x1bWU+MzE8L3ZvbHVtZT48bnVtYmVy
PjE8L251bWJlcj48c2VjdGlvbj4zMTwvc2VjdGlvbj48ZGF0ZXM+PHllYXI+MjAxODwveWVhcj48
L2RhdGVzPjxpc2JuPjE4NzE1MTkyPC9pc2JuPjx1cmxzPjwvdXJscz48ZWxlY3Ryb25pYy1yZXNv
dXJjZS1udW0+MTAuMTAxNi9qLndvbWJpLjIwMTcuMDYuMDEyPC9lbGVjdHJvbmljLXJlc291cmNl
LW51bT48L3JlY29yZD48L0NpdGU+PC9FbmROb3RlPgB=
</w:fldData>
        </w:fldChar>
      </w:r>
      <w:r w:rsidR="002747EA">
        <w:instrText xml:space="preserve"> ADDIN EN.CITE </w:instrText>
      </w:r>
      <w:r w:rsidR="002747EA">
        <w:fldChar w:fldCharType="begin">
          <w:fldData xml:space="preserve">PEVuZE5vdGU+PENpdGU+PEF1dGhvcj5CYWRlaG5vb3NoPC9BdXRob3I+PFllYXI+MjAxODwvWWVh
cj48UmVjTnVtPjE2ODQ8L1JlY051bT48RGlzcGxheVRleHQ+PHN0eWxlIGZhY2U9InN1cGVyc2Ny
aXB0IiBmb250PSJUcmVidWNoZXQgTVMiIHNpemU9IjkiPjIzMCwyMzUsMjM4LDI0Mi0yNDU8L3N0
eWxlPjwvRGlzcGxheVRleHQ+PHJlY29yZD48cmVjLW51bWJlcj4xNjg0PC9yZWMtbnVtYmVyPjxm
b3JlaWduLWtleXM+PGtleSBhcHA9IkVOIiBkYi1pZD0iZXh2YXNyZngyZHRyYW9lc2FzeHAyc3pz
eGEyZGY1MDI1OTJ4IiB0aW1lc3RhbXA9IjE1ODE4MzIwNzYiPjE2ODQ8L2tleT48L2ZvcmVpZ24t
a2V5cz48cmVmLXR5cGUgbmFtZT0iSm91cm5hbCBBcnRpY2xlIj4xNzwvcmVmLXR5cGU+PGNvbnRy
aWJ1dG9ycz48YXV0aG9ycz48YXV0aG9yPkJhZGVobm9vc2gsIEIuPC9hdXRob3I+PGF1dGhvcj5L
YXJhbWFsaSwgTS48L2F1dGhvcj48YXV0aG9yPlphcnJhdGksIE0uPC9hdXRob3I+PGF1dGhvcj5K
YW1pbGlhbiwgTS48L2F1dGhvcj48YXV0aG9yPkJhaG1hbmksIEYuPC9hdXRob3I+PGF1dGhvcj5U
YWphYmFkaS1FYnJhaGltaSwgTS48L2F1dGhvcj48YXV0aG9yPkphZmFyaSwgUC48L2F1dGhvcj48
YXV0aG9yPlJhaG1hbmksIEUuPC9hdXRob3I+PGF1dGhvcj5Bc2VtaSwgWi48L2F1dGhvcj48L2F1
dGhvcnM+PC9jb250cmlidXRvcnM+PGF1dGgtYWRkcmVzcz5hIERlcGFydG1lbnQgb2YgR3luZWNv
bG9neSBhbmQgT2JzdGV0cmljcyAsIFNjaG9vbCBvZiBNZWRpY2luZSwgQWxib3J6IFVuaXZlcnNp
dHkgb2YgTWVkaWNhbCBTY2llbmNlcyAsIEthcmFqICwgSXJhbi4mI3hEO2IgRGVwYXJ0bWVudCBv
ZiBHeW5lY29sb2d5IGFuZCBPYnN0ZXRyaWNzICwgU2Nob29sIG9mIE1lZGljaW5lLCBJcmFuIFVu
aXZlcnNpdHkgb2YgTWVkaWNhbCBTY2llbmNlcyAsIFRlaHJhbiAsIElyYW4uJiN4RDtjIEZhY3Vs
dHkgb2YgTnV0cml0aW9uICwgU2Nob29sIG9mIFB1YmxpYyBIZWFsdGgsIElyYW4gVW5pdmVyc2l0
eSBvZiBNZWRpY2FsIFNjaWVuY2VzICwgVGVocmFuICwgSXJhbi4mI3hEO2QgRW5kb2NyaW5vbG9n
eSBhbmQgTWV0YWJvbGlzbSBSZXNlYXJjaCBDZW50ZXIsIEFyYWsgVW5pdmVyc2l0eSBvZiBNZWRp
Y2FsIFNjaWVuY2VzICwgQXJhayAsIElyYW4uJiN4RDtlIFJlc2VhcmNoIENlbnRlciBmb3IgQmlv
Y2hlbWlzdHJ5IGFuZCBOdXRyaXRpb24gaW4gTWV0YWJvbGljIERpc2Vhc2VzLCBLYXNoYW4gVW5p
dmVyc2l0eSBvZiBNZWRpY2FsIFNjaWVuY2VzICwgS2FzaGFuICwgSXJhbi4mI3hEO2YgRmFjdWx0
eSBtZW1iZXIgb2YgU2NpZW5jZSBkZXBhcnRtZW50LCBTY2llbmNlIGZhY3VsdHkgLCBJc2xhbWlj
IEF6YWQgVW5pdmVyc2l0eSAsIFRlaHJhbiAsIElyYW4uJiN4RDtnIERlcGFydG1lbnQgb2YgTWlj
cm9iaW9sb2d5LCBTY2llbmNlIGZhY3VsdHkgLCBJc2xhbWljIEF6YWQgVW5pdmVyc2l0eSAsIEFy
YWsgLCBJcmFuLiYjeEQ7aCBEZXBhcnRtZW50IG9mIEd5bmVjb2xvZ3kgYW5kIE9ic3RldHJpY3Mg
LCBTY2hvb2wgb2YgTWVkaWNpbmUsIEJ1c2hlaHIgVW5pdmVyc2l0eSBvZiBNZWRpY2FsIFNjaWVu
Y2VzICwgQnVzaGVociAsIElyYW4uPC9hdXRoLWFkZHJlc3M+PHRpdGxlcz48dGl0bGU+VGhlIGVm
ZmVjdHMgb2YgcHJvYmlvdGljIHN1cHBsZW1lbnRhdGlvbiBvbiBiaW9tYXJrZXJzIG9mIGluZmxh
bW1hdGlvbiwgb3hpZGF0aXZlIHN0cmVzcyBhbmQgcHJlZ25hbmN5IG91dGNvbWVzIGluIGdlc3Rh
dGlvbmFsIGRpYWJldGVzPC90aXRsZT48c2Vjb25kYXJ5LXRpdGxlPkogTWF0ZXJuIEZldGFsIE5l
b25hdGFsIE1lZDwvc2Vjb25kYXJ5LXRpdGxlPjwvdGl0bGVzPjxwZXJpb2RpY2FsPjxmdWxsLXRp
dGxlPkogTWF0ZXJuIEZldGFsIE5lb25hdGFsIE1lZDwvZnVsbC10aXRsZT48L3BlcmlvZGljYWw+
PHBhZ2VzPjExMjgtMTEzNjwvcGFnZXM+PHZvbHVtZT4zMTwvdm9sdW1lPjxudW1iZXI+OTwvbnVt
YmVyPjxlZGl0aW9uPjIwMTcvMDMvMjM8L2VkaXRpb24+PGtleXdvcmRzPjxrZXl3b3JkPkFkdWx0
PC9rZXl3b3JkPjxrZXl3b3JkPkJpb21hcmtlcnMvKmJsb29kPC9rZXl3b3JkPjxrZXl3b3JkPkJs
b29kIEdsdWNvc2UvYW5hbHlzaXM8L2tleXdvcmQ+PGtleXdvcmQ+Qy1SZWFjdGl2ZSBQcm90ZWlu
L2FuYWx5c2lzPC9rZXl3b3JkPjxrZXl3b3JkPkRpYWJldGVzLCBHZXN0YXRpb25hbC8qYmxvb2Q8
L2tleXdvcmQ+PGtleXdvcmQ+RGlldGFyeSBTdXBwbGVtZW50czwva2V5d29yZD48a2V5d29yZD5E
b3VibGUtQmxpbmQgTWV0aG9kPC9rZXl3b3JkPjxrZXl3b3JkPkZlbWFsZTwva2V5d29yZD48a2V5
d29yZD5IdW1hbnM8L2tleXdvcmQ+PGtleXdvcmQ+SW5mbGFtbWF0aW9uLypibG9vZDwva2V5d29y
ZD48a2V5d29yZD5NYWxvbmRpYWxkZWh5ZGUvYmxvb2Q8L2tleXdvcmQ+PGtleXdvcmQ+T3hpZGF0
aXZlIFN0cmVzcy8qcGh5c2lvbG9neTwva2V5d29yZD48a2V5d29yZD5QbGFjZWJvczwva2V5d29y
ZD48a2V5d29yZD5QcmVnbmFuY3k8L2tleXdvcmQ+PGtleXdvcmQ+KlByZWduYW5jeSBPdXRjb21l
PC9rZXl3b3JkPjxrZXl3b3JkPlByb2Jpb3RpY3MvKmFkbWluaXN0cmF0aW9uICZhbXA7IGRvc2Fn
ZTwva2V5d29yZD48a2V5d29yZD5Qcm9iaW90aWMgc3VwcGxlbWVudGF0aW9uPC9rZXl3b3JkPjxr
ZXl3b3JkPmdlc3RhdGlvbmFsIGRpYWJldGVzPC9rZXl3b3JkPjxrZXl3b3JkPnByZWduYW50IHdv
bWVuPC9rZXl3b3JkPjwva2V5d29yZHM+PGRhdGVzPjx5ZWFyPjIwMTg8L3llYXI+PHB1Yi1kYXRl
cz48ZGF0ZT5NYXk8L2RhdGU+PC9wdWItZGF0ZXM+PC9kYXRlcz48aXNibj4xNDc2LTQ5NTQgKEVs
ZWN0cm9uaWMpJiN4RDsxNDc2LTQ5NTQgKExpbmtpbmcpPC9pc2JuPjxhY2Nlc3Npb24tbnVtPjI4
MzI2ODgxPC9hY2Nlc3Npb24tbnVtPjx1cmxzPjxyZWxhdGVkLXVybHM+PHVybD5odHRwczovL3d3
dy5uY2JpLm5sbS5uaWguZ292L3B1Ym1lZC8yODMyNjg4MTwvdXJsPjwvcmVsYXRlZC11cmxzPjwv
dXJscz48ZWxlY3Ryb25pYy1yZXNvdXJjZS1udW0+MTAuMTA4MC8xNDc2NzA1OC4yMDE3LjEzMTAx
OTM8L2VsZWN0cm9uaWMtcmVzb3VyY2UtbnVtPjwvcmVjb3JkPjwvQ2l0ZT48Q2l0ZT48QXV0aG9y
PkRvbGF0a2hhaDwvQXV0aG9yPjxZZWFyPjIwMTU8L1llYXI+PFJlY051bT4xNjg1PC9SZWNOdW0+
PHJlY29yZD48cmVjLW51bWJlcj4xNjg1PC9yZWMtbnVtYmVyPjxmb3JlaWduLWtleXM+PGtleSBh
cHA9IkVOIiBkYi1pZD0iZXh2YXNyZngyZHRyYW9lc2FzeHAyc3pzeGEyZGY1MDI1OTJ4IiB0aW1l
c3RhbXA9IjE1ODE4MzIwNzYiPjE2ODU8L2tleT48L2ZvcmVpZ24ta2V5cz48cmVmLXR5cGUgbmFt
ZT0iSm91cm5hbCBBcnRpY2xlIj4xNzwvcmVmLXR5cGU+PGNvbnRyaWJ1dG9ycz48YXV0aG9ycz48
YXV0aG9yPkRvbGF0a2hhaCwgTi48L2F1dGhvcj48YXV0aG9yPkhhamlmYXJhamksIE0uPC9hdXRo
b3I+PGF1dGhvcj5BYmJhc2FsaXphZGVoLCBGLjwvYXV0aG9yPjxhdXRob3I+QWdoYW1vaGFtbWFk
emFkZWgsIE4uPC9hdXRob3I+PGF1dGhvcj5NZWhyYWJpLCBZLjwvYXV0aG9yPjxhdXRob3I+QWJi
YXNpLCBNLiBNLjwvYXV0aG9yPjwvYXV0aG9ycz48L2NvbnRyaWJ1dG9ycz48YXV0aC1hZGRyZXNz
PkRlcGFydG1lbnQgb2YgTnV0cml0aW9uIFNjaWVuY2VzLCBTaGFoaWQgQmVoZXNodGkgVW5pdmVy
c2l0eSBvZiBNZWRpY2FsIFNjaWVuY2VzIChTQlVNUyksIEludGVybmF0aW9uYWwgQnJhbmNoLCB0
ZWhyYW4sIGlyYW4uIG5lZGEuZG9sYXRraGFoYkBnbWFpbC5jb20uJiN4RDtOdXRyaXRpb24gU29j
aWV0eSwgTmF0aW9uYWwgTnV0cml0aW9uIGFuZCBGb29kIFRlY2hub2xvZ3kgUmVzZWFyY2ggSW5z
dGl0dXRlLCBGYWN1bHR5IG9mIE51dHJpdGlvbiBhbmQgRm9vZCBUZWNobm9sb2d5LCBCZWhlc2h0
aSBVbml2ZXJzaXR5IG9mIE1lZGljYWwgU2NpZW5jZXMsIEJhcmFuIDMsIFdlc3QgQXJnaGF2YW4s
IEZhcmFoemFkaSBCbHZkLiwgU2hhaHJhayBRb2RzLCAxOTM5NS00NzQxLCBpc3RhbmJ1bCwgMTk4
MTYxOTU3MywgdHVya2V5LiBtLmhhamlmYXJhamlAbm5mdHJpLmFjLmlyLiYjeEQ7RGVwYXJ0bWVu
dCBvZiBPYnN0ZXRyaWNzICZhbXA7IEd5bmVjb2xvZ3ksIFRhYnJpeiBVbml2ZXJzaXR5IG9mIE1l
ZGljYWwgU2NpZW5jZXMsIHRhYnJpeiwgaXJhbi4gZmF0ZW1laC5hYmFzYWxpemFkZWhAeWFob28u
Y29tLiYjeEQ7U2VjdGlvbiBvZiBFbmRvY3Jpbm9sb2d5ICZhbXA7IE1ldGFib2xpc20sIERlcGFy
dG1lbnQgb2YgSW50ZXJuYWwgTWVkaWNpbmUsIFRhYnJpeiBVbml2ZXJzaXR5IG9mIE1lZGljYWwg
U2NpZW5jZXMsIFRhYnJpeiwgSXJhbi4gbmFzZXIuYWdoYW1vaGFtbWFkemFkZWhAeWFob28uY29t
LiYjeEQ7RGVwYXJ0bWVudCBvZiBCaW9zdGF0aXN0aWNzICZhbXA7IEVwaWRlbWlvbG9neSwgU2hh
aGlkIEJlaGVzaHRpIFVuaXZlcnNpdHkgb2YgTWVkaWNhbCBTY2llbmNlcywgVGVocmFuLCBJcmFu
LiB5YWRvbGxhaC5tZWhyYWJpYkBnbWFpbC5jb20uJiN4RDtEcnVnIEFwcGxpZWQgUmVzZWFyY2gg
Q2VudGVyLCBUYWJyaXogVW5pdmVyc2l0eSBvZiBNZWRpY2FsIFNjaWVuY2VzLCBUYWJyaXosIEly
YW4uIG1laHJhbi5tZXNnYXJpYWJiYXNpQGdtYWlsLmNvbS48L2F1dGgtYWRkcmVzcz48dGl0bGVz
Pjx0aXRsZT5JcyB0aGVyZSBhIHZhbHVlIGZvciBwcm9iaW90aWMgc3VwcGxlbWVudHMgaW4gZ2Vz
dGF0aW9uYWwgZGlhYmV0ZXMgbWVsbGl0dXM/IEEgcmFuZG9taXplZCBjbGluaWNhbCB0cmlhbDwv
dGl0bGU+PHNlY29uZGFyeS10aXRsZT5KIEhlYWx0aCBQb3B1bCBOdXRyPC9zZWNvbmRhcnktdGl0
bGU+PC90aXRsZXM+PHBlcmlvZGljYWw+PGZ1bGwtdGl0bGU+SiBIZWFsdGggUG9wdWwgTnV0cjwv
ZnVsbC10aXRsZT48L3BlcmlvZGljYWw+PHBhZ2VzPjI1PC9wYWdlcz48dm9sdW1lPjMzPC92b2x1
bWU+PGVkaXRpb24+MjAxNi8wMS8zMTwvZWRpdGlvbj48a2V5d29yZHM+PGtleXdvcmQ+QWR1bHQ8
L2tleXdvcmQ+PGtleXdvcmQ+QW50aS1PYmVzaXR5IEFnZW50cy8qdGhlcmFwZXV0aWMgdXNlPC9r
ZXl3b3JkPjxrZXl3b3JkPkJpZmlkb2JhY3Rlcml1bSBhbmltYWxpcy9ncm93dGggJmFtcDsgZGV2
ZWxvcG1lbnQ8L2tleXdvcmQ+PGtleXdvcmQ+Qmxvb2QgR2x1Y29zZS9hbmFseXNpczwva2V5d29y
ZD48a2V5d29yZD5EaWFiZXRlcywgR2VzdGF0aW9uYWwvYmxvb2QvKmRpZXQgdGhlcmFweS9tZXRh
Ym9saXNtPC9rZXl3b3JkPjxrZXl3b3JkPkRpZXQsIERpYWJldGljPC9rZXl3b3JkPjxrZXl3b3Jk
PkRvdWJsZS1CbGluZCBNZXRob2Q8L2tleXdvcmQ+PGtleXdvcmQ+RmVtYWxlPC9rZXl3b3JkPjxr
ZXl3b3JkPkh1bWFuczwva2V5d29yZD48a2V5d29yZD5IeXBlcmdseWNlbWlhLypwcmV2ZW50aW9u
ICZhbXA7IGNvbnRyb2w8L2tleXdvcmQ+PGtleXdvcmQ+SHlwb2dseWNlbWljIEFnZW50cy8qdGhl
cmFwZXV0aWMgdXNlPC9rZXl3b3JkPjxrZXl3b3JkPipJbnN1bGluIFJlc2lzdGFuY2U8L2tleXdv
cmQ+PGtleXdvcmQ+SXJhbjwva2V5d29yZD48a2V5d29yZD5MYWN0b2JhY2lsbHVzIGFjaWRvcGhp
bHVzL2dyb3d0aCAmYW1wOyBkZXZlbG9wbWVudDwva2V5d29yZD48a2V5d29yZD5MYWN0b2JhY2ls
bHVzIGRlbGJydWVja2lpL2dyb3d0aCAmYW1wOyBkZXZlbG9wbWVudDwva2V5d29yZD48a2V5d29y
ZD4qTWF0ZXJuYWwgTnV0cml0aW9uYWwgUGh5c2lvbG9naWNhbCBQaGVub21lbmE8L2tleXdvcmQ+
PGtleXdvcmQ+UHJlZ25hbmN5PC9rZXl3b3JkPjxrZXl3b3JkPlByZWduYW5jeSBUcmltZXN0ZXIs
IFRoaXJkPC9rZXl3b3JkPjxrZXl3b3JkPlByb2Jpb3RpY3MvKnRoZXJhcGV1dGljIHVzZTwva2V5
d29yZD48a2V5d29yZD5TdHJlcHRvY29jY3VzIHRoZXJtb3BoaWx1cy9ncm93dGggJmFtcDsgZGV2
ZWxvcG1lbnQ8L2tleXdvcmQ+PGtleXdvcmQ+V2VpZ2h0IEdhaW48L2tleXdvcmQ+PGtleXdvcmQ+
WW91bmcgQWR1bHQ8L2tleXdvcmQ+PC9rZXl3b3Jkcz48ZGF0ZXM+PHllYXI+MjAxNTwveWVhcj48
cHViLWRhdGVzPjxkYXRlPk5vdiAyNTwvZGF0ZT48L3B1Yi1kYXRlcz48L2RhdGVzPjxpc2JuPjIw
NzItMTMxNSAoRWxlY3Ryb25pYykmI3hEOzE2MDYtMDk5NyAoTGlua2luZyk8L2lzYm4+PGFjY2Vz
c2lvbi1udW0+MjY4MjU2NjY8L2FjY2Vzc2lvbi1udW0+PHVybHM+PHJlbGF0ZWQtdXJscz48dXJs
Pmh0dHBzOi8vd3d3Lm5jYmkubmxtLm5paC5nb3YvcHVibWVkLzI2ODI1NjY2PC91cmw+PC9yZWxh
dGVkLXVybHM+PC91cmxzPjxjdXN0b20yPlBNQzUwMjYwMTg8L2N1c3RvbTI+PGVsZWN0cm9uaWMt
cmVzb3VyY2UtbnVtPjEwLjExODYvczQxMDQzLTAxNS0wMDM0LTk8L2VsZWN0cm9uaWMtcmVzb3Vy
Y2UtbnVtPjwvcmVjb3JkPjwvQ2l0ZT48Q2l0ZT48QXV0aG9yPkhvPC9BdXRob3I+PFllYXI+MjAx
NjwvWWVhcj48UmVjTnVtPjE2NTY8L1JlY051bT48cmVjb3JkPjxyZWMtbnVtYmVyPjE2NTY8L3Jl
Yy1udW1iZXI+PGZvcmVpZ24ta2V5cz48a2V5IGFwcD0iRU4iIGRiLWlkPSJleHZhc3JmeDJkdHJh
b2VzYXN4cDJzenN4YTJkZjUwMjU5MngiIHRpbWVzdGFtcD0iMTU4MTMxMjc1MSI+MTY1Njwva2V5
PjxrZXkgYXBwPSJFTldlYiIgZGItaWQ9IiI+MDwva2V5PjwvZm9yZWlnbi1rZXlzPjxyZWYtdHlw
ZSBuYW1lPSJKb3VybmFsIEFydGljbGUiPjE3PC9yZWYtdHlwZT48Y29udHJpYnV0b3JzPjxhdXRo
b3JzPjxhdXRob3I+SG8sIE0uPC9hdXRob3I+PGF1dGhvcj5DaGFuZywgWS4gWS48L2F1dGhvcj48
YXV0aG9yPkNoYW5nLCBXLiBDLjwvYXV0aG9yPjxhdXRob3I+TGluLCBILiBDLjwvYXV0aG9yPjxh
dXRob3I+V2FuZywgTS4gSC48L2F1dGhvcj48YXV0aG9yPkxpbiwgVy4gQy48L2F1dGhvcj48YXV0
aG9yPkNoaXUsIFQuIEguPC9hdXRob3I+PC9hdXRob3JzPjwvY29udHJpYnV0b3JzPjxhdXRoLWFk
ZHJlc3M+RGVwYXJ0bWVudCBvZiBPYnN0ZXRyaWNzIGFuZCBHeW5lY29sb2d5LCBDaGluYSBNZWRp
Y2FsIFVuaXZlcnNpdHkgSG9zcGl0YWwsIENoaW5hIE1lZGljYWwgVW5pdmVyc2l0eSwgVGFpY2h1
bmcgNDA0MDIsIFRhaXdhbi4mI3hEO0RlcGFydG1lbnQgb2YgUGVkaWF0cmljcywgQ2hpbmEgTWVk
aWNhbCBVbml2ZXJzaXR5IEhvc3BpdGFsLCBDaGluYSBNZWRpY2FsIFVuaXZlcnNpdHksIFRhaWNo
dW5nIDQwNDAyLCBUYWl3YW4uJiN4RDtEZXBhcnRtZW50IG9mIE9ic3RldHJpY3MgYW5kIEd5bmVj
b2xvZ3ksIENoaW5hIE1lZGljYWwgVW5pdmVyc2l0eSBIb3NwaXRhbCwgQ2hpbmEgTWVkaWNhbCBV
bml2ZXJzaXR5LCBUYWljaHVuZyA0MDQwMiwgVGFpd2FuLiBFbGVjdHJvbmljIGFkZHJlc3M6IGQ0
Nzk4QG1haWwuY211aC5vcmcudHcuPC9hdXRoLWFkZHJlc3M+PHRpdGxlcz48dGl0bGU+T3JhbCBM
YWN0b2JhY2lsbHVzIHJoYW1ub3N1cyBHUi0xIGFuZCBMYWN0b2JhY2lsbHVzIHJldXRlcmkgUkMt
MTQgdG8gcmVkdWNlIEdyb3VwIEIgU3RyZXB0b2NvY2N1cyBjb2xvbml6YXRpb24gaW4gcHJlZ25h
bnQgd29tZW46IEEgcmFuZG9taXplZCBjb250cm9sbGVkIHRyaWFsPC90aXRsZT48c2Vjb25kYXJ5
LXRpdGxlPlRhaXdhbiBKIE9ic3RldCBHeW5lY29sPC9zZWNvbmRhcnktdGl0bGU+PC90aXRsZXM+
PHBlcmlvZGljYWw+PGZ1bGwtdGl0bGU+VGFpd2FuIEogT2JzdGV0IEd5bmVjb2w8L2Z1bGwtdGl0
bGU+PC9wZXJpb2RpY2FsPjxwYWdlcz41MTUtODwvcGFnZXM+PHZvbHVtZT41NTwvdm9sdW1lPjxu
dW1iZXI+NDwvbnVtYmVyPjxlZGl0aW9uPjIwMTYvMDkvMDQ8L2VkaXRpb24+PGtleXdvcmRzPjxr
ZXl3b3JkPkFkdWx0PC9rZXl3b3JkPjxrZXl3b3JkPkRvdWJsZS1CbGluZCBNZXRob2Q8L2tleXdv
cmQ+PGtleXdvcmQ+RmVtYWxlPC9rZXl3b3JkPjxrZXl3b3JkPkh1bWFuczwva2V5d29yZD48a2V5
d29yZD5JbmZlY3Rpb3VzIERpc2Vhc2UgVHJhbnNtaXNzaW9uLCBWZXJ0aWNhbC9wcmV2ZW50aW9u
ICZhbXA7IGNvbnRyb2w8L2tleXdvcmQ+PGtleXdvcmQ+KkxhY3RvYmFjaWxsdXMgcmV1dGVyaTwv
a2V5d29yZD48a2V5d29yZD4qTGFjdG9iYWNpbGx1cyByaGFtbm9zdXM8L2tleXdvcmQ+PGtleXdv
cmQ+UHJlZ25hbmN5PC9rZXl3b3JkPjxrZXl3b3JkPipQcmVnbmFuY3kgVHJpbWVzdGVyLCBUaGly
ZDwva2V5d29yZD48a2V5d29yZD5Qcm9iaW90aWNzLyp0aGVyYXBldXRpYyB1c2U8L2tleXdvcmQ+
PGtleXdvcmQ+UHJvc3BlY3RpdmUgU3R1ZGllczwva2V5d29yZD48a2V5d29yZD5SZWN0dW0vbWlj
cm9iaW9sb2d5PC9rZXl3b3JkPjxrZXl3b3JkPlN0cmVwdG9jb2NjYWwgSW5mZWN0aW9ucy9taWNy
b2Jpb2xvZ3kvcHJldmVudGlvbiAmYW1wOyBjb250cm9sL3RyYW5zbWlzc2lvbjwva2V5d29yZD48
a2V5d29yZD5TdHJlcHRvY29jY3VzIGFnYWxhY3RpYWUvKmdyb3d0aCAmYW1wOyBkZXZlbG9wbWVu
dDwva2V5d29yZD48a2V5d29yZD5WYWdpbmEvbWljcm9iaW9sb2d5PC9rZXl3b3JkPjxrZXl3b3Jk
PipHQlMgY29sb25pemF0aW9uPC9rZXl3b3JkPjxrZXl3b3JkPipHQlMgaW5mZWN0aW9uPC9rZXl3
b3JkPjxrZXl3b3JkPippbnRyYXBhcnR1bSBhbnRpYmlvdGljPC9rZXl3b3JkPjxrZXl3b3JkPipv
cmFsIHByb2Jpb3RpY3M8L2tleXdvcmQ+PC9rZXl3b3Jkcz48ZGF0ZXM+PHllYXI+MjAxNjwveWVh
cj48cHViLWRhdGVzPjxkYXRlPkF1ZzwvZGF0ZT48L3B1Yi1kYXRlcz48L2RhdGVzPjxpc2JuPjE4
NzUtNjI2MyAoRWxlY3Ryb25pYykmI3hEOzEwMjgtNDU1OSAoTGlua2luZyk8L2lzYm4+PGFjY2Vz
c2lvbi1udW0+Mjc1OTAzNzQ8L2FjY2Vzc2lvbi1udW0+PHVybHM+PHJlbGF0ZWQtdXJscz48dXJs
Pmh0dHBzOi8vd3d3Lm5jYmkubmxtLm5paC5nb3YvcHVibWVkLzI3NTkwMzc0PC91cmw+PC9yZWxh
dGVkLXVybHM+PC91cmxzPjxlbGVjdHJvbmljLXJlc291cmNlLW51bT4xMC4xMDE2L2oudGpvZy4y
MDE2LjA2LjAwMzwvZWxlY3Ryb25pYy1yZXNvdXJjZS1udW0+PC9yZWNvcmQ+PC9DaXRlPjxDaXRl
PjxBdXRob3I+SmFmYXJuZWphZDwvQXV0aG9yPjxZZWFyPjIwMTY8L1llYXI+PFJlY051bT4xNjg3
PC9SZWNOdW0+PHJlY29yZD48cmVjLW51bWJlcj4xNjg3PC9yZWMtbnVtYmVyPjxmb3JlaWduLWtl
eXM+PGtleSBhcHA9IkVOIiBkYi1pZD0iZXh2YXNyZngyZHRyYW9lc2FzeHAyc3pzeGEyZGY1MDI1
OTJ4IiB0aW1lc3RhbXA9IjE1ODE4MzIwNzYiPjE2ODc8L2tleT48L2ZvcmVpZ24ta2V5cz48cmVm
LXR5cGUgbmFtZT0iSm91cm5hbCBBcnRpY2xlIj4xNzwvcmVmLXR5cGU+PGNvbnRyaWJ1dG9ycz48
YXV0aG9ycz48YXV0aG9yPkphZmFybmVqYWQsIFMuPC9hdXRob3I+PGF1dGhvcj5TYXJlbWksIFMu
PC9hdXRob3I+PGF1dGhvcj5KYWZhcm5lamFkLCBGLjwvYXV0aG9yPjxhdXRob3I+QXJhYiwgQS48
L2F1dGhvcj48L2F1dGhvcnM+PC9jb250cmlidXRvcnM+PGF1dGgtYWRkcmVzcz5EZXBhcnRtZW50
IG9mIENsaW5pY2FsIE51dHJpdGlvbiwgU2Nob29sIG9mIE51dHJpdGlvbmFsIFNjaWVuY2VzIGFu
ZCBEaWV0ZXRpYywgVGVocmFuIFVuaXZlcnNpdHkgb2YgTWVkaWNhbCBTY2llbmNlcywgUC5PLiBC
b3ggMTQxNTUtNjExNywgVGVocmFuLCBJcmFuLiYjeEQ7RGVwYXJ0bWVudCBvZiBQdWJsaWMgSGVh
bHRoLCBJc2ZhaGFuIFVuaXZlcnNpdHkgb2YgTWVkaWNhbCBTY2llbmNlcywgSXNmYWhhbiwgSXJh
bi4mI3hEO0RlcGFydG1lbnQgb2YgSGVhbHRoIEluZm9ybWF0aW9uIE1hbmFnZW1lbnQsIE1hemFu
ZGFyYW4gVW5pdmVyc2l0eSBvZiBNZWRpY2FsIFNjaWVuY2VzLCBTYXJpLCBJcmFuLiYjeEQ7RGVw
YXJ0bWVudCBvZiBDb21tdW5pdHkgTnV0cml0aW9uLCBTY2hvb2wgb2YgTnV0cml0aW9uIGFuZCBG
b29kIFNjaWVuY2UsIElzZmFoYW4gVW5pdmVyc2l0eSBvZiBNZWRpY2FsIFNjaWVuY2VzLCBJc2Zh
aGFuLCBJcmFuLjwvYXV0aC1hZGRyZXNzPjx0aXRsZXM+PHRpdGxlPkVmZmVjdHMgb2YgYSBNdWx0
aXNwZWNpZXMgUHJvYmlvdGljIE1peHR1cmUgb24gR2x5Y2VtaWMgQ29udHJvbCBhbmQgSW5mbGFt
bWF0b3J5IFN0YXR1cyBpbiBXb21lbiB3aXRoIEdlc3RhdGlvbmFsIERpYWJldGVzOiBBIFJhbmRv
bWl6ZWQgQ29udHJvbGxlZCBDbGluaWNhbCBUcmlhbDwvdGl0bGU+PHNlY29uZGFyeS10aXRsZT5K
IE51dHIgTWV0YWI8L3NlY29uZGFyeS10aXRsZT48L3RpdGxlcz48cGVyaW9kaWNhbD48ZnVsbC10
aXRsZT5KIE51dHIgTWV0YWI8L2Z1bGwtdGl0bGU+PC9wZXJpb2RpY2FsPjxwYWdlcz41MTkwODQ2
PC9wYWdlcz48dm9sdW1lPjIwMTY8L3ZvbHVtZT48ZWRpdGlvbj4yMDE2LzA3LzE5PC9lZGl0aW9u
PjxkYXRlcz48eWVhcj4yMDE2PC95ZWFyPjwvZGF0ZXM+PGlzYm4+MjA5MC0wNzI0IChQcmludCkm
I3hEOzIwOTAtMDcyNCAoTGlua2luZyk8L2lzYm4+PGFjY2Vzc2lvbi1udW0+Mjc0Mjk4MDM8L2Fj
Y2Vzc2lvbi1udW0+PHVybHM+PHJlbGF0ZWQtdXJscz48dXJsPmh0dHBzOi8vd3d3Lm5jYmkubmxt
Lm5paC5nb3YvcHVibWVkLzI3NDI5ODAzPC91cmw+PC9yZWxhdGVkLXVybHM+PC91cmxzPjxjdXN0
b20yPlBNQzQ5MzkxOTM8L2N1c3RvbTI+PGVsZWN0cm9uaWMtcmVzb3VyY2UtbnVtPjEwLjExNTUv
MjAxNi81MTkwODQ2PC9lbGVjdHJvbmljLXJlc291cmNlLW51bT48L3JlY29yZD48L0NpdGU+PENp
dGU+PEF1dGhvcj5LYXJhbWFsaTwvQXV0aG9yPjxZZWFyPjIwMTY8L1llYXI+PFJlY051bT4xNjg5
PC9SZWNOdW0+PHJlY29yZD48cmVjLW51bWJlcj4xNjg5PC9yZWMtbnVtYmVyPjxmb3JlaWduLWtl
eXM+PGtleSBhcHA9IkVOIiBkYi1pZD0iZXh2YXNyZngyZHRyYW9lc2FzeHAyc3pzeGEyZGY1MDI1
OTJ4IiB0aW1lc3RhbXA9IjE1ODE4MzIwNzYiPjE2ODk8L2tleT48L2ZvcmVpZ24ta2V5cz48cmVm
LXR5cGUgbmFtZT0iSm91cm5hbCBBcnRpY2xlIj4xNzwvcmVmLXR5cGU+PGNvbnRyaWJ1dG9ycz48
YXV0aG9ycz48YXV0aG9yPkthcmFtYWxpLCBNLjwvYXV0aG9yPjxhdXRob3I+RGFka2hhaCwgRi48
L2F1dGhvcj48YXV0aG9yPlNhZHJraGFubG91LCBNLjwvYXV0aG9yPjxhdXRob3I+SmFtaWxpYW4s
IE0uPC9hdXRob3I+PGF1dGhvcj5BaG1hZGksIFMuPC9hdXRob3I+PGF1dGhvcj5UYWphYmFkaS1F
YnJhaGltaSwgTS48L2F1dGhvcj48YXV0aG9yPkphZmFyaSwgUC48L2F1dGhvcj48YXV0aG9yPkFz
ZW1pLCBaLjwvYXV0aG9yPjwvYXV0aG9ycz48L2NvbnRyaWJ1dG9ycz48YXV0aC1hZGRyZXNzPkRl
cGFydG1lbnQgb2YgZ3luZWNvbG9neSBhbmQgb2JzdGV0cmljcywgc2Nob29sIG9mIG1lZGljaW5l
LCBJcmFuIHVuaXZlcnNpdHkgb2YgbWVkaWNhbCBzY2llbmNlcywgVGVocmFuLCBJcmFuLiYjeEQ7
RW5kb2NyaW5vbG9neSBhbmQgbWV0YWJvbGlzbSByZXNlYXJjaCBjZW50ZXIsIGRlcGFydG1lbnQg
b2YgZ3luZWNvbG9neSBhbmQgb2JzdGV0cmljcywgc2Nob29sIG9mIG1lZGljaW5lLCBBcmFrIHVu
aXZlcnNpdHkgb2YgbWVkaWNhbCBzY2llbmNlcywgQXJhaywgSXJhbi4mI3hEO0RlcGFydG1lbnQg
b2YgZ3luZWNvbG9neSBhbmQgb2JzdGV0cmljcywgc2Nob29sIG9mIG1lZGljaW5lLCBJcmFuIHVu
aXZlcnNpdHkgb2YgbWVkaWNhbCBzY2llbmNlcywgVGVocmFuLCBJcmFuOyBEZXBhcnRtZW50IG9m
IGd5bmVjb2xvZ3kgYW5kIG9ic3RldHJpY3MsIHNjaG9vbCBvZiBtZWRpY2luZSwgQnVzaGVociB1
bml2ZXJzaXR5IG9mIG1lZGljYWwgc2NpZW5jZXMsIEJ1c2hlaHIsIElyYW4uJiN4RDtGYWN1bHR5
IG1lbWJlciBvZiBzY2llbmNlIGRlcGFydG1lbnQsIHNjaWVuY2UgZmFjdWx0eSwgSXNsYW1pYyBB
emFkIHVuaXZlcnNpdHksIFRlaHJhbiBDZW50cmFsIGJyYW5jaCwgVGVocmFuLCBJcmFuLiYjeEQ7
RGVwYXJ0bWVudCBvZiBtaWNyb2Jpb2xvZ3ksIHNjaWVuY2UgZmFjdWx0eSwgSXNsYW1pYyBBemFk
IHVuaXZlcnNpdHksIEFyYWsgYnJhbmNoLCBBcmFrLCBJcmFuLiYjeEQ7UmVzZWFyY2ggY2VudGVy
IGZvciBiaW9jaGVtaXN0cnkgYW5kIG51dHJpdGlvbiBpbiBtZXRhYm9saWMgZGlzZWFzZXMsIEth
c2hhbiB1bml2ZXJzaXR5IG9mIG1lZGljYWwgc2NpZW5jZXMsIEthc2hhbiwgSXJhbi4gRWxlY3Ry
b25pYyBhZGRyZXNzOiBhc2VtaV9yQHlhaG9vLmNvbS48L2F1dGgtYWRkcmVzcz48dGl0bGVzPjx0
aXRsZT5FZmZlY3RzIG9mIHByb2Jpb3RpYyBzdXBwbGVtZW50YXRpb24gb24gZ2x5Y2FlbWljIGNv
bnRyb2wgYW5kIGxpcGlkIHByb2ZpbGVzIGluIGdlc3RhdGlvbmFsIGRpYWJldGVzOiBBIHJhbmRv
bWl6ZWQsIGRvdWJsZS1ibGluZCwgcGxhY2Viby1jb250cm9sbGVkIHRyaWFsPC90aXRsZT48c2Vj
b25kYXJ5LXRpdGxlPkRpYWJldGVzIE1ldGFiPC9zZWNvbmRhcnktdGl0bGU+PC90aXRsZXM+PHBl
cmlvZGljYWw+PGZ1bGwtdGl0bGU+RGlhYmV0ZXMgTWV0YWI8L2Z1bGwtdGl0bGU+PC9wZXJpb2Rp
Y2FsPjxwYWdlcz4yMzQtNDE8L3BhZ2VzPjx2b2x1bWU+NDI8L3ZvbHVtZT48bnVtYmVyPjQ8L251
bWJlcj48ZWRpdGlvbj4yMDE2LzA1LzIzPC9lZGl0aW9uPjxrZXl3b3Jkcz48a2V5d29yZD5BZG9s
ZXNjZW50PC9rZXl3b3JkPjxrZXl3b3JkPkFkdWx0PC9rZXl3b3JkPjxrZXl3b3JkPkJsb29kIEds
dWNvc2UvKmRydWcgZWZmZWN0czwva2V5d29yZD48a2V5d29yZD5EaWFiZXRlcywgR2VzdGF0aW9u
YWwvKmJsb29kLypkaWV0IHRoZXJhcHk8L2tleXdvcmQ+PGtleXdvcmQ+RGlldGFyeSBTdXBwbGVt
ZW50czwva2V5d29yZD48a2V5d29yZD5Eb3VibGUtQmxpbmQgTWV0aG9kPC9rZXl3b3JkPjxrZXl3
b3JkPkZlbWFsZTwva2V5d29yZD48a2V5d29yZD5IdW1hbnM8L2tleXdvcmQ+PGtleXdvcmQ+TGFj
dG9iYWNpbGx1cyBhY2lkb3BoaWx1czwva2V5d29yZD48a2V5d29yZD5MaXBpZCBNZXRhYm9saXNt
L2RydWcgZWZmZWN0czwva2V5d29yZD48a2V5d29yZD5MaXBpZHMvKmJsb29kPC9rZXl3b3JkPjxr
ZXl3b3JkPlBsYWNlYm9zPC9rZXl3b3JkPjxrZXl3b3JkPlByZWduYW5jeTwva2V5d29yZD48a2V5
d29yZD5Qcm9iaW90aWNzLyp0aGVyYXBldXRpYyB1c2U8L2tleXdvcmQ+PGtleXdvcmQ+WW91bmcg
QWR1bHQ8L2tleXdvcmQ+PGtleXdvcmQ+Kkdlc3RhdGlvbmFsIGRpYWJldGVzIG1lbGxpdHVzPC9r
ZXl3b3JkPjxrZXl3b3JkPipJbnN1bGluIHJlc2lzdGFuY2U8L2tleXdvcmQ+PGtleXdvcmQ+Kkxp
cGlkIHByb2ZpbGVzPC9rZXl3b3JkPjxrZXl3b3JkPipQcm9iaW90aWMgc3VwcGxlbWVudGF0aW9u
PC9rZXl3b3JkPjwva2V5d29yZHM+PGRhdGVzPjx5ZWFyPjIwMTY8L3llYXI+PHB1Yi1kYXRlcz48
ZGF0ZT5TZXA8L2RhdGU+PC9wdWItZGF0ZXM+PC9kYXRlcz48aXNibj4xODc4LTE3ODAgKEVsZWN0
cm9uaWMpJiN4RDsxMjYyLTM2MzYgKExpbmtpbmcpPC9pc2JuPjxhY2Nlc3Npb24tbnVtPjI3MjA5
NDM5PC9hY2Nlc3Npb24tbnVtPjx1cmxzPjxyZWxhdGVkLXVybHM+PHVybD5odHRwczovL3d3dy5u
Y2JpLm5sbS5uaWguZ292L3B1Ym1lZC8yNzIwOTQzOTwvdXJsPjwvcmVsYXRlZC11cmxzPjwvdXJs
cz48ZWxlY3Ryb25pYy1yZXNvdXJjZS1udW0+MTAuMTAxNi9qLmRpYWJldC4yMDE2LjA0LjAwOTwv
ZWxlY3Ryb25pYy1yZXNvdXJjZS1udW0+PC9yZWNvcmQ+PC9DaXRlPjxDaXRlPjxBdXRob3I+TWFz
dHJvbWFyaW5vPC9BdXRob3I+PFllYXI+MjAxNTwvWWVhcj48UmVjTnVtPjE2OTI8L1JlY051bT48
cmVjb3JkPjxyZWMtbnVtYmVyPjE2OTI8L3JlYy1udW1iZXI+PGZvcmVpZ24ta2V5cz48a2V5IGFw
cD0iRU4iIGRiLWlkPSJleHZhc3JmeDJkdHJhb2VzYXN4cDJzenN4YTJkZjUwMjU5MngiIHRpbWVz
dGFtcD0iMTU4MTgzMjA3NiI+MTY5Mjwva2V5PjwvZm9yZWlnbi1rZXlzPjxyZWYtdHlwZSBuYW1l
PSJKb3VybmFsIEFydGljbGUiPjE3PC9yZWYtdHlwZT48Y29udHJpYnV0b3JzPjxhdXRob3JzPjxh
dXRob3I+TWFzdHJvbWFyaW5vLCBQLjwvYXV0aG9yPjxhdXRob3I+Q2Fwb2JpYW5jbywgRC48L2F1
dGhvcj48YXV0aG9yPk1pY2NoZWxpLCBBLjwvYXV0aG9yPjxhdXRob3I+UHJhdGljbywgRy48L2F1
dGhvcj48YXV0aG9yPkNhbXBhZ25hLCBHLjwvYXV0aG9yPjxhdXRob3I+TGFmb3JnaWEsIE4uPC9h
dXRob3I+PGF1dGhvcj5DYXB1cnNpLCBULjwvYXV0aG9yPjxhdXRob3I+QmFsZGFzc2FycmUsIE0u
IEUuPC9hdXRob3I+PC9hdXRob3JzPjwvY29udHJpYnV0b3JzPjxhdXRoLWFkZHJlc3M+RGVwYXJ0
bWVudCBvZiBQdWJsaWMgSGVhbHRoIGFuZCBJbmZlY3Rpb3VzIERpc2Vhc2VzLCBTZWN0aW9uIG9m
IE1pY3JvYmlvbG9neSwgU2FwaWVuemEgVW5pdmVyc2l0eSwgUGlhenphbGUgQWxkbyBNb3JvIDUs
IEktMDAxODUgUm9tZSwgSXRhbHkuIEVsZWN0cm9uaWMgYWRkcmVzczogcGFvbGEubWFzdHJvbWFy
aW5vQHVuaXJvbWExLml0LiYjeEQ7RGVwYXJ0bWVudCBvZiBQdWJsaWMgSGVhbHRoIGFuZCBJbmZl
Y3Rpb3VzIERpc2Vhc2VzLCBTZWN0aW9uIG9mIE1pY3JvYmlvbG9neSwgU2FwaWVuemEgVW5pdmVy
c2l0eSwgUGlhenphbGUgQWxkbyBNb3JvIDUsIEktMDAxODUgUm9tZSwgSXRhbHkuJiN4RDtEZXBh
cnRtZW50IG9mIENoZW1pc3RyeSwgU2FwaWVuemEgVW5pdmVyc2l0eSwgUGlhenphbGUgQWxkbyBN
b3JvIDUsIEktMDAxODUgUm9tZSwgSXRhbHkuJiN4RDtEZXBhcnRtZW50IG9mIEV4cGVyaW1lbnRh
bCBNZWRpY2luZSwgU2FwaWVuemEgVW5pdmVyc2l0eSwgUGlhenphbGUgQWxkbyBNb3JvIDUsIEkt
MDAxODUgUm9tZSwgSXRhbHkuJiN4RDtEZXBhcnRtZW50IG9mIE1lZGljYWwgU2NpZW5jZSBhbmQg
T25jb2xvZ3ksIFNlY3Rpb24gb2YgTmVvbmF0b2xvZ3kgYW5kIE5JQ1UsIFVuaXZlcnNpdHkgb2Yg
QmFyaSwgUGlhenphIEcuIENlc2FyZSAxMSwgNzAxMjQgQmFyaSwgSXRhbHkuJiN4RDtEZXBhcnRt
ZW50IG9mIE1lZGljYWwgU2NpZW5jZSBhbmQgT25jb2xvZ3ksIFNlY3Rpb24gb2YgR3luYWVjb2xv
Z3kgYW5kIE9ic3RldHJpY3MsIFVuaXZlcnNpdHkgb2YgQmFyaSwgUGlhenphIEcuIENlc2FyZSAx
MSwgNzAxMjQgQmFyaSwgSXRhbHkuPC9hdXRoLWFkZHJlc3M+PHRpdGxlcz48dGl0bGU+QWRtaW5p
c3RyYXRpb24gb2YgYSBtdWx0aXN0cmFpbiBwcm9iaW90aWMgcHJvZHVjdCAoVlNMIzMpIHRvIHdv
bWVuIGluIHRoZSBwZXJpbmF0YWwgcGVyaW9kIGRpZmZlcmVudGlhbGx5IGFmZmVjdHMgYnJlYXN0
IG1pbGsgYmVuZWZpY2lhbCBtaWNyb2Jpb3RhIGluIHJlbGF0aW9uIHRvIG1vZGUgb2YgZGVsaXZl
cnk8L3RpdGxlPjxzZWNvbmRhcnktdGl0bGU+UGhhcm1hY29sIFJlczwvc2Vjb25kYXJ5LXRpdGxl
PjwvdGl0bGVzPjxwZXJpb2RpY2FsPjxmdWxsLXRpdGxlPlBoYXJtYWNvbCBSZXM8L2Z1bGwtdGl0
bGU+PC9wZXJpb2RpY2FsPjxwYWdlcz42My03MDwvcGFnZXM+PHZvbHVtZT45NS05Njwvdm9sdW1l
PjxlZGl0aW9uPjIwMTUvMDQvMDQ8L2VkaXRpb24+PGtleXdvcmRzPjxrZXl3b3JkPkFkbWluaXN0
cmF0aW9uLCBPcmFsPC9rZXl3b3JkPjxrZXl3b3JkPkFkb2xlc2NlbnQ8L2tleXdvcmQ+PGtleXdv
cmQ+QWR1bHQ8L2tleXdvcmQ+PGtleXdvcmQ+QmlmaWRvYmFjdGVyaXVtL2RydWcgZWZmZWN0cy9n
ZW5ldGljczwva2V5d29yZD48a2V5d29yZD5ETkEsIEJhY3RlcmlhbC9pc29sYXRpb24gJmFtcDsg
cHVyaWZpY2F0aW9uPC9rZXl3b3JkPjxrZXl3b3JkPkRlbGl2ZXJ5LCBPYnN0ZXRyaWMvKm1ldGhv
ZHM8L2tleXdvcmQ+PGtleXdvcmQ+RG91YmxlLUJsaW5kIE1ldGhvZDwva2V5d29yZD48a2V5d29y
ZD5GZW1hbGU8L2tleXdvcmQ+PGtleXdvcmQ+SHVtYW5zPC9rZXl3b3JkPjxrZXl3b3JkPkxhY3Rv
YmFjaWxsdXMvZHJ1ZyBlZmZlY3RzL2dlbmV0aWNzPC9rZXl3b3JkPjxrZXl3b3JkPk1pY3JvYmlv
dGEvKmRydWcgZWZmZWN0cy9nZW5ldGljczwva2V5d29yZD48a2V5d29yZD5NaWRkbGUgQWdlZDwv
a2V5d29yZD48a2V5d29yZD5NaWxrLCBIdW1hbi8qbWljcm9iaW9sb2d5PC9rZXl3b3JkPjxrZXl3
b3JkPlBlcmluYXRhbCBDYXJlLyptZXRob2RzPC9rZXl3b3JkPjxrZXl3b3JkPlByZWduYW5jeTwv
a2V5d29yZD48a2V5d29yZD5Qcm9iaW90aWNzLyphZG1pbmlzdHJhdGlvbiAmYW1wOyBkb3NhZ2Uv
cGhhcm1hY29sb2d5PC9rZXl3b3JkPjxrZXl3b3JkPlJlYWwtVGltZSBQb2x5bWVyYXNlIENoYWlu
IFJlYWN0aW9uPC9rZXl3b3JkPjxrZXl3b3JkPllvdW5nIEFkdWx0PC9rZXl3b3JkPjxrZXl3b3Jk
PkJyZWFzdCBtaWxrPC9rZXl3b3JkPjxrZXl3b3JkPk1pbGsgZnVuY3Rpb25hbCBjb21wb25lbnRz
PC9rZXl3b3JkPjxrZXl3b3JkPk1pbGsgbWljcm9iaW90YTwva2V5d29yZD48a2V5d29yZD5Nb2Rl
IG9mIGRlbGl2ZXJ5PC9rZXl3b3JkPjxrZXl3b3JkPlByb2Jpb3RpYzwva2V5d29yZD48L2tleXdv
cmRzPjxkYXRlcz48eWVhcj4yMDE1PC95ZWFyPjxwdWItZGF0ZXM+PGRhdGU+TWF5LUp1bjwvZGF0
ZT48L3B1Yi1kYXRlcz48L2RhdGVzPjxpc2JuPjEwOTYtMTE4NiAoRWxlY3Ryb25pYykmI3hEOzEw
NDMtNjYxOCAoTGlua2luZyk8L2lzYm4+PGFjY2Vzc2lvbi1udW0+MjU4MzY5MjI8L2FjY2Vzc2lv
bi1udW0+PHVybHM+PHJlbGF0ZWQtdXJscz48dXJsPmh0dHBzOi8vd3d3Lm5jYmkubmxtLm5paC5n
b3YvcHVibWVkLzI1ODM2OTIyPC91cmw+PC9yZWxhdGVkLXVybHM+PC91cmxzPjxlbGVjdHJvbmlj
LXJlc291cmNlLW51bT4xMC4xMDE2L2oucGhycy4yMDE1LjAzLjAxMzwvZWxlY3Ryb25pYy1yZXNv
dXJjZS1udW0+PC9yZWNvcmQ+PC9DaXRlPjxDaXRlPjxBdXRob3I+T2xzZW48L0F1dGhvcj48WWVh
cj4yMDE4PC9ZZWFyPjxSZWNOdW0+MTcwOTwvUmVjTnVtPjxyZWNvcmQ+PHJlYy1udW1iZXI+MTcw
OTwvcmVjLW51bWJlcj48Zm9yZWlnbi1rZXlzPjxrZXkgYXBwPSJFTiIgZGItaWQ9ImV4dmFzcmZ4
MmR0cmFvZXNhc3hwMnN6c3hhMmRmNTAyNTkyeCIgdGltZXN0YW1wPSIxNTgyNDk5MTgyIj4xNzA5
PC9rZXk+PC9mb3JlaWduLWtleXM+PHJlZi10eXBlIG5hbWU9IkpvdXJuYWwgQXJ0aWNsZSI+MTc8
L3JlZi10eXBlPjxjb250cmlidXRvcnM+PGF1dGhvcnM+PGF1dGhvcj5PbHNlbiwgUGF1bGE8L2F1
dGhvcj48YXV0aG9yPldpbGxpYW1zb24sIE1vaXJhPC9hdXRob3I+PGF1dGhvcj5UcmF5bm9yLCBW
aWN0b3JpYTwvYXV0aG9yPjxhdXRob3I+R2Vvcmdpb3UsIENocmlzPC9hdXRob3I+PC9hdXRob3Jz
PjwvY29udHJpYnV0b3JzPjx0aXRsZXM+PHRpdGxlPlRoZSBpbXBhY3Qgb2Ygb3JhbCBwcm9iaW90
aWNzIG9uIHZhZ2luYWwgR3JvdXAgQiBTdHJlcHRvY29jY2FsIGNvbG9uaXNhdGlvbiByYXRlcyBp
biBwcmVnbmFudCB3b21lbjogQSBwaWxvdCByYW5kb21pc2VkIGNvbnRyb2wgc3R1ZHk8L3RpdGxl
PjxzZWNvbmRhcnktdGl0bGU+V29tZW4gYW5kIEJpcnRoPC9zZWNvbmRhcnktdGl0bGU+PC90aXRs
ZXM+PHBlcmlvZGljYWw+PGZ1bGwtdGl0bGU+V29tZW4gYW5kIEJpcnRoPC9mdWxsLXRpdGxlPjwv
cGVyaW9kaWNhbD48cGFnZXM+MzEtMzc8L3BhZ2VzPjx2b2x1bWU+MzE8L3ZvbHVtZT48bnVtYmVy
PjE8L251bWJlcj48c2VjdGlvbj4zMTwvc2VjdGlvbj48ZGF0ZXM+PHllYXI+MjAxODwveWVhcj48
L2RhdGVzPjxpc2JuPjE4NzE1MTkyPC9pc2JuPjx1cmxzPjwvdXJscz48ZWxlY3Ryb25pYy1yZXNv
dXJjZS1udW0+MTAuMTAxNi9qLndvbWJpLjIwMTcuMDYuMDEyPC9lbGVjdHJvbmljLXJlc291cmNl
LW51bT48L3JlY29yZD48L0NpdGU+PC9FbmROb3RlPgB=
</w:fldData>
        </w:fldChar>
      </w:r>
      <w:r w:rsidR="002747EA">
        <w:instrText xml:space="preserve"> ADDIN EN.CITE.DATA </w:instrText>
      </w:r>
      <w:r w:rsidR="002747EA">
        <w:fldChar w:fldCharType="end"/>
      </w:r>
      <w:r w:rsidR="00E30F0E">
        <w:fldChar w:fldCharType="separate"/>
      </w:r>
      <w:r w:rsidR="002747EA" w:rsidRPr="002747EA">
        <w:rPr>
          <w:noProof/>
          <w:vertAlign w:val="superscript"/>
        </w:rPr>
        <w:t>230,235,238,242-245</w:t>
      </w:r>
      <w:r w:rsidR="00E30F0E">
        <w:fldChar w:fldCharType="end"/>
      </w:r>
      <w:r w:rsidR="002D4009">
        <w:t xml:space="preserve"> 101-200 (</w:t>
      </w:r>
      <w:r w:rsidR="002D4009" w:rsidRPr="00D676D7">
        <w:rPr>
          <w:sz w:val="16"/>
          <w:szCs w:val="16"/>
        </w:rPr>
        <w:t>n=</w:t>
      </w:r>
      <w:r w:rsidR="00E30F0E">
        <w:rPr>
          <w:sz w:val="16"/>
          <w:szCs w:val="16"/>
        </w:rPr>
        <w:t>6</w:t>
      </w:r>
      <w:r w:rsidR="002D4009">
        <w:t>),</w:t>
      </w:r>
      <w:r w:rsidR="00E30F0E">
        <w:fldChar w:fldCharType="begin">
          <w:fldData xml:space="preserve">PEVuZE5vdGU+PENpdGU+PEF1dGhvcj5LYWxsaW9tYWtpPC9BdXRob3I+PFllYXI+MjAwMTwvWWVh
cj48UmVjTnVtPjE2ODg8L1JlY051bT48RGlzcGxheVRleHQ+PHN0eWxlIGZhY2U9InN1cGVyc2Ny
aXB0IiBmb250PSJUcmVidWNoZXQgTVMiIHNpemU9IjkiPjIzNCwyMzYsMjQxLDI0OC0yNTA8L3N0
eWxlPjwvRGlzcGxheVRleHQ+PHJlY29yZD48cmVjLW51bWJlcj4xNjg4PC9yZWMtbnVtYmVyPjxm
b3JlaWduLWtleXM+PGtleSBhcHA9IkVOIiBkYi1pZD0iZXh2YXNyZngyZHRyYW9lc2FzeHAyc3pz
eGEyZGY1MDI1OTJ4IiB0aW1lc3RhbXA9IjE1ODE4MzIwNzYiPjE2ODg8L2tleT48L2ZvcmVpZ24t
a2V5cz48cmVmLXR5cGUgbmFtZT0iSm91cm5hbCBBcnRpY2xlIj4xNzwvcmVmLXR5cGU+PGNvbnRy
aWJ1dG9ycz48YXV0aG9ycz48YXV0aG9yPkthbGxpb21ha2ksIE0uPC9hdXRob3I+PGF1dGhvcj5T
YWxtaW5lbiwgUy48L2F1dGhvcj48YXV0aG9yPkFydmlsb21taSwgSC48L2F1dGhvcj48YXV0aG9y
Pktlcm8sIFAuPC9hdXRob3I+PGF1dGhvcj5Lb3NraW5lbiwgUC48L2F1dGhvcj48YXV0aG9yPklz
b2xhdXJpLCBFLjwvYXV0aG9yPjwvYXV0aG9ycz48L2NvbnRyaWJ1dG9ycz48YXV0aC1hZGRyZXNz
PkRlcGFydG1lbnQgb2YgUGFlZGlhdHJpY3MsIFVuaXZlcnNpdHkgb2YgVHVya3UgYW5kIFR1cmt1
IFVuaXZlcnNpdHkgSG9zcGl0YWwsIEZpbmxhbmQuIG1hcmthbEB1dHUuZmk8L2F1dGgtYWRkcmVz
cz48dGl0bGVzPjx0aXRsZT5Qcm9iaW90aWNzIGluIHByaW1hcnkgcHJldmVudGlvbiBvZiBhdG9w
aWMgZGlzZWFzZTogYSByYW5kb21pc2VkIHBsYWNlYm8tY29udHJvbGxlZCB0cmlhbDwvdGl0bGU+
PHNlY29uZGFyeS10aXRsZT5MYW5jZXQ8L3NlY29uZGFyeS10aXRsZT48L3RpdGxlcz48cGVyaW9k
aWNhbD48ZnVsbC10aXRsZT5MYW5jZXQ8L2Z1bGwtdGl0bGU+PC9wZXJpb2RpY2FsPjxwYWdlcz4x
MDc2LTk8L3BhZ2VzPjx2b2x1bWU+MzU3PC92b2x1bWU+PG51bWJlcj45MjYyPC9udW1iZXI+PGVk
aXRpb24+MjAwMS8wNC8xMjwvZWRpdGlvbj48a2V5d29yZHM+PGtleXdvcmQ+Q2hpbGQsIFByZXNj
aG9vbDwva2V5d29yZD48a2V5d29yZD5DaHJvbmljIERpc2Vhc2U8L2tleXdvcmQ+PGtleXdvcmQ+
RGVybWF0aXRpcywgQXRvcGljL2dlbmV0aWNzL2ltbXVub2xvZ3kvcHJldmVudGlvbiAmYW1wOyBj
b250cm9sPC9rZXl3b3JkPjxrZXl3b3JkPkRvdWJsZS1CbGluZCBNZXRob2Q8L2tleXdvcmQ+PGtl
eXdvcmQ+RmVtYWxlPC9rZXl3b3JkPjxrZXl3b3JkPkh1bWFuczwva2V5d29yZD48a2V5d29yZD5I
eXBlcnNlbnNpdGl2aXR5LCBJbW1lZGlhdGUvZGlhZ25vc2lzL2dlbmV0aWNzLypwcmV2ZW50aW9u
ICZhbXA7IGNvbnRyb2w8L2tleXdvcmQ+PGtleXdvcmQ+SW1tdW5vZ2xvYnVsaW4gRS9ibG9vZDwv
a2V5d29yZD48a2V5d29yZD5JbmZhbnQ8L2tleXdvcmQ+PGtleXdvcmQ+SW5mYW50LCBOZXdib3Ju
PC9rZXl3b3JkPjxrZXl3b3JkPkludGVzdGluZXMvbWljcm9iaW9sb2d5PC9rZXl3b3JkPjxrZXl3
b3JkPipMYWN0b2JhY2lsbHVzPC9rZXl3b3JkPjxrZXl3b3JkPlByZWduYW5jeTwva2V5d29yZD48
a2V5d29yZD5QcmVuYXRhbCBFeHBvc3VyZSBEZWxheWVkIEVmZmVjdHM8L2tleXdvcmQ+PGtleXdv
cmQ+UHJpbWFyeSBQcmV2ZW50aW9uPC9rZXl3b3JkPjxrZXl3b3JkPlByb2Jpb3RpY3MvYWRtaW5p
c3RyYXRpb24gJmFtcDsgZG9zYWdlLyp0aGVyYXBldXRpYyB1c2U8L2tleXdvcmQ+PGtleXdvcmQ+
UmVjdXJyZW5jZTwva2V5d29yZD48a2V5d29yZD5SaXNrIEZhY3RvcnM8L2tleXdvcmQ+PGtleXdv
cmQ+U2tpbiBUZXN0czwva2V5d29yZD48L2tleXdvcmRzPjxkYXRlcz48eWVhcj4yMDAxPC95ZWFy
PjxwdWItZGF0ZXM+PGRhdGU+QXByIDc8L2RhdGU+PC9wdWItZGF0ZXM+PC9kYXRlcz48aXNibj4w
MTQwLTY3MzYgKFByaW50KSYjeEQ7MDE0MC02NzM2IChMaW5raW5nKTwvaXNibj48YWNjZXNzaW9u
LW51bT4xMTI5Nzk1ODwvYWNjZXNzaW9uLW51bT48dXJscz48cmVsYXRlZC11cmxzPjx1cmw+aHR0
cHM6Ly93d3cubmNiaS5ubG0ubmloLmdvdi9wdWJtZWQvMTEyOTc5NTg8L3VybD48L3JlbGF0ZWQt
dXJscz48L3VybHM+PGVsZWN0cm9uaWMtcmVzb3VyY2UtbnVtPjEwLjEwMTYvUzAxNDAtNjczNigw
MCkwNDI1OS04PC9lbGVjdHJvbmljLXJlc291cmNlLW51bT48L3JlY29yZD48L0NpdGU+PENpdGU+
PEF1dGhvcj5LaW08L0F1dGhvcj48WWVhcj4yMDEwPC9ZZWFyPjxSZWNOdW0+MTY5MDwvUmVjTnVt
PjxyZWNvcmQ+PHJlYy1udW1iZXI+MTY5MDwvcmVjLW51bWJlcj48Zm9yZWlnbi1rZXlzPjxrZXkg
YXBwPSJFTiIgZGItaWQ9ImV4dmFzcmZ4MmR0cmFvZXNhc3hwMnN6c3hhMmRmNTAyNTkyeCIgdGlt
ZXN0YW1wPSIxNTgxODMyMDc2Ij4xNjkwPC9rZXk+PC9mb3JlaWduLWtleXM+PHJlZi10eXBlIG5h
bWU9IkpvdXJuYWwgQXJ0aWNsZSI+MTc8L3JlZi10eXBlPjxjb250cmlidXRvcnM+PGF1dGhvcnM+
PGF1dGhvcj5LaW0sIEouIFkuPC9hdXRob3I+PGF1dGhvcj5Ld29uLCBKLiBILjwvYXV0aG9yPjxh
dXRob3I+QWhuLCBTLiBILjwvYXV0aG9yPjxhdXRob3I+TGVlLCBTLiBJLjwvYXV0aG9yPjxhdXRo
b3I+SGFuLCBZLiBTLjwvYXV0aG9yPjxhdXRob3I+Q2hvaSwgWS4gTy48L2F1dGhvcj48YXV0aG9y
PkxlZSwgUy4gWS48L2F1dGhvcj48YXV0aG9yPkFobiwgSy4gTS48L2F1dGhvcj48YXV0aG9yPkpp
LCBHLiBFLjwvYXV0aG9yPjwvYXV0aG9ycz48L2NvbnRyaWJ1dG9ycz48YXV0aC1hZGRyZXNzPkRl
cGFydG1lbnQgb2YgRm9vZCBhbmQgTnV0cml0aW9uLCBDb2xsZWdlIG9mIEh1bWFuIEVjb2xvZ3ks
IFNlb3VsIE5hdGlvbmFsIFVuaXZlcnNpdHksIFNhbiA1Ni0xLCBTaGlubGltZG9uZywgS3dhbmFr
a3UsIFNlb3VsLCBLb3JlYS48L2F1dGgtYWRkcmVzcz48dGl0bGVzPjx0aXRsZT5FZmZlY3Qgb2Yg
cHJvYmlvdGljIG1peCAoQmlmaWRvYmFjdGVyaXVtIGJpZmlkdW0sIEJpZmlkb2JhY3Rlcml1bSBs
YWN0aXMsIExhY3RvYmFjaWxsdXMgYWNpZG9waGlsdXMpIGluIHRoZSBwcmltYXJ5IHByZXZlbnRp
b24gb2YgZWN6ZW1hOiBhIGRvdWJsZS1ibGluZCwgcmFuZG9taXplZCwgcGxhY2Viby1jb250cm9s
bGVkIHRyaWFsPC90aXRsZT48c2Vjb25kYXJ5LXRpdGxlPlBlZGlhdHIgQWxsZXJneSBJbW11bm9s
PC9zZWNvbmRhcnktdGl0bGU+PC90aXRsZXM+PHBlcmlvZGljYWw+PGZ1bGwtdGl0bGU+UGVkaWF0
ciBBbGxlcmd5IEltbXVub2w8L2Z1bGwtdGl0bGU+PC9wZXJpb2RpY2FsPjxwYWdlcz5lMzg2LTkz
PC9wYWdlcz48dm9sdW1lPjIxPC92b2x1bWU+PG51bWJlcj4yIFB0IDI8L251bWJlcj48ZWRpdGlv
bj4yMDA5LzEwLzIxPC9lZGl0aW9uPjxrZXl3b3Jkcz48a2V5d29yZD5CaWZpZG9iYWN0ZXJpdW0v
Y2xhc3NpZmljYXRpb24vKmltbXVub2xvZ3k8L2tleXdvcmQ+PGtleXdvcmQ+QnJlYXN0IEZlZWRp
bmc8L2tleXdvcmQ+PGtleXdvcmQ+RGVybWF0aXRpcywgQXRvcGljL2VwaWRlbWlvbG9neS9pbW11
bm9sb2d5L3ByZXZlbnRpb24gJmFtcDsgY29udHJvbDwva2V5d29yZD48a2V5d29yZD5Eb3VibGUt
QmxpbmQgTWV0aG9kPC9rZXl3b3JkPjxrZXl3b3JkPkVjemVtYS8qZXBpZGVtaW9sb2d5L2ltbXVu
b2xvZ3kvcHJldmVudGlvbiAmYW1wOyBjb250cm9sPC9rZXl3b3JkPjxrZXl3b3JkPkZlbWFsZTwv
a2V5d29yZD48a2V5d29yZD5Gb29kIEh5cGVyc2Vuc2l0aXZpdHkvcHJldmVudGlvbiAmYW1wOyBj
b250cm9sPC9rZXl3b3JkPjxrZXl3b3JkPkh1bWFuczwva2V5d29yZD48a2V5d29yZD5JbW11bm9n
bG9idWxpbiBFL2Jsb29kPC9rZXl3b3JkPjxrZXl3b3JkPkluY2lkZW5jZTwva2V5d29yZD48a2V5
d29yZD5JbmZhbnQ8L2tleXdvcmQ+PGtleXdvcmQ+SW5mYW50LCBOZXdib3JuPC9rZXl3b3JkPjxr
ZXl3b3JkPkxhY3RvYmFjaWxsdXMgYWNpZG9waGlsdXMvKmltbXVub2xvZ3k8L2tleXdvcmQ+PGtl
eXdvcmQ+UG9zdG5hdGFsIENhcmU8L2tleXdvcmQ+PGtleXdvcmQ+UHJlZ25hbmN5PC9rZXl3b3Jk
PjxrZXl3b3JkPlByZW5hdGFsIENhcmU8L2tleXdvcmQ+PGtleXdvcmQ+UHJldmFsZW5jZTwva2V5
d29yZD48a2V5d29yZD5Qcm9iaW90aWNzLyphZG1pbmlzdHJhdGlvbiAmYW1wOyBkb3NhZ2U8L2tl
eXdvcmQ+PGtleXdvcmQ+VHJlYXRtZW50IE91dGNvbWU8L2tleXdvcmQ+PC9rZXl3b3Jkcz48ZGF0
ZXM+PHllYXI+MjAxMDwveWVhcj48cHViLWRhdGVzPjxkYXRlPk1hcjwvZGF0ZT48L3B1Yi1kYXRl
cz48L2RhdGVzPjxpc2JuPjEzOTktMzAzOCAoRWxlY3Ryb25pYykmI3hEOzA5MDUtNjE1NyAoTGlu
a2luZyk8L2lzYm4+PGFjY2Vzc2lvbi1udW0+MTk4NDAzMDA8L2FjY2Vzc2lvbi1udW0+PHVybHM+
PHJlbGF0ZWQtdXJscz48dXJsPmh0dHBzOi8vd3d3Lm5jYmkubmxtLm5paC5nb3YvcHVibWVkLzE5
ODQwMzAwPC91cmw+PC9yZWxhdGVkLXVybHM+PC91cmxzPjxlbGVjdHJvbmljLXJlc291cmNlLW51
bT4xMC4xMTExL2ouMTM5OS0zMDM4LjIwMDkuMDA5NTgueDwvZWxlY3Ryb25pYy1yZXNvdXJjZS1u
dW0+PC9yZWNvcmQ+PC9DaXRlPjxDaXRlPjxBdXRob3I+TGluZHNheTwvQXV0aG9yPjxZZWFyPjIw
MTQ8L1llYXI+PFJlY051bT4xODQ2PC9SZWNOdW0+PHJlY29yZD48cmVjLW51bWJlcj4xODQ2PC9y
ZWMtbnVtYmVyPjxmb3JlaWduLWtleXM+PGtleSBhcHA9IkVOIiBkYi1pZD0iZXh2YXNyZngyZHRy
YW9lc2FzeHAyc3pzeGEyZGY1MDI1OTJ4IiB0aW1lc3RhbXA9IjE1ODcwOTczMzYiPjE4NDY8L2tl
eT48L2ZvcmVpZ24ta2V5cz48cmVmLXR5cGUgbmFtZT0iSm91cm5hbCBBcnRpY2xlIj4xNzwvcmVm
LXR5cGU+PGNvbnRyaWJ1dG9ycz48YXV0aG9ycz48YXV0aG9yPkxpbmRzYXksIEsuIEwuPC9hdXRo
b3I+PGF1dGhvcj5LZW5uZWxseSwgTS48L2F1dGhvcj48YXV0aG9yPkN1bGxpdG9uLCBNLjwvYXV0
aG9yPjxhdXRob3I+U21pdGgsIFQuPC9hdXRob3I+PGF1dGhvcj5NYWd1aXJlLCBPLiBDLjwvYXV0
aG9yPjxhdXRob3I+U2hhbmFoYW4sIEYuPC9hdXRob3I+PGF1dGhvcj5CcmVubmFuLCBMLjwvYXV0
aG9yPjxhdXRob3I+TWNBdWxpZmZlLCBGLiBNLjwvYXV0aG9yPjwvYXV0aG9ycz48L2NvbnRyaWJ1
dG9ycz48YXV0aC1hZGRyZXNzPkZyb20gdGhlIFVuaXZlcnNpdHkgQ29sbGVnZSBEdWJsaW4gKFVD
RCkgT2JzdGV0cmljcyBhbmQgR3luYWVjb2xvZ3ksIFNjaG9vbCBvZiBNZWRpY2luZSBhbmQgTWVk
aWNhbCBTY2llbmNlLCBVQ0QsIE5hdGlvbmFsIE1hdGVybml0eSBIb3NwaXRhbCwgRHVibGluLCBJ
cmVsYW5kIChLTEwsIE1LLCBhbmQgRk1NKTsgTGFib3JhdG9yeSBNZWRpY2luZSwgTmF0aW9uYWwg
TWF0ZXJuaXR5IEhvc3BpdGFsLCBEdWJsaW4sIElyZWxhbmQgKE1DKTsgdGhlIERlcGFydG1lbnQg
b2YgQ2xpbmljYWwgQ2hlbWlzdHJ5LCBTdCBWaW5jZW50JmFwb3M7cyBVbml2ZXJzaXR5IEhvc3Bp
dGFsLCBFbG0gUGFyaywgRHVibGluLCBJcmVsYW5kIChUUyBhbmQgT0NNKTsgdGhlIERlcGFydG1l
bnQgb2YgTWVkaWNpbmUsIEFsaW1lbnRhcnkgYW5kIFBoYXJtYWJpb3RpYyBDZW50cmUsIFVuaXZl
cnNpdHkgQ29sbGVnZSBDb3JrLCBDb3JrLCBJcmVsYW5kIChGUyk7IGFuZCB0aGUgSW5zdGl0dXRl
IG9mIEZvb2QgYW5kIEhlYWx0aCwgVUNEIFNjaG9vbCBvZiBBZ3JpY3VsdHVyZSBhbmQgRm9vZCBT
Y2llbmNlLCBVQ0QsIEJlbGZpZWxkLCBEdWJsaW4sIElyZWxhbmQgKExCKS48L2F1dGgtYWRkcmVz
cz48dGl0bGVzPjx0aXRsZT5Qcm9iaW90aWNzIGluIG9iZXNlIHByZWduYW5jeSBkbyBub3QgcmVk
dWNlIG1hdGVybmFsIGZhc3RpbmcgZ2x1Y29zZTogYSBkb3VibGUtYmxpbmQsIHBsYWNlYm8tY29u
dHJvbGxlZCwgcmFuZG9taXplZCB0cmlhbCAoUHJvYmlvdGljcyBpbiBQcmVnbmFuY3kgU3R1ZHkp
PC90aXRsZT48c2Vjb25kYXJ5LXRpdGxlPkFtIEogQ2xpbiBOdXRyPC9zZWNvbmRhcnktdGl0bGU+
PC90aXRsZXM+PHBlcmlvZGljYWw+PGZ1bGwtdGl0bGU+QW0gSiBDbGluIE51dHI8L2Z1bGwtdGl0
bGU+PC9wZXJpb2RpY2FsPjxwYWdlcz4xNDMyLTk8L3BhZ2VzPjx2b2x1bWU+OTk8L3ZvbHVtZT48
bnVtYmVyPjY8L251bWJlcj48ZWRpdGlvbj4yMDE0LzAzLzIyPC9lZGl0aW9uPjxrZXl3b3Jkcz48
a2V5d29yZD5BZHVsdDwva2V5d29yZD48a2V5d29yZD5Cb2R5IE1hc3MgSW5kZXg8L2tleXdvcmQ+
PGtleXdvcmQ+Q29ob3J0IFN0dWRpZXM8L2tleXdvcmQ+PGtleXdvcmQ+RGlhYmV0ZXMsIEdlc3Rh
dGlvbmFsL2VwaWRlbWlvbG9neS9ldGlvbG9neS9wcmV2ZW50aW9uICZhbXA7IGNvbnRyb2w8L2tl
eXdvcmQ+PGtleXdvcmQ+RG91YmxlLUJsaW5kIE1ldGhvZDwva2V5d29yZD48a2V5d29yZD5GZW1h
bGU8L2tleXdvcmQ+PGtleXdvcmQ+R2x1Y29zZSBJbnRvbGVyYW5jZS9lcGlkZW1pb2xvZ3kvZXRp
b2xvZ3kvcHJldmVudGlvbiAmYW1wOyBjb250cm9sPC9rZXl3b3JkPjxrZXl3b3JkPkhvc3BpdGFs
cywgTWF0ZXJuaXR5PC9rZXl3b3JkPjxrZXl3b3JkPkh1bWFuczwva2V5d29yZD48a2V5d29yZD5I
eXBlcmdseWNlbWlhL2VwaWRlbWlvbG9neS9ldGlvbG9neS8qcHJldmVudGlvbiAmYW1wOyBjb250
cm9sPC9rZXl3b3JkPjxrZXl3b3JkPkluY2lkZW5jZTwva2V5d29yZD48a2V5d29yZD5JcmVsYW5k
L2VwaWRlbWlvbG9neTwva2V5d29yZD48a2V5d29yZD4qTGFjdG9iYWNpbGx1czwva2V5d29yZD48
a2V5d29yZD4qTWF0ZXJuYWwgTnV0cml0aW9uYWwgUGh5c2lvbG9naWNhbCBQaGVub21lbmE8L2tl
eXdvcmQ+PGtleXdvcmQ+T2Jlc2l0eS9ibG9vZC8qZGlldCB0aGVyYXB5L3BoeXNpb3BhdGhvbG9n
eTwva2V5d29yZD48a2V5d29yZD5PdXRwYXRpZW50IENsaW5pY3MsIEhvc3BpdGFsPC9rZXl3b3Jk
PjxrZXl3b3JkPlByZWduYW5jeTwva2V5d29yZD48a2V5d29yZD5QcmVnbmFuY3kgQ29tcGxpY2F0
aW9ucy9ibG9vZC8qZGlldCB0aGVyYXB5L3BoeXNpb3BhdGhvbG9neTwva2V5d29yZD48a2V5d29y
ZD5Qcm9iaW90aWNzL2FkdmVyc2UgZWZmZWN0cy8qdGhlcmFwZXV0aWMgdXNlPC9rZXl3b3JkPjxr
ZXl3b3JkPlJpc2s8L2tleXdvcmQ+PC9rZXl3b3Jkcz48ZGF0ZXM+PHllYXI+MjAxNDwveWVhcj48
cHViLWRhdGVzPjxkYXRlPkp1bjwvZGF0ZT48L3B1Yi1kYXRlcz48L2RhdGVzPjxpc2JuPjE5Mzgt
MzIwNyAoRWxlY3Ryb25pYykmI3hEOzAwMDItOTE2NSAoTGlua2luZyk8L2lzYm4+PGFjY2Vzc2lv
bi1udW0+MjQ2NDY4MTk8L2FjY2Vzc2lvbi1udW0+PHVybHM+PHJlbGF0ZWQtdXJscz48dXJsPmh0
dHBzOi8vd3d3Lm5jYmkubmxtLm5paC5nb3YvcHVibWVkLzI0NjQ2ODE5PC91cmw+PC9yZWxhdGVk
LXVybHM+PC91cmxzPjxlbGVjdHJvbmljLXJlc291cmNlLW51bT4xMC4zOTQ1L2FqY24uMTEzLjA3
OTcyMzwvZWxlY3Ryb25pYy1yZXNvdXJjZS1udW0+PC9yZWNvcmQ+PC9DaXRlPjxDaXRlPjxBdXRo
b3I+TGluZHNheTwvQXV0aG9yPjxZZWFyPjIwMTU8L1llYXI+PFJlY051bT4xNjk2PC9SZWNOdW0+
PHJlY29yZD48cmVjLW51bWJlcj4xNjk2PC9yZWMtbnVtYmVyPjxmb3JlaWduLWtleXM+PGtleSBh
cHA9IkVOIiBkYi1pZD0iZXh2YXNyZngyZHRyYW9lc2FzeHAyc3pzeGEyZGY1MDI1OTJ4IiB0aW1l
c3RhbXA9IjE1ODE4MzIyODkiPjE2OTY8L2tleT48L2ZvcmVpZ24ta2V5cz48cmVmLXR5cGUgbmFt
ZT0iSm91cm5hbCBBcnRpY2xlIj4xNzwvcmVmLXR5cGU+PGNvbnRyaWJ1dG9ycz48YXV0aG9ycz48
YXV0aG9yPkxpbmRzYXksIEsuIEwuPC9hdXRob3I+PGF1dGhvcj5CcmVubmFuLCBMLjwvYXV0aG9y
PjxhdXRob3I+S2VubmVsbHksIE0uIEEuPC9hdXRob3I+PGF1dGhvcj5NYWd1aXJlLCBPLiBDLjwv
YXV0aG9yPjxhdXRob3I+U21pdGgsIFQuPC9hdXRob3I+PGF1dGhvcj5DdXJyYW4sIFMuPC9hdXRo
b3I+PGF1dGhvcj5Db2ZmZXksIE0uPC9hdXRob3I+PGF1dGhvcj5Gb2xleSwgTS4gRS48L2F1dGhv
cj48YXV0aG9yPkhhdHVuaWMsIE0uPC9hdXRob3I+PGF1dGhvcj5TaGFuYWhhbiwgRi48L2F1dGhv
cj48YXV0aG9yPk1jQXVsaWZmZSwgRi4gTS48L2F1dGhvcj48L2F1dGhvcnM+PC9jb250cmlidXRv
cnM+PGF1dGgtYWRkcmVzcz5VQ0QgT2JzdGV0cmljcyBhbmQgR3luZWNvbG9neSwgU2Nob29sIG9m
IE1lZGljaW5lIGFuZCBNZWRpY2FsIFNjaWVuY2UsIGFuZCBOYXRpb25hbCBNYXRlcm5pdHkgSG9z
cGl0YWwsIFVuaXZlcnNpdHkgQ29sbGVnZSBEdWJsaW4sIER1YmxpbiwgSXJlbGFuZC4mI3hEO1VD
RCBJbnN0aXR1dGUgb2YgRm9vZCBhbmQgSGVhbHRoLCBTY2hvb2wgb2YgQWdyaWN1bHR1cmUgYW5k
IEZvb2QgU2NpZW5jZSwgVW5pdmVyc2l0eSBDb2xsZWdlIER1YmxpbiwgRHVibGluLCBJcmVsYW5k
LiYjeEQ7RGVwYXJ0bWVudCBvZiBDbGluaWNhbCBDaGVtaXN0cnksIFN0LiBWaW5jZW50JmFwb3M7
cyBVbml2ZXJzaXR5IEhvc3BpdGFsLCBFbG0gUGFyaywgRHVibGluLCBJcmVsYW5kLiYjeEQ7RGVw
YXJ0bWVudCBvZiBDbGluaWNhbCBOdXRyaXRpb24sIE5hdGlvbmFsIE1hdGVybml0eSBIb3NwaXRh
bCwgRHVibGluLCBJcmVsYW5kLiYjeEQ7RGVwYXJ0bWVudCBvZiBNaWR3aWZlcnksIE5hdGlvbmFs
IE1hdGVybml0eSBIb3NwaXRhbCwgRHVibGluLCBJcmVsYW5kLiYjeEQ7RGVwYXJ0bWVudCBvZiBF
bmRvY3Jpbm9sb2d5LCBOYXRpb25hbCBNYXRlcm5pdHkgSG9zcGl0YWwsIER1YmxpbiwgSXJlbGFu
ZC4mI3hEO0RlcGFydG1lbnQgb2YgTWVkaWNpbmUsIEFsaW1lbnRhcnkgYW5kIFBoYXJtYWJpb3Rp
YyBDZW50ZXIsIFVuaXZlcnNpdHkgQ29sbGVnZSBDb3JrLCBDb3JrLCBJcmVsYW5kLiYjeEQ7VUNE
IE9ic3RldHJpY3MgYW5kIEd5bmVjb2xvZ3ksIFNjaG9vbCBvZiBNZWRpY2luZSBhbmQgTWVkaWNh
bCBTY2llbmNlLCBhbmQgTmF0aW9uYWwgTWF0ZXJuaXR5IEhvc3BpdGFsLCBVbml2ZXJzaXR5IENv
bGxlZ2UgRHVibGluLCBEdWJsaW4sIElyZWxhbmQuIEVsZWN0cm9uaWMgYWRkcmVzczogZmlvbm51
YWxhLm1jYXVsaWZmZUB1Y2QuaWUuPC9hdXRoLWFkZHJlc3M+PHRpdGxlcz48dGl0bGU+SW1wYWN0
IG9mIHByb2Jpb3RpY3MgaW4gd29tZW4gd2l0aCBnZXN0YXRpb25hbCBkaWFiZXRlcyBtZWxsaXR1
cyBvbiBtZXRhYm9saWMgaGVhbHRoOiBhIHJhbmRvbWl6ZWQgY29udHJvbGxlZCB0cmlhbDwvdGl0
bGU+PHNlY29uZGFyeS10aXRsZT5BbSBKIE9ic3RldCBHeW5lY29sPC9zZWNvbmRhcnktdGl0bGU+
PC90aXRsZXM+PHBlcmlvZGljYWw+PGZ1bGwtdGl0bGU+QW0gSiBPYnN0ZXQgR3luZWNvbDwvZnVs
bC10aXRsZT48L3BlcmlvZGljYWw+PHBhZ2VzPjQ5NiBlMS0xMTwvcGFnZXM+PHZvbHVtZT4yMTI8
L3ZvbHVtZT48bnVtYmVyPjQ8L251bWJlcj48ZWRpdGlvbj4yMDE1LzAyLzE4PC9lZGl0aW9uPjxr
ZXl3b3Jkcz48a2V5d29yZD5BZHVsdDwva2V5d29yZD48a2V5d29yZD5CaW9tYXJrZXJzL2Jsb29k
PC9rZXl3b3JkPjxrZXl3b3JkPkJsb29kIEdsdWNvc2UvbWV0YWJvbGlzbTwva2V5d29yZD48a2V5
d29yZD5DLVBlcHRpZGUvYmxvb2Q8L2tleXdvcmQ+PGtleXdvcmQ+Q2hvbGVzdGVyb2wvYmxvb2Q8
L2tleXdvcmQ+PGtleXdvcmQ+RGlhYmV0ZXMsIEdlc3RhdGlvbmFsL2Jsb29kLyp0aGVyYXB5PC9r
ZXl3b3JkPjxrZXl3b3JkPkRvdWJsZS1CbGluZCBNZXRob2Q8L2tleXdvcmQ+PGtleXdvcmQ+RmVt
YWxlPC9rZXl3b3JkPjxrZXl3b3JkPkh1bWFuczwva2V5d29yZD48a2V5d29yZD5JbmZhbnQsIE5l
d2Jvcm48L2tleXdvcmQ+PGtleXdvcmQ+SW5zdWxpbi9ibG9vZDwva2V5d29yZD48a2V5d29yZD5J
bnRlbnRpb24gdG8gVHJlYXQgQW5hbHlzaXM8L2tleXdvcmQ+PGtleXdvcmQ+KkxhY3RvYmFjaWxs
dXM8L2tleXdvcmQ+PGtleXdvcmQ+UHJlZ25hbmN5PC9rZXl3b3JkPjxrZXl3b3JkPlByZWduYW5j
eSBPdXRjb21lPC9rZXl3b3JkPjxrZXl3b3JkPlByb2Jpb3RpY3MvKnRoZXJhcGV1dGljIHVzZTwv
a2V5d29yZD48a2V5d29yZD5UcmVhdG1lbnQgT3V0Y29tZTwva2V5d29yZD48a2V5d29yZD5nZXN0
YXRpb25hbCBkaWFiZXRlczwva2V5d29yZD48a2V5d29yZD5nbHljZW1pYyBjb250cm9sPC9rZXl3
b3JkPjxrZXl3b3JkPmxvdy1kZW5zaXR5IGxpcG9wcm90ZWluIGNob2xlc3Rlcm9sPC9rZXl3b3Jk
PjxrZXl3b3JkPnByb2Jpb3RpY3M8L2tleXdvcmQ+PGtleXdvcmQ+dG90YWwgY2hvbGVzdGVyb2w8
L2tleXdvcmQ+PC9rZXl3b3Jkcz48ZGF0ZXM+PHllYXI+MjAxNTwveWVhcj48cHViLWRhdGVzPjxk
YXRlPkFwcjwvZGF0ZT48L3B1Yi1kYXRlcz48L2RhdGVzPjxpc2JuPjEwOTctNjg2OCAoRWxlY3Ry
b25pYykmI3hEOzAwMDItOTM3OCAoTGlua2luZyk8L2lzYm4+PGFjY2Vzc2lvbi1udW0+MjU2ODc1
Njg8L2FjY2Vzc2lvbi1udW0+PHVybHM+PHJlbGF0ZWQtdXJscz48dXJsPmh0dHBzOi8vd3d3Lm5j
YmkubmxtLm5paC5nb3YvcHVibWVkLzI1Njg3NTY4PC91cmw+PC9yZWxhdGVkLXVybHM+PC91cmxz
PjxlbGVjdHJvbmljLXJlc291cmNlLW51bT4xMC4xMDE2L2ouYWpvZy4yMDE1LjAyLjAwODwvZWxl
Y3Ryb25pYy1yZXNvdXJjZS1udW0+PC9yZWNvcmQ+PC9DaXRlPjxDaXRlPjxBdXRob3I+TmllcnM8
L0F1dGhvcj48WWVhcj4yMDA5PC9ZZWFyPjxSZWNOdW0+MTY5MzwvUmVjTnVtPjxyZWNvcmQ+PHJl
Yy1udW1iZXI+MTY5MzwvcmVjLW51bWJlcj48Zm9yZWlnbi1rZXlzPjxrZXkgYXBwPSJFTiIgZGIt
aWQ9ImV4dmFzcmZ4MmR0cmFvZXNhc3hwMnN6c3hhMmRmNTAyNTkyeCIgdGltZXN0YW1wPSIxNTgx
ODMyMDc2Ij4xNjkzPC9rZXk+PC9mb3JlaWduLWtleXM+PHJlZi10eXBlIG5hbWU9IkpvdXJuYWwg
QXJ0aWNsZSI+MTc8L3JlZi10eXBlPjxjb250cmlidXRvcnM+PGF1dGhvcnM+PGF1dGhvcj5OaWVy
cywgTC48L2F1dGhvcj48YXV0aG9yPk1hcnRpbiwgUi48L2F1dGhvcj48YXV0aG9yPlJpamtlcnMs
IEcuPC9hdXRob3I+PGF1dGhvcj5TZW5nZXJzLCBGLjwvYXV0aG9yPjxhdXRob3I+VGltbWVybWFu
LCBILjwvYXV0aG9yPjxhdXRob3I+dmFuIFVkZW4sIE4uPC9hdXRob3I+PGF1dGhvcj5TbWlkdCwg
SC48L2F1dGhvcj48YXV0aG9yPktpbXBlbiwgSi48L2F1dGhvcj48YXV0aG9yPkhvZWtzdHJhLCBN
LjwvYXV0aG9yPjwvYXV0aG9ycz48L2NvbnRyaWJ1dG9ycz48YXV0aC1hZGRyZXNzPkRlcGFydG1l
bnQgb2YgUGVkaWF0cmljcywgV2lsaGVsbWluYSBDaGlsZHJlbiZhcG9zO3MmYXBvczsgSG9zcGl0
YWwsIFVuaXZlcnNpdHkgTWVkaWNhbCBDZW50ZXIsIFV0cmVjaHQsIHRoZSBOZXRoZXJsYW5kcy48
L2F1dGgtYWRkcmVzcz48dGl0bGVzPjx0aXRsZT5UaGUgZWZmZWN0cyBvZiBzZWxlY3RlZCBwcm9i
aW90aWMgc3RyYWlucyBvbiB0aGUgZGV2ZWxvcG1lbnQgb2YgZWN6ZW1hICh0aGUgUGFuZEEgc3R1
ZHkpPC90aXRsZT48c2Vjb25kYXJ5LXRpdGxlPkFsbGVyZ3k8L3NlY29uZGFyeS10aXRsZT48L3Rp
dGxlcz48cGVyaW9kaWNhbD48ZnVsbC10aXRsZT5BbGxlcmd5PC9mdWxsLXRpdGxlPjwvcGVyaW9k
aWNhbD48cGFnZXM+MTM0OS01ODwvcGFnZXM+PHZvbHVtZT42NDwvdm9sdW1lPjxudW1iZXI+OTwv
bnVtYmVyPjxlZGl0aW9uPjIwMDkvMDQvMjg8L2VkaXRpb24+PGtleXdvcmRzPjxrZXl3b3JkPkFk
dWx0PC9rZXl3b3JkPjxrZXl3b3JkPipCaWZpZG9iYWN0ZXJpdW08L2tleXdvcmQ+PGtleXdvcmQ+
Q3l0b2tpbmVzL2Jsb29kPC9rZXl3b3JkPjxrZXl3b3JkPkRvdWJsZS1CbGluZCBNZXRob2Q8L2tl
eXdvcmQ+PGtleXdvcmQ+RWN6ZW1hL2ltbXVub2xvZ3kvbWljcm9iaW9sb2d5LypwcmV2ZW50aW9u
ICZhbXA7IGNvbnRyb2w8L2tleXdvcmQ+PGtleXdvcmQ+RmVtYWxlPC9rZXl3b3JkPjxrZXl3b3Jk
Pkh1bWFuczwva2V5d29yZD48a2V5d29yZD5IeXBlcnNlbnNpdGl2aXR5L2ltbXVub2xvZ3kvbWlj
cm9iaW9sb2d5LypwcmV2ZW50aW9uICZhbXA7IGNvbnRyb2w8L2tleXdvcmQ+PGtleXdvcmQ+SW1t
dW5vZ2xvYnVsaW4gRS9ibG9vZDwva2V5d29yZD48a2V5d29yZD5JbmZhbnQ8L2tleXdvcmQ+PGtl
eXdvcmQ+KkxhY3RvY29jY3VzIGxhY3Rpczwva2V5d29yZD48a2V5d29yZD5NYWxlPC9rZXl3b3Jk
PjxrZXl3b3JkPlByZWduYW5jeTwva2V5d29yZD48a2V5d29yZD5Qcm9iaW90aWNzLyp0aGVyYXBl
dXRpYyB1c2U8L2tleXdvcmQ+PC9rZXl3b3Jkcz48ZGF0ZXM+PHllYXI+MjAwOTwveWVhcj48cHVi
LWRhdGVzPjxkYXRlPlNlcDwvZGF0ZT48L3B1Yi1kYXRlcz48L2RhdGVzPjxpc2JuPjEzOTgtOTk5
NSAoRWxlY3Ryb25pYykmI3hEOzAxMDUtNDUzOCAoTGlua2luZyk8L2lzYm4+PGFjY2Vzc2lvbi1u
dW0+MTkzOTI5OTM8L2FjY2Vzc2lvbi1udW0+PHVybHM+PHJlbGF0ZWQtdXJscz48dXJsPmh0dHBz
Oi8vd3d3Lm5jYmkubmxtLm5paC5nb3YvcHVibWVkLzE5MzkyOTkzPC91cmw+PC9yZWxhdGVkLXVy
bHM+PC91cmxzPjxlbGVjdHJvbmljLXJlc291cmNlLW51bT4xMC4xMTExL2ouMTM5OC05OTk1LjIw
MDkuMDIwMjEueDwvZWxlY3Ryb25pYy1yZXNvdXJjZS1udW0+PC9yZWNvcmQ+PC9DaXRlPjxDaXRl
PjxBdXRob3I+U2hhcnBlPC9BdXRob3I+PFllYXI+MjAxOTwvWWVhcj48UmVjTnVtPjE2NzA8L1Jl
Y051bT48cmVjb3JkPjxyZWMtbnVtYmVyPjE2NzA8L3JlYy1udW1iZXI+PGZvcmVpZ24ta2V5cz48
a2V5IGFwcD0iRU4iIGRiLWlkPSJleHZhc3JmeDJkdHJhb2VzYXN4cDJzenN4YTJkZjUwMjU5Mngi
IHRpbWVzdGFtcD0iMTU4MTMxMjg0NyI+MTY3MDwva2V5PjxrZXkgYXBwPSJFTldlYiIgZGItaWQ9
IiI+MDwva2V5PjwvZm9yZWlnbi1rZXlzPjxyZWYtdHlwZSBuYW1lPSJKb3VybmFsIEFydGljbGUi
PjE3PC9yZWYtdHlwZT48Y29udHJpYnV0b3JzPjxhdXRob3JzPjxhdXRob3I+U2hhcnBlLCBNLjwv
YXV0aG9yPjxhdXRob3I+U2hhaCwgVi48L2F1dGhvcj48YXV0aG9yPkZyZWlyZS1MaXphbWEsIFQu
PC9hdXRob3I+PGF1dGhvcj5DYXRlcywgRS4gQy48L2F1dGhvcj48YXV0aG9yPk1jR3JhdGgsIEsu
PC9hdXRob3I+PGF1dGhvcj5EYXZpZCwgSS48L2F1dGhvcj48YXV0aG9yPkNvd2FuLCBTLjwvYXV0
aG9yPjxhdXRob3I+TGV0a2VtYW4sIEouPC9hdXRob3I+PGF1dGhvcj5TdGV3YXJ0LVdpbHNvbiwg
RS48L2F1dGhvcj48L2F1dGhvcnM+PC9jb250cmlidXRvcnM+PGF1dGgtYWRkcmVzcz5hIE1pZHdp
ZmVyeSBFZHVjYXRpb24gUHJvZ3JhbSwgUnllcnNvbiBVbml2ZXJzaXR5ICwgVG9yb250byAsIENh
bmFkYS4mI3hEO2IgRGVwYXJ0bWVudCBvZiBQZWRpYXRyaWNzLCBNb3VudCBTaW5haSBIb3NwaXRh
bCAsIFRvcm9udG8gLCBDYW5hZGEuJiN4RDtjIERlcGFydG1lbnQgb2YgT2JzdGV0cmljcyBhbmQg
R3luZWNvbG9neSwgU3QuIE1pY2hhZWwmYXBvcztzIEhvc3BpdGFsICwgVG9yb250byAsIENhbmFk
YS4mI3hEO2QgRGVwYXJ0bWVudCBvZiBQc3ljaG9sb2d5LCBSeWVyc29uIFVuaXZlcnNpdHkgLCBU
b3JvbnRvICwgQ2FuYWRhLjwvYXV0aC1hZGRyZXNzPjx0aXRsZXM+PHRpdGxlPkVmZmVjdGl2ZW5l
c3Mgb2Ygb3JhbCBpbnRha2Ugb2YgTGFjdG9iYWNpbGx1cyByaGFtbm9zdXMgR1ItMSBhbmQgTGFj
dG9iYWNpbGx1cyByZXV0ZXJpIFJDLTE0IG9uIEdyb3VwIEIgU3RyZXB0b2NvY2N1cyBjb2xvbml6
YXRpb24gZHVyaW5nIHByZWduYW5jeTogYSBtaWR3aWZlcnktbGVkIGRvdWJsZS1ibGluZCByYW5k
b21pemVkIGNvbnRyb2xsZWQgcGlsb3QgdHJpYWw8L3RpdGxlPjxzZWNvbmRhcnktdGl0bGU+SiBN
YXRlcm4gRmV0YWwgTmVvbmF0YWwgTWVkPC9zZWNvbmRhcnktdGl0bGU+PC90aXRsZXM+PHBlcmlv
ZGljYWw+PGZ1bGwtdGl0bGU+SiBNYXRlcm4gRmV0YWwgTmVvbmF0YWwgTWVkPC9mdWxsLXRpdGxl
PjwvcGVyaW9kaWNhbD48cGFnZXM+MS04PC9wYWdlcz48ZWRpdGlvbj4yMDE5LzA4LzAxPC9lZGl0
aW9uPjxrZXl3b3Jkcz48a2V5d29yZD5DbGluaWNhbCB0cmlhbDwva2V5d29yZD48a2V5d29yZD5n
cm91cCBCIFN0cmVwdG9jb2NjdXM8L2tleXdvcmQ+PGtleXdvcmQ+bWlkd2lmZXJ5PC9rZXl3b3Jk
PjxrZXl3b3JkPnByZWduYW5jeTwva2V5d29yZD48a2V5d29yZD5wcm9iaW90aWNzPC9rZXl3b3Jk
Pjwva2V5d29yZHM+PGRhdGVzPjx5ZWFyPjIwMTk8L3llYXI+PHB1Yi1kYXRlcz48ZGF0ZT5BdWcg
MTM8L2RhdGU+PC9wdWItZGF0ZXM+PC9kYXRlcz48aXNibj4xNDc2LTQ5NTQgKEVsZWN0cm9uaWMp
JiN4RDsxNDc2LTQ5NTQgKExpbmtpbmcpPC9pc2JuPjxhY2Nlc3Npb24tbnVtPjMxMzYyNTcyPC9h
Y2Nlc3Npb24tbnVtPjx1cmxzPjxyZWxhdGVkLXVybHM+PHVybD5odHRwczovL3d3dy5uY2JpLm5s
bS5uaWguZ292L3B1Ym1lZC8zMTM2MjU3MjwvdXJsPjwvcmVsYXRlZC11cmxzPjwvdXJscz48ZWxl
Y3Ryb25pYy1yZXNvdXJjZS1udW0+MTAuMTA4MC8xNDc2NzA1OC4yMDE5LjE2NTA5MDc8L2VsZWN0
cm9uaWMtcmVzb3VyY2UtbnVtPjwvcmVjb3JkPjwvQ2l0ZT48L0VuZE5vdGU+
</w:fldData>
        </w:fldChar>
      </w:r>
      <w:r w:rsidR="002747EA">
        <w:instrText xml:space="preserve"> ADDIN EN.CITE </w:instrText>
      </w:r>
      <w:r w:rsidR="002747EA">
        <w:fldChar w:fldCharType="begin">
          <w:fldData xml:space="preserve">PEVuZE5vdGU+PENpdGU+PEF1dGhvcj5LYWxsaW9tYWtpPC9BdXRob3I+PFllYXI+MjAwMTwvWWVh
cj48UmVjTnVtPjE2ODg8L1JlY051bT48RGlzcGxheVRleHQ+PHN0eWxlIGZhY2U9InN1cGVyc2Ny
aXB0IiBmb250PSJUcmVidWNoZXQgTVMiIHNpemU9IjkiPjIzNCwyMzYsMjQxLDI0OC0yNTA8L3N0
eWxlPjwvRGlzcGxheVRleHQ+PHJlY29yZD48cmVjLW51bWJlcj4xNjg4PC9yZWMtbnVtYmVyPjxm
b3JlaWduLWtleXM+PGtleSBhcHA9IkVOIiBkYi1pZD0iZXh2YXNyZngyZHRyYW9lc2FzeHAyc3pz
eGEyZGY1MDI1OTJ4IiB0aW1lc3RhbXA9IjE1ODE4MzIwNzYiPjE2ODg8L2tleT48L2ZvcmVpZ24t
a2V5cz48cmVmLXR5cGUgbmFtZT0iSm91cm5hbCBBcnRpY2xlIj4xNzwvcmVmLXR5cGU+PGNvbnRy
aWJ1dG9ycz48YXV0aG9ycz48YXV0aG9yPkthbGxpb21ha2ksIE0uPC9hdXRob3I+PGF1dGhvcj5T
YWxtaW5lbiwgUy48L2F1dGhvcj48YXV0aG9yPkFydmlsb21taSwgSC48L2F1dGhvcj48YXV0aG9y
Pktlcm8sIFAuPC9hdXRob3I+PGF1dGhvcj5Lb3NraW5lbiwgUC48L2F1dGhvcj48YXV0aG9yPklz
b2xhdXJpLCBFLjwvYXV0aG9yPjwvYXV0aG9ycz48L2NvbnRyaWJ1dG9ycz48YXV0aC1hZGRyZXNz
PkRlcGFydG1lbnQgb2YgUGFlZGlhdHJpY3MsIFVuaXZlcnNpdHkgb2YgVHVya3UgYW5kIFR1cmt1
IFVuaXZlcnNpdHkgSG9zcGl0YWwsIEZpbmxhbmQuIG1hcmthbEB1dHUuZmk8L2F1dGgtYWRkcmVz
cz48dGl0bGVzPjx0aXRsZT5Qcm9iaW90aWNzIGluIHByaW1hcnkgcHJldmVudGlvbiBvZiBhdG9w
aWMgZGlzZWFzZTogYSByYW5kb21pc2VkIHBsYWNlYm8tY29udHJvbGxlZCB0cmlhbDwvdGl0bGU+
PHNlY29uZGFyeS10aXRsZT5MYW5jZXQ8L3NlY29uZGFyeS10aXRsZT48L3RpdGxlcz48cGVyaW9k
aWNhbD48ZnVsbC10aXRsZT5MYW5jZXQ8L2Z1bGwtdGl0bGU+PC9wZXJpb2RpY2FsPjxwYWdlcz4x
MDc2LTk8L3BhZ2VzPjx2b2x1bWU+MzU3PC92b2x1bWU+PG51bWJlcj45MjYyPC9udW1iZXI+PGVk
aXRpb24+MjAwMS8wNC8xMjwvZWRpdGlvbj48a2V5d29yZHM+PGtleXdvcmQ+Q2hpbGQsIFByZXNj
aG9vbDwva2V5d29yZD48a2V5d29yZD5DaHJvbmljIERpc2Vhc2U8L2tleXdvcmQ+PGtleXdvcmQ+
RGVybWF0aXRpcywgQXRvcGljL2dlbmV0aWNzL2ltbXVub2xvZ3kvcHJldmVudGlvbiAmYW1wOyBj
b250cm9sPC9rZXl3b3JkPjxrZXl3b3JkPkRvdWJsZS1CbGluZCBNZXRob2Q8L2tleXdvcmQ+PGtl
eXdvcmQ+RmVtYWxlPC9rZXl3b3JkPjxrZXl3b3JkPkh1bWFuczwva2V5d29yZD48a2V5d29yZD5I
eXBlcnNlbnNpdGl2aXR5LCBJbW1lZGlhdGUvZGlhZ25vc2lzL2dlbmV0aWNzLypwcmV2ZW50aW9u
ICZhbXA7IGNvbnRyb2w8L2tleXdvcmQ+PGtleXdvcmQ+SW1tdW5vZ2xvYnVsaW4gRS9ibG9vZDwv
a2V5d29yZD48a2V5d29yZD5JbmZhbnQ8L2tleXdvcmQ+PGtleXdvcmQ+SW5mYW50LCBOZXdib3Ju
PC9rZXl3b3JkPjxrZXl3b3JkPkludGVzdGluZXMvbWljcm9iaW9sb2d5PC9rZXl3b3JkPjxrZXl3
b3JkPipMYWN0b2JhY2lsbHVzPC9rZXl3b3JkPjxrZXl3b3JkPlByZWduYW5jeTwva2V5d29yZD48
a2V5d29yZD5QcmVuYXRhbCBFeHBvc3VyZSBEZWxheWVkIEVmZmVjdHM8L2tleXdvcmQ+PGtleXdv
cmQ+UHJpbWFyeSBQcmV2ZW50aW9uPC9rZXl3b3JkPjxrZXl3b3JkPlByb2Jpb3RpY3MvYWRtaW5p
c3RyYXRpb24gJmFtcDsgZG9zYWdlLyp0aGVyYXBldXRpYyB1c2U8L2tleXdvcmQ+PGtleXdvcmQ+
UmVjdXJyZW5jZTwva2V5d29yZD48a2V5d29yZD5SaXNrIEZhY3RvcnM8L2tleXdvcmQ+PGtleXdv
cmQ+U2tpbiBUZXN0czwva2V5d29yZD48L2tleXdvcmRzPjxkYXRlcz48eWVhcj4yMDAxPC95ZWFy
PjxwdWItZGF0ZXM+PGRhdGU+QXByIDc8L2RhdGU+PC9wdWItZGF0ZXM+PC9kYXRlcz48aXNibj4w
MTQwLTY3MzYgKFByaW50KSYjeEQ7MDE0MC02NzM2IChMaW5raW5nKTwvaXNibj48YWNjZXNzaW9u
LW51bT4xMTI5Nzk1ODwvYWNjZXNzaW9uLW51bT48dXJscz48cmVsYXRlZC11cmxzPjx1cmw+aHR0
cHM6Ly93d3cubmNiaS5ubG0ubmloLmdvdi9wdWJtZWQvMTEyOTc5NTg8L3VybD48L3JlbGF0ZWQt
dXJscz48L3VybHM+PGVsZWN0cm9uaWMtcmVzb3VyY2UtbnVtPjEwLjEwMTYvUzAxNDAtNjczNigw
MCkwNDI1OS04PC9lbGVjdHJvbmljLXJlc291cmNlLW51bT48L3JlY29yZD48L0NpdGU+PENpdGU+
PEF1dGhvcj5LaW08L0F1dGhvcj48WWVhcj4yMDEwPC9ZZWFyPjxSZWNOdW0+MTY5MDwvUmVjTnVt
PjxyZWNvcmQ+PHJlYy1udW1iZXI+MTY5MDwvcmVjLW51bWJlcj48Zm9yZWlnbi1rZXlzPjxrZXkg
YXBwPSJFTiIgZGItaWQ9ImV4dmFzcmZ4MmR0cmFvZXNhc3hwMnN6c3hhMmRmNTAyNTkyeCIgdGlt
ZXN0YW1wPSIxNTgxODMyMDc2Ij4xNjkwPC9rZXk+PC9mb3JlaWduLWtleXM+PHJlZi10eXBlIG5h
bWU9IkpvdXJuYWwgQXJ0aWNsZSI+MTc8L3JlZi10eXBlPjxjb250cmlidXRvcnM+PGF1dGhvcnM+
PGF1dGhvcj5LaW0sIEouIFkuPC9hdXRob3I+PGF1dGhvcj5Ld29uLCBKLiBILjwvYXV0aG9yPjxh
dXRob3I+QWhuLCBTLiBILjwvYXV0aG9yPjxhdXRob3I+TGVlLCBTLiBJLjwvYXV0aG9yPjxhdXRo
b3I+SGFuLCBZLiBTLjwvYXV0aG9yPjxhdXRob3I+Q2hvaSwgWS4gTy48L2F1dGhvcj48YXV0aG9y
PkxlZSwgUy4gWS48L2F1dGhvcj48YXV0aG9yPkFobiwgSy4gTS48L2F1dGhvcj48YXV0aG9yPkpp
LCBHLiBFLjwvYXV0aG9yPjwvYXV0aG9ycz48L2NvbnRyaWJ1dG9ycz48YXV0aC1hZGRyZXNzPkRl
cGFydG1lbnQgb2YgRm9vZCBhbmQgTnV0cml0aW9uLCBDb2xsZWdlIG9mIEh1bWFuIEVjb2xvZ3ks
IFNlb3VsIE5hdGlvbmFsIFVuaXZlcnNpdHksIFNhbiA1Ni0xLCBTaGlubGltZG9uZywgS3dhbmFr
a3UsIFNlb3VsLCBLb3JlYS48L2F1dGgtYWRkcmVzcz48dGl0bGVzPjx0aXRsZT5FZmZlY3Qgb2Yg
cHJvYmlvdGljIG1peCAoQmlmaWRvYmFjdGVyaXVtIGJpZmlkdW0sIEJpZmlkb2JhY3Rlcml1bSBs
YWN0aXMsIExhY3RvYmFjaWxsdXMgYWNpZG9waGlsdXMpIGluIHRoZSBwcmltYXJ5IHByZXZlbnRp
b24gb2YgZWN6ZW1hOiBhIGRvdWJsZS1ibGluZCwgcmFuZG9taXplZCwgcGxhY2Viby1jb250cm9s
bGVkIHRyaWFsPC90aXRsZT48c2Vjb25kYXJ5LXRpdGxlPlBlZGlhdHIgQWxsZXJneSBJbW11bm9s
PC9zZWNvbmRhcnktdGl0bGU+PC90aXRsZXM+PHBlcmlvZGljYWw+PGZ1bGwtdGl0bGU+UGVkaWF0
ciBBbGxlcmd5IEltbXVub2w8L2Z1bGwtdGl0bGU+PC9wZXJpb2RpY2FsPjxwYWdlcz5lMzg2LTkz
PC9wYWdlcz48dm9sdW1lPjIxPC92b2x1bWU+PG51bWJlcj4yIFB0IDI8L251bWJlcj48ZWRpdGlv
bj4yMDA5LzEwLzIxPC9lZGl0aW9uPjxrZXl3b3Jkcz48a2V5d29yZD5CaWZpZG9iYWN0ZXJpdW0v
Y2xhc3NpZmljYXRpb24vKmltbXVub2xvZ3k8L2tleXdvcmQ+PGtleXdvcmQ+QnJlYXN0IEZlZWRp
bmc8L2tleXdvcmQ+PGtleXdvcmQ+RGVybWF0aXRpcywgQXRvcGljL2VwaWRlbWlvbG9neS9pbW11
bm9sb2d5L3ByZXZlbnRpb24gJmFtcDsgY29udHJvbDwva2V5d29yZD48a2V5d29yZD5Eb3VibGUt
QmxpbmQgTWV0aG9kPC9rZXl3b3JkPjxrZXl3b3JkPkVjemVtYS8qZXBpZGVtaW9sb2d5L2ltbXVu
b2xvZ3kvcHJldmVudGlvbiAmYW1wOyBjb250cm9sPC9rZXl3b3JkPjxrZXl3b3JkPkZlbWFsZTwv
a2V5d29yZD48a2V5d29yZD5Gb29kIEh5cGVyc2Vuc2l0aXZpdHkvcHJldmVudGlvbiAmYW1wOyBj
b250cm9sPC9rZXl3b3JkPjxrZXl3b3JkPkh1bWFuczwva2V5d29yZD48a2V5d29yZD5JbW11bm9n
bG9idWxpbiBFL2Jsb29kPC9rZXl3b3JkPjxrZXl3b3JkPkluY2lkZW5jZTwva2V5d29yZD48a2V5
d29yZD5JbmZhbnQ8L2tleXdvcmQ+PGtleXdvcmQ+SW5mYW50LCBOZXdib3JuPC9rZXl3b3JkPjxr
ZXl3b3JkPkxhY3RvYmFjaWxsdXMgYWNpZG9waGlsdXMvKmltbXVub2xvZ3k8L2tleXdvcmQ+PGtl
eXdvcmQ+UG9zdG5hdGFsIENhcmU8L2tleXdvcmQ+PGtleXdvcmQ+UHJlZ25hbmN5PC9rZXl3b3Jk
PjxrZXl3b3JkPlByZW5hdGFsIENhcmU8L2tleXdvcmQ+PGtleXdvcmQ+UHJldmFsZW5jZTwva2V5
d29yZD48a2V5d29yZD5Qcm9iaW90aWNzLyphZG1pbmlzdHJhdGlvbiAmYW1wOyBkb3NhZ2U8L2tl
eXdvcmQ+PGtleXdvcmQ+VHJlYXRtZW50IE91dGNvbWU8L2tleXdvcmQ+PC9rZXl3b3Jkcz48ZGF0
ZXM+PHllYXI+MjAxMDwveWVhcj48cHViLWRhdGVzPjxkYXRlPk1hcjwvZGF0ZT48L3B1Yi1kYXRl
cz48L2RhdGVzPjxpc2JuPjEzOTktMzAzOCAoRWxlY3Ryb25pYykmI3hEOzA5MDUtNjE1NyAoTGlu
a2luZyk8L2lzYm4+PGFjY2Vzc2lvbi1udW0+MTk4NDAzMDA8L2FjY2Vzc2lvbi1udW0+PHVybHM+
PHJlbGF0ZWQtdXJscz48dXJsPmh0dHBzOi8vd3d3Lm5jYmkubmxtLm5paC5nb3YvcHVibWVkLzE5
ODQwMzAwPC91cmw+PC9yZWxhdGVkLXVybHM+PC91cmxzPjxlbGVjdHJvbmljLXJlc291cmNlLW51
bT4xMC4xMTExL2ouMTM5OS0zMDM4LjIwMDkuMDA5NTgueDwvZWxlY3Ryb25pYy1yZXNvdXJjZS1u
dW0+PC9yZWNvcmQ+PC9DaXRlPjxDaXRlPjxBdXRob3I+TGluZHNheTwvQXV0aG9yPjxZZWFyPjIw
MTQ8L1llYXI+PFJlY051bT4xODQ2PC9SZWNOdW0+PHJlY29yZD48cmVjLW51bWJlcj4xODQ2PC9y
ZWMtbnVtYmVyPjxmb3JlaWduLWtleXM+PGtleSBhcHA9IkVOIiBkYi1pZD0iZXh2YXNyZngyZHRy
YW9lc2FzeHAyc3pzeGEyZGY1MDI1OTJ4IiB0aW1lc3RhbXA9IjE1ODcwOTczMzYiPjE4NDY8L2tl
eT48L2ZvcmVpZ24ta2V5cz48cmVmLXR5cGUgbmFtZT0iSm91cm5hbCBBcnRpY2xlIj4xNzwvcmVm
LXR5cGU+PGNvbnRyaWJ1dG9ycz48YXV0aG9ycz48YXV0aG9yPkxpbmRzYXksIEsuIEwuPC9hdXRo
b3I+PGF1dGhvcj5LZW5uZWxseSwgTS48L2F1dGhvcj48YXV0aG9yPkN1bGxpdG9uLCBNLjwvYXV0
aG9yPjxhdXRob3I+U21pdGgsIFQuPC9hdXRob3I+PGF1dGhvcj5NYWd1aXJlLCBPLiBDLjwvYXV0
aG9yPjxhdXRob3I+U2hhbmFoYW4sIEYuPC9hdXRob3I+PGF1dGhvcj5CcmVubmFuLCBMLjwvYXV0
aG9yPjxhdXRob3I+TWNBdWxpZmZlLCBGLiBNLjwvYXV0aG9yPjwvYXV0aG9ycz48L2NvbnRyaWJ1
dG9ycz48YXV0aC1hZGRyZXNzPkZyb20gdGhlIFVuaXZlcnNpdHkgQ29sbGVnZSBEdWJsaW4gKFVD
RCkgT2JzdGV0cmljcyBhbmQgR3luYWVjb2xvZ3ksIFNjaG9vbCBvZiBNZWRpY2luZSBhbmQgTWVk
aWNhbCBTY2llbmNlLCBVQ0QsIE5hdGlvbmFsIE1hdGVybml0eSBIb3NwaXRhbCwgRHVibGluLCBJ
cmVsYW5kIChLTEwsIE1LLCBhbmQgRk1NKTsgTGFib3JhdG9yeSBNZWRpY2luZSwgTmF0aW9uYWwg
TWF0ZXJuaXR5IEhvc3BpdGFsLCBEdWJsaW4sIElyZWxhbmQgKE1DKTsgdGhlIERlcGFydG1lbnQg
b2YgQ2xpbmljYWwgQ2hlbWlzdHJ5LCBTdCBWaW5jZW50JmFwb3M7cyBVbml2ZXJzaXR5IEhvc3Bp
dGFsLCBFbG0gUGFyaywgRHVibGluLCBJcmVsYW5kIChUUyBhbmQgT0NNKTsgdGhlIERlcGFydG1l
bnQgb2YgTWVkaWNpbmUsIEFsaW1lbnRhcnkgYW5kIFBoYXJtYWJpb3RpYyBDZW50cmUsIFVuaXZl
cnNpdHkgQ29sbGVnZSBDb3JrLCBDb3JrLCBJcmVsYW5kIChGUyk7IGFuZCB0aGUgSW5zdGl0dXRl
IG9mIEZvb2QgYW5kIEhlYWx0aCwgVUNEIFNjaG9vbCBvZiBBZ3JpY3VsdHVyZSBhbmQgRm9vZCBT
Y2llbmNlLCBVQ0QsIEJlbGZpZWxkLCBEdWJsaW4sIElyZWxhbmQgKExCKS48L2F1dGgtYWRkcmVz
cz48dGl0bGVzPjx0aXRsZT5Qcm9iaW90aWNzIGluIG9iZXNlIHByZWduYW5jeSBkbyBub3QgcmVk
dWNlIG1hdGVybmFsIGZhc3RpbmcgZ2x1Y29zZTogYSBkb3VibGUtYmxpbmQsIHBsYWNlYm8tY29u
dHJvbGxlZCwgcmFuZG9taXplZCB0cmlhbCAoUHJvYmlvdGljcyBpbiBQcmVnbmFuY3kgU3R1ZHkp
PC90aXRsZT48c2Vjb25kYXJ5LXRpdGxlPkFtIEogQ2xpbiBOdXRyPC9zZWNvbmRhcnktdGl0bGU+
PC90aXRsZXM+PHBlcmlvZGljYWw+PGZ1bGwtdGl0bGU+QW0gSiBDbGluIE51dHI8L2Z1bGwtdGl0
bGU+PC9wZXJpb2RpY2FsPjxwYWdlcz4xNDMyLTk8L3BhZ2VzPjx2b2x1bWU+OTk8L3ZvbHVtZT48
bnVtYmVyPjY8L251bWJlcj48ZWRpdGlvbj4yMDE0LzAzLzIyPC9lZGl0aW9uPjxrZXl3b3Jkcz48
a2V5d29yZD5BZHVsdDwva2V5d29yZD48a2V5d29yZD5Cb2R5IE1hc3MgSW5kZXg8L2tleXdvcmQ+
PGtleXdvcmQ+Q29ob3J0IFN0dWRpZXM8L2tleXdvcmQ+PGtleXdvcmQ+RGlhYmV0ZXMsIEdlc3Rh
dGlvbmFsL2VwaWRlbWlvbG9neS9ldGlvbG9neS9wcmV2ZW50aW9uICZhbXA7IGNvbnRyb2w8L2tl
eXdvcmQ+PGtleXdvcmQ+RG91YmxlLUJsaW5kIE1ldGhvZDwva2V5d29yZD48a2V5d29yZD5GZW1h
bGU8L2tleXdvcmQ+PGtleXdvcmQ+R2x1Y29zZSBJbnRvbGVyYW5jZS9lcGlkZW1pb2xvZ3kvZXRp
b2xvZ3kvcHJldmVudGlvbiAmYW1wOyBjb250cm9sPC9rZXl3b3JkPjxrZXl3b3JkPkhvc3BpdGFs
cywgTWF0ZXJuaXR5PC9rZXl3b3JkPjxrZXl3b3JkPkh1bWFuczwva2V5d29yZD48a2V5d29yZD5I
eXBlcmdseWNlbWlhL2VwaWRlbWlvbG9neS9ldGlvbG9neS8qcHJldmVudGlvbiAmYW1wOyBjb250
cm9sPC9rZXl3b3JkPjxrZXl3b3JkPkluY2lkZW5jZTwva2V5d29yZD48a2V5d29yZD5JcmVsYW5k
L2VwaWRlbWlvbG9neTwva2V5d29yZD48a2V5d29yZD4qTGFjdG9iYWNpbGx1czwva2V5d29yZD48
a2V5d29yZD4qTWF0ZXJuYWwgTnV0cml0aW9uYWwgUGh5c2lvbG9naWNhbCBQaGVub21lbmE8L2tl
eXdvcmQ+PGtleXdvcmQ+T2Jlc2l0eS9ibG9vZC8qZGlldCB0aGVyYXB5L3BoeXNpb3BhdGhvbG9n
eTwva2V5d29yZD48a2V5d29yZD5PdXRwYXRpZW50IENsaW5pY3MsIEhvc3BpdGFsPC9rZXl3b3Jk
PjxrZXl3b3JkPlByZWduYW5jeTwva2V5d29yZD48a2V5d29yZD5QcmVnbmFuY3kgQ29tcGxpY2F0
aW9ucy9ibG9vZC8qZGlldCB0aGVyYXB5L3BoeXNpb3BhdGhvbG9neTwva2V5d29yZD48a2V5d29y
ZD5Qcm9iaW90aWNzL2FkdmVyc2UgZWZmZWN0cy8qdGhlcmFwZXV0aWMgdXNlPC9rZXl3b3JkPjxr
ZXl3b3JkPlJpc2s8L2tleXdvcmQ+PC9rZXl3b3Jkcz48ZGF0ZXM+PHllYXI+MjAxNDwveWVhcj48
cHViLWRhdGVzPjxkYXRlPkp1bjwvZGF0ZT48L3B1Yi1kYXRlcz48L2RhdGVzPjxpc2JuPjE5Mzgt
MzIwNyAoRWxlY3Ryb25pYykmI3hEOzAwMDItOTE2NSAoTGlua2luZyk8L2lzYm4+PGFjY2Vzc2lv
bi1udW0+MjQ2NDY4MTk8L2FjY2Vzc2lvbi1udW0+PHVybHM+PHJlbGF0ZWQtdXJscz48dXJsPmh0
dHBzOi8vd3d3Lm5jYmkubmxtLm5paC5nb3YvcHVibWVkLzI0NjQ2ODE5PC91cmw+PC9yZWxhdGVk
LXVybHM+PC91cmxzPjxlbGVjdHJvbmljLXJlc291cmNlLW51bT4xMC4zOTQ1L2FqY24uMTEzLjA3
OTcyMzwvZWxlY3Ryb25pYy1yZXNvdXJjZS1udW0+PC9yZWNvcmQ+PC9DaXRlPjxDaXRlPjxBdXRo
b3I+TGluZHNheTwvQXV0aG9yPjxZZWFyPjIwMTU8L1llYXI+PFJlY051bT4xNjk2PC9SZWNOdW0+
PHJlY29yZD48cmVjLW51bWJlcj4xNjk2PC9yZWMtbnVtYmVyPjxmb3JlaWduLWtleXM+PGtleSBh
cHA9IkVOIiBkYi1pZD0iZXh2YXNyZngyZHRyYW9lc2FzeHAyc3pzeGEyZGY1MDI1OTJ4IiB0aW1l
c3RhbXA9IjE1ODE4MzIyODkiPjE2OTY8L2tleT48L2ZvcmVpZ24ta2V5cz48cmVmLXR5cGUgbmFt
ZT0iSm91cm5hbCBBcnRpY2xlIj4xNzwvcmVmLXR5cGU+PGNvbnRyaWJ1dG9ycz48YXV0aG9ycz48
YXV0aG9yPkxpbmRzYXksIEsuIEwuPC9hdXRob3I+PGF1dGhvcj5CcmVubmFuLCBMLjwvYXV0aG9y
PjxhdXRob3I+S2VubmVsbHksIE0uIEEuPC9hdXRob3I+PGF1dGhvcj5NYWd1aXJlLCBPLiBDLjwv
YXV0aG9yPjxhdXRob3I+U21pdGgsIFQuPC9hdXRob3I+PGF1dGhvcj5DdXJyYW4sIFMuPC9hdXRo
b3I+PGF1dGhvcj5Db2ZmZXksIE0uPC9hdXRob3I+PGF1dGhvcj5Gb2xleSwgTS4gRS48L2F1dGhv
cj48YXV0aG9yPkhhdHVuaWMsIE0uPC9hdXRob3I+PGF1dGhvcj5TaGFuYWhhbiwgRi48L2F1dGhv
cj48YXV0aG9yPk1jQXVsaWZmZSwgRi4gTS48L2F1dGhvcj48L2F1dGhvcnM+PC9jb250cmlidXRv
cnM+PGF1dGgtYWRkcmVzcz5VQ0QgT2JzdGV0cmljcyBhbmQgR3luZWNvbG9neSwgU2Nob29sIG9m
IE1lZGljaW5lIGFuZCBNZWRpY2FsIFNjaWVuY2UsIGFuZCBOYXRpb25hbCBNYXRlcm5pdHkgSG9z
cGl0YWwsIFVuaXZlcnNpdHkgQ29sbGVnZSBEdWJsaW4sIER1YmxpbiwgSXJlbGFuZC4mI3hEO1VD
RCBJbnN0aXR1dGUgb2YgRm9vZCBhbmQgSGVhbHRoLCBTY2hvb2wgb2YgQWdyaWN1bHR1cmUgYW5k
IEZvb2QgU2NpZW5jZSwgVW5pdmVyc2l0eSBDb2xsZWdlIER1YmxpbiwgRHVibGluLCBJcmVsYW5k
LiYjeEQ7RGVwYXJ0bWVudCBvZiBDbGluaWNhbCBDaGVtaXN0cnksIFN0LiBWaW5jZW50JmFwb3M7
cyBVbml2ZXJzaXR5IEhvc3BpdGFsLCBFbG0gUGFyaywgRHVibGluLCBJcmVsYW5kLiYjeEQ7RGVw
YXJ0bWVudCBvZiBDbGluaWNhbCBOdXRyaXRpb24sIE5hdGlvbmFsIE1hdGVybml0eSBIb3NwaXRh
bCwgRHVibGluLCBJcmVsYW5kLiYjeEQ7RGVwYXJ0bWVudCBvZiBNaWR3aWZlcnksIE5hdGlvbmFs
IE1hdGVybml0eSBIb3NwaXRhbCwgRHVibGluLCBJcmVsYW5kLiYjeEQ7RGVwYXJ0bWVudCBvZiBF
bmRvY3Jpbm9sb2d5LCBOYXRpb25hbCBNYXRlcm5pdHkgSG9zcGl0YWwsIER1YmxpbiwgSXJlbGFu
ZC4mI3hEO0RlcGFydG1lbnQgb2YgTWVkaWNpbmUsIEFsaW1lbnRhcnkgYW5kIFBoYXJtYWJpb3Rp
YyBDZW50ZXIsIFVuaXZlcnNpdHkgQ29sbGVnZSBDb3JrLCBDb3JrLCBJcmVsYW5kLiYjeEQ7VUNE
IE9ic3RldHJpY3MgYW5kIEd5bmVjb2xvZ3ksIFNjaG9vbCBvZiBNZWRpY2luZSBhbmQgTWVkaWNh
bCBTY2llbmNlLCBhbmQgTmF0aW9uYWwgTWF0ZXJuaXR5IEhvc3BpdGFsLCBVbml2ZXJzaXR5IENv
bGxlZ2UgRHVibGluLCBEdWJsaW4sIElyZWxhbmQuIEVsZWN0cm9uaWMgYWRkcmVzczogZmlvbm51
YWxhLm1jYXVsaWZmZUB1Y2QuaWUuPC9hdXRoLWFkZHJlc3M+PHRpdGxlcz48dGl0bGU+SW1wYWN0
IG9mIHByb2Jpb3RpY3MgaW4gd29tZW4gd2l0aCBnZXN0YXRpb25hbCBkaWFiZXRlcyBtZWxsaXR1
cyBvbiBtZXRhYm9saWMgaGVhbHRoOiBhIHJhbmRvbWl6ZWQgY29udHJvbGxlZCB0cmlhbDwvdGl0
bGU+PHNlY29uZGFyeS10aXRsZT5BbSBKIE9ic3RldCBHeW5lY29sPC9zZWNvbmRhcnktdGl0bGU+
PC90aXRsZXM+PHBlcmlvZGljYWw+PGZ1bGwtdGl0bGU+QW0gSiBPYnN0ZXQgR3luZWNvbDwvZnVs
bC10aXRsZT48L3BlcmlvZGljYWw+PHBhZ2VzPjQ5NiBlMS0xMTwvcGFnZXM+PHZvbHVtZT4yMTI8
L3ZvbHVtZT48bnVtYmVyPjQ8L251bWJlcj48ZWRpdGlvbj4yMDE1LzAyLzE4PC9lZGl0aW9uPjxr
ZXl3b3Jkcz48a2V5d29yZD5BZHVsdDwva2V5d29yZD48a2V5d29yZD5CaW9tYXJrZXJzL2Jsb29k
PC9rZXl3b3JkPjxrZXl3b3JkPkJsb29kIEdsdWNvc2UvbWV0YWJvbGlzbTwva2V5d29yZD48a2V5
d29yZD5DLVBlcHRpZGUvYmxvb2Q8L2tleXdvcmQ+PGtleXdvcmQ+Q2hvbGVzdGVyb2wvYmxvb2Q8
L2tleXdvcmQ+PGtleXdvcmQ+RGlhYmV0ZXMsIEdlc3RhdGlvbmFsL2Jsb29kLyp0aGVyYXB5PC9r
ZXl3b3JkPjxrZXl3b3JkPkRvdWJsZS1CbGluZCBNZXRob2Q8L2tleXdvcmQ+PGtleXdvcmQ+RmVt
YWxlPC9rZXl3b3JkPjxrZXl3b3JkPkh1bWFuczwva2V5d29yZD48a2V5d29yZD5JbmZhbnQsIE5l
d2Jvcm48L2tleXdvcmQ+PGtleXdvcmQ+SW5zdWxpbi9ibG9vZDwva2V5d29yZD48a2V5d29yZD5J
bnRlbnRpb24gdG8gVHJlYXQgQW5hbHlzaXM8L2tleXdvcmQ+PGtleXdvcmQ+KkxhY3RvYmFjaWxs
dXM8L2tleXdvcmQ+PGtleXdvcmQ+UHJlZ25hbmN5PC9rZXl3b3JkPjxrZXl3b3JkPlByZWduYW5j
eSBPdXRjb21lPC9rZXl3b3JkPjxrZXl3b3JkPlByb2Jpb3RpY3MvKnRoZXJhcGV1dGljIHVzZTwv
a2V5d29yZD48a2V5d29yZD5UcmVhdG1lbnQgT3V0Y29tZTwva2V5d29yZD48a2V5d29yZD5nZXN0
YXRpb25hbCBkaWFiZXRlczwva2V5d29yZD48a2V5d29yZD5nbHljZW1pYyBjb250cm9sPC9rZXl3
b3JkPjxrZXl3b3JkPmxvdy1kZW5zaXR5IGxpcG9wcm90ZWluIGNob2xlc3Rlcm9sPC9rZXl3b3Jk
PjxrZXl3b3JkPnByb2Jpb3RpY3M8L2tleXdvcmQ+PGtleXdvcmQ+dG90YWwgY2hvbGVzdGVyb2w8
L2tleXdvcmQ+PC9rZXl3b3Jkcz48ZGF0ZXM+PHllYXI+MjAxNTwveWVhcj48cHViLWRhdGVzPjxk
YXRlPkFwcjwvZGF0ZT48L3B1Yi1kYXRlcz48L2RhdGVzPjxpc2JuPjEwOTctNjg2OCAoRWxlY3Ry
b25pYykmI3hEOzAwMDItOTM3OCAoTGlua2luZyk8L2lzYm4+PGFjY2Vzc2lvbi1udW0+MjU2ODc1
Njg8L2FjY2Vzc2lvbi1udW0+PHVybHM+PHJlbGF0ZWQtdXJscz48dXJsPmh0dHBzOi8vd3d3Lm5j
YmkubmxtLm5paC5nb3YvcHVibWVkLzI1Njg3NTY4PC91cmw+PC9yZWxhdGVkLXVybHM+PC91cmxz
PjxlbGVjdHJvbmljLXJlc291cmNlLW51bT4xMC4xMDE2L2ouYWpvZy4yMDE1LjAyLjAwODwvZWxl
Y3Ryb25pYy1yZXNvdXJjZS1udW0+PC9yZWNvcmQ+PC9DaXRlPjxDaXRlPjxBdXRob3I+TmllcnM8
L0F1dGhvcj48WWVhcj4yMDA5PC9ZZWFyPjxSZWNOdW0+MTY5MzwvUmVjTnVtPjxyZWNvcmQ+PHJl
Yy1udW1iZXI+MTY5MzwvcmVjLW51bWJlcj48Zm9yZWlnbi1rZXlzPjxrZXkgYXBwPSJFTiIgZGIt
aWQ9ImV4dmFzcmZ4MmR0cmFvZXNhc3hwMnN6c3hhMmRmNTAyNTkyeCIgdGltZXN0YW1wPSIxNTgx
ODMyMDc2Ij4xNjkzPC9rZXk+PC9mb3JlaWduLWtleXM+PHJlZi10eXBlIG5hbWU9IkpvdXJuYWwg
QXJ0aWNsZSI+MTc8L3JlZi10eXBlPjxjb250cmlidXRvcnM+PGF1dGhvcnM+PGF1dGhvcj5OaWVy
cywgTC48L2F1dGhvcj48YXV0aG9yPk1hcnRpbiwgUi48L2F1dGhvcj48YXV0aG9yPlJpamtlcnMs
IEcuPC9hdXRob3I+PGF1dGhvcj5TZW5nZXJzLCBGLjwvYXV0aG9yPjxhdXRob3I+VGltbWVybWFu
LCBILjwvYXV0aG9yPjxhdXRob3I+dmFuIFVkZW4sIE4uPC9hdXRob3I+PGF1dGhvcj5TbWlkdCwg
SC48L2F1dGhvcj48YXV0aG9yPktpbXBlbiwgSi48L2F1dGhvcj48YXV0aG9yPkhvZWtzdHJhLCBN
LjwvYXV0aG9yPjwvYXV0aG9ycz48L2NvbnRyaWJ1dG9ycz48YXV0aC1hZGRyZXNzPkRlcGFydG1l
bnQgb2YgUGVkaWF0cmljcywgV2lsaGVsbWluYSBDaGlsZHJlbiZhcG9zO3MmYXBvczsgSG9zcGl0
YWwsIFVuaXZlcnNpdHkgTWVkaWNhbCBDZW50ZXIsIFV0cmVjaHQsIHRoZSBOZXRoZXJsYW5kcy48
L2F1dGgtYWRkcmVzcz48dGl0bGVzPjx0aXRsZT5UaGUgZWZmZWN0cyBvZiBzZWxlY3RlZCBwcm9i
aW90aWMgc3RyYWlucyBvbiB0aGUgZGV2ZWxvcG1lbnQgb2YgZWN6ZW1hICh0aGUgUGFuZEEgc3R1
ZHkpPC90aXRsZT48c2Vjb25kYXJ5LXRpdGxlPkFsbGVyZ3k8L3NlY29uZGFyeS10aXRsZT48L3Rp
dGxlcz48cGVyaW9kaWNhbD48ZnVsbC10aXRsZT5BbGxlcmd5PC9mdWxsLXRpdGxlPjwvcGVyaW9k
aWNhbD48cGFnZXM+MTM0OS01ODwvcGFnZXM+PHZvbHVtZT42NDwvdm9sdW1lPjxudW1iZXI+OTwv
bnVtYmVyPjxlZGl0aW9uPjIwMDkvMDQvMjg8L2VkaXRpb24+PGtleXdvcmRzPjxrZXl3b3JkPkFk
dWx0PC9rZXl3b3JkPjxrZXl3b3JkPipCaWZpZG9iYWN0ZXJpdW08L2tleXdvcmQ+PGtleXdvcmQ+
Q3l0b2tpbmVzL2Jsb29kPC9rZXl3b3JkPjxrZXl3b3JkPkRvdWJsZS1CbGluZCBNZXRob2Q8L2tl
eXdvcmQ+PGtleXdvcmQ+RWN6ZW1hL2ltbXVub2xvZ3kvbWljcm9iaW9sb2d5LypwcmV2ZW50aW9u
ICZhbXA7IGNvbnRyb2w8L2tleXdvcmQ+PGtleXdvcmQ+RmVtYWxlPC9rZXl3b3JkPjxrZXl3b3Jk
Pkh1bWFuczwva2V5d29yZD48a2V5d29yZD5IeXBlcnNlbnNpdGl2aXR5L2ltbXVub2xvZ3kvbWlj
cm9iaW9sb2d5LypwcmV2ZW50aW9uICZhbXA7IGNvbnRyb2w8L2tleXdvcmQ+PGtleXdvcmQ+SW1t
dW5vZ2xvYnVsaW4gRS9ibG9vZDwva2V5d29yZD48a2V5d29yZD5JbmZhbnQ8L2tleXdvcmQ+PGtl
eXdvcmQ+KkxhY3RvY29jY3VzIGxhY3Rpczwva2V5d29yZD48a2V5d29yZD5NYWxlPC9rZXl3b3Jk
PjxrZXl3b3JkPlByZWduYW5jeTwva2V5d29yZD48a2V5d29yZD5Qcm9iaW90aWNzLyp0aGVyYXBl
dXRpYyB1c2U8L2tleXdvcmQ+PC9rZXl3b3Jkcz48ZGF0ZXM+PHllYXI+MjAwOTwveWVhcj48cHVi
LWRhdGVzPjxkYXRlPlNlcDwvZGF0ZT48L3B1Yi1kYXRlcz48L2RhdGVzPjxpc2JuPjEzOTgtOTk5
NSAoRWxlY3Ryb25pYykmI3hEOzAxMDUtNDUzOCAoTGlua2luZyk8L2lzYm4+PGFjY2Vzc2lvbi1u
dW0+MTkzOTI5OTM8L2FjY2Vzc2lvbi1udW0+PHVybHM+PHJlbGF0ZWQtdXJscz48dXJsPmh0dHBz
Oi8vd3d3Lm5jYmkubmxtLm5paC5nb3YvcHVibWVkLzE5MzkyOTkzPC91cmw+PC9yZWxhdGVkLXVy
bHM+PC91cmxzPjxlbGVjdHJvbmljLXJlc291cmNlLW51bT4xMC4xMTExL2ouMTM5OC05OTk1LjIw
MDkuMDIwMjEueDwvZWxlY3Ryb25pYy1yZXNvdXJjZS1udW0+PC9yZWNvcmQ+PC9DaXRlPjxDaXRl
PjxBdXRob3I+U2hhcnBlPC9BdXRob3I+PFllYXI+MjAxOTwvWWVhcj48UmVjTnVtPjE2NzA8L1Jl
Y051bT48cmVjb3JkPjxyZWMtbnVtYmVyPjE2NzA8L3JlYy1udW1iZXI+PGZvcmVpZ24ta2V5cz48
a2V5IGFwcD0iRU4iIGRiLWlkPSJleHZhc3JmeDJkdHJhb2VzYXN4cDJzenN4YTJkZjUwMjU5Mngi
IHRpbWVzdGFtcD0iMTU4MTMxMjg0NyI+MTY3MDwva2V5PjxrZXkgYXBwPSJFTldlYiIgZGItaWQ9
IiI+MDwva2V5PjwvZm9yZWlnbi1rZXlzPjxyZWYtdHlwZSBuYW1lPSJKb3VybmFsIEFydGljbGUi
PjE3PC9yZWYtdHlwZT48Y29udHJpYnV0b3JzPjxhdXRob3JzPjxhdXRob3I+U2hhcnBlLCBNLjwv
YXV0aG9yPjxhdXRob3I+U2hhaCwgVi48L2F1dGhvcj48YXV0aG9yPkZyZWlyZS1MaXphbWEsIFQu
PC9hdXRob3I+PGF1dGhvcj5DYXRlcywgRS4gQy48L2F1dGhvcj48YXV0aG9yPk1jR3JhdGgsIEsu
PC9hdXRob3I+PGF1dGhvcj5EYXZpZCwgSS48L2F1dGhvcj48YXV0aG9yPkNvd2FuLCBTLjwvYXV0
aG9yPjxhdXRob3I+TGV0a2VtYW4sIEouPC9hdXRob3I+PGF1dGhvcj5TdGV3YXJ0LVdpbHNvbiwg
RS48L2F1dGhvcj48L2F1dGhvcnM+PC9jb250cmlidXRvcnM+PGF1dGgtYWRkcmVzcz5hIE1pZHdp
ZmVyeSBFZHVjYXRpb24gUHJvZ3JhbSwgUnllcnNvbiBVbml2ZXJzaXR5ICwgVG9yb250byAsIENh
bmFkYS4mI3hEO2IgRGVwYXJ0bWVudCBvZiBQZWRpYXRyaWNzLCBNb3VudCBTaW5haSBIb3NwaXRh
bCAsIFRvcm9udG8gLCBDYW5hZGEuJiN4RDtjIERlcGFydG1lbnQgb2YgT2JzdGV0cmljcyBhbmQg
R3luZWNvbG9neSwgU3QuIE1pY2hhZWwmYXBvcztzIEhvc3BpdGFsICwgVG9yb250byAsIENhbmFk
YS4mI3hEO2QgRGVwYXJ0bWVudCBvZiBQc3ljaG9sb2d5LCBSeWVyc29uIFVuaXZlcnNpdHkgLCBU
b3JvbnRvICwgQ2FuYWRhLjwvYXV0aC1hZGRyZXNzPjx0aXRsZXM+PHRpdGxlPkVmZmVjdGl2ZW5l
c3Mgb2Ygb3JhbCBpbnRha2Ugb2YgTGFjdG9iYWNpbGx1cyByaGFtbm9zdXMgR1ItMSBhbmQgTGFj
dG9iYWNpbGx1cyByZXV0ZXJpIFJDLTE0IG9uIEdyb3VwIEIgU3RyZXB0b2NvY2N1cyBjb2xvbml6
YXRpb24gZHVyaW5nIHByZWduYW5jeTogYSBtaWR3aWZlcnktbGVkIGRvdWJsZS1ibGluZCByYW5k
b21pemVkIGNvbnRyb2xsZWQgcGlsb3QgdHJpYWw8L3RpdGxlPjxzZWNvbmRhcnktdGl0bGU+SiBN
YXRlcm4gRmV0YWwgTmVvbmF0YWwgTWVkPC9zZWNvbmRhcnktdGl0bGU+PC90aXRsZXM+PHBlcmlv
ZGljYWw+PGZ1bGwtdGl0bGU+SiBNYXRlcm4gRmV0YWwgTmVvbmF0YWwgTWVkPC9mdWxsLXRpdGxl
PjwvcGVyaW9kaWNhbD48cGFnZXM+MS04PC9wYWdlcz48ZWRpdGlvbj4yMDE5LzA4LzAxPC9lZGl0
aW9uPjxrZXl3b3Jkcz48a2V5d29yZD5DbGluaWNhbCB0cmlhbDwva2V5d29yZD48a2V5d29yZD5n
cm91cCBCIFN0cmVwdG9jb2NjdXM8L2tleXdvcmQ+PGtleXdvcmQ+bWlkd2lmZXJ5PC9rZXl3b3Jk
PjxrZXl3b3JkPnByZWduYW5jeTwva2V5d29yZD48a2V5d29yZD5wcm9iaW90aWNzPC9rZXl3b3Jk
Pjwva2V5d29yZHM+PGRhdGVzPjx5ZWFyPjIwMTk8L3llYXI+PHB1Yi1kYXRlcz48ZGF0ZT5BdWcg
MTM8L2RhdGU+PC9wdWItZGF0ZXM+PC9kYXRlcz48aXNibj4xNDc2LTQ5NTQgKEVsZWN0cm9uaWMp
JiN4RDsxNDc2LTQ5NTQgKExpbmtpbmcpPC9pc2JuPjxhY2Nlc3Npb24tbnVtPjMxMzYyNTcyPC9h
Y2Nlc3Npb24tbnVtPjx1cmxzPjxyZWxhdGVkLXVybHM+PHVybD5odHRwczovL3d3dy5uY2JpLm5s
bS5uaWguZ292L3B1Ym1lZC8zMTM2MjU3MjwvdXJsPjwvcmVsYXRlZC11cmxzPjwvdXJscz48ZWxl
Y3Ryb25pYy1yZXNvdXJjZS1udW0+MTAuMTA4MC8xNDc2NzA1OC4yMDE5LjE2NTA5MDc8L2VsZWN0
cm9uaWMtcmVzb3VyY2UtbnVtPjwvcmVjb3JkPjwvQ2l0ZT48L0VuZE5vdGU+
</w:fldData>
        </w:fldChar>
      </w:r>
      <w:r w:rsidR="002747EA">
        <w:instrText xml:space="preserve"> ADDIN EN.CITE.DATA </w:instrText>
      </w:r>
      <w:r w:rsidR="002747EA">
        <w:fldChar w:fldCharType="end"/>
      </w:r>
      <w:r w:rsidR="00E30F0E">
        <w:fldChar w:fldCharType="separate"/>
      </w:r>
      <w:r w:rsidR="002747EA" w:rsidRPr="002747EA">
        <w:rPr>
          <w:noProof/>
          <w:vertAlign w:val="superscript"/>
        </w:rPr>
        <w:t>234,236,241,248-250</w:t>
      </w:r>
      <w:r w:rsidR="00E30F0E">
        <w:fldChar w:fldCharType="end"/>
      </w:r>
      <w:r w:rsidR="002D4009">
        <w:t xml:space="preserve"> 201-300 (</w:t>
      </w:r>
      <w:r w:rsidR="002D4009" w:rsidRPr="00D676D7">
        <w:rPr>
          <w:sz w:val="16"/>
          <w:szCs w:val="16"/>
        </w:rPr>
        <w:t>n=</w:t>
      </w:r>
      <w:r w:rsidR="00E30F0E">
        <w:rPr>
          <w:sz w:val="16"/>
          <w:szCs w:val="16"/>
        </w:rPr>
        <w:t>8</w:t>
      </w:r>
      <w:r w:rsidR="002D4009">
        <w:t>),</w:t>
      </w:r>
      <w:r w:rsidR="00E30F0E">
        <w:fldChar w:fldCharType="begin">
          <w:fldData xml:space="preserve">PEVuZE5vdGU+PENpdGU+PEF1dGhvcj5BYnJhaGFtc3NvbjwvQXV0aG9yPjxZZWFyPjIwMDc8L1ll
YXI+PFJlY051bT4xNjgzPC9SZWNOdW0+PERpc3BsYXlUZXh0PjxzdHlsZSBmYWNlPSJzdXBlcnNj
cmlwdCIgZm9udD0iVHJlYnVjaGV0IE1TIiBzaXplPSI5Ij4yMjksMjMxLTIzMywyNDAsMjQ2LDI0
NywyNTE8L3N0eWxlPjwvRGlzcGxheVRleHQ+PHJlY29yZD48cmVjLW51bWJlcj4xNjgzPC9yZWMt
bnVtYmVyPjxmb3JlaWduLWtleXM+PGtleSBhcHA9IkVOIiBkYi1pZD0iZXh2YXNyZngyZHRyYW9l
c2FzeHAyc3pzeGEyZGY1MDI1OTJ4IiB0aW1lc3RhbXA9IjE1ODE4MzIwNzYiPjE2ODM8L2tleT48
L2ZvcmVpZ24ta2V5cz48cmVmLXR5cGUgbmFtZT0iSm91cm5hbCBBcnRpY2xlIj4xNzwvcmVmLXR5
cGU+PGNvbnRyaWJ1dG9ycz48YXV0aG9ycz48YXV0aG9yPkFicmFoYW1zc29uLCBULiBSLjwvYXV0
aG9yPjxhdXRob3I+SmFrb2Jzc29uLCBULjwvYXV0aG9yPjxhdXRob3I+Qm90dGNoZXIsIE0uIEYu
PC9hdXRob3I+PGF1dGhvcj5GcmVkcmlrc29uLCBNLjwvYXV0aG9yPjxhdXRob3I+SmVubWFsbSwg
TS4gQy48L2F1dGhvcj48YXV0aG9yPkJqb3Jrc3RlbiwgQi48L2F1dGhvcj48YXV0aG9yPk9sZGFl
dXMsIEcuPC9hdXRob3I+PC9hdXRob3JzPjwvY29udHJpYnV0b3JzPjxhdXRoLWFkZHJlc3M+RGVw
YXJ0bWVudCBvZiBNb2xlY3VsYXIgYW5kIENsaW5pY2FsIE1lZGljaW5lLCBEaXZpc2lvbiBvZiBQ
ZWRpYXRyaWNzLCBMaW5rb3BpbmcgVW5pdmVyc2l0eSwgU3dlZGVuLiBUaG9tYXMuQWJyYWhhbXNz
b25AbGlvLnNlPC9hdXRoLWFkZHJlc3M+PHRpdGxlcz48dGl0bGU+UHJvYmlvdGljcyBpbiBwcmV2
ZW50aW9uIG9mIElnRS1hc3NvY2lhdGVkIGVjemVtYTogYSBkb3VibGUtYmxpbmQsIHJhbmRvbWl6
ZWQsIHBsYWNlYm8tY29udHJvbGxlZCB0cmlhbDwvdGl0bGU+PHNlY29uZGFyeS10aXRsZT5KIEFs
bGVyZ3kgQ2xpbiBJbW11bm9sPC9zZWNvbmRhcnktdGl0bGU+PC90aXRsZXM+PHBlcmlvZGljYWw+
PGZ1bGwtdGl0bGU+SiBBbGxlcmd5IENsaW4gSW1tdW5vbDwvZnVsbC10aXRsZT48L3BlcmlvZGlj
YWw+PHBhZ2VzPjExNzQtODA8L3BhZ2VzPjx2b2x1bWU+MTE5PC92b2x1bWU+PG51bWJlcj41PC9u
dW1iZXI+PGVkaXRpb24+MjAwNy8wMy8xNDwvZWRpdGlvbj48a2V5d29yZHM+PGtleXdvcmQ+Q2hp
bGQsIFByZXNjaG9vbDwva2V5d29yZD48a2V5d29yZD5FY3plbWEvKnByZXZlbnRpb24gJmFtcDsg
Y29udHJvbDwva2V5d29yZD48a2V5d29yZD5GZW1hbGU8L2tleXdvcmQ+PGtleXdvcmQ+SHVtYW5z
PC9rZXl3b3JkPjxrZXl3b3JkPkh5cGVyc2Vuc2l0aXZpdHkvKnByZXZlbnRpb24gJmFtcDsgY29u
dHJvbDwva2V5d29yZD48a2V5d29yZD5JbW11bm9nbG9idWxpbiBFL2Jsb29kPC9rZXl3b3JkPjxr
ZXl3b3JkPkluZmFudDwva2V5d29yZD48a2V5d29yZD5JbmZhbnQsIE5ld2Jvcm48L2tleXdvcmQ+
PGtleXdvcmQ+TGFjdG9iYWNpbGx1cyByZXV0ZXJpLyppbW11bm9sb2d5PC9rZXl3b3JkPjxrZXl3
b3JkPk1hbGU8L2tleXdvcmQ+PGtleXdvcmQ+UHJlZ25hbmN5PC9rZXl3b3JkPjxrZXl3b3JkPlBy
b2Jpb3RpY3MvKnRoZXJhcGV1dGljIHVzZTwva2V5d29yZD48a2V5d29yZD5Ta2luIFRlc3RzPC9r
ZXl3b3JkPjwva2V5d29yZHM+PGRhdGVzPjx5ZWFyPjIwMDc8L3llYXI+PHB1Yi1kYXRlcz48ZGF0
ZT5NYXk8L2RhdGU+PC9wdWItZGF0ZXM+PC9kYXRlcz48aXNibj4wMDkxLTY3NDkgKFByaW50KSYj
eEQ7MDA5MS02NzQ5IChMaW5raW5nKTwvaXNibj48YWNjZXNzaW9uLW51bT4xNzM0OTY4NjwvYWNj
ZXNzaW9uLW51bT48dXJscz48cmVsYXRlZC11cmxzPjx1cmw+aHR0cHM6Ly93d3cubmNiaS5ubG0u
bmloLmdvdi9wdWJtZWQvMTczNDk2ODY8L3VybD48L3JlbGF0ZWQtdXJscz48L3VybHM+PGVsZWN0
cm9uaWMtcmVzb3VyY2UtbnVtPjEwLjEwMTYvai5qYWNpLjIwMDcuMDEuMDA3PC9lbGVjdHJvbmlj
LXJlc291cmNlLW51bT48L3JlY29yZD48L0NpdGU+PENpdGU+PEF1dGhvcj5Cb3lsZTwvQXV0aG9y
PjxZZWFyPjIwMTE8L1llYXI+PFJlY051bT44MDwvUmVjTnVtPjxyZWNvcmQ+PHJlYy1udW1iZXI+
ODA8L3JlYy1udW1iZXI+PGZvcmVpZ24ta2V5cz48a2V5IGFwcD0iRU4iIGRiLWlkPSJlZDJwOWEw
YXg1cnh3YmVlMHZtdjk5OW5yeHZ6YTBhdzJmZHgiIHRpbWVzdGFtcD0iMTU4MTgzMTQzMyI+ODA8
L2tleT48L2ZvcmVpZ24ta2V5cz48cmVmLXR5cGUgbmFtZT0iSm91cm5hbCBBcnRpY2xlIj4xNzwv
cmVmLXR5cGU+PGNvbnRyaWJ1dG9ycz48YXV0aG9ycz48YXV0aG9yPkJveWxlLCBSLiBKLjwvYXV0
aG9yPjxhdXRob3I+SXNtYWlsLCBJLiBILjwvYXV0aG9yPjxhdXRob3I+S2l2aXZ1b3JpLCBTLjwv
YXV0aG9yPjxhdXRob3I+TGljY2lhcmRpLCBQLiBWLjwvYXV0aG9yPjxhdXRob3I+Um9iaW5zLUJy
b3duZSwgUi4gTS48L2F1dGhvcj48YXV0aG9yPk1haCwgTC4gSi48L2F1dGhvcj48YXV0aG9yPkF4
ZWxyYWQsIEMuPC9hdXRob3I+PGF1dGhvcj5Nb29yZSwgUy48L2F1dGhvcj48YXV0aG9yPkRvbmF0
aCwgUy48L2F1dGhvcj48YXV0aG9yPkNhcmxpbiwgSi4gQi48L2F1dGhvcj48YXV0aG9yPkxhaHRp
bmVuLCBTLiBKLjwvYXV0aG9yPjxhdXRob3I+VGFuZywgTS4gTC48L2F1dGhvcj48L2F1dGhvcnM+
PC9jb250cmlidXRvcnM+PGF1dGgtYWRkcmVzcz5BbGxlcmd5IGFuZCBJbW11bmUgRGlzb3JkZXJz
LCBNdXJkb2NoIENoaWxkcmVuJmFwb3M7cyBSZXNlYXJjaCBJbnN0aXR1dGUsIFVuaXZlcnNpdHkg
b2YgTWVsYm91cm5lLCBNZWxib3VybmUsIEF1c3RyYWxpYS48L2F1dGgtYWRkcmVzcz48dGl0bGVz
Pjx0aXRsZT5MYWN0b2JhY2lsbHVzIEdHIHRyZWF0bWVudCBkdXJpbmcgcHJlZ25hbmN5IGZvciB0
aGUgcHJldmVudGlvbiBvZiBlY3plbWE6IGEgcmFuZG9taXplZCBjb250cm9sbGVkIHRyaWFsPC90
aXRsZT48c2Vjb25kYXJ5LXRpdGxlPkFsbGVyZ3k8L3NlY29uZGFyeS10aXRsZT48L3RpdGxlcz48
cGVyaW9kaWNhbD48ZnVsbC10aXRsZT5BbGxlcmd5PC9mdWxsLXRpdGxlPjwvcGVyaW9kaWNhbD48
cGFnZXM+NTA5LTE2PC9wYWdlcz48dm9sdW1lPjY2PC92b2x1bWU+PG51bWJlcj40PC9udW1iZXI+
PGVkaXRpb24+MjAxMC8xMi8wMzwvZWRpdGlvbj48a2V5d29yZHM+PGtleXdvcmQ+QWR1bHQ8L2tl
eXdvcmQ+PGtleXdvcmQ+RWN6ZW1hL2VwaWRlbWlvbG9neS8qcHJldmVudGlvbiAmYW1wOyBjb250
cm9sPC9rZXl3b3JkPjxrZXl3b3JkPkVuenltZS1MaW5rZWQgSW1tdW5vc29yYmVudCBBc3NheTwv
a2V5d29yZD48a2V5d29yZD5GZW1hbGU8L2tleXdvcmQ+PGtleXdvcmQ+RmV0YWwgQmxvb2QvY2hl
bWlzdHJ5L2ltbXVub2xvZ3k8L2tleXdvcmQ+PGtleXdvcmQ+SHVtYW5zPC9rZXl3b3JkPjxrZXl3
b3JkPkluZmFudDwva2V5d29yZD48a2V5d29yZD5MYWN0b2JhY2lsbHVzIHJoYW1ub3N1cy8qaW1t
dW5vbG9neTwva2V5d29yZD48a2V5d29yZD5NaWRkbGUgQWdlZDwva2V5d29yZD48a2V5d29yZD5N
aWxrLCBIdW1hbi9jaGVtaXN0cnkvaW1tdW5vbG9neTwva2V5d29yZD48a2V5d29yZD5QcmVnbmFu
Y3k8L2tleXdvcmQ+PGtleXdvcmQ+UHJlbmF0YWwgRXhwb3N1cmUgRGVsYXllZCBFZmZlY3RzLypp
bW11bm9sb2d5PC9rZXl3b3JkPjxrZXl3b3JkPlByb2Jpb3RpY3MvKnRoZXJhcGV1dGljIHVzZTwv
a2V5d29yZD48a2V5d29yZD5Zb3VuZyBBZHVsdDwva2V5d29yZD48L2tleXdvcmRzPjxkYXRlcz48
eWVhcj4yMDExPC95ZWFyPjxwdWItZGF0ZXM+PGRhdGU+QXByPC9kYXRlPjwvcHViLWRhdGVzPjwv
ZGF0ZXM+PGlzYm4+MTM5OC05OTk1IChFbGVjdHJvbmljKSYjeEQ7MDEwNS00NTM4IChMaW5raW5n
KTwvaXNibj48YWNjZXNzaW9uLW51bT4yMTEyMTkyNzwvYWNjZXNzaW9uLW51bT48dXJscz48cmVs
YXRlZC11cmxzPjx1cmw+aHR0cHM6Ly93d3cubmNiaS5ubG0ubmloLmdvdi9wdWJtZWQvMjExMjE5
Mjc8L3VybD48L3JlbGF0ZWQtdXJscz48L3VybHM+PGVsZWN0cm9uaWMtcmVzb3VyY2UtbnVtPjEw
LjExMTEvai4xMzk4LTk5OTUuMjAxMC4wMjUwNy54PC9lbGVjdHJvbmljLXJlc291cmNlLW51bT48
L3JlY29yZD48L0NpdGU+PENpdGU+PEF1dGhvcj5HaWxsZTwvQXV0aG9yPjxZZWFyPjIwMTY8L1ll
YXI+PFJlY051bT4xNjUzPC9SZWNOdW0+PHJlY29yZD48cmVjLW51bWJlcj4xNjUzPC9yZWMtbnVt
YmVyPjxmb3JlaWduLWtleXM+PGtleSBhcHA9IkVOIiBkYi1pZD0iZXh2YXNyZngyZHRyYW9lc2Fz
eHAyc3pzeGEyZGY1MDI1OTJ4IiB0aW1lc3RhbXA9IjE1ODEzMTI3MjkiPjE2NTM8L2tleT48a2V5
IGFwcD0iRU5XZWIiIGRiLWlkPSIiPjA8L2tleT48L2ZvcmVpZ24ta2V5cz48cmVmLXR5cGUgbmFt
ZT0iSm91cm5hbCBBcnRpY2xlIj4xNzwvcmVmLXR5cGU+PGNvbnRyaWJ1dG9ycz48YXV0aG9ycz48
YXV0aG9yPkdpbGxlLCBDLjwvYXV0aG9yPjxhdXRob3I+Qm9lciwgQi48L2F1dGhvcj48YXV0aG9y
Pk1hcnNjaGFsLCBNLjwvYXV0aG9yPjxhdXRob3I+VXJzY2hpdHosIE0uIFMuPC9hdXRob3I+PGF1
dGhvcj5IZWluZWNrZSwgVi48L2F1dGhvcj48YXV0aG9yPkh1bmQsIFYuPC9hdXRob3I+PGF1dGhv
cj5TcGVpZGVsLCBTLjwvYXV0aG9yPjxhdXRob3I+VGFybm93LCBJLjwvYXV0aG9yPjxhdXRob3I+
TXlsb25hcywgSS48L2F1dGhvcj48YXV0aG9yPkZyYW56LCBBLjwvYXV0aG9yPjxhdXRob3I+RW5n
ZWwsIEMuPC9hdXRob3I+PGF1dGhvcj5Qb2V0cywgQy4gRi48L2F1dGhvcj48L2F1dGhvcnM+PC9j
b250cmlidXRvcnM+PGF1dGgtYWRkcmVzcz5EZXBhcnRtZW50IG9mIE5lb25hdG9sb2d5LCBVbml2
ZXJzaXR5IENoaWxkcmVuJmFwb3M7cyBIb3NwaXRhbCwgVW5pdmVyc2l0eSBIb3NwaXRhbCwgVHVl
YmluZ2VuLCBHZXJtYW55LiYjeEQ7RGVwYXJ0bWVudCBvZiBPYnN0ZXRyaWNzIGFuZCBHeW5lY29s
b2d5LCBVbml2ZXJzaXR5IEhvc3BpdGFsLCBUdWViaW5nZW4sIEdlcm1hbnkuJiN4RDtJbnN0aXR1
dGUgZm9yIE1lZGljYWwgTWljcm9iaW9sb2d5LCBVbml2ZXJzaXR5IEhvc3BpdGFsLCBUdWViaW5n
ZW4sIEdlcm1hbnkuJiN4RDtJbnN0aXR1dGUgb2YgTWVkaWNhbCBCaW9zdGF0aXN0aWNzLCBFcGlk
ZW1pb2xvZ3ksIGFuZCBJbmZvcm1hdGljcywgRGl2aXNpb24gb2YgUGVkaWF0cmljIEVwaWRlbWlv
bG9neSBVbml2ZXJzaXR5IE1lZGljYWwgQ2VudGVyIG9mIHRoZSBKb2hhbm5lcyBHdXRlbmJlcmcg
VW5pdmVyc2l0eSBNYWlueiwgR2VybWFueS4mI3hEO09ic3RldHJpYyBwcmFjdGljZSwgQmFkIFVy
YWNoLCBHZXJtYW55LiYjeEQ7VW5pdmVyc2l0eSBQaGFybWFjeSwgVW5pdmVyc2l0eSBIb3NwaXRh
bCwgVHVlYmluZ2VuLCBHZXJtYW55LiYjeEQ7U2VyZW5kZXggUGhhcm1hY2V1dGljYWxzLCBIb3Jz
aG9sbSwgRGVubWFyay4mI3hEO0RlcGFydG1lbnQgb2YgT2JzdGV0cmljcyBhbmQgR3luZWNvbG9n
eSwgTHVkd2lnLU1heGltaWxpYW5zLVVuaXZlcnNpdHksIE11bmljaCwgR2VybWFueS4mI3hEO0Nl
bnRlciBmb3IgUGVkaWF0cmljIENsaW5pY2FsIFN0dWRpZXMsIFVuaXZlcnNpdHkgQ2hpbGRyZW4m
YXBvcztzIEhvc3BpdGFsLCBVbml2ZXJzaXR5IEhvc3BpdGFsLCBUdWViaW5nZW4sIEdlcm1hbnku
JiN4RDtEZXBhcnRtZW50IG9mIE5lb25hdG9sb2d5LCBVbml2ZXJzaXR5IENoaWxkcmVuJmFwb3M7
cyBIb3NwaXRhbCwgVW5pdmVyc2l0eSBIb3NwaXRhbCwgVHVlYmluZ2VuLCBHZXJtYW55LiBFbGVj
dHJvbmljIGFkZHJlc3M6IGNocmlzdGlhbi1mLnBvZXRzQG1lZC51bmktdHVlYmluZ2VuLmRlLjwv
YXV0aC1hZGRyZXNzPjx0aXRsZXM+PHRpdGxlPkVmZmVjdCBvZiBwcm9iaW90aWNzIG9uIHZhZ2lu
YWwgaGVhbHRoIGluIHByZWduYW5jeS4gRUZGUFJPLCBhIHJhbmRvbWl6ZWQgY29udHJvbGxlZCB0
cmlhbDwvdGl0bGU+PHNlY29uZGFyeS10aXRsZT5BbSBKIE9ic3RldCBHeW5lY29sPC9zZWNvbmRh
cnktdGl0bGU+PC90aXRsZXM+PHBlcmlvZGljYWw+PGZ1bGwtdGl0bGU+QW0gSiBPYnN0ZXQgR3lu
ZWNvbDwvZnVsbC10aXRsZT48L3BlcmlvZGljYWw+PHBhZ2VzPjYwOCBlMS02MDggZTc8L3BhZ2Vz
Pjx2b2x1bWU+MjE1PC92b2x1bWU+PG51bWJlcj41PC9udW1iZXI+PGVkaXRpb24+MjAxNi8xMC8z
MDwvZWRpdGlvbj48a2V5d29yZHM+PGtleXdvcmQ+QWRtaW5pc3RyYXRpb24sIE9yYWw8L2tleXdv
cmQ+PGtleXdvcmQ+QWR1bHQ8L2tleXdvcmQ+PGtleXdvcmQ+RmVtYWxlPC9rZXl3b3JkPjxrZXl3
b3JkPkh1bWFuczwva2V5d29yZD48a2V5d29yZD4qTGFjdG9iYWNpbGx1cyByZXV0ZXJpPC9rZXl3
b3JkPjxrZXl3b3JkPipMYWN0b2JhY2lsbHVzIHJoYW1ub3N1czwva2V5d29yZD48a2V5d29yZD5N
aWNyb2Jpb3RhLypkcnVnIGVmZmVjdHM8L2tleXdvcmQ+PGtleXdvcmQ+TWlkZGxlIEFnZWQ8L2tl
eXdvcmQ+PGtleXdvcmQ+UHJlZ25hbmN5PC9rZXl3b3JkPjxrZXl3b3JkPlByZWduYW5jeSBUcmlt
ZXN0ZXIsIEZpcnN0PC9rZXl3b3JkPjxrZXl3b3JkPlByb2Jpb3RpY3MvKnBoYXJtYWNvbG9neTwv
a2V5d29yZD48a2V5d29yZD5WYWdpbmEvKmRydWcgZWZmZWN0czwva2V5d29yZD48a2V5d29yZD5Z
b3VuZyBBZHVsdDwva2V5d29yZD48a2V5d29yZD4qYmFjdGVyaWFsIHZhZ2lub3Npczwva2V5d29y
ZD48a2V5d29yZD4qcHJldGVybSBiaXJ0aDwva2V5d29yZD48a2V5d29yZD4qcHJvYmlvdGljczwv
a2V5d29yZD48a2V5d29yZD4qdmFnaW5hbCBtaWNyb2Jpb3RhPC9rZXl3b3JkPjwva2V5d29yZHM+
PGRhdGVzPjx5ZWFyPjIwMTY8L3llYXI+PHB1Yi1kYXRlcz48ZGF0ZT5Ob3Y8L2RhdGU+PC9wdWIt
ZGF0ZXM+PC9kYXRlcz48aXNibj4xMDk3LTY4NjggKEVsZWN0cm9uaWMpJiN4RDswMDAyLTkzNzgg
KExpbmtpbmcpPC9pc2JuPjxhY2Nlc3Npb24tbnVtPjI3MzQyMDQ2PC9hY2Nlc3Npb24tbnVtPjx1
cmxzPjxyZWxhdGVkLXVybHM+PHVybD5odHRwczovL3d3dy5uY2JpLm5sbS5uaWguZ292L3B1Ym1l
ZC8yNzM0MjA0NjwvdXJsPjwvcmVsYXRlZC11cmxzPjwvdXJscz48ZWxlY3Ryb25pYy1yZXNvdXJj
ZS1udW0+MTAuMTAxNi9qLmFqb2cuMjAxNi4wNi4wMjE8L2VsZWN0cm9uaWMtcmVzb3VyY2UtbnVt
PjwvcmVjb3JkPjwvQ2l0ZT48Q2l0ZT48QXV0aG9yPkh1c2FpbjwvQXV0aG9yPjxZZWFyPjIwMjA8
L1llYXI+PFJlY051bT4xNjgxPC9SZWNOdW0+PHJlY29yZD48cmVjLW51bWJlcj4xNjgxPC9yZWMt
bnVtYmVyPjxmb3JlaWduLWtleXM+PGtleSBhcHA9IkVOIiBkYi1pZD0iZXh2YXNyZngyZHRyYW9l
c2FzeHAyc3pzeGEyZGY1MDI1OTJ4IiB0aW1lc3RhbXA9IjE1ODEzNzk4NzQiPjE2ODE8L2tleT48
L2ZvcmVpZ24ta2V5cz48cmVmLXR5cGUgbmFtZT0iSm91cm5hbCBBcnRpY2xlIj4xNzwvcmVmLXR5
cGU+PGNvbnRyaWJ1dG9ycz48YXV0aG9ycz48YXV0aG9yPkh1c2FpbiwgUy48L2F1dGhvcj48YXV0
aG9yPkFsbG90ZXksIEouPC9hdXRob3I+PGF1dGhvcj5Ecnltb3Vzc2ksIFouPC9hdXRob3I+PGF1
dGhvcj5XaWxrcywgTS48L2F1dGhvcj48YXV0aG9yPkZlcm5hbmRlei1GZWxpeCwgQi4gTS48L2F1
dGhvcj48YXV0aG9yPldoaWxleSwgQS48L2F1dGhvcj48YXV0aG9yPkRvZGRzLCBKLjwvYXV0aG9y
PjxhdXRob3I+VGhhbmdhcmF0aW5hbSwgUy48L2F1dGhvcj48YXV0aG9yPk1jQ291cnQsIEMuPC9h
dXRob3I+PGF1dGhvcj5Qcm9zZG9jaW1pLCBFLiBNLjwvYXV0aG9yPjxhdXRob3I+V2FkZSwgVy4g
Ry48L2F1dGhvcj48YXV0aG9yPmRlIFRlamFkYSwgQi4gTS48L2F1dGhvcj48YXV0aG9yPlphbW9y
YSwgSi48L2F1dGhvcj48YXV0aG9yPktoYW4sIEsuPC9hdXRob3I+PGF1dGhvcj5NaWxsYXIsIE0u
PC9hdXRob3I+PC9hdXRob3JzPjwvY29udHJpYnV0b3JzPjxhdXRoLWFkZHJlc3M+QmFydHMgYW5k
IHRoZSBMb25kb24gU2Nob29sIG9mIE1lZGljaW5lIGFuZCBEZW50aXN0cnksIEJsaXphcmQgSW5z
dGl0dXRlLCBRdWVlbiBNYXJ5IFVuaXZlcnNpdHkgb2YgTG9uZG9uLCBMb25kb24sIFVLLiYjeEQ7
TmVvbmF0YWwgVW5pdCwgSG9tZXJ0b24gVW5pdmVyc2l0eSBIb3NwaXRhbCBOSFMgRm91bmRhdGlv
biBUcnVzdCwgTG9uZG9uLCBVSy4mI3hEO1dvbWVuJmFwb3M7cyBIZWFsdGggUmVzZWFyY2ggVW5p
dCwgQmFydHMgYW5kIHRoZSBMb25kb24gU2Nob29sIG9mIE1lZGljaW5lIGFuZCBEZW50aXN0cnks
IFF1ZWVuIE1hcnkgVW5pdmVyc2l0eSBvZiBMb25kb24sIExvbmRvbiwgVUsuJiN4RDtCYXJ0cyBh
bmQgdGhlIExvbmRvbiBTY2hvb2wgb2YgTWVkaWNpbmUgYW5kIERlbnRpc3RyeSwgUXVlZW4gTWFy
eSBVbml2ZXJzaXR5IG9mIExvbmRvbiwgTG9uZG9uLCBVSy4mI3hEO0JhcnRzIEhlYWx0aCBOSFMg
VHJ1c3QsIExvbmRvbiwgVUsuJiN4RDtDSUJFUiBFcGlkZW1pb2xvZ3kgYW5kIFB1YmxpYyBIZWFs
dGggKENJQkVSRVNQKSwgTWFkcmlkLCBTcGFpbi4mI3hEO0NsaW5pY2FsIEJpb3N0YXRpc3RpY3Mg
VW5pdCwgSG9zcGl0YWwgUmFtb24geSBDYWphbCAoSVJZQ0lTKSwgTWFkcmlkLCBTcGFpbi4mI3hE
O0NpdHkgVW5pdmVyc2l0eSBvZiBMb25kb24sIFVuaXZlcnNpdHkgb2YgTG9uZG9uLCBMb25kb24s
IFVLLiYjeEQ7Q2VudHJlIGZvciBIb3N0LU1pY3JvYmlvbWUgSW50ZXJhY3Rpb25zLCBLaW5nJmFw
b3M7cyBDb2xsZWdlIExvbmRvbiwgTG9uZG9uLCBVSy4mI3hEO0RlcGFydG1lbnQgb2YgT2JzdGV0
cmljcyBhbmQgR3luYWVjb2xvZ3ksIEZhY3VsdHkgb2YgTWVkaWNpbmUsIFVuaXZlcnNpdHkgSG9z
cGl0YWxzIG9mIEdlbmV2YSwgR2VuZXZhLCBTd2l0emVybGFuZC48L2F1dGgtYWRkcmVzcz48dGl0
bGVzPjx0aXRsZT5FZmZlY3RzIG9mIG9yYWwgcHJvYmlvdGljIHN1cHBsZW1lbnRzIG9uIHZhZ2lu
YWwgbWljcm9iaW90YSBkdXJpbmcgcHJlZ25hbmN5OiBhIHJhbmRvbWlzZWQsIGRvdWJsZS1ibGlu
ZCwgcGxhY2Viby1jb250cm9sbGVkIHRyaWFsIHdpdGggbWljcm9iaW9tZSBhbmFseXNpczwvdGl0
bGU+PHNlY29uZGFyeS10aXRsZT5CSk9HPC9zZWNvbmRhcnktdGl0bGU+PC90aXRsZXM+PHBlcmlv
ZGljYWw+PGZ1bGwtdGl0bGU+QkpPRzwvZnVsbC10aXRsZT48L3BlcmlvZGljYWw+PHBhZ2VzPjI3
NS0yODQ8L3BhZ2VzPjx2b2x1bWU+MTI3PC92b2x1bWU+PG51bWJlcj4yPC9udW1iZXI+PGVkaXRp
b24+MjAxOS8wNC8wMjwvZWRpdGlvbj48a2V5d29yZHM+PGtleXdvcmQ+QWR1bHQ8L2tleXdvcmQ+
PGtleXdvcmQ+RG91YmxlLUJsaW5kIE1ldGhvZDwva2V5d29yZD48a2V5d29yZD5GZW1hbGU8L2tl
eXdvcmQ+PGtleXdvcmQ+SHVtYW5zPC9rZXl3b3JkPjxrZXl3b3JkPkxhY3RvYmFjaWxsdXMgcmV1
dGVyaS9kcnVnIGVmZmVjdHM8L2tleXdvcmQ+PGtleXdvcmQ+TGFjdG9iYWNpbGx1cyByaGFtbm9z
dXMvZHJ1ZyBlZmZlY3RzPC9rZXl3b3JkPjxrZXl3b3JkPk1pY3JvYmlvdGEvKnBoeXNpb2xvZ3k8
L2tleXdvcmQ+PGtleXdvcmQ+UHJlZ25hbmN5PC9rZXl3b3JkPjxrZXl3b3JkPlByZWduYW5jeSBD
b21wbGljYXRpb25zLCBJbmZlY3Rpb3VzLyptaWNyb2Jpb2xvZ3k8L2tleXdvcmQ+PGtleXdvcmQ+
UHJlZ25hbmN5IFRyaW1lc3RlciwgRmlyc3Q8L2tleXdvcmQ+PGtleXdvcmQ+UHJvYmlvdGljcy8q
dGhlcmFwZXV0aWMgdXNlPC9rZXl3b3JkPjxrZXl3b3JkPlZhZ2luYS8qbWljcm9iaW9sb2d5PC9r
ZXl3b3JkPjxrZXl3b3JkPlZhZ2lub3NpcywgQmFjdGVyaWFsL2NvbXBsaWNhdGlvbnMvZHJ1ZyB0
aGVyYXB5L21pY3JvYmlvbG9neTwva2V5d29yZD48a2V5d29yZD5Zb3VuZyBBZHVsdDwva2V5d29y
ZD48a2V5d29yZD4qIExhY3RvYmFjaWxsdXMgcmV1dGVyaTwva2V5d29yZD48a2V5d29yZD4qIExh
Y3RvYmFjaWxsdXMgcmhhbW5vc3VzPC9rZXl3b3JkPjxrZXl3b3JkPipCYWN0ZXJpYWwgdmFnaW5v
c2lzPC9rZXl3b3JkPjxrZXl3b3JkPipwcm9iaW90aWM8L2tleXdvcmQ+PC9rZXl3b3Jkcz48ZGF0
ZXM+PHllYXI+MjAyMDwveWVhcj48cHViLWRhdGVzPjxkYXRlPkphbjwvZGF0ZT48L3B1Yi1kYXRl
cz48L2RhdGVzPjxpc2JuPjE0NzEtMDUyOCAoRWxlY3Ryb25pYykmI3hEOzE0NzAtMDMyOCAoTGlu
a2luZyk8L2lzYm4+PGFjY2Vzc2lvbi1udW0+MzA5MzIzMTc8L2FjY2Vzc2lvbi1udW0+PHVybHM+
PHJlbGF0ZWQtdXJscz48dXJsPmh0dHBzOi8vd3d3Lm5jYmkubmxtLm5paC5nb3YvcHVibWVkLzMw
OTMyMzE3PC91cmw+PC9yZWxhdGVkLXVybHM+PC91cmxzPjxjdXN0b20yPlBNQzY5NzMxNDk8L2N1
c3RvbTI+PGVsZWN0cm9uaWMtcmVzb3VyY2UtbnVtPjEwLjExMTEvMTQ3MS0wNTI4LjE1Njc1PC9l
bGVjdHJvbmljLXJlc291cmNlLW51bT48L3JlY29yZD48L0NpdGU+PENpdGU+PEF1dGhvcj5MYWl0
aW5lbjwvQXV0aG9yPjxZZWFyPjIwMDk8L1llYXI+PFJlY051bT4xMTQ4PC9SZWNOdW0+PHJlY29y
ZD48cmVjLW51bWJlcj4xMTQ4PC9yZWMtbnVtYmVyPjxmb3JlaWduLWtleXM+PGtleSBhcHA9IkVO
IiBkYi1pZD0iZXh2YXNyZngyZHRyYW9lc2FzeHAyc3pzeGEyZGY1MDI1OTJ4IiB0aW1lc3RhbXA9
IjE1NTU1NjY4MTYiPjExNDg8L2tleT48a2V5IGFwcD0iRU5XZWIiIGRiLWlkPSIiPjA8L2tleT48
L2ZvcmVpZ24ta2V5cz48cmVmLXR5cGUgbmFtZT0iSm91cm5hbCBBcnRpY2xlIj4xNzwvcmVmLXR5
cGU+PGNvbnRyaWJ1dG9ycz48YXV0aG9ycz48YXV0aG9yPkxhaXRpbmVuLCBLLjwvYXV0aG9yPjxh
dXRob3I+UG91c3NhLCBULjwvYXV0aG9yPjxhdXRob3I+SXNvbGF1cmksIEUuPC9hdXRob3I+PGF1
dGhvcj5OdXRyaXRpb24sIEFsbGVyZ3kgTXVjb3NhbCBJbW11bm9sb2d5PC9hdXRob3I+PGF1dGhv
cj5JbnRlc3RpbmFsIE1pY3JvYmlvdGEsIEdyb3VwPC9hdXRob3I+PC9hdXRob3JzPjwvY29udHJp
YnV0b3JzPjxhdXRoLWFkZHJlc3M+RGVwYXJ0bWVudCBvZiBCaW9jaGVtaXN0cnkgYW5kIEZvb2Qg
Q2hlbWlzdHJ5LCBVbml2ZXJzaXR5IG9mIFR1cmt1LCAyMDAxNCBUdXJrdSwgRmlubGFuZC4ga2ly
c2kubGFpdGluZW5AdXR1LmZpPC9hdXRoLWFkZHJlc3M+PHRpdGxlcz48dGl0bGU+UHJvYmlvdGlj
cyBhbmQgZGlldGFyeSBjb3Vuc2VsbGluZyBjb250cmlidXRlIHRvIGdsdWNvc2UgcmVndWxhdGlv
biBkdXJpbmcgYW5kIGFmdGVyIHByZWduYW5jeTogYSByYW5kb21pc2VkIGNvbnRyb2xsZWQgdHJp
YWw8L3RpdGxlPjxzZWNvbmRhcnktdGl0bGU+QnIgSiBOdXRyPC9zZWNvbmRhcnktdGl0bGU+PC90
aXRsZXM+PHBlcmlvZGljYWw+PGZ1bGwtdGl0bGU+QnIgSiBOdXRyPC9mdWxsLXRpdGxlPjwvcGVy
aW9kaWNhbD48cGFnZXM+MTY3OS04NzwvcGFnZXM+PHZvbHVtZT4xMDE8L3ZvbHVtZT48bnVtYmVy
PjExPC9udW1iZXI+PGVkaXRpb24+MjAwOC8xMS8yMDwvZWRpdGlvbj48a2V5d29yZHM+PGtleXdv
cmQ+QWR1bHQ8L2tleXdvcmQ+PGtleXdvcmQ+Qmxvb2QgR2x1Y29zZS8qbWV0YWJvbGlzbTwva2V5
d29yZD48a2V5d29yZD5Db3Vuc2VsaW5nPC9rZXl3b3JkPjxrZXl3b3JkPipEaWV0PC9rZXl3b3Jk
PjxrZXl3b3JkPkVuZXJneSBJbnRha2UvcGh5c2lvbG9neTwva2V5d29yZD48a2V5d29yZD5GZW1h
bGU8L2tleXdvcmQ+PGtleXdvcmQ+SHVtYW5zPC9rZXl3b3JkPjxrZXl3b3JkPkluc3VsaW4vYmxv
b2Q8L2tleXdvcmQ+PGtleXdvcmQ+SW5zdWxpbiBSZXNpc3RhbmNlL3BoeXNpb2xvZ3k8L2tleXdv
cmQ+PGtleXdvcmQ+TWF0ZXJuYWwgTnV0cml0aW9uYWwgUGh5c2lvbG9naWNhbCBQaGVub21lbmEv
KnBoeXNpb2xvZ3k8L2tleXdvcmQ+PGtleXdvcmQ+UG9zdHBhcnR1bSBQZXJpb2QvYmxvb2Q8L2tl
eXdvcmQ+PGtleXdvcmQ+UHJlZ25hbmN5LypibG9vZDwva2V5d29yZD48a2V5d29yZD4qUHJvYmlv
dGljczwva2V5d29yZD48a2V5d29yZD5Qcm9zcGVjdGl2ZSBTdHVkaWVzPC9rZXl3b3JkPjxrZXl3
b3JkPllvdW5nIEFkdWx0PC9rZXl3b3JkPjwva2V5d29yZHM+PGRhdGVzPjx5ZWFyPjIwMDk8L3ll
YXI+PHB1Yi1kYXRlcz48ZGF0ZT5KdW48L2RhdGU+PC9wdWItZGF0ZXM+PC9kYXRlcz48aXNibj4x
NDc1LTI2NjIgKEVsZWN0cm9uaWMpJiN4RDswMDA3LTExNDUgKExpbmtpbmcpPC9pc2JuPjxhY2Nl
c3Npb24tbnVtPjE5MDE3NDE4PC9hY2Nlc3Npb24tbnVtPjx1cmxzPjxyZWxhdGVkLXVybHM+PHVy
bD5odHRwczovL3d3dy5uY2JpLm5sbS5uaWguZ292L3B1Ym1lZC8xOTAxNzQxODwvdXJsPjwvcmVs
YXRlZC11cmxzPjwvdXJscz48ZWxlY3Ryb25pYy1yZXNvdXJjZS1udW0+MTAuMTAxNy9TMDAwNzEx
NDUwODExMTQ2MTwvZWxlY3Ryb25pYy1yZXNvdXJjZS1udW0+PC9yZWNvcmQ+PC9DaXRlPjxDaXRl
PjxBdXRob3I+T2tlc2VuZS1HYWZhPC9BdXRob3I+PFllYXI+MjAxOTwvWWVhcj48UmVjTnVtPjEz
OTA8L1JlY051bT48cmVjb3JkPjxyZWMtbnVtYmVyPjEzOTA8L3JlYy1udW1iZXI+PGZvcmVpZ24t
a2V5cz48a2V5IGFwcD0iRU4iIGRiLWlkPSJleHZhc3JmeDJkdHJhb2VzYXN4cDJzenN4YTJkZjUw
MjU5MngiIHRpbWVzdGFtcD0iMTU2Nzc0NjExNiI+MTM5MDwva2V5PjxrZXkgYXBwPSJFTldlYiIg
ZGItaWQ9IiI+MDwva2V5PjwvZm9yZWlnbi1rZXlzPjxyZWYtdHlwZSBuYW1lPSJKb3VybmFsIEFy
dGljbGUiPjE3PC9yZWYtdHlwZT48Y29udHJpYnV0b3JzPjxhdXRob3JzPjxhdXRob3I+T2tlc2Vu
ZS1HYWZhLCBLLkEuTS4sPC9hdXRob3I+PGF1dGhvcj5MaSwgTS4sPC9hdXRob3I+PGF1dGhvcj5N
Y0tpbmxheSwgQy5KLkQuLDwvYXV0aG9yPjxhdXRob3I+VGF5bG9yLCBSLlMuLDwvYXV0aG9yPjxh
dXRob3I+UnVzaCwgRS5DLiw8L2F1dGhvcj48YXV0aG9yPldhbGwsIEMuUi4sPC9hdXRob3I+PGF1
dGhvcj5XaWxzb24sIEouLDwvYXV0aG9yPjxhdXRob3I+TXVycGh5LCBSLiw8L2F1dGhvcj48YXV0
aG9yPlRheWxvciwgUi4sPC9hdXRob3I+PGF1dGhvcj5UaG9tcHNvbiwgSi5NLkQuLDwvYXV0aG9y
PjxhdXRob3I+Q3Jvd3RoZXIsIEMuQS4sPC9hdXRob3I+PGF1dGhvcj5NY0Nvd2FuLCBMLk0uRS4s
PC9hdXRob3I+PC9hdXRob3JzPjwvY29udHJpYnV0b3JzPjxhdXRoLWFkZHJlc3M+RGVwYXJ0bWVu
dCBvZiBPYnN0ZXRyaWNzIGFuZCBHeW5hZWNvbG9neSwgVW5pdmVyc2l0eSBvZiBBdWNrbGFuZCwg
QXVja2xhbmQsIE5ldyBaZWFsYW5kOyBGYWN1bHR5IG9mIE1lZGljYWwgYW5kIEhlYWx0aCBTY2ll
bmNlcywgVW5pdmVyc2l0eSBvZiBBdWNrbGFuZCwgQXVja2xhbmQsIE5ldyBaZWFsYW5kOyBNaWRk
bGVtb3JlIEhvc3BpdGFsLCBTb3V0aCBBdWNrbGFuZCwgTmV3IFplYWxhbmQuIEVsZWN0cm9uaWMg
YWRkcmVzczogay5va2VzZW5lLWdhZmFAYXVja2xhbmQuYWMubnouJiN4RDtEZXBhcnRtZW50IG9m
IE9ic3RldHJpY3MgYW5kIEd5bmFlY29sb2d5LCBVbml2ZXJzaXR5IG9mIEF1Y2tsYW5kLCBBdWNr
bGFuZCwgTmV3IFplYWxhbmQ7IEZhY3VsdHkgb2YgTWVkaWNhbCBhbmQgSGVhbHRoIFNjaWVuY2Vz
LCBVbml2ZXJzaXR5IG9mIEF1Y2tsYW5kLCBBdWNrbGFuZCwgTmV3IFplYWxhbmQuJiN4RDtEZXBh
cnRtZW50IG9mIFBhZWRpYXRyaWNzLCBDaGlsZCBhbmQgWW91dGggSGVhbHRoLCBVbml2ZXJzaXR5
IG9mIEF1Y2tsYW5kLCBBdWNrbGFuZCwgTmV3IFplYWxhbmQ7IExpZ2dpbnMgSW5zdGl0dXRlLCBV
bml2ZXJzaXR5IG9mIEF1Y2tsYW5kLCBBdWNrbGFuZCwgTmV3IFplYWxhbmQ7IEtpZHogRmlyc3Qg
TmVvbmF0YWwgQ2FyZSwgQ291bnRpZXMgTWFudWthdSBIZWFsdGgsIEF1Y2tsYW5kLCBOZXcgWmVh
bGFuZC4mI3hEO0ZhY3VsdHkgb2YgSGVhbHRoIGFuZCBFbnZpcm9ubWVudGFsIFNjaWVuY2UsIEF1
Y2tsYW5kIFVuaXZlcnNpdHkgb2YgVGVjaG5vbG9neSwgQXVja2xhbmQsIE5ldyBaZWFsYW5kLiYj
eEQ7RmFjdWx0eSBvZiBNZWRpY2FsIGFuZCBIZWFsdGggU2NpZW5jZXMsIFVuaXZlcnNpdHkgb2Yg
QXVja2xhbmQsIEF1Y2tsYW5kLCBOZXcgWmVhbGFuZC4mI3hEO0ZhY3VsdHkgb2YgTWVkaWNhbCBh
bmQgSGVhbHRoIFNjaWVuY2VzLCBVbml2ZXJzaXR5IG9mIEF1Y2tsYW5kLCBBdWNrbGFuZCwgTmV3
IFplYWxhbmQ7IERlcGFydG1lbnQgb2YgUGFlZGlhdHJpY3MsIENoaWxkIGFuZCBZb3V0aCBIZWFs
dGgsIFVuaXZlcnNpdHkgb2YgQXVja2xhbmQsIEF1Y2tsYW5kLCBOZXcgWmVhbGFuZC4mI3hEO0Rl
cGFydG1lbnQgb2YgTWVkaWNpbmUsIFNjaG9vbCBvZiBNZWRpY2luZSwgVW5pdmVyc2l0eSBvZiBB
dWNrbGFuZCwgQXVja2xhbmQsIE5ldyBaZWFsYW5kLiYjeEQ7RGVwYXJ0bWVudCBvZiBNZWRpY2lu
ZSwgVW5pdmVyc2l0eSBvZiBPdGFnbywgRHVuZWRpbiwgTmV3IFplYWxhbmQuJiN4RDtMaWdnaW5z
IEluc3RpdHV0ZSwgVW5pdmVyc2l0eSBvZiBBdWNrbGFuZCwgQXVja2xhbmQsIE5ldyBaZWFsYW5k
LjwvYXV0aC1hZGRyZXNzPjx0aXRsZXM+PHRpdGxlPkVmZmVjdCBvZiBhbnRlbmF0YWwgZGlldGFy
eSBpbnRlcnZlbnRpb25zIGluIG1hdGVybmFsIG9iZXNpdHkgb24gcHJlZ25hbmN5IHdlaWdodC1n
YWluIGFuZCBiaXJ0aHdlaWdodDogSGVhbHRoeSBNdW1zIGFuZCBCYWJpZXMgKEhVTUJBKSByYW5k
b21pemVkIHRyaWFsPC90aXRsZT48c2Vjb25kYXJ5LXRpdGxlPkFtIEogT2JzdGV0IEd5bmVjb2w8
L3NlY29uZGFyeS10aXRsZT48L3RpdGxlcz48cGVyaW9kaWNhbD48ZnVsbC10aXRsZT5BbSBKIE9i
c3RldCBHeW5lY29sPC9mdWxsLXRpdGxlPjwvcGVyaW9kaWNhbD48cGFnZXM+MTUyIGUxLTE1MiBl
MTM8L3BhZ2VzPjx2b2x1bWU+MjIxPC92b2x1bWU+PG51bWJlcj4yPC9udW1iZXI+PGVkaXRpb24+
MjAxOS8wMy8xODwvZWRpdGlvbj48a2V5d29yZHM+PGtleXdvcmQ+Y29tbXVuaXR5IGhlYWx0aCB3
b3JrZXI8L2tleXdvcmQ+PGtleXdvcmQ+Z2VzdGF0aW9uYWwgd2VpZ2h0IGdhaW48L2tleXdvcmQ+
PGtleXdvcmQ+cHJvYmlvdGljczwva2V5d29yZD48a2V5d29yZD50ZXh0IG1lc3NhZ2luZzwva2V5
d29yZD48L2tleXdvcmRzPjxkYXRlcz48eWVhcj4yMDE5PC95ZWFyPjxwdWItZGF0ZXM+PGRhdGU+
QXVnPC9kYXRlPjwvcHViLWRhdGVzPjwvZGF0ZXM+PGlzYm4+MTA5Ny02ODY4IChFbGVjdHJvbmlj
KSYjeEQ7MDAwMi05Mzc4IChMaW5raW5nKTwvaXNibj48YWNjZXNzaW9uLW51bT4zMDg3ODMyMzwv
YWNjZXNzaW9uLW51bT48dXJscz48cmVsYXRlZC11cmxzPjx1cmw+aHR0cHM6Ly93d3cubmNiaS5u
bG0ubmloLmdvdi9wdWJtZWQvMzA4NzgzMjM8L3VybD48L3JlbGF0ZWQtdXJscz48L3VybHM+PGVs
ZWN0cm9uaWMtcmVzb3VyY2UtbnVtPjEwLjEwMTYvai5ham9nLjIwMTkuMDMuMDAzPC9lbGVjdHJv
bmljLXJlc291cmNlLW51bT48L3JlY29yZD48L0NpdGU+PENpdGU+PEF1dGhvcj5QZWxsb25wZXJh
PC9BdXRob3I+PFllYXI+MjAxOTwvWWVhcj48UmVjTnVtPjE2Njk8L1JlY051bT48cmVjb3JkPjxy
ZWMtbnVtYmVyPjE2Njk8L3JlYy1udW1iZXI+PGZvcmVpZ24ta2V5cz48a2V5IGFwcD0iRU4iIGRi
LWlkPSJleHZhc3JmeDJkdHJhb2VzYXN4cDJzenN4YTJkZjUwMjU5MngiIHRpbWVzdGFtcD0iMTU4
MTMxMjg0MCI+MTY2OTwva2V5PjxrZXkgYXBwPSJFTldlYiIgZGItaWQ9IiI+MDwva2V5PjwvZm9y
ZWlnbi1rZXlzPjxyZWYtdHlwZSBuYW1lPSJKb3VybmFsIEFydGljbGUiPjE3PC9yZWYtdHlwZT48
Y29udHJpYnV0b3JzPjxhdXRob3JzPjxhdXRob3I+UGVsbG9ucGVyYSwgTy48L2F1dGhvcj48YXV0
aG9yPk1va2thbGEsIEsuPC9hdXRob3I+PGF1dGhvcj5Ib3V0dHUsIE4uPC9hdXRob3I+PGF1dGhv
cj5WYWhsYmVyZywgVC48L2F1dGhvcj48YXV0aG9yPktvaXZ1bmllbWksIEUuPC9hdXRob3I+PGF1
dGhvcj5UZXJ0dGksIEsuPC9hdXRob3I+PGF1dGhvcj5Sb25uZW1hYSwgVC48L2F1dGhvcj48YXV0
aG9yPkxhaXRpbmVuLCBLLjwvYXV0aG9yPjwvYXV0aG9ycz48L2NvbnRyaWJ1dG9ycz48YXV0aC1h
ZGRyZXNzPkRlcGFydG1lbnQgb2YgT2JzdGV0cmljcyBhbmQgR3luZWNvbG9neSwgVW5pdmVyc2l0
eSBvZiBUdXJrdSBhbmQgVHVya3UgVW5pdmVyc2l0eSBIb3NwaXRhbCwgVHVya3UsIEZpbmxhbmQg
b3V0aS5wZWxsb25wZXJhQHV0dS5maS4mI3hEO0ludGVncmF0aXZlIFBoeXNpb2xvZ3kgYW5kIFBo
YXJtYWNvbG9neSwgSW5zdGl0dXRlIG9mIEJpb21lZGljaW5lLCBVbml2ZXJzaXR5IG9mIFR1cmt1
LCBUdXJrdSwgRmlubGFuZC4mI3hEO0Jpb3N0YXRpc3RpY3MsIEluc3RpdHV0ZSBvZiBDbGluaWNh
bCBNZWRpY2luZSwgVW5pdmVyc2l0eSBvZiBUdXJrdSwgVHVya3UsIEZpbmxhbmQuJiN4RDtEZXBh
cnRtZW50IG9mIE9ic3RldHJpY3MgYW5kIEd5bmVjb2xvZ3ksIFVuaXZlcnNpdHkgb2YgVHVya3Ug
YW5kIFR1cmt1IFVuaXZlcnNpdHkgSG9zcGl0YWwsIFR1cmt1LCBGaW5sYW5kLiYjeEQ7RGVwYXJ0
bWVudCBvZiBNZWRpY2luZSwgVW5pdmVyc2l0eSBvZiBUdXJrdSBhbmQgVHVya3UgVW5pdmVyc2l0
eSBIb3NwaXRhbCwgVHVya3UsIEZpbmxhbmQuPC9hdXRoLWFkZHJlc3M+PHRpdGxlcz48dGl0bGU+
RWZmaWNhY3kgb2YgZmlzaCBvaWwgYW5kL29yIHByb2Jpb3RpYyBpbnRlcnZlbnRpb24gb24gdGhl
IGluY2lkZW5jZSBvZiBnZXN0YXRpb25hbCBkaWFiZXRlcyBtZWxsaXR1cyBpbiBhbiBhdC1yaXNr
IGdyb3VwIG9mIG92ZXJ3ZWlnaHQgYW5kIG9iZXNlIHdvbWVuOiBhIHJhbmRvbWl6ZWQsIHBsYWNl
Ym8tY29udHJvbGxlZCwgZG91YmxlLWJsaW5kIGNsaW5pY2FsIHRyaWFsPC90aXRsZT48c2Vjb25k
YXJ5LXRpdGxlPkRpYWJldGVzIENhcmU8L3NlY29uZGFyeS10aXRsZT48L3RpdGxlcz48cGVyaW9k
aWNhbD48ZnVsbC10aXRsZT5EaWFiZXRlcyBDYXJlPC9mdWxsLXRpdGxlPjwvcGVyaW9kaWNhbD48
cGFnZXM+MTAwOS0xMDE3PC9wYWdlcz48dm9sdW1lPjQyPC92b2x1bWU+PG51bWJlcj42PC9udW1i
ZXI+PGVkaXRpb24+MjAxOS8wNC8xMTwvZWRpdGlvbj48ZGF0ZXM+PHllYXI+MjAxOTwveWVhcj48
cHViLWRhdGVzPjxkYXRlPkp1bjwvZGF0ZT48L3B1Yi1kYXRlcz48L2RhdGVzPjxpc2JuPjE5MzUt
NTU0OCAoRWxlY3Ryb25pYykmI3hEOzAxNDktNTk5MiAoTGlua2luZyk8L2lzYm4+PGFjY2Vzc2lv
bi1udW0+MzA5Njc0MzY8L2FjY2Vzc2lvbi1udW0+PHVybHM+PHJlbGF0ZWQtdXJscz48dXJsPmh0
dHBzOi8vd3d3Lm5jYmkubmxtLm5paC5nb3YvcHVibWVkLzMwOTY3NDM2PC91cmw+PC9yZWxhdGVk
LXVybHM+PC91cmxzPjxlbGVjdHJvbmljLXJlc291cmNlLW51bT4xMC4yMzM3L2RjMTgtMjU5MTwv
ZWxlY3Ryb25pYy1yZXNvdXJjZS1udW0+PC9yZWNvcmQ+PC9DaXRlPjxDaXRlPjxBdXRob3I+UmF1
dGF2YTwvQXV0aG9yPjxZZWFyPjIwMTI8L1llYXI+PFJlY051bT4xNjk0PC9SZWNOdW0+PHJlY29y
ZD48cmVjLW51bWJlcj4xNjk0PC9yZWMtbnVtYmVyPjxmb3JlaWduLWtleXM+PGtleSBhcHA9IkVO
IiBkYi1pZD0iZXh2YXNyZngyZHRyYW9lc2FzeHAyc3pzeGEyZGY1MDI1OTJ4IiB0aW1lc3RhbXA9
IjE1ODE4MzIwNzYiPjE2OTQ8L2tleT48L2ZvcmVpZ24ta2V5cz48cmVmLXR5cGUgbmFtZT0iSm91
cm5hbCBBcnRpY2xlIj4xNzwvcmVmLXR5cGU+PGNvbnRyaWJ1dG9ycz48YXV0aG9ycz48YXV0aG9y
PlJhdXRhdmEsIFMuPC9hdXRob3I+PGF1dGhvcj5LYWlub25lbiwgRS48L2F1dGhvcj48YXV0aG9y
PlNhbG1pbmVuLCBTLjwvYXV0aG9yPjxhdXRob3I+SXNvbGF1cmksIEUuPC9hdXRob3I+PC9hdXRo
b3JzPjwvY29udHJpYnV0b3JzPjxhdXRoLWFkZHJlc3M+RGVwYXJ0bWVudCBvZiBQYWVkaWF0cmlj
cywgVHVya3UgVW5pdmVyc2l0eSBDZW50cmFsIEhvc3BpdGFsLCBUdXJrdSwgRmlubGFuZC4gc2Ft
cmF1QHV0dS5maTwvYXV0aC1hZGRyZXNzPjx0aXRsZXM+PHRpdGxlPk1hdGVybmFsIHByb2Jpb3Rp
YyBzdXBwbGVtZW50YXRpb24gZHVyaW5nIHByZWduYW5jeSBhbmQgYnJlYXN0LWZlZWRpbmcgcmVk
dWNlcyB0aGUgcmlzayBvZiBlY3plbWEgaW4gdGhlIGluZmFudDwvdGl0bGU+PHNlY29uZGFyeS10
aXRsZT5KIEFsbGVyZ3kgQ2xpbiBJbW11bm9sPC9zZWNvbmRhcnktdGl0bGU+PC90aXRsZXM+PHBl
cmlvZGljYWw+PGZ1bGwtdGl0bGU+SiBBbGxlcmd5IENsaW4gSW1tdW5vbDwvZnVsbC10aXRsZT48
L3BlcmlvZGljYWw+PHBhZ2VzPjEzNTUtNjA8L3BhZ2VzPjx2b2x1bWU+MTMwPC92b2x1bWU+PG51
bWJlcj42PC9udW1iZXI+PGVkaXRpb24+MjAxMi8xMC8yMzwvZWRpdGlvbj48a2V5d29yZHM+PGtl
eXdvcmQ+QWR1bHQ8L2tleXdvcmQ+PGtleXdvcmQ+QnJlYXN0IEZlZWRpbmc8L2tleXdvcmQ+PGtl
eXdvcmQ+KkRpZXRhcnkgU3VwcGxlbWVudHM8L2tleXdvcmQ+PGtleXdvcmQ+RWN6ZW1hL2ltbXVu
b2xvZ3kvKnByZXZlbnRpb24gJmFtcDsgY29udHJvbDwva2V5d29yZD48a2V5d29yZD5GZW1hbGU8
L2tleXdvcmQ+PGtleXdvcmQ+Rm9sbG93LVVwIFN0dWRpZXM8L2tleXdvcmQ+PGtleXdvcmQ+SHVt
YW5zPC9rZXl3b3JkPjxrZXl3b3JkPkltbXVub2dsb2J1bGluIEUvYmxvb2Q8L2tleXdvcmQ+PGtl
eXdvcmQ+SW5mYW50LCBOZXdib3JuPC9rZXl3b3JkPjxrZXl3b3JkPk1hbGU8L2tleXdvcmQ+PGtl
eXdvcmQ+TWF0ZXJuYWwgRXhwb3N1cmU8L2tleXdvcmQ+PGtleXdvcmQ+UHJlZ25hbmN5PC9rZXl3
b3JkPjxrZXl3b3JkPlByb2Jpb3RpY3MvKmFkbWluaXN0cmF0aW9uICZhbXA7IGRvc2FnZTwva2V5
d29yZD48a2V5d29yZD5SaXNrPC9rZXl3b3JkPjxrZXl3b3JkPlNraW4gVGVzdHM8L2tleXdvcmQ+
PGtleXdvcmQ+WW91bmcgQWR1bHQ8L2tleXdvcmQ+PC9rZXl3b3Jkcz48ZGF0ZXM+PHllYXI+MjAx
MjwveWVhcj48cHViLWRhdGVzPjxkYXRlPkRlYzwvZGF0ZT48L3B1Yi1kYXRlcz48L2RhdGVzPjxp
c2JuPjEwOTctNjgyNSAoRWxlY3Ryb25pYykmI3hEOzAwOTEtNjc0OSAoTGlua2luZyk8L2lzYm4+
PGFjY2Vzc2lvbi1udW0+MjMwODM2NzM8L2FjY2Vzc2lvbi1udW0+PHVybHM+PHJlbGF0ZWQtdXJs
cz48dXJsPmh0dHBzOi8vd3d3Lm5jYmkubmxtLm5paC5nb3YvcHVibWVkLzIzMDgzNjczPC91cmw+
PC9yZWxhdGVkLXVybHM+PC91cmxzPjxlbGVjdHJvbmljLXJlc291cmNlLW51bT4xMC4xMDE2L2ou
amFjaS4yMDEyLjA5LjAwMzwvZWxlY3Ryb25pYy1yZXNvdXJjZS1udW0+PC9yZWNvcmQ+PC9DaXRl
PjwvRW5kTm90ZT5=
</w:fldData>
        </w:fldChar>
      </w:r>
      <w:r w:rsidR="002747EA">
        <w:instrText xml:space="preserve"> ADDIN EN.CITE </w:instrText>
      </w:r>
      <w:r w:rsidR="002747EA">
        <w:fldChar w:fldCharType="begin">
          <w:fldData xml:space="preserve">PEVuZE5vdGU+PENpdGU+PEF1dGhvcj5BYnJhaGFtc3NvbjwvQXV0aG9yPjxZZWFyPjIwMDc8L1ll
YXI+PFJlY051bT4xNjgzPC9SZWNOdW0+PERpc3BsYXlUZXh0PjxzdHlsZSBmYWNlPSJzdXBlcnNj
cmlwdCIgZm9udD0iVHJlYnVjaGV0IE1TIiBzaXplPSI5Ij4yMjksMjMxLTIzMywyNDAsMjQ2LDI0
NywyNTE8L3N0eWxlPjwvRGlzcGxheVRleHQ+PHJlY29yZD48cmVjLW51bWJlcj4xNjgzPC9yZWMt
bnVtYmVyPjxmb3JlaWduLWtleXM+PGtleSBhcHA9IkVOIiBkYi1pZD0iZXh2YXNyZngyZHRyYW9l
c2FzeHAyc3pzeGEyZGY1MDI1OTJ4IiB0aW1lc3RhbXA9IjE1ODE4MzIwNzYiPjE2ODM8L2tleT48
L2ZvcmVpZ24ta2V5cz48cmVmLXR5cGUgbmFtZT0iSm91cm5hbCBBcnRpY2xlIj4xNzwvcmVmLXR5
cGU+PGNvbnRyaWJ1dG9ycz48YXV0aG9ycz48YXV0aG9yPkFicmFoYW1zc29uLCBULiBSLjwvYXV0
aG9yPjxhdXRob3I+SmFrb2Jzc29uLCBULjwvYXV0aG9yPjxhdXRob3I+Qm90dGNoZXIsIE0uIEYu
PC9hdXRob3I+PGF1dGhvcj5GcmVkcmlrc29uLCBNLjwvYXV0aG9yPjxhdXRob3I+SmVubWFsbSwg
TS4gQy48L2F1dGhvcj48YXV0aG9yPkJqb3Jrc3RlbiwgQi48L2F1dGhvcj48YXV0aG9yPk9sZGFl
dXMsIEcuPC9hdXRob3I+PC9hdXRob3JzPjwvY29udHJpYnV0b3JzPjxhdXRoLWFkZHJlc3M+RGVw
YXJ0bWVudCBvZiBNb2xlY3VsYXIgYW5kIENsaW5pY2FsIE1lZGljaW5lLCBEaXZpc2lvbiBvZiBQ
ZWRpYXRyaWNzLCBMaW5rb3BpbmcgVW5pdmVyc2l0eSwgU3dlZGVuLiBUaG9tYXMuQWJyYWhhbXNz
b25AbGlvLnNlPC9hdXRoLWFkZHJlc3M+PHRpdGxlcz48dGl0bGU+UHJvYmlvdGljcyBpbiBwcmV2
ZW50aW9uIG9mIElnRS1hc3NvY2lhdGVkIGVjemVtYTogYSBkb3VibGUtYmxpbmQsIHJhbmRvbWl6
ZWQsIHBsYWNlYm8tY29udHJvbGxlZCB0cmlhbDwvdGl0bGU+PHNlY29uZGFyeS10aXRsZT5KIEFs
bGVyZ3kgQ2xpbiBJbW11bm9sPC9zZWNvbmRhcnktdGl0bGU+PC90aXRsZXM+PHBlcmlvZGljYWw+
PGZ1bGwtdGl0bGU+SiBBbGxlcmd5IENsaW4gSW1tdW5vbDwvZnVsbC10aXRsZT48L3BlcmlvZGlj
YWw+PHBhZ2VzPjExNzQtODA8L3BhZ2VzPjx2b2x1bWU+MTE5PC92b2x1bWU+PG51bWJlcj41PC9u
dW1iZXI+PGVkaXRpb24+MjAwNy8wMy8xNDwvZWRpdGlvbj48a2V5d29yZHM+PGtleXdvcmQ+Q2hp
bGQsIFByZXNjaG9vbDwva2V5d29yZD48a2V5d29yZD5FY3plbWEvKnByZXZlbnRpb24gJmFtcDsg
Y29udHJvbDwva2V5d29yZD48a2V5d29yZD5GZW1hbGU8L2tleXdvcmQ+PGtleXdvcmQ+SHVtYW5z
PC9rZXl3b3JkPjxrZXl3b3JkPkh5cGVyc2Vuc2l0aXZpdHkvKnByZXZlbnRpb24gJmFtcDsgY29u
dHJvbDwva2V5d29yZD48a2V5d29yZD5JbW11bm9nbG9idWxpbiBFL2Jsb29kPC9rZXl3b3JkPjxr
ZXl3b3JkPkluZmFudDwva2V5d29yZD48a2V5d29yZD5JbmZhbnQsIE5ld2Jvcm48L2tleXdvcmQ+
PGtleXdvcmQ+TGFjdG9iYWNpbGx1cyByZXV0ZXJpLyppbW11bm9sb2d5PC9rZXl3b3JkPjxrZXl3
b3JkPk1hbGU8L2tleXdvcmQ+PGtleXdvcmQ+UHJlZ25hbmN5PC9rZXl3b3JkPjxrZXl3b3JkPlBy
b2Jpb3RpY3MvKnRoZXJhcGV1dGljIHVzZTwva2V5d29yZD48a2V5d29yZD5Ta2luIFRlc3RzPC9r
ZXl3b3JkPjwva2V5d29yZHM+PGRhdGVzPjx5ZWFyPjIwMDc8L3llYXI+PHB1Yi1kYXRlcz48ZGF0
ZT5NYXk8L2RhdGU+PC9wdWItZGF0ZXM+PC9kYXRlcz48aXNibj4wMDkxLTY3NDkgKFByaW50KSYj
eEQ7MDA5MS02NzQ5IChMaW5raW5nKTwvaXNibj48YWNjZXNzaW9uLW51bT4xNzM0OTY4NjwvYWNj
ZXNzaW9uLW51bT48dXJscz48cmVsYXRlZC11cmxzPjx1cmw+aHR0cHM6Ly93d3cubmNiaS5ubG0u
bmloLmdvdi9wdWJtZWQvMTczNDk2ODY8L3VybD48L3JlbGF0ZWQtdXJscz48L3VybHM+PGVsZWN0
cm9uaWMtcmVzb3VyY2UtbnVtPjEwLjEwMTYvai5qYWNpLjIwMDcuMDEuMDA3PC9lbGVjdHJvbmlj
LXJlc291cmNlLW51bT48L3JlY29yZD48L0NpdGU+PENpdGU+PEF1dGhvcj5Cb3lsZTwvQXV0aG9y
PjxZZWFyPjIwMTE8L1llYXI+PFJlY051bT44MDwvUmVjTnVtPjxyZWNvcmQ+PHJlYy1udW1iZXI+
ODA8L3JlYy1udW1iZXI+PGZvcmVpZ24ta2V5cz48a2V5IGFwcD0iRU4iIGRiLWlkPSJlZDJwOWEw
YXg1cnh3YmVlMHZtdjk5OW5yeHZ6YTBhdzJmZHgiIHRpbWVzdGFtcD0iMTU4MTgzMTQzMyI+ODA8
L2tleT48L2ZvcmVpZ24ta2V5cz48cmVmLXR5cGUgbmFtZT0iSm91cm5hbCBBcnRpY2xlIj4xNzwv
cmVmLXR5cGU+PGNvbnRyaWJ1dG9ycz48YXV0aG9ycz48YXV0aG9yPkJveWxlLCBSLiBKLjwvYXV0
aG9yPjxhdXRob3I+SXNtYWlsLCBJLiBILjwvYXV0aG9yPjxhdXRob3I+S2l2aXZ1b3JpLCBTLjwv
YXV0aG9yPjxhdXRob3I+TGljY2lhcmRpLCBQLiBWLjwvYXV0aG9yPjxhdXRob3I+Um9iaW5zLUJy
b3duZSwgUi4gTS48L2F1dGhvcj48YXV0aG9yPk1haCwgTC4gSi48L2F1dGhvcj48YXV0aG9yPkF4
ZWxyYWQsIEMuPC9hdXRob3I+PGF1dGhvcj5Nb29yZSwgUy48L2F1dGhvcj48YXV0aG9yPkRvbmF0
aCwgUy48L2F1dGhvcj48YXV0aG9yPkNhcmxpbiwgSi4gQi48L2F1dGhvcj48YXV0aG9yPkxhaHRp
bmVuLCBTLiBKLjwvYXV0aG9yPjxhdXRob3I+VGFuZywgTS4gTC48L2F1dGhvcj48L2F1dGhvcnM+
PC9jb250cmlidXRvcnM+PGF1dGgtYWRkcmVzcz5BbGxlcmd5IGFuZCBJbW11bmUgRGlzb3JkZXJz
LCBNdXJkb2NoIENoaWxkcmVuJmFwb3M7cyBSZXNlYXJjaCBJbnN0aXR1dGUsIFVuaXZlcnNpdHkg
b2YgTWVsYm91cm5lLCBNZWxib3VybmUsIEF1c3RyYWxpYS48L2F1dGgtYWRkcmVzcz48dGl0bGVz
Pjx0aXRsZT5MYWN0b2JhY2lsbHVzIEdHIHRyZWF0bWVudCBkdXJpbmcgcHJlZ25hbmN5IGZvciB0
aGUgcHJldmVudGlvbiBvZiBlY3plbWE6IGEgcmFuZG9taXplZCBjb250cm9sbGVkIHRyaWFsPC90
aXRsZT48c2Vjb25kYXJ5LXRpdGxlPkFsbGVyZ3k8L3NlY29uZGFyeS10aXRsZT48L3RpdGxlcz48
cGVyaW9kaWNhbD48ZnVsbC10aXRsZT5BbGxlcmd5PC9mdWxsLXRpdGxlPjwvcGVyaW9kaWNhbD48
cGFnZXM+NTA5LTE2PC9wYWdlcz48dm9sdW1lPjY2PC92b2x1bWU+PG51bWJlcj40PC9udW1iZXI+
PGVkaXRpb24+MjAxMC8xMi8wMzwvZWRpdGlvbj48a2V5d29yZHM+PGtleXdvcmQ+QWR1bHQ8L2tl
eXdvcmQ+PGtleXdvcmQ+RWN6ZW1hL2VwaWRlbWlvbG9neS8qcHJldmVudGlvbiAmYW1wOyBjb250
cm9sPC9rZXl3b3JkPjxrZXl3b3JkPkVuenltZS1MaW5rZWQgSW1tdW5vc29yYmVudCBBc3NheTwv
a2V5d29yZD48a2V5d29yZD5GZW1hbGU8L2tleXdvcmQ+PGtleXdvcmQ+RmV0YWwgQmxvb2QvY2hl
bWlzdHJ5L2ltbXVub2xvZ3k8L2tleXdvcmQ+PGtleXdvcmQ+SHVtYW5zPC9rZXl3b3JkPjxrZXl3
b3JkPkluZmFudDwva2V5d29yZD48a2V5d29yZD5MYWN0b2JhY2lsbHVzIHJoYW1ub3N1cy8qaW1t
dW5vbG9neTwva2V5d29yZD48a2V5d29yZD5NaWRkbGUgQWdlZDwva2V5d29yZD48a2V5d29yZD5N
aWxrLCBIdW1hbi9jaGVtaXN0cnkvaW1tdW5vbG9neTwva2V5d29yZD48a2V5d29yZD5QcmVnbmFu
Y3k8L2tleXdvcmQ+PGtleXdvcmQ+UHJlbmF0YWwgRXhwb3N1cmUgRGVsYXllZCBFZmZlY3RzLypp
bW11bm9sb2d5PC9rZXl3b3JkPjxrZXl3b3JkPlByb2Jpb3RpY3MvKnRoZXJhcGV1dGljIHVzZTwv
a2V5d29yZD48a2V5d29yZD5Zb3VuZyBBZHVsdDwva2V5d29yZD48L2tleXdvcmRzPjxkYXRlcz48
eWVhcj4yMDExPC95ZWFyPjxwdWItZGF0ZXM+PGRhdGU+QXByPC9kYXRlPjwvcHViLWRhdGVzPjwv
ZGF0ZXM+PGlzYm4+MTM5OC05OTk1IChFbGVjdHJvbmljKSYjeEQ7MDEwNS00NTM4IChMaW5raW5n
KTwvaXNibj48YWNjZXNzaW9uLW51bT4yMTEyMTkyNzwvYWNjZXNzaW9uLW51bT48dXJscz48cmVs
YXRlZC11cmxzPjx1cmw+aHR0cHM6Ly93d3cubmNiaS5ubG0ubmloLmdvdi9wdWJtZWQvMjExMjE5
Mjc8L3VybD48L3JlbGF0ZWQtdXJscz48L3VybHM+PGVsZWN0cm9uaWMtcmVzb3VyY2UtbnVtPjEw
LjExMTEvai4xMzk4LTk5OTUuMjAxMC4wMjUwNy54PC9lbGVjdHJvbmljLXJlc291cmNlLW51bT48
L3JlY29yZD48L0NpdGU+PENpdGU+PEF1dGhvcj5HaWxsZTwvQXV0aG9yPjxZZWFyPjIwMTY8L1ll
YXI+PFJlY051bT4xNjUzPC9SZWNOdW0+PHJlY29yZD48cmVjLW51bWJlcj4xNjUzPC9yZWMtbnVt
YmVyPjxmb3JlaWduLWtleXM+PGtleSBhcHA9IkVOIiBkYi1pZD0iZXh2YXNyZngyZHRyYW9lc2Fz
eHAyc3pzeGEyZGY1MDI1OTJ4IiB0aW1lc3RhbXA9IjE1ODEzMTI3MjkiPjE2NTM8L2tleT48a2V5
IGFwcD0iRU5XZWIiIGRiLWlkPSIiPjA8L2tleT48L2ZvcmVpZ24ta2V5cz48cmVmLXR5cGUgbmFt
ZT0iSm91cm5hbCBBcnRpY2xlIj4xNzwvcmVmLXR5cGU+PGNvbnRyaWJ1dG9ycz48YXV0aG9ycz48
YXV0aG9yPkdpbGxlLCBDLjwvYXV0aG9yPjxhdXRob3I+Qm9lciwgQi48L2F1dGhvcj48YXV0aG9y
Pk1hcnNjaGFsLCBNLjwvYXV0aG9yPjxhdXRob3I+VXJzY2hpdHosIE0uIFMuPC9hdXRob3I+PGF1
dGhvcj5IZWluZWNrZSwgVi48L2F1dGhvcj48YXV0aG9yPkh1bmQsIFYuPC9hdXRob3I+PGF1dGhv
cj5TcGVpZGVsLCBTLjwvYXV0aG9yPjxhdXRob3I+VGFybm93LCBJLjwvYXV0aG9yPjxhdXRob3I+
TXlsb25hcywgSS48L2F1dGhvcj48YXV0aG9yPkZyYW56LCBBLjwvYXV0aG9yPjxhdXRob3I+RW5n
ZWwsIEMuPC9hdXRob3I+PGF1dGhvcj5Qb2V0cywgQy4gRi48L2F1dGhvcj48L2F1dGhvcnM+PC9j
b250cmlidXRvcnM+PGF1dGgtYWRkcmVzcz5EZXBhcnRtZW50IG9mIE5lb25hdG9sb2d5LCBVbml2
ZXJzaXR5IENoaWxkcmVuJmFwb3M7cyBIb3NwaXRhbCwgVW5pdmVyc2l0eSBIb3NwaXRhbCwgVHVl
YmluZ2VuLCBHZXJtYW55LiYjeEQ7RGVwYXJ0bWVudCBvZiBPYnN0ZXRyaWNzIGFuZCBHeW5lY29s
b2d5LCBVbml2ZXJzaXR5IEhvc3BpdGFsLCBUdWViaW5nZW4sIEdlcm1hbnkuJiN4RDtJbnN0aXR1
dGUgZm9yIE1lZGljYWwgTWljcm9iaW9sb2d5LCBVbml2ZXJzaXR5IEhvc3BpdGFsLCBUdWViaW5n
ZW4sIEdlcm1hbnkuJiN4RDtJbnN0aXR1dGUgb2YgTWVkaWNhbCBCaW9zdGF0aXN0aWNzLCBFcGlk
ZW1pb2xvZ3ksIGFuZCBJbmZvcm1hdGljcywgRGl2aXNpb24gb2YgUGVkaWF0cmljIEVwaWRlbWlv
bG9neSBVbml2ZXJzaXR5IE1lZGljYWwgQ2VudGVyIG9mIHRoZSBKb2hhbm5lcyBHdXRlbmJlcmcg
VW5pdmVyc2l0eSBNYWlueiwgR2VybWFueS4mI3hEO09ic3RldHJpYyBwcmFjdGljZSwgQmFkIFVy
YWNoLCBHZXJtYW55LiYjeEQ7VW5pdmVyc2l0eSBQaGFybWFjeSwgVW5pdmVyc2l0eSBIb3NwaXRh
bCwgVHVlYmluZ2VuLCBHZXJtYW55LiYjeEQ7U2VyZW5kZXggUGhhcm1hY2V1dGljYWxzLCBIb3Jz
aG9sbSwgRGVubWFyay4mI3hEO0RlcGFydG1lbnQgb2YgT2JzdGV0cmljcyBhbmQgR3luZWNvbG9n
eSwgTHVkd2lnLU1heGltaWxpYW5zLVVuaXZlcnNpdHksIE11bmljaCwgR2VybWFueS4mI3hEO0Nl
bnRlciBmb3IgUGVkaWF0cmljIENsaW5pY2FsIFN0dWRpZXMsIFVuaXZlcnNpdHkgQ2hpbGRyZW4m
YXBvcztzIEhvc3BpdGFsLCBVbml2ZXJzaXR5IEhvc3BpdGFsLCBUdWViaW5nZW4sIEdlcm1hbnku
JiN4RDtEZXBhcnRtZW50IG9mIE5lb25hdG9sb2d5LCBVbml2ZXJzaXR5IENoaWxkcmVuJmFwb3M7
cyBIb3NwaXRhbCwgVW5pdmVyc2l0eSBIb3NwaXRhbCwgVHVlYmluZ2VuLCBHZXJtYW55LiBFbGVj
dHJvbmljIGFkZHJlc3M6IGNocmlzdGlhbi1mLnBvZXRzQG1lZC51bmktdHVlYmluZ2VuLmRlLjwv
YXV0aC1hZGRyZXNzPjx0aXRsZXM+PHRpdGxlPkVmZmVjdCBvZiBwcm9iaW90aWNzIG9uIHZhZ2lu
YWwgaGVhbHRoIGluIHByZWduYW5jeS4gRUZGUFJPLCBhIHJhbmRvbWl6ZWQgY29udHJvbGxlZCB0
cmlhbDwvdGl0bGU+PHNlY29uZGFyeS10aXRsZT5BbSBKIE9ic3RldCBHeW5lY29sPC9zZWNvbmRh
cnktdGl0bGU+PC90aXRsZXM+PHBlcmlvZGljYWw+PGZ1bGwtdGl0bGU+QW0gSiBPYnN0ZXQgR3lu
ZWNvbDwvZnVsbC10aXRsZT48L3BlcmlvZGljYWw+PHBhZ2VzPjYwOCBlMS02MDggZTc8L3BhZ2Vz
Pjx2b2x1bWU+MjE1PC92b2x1bWU+PG51bWJlcj41PC9udW1iZXI+PGVkaXRpb24+MjAxNi8xMC8z
MDwvZWRpdGlvbj48a2V5d29yZHM+PGtleXdvcmQ+QWRtaW5pc3RyYXRpb24sIE9yYWw8L2tleXdv
cmQ+PGtleXdvcmQ+QWR1bHQ8L2tleXdvcmQ+PGtleXdvcmQ+RmVtYWxlPC9rZXl3b3JkPjxrZXl3
b3JkPkh1bWFuczwva2V5d29yZD48a2V5d29yZD4qTGFjdG9iYWNpbGx1cyByZXV0ZXJpPC9rZXl3
b3JkPjxrZXl3b3JkPipMYWN0b2JhY2lsbHVzIHJoYW1ub3N1czwva2V5d29yZD48a2V5d29yZD5N
aWNyb2Jpb3RhLypkcnVnIGVmZmVjdHM8L2tleXdvcmQ+PGtleXdvcmQ+TWlkZGxlIEFnZWQ8L2tl
eXdvcmQ+PGtleXdvcmQ+UHJlZ25hbmN5PC9rZXl3b3JkPjxrZXl3b3JkPlByZWduYW5jeSBUcmlt
ZXN0ZXIsIEZpcnN0PC9rZXl3b3JkPjxrZXl3b3JkPlByb2Jpb3RpY3MvKnBoYXJtYWNvbG9neTwv
a2V5d29yZD48a2V5d29yZD5WYWdpbmEvKmRydWcgZWZmZWN0czwva2V5d29yZD48a2V5d29yZD5Z
b3VuZyBBZHVsdDwva2V5d29yZD48a2V5d29yZD4qYmFjdGVyaWFsIHZhZ2lub3Npczwva2V5d29y
ZD48a2V5d29yZD4qcHJldGVybSBiaXJ0aDwva2V5d29yZD48a2V5d29yZD4qcHJvYmlvdGljczwv
a2V5d29yZD48a2V5d29yZD4qdmFnaW5hbCBtaWNyb2Jpb3RhPC9rZXl3b3JkPjwva2V5d29yZHM+
PGRhdGVzPjx5ZWFyPjIwMTY8L3llYXI+PHB1Yi1kYXRlcz48ZGF0ZT5Ob3Y8L2RhdGU+PC9wdWIt
ZGF0ZXM+PC9kYXRlcz48aXNibj4xMDk3LTY4NjggKEVsZWN0cm9uaWMpJiN4RDswMDAyLTkzNzgg
KExpbmtpbmcpPC9pc2JuPjxhY2Nlc3Npb24tbnVtPjI3MzQyMDQ2PC9hY2Nlc3Npb24tbnVtPjx1
cmxzPjxyZWxhdGVkLXVybHM+PHVybD5odHRwczovL3d3dy5uY2JpLm5sbS5uaWguZ292L3B1Ym1l
ZC8yNzM0MjA0NjwvdXJsPjwvcmVsYXRlZC11cmxzPjwvdXJscz48ZWxlY3Ryb25pYy1yZXNvdXJj
ZS1udW0+MTAuMTAxNi9qLmFqb2cuMjAxNi4wNi4wMjE8L2VsZWN0cm9uaWMtcmVzb3VyY2UtbnVt
PjwvcmVjb3JkPjwvQ2l0ZT48Q2l0ZT48QXV0aG9yPkh1c2FpbjwvQXV0aG9yPjxZZWFyPjIwMjA8
L1llYXI+PFJlY051bT4xNjgxPC9SZWNOdW0+PHJlY29yZD48cmVjLW51bWJlcj4xNjgxPC9yZWMt
bnVtYmVyPjxmb3JlaWduLWtleXM+PGtleSBhcHA9IkVOIiBkYi1pZD0iZXh2YXNyZngyZHRyYW9l
c2FzeHAyc3pzeGEyZGY1MDI1OTJ4IiB0aW1lc3RhbXA9IjE1ODEzNzk4NzQiPjE2ODE8L2tleT48
L2ZvcmVpZ24ta2V5cz48cmVmLXR5cGUgbmFtZT0iSm91cm5hbCBBcnRpY2xlIj4xNzwvcmVmLXR5
cGU+PGNvbnRyaWJ1dG9ycz48YXV0aG9ycz48YXV0aG9yPkh1c2FpbiwgUy48L2F1dGhvcj48YXV0
aG9yPkFsbG90ZXksIEouPC9hdXRob3I+PGF1dGhvcj5Ecnltb3Vzc2ksIFouPC9hdXRob3I+PGF1
dGhvcj5XaWxrcywgTS48L2F1dGhvcj48YXV0aG9yPkZlcm5hbmRlei1GZWxpeCwgQi4gTS48L2F1
dGhvcj48YXV0aG9yPldoaWxleSwgQS48L2F1dGhvcj48YXV0aG9yPkRvZGRzLCBKLjwvYXV0aG9y
PjxhdXRob3I+VGhhbmdhcmF0aW5hbSwgUy48L2F1dGhvcj48YXV0aG9yPk1jQ291cnQsIEMuPC9h
dXRob3I+PGF1dGhvcj5Qcm9zZG9jaW1pLCBFLiBNLjwvYXV0aG9yPjxhdXRob3I+V2FkZSwgVy4g
Ry48L2F1dGhvcj48YXV0aG9yPmRlIFRlamFkYSwgQi4gTS48L2F1dGhvcj48YXV0aG9yPlphbW9y
YSwgSi48L2F1dGhvcj48YXV0aG9yPktoYW4sIEsuPC9hdXRob3I+PGF1dGhvcj5NaWxsYXIsIE0u
PC9hdXRob3I+PC9hdXRob3JzPjwvY29udHJpYnV0b3JzPjxhdXRoLWFkZHJlc3M+QmFydHMgYW5k
IHRoZSBMb25kb24gU2Nob29sIG9mIE1lZGljaW5lIGFuZCBEZW50aXN0cnksIEJsaXphcmQgSW5z
dGl0dXRlLCBRdWVlbiBNYXJ5IFVuaXZlcnNpdHkgb2YgTG9uZG9uLCBMb25kb24sIFVLLiYjeEQ7
TmVvbmF0YWwgVW5pdCwgSG9tZXJ0b24gVW5pdmVyc2l0eSBIb3NwaXRhbCBOSFMgRm91bmRhdGlv
biBUcnVzdCwgTG9uZG9uLCBVSy4mI3hEO1dvbWVuJmFwb3M7cyBIZWFsdGggUmVzZWFyY2ggVW5p
dCwgQmFydHMgYW5kIHRoZSBMb25kb24gU2Nob29sIG9mIE1lZGljaW5lIGFuZCBEZW50aXN0cnks
IFF1ZWVuIE1hcnkgVW5pdmVyc2l0eSBvZiBMb25kb24sIExvbmRvbiwgVUsuJiN4RDtCYXJ0cyBh
bmQgdGhlIExvbmRvbiBTY2hvb2wgb2YgTWVkaWNpbmUgYW5kIERlbnRpc3RyeSwgUXVlZW4gTWFy
eSBVbml2ZXJzaXR5IG9mIExvbmRvbiwgTG9uZG9uLCBVSy4mI3hEO0JhcnRzIEhlYWx0aCBOSFMg
VHJ1c3QsIExvbmRvbiwgVUsuJiN4RDtDSUJFUiBFcGlkZW1pb2xvZ3kgYW5kIFB1YmxpYyBIZWFs
dGggKENJQkVSRVNQKSwgTWFkcmlkLCBTcGFpbi4mI3hEO0NsaW5pY2FsIEJpb3N0YXRpc3RpY3Mg
VW5pdCwgSG9zcGl0YWwgUmFtb24geSBDYWphbCAoSVJZQ0lTKSwgTWFkcmlkLCBTcGFpbi4mI3hE
O0NpdHkgVW5pdmVyc2l0eSBvZiBMb25kb24sIFVuaXZlcnNpdHkgb2YgTG9uZG9uLCBMb25kb24s
IFVLLiYjeEQ7Q2VudHJlIGZvciBIb3N0LU1pY3JvYmlvbWUgSW50ZXJhY3Rpb25zLCBLaW5nJmFw
b3M7cyBDb2xsZWdlIExvbmRvbiwgTG9uZG9uLCBVSy4mI3hEO0RlcGFydG1lbnQgb2YgT2JzdGV0
cmljcyBhbmQgR3luYWVjb2xvZ3ksIEZhY3VsdHkgb2YgTWVkaWNpbmUsIFVuaXZlcnNpdHkgSG9z
cGl0YWxzIG9mIEdlbmV2YSwgR2VuZXZhLCBTd2l0emVybGFuZC48L2F1dGgtYWRkcmVzcz48dGl0
bGVzPjx0aXRsZT5FZmZlY3RzIG9mIG9yYWwgcHJvYmlvdGljIHN1cHBsZW1lbnRzIG9uIHZhZ2lu
YWwgbWljcm9iaW90YSBkdXJpbmcgcHJlZ25hbmN5OiBhIHJhbmRvbWlzZWQsIGRvdWJsZS1ibGlu
ZCwgcGxhY2Viby1jb250cm9sbGVkIHRyaWFsIHdpdGggbWljcm9iaW9tZSBhbmFseXNpczwvdGl0
bGU+PHNlY29uZGFyeS10aXRsZT5CSk9HPC9zZWNvbmRhcnktdGl0bGU+PC90aXRsZXM+PHBlcmlv
ZGljYWw+PGZ1bGwtdGl0bGU+QkpPRzwvZnVsbC10aXRsZT48L3BlcmlvZGljYWw+PHBhZ2VzPjI3
NS0yODQ8L3BhZ2VzPjx2b2x1bWU+MTI3PC92b2x1bWU+PG51bWJlcj4yPC9udW1iZXI+PGVkaXRp
b24+MjAxOS8wNC8wMjwvZWRpdGlvbj48a2V5d29yZHM+PGtleXdvcmQ+QWR1bHQ8L2tleXdvcmQ+
PGtleXdvcmQ+RG91YmxlLUJsaW5kIE1ldGhvZDwva2V5d29yZD48a2V5d29yZD5GZW1hbGU8L2tl
eXdvcmQ+PGtleXdvcmQ+SHVtYW5zPC9rZXl3b3JkPjxrZXl3b3JkPkxhY3RvYmFjaWxsdXMgcmV1
dGVyaS9kcnVnIGVmZmVjdHM8L2tleXdvcmQ+PGtleXdvcmQ+TGFjdG9iYWNpbGx1cyByaGFtbm9z
dXMvZHJ1ZyBlZmZlY3RzPC9rZXl3b3JkPjxrZXl3b3JkPk1pY3JvYmlvdGEvKnBoeXNpb2xvZ3k8
L2tleXdvcmQ+PGtleXdvcmQ+UHJlZ25hbmN5PC9rZXl3b3JkPjxrZXl3b3JkPlByZWduYW5jeSBD
b21wbGljYXRpb25zLCBJbmZlY3Rpb3VzLyptaWNyb2Jpb2xvZ3k8L2tleXdvcmQ+PGtleXdvcmQ+
UHJlZ25hbmN5IFRyaW1lc3RlciwgRmlyc3Q8L2tleXdvcmQ+PGtleXdvcmQ+UHJvYmlvdGljcy8q
dGhlcmFwZXV0aWMgdXNlPC9rZXl3b3JkPjxrZXl3b3JkPlZhZ2luYS8qbWljcm9iaW9sb2d5PC9r
ZXl3b3JkPjxrZXl3b3JkPlZhZ2lub3NpcywgQmFjdGVyaWFsL2NvbXBsaWNhdGlvbnMvZHJ1ZyB0
aGVyYXB5L21pY3JvYmlvbG9neTwva2V5d29yZD48a2V5d29yZD5Zb3VuZyBBZHVsdDwva2V5d29y
ZD48a2V5d29yZD4qIExhY3RvYmFjaWxsdXMgcmV1dGVyaTwva2V5d29yZD48a2V5d29yZD4qIExh
Y3RvYmFjaWxsdXMgcmhhbW5vc3VzPC9rZXl3b3JkPjxrZXl3b3JkPipCYWN0ZXJpYWwgdmFnaW5v
c2lzPC9rZXl3b3JkPjxrZXl3b3JkPipwcm9iaW90aWM8L2tleXdvcmQ+PC9rZXl3b3Jkcz48ZGF0
ZXM+PHllYXI+MjAyMDwveWVhcj48cHViLWRhdGVzPjxkYXRlPkphbjwvZGF0ZT48L3B1Yi1kYXRl
cz48L2RhdGVzPjxpc2JuPjE0NzEtMDUyOCAoRWxlY3Ryb25pYykmI3hEOzE0NzAtMDMyOCAoTGlu
a2luZyk8L2lzYm4+PGFjY2Vzc2lvbi1udW0+MzA5MzIzMTc8L2FjY2Vzc2lvbi1udW0+PHVybHM+
PHJlbGF0ZWQtdXJscz48dXJsPmh0dHBzOi8vd3d3Lm5jYmkubmxtLm5paC5nb3YvcHVibWVkLzMw
OTMyMzE3PC91cmw+PC9yZWxhdGVkLXVybHM+PC91cmxzPjxjdXN0b20yPlBNQzY5NzMxNDk8L2N1
c3RvbTI+PGVsZWN0cm9uaWMtcmVzb3VyY2UtbnVtPjEwLjExMTEvMTQ3MS0wNTI4LjE1Njc1PC9l
bGVjdHJvbmljLXJlc291cmNlLW51bT48L3JlY29yZD48L0NpdGU+PENpdGU+PEF1dGhvcj5MYWl0
aW5lbjwvQXV0aG9yPjxZZWFyPjIwMDk8L1llYXI+PFJlY051bT4xMTQ4PC9SZWNOdW0+PHJlY29y
ZD48cmVjLW51bWJlcj4xMTQ4PC9yZWMtbnVtYmVyPjxmb3JlaWduLWtleXM+PGtleSBhcHA9IkVO
IiBkYi1pZD0iZXh2YXNyZngyZHRyYW9lc2FzeHAyc3pzeGEyZGY1MDI1OTJ4IiB0aW1lc3RhbXA9
IjE1NTU1NjY4MTYiPjExNDg8L2tleT48a2V5IGFwcD0iRU5XZWIiIGRiLWlkPSIiPjA8L2tleT48
L2ZvcmVpZ24ta2V5cz48cmVmLXR5cGUgbmFtZT0iSm91cm5hbCBBcnRpY2xlIj4xNzwvcmVmLXR5
cGU+PGNvbnRyaWJ1dG9ycz48YXV0aG9ycz48YXV0aG9yPkxhaXRpbmVuLCBLLjwvYXV0aG9yPjxh
dXRob3I+UG91c3NhLCBULjwvYXV0aG9yPjxhdXRob3I+SXNvbGF1cmksIEUuPC9hdXRob3I+PGF1
dGhvcj5OdXRyaXRpb24sIEFsbGVyZ3kgTXVjb3NhbCBJbW11bm9sb2d5PC9hdXRob3I+PGF1dGhv
cj5JbnRlc3RpbmFsIE1pY3JvYmlvdGEsIEdyb3VwPC9hdXRob3I+PC9hdXRob3JzPjwvY29udHJp
YnV0b3JzPjxhdXRoLWFkZHJlc3M+RGVwYXJ0bWVudCBvZiBCaW9jaGVtaXN0cnkgYW5kIEZvb2Qg
Q2hlbWlzdHJ5LCBVbml2ZXJzaXR5IG9mIFR1cmt1LCAyMDAxNCBUdXJrdSwgRmlubGFuZC4ga2ly
c2kubGFpdGluZW5AdXR1LmZpPC9hdXRoLWFkZHJlc3M+PHRpdGxlcz48dGl0bGU+UHJvYmlvdGlj
cyBhbmQgZGlldGFyeSBjb3Vuc2VsbGluZyBjb250cmlidXRlIHRvIGdsdWNvc2UgcmVndWxhdGlv
biBkdXJpbmcgYW5kIGFmdGVyIHByZWduYW5jeTogYSByYW5kb21pc2VkIGNvbnRyb2xsZWQgdHJp
YWw8L3RpdGxlPjxzZWNvbmRhcnktdGl0bGU+QnIgSiBOdXRyPC9zZWNvbmRhcnktdGl0bGU+PC90
aXRsZXM+PHBlcmlvZGljYWw+PGZ1bGwtdGl0bGU+QnIgSiBOdXRyPC9mdWxsLXRpdGxlPjwvcGVy
aW9kaWNhbD48cGFnZXM+MTY3OS04NzwvcGFnZXM+PHZvbHVtZT4xMDE8L3ZvbHVtZT48bnVtYmVy
PjExPC9udW1iZXI+PGVkaXRpb24+MjAwOC8xMS8yMDwvZWRpdGlvbj48a2V5d29yZHM+PGtleXdv
cmQ+QWR1bHQ8L2tleXdvcmQ+PGtleXdvcmQ+Qmxvb2QgR2x1Y29zZS8qbWV0YWJvbGlzbTwva2V5
d29yZD48a2V5d29yZD5Db3Vuc2VsaW5nPC9rZXl3b3JkPjxrZXl3b3JkPipEaWV0PC9rZXl3b3Jk
PjxrZXl3b3JkPkVuZXJneSBJbnRha2UvcGh5c2lvbG9neTwva2V5d29yZD48a2V5d29yZD5GZW1h
bGU8L2tleXdvcmQ+PGtleXdvcmQ+SHVtYW5zPC9rZXl3b3JkPjxrZXl3b3JkPkluc3VsaW4vYmxv
b2Q8L2tleXdvcmQ+PGtleXdvcmQ+SW5zdWxpbiBSZXNpc3RhbmNlL3BoeXNpb2xvZ3k8L2tleXdv
cmQ+PGtleXdvcmQ+TWF0ZXJuYWwgTnV0cml0aW9uYWwgUGh5c2lvbG9naWNhbCBQaGVub21lbmEv
KnBoeXNpb2xvZ3k8L2tleXdvcmQ+PGtleXdvcmQ+UG9zdHBhcnR1bSBQZXJpb2QvYmxvb2Q8L2tl
eXdvcmQ+PGtleXdvcmQ+UHJlZ25hbmN5LypibG9vZDwva2V5d29yZD48a2V5d29yZD4qUHJvYmlv
dGljczwva2V5d29yZD48a2V5d29yZD5Qcm9zcGVjdGl2ZSBTdHVkaWVzPC9rZXl3b3JkPjxrZXl3
b3JkPllvdW5nIEFkdWx0PC9rZXl3b3JkPjwva2V5d29yZHM+PGRhdGVzPjx5ZWFyPjIwMDk8L3ll
YXI+PHB1Yi1kYXRlcz48ZGF0ZT5KdW48L2RhdGU+PC9wdWItZGF0ZXM+PC9kYXRlcz48aXNibj4x
NDc1LTI2NjIgKEVsZWN0cm9uaWMpJiN4RDswMDA3LTExNDUgKExpbmtpbmcpPC9pc2JuPjxhY2Nl
c3Npb24tbnVtPjE5MDE3NDE4PC9hY2Nlc3Npb24tbnVtPjx1cmxzPjxyZWxhdGVkLXVybHM+PHVy
bD5odHRwczovL3d3dy5uY2JpLm5sbS5uaWguZ292L3B1Ym1lZC8xOTAxNzQxODwvdXJsPjwvcmVs
YXRlZC11cmxzPjwvdXJscz48ZWxlY3Ryb25pYy1yZXNvdXJjZS1udW0+MTAuMTAxNy9TMDAwNzEx
NDUwODExMTQ2MTwvZWxlY3Ryb25pYy1yZXNvdXJjZS1udW0+PC9yZWNvcmQ+PC9DaXRlPjxDaXRl
PjxBdXRob3I+T2tlc2VuZS1HYWZhPC9BdXRob3I+PFllYXI+MjAxOTwvWWVhcj48UmVjTnVtPjEz
OTA8L1JlY051bT48cmVjb3JkPjxyZWMtbnVtYmVyPjEzOTA8L3JlYy1udW1iZXI+PGZvcmVpZ24t
a2V5cz48a2V5IGFwcD0iRU4iIGRiLWlkPSJleHZhc3JmeDJkdHJhb2VzYXN4cDJzenN4YTJkZjUw
MjU5MngiIHRpbWVzdGFtcD0iMTU2Nzc0NjExNiI+MTM5MDwva2V5PjxrZXkgYXBwPSJFTldlYiIg
ZGItaWQ9IiI+MDwva2V5PjwvZm9yZWlnbi1rZXlzPjxyZWYtdHlwZSBuYW1lPSJKb3VybmFsIEFy
dGljbGUiPjE3PC9yZWYtdHlwZT48Y29udHJpYnV0b3JzPjxhdXRob3JzPjxhdXRob3I+T2tlc2Vu
ZS1HYWZhLCBLLkEuTS4sPC9hdXRob3I+PGF1dGhvcj5MaSwgTS4sPC9hdXRob3I+PGF1dGhvcj5N
Y0tpbmxheSwgQy5KLkQuLDwvYXV0aG9yPjxhdXRob3I+VGF5bG9yLCBSLlMuLDwvYXV0aG9yPjxh
dXRob3I+UnVzaCwgRS5DLiw8L2F1dGhvcj48YXV0aG9yPldhbGwsIEMuUi4sPC9hdXRob3I+PGF1
dGhvcj5XaWxzb24sIEouLDwvYXV0aG9yPjxhdXRob3I+TXVycGh5LCBSLiw8L2F1dGhvcj48YXV0
aG9yPlRheWxvciwgUi4sPC9hdXRob3I+PGF1dGhvcj5UaG9tcHNvbiwgSi5NLkQuLDwvYXV0aG9y
PjxhdXRob3I+Q3Jvd3RoZXIsIEMuQS4sPC9hdXRob3I+PGF1dGhvcj5NY0Nvd2FuLCBMLk0uRS4s
PC9hdXRob3I+PC9hdXRob3JzPjwvY29udHJpYnV0b3JzPjxhdXRoLWFkZHJlc3M+RGVwYXJ0bWVu
dCBvZiBPYnN0ZXRyaWNzIGFuZCBHeW5hZWNvbG9neSwgVW5pdmVyc2l0eSBvZiBBdWNrbGFuZCwg
QXVja2xhbmQsIE5ldyBaZWFsYW5kOyBGYWN1bHR5IG9mIE1lZGljYWwgYW5kIEhlYWx0aCBTY2ll
bmNlcywgVW5pdmVyc2l0eSBvZiBBdWNrbGFuZCwgQXVja2xhbmQsIE5ldyBaZWFsYW5kOyBNaWRk
bGVtb3JlIEhvc3BpdGFsLCBTb3V0aCBBdWNrbGFuZCwgTmV3IFplYWxhbmQuIEVsZWN0cm9uaWMg
YWRkcmVzczogay5va2VzZW5lLWdhZmFAYXVja2xhbmQuYWMubnouJiN4RDtEZXBhcnRtZW50IG9m
IE9ic3RldHJpY3MgYW5kIEd5bmFlY29sb2d5LCBVbml2ZXJzaXR5IG9mIEF1Y2tsYW5kLCBBdWNr
bGFuZCwgTmV3IFplYWxhbmQ7IEZhY3VsdHkgb2YgTWVkaWNhbCBhbmQgSGVhbHRoIFNjaWVuY2Vz
LCBVbml2ZXJzaXR5IG9mIEF1Y2tsYW5kLCBBdWNrbGFuZCwgTmV3IFplYWxhbmQuJiN4RDtEZXBh
cnRtZW50IG9mIFBhZWRpYXRyaWNzLCBDaGlsZCBhbmQgWW91dGggSGVhbHRoLCBVbml2ZXJzaXR5
IG9mIEF1Y2tsYW5kLCBBdWNrbGFuZCwgTmV3IFplYWxhbmQ7IExpZ2dpbnMgSW5zdGl0dXRlLCBV
bml2ZXJzaXR5IG9mIEF1Y2tsYW5kLCBBdWNrbGFuZCwgTmV3IFplYWxhbmQ7IEtpZHogRmlyc3Qg
TmVvbmF0YWwgQ2FyZSwgQ291bnRpZXMgTWFudWthdSBIZWFsdGgsIEF1Y2tsYW5kLCBOZXcgWmVh
bGFuZC4mI3hEO0ZhY3VsdHkgb2YgSGVhbHRoIGFuZCBFbnZpcm9ubWVudGFsIFNjaWVuY2UsIEF1
Y2tsYW5kIFVuaXZlcnNpdHkgb2YgVGVjaG5vbG9neSwgQXVja2xhbmQsIE5ldyBaZWFsYW5kLiYj
eEQ7RmFjdWx0eSBvZiBNZWRpY2FsIGFuZCBIZWFsdGggU2NpZW5jZXMsIFVuaXZlcnNpdHkgb2Yg
QXVja2xhbmQsIEF1Y2tsYW5kLCBOZXcgWmVhbGFuZC4mI3hEO0ZhY3VsdHkgb2YgTWVkaWNhbCBh
bmQgSGVhbHRoIFNjaWVuY2VzLCBVbml2ZXJzaXR5IG9mIEF1Y2tsYW5kLCBBdWNrbGFuZCwgTmV3
IFplYWxhbmQ7IERlcGFydG1lbnQgb2YgUGFlZGlhdHJpY3MsIENoaWxkIGFuZCBZb3V0aCBIZWFs
dGgsIFVuaXZlcnNpdHkgb2YgQXVja2xhbmQsIEF1Y2tsYW5kLCBOZXcgWmVhbGFuZC4mI3hEO0Rl
cGFydG1lbnQgb2YgTWVkaWNpbmUsIFNjaG9vbCBvZiBNZWRpY2luZSwgVW5pdmVyc2l0eSBvZiBB
dWNrbGFuZCwgQXVja2xhbmQsIE5ldyBaZWFsYW5kLiYjeEQ7RGVwYXJ0bWVudCBvZiBNZWRpY2lu
ZSwgVW5pdmVyc2l0eSBvZiBPdGFnbywgRHVuZWRpbiwgTmV3IFplYWxhbmQuJiN4RDtMaWdnaW5z
IEluc3RpdHV0ZSwgVW5pdmVyc2l0eSBvZiBBdWNrbGFuZCwgQXVja2xhbmQsIE5ldyBaZWFsYW5k
LjwvYXV0aC1hZGRyZXNzPjx0aXRsZXM+PHRpdGxlPkVmZmVjdCBvZiBhbnRlbmF0YWwgZGlldGFy
eSBpbnRlcnZlbnRpb25zIGluIG1hdGVybmFsIG9iZXNpdHkgb24gcHJlZ25hbmN5IHdlaWdodC1n
YWluIGFuZCBiaXJ0aHdlaWdodDogSGVhbHRoeSBNdW1zIGFuZCBCYWJpZXMgKEhVTUJBKSByYW5k
b21pemVkIHRyaWFsPC90aXRsZT48c2Vjb25kYXJ5LXRpdGxlPkFtIEogT2JzdGV0IEd5bmVjb2w8
L3NlY29uZGFyeS10aXRsZT48L3RpdGxlcz48cGVyaW9kaWNhbD48ZnVsbC10aXRsZT5BbSBKIE9i
c3RldCBHeW5lY29sPC9mdWxsLXRpdGxlPjwvcGVyaW9kaWNhbD48cGFnZXM+MTUyIGUxLTE1MiBl
MTM8L3BhZ2VzPjx2b2x1bWU+MjIxPC92b2x1bWU+PG51bWJlcj4yPC9udW1iZXI+PGVkaXRpb24+
MjAxOS8wMy8xODwvZWRpdGlvbj48a2V5d29yZHM+PGtleXdvcmQ+Y29tbXVuaXR5IGhlYWx0aCB3
b3JrZXI8L2tleXdvcmQ+PGtleXdvcmQ+Z2VzdGF0aW9uYWwgd2VpZ2h0IGdhaW48L2tleXdvcmQ+
PGtleXdvcmQ+cHJvYmlvdGljczwva2V5d29yZD48a2V5d29yZD50ZXh0IG1lc3NhZ2luZzwva2V5
d29yZD48L2tleXdvcmRzPjxkYXRlcz48eWVhcj4yMDE5PC95ZWFyPjxwdWItZGF0ZXM+PGRhdGU+
QXVnPC9kYXRlPjwvcHViLWRhdGVzPjwvZGF0ZXM+PGlzYm4+MTA5Ny02ODY4IChFbGVjdHJvbmlj
KSYjeEQ7MDAwMi05Mzc4IChMaW5raW5nKTwvaXNibj48YWNjZXNzaW9uLW51bT4zMDg3ODMyMzwv
YWNjZXNzaW9uLW51bT48dXJscz48cmVsYXRlZC11cmxzPjx1cmw+aHR0cHM6Ly93d3cubmNiaS5u
bG0ubmloLmdvdi9wdWJtZWQvMzA4NzgzMjM8L3VybD48L3JlbGF0ZWQtdXJscz48L3VybHM+PGVs
ZWN0cm9uaWMtcmVzb3VyY2UtbnVtPjEwLjEwMTYvai5ham9nLjIwMTkuMDMuMDAzPC9lbGVjdHJv
bmljLXJlc291cmNlLW51bT48L3JlY29yZD48L0NpdGU+PENpdGU+PEF1dGhvcj5QZWxsb25wZXJh
PC9BdXRob3I+PFllYXI+MjAxOTwvWWVhcj48UmVjTnVtPjE2Njk8L1JlY051bT48cmVjb3JkPjxy
ZWMtbnVtYmVyPjE2Njk8L3JlYy1udW1iZXI+PGZvcmVpZ24ta2V5cz48a2V5IGFwcD0iRU4iIGRi
LWlkPSJleHZhc3JmeDJkdHJhb2VzYXN4cDJzenN4YTJkZjUwMjU5MngiIHRpbWVzdGFtcD0iMTU4
MTMxMjg0MCI+MTY2OTwva2V5PjxrZXkgYXBwPSJFTldlYiIgZGItaWQ9IiI+MDwva2V5PjwvZm9y
ZWlnbi1rZXlzPjxyZWYtdHlwZSBuYW1lPSJKb3VybmFsIEFydGljbGUiPjE3PC9yZWYtdHlwZT48
Y29udHJpYnV0b3JzPjxhdXRob3JzPjxhdXRob3I+UGVsbG9ucGVyYSwgTy48L2F1dGhvcj48YXV0
aG9yPk1va2thbGEsIEsuPC9hdXRob3I+PGF1dGhvcj5Ib3V0dHUsIE4uPC9hdXRob3I+PGF1dGhv
cj5WYWhsYmVyZywgVC48L2F1dGhvcj48YXV0aG9yPktvaXZ1bmllbWksIEUuPC9hdXRob3I+PGF1
dGhvcj5UZXJ0dGksIEsuPC9hdXRob3I+PGF1dGhvcj5Sb25uZW1hYSwgVC48L2F1dGhvcj48YXV0
aG9yPkxhaXRpbmVuLCBLLjwvYXV0aG9yPjwvYXV0aG9ycz48L2NvbnRyaWJ1dG9ycz48YXV0aC1h
ZGRyZXNzPkRlcGFydG1lbnQgb2YgT2JzdGV0cmljcyBhbmQgR3luZWNvbG9neSwgVW5pdmVyc2l0
eSBvZiBUdXJrdSBhbmQgVHVya3UgVW5pdmVyc2l0eSBIb3NwaXRhbCwgVHVya3UsIEZpbmxhbmQg
b3V0aS5wZWxsb25wZXJhQHV0dS5maS4mI3hEO0ludGVncmF0aXZlIFBoeXNpb2xvZ3kgYW5kIFBo
YXJtYWNvbG9neSwgSW5zdGl0dXRlIG9mIEJpb21lZGljaW5lLCBVbml2ZXJzaXR5IG9mIFR1cmt1
LCBUdXJrdSwgRmlubGFuZC4mI3hEO0Jpb3N0YXRpc3RpY3MsIEluc3RpdHV0ZSBvZiBDbGluaWNh
bCBNZWRpY2luZSwgVW5pdmVyc2l0eSBvZiBUdXJrdSwgVHVya3UsIEZpbmxhbmQuJiN4RDtEZXBh
cnRtZW50IG9mIE9ic3RldHJpY3MgYW5kIEd5bmVjb2xvZ3ksIFVuaXZlcnNpdHkgb2YgVHVya3Ug
YW5kIFR1cmt1IFVuaXZlcnNpdHkgSG9zcGl0YWwsIFR1cmt1LCBGaW5sYW5kLiYjeEQ7RGVwYXJ0
bWVudCBvZiBNZWRpY2luZSwgVW5pdmVyc2l0eSBvZiBUdXJrdSBhbmQgVHVya3UgVW5pdmVyc2l0
eSBIb3NwaXRhbCwgVHVya3UsIEZpbmxhbmQuPC9hdXRoLWFkZHJlc3M+PHRpdGxlcz48dGl0bGU+
RWZmaWNhY3kgb2YgZmlzaCBvaWwgYW5kL29yIHByb2Jpb3RpYyBpbnRlcnZlbnRpb24gb24gdGhl
IGluY2lkZW5jZSBvZiBnZXN0YXRpb25hbCBkaWFiZXRlcyBtZWxsaXR1cyBpbiBhbiBhdC1yaXNr
IGdyb3VwIG9mIG92ZXJ3ZWlnaHQgYW5kIG9iZXNlIHdvbWVuOiBhIHJhbmRvbWl6ZWQsIHBsYWNl
Ym8tY29udHJvbGxlZCwgZG91YmxlLWJsaW5kIGNsaW5pY2FsIHRyaWFsPC90aXRsZT48c2Vjb25k
YXJ5LXRpdGxlPkRpYWJldGVzIENhcmU8L3NlY29uZGFyeS10aXRsZT48L3RpdGxlcz48cGVyaW9k
aWNhbD48ZnVsbC10aXRsZT5EaWFiZXRlcyBDYXJlPC9mdWxsLXRpdGxlPjwvcGVyaW9kaWNhbD48
cGFnZXM+MTAwOS0xMDE3PC9wYWdlcz48dm9sdW1lPjQyPC92b2x1bWU+PG51bWJlcj42PC9udW1i
ZXI+PGVkaXRpb24+MjAxOS8wNC8xMTwvZWRpdGlvbj48ZGF0ZXM+PHllYXI+MjAxOTwveWVhcj48
cHViLWRhdGVzPjxkYXRlPkp1bjwvZGF0ZT48L3B1Yi1kYXRlcz48L2RhdGVzPjxpc2JuPjE5MzUt
NTU0OCAoRWxlY3Ryb25pYykmI3hEOzAxNDktNTk5MiAoTGlua2luZyk8L2lzYm4+PGFjY2Vzc2lv
bi1udW0+MzA5Njc0MzY8L2FjY2Vzc2lvbi1udW0+PHVybHM+PHJlbGF0ZWQtdXJscz48dXJsPmh0
dHBzOi8vd3d3Lm5jYmkubmxtLm5paC5nb3YvcHVibWVkLzMwOTY3NDM2PC91cmw+PC9yZWxhdGVk
LXVybHM+PC91cmxzPjxlbGVjdHJvbmljLXJlc291cmNlLW51bT4xMC4yMzM3L2RjMTgtMjU5MTwv
ZWxlY3Ryb25pYy1yZXNvdXJjZS1udW0+PC9yZWNvcmQ+PC9DaXRlPjxDaXRlPjxBdXRob3I+UmF1
dGF2YTwvQXV0aG9yPjxZZWFyPjIwMTI8L1llYXI+PFJlY051bT4xNjk0PC9SZWNOdW0+PHJlY29y
ZD48cmVjLW51bWJlcj4xNjk0PC9yZWMtbnVtYmVyPjxmb3JlaWduLWtleXM+PGtleSBhcHA9IkVO
IiBkYi1pZD0iZXh2YXNyZngyZHRyYW9lc2FzeHAyc3pzeGEyZGY1MDI1OTJ4IiB0aW1lc3RhbXA9
IjE1ODE4MzIwNzYiPjE2OTQ8L2tleT48L2ZvcmVpZ24ta2V5cz48cmVmLXR5cGUgbmFtZT0iSm91
cm5hbCBBcnRpY2xlIj4xNzwvcmVmLXR5cGU+PGNvbnRyaWJ1dG9ycz48YXV0aG9ycz48YXV0aG9y
PlJhdXRhdmEsIFMuPC9hdXRob3I+PGF1dGhvcj5LYWlub25lbiwgRS48L2F1dGhvcj48YXV0aG9y
PlNhbG1pbmVuLCBTLjwvYXV0aG9yPjxhdXRob3I+SXNvbGF1cmksIEUuPC9hdXRob3I+PC9hdXRo
b3JzPjwvY29udHJpYnV0b3JzPjxhdXRoLWFkZHJlc3M+RGVwYXJ0bWVudCBvZiBQYWVkaWF0cmlj
cywgVHVya3UgVW5pdmVyc2l0eSBDZW50cmFsIEhvc3BpdGFsLCBUdXJrdSwgRmlubGFuZC4gc2Ft
cmF1QHV0dS5maTwvYXV0aC1hZGRyZXNzPjx0aXRsZXM+PHRpdGxlPk1hdGVybmFsIHByb2Jpb3Rp
YyBzdXBwbGVtZW50YXRpb24gZHVyaW5nIHByZWduYW5jeSBhbmQgYnJlYXN0LWZlZWRpbmcgcmVk
dWNlcyB0aGUgcmlzayBvZiBlY3plbWEgaW4gdGhlIGluZmFudDwvdGl0bGU+PHNlY29uZGFyeS10
aXRsZT5KIEFsbGVyZ3kgQ2xpbiBJbW11bm9sPC9zZWNvbmRhcnktdGl0bGU+PC90aXRsZXM+PHBl
cmlvZGljYWw+PGZ1bGwtdGl0bGU+SiBBbGxlcmd5IENsaW4gSW1tdW5vbDwvZnVsbC10aXRsZT48
L3BlcmlvZGljYWw+PHBhZ2VzPjEzNTUtNjA8L3BhZ2VzPjx2b2x1bWU+MTMwPC92b2x1bWU+PG51
bWJlcj42PC9udW1iZXI+PGVkaXRpb24+MjAxMi8xMC8yMzwvZWRpdGlvbj48a2V5d29yZHM+PGtl
eXdvcmQ+QWR1bHQ8L2tleXdvcmQ+PGtleXdvcmQ+QnJlYXN0IEZlZWRpbmc8L2tleXdvcmQ+PGtl
eXdvcmQ+KkRpZXRhcnkgU3VwcGxlbWVudHM8L2tleXdvcmQ+PGtleXdvcmQ+RWN6ZW1hL2ltbXVu
b2xvZ3kvKnByZXZlbnRpb24gJmFtcDsgY29udHJvbDwva2V5d29yZD48a2V5d29yZD5GZW1hbGU8
L2tleXdvcmQ+PGtleXdvcmQ+Rm9sbG93LVVwIFN0dWRpZXM8L2tleXdvcmQ+PGtleXdvcmQ+SHVt
YW5zPC9rZXl3b3JkPjxrZXl3b3JkPkltbXVub2dsb2J1bGluIEUvYmxvb2Q8L2tleXdvcmQ+PGtl
eXdvcmQ+SW5mYW50LCBOZXdib3JuPC9rZXl3b3JkPjxrZXl3b3JkPk1hbGU8L2tleXdvcmQ+PGtl
eXdvcmQ+TWF0ZXJuYWwgRXhwb3N1cmU8L2tleXdvcmQ+PGtleXdvcmQ+UHJlZ25hbmN5PC9rZXl3
b3JkPjxrZXl3b3JkPlByb2Jpb3RpY3MvKmFkbWluaXN0cmF0aW9uICZhbXA7IGRvc2FnZTwva2V5
d29yZD48a2V5d29yZD5SaXNrPC9rZXl3b3JkPjxrZXl3b3JkPlNraW4gVGVzdHM8L2tleXdvcmQ+
PGtleXdvcmQ+WW91bmcgQWR1bHQ8L2tleXdvcmQ+PC9rZXl3b3Jkcz48ZGF0ZXM+PHllYXI+MjAx
MjwveWVhcj48cHViLWRhdGVzPjxkYXRlPkRlYzwvZGF0ZT48L3B1Yi1kYXRlcz48L2RhdGVzPjxp
c2JuPjEwOTctNjgyNSAoRWxlY3Ryb25pYykmI3hEOzAwOTEtNjc0OSAoTGlua2luZyk8L2lzYm4+
PGFjY2Vzc2lvbi1udW0+MjMwODM2NzM8L2FjY2Vzc2lvbi1udW0+PHVybHM+PHJlbGF0ZWQtdXJs
cz48dXJsPmh0dHBzOi8vd3d3Lm5jYmkubmxtLm5paC5nb3YvcHVibWVkLzIzMDgzNjczPC91cmw+
PC9yZWxhdGVkLXVybHM+PC91cmxzPjxlbGVjdHJvbmljLXJlc291cmNlLW51bT4xMC4xMDE2L2ou
amFjaS4yMDEyLjA5LjAwMzwvZWxlY3Ryb25pYy1yZXNvdXJjZS1udW0+PC9yZWNvcmQ+PC9DaXRl
PjwvRW5kTm90ZT5=
</w:fldData>
        </w:fldChar>
      </w:r>
      <w:r w:rsidR="002747EA">
        <w:instrText xml:space="preserve"> ADDIN EN.CITE.DATA </w:instrText>
      </w:r>
      <w:r w:rsidR="002747EA">
        <w:fldChar w:fldCharType="end"/>
      </w:r>
      <w:r w:rsidR="00E30F0E">
        <w:fldChar w:fldCharType="separate"/>
      </w:r>
      <w:r w:rsidR="002747EA" w:rsidRPr="002747EA">
        <w:rPr>
          <w:noProof/>
          <w:vertAlign w:val="superscript"/>
        </w:rPr>
        <w:t>229,231-233,240,246,247,251</w:t>
      </w:r>
      <w:r w:rsidR="00E30F0E">
        <w:fldChar w:fldCharType="end"/>
      </w:r>
      <w:r w:rsidR="002D4009">
        <w:t xml:space="preserve"> 401-500 (</w:t>
      </w:r>
      <w:r w:rsidR="002D4009" w:rsidRPr="00D676D7">
        <w:rPr>
          <w:sz w:val="16"/>
          <w:szCs w:val="16"/>
        </w:rPr>
        <w:t>n=</w:t>
      </w:r>
      <w:r w:rsidR="00E30F0E">
        <w:rPr>
          <w:sz w:val="16"/>
          <w:szCs w:val="16"/>
        </w:rPr>
        <w:t>3</w:t>
      </w:r>
      <w:r w:rsidR="002D4009">
        <w:t>),</w:t>
      </w:r>
      <w:r w:rsidR="00E30F0E">
        <w:fldChar w:fldCharType="begin">
          <w:fldData xml:space="preserve">PEVuZE5vdGU+PENpdGU+PEF1dGhvcj5DYWxsYXdheTwvQXV0aG9yPjxZZWFyPjIwMTk8L1llYXI+
PFJlY051bT4xNjQ5PC9SZWNOdW0+PERpc3BsYXlUZXh0PjxzdHlsZSBmYWNlPSJzdXBlcnNjcmlw
dCIgZm9udD0iVHJlYnVjaGV0IE1TIiBzaXplPSI5Ij4yMjgsMjM3LDI1Mjwvc3R5bGU+PC9EaXNw
bGF5VGV4dD48cmVjb3JkPjxyZWMtbnVtYmVyPjE2NDk8L3JlYy1udW1iZXI+PGZvcmVpZ24ta2V5
cz48a2V5IGFwcD0iRU4iIGRiLWlkPSJleHZhc3JmeDJkdHJhb2VzYXN4cDJzenN4YTJkZjUwMjU5
MngiIHRpbWVzdGFtcD0iMTU4MTMxMjY5OCI+MTY0OTwva2V5PjxrZXkgYXBwPSJFTldlYiIgZGIt
aWQ9IiI+MDwva2V5PjwvZm9yZWlnbi1rZXlzPjxyZWYtdHlwZSBuYW1lPSJKb3VybmFsIEFydGlj
bGUiPjE3PC9yZWYtdHlwZT48Y29udHJpYnV0b3JzPjxhdXRob3JzPjxhdXRob3I+Q2FsbGF3YXks
IEwuIEsuPC9hdXRob3I+PGF1dGhvcj5NY0ludHlyZSwgSC4gRC48L2F1dGhvcj48YXV0aG9yPkJh
cnJldHQsIEguIEwuPC9hdXRob3I+PGF1dGhvcj5Gb3hjcm9mdCwgSy48L2F1dGhvcj48YXV0aG9y
PlRyZW1lbGxlbiwgQS48L2F1dGhvcj48YXV0aG9yPkxpbmd3b29kLCBCLiBFLjwvYXV0aG9yPjxh
dXRob3I+VG9iaW4sIEouIE0uPC9hdXRob3I+PGF1dGhvcj5XaWxraW5zb24sIFMuPC9hdXRob3I+
PGF1dGhvcj5Lb3RoYXJpLCBBLjwvYXV0aG9yPjxhdXRob3I+TW9ycmlzb24sIE0uPC9hdXRob3I+
PGF1dGhvcj5PJmFwb3M7Um91cmtlLCBQLjwvYXV0aG9yPjxhdXRob3I+UGVsZWNhbm9zLCBBLjwv
YXV0aG9yPjxhdXRob3I+RGVra2VyIE5pdGVydCwgTS48L2F1dGhvcj48L2F1dGhvcnM+PC9jb250
cmlidXRvcnM+PGF1dGgtYWRkcmVzcz5Xb21lbiZhcG9zO3MgYW5kIE5ld2Jvcm4gU2VydmljZXMs
IFJveWFsIEJyaXNiYW5lIGFuZCBXb21lbiZhcG9zO3MgSG9zcGl0YWwsIEhlcnN0b24sIEF1c3Ry
YWxpYSBsLmNhbGxhd2F5QHVxLmVkdS5hdS4mI3hEO0ZhY3VsdHkgb2YgTWVkaWNpbmUsIFRoZSBV
bml2ZXJzaXR5IG9mIFF1ZWVuc2xhbmQsIEhlcnN0b24sIEF1c3RyYWxpYS4mI3hEO01hdGVyIE1l
ZGljYWwgUmVzZWFyY2ggSW5zdGl0dXRlLCBTb3V0aCBCcmlzYmFuZSwgQXVzdHJhbGlhLiYjeEQ7
V29tZW4mYXBvcztzIGFuZCBOZXdib3JuIFNlcnZpY2VzLCBSb3lhbCBCcmlzYmFuZSBhbmQgV29t
ZW4mYXBvcztzIEhvc3BpdGFsLCBIZXJzdG9uLCBBdXN0cmFsaWEuJiN4RDtKYW1lcyBDb29rIFVu
aXZlcnNpdHksIE1hY2theSwgQXVzdHJhbGlhLiYjeEQ7RGVwYXJ0bWVudCBvZiBOdXRyaXRpb24g
YW5kIERpZXRldGljcywgTWF0ZXIgR3JvdXAsIFNvdXRoIEJyaXNiYW5lLCBBdXN0cmFsaWEuJiN4
RDtSZWRjbGlmZmUgSG9zcGl0YWwsIFJlZGNsaWZmZSwgQXVzdHJhbGlhLiYjeEQ7RmFjdWx0eSBv
ZiBNZWRpY2luZSwgVW5pdmVyc2l0eSBvZiBRdWVlbnNsYW5kIERpYW1hbnRpbmEgSW5zdGl0dXRl
LCBUcmFuc2xhdGlvbmFsIFJlc2VhcmNoIEluc3RpdHV0ZSwgV29vbGxvb25nYWJiYSwgQXVzdHJh
bGlhLiYjeEQ7UUlNUiBCZXJnaG9mZXIgTWVkaWNhbCBSZXNlYXJjaCBJbnN0aXR1dGUsIEhlcnN0
b24sIEF1c3RyYWxpYS4mI3hEO1NjaG9vbCBvZiBDaGVtaXN0cnkgYW5kIE1vbGVjdWxhciBCaW9z
Y2llbmNlcywgVGhlIFVuaXZlcnNpdHkgb2YgUXVlZW5zbGFuZCwgU3QgTHVjaWEsIEF1c3RyYWxp
YS48L2F1dGgtYWRkcmVzcz48dGl0bGVzPjx0aXRsZT5Qcm9iaW90aWNzIGZvciB0aGUgcHJldmVu
dGlvbiBvZiBnZXN0YXRpb25hbCBkaWFiZXRlcyBtZWxsaXR1cyBpbiBvdmVyd2VpZ2h0IGFuZCBv
YmVzZSB3b21lbjogRmluZGluZ3MgZnJvbSB0aGUgU1BSSU5HIGRvdWJsZS1ibGluZCByYW5kb21p
emVkIGNvbnRyb2xsZWQgdHJpYWw8L3RpdGxlPjxzZWNvbmRhcnktdGl0bGU+RGlhYmV0ZXMgQ2Fy
ZTwvc2Vjb25kYXJ5LXRpdGxlPjwvdGl0bGVzPjxwZXJpb2RpY2FsPjxmdWxsLXRpdGxlPkRpYWJl
dGVzIENhcmU8L2Z1bGwtdGl0bGU+PC9wZXJpb2RpY2FsPjxwYWdlcz4zNjQtMzcxPC9wYWdlcz48
dm9sdW1lPjQyPC92b2x1bWU+PG51bWJlcj4zPC9udW1iZXI+PGVkaXRpb24+MjAxOS8wMS8yMDwv
ZWRpdGlvbj48a2V5d29yZHM+PGtleXdvcmQ+QWR1bHQ8L2tleXdvcmQ+PGtleXdvcmQ+QXVzdHJh
bGlhPC9rZXl3b3JkPjxrZXl3b3JkPkRpYWJldGVzLCBHZXN0YXRpb25hbC9ibG9vZC8qcHJldmVu
dGlvbiAmYW1wOyBjb250cm9sPC9rZXl3b3JkPjxrZXl3b3JkPkRvdWJsZS1CbGluZCBNZXRob2Q8
L2tleXdvcmQ+PGtleXdvcmQ+RmVtYWxlPC9rZXl3b3JkPjxrZXl3b3JkPkdhc3Ryb2ludGVzdGlu
YWwgTWljcm9iaW9tZTwva2V5d29yZD48a2V5d29yZD5HbHVjb3NlIFRvbGVyYW5jZSBUZXN0PC9r
ZXl3b3JkPjxrZXl3b3JkPkh1bWFuczwva2V5d29yZD48a2V5d29yZD5PYmVzaXR5L2NvbXBsaWNh
dGlvbnMvKmRpZXQgdGhlcmFweTwva2V5d29yZD48a2V5d29yZD5PdmVyd2VpZ2h0L2NvbXBsaWNh
dGlvbnMvKmRpZXQgdGhlcmFweTwva2V5d29yZD48a2V5d29yZD5QcmVnbmFuY3k8L2tleXdvcmQ+
PGtleXdvcmQ+UHJlZ25hbmN5IENvbXBsaWNhdGlvbnMvKmRpZXQgdGhlcmFweTwva2V5d29yZD48
a2V5d29yZD5Qcm9iaW90aWNzLyp0aGVyYXBldXRpYyB1c2U8L2tleXdvcmQ+PGtleXdvcmQ+V2Vp
Z2h0IEdhaW48L2tleXdvcmQ+PC9rZXl3b3Jkcz48ZGF0ZXM+PHllYXI+MjAxOTwveWVhcj48cHVi
LWRhdGVzPjxkYXRlPk1hcjwvZGF0ZT48L3B1Yi1kYXRlcz48L2RhdGVzPjxpc2JuPjE5MzUtNTU0
OCAoRWxlY3Ryb25pYykmI3hEOzAxNDktNTk5MiAoTGlua2luZyk8L2lzYm4+PGFjY2Vzc2lvbi1u
dW0+MzA2NTkwNzA8L2FjY2Vzc2lvbi1udW0+PHVybHM+PHJlbGF0ZWQtdXJscz48dXJsPmh0dHBz
Oi8vd3d3Lm5jYmkubmxtLm5paC5nb3YvcHVibWVkLzMwNjU5MDcwPC91cmw+PC9yZWxhdGVkLXVy
bHM+PC91cmxzPjxlbGVjdHJvbmljLXJlc291cmNlLW51bT4xMC4yMzM3L2RjMTgtMjI0ODwvZWxl
Y3Ryb25pYy1yZXNvdXJjZS1udW0+PC9yZWNvcmQ+PC9DaXRlPjxDaXRlPjxBdXRob3I+RG90dGVy
dWQ8L0F1dGhvcj48WWVhcj4yMDEwPC9ZZWFyPjxSZWNOdW0+MTY4NjwvUmVjTnVtPjxyZWNvcmQ+
PHJlYy1udW1iZXI+MTY4NjwvcmVjLW51bWJlcj48Zm9yZWlnbi1rZXlzPjxrZXkgYXBwPSJFTiIg
ZGItaWQ9ImV4dmFzcmZ4MmR0cmFvZXNhc3hwMnN6c3hhMmRmNTAyNTkyeCIgdGltZXN0YW1wPSIx
NTgxODMyMDc2Ij4xNjg2PC9rZXk+PC9mb3JlaWduLWtleXM+PHJlZi10eXBlIG5hbWU9IkpvdXJu
YWwgQXJ0aWNsZSI+MTc8L3JlZi10eXBlPjxjb250cmlidXRvcnM+PGF1dGhvcnM+PGF1dGhvcj5E
b3R0ZXJ1ZCwgQy4gSy48L2F1dGhvcj48YXV0aG9yPlN0b3JybywgTy48L2F1dGhvcj48YXV0aG9y
PkpvaG5zZW4sIFIuPC9hdXRob3I+PGF1dGhvcj5PaWVuLCBULjwvYXV0aG9yPjwvYXV0aG9ycz48
L2NvbnRyaWJ1dG9ycz48YXV0aC1hZGRyZXNzPkRlcGFydG1lbnQgb2YgUHVibGljIEhlYWx0aCBh
bmQgR2VuZXJhbCBQcmFjdGljZSwgTm9yd2VnaWFuIFVuaXZlcnNpdHkgb2YgU2NpZW5jZSBhbmQg
VGVjaG5vbG9neSwgTi03NDg5IFRyb25kaGVpbSwgTm9yd2F5LiBkb3R0ZXJ1ZEBzdHVkLm50bnUu
bm88L2F1dGgtYWRkcmVzcz48dGl0bGVzPjx0aXRsZT5Qcm9iaW90aWNzIGluIHByZWduYW50IHdv
bWVuIHRvIHByZXZlbnQgYWxsZXJnaWMgZGlzZWFzZTogYSByYW5kb21pemVkLCBkb3VibGUtYmxp
bmQgdHJpYWw8L3RpdGxlPjxzZWNvbmRhcnktdGl0bGU+QnIgSiBEZXJtYXRvbDwvc2Vjb25kYXJ5
LXRpdGxlPjwvdGl0bGVzPjxwZXJpb2RpY2FsPjxmdWxsLXRpdGxlPkJyIEogRGVybWF0b2w8L2Z1
bGwtdGl0bGU+PC9wZXJpb2RpY2FsPjxwYWdlcz42MTYtMjM8L3BhZ2VzPjx2b2x1bWU+MTYzPC92
b2x1bWU+PG51bWJlcj4zPC9udW1iZXI+PGVkaXRpb24+MjAxMC8wNi8xNjwvZWRpdGlvbj48a2V5
d29yZHM+PGtleXdvcmQ+QWR1bHQ8L2tleXdvcmQ+PGtleXdvcmQ+QXN0aG1hL2VwaWRlbWlvbG9n
eS9wcmV2ZW50aW9uICZhbXA7IGNvbnRyb2w8L2tleXdvcmQ+PGtleXdvcmQ+QmlmaWRvYmFjdGVy
aXVtPC9rZXl3b3JkPjxrZXl3b3JkPkNvbmp1bmN0aXZpdGlzLCBBbGxlcmdpYy9lcGlkZW1pb2xv
Z3kvcHJldmVudGlvbiAmYW1wOyBjb250cm9sPC9rZXl3b3JkPjxrZXl3b3JkPkRlcm1hdGl0aXMs
IEF0b3BpYy9lcGlkZW1pb2xvZ3kvcHJldmVudGlvbiAmYW1wOyBjb250cm9sPC9rZXl3b3JkPjxr
ZXl3b3JkPkRpZXRhcnkgU3VwcGxlbWVudHM8L2tleXdvcmQ+PGtleXdvcmQ+RG91YmxlLUJsaW5k
IE1ldGhvZDwva2V5d29yZD48a2V5d29yZD5FY3plbWEvZXBpZGVtaW9sb2d5L3ByZXZlbnRpb24g
JmFtcDsgY29udHJvbDwva2V5d29yZD48a2V5d29yZD5GZW1hbGU8L2tleXdvcmQ+PGtleXdvcmQ+
SHVtYW5zPC9rZXl3b3JkPjxrZXl3b3JkPkh5cGVyc2Vuc2l0aXZpdHkvZXBpZGVtaW9sb2d5Lypw
cmV2ZW50aW9uICZhbXA7IGNvbnRyb2w8L2tleXdvcmQ+PGtleXdvcmQ+SHlwZXJzZW5zaXRpdml0
eSwgSW1tZWRpYXRlL2VwaWRlbWlvbG9neS9wcmV2ZW50aW9uICZhbXA7IGNvbnRyb2w8L2tleXdv
cmQ+PGtleXdvcmQ+SW5jaWRlbmNlPC9rZXl3b3JkPjxrZXl3b3JkPkluZmFudDwva2V5d29yZD48
a2V5d29yZD5JbmZhbnQsIE5ld2Jvcm48L2tleXdvcmQ+PGtleXdvcmQ+SW50ZW50aW9uIHRvIFRy
ZWF0IEFuYWx5c2lzPC9rZXl3b3JkPjxrZXl3b3JkPkxhY3RvYmFjaWxsdXMgYWNpZG9waGlsdXM8
L2tleXdvcmQ+PGtleXdvcmQ+TGFjdG9iYWNpbGx1cyByaGFtbm9zdXM8L2tleXdvcmQ+PGtleXdv
cmQ+UHJlZ25hbmN5PC9rZXl3b3JkPjxrZXl3b3JkPlByb2Jpb3RpY3MvKnRoZXJhcGV1dGljIHVz
ZTwva2V5d29yZD48a2V5d29yZD5TdXJ2ZXlzIGFuZCBRdWVzdGlvbm5haXJlczwva2V5d29yZD48
L2tleXdvcmRzPjxkYXRlcz48eWVhcj4yMDEwPC95ZWFyPjxwdWItZGF0ZXM+PGRhdGU+U2VwPC9k
YXRlPjwvcHViLWRhdGVzPjwvZGF0ZXM+PGlzYm4+MTM2NS0yMTMzIChFbGVjdHJvbmljKSYjeEQ7
MDAwNy0wOTYzIChMaW5raW5nKTwvaXNibj48YWNjZXNzaW9uLW51bT4yMDU0NTY4ODwvYWNjZXNz
aW9uLW51bT48dXJscz48cmVsYXRlZC11cmxzPjx1cmw+aHR0cHM6Ly93d3cubmNiaS5ubG0ubmlo
Lmdvdi9wdWJtZWQvMjA1NDU2ODg8L3VybD48L3JlbGF0ZWQtdXJscz48L3VybHM+PGVsZWN0cm9u
aWMtcmVzb3VyY2UtbnVtPjEwLjExMTEvai4xMzY1LTIxMzMuMjAxMC4wOTg4OS54PC9lbGVjdHJv
bmljLXJlc291cmNlLW51bT48L3JlY29yZD48L0NpdGU+PENpdGU+PEF1dGhvcj5XaWNrZW5zPC9B
dXRob3I+PFllYXI+MjAxNzwvWWVhcj48UmVjTnVtPjE2NzU8L1JlY051bT48cmVjb3JkPjxyZWMt
bnVtYmVyPjE2NzU8L3JlYy1udW1iZXI+PGZvcmVpZ24ta2V5cz48a2V5IGFwcD0iRU4iIGRiLWlk
PSJleHZhc3JmeDJkdHJhb2VzYXN4cDJzenN4YTJkZjUwMjU5MngiIHRpbWVzdGFtcD0iMTU4MTMx
Mjg4MCI+MTY3NTwva2V5PjxrZXkgYXBwPSJFTldlYiIgZGItaWQ9IiI+MDwva2V5PjwvZm9yZWln
bi1rZXlzPjxyZWYtdHlwZSBuYW1lPSJKb3VybmFsIEFydGljbGUiPjE3PC9yZWYtdHlwZT48Y29u
dHJpYnV0b3JzPjxhdXRob3JzPjxhdXRob3I+V2lja2VucywgSy4gTC48L2F1dGhvcj48YXV0aG9y
PkJhcnRob3csIEMuIEEuPC9hdXRob3I+PGF1dGhvcj5NdXJwaHksIFIuPC9hdXRob3I+PGF1dGhv
cj5BYmVscywgUC4gUi48L2F1dGhvcj48YXV0aG9yPk1hdWRlLCBSLiBNLjwvYXV0aG9yPjxhdXRo
b3I+U3RvbmUsIFAuIFIuPC9hdXRob3I+PGF1dGhvcj5NaXRjaGVsbCwgRS4gQS48L2F1dGhvcj48
YXV0aG9yPlN0YW5sZXksIFQuIFYuPC9hdXRob3I+PGF1dGhvcj5QdXJkaWUsIEcuIEwuPC9hdXRo
b3I+PGF1dGhvcj5LYW5nLCBKLiBNLjwvYXV0aG9yPjxhdXRob3I+SG9vZCwgRi4gRS48L2F1dGhv
cj48YXV0aG9yPlJvd2RlbiwgSi4gTC48L2F1dGhvcj48YXV0aG9yPkJhcm5lcywgUC4gSy48L2F1
dGhvcj48YXV0aG9yPkZpdHpoYXJyaXMsIFAuIEYuPC9hdXRob3I+PGF1dGhvcj5DcmFuZSwgSi48
L2F1dGhvcj48L2F1dGhvcnM+PC9jb250cmlidXRvcnM+PGF1dGgtYWRkcmVzcz4xVW5pdmVyc2l0
eSBvZiBPdGFnbyxXZWxsaW5ndG9uIDYwMjEsTmV3IFplYWxhbmQuJiN4RDsyVW5pdmVyc2l0eSBv
ZiBBdWNrbGFuZCxBdWNrbGFuZCAxMTQyLE5ldyBaZWFsYW5kLiYjeEQ7NFZpY3RvcmlhIFVuaXZl
cnNpdHksV2VsbGluZ3RvbiA2MDIxLE5ldyBaZWFsYW5kLiYjeEQ7NUF1Y2tsYW5kIEhvc3BpdGFs
LEF1Y2tsYW5kIDExNDIsTmV3IFplYWxhbmQuPC9hdXRoLWFkZHJlc3M+PHRpdGxlcz48dGl0bGU+
RWFybHkgcHJlZ25hbmN5IHByb2Jpb3RpYyBzdXBwbGVtZW50YXRpb24gd2l0aCBMYWN0b2JhY2ls
bHVzIHJoYW1ub3N1cyBITjAwMSBtYXkgcmVkdWNlIHRoZSBwcmV2YWxlbmNlIG9mIGdlc3RhdGlv
bmFsIGRpYWJldGVzIG1lbGxpdHVzOiBhIHJhbmRvbWlzZWQgY29udHJvbGxlZCB0cmlhbDwvdGl0
bGU+PHNlY29uZGFyeS10aXRsZT5CciBKIE51dHI8L3NlY29uZGFyeS10aXRsZT48L3RpdGxlcz48
cGVyaW9kaWNhbD48ZnVsbC10aXRsZT5CciBKIE51dHI8L2Z1bGwtdGl0bGU+PC9wZXJpb2RpY2Fs
PjxwYWdlcz44MDQtODEzPC9wYWdlcz48dm9sdW1lPjExNzwvdm9sdW1lPjxudW1iZXI+NjwvbnVt
YmVyPjxlZGl0aW9uPjIwMTcvMDQvMDQ8L2VkaXRpb24+PGtleXdvcmRzPjxrZXl3b3JkPkFkdWx0
PC9rZXl3b3JkPjxrZXl3b3JkPkJsb29kIEdsdWNvc2UvKm1ldGFib2xpc208L2tleXdvcmQ+PGtl
eXdvcmQ+RGlhYmV0ZXMsIEdlc3RhdGlvbmFsL2Jsb29kLypwcmV2ZW50aW9uICZhbXA7IGNvbnRy
b2w8L2tleXdvcmQ+PGtleXdvcmQ+RG91YmxlLUJsaW5kIE1ldGhvZDwva2V5d29yZD48a2V5d29y
ZD5GZW1hbGU8L2tleXdvcmQ+PGtleXdvcmQ+SHVtYW5zPC9rZXl3b3JkPjxrZXl3b3JkPipMYWN0
b2JhY2lsbHVzIHJoYW1ub3N1czwva2V5d29yZD48a2V5d29yZD5OZXcgWmVhbGFuZC9lcGlkZW1p
b2xvZ3k8L2tleXdvcmQ+PGtleXdvcmQ+UHJlZ25hbmN5PC9rZXl3b3JkPjxrZXl3b3JkPlByZXZh
bGVuY2U8L2tleXdvcmQ+PGtleXdvcmQ+UHJvYmlvdGljcy8qdGhlcmFwZXV0aWMgdXNlPC9rZXl3
b3JkPjxrZXl3b3JkPkxhY3RvYmFjaWxsdXMgcmhhbW5vc3VzIEhOMDAxPC9rZXl3b3JkPjxrZXl3
b3JkPkZvbnRlcnJhIEZvbnRlcnJhIENvLW9wZXJhdGl2ZSBHcm91cCBMdGQ8L2tleXdvcmQ+PGtl
eXdvcmQ+R0RNIGdlc3RhdGlvbmFsIGRpYWJldGVzIG1lbGxpdHVzPC9rZXl3b3JkPjxrZXl3b3Jk
PkdUVCBnbHVjb3NlIHRvbGVyYW5jZSB0ZXN0PC9rZXl3b3JkPjxrZXl3b3JkPkhOMDAxIExhY3Rv
YmFjaWxsdXMgcmhhbW5vc3VzIEhOMDAxPC9rZXl3b3JkPjxrZXl3b3JkPklBRFBTRyBJbnRlcm5h
dGlvbmFsIEFzc29jaWF0aW9uIG9mIERpYWJldGVzIGFuZCBQcmVnbmFuY3kgU3R1ZHkgR3JvdXA8
L2tleXdvcmQ+PGtleXdvcmQ+TlogTmV3IFplYWxhbmQ8L2tleXdvcmQ+PGtleXdvcmQ+UlIgcmVs
YXRpdmUgcmF0ZTwva2V5d29yZD48a2V5d29yZD5HZXN0YXRpb25hbCBkaWFiZXRlcyBtZWxsaXR1
czwva2V5d29yZD48a2V5d29yZD5Qcm9iaW90aWNzPC9rZXl3b3JkPjxrZXl3b3JkPlJhbmRvbWlz
ZWQgY29udHJvbGxlZCB0cmlhbHM8L2tleXdvcmQ+PC9rZXl3b3Jkcz48ZGF0ZXM+PHllYXI+MjAx
NzwveWVhcj48cHViLWRhdGVzPjxkYXRlPk1hcjwvZGF0ZT48L3B1Yi1kYXRlcz48L2RhdGVzPjxp
c2JuPjE0NzUtMjY2MiAoRWxlY3Ryb25pYykmI3hEOzAwMDctMTE0NSAoTGlua2luZyk8L2lzYm4+
PGFjY2Vzc2lvbi1udW0+MjgzNjc3NjU8L2FjY2Vzc2lvbi1udW0+PHVybHM+PHJlbGF0ZWQtdXJs
cz48dXJsPmh0dHBzOi8vd3d3Lm5jYmkubmxtLm5paC5nb3YvcHVibWVkLzI4MzY3NzY1PC91cmw+
PC9yZWxhdGVkLXVybHM+PC91cmxzPjxjdXN0b20yPlBNQzU0MjYzMjI8L2N1c3RvbTI+PGVsZWN0
cm9uaWMtcmVzb3VyY2UtbnVtPjEwLjEwMTcvUzAwMDcxMTQ1MTcwMDAyODk8L2VsZWN0cm9uaWMt
cmVzb3VyY2UtbnVtPjwvcmVjb3JkPjwvQ2l0ZT48L0VuZE5vdGU+AG==
</w:fldData>
        </w:fldChar>
      </w:r>
      <w:r w:rsidR="002747EA">
        <w:instrText xml:space="preserve"> ADDIN EN.CITE </w:instrText>
      </w:r>
      <w:r w:rsidR="002747EA">
        <w:fldChar w:fldCharType="begin">
          <w:fldData xml:space="preserve">PEVuZE5vdGU+PENpdGU+PEF1dGhvcj5DYWxsYXdheTwvQXV0aG9yPjxZZWFyPjIwMTk8L1llYXI+
PFJlY051bT4xNjQ5PC9SZWNOdW0+PERpc3BsYXlUZXh0PjxzdHlsZSBmYWNlPSJzdXBlcnNjcmlw
dCIgZm9udD0iVHJlYnVjaGV0IE1TIiBzaXplPSI5Ij4yMjgsMjM3LDI1Mjwvc3R5bGU+PC9EaXNw
bGF5VGV4dD48cmVjb3JkPjxyZWMtbnVtYmVyPjE2NDk8L3JlYy1udW1iZXI+PGZvcmVpZ24ta2V5
cz48a2V5IGFwcD0iRU4iIGRiLWlkPSJleHZhc3JmeDJkdHJhb2VzYXN4cDJzenN4YTJkZjUwMjU5
MngiIHRpbWVzdGFtcD0iMTU4MTMxMjY5OCI+MTY0OTwva2V5PjxrZXkgYXBwPSJFTldlYiIgZGIt
aWQ9IiI+MDwva2V5PjwvZm9yZWlnbi1rZXlzPjxyZWYtdHlwZSBuYW1lPSJKb3VybmFsIEFydGlj
bGUiPjE3PC9yZWYtdHlwZT48Y29udHJpYnV0b3JzPjxhdXRob3JzPjxhdXRob3I+Q2FsbGF3YXks
IEwuIEsuPC9hdXRob3I+PGF1dGhvcj5NY0ludHlyZSwgSC4gRC48L2F1dGhvcj48YXV0aG9yPkJh
cnJldHQsIEguIEwuPC9hdXRob3I+PGF1dGhvcj5Gb3hjcm9mdCwgSy48L2F1dGhvcj48YXV0aG9y
PlRyZW1lbGxlbiwgQS48L2F1dGhvcj48YXV0aG9yPkxpbmd3b29kLCBCLiBFLjwvYXV0aG9yPjxh
dXRob3I+VG9iaW4sIEouIE0uPC9hdXRob3I+PGF1dGhvcj5XaWxraW5zb24sIFMuPC9hdXRob3I+
PGF1dGhvcj5Lb3RoYXJpLCBBLjwvYXV0aG9yPjxhdXRob3I+TW9ycmlzb24sIE0uPC9hdXRob3I+
PGF1dGhvcj5PJmFwb3M7Um91cmtlLCBQLjwvYXV0aG9yPjxhdXRob3I+UGVsZWNhbm9zLCBBLjwv
YXV0aG9yPjxhdXRob3I+RGVra2VyIE5pdGVydCwgTS48L2F1dGhvcj48L2F1dGhvcnM+PC9jb250
cmlidXRvcnM+PGF1dGgtYWRkcmVzcz5Xb21lbiZhcG9zO3MgYW5kIE5ld2Jvcm4gU2VydmljZXMs
IFJveWFsIEJyaXNiYW5lIGFuZCBXb21lbiZhcG9zO3MgSG9zcGl0YWwsIEhlcnN0b24sIEF1c3Ry
YWxpYSBsLmNhbGxhd2F5QHVxLmVkdS5hdS4mI3hEO0ZhY3VsdHkgb2YgTWVkaWNpbmUsIFRoZSBV
bml2ZXJzaXR5IG9mIFF1ZWVuc2xhbmQsIEhlcnN0b24sIEF1c3RyYWxpYS4mI3hEO01hdGVyIE1l
ZGljYWwgUmVzZWFyY2ggSW5zdGl0dXRlLCBTb3V0aCBCcmlzYmFuZSwgQXVzdHJhbGlhLiYjeEQ7
V29tZW4mYXBvcztzIGFuZCBOZXdib3JuIFNlcnZpY2VzLCBSb3lhbCBCcmlzYmFuZSBhbmQgV29t
ZW4mYXBvcztzIEhvc3BpdGFsLCBIZXJzdG9uLCBBdXN0cmFsaWEuJiN4RDtKYW1lcyBDb29rIFVu
aXZlcnNpdHksIE1hY2theSwgQXVzdHJhbGlhLiYjeEQ7RGVwYXJ0bWVudCBvZiBOdXRyaXRpb24g
YW5kIERpZXRldGljcywgTWF0ZXIgR3JvdXAsIFNvdXRoIEJyaXNiYW5lLCBBdXN0cmFsaWEuJiN4
RDtSZWRjbGlmZmUgSG9zcGl0YWwsIFJlZGNsaWZmZSwgQXVzdHJhbGlhLiYjeEQ7RmFjdWx0eSBv
ZiBNZWRpY2luZSwgVW5pdmVyc2l0eSBvZiBRdWVlbnNsYW5kIERpYW1hbnRpbmEgSW5zdGl0dXRl
LCBUcmFuc2xhdGlvbmFsIFJlc2VhcmNoIEluc3RpdHV0ZSwgV29vbGxvb25nYWJiYSwgQXVzdHJh
bGlhLiYjeEQ7UUlNUiBCZXJnaG9mZXIgTWVkaWNhbCBSZXNlYXJjaCBJbnN0aXR1dGUsIEhlcnN0
b24sIEF1c3RyYWxpYS4mI3hEO1NjaG9vbCBvZiBDaGVtaXN0cnkgYW5kIE1vbGVjdWxhciBCaW9z
Y2llbmNlcywgVGhlIFVuaXZlcnNpdHkgb2YgUXVlZW5zbGFuZCwgU3QgTHVjaWEsIEF1c3RyYWxp
YS48L2F1dGgtYWRkcmVzcz48dGl0bGVzPjx0aXRsZT5Qcm9iaW90aWNzIGZvciB0aGUgcHJldmVu
dGlvbiBvZiBnZXN0YXRpb25hbCBkaWFiZXRlcyBtZWxsaXR1cyBpbiBvdmVyd2VpZ2h0IGFuZCBv
YmVzZSB3b21lbjogRmluZGluZ3MgZnJvbSB0aGUgU1BSSU5HIGRvdWJsZS1ibGluZCByYW5kb21p
emVkIGNvbnRyb2xsZWQgdHJpYWw8L3RpdGxlPjxzZWNvbmRhcnktdGl0bGU+RGlhYmV0ZXMgQ2Fy
ZTwvc2Vjb25kYXJ5LXRpdGxlPjwvdGl0bGVzPjxwZXJpb2RpY2FsPjxmdWxsLXRpdGxlPkRpYWJl
dGVzIENhcmU8L2Z1bGwtdGl0bGU+PC9wZXJpb2RpY2FsPjxwYWdlcz4zNjQtMzcxPC9wYWdlcz48
dm9sdW1lPjQyPC92b2x1bWU+PG51bWJlcj4zPC9udW1iZXI+PGVkaXRpb24+MjAxOS8wMS8yMDwv
ZWRpdGlvbj48a2V5d29yZHM+PGtleXdvcmQ+QWR1bHQ8L2tleXdvcmQ+PGtleXdvcmQ+QXVzdHJh
bGlhPC9rZXl3b3JkPjxrZXl3b3JkPkRpYWJldGVzLCBHZXN0YXRpb25hbC9ibG9vZC8qcHJldmVu
dGlvbiAmYW1wOyBjb250cm9sPC9rZXl3b3JkPjxrZXl3b3JkPkRvdWJsZS1CbGluZCBNZXRob2Q8
L2tleXdvcmQ+PGtleXdvcmQ+RmVtYWxlPC9rZXl3b3JkPjxrZXl3b3JkPkdhc3Ryb2ludGVzdGlu
YWwgTWljcm9iaW9tZTwva2V5d29yZD48a2V5d29yZD5HbHVjb3NlIFRvbGVyYW5jZSBUZXN0PC9r
ZXl3b3JkPjxrZXl3b3JkPkh1bWFuczwva2V5d29yZD48a2V5d29yZD5PYmVzaXR5L2NvbXBsaWNh
dGlvbnMvKmRpZXQgdGhlcmFweTwva2V5d29yZD48a2V5d29yZD5PdmVyd2VpZ2h0L2NvbXBsaWNh
dGlvbnMvKmRpZXQgdGhlcmFweTwva2V5d29yZD48a2V5d29yZD5QcmVnbmFuY3k8L2tleXdvcmQ+
PGtleXdvcmQ+UHJlZ25hbmN5IENvbXBsaWNhdGlvbnMvKmRpZXQgdGhlcmFweTwva2V5d29yZD48
a2V5d29yZD5Qcm9iaW90aWNzLyp0aGVyYXBldXRpYyB1c2U8L2tleXdvcmQ+PGtleXdvcmQ+V2Vp
Z2h0IEdhaW48L2tleXdvcmQ+PC9rZXl3b3Jkcz48ZGF0ZXM+PHllYXI+MjAxOTwveWVhcj48cHVi
LWRhdGVzPjxkYXRlPk1hcjwvZGF0ZT48L3B1Yi1kYXRlcz48L2RhdGVzPjxpc2JuPjE5MzUtNTU0
OCAoRWxlY3Ryb25pYykmI3hEOzAxNDktNTk5MiAoTGlua2luZyk8L2lzYm4+PGFjY2Vzc2lvbi1u
dW0+MzA2NTkwNzA8L2FjY2Vzc2lvbi1udW0+PHVybHM+PHJlbGF0ZWQtdXJscz48dXJsPmh0dHBz
Oi8vd3d3Lm5jYmkubmxtLm5paC5nb3YvcHVibWVkLzMwNjU5MDcwPC91cmw+PC9yZWxhdGVkLXVy
bHM+PC91cmxzPjxlbGVjdHJvbmljLXJlc291cmNlLW51bT4xMC4yMzM3L2RjMTgtMjI0ODwvZWxl
Y3Ryb25pYy1yZXNvdXJjZS1udW0+PC9yZWNvcmQ+PC9DaXRlPjxDaXRlPjxBdXRob3I+RG90dGVy
dWQ8L0F1dGhvcj48WWVhcj4yMDEwPC9ZZWFyPjxSZWNOdW0+MTY4NjwvUmVjTnVtPjxyZWNvcmQ+
PHJlYy1udW1iZXI+MTY4NjwvcmVjLW51bWJlcj48Zm9yZWlnbi1rZXlzPjxrZXkgYXBwPSJFTiIg
ZGItaWQ9ImV4dmFzcmZ4MmR0cmFvZXNhc3hwMnN6c3hhMmRmNTAyNTkyeCIgdGltZXN0YW1wPSIx
NTgxODMyMDc2Ij4xNjg2PC9rZXk+PC9mb3JlaWduLWtleXM+PHJlZi10eXBlIG5hbWU9IkpvdXJu
YWwgQXJ0aWNsZSI+MTc8L3JlZi10eXBlPjxjb250cmlidXRvcnM+PGF1dGhvcnM+PGF1dGhvcj5E
b3R0ZXJ1ZCwgQy4gSy48L2F1dGhvcj48YXV0aG9yPlN0b3JybywgTy48L2F1dGhvcj48YXV0aG9y
PkpvaG5zZW4sIFIuPC9hdXRob3I+PGF1dGhvcj5PaWVuLCBULjwvYXV0aG9yPjwvYXV0aG9ycz48
L2NvbnRyaWJ1dG9ycz48YXV0aC1hZGRyZXNzPkRlcGFydG1lbnQgb2YgUHVibGljIEhlYWx0aCBh
bmQgR2VuZXJhbCBQcmFjdGljZSwgTm9yd2VnaWFuIFVuaXZlcnNpdHkgb2YgU2NpZW5jZSBhbmQg
VGVjaG5vbG9neSwgTi03NDg5IFRyb25kaGVpbSwgTm9yd2F5LiBkb3R0ZXJ1ZEBzdHVkLm50bnUu
bm88L2F1dGgtYWRkcmVzcz48dGl0bGVzPjx0aXRsZT5Qcm9iaW90aWNzIGluIHByZWduYW50IHdv
bWVuIHRvIHByZXZlbnQgYWxsZXJnaWMgZGlzZWFzZTogYSByYW5kb21pemVkLCBkb3VibGUtYmxp
bmQgdHJpYWw8L3RpdGxlPjxzZWNvbmRhcnktdGl0bGU+QnIgSiBEZXJtYXRvbDwvc2Vjb25kYXJ5
LXRpdGxlPjwvdGl0bGVzPjxwZXJpb2RpY2FsPjxmdWxsLXRpdGxlPkJyIEogRGVybWF0b2w8L2Z1
bGwtdGl0bGU+PC9wZXJpb2RpY2FsPjxwYWdlcz42MTYtMjM8L3BhZ2VzPjx2b2x1bWU+MTYzPC92
b2x1bWU+PG51bWJlcj4zPC9udW1iZXI+PGVkaXRpb24+MjAxMC8wNi8xNjwvZWRpdGlvbj48a2V5
d29yZHM+PGtleXdvcmQ+QWR1bHQ8L2tleXdvcmQ+PGtleXdvcmQ+QXN0aG1hL2VwaWRlbWlvbG9n
eS9wcmV2ZW50aW9uICZhbXA7IGNvbnRyb2w8L2tleXdvcmQ+PGtleXdvcmQ+QmlmaWRvYmFjdGVy
aXVtPC9rZXl3b3JkPjxrZXl3b3JkPkNvbmp1bmN0aXZpdGlzLCBBbGxlcmdpYy9lcGlkZW1pb2xv
Z3kvcHJldmVudGlvbiAmYW1wOyBjb250cm9sPC9rZXl3b3JkPjxrZXl3b3JkPkRlcm1hdGl0aXMs
IEF0b3BpYy9lcGlkZW1pb2xvZ3kvcHJldmVudGlvbiAmYW1wOyBjb250cm9sPC9rZXl3b3JkPjxr
ZXl3b3JkPkRpZXRhcnkgU3VwcGxlbWVudHM8L2tleXdvcmQ+PGtleXdvcmQ+RG91YmxlLUJsaW5k
IE1ldGhvZDwva2V5d29yZD48a2V5d29yZD5FY3plbWEvZXBpZGVtaW9sb2d5L3ByZXZlbnRpb24g
JmFtcDsgY29udHJvbDwva2V5d29yZD48a2V5d29yZD5GZW1hbGU8L2tleXdvcmQ+PGtleXdvcmQ+
SHVtYW5zPC9rZXl3b3JkPjxrZXl3b3JkPkh5cGVyc2Vuc2l0aXZpdHkvZXBpZGVtaW9sb2d5Lypw
cmV2ZW50aW9uICZhbXA7IGNvbnRyb2w8L2tleXdvcmQ+PGtleXdvcmQ+SHlwZXJzZW5zaXRpdml0
eSwgSW1tZWRpYXRlL2VwaWRlbWlvbG9neS9wcmV2ZW50aW9uICZhbXA7IGNvbnRyb2w8L2tleXdv
cmQ+PGtleXdvcmQ+SW5jaWRlbmNlPC9rZXl3b3JkPjxrZXl3b3JkPkluZmFudDwva2V5d29yZD48
a2V5d29yZD5JbmZhbnQsIE5ld2Jvcm48L2tleXdvcmQ+PGtleXdvcmQ+SW50ZW50aW9uIHRvIFRy
ZWF0IEFuYWx5c2lzPC9rZXl3b3JkPjxrZXl3b3JkPkxhY3RvYmFjaWxsdXMgYWNpZG9waGlsdXM8
L2tleXdvcmQ+PGtleXdvcmQ+TGFjdG9iYWNpbGx1cyByaGFtbm9zdXM8L2tleXdvcmQ+PGtleXdv
cmQ+UHJlZ25hbmN5PC9rZXl3b3JkPjxrZXl3b3JkPlByb2Jpb3RpY3MvKnRoZXJhcGV1dGljIHVz
ZTwva2V5d29yZD48a2V5d29yZD5TdXJ2ZXlzIGFuZCBRdWVzdGlvbm5haXJlczwva2V5d29yZD48
L2tleXdvcmRzPjxkYXRlcz48eWVhcj4yMDEwPC95ZWFyPjxwdWItZGF0ZXM+PGRhdGU+U2VwPC9k
YXRlPjwvcHViLWRhdGVzPjwvZGF0ZXM+PGlzYm4+MTM2NS0yMTMzIChFbGVjdHJvbmljKSYjeEQ7
MDAwNy0wOTYzIChMaW5raW5nKTwvaXNibj48YWNjZXNzaW9uLW51bT4yMDU0NTY4ODwvYWNjZXNz
aW9uLW51bT48dXJscz48cmVsYXRlZC11cmxzPjx1cmw+aHR0cHM6Ly93d3cubmNiaS5ubG0ubmlo
Lmdvdi9wdWJtZWQvMjA1NDU2ODg8L3VybD48L3JlbGF0ZWQtdXJscz48L3VybHM+PGVsZWN0cm9u
aWMtcmVzb3VyY2UtbnVtPjEwLjExMTEvai4xMzY1LTIxMzMuMjAxMC4wOTg4OS54PC9lbGVjdHJv
bmljLXJlc291cmNlLW51bT48L3JlY29yZD48L0NpdGU+PENpdGU+PEF1dGhvcj5XaWNrZW5zPC9B
dXRob3I+PFllYXI+MjAxNzwvWWVhcj48UmVjTnVtPjE2NzU8L1JlY051bT48cmVjb3JkPjxyZWMt
bnVtYmVyPjE2NzU8L3JlYy1udW1iZXI+PGZvcmVpZ24ta2V5cz48a2V5IGFwcD0iRU4iIGRiLWlk
PSJleHZhc3JmeDJkdHJhb2VzYXN4cDJzenN4YTJkZjUwMjU5MngiIHRpbWVzdGFtcD0iMTU4MTMx
Mjg4MCI+MTY3NTwva2V5PjxrZXkgYXBwPSJFTldlYiIgZGItaWQ9IiI+MDwva2V5PjwvZm9yZWln
bi1rZXlzPjxyZWYtdHlwZSBuYW1lPSJKb3VybmFsIEFydGljbGUiPjE3PC9yZWYtdHlwZT48Y29u
dHJpYnV0b3JzPjxhdXRob3JzPjxhdXRob3I+V2lja2VucywgSy4gTC48L2F1dGhvcj48YXV0aG9y
PkJhcnRob3csIEMuIEEuPC9hdXRob3I+PGF1dGhvcj5NdXJwaHksIFIuPC9hdXRob3I+PGF1dGhv
cj5BYmVscywgUC4gUi48L2F1dGhvcj48YXV0aG9yPk1hdWRlLCBSLiBNLjwvYXV0aG9yPjxhdXRo
b3I+U3RvbmUsIFAuIFIuPC9hdXRob3I+PGF1dGhvcj5NaXRjaGVsbCwgRS4gQS48L2F1dGhvcj48
YXV0aG9yPlN0YW5sZXksIFQuIFYuPC9hdXRob3I+PGF1dGhvcj5QdXJkaWUsIEcuIEwuPC9hdXRo
b3I+PGF1dGhvcj5LYW5nLCBKLiBNLjwvYXV0aG9yPjxhdXRob3I+SG9vZCwgRi4gRS48L2F1dGhv
cj48YXV0aG9yPlJvd2RlbiwgSi4gTC48L2F1dGhvcj48YXV0aG9yPkJhcm5lcywgUC4gSy48L2F1
dGhvcj48YXV0aG9yPkZpdHpoYXJyaXMsIFAuIEYuPC9hdXRob3I+PGF1dGhvcj5DcmFuZSwgSi48
L2F1dGhvcj48L2F1dGhvcnM+PC9jb250cmlidXRvcnM+PGF1dGgtYWRkcmVzcz4xVW5pdmVyc2l0
eSBvZiBPdGFnbyxXZWxsaW5ndG9uIDYwMjEsTmV3IFplYWxhbmQuJiN4RDsyVW5pdmVyc2l0eSBv
ZiBBdWNrbGFuZCxBdWNrbGFuZCAxMTQyLE5ldyBaZWFsYW5kLiYjeEQ7NFZpY3RvcmlhIFVuaXZl
cnNpdHksV2VsbGluZ3RvbiA2MDIxLE5ldyBaZWFsYW5kLiYjeEQ7NUF1Y2tsYW5kIEhvc3BpdGFs
LEF1Y2tsYW5kIDExNDIsTmV3IFplYWxhbmQuPC9hdXRoLWFkZHJlc3M+PHRpdGxlcz48dGl0bGU+
RWFybHkgcHJlZ25hbmN5IHByb2Jpb3RpYyBzdXBwbGVtZW50YXRpb24gd2l0aCBMYWN0b2JhY2ls
bHVzIHJoYW1ub3N1cyBITjAwMSBtYXkgcmVkdWNlIHRoZSBwcmV2YWxlbmNlIG9mIGdlc3RhdGlv
bmFsIGRpYWJldGVzIG1lbGxpdHVzOiBhIHJhbmRvbWlzZWQgY29udHJvbGxlZCB0cmlhbDwvdGl0
bGU+PHNlY29uZGFyeS10aXRsZT5CciBKIE51dHI8L3NlY29uZGFyeS10aXRsZT48L3RpdGxlcz48
cGVyaW9kaWNhbD48ZnVsbC10aXRsZT5CciBKIE51dHI8L2Z1bGwtdGl0bGU+PC9wZXJpb2RpY2Fs
PjxwYWdlcz44MDQtODEzPC9wYWdlcz48dm9sdW1lPjExNzwvdm9sdW1lPjxudW1iZXI+NjwvbnVt
YmVyPjxlZGl0aW9uPjIwMTcvMDQvMDQ8L2VkaXRpb24+PGtleXdvcmRzPjxrZXl3b3JkPkFkdWx0
PC9rZXl3b3JkPjxrZXl3b3JkPkJsb29kIEdsdWNvc2UvKm1ldGFib2xpc208L2tleXdvcmQ+PGtl
eXdvcmQ+RGlhYmV0ZXMsIEdlc3RhdGlvbmFsL2Jsb29kLypwcmV2ZW50aW9uICZhbXA7IGNvbnRy
b2w8L2tleXdvcmQ+PGtleXdvcmQ+RG91YmxlLUJsaW5kIE1ldGhvZDwva2V5d29yZD48a2V5d29y
ZD5GZW1hbGU8L2tleXdvcmQ+PGtleXdvcmQ+SHVtYW5zPC9rZXl3b3JkPjxrZXl3b3JkPipMYWN0
b2JhY2lsbHVzIHJoYW1ub3N1czwva2V5d29yZD48a2V5d29yZD5OZXcgWmVhbGFuZC9lcGlkZW1p
b2xvZ3k8L2tleXdvcmQ+PGtleXdvcmQ+UHJlZ25hbmN5PC9rZXl3b3JkPjxrZXl3b3JkPlByZXZh
bGVuY2U8L2tleXdvcmQ+PGtleXdvcmQ+UHJvYmlvdGljcy8qdGhlcmFwZXV0aWMgdXNlPC9rZXl3
b3JkPjxrZXl3b3JkPkxhY3RvYmFjaWxsdXMgcmhhbW5vc3VzIEhOMDAxPC9rZXl3b3JkPjxrZXl3
b3JkPkZvbnRlcnJhIEZvbnRlcnJhIENvLW9wZXJhdGl2ZSBHcm91cCBMdGQ8L2tleXdvcmQ+PGtl
eXdvcmQ+R0RNIGdlc3RhdGlvbmFsIGRpYWJldGVzIG1lbGxpdHVzPC9rZXl3b3JkPjxrZXl3b3Jk
PkdUVCBnbHVjb3NlIHRvbGVyYW5jZSB0ZXN0PC9rZXl3b3JkPjxrZXl3b3JkPkhOMDAxIExhY3Rv
YmFjaWxsdXMgcmhhbW5vc3VzIEhOMDAxPC9rZXl3b3JkPjxrZXl3b3JkPklBRFBTRyBJbnRlcm5h
dGlvbmFsIEFzc29jaWF0aW9uIG9mIERpYWJldGVzIGFuZCBQcmVnbmFuY3kgU3R1ZHkgR3JvdXA8
L2tleXdvcmQ+PGtleXdvcmQ+TlogTmV3IFplYWxhbmQ8L2tleXdvcmQ+PGtleXdvcmQ+UlIgcmVs
YXRpdmUgcmF0ZTwva2V5d29yZD48a2V5d29yZD5HZXN0YXRpb25hbCBkaWFiZXRlcyBtZWxsaXR1
czwva2V5d29yZD48a2V5d29yZD5Qcm9iaW90aWNzPC9rZXl3b3JkPjxrZXl3b3JkPlJhbmRvbWlz
ZWQgY29udHJvbGxlZCB0cmlhbHM8L2tleXdvcmQ+PC9rZXl3b3Jkcz48ZGF0ZXM+PHllYXI+MjAx
NzwveWVhcj48cHViLWRhdGVzPjxkYXRlPk1hcjwvZGF0ZT48L3B1Yi1kYXRlcz48L2RhdGVzPjxp
c2JuPjE0NzUtMjY2MiAoRWxlY3Ryb25pYykmI3hEOzAwMDctMTE0NSAoTGlua2luZyk8L2lzYm4+
PGFjY2Vzc2lvbi1udW0+MjgzNjc3NjU8L2FjY2Vzc2lvbi1udW0+PHVybHM+PHJlbGF0ZWQtdXJs
cz48dXJsPmh0dHBzOi8vd3d3Lm5jYmkubmxtLm5paC5nb3YvcHVibWVkLzI4MzY3NzY1PC91cmw+
PC9yZWxhdGVkLXVybHM+PC91cmxzPjxjdXN0b20yPlBNQzU0MjYzMjI8L2N1c3RvbTI+PGVsZWN0
cm9uaWMtcmVzb3VyY2UtbnVtPjEwLjEwMTcvUzAwMDcxMTQ1MTcwMDAyODk8L2VsZWN0cm9uaWMt
cmVzb3VyY2UtbnVtPjwvcmVjb3JkPjwvQ2l0ZT48L0VuZE5vdGU+AG==
</w:fldData>
        </w:fldChar>
      </w:r>
      <w:r w:rsidR="002747EA">
        <w:instrText xml:space="preserve"> ADDIN EN.CITE.DATA </w:instrText>
      </w:r>
      <w:r w:rsidR="002747EA">
        <w:fldChar w:fldCharType="end"/>
      </w:r>
      <w:r w:rsidR="00E30F0E">
        <w:fldChar w:fldCharType="separate"/>
      </w:r>
      <w:r w:rsidR="002747EA" w:rsidRPr="002747EA">
        <w:rPr>
          <w:noProof/>
          <w:vertAlign w:val="superscript"/>
        </w:rPr>
        <w:t>228,237,252</w:t>
      </w:r>
      <w:r w:rsidR="00E30F0E">
        <w:fldChar w:fldCharType="end"/>
      </w:r>
      <w:r w:rsidR="002D4009">
        <w:t xml:space="preserve"> and one study had a sample </w:t>
      </w:r>
      <w:r w:rsidR="00FF18A6">
        <w:t xml:space="preserve">size </w:t>
      </w:r>
      <w:r w:rsidR="002D4009">
        <w:t>of 644.</w:t>
      </w:r>
      <w:r w:rsidR="00E30F0E">
        <w:fldChar w:fldCharType="begin"/>
      </w:r>
      <w:r w:rsidR="002747EA">
        <w:instrText xml:space="preserve"> ADDIN EN.CITE &lt;EndNote&gt;&lt;Cite&gt;&lt;Author&gt;Krauss-Silva&lt;/Author&gt;&lt;Year&gt;2011&lt;/Year&gt;&lt;RecNum&gt;1691&lt;/RecNum&gt;&lt;DisplayText&gt;&lt;style face="superscript" font="Trebuchet MS" size="9"&gt;239&lt;/style&gt;&lt;/DisplayText&gt;&lt;record&gt;&lt;rec-number&gt;1691&lt;/rec-number&gt;&lt;foreign-keys&gt;&lt;key app="EN" db-id="exvasrfx2dtraoesasxp2szsxa2df502592x" timestamp="1581832076"&gt;1691&lt;/key&gt;&lt;/foreign-keys&gt;&lt;ref-type name="Journal Article"&gt;17&lt;/ref-type&gt;&lt;contributors&gt;&lt;authors&gt;&lt;author&gt;Krauss-Silva, L.&lt;/author&gt;&lt;author&gt;Moreira, M. E.&lt;/author&gt;&lt;author&gt;Alves, M. B.&lt;/author&gt;&lt;author&gt;Braga, A.&lt;/author&gt;&lt;author&gt;Camacho, K. G.&lt;/author&gt;&lt;author&gt;Batista, M. R.&lt;/author&gt;&lt;author&gt;Almada-Horta, A.&lt;/author&gt;&lt;author&gt;Rebello, M. R.&lt;/author&gt;&lt;author&gt;Guerra, F.&lt;/author&gt;&lt;/authors&gt;&lt;/contributors&gt;&lt;auth-address&gt;Health Technology Assessment Unit, National School of Public Health, Oswaldo Cruz Foundation, Brazilian Health Ministry, Rio de Janeiro, Brazil. leticiak@ensp.fiocruz.br&lt;/auth-address&gt;&lt;titles&gt;&lt;title&gt;A randomised controlled trial of probiotics for the prevention of spontaneous preterm delivery associated with bacterial vaginosis: preliminary results&lt;/title&gt;&lt;secondary-title&gt;Trials&lt;/secondary-title&gt;&lt;/titles&gt;&lt;periodical&gt;&lt;full-title&gt;Trials&lt;/full-title&gt;&lt;/periodical&gt;&lt;pages&gt;239&lt;/pages&gt;&lt;volume&gt;12&lt;/volume&gt;&lt;edition&gt;2011/11/09&lt;/edition&gt;&lt;keywords&gt;&lt;keyword&gt;Female&lt;/keyword&gt;&lt;keyword&gt;Humans&lt;/keyword&gt;&lt;keyword&gt;Infant, Newborn&lt;/keyword&gt;&lt;keyword&gt;Pregnancy&lt;/keyword&gt;&lt;keyword&gt;Premature Birth/*prevention &amp;amp; control&lt;/keyword&gt;&lt;keyword&gt;Probiotics/*therapeutic use&lt;/keyword&gt;&lt;keyword&gt;Vaginosis, Bacterial/*drug therapy&lt;/keyword&gt;&lt;/keywords&gt;&lt;dates&gt;&lt;year&gt;2011&lt;/year&gt;&lt;pub-dates&gt;&lt;date&gt;Nov 8&lt;/date&gt;&lt;/pub-dates&gt;&lt;/dates&gt;&lt;isbn&gt;1745-6215 (Electronic)&amp;#xD;1745-6215 (Linking)&lt;/isbn&gt;&lt;accession-num&gt;22059409&lt;/accession-num&gt;&lt;urls&gt;&lt;related-urls&gt;&lt;url&gt;https://www.ncbi.nlm.nih.gov/pubmed/22059409&lt;/url&gt;&lt;/related-urls&gt;&lt;/urls&gt;&lt;custom2&gt;PMC3264514&lt;/custom2&gt;&lt;electronic-resource-num&gt;10.1186/1745-6215-12-239&lt;/electronic-resource-num&gt;&lt;/record&gt;&lt;/Cite&gt;&lt;/EndNote&gt;</w:instrText>
      </w:r>
      <w:r w:rsidR="00E30F0E">
        <w:fldChar w:fldCharType="separate"/>
      </w:r>
      <w:r w:rsidR="002747EA" w:rsidRPr="002747EA">
        <w:rPr>
          <w:noProof/>
          <w:vertAlign w:val="superscript"/>
        </w:rPr>
        <w:t>239</w:t>
      </w:r>
      <w:r w:rsidR="00E30F0E">
        <w:fldChar w:fldCharType="end"/>
      </w:r>
    </w:p>
    <w:p w14:paraId="2D9CFA2E" w14:textId="51C2579B" w:rsidR="00A00F48" w:rsidRDefault="003273CA" w:rsidP="005B4719">
      <w:r>
        <w:t xml:space="preserve">There was evidence from </w:t>
      </w:r>
      <w:r w:rsidR="001C597D">
        <w:t>three</w:t>
      </w:r>
      <w:r>
        <w:t xml:space="preserve"> RCTs</w:t>
      </w:r>
      <w:r w:rsidR="00C44F2D">
        <w:t xml:space="preserve"> of a possible reduction </w:t>
      </w:r>
      <w:r w:rsidR="00FF18A6">
        <w:t xml:space="preserve">in </w:t>
      </w:r>
      <w:r w:rsidR="00C44F2D">
        <w:t>Grou</w:t>
      </w:r>
      <w:r w:rsidR="00F777A0">
        <w:t>p B streptococcus colonisation (</w:t>
      </w:r>
      <w:r w:rsidR="00F777A0" w:rsidRPr="00F777A0">
        <w:rPr>
          <w:sz w:val="16"/>
          <w:szCs w:val="16"/>
        </w:rPr>
        <w:t>RR</w:t>
      </w:r>
      <w:r w:rsidR="00C370FB">
        <w:rPr>
          <w:sz w:val="16"/>
          <w:szCs w:val="16"/>
        </w:rPr>
        <w:t> </w:t>
      </w:r>
      <w:r w:rsidR="001C597D">
        <w:rPr>
          <w:sz w:val="16"/>
          <w:szCs w:val="16"/>
        </w:rPr>
        <w:t>0.76; 95%CI 0.61 to 0.97</w:t>
      </w:r>
      <w:r w:rsidR="00F777A0" w:rsidRPr="00F777A0">
        <w:rPr>
          <w:sz w:val="16"/>
          <w:szCs w:val="16"/>
        </w:rPr>
        <w:t>; n=2</w:t>
      </w:r>
      <w:r w:rsidR="001C597D">
        <w:rPr>
          <w:sz w:val="16"/>
          <w:szCs w:val="16"/>
        </w:rPr>
        <w:t>44</w:t>
      </w:r>
      <w:r w:rsidR="00D676D7">
        <w:rPr>
          <w:sz w:val="16"/>
          <w:szCs w:val="16"/>
        </w:rPr>
        <w:t xml:space="preserve">; </w:t>
      </w:r>
      <w:r w:rsidR="00972D05">
        <w:rPr>
          <w:sz w:val="16"/>
          <w:szCs w:val="16"/>
        </w:rPr>
        <w:t xml:space="preserve">very </w:t>
      </w:r>
      <w:r w:rsidR="00A00F48">
        <w:rPr>
          <w:sz w:val="16"/>
          <w:szCs w:val="16"/>
        </w:rPr>
        <w:t xml:space="preserve">low </w:t>
      </w:r>
      <w:r w:rsidR="00FB2A6C">
        <w:rPr>
          <w:sz w:val="16"/>
          <w:szCs w:val="16"/>
        </w:rPr>
        <w:t>certainty</w:t>
      </w:r>
      <w:r w:rsidR="00A00F48">
        <w:rPr>
          <w:sz w:val="16"/>
          <w:szCs w:val="16"/>
        </w:rPr>
        <w:t xml:space="preserve">; </w:t>
      </w:r>
      <w:r w:rsidR="00D676D7">
        <w:rPr>
          <w:sz w:val="16"/>
          <w:szCs w:val="16"/>
        </w:rPr>
        <w:t xml:space="preserve">analysis 1.5; page </w:t>
      </w:r>
      <w:r w:rsidR="00D676D7">
        <w:rPr>
          <w:sz w:val="16"/>
          <w:szCs w:val="16"/>
        </w:rPr>
        <w:fldChar w:fldCharType="begin"/>
      </w:r>
      <w:r w:rsidR="00D676D7">
        <w:rPr>
          <w:sz w:val="16"/>
          <w:szCs w:val="16"/>
        </w:rPr>
        <w:instrText xml:space="preserve"> PAGEREF _Ref32819630 \h </w:instrText>
      </w:r>
      <w:r w:rsidR="00D676D7">
        <w:rPr>
          <w:sz w:val="16"/>
          <w:szCs w:val="16"/>
        </w:rPr>
      </w:r>
      <w:r w:rsidR="00D676D7">
        <w:rPr>
          <w:sz w:val="16"/>
          <w:szCs w:val="16"/>
        </w:rPr>
        <w:fldChar w:fldCharType="separate"/>
      </w:r>
      <w:r w:rsidR="00BA7CBD">
        <w:rPr>
          <w:noProof/>
          <w:sz w:val="16"/>
          <w:szCs w:val="16"/>
        </w:rPr>
        <w:t>409</w:t>
      </w:r>
      <w:r w:rsidR="00D676D7">
        <w:rPr>
          <w:sz w:val="16"/>
          <w:szCs w:val="16"/>
        </w:rPr>
        <w:fldChar w:fldCharType="end"/>
      </w:r>
      <w:r w:rsidR="00F777A0">
        <w:t>).</w:t>
      </w:r>
      <w:r w:rsidR="00DF23E5">
        <w:t xml:space="preserve"> </w:t>
      </w:r>
      <w:r w:rsidR="00A00F48">
        <w:t>There was evidence of a possible reduction in risk of gestational diabetes (</w:t>
      </w:r>
      <w:r w:rsidR="00A00F48">
        <w:rPr>
          <w:sz w:val="16"/>
          <w:szCs w:val="16"/>
        </w:rPr>
        <w:t>RR 0.87</w:t>
      </w:r>
      <w:r w:rsidR="00A00F48" w:rsidRPr="00F777A0">
        <w:rPr>
          <w:sz w:val="16"/>
          <w:szCs w:val="16"/>
        </w:rPr>
        <w:t>; 95%CI 0.</w:t>
      </w:r>
      <w:r w:rsidR="00A00F48">
        <w:rPr>
          <w:sz w:val="16"/>
          <w:szCs w:val="16"/>
        </w:rPr>
        <w:t>71</w:t>
      </w:r>
      <w:r w:rsidR="00A00F48" w:rsidRPr="00F777A0">
        <w:rPr>
          <w:sz w:val="16"/>
          <w:szCs w:val="16"/>
        </w:rPr>
        <w:t xml:space="preserve"> to 1.0</w:t>
      </w:r>
      <w:r w:rsidR="00A00F48">
        <w:rPr>
          <w:sz w:val="16"/>
          <w:szCs w:val="16"/>
        </w:rPr>
        <w:t>8; 8</w:t>
      </w:r>
      <w:r w:rsidR="00A00F48" w:rsidRPr="00F777A0">
        <w:rPr>
          <w:sz w:val="16"/>
          <w:szCs w:val="16"/>
        </w:rPr>
        <w:t xml:space="preserve"> </w:t>
      </w:r>
      <w:r w:rsidR="00A00F48">
        <w:rPr>
          <w:sz w:val="16"/>
          <w:szCs w:val="16"/>
        </w:rPr>
        <w:t>RCTs</w:t>
      </w:r>
      <w:r w:rsidR="00A00F48" w:rsidRPr="00F777A0">
        <w:rPr>
          <w:sz w:val="16"/>
          <w:szCs w:val="16"/>
        </w:rPr>
        <w:t>; n=1,</w:t>
      </w:r>
      <w:r w:rsidR="00A00F48">
        <w:rPr>
          <w:sz w:val="16"/>
          <w:szCs w:val="16"/>
        </w:rPr>
        <w:t xml:space="preserve">722; very low </w:t>
      </w:r>
      <w:r w:rsidR="00FB2A6C">
        <w:rPr>
          <w:sz w:val="16"/>
          <w:szCs w:val="16"/>
        </w:rPr>
        <w:t>certainty</w:t>
      </w:r>
      <w:r w:rsidR="00A00F48">
        <w:rPr>
          <w:sz w:val="16"/>
          <w:szCs w:val="16"/>
        </w:rPr>
        <w:t xml:space="preserve">; analysis 1.1; page </w:t>
      </w:r>
      <w:r w:rsidR="00A00F48">
        <w:rPr>
          <w:sz w:val="16"/>
          <w:szCs w:val="16"/>
        </w:rPr>
        <w:fldChar w:fldCharType="begin"/>
      </w:r>
      <w:r w:rsidR="00A00F48">
        <w:rPr>
          <w:sz w:val="16"/>
          <w:szCs w:val="16"/>
        </w:rPr>
        <w:instrText xml:space="preserve"> PAGEREF _Ref32819065 \h </w:instrText>
      </w:r>
      <w:r w:rsidR="00A00F48">
        <w:rPr>
          <w:sz w:val="16"/>
          <w:szCs w:val="16"/>
        </w:rPr>
      </w:r>
      <w:r w:rsidR="00A00F48">
        <w:rPr>
          <w:sz w:val="16"/>
          <w:szCs w:val="16"/>
        </w:rPr>
        <w:fldChar w:fldCharType="separate"/>
      </w:r>
      <w:r w:rsidR="00BA7CBD">
        <w:rPr>
          <w:noProof/>
          <w:sz w:val="16"/>
          <w:szCs w:val="16"/>
        </w:rPr>
        <w:t>408</w:t>
      </w:r>
      <w:r w:rsidR="00A00F48">
        <w:rPr>
          <w:sz w:val="16"/>
          <w:szCs w:val="16"/>
        </w:rPr>
        <w:fldChar w:fldCharType="end"/>
      </w:r>
      <w:r w:rsidR="00A00F48">
        <w:t>) and caesarean section (</w:t>
      </w:r>
      <w:r w:rsidR="00A00F48" w:rsidRPr="00F777A0">
        <w:rPr>
          <w:sz w:val="16"/>
          <w:szCs w:val="16"/>
        </w:rPr>
        <w:t>RR</w:t>
      </w:r>
      <w:r w:rsidR="00A00F48">
        <w:rPr>
          <w:sz w:val="16"/>
          <w:szCs w:val="16"/>
        </w:rPr>
        <w:t xml:space="preserve"> 0.92</w:t>
      </w:r>
      <w:r w:rsidR="00A00F48" w:rsidRPr="00F777A0">
        <w:rPr>
          <w:sz w:val="16"/>
          <w:szCs w:val="16"/>
        </w:rPr>
        <w:t>; 95%CI 0.</w:t>
      </w:r>
      <w:r w:rsidR="00A00F48">
        <w:rPr>
          <w:sz w:val="16"/>
          <w:szCs w:val="16"/>
        </w:rPr>
        <w:t>81</w:t>
      </w:r>
      <w:r w:rsidR="00A00F48" w:rsidRPr="00F777A0">
        <w:rPr>
          <w:sz w:val="16"/>
          <w:szCs w:val="16"/>
        </w:rPr>
        <w:t xml:space="preserve"> to 1</w:t>
      </w:r>
      <w:r w:rsidR="00A00F48">
        <w:rPr>
          <w:sz w:val="16"/>
          <w:szCs w:val="16"/>
        </w:rPr>
        <w:t>.05; 15</w:t>
      </w:r>
      <w:r w:rsidR="00A00F48" w:rsidRPr="00F777A0">
        <w:rPr>
          <w:sz w:val="16"/>
          <w:szCs w:val="16"/>
        </w:rPr>
        <w:t xml:space="preserve"> RCTs; n=</w:t>
      </w:r>
      <w:r w:rsidR="00A00F48">
        <w:rPr>
          <w:sz w:val="16"/>
          <w:szCs w:val="16"/>
        </w:rPr>
        <w:t xml:space="preserve">2,650; low </w:t>
      </w:r>
      <w:r w:rsidR="00FB2A6C">
        <w:rPr>
          <w:sz w:val="16"/>
          <w:szCs w:val="16"/>
        </w:rPr>
        <w:t>certainty</w:t>
      </w:r>
      <w:r w:rsidR="00A00F48">
        <w:rPr>
          <w:sz w:val="16"/>
          <w:szCs w:val="16"/>
        </w:rPr>
        <w:t xml:space="preserve">; analysis 1.6; page </w:t>
      </w:r>
      <w:r w:rsidR="00A00F48">
        <w:rPr>
          <w:sz w:val="16"/>
          <w:szCs w:val="16"/>
        </w:rPr>
        <w:fldChar w:fldCharType="begin"/>
      </w:r>
      <w:r w:rsidR="00A00F48">
        <w:rPr>
          <w:sz w:val="16"/>
          <w:szCs w:val="16"/>
        </w:rPr>
        <w:instrText xml:space="preserve"> PAGEREF _Ref32819328 \h </w:instrText>
      </w:r>
      <w:r w:rsidR="00A00F48">
        <w:rPr>
          <w:sz w:val="16"/>
          <w:szCs w:val="16"/>
        </w:rPr>
      </w:r>
      <w:r w:rsidR="00A00F48">
        <w:rPr>
          <w:sz w:val="16"/>
          <w:szCs w:val="16"/>
        </w:rPr>
        <w:fldChar w:fldCharType="separate"/>
      </w:r>
      <w:r w:rsidR="00BA7CBD">
        <w:rPr>
          <w:noProof/>
          <w:sz w:val="16"/>
          <w:szCs w:val="16"/>
        </w:rPr>
        <w:t>409</w:t>
      </w:r>
      <w:r w:rsidR="00A00F48">
        <w:rPr>
          <w:sz w:val="16"/>
          <w:szCs w:val="16"/>
        </w:rPr>
        <w:fldChar w:fldCharType="end"/>
      </w:r>
      <w:r w:rsidR="00A00F48">
        <w:t>).</w:t>
      </w:r>
    </w:p>
    <w:p w14:paraId="1FE4F312" w14:textId="7A367041" w:rsidR="005F06F2" w:rsidRDefault="00CF53A1" w:rsidP="005B4719">
      <w:r>
        <w:t>There was</w:t>
      </w:r>
      <w:r w:rsidR="00DF23E5">
        <w:t xml:space="preserve"> no clear difference in risk </w:t>
      </w:r>
      <w:r>
        <w:t>of</w:t>
      </w:r>
      <w:r w:rsidR="00DF23E5">
        <w:t>:</w:t>
      </w:r>
    </w:p>
    <w:p w14:paraId="6B91B551" w14:textId="680B0A0F" w:rsidR="00A71BDF" w:rsidRDefault="00A71BDF" w:rsidP="00A71BDF">
      <w:pPr>
        <w:pStyle w:val="bullet"/>
      </w:pPr>
      <w:r>
        <w:t>gestational hypertension (</w:t>
      </w:r>
      <w:r w:rsidR="00B35A96">
        <w:rPr>
          <w:sz w:val="16"/>
          <w:szCs w:val="16"/>
        </w:rPr>
        <w:t>RR 1.2</w:t>
      </w:r>
      <w:r w:rsidR="00F95F5D">
        <w:rPr>
          <w:sz w:val="16"/>
          <w:szCs w:val="16"/>
        </w:rPr>
        <w:t>4; 95%CI 0.74</w:t>
      </w:r>
      <w:r w:rsidRPr="00F777A0">
        <w:rPr>
          <w:sz w:val="16"/>
          <w:szCs w:val="16"/>
        </w:rPr>
        <w:t xml:space="preserve"> to 2.</w:t>
      </w:r>
      <w:r w:rsidR="00F95F5D">
        <w:rPr>
          <w:sz w:val="16"/>
          <w:szCs w:val="16"/>
        </w:rPr>
        <w:t>0</w:t>
      </w:r>
      <w:r w:rsidR="00B35A96">
        <w:rPr>
          <w:sz w:val="16"/>
          <w:szCs w:val="16"/>
        </w:rPr>
        <w:t>6; 4</w:t>
      </w:r>
      <w:r w:rsidRPr="00F777A0">
        <w:rPr>
          <w:sz w:val="16"/>
          <w:szCs w:val="16"/>
        </w:rPr>
        <w:t xml:space="preserve"> RCTs; n=</w:t>
      </w:r>
      <w:r w:rsidR="00B35A96">
        <w:rPr>
          <w:sz w:val="16"/>
          <w:szCs w:val="16"/>
        </w:rPr>
        <w:t>955</w:t>
      </w:r>
      <w:r w:rsidR="00C370FB">
        <w:rPr>
          <w:sz w:val="16"/>
          <w:szCs w:val="16"/>
        </w:rPr>
        <w:t xml:space="preserve">; </w:t>
      </w:r>
      <w:r w:rsidR="00A00F48">
        <w:rPr>
          <w:sz w:val="16"/>
          <w:szCs w:val="16"/>
        </w:rPr>
        <w:t xml:space="preserve">very low </w:t>
      </w:r>
      <w:r w:rsidR="00FB2A6C">
        <w:rPr>
          <w:sz w:val="16"/>
          <w:szCs w:val="16"/>
        </w:rPr>
        <w:t>certainty</w:t>
      </w:r>
      <w:r w:rsidR="00A00F48">
        <w:rPr>
          <w:sz w:val="16"/>
          <w:szCs w:val="16"/>
        </w:rPr>
        <w:t xml:space="preserve">; </w:t>
      </w:r>
      <w:r w:rsidR="00C370FB">
        <w:rPr>
          <w:sz w:val="16"/>
          <w:szCs w:val="16"/>
        </w:rPr>
        <w:t xml:space="preserve">analysis 1.2; page </w:t>
      </w:r>
      <w:r w:rsidR="00C370FB">
        <w:rPr>
          <w:sz w:val="16"/>
          <w:szCs w:val="16"/>
        </w:rPr>
        <w:fldChar w:fldCharType="begin"/>
      </w:r>
      <w:r w:rsidR="00C370FB">
        <w:rPr>
          <w:sz w:val="16"/>
          <w:szCs w:val="16"/>
        </w:rPr>
        <w:instrText xml:space="preserve"> PAGEREF _Ref32819098 \h </w:instrText>
      </w:r>
      <w:r w:rsidR="00C370FB">
        <w:rPr>
          <w:sz w:val="16"/>
          <w:szCs w:val="16"/>
        </w:rPr>
      </w:r>
      <w:r w:rsidR="00C370FB">
        <w:rPr>
          <w:sz w:val="16"/>
          <w:szCs w:val="16"/>
        </w:rPr>
        <w:fldChar w:fldCharType="separate"/>
      </w:r>
      <w:r w:rsidR="00BA7CBD">
        <w:rPr>
          <w:noProof/>
          <w:sz w:val="16"/>
          <w:szCs w:val="16"/>
        </w:rPr>
        <w:t>408</w:t>
      </w:r>
      <w:r w:rsidR="00C370FB">
        <w:rPr>
          <w:sz w:val="16"/>
          <w:szCs w:val="16"/>
        </w:rPr>
        <w:fldChar w:fldCharType="end"/>
      </w:r>
      <w:r>
        <w:t>)</w:t>
      </w:r>
    </w:p>
    <w:p w14:paraId="72DC1013" w14:textId="7E396ACE" w:rsidR="00A71BDF" w:rsidRDefault="00A71BDF" w:rsidP="00A71BDF">
      <w:pPr>
        <w:pStyle w:val="bullet"/>
      </w:pPr>
      <w:r>
        <w:t>pre-eclampsia (</w:t>
      </w:r>
      <w:r w:rsidRPr="00F777A0">
        <w:rPr>
          <w:sz w:val="16"/>
          <w:szCs w:val="16"/>
        </w:rPr>
        <w:t>RR 1.88; 95%CI 0.96 to 3.71; 2 RCTs; n=598</w:t>
      </w:r>
      <w:r w:rsidR="00C370FB">
        <w:rPr>
          <w:sz w:val="16"/>
          <w:szCs w:val="16"/>
        </w:rPr>
        <w:t xml:space="preserve">; </w:t>
      </w:r>
      <w:r w:rsidR="00A00F48">
        <w:rPr>
          <w:sz w:val="16"/>
          <w:szCs w:val="16"/>
        </w:rPr>
        <w:t xml:space="preserve">low </w:t>
      </w:r>
      <w:r w:rsidR="00FB2A6C">
        <w:rPr>
          <w:sz w:val="16"/>
          <w:szCs w:val="16"/>
        </w:rPr>
        <w:t>certainty</w:t>
      </w:r>
      <w:r w:rsidR="00A00F48">
        <w:rPr>
          <w:sz w:val="16"/>
          <w:szCs w:val="16"/>
        </w:rPr>
        <w:t xml:space="preserve">; </w:t>
      </w:r>
      <w:r w:rsidR="00C370FB">
        <w:rPr>
          <w:sz w:val="16"/>
          <w:szCs w:val="16"/>
        </w:rPr>
        <w:t xml:space="preserve">analysis 1.3; page </w:t>
      </w:r>
      <w:r w:rsidR="00C370FB">
        <w:rPr>
          <w:sz w:val="16"/>
          <w:szCs w:val="16"/>
        </w:rPr>
        <w:fldChar w:fldCharType="begin"/>
      </w:r>
      <w:r w:rsidR="00C370FB">
        <w:rPr>
          <w:sz w:val="16"/>
          <w:szCs w:val="16"/>
        </w:rPr>
        <w:instrText xml:space="preserve"> PAGEREF _Ref32819223 \h </w:instrText>
      </w:r>
      <w:r w:rsidR="00C370FB">
        <w:rPr>
          <w:sz w:val="16"/>
          <w:szCs w:val="16"/>
        </w:rPr>
      </w:r>
      <w:r w:rsidR="00C370FB">
        <w:rPr>
          <w:sz w:val="16"/>
          <w:szCs w:val="16"/>
        </w:rPr>
        <w:fldChar w:fldCharType="separate"/>
      </w:r>
      <w:r w:rsidR="00BA7CBD">
        <w:rPr>
          <w:noProof/>
          <w:sz w:val="16"/>
          <w:szCs w:val="16"/>
        </w:rPr>
        <w:t>408</w:t>
      </w:r>
      <w:r w:rsidR="00C370FB">
        <w:rPr>
          <w:sz w:val="16"/>
          <w:szCs w:val="16"/>
        </w:rPr>
        <w:fldChar w:fldCharType="end"/>
      </w:r>
      <w:r>
        <w:t>)</w:t>
      </w:r>
    </w:p>
    <w:p w14:paraId="7F619B77" w14:textId="10661A48" w:rsidR="00A71BDF" w:rsidRDefault="00A71BDF" w:rsidP="00A71BDF">
      <w:pPr>
        <w:pStyle w:val="bullet"/>
      </w:pPr>
      <w:r>
        <w:t>bacterial vaginosis (</w:t>
      </w:r>
      <w:r w:rsidRPr="00F777A0">
        <w:rPr>
          <w:sz w:val="16"/>
          <w:szCs w:val="16"/>
        </w:rPr>
        <w:t>RR 1.73; 95%CI 0.89 to 3.38; 2 RCTs; n=509</w:t>
      </w:r>
      <w:r w:rsidR="00C370FB">
        <w:rPr>
          <w:sz w:val="16"/>
          <w:szCs w:val="16"/>
        </w:rPr>
        <w:t xml:space="preserve">; </w:t>
      </w:r>
      <w:r w:rsidR="00A00F48">
        <w:rPr>
          <w:sz w:val="16"/>
          <w:szCs w:val="16"/>
        </w:rPr>
        <w:t xml:space="preserve">low </w:t>
      </w:r>
      <w:r w:rsidR="00FB2A6C">
        <w:rPr>
          <w:sz w:val="16"/>
          <w:szCs w:val="16"/>
        </w:rPr>
        <w:t>certainty</w:t>
      </w:r>
      <w:r w:rsidR="00A00F48">
        <w:rPr>
          <w:sz w:val="16"/>
          <w:szCs w:val="16"/>
        </w:rPr>
        <w:t xml:space="preserve">; </w:t>
      </w:r>
      <w:r w:rsidR="00C370FB">
        <w:rPr>
          <w:sz w:val="16"/>
          <w:szCs w:val="16"/>
        </w:rPr>
        <w:t>anal</w:t>
      </w:r>
      <w:r w:rsidR="00D676D7">
        <w:rPr>
          <w:sz w:val="16"/>
          <w:szCs w:val="16"/>
        </w:rPr>
        <w:t xml:space="preserve">ysis 1.4; page </w:t>
      </w:r>
      <w:r w:rsidR="00D676D7">
        <w:rPr>
          <w:sz w:val="16"/>
          <w:szCs w:val="16"/>
        </w:rPr>
        <w:fldChar w:fldCharType="begin"/>
      </w:r>
      <w:r w:rsidR="00D676D7">
        <w:rPr>
          <w:sz w:val="16"/>
          <w:szCs w:val="16"/>
        </w:rPr>
        <w:instrText xml:space="preserve"> PAGEREF _Ref32819293 \h </w:instrText>
      </w:r>
      <w:r w:rsidR="00D676D7">
        <w:rPr>
          <w:sz w:val="16"/>
          <w:szCs w:val="16"/>
        </w:rPr>
      </w:r>
      <w:r w:rsidR="00D676D7">
        <w:rPr>
          <w:sz w:val="16"/>
          <w:szCs w:val="16"/>
        </w:rPr>
        <w:fldChar w:fldCharType="separate"/>
      </w:r>
      <w:r w:rsidR="00BA7CBD">
        <w:rPr>
          <w:noProof/>
          <w:sz w:val="16"/>
          <w:szCs w:val="16"/>
        </w:rPr>
        <w:t>409</w:t>
      </w:r>
      <w:r w:rsidR="00D676D7">
        <w:rPr>
          <w:sz w:val="16"/>
          <w:szCs w:val="16"/>
        </w:rPr>
        <w:fldChar w:fldCharType="end"/>
      </w:r>
      <w:r>
        <w:t>)</w:t>
      </w:r>
    </w:p>
    <w:p w14:paraId="61F5B337" w14:textId="16E867E8" w:rsidR="00A71BDF" w:rsidRDefault="00A71BDF" w:rsidP="00A71BDF">
      <w:pPr>
        <w:pStyle w:val="bullet"/>
      </w:pPr>
      <w:r>
        <w:t>perinatal death (</w:t>
      </w:r>
      <w:r w:rsidRPr="00F777A0">
        <w:rPr>
          <w:sz w:val="16"/>
          <w:szCs w:val="16"/>
        </w:rPr>
        <w:t>RR 1.17; 95%CI 0.62 to 2.24; 6 RCTs; n=1,670</w:t>
      </w:r>
      <w:r w:rsidR="00D676D7">
        <w:rPr>
          <w:sz w:val="16"/>
          <w:szCs w:val="16"/>
        </w:rPr>
        <w:t xml:space="preserve">; </w:t>
      </w:r>
      <w:r w:rsidR="00A00F48">
        <w:rPr>
          <w:sz w:val="16"/>
          <w:szCs w:val="16"/>
        </w:rPr>
        <w:t xml:space="preserve">low </w:t>
      </w:r>
      <w:r w:rsidR="00FB2A6C">
        <w:rPr>
          <w:sz w:val="16"/>
          <w:szCs w:val="16"/>
        </w:rPr>
        <w:t>certainty</w:t>
      </w:r>
      <w:r w:rsidR="00A00F48">
        <w:rPr>
          <w:sz w:val="16"/>
          <w:szCs w:val="16"/>
        </w:rPr>
        <w:t xml:space="preserve">; </w:t>
      </w:r>
      <w:r w:rsidR="00D676D7">
        <w:rPr>
          <w:sz w:val="16"/>
          <w:szCs w:val="16"/>
        </w:rPr>
        <w:t xml:space="preserve">analysis 1.7; page </w:t>
      </w:r>
      <w:r w:rsidR="00D676D7">
        <w:rPr>
          <w:sz w:val="16"/>
          <w:szCs w:val="16"/>
        </w:rPr>
        <w:fldChar w:fldCharType="begin"/>
      </w:r>
      <w:r w:rsidR="00D676D7">
        <w:rPr>
          <w:sz w:val="16"/>
          <w:szCs w:val="16"/>
        </w:rPr>
        <w:instrText xml:space="preserve"> PAGEREF _Ref32819360 \h </w:instrText>
      </w:r>
      <w:r w:rsidR="00D676D7">
        <w:rPr>
          <w:sz w:val="16"/>
          <w:szCs w:val="16"/>
        </w:rPr>
      </w:r>
      <w:r w:rsidR="00D676D7">
        <w:rPr>
          <w:sz w:val="16"/>
          <w:szCs w:val="16"/>
        </w:rPr>
        <w:fldChar w:fldCharType="separate"/>
      </w:r>
      <w:r w:rsidR="00BA7CBD">
        <w:rPr>
          <w:noProof/>
          <w:sz w:val="16"/>
          <w:szCs w:val="16"/>
        </w:rPr>
        <w:t>410</w:t>
      </w:r>
      <w:r w:rsidR="00D676D7">
        <w:rPr>
          <w:sz w:val="16"/>
          <w:szCs w:val="16"/>
        </w:rPr>
        <w:fldChar w:fldCharType="end"/>
      </w:r>
      <w:r>
        <w:t>)</w:t>
      </w:r>
    </w:p>
    <w:p w14:paraId="1EE7FE46" w14:textId="70793F70" w:rsidR="00CF53A1" w:rsidRDefault="00CF53A1" w:rsidP="00A71BDF">
      <w:pPr>
        <w:pStyle w:val="bullet"/>
      </w:pPr>
      <w:r>
        <w:t>preterm birth &lt;37 weeks (</w:t>
      </w:r>
      <w:r w:rsidRPr="00F777A0">
        <w:rPr>
          <w:sz w:val="16"/>
          <w:szCs w:val="16"/>
        </w:rPr>
        <w:t>RR 1.10; 95%CI 0.81 to 1.50; 16 RCTs; n=3,671</w:t>
      </w:r>
      <w:r w:rsidR="00D676D7">
        <w:rPr>
          <w:sz w:val="16"/>
          <w:szCs w:val="16"/>
        </w:rPr>
        <w:t xml:space="preserve">; </w:t>
      </w:r>
      <w:r w:rsidR="00A00F48">
        <w:rPr>
          <w:sz w:val="16"/>
          <w:szCs w:val="16"/>
        </w:rPr>
        <w:t xml:space="preserve">low </w:t>
      </w:r>
      <w:r w:rsidR="00FB2A6C">
        <w:rPr>
          <w:sz w:val="16"/>
          <w:szCs w:val="16"/>
        </w:rPr>
        <w:t>certainty</w:t>
      </w:r>
      <w:r w:rsidR="00A00F48">
        <w:rPr>
          <w:sz w:val="16"/>
          <w:szCs w:val="16"/>
        </w:rPr>
        <w:t xml:space="preserve">; </w:t>
      </w:r>
      <w:r w:rsidR="00D676D7">
        <w:rPr>
          <w:sz w:val="16"/>
          <w:szCs w:val="16"/>
        </w:rPr>
        <w:t xml:space="preserve">analysis 1.8; page </w:t>
      </w:r>
      <w:r w:rsidR="00D676D7">
        <w:rPr>
          <w:sz w:val="16"/>
          <w:szCs w:val="16"/>
        </w:rPr>
        <w:fldChar w:fldCharType="begin"/>
      </w:r>
      <w:r w:rsidR="00D676D7">
        <w:rPr>
          <w:sz w:val="16"/>
          <w:szCs w:val="16"/>
        </w:rPr>
        <w:instrText xml:space="preserve"> PAGEREF _Ref32819392 \h </w:instrText>
      </w:r>
      <w:r w:rsidR="00D676D7">
        <w:rPr>
          <w:sz w:val="16"/>
          <w:szCs w:val="16"/>
        </w:rPr>
      </w:r>
      <w:r w:rsidR="00D676D7">
        <w:rPr>
          <w:sz w:val="16"/>
          <w:szCs w:val="16"/>
        </w:rPr>
        <w:fldChar w:fldCharType="separate"/>
      </w:r>
      <w:r w:rsidR="00BA7CBD">
        <w:rPr>
          <w:noProof/>
          <w:sz w:val="16"/>
          <w:szCs w:val="16"/>
        </w:rPr>
        <w:t>410</w:t>
      </w:r>
      <w:r w:rsidR="00D676D7">
        <w:rPr>
          <w:sz w:val="16"/>
          <w:szCs w:val="16"/>
        </w:rPr>
        <w:fldChar w:fldCharType="end"/>
      </w:r>
      <w:r>
        <w:t>)</w:t>
      </w:r>
    </w:p>
    <w:p w14:paraId="4CC23A4D" w14:textId="34C21770" w:rsidR="007C24E4" w:rsidRDefault="007C24E4" w:rsidP="007C24E4">
      <w:pPr>
        <w:pStyle w:val="bullet"/>
      </w:pPr>
      <w:r>
        <w:t>small for gestational age (</w:t>
      </w:r>
      <w:r w:rsidRPr="007C24E4">
        <w:rPr>
          <w:sz w:val="16"/>
          <w:szCs w:val="16"/>
        </w:rPr>
        <w:t>RR 1.04; 95%CI 0.55 to 1.94; 3 RCTs; n=318</w:t>
      </w:r>
      <w:r w:rsidR="00D676D7">
        <w:rPr>
          <w:sz w:val="16"/>
          <w:szCs w:val="16"/>
        </w:rPr>
        <w:t xml:space="preserve">; </w:t>
      </w:r>
      <w:r w:rsidR="00A00F48">
        <w:rPr>
          <w:sz w:val="16"/>
          <w:szCs w:val="16"/>
        </w:rPr>
        <w:t xml:space="preserve">very low </w:t>
      </w:r>
      <w:r w:rsidR="00FB2A6C">
        <w:rPr>
          <w:sz w:val="16"/>
          <w:szCs w:val="16"/>
        </w:rPr>
        <w:t>certainty</w:t>
      </w:r>
      <w:r w:rsidR="00A00F48">
        <w:rPr>
          <w:sz w:val="16"/>
          <w:szCs w:val="16"/>
        </w:rPr>
        <w:t xml:space="preserve">; </w:t>
      </w:r>
      <w:r w:rsidR="00D676D7">
        <w:rPr>
          <w:sz w:val="16"/>
          <w:szCs w:val="16"/>
        </w:rPr>
        <w:t xml:space="preserve">analysis 1.9; page </w:t>
      </w:r>
      <w:r w:rsidR="00D676D7">
        <w:rPr>
          <w:sz w:val="16"/>
          <w:szCs w:val="16"/>
        </w:rPr>
        <w:fldChar w:fldCharType="begin"/>
      </w:r>
      <w:r w:rsidR="00D676D7">
        <w:rPr>
          <w:sz w:val="16"/>
          <w:szCs w:val="16"/>
        </w:rPr>
        <w:instrText xml:space="preserve"> PAGEREF _Ref32819423 \h </w:instrText>
      </w:r>
      <w:r w:rsidR="00D676D7">
        <w:rPr>
          <w:sz w:val="16"/>
          <w:szCs w:val="16"/>
        </w:rPr>
      </w:r>
      <w:r w:rsidR="00D676D7">
        <w:rPr>
          <w:sz w:val="16"/>
          <w:szCs w:val="16"/>
        </w:rPr>
        <w:fldChar w:fldCharType="separate"/>
      </w:r>
      <w:r w:rsidR="00BA7CBD">
        <w:rPr>
          <w:noProof/>
          <w:sz w:val="16"/>
          <w:szCs w:val="16"/>
        </w:rPr>
        <w:t>410</w:t>
      </w:r>
      <w:r w:rsidR="00D676D7">
        <w:rPr>
          <w:sz w:val="16"/>
          <w:szCs w:val="16"/>
        </w:rPr>
        <w:fldChar w:fldCharType="end"/>
      </w:r>
      <w:r>
        <w:t>)</w:t>
      </w:r>
    </w:p>
    <w:p w14:paraId="52436720" w14:textId="39C9074E" w:rsidR="007C24E4" w:rsidRPr="005F06F2" w:rsidRDefault="007C24E4" w:rsidP="007C24E4">
      <w:pPr>
        <w:pStyle w:val="bullet"/>
      </w:pPr>
      <w:r>
        <w:t>large for gestational age (</w:t>
      </w:r>
      <w:r w:rsidRPr="007C24E4">
        <w:rPr>
          <w:sz w:val="16"/>
          <w:szCs w:val="16"/>
        </w:rPr>
        <w:t>RR 0.95; 95%CI 0.47 to 1.93; 3 RCTs; n=316</w:t>
      </w:r>
      <w:r w:rsidR="00D676D7">
        <w:rPr>
          <w:sz w:val="16"/>
          <w:szCs w:val="16"/>
        </w:rPr>
        <w:t xml:space="preserve">; </w:t>
      </w:r>
      <w:r w:rsidR="00A00F48">
        <w:rPr>
          <w:sz w:val="16"/>
          <w:szCs w:val="16"/>
        </w:rPr>
        <w:t xml:space="preserve">low </w:t>
      </w:r>
      <w:r w:rsidR="00FB2A6C">
        <w:rPr>
          <w:sz w:val="16"/>
          <w:szCs w:val="16"/>
        </w:rPr>
        <w:t>certainty</w:t>
      </w:r>
      <w:r w:rsidR="00A00F48">
        <w:rPr>
          <w:sz w:val="16"/>
          <w:szCs w:val="16"/>
        </w:rPr>
        <w:t xml:space="preserve">; </w:t>
      </w:r>
      <w:r w:rsidR="00D676D7">
        <w:rPr>
          <w:sz w:val="16"/>
          <w:szCs w:val="16"/>
        </w:rPr>
        <w:t xml:space="preserve">analysis 1.10; page </w:t>
      </w:r>
      <w:r w:rsidR="00D676D7">
        <w:rPr>
          <w:sz w:val="16"/>
          <w:szCs w:val="16"/>
        </w:rPr>
        <w:fldChar w:fldCharType="begin"/>
      </w:r>
      <w:r w:rsidR="00D676D7">
        <w:rPr>
          <w:sz w:val="16"/>
          <w:szCs w:val="16"/>
        </w:rPr>
        <w:instrText xml:space="preserve"> PAGEREF _Ref32819448 \h </w:instrText>
      </w:r>
      <w:r w:rsidR="00D676D7">
        <w:rPr>
          <w:sz w:val="16"/>
          <w:szCs w:val="16"/>
        </w:rPr>
      </w:r>
      <w:r w:rsidR="00D676D7">
        <w:rPr>
          <w:sz w:val="16"/>
          <w:szCs w:val="16"/>
        </w:rPr>
        <w:fldChar w:fldCharType="separate"/>
      </w:r>
      <w:r w:rsidR="00BA7CBD">
        <w:rPr>
          <w:noProof/>
          <w:sz w:val="16"/>
          <w:szCs w:val="16"/>
        </w:rPr>
        <w:t>411</w:t>
      </w:r>
      <w:r w:rsidR="00D676D7">
        <w:rPr>
          <w:sz w:val="16"/>
          <w:szCs w:val="16"/>
        </w:rPr>
        <w:fldChar w:fldCharType="end"/>
      </w:r>
      <w:r>
        <w:t>)</w:t>
      </w:r>
    </w:p>
    <w:p w14:paraId="225AA8B6" w14:textId="172B0BAA" w:rsidR="00CF53A1" w:rsidRDefault="00CF53A1" w:rsidP="00A71BDF">
      <w:pPr>
        <w:pStyle w:val="bullet"/>
      </w:pPr>
      <w:r>
        <w:t>macrosomia</w:t>
      </w:r>
      <w:r w:rsidR="00B5237F">
        <w:t xml:space="preserve"> (&gt;4,000 g)</w:t>
      </w:r>
      <w:r>
        <w:t xml:space="preserve"> (</w:t>
      </w:r>
      <w:r w:rsidRPr="00F777A0">
        <w:rPr>
          <w:sz w:val="16"/>
          <w:szCs w:val="16"/>
        </w:rPr>
        <w:t>RR 1.0</w:t>
      </w:r>
      <w:r w:rsidR="00B5237F">
        <w:rPr>
          <w:sz w:val="16"/>
          <w:szCs w:val="16"/>
        </w:rPr>
        <w:t>6; 0.85 to 1.33; 7</w:t>
      </w:r>
      <w:r w:rsidRPr="00F777A0">
        <w:rPr>
          <w:sz w:val="16"/>
          <w:szCs w:val="16"/>
        </w:rPr>
        <w:t xml:space="preserve"> RCTs; n=1,</w:t>
      </w:r>
      <w:r w:rsidR="00B5237F">
        <w:rPr>
          <w:sz w:val="16"/>
          <w:szCs w:val="16"/>
        </w:rPr>
        <w:t>407</w:t>
      </w:r>
      <w:r w:rsidR="00D676D7">
        <w:rPr>
          <w:sz w:val="16"/>
          <w:szCs w:val="16"/>
        </w:rPr>
        <w:t xml:space="preserve">; </w:t>
      </w:r>
      <w:r w:rsidR="00A00F48">
        <w:rPr>
          <w:sz w:val="16"/>
          <w:szCs w:val="16"/>
        </w:rPr>
        <w:t xml:space="preserve">low </w:t>
      </w:r>
      <w:r w:rsidR="00FB2A6C">
        <w:rPr>
          <w:sz w:val="16"/>
          <w:szCs w:val="16"/>
        </w:rPr>
        <w:t>certainty</w:t>
      </w:r>
      <w:r w:rsidR="00A00F48">
        <w:rPr>
          <w:sz w:val="16"/>
          <w:szCs w:val="16"/>
        </w:rPr>
        <w:t xml:space="preserve">; </w:t>
      </w:r>
      <w:r w:rsidR="00D676D7">
        <w:rPr>
          <w:sz w:val="16"/>
          <w:szCs w:val="16"/>
        </w:rPr>
        <w:t xml:space="preserve">analysis 1.11; page </w:t>
      </w:r>
      <w:r w:rsidR="00D676D7">
        <w:rPr>
          <w:sz w:val="16"/>
          <w:szCs w:val="16"/>
        </w:rPr>
        <w:fldChar w:fldCharType="begin"/>
      </w:r>
      <w:r w:rsidR="00D676D7">
        <w:rPr>
          <w:sz w:val="16"/>
          <w:szCs w:val="16"/>
        </w:rPr>
        <w:instrText xml:space="preserve"> PAGEREF _Ref32819472 \h </w:instrText>
      </w:r>
      <w:r w:rsidR="00D676D7">
        <w:rPr>
          <w:sz w:val="16"/>
          <w:szCs w:val="16"/>
        </w:rPr>
      </w:r>
      <w:r w:rsidR="00D676D7">
        <w:rPr>
          <w:sz w:val="16"/>
          <w:szCs w:val="16"/>
        </w:rPr>
        <w:fldChar w:fldCharType="separate"/>
      </w:r>
      <w:r w:rsidR="00BA7CBD">
        <w:rPr>
          <w:noProof/>
          <w:sz w:val="16"/>
          <w:szCs w:val="16"/>
        </w:rPr>
        <w:t>411</w:t>
      </w:r>
      <w:r w:rsidR="00D676D7">
        <w:rPr>
          <w:sz w:val="16"/>
          <w:szCs w:val="16"/>
        </w:rPr>
        <w:fldChar w:fldCharType="end"/>
      </w:r>
      <w:r w:rsidR="007C24E4">
        <w:t>).</w:t>
      </w:r>
    </w:p>
    <w:p w14:paraId="18A1C7A3" w14:textId="1428219D" w:rsidR="00D76EA6" w:rsidRDefault="00D76EA6" w:rsidP="00D76EA6">
      <w:r>
        <w:t xml:space="preserve">While many of the studies reported on allergy in the infant, this outcome is not reported here as the infant received </w:t>
      </w:r>
      <w:r w:rsidR="004136C3">
        <w:t>probiotics directly or indirectly in breastmilk.</w:t>
      </w:r>
    </w:p>
    <w:tbl>
      <w:tblPr>
        <w:tblW w:w="5000" w:type="pct"/>
        <w:tblCellMar>
          <w:top w:w="100" w:type="dxa"/>
          <w:left w:w="100" w:type="dxa"/>
          <w:bottom w:w="100" w:type="dxa"/>
          <w:right w:w="100" w:type="dxa"/>
        </w:tblCellMar>
        <w:tblLook w:val="04A0" w:firstRow="1" w:lastRow="0" w:firstColumn="1" w:lastColumn="0" w:noHBand="0" w:noVBand="1"/>
      </w:tblPr>
      <w:tblGrid>
        <w:gridCol w:w="102"/>
        <w:gridCol w:w="1416"/>
        <w:gridCol w:w="1469"/>
        <w:gridCol w:w="1794"/>
        <w:gridCol w:w="1419"/>
        <w:gridCol w:w="1418"/>
        <w:gridCol w:w="1558"/>
        <w:gridCol w:w="89"/>
      </w:tblGrid>
      <w:tr w:rsidR="004D7856" w14:paraId="615D94F4" w14:textId="77777777" w:rsidTr="004D7856">
        <w:trPr>
          <w:cantSplit/>
          <w:tblHeader/>
        </w:trPr>
        <w:tc>
          <w:tcPr>
            <w:tcW w:w="5000" w:type="pct"/>
            <w:gridSpan w:val="8"/>
            <w:tcBorders>
              <w:top w:val="nil"/>
              <w:left w:val="nil"/>
              <w:bottom w:val="nil"/>
              <w:right w:val="nil"/>
            </w:tcBorders>
            <w:hideMark/>
          </w:tcPr>
          <w:p w14:paraId="4CB5467A" w14:textId="0E7BB53B" w:rsidR="004D7856" w:rsidRDefault="004D7856" w:rsidP="004D7856">
            <w:pPr>
              <w:pStyle w:val="Heading4"/>
              <w:pageBreakBefore/>
              <w:spacing w:after="0"/>
              <w:rPr>
                <w:rFonts w:ascii="Arial Narrow" w:eastAsia="Times New Roman" w:hAnsi="Arial Narrow"/>
                <w:sz w:val="16"/>
                <w:szCs w:val="16"/>
              </w:rPr>
            </w:pPr>
            <w:r w:rsidRPr="00BD0F5D">
              <w:t>Summary of findings</w:t>
            </w:r>
          </w:p>
        </w:tc>
      </w:tr>
      <w:tr w:rsidR="004D7856" w:rsidRPr="008D6ABE" w14:paraId="270D51A4" w14:textId="77777777" w:rsidTr="004D7856">
        <w:trPr>
          <w:gridBefore w:val="1"/>
          <w:gridAfter w:val="1"/>
          <w:wBefore w:w="55" w:type="pct"/>
          <w:wAfter w:w="48" w:type="pct"/>
          <w:cantSplit/>
          <w:tblHeader/>
        </w:trPr>
        <w:tc>
          <w:tcPr>
            <w:tcW w:w="4897" w:type="pct"/>
            <w:gridSpan w:val="6"/>
            <w:tcBorders>
              <w:top w:val="single" w:sz="12" w:space="0" w:color="000000"/>
              <w:left w:val="nil"/>
              <w:bottom w:val="single" w:sz="12" w:space="0" w:color="000000"/>
              <w:right w:val="nil"/>
            </w:tcBorders>
            <w:vAlign w:val="center"/>
            <w:hideMark/>
          </w:tcPr>
          <w:p w14:paraId="790745CA" w14:textId="71FFD9BB" w:rsidR="004D7856" w:rsidRPr="008D6ABE" w:rsidRDefault="004D7856" w:rsidP="004D7856">
            <w:pPr>
              <w:pStyle w:val="Heading5"/>
            </w:pPr>
            <w:r w:rsidRPr="008D6ABE">
              <w:t xml:space="preserve">Probiotics compared to placebo </w:t>
            </w:r>
            <w:r>
              <w:t>during pregnancy — maternal outcomes</w:t>
            </w:r>
          </w:p>
        </w:tc>
      </w:tr>
      <w:tr w:rsidR="004D7856" w14:paraId="186C450C" w14:textId="77777777" w:rsidTr="004D7856">
        <w:trPr>
          <w:gridBefore w:val="1"/>
          <w:gridAfter w:val="1"/>
          <w:wBefore w:w="55" w:type="pct"/>
          <w:wAfter w:w="48" w:type="pct"/>
          <w:cantSplit/>
          <w:tblHeader/>
        </w:trPr>
        <w:tc>
          <w:tcPr>
            <w:tcW w:w="4897" w:type="pct"/>
            <w:gridSpan w:val="6"/>
            <w:tcBorders>
              <w:top w:val="single" w:sz="12" w:space="0" w:color="000000"/>
              <w:left w:val="nil"/>
              <w:bottom w:val="single" w:sz="12" w:space="0" w:color="000000"/>
              <w:right w:val="nil"/>
            </w:tcBorders>
            <w:vAlign w:val="center"/>
            <w:hideMark/>
          </w:tcPr>
          <w:p w14:paraId="0D1EF62F" w14:textId="77777777" w:rsidR="004D7856" w:rsidRPr="00E177BD" w:rsidRDefault="004D7856" w:rsidP="006429D8">
            <w:pPr>
              <w:spacing w:line="240" w:lineRule="auto"/>
              <w:rPr>
                <w:rFonts w:ascii="Arial Narrow" w:eastAsia="Times New Roman" w:hAnsi="Arial Narrow"/>
                <w:b/>
                <w:bCs/>
                <w:sz w:val="16"/>
                <w:szCs w:val="16"/>
              </w:rPr>
            </w:pPr>
            <w:r>
              <w:rPr>
                <w:rFonts w:ascii="Arial Narrow" w:eastAsia="Times New Roman" w:hAnsi="Arial Narrow"/>
                <w:b/>
                <w:bCs/>
                <w:sz w:val="16"/>
                <w:szCs w:val="16"/>
              </w:rPr>
              <w:t>P</w:t>
            </w:r>
            <w:r w:rsidRPr="00E177BD">
              <w:rPr>
                <w:rFonts w:ascii="Arial Narrow" w:eastAsia="Times New Roman" w:hAnsi="Arial Narrow"/>
                <w:b/>
                <w:bCs/>
                <w:sz w:val="16"/>
                <w:szCs w:val="16"/>
              </w:rPr>
              <w:t xml:space="preserve">atient or population: </w:t>
            </w:r>
            <w:r w:rsidRPr="00E177BD">
              <w:rPr>
                <w:rFonts w:ascii="Arial Narrow" w:eastAsia="Times New Roman" w:hAnsi="Arial Narrow"/>
                <w:bCs/>
                <w:sz w:val="16"/>
                <w:szCs w:val="16"/>
              </w:rPr>
              <w:t xml:space="preserve">Pregnant women </w:t>
            </w:r>
          </w:p>
          <w:p w14:paraId="77D72F47" w14:textId="77777777" w:rsidR="004D7856" w:rsidRPr="00E177BD" w:rsidRDefault="004D7856" w:rsidP="006429D8">
            <w:pPr>
              <w:spacing w:line="240" w:lineRule="auto"/>
              <w:rPr>
                <w:rFonts w:ascii="Arial Narrow" w:eastAsia="Times New Roman" w:hAnsi="Arial Narrow"/>
                <w:b/>
                <w:bCs/>
                <w:sz w:val="16"/>
                <w:szCs w:val="16"/>
              </w:rPr>
            </w:pPr>
            <w:r w:rsidRPr="00E177BD">
              <w:rPr>
                <w:rFonts w:ascii="Arial Narrow" w:eastAsia="Times New Roman" w:hAnsi="Arial Narrow"/>
                <w:b/>
                <w:bCs/>
                <w:sz w:val="16"/>
                <w:szCs w:val="16"/>
              </w:rPr>
              <w:t>Setting:</w:t>
            </w:r>
            <w:r w:rsidRPr="00E177BD">
              <w:rPr>
                <w:rFonts w:ascii="Arial Narrow" w:eastAsia="Times New Roman" w:hAnsi="Arial Narrow"/>
                <w:bCs/>
                <w:sz w:val="16"/>
                <w:szCs w:val="16"/>
              </w:rPr>
              <w:t xml:space="preserve"> Australia, Brazil, Canada, Finland, Germany, Iran, Ireland, Italy, Korea, the Netherlands, New Zealand, Norway, Sweden, Taiwan, the United Kingdom</w:t>
            </w:r>
          </w:p>
          <w:p w14:paraId="153DBE91" w14:textId="77777777" w:rsidR="004D7856" w:rsidRPr="00E177BD" w:rsidRDefault="004D7856" w:rsidP="006429D8">
            <w:pPr>
              <w:spacing w:line="240" w:lineRule="auto"/>
              <w:rPr>
                <w:rFonts w:ascii="Arial Narrow" w:eastAsia="Times New Roman" w:hAnsi="Arial Narrow"/>
                <w:b/>
                <w:bCs/>
                <w:sz w:val="16"/>
                <w:szCs w:val="16"/>
              </w:rPr>
            </w:pPr>
            <w:r w:rsidRPr="00E177BD">
              <w:rPr>
                <w:rFonts w:ascii="Arial Narrow" w:eastAsia="Times New Roman" w:hAnsi="Arial Narrow"/>
                <w:b/>
                <w:bCs/>
                <w:sz w:val="16"/>
                <w:szCs w:val="16"/>
              </w:rPr>
              <w:t>Intervention:</w:t>
            </w:r>
            <w:r w:rsidRPr="00E177BD">
              <w:rPr>
                <w:rFonts w:ascii="Arial Narrow" w:eastAsia="Times New Roman" w:hAnsi="Arial Narrow"/>
                <w:bCs/>
                <w:sz w:val="16"/>
                <w:szCs w:val="16"/>
              </w:rPr>
              <w:t xml:space="preserve"> Probiotics administered to pregnant women</w:t>
            </w:r>
            <w:r w:rsidRPr="00E177BD">
              <w:rPr>
                <w:rFonts w:ascii="Arial Narrow" w:eastAsia="Times New Roman" w:hAnsi="Arial Narrow"/>
                <w:b/>
                <w:bCs/>
                <w:sz w:val="16"/>
                <w:szCs w:val="16"/>
              </w:rPr>
              <w:t xml:space="preserve"> </w:t>
            </w:r>
          </w:p>
          <w:p w14:paraId="7CC4793E" w14:textId="1547065C" w:rsidR="004D7856" w:rsidRDefault="004D7856" w:rsidP="006429D8">
            <w:pPr>
              <w:spacing w:line="240" w:lineRule="auto"/>
              <w:rPr>
                <w:rFonts w:ascii="Arial Narrow" w:eastAsia="Times New Roman" w:hAnsi="Arial Narrow"/>
                <w:sz w:val="16"/>
                <w:szCs w:val="16"/>
              </w:rPr>
            </w:pPr>
            <w:r w:rsidRPr="00E177BD">
              <w:rPr>
                <w:rFonts w:ascii="Arial Narrow" w:eastAsia="Times New Roman" w:hAnsi="Arial Narrow"/>
                <w:b/>
                <w:bCs/>
                <w:sz w:val="16"/>
                <w:szCs w:val="16"/>
              </w:rPr>
              <w:t xml:space="preserve">Comparison: </w:t>
            </w:r>
            <w:r w:rsidRPr="00E177BD">
              <w:rPr>
                <w:rFonts w:ascii="Arial Narrow" w:eastAsia="Times New Roman" w:hAnsi="Arial Narrow"/>
                <w:bCs/>
                <w:sz w:val="16"/>
                <w:szCs w:val="16"/>
              </w:rPr>
              <w:t>Placebo</w:t>
            </w:r>
            <w:r w:rsidRPr="00E177BD">
              <w:rPr>
                <w:rFonts w:ascii="Arial Narrow" w:eastAsia="Times New Roman" w:hAnsi="Arial Narrow"/>
                <w:b/>
                <w:bCs/>
                <w:sz w:val="16"/>
                <w:szCs w:val="16"/>
              </w:rPr>
              <w:t xml:space="preserve"> </w:t>
            </w:r>
            <w:r w:rsidR="006A47F7" w:rsidRPr="006A47F7">
              <w:rPr>
                <w:rFonts w:ascii="Arial Narrow" w:eastAsia="Times New Roman" w:hAnsi="Arial Narrow"/>
                <w:bCs/>
                <w:sz w:val="16"/>
                <w:szCs w:val="16"/>
              </w:rPr>
              <w:t>or no intervention</w:t>
            </w:r>
          </w:p>
        </w:tc>
      </w:tr>
      <w:tr w:rsidR="004D7856" w14:paraId="5FD67239" w14:textId="77777777" w:rsidTr="004D7856">
        <w:trPr>
          <w:gridAfter w:val="1"/>
          <w:wAfter w:w="48" w:type="pct"/>
          <w:cantSplit/>
          <w:tblHeader/>
        </w:trPr>
        <w:tc>
          <w:tcPr>
            <w:tcW w:w="819" w:type="pct"/>
            <w:gridSpan w:val="2"/>
            <w:vMerge w:val="restart"/>
            <w:tcBorders>
              <w:right w:val="single" w:sz="6" w:space="0" w:color="EFEFEF"/>
            </w:tcBorders>
            <w:shd w:val="clear" w:color="auto" w:fill="3271AA"/>
            <w:vAlign w:val="center"/>
            <w:hideMark/>
          </w:tcPr>
          <w:p w14:paraId="47FF7945" w14:textId="77777777" w:rsidR="004D7856" w:rsidRDefault="004D7856" w:rsidP="006429D8">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761" w:type="pct"/>
            <w:gridSpan w:val="2"/>
            <w:tcBorders>
              <w:top w:val="single" w:sz="6" w:space="0" w:color="EFEFEF"/>
              <w:right w:val="single" w:sz="6" w:space="0" w:color="EFEFEF"/>
            </w:tcBorders>
            <w:shd w:val="clear" w:color="auto" w:fill="E0E0E0"/>
            <w:hideMark/>
          </w:tcPr>
          <w:p w14:paraId="2EDC2F1F" w14:textId="77777777" w:rsidR="004D7856" w:rsidRDefault="004D7856" w:rsidP="006429D8">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766" w:type="pct"/>
            <w:vMerge w:val="restart"/>
            <w:tcBorders>
              <w:right w:val="single" w:sz="6" w:space="0" w:color="EFEFEF"/>
            </w:tcBorders>
            <w:shd w:val="clear" w:color="auto" w:fill="3271AA"/>
            <w:vAlign w:val="center"/>
            <w:hideMark/>
          </w:tcPr>
          <w:p w14:paraId="5008970C" w14:textId="77777777" w:rsidR="004D7856" w:rsidRDefault="004D7856" w:rsidP="006429D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765" w:type="pct"/>
            <w:vMerge w:val="restart"/>
            <w:tcBorders>
              <w:right w:val="single" w:sz="6" w:space="0" w:color="EFEFEF"/>
            </w:tcBorders>
            <w:shd w:val="clear" w:color="auto" w:fill="3271AA"/>
            <w:vAlign w:val="center"/>
            <w:hideMark/>
          </w:tcPr>
          <w:p w14:paraId="74977894" w14:textId="77777777" w:rsidR="004D7856" w:rsidRDefault="004D7856" w:rsidP="006429D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841" w:type="pct"/>
            <w:vMerge w:val="restart"/>
            <w:tcBorders>
              <w:right w:val="single" w:sz="6" w:space="0" w:color="EFEFEF"/>
            </w:tcBorders>
            <w:shd w:val="clear" w:color="auto" w:fill="3271AA"/>
            <w:vAlign w:val="center"/>
            <w:hideMark/>
          </w:tcPr>
          <w:p w14:paraId="71F9C212" w14:textId="77777777" w:rsidR="004D7856" w:rsidRDefault="004D7856" w:rsidP="006429D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4D7856" w14:paraId="4C0D6361" w14:textId="77777777" w:rsidTr="004D7856">
        <w:trPr>
          <w:gridAfter w:val="1"/>
          <w:wAfter w:w="48" w:type="pct"/>
          <w:cantSplit/>
          <w:tblHeader/>
        </w:trPr>
        <w:tc>
          <w:tcPr>
            <w:tcW w:w="819" w:type="pct"/>
            <w:gridSpan w:val="2"/>
            <w:vMerge/>
            <w:tcBorders>
              <w:right w:val="single" w:sz="6" w:space="0" w:color="EFEFEF"/>
            </w:tcBorders>
            <w:vAlign w:val="center"/>
            <w:hideMark/>
          </w:tcPr>
          <w:p w14:paraId="40E8D8A9" w14:textId="77777777" w:rsidR="004D7856" w:rsidRDefault="004D7856" w:rsidP="006429D8">
            <w:pPr>
              <w:rPr>
                <w:rFonts w:ascii="Arial Narrow" w:eastAsiaTheme="minorEastAsia" w:hAnsi="Arial Narrow"/>
                <w:color w:val="FFFFFF"/>
                <w:sz w:val="16"/>
                <w:szCs w:val="16"/>
              </w:rPr>
            </w:pPr>
          </w:p>
        </w:tc>
        <w:tc>
          <w:tcPr>
            <w:tcW w:w="793" w:type="pct"/>
            <w:tcBorders>
              <w:top w:val="single" w:sz="6" w:space="0" w:color="EFEFEF"/>
              <w:right w:val="single" w:sz="6" w:space="0" w:color="EFEFEF"/>
            </w:tcBorders>
            <w:shd w:val="clear" w:color="auto" w:fill="E0E0E0"/>
            <w:hideMark/>
          </w:tcPr>
          <w:p w14:paraId="3FCCB113" w14:textId="77777777" w:rsidR="004D7856" w:rsidRDefault="004D7856" w:rsidP="006429D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placebo</w:t>
            </w:r>
          </w:p>
        </w:tc>
        <w:tc>
          <w:tcPr>
            <w:tcW w:w="968" w:type="pct"/>
            <w:tcBorders>
              <w:top w:val="single" w:sz="6" w:space="0" w:color="EFEFEF"/>
              <w:right w:val="single" w:sz="6" w:space="0" w:color="EFEFEF"/>
            </w:tcBorders>
            <w:shd w:val="clear" w:color="auto" w:fill="E0E0E0"/>
            <w:hideMark/>
          </w:tcPr>
          <w:p w14:paraId="2AB1EC09" w14:textId="77777777" w:rsidR="004D7856" w:rsidRDefault="004D7856" w:rsidP="006429D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Probiotics administered to pregnant women</w:t>
            </w:r>
          </w:p>
        </w:tc>
        <w:tc>
          <w:tcPr>
            <w:tcW w:w="766" w:type="pct"/>
            <w:vMerge/>
            <w:tcBorders>
              <w:right w:val="single" w:sz="6" w:space="0" w:color="EFEFEF"/>
            </w:tcBorders>
            <w:vAlign w:val="center"/>
            <w:hideMark/>
          </w:tcPr>
          <w:p w14:paraId="06B8EFB6" w14:textId="77777777" w:rsidR="004D7856" w:rsidRDefault="004D7856" w:rsidP="006429D8">
            <w:pPr>
              <w:rPr>
                <w:rFonts w:ascii="Arial Narrow" w:eastAsiaTheme="minorEastAsia" w:hAnsi="Arial Narrow"/>
                <w:color w:val="FFFFFF"/>
                <w:sz w:val="16"/>
                <w:szCs w:val="16"/>
              </w:rPr>
            </w:pPr>
          </w:p>
        </w:tc>
        <w:tc>
          <w:tcPr>
            <w:tcW w:w="765" w:type="pct"/>
            <w:vMerge/>
            <w:tcBorders>
              <w:right w:val="single" w:sz="6" w:space="0" w:color="EFEFEF"/>
            </w:tcBorders>
            <w:vAlign w:val="center"/>
            <w:hideMark/>
          </w:tcPr>
          <w:p w14:paraId="7FD0D5CE" w14:textId="77777777" w:rsidR="004D7856" w:rsidRDefault="004D7856" w:rsidP="006429D8">
            <w:pPr>
              <w:rPr>
                <w:rFonts w:ascii="Arial Narrow" w:eastAsiaTheme="minorEastAsia" w:hAnsi="Arial Narrow"/>
                <w:color w:val="FFFFFF"/>
                <w:sz w:val="16"/>
                <w:szCs w:val="16"/>
              </w:rPr>
            </w:pPr>
          </w:p>
        </w:tc>
        <w:tc>
          <w:tcPr>
            <w:tcW w:w="841" w:type="pct"/>
            <w:vMerge/>
            <w:tcBorders>
              <w:right w:val="single" w:sz="6" w:space="0" w:color="EFEFEF"/>
            </w:tcBorders>
            <w:vAlign w:val="center"/>
            <w:hideMark/>
          </w:tcPr>
          <w:p w14:paraId="09A744FD" w14:textId="77777777" w:rsidR="004D7856" w:rsidRDefault="004D7856" w:rsidP="006429D8">
            <w:pPr>
              <w:rPr>
                <w:rFonts w:ascii="Arial Narrow" w:eastAsiaTheme="minorEastAsia" w:hAnsi="Arial Narrow"/>
                <w:color w:val="FFFFFF"/>
                <w:sz w:val="16"/>
                <w:szCs w:val="16"/>
              </w:rPr>
            </w:pPr>
          </w:p>
        </w:tc>
      </w:tr>
      <w:tr w:rsidR="004D7856" w14:paraId="05AFA331" w14:textId="77777777" w:rsidTr="004D7856">
        <w:trPr>
          <w:gridAfter w:val="1"/>
          <w:wAfter w:w="48" w:type="pct"/>
          <w:cantSplit/>
        </w:trPr>
        <w:tc>
          <w:tcPr>
            <w:tcW w:w="819" w:type="pct"/>
            <w:gridSpan w:val="2"/>
            <w:tcBorders>
              <w:top w:val="single" w:sz="6" w:space="0" w:color="000000"/>
              <w:left w:val="nil"/>
              <w:bottom w:val="single" w:sz="6" w:space="0" w:color="000000"/>
              <w:right w:val="nil"/>
            </w:tcBorders>
            <w:vAlign w:val="center"/>
            <w:hideMark/>
          </w:tcPr>
          <w:p w14:paraId="38AA6312" w14:textId="77777777" w:rsidR="004D7856" w:rsidRDefault="004D7856" w:rsidP="006429D8">
            <w:pPr>
              <w:jc w:val="center"/>
              <w:rPr>
                <w:rFonts w:ascii="Arial Narrow" w:eastAsia="Times New Roman" w:hAnsi="Arial Narrow"/>
                <w:sz w:val="16"/>
                <w:szCs w:val="16"/>
              </w:rPr>
            </w:pPr>
            <w:r>
              <w:rPr>
                <w:rStyle w:val="label"/>
                <w:rFonts w:ascii="Arial Narrow" w:eastAsia="Times New Roman" w:hAnsi="Arial Narrow"/>
                <w:szCs w:val="18"/>
              </w:rPr>
              <w:t>Gestational diabetes</w:t>
            </w:r>
            <w:r>
              <w:rPr>
                <w:rFonts w:ascii="Arial Narrow" w:eastAsia="Times New Roman" w:hAnsi="Arial Narrow"/>
                <w:sz w:val="16"/>
                <w:szCs w:val="16"/>
              </w:rPr>
              <w:t xml:space="preserve"> </w:t>
            </w:r>
          </w:p>
        </w:tc>
        <w:tc>
          <w:tcPr>
            <w:tcW w:w="793" w:type="pct"/>
            <w:tcBorders>
              <w:top w:val="single" w:sz="6" w:space="0" w:color="000000"/>
              <w:left w:val="nil"/>
              <w:bottom w:val="single" w:sz="6" w:space="0" w:color="000000"/>
              <w:right w:val="nil"/>
            </w:tcBorders>
            <w:vAlign w:val="center"/>
            <w:hideMark/>
          </w:tcPr>
          <w:p w14:paraId="7BA7736A" w14:textId="77777777" w:rsidR="004D7856" w:rsidRDefault="004D7856" w:rsidP="006429D8">
            <w:pPr>
              <w:rPr>
                <w:rFonts w:ascii="Arial Narrow" w:eastAsia="Times New Roman" w:hAnsi="Arial Narrow"/>
                <w:sz w:val="16"/>
                <w:szCs w:val="16"/>
              </w:rPr>
            </w:pPr>
            <w:r>
              <w:rPr>
                <w:rFonts w:ascii="Arial Narrow" w:eastAsia="Times New Roman" w:hAnsi="Arial Narrow"/>
                <w:sz w:val="16"/>
                <w:szCs w:val="16"/>
              </w:rPr>
              <w:t xml:space="preserve">174 per 1,000 </w:t>
            </w:r>
          </w:p>
        </w:tc>
        <w:tc>
          <w:tcPr>
            <w:tcW w:w="968" w:type="pct"/>
            <w:tcBorders>
              <w:top w:val="single" w:sz="6" w:space="0" w:color="000000"/>
              <w:left w:val="nil"/>
              <w:bottom w:val="single" w:sz="6" w:space="0" w:color="000000"/>
              <w:right w:val="nil"/>
            </w:tcBorders>
            <w:shd w:val="clear" w:color="auto" w:fill="EBEBEB"/>
            <w:hideMark/>
          </w:tcPr>
          <w:p w14:paraId="6203AD74" w14:textId="77777777" w:rsidR="004D7856" w:rsidRDefault="004D7856" w:rsidP="006429D8">
            <w:pPr>
              <w:jc w:val="center"/>
              <w:rPr>
                <w:rFonts w:ascii="Arial Narrow" w:eastAsia="Times New Roman" w:hAnsi="Arial Narrow"/>
                <w:sz w:val="16"/>
                <w:szCs w:val="16"/>
              </w:rPr>
            </w:pPr>
            <w:r>
              <w:rPr>
                <w:rStyle w:val="cell-value"/>
                <w:rFonts w:ascii="Arial Narrow" w:eastAsia="Times New Roman" w:hAnsi="Arial Narrow"/>
                <w:b/>
                <w:bCs/>
                <w:szCs w:val="18"/>
              </w:rPr>
              <w:t>152 per 1,000</w:t>
            </w:r>
            <w:r>
              <w:rPr>
                <w:rFonts w:ascii="Arial Narrow" w:eastAsia="Times New Roman" w:hAnsi="Arial Narrow"/>
                <w:szCs w:val="18"/>
              </w:rPr>
              <w:br/>
            </w:r>
            <w:r>
              <w:rPr>
                <w:rStyle w:val="cell-value"/>
                <w:rFonts w:ascii="Arial Narrow" w:eastAsia="Times New Roman" w:hAnsi="Arial Narrow"/>
                <w:szCs w:val="18"/>
              </w:rPr>
              <w:t>(124 to 188)</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42223666" w14:textId="77777777" w:rsidR="004D7856" w:rsidRDefault="004D7856"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0.87</w:t>
            </w:r>
            <w:r>
              <w:rPr>
                <w:rFonts w:ascii="Arial Narrow" w:eastAsia="Times New Roman" w:hAnsi="Arial Narrow"/>
                <w:sz w:val="16"/>
                <w:szCs w:val="16"/>
              </w:rPr>
              <w:br/>
            </w:r>
            <w:r>
              <w:rPr>
                <w:rStyle w:val="cell"/>
                <w:rFonts w:ascii="Arial Narrow" w:hAnsi="Arial Narrow"/>
                <w:sz w:val="16"/>
                <w:szCs w:val="16"/>
              </w:rPr>
              <w:t>(0.71 to 1.08)</w:t>
            </w:r>
            <w:r>
              <w:rPr>
                <w:rFonts w:ascii="Arial Narrow" w:eastAsia="Times New Roman" w:hAnsi="Arial Narrow"/>
                <w:sz w:val="16"/>
                <w:szCs w:val="16"/>
              </w:rPr>
              <w:t xml:space="preserve"> </w:t>
            </w:r>
          </w:p>
        </w:tc>
        <w:tc>
          <w:tcPr>
            <w:tcW w:w="765" w:type="pct"/>
            <w:tcBorders>
              <w:top w:val="single" w:sz="6" w:space="0" w:color="000000"/>
              <w:left w:val="nil"/>
              <w:bottom w:val="single" w:sz="6" w:space="0" w:color="000000"/>
              <w:right w:val="nil"/>
            </w:tcBorders>
            <w:vAlign w:val="center"/>
            <w:hideMark/>
          </w:tcPr>
          <w:p w14:paraId="358DB92D" w14:textId="75FD63D8" w:rsidR="004D7856" w:rsidRDefault="004D7856" w:rsidP="006429D8">
            <w:pPr>
              <w:jc w:val="center"/>
              <w:rPr>
                <w:rFonts w:ascii="Arial Narrow" w:eastAsia="Times New Roman" w:hAnsi="Arial Narrow"/>
                <w:sz w:val="16"/>
                <w:szCs w:val="16"/>
              </w:rPr>
            </w:pPr>
            <w:r>
              <w:rPr>
                <w:rFonts w:ascii="Arial Narrow" w:eastAsia="Times New Roman" w:hAnsi="Arial Narrow"/>
                <w:sz w:val="16"/>
                <w:szCs w:val="16"/>
              </w:rPr>
              <w:t>1,722</w:t>
            </w:r>
            <w:r>
              <w:rPr>
                <w:rFonts w:ascii="Arial Narrow" w:eastAsia="Times New Roman" w:hAnsi="Arial Narrow"/>
                <w:sz w:val="16"/>
                <w:szCs w:val="16"/>
              </w:rPr>
              <w:br/>
              <w:t xml:space="preserve">(8 RCTs) </w:t>
            </w:r>
          </w:p>
        </w:tc>
        <w:tc>
          <w:tcPr>
            <w:tcW w:w="841" w:type="pct"/>
            <w:tcBorders>
              <w:top w:val="single" w:sz="6" w:space="0" w:color="000000"/>
              <w:left w:val="nil"/>
              <w:bottom w:val="single" w:sz="6" w:space="0" w:color="000000"/>
              <w:right w:val="nil"/>
            </w:tcBorders>
            <w:vAlign w:val="center"/>
            <w:hideMark/>
          </w:tcPr>
          <w:p w14:paraId="1905D030" w14:textId="77777777" w:rsidR="004D7856" w:rsidRDefault="004D7856"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664EEBC5" w14:textId="77777777" w:rsidTr="004D7856">
        <w:trPr>
          <w:gridAfter w:val="1"/>
          <w:wAfter w:w="48" w:type="pct"/>
          <w:cantSplit/>
        </w:trPr>
        <w:tc>
          <w:tcPr>
            <w:tcW w:w="819" w:type="pct"/>
            <w:gridSpan w:val="2"/>
            <w:tcBorders>
              <w:top w:val="single" w:sz="6" w:space="0" w:color="000000"/>
              <w:left w:val="nil"/>
              <w:bottom w:val="single" w:sz="6" w:space="0" w:color="000000"/>
              <w:right w:val="nil"/>
            </w:tcBorders>
            <w:vAlign w:val="center"/>
            <w:hideMark/>
          </w:tcPr>
          <w:p w14:paraId="3E1445A6" w14:textId="77777777" w:rsidR="004D7856" w:rsidRDefault="004D7856" w:rsidP="006429D8">
            <w:pPr>
              <w:jc w:val="center"/>
              <w:rPr>
                <w:rFonts w:ascii="Arial Narrow" w:eastAsia="Times New Roman" w:hAnsi="Arial Narrow"/>
                <w:sz w:val="16"/>
                <w:szCs w:val="16"/>
              </w:rPr>
            </w:pPr>
            <w:r>
              <w:rPr>
                <w:rStyle w:val="label"/>
                <w:rFonts w:ascii="Arial Narrow" w:eastAsia="Times New Roman" w:hAnsi="Arial Narrow"/>
                <w:szCs w:val="18"/>
              </w:rPr>
              <w:t>Gestational hypertension</w:t>
            </w:r>
            <w:r>
              <w:rPr>
                <w:rFonts w:ascii="Arial Narrow" w:eastAsia="Times New Roman" w:hAnsi="Arial Narrow"/>
                <w:sz w:val="16"/>
                <w:szCs w:val="16"/>
              </w:rPr>
              <w:t xml:space="preserve"> </w:t>
            </w:r>
          </w:p>
        </w:tc>
        <w:tc>
          <w:tcPr>
            <w:tcW w:w="793" w:type="pct"/>
            <w:tcBorders>
              <w:top w:val="single" w:sz="6" w:space="0" w:color="000000"/>
              <w:left w:val="nil"/>
              <w:bottom w:val="single" w:sz="6" w:space="0" w:color="000000"/>
              <w:right w:val="nil"/>
            </w:tcBorders>
            <w:vAlign w:val="center"/>
            <w:hideMark/>
          </w:tcPr>
          <w:p w14:paraId="2AC0C9A6" w14:textId="77777777" w:rsidR="004D7856" w:rsidRDefault="004D7856" w:rsidP="006429D8">
            <w:pPr>
              <w:rPr>
                <w:rFonts w:ascii="Arial Narrow" w:eastAsia="Times New Roman" w:hAnsi="Arial Narrow"/>
                <w:sz w:val="16"/>
                <w:szCs w:val="16"/>
              </w:rPr>
            </w:pPr>
            <w:r>
              <w:rPr>
                <w:rFonts w:ascii="Arial Narrow" w:eastAsia="Times New Roman" w:hAnsi="Arial Narrow"/>
                <w:sz w:val="16"/>
                <w:szCs w:val="16"/>
              </w:rPr>
              <w:t xml:space="preserve">52 per 1,000 </w:t>
            </w:r>
          </w:p>
        </w:tc>
        <w:tc>
          <w:tcPr>
            <w:tcW w:w="968" w:type="pct"/>
            <w:tcBorders>
              <w:top w:val="single" w:sz="6" w:space="0" w:color="000000"/>
              <w:left w:val="nil"/>
              <w:bottom w:val="single" w:sz="6" w:space="0" w:color="000000"/>
              <w:right w:val="nil"/>
            </w:tcBorders>
            <w:shd w:val="clear" w:color="auto" w:fill="EBEBEB"/>
            <w:hideMark/>
          </w:tcPr>
          <w:p w14:paraId="41049EB3" w14:textId="77777777" w:rsidR="004D7856" w:rsidRDefault="004D7856" w:rsidP="006429D8">
            <w:pPr>
              <w:jc w:val="center"/>
              <w:rPr>
                <w:rFonts w:ascii="Arial Narrow" w:eastAsia="Times New Roman" w:hAnsi="Arial Narrow"/>
                <w:sz w:val="16"/>
                <w:szCs w:val="16"/>
              </w:rPr>
            </w:pPr>
            <w:r>
              <w:rPr>
                <w:rStyle w:val="cell-value"/>
                <w:rFonts w:ascii="Arial Narrow" w:eastAsia="Times New Roman" w:hAnsi="Arial Narrow"/>
                <w:b/>
                <w:bCs/>
                <w:szCs w:val="18"/>
              </w:rPr>
              <w:t>64 per 1,000</w:t>
            </w:r>
            <w:r>
              <w:rPr>
                <w:rFonts w:ascii="Arial Narrow" w:eastAsia="Times New Roman" w:hAnsi="Arial Narrow"/>
                <w:szCs w:val="18"/>
              </w:rPr>
              <w:br/>
            </w:r>
            <w:r>
              <w:rPr>
                <w:rStyle w:val="cell-value"/>
                <w:rFonts w:ascii="Arial Narrow" w:eastAsia="Times New Roman" w:hAnsi="Arial Narrow"/>
                <w:szCs w:val="18"/>
              </w:rPr>
              <w:t>(38 to 107)</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6949181C" w14:textId="77777777" w:rsidR="004D7856" w:rsidRDefault="004D7856"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1.24</w:t>
            </w:r>
            <w:r>
              <w:rPr>
                <w:rFonts w:ascii="Arial Narrow" w:eastAsia="Times New Roman" w:hAnsi="Arial Narrow"/>
                <w:sz w:val="16"/>
                <w:szCs w:val="16"/>
              </w:rPr>
              <w:br/>
            </w:r>
            <w:r>
              <w:rPr>
                <w:rStyle w:val="cell"/>
                <w:rFonts w:ascii="Arial Narrow" w:hAnsi="Arial Narrow"/>
                <w:sz w:val="16"/>
                <w:szCs w:val="16"/>
              </w:rPr>
              <w:t>(0.74 to 2.06)</w:t>
            </w:r>
            <w:r>
              <w:rPr>
                <w:rFonts w:ascii="Arial Narrow" w:eastAsia="Times New Roman" w:hAnsi="Arial Narrow"/>
                <w:sz w:val="16"/>
                <w:szCs w:val="16"/>
              </w:rPr>
              <w:t xml:space="preserve"> </w:t>
            </w:r>
          </w:p>
        </w:tc>
        <w:tc>
          <w:tcPr>
            <w:tcW w:w="765" w:type="pct"/>
            <w:tcBorders>
              <w:top w:val="single" w:sz="6" w:space="0" w:color="000000"/>
              <w:left w:val="nil"/>
              <w:bottom w:val="single" w:sz="6" w:space="0" w:color="000000"/>
              <w:right w:val="nil"/>
            </w:tcBorders>
            <w:vAlign w:val="center"/>
            <w:hideMark/>
          </w:tcPr>
          <w:p w14:paraId="342ED745" w14:textId="77777777" w:rsidR="004D7856" w:rsidRDefault="004D7856" w:rsidP="006429D8">
            <w:pPr>
              <w:jc w:val="center"/>
              <w:rPr>
                <w:rFonts w:ascii="Arial Narrow" w:eastAsia="Times New Roman" w:hAnsi="Arial Narrow"/>
                <w:sz w:val="16"/>
                <w:szCs w:val="16"/>
              </w:rPr>
            </w:pPr>
            <w:r>
              <w:rPr>
                <w:rFonts w:ascii="Arial Narrow" w:eastAsia="Times New Roman" w:hAnsi="Arial Narrow"/>
                <w:sz w:val="16"/>
                <w:szCs w:val="16"/>
              </w:rPr>
              <w:t>955</w:t>
            </w:r>
            <w:r>
              <w:rPr>
                <w:rFonts w:ascii="Arial Narrow" w:eastAsia="Times New Roman" w:hAnsi="Arial Narrow"/>
                <w:sz w:val="16"/>
                <w:szCs w:val="16"/>
              </w:rPr>
              <w:br/>
              <w:t xml:space="preserve">(4 RCTs) </w:t>
            </w:r>
          </w:p>
        </w:tc>
        <w:tc>
          <w:tcPr>
            <w:tcW w:w="841" w:type="pct"/>
            <w:tcBorders>
              <w:top w:val="single" w:sz="6" w:space="0" w:color="000000"/>
              <w:left w:val="nil"/>
              <w:bottom w:val="single" w:sz="6" w:space="0" w:color="000000"/>
              <w:right w:val="nil"/>
            </w:tcBorders>
            <w:vAlign w:val="center"/>
            <w:hideMark/>
          </w:tcPr>
          <w:p w14:paraId="04053787" w14:textId="77777777" w:rsidR="004D7856" w:rsidRDefault="004D7856"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1574563B" w14:textId="77777777" w:rsidTr="004D7856">
        <w:trPr>
          <w:gridAfter w:val="1"/>
          <w:wAfter w:w="48" w:type="pct"/>
          <w:cantSplit/>
        </w:trPr>
        <w:tc>
          <w:tcPr>
            <w:tcW w:w="819" w:type="pct"/>
            <w:gridSpan w:val="2"/>
            <w:tcBorders>
              <w:top w:val="single" w:sz="6" w:space="0" w:color="000000"/>
              <w:left w:val="nil"/>
              <w:bottom w:val="single" w:sz="6" w:space="0" w:color="000000"/>
              <w:right w:val="nil"/>
            </w:tcBorders>
            <w:vAlign w:val="center"/>
            <w:hideMark/>
          </w:tcPr>
          <w:p w14:paraId="7CB7BFFA" w14:textId="77777777" w:rsidR="004D7856" w:rsidRDefault="004D7856" w:rsidP="006429D8">
            <w:pPr>
              <w:jc w:val="center"/>
              <w:rPr>
                <w:rFonts w:ascii="Arial Narrow" w:eastAsia="Times New Roman" w:hAnsi="Arial Narrow"/>
                <w:sz w:val="16"/>
                <w:szCs w:val="16"/>
              </w:rPr>
            </w:pPr>
            <w:r>
              <w:rPr>
                <w:rStyle w:val="label"/>
                <w:rFonts w:ascii="Arial Narrow" w:eastAsia="Times New Roman" w:hAnsi="Arial Narrow"/>
                <w:szCs w:val="18"/>
              </w:rPr>
              <w:t>Pre-eclampsia</w:t>
            </w:r>
            <w:r>
              <w:rPr>
                <w:rFonts w:ascii="Arial Narrow" w:eastAsia="Times New Roman" w:hAnsi="Arial Narrow"/>
                <w:sz w:val="16"/>
                <w:szCs w:val="16"/>
              </w:rPr>
              <w:t xml:space="preserve"> </w:t>
            </w:r>
          </w:p>
        </w:tc>
        <w:tc>
          <w:tcPr>
            <w:tcW w:w="793" w:type="pct"/>
            <w:tcBorders>
              <w:top w:val="single" w:sz="6" w:space="0" w:color="000000"/>
              <w:left w:val="nil"/>
              <w:bottom w:val="single" w:sz="6" w:space="0" w:color="000000"/>
              <w:right w:val="nil"/>
            </w:tcBorders>
            <w:vAlign w:val="center"/>
            <w:hideMark/>
          </w:tcPr>
          <w:p w14:paraId="304CCABD" w14:textId="77777777" w:rsidR="004D7856" w:rsidRDefault="004D7856" w:rsidP="006429D8">
            <w:pPr>
              <w:rPr>
                <w:rFonts w:ascii="Arial Narrow" w:eastAsia="Times New Roman" w:hAnsi="Arial Narrow"/>
                <w:sz w:val="16"/>
                <w:szCs w:val="16"/>
              </w:rPr>
            </w:pPr>
            <w:r>
              <w:rPr>
                <w:rFonts w:ascii="Arial Narrow" w:eastAsia="Times New Roman" w:hAnsi="Arial Narrow"/>
                <w:sz w:val="16"/>
                <w:szCs w:val="16"/>
              </w:rPr>
              <w:t xml:space="preserve">41 per 1,000 </w:t>
            </w:r>
          </w:p>
        </w:tc>
        <w:tc>
          <w:tcPr>
            <w:tcW w:w="968" w:type="pct"/>
            <w:tcBorders>
              <w:top w:val="single" w:sz="6" w:space="0" w:color="000000"/>
              <w:left w:val="nil"/>
              <w:bottom w:val="single" w:sz="6" w:space="0" w:color="000000"/>
              <w:right w:val="nil"/>
            </w:tcBorders>
            <w:shd w:val="clear" w:color="auto" w:fill="EBEBEB"/>
            <w:hideMark/>
          </w:tcPr>
          <w:p w14:paraId="0D0A8450" w14:textId="77777777" w:rsidR="004D7856" w:rsidRDefault="004D7856" w:rsidP="006429D8">
            <w:pPr>
              <w:jc w:val="center"/>
              <w:rPr>
                <w:rFonts w:ascii="Arial Narrow" w:eastAsia="Times New Roman" w:hAnsi="Arial Narrow"/>
                <w:sz w:val="16"/>
                <w:szCs w:val="16"/>
              </w:rPr>
            </w:pPr>
            <w:r>
              <w:rPr>
                <w:rStyle w:val="cell-value"/>
                <w:rFonts w:ascii="Arial Narrow" w:eastAsia="Times New Roman" w:hAnsi="Arial Narrow"/>
                <w:b/>
                <w:bCs/>
                <w:szCs w:val="18"/>
              </w:rPr>
              <w:t>76 per 1,000</w:t>
            </w:r>
            <w:r>
              <w:rPr>
                <w:rFonts w:ascii="Arial Narrow" w:eastAsia="Times New Roman" w:hAnsi="Arial Narrow"/>
                <w:szCs w:val="18"/>
              </w:rPr>
              <w:br/>
            </w:r>
            <w:r>
              <w:rPr>
                <w:rStyle w:val="cell-value"/>
                <w:rFonts w:ascii="Arial Narrow" w:eastAsia="Times New Roman" w:hAnsi="Arial Narrow"/>
                <w:szCs w:val="18"/>
              </w:rPr>
              <w:t>(39 to 150)</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6782A7C2" w14:textId="77777777" w:rsidR="004D7856" w:rsidRDefault="004D7856"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1.88</w:t>
            </w:r>
            <w:r>
              <w:rPr>
                <w:rFonts w:ascii="Arial Narrow" w:eastAsia="Times New Roman" w:hAnsi="Arial Narrow"/>
                <w:sz w:val="16"/>
                <w:szCs w:val="16"/>
              </w:rPr>
              <w:br/>
            </w:r>
            <w:r>
              <w:rPr>
                <w:rStyle w:val="cell"/>
                <w:rFonts w:ascii="Arial Narrow" w:hAnsi="Arial Narrow"/>
                <w:sz w:val="16"/>
                <w:szCs w:val="16"/>
              </w:rPr>
              <w:t>(0.96 to 3.71)</w:t>
            </w:r>
            <w:r>
              <w:rPr>
                <w:rFonts w:ascii="Arial Narrow" w:eastAsia="Times New Roman" w:hAnsi="Arial Narrow"/>
                <w:sz w:val="16"/>
                <w:szCs w:val="16"/>
              </w:rPr>
              <w:t xml:space="preserve"> </w:t>
            </w:r>
          </w:p>
        </w:tc>
        <w:tc>
          <w:tcPr>
            <w:tcW w:w="765" w:type="pct"/>
            <w:tcBorders>
              <w:top w:val="single" w:sz="6" w:space="0" w:color="000000"/>
              <w:left w:val="nil"/>
              <w:bottom w:val="single" w:sz="6" w:space="0" w:color="000000"/>
              <w:right w:val="nil"/>
            </w:tcBorders>
            <w:vAlign w:val="center"/>
            <w:hideMark/>
          </w:tcPr>
          <w:p w14:paraId="1A6AAE3F" w14:textId="77777777" w:rsidR="004D7856" w:rsidRDefault="004D7856" w:rsidP="006429D8">
            <w:pPr>
              <w:jc w:val="center"/>
              <w:rPr>
                <w:rFonts w:ascii="Arial Narrow" w:eastAsia="Times New Roman" w:hAnsi="Arial Narrow"/>
                <w:sz w:val="16"/>
                <w:szCs w:val="16"/>
              </w:rPr>
            </w:pPr>
            <w:r>
              <w:rPr>
                <w:rFonts w:ascii="Arial Narrow" w:eastAsia="Times New Roman" w:hAnsi="Arial Narrow"/>
                <w:sz w:val="16"/>
                <w:szCs w:val="16"/>
              </w:rPr>
              <w:t>598</w:t>
            </w:r>
            <w:r>
              <w:rPr>
                <w:rFonts w:ascii="Arial Narrow" w:eastAsia="Times New Roman" w:hAnsi="Arial Narrow"/>
                <w:sz w:val="16"/>
                <w:szCs w:val="16"/>
              </w:rPr>
              <w:br/>
              <w:t xml:space="preserve">(2 RCTs) </w:t>
            </w:r>
          </w:p>
        </w:tc>
        <w:tc>
          <w:tcPr>
            <w:tcW w:w="841" w:type="pct"/>
            <w:tcBorders>
              <w:top w:val="single" w:sz="6" w:space="0" w:color="000000"/>
              <w:left w:val="nil"/>
              <w:bottom w:val="single" w:sz="6" w:space="0" w:color="000000"/>
              <w:right w:val="nil"/>
            </w:tcBorders>
            <w:vAlign w:val="center"/>
            <w:hideMark/>
          </w:tcPr>
          <w:p w14:paraId="09AB6887" w14:textId="77777777" w:rsidR="004D7856" w:rsidRDefault="004D7856"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0DD25825" w14:textId="77777777" w:rsidTr="004D7856">
        <w:trPr>
          <w:gridAfter w:val="1"/>
          <w:wAfter w:w="48" w:type="pct"/>
          <w:cantSplit/>
        </w:trPr>
        <w:tc>
          <w:tcPr>
            <w:tcW w:w="819" w:type="pct"/>
            <w:gridSpan w:val="2"/>
            <w:tcBorders>
              <w:top w:val="single" w:sz="6" w:space="0" w:color="000000"/>
              <w:left w:val="nil"/>
              <w:bottom w:val="single" w:sz="6" w:space="0" w:color="000000"/>
              <w:right w:val="nil"/>
            </w:tcBorders>
            <w:vAlign w:val="center"/>
            <w:hideMark/>
          </w:tcPr>
          <w:p w14:paraId="2B1CDDBE" w14:textId="77777777" w:rsidR="004D7856" w:rsidRDefault="004D7856" w:rsidP="006429D8">
            <w:pPr>
              <w:jc w:val="center"/>
              <w:rPr>
                <w:rFonts w:ascii="Arial Narrow" w:eastAsia="Times New Roman" w:hAnsi="Arial Narrow"/>
                <w:sz w:val="16"/>
                <w:szCs w:val="16"/>
              </w:rPr>
            </w:pPr>
            <w:r>
              <w:rPr>
                <w:rStyle w:val="label"/>
                <w:rFonts w:ascii="Arial Narrow" w:eastAsia="Times New Roman" w:hAnsi="Arial Narrow"/>
                <w:szCs w:val="18"/>
              </w:rPr>
              <w:t>Bacterial vaginosis</w:t>
            </w:r>
            <w:r>
              <w:rPr>
                <w:rFonts w:ascii="Arial Narrow" w:eastAsia="Times New Roman" w:hAnsi="Arial Narrow"/>
                <w:sz w:val="16"/>
                <w:szCs w:val="16"/>
              </w:rPr>
              <w:t xml:space="preserve"> </w:t>
            </w:r>
          </w:p>
        </w:tc>
        <w:tc>
          <w:tcPr>
            <w:tcW w:w="793" w:type="pct"/>
            <w:tcBorders>
              <w:top w:val="single" w:sz="6" w:space="0" w:color="000000"/>
              <w:left w:val="nil"/>
              <w:bottom w:val="single" w:sz="6" w:space="0" w:color="000000"/>
              <w:right w:val="nil"/>
            </w:tcBorders>
            <w:vAlign w:val="center"/>
            <w:hideMark/>
          </w:tcPr>
          <w:p w14:paraId="0D73805E" w14:textId="77777777" w:rsidR="004D7856" w:rsidRDefault="004D7856" w:rsidP="006429D8">
            <w:pPr>
              <w:rPr>
                <w:rFonts w:ascii="Arial Narrow" w:eastAsia="Times New Roman" w:hAnsi="Arial Narrow"/>
                <w:sz w:val="16"/>
                <w:szCs w:val="16"/>
              </w:rPr>
            </w:pPr>
            <w:r>
              <w:rPr>
                <w:rFonts w:ascii="Arial Narrow" w:eastAsia="Times New Roman" w:hAnsi="Arial Narrow"/>
                <w:sz w:val="16"/>
                <w:szCs w:val="16"/>
              </w:rPr>
              <w:t xml:space="preserve">48 per 1,000 </w:t>
            </w:r>
          </w:p>
        </w:tc>
        <w:tc>
          <w:tcPr>
            <w:tcW w:w="968" w:type="pct"/>
            <w:tcBorders>
              <w:top w:val="single" w:sz="6" w:space="0" w:color="000000"/>
              <w:left w:val="nil"/>
              <w:bottom w:val="single" w:sz="6" w:space="0" w:color="000000"/>
              <w:right w:val="nil"/>
            </w:tcBorders>
            <w:shd w:val="clear" w:color="auto" w:fill="EBEBEB"/>
            <w:hideMark/>
          </w:tcPr>
          <w:p w14:paraId="23104E6C" w14:textId="77777777" w:rsidR="004D7856" w:rsidRDefault="004D7856" w:rsidP="006429D8">
            <w:pPr>
              <w:jc w:val="center"/>
              <w:rPr>
                <w:rFonts w:ascii="Arial Narrow" w:eastAsia="Times New Roman" w:hAnsi="Arial Narrow"/>
                <w:sz w:val="16"/>
                <w:szCs w:val="16"/>
              </w:rPr>
            </w:pPr>
            <w:r>
              <w:rPr>
                <w:rStyle w:val="cell-value"/>
                <w:rFonts w:ascii="Arial Narrow" w:eastAsia="Times New Roman" w:hAnsi="Arial Narrow"/>
                <w:b/>
                <w:bCs/>
                <w:szCs w:val="18"/>
              </w:rPr>
              <w:t>83 per 1,000</w:t>
            </w:r>
            <w:r>
              <w:rPr>
                <w:rFonts w:ascii="Arial Narrow" w:eastAsia="Times New Roman" w:hAnsi="Arial Narrow"/>
                <w:szCs w:val="18"/>
              </w:rPr>
              <w:br/>
            </w:r>
            <w:r>
              <w:rPr>
                <w:rStyle w:val="cell-value"/>
                <w:rFonts w:ascii="Arial Narrow" w:eastAsia="Times New Roman" w:hAnsi="Arial Narrow"/>
                <w:szCs w:val="18"/>
              </w:rPr>
              <w:t>(43 to 162)</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439D4885" w14:textId="77777777" w:rsidR="004D7856" w:rsidRDefault="004D7856"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1.73</w:t>
            </w:r>
            <w:r>
              <w:rPr>
                <w:rFonts w:ascii="Arial Narrow" w:eastAsia="Times New Roman" w:hAnsi="Arial Narrow"/>
                <w:sz w:val="16"/>
                <w:szCs w:val="16"/>
              </w:rPr>
              <w:br/>
            </w:r>
            <w:r>
              <w:rPr>
                <w:rStyle w:val="cell"/>
                <w:rFonts w:ascii="Arial Narrow" w:hAnsi="Arial Narrow"/>
                <w:sz w:val="16"/>
                <w:szCs w:val="16"/>
              </w:rPr>
              <w:t>(0.89 to 3.38)</w:t>
            </w:r>
            <w:r>
              <w:rPr>
                <w:rFonts w:ascii="Arial Narrow" w:eastAsia="Times New Roman" w:hAnsi="Arial Narrow"/>
                <w:sz w:val="16"/>
                <w:szCs w:val="16"/>
              </w:rPr>
              <w:t xml:space="preserve"> </w:t>
            </w:r>
          </w:p>
        </w:tc>
        <w:tc>
          <w:tcPr>
            <w:tcW w:w="765" w:type="pct"/>
            <w:tcBorders>
              <w:top w:val="single" w:sz="6" w:space="0" w:color="000000"/>
              <w:left w:val="nil"/>
              <w:bottom w:val="single" w:sz="6" w:space="0" w:color="000000"/>
              <w:right w:val="nil"/>
            </w:tcBorders>
            <w:vAlign w:val="center"/>
            <w:hideMark/>
          </w:tcPr>
          <w:p w14:paraId="03F3F481" w14:textId="77777777" w:rsidR="004D7856" w:rsidRDefault="004D7856" w:rsidP="006429D8">
            <w:pPr>
              <w:jc w:val="center"/>
              <w:rPr>
                <w:rFonts w:ascii="Arial Narrow" w:eastAsia="Times New Roman" w:hAnsi="Arial Narrow"/>
                <w:sz w:val="16"/>
                <w:szCs w:val="16"/>
              </w:rPr>
            </w:pPr>
            <w:r>
              <w:rPr>
                <w:rFonts w:ascii="Arial Narrow" w:eastAsia="Times New Roman" w:hAnsi="Arial Narrow"/>
                <w:sz w:val="16"/>
                <w:szCs w:val="16"/>
              </w:rPr>
              <w:t>509</w:t>
            </w:r>
            <w:r>
              <w:rPr>
                <w:rFonts w:ascii="Arial Narrow" w:eastAsia="Times New Roman" w:hAnsi="Arial Narrow"/>
                <w:sz w:val="16"/>
                <w:szCs w:val="16"/>
              </w:rPr>
              <w:br/>
              <w:t xml:space="preserve">(2 RCTs) </w:t>
            </w:r>
          </w:p>
        </w:tc>
        <w:tc>
          <w:tcPr>
            <w:tcW w:w="841" w:type="pct"/>
            <w:tcBorders>
              <w:top w:val="single" w:sz="6" w:space="0" w:color="000000"/>
              <w:left w:val="nil"/>
              <w:bottom w:val="single" w:sz="6" w:space="0" w:color="000000"/>
              <w:right w:val="nil"/>
            </w:tcBorders>
            <w:vAlign w:val="center"/>
            <w:hideMark/>
          </w:tcPr>
          <w:p w14:paraId="40F7B8B4" w14:textId="77777777" w:rsidR="004D7856" w:rsidRDefault="004D7856"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00501EC1" w14:textId="77777777" w:rsidTr="004D7856">
        <w:trPr>
          <w:gridAfter w:val="1"/>
          <w:wAfter w:w="48" w:type="pct"/>
          <w:cantSplit/>
        </w:trPr>
        <w:tc>
          <w:tcPr>
            <w:tcW w:w="819" w:type="pct"/>
            <w:gridSpan w:val="2"/>
            <w:tcBorders>
              <w:top w:val="single" w:sz="6" w:space="0" w:color="000000"/>
              <w:left w:val="nil"/>
              <w:bottom w:val="single" w:sz="6" w:space="0" w:color="000000"/>
              <w:right w:val="nil"/>
            </w:tcBorders>
            <w:vAlign w:val="center"/>
            <w:hideMark/>
          </w:tcPr>
          <w:p w14:paraId="598C42E8" w14:textId="77777777" w:rsidR="004D7856" w:rsidRDefault="004D7856" w:rsidP="006429D8">
            <w:pPr>
              <w:jc w:val="center"/>
              <w:rPr>
                <w:rFonts w:ascii="Arial Narrow" w:eastAsia="Times New Roman" w:hAnsi="Arial Narrow"/>
                <w:sz w:val="16"/>
                <w:szCs w:val="16"/>
              </w:rPr>
            </w:pPr>
            <w:r>
              <w:rPr>
                <w:rStyle w:val="label"/>
                <w:rFonts w:ascii="Arial Narrow" w:eastAsia="Times New Roman" w:hAnsi="Arial Narrow"/>
                <w:szCs w:val="18"/>
              </w:rPr>
              <w:t>Group B streptococcus</w:t>
            </w:r>
            <w:r>
              <w:rPr>
                <w:rFonts w:ascii="Arial Narrow" w:eastAsia="Times New Roman" w:hAnsi="Arial Narrow"/>
                <w:sz w:val="16"/>
                <w:szCs w:val="16"/>
              </w:rPr>
              <w:t xml:space="preserve"> </w:t>
            </w:r>
          </w:p>
        </w:tc>
        <w:tc>
          <w:tcPr>
            <w:tcW w:w="793" w:type="pct"/>
            <w:tcBorders>
              <w:top w:val="single" w:sz="6" w:space="0" w:color="000000"/>
              <w:left w:val="nil"/>
              <w:bottom w:val="single" w:sz="6" w:space="0" w:color="000000"/>
              <w:right w:val="nil"/>
            </w:tcBorders>
            <w:vAlign w:val="center"/>
            <w:hideMark/>
          </w:tcPr>
          <w:p w14:paraId="74EF9259" w14:textId="5121D487" w:rsidR="004D7856" w:rsidRDefault="0029175C" w:rsidP="006429D8">
            <w:pPr>
              <w:rPr>
                <w:rFonts w:ascii="Arial Narrow" w:eastAsia="Times New Roman" w:hAnsi="Arial Narrow"/>
                <w:sz w:val="16"/>
                <w:szCs w:val="16"/>
              </w:rPr>
            </w:pPr>
            <w:r>
              <w:rPr>
                <w:rFonts w:ascii="Arial Narrow" w:eastAsia="Times New Roman" w:hAnsi="Arial Narrow"/>
                <w:sz w:val="16"/>
                <w:szCs w:val="16"/>
              </w:rPr>
              <w:t>529</w:t>
            </w:r>
            <w:r w:rsidR="004D7856">
              <w:rPr>
                <w:rFonts w:ascii="Arial Narrow" w:eastAsia="Times New Roman" w:hAnsi="Arial Narrow"/>
                <w:sz w:val="16"/>
                <w:szCs w:val="16"/>
              </w:rPr>
              <w:t xml:space="preserve"> per 1,000 </w:t>
            </w:r>
          </w:p>
        </w:tc>
        <w:tc>
          <w:tcPr>
            <w:tcW w:w="968" w:type="pct"/>
            <w:tcBorders>
              <w:top w:val="single" w:sz="6" w:space="0" w:color="000000"/>
              <w:left w:val="nil"/>
              <w:bottom w:val="single" w:sz="6" w:space="0" w:color="000000"/>
              <w:right w:val="nil"/>
            </w:tcBorders>
            <w:shd w:val="clear" w:color="auto" w:fill="EBEBEB"/>
            <w:hideMark/>
          </w:tcPr>
          <w:p w14:paraId="25CE58E5" w14:textId="3EF2DC5D" w:rsidR="004D7856" w:rsidRDefault="0029175C" w:rsidP="0029175C">
            <w:pPr>
              <w:jc w:val="center"/>
              <w:rPr>
                <w:rFonts w:ascii="Arial Narrow" w:eastAsia="Times New Roman" w:hAnsi="Arial Narrow"/>
                <w:sz w:val="16"/>
                <w:szCs w:val="16"/>
              </w:rPr>
            </w:pPr>
            <w:r>
              <w:rPr>
                <w:rStyle w:val="cell-value"/>
                <w:rFonts w:ascii="Arial Narrow" w:eastAsia="Times New Roman" w:hAnsi="Arial Narrow"/>
                <w:b/>
                <w:bCs/>
                <w:szCs w:val="18"/>
              </w:rPr>
              <w:t>402</w:t>
            </w:r>
            <w:r w:rsidR="004D7856">
              <w:rPr>
                <w:rStyle w:val="cell-value"/>
                <w:rFonts w:ascii="Arial Narrow" w:eastAsia="Times New Roman" w:hAnsi="Arial Narrow"/>
                <w:b/>
                <w:bCs/>
                <w:szCs w:val="18"/>
              </w:rPr>
              <w:t xml:space="preserve"> per 1,000</w:t>
            </w:r>
            <w:r w:rsidR="004D7856">
              <w:rPr>
                <w:rFonts w:ascii="Arial Narrow" w:eastAsia="Times New Roman" w:hAnsi="Arial Narrow"/>
                <w:szCs w:val="18"/>
              </w:rPr>
              <w:br/>
            </w:r>
            <w:r w:rsidR="004D7856">
              <w:rPr>
                <w:rStyle w:val="cell-value"/>
                <w:rFonts w:ascii="Arial Narrow" w:eastAsia="Times New Roman" w:hAnsi="Arial Narrow"/>
                <w:szCs w:val="18"/>
              </w:rPr>
              <w:t>(</w:t>
            </w:r>
            <w:r>
              <w:rPr>
                <w:rStyle w:val="cell-value"/>
                <w:rFonts w:ascii="Arial Narrow" w:eastAsia="Times New Roman" w:hAnsi="Arial Narrow"/>
                <w:szCs w:val="18"/>
              </w:rPr>
              <w:t>323</w:t>
            </w:r>
            <w:r w:rsidR="004D7856">
              <w:rPr>
                <w:rStyle w:val="cell-value"/>
                <w:rFonts w:ascii="Arial Narrow" w:eastAsia="Times New Roman" w:hAnsi="Arial Narrow"/>
                <w:szCs w:val="18"/>
              </w:rPr>
              <w:t xml:space="preserve"> to </w:t>
            </w:r>
            <w:r>
              <w:rPr>
                <w:rStyle w:val="cell-value"/>
                <w:rFonts w:ascii="Arial Narrow" w:eastAsia="Times New Roman" w:hAnsi="Arial Narrow"/>
                <w:szCs w:val="18"/>
              </w:rPr>
              <w:t>514</w:t>
            </w:r>
            <w:r w:rsidR="004D7856">
              <w:rPr>
                <w:rStyle w:val="cell-value"/>
                <w:rFonts w:ascii="Arial Narrow" w:eastAsia="Times New Roman" w:hAnsi="Arial Narrow"/>
                <w:szCs w:val="18"/>
              </w:rPr>
              <w:t>)</w:t>
            </w:r>
            <w:r w:rsidR="004D7856">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783506B4" w14:textId="3884AA64" w:rsidR="004D7856" w:rsidRDefault="004D7856" w:rsidP="0029175C">
            <w:pPr>
              <w:jc w:val="center"/>
              <w:rPr>
                <w:rFonts w:ascii="Arial Narrow" w:eastAsia="Times New Roman" w:hAnsi="Arial Narrow"/>
                <w:sz w:val="16"/>
                <w:szCs w:val="16"/>
              </w:rPr>
            </w:pPr>
            <w:r>
              <w:rPr>
                <w:rStyle w:val="block"/>
                <w:rFonts w:ascii="Arial Narrow" w:eastAsia="Times New Roman" w:hAnsi="Arial Narrow"/>
                <w:b/>
                <w:bCs/>
                <w:sz w:val="16"/>
                <w:szCs w:val="16"/>
              </w:rPr>
              <w:t>RR 0.7</w:t>
            </w:r>
            <w:r w:rsidR="0029175C">
              <w:rPr>
                <w:rStyle w:val="block"/>
                <w:rFonts w:ascii="Arial Narrow" w:eastAsia="Times New Roman" w:hAnsi="Arial Narrow"/>
                <w:b/>
                <w:bCs/>
                <w:sz w:val="16"/>
                <w:szCs w:val="16"/>
              </w:rPr>
              <w:t>6</w:t>
            </w:r>
            <w:r>
              <w:rPr>
                <w:rFonts w:ascii="Arial Narrow" w:eastAsia="Times New Roman" w:hAnsi="Arial Narrow"/>
                <w:sz w:val="16"/>
                <w:szCs w:val="16"/>
              </w:rPr>
              <w:br/>
            </w:r>
            <w:r>
              <w:rPr>
                <w:rStyle w:val="cell"/>
                <w:rFonts w:ascii="Arial Narrow" w:hAnsi="Arial Narrow"/>
                <w:sz w:val="16"/>
                <w:szCs w:val="16"/>
              </w:rPr>
              <w:t>(0.</w:t>
            </w:r>
            <w:r w:rsidR="0029175C">
              <w:rPr>
                <w:rStyle w:val="cell"/>
                <w:rFonts w:ascii="Arial Narrow" w:hAnsi="Arial Narrow"/>
                <w:sz w:val="16"/>
                <w:szCs w:val="16"/>
              </w:rPr>
              <w:t>61 to 0.97</w:t>
            </w:r>
            <w:r>
              <w:rPr>
                <w:rStyle w:val="cell"/>
                <w:rFonts w:ascii="Arial Narrow" w:hAnsi="Arial Narrow"/>
                <w:sz w:val="16"/>
                <w:szCs w:val="16"/>
              </w:rPr>
              <w:t>)</w:t>
            </w:r>
            <w:r>
              <w:rPr>
                <w:rFonts w:ascii="Arial Narrow" w:eastAsia="Times New Roman" w:hAnsi="Arial Narrow"/>
                <w:sz w:val="16"/>
                <w:szCs w:val="16"/>
              </w:rPr>
              <w:t xml:space="preserve"> </w:t>
            </w:r>
          </w:p>
        </w:tc>
        <w:tc>
          <w:tcPr>
            <w:tcW w:w="765" w:type="pct"/>
            <w:tcBorders>
              <w:top w:val="single" w:sz="6" w:space="0" w:color="000000"/>
              <w:left w:val="nil"/>
              <w:bottom w:val="single" w:sz="6" w:space="0" w:color="000000"/>
              <w:right w:val="nil"/>
            </w:tcBorders>
            <w:vAlign w:val="center"/>
            <w:hideMark/>
          </w:tcPr>
          <w:p w14:paraId="254F2C77" w14:textId="0B8AB690" w:rsidR="004D7856" w:rsidRDefault="004D7856" w:rsidP="0029175C">
            <w:pPr>
              <w:jc w:val="center"/>
              <w:rPr>
                <w:rFonts w:ascii="Arial Narrow" w:eastAsia="Times New Roman" w:hAnsi="Arial Narrow"/>
                <w:sz w:val="16"/>
                <w:szCs w:val="16"/>
              </w:rPr>
            </w:pPr>
            <w:r>
              <w:rPr>
                <w:rFonts w:ascii="Arial Narrow" w:eastAsia="Times New Roman" w:hAnsi="Arial Narrow"/>
                <w:sz w:val="16"/>
                <w:szCs w:val="16"/>
              </w:rPr>
              <w:t>2</w:t>
            </w:r>
            <w:r w:rsidR="0029175C">
              <w:rPr>
                <w:rFonts w:ascii="Arial Narrow" w:eastAsia="Times New Roman" w:hAnsi="Arial Narrow"/>
                <w:sz w:val="16"/>
                <w:szCs w:val="16"/>
              </w:rPr>
              <w:t>44</w:t>
            </w:r>
            <w:r w:rsidR="0029175C">
              <w:rPr>
                <w:rFonts w:ascii="Arial Narrow" w:eastAsia="Times New Roman" w:hAnsi="Arial Narrow"/>
                <w:sz w:val="16"/>
                <w:szCs w:val="16"/>
              </w:rPr>
              <w:br/>
              <w:t>(3</w:t>
            </w:r>
            <w:r>
              <w:rPr>
                <w:rFonts w:ascii="Arial Narrow" w:eastAsia="Times New Roman" w:hAnsi="Arial Narrow"/>
                <w:sz w:val="16"/>
                <w:szCs w:val="16"/>
              </w:rPr>
              <w:t xml:space="preserve"> RCTs) </w:t>
            </w:r>
          </w:p>
        </w:tc>
        <w:tc>
          <w:tcPr>
            <w:tcW w:w="841" w:type="pct"/>
            <w:tcBorders>
              <w:top w:val="single" w:sz="6" w:space="0" w:color="000000"/>
              <w:left w:val="nil"/>
              <w:bottom w:val="single" w:sz="6" w:space="0" w:color="000000"/>
              <w:right w:val="nil"/>
            </w:tcBorders>
            <w:vAlign w:val="center"/>
            <w:hideMark/>
          </w:tcPr>
          <w:p w14:paraId="69699B7B" w14:textId="1704A975" w:rsidR="004D7856" w:rsidRDefault="004D7856"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sidR="00C828D8">
              <w:rPr>
                <w:rStyle w:val="quality-sign"/>
                <w:rFonts w:ascii="MS Mincho" w:eastAsia="MS Mincho" w:hAnsi="MS Mincho" w:cs="MS Mincho"/>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sidR="00C828D8">
              <w:rPr>
                <w:rStyle w:val="quality-text"/>
                <w:rFonts w:ascii="Arial Narrow" w:eastAsia="Times New Roman" w:hAnsi="Arial Narrow"/>
                <w:sz w:val="16"/>
                <w:szCs w:val="16"/>
              </w:rPr>
              <w:t xml:space="preserve">VERY </w:t>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
        </w:tc>
      </w:tr>
      <w:tr w:rsidR="004D7856" w14:paraId="574816B7" w14:textId="77777777" w:rsidTr="004D7856">
        <w:trPr>
          <w:gridAfter w:val="1"/>
          <w:wAfter w:w="48" w:type="pct"/>
          <w:cantSplit/>
        </w:trPr>
        <w:tc>
          <w:tcPr>
            <w:tcW w:w="819" w:type="pct"/>
            <w:gridSpan w:val="2"/>
            <w:tcBorders>
              <w:top w:val="single" w:sz="6" w:space="0" w:color="000000"/>
              <w:left w:val="nil"/>
              <w:bottom w:val="single" w:sz="6" w:space="0" w:color="000000"/>
              <w:right w:val="nil"/>
            </w:tcBorders>
            <w:vAlign w:val="center"/>
            <w:hideMark/>
          </w:tcPr>
          <w:p w14:paraId="1CB878C7" w14:textId="77777777" w:rsidR="004D7856" w:rsidRDefault="004D7856" w:rsidP="006429D8">
            <w:pPr>
              <w:jc w:val="center"/>
              <w:rPr>
                <w:rFonts w:ascii="Arial Narrow" w:eastAsia="Times New Roman" w:hAnsi="Arial Narrow"/>
                <w:sz w:val="16"/>
                <w:szCs w:val="16"/>
              </w:rPr>
            </w:pPr>
            <w:r>
              <w:rPr>
                <w:rStyle w:val="label"/>
                <w:rFonts w:ascii="Arial Narrow" w:eastAsia="Times New Roman" w:hAnsi="Arial Narrow"/>
                <w:szCs w:val="18"/>
              </w:rPr>
              <w:t>Caesarean section</w:t>
            </w:r>
            <w:r>
              <w:rPr>
                <w:rFonts w:ascii="Arial Narrow" w:eastAsia="Times New Roman" w:hAnsi="Arial Narrow"/>
                <w:sz w:val="16"/>
                <w:szCs w:val="16"/>
              </w:rPr>
              <w:t xml:space="preserve"> </w:t>
            </w:r>
          </w:p>
        </w:tc>
        <w:tc>
          <w:tcPr>
            <w:tcW w:w="793" w:type="pct"/>
            <w:tcBorders>
              <w:top w:val="single" w:sz="6" w:space="0" w:color="000000"/>
              <w:left w:val="nil"/>
              <w:bottom w:val="single" w:sz="6" w:space="0" w:color="000000"/>
              <w:right w:val="nil"/>
            </w:tcBorders>
            <w:vAlign w:val="center"/>
            <w:hideMark/>
          </w:tcPr>
          <w:p w14:paraId="6BFE39A4" w14:textId="77777777" w:rsidR="004D7856" w:rsidRDefault="004D7856" w:rsidP="006429D8">
            <w:pPr>
              <w:rPr>
                <w:rFonts w:ascii="Arial Narrow" w:eastAsia="Times New Roman" w:hAnsi="Arial Narrow"/>
                <w:sz w:val="16"/>
                <w:szCs w:val="16"/>
              </w:rPr>
            </w:pPr>
            <w:r>
              <w:rPr>
                <w:rFonts w:ascii="Arial Narrow" w:eastAsia="Times New Roman" w:hAnsi="Arial Narrow"/>
                <w:sz w:val="16"/>
                <w:szCs w:val="16"/>
              </w:rPr>
              <w:t xml:space="preserve">269 per 1,000 </w:t>
            </w:r>
          </w:p>
        </w:tc>
        <w:tc>
          <w:tcPr>
            <w:tcW w:w="968" w:type="pct"/>
            <w:tcBorders>
              <w:top w:val="single" w:sz="6" w:space="0" w:color="000000"/>
              <w:left w:val="nil"/>
              <w:bottom w:val="single" w:sz="6" w:space="0" w:color="000000"/>
              <w:right w:val="nil"/>
            </w:tcBorders>
            <w:shd w:val="clear" w:color="auto" w:fill="EBEBEB"/>
            <w:hideMark/>
          </w:tcPr>
          <w:p w14:paraId="12F63E85" w14:textId="77777777" w:rsidR="004D7856" w:rsidRDefault="004D7856" w:rsidP="006429D8">
            <w:pPr>
              <w:jc w:val="center"/>
              <w:rPr>
                <w:rFonts w:ascii="Arial Narrow" w:eastAsia="Times New Roman" w:hAnsi="Arial Narrow"/>
                <w:sz w:val="16"/>
                <w:szCs w:val="16"/>
              </w:rPr>
            </w:pPr>
            <w:r>
              <w:rPr>
                <w:rStyle w:val="cell-value"/>
                <w:rFonts w:ascii="Arial Narrow" w:eastAsia="Times New Roman" w:hAnsi="Arial Narrow"/>
                <w:b/>
                <w:bCs/>
                <w:szCs w:val="18"/>
              </w:rPr>
              <w:t>248 per 1,000</w:t>
            </w:r>
            <w:r>
              <w:rPr>
                <w:rFonts w:ascii="Arial Narrow" w:eastAsia="Times New Roman" w:hAnsi="Arial Narrow"/>
                <w:szCs w:val="18"/>
              </w:rPr>
              <w:br/>
            </w:r>
            <w:r>
              <w:rPr>
                <w:rStyle w:val="cell-value"/>
                <w:rFonts w:ascii="Arial Narrow" w:eastAsia="Times New Roman" w:hAnsi="Arial Narrow"/>
                <w:szCs w:val="18"/>
              </w:rPr>
              <w:t>(218 to 283)</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0BC92433" w14:textId="77777777" w:rsidR="004D7856" w:rsidRDefault="004D7856"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0.92</w:t>
            </w:r>
            <w:r>
              <w:rPr>
                <w:rFonts w:ascii="Arial Narrow" w:eastAsia="Times New Roman" w:hAnsi="Arial Narrow"/>
                <w:sz w:val="16"/>
                <w:szCs w:val="16"/>
              </w:rPr>
              <w:br/>
            </w:r>
            <w:r>
              <w:rPr>
                <w:rStyle w:val="cell"/>
                <w:rFonts w:ascii="Arial Narrow" w:hAnsi="Arial Narrow"/>
                <w:sz w:val="16"/>
                <w:szCs w:val="16"/>
              </w:rPr>
              <w:t>(0.81 to 1.05)</w:t>
            </w:r>
            <w:r>
              <w:rPr>
                <w:rFonts w:ascii="Arial Narrow" w:eastAsia="Times New Roman" w:hAnsi="Arial Narrow"/>
                <w:sz w:val="16"/>
                <w:szCs w:val="16"/>
              </w:rPr>
              <w:t xml:space="preserve"> </w:t>
            </w:r>
          </w:p>
        </w:tc>
        <w:tc>
          <w:tcPr>
            <w:tcW w:w="765" w:type="pct"/>
            <w:tcBorders>
              <w:top w:val="single" w:sz="6" w:space="0" w:color="000000"/>
              <w:left w:val="nil"/>
              <w:bottom w:val="single" w:sz="6" w:space="0" w:color="000000"/>
              <w:right w:val="nil"/>
            </w:tcBorders>
            <w:vAlign w:val="center"/>
            <w:hideMark/>
          </w:tcPr>
          <w:p w14:paraId="3E7E6EA0" w14:textId="77777777" w:rsidR="004D7856" w:rsidRDefault="004D7856" w:rsidP="006429D8">
            <w:pPr>
              <w:jc w:val="center"/>
              <w:rPr>
                <w:rFonts w:ascii="Arial Narrow" w:eastAsia="Times New Roman" w:hAnsi="Arial Narrow"/>
                <w:sz w:val="16"/>
                <w:szCs w:val="16"/>
              </w:rPr>
            </w:pPr>
            <w:r>
              <w:rPr>
                <w:rFonts w:ascii="Arial Narrow" w:eastAsia="Times New Roman" w:hAnsi="Arial Narrow"/>
                <w:sz w:val="16"/>
                <w:szCs w:val="16"/>
              </w:rPr>
              <w:t>2650</w:t>
            </w:r>
            <w:r>
              <w:rPr>
                <w:rFonts w:ascii="Arial Narrow" w:eastAsia="Times New Roman" w:hAnsi="Arial Narrow"/>
                <w:sz w:val="16"/>
                <w:szCs w:val="16"/>
              </w:rPr>
              <w:br/>
              <w:t xml:space="preserve">(15 RCTs) </w:t>
            </w:r>
          </w:p>
        </w:tc>
        <w:tc>
          <w:tcPr>
            <w:tcW w:w="841" w:type="pct"/>
            <w:tcBorders>
              <w:top w:val="single" w:sz="6" w:space="0" w:color="000000"/>
              <w:left w:val="nil"/>
              <w:bottom w:val="single" w:sz="6" w:space="0" w:color="000000"/>
              <w:right w:val="nil"/>
            </w:tcBorders>
            <w:vAlign w:val="center"/>
            <w:hideMark/>
          </w:tcPr>
          <w:p w14:paraId="1366CF83" w14:textId="77777777" w:rsidR="004D7856" w:rsidRDefault="004D7856"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1F5FD3A8" w14:textId="77777777" w:rsidTr="004D7856">
        <w:trPr>
          <w:cantSplit/>
        </w:trPr>
        <w:tc>
          <w:tcPr>
            <w:tcW w:w="5000" w:type="pct"/>
            <w:gridSpan w:val="8"/>
            <w:tcBorders>
              <w:top w:val="single" w:sz="6" w:space="0" w:color="000000"/>
              <w:left w:val="nil"/>
              <w:bottom w:val="single" w:sz="6" w:space="0" w:color="000000"/>
              <w:right w:val="nil"/>
            </w:tcBorders>
            <w:vAlign w:val="center"/>
            <w:hideMark/>
          </w:tcPr>
          <w:p w14:paraId="039C546F" w14:textId="14EC4484" w:rsidR="004D7856" w:rsidRDefault="004D7856" w:rsidP="006429D8">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4D7856" w14:paraId="6A47FCCB" w14:textId="77777777" w:rsidTr="004D7856">
        <w:trPr>
          <w:cantSplit/>
        </w:trPr>
        <w:tc>
          <w:tcPr>
            <w:tcW w:w="5000" w:type="pct"/>
            <w:gridSpan w:val="8"/>
            <w:tcBorders>
              <w:top w:val="single" w:sz="6" w:space="0" w:color="000000"/>
              <w:left w:val="nil"/>
              <w:bottom w:val="single" w:sz="6" w:space="0" w:color="000000"/>
              <w:right w:val="nil"/>
            </w:tcBorders>
            <w:vAlign w:val="center"/>
            <w:hideMark/>
          </w:tcPr>
          <w:p w14:paraId="3A47A9C0" w14:textId="77777777" w:rsidR="004D7856" w:rsidRDefault="004D7856" w:rsidP="004D7856">
            <w:pPr>
              <w:spacing w:line="240" w:lineRule="auto"/>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06D19DCF" w14:textId="77777777" w:rsidR="004D7856" w:rsidRDefault="004D7856"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Moderate heterogeneity in results </w:t>
      </w:r>
    </w:p>
    <w:p w14:paraId="329FB576" w14:textId="77777777" w:rsidR="004D7856" w:rsidRDefault="004D7856"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Heterogeneity in populations and type, timing and duration of intervention </w:t>
      </w:r>
    </w:p>
    <w:p w14:paraId="3401509A" w14:textId="77777777" w:rsidR="004D7856" w:rsidRDefault="004D7856"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Confidence interval crosses line of no effect </w:t>
      </w:r>
    </w:p>
    <w:p w14:paraId="317DEA87" w14:textId="53042C66" w:rsidR="004D7856" w:rsidRDefault="004D7856"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Unclear risk of performance and detection bias in one </w:t>
      </w:r>
      <w:r w:rsidR="006A47F7">
        <w:rPr>
          <w:rFonts w:ascii="Arial Narrow" w:eastAsia="Times New Roman" w:hAnsi="Arial Narrow"/>
          <w:color w:val="000000"/>
          <w:sz w:val="16"/>
          <w:szCs w:val="16"/>
          <w:lang w:val="en"/>
        </w:rPr>
        <w:t xml:space="preserve">study and high risk of </w:t>
      </w:r>
      <w:r w:rsidR="00C828D8">
        <w:rPr>
          <w:rFonts w:ascii="Arial Narrow" w:eastAsia="Times New Roman" w:hAnsi="Arial Narrow"/>
          <w:color w:val="000000"/>
          <w:sz w:val="16"/>
          <w:szCs w:val="16"/>
          <w:lang w:val="en"/>
        </w:rPr>
        <w:t>selection and performance bias</w:t>
      </w:r>
      <w:r>
        <w:rPr>
          <w:rFonts w:ascii="Arial Narrow" w:eastAsia="Times New Roman" w:hAnsi="Arial Narrow"/>
          <w:color w:val="000000"/>
          <w:sz w:val="16"/>
          <w:szCs w:val="16"/>
          <w:lang w:val="en"/>
        </w:rPr>
        <w:t xml:space="preserve"> </w:t>
      </w:r>
      <w:r w:rsidR="00C828D8">
        <w:rPr>
          <w:rFonts w:ascii="Arial Narrow" w:eastAsia="Times New Roman" w:hAnsi="Arial Narrow"/>
          <w:color w:val="000000"/>
          <w:sz w:val="16"/>
          <w:szCs w:val="16"/>
          <w:lang w:val="en"/>
        </w:rPr>
        <w:t>in another study</w:t>
      </w:r>
    </w:p>
    <w:tbl>
      <w:tblPr>
        <w:tblW w:w="4896" w:type="pct"/>
        <w:tblInd w:w="102" w:type="dxa"/>
        <w:tblCellMar>
          <w:top w:w="100" w:type="dxa"/>
          <w:left w:w="100" w:type="dxa"/>
          <w:bottom w:w="100" w:type="dxa"/>
          <w:right w:w="100" w:type="dxa"/>
        </w:tblCellMar>
        <w:tblLook w:val="04A0" w:firstRow="1" w:lastRow="0" w:firstColumn="1" w:lastColumn="0" w:noHBand="0" w:noVBand="1"/>
      </w:tblPr>
      <w:tblGrid>
        <w:gridCol w:w="1419"/>
        <w:gridCol w:w="1519"/>
        <w:gridCol w:w="1742"/>
        <w:gridCol w:w="1533"/>
        <w:gridCol w:w="1442"/>
        <w:gridCol w:w="1417"/>
      </w:tblGrid>
      <w:tr w:rsidR="004D7856" w:rsidRPr="008D6ABE" w14:paraId="29A508C3" w14:textId="77777777" w:rsidTr="004D7856">
        <w:trPr>
          <w:cantSplit/>
          <w:tblHeader/>
        </w:trPr>
        <w:tc>
          <w:tcPr>
            <w:tcW w:w="5000" w:type="pct"/>
            <w:gridSpan w:val="6"/>
            <w:tcBorders>
              <w:top w:val="single" w:sz="12" w:space="0" w:color="000000"/>
              <w:left w:val="nil"/>
              <w:bottom w:val="single" w:sz="12" w:space="0" w:color="000000"/>
              <w:right w:val="nil"/>
            </w:tcBorders>
            <w:vAlign w:val="center"/>
            <w:hideMark/>
          </w:tcPr>
          <w:p w14:paraId="426EA462" w14:textId="0E545922" w:rsidR="008F6D50" w:rsidRPr="008D6ABE" w:rsidRDefault="008F6D50" w:rsidP="004D7856">
            <w:pPr>
              <w:pStyle w:val="Heading5"/>
            </w:pPr>
            <w:r w:rsidRPr="008D6ABE">
              <w:t xml:space="preserve">Probiotics compared to placebo </w:t>
            </w:r>
            <w:r w:rsidR="004D7856">
              <w:t>during pregnancy — infant outcomes</w:t>
            </w:r>
          </w:p>
        </w:tc>
      </w:tr>
      <w:tr w:rsidR="004D7856" w14:paraId="52651071" w14:textId="77777777" w:rsidTr="004D7856">
        <w:trPr>
          <w:cantSplit/>
          <w:tblHeader/>
        </w:trPr>
        <w:tc>
          <w:tcPr>
            <w:tcW w:w="5000" w:type="pct"/>
            <w:gridSpan w:val="6"/>
            <w:tcBorders>
              <w:top w:val="single" w:sz="12" w:space="0" w:color="000000"/>
              <w:left w:val="nil"/>
              <w:bottom w:val="single" w:sz="12" w:space="0" w:color="000000"/>
              <w:right w:val="nil"/>
            </w:tcBorders>
            <w:vAlign w:val="center"/>
            <w:hideMark/>
          </w:tcPr>
          <w:p w14:paraId="3B4DED6B" w14:textId="77777777" w:rsidR="008F6D50" w:rsidRPr="00E177BD" w:rsidRDefault="008F6D50" w:rsidP="004D7856">
            <w:pPr>
              <w:spacing w:line="240" w:lineRule="auto"/>
              <w:rPr>
                <w:rFonts w:ascii="Arial Narrow" w:eastAsia="Times New Roman" w:hAnsi="Arial Narrow"/>
                <w:b/>
                <w:bCs/>
                <w:sz w:val="16"/>
                <w:szCs w:val="16"/>
              </w:rPr>
            </w:pPr>
            <w:r>
              <w:rPr>
                <w:rFonts w:ascii="Arial Narrow" w:eastAsia="Times New Roman" w:hAnsi="Arial Narrow"/>
                <w:b/>
                <w:bCs/>
                <w:sz w:val="16"/>
                <w:szCs w:val="16"/>
              </w:rPr>
              <w:t>P</w:t>
            </w:r>
            <w:r w:rsidRPr="00E177BD">
              <w:rPr>
                <w:rFonts w:ascii="Arial Narrow" w:eastAsia="Times New Roman" w:hAnsi="Arial Narrow"/>
                <w:b/>
                <w:bCs/>
                <w:sz w:val="16"/>
                <w:szCs w:val="16"/>
              </w:rPr>
              <w:t xml:space="preserve">atient or population: </w:t>
            </w:r>
            <w:r w:rsidRPr="00E177BD">
              <w:rPr>
                <w:rFonts w:ascii="Arial Narrow" w:eastAsia="Times New Roman" w:hAnsi="Arial Narrow"/>
                <w:bCs/>
                <w:sz w:val="16"/>
                <w:szCs w:val="16"/>
              </w:rPr>
              <w:t xml:space="preserve">Pregnant women </w:t>
            </w:r>
          </w:p>
          <w:p w14:paraId="3799EDC6" w14:textId="77777777" w:rsidR="008F6D50" w:rsidRPr="00E177BD" w:rsidRDefault="008F6D50" w:rsidP="004D7856">
            <w:pPr>
              <w:spacing w:line="240" w:lineRule="auto"/>
              <w:rPr>
                <w:rFonts w:ascii="Arial Narrow" w:eastAsia="Times New Roman" w:hAnsi="Arial Narrow"/>
                <w:b/>
                <w:bCs/>
                <w:sz w:val="16"/>
                <w:szCs w:val="16"/>
              </w:rPr>
            </w:pPr>
            <w:r w:rsidRPr="00E177BD">
              <w:rPr>
                <w:rFonts w:ascii="Arial Narrow" w:eastAsia="Times New Roman" w:hAnsi="Arial Narrow"/>
                <w:b/>
                <w:bCs/>
                <w:sz w:val="16"/>
                <w:szCs w:val="16"/>
              </w:rPr>
              <w:t>Setting:</w:t>
            </w:r>
            <w:r w:rsidRPr="00E177BD">
              <w:rPr>
                <w:rFonts w:ascii="Arial Narrow" w:eastAsia="Times New Roman" w:hAnsi="Arial Narrow"/>
                <w:bCs/>
                <w:sz w:val="16"/>
                <w:szCs w:val="16"/>
              </w:rPr>
              <w:t xml:space="preserve"> Australia, Brazil, Canada, Finland, Germany, Iran, Ireland, Italy, Korea, the Netherlands, New Zealand, Norway, Sweden, Taiwan, the United Kingdom</w:t>
            </w:r>
          </w:p>
          <w:p w14:paraId="27439ED8" w14:textId="77777777" w:rsidR="008F6D50" w:rsidRPr="00E177BD" w:rsidRDefault="008F6D50" w:rsidP="004D7856">
            <w:pPr>
              <w:spacing w:line="240" w:lineRule="auto"/>
              <w:rPr>
                <w:rFonts w:ascii="Arial Narrow" w:eastAsia="Times New Roman" w:hAnsi="Arial Narrow"/>
                <w:b/>
                <w:bCs/>
                <w:sz w:val="16"/>
                <w:szCs w:val="16"/>
              </w:rPr>
            </w:pPr>
            <w:r w:rsidRPr="00E177BD">
              <w:rPr>
                <w:rFonts w:ascii="Arial Narrow" w:eastAsia="Times New Roman" w:hAnsi="Arial Narrow"/>
                <w:b/>
                <w:bCs/>
                <w:sz w:val="16"/>
                <w:szCs w:val="16"/>
              </w:rPr>
              <w:t>Intervention:</w:t>
            </w:r>
            <w:r w:rsidRPr="00E177BD">
              <w:rPr>
                <w:rFonts w:ascii="Arial Narrow" w:eastAsia="Times New Roman" w:hAnsi="Arial Narrow"/>
                <w:bCs/>
                <w:sz w:val="16"/>
                <w:szCs w:val="16"/>
              </w:rPr>
              <w:t xml:space="preserve"> Probiotics administered to pregnant women</w:t>
            </w:r>
            <w:r w:rsidRPr="00E177BD">
              <w:rPr>
                <w:rFonts w:ascii="Arial Narrow" w:eastAsia="Times New Roman" w:hAnsi="Arial Narrow"/>
                <w:b/>
                <w:bCs/>
                <w:sz w:val="16"/>
                <w:szCs w:val="16"/>
              </w:rPr>
              <w:t xml:space="preserve"> </w:t>
            </w:r>
          </w:p>
          <w:p w14:paraId="68319D1B" w14:textId="77777777" w:rsidR="008F6D50" w:rsidRDefault="008F6D50" w:rsidP="004D7856">
            <w:pPr>
              <w:spacing w:line="240" w:lineRule="auto"/>
              <w:rPr>
                <w:rFonts w:ascii="Arial Narrow" w:eastAsia="Times New Roman" w:hAnsi="Arial Narrow"/>
                <w:sz w:val="16"/>
                <w:szCs w:val="16"/>
              </w:rPr>
            </w:pPr>
            <w:r w:rsidRPr="00E177BD">
              <w:rPr>
                <w:rFonts w:ascii="Arial Narrow" w:eastAsia="Times New Roman" w:hAnsi="Arial Narrow"/>
                <w:b/>
                <w:bCs/>
                <w:sz w:val="16"/>
                <w:szCs w:val="16"/>
              </w:rPr>
              <w:t xml:space="preserve">Comparison: </w:t>
            </w:r>
            <w:r w:rsidRPr="00E177BD">
              <w:rPr>
                <w:rFonts w:ascii="Arial Narrow" w:eastAsia="Times New Roman" w:hAnsi="Arial Narrow"/>
                <w:bCs/>
                <w:sz w:val="16"/>
                <w:szCs w:val="16"/>
              </w:rPr>
              <w:t>Placebo</w:t>
            </w:r>
            <w:r w:rsidRPr="00E177BD">
              <w:rPr>
                <w:rFonts w:ascii="Arial Narrow" w:eastAsia="Times New Roman" w:hAnsi="Arial Narrow"/>
                <w:b/>
                <w:bCs/>
                <w:sz w:val="16"/>
                <w:szCs w:val="16"/>
              </w:rPr>
              <w:t xml:space="preserve"> </w:t>
            </w:r>
          </w:p>
        </w:tc>
      </w:tr>
      <w:tr w:rsidR="004D7856" w14:paraId="5361BC1E" w14:textId="77777777" w:rsidTr="004D7856">
        <w:trPr>
          <w:cantSplit/>
          <w:tblHeader/>
        </w:trPr>
        <w:tc>
          <w:tcPr>
            <w:tcW w:w="782" w:type="pct"/>
            <w:vMerge w:val="restart"/>
            <w:tcBorders>
              <w:right w:val="single" w:sz="6" w:space="0" w:color="EFEFEF"/>
            </w:tcBorders>
            <w:shd w:val="clear" w:color="auto" w:fill="3271AA"/>
            <w:vAlign w:val="center"/>
            <w:hideMark/>
          </w:tcPr>
          <w:p w14:paraId="0A348DA7" w14:textId="77777777" w:rsidR="008F6D50" w:rsidRDefault="008F6D50" w:rsidP="006429D8">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797" w:type="pct"/>
            <w:gridSpan w:val="2"/>
            <w:tcBorders>
              <w:top w:val="single" w:sz="6" w:space="0" w:color="EFEFEF"/>
              <w:right w:val="single" w:sz="6" w:space="0" w:color="EFEFEF"/>
            </w:tcBorders>
            <w:shd w:val="clear" w:color="auto" w:fill="E0E0E0"/>
            <w:hideMark/>
          </w:tcPr>
          <w:p w14:paraId="1D2B07E7" w14:textId="77777777" w:rsidR="008F6D50" w:rsidRDefault="008F6D50" w:rsidP="006429D8">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845" w:type="pct"/>
            <w:vMerge w:val="restart"/>
            <w:tcBorders>
              <w:right w:val="single" w:sz="6" w:space="0" w:color="EFEFEF"/>
            </w:tcBorders>
            <w:shd w:val="clear" w:color="auto" w:fill="3271AA"/>
            <w:vAlign w:val="center"/>
            <w:hideMark/>
          </w:tcPr>
          <w:p w14:paraId="16DAE04B" w14:textId="77777777" w:rsidR="008F6D50" w:rsidRDefault="008F6D50" w:rsidP="006429D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795" w:type="pct"/>
            <w:vMerge w:val="restart"/>
            <w:tcBorders>
              <w:right w:val="single" w:sz="6" w:space="0" w:color="EFEFEF"/>
            </w:tcBorders>
            <w:shd w:val="clear" w:color="auto" w:fill="3271AA"/>
            <w:vAlign w:val="center"/>
            <w:hideMark/>
          </w:tcPr>
          <w:p w14:paraId="65DB59A3" w14:textId="77777777" w:rsidR="008F6D50" w:rsidRDefault="008F6D50" w:rsidP="006429D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781" w:type="pct"/>
            <w:vMerge w:val="restart"/>
            <w:tcBorders>
              <w:right w:val="single" w:sz="6" w:space="0" w:color="EFEFEF"/>
            </w:tcBorders>
            <w:shd w:val="clear" w:color="auto" w:fill="3271AA"/>
            <w:vAlign w:val="center"/>
            <w:hideMark/>
          </w:tcPr>
          <w:p w14:paraId="2B0AAB7E" w14:textId="77777777" w:rsidR="008F6D50" w:rsidRDefault="008F6D50" w:rsidP="006429D8">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4D7856" w14:paraId="0101A396" w14:textId="77777777" w:rsidTr="004D7856">
        <w:trPr>
          <w:cantSplit/>
          <w:tblHeader/>
        </w:trPr>
        <w:tc>
          <w:tcPr>
            <w:tcW w:w="782" w:type="pct"/>
            <w:vMerge/>
            <w:tcBorders>
              <w:right w:val="single" w:sz="6" w:space="0" w:color="EFEFEF"/>
            </w:tcBorders>
            <w:vAlign w:val="center"/>
            <w:hideMark/>
          </w:tcPr>
          <w:p w14:paraId="677A9F57" w14:textId="77777777" w:rsidR="008F6D50" w:rsidRDefault="008F6D50" w:rsidP="006429D8">
            <w:pPr>
              <w:rPr>
                <w:rFonts w:ascii="Arial Narrow" w:eastAsiaTheme="minorEastAsia" w:hAnsi="Arial Narrow"/>
                <w:color w:val="FFFFFF"/>
                <w:sz w:val="16"/>
                <w:szCs w:val="16"/>
              </w:rPr>
            </w:pPr>
          </w:p>
        </w:tc>
        <w:tc>
          <w:tcPr>
            <w:tcW w:w="837" w:type="pct"/>
            <w:tcBorders>
              <w:top w:val="single" w:sz="6" w:space="0" w:color="EFEFEF"/>
              <w:right w:val="single" w:sz="6" w:space="0" w:color="EFEFEF"/>
            </w:tcBorders>
            <w:shd w:val="clear" w:color="auto" w:fill="E0E0E0"/>
            <w:hideMark/>
          </w:tcPr>
          <w:p w14:paraId="663FC1A4" w14:textId="77777777" w:rsidR="008F6D50" w:rsidRDefault="008F6D50" w:rsidP="006429D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placebo</w:t>
            </w:r>
          </w:p>
        </w:tc>
        <w:tc>
          <w:tcPr>
            <w:tcW w:w="960" w:type="pct"/>
            <w:tcBorders>
              <w:top w:val="single" w:sz="6" w:space="0" w:color="EFEFEF"/>
              <w:right w:val="single" w:sz="6" w:space="0" w:color="EFEFEF"/>
            </w:tcBorders>
            <w:shd w:val="clear" w:color="auto" w:fill="E0E0E0"/>
            <w:hideMark/>
          </w:tcPr>
          <w:p w14:paraId="36F4A624" w14:textId="77777777" w:rsidR="008F6D50" w:rsidRDefault="008F6D50" w:rsidP="006429D8">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Probiotics administered to pregnant women</w:t>
            </w:r>
          </w:p>
        </w:tc>
        <w:tc>
          <w:tcPr>
            <w:tcW w:w="845" w:type="pct"/>
            <w:vMerge/>
            <w:tcBorders>
              <w:right w:val="single" w:sz="6" w:space="0" w:color="EFEFEF"/>
            </w:tcBorders>
            <w:vAlign w:val="center"/>
            <w:hideMark/>
          </w:tcPr>
          <w:p w14:paraId="62968CB1" w14:textId="77777777" w:rsidR="008F6D50" w:rsidRDefault="008F6D50" w:rsidP="006429D8">
            <w:pPr>
              <w:rPr>
                <w:rFonts w:ascii="Arial Narrow" w:eastAsiaTheme="minorEastAsia" w:hAnsi="Arial Narrow"/>
                <w:color w:val="FFFFFF"/>
                <w:sz w:val="16"/>
                <w:szCs w:val="16"/>
              </w:rPr>
            </w:pPr>
          </w:p>
        </w:tc>
        <w:tc>
          <w:tcPr>
            <w:tcW w:w="795" w:type="pct"/>
            <w:vMerge/>
            <w:tcBorders>
              <w:right w:val="single" w:sz="6" w:space="0" w:color="EFEFEF"/>
            </w:tcBorders>
            <w:vAlign w:val="center"/>
            <w:hideMark/>
          </w:tcPr>
          <w:p w14:paraId="44A0456E" w14:textId="77777777" w:rsidR="008F6D50" w:rsidRDefault="008F6D50" w:rsidP="006429D8">
            <w:pPr>
              <w:rPr>
                <w:rFonts w:ascii="Arial Narrow" w:eastAsiaTheme="minorEastAsia" w:hAnsi="Arial Narrow"/>
                <w:color w:val="FFFFFF"/>
                <w:sz w:val="16"/>
                <w:szCs w:val="16"/>
              </w:rPr>
            </w:pPr>
          </w:p>
        </w:tc>
        <w:tc>
          <w:tcPr>
            <w:tcW w:w="781" w:type="pct"/>
            <w:vMerge/>
            <w:tcBorders>
              <w:right w:val="single" w:sz="6" w:space="0" w:color="EFEFEF"/>
            </w:tcBorders>
            <w:vAlign w:val="center"/>
            <w:hideMark/>
          </w:tcPr>
          <w:p w14:paraId="539472B6" w14:textId="77777777" w:rsidR="008F6D50" w:rsidRDefault="008F6D50" w:rsidP="006429D8">
            <w:pPr>
              <w:rPr>
                <w:rFonts w:ascii="Arial Narrow" w:eastAsiaTheme="minorEastAsia" w:hAnsi="Arial Narrow"/>
                <w:color w:val="FFFFFF"/>
                <w:sz w:val="16"/>
                <w:szCs w:val="16"/>
              </w:rPr>
            </w:pPr>
          </w:p>
        </w:tc>
      </w:tr>
      <w:tr w:rsidR="004D7856" w14:paraId="5D34D4A9" w14:textId="77777777" w:rsidTr="004D7856">
        <w:trPr>
          <w:cantSplit/>
        </w:trPr>
        <w:tc>
          <w:tcPr>
            <w:tcW w:w="782" w:type="pct"/>
            <w:tcBorders>
              <w:top w:val="single" w:sz="6" w:space="0" w:color="000000"/>
              <w:left w:val="nil"/>
              <w:bottom w:val="single" w:sz="6" w:space="0" w:color="000000"/>
              <w:right w:val="nil"/>
            </w:tcBorders>
            <w:vAlign w:val="center"/>
            <w:hideMark/>
          </w:tcPr>
          <w:p w14:paraId="36ED6172" w14:textId="77777777" w:rsidR="008F6D50" w:rsidRDefault="008F6D50" w:rsidP="006429D8">
            <w:pPr>
              <w:jc w:val="center"/>
              <w:rPr>
                <w:rFonts w:ascii="Arial Narrow" w:eastAsia="Times New Roman" w:hAnsi="Arial Narrow"/>
                <w:sz w:val="16"/>
                <w:szCs w:val="16"/>
              </w:rPr>
            </w:pPr>
            <w:r>
              <w:rPr>
                <w:rStyle w:val="label"/>
                <w:rFonts w:ascii="Arial Narrow" w:eastAsia="Times New Roman" w:hAnsi="Arial Narrow"/>
                <w:szCs w:val="18"/>
              </w:rPr>
              <w:t>Perinatal death</w:t>
            </w:r>
            <w:r>
              <w:rPr>
                <w:rFonts w:ascii="Arial Narrow" w:eastAsia="Times New Roman" w:hAnsi="Arial Narrow"/>
                <w:sz w:val="16"/>
                <w:szCs w:val="16"/>
              </w:rPr>
              <w:t xml:space="preserve"> </w:t>
            </w:r>
          </w:p>
        </w:tc>
        <w:tc>
          <w:tcPr>
            <w:tcW w:w="837" w:type="pct"/>
            <w:tcBorders>
              <w:top w:val="single" w:sz="6" w:space="0" w:color="000000"/>
              <w:left w:val="nil"/>
              <w:bottom w:val="single" w:sz="6" w:space="0" w:color="000000"/>
              <w:right w:val="nil"/>
            </w:tcBorders>
            <w:vAlign w:val="center"/>
            <w:hideMark/>
          </w:tcPr>
          <w:p w14:paraId="4BC035D8" w14:textId="77777777" w:rsidR="008F6D50" w:rsidRDefault="008F6D50" w:rsidP="006429D8">
            <w:pPr>
              <w:rPr>
                <w:rFonts w:ascii="Arial Narrow" w:eastAsia="Times New Roman" w:hAnsi="Arial Narrow"/>
                <w:sz w:val="16"/>
                <w:szCs w:val="16"/>
              </w:rPr>
            </w:pPr>
            <w:r>
              <w:rPr>
                <w:rFonts w:ascii="Arial Narrow" w:eastAsia="Times New Roman" w:hAnsi="Arial Narrow"/>
                <w:sz w:val="16"/>
                <w:szCs w:val="16"/>
              </w:rPr>
              <w:t xml:space="preserve">18 per 1,000 </w:t>
            </w:r>
          </w:p>
        </w:tc>
        <w:tc>
          <w:tcPr>
            <w:tcW w:w="960" w:type="pct"/>
            <w:tcBorders>
              <w:top w:val="single" w:sz="6" w:space="0" w:color="000000"/>
              <w:left w:val="nil"/>
              <w:bottom w:val="single" w:sz="6" w:space="0" w:color="000000"/>
              <w:right w:val="nil"/>
            </w:tcBorders>
            <w:shd w:val="clear" w:color="auto" w:fill="EBEBEB"/>
            <w:hideMark/>
          </w:tcPr>
          <w:p w14:paraId="27DE8632" w14:textId="77777777" w:rsidR="008F6D50" w:rsidRDefault="008F6D50" w:rsidP="006429D8">
            <w:pPr>
              <w:jc w:val="center"/>
              <w:rPr>
                <w:rFonts w:ascii="Arial Narrow" w:eastAsia="Times New Roman" w:hAnsi="Arial Narrow"/>
                <w:sz w:val="16"/>
                <w:szCs w:val="16"/>
              </w:rPr>
            </w:pPr>
            <w:r>
              <w:rPr>
                <w:rStyle w:val="cell-value"/>
                <w:rFonts w:ascii="Arial Narrow" w:eastAsia="Times New Roman" w:hAnsi="Arial Narrow"/>
                <w:b/>
                <w:bCs/>
                <w:szCs w:val="18"/>
              </w:rPr>
              <w:t>21 per 1,000</w:t>
            </w:r>
            <w:r>
              <w:rPr>
                <w:rFonts w:ascii="Arial Narrow" w:eastAsia="Times New Roman" w:hAnsi="Arial Narrow"/>
                <w:szCs w:val="18"/>
              </w:rPr>
              <w:br/>
            </w:r>
            <w:r>
              <w:rPr>
                <w:rStyle w:val="cell-value"/>
                <w:rFonts w:ascii="Arial Narrow" w:eastAsia="Times New Roman" w:hAnsi="Arial Narrow"/>
                <w:szCs w:val="18"/>
              </w:rPr>
              <w:t>(11 to 40)</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1ECF0721" w14:textId="77777777" w:rsidR="008F6D50" w:rsidRDefault="008F6D50"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1.17</w:t>
            </w:r>
            <w:r>
              <w:rPr>
                <w:rFonts w:ascii="Arial Narrow" w:eastAsia="Times New Roman" w:hAnsi="Arial Narrow"/>
                <w:sz w:val="16"/>
                <w:szCs w:val="16"/>
              </w:rPr>
              <w:br/>
            </w:r>
            <w:r>
              <w:rPr>
                <w:rStyle w:val="cell"/>
                <w:rFonts w:ascii="Arial Narrow" w:hAnsi="Arial Narrow"/>
                <w:sz w:val="16"/>
                <w:szCs w:val="16"/>
              </w:rPr>
              <w:t>(0.62 to 2.24)</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07514419" w14:textId="77777777" w:rsidR="008F6D50" w:rsidRDefault="008F6D50" w:rsidP="006429D8">
            <w:pPr>
              <w:jc w:val="center"/>
              <w:rPr>
                <w:rFonts w:ascii="Arial Narrow" w:eastAsia="Times New Roman" w:hAnsi="Arial Narrow"/>
                <w:sz w:val="16"/>
                <w:szCs w:val="16"/>
              </w:rPr>
            </w:pPr>
            <w:r>
              <w:rPr>
                <w:rFonts w:ascii="Arial Narrow" w:eastAsia="Times New Roman" w:hAnsi="Arial Narrow"/>
                <w:sz w:val="16"/>
                <w:szCs w:val="16"/>
              </w:rPr>
              <w:t>1,670</w:t>
            </w:r>
            <w:r>
              <w:rPr>
                <w:rFonts w:ascii="Arial Narrow" w:eastAsia="Times New Roman" w:hAnsi="Arial Narrow"/>
                <w:sz w:val="16"/>
                <w:szCs w:val="16"/>
              </w:rPr>
              <w:br/>
              <w:t xml:space="preserve">(6 RCTs) </w:t>
            </w:r>
          </w:p>
        </w:tc>
        <w:tc>
          <w:tcPr>
            <w:tcW w:w="781" w:type="pct"/>
            <w:tcBorders>
              <w:top w:val="single" w:sz="6" w:space="0" w:color="000000"/>
              <w:left w:val="nil"/>
              <w:bottom w:val="single" w:sz="6" w:space="0" w:color="000000"/>
              <w:right w:val="nil"/>
            </w:tcBorders>
            <w:vAlign w:val="center"/>
            <w:hideMark/>
          </w:tcPr>
          <w:p w14:paraId="53AE3505" w14:textId="77777777" w:rsidR="008F6D50" w:rsidRDefault="008F6D50"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15D9EB57" w14:textId="77777777" w:rsidTr="004D7856">
        <w:trPr>
          <w:cantSplit/>
        </w:trPr>
        <w:tc>
          <w:tcPr>
            <w:tcW w:w="782" w:type="pct"/>
            <w:tcBorders>
              <w:top w:val="single" w:sz="6" w:space="0" w:color="000000"/>
              <w:left w:val="nil"/>
              <w:bottom w:val="single" w:sz="6" w:space="0" w:color="000000"/>
              <w:right w:val="nil"/>
            </w:tcBorders>
            <w:vAlign w:val="center"/>
            <w:hideMark/>
          </w:tcPr>
          <w:p w14:paraId="4ECF3B0C" w14:textId="77777777" w:rsidR="008F6D50" w:rsidRDefault="008F6D50" w:rsidP="006429D8">
            <w:pPr>
              <w:jc w:val="center"/>
              <w:rPr>
                <w:rFonts w:ascii="Arial Narrow" w:eastAsia="Times New Roman" w:hAnsi="Arial Narrow"/>
                <w:sz w:val="16"/>
                <w:szCs w:val="16"/>
              </w:rPr>
            </w:pPr>
            <w:r>
              <w:rPr>
                <w:rStyle w:val="label"/>
                <w:rFonts w:ascii="Arial Narrow" w:eastAsia="Times New Roman" w:hAnsi="Arial Narrow"/>
                <w:szCs w:val="18"/>
              </w:rPr>
              <w:t>Preterm birth &lt; 37 weeks' gestation</w:t>
            </w:r>
            <w:r>
              <w:rPr>
                <w:rFonts w:ascii="Arial Narrow" w:eastAsia="Times New Roman" w:hAnsi="Arial Narrow"/>
                <w:sz w:val="16"/>
                <w:szCs w:val="16"/>
              </w:rPr>
              <w:t xml:space="preserve"> </w:t>
            </w:r>
          </w:p>
        </w:tc>
        <w:tc>
          <w:tcPr>
            <w:tcW w:w="837" w:type="pct"/>
            <w:tcBorders>
              <w:top w:val="single" w:sz="6" w:space="0" w:color="000000"/>
              <w:left w:val="nil"/>
              <w:bottom w:val="single" w:sz="6" w:space="0" w:color="000000"/>
              <w:right w:val="nil"/>
            </w:tcBorders>
            <w:vAlign w:val="center"/>
            <w:hideMark/>
          </w:tcPr>
          <w:p w14:paraId="7F192B86" w14:textId="77777777" w:rsidR="008F6D50" w:rsidRDefault="008F6D50" w:rsidP="006429D8">
            <w:pPr>
              <w:rPr>
                <w:rFonts w:ascii="Arial Narrow" w:eastAsia="Times New Roman" w:hAnsi="Arial Narrow"/>
                <w:sz w:val="16"/>
                <w:szCs w:val="16"/>
              </w:rPr>
            </w:pPr>
            <w:r>
              <w:rPr>
                <w:rFonts w:ascii="Arial Narrow" w:eastAsia="Times New Roman" w:hAnsi="Arial Narrow"/>
                <w:sz w:val="16"/>
                <w:szCs w:val="16"/>
              </w:rPr>
              <w:t xml:space="preserve">39 per 1,000 </w:t>
            </w:r>
          </w:p>
        </w:tc>
        <w:tc>
          <w:tcPr>
            <w:tcW w:w="960" w:type="pct"/>
            <w:tcBorders>
              <w:top w:val="single" w:sz="6" w:space="0" w:color="000000"/>
              <w:left w:val="nil"/>
              <w:bottom w:val="single" w:sz="6" w:space="0" w:color="000000"/>
              <w:right w:val="nil"/>
            </w:tcBorders>
            <w:shd w:val="clear" w:color="auto" w:fill="EBEBEB"/>
            <w:hideMark/>
          </w:tcPr>
          <w:p w14:paraId="03A7B0AA" w14:textId="77777777" w:rsidR="008F6D50" w:rsidRDefault="008F6D50" w:rsidP="006429D8">
            <w:pPr>
              <w:jc w:val="center"/>
              <w:rPr>
                <w:rFonts w:ascii="Arial Narrow" w:eastAsia="Times New Roman" w:hAnsi="Arial Narrow"/>
                <w:sz w:val="16"/>
                <w:szCs w:val="16"/>
              </w:rPr>
            </w:pPr>
            <w:r>
              <w:rPr>
                <w:rStyle w:val="cell-value"/>
                <w:rFonts w:ascii="Arial Narrow" w:eastAsia="Times New Roman" w:hAnsi="Arial Narrow"/>
                <w:b/>
                <w:bCs/>
                <w:szCs w:val="18"/>
              </w:rPr>
              <w:t>43 per 1,000</w:t>
            </w:r>
            <w:r>
              <w:rPr>
                <w:rFonts w:ascii="Arial Narrow" w:eastAsia="Times New Roman" w:hAnsi="Arial Narrow"/>
                <w:szCs w:val="18"/>
              </w:rPr>
              <w:br/>
            </w:r>
            <w:r>
              <w:rPr>
                <w:rStyle w:val="cell-value"/>
                <w:rFonts w:ascii="Arial Narrow" w:eastAsia="Times New Roman" w:hAnsi="Arial Narrow"/>
                <w:szCs w:val="18"/>
              </w:rPr>
              <w:t>(31 to 58)</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53311C55" w14:textId="77777777" w:rsidR="008F6D50" w:rsidRDefault="008F6D50"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1.10</w:t>
            </w:r>
            <w:r>
              <w:rPr>
                <w:rFonts w:ascii="Arial Narrow" w:eastAsia="Times New Roman" w:hAnsi="Arial Narrow"/>
                <w:sz w:val="16"/>
                <w:szCs w:val="16"/>
              </w:rPr>
              <w:br/>
            </w:r>
            <w:r>
              <w:rPr>
                <w:rStyle w:val="cell"/>
                <w:rFonts w:ascii="Arial Narrow" w:hAnsi="Arial Narrow"/>
                <w:sz w:val="16"/>
                <w:szCs w:val="16"/>
              </w:rPr>
              <w:t>(0.81 to 1.50)</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1E18DA06" w14:textId="77777777" w:rsidR="008F6D50" w:rsidRDefault="008F6D50" w:rsidP="006429D8">
            <w:pPr>
              <w:jc w:val="center"/>
              <w:rPr>
                <w:rFonts w:ascii="Arial Narrow" w:eastAsia="Times New Roman" w:hAnsi="Arial Narrow"/>
                <w:sz w:val="16"/>
                <w:szCs w:val="16"/>
              </w:rPr>
            </w:pPr>
            <w:r>
              <w:rPr>
                <w:rFonts w:ascii="Arial Narrow" w:eastAsia="Times New Roman" w:hAnsi="Arial Narrow"/>
                <w:sz w:val="16"/>
                <w:szCs w:val="16"/>
              </w:rPr>
              <w:t>3,671</w:t>
            </w:r>
            <w:r>
              <w:rPr>
                <w:rFonts w:ascii="Arial Narrow" w:eastAsia="Times New Roman" w:hAnsi="Arial Narrow"/>
                <w:sz w:val="16"/>
                <w:szCs w:val="16"/>
              </w:rPr>
              <w:br/>
              <w:t xml:space="preserve">(16 RCTs) </w:t>
            </w:r>
          </w:p>
        </w:tc>
        <w:tc>
          <w:tcPr>
            <w:tcW w:w="781" w:type="pct"/>
            <w:tcBorders>
              <w:top w:val="single" w:sz="6" w:space="0" w:color="000000"/>
              <w:left w:val="nil"/>
              <w:bottom w:val="single" w:sz="6" w:space="0" w:color="000000"/>
              <w:right w:val="nil"/>
            </w:tcBorders>
            <w:vAlign w:val="center"/>
            <w:hideMark/>
          </w:tcPr>
          <w:p w14:paraId="3A70D64C" w14:textId="77777777" w:rsidR="008F6D50" w:rsidRDefault="008F6D50"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03C01087" w14:textId="77777777" w:rsidTr="004D7856">
        <w:trPr>
          <w:cantSplit/>
        </w:trPr>
        <w:tc>
          <w:tcPr>
            <w:tcW w:w="782" w:type="pct"/>
            <w:tcBorders>
              <w:top w:val="single" w:sz="6" w:space="0" w:color="000000"/>
              <w:left w:val="nil"/>
              <w:bottom w:val="single" w:sz="6" w:space="0" w:color="000000"/>
              <w:right w:val="nil"/>
            </w:tcBorders>
            <w:vAlign w:val="center"/>
            <w:hideMark/>
          </w:tcPr>
          <w:p w14:paraId="64263841" w14:textId="77777777" w:rsidR="008F6D50" w:rsidRDefault="008F6D50" w:rsidP="006429D8">
            <w:pPr>
              <w:jc w:val="center"/>
              <w:rPr>
                <w:rFonts w:ascii="Arial Narrow" w:eastAsia="Times New Roman" w:hAnsi="Arial Narrow"/>
                <w:sz w:val="16"/>
                <w:szCs w:val="16"/>
              </w:rPr>
            </w:pPr>
            <w:r>
              <w:rPr>
                <w:rStyle w:val="label"/>
                <w:rFonts w:ascii="Arial Narrow" w:eastAsia="Times New Roman" w:hAnsi="Arial Narrow"/>
                <w:szCs w:val="18"/>
              </w:rPr>
              <w:t>Small for gestational age</w:t>
            </w:r>
            <w:r>
              <w:rPr>
                <w:rFonts w:ascii="Arial Narrow" w:eastAsia="Times New Roman" w:hAnsi="Arial Narrow"/>
                <w:sz w:val="16"/>
                <w:szCs w:val="16"/>
              </w:rPr>
              <w:t xml:space="preserve"> </w:t>
            </w:r>
          </w:p>
        </w:tc>
        <w:tc>
          <w:tcPr>
            <w:tcW w:w="837" w:type="pct"/>
            <w:tcBorders>
              <w:top w:val="single" w:sz="6" w:space="0" w:color="000000"/>
              <w:left w:val="nil"/>
              <w:bottom w:val="single" w:sz="6" w:space="0" w:color="000000"/>
              <w:right w:val="nil"/>
            </w:tcBorders>
            <w:vAlign w:val="center"/>
            <w:hideMark/>
          </w:tcPr>
          <w:p w14:paraId="2948F2AD" w14:textId="77777777" w:rsidR="008F6D50" w:rsidRDefault="008F6D50" w:rsidP="006429D8">
            <w:pPr>
              <w:rPr>
                <w:rFonts w:ascii="Arial Narrow" w:eastAsia="Times New Roman" w:hAnsi="Arial Narrow"/>
                <w:sz w:val="16"/>
                <w:szCs w:val="16"/>
              </w:rPr>
            </w:pPr>
            <w:r>
              <w:rPr>
                <w:rFonts w:ascii="Arial Narrow" w:eastAsia="Times New Roman" w:hAnsi="Arial Narrow"/>
                <w:sz w:val="16"/>
                <w:szCs w:val="16"/>
              </w:rPr>
              <w:t xml:space="preserve">108 per 1,000 </w:t>
            </w:r>
          </w:p>
        </w:tc>
        <w:tc>
          <w:tcPr>
            <w:tcW w:w="960" w:type="pct"/>
            <w:tcBorders>
              <w:top w:val="single" w:sz="6" w:space="0" w:color="000000"/>
              <w:left w:val="nil"/>
              <w:bottom w:val="single" w:sz="6" w:space="0" w:color="000000"/>
              <w:right w:val="nil"/>
            </w:tcBorders>
            <w:shd w:val="clear" w:color="auto" w:fill="EBEBEB"/>
            <w:hideMark/>
          </w:tcPr>
          <w:p w14:paraId="6E92A140" w14:textId="77777777" w:rsidR="008F6D50" w:rsidRDefault="008F6D50" w:rsidP="006429D8">
            <w:pPr>
              <w:jc w:val="center"/>
              <w:rPr>
                <w:rFonts w:ascii="Arial Narrow" w:eastAsia="Times New Roman" w:hAnsi="Arial Narrow"/>
                <w:sz w:val="16"/>
                <w:szCs w:val="16"/>
              </w:rPr>
            </w:pPr>
            <w:r>
              <w:rPr>
                <w:rStyle w:val="cell-value"/>
                <w:rFonts w:ascii="Arial Narrow" w:eastAsia="Times New Roman" w:hAnsi="Arial Narrow"/>
                <w:b/>
                <w:bCs/>
                <w:szCs w:val="18"/>
              </w:rPr>
              <w:t>113 per 1,000</w:t>
            </w:r>
            <w:r>
              <w:rPr>
                <w:rFonts w:ascii="Arial Narrow" w:eastAsia="Times New Roman" w:hAnsi="Arial Narrow"/>
                <w:szCs w:val="18"/>
              </w:rPr>
              <w:br/>
            </w:r>
            <w:r>
              <w:rPr>
                <w:rStyle w:val="cell-value"/>
                <w:rFonts w:ascii="Arial Narrow" w:eastAsia="Times New Roman" w:hAnsi="Arial Narrow"/>
                <w:szCs w:val="18"/>
              </w:rPr>
              <w:t>(60 to 210)</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0A40FC41" w14:textId="77777777" w:rsidR="008F6D50" w:rsidRDefault="008F6D50"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1.04</w:t>
            </w:r>
            <w:r>
              <w:rPr>
                <w:rFonts w:ascii="Arial Narrow" w:eastAsia="Times New Roman" w:hAnsi="Arial Narrow"/>
                <w:sz w:val="16"/>
                <w:szCs w:val="16"/>
              </w:rPr>
              <w:br/>
            </w:r>
            <w:r>
              <w:rPr>
                <w:rStyle w:val="cell"/>
                <w:rFonts w:ascii="Arial Narrow" w:hAnsi="Arial Narrow"/>
                <w:sz w:val="16"/>
                <w:szCs w:val="16"/>
              </w:rPr>
              <w:t>(0.55 to 1.94)</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7A1A0195" w14:textId="77777777" w:rsidR="008F6D50" w:rsidRDefault="008F6D50" w:rsidP="006429D8">
            <w:pPr>
              <w:jc w:val="center"/>
              <w:rPr>
                <w:rFonts w:ascii="Arial Narrow" w:eastAsia="Times New Roman" w:hAnsi="Arial Narrow"/>
                <w:sz w:val="16"/>
                <w:szCs w:val="16"/>
              </w:rPr>
            </w:pPr>
            <w:r>
              <w:rPr>
                <w:rFonts w:ascii="Arial Narrow" w:eastAsia="Times New Roman" w:hAnsi="Arial Narrow"/>
                <w:sz w:val="16"/>
                <w:szCs w:val="16"/>
              </w:rPr>
              <w:t>318</w:t>
            </w:r>
            <w:r>
              <w:rPr>
                <w:rFonts w:ascii="Arial Narrow" w:eastAsia="Times New Roman" w:hAnsi="Arial Narrow"/>
                <w:sz w:val="16"/>
                <w:szCs w:val="16"/>
              </w:rPr>
              <w:br/>
              <w:t xml:space="preserve">(3 RCTs) </w:t>
            </w:r>
          </w:p>
        </w:tc>
        <w:tc>
          <w:tcPr>
            <w:tcW w:w="781" w:type="pct"/>
            <w:tcBorders>
              <w:top w:val="single" w:sz="6" w:space="0" w:color="000000"/>
              <w:left w:val="nil"/>
              <w:bottom w:val="single" w:sz="6" w:space="0" w:color="000000"/>
              <w:right w:val="nil"/>
            </w:tcBorders>
            <w:vAlign w:val="center"/>
            <w:hideMark/>
          </w:tcPr>
          <w:p w14:paraId="52BBA544" w14:textId="77777777" w:rsidR="008F6D50" w:rsidRDefault="008F6D50"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0F988E85" w14:textId="77777777" w:rsidTr="004D7856">
        <w:trPr>
          <w:cantSplit/>
        </w:trPr>
        <w:tc>
          <w:tcPr>
            <w:tcW w:w="782" w:type="pct"/>
            <w:tcBorders>
              <w:top w:val="single" w:sz="6" w:space="0" w:color="000000"/>
              <w:left w:val="nil"/>
              <w:bottom w:val="single" w:sz="6" w:space="0" w:color="000000"/>
              <w:right w:val="nil"/>
            </w:tcBorders>
            <w:vAlign w:val="center"/>
            <w:hideMark/>
          </w:tcPr>
          <w:p w14:paraId="7A46B0F4" w14:textId="77777777" w:rsidR="008F6D50" w:rsidRDefault="008F6D50" w:rsidP="006429D8">
            <w:pPr>
              <w:jc w:val="center"/>
              <w:rPr>
                <w:rFonts w:ascii="Arial Narrow" w:eastAsia="Times New Roman" w:hAnsi="Arial Narrow"/>
                <w:sz w:val="16"/>
                <w:szCs w:val="16"/>
              </w:rPr>
            </w:pPr>
            <w:r>
              <w:rPr>
                <w:rStyle w:val="label"/>
                <w:rFonts w:ascii="Arial Narrow" w:eastAsia="Times New Roman" w:hAnsi="Arial Narrow"/>
                <w:szCs w:val="18"/>
              </w:rPr>
              <w:t>Large for gestational age</w:t>
            </w:r>
            <w:r>
              <w:rPr>
                <w:rFonts w:ascii="Arial Narrow" w:eastAsia="Times New Roman" w:hAnsi="Arial Narrow"/>
                <w:sz w:val="16"/>
                <w:szCs w:val="16"/>
              </w:rPr>
              <w:t xml:space="preserve"> </w:t>
            </w:r>
          </w:p>
        </w:tc>
        <w:tc>
          <w:tcPr>
            <w:tcW w:w="837" w:type="pct"/>
            <w:tcBorders>
              <w:top w:val="single" w:sz="6" w:space="0" w:color="000000"/>
              <w:left w:val="nil"/>
              <w:bottom w:val="single" w:sz="6" w:space="0" w:color="000000"/>
              <w:right w:val="nil"/>
            </w:tcBorders>
            <w:vAlign w:val="center"/>
            <w:hideMark/>
          </w:tcPr>
          <w:p w14:paraId="04FF7D66" w14:textId="77777777" w:rsidR="008F6D50" w:rsidRDefault="008F6D50" w:rsidP="006429D8">
            <w:pPr>
              <w:rPr>
                <w:rFonts w:ascii="Arial Narrow" w:eastAsia="Times New Roman" w:hAnsi="Arial Narrow"/>
                <w:sz w:val="16"/>
                <w:szCs w:val="16"/>
              </w:rPr>
            </w:pPr>
            <w:r>
              <w:rPr>
                <w:rFonts w:ascii="Arial Narrow" w:eastAsia="Times New Roman" w:hAnsi="Arial Narrow"/>
                <w:sz w:val="16"/>
                <w:szCs w:val="16"/>
              </w:rPr>
              <w:t xml:space="preserve">91 per 1,000 </w:t>
            </w:r>
          </w:p>
        </w:tc>
        <w:tc>
          <w:tcPr>
            <w:tcW w:w="960" w:type="pct"/>
            <w:tcBorders>
              <w:top w:val="single" w:sz="6" w:space="0" w:color="000000"/>
              <w:left w:val="nil"/>
              <w:bottom w:val="single" w:sz="6" w:space="0" w:color="000000"/>
              <w:right w:val="nil"/>
            </w:tcBorders>
            <w:shd w:val="clear" w:color="auto" w:fill="EBEBEB"/>
            <w:hideMark/>
          </w:tcPr>
          <w:p w14:paraId="587A762A" w14:textId="77777777" w:rsidR="008F6D50" w:rsidRDefault="008F6D50" w:rsidP="006429D8">
            <w:pPr>
              <w:jc w:val="center"/>
              <w:rPr>
                <w:rFonts w:ascii="Arial Narrow" w:eastAsia="Times New Roman" w:hAnsi="Arial Narrow"/>
                <w:sz w:val="16"/>
                <w:szCs w:val="16"/>
              </w:rPr>
            </w:pPr>
            <w:r>
              <w:rPr>
                <w:rStyle w:val="cell-value"/>
                <w:rFonts w:ascii="Arial Narrow" w:eastAsia="Times New Roman" w:hAnsi="Arial Narrow"/>
                <w:b/>
                <w:bCs/>
                <w:szCs w:val="18"/>
              </w:rPr>
              <w:t>86 per 1,000</w:t>
            </w:r>
            <w:r>
              <w:rPr>
                <w:rFonts w:ascii="Arial Narrow" w:eastAsia="Times New Roman" w:hAnsi="Arial Narrow"/>
                <w:szCs w:val="18"/>
              </w:rPr>
              <w:br/>
            </w:r>
            <w:r>
              <w:rPr>
                <w:rStyle w:val="cell-value"/>
                <w:rFonts w:ascii="Arial Narrow" w:eastAsia="Times New Roman" w:hAnsi="Arial Narrow"/>
                <w:szCs w:val="18"/>
              </w:rPr>
              <w:t>(43 to 175)</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6D14075E" w14:textId="77777777" w:rsidR="008F6D50" w:rsidRDefault="008F6D50"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0.95</w:t>
            </w:r>
            <w:r>
              <w:rPr>
                <w:rFonts w:ascii="Arial Narrow" w:eastAsia="Times New Roman" w:hAnsi="Arial Narrow"/>
                <w:sz w:val="16"/>
                <w:szCs w:val="16"/>
              </w:rPr>
              <w:br/>
            </w:r>
            <w:r>
              <w:rPr>
                <w:rStyle w:val="cell"/>
                <w:rFonts w:ascii="Arial Narrow" w:hAnsi="Arial Narrow"/>
                <w:sz w:val="16"/>
                <w:szCs w:val="16"/>
              </w:rPr>
              <w:t>(0.47 to 1.93)</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346B8062" w14:textId="77777777" w:rsidR="008F6D50" w:rsidRDefault="008F6D50" w:rsidP="006429D8">
            <w:pPr>
              <w:jc w:val="center"/>
              <w:rPr>
                <w:rFonts w:ascii="Arial Narrow" w:eastAsia="Times New Roman" w:hAnsi="Arial Narrow"/>
                <w:sz w:val="16"/>
                <w:szCs w:val="16"/>
              </w:rPr>
            </w:pPr>
            <w:r>
              <w:rPr>
                <w:rFonts w:ascii="Arial Narrow" w:eastAsia="Times New Roman" w:hAnsi="Arial Narrow"/>
                <w:sz w:val="16"/>
                <w:szCs w:val="16"/>
              </w:rPr>
              <w:t>316</w:t>
            </w:r>
            <w:r>
              <w:rPr>
                <w:rFonts w:ascii="Arial Narrow" w:eastAsia="Times New Roman" w:hAnsi="Arial Narrow"/>
                <w:sz w:val="16"/>
                <w:szCs w:val="16"/>
              </w:rPr>
              <w:br/>
              <w:t xml:space="preserve">(3 RCTs) </w:t>
            </w:r>
          </w:p>
        </w:tc>
        <w:tc>
          <w:tcPr>
            <w:tcW w:w="781" w:type="pct"/>
            <w:tcBorders>
              <w:top w:val="single" w:sz="6" w:space="0" w:color="000000"/>
              <w:left w:val="nil"/>
              <w:bottom w:val="single" w:sz="6" w:space="0" w:color="000000"/>
              <w:right w:val="nil"/>
            </w:tcBorders>
            <w:vAlign w:val="center"/>
            <w:hideMark/>
          </w:tcPr>
          <w:p w14:paraId="1B290459" w14:textId="77777777" w:rsidR="008F6D50" w:rsidRDefault="008F6D50"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216D023E" w14:textId="77777777" w:rsidTr="004D7856">
        <w:trPr>
          <w:cantSplit/>
        </w:trPr>
        <w:tc>
          <w:tcPr>
            <w:tcW w:w="782" w:type="pct"/>
            <w:tcBorders>
              <w:top w:val="single" w:sz="6" w:space="0" w:color="000000"/>
              <w:left w:val="nil"/>
              <w:bottom w:val="single" w:sz="6" w:space="0" w:color="000000"/>
              <w:right w:val="nil"/>
            </w:tcBorders>
            <w:vAlign w:val="center"/>
            <w:hideMark/>
          </w:tcPr>
          <w:p w14:paraId="6AA04307" w14:textId="77777777" w:rsidR="008F6D50" w:rsidRDefault="008F6D50" w:rsidP="006429D8">
            <w:pPr>
              <w:jc w:val="center"/>
              <w:rPr>
                <w:rFonts w:ascii="Arial Narrow" w:eastAsia="Times New Roman" w:hAnsi="Arial Narrow"/>
                <w:sz w:val="16"/>
                <w:szCs w:val="16"/>
              </w:rPr>
            </w:pPr>
            <w:r>
              <w:rPr>
                <w:rStyle w:val="label"/>
                <w:rFonts w:ascii="Arial Narrow" w:eastAsia="Times New Roman" w:hAnsi="Arial Narrow"/>
                <w:szCs w:val="18"/>
              </w:rPr>
              <w:t>Macrosomia</w:t>
            </w:r>
            <w:r>
              <w:rPr>
                <w:rFonts w:ascii="Arial Narrow" w:eastAsia="Times New Roman" w:hAnsi="Arial Narrow"/>
                <w:sz w:val="16"/>
                <w:szCs w:val="16"/>
              </w:rPr>
              <w:t xml:space="preserve"> </w:t>
            </w:r>
          </w:p>
        </w:tc>
        <w:tc>
          <w:tcPr>
            <w:tcW w:w="837" w:type="pct"/>
            <w:tcBorders>
              <w:top w:val="single" w:sz="6" w:space="0" w:color="000000"/>
              <w:left w:val="nil"/>
              <w:bottom w:val="single" w:sz="6" w:space="0" w:color="000000"/>
              <w:right w:val="nil"/>
            </w:tcBorders>
            <w:vAlign w:val="center"/>
            <w:hideMark/>
          </w:tcPr>
          <w:p w14:paraId="21386505" w14:textId="77777777" w:rsidR="008F6D50" w:rsidRDefault="008F6D50" w:rsidP="006429D8">
            <w:pPr>
              <w:rPr>
                <w:rFonts w:ascii="Arial Narrow" w:eastAsia="Times New Roman" w:hAnsi="Arial Narrow"/>
                <w:sz w:val="16"/>
                <w:szCs w:val="16"/>
              </w:rPr>
            </w:pPr>
            <w:r>
              <w:rPr>
                <w:rFonts w:ascii="Arial Narrow" w:eastAsia="Times New Roman" w:hAnsi="Arial Narrow"/>
                <w:sz w:val="16"/>
                <w:szCs w:val="16"/>
              </w:rPr>
              <w:t xml:space="preserve">169 per 1,000 </w:t>
            </w:r>
          </w:p>
        </w:tc>
        <w:tc>
          <w:tcPr>
            <w:tcW w:w="960" w:type="pct"/>
            <w:tcBorders>
              <w:top w:val="single" w:sz="6" w:space="0" w:color="000000"/>
              <w:left w:val="nil"/>
              <w:bottom w:val="single" w:sz="6" w:space="0" w:color="000000"/>
              <w:right w:val="nil"/>
            </w:tcBorders>
            <w:shd w:val="clear" w:color="auto" w:fill="EBEBEB"/>
            <w:hideMark/>
          </w:tcPr>
          <w:p w14:paraId="0B8845DD" w14:textId="77777777" w:rsidR="008F6D50" w:rsidRDefault="008F6D50" w:rsidP="006429D8">
            <w:pPr>
              <w:jc w:val="center"/>
              <w:rPr>
                <w:rFonts w:ascii="Arial Narrow" w:eastAsia="Times New Roman" w:hAnsi="Arial Narrow"/>
                <w:sz w:val="16"/>
                <w:szCs w:val="16"/>
              </w:rPr>
            </w:pPr>
            <w:r>
              <w:rPr>
                <w:rStyle w:val="cell-value"/>
                <w:rFonts w:ascii="Arial Narrow" w:eastAsia="Times New Roman" w:hAnsi="Arial Narrow"/>
                <w:b/>
                <w:bCs/>
                <w:szCs w:val="18"/>
              </w:rPr>
              <w:t>179 per 1,000</w:t>
            </w:r>
            <w:r>
              <w:rPr>
                <w:rFonts w:ascii="Arial Narrow" w:eastAsia="Times New Roman" w:hAnsi="Arial Narrow"/>
                <w:szCs w:val="18"/>
              </w:rPr>
              <w:br/>
            </w:r>
            <w:r>
              <w:rPr>
                <w:rStyle w:val="cell-value"/>
                <w:rFonts w:ascii="Arial Narrow" w:eastAsia="Times New Roman" w:hAnsi="Arial Narrow"/>
                <w:szCs w:val="18"/>
              </w:rPr>
              <w:t>(143 to 224)</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05ECE8FC" w14:textId="77777777" w:rsidR="008F6D50" w:rsidRDefault="008F6D50" w:rsidP="006429D8">
            <w:pPr>
              <w:jc w:val="center"/>
              <w:rPr>
                <w:rFonts w:ascii="Arial Narrow" w:eastAsia="Times New Roman" w:hAnsi="Arial Narrow"/>
                <w:sz w:val="16"/>
                <w:szCs w:val="16"/>
              </w:rPr>
            </w:pPr>
            <w:r>
              <w:rPr>
                <w:rStyle w:val="block"/>
                <w:rFonts w:ascii="Arial Narrow" w:eastAsia="Times New Roman" w:hAnsi="Arial Narrow"/>
                <w:b/>
                <w:bCs/>
                <w:sz w:val="16"/>
                <w:szCs w:val="16"/>
              </w:rPr>
              <w:t>RR 1.06</w:t>
            </w:r>
            <w:r>
              <w:rPr>
                <w:rFonts w:ascii="Arial Narrow" w:eastAsia="Times New Roman" w:hAnsi="Arial Narrow"/>
                <w:sz w:val="16"/>
                <w:szCs w:val="16"/>
              </w:rPr>
              <w:br/>
            </w:r>
            <w:r>
              <w:rPr>
                <w:rStyle w:val="cell"/>
                <w:rFonts w:ascii="Arial Narrow" w:hAnsi="Arial Narrow"/>
                <w:sz w:val="16"/>
                <w:szCs w:val="16"/>
              </w:rPr>
              <w:t>(0.85 to 1.33)</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6CB2B9C6" w14:textId="77777777" w:rsidR="008F6D50" w:rsidRDefault="008F6D50" w:rsidP="006429D8">
            <w:pPr>
              <w:jc w:val="center"/>
              <w:rPr>
                <w:rFonts w:ascii="Arial Narrow" w:eastAsia="Times New Roman" w:hAnsi="Arial Narrow"/>
                <w:sz w:val="16"/>
                <w:szCs w:val="16"/>
              </w:rPr>
            </w:pPr>
            <w:r>
              <w:rPr>
                <w:rFonts w:ascii="Arial Narrow" w:eastAsia="Times New Roman" w:hAnsi="Arial Narrow"/>
                <w:sz w:val="16"/>
                <w:szCs w:val="16"/>
              </w:rPr>
              <w:t>1,407</w:t>
            </w:r>
            <w:r>
              <w:rPr>
                <w:rFonts w:ascii="Arial Narrow" w:eastAsia="Times New Roman" w:hAnsi="Arial Narrow"/>
                <w:sz w:val="16"/>
                <w:szCs w:val="16"/>
              </w:rPr>
              <w:br/>
              <w:t xml:space="preserve">(7 RCTs) </w:t>
            </w:r>
          </w:p>
        </w:tc>
        <w:tc>
          <w:tcPr>
            <w:tcW w:w="781" w:type="pct"/>
            <w:tcBorders>
              <w:top w:val="single" w:sz="6" w:space="0" w:color="000000"/>
              <w:left w:val="nil"/>
              <w:bottom w:val="single" w:sz="6" w:space="0" w:color="000000"/>
              <w:right w:val="nil"/>
            </w:tcBorders>
            <w:vAlign w:val="center"/>
            <w:hideMark/>
          </w:tcPr>
          <w:p w14:paraId="1F8DE3E8" w14:textId="77777777" w:rsidR="008F6D50" w:rsidRDefault="008F6D50" w:rsidP="006429D8">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4D7856" w14:paraId="6CE2C8C4" w14:textId="77777777" w:rsidTr="004D7856">
        <w:trPr>
          <w:cantSplit/>
        </w:trPr>
        <w:tc>
          <w:tcPr>
            <w:tcW w:w="5000" w:type="pct"/>
            <w:gridSpan w:val="6"/>
            <w:tcBorders>
              <w:top w:val="single" w:sz="6" w:space="0" w:color="000000"/>
              <w:left w:val="nil"/>
              <w:bottom w:val="single" w:sz="6" w:space="0" w:color="000000"/>
              <w:right w:val="nil"/>
            </w:tcBorders>
            <w:vAlign w:val="center"/>
            <w:hideMark/>
          </w:tcPr>
          <w:p w14:paraId="6DFBB885" w14:textId="0F2B638C" w:rsidR="008F6D50" w:rsidRDefault="008F6D50" w:rsidP="006429D8">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4D7856" w14:paraId="62F0E4F7" w14:textId="77777777" w:rsidTr="004D7856">
        <w:trPr>
          <w:cantSplit/>
        </w:trPr>
        <w:tc>
          <w:tcPr>
            <w:tcW w:w="5000" w:type="pct"/>
            <w:gridSpan w:val="6"/>
            <w:tcBorders>
              <w:top w:val="single" w:sz="6" w:space="0" w:color="000000"/>
              <w:left w:val="nil"/>
              <w:bottom w:val="single" w:sz="6" w:space="0" w:color="000000"/>
              <w:right w:val="nil"/>
            </w:tcBorders>
            <w:vAlign w:val="center"/>
            <w:hideMark/>
          </w:tcPr>
          <w:p w14:paraId="533CEA2F" w14:textId="77777777" w:rsidR="008F6D50" w:rsidRDefault="008F6D50" w:rsidP="004D7856">
            <w:pPr>
              <w:spacing w:line="240" w:lineRule="auto"/>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4E8CB40B" w14:textId="77777777" w:rsidR="008F6D50" w:rsidRDefault="008F6D50"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Moderate heterogeneity in results </w:t>
      </w:r>
    </w:p>
    <w:p w14:paraId="06E3DB72" w14:textId="77777777" w:rsidR="008F6D50" w:rsidRDefault="008F6D50"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Heterogeneity in populations and type, timing and duration of intervention </w:t>
      </w:r>
    </w:p>
    <w:p w14:paraId="6E6668E5" w14:textId="77777777" w:rsidR="008F6D50" w:rsidRDefault="008F6D50" w:rsidP="004D7856">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Confidence interval crosses line of no effect </w:t>
      </w:r>
    </w:p>
    <w:p w14:paraId="1BDFFCA3" w14:textId="77777777" w:rsidR="008F6D50" w:rsidRDefault="008F6D50" w:rsidP="00D76EA6"/>
    <w:p w14:paraId="29EB53D9" w14:textId="11748073" w:rsidR="00677230" w:rsidRDefault="00677230" w:rsidP="004D7856">
      <w:pPr>
        <w:pStyle w:val="Heading3"/>
        <w:pageBreakBefore/>
      </w:pPr>
      <w:bookmarkStart w:id="106" w:name="_Toc40956505"/>
      <w:r>
        <w:t>Herbal preparations</w:t>
      </w:r>
      <w:bookmarkEnd w:id="106"/>
    </w:p>
    <w:p w14:paraId="58586A5B" w14:textId="77777777" w:rsidR="005B4719" w:rsidRDefault="005B4719" w:rsidP="005B4719">
      <w:pPr>
        <w:pStyle w:val="Heading4"/>
      </w:pPr>
      <w:r>
        <w:t>Background</w:t>
      </w:r>
    </w:p>
    <w:p w14:paraId="5AA3C456" w14:textId="03B7FFD3" w:rsidR="002F7C6A" w:rsidRDefault="002F7C6A" w:rsidP="002F7C6A">
      <w:r w:rsidRPr="002F7C6A">
        <w:t xml:space="preserve">A survey of pregnant women conducted in Sydney found that 4.4% were taking raspberry leaf, 1.5% spirulina, 1.5% evening primrose and 0.5% ‘other’, which comprised </w:t>
      </w:r>
      <w:r>
        <w:t>nettle leaf, St</w:t>
      </w:r>
      <w:r w:rsidRPr="002F7C6A">
        <w:t xml:space="preserve"> John</w:t>
      </w:r>
      <w:r>
        <w:t>’s wort</w:t>
      </w:r>
      <w:r w:rsidRPr="002F7C6A">
        <w:t xml:space="preserve">, </w:t>
      </w:r>
      <w:r>
        <w:t>fenugreek and ginseng</w:t>
      </w:r>
      <w:r w:rsidRPr="002F7C6A">
        <w:t>.</w:t>
      </w:r>
      <w:r w:rsidR="00E37D04">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 </w:instrText>
      </w:r>
      <w:r w:rsidR="002747EA">
        <w:fldChar w:fldCharType="begin">
          <w:fldData xml:space="preserve">PEVuZE5vdGU+PENpdGU+PEF1dGhvcj5TaGFuZDwvQXV0aG9yPjxZZWFyPjIwMTY8L1llYXI+PFJl
Y051bT4xMjgzPC9SZWNOdW0+PERpc3BsYXlUZXh0PjxzdHlsZSBmYWNlPSJzdXBlcnNjcmlwdCIg
Zm9udD0iVHJlYnVjaGV0IE1TIiBzaXplPSI5Ij4xMTU8L3N0eWxlPjwvRGlzcGxheVRleHQ+PHJl
Y29yZD48cmVjLW51bWJlcj4xMjgzPC9yZWMtbnVtYmVyPjxmb3JlaWduLWtleXM+PGtleSBhcHA9
IkVOIiBkYi1pZD0iZXh2YXNyZngyZHRyYW9lc2FzeHAyc3pzeGEyZGY1MDI1OTJ4IiB0aW1lc3Rh
bXA9IjE1NjMzMjIwODkiPjEyODM8L2tleT48a2V5IGFwcD0iRU5XZWIiIGRiLWlkPSIiPjA8L2tl
eT48L2ZvcmVpZ24ta2V5cz48cmVmLXR5cGUgbmFtZT0iSm91cm5hbCBBcnRpY2xlIj4xNzwvcmVm
LXR5cGU+PGNvbnRyaWJ1dG9ycz48YXV0aG9ycz48YXV0aG9yPlNoYW5kLCBBLiBXLjwvYXV0aG9y
PjxhdXRob3I+V2FsbHMsIE0uPC9hdXRob3I+PGF1dGhvcj5DaGF0dGVyamVlLCBSLjwvYXV0aG9y
PjxhdXRob3I+TmFzc2FyLCBOLjwvYXV0aG9yPjxhdXRob3I+S2hhbWJhbGlhLCBBLiBaLjwvYXV0
aG9yPjwvYXV0aG9ycz48L2NvbnRyaWJ1dG9ycz48YXV0aC1hZGRyZXNzPkNsaW5pY2FsIGFuZCBQ
b3B1bGF0aW9uIFBlcmluYXRhbCBIZWFsdGggUmVzZWFyY2gsIEtvbGxpbmcgSW5zdGl0dXRlLCBV
bml2ZXJzaXR5IG9mIFN5ZG5leSwgU3QgTGVvbmFyZHMsIE5ldyBTb3V0aCBXYWxlcywgQXVzdHJh
bGlhLiYjeEQ7RGVwYXJ0bWVudCBvZiBPYnN0ZXRyaWNzLCBSb3lhbCBIb3NwaXRhbCBmb3IgV29t
ZW4sIFJhbmR3aWNrLCBOZXcgU291dGggV2FsZXMsIEF1c3RyYWxpYS4mI3hEO1VuaXZlcnNpdHkg
b2YgU3lkbmV5LCBTeWRuZXksIE5ldyBTb3V0aCBXYWxlcywgQXVzdHJhbGlhLjwvYXV0aC1hZGRy
ZXNzPjx0aXRsZXM+PHRpdGxlPkRpZXRhcnkgdml0YW1pbiwgbWluZXJhbCBhbmQgaGVyYmFsIHN1
cHBsZW1lbnQgdXNlOiBhIGNyb3NzLXNlY3Rpb25hbCBzdXJ2ZXkgb2YgYmVmb3JlIGFuZCBkdXJp
bmcgcHJlZ25hbmN5IHVzZSBpbiBTeWRuZXksIEF1c3RyYWxpYTwvdGl0bGU+PHNlY29uZGFyeS10
aXRsZT5BdXN0IE4gWiBKIE9ic3RldCBHeW5hZWNvbDwvc2Vjb25kYXJ5LXRpdGxlPjwvdGl0bGVz
PjxwZXJpb2RpY2FsPjxmdWxsLXRpdGxlPkF1c3QgTiBaIEogT2JzdGV0IEd5bmFlY29sPC9mdWxs
LXRpdGxlPjwvcGVyaW9kaWNhbD48cGFnZXM+MTU0LTYxPC9wYWdlcz48dm9sdW1lPjU2PC92b2x1
bWU+PG51bWJlcj4yPC9udW1iZXI+PGVkaXRpb24+MjAxNS8xMC8yMzwvZWRpdGlvbj48a2V5d29y
ZHM+PGtleXdvcmQ+QWR1bHQ8L2tleXdvcmQ+PGtleXdvcmQ+Q2FsY2l1bS9hZG1pbmlzdHJhdGlv
biAmYW1wOyBkb3NhZ2U8L2tleXdvcmQ+PGtleXdvcmQ+Q3Jvc3MtU2VjdGlvbmFsIFN0dWRpZXM8
L2tleXdvcmQ+PGtleXdvcmQ+RGlldGFyeSBTdXBwbGVtZW50cy8qc3RhdGlzdGljcyAmYW1wOyBu
dW1lcmljYWwgZGF0YTwva2V5d29yZD48a2V5d29yZD5GZW1hbGU8L2tleXdvcmQ+PGtleXdvcmQ+
RmlzaCBPaWxzL2FkbWluaXN0cmF0aW9uICZhbXA7IGRvc2FnZTwva2V5d29yZD48a2V5d29yZD5G
b2xpYyBBY2lkL2FkbWluaXN0cmF0aW9uICZhbXA7IGRvc2FnZTwva2V5d29yZD48a2V5d29yZD5I
dW1hbnM8L2tleXdvcmQ+PGtleXdvcmQ+SXJvbi9hZG1pbmlzdHJhdGlvbiAmYW1wOyBkb3NhZ2U8
L2tleXdvcmQ+PGtleXdvcmQ+TWluZXJhbHMvKmFkbWluaXN0cmF0aW9uICZhbXA7IGRvc2FnZTwv
a2V5d29yZD48a2V5d29yZD5OZXcgU291dGggV2FsZXM8L2tleXdvcmQ+PGtleXdvcmQ+UGxhbnQg
UHJlcGFyYXRpb25zLyphZG1pbmlzdHJhdGlvbiAmYW1wOyBkb3NhZ2U8L2tleXdvcmQ+PGtleXdv
cmQ+UHJlZ25hbmN5PC9rZXl3b3JkPjxrZXl3b3JkPlN1cnZleXMgYW5kIFF1ZXN0aW9ubmFpcmVz
PC9rZXl3b3JkPjxrZXl3b3JkPlZpdGFtaW4gQiBDb21wbGV4L2FkbWluaXN0cmF0aW9uICZhbXA7
IGRvc2FnZTwva2V5d29yZD48a2V5d29yZD5WaXRhbWluIEQvYWRtaW5pc3RyYXRpb24gJmFtcDsg
ZG9zYWdlPC9rZXl3b3JkPjxrZXl3b3JkPlZpdGFtaW5zLyphZG1pbmlzdHJhdGlvbiAmYW1wOyBk
b3NhZ2U8L2tleXdvcmQ+PGtleXdvcmQ+WW91bmcgQWR1bHQ8L2tleXdvcmQ+PGtleXdvcmQ+ZGll
dGFyeSBzdXBwbGVtZW50czwva2V5d29yZD48a2V5d29yZD5tdWx0aXZpdGFtaW5zPC9rZXl3b3Jk
PjxrZXl3b3JkPnZpdGFtaW5zPC9rZXl3b3JkPjwva2V5d29yZHM+PGRhdGVzPjx5ZWFyPjIwMTY8
L3llYXI+PHB1Yi1kYXRlcz48ZGF0ZT5BcHI8L2RhdGU+PC9wdWItZGF0ZXM+PC9kYXRlcz48aXNi
bj4xNDc5LTgyOFggKEVsZWN0cm9uaWMpJiN4RDswMDA0LTg2NjYgKExpbmtpbmcpPC9pc2JuPjxh
Y2Nlc3Npb24tbnVtPjI2NDkwMzkyPC9hY2Nlc3Npb24tbnVtPjx1cmxzPjxyZWxhdGVkLXVybHM+
PHVybD5odHRwczovL3d3dy5uY2JpLm5sbS5uaWguZ292L3B1Ym1lZC8yNjQ5MDM5MjwvdXJsPjwv
cmVsYXRlZC11cmxzPjwvdXJscz48ZWxlY3Ryb25pYy1yZXNvdXJjZS1udW0+MTAuMTExMS9ham8u
MTI0MTQ8L2VsZWN0cm9uaWMtcmVzb3VyY2UtbnVtPjwvcmVjb3JkPjwvQ2l0ZT48L0VuZE5vdGU+
</w:fldData>
        </w:fldChar>
      </w:r>
      <w:r w:rsidR="002747EA">
        <w:instrText xml:space="preserve"> ADDIN EN.CITE.DATA </w:instrText>
      </w:r>
      <w:r w:rsidR="002747EA">
        <w:fldChar w:fldCharType="end"/>
      </w:r>
      <w:r w:rsidR="00E37D04">
        <w:fldChar w:fldCharType="separate"/>
      </w:r>
      <w:r w:rsidR="002747EA" w:rsidRPr="002747EA">
        <w:rPr>
          <w:noProof/>
          <w:vertAlign w:val="superscript"/>
        </w:rPr>
        <w:t>115</w:t>
      </w:r>
      <w:r w:rsidR="00E37D04">
        <w:fldChar w:fldCharType="end"/>
      </w:r>
    </w:p>
    <w:p w14:paraId="77628EF8" w14:textId="72B10E19" w:rsidR="00EA100D" w:rsidRDefault="00EA100D" w:rsidP="00EA100D">
      <w:pPr>
        <w:rPr>
          <w:szCs w:val="18"/>
        </w:rPr>
      </w:pPr>
      <w:r>
        <w:t>An Australian cohort study (n=1</w:t>
      </w:r>
      <w:r w:rsidR="003939F2" w:rsidRPr="003939F2">
        <w:t xml:space="preserve">,835) </w:t>
      </w:r>
      <w:r>
        <w:t>found that 34.4%</w:t>
      </w:r>
      <w:r w:rsidR="003939F2" w:rsidRPr="003939F2">
        <w:t xml:space="preserve"> of the sample were </w:t>
      </w:r>
      <w:r>
        <w:t>using</w:t>
      </w:r>
      <w:r w:rsidR="003939F2" w:rsidRPr="003939F2">
        <w:t xml:space="preserve"> herbal </w:t>
      </w:r>
      <w:r w:rsidR="00EE29D6">
        <w:t>preparations</w:t>
      </w:r>
      <w:r w:rsidR="003939F2" w:rsidRPr="003939F2">
        <w:t xml:space="preserve"> during pregnancy, of which 77.9% were self-prescribing these products.</w:t>
      </w:r>
      <w:r w:rsidR="005653ED">
        <w:fldChar w:fldCharType="begin">
          <w:fldData xml:space="preserve">PEVuZE5vdGU+PENpdGU+PEF1dGhvcj5GcmF3bGV5PC9BdXRob3I+PFllYXI+MjAxNTwvWWVhcj48
UmVjTnVtPjE1MzY8L1JlY051bT48RGlzcGxheVRleHQ+PHN0eWxlIGZhY2U9InN1cGVyc2NyaXB0
IiBmb250PSJUcmVidWNoZXQgTVMiIHNpemU9IjkiPjI1Mzwvc3R5bGU+PC9EaXNwbGF5VGV4dD48
cmVjb3JkPjxyZWMtbnVtYmVyPjE1MzY8L3JlYy1udW1iZXI+PGZvcmVpZ24ta2V5cz48a2V5IGFw
cD0iRU4iIGRiLWlkPSJleHZhc3JmeDJkdHJhb2VzYXN4cDJzenN4YTJkZjUwMjU5MngiIHRpbWVz
dGFtcD0iMTU3NjUzNjE1NSI+MTUzNjwva2V5PjxrZXkgYXBwPSJFTldlYiIgZGItaWQ9IiI+MDwv
a2V5PjwvZm9yZWlnbi1rZXlzPjxyZWYtdHlwZSBuYW1lPSJKb3VybmFsIEFydGljbGUiPjE3PC9y
ZWYtdHlwZT48Y29udHJpYnV0b3JzPjxhdXRob3JzPjxhdXRob3I+RnJhd2xleSwgSi4sPC9hdXRo
b3I+PGF1dGhvcj5BZGFtcywgSi4sPC9hdXRob3I+PGF1dGhvcj5TdGVlbCwgQS4sPC9hdXRob3I+
PGF1dGhvcj5Ccm9vbSwgQS4sPC9hdXRob3I+PGF1dGhvcj5HYWxsb2lzLCBDLiw8L2F1dGhvcj48
YXV0aG9yPlNpYmJyaXR0LCBELiw8L2F1dGhvcj48L2F1dGhvcnM+PC9jb250cmlidXRvcnM+PGF1
dGgtYWRkcmVzcz5BdXN0cmFsaWFuIFJlc2VhcmNoIENlbnRyZSBpbiBDb21wbGVtZW50YXJ5IGFu
ZCBJbnRlZ3JhdGl2ZSBNZWRpY2luZSAoQVJDQ0lNKSwgRmFjdWx0eSBvZiBIZWFsdGgsIFVuaXZl
cnNpdHkgb2YgVGVjaG5vbG9neSBTeWRuZXksIFN5ZG5leSwgQXVzdHJhbGlhLiBFbGVjdHJvbmlj
IGFkZHJlc3M6IGphbmUuZS5mcmF3bGV5QHN0dWRlbnQudXRzLmVkdS5hdS4mI3hEO0F1c3RyYWxp
YW4gUmVzZWFyY2ggQ2VudHJlIGluIENvbXBsZW1lbnRhcnkgYW5kIEludGVncmF0aXZlIE1lZGlj
aW5lIChBUkNDSU0pLCBGYWN1bHR5IG9mIEhlYWx0aCwgVW5pdmVyc2l0eSBvZiBUZWNobm9sb2d5
IFN5ZG5leSwgU3lkbmV5LCBBdXN0cmFsaWEuJiN4RDtBdXN0cmFsaWFuIFJlc2VhcmNoIENlbnRy
ZSBpbiBDb21wbGVtZW50YXJ5IGFuZCBJbnRlZ3JhdGl2ZSBNZWRpY2luZSAoQVJDQ0lNKSwgRmFj
dWx0eSBvZiBIZWFsdGgsIFVuaXZlcnNpdHkgb2YgVGVjaG5vbG9neSBTeWRuZXksIFN5ZG5leSwg
QXVzdHJhbGlhOyBPZmZpY2Ugb2YgUmVzZWFyY2gsIEVuZGVhdm91ciBDb2xsZWdlIG9mIE5hdHVy
YWwgSGVhbHRoLCBCcmlzYmFuZSwgQXVzdHJhbGlhLiYjeEQ7U2Nob29sIG9mIFNvY2lhbCBTY2ll
bmNlcywgRmFjdWx0eSBvZiBBcnRzIGFuZCBTb2NpYWwgU2NpZW5jZXMsIFVuaXZlcnNpdHkgb2Yg
TmV3IFNvdXRoIFdhbGVzLCBTeWRuZXksIEF1c3RyYWxpYS4mI3hEO1NjaG9vbCBvZiBQc3ljaG9s
b2d5LCBGYWN1bHR5IG9mIEhlYWx0aCBhbmQgQmVoYXZpb3VyYWwgU2NpZW5jZXMsIFRoZSBVbml2
ZXJzaXR5IG9mIFF1ZWVuc2xhbmQsIEJyaXNiYW5lLCBBdXN0cmFsaWEuPC9hdXRoLWFkZHJlc3M+
PHRpdGxlcz48dGl0bGU+V29tZW4mYXBvcztzIHVzZSBhbmQgc2VsZi1wcmVzY3JpcHRpb24gb2Yg
aGVyYmFsIG1lZGljaW5lIGR1cmluZyBwcmVnbmFuY3k6IEFuIGV4YW1pbmF0aW9uIG9mIDEsODM1
IHByZWduYW50IHdvbWVuPC90aXRsZT48c2Vjb25kYXJ5LXRpdGxlPldvbWVucyBIZWFsdGggSXNz
dWVzPC9zZWNvbmRhcnktdGl0bGU+PC90aXRsZXM+PHBlcmlvZGljYWw+PGZ1bGwtdGl0bGU+V29t
ZW5zIEhlYWx0aCBJc3N1ZXM8L2Z1bGwtdGl0bGU+PC9wZXJpb2RpY2FsPjxwYWdlcz4zOTYtNDAy
PC9wYWdlcz48dm9sdW1lPjI1PC92b2x1bWU+PG51bWJlcj40PC9udW1iZXI+PGVkaXRpb24+MjAx
NS8wNS8wNDwvZWRpdGlvbj48a2V5d29yZHM+PGtleXdvcmQ+QWR1bHQ8L2tleXdvcmQ+PGtleXdv
cmQ+QXVzdHJhbGlhL2VwaWRlbWlvbG9neTwva2V5d29yZD48a2V5d29yZD5Db21wbGVtZW50YXJ5
IFRoZXJhcGllcy8qc3RhdGlzdGljcyAmYW1wOyBudW1lcmljYWwgZGF0YTwva2V5d29yZD48a2V5
d29yZD5GZW1hbGU8L2tleXdvcmQ+PGtleXdvcmQ+SGVhbHRoIENhcmUgU3VydmV5czwva2V5d29y
ZD48a2V5d29yZD5IdW1hbnM8L2tleXdvcmQ+PGtleXdvcmQ+TG9uZ2l0dWRpbmFsIFN0dWRpZXM8
L2tleXdvcmQ+PGtleXdvcmQ+UGh5dG90aGVyYXB5L2FkdmVyc2UgZWZmZWN0cy8qc3RhdGlzdGlj
cyAmYW1wOyBudW1lcmljYWwgZGF0YTwva2V5d29yZD48a2V5d29yZD5QbGFudCBQcmVwYXJhdGlv
bnMvYWR2ZXJzZSBlZmZlY3RzLyp0aGVyYXBldXRpYyB1c2U8L2tleXdvcmQ+PGtleXdvcmQ+UHJl
Z25hbmN5PC9rZXl3b3JkPjxrZXl3b3JkPlByZWduYW5jeSBDb21wbGljYXRpb25zLyp0aGVyYXB5
PC9rZXl3b3JkPjxrZXl3b3JkPlByZWduYW50IFdvbWVuLypwc3ljaG9sb2d5PC9rZXl3b3JkPjxr
ZXl3b3JkPlByZW5hdGFsIENhcmU8L2tleXdvcmQ+PGtleXdvcmQ+UHJldmFsZW5jZTwva2V5d29y
ZD48a2V5d29yZD5SZXNpZGVuY2UgQ2hhcmFjdGVyaXN0aWNzPC9rZXl3b3JkPjxrZXl3b3JkPlNl
bGYgQ2FyZS8qbWV0aG9kczwva2V5d29yZD48a2V5d29yZD5TZWxmIE1lZGljYXRpb248L2tleXdv
cmQ+PGtleXdvcmQ+U29jaWFsIEVudmlyb25tZW50PC9rZXl3b3JkPjxrZXl3b3JkPlNvY2lvZWNv
bm9taWMgRmFjdG9yczwva2V5d29yZD48L2tleXdvcmRzPjxkYXRlcz48eWVhcj4yMDE1PC95ZWFy
PjxwdWItZGF0ZXM+PGRhdGU+SnVsLUF1ZzwvZGF0ZT48L3B1Yi1kYXRlcz48L2RhdGVzPjxpc2Ju
PjE4NzgtNDMyMSAoRWxlY3Ryb25pYykmI3hEOzEwNDktMzg2NyAoTGlua2luZyk8L2lzYm4+PGFj
Y2Vzc2lvbi1udW0+MjU5MzU4MjI8L2FjY2Vzc2lvbi1udW0+PHVybHM+PHJlbGF0ZWQtdXJscz48
dXJsPmh0dHBzOi8vd3d3Lm5jYmkubmxtLm5paC5nb3YvcHVibWVkLzI1OTM1ODIyPC91cmw+PC9y
ZWxhdGVkLXVybHM+PC91cmxzPjxlbGVjdHJvbmljLXJlc291cmNlLW51bT4xMC4xMDE2L2oud2hp
LjIwMTUuMDMuMDAxPC9lbGVjdHJvbmljLXJlc291cmNlLW51bT48L3JlY29yZD48L0NpdGU+PC9F
bmROb3RlPn==
</w:fldData>
        </w:fldChar>
      </w:r>
      <w:r w:rsidR="002747EA">
        <w:instrText xml:space="preserve"> ADDIN EN.CITE </w:instrText>
      </w:r>
      <w:r w:rsidR="002747EA">
        <w:fldChar w:fldCharType="begin">
          <w:fldData xml:space="preserve">PEVuZE5vdGU+PENpdGU+PEF1dGhvcj5GcmF3bGV5PC9BdXRob3I+PFllYXI+MjAxNTwvWWVhcj48
UmVjTnVtPjE1MzY8L1JlY051bT48RGlzcGxheVRleHQ+PHN0eWxlIGZhY2U9InN1cGVyc2NyaXB0
IiBmb250PSJUcmVidWNoZXQgTVMiIHNpemU9IjkiPjI1Mzwvc3R5bGU+PC9EaXNwbGF5VGV4dD48
cmVjb3JkPjxyZWMtbnVtYmVyPjE1MzY8L3JlYy1udW1iZXI+PGZvcmVpZ24ta2V5cz48a2V5IGFw
cD0iRU4iIGRiLWlkPSJleHZhc3JmeDJkdHJhb2VzYXN4cDJzenN4YTJkZjUwMjU5MngiIHRpbWVz
dGFtcD0iMTU3NjUzNjE1NSI+MTUzNjwva2V5PjxrZXkgYXBwPSJFTldlYiIgZGItaWQ9IiI+MDwv
a2V5PjwvZm9yZWlnbi1rZXlzPjxyZWYtdHlwZSBuYW1lPSJKb3VybmFsIEFydGljbGUiPjE3PC9y
ZWYtdHlwZT48Y29udHJpYnV0b3JzPjxhdXRob3JzPjxhdXRob3I+RnJhd2xleSwgSi4sPC9hdXRo
b3I+PGF1dGhvcj5BZGFtcywgSi4sPC9hdXRob3I+PGF1dGhvcj5TdGVlbCwgQS4sPC9hdXRob3I+
PGF1dGhvcj5Ccm9vbSwgQS4sPC9hdXRob3I+PGF1dGhvcj5HYWxsb2lzLCBDLiw8L2F1dGhvcj48
YXV0aG9yPlNpYmJyaXR0LCBELiw8L2F1dGhvcj48L2F1dGhvcnM+PC9jb250cmlidXRvcnM+PGF1
dGgtYWRkcmVzcz5BdXN0cmFsaWFuIFJlc2VhcmNoIENlbnRyZSBpbiBDb21wbGVtZW50YXJ5IGFu
ZCBJbnRlZ3JhdGl2ZSBNZWRpY2luZSAoQVJDQ0lNKSwgRmFjdWx0eSBvZiBIZWFsdGgsIFVuaXZl
cnNpdHkgb2YgVGVjaG5vbG9neSBTeWRuZXksIFN5ZG5leSwgQXVzdHJhbGlhLiBFbGVjdHJvbmlj
IGFkZHJlc3M6IGphbmUuZS5mcmF3bGV5QHN0dWRlbnQudXRzLmVkdS5hdS4mI3hEO0F1c3RyYWxp
YW4gUmVzZWFyY2ggQ2VudHJlIGluIENvbXBsZW1lbnRhcnkgYW5kIEludGVncmF0aXZlIE1lZGlj
aW5lIChBUkNDSU0pLCBGYWN1bHR5IG9mIEhlYWx0aCwgVW5pdmVyc2l0eSBvZiBUZWNobm9sb2d5
IFN5ZG5leSwgU3lkbmV5LCBBdXN0cmFsaWEuJiN4RDtBdXN0cmFsaWFuIFJlc2VhcmNoIENlbnRy
ZSBpbiBDb21wbGVtZW50YXJ5IGFuZCBJbnRlZ3JhdGl2ZSBNZWRpY2luZSAoQVJDQ0lNKSwgRmFj
dWx0eSBvZiBIZWFsdGgsIFVuaXZlcnNpdHkgb2YgVGVjaG5vbG9neSBTeWRuZXksIFN5ZG5leSwg
QXVzdHJhbGlhOyBPZmZpY2Ugb2YgUmVzZWFyY2gsIEVuZGVhdm91ciBDb2xsZWdlIG9mIE5hdHVy
YWwgSGVhbHRoLCBCcmlzYmFuZSwgQXVzdHJhbGlhLiYjeEQ7U2Nob29sIG9mIFNvY2lhbCBTY2ll
bmNlcywgRmFjdWx0eSBvZiBBcnRzIGFuZCBTb2NpYWwgU2NpZW5jZXMsIFVuaXZlcnNpdHkgb2Yg
TmV3IFNvdXRoIFdhbGVzLCBTeWRuZXksIEF1c3RyYWxpYS4mI3hEO1NjaG9vbCBvZiBQc3ljaG9s
b2d5LCBGYWN1bHR5IG9mIEhlYWx0aCBhbmQgQmVoYXZpb3VyYWwgU2NpZW5jZXMsIFRoZSBVbml2
ZXJzaXR5IG9mIFF1ZWVuc2xhbmQsIEJyaXNiYW5lLCBBdXN0cmFsaWEuPC9hdXRoLWFkZHJlc3M+
PHRpdGxlcz48dGl0bGU+V29tZW4mYXBvcztzIHVzZSBhbmQgc2VsZi1wcmVzY3JpcHRpb24gb2Yg
aGVyYmFsIG1lZGljaW5lIGR1cmluZyBwcmVnbmFuY3k6IEFuIGV4YW1pbmF0aW9uIG9mIDEsODM1
IHByZWduYW50IHdvbWVuPC90aXRsZT48c2Vjb25kYXJ5LXRpdGxlPldvbWVucyBIZWFsdGggSXNz
dWVzPC9zZWNvbmRhcnktdGl0bGU+PC90aXRsZXM+PHBlcmlvZGljYWw+PGZ1bGwtdGl0bGU+V29t
ZW5zIEhlYWx0aCBJc3N1ZXM8L2Z1bGwtdGl0bGU+PC9wZXJpb2RpY2FsPjxwYWdlcz4zOTYtNDAy
PC9wYWdlcz48dm9sdW1lPjI1PC92b2x1bWU+PG51bWJlcj40PC9udW1iZXI+PGVkaXRpb24+MjAx
NS8wNS8wNDwvZWRpdGlvbj48a2V5d29yZHM+PGtleXdvcmQ+QWR1bHQ8L2tleXdvcmQ+PGtleXdv
cmQ+QXVzdHJhbGlhL2VwaWRlbWlvbG9neTwva2V5d29yZD48a2V5d29yZD5Db21wbGVtZW50YXJ5
IFRoZXJhcGllcy8qc3RhdGlzdGljcyAmYW1wOyBudW1lcmljYWwgZGF0YTwva2V5d29yZD48a2V5
d29yZD5GZW1hbGU8L2tleXdvcmQ+PGtleXdvcmQ+SGVhbHRoIENhcmUgU3VydmV5czwva2V5d29y
ZD48a2V5d29yZD5IdW1hbnM8L2tleXdvcmQ+PGtleXdvcmQ+TG9uZ2l0dWRpbmFsIFN0dWRpZXM8
L2tleXdvcmQ+PGtleXdvcmQ+UGh5dG90aGVyYXB5L2FkdmVyc2UgZWZmZWN0cy8qc3RhdGlzdGlj
cyAmYW1wOyBudW1lcmljYWwgZGF0YTwva2V5d29yZD48a2V5d29yZD5QbGFudCBQcmVwYXJhdGlv
bnMvYWR2ZXJzZSBlZmZlY3RzLyp0aGVyYXBldXRpYyB1c2U8L2tleXdvcmQ+PGtleXdvcmQ+UHJl
Z25hbmN5PC9rZXl3b3JkPjxrZXl3b3JkPlByZWduYW5jeSBDb21wbGljYXRpb25zLyp0aGVyYXB5
PC9rZXl3b3JkPjxrZXl3b3JkPlByZWduYW50IFdvbWVuLypwc3ljaG9sb2d5PC9rZXl3b3JkPjxr
ZXl3b3JkPlByZW5hdGFsIENhcmU8L2tleXdvcmQ+PGtleXdvcmQ+UHJldmFsZW5jZTwva2V5d29y
ZD48a2V5d29yZD5SZXNpZGVuY2UgQ2hhcmFjdGVyaXN0aWNzPC9rZXl3b3JkPjxrZXl3b3JkPlNl
bGYgQ2FyZS8qbWV0aG9kczwva2V5d29yZD48a2V5d29yZD5TZWxmIE1lZGljYXRpb248L2tleXdv
cmQ+PGtleXdvcmQ+U29jaWFsIEVudmlyb25tZW50PC9rZXl3b3JkPjxrZXl3b3JkPlNvY2lvZWNv
bm9taWMgRmFjdG9yczwva2V5d29yZD48L2tleXdvcmRzPjxkYXRlcz48eWVhcj4yMDE1PC95ZWFy
PjxwdWItZGF0ZXM+PGRhdGU+SnVsLUF1ZzwvZGF0ZT48L3B1Yi1kYXRlcz48L2RhdGVzPjxpc2Ju
PjE4NzgtNDMyMSAoRWxlY3Ryb25pYykmI3hEOzEwNDktMzg2NyAoTGlua2luZyk8L2lzYm4+PGFj
Y2Vzc2lvbi1udW0+MjU5MzU4MjI8L2FjY2Vzc2lvbi1udW0+PHVybHM+PHJlbGF0ZWQtdXJscz48
dXJsPmh0dHBzOi8vd3d3Lm5jYmkubmxtLm5paC5nb3YvcHVibWVkLzI1OTM1ODIyPC91cmw+PC9y
ZWxhdGVkLXVybHM+PC91cmxzPjxlbGVjdHJvbmljLXJlc291cmNlLW51bT4xMC4xMDE2L2oud2hp
LjIwMTUuMDMuMDAxPC9lbGVjdHJvbmljLXJlc291cmNlLW51bT48L3JlY29yZD48L0NpdGU+PC9F
bmROb3RlPn==
</w:fldData>
        </w:fldChar>
      </w:r>
      <w:r w:rsidR="002747EA">
        <w:instrText xml:space="preserve"> ADDIN EN.CITE.DATA </w:instrText>
      </w:r>
      <w:r w:rsidR="002747EA">
        <w:fldChar w:fldCharType="end"/>
      </w:r>
      <w:r w:rsidR="005653ED">
        <w:fldChar w:fldCharType="separate"/>
      </w:r>
      <w:r w:rsidR="002747EA" w:rsidRPr="002747EA">
        <w:rPr>
          <w:noProof/>
          <w:vertAlign w:val="superscript"/>
        </w:rPr>
        <w:t>253</w:t>
      </w:r>
      <w:r w:rsidR="005653ED">
        <w:fldChar w:fldCharType="end"/>
      </w:r>
      <w:r w:rsidR="003939F2" w:rsidRPr="003939F2">
        <w:t xml:space="preserve"> </w:t>
      </w:r>
      <w:r>
        <w:t xml:space="preserve">Women </w:t>
      </w:r>
      <w:r w:rsidR="003939F2" w:rsidRPr="003939F2">
        <w:t>were more likely to use herbal medicine if they had anxiety (</w:t>
      </w:r>
      <w:r w:rsidRPr="00173284">
        <w:rPr>
          <w:sz w:val="16"/>
          <w:szCs w:val="16"/>
        </w:rPr>
        <w:t>OR 1.30; 95%</w:t>
      </w:r>
      <w:r w:rsidR="003939F2" w:rsidRPr="00173284">
        <w:rPr>
          <w:sz w:val="16"/>
          <w:szCs w:val="16"/>
        </w:rPr>
        <w:t>CI, 1.02</w:t>
      </w:r>
      <w:r w:rsidRPr="00173284">
        <w:rPr>
          <w:sz w:val="16"/>
          <w:szCs w:val="16"/>
        </w:rPr>
        <w:t xml:space="preserve"> to </w:t>
      </w:r>
      <w:r w:rsidR="003939F2" w:rsidRPr="00173284">
        <w:rPr>
          <w:sz w:val="16"/>
          <w:szCs w:val="16"/>
        </w:rPr>
        <w:t>1.64;</w:t>
      </w:r>
      <w:r w:rsidRPr="00173284">
        <w:rPr>
          <w:sz w:val="16"/>
          <w:szCs w:val="16"/>
        </w:rPr>
        <w:t xml:space="preserve"> p=0.031</w:t>
      </w:r>
      <w:r>
        <w:t>), sleeping problems (</w:t>
      </w:r>
      <w:r w:rsidRPr="00173284">
        <w:rPr>
          <w:sz w:val="16"/>
          <w:szCs w:val="16"/>
        </w:rPr>
        <w:t>OR 1.55; 95%CI</w:t>
      </w:r>
      <w:r w:rsidR="003939F2" w:rsidRPr="00173284">
        <w:rPr>
          <w:sz w:val="16"/>
          <w:szCs w:val="16"/>
        </w:rPr>
        <w:t xml:space="preserve"> 1.15</w:t>
      </w:r>
      <w:r w:rsidRPr="00173284">
        <w:rPr>
          <w:sz w:val="16"/>
          <w:szCs w:val="16"/>
        </w:rPr>
        <w:t xml:space="preserve"> to 2.11; p=0.005</w:t>
      </w:r>
      <w:r>
        <w:t>) or fatigue (</w:t>
      </w:r>
      <w:r w:rsidRPr="00173284">
        <w:rPr>
          <w:sz w:val="16"/>
          <w:szCs w:val="16"/>
        </w:rPr>
        <w:t>OR 1.32; 95%CI</w:t>
      </w:r>
      <w:r w:rsidR="003939F2" w:rsidRPr="00173284">
        <w:rPr>
          <w:sz w:val="16"/>
          <w:szCs w:val="16"/>
        </w:rPr>
        <w:t xml:space="preserve"> 1.04</w:t>
      </w:r>
      <w:r w:rsidRPr="00173284">
        <w:rPr>
          <w:sz w:val="16"/>
          <w:szCs w:val="16"/>
        </w:rPr>
        <w:t xml:space="preserve"> to </w:t>
      </w:r>
      <w:r w:rsidR="003939F2" w:rsidRPr="00173284">
        <w:rPr>
          <w:sz w:val="16"/>
          <w:szCs w:val="16"/>
        </w:rPr>
        <w:t>1.68; p=</w:t>
      </w:r>
      <w:r w:rsidRPr="00173284">
        <w:rPr>
          <w:sz w:val="16"/>
          <w:szCs w:val="16"/>
        </w:rPr>
        <w:t>0</w:t>
      </w:r>
      <w:r w:rsidR="003939F2" w:rsidRPr="00173284">
        <w:rPr>
          <w:sz w:val="16"/>
          <w:szCs w:val="16"/>
        </w:rPr>
        <w:t>.025</w:t>
      </w:r>
      <w:r w:rsidR="003939F2" w:rsidRPr="003939F2">
        <w:t xml:space="preserve">), but less likely to use herbal medicine if they had </w:t>
      </w:r>
      <w:r>
        <w:t>nausea (</w:t>
      </w:r>
      <w:r w:rsidRPr="00173284">
        <w:rPr>
          <w:sz w:val="16"/>
          <w:szCs w:val="16"/>
        </w:rPr>
        <w:t xml:space="preserve">OR 0.71; 95%CI 0.56 to </w:t>
      </w:r>
      <w:r w:rsidR="003939F2" w:rsidRPr="00173284">
        <w:rPr>
          <w:sz w:val="16"/>
          <w:szCs w:val="16"/>
        </w:rPr>
        <w:t>0.91; p=</w:t>
      </w:r>
      <w:r w:rsidRPr="00173284">
        <w:rPr>
          <w:sz w:val="16"/>
          <w:szCs w:val="16"/>
        </w:rPr>
        <w:t>0</w:t>
      </w:r>
      <w:r w:rsidR="003939F2" w:rsidRPr="00173284">
        <w:rPr>
          <w:sz w:val="16"/>
          <w:szCs w:val="16"/>
        </w:rPr>
        <w:t>.007</w:t>
      </w:r>
      <w:r w:rsidR="003939F2" w:rsidRPr="003939F2">
        <w:t>). Women were more likely to self-prescribe herbal medicine if they s</w:t>
      </w:r>
      <w:r>
        <w:t>uffered from varicose veins (</w:t>
      </w:r>
      <w:r w:rsidRPr="00173284">
        <w:rPr>
          <w:sz w:val="16"/>
          <w:szCs w:val="16"/>
        </w:rPr>
        <w:t>OR 2.46; 95%CI</w:t>
      </w:r>
      <w:r w:rsidR="003939F2" w:rsidRPr="00173284">
        <w:rPr>
          <w:sz w:val="16"/>
          <w:szCs w:val="16"/>
        </w:rPr>
        <w:t xml:space="preserve"> 1.04</w:t>
      </w:r>
      <w:r w:rsidRPr="00173284">
        <w:rPr>
          <w:sz w:val="16"/>
          <w:szCs w:val="16"/>
        </w:rPr>
        <w:t xml:space="preserve"> to </w:t>
      </w:r>
      <w:r w:rsidR="003939F2" w:rsidRPr="00173284">
        <w:rPr>
          <w:sz w:val="16"/>
          <w:szCs w:val="16"/>
        </w:rPr>
        <w:t>5.84; p=</w:t>
      </w:r>
      <w:r w:rsidRPr="00173284">
        <w:rPr>
          <w:sz w:val="16"/>
          <w:szCs w:val="16"/>
        </w:rPr>
        <w:t>0</w:t>
      </w:r>
      <w:r w:rsidR="003939F2" w:rsidRPr="00173284">
        <w:rPr>
          <w:sz w:val="16"/>
          <w:szCs w:val="16"/>
        </w:rPr>
        <w:t>.041</w:t>
      </w:r>
      <w:r w:rsidR="003939F2" w:rsidRPr="003939F2">
        <w:t>) and less likely to self-prescribe herbal medicine if they suffered from pre</w:t>
      </w:r>
      <w:r>
        <w:t>-</w:t>
      </w:r>
      <w:r w:rsidR="003939F2" w:rsidRPr="003939F2">
        <w:t>ecl</w:t>
      </w:r>
      <w:r>
        <w:t>ampsia (</w:t>
      </w:r>
      <w:r w:rsidRPr="00173284">
        <w:rPr>
          <w:sz w:val="16"/>
          <w:szCs w:val="16"/>
        </w:rPr>
        <w:t>OR 0.23; 95%CI</w:t>
      </w:r>
      <w:r w:rsidR="003939F2" w:rsidRPr="00173284">
        <w:rPr>
          <w:sz w:val="16"/>
          <w:szCs w:val="16"/>
        </w:rPr>
        <w:t xml:space="preserve"> 0.81</w:t>
      </w:r>
      <w:r w:rsidRPr="00173284">
        <w:rPr>
          <w:sz w:val="16"/>
          <w:szCs w:val="16"/>
        </w:rPr>
        <w:t xml:space="preserve"> to </w:t>
      </w:r>
      <w:r w:rsidR="003939F2" w:rsidRPr="00173284">
        <w:rPr>
          <w:sz w:val="16"/>
          <w:szCs w:val="16"/>
        </w:rPr>
        <w:t>0.63; p=</w:t>
      </w:r>
      <w:r w:rsidRPr="00173284">
        <w:rPr>
          <w:sz w:val="16"/>
          <w:szCs w:val="16"/>
        </w:rPr>
        <w:t>0</w:t>
      </w:r>
      <w:r w:rsidR="003939F2" w:rsidRPr="00173284">
        <w:rPr>
          <w:sz w:val="16"/>
          <w:szCs w:val="16"/>
        </w:rPr>
        <w:t>.005</w:t>
      </w:r>
      <w:r w:rsidR="003939F2" w:rsidRPr="003939F2">
        <w:t xml:space="preserve">). Women who self-prescribed herbal medicine during pregnancy were also more likely to </w:t>
      </w:r>
      <w:r>
        <w:t>live in a rural environment (</w:t>
      </w:r>
      <w:r w:rsidRPr="00173284">
        <w:rPr>
          <w:sz w:val="16"/>
          <w:szCs w:val="16"/>
        </w:rPr>
        <w:t>OR 2.22; 95%CI</w:t>
      </w:r>
      <w:r w:rsidR="003939F2" w:rsidRPr="00173284">
        <w:rPr>
          <w:sz w:val="16"/>
          <w:szCs w:val="16"/>
        </w:rPr>
        <w:t xml:space="preserve"> 1.32</w:t>
      </w:r>
      <w:r w:rsidRPr="00173284">
        <w:rPr>
          <w:sz w:val="16"/>
          <w:szCs w:val="16"/>
        </w:rPr>
        <w:t xml:space="preserve"> to </w:t>
      </w:r>
      <w:r w:rsidR="003939F2" w:rsidRPr="00173284">
        <w:rPr>
          <w:sz w:val="16"/>
          <w:szCs w:val="16"/>
        </w:rPr>
        <w:t>3.73; p=</w:t>
      </w:r>
      <w:r w:rsidRPr="00173284">
        <w:rPr>
          <w:sz w:val="16"/>
          <w:szCs w:val="16"/>
        </w:rPr>
        <w:t>0</w:t>
      </w:r>
      <w:r w:rsidR="003939F2" w:rsidRPr="00173284">
        <w:rPr>
          <w:sz w:val="16"/>
          <w:szCs w:val="16"/>
        </w:rPr>
        <w:t>.003</w:t>
      </w:r>
      <w:r w:rsidR="003939F2" w:rsidRPr="003939F2">
        <w:t xml:space="preserve">). </w:t>
      </w:r>
      <w:r w:rsidRPr="00EA100D">
        <w:rPr>
          <w:szCs w:val="18"/>
        </w:rPr>
        <w:t>Women who use</w:t>
      </w:r>
      <w:r>
        <w:rPr>
          <w:szCs w:val="18"/>
        </w:rPr>
        <w:t>d</w:t>
      </w:r>
      <w:r w:rsidRPr="00EA100D">
        <w:rPr>
          <w:szCs w:val="18"/>
        </w:rPr>
        <w:t xml:space="preserve"> herbal </w:t>
      </w:r>
      <w:r w:rsidR="0065156B">
        <w:rPr>
          <w:szCs w:val="18"/>
        </w:rPr>
        <w:t>preparations</w:t>
      </w:r>
      <w:r w:rsidRPr="00EA100D">
        <w:rPr>
          <w:szCs w:val="18"/>
        </w:rPr>
        <w:t xml:space="preserve"> view</w:t>
      </w:r>
      <w:r>
        <w:rPr>
          <w:szCs w:val="18"/>
        </w:rPr>
        <w:t>ed</w:t>
      </w:r>
      <w:r w:rsidRPr="00EA100D">
        <w:rPr>
          <w:szCs w:val="18"/>
        </w:rPr>
        <w:t xml:space="preserve"> </w:t>
      </w:r>
      <w:r>
        <w:rPr>
          <w:szCs w:val="18"/>
        </w:rPr>
        <w:t>them</w:t>
      </w:r>
      <w:r w:rsidRPr="00EA100D">
        <w:rPr>
          <w:szCs w:val="18"/>
        </w:rPr>
        <w:t xml:space="preserve"> as a preventative measure, </w:t>
      </w:r>
      <w:r>
        <w:rPr>
          <w:szCs w:val="18"/>
        </w:rPr>
        <w:t>were</w:t>
      </w:r>
      <w:r w:rsidRPr="00EA100D">
        <w:rPr>
          <w:szCs w:val="18"/>
        </w:rPr>
        <w:t xml:space="preserve"> looking for something </w:t>
      </w:r>
      <w:r w:rsidR="005056D2">
        <w:rPr>
          <w:szCs w:val="18"/>
        </w:rPr>
        <w:t>h</w:t>
      </w:r>
      <w:r w:rsidR="005056D2" w:rsidRPr="00EA100D">
        <w:rPr>
          <w:szCs w:val="18"/>
        </w:rPr>
        <w:t>olistic</w:t>
      </w:r>
      <w:r w:rsidRPr="00EA100D">
        <w:rPr>
          <w:szCs w:val="18"/>
        </w:rPr>
        <w:t xml:space="preserve"> and </w:t>
      </w:r>
      <w:r>
        <w:rPr>
          <w:szCs w:val="18"/>
        </w:rPr>
        <w:t>were</w:t>
      </w:r>
      <w:r w:rsidRPr="00EA100D">
        <w:rPr>
          <w:szCs w:val="18"/>
        </w:rPr>
        <w:t xml:space="preserve"> concerned about evidence of clinical efficacy when considering the use of these products during pregnancy.</w:t>
      </w:r>
      <w:r w:rsidR="005653ED">
        <w:rPr>
          <w:szCs w:val="18"/>
        </w:rPr>
        <w:fldChar w:fldCharType="begin">
          <w:fldData xml:space="preserve">PEVuZE5vdGU+PENpdGU+PEF1dGhvcj5GcmF3bGV5PC9BdXRob3I+PFllYXI+MjAxNjwvWWVhcj48
UmVjTnVtPjE1Mzk8L1JlY051bT48RGlzcGxheVRleHQ+PHN0eWxlIGZhY2U9InN1cGVyc2NyaXB0
IiBmb250PSJUcmVidWNoZXQgTVMiIHNpemU9IjkiPjI1NDwvc3R5bGU+PC9EaXNwbGF5VGV4dD48
cmVjb3JkPjxyZWMtbnVtYmVyPjE1Mzk8L3JlYy1udW1iZXI+PGZvcmVpZ24ta2V5cz48a2V5IGFw
cD0iRU4iIGRiLWlkPSJleHZhc3JmeDJkdHJhb2VzYXN4cDJzenN4YTJkZjUwMjU5MngiIHRpbWVz
dGFtcD0iMTU3NjUzNjE2NiI+MTUzOTwva2V5PjxrZXkgYXBwPSJFTldlYiIgZGItaWQ9IiI+MDwv
a2V5PjwvZm9yZWlnbi1rZXlzPjxyZWYtdHlwZSBuYW1lPSJKb3VybmFsIEFydGljbGUiPjE3PC9y
ZWYtdHlwZT48Y29udHJpYnV0b3JzPjxhdXRob3JzPjxhdXRob3I+RnJhd2xleSwgSi48L2F1dGhv
cj48YXV0aG9yPlNpYmJyaXR0LCBELjwvYXV0aG9yPjxhdXRob3I+QnJvb20sIEEuPC9hdXRob3I+
PGF1dGhvcj5HYWxsb2lzLCBDLjwvYXV0aG9yPjxhdXRob3I+U3RlZWwsIEEuPC9hdXRob3I+PGF1
dGhvcj5BZGFtcywgSi48L2F1dGhvcj48L2F1dGhvcnM+PC9jb250cmlidXRvcnM+PGF1dGgtYWRk
cmVzcz5hIFVuaXZlcnNpdHkgb2YgVGVjaG5vbG9neSBTeWRuZXksIEZhY3VsdHkgb2YgSGVhbHRo
ICwgVWx0aW1vLCBTeWRuZXkgLCBBdXN0cmFsaWEuJiN4RDtiIFVuaXZlcnNpdHkgb2YgTmV3IFNv
dXRoIFdhbGVzLCBTY2hvb2wgb2YgU29jaWFsIFNjaWVuY2VzICwgU3lkbmV5ICwgQXVzdHJhbGlh
LiYjeEQ7YyBGYWN1bHR5IG9mIFNvY2lhbCBhbmQgQmVoYXZpb3VyYWwgU2NpZW5jZSwgVW5pdmVy
c2l0eSBvZiBRdWVlbnNsYW5kICwgQnJpc2JhbmUgLCBBdXN0cmFsaWEuJiN4RDtkIEVuZGVhdm91
ciBDb2xsZWdlIG9mIE5hdHVyYWwgSGVhbHRoICwgRm9ydGl0dWRlIFZhbGxleSwgQnJpc2JhbmUg
LCBBdXN0cmFsaWEuPC9hdXRoLWFkZHJlc3M+PHRpdGxlcz48dGl0bGU+V29tZW4mYXBvcztzIGF0
dGl0dWRlcyB0b3dhcmRzIHRoZSB1c2Ugb2YgY29tcGxlbWVudGFyeSBhbmQgYWx0ZXJuYXRpdmUg
bWVkaWNpbmUgcHJvZHVjdHMgZHVyaW5nIHByZWduYW5jeTwvdGl0bGU+PHNlY29uZGFyeS10aXRs
ZT5KIE9ic3RldCBHeW5hZWNvbDwvc2Vjb25kYXJ5LXRpdGxlPjwvdGl0bGVzPjxwZXJpb2RpY2Fs
PjxmdWxsLXRpdGxlPkogT2JzdGV0IEd5bmFlY29sPC9mdWxsLXRpdGxlPjwvcGVyaW9kaWNhbD48
cGFnZXM+NDYyLTc8L3BhZ2VzPjx2b2x1bWU+MzY8L3ZvbHVtZT48bnVtYmVyPjQ8L251bWJlcj48
ZWRpdGlvbj4yMDE1LzEwLzE3PC9lZGl0aW9uPjxrZXl3b3Jkcz48a2V5d29yZD5BZG9sZXNjZW50
PC9rZXl3b3JkPjxrZXl3b3JkPkFkdWx0PC9rZXl3b3JkPjxrZXl3b3JkPipBdHRpdHVkZSB0byBI
ZWFsdGg8L2tleXdvcmQ+PGtleXdvcmQ+QXVzdHJhbGlhPC9rZXl3b3JkPjxrZXl3b3JkPkNvbXBs
ZW1lbnRhcnkgVGhlcmFwaWVzLypwc3ljaG9sb2d5PC9rZXl3b3JkPjxrZXl3b3JkPkZlbWFsZTwv
a2V5d29yZD48a2V5d29yZD5IdW1hbnM8L2tleXdvcmQ+PGtleXdvcmQ+TG9uZ2l0dWRpbmFsIFN0
dWRpZXM8L2tleXdvcmQ+PGtleXdvcmQ+UHJlZ25hbmN5PC9rZXl3b3JkPjxrZXl3b3JkPlByZWdu
YW50IFdvbWVuLypwc3ljaG9sb2d5PC9rZXl3b3JkPjxrZXl3b3JkPlN1cnZleXMgYW5kIFF1ZXN0
aW9ubmFpcmVzPC9rZXl3b3JkPjxrZXl3b3JkPllvdW5nIEFkdWx0PC9rZXl3b3JkPjxrZXl3b3Jk
PkNvbXBsZW1lbnRhcnkgYW5kIGFsdGVybmF0aXZlIG1lZGljaW5lPC9rZXl3b3JkPjxrZXl3b3Jk
PmF0dGl0dWRlczwva2V5d29yZD48L2tleXdvcmRzPjxkYXRlcz48eWVhcj4yMDE2PC95ZWFyPjxw
dWItZGF0ZXM+PGRhdGU+TWF5PC9kYXRlPjwvcHViLWRhdGVzPjwvZGF0ZXM+PGlzYm4+MTM2NC02
ODkzIChFbGVjdHJvbmljKSYjeEQ7MDE0NC0zNjE1IChMaW5raW5nKTwvaXNibj48YWNjZXNzaW9u
LW51bT4yNjQ3MjQ4MjwvYWNjZXNzaW9uLW51bT48dXJscz48cmVsYXRlZC11cmxzPjx1cmw+aHR0
cHM6Ly93d3cubmNiaS5ubG0ubmloLmdvdi9wdWJtZWQvMjY0NzI0ODI8L3VybD48L3JlbGF0ZWQt
dXJscz48L3VybHM+PGVsZWN0cm9uaWMtcmVzb3VyY2UtbnVtPjEwLjMxMDkvMDE0NDM2MTUuMjAx
NS4xMDcyODA0PC9lbGVjdHJvbmljLXJlc291cmNlLW51bT48L3JlY29yZD48L0NpdGU+PC9FbmRO
b3RlPgB=
</w:fldData>
        </w:fldChar>
      </w:r>
      <w:r w:rsidR="002747EA">
        <w:rPr>
          <w:szCs w:val="18"/>
        </w:rPr>
        <w:instrText xml:space="preserve"> ADDIN EN.CITE </w:instrText>
      </w:r>
      <w:r w:rsidR="002747EA">
        <w:rPr>
          <w:szCs w:val="18"/>
        </w:rPr>
        <w:fldChar w:fldCharType="begin">
          <w:fldData xml:space="preserve">PEVuZE5vdGU+PENpdGU+PEF1dGhvcj5GcmF3bGV5PC9BdXRob3I+PFllYXI+MjAxNjwvWWVhcj48
UmVjTnVtPjE1Mzk8L1JlY051bT48RGlzcGxheVRleHQ+PHN0eWxlIGZhY2U9InN1cGVyc2NyaXB0
IiBmb250PSJUcmVidWNoZXQgTVMiIHNpemU9IjkiPjI1NDwvc3R5bGU+PC9EaXNwbGF5VGV4dD48
cmVjb3JkPjxyZWMtbnVtYmVyPjE1Mzk8L3JlYy1udW1iZXI+PGZvcmVpZ24ta2V5cz48a2V5IGFw
cD0iRU4iIGRiLWlkPSJleHZhc3JmeDJkdHJhb2VzYXN4cDJzenN4YTJkZjUwMjU5MngiIHRpbWVz
dGFtcD0iMTU3NjUzNjE2NiI+MTUzOTwva2V5PjxrZXkgYXBwPSJFTldlYiIgZGItaWQ9IiI+MDwv
a2V5PjwvZm9yZWlnbi1rZXlzPjxyZWYtdHlwZSBuYW1lPSJKb3VybmFsIEFydGljbGUiPjE3PC9y
ZWYtdHlwZT48Y29udHJpYnV0b3JzPjxhdXRob3JzPjxhdXRob3I+RnJhd2xleSwgSi48L2F1dGhv
cj48YXV0aG9yPlNpYmJyaXR0LCBELjwvYXV0aG9yPjxhdXRob3I+QnJvb20sIEEuPC9hdXRob3I+
PGF1dGhvcj5HYWxsb2lzLCBDLjwvYXV0aG9yPjxhdXRob3I+U3RlZWwsIEEuPC9hdXRob3I+PGF1
dGhvcj5BZGFtcywgSi48L2F1dGhvcj48L2F1dGhvcnM+PC9jb250cmlidXRvcnM+PGF1dGgtYWRk
cmVzcz5hIFVuaXZlcnNpdHkgb2YgVGVjaG5vbG9neSBTeWRuZXksIEZhY3VsdHkgb2YgSGVhbHRo
ICwgVWx0aW1vLCBTeWRuZXkgLCBBdXN0cmFsaWEuJiN4RDtiIFVuaXZlcnNpdHkgb2YgTmV3IFNv
dXRoIFdhbGVzLCBTY2hvb2wgb2YgU29jaWFsIFNjaWVuY2VzICwgU3lkbmV5ICwgQXVzdHJhbGlh
LiYjeEQ7YyBGYWN1bHR5IG9mIFNvY2lhbCBhbmQgQmVoYXZpb3VyYWwgU2NpZW5jZSwgVW5pdmVy
c2l0eSBvZiBRdWVlbnNsYW5kICwgQnJpc2JhbmUgLCBBdXN0cmFsaWEuJiN4RDtkIEVuZGVhdm91
ciBDb2xsZWdlIG9mIE5hdHVyYWwgSGVhbHRoICwgRm9ydGl0dWRlIFZhbGxleSwgQnJpc2JhbmUg
LCBBdXN0cmFsaWEuPC9hdXRoLWFkZHJlc3M+PHRpdGxlcz48dGl0bGU+V29tZW4mYXBvcztzIGF0
dGl0dWRlcyB0b3dhcmRzIHRoZSB1c2Ugb2YgY29tcGxlbWVudGFyeSBhbmQgYWx0ZXJuYXRpdmUg
bWVkaWNpbmUgcHJvZHVjdHMgZHVyaW5nIHByZWduYW5jeTwvdGl0bGU+PHNlY29uZGFyeS10aXRs
ZT5KIE9ic3RldCBHeW5hZWNvbDwvc2Vjb25kYXJ5LXRpdGxlPjwvdGl0bGVzPjxwZXJpb2RpY2Fs
PjxmdWxsLXRpdGxlPkogT2JzdGV0IEd5bmFlY29sPC9mdWxsLXRpdGxlPjwvcGVyaW9kaWNhbD48
cGFnZXM+NDYyLTc8L3BhZ2VzPjx2b2x1bWU+MzY8L3ZvbHVtZT48bnVtYmVyPjQ8L251bWJlcj48
ZWRpdGlvbj4yMDE1LzEwLzE3PC9lZGl0aW9uPjxrZXl3b3Jkcz48a2V5d29yZD5BZG9sZXNjZW50
PC9rZXl3b3JkPjxrZXl3b3JkPkFkdWx0PC9rZXl3b3JkPjxrZXl3b3JkPipBdHRpdHVkZSB0byBI
ZWFsdGg8L2tleXdvcmQ+PGtleXdvcmQ+QXVzdHJhbGlhPC9rZXl3b3JkPjxrZXl3b3JkPkNvbXBs
ZW1lbnRhcnkgVGhlcmFwaWVzLypwc3ljaG9sb2d5PC9rZXl3b3JkPjxrZXl3b3JkPkZlbWFsZTwv
a2V5d29yZD48a2V5d29yZD5IdW1hbnM8L2tleXdvcmQ+PGtleXdvcmQ+TG9uZ2l0dWRpbmFsIFN0
dWRpZXM8L2tleXdvcmQ+PGtleXdvcmQ+UHJlZ25hbmN5PC9rZXl3b3JkPjxrZXl3b3JkPlByZWdu
YW50IFdvbWVuLypwc3ljaG9sb2d5PC9rZXl3b3JkPjxrZXl3b3JkPlN1cnZleXMgYW5kIFF1ZXN0
aW9ubmFpcmVzPC9rZXl3b3JkPjxrZXl3b3JkPllvdW5nIEFkdWx0PC9rZXl3b3JkPjxrZXl3b3Jk
PkNvbXBsZW1lbnRhcnkgYW5kIGFsdGVybmF0aXZlIG1lZGljaW5lPC9rZXl3b3JkPjxrZXl3b3Jk
PmF0dGl0dWRlczwva2V5d29yZD48L2tleXdvcmRzPjxkYXRlcz48eWVhcj4yMDE2PC95ZWFyPjxw
dWItZGF0ZXM+PGRhdGU+TWF5PC9kYXRlPjwvcHViLWRhdGVzPjwvZGF0ZXM+PGlzYm4+MTM2NC02
ODkzIChFbGVjdHJvbmljKSYjeEQ7MDE0NC0zNjE1IChMaW5raW5nKTwvaXNibj48YWNjZXNzaW9u
LW51bT4yNjQ3MjQ4MjwvYWNjZXNzaW9uLW51bT48dXJscz48cmVsYXRlZC11cmxzPjx1cmw+aHR0
cHM6Ly93d3cubmNiaS5ubG0ubmloLmdvdi9wdWJtZWQvMjY0NzI0ODI8L3VybD48L3JlbGF0ZWQt
dXJscz48L3VybHM+PGVsZWN0cm9uaWMtcmVzb3VyY2UtbnVtPjEwLjMxMDkvMDE0NDM2MTUuMjAx
NS4xMDcyODA0PC9lbGVjdHJvbmljLXJlc291cmNlLW51bT48L3JlY29yZD48L0NpdGU+PC9FbmRO
b3RlPgB=
</w:fldData>
        </w:fldChar>
      </w:r>
      <w:r w:rsidR="002747EA">
        <w:rPr>
          <w:szCs w:val="18"/>
        </w:rPr>
        <w:instrText xml:space="preserve"> ADDIN EN.CITE.DATA </w:instrText>
      </w:r>
      <w:r w:rsidR="002747EA">
        <w:rPr>
          <w:szCs w:val="18"/>
        </w:rPr>
      </w:r>
      <w:r w:rsidR="002747EA">
        <w:rPr>
          <w:szCs w:val="18"/>
        </w:rPr>
        <w:fldChar w:fldCharType="end"/>
      </w:r>
      <w:r w:rsidR="005653ED">
        <w:rPr>
          <w:szCs w:val="18"/>
        </w:rPr>
      </w:r>
      <w:r w:rsidR="005653ED">
        <w:rPr>
          <w:szCs w:val="18"/>
        </w:rPr>
        <w:fldChar w:fldCharType="separate"/>
      </w:r>
      <w:r w:rsidR="002747EA" w:rsidRPr="002747EA">
        <w:rPr>
          <w:noProof/>
          <w:szCs w:val="18"/>
          <w:vertAlign w:val="superscript"/>
        </w:rPr>
        <w:t>254</w:t>
      </w:r>
      <w:r w:rsidR="005653ED">
        <w:rPr>
          <w:szCs w:val="18"/>
        </w:rPr>
        <w:fldChar w:fldCharType="end"/>
      </w:r>
      <w:r w:rsidRPr="00EA100D">
        <w:rPr>
          <w:szCs w:val="18"/>
        </w:rPr>
        <w:t> </w:t>
      </w:r>
    </w:p>
    <w:p w14:paraId="009F7F8D" w14:textId="47047188" w:rsidR="00423473" w:rsidRPr="00423473" w:rsidRDefault="00423473" w:rsidP="00423473">
      <w:r>
        <w:t>A systematic review of found</w:t>
      </w:r>
      <w:r w:rsidRPr="00423473">
        <w:t xml:space="preserve"> that women </w:t>
      </w:r>
      <w:r>
        <w:t>use</w:t>
      </w:r>
      <w:r w:rsidRPr="00423473">
        <w:t xml:space="preserve"> complementary and alternative medicine</w:t>
      </w:r>
      <w:r w:rsidR="009C57CE">
        <w:t xml:space="preserve"> (including herbal preparations)</w:t>
      </w:r>
      <w:r w:rsidRPr="00423473">
        <w:t xml:space="preserve"> in their</w:t>
      </w:r>
      <w:r>
        <w:t xml:space="preserve"> </w:t>
      </w:r>
      <w:r w:rsidRPr="00423473">
        <w:t>pregnancy as a means of supporting their sense of self-determination, to pursue a natural and safe childbirth,</w:t>
      </w:r>
      <w:r>
        <w:t xml:space="preserve"> </w:t>
      </w:r>
      <w:r w:rsidRPr="00423473">
        <w:t>and because they experience a close affiliation with the philosophical underpinnings of complementary and</w:t>
      </w:r>
      <w:r>
        <w:t xml:space="preserve"> </w:t>
      </w:r>
      <w:r w:rsidRPr="00423473">
        <w:t>alternative medicine as an alternative to the biomedical model.</w:t>
      </w:r>
      <w:r w:rsidR="00774750">
        <w:fldChar w:fldCharType="begin">
          <w:fldData xml:space="preserve">PEVuZE5vdGU+PENpdGU+PEF1dGhvcj5Cb3dtYW48L0F1dGhvcj48WWVhcj4yMDE4PC9ZZWFyPjxS
ZWNOdW0+MTcxMDwvUmVjTnVtPjxEaXNwbGF5VGV4dD48c3R5bGUgZmFjZT0ic3VwZXJzY3JpcHQi
IGZvbnQ9IlRyZWJ1Y2hldCBNUyIgc2l6ZT0iOSI+MjU1PC9zdHlsZT48L0Rpc3BsYXlUZXh0Pjxy
ZWNvcmQ+PHJlYy1udW1iZXI+MTcxMDwvcmVjLW51bWJlcj48Zm9yZWlnbi1rZXlzPjxrZXkgYXBw
PSJFTiIgZGItaWQ9ImV4dmFzcmZ4MmR0cmFvZXNhc3hwMnN6c3hhMmRmNTAyNTkyeCIgdGltZXN0
YW1wPSIxNTgyNTAzNzkzIj4xNzEwPC9rZXk+PGtleSBhcHA9IkVOV2ViIiBkYi1pZD0iIj4wPC9r
ZXk+PC9mb3JlaWduLWtleXM+PHJlZi10eXBlIG5hbWU9IkpvdXJuYWwgQXJ0aWNsZSI+MTc8L3Jl
Zi10eXBlPjxjb250cmlidXRvcnM+PGF1dGhvcnM+PGF1dGhvcj5Cb3dtYW4sIFIuIEwuPC9hdXRo
b3I+PGF1dGhvcj5EYXZpcywgRC4gTC48L2F1dGhvcj48YXV0aG9yPkZlcmd1c29uLCBTLjwvYXV0
aG9yPjxhdXRob3I+VGF5bG9yLCBKLjwvYXV0aG9yPjwvYXV0aG9ycz48L2NvbnRyaWJ1dG9ycz48
YXV0aC1hZGRyZXNzPkZhY3VsdHkgb2YgSGVhbHRoLCBEaXNjaXBsaW5lcyBvZiBOdXJzaW5nIGFu
ZCBNaWR3aWZlcnksIFVuaXZlcnNpdHkgb2YgQ2FuYmVycmEsIEJydWNlLCBBQ1QgMjYxNywgQXVz
dHJhbGlhOyBVbml2ZXJzaXR5IG9mIENhbmJlcnJhLCBCdWlsZGluZyAxMCBMZXZlbCBCLCBDb2xs
ZWdlIFN0LCBCcnVjZSwgQUNUIDI2MTcsIEF1c3RyYWxpYS4gRWxlY3Ryb25pYyBhZGRyZXNzOiBS
ZWJla2FoLkJvd21hbkBjYW5iZXJyYS5lZHUuYXUuJiN4RDtGYWN1bHR5IG9mIEhlYWx0aCwgRGlz
Y2lwbGluZXMgb2YgTnVyc2luZyBhbmQgTWlkd2lmZXJ5LCBVbml2ZXJzaXR5IG9mIENhbmJlcnJh
LCBCcnVjZSwgQUNUIDI2MTcsIEF1c3RyYWxpYTsgVW5pdmVyc2l0eSBvZiBDYW5iZXJyYSBhbmQg
QUNUIEdvdmVybm1lbnQsIEhlYWx0aCBEaXJlY3RvcmF0ZSwgQXVzdHJhbGlhLiYjeEQ7RmFjdWx0
eSBvZiBIZWFsdGgsIERpc2NpcGxpbmVzIG9mIE51cnNpbmcgYW5kIE1pZHdpZmVyeSwgVW5pdmVy
c2l0eSBvZiBDYW5iZXJyYSwgQnJ1Y2UsIEFDVCAyNjE3LCBBdXN0cmFsaWE7IFVuaXZlcnNpdHkg
b2YgQ2FuYmVycmEsIEJ1aWxkaW5nIDEwIExldmVsIEIsIENvbGxlZ2UgU3QsIEJydWNlLCBBQ1Qg
MjYxNywgQXVzdHJhbGlhLjwvYXV0aC1hZGRyZXNzPjx0aXRsZXM+PHRpdGxlPldvbWVuJmFwb3M7
cyBtb3RpdmF0aW9uLCBwZXJjZXB0aW9uIGFuZCBleHBlcmllbmNlIG9mIGNvbXBsZW1lbnRhcnkg
YW5kIGFsdGVybmF0aXZlIG1lZGljaW5lIGluIHByZWduYW5jeTogQSBtZXRhLXN5bnRoZXNpczwv
dGl0bGU+PHNlY29uZGFyeS10aXRsZT5NaWR3aWZlcnk8L3NlY29uZGFyeS10aXRsZT48L3RpdGxl
cz48cGVyaW9kaWNhbD48ZnVsbC10aXRsZT5NaWR3aWZlcnk8L2Z1bGwtdGl0bGU+PC9wZXJpb2Rp
Y2FsPjxwYWdlcz44MS04NzwvcGFnZXM+PHZvbHVtZT41OTwvdm9sdW1lPjxlZGl0aW9uPjIwMTgv
MDIvMDk8L2VkaXRpb24+PGtleXdvcmRzPjxrZXl3b3JkPkF1c3RyYWxpYTwva2V5d29yZD48a2V5
d29yZD5Db21wbGVtZW50YXJ5IFRoZXJhcGllcy9wc3ljaG9sb2d5LypzdGFuZGFyZHM8L2tleXdv
cmQ+PGtleXdvcmQ+RmVtYWxlPC9rZXl3b3JkPjxrZXl3b3JkPipIZWFsdGggS25vd2xlZGdlLCBB
dHRpdHVkZXMsIFByYWN0aWNlPC9rZXl3b3JkPjxrZXl3b3JkPkh1bWFuczwva2V5d29yZD48a2V5
d29yZD4qTW90aXZhdGlvbjwva2V5d29yZD48a2V5d29yZD4qUGVyY2VwdGlvbjwva2V5d29yZD48
a2V5d29yZD5QcmVnbmFuY3k8L2tleXdvcmQ+PGtleXdvcmQ+UHJlZ25hbnQgV29tZW4vKnBzeWNo
b2xvZ3k8L2tleXdvcmQ+PGtleXdvcmQ+Q29tcGxlbWVudGFyeSBUaGVyYXBpZXM8L2tleXdvcmQ+
PGtleXdvcmQ+Q29tcGxlbWVudGFyeSBhbmQgQWx0ZXJuYXRpdmUgVGhlcmFwaWVzPC9rZXl3b3Jk
PjxrZXl3b3JkPlByZWduYW50IFdvbWVuPC9rZXl3b3JkPjwva2V5d29yZHM+PGRhdGVzPjx5ZWFy
PjIwMTg8L3llYXI+PHB1Yi1kYXRlcz48ZGF0ZT5BcHI8L2RhdGU+PC9wdWItZGF0ZXM+PC9kYXRl
cz48aXNibj4xNTMyLTMwOTkgKEVsZWN0cm9uaWMpJiN4RDswMjY2LTYxMzggKExpbmtpbmcpPC9p
c2JuPjxhY2Nlc3Npb24tbnVtPjI5NDIxNjQyPC9hY2Nlc3Npb24tbnVtPjx1cmxzPjxyZWxhdGVk
LXVybHM+PHVybD5odHRwczovL3d3dy5uY2JpLm5sbS5uaWguZ292L3B1Ym1lZC8yOTQyMTY0Mjwv
dXJsPjwvcmVsYXRlZC11cmxzPjwvdXJscz48ZWxlY3Ryb25pYy1yZXNvdXJjZS1udW0+MTAuMTAx
Ni9qLm1pZHcuMjAxNy4xMS4wMDc8L2VsZWN0cm9uaWMtcmVzb3VyY2UtbnVtPjwvcmVjb3JkPjwv
Q2l0ZT48L0VuZE5vdGU+AG==
</w:fldData>
        </w:fldChar>
      </w:r>
      <w:r w:rsidR="002747EA">
        <w:instrText xml:space="preserve"> ADDIN EN.CITE </w:instrText>
      </w:r>
      <w:r w:rsidR="002747EA">
        <w:fldChar w:fldCharType="begin">
          <w:fldData xml:space="preserve">PEVuZE5vdGU+PENpdGU+PEF1dGhvcj5Cb3dtYW48L0F1dGhvcj48WWVhcj4yMDE4PC9ZZWFyPjxS
ZWNOdW0+MTcxMDwvUmVjTnVtPjxEaXNwbGF5VGV4dD48c3R5bGUgZmFjZT0ic3VwZXJzY3JpcHQi
IGZvbnQ9IlRyZWJ1Y2hldCBNUyIgc2l6ZT0iOSI+MjU1PC9zdHlsZT48L0Rpc3BsYXlUZXh0Pjxy
ZWNvcmQ+PHJlYy1udW1iZXI+MTcxMDwvcmVjLW51bWJlcj48Zm9yZWlnbi1rZXlzPjxrZXkgYXBw
PSJFTiIgZGItaWQ9ImV4dmFzcmZ4MmR0cmFvZXNhc3hwMnN6c3hhMmRmNTAyNTkyeCIgdGltZXN0
YW1wPSIxNTgyNTAzNzkzIj4xNzEwPC9rZXk+PGtleSBhcHA9IkVOV2ViIiBkYi1pZD0iIj4wPC9r
ZXk+PC9mb3JlaWduLWtleXM+PHJlZi10eXBlIG5hbWU9IkpvdXJuYWwgQXJ0aWNsZSI+MTc8L3Jl
Zi10eXBlPjxjb250cmlidXRvcnM+PGF1dGhvcnM+PGF1dGhvcj5Cb3dtYW4sIFIuIEwuPC9hdXRo
b3I+PGF1dGhvcj5EYXZpcywgRC4gTC48L2F1dGhvcj48YXV0aG9yPkZlcmd1c29uLCBTLjwvYXV0
aG9yPjxhdXRob3I+VGF5bG9yLCBKLjwvYXV0aG9yPjwvYXV0aG9ycz48L2NvbnRyaWJ1dG9ycz48
YXV0aC1hZGRyZXNzPkZhY3VsdHkgb2YgSGVhbHRoLCBEaXNjaXBsaW5lcyBvZiBOdXJzaW5nIGFu
ZCBNaWR3aWZlcnksIFVuaXZlcnNpdHkgb2YgQ2FuYmVycmEsIEJydWNlLCBBQ1QgMjYxNywgQXVz
dHJhbGlhOyBVbml2ZXJzaXR5IG9mIENhbmJlcnJhLCBCdWlsZGluZyAxMCBMZXZlbCBCLCBDb2xs
ZWdlIFN0LCBCcnVjZSwgQUNUIDI2MTcsIEF1c3RyYWxpYS4gRWxlY3Ryb25pYyBhZGRyZXNzOiBS
ZWJla2FoLkJvd21hbkBjYW5iZXJyYS5lZHUuYXUuJiN4RDtGYWN1bHR5IG9mIEhlYWx0aCwgRGlz
Y2lwbGluZXMgb2YgTnVyc2luZyBhbmQgTWlkd2lmZXJ5LCBVbml2ZXJzaXR5IG9mIENhbmJlcnJh
LCBCcnVjZSwgQUNUIDI2MTcsIEF1c3RyYWxpYTsgVW5pdmVyc2l0eSBvZiBDYW5iZXJyYSBhbmQg
QUNUIEdvdmVybm1lbnQsIEhlYWx0aCBEaXJlY3RvcmF0ZSwgQXVzdHJhbGlhLiYjeEQ7RmFjdWx0
eSBvZiBIZWFsdGgsIERpc2NpcGxpbmVzIG9mIE51cnNpbmcgYW5kIE1pZHdpZmVyeSwgVW5pdmVy
c2l0eSBvZiBDYW5iZXJyYSwgQnJ1Y2UsIEFDVCAyNjE3LCBBdXN0cmFsaWE7IFVuaXZlcnNpdHkg
b2YgQ2FuYmVycmEsIEJ1aWxkaW5nIDEwIExldmVsIEIsIENvbGxlZ2UgU3QsIEJydWNlLCBBQ1Qg
MjYxNywgQXVzdHJhbGlhLjwvYXV0aC1hZGRyZXNzPjx0aXRsZXM+PHRpdGxlPldvbWVuJmFwb3M7
cyBtb3RpdmF0aW9uLCBwZXJjZXB0aW9uIGFuZCBleHBlcmllbmNlIG9mIGNvbXBsZW1lbnRhcnkg
YW5kIGFsdGVybmF0aXZlIG1lZGljaW5lIGluIHByZWduYW5jeTogQSBtZXRhLXN5bnRoZXNpczwv
dGl0bGU+PHNlY29uZGFyeS10aXRsZT5NaWR3aWZlcnk8L3NlY29uZGFyeS10aXRsZT48L3RpdGxl
cz48cGVyaW9kaWNhbD48ZnVsbC10aXRsZT5NaWR3aWZlcnk8L2Z1bGwtdGl0bGU+PC9wZXJpb2Rp
Y2FsPjxwYWdlcz44MS04NzwvcGFnZXM+PHZvbHVtZT41OTwvdm9sdW1lPjxlZGl0aW9uPjIwMTgv
MDIvMDk8L2VkaXRpb24+PGtleXdvcmRzPjxrZXl3b3JkPkF1c3RyYWxpYTwva2V5d29yZD48a2V5
d29yZD5Db21wbGVtZW50YXJ5IFRoZXJhcGllcy9wc3ljaG9sb2d5LypzdGFuZGFyZHM8L2tleXdv
cmQ+PGtleXdvcmQ+RmVtYWxlPC9rZXl3b3JkPjxrZXl3b3JkPipIZWFsdGggS25vd2xlZGdlLCBB
dHRpdHVkZXMsIFByYWN0aWNlPC9rZXl3b3JkPjxrZXl3b3JkPkh1bWFuczwva2V5d29yZD48a2V5
d29yZD4qTW90aXZhdGlvbjwva2V5d29yZD48a2V5d29yZD4qUGVyY2VwdGlvbjwva2V5d29yZD48
a2V5d29yZD5QcmVnbmFuY3k8L2tleXdvcmQ+PGtleXdvcmQ+UHJlZ25hbnQgV29tZW4vKnBzeWNo
b2xvZ3k8L2tleXdvcmQ+PGtleXdvcmQ+Q29tcGxlbWVudGFyeSBUaGVyYXBpZXM8L2tleXdvcmQ+
PGtleXdvcmQ+Q29tcGxlbWVudGFyeSBhbmQgQWx0ZXJuYXRpdmUgVGhlcmFwaWVzPC9rZXl3b3Jk
PjxrZXl3b3JkPlByZWduYW50IFdvbWVuPC9rZXl3b3JkPjwva2V5d29yZHM+PGRhdGVzPjx5ZWFy
PjIwMTg8L3llYXI+PHB1Yi1kYXRlcz48ZGF0ZT5BcHI8L2RhdGU+PC9wdWItZGF0ZXM+PC9kYXRl
cz48aXNibj4xNTMyLTMwOTkgKEVsZWN0cm9uaWMpJiN4RDswMjY2LTYxMzggKExpbmtpbmcpPC9p
c2JuPjxhY2Nlc3Npb24tbnVtPjI5NDIxNjQyPC9hY2Nlc3Npb24tbnVtPjx1cmxzPjxyZWxhdGVk
LXVybHM+PHVybD5odHRwczovL3d3dy5uY2JpLm5sbS5uaWguZ292L3B1Ym1lZC8yOTQyMTY0Mjwv
dXJsPjwvcmVsYXRlZC11cmxzPjwvdXJscz48ZWxlY3Ryb25pYy1yZXNvdXJjZS1udW0+MTAuMTAx
Ni9qLm1pZHcuMjAxNy4xMS4wMDc8L2VsZWN0cm9uaWMtcmVzb3VyY2UtbnVtPjwvcmVjb3JkPjwv
Q2l0ZT48L0VuZE5vdGU+AG==
</w:fldData>
        </w:fldChar>
      </w:r>
      <w:r w:rsidR="002747EA">
        <w:instrText xml:space="preserve"> ADDIN EN.CITE.DATA </w:instrText>
      </w:r>
      <w:r w:rsidR="002747EA">
        <w:fldChar w:fldCharType="end"/>
      </w:r>
      <w:r w:rsidR="00774750">
        <w:fldChar w:fldCharType="separate"/>
      </w:r>
      <w:r w:rsidR="002747EA" w:rsidRPr="002747EA">
        <w:rPr>
          <w:noProof/>
          <w:vertAlign w:val="superscript"/>
        </w:rPr>
        <w:t>255</w:t>
      </w:r>
      <w:r w:rsidR="00774750">
        <w:fldChar w:fldCharType="end"/>
      </w:r>
    </w:p>
    <w:p w14:paraId="6C163623" w14:textId="5BFF5E42" w:rsidR="00CC12EC" w:rsidRPr="00CC12EC" w:rsidRDefault="00CC12EC" w:rsidP="00CC12EC">
      <w:r w:rsidRPr="00CC12EC">
        <w:t xml:space="preserve">A multinational, cross-sectional study </w:t>
      </w:r>
      <w:r w:rsidR="00503547">
        <w:t>(n=9,483),</w:t>
      </w:r>
      <w:r w:rsidR="005653ED">
        <w:fldChar w:fldCharType="begin">
          <w:fldData xml:space="preserve">PEVuZE5vdGU+PENpdGU+PEF1dGhvcj5LZW5uZWR5PC9BdXRob3I+PFllYXI+MjAxNjwvWWVhcj48
UmVjTnVtPjE1NDE8L1JlY051bT48RGlzcGxheVRleHQ+PHN0eWxlIGZhY2U9InN1cGVyc2NyaXB0
IiBmb250PSJUcmVidWNoZXQgTVMiIHNpemU9IjkiPjI1Njwvc3R5bGU+PC9EaXNwbGF5VGV4dD48
cmVjb3JkPjxyZWMtbnVtYmVyPjE1NDE8L3JlYy1udW1iZXI+PGZvcmVpZ24ta2V5cz48a2V5IGFw
cD0iRU4iIGRiLWlkPSJleHZhc3JmeDJkdHJhb2VzYXN4cDJzenN4YTJkZjUwMjU5MngiIHRpbWVz
dGFtcD0iMTU3NjUzNjE3MyI+MTU0MTwva2V5PjxrZXkgYXBwPSJFTldlYiIgZGItaWQ9IiI+MDwv
a2V5PjwvZm9yZWlnbi1rZXlzPjxyZWYtdHlwZSBuYW1lPSJKb3VybmFsIEFydGljbGUiPjE3PC9y
ZWYtdHlwZT48Y29udHJpYnV0b3JzPjxhdXRob3JzPjxhdXRob3I+S2VubmVkeSwgRC4gQS48L2F1
dGhvcj48YXV0aG9yPkx1cGF0dGVsbGksIEEuPC9hdXRob3I+PGF1dGhvcj5Lb3JlbiwgRy48L2F1
dGhvcj48YXV0aG9yPk5vcmRlbmcsIEguPC9hdXRob3I+PC9hdXRob3JzPjwvY29udHJpYnV0b3Jz
PjxhdXRoLWFkZHJlc3M+VGhlIE1vdGhlcmlzayBQcm9ncmFtLCBEaXZpc2lvbiBvZiBDbGluaWNh
bCBQaGFybWFjb2xvZ3kgYW5kIFRveGljb2xvZ3ksIFRoZSBIb3NwaXRhbCBmb3IgU2ljayBDaGls
ZHJlbiwgVW5pdmVyc2l0eSBvZiBUb3JvbnRvLCA1NTUgVW5pdmVyc2l0eSBBdmVudWUsIFRvcm9u
dG8sIE9OLCBNNUcgMVg4LCBDYW5hZGEuIGRrZW5uZWR5bmRAeWFob28uY2EuJiN4RDtQaGFybWFj
b0VwaWRlbWlvbG9neSBhbmQgRHJ1ZyBTYWZldHkgUmVzZWFyY2ggR3JvdXAsIFNjaG9vbCBvZiBQ
aGFybWFjeSwgUGhhcm1hVG94IFN0cmF0ZWdpYyBJbml0aWF0aXZlLCBGYWN1bHR5IG9mIE1hdGhl
bWF0aWNzIGFuZCBOYXR1cmFsIFNjaWVuY2VzLCBVbml2ZXJzaXR5IG9mIE9zbG8sIFBvc3Rib3gg
MTA2OCBCbGluZGVybiwgMDMxNiwgT3NsbywgTm9yd2F5LiYjeEQ7VGhlIE1vdGhlcmlzayBQcm9n
cmFtLCBEaXZpc2lvbiBvZiBDbGluaWNhbCBQaGFybWFjb2xvZ3kgYW5kIFRveGljb2xvZ3ksIFRo
ZSBIb3NwaXRhbCBmb3IgU2ljayBDaGlsZHJlbiwgVW5pdmVyc2l0eSBvZiBUb3JvbnRvLCA1NTUg
VW5pdmVyc2l0eSBBdmVudWUsIFRvcm9udG8sIE9OLCBNNUcgMVg4LCBDYW5hZGEuJiN4RDtEaXZp
c2lvbiBvZiBNZW50YWwgSGVhbHRoLCBOb3J3ZWdpYW4gSW5zdGl0dXRlIG9mIFB1YmxpYyBIZWFs
dGgsIE9zbG8sIE5vcndheS48L2F1dGgtYWRkcmVzcz48dGl0bGVzPjx0aXRsZT5TYWZldHkgY2xh
c3NpZmljYXRpb24gb2YgaGVyYmFsIG1lZGljaW5lcyB1c2VkIGluIHByZWduYW5jeSBpbiBhIG11
bHRpbmF0aW9uYWwgc3R1ZHk8L3RpdGxlPjxzZWNvbmRhcnktdGl0bGU+Qk1DIENvbXBsZW1lbnQg
QWx0ZXJuIE1lZDwvc2Vjb25kYXJ5LXRpdGxlPjwvdGl0bGVzPjxwZXJpb2RpY2FsPjxmdWxsLXRp
dGxlPkJNQyBDb21wbGVtZW50IEFsdGVybiBNZWQ8L2Z1bGwtdGl0bGU+PC9wZXJpb2RpY2FsPjxw
YWdlcz4xMDI8L3BhZ2VzPjx2b2x1bWU+MTY8L3ZvbHVtZT48ZWRpdGlvbj4yMDE2LzAzLzE3PC9l
ZGl0aW9uPjxrZXl3b3Jkcz48a2V5d29yZD5Dcm9zcy1TZWN0aW9uYWwgU3R1ZGllczwva2V5d29y
ZD48a2V5d29yZD5GZW1hbGU8L2tleXdvcmQ+PGtleXdvcmQ+SGVyYmFsIE1lZGljaW5lLypjbGFz
c2lmaWNhdGlvbjwva2V5d29yZD48a2V5d29yZD5IdW1hbnM8L2tleXdvcmQ+PGtleXdvcmQ+SW50
ZXJuYXRpb25hbCBDb29wZXJhdGlvbjwva2V5d29yZD48a2V5d29yZD5QaHl0b3RoZXJhcHk8L2tl
eXdvcmQ+PGtleXdvcmQ+UHJlZ25hbmN5PC9rZXl3b3JkPjxrZXl3b3JkPlByZWduYW5jeSBDb21w
bGljYXRpb25zLyp0aGVyYXB5PC9rZXl3b3JkPjxrZXl3b3JkPipTYWZldHk8L2tleXdvcmQ+PGtl
eXdvcmQ+U3VydmV5cyBhbmQgUXVlc3Rpb25uYWlyZXM8L2tleXdvcmQ+PGtleXdvcmQ+Q2FtPC9r
ZXl3b3JkPjxrZXl3b3JkPkNvbXBsZW1lbnRhcnkgYW5kIGFsdGVybmF0aXZlIG1lZGljaW5lPC9r
ZXl3b3JkPjxrZXl3b3JkPkhlcmJhbCBtZWRpY2luZTwva2V5d29yZD48a2V5d29yZD5TYWZldHk8
L2tleXdvcmQ+PC9rZXl3b3Jkcz48ZGF0ZXM+PHllYXI+MjAxNjwveWVhcj48cHViLWRhdGVzPjxk
YXRlPk1hciAxNTwvZGF0ZT48L3B1Yi1kYXRlcz48L2RhdGVzPjxpc2JuPjE0NzItNjg4MiAoRWxl
Y3Ryb25pYykmI3hEOzE0NzItNjg4MiAoTGlua2luZyk8L2lzYm4+PGFjY2Vzc2lvbi1udW0+MjY5
ODA1MjY8L2FjY2Vzc2lvbi1udW0+PHVybHM+PHJlbGF0ZWQtdXJscz48dXJsPmh0dHBzOi8vd3d3
Lm5jYmkubmxtLm5paC5nb3YvcHVibWVkLzI2OTgwNTI2PC91cmw+PC9yZWxhdGVkLXVybHM+PC91
cmxzPjxjdXN0b20yPlBNQzQ3OTM2MTA8L2N1c3RvbTI+PGVsZWN0cm9uaWMtcmVzb3VyY2UtbnVt
PjEwLjExODYvczEyOTA2LTAxNi0xMDc5LXo8L2VsZWN0cm9uaWMtcmVzb3VyY2UtbnVtPjwvcmVj
b3JkPjwvQ2l0ZT48L0VuZE5vdGU+AG==
</w:fldData>
        </w:fldChar>
      </w:r>
      <w:r w:rsidR="002747EA">
        <w:instrText xml:space="preserve"> ADDIN EN.CITE </w:instrText>
      </w:r>
      <w:r w:rsidR="002747EA">
        <w:fldChar w:fldCharType="begin">
          <w:fldData xml:space="preserve">PEVuZE5vdGU+PENpdGU+PEF1dGhvcj5LZW5uZWR5PC9BdXRob3I+PFllYXI+MjAxNjwvWWVhcj48
UmVjTnVtPjE1NDE8L1JlY051bT48RGlzcGxheVRleHQ+PHN0eWxlIGZhY2U9InN1cGVyc2NyaXB0
IiBmb250PSJUcmVidWNoZXQgTVMiIHNpemU9IjkiPjI1Njwvc3R5bGU+PC9EaXNwbGF5VGV4dD48
cmVjb3JkPjxyZWMtbnVtYmVyPjE1NDE8L3JlYy1udW1iZXI+PGZvcmVpZ24ta2V5cz48a2V5IGFw
cD0iRU4iIGRiLWlkPSJleHZhc3JmeDJkdHJhb2VzYXN4cDJzenN4YTJkZjUwMjU5MngiIHRpbWVz
dGFtcD0iMTU3NjUzNjE3MyI+MTU0MTwva2V5PjxrZXkgYXBwPSJFTldlYiIgZGItaWQ9IiI+MDwv
a2V5PjwvZm9yZWlnbi1rZXlzPjxyZWYtdHlwZSBuYW1lPSJKb3VybmFsIEFydGljbGUiPjE3PC9y
ZWYtdHlwZT48Y29udHJpYnV0b3JzPjxhdXRob3JzPjxhdXRob3I+S2VubmVkeSwgRC4gQS48L2F1
dGhvcj48YXV0aG9yPkx1cGF0dGVsbGksIEEuPC9hdXRob3I+PGF1dGhvcj5Lb3JlbiwgRy48L2F1
dGhvcj48YXV0aG9yPk5vcmRlbmcsIEguPC9hdXRob3I+PC9hdXRob3JzPjwvY29udHJpYnV0b3Jz
PjxhdXRoLWFkZHJlc3M+VGhlIE1vdGhlcmlzayBQcm9ncmFtLCBEaXZpc2lvbiBvZiBDbGluaWNh
bCBQaGFybWFjb2xvZ3kgYW5kIFRveGljb2xvZ3ksIFRoZSBIb3NwaXRhbCBmb3IgU2ljayBDaGls
ZHJlbiwgVW5pdmVyc2l0eSBvZiBUb3JvbnRvLCA1NTUgVW5pdmVyc2l0eSBBdmVudWUsIFRvcm9u
dG8sIE9OLCBNNUcgMVg4LCBDYW5hZGEuIGRrZW5uZWR5bmRAeWFob28uY2EuJiN4RDtQaGFybWFj
b0VwaWRlbWlvbG9neSBhbmQgRHJ1ZyBTYWZldHkgUmVzZWFyY2ggR3JvdXAsIFNjaG9vbCBvZiBQ
aGFybWFjeSwgUGhhcm1hVG94IFN0cmF0ZWdpYyBJbml0aWF0aXZlLCBGYWN1bHR5IG9mIE1hdGhl
bWF0aWNzIGFuZCBOYXR1cmFsIFNjaWVuY2VzLCBVbml2ZXJzaXR5IG9mIE9zbG8sIFBvc3Rib3gg
MTA2OCBCbGluZGVybiwgMDMxNiwgT3NsbywgTm9yd2F5LiYjeEQ7VGhlIE1vdGhlcmlzayBQcm9n
cmFtLCBEaXZpc2lvbiBvZiBDbGluaWNhbCBQaGFybWFjb2xvZ3kgYW5kIFRveGljb2xvZ3ksIFRo
ZSBIb3NwaXRhbCBmb3IgU2ljayBDaGlsZHJlbiwgVW5pdmVyc2l0eSBvZiBUb3JvbnRvLCA1NTUg
VW5pdmVyc2l0eSBBdmVudWUsIFRvcm9udG8sIE9OLCBNNUcgMVg4LCBDYW5hZGEuJiN4RDtEaXZp
c2lvbiBvZiBNZW50YWwgSGVhbHRoLCBOb3J3ZWdpYW4gSW5zdGl0dXRlIG9mIFB1YmxpYyBIZWFs
dGgsIE9zbG8sIE5vcndheS48L2F1dGgtYWRkcmVzcz48dGl0bGVzPjx0aXRsZT5TYWZldHkgY2xh
c3NpZmljYXRpb24gb2YgaGVyYmFsIG1lZGljaW5lcyB1c2VkIGluIHByZWduYW5jeSBpbiBhIG11
bHRpbmF0aW9uYWwgc3R1ZHk8L3RpdGxlPjxzZWNvbmRhcnktdGl0bGU+Qk1DIENvbXBsZW1lbnQg
QWx0ZXJuIE1lZDwvc2Vjb25kYXJ5LXRpdGxlPjwvdGl0bGVzPjxwZXJpb2RpY2FsPjxmdWxsLXRp
dGxlPkJNQyBDb21wbGVtZW50IEFsdGVybiBNZWQ8L2Z1bGwtdGl0bGU+PC9wZXJpb2RpY2FsPjxw
YWdlcz4xMDI8L3BhZ2VzPjx2b2x1bWU+MTY8L3ZvbHVtZT48ZWRpdGlvbj4yMDE2LzAzLzE3PC9l
ZGl0aW9uPjxrZXl3b3Jkcz48a2V5d29yZD5Dcm9zcy1TZWN0aW9uYWwgU3R1ZGllczwva2V5d29y
ZD48a2V5d29yZD5GZW1hbGU8L2tleXdvcmQ+PGtleXdvcmQ+SGVyYmFsIE1lZGljaW5lLypjbGFz
c2lmaWNhdGlvbjwva2V5d29yZD48a2V5d29yZD5IdW1hbnM8L2tleXdvcmQ+PGtleXdvcmQ+SW50
ZXJuYXRpb25hbCBDb29wZXJhdGlvbjwva2V5d29yZD48a2V5d29yZD5QaHl0b3RoZXJhcHk8L2tl
eXdvcmQ+PGtleXdvcmQ+UHJlZ25hbmN5PC9rZXl3b3JkPjxrZXl3b3JkPlByZWduYW5jeSBDb21w
bGljYXRpb25zLyp0aGVyYXB5PC9rZXl3b3JkPjxrZXl3b3JkPipTYWZldHk8L2tleXdvcmQ+PGtl
eXdvcmQ+U3VydmV5cyBhbmQgUXVlc3Rpb25uYWlyZXM8L2tleXdvcmQ+PGtleXdvcmQ+Q2FtPC9r
ZXl3b3JkPjxrZXl3b3JkPkNvbXBsZW1lbnRhcnkgYW5kIGFsdGVybmF0aXZlIG1lZGljaW5lPC9r
ZXl3b3JkPjxrZXl3b3JkPkhlcmJhbCBtZWRpY2luZTwva2V5d29yZD48a2V5d29yZD5TYWZldHk8
L2tleXdvcmQ+PC9rZXl3b3Jkcz48ZGF0ZXM+PHllYXI+MjAxNjwveWVhcj48cHViLWRhdGVzPjxk
YXRlPk1hciAxNTwvZGF0ZT48L3B1Yi1kYXRlcz48L2RhdGVzPjxpc2JuPjE0NzItNjg4MiAoRWxl
Y3Ryb25pYykmI3hEOzE0NzItNjg4MiAoTGlua2luZyk8L2lzYm4+PGFjY2Vzc2lvbi1udW0+MjY5
ODA1MjY8L2FjY2Vzc2lvbi1udW0+PHVybHM+PHJlbGF0ZWQtdXJscz48dXJsPmh0dHBzOi8vd3d3
Lm5jYmkubmxtLm5paC5nb3YvcHVibWVkLzI2OTgwNTI2PC91cmw+PC9yZWxhdGVkLXVybHM+PC91
cmxzPjxjdXN0b20yPlBNQzQ3OTM2MTA8L2N1c3RvbTI+PGVsZWN0cm9uaWMtcmVzb3VyY2UtbnVt
PjEwLjExODYvczEyOTA2LTAxNi0xMDc5LXo8L2VsZWN0cm9uaWMtcmVzb3VyY2UtbnVtPjwvcmVj
b3JkPjwvQ2l0ZT48L0VuZE5vdGU+AG==
</w:fldData>
        </w:fldChar>
      </w:r>
      <w:r w:rsidR="002747EA">
        <w:instrText xml:space="preserve"> ADDIN EN.CITE.DATA </w:instrText>
      </w:r>
      <w:r w:rsidR="002747EA">
        <w:fldChar w:fldCharType="end"/>
      </w:r>
      <w:r w:rsidR="005653ED">
        <w:fldChar w:fldCharType="separate"/>
      </w:r>
      <w:r w:rsidR="002747EA" w:rsidRPr="002747EA">
        <w:rPr>
          <w:noProof/>
          <w:vertAlign w:val="superscript"/>
        </w:rPr>
        <w:t>256</w:t>
      </w:r>
      <w:r w:rsidR="005653ED">
        <w:fldChar w:fldCharType="end"/>
      </w:r>
      <w:r w:rsidR="00503547">
        <w:t xml:space="preserve"> f</w:t>
      </w:r>
      <w:r w:rsidR="00D83DBB">
        <w:t>ound that 29.3</w:t>
      </w:r>
      <w:r w:rsidRPr="00CC12EC">
        <w:t xml:space="preserve">% of women reported the use of herbal </w:t>
      </w:r>
      <w:r w:rsidR="00D83DBB">
        <w:t>preparations</w:t>
      </w:r>
      <w:r w:rsidRPr="00CC12EC">
        <w:t xml:space="preserve"> in pregnancy</w:t>
      </w:r>
      <w:r w:rsidR="00D83DBB">
        <w:t xml:space="preserve">, of which 47.4% used herbal preparations </w:t>
      </w:r>
      <w:r w:rsidR="00D83DBB" w:rsidRPr="00CC12EC">
        <w:t>classified as safe for use in pregnancy</w:t>
      </w:r>
      <w:r w:rsidR="00D83DBB">
        <w:t xml:space="preserve">, 31.6% used herbal preparations </w:t>
      </w:r>
      <w:r w:rsidR="00D83DBB" w:rsidRPr="00CC12EC">
        <w:t>classified as requiring caution in pregnancy</w:t>
      </w:r>
      <w:r w:rsidR="00D83DBB">
        <w:t xml:space="preserve"> and 20.0% used </w:t>
      </w:r>
      <w:r w:rsidRPr="00CC12EC">
        <w:t xml:space="preserve">herbal </w:t>
      </w:r>
      <w:r w:rsidR="00503547">
        <w:t>preparations</w:t>
      </w:r>
      <w:r w:rsidRPr="00CC12EC">
        <w:t xml:space="preserve"> classified as contraindicated in pregnancy</w:t>
      </w:r>
      <w:r w:rsidR="00D83DBB">
        <w:t xml:space="preserve">. </w:t>
      </w:r>
    </w:p>
    <w:p w14:paraId="46F0F6D0" w14:textId="1F16CA5F" w:rsidR="003939F2" w:rsidRPr="003939F2" w:rsidRDefault="005B4719" w:rsidP="005B4719">
      <w:pPr>
        <w:pStyle w:val="Heading4"/>
      </w:pPr>
      <w:r>
        <w:t>Current review</w:t>
      </w:r>
    </w:p>
    <w:p w14:paraId="114F64CF" w14:textId="68B64EE0" w:rsidR="00B23C28" w:rsidRDefault="00B23C28" w:rsidP="002F7C6A">
      <w:r>
        <w:t>An Australian cohort study (</w:t>
      </w:r>
      <w:r w:rsidRPr="00294152">
        <w:rPr>
          <w:sz w:val="16"/>
          <w:szCs w:val="16"/>
        </w:rPr>
        <w:t>n=2,445</w:t>
      </w:r>
      <w:r>
        <w:t>)</w:t>
      </w:r>
      <w:r w:rsidR="00294152">
        <w:fldChar w:fldCharType="begin">
          <w:fldData xml:space="preserve">PEVuZE5vdGU+PENpdGU+PEF1dGhvcj5TdGVlbDwvQXV0aG9yPjxZZWFyPjIwMTQ8L1llYXI+PFJl
Y051bT4xNTgzPC9SZWNOdW0+PERpc3BsYXlUZXh0PjxzdHlsZSBmYWNlPSJzdXBlcnNjcmlwdCIg
Zm9udD0iVHJlYnVjaGV0IE1TIiBzaXplPSI5Ij4yNTc8L3N0eWxlPjwvRGlzcGxheVRleHQ+PHJl
Y29yZD48cmVjLW51bWJlcj4xNTgzPC9yZWMtbnVtYmVyPjxmb3JlaWduLWtleXM+PGtleSBhcHA9
IkVOIiBkYi1pZD0iZXh2YXNyZngyZHRyYW9lc2FzeHAyc3pzeGEyZGY1MDI1OTJ4IiB0aW1lc3Rh
bXA9IjE1NzY1MzYzNjMiPjE1ODM8L2tleT48a2V5IGFwcD0iRU5XZWIiIGRiLWlkPSIiPjA8L2tl
eT48L2ZvcmVpZ24ta2V5cz48cmVmLXR5cGUgbmFtZT0iSm91cm5hbCBBcnRpY2xlIj4xNzwvcmVm
LXR5cGU+PGNvbnRyaWJ1dG9ycz48YXV0aG9ycz48YXV0aG9yPlN0ZWVsLCBBLjwvYXV0aG9yPjxh
dXRob3I+QWRhbXMsIEouPC9hdXRob3I+PGF1dGhvcj5TaWJicml0dCwgRC48L2F1dGhvcj48YXV0
aG9yPkJyb29tLCBBLjwvYXV0aG9yPjxhdXRob3I+RnJhd2xleSwgSi48L2F1dGhvcj48YXV0aG9y
PkdhbGxvaXMsIEMuPC9hdXRob3I+PC9hdXRob3JzPjwvY29udHJpYnV0b3JzPjxhdXRoLWFkZHJl
c3M+QXVzdHJhbGlhbiBSZXNlYXJjaCBDZW50cmUgaW4gQ29tcGxlbWVudGFyeSBhbmQgSW50ZWdy
YXRpdmUgTWVkaWNpbmUsIEZhY3VsdHkgb2YgSGVhbHRoLCBVVFMsIExldmVsIDcsIEJ1aWxkaW5n
IDEwLCAyMzUtMjUzIEpvbmVzIFN0cmVldCwgVWx0aW1vLCBOU1cgMjAwNiwgQXVzdHJhbGlhOyBP
ZmZpY2Ugb2YgUmVzZWFyY2gsIEVuZGVhdm91ciBDb2xsZWdlIG9mIE5hdHVyYWwgSGVhbHRoLCAy
NjkgV2lja2hhbSBTdCwgRm9ydGl0dWRlIFZhbGxleSwgUUxEIDQwMDYsIEF1c3RyYWxpYS4gRWxl
Y3Ryb25pYyBhZGRyZXNzOiBhbWllLnN0ZWVsQHV0cy5lZHUuYXUuJiN4RDtBdXN0cmFsaWFuIFJl
c2VhcmNoIENlbnRyZSBpbiBDb21wbGVtZW50YXJ5IGFuZCBJbnRlZ3JhdGl2ZSBNZWRpY2luZSwg
RmFjdWx0eSBvZiBIZWFsdGgsIFVUUywgTGV2ZWwgNywgQnVpbGRpbmcgMTAsIDIzNS0yNTMgSm9u
ZXMgU3RyZWV0LCBVbHRpbW8sIE5TVyAyMDA2LCBBdXN0cmFsaWEuJiN4RDtTY2hvb2wgb2YgU29j
aWFsIFNjaWVuY2UsIFVuaXZlcnNpdHkgb2YgUXVlZW5zbGFuZCwgU3QgTHVjaWEsIFFMRCA0MDcy
LCBBdXN0cmFsaWEuJiN4RDtTY2hvb2wgb2YgUHN5Y2hvbG9neSwgVW5pdmVyc2l0eSBvZiBRdWVl
bnNsYW5kLCBTdCBMdWNpYSwgUUxEIDQwNzIsIEF1c3RyYWxpYS48L2F1dGgtYWRkcmVzcz48dGl0
bGVzPjx0aXRsZT5SZWxhdGlvbnNoaXAgYmV0d2VlbiBjb21wbGVtZW50YXJ5IGFuZCBhbHRlcm5h
dGl2ZSBtZWRpY2luZSB1c2UgYW5kIGluY2lkZW5jZSBvZiBhZHZlcnNlIGJpcnRoIG91dGNvbWVz
OiBhbiBleGFtaW5hdGlvbiBvZiBhIG5hdGlvbmFsbHkgcmVwcmVzZW50YXRpdmUgc2FtcGxlIG9m
IDE4MzUgQXVzdHJhbGlhbiB3b21lbjwvdGl0bGU+PHNlY29uZGFyeS10aXRsZT5NaWR3aWZlcnk8
L3NlY29uZGFyeS10aXRsZT48L3RpdGxlcz48cGVyaW9kaWNhbD48ZnVsbC10aXRsZT5NaWR3aWZl
cnk8L2Z1bGwtdGl0bGU+PC9wZXJpb2RpY2FsPjxwYWdlcz4xMTU3LTY1PC9wYWdlcz48dm9sdW1l
PjMwPC92b2x1bWU+PG51bWJlcj4xMjwvbnVtYmVyPjxlZGl0aW9uPjIwMTQvMDQvMjA8L2VkaXRp
b24+PGtleXdvcmRzPjxrZXl3b3JkPkFkdWx0PC9rZXl3b3JkPjxrZXl3b3JkPkF1c3RyYWxpYS9l
cGlkZW1pb2xvZ3k8L2tleXdvcmQ+PGtleXdvcmQ+QmV2ZXJhZ2VzLyphZHZlcnNlIGVmZmVjdHMv
c3RhdGlzdGljcyAmYW1wOyBudW1lcmljYWwgZGF0YTwva2V5d29yZD48a2V5d29yZD4qRGVsaXZl
cnksIE9ic3RldHJpYy9hZHZlcnNlIGVmZmVjdHMvbWV0aG9kcy9zdGF0aXN0aWNzICZhbXA7IG51
bWVyaWNhbCBkYXRhPC9rZXl3b3JkPjxrZXl3b3JkPkZlbWFsZTwva2V5d29yZD48a2V5d29yZD5I
dW1hbnM8L2tleXdvcmQ+PGtleXdvcmQ+TG9uZ2l0dWRpbmFsIFN0dWRpZXM8L2tleXdvcmQ+PGtl
eXdvcmQ+TWFuaXB1bGF0aW9uLCBDaGlyb3ByYWN0aWMvKmFkdmVyc2UgZWZmZWN0cy9tZXRob2Rz
PC9rZXl3b3JkPjxrZXl3b3JkPk5hdHVyYWwgQ2hpbGRiaXJ0aC8qYWR2ZXJzZSBlZmZlY3RzL3N0
YXRpc3RpY3MgJmFtcDsgbnVtZXJpY2FsIGRhdGE8L2tleXdvcmQ+PGtleXdvcmQ+KlBvc3RwYXJ0
dW0gSGVtb3JyaGFnZS9lcGlkZW1pb2xvZ3kvZXRpb2xvZ3k8L2tleXdvcmQ+PGtleXdvcmQ+UHJl
Z25hbmN5PC9rZXl3b3JkPjxrZXl3b3JkPlByZWduYW5jeSBPdXRjb21lL2VwaWRlbWlvbG9neTwv
a2V5d29yZD48a2V5d29yZD4qUHJlbWF0dXJlIEJpcnRoL2VwaWRlbWlvbG9neS9ldGlvbG9neTwv
a2V5d29yZD48a2V5d29yZD4qU3RyZXNzLCBQc3ljaG9sb2dpY2FsL2VwaWRlbWlvbG9neS9ldGlv
bG9neTwva2V5d29yZD48a2V5d29yZD4qWW9nYTwva2V5d29yZD48a2V5d29yZD5BbHRlcm5hdGl2
ZSBtZWRpY2luZTwva2V5d29yZD48a2V5d29yZD5CaXJ0aCBvdXRjb21lczwva2V5d29yZD48a2V5
d29yZD5Db21wbGVtZW50YXJ5IG1lZGljaW5lPC9rZXl3b3JkPjxrZXl3b3JkPkxhYm91cjwva2V5
d29yZD48L2tleXdvcmRzPjxkYXRlcz48eWVhcj4yMDE0PC95ZWFyPjxwdWItZGF0ZXM+PGRhdGU+
RGVjPC9kYXRlPjwvcHViLWRhdGVzPjwvZGF0ZXM+PGlzYm4+MTUzMi0zMDk5IChFbGVjdHJvbmlj
KSYjeEQ7MDI2Ni02MTM4IChMaW5raW5nKTwvaXNibj48YWNjZXNzaW9uLW51bT4yNDc0MjYzNjwv
YWNjZXNzaW9uLW51bT48dXJscz48cmVsYXRlZC11cmxzPjx1cmw+aHR0cHM6Ly93d3cubmNiaS5u
bG0ubmloLmdvdi9wdWJtZWQvMjQ3NDI2MzY8L3VybD48L3JlbGF0ZWQtdXJscz48L3VybHM+PGVs
ZWN0cm9uaWMtcmVzb3VyY2UtbnVtPjEwLjEwMTYvai5taWR3LjIwMTQuMDMuMDE1PC9lbGVjdHJv
bmljLXJlc291cmNlLW51bT48L3JlY29yZD48L0NpdGU+PC9FbmROb3RlPgB=
</w:fldData>
        </w:fldChar>
      </w:r>
      <w:r w:rsidR="002747EA">
        <w:instrText xml:space="preserve"> ADDIN EN.CITE </w:instrText>
      </w:r>
      <w:r w:rsidR="002747EA">
        <w:fldChar w:fldCharType="begin">
          <w:fldData xml:space="preserve">PEVuZE5vdGU+PENpdGU+PEF1dGhvcj5TdGVlbDwvQXV0aG9yPjxZZWFyPjIwMTQ8L1llYXI+PFJl
Y051bT4xNTgzPC9SZWNOdW0+PERpc3BsYXlUZXh0PjxzdHlsZSBmYWNlPSJzdXBlcnNjcmlwdCIg
Zm9udD0iVHJlYnVjaGV0IE1TIiBzaXplPSI5Ij4yNTc8L3N0eWxlPjwvRGlzcGxheVRleHQ+PHJl
Y29yZD48cmVjLW51bWJlcj4xNTgzPC9yZWMtbnVtYmVyPjxmb3JlaWduLWtleXM+PGtleSBhcHA9
IkVOIiBkYi1pZD0iZXh2YXNyZngyZHRyYW9lc2FzeHAyc3pzeGEyZGY1MDI1OTJ4IiB0aW1lc3Rh
bXA9IjE1NzY1MzYzNjMiPjE1ODM8L2tleT48a2V5IGFwcD0iRU5XZWIiIGRiLWlkPSIiPjA8L2tl
eT48L2ZvcmVpZ24ta2V5cz48cmVmLXR5cGUgbmFtZT0iSm91cm5hbCBBcnRpY2xlIj4xNzwvcmVm
LXR5cGU+PGNvbnRyaWJ1dG9ycz48YXV0aG9ycz48YXV0aG9yPlN0ZWVsLCBBLjwvYXV0aG9yPjxh
dXRob3I+QWRhbXMsIEouPC9hdXRob3I+PGF1dGhvcj5TaWJicml0dCwgRC48L2F1dGhvcj48YXV0
aG9yPkJyb29tLCBBLjwvYXV0aG9yPjxhdXRob3I+RnJhd2xleSwgSi48L2F1dGhvcj48YXV0aG9y
PkdhbGxvaXMsIEMuPC9hdXRob3I+PC9hdXRob3JzPjwvY29udHJpYnV0b3JzPjxhdXRoLWFkZHJl
c3M+QXVzdHJhbGlhbiBSZXNlYXJjaCBDZW50cmUgaW4gQ29tcGxlbWVudGFyeSBhbmQgSW50ZWdy
YXRpdmUgTWVkaWNpbmUsIEZhY3VsdHkgb2YgSGVhbHRoLCBVVFMsIExldmVsIDcsIEJ1aWxkaW5n
IDEwLCAyMzUtMjUzIEpvbmVzIFN0cmVldCwgVWx0aW1vLCBOU1cgMjAwNiwgQXVzdHJhbGlhOyBP
ZmZpY2Ugb2YgUmVzZWFyY2gsIEVuZGVhdm91ciBDb2xsZWdlIG9mIE5hdHVyYWwgSGVhbHRoLCAy
NjkgV2lja2hhbSBTdCwgRm9ydGl0dWRlIFZhbGxleSwgUUxEIDQwMDYsIEF1c3RyYWxpYS4gRWxl
Y3Ryb25pYyBhZGRyZXNzOiBhbWllLnN0ZWVsQHV0cy5lZHUuYXUuJiN4RDtBdXN0cmFsaWFuIFJl
c2VhcmNoIENlbnRyZSBpbiBDb21wbGVtZW50YXJ5IGFuZCBJbnRlZ3JhdGl2ZSBNZWRpY2luZSwg
RmFjdWx0eSBvZiBIZWFsdGgsIFVUUywgTGV2ZWwgNywgQnVpbGRpbmcgMTAsIDIzNS0yNTMgSm9u
ZXMgU3RyZWV0LCBVbHRpbW8sIE5TVyAyMDA2LCBBdXN0cmFsaWEuJiN4RDtTY2hvb2wgb2YgU29j
aWFsIFNjaWVuY2UsIFVuaXZlcnNpdHkgb2YgUXVlZW5zbGFuZCwgU3QgTHVjaWEsIFFMRCA0MDcy
LCBBdXN0cmFsaWEuJiN4RDtTY2hvb2wgb2YgUHN5Y2hvbG9neSwgVW5pdmVyc2l0eSBvZiBRdWVl
bnNsYW5kLCBTdCBMdWNpYSwgUUxEIDQwNzIsIEF1c3RyYWxpYS48L2F1dGgtYWRkcmVzcz48dGl0
bGVzPjx0aXRsZT5SZWxhdGlvbnNoaXAgYmV0d2VlbiBjb21wbGVtZW50YXJ5IGFuZCBhbHRlcm5h
dGl2ZSBtZWRpY2luZSB1c2UgYW5kIGluY2lkZW5jZSBvZiBhZHZlcnNlIGJpcnRoIG91dGNvbWVz
OiBhbiBleGFtaW5hdGlvbiBvZiBhIG5hdGlvbmFsbHkgcmVwcmVzZW50YXRpdmUgc2FtcGxlIG9m
IDE4MzUgQXVzdHJhbGlhbiB3b21lbjwvdGl0bGU+PHNlY29uZGFyeS10aXRsZT5NaWR3aWZlcnk8
L3NlY29uZGFyeS10aXRsZT48L3RpdGxlcz48cGVyaW9kaWNhbD48ZnVsbC10aXRsZT5NaWR3aWZl
cnk8L2Z1bGwtdGl0bGU+PC9wZXJpb2RpY2FsPjxwYWdlcz4xMTU3LTY1PC9wYWdlcz48dm9sdW1l
PjMwPC92b2x1bWU+PG51bWJlcj4xMjwvbnVtYmVyPjxlZGl0aW9uPjIwMTQvMDQvMjA8L2VkaXRp
b24+PGtleXdvcmRzPjxrZXl3b3JkPkFkdWx0PC9rZXl3b3JkPjxrZXl3b3JkPkF1c3RyYWxpYS9l
cGlkZW1pb2xvZ3k8L2tleXdvcmQ+PGtleXdvcmQ+QmV2ZXJhZ2VzLyphZHZlcnNlIGVmZmVjdHMv
c3RhdGlzdGljcyAmYW1wOyBudW1lcmljYWwgZGF0YTwva2V5d29yZD48a2V5d29yZD4qRGVsaXZl
cnksIE9ic3RldHJpYy9hZHZlcnNlIGVmZmVjdHMvbWV0aG9kcy9zdGF0aXN0aWNzICZhbXA7IG51
bWVyaWNhbCBkYXRhPC9rZXl3b3JkPjxrZXl3b3JkPkZlbWFsZTwva2V5d29yZD48a2V5d29yZD5I
dW1hbnM8L2tleXdvcmQ+PGtleXdvcmQ+TG9uZ2l0dWRpbmFsIFN0dWRpZXM8L2tleXdvcmQ+PGtl
eXdvcmQ+TWFuaXB1bGF0aW9uLCBDaGlyb3ByYWN0aWMvKmFkdmVyc2UgZWZmZWN0cy9tZXRob2Rz
PC9rZXl3b3JkPjxrZXl3b3JkPk5hdHVyYWwgQ2hpbGRiaXJ0aC8qYWR2ZXJzZSBlZmZlY3RzL3N0
YXRpc3RpY3MgJmFtcDsgbnVtZXJpY2FsIGRhdGE8L2tleXdvcmQ+PGtleXdvcmQ+KlBvc3RwYXJ0
dW0gSGVtb3JyaGFnZS9lcGlkZW1pb2xvZ3kvZXRpb2xvZ3k8L2tleXdvcmQ+PGtleXdvcmQ+UHJl
Z25hbmN5PC9rZXl3b3JkPjxrZXl3b3JkPlByZWduYW5jeSBPdXRjb21lL2VwaWRlbWlvbG9neTwv
a2V5d29yZD48a2V5d29yZD4qUHJlbWF0dXJlIEJpcnRoL2VwaWRlbWlvbG9neS9ldGlvbG9neTwv
a2V5d29yZD48a2V5d29yZD4qU3RyZXNzLCBQc3ljaG9sb2dpY2FsL2VwaWRlbWlvbG9neS9ldGlv
bG9neTwva2V5d29yZD48a2V5d29yZD4qWW9nYTwva2V5d29yZD48a2V5d29yZD5BbHRlcm5hdGl2
ZSBtZWRpY2luZTwva2V5d29yZD48a2V5d29yZD5CaXJ0aCBvdXRjb21lczwva2V5d29yZD48a2V5
d29yZD5Db21wbGVtZW50YXJ5IG1lZGljaW5lPC9rZXl3b3JkPjxrZXl3b3JkPkxhYm91cjwva2V5
d29yZD48L2tleXdvcmRzPjxkYXRlcz48eWVhcj4yMDE0PC95ZWFyPjxwdWItZGF0ZXM+PGRhdGU+
RGVjPC9kYXRlPjwvcHViLWRhdGVzPjwvZGF0ZXM+PGlzYm4+MTUzMi0zMDk5IChFbGVjdHJvbmlj
KSYjeEQ7MDI2Ni02MTM4IChMaW5raW5nKTwvaXNibj48YWNjZXNzaW9uLW51bT4yNDc0MjYzNjwv
YWNjZXNzaW9uLW51bT48dXJscz48cmVsYXRlZC11cmxzPjx1cmw+aHR0cHM6Ly93d3cubmNiaS5u
bG0ubmloLmdvdi9wdWJtZWQvMjQ3NDI2MzY8L3VybD48L3JlbGF0ZWQtdXJscz48L3VybHM+PGVs
ZWN0cm9uaWMtcmVzb3VyY2UtbnVtPjEwLjEwMTYvai5taWR3LjIwMTQuMDMuMDE1PC9lbGVjdHJv
bmljLXJlc291cmNlLW51bT48L3JlY29yZD48L0NpdGU+PC9FbmROb3RlPgB=
</w:fldData>
        </w:fldChar>
      </w:r>
      <w:r w:rsidR="002747EA">
        <w:instrText xml:space="preserve"> ADDIN EN.CITE.DATA </w:instrText>
      </w:r>
      <w:r w:rsidR="002747EA">
        <w:fldChar w:fldCharType="end"/>
      </w:r>
      <w:r w:rsidR="00294152">
        <w:fldChar w:fldCharType="separate"/>
      </w:r>
      <w:r w:rsidR="002747EA" w:rsidRPr="002747EA">
        <w:rPr>
          <w:noProof/>
          <w:vertAlign w:val="superscript"/>
        </w:rPr>
        <w:t>257</w:t>
      </w:r>
      <w:r w:rsidR="00294152">
        <w:fldChar w:fldCharType="end"/>
      </w:r>
      <w:r>
        <w:t xml:space="preserve"> found no clear difference between women who used herbal preparations during pregnancy and those who did not in risk of preterm birth (</w:t>
      </w:r>
      <w:r w:rsidRPr="00294152">
        <w:rPr>
          <w:sz w:val="16"/>
          <w:szCs w:val="16"/>
        </w:rPr>
        <w:t>OR 0.71; 95%CI 0.20 to 2.56</w:t>
      </w:r>
      <w:r>
        <w:t xml:space="preserve">), </w:t>
      </w:r>
      <w:r w:rsidR="00294152">
        <w:t>caesarean section after onset of labour (</w:t>
      </w:r>
      <w:r w:rsidR="00294152" w:rsidRPr="00294152">
        <w:rPr>
          <w:sz w:val="16"/>
          <w:szCs w:val="16"/>
        </w:rPr>
        <w:t>OR 0.55; 95%CI 0.10 to 3.10</w:t>
      </w:r>
      <w:r w:rsidR="00294152">
        <w:t>), induction of labour (</w:t>
      </w:r>
      <w:r w:rsidR="00294152" w:rsidRPr="00294152">
        <w:rPr>
          <w:sz w:val="16"/>
          <w:szCs w:val="16"/>
        </w:rPr>
        <w:t>OR 0.98; 95%CI 0.62 to 1.55</w:t>
      </w:r>
      <w:r w:rsidR="00294152">
        <w:t>) or low birthweight (</w:t>
      </w:r>
      <w:r w:rsidR="00294152" w:rsidRPr="00294152">
        <w:rPr>
          <w:sz w:val="16"/>
          <w:szCs w:val="16"/>
        </w:rPr>
        <w:t>OR 1.78; 95%CI 0.30 to 10.51</w:t>
      </w:r>
      <w:r w:rsidR="00294152">
        <w:t>) but a possible reduction in likelihood of caesarean section before onset of labour (</w:t>
      </w:r>
      <w:r w:rsidR="00294152" w:rsidRPr="00294152">
        <w:rPr>
          <w:sz w:val="16"/>
          <w:szCs w:val="16"/>
        </w:rPr>
        <w:t>OR 0.26; 95%CI 0.07 to 0.98</w:t>
      </w:r>
      <w:r w:rsidR="00294152">
        <w:t>).</w:t>
      </w:r>
    </w:p>
    <w:p w14:paraId="2B5F378E" w14:textId="68F568E3" w:rsidR="003939F2" w:rsidRDefault="00573743" w:rsidP="002F7C6A">
      <w:r>
        <w:t>Evidence on specific herbs identified through the review is as follows.</w:t>
      </w:r>
      <w:r w:rsidR="00A05DE6">
        <w:t xml:space="preserve"> </w:t>
      </w:r>
    </w:p>
    <w:p w14:paraId="7E424BFE" w14:textId="59FD6C77" w:rsidR="009E61F7" w:rsidRDefault="009E61F7" w:rsidP="009E61F7">
      <w:pPr>
        <w:pStyle w:val="bullet"/>
      </w:pPr>
      <w:r w:rsidRPr="003A5260">
        <w:rPr>
          <w:i/>
        </w:rPr>
        <w:t>Ginger</w:t>
      </w:r>
      <w:r>
        <w:t>: A systematic review found a reduction in nausea score with ginger compared with placebo (</w:t>
      </w:r>
      <w:r w:rsidRPr="00573743">
        <w:rPr>
          <w:sz w:val="16"/>
          <w:szCs w:val="16"/>
        </w:rPr>
        <w:t xml:space="preserve">MD -4.2; 95%CI -6.5 to -1.9; moderate </w:t>
      </w:r>
      <w:r w:rsidR="00FB2A6C">
        <w:rPr>
          <w:sz w:val="16"/>
          <w:szCs w:val="16"/>
        </w:rPr>
        <w:t>certainty</w:t>
      </w:r>
      <w:r>
        <w:t>)</w:t>
      </w:r>
      <w:r w:rsidR="00CF7F9D">
        <w:t xml:space="preserve"> and a low risk of adverse effects in a mixed treatment comparison (</w:t>
      </w:r>
      <w:r w:rsidR="00CF7F9D" w:rsidRPr="00CF7F9D">
        <w:rPr>
          <w:sz w:val="16"/>
          <w:szCs w:val="16"/>
        </w:rPr>
        <w:t>OR</w:t>
      </w:r>
      <w:r w:rsidR="00CF7F9D">
        <w:rPr>
          <w:sz w:val="16"/>
          <w:szCs w:val="16"/>
        </w:rPr>
        <w:t> </w:t>
      </w:r>
      <w:r w:rsidR="00CF7F9D" w:rsidRPr="00CF7F9D">
        <w:rPr>
          <w:sz w:val="16"/>
          <w:szCs w:val="16"/>
        </w:rPr>
        <w:t>0.4; 95%CI 0.1 to 0.9</w:t>
      </w:r>
      <w:r w:rsidR="00CF7F9D">
        <w:t>)</w:t>
      </w:r>
      <w:r>
        <w:t>.</w:t>
      </w:r>
      <w:r w:rsidR="00774750">
        <w:fldChar w:fldCharType="begin"/>
      </w:r>
      <w:r w:rsidR="002747EA">
        <w:instrText xml:space="preserve"> ADDIN EN.CITE &lt;EndNote&gt;&lt;Cite&gt;&lt;Author&gt;Sridharan&lt;/Author&gt;&lt;Year&gt;2018&lt;/Year&gt;&lt;RecNum&gt;1577&lt;/RecNum&gt;&lt;DisplayText&gt;&lt;style face="superscript" font="Trebuchet MS" size="9"&gt;141&lt;/style&gt;&lt;/DisplayText&gt;&lt;record&gt;&lt;rec-number&gt;1577&lt;/rec-number&gt;&lt;foreign-keys&gt;&lt;key app="EN" db-id="exvasrfx2dtraoesasxp2szsxa2df502592x" timestamp="1576536337"&gt;1577&lt;/key&gt;&lt;key app="ENWeb" db-id=""&gt;0&lt;/key&gt;&lt;/foreign-keys&gt;&lt;ref-type name="Journal Article"&gt;17&lt;/ref-type&gt;&lt;contributors&gt;&lt;authors&gt;&lt;author&gt;Sridharan, Kannan&lt;/author&gt;&lt;author&gt;Sivaramakrishnan, Gowri&lt;/author&gt;&lt;/authors&gt;&lt;/contributors&gt;&lt;titles&gt;&lt;title&gt;Interventions for treating nausea and vomiting in pregnancy: a network meta-analysis and trial sequential analysis of randomized clinical trials&lt;/title&gt;&lt;secondary-title&gt;Expert Review of Clinical Pharmacology&lt;/secondary-title&gt;&lt;/titles&gt;&lt;periodical&gt;&lt;full-title&gt;Expert Review of Clinical Pharmacology&lt;/full-title&gt;&lt;/periodical&gt;&lt;pages&gt;1143-1150&lt;/pages&gt;&lt;volume&gt;11&lt;/volume&gt;&lt;number&gt;11&lt;/number&gt;&lt;section&gt;1143&lt;/section&gt;&lt;dates&gt;&lt;year&gt;2018&lt;/year&gt;&lt;/dates&gt;&lt;isbn&gt;1751-2433&amp;#xD;1751-2441&lt;/isbn&gt;&lt;urls&gt;&lt;/urls&gt;&lt;electronic-resource-num&gt;10.1080/17512433.2018.1530108&lt;/electronic-resource-num&gt;&lt;/record&gt;&lt;/Cite&gt;&lt;/EndNote&gt;</w:instrText>
      </w:r>
      <w:r w:rsidR="00774750">
        <w:fldChar w:fldCharType="separate"/>
      </w:r>
      <w:r w:rsidR="002747EA" w:rsidRPr="002747EA">
        <w:rPr>
          <w:noProof/>
          <w:vertAlign w:val="superscript"/>
        </w:rPr>
        <w:t>141</w:t>
      </w:r>
      <w:r w:rsidR="00774750">
        <w:fldChar w:fldCharType="end"/>
      </w:r>
    </w:p>
    <w:p w14:paraId="1AE4DCB8" w14:textId="63C584E0" w:rsidR="009E61F7" w:rsidRDefault="009E61F7" w:rsidP="009E61F7">
      <w:pPr>
        <w:pStyle w:val="bullet"/>
      </w:pPr>
      <w:r w:rsidRPr="00573743">
        <w:rPr>
          <w:i/>
        </w:rPr>
        <w:t>Garlic</w:t>
      </w:r>
      <w:r>
        <w:t>: A systematic review found a probable reduction in gestational hypertension (</w:t>
      </w:r>
      <w:r w:rsidRPr="00573743">
        <w:rPr>
          <w:sz w:val="16"/>
          <w:szCs w:val="16"/>
        </w:rPr>
        <w:t>RR 0.50; 95%CI 0.25 to 1.00</w:t>
      </w:r>
      <w:r>
        <w:t>), no clear difference in risk of pre-eclampsia (</w:t>
      </w:r>
      <w:r w:rsidRPr="00573743">
        <w:rPr>
          <w:sz w:val="16"/>
          <w:szCs w:val="16"/>
        </w:rPr>
        <w:t>RR 0.78, 95% CI 0.31 to 1.93</w:t>
      </w:r>
      <w:r w:rsidR="00CF7F9D">
        <w:t>) or cae</w:t>
      </w:r>
      <w:r>
        <w:t>sarean section (</w:t>
      </w:r>
      <w:r w:rsidRPr="00573743">
        <w:rPr>
          <w:sz w:val="16"/>
          <w:szCs w:val="16"/>
        </w:rPr>
        <w:t>RR 1.35, 95% CI 0.93 to 1.95)</w:t>
      </w:r>
      <w:r>
        <w:t xml:space="preserve"> and an increase in likelihood of women experiencing odour (</w:t>
      </w:r>
      <w:r w:rsidRPr="00573743">
        <w:rPr>
          <w:sz w:val="16"/>
          <w:szCs w:val="16"/>
        </w:rPr>
        <w:t>RR 8.50, 95% CI 2.07 to 34.88</w:t>
      </w:r>
      <w:r>
        <w:t>).</w:t>
      </w:r>
      <w:r>
        <w:fldChar w:fldCharType="begin"/>
      </w:r>
      <w:r w:rsidR="002747EA">
        <w:instrText xml:space="preserve"> ADDIN EN.CITE &lt;EndNote&gt;&lt;Cite&gt;&lt;Author&gt;Meher&lt;/Author&gt;&lt;Year&gt;2006&lt;/Year&gt;&lt;RecNum&gt;1562&lt;/RecNum&gt;&lt;DisplayText&gt;&lt;style face="superscript" font="Trebuchet MS" size="9"&gt;258&lt;/style&gt;&lt;/DisplayText&gt;&lt;record&gt;&lt;rec-number&gt;1562&lt;/rec-number&gt;&lt;foreign-keys&gt;&lt;key app="EN" db-id="exvasrfx2dtraoesasxp2szsxa2df502592x" timestamp="1576536271"&gt;1562&lt;/key&gt;&lt;key app="ENWeb" db-id=""&gt;0&lt;/key&gt;&lt;/foreign-keys&gt;&lt;ref-type name="Journal Article"&gt;17&lt;/ref-type&gt;&lt;contributors&gt;&lt;authors&gt;&lt;author&gt;Meher, S.&lt;/author&gt;&lt;author&gt;Duley, L.&lt;/author&gt;&lt;/authors&gt;&lt;/contributors&gt;&lt;auth-address&gt;University of Liverpool, Division of Perinatal and Reproductive Medicine, First Floor, Liverpool Women&amp;apos;s NHS Foundation Trust, Crown Street, Liverpool, UK L8 7SS. s.meher@liv.ac.uk&lt;/auth-address&gt;&lt;titles&gt;&lt;title&gt;Garlic for preventing pre-eclampsia and its complications&lt;/title&gt;&lt;secondary-title&gt;Cochrane Database Syst Rev&lt;/secondary-title&gt;&lt;/titles&gt;&lt;periodical&gt;&lt;full-title&gt;Cochrane Database Syst Rev&lt;/full-title&gt;&lt;/periodical&gt;&lt;pages&gt;CD006065&lt;/pages&gt;&lt;number&gt;3&lt;/number&gt;&lt;edition&gt;2006/07/21&lt;/edition&gt;&lt;keywords&gt;&lt;keyword&gt;Female&lt;/keyword&gt;&lt;keyword&gt;*Garlic&lt;/keyword&gt;&lt;keyword&gt;Humans&lt;/keyword&gt;&lt;keyword&gt;Odorants&lt;/keyword&gt;&lt;keyword&gt;*Phytotherapy/adverse effects&lt;/keyword&gt;&lt;keyword&gt;Pre-Eclampsia/*prevention &amp;amp; control&lt;/keyword&gt;&lt;keyword&gt;Pregnancy&lt;/keyword&gt;&lt;keyword&gt;Randomized Controlled Trials as Topic&lt;/keyword&gt;&lt;/keywords&gt;&lt;dates&gt;&lt;year&gt;2006&lt;/year&gt;&lt;pub-dates&gt;&lt;date&gt;Jul 19&lt;/date&gt;&lt;/pub-dates&gt;&lt;/dates&gt;&lt;isbn&gt;1469-493X (Electronic)&amp;#xD;1361-6137 (Linking)&lt;/isbn&gt;&lt;accession-num&gt;16856110&lt;/accession-num&gt;&lt;urls&gt;&lt;related-urls&gt;&lt;url&gt;https://www.ncbi.nlm.nih.gov/pubmed/16856110&lt;/url&gt;&lt;/related-urls&gt;&lt;/urls&gt;&lt;custom2&gt;PMC6464897&lt;/custom2&gt;&lt;electronic-resource-num&gt;10.1002/14651858.CD006065&lt;/electronic-resource-num&gt;&lt;/record&gt;&lt;/Cite&gt;&lt;/EndNote&gt;</w:instrText>
      </w:r>
      <w:r>
        <w:fldChar w:fldCharType="separate"/>
      </w:r>
      <w:r w:rsidR="002747EA" w:rsidRPr="002747EA">
        <w:rPr>
          <w:noProof/>
          <w:vertAlign w:val="superscript"/>
        </w:rPr>
        <w:t>258</w:t>
      </w:r>
      <w:r>
        <w:fldChar w:fldCharType="end"/>
      </w:r>
      <w:r>
        <w:t xml:space="preserve"> A subsequent RCT found no clear difference in risk of gestational diabetes (</w:t>
      </w:r>
      <w:r w:rsidRPr="00573743">
        <w:rPr>
          <w:sz w:val="16"/>
          <w:szCs w:val="16"/>
        </w:rPr>
        <w:t>p=0.31</w:t>
      </w:r>
      <w:r>
        <w:t>), mild pre-eclampsia (</w:t>
      </w:r>
      <w:r w:rsidRPr="00573743">
        <w:rPr>
          <w:sz w:val="16"/>
          <w:szCs w:val="16"/>
        </w:rPr>
        <w:t>p=0.29</w:t>
      </w:r>
      <w:r>
        <w:t>), severe pre-eclampsia (</w:t>
      </w:r>
      <w:r w:rsidRPr="00573743">
        <w:rPr>
          <w:sz w:val="16"/>
          <w:szCs w:val="16"/>
        </w:rPr>
        <w:t>p=0.31)</w:t>
      </w:r>
      <w:r>
        <w:t xml:space="preserve"> or caesarean section (</w:t>
      </w:r>
      <w:r w:rsidRPr="00573743">
        <w:rPr>
          <w:sz w:val="16"/>
          <w:szCs w:val="16"/>
        </w:rPr>
        <w:t>p=0.57</w:t>
      </w:r>
      <w:r>
        <w:t>).</w:t>
      </w:r>
      <w:r>
        <w:fldChar w:fldCharType="begin">
          <w:fldData xml:space="preserve">PEVuZE5vdGU+PENpdGU+PEF1dGhvcj5BYWxhbWktSGFyYW5kaTwvQXV0aG9yPjxZZWFyPjIwMTU8
L1llYXI+PFJlY051bT4xMzMzPC9SZWNOdW0+PERpc3BsYXlUZXh0PjxzdHlsZSBmYWNlPSJzdXBl
cnNjcmlwdCIgZm9udD0iVHJlYnVjaGV0IE1TIiBzaXplPSI5Ij4yNTk8L3N0eWxlPjwvRGlzcGxh
eVRleHQ+PHJlY29yZD48cmVjLW51bWJlcj4xMzMzPC9yZWMtbnVtYmVyPjxmb3JlaWduLWtleXM+
PGtleSBhcHA9IkVOIiBkYi1pZD0iZXh2YXNyZngyZHRyYW9lc2FzeHAyc3pzeGEyZGY1MDI1OTJ4
IiB0aW1lc3RhbXA9IjE1NjcwMzA5MjgiPjEzMzM8L2tleT48a2V5IGFwcD0iRU5XZWIiIGRiLWlk
PSIiPjA8L2tleT48L2ZvcmVpZ24ta2V5cz48cmVmLXR5cGUgbmFtZT0iSm91cm5hbCBBcnRpY2xl
Ij4xNzwvcmVmLXR5cGU+PGNvbnRyaWJ1dG9ycz48YXV0aG9ycz48YXV0aG9yPkFhbGFtaS1IYXJh
bmRpLCBSLjwvYXV0aG9yPjxhdXRob3I+S2FyYW1hbGksIE0uPC9hdXRob3I+PGF1dGhvcj5Bc2Vt
aSwgWi48L2F1dGhvcj48L2F1dGhvcnM+PC9jb250cmlidXRvcnM+PGF1dGgtYWRkcmVzcz5hIERl
cGFydG1lbnQgb2YgR3luZWNvbG9neSBhbmQgT2JzdGV0cmljcyAsIFNjaG9vbCBvZiBNZWRpY2lu
ZSwgU2hhaGVlZCBCZWhlc2h0aSBVbml2ZXJzaXR5IG9mIE1lZGljYWwgU2NpZW5jZXMgLCBUZWhy
YW4gLCBJcmFuIC4mI3hEO2IgRGVwYXJ0bWVudCBvZiBHeW5lY29sb2d5IGFuZCBPYnN0ZXRyaWNz
ICwgU2Nob29sIG9mIE1lZGljaW5lLCBBcmFrIFVuaXZlcnNpdHkgb2YgTWVkaWNhbCBTY2llbmNl
cyAsIEFyYWsgLCBJcmFuICwgYW5kLiYjeEQ7YyBSZXNlYXJjaCBDZW50ZXIgZm9yIEJpb2NoZW1p
c3RyeSBhbmQgTnV0cml0aW9uIGluIE1ldGFib2xpYyBEaXNlYXNlcywgS2FzaGFuIFVuaXZlcnNp
dHkgb2YgTWVkaWNhbCBTY2llbmNlcyAsIEthc2hhbiAsIElyYW4uPC9hdXRoLWFkZHJlc3M+PHRp
dGxlcz48dGl0bGU+VGhlIGZhdm9yYWJsZSBlZmZlY3RzIG9mIGdhcmxpYyBpbnRha2Ugb24gbWV0
YWJvbGljIHByb2ZpbGVzLCBocy1DUlAsIGJpb21hcmtlcnMgb2Ygb3hpZGF0aXZlIHN0cmVzcyBh
bmQgcHJlZ25hbmN5IG91dGNvbWVzIGluIHByZWduYW50IHdvbWVuIGF0IHJpc2sgZm9yIHByZS1l
Y2xhbXBzaWE6IHJhbmRvbWl6ZWQsIGRvdWJsZS1ibGluZCwgcGxhY2Viby1jb250cm9sbGVkIHRy
aWFsPC90aXRsZT48c2Vjb25kYXJ5LXRpdGxlPkogTWF0ZXJuIEZldGFsIE5lb25hdGFsIE1lZDwv
c2Vjb25kYXJ5LXRpdGxlPjwvdGl0bGVzPjxwZXJpb2RpY2FsPjxmdWxsLXRpdGxlPkogTWF0ZXJu
IEZldGFsIE5lb25hdGFsIE1lZDwvZnVsbC10aXRsZT48L3BlcmlvZGljYWw+PHBhZ2VzPjIwMjAt
NzwvcGFnZXM+PHZvbHVtZT4yODwvdm9sdW1lPjxudW1iZXI+MTc8L251bWJlcj48ZWRpdGlvbj4y
MDE0LzEwLzE2PC9lZGl0aW9uPjxrZXl3b3Jkcz48a2V5d29yZD5BZG9sZXNjZW50PC9rZXl3b3Jk
PjxrZXl3b3JkPkFkdWx0PC9rZXl3b3JkPjxrZXl3b3JkPkJpb21hcmtlcnMvKmJsb29kPC9rZXl3
b3JkPjxrZXl3b3JkPkJsb29kIEdsdWNvc2UvYW5hbHlzaXM8L2tleXdvcmQ+PGtleXdvcmQ+Qy1S
ZWFjdGl2ZSBQcm90ZWluL2FuYWx5c2lzPC9rZXl3b3JkPjxrZXl3b3JkPipEaWV0PC9rZXl3b3Jk
PjxrZXl3b3JkPkRvdWJsZS1CbGluZCBNZXRob2Q8L2tleXdvcmQ+PGtleXdvcmQ+RmFzdGluZzwv
a2V5d29yZD48a2V5d29yZD5GZW1hbGU8L2tleXdvcmQ+PGtleXdvcmQ+KkdhcmxpYzwva2V5d29y
ZD48a2V5d29yZD5HbHV0YXRoaW9uZS9ibG9vZDwva2V5d29yZD48a2V5d29yZD5IdW1hbnM8L2tl
eXdvcmQ+PGtleXdvcmQ+SW5zdWxpbi9ibG9vZDwva2V5d29yZD48a2V5d29yZD5JbnN1bGluIFJl
c2lzdGFuY2U8L2tleXdvcmQ+PGtleXdvcmQ+SXJhbjwva2V5d29yZD48a2V5d29yZD5NZXRhYm9s
b21lPC9rZXl3b3JkPjxrZXl3b3JkPk94aWRhdGl2ZSBTdHJlc3M8L2tleXdvcmQ+PGtleXdvcmQ+
UGh5dG90aGVyYXB5PC9rZXl3b3JkPjxrZXl3b3JkPlBsYWNlYm9zPC9rZXl3b3JkPjxrZXl3b3Jk
PlByZS1FY2xhbXBzaWEvYmxvb2QvKnByZXZlbnRpb24gJmFtcDsgY29udHJvbDwva2V5d29yZD48
a2V5d29yZD5QcmVnbmFuY3k8L2tleXdvcmQ+PGtleXdvcmQ+UHJlZ25hbmN5IE91dGNvbWU8L2tl
eXdvcmQ+PGtleXdvcmQ+UHJlZ25hbmN5LCBIaWdoLVJpc2svKmJsb29kPC9rZXl3b3JkPjxrZXl3
b3JkPllvdW5nIEFkdWx0PC9rZXl3b3JkPjxrZXl3b3JkPkdhcmxpYzwva2V5d29yZD48a2V5d29y
ZD5ocy1DUlA8L2tleXdvcmQ+PGtleXdvcmQ+bWV0YWJvbGljIHByb2ZpbGVzPC9rZXl3b3JkPjxr
ZXl3b3JkPnByZWduYW5jeSBvdXRjb21lczwva2V5d29yZD48L2tleXdvcmRzPjxkYXRlcz48eWVh
cj4yMDE1PC95ZWFyPjwvZGF0ZXM+PGlzYm4+MTQ3Ni00OTU0IChFbGVjdHJvbmljKSYjeEQ7MTQ3
Ni00OTU0IChMaW5raW5nKTwvaXNibj48YWNjZXNzaW9uLW51bT4yNTMxNjU1OTwvYWNjZXNzaW9u
LW51bT48dXJscz48cmVsYXRlZC11cmxzPjx1cmw+aHR0cHM6Ly93d3cubmNiaS5ubG0ubmloLmdv
di9wdWJtZWQvMjUzMTY1NTk8L3VybD48L3JlbGF0ZWQtdXJscz48L3VybHM+PGVsZWN0cm9uaWMt
cmVzb3VyY2UtbnVtPjEwLjMxMDkvMTQ3NjcwNTguMjAxNC45NzcyNDg8L2VsZWN0cm9uaWMtcmVz
b3VyY2UtbnVtPjwvcmVjb3JkPjwvQ2l0ZT48L0VuZE5vdGU+AG==
</w:fldData>
        </w:fldChar>
      </w:r>
      <w:r w:rsidR="002747EA">
        <w:instrText xml:space="preserve"> ADDIN EN.CITE </w:instrText>
      </w:r>
      <w:r w:rsidR="002747EA">
        <w:fldChar w:fldCharType="begin">
          <w:fldData xml:space="preserve">PEVuZE5vdGU+PENpdGU+PEF1dGhvcj5BYWxhbWktSGFyYW5kaTwvQXV0aG9yPjxZZWFyPjIwMTU8
L1llYXI+PFJlY051bT4xMzMzPC9SZWNOdW0+PERpc3BsYXlUZXh0PjxzdHlsZSBmYWNlPSJzdXBl
cnNjcmlwdCIgZm9udD0iVHJlYnVjaGV0IE1TIiBzaXplPSI5Ij4yNTk8L3N0eWxlPjwvRGlzcGxh
eVRleHQ+PHJlY29yZD48cmVjLW51bWJlcj4xMzMzPC9yZWMtbnVtYmVyPjxmb3JlaWduLWtleXM+
PGtleSBhcHA9IkVOIiBkYi1pZD0iZXh2YXNyZngyZHRyYW9lc2FzeHAyc3pzeGEyZGY1MDI1OTJ4
IiB0aW1lc3RhbXA9IjE1NjcwMzA5MjgiPjEzMzM8L2tleT48a2V5IGFwcD0iRU5XZWIiIGRiLWlk
PSIiPjA8L2tleT48L2ZvcmVpZ24ta2V5cz48cmVmLXR5cGUgbmFtZT0iSm91cm5hbCBBcnRpY2xl
Ij4xNzwvcmVmLXR5cGU+PGNvbnRyaWJ1dG9ycz48YXV0aG9ycz48YXV0aG9yPkFhbGFtaS1IYXJh
bmRpLCBSLjwvYXV0aG9yPjxhdXRob3I+S2FyYW1hbGksIE0uPC9hdXRob3I+PGF1dGhvcj5Bc2Vt
aSwgWi48L2F1dGhvcj48L2F1dGhvcnM+PC9jb250cmlidXRvcnM+PGF1dGgtYWRkcmVzcz5hIERl
cGFydG1lbnQgb2YgR3luZWNvbG9neSBhbmQgT2JzdGV0cmljcyAsIFNjaG9vbCBvZiBNZWRpY2lu
ZSwgU2hhaGVlZCBCZWhlc2h0aSBVbml2ZXJzaXR5IG9mIE1lZGljYWwgU2NpZW5jZXMgLCBUZWhy
YW4gLCBJcmFuIC4mI3hEO2IgRGVwYXJ0bWVudCBvZiBHeW5lY29sb2d5IGFuZCBPYnN0ZXRyaWNz
ICwgU2Nob29sIG9mIE1lZGljaW5lLCBBcmFrIFVuaXZlcnNpdHkgb2YgTWVkaWNhbCBTY2llbmNl
cyAsIEFyYWsgLCBJcmFuICwgYW5kLiYjeEQ7YyBSZXNlYXJjaCBDZW50ZXIgZm9yIEJpb2NoZW1p
c3RyeSBhbmQgTnV0cml0aW9uIGluIE1ldGFib2xpYyBEaXNlYXNlcywgS2FzaGFuIFVuaXZlcnNp
dHkgb2YgTWVkaWNhbCBTY2llbmNlcyAsIEthc2hhbiAsIElyYW4uPC9hdXRoLWFkZHJlc3M+PHRp
dGxlcz48dGl0bGU+VGhlIGZhdm9yYWJsZSBlZmZlY3RzIG9mIGdhcmxpYyBpbnRha2Ugb24gbWV0
YWJvbGljIHByb2ZpbGVzLCBocy1DUlAsIGJpb21hcmtlcnMgb2Ygb3hpZGF0aXZlIHN0cmVzcyBh
bmQgcHJlZ25hbmN5IG91dGNvbWVzIGluIHByZWduYW50IHdvbWVuIGF0IHJpc2sgZm9yIHByZS1l
Y2xhbXBzaWE6IHJhbmRvbWl6ZWQsIGRvdWJsZS1ibGluZCwgcGxhY2Viby1jb250cm9sbGVkIHRy
aWFsPC90aXRsZT48c2Vjb25kYXJ5LXRpdGxlPkogTWF0ZXJuIEZldGFsIE5lb25hdGFsIE1lZDwv
c2Vjb25kYXJ5LXRpdGxlPjwvdGl0bGVzPjxwZXJpb2RpY2FsPjxmdWxsLXRpdGxlPkogTWF0ZXJu
IEZldGFsIE5lb25hdGFsIE1lZDwvZnVsbC10aXRsZT48L3BlcmlvZGljYWw+PHBhZ2VzPjIwMjAt
NzwvcGFnZXM+PHZvbHVtZT4yODwvdm9sdW1lPjxudW1iZXI+MTc8L251bWJlcj48ZWRpdGlvbj4y
MDE0LzEwLzE2PC9lZGl0aW9uPjxrZXl3b3Jkcz48a2V5d29yZD5BZG9sZXNjZW50PC9rZXl3b3Jk
PjxrZXl3b3JkPkFkdWx0PC9rZXl3b3JkPjxrZXl3b3JkPkJpb21hcmtlcnMvKmJsb29kPC9rZXl3
b3JkPjxrZXl3b3JkPkJsb29kIEdsdWNvc2UvYW5hbHlzaXM8L2tleXdvcmQ+PGtleXdvcmQ+Qy1S
ZWFjdGl2ZSBQcm90ZWluL2FuYWx5c2lzPC9rZXl3b3JkPjxrZXl3b3JkPipEaWV0PC9rZXl3b3Jk
PjxrZXl3b3JkPkRvdWJsZS1CbGluZCBNZXRob2Q8L2tleXdvcmQ+PGtleXdvcmQ+RmFzdGluZzwv
a2V5d29yZD48a2V5d29yZD5GZW1hbGU8L2tleXdvcmQ+PGtleXdvcmQ+KkdhcmxpYzwva2V5d29y
ZD48a2V5d29yZD5HbHV0YXRoaW9uZS9ibG9vZDwva2V5d29yZD48a2V5d29yZD5IdW1hbnM8L2tl
eXdvcmQ+PGtleXdvcmQ+SW5zdWxpbi9ibG9vZDwva2V5d29yZD48a2V5d29yZD5JbnN1bGluIFJl
c2lzdGFuY2U8L2tleXdvcmQ+PGtleXdvcmQ+SXJhbjwva2V5d29yZD48a2V5d29yZD5NZXRhYm9s
b21lPC9rZXl3b3JkPjxrZXl3b3JkPk94aWRhdGl2ZSBTdHJlc3M8L2tleXdvcmQ+PGtleXdvcmQ+
UGh5dG90aGVyYXB5PC9rZXl3b3JkPjxrZXl3b3JkPlBsYWNlYm9zPC9rZXl3b3JkPjxrZXl3b3Jk
PlByZS1FY2xhbXBzaWEvYmxvb2QvKnByZXZlbnRpb24gJmFtcDsgY29udHJvbDwva2V5d29yZD48
a2V5d29yZD5QcmVnbmFuY3k8L2tleXdvcmQ+PGtleXdvcmQ+UHJlZ25hbmN5IE91dGNvbWU8L2tl
eXdvcmQ+PGtleXdvcmQ+UHJlZ25hbmN5LCBIaWdoLVJpc2svKmJsb29kPC9rZXl3b3JkPjxrZXl3
b3JkPllvdW5nIEFkdWx0PC9rZXl3b3JkPjxrZXl3b3JkPkdhcmxpYzwva2V5d29yZD48a2V5d29y
ZD5ocy1DUlA8L2tleXdvcmQ+PGtleXdvcmQ+bWV0YWJvbGljIHByb2ZpbGVzPC9rZXl3b3JkPjxr
ZXl3b3JkPnByZWduYW5jeSBvdXRjb21lczwva2V5d29yZD48L2tleXdvcmRzPjxkYXRlcz48eWVh
cj4yMDE1PC95ZWFyPjwvZGF0ZXM+PGlzYm4+MTQ3Ni00OTU0IChFbGVjdHJvbmljKSYjeEQ7MTQ3
Ni00OTU0IChMaW5raW5nKTwvaXNibj48YWNjZXNzaW9uLW51bT4yNTMxNjU1OTwvYWNjZXNzaW9u
LW51bT48dXJscz48cmVsYXRlZC11cmxzPjx1cmw+aHR0cHM6Ly93d3cubmNiaS5ubG0ubmloLmdv
di9wdWJtZWQvMjUzMTY1NTk8L3VybD48L3JlbGF0ZWQtdXJscz48L3VybHM+PGVsZWN0cm9uaWMt
cmVzb3VyY2UtbnVtPjEwLjMxMDkvMTQ3NjcwNTguMjAxNC45NzcyNDg8L2VsZWN0cm9uaWMtcmVz
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259</w:t>
      </w:r>
      <w:r>
        <w:fldChar w:fldCharType="end"/>
      </w:r>
    </w:p>
    <w:p w14:paraId="2F4EB684" w14:textId="000D86B3" w:rsidR="009E61F7" w:rsidRDefault="009E61F7" w:rsidP="009E61F7">
      <w:pPr>
        <w:pStyle w:val="bullet"/>
      </w:pPr>
      <w:r w:rsidRPr="003A5260">
        <w:rPr>
          <w:i/>
        </w:rPr>
        <w:t>Chamomile</w:t>
      </w:r>
      <w:r>
        <w:t>: A systematic review found a reduction in nausea score with chamomile versus placebo (</w:t>
      </w:r>
      <w:r w:rsidRPr="00573743">
        <w:rPr>
          <w:sz w:val="16"/>
          <w:szCs w:val="16"/>
        </w:rPr>
        <w:t>MD -4.2; 95%CI -6.7 to -1.7; 1 RCT</w:t>
      </w:r>
      <w:r>
        <w:rPr>
          <w:sz w:val="16"/>
          <w:szCs w:val="16"/>
        </w:rPr>
        <w:t>;</w:t>
      </w:r>
      <w:r w:rsidRPr="00573743">
        <w:rPr>
          <w:sz w:val="16"/>
          <w:szCs w:val="16"/>
        </w:rPr>
        <w:t xml:space="preserve"> very low </w:t>
      </w:r>
      <w:r w:rsidR="00FB2A6C">
        <w:rPr>
          <w:sz w:val="16"/>
          <w:szCs w:val="16"/>
        </w:rPr>
        <w:t>certainty</w:t>
      </w:r>
      <w:r>
        <w:t>).</w:t>
      </w:r>
      <w:r w:rsidR="00774750">
        <w:fldChar w:fldCharType="begin"/>
      </w:r>
      <w:r w:rsidR="002747EA">
        <w:instrText xml:space="preserve"> ADDIN EN.CITE &lt;EndNote&gt;&lt;Cite&gt;&lt;Author&gt;Sridharan&lt;/Author&gt;&lt;Year&gt;2018&lt;/Year&gt;&lt;RecNum&gt;1577&lt;/RecNum&gt;&lt;DisplayText&gt;&lt;style face="superscript" font="Trebuchet MS" size="9"&gt;141&lt;/style&gt;&lt;/DisplayText&gt;&lt;record&gt;&lt;rec-number&gt;1577&lt;/rec-number&gt;&lt;foreign-keys&gt;&lt;key app="EN" db-id="exvasrfx2dtraoesasxp2szsxa2df502592x" timestamp="1576536337"&gt;1577&lt;/key&gt;&lt;key app="ENWeb" db-id=""&gt;0&lt;/key&gt;&lt;/foreign-keys&gt;&lt;ref-type name="Journal Article"&gt;17&lt;/ref-type&gt;&lt;contributors&gt;&lt;authors&gt;&lt;author&gt;Sridharan, Kannan&lt;/author&gt;&lt;author&gt;Sivaramakrishnan, Gowri&lt;/author&gt;&lt;/authors&gt;&lt;/contributors&gt;&lt;titles&gt;&lt;title&gt;Interventions for treating nausea and vomiting in pregnancy: a network meta-analysis and trial sequential analysis of randomized clinical trials&lt;/title&gt;&lt;secondary-title&gt;Expert Review of Clinical Pharmacology&lt;/secondary-title&gt;&lt;/titles&gt;&lt;periodical&gt;&lt;full-title&gt;Expert Review of Clinical Pharmacology&lt;/full-title&gt;&lt;/periodical&gt;&lt;pages&gt;1143-1150&lt;/pages&gt;&lt;volume&gt;11&lt;/volume&gt;&lt;number&gt;11&lt;/number&gt;&lt;section&gt;1143&lt;/section&gt;&lt;dates&gt;&lt;year&gt;2018&lt;/year&gt;&lt;/dates&gt;&lt;isbn&gt;1751-2433&amp;#xD;1751-2441&lt;/isbn&gt;&lt;urls&gt;&lt;/urls&gt;&lt;electronic-resource-num&gt;10.1080/17512433.2018.1530108&lt;/electronic-resource-num&gt;&lt;/record&gt;&lt;/Cite&gt;&lt;/EndNote&gt;</w:instrText>
      </w:r>
      <w:r w:rsidR="00774750">
        <w:fldChar w:fldCharType="separate"/>
      </w:r>
      <w:r w:rsidR="002747EA" w:rsidRPr="002747EA">
        <w:rPr>
          <w:noProof/>
          <w:vertAlign w:val="superscript"/>
        </w:rPr>
        <w:t>141</w:t>
      </w:r>
      <w:r w:rsidR="00774750">
        <w:fldChar w:fldCharType="end"/>
      </w:r>
    </w:p>
    <w:p w14:paraId="156680E1" w14:textId="253CAE5C" w:rsidR="009E61F7" w:rsidRDefault="009E61F7" w:rsidP="009E61F7">
      <w:pPr>
        <w:pStyle w:val="bullet"/>
      </w:pPr>
      <w:r w:rsidRPr="00573743">
        <w:rPr>
          <w:i/>
        </w:rPr>
        <w:t>Echinacea</w:t>
      </w:r>
      <w:r>
        <w:t xml:space="preserve">: A systematic review found no evidence on the efficacy and safety of </w:t>
      </w:r>
      <w:r w:rsidRPr="00A7391B">
        <w:t>echinacea in pregnancy</w:t>
      </w:r>
      <w:r w:rsidR="00962B92">
        <w:t>,</w:t>
      </w:r>
      <w:r>
        <w:fldChar w:fldCharType="begin"/>
      </w:r>
      <w:r w:rsidR="002747EA">
        <w:instrText xml:space="preserve"> ADDIN EN.CITE &lt;EndNote&gt;&lt;Cite&gt;&lt;Author&gt;Holst&lt;/Author&gt;&lt;Year&gt;2014&lt;/Year&gt;&lt;RecNum&gt;1559&lt;/RecNum&gt;&lt;DisplayText&gt;&lt;style face="superscript" font="Trebuchet MS" size="9"&gt;260&lt;/style&gt;&lt;/DisplayText&gt;&lt;record&gt;&lt;rec-number&gt;1559&lt;/rec-number&gt;&lt;foreign-keys&gt;&lt;key app="EN" db-id="exvasrfx2dtraoesasxp2szsxa2df502592x" timestamp="1576536260"&gt;1559&lt;/key&gt;&lt;key app="ENWeb" db-id=""&gt;0&lt;/key&gt;&lt;/foreign-keys&gt;&lt;ref-type name="Journal Article"&gt;17&lt;/ref-type&gt;&lt;contributors&gt;&lt;authors&gt;&lt;author&gt;Holst, L.&lt;/author&gt;&lt;author&gt;Havnen, G. C.&lt;/author&gt;&lt;author&gt;Nordeng, H.&lt;/author&gt;&lt;/authors&gt;&lt;/contributors&gt;&lt;auth-address&gt;Department of Global Public Health and Primary Care and Centre for Pharmacy, Faculty of Medicine and Dentistry, University of Bergen Bergen, Norway.&amp;#xD;Regional Medicines Information and Pharmacovigilance Centre (RELIS), Oslo University Hospital Oslo, Norway.&amp;#xD;Department of Pharmacy, Faculty of Mathematics and Natural Sciences, School of Pharmacy, University of Oslo Oslo, Norway.&lt;/auth-address&gt;&lt;titles&gt;&lt;title&gt;Echinacea and elderberry-should they be used against upper respiratory tract infections during pregnancy?&lt;/title&gt;&lt;secondary-title&gt;Front Pharmacol&lt;/secondary-title&gt;&lt;/titles&gt;&lt;periodical&gt;&lt;full-title&gt;Front Pharmacol&lt;/full-title&gt;&lt;/periodical&gt;&lt;pages&gt;31&lt;/pages&gt;&lt;volume&gt;5&lt;/volume&gt;&lt;edition&gt;2014/03/14&lt;/edition&gt;&lt;keywords&gt;&lt;keyword&gt;Cam&lt;/keyword&gt;&lt;keyword&gt;Echinacea&lt;/keyword&gt;&lt;keyword&gt;Elderberry&lt;/keyword&gt;&lt;keyword&gt;efficacy&lt;/keyword&gt;&lt;keyword&gt;pregnancy&lt;/keyword&gt;&lt;keyword&gt;respiratory infection&lt;/keyword&gt;&lt;keyword&gt;safety&lt;/keyword&gt;&lt;/keywords&gt;&lt;dates&gt;&lt;year&gt;2014&lt;/year&gt;&lt;/dates&gt;&lt;isbn&gt;1663-9812 (Print)&amp;#xD;1663-9812 (Linking)&lt;/isbn&gt;&lt;accession-num&gt;24624087&lt;/accession-num&gt;&lt;urls&gt;&lt;related-urls&gt;&lt;url&gt;https://www.ncbi.nlm.nih.gov/pubmed/24624087&lt;/url&gt;&lt;/related-urls&gt;&lt;/urls&gt;&lt;custom2&gt;PMC3941201&lt;/custom2&gt;&lt;electronic-resource-num&gt;10.3389/fphar.2014.00031&lt;/electronic-resource-num&gt;&lt;/record&gt;&lt;/Cite&gt;&lt;/EndNote&gt;</w:instrText>
      </w:r>
      <w:r>
        <w:fldChar w:fldCharType="separate"/>
      </w:r>
      <w:r w:rsidR="002747EA" w:rsidRPr="002747EA">
        <w:rPr>
          <w:noProof/>
          <w:vertAlign w:val="superscript"/>
        </w:rPr>
        <w:t>260</w:t>
      </w:r>
      <w:r>
        <w:fldChar w:fldCharType="end"/>
      </w:r>
      <w:r>
        <w:t xml:space="preserve"> while a cohort study (</w:t>
      </w:r>
      <w:r w:rsidRPr="00B26283">
        <w:rPr>
          <w:sz w:val="16"/>
          <w:szCs w:val="16"/>
        </w:rPr>
        <w:t>n=68,522</w:t>
      </w:r>
      <w:r>
        <w:t>) found no clear difference in risk of congenital anomalies (</w:t>
      </w:r>
      <w:r w:rsidRPr="00BF5469">
        <w:rPr>
          <w:sz w:val="16"/>
          <w:szCs w:val="16"/>
        </w:rPr>
        <w:t>aOR 1.1; 95%CI 0.6 to 2.1</w:t>
      </w:r>
      <w:r>
        <w:t>), preterm birth (</w:t>
      </w:r>
      <w:r w:rsidRPr="00BF5469">
        <w:rPr>
          <w:sz w:val="16"/>
          <w:szCs w:val="16"/>
        </w:rPr>
        <w:t>aOR 1.0; 95%CI 0.6 to 1.7</w:t>
      </w:r>
      <w:r>
        <w:t>), small for gestational age (</w:t>
      </w:r>
      <w:r w:rsidRPr="00BF5469">
        <w:rPr>
          <w:sz w:val="16"/>
          <w:szCs w:val="16"/>
        </w:rPr>
        <w:t>aOR 1.0; 95%CI 0.7 to 1.6</w:t>
      </w:r>
      <w:r>
        <w:t>) or low birth weight (</w:t>
      </w:r>
      <w:r w:rsidRPr="00BF5469">
        <w:rPr>
          <w:sz w:val="16"/>
          <w:szCs w:val="16"/>
        </w:rPr>
        <w:t>aOR 1.1; 95%CI 0.5 to 2.1</w:t>
      </w:r>
      <w:r>
        <w:t>).</w:t>
      </w:r>
      <w:r>
        <w:fldChar w:fldCharType="begin">
          <w:fldData xml:space="preserve">PEVuZE5vdGU+PENpdGU+PEF1dGhvcj5IZWl0bWFubjwvQXV0aG9yPjxZZWFyPjIwMTY8L1llYXI+
PFJlY051bT4xNTU4PC9SZWNOdW0+PERpc3BsYXlUZXh0PjxzdHlsZSBmYWNlPSJzdXBlcnNjcmlw
dCIgZm9udD0iVHJlYnVjaGV0IE1TIiBzaXplPSI5Ij4yNjE8L3N0eWxlPjwvRGlzcGxheVRleHQ+
PHJlY29yZD48cmVjLW51bWJlcj4xNTU4PC9yZWMtbnVtYmVyPjxmb3JlaWduLWtleXM+PGtleSBh
cHA9IkVOIiBkYi1pZD0iZXh2YXNyZngyZHRyYW9lc2FzeHAyc3pzeGEyZGY1MDI1OTJ4IiB0aW1l
c3RhbXA9IjE1NzY1MzYyNTQiPjE1NTg8L2tleT48a2V5IGFwcD0iRU5XZWIiIGRiLWlkPSIiPjA8
L2tleT48L2ZvcmVpZ24ta2V5cz48cmVmLXR5cGUgbmFtZT0iSm91cm5hbCBBcnRpY2xlIj4xNzwv
cmVmLXR5cGU+PGNvbnRyaWJ1dG9ycz48YXV0aG9ycz48YXV0aG9yPkhlaXRtYW5uLCBLLjwvYXV0
aG9yPjxhdXRob3I+SGF2bmVuLCBHLiBDLjwvYXV0aG9yPjxhdXRob3I+SG9sc3QsIEwuPC9hdXRo
b3I+PGF1dGhvcj5Ob3JkZW5nLCBILjwvYXV0aG9yPjwvYXV0aG9ycz48L2NvbnRyaWJ1dG9ycz48
YXV0aC1hZGRyZXNzPkRlcGFydG1lbnQgb2YgR2xvYmFsIFB1YmxpYyBIZWFsdGggYW5kIFByaW1h
cnkgQ2FyZSBhbmQgQ2VudHJlIGZvciBQaGFybWFjeSwgRmFjdWx0eSBvZiBNZWRpY2luZSBhbmQg
RGVudGlzdHJ5LCBVbml2ZXJzaXR5IG9mIEJlcmdlbiwgUC5PLiBCb3ggNzgwNCwgNTAyMCwgQmVy
Z2VuLCBOb3J3YXkuIGtyaXN0aW5lLmhlaXRtYW5uQGlncy51aWIubm8uJiN4RDtSZWdpb25hbCBN
ZWRpY2luZXMgSW5mb3JtYXRpb24gYW5kIFBoYXJtYWNvdmlnaWxhbmNlIENlbnRyZSAoUkVMSVMp
LCBPc2xvIFVuaXZlcnNpdHkgSG9zcGl0YWwsIE9zbG8sIE5vcndheS4mI3hEO0RlcGFydG1lbnQg
b2YgR2xvYmFsIFB1YmxpYyBIZWFsdGggYW5kIFByaW1hcnkgQ2FyZSBhbmQgQ2VudHJlIGZvciBQ
aGFybWFjeSwgRmFjdWx0eSBvZiBNZWRpY2luZSBhbmQgRGVudGlzdHJ5LCBVbml2ZXJzaXR5IG9m
IEJlcmdlbiwgUC5PLiBCb3ggNzgwNCwgNTAyMCwgQmVyZ2VuLCBOb3J3YXkuJiN4RDtQaGFybWFj
b0VwaWRlbWlvbG9neSBhbmQgRHJ1ZyBTYWZldHkgUmVzZWFyY2ggR3JvdXAsIERlcGFydG1lbnQg
b2YgUGhhcm1hY3ksIFNjaG9vbCBvZiBQaGFybWFjeSwgVW5pdmVyc2l0eSBvZiBPc2xvLCBPc2xv
LCBOb3J3YXkuJiN4RDtEaXZpc2lvbiBvZiBNZW50YWwgSGVhbHRoLCBOb3J3ZWdpYW4gSW5zdGl0
dXRlIG9mIFB1YmxpYyBIZWFsdGgsIE9zbG8sIE5vcndheS48L2F1dGgtYWRkcmVzcz48dGl0bGVz
Pjx0aXRsZT5QcmVnbmFuY3kgb3V0Y29tZXMgYWZ0ZXIgcHJlbmF0YWwgZXhwb3N1cmUgdG8gZWNo
aW5hY2VhOiB0aGUgTm9yd2VnaWFuIE1vdGhlciBhbmQgQ2hpbGQgQ29ob3J0IFN0dWR5PC90aXRs
ZT48c2Vjb25kYXJ5LXRpdGxlPkV1ciBKIENsaW4gUGhhcm1hY29sPC9zZWNvbmRhcnktdGl0bGU+
PC90aXRsZXM+PHBlcmlvZGljYWw+PGZ1bGwtdGl0bGU+RXVyIEogQ2xpbiBQaGFybWFjb2w8L2Z1
bGwtdGl0bGU+PC9wZXJpb2RpY2FsPjxwYWdlcz42MjMtMzA8L3BhZ2VzPjx2b2x1bWU+NzI8L3Zv
bHVtZT48bnVtYmVyPjU8L251bWJlcj48ZWRpdGlvbj4yMDE2LzAyLzIwPC9lZGl0aW9uPjxrZXl3
b3Jkcz48a2V5d29yZD5BZHVsdDwva2V5d29yZD48a2V5d29yZD5Db2hvcnQgU3R1ZGllczwva2V5
d29yZD48a2V5d29yZD4qRWNoaW5hY2VhPC9rZXl3b3JkPjxrZXl3b3JkPkZlbWFsZTwva2V5d29y
ZD48a2V5d29yZD5IdW1hbnM8L2tleXdvcmQ+PGtleXdvcmQ+TWF0ZXJuYWwtRmV0YWwgRXhjaGFu
Z2U8L2tleXdvcmQ+PGtleXdvcmQ+Tm9yd2F5L2VwaWRlbWlvbG9neTwva2V5d29yZD48a2V5d29y
ZD5PZGRzIFJhdGlvPC9rZXl3b3JkPjxrZXl3b3JkPlBsYW50IFByZXBhcmF0aW9ucy8qdGhlcmFw
ZXV0aWMgdXNlPC9rZXl3b3JkPjxrZXl3b3JkPlByZWduYW5jeTwva2V5d29yZD48a2V5d29yZD5Q
cmVnbmFuY3kgT3V0Y29tZS8qZXBpZGVtaW9sb2d5PC9rZXl3b3JkPjxrZXl3b3JkPlByZW5hdGFs
IEV4cG9zdXJlIERlbGF5ZWQgRWZmZWN0cy9lcGlkZW1pb2xvZ3k8L2tleXdvcmQ+PGtleXdvcmQ+
U3VydmV5cyBhbmQgUXVlc3Rpb25uYWlyZXM8L2tleXdvcmQ+PGtleXdvcmQ+WW91bmcgQWR1bHQ8
L2tleXdvcmQ+PGtleXdvcmQ+RWNoaW5hY2VhPC9rZXl3b3JkPjxrZXl3b3JkPkhlcmJhbCBtZWRp
Y2luZTwva2V5d29yZD48a2V5d29yZD5Nb0JhPC9rZXl3b3JkPjwva2V5d29yZHM+PGRhdGVzPjx5
ZWFyPjIwMTY8L3llYXI+PHB1Yi1kYXRlcz48ZGF0ZT5NYXk8L2RhdGU+PC9wdWItZGF0ZXM+PC9k
YXRlcz48aXNibj4xNDMyLTEwNDEgKEVsZWN0cm9uaWMpJiN4RDswMDMxLTY5NzAgKExpbmtpbmcp
PC9pc2JuPjxhY2Nlc3Npb24tbnVtPjI2ODk1MjIzPC9hY2Nlc3Npb24tbnVtPjx1cmxzPjxyZWxh
dGVkLXVybHM+PHVybD5odHRwczovL3d3dy5uY2JpLm5sbS5uaWguZ292L3B1Ym1lZC8yNjg5NTIy
MzwvdXJsPjwvcmVsYXRlZC11cmxzPjwvdXJscz48ZWxlY3Ryb25pYy1yZXNvdXJjZS1udW0+MTAu
MTAwNy9zMDAyMjgtMDE2LTIwMjEtNTwvZWxlY3Ryb25pYy1yZXNvdXJjZS1udW0+PC9yZWNvcmQ+
PC9DaXRlPjwvRW5kTm90ZT4A
</w:fldData>
        </w:fldChar>
      </w:r>
      <w:r w:rsidR="002747EA">
        <w:instrText xml:space="preserve"> ADDIN EN.CITE </w:instrText>
      </w:r>
      <w:r w:rsidR="002747EA">
        <w:fldChar w:fldCharType="begin">
          <w:fldData xml:space="preserve">PEVuZE5vdGU+PENpdGU+PEF1dGhvcj5IZWl0bWFubjwvQXV0aG9yPjxZZWFyPjIwMTY8L1llYXI+
PFJlY051bT4xNTU4PC9SZWNOdW0+PERpc3BsYXlUZXh0PjxzdHlsZSBmYWNlPSJzdXBlcnNjcmlw
dCIgZm9udD0iVHJlYnVjaGV0IE1TIiBzaXplPSI5Ij4yNjE8L3N0eWxlPjwvRGlzcGxheVRleHQ+
PHJlY29yZD48cmVjLW51bWJlcj4xNTU4PC9yZWMtbnVtYmVyPjxmb3JlaWduLWtleXM+PGtleSBh
cHA9IkVOIiBkYi1pZD0iZXh2YXNyZngyZHRyYW9lc2FzeHAyc3pzeGEyZGY1MDI1OTJ4IiB0aW1l
c3RhbXA9IjE1NzY1MzYyNTQiPjE1NTg8L2tleT48a2V5IGFwcD0iRU5XZWIiIGRiLWlkPSIiPjA8
L2tleT48L2ZvcmVpZ24ta2V5cz48cmVmLXR5cGUgbmFtZT0iSm91cm5hbCBBcnRpY2xlIj4xNzwv
cmVmLXR5cGU+PGNvbnRyaWJ1dG9ycz48YXV0aG9ycz48YXV0aG9yPkhlaXRtYW5uLCBLLjwvYXV0
aG9yPjxhdXRob3I+SGF2bmVuLCBHLiBDLjwvYXV0aG9yPjxhdXRob3I+SG9sc3QsIEwuPC9hdXRo
b3I+PGF1dGhvcj5Ob3JkZW5nLCBILjwvYXV0aG9yPjwvYXV0aG9ycz48L2NvbnRyaWJ1dG9ycz48
YXV0aC1hZGRyZXNzPkRlcGFydG1lbnQgb2YgR2xvYmFsIFB1YmxpYyBIZWFsdGggYW5kIFByaW1h
cnkgQ2FyZSBhbmQgQ2VudHJlIGZvciBQaGFybWFjeSwgRmFjdWx0eSBvZiBNZWRpY2luZSBhbmQg
RGVudGlzdHJ5LCBVbml2ZXJzaXR5IG9mIEJlcmdlbiwgUC5PLiBCb3ggNzgwNCwgNTAyMCwgQmVy
Z2VuLCBOb3J3YXkuIGtyaXN0aW5lLmhlaXRtYW5uQGlncy51aWIubm8uJiN4RDtSZWdpb25hbCBN
ZWRpY2luZXMgSW5mb3JtYXRpb24gYW5kIFBoYXJtYWNvdmlnaWxhbmNlIENlbnRyZSAoUkVMSVMp
LCBPc2xvIFVuaXZlcnNpdHkgSG9zcGl0YWwsIE9zbG8sIE5vcndheS4mI3hEO0RlcGFydG1lbnQg
b2YgR2xvYmFsIFB1YmxpYyBIZWFsdGggYW5kIFByaW1hcnkgQ2FyZSBhbmQgQ2VudHJlIGZvciBQ
aGFybWFjeSwgRmFjdWx0eSBvZiBNZWRpY2luZSBhbmQgRGVudGlzdHJ5LCBVbml2ZXJzaXR5IG9m
IEJlcmdlbiwgUC5PLiBCb3ggNzgwNCwgNTAyMCwgQmVyZ2VuLCBOb3J3YXkuJiN4RDtQaGFybWFj
b0VwaWRlbWlvbG9neSBhbmQgRHJ1ZyBTYWZldHkgUmVzZWFyY2ggR3JvdXAsIERlcGFydG1lbnQg
b2YgUGhhcm1hY3ksIFNjaG9vbCBvZiBQaGFybWFjeSwgVW5pdmVyc2l0eSBvZiBPc2xvLCBPc2xv
LCBOb3J3YXkuJiN4RDtEaXZpc2lvbiBvZiBNZW50YWwgSGVhbHRoLCBOb3J3ZWdpYW4gSW5zdGl0
dXRlIG9mIFB1YmxpYyBIZWFsdGgsIE9zbG8sIE5vcndheS48L2F1dGgtYWRkcmVzcz48dGl0bGVz
Pjx0aXRsZT5QcmVnbmFuY3kgb3V0Y29tZXMgYWZ0ZXIgcHJlbmF0YWwgZXhwb3N1cmUgdG8gZWNo
aW5hY2VhOiB0aGUgTm9yd2VnaWFuIE1vdGhlciBhbmQgQ2hpbGQgQ29ob3J0IFN0dWR5PC90aXRs
ZT48c2Vjb25kYXJ5LXRpdGxlPkV1ciBKIENsaW4gUGhhcm1hY29sPC9zZWNvbmRhcnktdGl0bGU+
PC90aXRsZXM+PHBlcmlvZGljYWw+PGZ1bGwtdGl0bGU+RXVyIEogQ2xpbiBQaGFybWFjb2w8L2Z1
bGwtdGl0bGU+PC9wZXJpb2RpY2FsPjxwYWdlcz42MjMtMzA8L3BhZ2VzPjx2b2x1bWU+NzI8L3Zv
bHVtZT48bnVtYmVyPjU8L251bWJlcj48ZWRpdGlvbj4yMDE2LzAyLzIwPC9lZGl0aW9uPjxrZXl3
b3Jkcz48a2V5d29yZD5BZHVsdDwva2V5d29yZD48a2V5d29yZD5Db2hvcnQgU3R1ZGllczwva2V5
d29yZD48a2V5d29yZD4qRWNoaW5hY2VhPC9rZXl3b3JkPjxrZXl3b3JkPkZlbWFsZTwva2V5d29y
ZD48a2V5d29yZD5IdW1hbnM8L2tleXdvcmQ+PGtleXdvcmQ+TWF0ZXJuYWwtRmV0YWwgRXhjaGFu
Z2U8L2tleXdvcmQ+PGtleXdvcmQ+Tm9yd2F5L2VwaWRlbWlvbG9neTwva2V5d29yZD48a2V5d29y
ZD5PZGRzIFJhdGlvPC9rZXl3b3JkPjxrZXl3b3JkPlBsYW50IFByZXBhcmF0aW9ucy8qdGhlcmFw
ZXV0aWMgdXNlPC9rZXl3b3JkPjxrZXl3b3JkPlByZWduYW5jeTwva2V5d29yZD48a2V5d29yZD5Q
cmVnbmFuY3kgT3V0Y29tZS8qZXBpZGVtaW9sb2d5PC9rZXl3b3JkPjxrZXl3b3JkPlByZW5hdGFs
IEV4cG9zdXJlIERlbGF5ZWQgRWZmZWN0cy9lcGlkZW1pb2xvZ3k8L2tleXdvcmQ+PGtleXdvcmQ+
U3VydmV5cyBhbmQgUXVlc3Rpb25uYWlyZXM8L2tleXdvcmQ+PGtleXdvcmQ+WW91bmcgQWR1bHQ8
L2tleXdvcmQ+PGtleXdvcmQ+RWNoaW5hY2VhPC9rZXl3b3JkPjxrZXl3b3JkPkhlcmJhbCBtZWRp
Y2luZTwva2V5d29yZD48a2V5d29yZD5Nb0JhPC9rZXl3b3JkPjwva2V5d29yZHM+PGRhdGVzPjx5
ZWFyPjIwMTY8L3llYXI+PHB1Yi1kYXRlcz48ZGF0ZT5NYXk8L2RhdGU+PC9wdWItZGF0ZXM+PC9k
YXRlcz48aXNibj4xNDMyLTEwNDEgKEVsZWN0cm9uaWMpJiN4RDswMDMxLTY5NzAgKExpbmtpbmcp
PC9pc2JuPjxhY2Nlc3Npb24tbnVtPjI2ODk1MjIzPC9hY2Nlc3Npb24tbnVtPjx1cmxzPjxyZWxh
dGVkLXVybHM+PHVybD5odHRwczovL3d3dy5uY2JpLm5sbS5uaWguZ292L3B1Ym1lZC8yNjg5NTIy
MzwvdXJsPjwvcmVsYXRlZC11cmxzPjwvdXJscz48ZWxlY3Ryb25pYy1yZXNvdXJjZS1udW0+MTAu
MTAwNy9zMDAyMjgtMDE2LTIwMjEtNTwvZWxlY3Ryb25pYy1yZXNvdXJjZS1udW0+PC9yZWNvcmQ+
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261</w:t>
      </w:r>
      <w:r>
        <w:fldChar w:fldCharType="end"/>
      </w:r>
    </w:p>
    <w:p w14:paraId="10990D73" w14:textId="452EF7CC" w:rsidR="00330F64" w:rsidRDefault="00330F64" w:rsidP="00BF5469">
      <w:pPr>
        <w:pStyle w:val="bullet"/>
      </w:pPr>
      <w:r w:rsidRPr="00573743">
        <w:rPr>
          <w:i/>
        </w:rPr>
        <w:t>Elderberry</w:t>
      </w:r>
      <w:r>
        <w:t>:</w:t>
      </w:r>
      <w:r w:rsidRPr="00330F64">
        <w:t xml:space="preserve"> </w:t>
      </w:r>
      <w:r>
        <w:t xml:space="preserve">A systematic review found no evidence on the efficacy and safety of </w:t>
      </w:r>
      <w:r w:rsidRPr="00A7391B">
        <w:t>elderberry in pregnancy</w:t>
      </w:r>
      <w:r>
        <w:t>.</w:t>
      </w:r>
      <w:r>
        <w:fldChar w:fldCharType="begin"/>
      </w:r>
      <w:r w:rsidR="002747EA">
        <w:instrText xml:space="preserve"> ADDIN EN.CITE &lt;EndNote&gt;&lt;Cite&gt;&lt;Author&gt;Holst&lt;/Author&gt;&lt;Year&gt;2014&lt;/Year&gt;&lt;RecNum&gt;1559&lt;/RecNum&gt;&lt;DisplayText&gt;&lt;style face="superscript" font="Trebuchet MS" size="9"&gt;260&lt;/style&gt;&lt;/DisplayText&gt;&lt;record&gt;&lt;rec-number&gt;1559&lt;/rec-number&gt;&lt;foreign-keys&gt;&lt;key app="EN" db-id="exvasrfx2dtraoesasxp2szsxa2df502592x" timestamp="1576536260"&gt;1559&lt;/key&gt;&lt;key app="ENWeb" db-id=""&gt;0&lt;/key&gt;&lt;/foreign-keys&gt;&lt;ref-type name="Journal Article"&gt;17&lt;/ref-type&gt;&lt;contributors&gt;&lt;authors&gt;&lt;author&gt;Holst, L.&lt;/author&gt;&lt;author&gt;Havnen, G. C.&lt;/author&gt;&lt;author&gt;Nordeng, H.&lt;/author&gt;&lt;/authors&gt;&lt;/contributors&gt;&lt;auth-address&gt;Department of Global Public Health and Primary Care and Centre for Pharmacy, Faculty of Medicine and Dentistry, University of Bergen Bergen, Norway.&amp;#xD;Regional Medicines Information and Pharmacovigilance Centre (RELIS), Oslo University Hospital Oslo, Norway.&amp;#xD;Department of Pharmacy, Faculty of Mathematics and Natural Sciences, School of Pharmacy, University of Oslo Oslo, Norway.&lt;/auth-address&gt;&lt;titles&gt;&lt;title&gt;Echinacea and elderberry-should they be used against upper respiratory tract infections during pregnancy?&lt;/title&gt;&lt;secondary-title&gt;Front Pharmacol&lt;/secondary-title&gt;&lt;/titles&gt;&lt;periodical&gt;&lt;full-title&gt;Front Pharmacol&lt;/full-title&gt;&lt;/periodical&gt;&lt;pages&gt;31&lt;/pages&gt;&lt;volume&gt;5&lt;/volume&gt;&lt;edition&gt;2014/03/14&lt;/edition&gt;&lt;keywords&gt;&lt;keyword&gt;Cam&lt;/keyword&gt;&lt;keyword&gt;Echinacea&lt;/keyword&gt;&lt;keyword&gt;Elderberry&lt;/keyword&gt;&lt;keyword&gt;efficacy&lt;/keyword&gt;&lt;keyword&gt;pregnancy&lt;/keyword&gt;&lt;keyword&gt;respiratory infection&lt;/keyword&gt;&lt;keyword&gt;safety&lt;/keyword&gt;&lt;/keywords&gt;&lt;dates&gt;&lt;year&gt;2014&lt;/year&gt;&lt;/dates&gt;&lt;isbn&gt;1663-9812 (Print)&amp;#xD;1663-9812 (Linking)&lt;/isbn&gt;&lt;accession-num&gt;24624087&lt;/accession-num&gt;&lt;urls&gt;&lt;related-urls&gt;&lt;url&gt;https://www.ncbi.nlm.nih.gov/pubmed/24624087&lt;/url&gt;&lt;/related-urls&gt;&lt;/urls&gt;&lt;custom2&gt;PMC3941201&lt;/custom2&gt;&lt;electronic-resource-num&gt;10.3389/fphar.2014.00031&lt;/electronic-resource-num&gt;&lt;/record&gt;&lt;/Cite&gt;&lt;/EndNote&gt;</w:instrText>
      </w:r>
      <w:r>
        <w:fldChar w:fldCharType="separate"/>
      </w:r>
      <w:r w:rsidR="002747EA" w:rsidRPr="002747EA">
        <w:rPr>
          <w:noProof/>
          <w:vertAlign w:val="superscript"/>
        </w:rPr>
        <w:t>260</w:t>
      </w:r>
      <w:r>
        <w:fldChar w:fldCharType="end"/>
      </w:r>
    </w:p>
    <w:p w14:paraId="2DAF218B" w14:textId="57B52640" w:rsidR="00934392" w:rsidRDefault="00CA77B5" w:rsidP="00BF5469">
      <w:pPr>
        <w:pStyle w:val="bullet"/>
      </w:pPr>
      <w:r w:rsidRPr="003A5260">
        <w:rPr>
          <w:i/>
        </w:rPr>
        <w:t>Lettuce seed</w:t>
      </w:r>
      <w:r>
        <w:t>: In an RCT, lettuce seed improved sleep in women with insomnia during pregnancy (</w:t>
      </w:r>
      <w:r w:rsidRPr="00573743">
        <w:rPr>
          <w:sz w:val="16"/>
          <w:szCs w:val="16"/>
        </w:rPr>
        <w:t>p=0.03</w:t>
      </w:r>
      <w:r>
        <w:t>).</w:t>
      </w:r>
      <w:r>
        <w:fldChar w:fldCharType="begin">
          <w:fldData xml:space="preserve">PEVuZE5vdGU+PENpdGU+PEF1dGhvcj5Qb3VyPC9BdXRob3I+PFllYXI+MjAxODwvWWVhcj48UmVj
TnVtPjE1ODI8L1JlY051bT48RGlzcGxheVRleHQ+PHN0eWxlIGZhY2U9InN1cGVyc2NyaXB0IiBm
b250PSJUcmVidWNoZXQgTVMiIHNpemU9IjkiPjI2Mjwvc3R5bGU+PC9EaXNwbGF5VGV4dD48cmVj
b3JkPjxyZWMtbnVtYmVyPjE1ODI8L3JlYy1udW1iZXI+PGZvcmVpZ24ta2V5cz48a2V5IGFwcD0i
RU4iIGRiLWlkPSJleHZhc3JmeDJkdHJhb2VzYXN4cDJzenN4YTJkZjUwMjU5MngiIHRpbWVzdGFt
cD0iMTU3NjUzNjM1OSI+MTU4Mjwva2V5PjxrZXkgYXBwPSJFTldlYiIgZGItaWQ9IiI+MDwva2V5
PjwvZm9yZWlnbi1rZXlzPjxyZWYtdHlwZSBuYW1lPSJKb3VybmFsIEFydGljbGUiPjE3PC9yZWYt
dHlwZT48Y29udHJpYnV0b3JzPjxhdXRob3JzPjxhdXRob3I+UG91ciwgWi4gUy48L2F1dGhvcj48
YXV0aG9yPkhvc3NlaW5raGFuaSwgQS48L2F1dGhvcj48YXV0aG9yPkFzYWRpLCBOLjwvYXV0aG9y
PjxhdXRob3I+U2hhaHJha2ksIEguIFIuPC9hdXRob3I+PGF1dGhvcj5WYWZhZWksIEguPC9hdXRo
b3I+PGF1dGhvcj5LYXNyYWVpYW4sIE0uPC9hdXRob3I+PGF1dGhvcj5CYXpyYWZzaGFuLCBLLjwv
YXV0aG9yPjxhdXRob3I+RmFyYWppLCBBLjwvYXV0aG9yPjwvYXV0aG9ycz48L2NvbnRyaWJ1dG9y
cz48YXV0aC1hZGRyZXNzPkRlcHQgb2YgT2JzdGV0cmljcyAmYW1wO0d5bmVjb2xvZ3ksIE1hdGVy
bmFsLUZldGFsIE1lZGljaW5lIFJlc2VhcmNoIENlbnRlciwgU2hpcmF6IFVuaXZlcnNpdHkgb2Yg
TWVkaWNhbCBTY2llbmNlcywgU2hpcmF6LCBJcmFuLiBFbGVjdHJvbmljIGFkZHJlc3M6IHpvaHJl
aC5zYWZhcmlwb3VyQGdtYWlsLmNvbS4mI3hEO1Jlc2VhcmNoIGNlbnRlciBmb3IgdHJhZGl0aW9u
YWwgbWVkaWNpbmUgYW5kIGhpc3Rvcnkgb2YgbWVkaWNpbmUsIFNoaXJheiBVbml2ZXJzaXR5IG9m
IG1lZGljYWwgc2NpZW5jZXMsIFNoaXJheiwgSXJhbi4gRWxlY3Ryb25pYyBhZGRyZXNzOiBheWRh
aG9zc2VpbmtoYW5pQHlhaG9vLmNvbS4mI3hEO01hdGVybmFsLUZldGFsIE1lZGljaW5lIFJlc2Vh
cmNoIENlbnRlciwgUGVyaW5hdG9sb2d5IFdhcmQsIFNoaXJheiBVbml2ZXJzaXR5IG9mIE1lZGlj
YWwgU2NpZW5jZXMsIFNoaXJheiwgSXJhbi4gRWxlY3Ryb25pYyBhZGRyZXNzOiBuYXNhZGkyMDEy
QHlhaG9vLmNhLiYjeEQ7RGVwYXJ0bWVudCBvZiBiaW9zdGF0aXN0aWNzIHNjaG9vbCBvZiBtZWRp
Y2luZSBTaGlyYXogVW5pdmVyc2l0eSBvZiBNZWRpY2FsIFNjaWVuY2UsIFNoaXJheiwgSXJhbi4g
RWxlY3Ryb25pYyBhZGRyZXNzOiBCaW9zdGF0OTFAZ21haWwuY29tLiYjeEQ7TWF0ZXJuYWwtRmV0
YWwgTWVkaWNpbmUgUmVzZWFyY2ggQ2VudGVyLCBTaGlyYXogVW5pdmVyc2l0eSBvZiBNZWRpY2Fs
IFNjaWVuY2VzLCBTaGlyYXosIElyYW4uIEVsZWN0cm9uaWMgYWRkcmVzczogVmFmYWVpaEBnbWFp
bC5jb20uJiN4RDtNYXRlcm5hbC1GZXRhbCBNZWRpY2luZSBSZXNlYXJjaCBDZW50ZXIsIFNoaXJh
eiBVbml2ZXJzaXR5IG9mIE1lZGljYWwgU2NpZW5jZXMsIFNoaXJheiwgSXJhbi4gRWxlY3Ryb25p
YyBhZGRyZXNzOiBrYXNyYWVlbW1AeWFob28uY29tLiYjeEQ7TWF0ZXJuYWwtRmV0YWwgTWVkaWNp
bmUgUmVzZWFyY2ggQ2VudGVyLCBTaGlyYXogVW5pdmVyc2l0eSBvZiBNZWRpY2FsIFNjaWVuY2Vz
LCBTaGlyYXosIElyYW4uIEVsZWN0cm9uaWMgYWRkcmVzczogYmF6cmFmc2hhbi5raEBnbWFpbC5j
b20uJiN4RDtNYXRlcm5hbC1GZXRhbCBNZWRpY2luZSBSZXNlYXJjaCBDZW50ZXIsIFNoaXJheiBV
bml2ZXJzaXR5IG9mIE1lZGljYWwgU2NpZW5jZXMsIFNoaXJheiwgSXJhbi4gRWxlY3Ryb25pYyBh
ZGRyZXNzOiBmYXJhamlhekBzdW1zLmFjLmlyLjwvYXV0aC1hZGRyZXNzPjx0aXRsZXM+PHRpdGxl
PkRvdWJsZS1ibGluZCByYW5kb21pemVkIHBsYWNlYm8tY29udHJvbGxlZCB0cmlhbCBvbiBlZmZp
Y2FjeSBhbmQgc2FmZXR5IG9mIExhY3R1Y2Egc2F0aXZhIEwuIHNlZWRzIG9uIHByZWduYW5jeS1y
ZWxhdGVkIGluc29tbmlhPC90aXRsZT48c2Vjb25kYXJ5LXRpdGxlPkogRXRobm9waGFybWFjb2w8
L3NlY29uZGFyeS10aXRsZT48L3RpdGxlcz48cGVyaW9kaWNhbD48ZnVsbC10aXRsZT5KIEV0aG5v
cGhhcm1hY29sPC9mdWxsLXRpdGxlPjwvcGVyaW9kaWNhbD48cGFnZXM+MTc2LTE4MDwvcGFnZXM+
PHZvbHVtZT4yMjc8L3ZvbHVtZT48ZWRpdGlvbj4yMDE4LzA5LzAzPC9lZGl0aW9uPjxrZXl3b3Jk
cz48a2V5d29yZD5BZHVsdDwva2V5d29yZD48a2V5d29yZD5Eb3VibGUtQmxpbmQgTWV0aG9kPC9r
ZXl3b3JkPjxrZXl3b3JkPkZlbWFsZTwva2V5d29yZD48a2V5d29yZD5IdW1hbnM8L2tleXdvcmQ+
PGtleXdvcmQ+KkxldHR1Y2U8L2tleXdvcmQ+PGtleXdvcmQ+TWlkZGxlIEFnZWQ8L2tleXdvcmQ+
PGtleXdvcmQ+UGh5dG90aGVyYXB5PC9rZXl3b3JkPjxrZXl3b3JkPlByZWduYW5jeTwva2V5d29y
ZD48a2V5d29yZD5QcmVnbmFuY3kgQ29tcGxpY2F0aW9ucy8qdGhlcmFweTwva2V5d29yZD48a2V5
d29yZD4qU2VlZHM8L2tleXdvcmQ+PGtleXdvcmQ+U2xlZXAgSW5pdGlhdGlvbiBhbmQgTWFpbnRl
bmFuY2UgRGlzb3JkZXJzL2V0aW9sb2d5Lyp0aGVyYXB5PC9rZXl3b3JkPjxrZXl3b3JkPlRyZWF0
bWVudCBPdXRjb21lPC9rZXl3b3JkPjxrZXl3b3JkPllvdW5nIEFkdWx0PC9rZXl3b3JkPjxrZXl3
b3JkPkhlcmJhbCBtZWRpY2luZTwva2V5d29yZD48a2V5d29yZD5IeXBub3RpYzwva2V5d29yZD48
a2V5d29yZD5JbnNvbW5pYTwva2V5d29yZD48L2tleXdvcmRzPjxkYXRlcz48eWVhcj4yMDE4PC95
ZWFyPjxwdWItZGF0ZXM+PGRhdGU+RGVjIDU8L2RhdGU+PC9wdWItZGF0ZXM+PC9kYXRlcz48aXNi
bj4xODcyLTc1NzMgKEVsZWN0cm9uaWMpJiN4RDswMzc4LTg3NDEgKExpbmtpbmcpPC9pc2JuPjxh
Y2Nlc3Npb24tbnVtPjMwMTcyOTAwPC9hY2Nlc3Npb24tbnVtPjx1cmxzPjxyZWxhdGVkLXVybHM+
PHVybD5odHRwczovL3d3dy5uY2JpLm5sbS5uaWguZ292L3B1Ym1lZC8zMDE3MjkwMDwvdXJsPjwv
cmVsYXRlZC11cmxzPjwvdXJscz48ZWxlY3Ryb25pYy1yZXNvdXJjZS1udW0+MTAuMTAxNi9qLmpl
cC4yMDE4LjA4LjAwMTwvZWxlY3Ryb25pYy1yZXNvdXJjZS1udW0+PC9yZWNvcmQ+PC9DaXRlPjwv
RW5kTm90ZT5=
</w:fldData>
        </w:fldChar>
      </w:r>
      <w:r w:rsidR="002747EA">
        <w:instrText xml:space="preserve"> ADDIN EN.CITE </w:instrText>
      </w:r>
      <w:r w:rsidR="002747EA">
        <w:fldChar w:fldCharType="begin">
          <w:fldData xml:space="preserve">PEVuZE5vdGU+PENpdGU+PEF1dGhvcj5Qb3VyPC9BdXRob3I+PFllYXI+MjAxODwvWWVhcj48UmVj
TnVtPjE1ODI8L1JlY051bT48RGlzcGxheVRleHQ+PHN0eWxlIGZhY2U9InN1cGVyc2NyaXB0IiBm
b250PSJUcmVidWNoZXQgTVMiIHNpemU9IjkiPjI2Mjwvc3R5bGU+PC9EaXNwbGF5VGV4dD48cmVj
b3JkPjxyZWMtbnVtYmVyPjE1ODI8L3JlYy1udW1iZXI+PGZvcmVpZ24ta2V5cz48a2V5IGFwcD0i
RU4iIGRiLWlkPSJleHZhc3JmeDJkdHJhb2VzYXN4cDJzenN4YTJkZjUwMjU5MngiIHRpbWVzdGFt
cD0iMTU3NjUzNjM1OSI+MTU4Mjwva2V5PjxrZXkgYXBwPSJFTldlYiIgZGItaWQ9IiI+MDwva2V5
PjwvZm9yZWlnbi1rZXlzPjxyZWYtdHlwZSBuYW1lPSJKb3VybmFsIEFydGljbGUiPjE3PC9yZWYt
dHlwZT48Y29udHJpYnV0b3JzPjxhdXRob3JzPjxhdXRob3I+UG91ciwgWi4gUy48L2F1dGhvcj48
YXV0aG9yPkhvc3NlaW5raGFuaSwgQS48L2F1dGhvcj48YXV0aG9yPkFzYWRpLCBOLjwvYXV0aG9y
PjxhdXRob3I+U2hhaHJha2ksIEguIFIuPC9hdXRob3I+PGF1dGhvcj5WYWZhZWksIEguPC9hdXRo
b3I+PGF1dGhvcj5LYXNyYWVpYW4sIE0uPC9hdXRob3I+PGF1dGhvcj5CYXpyYWZzaGFuLCBLLjwv
YXV0aG9yPjxhdXRob3I+RmFyYWppLCBBLjwvYXV0aG9yPjwvYXV0aG9ycz48L2NvbnRyaWJ1dG9y
cz48YXV0aC1hZGRyZXNzPkRlcHQgb2YgT2JzdGV0cmljcyAmYW1wO0d5bmVjb2xvZ3ksIE1hdGVy
bmFsLUZldGFsIE1lZGljaW5lIFJlc2VhcmNoIENlbnRlciwgU2hpcmF6IFVuaXZlcnNpdHkgb2Yg
TWVkaWNhbCBTY2llbmNlcywgU2hpcmF6LCBJcmFuLiBFbGVjdHJvbmljIGFkZHJlc3M6IHpvaHJl
aC5zYWZhcmlwb3VyQGdtYWlsLmNvbS4mI3hEO1Jlc2VhcmNoIGNlbnRlciBmb3IgdHJhZGl0aW9u
YWwgbWVkaWNpbmUgYW5kIGhpc3Rvcnkgb2YgbWVkaWNpbmUsIFNoaXJheiBVbml2ZXJzaXR5IG9m
IG1lZGljYWwgc2NpZW5jZXMsIFNoaXJheiwgSXJhbi4gRWxlY3Ryb25pYyBhZGRyZXNzOiBheWRh
aG9zc2VpbmtoYW5pQHlhaG9vLmNvbS4mI3hEO01hdGVybmFsLUZldGFsIE1lZGljaW5lIFJlc2Vh
cmNoIENlbnRlciwgUGVyaW5hdG9sb2d5IFdhcmQsIFNoaXJheiBVbml2ZXJzaXR5IG9mIE1lZGlj
YWwgU2NpZW5jZXMsIFNoaXJheiwgSXJhbi4gRWxlY3Ryb25pYyBhZGRyZXNzOiBuYXNhZGkyMDEy
QHlhaG9vLmNhLiYjeEQ7RGVwYXJ0bWVudCBvZiBiaW9zdGF0aXN0aWNzIHNjaG9vbCBvZiBtZWRp
Y2luZSBTaGlyYXogVW5pdmVyc2l0eSBvZiBNZWRpY2FsIFNjaWVuY2UsIFNoaXJheiwgSXJhbi4g
RWxlY3Ryb25pYyBhZGRyZXNzOiBCaW9zdGF0OTFAZ21haWwuY29tLiYjeEQ7TWF0ZXJuYWwtRmV0
YWwgTWVkaWNpbmUgUmVzZWFyY2ggQ2VudGVyLCBTaGlyYXogVW5pdmVyc2l0eSBvZiBNZWRpY2Fs
IFNjaWVuY2VzLCBTaGlyYXosIElyYW4uIEVsZWN0cm9uaWMgYWRkcmVzczogVmFmYWVpaEBnbWFp
bC5jb20uJiN4RDtNYXRlcm5hbC1GZXRhbCBNZWRpY2luZSBSZXNlYXJjaCBDZW50ZXIsIFNoaXJh
eiBVbml2ZXJzaXR5IG9mIE1lZGljYWwgU2NpZW5jZXMsIFNoaXJheiwgSXJhbi4gRWxlY3Ryb25p
YyBhZGRyZXNzOiBrYXNyYWVlbW1AeWFob28uY29tLiYjeEQ7TWF0ZXJuYWwtRmV0YWwgTWVkaWNp
bmUgUmVzZWFyY2ggQ2VudGVyLCBTaGlyYXogVW5pdmVyc2l0eSBvZiBNZWRpY2FsIFNjaWVuY2Vz
LCBTaGlyYXosIElyYW4uIEVsZWN0cm9uaWMgYWRkcmVzczogYmF6cmFmc2hhbi5raEBnbWFpbC5j
b20uJiN4RDtNYXRlcm5hbC1GZXRhbCBNZWRpY2luZSBSZXNlYXJjaCBDZW50ZXIsIFNoaXJheiBV
bml2ZXJzaXR5IG9mIE1lZGljYWwgU2NpZW5jZXMsIFNoaXJheiwgSXJhbi4gRWxlY3Ryb25pYyBh
ZGRyZXNzOiBmYXJhamlhekBzdW1zLmFjLmlyLjwvYXV0aC1hZGRyZXNzPjx0aXRsZXM+PHRpdGxl
PkRvdWJsZS1ibGluZCByYW5kb21pemVkIHBsYWNlYm8tY29udHJvbGxlZCB0cmlhbCBvbiBlZmZp
Y2FjeSBhbmQgc2FmZXR5IG9mIExhY3R1Y2Egc2F0aXZhIEwuIHNlZWRzIG9uIHByZWduYW5jeS1y
ZWxhdGVkIGluc29tbmlhPC90aXRsZT48c2Vjb25kYXJ5LXRpdGxlPkogRXRobm9waGFybWFjb2w8
L3NlY29uZGFyeS10aXRsZT48L3RpdGxlcz48cGVyaW9kaWNhbD48ZnVsbC10aXRsZT5KIEV0aG5v
cGhhcm1hY29sPC9mdWxsLXRpdGxlPjwvcGVyaW9kaWNhbD48cGFnZXM+MTc2LTE4MDwvcGFnZXM+
PHZvbHVtZT4yMjc8L3ZvbHVtZT48ZWRpdGlvbj4yMDE4LzA5LzAzPC9lZGl0aW9uPjxrZXl3b3Jk
cz48a2V5d29yZD5BZHVsdDwva2V5d29yZD48a2V5d29yZD5Eb3VibGUtQmxpbmQgTWV0aG9kPC9r
ZXl3b3JkPjxrZXl3b3JkPkZlbWFsZTwva2V5d29yZD48a2V5d29yZD5IdW1hbnM8L2tleXdvcmQ+
PGtleXdvcmQ+KkxldHR1Y2U8L2tleXdvcmQ+PGtleXdvcmQ+TWlkZGxlIEFnZWQ8L2tleXdvcmQ+
PGtleXdvcmQ+UGh5dG90aGVyYXB5PC9rZXl3b3JkPjxrZXl3b3JkPlByZWduYW5jeTwva2V5d29y
ZD48a2V5d29yZD5QcmVnbmFuY3kgQ29tcGxpY2F0aW9ucy8qdGhlcmFweTwva2V5d29yZD48a2V5
d29yZD4qU2VlZHM8L2tleXdvcmQ+PGtleXdvcmQ+U2xlZXAgSW5pdGlhdGlvbiBhbmQgTWFpbnRl
bmFuY2UgRGlzb3JkZXJzL2V0aW9sb2d5Lyp0aGVyYXB5PC9rZXl3b3JkPjxrZXl3b3JkPlRyZWF0
bWVudCBPdXRjb21lPC9rZXl3b3JkPjxrZXl3b3JkPllvdW5nIEFkdWx0PC9rZXl3b3JkPjxrZXl3
b3JkPkhlcmJhbCBtZWRpY2luZTwva2V5d29yZD48a2V5d29yZD5IeXBub3RpYzwva2V5d29yZD48
a2V5d29yZD5JbnNvbW5pYTwva2V5d29yZD48L2tleXdvcmRzPjxkYXRlcz48eWVhcj4yMDE4PC95
ZWFyPjxwdWItZGF0ZXM+PGRhdGU+RGVjIDU8L2RhdGU+PC9wdWItZGF0ZXM+PC9kYXRlcz48aXNi
bj4xODcyLTc1NzMgKEVsZWN0cm9uaWMpJiN4RDswMzc4LTg3NDEgKExpbmtpbmcpPC9pc2JuPjxh
Y2Nlc3Npb24tbnVtPjMwMTcyOTAwPC9hY2Nlc3Npb24tbnVtPjx1cmxzPjxyZWxhdGVkLXVybHM+
PHVybD5odHRwczovL3d3dy5uY2JpLm5sbS5uaWguZ292L3B1Ym1lZC8zMDE3MjkwMDwvdXJsPjwv
cmVsYXRlZC11cmxzPjwvdXJscz48ZWxlY3Ryb25pYy1yZXNvdXJjZS1udW0+MTAuMTAxNi9qLmpl
cC4yMDE4LjA4LjAwMTwvZWxlY3Ryb25pYy1yZXNvdXJjZS1udW0+PC9yZWNvcmQ+PC9DaXRlPjwv
RW5kTm90ZT5=
</w:fldData>
        </w:fldChar>
      </w:r>
      <w:r w:rsidR="002747EA">
        <w:instrText xml:space="preserve"> ADDIN EN.CITE.DATA </w:instrText>
      </w:r>
      <w:r w:rsidR="002747EA">
        <w:fldChar w:fldCharType="end"/>
      </w:r>
      <w:r>
        <w:fldChar w:fldCharType="separate"/>
      </w:r>
      <w:r w:rsidR="002747EA" w:rsidRPr="002747EA">
        <w:rPr>
          <w:noProof/>
          <w:vertAlign w:val="superscript"/>
        </w:rPr>
        <w:t>262</w:t>
      </w:r>
      <w:r>
        <w:fldChar w:fldCharType="end"/>
      </w:r>
    </w:p>
    <w:p w14:paraId="43FC77E2" w14:textId="56B531B9" w:rsidR="00677230" w:rsidRDefault="00B22903" w:rsidP="00B22903">
      <w:pPr>
        <w:pStyle w:val="Heading3"/>
      </w:pPr>
      <w:bookmarkStart w:id="107" w:name="_Toc40956506"/>
      <w:r>
        <w:t>Evidence statements</w:t>
      </w:r>
      <w:bookmarkEnd w:id="107"/>
    </w:p>
    <w:p w14:paraId="765A65FE" w14:textId="77777777" w:rsidR="00F10B5A" w:rsidRDefault="00F10B5A" w:rsidP="00B22903">
      <w:pPr>
        <w:pStyle w:val="Heading4"/>
      </w:pPr>
      <w:r>
        <w:t>Omega-3 fatty acids</w:t>
      </w:r>
    </w:p>
    <w:p w14:paraId="44FC7307" w14:textId="71C3E96E" w:rsidR="00D645E9" w:rsidRDefault="00F10B5A" w:rsidP="00B22903">
      <w:pPr>
        <w:keepNext/>
        <w:keepLines/>
      </w:pPr>
      <w:r>
        <w:t xml:space="preserve">There is high </w:t>
      </w:r>
      <w:r w:rsidR="00FB2A6C">
        <w:t>certainty</w:t>
      </w:r>
      <w:r>
        <w:t xml:space="preserve"> evidence that rates of preterm birth &lt;</w:t>
      </w:r>
      <w:r w:rsidRPr="00401D96">
        <w:t xml:space="preserve">37 </w:t>
      </w:r>
      <w:r>
        <w:t>weeks and early preterm birth &lt;</w:t>
      </w:r>
      <w:r w:rsidRPr="00401D96">
        <w:t xml:space="preserve">34 weeks </w:t>
      </w:r>
      <w:r>
        <w:t>are lower</w:t>
      </w:r>
      <w:r w:rsidRPr="00401D96">
        <w:t xml:space="preserve"> in women receiving omega-3 LCPUFA compared with no omega-3. </w:t>
      </w:r>
      <w:r>
        <w:t>There is moderate-</w:t>
      </w:r>
      <w:r w:rsidR="00FB2A6C">
        <w:t>certainty</w:t>
      </w:r>
      <w:r>
        <w:t xml:space="preserve"> evidence that prolonged pregnancy &gt;42 weeks is probably increased with omega-3 fatty acid supplementation. There is high </w:t>
      </w:r>
      <w:r w:rsidR="00FB2A6C">
        <w:t>certainty</w:t>
      </w:r>
      <w:r>
        <w:t xml:space="preserve"> evidence of a reduced risk of low birth weight and moderate </w:t>
      </w:r>
      <w:r w:rsidR="00FB2A6C">
        <w:t>certainty</w:t>
      </w:r>
      <w:r>
        <w:t xml:space="preserve"> evidence for a possible reduced </w:t>
      </w:r>
      <w:r w:rsidRPr="00401D96">
        <w:t>risk of perinatal death</w:t>
      </w:r>
      <w:r>
        <w:t>,</w:t>
      </w:r>
      <w:r w:rsidRPr="00401D96">
        <w:t xml:space="preserve"> neonatal care admission and </w:t>
      </w:r>
      <w:r>
        <w:t>a possible</w:t>
      </w:r>
      <w:r w:rsidRPr="00401D96">
        <w:t xml:space="preserve"> </w:t>
      </w:r>
      <w:r w:rsidR="00F770A5">
        <w:t>small increase in</w:t>
      </w:r>
      <w:r w:rsidRPr="00401D96">
        <w:t xml:space="preserve"> risk of </w:t>
      </w:r>
      <w:r w:rsidR="00F770A5">
        <w:t>large-for-gestational age</w:t>
      </w:r>
      <w:r w:rsidRPr="00401D96">
        <w:t xml:space="preserve"> babies with omega-3 LCPUFA.</w:t>
      </w:r>
    </w:p>
    <w:p w14:paraId="106B8081" w14:textId="7B132969" w:rsidR="00A00F48" w:rsidRDefault="00A00F48" w:rsidP="007D10A7">
      <w:pPr>
        <w:pStyle w:val="Heading4"/>
      </w:pPr>
      <w:r>
        <w:t>Probiotics</w:t>
      </w:r>
    </w:p>
    <w:p w14:paraId="072D9754" w14:textId="4F77F08F" w:rsidR="00A00F48" w:rsidRDefault="00A00F48" w:rsidP="00D645E9">
      <w:r>
        <w:t xml:space="preserve">There is low </w:t>
      </w:r>
      <w:r w:rsidR="00FB2A6C">
        <w:t>certainty</w:t>
      </w:r>
      <w:r>
        <w:t xml:space="preserve"> evidence that supplementation with probiotics may be associated with a possible reduction in caesarean section and very low </w:t>
      </w:r>
      <w:r w:rsidR="00FB2A6C">
        <w:t>certainty</w:t>
      </w:r>
      <w:r>
        <w:t xml:space="preserve"> evidence of </w:t>
      </w:r>
      <w:r w:rsidR="00407E96">
        <w:t xml:space="preserve">a reduction in Group B streptococcus colonisation and </w:t>
      </w:r>
      <w:r>
        <w:t xml:space="preserve">a possible reduction in risk of gestational diabetes. There is very low or low </w:t>
      </w:r>
      <w:r w:rsidR="00FB2A6C">
        <w:t>certainty</w:t>
      </w:r>
      <w:r>
        <w:t xml:space="preserve"> evidence that probiotic supplementation has no effect on gestational hypertension, pre-eclampsia, bacterial vaginosis, perinatal death, preterm birth, small for gestational age, large for gestational age or macrosomia.</w:t>
      </w:r>
    </w:p>
    <w:p w14:paraId="7F0077D9" w14:textId="1182EDFE" w:rsidR="007D10A7" w:rsidRDefault="007D10A7" w:rsidP="003A5260">
      <w:pPr>
        <w:pStyle w:val="Heading4"/>
      </w:pPr>
      <w:r>
        <w:t>Herbal preparations</w:t>
      </w:r>
    </w:p>
    <w:p w14:paraId="58EE60F7" w14:textId="77777777" w:rsidR="00CF7F9D" w:rsidRDefault="003A5260" w:rsidP="00D645E9">
      <w:r>
        <w:t xml:space="preserve">The evidence on the efficacy and safety of herbal preparations during pregnancy is limited. </w:t>
      </w:r>
    </w:p>
    <w:p w14:paraId="54145054" w14:textId="734B7385" w:rsidR="00CF7F9D" w:rsidRDefault="00CF7F9D" w:rsidP="00D645E9">
      <w:r>
        <w:t xml:space="preserve">There is moderate </w:t>
      </w:r>
      <w:r w:rsidR="00FB2A6C">
        <w:t>certainty</w:t>
      </w:r>
      <w:r>
        <w:t xml:space="preserve"> evidence that ginger reduces nausea, with a low risk of adverse effects. There is very low </w:t>
      </w:r>
      <w:r w:rsidR="00FB2A6C">
        <w:t>certainty</w:t>
      </w:r>
      <w:r>
        <w:t xml:space="preserve"> evidence that chamomile is also effective in reducing nausea.</w:t>
      </w:r>
    </w:p>
    <w:p w14:paraId="76E5190A" w14:textId="26B7BBD4" w:rsidR="00CF7F9D" w:rsidRDefault="00CF7F9D" w:rsidP="00D645E9">
      <w:r>
        <w:t xml:space="preserve">There is evidence from a systematic review that garlic may reduce gestational hypertension </w:t>
      </w:r>
      <w:r w:rsidR="00DB7BC1">
        <w:t>but does not have an effect on pre-eclampsia or caesarean section, with a high likelihood of experiencing odour.</w:t>
      </w:r>
    </w:p>
    <w:p w14:paraId="3BFDCEF8" w14:textId="75D0A503" w:rsidR="003A5260" w:rsidRPr="00D645E9" w:rsidRDefault="00962B92" w:rsidP="00D645E9">
      <w:r>
        <w:t>There is insufficient evidence on the ef</w:t>
      </w:r>
      <w:r w:rsidR="00EB2A18">
        <w:t>ficacy and safety of e</w:t>
      </w:r>
      <w:r>
        <w:t>chinacea and elderberry during pregnancy.</w:t>
      </w:r>
    </w:p>
    <w:p w14:paraId="1626956C" w14:textId="77777777" w:rsidR="0073200D" w:rsidRDefault="0073200D" w:rsidP="0073200D">
      <w:pPr>
        <w:pStyle w:val="Heading3"/>
        <w:sectPr w:rsidR="0073200D" w:rsidSect="008A6B17">
          <w:pgSz w:w="11901" w:h="16817"/>
          <w:pgMar w:top="1134" w:right="1418" w:bottom="1134" w:left="1418" w:header="709" w:footer="709" w:gutter="0"/>
          <w:cols w:space="708"/>
          <w:docGrid w:linePitch="360"/>
        </w:sectPr>
      </w:pPr>
    </w:p>
    <w:p w14:paraId="5C42B6DC" w14:textId="434055C1" w:rsidR="0073200D" w:rsidRDefault="0073200D" w:rsidP="0073200D">
      <w:pPr>
        <w:pStyle w:val="Heading3"/>
      </w:pPr>
      <w:bookmarkStart w:id="108" w:name="_Toc40956507"/>
      <w:r>
        <w:t>Evidence tables</w:t>
      </w:r>
      <w:bookmarkEnd w:id="108"/>
    </w:p>
    <w:p w14:paraId="2164BD3A" w14:textId="08EE1B10" w:rsidR="00400BBE" w:rsidRDefault="009C163D" w:rsidP="00BD61CC">
      <w:pPr>
        <w:pStyle w:val="TableName"/>
        <w:ind w:left="1134" w:hanging="1134"/>
      </w:pPr>
      <w:bookmarkStart w:id="109" w:name="_Toc40956637"/>
      <w:r>
        <w:t xml:space="preserve">Q4 </w:t>
      </w:r>
      <w:r w:rsidR="009F4D18">
        <w:t>Use</w:t>
      </w:r>
      <w:r w:rsidR="00400BBE">
        <w:t xml:space="preserve"> of herbal preparations during pregnancy</w:t>
      </w:r>
      <w:bookmarkEnd w:id="10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59: Q4 Use of herbal preparations during pregnancy"/>
      </w:tblPr>
      <w:tblGrid>
        <w:gridCol w:w="1564"/>
        <w:gridCol w:w="1417"/>
        <w:gridCol w:w="4532"/>
        <w:gridCol w:w="4536"/>
        <w:gridCol w:w="1843"/>
      </w:tblGrid>
      <w:tr w:rsidR="00400BBE" w:rsidRPr="00F350A6" w14:paraId="041859ED" w14:textId="77777777" w:rsidTr="002435C4">
        <w:trPr>
          <w:cantSplit/>
          <w:trHeight w:val="390"/>
          <w:tblHeader/>
        </w:trPr>
        <w:tc>
          <w:tcPr>
            <w:tcW w:w="1564" w:type="dxa"/>
          </w:tcPr>
          <w:p w14:paraId="729FC816" w14:textId="77777777" w:rsidR="00400BBE" w:rsidRPr="00F350A6" w:rsidRDefault="00400BBE" w:rsidP="00EE5BD4">
            <w:pPr>
              <w:keepNext/>
              <w:rPr>
                <w:b/>
              </w:rPr>
            </w:pPr>
            <w:r>
              <w:rPr>
                <w:b/>
              </w:rPr>
              <w:t>Study ref</w:t>
            </w:r>
          </w:p>
        </w:tc>
        <w:tc>
          <w:tcPr>
            <w:tcW w:w="1417" w:type="dxa"/>
          </w:tcPr>
          <w:p w14:paraId="76CBF46B" w14:textId="77777777" w:rsidR="00400BBE" w:rsidRPr="00F350A6" w:rsidRDefault="00400BBE" w:rsidP="00EE5BD4">
            <w:pPr>
              <w:keepNext/>
              <w:rPr>
                <w:b/>
              </w:rPr>
            </w:pPr>
            <w:r>
              <w:rPr>
                <w:b/>
              </w:rPr>
              <w:t>N</w:t>
            </w:r>
          </w:p>
        </w:tc>
        <w:tc>
          <w:tcPr>
            <w:tcW w:w="4532" w:type="dxa"/>
          </w:tcPr>
          <w:p w14:paraId="096C939A" w14:textId="77777777" w:rsidR="00400BBE" w:rsidRPr="00F350A6" w:rsidRDefault="00400BBE" w:rsidP="00EE5BD4">
            <w:pPr>
              <w:keepNext/>
              <w:rPr>
                <w:b/>
              </w:rPr>
            </w:pPr>
            <w:r>
              <w:rPr>
                <w:b/>
              </w:rPr>
              <w:t>Aim/methods</w:t>
            </w:r>
          </w:p>
        </w:tc>
        <w:tc>
          <w:tcPr>
            <w:tcW w:w="4536" w:type="dxa"/>
          </w:tcPr>
          <w:p w14:paraId="25672F9F" w14:textId="77777777" w:rsidR="00400BBE" w:rsidRPr="00F350A6" w:rsidRDefault="00400BBE" w:rsidP="00EE5BD4">
            <w:pPr>
              <w:keepNext/>
              <w:rPr>
                <w:b/>
              </w:rPr>
            </w:pPr>
            <w:r>
              <w:rPr>
                <w:b/>
              </w:rPr>
              <w:t>Results</w:t>
            </w:r>
          </w:p>
        </w:tc>
        <w:tc>
          <w:tcPr>
            <w:tcW w:w="1843" w:type="dxa"/>
          </w:tcPr>
          <w:p w14:paraId="029AB4D7" w14:textId="77777777" w:rsidR="00400BBE" w:rsidRPr="00F350A6" w:rsidRDefault="00400BBE" w:rsidP="00EE5BD4">
            <w:pPr>
              <w:keepNext/>
              <w:rPr>
                <w:b/>
              </w:rPr>
            </w:pPr>
            <w:r>
              <w:rPr>
                <w:b/>
              </w:rPr>
              <w:t>Comments</w:t>
            </w:r>
          </w:p>
        </w:tc>
      </w:tr>
      <w:tr w:rsidR="00FF1179" w:rsidRPr="00141F7B" w14:paraId="1C7A5587" w14:textId="77777777" w:rsidTr="009F4D18">
        <w:trPr>
          <w:cantSplit/>
          <w:trHeight w:val="390"/>
        </w:trPr>
        <w:tc>
          <w:tcPr>
            <w:tcW w:w="1564" w:type="dxa"/>
          </w:tcPr>
          <w:p w14:paraId="21C0BF53" w14:textId="64215323" w:rsidR="00FF1179" w:rsidRDefault="00FF1179" w:rsidP="003E2D58">
            <w:r>
              <w:t>Aalami-Harandi et al 2015</w:t>
            </w:r>
            <w:r>
              <w:fldChar w:fldCharType="begin">
                <w:fldData xml:space="preserve">PEVuZE5vdGU+PENpdGU+PEF1dGhvcj5BYWxhbWktSGFyYW5kaTwvQXV0aG9yPjxZZWFyPjIwMTU8
L1llYXI+PFJlY051bT4xMzMzPC9SZWNOdW0+PERpc3BsYXlUZXh0PjxzdHlsZSBmYWNlPSJzdXBl
cnNjcmlwdCIgZm9udD0iVHJlYnVjaGV0IE1TIiBzaXplPSI5Ij4yNTk8L3N0eWxlPjwvRGlzcGxh
eVRleHQ+PHJlY29yZD48cmVjLW51bWJlcj4xMzMzPC9yZWMtbnVtYmVyPjxmb3JlaWduLWtleXM+
PGtleSBhcHA9IkVOIiBkYi1pZD0iZXh2YXNyZngyZHRyYW9lc2FzeHAyc3pzeGEyZGY1MDI1OTJ4
IiB0aW1lc3RhbXA9IjE1NjcwMzA5MjgiPjEzMzM8L2tleT48a2V5IGFwcD0iRU5XZWIiIGRiLWlk
PSIiPjA8L2tleT48L2ZvcmVpZ24ta2V5cz48cmVmLXR5cGUgbmFtZT0iSm91cm5hbCBBcnRpY2xl
Ij4xNzwvcmVmLXR5cGU+PGNvbnRyaWJ1dG9ycz48YXV0aG9ycz48YXV0aG9yPkFhbGFtaS1IYXJh
bmRpLCBSLjwvYXV0aG9yPjxhdXRob3I+S2FyYW1hbGksIE0uPC9hdXRob3I+PGF1dGhvcj5Bc2Vt
aSwgWi48L2F1dGhvcj48L2F1dGhvcnM+PC9jb250cmlidXRvcnM+PGF1dGgtYWRkcmVzcz5hIERl
cGFydG1lbnQgb2YgR3luZWNvbG9neSBhbmQgT2JzdGV0cmljcyAsIFNjaG9vbCBvZiBNZWRpY2lu
ZSwgU2hhaGVlZCBCZWhlc2h0aSBVbml2ZXJzaXR5IG9mIE1lZGljYWwgU2NpZW5jZXMgLCBUZWhy
YW4gLCBJcmFuIC4mI3hEO2IgRGVwYXJ0bWVudCBvZiBHeW5lY29sb2d5IGFuZCBPYnN0ZXRyaWNz
ICwgU2Nob29sIG9mIE1lZGljaW5lLCBBcmFrIFVuaXZlcnNpdHkgb2YgTWVkaWNhbCBTY2llbmNl
cyAsIEFyYWsgLCBJcmFuICwgYW5kLiYjeEQ7YyBSZXNlYXJjaCBDZW50ZXIgZm9yIEJpb2NoZW1p
c3RyeSBhbmQgTnV0cml0aW9uIGluIE1ldGFib2xpYyBEaXNlYXNlcywgS2FzaGFuIFVuaXZlcnNp
dHkgb2YgTWVkaWNhbCBTY2llbmNlcyAsIEthc2hhbiAsIElyYW4uPC9hdXRoLWFkZHJlc3M+PHRp
dGxlcz48dGl0bGU+VGhlIGZhdm9yYWJsZSBlZmZlY3RzIG9mIGdhcmxpYyBpbnRha2Ugb24gbWV0
YWJvbGljIHByb2ZpbGVzLCBocy1DUlAsIGJpb21hcmtlcnMgb2Ygb3hpZGF0aXZlIHN0cmVzcyBh
bmQgcHJlZ25hbmN5IG91dGNvbWVzIGluIHByZWduYW50IHdvbWVuIGF0IHJpc2sgZm9yIHByZS1l
Y2xhbXBzaWE6IHJhbmRvbWl6ZWQsIGRvdWJsZS1ibGluZCwgcGxhY2Viby1jb250cm9sbGVkIHRy
aWFsPC90aXRsZT48c2Vjb25kYXJ5LXRpdGxlPkogTWF0ZXJuIEZldGFsIE5lb25hdGFsIE1lZDwv
c2Vjb25kYXJ5LXRpdGxlPjwvdGl0bGVzPjxwZXJpb2RpY2FsPjxmdWxsLXRpdGxlPkogTWF0ZXJu
IEZldGFsIE5lb25hdGFsIE1lZDwvZnVsbC10aXRsZT48L3BlcmlvZGljYWw+PHBhZ2VzPjIwMjAt
NzwvcGFnZXM+PHZvbHVtZT4yODwvdm9sdW1lPjxudW1iZXI+MTc8L251bWJlcj48ZWRpdGlvbj4y
MDE0LzEwLzE2PC9lZGl0aW9uPjxrZXl3b3Jkcz48a2V5d29yZD5BZG9sZXNjZW50PC9rZXl3b3Jk
PjxrZXl3b3JkPkFkdWx0PC9rZXl3b3JkPjxrZXl3b3JkPkJpb21hcmtlcnMvKmJsb29kPC9rZXl3
b3JkPjxrZXl3b3JkPkJsb29kIEdsdWNvc2UvYW5hbHlzaXM8L2tleXdvcmQ+PGtleXdvcmQ+Qy1S
ZWFjdGl2ZSBQcm90ZWluL2FuYWx5c2lzPC9rZXl3b3JkPjxrZXl3b3JkPipEaWV0PC9rZXl3b3Jk
PjxrZXl3b3JkPkRvdWJsZS1CbGluZCBNZXRob2Q8L2tleXdvcmQ+PGtleXdvcmQ+RmFzdGluZzwv
a2V5d29yZD48a2V5d29yZD5GZW1hbGU8L2tleXdvcmQ+PGtleXdvcmQ+KkdhcmxpYzwva2V5d29y
ZD48a2V5d29yZD5HbHV0YXRoaW9uZS9ibG9vZDwva2V5d29yZD48a2V5d29yZD5IdW1hbnM8L2tl
eXdvcmQ+PGtleXdvcmQ+SW5zdWxpbi9ibG9vZDwva2V5d29yZD48a2V5d29yZD5JbnN1bGluIFJl
c2lzdGFuY2U8L2tleXdvcmQ+PGtleXdvcmQ+SXJhbjwva2V5d29yZD48a2V5d29yZD5NZXRhYm9s
b21lPC9rZXl3b3JkPjxrZXl3b3JkPk94aWRhdGl2ZSBTdHJlc3M8L2tleXdvcmQ+PGtleXdvcmQ+
UGh5dG90aGVyYXB5PC9rZXl3b3JkPjxrZXl3b3JkPlBsYWNlYm9zPC9rZXl3b3JkPjxrZXl3b3Jk
PlByZS1FY2xhbXBzaWEvYmxvb2QvKnByZXZlbnRpb24gJmFtcDsgY29udHJvbDwva2V5d29yZD48
a2V5d29yZD5QcmVnbmFuY3k8L2tleXdvcmQ+PGtleXdvcmQ+UHJlZ25hbmN5IE91dGNvbWU8L2tl
eXdvcmQ+PGtleXdvcmQ+UHJlZ25hbmN5LCBIaWdoLVJpc2svKmJsb29kPC9rZXl3b3JkPjxrZXl3
b3JkPllvdW5nIEFkdWx0PC9rZXl3b3JkPjxrZXl3b3JkPkdhcmxpYzwva2V5d29yZD48a2V5d29y
ZD5ocy1DUlA8L2tleXdvcmQ+PGtleXdvcmQ+bWV0YWJvbGljIHByb2ZpbGVzPC9rZXl3b3JkPjxr
ZXl3b3JkPnByZWduYW5jeSBvdXRjb21lczwva2V5d29yZD48L2tleXdvcmRzPjxkYXRlcz48eWVh
cj4yMDE1PC95ZWFyPjwvZGF0ZXM+PGlzYm4+MTQ3Ni00OTU0IChFbGVjdHJvbmljKSYjeEQ7MTQ3
Ni00OTU0IChMaW5raW5nKTwvaXNibj48YWNjZXNzaW9uLW51bT4yNTMxNjU1OTwvYWNjZXNzaW9u
LW51bT48dXJscz48cmVsYXRlZC11cmxzPjx1cmw+aHR0cHM6Ly93d3cubmNiaS5ubG0ubmloLmdv
di9wdWJtZWQvMjUzMTY1NTk8L3VybD48L3JlbGF0ZWQtdXJscz48L3VybHM+PGVsZWN0cm9uaWMt
cmVzb3VyY2UtbnVtPjEwLjMxMDkvMTQ3NjcwNTguMjAxNC45NzcyNDg8L2VsZWN0cm9uaWMtcmVz
b3VyY2UtbnVtPjwvcmVjb3JkPjwvQ2l0ZT48L0VuZE5vdGU+AG==
</w:fldData>
              </w:fldChar>
            </w:r>
            <w:r w:rsidR="002747EA">
              <w:instrText xml:space="preserve"> ADDIN EN.CITE </w:instrText>
            </w:r>
            <w:r w:rsidR="002747EA">
              <w:fldChar w:fldCharType="begin">
                <w:fldData xml:space="preserve">PEVuZE5vdGU+PENpdGU+PEF1dGhvcj5BYWxhbWktSGFyYW5kaTwvQXV0aG9yPjxZZWFyPjIwMTU8
L1llYXI+PFJlY051bT4xMzMzPC9SZWNOdW0+PERpc3BsYXlUZXh0PjxzdHlsZSBmYWNlPSJzdXBl
cnNjcmlwdCIgZm9udD0iVHJlYnVjaGV0IE1TIiBzaXplPSI5Ij4yNTk8L3N0eWxlPjwvRGlzcGxh
eVRleHQ+PHJlY29yZD48cmVjLW51bWJlcj4xMzMzPC9yZWMtbnVtYmVyPjxmb3JlaWduLWtleXM+
PGtleSBhcHA9IkVOIiBkYi1pZD0iZXh2YXNyZngyZHRyYW9lc2FzeHAyc3pzeGEyZGY1MDI1OTJ4
IiB0aW1lc3RhbXA9IjE1NjcwMzA5MjgiPjEzMzM8L2tleT48a2V5IGFwcD0iRU5XZWIiIGRiLWlk
PSIiPjA8L2tleT48L2ZvcmVpZ24ta2V5cz48cmVmLXR5cGUgbmFtZT0iSm91cm5hbCBBcnRpY2xl
Ij4xNzwvcmVmLXR5cGU+PGNvbnRyaWJ1dG9ycz48YXV0aG9ycz48YXV0aG9yPkFhbGFtaS1IYXJh
bmRpLCBSLjwvYXV0aG9yPjxhdXRob3I+S2FyYW1hbGksIE0uPC9hdXRob3I+PGF1dGhvcj5Bc2Vt
aSwgWi48L2F1dGhvcj48L2F1dGhvcnM+PC9jb250cmlidXRvcnM+PGF1dGgtYWRkcmVzcz5hIERl
cGFydG1lbnQgb2YgR3luZWNvbG9neSBhbmQgT2JzdGV0cmljcyAsIFNjaG9vbCBvZiBNZWRpY2lu
ZSwgU2hhaGVlZCBCZWhlc2h0aSBVbml2ZXJzaXR5IG9mIE1lZGljYWwgU2NpZW5jZXMgLCBUZWhy
YW4gLCBJcmFuIC4mI3hEO2IgRGVwYXJ0bWVudCBvZiBHeW5lY29sb2d5IGFuZCBPYnN0ZXRyaWNz
ICwgU2Nob29sIG9mIE1lZGljaW5lLCBBcmFrIFVuaXZlcnNpdHkgb2YgTWVkaWNhbCBTY2llbmNl
cyAsIEFyYWsgLCBJcmFuICwgYW5kLiYjeEQ7YyBSZXNlYXJjaCBDZW50ZXIgZm9yIEJpb2NoZW1p
c3RyeSBhbmQgTnV0cml0aW9uIGluIE1ldGFib2xpYyBEaXNlYXNlcywgS2FzaGFuIFVuaXZlcnNp
dHkgb2YgTWVkaWNhbCBTY2llbmNlcyAsIEthc2hhbiAsIElyYW4uPC9hdXRoLWFkZHJlc3M+PHRp
dGxlcz48dGl0bGU+VGhlIGZhdm9yYWJsZSBlZmZlY3RzIG9mIGdhcmxpYyBpbnRha2Ugb24gbWV0
YWJvbGljIHByb2ZpbGVzLCBocy1DUlAsIGJpb21hcmtlcnMgb2Ygb3hpZGF0aXZlIHN0cmVzcyBh
bmQgcHJlZ25hbmN5IG91dGNvbWVzIGluIHByZWduYW50IHdvbWVuIGF0IHJpc2sgZm9yIHByZS1l
Y2xhbXBzaWE6IHJhbmRvbWl6ZWQsIGRvdWJsZS1ibGluZCwgcGxhY2Viby1jb250cm9sbGVkIHRy
aWFsPC90aXRsZT48c2Vjb25kYXJ5LXRpdGxlPkogTWF0ZXJuIEZldGFsIE5lb25hdGFsIE1lZDwv
c2Vjb25kYXJ5LXRpdGxlPjwvdGl0bGVzPjxwZXJpb2RpY2FsPjxmdWxsLXRpdGxlPkogTWF0ZXJu
IEZldGFsIE5lb25hdGFsIE1lZDwvZnVsbC10aXRsZT48L3BlcmlvZGljYWw+PHBhZ2VzPjIwMjAt
NzwvcGFnZXM+PHZvbHVtZT4yODwvdm9sdW1lPjxudW1iZXI+MTc8L251bWJlcj48ZWRpdGlvbj4y
MDE0LzEwLzE2PC9lZGl0aW9uPjxrZXl3b3Jkcz48a2V5d29yZD5BZG9sZXNjZW50PC9rZXl3b3Jk
PjxrZXl3b3JkPkFkdWx0PC9rZXl3b3JkPjxrZXl3b3JkPkJpb21hcmtlcnMvKmJsb29kPC9rZXl3
b3JkPjxrZXl3b3JkPkJsb29kIEdsdWNvc2UvYW5hbHlzaXM8L2tleXdvcmQ+PGtleXdvcmQ+Qy1S
ZWFjdGl2ZSBQcm90ZWluL2FuYWx5c2lzPC9rZXl3b3JkPjxrZXl3b3JkPipEaWV0PC9rZXl3b3Jk
PjxrZXl3b3JkPkRvdWJsZS1CbGluZCBNZXRob2Q8L2tleXdvcmQ+PGtleXdvcmQ+RmFzdGluZzwv
a2V5d29yZD48a2V5d29yZD5GZW1hbGU8L2tleXdvcmQ+PGtleXdvcmQ+KkdhcmxpYzwva2V5d29y
ZD48a2V5d29yZD5HbHV0YXRoaW9uZS9ibG9vZDwva2V5d29yZD48a2V5d29yZD5IdW1hbnM8L2tl
eXdvcmQ+PGtleXdvcmQ+SW5zdWxpbi9ibG9vZDwva2V5d29yZD48a2V5d29yZD5JbnN1bGluIFJl
c2lzdGFuY2U8L2tleXdvcmQ+PGtleXdvcmQ+SXJhbjwva2V5d29yZD48a2V5d29yZD5NZXRhYm9s
b21lPC9rZXl3b3JkPjxrZXl3b3JkPk94aWRhdGl2ZSBTdHJlc3M8L2tleXdvcmQ+PGtleXdvcmQ+
UGh5dG90aGVyYXB5PC9rZXl3b3JkPjxrZXl3b3JkPlBsYWNlYm9zPC9rZXl3b3JkPjxrZXl3b3Jk
PlByZS1FY2xhbXBzaWEvYmxvb2QvKnByZXZlbnRpb24gJmFtcDsgY29udHJvbDwva2V5d29yZD48
a2V5d29yZD5QcmVnbmFuY3k8L2tleXdvcmQ+PGtleXdvcmQ+UHJlZ25hbmN5IE91dGNvbWU8L2tl
eXdvcmQ+PGtleXdvcmQ+UHJlZ25hbmN5LCBIaWdoLVJpc2svKmJsb29kPC9rZXl3b3JkPjxrZXl3
b3JkPllvdW5nIEFkdWx0PC9rZXl3b3JkPjxrZXl3b3JkPkdhcmxpYzwva2V5d29yZD48a2V5d29y
ZD5ocy1DUlA8L2tleXdvcmQ+PGtleXdvcmQ+bWV0YWJvbGljIHByb2ZpbGVzPC9rZXl3b3JkPjxr
ZXl3b3JkPnByZWduYW5jeSBvdXRjb21lczwva2V5d29yZD48L2tleXdvcmRzPjxkYXRlcz48eWVh
cj4yMDE1PC95ZWFyPjwvZGF0ZXM+PGlzYm4+MTQ3Ni00OTU0IChFbGVjdHJvbmljKSYjeEQ7MTQ3
Ni00OTU0IChMaW5raW5nKTwvaXNibj48YWNjZXNzaW9uLW51bT4yNTMxNjU1OTwvYWNjZXNzaW9u
LW51bT48dXJscz48cmVsYXRlZC11cmxzPjx1cmw+aHR0cHM6Ly93d3cubmNiaS5ubG0ubmloLmdv
di9wdWJtZWQvMjUzMTY1NTk8L3VybD48L3JlbGF0ZWQtdXJscz48L3VybHM+PGVsZWN0cm9uaWMt
cmVzb3VyY2UtbnVtPjEwLjMxMDkvMTQ3NjcwNTguMjAxNC45NzcyNDg8L2VsZWN0cm9uaWMtcmVz
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259</w:t>
            </w:r>
            <w:r>
              <w:fldChar w:fldCharType="end"/>
            </w:r>
          </w:p>
          <w:p w14:paraId="7A78905E" w14:textId="77777777" w:rsidR="00FF1179" w:rsidRDefault="00FF1179" w:rsidP="003E2D58">
            <w:r>
              <w:t>Iran</w:t>
            </w:r>
          </w:p>
          <w:p w14:paraId="7E474F58" w14:textId="77777777" w:rsidR="00FF1179" w:rsidRPr="00141F7B" w:rsidRDefault="00FF1179" w:rsidP="003E2D58">
            <w:r>
              <w:t>RCT</w:t>
            </w:r>
          </w:p>
        </w:tc>
        <w:tc>
          <w:tcPr>
            <w:tcW w:w="1417" w:type="dxa"/>
          </w:tcPr>
          <w:p w14:paraId="10BBE413" w14:textId="77777777" w:rsidR="00FF1179" w:rsidRDefault="00FF1179" w:rsidP="003E2D58">
            <w:r>
              <w:t>Intervention 22</w:t>
            </w:r>
          </w:p>
          <w:p w14:paraId="13295F2F" w14:textId="77777777" w:rsidR="00FF1179" w:rsidRPr="00141F7B" w:rsidRDefault="00FF1179" w:rsidP="003E2D58">
            <w:r>
              <w:t>Control 22</w:t>
            </w:r>
          </w:p>
        </w:tc>
        <w:tc>
          <w:tcPr>
            <w:tcW w:w="4532" w:type="dxa"/>
          </w:tcPr>
          <w:p w14:paraId="35353CFB" w14:textId="77777777" w:rsidR="00FF1179" w:rsidRDefault="00FF1179" w:rsidP="003E2D58">
            <w:r w:rsidRPr="00A96512">
              <w:rPr>
                <w:b/>
              </w:rPr>
              <w:t>Aim</w:t>
            </w:r>
            <w:r>
              <w:t>: T</w:t>
            </w:r>
            <w:r w:rsidRPr="00141F7B">
              <w:t>o determine the favo</w:t>
            </w:r>
            <w:r>
              <w:t>u</w:t>
            </w:r>
            <w:r w:rsidRPr="00141F7B">
              <w:t xml:space="preserve">rable effects of garlic on metabolic status and pregnancy outcomes among pregnant women at risk for pre-eclampsia. </w:t>
            </w:r>
          </w:p>
          <w:p w14:paraId="567137C8" w14:textId="77777777" w:rsidR="00FF1179" w:rsidRPr="00141F7B" w:rsidRDefault="00FF1179" w:rsidP="003E2D58">
            <w:r w:rsidRPr="00A96512">
              <w:rPr>
                <w:b/>
              </w:rPr>
              <w:t>Methods</w:t>
            </w:r>
            <w:r w:rsidRPr="00141F7B">
              <w:t xml:space="preserve">: Participants were randomly assigned </w:t>
            </w:r>
            <w:r>
              <w:t xml:space="preserve">at 27 weeks gestation </w:t>
            </w:r>
            <w:r w:rsidRPr="00141F7B">
              <w:t>to receive either one garlic tablet (equal to 400 mg garlic and 1 mg allicin) (n</w:t>
            </w:r>
            <w:r>
              <w:t>=</w:t>
            </w:r>
            <w:r w:rsidRPr="00141F7B">
              <w:t>22) or placebo (n</w:t>
            </w:r>
            <w:r>
              <w:t>=</w:t>
            </w:r>
            <w:r w:rsidRPr="00141F7B">
              <w:t xml:space="preserve">22) once daily for 9 weeks. Fasting blood samples were taken at baseline and after 9 weeks' intervention to measure metabolic profiles and biomarkers of oxidative stress. </w:t>
            </w:r>
            <w:r w:rsidRPr="00D52409">
              <w:t xml:space="preserve">Results were narratively synthesised; planned meta-analysis was not possible due to heterogeneity and incomplete reporting. A simple economic evaluation considered the implied values of treatments. </w:t>
            </w:r>
          </w:p>
        </w:tc>
        <w:tc>
          <w:tcPr>
            <w:tcW w:w="4536" w:type="dxa"/>
          </w:tcPr>
          <w:p w14:paraId="5075E240" w14:textId="77777777" w:rsidR="00FF1179" w:rsidRDefault="00FF1179" w:rsidP="003E2D58">
            <w:r>
              <w:t>Garlic vs control:</w:t>
            </w:r>
          </w:p>
          <w:p w14:paraId="55758EFC" w14:textId="77777777" w:rsidR="00FF1179" w:rsidRDefault="00FF1179" w:rsidP="003E2D58">
            <w:pPr>
              <w:pStyle w:val="bullet"/>
            </w:pPr>
            <w:r>
              <w:t>Caesarean section: 11/25 (44.0%) vs 13/25 (52.0%); p=0.57</w:t>
            </w:r>
          </w:p>
          <w:p w14:paraId="19FB3C4E" w14:textId="77777777" w:rsidR="00FF1179" w:rsidRDefault="00FF1179" w:rsidP="003E2D58">
            <w:pPr>
              <w:pStyle w:val="bullet"/>
            </w:pPr>
            <w:r>
              <w:t>Gestational diabetes: 0/25 vs 1/25 (4.0%); p=0.31</w:t>
            </w:r>
          </w:p>
          <w:p w14:paraId="56453F3F" w14:textId="77777777" w:rsidR="00FF1179" w:rsidRDefault="00FF1179" w:rsidP="003E2D58">
            <w:pPr>
              <w:pStyle w:val="bullet"/>
            </w:pPr>
            <w:r>
              <w:t>Severe pre-eclampsia: 0/25 vs 1/25 (4.0%); p=0.31</w:t>
            </w:r>
          </w:p>
          <w:p w14:paraId="39983598" w14:textId="77777777" w:rsidR="00FF1179" w:rsidRDefault="00FF1179" w:rsidP="003E2D58">
            <w:pPr>
              <w:pStyle w:val="bullet"/>
            </w:pPr>
            <w:r>
              <w:t>Mild pre-eclampsia: 1/25 (4.0%) vs 3/25 (12.0%); p=0.29</w:t>
            </w:r>
          </w:p>
          <w:p w14:paraId="1F4CDCAA" w14:textId="77777777" w:rsidR="00FF1179" w:rsidRPr="00141F7B" w:rsidRDefault="00FF1179" w:rsidP="003E2D58">
            <w:r>
              <w:t>No adverse effects were reported.</w:t>
            </w:r>
          </w:p>
        </w:tc>
        <w:tc>
          <w:tcPr>
            <w:tcW w:w="1843" w:type="dxa"/>
          </w:tcPr>
          <w:p w14:paraId="62BA346E" w14:textId="77777777" w:rsidR="00FF1179" w:rsidRPr="00141F7B" w:rsidRDefault="00FF1179" w:rsidP="003E2D58"/>
        </w:tc>
      </w:tr>
      <w:tr w:rsidR="00FF1179" w:rsidRPr="00141F7B" w14:paraId="4672939A" w14:textId="77777777" w:rsidTr="009F4D18">
        <w:trPr>
          <w:cantSplit/>
          <w:trHeight w:val="390"/>
        </w:trPr>
        <w:tc>
          <w:tcPr>
            <w:tcW w:w="1564" w:type="dxa"/>
          </w:tcPr>
          <w:p w14:paraId="1C2FCF4C" w14:textId="3DCA01C6" w:rsidR="00FF1179" w:rsidRDefault="00FF1179" w:rsidP="003E2D58">
            <w:r>
              <w:t>Heitman et al 2016</w:t>
            </w:r>
            <w:r>
              <w:fldChar w:fldCharType="begin">
                <w:fldData xml:space="preserve">PEVuZE5vdGU+PENpdGU+PEF1dGhvcj5IZWl0bWFubjwvQXV0aG9yPjxZZWFyPjIwMTY8L1llYXI+
PFJlY051bT4xNTU4PC9SZWNOdW0+PERpc3BsYXlUZXh0PjxzdHlsZSBmYWNlPSJzdXBlcnNjcmlw
dCIgZm9udD0iVHJlYnVjaGV0IE1TIiBzaXplPSI5Ij4yNjE8L3N0eWxlPjwvRGlzcGxheVRleHQ+
PHJlY29yZD48cmVjLW51bWJlcj4xNTU4PC9yZWMtbnVtYmVyPjxmb3JlaWduLWtleXM+PGtleSBh
cHA9IkVOIiBkYi1pZD0iZXh2YXNyZngyZHRyYW9lc2FzeHAyc3pzeGEyZGY1MDI1OTJ4IiB0aW1l
c3RhbXA9IjE1NzY1MzYyNTQiPjE1NTg8L2tleT48a2V5IGFwcD0iRU5XZWIiIGRiLWlkPSIiPjA8
L2tleT48L2ZvcmVpZ24ta2V5cz48cmVmLXR5cGUgbmFtZT0iSm91cm5hbCBBcnRpY2xlIj4xNzwv
cmVmLXR5cGU+PGNvbnRyaWJ1dG9ycz48YXV0aG9ycz48YXV0aG9yPkhlaXRtYW5uLCBLLjwvYXV0
aG9yPjxhdXRob3I+SGF2bmVuLCBHLiBDLjwvYXV0aG9yPjxhdXRob3I+SG9sc3QsIEwuPC9hdXRo
b3I+PGF1dGhvcj5Ob3JkZW5nLCBILjwvYXV0aG9yPjwvYXV0aG9ycz48L2NvbnRyaWJ1dG9ycz48
YXV0aC1hZGRyZXNzPkRlcGFydG1lbnQgb2YgR2xvYmFsIFB1YmxpYyBIZWFsdGggYW5kIFByaW1h
cnkgQ2FyZSBhbmQgQ2VudHJlIGZvciBQaGFybWFjeSwgRmFjdWx0eSBvZiBNZWRpY2luZSBhbmQg
RGVudGlzdHJ5LCBVbml2ZXJzaXR5IG9mIEJlcmdlbiwgUC5PLiBCb3ggNzgwNCwgNTAyMCwgQmVy
Z2VuLCBOb3J3YXkuIGtyaXN0aW5lLmhlaXRtYW5uQGlncy51aWIubm8uJiN4RDtSZWdpb25hbCBN
ZWRpY2luZXMgSW5mb3JtYXRpb24gYW5kIFBoYXJtYWNvdmlnaWxhbmNlIENlbnRyZSAoUkVMSVMp
LCBPc2xvIFVuaXZlcnNpdHkgSG9zcGl0YWwsIE9zbG8sIE5vcndheS4mI3hEO0RlcGFydG1lbnQg
b2YgR2xvYmFsIFB1YmxpYyBIZWFsdGggYW5kIFByaW1hcnkgQ2FyZSBhbmQgQ2VudHJlIGZvciBQ
aGFybWFjeSwgRmFjdWx0eSBvZiBNZWRpY2luZSBhbmQgRGVudGlzdHJ5LCBVbml2ZXJzaXR5IG9m
IEJlcmdlbiwgUC5PLiBCb3ggNzgwNCwgNTAyMCwgQmVyZ2VuLCBOb3J3YXkuJiN4RDtQaGFybWFj
b0VwaWRlbWlvbG9neSBhbmQgRHJ1ZyBTYWZldHkgUmVzZWFyY2ggR3JvdXAsIERlcGFydG1lbnQg
b2YgUGhhcm1hY3ksIFNjaG9vbCBvZiBQaGFybWFjeSwgVW5pdmVyc2l0eSBvZiBPc2xvLCBPc2xv
LCBOb3J3YXkuJiN4RDtEaXZpc2lvbiBvZiBNZW50YWwgSGVhbHRoLCBOb3J3ZWdpYW4gSW5zdGl0
dXRlIG9mIFB1YmxpYyBIZWFsdGgsIE9zbG8sIE5vcndheS48L2F1dGgtYWRkcmVzcz48dGl0bGVz
Pjx0aXRsZT5QcmVnbmFuY3kgb3V0Y29tZXMgYWZ0ZXIgcHJlbmF0YWwgZXhwb3N1cmUgdG8gZWNo
aW5hY2VhOiB0aGUgTm9yd2VnaWFuIE1vdGhlciBhbmQgQ2hpbGQgQ29ob3J0IFN0dWR5PC90aXRs
ZT48c2Vjb25kYXJ5LXRpdGxlPkV1ciBKIENsaW4gUGhhcm1hY29sPC9zZWNvbmRhcnktdGl0bGU+
PC90aXRsZXM+PHBlcmlvZGljYWw+PGZ1bGwtdGl0bGU+RXVyIEogQ2xpbiBQaGFybWFjb2w8L2Z1
bGwtdGl0bGU+PC9wZXJpb2RpY2FsPjxwYWdlcz42MjMtMzA8L3BhZ2VzPjx2b2x1bWU+NzI8L3Zv
bHVtZT48bnVtYmVyPjU8L251bWJlcj48ZWRpdGlvbj4yMDE2LzAyLzIwPC9lZGl0aW9uPjxrZXl3
b3Jkcz48a2V5d29yZD5BZHVsdDwva2V5d29yZD48a2V5d29yZD5Db2hvcnQgU3R1ZGllczwva2V5
d29yZD48a2V5d29yZD4qRWNoaW5hY2VhPC9rZXl3b3JkPjxrZXl3b3JkPkZlbWFsZTwva2V5d29y
ZD48a2V5d29yZD5IdW1hbnM8L2tleXdvcmQ+PGtleXdvcmQ+TWF0ZXJuYWwtRmV0YWwgRXhjaGFu
Z2U8L2tleXdvcmQ+PGtleXdvcmQ+Tm9yd2F5L2VwaWRlbWlvbG9neTwva2V5d29yZD48a2V5d29y
ZD5PZGRzIFJhdGlvPC9rZXl3b3JkPjxrZXl3b3JkPlBsYW50IFByZXBhcmF0aW9ucy8qdGhlcmFw
ZXV0aWMgdXNlPC9rZXl3b3JkPjxrZXl3b3JkPlByZWduYW5jeTwva2V5d29yZD48a2V5d29yZD5Q
cmVnbmFuY3kgT3V0Y29tZS8qZXBpZGVtaW9sb2d5PC9rZXl3b3JkPjxrZXl3b3JkPlByZW5hdGFs
IEV4cG9zdXJlIERlbGF5ZWQgRWZmZWN0cy9lcGlkZW1pb2xvZ3k8L2tleXdvcmQ+PGtleXdvcmQ+
U3VydmV5cyBhbmQgUXVlc3Rpb25uYWlyZXM8L2tleXdvcmQ+PGtleXdvcmQ+WW91bmcgQWR1bHQ8
L2tleXdvcmQ+PGtleXdvcmQ+RWNoaW5hY2VhPC9rZXl3b3JkPjxrZXl3b3JkPkhlcmJhbCBtZWRp
Y2luZTwva2V5d29yZD48a2V5d29yZD5Nb0JhPC9rZXl3b3JkPjwva2V5d29yZHM+PGRhdGVzPjx5
ZWFyPjIwMTY8L3llYXI+PHB1Yi1kYXRlcz48ZGF0ZT5NYXk8L2RhdGU+PC9wdWItZGF0ZXM+PC9k
YXRlcz48aXNibj4xNDMyLTEwNDEgKEVsZWN0cm9uaWMpJiN4RDswMDMxLTY5NzAgKExpbmtpbmcp
PC9pc2JuPjxhY2Nlc3Npb24tbnVtPjI2ODk1MjIzPC9hY2Nlc3Npb24tbnVtPjx1cmxzPjxyZWxh
dGVkLXVybHM+PHVybD5odHRwczovL3d3dy5uY2JpLm5sbS5uaWguZ292L3B1Ym1lZC8yNjg5NTIy
MzwvdXJsPjwvcmVsYXRlZC11cmxzPjwvdXJscz48ZWxlY3Ryb25pYy1yZXNvdXJjZS1udW0+MTAu
MTAwNy9zMDAyMjgtMDE2LTIwMjEtNTwvZWxlY3Ryb25pYy1yZXNvdXJjZS1udW0+PC9yZWNvcmQ+
PC9DaXRlPjwvRW5kTm90ZT4A
</w:fldData>
              </w:fldChar>
            </w:r>
            <w:r w:rsidR="002747EA">
              <w:instrText xml:space="preserve"> ADDIN EN.CITE </w:instrText>
            </w:r>
            <w:r w:rsidR="002747EA">
              <w:fldChar w:fldCharType="begin">
                <w:fldData xml:space="preserve">PEVuZE5vdGU+PENpdGU+PEF1dGhvcj5IZWl0bWFubjwvQXV0aG9yPjxZZWFyPjIwMTY8L1llYXI+
PFJlY051bT4xNTU4PC9SZWNOdW0+PERpc3BsYXlUZXh0PjxzdHlsZSBmYWNlPSJzdXBlcnNjcmlw
dCIgZm9udD0iVHJlYnVjaGV0IE1TIiBzaXplPSI5Ij4yNjE8L3N0eWxlPjwvRGlzcGxheVRleHQ+
PHJlY29yZD48cmVjLW51bWJlcj4xNTU4PC9yZWMtbnVtYmVyPjxmb3JlaWduLWtleXM+PGtleSBh
cHA9IkVOIiBkYi1pZD0iZXh2YXNyZngyZHRyYW9lc2FzeHAyc3pzeGEyZGY1MDI1OTJ4IiB0aW1l
c3RhbXA9IjE1NzY1MzYyNTQiPjE1NTg8L2tleT48a2V5IGFwcD0iRU5XZWIiIGRiLWlkPSIiPjA8
L2tleT48L2ZvcmVpZ24ta2V5cz48cmVmLXR5cGUgbmFtZT0iSm91cm5hbCBBcnRpY2xlIj4xNzwv
cmVmLXR5cGU+PGNvbnRyaWJ1dG9ycz48YXV0aG9ycz48YXV0aG9yPkhlaXRtYW5uLCBLLjwvYXV0
aG9yPjxhdXRob3I+SGF2bmVuLCBHLiBDLjwvYXV0aG9yPjxhdXRob3I+SG9sc3QsIEwuPC9hdXRo
b3I+PGF1dGhvcj5Ob3JkZW5nLCBILjwvYXV0aG9yPjwvYXV0aG9ycz48L2NvbnRyaWJ1dG9ycz48
YXV0aC1hZGRyZXNzPkRlcGFydG1lbnQgb2YgR2xvYmFsIFB1YmxpYyBIZWFsdGggYW5kIFByaW1h
cnkgQ2FyZSBhbmQgQ2VudHJlIGZvciBQaGFybWFjeSwgRmFjdWx0eSBvZiBNZWRpY2luZSBhbmQg
RGVudGlzdHJ5LCBVbml2ZXJzaXR5IG9mIEJlcmdlbiwgUC5PLiBCb3ggNzgwNCwgNTAyMCwgQmVy
Z2VuLCBOb3J3YXkuIGtyaXN0aW5lLmhlaXRtYW5uQGlncy51aWIubm8uJiN4RDtSZWdpb25hbCBN
ZWRpY2luZXMgSW5mb3JtYXRpb24gYW5kIFBoYXJtYWNvdmlnaWxhbmNlIENlbnRyZSAoUkVMSVMp
LCBPc2xvIFVuaXZlcnNpdHkgSG9zcGl0YWwsIE9zbG8sIE5vcndheS4mI3hEO0RlcGFydG1lbnQg
b2YgR2xvYmFsIFB1YmxpYyBIZWFsdGggYW5kIFByaW1hcnkgQ2FyZSBhbmQgQ2VudHJlIGZvciBQ
aGFybWFjeSwgRmFjdWx0eSBvZiBNZWRpY2luZSBhbmQgRGVudGlzdHJ5LCBVbml2ZXJzaXR5IG9m
IEJlcmdlbiwgUC5PLiBCb3ggNzgwNCwgNTAyMCwgQmVyZ2VuLCBOb3J3YXkuJiN4RDtQaGFybWFj
b0VwaWRlbWlvbG9neSBhbmQgRHJ1ZyBTYWZldHkgUmVzZWFyY2ggR3JvdXAsIERlcGFydG1lbnQg
b2YgUGhhcm1hY3ksIFNjaG9vbCBvZiBQaGFybWFjeSwgVW5pdmVyc2l0eSBvZiBPc2xvLCBPc2xv
LCBOb3J3YXkuJiN4RDtEaXZpc2lvbiBvZiBNZW50YWwgSGVhbHRoLCBOb3J3ZWdpYW4gSW5zdGl0
dXRlIG9mIFB1YmxpYyBIZWFsdGgsIE9zbG8sIE5vcndheS48L2F1dGgtYWRkcmVzcz48dGl0bGVz
Pjx0aXRsZT5QcmVnbmFuY3kgb3V0Y29tZXMgYWZ0ZXIgcHJlbmF0YWwgZXhwb3N1cmUgdG8gZWNo
aW5hY2VhOiB0aGUgTm9yd2VnaWFuIE1vdGhlciBhbmQgQ2hpbGQgQ29ob3J0IFN0dWR5PC90aXRs
ZT48c2Vjb25kYXJ5LXRpdGxlPkV1ciBKIENsaW4gUGhhcm1hY29sPC9zZWNvbmRhcnktdGl0bGU+
PC90aXRsZXM+PHBlcmlvZGljYWw+PGZ1bGwtdGl0bGU+RXVyIEogQ2xpbiBQaGFybWFjb2w8L2Z1
bGwtdGl0bGU+PC9wZXJpb2RpY2FsPjxwYWdlcz42MjMtMzA8L3BhZ2VzPjx2b2x1bWU+NzI8L3Zv
bHVtZT48bnVtYmVyPjU8L251bWJlcj48ZWRpdGlvbj4yMDE2LzAyLzIwPC9lZGl0aW9uPjxrZXl3
b3Jkcz48a2V5d29yZD5BZHVsdDwva2V5d29yZD48a2V5d29yZD5Db2hvcnQgU3R1ZGllczwva2V5
d29yZD48a2V5d29yZD4qRWNoaW5hY2VhPC9rZXl3b3JkPjxrZXl3b3JkPkZlbWFsZTwva2V5d29y
ZD48a2V5d29yZD5IdW1hbnM8L2tleXdvcmQ+PGtleXdvcmQ+TWF0ZXJuYWwtRmV0YWwgRXhjaGFu
Z2U8L2tleXdvcmQ+PGtleXdvcmQ+Tm9yd2F5L2VwaWRlbWlvbG9neTwva2V5d29yZD48a2V5d29y
ZD5PZGRzIFJhdGlvPC9rZXl3b3JkPjxrZXl3b3JkPlBsYW50IFByZXBhcmF0aW9ucy8qdGhlcmFw
ZXV0aWMgdXNlPC9rZXl3b3JkPjxrZXl3b3JkPlByZWduYW5jeTwva2V5d29yZD48a2V5d29yZD5Q
cmVnbmFuY3kgT3V0Y29tZS8qZXBpZGVtaW9sb2d5PC9rZXl3b3JkPjxrZXl3b3JkPlByZW5hdGFs
IEV4cG9zdXJlIERlbGF5ZWQgRWZmZWN0cy9lcGlkZW1pb2xvZ3k8L2tleXdvcmQ+PGtleXdvcmQ+
U3VydmV5cyBhbmQgUXVlc3Rpb25uYWlyZXM8L2tleXdvcmQ+PGtleXdvcmQ+WW91bmcgQWR1bHQ8
L2tleXdvcmQ+PGtleXdvcmQ+RWNoaW5hY2VhPC9rZXl3b3JkPjxrZXl3b3JkPkhlcmJhbCBtZWRp
Y2luZTwva2V5d29yZD48a2V5d29yZD5Nb0JhPC9rZXl3b3JkPjwva2V5d29yZHM+PGRhdGVzPjx5
ZWFyPjIwMTY8L3llYXI+PHB1Yi1kYXRlcz48ZGF0ZT5NYXk8L2RhdGU+PC9wdWItZGF0ZXM+PC9k
YXRlcz48aXNibj4xNDMyLTEwNDEgKEVsZWN0cm9uaWMpJiN4RDswMDMxLTY5NzAgKExpbmtpbmcp
PC9pc2JuPjxhY2Nlc3Npb24tbnVtPjI2ODk1MjIzPC9hY2Nlc3Npb24tbnVtPjx1cmxzPjxyZWxh
dGVkLXVybHM+PHVybD5odHRwczovL3d3dy5uY2JpLm5sbS5uaWguZ292L3B1Ym1lZC8yNjg5NTIy
MzwvdXJsPjwvcmVsYXRlZC11cmxzPjwvdXJscz48ZWxlY3Ryb25pYy1yZXNvdXJjZS1udW0+MTAu
MTAwNy9zMDAyMjgtMDE2LTIwMjEtNTwvZWxlY3Ryb25pYy1yZXNvdXJjZS1udW0+PC9yZWNvcmQ+
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261</w:t>
            </w:r>
            <w:r>
              <w:fldChar w:fldCharType="end"/>
            </w:r>
          </w:p>
          <w:p w14:paraId="1348E59F" w14:textId="6E9DBD68" w:rsidR="0099206A" w:rsidRDefault="0099206A" w:rsidP="003E2D58">
            <w:r>
              <w:t>Norway</w:t>
            </w:r>
          </w:p>
          <w:p w14:paraId="71305360" w14:textId="77777777" w:rsidR="00FF1179" w:rsidRDefault="00FF1179" w:rsidP="003E2D58">
            <w:r>
              <w:t>Cohort</w:t>
            </w:r>
          </w:p>
        </w:tc>
        <w:tc>
          <w:tcPr>
            <w:tcW w:w="1417" w:type="dxa"/>
          </w:tcPr>
          <w:p w14:paraId="65FB6FA0" w14:textId="77777777" w:rsidR="00FF1179" w:rsidRDefault="00FF1179" w:rsidP="003E2D58">
            <w:r>
              <w:t>68,522</w:t>
            </w:r>
          </w:p>
        </w:tc>
        <w:tc>
          <w:tcPr>
            <w:tcW w:w="4532" w:type="dxa"/>
          </w:tcPr>
          <w:p w14:paraId="79F640BC" w14:textId="77777777" w:rsidR="00FF1179" w:rsidRDefault="00FF1179" w:rsidP="004A2C2B">
            <w:r w:rsidRPr="004A2C2B">
              <w:rPr>
                <w:b/>
              </w:rPr>
              <w:t>Aim</w:t>
            </w:r>
            <w:r>
              <w:t>: T</w:t>
            </w:r>
            <w:r w:rsidRPr="004A2C2B">
              <w:t xml:space="preserve">o study the consequences of the use of echinacea on malformations and common adverse pregnancy outcomes. </w:t>
            </w:r>
          </w:p>
          <w:p w14:paraId="771E76E9" w14:textId="77777777" w:rsidR="00FF1179" w:rsidRDefault="00FF1179" w:rsidP="004A2C2B">
            <w:pPr>
              <w:rPr>
                <w:b/>
              </w:rPr>
            </w:pPr>
            <w:r w:rsidRPr="004A2C2B">
              <w:rPr>
                <w:b/>
              </w:rPr>
              <w:t>Methods</w:t>
            </w:r>
            <w:r w:rsidRPr="004A2C2B">
              <w:t xml:space="preserve">: This study is based on the Norwegian Mother and Child Cohort Study (MoBa). Information was retrieved from three self-administered questionnaires completed by the women in pregnancy weeks 17 and 30 and 6 months after birth. Information on pregnancy outcomes was retrieved from the Medical Birth Registry of Norway. Generalized estimating equations analyses were performed to assess the association between exposure to echinacea and pregnancy outcomes. Pearson's chi-square test was used to assess factors related to use of echinacea in pregnancy. </w:t>
            </w:r>
          </w:p>
        </w:tc>
        <w:tc>
          <w:tcPr>
            <w:tcW w:w="4536" w:type="dxa"/>
          </w:tcPr>
          <w:p w14:paraId="66C4CA58" w14:textId="77777777" w:rsidR="00FF1179" w:rsidRDefault="00FF1179" w:rsidP="004A2C2B">
            <w:r>
              <w:t>Women who used echinacea versus those who did not:</w:t>
            </w:r>
          </w:p>
          <w:p w14:paraId="26937BFF" w14:textId="77777777" w:rsidR="00FF1179" w:rsidRDefault="00FF1179" w:rsidP="004A2C2B">
            <w:pPr>
              <w:pStyle w:val="bullet"/>
            </w:pPr>
            <w:r>
              <w:t>Congenital anomalies: aOR 1.1; 95%CI 0.6 to 2.1</w:t>
            </w:r>
          </w:p>
          <w:p w14:paraId="030899F1" w14:textId="77777777" w:rsidR="00FF1179" w:rsidRDefault="00FF1179" w:rsidP="004A2C2B">
            <w:pPr>
              <w:pStyle w:val="bullet"/>
            </w:pPr>
            <w:r>
              <w:t>Preterm birth: aOR 1.0; 95%CI 0.6 to 1.7</w:t>
            </w:r>
          </w:p>
          <w:p w14:paraId="7C065DC8" w14:textId="77777777" w:rsidR="00FF1179" w:rsidRDefault="00FF1179" w:rsidP="004A2C2B">
            <w:pPr>
              <w:pStyle w:val="bullet"/>
            </w:pPr>
            <w:r>
              <w:t>Small for gestational age: aOR 1.0; 95%CI 0.7 to 1.6</w:t>
            </w:r>
          </w:p>
          <w:p w14:paraId="1B48BA72" w14:textId="77777777" w:rsidR="00FF1179" w:rsidRDefault="00FF1179" w:rsidP="004A2C2B">
            <w:pPr>
              <w:pStyle w:val="bullet"/>
            </w:pPr>
            <w:r>
              <w:t>Low birth weight: aOR 1.1; 95%CI 0.5 to 2.1</w:t>
            </w:r>
          </w:p>
        </w:tc>
        <w:tc>
          <w:tcPr>
            <w:tcW w:w="1843" w:type="dxa"/>
          </w:tcPr>
          <w:p w14:paraId="50256A79" w14:textId="77777777" w:rsidR="00FF1179" w:rsidRDefault="00FF1179" w:rsidP="003E2D58"/>
        </w:tc>
      </w:tr>
      <w:tr w:rsidR="00FF1179" w:rsidRPr="00141F7B" w14:paraId="01A09FD6" w14:textId="77777777" w:rsidTr="009F4D18">
        <w:trPr>
          <w:cantSplit/>
          <w:trHeight w:val="390"/>
        </w:trPr>
        <w:tc>
          <w:tcPr>
            <w:tcW w:w="1564" w:type="dxa"/>
            <w:tcBorders>
              <w:bottom w:val="single" w:sz="4" w:space="0" w:color="auto"/>
            </w:tcBorders>
          </w:tcPr>
          <w:p w14:paraId="34954726" w14:textId="4D7098E8" w:rsidR="00FF1179" w:rsidRDefault="00FF1179" w:rsidP="00201490">
            <w:r>
              <w:t>Holst et al 2014</w:t>
            </w:r>
            <w:r>
              <w:fldChar w:fldCharType="begin"/>
            </w:r>
            <w:r w:rsidR="002747EA">
              <w:instrText xml:space="preserve"> ADDIN EN.CITE &lt;EndNote&gt;&lt;Cite&gt;&lt;Author&gt;Holst&lt;/Author&gt;&lt;Year&gt;2014&lt;/Year&gt;&lt;RecNum&gt;1559&lt;/RecNum&gt;&lt;DisplayText&gt;&lt;style face="superscript" font="Trebuchet MS" size="9"&gt;260&lt;/style&gt;&lt;/DisplayText&gt;&lt;record&gt;&lt;rec-number&gt;1559&lt;/rec-number&gt;&lt;foreign-keys&gt;&lt;key app="EN" db-id="exvasrfx2dtraoesasxp2szsxa2df502592x" timestamp="1576536260"&gt;1559&lt;/key&gt;&lt;key app="ENWeb" db-id=""&gt;0&lt;/key&gt;&lt;/foreign-keys&gt;&lt;ref-type name="Journal Article"&gt;17&lt;/ref-type&gt;&lt;contributors&gt;&lt;authors&gt;&lt;author&gt;Holst, L.&lt;/author&gt;&lt;author&gt;Havnen, G. C.&lt;/author&gt;&lt;author&gt;Nordeng, H.&lt;/author&gt;&lt;/authors&gt;&lt;/contributors&gt;&lt;auth-address&gt;Department of Global Public Health and Primary Care and Centre for Pharmacy, Faculty of Medicine and Dentistry, University of Bergen Bergen, Norway.&amp;#xD;Regional Medicines Information and Pharmacovigilance Centre (RELIS), Oslo University Hospital Oslo, Norway.&amp;#xD;Department of Pharmacy, Faculty of Mathematics and Natural Sciences, School of Pharmacy, University of Oslo Oslo, Norway.&lt;/auth-address&gt;&lt;titles&gt;&lt;title&gt;Echinacea and elderberry-should they be used against upper respiratory tract infections during pregnancy?&lt;/title&gt;&lt;secondary-title&gt;Front Pharmacol&lt;/secondary-title&gt;&lt;/titles&gt;&lt;periodical&gt;&lt;full-title&gt;Front Pharmacol&lt;/full-title&gt;&lt;/periodical&gt;&lt;pages&gt;31&lt;/pages&gt;&lt;volume&gt;5&lt;/volume&gt;&lt;edition&gt;2014/03/14&lt;/edition&gt;&lt;keywords&gt;&lt;keyword&gt;Cam&lt;/keyword&gt;&lt;keyword&gt;Echinacea&lt;/keyword&gt;&lt;keyword&gt;Elderberry&lt;/keyword&gt;&lt;keyword&gt;efficacy&lt;/keyword&gt;&lt;keyword&gt;pregnancy&lt;/keyword&gt;&lt;keyword&gt;respiratory infection&lt;/keyword&gt;&lt;keyword&gt;safety&lt;/keyword&gt;&lt;/keywords&gt;&lt;dates&gt;&lt;year&gt;2014&lt;/year&gt;&lt;/dates&gt;&lt;isbn&gt;1663-9812 (Print)&amp;#xD;1663-9812 (Linking)&lt;/isbn&gt;&lt;accession-num&gt;24624087&lt;/accession-num&gt;&lt;urls&gt;&lt;related-urls&gt;&lt;url&gt;https://www.ncbi.nlm.nih.gov/pubmed/24624087&lt;/url&gt;&lt;/related-urls&gt;&lt;/urls&gt;&lt;custom2&gt;PMC3941201&lt;/custom2&gt;&lt;electronic-resource-num&gt;10.3389/fphar.2014.00031&lt;/electronic-resource-num&gt;&lt;/record&gt;&lt;/Cite&gt;&lt;/EndNote&gt;</w:instrText>
            </w:r>
            <w:r>
              <w:fldChar w:fldCharType="separate"/>
            </w:r>
            <w:r w:rsidR="002747EA" w:rsidRPr="002747EA">
              <w:rPr>
                <w:noProof/>
                <w:vertAlign w:val="superscript"/>
              </w:rPr>
              <w:t>260</w:t>
            </w:r>
            <w:r>
              <w:fldChar w:fldCharType="end"/>
            </w:r>
          </w:p>
          <w:p w14:paraId="5DD74C3A" w14:textId="77777777" w:rsidR="00FF1179" w:rsidRDefault="00FF1179" w:rsidP="00201490">
            <w:r>
              <w:t>SLR</w:t>
            </w:r>
          </w:p>
        </w:tc>
        <w:tc>
          <w:tcPr>
            <w:tcW w:w="1417" w:type="dxa"/>
            <w:tcBorders>
              <w:bottom w:val="single" w:sz="4" w:space="0" w:color="auto"/>
            </w:tcBorders>
          </w:tcPr>
          <w:p w14:paraId="27943B97" w14:textId="77777777" w:rsidR="00FF1179" w:rsidRDefault="00FF1179" w:rsidP="00543079">
            <w:r>
              <w:t>Echinacea: 20 RCTs</w:t>
            </w:r>
          </w:p>
          <w:p w14:paraId="7CBEE69E" w14:textId="77777777" w:rsidR="00FF1179" w:rsidRDefault="00FF1179" w:rsidP="00543079">
            <w:r>
              <w:t>Elderberry: 3 RCTs</w:t>
            </w:r>
          </w:p>
        </w:tc>
        <w:tc>
          <w:tcPr>
            <w:tcW w:w="4532" w:type="dxa"/>
            <w:tcBorders>
              <w:bottom w:val="single" w:sz="4" w:space="0" w:color="auto"/>
            </w:tcBorders>
          </w:tcPr>
          <w:p w14:paraId="42A248A3" w14:textId="77777777" w:rsidR="00FF1179" w:rsidRDefault="00FF1179" w:rsidP="00A7391B">
            <w:r>
              <w:rPr>
                <w:rFonts w:eastAsiaTheme="majorEastAsia"/>
                <w:b/>
                <w:color w:val="000000"/>
              </w:rPr>
              <w:t xml:space="preserve">Aim: </w:t>
            </w:r>
            <w:r w:rsidRPr="00A7391B">
              <w:rPr>
                <w:rFonts w:eastAsiaTheme="majorEastAsia"/>
              </w:rPr>
              <w:t xml:space="preserve">To </w:t>
            </w:r>
            <w:r>
              <w:t>evaluate</w:t>
            </w:r>
            <w:r w:rsidRPr="00A7391B">
              <w:t xml:space="preserve"> the safety of echinacea and elderberry in pregnancy. </w:t>
            </w:r>
          </w:p>
          <w:p w14:paraId="66C97E30" w14:textId="77777777" w:rsidR="00FF1179" w:rsidRPr="00992142" w:rsidRDefault="00FF1179" w:rsidP="00467A9C">
            <w:r w:rsidRPr="00A7391B">
              <w:rPr>
                <w:b/>
              </w:rPr>
              <w:t>Methods</w:t>
            </w:r>
            <w:r>
              <w:t>:</w:t>
            </w:r>
            <w:r w:rsidRPr="00A7391B">
              <w:t xml:space="preserve"> The electronic databases PubMed, ISI Web of Science, AMED, EMBASE, Natural Medicines Comprehensive Database, and Cochrane Library were searched from inception to November 2013. Relevant references from the acquired articles were included. No clinical trials concerning safety of either herb in pregnancy were identified. One prospective human study and two small animal studies of safety of echinacea in pregnancy were identified. No animal- or human studies of safety of elderberry in pregnancy were identified. Twenty clinical trials concerning efficacy of various echinacea preparations in various groups of the population were identified between 1995 and 2013. Three clinical trials concerning efficacy of two different elderberry preparations were identified between 1995 and 2013. </w:t>
            </w:r>
          </w:p>
        </w:tc>
        <w:tc>
          <w:tcPr>
            <w:tcW w:w="4536" w:type="dxa"/>
            <w:tcBorders>
              <w:bottom w:val="single" w:sz="4" w:space="0" w:color="auto"/>
            </w:tcBorders>
          </w:tcPr>
          <w:p w14:paraId="5AFAE3A2" w14:textId="77777777" w:rsidR="00FF1179" w:rsidRPr="00A7391B" w:rsidRDefault="00FF1179" w:rsidP="00A7391B">
            <w:r w:rsidRPr="00A7391B">
              <w:t>Due to lack of evidence of efficacy and safety, health</w:t>
            </w:r>
            <w:r>
              <w:t xml:space="preserve"> care personnel should not advis</w:t>
            </w:r>
            <w:r w:rsidRPr="00A7391B">
              <w:t>e pregnant women to use echinacea or elderberry against upper respiratory tract infection.</w:t>
            </w:r>
          </w:p>
        </w:tc>
        <w:tc>
          <w:tcPr>
            <w:tcW w:w="1843" w:type="dxa"/>
            <w:tcBorders>
              <w:bottom w:val="single" w:sz="4" w:space="0" w:color="auto"/>
            </w:tcBorders>
          </w:tcPr>
          <w:p w14:paraId="65FBA2C7" w14:textId="77777777" w:rsidR="00FF1179" w:rsidRDefault="00FF1179" w:rsidP="00543079">
            <w:r>
              <w:t>No clinical trials concerning the safety of either herb in pregnancy were identified</w:t>
            </w:r>
          </w:p>
        </w:tc>
      </w:tr>
      <w:tr w:rsidR="00FF1179" w:rsidRPr="00141F7B" w14:paraId="021E4405" w14:textId="77777777" w:rsidTr="009F4D18">
        <w:trPr>
          <w:cantSplit/>
          <w:trHeight w:val="390"/>
        </w:trPr>
        <w:tc>
          <w:tcPr>
            <w:tcW w:w="1564" w:type="dxa"/>
            <w:tcBorders>
              <w:bottom w:val="single" w:sz="4" w:space="0" w:color="auto"/>
            </w:tcBorders>
          </w:tcPr>
          <w:p w14:paraId="0A208BAB" w14:textId="609059CF" w:rsidR="00FF1179" w:rsidRDefault="00FF1179" w:rsidP="003E2D58">
            <w:r>
              <w:t>Meher et al 2006</w:t>
            </w:r>
            <w:r>
              <w:fldChar w:fldCharType="begin"/>
            </w:r>
            <w:r w:rsidR="002747EA">
              <w:instrText xml:space="preserve"> ADDIN EN.CITE &lt;EndNote&gt;&lt;Cite&gt;&lt;Author&gt;Meher&lt;/Author&gt;&lt;Year&gt;2006&lt;/Year&gt;&lt;RecNum&gt;1562&lt;/RecNum&gt;&lt;DisplayText&gt;&lt;style face="superscript" font="Trebuchet MS" size="9"&gt;258&lt;/style&gt;&lt;/DisplayText&gt;&lt;record&gt;&lt;rec-number&gt;1562&lt;/rec-number&gt;&lt;foreign-keys&gt;&lt;key app="EN" db-id="exvasrfx2dtraoesasxp2szsxa2df502592x" timestamp="1576536271"&gt;1562&lt;/key&gt;&lt;key app="ENWeb" db-id=""&gt;0&lt;/key&gt;&lt;/foreign-keys&gt;&lt;ref-type name="Journal Article"&gt;17&lt;/ref-type&gt;&lt;contributors&gt;&lt;authors&gt;&lt;author&gt;Meher, S.&lt;/author&gt;&lt;author&gt;Duley, L.&lt;/author&gt;&lt;/authors&gt;&lt;/contributors&gt;&lt;auth-address&gt;University of Liverpool, Division of Perinatal and Reproductive Medicine, First Floor, Liverpool Women&amp;apos;s NHS Foundation Trust, Crown Street, Liverpool, UK L8 7SS. s.meher@liv.ac.uk&lt;/auth-address&gt;&lt;titles&gt;&lt;title&gt;Garlic for preventing pre-eclampsia and its complications&lt;/title&gt;&lt;secondary-title&gt;Cochrane Database Syst Rev&lt;/secondary-title&gt;&lt;/titles&gt;&lt;periodical&gt;&lt;full-title&gt;Cochrane Database Syst Rev&lt;/full-title&gt;&lt;/periodical&gt;&lt;pages&gt;CD006065&lt;/pages&gt;&lt;number&gt;3&lt;/number&gt;&lt;edition&gt;2006/07/21&lt;/edition&gt;&lt;keywords&gt;&lt;keyword&gt;Female&lt;/keyword&gt;&lt;keyword&gt;*Garlic&lt;/keyword&gt;&lt;keyword&gt;Humans&lt;/keyword&gt;&lt;keyword&gt;Odorants&lt;/keyword&gt;&lt;keyword&gt;*Phytotherapy/adverse effects&lt;/keyword&gt;&lt;keyword&gt;Pre-Eclampsia/*prevention &amp;amp; control&lt;/keyword&gt;&lt;keyword&gt;Pregnancy&lt;/keyword&gt;&lt;keyword&gt;Randomized Controlled Trials as Topic&lt;/keyword&gt;&lt;/keywords&gt;&lt;dates&gt;&lt;year&gt;2006&lt;/year&gt;&lt;pub-dates&gt;&lt;date&gt;Jul 19&lt;/date&gt;&lt;/pub-dates&gt;&lt;/dates&gt;&lt;isbn&gt;1469-493X (Electronic)&amp;#xD;1361-6137 (Linking)&lt;/isbn&gt;&lt;accession-num&gt;16856110&lt;/accession-num&gt;&lt;urls&gt;&lt;related-urls&gt;&lt;url&gt;https://www.ncbi.nlm.nih.gov/pubmed/16856110&lt;/url&gt;&lt;/related-urls&gt;&lt;/urls&gt;&lt;custom2&gt;PMC6464897&lt;/custom2&gt;&lt;electronic-resource-num&gt;10.1002/14651858.CD006065&lt;/electronic-resource-num&gt;&lt;/record&gt;&lt;/Cite&gt;&lt;/EndNote&gt;</w:instrText>
            </w:r>
            <w:r>
              <w:fldChar w:fldCharType="separate"/>
            </w:r>
            <w:r w:rsidR="002747EA" w:rsidRPr="002747EA">
              <w:rPr>
                <w:noProof/>
                <w:vertAlign w:val="superscript"/>
              </w:rPr>
              <w:t>258</w:t>
            </w:r>
            <w:r>
              <w:fldChar w:fldCharType="end"/>
            </w:r>
          </w:p>
          <w:p w14:paraId="1D9AD812" w14:textId="77777777" w:rsidR="00FF1179" w:rsidRDefault="00FF1179" w:rsidP="003E2D58">
            <w:r>
              <w:t>SLR</w:t>
            </w:r>
          </w:p>
        </w:tc>
        <w:tc>
          <w:tcPr>
            <w:tcW w:w="1417" w:type="dxa"/>
            <w:tcBorders>
              <w:bottom w:val="single" w:sz="4" w:space="0" w:color="auto"/>
            </w:tcBorders>
          </w:tcPr>
          <w:p w14:paraId="585FEB50" w14:textId="77777777" w:rsidR="00FF1179" w:rsidRDefault="00FF1179" w:rsidP="003E2D58">
            <w:r>
              <w:t>1 study</w:t>
            </w:r>
          </w:p>
        </w:tc>
        <w:tc>
          <w:tcPr>
            <w:tcW w:w="4532" w:type="dxa"/>
            <w:tcBorders>
              <w:bottom w:val="single" w:sz="4" w:space="0" w:color="auto"/>
            </w:tcBorders>
          </w:tcPr>
          <w:p w14:paraId="72D34A2B" w14:textId="77777777" w:rsidR="00FF1179" w:rsidRDefault="00FF1179" w:rsidP="00E76DDE">
            <w:r>
              <w:rPr>
                <w:b/>
              </w:rPr>
              <w:t xml:space="preserve">Aim: </w:t>
            </w:r>
            <w:r w:rsidRPr="00E76DDE">
              <w:t xml:space="preserve">To assess the effects of garlic on prevention of pre-eclampsia and its complications. </w:t>
            </w:r>
          </w:p>
          <w:p w14:paraId="2ED13D92" w14:textId="77777777" w:rsidR="00FF1179" w:rsidRPr="00A96512" w:rsidRDefault="00FF1179" w:rsidP="00E76DDE">
            <w:pPr>
              <w:rPr>
                <w:b/>
              </w:rPr>
            </w:pPr>
            <w:r w:rsidRPr="00E76DDE">
              <w:rPr>
                <w:b/>
              </w:rPr>
              <w:t>Methods</w:t>
            </w:r>
            <w:r w:rsidRPr="00E76DDE">
              <w:t>: We searched the Cochrane Pregnancy and Childbirth Group Trials Register (February 2006), the Cochrane Central Register of Controlled Trials (The Cochrane Library 2005, Issue 2), and EMBASE (1974 to April 2005). Studies were included if they were randomised trials evaluating the effects of garlic on prevention of pre-eclamps</w:t>
            </w:r>
            <w:r>
              <w:t>ia and its complications.</w:t>
            </w:r>
            <w:r w:rsidRPr="00E76DDE">
              <w:t xml:space="preserve"> Two review authors independently selected trials for inclusion and extracted data. Data were entered on Review Manager software for analysis, and double checked for accuracy. </w:t>
            </w:r>
          </w:p>
        </w:tc>
        <w:tc>
          <w:tcPr>
            <w:tcW w:w="4536" w:type="dxa"/>
            <w:tcBorders>
              <w:bottom w:val="single" w:sz="4" w:space="0" w:color="auto"/>
            </w:tcBorders>
          </w:tcPr>
          <w:p w14:paraId="2C33DDE3" w14:textId="77777777" w:rsidR="00FF1179" w:rsidRDefault="00FF1179" w:rsidP="00E76DDE">
            <w:r>
              <w:t>Garlic versus placebo:</w:t>
            </w:r>
          </w:p>
          <w:p w14:paraId="5CD40AC1" w14:textId="77777777" w:rsidR="00FF1179" w:rsidRDefault="00FF1179" w:rsidP="00D220BB">
            <w:pPr>
              <w:pStyle w:val="bullet"/>
            </w:pPr>
            <w:r>
              <w:t>Gestational hypertension: RR 0.50;</w:t>
            </w:r>
            <w:r w:rsidRPr="00E76DDE">
              <w:t xml:space="preserve"> 95%</w:t>
            </w:r>
            <w:r>
              <w:t>CI</w:t>
            </w:r>
            <w:r w:rsidRPr="00E76DDE">
              <w:t xml:space="preserve"> 0.25 to 1.00</w:t>
            </w:r>
          </w:p>
          <w:p w14:paraId="4DAD7E48" w14:textId="77777777" w:rsidR="00FF1179" w:rsidRDefault="00FF1179" w:rsidP="00D220BB">
            <w:pPr>
              <w:pStyle w:val="bullet"/>
            </w:pPr>
            <w:r>
              <w:t xml:space="preserve">Pre-eclampsia: </w:t>
            </w:r>
            <w:r w:rsidRPr="00E76DDE">
              <w:t>RR 0.78, 95% CI 0.31 to 1.93</w:t>
            </w:r>
          </w:p>
          <w:p w14:paraId="13D266C7" w14:textId="77777777" w:rsidR="00FF1179" w:rsidRDefault="00FF1179" w:rsidP="00D220BB">
            <w:pPr>
              <w:pStyle w:val="bullet"/>
            </w:pPr>
            <w:r>
              <w:t>O</w:t>
            </w:r>
            <w:r w:rsidRPr="00E76DDE">
              <w:t>dour</w:t>
            </w:r>
            <w:r>
              <w:t>: RR 8.50, 95% CI 2.07 to 34.88</w:t>
            </w:r>
          </w:p>
          <w:p w14:paraId="09BD92E0" w14:textId="77777777" w:rsidR="00FF1179" w:rsidRDefault="00FF1179" w:rsidP="00D220BB">
            <w:pPr>
              <w:pStyle w:val="bullet"/>
            </w:pPr>
            <w:r>
              <w:t xml:space="preserve">Caesarean section: </w:t>
            </w:r>
            <w:r w:rsidRPr="00E76DDE">
              <w:t xml:space="preserve">RR 1.35, 95% CI 0.93 to 1.95 </w:t>
            </w:r>
          </w:p>
          <w:p w14:paraId="48B83FCA" w14:textId="77777777" w:rsidR="00FF1179" w:rsidRPr="00E76DDE" w:rsidRDefault="00FF1179" w:rsidP="00D220BB">
            <w:r w:rsidRPr="00E76DDE">
              <w:t xml:space="preserve">There were no perinatal deaths in the study. </w:t>
            </w:r>
          </w:p>
        </w:tc>
        <w:tc>
          <w:tcPr>
            <w:tcW w:w="1843" w:type="dxa"/>
            <w:tcBorders>
              <w:bottom w:val="single" w:sz="4" w:space="0" w:color="auto"/>
            </w:tcBorders>
          </w:tcPr>
          <w:p w14:paraId="5F740CDC" w14:textId="77777777" w:rsidR="00FF1179" w:rsidRPr="00141F7B" w:rsidRDefault="00FF1179" w:rsidP="003E2D58"/>
        </w:tc>
      </w:tr>
      <w:tr w:rsidR="00FF1179" w:rsidRPr="00141F7B" w14:paraId="0A8A1D96" w14:textId="77777777" w:rsidTr="009F4D18">
        <w:trPr>
          <w:cantSplit/>
          <w:trHeight w:val="390"/>
        </w:trPr>
        <w:tc>
          <w:tcPr>
            <w:tcW w:w="1564" w:type="dxa"/>
          </w:tcPr>
          <w:p w14:paraId="5E241D1A" w14:textId="0D6E4E29" w:rsidR="00FF1179" w:rsidRDefault="00FF1179" w:rsidP="003E2D58">
            <w:r>
              <w:t>Pour et al 2018</w:t>
            </w:r>
            <w:r>
              <w:fldChar w:fldCharType="begin">
                <w:fldData xml:space="preserve">PEVuZE5vdGU+PENpdGU+PEF1dGhvcj5Qb3VyPC9BdXRob3I+PFllYXI+MjAxODwvWWVhcj48UmVj
TnVtPjE1ODI8L1JlY051bT48RGlzcGxheVRleHQ+PHN0eWxlIGZhY2U9InN1cGVyc2NyaXB0IiBm
b250PSJUcmVidWNoZXQgTVMiIHNpemU9IjkiPjI2Mjwvc3R5bGU+PC9EaXNwbGF5VGV4dD48cmVj
b3JkPjxyZWMtbnVtYmVyPjE1ODI8L3JlYy1udW1iZXI+PGZvcmVpZ24ta2V5cz48a2V5IGFwcD0i
RU4iIGRiLWlkPSJleHZhc3JmeDJkdHJhb2VzYXN4cDJzenN4YTJkZjUwMjU5MngiIHRpbWVzdGFt
cD0iMTU3NjUzNjM1OSI+MTU4Mjwva2V5PjxrZXkgYXBwPSJFTldlYiIgZGItaWQ9IiI+MDwva2V5
PjwvZm9yZWlnbi1rZXlzPjxyZWYtdHlwZSBuYW1lPSJKb3VybmFsIEFydGljbGUiPjE3PC9yZWYt
dHlwZT48Y29udHJpYnV0b3JzPjxhdXRob3JzPjxhdXRob3I+UG91ciwgWi4gUy48L2F1dGhvcj48
YXV0aG9yPkhvc3NlaW5raGFuaSwgQS48L2F1dGhvcj48YXV0aG9yPkFzYWRpLCBOLjwvYXV0aG9y
PjxhdXRob3I+U2hhaHJha2ksIEguIFIuPC9hdXRob3I+PGF1dGhvcj5WYWZhZWksIEguPC9hdXRo
b3I+PGF1dGhvcj5LYXNyYWVpYW4sIE0uPC9hdXRob3I+PGF1dGhvcj5CYXpyYWZzaGFuLCBLLjwv
YXV0aG9yPjxhdXRob3I+RmFyYWppLCBBLjwvYXV0aG9yPjwvYXV0aG9ycz48L2NvbnRyaWJ1dG9y
cz48YXV0aC1hZGRyZXNzPkRlcHQgb2YgT2JzdGV0cmljcyAmYW1wO0d5bmVjb2xvZ3ksIE1hdGVy
bmFsLUZldGFsIE1lZGljaW5lIFJlc2VhcmNoIENlbnRlciwgU2hpcmF6IFVuaXZlcnNpdHkgb2Yg
TWVkaWNhbCBTY2llbmNlcywgU2hpcmF6LCBJcmFuLiBFbGVjdHJvbmljIGFkZHJlc3M6IHpvaHJl
aC5zYWZhcmlwb3VyQGdtYWlsLmNvbS4mI3hEO1Jlc2VhcmNoIGNlbnRlciBmb3IgdHJhZGl0aW9u
YWwgbWVkaWNpbmUgYW5kIGhpc3Rvcnkgb2YgbWVkaWNpbmUsIFNoaXJheiBVbml2ZXJzaXR5IG9m
IG1lZGljYWwgc2NpZW5jZXMsIFNoaXJheiwgSXJhbi4gRWxlY3Ryb25pYyBhZGRyZXNzOiBheWRh
aG9zc2VpbmtoYW5pQHlhaG9vLmNvbS4mI3hEO01hdGVybmFsLUZldGFsIE1lZGljaW5lIFJlc2Vh
cmNoIENlbnRlciwgUGVyaW5hdG9sb2d5IFdhcmQsIFNoaXJheiBVbml2ZXJzaXR5IG9mIE1lZGlj
YWwgU2NpZW5jZXMsIFNoaXJheiwgSXJhbi4gRWxlY3Ryb25pYyBhZGRyZXNzOiBuYXNhZGkyMDEy
QHlhaG9vLmNhLiYjeEQ7RGVwYXJ0bWVudCBvZiBiaW9zdGF0aXN0aWNzIHNjaG9vbCBvZiBtZWRp
Y2luZSBTaGlyYXogVW5pdmVyc2l0eSBvZiBNZWRpY2FsIFNjaWVuY2UsIFNoaXJheiwgSXJhbi4g
RWxlY3Ryb25pYyBhZGRyZXNzOiBCaW9zdGF0OTFAZ21haWwuY29tLiYjeEQ7TWF0ZXJuYWwtRmV0
YWwgTWVkaWNpbmUgUmVzZWFyY2ggQ2VudGVyLCBTaGlyYXogVW5pdmVyc2l0eSBvZiBNZWRpY2Fs
IFNjaWVuY2VzLCBTaGlyYXosIElyYW4uIEVsZWN0cm9uaWMgYWRkcmVzczogVmFmYWVpaEBnbWFp
bC5jb20uJiN4RDtNYXRlcm5hbC1GZXRhbCBNZWRpY2luZSBSZXNlYXJjaCBDZW50ZXIsIFNoaXJh
eiBVbml2ZXJzaXR5IG9mIE1lZGljYWwgU2NpZW5jZXMsIFNoaXJheiwgSXJhbi4gRWxlY3Ryb25p
YyBhZGRyZXNzOiBrYXNyYWVlbW1AeWFob28uY29tLiYjeEQ7TWF0ZXJuYWwtRmV0YWwgTWVkaWNp
bmUgUmVzZWFyY2ggQ2VudGVyLCBTaGlyYXogVW5pdmVyc2l0eSBvZiBNZWRpY2FsIFNjaWVuY2Vz
LCBTaGlyYXosIElyYW4uIEVsZWN0cm9uaWMgYWRkcmVzczogYmF6cmFmc2hhbi5raEBnbWFpbC5j
b20uJiN4RDtNYXRlcm5hbC1GZXRhbCBNZWRpY2luZSBSZXNlYXJjaCBDZW50ZXIsIFNoaXJheiBV
bml2ZXJzaXR5IG9mIE1lZGljYWwgU2NpZW5jZXMsIFNoaXJheiwgSXJhbi4gRWxlY3Ryb25pYyBh
ZGRyZXNzOiBmYXJhamlhekBzdW1zLmFjLmlyLjwvYXV0aC1hZGRyZXNzPjx0aXRsZXM+PHRpdGxl
PkRvdWJsZS1ibGluZCByYW5kb21pemVkIHBsYWNlYm8tY29udHJvbGxlZCB0cmlhbCBvbiBlZmZp
Y2FjeSBhbmQgc2FmZXR5IG9mIExhY3R1Y2Egc2F0aXZhIEwuIHNlZWRzIG9uIHByZWduYW5jeS1y
ZWxhdGVkIGluc29tbmlhPC90aXRsZT48c2Vjb25kYXJ5LXRpdGxlPkogRXRobm9waGFybWFjb2w8
L3NlY29uZGFyeS10aXRsZT48L3RpdGxlcz48cGVyaW9kaWNhbD48ZnVsbC10aXRsZT5KIEV0aG5v
cGhhcm1hY29sPC9mdWxsLXRpdGxlPjwvcGVyaW9kaWNhbD48cGFnZXM+MTc2LTE4MDwvcGFnZXM+
PHZvbHVtZT4yMjc8L3ZvbHVtZT48ZWRpdGlvbj4yMDE4LzA5LzAzPC9lZGl0aW9uPjxrZXl3b3Jk
cz48a2V5d29yZD5BZHVsdDwva2V5d29yZD48a2V5d29yZD5Eb3VibGUtQmxpbmQgTWV0aG9kPC9r
ZXl3b3JkPjxrZXl3b3JkPkZlbWFsZTwva2V5d29yZD48a2V5d29yZD5IdW1hbnM8L2tleXdvcmQ+
PGtleXdvcmQ+KkxldHR1Y2U8L2tleXdvcmQ+PGtleXdvcmQ+TWlkZGxlIEFnZWQ8L2tleXdvcmQ+
PGtleXdvcmQ+UGh5dG90aGVyYXB5PC9rZXl3b3JkPjxrZXl3b3JkPlByZWduYW5jeTwva2V5d29y
ZD48a2V5d29yZD5QcmVnbmFuY3kgQ29tcGxpY2F0aW9ucy8qdGhlcmFweTwva2V5d29yZD48a2V5
d29yZD4qU2VlZHM8L2tleXdvcmQ+PGtleXdvcmQ+U2xlZXAgSW5pdGlhdGlvbiBhbmQgTWFpbnRl
bmFuY2UgRGlzb3JkZXJzL2V0aW9sb2d5Lyp0aGVyYXB5PC9rZXl3b3JkPjxrZXl3b3JkPlRyZWF0
bWVudCBPdXRjb21lPC9rZXl3b3JkPjxrZXl3b3JkPllvdW5nIEFkdWx0PC9rZXl3b3JkPjxrZXl3
b3JkPkhlcmJhbCBtZWRpY2luZTwva2V5d29yZD48a2V5d29yZD5IeXBub3RpYzwva2V5d29yZD48
a2V5d29yZD5JbnNvbW5pYTwva2V5d29yZD48L2tleXdvcmRzPjxkYXRlcz48eWVhcj4yMDE4PC95
ZWFyPjxwdWItZGF0ZXM+PGRhdGU+RGVjIDU8L2RhdGU+PC9wdWItZGF0ZXM+PC9kYXRlcz48aXNi
bj4xODcyLTc1NzMgKEVsZWN0cm9uaWMpJiN4RDswMzc4LTg3NDEgKExpbmtpbmcpPC9pc2JuPjxh
Y2Nlc3Npb24tbnVtPjMwMTcyOTAwPC9hY2Nlc3Npb24tbnVtPjx1cmxzPjxyZWxhdGVkLXVybHM+
PHVybD5odHRwczovL3d3dy5uY2JpLm5sbS5uaWguZ292L3B1Ym1lZC8zMDE3MjkwMDwvdXJsPjwv
cmVsYXRlZC11cmxzPjwvdXJscz48ZWxlY3Ryb25pYy1yZXNvdXJjZS1udW0+MTAuMTAxNi9qLmpl
cC4yMDE4LjA4LjAwMTwvZWxlY3Ryb25pYy1yZXNvdXJjZS1udW0+PC9yZWNvcmQ+PC9DaXRlPjwv
RW5kTm90ZT5=
</w:fldData>
              </w:fldChar>
            </w:r>
            <w:r w:rsidR="002747EA">
              <w:instrText xml:space="preserve"> ADDIN EN.CITE </w:instrText>
            </w:r>
            <w:r w:rsidR="002747EA">
              <w:fldChar w:fldCharType="begin">
                <w:fldData xml:space="preserve">PEVuZE5vdGU+PENpdGU+PEF1dGhvcj5Qb3VyPC9BdXRob3I+PFllYXI+MjAxODwvWWVhcj48UmVj
TnVtPjE1ODI8L1JlY051bT48RGlzcGxheVRleHQ+PHN0eWxlIGZhY2U9InN1cGVyc2NyaXB0IiBm
b250PSJUcmVidWNoZXQgTVMiIHNpemU9IjkiPjI2Mjwvc3R5bGU+PC9EaXNwbGF5VGV4dD48cmVj
b3JkPjxyZWMtbnVtYmVyPjE1ODI8L3JlYy1udW1iZXI+PGZvcmVpZ24ta2V5cz48a2V5IGFwcD0i
RU4iIGRiLWlkPSJleHZhc3JmeDJkdHJhb2VzYXN4cDJzenN4YTJkZjUwMjU5MngiIHRpbWVzdGFt
cD0iMTU3NjUzNjM1OSI+MTU4Mjwva2V5PjxrZXkgYXBwPSJFTldlYiIgZGItaWQ9IiI+MDwva2V5
PjwvZm9yZWlnbi1rZXlzPjxyZWYtdHlwZSBuYW1lPSJKb3VybmFsIEFydGljbGUiPjE3PC9yZWYt
dHlwZT48Y29udHJpYnV0b3JzPjxhdXRob3JzPjxhdXRob3I+UG91ciwgWi4gUy48L2F1dGhvcj48
YXV0aG9yPkhvc3NlaW5raGFuaSwgQS48L2F1dGhvcj48YXV0aG9yPkFzYWRpLCBOLjwvYXV0aG9y
PjxhdXRob3I+U2hhaHJha2ksIEguIFIuPC9hdXRob3I+PGF1dGhvcj5WYWZhZWksIEguPC9hdXRo
b3I+PGF1dGhvcj5LYXNyYWVpYW4sIE0uPC9hdXRob3I+PGF1dGhvcj5CYXpyYWZzaGFuLCBLLjwv
YXV0aG9yPjxhdXRob3I+RmFyYWppLCBBLjwvYXV0aG9yPjwvYXV0aG9ycz48L2NvbnRyaWJ1dG9y
cz48YXV0aC1hZGRyZXNzPkRlcHQgb2YgT2JzdGV0cmljcyAmYW1wO0d5bmVjb2xvZ3ksIE1hdGVy
bmFsLUZldGFsIE1lZGljaW5lIFJlc2VhcmNoIENlbnRlciwgU2hpcmF6IFVuaXZlcnNpdHkgb2Yg
TWVkaWNhbCBTY2llbmNlcywgU2hpcmF6LCBJcmFuLiBFbGVjdHJvbmljIGFkZHJlc3M6IHpvaHJl
aC5zYWZhcmlwb3VyQGdtYWlsLmNvbS4mI3hEO1Jlc2VhcmNoIGNlbnRlciBmb3IgdHJhZGl0aW9u
YWwgbWVkaWNpbmUgYW5kIGhpc3Rvcnkgb2YgbWVkaWNpbmUsIFNoaXJheiBVbml2ZXJzaXR5IG9m
IG1lZGljYWwgc2NpZW5jZXMsIFNoaXJheiwgSXJhbi4gRWxlY3Ryb25pYyBhZGRyZXNzOiBheWRh
aG9zc2VpbmtoYW5pQHlhaG9vLmNvbS4mI3hEO01hdGVybmFsLUZldGFsIE1lZGljaW5lIFJlc2Vh
cmNoIENlbnRlciwgUGVyaW5hdG9sb2d5IFdhcmQsIFNoaXJheiBVbml2ZXJzaXR5IG9mIE1lZGlj
YWwgU2NpZW5jZXMsIFNoaXJheiwgSXJhbi4gRWxlY3Ryb25pYyBhZGRyZXNzOiBuYXNhZGkyMDEy
QHlhaG9vLmNhLiYjeEQ7RGVwYXJ0bWVudCBvZiBiaW9zdGF0aXN0aWNzIHNjaG9vbCBvZiBtZWRp
Y2luZSBTaGlyYXogVW5pdmVyc2l0eSBvZiBNZWRpY2FsIFNjaWVuY2UsIFNoaXJheiwgSXJhbi4g
RWxlY3Ryb25pYyBhZGRyZXNzOiBCaW9zdGF0OTFAZ21haWwuY29tLiYjeEQ7TWF0ZXJuYWwtRmV0
YWwgTWVkaWNpbmUgUmVzZWFyY2ggQ2VudGVyLCBTaGlyYXogVW5pdmVyc2l0eSBvZiBNZWRpY2Fs
IFNjaWVuY2VzLCBTaGlyYXosIElyYW4uIEVsZWN0cm9uaWMgYWRkcmVzczogVmFmYWVpaEBnbWFp
bC5jb20uJiN4RDtNYXRlcm5hbC1GZXRhbCBNZWRpY2luZSBSZXNlYXJjaCBDZW50ZXIsIFNoaXJh
eiBVbml2ZXJzaXR5IG9mIE1lZGljYWwgU2NpZW5jZXMsIFNoaXJheiwgSXJhbi4gRWxlY3Ryb25p
YyBhZGRyZXNzOiBrYXNyYWVlbW1AeWFob28uY29tLiYjeEQ7TWF0ZXJuYWwtRmV0YWwgTWVkaWNp
bmUgUmVzZWFyY2ggQ2VudGVyLCBTaGlyYXogVW5pdmVyc2l0eSBvZiBNZWRpY2FsIFNjaWVuY2Vz
LCBTaGlyYXosIElyYW4uIEVsZWN0cm9uaWMgYWRkcmVzczogYmF6cmFmc2hhbi5raEBnbWFpbC5j
b20uJiN4RDtNYXRlcm5hbC1GZXRhbCBNZWRpY2luZSBSZXNlYXJjaCBDZW50ZXIsIFNoaXJheiBV
bml2ZXJzaXR5IG9mIE1lZGljYWwgU2NpZW5jZXMsIFNoaXJheiwgSXJhbi4gRWxlY3Ryb25pYyBh
ZGRyZXNzOiBmYXJhamlhekBzdW1zLmFjLmlyLjwvYXV0aC1hZGRyZXNzPjx0aXRsZXM+PHRpdGxl
PkRvdWJsZS1ibGluZCByYW5kb21pemVkIHBsYWNlYm8tY29udHJvbGxlZCB0cmlhbCBvbiBlZmZp
Y2FjeSBhbmQgc2FmZXR5IG9mIExhY3R1Y2Egc2F0aXZhIEwuIHNlZWRzIG9uIHByZWduYW5jeS1y
ZWxhdGVkIGluc29tbmlhPC90aXRsZT48c2Vjb25kYXJ5LXRpdGxlPkogRXRobm9waGFybWFjb2w8
L3NlY29uZGFyeS10aXRsZT48L3RpdGxlcz48cGVyaW9kaWNhbD48ZnVsbC10aXRsZT5KIEV0aG5v
cGhhcm1hY29sPC9mdWxsLXRpdGxlPjwvcGVyaW9kaWNhbD48cGFnZXM+MTc2LTE4MDwvcGFnZXM+
PHZvbHVtZT4yMjc8L3ZvbHVtZT48ZWRpdGlvbj4yMDE4LzA5LzAzPC9lZGl0aW9uPjxrZXl3b3Jk
cz48a2V5d29yZD5BZHVsdDwva2V5d29yZD48a2V5d29yZD5Eb3VibGUtQmxpbmQgTWV0aG9kPC9r
ZXl3b3JkPjxrZXl3b3JkPkZlbWFsZTwva2V5d29yZD48a2V5d29yZD5IdW1hbnM8L2tleXdvcmQ+
PGtleXdvcmQ+KkxldHR1Y2U8L2tleXdvcmQ+PGtleXdvcmQ+TWlkZGxlIEFnZWQ8L2tleXdvcmQ+
PGtleXdvcmQ+UGh5dG90aGVyYXB5PC9rZXl3b3JkPjxrZXl3b3JkPlByZWduYW5jeTwva2V5d29y
ZD48a2V5d29yZD5QcmVnbmFuY3kgQ29tcGxpY2F0aW9ucy8qdGhlcmFweTwva2V5d29yZD48a2V5
d29yZD4qU2VlZHM8L2tleXdvcmQ+PGtleXdvcmQ+U2xlZXAgSW5pdGlhdGlvbiBhbmQgTWFpbnRl
bmFuY2UgRGlzb3JkZXJzL2V0aW9sb2d5Lyp0aGVyYXB5PC9rZXl3b3JkPjxrZXl3b3JkPlRyZWF0
bWVudCBPdXRjb21lPC9rZXl3b3JkPjxrZXl3b3JkPllvdW5nIEFkdWx0PC9rZXl3b3JkPjxrZXl3
b3JkPkhlcmJhbCBtZWRpY2luZTwva2V5d29yZD48a2V5d29yZD5IeXBub3RpYzwva2V5d29yZD48
a2V5d29yZD5JbnNvbW5pYTwva2V5d29yZD48L2tleXdvcmRzPjxkYXRlcz48eWVhcj4yMDE4PC95
ZWFyPjxwdWItZGF0ZXM+PGRhdGU+RGVjIDU8L2RhdGU+PC9wdWItZGF0ZXM+PC9kYXRlcz48aXNi
bj4xODcyLTc1NzMgKEVsZWN0cm9uaWMpJiN4RDswMzc4LTg3NDEgKExpbmtpbmcpPC9pc2JuPjxh
Y2Nlc3Npb24tbnVtPjMwMTcyOTAwPC9hY2Nlc3Npb24tbnVtPjx1cmxzPjxyZWxhdGVkLXVybHM+
PHVybD5odHRwczovL3d3dy5uY2JpLm5sbS5uaWguZ292L3B1Ym1lZC8zMDE3MjkwMDwvdXJsPjwv
cmVsYXRlZC11cmxzPjwvdXJscz48ZWxlY3Ryb25pYy1yZXNvdXJjZS1udW0+MTAuMTAxNi9qLmpl
cC4yMDE4LjA4LjAwMTwvZWxlY3Ryb25pYy1yZXNvdXJjZS1udW0+PC9yZWNvcmQ+PC9DaXRlPjwv
RW5kTm90ZT5=
</w:fldData>
              </w:fldChar>
            </w:r>
            <w:r w:rsidR="002747EA">
              <w:instrText xml:space="preserve"> ADDIN EN.CITE.DATA </w:instrText>
            </w:r>
            <w:r w:rsidR="002747EA">
              <w:fldChar w:fldCharType="end"/>
            </w:r>
            <w:r>
              <w:fldChar w:fldCharType="separate"/>
            </w:r>
            <w:r w:rsidR="002747EA" w:rsidRPr="002747EA">
              <w:rPr>
                <w:noProof/>
                <w:vertAlign w:val="superscript"/>
              </w:rPr>
              <w:t>262</w:t>
            </w:r>
            <w:r>
              <w:fldChar w:fldCharType="end"/>
            </w:r>
          </w:p>
          <w:p w14:paraId="347824E9" w14:textId="77777777" w:rsidR="00FF1179" w:rsidRDefault="00FF1179" w:rsidP="003E2D58">
            <w:r>
              <w:t>RCT</w:t>
            </w:r>
          </w:p>
          <w:p w14:paraId="2A7D4B83" w14:textId="002CC84E" w:rsidR="0099206A" w:rsidRDefault="0099206A" w:rsidP="003E2D58">
            <w:r>
              <w:t>Iran</w:t>
            </w:r>
          </w:p>
        </w:tc>
        <w:tc>
          <w:tcPr>
            <w:tcW w:w="1417" w:type="dxa"/>
          </w:tcPr>
          <w:p w14:paraId="23C69BA3" w14:textId="77777777" w:rsidR="00FF1179" w:rsidRDefault="00FF1179" w:rsidP="003E2D58">
            <w:r>
              <w:t xml:space="preserve">Intervention 50 </w:t>
            </w:r>
          </w:p>
          <w:p w14:paraId="154D74CA" w14:textId="77777777" w:rsidR="00FF1179" w:rsidRDefault="00FF1179" w:rsidP="003E2D58">
            <w:r>
              <w:t>Control 50</w:t>
            </w:r>
          </w:p>
        </w:tc>
        <w:tc>
          <w:tcPr>
            <w:tcW w:w="4532" w:type="dxa"/>
          </w:tcPr>
          <w:p w14:paraId="5786222D" w14:textId="77777777" w:rsidR="00FF1179" w:rsidRDefault="00FF1179" w:rsidP="00037CC9">
            <w:r>
              <w:rPr>
                <w:b/>
              </w:rPr>
              <w:t xml:space="preserve">Aim: </w:t>
            </w:r>
            <w:r>
              <w:t>T</w:t>
            </w:r>
            <w:r w:rsidRPr="00037CC9">
              <w:t xml:space="preserve">o evaluate the effects of lettuce seed on pregnant women for the treatment of insomnia. </w:t>
            </w:r>
          </w:p>
          <w:p w14:paraId="4FDA0C69" w14:textId="77777777" w:rsidR="00FF1179" w:rsidRPr="00A96512" w:rsidRDefault="00FF1179" w:rsidP="00037CC9">
            <w:pPr>
              <w:rPr>
                <w:b/>
              </w:rPr>
            </w:pPr>
            <w:r w:rsidRPr="00037CC9">
              <w:rPr>
                <w:b/>
              </w:rPr>
              <w:t>Methods</w:t>
            </w:r>
            <w:r w:rsidRPr="00037CC9">
              <w:t>: In a prospect</w:t>
            </w:r>
            <w:r>
              <w:t>ive randomis</w:t>
            </w:r>
            <w:r w:rsidRPr="00037CC9">
              <w:t>ed clinical trial, 100 pregnant women with insomnia aged 20-45 years were assigned to receive capsules containing 1000</w:t>
            </w:r>
            <w:r>
              <w:t> </w:t>
            </w:r>
            <w:r w:rsidRPr="00037CC9">
              <w:t>mg of lettuce seed or a placebo daily for two weeks. The main outcome was the quality of sleep, which was measured using the Pittsburgh Sleep Quality Index (PSQI).</w:t>
            </w:r>
          </w:p>
        </w:tc>
        <w:tc>
          <w:tcPr>
            <w:tcW w:w="4536" w:type="dxa"/>
          </w:tcPr>
          <w:p w14:paraId="7B1AFFD8" w14:textId="77777777" w:rsidR="00FF1179" w:rsidRDefault="00FF1179" w:rsidP="00037CC9">
            <w:r w:rsidRPr="00037CC9">
              <w:t xml:space="preserve">Linear regression analysis showed that, after controlling for the other variables, the average sleep score of the experimental group was significantly lower than for the placebo group (p=0.03). </w:t>
            </w:r>
          </w:p>
        </w:tc>
        <w:tc>
          <w:tcPr>
            <w:tcW w:w="1843" w:type="dxa"/>
          </w:tcPr>
          <w:p w14:paraId="55D5EA4B" w14:textId="77777777" w:rsidR="00FF1179" w:rsidRDefault="00FF1179" w:rsidP="003E2D58"/>
        </w:tc>
      </w:tr>
      <w:tr w:rsidR="00FF1179" w:rsidRPr="00141F7B" w14:paraId="35558A50" w14:textId="77777777" w:rsidTr="009F4D18">
        <w:trPr>
          <w:cantSplit/>
          <w:trHeight w:val="390"/>
        </w:trPr>
        <w:tc>
          <w:tcPr>
            <w:tcW w:w="1564" w:type="dxa"/>
            <w:tcBorders>
              <w:bottom w:val="single" w:sz="4" w:space="0" w:color="auto"/>
            </w:tcBorders>
          </w:tcPr>
          <w:p w14:paraId="6F9DAAE7" w14:textId="2DAAE560" w:rsidR="00FF1179" w:rsidRDefault="00FF1179" w:rsidP="00201490">
            <w:r>
              <w:t>Sridharan et al 2018</w:t>
            </w:r>
            <w:r w:rsidR="00774750">
              <w:fldChar w:fldCharType="begin"/>
            </w:r>
            <w:r w:rsidR="002747EA">
              <w:instrText xml:space="preserve"> ADDIN EN.CITE &lt;EndNote&gt;&lt;Cite&gt;&lt;Author&gt;Sridharan&lt;/Author&gt;&lt;Year&gt;2018&lt;/Year&gt;&lt;RecNum&gt;1577&lt;/RecNum&gt;&lt;DisplayText&gt;&lt;style face="superscript" font="Trebuchet MS" size="9"&gt;141&lt;/style&gt;&lt;/DisplayText&gt;&lt;record&gt;&lt;rec-number&gt;1577&lt;/rec-number&gt;&lt;foreign-keys&gt;&lt;key app="EN" db-id="exvasrfx2dtraoesasxp2szsxa2df502592x" timestamp="1576536337"&gt;1577&lt;/key&gt;&lt;key app="ENWeb" db-id=""&gt;0&lt;/key&gt;&lt;/foreign-keys&gt;&lt;ref-type name="Journal Article"&gt;17&lt;/ref-type&gt;&lt;contributors&gt;&lt;authors&gt;&lt;author&gt;Sridharan, Kannan&lt;/author&gt;&lt;author&gt;Sivaramakrishnan, Gowri&lt;/author&gt;&lt;/authors&gt;&lt;/contributors&gt;&lt;titles&gt;&lt;title&gt;Interventions for treating nausea and vomiting in pregnancy: a network meta-analysis and trial sequential analysis of randomized clinical trials&lt;/title&gt;&lt;secondary-title&gt;Expert Review of Clinical Pharmacology&lt;/secondary-title&gt;&lt;/titles&gt;&lt;periodical&gt;&lt;full-title&gt;Expert Review of Clinical Pharmacology&lt;/full-title&gt;&lt;/periodical&gt;&lt;pages&gt;1143-1150&lt;/pages&gt;&lt;volume&gt;11&lt;/volume&gt;&lt;number&gt;11&lt;/number&gt;&lt;section&gt;1143&lt;/section&gt;&lt;dates&gt;&lt;year&gt;2018&lt;/year&gt;&lt;/dates&gt;&lt;isbn&gt;1751-2433&amp;#xD;1751-2441&lt;/isbn&gt;&lt;urls&gt;&lt;/urls&gt;&lt;electronic-resource-num&gt;10.1080/17512433.2018.1530108&lt;/electronic-resource-num&gt;&lt;/record&gt;&lt;/Cite&gt;&lt;/EndNote&gt;</w:instrText>
            </w:r>
            <w:r w:rsidR="00774750">
              <w:fldChar w:fldCharType="separate"/>
            </w:r>
            <w:r w:rsidR="002747EA" w:rsidRPr="002747EA">
              <w:rPr>
                <w:noProof/>
                <w:vertAlign w:val="superscript"/>
              </w:rPr>
              <w:t>141</w:t>
            </w:r>
            <w:r w:rsidR="00774750">
              <w:fldChar w:fldCharType="end"/>
            </w:r>
          </w:p>
          <w:p w14:paraId="0EB24E97" w14:textId="77777777" w:rsidR="00FF1179" w:rsidRDefault="00FF1179" w:rsidP="00201490">
            <w:r>
              <w:t>SLR</w:t>
            </w:r>
          </w:p>
        </w:tc>
        <w:tc>
          <w:tcPr>
            <w:tcW w:w="1417" w:type="dxa"/>
            <w:tcBorders>
              <w:bottom w:val="single" w:sz="4" w:space="0" w:color="auto"/>
            </w:tcBorders>
          </w:tcPr>
          <w:p w14:paraId="697DB545" w14:textId="77777777" w:rsidR="00FF1179" w:rsidRDefault="00FF1179" w:rsidP="00543079">
            <w:r>
              <w:t>Ginger: 10 studies</w:t>
            </w:r>
          </w:p>
          <w:p w14:paraId="169FFDAC" w14:textId="77777777" w:rsidR="00FF1179" w:rsidRDefault="00FF1179" w:rsidP="00543079">
            <w:r>
              <w:t>Chamomile: 1 study</w:t>
            </w:r>
          </w:p>
        </w:tc>
        <w:tc>
          <w:tcPr>
            <w:tcW w:w="4532" w:type="dxa"/>
            <w:tcBorders>
              <w:bottom w:val="single" w:sz="4" w:space="0" w:color="auto"/>
            </w:tcBorders>
          </w:tcPr>
          <w:p w14:paraId="12D36EA7" w14:textId="77777777" w:rsidR="00FF1179" w:rsidRPr="00665478" w:rsidRDefault="00FF1179" w:rsidP="00665478">
            <w:pPr>
              <w:rPr>
                <w:rFonts w:ascii="Helvetica" w:hAnsi="Helvetica"/>
                <w:sz w:val="14"/>
                <w:szCs w:val="14"/>
              </w:rPr>
            </w:pPr>
            <w:r>
              <w:rPr>
                <w:b/>
              </w:rPr>
              <w:t xml:space="preserve">Aim: To </w:t>
            </w:r>
            <w:r>
              <w:t>carry</w:t>
            </w:r>
            <w:r w:rsidRPr="00665478">
              <w:t xml:space="preserve"> out a network meta-analysis comparing the interventions used for treating nausea and vomi</w:t>
            </w:r>
            <w:r>
              <w:t>ting in pregnancy</w:t>
            </w:r>
            <w:r w:rsidRPr="00665478">
              <w:rPr>
                <w:rFonts w:ascii="Helvetica" w:hAnsi="Helvetica"/>
                <w:sz w:val="14"/>
                <w:szCs w:val="14"/>
              </w:rPr>
              <w:t>.</w:t>
            </w:r>
          </w:p>
          <w:p w14:paraId="5448B4DD" w14:textId="77777777" w:rsidR="00FF1179" w:rsidRPr="005409D7" w:rsidRDefault="00FF1179" w:rsidP="005409D7">
            <w:pPr>
              <w:rPr>
                <w:rFonts w:ascii="Helvetica" w:hAnsi="Helvetica"/>
                <w:sz w:val="14"/>
                <w:szCs w:val="14"/>
              </w:rPr>
            </w:pPr>
            <w:r>
              <w:rPr>
                <w:b/>
              </w:rPr>
              <w:t xml:space="preserve">Methods: </w:t>
            </w:r>
            <w:r w:rsidRPr="00665478">
              <w:t>We se</w:t>
            </w:r>
            <w:r w:rsidRPr="005409D7">
              <w:t xml:space="preserve">arched PubMed, Cochrane CENTRAL, and Google Scholar for </w:t>
            </w:r>
            <w:r>
              <w:t>randomis</w:t>
            </w:r>
            <w:r w:rsidRPr="005409D7">
              <w:t xml:space="preserve">ed clinical trials carried out in pregnant women with </w:t>
            </w:r>
            <w:r>
              <w:t>nausea or vomiting</w:t>
            </w:r>
            <w:r w:rsidRPr="005409D7">
              <w:t xml:space="preserve">. Those carried out in </w:t>
            </w:r>
            <w:r>
              <w:t>women</w:t>
            </w:r>
            <w:r w:rsidRPr="005409D7">
              <w:t xml:space="preserve"> with hyperemesis gravidarum were excluded. Direct estimates were derived by pooling the data from head-to-head clinical trials while indirect estimates through a common comparator. </w:t>
            </w:r>
          </w:p>
        </w:tc>
        <w:tc>
          <w:tcPr>
            <w:tcW w:w="4536" w:type="dxa"/>
            <w:tcBorders>
              <w:bottom w:val="single" w:sz="4" w:space="0" w:color="auto"/>
            </w:tcBorders>
          </w:tcPr>
          <w:p w14:paraId="044F64F8" w14:textId="77777777" w:rsidR="00FF1179" w:rsidRDefault="00FF1179" w:rsidP="0099388D">
            <w:r>
              <w:t>Difference in nausea score:</w:t>
            </w:r>
          </w:p>
          <w:p w14:paraId="74E13A09" w14:textId="5EB5367A" w:rsidR="00FF1179" w:rsidRDefault="00FF1179" w:rsidP="002B7F2A">
            <w:pPr>
              <w:pStyle w:val="bullet"/>
            </w:pPr>
            <w:r>
              <w:t xml:space="preserve">Ginger vs placebo: MD -4.2; 95%CI -6.5 to -1.9; moderate </w:t>
            </w:r>
            <w:r w:rsidR="00FB2A6C">
              <w:t>certainty</w:t>
            </w:r>
          </w:p>
          <w:p w14:paraId="07456C38" w14:textId="0403D187" w:rsidR="00FF1179" w:rsidRDefault="00FF1179" w:rsidP="002B7F2A">
            <w:pPr>
              <w:pStyle w:val="bullet"/>
            </w:pPr>
            <w:r>
              <w:t xml:space="preserve">Chamomile vs placebo: MD -4.2; 95%CI -6.7 to -1.7; very low </w:t>
            </w:r>
            <w:r w:rsidR="00FB2A6C">
              <w:t>certainty</w:t>
            </w:r>
          </w:p>
          <w:p w14:paraId="0D555E8A" w14:textId="74F7E0ED" w:rsidR="00CB4C29" w:rsidRDefault="00CB4C29" w:rsidP="00CB4C29">
            <w:r>
              <w:t>Adverse effects</w:t>
            </w:r>
            <w:r w:rsidR="00E213FD">
              <w:t xml:space="preserve"> (mixed treatment comparison)</w:t>
            </w:r>
            <w:r>
              <w:t>:</w:t>
            </w:r>
          </w:p>
          <w:p w14:paraId="7F7C5118" w14:textId="1BEDBF7C" w:rsidR="00CB4C29" w:rsidRDefault="00CB4C29" w:rsidP="002B7F2A">
            <w:pPr>
              <w:pStyle w:val="bullet"/>
            </w:pPr>
            <w:r>
              <w:t xml:space="preserve">Ginger </w:t>
            </w:r>
            <w:r w:rsidR="00E9120C">
              <w:t>OR 0.4; 95%CI 0.1 to 0.9</w:t>
            </w:r>
          </w:p>
        </w:tc>
        <w:tc>
          <w:tcPr>
            <w:tcW w:w="1843" w:type="dxa"/>
            <w:tcBorders>
              <w:bottom w:val="single" w:sz="4" w:space="0" w:color="auto"/>
            </w:tcBorders>
          </w:tcPr>
          <w:p w14:paraId="5F40003A" w14:textId="77777777" w:rsidR="00FF1179" w:rsidRDefault="00FF1179" w:rsidP="00543079"/>
        </w:tc>
      </w:tr>
      <w:tr w:rsidR="00FF1179" w:rsidRPr="00141F7B" w14:paraId="1D8A824C" w14:textId="77777777" w:rsidTr="009F4D18">
        <w:trPr>
          <w:cantSplit/>
          <w:trHeight w:val="390"/>
        </w:trPr>
        <w:tc>
          <w:tcPr>
            <w:tcW w:w="1564" w:type="dxa"/>
          </w:tcPr>
          <w:p w14:paraId="2DA7DF5A" w14:textId="7B5C77F9" w:rsidR="00FF1179" w:rsidRDefault="00FF1179" w:rsidP="003E2D58">
            <w:r>
              <w:t>Steel et al 2014</w:t>
            </w:r>
            <w:r>
              <w:fldChar w:fldCharType="begin">
                <w:fldData xml:space="preserve">PEVuZE5vdGU+PENpdGU+PEF1dGhvcj5TdGVlbDwvQXV0aG9yPjxZZWFyPjIwMTQ8L1llYXI+PFJl
Y051bT4xNTgzPC9SZWNOdW0+PERpc3BsYXlUZXh0PjxzdHlsZSBmYWNlPSJzdXBlcnNjcmlwdCIg
Zm9udD0iVHJlYnVjaGV0IE1TIiBzaXplPSI5Ij4yNTc8L3N0eWxlPjwvRGlzcGxheVRleHQ+PHJl
Y29yZD48cmVjLW51bWJlcj4xNTgzPC9yZWMtbnVtYmVyPjxmb3JlaWduLWtleXM+PGtleSBhcHA9
IkVOIiBkYi1pZD0iZXh2YXNyZngyZHRyYW9lc2FzeHAyc3pzeGEyZGY1MDI1OTJ4IiB0aW1lc3Rh
bXA9IjE1NzY1MzYzNjMiPjE1ODM8L2tleT48a2V5IGFwcD0iRU5XZWIiIGRiLWlkPSIiPjA8L2tl
eT48L2ZvcmVpZ24ta2V5cz48cmVmLXR5cGUgbmFtZT0iSm91cm5hbCBBcnRpY2xlIj4xNzwvcmVm
LXR5cGU+PGNvbnRyaWJ1dG9ycz48YXV0aG9ycz48YXV0aG9yPlN0ZWVsLCBBLjwvYXV0aG9yPjxh
dXRob3I+QWRhbXMsIEouPC9hdXRob3I+PGF1dGhvcj5TaWJicml0dCwgRC48L2F1dGhvcj48YXV0
aG9yPkJyb29tLCBBLjwvYXV0aG9yPjxhdXRob3I+RnJhd2xleSwgSi48L2F1dGhvcj48YXV0aG9y
PkdhbGxvaXMsIEMuPC9hdXRob3I+PC9hdXRob3JzPjwvY29udHJpYnV0b3JzPjxhdXRoLWFkZHJl
c3M+QXVzdHJhbGlhbiBSZXNlYXJjaCBDZW50cmUgaW4gQ29tcGxlbWVudGFyeSBhbmQgSW50ZWdy
YXRpdmUgTWVkaWNpbmUsIEZhY3VsdHkgb2YgSGVhbHRoLCBVVFMsIExldmVsIDcsIEJ1aWxkaW5n
IDEwLCAyMzUtMjUzIEpvbmVzIFN0cmVldCwgVWx0aW1vLCBOU1cgMjAwNiwgQXVzdHJhbGlhOyBP
ZmZpY2Ugb2YgUmVzZWFyY2gsIEVuZGVhdm91ciBDb2xsZWdlIG9mIE5hdHVyYWwgSGVhbHRoLCAy
NjkgV2lja2hhbSBTdCwgRm9ydGl0dWRlIFZhbGxleSwgUUxEIDQwMDYsIEF1c3RyYWxpYS4gRWxl
Y3Ryb25pYyBhZGRyZXNzOiBhbWllLnN0ZWVsQHV0cy5lZHUuYXUuJiN4RDtBdXN0cmFsaWFuIFJl
c2VhcmNoIENlbnRyZSBpbiBDb21wbGVtZW50YXJ5IGFuZCBJbnRlZ3JhdGl2ZSBNZWRpY2luZSwg
RmFjdWx0eSBvZiBIZWFsdGgsIFVUUywgTGV2ZWwgNywgQnVpbGRpbmcgMTAsIDIzNS0yNTMgSm9u
ZXMgU3RyZWV0LCBVbHRpbW8sIE5TVyAyMDA2LCBBdXN0cmFsaWEuJiN4RDtTY2hvb2wgb2YgU29j
aWFsIFNjaWVuY2UsIFVuaXZlcnNpdHkgb2YgUXVlZW5zbGFuZCwgU3QgTHVjaWEsIFFMRCA0MDcy
LCBBdXN0cmFsaWEuJiN4RDtTY2hvb2wgb2YgUHN5Y2hvbG9neSwgVW5pdmVyc2l0eSBvZiBRdWVl
bnNsYW5kLCBTdCBMdWNpYSwgUUxEIDQwNzIsIEF1c3RyYWxpYS48L2F1dGgtYWRkcmVzcz48dGl0
bGVzPjx0aXRsZT5SZWxhdGlvbnNoaXAgYmV0d2VlbiBjb21wbGVtZW50YXJ5IGFuZCBhbHRlcm5h
dGl2ZSBtZWRpY2luZSB1c2UgYW5kIGluY2lkZW5jZSBvZiBhZHZlcnNlIGJpcnRoIG91dGNvbWVz
OiBhbiBleGFtaW5hdGlvbiBvZiBhIG5hdGlvbmFsbHkgcmVwcmVzZW50YXRpdmUgc2FtcGxlIG9m
IDE4MzUgQXVzdHJhbGlhbiB3b21lbjwvdGl0bGU+PHNlY29uZGFyeS10aXRsZT5NaWR3aWZlcnk8
L3NlY29uZGFyeS10aXRsZT48L3RpdGxlcz48cGVyaW9kaWNhbD48ZnVsbC10aXRsZT5NaWR3aWZl
cnk8L2Z1bGwtdGl0bGU+PC9wZXJpb2RpY2FsPjxwYWdlcz4xMTU3LTY1PC9wYWdlcz48dm9sdW1l
PjMwPC92b2x1bWU+PG51bWJlcj4xMjwvbnVtYmVyPjxlZGl0aW9uPjIwMTQvMDQvMjA8L2VkaXRp
b24+PGtleXdvcmRzPjxrZXl3b3JkPkFkdWx0PC9rZXl3b3JkPjxrZXl3b3JkPkF1c3RyYWxpYS9l
cGlkZW1pb2xvZ3k8L2tleXdvcmQ+PGtleXdvcmQ+QmV2ZXJhZ2VzLyphZHZlcnNlIGVmZmVjdHMv
c3RhdGlzdGljcyAmYW1wOyBudW1lcmljYWwgZGF0YTwva2V5d29yZD48a2V5d29yZD4qRGVsaXZl
cnksIE9ic3RldHJpYy9hZHZlcnNlIGVmZmVjdHMvbWV0aG9kcy9zdGF0aXN0aWNzICZhbXA7IG51
bWVyaWNhbCBkYXRhPC9rZXl3b3JkPjxrZXl3b3JkPkZlbWFsZTwva2V5d29yZD48a2V5d29yZD5I
dW1hbnM8L2tleXdvcmQ+PGtleXdvcmQ+TG9uZ2l0dWRpbmFsIFN0dWRpZXM8L2tleXdvcmQ+PGtl
eXdvcmQ+TWFuaXB1bGF0aW9uLCBDaGlyb3ByYWN0aWMvKmFkdmVyc2UgZWZmZWN0cy9tZXRob2Rz
PC9rZXl3b3JkPjxrZXl3b3JkPk5hdHVyYWwgQ2hpbGRiaXJ0aC8qYWR2ZXJzZSBlZmZlY3RzL3N0
YXRpc3RpY3MgJmFtcDsgbnVtZXJpY2FsIGRhdGE8L2tleXdvcmQ+PGtleXdvcmQ+KlBvc3RwYXJ0
dW0gSGVtb3JyaGFnZS9lcGlkZW1pb2xvZ3kvZXRpb2xvZ3k8L2tleXdvcmQ+PGtleXdvcmQ+UHJl
Z25hbmN5PC9rZXl3b3JkPjxrZXl3b3JkPlByZWduYW5jeSBPdXRjb21lL2VwaWRlbWlvbG9neTwv
a2V5d29yZD48a2V5d29yZD4qUHJlbWF0dXJlIEJpcnRoL2VwaWRlbWlvbG9neS9ldGlvbG9neTwv
a2V5d29yZD48a2V5d29yZD4qU3RyZXNzLCBQc3ljaG9sb2dpY2FsL2VwaWRlbWlvbG9neS9ldGlv
bG9neTwva2V5d29yZD48a2V5d29yZD4qWW9nYTwva2V5d29yZD48a2V5d29yZD5BbHRlcm5hdGl2
ZSBtZWRpY2luZTwva2V5d29yZD48a2V5d29yZD5CaXJ0aCBvdXRjb21lczwva2V5d29yZD48a2V5
d29yZD5Db21wbGVtZW50YXJ5IG1lZGljaW5lPC9rZXl3b3JkPjxrZXl3b3JkPkxhYm91cjwva2V5
d29yZD48L2tleXdvcmRzPjxkYXRlcz48eWVhcj4yMDE0PC95ZWFyPjxwdWItZGF0ZXM+PGRhdGU+
RGVjPC9kYXRlPjwvcHViLWRhdGVzPjwvZGF0ZXM+PGlzYm4+MTUzMi0zMDk5IChFbGVjdHJvbmlj
KSYjeEQ7MDI2Ni02MTM4IChMaW5raW5nKTwvaXNibj48YWNjZXNzaW9uLW51bT4yNDc0MjYzNjwv
YWNjZXNzaW9uLW51bT48dXJscz48cmVsYXRlZC11cmxzPjx1cmw+aHR0cHM6Ly93d3cubmNiaS5u
bG0ubmloLmdvdi9wdWJtZWQvMjQ3NDI2MzY8L3VybD48L3JlbGF0ZWQtdXJscz48L3VybHM+PGVs
ZWN0cm9uaWMtcmVzb3VyY2UtbnVtPjEwLjEwMTYvai5taWR3LjIwMTQuMDMuMDE1PC9lbGVjdHJv
bmljLXJlc291cmNlLW51bT48L3JlY29yZD48L0NpdGU+PC9FbmROb3RlPgB=
</w:fldData>
              </w:fldChar>
            </w:r>
            <w:r w:rsidR="002747EA">
              <w:instrText xml:space="preserve"> ADDIN EN.CITE </w:instrText>
            </w:r>
            <w:r w:rsidR="002747EA">
              <w:fldChar w:fldCharType="begin">
                <w:fldData xml:space="preserve">PEVuZE5vdGU+PENpdGU+PEF1dGhvcj5TdGVlbDwvQXV0aG9yPjxZZWFyPjIwMTQ8L1llYXI+PFJl
Y051bT4xNTgzPC9SZWNOdW0+PERpc3BsYXlUZXh0PjxzdHlsZSBmYWNlPSJzdXBlcnNjcmlwdCIg
Zm9udD0iVHJlYnVjaGV0IE1TIiBzaXplPSI5Ij4yNTc8L3N0eWxlPjwvRGlzcGxheVRleHQ+PHJl
Y29yZD48cmVjLW51bWJlcj4xNTgzPC9yZWMtbnVtYmVyPjxmb3JlaWduLWtleXM+PGtleSBhcHA9
IkVOIiBkYi1pZD0iZXh2YXNyZngyZHRyYW9lc2FzeHAyc3pzeGEyZGY1MDI1OTJ4IiB0aW1lc3Rh
bXA9IjE1NzY1MzYzNjMiPjE1ODM8L2tleT48a2V5IGFwcD0iRU5XZWIiIGRiLWlkPSIiPjA8L2tl
eT48L2ZvcmVpZ24ta2V5cz48cmVmLXR5cGUgbmFtZT0iSm91cm5hbCBBcnRpY2xlIj4xNzwvcmVm
LXR5cGU+PGNvbnRyaWJ1dG9ycz48YXV0aG9ycz48YXV0aG9yPlN0ZWVsLCBBLjwvYXV0aG9yPjxh
dXRob3I+QWRhbXMsIEouPC9hdXRob3I+PGF1dGhvcj5TaWJicml0dCwgRC48L2F1dGhvcj48YXV0
aG9yPkJyb29tLCBBLjwvYXV0aG9yPjxhdXRob3I+RnJhd2xleSwgSi48L2F1dGhvcj48YXV0aG9y
PkdhbGxvaXMsIEMuPC9hdXRob3I+PC9hdXRob3JzPjwvY29udHJpYnV0b3JzPjxhdXRoLWFkZHJl
c3M+QXVzdHJhbGlhbiBSZXNlYXJjaCBDZW50cmUgaW4gQ29tcGxlbWVudGFyeSBhbmQgSW50ZWdy
YXRpdmUgTWVkaWNpbmUsIEZhY3VsdHkgb2YgSGVhbHRoLCBVVFMsIExldmVsIDcsIEJ1aWxkaW5n
IDEwLCAyMzUtMjUzIEpvbmVzIFN0cmVldCwgVWx0aW1vLCBOU1cgMjAwNiwgQXVzdHJhbGlhOyBP
ZmZpY2Ugb2YgUmVzZWFyY2gsIEVuZGVhdm91ciBDb2xsZWdlIG9mIE5hdHVyYWwgSGVhbHRoLCAy
NjkgV2lja2hhbSBTdCwgRm9ydGl0dWRlIFZhbGxleSwgUUxEIDQwMDYsIEF1c3RyYWxpYS4gRWxl
Y3Ryb25pYyBhZGRyZXNzOiBhbWllLnN0ZWVsQHV0cy5lZHUuYXUuJiN4RDtBdXN0cmFsaWFuIFJl
c2VhcmNoIENlbnRyZSBpbiBDb21wbGVtZW50YXJ5IGFuZCBJbnRlZ3JhdGl2ZSBNZWRpY2luZSwg
RmFjdWx0eSBvZiBIZWFsdGgsIFVUUywgTGV2ZWwgNywgQnVpbGRpbmcgMTAsIDIzNS0yNTMgSm9u
ZXMgU3RyZWV0LCBVbHRpbW8sIE5TVyAyMDA2LCBBdXN0cmFsaWEuJiN4RDtTY2hvb2wgb2YgU29j
aWFsIFNjaWVuY2UsIFVuaXZlcnNpdHkgb2YgUXVlZW5zbGFuZCwgU3QgTHVjaWEsIFFMRCA0MDcy
LCBBdXN0cmFsaWEuJiN4RDtTY2hvb2wgb2YgUHN5Y2hvbG9neSwgVW5pdmVyc2l0eSBvZiBRdWVl
bnNsYW5kLCBTdCBMdWNpYSwgUUxEIDQwNzIsIEF1c3RyYWxpYS48L2F1dGgtYWRkcmVzcz48dGl0
bGVzPjx0aXRsZT5SZWxhdGlvbnNoaXAgYmV0d2VlbiBjb21wbGVtZW50YXJ5IGFuZCBhbHRlcm5h
dGl2ZSBtZWRpY2luZSB1c2UgYW5kIGluY2lkZW5jZSBvZiBhZHZlcnNlIGJpcnRoIG91dGNvbWVz
OiBhbiBleGFtaW5hdGlvbiBvZiBhIG5hdGlvbmFsbHkgcmVwcmVzZW50YXRpdmUgc2FtcGxlIG9m
IDE4MzUgQXVzdHJhbGlhbiB3b21lbjwvdGl0bGU+PHNlY29uZGFyeS10aXRsZT5NaWR3aWZlcnk8
L3NlY29uZGFyeS10aXRsZT48L3RpdGxlcz48cGVyaW9kaWNhbD48ZnVsbC10aXRsZT5NaWR3aWZl
cnk8L2Z1bGwtdGl0bGU+PC9wZXJpb2RpY2FsPjxwYWdlcz4xMTU3LTY1PC9wYWdlcz48dm9sdW1l
PjMwPC92b2x1bWU+PG51bWJlcj4xMjwvbnVtYmVyPjxlZGl0aW9uPjIwMTQvMDQvMjA8L2VkaXRp
b24+PGtleXdvcmRzPjxrZXl3b3JkPkFkdWx0PC9rZXl3b3JkPjxrZXl3b3JkPkF1c3RyYWxpYS9l
cGlkZW1pb2xvZ3k8L2tleXdvcmQ+PGtleXdvcmQ+QmV2ZXJhZ2VzLyphZHZlcnNlIGVmZmVjdHMv
c3RhdGlzdGljcyAmYW1wOyBudW1lcmljYWwgZGF0YTwva2V5d29yZD48a2V5d29yZD4qRGVsaXZl
cnksIE9ic3RldHJpYy9hZHZlcnNlIGVmZmVjdHMvbWV0aG9kcy9zdGF0aXN0aWNzICZhbXA7IG51
bWVyaWNhbCBkYXRhPC9rZXl3b3JkPjxrZXl3b3JkPkZlbWFsZTwva2V5d29yZD48a2V5d29yZD5I
dW1hbnM8L2tleXdvcmQ+PGtleXdvcmQ+TG9uZ2l0dWRpbmFsIFN0dWRpZXM8L2tleXdvcmQ+PGtl
eXdvcmQ+TWFuaXB1bGF0aW9uLCBDaGlyb3ByYWN0aWMvKmFkdmVyc2UgZWZmZWN0cy9tZXRob2Rz
PC9rZXl3b3JkPjxrZXl3b3JkPk5hdHVyYWwgQ2hpbGRiaXJ0aC8qYWR2ZXJzZSBlZmZlY3RzL3N0
YXRpc3RpY3MgJmFtcDsgbnVtZXJpY2FsIGRhdGE8L2tleXdvcmQ+PGtleXdvcmQ+KlBvc3RwYXJ0
dW0gSGVtb3JyaGFnZS9lcGlkZW1pb2xvZ3kvZXRpb2xvZ3k8L2tleXdvcmQ+PGtleXdvcmQ+UHJl
Z25hbmN5PC9rZXl3b3JkPjxrZXl3b3JkPlByZWduYW5jeSBPdXRjb21lL2VwaWRlbWlvbG9neTwv
a2V5d29yZD48a2V5d29yZD4qUHJlbWF0dXJlIEJpcnRoL2VwaWRlbWlvbG9neS9ldGlvbG9neTwv
a2V5d29yZD48a2V5d29yZD4qU3RyZXNzLCBQc3ljaG9sb2dpY2FsL2VwaWRlbWlvbG9neS9ldGlv
bG9neTwva2V5d29yZD48a2V5d29yZD4qWW9nYTwva2V5d29yZD48a2V5d29yZD5BbHRlcm5hdGl2
ZSBtZWRpY2luZTwva2V5d29yZD48a2V5d29yZD5CaXJ0aCBvdXRjb21lczwva2V5d29yZD48a2V5
d29yZD5Db21wbGVtZW50YXJ5IG1lZGljaW5lPC9rZXl3b3JkPjxrZXl3b3JkPkxhYm91cjwva2V5
d29yZD48L2tleXdvcmRzPjxkYXRlcz48eWVhcj4yMDE0PC95ZWFyPjxwdWItZGF0ZXM+PGRhdGU+
RGVjPC9kYXRlPjwvcHViLWRhdGVzPjwvZGF0ZXM+PGlzYm4+MTUzMi0zMDk5IChFbGVjdHJvbmlj
KSYjeEQ7MDI2Ni02MTM4IChMaW5raW5nKTwvaXNibj48YWNjZXNzaW9uLW51bT4yNDc0MjYzNjwv
YWNjZXNzaW9uLW51bT48dXJscz48cmVsYXRlZC11cmxzPjx1cmw+aHR0cHM6Ly93d3cubmNiaS5u
bG0ubmloLmdvdi9wdWJtZWQvMjQ3NDI2MzY8L3VybD48L3JlbGF0ZWQtdXJscz48L3VybHM+PGVs
ZWN0cm9uaWMtcmVzb3VyY2UtbnVtPjEwLjEwMTYvai5taWR3LjIwMTQuMDMuMDE1PC9lbGVjdHJv
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257</w:t>
            </w:r>
            <w:r>
              <w:fldChar w:fldCharType="end"/>
            </w:r>
          </w:p>
          <w:p w14:paraId="510CFAA7" w14:textId="79F8B9D9" w:rsidR="0099206A" w:rsidRDefault="0099206A" w:rsidP="003E2D58">
            <w:r>
              <w:t>Australia</w:t>
            </w:r>
          </w:p>
          <w:p w14:paraId="1C3053B1" w14:textId="77777777" w:rsidR="00FF1179" w:rsidRDefault="00FF1179" w:rsidP="003E2D58">
            <w:r>
              <w:t>Cohort</w:t>
            </w:r>
          </w:p>
        </w:tc>
        <w:tc>
          <w:tcPr>
            <w:tcW w:w="1417" w:type="dxa"/>
          </w:tcPr>
          <w:p w14:paraId="05077888" w14:textId="77777777" w:rsidR="00FF1179" w:rsidRDefault="00FF1179" w:rsidP="003E2D58">
            <w:r>
              <w:t>2,445</w:t>
            </w:r>
          </w:p>
        </w:tc>
        <w:tc>
          <w:tcPr>
            <w:tcW w:w="4532" w:type="dxa"/>
          </w:tcPr>
          <w:p w14:paraId="0AA7BAF9" w14:textId="77777777" w:rsidR="00FF1179" w:rsidRDefault="00FF1179" w:rsidP="004E0819">
            <w:r>
              <w:rPr>
                <w:b/>
              </w:rPr>
              <w:t xml:space="preserve">Aim: </w:t>
            </w:r>
            <w:r w:rsidRPr="004E0819">
              <w:t> </w:t>
            </w:r>
            <w:r>
              <w:t>To report</w:t>
            </w:r>
            <w:r w:rsidRPr="004E0819">
              <w:t xml:space="preserve"> findings outlining the incidence of adverse birth outcomes among women </w:t>
            </w:r>
            <w:r>
              <w:t>using herbal preparations</w:t>
            </w:r>
            <w:r w:rsidRPr="004E0819">
              <w:t xml:space="preserve"> during pregnancy. </w:t>
            </w:r>
          </w:p>
          <w:p w14:paraId="5FBC9375" w14:textId="77777777" w:rsidR="00FF1179" w:rsidRDefault="00FF1179" w:rsidP="004E0819">
            <w:pPr>
              <w:rPr>
                <w:b/>
              </w:rPr>
            </w:pPr>
            <w:r w:rsidRPr="004E0819">
              <w:rPr>
                <w:b/>
              </w:rPr>
              <w:t>Methods</w:t>
            </w:r>
            <w:r>
              <w:t>: A</w:t>
            </w:r>
            <w:r w:rsidRPr="004E0819">
              <w:t xml:space="preserve"> survey-based cohort sub-study from the nationally-representative Australian Longitudinal Study on Women's Health (ALSWH) was undertaken in 2010. </w:t>
            </w:r>
          </w:p>
        </w:tc>
        <w:tc>
          <w:tcPr>
            <w:tcW w:w="4536" w:type="dxa"/>
          </w:tcPr>
          <w:p w14:paraId="6071E7C3" w14:textId="77777777" w:rsidR="00FF1179" w:rsidRPr="004E0819" w:rsidRDefault="00FF1179" w:rsidP="004E0819">
            <w:r>
              <w:t>Women who used herbal preparations versus those who did not:</w:t>
            </w:r>
          </w:p>
          <w:p w14:paraId="0CD51223" w14:textId="77777777" w:rsidR="00FF1179" w:rsidRDefault="00FF1179" w:rsidP="009419C9">
            <w:pPr>
              <w:pStyle w:val="bullet"/>
            </w:pPr>
            <w:r>
              <w:t>Premature birth: OR 0.71; 95%CI 0.20 to 2.56</w:t>
            </w:r>
          </w:p>
          <w:p w14:paraId="65258A93" w14:textId="77777777" w:rsidR="00FF1179" w:rsidRDefault="00FF1179" w:rsidP="009419C9">
            <w:pPr>
              <w:pStyle w:val="bullet"/>
            </w:pPr>
            <w:r>
              <w:t>Caesarean section before onset of labour: OR 0.26; 95%CI 0.07 to 0.98</w:t>
            </w:r>
          </w:p>
          <w:p w14:paraId="6C421CA4" w14:textId="77777777" w:rsidR="00FF1179" w:rsidRDefault="00FF1179" w:rsidP="009419C9">
            <w:pPr>
              <w:pStyle w:val="bullet"/>
            </w:pPr>
            <w:r>
              <w:t>Caesarean section after onset of labour: OR 0.55; 95%CI 0.10 to 3.10</w:t>
            </w:r>
          </w:p>
          <w:p w14:paraId="3F51A75B" w14:textId="77777777" w:rsidR="00FF1179" w:rsidRDefault="00FF1179" w:rsidP="009419C9">
            <w:pPr>
              <w:pStyle w:val="bullet"/>
            </w:pPr>
            <w:r>
              <w:t>Induction of labour: OR 0.98; 95%CI 0.62 to 1.55</w:t>
            </w:r>
          </w:p>
          <w:p w14:paraId="3A8E1790" w14:textId="77777777" w:rsidR="00FF1179" w:rsidRPr="00037CC9" w:rsidRDefault="00FF1179" w:rsidP="009419C9">
            <w:pPr>
              <w:pStyle w:val="bullet"/>
            </w:pPr>
            <w:r>
              <w:t>Low birthweight: OR 1.78; 95%CI 0.30 to 10.51</w:t>
            </w:r>
          </w:p>
        </w:tc>
        <w:tc>
          <w:tcPr>
            <w:tcW w:w="1843" w:type="dxa"/>
          </w:tcPr>
          <w:p w14:paraId="782AD06B" w14:textId="77777777" w:rsidR="00FF1179" w:rsidRDefault="00FF1179" w:rsidP="003E2D58"/>
        </w:tc>
      </w:tr>
    </w:tbl>
    <w:p w14:paraId="0381C30D" w14:textId="3190F840" w:rsidR="007B1D24" w:rsidRDefault="009C163D" w:rsidP="00BD61CC">
      <w:pPr>
        <w:pStyle w:val="TableName"/>
        <w:ind w:left="1134" w:hanging="1134"/>
      </w:pPr>
      <w:bookmarkStart w:id="110" w:name="_Toc40956638"/>
      <w:r>
        <w:t xml:space="preserve">Q4 </w:t>
      </w:r>
      <w:r w:rsidR="00EB5339">
        <w:t>Supplementation of probiotics during pregnancy</w:t>
      </w:r>
      <w:r w:rsidR="001746E1">
        <w:t xml:space="preserve"> — systematic reviews</w:t>
      </w:r>
      <w:bookmarkEnd w:id="11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0: Q4 Supplementation of probiotics during pregnancy — systematic reviews"/>
      </w:tblPr>
      <w:tblGrid>
        <w:gridCol w:w="1564"/>
        <w:gridCol w:w="1417"/>
        <w:gridCol w:w="4532"/>
        <w:gridCol w:w="4536"/>
        <w:gridCol w:w="1843"/>
      </w:tblGrid>
      <w:tr w:rsidR="00A16D3E" w:rsidRPr="00F350A6" w14:paraId="5D7090D6" w14:textId="77777777" w:rsidTr="00B4596C">
        <w:trPr>
          <w:cantSplit/>
          <w:trHeight w:val="390"/>
          <w:tblHeader/>
        </w:trPr>
        <w:tc>
          <w:tcPr>
            <w:tcW w:w="1564" w:type="dxa"/>
          </w:tcPr>
          <w:p w14:paraId="6FDFF373" w14:textId="77777777" w:rsidR="00A16D3E" w:rsidRPr="00F350A6" w:rsidRDefault="00A16D3E" w:rsidP="00DA5DC5">
            <w:pPr>
              <w:keepNext/>
              <w:rPr>
                <w:b/>
              </w:rPr>
            </w:pPr>
            <w:r>
              <w:rPr>
                <w:b/>
              </w:rPr>
              <w:t>Study ref</w:t>
            </w:r>
          </w:p>
        </w:tc>
        <w:tc>
          <w:tcPr>
            <w:tcW w:w="1417" w:type="dxa"/>
          </w:tcPr>
          <w:p w14:paraId="7D8B8825" w14:textId="77777777" w:rsidR="00A16D3E" w:rsidRPr="00F350A6" w:rsidRDefault="00A16D3E" w:rsidP="00DA5DC5">
            <w:pPr>
              <w:keepNext/>
              <w:rPr>
                <w:b/>
              </w:rPr>
            </w:pPr>
            <w:r>
              <w:rPr>
                <w:b/>
              </w:rPr>
              <w:t>N</w:t>
            </w:r>
          </w:p>
        </w:tc>
        <w:tc>
          <w:tcPr>
            <w:tcW w:w="4532" w:type="dxa"/>
          </w:tcPr>
          <w:p w14:paraId="6CF2FFEE" w14:textId="77777777" w:rsidR="00A16D3E" w:rsidRPr="00F350A6" w:rsidRDefault="00A16D3E" w:rsidP="00DA5DC5">
            <w:pPr>
              <w:keepNext/>
              <w:rPr>
                <w:b/>
              </w:rPr>
            </w:pPr>
            <w:r>
              <w:rPr>
                <w:b/>
              </w:rPr>
              <w:t>Aim/methods</w:t>
            </w:r>
          </w:p>
        </w:tc>
        <w:tc>
          <w:tcPr>
            <w:tcW w:w="4536" w:type="dxa"/>
          </w:tcPr>
          <w:p w14:paraId="41513D7B" w14:textId="77777777" w:rsidR="00A16D3E" w:rsidRPr="00F350A6" w:rsidRDefault="00A16D3E" w:rsidP="00DA5DC5">
            <w:pPr>
              <w:keepNext/>
              <w:rPr>
                <w:b/>
              </w:rPr>
            </w:pPr>
            <w:r>
              <w:rPr>
                <w:b/>
              </w:rPr>
              <w:t>Results</w:t>
            </w:r>
          </w:p>
        </w:tc>
        <w:tc>
          <w:tcPr>
            <w:tcW w:w="1843" w:type="dxa"/>
          </w:tcPr>
          <w:p w14:paraId="64B06070" w14:textId="77777777" w:rsidR="00A16D3E" w:rsidRPr="00F350A6" w:rsidRDefault="00A16D3E" w:rsidP="00DA5DC5">
            <w:pPr>
              <w:keepNext/>
              <w:rPr>
                <w:b/>
              </w:rPr>
            </w:pPr>
            <w:r>
              <w:rPr>
                <w:b/>
              </w:rPr>
              <w:t>Comments</w:t>
            </w:r>
          </w:p>
        </w:tc>
      </w:tr>
      <w:tr w:rsidR="00210DF0" w:rsidRPr="00141F7B" w14:paraId="6F321200" w14:textId="77777777" w:rsidTr="00210DF0">
        <w:trPr>
          <w:cantSplit/>
          <w:trHeight w:val="390"/>
        </w:trPr>
        <w:tc>
          <w:tcPr>
            <w:tcW w:w="1564" w:type="dxa"/>
          </w:tcPr>
          <w:p w14:paraId="3A1D66D9" w14:textId="586083A0" w:rsidR="00210DF0" w:rsidRDefault="006415AB" w:rsidP="00DA5DC5">
            <w:r>
              <w:t>Han et al 2019</w:t>
            </w:r>
            <w:r w:rsidR="00AB21E2">
              <w:fldChar w:fldCharType="begin">
                <w:fldData xml:space="preserve">PEVuZE5vdGU+PENpdGU+PEF1dGhvcj5IYW48L0F1dGhvcj48WWVhcj4yMDE5PC9ZZWFyPjxSZWNO
dW0+MTY1NTwvUmVjTnVtPjxEaXNwbGF5VGV4dD48c3R5bGUgZmFjZT0ic3VwZXJzY3JpcHQiIGZv
bnQ9IlRyZWJ1Y2hldCBNUyIgc2l6ZT0iOSI+MjI3PC9zdHlsZT48L0Rpc3BsYXlUZXh0PjxyZWNv
cmQ+PHJlYy1udW1iZXI+MTY1NTwvcmVjLW51bWJlcj48Zm9yZWlnbi1rZXlzPjxrZXkgYXBwPSJF
TiIgZGItaWQ9ImV4dmFzcmZ4MmR0cmFvZXNhc3hwMnN6c3hhMmRmNTAyNTkyeCIgdGltZXN0YW1w
PSIxNTgxMzEyNzQyIj4xNjU1PC9rZXk+PGtleSBhcHA9IkVOV2ViIiBkYi1pZD0iIj4wPC9rZXk+
PC9mb3JlaWduLWtleXM+PHJlZi10eXBlIG5hbWU9IkpvdXJuYWwgQXJ0aWNsZSI+MTc8L3JlZi10
eXBlPjxjb250cmlidXRvcnM+PGF1dGhvcnM+PGF1dGhvcj5IYW4sIE0uIE0uPC9hdXRob3I+PGF1
dGhvcj5TdW4sIEouIEYuPC9hdXRob3I+PGF1dGhvcj5TdSwgWC4gSC48L2F1dGhvcj48YXV0aG9y
PlBlbmcsIFkuIEYuPC9hdXRob3I+PGF1dGhvcj5Hb3lhbCwgSC48L2F1dGhvcj48YXV0aG9yPld1
LCBDLiBILjwvYXV0aG9yPjxhdXRob3I+Wmh1LCBYLiBZLjwvYXV0aG9yPjxhdXRob3I+TGksIEwu
PC9hdXRob3I+PC9hdXRob3JzPjwvY29udHJpYnV0b3JzPjxhdXRoLWFkZHJlc3M+RGVwYXJ0bWVu
dCBvZiBFbmRvY3Jpbm9sb2d5LCBaaG9uZ2RhIEhvc3BpdGFsLCBTY2hvb2wgb2YgTWVkaWNpbmUs
IFNvdXRoZWFzdCBVbml2ZXJzaXR5LCBOYW5qaW5nIDIxMDAwOSwgQ2hpbmEuJiN4RDtQYW5jcmVh
dGljIFJlc2VhcmNoIEluc3RpdHV0ZSwgTWluaXN0cnkgb2YgRWR1Y2F0aW9uLCBTY2hvb2wgb2Yg
UHVibGljIEhlYWx0aCwgU291dGhlYXN0IFVuaXZlcnNpdHksIE5hbmppbmcgMjEwMDA5LCBDaGlu
YS4mI3hEO0tleSBMYWJvcmF0b3J5IG9mIEVudmlyb25tZW50YWwgTWVkaWNpbmUgRW5naW5lZXJp
bmcsIE1pbmlzdHJ5IG9mIEVkdWNhdGlvbiwgU2Nob29sIG9mIFB1YmxpYyBIZWFsdGgsIFNvdXRo
ZWFzdCBVbml2ZXJzaXR5LCBOYW5qaW5nIDIxMDAwOSwgQ2hpbmEuJiN4RDtEZXBhcnRtZW50IG9m
IEVuZG9jcmlub2xvZ3ksIHRoZSBGaXJzdCBBZmZpbGlhdGVkIEhvc3BpdGFsIG9mIHRoZSBNZWRp
Y2FsIENvbGxlZ2UsIFNoaWhlemkgVW5pdmVyc2l0eSwgU2hpaGV6aSA4MzIwMDMsIENoaW5hLiYj
eEQ7RGVwYXJ0bWVudCBvZiBJbnRlcm5hbCBNZWRpY2luZSwgU2Nob29sIG9mIE1lZGljaW5lLCBN
ZXJjZXIgVW5pdmVyc2l0eSwgTWFjb24sIFVTQS4mI3hEO0RlcGFydG1lbnQgb2YgR2VuZXJhbCBt
ZWRpY2luZSwgWmhvbmdkYSBIb3NwaXRhbCwgU2Nob29sIG9mIE1lZGljaW5lLCBTb3V0aGVhc3Qg
VW5pdmVyc2l0eSwgTmFuamluZyAyMTAwMDksIENoaW5hLjwvYXV0aC1hZGRyZXNzPjx0aXRsZXM+
PHRpdGxlPlByb2Jpb3RpY3MgaW1wcm92ZSBnbHVjb3NlIGFuZCBsaXBpZCBtZXRhYm9saXNtIGlu
IHByZWduYW50IHdvbWVuOiBhIG1ldGEtYW5hbHlzaXM8L3RpdGxlPjxzZWNvbmRhcnktdGl0bGU+
QW5uIFRyYW5zbCBNZWQ8L3NlY29uZGFyeS10aXRsZT48L3RpdGxlcz48cGVyaW9kaWNhbD48ZnVs
bC10aXRsZT5Bbm4gVHJhbnNsIE1lZDwvZnVsbC10aXRsZT48L3BlcmlvZGljYWw+PHBhZ2VzPjk5
PC9wYWdlcz48dm9sdW1lPjc8L3ZvbHVtZT48bnVtYmVyPjU8L251bWJlcj48ZWRpdGlvbj4yMDE5
LzA0LzI2PC9lZGl0aW9uPjxrZXl3b3Jkcz48a2V5d29yZD5QcmVnbmFuY3k8L2tleXdvcmQ+PGtl
eXdvcmQ+Z2VzdGF0aW9uYWwgZGlhYmV0ZXMgbWVsbGl0dXMgKEdETSk8L2tleXdvcmQ+PGtleXdv
cmQ+Z2x5Y29tZXRhYm9saXNtPC9rZXl3b3JkPjxrZXl3b3JkPmd1dCBtaWNyb2Jpb3RhPC9rZXl3
b3JkPjxrZXl3b3JkPmxpcGlkIHByb2ZpbGU8L2tleXdvcmQ+PGtleXdvcmQ+cHJvYmlvdGljczwv
a2V5d29yZD48L2tleXdvcmRzPjxkYXRlcz48eWVhcj4yMDE5PC95ZWFyPjxwdWItZGF0ZXM+PGRh
dGU+TWFyPC9kYXRlPjwvcHViLWRhdGVzPjwvZGF0ZXM+PGlzYm4+MjMwNS01ODM5IChQcmludCkm
I3hEOzIzMDUtNTgzOSAoTGlua2luZyk8L2lzYm4+PGFjY2Vzc2lvbi1udW0+MzEwMTk5NDk8L2Fj
Y2Vzc2lvbi1udW0+PHVybHM+PHJlbGF0ZWQtdXJscz48dXJsPmh0dHBzOi8vd3d3Lm5jYmkubmxt
Lm5paC5nb3YvcHVibWVkLzMxMDE5OTQ5PC91cmw+PC9yZWxhdGVkLXVybHM+PC91cmxzPjxjdXN0
b20yPlBNQzY0NjI2NjE8L2N1c3RvbTI+PGVsZWN0cm9uaWMtcmVzb3VyY2UtbnVtPjEwLjIxMDM3
L2F0bS4yMDE5LjAxLjYxPC9lbGVjdHJvbmljLXJlc291cmNlLW51bT48L3JlY29yZD48L0NpdGU+
PC9FbmROb3RlPgB=
</w:fldData>
              </w:fldChar>
            </w:r>
            <w:r w:rsidR="002747EA">
              <w:instrText xml:space="preserve"> ADDIN EN.CITE </w:instrText>
            </w:r>
            <w:r w:rsidR="002747EA">
              <w:fldChar w:fldCharType="begin">
                <w:fldData xml:space="preserve">PEVuZE5vdGU+PENpdGU+PEF1dGhvcj5IYW48L0F1dGhvcj48WWVhcj4yMDE5PC9ZZWFyPjxSZWNO
dW0+MTY1NTwvUmVjTnVtPjxEaXNwbGF5VGV4dD48c3R5bGUgZmFjZT0ic3VwZXJzY3JpcHQiIGZv
bnQ9IlRyZWJ1Y2hldCBNUyIgc2l6ZT0iOSI+MjI3PC9zdHlsZT48L0Rpc3BsYXlUZXh0PjxyZWNv
cmQ+PHJlYy1udW1iZXI+MTY1NTwvcmVjLW51bWJlcj48Zm9yZWlnbi1rZXlzPjxrZXkgYXBwPSJF
TiIgZGItaWQ9ImV4dmFzcmZ4MmR0cmFvZXNhc3hwMnN6c3hhMmRmNTAyNTkyeCIgdGltZXN0YW1w
PSIxNTgxMzEyNzQyIj4xNjU1PC9rZXk+PGtleSBhcHA9IkVOV2ViIiBkYi1pZD0iIj4wPC9rZXk+
PC9mb3JlaWduLWtleXM+PHJlZi10eXBlIG5hbWU9IkpvdXJuYWwgQXJ0aWNsZSI+MTc8L3JlZi10
eXBlPjxjb250cmlidXRvcnM+PGF1dGhvcnM+PGF1dGhvcj5IYW4sIE0uIE0uPC9hdXRob3I+PGF1
dGhvcj5TdW4sIEouIEYuPC9hdXRob3I+PGF1dGhvcj5TdSwgWC4gSC48L2F1dGhvcj48YXV0aG9y
PlBlbmcsIFkuIEYuPC9hdXRob3I+PGF1dGhvcj5Hb3lhbCwgSC48L2F1dGhvcj48YXV0aG9yPld1
LCBDLiBILjwvYXV0aG9yPjxhdXRob3I+Wmh1LCBYLiBZLjwvYXV0aG9yPjxhdXRob3I+TGksIEwu
PC9hdXRob3I+PC9hdXRob3JzPjwvY29udHJpYnV0b3JzPjxhdXRoLWFkZHJlc3M+RGVwYXJ0bWVu
dCBvZiBFbmRvY3Jpbm9sb2d5LCBaaG9uZ2RhIEhvc3BpdGFsLCBTY2hvb2wgb2YgTWVkaWNpbmUs
IFNvdXRoZWFzdCBVbml2ZXJzaXR5LCBOYW5qaW5nIDIxMDAwOSwgQ2hpbmEuJiN4RDtQYW5jcmVh
dGljIFJlc2VhcmNoIEluc3RpdHV0ZSwgTWluaXN0cnkgb2YgRWR1Y2F0aW9uLCBTY2hvb2wgb2Yg
UHVibGljIEhlYWx0aCwgU291dGhlYXN0IFVuaXZlcnNpdHksIE5hbmppbmcgMjEwMDA5LCBDaGlu
YS4mI3hEO0tleSBMYWJvcmF0b3J5IG9mIEVudmlyb25tZW50YWwgTWVkaWNpbmUgRW5naW5lZXJp
bmcsIE1pbmlzdHJ5IG9mIEVkdWNhdGlvbiwgU2Nob29sIG9mIFB1YmxpYyBIZWFsdGgsIFNvdXRo
ZWFzdCBVbml2ZXJzaXR5LCBOYW5qaW5nIDIxMDAwOSwgQ2hpbmEuJiN4RDtEZXBhcnRtZW50IG9m
IEVuZG9jcmlub2xvZ3ksIHRoZSBGaXJzdCBBZmZpbGlhdGVkIEhvc3BpdGFsIG9mIHRoZSBNZWRp
Y2FsIENvbGxlZ2UsIFNoaWhlemkgVW5pdmVyc2l0eSwgU2hpaGV6aSA4MzIwMDMsIENoaW5hLiYj
eEQ7RGVwYXJ0bWVudCBvZiBJbnRlcm5hbCBNZWRpY2luZSwgU2Nob29sIG9mIE1lZGljaW5lLCBN
ZXJjZXIgVW5pdmVyc2l0eSwgTWFjb24sIFVTQS4mI3hEO0RlcGFydG1lbnQgb2YgR2VuZXJhbCBt
ZWRpY2luZSwgWmhvbmdkYSBIb3NwaXRhbCwgU2Nob29sIG9mIE1lZGljaW5lLCBTb3V0aGVhc3Qg
VW5pdmVyc2l0eSwgTmFuamluZyAyMTAwMDksIENoaW5hLjwvYXV0aC1hZGRyZXNzPjx0aXRsZXM+
PHRpdGxlPlByb2Jpb3RpY3MgaW1wcm92ZSBnbHVjb3NlIGFuZCBsaXBpZCBtZXRhYm9saXNtIGlu
IHByZWduYW50IHdvbWVuOiBhIG1ldGEtYW5hbHlzaXM8L3RpdGxlPjxzZWNvbmRhcnktdGl0bGU+
QW5uIFRyYW5zbCBNZWQ8L3NlY29uZGFyeS10aXRsZT48L3RpdGxlcz48cGVyaW9kaWNhbD48ZnVs
bC10aXRsZT5Bbm4gVHJhbnNsIE1lZDwvZnVsbC10aXRsZT48L3BlcmlvZGljYWw+PHBhZ2VzPjk5
PC9wYWdlcz48dm9sdW1lPjc8L3ZvbHVtZT48bnVtYmVyPjU8L251bWJlcj48ZWRpdGlvbj4yMDE5
LzA0LzI2PC9lZGl0aW9uPjxrZXl3b3Jkcz48a2V5d29yZD5QcmVnbmFuY3k8L2tleXdvcmQ+PGtl
eXdvcmQ+Z2VzdGF0aW9uYWwgZGlhYmV0ZXMgbWVsbGl0dXMgKEdETSk8L2tleXdvcmQ+PGtleXdv
cmQ+Z2x5Y29tZXRhYm9saXNtPC9rZXl3b3JkPjxrZXl3b3JkPmd1dCBtaWNyb2Jpb3RhPC9rZXl3
b3JkPjxrZXl3b3JkPmxpcGlkIHByb2ZpbGU8L2tleXdvcmQ+PGtleXdvcmQ+cHJvYmlvdGljczwv
a2V5d29yZD48L2tleXdvcmRzPjxkYXRlcz48eWVhcj4yMDE5PC95ZWFyPjxwdWItZGF0ZXM+PGRh
dGU+TWFyPC9kYXRlPjwvcHViLWRhdGVzPjwvZGF0ZXM+PGlzYm4+MjMwNS01ODM5IChQcmludCkm
I3hEOzIzMDUtNTgzOSAoTGlua2luZyk8L2lzYm4+PGFjY2Vzc2lvbi1udW0+MzEwMTk5NDk8L2Fj
Y2Vzc2lvbi1udW0+PHVybHM+PHJlbGF0ZWQtdXJscz48dXJsPmh0dHBzOi8vd3d3Lm5jYmkubmxt
Lm5paC5nb3YvcHVibWVkLzMxMDE5OTQ5PC91cmw+PC9yZWxhdGVkLXVybHM+PC91cmxzPjxjdXN0
b20yPlBNQzY0NjI2NjE8L2N1c3RvbTI+PGVsZWN0cm9uaWMtcmVzb3VyY2UtbnVtPjEwLjIxMDM3
L2F0bS4yMDE5LjAxLjYxPC9lbGVjdHJvbmljLXJlc291cmNlLW51bT48L3JlY29yZD48L0NpdGU+
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227</w:t>
            </w:r>
            <w:r w:rsidR="00AB21E2">
              <w:fldChar w:fldCharType="end"/>
            </w:r>
          </w:p>
          <w:p w14:paraId="4A378E3D" w14:textId="14FF5E4A" w:rsidR="006415AB" w:rsidRDefault="006415AB" w:rsidP="00DA5DC5">
            <w:r>
              <w:t>SLR</w:t>
            </w:r>
          </w:p>
        </w:tc>
        <w:tc>
          <w:tcPr>
            <w:tcW w:w="1417" w:type="dxa"/>
          </w:tcPr>
          <w:p w14:paraId="2A04C539" w14:textId="77777777" w:rsidR="00210DF0" w:rsidRDefault="006415AB" w:rsidP="00DA5DC5">
            <w:r>
              <w:t>10 RCTs</w:t>
            </w:r>
          </w:p>
          <w:p w14:paraId="50588B88" w14:textId="1C61F3DF" w:rsidR="006415AB" w:rsidRDefault="006415AB" w:rsidP="00DA5DC5">
            <w:r>
              <w:t>1,139 women</w:t>
            </w:r>
          </w:p>
        </w:tc>
        <w:tc>
          <w:tcPr>
            <w:tcW w:w="4532" w:type="dxa"/>
          </w:tcPr>
          <w:p w14:paraId="3FFF4106" w14:textId="0410F9FC" w:rsidR="006415AB" w:rsidRDefault="006415AB" w:rsidP="00DA5DC5">
            <w:r w:rsidRPr="006415AB">
              <w:rPr>
                <w:b/>
              </w:rPr>
              <w:t>Aim</w:t>
            </w:r>
            <w:r>
              <w:t>: T</w:t>
            </w:r>
            <w:r w:rsidRPr="006415AB">
              <w:t>o assess the effects of probiotic supplementation on the maternal metabolism and the risk of development of gestational diabetes mellitus (GDM) in the pregnant women by a me</w:t>
            </w:r>
            <w:r w:rsidR="004B7AA9">
              <w:t>ta-analysis of relevant randomis</w:t>
            </w:r>
            <w:r w:rsidRPr="006415AB">
              <w:t xml:space="preserve">ed controlled trials (RCTs). </w:t>
            </w:r>
          </w:p>
          <w:p w14:paraId="6FEDC448" w14:textId="3E6E56CD" w:rsidR="00210DF0" w:rsidRPr="00A96512" w:rsidRDefault="006415AB" w:rsidP="00DA5DC5">
            <w:pPr>
              <w:rPr>
                <w:b/>
              </w:rPr>
            </w:pPr>
            <w:r w:rsidRPr="006415AB">
              <w:rPr>
                <w:b/>
              </w:rPr>
              <w:t>Methods</w:t>
            </w:r>
            <w:r w:rsidRPr="006415AB">
              <w:t>: The medical literature was searched from PubMed, Web of Science and the Cochrane Library since inception to October 2017. Two investigators independently performed the data extraction and quality assessment. The mean differences (MD) or standardized mean differences (SMD) or relative risk (RR) with 95% confidence intervals (CIs) were calculated with the random-effects model. Results:</w:t>
            </w:r>
          </w:p>
        </w:tc>
        <w:tc>
          <w:tcPr>
            <w:tcW w:w="4536" w:type="dxa"/>
          </w:tcPr>
          <w:p w14:paraId="3B160D66" w14:textId="77777777" w:rsidR="00210DF0" w:rsidRDefault="006415AB" w:rsidP="006415AB">
            <w:r>
              <w:t>Probiotics versus placebo:</w:t>
            </w:r>
          </w:p>
          <w:p w14:paraId="2A4745DC" w14:textId="736C49E9" w:rsidR="006415AB" w:rsidRDefault="006415AB" w:rsidP="006415AB">
            <w:pPr>
              <w:pStyle w:val="bullet"/>
            </w:pPr>
            <w:r>
              <w:t>Gestational diabetes: RR 0.52; 95%CI 0.34 to 0.80; 3 studies</w:t>
            </w:r>
          </w:p>
          <w:p w14:paraId="160F26C7" w14:textId="77777777" w:rsidR="00CD28EE" w:rsidRDefault="00CD28EE" w:rsidP="006415AB">
            <w:pPr>
              <w:pStyle w:val="bullet"/>
            </w:pPr>
            <w:r>
              <w:t>Caesarean section: RR 1.00; 95%CI 0.81 to 1.24; 5 studies</w:t>
            </w:r>
          </w:p>
          <w:p w14:paraId="5E4F4D8C" w14:textId="6A0F7D26" w:rsidR="00CD28EE" w:rsidRDefault="00CD28EE" w:rsidP="006415AB">
            <w:pPr>
              <w:pStyle w:val="bullet"/>
            </w:pPr>
            <w:r>
              <w:t>Preterm birth: RR 1.94; 95%CI 0.98 to 3.84; 4 studies</w:t>
            </w:r>
          </w:p>
          <w:p w14:paraId="0F90033B" w14:textId="37DA3C6B" w:rsidR="006415AB" w:rsidRPr="00CD28EE" w:rsidRDefault="00CD28EE" w:rsidP="00CD28EE">
            <w:pPr>
              <w:pStyle w:val="bullet"/>
            </w:pPr>
            <w:r>
              <w:t>Macrosomia: RR 1.31; 95%CI 0.87 to 1.96; 3 studies</w:t>
            </w:r>
          </w:p>
        </w:tc>
        <w:tc>
          <w:tcPr>
            <w:tcW w:w="1843" w:type="dxa"/>
          </w:tcPr>
          <w:p w14:paraId="22D8B8B1" w14:textId="77777777" w:rsidR="00210DF0" w:rsidRPr="00141F7B" w:rsidRDefault="00210DF0" w:rsidP="00DA5DC5"/>
        </w:tc>
      </w:tr>
      <w:tr w:rsidR="008E7105" w:rsidRPr="00141F7B" w14:paraId="25C686DB" w14:textId="77777777" w:rsidTr="00210DF0">
        <w:trPr>
          <w:cantSplit/>
          <w:trHeight w:val="390"/>
        </w:trPr>
        <w:tc>
          <w:tcPr>
            <w:tcW w:w="1564" w:type="dxa"/>
          </w:tcPr>
          <w:p w14:paraId="22949A69" w14:textId="7AC55E5E" w:rsidR="008E7105" w:rsidRDefault="008E7105" w:rsidP="002747EA">
            <w:r>
              <w:t>Grev et al 2018</w:t>
            </w:r>
            <w:r w:rsidR="00AB21E2">
              <w:fldChar w:fldCharType="begin"/>
            </w:r>
            <w:r w:rsidR="002747EA">
              <w:instrText xml:space="preserve"> ADDIN EN.CITE &lt;EndNote&gt;&lt;Cite&gt;&lt;Author&gt;Grev&lt;/Author&gt;&lt;Year&gt;2018&lt;/Year&gt;&lt;RecNum&gt;1654&lt;/RecNum&gt;&lt;DisplayText&gt;&lt;style face="superscript" font="Trebuchet MS" size="9"&gt;226&lt;/style&gt;&lt;/DisplayText&gt;&lt;record&gt;&lt;rec-number&gt;1654&lt;/rec-number&gt;&lt;foreign-keys&gt;&lt;key app="EN" db-id="exvasrfx2dtraoesasxp2szsxa2df502592x" timestamp="1581312734"&gt;1654&lt;/key&gt;&lt;key app="ENWeb" db-id=""&gt;0&lt;/key&gt;&lt;/foreign-keys&gt;&lt;ref-type name="Journal Article"&gt;17&lt;/ref-type&gt;&lt;contributors&gt;&lt;authors&gt;&lt;author&gt;Grev, J.&lt;/author&gt;&lt;author&gt;Berg, M.&lt;/author&gt;&lt;author&gt;Soll, R.&lt;/author&gt;&lt;/authors&gt;&lt;/contributors&gt;&lt;auth-address&gt;University of Vermont Medical Center, Burlington VT, USA.&lt;/auth-address&gt;&lt;titles&gt;&lt;title&gt;Maternal probiotic supplementation for prevention of morbidity and mortality in preterm infants&lt;/title&gt;&lt;secondary-title&gt;Cochrane Database Syst Rev&lt;/secondary-title&gt;&lt;/titles&gt;&lt;periodical&gt;&lt;full-title&gt;Cochrane Database Syst Rev&lt;/full-title&gt;&lt;/periodical&gt;&lt;pages&gt;CD012519&lt;/pages&gt;&lt;volume&gt;12&lt;/volume&gt;&lt;edition&gt;2018/12/15&lt;/edition&gt;&lt;keywords&gt;&lt;keyword&gt;Administration, Oral&lt;/keyword&gt;&lt;keyword&gt;Enterocolitis, Necrotizing/*prevention &amp;amp; control&lt;/keyword&gt;&lt;keyword&gt;Gastrointestinal Microbiome&lt;/keyword&gt;&lt;keyword&gt;Humans&lt;/keyword&gt;&lt;keyword&gt;Infant&lt;/keyword&gt;&lt;keyword&gt;Infant Mortality&lt;/keyword&gt;&lt;keyword&gt;Infant, Newborn&lt;/keyword&gt;&lt;keyword&gt;*Infant, Premature&lt;/keyword&gt;&lt;keyword&gt;Infant, Premature, Diseases/*prevention &amp;amp; control&lt;/keyword&gt;&lt;keyword&gt;Inflammation&lt;/keyword&gt;&lt;keyword&gt;Morbidity&lt;/keyword&gt;&lt;keyword&gt;*Mothers&lt;/keyword&gt;&lt;keyword&gt;Prenatal Care&lt;/keyword&gt;&lt;keyword&gt;Probiotics/*administration &amp;amp; dosage&lt;/keyword&gt;&lt;keyword&gt;Randomized Controlled Trials as Topic&lt;/keyword&gt;&lt;/keywords&gt;&lt;dates&gt;&lt;year&gt;2018&lt;/year&gt;&lt;pub-dates&gt;&lt;date&gt;Dec 12&lt;/date&gt;&lt;/pub-dates&gt;&lt;/dates&gt;&lt;isbn&gt;1469-493X (Electronic)&amp;#xD;1361-6137 (Linking)&lt;/isbn&gt;&lt;accession-num&gt;30548483&lt;/accession-num&gt;&lt;urls&gt;&lt;related-urls&gt;&lt;url&gt;https://www.ncbi.nlm.nih.gov/pubmed/30548483&lt;/url&gt;&lt;/related-urls&gt;&lt;/urls&gt;&lt;custom2&gt;PMC6516999&lt;/custom2&gt;&lt;electronic-resource-num&gt;10.1002/14651858.CD012519.pub2&lt;/electronic-resource-num&gt;&lt;/record&gt;&lt;/Cite&gt;&lt;/EndNote&gt;</w:instrText>
            </w:r>
            <w:r w:rsidR="00AB21E2">
              <w:fldChar w:fldCharType="separate"/>
            </w:r>
            <w:r w:rsidR="002747EA" w:rsidRPr="002747EA">
              <w:rPr>
                <w:noProof/>
                <w:vertAlign w:val="superscript"/>
              </w:rPr>
              <w:t>226</w:t>
            </w:r>
            <w:r w:rsidR="00AB21E2">
              <w:fldChar w:fldCharType="end"/>
            </w:r>
          </w:p>
        </w:tc>
        <w:tc>
          <w:tcPr>
            <w:tcW w:w="1417" w:type="dxa"/>
          </w:tcPr>
          <w:p w14:paraId="39F4843D" w14:textId="76CE8CE1" w:rsidR="008E7105" w:rsidRDefault="008E7105" w:rsidP="00DA5DC5">
            <w:r>
              <w:t>11 RCTs</w:t>
            </w:r>
          </w:p>
        </w:tc>
        <w:tc>
          <w:tcPr>
            <w:tcW w:w="4532" w:type="dxa"/>
          </w:tcPr>
          <w:p w14:paraId="782394FE" w14:textId="77777777" w:rsidR="008E7105" w:rsidRDefault="008E7105" w:rsidP="008E7105">
            <w:r w:rsidRPr="008E7105">
              <w:rPr>
                <w:b/>
              </w:rPr>
              <w:t>Aim</w:t>
            </w:r>
            <w:r>
              <w:t xml:space="preserve">: </w:t>
            </w:r>
            <w:r w:rsidRPr="008E7105">
              <w:t>To compare the efficacy of maternal probiotic administration versus placebo or no intervention in mothers during pregnancy for the prevention of preterm birth and the prevention of morbidity and mortality of infants born preterm.</w:t>
            </w:r>
          </w:p>
          <w:p w14:paraId="7481E6AF" w14:textId="7B0BCE04" w:rsidR="008E7105" w:rsidRPr="000D47F9" w:rsidRDefault="008E7105" w:rsidP="008E7105">
            <w:pPr>
              <w:rPr>
                <w:b/>
              </w:rPr>
            </w:pPr>
            <w:r>
              <w:t>Methods</w:t>
            </w:r>
            <w:r w:rsidRPr="008E7105">
              <w:t>: We used the standard search strategy of Cochrane Neonatal to search the Cochrane Central Register of Controlled Trials (CENTRAL 2017, Issue 2), MEDLINE via PubMed (1966 to 21 March 2017), Embase (1980 to 21 March 2017), and CINAHL (1982 to 21 March 2017). We also searched clinical trials databases, conference proceedings, and the reference lists of retrieved articles for randomized controlled trials and quasi-randomized trials. We included randomized controlled trials in the review if they administered oral probiotics to pregnant mothers at risk for preterm birth</w:t>
            </w:r>
            <w:r>
              <w:t>.</w:t>
            </w:r>
          </w:p>
        </w:tc>
        <w:tc>
          <w:tcPr>
            <w:tcW w:w="4536" w:type="dxa"/>
          </w:tcPr>
          <w:p w14:paraId="4ED066ED" w14:textId="77777777" w:rsidR="00503141" w:rsidRDefault="00503141" w:rsidP="008E7105">
            <w:r>
              <w:t>Probiotics versus placebo or nor intervention:</w:t>
            </w:r>
          </w:p>
          <w:p w14:paraId="0668B307" w14:textId="2D357199" w:rsidR="00503141" w:rsidRDefault="00503141" w:rsidP="00503141">
            <w:pPr>
              <w:pStyle w:val="bullet"/>
            </w:pPr>
            <w:r>
              <w:t>P</w:t>
            </w:r>
            <w:r w:rsidR="008E7105" w:rsidRPr="008E7105">
              <w:t>reterm birth &lt; 37 weeks</w:t>
            </w:r>
            <w:r>
              <w:t>: RR</w:t>
            </w:r>
            <w:r w:rsidR="008E7105" w:rsidRPr="008E7105">
              <w:t xml:space="preserve"> 0.92, 95%</w:t>
            </w:r>
            <w:r>
              <w:t>CI</w:t>
            </w:r>
            <w:r w:rsidR="008E7105" w:rsidRPr="008E7105">
              <w:t xml:space="preserve">0.32 to 2.67; 4 </w:t>
            </w:r>
            <w:r w:rsidR="00102383">
              <w:t>RCTs</w:t>
            </w:r>
            <w:r w:rsidR="008E7105" w:rsidRPr="008E7105">
              <w:t>, 518 mothers and 506 infants</w:t>
            </w:r>
          </w:p>
          <w:p w14:paraId="295AD417" w14:textId="4CF86DD1" w:rsidR="00503141" w:rsidRDefault="00503141" w:rsidP="00503141">
            <w:pPr>
              <w:pStyle w:val="bullet"/>
            </w:pPr>
            <w:r>
              <w:t xml:space="preserve">Preterm birth </w:t>
            </w:r>
            <w:r w:rsidR="008E7105" w:rsidRPr="008E7105">
              <w:t>&lt; 34 weeks</w:t>
            </w:r>
            <w:r>
              <w:t>:</w:t>
            </w:r>
            <w:r w:rsidR="008E7105" w:rsidRPr="008E7105">
              <w:t xml:space="preserve"> </w:t>
            </w:r>
            <w:r>
              <w:t>RD</w:t>
            </w:r>
            <w:r w:rsidR="008E7105" w:rsidRPr="008E7105">
              <w:t xml:space="preserve"> 0.00, 95% CI -0.02 to 0.02; 2 </w:t>
            </w:r>
            <w:r w:rsidR="00102383">
              <w:t>RCTs</w:t>
            </w:r>
            <w:r w:rsidR="008E7105" w:rsidRPr="008E7105">
              <w:t>, 287 mothers and infants</w:t>
            </w:r>
          </w:p>
          <w:p w14:paraId="367BAF33" w14:textId="765FE1E0" w:rsidR="008E7105" w:rsidRPr="008E7105" w:rsidRDefault="00503141" w:rsidP="00102383">
            <w:pPr>
              <w:pStyle w:val="bullet"/>
            </w:pPr>
            <w:r>
              <w:t>Infant mortality:</w:t>
            </w:r>
            <w:r w:rsidR="008E7105" w:rsidRPr="008E7105">
              <w:t xml:space="preserve"> RD 0.00, 95% CI -0.02 to 0.02; 2</w:t>
            </w:r>
            <w:r w:rsidR="00102383">
              <w:t> RCTs</w:t>
            </w:r>
            <w:r w:rsidR="008E7105" w:rsidRPr="008E7105">
              <w:t>, 309 mothers and 298 infants</w:t>
            </w:r>
          </w:p>
        </w:tc>
        <w:tc>
          <w:tcPr>
            <w:tcW w:w="1843" w:type="dxa"/>
          </w:tcPr>
          <w:p w14:paraId="41FD1975" w14:textId="77777777" w:rsidR="008E7105" w:rsidRPr="00141F7B" w:rsidRDefault="008E7105" w:rsidP="00DA5DC5"/>
        </w:tc>
      </w:tr>
      <w:tr w:rsidR="004E5D77" w:rsidRPr="00141F7B" w14:paraId="6634E05C" w14:textId="77777777" w:rsidTr="00210DF0">
        <w:trPr>
          <w:cantSplit/>
          <w:trHeight w:val="390"/>
        </w:trPr>
        <w:tc>
          <w:tcPr>
            <w:tcW w:w="1564" w:type="dxa"/>
          </w:tcPr>
          <w:p w14:paraId="67D3FA8E" w14:textId="776F9D7C" w:rsidR="004E5D77" w:rsidRDefault="00450C70" w:rsidP="00DA5DC5">
            <w:r>
              <w:t>Jarde et al 2018</w:t>
            </w:r>
            <w:r w:rsidR="00AB21E2">
              <w:fldChar w:fldCharType="begin">
                <w:fldData xml:space="preserve">PEVuZE5vdGU+PENpdGU+PEF1dGhvcj5KYXJkZTwvQXV0aG9yPjxZZWFyPjIwMTg8L1llYXI+PFJl
Y051bT4xNjU5PC9SZWNOdW0+PERpc3BsYXlUZXh0PjxzdHlsZSBmYWNlPSJzdXBlcnNjcmlwdCIg
Zm9udD0iVHJlYnVjaGV0IE1TIiBzaXplPSI5Ij4yMjU8L3N0eWxlPjwvRGlzcGxheVRleHQ+PHJl
Y29yZD48cmVjLW51bWJlcj4xNjU5PC9yZWMtbnVtYmVyPjxmb3JlaWduLWtleXM+PGtleSBhcHA9
IkVOIiBkYi1pZD0iZXh2YXNyZngyZHRyYW9lc2FzeHAyc3pzeGEyZGY1MDI1OTJ4IiB0aW1lc3Rh
bXA9IjE1ODEzMTI3NjQiPjE2NTk8L2tleT48a2V5IGFwcD0iRU5XZWIiIGRiLWlkPSIiPjA8L2tl
eT48L2ZvcmVpZ24ta2V5cz48cmVmLXR5cGUgbmFtZT0iSm91cm5hbCBBcnRpY2xlIj4xNzwvcmVm
LXR5cGU+PGNvbnRyaWJ1dG9ycz48YXV0aG9ycz48YXV0aG9yPkphcmRlLCBBLjwvYXV0aG9yPjxh
dXRob3I+TGV3aXMtTWlraGFlbCwgQS4gTS48L2F1dGhvcj48YXV0aG9yPk1vYXl5ZWRpLCBQLjwv
YXV0aG9yPjxhdXRob3I+U3RlYXJucywgSi4gQy48L2F1dGhvcj48YXV0aG9yPkNvbGxpbnMsIFMu
IE0uPC9hdXRob3I+PGF1dGhvcj5CZXllbmUsIEouPC9hdXRob3I+PGF1dGhvcj5NY0RvbmFsZCwg
Uy4gRC48L2F1dGhvcj48L2F1dGhvcnM+PC9jb250cmlidXRvcnM+PGF1dGgtYWRkcmVzcz5EZXBh
cnRtZW50IG9mIE9ic3RldHJpY3MgYW5kIEd5bmVjb2xvZ3ksIE1jTWFzdGVyIFVuaXZlcnNpdHks
IDEyODAgTWFpbiBTdHJlZXQgV2VzdCwgSGFtaWx0b24sIE9OLCBMOFMgNEsxLCBDYW5hZGEuIGph
cmRlQG1jbWFzdGVyLmNhLiYjeEQ7RGVwYXJ0bWVudCBvZiBPYnN0ZXRyaWNzIGFuZCBHeW5lY29s
b2d5LCBNY01hc3RlciBVbml2ZXJzaXR5LCAxMjgwIE1haW4gU3RyZWV0IFdlc3QsIEhhbWlsdG9u
LCBPTiwgTDhTIDRLMSwgQ2FuYWRhLiYjeEQ7RGVwYXJ0bWVudCBvZiBNZWRpY2luZSwgR2FzdHJv
ZW50ZXJvbG9neSBEaXZpc2lvbiwgTWNNYXN0ZXIgVW5pdmVyc2l0eSwgSGFtaWx0b24sIE9OLCBD
YW5hZGEuJiN4RDtGYXJuY29tYmUgRmFtaWx5IERpZ2VzdGl2ZSBIZWFsdGggUmVzZWFyY2ggSW5z
dGl0dXRlLCBNY01hc3RlciBVbml2ZXJzaXR5LCBIYW1pbHRvbiwgT04sIENhbmFkYS4mI3hEO0Zh
cm5jb21iZSBGYW1pbHkgRGlnZXN0aXZlIEhlYWx0aCBSZXNlYXJjaCBJbnN0aXR1dGUsIERlcGFy
dG1lbnQgb2YgTWVkaWNpbmUsIE1jTWFzdGVyIFVuaXZlcnNpdHksIEhhbWlsdG9uLCBPTiwgQ2Fu
YWRhLiYjeEQ7RGVwYXJ0bWVudCBvZiBDbGluaWNhbCBFcGlkZW1pb2xvZ3kgYW5kIEJpb3N0YXRp
c3RpY3MsIE1jTWFzdGVyIFVuaXZlcnNpdHksIEhhbWlsdG9uLCBPTiwgQ2FuYWRhLjwvYXV0aC1h
ZGRyZXNzPjx0aXRsZXM+PHRpdGxlPlByZWduYW5jeSBvdXRjb21lcyBpbiB3b21lbiB0YWtpbmcg
cHJvYmlvdGljcyBvciBwcmViaW90aWNzOiBhIHN5c3RlbWF0aWMgcmV2aWV3IGFuZCBtZXRhLWFu
YWx5c2lzPC90aXRsZT48c2Vjb25kYXJ5LXRpdGxlPkJNQyBQcmVnbmFuY3kgQ2hpbGRiaXJ0aDwv
c2Vjb25kYXJ5LXRpdGxlPjwvdGl0bGVzPjxwZXJpb2RpY2FsPjxmdWxsLXRpdGxlPkJNQyBQcmVn
bmFuY3kgQ2hpbGRiaXJ0aDwvZnVsbC10aXRsZT48L3BlcmlvZGljYWw+PHBhZ2VzPjE0PC9wYWdl
cz48dm9sdW1lPjE4PC92b2x1bWU+PG51bWJlcj4xPC9udW1iZXI+PGVkaXRpb24+MjAxOC8wMS8x
MDwvZWRpdGlvbj48a2V5d29yZHM+PGtleXdvcmQ+RGlhYmV0ZXMsIEdlc3RhdGlvbmFsL2VwaWRl
bWlvbG9neTwva2V5d29yZD48a2V5d29yZD5GZW1hbGU8L2tleXdvcmQ+PGtleXdvcmQ+SHVtYW5z
PC9rZXl3b3JkPjxrZXl3b3JkPipQcmViaW90aWNzPC9rZXl3b3JkPjxrZXl3b3JkPlByZWduYW5j
eTwva2V5d29yZD48a2V5d29yZD4qUHJlZ25hbmN5IE91dGNvbWU8L2tleXdvcmQ+PGtleXdvcmQ+
UHJlbWF0dXJlIEJpcnRoLyplcGlkZW1pb2xvZ3k8L2tleXdvcmQ+PGtleXdvcmQ+UHJvYmlvdGlj
cy8qdGhlcmFwZXV0aWMgdXNlPC9rZXl3b3JkPjxrZXl3b3JkPlJhbmRvbWl6ZWQgQ29udHJvbGxl
ZCBUcmlhbHMgYXMgVG9waWM8L2tleXdvcmQ+PGtleXdvcmQ+KlByZWduYW5jeTwva2V5d29yZD48
a2V5d29yZD4qUHJldGVybSBiaXJ0aDwva2V5d29yZD48a2V5d29yZD4qUHJvYmlvdGljczwva2V5
d29yZD48a2V5d29yZD4qU3luYmlvdGljczwva2V5d29yZD48L2tleXdvcmRzPjxkYXRlcz48eWVh
cj4yMDE4PC95ZWFyPjxwdWItZGF0ZXM+PGRhdGU+SmFuIDg8L2RhdGU+PC9wdWItZGF0ZXM+PC9k
YXRlcz48aXNibj4xNDcxLTIzOTMgKEVsZWN0cm9uaWMpJiN4RDsxNDcxLTIzOTMgKExpbmtpbmcp
PC9pc2JuPjxhY2Nlc3Npb24tbnVtPjI5MzEwNjEwPC9hY2Nlc3Npb24tbnVtPjx1cmxzPjxyZWxh
dGVkLXVybHM+PHVybD5odHRwczovL3d3dy5uY2JpLm5sbS5uaWguZ292L3B1Ym1lZC8yOTMxMDYx
MDwvdXJsPjwvcmVsYXRlZC11cmxzPjwvdXJscz48Y3VzdG9tMj5QTUM1NzU5MjEyPC9jdXN0b20y
PjxlbGVjdHJvbmljLXJlc291cmNlLW51bT4xMC4xMTg2L3MxMjg4NC0wMTctMTYyOS01PC9lbGVj
dHJvbmljLXJlc291cmNlLW51bT48L3JlY29yZD48L0NpdGU+PC9FbmROb3RlPgB=
</w:fldData>
              </w:fldChar>
            </w:r>
            <w:r w:rsidR="002747EA">
              <w:instrText xml:space="preserve"> ADDIN EN.CITE </w:instrText>
            </w:r>
            <w:r w:rsidR="002747EA">
              <w:fldChar w:fldCharType="begin">
                <w:fldData xml:space="preserve">PEVuZE5vdGU+PENpdGU+PEF1dGhvcj5KYXJkZTwvQXV0aG9yPjxZZWFyPjIwMTg8L1llYXI+PFJl
Y051bT4xNjU5PC9SZWNOdW0+PERpc3BsYXlUZXh0PjxzdHlsZSBmYWNlPSJzdXBlcnNjcmlwdCIg
Zm9udD0iVHJlYnVjaGV0IE1TIiBzaXplPSI5Ij4yMjU8L3N0eWxlPjwvRGlzcGxheVRleHQ+PHJl
Y29yZD48cmVjLW51bWJlcj4xNjU5PC9yZWMtbnVtYmVyPjxmb3JlaWduLWtleXM+PGtleSBhcHA9
IkVOIiBkYi1pZD0iZXh2YXNyZngyZHRyYW9lc2FzeHAyc3pzeGEyZGY1MDI1OTJ4IiB0aW1lc3Rh
bXA9IjE1ODEzMTI3NjQiPjE2NTk8L2tleT48a2V5IGFwcD0iRU5XZWIiIGRiLWlkPSIiPjA8L2tl
eT48L2ZvcmVpZ24ta2V5cz48cmVmLXR5cGUgbmFtZT0iSm91cm5hbCBBcnRpY2xlIj4xNzwvcmVm
LXR5cGU+PGNvbnRyaWJ1dG9ycz48YXV0aG9ycz48YXV0aG9yPkphcmRlLCBBLjwvYXV0aG9yPjxh
dXRob3I+TGV3aXMtTWlraGFlbCwgQS4gTS48L2F1dGhvcj48YXV0aG9yPk1vYXl5ZWRpLCBQLjwv
YXV0aG9yPjxhdXRob3I+U3RlYXJucywgSi4gQy48L2F1dGhvcj48YXV0aG9yPkNvbGxpbnMsIFMu
IE0uPC9hdXRob3I+PGF1dGhvcj5CZXllbmUsIEouPC9hdXRob3I+PGF1dGhvcj5NY0RvbmFsZCwg
Uy4gRC48L2F1dGhvcj48L2F1dGhvcnM+PC9jb250cmlidXRvcnM+PGF1dGgtYWRkcmVzcz5EZXBh
cnRtZW50IG9mIE9ic3RldHJpY3MgYW5kIEd5bmVjb2xvZ3ksIE1jTWFzdGVyIFVuaXZlcnNpdHks
IDEyODAgTWFpbiBTdHJlZXQgV2VzdCwgSGFtaWx0b24sIE9OLCBMOFMgNEsxLCBDYW5hZGEuIGph
cmRlQG1jbWFzdGVyLmNhLiYjeEQ7RGVwYXJ0bWVudCBvZiBPYnN0ZXRyaWNzIGFuZCBHeW5lY29s
b2d5LCBNY01hc3RlciBVbml2ZXJzaXR5LCAxMjgwIE1haW4gU3RyZWV0IFdlc3QsIEhhbWlsdG9u
LCBPTiwgTDhTIDRLMSwgQ2FuYWRhLiYjeEQ7RGVwYXJ0bWVudCBvZiBNZWRpY2luZSwgR2FzdHJv
ZW50ZXJvbG9neSBEaXZpc2lvbiwgTWNNYXN0ZXIgVW5pdmVyc2l0eSwgSGFtaWx0b24sIE9OLCBD
YW5hZGEuJiN4RDtGYXJuY29tYmUgRmFtaWx5IERpZ2VzdGl2ZSBIZWFsdGggUmVzZWFyY2ggSW5z
dGl0dXRlLCBNY01hc3RlciBVbml2ZXJzaXR5LCBIYW1pbHRvbiwgT04sIENhbmFkYS4mI3hEO0Zh
cm5jb21iZSBGYW1pbHkgRGlnZXN0aXZlIEhlYWx0aCBSZXNlYXJjaCBJbnN0aXR1dGUsIERlcGFy
dG1lbnQgb2YgTWVkaWNpbmUsIE1jTWFzdGVyIFVuaXZlcnNpdHksIEhhbWlsdG9uLCBPTiwgQ2Fu
YWRhLiYjeEQ7RGVwYXJ0bWVudCBvZiBDbGluaWNhbCBFcGlkZW1pb2xvZ3kgYW5kIEJpb3N0YXRp
c3RpY3MsIE1jTWFzdGVyIFVuaXZlcnNpdHksIEhhbWlsdG9uLCBPTiwgQ2FuYWRhLjwvYXV0aC1h
ZGRyZXNzPjx0aXRsZXM+PHRpdGxlPlByZWduYW5jeSBvdXRjb21lcyBpbiB3b21lbiB0YWtpbmcg
cHJvYmlvdGljcyBvciBwcmViaW90aWNzOiBhIHN5c3RlbWF0aWMgcmV2aWV3IGFuZCBtZXRhLWFu
YWx5c2lzPC90aXRsZT48c2Vjb25kYXJ5LXRpdGxlPkJNQyBQcmVnbmFuY3kgQ2hpbGRiaXJ0aDwv
c2Vjb25kYXJ5LXRpdGxlPjwvdGl0bGVzPjxwZXJpb2RpY2FsPjxmdWxsLXRpdGxlPkJNQyBQcmVn
bmFuY3kgQ2hpbGRiaXJ0aDwvZnVsbC10aXRsZT48L3BlcmlvZGljYWw+PHBhZ2VzPjE0PC9wYWdl
cz48dm9sdW1lPjE4PC92b2x1bWU+PG51bWJlcj4xPC9udW1iZXI+PGVkaXRpb24+MjAxOC8wMS8x
MDwvZWRpdGlvbj48a2V5d29yZHM+PGtleXdvcmQ+RGlhYmV0ZXMsIEdlc3RhdGlvbmFsL2VwaWRl
bWlvbG9neTwva2V5d29yZD48a2V5d29yZD5GZW1hbGU8L2tleXdvcmQ+PGtleXdvcmQ+SHVtYW5z
PC9rZXl3b3JkPjxrZXl3b3JkPipQcmViaW90aWNzPC9rZXl3b3JkPjxrZXl3b3JkPlByZWduYW5j
eTwva2V5d29yZD48a2V5d29yZD4qUHJlZ25hbmN5IE91dGNvbWU8L2tleXdvcmQ+PGtleXdvcmQ+
UHJlbWF0dXJlIEJpcnRoLyplcGlkZW1pb2xvZ3k8L2tleXdvcmQ+PGtleXdvcmQ+UHJvYmlvdGlj
cy8qdGhlcmFwZXV0aWMgdXNlPC9rZXl3b3JkPjxrZXl3b3JkPlJhbmRvbWl6ZWQgQ29udHJvbGxl
ZCBUcmlhbHMgYXMgVG9waWM8L2tleXdvcmQ+PGtleXdvcmQ+KlByZWduYW5jeTwva2V5d29yZD48
a2V5d29yZD4qUHJldGVybSBiaXJ0aDwva2V5d29yZD48a2V5d29yZD4qUHJvYmlvdGljczwva2V5
d29yZD48a2V5d29yZD4qU3luYmlvdGljczwva2V5d29yZD48L2tleXdvcmRzPjxkYXRlcz48eWVh
cj4yMDE4PC95ZWFyPjxwdWItZGF0ZXM+PGRhdGU+SmFuIDg8L2RhdGU+PC9wdWItZGF0ZXM+PC9k
YXRlcz48aXNibj4xNDcxLTIzOTMgKEVsZWN0cm9uaWMpJiN4RDsxNDcxLTIzOTMgKExpbmtpbmcp
PC9pc2JuPjxhY2Nlc3Npb24tbnVtPjI5MzEwNjEwPC9hY2Nlc3Npb24tbnVtPjx1cmxzPjxyZWxh
dGVkLXVybHM+PHVybD5odHRwczovL3d3dy5uY2JpLm5sbS5uaWguZ292L3B1Ym1lZC8yOTMxMDYx
MDwvdXJsPjwvcmVsYXRlZC11cmxzPjwvdXJscz48Y3VzdG9tMj5QTUM1NzU5MjEyPC9jdXN0b20y
PjxlbGVjdHJvbmljLXJlc291cmNlLW51bT4xMC4xMTg2L3MxMjg4NC0wMTctMTYyOS01PC9lbGVj
dHJvbmljLXJlc291cmNlLW51bT48L3JlY29yZD48L0NpdGU+PC9FbmROb3RlPgB=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225</w:t>
            </w:r>
            <w:r w:rsidR="00AB21E2">
              <w:fldChar w:fldCharType="end"/>
            </w:r>
          </w:p>
          <w:p w14:paraId="2A263A27" w14:textId="4A3FF560" w:rsidR="00A51F74" w:rsidRDefault="00A51F74" w:rsidP="00DA5DC5">
            <w:r>
              <w:t>SLR</w:t>
            </w:r>
          </w:p>
        </w:tc>
        <w:tc>
          <w:tcPr>
            <w:tcW w:w="1417" w:type="dxa"/>
          </w:tcPr>
          <w:p w14:paraId="1791B04E" w14:textId="77D3B497" w:rsidR="004E5D77" w:rsidRDefault="00450C70" w:rsidP="00DA5DC5">
            <w:r>
              <w:t>27 RCTs</w:t>
            </w:r>
          </w:p>
        </w:tc>
        <w:tc>
          <w:tcPr>
            <w:tcW w:w="4532" w:type="dxa"/>
          </w:tcPr>
          <w:p w14:paraId="38CBFD29" w14:textId="2926AC02" w:rsidR="001324D3" w:rsidRDefault="00450C70" w:rsidP="00ED1DF0">
            <w:r w:rsidRPr="00450C70">
              <w:rPr>
                <w:b/>
              </w:rPr>
              <w:t>Aim</w:t>
            </w:r>
            <w:r>
              <w:t>: T</w:t>
            </w:r>
            <w:r w:rsidRPr="00450C70">
              <w:t xml:space="preserve">o perform a systematic review and meta-analysis of the risk of preterm birth and other adverse pregnancy outcomes in pregnant women taking probiotics. </w:t>
            </w:r>
          </w:p>
          <w:p w14:paraId="4B255469" w14:textId="596ECCD1" w:rsidR="004E5D77" w:rsidRPr="008E7105" w:rsidRDefault="001324D3" w:rsidP="001324D3">
            <w:pPr>
              <w:rPr>
                <w:b/>
              </w:rPr>
            </w:pPr>
            <w:r w:rsidRPr="001324D3">
              <w:rPr>
                <w:b/>
              </w:rPr>
              <w:t>Methods</w:t>
            </w:r>
            <w:r w:rsidR="00450C70" w:rsidRPr="00450C70">
              <w:t>: We searched six electronic databases (MEDLINE, EMBASE, CINAHL, Cochrane Central Register of Controlled Trials, Web of Science's Core collection and BIOSIS Preview) up to September 2016 and contacted authors for addit</w:t>
            </w:r>
            <w:r w:rsidR="00C52C7D">
              <w:t>ional data. We included randomis</w:t>
            </w:r>
            <w:r w:rsidR="00450C70" w:rsidRPr="00450C70">
              <w:t xml:space="preserve">ed controlled trials in which women with a singleton pregnancy received a probiotic. Two independent reviewers extracted data using a piloted form and assessed the risk of bias using the Cochrane risk of bias tool. We used random-effects meta-analyses to pool the results. </w:t>
            </w:r>
          </w:p>
        </w:tc>
        <w:tc>
          <w:tcPr>
            <w:tcW w:w="4536" w:type="dxa"/>
          </w:tcPr>
          <w:p w14:paraId="6B7EFF2A" w14:textId="218AFEB4" w:rsidR="00450C70" w:rsidRDefault="00450C70" w:rsidP="00450C70">
            <w:r>
              <w:t>Probiotics versus</w:t>
            </w:r>
            <w:r w:rsidR="00CF696C">
              <w:t xml:space="preserve"> control:</w:t>
            </w:r>
          </w:p>
          <w:p w14:paraId="5BA64D9C" w14:textId="4E8B8137" w:rsidR="006022CC" w:rsidRDefault="006022CC" w:rsidP="00B7354C">
            <w:pPr>
              <w:pStyle w:val="bullet"/>
            </w:pPr>
            <w:r>
              <w:t xml:space="preserve">Gestational diabetes; RR 1.25; 95%CI 0.61 to 2.56; 388; 3 </w:t>
            </w:r>
            <w:r w:rsidR="001324D3">
              <w:t>RCTs</w:t>
            </w:r>
          </w:p>
          <w:p w14:paraId="41386D6A" w14:textId="240F08D5" w:rsidR="006022CC" w:rsidRDefault="006022CC" w:rsidP="00B7354C">
            <w:pPr>
              <w:pStyle w:val="bullet"/>
            </w:pPr>
            <w:r>
              <w:t xml:space="preserve">Gestational hypertension: RR 1.99; 95%CI 0.49 to 7.99; n=144; 1 </w:t>
            </w:r>
            <w:r w:rsidR="001324D3">
              <w:t>RCT</w:t>
            </w:r>
          </w:p>
          <w:p w14:paraId="2CCA57BF" w14:textId="7F0FDD3D" w:rsidR="006022CC" w:rsidRDefault="006022CC" w:rsidP="00B7354C">
            <w:pPr>
              <w:pStyle w:val="bullet"/>
            </w:pPr>
            <w:r>
              <w:t>Caesarean section: RR 0.83; 95%CI 0.67 to 1.04; n=</w:t>
            </w:r>
            <w:r w:rsidR="00E45825">
              <w:t xml:space="preserve">1,482; 9 </w:t>
            </w:r>
            <w:r w:rsidR="001324D3">
              <w:t>RCTs</w:t>
            </w:r>
          </w:p>
          <w:p w14:paraId="265909F3" w14:textId="54A479CA" w:rsidR="00B7354C" w:rsidRDefault="00CF24F1" w:rsidP="00B7354C">
            <w:pPr>
              <w:pStyle w:val="bullet"/>
            </w:pPr>
            <w:r>
              <w:t>P</w:t>
            </w:r>
            <w:r w:rsidR="005B4719">
              <w:t>reterm birth &lt;</w:t>
            </w:r>
            <w:r w:rsidR="00B7354C">
              <w:t xml:space="preserve">34 weeks: </w:t>
            </w:r>
            <w:r w:rsidR="00450C70" w:rsidRPr="00450C70">
              <w:t>RR 1</w:t>
            </w:r>
            <w:r w:rsidR="00B7354C">
              <w:t>.03, 95% CI 0.29</w:t>
            </w:r>
            <w:r w:rsidR="005B4719">
              <w:t xml:space="preserve"> to </w:t>
            </w:r>
            <w:r w:rsidR="00B7354C">
              <w:t xml:space="preserve">3.64, </w:t>
            </w:r>
            <w:r w:rsidR="006022CC">
              <w:t>n=</w:t>
            </w:r>
            <w:r w:rsidR="00450C70" w:rsidRPr="00450C70">
              <w:t>1</w:t>
            </w:r>
            <w:r w:rsidR="00B7354C">
              <w:t>,</w:t>
            </w:r>
            <w:r w:rsidR="005B4719">
              <w:t>017</w:t>
            </w:r>
            <w:r w:rsidR="006022CC">
              <w:t>;</w:t>
            </w:r>
            <w:r w:rsidR="005B4719">
              <w:t xml:space="preserve"> 5 </w:t>
            </w:r>
            <w:r w:rsidR="001324D3">
              <w:t>RCTs</w:t>
            </w:r>
          </w:p>
          <w:p w14:paraId="59C20A24" w14:textId="2FCA3218" w:rsidR="004E5D77" w:rsidRDefault="00B7354C" w:rsidP="005B4719">
            <w:pPr>
              <w:pStyle w:val="bullet"/>
            </w:pPr>
            <w:r>
              <w:t>P</w:t>
            </w:r>
            <w:r w:rsidR="005B4719">
              <w:t>reterm birth &lt;</w:t>
            </w:r>
            <w:r>
              <w:t>37 weeks: RR 1.08, 95% CI 0.71</w:t>
            </w:r>
            <w:r w:rsidR="005B4719">
              <w:t xml:space="preserve"> to </w:t>
            </w:r>
            <w:r>
              <w:t xml:space="preserve">1.63, </w:t>
            </w:r>
            <w:r w:rsidR="006022CC">
              <w:t>n=</w:t>
            </w:r>
            <w:r w:rsidR="00450C70" w:rsidRPr="00450C70">
              <w:t>2</w:t>
            </w:r>
            <w:r>
              <w:t>,</w:t>
            </w:r>
            <w:r w:rsidR="00450C70" w:rsidRPr="00450C70">
              <w:t>484</w:t>
            </w:r>
            <w:r w:rsidR="006022CC">
              <w:t>;</w:t>
            </w:r>
            <w:r w:rsidR="00450C70" w:rsidRPr="00450C70">
              <w:t xml:space="preserve"> 11 </w:t>
            </w:r>
            <w:r w:rsidR="001324D3">
              <w:t>RCTs</w:t>
            </w:r>
          </w:p>
          <w:p w14:paraId="7297719B" w14:textId="0FA2B70E" w:rsidR="0021273C" w:rsidRDefault="0021273C" w:rsidP="005B4719">
            <w:pPr>
              <w:pStyle w:val="bullet"/>
            </w:pPr>
            <w:r>
              <w:t xml:space="preserve">Small for gestational age: RR 1.03; 95%CIi 0.35 to 3.06; </w:t>
            </w:r>
            <w:r w:rsidR="006022CC">
              <w:t xml:space="preserve">n=353; </w:t>
            </w:r>
            <w:r>
              <w:t xml:space="preserve">3 </w:t>
            </w:r>
            <w:r w:rsidR="001324D3">
              <w:t>RCTs</w:t>
            </w:r>
          </w:p>
          <w:p w14:paraId="566A669A" w14:textId="19B79AFA" w:rsidR="006022CC" w:rsidRDefault="006022CC" w:rsidP="005B4719">
            <w:pPr>
              <w:pStyle w:val="bullet"/>
            </w:pPr>
            <w:r>
              <w:t xml:space="preserve">Large for gestational age: RR 0.96; 95%CI 0.47 to 1.94; n=344; 3 </w:t>
            </w:r>
            <w:r w:rsidR="001324D3">
              <w:t>RCTs</w:t>
            </w:r>
          </w:p>
          <w:p w14:paraId="72242332" w14:textId="0D3ACAD7" w:rsidR="006022CC" w:rsidRPr="00450C70" w:rsidRDefault="006022CC" w:rsidP="006022CC">
            <w:pPr>
              <w:pStyle w:val="bullet"/>
            </w:pPr>
            <w:r>
              <w:t xml:space="preserve">Macrosomia (&gt;4,000g): RR 1.08; 95%CI 072 to 1.63; n=414; 3 </w:t>
            </w:r>
            <w:r w:rsidR="001324D3">
              <w:t>RCTs</w:t>
            </w:r>
          </w:p>
        </w:tc>
        <w:tc>
          <w:tcPr>
            <w:tcW w:w="1843" w:type="dxa"/>
          </w:tcPr>
          <w:p w14:paraId="7500B256" w14:textId="77777777" w:rsidR="004E5D77" w:rsidRDefault="00CF696C" w:rsidP="00B7354C">
            <w:r>
              <w:t>Control groups in some included studies received an</w:t>
            </w:r>
            <w:r w:rsidR="00B7354C">
              <w:t xml:space="preserve"> intervention; these have not been included in this meta-analysis.</w:t>
            </w:r>
          </w:p>
          <w:p w14:paraId="6F673A4F" w14:textId="2B355A0A" w:rsidR="00A82A14" w:rsidRPr="00141F7B" w:rsidRDefault="00A82A14" w:rsidP="001324D3">
            <w:r w:rsidRPr="00A82A14">
              <w:t>In order to consider</w:t>
            </w:r>
            <w:r>
              <w:t xml:space="preserve"> </w:t>
            </w:r>
            <w:r w:rsidRPr="00A82A14">
              <w:t>a study as overall having low risk of bias</w:t>
            </w:r>
            <w:r w:rsidR="001324D3">
              <w:t xml:space="preserve">, </w:t>
            </w:r>
            <w:r w:rsidRPr="00A82A14">
              <w:t>it had to have none of the domains considered as high</w:t>
            </w:r>
            <w:r w:rsidR="001324D3">
              <w:t xml:space="preserve"> </w:t>
            </w:r>
            <w:r w:rsidRPr="00A82A14">
              <w:t xml:space="preserve">risk of bias and at least four (not counting </w:t>
            </w:r>
            <w:r w:rsidRPr="00A82A14">
              <w:rPr>
                <w:rFonts w:ascii="Helvetica" w:hAnsi="Helvetica"/>
              </w:rPr>
              <w:t>‘</w:t>
            </w:r>
            <w:r w:rsidRPr="00A82A14">
              <w:t>Other</w:t>
            </w:r>
            <w:r w:rsidR="001324D3">
              <w:t xml:space="preserve"> </w:t>
            </w:r>
            <w:r w:rsidRPr="00A82A14">
              <w:t>biases</w:t>
            </w:r>
            <w:r w:rsidRPr="00A82A14">
              <w:rPr>
                <w:rFonts w:ascii="Helvetica" w:hAnsi="Helvetica"/>
              </w:rPr>
              <w:t>’</w:t>
            </w:r>
            <w:r w:rsidRPr="00A82A14">
              <w:t>) considered as low risk of bias, with at least one</w:t>
            </w:r>
            <w:r w:rsidR="001324D3">
              <w:t xml:space="preserve"> </w:t>
            </w:r>
            <w:r w:rsidRPr="00A82A14">
              <w:t xml:space="preserve">of them being </w:t>
            </w:r>
            <w:r w:rsidRPr="00A82A14">
              <w:rPr>
                <w:rFonts w:ascii="Helvetica" w:hAnsi="Helvetica"/>
              </w:rPr>
              <w:t>‘</w:t>
            </w:r>
            <w:r w:rsidRPr="00A82A14">
              <w:t>random sequence generation</w:t>
            </w:r>
            <w:r w:rsidRPr="00A82A14">
              <w:rPr>
                <w:rFonts w:ascii="Helvetica" w:hAnsi="Helvetica"/>
              </w:rPr>
              <w:t xml:space="preserve">’ </w:t>
            </w:r>
            <w:r w:rsidRPr="00A82A14">
              <w:t xml:space="preserve">or </w:t>
            </w:r>
            <w:r w:rsidRPr="00A82A14">
              <w:rPr>
                <w:rFonts w:ascii="Helvetica" w:hAnsi="Helvetica"/>
              </w:rPr>
              <w:t>‘</w:t>
            </w:r>
            <w:r w:rsidRPr="00A82A14">
              <w:t>allocation</w:t>
            </w:r>
            <w:r w:rsidR="001324D3">
              <w:t xml:space="preserve"> </w:t>
            </w:r>
            <w:r w:rsidRPr="00A82A14">
              <w:t>concealment</w:t>
            </w:r>
            <w:r w:rsidRPr="00A82A14">
              <w:rPr>
                <w:rFonts w:ascii="Helvetica" w:hAnsi="Helvetica"/>
              </w:rPr>
              <w:t>’</w:t>
            </w:r>
            <w:r w:rsidRPr="00A82A14">
              <w:t>.</w:t>
            </w:r>
          </w:p>
        </w:tc>
      </w:tr>
    </w:tbl>
    <w:p w14:paraId="025DA818" w14:textId="21907503" w:rsidR="00B7354C" w:rsidRPr="001746E1" w:rsidRDefault="009C163D" w:rsidP="00BD61CC">
      <w:pPr>
        <w:pStyle w:val="TableName"/>
        <w:ind w:left="1134" w:hanging="1134"/>
      </w:pPr>
      <w:bookmarkStart w:id="111" w:name="_Toc40956639"/>
      <w:r>
        <w:t xml:space="preserve">Q4 </w:t>
      </w:r>
      <w:r w:rsidR="001746E1">
        <w:t>Supplementation of probiotics during pregnancy — RCTs</w:t>
      </w:r>
      <w:bookmarkEnd w:id="11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1: Q4 Supplementation of probiotics during pregnancy — RCTs"/>
      </w:tblPr>
      <w:tblGrid>
        <w:gridCol w:w="1564"/>
        <w:gridCol w:w="1417"/>
        <w:gridCol w:w="4532"/>
        <w:gridCol w:w="4536"/>
        <w:gridCol w:w="1843"/>
      </w:tblGrid>
      <w:tr w:rsidR="00B7354C" w:rsidRPr="00F350A6" w14:paraId="5CE8D77F" w14:textId="77777777" w:rsidTr="00B7354C">
        <w:trPr>
          <w:cantSplit/>
          <w:trHeight w:val="390"/>
          <w:tblHeader/>
        </w:trPr>
        <w:tc>
          <w:tcPr>
            <w:tcW w:w="1564" w:type="dxa"/>
          </w:tcPr>
          <w:p w14:paraId="432B359F" w14:textId="77777777" w:rsidR="00B7354C" w:rsidRPr="00F350A6" w:rsidRDefault="00B7354C" w:rsidP="008000F6">
            <w:pPr>
              <w:keepNext/>
              <w:rPr>
                <w:b/>
              </w:rPr>
            </w:pPr>
            <w:r>
              <w:rPr>
                <w:b/>
              </w:rPr>
              <w:t>Study ref</w:t>
            </w:r>
          </w:p>
        </w:tc>
        <w:tc>
          <w:tcPr>
            <w:tcW w:w="1417" w:type="dxa"/>
          </w:tcPr>
          <w:p w14:paraId="6BB4E4B5" w14:textId="77777777" w:rsidR="00B7354C" w:rsidRPr="00F350A6" w:rsidRDefault="00B7354C" w:rsidP="008000F6">
            <w:pPr>
              <w:keepNext/>
              <w:rPr>
                <w:b/>
              </w:rPr>
            </w:pPr>
            <w:r>
              <w:rPr>
                <w:b/>
              </w:rPr>
              <w:t>N</w:t>
            </w:r>
          </w:p>
        </w:tc>
        <w:tc>
          <w:tcPr>
            <w:tcW w:w="4532" w:type="dxa"/>
          </w:tcPr>
          <w:p w14:paraId="15B6ECB1" w14:textId="76EEEF80" w:rsidR="00B7354C" w:rsidRPr="00F350A6" w:rsidRDefault="00B7354C" w:rsidP="00B7354C">
            <w:pPr>
              <w:keepNext/>
              <w:rPr>
                <w:b/>
              </w:rPr>
            </w:pPr>
            <w:r>
              <w:rPr>
                <w:b/>
              </w:rPr>
              <w:t>Aim/population/intervention</w:t>
            </w:r>
          </w:p>
        </w:tc>
        <w:tc>
          <w:tcPr>
            <w:tcW w:w="4536" w:type="dxa"/>
          </w:tcPr>
          <w:p w14:paraId="25A2FC5F" w14:textId="77777777" w:rsidR="00B7354C" w:rsidRPr="00F350A6" w:rsidRDefault="00B7354C" w:rsidP="008000F6">
            <w:pPr>
              <w:keepNext/>
              <w:rPr>
                <w:b/>
              </w:rPr>
            </w:pPr>
            <w:r>
              <w:rPr>
                <w:b/>
              </w:rPr>
              <w:t>Results</w:t>
            </w:r>
          </w:p>
        </w:tc>
        <w:tc>
          <w:tcPr>
            <w:tcW w:w="1843" w:type="dxa"/>
          </w:tcPr>
          <w:p w14:paraId="78B89995" w14:textId="77777777" w:rsidR="00B7354C" w:rsidRPr="00F350A6" w:rsidRDefault="00B7354C" w:rsidP="008000F6">
            <w:pPr>
              <w:keepNext/>
              <w:rPr>
                <w:b/>
              </w:rPr>
            </w:pPr>
            <w:r>
              <w:rPr>
                <w:b/>
              </w:rPr>
              <w:t>Comments</w:t>
            </w:r>
          </w:p>
        </w:tc>
      </w:tr>
      <w:tr w:rsidR="00A51F74" w:rsidRPr="00141F7B" w14:paraId="32A6C8D9" w14:textId="77777777" w:rsidTr="00B7354C">
        <w:trPr>
          <w:cantSplit/>
          <w:trHeight w:val="390"/>
        </w:trPr>
        <w:tc>
          <w:tcPr>
            <w:tcW w:w="1564" w:type="dxa"/>
          </w:tcPr>
          <w:p w14:paraId="0D4DA8F9" w14:textId="4F7D1F07" w:rsidR="00A51F74" w:rsidRDefault="00A51F74" w:rsidP="00DA5DC5">
            <w:r>
              <w:t>Callaway et al 2019</w:t>
            </w:r>
            <w:r w:rsidR="00AB21E2">
              <w:fldChar w:fldCharType="begin">
                <w:fldData xml:space="preserve">PEVuZE5vdGU+PENpdGU+PEF1dGhvcj5DYWxsYXdheTwvQXV0aG9yPjxZZWFyPjIwMTk8L1llYXI+
PFJlY051bT4xNjQ5PC9SZWNOdW0+PERpc3BsYXlUZXh0PjxzdHlsZSBmYWNlPSJzdXBlcnNjcmlw
dCIgZm9udD0iVHJlYnVjaGV0IE1TIiBzaXplPSI5Ij4yMjg8L3N0eWxlPjwvRGlzcGxheVRleHQ+
PHJlY29yZD48cmVjLW51bWJlcj4xNjQ5PC9yZWMtbnVtYmVyPjxmb3JlaWduLWtleXM+PGtleSBh
cHA9IkVOIiBkYi1pZD0iZXh2YXNyZngyZHRyYW9lc2FzeHAyc3pzeGEyZGY1MDI1OTJ4IiB0aW1l
c3RhbXA9IjE1ODEzMTI2OTgiPjE2NDk8L2tleT48a2V5IGFwcD0iRU5XZWIiIGRiLWlkPSIiPjA8
L2tleT48L2ZvcmVpZ24ta2V5cz48cmVmLXR5cGUgbmFtZT0iSm91cm5hbCBBcnRpY2xlIj4xNzwv
cmVmLXR5cGU+PGNvbnRyaWJ1dG9ycz48YXV0aG9ycz48YXV0aG9yPkNhbGxhd2F5LCBMLiBLLjwv
YXV0aG9yPjxhdXRob3I+TWNJbnR5cmUsIEguIEQuPC9hdXRob3I+PGF1dGhvcj5CYXJyZXR0LCBI
LiBMLjwvYXV0aG9yPjxhdXRob3I+Rm94Y3JvZnQsIEsuPC9hdXRob3I+PGF1dGhvcj5UcmVtZWxs
ZW4sIEEuPC9hdXRob3I+PGF1dGhvcj5MaW5nd29vZCwgQi4gRS48L2F1dGhvcj48YXV0aG9yPlRv
YmluLCBKLiBNLjwvYXV0aG9yPjxhdXRob3I+V2lsa2luc29uLCBTLjwvYXV0aG9yPjxhdXRob3I+
S290aGFyaSwgQS48L2F1dGhvcj48YXV0aG9yPk1vcnJpc29uLCBNLjwvYXV0aG9yPjxhdXRob3I+
TyZhcG9zO1JvdXJrZSwgUC48L2F1dGhvcj48YXV0aG9yPlBlbGVjYW5vcywgQS48L2F1dGhvcj48
YXV0aG9yPkRla2tlciBOaXRlcnQsIE0uPC9hdXRob3I+PC9hdXRob3JzPjwvY29udHJpYnV0b3Jz
PjxhdXRoLWFkZHJlc3M+V29tZW4mYXBvcztzIGFuZCBOZXdib3JuIFNlcnZpY2VzLCBSb3lhbCBC
cmlzYmFuZSBhbmQgV29tZW4mYXBvcztzIEhvc3BpdGFsLCBIZXJzdG9uLCBBdXN0cmFsaWEgbC5j
YWxsYXdheUB1cS5lZHUuYXUuJiN4RDtGYWN1bHR5IG9mIE1lZGljaW5lLCBUaGUgVW5pdmVyc2l0
eSBvZiBRdWVlbnNsYW5kLCBIZXJzdG9uLCBBdXN0cmFsaWEuJiN4RDtNYXRlciBNZWRpY2FsIFJl
c2VhcmNoIEluc3RpdHV0ZSwgU291dGggQnJpc2JhbmUsIEF1c3RyYWxpYS4mI3hEO1dvbWVuJmFw
b3M7cyBhbmQgTmV3Ym9ybiBTZXJ2aWNlcywgUm95YWwgQnJpc2JhbmUgYW5kIFdvbWVuJmFwb3M7
cyBIb3NwaXRhbCwgSGVyc3RvbiwgQXVzdHJhbGlhLiYjeEQ7SmFtZXMgQ29vayBVbml2ZXJzaXR5
LCBNYWNrYXksIEF1c3RyYWxpYS4mI3hEO0RlcGFydG1lbnQgb2YgTnV0cml0aW9uIGFuZCBEaWV0
ZXRpY3MsIE1hdGVyIEdyb3VwLCBTb3V0aCBCcmlzYmFuZSwgQXVzdHJhbGlhLiYjeEQ7UmVkY2xp
ZmZlIEhvc3BpdGFsLCBSZWRjbGlmZmUsIEF1c3RyYWxpYS4mI3hEO0ZhY3VsdHkgb2YgTWVkaWNp
bmUsIFVuaXZlcnNpdHkgb2YgUXVlZW5zbGFuZCBEaWFtYW50aW5hIEluc3RpdHV0ZSwgVHJhbnNs
YXRpb25hbCBSZXNlYXJjaCBJbnN0aXR1dGUsIFdvb2xsb29uZ2FiYmEsIEF1c3RyYWxpYS4mI3hE
O1FJTVIgQmVyZ2hvZmVyIE1lZGljYWwgUmVzZWFyY2ggSW5zdGl0dXRlLCBIZXJzdG9uLCBBdXN0
cmFsaWEuJiN4RDtTY2hvb2wgb2YgQ2hlbWlzdHJ5IGFuZCBNb2xlY3VsYXIgQmlvc2NpZW5jZXMs
IFRoZSBVbml2ZXJzaXR5IG9mIFF1ZWVuc2xhbmQsIFN0IEx1Y2lhLCBBdXN0cmFsaWEuPC9hdXRo
LWFkZHJlc3M+PHRpdGxlcz48dGl0bGU+UHJvYmlvdGljcyBmb3IgdGhlIHByZXZlbnRpb24gb2Yg
Z2VzdGF0aW9uYWwgZGlhYmV0ZXMgbWVsbGl0dXMgaW4gb3ZlcndlaWdodCBhbmQgb2Jlc2Ugd29t
ZW46IEZpbmRpbmdzIGZyb20gdGhlIFNQUklORyBkb3VibGUtYmxpbmQgcmFuZG9taXplZCBjb250
cm9sbGVkIHRyaWFsPC90aXRsZT48c2Vjb25kYXJ5LXRpdGxlPkRpYWJldGVzIENhcmU8L3NlY29u
ZGFyeS10aXRsZT48L3RpdGxlcz48cGVyaW9kaWNhbD48ZnVsbC10aXRsZT5EaWFiZXRlcyBDYXJl
PC9mdWxsLXRpdGxlPjwvcGVyaW9kaWNhbD48cGFnZXM+MzY0LTM3MTwvcGFnZXM+PHZvbHVtZT40
Mjwvdm9sdW1lPjxudW1iZXI+MzwvbnVtYmVyPjxlZGl0aW9uPjIwMTkvMDEvMjA8L2VkaXRpb24+
PGtleXdvcmRzPjxrZXl3b3JkPkFkdWx0PC9rZXl3b3JkPjxrZXl3b3JkPkF1c3RyYWxpYTwva2V5
d29yZD48a2V5d29yZD5EaWFiZXRlcywgR2VzdGF0aW9uYWwvYmxvb2QvKnByZXZlbnRpb24gJmFt
cDsgY29udHJvbDwva2V5d29yZD48a2V5d29yZD5Eb3VibGUtQmxpbmQgTWV0aG9kPC9rZXl3b3Jk
PjxrZXl3b3JkPkZlbWFsZTwva2V5d29yZD48a2V5d29yZD5HYXN0cm9pbnRlc3RpbmFsIE1pY3Jv
YmlvbWU8L2tleXdvcmQ+PGtleXdvcmQ+R2x1Y29zZSBUb2xlcmFuY2UgVGVzdDwva2V5d29yZD48
a2V5d29yZD5IdW1hbnM8L2tleXdvcmQ+PGtleXdvcmQ+T2Jlc2l0eS9jb21wbGljYXRpb25zLypk
aWV0IHRoZXJhcHk8L2tleXdvcmQ+PGtleXdvcmQ+T3ZlcndlaWdodC9jb21wbGljYXRpb25zLypk
aWV0IHRoZXJhcHk8L2tleXdvcmQ+PGtleXdvcmQ+UHJlZ25hbmN5PC9rZXl3b3JkPjxrZXl3b3Jk
PlByZWduYW5jeSBDb21wbGljYXRpb25zLypkaWV0IHRoZXJhcHk8L2tleXdvcmQ+PGtleXdvcmQ+
UHJvYmlvdGljcy8qdGhlcmFwZXV0aWMgdXNlPC9rZXl3b3JkPjxrZXl3b3JkPldlaWdodCBHYWlu
PC9rZXl3b3JkPjwva2V5d29yZHM+PGRhdGVzPjx5ZWFyPjIwMTk8L3llYXI+PHB1Yi1kYXRlcz48
ZGF0ZT5NYXI8L2RhdGU+PC9wdWItZGF0ZXM+PC9kYXRlcz48aXNibj4xOTM1LTU1NDggKEVsZWN0
cm9uaWMpJiN4RDswMTQ5LTU5OTIgKExpbmtpbmcpPC9pc2JuPjxhY2Nlc3Npb24tbnVtPjMwNjU5
MDcwPC9hY2Nlc3Npb24tbnVtPjx1cmxzPjxyZWxhdGVkLXVybHM+PHVybD5odHRwczovL3d3dy5u
Y2JpLm5sbS5uaWguZ292L3B1Ym1lZC8zMDY1OTA3MDwvdXJsPjwvcmVsYXRlZC11cmxzPjwvdXJs
cz48ZWxlY3Ryb25pYy1yZXNvdXJjZS1udW0+MTAuMjMzNy9kYzE4LTIyNDg8L2VsZWN0cm9uaWMt
cmVzb3VyY2UtbnVtPjwvcmVjb3JkPjwvQ2l0ZT48L0VuZE5vdGU+
</w:fldData>
              </w:fldChar>
            </w:r>
            <w:r w:rsidR="002747EA">
              <w:instrText xml:space="preserve"> ADDIN EN.CITE </w:instrText>
            </w:r>
            <w:r w:rsidR="002747EA">
              <w:fldChar w:fldCharType="begin">
                <w:fldData xml:space="preserve">PEVuZE5vdGU+PENpdGU+PEF1dGhvcj5DYWxsYXdheTwvQXV0aG9yPjxZZWFyPjIwMTk8L1llYXI+
PFJlY051bT4xNjQ5PC9SZWNOdW0+PERpc3BsYXlUZXh0PjxzdHlsZSBmYWNlPSJzdXBlcnNjcmlw
dCIgZm9udD0iVHJlYnVjaGV0IE1TIiBzaXplPSI5Ij4yMjg8L3N0eWxlPjwvRGlzcGxheVRleHQ+
PHJlY29yZD48cmVjLW51bWJlcj4xNjQ5PC9yZWMtbnVtYmVyPjxmb3JlaWduLWtleXM+PGtleSBh
cHA9IkVOIiBkYi1pZD0iZXh2YXNyZngyZHRyYW9lc2FzeHAyc3pzeGEyZGY1MDI1OTJ4IiB0aW1l
c3RhbXA9IjE1ODEzMTI2OTgiPjE2NDk8L2tleT48a2V5IGFwcD0iRU5XZWIiIGRiLWlkPSIiPjA8
L2tleT48L2ZvcmVpZ24ta2V5cz48cmVmLXR5cGUgbmFtZT0iSm91cm5hbCBBcnRpY2xlIj4xNzwv
cmVmLXR5cGU+PGNvbnRyaWJ1dG9ycz48YXV0aG9ycz48YXV0aG9yPkNhbGxhd2F5LCBMLiBLLjwv
YXV0aG9yPjxhdXRob3I+TWNJbnR5cmUsIEguIEQuPC9hdXRob3I+PGF1dGhvcj5CYXJyZXR0LCBI
LiBMLjwvYXV0aG9yPjxhdXRob3I+Rm94Y3JvZnQsIEsuPC9hdXRob3I+PGF1dGhvcj5UcmVtZWxs
ZW4sIEEuPC9hdXRob3I+PGF1dGhvcj5MaW5nd29vZCwgQi4gRS48L2F1dGhvcj48YXV0aG9yPlRv
YmluLCBKLiBNLjwvYXV0aG9yPjxhdXRob3I+V2lsa2luc29uLCBTLjwvYXV0aG9yPjxhdXRob3I+
S290aGFyaSwgQS48L2F1dGhvcj48YXV0aG9yPk1vcnJpc29uLCBNLjwvYXV0aG9yPjxhdXRob3I+
TyZhcG9zO1JvdXJrZSwgUC48L2F1dGhvcj48YXV0aG9yPlBlbGVjYW5vcywgQS48L2F1dGhvcj48
YXV0aG9yPkRla2tlciBOaXRlcnQsIE0uPC9hdXRob3I+PC9hdXRob3JzPjwvY29udHJpYnV0b3Jz
PjxhdXRoLWFkZHJlc3M+V29tZW4mYXBvcztzIGFuZCBOZXdib3JuIFNlcnZpY2VzLCBSb3lhbCBC
cmlzYmFuZSBhbmQgV29tZW4mYXBvcztzIEhvc3BpdGFsLCBIZXJzdG9uLCBBdXN0cmFsaWEgbC5j
YWxsYXdheUB1cS5lZHUuYXUuJiN4RDtGYWN1bHR5IG9mIE1lZGljaW5lLCBUaGUgVW5pdmVyc2l0
eSBvZiBRdWVlbnNsYW5kLCBIZXJzdG9uLCBBdXN0cmFsaWEuJiN4RDtNYXRlciBNZWRpY2FsIFJl
c2VhcmNoIEluc3RpdHV0ZSwgU291dGggQnJpc2JhbmUsIEF1c3RyYWxpYS4mI3hEO1dvbWVuJmFw
b3M7cyBhbmQgTmV3Ym9ybiBTZXJ2aWNlcywgUm95YWwgQnJpc2JhbmUgYW5kIFdvbWVuJmFwb3M7
cyBIb3NwaXRhbCwgSGVyc3RvbiwgQXVzdHJhbGlhLiYjeEQ7SmFtZXMgQ29vayBVbml2ZXJzaXR5
LCBNYWNrYXksIEF1c3RyYWxpYS4mI3hEO0RlcGFydG1lbnQgb2YgTnV0cml0aW9uIGFuZCBEaWV0
ZXRpY3MsIE1hdGVyIEdyb3VwLCBTb3V0aCBCcmlzYmFuZSwgQXVzdHJhbGlhLiYjeEQ7UmVkY2xp
ZmZlIEhvc3BpdGFsLCBSZWRjbGlmZmUsIEF1c3RyYWxpYS4mI3hEO0ZhY3VsdHkgb2YgTWVkaWNp
bmUsIFVuaXZlcnNpdHkgb2YgUXVlZW5zbGFuZCBEaWFtYW50aW5hIEluc3RpdHV0ZSwgVHJhbnNs
YXRpb25hbCBSZXNlYXJjaCBJbnN0aXR1dGUsIFdvb2xsb29uZ2FiYmEsIEF1c3RyYWxpYS4mI3hE
O1FJTVIgQmVyZ2hvZmVyIE1lZGljYWwgUmVzZWFyY2ggSW5zdGl0dXRlLCBIZXJzdG9uLCBBdXN0
cmFsaWEuJiN4RDtTY2hvb2wgb2YgQ2hlbWlzdHJ5IGFuZCBNb2xlY3VsYXIgQmlvc2NpZW5jZXMs
IFRoZSBVbml2ZXJzaXR5IG9mIFF1ZWVuc2xhbmQsIFN0IEx1Y2lhLCBBdXN0cmFsaWEuPC9hdXRo
LWFkZHJlc3M+PHRpdGxlcz48dGl0bGU+UHJvYmlvdGljcyBmb3IgdGhlIHByZXZlbnRpb24gb2Yg
Z2VzdGF0aW9uYWwgZGlhYmV0ZXMgbWVsbGl0dXMgaW4gb3ZlcndlaWdodCBhbmQgb2Jlc2Ugd29t
ZW46IEZpbmRpbmdzIGZyb20gdGhlIFNQUklORyBkb3VibGUtYmxpbmQgcmFuZG9taXplZCBjb250
cm9sbGVkIHRyaWFsPC90aXRsZT48c2Vjb25kYXJ5LXRpdGxlPkRpYWJldGVzIENhcmU8L3NlY29u
ZGFyeS10aXRsZT48L3RpdGxlcz48cGVyaW9kaWNhbD48ZnVsbC10aXRsZT5EaWFiZXRlcyBDYXJl
PC9mdWxsLXRpdGxlPjwvcGVyaW9kaWNhbD48cGFnZXM+MzY0LTM3MTwvcGFnZXM+PHZvbHVtZT40
Mjwvdm9sdW1lPjxudW1iZXI+MzwvbnVtYmVyPjxlZGl0aW9uPjIwMTkvMDEvMjA8L2VkaXRpb24+
PGtleXdvcmRzPjxrZXl3b3JkPkFkdWx0PC9rZXl3b3JkPjxrZXl3b3JkPkF1c3RyYWxpYTwva2V5
d29yZD48a2V5d29yZD5EaWFiZXRlcywgR2VzdGF0aW9uYWwvYmxvb2QvKnByZXZlbnRpb24gJmFt
cDsgY29udHJvbDwva2V5d29yZD48a2V5d29yZD5Eb3VibGUtQmxpbmQgTWV0aG9kPC9rZXl3b3Jk
PjxrZXl3b3JkPkZlbWFsZTwva2V5d29yZD48a2V5d29yZD5HYXN0cm9pbnRlc3RpbmFsIE1pY3Jv
YmlvbWU8L2tleXdvcmQ+PGtleXdvcmQ+R2x1Y29zZSBUb2xlcmFuY2UgVGVzdDwva2V5d29yZD48
a2V5d29yZD5IdW1hbnM8L2tleXdvcmQ+PGtleXdvcmQ+T2Jlc2l0eS9jb21wbGljYXRpb25zLypk
aWV0IHRoZXJhcHk8L2tleXdvcmQ+PGtleXdvcmQ+T3ZlcndlaWdodC9jb21wbGljYXRpb25zLypk
aWV0IHRoZXJhcHk8L2tleXdvcmQ+PGtleXdvcmQ+UHJlZ25hbmN5PC9rZXl3b3JkPjxrZXl3b3Jk
PlByZWduYW5jeSBDb21wbGljYXRpb25zLypkaWV0IHRoZXJhcHk8L2tleXdvcmQ+PGtleXdvcmQ+
UHJvYmlvdGljcy8qdGhlcmFwZXV0aWMgdXNlPC9rZXl3b3JkPjxrZXl3b3JkPldlaWdodCBHYWlu
PC9rZXl3b3JkPjwva2V5d29yZHM+PGRhdGVzPjx5ZWFyPjIwMTk8L3llYXI+PHB1Yi1kYXRlcz48
ZGF0ZT5NYXI8L2RhdGU+PC9wdWItZGF0ZXM+PC9kYXRlcz48aXNibj4xOTM1LTU1NDggKEVsZWN0
cm9uaWMpJiN4RDswMTQ5LTU5OTIgKExpbmtpbmcpPC9pc2JuPjxhY2Nlc3Npb24tbnVtPjMwNjU5
MDcwPC9hY2Nlc3Npb24tbnVtPjx1cmxzPjxyZWxhdGVkLXVybHM+PHVybD5odHRwczovL3d3dy5u
Y2JpLm5sbS5uaWguZ292L3B1Ym1lZC8zMDY1OTA3MDwvdXJsPjwvcmVsYXRlZC11cmxzPjwvdXJs
cz48ZWxlY3Ryb25pYy1yZXNvdXJjZS1udW0+MTAuMjMzNy9kYzE4LTIyNDg8L2VsZWN0cm9uaWMt
cmVzb3VyY2UtbnVtPjwvcmVjb3JkPjwvQ2l0ZT48L0VuZE5vdGU+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228</w:t>
            </w:r>
            <w:r w:rsidR="00AB21E2">
              <w:fldChar w:fldCharType="end"/>
            </w:r>
          </w:p>
          <w:p w14:paraId="77580244" w14:textId="77777777" w:rsidR="00A51F74" w:rsidRDefault="00A51F74" w:rsidP="00DA5DC5">
            <w:r>
              <w:t>RCT</w:t>
            </w:r>
          </w:p>
          <w:p w14:paraId="065BD22F" w14:textId="77777777" w:rsidR="00A51F74" w:rsidRDefault="00A51F74" w:rsidP="00DA5DC5">
            <w:r>
              <w:t>Australia</w:t>
            </w:r>
          </w:p>
        </w:tc>
        <w:tc>
          <w:tcPr>
            <w:tcW w:w="1417" w:type="dxa"/>
          </w:tcPr>
          <w:p w14:paraId="0B9B02B6" w14:textId="77777777" w:rsidR="00A51F74" w:rsidRDefault="00A51F74" w:rsidP="00DA5DC5">
            <w:r>
              <w:t>Intervention 207</w:t>
            </w:r>
          </w:p>
          <w:p w14:paraId="54C3A4FB" w14:textId="77777777" w:rsidR="00A51F74" w:rsidRDefault="00A51F74" w:rsidP="00DA5DC5">
            <w:r>
              <w:t>Control 204</w:t>
            </w:r>
          </w:p>
        </w:tc>
        <w:tc>
          <w:tcPr>
            <w:tcW w:w="4532" w:type="dxa"/>
          </w:tcPr>
          <w:p w14:paraId="709D191B" w14:textId="77777777" w:rsidR="00A51F74" w:rsidRDefault="00A51F74" w:rsidP="0050098B">
            <w:r w:rsidRPr="0050098B">
              <w:rPr>
                <w:b/>
              </w:rPr>
              <w:t>Aim</w:t>
            </w:r>
            <w:r>
              <w:t>: T</w:t>
            </w:r>
            <w:r w:rsidRPr="0050098B">
              <w:t xml:space="preserve">o determine whether probiotics (Lactobacillus rhamnosus and Bifidobacterium animalis subspecies lactis) administered from the second trimester in overweight and obese women prevent GDM as assessed by an oral glucose tolerance test (OGTT) at 28 weeks' gestation. </w:t>
            </w:r>
          </w:p>
          <w:p w14:paraId="55D91E8A" w14:textId="6A2032BF" w:rsidR="00A51F74" w:rsidRDefault="00A51F74" w:rsidP="0050098B">
            <w:r w:rsidRPr="00C13709">
              <w:rPr>
                <w:b/>
              </w:rPr>
              <w:t>Population</w:t>
            </w:r>
            <w:r>
              <w:t>: S</w:t>
            </w:r>
            <w:r w:rsidRPr="00C13709">
              <w:t>ingleton pregnancy</w:t>
            </w:r>
            <w:r>
              <w:t xml:space="preserve"> at &lt;</w:t>
            </w:r>
            <w:r w:rsidRPr="00C13709">
              <w:t xml:space="preserve">20 weeks’ gestation, BMI </w:t>
            </w:r>
            <w:r w:rsidR="007B7111">
              <w:t>&gt;</w:t>
            </w:r>
            <w:r w:rsidRPr="00C13709">
              <w:t>25 kg/m</w:t>
            </w:r>
            <w:r w:rsidRPr="00C13709">
              <w:rPr>
                <w:sz w:val="10"/>
                <w:szCs w:val="10"/>
              </w:rPr>
              <w:t>2</w:t>
            </w:r>
            <w:r>
              <w:t>, &gt;</w:t>
            </w:r>
            <w:r w:rsidRPr="00C13709">
              <w:t>18 years of age</w:t>
            </w:r>
            <w:r>
              <w:t>.</w:t>
            </w:r>
          </w:p>
          <w:p w14:paraId="0575662F" w14:textId="77777777" w:rsidR="00A51F74" w:rsidRPr="00D875CC" w:rsidRDefault="00A51F74" w:rsidP="00D875CC">
            <w:r>
              <w:rPr>
                <w:b/>
              </w:rPr>
              <w:t>Intervention</w:t>
            </w:r>
            <w:r w:rsidRPr="0050098B">
              <w:t xml:space="preserve">: </w:t>
            </w:r>
            <w:r>
              <w:t>A</w:t>
            </w:r>
            <w:r w:rsidRPr="00D875CC">
              <w:t xml:space="preserve"> mixture of</w:t>
            </w:r>
            <w:r>
              <w:t xml:space="preserve"> </w:t>
            </w:r>
            <w:r w:rsidRPr="00D875CC">
              <w:rPr>
                <w:i/>
              </w:rPr>
              <w:t xml:space="preserve">Lactobacillus rhamnosus </w:t>
            </w:r>
            <w:r w:rsidRPr="00D875CC">
              <w:t xml:space="preserve">(LGG) and </w:t>
            </w:r>
            <w:r w:rsidRPr="00D875CC">
              <w:rPr>
                <w:i/>
              </w:rPr>
              <w:t>Bifidobacterium animalis</w:t>
            </w:r>
            <w:r w:rsidRPr="00D875CC">
              <w:t xml:space="preserve"> subspecies </w:t>
            </w:r>
            <w:r w:rsidRPr="00D875CC">
              <w:rPr>
                <w:i/>
              </w:rPr>
              <w:t>lactis</w:t>
            </w:r>
            <w:r>
              <w:t xml:space="preserve"> </w:t>
            </w:r>
            <w:r w:rsidRPr="00D875CC">
              <w:t xml:space="preserve">(BB-12) </w:t>
            </w:r>
            <w:r>
              <w:t>at a dose of &gt;</w:t>
            </w:r>
            <w:r w:rsidRPr="00D875CC">
              <w:t xml:space="preserve">1 </w:t>
            </w:r>
            <w:r>
              <w:t>x</w:t>
            </w:r>
            <w:r w:rsidRPr="00D875CC">
              <w:t xml:space="preserve"> 10</w:t>
            </w:r>
            <w:r w:rsidRPr="00D875CC">
              <w:rPr>
                <w:sz w:val="10"/>
                <w:szCs w:val="10"/>
              </w:rPr>
              <w:t xml:space="preserve">9 </w:t>
            </w:r>
            <w:r w:rsidRPr="00D875CC">
              <w:t>colony</w:t>
            </w:r>
            <w:r>
              <w:t>-</w:t>
            </w:r>
            <w:r w:rsidRPr="00D875CC">
              <w:t>forming</w:t>
            </w:r>
            <w:r>
              <w:t xml:space="preserve"> </w:t>
            </w:r>
            <w:r w:rsidRPr="00D875CC">
              <w:t>units each per day</w:t>
            </w:r>
          </w:p>
        </w:tc>
        <w:tc>
          <w:tcPr>
            <w:tcW w:w="4536" w:type="dxa"/>
          </w:tcPr>
          <w:p w14:paraId="03DDC895" w14:textId="77777777" w:rsidR="00A51F74" w:rsidRDefault="00A51F74" w:rsidP="0050098B">
            <w:r>
              <w:t>Probiotics versus placebo:</w:t>
            </w:r>
          </w:p>
          <w:p w14:paraId="6E64B5BF" w14:textId="77777777" w:rsidR="00A51F74" w:rsidRDefault="00A51F74" w:rsidP="00EF060E">
            <w:pPr>
              <w:pStyle w:val="bullet"/>
            </w:pPr>
            <w:r>
              <w:t>Gestational diabetes: 38/207 vs 25/204</w:t>
            </w:r>
          </w:p>
          <w:p w14:paraId="289D5461" w14:textId="77777777" w:rsidR="00A51F74" w:rsidRDefault="00A51F74" w:rsidP="00EF060E">
            <w:pPr>
              <w:pStyle w:val="bullet"/>
            </w:pPr>
            <w:r>
              <w:t xml:space="preserve">Pre-eclampsia: 19/206 vs 10/203 </w:t>
            </w:r>
          </w:p>
          <w:p w14:paraId="36BAC79C" w14:textId="77777777" w:rsidR="00A51F74" w:rsidRDefault="00A51F74" w:rsidP="00EF060E">
            <w:pPr>
              <w:pStyle w:val="bullet"/>
            </w:pPr>
            <w:r>
              <w:t>Gestational hypertension: 10/206 vs 11/203</w:t>
            </w:r>
          </w:p>
          <w:p w14:paraId="36887241" w14:textId="77777777" w:rsidR="00A51F74" w:rsidRDefault="00A51F74" w:rsidP="00EF060E">
            <w:pPr>
              <w:pStyle w:val="bullet"/>
            </w:pPr>
            <w:r>
              <w:t>Caesarean section: 73/206 vs 80/204</w:t>
            </w:r>
          </w:p>
          <w:p w14:paraId="2B940580" w14:textId="77777777" w:rsidR="00A51F74" w:rsidRDefault="00A51F74" w:rsidP="00EF060E">
            <w:pPr>
              <w:pStyle w:val="bullet"/>
            </w:pPr>
            <w:r>
              <w:t>Excessive weight gain: 55/169 vs 81/176</w:t>
            </w:r>
          </w:p>
          <w:p w14:paraId="68A3C9D4" w14:textId="77777777" w:rsidR="00A51F74" w:rsidRDefault="00A51F74" w:rsidP="00EF060E">
            <w:pPr>
              <w:pStyle w:val="bullet"/>
            </w:pPr>
            <w:r>
              <w:t>Preterm birth: 17/193 vs 12/180</w:t>
            </w:r>
          </w:p>
          <w:p w14:paraId="6E82AB0C" w14:textId="77777777" w:rsidR="00A51F74" w:rsidRDefault="00A51F74" w:rsidP="00EF060E">
            <w:pPr>
              <w:pStyle w:val="bullet"/>
            </w:pPr>
            <w:r>
              <w:t>Stillbirth: 0/207 vs 1/204</w:t>
            </w:r>
          </w:p>
          <w:p w14:paraId="25E8CDD1" w14:textId="77777777" w:rsidR="00A51F74" w:rsidRDefault="00A51F74" w:rsidP="00EF060E">
            <w:pPr>
              <w:pStyle w:val="bullet"/>
            </w:pPr>
            <w:r>
              <w:t>Macrosomia (&gt;4,000 g): 31/206 vs 35/203</w:t>
            </w:r>
          </w:p>
          <w:p w14:paraId="6F2C9879" w14:textId="77777777" w:rsidR="00A51F74" w:rsidRPr="0050098B" w:rsidRDefault="00A51F74" w:rsidP="00EF060E">
            <w:pPr>
              <w:pStyle w:val="bullet"/>
            </w:pPr>
            <w:r>
              <w:t>Low birth weight: 7/206 vs 6/203</w:t>
            </w:r>
          </w:p>
        </w:tc>
        <w:tc>
          <w:tcPr>
            <w:tcW w:w="1843" w:type="dxa"/>
          </w:tcPr>
          <w:p w14:paraId="1CE25A16" w14:textId="77777777" w:rsidR="00A51F74" w:rsidRPr="00141F7B" w:rsidRDefault="00A51F74" w:rsidP="00DA5DC5"/>
        </w:tc>
      </w:tr>
      <w:tr w:rsidR="00A51F74" w:rsidRPr="00141F7B" w14:paraId="5F610F17" w14:textId="77777777" w:rsidTr="00B7354C">
        <w:trPr>
          <w:cantSplit/>
          <w:trHeight w:val="390"/>
        </w:trPr>
        <w:tc>
          <w:tcPr>
            <w:tcW w:w="1564" w:type="dxa"/>
          </w:tcPr>
          <w:p w14:paraId="133C2355" w14:textId="6253DF70" w:rsidR="00A51F74" w:rsidRDefault="00A51F74" w:rsidP="00DA5DC5">
            <w:r>
              <w:t>Gille et al 2016</w:t>
            </w:r>
            <w:r w:rsidR="00AB21E2">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instrText xml:space="preserve"> ADDIN EN.CITE </w:instrText>
            </w:r>
            <w:r w:rsidR="002747EA">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229</w:t>
            </w:r>
            <w:r w:rsidR="00AB21E2">
              <w:fldChar w:fldCharType="end"/>
            </w:r>
          </w:p>
          <w:p w14:paraId="05241FCA" w14:textId="77777777" w:rsidR="00A51F74" w:rsidRDefault="00A51F74" w:rsidP="00DA5DC5">
            <w:r>
              <w:t>RCT</w:t>
            </w:r>
          </w:p>
          <w:p w14:paraId="55E44CCB" w14:textId="77777777" w:rsidR="00A51F74" w:rsidRDefault="00A51F74" w:rsidP="00DA5DC5">
            <w:r>
              <w:t>Germany</w:t>
            </w:r>
          </w:p>
        </w:tc>
        <w:tc>
          <w:tcPr>
            <w:tcW w:w="1417" w:type="dxa"/>
          </w:tcPr>
          <w:p w14:paraId="3262DB5E" w14:textId="77777777" w:rsidR="00A51F74" w:rsidRDefault="00A51F74" w:rsidP="00DA5DC5">
            <w:r>
              <w:t>Intervention 154</w:t>
            </w:r>
          </w:p>
          <w:p w14:paraId="158673E7" w14:textId="77777777" w:rsidR="00A51F74" w:rsidRDefault="00A51F74" w:rsidP="00DA5DC5">
            <w:r>
              <w:t>Control 151</w:t>
            </w:r>
          </w:p>
        </w:tc>
        <w:tc>
          <w:tcPr>
            <w:tcW w:w="4532" w:type="dxa"/>
          </w:tcPr>
          <w:p w14:paraId="621914B8" w14:textId="77777777" w:rsidR="00A51F74" w:rsidRDefault="00A51F74" w:rsidP="0020217E">
            <w:r w:rsidRPr="0020217E">
              <w:rPr>
                <w:b/>
              </w:rPr>
              <w:t>Aim</w:t>
            </w:r>
            <w:r>
              <w:t>: T</w:t>
            </w:r>
            <w:r w:rsidRPr="00496543">
              <w:t xml:space="preserve">o evaluate whether an oral probiotic food supplement supports the maintenance or restoration of a normal vaginal microbiota during pregnancy. </w:t>
            </w:r>
          </w:p>
          <w:p w14:paraId="773CD2B2" w14:textId="77777777" w:rsidR="00A51F74" w:rsidRDefault="00A51F74" w:rsidP="0020217E">
            <w:r w:rsidRPr="008C4C2B">
              <w:rPr>
                <w:b/>
              </w:rPr>
              <w:t>Population</w:t>
            </w:r>
            <w:r>
              <w:t>: Women aged &gt;18 years &lt;12 weeks gestation</w:t>
            </w:r>
          </w:p>
          <w:p w14:paraId="736C0088" w14:textId="77777777" w:rsidR="00A51F74" w:rsidRPr="00496543" w:rsidRDefault="00A51F74" w:rsidP="008C4C2B">
            <w:r w:rsidRPr="008C4C2B">
              <w:rPr>
                <w:b/>
              </w:rPr>
              <w:t>Intervention</w:t>
            </w:r>
            <w:r>
              <w:t xml:space="preserve">: </w:t>
            </w:r>
            <w:r w:rsidRPr="00496543">
              <w:t xml:space="preserve">Oral </w:t>
            </w:r>
            <w:r w:rsidRPr="00CE0204">
              <w:rPr>
                <w:i/>
              </w:rPr>
              <w:t>Lactobacillus rhamnosus</w:t>
            </w:r>
            <w:r w:rsidRPr="00496543">
              <w:t xml:space="preserve"> GR-1and </w:t>
            </w:r>
            <w:r w:rsidRPr="00CE0204">
              <w:rPr>
                <w:i/>
              </w:rPr>
              <w:t>L reuteri</w:t>
            </w:r>
            <w:r w:rsidRPr="00496543">
              <w:t xml:space="preserve"> RC-14 (10(9) colony-forming units) or placebo were administered for 8 weeks to women with &lt;12 completed weeks of pregnancy. </w:t>
            </w:r>
          </w:p>
        </w:tc>
        <w:tc>
          <w:tcPr>
            <w:tcW w:w="4536" w:type="dxa"/>
          </w:tcPr>
          <w:p w14:paraId="115D43A4" w14:textId="77777777" w:rsidR="00A51F74" w:rsidRDefault="00A51F74" w:rsidP="0050098B">
            <w:r>
              <w:t>Probiotics versus placebo:</w:t>
            </w:r>
          </w:p>
          <w:p w14:paraId="41F8A326" w14:textId="77777777" w:rsidR="00A51F74" w:rsidRDefault="00A51F74" w:rsidP="00325F96">
            <w:pPr>
              <w:pStyle w:val="bullet"/>
            </w:pPr>
            <w:r>
              <w:t>Preterm birth: 6/154 vs 8/151</w:t>
            </w:r>
          </w:p>
          <w:p w14:paraId="7A97C7F6" w14:textId="77777777" w:rsidR="00A51F74" w:rsidRDefault="00A51F74" w:rsidP="00325F96">
            <w:pPr>
              <w:pStyle w:val="bullet"/>
            </w:pPr>
            <w:r>
              <w:t>Miscarriage (&lt;22 weeks): 12/154 vs 5/151</w:t>
            </w:r>
          </w:p>
          <w:p w14:paraId="2BDF1C6F" w14:textId="77777777" w:rsidR="00A51F74" w:rsidRDefault="00A51F74" w:rsidP="00325F96">
            <w:pPr>
              <w:pStyle w:val="bullet"/>
            </w:pPr>
            <w:r>
              <w:t>Bacterial vaginosis: 3/135 vs 2/136</w:t>
            </w:r>
          </w:p>
        </w:tc>
        <w:tc>
          <w:tcPr>
            <w:tcW w:w="1843" w:type="dxa"/>
          </w:tcPr>
          <w:p w14:paraId="29528FBD" w14:textId="77777777" w:rsidR="00A51F74" w:rsidRPr="00141F7B" w:rsidRDefault="00A51F74" w:rsidP="00DA5DC5"/>
        </w:tc>
      </w:tr>
      <w:tr w:rsidR="00A51F74" w:rsidRPr="00141F7B" w14:paraId="6B4481CF" w14:textId="77777777" w:rsidTr="00B7354C">
        <w:trPr>
          <w:cantSplit/>
          <w:trHeight w:val="390"/>
        </w:trPr>
        <w:tc>
          <w:tcPr>
            <w:tcW w:w="1564" w:type="dxa"/>
          </w:tcPr>
          <w:p w14:paraId="298CBF7F" w14:textId="22FEB835" w:rsidR="00A51F74" w:rsidRDefault="00A51F74" w:rsidP="002D3832">
            <w:r>
              <w:t>Ho et al 2016</w:t>
            </w:r>
            <w:r w:rsidR="00AB21E2">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instrText xml:space="preserve"> ADDIN EN.CITE </w:instrText>
            </w:r>
            <w:r w:rsidR="002747EA">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230</w:t>
            </w:r>
            <w:r w:rsidR="00AB21E2">
              <w:fldChar w:fldCharType="end"/>
            </w:r>
          </w:p>
          <w:p w14:paraId="179B3252" w14:textId="77777777" w:rsidR="00A51F74" w:rsidRDefault="00A51F74" w:rsidP="002D3832">
            <w:r>
              <w:t>RCT</w:t>
            </w:r>
          </w:p>
          <w:p w14:paraId="37E63CB2" w14:textId="77777777" w:rsidR="00A51F74" w:rsidRPr="002D3832" w:rsidRDefault="00A51F74" w:rsidP="002D3832">
            <w:r>
              <w:t>Taiwan</w:t>
            </w:r>
          </w:p>
        </w:tc>
        <w:tc>
          <w:tcPr>
            <w:tcW w:w="1417" w:type="dxa"/>
          </w:tcPr>
          <w:p w14:paraId="16B34864" w14:textId="77777777" w:rsidR="00A51F74" w:rsidRDefault="00A51F74" w:rsidP="00DA5DC5">
            <w:r>
              <w:t>Intervention 49</w:t>
            </w:r>
          </w:p>
          <w:p w14:paraId="76ECE1FE" w14:textId="77777777" w:rsidR="00A51F74" w:rsidRDefault="00A51F74" w:rsidP="00DA5DC5">
            <w:r>
              <w:t>Control 50</w:t>
            </w:r>
          </w:p>
        </w:tc>
        <w:tc>
          <w:tcPr>
            <w:tcW w:w="4532" w:type="dxa"/>
          </w:tcPr>
          <w:p w14:paraId="78A6B9EB" w14:textId="77777777" w:rsidR="00A51F74" w:rsidRDefault="00A51F74" w:rsidP="00DC12C1">
            <w:r w:rsidRPr="004061F8">
              <w:rPr>
                <w:b/>
              </w:rPr>
              <w:t>Aim</w:t>
            </w:r>
            <w:r>
              <w:t>: T</w:t>
            </w:r>
            <w:r w:rsidRPr="004061F8">
              <w:t xml:space="preserve">o examine the effect of Lactobacillus rhamnosus GR-1 and Lactobacillus reuteri RC-14 taken orally before bedtime on Group B Streptococcus (GBS)-positive pregnant women with respect to becoming GBS negative. </w:t>
            </w:r>
          </w:p>
          <w:p w14:paraId="2F3754E6" w14:textId="77777777" w:rsidR="00A51F74" w:rsidRDefault="00A51F74" w:rsidP="004061F8">
            <w:r w:rsidRPr="004061F8">
              <w:rPr>
                <w:b/>
              </w:rPr>
              <w:t>Population</w:t>
            </w:r>
            <w:r>
              <w:t>: P</w:t>
            </w:r>
            <w:r w:rsidRPr="004061F8">
              <w:t>regnant women at 35-37 weeks of gestation who were diagnosed by GBS culture as being GBS positive for both vaginal and rectal GBS colon</w:t>
            </w:r>
            <w:r>
              <w:t>is</w:t>
            </w:r>
            <w:r w:rsidRPr="004061F8">
              <w:t>ation</w:t>
            </w:r>
            <w:r>
              <w:t>.</w:t>
            </w:r>
          </w:p>
          <w:p w14:paraId="78C0BE03" w14:textId="77777777" w:rsidR="00A51F74" w:rsidRPr="002D3832" w:rsidRDefault="00A51F74" w:rsidP="004061F8">
            <w:pPr>
              <w:rPr>
                <w:b/>
              </w:rPr>
            </w:pPr>
            <w:r w:rsidRPr="004061F8">
              <w:rPr>
                <w:b/>
              </w:rPr>
              <w:t>Intervention</w:t>
            </w:r>
            <w:r>
              <w:t>: T</w:t>
            </w:r>
            <w:r w:rsidRPr="004061F8">
              <w:t xml:space="preserve">wo probiotic capsules (containing L. rhamnosus GR-1 and L. reuteri RC-14) before bedtime until </w:t>
            </w:r>
            <w:r>
              <w:t>birth</w:t>
            </w:r>
            <w:r w:rsidRPr="004061F8">
              <w:t xml:space="preserve">. </w:t>
            </w:r>
          </w:p>
        </w:tc>
        <w:tc>
          <w:tcPr>
            <w:tcW w:w="4536" w:type="dxa"/>
          </w:tcPr>
          <w:p w14:paraId="15467DB7" w14:textId="77777777" w:rsidR="00A51F74" w:rsidRDefault="00A51F74" w:rsidP="004061F8">
            <w:r>
              <w:t>Probiotics versus placebo:</w:t>
            </w:r>
          </w:p>
          <w:p w14:paraId="4C519C70" w14:textId="77777777" w:rsidR="00A51F74" w:rsidRPr="004061F8" w:rsidRDefault="00A51F74" w:rsidP="00FB6C84">
            <w:pPr>
              <w:pStyle w:val="bullet"/>
            </w:pPr>
            <w:r>
              <w:t>Absence of GBS colonisation at birth: 21/49 vs 9/50</w:t>
            </w:r>
          </w:p>
        </w:tc>
        <w:tc>
          <w:tcPr>
            <w:tcW w:w="1843" w:type="dxa"/>
          </w:tcPr>
          <w:p w14:paraId="71EB4F0C" w14:textId="77777777" w:rsidR="00A51F74" w:rsidRPr="00141F7B" w:rsidRDefault="00A51F74" w:rsidP="00DA5DC5"/>
        </w:tc>
      </w:tr>
      <w:tr w:rsidR="00A51F74" w:rsidRPr="00141F7B" w14:paraId="3F0CB882" w14:textId="77777777" w:rsidTr="00B7354C">
        <w:trPr>
          <w:cantSplit/>
          <w:trHeight w:val="390"/>
        </w:trPr>
        <w:tc>
          <w:tcPr>
            <w:tcW w:w="1564" w:type="dxa"/>
          </w:tcPr>
          <w:p w14:paraId="3E34C52E" w14:textId="649AEA38" w:rsidR="00A51F74" w:rsidRDefault="00A51F74" w:rsidP="00DA5DC5">
            <w:r>
              <w:t>Husain et al 2020</w:t>
            </w:r>
            <w:r w:rsidR="00AB21E2">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instrText xml:space="preserve"> ADDIN EN.CITE </w:instrText>
            </w:r>
            <w:r w:rsidR="002747EA">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231</w:t>
            </w:r>
            <w:r w:rsidR="00AB21E2">
              <w:fldChar w:fldCharType="end"/>
            </w:r>
          </w:p>
          <w:p w14:paraId="097D4D9B" w14:textId="77777777" w:rsidR="00A51F74" w:rsidRDefault="00A51F74" w:rsidP="00DA5DC5">
            <w:r>
              <w:t>RCT</w:t>
            </w:r>
          </w:p>
          <w:p w14:paraId="2716E942" w14:textId="77777777" w:rsidR="00A51F74" w:rsidRDefault="00A51F74" w:rsidP="00DA5DC5">
            <w:r>
              <w:t>United Kingdom</w:t>
            </w:r>
          </w:p>
        </w:tc>
        <w:tc>
          <w:tcPr>
            <w:tcW w:w="1417" w:type="dxa"/>
          </w:tcPr>
          <w:p w14:paraId="34FF5A6D" w14:textId="77777777" w:rsidR="00A51F74" w:rsidRDefault="00A51F74" w:rsidP="00DA5DC5">
            <w:r>
              <w:t>Intervention 123</w:t>
            </w:r>
          </w:p>
          <w:p w14:paraId="433CCC15" w14:textId="77777777" w:rsidR="00A51F74" w:rsidRDefault="00A51F74" w:rsidP="00DA5DC5">
            <w:r>
              <w:t>Control 115</w:t>
            </w:r>
          </w:p>
        </w:tc>
        <w:tc>
          <w:tcPr>
            <w:tcW w:w="4532" w:type="dxa"/>
          </w:tcPr>
          <w:p w14:paraId="0E6E1C38" w14:textId="77777777" w:rsidR="00A51F74" w:rsidRDefault="00A51F74" w:rsidP="00DC12C1">
            <w:r w:rsidRPr="00DC12C1">
              <w:rPr>
                <w:b/>
              </w:rPr>
              <w:t>Aim</w:t>
            </w:r>
            <w:r>
              <w:t xml:space="preserve">: </w:t>
            </w:r>
            <w:r w:rsidRPr="00DC12C1">
              <w:t xml:space="preserve">To determine the effects on the vaginal microbiota of an oral probiotic preparation administered from early pregnancy. </w:t>
            </w:r>
          </w:p>
          <w:p w14:paraId="313D5AF9" w14:textId="77777777" w:rsidR="00A51F74" w:rsidRDefault="00A51F74" w:rsidP="00DC12C1">
            <w:r w:rsidRPr="00DC12C1">
              <w:rPr>
                <w:b/>
              </w:rPr>
              <w:t>Population</w:t>
            </w:r>
            <w:r w:rsidRPr="00DC12C1">
              <w:t xml:space="preserve">: Women aged 16 years or older recruited at 9-14 weeks' gestation. </w:t>
            </w:r>
          </w:p>
          <w:p w14:paraId="19D7D900" w14:textId="77777777" w:rsidR="00A51F74" w:rsidRPr="00DC12C1" w:rsidRDefault="00A51F74" w:rsidP="00971D40">
            <w:r w:rsidRPr="00DC12C1">
              <w:rPr>
                <w:b/>
              </w:rPr>
              <w:t>Intervention</w:t>
            </w:r>
            <w:r>
              <w:t>:</w:t>
            </w:r>
            <w:r w:rsidRPr="00DC12C1">
              <w:t xml:space="preserve"> Participants were randomly allocated to receive oral capsules of probiotic containing Lactobacillus rhamnosus GR-1 and Lactobacillus reuteri RC-14 each at 2.5 x 10(9) colony-forming units (CFUs) or placebo once daily from recruitment until the end of pregnancy. </w:t>
            </w:r>
          </w:p>
        </w:tc>
        <w:tc>
          <w:tcPr>
            <w:tcW w:w="4536" w:type="dxa"/>
          </w:tcPr>
          <w:p w14:paraId="08ACA6FA" w14:textId="77777777" w:rsidR="00A51F74" w:rsidRDefault="00A51F74" w:rsidP="0050098B">
            <w:r>
              <w:t>Probiotics versus placebo:</w:t>
            </w:r>
          </w:p>
          <w:p w14:paraId="628E6D5B" w14:textId="77777777" w:rsidR="00A51F74" w:rsidRDefault="00A51F74" w:rsidP="00325F96">
            <w:pPr>
              <w:pStyle w:val="bullet"/>
            </w:pPr>
            <w:r>
              <w:t>Bacterial vaginosis at 18-20 weeks: 19/123 vs 10/115</w:t>
            </w:r>
          </w:p>
        </w:tc>
        <w:tc>
          <w:tcPr>
            <w:tcW w:w="1843" w:type="dxa"/>
          </w:tcPr>
          <w:p w14:paraId="0D06202B" w14:textId="77777777" w:rsidR="00A51F74" w:rsidRPr="00141F7B" w:rsidRDefault="00A51F74" w:rsidP="00DA5DC5"/>
        </w:tc>
      </w:tr>
      <w:tr w:rsidR="009F5B14" w:rsidRPr="00141F7B" w14:paraId="21C5810C" w14:textId="77777777" w:rsidTr="00B7354C">
        <w:trPr>
          <w:cantSplit/>
          <w:trHeight w:val="390"/>
        </w:trPr>
        <w:tc>
          <w:tcPr>
            <w:tcW w:w="1564" w:type="dxa"/>
          </w:tcPr>
          <w:p w14:paraId="30F47D81" w14:textId="4D54C32A" w:rsidR="009F5B14" w:rsidRDefault="009F5B14" w:rsidP="009F32BD">
            <w:r>
              <w:t>Lindsay et al 2014</w:t>
            </w:r>
            <w:r>
              <w:fldChar w:fldCharType="begin">
                <w:fldData xml:space="preserve">PEVuZE5vdGU+PENpdGU+PEF1dGhvcj5MaW5kc2F5PC9BdXRob3I+PFllYXI+MjAxNDwvWWVhcj48
UmVjTnVtPjE4NDY8L1JlY051bT48RGlzcGxheVRleHQ+PHN0eWxlIGZhY2U9InN1cGVyc2NyaXB0
IiBmb250PSJUcmVidWNoZXQgTVMiIHNpemU9IjkiPjIzNjwvc3R5bGU+PC9EaXNwbGF5VGV4dD48
cmVjb3JkPjxyZWMtbnVtYmVyPjE4NDY8L3JlYy1udW1iZXI+PGZvcmVpZ24ta2V5cz48a2V5IGFw
cD0iRU4iIGRiLWlkPSJleHZhc3JmeDJkdHJhb2VzYXN4cDJzenN4YTJkZjUwMjU5MngiIHRpbWVz
dGFtcD0iMTU4NzA5NzMzNiI+MTg0Njwva2V5PjwvZm9yZWlnbi1rZXlzPjxyZWYtdHlwZSBuYW1l
PSJKb3VybmFsIEFydGljbGUiPjE3PC9yZWYtdHlwZT48Y29udHJpYnV0b3JzPjxhdXRob3JzPjxh
dXRob3I+TGluZHNheSwgSy4gTC48L2F1dGhvcj48YXV0aG9yPktlbm5lbGx5LCBNLjwvYXV0aG9y
PjxhdXRob3I+Q3VsbGl0b24sIE0uPC9hdXRob3I+PGF1dGhvcj5TbWl0aCwgVC48L2F1dGhvcj48
YXV0aG9yPk1hZ3VpcmUsIE8uIEMuPC9hdXRob3I+PGF1dGhvcj5TaGFuYWhhbiwgRi48L2F1dGhv
cj48YXV0aG9yPkJyZW5uYW4sIEwuPC9hdXRob3I+PGF1dGhvcj5NY0F1bGlmZmUsIEYuIE0uPC9h
dXRob3I+PC9hdXRob3JzPjwvY29udHJpYnV0b3JzPjxhdXRoLWFkZHJlc3M+RnJvbSB0aGUgVW5p
dmVyc2l0eSBDb2xsZWdlIER1YmxpbiAoVUNEKSBPYnN0ZXRyaWNzIGFuZCBHeW5hZWNvbG9neSwg
U2Nob29sIG9mIE1lZGljaW5lIGFuZCBNZWRpY2FsIFNjaWVuY2UsIFVDRCwgTmF0aW9uYWwgTWF0
ZXJuaXR5IEhvc3BpdGFsLCBEdWJsaW4sIElyZWxhbmQgKEtMTCwgTUssIGFuZCBGTU0pOyBMYWJv
cmF0b3J5IE1lZGljaW5lLCBOYXRpb25hbCBNYXRlcm5pdHkgSG9zcGl0YWwsIER1YmxpbiwgSXJl
bGFuZCAoTUMpOyB0aGUgRGVwYXJ0bWVudCBvZiBDbGluaWNhbCBDaGVtaXN0cnksIFN0IFZpbmNl
bnQmYXBvcztzIFVuaXZlcnNpdHkgSG9zcGl0YWwsIEVsbSBQYXJrLCBEdWJsaW4sIElyZWxhbmQg
KFRTIGFuZCBPQ00pOyB0aGUgRGVwYXJ0bWVudCBvZiBNZWRpY2luZSwgQWxpbWVudGFyeSBhbmQg
UGhhcm1hYmlvdGljIENlbnRyZSwgVW5pdmVyc2l0eSBDb2xsZWdlIENvcmssIENvcmssIElyZWxh
bmQgKEZTKTsgYW5kIHRoZSBJbnN0aXR1dGUgb2YgRm9vZCBhbmQgSGVhbHRoLCBVQ0QgU2Nob29s
IG9mIEFncmljdWx0dXJlIGFuZCBGb29kIFNjaWVuY2UsIFVDRCwgQmVsZmllbGQsIER1Ymxpbiwg
SXJlbGFuZCAoTEIpLjwvYXV0aC1hZGRyZXNzPjx0aXRsZXM+PHRpdGxlPlByb2Jpb3RpY3MgaW4g
b2Jlc2UgcHJlZ25hbmN5IGRvIG5vdCByZWR1Y2UgbWF0ZXJuYWwgZmFzdGluZyBnbHVjb3NlOiBh
IGRvdWJsZS1ibGluZCwgcGxhY2Viby1jb250cm9sbGVkLCByYW5kb21pemVkIHRyaWFsIChQcm9i
aW90aWNzIGluIFByZWduYW5jeSBTdHVkeSk8L3RpdGxlPjxzZWNvbmRhcnktdGl0bGU+QW0gSiBD
bGluIE51dHI8L3NlY29uZGFyeS10aXRsZT48L3RpdGxlcz48cGVyaW9kaWNhbD48ZnVsbC10aXRs
ZT5BbSBKIENsaW4gTnV0cjwvZnVsbC10aXRsZT48L3BlcmlvZGljYWw+PHBhZ2VzPjE0MzItOTwv
cGFnZXM+PHZvbHVtZT45OTwvdm9sdW1lPjxudW1iZXI+NjwvbnVtYmVyPjxlZGl0aW9uPjIwMTQv
MDMvMjI8L2VkaXRpb24+PGtleXdvcmRzPjxrZXl3b3JkPkFkdWx0PC9rZXl3b3JkPjxrZXl3b3Jk
PkJvZHkgTWFzcyBJbmRleDwva2V5d29yZD48a2V5d29yZD5Db2hvcnQgU3R1ZGllczwva2V5d29y
ZD48a2V5d29yZD5EaWFiZXRlcywgR2VzdGF0aW9uYWwvZXBpZGVtaW9sb2d5L2V0aW9sb2d5L3By
ZXZlbnRpb24gJmFtcDsgY29udHJvbDwva2V5d29yZD48a2V5d29yZD5Eb3VibGUtQmxpbmQgTWV0
aG9kPC9rZXl3b3JkPjxrZXl3b3JkPkZlbWFsZTwva2V5d29yZD48a2V5d29yZD5HbHVjb3NlIElu
dG9sZXJhbmNlL2VwaWRlbWlvbG9neS9ldGlvbG9neS9wcmV2ZW50aW9uICZhbXA7IGNvbnRyb2w8
L2tleXdvcmQ+PGtleXdvcmQ+SG9zcGl0YWxzLCBNYXRlcm5pdHk8L2tleXdvcmQ+PGtleXdvcmQ+
SHVtYW5zPC9rZXl3b3JkPjxrZXl3b3JkPkh5cGVyZ2x5Y2VtaWEvZXBpZGVtaW9sb2d5L2V0aW9s
b2d5LypwcmV2ZW50aW9uICZhbXA7IGNvbnRyb2w8L2tleXdvcmQ+PGtleXdvcmQ+SW5jaWRlbmNl
PC9rZXl3b3JkPjxrZXl3b3JkPklyZWxhbmQvZXBpZGVtaW9sb2d5PC9rZXl3b3JkPjxrZXl3b3Jk
PipMYWN0b2JhY2lsbHVzPC9rZXl3b3JkPjxrZXl3b3JkPipNYXRlcm5hbCBOdXRyaXRpb25hbCBQ
aHlzaW9sb2dpY2FsIFBoZW5vbWVuYTwva2V5d29yZD48a2V5d29yZD5PYmVzaXR5L2Jsb29kLypk
aWV0IHRoZXJhcHkvcGh5c2lvcGF0aG9sb2d5PC9rZXl3b3JkPjxrZXl3b3JkPk91dHBhdGllbnQg
Q2xpbmljcywgSG9zcGl0YWw8L2tleXdvcmQ+PGtleXdvcmQ+UHJlZ25hbmN5PC9rZXl3b3JkPjxr
ZXl3b3JkPlByZWduYW5jeSBDb21wbGljYXRpb25zL2Jsb29kLypkaWV0IHRoZXJhcHkvcGh5c2lv
cGF0aG9sb2d5PC9rZXl3b3JkPjxrZXl3b3JkPlByb2Jpb3RpY3MvYWR2ZXJzZSBlZmZlY3RzLyp0
aGVyYXBldXRpYyB1c2U8L2tleXdvcmQ+PGtleXdvcmQ+Umlzazwva2V5d29yZD48L2tleXdvcmRz
PjxkYXRlcz48eWVhcj4yMDE0PC95ZWFyPjxwdWItZGF0ZXM+PGRhdGU+SnVuPC9kYXRlPjwvcHVi
LWRhdGVzPjwvZGF0ZXM+PGlzYm4+MTkzOC0zMjA3IChFbGVjdHJvbmljKSYjeEQ7MDAwMi05MTY1
IChMaW5raW5nKTwvaXNibj48YWNjZXNzaW9uLW51bT4yNDY0NjgxOTwvYWNjZXNzaW9uLW51bT48
dXJscz48cmVsYXRlZC11cmxzPjx1cmw+aHR0cHM6Ly93d3cubmNiaS5ubG0ubmloLmdvdi9wdWJt
ZWQvMjQ2NDY4MTk8L3VybD48L3JlbGF0ZWQtdXJscz48L3VybHM+PGVsZWN0cm9uaWMtcmVzb3Vy
Y2UtbnVtPjEwLjM5NDUvYWpjbi4xMTMuMDc5NzIzPC9lbGVjdHJvbmljLXJlc291cmNlLW51bT48
L3JlY29yZD48L0NpdGU+PC9FbmROb3RlPgB=
</w:fldData>
              </w:fldChar>
            </w:r>
            <w:r w:rsidR="002747EA">
              <w:instrText xml:space="preserve"> ADDIN EN.CITE </w:instrText>
            </w:r>
            <w:r w:rsidR="002747EA">
              <w:fldChar w:fldCharType="begin">
                <w:fldData xml:space="preserve">PEVuZE5vdGU+PENpdGU+PEF1dGhvcj5MaW5kc2F5PC9BdXRob3I+PFllYXI+MjAxNDwvWWVhcj48
UmVjTnVtPjE4NDY8L1JlY051bT48RGlzcGxheVRleHQ+PHN0eWxlIGZhY2U9InN1cGVyc2NyaXB0
IiBmb250PSJUcmVidWNoZXQgTVMiIHNpemU9IjkiPjIzNjwvc3R5bGU+PC9EaXNwbGF5VGV4dD48
cmVjb3JkPjxyZWMtbnVtYmVyPjE4NDY8L3JlYy1udW1iZXI+PGZvcmVpZ24ta2V5cz48a2V5IGFw
cD0iRU4iIGRiLWlkPSJleHZhc3JmeDJkdHJhb2VzYXN4cDJzenN4YTJkZjUwMjU5MngiIHRpbWVz
dGFtcD0iMTU4NzA5NzMzNiI+MTg0Njwva2V5PjwvZm9yZWlnbi1rZXlzPjxyZWYtdHlwZSBuYW1l
PSJKb3VybmFsIEFydGljbGUiPjE3PC9yZWYtdHlwZT48Y29udHJpYnV0b3JzPjxhdXRob3JzPjxh
dXRob3I+TGluZHNheSwgSy4gTC48L2F1dGhvcj48YXV0aG9yPktlbm5lbGx5LCBNLjwvYXV0aG9y
PjxhdXRob3I+Q3VsbGl0b24sIE0uPC9hdXRob3I+PGF1dGhvcj5TbWl0aCwgVC48L2F1dGhvcj48
YXV0aG9yPk1hZ3VpcmUsIE8uIEMuPC9hdXRob3I+PGF1dGhvcj5TaGFuYWhhbiwgRi48L2F1dGhv
cj48YXV0aG9yPkJyZW5uYW4sIEwuPC9hdXRob3I+PGF1dGhvcj5NY0F1bGlmZmUsIEYuIE0uPC9h
dXRob3I+PC9hdXRob3JzPjwvY29udHJpYnV0b3JzPjxhdXRoLWFkZHJlc3M+RnJvbSB0aGUgVW5p
dmVyc2l0eSBDb2xsZWdlIER1YmxpbiAoVUNEKSBPYnN0ZXRyaWNzIGFuZCBHeW5hZWNvbG9neSwg
U2Nob29sIG9mIE1lZGljaW5lIGFuZCBNZWRpY2FsIFNjaWVuY2UsIFVDRCwgTmF0aW9uYWwgTWF0
ZXJuaXR5IEhvc3BpdGFsLCBEdWJsaW4sIElyZWxhbmQgKEtMTCwgTUssIGFuZCBGTU0pOyBMYWJv
cmF0b3J5IE1lZGljaW5lLCBOYXRpb25hbCBNYXRlcm5pdHkgSG9zcGl0YWwsIER1YmxpbiwgSXJl
bGFuZCAoTUMpOyB0aGUgRGVwYXJ0bWVudCBvZiBDbGluaWNhbCBDaGVtaXN0cnksIFN0IFZpbmNl
bnQmYXBvcztzIFVuaXZlcnNpdHkgSG9zcGl0YWwsIEVsbSBQYXJrLCBEdWJsaW4sIElyZWxhbmQg
KFRTIGFuZCBPQ00pOyB0aGUgRGVwYXJ0bWVudCBvZiBNZWRpY2luZSwgQWxpbWVudGFyeSBhbmQg
UGhhcm1hYmlvdGljIENlbnRyZSwgVW5pdmVyc2l0eSBDb2xsZWdlIENvcmssIENvcmssIElyZWxh
bmQgKEZTKTsgYW5kIHRoZSBJbnN0aXR1dGUgb2YgRm9vZCBhbmQgSGVhbHRoLCBVQ0QgU2Nob29s
IG9mIEFncmljdWx0dXJlIGFuZCBGb29kIFNjaWVuY2UsIFVDRCwgQmVsZmllbGQsIER1Ymxpbiwg
SXJlbGFuZCAoTEIpLjwvYXV0aC1hZGRyZXNzPjx0aXRsZXM+PHRpdGxlPlByb2Jpb3RpY3MgaW4g
b2Jlc2UgcHJlZ25hbmN5IGRvIG5vdCByZWR1Y2UgbWF0ZXJuYWwgZmFzdGluZyBnbHVjb3NlOiBh
IGRvdWJsZS1ibGluZCwgcGxhY2Viby1jb250cm9sbGVkLCByYW5kb21pemVkIHRyaWFsIChQcm9i
aW90aWNzIGluIFByZWduYW5jeSBTdHVkeSk8L3RpdGxlPjxzZWNvbmRhcnktdGl0bGU+QW0gSiBD
bGluIE51dHI8L3NlY29uZGFyeS10aXRsZT48L3RpdGxlcz48cGVyaW9kaWNhbD48ZnVsbC10aXRs
ZT5BbSBKIENsaW4gTnV0cjwvZnVsbC10aXRsZT48L3BlcmlvZGljYWw+PHBhZ2VzPjE0MzItOTwv
cGFnZXM+PHZvbHVtZT45OTwvdm9sdW1lPjxudW1iZXI+NjwvbnVtYmVyPjxlZGl0aW9uPjIwMTQv
MDMvMjI8L2VkaXRpb24+PGtleXdvcmRzPjxrZXl3b3JkPkFkdWx0PC9rZXl3b3JkPjxrZXl3b3Jk
PkJvZHkgTWFzcyBJbmRleDwva2V5d29yZD48a2V5d29yZD5Db2hvcnQgU3R1ZGllczwva2V5d29y
ZD48a2V5d29yZD5EaWFiZXRlcywgR2VzdGF0aW9uYWwvZXBpZGVtaW9sb2d5L2V0aW9sb2d5L3By
ZXZlbnRpb24gJmFtcDsgY29udHJvbDwva2V5d29yZD48a2V5d29yZD5Eb3VibGUtQmxpbmQgTWV0
aG9kPC9rZXl3b3JkPjxrZXl3b3JkPkZlbWFsZTwva2V5d29yZD48a2V5d29yZD5HbHVjb3NlIElu
dG9sZXJhbmNlL2VwaWRlbWlvbG9neS9ldGlvbG9neS9wcmV2ZW50aW9uICZhbXA7IGNvbnRyb2w8
L2tleXdvcmQ+PGtleXdvcmQ+SG9zcGl0YWxzLCBNYXRlcm5pdHk8L2tleXdvcmQ+PGtleXdvcmQ+
SHVtYW5zPC9rZXl3b3JkPjxrZXl3b3JkPkh5cGVyZ2x5Y2VtaWEvZXBpZGVtaW9sb2d5L2V0aW9s
b2d5LypwcmV2ZW50aW9uICZhbXA7IGNvbnRyb2w8L2tleXdvcmQ+PGtleXdvcmQ+SW5jaWRlbmNl
PC9rZXl3b3JkPjxrZXl3b3JkPklyZWxhbmQvZXBpZGVtaW9sb2d5PC9rZXl3b3JkPjxrZXl3b3Jk
PipMYWN0b2JhY2lsbHVzPC9rZXl3b3JkPjxrZXl3b3JkPipNYXRlcm5hbCBOdXRyaXRpb25hbCBQ
aHlzaW9sb2dpY2FsIFBoZW5vbWVuYTwva2V5d29yZD48a2V5d29yZD5PYmVzaXR5L2Jsb29kLypk
aWV0IHRoZXJhcHkvcGh5c2lvcGF0aG9sb2d5PC9rZXl3b3JkPjxrZXl3b3JkPk91dHBhdGllbnQg
Q2xpbmljcywgSG9zcGl0YWw8L2tleXdvcmQ+PGtleXdvcmQ+UHJlZ25hbmN5PC9rZXl3b3JkPjxr
ZXl3b3JkPlByZWduYW5jeSBDb21wbGljYXRpb25zL2Jsb29kLypkaWV0IHRoZXJhcHkvcGh5c2lv
cGF0aG9sb2d5PC9rZXl3b3JkPjxrZXl3b3JkPlByb2Jpb3RpY3MvYWR2ZXJzZSBlZmZlY3RzLyp0
aGVyYXBldXRpYyB1c2U8L2tleXdvcmQ+PGtleXdvcmQ+Umlzazwva2V5d29yZD48L2tleXdvcmRz
PjxkYXRlcz48eWVhcj4yMDE0PC95ZWFyPjxwdWItZGF0ZXM+PGRhdGU+SnVuPC9kYXRlPjwvcHVi
LWRhdGVzPjwvZGF0ZXM+PGlzYm4+MTkzOC0zMjA3IChFbGVjdHJvbmljKSYjeEQ7MDAwMi05MTY1
IChMaW5raW5nKTwvaXNibj48YWNjZXNzaW9uLW51bT4yNDY0NjgxOTwvYWNjZXNzaW9uLW51bT48
dXJscz48cmVsYXRlZC11cmxzPjx1cmw+aHR0cHM6Ly93d3cubmNiaS5ubG0ubmloLmdvdi9wdWJt
ZWQvMjQ2NDY4MTk8L3VybD48L3JlbGF0ZWQtdXJscz48L3VybHM+PGVsZWN0cm9uaWMtcmVzb3Vy
Y2UtbnVtPjEwLjM5NDUvYWpjbi4xMTMuMDc5NzIzPC9lbGVjdHJvbmljLXJlc291cmNlLW51bT48
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236</w:t>
            </w:r>
            <w:r>
              <w:fldChar w:fldCharType="end"/>
            </w:r>
          </w:p>
          <w:p w14:paraId="7BFD2AAC" w14:textId="6FD1C739" w:rsidR="009F5B14" w:rsidRPr="009F32BD" w:rsidRDefault="009F5B14" w:rsidP="009F32BD">
            <w:r>
              <w:t>Ireland</w:t>
            </w:r>
          </w:p>
        </w:tc>
        <w:tc>
          <w:tcPr>
            <w:tcW w:w="1417" w:type="dxa"/>
          </w:tcPr>
          <w:p w14:paraId="61A33C7C" w14:textId="0E17C0B4" w:rsidR="009F5B14" w:rsidRDefault="009F5B14" w:rsidP="00DA5DC5">
            <w:r>
              <w:t xml:space="preserve">Intervention </w:t>
            </w:r>
            <w:r w:rsidR="0081667E">
              <w:t>63</w:t>
            </w:r>
          </w:p>
          <w:p w14:paraId="3A5B00D2" w14:textId="38F20AE0" w:rsidR="009F5B14" w:rsidRDefault="009F5B14" w:rsidP="00DA5DC5">
            <w:r>
              <w:t>Control 7</w:t>
            </w:r>
            <w:r w:rsidR="0081667E">
              <w:t>5</w:t>
            </w:r>
          </w:p>
        </w:tc>
        <w:tc>
          <w:tcPr>
            <w:tcW w:w="4532" w:type="dxa"/>
          </w:tcPr>
          <w:p w14:paraId="5A5D976B" w14:textId="77777777" w:rsidR="001C2F9A" w:rsidRDefault="009F5B14" w:rsidP="001C2F9A">
            <w:r>
              <w:rPr>
                <w:b/>
              </w:rPr>
              <w:t xml:space="preserve">Aim: </w:t>
            </w:r>
            <w:r>
              <w:t>T</w:t>
            </w:r>
            <w:r w:rsidRPr="009F5B14">
              <w:t xml:space="preserve">o investigate the effect of a probiotic capsule on maternal fasting glucose in obese pregnant women. </w:t>
            </w:r>
          </w:p>
          <w:p w14:paraId="5190568D" w14:textId="3AC587A8" w:rsidR="001C2F9A" w:rsidRDefault="001C2F9A" w:rsidP="001C2F9A">
            <w:r w:rsidRPr="001C2F9A">
              <w:rPr>
                <w:b/>
              </w:rPr>
              <w:t>Population</w:t>
            </w:r>
            <w:r>
              <w:t>: P</w:t>
            </w:r>
            <w:r w:rsidRPr="009F5B14">
              <w:t>regnant women with an early pregnancy body mass index (BMI; in kg/m(2)) from 30.0 to 39.9</w:t>
            </w:r>
            <w:r>
              <w:t>.</w:t>
            </w:r>
          </w:p>
          <w:p w14:paraId="503B4756" w14:textId="26601470" w:rsidR="009F5B14" w:rsidRPr="009F32BD" w:rsidRDefault="00262F95" w:rsidP="00262F95">
            <w:pPr>
              <w:rPr>
                <w:b/>
              </w:rPr>
            </w:pPr>
            <w:r>
              <w:rPr>
                <w:b/>
              </w:rPr>
              <w:t>Intervention</w:t>
            </w:r>
            <w:r>
              <w:t xml:space="preserve">: </w:t>
            </w:r>
            <w:r w:rsidR="009F5B14" w:rsidRPr="009F5B14">
              <w:t xml:space="preserve">Women were randomly assigned to receive either a daily probiotic </w:t>
            </w:r>
            <w:r>
              <w:t>(</w:t>
            </w:r>
            <w:r w:rsidRPr="006472F6">
              <w:rPr>
                <w:i/>
              </w:rPr>
              <w:t>Lactobacillus</w:t>
            </w:r>
            <w:r>
              <w:rPr>
                <w:i/>
              </w:rPr>
              <w:t xml:space="preserve"> salivarius </w:t>
            </w:r>
            <w:r>
              <w:t>UCC118 [10</w:t>
            </w:r>
            <w:r w:rsidRPr="0063179C">
              <w:rPr>
                <w:vertAlign w:val="superscript"/>
              </w:rPr>
              <w:t>9</w:t>
            </w:r>
            <w:r>
              <w:t xml:space="preserve"> cfu]) </w:t>
            </w:r>
            <w:r w:rsidR="009F5B14" w:rsidRPr="009F5B14">
              <w:t xml:space="preserve">or a placebo capsule from 24 to 28 wk of gestation in addition to routine antenatal care. </w:t>
            </w:r>
          </w:p>
        </w:tc>
        <w:tc>
          <w:tcPr>
            <w:tcW w:w="4536" w:type="dxa"/>
          </w:tcPr>
          <w:p w14:paraId="7E3874ED" w14:textId="353959F5" w:rsidR="009F5B14" w:rsidRDefault="0081667E" w:rsidP="009F5B14">
            <w:r>
              <w:t>Probiotics vs control:</w:t>
            </w:r>
          </w:p>
          <w:p w14:paraId="452F5FD2" w14:textId="0A95E998" w:rsidR="0081667E" w:rsidRDefault="0081667E" w:rsidP="0081667E">
            <w:pPr>
              <w:pStyle w:val="bullet"/>
            </w:pPr>
            <w:r>
              <w:t>Gestational diabetes: 3/62 vs 3/74</w:t>
            </w:r>
          </w:p>
          <w:p w14:paraId="383F4098" w14:textId="4B32C14C" w:rsidR="0081667E" w:rsidRDefault="0081667E" w:rsidP="0081667E">
            <w:pPr>
              <w:pStyle w:val="bullet"/>
            </w:pPr>
            <w:r>
              <w:t>Gestational hypertension: 5/62 vs 3/74</w:t>
            </w:r>
          </w:p>
          <w:p w14:paraId="48AA0CC4" w14:textId="752E6190" w:rsidR="0081667E" w:rsidRDefault="0081667E" w:rsidP="0081667E">
            <w:pPr>
              <w:pStyle w:val="bullet"/>
            </w:pPr>
            <w:r>
              <w:t>Caesarean section: 20/62 vs 25/74</w:t>
            </w:r>
          </w:p>
          <w:p w14:paraId="5DE98172" w14:textId="0F61D32B" w:rsidR="0081667E" w:rsidRDefault="0081667E" w:rsidP="0081667E">
            <w:pPr>
              <w:pStyle w:val="bullet"/>
            </w:pPr>
            <w:r>
              <w:t>Preterm birth &gt;37 weeks: 3/63 vs 2/75</w:t>
            </w:r>
          </w:p>
          <w:p w14:paraId="743CCDA3" w14:textId="721B49C8" w:rsidR="0081667E" w:rsidRDefault="0081667E" w:rsidP="0081667E">
            <w:pPr>
              <w:pStyle w:val="bullet"/>
            </w:pPr>
            <w:r>
              <w:t>Macrosomia: 15/62 vs 16/74</w:t>
            </w:r>
          </w:p>
          <w:p w14:paraId="20A5E0DC" w14:textId="00DC7AFC" w:rsidR="0081667E" w:rsidRDefault="0081667E" w:rsidP="0081667E">
            <w:pPr>
              <w:pStyle w:val="bullet"/>
            </w:pPr>
            <w:r>
              <w:t>Small for gestational age: 5/63 vs 11/75</w:t>
            </w:r>
          </w:p>
          <w:p w14:paraId="0D2CA049" w14:textId="2566C188" w:rsidR="009F5B14" w:rsidRDefault="0081667E" w:rsidP="0081667E">
            <w:pPr>
              <w:pStyle w:val="bullet"/>
            </w:pPr>
            <w:r>
              <w:t>Large for gestational age: 6/62 vs 7/74</w:t>
            </w:r>
          </w:p>
        </w:tc>
        <w:tc>
          <w:tcPr>
            <w:tcW w:w="1843" w:type="dxa"/>
          </w:tcPr>
          <w:p w14:paraId="040DD588" w14:textId="77777777" w:rsidR="009F5B14" w:rsidRPr="00141F7B" w:rsidRDefault="009F5B14" w:rsidP="00DA5DC5"/>
        </w:tc>
      </w:tr>
      <w:tr w:rsidR="00A51F74" w:rsidRPr="00141F7B" w14:paraId="2A013CE8" w14:textId="77777777" w:rsidTr="00B7354C">
        <w:trPr>
          <w:cantSplit/>
          <w:trHeight w:val="390"/>
        </w:trPr>
        <w:tc>
          <w:tcPr>
            <w:tcW w:w="1564" w:type="dxa"/>
          </w:tcPr>
          <w:p w14:paraId="660F377B" w14:textId="78DC0078" w:rsidR="00A51F74" w:rsidRDefault="00A51F74" w:rsidP="009F32BD">
            <w:r w:rsidRPr="009F32BD">
              <w:t>Okesene-Gafa</w:t>
            </w:r>
            <w:r>
              <w:t xml:space="preserve"> et al 2019</w:t>
            </w:r>
            <w:r w:rsidR="00AB21E2">
              <w:fldChar w:fldCharType="begin">
                <w:fldData xml:space="preserve">PEVuZE5vdGU+PENpdGU+PEF1dGhvcj5Pa2VzZW5lLUdhZmE8L0F1dGhvcj48WWVhcj4yMDE5PC9Z
ZWFyPjxSZWNOdW0+MTM5MDwvUmVjTnVtPjxEaXNwbGF5VGV4dD48c3R5bGUgZmFjZT0ic3VwZXJz
Y3JpcHQiIGZvbnQ9IlRyZWJ1Y2hldCBNUyIgc2l6ZT0iOSI+MjMyPC9zdHlsZT48L0Rpc3BsYXlU
ZXh0PjxyZWNvcmQ+PHJlYy1udW1iZXI+MTM5MDwvcmVjLW51bWJlcj48Zm9yZWlnbi1rZXlzPjxr
ZXkgYXBwPSJFTiIgZGItaWQ9ImV4dmFzcmZ4MmR0cmFvZXNhc3hwMnN6c3hhMmRmNTAyNTkyeCIg
dGltZXN0YW1wPSIxNTY3NzQ2MTE2Ij4xMzkwPC9rZXk+PGtleSBhcHA9IkVOV2ViIiBkYi1pZD0i
Ij4wPC9rZXk+PC9mb3JlaWduLWtleXM+PHJlZi10eXBlIG5hbWU9IkpvdXJuYWwgQXJ0aWNsZSI+
MTc8L3JlZi10eXBlPjxjb250cmlidXRvcnM+PGF1dGhvcnM+PGF1dGhvcj5Pa2VzZW5lLUdhZmEs
IEsuQS5NLiw8L2F1dGhvcj48YXV0aG9yPkxpLCBNLiw8L2F1dGhvcj48YXV0aG9yPk1jS2lubGF5
LCBDLkouRC4sPC9hdXRob3I+PGF1dGhvcj5UYXlsb3IsIFIuUy4sPC9hdXRob3I+PGF1dGhvcj5S
dXNoLCBFLkMuLDwvYXV0aG9yPjxhdXRob3I+V2FsbCwgQy5SLiw8L2F1dGhvcj48YXV0aG9yPldp
bHNvbiwgSi4sPC9hdXRob3I+PGF1dGhvcj5NdXJwaHksIFIuLDwvYXV0aG9yPjxhdXRob3I+VGF5
bG9yLCBSLiw8L2F1dGhvcj48YXV0aG9yPlRob21wc29uLCBKLk0uRC4sPC9hdXRob3I+PGF1dGhv
cj5Dcm93dGhlciwgQy5BLiw8L2F1dGhvcj48YXV0aG9yPk1jQ293YW4sIEwuTS5FLiw8L2F1dGhv
cj48L2F1dGhvcnM+PC9jb250cmlidXRvcnM+PGF1dGgtYWRkcmVzcz5EZXBhcnRtZW50IG9mIE9i
c3RldHJpY3MgYW5kIEd5bmFlY29sb2d5LCBVbml2ZXJzaXR5IG9mIEF1Y2tsYW5kLCBBdWNrbGFu
ZCwgTmV3IFplYWxhbmQ7IEZhY3VsdHkgb2YgTWVkaWNhbCBhbmQgSGVhbHRoIFNjaWVuY2VzLCBV
bml2ZXJzaXR5IG9mIEF1Y2tsYW5kLCBBdWNrbGFuZCwgTmV3IFplYWxhbmQ7IE1pZGRsZW1vcmUg
SG9zcGl0YWwsIFNvdXRoIEF1Y2tsYW5kLCBOZXcgWmVhbGFuZC4gRWxlY3Ryb25pYyBhZGRyZXNz
OiBrLm9rZXNlbmUtZ2FmYUBhdWNrbGFuZC5hYy5uei4mI3hEO0RlcGFydG1lbnQgb2YgT2JzdGV0
cmljcyBhbmQgR3luYWVjb2xvZ3ksIFVuaXZlcnNpdHkgb2YgQXVja2xhbmQsIEF1Y2tsYW5kLCBO
ZXcgWmVhbGFuZDsgRmFjdWx0eSBvZiBNZWRpY2FsIGFuZCBIZWFsdGggU2NpZW5jZXMsIFVuaXZl
cnNpdHkgb2YgQXVja2xhbmQsIEF1Y2tsYW5kLCBOZXcgWmVhbGFuZC4mI3hEO0RlcGFydG1lbnQg
b2YgUGFlZGlhdHJpY3MsIENoaWxkIGFuZCBZb3V0aCBIZWFsdGgsIFVuaXZlcnNpdHkgb2YgQXVj
a2xhbmQsIEF1Y2tsYW5kLCBOZXcgWmVhbGFuZDsgTGlnZ2lucyBJbnN0aXR1dGUsIFVuaXZlcnNp
dHkgb2YgQXVja2xhbmQsIEF1Y2tsYW5kLCBOZXcgWmVhbGFuZDsgS2lkeiBGaXJzdCBOZW9uYXRh
bCBDYXJlLCBDb3VudGllcyBNYW51a2F1IEhlYWx0aCwgQXVja2xhbmQsIE5ldyBaZWFsYW5kLiYj
eEQ7RmFjdWx0eSBvZiBIZWFsdGggYW5kIEVudmlyb25tZW50YWwgU2NpZW5jZSwgQXVja2xhbmQg
VW5pdmVyc2l0eSBvZiBUZWNobm9sb2d5LCBBdWNrbGFuZCwgTmV3IFplYWxhbmQuJiN4RDtGYWN1
bHR5IG9mIE1lZGljYWwgYW5kIEhlYWx0aCBTY2llbmNlcywgVW5pdmVyc2l0eSBvZiBBdWNrbGFu
ZCwgQXVja2xhbmQsIE5ldyBaZWFsYW5kLiYjeEQ7RmFjdWx0eSBvZiBNZWRpY2FsIGFuZCBIZWFs
dGggU2NpZW5jZXMsIFVuaXZlcnNpdHkgb2YgQXVja2xhbmQsIEF1Y2tsYW5kLCBOZXcgWmVhbGFu
ZDsgRGVwYXJ0bWVudCBvZiBQYWVkaWF0cmljcywgQ2hpbGQgYW5kIFlvdXRoIEhlYWx0aCwgVW5p
dmVyc2l0eSBvZiBBdWNrbGFuZCwgQXVja2xhbmQsIE5ldyBaZWFsYW5kLiYjeEQ7RGVwYXJ0bWVu
dCBvZiBNZWRpY2luZSwgU2Nob29sIG9mIE1lZGljaW5lLCBVbml2ZXJzaXR5IG9mIEF1Y2tsYW5k
LCBBdWNrbGFuZCwgTmV3IFplYWxhbmQuJiN4RDtEZXBhcnRtZW50IG9mIE1lZGljaW5lLCBVbml2
ZXJzaXR5IG9mIE90YWdvLCBEdW5lZGluLCBOZXcgWmVhbGFuZC4mI3hEO0xpZ2dpbnMgSW5zdGl0
dXRlLCBVbml2ZXJzaXR5IG9mIEF1Y2tsYW5kLCBBdWNrbGFuZCwgTmV3IFplYWxhbmQuPC9hdXRo
LWFkZHJlc3M+PHRpdGxlcz48dGl0bGU+RWZmZWN0IG9mIGFudGVuYXRhbCBkaWV0YXJ5IGludGVy
dmVudGlvbnMgaW4gbWF0ZXJuYWwgb2Jlc2l0eSBvbiBwcmVnbmFuY3kgd2VpZ2h0LWdhaW4gYW5k
IGJpcnRod2VpZ2h0OiBIZWFsdGh5IE11bXMgYW5kIEJhYmllcyAoSFVNQkEpIHJhbmRvbWl6ZWQg
dHJpYWw8L3RpdGxlPjxzZWNvbmRhcnktdGl0bGU+QW0gSiBPYnN0ZXQgR3luZWNvbDwvc2Vjb25k
YXJ5LXRpdGxlPjwvdGl0bGVzPjxwZXJpb2RpY2FsPjxmdWxsLXRpdGxlPkFtIEogT2JzdGV0IEd5
bmVjb2w8L2Z1bGwtdGl0bGU+PC9wZXJpb2RpY2FsPjxwYWdlcz4xNTIgZTEtMTUyIGUxMzwvcGFn
ZXM+PHZvbHVtZT4yMjE8L3ZvbHVtZT48bnVtYmVyPjI8L251bWJlcj48ZWRpdGlvbj4yMDE5LzAz
LzE4PC9lZGl0aW9uPjxrZXl3b3Jkcz48a2V5d29yZD5jb21tdW5pdHkgaGVhbHRoIHdvcmtlcjwv
a2V5d29yZD48a2V5d29yZD5nZXN0YXRpb25hbCB3ZWlnaHQgZ2Fpbjwva2V5d29yZD48a2V5d29y
ZD5wcm9iaW90aWNzPC9rZXl3b3JkPjxrZXl3b3JkPnRleHQgbWVzc2FnaW5nPC9rZXl3b3JkPjwv
a2V5d29yZHM+PGRhdGVzPjx5ZWFyPjIwMTk8L3llYXI+PHB1Yi1kYXRlcz48ZGF0ZT5BdWc8L2Rh
dGU+PC9wdWItZGF0ZXM+PC9kYXRlcz48aXNibj4xMDk3LTY4NjggKEVsZWN0cm9uaWMpJiN4RDsw
MDAyLTkzNzggKExpbmtpbmcpPC9pc2JuPjxhY2Nlc3Npb24tbnVtPjMwODc4MzIzPC9hY2Nlc3Np
b24tbnVtPjx1cmxzPjxyZWxhdGVkLXVybHM+PHVybD5odHRwczovL3d3dy5uY2JpLm5sbS5uaWgu
Z292L3B1Ym1lZC8zMDg3ODMyMzwvdXJsPjwvcmVsYXRlZC11cmxzPjwvdXJscz48ZWxlY3Ryb25p
Yy1yZXNvdXJjZS1udW0+MTAuMTAxNi9qLmFqb2cuMjAxOS4wMy4wMDM8L2VsZWN0cm9uaWMtcmVz
b3VyY2UtbnVtPjwvcmVjb3JkPjwvQ2l0ZT48L0VuZE5vdGU+
</w:fldData>
              </w:fldChar>
            </w:r>
            <w:r w:rsidR="002747EA">
              <w:instrText xml:space="preserve"> ADDIN EN.CITE </w:instrText>
            </w:r>
            <w:r w:rsidR="002747EA">
              <w:fldChar w:fldCharType="begin">
                <w:fldData xml:space="preserve">PEVuZE5vdGU+PENpdGU+PEF1dGhvcj5Pa2VzZW5lLUdhZmE8L0F1dGhvcj48WWVhcj4yMDE5PC9Z
ZWFyPjxSZWNOdW0+MTM5MDwvUmVjTnVtPjxEaXNwbGF5VGV4dD48c3R5bGUgZmFjZT0ic3VwZXJz
Y3JpcHQiIGZvbnQ9IlRyZWJ1Y2hldCBNUyIgc2l6ZT0iOSI+MjMyPC9zdHlsZT48L0Rpc3BsYXlU
ZXh0PjxyZWNvcmQ+PHJlYy1udW1iZXI+MTM5MDwvcmVjLW51bWJlcj48Zm9yZWlnbi1rZXlzPjxr
ZXkgYXBwPSJFTiIgZGItaWQ9ImV4dmFzcmZ4MmR0cmFvZXNhc3hwMnN6c3hhMmRmNTAyNTkyeCIg
dGltZXN0YW1wPSIxNTY3NzQ2MTE2Ij4xMzkwPC9rZXk+PGtleSBhcHA9IkVOV2ViIiBkYi1pZD0i
Ij4wPC9rZXk+PC9mb3JlaWduLWtleXM+PHJlZi10eXBlIG5hbWU9IkpvdXJuYWwgQXJ0aWNsZSI+
MTc8L3JlZi10eXBlPjxjb250cmlidXRvcnM+PGF1dGhvcnM+PGF1dGhvcj5Pa2VzZW5lLUdhZmEs
IEsuQS5NLiw8L2F1dGhvcj48YXV0aG9yPkxpLCBNLiw8L2F1dGhvcj48YXV0aG9yPk1jS2lubGF5
LCBDLkouRC4sPC9hdXRob3I+PGF1dGhvcj5UYXlsb3IsIFIuUy4sPC9hdXRob3I+PGF1dGhvcj5S
dXNoLCBFLkMuLDwvYXV0aG9yPjxhdXRob3I+V2FsbCwgQy5SLiw8L2F1dGhvcj48YXV0aG9yPldp
bHNvbiwgSi4sPC9hdXRob3I+PGF1dGhvcj5NdXJwaHksIFIuLDwvYXV0aG9yPjxhdXRob3I+VGF5
bG9yLCBSLiw8L2F1dGhvcj48YXV0aG9yPlRob21wc29uLCBKLk0uRC4sPC9hdXRob3I+PGF1dGhv
cj5Dcm93dGhlciwgQy5BLiw8L2F1dGhvcj48YXV0aG9yPk1jQ293YW4sIEwuTS5FLiw8L2F1dGhv
cj48L2F1dGhvcnM+PC9jb250cmlidXRvcnM+PGF1dGgtYWRkcmVzcz5EZXBhcnRtZW50IG9mIE9i
c3RldHJpY3MgYW5kIEd5bmFlY29sb2d5LCBVbml2ZXJzaXR5IG9mIEF1Y2tsYW5kLCBBdWNrbGFu
ZCwgTmV3IFplYWxhbmQ7IEZhY3VsdHkgb2YgTWVkaWNhbCBhbmQgSGVhbHRoIFNjaWVuY2VzLCBV
bml2ZXJzaXR5IG9mIEF1Y2tsYW5kLCBBdWNrbGFuZCwgTmV3IFplYWxhbmQ7IE1pZGRsZW1vcmUg
SG9zcGl0YWwsIFNvdXRoIEF1Y2tsYW5kLCBOZXcgWmVhbGFuZC4gRWxlY3Ryb25pYyBhZGRyZXNz
OiBrLm9rZXNlbmUtZ2FmYUBhdWNrbGFuZC5hYy5uei4mI3hEO0RlcGFydG1lbnQgb2YgT2JzdGV0
cmljcyBhbmQgR3luYWVjb2xvZ3ksIFVuaXZlcnNpdHkgb2YgQXVja2xhbmQsIEF1Y2tsYW5kLCBO
ZXcgWmVhbGFuZDsgRmFjdWx0eSBvZiBNZWRpY2FsIGFuZCBIZWFsdGggU2NpZW5jZXMsIFVuaXZl
cnNpdHkgb2YgQXVja2xhbmQsIEF1Y2tsYW5kLCBOZXcgWmVhbGFuZC4mI3hEO0RlcGFydG1lbnQg
b2YgUGFlZGlhdHJpY3MsIENoaWxkIGFuZCBZb3V0aCBIZWFsdGgsIFVuaXZlcnNpdHkgb2YgQXVj
a2xhbmQsIEF1Y2tsYW5kLCBOZXcgWmVhbGFuZDsgTGlnZ2lucyBJbnN0aXR1dGUsIFVuaXZlcnNp
dHkgb2YgQXVja2xhbmQsIEF1Y2tsYW5kLCBOZXcgWmVhbGFuZDsgS2lkeiBGaXJzdCBOZW9uYXRh
bCBDYXJlLCBDb3VudGllcyBNYW51a2F1IEhlYWx0aCwgQXVja2xhbmQsIE5ldyBaZWFsYW5kLiYj
eEQ7RmFjdWx0eSBvZiBIZWFsdGggYW5kIEVudmlyb25tZW50YWwgU2NpZW5jZSwgQXVja2xhbmQg
VW5pdmVyc2l0eSBvZiBUZWNobm9sb2d5LCBBdWNrbGFuZCwgTmV3IFplYWxhbmQuJiN4RDtGYWN1
bHR5IG9mIE1lZGljYWwgYW5kIEhlYWx0aCBTY2llbmNlcywgVW5pdmVyc2l0eSBvZiBBdWNrbGFu
ZCwgQXVja2xhbmQsIE5ldyBaZWFsYW5kLiYjeEQ7RmFjdWx0eSBvZiBNZWRpY2FsIGFuZCBIZWFs
dGggU2NpZW5jZXMsIFVuaXZlcnNpdHkgb2YgQXVja2xhbmQsIEF1Y2tsYW5kLCBOZXcgWmVhbGFu
ZDsgRGVwYXJ0bWVudCBvZiBQYWVkaWF0cmljcywgQ2hpbGQgYW5kIFlvdXRoIEhlYWx0aCwgVW5p
dmVyc2l0eSBvZiBBdWNrbGFuZCwgQXVja2xhbmQsIE5ldyBaZWFsYW5kLiYjeEQ7RGVwYXJ0bWVu
dCBvZiBNZWRpY2luZSwgU2Nob29sIG9mIE1lZGljaW5lLCBVbml2ZXJzaXR5IG9mIEF1Y2tsYW5k
LCBBdWNrbGFuZCwgTmV3IFplYWxhbmQuJiN4RDtEZXBhcnRtZW50IG9mIE1lZGljaW5lLCBVbml2
ZXJzaXR5IG9mIE90YWdvLCBEdW5lZGluLCBOZXcgWmVhbGFuZC4mI3hEO0xpZ2dpbnMgSW5zdGl0
dXRlLCBVbml2ZXJzaXR5IG9mIEF1Y2tsYW5kLCBBdWNrbGFuZCwgTmV3IFplYWxhbmQuPC9hdXRo
LWFkZHJlc3M+PHRpdGxlcz48dGl0bGU+RWZmZWN0IG9mIGFudGVuYXRhbCBkaWV0YXJ5IGludGVy
dmVudGlvbnMgaW4gbWF0ZXJuYWwgb2Jlc2l0eSBvbiBwcmVnbmFuY3kgd2VpZ2h0LWdhaW4gYW5k
IGJpcnRod2VpZ2h0OiBIZWFsdGh5IE11bXMgYW5kIEJhYmllcyAoSFVNQkEpIHJhbmRvbWl6ZWQg
dHJpYWw8L3RpdGxlPjxzZWNvbmRhcnktdGl0bGU+QW0gSiBPYnN0ZXQgR3luZWNvbDwvc2Vjb25k
YXJ5LXRpdGxlPjwvdGl0bGVzPjxwZXJpb2RpY2FsPjxmdWxsLXRpdGxlPkFtIEogT2JzdGV0IEd5
bmVjb2w8L2Z1bGwtdGl0bGU+PC9wZXJpb2RpY2FsPjxwYWdlcz4xNTIgZTEtMTUyIGUxMzwvcGFn
ZXM+PHZvbHVtZT4yMjE8L3ZvbHVtZT48bnVtYmVyPjI8L251bWJlcj48ZWRpdGlvbj4yMDE5LzAz
LzE4PC9lZGl0aW9uPjxrZXl3b3Jkcz48a2V5d29yZD5jb21tdW5pdHkgaGVhbHRoIHdvcmtlcjwv
a2V5d29yZD48a2V5d29yZD5nZXN0YXRpb25hbCB3ZWlnaHQgZ2Fpbjwva2V5d29yZD48a2V5d29y
ZD5wcm9iaW90aWNzPC9rZXl3b3JkPjxrZXl3b3JkPnRleHQgbWVzc2FnaW5nPC9rZXl3b3JkPjwv
a2V5d29yZHM+PGRhdGVzPjx5ZWFyPjIwMTk8L3llYXI+PHB1Yi1kYXRlcz48ZGF0ZT5BdWc8L2Rh
dGU+PC9wdWItZGF0ZXM+PC9kYXRlcz48aXNibj4xMDk3LTY4NjggKEVsZWN0cm9uaWMpJiN4RDsw
MDAyLTkzNzggKExpbmtpbmcpPC9pc2JuPjxhY2Nlc3Npb24tbnVtPjMwODc4MzIzPC9hY2Nlc3Np
b24tbnVtPjx1cmxzPjxyZWxhdGVkLXVybHM+PHVybD5odHRwczovL3d3dy5uY2JpLm5sbS5uaWgu
Z292L3B1Ym1lZC8zMDg3ODMyMzwvdXJsPjwvcmVsYXRlZC11cmxzPjwvdXJscz48ZWxlY3Ryb25p
Yy1yZXNvdXJjZS1udW0+MTAuMTAxNi9qLmFqb2cuMjAxOS4wMy4wMDM8L2VsZWN0cm9uaWMtcmVz
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232</w:t>
            </w:r>
            <w:r w:rsidR="00AB21E2">
              <w:fldChar w:fldCharType="end"/>
            </w:r>
          </w:p>
          <w:p w14:paraId="70D044DE" w14:textId="77777777" w:rsidR="00A51F74" w:rsidRDefault="00A51F74" w:rsidP="009F32BD">
            <w:r>
              <w:t>RCT</w:t>
            </w:r>
          </w:p>
          <w:p w14:paraId="00EEFB07" w14:textId="77777777" w:rsidR="00A51F74" w:rsidRPr="009F32BD" w:rsidRDefault="00A51F74" w:rsidP="009F32BD">
            <w:r>
              <w:t>New Zealand</w:t>
            </w:r>
          </w:p>
        </w:tc>
        <w:tc>
          <w:tcPr>
            <w:tcW w:w="1417" w:type="dxa"/>
          </w:tcPr>
          <w:p w14:paraId="6B20F11D" w14:textId="77777777" w:rsidR="00A51F74" w:rsidRDefault="00A51F74" w:rsidP="00DA5DC5">
            <w:r>
              <w:t>Intervention 115</w:t>
            </w:r>
          </w:p>
          <w:p w14:paraId="69CEE0DE" w14:textId="77777777" w:rsidR="00A51F74" w:rsidRDefault="00A51F74" w:rsidP="00DA5DC5">
            <w:r>
              <w:t>Placebo 115</w:t>
            </w:r>
          </w:p>
        </w:tc>
        <w:tc>
          <w:tcPr>
            <w:tcW w:w="4532" w:type="dxa"/>
          </w:tcPr>
          <w:p w14:paraId="40958947" w14:textId="77777777" w:rsidR="00A51F74" w:rsidRDefault="00A51F74" w:rsidP="00BE1D9F">
            <w:r w:rsidRPr="009F32BD">
              <w:rPr>
                <w:b/>
              </w:rPr>
              <w:t>Aim</w:t>
            </w:r>
            <w:r>
              <w:t xml:space="preserve">: </w:t>
            </w:r>
            <w:r w:rsidRPr="009F32BD">
              <w:t xml:space="preserve">To determine whether a culturally tailored dietary intervention and or daily probiotic capsules in pregnant women with obesity reduces the co-primary outcomes of (1) excessive gestational weight gain (mean &gt;0.27 kg/week) and (2) birthweight. </w:t>
            </w:r>
          </w:p>
          <w:p w14:paraId="43C04076" w14:textId="77777777" w:rsidR="00A51F74" w:rsidRPr="00BE1D9F" w:rsidRDefault="00A51F74" w:rsidP="00BE1D9F">
            <w:r w:rsidRPr="009F32BD">
              <w:rPr>
                <w:b/>
              </w:rPr>
              <w:t>Population</w:t>
            </w:r>
            <w:r>
              <w:t>: W</w:t>
            </w:r>
            <w:r w:rsidRPr="009F32BD">
              <w:t xml:space="preserve">omen without diabetes at pregnancy booking, </w:t>
            </w:r>
            <w:r>
              <w:t>BMI</w:t>
            </w:r>
            <w:r w:rsidRPr="009F32BD">
              <w:t xml:space="preserve"> </w:t>
            </w:r>
            <w:r>
              <w:t>≥30 kg/m(2) and a singleton pregnancy a</w:t>
            </w:r>
            <w:r w:rsidRPr="009F32BD">
              <w:t>t 12(+0) to 17(+6) weeks' gestation</w:t>
            </w:r>
            <w:r>
              <w:t>.</w:t>
            </w:r>
          </w:p>
          <w:p w14:paraId="4175B646" w14:textId="77777777" w:rsidR="00A51F74" w:rsidRPr="0020217E" w:rsidRDefault="00A51F74" w:rsidP="00BE1D9F">
            <w:pPr>
              <w:rPr>
                <w:b/>
              </w:rPr>
            </w:pPr>
            <w:r w:rsidRPr="009F32BD">
              <w:rPr>
                <w:b/>
              </w:rPr>
              <w:t>Intervention</w:t>
            </w:r>
            <w:r w:rsidRPr="009F32BD">
              <w:t xml:space="preserve">: </w:t>
            </w:r>
            <w:r>
              <w:t>D</w:t>
            </w:r>
            <w:r w:rsidRPr="009F32BD">
              <w:t>aily capsules containing either (Lactobacillus rhamnosus GG and Bifidobacterium lactis BB12, minimum 6.5 x 10(9) colony forming units), or placebo, until birth.</w:t>
            </w:r>
          </w:p>
        </w:tc>
        <w:tc>
          <w:tcPr>
            <w:tcW w:w="4536" w:type="dxa"/>
          </w:tcPr>
          <w:p w14:paraId="5BDE793D" w14:textId="77777777" w:rsidR="00A51F74" w:rsidRDefault="00A51F74" w:rsidP="009F32BD">
            <w:r>
              <w:t>Probiotics versus placebo:</w:t>
            </w:r>
          </w:p>
          <w:p w14:paraId="00DE02E3" w14:textId="77777777" w:rsidR="00A51F74" w:rsidRDefault="00A51F74" w:rsidP="00BE1D9F">
            <w:pPr>
              <w:pStyle w:val="bullet"/>
            </w:pPr>
            <w:r>
              <w:t>E</w:t>
            </w:r>
            <w:r w:rsidRPr="009F32BD">
              <w:t>xcessive gestational weight gain</w:t>
            </w:r>
            <w:r>
              <w:t>: 89/108 and 80/109</w:t>
            </w:r>
            <w:r w:rsidRPr="009F32BD">
              <w:t xml:space="preserve">, </w:t>
            </w:r>
            <w:r>
              <w:t>RR</w:t>
            </w:r>
            <w:r w:rsidRPr="009F32BD">
              <w:t xml:space="preserve"> 1.14, 95%</w:t>
            </w:r>
            <w:r>
              <w:t>CI 0.99 to 1.31</w:t>
            </w:r>
          </w:p>
          <w:p w14:paraId="60217D41" w14:textId="77777777" w:rsidR="00A51F74" w:rsidRDefault="00A51F74" w:rsidP="00BE1D9F">
            <w:pPr>
              <w:pStyle w:val="bullet"/>
            </w:pPr>
            <w:r>
              <w:t>Gestational diabetes: 28/105 vs 25/91; RR 0.94; 95%CI 0.59 to 1.49</w:t>
            </w:r>
          </w:p>
          <w:p w14:paraId="7FCF08B1" w14:textId="77777777" w:rsidR="00A51F74" w:rsidRDefault="00A51F74" w:rsidP="00BE1D9F">
            <w:pPr>
              <w:pStyle w:val="bullet"/>
            </w:pPr>
            <w:r>
              <w:t>Gestational hypertension: 11/108 vs 7/113; RR 1.61; 95%CI 0.64 to 4.09</w:t>
            </w:r>
          </w:p>
          <w:p w14:paraId="448D710D" w14:textId="77777777" w:rsidR="00A51F74" w:rsidRDefault="00A51F74" w:rsidP="00BE1D9F">
            <w:pPr>
              <w:pStyle w:val="bullet"/>
            </w:pPr>
            <w:r>
              <w:t>Caesarean section: 40/112 vs 35/114; RR 1.23; 95%CI 0.70 to 2.15</w:t>
            </w:r>
          </w:p>
          <w:p w14:paraId="0136D838" w14:textId="77777777" w:rsidR="00A51F74" w:rsidRDefault="00A51F74" w:rsidP="00A01BBB">
            <w:pPr>
              <w:pStyle w:val="bullet"/>
            </w:pPr>
            <w:r>
              <w:t>Stillbirth: 2/112 vs 2/114; RR 1.02; 95%CI 0.14 to 7.36</w:t>
            </w:r>
          </w:p>
        </w:tc>
        <w:tc>
          <w:tcPr>
            <w:tcW w:w="1843" w:type="dxa"/>
          </w:tcPr>
          <w:p w14:paraId="30117D50" w14:textId="77777777" w:rsidR="00A51F74" w:rsidRPr="00141F7B" w:rsidRDefault="00A51F74" w:rsidP="00DA5DC5"/>
        </w:tc>
      </w:tr>
      <w:tr w:rsidR="0073074A" w:rsidRPr="00141F7B" w14:paraId="049EAE34" w14:textId="77777777" w:rsidTr="00B7354C">
        <w:trPr>
          <w:cantSplit/>
          <w:trHeight w:val="390"/>
        </w:trPr>
        <w:tc>
          <w:tcPr>
            <w:tcW w:w="1564" w:type="dxa"/>
          </w:tcPr>
          <w:p w14:paraId="568DA42E" w14:textId="4E0F7301" w:rsidR="0073074A" w:rsidRDefault="0073074A" w:rsidP="009F32BD">
            <w:r>
              <w:t>Olsen et al 2018</w:t>
            </w:r>
            <w:r w:rsidR="00774750">
              <w:fldChar w:fldCharType="begin"/>
            </w:r>
            <w:r w:rsidR="002747EA">
              <w:instrText xml:space="preserve"> ADDIN EN.CITE &lt;EndNote&gt;&lt;Cite&gt;&lt;Author&gt;Olsen&lt;/Author&gt;&lt;Year&gt;2018&lt;/Year&gt;&lt;RecNum&gt;1709&lt;/RecNum&gt;&lt;DisplayText&gt;&lt;style face="superscript" font="Trebuchet MS" size="9"&gt;235&lt;/style&gt;&lt;/DisplayText&gt;&lt;record&gt;&lt;rec-number&gt;1709&lt;/rec-number&gt;&lt;foreign-keys&gt;&lt;key app="EN" db-id="exvasrfx2dtraoesasxp2szsxa2df502592x" timestamp="1582499182"&gt;1709&lt;/key&gt;&lt;/foreign-keys&gt;&lt;ref-type name="Journal Article"&gt;17&lt;/ref-type&gt;&lt;contributors&gt;&lt;authors&gt;&lt;author&gt;Olsen, Paula&lt;/author&gt;&lt;author&gt;Williamson, Moira&lt;/author&gt;&lt;author&gt;Traynor, Victoria&lt;/author&gt;&lt;author&gt;Georgiou, Chris&lt;/author&gt;&lt;/authors&gt;&lt;/contributors&gt;&lt;titles&gt;&lt;title&gt;The impact of oral probiotics on vaginal Group B Streptococcal colonisation rates in pregnant women: A pilot randomised control study&lt;/title&gt;&lt;secondary-title&gt;Women and Birth&lt;/secondary-title&gt;&lt;/titles&gt;&lt;periodical&gt;&lt;full-title&gt;Women and Birth&lt;/full-title&gt;&lt;/periodical&gt;&lt;pages&gt;31-37&lt;/pages&gt;&lt;volume&gt;31&lt;/volume&gt;&lt;number&gt;1&lt;/number&gt;&lt;section&gt;31&lt;/section&gt;&lt;dates&gt;&lt;year&gt;2018&lt;/year&gt;&lt;/dates&gt;&lt;isbn&gt;18715192&lt;/isbn&gt;&lt;urls&gt;&lt;/urls&gt;&lt;electronic-resource-num&gt;10.1016/j.wombi.2017.06.012&lt;/electronic-resource-num&gt;&lt;/record&gt;&lt;/Cite&gt;&lt;/EndNote&gt;</w:instrText>
            </w:r>
            <w:r w:rsidR="00774750">
              <w:fldChar w:fldCharType="separate"/>
            </w:r>
            <w:r w:rsidR="002747EA" w:rsidRPr="002747EA">
              <w:rPr>
                <w:noProof/>
                <w:vertAlign w:val="superscript"/>
              </w:rPr>
              <w:t>235</w:t>
            </w:r>
            <w:r w:rsidR="00774750">
              <w:fldChar w:fldCharType="end"/>
            </w:r>
          </w:p>
          <w:p w14:paraId="45F9384C" w14:textId="77777777" w:rsidR="0073074A" w:rsidRDefault="0073074A" w:rsidP="009F32BD">
            <w:r>
              <w:t>RCT</w:t>
            </w:r>
          </w:p>
          <w:p w14:paraId="1BE5DD2F" w14:textId="0589E411" w:rsidR="0073074A" w:rsidRPr="009F32BD" w:rsidRDefault="00A06E9B" w:rsidP="009F32BD">
            <w:r>
              <w:t>Australia</w:t>
            </w:r>
          </w:p>
        </w:tc>
        <w:tc>
          <w:tcPr>
            <w:tcW w:w="1417" w:type="dxa"/>
          </w:tcPr>
          <w:p w14:paraId="15FF13CE" w14:textId="77777777" w:rsidR="0073074A" w:rsidRDefault="00A06E9B" w:rsidP="00DA5DC5">
            <w:r>
              <w:t>Intervention 19</w:t>
            </w:r>
          </w:p>
          <w:p w14:paraId="5C6310C4" w14:textId="35C319C7" w:rsidR="00A06E9B" w:rsidRDefault="00A06E9B" w:rsidP="00DA5DC5">
            <w:r>
              <w:t>Control 13</w:t>
            </w:r>
          </w:p>
        </w:tc>
        <w:tc>
          <w:tcPr>
            <w:tcW w:w="4532" w:type="dxa"/>
          </w:tcPr>
          <w:p w14:paraId="26DAA0C7" w14:textId="77777777" w:rsidR="00A06E9B" w:rsidRDefault="00A06E9B" w:rsidP="00BE1D9F">
            <w:r>
              <w:rPr>
                <w:b/>
              </w:rPr>
              <w:t xml:space="preserve">Aim: </w:t>
            </w:r>
            <w:r w:rsidRPr="00A06E9B">
              <w:t xml:space="preserve">To perform a pilot project to determine if this research design was appropriate to explore potential causal relationships between oral probiotic use and vaginal Group B Streptococcal (GBS) colonisation rates in pregnant women. </w:t>
            </w:r>
          </w:p>
          <w:p w14:paraId="2018FAD0" w14:textId="77777777" w:rsidR="00A06E9B" w:rsidRDefault="00A06E9B" w:rsidP="00A06E9B">
            <w:r w:rsidRPr="00A06E9B">
              <w:rPr>
                <w:b/>
              </w:rPr>
              <w:t>Population</w:t>
            </w:r>
            <w:r>
              <w:t xml:space="preserve">: </w:t>
            </w:r>
            <w:r w:rsidRPr="00A06E9B">
              <w:t>GBS-positive women at 36 weeks pregnan</w:t>
            </w:r>
            <w:r>
              <w:t>cy</w:t>
            </w:r>
            <w:r w:rsidRPr="00A06E9B">
              <w:t xml:space="preserve">. </w:t>
            </w:r>
          </w:p>
          <w:p w14:paraId="5F870DFC" w14:textId="35B28BB2" w:rsidR="0073074A" w:rsidRPr="00A06E9B" w:rsidRDefault="00A06E9B" w:rsidP="00A06E9B">
            <w:r w:rsidRPr="00A06E9B">
              <w:rPr>
                <w:b/>
              </w:rPr>
              <w:t>Intervention</w:t>
            </w:r>
            <w:r>
              <w:t>: D</w:t>
            </w:r>
            <w:r w:rsidRPr="00A06E9B">
              <w:t xml:space="preserve">aily oral dose of </w:t>
            </w:r>
            <w:r w:rsidRPr="00A06E9B">
              <w:rPr>
                <w:i/>
              </w:rPr>
              <w:t>Lactobacillus rhamnosus</w:t>
            </w:r>
            <w:r w:rsidRPr="00A06E9B">
              <w:t xml:space="preserve"> GR-1 (GR- 1) and </w:t>
            </w:r>
            <w:r w:rsidRPr="00A06E9B">
              <w:rPr>
                <w:i/>
              </w:rPr>
              <w:t>Lactobacillus fermentum/reuteri</w:t>
            </w:r>
            <w:r w:rsidRPr="00A06E9B">
              <w:t xml:space="preserve"> RC-14 (RC-14) in a dose of 10</w:t>
            </w:r>
            <w:r w:rsidRPr="00A06E9B">
              <w:rPr>
                <w:vertAlign w:val="superscript"/>
              </w:rPr>
              <w:t xml:space="preserve">8 </w:t>
            </w:r>
            <w:r w:rsidRPr="00A06E9B">
              <w:t>viable strains</w:t>
            </w:r>
            <w:r>
              <w:rPr>
                <w:rFonts w:eastAsiaTheme="majorEastAsia"/>
              </w:rPr>
              <w:t xml:space="preserve"> </w:t>
            </w:r>
            <w:r w:rsidRPr="00A06E9B">
              <w:t xml:space="preserve">for three weeks or until birth. </w:t>
            </w:r>
          </w:p>
        </w:tc>
        <w:tc>
          <w:tcPr>
            <w:tcW w:w="4536" w:type="dxa"/>
          </w:tcPr>
          <w:p w14:paraId="4C2CC875" w14:textId="77777777" w:rsidR="0073074A" w:rsidRDefault="00A06E9B" w:rsidP="00A06E9B">
            <w:r>
              <w:t>Intervention versus control:</w:t>
            </w:r>
          </w:p>
          <w:p w14:paraId="3CE9137C" w14:textId="77777777" w:rsidR="00A06E9B" w:rsidRDefault="00A06E9B" w:rsidP="00F06D77">
            <w:pPr>
              <w:pStyle w:val="bullet"/>
            </w:pPr>
            <w:r>
              <w:t xml:space="preserve">GBS colonisation at birth: 15/19 vs 10/13 </w:t>
            </w:r>
          </w:p>
          <w:p w14:paraId="5B307422" w14:textId="73601F36" w:rsidR="00A06E9B" w:rsidRPr="00A06E9B" w:rsidRDefault="00F06D77" w:rsidP="00F06D77">
            <w:pPr>
              <w:pStyle w:val="bullet"/>
            </w:pPr>
            <w:r>
              <w:t>Presence of vaginal commensals at birth: 5/19 vs 0/13</w:t>
            </w:r>
          </w:p>
        </w:tc>
        <w:tc>
          <w:tcPr>
            <w:tcW w:w="1843" w:type="dxa"/>
          </w:tcPr>
          <w:p w14:paraId="6CE4124B" w14:textId="77777777" w:rsidR="0073074A" w:rsidRPr="00141F7B" w:rsidRDefault="0073074A" w:rsidP="00DA5DC5"/>
        </w:tc>
      </w:tr>
      <w:tr w:rsidR="00A51F74" w:rsidRPr="00141F7B" w14:paraId="4061A04C" w14:textId="77777777" w:rsidTr="00B7354C">
        <w:trPr>
          <w:cantSplit/>
          <w:trHeight w:val="390"/>
        </w:trPr>
        <w:tc>
          <w:tcPr>
            <w:tcW w:w="1564" w:type="dxa"/>
          </w:tcPr>
          <w:p w14:paraId="0C8A6345" w14:textId="581913C7" w:rsidR="00A51F74" w:rsidRDefault="00A51F74" w:rsidP="002D3832">
            <w:r w:rsidRPr="002D3832">
              <w:t>Pellonpera</w:t>
            </w:r>
            <w:r>
              <w:t xml:space="preserve"> et al 2019</w:t>
            </w:r>
            <w:r w:rsidR="00AB21E2">
              <w:fldChar w:fldCharType="begin">
                <w:fldData xml:space="preserve">PEVuZE5vdGU+PENpdGU+PEF1dGhvcj5QZWxsb25wZXJhPC9BdXRob3I+PFllYXI+MjAxOTwvWWVh
cj48UmVjTnVtPjE2Njk8L1JlY051bT48RGlzcGxheVRleHQ+PHN0eWxlIGZhY2U9InN1cGVyc2Ny
aXB0IiBmb250PSJUcmVidWNoZXQgTVMiIHNpemU9IjkiPjIzMzwvc3R5bGU+PC9EaXNwbGF5VGV4
dD48cmVjb3JkPjxyZWMtbnVtYmVyPjE2Njk8L3JlYy1udW1iZXI+PGZvcmVpZ24ta2V5cz48a2V5
IGFwcD0iRU4iIGRiLWlkPSJleHZhc3JmeDJkdHJhb2VzYXN4cDJzenN4YTJkZjUwMjU5MngiIHRp
bWVzdGFtcD0iMTU4MTMxMjg0MCI+MTY2OTwva2V5PjxrZXkgYXBwPSJFTldlYiIgZGItaWQ9IiI+
MDwva2V5PjwvZm9yZWlnbi1rZXlzPjxyZWYtdHlwZSBuYW1lPSJKb3VybmFsIEFydGljbGUiPjE3
PC9yZWYtdHlwZT48Y29udHJpYnV0b3JzPjxhdXRob3JzPjxhdXRob3I+UGVsbG9ucGVyYSwgTy48
L2F1dGhvcj48YXV0aG9yPk1va2thbGEsIEsuPC9hdXRob3I+PGF1dGhvcj5Ib3V0dHUsIE4uPC9h
dXRob3I+PGF1dGhvcj5WYWhsYmVyZywgVC48L2F1dGhvcj48YXV0aG9yPktvaXZ1bmllbWksIEUu
PC9hdXRob3I+PGF1dGhvcj5UZXJ0dGksIEsuPC9hdXRob3I+PGF1dGhvcj5Sb25uZW1hYSwgVC48
L2F1dGhvcj48YXV0aG9yPkxhaXRpbmVuLCBLLjwvYXV0aG9yPjwvYXV0aG9ycz48L2NvbnRyaWJ1
dG9ycz48YXV0aC1hZGRyZXNzPkRlcGFydG1lbnQgb2YgT2JzdGV0cmljcyBhbmQgR3luZWNvbG9n
eSwgVW5pdmVyc2l0eSBvZiBUdXJrdSBhbmQgVHVya3UgVW5pdmVyc2l0eSBIb3NwaXRhbCwgVHVy
a3UsIEZpbmxhbmQgb3V0aS5wZWxsb25wZXJhQHV0dS5maS4mI3hEO0ludGVncmF0aXZlIFBoeXNp
b2xvZ3kgYW5kIFBoYXJtYWNvbG9neSwgSW5zdGl0dXRlIG9mIEJpb21lZGljaW5lLCBVbml2ZXJz
aXR5IG9mIFR1cmt1LCBUdXJrdSwgRmlubGFuZC4mI3hEO0Jpb3N0YXRpc3RpY3MsIEluc3RpdHV0
ZSBvZiBDbGluaWNhbCBNZWRpY2luZSwgVW5pdmVyc2l0eSBvZiBUdXJrdSwgVHVya3UsIEZpbmxh
bmQuJiN4RDtEZXBhcnRtZW50IG9mIE9ic3RldHJpY3MgYW5kIEd5bmVjb2xvZ3ksIFVuaXZlcnNp
dHkgb2YgVHVya3UgYW5kIFR1cmt1IFVuaXZlcnNpdHkgSG9zcGl0YWwsIFR1cmt1LCBGaW5sYW5k
LiYjeEQ7RGVwYXJ0bWVudCBvZiBNZWRpY2luZSwgVW5pdmVyc2l0eSBvZiBUdXJrdSBhbmQgVHVy
a3UgVW5pdmVyc2l0eSBIb3NwaXRhbCwgVHVya3UsIEZpbmxhbmQuPC9hdXRoLWFkZHJlc3M+PHRp
dGxlcz48dGl0bGU+RWZmaWNhY3kgb2YgZmlzaCBvaWwgYW5kL29yIHByb2Jpb3RpYyBpbnRlcnZl
bnRpb24gb24gdGhlIGluY2lkZW5jZSBvZiBnZXN0YXRpb25hbCBkaWFiZXRlcyBtZWxsaXR1cyBp
biBhbiBhdC1yaXNrIGdyb3VwIG9mIG92ZXJ3ZWlnaHQgYW5kIG9iZXNlIHdvbWVuOiBhIHJhbmRv
bWl6ZWQsIHBsYWNlYm8tY29udHJvbGxlZCwgZG91YmxlLWJsaW5kIGNsaW5pY2FsIHRyaWFsPC90
aXRsZT48c2Vjb25kYXJ5LXRpdGxlPkRpYWJldGVzIENhcmU8L3NlY29uZGFyeS10aXRsZT48L3Rp
dGxlcz48cGVyaW9kaWNhbD48ZnVsbC10aXRsZT5EaWFiZXRlcyBDYXJlPC9mdWxsLXRpdGxlPjwv
cGVyaW9kaWNhbD48cGFnZXM+MTAwOS0xMDE3PC9wYWdlcz48dm9sdW1lPjQyPC92b2x1bWU+PG51
bWJlcj42PC9udW1iZXI+PGVkaXRpb24+MjAxOS8wNC8xMTwvZWRpdGlvbj48ZGF0ZXM+PHllYXI+
MjAxOTwveWVhcj48cHViLWRhdGVzPjxkYXRlPkp1bjwvZGF0ZT48L3B1Yi1kYXRlcz48L2RhdGVz
Pjxpc2JuPjE5MzUtNTU0OCAoRWxlY3Ryb25pYykmI3hEOzAxNDktNTk5MiAoTGlua2luZyk8L2lz
Ym4+PGFjY2Vzc2lvbi1udW0+MzA5Njc0MzY8L2FjY2Vzc2lvbi1udW0+PHVybHM+PHJlbGF0ZWQt
dXJscz48dXJsPmh0dHBzOi8vd3d3Lm5jYmkubmxtLm5paC5nb3YvcHVibWVkLzMwOTY3NDM2PC91
cmw+PC9yZWxhdGVkLXVybHM+PC91cmxzPjxlbGVjdHJvbmljLXJlc291cmNlLW51bT4xMC4yMzM3
L2RjMTgtMjU5MTwvZWxlY3Ryb25pYy1yZXNvdXJjZS1udW0+PC9yZWNvcmQ+PC9DaXRlPjwvRW5k
Tm90ZT4A
</w:fldData>
              </w:fldChar>
            </w:r>
            <w:r w:rsidR="002747EA">
              <w:instrText xml:space="preserve"> ADDIN EN.CITE </w:instrText>
            </w:r>
            <w:r w:rsidR="002747EA">
              <w:fldChar w:fldCharType="begin">
                <w:fldData xml:space="preserve">PEVuZE5vdGU+PENpdGU+PEF1dGhvcj5QZWxsb25wZXJhPC9BdXRob3I+PFllYXI+MjAxOTwvWWVh
cj48UmVjTnVtPjE2Njk8L1JlY051bT48RGlzcGxheVRleHQ+PHN0eWxlIGZhY2U9InN1cGVyc2Ny
aXB0IiBmb250PSJUcmVidWNoZXQgTVMiIHNpemU9IjkiPjIzMzwvc3R5bGU+PC9EaXNwbGF5VGV4
dD48cmVjb3JkPjxyZWMtbnVtYmVyPjE2Njk8L3JlYy1udW1iZXI+PGZvcmVpZ24ta2V5cz48a2V5
IGFwcD0iRU4iIGRiLWlkPSJleHZhc3JmeDJkdHJhb2VzYXN4cDJzenN4YTJkZjUwMjU5MngiIHRp
bWVzdGFtcD0iMTU4MTMxMjg0MCI+MTY2OTwva2V5PjxrZXkgYXBwPSJFTldlYiIgZGItaWQ9IiI+
MDwva2V5PjwvZm9yZWlnbi1rZXlzPjxyZWYtdHlwZSBuYW1lPSJKb3VybmFsIEFydGljbGUiPjE3
PC9yZWYtdHlwZT48Y29udHJpYnV0b3JzPjxhdXRob3JzPjxhdXRob3I+UGVsbG9ucGVyYSwgTy48
L2F1dGhvcj48YXV0aG9yPk1va2thbGEsIEsuPC9hdXRob3I+PGF1dGhvcj5Ib3V0dHUsIE4uPC9h
dXRob3I+PGF1dGhvcj5WYWhsYmVyZywgVC48L2F1dGhvcj48YXV0aG9yPktvaXZ1bmllbWksIEUu
PC9hdXRob3I+PGF1dGhvcj5UZXJ0dGksIEsuPC9hdXRob3I+PGF1dGhvcj5Sb25uZW1hYSwgVC48
L2F1dGhvcj48YXV0aG9yPkxhaXRpbmVuLCBLLjwvYXV0aG9yPjwvYXV0aG9ycz48L2NvbnRyaWJ1
dG9ycz48YXV0aC1hZGRyZXNzPkRlcGFydG1lbnQgb2YgT2JzdGV0cmljcyBhbmQgR3luZWNvbG9n
eSwgVW5pdmVyc2l0eSBvZiBUdXJrdSBhbmQgVHVya3UgVW5pdmVyc2l0eSBIb3NwaXRhbCwgVHVy
a3UsIEZpbmxhbmQgb3V0aS5wZWxsb25wZXJhQHV0dS5maS4mI3hEO0ludGVncmF0aXZlIFBoeXNp
b2xvZ3kgYW5kIFBoYXJtYWNvbG9neSwgSW5zdGl0dXRlIG9mIEJpb21lZGljaW5lLCBVbml2ZXJz
aXR5IG9mIFR1cmt1LCBUdXJrdSwgRmlubGFuZC4mI3hEO0Jpb3N0YXRpc3RpY3MsIEluc3RpdHV0
ZSBvZiBDbGluaWNhbCBNZWRpY2luZSwgVW5pdmVyc2l0eSBvZiBUdXJrdSwgVHVya3UsIEZpbmxh
bmQuJiN4RDtEZXBhcnRtZW50IG9mIE9ic3RldHJpY3MgYW5kIEd5bmVjb2xvZ3ksIFVuaXZlcnNp
dHkgb2YgVHVya3UgYW5kIFR1cmt1IFVuaXZlcnNpdHkgSG9zcGl0YWwsIFR1cmt1LCBGaW5sYW5k
LiYjeEQ7RGVwYXJ0bWVudCBvZiBNZWRpY2luZSwgVW5pdmVyc2l0eSBvZiBUdXJrdSBhbmQgVHVy
a3UgVW5pdmVyc2l0eSBIb3NwaXRhbCwgVHVya3UsIEZpbmxhbmQuPC9hdXRoLWFkZHJlc3M+PHRp
dGxlcz48dGl0bGU+RWZmaWNhY3kgb2YgZmlzaCBvaWwgYW5kL29yIHByb2Jpb3RpYyBpbnRlcnZl
bnRpb24gb24gdGhlIGluY2lkZW5jZSBvZiBnZXN0YXRpb25hbCBkaWFiZXRlcyBtZWxsaXR1cyBp
biBhbiBhdC1yaXNrIGdyb3VwIG9mIG92ZXJ3ZWlnaHQgYW5kIG9iZXNlIHdvbWVuOiBhIHJhbmRv
bWl6ZWQsIHBsYWNlYm8tY29udHJvbGxlZCwgZG91YmxlLWJsaW5kIGNsaW5pY2FsIHRyaWFsPC90
aXRsZT48c2Vjb25kYXJ5LXRpdGxlPkRpYWJldGVzIENhcmU8L3NlY29uZGFyeS10aXRsZT48L3Rp
dGxlcz48cGVyaW9kaWNhbD48ZnVsbC10aXRsZT5EaWFiZXRlcyBDYXJlPC9mdWxsLXRpdGxlPjwv
cGVyaW9kaWNhbD48cGFnZXM+MTAwOS0xMDE3PC9wYWdlcz48dm9sdW1lPjQyPC92b2x1bWU+PG51
bWJlcj42PC9udW1iZXI+PGVkaXRpb24+MjAxOS8wNC8xMTwvZWRpdGlvbj48ZGF0ZXM+PHllYXI+
MjAxOTwveWVhcj48cHViLWRhdGVzPjxkYXRlPkp1bjwvZGF0ZT48L3B1Yi1kYXRlcz48L2RhdGVz
Pjxpc2JuPjE5MzUtNTU0OCAoRWxlY3Ryb25pYykmI3hEOzAxNDktNTk5MiAoTGlua2luZyk8L2lz
Ym4+PGFjY2Vzc2lvbi1udW0+MzA5Njc0MzY8L2FjY2Vzc2lvbi1udW0+PHVybHM+PHJlbGF0ZWQt
dXJscz48dXJsPmh0dHBzOi8vd3d3Lm5jYmkubmxtLm5paC5nb3YvcHVibWVkLzMwOTY3NDM2PC91
cmw+PC9yZWxhdGVkLXVybHM+PC91cmxzPjxlbGVjdHJvbmljLXJlc291cmNlLW51bT4xMC4yMzM3
L2RjMTgtMjU5MTwvZWxlY3Ryb25pYy1yZXNvdXJjZS1udW0+PC9yZWNvcmQ+PC9DaXRlPjwvRW5k
Tm90ZT4A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233</w:t>
            </w:r>
            <w:r w:rsidR="00AB21E2">
              <w:fldChar w:fldCharType="end"/>
            </w:r>
          </w:p>
          <w:p w14:paraId="340EF4C5" w14:textId="77777777" w:rsidR="00A51F74" w:rsidRDefault="00A51F74" w:rsidP="002D3832">
            <w:r>
              <w:t>RCT</w:t>
            </w:r>
          </w:p>
          <w:p w14:paraId="3CD0E938" w14:textId="77777777" w:rsidR="00A51F74" w:rsidRPr="002D3832" w:rsidRDefault="00A51F74" w:rsidP="002D3832">
            <w:r>
              <w:t>Finland</w:t>
            </w:r>
          </w:p>
        </w:tc>
        <w:tc>
          <w:tcPr>
            <w:tcW w:w="1417" w:type="dxa"/>
          </w:tcPr>
          <w:p w14:paraId="358FDBA7" w14:textId="77777777" w:rsidR="00A51F74" w:rsidRDefault="00A51F74" w:rsidP="00DA5DC5">
            <w:r>
              <w:t>Intervention 109</w:t>
            </w:r>
          </w:p>
          <w:p w14:paraId="6AEA70C7" w14:textId="77777777" w:rsidR="00A51F74" w:rsidRDefault="00A51F74" w:rsidP="00DA5DC5">
            <w:r>
              <w:t>Control 110</w:t>
            </w:r>
          </w:p>
        </w:tc>
        <w:tc>
          <w:tcPr>
            <w:tcW w:w="4532" w:type="dxa"/>
          </w:tcPr>
          <w:p w14:paraId="3EF57DB3" w14:textId="77777777" w:rsidR="00A51F74" w:rsidRDefault="00A51F74" w:rsidP="00DC12C1">
            <w:r w:rsidRPr="002D3832">
              <w:rPr>
                <w:b/>
              </w:rPr>
              <w:t>Aim</w:t>
            </w:r>
            <w:r>
              <w:t xml:space="preserve">: </w:t>
            </w:r>
            <w:r w:rsidRPr="002D3832">
              <w:t xml:space="preserve">To assess whether the risk of gestational diabetes mellitus (GDM) may be lowered and glucose metabolism improved by daily administration of fish oil and/or probiotic supplements in overweight and obese pregnant women. </w:t>
            </w:r>
          </w:p>
          <w:p w14:paraId="6AE41C28" w14:textId="77777777" w:rsidR="00A51F74" w:rsidRDefault="00A51F74" w:rsidP="002D3832">
            <w:r w:rsidRPr="002D3832">
              <w:rPr>
                <w:b/>
              </w:rPr>
              <w:t>Population</w:t>
            </w:r>
            <w:r>
              <w:t>: W</w:t>
            </w:r>
            <w:r w:rsidRPr="002D3832">
              <w:t>omen (mean 13.9</w:t>
            </w:r>
            <w:r>
              <w:t>±</w:t>
            </w:r>
            <w:r w:rsidRPr="002D3832">
              <w:t>2.1 gestational weeks [gw])</w:t>
            </w:r>
          </w:p>
          <w:p w14:paraId="4C192C75" w14:textId="77777777" w:rsidR="00A51F74" w:rsidRPr="00DC12C1" w:rsidRDefault="00A51F74" w:rsidP="00256901">
            <w:pPr>
              <w:rPr>
                <w:b/>
              </w:rPr>
            </w:pPr>
            <w:r w:rsidRPr="002D3832">
              <w:rPr>
                <w:b/>
              </w:rPr>
              <w:t>Intervention</w:t>
            </w:r>
            <w:r>
              <w:t>:</w:t>
            </w:r>
            <w:r w:rsidRPr="002D3832">
              <w:t xml:space="preserve"> Lactobacillus rhamnosus HN001 and Bifidobacterium animalis ssp. lactis 420, 10</w:t>
            </w:r>
            <w:r>
              <w:t xml:space="preserve">(10) colony-forming units each </w:t>
            </w:r>
            <w:r w:rsidRPr="002D3832">
              <w:t>were provided for</w:t>
            </w:r>
            <w:r>
              <w:t xml:space="preserve"> daily consumption from randomis</w:t>
            </w:r>
            <w:r w:rsidRPr="002D3832">
              <w:t xml:space="preserve">ation beyond </w:t>
            </w:r>
            <w:r>
              <w:t>birth</w:t>
            </w:r>
            <w:r w:rsidRPr="002D3832">
              <w:t xml:space="preserve">. </w:t>
            </w:r>
          </w:p>
        </w:tc>
        <w:tc>
          <w:tcPr>
            <w:tcW w:w="4536" w:type="dxa"/>
          </w:tcPr>
          <w:p w14:paraId="7CCB5D24" w14:textId="77777777" w:rsidR="00A51F74" w:rsidRDefault="00A51F74" w:rsidP="006804E6">
            <w:r>
              <w:t>Probiotics versus placebo:</w:t>
            </w:r>
          </w:p>
          <w:p w14:paraId="20C129B6" w14:textId="77777777" w:rsidR="00A51F74" w:rsidRDefault="00A51F74" w:rsidP="002C70B0">
            <w:pPr>
              <w:pStyle w:val="bullet"/>
            </w:pPr>
            <w:r>
              <w:t>Gestational diabetes: 25/88 vs 31/84</w:t>
            </w:r>
          </w:p>
          <w:p w14:paraId="2D69F9DE" w14:textId="77777777" w:rsidR="00A51F74" w:rsidRDefault="00A51F74" w:rsidP="002C70B0">
            <w:pPr>
              <w:pStyle w:val="bullet"/>
            </w:pPr>
            <w:r>
              <w:t>Miscarriage &lt; 22 weeks: 1/109 vs 2/110</w:t>
            </w:r>
          </w:p>
          <w:p w14:paraId="55A38FD1" w14:textId="77777777" w:rsidR="00A51F74" w:rsidRDefault="00A51F74" w:rsidP="002C70B0">
            <w:pPr>
              <w:pStyle w:val="bullet"/>
            </w:pPr>
            <w:r>
              <w:t>Stillbirth: 0/96 vs 1/93</w:t>
            </w:r>
          </w:p>
          <w:p w14:paraId="7ED11A6A" w14:textId="77777777" w:rsidR="00A51F74" w:rsidRDefault="00A51F74" w:rsidP="002C70B0">
            <w:pPr>
              <w:pStyle w:val="bullet"/>
            </w:pPr>
            <w:r>
              <w:t>Gestational hypertension: 4/96 vs 4/93</w:t>
            </w:r>
          </w:p>
          <w:p w14:paraId="36EF5E60" w14:textId="77777777" w:rsidR="00A51F74" w:rsidRDefault="00A51F74" w:rsidP="002C70B0">
            <w:pPr>
              <w:pStyle w:val="bullet"/>
            </w:pPr>
            <w:r>
              <w:t>Pre-eclampsia: 4/96 vs 2/93</w:t>
            </w:r>
          </w:p>
          <w:p w14:paraId="18046B1C" w14:textId="77777777" w:rsidR="00A51F74" w:rsidRDefault="00A51F74" w:rsidP="002C70B0">
            <w:pPr>
              <w:pStyle w:val="bullet"/>
            </w:pPr>
            <w:r>
              <w:t>Caesarean section: 10/96 vs 8/92</w:t>
            </w:r>
          </w:p>
          <w:p w14:paraId="7C8DC9AA" w14:textId="77777777" w:rsidR="00A51F74" w:rsidRDefault="00A51F74" w:rsidP="002C70B0">
            <w:pPr>
              <w:pStyle w:val="bullet"/>
            </w:pPr>
            <w:r>
              <w:t>Preterm birth: 4/96 vs 3/92</w:t>
            </w:r>
          </w:p>
          <w:p w14:paraId="667E7D4F" w14:textId="77777777" w:rsidR="00A51F74" w:rsidRPr="000D162D" w:rsidRDefault="00A51F74" w:rsidP="006804E6">
            <w:pPr>
              <w:pStyle w:val="bullet"/>
            </w:pPr>
            <w:r>
              <w:t>Macrosomia: 13/96 vs 13/92</w:t>
            </w:r>
          </w:p>
        </w:tc>
        <w:tc>
          <w:tcPr>
            <w:tcW w:w="1843" w:type="dxa"/>
          </w:tcPr>
          <w:p w14:paraId="1D9A37F6" w14:textId="77777777" w:rsidR="00A51F74" w:rsidRPr="00141F7B" w:rsidRDefault="00A51F74" w:rsidP="00DA5DC5"/>
        </w:tc>
      </w:tr>
      <w:tr w:rsidR="00A51F74" w:rsidRPr="00141F7B" w14:paraId="1EE643D7" w14:textId="77777777" w:rsidTr="00D67B8A">
        <w:trPr>
          <w:cantSplit/>
          <w:trHeight w:val="390"/>
        </w:trPr>
        <w:tc>
          <w:tcPr>
            <w:tcW w:w="1564" w:type="dxa"/>
          </w:tcPr>
          <w:p w14:paraId="7C4F6BD5" w14:textId="2B776E3B" w:rsidR="00A51F74" w:rsidRDefault="00A51F74" w:rsidP="002D3832">
            <w:r>
              <w:t>Sharpe et al 2019</w:t>
            </w:r>
            <w:r w:rsidR="00AB21E2">
              <w:fldChar w:fldCharType="begin"/>
            </w:r>
            <w:r w:rsidR="002747EA">
              <w:instrText xml:space="preserve"> ADDIN EN.CITE &lt;EndNote&gt;&lt;Cite&gt;&lt;Author&gt;Sharpe&lt;/Author&gt;&lt;Year&gt;2019&lt;/Year&gt;&lt;RecNum&gt;1670&lt;/RecNum&gt;&lt;DisplayText&gt;&lt;style face="superscript" font="Trebuchet MS" size="9"&gt;234&lt;/style&gt;&lt;/DisplayText&gt;&lt;record&gt;&lt;rec-number&gt;1670&lt;/rec-number&gt;&lt;foreign-keys&gt;&lt;key app="EN" db-id="exvasrfx2dtraoesasxp2szsxa2df502592x" timestamp="1581312847"&gt;1670&lt;/key&gt;&lt;key app="ENWeb" db-id=""&gt;0&lt;/key&gt;&lt;/foreign-keys&gt;&lt;ref-type name="Journal Article"&gt;17&lt;/ref-type&gt;&lt;contributors&gt;&lt;authors&gt;&lt;author&gt;Sharpe, M.&lt;/author&gt;&lt;author&gt;Shah, V.&lt;/author&gt;&lt;author&gt;Freire-Lizama, T.&lt;/author&gt;&lt;author&gt;Cates, E. C.&lt;/author&gt;&lt;author&gt;McGrath, K.&lt;/author&gt;&lt;author&gt;David, I.&lt;/author&gt;&lt;author&gt;Cowan, S.&lt;/author&gt;&lt;author&gt;Letkeman, J.&lt;/author&gt;&lt;author&gt;Stewart-Wilson, E.&lt;/author&gt;&lt;/authors&gt;&lt;/contributors&gt;&lt;auth-address&gt;a Midwifery Education Program, Ryerson University , Toronto , Canada.&amp;#xD;b Department of Pediatrics, Mount Sinai Hospital , Toronto , Canada.&amp;#xD;c Department of Obstetrics and Gynecology, St. Michael&amp;apos;s Hospital , Toronto , Canada.&amp;#xD;d Department of Psychology, Ryerson University , Toronto , Canada.&lt;/auth-address&gt;&lt;titles&gt;&lt;title&gt;Effectiveness of oral intake of Lactobacillus rhamnosus GR-1 and Lactobacillus reuteri RC-14 on Group B Streptococcus colonization during pregnancy: a midwifery-led double-blind randomized controlled pilot trial&lt;/title&gt;&lt;secondary-title&gt;J Matern Fetal Neonatal Med&lt;/secondary-title&gt;&lt;/titles&gt;&lt;periodical&gt;&lt;full-title&gt;J Matern Fetal Neonatal Med&lt;/full-title&gt;&lt;/periodical&gt;&lt;pages&gt;1-8&lt;/pages&gt;&lt;edition&gt;2019/08/01&lt;/edition&gt;&lt;keywords&gt;&lt;keyword&gt;Clinical trial&lt;/keyword&gt;&lt;keyword&gt;group B Streptococcus&lt;/keyword&gt;&lt;keyword&gt;midwifery&lt;/keyword&gt;&lt;keyword&gt;pregnancy&lt;/keyword&gt;&lt;keyword&gt;probiotics&lt;/keyword&gt;&lt;/keywords&gt;&lt;dates&gt;&lt;year&gt;2019&lt;/year&gt;&lt;pub-dates&gt;&lt;date&gt;Aug 13&lt;/date&gt;&lt;/pub-dates&gt;&lt;/dates&gt;&lt;isbn&gt;1476-4954 (Electronic)&amp;#xD;1476-4954 (Linking)&lt;/isbn&gt;&lt;accession-num&gt;31362572&lt;/accession-num&gt;&lt;urls&gt;&lt;related-urls&gt;&lt;url&gt;https://www.ncbi.nlm.nih.gov/pubmed/31362572&lt;/url&gt;&lt;/related-urls&gt;&lt;/urls&gt;&lt;electronic-resource-num&gt;10.1080/14767058.2019.1650907&lt;/electronic-resource-num&gt;&lt;/record&gt;&lt;/Cite&gt;&lt;/EndNote&gt;</w:instrText>
            </w:r>
            <w:r w:rsidR="00AB21E2">
              <w:fldChar w:fldCharType="separate"/>
            </w:r>
            <w:r w:rsidR="002747EA" w:rsidRPr="002747EA">
              <w:rPr>
                <w:noProof/>
                <w:vertAlign w:val="superscript"/>
              </w:rPr>
              <w:t>234</w:t>
            </w:r>
            <w:r w:rsidR="00AB21E2">
              <w:fldChar w:fldCharType="end"/>
            </w:r>
          </w:p>
          <w:p w14:paraId="0DE8BD9F" w14:textId="77777777" w:rsidR="00A51F74" w:rsidRDefault="00A51F74" w:rsidP="002D3832">
            <w:r>
              <w:t>RCT</w:t>
            </w:r>
          </w:p>
          <w:p w14:paraId="34BF3E53" w14:textId="77777777" w:rsidR="00A51F74" w:rsidRPr="002D3832" w:rsidRDefault="00A51F74" w:rsidP="002D3832">
            <w:r>
              <w:t xml:space="preserve">Canada </w:t>
            </w:r>
          </w:p>
        </w:tc>
        <w:tc>
          <w:tcPr>
            <w:tcW w:w="1417" w:type="dxa"/>
          </w:tcPr>
          <w:p w14:paraId="27C6CD85" w14:textId="77777777" w:rsidR="00A51F74" w:rsidRDefault="00A51F74" w:rsidP="00DA5DC5">
            <w:r>
              <w:t>Intervention 57</w:t>
            </w:r>
          </w:p>
          <w:p w14:paraId="10C73937" w14:textId="77777777" w:rsidR="00A51F74" w:rsidRDefault="00A51F74" w:rsidP="00DA5DC5">
            <w:r>
              <w:t>Control 56</w:t>
            </w:r>
          </w:p>
        </w:tc>
        <w:tc>
          <w:tcPr>
            <w:tcW w:w="4532" w:type="dxa"/>
          </w:tcPr>
          <w:p w14:paraId="45EABAE9" w14:textId="77777777" w:rsidR="00A51F74" w:rsidRDefault="00A51F74" w:rsidP="00D245C4">
            <w:r w:rsidRPr="00D245C4">
              <w:rPr>
                <w:b/>
              </w:rPr>
              <w:t>Aim</w:t>
            </w:r>
            <w:r>
              <w:t>: To assess the effect of probiotic supplementation on GBS</w:t>
            </w:r>
            <w:r w:rsidRPr="00D245C4">
              <w:t xml:space="preserve"> </w:t>
            </w:r>
            <w:r>
              <w:t>vaginal/rectal colonis</w:t>
            </w:r>
            <w:r w:rsidRPr="00D245C4">
              <w:t>ation at 35-37 weeks' gestation</w:t>
            </w:r>
            <w:r>
              <w:t>.</w:t>
            </w:r>
          </w:p>
          <w:p w14:paraId="591164DE" w14:textId="2FB02568" w:rsidR="00A51F74" w:rsidRDefault="00A51F74" w:rsidP="00D245C4">
            <w:r w:rsidRPr="00D245C4">
              <w:rPr>
                <w:b/>
              </w:rPr>
              <w:t>Population</w:t>
            </w:r>
            <w:r>
              <w:t xml:space="preserve">: </w:t>
            </w:r>
            <w:r w:rsidR="005D55C3">
              <w:t>Pregnant women</w:t>
            </w:r>
            <w:r w:rsidRPr="00D245C4">
              <w:t xml:space="preserve"> &gt;18 years of age and &lt;45 years of age and with a gestational age of &lt;25 weeks</w:t>
            </w:r>
            <w:r>
              <w:t>.</w:t>
            </w:r>
          </w:p>
          <w:p w14:paraId="0B578BE4" w14:textId="77777777" w:rsidR="00A51F74" w:rsidRPr="002D3832" w:rsidRDefault="00A51F74" w:rsidP="00D245C4">
            <w:pPr>
              <w:rPr>
                <w:b/>
              </w:rPr>
            </w:pPr>
            <w:r w:rsidRPr="00D245C4">
              <w:rPr>
                <w:b/>
              </w:rPr>
              <w:t>Intervention</w:t>
            </w:r>
            <w:r>
              <w:t>:</w:t>
            </w:r>
            <w:r w:rsidRPr="00D245C4">
              <w:t xml:space="preserve"> </w:t>
            </w:r>
            <w:r>
              <w:t>T</w:t>
            </w:r>
            <w:r w:rsidRPr="00D245C4">
              <w:t xml:space="preserve">wo capsules of probiotics (Lactobacillus rhamnosus GR-1 and Lactobacillus reuteri RC-14) orally daily for 12 weeks at 23-25 weeks' gestation. </w:t>
            </w:r>
          </w:p>
        </w:tc>
        <w:tc>
          <w:tcPr>
            <w:tcW w:w="4536" w:type="dxa"/>
          </w:tcPr>
          <w:p w14:paraId="389E6B3E" w14:textId="77777777" w:rsidR="00A51F74" w:rsidRDefault="00A51F74" w:rsidP="00D245C4">
            <w:r>
              <w:t>Probiotics versus placebo:</w:t>
            </w:r>
          </w:p>
          <w:p w14:paraId="3084F2F4" w14:textId="77777777" w:rsidR="00A51F74" w:rsidRDefault="00A51F74" w:rsidP="00D245C4">
            <w:pPr>
              <w:pStyle w:val="bullet"/>
            </w:pPr>
            <w:r>
              <w:t>GBS colonisation at 35-37 weeks: 9/57 vs 12/56</w:t>
            </w:r>
          </w:p>
        </w:tc>
        <w:tc>
          <w:tcPr>
            <w:tcW w:w="1843" w:type="dxa"/>
          </w:tcPr>
          <w:p w14:paraId="776954C7" w14:textId="77777777" w:rsidR="00A51F74" w:rsidRPr="00141F7B" w:rsidRDefault="00A51F74" w:rsidP="00DA5DC5"/>
        </w:tc>
      </w:tr>
      <w:tr w:rsidR="00D67B8A" w:rsidRPr="00141F7B" w14:paraId="63C07014" w14:textId="77777777" w:rsidTr="00B7354C">
        <w:trPr>
          <w:cantSplit/>
          <w:trHeight w:val="390"/>
        </w:trPr>
        <w:tc>
          <w:tcPr>
            <w:tcW w:w="1564" w:type="dxa"/>
            <w:tcBorders>
              <w:bottom w:val="single" w:sz="4" w:space="0" w:color="auto"/>
            </w:tcBorders>
          </w:tcPr>
          <w:p w14:paraId="6F099A49" w14:textId="20F89653" w:rsidR="00D67B8A" w:rsidRDefault="00D67B8A" w:rsidP="00D67B8A">
            <w:r>
              <w:t>Wickens et al 2017</w:t>
            </w:r>
            <w:r>
              <w:fldChar w:fldCharType="begin">
                <w:fldData xml:space="preserve">PEVuZE5vdGU+PENpdGU+PEF1dGhvcj5XaWNrZW5zPC9BdXRob3I+PFllYXI+MjAxNzwvWWVhcj48
UmVjTnVtPjE2NzU8L1JlY051bT48RGlzcGxheVRleHQ+PHN0eWxlIGZhY2U9InN1cGVyc2NyaXB0
IiBmb250PSJUcmVidWNoZXQgTVMiIHNpemU9IjkiPjIzNzwvc3R5bGU+PC9EaXNwbGF5VGV4dD48
cmVjb3JkPjxyZWMtbnVtYmVyPjE2NzU8L3JlYy1udW1iZXI+PGZvcmVpZ24ta2V5cz48a2V5IGFw
cD0iRU4iIGRiLWlkPSJleHZhc3JmeDJkdHJhb2VzYXN4cDJzenN4YTJkZjUwMjU5MngiIHRpbWVz
dGFtcD0iMTU4MTMxMjg4MCI+MTY3NTwva2V5PjxrZXkgYXBwPSJFTldlYiIgZGItaWQ9IiI+MDwv
a2V5PjwvZm9yZWlnbi1rZXlzPjxyZWYtdHlwZSBuYW1lPSJKb3VybmFsIEFydGljbGUiPjE3PC9y
ZWYtdHlwZT48Y29udHJpYnV0b3JzPjxhdXRob3JzPjxhdXRob3I+V2lja2VucywgSy4gTC48L2F1
dGhvcj48YXV0aG9yPkJhcnRob3csIEMuIEEuPC9hdXRob3I+PGF1dGhvcj5NdXJwaHksIFIuPC9h
dXRob3I+PGF1dGhvcj5BYmVscywgUC4gUi48L2F1dGhvcj48YXV0aG9yPk1hdWRlLCBSLiBNLjwv
YXV0aG9yPjxhdXRob3I+U3RvbmUsIFAuIFIuPC9hdXRob3I+PGF1dGhvcj5NaXRjaGVsbCwgRS4g
QS48L2F1dGhvcj48YXV0aG9yPlN0YW5sZXksIFQuIFYuPC9hdXRob3I+PGF1dGhvcj5QdXJkaWUs
IEcuIEwuPC9hdXRob3I+PGF1dGhvcj5LYW5nLCBKLiBNLjwvYXV0aG9yPjxhdXRob3I+SG9vZCwg
Ri4gRS48L2F1dGhvcj48YXV0aG9yPlJvd2RlbiwgSi4gTC48L2F1dGhvcj48YXV0aG9yPkJhcm5l
cywgUC4gSy48L2F1dGhvcj48YXV0aG9yPkZpdHpoYXJyaXMsIFAuIEYuPC9hdXRob3I+PGF1dGhv
cj5DcmFuZSwgSi48L2F1dGhvcj48L2F1dGhvcnM+PC9jb250cmlidXRvcnM+PGF1dGgtYWRkcmVz
cz4xVW5pdmVyc2l0eSBvZiBPdGFnbyxXZWxsaW5ndG9uIDYwMjEsTmV3IFplYWxhbmQuJiN4RDsy
VW5pdmVyc2l0eSBvZiBBdWNrbGFuZCxBdWNrbGFuZCAxMTQyLE5ldyBaZWFsYW5kLiYjeEQ7NFZp
Y3RvcmlhIFVuaXZlcnNpdHksV2VsbGluZ3RvbiA2MDIxLE5ldyBaZWFsYW5kLiYjeEQ7NUF1Y2ts
YW5kIEhvc3BpdGFsLEF1Y2tsYW5kIDExNDIsTmV3IFplYWxhbmQuPC9hdXRoLWFkZHJlc3M+PHRp
dGxlcz48dGl0bGU+RWFybHkgcHJlZ25hbmN5IHByb2Jpb3RpYyBzdXBwbGVtZW50YXRpb24gd2l0
aCBMYWN0b2JhY2lsbHVzIHJoYW1ub3N1cyBITjAwMSBtYXkgcmVkdWNlIHRoZSBwcmV2YWxlbmNl
IG9mIGdlc3RhdGlvbmFsIGRpYWJldGVzIG1lbGxpdHVzOiBhIHJhbmRvbWlzZWQgY29udHJvbGxl
ZCB0cmlhbDwvdGl0bGU+PHNlY29uZGFyeS10aXRsZT5CciBKIE51dHI8L3NlY29uZGFyeS10aXRs
ZT48L3RpdGxlcz48cGVyaW9kaWNhbD48ZnVsbC10aXRsZT5CciBKIE51dHI8L2Z1bGwtdGl0bGU+
PC9wZXJpb2RpY2FsPjxwYWdlcz44MDQtODEzPC9wYWdlcz48dm9sdW1lPjExNzwvdm9sdW1lPjxu
dW1iZXI+NjwvbnVtYmVyPjxlZGl0aW9uPjIwMTcvMDQvMDQ8L2VkaXRpb24+PGtleXdvcmRzPjxr
ZXl3b3JkPkFkdWx0PC9rZXl3b3JkPjxrZXl3b3JkPkJsb29kIEdsdWNvc2UvKm1ldGFib2xpc208
L2tleXdvcmQ+PGtleXdvcmQ+RGlhYmV0ZXMsIEdlc3RhdGlvbmFsL2Jsb29kLypwcmV2ZW50aW9u
ICZhbXA7IGNvbnRyb2w8L2tleXdvcmQ+PGtleXdvcmQ+RG91YmxlLUJsaW5kIE1ldGhvZDwva2V5
d29yZD48a2V5d29yZD5GZW1hbGU8L2tleXdvcmQ+PGtleXdvcmQ+SHVtYW5zPC9rZXl3b3JkPjxr
ZXl3b3JkPipMYWN0b2JhY2lsbHVzIHJoYW1ub3N1czwva2V5d29yZD48a2V5d29yZD5OZXcgWmVh
bGFuZC9lcGlkZW1pb2xvZ3k8L2tleXdvcmQ+PGtleXdvcmQ+UHJlZ25hbmN5PC9rZXl3b3JkPjxr
ZXl3b3JkPlByZXZhbGVuY2U8L2tleXdvcmQ+PGtleXdvcmQ+UHJvYmlvdGljcy8qdGhlcmFwZXV0
aWMgdXNlPC9rZXl3b3JkPjxrZXl3b3JkPkxhY3RvYmFjaWxsdXMgcmhhbW5vc3VzIEhOMDAxPC9r
ZXl3b3JkPjxrZXl3b3JkPkZvbnRlcnJhIEZvbnRlcnJhIENvLW9wZXJhdGl2ZSBHcm91cCBMdGQ8
L2tleXdvcmQ+PGtleXdvcmQ+R0RNIGdlc3RhdGlvbmFsIGRpYWJldGVzIG1lbGxpdHVzPC9rZXl3
b3JkPjxrZXl3b3JkPkdUVCBnbHVjb3NlIHRvbGVyYW5jZSB0ZXN0PC9rZXl3b3JkPjxrZXl3b3Jk
PkhOMDAxIExhY3RvYmFjaWxsdXMgcmhhbW5vc3VzIEhOMDAxPC9rZXl3b3JkPjxrZXl3b3JkPklB
RFBTRyBJbnRlcm5hdGlvbmFsIEFzc29jaWF0aW9uIG9mIERpYWJldGVzIGFuZCBQcmVnbmFuY3kg
U3R1ZHkgR3JvdXA8L2tleXdvcmQ+PGtleXdvcmQ+TlogTmV3IFplYWxhbmQ8L2tleXdvcmQ+PGtl
eXdvcmQ+UlIgcmVsYXRpdmUgcmF0ZTwva2V5d29yZD48a2V5d29yZD5HZXN0YXRpb25hbCBkaWFi
ZXRlcyBtZWxsaXR1czwva2V5d29yZD48a2V5d29yZD5Qcm9iaW90aWNzPC9rZXl3b3JkPjxrZXl3
b3JkPlJhbmRvbWlzZWQgY29udHJvbGxlZCB0cmlhbHM8L2tleXdvcmQ+PC9rZXl3b3Jkcz48ZGF0
ZXM+PHllYXI+MjAxNzwveWVhcj48cHViLWRhdGVzPjxkYXRlPk1hcjwvZGF0ZT48L3B1Yi1kYXRl
cz48L2RhdGVzPjxpc2JuPjE0NzUtMjY2MiAoRWxlY3Ryb25pYykmI3hEOzAwMDctMTE0NSAoTGlu
a2luZyk8L2lzYm4+PGFjY2Vzc2lvbi1udW0+MjgzNjc3NjU8L2FjY2Vzc2lvbi1udW0+PHVybHM+
PHJlbGF0ZWQtdXJscz48dXJsPmh0dHBzOi8vd3d3Lm5jYmkubmxtLm5paC5nb3YvcHVibWVkLzI4
MzY3NzY1PC91cmw+PC9yZWxhdGVkLXVybHM+PC91cmxzPjxjdXN0b20yPlBNQzU0MjYzMjI8L2N1
c3RvbTI+PGVsZWN0cm9uaWMtcmVzb3VyY2UtbnVtPjEwLjEwMTcvUzAwMDcxMTQ1MTcwMDAyODk8
L2VsZWN0cm9uaWMtcmVzb3VyY2UtbnVtPjwvcmVjb3JkPjwvQ2l0ZT48L0VuZE5vdGU+AG==
</w:fldData>
              </w:fldChar>
            </w:r>
            <w:r w:rsidR="002747EA">
              <w:instrText xml:space="preserve"> ADDIN EN.CITE </w:instrText>
            </w:r>
            <w:r w:rsidR="002747EA">
              <w:fldChar w:fldCharType="begin">
                <w:fldData xml:space="preserve">PEVuZE5vdGU+PENpdGU+PEF1dGhvcj5XaWNrZW5zPC9BdXRob3I+PFllYXI+MjAxNzwvWWVhcj48
UmVjTnVtPjE2NzU8L1JlY051bT48RGlzcGxheVRleHQ+PHN0eWxlIGZhY2U9InN1cGVyc2NyaXB0
IiBmb250PSJUcmVidWNoZXQgTVMiIHNpemU9IjkiPjIzNzwvc3R5bGU+PC9EaXNwbGF5VGV4dD48
cmVjb3JkPjxyZWMtbnVtYmVyPjE2NzU8L3JlYy1udW1iZXI+PGZvcmVpZ24ta2V5cz48a2V5IGFw
cD0iRU4iIGRiLWlkPSJleHZhc3JmeDJkdHJhb2VzYXN4cDJzenN4YTJkZjUwMjU5MngiIHRpbWVz
dGFtcD0iMTU4MTMxMjg4MCI+MTY3NTwva2V5PjxrZXkgYXBwPSJFTldlYiIgZGItaWQ9IiI+MDwv
a2V5PjwvZm9yZWlnbi1rZXlzPjxyZWYtdHlwZSBuYW1lPSJKb3VybmFsIEFydGljbGUiPjE3PC9y
ZWYtdHlwZT48Y29udHJpYnV0b3JzPjxhdXRob3JzPjxhdXRob3I+V2lja2VucywgSy4gTC48L2F1
dGhvcj48YXV0aG9yPkJhcnRob3csIEMuIEEuPC9hdXRob3I+PGF1dGhvcj5NdXJwaHksIFIuPC9h
dXRob3I+PGF1dGhvcj5BYmVscywgUC4gUi48L2F1dGhvcj48YXV0aG9yPk1hdWRlLCBSLiBNLjwv
YXV0aG9yPjxhdXRob3I+U3RvbmUsIFAuIFIuPC9hdXRob3I+PGF1dGhvcj5NaXRjaGVsbCwgRS4g
QS48L2F1dGhvcj48YXV0aG9yPlN0YW5sZXksIFQuIFYuPC9hdXRob3I+PGF1dGhvcj5QdXJkaWUs
IEcuIEwuPC9hdXRob3I+PGF1dGhvcj5LYW5nLCBKLiBNLjwvYXV0aG9yPjxhdXRob3I+SG9vZCwg
Ri4gRS48L2F1dGhvcj48YXV0aG9yPlJvd2RlbiwgSi4gTC48L2F1dGhvcj48YXV0aG9yPkJhcm5l
cywgUC4gSy48L2F1dGhvcj48YXV0aG9yPkZpdHpoYXJyaXMsIFAuIEYuPC9hdXRob3I+PGF1dGhv
cj5DcmFuZSwgSi48L2F1dGhvcj48L2F1dGhvcnM+PC9jb250cmlidXRvcnM+PGF1dGgtYWRkcmVz
cz4xVW5pdmVyc2l0eSBvZiBPdGFnbyxXZWxsaW5ndG9uIDYwMjEsTmV3IFplYWxhbmQuJiN4RDsy
VW5pdmVyc2l0eSBvZiBBdWNrbGFuZCxBdWNrbGFuZCAxMTQyLE5ldyBaZWFsYW5kLiYjeEQ7NFZp
Y3RvcmlhIFVuaXZlcnNpdHksV2VsbGluZ3RvbiA2MDIxLE5ldyBaZWFsYW5kLiYjeEQ7NUF1Y2ts
YW5kIEhvc3BpdGFsLEF1Y2tsYW5kIDExNDIsTmV3IFplYWxhbmQuPC9hdXRoLWFkZHJlc3M+PHRp
dGxlcz48dGl0bGU+RWFybHkgcHJlZ25hbmN5IHByb2Jpb3RpYyBzdXBwbGVtZW50YXRpb24gd2l0
aCBMYWN0b2JhY2lsbHVzIHJoYW1ub3N1cyBITjAwMSBtYXkgcmVkdWNlIHRoZSBwcmV2YWxlbmNl
IG9mIGdlc3RhdGlvbmFsIGRpYWJldGVzIG1lbGxpdHVzOiBhIHJhbmRvbWlzZWQgY29udHJvbGxl
ZCB0cmlhbDwvdGl0bGU+PHNlY29uZGFyeS10aXRsZT5CciBKIE51dHI8L3NlY29uZGFyeS10aXRs
ZT48L3RpdGxlcz48cGVyaW9kaWNhbD48ZnVsbC10aXRsZT5CciBKIE51dHI8L2Z1bGwtdGl0bGU+
PC9wZXJpb2RpY2FsPjxwYWdlcz44MDQtODEzPC9wYWdlcz48dm9sdW1lPjExNzwvdm9sdW1lPjxu
dW1iZXI+NjwvbnVtYmVyPjxlZGl0aW9uPjIwMTcvMDQvMDQ8L2VkaXRpb24+PGtleXdvcmRzPjxr
ZXl3b3JkPkFkdWx0PC9rZXl3b3JkPjxrZXl3b3JkPkJsb29kIEdsdWNvc2UvKm1ldGFib2xpc208
L2tleXdvcmQ+PGtleXdvcmQ+RGlhYmV0ZXMsIEdlc3RhdGlvbmFsL2Jsb29kLypwcmV2ZW50aW9u
ICZhbXA7IGNvbnRyb2w8L2tleXdvcmQ+PGtleXdvcmQ+RG91YmxlLUJsaW5kIE1ldGhvZDwva2V5
d29yZD48a2V5d29yZD5GZW1hbGU8L2tleXdvcmQ+PGtleXdvcmQ+SHVtYW5zPC9rZXl3b3JkPjxr
ZXl3b3JkPipMYWN0b2JhY2lsbHVzIHJoYW1ub3N1czwva2V5d29yZD48a2V5d29yZD5OZXcgWmVh
bGFuZC9lcGlkZW1pb2xvZ3k8L2tleXdvcmQ+PGtleXdvcmQ+UHJlZ25hbmN5PC9rZXl3b3JkPjxr
ZXl3b3JkPlByZXZhbGVuY2U8L2tleXdvcmQ+PGtleXdvcmQ+UHJvYmlvdGljcy8qdGhlcmFwZXV0
aWMgdXNlPC9rZXl3b3JkPjxrZXl3b3JkPkxhY3RvYmFjaWxsdXMgcmhhbW5vc3VzIEhOMDAxPC9r
ZXl3b3JkPjxrZXl3b3JkPkZvbnRlcnJhIEZvbnRlcnJhIENvLW9wZXJhdGl2ZSBHcm91cCBMdGQ8
L2tleXdvcmQ+PGtleXdvcmQ+R0RNIGdlc3RhdGlvbmFsIGRpYWJldGVzIG1lbGxpdHVzPC9rZXl3
b3JkPjxrZXl3b3JkPkdUVCBnbHVjb3NlIHRvbGVyYW5jZSB0ZXN0PC9rZXl3b3JkPjxrZXl3b3Jk
PkhOMDAxIExhY3RvYmFjaWxsdXMgcmhhbW5vc3VzIEhOMDAxPC9rZXl3b3JkPjxrZXl3b3JkPklB
RFBTRyBJbnRlcm5hdGlvbmFsIEFzc29jaWF0aW9uIG9mIERpYWJldGVzIGFuZCBQcmVnbmFuY3kg
U3R1ZHkgR3JvdXA8L2tleXdvcmQ+PGtleXdvcmQ+TlogTmV3IFplYWxhbmQ8L2tleXdvcmQ+PGtl
eXdvcmQ+UlIgcmVsYXRpdmUgcmF0ZTwva2V5d29yZD48a2V5d29yZD5HZXN0YXRpb25hbCBkaWFi
ZXRlcyBtZWxsaXR1czwva2V5d29yZD48a2V5d29yZD5Qcm9iaW90aWNzPC9rZXl3b3JkPjxrZXl3
b3JkPlJhbmRvbWlzZWQgY29udHJvbGxlZCB0cmlhbHM8L2tleXdvcmQ+PC9rZXl3b3Jkcz48ZGF0
ZXM+PHllYXI+MjAxNzwveWVhcj48cHViLWRhdGVzPjxkYXRlPk1hcjwvZGF0ZT48L3B1Yi1kYXRl
cz48L2RhdGVzPjxpc2JuPjE0NzUtMjY2MiAoRWxlY3Ryb25pYykmI3hEOzAwMDctMTE0NSAoTGlu
a2luZyk8L2lzYm4+PGFjY2Vzc2lvbi1udW0+MjgzNjc3NjU8L2FjY2Vzc2lvbi1udW0+PHVybHM+
PHJlbGF0ZWQtdXJscz48dXJsPmh0dHBzOi8vd3d3Lm5jYmkubmxtLm5paC5nb3YvcHVibWVkLzI4
MzY3NzY1PC91cmw+PC9yZWxhdGVkLXVybHM+PC91cmxzPjxjdXN0b20yPlBNQzU0MjYzMjI8L2N1
c3RvbTI+PGVsZWN0cm9uaWMtcmVzb3VyY2UtbnVtPjEwLjEwMTcvUzAwMDcxMTQ1MTcwMDAyODk8
L2VsZWN0cm9uaWMtcmVzb3VyY2UtbnVtPjwvcmVjb3JkPjwvQ2l0ZT48L0VuZE5vdGU+AG==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237</w:t>
            </w:r>
            <w:r>
              <w:fldChar w:fldCharType="end"/>
            </w:r>
          </w:p>
          <w:p w14:paraId="040530B1" w14:textId="5E70E2A5" w:rsidR="00D67B8A" w:rsidRDefault="00D67B8A" w:rsidP="00D67B8A">
            <w:r>
              <w:t>New Zealand</w:t>
            </w:r>
          </w:p>
        </w:tc>
        <w:tc>
          <w:tcPr>
            <w:tcW w:w="1417" w:type="dxa"/>
            <w:tcBorders>
              <w:bottom w:val="single" w:sz="4" w:space="0" w:color="auto"/>
            </w:tcBorders>
          </w:tcPr>
          <w:p w14:paraId="5E11F37A" w14:textId="77777777" w:rsidR="00D67B8A" w:rsidRDefault="00D67B8A" w:rsidP="00DA5DC5">
            <w:r>
              <w:t>Intervention 212</w:t>
            </w:r>
          </w:p>
          <w:p w14:paraId="56299818" w14:textId="7E5A56A6" w:rsidR="00D67B8A" w:rsidRDefault="00D67B8A" w:rsidP="00DA5DC5">
            <w:r>
              <w:t>Control 211</w:t>
            </w:r>
          </w:p>
        </w:tc>
        <w:tc>
          <w:tcPr>
            <w:tcW w:w="4532" w:type="dxa"/>
            <w:tcBorders>
              <w:bottom w:val="single" w:sz="4" w:space="0" w:color="auto"/>
            </w:tcBorders>
          </w:tcPr>
          <w:p w14:paraId="5950F925" w14:textId="77777777" w:rsidR="00D67B8A" w:rsidRDefault="00D67B8A" w:rsidP="00D67B8A">
            <w:r w:rsidRPr="00D67B8A">
              <w:rPr>
                <w:b/>
              </w:rPr>
              <w:t>Aim</w:t>
            </w:r>
            <w:r>
              <w:t>: T</w:t>
            </w:r>
            <w:r w:rsidRPr="00D67B8A">
              <w:t xml:space="preserve">o assess whether supplementation with the probiotic Lactobacillus rhamnosus HN001 (HN001) can reduce the prevalence of gestational diabetes mellitus (GDM). </w:t>
            </w:r>
          </w:p>
          <w:p w14:paraId="2704392F" w14:textId="77777777" w:rsidR="00D67B8A" w:rsidRDefault="00D67B8A" w:rsidP="00D67B8A">
            <w:r w:rsidRPr="00D67B8A">
              <w:rPr>
                <w:b/>
              </w:rPr>
              <w:t>Population</w:t>
            </w:r>
            <w:r>
              <w:t xml:space="preserve">: </w:t>
            </w:r>
            <w:r w:rsidRPr="00D67B8A">
              <w:t>Pregnant women with a personal or pa</w:t>
            </w:r>
            <w:r>
              <w:t>rtner history of atopic disease.</w:t>
            </w:r>
          </w:p>
          <w:p w14:paraId="14BCA77D" w14:textId="54D81FEA" w:rsidR="00D67B8A" w:rsidRPr="00D245C4" w:rsidRDefault="00D67B8A" w:rsidP="00D67B8A">
            <w:pPr>
              <w:rPr>
                <w:b/>
              </w:rPr>
            </w:pPr>
            <w:r w:rsidRPr="00D67B8A">
              <w:rPr>
                <w:b/>
              </w:rPr>
              <w:t>Intervention</w:t>
            </w:r>
            <w:r>
              <w:t xml:space="preserve">: Women </w:t>
            </w:r>
            <w:r w:rsidRPr="00D67B8A">
              <w:t xml:space="preserve">were randomised at 14-16 weeks' gestation to receive HN001 (6x109 colony-forming units) or placebo daily. </w:t>
            </w:r>
          </w:p>
        </w:tc>
        <w:tc>
          <w:tcPr>
            <w:tcW w:w="4536" w:type="dxa"/>
            <w:tcBorders>
              <w:bottom w:val="single" w:sz="4" w:space="0" w:color="auto"/>
            </w:tcBorders>
          </w:tcPr>
          <w:p w14:paraId="5DEDF2EB" w14:textId="77777777" w:rsidR="00D67B8A" w:rsidRDefault="00D67B8A" w:rsidP="00D67B8A">
            <w:r>
              <w:t>Intervention vs control:</w:t>
            </w:r>
          </w:p>
          <w:p w14:paraId="79E3DB67" w14:textId="77777777" w:rsidR="00D67B8A" w:rsidRDefault="00D67B8A" w:rsidP="00D67B8A">
            <w:pPr>
              <w:pStyle w:val="bullet"/>
            </w:pPr>
            <w:r>
              <w:t>Gestational diabetes: 15/184 vs 26/189</w:t>
            </w:r>
          </w:p>
          <w:p w14:paraId="001E3934" w14:textId="77777777" w:rsidR="00D67B8A" w:rsidRDefault="00D67B8A" w:rsidP="00D67B8A">
            <w:pPr>
              <w:pStyle w:val="bullet"/>
            </w:pPr>
            <w:r>
              <w:t>Caesarean section: 57/206 vs 51/201</w:t>
            </w:r>
          </w:p>
          <w:p w14:paraId="6A27994B" w14:textId="77777777" w:rsidR="00D67B8A" w:rsidRDefault="00D67B8A" w:rsidP="00D67B8A">
            <w:pPr>
              <w:pStyle w:val="bullet"/>
            </w:pPr>
            <w:r>
              <w:t>Preterm birth &lt;37 weeks: 16/205 vs 8/201</w:t>
            </w:r>
          </w:p>
          <w:p w14:paraId="247226ED" w14:textId="4865332E" w:rsidR="00D67B8A" w:rsidRPr="00D67B8A" w:rsidRDefault="00D67B8A" w:rsidP="00D67B8A">
            <w:pPr>
              <w:pStyle w:val="bullet"/>
            </w:pPr>
            <w:r>
              <w:t>Macrosomia &gt;4,000g: 46/205 vs 32/202</w:t>
            </w:r>
          </w:p>
        </w:tc>
        <w:tc>
          <w:tcPr>
            <w:tcW w:w="1843" w:type="dxa"/>
            <w:tcBorders>
              <w:bottom w:val="single" w:sz="4" w:space="0" w:color="auto"/>
            </w:tcBorders>
          </w:tcPr>
          <w:p w14:paraId="4A4C14A2" w14:textId="77777777" w:rsidR="00D67B8A" w:rsidRPr="00141F7B" w:rsidRDefault="00D67B8A" w:rsidP="00DA5DC5"/>
        </w:tc>
      </w:tr>
    </w:tbl>
    <w:p w14:paraId="5D6EF2CD" w14:textId="3DE5ABB0" w:rsidR="0036555D" w:rsidRDefault="009C163D" w:rsidP="00BD61CC">
      <w:pPr>
        <w:pStyle w:val="TableName"/>
        <w:ind w:left="1134" w:hanging="1134"/>
      </w:pPr>
      <w:bookmarkStart w:id="112" w:name="_Toc40956640"/>
      <w:r>
        <w:t xml:space="preserve">Q4 </w:t>
      </w:r>
      <w:r w:rsidR="0036555D">
        <w:t xml:space="preserve">Summary of RCTs included in the </w:t>
      </w:r>
      <w:r w:rsidR="00211DB2">
        <w:t xml:space="preserve">probiotics </w:t>
      </w:r>
      <w:r w:rsidR="0036555D">
        <w:t>meta-analysis</w:t>
      </w:r>
      <w:bookmarkEnd w:id="112"/>
    </w:p>
    <w:tbl>
      <w:tblPr>
        <w:tblStyle w:val="TableGrid"/>
        <w:tblW w:w="0" w:type="auto"/>
        <w:tblInd w:w="107" w:type="dxa"/>
        <w:tblBorders>
          <w:left w:val="single" w:sz="4" w:space="0" w:color="auto"/>
          <w:right w:val="single" w:sz="4" w:space="0" w:color="auto"/>
          <w:insideV w:val="single" w:sz="4" w:space="0" w:color="auto"/>
        </w:tblBorders>
        <w:tblLook w:val="04A0" w:firstRow="1" w:lastRow="0" w:firstColumn="1" w:lastColumn="0" w:noHBand="0" w:noVBand="1"/>
        <w:tblCaption w:val="Table 62: Q4 Summary of RCTs included in the probiotics meta-analysis'"/>
      </w:tblPr>
      <w:tblGrid>
        <w:gridCol w:w="2306"/>
        <w:gridCol w:w="2656"/>
        <w:gridCol w:w="4536"/>
        <w:gridCol w:w="2551"/>
        <w:gridCol w:w="1843"/>
      </w:tblGrid>
      <w:tr w:rsidR="0036555D" w:rsidRPr="005D55C3" w14:paraId="0428B984" w14:textId="77777777" w:rsidTr="00E760BE">
        <w:trPr>
          <w:tblHeader/>
        </w:trPr>
        <w:tc>
          <w:tcPr>
            <w:tcW w:w="2306" w:type="dxa"/>
          </w:tcPr>
          <w:p w14:paraId="04657F2A" w14:textId="77777777" w:rsidR="0036555D" w:rsidRPr="005D55C3" w:rsidRDefault="0036555D" w:rsidP="00E760BE">
            <w:pPr>
              <w:keepNext/>
              <w:rPr>
                <w:b/>
              </w:rPr>
            </w:pPr>
            <w:r w:rsidRPr="005D55C3">
              <w:rPr>
                <w:b/>
              </w:rPr>
              <w:t>Reference</w:t>
            </w:r>
          </w:p>
        </w:tc>
        <w:tc>
          <w:tcPr>
            <w:tcW w:w="2656" w:type="dxa"/>
          </w:tcPr>
          <w:p w14:paraId="44CC15D2" w14:textId="77777777" w:rsidR="0036555D" w:rsidRPr="005D55C3" w:rsidRDefault="0036555D" w:rsidP="00E760BE">
            <w:pPr>
              <w:keepNext/>
              <w:rPr>
                <w:b/>
              </w:rPr>
            </w:pPr>
            <w:r w:rsidRPr="005D55C3">
              <w:rPr>
                <w:b/>
              </w:rPr>
              <w:t>Population</w:t>
            </w:r>
          </w:p>
        </w:tc>
        <w:tc>
          <w:tcPr>
            <w:tcW w:w="4536" w:type="dxa"/>
          </w:tcPr>
          <w:p w14:paraId="646DEF88" w14:textId="77777777" w:rsidR="0036555D" w:rsidRPr="005D55C3" w:rsidRDefault="0036555D" w:rsidP="00E760BE">
            <w:pPr>
              <w:keepNext/>
              <w:rPr>
                <w:b/>
              </w:rPr>
            </w:pPr>
            <w:r w:rsidRPr="005D55C3">
              <w:rPr>
                <w:b/>
              </w:rPr>
              <w:t>Probiotic</w:t>
            </w:r>
          </w:p>
        </w:tc>
        <w:tc>
          <w:tcPr>
            <w:tcW w:w="2551" w:type="dxa"/>
          </w:tcPr>
          <w:p w14:paraId="688B10DE" w14:textId="77777777" w:rsidR="0036555D" w:rsidRPr="005D55C3" w:rsidRDefault="0036555D" w:rsidP="00E760BE">
            <w:pPr>
              <w:keepNext/>
              <w:rPr>
                <w:b/>
              </w:rPr>
            </w:pPr>
            <w:r w:rsidRPr="005D55C3">
              <w:rPr>
                <w:b/>
              </w:rPr>
              <w:t>Timing</w:t>
            </w:r>
            <w:r>
              <w:rPr>
                <w:b/>
              </w:rPr>
              <w:t xml:space="preserve"> </w:t>
            </w:r>
          </w:p>
        </w:tc>
        <w:tc>
          <w:tcPr>
            <w:tcW w:w="1843" w:type="dxa"/>
          </w:tcPr>
          <w:p w14:paraId="3A12F408" w14:textId="77777777" w:rsidR="0036555D" w:rsidRPr="005D55C3" w:rsidRDefault="0036555D" w:rsidP="00E760BE">
            <w:pPr>
              <w:keepNext/>
              <w:rPr>
                <w:b/>
              </w:rPr>
            </w:pPr>
            <w:r w:rsidRPr="005D55C3">
              <w:rPr>
                <w:b/>
              </w:rPr>
              <w:t>Duration</w:t>
            </w:r>
          </w:p>
        </w:tc>
      </w:tr>
      <w:tr w:rsidR="0036555D" w14:paraId="6B1E4CF8" w14:textId="77777777" w:rsidTr="00E760BE">
        <w:trPr>
          <w:cantSplit/>
        </w:trPr>
        <w:tc>
          <w:tcPr>
            <w:tcW w:w="2306" w:type="dxa"/>
          </w:tcPr>
          <w:p w14:paraId="1CCEB698" w14:textId="566C52DE" w:rsidR="0036555D" w:rsidRDefault="0036555D" w:rsidP="00E760BE">
            <w:pPr>
              <w:keepNext/>
            </w:pPr>
            <w:r>
              <w:t>Abrahamsson et al 2007</w:t>
            </w:r>
            <w:r w:rsidR="00AB21E2">
              <w:fldChar w:fldCharType="begin"/>
            </w:r>
            <w:r w:rsidR="002747EA">
              <w:instrText xml:space="preserve"> ADDIN EN.CITE &lt;EndNote&gt;&lt;Cite&gt;&lt;Author&gt;Abrahamsson&lt;/Author&gt;&lt;Year&gt;2007&lt;/Year&gt;&lt;RecNum&gt;1683&lt;/RecNum&gt;&lt;DisplayText&gt;&lt;style face="superscript" font="Trebuchet MS" size="9"&gt;246&lt;/style&gt;&lt;/DisplayText&gt;&lt;record&gt;&lt;rec-number&gt;1683&lt;/rec-number&gt;&lt;foreign-keys&gt;&lt;key app="EN" db-id="exvasrfx2dtraoesasxp2szsxa2df502592x" timestamp="1581832076"&gt;1683&lt;/key&gt;&lt;/foreign-keys&gt;&lt;ref-type name="Journal Article"&gt;17&lt;/ref-type&gt;&lt;contributors&gt;&lt;authors&gt;&lt;author&gt;Abrahamsson, T. R.&lt;/author&gt;&lt;author&gt;Jakobsson, T.&lt;/author&gt;&lt;author&gt;Bottcher, M. F.&lt;/author&gt;&lt;author&gt;Fredrikson, M.&lt;/author&gt;&lt;author&gt;Jenmalm, M. C.&lt;/author&gt;&lt;author&gt;Bjorksten, B.&lt;/author&gt;&lt;author&gt;Oldaeus, G.&lt;/author&gt;&lt;/authors&gt;&lt;/contributors&gt;&lt;auth-address&gt;Department of Molecular and Clinical Medicine, Division of Pediatrics, Linkoping University, Sweden. Thomas.Abrahamsson@lio.se&lt;/auth-address&gt;&lt;titles&gt;&lt;title&gt;Probiotics in prevention of IgE-associated eczema: a double-blind, randomized, placebo-controlled trial&lt;/title&gt;&lt;secondary-title&gt;J Allergy Clin Immunol&lt;/secondary-title&gt;&lt;/titles&gt;&lt;periodical&gt;&lt;full-title&gt;J Allergy Clin Immunol&lt;/full-title&gt;&lt;/periodical&gt;&lt;pages&gt;1174-80&lt;/pages&gt;&lt;volume&gt;119&lt;/volume&gt;&lt;number&gt;5&lt;/number&gt;&lt;edition&gt;2007/03/14&lt;/edition&gt;&lt;keywords&gt;&lt;keyword&gt;Child, Preschool&lt;/keyword&gt;&lt;keyword&gt;Eczema/*prevention &amp;amp; control&lt;/keyword&gt;&lt;keyword&gt;Female&lt;/keyword&gt;&lt;keyword&gt;Humans&lt;/keyword&gt;&lt;keyword&gt;Hypersensitivity/*prevention &amp;amp; control&lt;/keyword&gt;&lt;keyword&gt;Immunoglobulin E/blood&lt;/keyword&gt;&lt;keyword&gt;Infant&lt;/keyword&gt;&lt;keyword&gt;Infant, Newborn&lt;/keyword&gt;&lt;keyword&gt;Lactobacillus reuteri/*immunology&lt;/keyword&gt;&lt;keyword&gt;Male&lt;/keyword&gt;&lt;keyword&gt;Pregnancy&lt;/keyword&gt;&lt;keyword&gt;Probiotics/*therapeutic use&lt;/keyword&gt;&lt;keyword&gt;Skin Tests&lt;/keyword&gt;&lt;/keywords&gt;&lt;dates&gt;&lt;year&gt;2007&lt;/year&gt;&lt;pub-dates&gt;&lt;date&gt;May&lt;/date&gt;&lt;/pub-dates&gt;&lt;/dates&gt;&lt;isbn&gt;0091-6749 (Print)&amp;#xD;0091-6749 (Linking)&lt;/isbn&gt;&lt;accession-num&gt;17349686&lt;/accession-num&gt;&lt;urls&gt;&lt;related-urls&gt;&lt;url&gt;https://www.ncbi.nlm.nih.gov/pubmed/17349686&lt;/url&gt;&lt;/related-urls&gt;&lt;/urls&gt;&lt;electronic-resource-num&gt;10.1016/j.jaci.2007.01.007&lt;/electronic-resource-num&gt;&lt;/record&gt;&lt;/Cite&gt;&lt;/EndNote&gt;</w:instrText>
            </w:r>
            <w:r w:rsidR="00AB21E2">
              <w:fldChar w:fldCharType="separate"/>
            </w:r>
            <w:r w:rsidR="002747EA" w:rsidRPr="002747EA">
              <w:rPr>
                <w:noProof/>
                <w:vertAlign w:val="superscript"/>
              </w:rPr>
              <w:t>246</w:t>
            </w:r>
            <w:r w:rsidR="00AB21E2">
              <w:fldChar w:fldCharType="end"/>
            </w:r>
          </w:p>
          <w:p w14:paraId="2961B1EE" w14:textId="413FB8D7" w:rsidR="00213BC6" w:rsidRDefault="00213BC6" w:rsidP="00E760BE">
            <w:pPr>
              <w:keepNext/>
            </w:pPr>
            <w:r>
              <w:t>Sweden</w:t>
            </w:r>
          </w:p>
        </w:tc>
        <w:tc>
          <w:tcPr>
            <w:tcW w:w="2656" w:type="dxa"/>
          </w:tcPr>
          <w:p w14:paraId="23F3BB0C" w14:textId="754E6CE5" w:rsidR="0036555D" w:rsidRDefault="0036555D" w:rsidP="00A476A9">
            <w:pPr>
              <w:keepNext/>
            </w:pPr>
            <w:r>
              <w:t>Women with a fetus at risk of allergies</w:t>
            </w:r>
            <w:r w:rsidR="00855446">
              <w:t>; n=</w:t>
            </w:r>
            <w:r w:rsidR="00A476A9">
              <w:t>232</w:t>
            </w:r>
          </w:p>
        </w:tc>
        <w:tc>
          <w:tcPr>
            <w:tcW w:w="4536" w:type="dxa"/>
          </w:tcPr>
          <w:p w14:paraId="585B8F0E" w14:textId="77777777" w:rsidR="0036555D" w:rsidRPr="006B3B32" w:rsidRDefault="0036555D" w:rsidP="00E760BE">
            <w:pPr>
              <w:keepNext/>
              <w:rPr>
                <w:i/>
              </w:rPr>
            </w:pPr>
            <w:r w:rsidRPr="006B3B32">
              <w:rPr>
                <w:i/>
              </w:rPr>
              <w:t>Lactobacillus reuteri</w:t>
            </w:r>
          </w:p>
        </w:tc>
        <w:tc>
          <w:tcPr>
            <w:tcW w:w="2551" w:type="dxa"/>
          </w:tcPr>
          <w:p w14:paraId="4B8BE1CE" w14:textId="77777777" w:rsidR="0036555D" w:rsidRDefault="0036555D" w:rsidP="00E760BE">
            <w:pPr>
              <w:keepNext/>
            </w:pPr>
            <w:r>
              <w:t>From 36 weeks until birth</w:t>
            </w:r>
          </w:p>
        </w:tc>
        <w:tc>
          <w:tcPr>
            <w:tcW w:w="1843" w:type="dxa"/>
          </w:tcPr>
          <w:p w14:paraId="50626DE2" w14:textId="77777777" w:rsidR="0036555D" w:rsidRDefault="0036555D" w:rsidP="00E760BE">
            <w:pPr>
              <w:keepNext/>
            </w:pPr>
            <w:r>
              <w:t>4 weeks</w:t>
            </w:r>
          </w:p>
        </w:tc>
      </w:tr>
      <w:tr w:rsidR="0036555D" w14:paraId="6819AED5" w14:textId="77777777" w:rsidTr="00E760BE">
        <w:trPr>
          <w:cantSplit/>
        </w:trPr>
        <w:tc>
          <w:tcPr>
            <w:tcW w:w="2306" w:type="dxa"/>
          </w:tcPr>
          <w:p w14:paraId="39F0765F" w14:textId="0771E3FB" w:rsidR="0036555D" w:rsidRDefault="0036555D" w:rsidP="00E760BE">
            <w:pPr>
              <w:keepNext/>
            </w:pPr>
            <w:r>
              <w:t>Badehnoosh et al 2018</w:t>
            </w:r>
            <w:r w:rsidR="00AB21E2">
              <w:fldChar w:fldCharType="begin">
                <w:fldData xml:space="preserve">PEVuZE5vdGU+PENpdGU+PEF1dGhvcj5CYWRlaG5vb3NoPC9BdXRob3I+PFllYXI+MjAxODwvWWVh
cj48UmVjTnVtPjE2ODQ8L1JlY051bT48RGlzcGxheVRleHQ+PHN0eWxlIGZhY2U9InN1cGVyc2Ny
aXB0IiBmb250PSJUcmVidWNoZXQgTVMiIHNpemU9IjkiPjI0Mzwvc3R5bGU+PC9EaXNwbGF5VGV4
dD48cmVjb3JkPjxyZWMtbnVtYmVyPjE2ODQ8L3JlYy1udW1iZXI+PGZvcmVpZ24ta2V5cz48a2V5
IGFwcD0iRU4iIGRiLWlkPSJleHZhc3JmeDJkdHJhb2VzYXN4cDJzenN4YTJkZjUwMjU5MngiIHRp
bWVzdGFtcD0iMTU4MTgzMjA3NiI+MTY4NDwva2V5PjwvZm9yZWlnbi1rZXlzPjxyZWYtdHlwZSBu
YW1lPSJKb3VybmFsIEFydGljbGUiPjE3PC9yZWYtdHlwZT48Y29udHJpYnV0b3JzPjxhdXRob3Jz
PjxhdXRob3I+QmFkZWhub29zaCwgQi48L2F1dGhvcj48YXV0aG9yPkthcmFtYWxpLCBNLjwvYXV0
aG9yPjxhdXRob3I+WmFycmF0aSwgTS48L2F1dGhvcj48YXV0aG9yPkphbWlsaWFuLCBNLjwvYXV0
aG9yPjxhdXRob3I+QmFobWFuaSwgRi48L2F1dGhvcj48YXV0aG9yPlRhamFiYWRpLUVicmFoaW1p
LCBNLjwvYXV0aG9yPjxhdXRob3I+SmFmYXJpLCBQLjwvYXV0aG9yPjxhdXRob3I+UmFobWFuaSwg
RS48L2F1dGhvcj48YXV0aG9yPkFzZW1pLCBaLjwvYXV0aG9yPjwvYXV0aG9ycz48L2NvbnRyaWJ1
dG9ycz48YXV0aC1hZGRyZXNzPmEgRGVwYXJ0bWVudCBvZiBHeW5lY29sb2d5IGFuZCBPYnN0ZXRy
aWNzICwgU2Nob29sIG9mIE1lZGljaW5lLCBBbGJvcnogVW5pdmVyc2l0eSBvZiBNZWRpY2FsIFNj
aWVuY2VzICwgS2FyYWogLCBJcmFuLiYjeEQ7YiBEZXBhcnRtZW50IG9mIEd5bmVjb2xvZ3kgYW5k
IE9ic3RldHJpY3MgLCBTY2hvb2wgb2YgTWVkaWNpbmUsIElyYW4gVW5pdmVyc2l0eSBvZiBNZWRp
Y2FsIFNjaWVuY2VzICwgVGVocmFuICwgSXJhbi4mI3hEO2MgRmFjdWx0eSBvZiBOdXRyaXRpb24g
LCBTY2hvb2wgb2YgUHVibGljIEhlYWx0aCwgSXJhbiBVbml2ZXJzaXR5IG9mIE1lZGljYWwgU2Np
ZW5jZXMgLCBUZWhyYW4gLCBJcmFuLiYjeEQ7ZCBFbmRvY3Jpbm9sb2d5IGFuZCBNZXRhYm9saXNt
IFJlc2VhcmNoIENlbnRlciwgQXJhayBVbml2ZXJzaXR5IG9mIE1lZGljYWwgU2NpZW5jZXMgLCBB
cmFrICwgSXJhbi4mI3hEO2UgUmVzZWFyY2ggQ2VudGVyIGZvciBCaW9jaGVtaXN0cnkgYW5kIE51
dHJpdGlvbiBpbiBNZXRhYm9saWMgRGlzZWFzZXMsIEthc2hhbiBVbml2ZXJzaXR5IG9mIE1lZGlj
YWwgU2NpZW5jZXMgLCBLYXNoYW4gLCBJcmFuLiYjeEQ7ZiBGYWN1bHR5IG1lbWJlciBvZiBTY2ll
bmNlIGRlcGFydG1lbnQsIFNjaWVuY2UgZmFjdWx0eSAsIElzbGFtaWMgQXphZCBVbml2ZXJzaXR5
ICwgVGVocmFuICwgSXJhbi4mI3hEO2cgRGVwYXJ0bWVudCBvZiBNaWNyb2Jpb2xvZ3ksIFNjaWVu
Y2UgZmFjdWx0eSAsIElzbGFtaWMgQXphZCBVbml2ZXJzaXR5ICwgQXJhayAsIElyYW4uJiN4RDto
IERlcGFydG1lbnQgb2YgR3luZWNvbG9neSBhbmQgT2JzdGV0cmljcyAsIFNjaG9vbCBvZiBNZWRp
Y2luZSwgQnVzaGVociBVbml2ZXJzaXR5IG9mIE1lZGljYWwgU2NpZW5jZXMgLCBCdXNoZWhyICwg
SXJhbi48L2F1dGgtYWRkcmVzcz48dGl0bGVzPjx0aXRsZT5UaGUgZWZmZWN0cyBvZiBwcm9iaW90
aWMgc3VwcGxlbWVudGF0aW9uIG9uIGJpb21hcmtlcnMgb2YgaW5mbGFtbWF0aW9uLCBveGlkYXRp
dmUgc3RyZXNzIGFuZCBwcmVnbmFuY3kgb3V0Y29tZXMgaW4gZ2VzdGF0aW9uYWwgZGlhYmV0ZXM8
L3RpdGxlPjxzZWNvbmRhcnktdGl0bGU+SiBNYXRlcm4gRmV0YWwgTmVvbmF0YWwgTWVkPC9zZWNv
bmRhcnktdGl0bGU+PC90aXRsZXM+PHBlcmlvZGljYWw+PGZ1bGwtdGl0bGU+SiBNYXRlcm4gRmV0
YWwgTmVvbmF0YWwgTWVkPC9mdWxsLXRpdGxlPjwvcGVyaW9kaWNhbD48cGFnZXM+MTEyOC0xMTM2
PC9wYWdlcz48dm9sdW1lPjMxPC92b2x1bWU+PG51bWJlcj45PC9udW1iZXI+PGVkaXRpb24+MjAx
Ny8wMy8yMzwvZWRpdGlvbj48a2V5d29yZHM+PGtleXdvcmQ+QWR1bHQ8L2tleXdvcmQ+PGtleXdv
cmQ+QmlvbWFya2Vycy8qYmxvb2Q8L2tleXdvcmQ+PGtleXdvcmQ+Qmxvb2QgR2x1Y29zZS9hbmFs
eXNpczwva2V5d29yZD48a2V5d29yZD5DLVJlYWN0aXZlIFByb3RlaW4vYW5hbHlzaXM8L2tleXdv
cmQ+PGtleXdvcmQ+RGlhYmV0ZXMsIEdlc3RhdGlvbmFsLypibG9vZDwva2V5d29yZD48a2V5d29y
ZD5EaWV0YXJ5IFN1cHBsZW1lbnRzPC9rZXl3b3JkPjxrZXl3b3JkPkRvdWJsZS1CbGluZCBNZXRo
b2Q8L2tleXdvcmQ+PGtleXdvcmQ+RmVtYWxlPC9rZXl3b3JkPjxrZXl3b3JkPkh1bWFuczwva2V5
d29yZD48a2V5d29yZD5JbmZsYW1tYXRpb24vKmJsb29kPC9rZXl3b3JkPjxrZXl3b3JkPk1hbG9u
ZGlhbGRlaHlkZS9ibG9vZDwva2V5d29yZD48a2V5d29yZD5PeGlkYXRpdmUgU3RyZXNzLypwaHlz
aW9sb2d5PC9rZXl3b3JkPjxrZXl3b3JkPlBsYWNlYm9zPC9rZXl3b3JkPjxrZXl3b3JkPlByZWdu
YW5jeTwva2V5d29yZD48a2V5d29yZD4qUHJlZ25hbmN5IE91dGNvbWU8L2tleXdvcmQ+PGtleXdv
cmQ+UHJvYmlvdGljcy8qYWRtaW5pc3RyYXRpb24gJmFtcDsgZG9zYWdlPC9rZXl3b3JkPjxrZXl3
b3JkPlByb2Jpb3RpYyBzdXBwbGVtZW50YXRpb248L2tleXdvcmQ+PGtleXdvcmQ+Z2VzdGF0aW9u
YWwgZGlhYmV0ZXM8L2tleXdvcmQ+PGtleXdvcmQ+cHJlZ25hbnQgd29tZW48L2tleXdvcmQ+PC9r
ZXl3b3Jkcz48ZGF0ZXM+PHllYXI+MjAxODwveWVhcj48cHViLWRhdGVzPjxkYXRlPk1heTwvZGF0
ZT48L3B1Yi1kYXRlcz48L2RhdGVzPjxpc2JuPjE0NzYtNDk1NCAoRWxlY3Ryb25pYykmI3hEOzE0
NzYtNDk1NCAoTGlua2luZyk8L2lzYm4+PGFjY2Vzc2lvbi1udW0+MjgzMjY4ODE8L2FjY2Vzc2lv
bi1udW0+PHVybHM+PHJlbGF0ZWQtdXJscz48dXJsPmh0dHBzOi8vd3d3Lm5jYmkubmxtLm5paC5n
b3YvcHVibWVkLzI4MzI2ODgxPC91cmw+PC9yZWxhdGVkLXVybHM+PC91cmxzPjxlbGVjdHJvbmlj
LXJlc291cmNlLW51bT4xMC4xMDgwLzE0NzY3MDU4LjIwMTcuMTMxMDE5MzwvZWxlY3Ryb25pYy1y
ZXNvdXJjZS1udW0+PC9yZWNvcmQ+PC9DaXRlPjwvRW5kTm90ZT5=
</w:fldData>
              </w:fldChar>
            </w:r>
            <w:r w:rsidR="002747EA">
              <w:instrText xml:space="preserve"> ADDIN EN.CITE </w:instrText>
            </w:r>
            <w:r w:rsidR="002747EA">
              <w:fldChar w:fldCharType="begin">
                <w:fldData xml:space="preserve">PEVuZE5vdGU+PENpdGU+PEF1dGhvcj5CYWRlaG5vb3NoPC9BdXRob3I+PFllYXI+MjAxODwvWWVh
cj48UmVjTnVtPjE2ODQ8L1JlY051bT48RGlzcGxheVRleHQ+PHN0eWxlIGZhY2U9InN1cGVyc2Ny
aXB0IiBmb250PSJUcmVidWNoZXQgTVMiIHNpemU9IjkiPjI0Mzwvc3R5bGU+PC9EaXNwbGF5VGV4
dD48cmVjb3JkPjxyZWMtbnVtYmVyPjE2ODQ8L3JlYy1udW1iZXI+PGZvcmVpZ24ta2V5cz48a2V5
IGFwcD0iRU4iIGRiLWlkPSJleHZhc3JmeDJkdHJhb2VzYXN4cDJzenN4YTJkZjUwMjU5MngiIHRp
bWVzdGFtcD0iMTU4MTgzMjA3NiI+MTY4NDwva2V5PjwvZm9yZWlnbi1rZXlzPjxyZWYtdHlwZSBu
YW1lPSJKb3VybmFsIEFydGljbGUiPjE3PC9yZWYtdHlwZT48Y29udHJpYnV0b3JzPjxhdXRob3Jz
PjxhdXRob3I+QmFkZWhub29zaCwgQi48L2F1dGhvcj48YXV0aG9yPkthcmFtYWxpLCBNLjwvYXV0
aG9yPjxhdXRob3I+WmFycmF0aSwgTS48L2F1dGhvcj48YXV0aG9yPkphbWlsaWFuLCBNLjwvYXV0
aG9yPjxhdXRob3I+QmFobWFuaSwgRi48L2F1dGhvcj48YXV0aG9yPlRhamFiYWRpLUVicmFoaW1p
LCBNLjwvYXV0aG9yPjxhdXRob3I+SmFmYXJpLCBQLjwvYXV0aG9yPjxhdXRob3I+UmFobWFuaSwg
RS48L2F1dGhvcj48YXV0aG9yPkFzZW1pLCBaLjwvYXV0aG9yPjwvYXV0aG9ycz48L2NvbnRyaWJ1
dG9ycz48YXV0aC1hZGRyZXNzPmEgRGVwYXJ0bWVudCBvZiBHeW5lY29sb2d5IGFuZCBPYnN0ZXRy
aWNzICwgU2Nob29sIG9mIE1lZGljaW5lLCBBbGJvcnogVW5pdmVyc2l0eSBvZiBNZWRpY2FsIFNj
aWVuY2VzICwgS2FyYWogLCBJcmFuLiYjeEQ7YiBEZXBhcnRtZW50IG9mIEd5bmVjb2xvZ3kgYW5k
IE9ic3RldHJpY3MgLCBTY2hvb2wgb2YgTWVkaWNpbmUsIElyYW4gVW5pdmVyc2l0eSBvZiBNZWRp
Y2FsIFNjaWVuY2VzICwgVGVocmFuICwgSXJhbi4mI3hEO2MgRmFjdWx0eSBvZiBOdXRyaXRpb24g
LCBTY2hvb2wgb2YgUHVibGljIEhlYWx0aCwgSXJhbiBVbml2ZXJzaXR5IG9mIE1lZGljYWwgU2Np
ZW5jZXMgLCBUZWhyYW4gLCBJcmFuLiYjeEQ7ZCBFbmRvY3Jpbm9sb2d5IGFuZCBNZXRhYm9saXNt
IFJlc2VhcmNoIENlbnRlciwgQXJhayBVbml2ZXJzaXR5IG9mIE1lZGljYWwgU2NpZW5jZXMgLCBB
cmFrICwgSXJhbi4mI3hEO2UgUmVzZWFyY2ggQ2VudGVyIGZvciBCaW9jaGVtaXN0cnkgYW5kIE51
dHJpdGlvbiBpbiBNZXRhYm9saWMgRGlzZWFzZXMsIEthc2hhbiBVbml2ZXJzaXR5IG9mIE1lZGlj
YWwgU2NpZW5jZXMgLCBLYXNoYW4gLCBJcmFuLiYjeEQ7ZiBGYWN1bHR5IG1lbWJlciBvZiBTY2ll
bmNlIGRlcGFydG1lbnQsIFNjaWVuY2UgZmFjdWx0eSAsIElzbGFtaWMgQXphZCBVbml2ZXJzaXR5
ICwgVGVocmFuICwgSXJhbi4mI3hEO2cgRGVwYXJ0bWVudCBvZiBNaWNyb2Jpb2xvZ3ksIFNjaWVu
Y2UgZmFjdWx0eSAsIElzbGFtaWMgQXphZCBVbml2ZXJzaXR5ICwgQXJhayAsIElyYW4uJiN4RDto
IERlcGFydG1lbnQgb2YgR3luZWNvbG9neSBhbmQgT2JzdGV0cmljcyAsIFNjaG9vbCBvZiBNZWRp
Y2luZSwgQnVzaGVociBVbml2ZXJzaXR5IG9mIE1lZGljYWwgU2NpZW5jZXMgLCBCdXNoZWhyICwg
SXJhbi48L2F1dGgtYWRkcmVzcz48dGl0bGVzPjx0aXRsZT5UaGUgZWZmZWN0cyBvZiBwcm9iaW90
aWMgc3VwcGxlbWVudGF0aW9uIG9uIGJpb21hcmtlcnMgb2YgaW5mbGFtbWF0aW9uLCBveGlkYXRp
dmUgc3RyZXNzIGFuZCBwcmVnbmFuY3kgb3V0Y29tZXMgaW4gZ2VzdGF0aW9uYWwgZGlhYmV0ZXM8
L3RpdGxlPjxzZWNvbmRhcnktdGl0bGU+SiBNYXRlcm4gRmV0YWwgTmVvbmF0YWwgTWVkPC9zZWNv
bmRhcnktdGl0bGU+PC90aXRsZXM+PHBlcmlvZGljYWw+PGZ1bGwtdGl0bGU+SiBNYXRlcm4gRmV0
YWwgTmVvbmF0YWwgTWVkPC9mdWxsLXRpdGxlPjwvcGVyaW9kaWNhbD48cGFnZXM+MTEyOC0xMTM2
PC9wYWdlcz48dm9sdW1lPjMxPC92b2x1bWU+PG51bWJlcj45PC9udW1iZXI+PGVkaXRpb24+MjAx
Ny8wMy8yMzwvZWRpdGlvbj48a2V5d29yZHM+PGtleXdvcmQ+QWR1bHQ8L2tleXdvcmQ+PGtleXdv
cmQ+QmlvbWFya2Vycy8qYmxvb2Q8L2tleXdvcmQ+PGtleXdvcmQ+Qmxvb2QgR2x1Y29zZS9hbmFs
eXNpczwva2V5d29yZD48a2V5d29yZD5DLVJlYWN0aXZlIFByb3RlaW4vYW5hbHlzaXM8L2tleXdv
cmQ+PGtleXdvcmQ+RGlhYmV0ZXMsIEdlc3RhdGlvbmFsLypibG9vZDwva2V5d29yZD48a2V5d29y
ZD5EaWV0YXJ5IFN1cHBsZW1lbnRzPC9rZXl3b3JkPjxrZXl3b3JkPkRvdWJsZS1CbGluZCBNZXRo
b2Q8L2tleXdvcmQ+PGtleXdvcmQ+RmVtYWxlPC9rZXl3b3JkPjxrZXl3b3JkPkh1bWFuczwva2V5
d29yZD48a2V5d29yZD5JbmZsYW1tYXRpb24vKmJsb29kPC9rZXl3b3JkPjxrZXl3b3JkPk1hbG9u
ZGlhbGRlaHlkZS9ibG9vZDwva2V5d29yZD48a2V5d29yZD5PeGlkYXRpdmUgU3RyZXNzLypwaHlz
aW9sb2d5PC9rZXl3b3JkPjxrZXl3b3JkPlBsYWNlYm9zPC9rZXl3b3JkPjxrZXl3b3JkPlByZWdu
YW5jeTwva2V5d29yZD48a2V5d29yZD4qUHJlZ25hbmN5IE91dGNvbWU8L2tleXdvcmQ+PGtleXdv
cmQ+UHJvYmlvdGljcy8qYWRtaW5pc3RyYXRpb24gJmFtcDsgZG9zYWdlPC9rZXl3b3JkPjxrZXl3
b3JkPlByb2Jpb3RpYyBzdXBwbGVtZW50YXRpb248L2tleXdvcmQ+PGtleXdvcmQ+Z2VzdGF0aW9u
YWwgZGlhYmV0ZXM8L2tleXdvcmQ+PGtleXdvcmQ+cHJlZ25hbnQgd29tZW48L2tleXdvcmQ+PC9r
ZXl3b3Jkcz48ZGF0ZXM+PHllYXI+MjAxODwveWVhcj48cHViLWRhdGVzPjxkYXRlPk1heTwvZGF0
ZT48L3B1Yi1kYXRlcz48L2RhdGVzPjxpc2JuPjE0NzYtNDk1NCAoRWxlY3Ryb25pYykmI3hEOzE0
NzYtNDk1NCAoTGlua2luZyk8L2lzYm4+PGFjY2Vzc2lvbi1udW0+MjgzMjY4ODE8L2FjY2Vzc2lv
bi1udW0+PHVybHM+PHJlbGF0ZWQtdXJscz48dXJsPmh0dHBzOi8vd3d3Lm5jYmkubmxtLm5paC5n
b3YvcHVibWVkLzI4MzI2ODgxPC91cmw+PC9yZWxhdGVkLXVybHM+PC91cmxzPjxlbGVjdHJvbmlj
LXJlc291cmNlLW51bT4xMC4xMDgwLzE0NzY3MDU4LjIwMTcuMTMxMDE5MzwvZWxlY3Ryb25pYy1y
ZXNvdXJjZS1udW0+PC9yZWNvcmQ+PC9DaXRlPjwvRW5kTm90ZT5=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243</w:t>
            </w:r>
            <w:r w:rsidR="00AB21E2">
              <w:fldChar w:fldCharType="end"/>
            </w:r>
          </w:p>
          <w:p w14:paraId="047BA615" w14:textId="58F9F88C" w:rsidR="00656385" w:rsidRDefault="00656385" w:rsidP="00E760BE">
            <w:pPr>
              <w:keepNext/>
            </w:pPr>
            <w:r>
              <w:t>Iran</w:t>
            </w:r>
          </w:p>
        </w:tc>
        <w:tc>
          <w:tcPr>
            <w:tcW w:w="2656" w:type="dxa"/>
          </w:tcPr>
          <w:p w14:paraId="169F1AF8" w14:textId="65066243" w:rsidR="0036555D" w:rsidRDefault="0036555D" w:rsidP="00E760BE">
            <w:pPr>
              <w:keepNext/>
            </w:pPr>
            <w:r>
              <w:t>Women with GDM</w:t>
            </w:r>
            <w:r w:rsidR="00855446">
              <w:t>; n=60</w:t>
            </w:r>
          </w:p>
        </w:tc>
        <w:tc>
          <w:tcPr>
            <w:tcW w:w="4536" w:type="dxa"/>
          </w:tcPr>
          <w:p w14:paraId="70DA5D6E" w14:textId="77777777" w:rsidR="0036555D" w:rsidRDefault="0036555D" w:rsidP="00E760BE">
            <w:pPr>
              <w:keepNext/>
            </w:pPr>
            <w:r w:rsidRPr="00B032E3">
              <w:rPr>
                <w:i/>
              </w:rPr>
              <w:t>Lactobacillus acidophilus, Lactobacillus casei, Bifidobacterium bifidum</w:t>
            </w:r>
            <w:r>
              <w:t xml:space="preserve"> (2x10</w:t>
            </w:r>
            <w:r w:rsidRPr="00B032E3">
              <w:rPr>
                <w:vertAlign w:val="superscript"/>
              </w:rPr>
              <w:t>9</w:t>
            </w:r>
            <w:r>
              <w:t xml:space="preserve"> cfu/g each)</w:t>
            </w:r>
          </w:p>
        </w:tc>
        <w:tc>
          <w:tcPr>
            <w:tcW w:w="2551" w:type="dxa"/>
          </w:tcPr>
          <w:p w14:paraId="043F2DCA" w14:textId="77777777" w:rsidR="0036555D" w:rsidRDefault="0036555D" w:rsidP="00E760BE">
            <w:pPr>
              <w:keepNext/>
            </w:pPr>
            <w:r>
              <w:t xml:space="preserve">From week 24-28 </w:t>
            </w:r>
          </w:p>
        </w:tc>
        <w:tc>
          <w:tcPr>
            <w:tcW w:w="1843" w:type="dxa"/>
          </w:tcPr>
          <w:p w14:paraId="06CC565C" w14:textId="77777777" w:rsidR="0036555D" w:rsidRDefault="0036555D" w:rsidP="00E760BE">
            <w:pPr>
              <w:keepNext/>
            </w:pPr>
            <w:r>
              <w:t>6 weeks</w:t>
            </w:r>
          </w:p>
        </w:tc>
      </w:tr>
      <w:tr w:rsidR="0036555D" w14:paraId="37A24FD7" w14:textId="77777777" w:rsidTr="00E760BE">
        <w:trPr>
          <w:cantSplit/>
        </w:trPr>
        <w:tc>
          <w:tcPr>
            <w:tcW w:w="2306" w:type="dxa"/>
          </w:tcPr>
          <w:p w14:paraId="4DA153E9" w14:textId="785E7A8F" w:rsidR="0036555D" w:rsidRDefault="006F611E" w:rsidP="00E760BE">
            <w:r>
              <w:t>Boyle et al 2011</w:t>
            </w:r>
            <w:r w:rsidR="00AB21E2">
              <w:fldChar w:fldCharType="begin">
                <w:fldData xml:space="preserve">PEVuZE5vdGU+PENpdGU+PEF1dGhvcj5Cb3lsZTwvQXV0aG9yPjxZZWFyPjIwMTE8L1llYXI+PFJl
Y051bT44MDwvUmVjTnVtPjxEaXNwbGF5VGV4dD48c3R5bGUgZmFjZT0ic3VwZXJzY3JpcHQiIGZv
bnQ9IlRyZWJ1Y2hldCBNUyIgc2l6ZT0iOSI+MjQ3PC9zdHlsZT48L0Rpc3BsYXlUZXh0PjxyZWNv
cmQ+PHJlYy1udW1iZXI+ODA8L3JlYy1udW1iZXI+PGZvcmVpZ24ta2V5cz48a2V5IGFwcD0iRU4i
IGRiLWlkPSJlZDJwOWEwYXg1cnh3YmVlMHZtdjk5OW5yeHZ6YTBhdzJmZHgiIHRpbWVzdGFtcD0i
MTU4MTgzMTQzMyI+ODA8L2tleT48L2ZvcmVpZ24ta2V5cz48cmVmLXR5cGUgbmFtZT0iSm91cm5h
bCBBcnRpY2xlIj4xNzwvcmVmLXR5cGU+PGNvbnRyaWJ1dG9ycz48YXV0aG9ycz48YXV0aG9yPkJv
eWxlLCBSLiBKLjwvYXV0aG9yPjxhdXRob3I+SXNtYWlsLCBJLiBILjwvYXV0aG9yPjxhdXRob3I+
S2l2aXZ1b3JpLCBTLjwvYXV0aG9yPjxhdXRob3I+TGljY2lhcmRpLCBQLiBWLjwvYXV0aG9yPjxh
dXRob3I+Um9iaW5zLUJyb3duZSwgUi4gTS48L2F1dGhvcj48YXV0aG9yPk1haCwgTC4gSi48L2F1
dGhvcj48YXV0aG9yPkF4ZWxyYWQsIEMuPC9hdXRob3I+PGF1dGhvcj5Nb29yZSwgUy48L2F1dGhv
cj48YXV0aG9yPkRvbmF0aCwgUy48L2F1dGhvcj48YXV0aG9yPkNhcmxpbiwgSi4gQi48L2F1dGhv
cj48YXV0aG9yPkxhaHRpbmVuLCBTLiBKLjwvYXV0aG9yPjxhdXRob3I+VGFuZywgTS4gTC48L2F1
dGhvcj48L2F1dGhvcnM+PC9jb250cmlidXRvcnM+PGF1dGgtYWRkcmVzcz5BbGxlcmd5IGFuZCBJ
bW11bmUgRGlzb3JkZXJzLCBNdXJkb2NoIENoaWxkcmVuJmFwb3M7cyBSZXNlYXJjaCBJbnN0aXR1
dGUsIFVuaXZlcnNpdHkgb2YgTWVsYm91cm5lLCBNZWxib3VybmUsIEF1c3RyYWxpYS48L2F1dGgt
YWRkcmVzcz48dGl0bGVzPjx0aXRsZT5MYWN0b2JhY2lsbHVzIEdHIHRyZWF0bWVudCBkdXJpbmcg
cHJlZ25hbmN5IGZvciB0aGUgcHJldmVudGlvbiBvZiBlY3plbWE6IGEgcmFuZG9taXplZCBjb250
cm9sbGVkIHRyaWFsPC90aXRsZT48c2Vjb25kYXJ5LXRpdGxlPkFsbGVyZ3k8L3NlY29uZGFyeS10
aXRsZT48L3RpdGxlcz48cGVyaW9kaWNhbD48ZnVsbC10aXRsZT5BbGxlcmd5PC9mdWxsLXRpdGxl
PjwvcGVyaW9kaWNhbD48cGFnZXM+NTA5LTE2PC9wYWdlcz48dm9sdW1lPjY2PC92b2x1bWU+PG51
bWJlcj40PC9udW1iZXI+PGVkaXRpb24+MjAxMC8xMi8wMzwvZWRpdGlvbj48a2V5d29yZHM+PGtl
eXdvcmQ+QWR1bHQ8L2tleXdvcmQ+PGtleXdvcmQ+RWN6ZW1hL2VwaWRlbWlvbG9neS8qcHJldmVu
dGlvbiAmYW1wOyBjb250cm9sPC9rZXl3b3JkPjxrZXl3b3JkPkVuenltZS1MaW5rZWQgSW1tdW5v
c29yYmVudCBBc3NheTwva2V5d29yZD48a2V5d29yZD5GZW1hbGU8L2tleXdvcmQ+PGtleXdvcmQ+
RmV0YWwgQmxvb2QvY2hlbWlzdHJ5L2ltbXVub2xvZ3k8L2tleXdvcmQ+PGtleXdvcmQ+SHVtYW5z
PC9rZXl3b3JkPjxrZXl3b3JkPkluZmFudDwva2V5d29yZD48a2V5d29yZD5MYWN0b2JhY2lsbHVz
IHJoYW1ub3N1cy8qaW1tdW5vbG9neTwva2V5d29yZD48a2V5d29yZD5NaWRkbGUgQWdlZDwva2V5
d29yZD48a2V5d29yZD5NaWxrLCBIdW1hbi9jaGVtaXN0cnkvaW1tdW5vbG9neTwva2V5d29yZD48
a2V5d29yZD5QcmVnbmFuY3k8L2tleXdvcmQ+PGtleXdvcmQ+UHJlbmF0YWwgRXhwb3N1cmUgRGVs
YXllZCBFZmZlY3RzLyppbW11bm9sb2d5PC9rZXl3b3JkPjxrZXl3b3JkPlByb2Jpb3RpY3MvKnRo
ZXJhcGV1dGljIHVzZTwva2V5d29yZD48a2V5d29yZD5Zb3VuZyBBZHVsdDwva2V5d29yZD48L2tl
eXdvcmRzPjxkYXRlcz48eWVhcj4yMDExPC95ZWFyPjxwdWItZGF0ZXM+PGRhdGU+QXByPC9kYXRl
PjwvcHViLWRhdGVzPjwvZGF0ZXM+PGlzYm4+MTM5OC05OTk1IChFbGVjdHJvbmljKSYjeEQ7MDEw
NS00NTM4IChMaW5raW5nKTwvaXNibj48YWNjZXNzaW9uLW51bT4yMTEyMTkyNzwvYWNjZXNzaW9u
LW51bT48dXJscz48cmVsYXRlZC11cmxzPjx1cmw+aHR0cHM6Ly93d3cubmNiaS5ubG0ubmloLmdv
di9wdWJtZWQvMjExMjE5Mjc8L3VybD48L3JlbGF0ZWQtdXJscz48L3VybHM+PGVsZWN0cm9uaWMt
cmVzb3VyY2UtbnVtPjEwLjExMTEvai4xMzk4LTk5OTUuMjAxMC4wMjUwNy54PC9lbGVjdHJvbmlj
LXJlc291cmNlLW51bT48L3JlY29yZD48L0NpdGU+PC9FbmROb3RlPn==
</w:fldData>
              </w:fldChar>
            </w:r>
            <w:r w:rsidR="002747EA">
              <w:instrText xml:space="preserve"> ADDIN EN.CITE </w:instrText>
            </w:r>
            <w:r w:rsidR="002747EA">
              <w:fldChar w:fldCharType="begin">
                <w:fldData xml:space="preserve">PEVuZE5vdGU+PENpdGU+PEF1dGhvcj5Cb3lsZTwvQXV0aG9yPjxZZWFyPjIwMTE8L1llYXI+PFJl
Y051bT44MDwvUmVjTnVtPjxEaXNwbGF5VGV4dD48c3R5bGUgZmFjZT0ic3VwZXJzY3JpcHQiIGZv
bnQ9IlRyZWJ1Y2hldCBNUyIgc2l6ZT0iOSI+MjQ3PC9zdHlsZT48L0Rpc3BsYXlUZXh0PjxyZWNv
cmQ+PHJlYy1udW1iZXI+ODA8L3JlYy1udW1iZXI+PGZvcmVpZ24ta2V5cz48a2V5IGFwcD0iRU4i
IGRiLWlkPSJlZDJwOWEwYXg1cnh3YmVlMHZtdjk5OW5yeHZ6YTBhdzJmZHgiIHRpbWVzdGFtcD0i
MTU4MTgzMTQzMyI+ODA8L2tleT48L2ZvcmVpZ24ta2V5cz48cmVmLXR5cGUgbmFtZT0iSm91cm5h
bCBBcnRpY2xlIj4xNzwvcmVmLXR5cGU+PGNvbnRyaWJ1dG9ycz48YXV0aG9ycz48YXV0aG9yPkJv
eWxlLCBSLiBKLjwvYXV0aG9yPjxhdXRob3I+SXNtYWlsLCBJLiBILjwvYXV0aG9yPjxhdXRob3I+
S2l2aXZ1b3JpLCBTLjwvYXV0aG9yPjxhdXRob3I+TGljY2lhcmRpLCBQLiBWLjwvYXV0aG9yPjxh
dXRob3I+Um9iaW5zLUJyb3duZSwgUi4gTS48L2F1dGhvcj48YXV0aG9yPk1haCwgTC4gSi48L2F1
dGhvcj48YXV0aG9yPkF4ZWxyYWQsIEMuPC9hdXRob3I+PGF1dGhvcj5Nb29yZSwgUy48L2F1dGhv
cj48YXV0aG9yPkRvbmF0aCwgUy48L2F1dGhvcj48YXV0aG9yPkNhcmxpbiwgSi4gQi48L2F1dGhv
cj48YXV0aG9yPkxhaHRpbmVuLCBTLiBKLjwvYXV0aG9yPjxhdXRob3I+VGFuZywgTS4gTC48L2F1
dGhvcj48L2F1dGhvcnM+PC9jb250cmlidXRvcnM+PGF1dGgtYWRkcmVzcz5BbGxlcmd5IGFuZCBJ
bW11bmUgRGlzb3JkZXJzLCBNdXJkb2NoIENoaWxkcmVuJmFwb3M7cyBSZXNlYXJjaCBJbnN0aXR1
dGUsIFVuaXZlcnNpdHkgb2YgTWVsYm91cm5lLCBNZWxib3VybmUsIEF1c3RyYWxpYS48L2F1dGgt
YWRkcmVzcz48dGl0bGVzPjx0aXRsZT5MYWN0b2JhY2lsbHVzIEdHIHRyZWF0bWVudCBkdXJpbmcg
cHJlZ25hbmN5IGZvciB0aGUgcHJldmVudGlvbiBvZiBlY3plbWE6IGEgcmFuZG9taXplZCBjb250
cm9sbGVkIHRyaWFsPC90aXRsZT48c2Vjb25kYXJ5LXRpdGxlPkFsbGVyZ3k8L3NlY29uZGFyeS10
aXRsZT48L3RpdGxlcz48cGVyaW9kaWNhbD48ZnVsbC10aXRsZT5BbGxlcmd5PC9mdWxsLXRpdGxl
PjwvcGVyaW9kaWNhbD48cGFnZXM+NTA5LTE2PC9wYWdlcz48dm9sdW1lPjY2PC92b2x1bWU+PG51
bWJlcj40PC9udW1iZXI+PGVkaXRpb24+MjAxMC8xMi8wMzwvZWRpdGlvbj48a2V5d29yZHM+PGtl
eXdvcmQ+QWR1bHQ8L2tleXdvcmQ+PGtleXdvcmQ+RWN6ZW1hL2VwaWRlbWlvbG9neS8qcHJldmVu
dGlvbiAmYW1wOyBjb250cm9sPC9rZXl3b3JkPjxrZXl3b3JkPkVuenltZS1MaW5rZWQgSW1tdW5v
c29yYmVudCBBc3NheTwva2V5d29yZD48a2V5d29yZD5GZW1hbGU8L2tleXdvcmQ+PGtleXdvcmQ+
RmV0YWwgQmxvb2QvY2hlbWlzdHJ5L2ltbXVub2xvZ3k8L2tleXdvcmQ+PGtleXdvcmQ+SHVtYW5z
PC9rZXl3b3JkPjxrZXl3b3JkPkluZmFudDwva2V5d29yZD48a2V5d29yZD5MYWN0b2JhY2lsbHVz
IHJoYW1ub3N1cy8qaW1tdW5vbG9neTwva2V5d29yZD48a2V5d29yZD5NaWRkbGUgQWdlZDwva2V5
d29yZD48a2V5d29yZD5NaWxrLCBIdW1hbi9jaGVtaXN0cnkvaW1tdW5vbG9neTwva2V5d29yZD48
a2V5d29yZD5QcmVnbmFuY3k8L2tleXdvcmQ+PGtleXdvcmQ+UHJlbmF0YWwgRXhwb3N1cmUgRGVs
YXllZCBFZmZlY3RzLyppbW11bm9sb2d5PC9rZXl3b3JkPjxrZXl3b3JkPlByb2Jpb3RpY3MvKnRo
ZXJhcGV1dGljIHVzZTwva2V5d29yZD48a2V5d29yZD5Zb3VuZyBBZHVsdDwva2V5d29yZD48L2tl
eXdvcmRzPjxkYXRlcz48eWVhcj4yMDExPC95ZWFyPjxwdWItZGF0ZXM+PGRhdGU+QXByPC9kYXRl
PjwvcHViLWRhdGVzPjwvZGF0ZXM+PGlzYm4+MTM5OC05OTk1IChFbGVjdHJvbmljKSYjeEQ7MDEw
NS00NTM4IChMaW5raW5nKTwvaXNibj48YWNjZXNzaW9uLW51bT4yMTEyMTkyNzwvYWNjZXNzaW9u
LW51bT48dXJscz48cmVsYXRlZC11cmxzPjx1cmw+aHR0cHM6Ly93d3cubmNiaS5ubG0ubmloLmdv
di9wdWJtZWQvMjExMjE5Mjc8L3VybD48L3JlbGF0ZWQtdXJscz48L3VybHM+PGVsZWN0cm9uaWMt
cmVzb3VyY2UtbnVtPjEwLjExMTEvai4xMzk4LTk5OTUuMjAxMC4wMjUwNy54PC9lbGVjdHJvbmlj
LXJlc291cmNlLW51bT48L3JlY29yZD48L0NpdGU+PC9FbmROb3RlPn==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247</w:t>
            </w:r>
            <w:r w:rsidR="00AB21E2">
              <w:fldChar w:fldCharType="end"/>
            </w:r>
          </w:p>
          <w:p w14:paraId="3C55100C" w14:textId="411CE8B6" w:rsidR="00213BC6" w:rsidRDefault="00213BC6" w:rsidP="00E760BE">
            <w:r>
              <w:t>Australia</w:t>
            </w:r>
          </w:p>
        </w:tc>
        <w:tc>
          <w:tcPr>
            <w:tcW w:w="2656" w:type="dxa"/>
          </w:tcPr>
          <w:p w14:paraId="26558111" w14:textId="32148503" w:rsidR="0036555D" w:rsidRDefault="0036555D" w:rsidP="00E760BE">
            <w:r>
              <w:t>Women with a fetus at risk of allergies</w:t>
            </w:r>
            <w:r w:rsidR="00855446">
              <w:t>; n=</w:t>
            </w:r>
            <w:r w:rsidR="00A476A9">
              <w:t>25</w:t>
            </w:r>
            <w:r w:rsidR="00855446">
              <w:t>0</w:t>
            </w:r>
          </w:p>
        </w:tc>
        <w:tc>
          <w:tcPr>
            <w:tcW w:w="4536" w:type="dxa"/>
          </w:tcPr>
          <w:p w14:paraId="39452173" w14:textId="77777777" w:rsidR="0036555D" w:rsidRDefault="0036555D" w:rsidP="00E760BE">
            <w:r w:rsidRPr="00D055A7">
              <w:rPr>
                <w:i/>
              </w:rPr>
              <w:t>Lactobacillus rhamnosis</w:t>
            </w:r>
            <w:r>
              <w:t xml:space="preserve"> GG</w:t>
            </w:r>
          </w:p>
        </w:tc>
        <w:tc>
          <w:tcPr>
            <w:tcW w:w="2551" w:type="dxa"/>
          </w:tcPr>
          <w:p w14:paraId="2C20FC11" w14:textId="77777777" w:rsidR="0036555D" w:rsidRDefault="0036555D" w:rsidP="00E760BE">
            <w:r>
              <w:t>36 weeks until birth</w:t>
            </w:r>
          </w:p>
        </w:tc>
        <w:tc>
          <w:tcPr>
            <w:tcW w:w="1843" w:type="dxa"/>
          </w:tcPr>
          <w:p w14:paraId="0872D000" w14:textId="77777777" w:rsidR="0036555D" w:rsidRDefault="0036555D" w:rsidP="00E760BE">
            <w:r>
              <w:t>4 weeks</w:t>
            </w:r>
          </w:p>
        </w:tc>
      </w:tr>
      <w:tr w:rsidR="0036555D" w14:paraId="0C4098A6" w14:textId="77777777" w:rsidTr="00E760BE">
        <w:trPr>
          <w:cantSplit/>
          <w:trHeight w:val="417"/>
        </w:trPr>
        <w:tc>
          <w:tcPr>
            <w:tcW w:w="2306" w:type="dxa"/>
          </w:tcPr>
          <w:p w14:paraId="75943B22" w14:textId="3B266C31" w:rsidR="0036555D" w:rsidRDefault="0036555D" w:rsidP="00E760BE">
            <w:r>
              <w:t>Callaway et al 2019</w:t>
            </w:r>
            <w:r w:rsidR="00AB21E2">
              <w:fldChar w:fldCharType="begin">
                <w:fldData xml:space="preserve">PEVuZE5vdGU+PENpdGU+PEF1dGhvcj5DYWxsYXdheTwvQXV0aG9yPjxZZWFyPjIwMTk8L1llYXI+
PFJlY051bT4xNjQ5PC9SZWNOdW0+PERpc3BsYXlUZXh0PjxzdHlsZSBmYWNlPSJzdXBlcnNjcmlw
dCIgZm9udD0iVHJlYnVjaGV0IE1TIiBzaXplPSI5Ij4yMjg8L3N0eWxlPjwvRGlzcGxheVRleHQ+
PHJlY29yZD48cmVjLW51bWJlcj4xNjQ5PC9yZWMtbnVtYmVyPjxmb3JlaWduLWtleXM+PGtleSBh
cHA9IkVOIiBkYi1pZD0iZXh2YXNyZngyZHRyYW9lc2FzeHAyc3pzeGEyZGY1MDI1OTJ4IiB0aW1l
c3RhbXA9IjE1ODEzMTI2OTgiPjE2NDk8L2tleT48a2V5IGFwcD0iRU5XZWIiIGRiLWlkPSIiPjA8
L2tleT48L2ZvcmVpZ24ta2V5cz48cmVmLXR5cGUgbmFtZT0iSm91cm5hbCBBcnRpY2xlIj4xNzwv
cmVmLXR5cGU+PGNvbnRyaWJ1dG9ycz48YXV0aG9ycz48YXV0aG9yPkNhbGxhd2F5LCBMLiBLLjwv
YXV0aG9yPjxhdXRob3I+TWNJbnR5cmUsIEguIEQuPC9hdXRob3I+PGF1dGhvcj5CYXJyZXR0LCBI
LiBMLjwvYXV0aG9yPjxhdXRob3I+Rm94Y3JvZnQsIEsuPC9hdXRob3I+PGF1dGhvcj5UcmVtZWxs
ZW4sIEEuPC9hdXRob3I+PGF1dGhvcj5MaW5nd29vZCwgQi4gRS48L2F1dGhvcj48YXV0aG9yPlRv
YmluLCBKLiBNLjwvYXV0aG9yPjxhdXRob3I+V2lsa2luc29uLCBTLjwvYXV0aG9yPjxhdXRob3I+
S290aGFyaSwgQS48L2F1dGhvcj48YXV0aG9yPk1vcnJpc29uLCBNLjwvYXV0aG9yPjxhdXRob3I+
TyZhcG9zO1JvdXJrZSwgUC48L2F1dGhvcj48YXV0aG9yPlBlbGVjYW5vcywgQS48L2F1dGhvcj48
YXV0aG9yPkRla2tlciBOaXRlcnQsIE0uPC9hdXRob3I+PC9hdXRob3JzPjwvY29udHJpYnV0b3Jz
PjxhdXRoLWFkZHJlc3M+V29tZW4mYXBvcztzIGFuZCBOZXdib3JuIFNlcnZpY2VzLCBSb3lhbCBC
cmlzYmFuZSBhbmQgV29tZW4mYXBvcztzIEhvc3BpdGFsLCBIZXJzdG9uLCBBdXN0cmFsaWEgbC5j
YWxsYXdheUB1cS5lZHUuYXUuJiN4RDtGYWN1bHR5IG9mIE1lZGljaW5lLCBUaGUgVW5pdmVyc2l0
eSBvZiBRdWVlbnNsYW5kLCBIZXJzdG9uLCBBdXN0cmFsaWEuJiN4RDtNYXRlciBNZWRpY2FsIFJl
c2VhcmNoIEluc3RpdHV0ZSwgU291dGggQnJpc2JhbmUsIEF1c3RyYWxpYS4mI3hEO1dvbWVuJmFw
b3M7cyBhbmQgTmV3Ym9ybiBTZXJ2aWNlcywgUm95YWwgQnJpc2JhbmUgYW5kIFdvbWVuJmFwb3M7
cyBIb3NwaXRhbCwgSGVyc3RvbiwgQXVzdHJhbGlhLiYjeEQ7SmFtZXMgQ29vayBVbml2ZXJzaXR5
LCBNYWNrYXksIEF1c3RyYWxpYS4mI3hEO0RlcGFydG1lbnQgb2YgTnV0cml0aW9uIGFuZCBEaWV0
ZXRpY3MsIE1hdGVyIEdyb3VwLCBTb3V0aCBCcmlzYmFuZSwgQXVzdHJhbGlhLiYjeEQ7UmVkY2xp
ZmZlIEhvc3BpdGFsLCBSZWRjbGlmZmUsIEF1c3RyYWxpYS4mI3hEO0ZhY3VsdHkgb2YgTWVkaWNp
bmUsIFVuaXZlcnNpdHkgb2YgUXVlZW5zbGFuZCBEaWFtYW50aW5hIEluc3RpdHV0ZSwgVHJhbnNs
YXRpb25hbCBSZXNlYXJjaCBJbnN0aXR1dGUsIFdvb2xsb29uZ2FiYmEsIEF1c3RyYWxpYS4mI3hE
O1FJTVIgQmVyZ2hvZmVyIE1lZGljYWwgUmVzZWFyY2ggSW5zdGl0dXRlLCBIZXJzdG9uLCBBdXN0
cmFsaWEuJiN4RDtTY2hvb2wgb2YgQ2hlbWlzdHJ5IGFuZCBNb2xlY3VsYXIgQmlvc2NpZW5jZXMs
IFRoZSBVbml2ZXJzaXR5IG9mIFF1ZWVuc2xhbmQsIFN0IEx1Y2lhLCBBdXN0cmFsaWEuPC9hdXRo
LWFkZHJlc3M+PHRpdGxlcz48dGl0bGU+UHJvYmlvdGljcyBmb3IgdGhlIHByZXZlbnRpb24gb2Yg
Z2VzdGF0aW9uYWwgZGlhYmV0ZXMgbWVsbGl0dXMgaW4gb3ZlcndlaWdodCBhbmQgb2Jlc2Ugd29t
ZW46IEZpbmRpbmdzIGZyb20gdGhlIFNQUklORyBkb3VibGUtYmxpbmQgcmFuZG9taXplZCBjb250
cm9sbGVkIHRyaWFsPC90aXRsZT48c2Vjb25kYXJ5LXRpdGxlPkRpYWJldGVzIENhcmU8L3NlY29u
ZGFyeS10aXRsZT48L3RpdGxlcz48cGVyaW9kaWNhbD48ZnVsbC10aXRsZT5EaWFiZXRlcyBDYXJl
PC9mdWxsLXRpdGxlPjwvcGVyaW9kaWNhbD48cGFnZXM+MzY0LTM3MTwvcGFnZXM+PHZvbHVtZT40
Mjwvdm9sdW1lPjxudW1iZXI+MzwvbnVtYmVyPjxlZGl0aW9uPjIwMTkvMDEvMjA8L2VkaXRpb24+
PGtleXdvcmRzPjxrZXl3b3JkPkFkdWx0PC9rZXl3b3JkPjxrZXl3b3JkPkF1c3RyYWxpYTwva2V5
d29yZD48a2V5d29yZD5EaWFiZXRlcywgR2VzdGF0aW9uYWwvYmxvb2QvKnByZXZlbnRpb24gJmFt
cDsgY29udHJvbDwva2V5d29yZD48a2V5d29yZD5Eb3VibGUtQmxpbmQgTWV0aG9kPC9rZXl3b3Jk
PjxrZXl3b3JkPkZlbWFsZTwva2V5d29yZD48a2V5d29yZD5HYXN0cm9pbnRlc3RpbmFsIE1pY3Jv
YmlvbWU8L2tleXdvcmQ+PGtleXdvcmQ+R2x1Y29zZSBUb2xlcmFuY2UgVGVzdDwva2V5d29yZD48
a2V5d29yZD5IdW1hbnM8L2tleXdvcmQ+PGtleXdvcmQ+T2Jlc2l0eS9jb21wbGljYXRpb25zLypk
aWV0IHRoZXJhcHk8L2tleXdvcmQ+PGtleXdvcmQ+T3ZlcndlaWdodC9jb21wbGljYXRpb25zLypk
aWV0IHRoZXJhcHk8L2tleXdvcmQ+PGtleXdvcmQ+UHJlZ25hbmN5PC9rZXl3b3JkPjxrZXl3b3Jk
PlByZWduYW5jeSBDb21wbGljYXRpb25zLypkaWV0IHRoZXJhcHk8L2tleXdvcmQ+PGtleXdvcmQ+
UHJvYmlvdGljcy8qdGhlcmFwZXV0aWMgdXNlPC9rZXl3b3JkPjxrZXl3b3JkPldlaWdodCBHYWlu
PC9rZXl3b3JkPjwva2V5d29yZHM+PGRhdGVzPjx5ZWFyPjIwMTk8L3llYXI+PHB1Yi1kYXRlcz48
ZGF0ZT5NYXI8L2RhdGU+PC9wdWItZGF0ZXM+PC9kYXRlcz48aXNibj4xOTM1LTU1NDggKEVsZWN0
cm9uaWMpJiN4RDswMTQ5LTU5OTIgKExpbmtpbmcpPC9pc2JuPjxhY2Nlc3Npb24tbnVtPjMwNjU5
MDcwPC9hY2Nlc3Npb24tbnVtPjx1cmxzPjxyZWxhdGVkLXVybHM+PHVybD5odHRwczovL3d3dy5u
Y2JpLm5sbS5uaWguZ292L3B1Ym1lZC8zMDY1OTA3MDwvdXJsPjwvcmVsYXRlZC11cmxzPjwvdXJs
cz48ZWxlY3Ryb25pYy1yZXNvdXJjZS1udW0+MTAuMjMzNy9kYzE4LTIyNDg8L2VsZWN0cm9uaWMt
cmVzb3VyY2UtbnVtPjwvcmVjb3JkPjwvQ2l0ZT48L0VuZE5vdGU+
</w:fldData>
              </w:fldChar>
            </w:r>
            <w:r w:rsidR="002747EA">
              <w:instrText xml:space="preserve"> ADDIN EN.CITE </w:instrText>
            </w:r>
            <w:r w:rsidR="002747EA">
              <w:fldChar w:fldCharType="begin">
                <w:fldData xml:space="preserve">PEVuZE5vdGU+PENpdGU+PEF1dGhvcj5DYWxsYXdheTwvQXV0aG9yPjxZZWFyPjIwMTk8L1llYXI+
PFJlY051bT4xNjQ5PC9SZWNOdW0+PERpc3BsYXlUZXh0PjxzdHlsZSBmYWNlPSJzdXBlcnNjcmlw
dCIgZm9udD0iVHJlYnVjaGV0IE1TIiBzaXplPSI5Ij4yMjg8L3N0eWxlPjwvRGlzcGxheVRleHQ+
PHJlY29yZD48cmVjLW51bWJlcj4xNjQ5PC9yZWMtbnVtYmVyPjxmb3JlaWduLWtleXM+PGtleSBh
cHA9IkVOIiBkYi1pZD0iZXh2YXNyZngyZHRyYW9lc2FzeHAyc3pzeGEyZGY1MDI1OTJ4IiB0aW1l
c3RhbXA9IjE1ODEzMTI2OTgiPjE2NDk8L2tleT48a2V5IGFwcD0iRU5XZWIiIGRiLWlkPSIiPjA8
L2tleT48L2ZvcmVpZ24ta2V5cz48cmVmLXR5cGUgbmFtZT0iSm91cm5hbCBBcnRpY2xlIj4xNzwv
cmVmLXR5cGU+PGNvbnRyaWJ1dG9ycz48YXV0aG9ycz48YXV0aG9yPkNhbGxhd2F5LCBMLiBLLjwv
YXV0aG9yPjxhdXRob3I+TWNJbnR5cmUsIEguIEQuPC9hdXRob3I+PGF1dGhvcj5CYXJyZXR0LCBI
LiBMLjwvYXV0aG9yPjxhdXRob3I+Rm94Y3JvZnQsIEsuPC9hdXRob3I+PGF1dGhvcj5UcmVtZWxs
ZW4sIEEuPC9hdXRob3I+PGF1dGhvcj5MaW5nd29vZCwgQi4gRS48L2F1dGhvcj48YXV0aG9yPlRv
YmluLCBKLiBNLjwvYXV0aG9yPjxhdXRob3I+V2lsa2luc29uLCBTLjwvYXV0aG9yPjxhdXRob3I+
S290aGFyaSwgQS48L2F1dGhvcj48YXV0aG9yPk1vcnJpc29uLCBNLjwvYXV0aG9yPjxhdXRob3I+
TyZhcG9zO1JvdXJrZSwgUC48L2F1dGhvcj48YXV0aG9yPlBlbGVjYW5vcywgQS48L2F1dGhvcj48
YXV0aG9yPkRla2tlciBOaXRlcnQsIE0uPC9hdXRob3I+PC9hdXRob3JzPjwvY29udHJpYnV0b3Jz
PjxhdXRoLWFkZHJlc3M+V29tZW4mYXBvcztzIGFuZCBOZXdib3JuIFNlcnZpY2VzLCBSb3lhbCBC
cmlzYmFuZSBhbmQgV29tZW4mYXBvcztzIEhvc3BpdGFsLCBIZXJzdG9uLCBBdXN0cmFsaWEgbC5j
YWxsYXdheUB1cS5lZHUuYXUuJiN4RDtGYWN1bHR5IG9mIE1lZGljaW5lLCBUaGUgVW5pdmVyc2l0
eSBvZiBRdWVlbnNsYW5kLCBIZXJzdG9uLCBBdXN0cmFsaWEuJiN4RDtNYXRlciBNZWRpY2FsIFJl
c2VhcmNoIEluc3RpdHV0ZSwgU291dGggQnJpc2JhbmUsIEF1c3RyYWxpYS4mI3hEO1dvbWVuJmFw
b3M7cyBhbmQgTmV3Ym9ybiBTZXJ2aWNlcywgUm95YWwgQnJpc2JhbmUgYW5kIFdvbWVuJmFwb3M7
cyBIb3NwaXRhbCwgSGVyc3RvbiwgQXVzdHJhbGlhLiYjeEQ7SmFtZXMgQ29vayBVbml2ZXJzaXR5
LCBNYWNrYXksIEF1c3RyYWxpYS4mI3hEO0RlcGFydG1lbnQgb2YgTnV0cml0aW9uIGFuZCBEaWV0
ZXRpY3MsIE1hdGVyIEdyb3VwLCBTb3V0aCBCcmlzYmFuZSwgQXVzdHJhbGlhLiYjeEQ7UmVkY2xp
ZmZlIEhvc3BpdGFsLCBSZWRjbGlmZmUsIEF1c3RyYWxpYS4mI3hEO0ZhY3VsdHkgb2YgTWVkaWNp
bmUsIFVuaXZlcnNpdHkgb2YgUXVlZW5zbGFuZCBEaWFtYW50aW5hIEluc3RpdHV0ZSwgVHJhbnNs
YXRpb25hbCBSZXNlYXJjaCBJbnN0aXR1dGUsIFdvb2xsb29uZ2FiYmEsIEF1c3RyYWxpYS4mI3hE
O1FJTVIgQmVyZ2hvZmVyIE1lZGljYWwgUmVzZWFyY2ggSW5zdGl0dXRlLCBIZXJzdG9uLCBBdXN0
cmFsaWEuJiN4RDtTY2hvb2wgb2YgQ2hlbWlzdHJ5IGFuZCBNb2xlY3VsYXIgQmlvc2NpZW5jZXMs
IFRoZSBVbml2ZXJzaXR5IG9mIFF1ZWVuc2xhbmQsIFN0IEx1Y2lhLCBBdXN0cmFsaWEuPC9hdXRo
LWFkZHJlc3M+PHRpdGxlcz48dGl0bGU+UHJvYmlvdGljcyBmb3IgdGhlIHByZXZlbnRpb24gb2Yg
Z2VzdGF0aW9uYWwgZGlhYmV0ZXMgbWVsbGl0dXMgaW4gb3ZlcndlaWdodCBhbmQgb2Jlc2Ugd29t
ZW46IEZpbmRpbmdzIGZyb20gdGhlIFNQUklORyBkb3VibGUtYmxpbmQgcmFuZG9taXplZCBjb250
cm9sbGVkIHRyaWFsPC90aXRsZT48c2Vjb25kYXJ5LXRpdGxlPkRpYWJldGVzIENhcmU8L3NlY29u
ZGFyeS10aXRsZT48L3RpdGxlcz48cGVyaW9kaWNhbD48ZnVsbC10aXRsZT5EaWFiZXRlcyBDYXJl
PC9mdWxsLXRpdGxlPjwvcGVyaW9kaWNhbD48cGFnZXM+MzY0LTM3MTwvcGFnZXM+PHZvbHVtZT40
Mjwvdm9sdW1lPjxudW1iZXI+MzwvbnVtYmVyPjxlZGl0aW9uPjIwMTkvMDEvMjA8L2VkaXRpb24+
PGtleXdvcmRzPjxrZXl3b3JkPkFkdWx0PC9rZXl3b3JkPjxrZXl3b3JkPkF1c3RyYWxpYTwva2V5
d29yZD48a2V5d29yZD5EaWFiZXRlcywgR2VzdGF0aW9uYWwvYmxvb2QvKnByZXZlbnRpb24gJmFt
cDsgY29udHJvbDwva2V5d29yZD48a2V5d29yZD5Eb3VibGUtQmxpbmQgTWV0aG9kPC9rZXl3b3Jk
PjxrZXl3b3JkPkZlbWFsZTwva2V5d29yZD48a2V5d29yZD5HYXN0cm9pbnRlc3RpbmFsIE1pY3Jv
YmlvbWU8L2tleXdvcmQ+PGtleXdvcmQ+R2x1Y29zZSBUb2xlcmFuY2UgVGVzdDwva2V5d29yZD48
a2V5d29yZD5IdW1hbnM8L2tleXdvcmQ+PGtleXdvcmQ+T2Jlc2l0eS9jb21wbGljYXRpb25zLypk
aWV0IHRoZXJhcHk8L2tleXdvcmQ+PGtleXdvcmQ+T3ZlcndlaWdodC9jb21wbGljYXRpb25zLypk
aWV0IHRoZXJhcHk8L2tleXdvcmQ+PGtleXdvcmQ+UHJlZ25hbmN5PC9rZXl3b3JkPjxrZXl3b3Jk
PlByZWduYW5jeSBDb21wbGljYXRpb25zLypkaWV0IHRoZXJhcHk8L2tleXdvcmQ+PGtleXdvcmQ+
UHJvYmlvdGljcy8qdGhlcmFwZXV0aWMgdXNlPC9rZXl3b3JkPjxrZXl3b3JkPldlaWdodCBHYWlu
PC9rZXl3b3JkPjwva2V5d29yZHM+PGRhdGVzPjx5ZWFyPjIwMTk8L3llYXI+PHB1Yi1kYXRlcz48
ZGF0ZT5NYXI8L2RhdGU+PC9wdWItZGF0ZXM+PC9kYXRlcz48aXNibj4xOTM1LTU1NDggKEVsZWN0
cm9uaWMpJiN4RDswMTQ5LTU5OTIgKExpbmtpbmcpPC9pc2JuPjxhY2Nlc3Npb24tbnVtPjMwNjU5
MDcwPC9hY2Nlc3Npb24tbnVtPjx1cmxzPjxyZWxhdGVkLXVybHM+PHVybD5odHRwczovL3d3dy5u
Y2JpLm5sbS5uaWguZ292L3B1Ym1lZC8zMDY1OTA3MDwvdXJsPjwvcmVsYXRlZC11cmxzPjwvdXJs
cz48ZWxlY3Ryb25pYy1yZXNvdXJjZS1udW0+MTAuMjMzNy9kYzE4LTIyNDg8L2VsZWN0cm9uaWMt
cmVzb3VyY2UtbnVtPjwvcmVjb3JkPjwvQ2l0ZT48L0VuZE5vdGU+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228</w:t>
            </w:r>
            <w:r w:rsidR="00AB21E2">
              <w:fldChar w:fldCharType="end"/>
            </w:r>
          </w:p>
          <w:p w14:paraId="68DDBBA7" w14:textId="52AD6B88" w:rsidR="00213BC6" w:rsidRDefault="00213BC6" w:rsidP="00E760BE">
            <w:r>
              <w:t>Australia</w:t>
            </w:r>
          </w:p>
        </w:tc>
        <w:tc>
          <w:tcPr>
            <w:tcW w:w="2656" w:type="dxa"/>
          </w:tcPr>
          <w:p w14:paraId="1D74D9A0" w14:textId="7A773E0D" w:rsidR="0036555D" w:rsidRDefault="0036555D" w:rsidP="00E760BE">
            <w:r>
              <w:t>Women with BMI ≥25</w:t>
            </w:r>
            <w:r w:rsidR="00855446">
              <w:t>; n=</w:t>
            </w:r>
            <w:r w:rsidR="00F34FBB">
              <w:t>411</w:t>
            </w:r>
          </w:p>
        </w:tc>
        <w:tc>
          <w:tcPr>
            <w:tcW w:w="4536" w:type="dxa"/>
          </w:tcPr>
          <w:p w14:paraId="26CD8E71" w14:textId="77777777" w:rsidR="0036555D" w:rsidRDefault="0036555D" w:rsidP="00E760BE">
            <w:r w:rsidRPr="00D875CC">
              <w:rPr>
                <w:i/>
              </w:rPr>
              <w:t xml:space="preserve">Lactobacillus rhamnosus </w:t>
            </w:r>
            <w:r w:rsidRPr="00D875CC">
              <w:t>(LGG)</w:t>
            </w:r>
            <w:r>
              <w:t>,</w:t>
            </w:r>
            <w:r w:rsidRPr="00D875CC">
              <w:t xml:space="preserve"> </w:t>
            </w:r>
            <w:r w:rsidRPr="00D875CC">
              <w:rPr>
                <w:i/>
              </w:rPr>
              <w:t>Bifidobacterium animalis</w:t>
            </w:r>
            <w:r w:rsidRPr="00D875CC">
              <w:t xml:space="preserve"> subspecies </w:t>
            </w:r>
            <w:r w:rsidRPr="00D875CC">
              <w:rPr>
                <w:i/>
              </w:rPr>
              <w:t>lactis</w:t>
            </w:r>
            <w:r>
              <w:t xml:space="preserve"> </w:t>
            </w:r>
            <w:r w:rsidRPr="00D875CC">
              <w:t xml:space="preserve">(BB-12) </w:t>
            </w:r>
            <w:r>
              <w:t>(&gt;1x</w:t>
            </w:r>
            <w:r w:rsidRPr="00D875CC">
              <w:t>10</w:t>
            </w:r>
            <w:r w:rsidRPr="00D875CC">
              <w:rPr>
                <w:sz w:val="10"/>
                <w:szCs w:val="10"/>
              </w:rPr>
              <w:t xml:space="preserve">9 </w:t>
            </w:r>
            <w:r w:rsidRPr="00D875CC">
              <w:t>c</w:t>
            </w:r>
            <w:r>
              <w:t>fu/</w:t>
            </w:r>
            <w:r w:rsidRPr="00D875CC">
              <w:t>day</w:t>
            </w:r>
            <w:r>
              <w:t>)</w:t>
            </w:r>
          </w:p>
        </w:tc>
        <w:tc>
          <w:tcPr>
            <w:tcW w:w="2551" w:type="dxa"/>
          </w:tcPr>
          <w:p w14:paraId="36DE4B2F" w14:textId="77777777" w:rsidR="0036555D" w:rsidRDefault="0036555D" w:rsidP="00E760BE">
            <w:r>
              <w:t>From week 20 until birth</w:t>
            </w:r>
          </w:p>
        </w:tc>
        <w:tc>
          <w:tcPr>
            <w:tcW w:w="1843" w:type="dxa"/>
          </w:tcPr>
          <w:p w14:paraId="08F72484" w14:textId="77777777" w:rsidR="0036555D" w:rsidRDefault="0036555D" w:rsidP="00E760BE">
            <w:r>
              <w:t>20 weeks</w:t>
            </w:r>
          </w:p>
        </w:tc>
      </w:tr>
      <w:tr w:rsidR="0036555D" w14:paraId="21CE7CBB" w14:textId="77777777" w:rsidTr="00E760BE">
        <w:trPr>
          <w:cantSplit/>
        </w:trPr>
        <w:tc>
          <w:tcPr>
            <w:tcW w:w="2306" w:type="dxa"/>
          </w:tcPr>
          <w:p w14:paraId="03087392" w14:textId="29E17E77" w:rsidR="0036555D" w:rsidRDefault="0036555D" w:rsidP="00E760BE">
            <w:r>
              <w:t>Dolatkhah et al 2015</w:t>
            </w:r>
            <w:r w:rsidR="00AB21E2">
              <w:fldChar w:fldCharType="begin">
                <w:fldData xml:space="preserve">PEVuZE5vdGU+PENpdGU+PEF1dGhvcj5Eb2xhdGtoYWg8L0F1dGhvcj48WWVhcj4yMDE1PC9ZZWFy
PjxSZWNOdW0+MTY4NTwvUmVjTnVtPjxEaXNwbGF5VGV4dD48c3R5bGUgZmFjZT0ic3VwZXJzY3Jp
cHQiIGZvbnQ9IlRyZWJ1Y2hldCBNUyIgc2l6ZT0iOSI+MjQ0PC9zdHlsZT48L0Rpc3BsYXlUZXh0
PjxyZWNvcmQ+PHJlYy1udW1iZXI+MTY4NTwvcmVjLW51bWJlcj48Zm9yZWlnbi1rZXlzPjxrZXkg
YXBwPSJFTiIgZGItaWQ9ImV4dmFzcmZ4MmR0cmFvZXNhc3hwMnN6c3hhMmRmNTAyNTkyeCIgdGlt
ZXN0YW1wPSIxNTgxODMyMDc2Ij4xNjg1PC9rZXk+PC9mb3JlaWduLWtleXM+PHJlZi10eXBlIG5h
bWU9IkpvdXJuYWwgQXJ0aWNsZSI+MTc8L3JlZi10eXBlPjxjb250cmlidXRvcnM+PGF1dGhvcnM+
PGF1dGhvcj5Eb2xhdGtoYWgsIE4uPC9hdXRob3I+PGF1dGhvcj5IYWppZmFyYWppLCBNLjwvYXV0
aG9yPjxhdXRob3I+QWJiYXNhbGl6YWRlaCwgRi48L2F1dGhvcj48YXV0aG9yPkFnaGFtb2hhbW1h
ZHphZGVoLCBOLjwvYXV0aG9yPjxhdXRob3I+TWVocmFiaSwgWS48L2F1dGhvcj48YXV0aG9yPkFi
YmFzaSwgTS4gTS48L2F1dGhvcj48L2F1dGhvcnM+PC9jb250cmlidXRvcnM+PGF1dGgtYWRkcmVz
cz5EZXBhcnRtZW50IG9mIE51dHJpdGlvbiBTY2llbmNlcywgU2hhaGlkIEJlaGVzaHRpIFVuaXZl
cnNpdHkgb2YgTWVkaWNhbCBTY2llbmNlcyAoU0JVTVMpLCBJbnRlcm5hdGlvbmFsIEJyYW5jaCwg
dGVocmFuLCBpcmFuLiBuZWRhLmRvbGF0a2hhaGJAZ21haWwuY29tLiYjeEQ7TnV0cml0aW9uIFNv
Y2lldHksIE5hdGlvbmFsIE51dHJpdGlvbiBhbmQgRm9vZCBUZWNobm9sb2d5IFJlc2VhcmNoIElu
c3RpdHV0ZSwgRmFjdWx0eSBvZiBOdXRyaXRpb24gYW5kIEZvb2QgVGVjaG5vbG9neSwgQmVoZXNo
dGkgVW5pdmVyc2l0eSBvZiBNZWRpY2FsIFNjaWVuY2VzLCBCYXJhbiAzLCBXZXN0IEFyZ2hhdmFu
LCBGYXJhaHphZGkgQmx2ZC4sIFNoYWhyYWsgUW9kcywgMTkzOTUtNDc0MSwgaXN0YW5idWwsIDE5
ODE2MTk1NzMsIHR1cmtleS4gbS5oYWppZmFyYWppQG5uZnRyaS5hYy5pci4mI3hEO0RlcGFydG1l
bnQgb2YgT2JzdGV0cmljcyAmYW1wOyBHeW5lY29sb2d5LCBUYWJyaXogVW5pdmVyc2l0eSBvZiBN
ZWRpY2FsIFNjaWVuY2VzLCB0YWJyaXosIGlyYW4uIGZhdGVtZWguYWJhc2FsaXphZGVoQHlhaG9v
LmNvbS4mI3hEO1NlY3Rpb24gb2YgRW5kb2NyaW5vbG9neSAmYW1wOyBNZXRhYm9saXNtLCBEZXBh
cnRtZW50IG9mIEludGVybmFsIE1lZGljaW5lLCBUYWJyaXogVW5pdmVyc2l0eSBvZiBNZWRpY2Fs
IFNjaWVuY2VzLCBUYWJyaXosIElyYW4uIG5hc2VyLmFnaGFtb2hhbW1hZHphZGVoQHlhaG9vLmNv
bS4mI3hEO0RlcGFydG1lbnQgb2YgQmlvc3RhdGlzdGljcyAmYW1wOyBFcGlkZW1pb2xvZ3ksIFNo
YWhpZCBCZWhlc2h0aSBVbml2ZXJzaXR5IG9mIE1lZGljYWwgU2NpZW5jZXMsIFRlaHJhbiwgSXJh
bi4geWFkb2xsYWgubWVocmFiaWJAZ21haWwuY29tLiYjeEQ7RHJ1ZyBBcHBsaWVkIFJlc2VhcmNo
IENlbnRlciwgVGFicml6IFVuaXZlcnNpdHkgb2YgTWVkaWNhbCBTY2llbmNlcywgVGFicml6LCBJ
cmFuLiBtZWhyYW4ubWVzZ2FyaWFiYmFzaUBnbWFpbC5jb20uPC9hdXRoLWFkZHJlc3M+PHRpdGxl
cz48dGl0bGU+SXMgdGhlcmUgYSB2YWx1ZSBmb3IgcHJvYmlvdGljIHN1cHBsZW1lbnRzIGluIGdl
c3RhdGlvbmFsIGRpYWJldGVzIG1lbGxpdHVzPyBBIHJhbmRvbWl6ZWQgY2xpbmljYWwgdHJpYWw8
L3RpdGxlPjxzZWNvbmRhcnktdGl0bGU+SiBIZWFsdGggUG9wdWwgTnV0cjwvc2Vjb25kYXJ5LXRp
dGxlPjwvdGl0bGVzPjxwZXJpb2RpY2FsPjxmdWxsLXRpdGxlPkogSGVhbHRoIFBvcHVsIE51dHI8
L2Z1bGwtdGl0bGU+PC9wZXJpb2RpY2FsPjxwYWdlcz4yNTwvcGFnZXM+PHZvbHVtZT4zMzwvdm9s
dW1lPjxlZGl0aW9uPjIwMTYvMDEvMzE8L2VkaXRpb24+PGtleXdvcmRzPjxrZXl3b3JkPkFkdWx0
PC9rZXl3b3JkPjxrZXl3b3JkPkFudGktT2Jlc2l0eSBBZ2VudHMvKnRoZXJhcGV1dGljIHVzZTwv
a2V5d29yZD48a2V5d29yZD5CaWZpZG9iYWN0ZXJpdW0gYW5pbWFsaXMvZ3Jvd3RoICZhbXA7IGRl
dmVsb3BtZW50PC9rZXl3b3JkPjxrZXl3b3JkPkJsb29kIEdsdWNvc2UvYW5hbHlzaXM8L2tleXdv
cmQ+PGtleXdvcmQ+RGlhYmV0ZXMsIEdlc3RhdGlvbmFsL2Jsb29kLypkaWV0IHRoZXJhcHkvbWV0
YWJvbGlzbTwva2V5d29yZD48a2V5d29yZD5EaWV0LCBEaWFiZXRpYzwva2V5d29yZD48a2V5d29y
ZD5Eb3VibGUtQmxpbmQgTWV0aG9kPC9rZXl3b3JkPjxrZXl3b3JkPkZlbWFsZTwva2V5d29yZD48
a2V5d29yZD5IdW1hbnM8L2tleXdvcmQ+PGtleXdvcmQ+SHlwZXJnbHljZW1pYS8qcHJldmVudGlv
biAmYW1wOyBjb250cm9sPC9rZXl3b3JkPjxrZXl3b3JkPkh5cG9nbHljZW1pYyBBZ2VudHMvKnRo
ZXJhcGV1dGljIHVzZTwva2V5d29yZD48a2V5d29yZD4qSW5zdWxpbiBSZXNpc3RhbmNlPC9rZXl3
b3JkPjxrZXl3b3JkPklyYW48L2tleXdvcmQ+PGtleXdvcmQ+TGFjdG9iYWNpbGx1cyBhY2lkb3Bo
aWx1cy9ncm93dGggJmFtcDsgZGV2ZWxvcG1lbnQ8L2tleXdvcmQ+PGtleXdvcmQ+TGFjdG9iYWNp
bGx1cyBkZWxicnVlY2tpaS9ncm93dGggJmFtcDsgZGV2ZWxvcG1lbnQ8L2tleXdvcmQ+PGtleXdv
cmQ+Kk1hdGVybmFsIE51dHJpdGlvbmFsIFBoeXNpb2xvZ2ljYWwgUGhlbm9tZW5hPC9rZXl3b3Jk
PjxrZXl3b3JkPlByZWduYW5jeTwva2V5d29yZD48a2V5d29yZD5QcmVnbmFuY3kgVHJpbWVzdGVy
LCBUaGlyZDwva2V5d29yZD48a2V5d29yZD5Qcm9iaW90aWNzLyp0aGVyYXBldXRpYyB1c2U8L2tl
eXdvcmQ+PGtleXdvcmQ+U3RyZXB0b2NvY2N1cyB0aGVybW9waGlsdXMvZ3Jvd3RoICZhbXA7IGRl
dmVsb3BtZW50PC9rZXl3b3JkPjxrZXl3b3JkPldlaWdodCBHYWluPC9rZXl3b3JkPjxrZXl3b3Jk
PllvdW5nIEFkdWx0PC9rZXl3b3JkPjwva2V5d29yZHM+PGRhdGVzPjx5ZWFyPjIwMTU8L3llYXI+
PHB1Yi1kYXRlcz48ZGF0ZT5Ob3YgMjU8L2RhdGU+PC9wdWItZGF0ZXM+PC9kYXRlcz48aXNibj4y
MDcyLTEzMTUgKEVsZWN0cm9uaWMpJiN4RDsxNjA2LTA5OTcgKExpbmtpbmcpPC9pc2JuPjxhY2Nl
c3Npb24tbnVtPjI2ODI1NjY2PC9hY2Nlc3Npb24tbnVtPjx1cmxzPjxyZWxhdGVkLXVybHM+PHVy
bD5odHRwczovL3d3dy5uY2JpLm5sbS5uaWguZ292L3B1Ym1lZC8yNjgyNTY2NjwvdXJsPjwvcmVs
YXRlZC11cmxzPjwvdXJscz48Y3VzdG9tMj5QTUM1MDI2MDE4PC9jdXN0b20yPjxlbGVjdHJvbmlj
LXJlc291cmNlLW51bT4xMC4xMTg2L3M0MTA0My0wMTUtMDAzNC05PC9lbGVjdHJvbmljLXJlc291
cmNlLW51bT48L3JlY29yZD48L0NpdGU+PC9FbmROb3RlPgB=
</w:fldData>
              </w:fldChar>
            </w:r>
            <w:r w:rsidR="002747EA">
              <w:instrText xml:space="preserve"> ADDIN EN.CITE </w:instrText>
            </w:r>
            <w:r w:rsidR="002747EA">
              <w:fldChar w:fldCharType="begin">
                <w:fldData xml:space="preserve">PEVuZE5vdGU+PENpdGU+PEF1dGhvcj5Eb2xhdGtoYWg8L0F1dGhvcj48WWVhcj4yMDE1PC9ZZWFy
PjxSZWNOdW0+MTY4NTwvUmVjTnVtPjxEaXNwbGF5VGV4dD48c3R5bGUgZmFjZT0ic3VwZXJzY3Jp
cHQiIGZvbnQ9IlRyZWJ1Y2hldCBNUyIgc2l6ZT0iOSI+MjQ0PC9zdHlsZT48L0Rpc3BsYXlUZXh0
PjxyZWNvcmQ+PHJlYy1udW1iZXI+MTY4NTwvcmVjLW51bWJlcj48Zm9yZWlnbi1rZXlzPjxrZXkg
YXBwPSJFTiIgZGItaWQ9ImV4dmFzcmZ4MmR0cmFvZXNhc3hwMnN6c3hhMmRmNTAyNTkyeCIgdGlt
ZXN0YW1wPSIxNTgxODMyMDc2Ij4xNjg1PC9rZXk+PC9mb3JlaWduLWtleXM+PHJlZi10eXBlIG5h
bWU9IkpvdXJuYWwgQXJ0aWNsZSI+MTc8L3JlZi10eXBlPjxjb250cmlidXRvcnM+PGF1dGhvcnM+
PGF1dGhvcj5Eb2xhdGtoYWgsIE4uPC9hdXRob3I+PGF1dGhvcj5IYWppZmFyYWppLCBNLjwvYXV0
aG9yPjxhdXRob3I+QWJiYXNhbGl6YWRlaCwgRi48L2F1dGhvcj48YXV0aG9yPkFnaGFtb2hhbW1h
ZHphZGVoLCBOLjwvYXV0aG9yPjxhdXRob3I+TWVocmFiaSwgWS48L2F1dGhvcj48YXV0aG9yPkFi
YmFzaSwgTS4gTS48L2F1dGhvcj48L2F1dGhvcnM+PC9jb250cmlidXRvcnM+PGF1dGgtYWRkcmVz
cz5EZXBhcnRtZW50IG9mIE51dHJpdGlvbiBTY2llbmNlcywgU2hhaGlkIEJlaGVzaHRpIFVuaXZl
cnNpdHkgb2YgTWVkaWNhbCBTY2llbmNlcyAoU0JVTVMpLCBJbnRlcm5hdGlvbmFsIEJyYW5jaCwg
dGVocmFuLCBpcmFuLiBuZWRhLmRvbGF0a2hhaGJAZ21haWwuY29tLiYjeEQ7TnV0cml0aW9uIFNv
Y2lldHksIE5hdGlvbmFsIE51dHJpdGlvbiBhbmQgRm9vZCBUZWNobm9sb2d5IFJlc2VhcmNoIElu
c3RpdHV0ZSwgRmFjdWx0eSBvZiBOdXRyaXRpb24gYW5kIEZvb2QgVGVjaG5vbG9neSwgQmVoZXNo
dGkgVW5pdmVyc2l0eSBvZiBNZWRpY2FsIFNjaWVuY2VzLCBCYXJhbiAzLCBXZXN0IEFyZ2hhdmFu
LCBGYXJhaHphZGkgQmx2ZC4sIFNoYWhyYWsgUW9kcywgMTkzOTUtNDc0MSwgaXN0YW5idWwsIDE5
ODE2MTk1NzMsIHR1cmtleS4gbS5oYWppZmFyYWppQG5uZnRyaS5hYy5pci4mI3hEO0RlcGFydG1l
bnQgb2YgT2JzdGV0cmljcyAmYW1wOyBHeW5lY29sb2d5LCBUYWJyaXogVW5pdmVyc2l0eSBvZiBN
ZWRpY2FsIFNjaWVuY2VzLCB0YWJyaXosIGlyYW4uIGZhdGVtZWguYWJhc2FsaXphZGVoQHlhaG9v
LmNvbS4mI3hEO1NlY3Rpb24gb2YgRW5kb2NyaW5vbG9neSAmYW1wOyBNZXRhYm9saXNtLCBEZXBh
cnRtZW50IG9mIEludGVybmFsIE1lZGljaW5lLCBUYWJyaXogVW5pdmVyc2l0eSBvZiBNZWRpY2Fs
IFNjaWVuY2VzLCBUYWJyaXosIElyYW4uIG5hc2VyLmFnaGFtb2hhbW1hZHphZGVoQHlhaG9vLmNv
bS4mI3hEO0RlcGFydG1lbnQgb2YgQmlvc3RhdGlzdGljcyAmYW1wOyBFcGlkZW1pb2xvZ3ksIFNo
YWhpZCBCZWhlc2h0aSBVbml2ZXJzaXR5IG9mIE1lZGljYWwgU2NpZW5jZXMsIFRlaHJhbiwgSXJh
bi4geWFkb2xsYWgubWVocmFiaWJAZ21haWwuY29tLiYjeEQ7RHJ1ZyBBcHBsaWVkIFJlc2VhcmNo
IENlbnRlciwgVGFicml6IFVuaXZlcnNpdHkgb2YgTWVkaWNhbCBTY2llbmNlcywgVGFicml6LCBJ
cmFuLiBtZWhyYW4ubWVzZ2FyaWFiYmFzaUBnbWFpbC5jb20uPC9hdXRoLWFkZHJlc3M+PHRpdGxl
cz48dGl0bGU+SXMgdGhlcmUgYSB2YWx1ZSBmb3IgcHJvYmlvdGljIHN1cHBsZW1lbnRzIGluIGdl
c3RhdGlvbmFsIGRpYWJldGVzIG1lbGxpdHVzPyBBIHJhbmRvbWl6ZWQgY2xpbmljYWwgdHJpYWw8
L3RpdGxlPjxzZWNvbmRhcnktdGl0bGU+SiBIZWFsdGggUG9wdWwgTnV0cjwvc2Vjb25kYXJ5LXRp
dGxlPjwvdGl0bGVzPjxwZXJpb2RpY2FsPjxmdWxsLXRpdGxlPkogSGVhbHRoIFBvcHVsIE51dHI8
L2Z1bGwtdGl0bGU+PC9wZXJpb2RpY2FsPjxwYWdlcz4yNTwvcGFnZXM+PHZvbHVtZT4zMzwvdm9s
dW1lPjxlZGl0aW9uPjIwMTYvMDEvMzE8L2VkaXRpb24+PGtleXdvcmRzPjxrZXl3b3JkPkFkdWx0
PC9rZXl3b3JkPjxrZXl3b3JkPkFudGktT2Jlc2l0eSBBZ2VudHMvKnRoZXJhcGV1dGljIHVzZTwv
a2V5d29yZD48a2V5d29yZD5CaWZpZG9iYWN0ZXJpdW0gYW5pbWFsaXMvZ3Jvd3RoICZhbXA7IGRl
dmVsb3BtZW50PC9rZXl3b3JkPjxrZXl3b3JkPkJsb29kIEdsdWNvc2UvYW5hbHlzaXM8L2tleXdv
cmQ+PGtleXdvcmQ+RGlhYmV0ZXMsIEdlc3RhdGlvbmFsL2Jsb29kLypkaWV0IHRoZXJhcHkvbWV0
YWJvbGlzbTwva2V5d29yZD48a2V5d29yZD5EaWV0LCBEaWFiZXRpYzwva2V5d29yZD48a2V5d29y
ZD5Eb3VibGUtQmxpbmQgTWV0aG9kPC9rZXl3b3JkPjxrZXl3b3JkPkZlbWFsZTwva2V5d29yZD48
a2V5d29yZD5IdW1hbnM8L2tleXdvcmQ+PGtleXdvcmQ+SHlwZXJnbHljZW1pYS8qcHJldmVudGlv
biAmYW1wOyBjb250cm9sPC9rZXl3b3JkPjxrZXl3b3JkPkh5cG9nbHljZW1pYyBBZ2VudHMvKnRo
ZXJhcGV1dGljIHVzZTwva2V5d29yZD48a2V5d29yZD4qSW5zdWxpbiBSZXNpc3RhbmNlPC9rZXl3
b3JkPjxrZXl3b3JkPklyYW48L2tleXdvcmQ+PGtleXdvcmQ+TGFjdG9iYWNpbGx1cyBhY2lkb3Bo
aWx1cy9ncm93dGggJmFtcDsgZGV2ZWxvcG1lbnQ8L2tleXdvcmQ+PGtleXdvcmQ+TGFjdG9iYWNp
bGx1cyBkZWxicnVlY2tpaS9ncm93dGggJmFtcDsgZGV2ZWxvcG1lbnQ8L2tleXdvcmQ+PGtleXdv
cmQ+Kk1hdGVybmFsIE51dHJpdGlvbmFsIFBoeXNpb2xvZ2ljYWwgUGhlbm9tZW5hPC9rZXl3b3Jk
PjxrZXl3b3JkPlByZWduYW5jeTwva2V5d29yZD48a2V5d29yZD5QcmVnbmFuY3kgVHJpbWVzdGVy
LCBUaGlyZDwva2V5d29yZD48a2V5d29yZD5Qcm9iaW90aWNzLyp0aGVyYXBldXRpYyB1c2U8L2tl
eXdvcmQ+PGtleXdvcmQ+U3RyZXB0b2NvY2N1cyB0aGVybW9waGlsdXMvZ3Jvd3RoICZhbXA7IGRl
dmVsb3BtZW50PC9rZXl3b3JkPjxrZXl3b3JkPldlaWdodCBHYWluPC9rZXl3b3JkPjxrZXl3b3Jk
PllvdW5nIEFkdWx0PC9rZXl3b3JkPjwva2V5d29yZHM+PGRhdGVzPjx5ZWFyPjIwMTU8L3llYXI+
PHB1Yi1kYXRlcz48ZGF0ZT5Ob3YgMjU8L2RhdGU+PC9wdWItZGF0ZXM+PC9kYXRlcz48aXNibj4y
MDcyLTEzMTUgKEVsZWN0cm9uaWMpJiN4RDsxNjA2LTA5OTcgKExpbmtpbmcpPC9pc2JuPjxhY2Nl
c3Npb24tbnVtPjI2ODI1NjY2PC9hY2Nlc3Npb24tbnVtPjx1cmxzPjxyZWxhdGVkLXVybHM+PHVy
bD5odHRwczovL3d3dy5uY2JpLm5sbS5uaWguZ292L3B1Ym1lZC8yNjgyNTY2NjwvdXJsPjwvcmVs
YXRlZC11cmxzPjwvdXJscz48Y3VzdG9tMj5QTUM1MDI2MDE4PC9jdXN0b20yPjxlbGVjdHJvbmlj
LXJlc291cmNlLW51bT4xMC4xMTg2L3M0MTA0My0wMTUtMDAzNC05PC9lbGVjdHJvbmljLXJlc291
cmNlLW51bT48L3JlY29yZD48L0NpdGU+PC9FbmROb3RlPgB=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244</w:t>
            </w:r>
            <w:r w:rsidR="00AB21E2">
              <w:fldChar w:fldCharType="end"/>
            </w:r>
          </w:p>
          <w:p w14:paraId="252CD0BA" w14:textId="76464EB3" w:rsidR="00213BC6" w:rsidRDefault="00213BC6" w:rsidP="00E760BE">
            <w:r>
              <w:t>Iran</w:t>
            </w:r>
          </w:p>
        </w:tc>
        <w:tc>
          <w:tcPr>
            <w:tcW w:w="2656" w:type="dxa"/>
          </w:tcPr>
          <w:p w14:paraId="435040CB" w14:textId="0C3D894F" w:rsidR="0036555D" w:rsidRDefault="0036555D" w:rsidP="00E760BE">
            <w:r>
              <w:t>Women with GDM</w:t>
            </w:r>
            <w:r w:rsidR="00855446">
              <w:t>; n=</w:t>
            </w:r>
            <w:r w:rsidR="00A476A9">
              <w:t>64</w:t>
            </w:r>
          </w:p>
        </w:tc>
        <w:tc>
          <w:tcPr>
            <w:tcW w:w="4536" w:type="dxa"/>
          </w:tcPr>
          <w:p w14:paraId="78D281B0" w14:textId="77777777" w:rsidR="0036555D" w:rsidRPr="003900B9" w:rsidRDefault="0036555D" w:rsidP="00E760BE">
            <w:r w:rsidRPr="003900B9">
              <w:rPr>
                <w:i/>
              </w:rPr>
              <w:t>Lactobacillus acidophilus</w:t>
            </w:r>
            <w:r w:rsidRPr="003900B9">
              <w:t xml:space="preserve"> LA-5, </w:t>
            </w:r>
            <w:r w:rsidRPr="003900B9">
              <w:rPr>
                <w:i/>
              </w:rPr>
              <w:t>Bifidobacterium</w:t>
            </w:r>
            <w:r w:rsidRPr="003900B9">
              <w:t xml:space="preserve"> </w:t>
            </w:r>
            <w:r w:rsidRPr="00F907DC">
              <w:rPr>
                <w:i/>
              </w:rPr>
              <w:t>animalis</w:t>
            </w:r>
            <w:r>
              <w:t xml:space="preserve"> </w:t>
            </w:r>
            <w:r w:rsidRPr="003900B9">
              <w:t>BB-12,</w:t>
            </w:r>
            <w:r>
              <w:t xml:space="preserve"> </w:t>
            </w:r>
            <w:r w:rsidRPr="003900B9">
              <w:rPr>
                <w:i/>
              </w:rPr>
              <w:t xml:space="preserve">Streptococcus thermophiles </w:t>
            </w:r>
            <w:r>
              <w:t xml:space="preserve">STY-31 and </w:t>
            </w:r>
            <w:r w:rsidRPr="003900B9">
              <w:rPr>
                <w:i/>
              </w:rPr>
              <w:t>Lactobacillus delbrueckii bulgaricus</w:t>
            </w:r>
            <w:r w:rsidRPr="003900B9">
              <w:t xml:space="preserve"> LBY-27)</w:t>
            </w:r>
            <w:r>
              <w:t xml:space="preserve"> (&gt;</w:t>
            </w:r>
            <w:r w:rsidRPr="003900B9">
              <w:t>4</w:t>
            </w:r>
            <w:r>
              <w:t>x</w:t>
            </w:r>
            <w:r w:rsidRPr="003900B9">
              <w:t>10</w:t>
            </w:r>
            <w:r w:rsidRPr="003900B9">
              <w:rPr>
                <w:vertAlign w:val="superscript"/>
              </w:rPr>
              <w:t xml:space="preserve">9 </w:t>
            </w:r>
            <w:r w:rsidRPr="003900B9">
              <w:t>cfu)</w:t>
            </w:r>
          </w:p>
        </w:tc>
        <w:tc>
          <w:tcPr>
            <w:tcW w:w="2551" w:type="dxa"/>
          </w:tcPr>
          <w:p w14:paraId="3EC623E4" w14:textId="77777777" w:rsidR="0036555D" w:rsidRDefault="0036555D" w:rsidP="00E760BE">
            <w:r>
              <w:t>From week 24-28</w:t>
            </w:r>
            <w:r w:rsidRPr="003900B9">
              <w:rPr>
                <w:vertAlign w:val="superscript"/>
              </w:rPr>
              <w:t>+6</w:t>
            </w:r>
            <w:r>
              <w:t xml:space="preserve"> until birth</w:t>
            </w:r>
          </w:p>
        </w:tc>
        <w:tc>
          <w:tcPr>
            <w:tcW w:w="1843" w:type="dxa"/>
          </w:tcPr>
          <w:p w14:paraId="525BAB7B" w14:textId="77777777" w:rsidR="0036555D" w:rsidRDefault="0036555D" w:rsidP="00E760BE">
            <w:r>
              <w:t>8 weeks</w:t>
            </w:r>
          </w:p>
        </w:tc>
      </w:tr>
      <w:tr w:rsidR="0036555D" w14:paraId="4DA67B82" w14:textId="77777777" w:rsidTr="00E760BE">
        <w:trPr>
          <w:cantSplit/>
        </w:trPr>
        <w:tc>
          <w:tcPr>
            <w:tcW w:w="2306" w:type="dxa"/>
          </w:tcPr>
          <w:p w14:paraId="06A564C3" w14:textId="5413A7E3" w:rsidR="0036555D" w:rsidRDefault="0036555D" w:rsidP="00E760BE">
            <w:r>
              <w:t>Dotterud et al 2010</w:t>
            </w:r>
            <w:r w:rsidR="00AB21E2">
              <w:fldChar w:fldCharType="begin">
                <w:fldData xml:space="preserve">PEVuZE5vdGU+PENpdGU+PEF1dGhvcj5Eb3R0ZXJ1ZDwvQXV0aG9yPjxZZWFyPjIwMTA8L1llYXI+
PFJlY051bT4xNjg2PC9SZWNOdW0+PERpc3BsYXlUZXh0PjxzdHlsZSBmYWNlPSJzdXBlcnNjcmlw
dCIgZm9udD0iVHJlYnVjaGV0IE1TIiBzaXplPSI5Ij4yNTI8L3N0eWxlPjwvRGlzcGxheVRleHQ+
PHJlY29yZD48cmVjLW51bWJlcj4xNjg2PC9yZWMtbnVtYmVyPjxmb3JlaWduLWtleXM+PGtleSBh
cHA9IkVOIiBkYi1pZD0iZXh2YXNyZngyZHRyYW9lc2FzeHAyc3pzeGEyZGY1MDI1OTJ4IiB0aW1l
c3RhbXA9IjE1ODE4MzIwNzYiPjE2ODY8L2tleT48L2ZvcmVpZ24ta2V5cz48cmVmLXR5cGUgbmFt
ZT0iSm91cm5hbCBBcnRpY2xlIj4xNzwvcmVmLXR5cGU+PGNvbnRyaWJ1dG9ycz48YXV0aG9ycz48
YXV0aG9yPkRvdHRlcnVkLCBDLiBLLjwvYXV0aG9yPjxhdXRob3I+U3RvcnJvLCBPLjwvYXV0aG9y
PjxhdXRob3I+Sm9obnNlbiwgUi48L2F1dGhvcj48YXV0aG9yPk9pZW4sIFQuPC9hdXRob3I+PC9h
dXRob3JzPjwvY29udHJpYnV0b3JzPjxhdXRoLWFkZHJlc3M+RGVwYXJ0bWVudCBvZiBQdWJsaWMg
SGVhbHRoIGFuZCBHZW5lcmFsIFByYWN0aWNlLCBOb3J3ZWdpYW4gVW5pdmVyc2l0eSBvZiBTY2ll
bmNlIGFuZCBUZWNobm9sb2d5LCBOLTc0ODkgVHJvbmRoZWltLCBOb3J3YXkuIGRvdHRlcnVkQHN0
dWQubnRudS5ubzwvYXV0aC1hZGRyZXNzPjx0aXRsZXM+PHRpdGxlPlByb2Jpb3RpY3MgaW4gcHJl
Z25hbnQgd29tZW4gdG8gcHJldmVudCBhbGxlcmdpYyBkaXNlYXNlOiBhIHJhbmRvbWl6ZWQsIGRv
dWJsZS1ibGluZCB0cmlhbDwvdGl0bGU+PHNlY29uZGFyeS10aXRsZT5CciBKIERlcm1hdG9sPC9z
ZWNvbmRhcnktdGl0bGU+PC90aXRsZXM+PHBlcmlvZGljYWw+PGZ1bGwtdGl0bGU+QnIgSiBEZXJt
YXRvbDwvZnVsbC10aXRsZT48L3BlcmlvZGljYWw+PHBhZ2VzPjYxNi0yMzwvcGFnZXM+PHZvbHVt
ZT4xNjM8L3ZvbHVtZT48bnVtYmVyPjM8L251bWJlcj48ZWRpdGlvbj4yMDEwLzA2LzE2PC9lZGl0
aW9uPjxrZXl3b3Jkcz48a2V5d29yZD5BZHVsdDwva2V5d29yZD48a2V5d29yZD5Bc3RobWEvZXBp
ZGVtaW9sb2d5L3ByZXZlbnRpb24gJmFtcDsgY29udHJvbDwva2V5d29yZD48a2V5d29yZD5CaWZp
ZG9iYWN0ZXJpdW08L2tleXdvcmQ+PGtleXdvcmQ+Q29uanVuY3Rpdml0aXMsIEFsbGVyZ2ljL2Vw
aWRlbWlvbG9neS9wcmV2ZW50aW9uICZhbXA7IGNvbnRyb2w8L2tleXdvcmQ+PGtleXdvcmQ+RGVy
bWF0aXRpcywgQXRvcGljL2VwaWRlbWlvbG9neS9wcmV2ZW50aW9uICZhbXA7IGNvbnRyb2w8L2tl
eXdvcmQ+PGtleXdvcmQ+RGlldGFyeSBTdXBwbGVtZW50czwva2V5d29yZD48a2V5d29yZD5Eb3Vi
bGUtQmxpbmQgTWV0aG9kPC9rZXl3b3JkPjxrZXl3b3JkPkVjemVtYS9lcGlkZW1pb2xvZ3kvcHJl
dmVudGlvbiAmYW1wOyBjb250cm9sPC9rZXl3b3JkPjxrZXl3b3JkPkZlbWFsZTwva2V5d29yZD48
a2V5d29yZD5IdW1hbnM8L2tleXdvcmQ+PGtleXdvcmQ+SHlwZXJzZW5zaXRpdml0eS9lcGlkZW1p
b2xvZ3kvKnByZXZlbnRpb24gJmFtcDsgY29udHJvbDwva2V5d29yZD48a2V5d29yZD5IeXBlcnNl
bnNpdGl2aXR5LCBJbW1lZGlhdGUvZXBpZGVtaW9sb2d5L3ByZXZlbnRpb24gJmFtcDsgY29udHJv
bDwva2V5d29yZD48a2V5d29yZD5JbmNpZGVuY2U8L2tleXdvcmQ+PGtleXdvcmQ+SW5mYW50PC9r
ZXl3b3JkPjxrZXl3b3JkPkluZmFudCwgTmV3Ym9ybjwva2V5d29yZD48a2V5d29yZD5JbnRlbnRp
b24gdG8gVHJlYXQgQW5hbHlzaXM8L2tleXdvcmQ+PGtleXdvcmQ+TGFjdG9iYWNpbGx1cyBhY2lk
b3BoaWx1czwva2V5d29yZD48a2V5d29yZD5MYWN0b2JhY2lsbHVzIHJoYW1ub3N1czwva2V5d29y
ZD48a2V5d29yZD5QcmVnbmFuY3k8L2tleXdvcmQ+PGtleXdvcmQ+UHJvYmlvdGljcy8qdGhlcmFw
ZXV0aWMgdXNlPC9rZXl3b3JkPjxrZXl3b3JkPlN1cnZleXMgYW5kIFF1ZXN0aW9ubmFpcmVzPC9r
ZXl3b3JkPjwva2V5d29yZHM+PGRhdGVzPjx5ZWFyPjIwMTA8L3llYXI+PHB1Yi1kYXRlcz48ZGF0
ZT5TZXA8L2RhdGU+PC9wdWItZGF0ZXM+PC9kYXRlcz48aXNibj4xMzY1LTIxMzMgKEVsZWN0cm9u
aWMpJiN4RDswMDA3LTA5NjMgKExpbmtpbmcpPC9pc2JuPjxhY2Nlc3Npb24tbnVtPjIwNTQ1Njg4
PC9hY2Nlc3Npb24tbnVtPjx1cmxzPjxyZWxhdGVkLXVybHM+PHVybD5odHRwczovL3d3dy5uY2Jp
Lm5sbS5uaWguZ292L3B1Ym1lZC8yMDU0NTY4ODwvdXJsPjwvcmVsYXRlZC11cmxzPjwvdXJscz48
ZWxlY3Ryb25pYy1yZXNvdXJjZS1udW0+MTAuMTExMS9qLjEzNjUtMjEzMy4yMDEwLjA5ODg5Lng8
L2VsZWN0cm9uaWMtcmVzb3VyY2UtbnVtPjwvcmVjb3JkPjwvQ2l0ZT48L0VuZE5vdGU+
</w:fldData>
              </w:fldChar>
            </w:r>
            <w:r w:rsidR="002747EA">
              <w:instrText xml:space="preserve"> ADDIN EN.CITE </w:instrText>
            </w:r>
            <w:r w:rsidR="002747EA">
              <w:fldChar w:fldCharType="begin">
                <w:fldData xml:space="preserve">PEVuZE5vdGU+PENpdGU+PEF1dGhvcj5Eb3R0ZXJ1ZDwvQXV0aG9yPjxZZWFyPjIwMTA8L1llYXI+
PFJlY051bT4xNjg2PC9SZWNOdW0+PERpc3BsYXlUZXh0PjxzdHlsZSBmYWNlPSJzdXBlcnNjcmlw
dCIgZm9udD0iVHJlYnVjaGV0IE1TIiBzaXplPSI5Ij4yNTI8L3N0eWxlPjwvRGlzcGxheVRleHQ+
PHJlY29yZD48cmVjLW51bWJlcj4xNjg2PC9yZWMtbnVtYmVyPjxmb3JlaWduLWtleXM+PGtleSBh
cHA9IkVOIiBkYi1pZD0iZXh2YXNyZngyZHRyYW9lc2FzeHAyc3pzeGEyZGY1MDI1OTJ4IiB0aW1l
c3RhbXA9IjE1ODE4MzIwNzYiPjE2ODY8L2tleT48L2ZvcmVpZ24ta2V5cz48cmVmLXR5cGUgbmFt
ZT0iSm91cm5hbCBBcnRpY2xlIj4xNzwvcmVmLXR5cGU+PGNvbnRyaWJ1dG9ycz48YXV0aG9ycz48
YXV0aG9yPkRvdHRlcnVkLCBDLiBLLjwvYXV0aG9yPjxhdXRob3I+U3RvcnJvLCBPLjwvYXV0aG9y
PjxhdXRob3I+Sm9obnNlbiwgUi48L2F1dGhvcj48YXV0aG9yPk9pZW4sIFQuPC9hdXRob3I+PC9h
dXRob3JzPjwvY29udHJpYnV0b3JzPjxhdXRoLWFkZHJlc3M+RGVwYXJ0bWVudCBvZiBQdWJsaWMg
SGVhbHRoIGFuZCBHZW5lcmFsIFByYWN0aWNlLCBOb3J3ZWdpYW4gVW5pdmVyc2l0eSBvZiBTY2ll
bmNlIGFuZCBUZWNobm9sb2d5LCBOLTc0ODkgVHJvbmRoZWltLCBOb3J3YXkuIGRvdHRlcnVkQHN0
dWQubnRudS5ubzwvYXV0aC1hZGRyZXNzPjx0aXRsZXM+PHRpdGxlPlByb2Jpb3RpY3MgaW4gcHJl
Z25hbnQgd29tZW4gdG8gcHJldmVudCBhbGxlcmdpYyBkaXNlYXNlOiBhIHJhbmRvbWl6ZWQsIGRv
dWJsZS1ibGluZCB0cmlhbDwvdGl0bGU+PHNlY29uZGFyeS10aXRsZT5CciBKIERlcm1hdG9sPC9z
ZWNvbmRhcnktdGl0bGU+PC90aXRsZXM+PHBlcmlvZGljYWw+PGZ1bGwtdGl0bGU+QnIgSiBEZXJt
YXRvbDwvZnVsbC10aXRsZT48L3BlcmlvZGljYWw+PHBhZ2VzPjYxNi0yMzwvcGFnZXM+PHZvbHVt
ZT4xNjM8L3ZvbHVtZT48bnVtYmVyPjM8L251bWJlcj48ZWRpdGlvbj4yMDEwLzA2LzE2PC9lZGl0
aW9uPjxrZXl3b3Jkcz48a2V5d29yZD5BZHVsdDwva2V5d29yZD48a2V5d29yZD5Bc3RobWEvZXBp
ZGVtaW9sb2d5L3ByZXZlbnRpb24gJmFtcDsgY29udHJvbDwva2V5d29yZD48a2V5d29yZD5CaWZp
ZG9iYWN0ZXJpdW08L2tleXdvcmQ+PGtleXdvcmQ+Q29uanVuY3Rpdml0aXMsIEFsbGVyZ2ljL2Vw
aWRlbWlvbG9neS9wcmV2ZW50aW9uICZhbXA7IGNvbnRyb2w8L2tleXdvcmQ+PGtleXdvcmQ+RGVy
bWF0aXRpcywgQXRvcGljL2VwaWRlbWlvbG9neS9wcmV2ZW50aW9uICZhbXA7IGNvbnRyb2w8L2tl
eXdvcmQ+PGtleXdvcmQ+RGlldGFyeSBTdXBwbGVtZW50czwva2V5d29yZD48a2V5d29yZD5Eb3Vi
bGUtQmxpbmQgTWV0aG9kPC9rZXl3b3JkPjxrZXl3b3JkPkVjemVtYS9lcGlkZW1pb2xvZ3kvcHJl
dmVudGlvbiAmYW1wOyBjb250cm9sPC9rZXl3b3JkPjxrZXl3b3JkPkZlbWFsZTwva2V5d29yZD48
a2V5d29yZD5IdW1hbnM8L2tleXdvcmQ+PGtleXdvcmQ+SHlwZXJzZW5zaXRpdml0eS9lcGlkZW1p
b2xvZ3kvKnByZXZlbnRpb24gJmFtcDsgY29udHJvbDwva2V5d29yZD48a2V5d29yZD5IeXBlcnNl
bnNpdGl2aXR5LCBJbW1lZGlhdGUvZXBpZGVtaW9sb2d5L3ByZXZlbnRpb24gJmFtcDsgY29udHJv
bDwva2V5d29yZD48a2V5d29yZD5JbmNpZGVuY2U8L2tleXdvcmQ+PGtleXdvcmQ+SW5mYW50PC9r
ZXl3b3JkPjxrZXl3b3JkPkluZmFudCwgTmV3Ym9ybjwva2V5d29yZD48a2V5d29yZD5JbnRlbnRp
b24gdG8gVHJlYXQgQW5hbHlzaXM8L2tleXdvcmQ+PGtleXdvcmQ+TGFjdG9iYWNpbGx1cyBhY2lk
b3BoaWx1czwva2V5d29yZD48a2V5d29yZD5MYWN0b2JhY2lsbHVzIHJoYW1ub3N1czwva2V5d29y
ZD48a2V5d29yZD5QcmVnbmFuY3k8L2tleXdvcmQ+PGtleXdvcmQ+UHJvYmlvdGljcy8qdGhlcmFw
ZXV0aWMgdXNlPC9rZXl3b3JkPjxrZXl3b3JkPlN1cnZleXMgYW5kIFF1ZXN0aW9ubmFpcmVzPC9r
ZXl3b3JkPjwva2V5d29yZHM+PGRhdGVzPjx5ZWFyPjIwMTA8L3llYXI+PHB1Yi1kYXRlcz48ZGF0
ZT5TZXA8L2RhdGU+PC9wdWItZGF0ZXM+PC9kYXRlcz48aXNibj4xMzY1LTIxMzMgKEVsZWN0cm9u
aWMpJiN4RDswMDA3LTA5NjMgKExpbmtpbmcpPC9pc2JuPjxhY2Nlc3Npb24tbnVtPjIwNTQ1Njg4
PC9hY2Nlc3Npb24tbnVtPjx1cmxzPjxyZWxhdGVkLXVybHM+PHVybD5odHRwczovL3d3dy5uY2Jp
Lm5sbS5uaWguZ292L3B1Ym1lZC8yMDU0NTY4ODwvdXJsPjwvcmVsYXRlZC11cmxzPjwvdXJscz48
ZWxlY3Ryb25pYy1yZXNvdXJjZS1udW0+MTAuMTExMS9qLjEzNjUtMjEzMy4yMDEwLjA5ODg5Lng8
L2VsZWN0cm9uaWMtcmVzb3VyY2UtbnVtPjwvcmVjb3JkPjwvQ2l0ZT48L0VuZE5vdGU+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252</w:t>
            </w:r>
            <w:r w:rsidR="00AB21E2">
              <w:fldChar w:fldCharType="end"/>
            </w:r>
          </w:p>
          <w:p w14:paraId="0993CCC2" w14:textId="121737DA" w:rsidR="00213BC6" w:rsidRDefault="00213BC6" w:rsidP="00E760BE">
            <w:r>
              <w:t>Norway</w:t>
            </w:r>
          </w:p>
        </w:tc>
        <w:tc>
          <w:tcPr>
            <w:tcW w:w="2656" w:type="dxa"/>
          </w:tcPr>
          <w:p w14:paraId="0622D225" w14:textId="7B355724" w:rsidR="0036555D" w:rsidRDefault="0036555D" w:rsidP="00E760BE">
            <w:r>
              <w:t>Healthy pregnant women</w:t>
            </w:r>
            <w:r w:rsidR="00A476A9">
              <w:t>; n=415</w:t>
            </w:r>
          </w:p>
        </w:tc>
        <w:tc>
          <w:tcPr>
            <w:tcW w:w="4536" w:type="dxa"/>
          </w:tcPr>
          <w:p w14:paraId="00E49A9B" w14:textId="77777777" w:rsidR="0036555D" w:rsidRDefault="0036555D" w:rsidP="00E760BE">
            <w:r w:rsidRPr="00CC6396">
              <w:rPr>
                <w:i/>
              </w:rPr>
              <w:t xml:space="preserve">Lactobacillus rhamnosus </w:t>
            </w:r>
            <w:r>
              <w:t xml:space="preserve">GG, </w:t>
            </w:r>
            <w:r w:rsidRPr="00CC6396">
              <w:rPr>
                <w:i/>
              </w:rPr>
              <w:t>Lactobacillus acidophilus</w:t>
            </w:r>
            <w:r>
              <w:t xml:space="preserve"> LA5, </w:t>
            </w:r>
            <w:r w:rsidRPr="00CC6396">
              <w:rPr>
                <w:i/>
              </w:rPr>
              <w:t>Bifidobacterium animalis</w:t>
            </w:r>
            <w:r>
              <w:t xml:space="preserve"> subsp </w:t>
            </w:r>
            <w:r w:rsidRPr="00CC6396">
              <w:rPr>
                <w:i/>
              </w:rPr>
              <w:t>lactis</w:t>
            </w:r>
            <w:r>
              <w:t xml:space="preserve"> BB-12</w:t>
            </w:r>
          </w:p>
        </w:tc>
        <w:tc>
          <w:tcPr>
            <w:tcW w:w="2551" w:type="dxa"/>
          </w:tcPr>
          <w:p w14:paraId="5D0BD285" w14:textId="77777777" w:rsidR="0036555D" w:rsidRDefault="0036555D" w:rsidP="00E760BE">
            <w:r>
              <w:t>36 weeks until birth</w:t>
            </w:r>
          </w:p>
        </w:tc>
        <w:tc>
          <w:tcPr>
            <w:tcW w:w="1843" w:type="dxa"/>
          </w:tcPr>
          <w:p w14:paraId="29982A96" w14:textId="77777777" w:rsidR="0036555D" w:rsidRDefault="0036555D" w:rsidP="00E760BE">
            <w:r>
              <w:t>4 weeks</w:t>
            </w:r>
          </w:p>
        </w:tc>
      </w:tr>
      <w:tr w:rsidR="0036555D" w14:paraId="52610F40" w14:textId="77777777" w:rsidTr="00E760BE">
        <w:trPr>
          <w:cantSplit/>
        </w:trPr>
        <w:tc>
          <w:tcPr>
            <w:tcW w:w="2306" w:type="dxa"/>
          </w:tcPr>
          <w:p w14:paraId="620314B3" w14:textId="55352C3E" w:rsidR="0036555D" w:rsidRDefault="0036555D" w:rsidP="00E760BE">
            <w:r>
              <w:t>Gille et al 2016</w:t>
            </w:r>
            <w:r w:rsidR="00AB21E2">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instrText xml:space="preserve"> ADDIN EN.CITE </w:instrText>
            </w:r>
            <w:r w:rsidR="002747EA">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229</w:t>
            </w:r>
            <w:r w:rsidR="00AB21E2">
              <w:fldChar w:fldCharType="end"/>
            </w:r>
          </w:p>
          <w:p w14:paraId="06DCFADA" w14:textId="2B3DFE21" w:rsidR="00213BC6" w:rsidRDefault="00213BC6" w:rsidP="00E760BE">
            <w:r>
              <w:t>Germany</w:t>
            </w:r>
          </w:p>
        </w:tc>
        <w:tc>
          <w:tcPr>
            <w:tcW w:w="2656" w:type="dxa"/>
          </w:tcPr>
          <w:p w14:paraId="669041C1" w14:textId="4B947A33" w:rsidR="0036555D" w:rsidRDefault="0036555D" w:rsidP="00E760BE">
            <w:r>
              <w:t>Healthy pregnant women</w:t>
            </w:r>
            <w:r w:rsidR="00F34FBB">
              <w:t>; n=205</w:t>
            </w:r>
          </w:p>
        </w:tc>
        <w:tc>
          <w:tcPr>
            <w:tcW w:w="4536" w:type="dxa"/>
          </w:tcPr>
          <w:p w14:paraId="47376AAB" w14:textId="77777777" w:rsidR="0036555D" w:rsidRDefault="0036555D" w:rsidP="00E760BE">
            <w:r w:rsidRPr="00CE0204">
              <w:rPr>
                <w:i/>
              </w:rPr>
              <w:t>Lactobacillus rhamnosus</w:t>
            </w:r>
            <w:r w:rsidRPr="00496543">
              <w:t xml:space="preserve"> GR-1and </w:t>
            </w:r>
            <w:r w:rsidRPr="00CE0204">
              <w:rPr>
                <w:i/>
              </w:rPr>
              <w:t>L</w:t>
            </w:r>
            <w:r>
              <w:rPr>
                <w:i/>
              </w:rPr>
              <w:t>actobacillus</w:t>
            </w:r>
            <w:r w:rsidRPr="00CE0204">
              <w:rPr>
                <w:i/>
              </w:rPr>
              <w:t xml:space="preserve"> reuteri</w:t>
            </w:r>
            <w:r w:rsidRPr="00496543">
              <w:t xml:space="preserve"> RC-14 (10</w:t>
            </w:r>
            <w:r w:rsidRPr="00CE0204">
              <w:rPr>
                <w:vertAlign w:val="superscript"/>
              </w:rPr>
              <w:t>9</w:t>
            </w:r>
            <w:r w:rsidRPr="00496543">
              <w:t xml:space="preserve"> </w:t>
            </w:r>
            <w:r>
              <w:t>cfu</w:t>
            </w:r>
            <w:r w:rsidRPr="00496543">
              <w:t>)</w:t>
            </w:r>
          </w:p>
        </w:tc>
        <w:tc>
          <w:tcPr>
            <w:tcW w:w="2551" w:type="dxa"/>
          </w:tcPr>
          <w:p w14:paraId="34040EFE" w14:textId="77777777" w:rsidR="0036555D" w:rsidRDefault="0036555D" w:rsidP="00E760BE">
            <w:r>
              <w:t>From week 12</w:t>
            </w:r>
          </w:p>
        </w:tc>
        <w:tc>
          <w:tcPr>
            <w:tcW w:w="1843" w:type="dxa"/>
          </w:tcPr>
          <w:p w14:paraId="1ABFFD31" w14:textId="77777777" w:rsidR="0036555D" w:rsidRDefault="0036555D" w:rsidP="00E760BE">
            <w:r>
              <w:t>8 weeks</w:t>
            </w:r>
          </w:p>
        </w:tc>
      </w:tr>
      <w:tr w:rsidR="0036555D" w14:paraId="13221AFD" w14:textId="77777777" w:rsidTr="00E760BE">
        <w:trPr>
          <w:cantSplit/>
        </w:trPr>
        <w:tc>
          <w:tcPr>
            <w:tcW w:w="2306" w:type="dxa"/>
          </w:tcPr>
          <w:p w14:paraId="5B1393C0" w14:textId="28BB3FC8" w:rsidR="0036555D" w:rsidRDefault="0036555D" w:rsidP="00E760BE">
            <w:r>
              <w:t>Ho et al 2016</w:t>
            </w:r>
            <w:r w:rsidR="00AB21E2">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instrText xml:space="preserve"> ADDIN EN.CITE </w:instrText>
            </w:r>
            <w:r w:rsidR="002747EA">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230</w:t>
            </w:r>
            <w:r w:rsidR="00AB21E2">
              <w:fldChar w:fldCharType="end"/>
            </w:r>
          </w:p>
          <w:p w14:paraId="7092EAE8" w14:textId="19182071" w:rsidR="00213BC6" w:rsidRDefault="00213BC6" w:rsidP="00E760BE">
            <w:r>
              <w:t>Taiwan</w:t>
            </w:r>
          </w:p>
        </w:tc>
        <w:tc>
          <w:tcPr>
            <w:tcW w:w="2656" w:type="dxa"/>
          </w:tcPr>
          <w:p w14:paraId="4F4AAC42" w14:textId="1A20CB93" w:rsidR="0036555D" w:rsidRDefault="0036555D" w:rsidP="00E760BE">
            <w:r>
              <w:t>Women colonised with Group B streptococcus</w:t>
            </w:r>
            <w:r w:rsidR="00F34FBB">
              <w:t>; n=99</w:t>
            </w:r>
          </w:p>
        </w:tc>
        <w:tc>
          <w:tcPr>
            <w:tcW w:w="4536" w:type="dxa"/>
          </w:tcPr>
          <w:p w14:paraId="7EBF420E" w14:textId="77777777" w:rsidR="0036555D" w:rsidRDefault="0036555D" w:rsidP="00E760BE">
            <w:r w:rsidRPr="00F907DC">
              <w:rPr>
                <w:i/>
              </w:rPr>
              <w:t xml:space="preserve">Lactobacillus rhamnosus </w:t>
            </w:r>
            <w:r>
              <w:t xml:space="preserve">GR1, </w:t>
            </w:r>
            <w:r w:rsidRPr="00F907DC">
              <w:rPr>
                <w:i/>
              </w:rPr>
              <w:t xml:space="preserve">Lactobacillus reuteri </w:t>
            </w:r>
            <w:r>
              <w:t>RC14</w:t>
            </w:r>
          </w:p>
        </w:tc>
        <w:tc>
          <w:tcPr>
            <w:tcW w:w="2551" w:type="dxa"/>
          </w:tcPr>
          <w:p w14:paraId="0A560A60" w14:textId="77777777" w:rsidR="0036555D" w:rsidRDefault="0036555D" w:rsidP="00E760BE">
            <w:r>
              <w:t>From week 37 until birth</w:t>
            </w:r>
          </w:p>
        </w:tc>
        <w:tc>
          <w:tcPr>
            <w:tcW w:w="1843" w:type="dxa"/>
          </w:tcPr>
          <w:p w14:paraId="21D8BEF2" w14:textId="77777777" w:rsidR="0036555D" w:rsidRDefault="0036555D" w:rsidP="00E760BE">
            <w:r>
              <w:t>3 weeks</w:t>
            </w:r>
          </w:p>
        </w:tc>
      </w:tr>
      <w:tr w:rsidR="0036555D" w14:paraId="65FE8405" w14:textId="77777777" w:rsidTr="00E760BE">
        <w:trPr>
          <w:cantSplit/>
        </w:trPr>
        <w:tc>
          <w:tcPr>
            <w:tcW w:w="2306" w:type="dxa"/>
          </w:tcPr>
          <w:p w14:paraId="044B0F6F" w14:textId="10B6CE21" w:rsidR="0036555D" w:rsidRDefault="0036555D" w:rsidP="00E760BE">
            <w:r>
              <w:t>Husain et al 2019</w:t>
            </w:r>
            <w:r w:rsidR="00AB21E2">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instrText xml:space="preserve"> ADDIN EN.CITE </w:instrText>
            </w:r>
            <w:r w:rsidR="002747EA">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231</w:t>
            </w:r>
            <w:r w:rsidR="00AB21E2">
              <w:fldChar w:fldCharType="end"/>
            </w:r>
          </w:p>
          <w:p w14:paraId="1E7223EB" w14:textId="4E9BC7D3" w:rsidR="00213BC6" w:rsidRDefault="00213BC6" w:rsidP="00E760BE">
            <w:r>
              <w:t>United Kingdom</w:t>
            </w:r>
          </w:p>
        </w:tc>
        <w:tc>
          <w:tcPr>
            <w:tcW w:w="2656" w:type="dxa"/>
          </w:tcPr>
          <w:p w14:paraId="1BD8B734" w14:textId="2763F3C1" w:rsidR="0036555D" w:rsidRDefault="0036555D" w:rsidP="00E760BE">
            <w:r>
              <w:t>Healthy pregnant women</w:t>
            </w:r>
            <w:r w:rsidR="00F34FBB">
              <w:t xml:space="preserve">; </w:t>
            </w:r>
            <w:r w:rsidR="00A476A9">
              <w:t>n=</w:t>
            </w:r>
            <w:r w:rsidR="00F34FBB">
              <w:t>238</w:t>
            </w:r>
          </w:p>
        </w:tc>
        <w:tc>
          <w:tcPr>
            <w:tcW w:w="4536" w:type="dxa"/>
          </w:tcPr>
          <w:p w14:paraId="63F90EA5" w14:textId="77777777" w:rsidR="0036555D" w:rsidRDefault="0036555D" w:rsidP="00E760BE">
            <w:r w:rsidRPr="009E2F38">
              <w:rPr>
                <w:i/>
              </w:rPr>
              <w:t>Lactobacillus rhamnosus</w:t>
            </w:r>
            <w:r w:rsidRPr="00DC12C1">
              <w:t xml:space="preserve"> GR-1</w:t>
            </w:r>
            <w:r>
              <w:t>,</w:t>
            </w:r>
            <w:r w:rsidRPr="00DC12C1">
              <w:t xml:space="preserve"> </w:t>
            </w:r>
            <w:r w:rsidRPr="009E2F38">
              <w:rPr>
                <w:i/>
              </w:rPr>
              <w:t>Lactobacillus reuteri</w:t>
            </w:r>
            <w:r w:rsidRPr="00DC12C1">
              <w:t xml:space="preserve"> RC-14 </w:t>
            </w:r>
            <w:r>
              <w:t>(2.5x10</w:t>
            </w:r>
            <w:r w:rsidRPr="009E2F38">
              <w:rPr>
                <w:vertAlign w:val="superscript"/>
              </w:rPr>
              <w:t>9</w:t>
            </w:r>
            <w:r w:rsidRPr="00DC12C1">
              <w:t xml:space="preserve"> </w:t>
            </w:r>
            <w:r>
              <w:t>cfu each)</w:t>
            </w:r>
          </w:p>
        </w:tc>
        <w:tc>
          <w:tcPr>
            <w:tcW w:w="2551" w:type="dxa"/>
          </w:tcPr>
          <w:p w14:paraId="64B3B817" w14:textId="77777777" w:rsidR="0036555D" w:rsidRDefault="0036555D" w:rsidP="00E760BE">
            <w:r>
              <w:t>From week 9-14 until birth</w:t>
            </w:r>
          </w:p>
        </w:tc>
        <w:tc>
          <w:tcPr>
            <w:tcW w:w="1843" w:type="dxa"/>
          </w:tcPr>
          <w:p w14:paraId="5DAA36A0" w14:textId="77777777" w:rsidR="0036555D" w:rsidRDefault="0036555D" w:rsidP="00E760BE">
            <w:r>
              <w:t>26-31 weeks</w:t>
            </w:r>
          </w:p>
        </w:tc>
      </w:tr>
      <w:tr w:rsidR="0036555D" w14:paraId="3AFFC8E3" w14:textId="77777777" w:rsidTr="00E760BE">
        <w:trPr>
          <w:cantSplit/>
        </w:trPr>
        <w:tc>
          <w:tcPr>
            <w:tcW w:w="2306" w:type="dxa"/>
          </w:tcPr>
          <w:p w14:paraId="0A510ACF" w14:textId="62CCB9D0" w:rsidR="0036555D" w:rsidRDefault="0036555D" w:rsidP="00E760BE">
            <w:r>
              <w:t>Jafarnejad et al 2016</w:t>
            </w:r>
            <w:r w:rsidR="00AB21E2">
              <w:fldChar w:fldCharType="begin"/>
            </w:r>
            <w:r w:rsidR="002747EA">
              <w:instrText xml:space="preserve"> ADDIN EN.CITE &lt;EndNote&gt;&lt;Cite&gt;&lt;Author&gt;Jafarnejad&lt;/Author&gt;&lt;Year&gt;2016&lt;/Year&gt;&lt;RecNum&gt;1687&lt;/RecNum&gt;&lt;DisplayText&gt;&lt;style face="superscript" font="Trebuchet MS" size="9"&gt;245&lt;/style&gt;&lt;/DisplayText&gt;&lt;record&gt;&lt;rec-number&gt;1687&lt;/rec-number&gt;&lt;foreign-keys&gt;&lt;key app="EN" db-id="exvasrfx2dtraoesasxp2szsxa2df502592x" timestamp="1581832076"&gt;1687&lt;/key&gt;&lt;/foreign-keys&gt;&lt;ref-type name="Journal Article"&gt;17&lt;/ref-type&gt;&lt;contributors&gt;&lt;authors&gt;&lt;author&gt;Jafarnejad, S.&lt;/author&gt;&lt;author&gt;Saremi, S.&lt;/author&gt;&lt;author&gt;Jafarnejad, F.&lt;/author&gt;&lt;author&gt;Arab, A.&lt;/author&gt;&lt;/authors&gt;&lt;/contributors&gt;&lt;auth-address&gt;Department of Clinical Nutrition, School of Nutritional Sciences and Dietetic, Tehran University of Medical Sciences, P.O. Box 14155-6117, Tehran, Iran.&amp;#xD;Department of Public Health, Isfahan University of Medical Sciences, Isfahan, Iran.&amp;#xD;Department of Health Information Management, Mazandaran University of Medical Sciences, Sari, Iran.&amp;#xD;Department of Community Nutrition, School of Nutrition and Food Science, Isfahan University of Medical Sciences, Isfahan, Iran.&lt;/auth-address&gt;&lt;titles&gt;&lt;title&gt;Effects of a Multispecies Probiotic Mixture on Glycemic Control and Inflammatory Status in Women with Gestational Diabetes: A Randomized Controlled Clinical Trial&lt;/title&gt;&lt;secondary-title&gt;J Nutr Metab&lt;/secondary-title&gt;&lt;/titles&gt;&lt;periodical&gt;&lt;full-title&gt;J Nutr Metab&lt;/full-title&gt;&lt;/periodical&gt;&lt;pages&gt;5190846&lt;/pages&gt;&lt;volume&gt;2016&lt;/volume&gt;&lt;edition&gt;2016/07/19&lt;/edition&gt;&lt;dates&gt;&lt;year&gt;2016&lt;/year&gt;&lt;/dates&gt;&lt;isbn&gt;2090-0724 (Print)&amp;#xD;2090-0724 (Linking)&lt;/isbn&gt;&lt;accession-num&gt;27429803&lt;/accession-num&gt;&lt;urls&gt;&lt;related-urls&gt;&lt;url&gt;https://www.ncbi.nlm.nih.gov/pubmed/27429803&lt;/url&gt;&lt;/related-urls&gt;&lt;/urls&gt;&lt;custom2&gt;PMC4939193&lt;/custom2&gt;&lt;electronic-resource-num&gt;10.1155/2016/5190846&lt;/electronic-resource-num&gt;&lt;/record&gt;&lt;/Cite&gt;&lt;/EndNote&gt;</w:instrText>
            </w:r>
            <w:r w:rsidR="00AB21E2">
              <w:fldChar w:fldCharType="separate"/>
            </w:r>
            <w:r w:rsidR="002747EA" w:rsidRPr="002747EA">
              <w:rPr>
                <w:noProof/>
                <w:vertAlign w:val="superscript"/>
              </w:rPr>
              <w:t>245</w:t>
            </w:r>
            <w:r w:rsidR="00AB21E2">
              <w:fldChar w:fldCharType="end"/>
            </w:r>
          </w:p>
          <w:p w14:paraId="701BA33B" w14:textId="621858CD" w:rsidR="00213BC6" w:rsidRDefault="00213BC6" w:rsidP="00E760BE">
            <w:r>
              <w:t>Iran</w:t>
            </w:r>
          </w:p>
        </w:tc>
        <w:tc>
          <w:tcPr>
            <w:tcW w:w="2656" w:type="dxa"/>
          </w:tcPr>
          <w:p w14:paraId="6F521274" w14:textId="0AD48215" w:rsidR="0036555D" w:rsidRDefault="0036555D" w:rsidP="00E760BE">
            <w:r>
              <w:t>Women with GDM</w:t>
            </w:r>
            <w:r w:rsidR="00A476A9">
              <w:t>; n=82</w:t>
            </w:r>
          </w:p>
        </w:tc>
        <w:tc>
          <w:tcPr>
            <w:tcW w:w="4536" w:type="dxa"/>
          </w:tcPr>
          <w:p w14:paraId="3A9AEE71" w14:textId="77777777" w:rsidR="0036555D" w:rsidRPr="00F907DC" w:rsidRDefault="0036555D" w:rsidP="00E760BE">
            <w:pPr>
              <w:rPr>
                <w:i/>
              </w:rPr>
            </w:pPr>
            <w:r w:rsidRPr="00F907DC">
              <w:rPr>
                <w:i/>
              </w:rPr>
              <w:t>Lactobacillus acidophilus, Lactobacillus plantarum, Lactobacillus paracasei, Lactobacillus delbrueckii bulgaricus, Bifidobacterium breve, Bifidobacterium longum, Bifidobacterium infantis, Streptococcus thermophilus</w:t>
            </w:r>
          </w:p>
        </w:tc>
        <w:tc>
          <w:tcPr>
            <w:tcW w:w="2551" w:type="dxa"/>
          </w:tcPr>
          <w:p w14:paraId="64BA3A18" w14:textId="77777777" w:rsidR="0036555D" w:rsidRDefault="0036555D" w:rsidP="00E760BE">
            <w:r>
              <w:t>From mean gestational age 26.4 weeks until birth</w:t>
            </w:r>
          </w:p>
        </w:tc>
        <w:tc>
          <w:tcPr>
            <w:tcW w:w="1843" w:type="dxa"/>
          </w:tcPr>
          <w:p w14:paraId="57538AC7" w14:textId="77777777" w:rsidR="0036555D" w:rsidRDefault="0036555D" w:rsidP="00E760BE">
            <w:r>
              <w:t>8 weeks</w:t>
            </w:r>
          </w:p>
        </w:tc>
      </w:tr>
      <w:tr w:rsidR="0036555D" w14:paraId="0CB83B44" w14:textId="77777777" w:rsidTr="00E760BE">
        <w:trPr>
          <w:cantSplit/>
        </w:trPr>
        <w:tc>
          <w:tcPr>
            <w:tcW w:w="2306" w:type="dxa"/>
          </w:tcPr>
          <w:p w14:paraId="430ABEEE" w14:textId="050F00B3" w:rsidR="0036555D" w:rsidRDefault="0036555D" w:rsidP="00E760BE">
            <w:r>
              <w:t>Kalliomaki et al 2001</w:t>
            </w:r>
            <w:r w:rsidR="00AB21E2">
              <w:fldChar w:fldCharType="begin">
                <w:fldData xml:space="preserve">PEVuZE5vdGU+PENpdGU+PEF1dGhvcj5LYWxsaW9tYWtpPC9BdXRob3I+PFllYXI+MjAwMTwvWWVh
cj48UmVjTnVtPjE2ODg8L1JlY051bT48RGlzcGxheVRleHQ+PHN0eWxlIGZhY2U9InN1cGVyc2Ny
aXB0IiBmb250PSJUcmVidWNoZXQgTVMiIHNpemU9IjkiPjI0ODwvc3R5bGU+PC9EaXNwbGF5VGV4
dD48cmVjb3JkPjxyZWMtbnVtYmVyPjE2ODg8L3JlYy1udW1iZXI+PGZvcmVpZ24ta2V5cz48a2V5
IGFwcD0iRU4iIGRiLWlkPSJleHZhc3JmeDJkdHJhb2VzYXN4cDJzenN4YTJkZjUwMjU5MngiIHRp
bWVzdGFtcD0iMTU4MTgzMjA3NiI+MTY4ODwva2V5PjwvZm9yZWlnbi1rZXlzPjxyZWYtdHlwZSBu
YW1lPSJKb3VybmFsIEFydGljbGUiPjE3PC9yZWYtdHlwZT48Y29udHJpYnV0b3JzPjxhdXRob3Jz
PjxhdXRob3I+S2FsbGlvbWFraSwgTS48L2F1dGhvcj48YXV0aG9yPlNhbG1pbmVuLCBTLjwvYXV0
aG9yPjxhdXRob3I+QXJ2aWxvbW1pLCBILjwvYXV0aG9yPjxhdXRob3I+S2VybywgUC48L2F1dGhv
cj48YXV0aG9yPktvc2tpbmVuLCBQLjwvYXV0aG9yPjxhdXRob3I+SXNvbGF1cmksIEUuPC9hdXRo
b3I+PC9hdXRob3JzPjwvY29udHJpYnV0b3JzPjxhdXRoLWFkZHJlc3M+RGVwYXJ0bWVudCBvZiBQ
YWVkaWF0cmljcywgVW5pdmVyc2l0eSBvZiBUdXJrdSBhbmQgVHVya3UgVW5pdmVyc2l0eSBIb3Nw
aXRhbCwgRmlubGFuZC4gbWFya2FsQHV0dS5maTwvYXV0aC1hZGRyZXNzPjx0aXRsZXM+PHRpdGxl
PlByb2Jpb3RpY3MgaW4gcHJpbWFyeSBwcmV2ZW50aW9uIG9mIGF0b3BpYyBkaXNlYXNlOiBhIHJh
bmRvbWlzZWQgcGxhY2Viby1jb250cm9sbGVkIHRyaWFsPC90aXRsZT48c2Vjb25kYXJ5LXRpdGxl
PkxhbmNldDwvc2Vjb25kYXJ5LXRpdGxlPjwvdGl0bGVzPjxwZXJpb2RpY2FsPjxmdWxsLXRpdGxl
PkxhbmNldDwvZnVsbC10aXRsZT48L3BlcmlvZGljYWw+PHBhZ2VzPjEwNzYtOTwvcGFnZXM+PHZv
bHVtZT4zNTc8L3ZvbHVtZT48bnVtYmVyPjkyNjI8L251bWJlcj48ZWRpdGlvbj4yMDAxLzA0LzEy
PC9lZGl0aW9uPjxrZXl3b3Jkcz48a2V5d29yZD5DaGlsZCwgUHJlc2Nob29sPC9rZXl3b3JkPjxr
ZXl3b3JkPkNocm9uaWMgRGlzZWFzZTwva2V5d29yZD48a2V5d29yZD5EZXJtYXRpdGlzLCBBdG9w
aWMvZ2VuZXRpY3MvaW1tdW5vbG9neS9wcmV2ZW50aW9uICZhbXA7IGNvbnRyb2w8L2tleXdvcmQ+
PGtleXdvcmQ+RG91YmxlLUJsaW5kIE1ldGhvZDwva2V5d29yZD48a2V5d29yZD5GZW1hbGU8L2tl
eXdvcmQ+PGtleXdvcmQ+SHVtYW5zPC9rZXl3b3JkPjxrZXl3b3JkPkh5cGVyc2Vuc2l0aXZpdHks
IEltbWVkaWF0ZS9kaWFnbm9zaXMvZ2VuZXRpY3MvKnByZXZlbnRpb24gJmFtcDsgY29udHJvbDwv
a2V5d29yZD48a2V5d29yZD5JbW11bm9nbG9idWxpbiBFL2Jsb29kPC9rZXl3b3JkPjxrZXl3b3Jk
PkluZmFudDwva2V5d29yZD48a2V5d29yZD5JbmZhbnQsIE5ld2Jvcm48L2tleXdvcmQ+PGtleXdv
cmQ+SW50ZXN0aW5lcy9taWNyb2Jpb2xvZ3k8L2tleXdvcmQ+PGtleXdvcmQ+KkxhY3RvYmFjaWxs
dXM8L2tleXdvcmQ+PGtleXdvcmQ+UHJlZ25hbmN5PC9rZXl3b3JkPjxrZXl3b3JkPlByZW5hdGFs
IEV4cG9zdXJlIERlbGF5ZWQgRWZmZWN0czwva2V5d29yZD48a2V5d29yZD5QcmltYXJ5IFByZXZl
bnRpb248L2tleXdvcmQ+PGtleXdvcmQ+UHJvYmlvdGljcy9hZG1pbmlzdHJhdGlvbiAmYW1wOyBk
b3NhZ2UvKnRoZXJhcGV1dGljIHVzZTwva2V5d29yZD48a2V5d29yZD5SZWN1cnJlbmNlPC9rZXl3
b3JkPjxrZXl3b3JkPlJpc2sgRmFjdG9yczwva2V5d29yZD48a2V5d29yZD5Ta2luIFRlc3RzPC9r
ZXl3b3JkPjwva2V5d29yZHM+PGRhdGVzPjx5ZWFyPjIwMDE8L3llYXI+PHB1Yi1kYXRlcz48ZGF0
ZT5BcHIgNzwvZGF0ZT48L3B1Yi1kYXRlcz48L2RhdGVzPjxpc2JuPjAxNDAtNjczNiAoUHJpbnQp
JiN4RDswMTQwLTY3MzYgKExpbmtpbmcpPC9pc2JuPjxhY2Nlc3Npb24tbnVtPjExMjk3OTU4PC9h
Y2Nlc3Npb24tbnVtPjx1cmxzPjxyZWxhdGVkLXVybHM+PHVybD5odHRwczovL3d3dy5uY2JpLm5s
bS5uaWguZ292L3B1Ym1lZC8xMTI5Nzk1ODwvdXJsPjwvcmVsYXRlZC11cmxzPjwvdXJscz48ZWxl
Y3Ryb25pYy1yZXNvdXJjZS1udW0+MTAuMTAxNi9TMDE0MC02NzM2KDAwKTA0MjU5LTg8L2VsZWN0
cm9uaWMtcmVzb3VyY2UtbnVtPjwvcmVjb3JkPjwvQ2l0ZT48L0VuZE5vdGU+AG==
</w:fldData>
              </w:fldChar>
            </w:r>
            <w:r w:rsidR="002747EA">
              <w:instrText xml:space="preserve"> ADDIN EN.CITE </w:instrText>
            </w:r>
            <w:r w:rsidR="002747EA">
              <w:fldChar w:fldCharType="begin">
                <w:fldData xml:space="preserve">PEVuZE5vdGU+PENpdGU+PEF1dGhvcj5LYWxsaW9tYWtpPC9BdXRob3I+PFllYXI+MjAwMTwvWWVh
cj48UmVjTnVtPjE2ODg8L1JlY051bT48RGlzcGxheVRleHQ+PHN0eWxlIGZhY2U9InN1cGVyc2Ny
aXB0IiBmb250PSJUcmVidWNoZXQgTVMiIHNpemU9IjkiPjI0ODwvc3R5bGU+PC9EaXNwbGF5VGV4
dD48cmVjb3JkPjxyZWMtbnVtYmVyPjE2ODg8L3JlYy1udW1iZXI+PGZvcmVpZ24ta2V5cz48a2V5
IGFwcD0iRU4iIGRiLWlkPSJleHZhc3JmeDJkdHJhb2VzYXN4cDJzenN4YTJkZjUwMjU5MngiIHRp
bWVzdGFtcD0iMTU4MTgzMjA3NiI+MTY4ODwva2V5PjwvZm9yZWlnbi1rZXlzPjxyZWYtdHlwZSBu
YW1lPSJKb3VybmFsIEFydGljbGUiPjE3PC9yZWYtdHlwZT48Y29udHJpYnV0b3JzPjxhdXRob3Jz
PjxhdXRob3I+S2FsbGlvbWFraSwgTS48L2F1dGhvcj48YXV0aG9yPlNhbG1pbmVuLCBTLjwvYXV0
aG9yPjxhdXRob3I+QXJ2aWxvbW1pLCBILjwvYXV0aG9yPjxhdXRob3I+S2VybywgUC48L2F1dGhv
cj48YXV0aG9yPktvc2tpbmVuLCBQLjwvYXV0aG9yPjxhdXRob3I+SXNvbGF1cmksIEUuPC9hdXRo
b3I+PC9hdXRob3JzPjwvY29udHJpYnV0b3JzPjxhdXRoLWFkZHJlc3M+RGVwYXJ0bWVudCBvZiBQ
YWVkaWF0cmljcywgVW5pdmVyc2l0eSBvZiBUdXJrdSBhbmQgVHVya3UgVW5pdmVyc2l0eSBIb3Nw
aXRhbCwgRmlubGFuZC4gbWFya2FsQHV0dS5maTwvYXV0aC1hZGRyZXNzPjx0aXRsZXM+PHRpdGxl
PlByb2Jpb3RpY3MgaW4gcHJpbWFyeSBwcmV2ZW50aW9uIG9mIGF0b3BpYyBkaXNlYXNlOiBhIHJh
bmRvbWlzZWQgcGxhY2Viby1jb250cm9sbGVkIHRyaWFsPC90aXRsZT48c2Vjb25kYXJ5LXRpdGxl
PkxhbmNldDwvc2Vjb25kYXJ5LXRpdGxlPjwvdGl0bGVzPjxwZXJpb2RpY2FsPjxmdWxsLXRpdGxl
PkxhbmNldDwvZnVsbC10aXRsZT48L3BlcmlvZGljYWw+PHBhZ2VzPjEwNzYtOTwvcGFnZXM+PHZv
bHVtZT4zNTc8L3ZvbHVtZT48bnVtYmVyPjkyNjI8L251bWJlcj48ZWRpdGlvbj4yMDAxLzA0LzEy
PC9lZGl0aW9uPjxrZXl3b3Jkcz48a2V5d29yZD5DaGlsZCwgUHJlc2Nob29sPC9rZXl3b3JkPjxr
ZXl3b3JkPkNocm9uaWMgRGlzZWFzZTwva2V5d29yZD48a2V5d29yZD5EZXJtYXRpdGlzLCBBdG9w
aWMvZ2VuZXRpY3MvaW1tdW5vbG9neS9wcmV2ZW50aW9uICZhbXA7IGNvbnRyb2w8L2tleXdvcmQ+
PGtleXdvcmQ+RG91YmxlLUJsaW5kIE1ldGhvZDwva2V5d29yZD48a2V5d29yZD5GZW1hbGU8L2tl
eXdvcmQ+PGtleXdvcmQ+SHVtYW5zPC9rZXl3b3JkPjxrZXl3b3JkPkh5cGVyc2Vuc2l0aXZpdHks
IEltbWVkaWF0ZS9kaWFnbm9zaXMvZ2VuZXRpY3MvKnByZXZlbnRpb24gJmFtcDsgY29udHJvbDwv
a2V5d29yZD48a2V5d29yZD5JbW11bm9nbG9idWxpbiBFL2Jsb29kPC9rZXl3b3JkPjxrZXl3b3Jk
PkluZmFudDwva2V5d29yZD48a2V5d29yZD5JbmZhbnQsIE5ld2Jvcm48L2tleXdvcmQ+PGtleXdv
cmQ+SW50ZXN0aW5lcy9taWNyb2Jpb2xvZ3k8L2tleXdvcmQ+PGtleXdvcmQ+KkxhY3RvYmFjaWxs
dXM8L2tleXdvcmQ+PGtleXdvcmQ+UHJlZ25hbmN5PC9rZXl3b3JkPjxrZXl3b3JkPlByZW5hdGFs
IEV4cG9zdXJlIERlbGF5ZWQgRWZmZWN0czwva2V5d29yZD48a2V5d29yZD5QcmltYXJ5IFByZXZl
bnRpb248L2tleXdvcmQ+PGtleXdvcmQ+UHJvYmlvdGljcy9hZG1pbmlzdHJhdGlvbiAmYW1wOyBk
b3NhZ2UvKnRoZXJhcGV1dGljIHVzZTwva2V5d29yZD48a2V5d29yZD5SZWN1cnJlbmNlPC9rZXl3
b3JkPjxrZXl3b3JkPlJpc2sgRmFjdG9yczwva2V5d29yZD48a2V5d29yZD5Ta2luIFRlc3RzPC9r
ZXl3b3JkPjwva2V5d29yZHM+PGRhdGVzPjx5ZWFyPjIwMDE8L3llYXI+PHB1Yi1kYXRlcz48ZGF0
ZT5BcHIgNzwvZGF0ZT48L3B1Yi1kYXRlcz48L2RhdGVzPjxpc2JuPjAxNDAtNjczNiAoUHJpbnQp
JiN4RDswMTQwLTY3MzYgKExpbmtpbmcpPC9pc2JuPjxhY2Nlc3Npb24tbnVtPjExMjk3OTU4PC9h
Y2Nlc3Npb24tbnVtPjx1cmxzPjxyZWxhdGVkLXVybHM+PHVybD5odHRwczovL3d3dy5uY2JpLm5s
bS5uaWguZ292L3B1Ym1lZC8xMTI5Nzk1ODwvdXJsPjwvcmVsYXRlZC11cmxzPjwvdXJscz48ZWxl
Y3Ryb25pYy1yZXNvdXJjZS1udW0+MTAuMTAxNi9TMDE0MC02NzM2KDAwKTA0MjU5LTg8L2VsZWN0
cm9uaWMtcmVzb3VyY2UtbnVtPjwvcmVjb3JkPjwvQ2l0ZT48L0VuZE5vdGU+AG==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248</w:t>
            </w:r>
            <w:r w:rsidR="00AB21E2">
              <w:fldChar w:fldCharType="end"/>
            </w:r>
          </w:p>
          <w:p w14:paraId="01CA8915" w14:textId="1E647A05" w:rsidR="00213BC6" w:rsidRDefault="00213BC6" w:rsidP="00E760BE">
            <w:r>
              <w:t>Finland</w:t>
            </w:r>
          </w:p>
        </w:tc>
        <w:tc>
          <w:tcPr>
            <w:tcW w:w="2656" w:type="dxa"/>
          </w:tcPr>
          <w:p w14:paraId="51F98B39" w14:textId="25BC6AD6" w:rsidR="0036555D" w:rsidRDefault="0036555D" w:rsidP="00E760BE">
            <w:r>
              <w:t>Women carrying a fetus at risk of atopic disease</w:t>
            </w:r>
            <w:r w:rsidR="00A476A9">
              <w:t>; n=159</w:t>
            </w:r>
          </w:p>
        </w:tc>
        <w:tc>
          <w:tcPr>
            <w:tcW w:w="4536" w:type="dxa"/>
          </w:tcPr>
          <w:p w14:paraId="6D5EE412" w14:textId="77777777" w:rsidR="0036555D" w:rsidRDefault="0036555D" w:rsidP="00E760BE">
            <w:r w:rsidRPr="006B3B32">
              <w:rPr>
                <w:i/>
              </w:rPr>
              <w:t>Lactobacillus rhamnosus</w:t>
            </w:r>
            <w:r>
              <w:t xml:space="preserve"> GG</w:t>
            </w:r>
          </w:p>
        </w:tc>
        <w:tc>
          <w:tcPr>
            <w:tcW w:w="2551" w:type="dxa"/>
          </w:tcPr>
          <w:p w14:paraId="6C6079A0" w14:textId="77777777" w:rsidR="0036555D" w:rsidRDefault="0036555D" w:rsidP="00E760BE">
            <w:r>
              <w:t>From week 36-38 until birth</w:t>
            </w:r>
          </w:p>
        </w:tc>
        <w:tc>
          <w:tcPr>
            <w:tcW w:w="1843" w:type="dxa"/>
          </w:tcPr>
          <w:p w14:paraId="4C26EF54" w14:textId="77777777" w:rsidR="0036555D" w:rsidRDefault="0036555D" w:rsidP="00E760BE">
            <w:r>
              <w:t>2-4 weeks</w:t>
            </w:r>
          </w:p>
        </w:tc>
      </w:tr>
      <w:tr w:rsidR="0036555D" w14:paraId="36145B66" w14:textId="77777777" w:rsidTr="00E760BE">
        <w:trPr>
          <w:cantSplit/>
        </w:trPr>
        <w:tc>
          <w:tcPr>
            <w:tcW w:w="2306" w:type="dxa"/>
          </w:tcPr>
          <w:p w14:paraId="20E31D86" w14:textId="37E57EF1" w:rsidR="0036555D" w:rsidRDefault="0036555D" w:rsidP="00E760BE">
            <w:r>
              <w:t>Karamali et al 2016</w:t>
            </w:r>
            <w:r w:rsidR="00AB21E2">
              <w:fldChar w:fldCharType="begin">
                <w:fldData xml:space="preserve">PEVuZE5vdGU+PENpdGU+PEF1dGhvcj5LYXJhbWFsaTwvQXV0aG9yPjxZZWFyPjIwMTY8L1llYXI+
PFJlY051bT4xNjg5PC9SZWNOdW0+PERpc3BsYXlUZXh0PjxzdHlsZSBmYWNlPSJzdXBlcnNjcmlw
dCIgZm9udD0iVHJlYnVjaGV0IE1TIiBzaXplPSI5Ij4yNDI8L3N0eWxlPjwvRGlzcGxheVRleHQ+
PHJlY29yZD48cmVjLW51bWJlcj4xNjg5PC9yZWMtbnVtYmVyPjxmb3JlaWduLWtleXM+PGtleSBh
cHA9IkVOIiBkYi1pZD0iZXh2YXNyZngyZHRyYW9lc2FzeHAyc3pzeGEyZGY1MDI1OTJ4IiB0aW1l
c3RhbXA9IjE1ODE4MzIwNzYiPjE2ODk8L2tleT48L2ZvcmVpZ24ta2V5cz48cmVmLXR5cGUgbmFt
ZT0iSm91cm5hbCBBcnRpY2xlIj4xNzwvcmVmLXR5cGU+PGNvbnRyaWJ1dG9ycz48YXV0aG9ycz48
YXV0aG9yPkthcmFtYWxpLCBNLjwvYXV0aG9yPjxhdXRob3I+RGFka2hhaCwgRi48L2F1dGhvcj48
YXV0aG9yPlNhZHJraGFubG91LCBNLjwvYXV0aG9yPjxhdXRob3I+SmFtaWxpYW4sIE0uPC9hdXRo
b3I+PGF1dGhvcj5BaG1hZGksIFMuPC9hdXRob3I+PGF1dGhvcj5UYWphYmFkaS1FYnJhaGltaSwg
TS48L2F1dGhvcj48YXV0aG9yPkphZmFyaSwgUC48L2F1dGhvcj48YXV0aG9yPkFzZW1pLCBaLjwv
YXV0aG9yPjwvYXV0aG9ycz48L2NvbnRyaWJ1dG9ycz48YXV0aC1hZGRyZXNzPkRlcGFydG1lbnQg
b2YgZ3luZWNvbG9neSBhbmQgb2JzdGV0cmljcywgc2Nob29sIG9mIG1lZGljaW5lLCBJcmFuIHVu
aXZlcnNpdHkgb2YgbWVkaWNhbCBzY2llbmNlcywgVGVocmFuLCBJcmFuLiYjeEQ7RW5kb2NyaW5v
bG9neSBhbmQgbWV0YWJvbGlzbSByZXNlYXJjaCBjZW50ZXIsIGRlcGFydG1lbnQgb2YgZ3luZWNv
bG9neSBhbmQgb2JzdGV0cmljcywgc2Nob29sIG9mIG1lZGljaW5lLCBBcmFrIHVuaXZlcnNpdHkg
b2YgbWVkaWNhbCBzY2llbmNlcywgQXJhaywgSXJhbi4mI3hEO0RlcGFydG1lbnQgb2YgZ3luZWNv
bG9neSBhbmQgb2JzdGV0cmljcywgc2Nob29sIG9mIG1lZGljaW5lLCBJcmFuIHVuaXZlcnNpdHkg
b2YgbWVkaWNhbCBzY2llbmNlcywgVGVocmFuLCBJcmFuOyBEZXBhcnRtZW50IG9mIGd5bmVjb2xv
Z3kgYW5kIG9ic3RldHJpY3MsIHNjaG9vbCBvZiBtZWRpY2luZSwgQnVzaGVociB1bml2ZXJzaXR5
IG9mIG1lZGljYWwgc2NpZW5jZXMsIEJ1c2hlaHIsIElyYW4uJiN4RDtGYWN1bHR5IG1lbWJlciBv
ZiBzY2llbmNlIGRlcGFydG1lbnQsIHNjaWVuY2UgZmFjdWx0eSwgSXNsYW1pYyBBemFkIHVuaXZl
cnNpdHksIFRlaHJhbiBDZW50cmFsIGJyYW5jaCwgVGVocmFuLCBJcmFuLiYjeEQ7RGVwYXJ0bWVu
dCBvZiBtaWNyb2Jpb2xvZ3ksIHNjaWVuY2UgZmFjdWx0eSwgSXNsYW1pYyBBemFkIHVuaXZlcnNp
dHksIEFyYWsgYnJhbmNoLCBBcmFrLCBJcmFuLiYjeEQ7UmVzZWFyY2ggY2VudGVyIGZvciBiaW9j
aGVtaXN0cnkgYW5kIG51dHJpdGlvbiBpbiBtZXRhYm9saWMgZGlzZWFzZXMsIEthc2hhbiB1bml2
ZXJzaXR5IG9mIG1lZGljYWwgc2NpZW5jZXMsIEthc2hhbiwgSXJhbi4gRWxlY3Ryb25pYyBhZGRy
ZXNzOiBhc2VtaV9yQHlhaG9vLmNvbS48L2F1dGgtYWRkcmVzcz48dGl0bGVzPjx0aXRsZT5FZmZl
Y3RzIG9mIHByb2Jpb3RpYyBzdXBwbGVtZW50YXRpb24gb24gZ2x5Y2FlbWljIGNvbnRyb2wgYW5k
IGxpcGlkIHByb2ZpbGVzIGluIGdlc3RhdGlvbmFsIGRpYWJldGVzOiBBIHJhbmRvbWl6ZWQsIGRv
dWJsZS1ibGluZCwgcGxhY2Viby1jb250cm9sbGVkIHRyaWFsPC90aXRsZT48c2Vjb25kYXJ5LXRp
dGxlPkRpYWJldGVzIE1ldGFiPC9zZWNvbmRhcnktdGl0bGU+PC90aXRsZXM+PHBlcmlvZGljYWw+
PGZ1bGwtdGl0bGU+RGlhYmV0ZXMgTWV0YWI8L2Z1bGwtdGl0bGU+PC9wZXJpb2RpY2FsPjxwYWdl
cz4yMzQtNDE8L3BhZ2VzPjx2b2x1bWU+NDI8L3ZvbHVtZT48bnVtYmVyPjQ8L251bWJlcj48ZWRp
dGlvbj4yMDE2LzA1LzIzPC9lZGl0aW9uPjxrZXl3b3Jkcz48a2V5d29yZD5BZG9sZXNjZW50PC9r
ZXl3b3JkPjxrZXl3b3JkPkFkdWx0PC9rZXl3b3JkPjxrZXl3b3JkPkJsb29kIEdsdWNvc2UvKmRy
dWcgZWZmZWN0czwva2V5d29yZD48a2V5d29yZD5EaWFiZXRlcywgR2VzdGF0aW9uYWwvKmJsb29k
LypkaWV0IHRoZXJhcHk8L2tleXdvcmQ+PGtleXdvcmQ+RGlldGFyeSBTdXBwbGVtZW50czwva2V5
d29yZD48a2V5d29yZD5Eb3VibGUtQmxpbmQgTWV0aG9kPC9rZXl3b3JkPjxrZXl3b3JkPkZlbWFs
ZTwva2V5d29yZD48a2V5d29yZD5IdW1hbnM8L2tleXdvcmQ+PGtleXdvcmQ+TGFjdG9iYWNpbGx1
cyBhY2lkb3BoaWx1czwva2V5d29yZD48a2V5d29yZD5MaXBpZCBNZXRhYm9saXNtL2RydWcgZWZm
ZWN0czwva2V5d29yZD48a2V5d29yZD5MaXBpZHMvKmJsb29kPC9rZXl3b3JkPjxrZXl3b3JkPlBs
YWNlYm9zPC9rZXl3b3JkPjxrZXl3b3JkPlByZWduYW5jeTwva2V5d29yZD48a2V5d29yZD5Qcm9i
aW90aWNzLyp0aGVyYXBldXRpYyB1c2U8L2tleXdvcmQ+PGtleXdvcmQ+WW91bmcgQWR1bHQ8L2tl
eXdvcmQ+PGtleXdvcmQ+Kkdlc3RhdGlvbmFsIGRpYWJldGVzIG1lbGxpdHVzPC9rZXl3b3JkPjxr
ZXl3b3JkPipJbnN1bGluIHJlc2lzdGFuY2U8L2tleXdvcmQ+PGtleXdvcmQ+KkxpcGlkIHByb2Zp
bGVzPC9rZXl3b3JkPjxrZXl3b3JkPipQcm9iaW90aWMgc3VwcGxlbWVudGF0aW9uPC9rZXl3b3Jk
Pjwva2V5d29yZHM+PGRhdGVzPjx5ZWFyPjIwMTY8L3llYXI+PHB1Yi1kYXRlcz48ZGF0ZT5TZXA8
L2RhdGU+PC9wdWItZGF0ZXM+PC9kYXRlcz48aXNibj4xODc4LTE3ODAgKEVsZWN0cm9uaWMpJiN4
RDsxMjYyLTM2MzYgKExpbmtpbmcpPC9pc2JuPjxhY2Nlc3Npb24tbnVtPjI3MjA5NDM5PC9hY2Nl
c3Npb24tbnVtPjx1cmxzPjxyZWxhdGVkLXVybHM+PHVybD5odHRwczovL3d3dy5uY2JpLm5sbS5u
aWguZ292L3B1Ym1lZC8yNzIwOTQzOTwvdXJsPjwvcmVsYXRlZC11cmxzPjwvdXJscz48ZWxlY3Ry
b25pYy1yZXNvdXJjZS1udW0+MTAuMTAxNi9qLmRpYWJldC4yMDE2LjA0LjAwOTwvZWxlY3Ryb25p
Yy1yZXNvdXJjZS1udW0+PC9yZWNvcmQ+PC9DaXRlPjwvRW5kTm90ZT5=
</w:fldData>
              </w:fldChar>
            </w:r>
            <w:r w:rsidR="002747EA">
              <w:instrText xml:space="preserve"> ADDIN EN.CITE </w:instrText>
            </w:r>
            <w:r w:rsidR="002747EA">
              <w:fldChar w:fldCharType="begin">
                <w:fldData xml:space="preserve">PEVuZE5vdGU+PENpdGU+PEF1dGhvcj5LYXJhbWFsaTwvQXV0aG9yPjxZZWFyPjIwMTY8L1llYXI+
PFJlY051bT4xNjg5PC9SZWNOdW0+PERpc3BsYXlUZXh0PjxzdHlsZSBmYWNlPSJzdXBlcnNjcmlw
dCIgZm9udD0iVHJlYnVjaGV0IE1TIiBzaXplPSI5Ij4yNDI8L3N0eWxlPjwvRGlzcGxheVRleHQ+
PHJlY29yZD48cmVjLW51bWJlcj4xNjg5PC9yZWMtbnVtYmVyPjxmb3JlaWduLWtleXM+PGtleSBh
cHA9IkVOIiBkYi1pZD0iZXh2YXNyZngyZHRyYW9lc2FzeHAyc3pzeGEyZGY1MDI1OTJ4IiB0aW1l
c3RhbXA9IjE1ODE4MzIwNzYiPjE2ODk8L2tleT48L2ZvcmVpZ24ta2V5cz48cmVmLXR5cGUgbmFt
ZT0iSm91cm5hbCBBcnRpY2xlIj4xNzwvcmVmLXR5cGU+PGNvbnRyaWJ1dG9ycz48YXV0aG9ycz48
YXV0aG9yPkthcmFtYWxpLCBNLjwvYXV0aG9yPjxhdXRob3I+RGFka2hhaCwgRi48L2F1dGhvcj48
YXV0aG9yPlNhZHJraGFubG91LCBNLjwvYXV0aG9yPjxhdXRob3I+SmFtaWxpYW4sIE0uPC9hdXRo
b3I+PGF1dGhvcj5BaG1hZGksIFMuPC9hdXRob3I+PGF1dGhvcj5UYWphYmFkaS1FYnJhaGltaSwg
TS48L2F1dGhvcj48YXV0aG9yPkphZmFyaSwgUC48L2F1dGhvcj48YXV0aG9yPkFzZW1pLCBaLjwv
YXV0aG9yPjwvYXV0aG9ycz48L2NvbnRyaWJ1dG9ycz48YXV0aC1hZGRyZXNzPkRlcGFydG1lbnQg
b2YgZ3luZWNvbG9neSBhbmQgb2JzdGV0cmljcywgc2Nob29sIG9mIG1lZGljaW5lLCBJcmFuIHVu
aXZlcnNpdHkgb2YgbWVkaWNhbCBzY2llbmNlcywgVGVocmFuLCBJcmFuLiYjeEQ7RW5kb2NyaW5v
bG9neSBhbmQgbWV0YWJvbGlzbSByZXNlYXJjaCBjZW50ZXIsIGRlcGFydG1lbnQgb2YgZ3luZWNv
bG9neSBhbmQgb2JzdGV0cmljcywgc2Nob29sIG9mIG1lZGljaW5lLCBBcmFrIHVuaXZlcnNpdHkg
b2YgbWVkaWNhbCBzY2llbmNlcywgQXJhaywgSXJhbi4mI3hEO0RlcGFydG1lbnQgb2YgZ3luZWNv
bG9neSBhbmQgb2JzdGV0cmljcywgc2Nob29sIG9mIG1lZGljaW5lLCBJcmFuIHVuaXZlcnNpdHkg
b2YgbWVkaWNhbCBzY2llbmNlcywgVGVocmFuLCBJcmFuOyBEZXBhcnRtZW50IG9mIGd5bmVjb2xv
Z3kgYW5kIG9ic3RldHJpY3MsIHNjaG9vbCBvZiBtZWRpY2luZSwgQnVzaGVociB1bml2ZXJzaXR5
IG9mIG1lZGljYWwgc2NpZW5jZXMsIEJ1c2hlaHIsIElyYW4uJiN4RDtGYWN1bHR5IG1lbWJlciBv
ZiBzY2llbmNlIGRlcGFydG1lbnQsIHNjaWVuY2UgZmFjdWx0eSwgSXNsYW1pYyBBemFkIHVuaXZl
cnNpdHksIFRlaHJhbiBDZW50cmFsIGJyYW5jaCwgVGVocmFuLCBJcmFuLiYjeEQ7RGVwYXJ0bWVu
dCBvZiBtaWNyb2Jpb2xvZ3ksIHNjaWVuY2UgZmFjdWx0eSwgSXNsYW1pYyBBemFkIHVuaXZlcnNp
dHksIEFyYWsgYnJhbmNoLCBBcmFrLCBJcmFuLiYjeEQ7UmVzZWFyY2ggY2VudGVyIGZvciBiaW9j
aGVtaXN0cnkgYW5kIG51dHJpdGlvbiBpbiBtZXRhYm9saWMgZGlzZWFzZXMsIEthc2hhbiB1bml2
ZXJzaXR5IG9mIG1lZGljYWwgc2NpZW5jZXMsIEthc2hhbiwgSXJhbi4gRWxlY3Ryb25pYyBhZGRy
ZXNzOiBhc2VtaV9yQHlhaG9vLmNvbS48L2F1dGgtYWRkcmVzcz48dGl0bGVzPjx0aXRsZT5FZmZl
Y3RzIG9mIHByb2Jpb3RpYyBzdXBwbGVtZW50YXRpb24gb24gZ2x5Y2FlbWljIGNvbnRyb2wgYW5k
IGxpcGlkIHByb2ZpbGVzIGluIGdlc3RhdGlvbmFsIGRpYWJldGVzOiBBIHJhbmRvbWl6ZWQsIGRv
dWJsZS1ibGluZCwgcGxhY2Viby1jb250cm9sbGVkIHRyaWFsPC90aXRsZT48c2Vjb25kYXJ5LXRp
dGxlPkRpYWJldGVzIE1ldGFiPC9zZWNvbmRhcnktdGl0bGU+PC90aXRsZXM+PHBlcmlvZGljYWw+
PGZ1bGwtdGl0bGU+RGlhYmV0ZXMgTWV0YWI8L2Z1bGwtdGl0bGU+PC9wZXJpb2RpY2FsPjxwYWdl
cz4yMzQtNDE8L3BhZ2VzPjx2b2x1bWU+NDI8L3ZvbHVtZT48bnVtYmVyPjQ8L251bWJlcj48ZWRp
dGlvbj4yMDE2LzA1LzIzPC9lZGl0aW9uPjxrZXl3b3Jkcz48a2V5d29yZD5BZG9sZXNjZW50PC9r
ZXl3b3JkPjxrZXl3b3JkPkFkdWx0PC9rZXl3b3JkPjxrZXl3b3JkPkJsb29kIEdsdWNvc2UvKmRy
dWcgZWZmZWN0czwva2V5d29yZD48a2V5d29yZD5EaWFiZXRlcywgR2VzdGF0aW9uYWwvKmJsb29k
LypkaWV0IHRoZXJhcHk8L2tleXdvcmQ+PGtleXdvcmQ+RGlldGFyeSBTdXBwbGVtZW50czwva2V5
d29yZD48a2V5d29yZD5Eb3VibGUtQmxpbmQgTWV0aG9kPC9rZXl3b3JkPjxrZXl3b3JkPkZlbWFs
ZTwva2V5d29yZD48a2V5d29yZD5IdW1hbnM8L2tleXdvcmQ+PGtleXdvcmQ+TGFjdG9iYWNpbGx1
cyBhY2lkb3BoaWx1czwva2V5d29yZD48a2V5d29yZD5MaXBpZCBNZXRhYm9saXNtL2RydWcgZWZm
ZWN0czwva2V5d29yZD48a2V5d29yZD5MaXBpZHMvKmJsb29kPC9rZXl3b3JkPjxrZXl3b3JkPlBs
YWNlYm9zPC9rZXl3b3JkPjxrZXl3b3JkPlByZWduYW5jeTwva2V5d29yZD48a2V5d29yZD5Qcm9i
aW90aWNzLyp0aGVyYXBldXRpYyB1c2U8L2tleXdvcmQ+PGtleXdvcmQ+WW91bmcgQWR1bHQ8L2tl
eXdvcmQ+PGtleXdvcmQ+Kkdlc3RhdGlvbmFsIGRpYWJldGVzIG1lbGxpdHVzPC9rZXl3b3JkPjxr
ZXl3b3JkPipJbnN1bGluIHJlc2lzdGFuY2U8L2tleXdvcmQ+PGtleXdvcmQ+KkxpcGlkIHByb2Zp
bGVzPC9rZXl3b3JkPjxrZXl3b3JkPipQcm9iaW90aWMgc3VwcGxlbWVudGF0aW9uPC9rZXl3b3Jk
Pjwva2V5d29yZHM+PGRhdGVzPjx5ZWFyPjIwMTY8L3llYXI+PHB1Yi1kYXRlcz48ZGF0ZT5TZXA8
L2RhdGU+PC9wdWItZGF0ZXM+PC9kYXRlcz48aXNibj4xODc4LTE3ODAgKEVsZWN0cm9uaWMpJiN4
RDsxMjYyLTM2MzYgKExpbmtpbmcpPC9pc2JuPjxhY2Nlc3Npb24tbnVtPjI3MjA5NDM5PC9hY2Nl
c3Npb24tbnVtPjx1cmxzPjxyZWxhdGVkLXVybHM+PHVybD5odHRwczovL3d3dy5uY2JpLm5sbS5u
aWguZ292L3B1Ym1lZC8yNzIwOTQzOTwvdXJsPjwvcmVsYXRlZC11cmxzPjwvdXJscz48ZWxlY3Ry
b25pYy1yZXNvdXJjZS1udW0+MTAuMTAxNi9qLmRpYWJldC4yMDE2LjA0LjAwOTwvZWxlY3Ryb25p
Yy1yZXNvdXJjZS1udW0+PC9yZWNvcmQ+PC9DaXRlPjwvRW5kTm90ZT5=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242</w:t>
            </w:r>
            <w:r w:rsidR="00AB21E2">
              <w:fldChar w:fldCharType="end"/>
            </w:r>
          </w:p>
          <w:p w14:paraId="12C659B3" w14:textId="43F0525B" w:rsidR="00213BC6" w:rsidRDefault="00213BC6" w:rsidP="00E760BE">
            <w:r>
              <w:t>Iran</w:t>
            </w:r>
          </w:p>
        </w:tc>
        <w:tc>
          <w:tcPr>
            <w:tcW w:w="2656" w:type="dxa"/>
          </w:tcPr>
          <w:p w14:paraId="5E6BF221" w14:textId="7808F60E" w:rsidR="0036555D" w:rsidRDefault="0036555D" w:rsidP="00E760BE">
            <w:r>
              <w:t>Women with GDM</w:t>
            </w:r>
            <w:r w:rsidR="00A476A9">
              <w:t>; n=60</w:t>
            </w:r>
          </w:p>
        </w:tc>
        <w:tc>
          <w:tcPr>
            <w:tcW w:w="4536" w:type="dxa"/>
          </w:tcPr>
          <w:p w14:paraId="6E34CE7A" w14:textId="77777777" w:rsidR="0036555D" w:rsidRDefault="0036555D" w:rsidP="00E760BE">
            <w:r w:rsidRPr="003900B9">
              <w:rPr>
                <w:i/>
              </w:rPr>
              <w:t>Lactobacillus acidophilus, Lactobacillus casei, Bifidobacterium bifidum</w:t>
            </w:r>
            <w:r>
              <w:t xml:space="preserve"> (2x10</w:t>
            </w:r>
            <w:r w:rsidRPr="003900B9">
              <w:rPr>
                <w:vertAlign w:val="superscript"/>
              </w:rPr>
              <w:t>9</w:t>
            </w:r>
            <w:r>
              <w:t xml:space="preserve"> cfu)</w:t>
            </w:r>
          </w:p>
        </w:tc>
        <w:tc>
          <w:tcPr>
            <w:tcW w:w="2551" w:type="dxa"/>
          </w:tcPr>
          <w:p w14:paraId="7AE20D23" w14:textId="77777777" w:rsidR="0036555D" w:rsidRDefault="0036555D" w:rsidP="00E760BE">
            <w:r>
              <w:t>From 24-28 weeks until birth</w:t>
            </w:r>
          </w:p>
        </w:tc>
        <w:tc>
          <w:tcPr>
            <w:tcW w:w="1843" w:type="dxa"/>
          </w:tcPr>
          <w:p w14:paraId="4D1EEA6E" w14:textId="77777777" w:rsidR="0036555D" w:rsidRDefault="0036555D" w:rsidP="00E760BE">
            <w:r>
              <w:t>6 weeks</w:t>
            </w:r>
          </w:p>
        </w:tc>
      </w:tr>
      <w:tr w:rsidR="0036555D" w14:paraId="0A42FEE5" w14:textId="77777777" w:rsidTr="00E760BE">
        <w:trPr>
          <w:cantSplit/>
        </w:trPr>
        <w:tc>
          <w:tcPr>
            <w:tcW w:w="2306" w:type="dxa"/>
          </w:tcPr>
          <w:p w14:paraId="6EDE6B73" w14:textId="4DA5757C" w:rsidR="0036555D" w:rsidRDefault="0036555D" w:rsidP="00E760BE">
            <w:r>
              <w:t>Kim et al 2010</w:t>
            </w:r>
            <w:r w:rsidR="00AB21E2">
              <w:fldChar w:fldCharType="begin">
                <w:fldData xml:space="preserve">PEVuZE5vdGU+PENpdGU+PEF1dGhvcj5LaW08L0F1dGhvcj48WWVhcj4yMDEwPC9ZZWFyPjxSZWNO
dW0+MTY5MDwvUmVjTnVtPjxEaXNwbGF5VGV4dD48c3R5bGUgZmFjZT0ic3VwZXJzY3JpcHQiIGZv
bnQ9IlRyZWJ1Y2hldCBNUyIgc2l6ZT0iOSI+MjQ5PC9zdHlsZT48L0Rpc3BsYXlUZXh0PjxyZWNv
cmQ+PHJlYy1udW1iZXI+MTY5MDwvcmVjLW51bWJlcj48Zm9yZWlnbi1rZXlzPjxrZXkgYXBwPSJF
TiIgZGItaWQ9ImV4dmFzcmZ4MmR0cmFvZXNhc3hwMnN6c3hhMmRmNTAyNTkyeCIgdGltZXN0YW1w
PSIxNTgxODMyMDc2Ij4xNjkwPC9rZXk+PC9mb3JlaWduLWtleXM+PHJlZi10eXBlIG5hbWU9Ikpv
dXJuYWwgQXJ0aWNsZSI+MTc8L3JlZi10eXBlPjxjb250cmlidXRvcnM+PGF1dGhvcnM+PGF1dGhv
cj5LaW0sIEouIFkuPC9hdXRob3I+PGF1dGhvcj5Ld29uLCBKLiBILjwvYXV0aG9yPjxhdXRob3I+
QWhuLCBTLiBILjwvYXV0aG9yPjxhdXRob3I+TGVlLCBTLiBJLjwvYXV0aG9yPjxhdXRob3I+SGFu
LCBZLiBTLjwvYXV0aG9yPjxhdXRob3I+Q2hvaSwgWS4gTy48L2F1dGhvcj48YXV0aG9yPkxlZSwg
Uy4gWS48L2F1dGhvcj48YXV0aG9yPkFobiwgSy4gTS48L2F1dGhvcj48YXV0aG9yPkppLCBHLiBF
LjwvYXV0aG9yPjwvYXV0aG9ycz48L2NvbnRyaWJ1dG9ycz48YXV0aC1hZGRyZXNzPkRlcGFydG1l
bnQgb2YgRm9vZCBhbmQgTnV0cml0aW9uLCBDb2xsZWdlIG9mIEh1bWFuIEVjb2xvZ3ksIFNlb3Vs
IE5hdGlvbmFsIFVuaXZlcnNpdHksIFNhbiA1Ni0xLCBTaGlubGltZG9uZywgS3dhbmFra3UsIFNl
b3VsLCBLb3JlYS48L2F1dGgtYWRkcmVzcz48dGl0bGVzPjx0aXRsZT5FZmZlY3Qgb2YgcHJvYmlv
dGljIG1peCAoQmlmaWRvYmFjdGVyaXVtIGJpZmlkdW0sIEJpZmlkb2JhY3Rlcml1bSBsYWN0aXMs
IExhY3RvYmFjaWxsdXMgYWNpZG9waGlsdXMpIGluIHRoZSBwcmltYXJ5IHByZXZlbnRpb24gb2Yg
ZWN6ZW1hOiBhIGRvdWJsZS1ibGluZCwgcmFuZG9taXplZCwgcGxhY2Viby1jb250cm9sbGVkIHRy
aWFsPC90aXRsZT48c2Vjb25kYXJ5LXRpdGxlPlBlZGlhdHIgQWxsZXJneSBJbW11bm9sPC9zZWNv
bmRhcnktdGl0bGU+PC90aXRsZXM+PHBlcmlvZGljYWw+PGZ1bGwtdGl0bGU+UGVkaWF0ciBBbGxl
cmd5IEltbXVub2w8L2Z1bGwtdGl0bGU+PC9wZXJpb2RpY2FsPjxwYWdlcz5lMzg2LTkzPC9wYWdl
cz48dm9sdW1lPjIxPC92b2x1bWU+PG51bWJlcj4yIFB0IDI8L251bWJlcj48ZWRpdGlvbj4yMDA5
LzEwLzIxPC9lZGl0aW9uPjxrZXl3b3Jkcz48a2V5d29yZD5CaWZpZG9iYWN0ZXJpdW0vY2xhc3Np
ZmljYXRpb24vKmltbXVub2xvZ3k8L2tleXdvcmQ+PGtleXdvcmQ+QnJlYXN0IEZlZWRpbmc8L2tl
eXdvcmQ+PGtleXdvcmQ+RGVybWF0aXRpcywgQXRvcGljL2VwaWRlbWlvbG9neS9pbW11bm9sb2d5
L3ByZXZlbnRpb24gJmFtcDsgY29udHJvbDwva2V5d29yZD48a2V5d29yZD5Eb3VibGUtQmxpbmQg
TWV0aG9kPC9rZXl3b3JkPjxrZXl3b3JkPkVjemVtYS8qZXBpZGVtaW9sb2d5L2ltbXVub2xvZ3kv
cHJldmVudGlvbiAmYW1wOyBjb250cm9sPC9rZXl3b3JkPjxrZXl3b3JkPkZlbWFsZTwva2V5d29y
ZD48a2V5d29yZD5Gb29kIEh5cGVyc2Vuc2l0aXZpdHkvcHJldmVudGlvbiAmYW1wOyBjb250cm9s
PC9rZXl3b3JkPjxrZXl3b3JkPkh1bWFuczwva2V5d29yZD48a2V5d29yZD5JbW11bm9nbG9idWxp
biBFL2Jsb29kPC9rZXl3b3JkPjxrZXl3b3JkPkluY2lkZW5jZTwva2V5d29yZD48a2V5d29yZD5J
bmZhbnQ8L2tleXdvcmQ+PGtleXdvcmQ+SW5mYW50LCBOZXdib3JuPC9rZXl3b3JkPjxrZXl3b3Jk
PkxhY3RvYmFjaWxsdXMgYWNpZG9waGlsdXMvKmltbXVub2xvZ3k8L2tleXdvcmQ+PGtleXdvcmQ+
UG9zdG5hdGFsIENhcmU8L2tleXdvcmQ+PGtleXdvcmQ+UHJlZ25hbmN5PC9rZXl3b3JkPjxrZXl3
b3JkPlByZW5hdGFsIENhcmU8L2tleXdvcmQ+PGtleXdvcmQ+UHJldmFsZW5jZTwva2V5d29yZD48
a2V5d29yZD5Qcm9iaW90aWNzLyphZG1pbmlzdHJhdGlvbiAmYW1wOyBkb3NhZ2U8L2tleXdvcmQ+
PGtleXdvcmQ+VHJlYXRtZW50IE91dGNvbWU8L2tleXdvcmQ+PC9rZXl3b3Jkcz48ZGF0ZXM+PHll
YXI+MjAxMDwveWVhcj48cHViLWRhdGVzPjxkYXRlPk1hcjwvZGF0ZT48L3B1Yi1kYXRlcz48L2Rh
dGVzPjxpc2JuPjEzOTktMzAzOCAoRWxlY3Ryb25pYykmI3hEOzA5MDUtNjE1NyAoTGlua2luZyk8
L2lzYm4+PGFjY2Vzc2lvbi1udW0+MTk4NDAzMDA8L2FjY2Vzc2lvbi1udW0+PHVybHM+PHJlbGF0
ZWQtdXJscz48dXJsPmh0dHBzOi8vd3d3Lm5jYmkubmxtLm5paC5nb3YvcHVibWVkLzE5ODQwMzAw
PC91cmw+PC9yZWxhdGVkLXVybHM+PC91cmxzPjxlbGVjdHJvbmljLXJlc291cmNlLW51bT4xMC4x
MTExL2ouMTM5OS0zMDM4LjIwMDkuMDA5NTgueDwvZWxlY3Ryb25pYy1yZXNvdXJjZS1udW0+PC9y
ZWNvcmQ+PC9DaXRlPjwvRW5kTm90ZT5=
</w:fldData>
              </w:fldChar>
            </w:r>
            <w:r w:rsidR="002747EA">
              <w:instrText xml:space="preserve"> ADDIN EN.CITE </w:instrText>
            </w:r>
            <w:r w:rsidR="002747EA">
              <w:fldChar w:fldCharType="begin">
                <w:fldData xml:space="preserve">PEVuZE5vdGU+PENpdGU+PEF1dGhvcj5LaW08L0F1dGhvcj48WWVhcj4yMDEwPC9ZZWFyPjxSZWNO
dW0+MTY5MDwvUmVjTnVtPjxEaXNwbGF5VGV4dD48c3R5bGUgZmFjZT0ic3VwZXJzY3JpcHQiIGZv
bnQ9IlRyZWJ1Y2hldCBNUyIgc2l6ZT0iOSI+MjQ5PC9zdHlsZT48L0Rpc3BsYXlUZXh0PjxyZWNv
cmQ+PHJlYy1udW1iZXI+MTY5MDwvcmVjLW51bWJlcj48Zm9yZWlnbi1rZXlzPjxrZXkgYXBwPSJF
TiIgZGItaWQ9ImV4dmFzcmZ4MmR0cmFvZXNhc3hwMnN6c3hhMmRmNTAyNTkyeCIgdGltZXN0YW1w
PSIxNTgxODMyMDc2Ij4xNjkwPC9rZXk+PC9mb3JlaWduLWtleXM+PHJlZi10eXBlIG5hbWU9Ikpv
dXJuYWwgQXJ0aWNsZSI+MTc8L3JlZi10eXBlPjxjb250cmlidXRvcnM+PGF1dGhvcnM+PGF1dGhv
cj5LaW0sIEouIFkuPC9hdXRob3I+PGF1dGhvcj5Ld29uLCBKLiBILjwvYXV0aG9yPjxhdXRob3I+
QWhuLCBTLiBILjwvYXV0aG9yPjxhdXRob3I+TGVlLCBTLiBJLjwvYXV0aG9yPjxhdXRob3I+SGFu
LCBZLiBTLjwvYXV0aG9yPjxhdXRob3I+Q2hvaSwgWS4gTy48L2F1dGhvcj48YXV0aG9yPkxlZSwg
Uy4gWS48L2F1dGhvcj48YXV0aG9yPkFobiwgSy4gTS48L2F1dGhvcj48YXV0aG9yPkppLCBHLiBF
LjwvYXV0aG9yPjwvYXV0aG9ycz48L2NvbnRyaWJ1dG9ycz48YXV0aC1hZGRyZXNzPkRlcGFydG1l
bnQgb2YgRm9vZCBhbmQgTnV0cml0aW9uLCBDb2xsZWdlIG9mIEh1bWFuIEVjb2xvZ3ksIFNlb3Vs
IE5hdGlvbmFsIFVuaXZlcnNpdHksIFNhbiA1Ni0xLCBTaGlubGltZG9uZywgS3dhbmFra3UsIFNl
b3VsLCBLb3JlYS48L2F1dGgtYWRkcmVzcz48dGl0bGVzPjx0aXRsZT5FZmZlY3Qgb2YgcHJvYmlv
dGljIG1peCAoQmlmaWRvYmFjdGVyaXVtIGJpZmlkdW0sIEJpZmlkb2JhY3Rlcml1bSBsYWN0aXMs
IExhY3RvYmFjaWxsdXMgYWNpZG9waGlsdXMpIGluIHRoZSBwcmltYXJ5IHByZXZlbnRpb24gb2Yg
ZWN6ZW1hOiBhIGRvdWJsZS1ibGluZCwgcmFuZG9taXplZCwgcGxhY2Viby1jb250cm9sbGVkIHRy
aWFsPC90aXRsZT48c2Vjb25kYXJ5LXRpdGxlPlBlZGlhdHIgQWxsZXJneSBJbW11bm9sPC9zZWNv
bmRhcnktdGl0bGU+PC90aXRsZXM+PHBlcmlvZGljYWw+PGZ1bGwtdGl0bGU+UGVkaWF0ciBBbGxl
cmd5IEltbXVub2w8L2Z1bGwtdGl0bGU+PC9wZXJpb2RpY2FsPjxwYWdlcz5lMzg2LTkzPC9wYWdl
cz48dm9sdW1lPjIxPC92b2x1bWU+PG51bWJlcj4yIFB0IDI8L251bWJlcj48ZWRpdGlvbj4yMDA5
LzEwLzIxPC9lZGl0aW9uPjxrZXl3b3Jkcz48a2V5d29yZD5CaWZpZG9iYWN0ZXJpdW0vY2xhc3Np
ZmljYXRpb24vKmltbXVub2xvZ3k8L2tleXdvcmQ+PGtleXdvcmQ+QnJlYXN0IEZlZWRpbmc8L2tl
eXdvcmQ+PGtleXdvcmQ+RGVybWF0aXRpcywgQXRvcGljL2VwaWRlbWlvbG9neS9pbW11bm9sb2d5
L3ByZXZlbnRpb24gJmFtcDsgY29udHJvbDwva2V5d29yZD48a2V5d29yZD5Eb3VibGUtQmxpbmQg
TWV0aG9kPC9rZXl3b3JkPjxrZXl3b3JkPkVjemVtYS8qZXBpZGVtaW9sb2d5L2ltbXVub2xvZ3kv
cHJldmVudGlvbiAmYW1wOyBjb250cm9sPC9rZXl3b3JkPjxrZXl3b3JkPkZlbWFsZTwva2V5d29y
ZD48a2V5d29yZD5Gb29kIEh5cGVyc2Vuc2l0aXZpdHkvcHJldmVudGlvbiAmYW1wOyBjb250cm9s
PC9rZXl3b3JkPjxrZXl3b3JkPkh1bWFuczwva2V5d29yZD48a2V5d29yZD5JbW11bm9nbG9idWxp
biBFL2Jsb29kPC9rZXl3b3JkPjxrZXl3b3JkPkluY2lkZW5jZTwva2V5d29yZD48a2V5d29yZD5J
bmZhbnQ8L2tleXdvcmQ+PGtleXdvcmQ+SW5mYW50LCBOZXdib3JuPC9rZXl3b3JkPjxrZXl3b3Jk
PkxhY3RvYmFjaWxsdXMgYWNpZG9waGlsdXMvKmltbXVub2xvZ3k8L2tleXdvcmQ+PGtleXdvcmQ+
UG9zdG5hdGFsIENhcmU8L2tleXdvcmQ+PGtleXdvcmQ+UHJlZ25hbmN5PC9rZXl3b3JkPjxrZXl3
b3JkPlByZW5hdGFsIENhcmU8L2tleXdvcmQ+PGtleXdvcmQ+UHJldmFsZW5jZTwva2V5d29yZD48
a2V5d29yZD5Qcm9iaW90aWNzLyphZG1pbmlzdHJhdGlvbiAmYW1wOyBkb3NhZ2U8L2tleXdvcmQ+
PGtleXdvcmQ+VHJlYXRtZW50IE91dGNvbWU8L2tleXdvcmQ+PC9rZXl3b3Jkcz48ZGF0ZXM+PHll
YXI+MjAxMDwveWVhcj48cHViLWRhdGVzPjxkYXRlPk1hcjwvZGF0ZT48L3B1Yi1kYXRlcz48L2Rh
dGVzPjxpc2JuPjEzOTktMzAzOCAoRWxlY3Ryb25pYykmI3hEOzA5MDUtNjE1NyAoTGlua2luZyk8
L2lzYm4+PGFjY2Vzc2lvbi1udW0+MTk4NDAzMDA8L2FjY2Vzc2lvbi1udW0+PHVybHM+PHJlbGF0
ZWQtdXJscz48dXJsPmh0dHBzOi8vd3d3Lm5jYmkubmxtLm5paC5nb3YvcHVibWVkLzE5ODQwMzAw
PC91cmw+PC9yZWxhdGVkLXVybHM+PC91cmxzPjxlbGVjdHJvbmljLXJlc291cmNlLW51bT4xMC4x
MTExL2ouMTM5OS0zMDM4LjIwMDkuMDA5NTgueDwvZWxlY3Ryb25pYy1yZXNvdXJjZS1udW0+PC9y
ZWNvcmQ+PC9DaXRlPjwvRW5kTm90ZT5=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249</w:t>
            </w:r>
            <w:r w:rsidR="00AB21E2">
              <w:fldChar w:fldCharType="end"/>
            </w:r>
          </w:p>
          <w:p w14:paraId="46031EF0" w14:textId="65CD0E2B" w:rsidR="00213BC6" w:rsidRDefault="00213BC6" w:rsidP="00E760BE">
            <w:r>
              <w:t>Korea</w:t>
            </w:r>
          </w:p>
        </w:tc>
        <w:tc>
          <w:tcPr>
            <w:tcW w:w="2656" w:type="dxa"/>
          </w:tcPr>
          <w:p w14:paraId="00C6B096" w14:textId="1EB40520" w:rsidR="0036555D" w:rsidRDefault="0036555D" w:rsidP="00E760BE">
            <w:r>
              <w:t>Women with a fetus at risk of allergies</w:t>
            </w:r>
            <w:r w:rsidR="00A476A9">
              <w:t>; n=112</w:t>
            </w:r>
          </w:p>
        </w:tc>
        <w:tc>
          <w:tcPr>
            <w:tcW w:w="4536" w:type="dxa"/>
          </w:tcPr>
          <w:p w14:paraId="61712456" w14:textId="77777777" w:rsidR="0036555D" w:rsidRPr="006B3B32" w:rsidRDefault="0036555D" w:rsidP="00E760BE">
            <w:r w:rsidRPr="003900B9">
              <w:rPr>
                <w:i/>
              </w:rPr>
              <w:t>Lactobacillus acidophilus</w:t>
            </w:r>
            <w:r>
              <w:rPr>
                <w:i/>
              </w:rPr>
              <w:t xml:space="preserve"> </w:t>
            </w:r>
            <w:r>
              <w:t>AD031</w:t>
            </w:r>
            <w:r w:rsidRPr="003900B9">
              <w:rPr>
                <w:i/>
              </w:rPr>
              <w:t>, Bifidobacterium bifidum</w:t>
            </w:r>
            <w:r>
              <w:rPr>
                <w:i/>
              </w:rPr>
              <w:t xml:space="preserve"> </w:t>
            </w:r>
            <w:r>
              <w:t xml:space="preserve">BGN4, </w:t>
            </w:r>
            <w:r w:rsidRPr="003900B9">
              <w:rPr>
                <w:i/>
              </w:rPr>
              <w:t>Bifidobacterium</w:t>
            </w:r>
            <w:r>
              <w:rPr>
                <w:i/>
              </w:rPr>
              <w:t xml:space="preserve"> animalis </w:t>
            </w:r>
            <w:r>
              <w:t xml:space="preserve">subsp </w:t>
            </w:r>
            <w:r>
              <w:rPr>
                <w:i/>
              </w:rPr>
              <w:t xml:space="preserve">lactis </w:t>
            </w:r>
            <w:r>
              <w:t>AD011</w:t>
            </w:r>
          </w:p>
        </w:tc>
        <w:tc>
          <w:tcPr>
            <w:tcW w:w="2551" w:type="dxa"/>
          </w:tcPr>
          <w:p w14:paraId="4C8BD9C6" w14:textId="77777777" w:rsidR="0036555D" w:rsidRDefault="0036555D" w:rsidP="00E760BE">
            <w:r>
              <w:t>From 32 weeks until birth</w:t>
            </w:r>
          </w:p>
        </w:tc>
        <w:tc>
          <w:tcPr>
            <w:tcW w:w="1843" w:type="dxa"/>
          </w:tcPr>
          <w:p w14:paraId="2C2E60C4" w14:textId="77777777" w:rsidR="0036555D" w:rsidRDefault="0036555D" w:rsidP="00E760BE">
            <w:r>
              <w:t>8 weeks</w:t>
            </w:r>
          </w:p>
        </w:tc>
      </w:tr>
      <w:tr w:rsidR="0036555D" w14:paraId="1A6CDE4F" w14:textId="77777777" w:rsidTr="00E760BE">
        <w:trPr>
          <w:cantSplit/>
        </w:trPr>
        <w:tc>
          <w:tcPr>
            <w:tcW w:w="2306" w:type="dxa"/>
          </w:tcPr>
          <w:p w14:paraId="0D186A82" w14:textId="1EED8E0A" w:rsidR="0036555D" w:rsidRDefault="0036555D" w:rsidP="00E760BE">
            <w:r>
              <w:t>Krauss-Silva et al 2011</w:t>
            </w:r>
            <w:r w:rsidR="00AB21E2">
              <w:fldChar w:fldCharType="begin"/>
            </w:r>
            <w:r w:rsidR="002747EA">
              <w:instrText xml:space="preserve"> ADDIN EN.CITE &lt;EndNote&gt;&lt;Cite&gt;&lt;Author&gt;Krauss-Silva&lt;/Author&gt;&lt;Year&gt;2011&lt;/Year&gt;&lt;RecNum&gt;1691&lt;/RecNum&gt;&lt;DisplayText&gt;&lt;style face="superscript" font="Trebuchet MS" size="9"&gt;239&lt;/style&gt;&lt;/DisplayText&gt;&lt;record&gt;&lt;rec-number&gt;1691&lt;/rec-number&gt;&lt;foreign-keys&gt;&lt;key app="EN" db-id="exvasrfx2dtraoesasxp2szsxa2df502592x" timestamp="1581832076"&gt;1691&lt;/key&gt;&lt;/foreign-keys&gt;&lt;ref-type name="Journal Article"&gt;17&lt;/ref-type&gt;&lt;contributors&gt;&lt;authors&gt;&lt;author&gt;Krauss-Silva, L.&lt;/author&gt;&lt;author&gt;Moreira, M. E.&lt;/author&gt;&lt;author&gt;Alves, M. B.&lt;/author&gt;&lt;author&gt;Braga, A.&lt;/author&gt;&lt;author&gt;Camacho, K. G.&lt;/author&gt;&lt;author&gt;Batista, M. R.&lt;/author&gt;&lt;author&gt;Almada-Horta, A.&lt;/author&gt;&lt;author&gt;Rebello, M. R.&lt;/author&gt;&lt;author&gt;Guerra, F.&lt;/author&gt;&lt;/authors&gt;&lt;/contributors&gt;&lt;auth-address&gt;Health Technology Assessment Unit, National School of Public Health, Oswaldo Cruz Foundation, Brazilian Health Ministry, Rio de Janeiro, Brazil. leticiak@ensp.fiocruz.br&lt;/auth-address&gt;&lt;titles&gt;&lt;title&gt;A randomised controlled trial of probiotics for the prevention of spontaneous preterm delivery associated with bacterial vaginosis: preliminary results&lt;/title&gt;&lt;secondary-title&gt;Trials&lt;/secondary-title&gt;&lt;/titles&gt;&lt;periodical&gt;&lt;full-title&gt;Trials&lt;/full-title&gt;&lt;/periodical&gt;&lt;pages&gt;239&lt;/pages&gt;&lt;volume&gt;12&lt;/volume&gt;&lt;edition&gt;2011/11/09&lt;/edition&gt;&lt;keywords&gt;&lt;keyword&gt;Female&lt;/keyword&gt;&lt;keyword&gt;Humans&lt;/keyword&gt;&lt;keyword&gt;Infant, Newborn&lt;/keyword&gt;&lt;keyword&gt;Pregnancy&lt;/keyword&gt;&lt;keyword&gt;Premature Birth/*prevention &amp;amp; control&lt;/keyword&gt;&lt;keyword&gt;Probiotics/*therapeutic use&lt;/keyword&gt;&lt;keyword&gt;Vaginosis, Bacterial/*drug therapy&lt;/keyword&gt;&lt;/keywords&gt;&lt;dates&gt;&lt;year&gt;2011&lt;/year&gt;&lt;pub-dates&gt;&lt;date&gt;Nov 8&lt;/date&gt;&lt;/pub-dates&gt;&lt;/dates&gt;&lt;isbn&gt;1745-6215 (Electronic)&amp;#xD;1745-6215 (Linking)&lt;/isbn&gt;&lt;accession-num&gt;22059409&lt;/accession-num&gt;&lt;urls&gt;&lt;related-urls&gt;&lt;url&gt;https://www.ncbi.nlm.nih.gov/pubmed/22059409&lt;/url&gt;&lt;/related-urls&gt;&lt;/urls&gt;&lt;custom2&gt;PMC3264514&lt;/custom2&gt;&lt;electronic-resource-num&gt;10.1186/1745-6215-12-239&lt;/electronic-resource-num&gt;&lt;/record&gt;&lt;/Cite&gt;&lt;/EndNote&gt;</w:instrText>
            </w:r>
            <w:r w:rsidR="00AB21E2">
              <w:fldChar w:fldCharType="separate"/>
            </w:r>
            <w:r w:rsidR="002747EA" w:rsidRPr="002747EA">
              <w:rPr>
                <w:noProof/>
                <w:vertAlign w:val="superscript"/>
              </w:rPr>
              <w:t>239</w:t>
            </w:r>
            <w:r w:rsidR="00AB21E2">
              <w:fldChar w:fldCharType="end"/>
            </w:r>
          </w:p>
          <w:p w14:paraId="473959CD" w14:textId="7CBAAF46" w:rsidR="00213BC6" w:rsidRDefault="00213BC6" w:rsidP="00E760BE">
            <w:r>
              <w:t>Brazil</w:t>
            </w:r>
          </w:p>
        </w:tc>
        <w:tc>
          <w:tcPr>
            <w:tcW w:w="2656" w:type="dxa"/>
          </w:tcPr>
          <w:p w14:paraId="7E36F9AA" w14:textId="583F8F2B" w:rsidR="0036555D" w:rsidRDefault="0036555D" w:rsidP="00E760BE">
            <w:r>
              <w:t>Healthy pregnant women</w:t>
            </w:r>
            <w:r w:rsidR="00A476A9">
              <w:t>; n=644</w:t>
            </w:r>
          </w:p>
        </w:tc>
        <w:tc>
          <w:tcPr>
            <w:tcW w:w="4536" w:type="dxa"/>
          </w:tcPr>
          <w:p w14:paraId="1E14FA0D" w14:textId="77777777" w:rsidR="0036555D" w:rsidRDefault="0036555D" w:rsidP="00E760BE">
            <w:r w:rsidRPr="00D055A7">
              <w:rPr>
                <w:i/>
              </w:rPr>
              <w:t xml:space="preserve">Lactobacillus rhamnosus </w:t>
            </w:r>
            <w:r>
              <w:t>GR1</w:t>
            </w:r>
            <w:r>
              <w:br/>
            </w:r>
            <w:r w:rsidRPr="00D055A7">
              <w:rPr>
                <w:i/>
              </w:rPr>
              <w:t xml:space="preserve">Lactobacillus reuteri </w:t>
            </w:r>
            <w:r>
              <w:t>RC14</w:t>
            </w:r>
          </w:p>
        </w:tc>
        <w:tc>
          <w:tcPr>
            <w:tcW w:w="2551" w:type="dxa"/>
          </w:tcPr>
          <w:p w14:paraId="25C991FA" w14:textId="77777777" w:rsidR="0036555D" w:rsidRDefault="0036555D" w:rsidP="00E760BE">
            <w:r>
              <w:t>From week 12 until week 24-26</w:t>
            </w:r>
          </w:p>
        </w:tc>
        <w:tc>
          <w:tcPr>
            <w:tcW w:w="1843" w:type="dxa"/>
          </w:tcPr>
          <w:p w14:paraId="40F1E1B6" w14:textId="77777777" w:rsidR="0036555D" w:rsidRDefault="0036555D" w:rsidP="00E760BE">
            <w:r>
              <w:t>6-12 weeks</w:t>
            </w:r>
          </w:p>
        </w:tc>
      </w:tr>
      <w:tr w:rsidR="0036555D" w14:paraId="62BA2EF3" w14:textId="77777777" w:rsidTr="00E760BE">
        <w:trPr>
          <w:cantSplit/>
        </w:trPr>
        <w:tc>
          <w:tcPr>
            <w:tcW w:w="2306" w:type="dxa"/>
          </w:tcPr>
          <w:p w14:paraId="0FA9CC91" w14:textId="7B4C15A5" w:rsidR="0036555D" w:rsidRDefault="0036555D" w:rsidP="00E760BE">
            <w:r>
              <w:t>Laitinen et al 2009</w:t>
            </w:r>
            <w:r w:rsidR="00AB21E2">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 </w:instrText>
            </w:r>
            <w:r w:rsidR="002747EA">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240</w:t>
            </w:r>
            <w:r w:rsidR="00AB21E2">
              <w:fldChar w:fldCharType="end"/>
            </w:r>
          </w:p>
          <w:p w14:paraId="5D993259" w14:textId="00198A61" w:rsidR="00213BC6" w:rsidRDefault="00213BC6" w:rsidP="00E760BE">
            <w:r>
              <w:t>Finland</w:t>
            </w:r>
          </w:p>
        </w:tc>
        <w:tc>
          <w:tcPr>
            <w:tcW w:w="2656" w:type="dxa"/>
          </w:tcPr>
          <w:p w14:paraId="592D5C45" w14:textId="13E3A169" w:rsidR="0036555D" w:rsidRDefault="0036555D" w:rsidP="00E760BE">
            <w:r>
              <w:t>Healthy pregnant women</w:t>
            </w:r>
            <w:r w:rsidR="00A476A9">
              <w:t>; n=256</w:t>
            </w:r>
          </w:p>
        </w:tc>
        <w:tc>
          <w:tcPr>
            <w:tcW w:w="4536" w:type="dxa"/>
          </w:tcPr>
          <w:p w14:paraId="3C399809" w14:textId="77777777" w:rsidR="0036555D" w:rsidRPr="006472F6" w:rsidRDefault="0036555D" w:rsidP="00E760BE">
            <w:r w:rsidRPr="006B3B32">
              <w:rPr>
                <w:i/>
              </w:rPr>
              <w:t>Lactobacillus rhamnosus</w:t>
            </w:r>
            <w:r w:rsidRPr="006472F6">
              <w:t xml:space="preserve"> GG</w:t>
            </w:r>
            <w:r>
              <w:t xml:space="preserve"> </w:t>
            </w:r>
            <w:r w:rsidRPr="006472F6">
              <w:t>(10</w:t>
            </w:r>
            <w:r w:rsidRPr="0063179C">
              <w:rPr>
                <w:vertAlign w:val="superscript"/>
              </w:rPr>
              <w:t>10</w:t>
            </w:r>
            <w:r w:rsidRPr="006472F6">
              <w:rPr>
                <w:sz w:val="8"/>
                <w:szCs w:val="8"/>
              </w:rPr>
              <w:t xml:space="preserve"> </w:t>
            </w:r>
            <w:r w:rsidRPr="006472F6">
              <w:t xml:space="preserve">cfu) and </w:t>
            </w:r>
            <w:r w:rsidRPr="006B3B32">
              <w:rPr>
                <w:i/>
              </w:rPr>
              <w:t xml:space="preserve">Bifidobacterium lactis </w:t>
            </w:r>
            <w:r>
              <w:t>BB</w:t>
            </w:r>
            <w:r w:rsidRPr="006472F6">
              <w:t>12 (10</w:t>
            </w:r>
            <w:r w:rsidRPr="0063179C">
              <w:rPr>
                <w:vertAlign w:val="superscript"/>
              </w:rPr>
              <w:t>10</w:t>
            </w:r>
            <w:r w:rsidRPr="006472F6">
              <w:rPr>
                <w:sz w:val="8"/>
                <w:szCs w:val="8"/>
              </w:rPr>
              <w:t xml:space="preserve"> </w:t>
            </w:r>
            <w:r w:rsidRPr="006472F6">
              <w:t>cfu)</w:t>
            </w:r>
          </w:p>
        </w:tc>
        <w:tc>
          <w:tcPr>
            <w:tcW w:w="2551" w:type="dxa"/>
          </w:tcPr>
          <w:p w14:paraId="088A6A5D" w14:textId="77777777" w:rsidR="0036555D" w:rsidRDefault="0036555D" w:rsidP="00E760BE">
            <w:r>
              <w:t>From mean gestational week 13.9 until birth</w:t>
            </w:r>
          </w:p>
        </w:tc>
        <w:tc>
          <w:tcPr>
            <w:tcW w:w="1843" w:type="dxa"/>
          </w:tcPr>
          <w:p w14:paraId="411F2423" w14:textId="77777777" w:rsidR="0036555D" w:rsidRDefault="0036555D" w:rsidP="00E760BE">
            <w:r>
              <w:t>26 weeks</w:t>
            </w:r>
          </w:p>
        </w:tc>
      </w:tr>
      <w:tr w:rsidR="0036555D" w14:paraId="4492D28F" w14:textId="77777777" w:rsidTr="00E760BE">
        <w:trPr>
          <w:cantSplit/>
        </w:trPr>
        <w:tc>
          <w:tcPr>
            <w:tcW w:w="2306" w:type="dxa"/>
          </w:tcPr>
          <w:p w14:paraId="1FC663B7" w14:textId="4BD3E61E" w:rsidR="0036555D" w:rsidRDefault="0036555D" w:rsidP="00E760BE">
            <w:r>
              <w:t>Lindsay et al 2014</w:t>
            </w:r>
            <w:r w:rsidR="00AB21E2">
              <w:fldChar w:fldCharType="begin">
                <w:fldData xml:space="preserve">PEVuZE5vdGU+PENpdGU+PEF1dGhvcj5MaW5kc2F5PC9BdXRob3I+PFllYXI+MjAxNDwvWWVhcj48
UmVjTnVtPjE4NDY8L1JlY051bT48RGlzcGxheVRleHQ+PHN0eWxlIGZhY2U9InN1cGVyc2NyaXB0
IiBmb250PSJUcmVidWNoZXQgTVMiIHNpemU9IjkiPjIzNjwvc3R5bGU+PC9EaXNwbGF5VGV4dD48
cmVjb3JkPjxyZWMtbnVtYmVyPjE4NDY8L3JlYy1udW1iZXI+PGZvcmVpZ24ta2V5cz48a2V5IGFw
cD0iRU4iIGRiLWlkPSJleHZhc3JmeDJkdHJhb2VzYXN4cDJzenN4YTJkZjUwMjU5MngiIHRpbWVz
dGFtcD0iMTU4NzA5NzMzNiI+MTg0Njwva2V5PjwvZm9yZWlnbi1rZXlzPjxyZWYtdHlwZSBuYW1l
PSJKb3VybmFsIEFydGljbGUiPjE3PC9yZWYtdHlwZT48Y29udHJpYnV0b3JzPjxhdXRob3JzPjxh
dXRob3I+TGluZHNheSwgSy4gTC48L2F1dGhvcj48YXV0aG9yPktlbm5lbGx5LCBNLjwvYXV0aG9y
PjxhdXRob3I+Q3VsbGl0b24sIE0uPC9hdXRob3I+PGF1dGhvcj5TbWl0aCwgVC48L2F1dGhvcj48
YXV0aG9yPk1hZ3VpcmUsIE8uIEMuPC9hdXRob3I+PGF1dGhvcj5TaGFuYWhhbiwgRi48L2F1dGhv
cj48YXV0aG9yPkJyZW5uYW4sIEwuPC9hdXRob3I+PGF1dGhvcj5NY0F1bGlmZmUsIEYuIE0uPC9h
dXRob3I+PC9hdXRob3JzPjwvY29udHJpYnV0b3JzPjxhdXRoLWFkZHJlc3M+RnJvbSB0aGUgVW5p
dmVyc2l0eSBDb2xsZWdlIER1YmxpbiAoVUNEKSBPYnN0ZXRyaWNzIGFuZCBHeW5hZWNvbG9neSwg
U2Nob29sIG9mIE1lZGljaW5lIGFuZCBNZWRpY2FsIFNjaWVuY2UsIFVDRCwgTmF0aW9uYWwgTWF0
ZXJuaXR5IEhvc3BpdGFsLCBEdWJsaW4sIElyZWxhbmQgKEtMTCwgTUssIGFuZCBGTU0pOyBMYWJv
cmF0b3J5IE1lZGljaW5lLCBOYXRpb25hbCBNYXRlcm5pdHkgSG9zcGl0YWwsIER1YmxpbiwgSXJl
bGFuZCAoTUMpOyB0aGUgRGVwYXJ0bWVudCBvZiBDbGluaWNhbCBDaGVtaXN0cnksIFN0IFZpbmNl
bnQmYXBvcztzIFVuaXZlcnNpdHkgSG9zcGl0YWwsIEVsbSBQYXJrLCBEdWJsaW4sIElyZWxhbmQg
KFRTIGFuZCBPQ00pOyB0aGUgRGVwYXJ0bWVudCBvZiBNZWRpY2luZSwgQWxpbWVudGFyeSBhbmQg
UGhhcm1hYmlvdGljIENlbnRyZSwgVW5pdmVyc2l0eSBDb2xsZWdlIENvcmssIENvcmssIElyZWxh
bmQgKEZTKTsgYW5kIHRoZSBJbnN0aXR1dGUgb2YgRm9vZCBhbmQgSGVhbHRoLCBVQ0QgU2Nob29s
IG9mIEFncmljdWx0dXJlIGFuZCBGb29kIFNjaWVuY2UsIFVDRCwgQmVsZmllbGQsIER1Ymxpbiwg
SXJlbGFuZCAoTEIpLjwvYXV0aC1hZGRyZXNzPjx0aXRsZXM+PHRpdGxlPlByb2Jpb3RpY3MgaW4g
b2Jlc2UgcHJlZ25hbmN5IGRvIG5vdCByZWR1Y2UgbWF0ZXJuYWwgZmFzdGluZyBnbHVjb3NlOiBh
IGRvdWJsZS1ibGluZCwgcGxhY2Viby1jb250cm9sbGVkLCByYW5kb21pemVkIHRyaWFsIChQcm9i
aW90aWNzIGluIFByZWduYW5jeSBTdHVkeSk8L3RpdGxlPjxzZWNvbmRhcnktdGl0bGU+QW0gSiBD
bGluIE51dHI8L3NlY29uZGFyeS10aXRsZT48L3RpdGxlcz48cGVyaW9kaWNhbD48ZnVsbC10aXRs
ZT5BbSBKIENsaW4gTnV0cjwvZnVsbC10aXRsZT48L3BlcmlvZGljYWw+PHBhZ2VzPjE0MzItOTwv
cGFnZXM+PHZvbHVtZT45OTwvdm9sdW1lPjxudW1iZXI+NjwvbnVtYmVyPjxlZGl0aW9uPjIwMTQv
MDMvMjI8L2VkaXRpb24+PGtleXdvcmRzPjxrZXl3b3JkPkFkdWx0PC9rZXl3b3JkPjxrZXl3b3Jk
PkJvZHkgTWFzcyBJbmRleDwva2V5d29yZD48a2V5d29yZD5Db2hvcnQgU3R1ZGllczwva2V5d29y
ZD48a2V5d29yZD5EaWFiZXRlcywgR2VzdGF0aW9uYWwvZXBpZGVtaW9sb2d5L2V0aW9sb2d5L3By
ZXZlbnRpb24gJmFtcDsgY29udHJvbDwva2V5d29yZD48a2V5d29yZD5Eb3VibGUtQmxpbmQgTWV0
aG9kPC9rZXl3b3JkPjxrZXl3b3JkPkZlbWFsZTwva2V5d29yZD48a2V5d29yZD5HbHVjb3NlIElu
dG9sZXJhbmNlL2VwaWRlbWlvbG9neS9ldGlvbG9neS9wcmV2ZW50aW9uICZhbXA7IGNvbnRyb2w8
L2tleXdvcmQ+PGtleXdvcmQ+SG9zcGl0YWxzLCBNYXRlcm5pdHk8L2tleXdvcmQ+PGtleXdvcmQ+
SHVtYW5zPC9rZXl3b3JkPjxrZXl3b3JkPkh5cGVyZ2x5Y2VtaWEvZXBpZGVtaW9sb2d5L2V0aW9s
b2d5LypwcmV2ZW50aW9uICZhbXA7IGNvbnRyb2w8L2tleXdvcmQ+PGtleXdvcmQ+SW5jaWRlbmNl
PC9rZXl3b3JkPjxrZXl3b3JkPklyZWxhbmQvZXBpZGVtaW9sb2d5PC9rZXl3b3JkPjxrZXl3b3Jk
PipMYWN0b2JhY2lsbHVzPC9rZXl3b3JkPjxrZXl3b3JkPipNYXRlcm5hbCBOdXRyaXRpb25hbCBQ
aHlzaW9sb2dpY2FsIFBoZW5vbWVuYTwva2V5d29yZD48a2V5d29yZD5PYmVzaXR5L2Jsb29kLypk
aWV0IHRoZXJhcHkvcGh5c2lvcGF0aG9sb2d5PC9rZXl3b3JkPjxrZXl3b3JkPk91dHBhdGllbnQg
Q2xpbmljcywgSG9zcGl0YWw8L2tleXdvcmQ+PGtleXdvcmQ+UHJlZ25hbmN5PC9rZXl3b3JkPjxr
ZXl3b3JkPlByZWduYW5jeSBDb21wbGljYXRpb25zL2Jsb29kLypkaWV0IHRoZXJhcHkvcGh5c2lv
cGF0aG9sb2d5PC9rZXl3b3JkPjxrZXl3b3JkPlByb2Jpb3RpY3MvYWR2ZXJzZSBlZmZlY3RzLyp0
aGVyYXBldXRpYyB1c2U8L2tleXdvcmQ+PGtleXdvcmQ+Umlzazwva2V5d29yZD48L2tleXdvcmRz
PjxkYXRlcz48eWVhcj4yMDE0PC95ZWFyPjxwdWItZGF0ZXM+PGRhdGU+SnVuPC9kYXRlPjwvcHVi
LWRhdGVzPjwvZGF0ZXM+PGlzYm4+MTkzOC0zMjA3IChFbGVjdHJvbmljKSYjeEQ7MDAwMi05MTY1
IChMaW5raW5nKTwvaXNibj48YWNjZXNzaW9uLW51bT4yNDY0NjgxOTwvYWNjZXNzaW9uLW51bT48
dXJscz48cmVsYXRlZC11cmxzPjx1cmw+aHR0cHM6Ly93d3cubmNiaS5ubG0ubmloLmdvdi9wdWJt
ZWQvMjQ2NDY4MTk8L3VybD48L3JlbGF0ZWQtdXJscz48L3VybHM+PGVsZWN0cm9uaWMtcmVzb3Vy
Y2UtbnVtPjEwLjM5NDUvYWpjbi4xMTMuMDc5NzIzPC9lbGVjdHJvbmljLXJlc291cmNlLW51bT48
L3JlY29yZD48L0NpdGU+PC9FbmROb3RlPgB=
</w:fldData>
              </w:fldChar>
            </w:r>
            <w:r w:rsidR="002747EA">
              <w:instrText xml:space="preserve"> ADDIN EN.CITE </w:instrText>
            </w:r>
            <w:r w:rsidR="002747EA">
              <w:fldChar w:fldCharType="begin">
                <w:fldData xml:space="preserve">PEVuZE5vdGU+PENpdGU+PEF1dGhvcj5MaW5kc2F5PC9BdXRob3I+PFllYXI+MjAxNDwvWWVhcj48
UmVjTnVtPjE4NDY8L1JlY051bT48RGlzcGxheVRleHQ+PHN0eWxlIGZhY2U9InN1cGVyc2NyaXB0
IiBmb250PSJUcmVidWNoZXQgTVMiIHNpemU9IjkiPjIzNjwvc3R5bGU+PC9EaXNwbGF5VGV4dD48
cmVjb3JkPjxyZWMtbnVtYmVyPjE4NDY8L3JlYy1udW1iZXI+PGZvcmVpZ24ta2V5cz48a2V5IGFw
cD0iRU4iIGRiLWlkPSJleHZhc3JmeDJkdHJhb2VzYXN4cDJzenN4YTJkZjUwMjU5MngiIHRpbWVz
dGFtcD0iMTU4NzA5NzMzNiI+MTg0Njwva2V5PjwvZm9yZWlnbi1rZXlzPjxyZWYtdHlwZSBuYW1l
PSJKb3VybmFsIEFydGljbGUiPjE3PC9yZWYtdHlwZT48Y29udHJpYnV0b3JzPjxhdXRob3JzPjxh
dXRob3I+TGluZHNheSwgSy4gTC48L2F1dGhvcj48YXV0aG9yPktlbm5lbGx5LCBNLjwvYXV0aG9y
PjxhdXRob3I+Q3VsbGl0b24sIE0uPC9hdXRob3I+PGF1dGhvcj5TbWl0aCwgVC48L2F1dGhvcj48
YXV0aG9yPk1hZ3VpcmUsIE8uIEMuPC9hdXRob3I+PGF1dGhvcj5TaGFuYWhhbiwgRi48L2F1dGhv
cj48YXV0aG9yPkJyZW5uYW4sIEwuPC9hdXRob3I+PGF1dGhvcj5NY0F1bGlmZmUsIEYuIE0uPC9h
dXRob3I+PC9hdXRob3JzPjwvY29udHJpYnV0b3JzPjxhdXRoLWFkZHJlc3M+RnJvbSB0aGUgVW5p
dmVyc2l0eSBDb2xsZWdlIER1YmxpbiAoVUNEKSBPYnN0ZXRyaWNzIGFuZCBHeW5hZWNvbG9neSwg
U2Nob29sIG9mIE1lZGljaW5lIGFuZCBNZWRpY2FsIFNjaWVuY2UsIFVDRCwgTmF0aW9uYWwgTWF0
ZXJuaXR5IEhvc3BpdGFsLCBEdWJsaW4sIElyZWxhbmQgKEtMTCwgTUssIGFuZCBGTU0pOyBMYWJv
cmF0b3J5IE1lZGljaW5lLCBOYXRpb25hbCBNYXRlcm5pdHkgSG9zcGl0YWwsIER1YmxpbiwgSXJl
bGFuZCAoTUMpOyB0aGUgRGVwYXJ0bWVudCBvZiBDbGluaWNhbCBDaGVtaXN0cnksIFN0IFZpbmNl
bnQmYXBvcztzIFVuaXZlcnNpdHkgSG9zcGl0YWwsIEVsbSBQYXJrLCBEdWJsaW4sIElyZWxhbmQg
KFRTIGFuZCBPQ00pOyB0aGUgRGVwYXJ0bWVudCBvZiBNZWRpY2luZSwgQWxpbWVudGFyeSBhbmQg
UGhhcm1hYmlvdGljIENlbnRyZSwgVW5pdmVyc2l0eSBDb2xsZWdlIENvcmssIENvcmssIElyZWxh
bmQgKEZTKTsgYW5kIHRoZSBJbnN0aXR1dGUgb2YgRm9vZCBhbmQgSGVhbHRoLCBVQ0QgU2Nob29s
IG9mIEFncmljdWx0dXJlIGFuZCBGb29kIFNjaWVuY2UsIFVDRCwgQmVsZmllbGQsIER1Ymxpbiwg
SXJlbGFuZCAoTEIpLjwvYXV0aC1hZGRyZXNzPjx0aXRsZXM+PHRpdGxlPlByb2Jpb3RpY3MgaW4g
b2Jlc2UgcHJlZ25hbmN5IGRvIG5vdCByZWR1Y2UgbWF0ZXJuYWwgZmFzdGluZyBnbHVjb3NlOiBh
IGRvdWJsZS1ibGluZCwgcGxhY2Viby1jb250cm9sbGVkLCByYW5kb21pemVkIHRyaWFsIChQcm9i
aW90aWNzIGluIFByZWduYW5jeSBTdHVkeSk8L3RpdGxlPjxzZWNvbmRhcnktdGl0bGU+QW0gSiBD
bGluIE51dHI8L3NlY29uZGFyeS10aXRsZT48L3RpdGxlcz48cGVyaW9kaWNhbD48ZnVsbC10aXRs
ZT5BbSBKIENsaW4gTnV0cjwvZnVsbC10aXRsZT48L3BlcmlvZGljYWw+PHBhZ2VzPjE0MzItOTwv
cGFnZXM+PHZvbHVtZT45OTwvdm9sdW1lPjxudW1iZXI+NjwvbnVtYmVyPjxlZGl0aW9uPjIwMTQv
MDMvMjI8L2VkaXRpb24+PGtleXdvcmRzPjxrZXl3b3JkPkFkdWx0PC9rZXl3b3JkPjxrZXl3b3Jk
PkJvZHkgTWFzcyBJbmRleDwva2V5d29yZD48a2V5d29yZD5Db2hvcnQgU3R1ZGllczwva2V5d29y
ZD48a2V5d29yZD5EaWFiZXRlcywgR2VzdGF0aW9uYWwvZXBpZGVtaW9sb2d5L2V0aW9sb2d5L3By
ZXZlbnRpb24gJmFtcDsgY29udHJvbDwva2V5d29yZD48a2V5d29yZD5Eb3VibGUtQmxpbmQgTWV0
aG9kPC9rZXl3b3JkPjxrZXl3b3JkPkZlbWFsZTwva2V5d29yZD48a2V5d29yZD5HbHVjb3NlIElu
dG9sZXJhbmNlL2VwaWRlbWlvbG9neS9ldGlvbG9neS9wcmV2ZW50aW9uICZhbXA7IGNvbnRyb2w8
L2tleXdvcmQ+PGtleXdvcmQ+SG9zcGl0YWxzLCBNYXRlcm5pdHk8L2tleXdvcmQ+PGtleXdvcmQ+
SHVtYW5zPC9rZXl3b3JkPjxrZXl3b3JkPkh5cGVyZ2x5Y2VtaWEvZXBpZGVtaW9sb2d5L2V0aW9s
b2d5LypwcmV2ZW50aW9uICZhbXA7IGNvbnRyb2w8L2tleXdvcmQ+PGtleXdvcmQ+SW5jaWRlbmNl
PC9rZXl3b3JkPjxrZXl3b3JkPklyZWxhbmQvZXBpZGVtaW9sb2d5PC9rZXl3b3JkPjxrZXl3b3Jk
PipMYWN0b2JhY2lsbHVzPC9rZXl3b3JkPjxrZXl3b3JkPipNYXRlcm5hbCBOdXRyaXRpb25hbCBQ
aHlzaW9sb2dpY2FsIFBoZW5vbWVuYTwva2V5d29yZD48a2V5d29yZD5PYmVzaXR5L2Jsb29kLypk
aWV0IHRoZXJhcHkvcGh5c2lvcGF0aG9sb2d5PC9rZXl3b3JkPjxrZXl3b3JkPk91dHBhdGllbnQg
Q2xpbmljcywgSG9zcGl0YWw8L2tleXdvcmQ+PGtleXdvcmQ+UHJlZ25hbmN5PC9rZXl3b3JkPjxr
ZXl3b3JkPlByZWduYW5jeSBDb21wbGljYXRpb25zL2Jsb29kLypkaWV0IHRoZXJhcHkvcGh5c2lv
cGF0aG9sb2d5PC9rZXl3b3JkPjxrZXl3b3JkPlByb2Jpb3RpY3MvYWR2ZXJzZSBlZmZlY3RzLyp0
aGVyYXBldXRpYyB1c2U8L2tleXdvcmQ+PGtleXdvcmQ+Umlzazwva2V5d29yZD48L2tleXdvcmRz
PjxkYXRlcz48eWVhcj4yMDE0PC95ZWFyPjxwdWItZGF0ZXM+PGRhdGU+SnVuPC9kYXRlPjwvcHVi
LWRhdGVzPjwvZGF0ZXM+PGlzYm4+MTkzOC0zMjA3IChFbGVjdHJvbmljKSYjeEQ7MDAwMi05MTY1
IChMaW5raW5nKTwvaXNibj48YWNjZXNzaW9uLW51bT4yNDY0NjgxOTwvYWNjZXNzaW9uLW51bT48
dXJscz48cmVsYXRlZC11cmxzPjx1cmw+aHR0cHM6Ly93d3cubmNiaS5ubG0ubmloLmdvdi9wdWJt
ZWQvMjQ2NDY4MTk8L3VybD48L3JlbGF0ZWQtdXJscz48L3VybHM+PGVsZWN0cm9uaWMtcmVzb3Vy
Y2UtbnVtPjEwLjM5NDUvYWpjbi4xMTMuMDc5NzIzPC9lbGVjdHJvbmljLXJlc291cmNlLW51bT48
L3JlY29yZD48L0NpdGU+PC9FbmROb3RlPgB=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236</w:t>
            </w:r>
            <w:r w:rsidR="00AB21E2">
              <w:fldChar w:fldCharType="end"/>
            </w:r>
          </w:p>
          <w:p w14:paraId="1BA8111F" w14:textId="18EC1BD4" w:rsidR="00213BC6" w:rsidRDefault="00213BC6" w:rsidP="00E760BE">
            <w:r>
              <w:t>Ireland</w:t>
            </w:r>
          </w:p>
        </w:tc>
        <w:tc>
          <w:tcPr>
            <w:tcW w:w="2656" w:type="dxa"/>
          </w:tcPr>
          <w:p w14:paraId="19A59ADF" w14:textId="35C2C648" w:rsidR="0036555D" w:rsidRDefault="0036555D" w:rsidP="00E760BE">
            <w:r>
              <w:t>Pregnant women with BMI ≥30</w:t>
            </w:r>
            <w:r w:rsidR="00A476A9">
              <w:t>; n=165</w:t>
            </w:r>
          </w:p>
        </w:tc>
        <w:tc>
          <w:tcPr>
            <w:tcW w:w="4536" w:type="dxa"/>
          </w:tcPr>
          <w:p w14:paraId="013310DE" w14:textId="77777777" w:rsidR="0036555D" w:rsidRPr="0063179C" w:rsidRDefault="0036555D" w:rsidP="00E760BE">
            <w:r w:rsidRPr="006472F6">
              <w:rPr>
                <w:i/>
              </w:rPr>
              <w:t>Lactobacillus</w:t>
            </w:r>
            <w:r>
              <w:rPr>
                <w:i/>
              </w:rPr>
              <w:t xml:space="preserve"> salivarius </w:t>
            </w:r>
            <w:r>
              <w:t>UCC118 (10</w:t>
            </w:r>
            <w:r w:rsidRPr="0063179C">
              <w:rPr>
                <w:vertAlign w:val="superscript"/>
              </w:rPr>
              <w:t>9</w:t>
            </w:r>
            <w:r>
              <w:t xml:space="preserve"> cfu)</w:t>
            </w:r>
          </w:p>
        </w:tc>
        <w:tc>
          <w:tcPr>
            <w:tcW w:w="2551" w:type="dxa"/>
          </w:tcPr>
          <w:p w14:paraId="1F1ABC70" w14:textId="77777777" w:rsidR="0036555D" w:rsidRDefault="0036555D" w:rsidP="00E760BE">
            <w:r>
              <w:t>From week 24-28 until birth</w:t>
            </w:r>
          </w:p>
        </w:tc>
        <w:tc>
          <w:tcPr>
            <w:tcW w:w="1843" w:type="dxa"/>
          </w:tcPr>
          <w:p w14:paraId="5FBBD979" w14:textId="77777777" w:rsidR="0036555D" w:rsidRDefault="0036555D" w:rsidP="00E760BE">
            <w:r>
              <w:t>12-16 weeks</w:t>
            </w:r>
          </w:p>
        </w:tc>
      </w:tr>
      <w:tr w:rsidR="0036555D" w14:paraId="7EF2C507" w14:textId="77777777" w:rsidTr="00E760BE">
        <w:trPr>
          <w:cantSplit/>
        </w:trPr>
        <w:tc>
          <w:tcPr>
            <w:tcW w:w="2306" w:type="dxa"/>
          </w:tcPr>
          <w:p w14:paraId="34F45E45" w14:textId="7D4FF1CD" w:rsidR="0036555D" w:rsidRDefault="0036555D" w:rsidP="00E760BE">
            <w:r>
              <w:t>Lindsay et al 2015</w:t>
            </w:r>
            <w:r w:rsidR="00AB21E2">
              <w:fldChar w:fldCharType="begin">
                <w:fldData xml:space="preserve">PEVuZE5vdGU+PENpdGU+PEF1dGhvcj5MaW5kc2F5PC9BdXRob3I+PFllYXI+MjAxNTwvWWVhcj48
UmVjTnVtPjE2OTY8L1JlY051bT48RGlzcGxheVRleHQ+PHN0eWxlIGZhY2U9InN1cGVyc2NyaXB0
IiBmb250PSJUcmVidWNoZXQgTVMiIHNpemU9IjkiPjI0MTwvc3R5bGU+PC9EaXNwbGF5VGV4dD48
cmVjb3JkPjxyZWMtbnVtYmVyPjE2OTY8L3JlYy1udW1iZXI+PGZvcmVpZ24ta2V5cz48a2V5IGFw
cD0iRU4iIGRiLWlkPSJleHZhc3JmeDJkdHJhb2VzYXN4cDJzenN4YTJkZjUwMjU5MngiIHRpbWVz
dGFtcD0iMTU4MTgzMjI4OSI+MTY5Njwva2V5PjwvZm9yZWlnbi1rZXlzPjxyZWYtdHlwZSBuYW1l
PSJKb3VybmFsIEFydGljbGUiPjE3PC9yZWYtdHlwZT48Y29udHJpYnV0b3JzPjxhdXRob3JzPjxh
dXRob3I+TGluZHNheSwgSy4gTC48L2F1dGhvcj48YXV0aG9yPkJyZW5uYW4sIEwuPC9hdXRob3I+
PGF1dGhvcj5LZW5uZWxseSwgTS4gQS48L2F1dGhvcj48YXV0aG9yPk1hZ3VpcmUsIE8uIEMuPC9h
dXRob3I+PGF1dGhvcj5TbWl0aCwgVC48L2F1dGhvcj48YXV0aG9yPkN1cnJhbiwgUy48L2F1dGhv
cj48YXV0aG9yPkNvZmZleSwgTS48L2F1dGhvcj48YXV0aG9yPkZvbGV5LCBNLiBFLjwvYXV0aG9y
PjxhdXRob3I+SGF0dW5pYywgTS48L2F1dGhvcj48YXV0aG9yPlNoYW5haGFuLCBGLjwvYXV0aG9y
PjxhdXRob3I+TWNBdWxpZmZlLCBGLiBNLjwvYXV0aG9yPjwvYXV0aG9ycz48L2NvbnRyaWJ1dG9y
cz48YXV0aC1hZGRyZXNzPlVDRCBPYnN0ZXRyaWNzIGFuZCBHeW5lY29sb2d5LCBTY2hvb2wgb2Yg
TWVkaWNpbmUgYW5kIE1lZGljYWwgU2NpZW5jZSwgYW5kIE5hdGlvbmFsIE1hdGVybml0eSBIb3Nw
aXRhbCwgVW5pdmVyc2l0eSBDb2xsZWdlIER1YmxpbiwgRHVibGluLCBJcmVsYW5kLiYjeEQ7VUNE
IEluc3RpdHV0ZSBvZiBGb29kIGFuZCBIZWFsdGgsIFNjaG9vbCBvZiBBZ3JpY3VsdHVyZSBhbmQg
Rm9vZCBTY2llbmNlLCBVbml2ZXJzaXR5IENvbGxlZ2UgRHVibGluLCBEdWJsaW4sIElyZWxhbmQu
JiN4RDtEZXBhcnRtZW50IG9mIENsaW5pY2FsIENoZW1pc3RyeSwgU3QuIFZpbmNlbnQmYXBvcztz
IFVuaXZlcnNpdHkgSG9zcGl0YWwsIEVsbSBQYXJrLCBEdWJsaW4sIElyZWxhbmQuJiN4RDtEZXBh
cnRtZW50IG9mIENsaW5pY2FsIE51dHJpdGlvbiwgTmF0aW9uYWwgTWF0ZXJuaXR5IEhvc3BpdGFs
LCBEdWJsaW4sIElyZWxhbmQuJiN4RDtEZXBhcnRtZW50IG9mIE1pZHdpZmVyeSwgTmF0aW9uYWwg
TWF0ZXJuaXR5IEhvc3BpdGFsLCBEdWJsaW4sIElyZWxhbmQuJiN4RDtEZXBhcnRtZW50IG9mIEVu
ZG9jcmlub2xvZ3ksIE5hdGlvbmFsIE1hdGVybml0eSBIb3NwaXRhbCwgRHVibGluLCBJcmVsYW5k
LiYjeEQ7RGVwYXJ0bWVudCBvZiBNZWRpY2luZSwgQWxpbWVudGFyeSBhbmQgUGhhcm1hYmlvdGlj
IENlbnRlciwgVW5pdmVyc2l0eSBDb2xsZWdlIENvcmssIENvcmssIElyZWxhbmQuJiN4RDtVQ0Qg
T2JzdGV0cmljcyBhbmQgR3luZWNvbG9neSwgU2Nob29sIG9mIE1lZGljaW5lIGFuZCBNZWRpY2Fs
IFNjaWVuY2UsIGFuZCBOYXRpb25hbCBNYXRlcm5pdHkgSG9zcGl0YWwsIFVuaXZlcnNpdHkgQ29s
bGVnZSBEdWJsaW4sIER1YmxpbiwgSXJlbGFuZC4gRWxlY3Ryb25pYyBhZGRyZXNzOiBmaW9ubnVh
bGEubWNhdWxpZmZlQHVjZC5pZS48L2F1dGgtYWRkcmVzcz48dGl0bGVzPjx0aXRsZT5JbXBhY3Qg
b2YgcHJvYmlvdGljcyBpbiB3b21lbiB3aXRoIGdlc3RhdGlvbmFsIGRpYWJldGVzIG1lbGxpdHVz
IG9uIG1ldGFib2xpYyBoZWFsdGg6IGEgcmFuZG9taXplZCBjb250cm9sbGVkIHRyaWFsPC90aXRs
ZT48c2Vjb25kYXJ5LXRpdGxlPkFtIEogT2JzdGV0IEd5bmVjb2w8L3NlY29uZGFyeS10aXRsZT48
L3RpdGxlcz48cGVyaW9kaWNhbD48ZnVsbC10aXRsZT5BbSBKIE9ic3RldCBHeW5lY29sPC9mdWxs
LXRpdGxlPjwvcGVyaW9kaWNhbD48cGFnZXM+NDk2IGUxLTExPC9wYWdlcz48dm9sdW1lPjIxMjwv
dm9sdW1lPjxudW1iZXI+NDwvbnVtYmVyPjxlZGl0aW9uPjIwMTUvMDIvMTg8L2VkaXRpb24+PGtl
eXdvcmRzPjxrZXl3b3JkPkFkdWx0PC9rZXl3b3JkPjxrZXl3b3JkPkJpb21hcmtlcnMvYmxvb2Q8
L2tleXdvcmQ+PGtleXdvcmQ+Qmxvb2QgR2x1Y29zZS9tZXRhYm9saXNtPC9rZXl3b3JkPjxrZXl3
b3JkPkMtUGVwdGlkZS9ibG9vZDwva2V5d29yZD48a2V5d29yZD5DaG9sZXN0ZXJvbC9ibG9vZDwv
a2V5d29yZD48a2V5d29yZD5EaWFiZXRlcywgR2VzdGF0aW9uYWwvYmxvb2QvKnRoZXJhcHk8L2tl
eXdvcmQ+PGtleXdvcmQ+RG91YmxlLUJsaW5kIE1ldGhvZDwva2V5d29yZD48a2V5d29yZD5GZW1h
bGU8L2tleXdvcmQ+PGtleXdvcmQ+SHVtYW5zPC9rZXl3b3JkPjxrZXl3b3JkPkluZmFudCwgTmV3
Ym9ybjwva2V5d29yZD48a2V5d29yZD5JbnN1bGluL2Jsb29kPC9rZXl3b3JkPjxrZXl3b3JkPklu
dGVudGlvbiB0byBUcmVhdCBBbmFseXNpczwva2V5d29yZD48a2V5d29yZD4qTGFjdG9iYWNpbGx1
czwva2V5d29yZD48a2V5d29yZD5QcmVnbmFuY3k8L2tleXdvcmQ+PGtleXdvcmQ+UHJlZ25hbmN5
IE91dGNvbWU8L2tleXdvcmQ+PGtleXdvcmQ+UHJvYmlvdGljcy8qdGhlcmFwZXV0aWMgdXNlPC9r
ZXl3b3JkPjxrZXl3b3JkPlRyZWF0bWVudCBPdXRjb21lPC9rZXl3b3JkPjxrZXl3b3JkPmdlc3Rh
dGlvbmFsIGRpYWJldGVzPC9rZXl3b3JkPjxrZXl3b3JkPmdseWNlbWljIGNvbnRyb2w8L2tleXdv
cmQ+PGtleXdvcmQ+bG93LWRlbnNpdHkgbGlwb3Byb3RlaW4gY2hvbGVzdGVyb2w8L2tleXdvcmQ+
PGtleXdvcmQ+cHJvYmlvdGljczwva2V5d29yZD48a2V5d29yZD50b3RhbCBjaG9sZXN0ZXJvbDwv
a2V5d29yZD48L2tleXdvcmRzPjxkYXRlcz48eWVhcj4yMDE1PC95ZWFyPjxwdWItZGF0ZXM+PGRh
dGU+QXByPC9kYXRlPjwvcHViLWRhdGVzPjwvZGF0ZXM+PGlzYm4+MTA5Ny02ODY4IChFbGVjdHJv
bmljKSYjeEQ7MDAwMi05Mzc4IChMaW5raW5nKTwvaXNibj48YWNjZXNzaW9uLW51bT4yNTY4NzU2
ODwvYWNjZXNzaW9uLW51bT48dXJscz48cmVsYXRlZC11cmxzPjx1cmw+aHR0cHM6Ly93d3cubmNi
aS5ubG0ubmloLmdvdi9wdWJtZWQvMjU2ODc1Njg8L3VybD48L3JlbGF0ZWQtdXJscz48L3VybHM+
PGVsZWN0cm9uaWMtcmVzb3VyY2UtbnVtPjEwLjEwMTYvai5ham9nLjIwMTUuMDIuMDA4PC9lbGVj
dHJvbmljLXJlc291cmNlLW51bT48L3JlY29yZD48L0NpdGU+PC9FbmROb3RlPn==
</w:fldData>
              </w:fldChar>
            </w:r>
            <w:r w:rsidR="002747EA">
              <w:instrText xml:space="preserve"> ADDIN EN.CITE </w:instrText>
            </w:r>
            <w:r w:rsidR="002747EA">
              <w:fldChar w:fldCharType="begin">
                <w:fldData xml:space="preserve">PEVuZE5vdGU+PENpdGU+PEF1dGhvcj5MaW5kc2F5PC9BdXRob3I+PFllYXI+MjAxNTwvWWVhcj48
UmVjTnVtPjE2OTY8L1JlY051bT48RGlzcGxheVRleHQ+PHN0eWxlIGZhY2U9InN1cGVyc2NyaXB0
IiBmb250PSJUcmVidWNoZXQgTVMiIHNpemU9IjkiPjI0MTwvc3R5bGU+PC9EaXNwbGF5VGV4dD48
cmVjb3JkPjxyZWMtbnVtYmVyPjE2OTY8L3JlYy1udW1iZXI+PGZvcmVpZ24ta2V5cz48a2V5IGFw
cD0iRU4iIGRiLWlkPSJleHZhc3JmeDJkdHJhb2VzYXN4cDJzenN4YTJkZjUwMjU5MngiIHRpbWVz
dGFtcD0iMTU4MTgzMjI4OSI+MTY5Njwva2V5PjwvZm9yZWlnbi1rZXlzPjxyZWYtdHlwZSBuYW1l
PSJKb3VybmFsIEFydGljbGUiPjE3PC9yZWYtdHlwZT48Y29udHJpYnV0b3JzPjxhdXRob3JzPjxh
dXRob3I+TGluZHNheSwgSy4gTC48L2F1dGhvcj48YXV0aG9yPkJyZW5uYW4sIEwuPC9hdXRob3I+
PGF1dGhvcj5LZW5uZWxseSwgTS4gQS48L2F1dGhvcj48YXV0aG9yPk1hZ3VpcmUsIE8uIEMuPC9h
dXRob3I+PGF1dGhvcj5TbWl0aCwgVC48L2F1dGhvcj48YXV0aG9yPkN1cnJhbiwgUy48L2F1dGhv
cj48YXV0aG9yPkNvZmZleSwgTS48L2F1dGhvcj48YXV0aG9yPkZvbGV5LCBNLiBFLjwvYXV0aG9y
PjxhdXRob3I+SGF0dW5pYywgTS48L2F1dGhvcj48YXV0aG9yPlNoYW5haGFuLCBGLjwvYXV0aG9y
PjxhdXRob3I+TWNBdWxpZmZlLCBGLiBNLjwvYXV0aG9yPjwvYXV0aG9ycz48L2NvbnRyaWJ1dG9y
cz48YXV0aC1hZGRyZXNzPlVDRCBPYnN0ZXRyaWNzIGFuZCBHeW5lY29sb2d5LCBTY2hvb2wgb2Yg
TWVkaWNpbmUgYW5kIE1lZGljYWwgU2NpZW5jZSwgYW5kIE5hdGlvbmFsIE1hdGVybml0eSBIb3Nw
aXRhbCwgVW5pdmVyc2l0eSBDb2xsZWdlIER1YmxpbiwgRHVibGluLCBJcmVsYW5kLiYjeEQ7VUNE
IEluc3RpdHV0ZSBvZiBGb29kIGFuZCBIZWFsdGgsIFNjaG9vbCBvZiBBZ3JpY3VsdHVyZSBhbmQg
Rm9vZCBTY2llbmNlLCBVbml2ZXJzaXR5IENvbGxlZ2UgRHVibGluLCBEdWJsaW4sIElyZWxhbmQu
JiN4RDtEZXBhcnRtZW50IG9mIENsaW5pY2FsIENoZW1pc3RyeSwgU3QuIFZpbmNlbnQmYXBvcztz
IFVuaXZlcnNpdHkgSG9zcGl0YWwsIEVsbSBQYXJrLCBEdWJsaW4sIElyZWxhbmQuJiN4RDtEZXBh
cnRtZW50IG9mIENsaW5pY2FsIE51dHJpdGlvbiwgTmF0aW9uYWwgTWF0ZXJuaXR5IEhvc3BpdGFs
LCBEdWJsaW4sIElyZWxhbmQuJiN4RDtEZXBhcnRtZW50IG9mIE1pZHdpZmVyeSwgTmF0aW9uYWwg
TWF0ZXJuaXR5IEhvc3BpdGFsLCBEdWJsaW4sIElyZWxhbmQuJiN4RDtEZXBhcnRtZW50IG9mIEVu
ZG9jcmlub2xvZ3ksIE5hdGlvbmFsIE1hdGVybml0eSBIb3NwaXRhbCwgRHVibGluLCBJcmVsYW5k
LiYjeEQ7RGVwYXJ0bWVudCBvZiBNZWRpY2luZSwgQWxpbWVudGFyeSBhbmQgUGhhcm1hYmlvdGlj
IENlbnRlciwgVW5pdmVyc2l0eSBDb2xsZWdlIENvcmssIENvcmssIElyZWxhbmQuJiN4RDtVQ0Qg
T2JzdGV0cmljcyBhbmQgR3luZWNvbG9neSwgU2Nob29sIG9mIE1lZGljaW5lIGFuZCBNZWRpY2Fs
IFNjaWVuY2UsIGFuZCBOYXRpb25hbCBNYXRlcm5pdHkgSG9zcGl0YWwsIFVuaXZlcnNpdHkgQ29s
bGVnZSBEdWJsaW4sIER1YmxpbiwgSXJlbGFuZC4gRWxlY3Ryb25pYyBhZGRyZXNzOiBmaW9ubnVh
bGEubWNhdWxpZmZlQHVjZC5pZS48L2F1dGgtYWRkcmVzcz48dGl0bGVzPjx0aXRsZT5JbXBhY3Qg
b2YgcHJvYmlvdGljcyBpbiB3b21lbiB3aXRoIGdlc3RhdGlvbmFsIGRpYWJldGVzIG1lbGxpdHVz
IG9uIG1ldGFib2xpYyBoZWFsdGg6IGEgcmFuZG9taXplZCBjb250cm9sbGVkIHRyaWFsPC90aXRs
ZT48c2Vjb25kYXJ5LXRpdGxlPkFtIEogT2JzdGV0IEd5bmVjb2w8L3NlY29uZGFyeS10aXRsZT48
L3RpdGxlcz48cGVyaW9kaWNhbD48ZnVsbC10aXRsZT5BbSBKIE9ic3RldCBHeW5lY29sPC9mdWxs
LXRpdGxlPjwvcGVyaW9kaWNhbD48cGFnZXM+NDk2IGUxLTExPC9wYWdlcz48dm9sdW1lPjIxMjwv
dm9sdW1lPjxudW1iZXI+NDwvbnVtYmVyPjxlZGl0aW9uPjIwMTUvMDIvMTg8L2VkaXRpb24+PGtl
eXdvcmRzPjxrZXl3b3JkPkFkdWx0PC9rZXl3b3JkPjxrZXl3b3JkPkJpb21hcmtlcnMvYmxvb2Q8
L2tleXdvcmQ+PGtleXdvcmQ+Qmxvb2QgR2x1Y29zZS9tZXRhYm9saXNtPC9rZXl3b3JkPjxrZXl3
b3JkPkMtUGVwdGlkZS9ibG9vZDwva2V5d29yZD48a2V5d29yZD5DaG9sZXN0ZXJvbC9ibG9vZDwv
a2V5d29yZD48a2V5d29yZD5EaWFiZXRlcywgR2VzdGF0aW9uYWwvYmxvb2QvKnRoZXJhcHk8L2tl
eXdvcmQ+PGtleXdvcmQ+RG91YmxlLUJsaW5kIE1ldGhvZDwva2V5d29yZD48a2V5d29yZD5GZW1h
bGU8L2tleXdvcmQ+PGtleXdvcmQ+SHVtYW5zPC9rZXl3b3JkPjxrZXl3b3JkPkluZmFudCwgTmV3
Ym9ybjwva2V5d29yZD48a2V5d29yZD5JbnN1bGluL2Jsb29kPC9rZXl3b3JkPjxrZXl3b3JkPklu
dGVudGlvbiB0byBUcmVhdCBBbmFseXNpczwva2V5d29yZD48a2V5d29yZD4qTGFjdG9iYWNpbGx1
czwva2V5d29yZD48a2V5d29yZD5QcmVnbmFuY3k8L2tleXdvcmQ+PGtleXdvcmQ+UHJlZ25hbmN5
IE91dGNvbWU8L2tleXdvcmQ+PGtleXdvcmQ+UHJvYmlvdGljcy8qdGhlcmFwZXV0aWMgdXNlPC9r
ZXl3b3JkPjxrZXl3b3JkPlRyZWF0bWVudCBPdXRjb21lPC9rZXl3b3JkPjxrZXl3b3JkPmdlc3Rh
dGlvbmFsIGRpYWJldGVzPC9rZXl3b3JkPjxrZXl3b3JkPmdseWNlbWljIGNvbnRyb2w8L2tleXdv
cmQ+PGtleXdvcmQ+bG93LWRlbnNpdHkgbGlwb3Byb3RlaW4gY2hvbGVzdGVyb2w8L2tleXdvcmQ+
PGtleXdvcmQ+cHJvYmlvdGljczwva2V5d29yZD48a2V5d29yZD50b3RhbCBjaG9sZXN0ZXJvbDwv
a2V5d29yZD48L2tleXdvcmRzPjxkYXRlcz48eWVhcj4yMDE1PC95ZWFyPjxwdWItZGF0ZXM+PGRh
dGU+QXByPC9kYXRlPjwvcHViLWRhdGVzPjwvZGF0ZXM+PGlzYm4+MTA5Ny02ODY4IChFbGVjdHJv
bmljKSYjeEQ7MDAwMi05Mzc4IChMaW5raW5nKTwvaXNibj48YWNjZXNzaW9uLW51bT4yNTY4NzU2
ODwvYWNjZXNzaW9uLW51bT48dXJscz48cmVsYXRlZC11cmxzPjx1cmw+aHR0cHM6Ly93d3cubmNi
aS5ubG0ubmloLmdvdi9wdWJtZWQvMjU2ODc1Njg8L3VybD48L3JlbGF0ZWQtdXJscz48L3VybHM+
PGVsZWN0cm9uaWMtcmVzb3VyY2UtbnVtPjEwLjEwMTYvai5ham9nLjIwMTUuMDIuMDA4PC9lbGVj
dHJvbmljLXJlc291cmNlLW51bT48L3JlY29yZD48L0NpdGU+PC9FbmROb3RlPn==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241</w:t>
            </w:r>
            <w:r w:rsidR="00AB21E2">
              <w:fldChar w:fldCharType="end"/>
            </w:r>
          </w:p>
          <w:p w14:paraId="4FA480C7" w14:textId="1DD15722" w:rsidR="00213BC6" w:rsidRDefault="00213BC6" w:rsidP="00E760BE">
            <w:r>
              <w:t>Ireland</w:t>
            </w:r>
          </w:p>
        </w:tc>
        <w:tc>
          <w:tcPr>
            <w:tcW w:w="2656" w:type="dxa"/>
          </w:tcPr>
          <w:p w14:paraId="74ED4169" w14:textId="2FC94450" w:rsidR="0036555D" w:rsidRDefault="0036555D" w:rsidP="00E760BE">
            <w:r>
              <w:t>Women with GDM</w:t>
            </w:r>
            <w:r w:rsidR="00A476A9">
              <w:t>; n=149</w:t>
            </w:r>
          </w:p>
        </w:tc>
        <w:tc>
          <w:tcPr>
            <w:tcW w:w="4536" w:type="dxa"/>
          </w:tcPr>
          <w:p w14:paraId="4CF3414B" w14:textId="77777777" w:rsidR="0036555D" w:rsidRDefault="0036555D" w:rsidP="00E760BE">
            <w:r w:rsidRPr="006472F6">
              <w:rPr>
                <w:i/>
              </w:rPr>
              <w:t>Lactobacillus</w:t>
            </w:r>
            <w:r>
              <w:rPr>
                <w:i/>
              </w:rPr>
              <w:t xml:space="preserve"> salivarius </w:t>
            </w:r>
            <w:r>
              <w:t>UCC118 (10</w:t>
            </w:r>
            <w:r w:rsidRPr="0063179C">
              <w:rPr>
                <w:vertAlign w:val="superscript"/>
              </w:rPr>
              <w:t>9</w:t>
            </w:r>
            <w:r>
              <w:t xml:space="preserve"> cfu)</w:t>
            </w:r>
          </w:p>
        </w:tc>
        <w:tc>
          <w:tcPr>
            <w:tcW w:w="2551" w:type="dxa"/>
          </w:tcPr>
          <w:p w14:paraId="2B1CC6AB" w14:textId="77777777" w:rsidR="0036555D" w:rsidRDefault="0036555D" w:rsidP="00E760BE">
            <w:r>
              <w:t>From mean week 31.5 until birth</w:t>
            </w:r>
          </w:p>
        </w:tc>
        <w:tc>
          <w:tcPr>
            <w:tcW w:w="1843" w:type="dxa"/>
          </w:tcPr>
          <w:p w14:paraId="09FE6198" w14:textId="77777777" w:rsidR="0036555D" w:rsidRDefault="0036555D" w:rsidP="00E760BE">
            <w:r>
              <w:t>8.5 weeks</w:t>
            </w:r>
          </w:p>
        </w:tc>
      </w:tr>
      <w:tr w:rsidR="0036555D" w14:paraId="22B213FF" w14:textId="77777777" w:rsidTr="00E760BE">
        <w:trPr>
          <w:cantSplit/>
        </w:trPr>
        <w:tc>
          <w:tcPr>
            <w:tcW w:w="2306" w:type="dxa"/>
          </w:tcPr>
          <w:p w14:paraId="02461EBF" w14:textId="1BA527EC" w:rsidR="0036555D" w:rsidRDefault="0036555D" w:rsidP="00E760BE">
            <w:r>
              <w:t>Mastromarino et al 2015</w:t>
            </w:r>
            <w:r w:rsidR="00AB21E2">
              <w:fldChar w:fldCharType="begin">
                <w:fldData xml:space="preserve">PEVuZE5vdGU+PENpdGU+PEF1dGhvcj5NYXN0cm9tYXJpbm88L0F1dGhvcj48WWVhcj4yMDE1PC9Z
ZWFyPjxSZWNOdW0+MTY5MjwvUmVjTnVtPjxEaXNwbGF5VGV4dD48c3R5bGUgZmFjZT0ic3VwZXJz
Y3JpcHQiIGZvbnQ9IlRyZWJ1Y2hldCBNUyIgc2l6ZT0iOSI+MjM4PC9zdHlsZT48L0Rpc3BsYXlU
ZXh0PjxyZWNvcmQ+PHJlYy1udW1iZXI+MTY5MjwvcmVjLW51bWJlcj48Zm9yZWlnbi1rZXlzPjxr
ZXkgYXBwPSJFTiIgZGItaWQ9ImV4dmFzcmZ4MmR0cmFvZXNhc3hwMnN6c3hhMmRmNTAyNTkyeCIg
dGltZXN0YW1wPSIxNTgxODMyMDc2Ij4xNjkyPC9rZXk+PC9mb3JlaWduLWtleXM+PHJlZi10eXBl
IG5hbWU9IkpvdXJuYWwgQXJ0aWNsZSI+MTc8L3JlZi10eXBlPjxjb250cmlidXRvcnM+PGF1dGhv
cnM+PGF1dGhvcj5NYXN0cm9tYXJpbm8sIFAuPC9hdXRob3I+PGF1dGhvcj5DYXBvYmlhbmNvLCBE
LjwvYXV0aG9yPjxhdXRob3I+TWljY2hlbGksIEEuPC9hdXRob3I+PGF1dGhvcj5QcmF0aWNvLCBH
LjwvYXV0aG9yPjxhdXRob3I+Q2FtcGFnbmEsIEcuPC9hdXRob3I+PGF1dGhvcj5MYWZvcmdpYSwg
Ti48L2F1dGhvcj48YXV0aG9yPkNhcHVyc2ksIFQuPC9hdXRob3I+PGF1dGhvcj5CYWxkYXNzYXJy
ZSwgTS4gRS48L2F1dGhvcj48L2F1dGhvcnM+PC9jb250cmlidXRvcnM+PGF1dGgtYWRkcmVzcz5E
ZXBhcnRtZW50IG9mIFB1YmxpYyBIZWFsdGggYW5kIEluZmVjdGlvdXMgRGlzZWFzZXMsIFNlY3Rp
b24gb2YgTWljcm9iaW9sb2d5LCBTYXBpZW56YSBVbml2ZXJzaXR5LCBQaWF6emFsZSBBbGRvIE1v
cm8gNSwgSS0wMDE4NSBSb21lLCBJdGFseS4gRWxlY3Ryb25pYyBhZGRyZXNzOiBwYW9sYS5tYXN0
cm9tYXJpbm9AdW5pcm9tYTEuaXQuJiN4RDtEZXBhcnRtZW50IG9mIFB1YmxpYyBIZWFsdGggYW5k
IEluZmVjdGlvdXMgRGlzZWFzZXMsIFNlY3Rpb24gb2YgTWljcm9iaW9sb2d5LCBTYXBpZW56YSBV
bml2ZXJzaXR5LCBQaWF6emFsZSBBbGRvIE1vcm8gNSwgSS0wMDE4NSBSb21lLCBJdGFseS4mI3hE
O0RlcGFydG1lbnQgb2YgQ2hlbWlzdHJ5LCBTYXBpZW56YSBVbml2ZXJzaXR5LCBQaWF6emFsZSBB
bGRvIE1vcm8gNSwgSS0wMDE4NSBSb21lLCBJdGFseS4mI3hEO0RlcGFydG1lbnQgb2YgRXhwZXJp
bWVudGFsIE1lZGljaW5lLCBTYXBpZW56YSBVbml2ZXJzaXR5LCBQaWF6emFsZSBBbGRvIE1vcm8g
NSwgSS0wMDE4NSBSb21lLCBJdGFseS4mI3hEO0RlcGFydG1lbnQgb2YgTWVkaWNhbCBTY2llbmNl
IGFuZCBPbmNvbG9neSwgU2VjdGlvbiBvZiBOZW9uYXRvbG9neSBhbmQgTklDVSwgVW5pdmVyc2l0
eSBvZiBCYXJpLCBQaWF6emEgRy4gQ2VzYXJlIDExLCA3MDEyNCBCYXJpLCBJdGFseS4mI3hEO0Rl
cGFydG1lbnQgb2YgTWVkaWNhbCBTY2llbmNlIGFuZCBPbmNvbG9neSwgU2VjdGlvbiBvZiBHeW5h
ZWNvbG9neSBhbmQgT2JzdGV0cmljcywgVW5pdmVyc2l0eSBvZiBCYXJpLCBQaWF6emEgRy4gQ2Vz
YXJlIDExLCA3MDEyNCBCYXJpLCBJdGFseS48L2F1dGgtYWRkcmVzcz48dGl0bGVzPjx0aXRsZT5B
ZG1pbmlzdHJhdGlvbiBvZiBhIG11bHRpc3RyYWluIHByb2Jpb3RpYyBwcm9kdWN0IChWU0wjMykg
dG8gd29tZW4gaW4gdGhlIHBlcmluYXRhbCBwZXJpb2QgZGlmZmVyZW50aWFsbHkgYWZmZWN0cyBi
cmVhc3QgbWlsayBiZW5lZmljaWFsIG1pY3JvYmlvdGEgaW4gcmVsYXRpb24gdG8gbW9kZSBvZiBk
ZWxpdmVyeTwvdGl0bGU+PHNlY29uZGFyeS10aXRsZT5QaGFybWFjb2wgUmVzPC9zZWNvbmRhcnkt
dGl0bGU+PC90aXRsZXM+PHBlcmlvZGljYWw+PGZ1bGwtdGl0bGU+UGhhcm1hY29sIFJlczwvZnVs
bC10aXRsZT48L3BlcmlvZGljYWw+PHBhZ2VzPjYzLTcwPC9wYWdlcz48dm9sdW1lPjk1LTk2PC92
b2x1bWU+PGVkaXRpb24+MjAxNS8wNC8wNDwvZWRpdGlvbj48a2V5d29yZHM+PGtleXdvcmQ+QWRt
aW5pc3RyYXRpb24sIE9yYWw8L2tleXdvcmQ+PGtleXdvcmQ+QWRvbGVzY2VudDwva2V5d29yZD48
a2V5d29yZD5BZHVsdDwva2V5d29yZD48a2V5d29yZD5CaWZpZG9iYWN0ZXJpdW0vZHJ1ZyBlZmZl
Y3RzL2dlbmV0aWNzPC9rZXl3b3JkPjxrZXl3b3JkPkROQSwgQmFjdGVyaWFsL2lzb2xhdGlvbiAm
YW1wOyBwdXJpZmljYXRpb248L2tleXdvcmQ+PGtleXdvcmQ+RGVsaXZlcnksIE9ic3RldHJpYy8q
bWV0aG9kczwva2V5d29yZD48a2V5d29yZD5Eb3VibGUtQmxpbmQgTWV0aG9kPC9rZXl3b3JkPjxr
ZXl3b3JkPkZlbWFsZTwva2V5d29yZD48a2V5d29yZD5IdW1hbnM8L2tleXdvcmQ+PGtleXdvcmQ+
TGFjdG9iYWNpbGx1cy9kcnVnIGVmZmVjdHMvZ2VuZXRpY3M8L2tleXdvcmQ+PGtleXdvcmQ+TWlj
cm9iaW90YS8qZHJ1ZyBlZmZlY3RzL2dlbmV0aWNzPC9rZXl3b3JkPjxrZXl3b3JkPk1pZGRsZSBB
Z2VkPC9rZXl3b3JkPjxrZXl3b3JkPk1pbGssIEh1bWFuLyptaWNyb2Jpb2xvZ3k8L2tleXdvcmQ+
PGtleXdvcmQ+UGVyaW5hdGFsIENhcmUvKm1ldGhvZHM8L2tleXdvcmQ+PGtleXdvcmQ+UHJlZ25h
bmN5PC9rZXl3b3JkPjxrZXl3b3JkPlByb2Jpb3RpY3MvKmFkbWluaXN0cmF0aW9uICZhbXA7IGRv
c2FnZS9waGFybWFjb2xvZ3k8L2tleXdvcmQ+PGtleXdvcmQ+UmVhbC1UaW1lIFBvbHltZXJhc2Ug
Q2hhaW4gUmVhY3Rpb248L2tleXdvcmQ+PGtleXdvcmQ+WW91bmcgQWR1bHQ8L2tleXdvcmQ+PGtl
eXdvcmQ+QnJlYXN0IG1pbGs8L2tleXdvcmQ+PGtleXdvcmQ+TWlsayBmdW5jdGlvbmFsIGNvbXBv
bmVudHM8L2tleXdvcmQ+PGtleXdvcmQ+TWlsayBtaWNyb2Jpb3RhPC9rZXl3b3JkPjxrZXl3b3Jk
Pk1vZGUgb2YgZGVsaXZlcnk8L2tleXdvcmQ+PGtleXdvcmQ+UHJvYmlvdGljPC9rZXl3b3JkPjwv
a2V5d29yZHM+PGRhdGVzPjx5ZWFyPjIwMTU8L3llYXI+PHB1Yi1kYXRlcz48ZGF0ZT5NYXktSnVu
PC9kYXRlPjwvcHViLWRhdGVzPjwvZGF0ZXM+PGlzYm4+MTA5Ni0xMTg2IChFbGVjdHJvbmljKSYj
eEQ7MTA0My02NjE4IChMaW5raW5nKTwvaXNibj48YWNjZXNzaW9uLW51bT4yNTgzNjkyMjwvYWNj
ZXNzaW9uLW51bT48dXJscz48cmVsYXRlZC11cmxzPjx1cmw+aHR0cHM6Ly93d3cubmNiaS5ubG0u
bmloLmdvdi9wdWJtZWQvMjU4MzY5MjI8L3VybD48L3JlbGF0ZWQtdXJscz48L3VybHM+PGVsZWN0
cm9uaWMtcmVzb3VyY2UtbnVtPjEwLjEwMTYvai5waHJzLjIwMTUuMDMuMDEzPC9lbGVjdHJvbmlj
LXJlc291cmNlLW51bT48L3JlY29yZD48L0NpdGU+PC9FbmROb3RlPn==
</w:fldData>
              </w:fldChar>
            </w:r>
            <w:r w:rsidR="002747EA">
              <w:instrText xml:space="preserve"> ADDIN EN.CITE </w:instrText>
            </w:r>
            <w:r w:rsidR="002747EA">
              <w:fldChar w:fldCharType="begin">
                <w:fldData xml:space="preserve">PEVuZE5vdGU+PENpdGU+PEF1dGhvcj5NYXN0cm9tYXJpbm88L0F1dGhvcj48WWVhcj4yMDE1PC9Z
ZWFyPjxSZWNOdW0+MTY5MjwvUmVjTnVtPjxEaXNwbGF5VGV4dD48c3R5bGUgZmFjZT0ic3VwZXJz
Y3JpcHQiIGZvbnQ9IlRyZWJ1Y2hldCBNUyIgc2l6ZT0iOSI+MjM4PC9zdHlsZT48L0Rpc3BsYXlU
ZXh0PjxyZWNvcmQ+PHJlYy1udW1iZXI+MTY5MjwvcmVjLW51bWJlcj48Zm9yZWlnbi1rZXlzPjxr
ZXkgYXBwPSJFTiIgZGItaWQ9ImV4dmFzcmZ4MmR0cmFvZXNhc3hwMnN6c3hhMmRmNTAyNTkyeCIg
dGltZXN0YW1wPSIxNTgxODMyMDc2Ij4xNjkyPC9rZXk+PC9mb3JlaWduLWtleXM+PHJlZi10eXBl
IG5hbWU9IkpvdXJuYWwgQXJ0aWNsZSI+MTc8L3JlZi10eXBlPjxjb250cmlidXRvcnM+PGF1dGhv
cnM+PGF1dGhvcj5NYXN0cm9tYXJpbm8sIFAuPC9hdXRob3I+PGF1dGhvcj5DYXBvYmlhbmNvLCBE
LjwvYXV0aG9yPjxhdXRob3I+TWljY2hlbGksIEEuPC9hdXRob3I+PGF1dGhvcj5QcmF0aWNvLCBH
LjwvYXV0aG9yPjxhdXRob3I+Q2FtcGFnbmEsIEcuPC9hdXRob3I+PGF1dGhvcj5MYWZvcmdpYSwg
Ti48L2F1dGhvcj48YXV0aG9yPkNhcHVyc2ksIFQuPC9hdXRob3I+PGF1dGhvcj5CYWxkYXNzYXJy
ZSwgTS4gRS48L2F1dGhvcj48L2F1dGhvcnM+PC9jb250cmlidXRvcnM+PGF1dGgtYWRkcmVzcz5E
ZXBhcnRtZW50IG9mIFB1YmxpYyBIZWFsdGggYW5kIEluZmVjdGlvdXMgRGlzZWFzZXMsIFNlY3Rp
b24gb2YgTWljcm9iaW9sb2d5LCBTYXBpZW56YSBVbml2ZXJzaXR5LCBQaWF6emFsZSBBbGRvIE1v
cm8gNSwgSS0wMDE4NSBSb21lLCBJdGFseS4gRWxlY3Ryb25pYyBhZGRyZXNzOiBwYW9sYS5tYXN0
cm9tYXJpbm9AdW5pcm9tYTEuaXQuJiN4RDtEZXBhcnRtZW50IG9mIFB1YmxpYyBIZWFsdGggYW5k
IEluZmVjdGlvdXMgRGlzZWFzZXMsIFNlY3Rpb24gb2YgTWljcm9iaW9sb2d5LCBTYXBpZW56YSBV
bml2ZXJzaXR5LCBQaWF6emFsZSBBbGRvIE1vcm8gNSwgSS0wMDE4NSBSb21lLCBJdGFseS4mI3hE
O0RlcGFydG1lbnQgb2YgQ2hlbWlzdHJ5LCBTYXBpZW56YSBVbml2ZXJzaXR5LCBQaWF6emFsZSBB
bGRvIE1vcm8gNSwgSS0wMDE4NSBSb21lLCBJdGFseS4mI3hEO0RlcGFydG1lbnQgb2YgRXhwZXJp
bWVudGFsIE1lZGljaW5lLCBTYXBpZW56YSBVbml2ZXJzaXR5LCBQaWF6emFsZSBBbGRvIE1vcm8g
NSwgSS0wMDE4NSBSb21lLCBJdGFseS4mI3hEO0RlcGFydG1lbnQgb2YgTWVkaWNhbCBTY2llbmNl
IGFuZCBPbmNvbG9neSwgU2VjdGlvbiBvZiBOZW9uYXRvbG9neSBhbmQgTklDVSwgVW5pdmVyc2l0
eSBvZiBCYXJpLCBQaWF6emEgRy4gQ2VzYXJlIDExLCA3MDEyNCBCYXJpLCBJdGFseS4mI3hEO0Rl
cGFydG1lbnQgb2YgTWVkaWNhbCBTY2llbmNlIGFuZCBPbmNvbG9neSwgU2VjdGlvbiBvZiBHeW5h
ZWNvbG9neSBhbmQgT2JzdGV0cmljcywgVW5pdmVyc2l0eSBvZiBCYXJpLCBQaWF6emEgRy4gQ2Vz
YXJlIDExLCA3MDEyNCBCYXJpLCBJdGFseS48L2F1dGgtYWRkcmVzcz48dGl0bGVzPjx0aXRsZT5B
ZG1pbmlzdHJhdGlvbiBvZiBhIG11bHRpc3RyYWluIHByb2Jpb3RpYyBwcm9kdWN0IChWU0wjMykg
dG8gd29tZW4gaW4gdGhlIHBlcmluYXRhbCBwZXJpb2QgZGlmZmVyZW50aWFsbHkgYWZmZWN0cyBi
cmVhc3QgbWlsayBiZW5lZmljaWFsIG1pY3JvYmlvdGEgaW4gcmVsYXRpb24gdG8gbW9kZSBvZiBk
ZWxpdmVyeTwvdGl0bGU+PHNlY29uZGFyeS10aXRsZT5QaGFybWFjb2wgUmVzPC9zZWNvbmRhcnkt
dGl0bGU+PC90aXRsZXM+PHBlcmlvZGljYWw+PGZ1bGwtdGl0bGU+UGhhcm1hY29sIFJlczwvZnVs
bC10aXRsZT48L3BlcmlvZGljYWw+PHBhZ2VzPjYzLTcwPC9wYWdlcz48dm9sdW1lPjk1LTk2PC92
b2x1bWU+PGVkaXRpb24+MjAxNS8wNC8wNDwvZWRpdGlvbj48a2V5d29yZHM+PGtleXdvcmQ+QWRt
aW5pc3RyYXRpb24sIE9yYWw8L2tleXdvcmQ+PGtleXdvcmQ+QWRvbGVzY2VudDwva2V5d29yZD48
a2V5d29yZD5BZHVsdDwva2V5d29yZD48a2V5d29yZD5CaWZpZG9iYWN0ZXJpdW0vZHJ1ZyBlZmZl
Y3RzL2dlbmV0aWNzPC9rZXl3b3JkPjxrZXl3b3JkPkROQSwgQmFjdGVyaWFsL2lzb2xhdGlvbiAm
YW1wOyBwdXJpZmljYXRpb248L2tleXdvcmQ+PGtleXdvcmQ+RGVsaXZlcnksIE9ic3RldHJpYy8q
bWV0aG9kczwva2V5d29yZD48a2V5d29yZD5Eb3VibGUtQmxpbmQgTWV0aG9kPC9rZXl3b3JkPjxr
ZXl3b3JkPkZlbWFsZTwva2V5d29yZD48a2V5d29yZD5IdW1hbnM8L2tleXdvcmQ+PGtleXdvcmQ+
TGFjdG9iYWNpbGx1cy9kcnVnIGVmZmVjdHMvZ2VuZXRpY3M8L2tleXdvcmQ+PGtleXdvcmQ+TWlj
cm9iaW90YS8qZHJ1ZyBlZmZlY3RzL2dlbmV0aWNzPC9rZXl3b3JkPjxrZXl3b3JkPk1pZGRsZSBB
Z2VkPC9rZXl3b3JkPjxrZXl3b3JkPk1pbGssIEh1bWFuLyptaWNyb2Jpb2xvZ3k8L2tleXdvcmQ+
PGtleXdvcmQ+UGVyaW5hdGFsIENhcmUvKm1ldGhvZHM8L2tleXdvcmQ+PGtleXdvcmQ+UHJlZ25h
bmN5PC9rZXl3b3JkPjxrZXl3b3JkPlByb2Jpb3RpY3MvKmFkbWluaXN0cmF0aW9uICZhbXA7IGRv
c2FnZS9waGFybWFjb2xvZ3k8L2tleXdvcmQ+PGtleXdvcmQ+UmVhbC1UaW1lIFBvbHltZXJhc2Ug
Q2hhaW4gUmVhY3Rpb248L2tleXdvcmQ+PGtleXdvcmQ+WW91bmcgQWR1bHQ8L2tleXdvcmQ+PGtl
eXdvcmQ+QnJlYXN0IG1pbGs8L2tleXdvcmQ+PGtleXdvcmQ+TWlsayBmdW5jdGlvbmFsIGNvbXBv
bmVudHM8L2tleXdvcmQ+PGtleXdvcmQ+TWlsayBtaWNyb2Jpb3RhPC9rZXl3b3JkPjxrZXl3b3Jk
Pk1vZGUgb2YgZGVsaXZlcnk8L2tleXdvcmQ+PGtleXdvcmQ+UHJvYmlvdGljPC9rZXl3b3JkPjwv
a2V5d29yZHM+PGRhdGVzPjx5ZWFyPjIwMTU8L3llYXI+PHB1Yi1kYXRlcz48ZGF0ZT5NYXktSnVu
PC9kYXRlPjwvcHViLWRhdGVzPjwvZGF0ZXM+PGlzYm4+MTA5Ni0xMTg2IChFbGVjdHJvbmljKSYj
eEQ7MTA0My02NjE4IChMaW5raW5nKTwvaXNibj48YWNjZXNzaW9uLW51bT4yNTgzNjkyMjwvYWNj
ZXNzaW9uLW51bT48dXJscz48cmVsYXRlZC11cmxzPjx1cmw+aHR0cHM6Ly93d3cubmNiaS5ubG0u
bmloLmdvdi9wdWJtZWQvMjU4MzY5MjI8L3VybD48L3JlbGF0ZWQtdXJscz48L3VybHM+PGVsZWN0
cm9uaWMtcmVzb3VyY2UtbnVtPjEwLjEwMTYvai5waHJzLjIwMTUuMDMuMDEzPC9lbGVjdHJvbmlj
LXJlc291cmNlLW51bT48L3JlY29yZD48L0NpdGU+PC9FbmROb3RlPn==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238</w:t>
            </w:r>
            <w:r w:rsidR="00AB21E2">
              <w:fldChar w:fldCharType="end"/>
            </w:r>
          </w:p>
          <w:p w14:paraId="427DA251" w14:textId="57163737" w:rsidR="00213BC6" w:rsidRDefault="00213BC6" w:rsidP="00E760BE">
            <w:r>
              <w:t>Italy</w:t>
            </w:r>
          </w:p>
        </w:tc>
        <w:tc>
          <w:tcPr>
            <w:tcW w:w="2656" w:type="dxa"/>
          </w:tcPr>
          <w:p w14:paraId="68C8D22B" w14:textId="574E75C5" w:rsidR="0036555D" w:rsidRDefault="0036555D" w:rsidP="00E760BE">
            <w:r>
              <w:t>Healthy pregnant women</w:t>
            </w:r>
            <w:r w:rsidR="00A476A9">
              <w:t>; n=67</w:t>
            </w:r>
          </w:p>
        </w:tc>
        <w:tc>
          <w:tcPr>
            <w:tcW w:w="4536" w:type="dxa"/>
          </w:tcPr>
          <w:p w14:paraId="7B33A62A" w14:textId="77777777" w:rsidR="0036555D" w:rsidRDefault="0036555D" w:rsidP="00E760BE">
            <w:r w:rsidRPr="00F907DC">
              <w:rPr>
                <w:i/>
              </w:rPr>
              <w:t>Lactobacillus acidophilus, Lactobacillus plantarum, Lactobacillus paracasei, Lactobacillus delbrueckii bulgaricus, Bifidobacterium breve, Bifidobacterium longum, Bifidobacterium infantis, Streptococcus thermophilus</w:t>
            </w:r>
          </w:p>
        </w:tc>
        <w:tc>
          <w:tcPr>
            <w:tcW w:w="2551" w:type="dxa"/>
          </w:tcPr>
          <w:p w14:paraId="077AA4B4" w14:textId="77777777" w:rsidR="0036555D" w:rsidRDefault="0036555D" w:rsidP="00E760BE">
            <w:r>
              <w:t>From week 36 until birth</w:t>
            </w:r>
          </w:p>
        </w:tc>
        <w:tc>
          <w:tcPr>
            <w:tcW w:w="1843" w:type="dxa"/>
          </w:tcPr>
          <w:p w14:paraId="070D4238" w14:textId="77777777" w:rsidR="0036555D" w:rsidRDefault="0036555D" w:rsidP="00E760BE">
            <w:r>
              <w:t>4 weeks</w:t>
            </w:r>
          </w:p>
        </w:tc>
      </w:tr>
      <w:tr w:rsidR="0036555D" w14:paraId="376B9420" w14:textId="77777777" w:rsidTr="00E760BE">
        <w:trPr>
          <w:cantSplit/>
        </w:trPr>
        <w:tc>
          <w:tcPr>
            <w:tcW w:w="2306" w:type="dxa"/>
          </w:tcPr>
          <w:p w14:paraId="054EAE11" w14:textId="50EB55F3" w:rsidR="0036555D" w:rsidRDefault="0036555D" w:rsidP="00E760BE">
            <w:r>
              <w:t>Niers et al 2009</w:t>
            </w:r>
            <w:r w:rsidR="00AB21E2">
              <w:fldChar w:fldCharType="begin">
                <w:fldData xml:space="preserve">PEVuZE5vdGU+PENpdGU+PEF1dGhvcj5OaWVyczwvQXV0aG9yPjxZZWFyPjIwMDk8L1llYXI+PFJl
Y051bT4xNjkzPC9SZWNOdW0+PERpc3BsYXlUZXh0PjxzdHlsZSBmYWNlPSJzdXBlcnNjcmlwdCIg
Zm9udD0iVHJlYnVjaGV0IE1TIiBzaXplPSI5Ij4yNTA8L3N0eWxlPjwvRGlzcGxheVRleHQ+PHJl
Y29yZD48cmVjLW51bWJlcj4xNjkzPC9yZWMtbnVtYmVyPjxmb3JlaWduLWtleXM+PGtleSBhcHA9
IkVOIiBkYi1pZD0iZXh2YXNyZngyZHRyYW9lc2FzeHAyc3pzeGEyZGY1MDI1OTJ4IiB0aW1lc3Rh
bXA9IjE1ODE4MzIwNzYiPjE2OTM8L2tleT48L2ZvcmVpZ24ta2V5cz48cmVmLXR5cGUgbmFtZT0i
Sm91cm5hbCBBcnRpY2xlIj4xNzwvcmVmLXR5cGU+PGNvbnRyaWJ1dG9ycz48YXV0aG9ycz48YXV0
aG9yPk5pZXJzLCBMLjwvYXV0aG9yPjxhdXRob3I+TWFydGluLCBSLjwvYXV0aG9yPjxhdXRob3I+
Umlqa2VycywgRy48L2F1dGhvcj48YXV0aG9yPlNlbmdlcnMsIEYuPC9hdXRob3I+PGF1dGhvcj5U
aW1tZXJtYW4sIEguPC9hdXRob3I+PGF1dGhvcj52YW4gVWRlbiwgTi48L2F1dGhvcj48YXV0aG9y
PlNtaWR0LCBILjwvYXV0aG9yPjxhdXRob3I+S2ltcGVuLCBKLjwvYXV0aG9yPjxhdXRob3I+SG9l
a3N0cmEsIE0uPC9hdXRob3I+PC9hdXRob3JzPjwvY29udHJpYnV0b3JzPjxhdXRoLWFkZHJlc3M+
RGVwYXJ0bWVudCBvZiBQZWRpYXRyaWNzLCBXaWxoZWxtaW5hIENoaWxkcmVuJmFwb3M7cyZhcG9z
OyBIb3NwaXRhbCwgVW5pdmVyc2l0eSBNZWRpY2FsIENlbnRlciwgVXRyZWNodCwgdGhlIE5ldGhl
cmxhbmRzLjwvYXV0aC1hZGRyZXNzPjx0aXRsZXM+PHRpdGxlPlRoZSBlZmZlY3RzIG9mIHNlbGVj
dGVkIHByb2Jpb3RpYyBzdHJhaW5zIG9uIHRoZSBkZXZlbG9wbWVudCBvZiBlY3plbWEgKHRoZSBQ
YW5kQSBzdHVkeSk8L3RpdGxlPjxzZWNvbmRhcnktdGl0bGU+QWxsZXJneTwvc2Vjb25kYXJ5LXRp
dGxlPjwvdGl0bGVzPjxwZXJpb2RpY2FsPjxmdWxsLXRpdGxlPkFsbGVyZ3k8L2Z1bGwtdGl0bGU+
PC9wZXJpb2RpY2FsPjxwYWdlcz4xMzQ5LTU4PC9wYWdlcz48dm9sdW1lPjY0PC92b2x1bWU+PG51
bWJlcj45PC9udW1iZXI+PGVkaXRpb24+MjAwOS8wNC8yODwvZWRpdGlvbj48a2V5d29yZHM+PGtl
eXdvcmQ+QWR1bHQ8L2tleXdvcmQ+PGtleXdvcmQ+KkJpZmlkb2JhY3Rlcml1bTwva2V5d29yZD48
a2V5d29yZD5DeXRva2luZXMvYmxvb2Q8L2tleXdvcmQ+PGtleXdvcmQ+RG91YmxlLUJsaW5kIE1l
dGhvZDwva2V5d29yZD48a2V5d29yZD5FY3plbWEvaW1tdW5vbG9neS9taWNyb2Jpb2xvZ3kvKnBy
ZXZlbnRpb24gJmFtcDsgY29udHJvbDwva2V5d29yZD48a2V5d29yZD5GZW1hbGU8L2tleXdvcmQ+
PGtleXdvcmQ+SHVtYW5zPC9rZXl3b3JkPjxrZXl3b3JkPkh5cGVyc2Vuc2l0aXZpdHkvaW1tdW5v
bG9neS9taWNyb2Jpb2xvZ3kvKnByZXZlbnRpb24gJmFtcDsgY29udHJvbDwva2V5d29yZD48a2V5
d29yZD5JbW11bm9nbG9idWxpbiBFL2Jsb29kPC9rZXl3b3JkPjxrZXl3b3JkPkluZmFudDwva2V5
d29yZD48a2V5d29yZD4qTGFjdG9jb2NjdXMgbGFjdGlzPC9rZXl3b3JkPjxrZXl3b3JkPk1hbGU8
L2tleXdvcmQ+PGtleXdvcmQ+UHJlZ25hbmN5PC9rZXl3b3JkPjxrZXl3b3JkPlByb2Jpb3RpY3Mv
KnRoZXJhcGV1dGljIHVzZTwva2V5d29yZD48L2tleXdvcmRzPjxkYXRlcz48eWVhcj4yMDA5PC95
ZWFyPjxwdWItZGF0ZXM+PGRhdGU+U2VwPC9kYXRlPjwvcHViLWRhdGVzPjwvZGF0ZXM+PGlzYm4+
MTM5OC05OTk1IChFbGVjdHJvbmljKSYjeEQ7MDEwNS00NTM4IChMaW5raW5nKTwvaXNibj48YWNj
ZXNzaW9uLW51bT4xOTM5Mjk5MzwvYWNjZXNzaW9uLW51bT48dXJscz48cmVsYXRlZC11cmxzPjx1
cmw+aHR0cHM6Ly93d3cubmNiaS5ubG0ubmloLmdvdi9wdWJtZWQvMTkzOTI5OTM8L3VybD48L3Jl
bGF0ZWQtdXJscz48L3VybHM+PGVsZWN0cm9uaWMtcmVzb3VyY2UtbnVtPjEwLjExMTEvai4xMzk4
LTk5OTUuMjAwOS4wMjAyMS54PC9lbGVjdHJvbmljLXJlc291cmNlLW51bT48L3JlY29yZD48L0Np
dGU+PC9FbmROb3RlPgB=
</w:fldData>
              </w:fldChar>
            </w:r>
            <w:r w:rsidR="002747EA">
              <w:instrText xml:space="preserve"> ADDIN EN.CITE </w:instrText>
            </w:r>
            <w:r w:rsidR="002747EA">
              <w:fldChar w:fldCharType="begin">
                <w:fldData xml:space="preserve">PEVuZE5vdGU+PENpdGU+PEF1dGhvcj5OaWVyczwvQXV0aG9yPjxZZWFyPjIwMDk8L1llYXI+PFJl
Y051bT4xNjkzPC9SZWNOdW0+PERpc3BsYXlUZXh0PjxzdHlsZSBmYWNlPSJzdXBlcnNjcmlwdCIg
Zm9udD0iVHJlYnVjaGV0IE1TIiBzaXplPSI5Ij4yNTA8L3N0eWxlPjwvRGlzcGxheVRleHQ+PHJl
Y29yZD48cmVjLW51bWJlcj4xNjkzPC9yZWMtbnVtYmVyPjxmb3JlaWduLWtleXM+PGtleSBhcHA9
IkVOIiBkYi1pZD0iZXh2YXNyZngyZHRyYW9lc2FzeHAyc3pzeGEyZGY1MDI1OTJ4IiB0aW1lc3Rh
bXA9IjE1ODE4MzIwNzYiPjE2OTM8L2tleT48L2ZvcmVpZ24ta2V5cz48cmVmLXR5cGUgbmFtZT0i
Sm91cm5hbCBBcnRpY2xlIj4xNzwvcmVmLXR5cGU+PGNvbnRyaWJ1dG9ycz48YXV0aG9ycz48YXV0
aG9yPk5pZXJzLCBMLjwvYXV0aG9yPjxhdXRob3I+TWFydGluLCBSLjwvYXV0aG9yPjxhdXRob3I+
Umlqa2VycywgRy48L2F1dGhvcj48YXV0aG9yPlNlbmdlcnMsIEYuPC9hdXRob3I+PGF1dGhvcj5U
aW1tZXJtYW4sIEguPC9hdXRob3I+PGF1dGhvcj52YW4gVWRlbiwgTi48L2F1dGhvcj48YXV0aG9y
PlNtaWR0LCBILjwvYXV0aG9yPjxhdXRob3I+S2ltcGVuLCBKLjwvYXV0aG9yPjxhdXRob3I+SG9l
a3N0cmEsIE0uPC9hdXRob3I+PC9hdXRob3JzPjwvY29udHJpYnV0b3JzPjxhdXRoLWFkZHJlc3M+
RGVwYXJ0bWVudCBvZiBQZWRpYXRyaWNzLCBXaWxoZWxtaW5hIENoaWxkcmVuJmFwb3M7cyZhcG9z
OyBIb3NwaXRhbCwgVW5pdmVyc2l0eSBNZWRpY2FsIENlbnRlciwgVXRyZWNodCwgdGhlIE5ldGhl
cmxhbmRzLjwvYXV0aC1hZGRyZXNzPjx0aXRsZXM+PHRpdGxlPlRoZSBlZmZlY3RzIG9mIHNlbGVj
dGVkIHByb2Jpb3RpYyBzdHJhaW5zIG9uIHRoZSBkZXZlbG9wbWVudCBvZiBlY3plbWEgKHRoZSBQ
YW5kQSBzdHVkeSk8L3RpdGxlPjxzZWNvbmRhcnktdGl0bGU+QWxsZXJneTwvc2Vjb25kYXJ5LXRp
dGxlPjwvdGl0bGVzPjxwZXJpb2RpY2FsPjxmdWxsLXRpdGxlPkFsbGVyZ3k8L2Z1bGwtdGl0bGU+
PC9wZXJpb2RpY2FsPjxwYWdlcz4xMzQ5LTU4PC9wYWdlcz48dm9sdW1lPjY0PC92b2x1bWU+PG51
bWJlcj45PC9udW1iZXI+PGVkaXRpb24+MjAwOS8wNC8yODwvZWRpdGlvbj48a2V5d29yZHM+PGtl
eXdvcmQ+QWR1bHQ8L2tleXdvcmQ+PGtleXdvcmQ+KkJpZmlkb2JhY3Rlcml1bTwva2V5d29yZD48
a2V5d29yZD5DeXRva2luZXMvYmxvb2Q8L2tleXdvcmQ+PGtleXdvcmQ+RG91YmxlLUJsaW5kIE1l
dGhvZDwva2V5d29yZD48a2V5d29yZD5FY3plbWEvaW1tdW5vbG9neS9taWNyb2Jpb2xvZ3kvKnBy
ZXZlbnRpb24gJmFtcDsgY29udHJvbDwva2V5d29yZD48a2V5d29yZD5GZW1hbGU8L2tleXdvcmQ+
PGtleXdvcmQ+SHVtYW5zPC9rZXl3b3JkPjxrZXl3b3JkPkh5cGVyc2Vuc2l0aXZpdHkvaW1tdW5v
bG9neS9taWNyb2Jpb2xvZ3kvKnByZXZlbnRpb24gJmFtcDsgY29udHJvbDwva2V5d29yZD48a2V5
d29yZD5JbW11bm9nbG9idWxpbiBFL2Jsb29kPC9rZXl3b3JkPjxrZXl3b3JkPkluZmFudDwva2V5
d29yZD48a2V5d29yZD4qTGFjdG9jb2NjdXMgbGFjdGlzPC9rZXl3b3JkPjxrZXl3b3JkPk1hbGU8
L2tleXdvcmQ+PGtleXdvcmQ+UHJlZ25hbmN5PC9rZXl3b3JkPjxrZXl3b3JkPlByb2Jpb3RpY3Mv
KnRoZXJhcGV1dGljIHVzZTwva2V5d29yZD48L2tleXdvcmRzPjxkYXRlcz48eWVhcj4yMDA5PC95
ZWFyPjxwdWItZGF0ZXM+PGRhdGU+U2VwPC9kYXRlPjwvcHViLWRhdGVzPjwvZGF0ZXM+PGlzYm4+
MTM5OC05OTk1IChFbGVjdHJvbmljKSYjeEQ7MDEwNS00NTM4IChMaW5raW5nKTwvaXNibj48YWNj
ZXNzaW9uLW51bT4xOTM5Mjk5MzwvYWNjZXNzaW9uLW51bT48dXJscz48cmVsYXRlZC11cmxzPjx1
cmw+aHR0cHM6Ly93d3cubmNiaS5ubG0ubmloLmdvdi9wdWJtZWQvMTkzOTI5OTM8L3VybD48L3Jl
bGF0ZWQtdXJscz48L3VybHM+PGVsZWN0cm9uaWMtcmVzb3VyY2UtbnVtPjEwLjExMTEvai4xMzk4
LTk5OTUuMjAwOS4wMjAyMS54PC9lbGVjdHJvbmljLXJlc291cmNlLW51bT48L3JlY29yZD48L0Np
dGU+PC9FbmROb3RlPgB=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250</w:t>
            </w:r>
            <w:r w:rsidR="00AB21E2">
              <w:fldChar w:fldCharType="end"/>
            </w:r>
          </w:p>
          <w:p w14:paraId="24B5D336" w14:textId="36787F51" w:rsidR="00213BC6" w:rsidRDefault="00213BC6" w:rsidP="00E760BE">
            <w:r>
              <w:t>Netherlands</w:t>
            </w:r>
          </w:p>
        </w:tc>
        <w:tc>
          <w:tcPr>
            <w:tcW w:w="2656" w:type="dxa"/>
          </w:tcPr>
          <w:p w14:paraId="6E749395" w14:textId="5CB481C7" w:rsidR="0036555D" w:rsidRPr="00351E2E" w:rsidRDefault="0036555D" w:rsidP="00E760BE">
            <w:r w:rsidRPr="00351E2E">
              <w:t>Women carrying a fetus at risk of allergy</w:t>
            </w:r>
            <w:r w:rsidR="00A476A9">
              <w:t>; n=156</w:t>
            </w:r>
          </w:p>
        </w:tc>
        <w:tc>
          <w:tcPr>
            <w:tcW w:w="4536" w:type="dxa"/>
          </w:tcPr>
          <w:p w14:paraId="094EBA96" w14:textId="77777777" w:rsidR="0036555D" w:rsidRPr="006B3B32" w:rsidRDefault="0036555D" w:rsidP="00E760BE">
            <w:pPr>
              <w:rPr>
                <w:i/>
              </w:rPr>
            </w:pPr>
            <w:r w:rsidRPr="006B3B32">
              <w:rPr>
                <w:i/>
              </w:rPr>
              <w:t xml:space="preserve">Bifidobacterium animalis </w:t>
            </w:r>
            <w:r w:rsidRPr="006B3B32">
              <w:t>subsp</w:t>
            </w:r>
            <w:r w:rsidRPr="006B3B32">
              <w:rPr>
                <w:i/>
              </w:rPr>
              <w:t xml:space="preserve"> lactis </w:t>
            </w:r>
            <w:r w:rsidRPr="006B3B32">
              <w:t>W52,</w:t>
            </w:r>
            <w:r w:rsidRPr="006B3B32">
              <w:rPr>
                <w:i/>
              </w:rPr>
              <w:t xml:space="preserve"> Bifidobacterium bifidum </w:t>
            </w:r>
            <w:r w:rsidRPr="006B3B32">
              <w:t>W23</w:t>
            </w:r>
            <w:r w:rsidRPr="006B3B32">
              <w:rPr>
                <w:i/>
              </w:rPr>
              <w:t xml:space="preserve">, Lactobacillis lactis </w:t>
            </w:r>
            <w:r w:rsidRPr="006B3B32">
              <w:t>W58</w:t>
            </w:r>
          </w:p>
        </w:tc>
        <w:tc>
          <w:tcPr>
            <w:tcW w:w="2551" w:type="dxa"/>
          </w:tcPr>
          <w:p w14:paraId="2C58BEEC" w14:textId="77777777" w:rsidR="0036555D" w:rsidRDefault="0036555D" w:rsidP="00E760BE">
            <w:r>
              <w:t>From 34 weeks until birth</w:t>
            </w:r>
          </w:p>
        </w:tc>
        <w:tc>
          <w:tcPr>
            <w:tcW w:w="1843" w:type="dxa"/>
          </w:tcPr>
          <w:p w14:paraId="63A12093" w14:textId="77777777" w:rsidR="0036555D" w:rsidRDefault="0036555D" w:rsidP="00E760BE">
            <w:r>
              <w:t>6 weeks</w:t>
            </w:r>
          </w:p>
        </w:tc>
      </w:tr>
      <w:tr w:rsidR="0036555D" w14:paraId="23F82E3A" w14:textId="77777777" w:rsidTr="00E760BE">
        <w:trPr>
          <w:cantSplit/>
        </w:trPr>
        <w:tc>
          <w:tcPr>
            <w:tcW w:w="2306" w:type="dxa"/>
          </w:tcPr>
          <w:p w14:paraId="494DD3D3" w14:textId="3139D6E9" w:rsidR="0036555D" w:rsidRDefault="0036555D" w:rsidP="00E760BE">
            <w:r>
              <w:t>Okesene-Gafa et al 2019</w:t>
            </w:r>
            <w:r w:rsidR="00AB21E2">
              <w:fldChar w:fldCharType="begin">
                <w:fldData xml:space="preserve">PEVuZE5vdGU+PENpdGU+PEF1dGhvcj5Pa2VzZW5lLUdhZmE8L0F1dGhvcj48WWVhcj4yMDE5PC9Z
ZWFyPjxSZWNOdW0+MTM5MDwvUmVjTnVtPjxEaXNwbGF5VGV4dD48c3R5bGUgZmFjZT0ic3VwZXJz
Y3JpcHQiIGZvbnQ9IlRyZWJ1Y2hldCBNUyIgc2l6ZT0iOSI+MjMyPC9zdHlsZT48L0Rpc3BsYXlU
ZXh0PjxyZWNvcmQ+PHJlYy1udW1iZXI+MTM5MDwvcmVjLW51bWJlcj48Zm9yZWlnbi1rZXlzPjxr
ZXkgYXBwPSJFTiIgZGItaWQ9ImV4dmFzcmZ4MmR0cmFvZXNhc3hwMnN6c3hhMmRmNTAyNTkyeCIg
dGltZXN0YW1wPSIxNTY3NzQ2MTE2Ij4xMzkwPC9rZXk+PGtleSBhcHA9IkVOV2ViIiBkYi1pZD0i
Ij4wPC9rZXk+PC9mb3JlaWduLWtleXM+PHJlZi10eXBlIG5hbWU9IkpvdXJuYWwgQXJ0aWNsZSI+
MTc8L3JlZi10eXBlPjxjb250cmlidXRvcnM+PGF1dGhvcnM+PGF1dGhvcj5Pa2VzZW5lLUdhZmEs
IEsuQS5NLiw8L2F1dGhvcj48YXV0aG9yPkxpLCBNLiw8L2F1dGhvcj48YXV0aG9yPk1jS2lubGF5
LCBDLkouRC4sPC9hdXRob3I+PGF1dGhvcj5UYXlsb3IsIFIuUy4sPC9hdXRob3I+PGF1dGhvcj5S
dXNoLCBFLkMuLDwvYXV0aG9yPjxhdXRob3I+V2FsbCwgQy5SLiw8L2F1dGhvcj48YXV0aG9yPldp
bHNvbiwgSi4sPC9hdXRob3I+PGF1dGhvcj5NdXJwaHksIFIuLDwvYXV0aG9yPjxhdXRob3I+VGF5
bG9yLCBSLiw8L2F1dGhvcj48YXV0aG9yPlRob21wc29uLCBKLk0uRC4sPC9hdXRob3I+PGF1dGhv
cj5Dcm93dGhlciwgQy5BLiw8L2F1dGhvcj48YXV0aG9yPk1jQ293YW4sIEwuTS5FLiw8L2F1dGhv
cj48L2F1dGhvcnM+PC9jb250cmlidXRvcnM+PGF1dGgtYWRkcmVzcz5EZXBhcnRtZW50IG9mIE9i
c3RldHJpY3MgYW5kIEd5bmFlY29sb2d5LCBVbml2ZXJzaXR5IG9mIEF1Y2tsYW5kLCBBdWNrbGFu
ZCwgTmV3IFplYWxhbmQ7IEZhY3VsdHkgb2YgTWVkaWNhbCBhbmQgSGVhbHRoIFNjaWVuY2VzLCBV
bml2ZXJzaXR5IG9mIEF1Y2tsYW5kLCBBdWNrbGFuZCwgTmV3IFplYWxhbmQ7IE1pZGRsZW1vcmUg
SG9zcGl0YWwsIFNvdXRoIEF1Y2tsYW5kLCBOZXcgWmVhbGFuZC4gRWxlY3Ryb25pYyBhZGRyZXNz
OiBrLm9rZXNlbmUtZ2FmYUBhdWNrbGFuZC5hYy5uei4mI3hEO0RlcGFydG1lbnQgb2YgT2JzdGV0
cmljcyBhbmQgR3luYWVjb2xvZ3ksIFVuaXZlcnNpdHkgb2YgQXVja2xhbmQsIEF1Y2tsYW5kLCBO
ZXcgWmVhbGFuZDsgRmFjdWx0eSBvZiBNZWRpY2FsIGFuZCBIZWFsdGggU2NpZW5jZXMsIFVuaXZl
cnNpdHkgb2YgQXVja2xhbmQsIEF1Y2tsYW5kLCBOZXcgWmVhbGFuZC4mI3hEO0RlcGFydG1lbnQg
b2YgUGFlZGlhdHJpY3MsIENoaWxkIGFuZCBZb3V0aCBIZWFsdGgsIFVuaXZlcnNpdHkgb2YgQXVj
a2xhbmQsIEF1Y2tsYW5kLCBOZXcgWmVhbGFuZDsgTGlnZ2lucyBJbnN0aXR1dGUsIFVuaXZlcnNp
dHkgb2YgQXVja2xhbmQsIEF1Y2tsYW5kLCBOZXcgWmVhbGFuZDsgS2lkeiBGaXJzdCBOZW9uYXRh
bCBDYXJlLCBDb3VudGllcyBNYW51a2F1IEhlYWx0aCwgQXVja2xhbmQsIE5ldyBaZWFsYW5kLiYj
eEQ7RmFjdWx0eSBvZiBIZWFsdGggYW5kIEVudmlyb25tZW50YWwgU2NpZW5jZSwgQXVja2xhbmQg
VW5pdmVyc2l0eSBvZiBUZWNobm9sb2d5LCBBdWNrbGFuZCwgTmV3IFplYWxhbmQuJiN4RDtGYWN1
bHR5IG9mIE1lZGljYWwgYW5kIEhlYWx0aCBTY2llbmNlcywgVW5pdmVyc2l0eSBvZiBBdWNrbGFu
ZCwgQXVja2xhbmQsIE5ldyBaZWFsYW5kLiYjeEQ7RmFjdWx0eSBvZiBNZWRpY2FsIGFuZCBIZWFs
dGggU2NpZW5jZXMsIFVuaXZlcnNpdHkgb2YgQXVja2xhbmQsIEF1Y2tsYW5kLCBOZXcgWmVhbGFu
ZDsgRGVwYXJ0bWVudCBvZiBQYWVkaWF0cmljcywgQ2hpbGQgYW5kIFlvdXRoIEhlYWx0aCwgVW5p
dmVyc2l0eSBvZiBBdWNrbGFuZCwgQXVja2xhbmQsIE5ldyBaZWFsYW5kLiYjeEQ7RGVwYXJ0bWVu
dCBvZiBNZWRpY2luZSwgU2Nob29sIG9mIE1lZGljaW5lLCBVbml2ZXJzaXR5IG9mIEF1Y2tsYW5k
LCBBdWNrbGFuZCwgTmV3IFplYWxhbmQuJiN4RDtEZXBhcnRtZW50IG9mIE1lZGljaW5lLCBVbml2
ZXJzaXR5IG9mIE90YWdvLCBEdW5lZGluLCBOZXcgWmVhbGFuZC4mI3hEO0xpZ2dpbnMgSW5zdGl0
dXRlLCBVbml2ZXJzaXR5IG9mIEF1Y2tsYW5kLCBBdWNrbGFuZCwgTmV3IFplYWxhbmQuPC9hdXRo
LWFkZHJlc3M+PHRpdGxlcz48dGl0bGU+RWZmZWN0IG9mIGFudGVuYXRhbCBkaWV0YXJ5IGludGVy
dmVudGlvbnMgaW4gbWF0ZXJuYWwgb2Jlc2l0eSBvbiBwcmVnbmFuY3kgd2VpZ2h0LWdhaW4gYW5k
IGJpcnRod2VpZ2h0OiBIZWFsdGh5IE11bXMgYW5kIEJhYmllcyAoSFVNQkEpIHJhbmRvbWl6ZWQg
dHJpYWw8L3RpdGxlPjxzZWNvbmRhcnktdGl0bGU+QW0gSiBPYnN0ZXQgR3luZWNvbDwvc2Vjb25k
YXJ5LXRpdGxlPjwvdGl0bGVzPjxwZXJpb2RpY2FsPjxmdWxsLXRpdGxlPkFtIEogT2JzdGV0IEd5
bmVjb2w8L2Z1bGwtdGl0bGU+PC9wZXJpb2RpY2FsPjxwYWdlcz4xNTIgZTEtMTUyIGUxMzwvcGFn
ZXM+PHZvbHVtZT4yMjE8L3ZvbHVtZT48bnVtYmVyPjI8L251bWJlcj48ZWRpdGlvbj4yMDE5LzAz
LzE4PC9lZGl0aW9uPjxrZXl3b3Jkcz48a2V5d29yZD5jb21tdW5pdHkgaGVhbHRoIHdvcmtlcjwv
a2V5d29yZD48a2V5d29yZD5nZXN0YXRpb25hbCB3ZWlnaHQgZ2Fpbjwva2V5d29yZD48a2V5d29y
ZD5wcm9iaW90aWNzPC9rZXl3b3JkPjxrZXl3b3JkPnRleHQgbWVzc2FnaW5nPC9rZXl3b3JkPjwv
a2V5d29yZHM+PGRhdGVzPjx5ZWFyPjIwMTk8L3llYXI+PHB1Yi1kYXRlcz48ZGF0ZT5BdWc8L2Rh
dGU+PC9wdWItZGF0ZXM+PC9kYXRlcz48aXNibj4xMDk3LTY4NjggKEVsZWN0cm9uaWMpJiN4RDsw
MDAyLTkzNzggKExpbmtpbmcpPC9pc2JuPjxhY2Nlc3Npb24tbnVtPjMwODc4MzIzPC9hY2Nlc3Np
b24tbnVtPjx1cmxzPjxyZWxhdGVkLXVybHM+PHVybD5odHRwczovL3d3dy5uY2JpLm5sbS5uaWgu
Z292L3B1Ym1lZC8zMDg3ODMyMzwvdXJsPjwvcmVsYXRlZC11cmxzPjwvdXJscz48ZWxlY3Ryb25p
Yy1yZXNvdXJjZS1udW0+MTAuMTAxNi9qLmFqb2cuMjAxOS4wMy4wMDM8L2VsZWN0cm9uaWMtcmVz
b3VyY2UtbnVtPjwvcmVjb3JkPjwvQ2l0ZT48L0VuZE5vdGU+
</w:fldData>
              </w:fldChar>
            </w:r>
            <w:r w:rsidR="002747EA">
              <w:instrText xml:space="preserve"> ADDIN EN.CITE </w:instrText>
            </w:r>
            <w:r w:rsidR="002747EA">
              <w:fldChar w:fldCharType="begin">
                <w:fldData xml:space="preserve">PEVuZE5vdGU+PENpdGU+PEF1dGhvcj5Pa2VzZW5lLUdhZmE8L0F1dGhvcj48WWVhcj4yMDE5PC9Z
ZWFyPjxSZWNOdW0+MTM5MDwvUmVjTnVtPjxEaXNwbGF5VGV4dD48c3R5bGUgZmFjZT0ic3VwZXJz
Y3JpcHQiIGZvbnQ9IlRyZWJ1Y2hldCBNUyIgc2l6ZT0iOSI+MjMyPC9zdHlsZT48L0Rpc3BsYXlU
ZXh0PjxyZWNvcmQ+PHJlYy1udW1iZXI+MTM5MDwvcmVjLW51bWJlcj48Zm9yZWlnbi1rZXlzPjxr
ZXkgYXBwPSJFTiIgZGItaWQ9ImV4dmFzcmZ4MmR0cmFvZXNhc3hwMnN6c3hhMmRmNTAyNTkyeCIg
dGltZXN0YW1wPSIxNTY3NzQ2MTE2Ij4xMzkwPC9rZXk+PGtleSBhcHA9IkVOV2ViIiBkYi1pZD0i
Ij4wPC9rZXk+PC9mb3JlaWduLWtleXM+PHJlZi10eXBlIG5hbWU9IkpvdXJuYWwgQXJ0aWNsZSI+
MTc8L3JlZi10eXBlPjxjb250cmlidXRvcnM+PGF1dGhvcnM+PGF1dGhvcj5Pa2VzZW5lLUdhZmEs
IEsuQS5NLiw8L2F1dGhvcj48YXV0aG9yPkxpLCBNLiw8L2F1dGhvcj48YXV0aG9yPk1jS2lubGF5
LCBDLkouRC4sPC9hdXRob3I+PGF1dGhvcj5UYXlsb3IsIFIuUy4sPC9hdXRob3I+PGF1dGhvcj5S
dXNoLCBFLkMuLDwvYXV0aG9yPjxhdXRob3I+V2FsbCwgQy5SLiw8L2F1dGhvcj48YXV0aG9yPldp
bHNvbiwgSi4sPC9hdXRob3I+PGF1dGhvcj5NdXJwaHksIFIuLDwvYXV0aG9yPjxhdXRob3I+VGF5
bG9yLCBSLiw8L2F1dGhvcj48YXV0aG9yPlRob21wc29uLCBKLk0uRC4sPC9hdXRob3I+PGF1dGhv
cj5Dcm93dGhlciwgQy5BLiw8L2F1dGhvcj48YXV0aG9yPk1jQ293YW4sIEwuTS5FLiw8L2F1dGhv
cj48L2F1dGhvcnM+PC9jb250cmlidXRvcnM+PGF1dGgtYWRkcmVzcz5EZXBhcnRtZW50IG9mIE9i
c3RldHJpY3MgYW5kIEd5bmFlY29sb2d5LCBVbml2ZXJzaXR5IG9mIEF1Y2tsYW5kLCBBdWNrbGFu
ZCwgTmV3IFplYWxhbmQ7IEZhY3VsdHkgb2YgTWVkaWNhbCBhbmQgSGVhbHRoIFNjaWVuY2VzLCBV
bml2ZXJzaXR5IG9mIEF1Y2tsYW5kLCBBdWNrbGFuZCwgTmV3IFplYWxhbmQ7IE1pZGRsZW1vcmUg
SG9zcGl0YWwsIFNvdXRoIEF1Y2tsYW5kLCBOZXcgWmVhbGFuZC4gRWxlY3Ryb25pYyBhZGRyZXNz
OiBrLm9rZXNlbmUtZ2FmYUBhdWNrbGFuZC5hYy5uei4mI3hEO0RlcGFydG1lbnQgb2YgT2JzdGV0
cmljcyBhbmQgR3luYWVjb2xvZ3ksIFVuaXZlcnNpdHkgb2YgQXVja2xhbmQsIEF1Y2tsYW5kLCBO
ZXcgWmVhbGFuZDsgRmFjdWx0eSBvZiBNZWRpY2FsIGFuZCBIZWFsdGggU2NpZW5jZXMsIFVuaXZl
cnNpdHkgb2YgQXVja2xhbmQsIEF1Y2tsYW5kLCBOZXcgWmVhbGFuZC4mI3hEO0RlcGFydG1lbnQg
b2YgUGFlZGlhdHJpY3MsIENoaWxkIGFuZCBZb3V0aCBIZWFsdGgsIFVuaXZlcnNpdHkgb2YgQXVj
a2xhbmQsIEF1Y2tsYW5kLCBOZXcgWmVhbGFuZDsgTGlnZ2lucyBJbnN0aXR1dGUsIFVuaXZlcnNp
dHkgb2YgQXVja2xhbmQsIEF1Y2tsYW5kLCBOZXcgWmVhbGFuZDsgS2lkeiBGaXJzdCBOZW9uYXRh
bCBDYXJlLCBDb3VudGllcyBNYW51a2F1IEhlYWx0aCwgQXVja2xhbmQsIE5ldyBaZWFsYW5kLiYj
eEQ7RmFjdWx0eSBvZiBIZWFsdGggYW5kIEVudmlyb25tZW50YWwgU2NpZW5jZSwgQXVja2xhbmQg
VW5pdmVyc2l0eSBvZiBUZWNobm9sb2d5LCBBdWNrbGFuZCwgTmV3IFplYWxhbmQuJiN4RDtGYWN1
bHR5IG9mIE1lZGljYWwgYW5kIEhlYWx0aCBTY2llbmNlcywgVW5pdmVyc2l0eSBvZiBBdWNrbGFu
ZCwgQXVja2xhbmQsIE5ldyBaZWFsYW5kLiYjeEQ7RmFjdWx0eSBvZiBNZWRpY2FsIGFuZCBIZWFs
dGggU2NpZW5jZXMsIFVuaXZlcnNpdHkgb2YgQXVja2xhbmQsIEF1Y2tsYW5kLCBOZXcgWmVhbGFu
ZDsgRGVwYXJ0bWVudCBvZiBQYWVkaWF0cmljcywgQ2hpbGQgYW5kIFlvdXRoIEhlYWx0aCwgVW5p
dmVyc2l0eSBvZiBBdWNrbGFuZCwgQXVja2xhbmQsIE5ldyBaZWFsYW5kLiYjeEQ7RGVwYXJ0bWVu
dCBvZiBNZWRpY2luZSwgU2Nob29sIG9mIE1lZGljaW5lLCBVbml2ZXJzaXR5IG9mIEF1Y2tsYW5k
LCBBdWNrbGFuZCwgTmV3IFplYWxhbmQuJiN4RDtEZXBhcnRtZW50IG9mIE1lZGljaW5lLCBVbml2
ZXJzaXR5IG9mIE90YWdvLCBEdW5lZGluLCBOZXcgWmVhbGFuZC4mI3hEO0xpZ2dpbnMgSW5zdGl0
dXRlLCBVbml2ZXJzaXR5IG9mIEF1Y2tsYW5kLCBBdWNrbGFuZCwgTmV3IFplYWxhbmQuPC9hdXRo
LWFkZHJlc3M+PHRpdGxlcz48dGl0bGU+RWZmZWN0IG9mIGFudGVuYXRhbCBkaWV0YXJ5IGludGVy
dmVudGlvbnMgaW4gbWF0ZXJuYWwgb2Jlc2l0eSBvbiBwcmVnbmFuY3kgd2VpZ2h0LWdhaW4gYW5k
IGJpcnRod2VpZ2h0OiBIZWFsdGh5IE11bXMgYW5kIEJhYmllcyAoSFVNQkEpIHJhbmRvbWl6ZWQg
dHJpYWw8L3RpdGxlPjxzZWNvbmRhcnktdGl0bGU+QW0gSiBPYnN0ZXQgR3luZWNvbDwvc2Vjb25k
YXJ5LXRpdGxlPjwvdGl0bGVzPjxwZXJpb2RpY2FsPjxmdWxsLXRpdGxlPkFtIEogT2JzdGV0IEd5
bmVjb2w8L2Z1bGwtdGl0bGU+PC9wZXJpb2RpY2FsPjxwYWdlcz4xNTIgZTEtMTUyIGUxMzwvcGFn
ZXM+PHZvbHVtZT4yMjE8L3ZvbHVtZT48bnVtYmVyPjI8L251bWJlcj48ZWRpdGlvbj4yMDE5LzAz
LzE4PC9lZGl0aW9uPjxrZXl3b3Jkcz48a2V5d29yZD5jb21tdW5pdHkgaGVhbHRoIHdvcmtlcjwv
a2V5d29yZD48a2V5d29yZD5nZXN0YXRpb25hbCB3ZWlnaHQgZ2Fpbjwva2V5d29yZD48a2V5d29y
ZD5wcm9iaW90aWNzPC9rZXl3b3JkPjxrZXl3b3JkPnRleHQgbWVzc2FnaW5nPC9rZXl3b3JkPjwv
a2V5d29yZHM+PGRhdGVzPjx5ZWFyPjIwMTk8L3llYXI+PHB1Yi1kYXRlcz48ZGF0ZT5BdWc8L2Rh
dGU+PC9wdWItZGF0ZXM+PC9kYXRlcz48aXNibj4xMDk3LTY4NjggKEVsZWN0cm9uaWMpJiN4RDsw
MDAyLTkzNzggKExpbmtpbmcpPC9pc2JuPjxhY2Nlc3Npb24tbnVtPjMwODc4MzIzPC9hY2Nlc3Np
b24tbnVtPjx1cmxzPjxyZWxhdGVkLXVybHM+PHVybD5odHRwczovL3d3dy5uY2JpLm5sbS5uaWgu
Z292L3B1Ym1lZC8zMDg3ODMyMzwvdXJsPjwvcmVsYXRlZC11cmxzPjwvdXJscz48ZWxlY3Ryb25p
Yy1yZXNvdXJjZS1udW0+MTAuMTAxNi9qLmFqb2cuMjAxOS4wMy4wMDM8L2VsZWN0cm9uaWMtcmVz
b3VyY2UtbnVtPjwvcmVjb3JkPjwvQ2l0ZT48L0VuZE5vdGU+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232</w:t>
            </w:r>
            <w:r w:rsidR="00AB21E2">
              <w:fldChar w:fldCharType="end"/>
            </w:r>
          </w:p>
          <w:p w14:paraId="351E589B" w14:textId="49C42E41" w:rsidR="00213BC6" w:rsidRDefault="00213BC6" w:rsidP="00E760BE">
            <w:r>
              <w:t>New Zealand</w:t>
            </w:r>
          </w:p>
        </w:tc>
        <w:tc>
          <w:tcPr>
            <w:tcW w:w="2656" w:type="dxa"/>
          </w:tcPr>
          <w:p w14:paraId="683A0900" w14:textId="4DF513AD" w:rsidR="0036555D" w:rsidRDefault="0036555D" w:rsidP="00E760BE">
            <w:r>
              <w:t>Women with BMI ≥30</w:t>
            </w:r>
            <w:r w:rsidR="00F34FBB">
              <w:t>; n=230</w:t>
            </w:r>
          </w:p>
        </w:tc>
        <w:tc>
          <w:tcPr>
            <w:tcW w:w="4536" w:type="dxa"/>
          </w:tcPr>
          <w:p w14:paraId="157824E9" w14:textId="77777777" w:rsidR="0036555D" w:rsidRDefault="0036555D" w:rsidP="00E760BE">
            <w:r w:rsidRPr="00F53B12">
              <w:rPr>
                <w:i/>
              </w:rPr>
              <w:t xml:space="preserve">Lactobacillus rhamnosus </w:t>
            </w:r>
            <w:r w:rsidRPr="009F32BD">
              <w:t>GG</w:t>
            </w:r>
            <w:r>
              <w:t>,</w:t>
            </w:r>
            <w:r w:rsidRPr="009F32BD">
              <w:t xml:space="preserve"> </w:t>
            </w:r>
            <w:r w:rsidRPr="00F53B12">
              <w:rPr>
                <w:i/>
              </w:rPr>
              <w:t>Bifidobacterium lactis</w:t>
            </w:r>
            <w:r w:rsidRPr="009F32BD">
              <w:t xml:space="preserve"> BB12</w:t>
            </w:r>
            <w:r>
              <w:t xml:space="preserve"> (minimum 6.5 x 10</w:t>
            </w:r>
            <w:r w:rsidRPr="00F53B12">
              <w:rPr>
                <w:vertAlign w:val="superscript"/>
              </w:rPr>
              <w:t>9</w:t>
            </w:r>
            <w:r w:rsidRPr="009F32BD">
              <w:t xml:space="preserve"> c</w:t>
            </w:r>
            <w:r>
              <w:t>fu)</w:t>
            </w:r>
          </w:p>
        </w:tc>
        <w:tc>
          <w:tcPr>
            <w:tcW w:w="2551" w:type="dxa"/>
          </w:tcPr>
          <w:p w14:paraId="3D2CC54D" w14:textId="77777777" w:rsidR="0036555D" w:rsidRDefault="0036555D" w:rsidP="00E760BE">
            <w:r>
              <w:t>From week 12-17</w:t>
            </w:r>
            <w:r w:rsidRPr="00E37B35">
              <w:rPr>
                <w:vertAlign w:val="superscript"/>
              </w:rPr>
              <w:t>6</w:t>
            </w:r>
            <w:r>
              <w:t xml:space="preserve"> until birth</w:t>
            </w:r>
          </w:p>
        </w:tc>
        <w:tc>
          <w:tcPr>
            <w:tcW w:w="1843" w:type="dxa"/>
          </w:tcPr>
          <w:p w14:paraId="7999FFD3" w14:textId="77777777" w:rsidR="0036555D" w:rsidRDefault="0036555D" w:rsidP="00E760BE">
            <w:r>
              <w:t>22-28 weeks</w:t>
            </w:r>
          </w:p>
        </w:tc>
      </w:tr>
      <w:tr w:rsidR="001C597D" w14:paraId="63958255" w14:textId="77777777" w:rsidTr="00E760BE">
        <w:trPr>
          <w:cantSplit/>
        </w:trPr>
        <w:tc>
          <w:tcPr>
            <w:tcW w:w="2306" w:type="dxa"/>
          </w:tcPr>
          <w:p w14:paraId="3690938B" w14:textId="0AF4EF6D" w:rsidR="001C597D" w:rsidRDefault="001C597D" w:rsidP="001C597D">
            <w:r>
              <w:t>Olsen et al 2018</w:t>
            </w:r>
            <w:r w:rsidR="00774750">
              <w:fldChar w:fldCharType="begin"/>
            </w:r>
            <w:r w:rsidR="002747EA">
              <w:instrText xml:space="preserve"> ADDIN EN.CITE &lt;EndNote&gt;&lt;Cite&gt;&lt;Author&gt;Olsen&lt;/Author&gt;&lt;Year&gt;2018&lt;/Year&gt;&lt;RecNum&gt;1709&lt;/RecNum&gt;&lt;DisplayText&gt;&lt;style face="superscript" font="Trebuchet MS" size="9"&gt;235&lt;/style&gt;&lt;/DisplayText&gt;&lt;record&gt;&lt;rec-number&gt;1709&lt;/rec-number&gt;&lt;foreign-keys&gt;&lt;key app="EN" db-id="exvasrfx2dtraoesasxp2szsxa2df502592x" timestamp="1582499182"&gt;1709&lt;/key&gt;&lt;/foreign-keys&gt;&lt;ref-type name="Journal Article"&gt;17&lt;/ref-type&gt;&lt;contributors&gt;&lt;authors&gt;&lt;author&gt;Olsen, Paula&lt;/author&gt;&lt;author&gt;Williamson, Moira&lt;/author&gt;&lt;author&gt;Traynor, Victoria&lt;/author&gt;&lt;author&gt;Georgiou, Chris&lt;/author&gt;&lt;/authors&gt;&lt;/contributors&gt;&lt;titles&gt;&lt;title&gt;The impact of oral probiotics on vaginal Group B Streptococcal colonisation rates in pregnant women: A pilot randomised control study&lt;/title&gt;&lt;secondary-title&gt;Women and Birth&lt;/secondary-title&gt;&lt;/titles&gt;&lt;periodical&gt;&lt;full-title&gt;Women and Birth&lt;/full-title&gt;&lt;/periodical&gt;&lt;pages&gt;31-37&lt;/pages&gt;&lt;volume&gt;31&lt;/volume&gt;&lt;number&gt;1&lt;/number&gt;&lt;section&gt;31&lt;/section&gt;&lt;dates&gt;&lt;year&gt;2018&lt;/year&gt;&lt;/dates&gt;&lt;isbn&gt;18715192&lt;/isbn&gt;&lt;urls&gt;&lt;/urls&gt;&lt;electronic-resource-num&gt;10.1016/j.wombi.2017.06.012&lt;/electronic-resource-num&gt;&lt;/record&gt;&lt;/Cite&gt;&lt;/EndNote&gt;</w:instrText>
            </w:r>
            <w:r w:rsidR="00774750">
              <w:fldChar w:fldCharType="separate"/>
            </w:r>
            <w:r w:rsidR="002747EA" w:rsidRPr="002747EA">
              <w:rPr>
                <w:noProof/>
                <w:vertAlign w:val="superscript"/>
              </w:rPr>
              <w:t>235</w:t>
            </w:r>
            <w:r w:rsidR="00774750">
              <w:fldChar w:fldCharType="end"/>
            </w:r>
          </w:p>
          <w:p w14:paraId="3A2695A7" w14:textId="38AFC4D8" w:rsidR="001C597D" w:rsidRDefault="001C597D" w:rsidP="001C597D">
            <w:r>
              <w:t>Australia</w:t>
            </w:r>
          </w:p>
        </w:tc>
        <w:tc>
          <w:tcPr>
            <w:tcW w:w="2656" w:type="dxa"/>
          </w:tcPr>
          <w:p w14:paraId="7547FE5B" w14:textId="0589A150" w:rsidR="001C597D" w:rsidRDefault="001C597D" w:rsidP="00E760BE">
            <w:r>
              <w:t>Women with GBS colonisation at 37 weeks</w:t>
            </w:r>
          </w:p>
        </w:tc>
        <w:tc>
          <w:tcPr>
            <w:tcW w:w="4536" w:type="dxa"/>
          </w:tcPr>
          <w:p w14:paraId="65F5EF54" w14:textId="741791EB" w:rsidR="001C597D" w:rsidRPr="00F53B12" w:rsidRDefault="001C597D" w:rsidP="00E760BE">
            <w:pPr>
              <w:rPr>
                <w:i/>
              </w:rPr>
            </w:pPr>
            <w:r w:rsidRPr="00A06E9B">
              <w:rPr>
                <w:i/>
              </w:rPr>
              <w:t>Lactobacillus rhamnosus</w:t>
            </w:r>
            <w:r w:rsidRPr="00A06E9B">
              <w:t xml:space="preserve"> GR-1 (GR- 1) and </w:t>
            </w:r>
            <w:r w:rsidRPr="00A06E9B">
              <w:rPr>
                <w:i/>
              </w:rPr>
              <w:t>Lactobacillus fermentum/reuteri</w:t>
            </w:r>
            <w:r w:rsidRPr="00A06E9B">
              <w:t xml:space="preserve"> RC-14 (RC-14)</w:t>
            </w:r>
          </w:p>
        </w:tc>
        <w:tc>
          <w:tcPr>
            <w:tcW w:w="2551" w:type="dxa"/>
          </w:tcPr>
          <w:p w14:paraId="26EB568A" w14:textId="4745D8A9" w:rsidR="001C597D" w:rsidRDefault="001C597D" w:rsidP="00E760BE">
            <w:r>
              <w:t>From week 37 to birth</w:t>
            </w:r>
          </w:p>
        </w:tc>
        <w:tc>
          <w:tcPr>
            <w:tcW w:w="1843" w:type="dxa"/>
          </w:tcPr>
          <w:p w14:paraId="2D63AAA0" w14:textId="5D95A1A3" w:rsidR="001C597D" w:rsidRDefault="001C597D" w:rsidP="00E760BE">
            <w:r>
              <w:t>3 weeks</w:t>
            </w:r>
          </w:p>
        </w:tc>
      </w:tr>
      <w:tr w:rsidR="0036555D" w14:paraId="2EF4FD82" w14:textId="77777777" w:rsidTr="00E760BE">
        <w:trPr>
          <w:cantSplit/>
        </w:trPr>
        <w:tc>
          <w:tcPr>
            <w:tcW w:w="2306" w:type="dxa"/>
          </w:tcPr>
          <w:p w14:paraId="062F3CF9" w14:textId="4B47460E" w:rsidR="0036555D" w:rsidRDefault="0036555D" w:rsidP="00E760BE">
            <w:r>
              <w:t>Pellonpera et al 2019</w:t>
            </w:r>
            <w:r w:rsidR="00AB21E2">
              <w:fldChar w:fldCharType="begin">
                <w:fldData xml:space="preserve">PEVuZE5vdGU+PENpdGU+PEF1dGhvcj5QZWxsb25wZXJhPC9BdXRob3I+PFllYXI+MjAxOTwvWWVh
cj48UmVjTnVtPjE2Njk8L1JlY051bT48RGlzcGxheVRleHQ+PHN0eWxlIGZhY2U9InN1cGVyc2Ny
aXB0IiBmb250PSJUcmVidWNoZXQgTVMiIHNpemU9IjkiPjIzMzwvc3R5bGU+PC9EaXNwbGF5VGV4
dD48cmVjb3JkPjxyZWMtbnVtYmVyPjE2Njk8L3JlYy1udW1iZXI+PGZvcmVpZ24ta2V5cz48a2V5
IGFwcD0iRU4iIGRiLWlkPSJleHZhc3JmeDJkdHJhb2VzYXN4cDJzenN4YTJkZjUwMjU5MngiIHRp
bWVzdGFtcD0iMTU4MTMxMjg0MCI+MTY2OTwva2V5PjxrZXkgYXBwPSJFTldlYiIgZGItaWQ9IiI+
MDwva2V5PjwvZm9yZWlnbi1rZXlzPjxyZWYtdHlwZSBuYW1lPSJKb3VybmFsIEFydGljbGUiPjE3
PC9yZWYtdHlwZT48Y29udHJpYnV0b3JzPjxhdXRob3JzPjxhdXRob3I+UGVsbG9ucGVyYSwgTy48
L2F1dGhvcj48YXV0aG9yPk1va2thbGEsIEsuPC9hdXRob3I+PGF1dGhvcj5Ib3V0dHUsIE4uPC9h
dXRob3I+PGF1dGhvcj5WYWhsYmVyZywgVC48L2F1dGhvcj48YXV0aG9yPktvaXZ1bmllbWksIEUu
PC9hdXRob3I+PGF1dGhvcj5UZXJ0dGksIEsuPC9hdXRob3I+PGF1dGhvcj5Sb25uZW1hYSwgVC48
L2F1dGhvcj48YXV0aG9yPkxhaXRpbmVuLCBLLjwvYXV0aG9yPjwvYXV0aG9ycz48L2NvbnRyaWJ1
dG9ycz48YXV0aC1hZGRyZXNzPkRlcGFydG1lbnQgb2YgT2JzdGV0cmljcyBhbmQgR3luZWNvbG9n
eSwgVW5pdmVyc2l0eSBvZiBUdXJrdSBhbmQgVHVya3UgVW5pdmVyc2l0eSBIb3NwaXRhbCwgVHVy
a3UsIEZpbmxhbmQgb3V0aS5wZWxsb25wZXJhQHV0dS5maS4mI3hEO0ludGVncmF0aXZlIFBoeXNp
b2xvZ3kgYW5kIFBoYXJtYWNvbG9neSwgSW5zdGl0dXRlIG9mIEJpb21lZGljaW5lLCBVbml2ZXJz
aXR5IG9mIFR1cmt1LCBUdXJrdSwgRmlubGFuZC4mI3hEO0Jpb3N0YXRpc3RpY3MsIEluc3RpdHV0
ZSBvZiBDbGluaWNhbCBNZWRpY2luZSwgVW5pdmVyc2l0eSBvZiBUdXJrdSwgVHVya3UsIEZpbmxh
bmQuJiN4RDtEZXBhcnRtZW50IG9mIE9ic3RldHJpY3MgYW5kIEd5bmVjb2xvZ3ksIFVuaXZlcnNp
dHkgb2YgVHVya3UgYW5kIFR1cmt1IFVuaXZlcnNpdHkgSG9zcGl0YWwsIFR1cmt1LCBGaW5sYW5k
LiYjeEQ7RGVwYXJ0bWVudCBvZiBNZWRpY2luZSwgVW5pdmVyc2l0eSBvZiBUdXJrdSBhbmQgVHVy
a3UgVW5pdmVyc2l0eSBIb3NwaXRhbCwgVHVya3UsIEZpbmxhbmQuPC9hdXRoLWFkZHJlc3M+PHRp
dGxlcz48dGl0bGU+RWZmaWNhY3kgb2YgZmlzaCBvaWwgYW5kL29yIHByb2Jpb3RpYyBpbnRlcnZl
bnRpb24gb24gdGhlIGluY2lkZW5jZSBvZiBnZXN0YXRpb25hbCBkaWFiZXRlcyBtZWxsaXR1cyBp
biBhbiBhdC1yaXNrIGdyb3VwIG9mIG92ZXJ3ZWlnaHQgYW5kIG9iZXNlIHdvbWVuOiBhIHJhbmRv
bWl6ZWQsIHBsYWNlYm8tY29udHJvbGxlZCwgZG91YmxlLWJsaW5kIGNsaW5pY2FsIHRyaWFsPC90
aXRsZT48c2Vjb25kYXJ5LXRpdGxlPkRpYWJldGVzIENhcmU8L3NlY29uZGFyeS10aXRsZT48L3Rp
dGxlcz48cGVyaW9kaWNhbD48ZnVsbC10aXRsZT5EaWFiZXRlcyBDYXJlPC9mdWxsLXRpdGxlPjwv
cGVyaW9kaWNhbD48cGFnZXM+MTAwOS0xMDE3PC9wYWdlcz48dm9sdW1lPjQyPC92b2x1bWU+PG51
bWJlcj42PC9udW1iZXI+PGVkaXRpb24+MjAxOS8wNC8xMTwvZWRpdGlvbj48ZGF0ZXM+PHllYXI+
MjAxOTwveWVhcj48cHViLWRhdGVzPjxkYXRlPkp1bjwvZGF0ZT48L3B1Yi1kYXRlcz48L2RhdGVz
Pjxpc2JuPjE5MzUtNTU0OCAoRWxlY3Ryb25pYykmI3hEOzAxNDktNTk5MiAoTGlua2luZyk8L2lz
Ym4+PGFjY2Vzc2lvbi1udW0+MzA5Njc0MzY8L2FjY2Vzc2lvbi1udW0+PHVybHM+PHJlbGF0ZWQt
dXJscz48dXJsPmh0dHBzOi8vd3d3Lm5jYmkubmxtLm5paC5nb3YvcHVibWVkLzMwOTY3NDM2PC91
cmw+PC9yZWxhdGVkLXVybHM+PC91cmxzPjxlbGVjdHJvbmljLXJlc291cmNlLW51bT4xMC4yMzM3
L2RjMTgtMjU5MTwvZWxlY3Ryb25pYy1yZXNvdXJjZS1udW0+PC9yZWNvcmQ+PC9DaXRlPjwvRW5k
Tm90ZT4A
</w:fldData>
              </w:fldChar>
            </w:r>
            <w:r w:rsidR="002747EA">
              <w:instrText xml:space="preserve"> ADDIN EN.CITE </w:instrText>
            </w:r>
            <w:r w:rsidR="002747EA">
              <w:fldChar w:fldCharType="begin">
                <w:fldData xml:space="preserve">PEVuZE5vdGU+PENpdGU+PEF1dGhvcj5QZWxsb25wZXJhPC9BdXRob3I+PFllYXI+MjAxOTwvWWVh
cj48UmVjTnVtPjE2Njk8L1JlY051bT48RGlzcGxheVRleHQ+PHN0eWxlIGZhY2U9InN1cGVyc2Ny
aXB0IiBmb250PSJUcmVidWNoZXQgTVMiIHNpemU9IjkiPjIzMzwvc3R5bGU+PC9EaXNwbGF5VGV4
dD48cmVjb3JkPjxyZWMtbnVtYmVyPjE2Njk8L3JlYy1udW1iZXI+PGZvcmVpZ24ta2V5cz48a2V5
IGFwcD0iRU4iIGRiLWlkPSJleHZhc3JmeDJkdHJhb2VzYXN4cDJzenN4YTJkZjUwMjU5MngiIHRp
bWVzdGFtcD0iMTU4MTMxMjg0MCI+MTY2OTwva2V5PjxrZXkgYXBwPSJFTldlYiIgZGItaWQ9IiI+
MDwva2V5PjwvZm9yZWlnbi1rZXlzPjxyZWYtdHlwZSBuYW1lPSJKb3VybmFsIEFydGljbGUiPjE3
PC9yZWYtdHlwZT48Y29udHJpYnV0b3JzPjxhdXRob3JzPjxhdXRob3I+UGVsbG9ucGVyYSwgTy48
L2F1dGhvcj48YXV0aG9yPk1va2thbGEsIEsuPC9hdXRob3I+PGF1dGhvcj5Ib3V0dHUsIE4uPC9h
dXRob3I+PGF1dGhvcj5WYWhsYmVyZywgVC48L2F1dGhvcj48YXV0aG9yPktvaXZ1bmllbWksIEUu
PC9hdXRob3I+PGF1dGhvcj5UZXJ0dGksIEsuPC9hdXRob3I+PGF1dGhvcj5Sb25uZW1hYSwgVC48
L2F1dGhvcj48YXV0aG9yPkxhaXRpbmVuLCBLLjwvYXV0aG9yPjwvYXV0aG9ycz48L2NvbnRyaWJ1
dG9ycz48YXV0aC1hZGRyZXNzPkRlcGFydG1lbnQgb2YgT2JzdGV0cmljcyBhbmQgR3luZWNvbG9n
eSwgVW5pdmVyc2l0eSBvZiBUdXJrdSBhbmQgVHVya3UgVW5pdmVyc2l0eSBIb3NwaXRhbCwgVHVy
a3UsIEZpbmxhbmQgb3V0aS5wZWxsb25wZXJhQHV0dS5maS4mI3hEO0ludGVncmF0aXZlIFBoeXNp
b2xvZ3kgYW5kIFBoYXJtYWNvbG9neSwgSW5zdGl0dXRlIG9mIEJpb21lZGljaW5lLCBVbml2ZXJz
aXR5IG9mIFR1cmt1LCBUdXJrdSwgRmlubGFuZC4mI3hEO0Jpb3N0YXRpc3RpY3MsIEluc3RpdHV0
ZSBvZiBDbGluaWNhbCBNZWRpY2luZSwgVW5pdmVyc2l0eSBvZiBUdXJrdSwgVHVya3UsIEZpbmxh
bmQuJiN4RDtEZXBhcnRtZW50IG9mIE9ic3RldHJpY3MgYW5kIEd5bmVjb2xvZ3ksIFVuaXZlcnNp
dHkgb2YgVHVya3UgYW5kIFR1cmt1IFVuaXZlcnNpdHkgSG9zcGl0YWwsIFR1cmt1LCBGaW5sYW5k
LiYjeEQ7RGVwYXJ0bWVudCBvZiBNZWRpY2luZSwgVW5pdmVyc2l0eSBvZiBUdXJrdSBhbmQgVHVy
a3UgVW5pdmVyc2l0eSBIb3NwaXRhbCwgVHVya3UsIEZpbmxhbmQuPC9hdXRoLWFkZHJlc3M+PHRp
dGxlcz48dGl0bGU+RWZmaWNhY3kgb2YgZmlzaCBvaWwgYW5kL29yIHByb2Jpb3RpYyBpbnRlcnZl
bnRpb24gb24gdGhlIGluY2lkZW5jZSBvZiBnZXN0YXRpb25hbCBkaWFiZXRlcyBtZWxsaXR1cyBp
biBhbiBhdC1yaXNrIGdyb3VwIG9mIG92ZXJ3ZWlnaHQgYW5kIG9iZXNlIHdvbWVuOiBhIHJhbmRv
bWl6ZWQsIHBsYWNlYm8tY29udHJvbGxlZCwgZG91YmxlLWJsaW5kIGNsaW5pY2FsIHRyaWFsPC90
aXRsZT48c2Vjb25kYXJ5LXRpdGxlPkRpYWJldGVzIENhcmU8L3NlY29uZGFyeS10aXRsZT48L3Rp
dGxlcz48cGVyaW9kaWNhbD48ZnVsbC10aXRsZT5EaWFiZXRlcyBDYXJlPC9mdWxsLXRpdGxlPjwv
cGVyaW9kaWNhbD48cGFnZXM+MTAwOS0xMDE3PC9wYWdlcz48dm9sdW1lPjQyPC92b2x1bWU+PG51
bWJlcj42PC9udW1iZXI+PGVkaXRpb24+MjAxOS8wNC8xMTwvZWRpdGlvbj48ZGF0ZXM+PHllYXI+
MjAxOTwveWVhcj48cHViLWRhdGVzPjxkYXRlPkp1bjwvZGF0ZT48L3B1Yi1kYXRlcz48L2RhdGVz
Pjxpc2JuPjE5MzUtNTU0OCAoRWxlY3Ryb25pYykmI3hEOzAxNDktNTk5MiAoTGlua2luZyk8L2lz
Ym4+PGFjY2Vzc2lvbi1udW0+MzA5Njc0MzY8L2FjY2Vzc2lvbi1udW0+PHVybHM+PHJlbGF0ZWQt
dXJscz48dXJsPmh0dHBzOi8vd3d3Lm5jYmkubmxtLm5paC5nb3YvcHVibWVkLzMwOTY3NDM2PC91
cmw+PC9yZWxhdGVkLXVybHM+PC91cmxzPjxlbGVjdHJvbmljLXJlc291cmNlLW51bT4xMC4yMzM3
L2RjMTgtMjU5MTwvZWxlY3Ryb25pYy1yZXNvdXJjZS1udW0+PC9yZWNvcmQ+PC9DaXRlPjwvRW5k
Tm90ZT4A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233</w:t>
            </w:r>
            <w:r w:rsidR="00AB21E2">
              <w:fldChar w:fldCharType="end"/>
            </w:r>
          </w:p>
          <w:p w14:paraId="03122231" w14:textId="5D42C943" w:rsidR="00213BC6" w:rsidRDefault="00213BC6" w:rsidP="00E760BE">
            <w:r>
              <w:t>Finland</w:t>
            </w:r>
          </w:p>
        </w:tc>
        <w:tc>
          <w:tcPr>
            <w:tcW w:w="2656" w:type="dxa"/>
          </w:tcPr>
          <w:p w14:paraId="69B67156" w14:textId="4E00B089" w:rsidR="0036555D" w:rsidRDefault="0036555D" w:rsidP="00E760BE">
            <w:r>
              <w:t>Healthy pregnant women</w:t>
            </w:r>
            <w:r w:rsidR="00F34FBB">
              <w:t>; n=219</w:t>
            </w:r>
          </w:p>
        </w:tc>
        <w:tc>
          <w:tcPr>
            <w:tcW w:w="4536" w:type="dxa"/>
          </w:tcPr>
          <w:p w14:paraId="1726F1A6" w14:textId="77777777" w:rsidR="0036555D" w:rsidRDefault="0036555D" w:rsidP="00E760BE">
            <w:r w:rsidRPr="00E37B35">
              <w:rPr>
                <w:i/>
              </w:rPr>
              <w:t>Lactobacillus rhamnosus</w:t>
            </w:r>
            <w:r w:rsidRPr="002D3832">
              <w:t xml:space="preserve"> HN001</w:t>
            </w:r>
            <w:r>
              <w:t>,</w:t>
            </w:r>
            <w:r w:rsidRPr="002D3832">
              <w:t xml:space="preserve"> </w:t>
            </w:r>
            <w:r w:rsidRPr="00E37B35">
              <w:rPr>
                <w:i/>
              </w:rPr>
              <w:t xml:space="preserve">Bifidobacterium animalis ssp. lactis </w:t>
            </w:r>
            <w:r>
              <w:t>420</w:t>
            </w:r>
            <w:r w:rsidRPr="002D3832">
              <w:t xml:space="preserve"> </w:t>
            </w:r>
            <w:r>
              <w:t>(</w:t>
            </w:r>
            <w:r w:rsidRPr="002D3832">
              <w:t>10</w:t>
            </w:r>
            <w:r w:rsidRPr="00E37B35">
              <w:rPr>
                <w:vertAlign w:val="superscript"/>
              </w:rPr>
              <w:t>10</w:t>
            </w:r>
            <w:r>
              <w:t xml:space="preserve"> cfu)</w:t>
            </w:r>
          </w:p>
        </w:tc>
        <w:tc>
          <w:tcPr>
            <w:tcW w:w="2551" w:type="dxa"/>
          </w:tcPr>
          <w:p w14:paraId="4C112C05" w14:textId="77777777" w:rsidR="0036555D" w:rsidRDefault="0036555D" w:rsidP="00E760BE">
            <w:r>
              <w:t>From week 13.9±2.1 until birth</w:t>
            </w:r>
          </w:p>
        </w:tc>
        <w:tc>
          <w:tcPr>
            <w:tcW w:w="1843" w:type="dxa"/>
          </w:tcPr>
          <w:p w14:paraId="49D296EE" w14:textId="77777777" w:rsidR="0036555D" w:rsidRDefault="0036555D" w:rsidP="00E760BE">
            <w:r>
              <w:t>26 weeks</w:t>
            </w:r>
          </w:p>
        </w:tc>
      </w:tr>
      <w:tr w:rsidR="0036555D" w14:paraId="1C6FC7E2" w14:textId="77777777" w:rsidTr="00E760BE">
        <w:trPr>
          <w:cantSplit/>
        </w:trPr>
        <w:tc>
          <w:tcPr>
            <w:tcW w:w="2306" w:type="dxa"/>
          </w:tcPr>
          <w:p w14:paraId="4B632139" w14:textId="491FD03F" w:rsidR="0036555D" w:rsidRDefault="0036555D" w:rsidP="00E760BE">
            <w:r>
              <w:t>Rautava et al 2012</w:t>
            </w:r>
            <w:r w:rsidR="00AB21E2">
              <w:fldChar w:fldCharType="begin"/>
            </w:r>
            <w:r w:rsidR="002747EA">
              <w:instrText xml:space="preserve"> ADDIN EN.CITE &lt;EndNote&gt;&lt;Cite&gt;&lt;Author&gt;Rautava&lt;/Author&gt;&lt;Year&gt;2012&lt;/Year&gt;&lt;RecNum&gt;1694&lt;/RecNum&gt;&lt;DisplayText&gt;&lt;style face="superscript" font="Trebuchet MS" size="9"&gt;251&lt;/style&gt;&lt;/DisplayText&gt;&lt;record&gt;&lt;rec-number&gt;1694&lt;/rec-number&gt;&lt;foreign-keys&gt;&lt;key app="EN" db-id="exvasrfx2dtraoesasxp2szsxa2df502592x" timestamp="1581832076"&gt;1694&lt;/key&gt;&lt;/foreign-keys&gt;&lt;ref-type name="Journal Article"&gt;17&lt;/ref-type&gt;&lt;contributors&gt;&lt;authors&gt;&lt;author&gt;Rautava, S.&lt;/author&gt;&lt;author&gt;Kainonen, E.&lt;/author&gt;&lt;author&gt;Salminen, S.&lt;/author&gt;&lt;author&gt;Isolauri, E.&lt;/author&gt;&lt;/authors&gt;&lt;/contributors&gt;&lt;auth-address&gt;Department of Paediatrics, Turku University Central Hospital, Turku, Finland. samrau@utu.fi&lt;/auth-address&gt;&lt;titles&gt;&lt;title&gt;Maternal probiotic supplementation during pregnancy and breast-feeding reduces the risk of eczema in the infant&lt;/title&gt;&lt;secondary-title&gt;J Allergy Clin Immunol&lt;/secondary-title&gt;&lt;/titles&gt;&lt;periodical&gt;&lt;full-title&gt;J Allergy Clin Immunol&lt;/full-title&gt;&lt;/periodical&gt;&lt;pages&gt;1355-60&lt;/pages&gt;&lt;volume&gt;130&lt;/volume&gt;&lt;number&gt;6&lt;/number&gt;&lt;edition&gt;2012/10/23&lt;/edition&gt;&lt;keywords&gt;&lt;keyword&gt;Adult&lt;/keyword&gt;&lt;keyword&gt;Breast Feeding&lt;/keyword&gt;&lt;keyword&gt;*Dietary Supplements&lt;/keyword&gt;&lt;keyword&gt;Eczema/immunology/*prevention &amp;amp; control&lt;/keyword&gt;&lt;keyword&gt;Female&lt;/keyword&gt;&lt;keyword&gt;Follow-Up Studies&lt;/keyword&gt;&lt;keyword&gt;Humans&lt;/keyword&gt;&lt;keyword&gt;Immunoglobulin E/blood&lt;/keyword&gt;&lt;keyword&gt;Infant, Newborn&lt;/keyword&gt;&lt;keyword&gt;Male&lt;/keyword&gt;&lt;keyword&gt;Maternal Exposure&lt;/keyword&gt;&lt;keyword&gt;Pregnancy&lt;/keyword&gt;&lt;keyword&gt;Probiotics/*administration &amp;amp; dosage&lt;/keyword&gt;&lt;keyword&gt;Risk&lt;/keyword&gt;&lt;keyword&gt;Skin Tests&lt;/keyword&gt;&lt;keyword&gt;Young Adult&lt;/keyword&gt;&lt;/keywords&gt;&lt;dates&gt;&lt;year&gt;2012&lt;/year&gt;&lt;pub-dates&gt;&lt;date&gt;Dec&lt;/date&gt;&lt;/pub-dates&gt;&lt;/dates&gt;&lt;isbn&gt;1097-6825 (Electronic)&amp;#xD;0091-6749 (Linking)&lt;/isbn&gt;&lt;accession-num&gt;23083673&lt;/accession-num&gt;&lt;urls&gt;&lt;related-urls&gt;&lt;url&gt;https://www.ncbi.nlm.nih.gov/pubmed/23083673&lt;/url&gt;&lt;/related-urls&gt;&lt;/urls&gt;&lt;electronic-resource-num&gt;10.1016/j.jaci.2012.09.003&lt;/electronic-resource-num&gt;&lt;/record&gt;&lt;/Cite&gt;&lt;/EndNote&gt;</w:instrText>
            </w:r>
            <w:r w:rsidR="00AB21E2">
              <w:fldChar w:fldCharType="separate"/>
            </w:r>
            <w:r w:rsidR="002747EA" w:rsidRPr="002747EA">
              <w:rPr>
                <w:noProof/>
                <w:vertAlign w:val="superscript"/>
              </w:rPr>
              <w:t>251</w:t>
            </w:r>
            <w:r w:rsidR="00AB21E2">
              <w:fldChar w:fldCharType="end"/>
            </w:r>
          </w:p>
          <w:p w14:paraId="07AE1DED" w14:textId="34FE59FB" w:rsidR="00213BC6" w:rsidRDefault="00213BC6" w:rsidP="00E760BE">
            <w:r>
              <w:t>Finland</w:t>
            </w:r>
          </w:p>
        </w:tc>
        <w:tc>
          <w:tcPr>
            <w:tcW w:w="2656" w:type="dxa"/>
          </w:tcPr>
          <w:p w14:paraId="3DBEBB54" w14:textId="19643E9D" w:rsidR="0036555D" w:rsidRDefault="0036555D" w:rsidP="00E760BE">
            <w:r>
              <w:t>Women with a fetus at risk of allergies</w:t>
            </w:r>
            <w:r w:rsidR="00A476A9">
              <w:t>; n=241</w:t>
            </w:r>
          </w:p>
        </w:tc>
        <w:tc>
          <w:tcPr>
            <w:tcW w:w="4536" w:type="dxa"/>
          </w:tcPr>
          <w:p w14:paraId="59256220" w14:textId="77777777" w:rsidR="0036555D" w:rsidRDefault="0036555D" w:rsidP="00E760BE">
            <w:r>
              <w:t xml:space="preserve">Group 1: </w:t>
            </w:r>
            <w:r w:rsidRPr="00BC409F">
              <w:rPr>
                <w:i/>
              </w:rPr>
              <w:t>Lactobacillus rhamnosus</w:t>
            </w:r>
            <w:r>
              <w:t xml:space="preserve"> LPR, </w:t>
            </w:r>
            <w:r w:rsidRPr="00BC409F">
              <w:rPr>
                <w:i/>
              </w:rPr>
              <w:t>Bifidobacterium longum</w:t>
            </w:r>
            <w:r>
              <w:t xml:space="preserve"> BL999</w:t>
            </w:r>
            <w:r>
              <w:br/>
              <w:t xml:space="preserve">Group 2: </w:t>
            </w:r>
            <w:r w:rsidRPr="00BC409F">
              <w:rPr>
                <w:i/>
              </w:rPr>
              <w:t xml:space="preserve">Lactobacillus paracasei </w:t>
            </w:r>
            <w:r>
              <w:t xml:space="preserve">ST11, </w:t>
            </w:r>
            <w:r w:rsidRPr="00BC409F">
              <w:rPr>
                <w:i/>
              </w:rPr>
              <w:t>Bifidobacterium longum</w:t>
            </w:r>
            <w:r>
              <w:t xml:space="preserve"> BL999</w:t>
            </w:r>
          </w:p>
        </w:tc>
        <w:tc>
          <w:tcPr>
            <w:tcW w:w="2551" w:type="dxa"/>
          </w:tcPr>
          <w:p w14:paraId="0A3252F3" w14:textId="77777777" w:rsidR="0036555D" w:rsidRDefault="0036555D" w:rsidP="00E760BE">
            <w:r>
              <w:t>From week 32 until birth</w:t>
            </w:r>
          </w:p>
        </w:tc>
        <w:tc>
          <w:tcPr>
            <w:tcW w:w="1843" w:type="dxa"/>
          </w:tcPr>
          <w:p w14:paraId="47A4E847" w14:textId="77777777" w:rsidR="0036555D" w:rsidRDefault="0036555D" w:rsidP="00E760BE">
            <w:r>
              <w:t>8 weeks</w:t>
            </w:r>
          </w:p>
        </w:tc>
      </w:tr>
      <w:tr w:rsidR="0036555D" w14:paraId="74E979B2" w14:textId="77777777" w:rsidTr="00E760BE">
        <w:trPr>
          <w:cantSplit/>
        </w:trPr>
        <w:tc>
          <w:tcPr>
            <w:tcW w:w="2306" w:type="dxa"/>
          </w:tcPr>
          <w:p w14:paraId="66300101" w14:textId="648F09C1" w:rsidR="0036555D" w:rsidRDefault="0036555D" w:rsidP="00E760BE">
            <w:r>
              <w:t>Sharpe et al 2019</w:t>
            </w:r>
            <w:r w:rsidR="00AB21E2">
              <w:fldChar w:fldCharType="begin"/>
            </w:r>
            <w:r w:rsidR="002747EA">
              <w:instrText xml:space="preserve"> ADDIN EN.CITE &lt;EndNote&gt;&lt;Cite&gt;&lt;Author&gt;Sharpe&lt;/Author&gt;&lt;Year&gt;2019&lt;/Year&gt;&lt;RecNum&gt;1670&lt;/RecNum&gt;&lt;DisplayText&gt;&lt;style face="superscript" font="Trebuchet MS" size="9"&gt;234&lt;/style&gt;&lt;/DisplayText&gt;&lt;record&gt;&lt;rec-number&gt;1670&lt;/rec-number&gt;&lt;foreign-keys&gt;&lt;key app="EN" db-id="exvasrfx2dtraoesasxp2szsxa2df502592x" timestamp="1581312847"&gt;1670&lt;/key&gt;&lt;key app="ENWeb" db-id=""&gt;0&lt;/key&gt;&lt;/foreign-keys&gt;&lt;ref-type name="Journal Article"&gt;17&lt;/ref-type&gt;&lt;contributors&gt;&lt;authors&gt;&lt;author&gt;Sharpe, M.&lt;/author&gt;&lt;author&gt;Shah, V.&lt;/author&gt;&lt;author&gt;Freire-Lizama, T.&lt;/author&gt;&lt;author&gt;Cates, E. C.&lt;/author&gt;&lt;author&gt;McGrath, K.&lt;/author&gt;&lt;author&gt;David, I.&lt;/author&gt;&lt;author&gt;Cowan, S.&lt;/author&gt;&lt;author&gt;Letkeman, J.&lt;/author&gt;&lt;author&gt;Stewart-Wilson, E.&lt;/author&gt;&lt;/authors&gt;&lt;/contributors&gt;&lt;auth-address&gt;a Midwifery Education Program, Ryerson University , Toronto , Canada.&amp;#xD;b Department of Pediatrics, Mount Sinai Hospital , Toronto , Canada.&amp;#xD;c Department of Obstetrics and Gynecology, St. Michael&amp;apos;s Hospital , Toronto , Canada.&amp;#xD;d Department of Psychology, Ryerson University , Toronto , Canada.&lt;/auth-address&gt;&lt;titles&gt;&lt;title&gt;Effectiveness of oral intake of Lactobacillus rhamnosus GR-1 and Lactobacillus reuteri RC-14 on Group B Streptococcus colonization during pregnancy: a midwifery-led double-blind randomized controlled pilot trial&lt;/title&gt;&lt;secondary-title&gt;J Matern Fetal Neonatal Med&lt;/secondary-title&gt;&lt;/titles&gt;&lt;periodical&gt;&lt;full-title&gt;J Matern Fetal Neonatal Med&lt;/full-title&gt;&lt;/periodical&gt;&lt;pages&gt;1-8&lt;/pages&gt;&lt;edition&gt;2019/08/01&lt;/edition&gt;&lt;keywords&gt;&lt;keyword&gt;Clinical trial&lt;/keyword&gt;&lt;keyword&gt;group B Streptococcus&lt;/keyword&gt;&lt;keyword&gt;midwifery&lt;/keyword&gt;&lt;keyword&gt;pregnancy&lt;/keyword&gt;&lt;keyword&gt;probiotics&lt;/keyword&gt;&lt;/keywords&gt;&lt;dates&gt;&lt;year&gt;2019&lt;/year&gt;&lt;pub-dates&gt;&lt;date&gt;Aug 13&lt;/date&gt;&lt;/pub-dates&gt;&lt;/dates&gt;&lt;isbn&gt;1476-4954 (Electronic)&amp;#xD;1476-4954 (Linking)&lt;/isbn&gt;&lt;accession-num&gt;31362572&lt;/accession-num&gt;&lt;urls&gt;&lt;related-urls&gt;&lt;url&gt;https://www.ncbi.nlm.nih.gov/pubmed/31362572&lt;/url&gt;&lt;/related-urls&gt;&lt;/urls&gt;&lt;electronic-resource-num&gt;10.1080/14767058.2019.1650907&lt;/electronic-resource-num&gt;&lt;/record&gt;&lt;/Cite&gt;&lt;/EndNote&gt;</w:instrText>
            </w:r>
            <w:r w:rsidR="00AB21E2">
              <w:fldChar w:fldCharType="separate"/>
            </w:r>
            <w:r w:rsidR="002747EA" w:rsidRPr="002747EA">
              <w:rPr>
                <w:noProof/>
                <w:vertAlign w:val="superscript"/>
              </w:rPr>
              <w:t>234</w:t>
            </w:r>
            <w:r w:rsidR="00AB21E2">
              <w:fldChar w:fldCharType="end"/>
            </w:r>
          </w:p>
          <w:p w14:paraId="0753E5A6" w14:textId="5AA37241" w:rsidR="00213BC6" w:rsidRDefault="00213BC6" w:rsidP="00E760BE">
            <w:r>
              <w:t>Canada</w:t>
            </w:r>
          </w:p>
        </w:tc>
        <w:tc>
          <w:tcPr>
            <w:tcW w:w="2656" w:type="dxa"/>
          </w:tcPr>
          <w:p w14:paraId="389DBBCA" w14:textId="0B8145B3" w:rsidR="0036555D" w:rsidRDefault="0036555D" w:rsidP="00E760BE">
            <w:r>
              <w:t>Healthy pregnant women</w:t>
            </w:r>
            <w:r w:rsidR="00F34FBB">
              <w:t>; n=113</w:t>
            </w:r>
          </w:p>
        </w:tc>
        <w:tc>
          <w:tcPr>
            <w:tcW w:w="4536" w:type="dxa"/>
          </w:tcPr>
          <w:p w14:paraId="163A0DDA" w14:textId="77777777" w:rsidR="0036555D" w:rsidRDefault="0036555D" w:rsidP="00E760BE">
            <w:r w:rsidRPr="00E37B35">
              <w:rPr>
                <w:i/>
              </w:rPr>
              <w:t>Lactobacillus rhamnosus</w:t>
            </w:r>
            <w:r w:rsidRPr="00D245C4">
              <w:t xml:space="preserve"> GR-1</w:t>
            </w:r>
            <w:r>
              <w:t>,</w:t>
            </w:r>
            <w:r w:rsidRPr="00D245C4">
              <w:t xml:space="preserve"> </w:t>
            </w:r>
            <w:r w:rsidRPr="00E37B35">
              <w:rPr>
                <w:i/>
              </w:rPr>
              <w:t xml:space="preserve">Lactobacillus reuteri </w:t>
            </w:r>
            <w:r w:rsidRPr="00D245C4">
              <w:t>RC-14</w:t>
            </w:r>
          </w:p>
        </w:tc>
        <w:tc>
          <w:tcPr>
            <w:tcW w:w="2551" w:type="dxa"/>
          </w:tcPr>
          <w:p w14:paraId="4C321306" w14:textId="77777777" w:rsidR="0036555D" w:rsidRDefault="0036555D" w:rsidP="00E760BE">
            <w:r>
              <w:t>From week 23-25</w:t>
            </w:r>
          </w:p>
        </w:tc>
        <w:tc>
          <w:tcPr>
            <w:tcW w:w="1843" w:type="dxa"/>
          </w:tcPr>
          <w:p w14:paraId="3810BB2D" w14:textId="77777777" w:rsidR="0036555D" w:rsidRDefault="0036555D" w:rsidP="00E760BE">
            <w:r>
              <w:t>12 weeks</w:t>
            </w:r>
          </w:p>
        </w:tc>
      </w:tr>
      <w:tr w:rsidR="0036555D" w14:paraId="5315AEBD" w14:textId="77777777" w:rsidTr="00E760BE">
        <w:trPr>
          <w:cantSplit/>
        </w:trPr>
        <w:tc>
          <w:tcPr>
            <w:tcW w:w="2306" w:type="dxa"/>
          </w:tcPr>
          <w:p w14:paraId="44A2DEDB" w14:textId="6F63D910" w:rsidR="0036555D" w:rsidRDefault="0036555D" w:rsidP="00E760BE">
            <w:r>
              <w:t>Wickens et al 2017</w:t>
            </w:r>
            <w:r w:rsidR="00AB21E2">
              <w:fldChar w:fldCharType="begin">
                <w:fldData xml:space="preserve">PEVuZE5vdGU+PENpdGU+PEF1dGhvcj5XaWNrZW5zPC9BdXRob3I+PFllYXI+MjAxNzwvWWVhcj48
UmVjTnVtPjE2NzU8L1JlY051bT48RGlzcGxheVRleHQ+PHN0eWxlIGZhY2U9InN1cGVyc2NyaXB0
IiBmb250PSJUcmVidWNoZXQgTVMiIHNpemU9IjkiPjIzNzwvc3R5bGU+PC9EaXNwbGF5VGV4dD48
cmVjb3JkPjxyZWMtbnVtYmVyPjE2NzU8L3JlYy1udW1iZXI+PGZvcmVpZ24ta2V5cz48a2V5IGFw
cD0iRU4iIGRiLWlkPSJleHZhc3JmeDJkdHJhb2VzYXN4cDJzenN4YTJkZjUwMjU5MngiIHRpbWVz
dGFtcD0iMTU4MTMxMjg4MCI+MTY3NTwva2V5PjxrZXkgYXBwPSJFTldlYiIgZGItaWQ9IiI+MDwv
a2V5PjwvZm9yZWlnbi1rZXlzPjxyZWYtdHlwZSBuYW1lPSJKb3VybmFsIEFydGljbGUiPjE3PC9y
ZWYtdHlwZT48Y29udHJpYnV0b3JzPjxhdXRob3JzPjxhdXRob3I+V2lja2VucywgSy4gTC48L2F1
dGhvcj48YXV0aG9yPkJhcnRob3csIEMuIEEuPC9hdXRob3I+PGF1dGhvcj5NdXJwaHksIFIuPC9h
dXRob3I+PGF1dGhvcj5BYmVscywgUC4gUi48L2F1dGhvcj48YXV0aG9yPk1hdWRlLCBSLiBNLjwv
YXV0aG9yPjxhdXRob3I+U3RvbmUsIFAuIFIuPC9hdXRob3I+PGF1dGhvcj5NaXRjaGVsbCwgRS4g
QS48L2F1dGhvcj48YXV0aG9yPlN0YW5sZXksIFQuIFYuPC9hdXRob3I+PGF1dGhvcj5QdXJkaWUs
IEcuIEwuPC9hdXRob3I+PGF1dGhvcj5LYW5nLCBKLiBNLjwvYXV0aG9yPjxhdXRob3I+SG9vZCwg
Ri4gRS48L2F1dGhvcj48YXV0aG9yPlJvd2RlbiwgSi4gTC48L2F1dGhvcj48YXV0aG9yPkJhcm5l
cywgUC4gSy48L2F1dGhvcj48YXV0aG9yPkZpdHpoYXJyaXMsIFAuIEYuPC9hdXRob3I+PGF1dGhv
cj5DcmFuZSwgSi48L2F1dGhvcj48L2F1dGhvcnM+PC9jb250cmlidXRvcnM+PGF1dGgtYWRkcmVz
cz4xVW5pdmVyc2l0eSBvZiBPdGFnbyxXZWxsaW5ndG9uIDYwMjEsTmV3IFplYWxhbmQuJiN4RDsy
VW5pdmVyc2l0eSBvZiBBdWNrbGFuZCxBdWNrbGFuZCAxMTQyLE5ldyBaZWFsYW5kLiYjeEQ7NFZp
Y3RvcmlhIFVuaXZlcnNpdHksV2VsbGluZ3RvbiA2MDIxLE5ldyBaZWFsYW5kLiYjeEQ7NUF1Y2ts
YW5kIEhvc3BpdGFsLEF1Y2tsYW5kIDExNDIsTmV3IFplYWxhbmQuPC9hdXRoLWFkZHJlc3M+PHRp
dGxlcz48dGl0bGU+RWFybHkgcHJlZ25hbmN5IHByb2Jpb3RpYyBzdXBwbGVtZW50YXRpb24gd2l0
aCBMYWN0b2JhY2lsbHVzIHJoYW1ub3N1cyBITjAwMSBtYXkgcmVkdWNlIHRoZSBwcmV2YWxlbmNl
IG9mIGdlc3RhdGlvbmFsIGRpYWJldGVzIG1lbGxpdHVzOiBhIHJhbmRvbWlzZWQgY29udHJvbGxl
ZCB0cmlhbDwvdGl0bGU+PHNlY29uZGFyeS10aXRsZT5CciBKIE51dHI8L3NlY29uZGFyeS10aXRs
ZT48L3RpdGxlcz48cGVyaW9kaWNhbD48ZnVsbC10aXRsZT5CciBKIE51dHI8L2Z1bGwtdGl0bGU+
PC9wZXJpb2RpY2FsPjxwYWdlcz44MDQtODEzPC9wYWdlcz48dm9sdW1lPjExNzwvdm9sdW1lPjxu
dW1iZXI+NjwvbnVtYmVyPjxlZGl0aW9uPjIwMTcvMDQvMDQ8L2VkaXRpb24+PGtleXdvcmRzPjxr
ZXl3b3JkPkFkdWx0PC9rZXl3b3JkPjxrZXl3b3JkPkJsb29kIEdsdWNvc2UvKm1ldGFib2xpc208
L2tleXdvcmQ+PGtleXdvcmQ+RGlhYmV0ZXMsIEdlc3RhdGlvbmFsL2Jsb29kLypwcmV2ZW50aW9u
ICZhbXA7IGNvbnRyb2w8L2tleXdvcmQ+PGtleXdvcmQ+RG91YmxlLUJsaW5kIE1ldGhvZDwva2V5
d29yZD48a2V5d29yZD5GZW1hbGU8L2tleXdvcmQ+PGtleXdvcmQ+SHVtYW5zPC9rZXl3b3JkPjxr
ZXl3b3JkPipMYWN0b2JhY2lsbHVzIHJoYW1ub3N1czwva2V5d29yZD48a2V5d29yZD5OZXcgWmVh
bGFuZC9lcGlkZW1pb2xvZ3k8L2tleXdvcmQ+PGtleXdvcmQ+UHJlZ25hbmN5PC9rZXl3b3JkPjxr
ZXl3b3JkPlByZXZhbGVuY2U8L2tleXdvcmQ+PGtleXdvcmQ+UHJvYmlvdGljcy8qdGhlcmFwZXV0
aWMgdXNlPC9rZXl3b3JkPjxrZXl3b3JkPkxhY3RvYmFjaWxsdXMgcmhhbW5vc3VzIEhOMDAxPC9r
ZXl3b3JkPjxrZXl3b3JkPkZvbnRlcnJhIEZvbnRlcnJhIENvLW9wZXJhdGl2ZSBHcm91cCBMdGQ8
L2tleXdvcmQ+PGtleXdvcmQ+R0RNIGdlc3RhdGlvbmFsIGRpYWJldGVzIG1lbGxpdHVzPC9rZXl3
b3JkPjxrZXl3b3JkPkdUVCBnbHVjb3NlIHRvbGVyYW5jZSB0ZXN0PC9rZXl3b3JkPjxrZXl3b3Jk
PkhOMDAxIExhY3RvYmFjaWxsdXMgcmhhbW5vc3VzIEhOMDAxPC9rZXl3b3JkPjxrZXl3b3JkPklB
RFBTRyBJbnRlcm5hdGlvbmFsIEFzc29jaWF0aW9uIG9mIERpYWJldGVzIGFuZCBQcmVnbmFuY3kg
U3R1ZHkgR3JvdXA8L2tleXdvcmQ+PGtleXdvcmQ+TlogTmV3IFplYWxhbmQ8L2tleXdvcmQ+PGtl
eXdvcmQ+UlIgcmVsYXRpdmUgcmF0ZTwva2V5d29yZD48a2V5d29yZD5HZXN0YXRpb25hbCBkaWFi
ZXRlcyBtZWxsaXR1czwva2V5d29yZD48a2V5d29yZD5Qcm9iaW90aWNzPC9rZXl3b3JkPjxrZXl3
b3JkPlJhbmRvbWlzZWQgY29udHJvbGxlZCB0cmlhbHM8L2tleXdvcmQ+PC9rZXl3b3Jkcz48ZGF0
ZXM+PHllYXI+MjAxNzwveWVhcj48cHViLWRhdGVzPjxkYXRlPk1hcjwvZGF0ZT48L3B1Yi1kYXRl
cz48L2RhdGVzPjxpc2JuPjE0NzUtMjY2MiAoRWxlY3Ryb25pYykmI3hEOzAwMDctMTE0NSAoTGlu
a2luZyk8L2lzYm4+PGFjY2Vzc2lvbi1udW0+MjgzNjc3NjU8L2FjY2Vzc2lvbi1udW0+PHVybHM+
PHJlbGF0ZWQtdXJscz48dXJsPmh0dHBzOi8vd3d3Lm5jYmkubmxtLm5paC5nb3YvcHVibWVkLzI4
MzY3NzY1PC91cmw+PC9yZWxhdGVkLXVybHM+PC91cmxzPjxjdXN0b20yPlBNQzU0MjYzMjI8L2N1
c3RvbTI+PGVsZWN0cm9uaWMtcmVzb3VyY2UtbnVtPjEwLjEwMTcvUzAwMDcxMTQ1MTcwMDAyODk8
L2VsZWN0cm9uaWMtcmVzb3VyY2UtbnVtPjwvcmVjb3JkPjwvQ2l0ZT48L0VuZE5vdGU+AG==
</w:fldData>
              </w:fldChar>
            </w:r>
            <w:r w:rsidR="002747EA">
              <w:instrText xml:space="preserve"> ADDIN EN.CITE </w:instrText>
            </w:r>
            <w:r w:rsidR="002747EA">
              <w:fldChar w:fldCharType="begin">
                <w:fldData xml:space="preserve">PEVuZE5vdGU+PENpdGU+PEF1dGhvcj5XaWNrZW5zPC9BdXRob3I+PFllYXI+MjAxNzwvWWVhcj48
UmVjTnVtPjE2NzU8L1JlY051bT48RGlzcGxheVRleHQ+PHN0eWxlIGZhY2U9InN1cGVyc2NyaXB0
IiBmb250PSJUcmVidWNoZXQgTVMiIHNpemU9IjkiPjIzNzwvc3R5bGU+PC9EaXNwbGF5VGV4dD48
cmVjb3JkPjxyZWMtbnVtYmVyPjE2NzU8L3JlYy1udW1iZXI+PGZvcmVpZ24ta2V5cz48a2V5IGFw
cD0iRU4iIGRiLWlkPSJleHZhc3JmeDJkdHJhb2VzYXN4cDJzenN4YTJkZjUwMjU5MngiIHRpbWVz
dGFtcD0iMTU4MTMxMjg4MCI+MTY3NTwva2V5PjxrZXkgYXBwPSJFTldlYiIgZGItaWQ9IiI+MDwv
a2V5PjwvZm9yZWlnbi1rZXlzPjxyZWYtdHlwZSBuYW1lPSJKb3VybmFsIEFydGljbGUiPjE3PC9y
ZWYtdHlwZT48Y29udHJpYnV0b3JzPjxhdXRob3JzPjxhdXRob3I+V2lja2VucywgSy4gTC48L2F1
dGhvcj48YXV0aG9yPkJhcnRob3csIEMuIEEuPC9hdXRob3I+PGF1dGhvcj5NdXJwaHksIFIuPC9h
dXRob3I+PGF1dGhvcj5BYmVscywgUC4gUi48L2F1dGhvcj48YXV0aG9yPk1hdWRlLCBSLiBNLjwv
YXV0aG9yPjxhdXRob3I+U3RvbmUsIFAuIFIuPC9hdXRob3I+PGF1dGhvcj5NaXRjaGVsbCwgRS4g
QS48L2F1dGhvcj48YXV0aG9yPlN0YW5sZXksIFQuIFYuPC9hdXRob3I+PGF1dGhvcj5QdXJkaWUs
IEcuIEwuPC9hdXRob3I+PGF1dGhvcj5LYW5nLCBKLiBNLjwvYXV0aG9yPjxhdXRob3I+SG9vZCwg
Ri4gRS48L2F1dGhvcj48YXV0aG9yPlJvd2RlbiwgSi4gTC48L2F1dGhvcj48YXV0aG9yPkJhcm5l
cywgUC4gSy48L2F1dGhvcj48YXV0aG9yPkZpdHpoYXJyaXMsIFAuIEYuPC9hdXRob3I+PGF1dGhv
cj5DcmFuZSwgSi48L2F1dGhvcj48L2F1dGhvcnM+PC9jb250cmlidXRvcnM+PGF1dGgtYWRkcmVz
cz4xVW5pdmVyc2l0eSBvZiBPdGFnbyxXZWxsaW5ndG9uIDYwMjEsTmV3IFplYWxhbmQuJiN4RDsy
VW5pdmVyc2l0eSBvZiBBdWNrbGFuZCxBdWNrbGFuZCAxMTQyLE5ldyBaZWFsYW5kLiYjeEQ7NFZp
Y3RvcmlhIFVuaXZlcnNpdHksV2VsbGluZ3RvbiA2MDIxLE5ldyBaZWFsYW5kLiYjeEQ7NUF1Y2ts
YW5kIEhvc3BpdGFsLEF1Y2tsYW5kIDExNDIsTmV3IFplYWxhbmQuPC9hdXRoLWFkZHJlc3M+PHRp
dGxlcz48dGl0bGU+RWFybHkgcHJlZ25hbmN5IHByb2Jpb3RpYyBzdXBwbGVtZW50YXRpb24gd2l0
aCBMYWN0b2JhY2lsbHVzIHJoYW1ub3N1cyBITjAwMSBtYXkgcmVkdWNlIHRoZSBwcmV2YWxlbmNl
IG9mIGdlc3RhdGlvbmFsIGRpYWJldGVzIG1lbGxpdHVzOiBhIHJhbmRvbWlzZWQgY29udHJvbGxl
ZCB0cmlhbDwvdGl0bGU+PHNlY29uZGFyeS10aXRsZT5CciBKIE51dHI8L3NlY29uZGFyeS10aXRs
ZT48L3RpdGxlcz48cGVyaW9kaWNhbD48ZnVsbC10aXRsZT5CciBKIE51dHI8L2Z1bGwtdGl0bGU+
PC9wZXJpb2RpY2FsPjxwYWdlcz44MDQtODEzPC9wYWdlcz48dm9sdW1lPjExNzwvdm9sdW1lPjxu
dW1iZXI+NjwvbnVtYmVyPjxlZGl0aW9uPjIwMTcvMDQvMDQ8L2VkaXRpb24+PGtleXdvcmRzPjxr
ZXl3b3JkPkFkdWx0PC9rZXl3b3JkPjxrZXl3b3JkPkJsb29kIEdsdWNvc2UvKm1ldGFib2xpc208
L2tleXdvcmQ+PGtleXdvcmQ+RGlhYmV0ZXMsIEdlc3RhdGlvbmFsL2Jsb29kLypwcmV2ZW50aW9u
ICZhbXA7IGNvbnRyb2w8L2tleXdvcmQ+PGtleXdvcmQ+RG91YmxlLUJsaW5kIE1ldGhvZDwva2V5
d29yZD48a2V5d29yZD5GZW1hbGU8L2tleXdvcmQ+PGtleXdvcmQ+SHVtYW5zPC9rZXl3b3JkPjxr
ZXl3b3JkPipMYWN0b2JhY2lsbHVzIHJoYW1ub3N1czwva2V5d29yZD48a2V5d29yZD5OZXcgWmVh
bGFuZC9lcGlkZW1pb2xvZ3k8L2tleXdvcmQ+PGtleXdvcmQ+UHJlZ25hbmN5PC9rZXl3b3JkPjxr
ZXl3b3JkPlByZXZhbGVuY2U8L2tleXdvcmQ+PGtleXdvcmQ+UHJvYmlvdGljcy8qdGhlcmFwZXV0
aWMgdXNlPC9rZXl3b3JkPjxrZXl3b3JkPkxhY3RvYmFjaWxsdXMgcmhhbW5vc3VzIEhOMDAxPC9r
ZXl3b3JkPjxrZXl3b3JkPkZvbnRlcnJhIEZvbnRlcnJhIENvLW9wZXJhdGl2ZSBHcm91cCBMdGQ8
L2tleXdvcmQ+PGtleXdvcmQ+R0RNIGdlc3RhdGlvbmFsIGRpYWJldGVzIG1lbGxpdHVzPC9rZXl3
b3JkPjxrZXl3b3JkPkdUVCBnbHVjb3NlIHRvbGVyYW5jZSB0ZXN0PC9rZXl3b3JkPjxrZXl3b3Jk
PkhOMDAxIExhY3RvYmFjaWxsdXMgcmhhbW5vc3VzIEhOMDAxPC9rZXl3b3JkPjxrZXl3b3JkPklB
RFBTRyBJbnRlcm5hdGlvbmFsIEFzc29jaWF0aW9uIG9mIERpYWJldGVzIGFuZCBQcmVnbmFuY3kg
U3R1ZHkgR3JvdXA8L2tleXdvcmQ+PGtleXdvcmQ+TlogTmV3IFplYWxhbmQ8L2tleXdvcmQ+PGtl
eXdvcmQ+UlIgcmVsYXRpdmUgcmF0ZTwva2V5d29yZD48a2V5d29yZD5HZXN0YXRpb25hbCBkaWFi
ZXRlcyBtZWxsaXR1czwva2V5d29yZD48a2V5d29yZD5Qcm9iaW90aWNzPC9rZXl3b3JkPjxrZXl3
b3JkPlJhbmRvbWlzZWQgY29udHJvbGxlZCB0cmlhbHM8L2tleXdvcmQ+PC9rZXl3b3Jkcz48ZGF0
ZXM+PHllYXI+MjAxNzwveWVhcj48cHViLWRhdGVzPjxkYXRlPk1hcjwvZGF0ZT48L3B1Yi1kYXRl
cz48L2RhdGVzPjxpc2JuPjE0NzUtMjY2MiAoRWxlY3Ryb25pYykmI3hEOzAwMDctMTE0NSAoTGlu
a2luZyk8L2lzYm4+PGFjY2Vzc2lvbi1udW0+MjgzNjc3NjU8L2FjY2Vzc2lvbi1udW0+PHVybHM+
PHJlbGF0ZWQtdXJscz48dXJsPmh0dHBzOi8vd3d3Lm5jYmkubmxtLm5paC5nb3YvcHVibWVkLzI4
MzY3NzY1PC91cmw+PC9yZWxhdGVkLXVybHM+PC91cmxzPjxjdXN0b20yPlBNQzU0MjYzMjI8L2N1
c3RvbTI+PGVsZWN0cm9uaWMtcmVzb3VyY2UtbnVtPjEwLjEwMTcvUzAwMDcxMTQ1MTcwMDAyODk8
L2VsZWN0cm9uaWMtcmVzb3VyY2UtbnVtPjwvcmVjb3JkPjwvQ2l0ZT48L0VuZE5vdGU+AG==
</w:fldData>
              </w:fldChar>
            </w:r>
            <w:r w:rsidR="002747EA">
              <w:instrText xml:space="preserve"> ADDIN EN.CITE.DATA </w:instrText>
            </w:r>
            <w:r w:rsidR="002747EA">
              <w:fldChar w:fldCharType="end"/>
            </w:r>
            <w:r w:rsidR="00AB21E2">
              <w:fldChar w:fldCharType="separate"/>
            </w:r>
            <w:r w:rsidR="002747EA" w:rsidRPr="002747EA">
              <w:rPr>
                <w:noProof/>
                <w:vertAlign w:val="superscript"/>
              </w:rPr>
              <w:t>237</w:t>
            </w:r>
            <w:r w:rsidR="00AB21E2">
              <w:fldChar w:fldCharType="end"/>
            </w:r>
          </w:p>
          <w:p w14:paraId="3BEEA563" w14:textId="374C4DBA" w:rsidR="00213BC6" w:rsidRDefault="00213BC6" w:rsidP="00E760BE">
            <w:r>
              <w:t>New Zealand</w:t>
            </w:r>
          </w:p>
        </w:tc>
        <w:tc>
          <w:tcPr>
            <w:tcW w:w="2656" w:type="dxa"/>
          </w:tcPr>
          <w:p w14:paraId="4D4BAD64" w14:textId="1B107813" w:rsidR="0036555D" w:rsidRDefault="0036555D" w:rsidP="00E760BE">
            <w:r>
              <w:t>Women with a fetus at risk of allergies</w:t>
            </w:r>
            <w:r w:rsidR="00A476A9">
              <w:t>; n=</w:t>
            </w:r>
            <w:r w:rsidR="00543843">
              <w:t>408</w:t>
            </w:r>
          </w:p>
        </w:tc>
        <w:tc>
          <w:tcPr>
            <w:tcW w:w="4536" w:type="dxa"/>
          </w:tcPr>
          <w:p w14:paraId="6B47BAC7" w14:textId="77777777" w:rsidR="0036555D" w:rsidRDefault="0036555D" w:rsidP="00E760BE">
            <w:r w:rsidRPr="00F01016">
              <w:rPr>
                <w:i/>
              </w:rPr>
              <w:t>Lactobacillus rhamnosus</w:t>
            </w:r>
            <w:r>
              <w:t xml:space="preserve"> HN001</w:t>
            </w:r>
          </w:p>
        </w:tc>
        <w:tc>
          <w:tcPr>
            <w:tcW w:w="2551" w:type="dxa"/>
          </w:tcPr>
          <w:p w14:paraId="39D56240" w14:textId="77777777" w:rsidR="0036555D" w:rsidRDefault="0036555D" w:rsidP="00E760BE">
            <w:r>
              <w:t>From week 14-16 until birth</w:t>
            </w:r>
          </w:p>
        </w:tc>
        <w:tc>
          <w:tcPr>
            <w:tcW w:w="1843" w:type="dxa"/>
          </w:tcPr>
          <w:p w14:paraId="4A26F1C3" w14:textId="77777777" w:rsidR="0036555D" w:rsidRDefault="0036555D" w:rsidP="00E760BE">
            <w:r>
              <w:t>24-26 weeks</w:t>
            </w:r>
          </w:p>
        </w:tc>
      </w:tr>
    </w:tbl>
    <w:p w14:paraId="7A816109" w14:textId="77777777" w:rsidR="00677230" w:rsidRDefault="00677230" w:rsidP="005D46E0">
      <w:pPr>
        <w:pStyle w:val="Heading1"/>
        <w:sectPr w:rsidR="00677230" w:rsidSect="0073200D">
          <w:pgSz w:w="16820" w:h="11900" w:orient="landscape"/>
          <w:pgMar w:top="1418" w:right="1134" w:bottom="1418" w:left="1134" w:header="709" w:footer="709" w:gutter="0"/>
          <w:cols w:space="708"/>
          <w:docGrid w:linePitch="360"/>
        </w:sectPr>
      </w:pPr>
    </w:p>
    <w:p w14:paraId="5298A6C8" w14:textId="479000F4" w:rsidR="005D46E0" w:rsidRPr="005D46E0" w:rsidRDefault="003F003E" w:rsidP="005D46E0">
      <w:pPr>
        <w:pStyle w:val="Heading1"/>
      </w:pPr>
      <w:bookmarkStart w:id="113" w:name="_Toc40956508"/>
      <w:r>
        <w:t>Physical activity</w:t>
      </w:r>
      <w:r w:rsidR="008364A7">
        <w:t xml:space="preserve"> advice</w:t>
      </w:r>
      <w:bookmarkEnd w:id="113"/>
    </w:p>
    <w:p w14:paraId="45433ACC" w14:textId="32214FC3" w:rsidR="002D04CE" w:rsidRDefault="00854907" w:rsidP="002D04CE">
      <w:pPr>
        <w:pStyle w:val="Heading2"/>
      </w:pPr>
      <w:bookmarkStart w:id="114" w:name="_Toc40956509"/>
      <w:r w:rsidRPr="007B2353">
        <w:rPr>
          <w:b/>
        </w:rPr>
        <w:t>Q</w:t>
      </w:r>
      <w:r w:rsidR="00F43F44">
        <w:rPr>
          <w:b/>
        </w:rPr>
        <w:t>5</w:t>
      </w:r>
      <w:r>
        <w:t xml:space="preserve">: </w:t>
      </w:r>
      <w:r w:rsidR="00F43F44" w:rsidRPr="008E3E3B">
        <w:t xml:space="preserve">What </w:t>
      </w:r>
      <w:r w:rsidR="00F43F44">
        <w:t>are the harms and</w:t>
      </w:r>
      <w:r w:rsidR="00F43F44" w:rsidRPr="008E3E3B">
        <w:t xml:space="preserve"> benefit</w:t>
      </w:r>
      <w:r w:rsidR="00F43F44">
        <w:t>s of physical activity</w:t>
      </w:r>
      <w:r w:rsidR="00F43F44" w:rsidRPr="008E3E3B">
        <w:t xml:space="preserve"> during pregnancy?</w:t>
      </w:r>
      <w:bookmarkEnd w:id="114"/>
      <w:r w:rsidR="00096F7D">
        <w:t xml:space="preserve"> </w:t>
      </w:r>
    </w:p>
    <w:p w14:paraId="25177CA6" w14:textId="77777777" w:rsidR="0003518F" w:rsidRDefault="0003518F" w:rsidP="00E226F8">
      <w:pPr>
        <w:pStyle w:val="Heading3"/>
      </w:pPr>
      <w:bookmarkStart w:id="115" w:name="_Toc40956510"/>
      <w:r>
        <w:t>Background</w:t>
      </w:r>
      <w:bookmarkEnd w:id="115"/>
    </w:p>
    <w:p w14:paraId="641BD3B8" w14:textId="77777777" w:rsidR="00C37164" w:rsidRDefault="006F073B" w:rsidP="00B669FF">
      <w:r>
        <w:t xml:space="preserve">The Guidelines currently recommend that women be advised that </w:t>
      </w:r>
      <w:r w:rsidRPr="00CC52F7">
        <w:t>low- to moderate-intensity physical activity during pregnancy is associated with a range of health benefits and is not associated with adverse outcomes.</w:t>
      </w:r>
      <w:r>
        <w:t xml:space="preserve"> </w:t>
      </w:r>
    </w:p>
    <w:p w14:paraId="228BB56B" w14:textId="4E70B351" w:rsidR="00B669FF" w:rsidRDefault="006F073B" w:rsidP="00B669FF">
      <w:r>
        <w:t>However</w:t>
      </w:r>
      <w:r w:rsidR="00B669FF" w:rsidRPr="00B669FF">
        <w:t xml:space="preserve">, </w:t>
      </w:r>
      <w:r>
        <w:t xml:space="preserve">an Australian cross-sectional study found that fewer women </w:t>
      </w:r>
      <w:r w:rsidRPr="00B669FF">
        <w:t>participated in exercise during pregnancy (61%) compared to before pregnancy (87%)</w:t>
      </w:r>
      <w:r w:rsidR="005D2651">
        <w:t xml:space="preserve"> and that they </w:t>
      </w:r>
      <w:r w:rsidRPr="00B669FF">
        <w:t>exercised at a significantly lower frequency (p&lt;0.05), intensity (</w:t>
      </w:r>
      <w:r w:rsidR="001763D6">
        <w:t>p&lt;0.05) and for a</w:t>
      </w:r>
      <w:r w:rsidRPr="00B669FF">
        <w:t xml:space="preserve"> shorter time/duration (</w:t>
      </w:r>
      <w:r w:rsidR="001763D6">
        <w:t>p&lt;0.05).</w:t>
      </w:r>
      <w:r w:rsidR="00283324">
        <w:fldChar w:fldCharType="begin">
          <w:fldData xml:space="preserve">PEVuZE5vdGU+PENpdGU+PEF1dGhvcj5IYXltYW48L0F1dGhvcj48WWVhcj4yMDE2PC9ZZWFyPjxS
ZWNOdW0+Nzk5PC9SZWNOdW0+PERpc3BsYXlUZXh0PjxzdHlsZSBmYWNlPSJzdXBlcnNjcmlwdCIg
Zm9udD0iVHJlYnVjaGV0IE1TIiBzaXplPSI5Ij4yNjM8L3N0eWxlPjwvRGlzcGxheVRleHQ+PHJl
Y29yZD48cmVjLW51bWJlcj43OTk8L3JlYy1udW1iZXI+PGZvcmVpZ24ta2V5cz48a2V5IGFwcD0i
RU4iIGRiLWlkPSJleHZhc3JmeDJkdHJhb2VzYXN4cDJzenN4YTJkZjUwMjU5MngiIHRpbWVzdGFt
cD0iMTU0MTU0MDQzOCI+Nzk5PC9rZXk+PGtleSBhcHA9IkVOV2ViIiBkYi1pZD0iIj4wPC9rZXk+
PC9mb3JlaWduLWtleXM+PHJlZi10eXBlIG5hbWU9IkpvdXJuYWwgQXJ0aWNsZSI+MTc8L3JlZi10
eXBlPjxjb250cmlidXRvcnM+PGF1dGhvcnM+PGF1dGhvcj5IYXltYW4sIE0uPC9hdXRob3I+PGF1
dGhvcj5TaG9ydCwgQy48L2F1dGhvcj48YXV0aG9yPlJlYWJ1cm4sIFAuPC9hdXRob3I+PC9hdXRo
b3JzPjwvY29udHJpYnV0b3JzPjxhdXRoLWFkZHJlc3M+U2Nob29sIG9mIE1lZGljYWwgYW5kIEFw
cGxpZWQgU2NpZW5jZXMsIENlbnRyYWwgUXVlZW5zbGFuZCBVbml2ZXJzaXR5LCBBdXN0cmFsaWEu
IEVsZWN0cm9uaWMgYWRkcmVzczogbS5qLmhheW1hbkBjcXUuZWR1LmF1LiYjeEQ7RnJlZW1hc29u
cyBGb3VuZGF0aW9uIENlbnRyZSBmb3IgTWVuJmFwb3M7cyBIZWFsdGgsIEZhY3VsdHkgb2YgSGVh
bHRoIFNjaWVuY2VzLCBUaGUgVW5pdmVyc2l0eSBvZiBBZGVsYWlkZSwgQXVzdHJhbGlhLiYjeEQ7
U2Nob29sIG9mIE1lZGljYWwgYW5kIEFwcGxpZWQgU2NpZW5jZXMsIENlbnRyYWwgUXVlZW5zbGFu
ZCBVbml2ZXJzaXR5LCBBdXN0cmFsaWEuPC9hdXRoLWFkZHJlc3M+PHRpdGxlcz48dGl0bGU+QW4g
aW52ZXN0aWdhdGlvbiBpbnRvIHRoZSBleGVyY2lzZSBiZWhhdmlvdXJzIG9mIHJlZ2lvbmFsbHkg
YmFzZWQgQXVzdHJhbGlhbiBwcmVnbmFudCB3b21lbjwvdGl0bGU+PHNlY29uZGFyeS10aXRsZT5K
IFNjaSBNZWQgU3BvcnQ8L3NlY29uZGFyeS10aXRsZT48L3RpdGxlcz48cGVyaW9kaWNhbD48ZnVs
bC10aXRsZT5KIFNjaSBNZWQgU3BvcnQ8L2Z1bGwtdGl0bGU+PC9wZXJpb2RpY2FsPjxwYWdlcz42
NjQtODwvcGFnZXM+PHZvbHVtZT4xOTwvdm9sdW1lPjxudW1iZXI+ODwvbnVtYmVyPjxlZGl0aW9u
PjIwMTUvMTAvMjE8L2VkaXRpb24+PGtleXdvcmRzPjxrZXl3b3JkPkFkb2xlc2NlbnQ8L2tleXdv
cmQ+PGtleXdvcmQ+QWR1bHQ8L2tleXdvcmQ+PGtleXdvcmQ+QXVzdHJhbGlhPC9rZXl3b3JkPjxr
ZXl3b3JkPkNoaS1TcXVhcmUgRGlzdHJpYnV0aW9uPC9rZXl3b3JkPjxrZXl3b3JkPipFeGVyY2lz
ZTwva2V5d29yZD48a2V5d29yZD5GZW1hbGU8L2tleXdvcmQ+PGtleXdvcmQ+KkhlYWx0aCBCZWhh
dmlvcjwva2V5d29yZD48a2V5d29yZD5IdW1hbnM8L2tleXdvcmQ+PGtleXdvcmQ+UHJhY3RpY2Ug
R3VpZGVsaW5lcyBhcyBUb3BpYzwva2V5d29yZD48a2V5d29yZD5QcmVnbmFuY3k8L2tleXdvcmQ+
PGtleXdvcmQ+KlByZWduYW50IFdvbWVuPC9rZXl3b3JkPjxrZXl3b3JkPlJ1cmFsIFBvcHVsYXRp
b24vKnN0YXRpc3RpY3MgJmFtcDsgbnVtZXJpY2FsIGRhdGE8L2tleXdvcmQ+PGtleXdvcmQ+U29j
aW9lY29ub21pYyBGYWN0b3JzPC9rZXl3b3JkPjxrZXl3b3JkPlN1cnZleXMgYW5kIFF1ZXN0aW9u
bmFpcmVzPC9rZXl3b3JkPjxrZXl3b3JkPlRpbWUgRmFjdG9yczwva2V5d29yZD48a2V5d29yZD5Z
b3VuZyBBZHVsdDwva2V5d29yZD48a2V5d29yZD5HdWlkZWxpbmUgYWRoZXJlbmNlPC9rZXl3b3Jk
PjxrZXl3b3JkPlBoeXNpY2FsIGZpdG5lc3M8L2tleXdvcmQ+PGtleXdvcmQ+UHJlZ25hbnQgd29t
ZW48L2tleXdvcmQ+PGtleXdvcmQ+UHJlbmF0YWwgY2FyZTwva2V5d29yZD48a2V5d29yZD5Xb21l
biZhcG9zO3MgaGVhbHRoPC9rZXl3b3JkPjwva2V5d29yZHM+PGRhdGVzPjx5ZWFyPjIwMTY8L3ll
YXI+PHB1Yi1kYXRlcz48ZGF0ZT5BdWc8L2RhdGU+PC9wdWItZGF0ZXM+PC9kYXRlcz48aXNibj4x
ODc4LTE4NjEgKEVsZWN0cm9uaWMpJiN4RDsxODc4LTE4NjEgKExpbmtpbmcpPC9pc2JuPjxhY2Nl
c3Npb24tbnVtPjI2NDgxMjYxPC9hY2Nlc3Npb24tbnVtPjx1cmxzPjxyZWxhdGVkLXVybHM+PHVy
bD5odHRwczovL3d3dy5uY2JpLm5sbS5uaWguZ292L3B1Ym1lZC8yNjQ4MTI2MTwvdXJsPjwvcmVs
YXRlZC11cmxzPjwvdXJscz48ZWxlY3Ryb25pYy1yZXNvdXJjZS1udW0+MTAuMTAxNi9qLmpzYW1z
LjIwMTUuMDkuMDA0PC9lbGVjdHJvbmljLXJlc291cmNlLW51bT48L3JlY29yZD48L0NpdGU+PC9F
bmROb3RlPn==
</w:fldData>
        </w:fldChar>
      </w:r>
      <w:r w:rsidR="002747EA">
        <w:instrText xml:space="preserve"> ADDIN EN.CITE </w:instrText>
      </w:r>
      <w:r w:rsidR="002747EA">
        <w:fldChar w:fldCharType="begin">
          <w:fldData xml:space="preserve">PEVuZE5vdGU+PENpdGU+PEF1dGhvcj5IYXltYW48L0F1dGhvcj48WWVhcj4yMDE2PC9ZZWFyPjxS
ZWNOdW0+Nzk5PC9SZWNOdW0+PERpc3BsYXlUZXh0PjxzdHlsZSBmYWNlPSJzdXBlcnNjcmlwdCIg
Zm9udD0iVHJlYnVjaGV0IE1TIiBzaXplPSI5Ij4yNjM8L3N0eWxlPjwvRGlzcGxheVRleHQ+PHJl
Y29yZD48cmVjLW51bWJlcj43OTk8L3JlYy1udW1iZXI+PGZvcmVpZ24ta2V5cz48a2V5IGFwcD0i
RU4iIGRiLWlkPSJleHZhc3JmeDJkdHJhb2VzYXN4cDJzenN4YTJkZjUwMjU5MngiIHRpbWVzdGFt
cD0iMTU0MTU0MDQzOCI+Nzk5PC9rZXk+PGtleSBhcHA9IkVOV2ViIiBkYi1pZD0iIj4wPC9rZXk+
PC9mb3JlaWduLWtleXM+PHJlZi10eXBlIG5hbWU9IkpvdXJuYWwgQXJ0aWNsZSI+MTc8L3JlZi10
eXBlPjxjb250cmlidXRvcnM+PGF1dGhvcnM+PGF1dGhvcj5IYXltYW4sIE0uPC9hdXRob3I+PGF1
dGhvcj5TaG9ydCwgQy48L2F1dGhvcj48YXV0aG9yPlJlYWJ1cm4sIFAuPC9hdXRob3I+PC9hdXRo
b3JzPjwvY29udHJpYnV0b3JzPjxhdXRoLWFkZHJlc3M+U2Nob29sIG9mIE1lZGljYWwgYW5kIEFw
cGxpZWQgU2NpZW5jZXMsIENlbnRyYWwgUXVlZW5zbGFuZCBVbml2ZXJzaXR5LCBBdXN0cmFsaWEu
IEVsZWN0cm9uaWMgYWRkcmVzczogbS5qLmhheW1hbkBjcXUuZWR1LmF1LiYjeEQ7RnJlZW1hc29u
cyBGb3VuZGF0aW9uIENlbnRyZSBmb3IgTWVuJmFwb3M7cyBIZWFsdGgsIEZhY3VsdHkgb2YgSGVh
bHRoIFNjaWVuY2VzLCBUaGUgVW5pdmVyc2l0eSBvZiBBZGVsYWlkZSwgQXVzdHJhbGlhLiYjeEQ7
U2Nob29sIG9mIE1lZGljYWwgYW5kIEFwcGxpZWQgU2NpZW5jZXMsIENlbnRyYWwgUXVlZW5zbGFu
ZCBVbml2ZXJzaXR5LCBBdXN0cmFsaWEuPC9hdXRoLWFkZHJlc3M+PHRpdGxlcz48dGl0bGU+QW4g
aW52ZXN0aWdhdGlvbiBpbnRvIHRoZSBleGVyY2lzZSBiZWhhdmlvdXJzIG9mIHJlZ2lvbmFsbHkg
YmFzZWQgQXVzdHJhbGlhbiBwcmVnbmFudCB3b21lbjwvdGl0bGU+PHNlY29uZGFyeS10aXRsZT5K
IFNjaSBNZWQgU3BvcnQ8L3NlY29uZGFyeS10aXRsZT48L3RpdGxlcz48cGVyaW9kaWNhbD48ZnVs
bC10aXRsZT5KIFNjaSBNZWQgU3BvcnQ8L2Z1bGwtdGl0bGU+PC9wZXJpb2RpY2FsPjxwYWdlcz42
NjQtODwvcGFnZXM+PHZvbHVtZT4xOTwvdm9sdW1lPjxudW1iZXI+ODwvbnVtYmVyPjxlZGl0aW9u
PjIwMTUvMTAvMjE8L2VkaXRpb24+PGtleXdvcmRzPjxrZXl3b3JkPkFkb2xlc2NlbnQ8L2tleXdv
cmQ+PGtleXdvcmQ+QWR1bHQ8L2tleXdvcmQ+PGtleXdvcmQ+QXVzdHJhbGlhPC9rZXl3b3JkPjxr
ZXl3b3JkPkNoaS1TcXVhcmUgRGlzdHJpYnV0aW9uPC9rZXl3b3JkPjxrZXl3b3JkPipFeGVyY2lz
ZTwva2V5d29yZD48a2V5d29yZD5GZW1hbGU8L2tleXdvcmQ+PGtleXdvcmQ+KkhlYWx0aCBCZWhh
dmlvcjwva2V5d29yZD48a2V5d29yZD5IdW1hbnM8L2tleXdvcmQ+PGtleXdvcmQ+UHJhY3RpY2Ug
R3VpZGVsaW5lcyBhcyBUb3BpYzwva2V5d29yZD48a2V5d29yZD5QcmVnbmFuY3k8L2tleXdvcmQ+
PGtleXdvcmQ+KlByZWduYW50IFdvbWVuPC9rZXl3b3JkPjxrZXl3b3JkPlJ1cmFsIFBvcHVsYXRp
b24vKnN0YXRpc3RpY3MgJmFtcDsgbnVtZXJpY2FsIGRhdGE8L2tleXdvcmQ+PGtleXdvcmQ+U29j
aW9lY29ub21pYyBGYWN0b3JzPC9rZXl3b3JkPjxrZXl3b3JkPlN1cnZleXMgYW5kIFF1ZXN0aW9u
bmFpcmVzPC9rZXl3b3JkPjxrZXl3b3JkPlRpbWUgRmFjdG9yczwva2V5d29yZD48a2V5d29yZD5Z
b3VuZyBBZHVsdDwva2V5d29yZD48a2V5d29yZD5HdWlkZWxpbmUgYWRoZXJlbmNlPC9rZXl3b3Jk
PjxrZXl3b3JkPlBoeXNpY2FsIGZpdG5lc3M8L2tleXdvcmQ+PGtleXdvcmQ+UHJlZ25hbnQgd29t
ZW48L2tleXdvcmQ+PGtleXdvcmQ+UHJlbmF0YWwgY2FyZTwva2V5d29yZD48a2V5d29yZD5Xb21l
biZhcG9zO3MgaGVhbHRoPC9rZXl3b3JkPjwva2V5d29yZHM+PGRhdGVzPjx5ZWFyPjIwMTY8L3ll
YXI+PHB1Yi1kYXRlcz48ZGF0ZT5BdWc8L2RhdGU+PC9wdWItZGF0ZXM+PC9kYXRlcz48aXNibj4x
ODc4LTE4NjEgKEVsZWN0cm9uaWMpJiN4RDsxODc4LTE4NjEgKExpbmtpbmcpPC9pc2JuPjxhY2Nl
c3Npb24tbnVtPjI2NDgxMjYxPC9hY2Nlc3Npb24tbnVtPjx1cmxzPjxyZWxhdGVkLXVybHM+PHVy
bD5odHRwczovL3d3dy5uY2JpLm5sbS5uaWguZ292L3B1Ym1lZC8yNjQ4MTI2MTwvdXJsPjwvcmVs
YXRlZC11cmxzPjwvdXJscz48ZWxlY3Ryb25pYy1yZXNvdXJjZS1udW0+MTAuMTAxNi9qLmpzYW1z
LjIwMTUuMDkuMDA0PC9lbGVjdHJvbmljLXJlc291cmNlLW51bT48L3JlY29yZD48L0NpdGU+PC9F
bmROb3RlPn==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263</w:t>
      </w:r>
      <w:r w:rsidR="00283324">
        <w:fldChar w:fldCharType="end"/>
      </w:r>
    </w:p>
    <w:p w14:paraId="46F342D8" w14:textId="33EE6133" w:rsidR="00AF059F" w:rsidRDefault="00D966D7" w:rsidP="00BD61CC">
      <w:r>
        <w:t>In a survey of r</w:t>
      </w:r>
      <w:r w:rsidRPr="00D966D7">
        <w:t xml:space="preserve">egionally-based Australian women </w:t>
      </w:r>
      <w:r>
        <w:t>(</w:t>
      </w:r>
      <w:r w:rsidRPr="00BD61CC">
        <w:rPr>
          <w:sz w:val="16"/>
          <w:szCs w:val="16"/>
        </w:rPr>
        <w:t>n=1</w:t>
      </w:r>
      <w:r w:rsidR="00AF059F" w:rsidRPr="00AF059F">
        <w:rPr>
          <w:sz w:val="16"/>
          <w:szCs w:val="16"/>
        </w:rPr>
        <w:t>42</w:t>
      </w:r>
      <w:r>
        <w:t>),</w:t>
      </w:r>
      <w:r w:rsidR="00D07346">
        <w:fldChar w:fldCharType="begin"/>
      </w:r>
      <w:r w:rsidR="002747EA">
        <w:instrText xml:space="preserve"> ADDIN EN.CITE &lt;EndNote&gt;&lt;Cite&gt;&lt;Author&gt;Hayman&lt;/Author&gt;&lt;Year&gt;2019&lt;/Year&gt;&lt;RecNum&gt;1934&lt;/RecNum&gt;&lt;DisplayText&gt;&lt;style face="superscript" font="Trebuchet MS" size="9"&gt;264&lt;/style&gt;&lt;/DisplayText&gt;&lt;record&gt;&lt;rec-number&gt;1934&lt;/rec-number&gt;&lt;foreign-keys&gt;&lt;key app="EN" db-id="exvasrfx2dtraoesasxp2szsxa2df502592x" timestamp="1588657693"&gt;1934&lt;/key&gt;&lt;key app="ENWeb" db-id=""&gt;0&lt;/key&gt;&lt;/foreign-keys&gt;&lt;ref-type name="Journal Article"&gt;17&lt;/ref-type&gt;&lt;contributors&gt;&lt;authors&gt;&lt;author&gt;Hayman, M.&lt;/author&gt;&lt;author&gt;Reaburn, P.&lt;/author&gt;&lt;author&gt;Alley, S.&lt;/author&gt;&lt;author&gt;Cannon, S.&lt;/author&gt;&lt;author&gt;Short, C.&lt;/author&gt;&lt;/authors&gt;&lt;/contributors&gt;&lt;auth-address&gt;Central Queensland University, School of Health, Medical and Applied Sciences, Australia. Electronic address: m.j.hayman@cqu.edu.au.&amp;#xD;Bond University, Faculty of Health Sciences and Medicine, Exercise and Sport Science, Australia.&amp;#xD;Central Queensland University, School of Health, Medical and Applied Sciences, Australia.&amp;#xD;The University of Melbourne, Melbourne School of Psychological Sciences, Australia.&lt;/auth-address&gt;&lt;titles&gt;&lt;title&gt;What exercise advice are women receiving from their healthcare practitioners during pregnancy?&lt;/title&gt;&lt;secondary-title&gt;Women Birth&lt;/secondary-title&gt;&lt;/titles&gt;&lt;periodical&gt;&lt;full-title&gt;Women Birth&lt;/full-title&gt;&lt;/periodical&gt;&lt;edition&gt;2019/08/31&lt;/edition&gt;&lt;keywords&gt;&lt;keyword&gt;Advice&lt;/keyword&gt;&lt;keyword&gt;Exercise&lt;/keyword&gt;&lt;keyword&gt;Physical activity&lt;/keyword&gt;&lt;keyword&gt;Practitioner&lt;/keyword&gt;&lt;keyword&gt;Pregnant&lt;/keyword&gt;&lt;/keywords&gt;&lt;dates&gt;&lt;year&gt;2019&lt;/year&gt;&lt;pub-dates&gt;&lt;date&gt;Aug 26&lt;/date&gt;&lt;/pub-dates&gt;&lt;/dates&gt;&lt;isbn&gt;1878-1799 (Electronic)&amp;#xD;1871-5192 (Linking)&lt;/isbn&gt;&lt;accession-num&gt;31466828&lt;/accession-num&gt;&lt;urls&gt;&lt;related-urls&gt;&lt;url&gt;https://www.ncbi.nlm.nih.gov/pubmed/31466828&lt;/url&gt;&lt;/related-urls&gt;&lt;/urls&gt;&lt;electronic-resource-num&gt;10.1016/j.wombi.2019.07.302&lt;/electronic-resource-num&gt;&lt;/record&gt;&lt;/Cite&gt;&lt;/EndNote&gt;</w:instrText>
      </w:r>
      <w:r w:rsidR="00D07346">
        <w:fldChar w:fldCharType="separate"/>
      </w:r>
      <w:r w:rsidR="002747EA" w:rsidRPr="002747EA">
        <w:rPr>
          <w:noProof/>
          <w:vertAlign w:val="superscript"/>
        </w:rPr>
        <w:t>264</w:t>
      </w:r>
      <w:r w:rsidR="00D07346">
        <w:fldChar w:fldCharType="end"/>
      </w:r>
      <w:r>
        <w:t xml:space="preserve"> </w:t>
      </w:r>
      <w:r w:rsidR="007D5BE4">
        <w:t>around half of women (53%) reported receiving advice on exercise as part of antenatal care. However, the advice given was frequently in</w:t>
      </w:r>
      <w:r w:rsidR="000C3DB2">
        <w:t>consistent with evidence</w:t>
      </w:r>
      <w:r w:rsidR="007D5BE4">
        <w:t>–based guidelines concerning</w:t>
      </w:r>
      <w:r w:rsidR="00AF059F">
        <w:t xml:space="preserve"> frequency,</w:t>
      </w:r>
      <w:r w:rsidR="00B813C2">
        <w:t xml:space="preserve"> intensity</w:t>
      </w:r>
      <w:r w:rsidR="000C3DB2">
        <w:t>, duration and benefits and harms.</w:t>
      </w:r>
    </w:p>
    <w:p w14:paraId="60BD0E2B" w14:textId="77777777" w:rsidR="00911B14" w:rsidRDefault="00911B14" w:rsidP="00BD61CC">
      <w:r>
        <w:t>Systematic reviews have found that:</w:t>
      </w:r>
    </w:p>
    <w:p w14:paraId="414B6254" w14:textId="014A3CBD" w:rsidR="00911B14" w:rsidRPr="00911B14" w:rsidRDefault="003B0AA0" w:rsidP="00BD61CC">
      <w:pPr>
        <w:pStyle w:val="bullet"/>
      </w:pPr>
      <w:r>
        <w:t>b</w:t>
      </w:r>
      <w:r w:rsidR="00911B14" w:rsidRPr="00911B14">
        <w:t>arriers to physical activity were predominantly intrapersonal such as fatigue, lack of time and pregnancy discomforts</w:t>
      </w:r>
      <w:r>
        <w:t>, while</w:t>
      </w:r>
      <w:r w:rsidR="00911B14" w:rsidRPr="00911B14">
        <w:t xml:space="preserve"> enablers included maternal</w:t>
      </w:r>
      <w:r>
        <w:t xml:space="preserve"> and f</w:t>
      </w:r>
      <w:r w:rsidR="00911B14" w:rsidRPr="00911B14">
        <w:t>etal health benefits (intrapersonal), social support (interpersonal) and pregnancy-specific programs</w:t>
      </w:r>
      <w:r w:rsidR="00D07346">
        <w:fldChar w:fldCharType="begin">
          <w:fldData xml:space="preserve">PEVuZE5vdGU+PENpdGU+PEF1dGhvcj5IYXJyaXNvbjwvQXV0aG9yPjxZZWFyPjIwMTg8L1llYXI+
PFJlY051bT4xOTU2PC9SZWNOdW0+PERpc3BsYXlUZXh0PjxzdHlsZSBmYWNlPSJzdXBlcnNjcmlw
dCIgZm9udD0iVHJlYnVjaGV0IE1TIiBzaXplPSI5Ij4yNjU8L3N0eWxlPjwvRGlzcGxheVRleHQ+
PHJlY29yZD48cmVjLW51bWJlcj4xOTU2PC9yZWMtbnVtYmVyPjxmb3JlaWduLWtleXM+PGtleSBh
cHA9IkVOIiBkYi1pZD0iZXh2YXNyZngyZHRyYW9lc2FzeHAyc3pzeGEyZGY1MDI1OTJ4IiB0aW1l
c3RhbXA9IjE1ODg3NDM4NTEiPjE5NTY8L2tleT48a2V5IGFwcD0iRU5XZWIiIGRiLWlkPSIiPjA8
L2tleT48L2ZvcmVpZ24ta2V5cz48cmVmLXR5cGUgbmFtZT0iSm91cm5hbCBBcnRpY2xlIj4xNzwv
cmVmLXR5cGU+PGNvbnRyaWJ1dG9ycz48YXV0aG9ycz48YXV0aG9yPkhhcnJpc29uLCBBLiBMLjwv
YXV0aG9yPjxhdXRob3I+VGF5bG9yLCBOLiBGLjwvYXV0aG9yPjxhdXRob3I+U2hpZWxkcywgTi48
L2F1dGhvcj48YXV0aG9yPkZyYXdsZXksIEguIEMuPC9hdXRob3I+PC9hdXRob3JzPjwvY29udHJp
YnV0b3JzPjxhdXRoLWFkZHJlc3M+U2Nob29sIG9mIEFsbGllZCBIZWFsdGgsIExhIFRyb2JlIFVu
aXZlcnNpdHk7IFBoeXNpb3RoZXJhcHkgRGVwYXJ0bWVudCwgV2VycmliZWUgTWVyY3kgSG9zcGl0
YWwuJiN4RDtTY2hvb2wgb2YgQWxsaWVkIEhlYWx0aCwgTGEgVHJvYmUgVW5pdmVyc2l0eTsgQWxs
aWVkIEhlYWx0aCBDbGluaWNhbCBSZXNlYXJjaCBPZmZpY2UsIEVhc3Rlcm4gSGVhbHRoLiYjeEQ7
U2Nob29sIG9mIEFsbGllZCBIZWFsdGgsIExhIFRyb2JlIFVuaXZlcnNpdHk7IE5vcnRoZXJuIEhl
YWx0aC4mI3hEO0RlcGFydG1lbnQgb2YgUGh5c2lvdGhlcmFweSwgRmFjdWx0eSBvZiBNZWRpY2lu
ZSwgTnVyc2luZyBhbmQgSGVhbHRoIFNjaWVuY2VzLCBNb25hc2ggVW5pdmVyc2l0eTsgQ2VudHJl
IGZvciBBbGxpZWQgSGVhbHRoIFJlc2VhcmNoIGFuZCBFZHVjYXRpb24sIENhYnJpbmkgSGVhbHRo
LCBNZWxib3VybmUsIEF1c3RyYWxpYS48L2F1dGgtYWRkcmVzcz48dGl0bGVzPjx0aXRsZT5BdHRp
dHVkZXMsIGJhcnJpZXJzIGFuZCBlbmFibGVycyB0byBwaHlzaWNhbCBhY3Rpdml0eSBpbiBwcmVn
bmFudCB3b21lbjogYSBzeXN0ZW1hdGljIHJldmlldzwvdGl0bGU+PHNlY29uZGFyeS10aXRsZT5K
IFBoeXNpb3RoZXI8L3NlY29uZGFyeS10aXRsZT48L3RpdGxlcz48cGVyaW9kaWNhbD48ZnVsbC10
aXRsZT5KIFBoeXNpb3RoZXI8L2Z1bGwtdGl0bGU+PC9wZXJpb2RpY2FsPjxwYWdlcz4yNC0zMjwv
cGFnZXM+PHZvbHVtZT42NDwvdm9sdW1lPjxudW1iZXI+MTwvbnVtYmVyPjxlZGl0aW9uPjIwMTgv
MDEvMDE8L2VkaXRpb24+PGtleXdvcmRzPjxrZXl3b3JkPipFeGVyY2lzZTwva2V5d29yZD48a2V5
d29yZD5GZW1hbGU8L2tleXdvcmQ+PGtleXdvcmQ+KkhlYWx0aCBLbm93bGVkZ2UsIEF0dGl0dWRl
cywgUHJhY3RpY2U8L2tleXdvcmQ+PGtleXdvcmQ+SHVtYW5zPC9rZXl3b3JkPjxrZXl3b3JkPk1v
dGl2YXRpb248L2tleXdvcmQ+PGtleXdvcmQ+UHJlZ25hbmN5PC9rZXl3b3JkPjxrZXl3b3JkPipQ
cmVnbmFudCBXb21lbjwva2V5d29yZD48a2V5d29yZD4qQXR0aXR1ZGVzPC9rZXl3b3JkPjxrZXl3
b3JkPipCYXJyaWVyczwva2V5d29yZD48a2V5d29yZD4qRGlhYmV0ZXMgZ2VzdGF0aW9uYWw8L2tl
eXdvcmQ+PGtleXdvcmQ+KkVuYWJsZXJzPC9rZXl3b3JkPjxrZXl3b3JkPipQcmVnbmFuY3k8L2tl
eXdvcmQ+PGtleXdvcmQ+KlN5c3RlbWF0aWMgcmV2aWV3PC9rZXl3b3JkPjwva2V5d29yZHM+PGRh
dGVzPjx5ZWFyPjIwMTg8L3llYXI+PHB1Yi1kYXRlcz48ZGF0ZT5KYW48L2RhdGU+PC9wdWItZGF0
ZXM+PC9kYXRlcz48aXNibj4xODM2LTk1NjEgKEVsZWN0cm9uaWMpJiN4RDsxODM2LTk1NjEgKExp
bmtpbmcpPC9pc2JuPjxhY2Nlc3Npb24tbnVtPjI5Mjg5NTkyPC9hY2Nlc3Npb24tbnVtPjx1cmxz
PjxyZWxhdGVkLXVybHM+PHVybD5odHRwczovL3d3dy5uY2JpLm5sbS5uaWguZ292L3B1Ym1lZC8y
OTI4OTU5MjwvdXJsPjwvcmVsYXRlZC11cmxzPjwvdXJscz48ZWxlY3Ryb25pYy1yZXNvdXJjZS1u
dW0+MTAuMTAxNi9qLmpwaHlzLjIwMTcuMTEuMDEyPC9lbGVjdHJvbmljLXJlc291cmNlLW51bT48
L3JlY29yZD48L0NpdGU+PC9FbmROb3RlPgB=
</w:fldData>
        </w:fldChar>
      </w:r>
      <w:r w:rsidR="002747EA">
        <w:instrText xml:space="preserve"> ADDIN EN.CITE </w:instrText>
      </w:r>
      <w:r w:rsidR="002747EA">
        <w:fldChar w:fldCharType="begin">
          <w:fldData xml:space="preserve">PEVuZE5vdGU+PENpdGU+PEF1dGhvcj5IYXJyaXNvbjwvQXV0aG9yPjxZZWFyPjIwMTg8L1llYXI+
PFJlY051bT4xOTU2PC9SZWNOdW0+PERpc3BsYXlUZXh0PjxzdHlsZSBmYWNlPSJzdXBlcnNjcmlw
dCIgZm9udD0iVHJlYnVjaGV0IE1TIiBzaXplPSI5Ij4yNjU8L3N0eWxlPjwvRGlzcGxheVRleHQ+
PHJlY29yZD48cmVjLW51bWJlcj4xOTU2PC9yZWMtbnVtYmVyPjxmb3JlaWduLWtleXM+PGtleSBh
cHA9IkVOIiBkYi1pZD0iZXh2YXNyZngyZHRyYW9lc2FzeHAyc3pzeGEyZGY1MDI1OTJ4IiB0aW1l
c3RhbXA9IjE1ODg3NDM4NTEiPjE5NTY8L2tleT48a2V5IGFwcD0iRU5XZWIiIGRiLWlkPSIiPjA8
L2tleT48L2ZvcmVpZ24ta2V5cz48cmVmLXR5cGUgbmFtZT0iSm91cm5hbCBBcnRpY2xlIj4xNzwv
cmVmLXR5cGU+PGNvbnRyaWJ1dG9ycz48YXV0aG9ycz48YXV0aG9yPkhhcnJpc29uLCBBLiBMLjwv
YXV0aG9yPjxhdXRob3I+VGF5bG9yLCBOLiBGLjwvYXV0aG9yPjxhdXRob3I+U2hpZWxkcywgTi48
L2F1dGhvcj48YXV0aG9yPkZyYXdsZXksIEguIEMuPC9hdXRob3I+PC9hdXRob3JzPjwvY29udHJp
YnV0b3JzPjxhdXRoLWFkZHJlc3M+U2Nob29sIG9mIEFsbGllZCBIZWFsdGgsIExhIFRyb2JlIFVu
aXZlcnNpdHk7IFBoeXNpb3RoZXJhcHkgRGVwYXJ0bWVudCwgV2VycmliZWUgTWVyY3kgSG9zcGl0
YWwuJiN4RDtTY2hvb2wgb2YgQWxsaWVkIEhlYWx0aCwgTGEgVHJvYmUgVW5pdmVyc2l0eTsgQWxs
aWVkIEhlYWx0aCBDbGluaWNhbCBSZXNlYXJjaCBPZmZpY2UsIEVhc3Rlcm4gSGVhbHRoLiYjeEQ7
U2Nob29sIG9mIEFsbGllZCBIZWFsdGgsIExhIFRyb2JlIFVuaXZlcnNpdHk7IE5vcnRoZXJuIEhl
YWx0aC4mI3hEO0RlcGFydG1lbnQgb2YgUGh5c2lvdGhlcmFweSwgRmFjdWx0eSBvZiBNZWRpY2lu
ZSwgTnVyc2luZyBhbmQgSGVhbHRoIFNjaWVuY2VzLCBNb25hc2ggVW5pdmVyc2l0eTsgQ2VudHJl
IGZvciBBbGxpZWQgSGVhbHRoIFJlc2VhcmNoIGFuZCBFZHVjYXRpb24sIENhYnJpbmkgSGVhbHRo
LCBNZWxib3VybmUsIEF1c3RyYWxpYS48L2F1dGgtYWRkcmVzcz48dGl0bGVzPjx0aXRsZT5BdHRp
dHVkZXMsIGJhcnJpZXJzIGFuZCBlbmFibGVycyB0byBwaHlzaWNhbCBhY3Rpdml0eSBpbiBwcmVn
bmFudCB3b21lbjogYSBzeXN0ZW1hdGljIHJldmlldzwvdGl0bGU+PHNlY29uZGFyeS10aXRsZT5K
IFBoeXNpb3RoZXI8L3NlY29uZGFyeS10aXRsZT48L3RpdGxlcz48cGVyaW9kaWNhbD48ZnVsbC10
aXRsZT5KIFBoeXNpb3RoZXI8L2Z1bGwtdGl0bGU+PC9wZXJpb2RpY2FsPjxwYWdlcz4yNC0zMjwv
cGFnZXM+PHZvbHVtZT42NDwvdm9sdW1lPjxudW1iZXI+MTwvbnVtYmVyPjxlZGl0aW9uPjIwMTgv
MDEvMDE8L2VkaXRpb24+PGtleXdvcmRzPjxrZXl3b3JkPipFeGVyY2lzZTwva2V5d29yZD48a2V5
d29yZD5GZW1hbGU8L2tleXdvcmQ+PGtleXdvcmQ+KkhlYWx0aCBLbm93bGVkZ2UsIEF0dGl0dWRl
cywgUHJhY3RpY2U8L2tleXdvcmQ+PGtleXdvcmQ+SHVtYW5zPC9rZXl3b3JkPjxrZXl3b3JkPk1v
dGl2YXRpb248L2tleXdvcmQ+PGtleXdvcmQ+UHJlZ25hbmN5PC9rZXl3b3JkPjxrZXl3b3JkPipQ
cmVnbmFudCBXb21lbjwva2V5d29yZD48a2V5d29yZD4qQXR0aXR1ZGVzPC9rZXl3b3JkPjxrZXl3
b3JkPipCYXJyaWVyczwva2V5d29yZD48a2V5d29yZD4qRGlhYmV0ZXMgZ2VzdGF0aW9uYWw8L2tl
eXdvcmQ+PGtleXdvcmQ+KkVuYWJsZXJzPC9rZXl3b3JkPjxrZXl3b3JkPipQcmVnbmFuY3k8L2tl
eXdvcmQ+PGtleXdvcmQ+KlN5c3RlbWF0aWMgcmV2aWV3PC9rZXl3b3JkPjwva2V5d29yZHM+PGRh
dGVzPjx5ZWFyPjIwMTg8L3llYXI+PHB1Yi1kYXRlcz48ZGF0ZT5KYW48L2RhdGU+PC9wdWItZGF0
ZXM+PC9kYXRlcz48aXNibj4xODM2LTk1NjEgKEVsZWN0cm9uaWMpJiN4RDsxODM2LTk1NjEgKExp
bmtpbmcpPC9pc2JuPjxhY2Nlc3Npb24tbnVtPjI5Mjg5NTkyPC9hY2Nlc3Npb24tbnVtPjx1cmxz
PjxyZWxhdGVkLXVybHM+PHVybD5odHRwczovL3d3dy5uY2JpLm5sbS5uaWguZ292L3B1Ym1lZC8y
OTI4OTU5MjwvdXJsPjwvcmVsYXRlZC11cmxzPjwvdXJscz48ZWxlY3Ryb25pYy1yZXNvdXJjZS1u
dW0+MTAuMTAxNi9qLmpwaHlzLjIwMTcuMTEuMDEyPC9lbGVjdHJvbmljLXJlc291cmNlLW51bT48
L3JlY29yZD48L0NpdGU+PC9FbmROb3RlPgB=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265</w:t>
      </w:r>
      <w:r w:rsidR="00D07346">
        <w:fldChar w:fldCharType="end"/>
      </w:r>
    </w:p>
    <w:p w14:paraId="01C1C8AE" w14:textId="3B49217F" w:rsidR="00147377" w:rsidRPr="00147377" w:rsidRDefault="00D34B6F" w:rsidP="00BD61CC">
      <w:pPr>
        <w:pStyle w:val="bullet"/>
      </w:pPr>
      <w:r>
        <w:t>b</w:t>
      </w:r>
      <w:r w:rsidR="00147377" w:rsidRPr="00147377">
        <w:t xml:space="preserve">arriers </w:t>
      </w:r>
      <w:r w:rsidR="00D27FD2">
        <w:t>to participating in exercise were categorised as intrapersonal (p</w:t>
      </w:r>
      <w:r w:rsidR="00147377" w:rsidRPr="00147377">
        <w:t>regnancy-r</w:t>
      </w:r>
      <w:r w:rsidR="00D27FD2">
        <w:t>elated symptoms and limitations,</w:t>
      </w:r>
      <w:r w:rsidR="00147377" w:rsidRPr="00147377">
        <w:t xml:space="preserve"> </w:t>
      </w:r>
      <w:r w:rsidR="00D27FD2">
        <w:t>time constraints, p</w:t>
      </w:r>
      <w:r w:rsidR="00147377" w:rsidRPr="00147377">
        <w:t>erception</w:t>
      </w:r>
      <w:r w:rsidR="00D27FD2">
        <w:t>s of already being active, lack of motivation and m</w:t>
      </w:r>
      <w:r w:rsidR="00147377" w:rsidRPr="00147377">
        <w:t>other-child safety concerns</w:t>
      </w:r>
      <w:r w:rsidR="00D27FD2">
        <w:t xml:space="preserve">), </w:t>
      </w:r>
      <w:r w:rsidR="00147377" w:rsidRPr="00147377">
        <w:t xml:space="preserve">interpersonal </w:t>
      </w:r>
      <w:r w:rsidR="00D27FD2">
        <w:t>(l</w:t>
      </w:r>
      <w:r w:rsidR="00147377" w:rsidRPr="00147377">
        <w:t xml:space="preserve">ack of </w:t>
      </w:r>
      <w:r w:rsidR="00D27FD2">
        <w:t>advice and information and l</w:t>
      </w:r>
      <w:r w:rsidR="00147377" w:rsidRPr="00147377">
        <w:t>ack of social support</w:t>
      </w:r>
      <w:r w:rsidR="00D27FD2">
        <w:t>) and environmental, organisational and p</w:t>
      </w:r>
      <w:r w:rsidR="00147377" w:rsidRPr="00147377">
        <w:t>olicy barriers</w:t>
      </w:r>
      <w:r w:rsidR="00D27FD2">
        <w:t xml:space="preserve"> (a</w:t>
      </w:r>
      <w:r w:rsidR="00147377" w:rsidRPr="00147377">
        <w:t>dverse weather</w:t>
      </w:r>
      <w:r w:rsidR="00D27FD2">
        <w:t>, l</w:t>
      </w:r>
      <w:r w:rsidR="00147377" w:rsidRPr="00147377">
        <w:t>ack of resources</w:t>
      </w:r>
      <w:r w:rsidR="00D27FD2">
        <w:t>)</w:t>
      </w:r>
      <w:r w:rsidR="00147377" w:rsidRPr="00147377">
        <w:t>.</w:t>
      </w:r>
      <w:r w:rsidR="00911B14">
        <w:fldChar w:fldCharType="begin">
          <w:fldData xml:space="preserve">PEVuZE5vdGU+PENpdGU+PEF1dGhvcj5Db2xsPC9BdXRob3I+PFllYXI+MjAxNzwvWWVhcj48UmVj
TnVtPjE3ODY8L1JlY051bT48RGlzcGxheVRleHQ+PHN0eWxlIGZhY2U9InN1cGVyc2NyaXB0IiBm
b250PSJUcmVidWNoZXQgTVMiIHNpemU9IjkiPjI2Njwvc3R5bGU+PC9EaXNwbGF5VGV4dD48cmVj
b3JkPjxyZWMtbnVtYmVyPjE3ODY8L3JlYy1udW1iZXI+PGZvcmVpZ24ta2V5cz48a2V5IGFwcD0i
RU4iIGRiLWlkPSJleHZhc3JmeDJkdHJhb2VzYXN4cDJzenN4YTJkZjUwMjU5MngiIHRpbWVzdGFt
cD0iMTU4MzI4ODk4MyI+MTc4Njwva2V5PjxrZXkgYXBwPSJFTldlYiIgZGItaWQ9IiI+MDwva2V5
PjwvZm9yZWlnbi1rZXlzPjxyZWYtdHlwZSBuYW1lPSJKb3VybmFsIEFydGljbGUiPjE3PC9yZWYt
dHlwZT48Y29udHJpYnV0b3JzPjxhdXRob3JzPjxhdXRob3I+Q29sbCwgQy4gVi48L2F1dGhvcj48
YXV0aG9yPkRvbWluZ3VlcywgTS4gUi48L2F1dGhvcj48YXV0aG9yPkdvbmNhbHZlcywgSC48L2F1
dGhvcj48YXV0aG9yPkJlcnRvbGRpLCBBLiBELjwvYXV0aG9yPjwvYXV0aG9ycz48L2NvbnRyaWJ1
dG9ycz48YXV0aC1hZGRyZXNzPlBvc3RncmFkdWF0ZSBQcm9ncmFtIGluIEVwaWRlbWlvbG9neSwg
RmVkZXJhbCBVbml2ZXJzaXR5IG9mIFBlbG90YXMsIEJyYXppbC4gRWxlY3Ryb25pYyBhZGRyZXNz
OiBjYXJvbGluYXZuY29sbEBnbWFpbC5jb20uJiN4RDtQb3N0Z3JhZHVhdGUgUHJvZ3JhbSBpbiBQ
aHlzaWNhbCBFZHVjYXRpb24sIEZlZGVyYWwgVW5pdmVyc2l0eSBvZiBQZWxvdGFzLCBCcmF6aWwu
JiN4RDtQb3N0Z3JhZHVhdGUgUHJvZ3JhbSBpbiBFcGlkZW1pb2xvZ3ksIEZlZGVyYWwgVW5pdmVy
c2l0eSBvZiBQZWxvdGFzLCBCcmF6aWwuPC9hdXRoLWFkZHJlc3M+PHRpdGxlcz48dGl0bGU+UGVy
Y2VpdmVkIGJhcnJpZXJzIHRvIGxlaXN1cmUtdGltZSBwaHlzaWNhbCBhY3Rpdml0eSBkdXJpbmcg
cHJlZ25hbmN5OiBBIGxpdGVyYXR1cmUgcmV2aWV3IG9mIHF1YW50aXRhdGl2ZSBhbmQgcXVhbGl0
YXRpdmUgZXZpZGVuY2U8L3RpdGxlPjxzZWNvbmRhcnktdGl0bGU+SiBTY2kgTWVkIFNwb3J0PC9z
ZWNvbmRhcnktdGl0bGU+PC90aXRsZXM+PHBlcmlvZGljYWw+PGZ1bGwtdGl0bGU+SiBTY2kgTWVk
IFNwb3J0PC9mdWxsLXRpdGxlPjwvcGVyaW9kaWNhbD48cGFnZXM+MTctMjU8L3BhZ2VzPjx2b2x1
bWU+MjA8L3ZvbHVtZT48bnVtYmVyPjE8L251bWJlcj48ZWRpdGlvbj4yMDE2LzA3LzA0PC9lZGl0
aW9uPjxrZXl3b3Jkcz48a2V5d29yZD4qRXhlcmNpc2U8L2tleXdvcmQ+PGtleXdvcmQ+RmVtYWxl
PC9rZXl3b3JkPjxrZXl3b3JkPipIZWFsdGggS25vd2xlZGdlLCBBdHRpdHVkZXMsIFByYWN0aWNl
PC9rZXl3b3JkPjxrZXl3b3JkPkh1bWFuczwva2V5d29yZD48a2V5d29yZD4qTGVpc3VyZSBBY3Rp
dml0aWVzPC9rZXl3b3JkPjxrZXl3b3JkPipNb3RpdmF0aW9uPC9rZXl3b3JkPjxrZXl3b3JkPlBy
ZWduYW5jeTwva2V5d29yZD48a2V5d29yZD5QcmVnbmFudCBXb21lbi8qcHN5Y2hvbG9neTwva2V5
d29yZD48a2V5d29yZD5RdWFsaXRhdGl2ZSBSZXNlYXJjaDwva2V5d29yZD48a2V5d29yZD4qU29j
aWFsIFN1cHBvcnQ8L2tleXdvcmQ+PGtleXdvcmQ+VGltZSBGYWN0b3JzPC9rZXl3b3JkPjxrZXl3
b3JkPkJhcnJpZXJzPC9rZXl3b3JkPjxrZXl3b3JkPkxpdGVyYXR1cmUgcmV2aWV3PC9rZXl3b3Jk
PjxrZXl3b3JkPk1vdG9yIGFjdGl2aXR5PC9rZXl3b3JkPjxrZXl3b3JkPlBoeXNpY2FsIGFjdGl2
aXR5PC9rZXl3b3JkPjxrZXl3b3JkPlNvY2lvZWNvbG9naWNhbCBtb2RlbDwva2V5d29yZD48L2tl
eXdvcmRzPjxkYXRlcz48eWVhcj4yMDE3PC95ZWFyPjxwdWItZGF0ZXM+PGRhdGU+SmFuPC9kYXRl
PjwvcHViLWRhdGVzPjwvZGF0ZXM+PGlzYm4+MTg3OC0xODYxIChFbGVjdHJvbmljKSYjeEQ7MTg3
OC0xODYxIChMaW5raW5nKTwvaXNibj48YWNjZXNzaW9uLW51bT4yNzM3MjI3NjwvYWNjZXNzaW9u
LW51bT48dXJscz48cmVsYXRlZC11cmxzPjx1cmw+aHR0cHM6Ly93d3cubmNiaS5ubG0ubmloLmdv
di9wdWJtZWQvMjczNzIyNzY8L3VybD48L3JlbGF0ZWQtdXJscz48L3VybHM+PGVsZWN0cm9uaWMt
cmVzb3VyY2UtbnVtPjEwLjEwMTYvai5qc2Ftcy4yMDE2LjA2LjAwNzwvZWxlY3Ryb25pYy1yZXNv
dXJjZS1udW0+PC9yZWNvcmQ+PC9DaXRlPjwvRW5kTm90ZT4A
</w:fldData>
        </w:fldChar>
      </w:r>
      <w:r w:rsidR="002747EA">
        <w:instrText xml:space="preserve"> ADDIN EN.CITE </w:instrText>
      </w:r>
      <w:r w:rsidR="002747EA">
        <w:fldChar w:fldCharType="begin">
          <w:fldData xml:space="preserve">PEVuZE5vdGU+PENpdGU+PEF1dGhvcj5Db2xsPC9BdXRob3I+PFllYXI+MjAxNzwvWWVhcj48UmVj
TnVtPjE3ODY8L1JlY051bT48RGlzcGxheVRleHQ+PHN0eWxlIGZhY2U9InN1cGVyc2NyaXB0IiBm
b250PSJUcmVidWNoZXQgTVMiIHNpemU9IjkiPjI2Njwvc3R5bGU+PC9EaXNwbGF5VGV4dD48cmVj
b3JkPjxyZWMtbnVtYmVyPjE3ODY8L3JlYy1udW1iZXI+PGZvcmVpZ24ta2V5cz48a2V5IGFwcD0i
RU4iIGRiLWlkPSJleHZhc3JmeDJkdHJhb2VzYXN4cDJzenN4YTJkZjUwMjU5MngiIHRpbWVzdGFt
cD0iMTU4MzI4ODk4MyI+MTc4Njwva2V5PjxrZXkgYXBwPSJFTldlYiIgZGItaWQ9IiI+MDwva2V5
PjwvZm9yZWlnbi1rZXlzPjxyZWYtdHlwZSBuYW1lPSJKb3VybmFsIEFydGljbGUiPjE3PC9yZWYt
dHlwZT48Y29udHJpYnV0b3JzPjxhdXRob3JzPjxhdXRob3I+Q29sbCwgQy4gVi48L2F1dGhvcj48
YXV0aG9yPkRvbWluZ3VlcywgTS4gUi48L2F1dGhvcj48YXV0aG9yPkdvbmNhbHZlcywgSC48L2F1
dGhvcj48YXV0aG9yPkJlcnRvbGRpLCBBLiBELjwvYXV0aG9yPjwvYXV0aG9ycz48L2NvbnRyaWJ1
dG9ycz48YXV0aC1hZGRyZXNzPlBvc3RncmFkdWF0ZSBQcm9ncmFtIGluIEVwaWRlbWlvbG9neSwg
RmVkZXJhbCBVbml2ZXJzaXR5IG9mIFBlbG90YXMsIEJyYXppbC4gRWxlY3Ryb25pYyBhZGRyZXNz
OiBjYXJvbGluYXZuY29sbEBnbWFpbC5jb20uJiN4RDtQb3N0Z3JhZHVhdGUgUHJvZ3JhbSBpbiBQ
aHlzaWNhbCBFZHVjYXRpb24sIEZlZGVyYWwgVW5pdmVyc2l0eSBvZiBQZWxvdGFzLCBCcmF6aWwu
JiN4RDtQb3N0Z3JhZHVhdGUgUHJvZ3JhbSBpbiBFcGlkZW1pb2xvZ3ksIEZlZGVyYWwgVW5pdmVy
c2l0eSBvZiBQZWxvdGFzLCBCcmF6aWwuPC9hdXRoLWFkZHJlc3M+PHRpdGxlcz48dGl0bGU+UGVy
Y2VpdmVkIGJhcnJpZXJzIHRvIGxlaXN1cmUtdGltZSBwaHlzaWNhbCBhY3Rpdml0eSBkdXJpbmcg
cHJlZ25hbmN5OiBBIGxpdGVyYXR1cmUgcmV2aWV3IG9mIHF1YW50aXRhdGl2ZSBhbmQgcXVhbGl0
YXRpdmUgZXZpZGVuY2U8L3RpdGxlPjxzZWNvbmRhcnktdGl0bGU+SiBTY2kgTWVkIFNwb3J0PC9z
ZWNvbmRhcnktdGl0bGU+PC90aXRsZXM+PHBlcmlvZGljYWw+PGZ1bGwtdGl0bGU+SiBTY2kgTWVk
IFNwb3J0PC9mdWxsLXRpdGxlPjwvcGVyaW9kaWNhbD48cGFnZXM+MTctMjU8L3BhZ2VzPjx2b2x1
bWU+MjA8L3ZvbHVtZT48bnVtYmVyPjE8L251bWJlcj48ZWRpdGlvbj4yMDE2LzA3LzA0PC9lZGl0
aW9uPjxrZXl3b3Jkcz48a2V5d29yZD4qRXhlcmNpc2U8L2tleXdvcmQ+PGtleXdvcmQ+RmVtYWxl
PC9rZXl3b3JkPjxrZXl3b3JkPipIZWFsdGggS25vd2xlZGdlLCBBdHRpdHVkZXMsIFByYWN0aWNl
PC9rZXl3b3JkPjxrZXl3b3JkPkh1bWFuczwva2V5d29yZD48a2V5d29yZD4qTGVpc3VyZSBBY3Rp
dml0aWVzPC9rZXl3b3JkPjxrZXl3b3JkPipNb3RpdmF0aW9uPC9rZXl3b3JkPjxrZXl3b3JkPlBy
ZWduYW5jeTwva2V5d29yZD48a2V5d29yZD5QcmVnbmFudCBXb21lbi8qcHN5Y2hvbG9neTwva2V5
d29yZD48a2V5d29yZD5RdWFsaXRhdGl2ZSBSZXNlYXJjaDwva2V5d29yZD48a2V5d29yZD4qU29j
aWFsIFN1cHBvcnQ8L2tleXdvcmQ+PGtleXdvcmQ+VGltZSBGYWN0b3JzPC9rZXl3b3JkPjxrZXl3
b3JkPkJhcnJpZXJzPC9rZXl3b3JkPjxrZXl3b3JkPkxpdGVyYXR1cmUgcmV2aWV3PC9rZXl3b3Jk
PjxrZXl3b3JkPk1vdG9yIGFjdGl2aXR5PC9rZXl3b3JkPjxrZXl3b3JkPlBoeXNpY2FsIGFjdGl2
aXR5PC9rZXl3b3JkPjxrZXl3b3JkPlNvY2lvZWNvbG9naWNhbCBtb2RlbDwva2V5d29yZD48L2tl
eXdvcmRzPjxkYXRlcz48eWVhcj4yMDE3PC95ZWFyPjxwdWItZGF0ZXM+PGRhdGU+SmFuPC9kYXRl
PjwvcHViLWRhdGVzPjwvZGF0ZXM+PGlzYm4+MTg3OC0xODYxIChFbGVjdHJvbmljKSYjeEQ7MTg3
OC0xODYxIChMaW5raW5nKTwvaXNibj48YWNjZXNzaW9uLW51bT4yNzM3MjI3NjwvYWNjZXNzaW9u
LW51bT48dXJscz48cmVsYXRlZC11cmxzPjx1cmw+aHR0cHM6Ly93d3cubmNiaS5ubG0ubmloLmdv
di9wdWJtZWQvMjczNzIyNzY8L3VybD48L3JlbGF0ZWQtdXJscz48L3VybHM+PGVsZWN0cm9uaWMt
cmVzb3VyY2UtbnVtPjEwLjEwMTYvai5qc2Ftcy4yMDE2LjA2LjAwNzwvZWxlY3Ryb25pYy1yZXNv
dXJjZS1udW0+PC9yZWNvcmQ+PC9DaXRlPjwvRW5kTm90ZT4A
</w:fldData>
        </w:fldChar>
      </w:r>
      <w:r w:rsidR="002747EA">
        <w:instrText xml:space="preserve"> ADDIN EN.CITE.DATA </w:instrText>
      </w:r>
      <w:r w:rsidR="002747EA">
        <w:fldChar w:fldCharType="end"/>
      </w:r>
      <w:r w:rsidR="00911B14">
        <w:fldChar w:fldCharType="separate"/>
      </w:r>
      <w:r w:rsidR="002747EA" w:rsidRPr="002747EA">
        <w:rPr>
          <w:noProof/>
          <w:vertAlign w:val="superscript"/>
        </w:rPr>
        <w:t>266</w:t>
      </w:r>
      <w:r w:rsidR="00911B14">
        <w:fldChar w:fldCharType="end"/>
      </w:r>
    </w:p>
    <w:p w14:paraId="2F51C860" w14:textId="0F7D974F" w:rsidR="005D2651" w:rsidRPr="005D2651" w:rsidRDefault="005D2651" w:rsidP="005D2651">
      <w:r>
        <w:t>A</w:t>
      </w:r>
      <w:r w:rsidR="008872D5">
        <w:t xml:space="preserve">n Irish </w:t>
      </w:r>
      <w:r>
        <w:t>cross-sectional study</w:t>
      </w:r>
      <w:r w:rsidR="00283324">
        <w:fldChar w:fldCharType="begin">
          <w:fldData xml:space="preserve">PEVuZE5vdGU+PENpdGU+PEF1dGhvcj5GbGFubmVyeTwvQXV0aG9yPjxZZWFyPjIwMTg8L1llYXI+
PFJlY051bT4xNzg4PC9SZWNOdW0+PERpc3BsYXlUZXh0PjxzdHlsZSBmYWNlPSJzdXBlcnNjcmlw
dCIgZm9udD0iVHJlYnVjaGV0IE1TIiBzaXplPSI5Ij4yNjc8L3N0eWxlPjwvRGlzcGxheVRleHQ+
PHJlY29yZD48cmVjLW51bWJlcj4xNzg4PC9yZWMtbnVtYmVyPjxmb3JlaWduLWtleXM+PGtleSBh
cHA9IkVOIiBkYi1pZD0iZXh2YXNyZngyZHRyYW9lc2FzeHAyc3pzeGEyZGY1MDI1OTJ4IiB0aW1l
c3RhbXA9IjE1ODMyODg5OTAiPjE3ODg8L2tleT48a2V5IGFwcD0iRU5XZWIiIGRiLWlkPSIiPjA8
L2tleT48L2ZvcmVpZ24ta2V5cz48cmVmLXR5cGUgbmFtZT0iSm91cm5hbCBBcnRpY2xlIj4xNzwv
cmVmLXR5cGU+PGNvbnRyaWJ1dG9ycz48YXV0aG9ycz48YXV0aG9yPkZsYW5uZXJ5LCBDLjwvYXV0
aG9yPjxhdXRob3I+TWNIdWdoLCBTLjwvYXV0aG9yPjxhdXRob3I+QW5hYmEsIEEuIEUuPC9hdXRo
b3I+PGF1dGhvcj5DbGlmZm9yZCwgRS48L2F1dGhvcj48YXV0aG9yPk8mYXBvcztSaW9yZGFuLCBN
LjwvYXV0aG9yPjxhdXRob3I+S2VubnksIEwuIEMuPC9hdXRob3I+PGF1dGhvcj5NY0F1bGlmZmUs
IEYuIE0uPC9hdXRob3I+PGF1dGhvcj5LZWFybmV5LCBQLiBNLjwvYXV0aG9yPjxhdXRob3I+Qnly
bmUsIE0uPC9hdXRob3I+PC9hdXRob3JzPjwvY29udHJpYnV0b3JzPjxhdXRoLWFkZHJlc3M+SGVh
bHRoIEJlaGF2aW91ciBDaGFuZ2UgUmVzZWFyY2ggR3JvdXAsIFNjaG9vbCBvZiBQc3ljaG9sb2d5
LCBOYXRpb25hbCBVbml2ZXJzaXR5IG9mIElyZWxhbmQsIEdhbHdheSwgSXJlbGFuZC4gY2ZsYW5u
ZXJ5QHVjYy5pZS4mI3hEO1NjaG9vbCBvZiBQdWJsaWMgSGVhbHRoLCBVbml2ZXJzaXR5IENvbGxl
Z2UgQ29yaywgQ29yaywgSXJlbGFuZC4mI3hEO0RlcGFydG1lbnQgb2YgTnV0cml0aW9uICZhbXA7
IERpZXRldGljcywgU291dGggSW5maXJtYXJ5IFZpY3RvcmlhIFVuaXZlcnNpdHkgSG9zcGl0YWws
IENvcmssIElyZWxhbmQuJiN4RDtEZXBhcnRtZW50IE9ic3RldHJpY3MgYW5kIEd5bmFlY29sb2d5
LCBVbml2ZXJzaXR5IENvbGxlZ2UgQ29yaywgQ29yaywgSXJlbGFuZC4mI3hEO0RlcGFydG1lbnQg
b2YgV29tZW4mYXBvcztzIGFuZCBDaGlsZHJlbiZhcG9zO3MgSGVhbHRoLCBGYWN1bHR5IG9mIEhl
YWx0aCBhbmQgTGlmZSBTY2llbmNlcywgVW5pdmVyc2l0eSBvZiBMaXZlcnBvb2wsIExpdmVycG9v
bCwgVUsuJiN4RDtVQ0QgUGVyaW5hdGFsIFJlc2VhcmNoIENlbnRyZSwgU2Nob29sIG9mIE1lZGlj
aW5lLCBVbml2ZXJzaXR5IENvbGxlZ2UgRHVibGluLCBOYXRpb25hbCBNYXRlcm5pdHkgSG9zcGl0
YWwsIER1YmxpbiwgSXJlbGFuZC4mI3hEO0hlYWx0aCBCZWhhdmlvdXIgQ2hhbmdlIFJlc2VhcmNo
IEdyb3VwLCBTY2hvb2wgb2YgUHN5Y2hvbG9neSwgTmF0aW9uYWwgVW5pdmVyc2l0eSBvZiBJcmVs
YW5kLCBHYWx3YXksIElyZWxhbmQuPC9hdXRoLWFkZHJlc3M+PHRpdGxlcz48dGl0bGU+RW5hYmxl
cnMgYW5kIGJhcnJpZXJzIHRvIHBoeXNpY2FsIGFjdGl2aXR5IGluIG92ZXJ3ZWlnaHQgYW5kIG9i
ZXNlIHByZWduYW50IHdvbWVuOiBhbiBhbmFseXNpcyBpbmZvcm1lZCBieSB0aGUgdGhlb3JldGlj
YWwgZG9tYWlucyBmcmFtZXdvcmsgYW5kIENPTS1CIG1vZGVsPC90aXRsZT48c2Vjb25kYXJ5LXRp
dGxlPkJNQyBQcmVnbmFuY3kgQ2hpbGRiaXJ0aDwvc2Vjb25kYXJ5LXRpdGxlPjwvdGl0bGVzPjxw
ZXJpb2RpY2FsPjxmdWxsLXRpdGxlPkJNQyBQcmVnbmFuY3kgQ2hpbGRiaXJ0aDwvZnVsbC10aXRs
ZT48L3BlcmlvZGljYWw+PHBhZ2VzPjE3ODwvcGFnZXM+PHZvbHVtZT4xODwvdm9sdW1lPjxudW1i
ZXI+MTwvbnVtYmVyPjxlZGl0aW9uPjIwMTgvMDUvMjM8L2VkaXRpb24+PGtleXdvcmRzPjxrZXl3
b3JkPkFkdWx0PC9rZXl3b3JkPjxrZXl3b3JkPkF0dGl0dWRlIHRvIEhlYWx0aDwva2V5d29yZD48
a2V5d29yZD5FeGVyY2lzZS8qcHN5Y2hvbG9neTwva2V5d29yZD48a2V5d29yZD5GZW1hbGU8L2tl
eXdvcmQ+PGtleXdvcmQ+SGVhbHRoIEJlaGF2aW9yPC9rZXl3b3JkPjxrZXl3b3JkPkh1bWFuczwv
a2V5d29yZD48a2V5d29yZD5JcmVsYW5kPC9rZXl3b3JkPjxrZXl3b3JkPk1vZGVscywgVGhlb3Jl
dGljYWw8L2tleXdvcmQ+PGtleXdvcmQ+TW90aXZhdGlvbjwva2V5d29yZD48a2V5d29yZD5PYmVz
aXR5Lypwc3ljaG9sb2d5PC9rZXl3b3JkPjxrZXl3b3JkPk92ZXJ3ZWlnaHQvKnBzeWNob2xvZ3k8
L2tleXdvcmQ+PGtleXdvcmQ+UHJlZ25hbmN5PC9rZXl3b3JkPjxrZXl3b3JkPlByZWduYW5jeSBD
b21wbGljYXRpb25zLypwc3ljaG9sb2d5PC9rZXl3b3JkPjxrZXl3b3JkPlByZWduYW50IFdvbWVu
Lypwc3ljaG9sb2d5PC9rZXl3b3JkPjxrZXl3b3JkPlF1YWxpdGF0aXZlIFJlc2VhcmNoPC9rZXl3
b3JkPjxrZXl3b3JkPllvdW5nIEFkdWx0PC9rZXl3b3JkPjxrZXl3b3JkPkJlaGF2aW91ciBjaGFu
Z2Ugd2hlZWw8L2tleXdvcmQ+PGtleXdvcmQ+Q09NLUIgbW9kZWw8L2tleXdvcmQ+PGtleXdvcmQ+
TWF0ZXJuYWwgaGVhbHRoPC9rZXl3b3JkPjxrZXl3b3JkPk9iZXNpdHk8L2tleXdvcmQ+PGtleXdv
cmQ+T3ZlcndlaWdodDwva2V5d29yZD48a2V5d29yZD5QaHlzaWNhbCBhY3Rpdml0eTwva2V5d29y
ZD48a2V5d29yZD5QcmVnbmFudCB3b21lbjwva2V5d29yZD48a2V5d29yZD5UaGVvcmV0aWNhbCBk
b21haW5zIGZyYW1ld29yazwva2V5d29yZD48L2tleXdvcmRzPjxkYXRlcz48eWVhcj4yMDE4PC95
ZWFyPjxwdWItZGF0ZXM+PGRhdGU+TWF5IDIxPC9kYXRlPjwvcHViLWRhdGVzPjwvZGF0ZXM+PGlz
Ym4+MTQ3MS0yMzkzIChFbGVjdHJvbmljKSYjeEQ7MTQ3MS0yMzkzIChMaW5raW5nKTwvaXNibj48
YWNjZXNzaW9uLW51bT4yOTc4MzkzMzwvYWNjZXNzaW9uLW51bT48dXJscz48cmVsYXRlZC11cmxz
Pjx1cmw+aHR0cHM6Ly93d3cubmNiaS5ubG0ubmloLmdvdi9wdWJtZWQvMjk3ODM5MzM8L3VybD48
L3JlbGF0ZWQtdXJscz48L3VybHM+PGN1c3RvbTI+UE1DNTk2MzA5OTwvY3VzdG9tMj48ZWxlY3Ry
b25pYy1yZXNvdXJjZS1udW0+MTAuMTE4Ni9zMTI4ODQtMDE4LTE4MTYtejwvZWxlY3Ryb25pYy1y
ZXNvdXJjZS1udW0+PC9yZWNvcmQ+PC9DaXRlPjwvRW5kTm90ZT4A
</w:fldData>
        </w:fldChar>
      </w:r>
      <w:r w:rsidR="002747EA">
        <w:instrText xml:space="preserve"> ADDIN EN.CITE </w:instrText>
      </w:r>
      <w:r w:rsidR="002747EA">
        <w:fldChar w:fldCharType="begin">
          <w:fldData xml:space="preserve">PEVuZE5vdGU+PENpdGU+PEF1dGhvcj5GbGFubmVyeTwvQXV0aG9yPjxZZWFyPjIwMTg8L1llYXI+
PFJlY051bT4xNzg4PC9SZWNOdW0+PERpc3BsYXlUZXh0PjxzdHlsZSBmYWNlPSJzdXBlcnNjcmlw
dCIgZm9udD0iVHJlYnVjaGV0IE1TIiBzaXplPSI5Ij4yNjc8L3N0eWxlPjwvRGlzcGxheVRleHQ+
PHJlY29yZD48cmVjLW51bWJlcj4xNzg4PC9yZWMtbnVtYmVyPjxmb3JlaWduLWtleXM+PGtleSBh
cHA9IkVOIiBkYi1pZD0iZXh2YXNyZngyZHRyYW9lc2FzeHAyc3pzeGEyZGY1MDI1OTJ4IiB0aW1l
c3RhbXA9IjE1ODMyODg5OTAiPjE3ODg8L2tleT48a2V5IGFwcD0iRU5XZWIiIGRiLWlkPSIiPjA8
L2tleT48L2ZvcmVpZ24ta2V5cz48cmVmLXR5cGUgbmFtZT0iSm91cm5hbCBBcnRpY2xlIj4xNzwv
cmVmLXR5cGU+PGNvbnRyaWJ1dG9ycz48YXV0aG9ycz48YXV0aG9yPkZsYW5uZXJ5LCBDLjwvYXV0
aG9yPjxhdXRob3I+TWNIdWdoLCBTLjwvYXV0aG9yPjxhdXRob3I+QW5hYmEsIEEuIEUuPC9hdXRo
b3I+PGF1dGhvcj5DbGlmZm9yZCwgRS48L2F1dGhvcj48YXV0aG9yPk8mYXBvcztSaW9yZGFuLCBN
LjwvYXV0aG9yPjxhdXRob3I+S2VubnksIEwuIEMuPC9hdXRob3I+PGF1dGhvcj5NY0F1bGlmZmUs
IEYuIE0uPC9hdXRob3I+PGF1dGhvcj5LZWFybmV5LCBQLiBNLjwvYXV0aG9yPjxhdXRob3I+Qnly
bmUsIE0uPC9hdXRob3I+PC9hdXRob3JzPjwvY29udHJpYnV0b3JzPjxhdXRoLWFkZHJlc3M+SGVh
bHRoIEJlaGF2aW91ciBDaGFuZ2UgUmVzZWFyY2ggR3JvdXAsIFNjaG9vbCBvZiBQc3ljaG9sb2d5
LCBOYXRpb25hbCBVbml2ZXJzaXR5IG9mIElyZWxhbmQsIEdhbHdheSwgSXJlbGFuZC4gY2ZsYW5u
ZXJ5QHVjYy5pZS4mI3hEO1NjaG9vbCBvZiBQdWJsaWMgSGVhbHRoLCBVbml2ZXJzaXR5IENvbGxl
Z2UgQ29yaywgQ29yaywgSXJlbGFuZC4mI3hEO0RlcGFydG1lbnQgb2YgTnV0cml0aW9uICZhbXA7
IERpZXRldGljcywgU291dGggSW5maXJtYXJ5IFZpY3RvcmlhIFVuaXZlcnNpdHkgSG9zcGl0YWws
IENvcmssIElyZWxhbmQuJiN4RDtEZXBhcnRtZW50IE9ic3RldHJpY3MgYW5kIEd5bmFlY29sb2d5
LCBVbml2ZXJzaXR5IENvbGxlZ2UgQ29yaywgQ29yaywgSXJlbGFuZC4mI3hEO0RlcGFydG1lbnQg
b2YgV29tZW4mYXBvcztzIGFuZCBDaGlsZHJlbiZhcG9zO3MgSGVhbHRoLCBGYWN1bHR5IG9mIEhl
YWx0aCBhbmQgTGlmZSBTY2llbmNlcywgVW5pdmVyc2l0eSBvZiBMaXZlcnBvb2wsIExpdmVycG9v
bCwgVUsuJiN4RDtVQ0QgUGVyaW5hdGFsIFJlc2VhcmNoIENlbnRyZSwgU2Nob29sIG9mIE1lZGlj
aW5lLCBVbml2ZXJzaXR5IENvbGxlZ2UgRHVibGluLCBOYXRpb25hbCBNYXRlcm5pdHkgSG9zcGl0
YWwsIER1YmxpbiwgSXJlbGFuZC4mI3hEO0hlYWx0aCBCZWhhdmlvdXIgQ2hhbmdlIFJlc2VhcmNo
IEdyb3VwLCBTY2hvb2wgb2YgUHN5Y2hvbG9neSwgTmF0aW9uYWwgVW5pdmVyc2l0eSBvZiBJcmVs
YW5kLCBHYWx3YXksIElyZWxhbmQuPC9hdXRoLWFkZHJlc3M+PHRpdGxlcz48dGl0bGU+RW5hYmxl
cnMgYW5kIGJhcnJpZXJzIHRvIHBoeXNpY2FsIGFjdGl2aXR5IGluIG92ZXJ3ZWlnaHQgYW5kIG9i
ZXNlIHByZWduYW50IHdvbWVuOiBhbiBhbmFseXNpcyBpbmZvcm1lZCBieSB0aGUgdGhlb3JldGlj
YWwgZG9tYWlucyBmcmFtZXdvcmsgYW5kIENPTS1CIG1vZGVsPC90aXRsZT48c2Vjb25kYXJ5LXRp
dGxlPkJNQyBQcmVnbmFuY3kgQ2hpbGRiaXJ0aDwvc2Vjb25kYXJ5LXRpdGxlPjwvdGl0bGVzPjxw
ZXJpb2RpY2FsPjxmdWxsLXRpdGxlPkJNQyBQcmVnbmFuY3kgQ2hpbGRiaXJ0aDwvZnVsbC10aXRs
ZT48L3BlcmlvZGljYWw+PHBhZ2VzPjE3ODwvcGFnZXM+PHZvbHVtZT4xODwvdm9sdW1lPjxudW1i
ZXI+MTwvbnVtYmVyPjxlZGl0aW9uPjIwMTgvMDUvMjM8L2VkaXRpb24+PGtleXdvcmRzPjxrZXl3
b3JkPkFkdWx0PC9rZXl3b3JkPjxrZXl3b3JkPkF0dGl0dWRlIHRvIEhlYWx0aDwva2V5d29yZD48
a2V5d29yZD5FeGVyY2lzZS8qcHN5Y2hvbG9neTwva2V5d29yZD48a2V5d29yZD5GZW1hbGU8L2tl
eXdvcmQ+PGtleXdvcmQ+SGVhbHRoIEJlaGF2aW9yPC9rZXl3b3JkPjxrZXl3b3JkPkh1bWFuczwv
a2V5d29yZD48a2V5d29yZD5JcmVsYW5kPC9rZXl3b3JkPjxrZXl3b3JkPk1vZGVscywgVGhlb3Jl
dGljYWw8L2tleXdvcmQ+PGtleXdvcmQ+TW90aXZhdGlvbjwva2V5d29yZD48a2V5d29yZD5PYmVz
aXR5Lypwc3ljaG9sb2d5PC9rZXl3b3JkPjxrZXl3b3JkPk92ZXJ3ZWlnaHQvKnBzeWNob2xvZ3k8
L2tleXdvcmQ+PGtleXdvcmQ+UHJlZ25hbmN5PC9rZXl3b3JkPjxrZXl3b3JkPlByZWduYW5jeSBD
b21wbGljYXRpb25zLypwc3ljaG9sb2d5PC9rZXl3b3JkPjxrZXl3b3JkPlByZWduYW50IFdvbWVu
Lypwc3ljaG9sb2d5PC9rZXl3b3JkPjxrZXl3b3JkPlF1YWxpdGF0aXZlIFJlc2VhcmNoPC9rZXl3
b3JkPjxrZXl3b3JkPllvdW5nIEFkdWx0PC9rZXl3b3JkPjxrZXl3b3JkPkJlaGF2aW91ciBjaGFu
Z2Ugd2hlZWw8L2tleXdvcmQ+PGtleXdvcmQ+Q09NLUIgbW9kZWw8L2tleXdvcmQ+PGtleXdvcmQ+
TWF0ZXJuYWwgaGVhbHRoPC9rZXl3b3JkPjxrZXl3b3JkPk9iZXNpdHk8L2tleXdvcmQ+PGtleXdv
cmQ+T3ZlcndlaWdodDwva2V5d29yZD48a2V5d29yZD5QaHlzaWNhbCBhY3Rpdml0eTwva2V5d29y
ZD48a2V5d29yZD5QcmVnbmFudCB3b21lbjwva2V5d29yZD48a2V5d29yZD5UaGVvcmV0aWNhbCBk
b21haW5zIGZyYW1ld29yazwva2V5d29yZD48L2tleXdvcmRzPjxkYXRlcz48eWVhcj4yMDE4PC95
ZWFyPjxwdWItZGF0ZXM+PGRhdGU+TWF5IDIxPC9kYXRlPjwvcHViLWRhdGVzPjwvZGF0ZXM+PGlz
Ym4+MTQ3MS0yMzkzIChFbGVjdHJvbmljKSYjeEQ7MTQ3MS0yMzkzIChMaW5raW5nKTwvaXNibj48
YWNjZXNzaW9uLW51bT4yOTc4MzkzMzwvYWNjZXNzaW9uLW51bT48dXJscz48cmVsYXRlZC11cmxz
Pjx1cmw+aHR0cHM6Ly93d3cubmNiaS5ubG0ubmloLmdvdi9wdWJtZWQvMjk3ODM5MzM8L3VybD48
L3JlbGF0ZWQtdXJscz48L3VybHM+PGN1c3RvbTI+UE1DNTk2MzA5OTwvY3VzdG9tMj48ZWxlY3Ry
b25pYy1yZXNvdXJjZS1udW0+MTAuMTE4Ni9zMTI4ODQtMDE4LTE4MTYtejwvZWxlY3Ryb25pYy1y
ZXNvdXJjZS1udW0+PC9yZWNvcmQ+PC9DaXRlPjwvRW5kTm90ZT4A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267</w:t>
      </w:r>
      <w:r w:rsidR="00283324">
        <w:fldChar w:fldCharType="end"/>
      </w:r>
      <w:r>
        <w:t xml:space="preserve"> found that h</w:t>
      </w:r>
      <w:r w:rsidRPr="005D2651">
        <w:t xml:space="preserve">aving the social opportunity to engage in </w:t>
      </w:r>
      <w:r>
        <w:t>exercise</w:t>
      </w:r>
      <w:r w:rsidRPr="005D2651">
        <w:t xml:space="preserve"> </w:t>
      </w:r>
      <w:r>
        <w:t>and being supported by partners were enablers</w:t>
      </w:r>
      <w:r w:rsidRPr="005D2651">
        <w:t xml:space="preserve">. </w:t>
      </w:r>
      <w:r>
        <w:t>Identified barriers to participating in exercise were k</w:t>
      </w:r>
      <w:r w:rsidRPr="005D2651">
        <w:t xml:space="preserve">nowledge </w:t>
      </w:r>
      <w:r>
        <w:t>about</w:t>
      </w:r>
      <w:r w:rsidRPr="005D2651">
        <w:t xml:space="preserve"> safe activities during pregnancy</w:t>
      </w:r>
      <w:r>
        <w:t xml:space="preserve">, </w:t>
      </w:r>
      <w:r w:rsidRPr="005D2651">
        <w:t xml:space="preserve">the physical capability and physical opportunity to carry out </w:t>
      </w:r>
      <w:r>
        <w:t xml:space="preserve">exercise, </w:t>
      </w:r>
      <w:r w:rsidRPr="005D2651">
        <w:t>experiencing pain, a lack of t</w:t>
      </w:r>
      <w:r w:rsidR="008872D5">
        <w:t>ime, having other children</w:t>
      </w:r>
      <w:r w:rsidRPr="005D2651">
        <w:t xml:space="preserve"> and working. </w:t>
      </w:r>
    </w:p>
    <w:p w14:paraId="08575E12" w14:textId="1115A627" w:rsidR="003E3405" w:rsidRDefault="003E3405" w:rsidP="00E226F8">
      <w:pPr>
        <w:pStyle w:val="Heading3"/>
      </w:pPr>
      <w:bookmarkStart w:id="116" w:name="_Toc40956511"/>
      <w:r>
        <w:t xml:space="preserve">Effect on physical fitness and </w:t>
      </w:r>
      <w:r w:rsidR="00DA4CE7">
        <w:t>risk of injury</w:t>
      </w:r>
      <w:bookmarkEnd w:id="116"/>
    </w:p>
    <w:p w14:paraId="7F7A420E" w14:textId="6A9534D9" w:rsidR="008D79A7" w:rsidRDefault="008D79A7" w:rsidP="003E3405">
      <w:r>
        <w:t>A systematic review (</w:t>
      </w:r>
      <w:r w:rsidRPr="00BD61CC">
        <w:rPr>
          <w:sz w:val="16"/>
          <w:szCs w:val="16"/>
        </w:rPr>
        <w:t>26 RCTs</w:t>
      </w:r>
      <w:r>
        <w:t>) found low to high</w:t>
      </w:r>
      <w:r w:rsidRPr="00495F22">
        <w:t xml:space="preserve"> certainty evidence that exercise was associated with improved predicted/measured VO</w:t>
      </w:r>
      <w:r w:rsidRPr="00495F22">
        <w:rPr>
          <w:sz w:val="12"/>
          <w:szCs w:val="12"/>
        </w:rPr>
        <w:t xml:space="preserve">2 max </w:t>
      </w:r>
      <w:r w:rsidRPr="00495F22">
        <w:t>(</w:t>
      </w:r>
      <w:r w:rsidRPr="00BD61CC">
        <w:rPr>
          <w:sz w:val="16"/>
          <w:szCs w:val="16"/>
        </w:rPr>
        <w:t>5 RCTs, n=430; MD 2.77 mL/kg/min; 95%CI 0.32 to 5.21</w:t>
      </w:r>
      <w:r w:rsidRPr="00495F22">
        <w:t>), reduced resting heart rate (</w:t>
      </w:r>
      <w:r w:rsidRPr="00BD61CC">
        <w:rPr>
          <w:sz w:val="16"/>
          <w:szCs w:val="16"/>
        </w:rPr>
        <w:t>9 RCTs, n=637; MD -1.71 bpm; 95%CI -3.24 to -0.19</w:t>
      </w:r>
      <w:r w:rsidRPr="00495F22">
        <w:t>), resting systolic blood pressure (</w:t>
      </w:r>
      <w:r w:rsidRPr="00BD61CC">
        <w:rPr>
          <w:sz w:val="16"/>
          <w:szCs w:val="16"/>
        </w:rPr>
        <w:t>16 RCTs, n=1,672; MD −2.11 mmHg, 95% CI −3.71 to −0.51</w:t>
      </w:r>
      <w:r w:rsidRPr="00495F22">
        <w:t>) and diastolic blood pressure (</w:t>
      </w:r>
      <w:r w:rsidRPr="00BD61CC">
        <w:rPr>
          <w:sz w:val="16"/>
          <w:szCs w:val="16"/>
        </w:rPr>
        <w:t>15 RCTs, n=1,624; MD −1.77 mmHg, 95%CI −2.90 to −0.64</w:t>
      </w:r>
      <w:r w:rsidRPr="00495F22">
        <w:t>).</w:t>
      </w:r>
    </w:p>
    <w:p w14:paraId="3782EC20" w14:textId="4ABD27B4" w:rsidR="0051646E" w:rsidRDefault="00C3070F" w:rsidP="003E3405">
      <w:r>
        <w:t>S</w:t>
      </w:r>
      <w:r w:rsidR="002D48B1">
        <w:t>ix</w:t>
      </w:r>
      <w:r w:rsidR="00F35DFF">
        <w:t xml:space="preserve"> </w:t>
      </w:r>
      <w:r w:rsidR="00895828">
        <w:t>RCTs</w:t>
      </w:r>
      <w:r w:rsidR="00283324">
        <w:fldChar w:fldCharType="begin">
          <w:fldData xml:space="preserve">PEVuZE5vdGU+PENpdGU+PEF1dGhvcj5IYWx2b3JzZW48L0F1dGhvcj48WWVhcj4yMDEzPC9ZZWFy
PjxSZWNOdW0+MTc4MzwvUmVjTnVtPjxEaXNwbGF5VGV4dD48c3R5bGUgZmFjZT0ic3VwZXJzY3Jp
cHQiIGZvbnQ9IlRyZWJ1Y2hldCBNUyIgc2l6ZT0iOSI+MjY4LTI3Mzwvc3R5bGU+PC9EaXNwbGF5
VGV4dD48cmVjb3JkPjxyZWMtbnVtYmVyPjE3ODM8L3JlYy1udW1iZXI+PGZvcmVpZ24ta2V5cz48
a2V5IGFwcD0iRU4iIGRiLWlkPSJleHZhc3JmeDJkdHJhb2VzYXN4cDJzenN4YTJkZjUwMjU5Mngi
IHRpbWVzdGFtcD0iMTU4MzIwNDE5NCI+MTc4Mzwva2V5PjxrZXkgYXBwPSJFTldlYiIgZGItaWQ9
IiI+MDwva2V5PjwvZm9yZWlnbi1rZXlzPjxyZWYtdHlwZSBuYW1lPSJKb3VybmFsIEFydGljbGUi
PjE3PC9yZWYtdHlwZT48Y29udHJpYnV0b3JzPjxhdXRob3JzPjxhdXRob3I+SGFsdm9yc2VuLCBT
LjwvYXV0aG9yPjxhdXRob3I+SGFha3N0YWQsIEwuIEEuPC9hdXRob3I+PGF1dGhvcj5FZHZhcmRz
ZW4sIEUuPC9hdXRob3I+PGF1dGhvcj5CbywgSy48L2F1dGhvcj48L2F1dGhvcnM+PC9jb250cmli
dXRvcnM+PGF1dGgtYWRkcmVzcz5EZXBhcnRtZW50IG9mIFNwb3J0cyBNZWRpY2luZSwgTm9yd2Vn
aWFuIFNjaG9vbCBvZiBTcG9ydCBTY2llbmNlcywgUC5PLiBCb3ggNDAxNCwgVWxsZXZhbCBTdGFk
aW9uLCAwODA2IE9zbG8sIE5vcndheS4gc2lsamUuaGFsdm9yc2VuQG1lZGlzaW4udWlvLm5vPC9h
dXRoLWFkZHJlc3M+PHRpdGxlcz48dGl0bGU+RWZmZWN0IG9mIGFlcm9iaWMgZGFuY2Ugb24gY2Fy
ZGlvcmVzcGlyYXRvcnkgZml0bmVzcyBpbiBwcmVnbmFudCB3b21lbjogYSByYW5kb21pc2VkIGNv
bnRyb2xsZWQgdHJpYWw8L3RpdGxlPjxzZWNvbmRhcnktdGl0bGU+UGh5c2lvdGhlcmFweTwvc2Vj
b25kYXJ5LXRpdGxlPjwvdGl0bGVzPjxwZXJpb2RpY2FsPjxmdWxsLXRpdGxlPlBoeXNpb3RoZXJh
cHk8L2Z1bGwtdGl0bGU+PC9wZXJpb2RpY2FsPjxwYWdlcz40Mi04PC9wYWdlcz48dm9sdW1lPjk5
PC92b2x1bWU+PG51bWJlcj4xPC9udW1iZXI+PGVkaXRpb24+MjAxMi8xMS8yOTwvZWRpdGlvbj48
a2V5d29yZHM+PGtleXdvcmQ+QWR1bHQ8L2tleXdvcmQ+PGtleXdvcmQ+Q2FzZS1Db250cm9sIFN0
dWRpZXM8L2tleXdvcmQ+PGtleXdvcmQ+Q2hpLVNxdWFyZSBEaXN0cmlidXRpb248L2tleXdvcmQ+
PGtleXdvcmQ+RGFuY2luZy8qcGh5c2lvbG9neTwva2V5d29yZD48a2V5d29yZD5FeGVyY2lzZSBU
ZXN0PC9rZXl3b3JkPjxrZXl3b3JkPkZlbWFsZTwva2V5d29yZD48a2V5d29yZD5IdW1hbnM8L2tl
eXdvcmQ+PGtleXdvcmQ+TGFjdGF0ZXMvYmxvb2Q8L2tleXdvcmQ+PGtleXdvcmQ+Tm9yd2F5PC9r
ZXl3b3JkPjxrZXl3b3JkPk94eWdlbiBDb25zdW1wdGlvbi9waHlzaW9sb2d5PC9rZXl3b3JkPjxr
ZXl3b3JkPlBoeXNpY2FsIEZpdG5lc3MvKnBoeXNpb2xvZ3k8L2tleXdvcmQ+PGtleXdvcmQ+UHJl
Z25hbmN5PC9rZXl3b3JkPjxrZXl3b3JkPlRyZWF0bWVudCBPdXRjb21lPC9rZXl3b3JkPjwva2V5
d29yZHM+PGRhdGVzPjx5ZWFyPjIwMTM8L3llYXI+PHB1Yi1kYXRlcz48ZGF0ZT5NYXI8L2RhdGU+
PC9wdWItZGF0ZXM+PC9kYXRlcz48aXNibj4xODczLTE0NjUgKEVsZWN0cm9uaWMpJiN4RDswMDMx
LTk0MDYgKExpbmtpbmcpPC9pc2JuPjxhY2Nlc3Npb24tbnVtPjIzMTg2NzMwPC9hY2Nlc3Npb24t
bnVtPjx1cmxzPjxyZWxhdGVkLXVybHM+PHVybD5odHRwczovL3d3dy5uY2JpLm5sbS5uaWguZ292
L3B1Ym1lZC8yMzE4NjczMDwvdXJsPjwvcmVsYXRlZC11cmxzPjwvdXJscz48ZWxlY3Ryb25pYy1y
ZXNvdXJjZS1udW0+MTAuMTAxNi9qLnBoeXNpby4yMDExLjExLjAwMjwvZWxlY3Ryb25pYy1yZXNv
dXJjZS1udW0+PC9yZWNvcmQ+PC9DaXRlPjxDaXRlPjxBdXRob3I+Qmlzc29uPC9BdXRob3I+PFll
YXI+MjAxNTwvWWVhcj48UmVjTnVtPjY3NzwvUmVjTnVtPjxyZWNvcmQ+PHJlYy1udW1iZXI+Njc3
PC9yZWMtbnVtYmVyPjxmb3JlaWduLWtleXM+PGtleSBhcHA9IkVOIiBkYi1pZD0iZXh2YXNyZngy
ZHRyYW9lc2FzeHAyc3pzeGEyZGY1MDI1OTJ4IiB0aW1lc3RhbXA9IjE1NDA1MjY4MTQiPjY3Nzwv
a2V5PjwvZm9yZWlnbi1rZXlzPjxyZWYtdHlwZSBuYW1lPSJKb3VybmFsIEFydGljbGUiPjE3PC9y
ZWYtdHlwZT48Y29udHJpYnV0b3JzPjxhdXRob3JzPjxhdXRob3I+Qmlzc29uLCBNLjwvYXV0aG9y
PjxhdXRob3I+QWxtZXJhcywgTi48L2F1dGhvcj48YXV0aG9yPkR1ZnJlc25lLCBTLiBTLjwvYXV0
aG9yPjxhdXRob3I+Um9iaXRhaWxsZSwgSi48L2F1dGhvcj48YXV0aG9yPlJoZWF1bWUsIEMuPC9h
dXRob3I+PGF1dGhvcj5CdWpvbGQsIEUuPC9hdXRob3I+PGF1dGhvcj5GcmVuZXR0ZSwgSi48L2F1
dGhvcj48YXV0aG9yPlRyZW1ibGF5LCBBLjwvYXV0aG9yPjxhdXRob3I+TWFyYywgSS48L2F1dGhv
cj48L2F1dGhvcnM+PC9jb250cmlidXRvcnM+PGF1dGgtYWRkcmVzcz5EZXBhcnRtZW50IG9mIFBl
ZGlhdHJpY3MsIENlbnRyZSBob3NwaXRhbGllciB1bml2ZXJzaXRhaXJlIChDSFUpIGRlIFF1ZWJl
YywgTGF2YWwgVW5pdmVyc2l0eSwgUXVlYmVjIENpdHksIFByb3ZpbmNlIG9mIFF1ZWJlYywgQ2Fu
YWRhOyBEZXBhcnRtZW50IG9mIEtpbmVzaW9sb2d5LCBMYXZhbCBVbml2ZXJzaXR5LCBRdWViZWMg
Q2l0eSwgUHJvdmluY2Ugb2YgUXVlYmVjLCBDYW5hZGEuJiN4RDtEZXBhcnRtZW50IG9mIEtpbmVz
aW9sb2d5LCBMYXZhbCBVbml2ZXJzaXR5LCBRdWViZWMgQ2l0eSwgUHJvdmluY2Ugb2YgUXVlYmVj
LCBDYW5hZGEuJiN4RDtEZXBhcnRtZW50IG9mIFJlaGFiaWxpdGF0aW9uLCBDSFUgZGUgUXVlYmVj
LCBMYXZhbCBVbml2ZXJzaXR5LCBRdWViZWMgQ2l0eSwgUHJvdmluY2Ugb2YgUXVlYmVjLCBDYW5h
ZGEuJiN4RDtEZXBhcnRtZW50IG9mIEZvb2QgU2NpZW5jZSBhbmQgTnV0cml0aW9uLCBMYXZhbCBV
bml2ZXJzaXR5LCBRdWViZWMgQ2l0eSwgUHJvdmluY2Ugb2YgUXVlYmVjLCBDYW5hZGEuJiN4RDtE
ZXBhcnRtZW50IG9mIEZhbWlseSBNZWRpY2luZSBhbmQgRW1lcmdlbmN5IE1lZGljaW5lLCBMYXZh
bCBVbml2ZXJzaXR5LCBRdWViZWMgQ2l0eSwgUHJvdmluY2Ugb2YgUXVlYmVjLiYjeEQ7RGVwYXJ0
bWVudCBvZiBPYnN0ZXRyaWNzIGFuZCBHeW5lY29sb2d5LCBDSFUgZGUgUXVlYmVjLCBMYXZhbCBV
bml2ZXJzaXR5LCBRdWViZWMgQ2l0eSwgUHJvdmluY2Ugb2YgUXVlYmVjLCBDYW5hZGEuJiN4RDtE
ZXBhcnRtZW50IG9mIFBlZGlhdHJpY3MsIENlbnRyZSBob3NwaXRhbGllciB1bml2ZXJzaXRhaXJl
IChDSFUpIGRlIFF1ZWJlYywgTGF2YWwgVW5pdmVyc2l0eSwgUXVlYmVjIENpdHksIFByb3ZpbmNl
IG9mIFF1ZWJlYywgQ2FuYWRhLjwvYXV0aC1hZGRyZXNzPjx0aXRsZXM+PHRpdGxlPkEgMTItV2Vl
ayBFeGVyY2lzZSBQcm9ncmFtIGZvciBQcmVnbmFudCBXb21lbiB3aXRoIE9iZXNpdHkgdG8gSW1w
cm92ZSBQaHlzaWNhbCBBY3Rpdml0eSBMZXZlbHM6IEFuIE9wZW4gUmFuZG9taXNlZCBQcmVsaW1p
bmFyeSBTdHVkeTwvdGl0bGU+PHNlY29uZGFyeS10aXRsZT5QTG9TIE9uZTwvc2Vjb25kYXJ5LXRp
dGxlPjwvdGl0bGVzPjxwZXJpb2RpY2FsPjxmdWxsLXRpdGxlPlBMb1MgT25lPC9mdWxsLXRpdGxl
PjwvcGVyaW9kaWNhbD48cGFnZXM+ZTAxMzc3NDI8L3BhZ2VzPjx2b2x1bWU+MTA8L3ZvbHVtZT48
bnVtYmVyPjk8L251bWJlcj48ZWRpdGlvbj4yMDE1LzA5LzE3PC9lZGl0aW9uPjxrZXl3b3Jkcz48
a2V5d29yZD5BZHVsdDwva2V5d29yZD48a2V5d29yZD4qQm9keSBNYXNzIEluZGV4PC9rZXl3b3Jk
PjxrZXl3b3JkPkJvZHkgV2VpZ2h0PC9rZXl3b3JkPjxrZXl3b3JkPkNhc2UtQ29udHJvbCBTdHVk
aWVzPC9rZXl3b3JkPjxrZXl3b3JkPkVuZXJneSBJbnRha2U8L2tleXdvcmQ+PGtleXdvcmQ+RXhl
cmNpc2UgVGhlcmFweS8qbWV0aG9kczwva2V5d29yZD48a2V5d29yZD5GZW1hbGU8L2tleXdvcmQ+
PGtleXdvcmQ+SHVtYW5zPC9rZXl3b3JkPjxrZXl3b3JkPipMaWZlIFN0eWxlPC9rZXl3b3JkPjxr
ZXl3b3JkPk9iZXNpdHkvcHJldmVudGlvbiAmYW1wOyBjb250cm9sLyp0aGVyYXB5PC9rZXl3b3Jk
PjxrZXl3b3JkPk94eWdlbiBDb25zdW1wdGlvbjwva2V5d29yZD48a2V5d29yZD5QcmVnbmFuY3k8
L2tleXdvcmQ+PGtleXdvcmQ+UHJlZ25hbmN5IE91dGNvbWU8L2tleXdvcmQ+PGtleXdvcmQ+UHJl
Z25hbnQgV29tZW48L2tleXdvcmQ+PGtleXdvcmQ+V2VpZ2h0IEdhaW48L2tleXdvcmQ+PC9rZXl3
b3Jkcz48ZGF0ZXM+PHllYXI+MjAxNTwveWVhcj48L2RhdGVzPjxpc2JuPjE5MzItNjIwMyAoRWxl
Y3Ryb25pYykmI3hEOzE5MzItNjIwMyAoTGlua2luZyk8L2lzYm4+PGFjY2Vzc2lvbi1udW0+MjYz
NzU0NzE8L2FjY2Vzc2lvbi1udW0+PHVybHM+PHJlbGF0ZWQtdXJscz48dXJsPmh0dHBzOi8vd3d3
Lm5jYmkubmxtLm5paC5nb3YvcHVibWVkLzI2Mzc1NDcxPC91cmw+PC9yZWxhdGVkLXVybHM+PC91
cmxzPjxjdXN0b20yPlBNQzQ1NzM3NTc8L2N1c3RvbTI+PGVsZWN0cm9uaWMtcmVzb3VyY2UtbnVt
PjEwLjEzNzEvam91cm5hbC5wb25lLjAxMzc3NDI8L2VsZWN0cm9uaWMtcmVzb3VyY2UtbnVtPjwv
cmVjb3JkPjwvQ2l0ZT48Q2l0ZT48QXV0aG9yPmRlIE9saXZlcmlhIE1lbG88L0F1dGhvcj48WWVh
cj4yMDEyPC9ZZWFyPjxSZWNOdW0+Njg3PC9SZWNOdW0+PHJlY29yZD48cmVjLW51bWJlcj42ODc8
L3JlYy1udW1iZXI+PGZvcmVpZ24ta2V5cz48a2V5IGFwcD0iRU4iIGRiLWlkPSJleHZhc3JmeDJk
dHJhb2VzYXN4cDJzenN4YTJkZjUwMjU5MngiIHRpbWVzdGFtcD0iMTU0MDUyNzMxOSI+Njg3PC9r
ZXk+PC9mb3JlaWduLWtleXM+PHJlZi10eXBlIG5hbWU9IkpvdXJuYWwgQXJ0aWNsZSI+MTc8L3Jl
Zi10eXBlPjxjb250cmlidXRvcnM+PGF1dGhvcnM+PGF1dGhvcj5kZSBPbGl2ZXJpYSBNZWxvLCBB
LiBTLjwvYXV0aG9yPjxhdXRob3I+U2lsdmEsIEouIEwuPC9hdXRob3I+PGF1dGhvcj5UYXZhcmVz
LCBKLiBTLjwvYXV0aG9yPjxhdXRob3I+QmFycm9zLCBWLiBPLjwvYXV0aG9yPjxhdXRob3I+TGVp
dGUsIEQuIEYuPC9hdXRob3I+PGF1dGhvcj5BbW9yaW0sIE0uIE0uPC9hdXRob3I+PC9hdXRob3Jz
PjwvY29udHJpYnV0b3JzPjxhdXRoLWFkZHJlc3M+RGVwYXJ0bWVudCBvZiBPYnN0ZXRyaWNzLCBT
Y2hvb2wgTWVkaWNhbCBTY2llbmNlcywgVW5pdmVyc2l0eSBvZiBDYW1waW5hcywgQ2FtcGluYXMs
IEJyYXppbC4gYXNvbWVsb0BnbWFpbC5jb208L2F1dGgtYWRkcmVzcz48dGl0bGVzPjx0aXRsZT5F
ZmZlY3Qgb2YgYSBwaHlzaWNhbCBleGVyY2lzZSBwcm9ncmFtIGR1cmluZyBwcmVnbmFuY3kgb24g
dXRlcm9wbGFjZW50YWwgYW5kIGZldGFsIGJsb29kIGZsb3cgYW5kIGZldGFsIGdyb3d0aDogYSBy
YW5kb21pemVkIGNvbnRyb2xsZWQgdHJpYWw8L3RpdGxlPjxzZWNvbmRhcnktdGl0bGU+T2JzdGV0
IEd5bmVjb2w8L3NlY29uZGFyeS10aXRsZT48L3RpdGxlcz48cGVyaW9kaWNhbD48ZnVsbC10aXRs
ZT5PYnN0ZXQgR3luZWNvbDwvZnVsbC10aXRsZT48L3BlcmlvZGljYWw+PHBhZ2VzPjMwMi0xMDwv
cGFnZXM+PHZvbHVtZT4xMjA8L3ZvbHVtZT48bnVtYmVyPjIgUHQgMTwvbnVtYmVyPjxlZGl0aW9u
PjIwMTIvMDcvMjU8L2VkaXRpb24+PGtleXdvcmRzPjxrZXl3b3JkPkFkdWx0PC9rZXl3b3JkPjxr
ZXl3b3JkPipCaXJ0aCBXZWlnaHQ8L2tleXdvcmQ+PGtleXdvcmQ+Qmxvb2QgUHJlc3N1cmU8L2tl
eXdvcmQ+PGtleXdvcmQ+RXhlcmNpc2UvKnBoeXNpb2xvZ3k8L2tleXdvcmQ+PGtleXdvcmQ+RmVt
YWxlPC9rZXl3b3JkPjxrZXl3b3JkPipGZXRhbCBEZXZlbG9wbWVudDwva2V5d29yZD48a2V5d29y
ZD5GZXR1cy9ibG9vZCBzdXBwbHk8L2tleXdvcmQ+PGtleXdvcmQ+SHVtYW5zPC9rZXl3b3JkPjxr
ZXl3b3JkPkluZmFudCwgTmV3Ym9ybjwva2V5d29yZD48a2V5d29yZD5QaHlzaWNhbCBGaXRuZXNz
PC9rZXl3b3JkPjxrZXl3b3JkPipQbGFjZW50YWwgQ2lyY3VsYXRpb248L2tleXdvcmQ+PGtleXdv
cmQ+UHJlZ25hbmN5LypwaHlzaW9sb2d5PC9rZXl3b3JkPjxrZXl3b3JkPllvdW5nIEFkdWx0PC9r
ZXl3b3JkPjwva2V5d29yZHM+PGRhdGVzPjx5ZWFyPjIwMTI8L3llYXI+PHB1Yi1kYXRlcz48ZGF0
ZT5BdWc8L2RhdGU+PC9wdWItZGF0ZXM+PC9kYXRlcz48aXNibj4xODczLTIzM1ggKEVsZWN0cm9u
aWMpJiN4RDswMDI5LTc4NDQgKExpbmtpbmcpPC9pc2JuPjxhY2Nlc3Npb24tbnVtPjIyODI1MDg5
PC9hY2Nlc3Npb24tbnVtPjx1cmxzPjxyZWxhdGVkLXVybHM+PHVybD5odHRwczovL3d3dy5uY2Jp
Lm5sbS5uaWguZ292L3B1Ym1lZC8yMjgyNTA4OTwvdXJsPjwvcmVsYXRlZC11cmxzPjwvdXJscz48
ZWxlY3Ryb25pYy1yZXNvdXJjZS1udW0+MTAuMTA5Ny9BT0cuMGIwMTNlMzE4MjVkZTU5MjwvZWxl
Y3Ryb25pYy1yZXNvdXJjZS1udW0+PC9yZWNvcmQ+PC9DaXRlPjxDaXRlPjxBdXRob3I+R3VlbGZp
PC9BdXRob3I+PFllYXI+MjAxNjwvWWVhcj48UmVjTnVtPjcyMzwvUmVjTnVtPjxyZWNvcmQ+PHJl
Yy1udW1iZXI+NzIzPC9yZWMtbnVtYmVyPjxmb3JlaWduLWtleXM+PGtleSBhcHA9IkVOIiBkYi1p
ZD0iZXh2YXNyZngyZHRyYW9lc2FzeHAyc3pzeGEyZGY1MDI1OTJ4IiB0aW1lc3RhbXA9IjE1NDE0
NjQ4ODAiPjcyMzwva2V5PjwvZm9yZWlnbi1rZXlzPjxyZWYtdHlwZSBuYW1lPSJKb3VybmFsIEFy
dGljbGUiPjE3PC9yZWYtdHlwZT48Y29udHJpYnV0b3JzPjxhdXRob3JzPjxhdXRob3I+R3VlbGZp
LCBLLiBKLjwvYXV0aG9yPjxhdXRob3I+T25nLCBNLiBKLjwvYXV0aG9yPjxhdXRob3I+Q3Jpc3As
IE4uIEEuPC9hdXRob3I+PGF1dGhvcj5Gb3VybmllciwgUC4gQS48L2F1dGhvcj48YXV0aG9yPldh
bGxtYW4sIEsuIEUuPC9hdXRob3I+PGF1dGhvcj5Hcm92ZSwgSi4gUi48L2F1dGhvcj48YXV0aG9y
PkRvaGVydHksIEQuIEEuPC9hdXRob3I+PGF1dGhvcj5OZXduaGFtLCBKLiBQLjwvYXV0aG9yPjwv
YXV0aG9ycz48L2NvbnRyaWJ1dG9ycz48YXV0aC1hZGRyZXNzPlNjaG9vbCBvZiBTcG9ydCBTY2ll
bmNlLCBFeGVyY2lzZSBhbmQgSGVhbHRoIGFuZCB0aGUgU2Nob29sIG9mIFdvbWVuJmFwb3M7cyBh
bmQgSW5mYW50cyZhcG9zOyBIZWFsdGgsIHRoZSBVbml2ZXJzaXR5IG9mIFdlc3Rlcm4gQXVzdHJh
bGlhLCBQZXJ0aCwgV2VzdGVybiBBdXN0cmFsaWEsIEF1c3RyYWxpYS48L2F1dGgtYWRkcmVzcz48
dGl0bGVzPjx0aXRsZT5SZWd1bGFyIEV4ZXJjaXNlIHRvIFByZXZlbnQgdGhlIFJlY3VycmVuY2Ug
b2YgR2VzdGF0aW9uYWwgRGlhYmV0ZXMgTWVsbGl0dXM6IEEgUmFuZG9taXplZCBDb250cm9sbGVk
IFRyaWFsPC90aXRsZT48c2Vjb25kYXJ5LXRpdGxlPk9ic3RldCBHeW5lY29sPC9zZWNvbmRhcnkt
dGl0bGU+PC90aXRsZXM+PHBlcmlvZGljYWw+PGZ1bGwtdGl0bGU+T2JzdGV0IEd5bmVjb2w8L2Z1
bGwtdGl0bGU+PC9wZXJpb2RpY2FsPjxwYWdlcz44MTktMjc8L3BhZ2VzPjx2b2x1bWU+MTI4PC92
b2x1bWU+PG51bWJlcj40PC9udW1iZXI+PGVkaXRpb24+MjAxNi8wOS8wOTwvZWRpdGlvbj48a2V5
d29yZHM+PGtleXdvcmQ+QWR1bHQ8L2tleXdvcmQ+PGtleXdvcmQ+RGlhYmV0ZXMsIEdlc3RhdGlv
bmFsL2Jsb29kLypwcmV2ZW50aW9uICZhbXA7IGNvbnRyb2w8L2tleXdvcmQ+PGtleXdvcmQ+KkV4
ZXJjaXNlIFRoZXJhcHk8L2tleXdvcmQ+PGtleXdvcmQ+RmVtYWxlPC9rZXl3b3JkPjxrZXl3b3Jk
PkdsdWNvc2UgVG9sZXJhbmNlIFRlc3Q8L2tleXdvcmQ+PGtleXdvcmQ+SHVtYW5zPC9rZXl3b3Jk
PjxrZXl3b3JkPlByZWduYW5jeTwva2V5d29yZD48a2V5d29yZD5QcmVnbmFuY3kgT3V0Y29tZTwv
a2V5d29yZD48a2V5d29yZD4qUHJlbmF0YWwgQ2FyZTwva2V5d29yZD48a2V5d29yZD5SZWN1cnJl
bmNlPC9rZXl3b3JkPjxrZXl3b3JkPlRyZWF0bWVudCBPdXRjb21lPC9rZXl3b3JkPjwva2V5d29y
ZHM+PGRhdGVzPjx5ZWFyPjIwMTY8L3llYXI+PHB1Yi1kYXRlcz48ZGF0ZT5PY3Q8L2RhdGU+PC9w
dWItZGF0ZXM+PC9kYXRlcz48aXNibj4xODczLTIzM1ggKEVsZWN0cm9uaWMpJiN4RDswMDI5LTc4
NDQgKExpbmtpbmcpPC9pc2JuPjxhY2Nlc3Npb24tbnVtPjI3NjA3ODc2PC9hY2Nlc3Npb24tbnVt
Pjx1cmxzPjxyZWxhdGVkLXVybHM+PHVybD5odHRwczovL3d3dy5uY2JpLm5sbS5uaWguZ292L3B1
Ym1lZC8yNzYwNzg3NjwvdXJsPjwvcmVsYXRlZC11cmxzPjwvdXJscz48ZWxlY3Ryb25pYy1yZXNv
dXJjZS1udW0+MTAuMTA5Ny9BT0cuMDAwMDAwMDAwMDAwMTYzMjwvZWxlY3Ryb25pYy1yZXNvdXJj
ZS1udW0+PC9yZWNvcmQ+PC9DaXRlPjxDaXRlPjxBdXRob3I+SG9wa2luczwvQXV0aG9yPjxZZWFy
PjIwMTA8L1llYXI+PFJlY051bT42OTM8L1JlY051bT48cmVjb3JkPjxyZWMtbnVtYmVyPjY5Mzwv
cmVjLW51bWJlcj48Zm9yZWlnbi1rZXlzPjxrZXkgYXBwPSJFTiIgZGItaWQ9ImV4dmFzcmZ4MmR0
cmFvZXNhc3hwMnN6c3hhMmRmNTAyNTkyeCIgdGltZXN0YW1wPSIxNTQwNTMwMDY3Ij42OTM8L2tl
eT48L2ZvcmVpZ24ta2V5cz48cmVmLXR5cGUgbmFtZT0iSm91cm5hbCBBcnRpY2xlIj4xNzwvcmVm
LXR5cGU+PGNvbnRyaWJ1dG9ycz48YXV0aG9ycz48YXV0aG9yPkhvcGtpbnMsIFMuIEEuPC9hdXRo
b3I+PGF1dGhvcj5CYWxkaSwgSi4gQy48L2F1dGhvcj48YXV0aG9yPkN1dGZpZWxkLCBXLiBTLjwv
YXV0aG9yPjxhdXRob3I+TWNDb3dhbiwgTC48L2F1dGhvcj48YXV0aG9yPkhvZm1hbiwgUC4gTC48
L2F1dGhvcj48L2F1dGhvcnM+PC9jb250cmlidXRvcnM+PGF1dGgtYWRkcmVzcz5MaWdnaW5zIElu
c3RpdHV0ZSwgVGhlIFVuaXZlcnNpdHkgb2YgQXVja2xhbmQsIFBPIEJveCA5MjAxOSwgQXVja2xh
bmQgMTE0MiwgTmV3IFplYWxhbmQuPC9hdXRoLWFkZHJlc3M+PHRpdGxlcz48dGl0bGU+RXhlcmNp
c2UgdHJhaW5pbmcgaW4gcHJlZ25hbmN5IHJlZHVjZXMgb2Zmc3ByaW5nIHNpemUgd2l0aG91dCBj
aGFuZ2VzIGluIG1hdGVybmFsIGluc3VsaW4gc2Vuc2l0aXZpdHk8L3RpdGxlPjxzZWNvbmRhcnkt
dGl0bGU+SiBDbGluIEVuZG9jcmlub2wgTWV0YWI8L3NlY29uZGFyeS10aXRsZT48L3RpdGxlcz48
cGVyaW9kaWNhbD48ZnVsbC10aXRsZT5KIENsaW4gRW5kb2NyaW5vbCBNZXRhYjwvZnVsbC10aXRs
ZT48L3BlcmlvZGljYWw+PHBhZ2VzPjIwODAtODwvcGFnZXM+PHZvbHVtZT45NTwvdm9sdW1lPjxu
dW1iZXI+NTwvbnVtYmVyPjxlZGl0aW9uPjIwMTAvMDMvMjY8L2VkaXRpb24+PGtleXdvcmRzPjxr
ZXl3b3JkPkFkdWx0PC9rZXl3b3JkPjxrZXl3b3JkPkFlcm9iaW9zaXM8L2tleXdvcmQ+PGtleXdv
cmQ+QmljeWNsaW5nPC9rZXl3b3JkPjxrZXl3b3JkPipCaXJ0aCBXZWlnaHQ8L2tleXdvcmQ+PGtl
eXdvcmQ+Qmxvb2QgR2x1Y29zZS9tZXRhYm9saXNtPC9rZXl3b3JkPjxrZXl3b3JkPkJvZHkgTWFz
cyBJbmRleDwva2V5d29yZD48a2V5d29yZD5FeGVyY2lzZS8qcGh5c2lvbG9neTwva2V5d29yZD48
a2V5d29yZD5GZW1hbGU8L2tleXdvcmQ+PGtleXdvcmQ+RmV0YWwgQmxvb2QvY2hlbWlzdHJ5PC9r
ZXl3b3JkPjxrZXl3b3JkPkZldGFsIERldmVsb3BtZW50LypwaHlzaW9sb2d5PC9rZXl3b3JkPjxr
ZXl3b3JkPkh1bWFuczwva2V5d29yZD48a2V5d29yZD5JbmZhbnQsIE5ld2Jvcm48L2tleXdvcmQ+
PGtleXdvcmQ+SW5zdWxpbi8qYmxvb2Q8L2tleXdvcmQ+PGtleXdvcmQ+SW5zdWxpbi1MaWtlIEdy
b3d0aCBGYWN0b3IgSS9tZXRhYm9saXNtPC9rZXl3b3JkPjxrZXl3b3JkPkluc3VsaW4tTGlrZSBH
cm93dGggRmFjdG9yIElJL21ldGFib2xpc208L2tleXdvcmQ+PGtleXdvcmQ+TWFsZTwva2V5d29y
ZD48a2V5d29yZD5QcmVnbmFuY3k8L2tleXdvcmQ+PGtleXdvcmQ+UHJlZ25hbmN5IFRyaW1lc3Rl
ciwgU2Vjb25kPC9rZXl3b3JkPjxrZXl3b3JkPlByZWduYW5jeSBUcmltZXN0ZXIsIFRoaXJkPC9r
ZXl3b3JkPjxrZXl3b3JkPlV0ZXJ1cy9waHlzaW9sb2d5PC9rZXl3b3JkPjwva2V5d29yZHM+PGRh
dGVzPjx5ZWFyPjIwMTA8L3llYXI+PHB1Yi1kYXRlcz48ZGF0ZT5NYXk8L2RhdGU+PC9wdWItZGF0
ZXM+PC9kYXRlcz48aXNibj4xOTQ1LTcxOTcgKEVsZWN0cm9uaWMpJiN4RDswMDIxLTk3MlggKExp
bmtpbmcpPC9pc2JuPjxhY2Nlc3Npb24tbnVtPjIwMzM1NDQ5PC9hY2Nlc3Npb24tbnVtPjx1cmxz
PjxyZWxhdGVkLXVybHM+PHVybD5odHRwczovL3d3dy5uY2JpLm5sbS5uaWguZ292L3B1Ym1lZC8y
MDMzNTQ0OTwvdXJsPjwvcmVsYXRlZC11cmxzPjwvdXJscz48ZWxlY3Ryb25pYy1yZXNvdXJjZS1u
dW0+MTAuMTIxMC9qYy4yMDA5LTIyNTU8L2VsZWN0cm9uaWMtcmVzb3VyY2UtbnVtPjwvcmVjb3Jk
PjwvQ2l0ZT48Q2l0ZT48QXV0aG9yPlNlbmV2aXJhdG5lPC9BdXRob3I+PFllYXI+MjAxNjwvWWVh
cj48UmVjTnVtPjk0NTwvUmVjTnVtPjxyZWNvcmQ+PHJlYy1udW1iZXI+OTQ1PC9yZWMtbnVtYmVy
Pjxmb3JlaWduLWtleXM+PGtleSBhcHA9IkVOIiBkYi1pZD0iZXh2YXNyZngyZHRyYW9lc2FzeHAy
c3pzeGEyZGY1MDI1OTJ4IiB0aW1lc3RhbXA9IjE1NDE1NDE4NDkiPjk0NTwva2V5PjxrZXkgYXBw
PSJFTldlYiIgZGItaWQ9IiI+MDwva2V5PjwvZm9yZWlnbi1rZXlzPjxyZWYtdHlwZSBuYW1lPSJK
b3VybmFsIEFydGljbGUiPjE3PC9yZWYtdHlwZT48Y29udHJpYnV0b3JzPjxhdXRob3JzPjxhdXRo
b3I+U2VuZXZpcmF0bmUsIFMuIE4uPC9hdXRob3I+PGF1dGhvcj5KaWFuZywgWS48L2F1dGhvcj48
YXV0aG9yPkRlcnJhaWssIEouPC9hdXRob3I+PGF1dGhvcj5NY0Nvd2FuLCBMLjwvYXV0aG9yPjxh
dXRob3I+UGFycnksIEcuIEsuPC9hdXRob3I+PGF1dGhvcj5CaWdncywgSi4gQi48L2F1dGhvcj48
YXV0aG9yPkNyYWlnaWUsIFMuPC9hdXRob3I+PGF1dGhvcj5HdXNzbywgUy48L2F1dGhvcj48YXV0
aG9yPlBlcmVzLCBHLjwvYXV0aG9yPjxhdXRob3I+Um9kcmlndWVzLCBSLiBPLjwvYXV0aG9yPjxh
dXRob3I+RWtlcm9tYSwgQS48L2F1dGhvcj48YXV0aG9yPkN1dGZpZWxkLCBXLiBTLjwvYXV0aG9y
PjxhdXRob3I+SG9mbWFuLCBQLiBMLjwvYXV0aG9yPjwvYXV0aG9ycz48L2NvbnRyaWJ1dG9ycz48
YXV0aC1hZGRyZXNzPkxpZ2dpbnMgSW5zdGl0dXRlLCBVbml2ZXJzaXR5IG9mIEF1Y2tsYW5kLCBB
dWNrbGFuZCwgTmV3IFplYWxhbmQuJiN4RDtHcmF2aWRhOiBOYXRpb25hbCBDZW50cmUgZm9yIEdy
b3d0aCBhbmQgRGV2ZWxvcG1lbnQsIEF1Y2tsYW5kLCBOZXcgWmVhbGFuZC4mI3hEO0RlcGFydG1l
bnQgb2YgU3RhdGlzdGljcywgVW5pdmVyc2l0eSBvZiBBdWNrbGFuZCwgQXVja2xhbmQsIE5ldyBa
ZWFsYW5kLiYjeEQ7RGVwYXJ0bWVudCBvZiBPYnN0ZXRyaWNzIGFuZCBHeW5hZWNvbG9neSwgRmFj
dWx0eSBvZiBNZWRpY2FsIGFuZCBIZWFsdGggU2NpZW5jZSwgVW5pdmVyc2l0eSBvZiBBdWNrbGFu
ZCwgQXVja2xhbmQsIE5ldyBaZWFsYW5kLjwvYXV0aC1hZGRyZXNzPjx0aXRsZXM+PHRpdGxlPkVm
ZmVjdHMgb2YgYW50ZW5hdGFsIGV4ZXJjaXNlIGluIG92ZXJ3ZWlnaHQgYW5kIG9iZXNlIHByZWdu
YW50IHdvbWVuIG9uIG1hdGVybmFsIGFuZCBwZXJpbmF0YWwgb3V0Y29tZXM6IGEgcmFuZG9taXNl
ZCBjb250cm9sbGVkIHRyaWFsPC90aXRsZT48c2Vjb25kYXJ5LXRpdGxlPkJKT0c8L3NlY29uZGFy
eS10aXRsZT48L3RpdGxlcz48cGVyaW9kaWNhbD48ZnVsbC10aXRsZT5CSk9HPC9mdWxsLXRpdGxl
PjwvcGVyaW9kaWNhbD48cGFnZXM+NTg4LTk3PC9wYWdlcz48dm9sdW1lPjEyMzwvdm9sdW1lPjxu
dW1iZXI+NDwvbnVtYmVyPjxlZGl0aW9uPjIwMTUvMTEvMDc8L2VkaXRpb24+PGtleXdvcmRzPjxr
ZXl3b3JkPkFkdWx0PC9rZXl3b3JkPjxrZXl3b3JkPkJvZHkgTWFzcyBJbmRleDwva2V5d29yZD48
a2V5d29yZD4qRXhlcmNpc2UgVGhlcmFweTwva2V5d29yZD48a2V5d29yZD5GZW1hbGU8L2tleXdv
cmQ+PGtleXdvcmQ+SHVtYW5zPC9rZXl3b3JkPjxrZXl3b3JkPk5ldyBaZWFsYW5kL2VwaWRlbWlv
bG9neTwva2V5d29yZD48a2V5d29yZD5PYmVzaXR5L2VwaWRlbWlvbG9neS9wcmV2ZW50aW9uICZh
bXA7IGNvbnRyb2wvKnRoZXJhcHk8L2tleXdvcmQ+PGtleXdvcmQ+T3ZlcndlaWdodC9lcGlkZW1p
b2xvZ3kvcHJldmVudGlvbiAmYW1wOyBjb250cm9sLyp0aGVyYXB5PC9rZXl3b3JkPjxrZXl3b3Jk
PlBhdGllbnQgQ29tcGxpYW5jZTwva2V5d29yZD48a2V5d29yZD5QcmVnbmFuY3k8L2tleXdvcmQ+
PGtleXdvcmQ+UHJlZ25hbmN5IE91dGNvbWU8L2tleXdvcmQ+PGtleXdvcmQ+KlByZWduYW50IFdv
bWVuL3BzeWNob2xvZ3k8L2tleXdvcmQ+PGtleXdvcmQ+KlByZW5hdGFsIENhcmU8L2tleXdvcmQ+
PGtleXdvcmQ+UXVhbGl0eSBvZiBMaWZlPC9rZXl3b3JkPjxrZXl3b3JkPlJpc2sgUmVkdWN0aW9u
IEJlaGF2aW9yPC9rZXl3b3JkPjxrZXl3b3JkPlRyZWF0bWVudCBPdXRjb21lPC9rZXl3b3JkPjxr
ZXl3b3JkPldlaWdodCBHYWluPC9rZXl3b3JkPjxrZXl3b3JkPkFudGVuYXRhbCBleGVyY2lzZTwv
a2V5d29yZD48a2V5d29yZD5ib2R5IGNvbXBvc2l0aW9uPC9rZXl3b3JkPjxrZXl3b3JkPm9iZXNp
dHk8L2tleXdvcmQ+PC9rZXl3b3Jkcz48ZGF0ZXM+PHllYXI+MjAxNjwveWVhcj48cHViLWRhdGVz
PjxkYXRlPk1hcjwvZGF0ZT48L3B1Yi1kYXRlcz48L2RhdGVzPjxpc2JuPjE0NzEtMDUyOCAoRWxl
Y3Ryb25pYykmI3hEOzE0NzAtMDMyOCAoTGlua2luZyk8L2lzYm4+PGFjY2Vzc2lvbi1udW0+MjY1
NDI0MTk8L2FjY2Vzc2lvbi1udW0+PHVybHM+PHJlbGF0ZWQtdXJscz48dXJsPmh0dHBzOi8vd3d3
Lm5jYmkubmxtLm5paC5nb3YvcHVibWVkLzI2NTQyNDE5PC91cmw+PC9yZWxhdGVkLXVybHM+PC91
cmxzPjxlbGVjdHJvbmljLXJlc291cmNlLW51bT4xMC4xMTExLzE0NzEtMDUyOC4xMzczODwvZWxl
Y3Ryb25pYy1yZXNvdXJjZS1udW0+PC9yZWNvcmQ+PC9DaXRlPjwvRW5kTm90ZT5=
</w:fldData>
        </w:fldChar>
      </w:r>
      <w:r w:rsidR="002747EA">
        <w:instrText xml:space="preserve"> ADDIN EN.CITE </w:instrText>
      </w:r>
      <w:r w:rsidR="002747EA">
        <w:fldChar w:fldCharType="begin">
          <w:fldData xml:space="preserve">PEVuZE5vdGU+PENpdGU+PEF1dGhvcj5IYWx2b3JzZW48L0F1dGhvcj48WWVhcj4yMDEzPC9ZZWFy
PjxSZWNOdW0+MTc4MzwvUmVjTnVtPjxEaXNwbGF5VGV4dD48c3R5bGUgZmFjZT0ic3VwZXJzY3Jp
cHQiIGZvbnQ9IlRyZWJ1Y2hldCBNUyIgc2l6ZT0iOSI+MjY4LTI3Mzwvc3R5bGU+PC9EaXNwbGF5
VGV4dD48cmVjb3JkPjxyZWMtbnVtYmVyPjE3ODM8L3JlYy1udW1iZXI+PGZvcmVpZ24ta2V5cz48
a2V5IGFwcD0iRU4iIGRiLWlkPSJleHZhc3JmeDJkdHJhb2VzYXN4cDJzenN4YTJkZjUwMjU5Mngi
IHRpbWVzdGFtcD0iMTU4MzIwNDE5NCI+MTc4Mzwva2V5PjxrZXkgYXBwPSJFTldlYiIgZGItaWQ9
IiI+MDwva2V5PjwvZm9yZWlnbi1rZXlzPjxyZWYtdHlwZSBuYW1lPSJKb3VybmFsIEFydGljbGUi
PjE3PC9yZWYtdHlwZT48Y29udHJpYnV0b3JzPjxhdXRob3JzPjxhdXRob3I+SGFsdm9yc2VuLCBT
LjwvYXV0aG9yPjxhdXRob3I+SGFha3N0YWQsIEwuIEEuPC9hdXRob3I+PGF1dGhvcj5FZHZhcmRz
ZW4sIEUuPC9hdXRob3I+PGF1dGhvcj5CbywgSy48L2F1dGhvcj48L2F1dGhvcnM+PC9jb250cmli
dXRvcnM+PGF1dGgtYWRkcmVzcz5EZXBhcnRtZW50IG9mIFNwb3J0cyBNZWRpY2luZSwgTm9yd2Vn
aWFuIFNjaG9vbCBvZiBTcG9ydCBTY2llbmNlcywgUC5PLiBCb3ggNDAxNCwgVWxsZXZhbCBTdGFk
aW9uLCAwODA2IE9zbG8sIE5vcndheS4gc2lsamUuaGFsdm9yc2VuQG1lZGlzaW4udWlvLm5vPC9h
dXRoLWFkZHJlc3M+PHRpdGxlcz48dGl0bGU+RWZmZWN0IG9mIGFlcm9iaWMgZGFuY2Ugb24gY2Fy
ZGlvcmVzcGlyYXRvcnkgZml0bmVzcyBpbiBwcmVnbmFudCB3b21lbjogYSByYW5kb21pc2VkIGNv
bnRyb2xsZWQgdHJpYWw8L3RpdGxlPjxzZWNvbmRhcnktdGl0bGU+UGh5c2lvdGhlcmFweTwvc2Vj
b25kYXJ5LXRpdGxlPjwvdGl0bGVzPjxwZXJpb2RpY2FsPjxmdWxsLXRpdGxlPlBoeXNpb3RoZXJh
cHk8L2Z1bGwtdGl0bGU+PC9wZXJpb2RpY2FsPjxwYWdlcz40Mi04PC9wYWdlcz48dm9sdW1lPjk5
PC92b2x1bWU+PG51bWJlcj4xPC9udW1iZXI+PGVkaXRpb24+MjAxMi8xMS8yOTwvZWRpdGlvbj48
a2V5d29yZHM+PGtleXdvcmQ+QWR1bHQ8L2tleXdvcmQ+PGtleXdvcmQ+Q2FzZS1Db250cm9sIFN0
dWRpZXM8L2tleXdvcmQ+PGtleXdvcmQ+Q2hpLVNxdWFyZSBEaXN0cmlidXRpb248L2tleXdvcmQ+
PGtleXdvcmQ+RGFuY2luZy8qcGh5c2lvbG9neTwva2V5d29yZD48a2V5d29yZD5FeGVyY2lzZSBU
ZXN0PC9rZXl3b3JkPjxrZXl3b3JkPkZlbWFsZTwva2V5d29yZD48a2V5d29yZD5IdW1hbnM8L2tl
eXdvcmQ+PGtleXdvcmQ+TGFjdGF0ZXMvYmxvb2Q8L2tleXdvcmQ+PGtleXdvcmQ+Tm9yd2F5PC9r
ZXl3b3JkPjxrZXl3b3JkPk94eWdlbiBDb25zdW1wdGlvbi9waHlzaW9sb2d5PC9rZXl3b3JkPjxr
ZXl3b3JkPlBoeXNpY2FsIEZpdG5lc3MvKnBoeXNpb2xvZ3k8L2tleXdvcmQ+PGtleXdvcmQ+UHJl
Z25hbmN5PC9rZXl3b3JkPjxrZXl3b3JkPlRyZWF0bWVudCBPdXRjb21lPC9rZXl3b3JkPjwva2V5
d29yZHM+PGRhdGVzPjx5ZWFyPjIwMTM8L3llYXI+PHB1Yi1kYXRlcz48ZGF0ZT5NYXI8L2RhdGU+
PC9wdWItZGF0ZXM+PC9kYXRlcz48aXNibj4xODczLTE0NjUgKEVsZWN0cm9uaWMpJiN4RDswMDMx
LTk0MDYgKExpbmtpbmcpPC9pc2JuPjxhY2Nlc3Npb24tbnVtPjIzMTg2NzMwPC9hY2Nlc3Npb24t
bnVtPjx1cmxzPjxyZWxhdGVkLXVybHM+PHVybD5odHRwczovL3d3dy5uY2JpLm5sbS5uaWguZ292
L3B1Ym1lZC8yMzE4NjczMDwvdXJsPjwvcmVsYXRlZC11cmxzPjwvdXJscz48ZWxlY3Ryb25pYy1y
ZXNvdXJjZS1udW0+MTAuMTAxNi9qLnBoeXNpby4yMDExLjExLjAwMjwvZWxlY3Ryb25pYy1yZXNv
dXJjZS1udW0+PC9yZWNvcmQ+PC9DaXRlPjxDaXRlPjxBdXRob3I+Qmlzc29uPC9BdXRob3I+PFll
YXI+MjAxNTwvWWVhcj48UmVjTnVtPjY3NzwvUmVjTnVtPjxyZWNvcmQ+PHJlYy1udW1iZXI+Njc3
PC9yZWMtbnVtYmVyPjxmb3JlaWduLWtleXM+PGtleSBhcHA9IkVOIiBkYi1pZD0iZXh2YXNyZngy
ZHRyYW9lc2FzeHAyc3pzeGEyZGY1MDI1OTJ4IiB0aW1lc3RhbXA9IjE1NDA1MjY4MTQiPjY3Nzwv
a2V5PjwvZm9yZWlnbi1rZXlzPjxyZWYtdHlwZSBuYW1lPSJKb3VybmFsIEFydGljbGUiPjE3PC9y
ZWYtdHlwZT48Y29udHJpYnV0b3JzPjxhdXRob3JzPjxhdXRob3I+Qmlzc29uLCBNLjwvYXV0aG9y
PjxhdXRob3I+QWxtZXJhcywgTi48L2F1dGhvcj48YXV0aG9yPkR1ZnJlc25lLCBTLiBTLjwvYXV0
aG9yPjxhdXRob3I+Um9iaXRhaWxsZSwgSi48L2F1dGhvcj48YXV0aG9yPlJoZWF1bWUsIEMuPC9h
dXRob3I+PGF1dGhvcj5CdWpvbGQsIEUuPC9hdXRob3I+PGF1dGhvcj5GcmVuZXR0ZSwgSi48L2F1
dGhvcj48YXV0aG9yPlRyZW1ibGF5LCBBLjwvYXV0aG9yPjxhdXRob3I+TWFyYywgSS48L2F1dGhv
cj48L2F1dGhvcnM+PC9jb250cmlidXRvcnM+PGF1dGgtYWRkcmVzcz5EZXBhcnRtZW50IG9mIFBl
ZGlhdHJpY3MsIENlbnRyZSBob3NwaXRhbGllciB1bml2ZXJzaXRhaXJlIChDSFUpIGRlIFF1ZWJl
YywgTGF2YWwgVW5pdmVyc2l0eSwgUXVlYmVjIENpdHksIFByb3ZpbmNlIG9mIFF1ZWJlYywgQ2Fu
YWRhOyBEZXBhcnRtZW50IG9mIEtpbmVzaW9sb2d5LCBMYXZhbCBVbml2ZXJzaXR5LCBRdWViZWMg
Q2l0eSwgUHJvdmluY2Ugb2YgUXVlYmVjLCBDYW5hZGEuJiN4RDtEZXBhcnRtZW50IG9mIEtpbmVz
aW9sb2d5LCBMYXZhbCBVbml2ZXJzaXR5LCBRdWViZWMgQ2l0eSwgUHJvdmluY2Ugb2YgUXVlYmVj
LCBDYW5hZGEuJiN4RDtEZXBhcnRtZW50IG9mIFJlaGFiaWxpdGF0aW9uLCBDSFUgZGUgUXVlYmVj
LCBMYXZhbCBVbml2ZXJzaXR5LCBRdWViZWMgQ2l0eSwgUHJvdmluY2Ugb2YgUXVlYmVjLCBDYW5h
ZGEuJiN4RDtEZXBhcnRtZW50IG9mIEZvb2QgU2NpZW5jZSBhbmQgTnV0cml0aW9uLCBMYXZhbCBV
bml2ZXJzaXR5LCBRdWViZWMgQ2l0eSwgUHJvdmluY2Ugb2YgUXVlYmVjLCBDYW5hZGEuJiN4RDtE
ZXBhcnRtZW50IG9mIEZhbWlseSBNZWRpY2luZSBhbmQgRW1lcmdlbmN5IE1lZGljaW5lLCBMYXZh
bCBVbml2ZXJzaXR5LCBRdWViZWMgQ2l0eSwgUHJvdmluY2Ugb2YgUXVlYmVjLiYjeEQ7RGVwYXJ0
bWVudCBvZiBPYnN0ZXRyaWNzIGFuZCBHeW5lY29sb2d5LCBDSFUgZGUgUXVlYmVjLCBMYXZhbCBV
bml2ZXJzaXR5LCBRdWViZWMgQ2l0eSwgUHJvdmluY2Ugb2YgUXVlYmVjLCBDYW5hZGEuJiN4RDtE
ZXBhcnRtZW50IG9mIFBlZGlhdHJpY3MsIENlbnRyZSBob3NwaXRhbGllciB1bml2ZXJzaXRhaXJl
IChDSFUpIGRlIFF1ZWJlYywgTGF2YWwgVW5pdmVyc2l0eSwgUXVlYmVjIENpdHksIFByb3ZpbmNl
IG9mIFF1ZWJlYywgQ2FuYWRhLjwvYXV0aC1hZGRyZXNzPjx0aXRsZXM+PHRpdGxlPkEgMTItV2Vl
ayBFeGVyY2lzZSBQcm9ncmFtIGZvciBQcmVnbmFudCBXb21lbiB3aXRoIE9iZXNpdHkgdG8gSW1w
cm92ZSBQaHlzaWNhbCBBY3Rpdml0eSBMZXZlbHM6IEFuIE9wZW4gUmFuZG9taXNlZCBQcmVsaW1p
bmFyeSBTdHVkeTwvdGl0bGU+PHNlY29uZGFyeS10aXRsZT5QTG9TIE9uZTwvc2Vjb25kYXJ5LXRp
dGxlPjwvdGl0bGVzPjxwZXJpb2RpY2FsPjxmdWxsLXRpdGxlPlBMb1MgT25lPC9mdWxsLXRpdGxl
PjwvcGVyaW9kaWNhbD48cGFnZXM+ZTAxMzc3NDI8L3BhZ2VzPjx2b2x1bWU+MTA8L3ZvbHVtZT48
bnVtYmVyPjk8L251bWJlcj48ZWRpdGlvbj4yMDE1LzA5LzE3PC9lZGl0aW9uPjxrZXl3b3Jkcz48
a2V5d29yZD5BZHVsdDwva2V5d29yZD48a2V5d29yZD4qQm9keSBNYXNzIEluZGV4PC9rZXl3b3Jk
PjxrZXl3b3JkPkJvZHkgV2VpZ2h0PC9rZXl3b3JkPjxrZXl3b3JkPkNhc2UtQ29udHJvbCBTdHVk
aWVzPC9rZXl3b3JkPjxrZXl3b3JkPkVuZXJneSBJbnRha2U8L2tleXdvcmQ+PGtleXdvcmQ+RXhl
cmNpc2UgVGhlcmFweS8qbWV0aG9kczwva2V5d29yZD48a2V5d29yZD5GZW1hbGU8L2tleXdvcmQ+
PGtleXdvcmQ+SHVtYW5zPC9rZXl3b3JkPjxrZXl3b3JkPipMaWZlIFN0eWxlPC9rZXl3b3JkPjxr
ZXl3b3JkPk9iZXNpdHkvcHJldmVudGlvbiAmYW1wOyBjb250cm9sLyp0aGVyYXB5PC9rZXl3b3Jk
PjxrZXl3b3JkPk94eWdlbiBDb25zdW1wdGlvbjwva2V5d29yZD48a2V5d29yZD5QcmVnbmFuY3k8
L2tleXdvcmQ+PGtleXdvcmQ+UHJlZ25hbmN5IE91dGNvbWU8L2tleXdvcmQ+PGtleXdvcmQ+UHJl
Z25hbnQgV29tZW48L2tleXdvcmQ+PGtleXdvcmQ+V2VpZ2h0IEdhaW48L2tleXdvcmQ+PC9rZXl3
b3Jkcz48ZGF0ZXM+PHllYXI+MjAxNTwveWVhcj48L2RhdGVzPjxpc2JuPjE5MzItNjIwMyAoRWxl
Y3Ryb25pYykmI3hEOzE5MzItNjIwMyAoTGlua2luZyk8L2lzYm4+PGFjY2Vzc2lvbi1udW0+MjYz
NzU0NzE8L2FjY2Vzc2lvbi1udW0+PHVybHM+PHJlbGF0ZWQtdXJscz48dXJsPmh0dHBzOi8vd3d3
Lm5jYmkubmxtLm5paC5nb3YvcHVibWVkLzI2Mzc1NDcxPC91cmw+PC9yZWxhdGVkLXVybHM+PC91
cmxzPjxjdXN0b20yPlBNQzQ1NzM3NTc8L2N1c3RvbTI+PGVsZWN0cm9uaWMtcmVzb3VyY2UtbnVt
PjEwLjEzNzEvam91cm5hbC5wb25lLjAxMzc3NDI8L2VsZWN0cm9uaWMtcmVzb3VyY2UtbnVtPjwv
cmVjb3JkPjwvQ2l0ZT48Q2l0ZT48QXV0aG9yPmRlIE9saXZlcmlhIE1lbG88L0F1dGhvcj48WWVh
cj4yMDEyPC9ZZWFyPjxSZWNOdW0+Njg3PC9SZWNOdW0+PHJlY29yZD48cmVjLW51bWJlcj42ODc8
L3JlYy1udW1iZXI+PGZvcmVpZ24ta2V5cz48a2V5IGFwcD0iRU4iIGRiLWlkPSJleHZhc3JmeDJk
dHJhb2VzYXN4cDJzenN4YTJkZjUwMjU5MngiIHRpbWVzdGFtcD0iMTU0MDUyNzMxOSI+Njg3PC9r
ZXk+PC9mb3JlaWduLWtleXM+PHJlZi10eXBlIG5hbWU9IkpvdXJuYWwgQXJ0aWNsZSI+MTc8L3Jl
Zi10eXBlPjxjb250cmlidXRvcnM+PGF1dGhvcnM+PGF1dGhvcj5kZSBPbGl2ZXJpYSBNZWxvLCBB
LiBTLjwvYXV0aG9yPjxhdXRob3I+U2lsdmEsIEouIEwuPC9hdXRob3I+PGF1dGhvcj5UYXZhcmVz
LCBKLiBTLjwvYXV0aG9yPjxhdXRob3I+QmFycm9zLCBWLiBPLjwvYXV0aG9yPjxhdXRob3I+TGVp
dGUsIEQuIEYuPC9hdXRob3I+PGF1dGhvcj5BbW9yaW0sIE0uIE0uPC9hdXRob3I+PC9hdXRob3Jz
PjwvY29udHJpYnV0b3JzPjxhdXRoLWFkZHJlc3M+RGVwYXJ0bWVudCBvZiBPYnN0ZXRyaWNzLCBT
Y2hvb2wgTWVkaWNhbCBTY2llbmNlcywgVW5pdmVyc2l0eSBvZiBDYW1waW5hcywgQ2FtcGluYXMs
IEJyYXppbC4gYXNvbWVsb0BnbWFpbC5jb208L2F1dGgtYWRkcmVzcz48dGl0bGVzPjx0aXRsZT5F
ZmZlY3Qgb2YgYSBwaHlzaWNhbCBleGVyY2lzZSBwcm9ncmFtIGR1cmluZyBwcmVnbmFuY3kgb24g
dXRlcm9wbGFjZW50YWwgYW5kIGZldGFsIGJsb29kIGZsb3cgYW5kIGZldGFsIGdyb3d0aDogYSBy
YW5kb21pemVkIGNvbnRyb2xsZWQgdHJpYWw8L3RpdGxlPjxzZWNvbmRhcnktdGl0bGU+T2JzdGV0
IEd5bmVjb2w8L3NlY29uZGFyeS10aXRsZT48L3RpdGxlcz48cGVyaW9kaWNhbD48ZnVsbC10aXRs
ZT5PYnN0ZXQgR3luZWNvbDwvZnVsbC10aXRsZT48L3BlcmlvZGljYWw+PHBhZ2VzPjMwMi0xMDwv
cGFnZXM+PHZvbHVtZT4xMjA8L3ZvbHVtZT48bnVtYmVyPjIgUHQgMTwvbnVtYmVyPjxlZGl0aW9u
PjIwMTIvMDcvMjU8L2VkaXRpb24+PGtleXdvcmRzPjxrZXl3b3JkPkFkdWx0PC9rZXl3b3JkPjxr
ZXl3b3JkPipCaXJ0aCBXZWlnaHQ8L2tleXdvcmQ+PGtleXdvcmQ+Qmxvb2QgUHJlc3N1cmU8L2tl
eXdvcmQ+PGtleXdvcmQ+RXhlcmNpc2UvKnBoeXNpb2xvZ3k8L2tleXdvcmQ+PGtleXdvcmQ+RmVt
YWxlPC9rZXl3b3JkPjxrZXl3b3JkPipGZXRhbCBEZXZlbG9wbWVudDwva2V5d29yZD48a2V5d29y
ZD5GZXR1cy9ibG9vZCBzdXBwbHk8L2tleXdvcmQ+PGtleXdvcmQ+SHVtYW5zPC9rZXl3b3JkPjxr
ZXl3b3JkPkluZmFudCwgTmV3Ym9ybjwva2V5d29yZD48a2V5d29yZD5QaHlzaWNhbCBGaXRuZXNz
PC9rZXl3b3JkPjxrZXl3b3JkPipQbGFjZW50YWwgQ2lyY3VsYXRpb248L2tleXdvcmQ+PGtleXdv
cmQ+UHJlZ25hbmN5LypwaHlzaW9sb2d5PC9rZXl3b3JkPjxrZXl3b3JkPllvdW5nIEFkdWx0PC9r
ZXl3b3JkPjwva2V5d29yZHM+PGRhdGVzPjx5ZWFyPjIwMTI8L3llYXI+PHB1Yi1kYXRlcz48ZGF0
ZT5BdWc8L2RhdGU+PC9wdWItZGF0ZXM+PC9kYXRlcz48aXNibj4xODczLTIzM1ggKEVsZWN0cm9u
aWMpJiN4RDswMDI5LTc4NDQgKExpbmtpbmcpPC9pc2JuPjxhY2Nlc3Npb24tbnVtPjIyODI1MDg5
PC9hY2Nlc3Npb24tbnVtPjx1cmxzPjxyZWxhdGVkLXVybHM+PHVybD5odHRwczovL3d3dy5uY2Jp
Lm5sbS5uaWguZ292L3B1Ym1lZC8yMjgyNTA4OTwvdXJsPjwvcmVsYXRlZC11cmxzPjwvdXJscz48
ZWxlY3Ryb25pYy1yZXNvdXJjZS1udW0+MTAuMTA5Ny9BT0cuMGIwMTNlMzE4MjVkZTU5MjwvZWxl
Y3Ryb25pYy1yZXNvdXJjZS1udW0+PC9yZWNvcmQ+PC9DaXRlPjxDaXRlPjxBdXRob3I+R3VlbGZp
PC9BdXRob3I+PFllYXI+MjAxNjwvWWVhcj48UmVjTnVtPjcyMzwvUmVjTnVtPjxyZWNvcmQ+PHJl
Yy1udW1iZXI+NzIzPC9yZWMtbnVtYmVyPjxmb3JlaWduLWtleXM+PGtleSBhcHA9IkVOIiBkYi1p
ZD0iZXh2YXNyZngyZHRyYW9lc2FzeHAyc3pzeGEyZGY1MDI1OTJ4IiB0aW1lc3RhbXA9IjE1NDE0
NjQ4ODAiPjcyMzwva2V5PjwvZm9yZWlnbi1rZXlzPjxyZWYtdHlwZSBuYW1lPSJKb3VybmFsIEFy
dGljbGUiPjE3PC9yZWYtdHlwZT48Y29udHJpYnV0b3JzPjxhdXRob3JzPjxhdXRob3I+R3VlbGZp
LCBLLiBKLjwvYXV0aG9yPjxhdXRob3I+T25nLCBNLiBKLjwvYXV0aG9yPjxhdXRob3I+Q3Jpc3As
IE4uIEEuPC9hdXRob3I+PGF1dGhvcj5Gb3VybmllciwgUC4gQS48L2F1dGhvcj48YXV0aG9yPldh
bGxtYW4sIEsuIEUuPC9hdXRob3I+PGF1dGhvcj5Hcm92ZSwgSi4gUi48L2F1dGhvcj48YXV0aG9y
PkRvaGVydHksIEQuIEEuPC9hdXRob3I+PGF1dGhvcj5OZXduaGFtLCBKLiBQLjwvYXV0aG9yPjwv
YXV0aG9ycz48L2NvbnRyaWJ1dG9ycz48YXV0aC1hZGRyZXNzPlNjaG9vbCBvZiBTcG9ydCBTY2ll
bmNlLCBFeGVyY2lzZSBhbmQgSGVhbHRoIGFuZCB0aGUgU2Nob29sIG9mIFdvbWVuJmFwb3M7cyBh
bmQgSW5mYW50cyZhcG9zOyBIZWFsdGgsIHRoZSBVbml2ZXJzaXR5IG9mIFdlc3Rlcm4gQXVzdHJh
bGlhLCBQZXJ0aCwgV2VzdGVybiBBdXN0cmFsaWEsIEF1c3RyYWxpYS48L2F1dGgtYWRkcmVzcz48
dGl0bGVzPjx0aXRsZT5SZWd1bGFyIEV4ZXJjaXNlIHRvIFByZXZlbnQgdGhlIFJlY3VycmVuY2Ug
b2YgR2VzdGF0aW9uYWwgRGlhYmV0ZXMgTWVsbGl0dXM6IEEgUmFuZG9taXplZCBDb250cm9sbGVk
IFRyaWFsPC90aXRsZT48c2Vjb25kYXJ5LXRpdGxlPk9ic3RldCBHeW5lY29sPC9zZWNvbmRhcnkt
dGl0bGU+PC90aXRsZXM+PHBlcmlvZGljYWw+PGZ1bGwtdGl0bGU+T2JzdGV0IEd5bmVjb2w8L2Z1
bGwtdGl0bGU+PC9wZXJpb2RpY2FsPjxwYWdlcz44MTktMjc8L3BhZ2VzPjx2b2x1bWU+MTI4PC92
b2x1bWU+PG51bWJlcj40PC9udW1iZXI+PGVkaXRpb24+MjAxNi8wOS8wOTwvZWRpdGlvbj48a2V5
d29yZHM+PGtleXdvcmQ+QWR1bHQ8L2tleXdvcmQ+PGtleXdvcmQ+RGlhYmV0ZXMsIEdlc3RhdGlv
bmFsL2Jsb29kLypwcmV2ZW50aW9uICZhbXA7IGNvbnRyb2w8L2tleXdvcmQ+PGtleXdvcmQ+KkV4
ZXJjaXNlIFRoZXJhcHk8L2tleXdvcmQ+PGtleXdvcmQ+RmVtYWxlPC9rZXl3b3JkPjxrZXl3b3Jk
PkdsdWNvc2UgVG9sZXJhbmNlIFRlc3Q8L2tleXdvcmQ+PGtleXdvcmQ+SHVtYW5zPC9rZXl3b3Jk
PjxrZXl3b3JkPlByZWduYW5jeTwva2V5d29yZD48a2V5d29yZD5QcmVnbmFuY3kgT3V0Y29tZTwv
a2V5d29yZD48a2V5d29yZD4qUHJlbmF0YWwgQ2FyZTwva2V5d29yZD48a2V5d29yZD5SZWN1cnJl
bmNlPC9rZXl3b3JkPjxrZXl3b3JkPlRyZWF0bWVudCBPdXRjb21lPC9rZXl3b3JkPjwva2V5d29y
ZHM+PGRhdGVzPjx5ZWFyPjIwMTY8L3llYXI+PHB1Yi1kYXRlcz48ZGF0ZT5PY3Q8L2RhdGU+PC9w
dWItZGF0ZXM+PC9kYXRlcz48aXNibj4xODczLTIzM1ggKEVsZWN0cm9uaWMpJiN4RDswMDI5LTc4
NDQgKExpbmtpbmcpPC9pc2JuPjxhY2Nlc3Npb24tbnVtPjI3NjA3ODc2PC9hY2Nlc3Npb24tbnVt
Pjx1cmxzPjxyZWxhdGVkLXVybHM+PHVybD5odHRwczovL3d3dy5uY2JpLm5sbS5uaWguZ292L3B1
Ym1lZC8yNzYwNzg3NjwvdXJsPjwvcmVsYXRlZC11cmxzPjwvdXJscz48ZWxlY3Ryb25pYy1yZXNv
dXJjZS1udW0+MTAuMTA5Ny9BT0cuMDAwMDAwMDAwMDAwMTYzMjwvZWxlY3Ryb25pYy1yZXNvdXJj
ZS1udW0+PC9yZWNvcmQ+PC9DaXRlPjxDaXRlPjxBdXRob3I+SG9wa2luczwvQXV0aG9yPjxZZWFy
PjIwMTA8L1llYXI+PFJlY051bT42OTM8L1JlY051bT48cmVjb3JkPjxyZWMtbnVtYmVyPjY5Mzwv
cmVjLW51bWJlcj48Zm9yZWlnbi1rZXlzPjxrZXkgYXBwPSJFTiIgZGItaWQ9ImV4dmFzcmZ4MmR0
cmFvZXNhc3hwMnN6c3hhMmRmNTAyNTkyeCIgdGltZXN0YW1wPSIxNTQwNTMwMDY3Ij42OTM8L2tl
eT48L2ZvcmVpZ24ta2V5cz48cmVmLXR5cGUgbmFtZT0iSm91cm5hbCBBcnRpY2xlIj4xNzwvcmVm
LXR5cGU+PGNvbnRyaWJ1dG9ycz48YXV0aG9ycz48YXV0aG9yPkhvcGtpbnMsIFMuIEEuPC9hdXRo
b3I+PGF1dGhvcj5CYWxkaSwgSi4gQy48L2F1dGhvcj48YXV0aG9yPkN1dGZpZWxkLCBXLiBTLjwv
YXV0aG9yPjxhdXRob3I+TWNDb3dhbiwgTC48L2F1dGhvcj48YXV0aG9yPkhvZm1hbiwgUC4gTC48
L2F1dGhvcj48L2F1dGhvcnM+PC9jb250cmlidXRvcnM+PGF1dGgtYWRkcmVzcz5MaWdnaW5zIElu
c3RpdHV0ZSwgVGhlIFVuaXZlcnNpdHkgb2YgQXVja2xhbmQsIFBPIEJveCA5MjAxOSwgQXVja2xh
bmQgMTE0MiwgTmV3IFplYWxhbmQuPC9hdXRoLWFkZHJlc3M+PHRpdGxlcz48dGl0bGU+RXhlcmNp
c2UgdHJhaW5pbmcgaW4gcHJlZ25hbmN5IHJlZHVjZXMgb2Zmc3ByaW5nIHNpemUgd2l0aG91dCBj
aGFuZ2VzIGluIG1hdGVybmFsIGluc3VsaW4gc2Vuc2l0aXZpdHk8L3RpdGxlPjxzZWNvbmRhcnkt
dGl0bGU+SiBDbGluIEVuZG9jcmlub2wgTWV0YWI8L3NlY29uZGFyeS10aXRsZT48L3RpdGxlcz48
cGVyaW9kaWNhbD48ZnVsbC10aXRsZT5KIENsaW4gRW5kb2NyaW5vbCBNZXRhYjwvZnVsbC10aXRs
ZT48L3BlcmlvZGljYWw+PHBhZ2VzPjIwODAtODwvcGFnZXM+PHZvbHVtZT45NTwvdm9sdW1lPjxu
dW1iZXI+NTwvbnVtYmVyPjxlZGl0aW9uPjIwMTAvMDMvMjY8L2VkaXRpb24+PGtleXdvcmRzPjxr
ZXl3b3JkPkFkdWx0PC9rZXl3b3JkPjxrZXl3b3JkPkFlcm9iaW9zaXM8L2tleXdvcmQ+PGtleXdv
cmQ+QmljeWNsaW5nPC9rZXl3b3JkPjxrZXl3b3JkPipCaXJ0aCBXZWlnaHQ8L2tleXdvcmQ+PGtl
eXdvcmQ+Qmxvb2QgR2x1Y29zZS9tZXRhYm9saXNtPC9rZXl3b3JkPjxrZXl3b3JkPkJvZHkgTWFz
cyBJbmRleDwva2V5d29yZD48a2V5d29yZD5FeGVyY2lzZS8qcGh5c2lvbG9neTwva2V5d29yZD48
a2V5d29yZD5GZW1hbGU8L2tleXdvcmQ+PGtleXdvcmQ+RmV0YWwgQmxvb2QvY2hlbWlzdHJ5PC9r
ZXl3b3JkPjxrZXl3b3JkPkZldGFsIERldmVsb3BtZW50LypwaHlzaW9sb2d5PC9rZXl3b3JkPjxr
ZXl3b3JkPkh1bWFuczwva2V5d29yZD48a2V5d29yZD5JbmZhbnQsIE5ld2Jvcm48L2tleXdvcmQ+
PGtleXdvcmQ+SW5zdWxpbi8qYmxvb2Q8L2tleXdvcmQ+PGtleXdvcmQ+SW5zdWxpbi1MaWtlIEdy
b3d0aCBGYWN0b3IgSS9tZXRhYm9saXNtPC9rZXl3b3JkPjxrZXl3b3JkPkluc3VsaW4tTGlrZSBH
cm93dGggRmFjdG9yIElJL21ldGFib2xpc208L2tleXdvcmQ+PGtleXdvcmQ+TWFsZTwva2V5d29y
ZD48a2V5d29yZD5QcmVnbmFuY3k8L2tleXdvcmQ+PGtleXdvcmQ+UHJlZ25hbmN5IFRyaW1lc3Rl
ciwgU2Vjb25kPC9rZXl3b3JkPjxrZXl3b3JkPlByZWduYW5jeSBUcmltZXN0ZXIsIFRoaXJkPC9r
ZXl3b3JkPjxrZXl3b3JkPlV0ZXJ1cy9waHlzaW9sb2d5PC9rZXl3b3JkPjwva2V5d29yZHM+PGRh
dGVzPjx5ZWFyPjIwMTA8L3llYXI+PHB1Yi1kYXRlcz48ZGF0ZT5NYXk8L2RhdGU+PC9wdWItZGF0
ZXM+PC9kYXRlcz48aXNibj4xOTQ1LTcxOTcgKEVsZWN0cm9uaWMpJiN4RDswMDIxLTk3MlggKExp
bmtpbmcpPC9pc2JuPjxhY2Nlc3Npb24tbnVtPjIwMzM1NDQ5PC9hY2Nlc3Npb24tbnVtPjx1cmxz
PjxyZWxhdGVkLXVybHM+PHVybD5odHRwczovL3d3dy5uY2JpLm5sbS5uaWguZ292L3B1Ym1lZC8y
MDMzNTQ0OTwvdXJsPjwvcmVsYXRlZC11cmxzPjwvdXJscz48ZWxlY3Ryb25pYy1yZXNvdXJjZS1u
dW0+MTAuMTIxMC9qYy4yMDA5LTIyNTU8L2VsZWN0cm9uaWMtcmVzb3VyY2UtbnVtPjwvcmVjb3Jk
PjwvQ2l0ZT48Q2l0ZT48QXV0aG9yPlNlbmV2aXJhdG5lPC9BdXRob3I+PFllYXI+MjAxNjwvWWVh
cj48UmVjTnVtPjk0NTwvUmVjTnVtPjxyZWNvcmQ+PHJlYy1udW1iZXI+OTQ1PC9yZWMtbnVtYmVy
Pjxmb3JlaWduLWtleXM+PGtleSBhcHA9IkVOIiBkYi1pZD0iZXh2YXNyZngyZHRyYW9lc2FzeHAy
c3pzeGEyZGY1MDI1OTJ4IiB0aW1lc3RhbXA9IjE1NDE1NDE4NDkiPjk0NTwva2V5PjxrZXkgYXBw
PSJFTldlYiIgZGItaWQ9IiI+MDwva2V5PjwvZm9yZWlnbi1rZXlzPjxyZWYtdHlwZSBuYW1lPSJK
b3VybmFsIEFydGljbGUiPjE3PC9yZWYtdHlwZT48Y29udHJpYnV0b3JzPjxhdXRob3JzPjxhdXRo
b3I+U2VuZXZpcmF0bmUsIFMuIE4uPC9hdXRob3I+PGF1dGhvcj5KaWFuZywgWS48L2F1dGhvcj48
YXV0aG9yPkRlcnJhaWssIEouPC9hdXRob3I+PGF1dGhvcj5NY0Nvd2FuLCBMLjwvYXV0aG9yPjxh
dXRob3I+UGFycnksIEcuIEsuPC9hdXRob3I+PGF1dGhvcj5CaWdncywgSi4gQi48L2F1dGhvcj48
YXV0aG9yPkNyYWlnaWUsIFMuPC9hdXRob3I+PGF1dGhvcj5HdXNzbywgUy48L2F1dGhvcj48YXV0
aG9yPlBlcmVzLCBHLjwvYXV0aG9yPjxhdXRob3I+Um9kcmlndWVzLCBSLiBPLjwvYXV0aG9yPjxh
dXRob3I+RWtlcm9tYSwgQS48L2F1dGhvcj48YXV0aG9yPkN1dGZpZWxkLCBXLiBTLjwvYXV0aG9y
PjxhdXRob3I+SG9mbWFuLCBQLiBMLjwvYXV0aG9yPjwvYXV0aG9ycz48L2NvbnRyaWJ1dG9ycz48
YXV0aC1hZGRyZXNzPkxpZ2dpbnMgSW5zdGl0dXRlLCBVbml2ZXJzaXR5IG9mIEF1Y2tsYW5kLCBB
dWNrbGFuZCwgTmV3IFplYWxhbmQuJiN4RDtHcmF2aWRhOiBOYXRpb25hbCBDZW50cmUgZm9yIEdy
b3d0aCBhbmQgRGV2ZWxvcG1lbnQsIEF1Y2tsYW5kLCBOZXcgWmVhbGFuZC4mI3hEO0RlcGFydG1l
bnQgb2YgU3RhdGlzdGljcywgVW5pdmVyc2l0eSBvZiBBdWNrbGFuZCwgQXVja2xhbmQsIE5ldyBa
ZWFsYW5kLiYjeEQ7RGVwYXJ0bWVudCBvZiBPYnN0ZXRyaWNzIGFuZCBHeW5hZWNvbG9neSwgRmFj
dWx0eSBvZiBNZWRpY2FsIGFuZCBIZWFsdGggU2NpZW5jZSwgVW5pdmVyc2l0eSBvZiBBdWNrbGFu
ZCwgQXVja2xhbmQsIE5ldyBaZWFsYW5kLjwvYXV0aC1hZGRyZXNzPjx0aXRsZXM+PHRpdGxlPkVm
ZmVjdHMgb2YgYW50ZW5hdGFsIGV4ZXJjaXNlIGluIG92ZXJ3ZWlnaHQgYW5kIG9iZXNlIHByZWdu
YW50IHdvbWVuIG9uIG1hdGVybmFsIGFuZCBwZXJpbmF0YWwgb3V0Y29tZXM6IGEgcmFuZG9taXNl
ZCBjb250cm9sbGVkIHRyaWFsPC90aXRsZT48c2Vjb25kYXJ5LXRpdGxlPkJKT0c8L3NlY29uZGFy
eS10aXRsZT48L3RpdGxlcz48cGVyaW9kaWNhbD48ZnVsbC10aXRsZT5CSk9HPC9mdWxsLXRpdGxl
PjwvcGVyaW9kaWNhbD48cGFnZXM+NTg4LTk3PC9wYWdlcz48dm9sdW1lPjEyMzwvdm9sdW1lPjxu
dW1iZXI+NDwvbnVtYmVyPjxlZGl0aW9uPjIwMTUvMTEvMDc8L2VkaXRpb24+PGtleXdvcmRzPjxr
ZXl3b3JkPkFkdWx0PC9rZXl3b3JkPjxrZXl3b3JkPkJvZHkgTWFzcyBJbmRleDwva2V5d29yZD48
a2V5d29yZD4qRXhlcmNpc2UgVGhlcmFweTwva2V5d29yZD48a2V5d29yZD5GZW1hbGU8L2tleXdv
cmQ+PGtleXdvcmQ+SHVtYW5zPC9rZXl3b3JkPjxrZXl3b3JkPk5ldyBaZWFsYW5kL2VwaWRlbWlv
bG9neTwva2V5d29yZD48a2V5d29yZD5PYmVzaXR5L2VwaWRlbWlvbG9neS9wcmV2ZW50aW9uICZh
bXA7IGNvbnRyb2wvKnRoZXJhcHk8L2tleXdvcmQ+PGtleXdvcmQ+T3ZlcndlaWdodC9lcGlkZW1p
b2xvZ3kvcHJldmVudGlvbiAmYW1wOyBjb250cm9sLyp0aGVyYXB5PC9rZXl3b3JkPjxrZXl3b3Jk
PlBhdGllbnQgQ29tcGxpYW5jZTwva2V5d29yZD48a2V5d29yZD5QcmVnbmFuY3k8L2tleXdvcmQ+
PGtleXdvcmQ+UHJlZ25hbmN5IE91dGNvbWU8L2tleXdvcmQ+PGtleXdvcmQ+KlByZWduYW50IFdv
bWVuL3BzeWNob2xvZ3k8L2tleXdvcmQ+PGtleXdvcmQ+KlByZW5hdGFsIENhcmU8L2tleXdvcmQ+
PGtleXdvcmQ+UXVhbGl0eSBvZiBMaWZlPC9rZXl3b3JkPjxrZXl3b3JkPlJpc2sgUmVkdWN0aW9u
IEJlaGF2aW9yPC9rZXl3b3JkPjxrZXl3b3JkPlRyZWF0bWVudCBPdXRjb21lPC9rZXl3b3JkPjxr
ZXl3b3JkPldlaWdodCBHYWluPC9rZXl3b3JkPjxrZXl3b3JkPkFudGVuYXRhbCBleGVyY2lzZTwv
a2V5d29yZD48a2V5d29yZD5ib2R5IGNvbXBvc2l0aW9uPC9rZXl3b3JkPjxrZXl3b3JkPm9iZXNp
dHk8L2tleXdvcmQ+PC9rZXl3b3Jkcz48ZGF0ZXM+PHllYXI+MjAxNjwveWVhcj48cHViLWRhdGVz
PjxkYXRlPk1hcjwvZGF0ZT48L3B1Yi1kYXRlcz48L2RhdGVzPjxpc2JuPjE0NzEtMDUyOCAoRWxl
Y3Ryb25pYykmI3hEOzE0NzAtMDMyOCAoTGlua2luZyk8L2lzYm4+PGFjY2Vzc2lvbi1udW0+MjY1
NDI0MTk8L2FjY2Vzc2lvbi1udW0+PHVybHM+PHJlbGF0ZWQtdXJscz48dXJsPmh0dHBzOi8vd3d3
Lm5jYmkubmxtLm5paC5nb3YvcHVibWVkLzI2NTQyNDE5PC91cmw+PC9yZWxhdGVkLXVybHM+PC91
cmxzPjxlbGVjdHJvbmljLXJlc291cmNlLW51bT4xMC4xMTExLzE0NzEtMDUyOC4xMzczODwvZWxl
Y3Ryb25pYy1yZXNvdXJjZS1udW0+PC9yZWNvcmQ+PC9DaXRlPjwvRW5kTm90ZT5=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268-273</w:t>
      </w:r>
      <w:r w:rsidR="00283324">
        <w:fldChar w:fldCharType="end"/>
      </w:r>
      <w:r>
        <w:t xml:space="preserve"> assessed</w:t>
      </w:r>
      <w:r w:rsidR="003E3405">
        <w:t xml:space="preserve"> </w:t>
      </w:r>
      <w:r w:rsidR="00F21FC3">
        <w:t>physical</w:t>
      </w:r>
      <w:r w:rsidR="003E3405">
        <w:t xml:space="preserve"> fitness</w:t>
      </w:r>
      <w:r w:rsidR="00895828">
        <w:t xml:space="preserve"> </w:t>
      </w:r>
      <w:r w:rsidR="00F21FC3">
        <w:t xml:space="preserve">and were </w:t>
      </w:r>
      <w:r w:rsidR="0051646E">
        <w:t xml:space="preserve">consistent in finding </w:t>
      </w:r>
      <w:r w:rsidR="005A11E5">
        <w:t>an</w:t>
      </w:r>
      <w:r w:rsidR="0051646E">
        <w:t xml:space="preserve"> improvement.</w:t>
      </w:r>
    </w:p>
    <w:p w14:paraId="34CF854E" w14:textId="208CEA31" w:rsidR="00DA4CE7" w:rsidRPr="006450D0" w:rsidRDefault="00DA4CE7" w:rsidP="00DA4CE7">
      <w:r>
        <w:t>A small cohort study (</w:t>
      </w:r>
      <w:r w:rsidRPr="002138A4">
        <w:rPr>
          <w:sz w:val="16"/>
          <w:szCs w:val="16"/>
        </w:rPr>
        <w:t>n=1,469</w:t>
      </w:r>
      <w:r>
        <w:t>) found that rates of exercise-related injuries were low (</w:t>
      </w:r>
      <w:r w:rsidRPr="002138A4">
        <w:rPr>
          <w:sz w:val="16"/>
          <w:szCs w:val="16"/>
        </w:rPr>
        <w:t>4.1 per 1,000 exercise hours</w:t>
      </w:r>
      <w:r>
        <w:t>), that most exercise-related injuries occurred during walking (57.1%) and the most common types of injuries were bruises or scrapes (55%).</w:t>
      </w:r>
      <w:r>
        <w:fldChar w:fldCharType="begin"/>
      </w:r>
      <w:r w:rsidR="002747EA">
        <w:instrText xml:space="preserve"> ADDIN EN.CITE &lt;EndNote&gt;&lt;Cite&gt;&lt;Author&gt;Vladutiu&lt;/Author&gt;&lt;Year&gt;2010&lt;/Year&gt;&lt;RecNum&gt;1242&lt;/RecNum&gt;&lt;DisplayText&gt;&lt;style face="superscript" font="Trebuchet MS" size="9"&gt;274&lt;/style&gt;&lt;/DisplayText&gt;&lt;record&gt;&lt;rec-number&gt;1242&lt;/rec-number&gt;&lt;foreign-keys&gt;&lt;key app="EN" db-id="exvasrfx2dtraoesasxp2szsxa2df502592x" timestamp="1562807292"&gt;1242&lt;/key&gt;&lt;/foreign-keys&gt;&lt;ref-type name="Journal Article"&gt;17&lt;/ref-type&gt;&lt;contributors&gt;&lt;authors&gt;&lt;author&gt;Vladutiu, C. J.&lt;/author&gt;&lt;author&gt;Evenson, K. R.&lt;/author&gt;&lt;author&gt;Marshall, S. W.&lt;/author&gt;&lt;/authors&gt;&lt;/contributors&gt;&lt;auth-address&gt;Dept. of Epidemiology, Gillings School of Global Public Health, University of North Carolina at Chapel Hill, NC, USA.&lt;/auth-address&gt;&lt;titles&gt;&lt;title&gt;Physical activity and injuries during pregnancy&lt;/title&gt;&lt;secondary-title&gt;J Phys Act Health&lt;/secondary-title&gt;&lt;/titles&gt;&lt;periodical&gt;&lt;full-title&gt;J Phys Act Health&lt;/full-title&gt;&lt;/periodical&gt;&lt;pages&gt;761-9&lt;/pages&gt;&lt;volume&gt;7&lt;/volume&gt;&lt;number&gt;6&lt;/number&gt;&lt;edition&gt;2010/11/23&lt;/edition&gt;&lt;keywords&gt;&lt;keyword&gt;Adolescent&lt;/keyword&gt;&lt;keyword&gt;Adult&lt;/keyword&gt;&lt;keyword&gt;*Exercise&lt;/keyword&gt;&lt;keyword&gt;Female&lt;/keyword&gt;&lt;keyword&gt;Health Status&lt;/keyword&gt;&lt;keyword&gt;Humans&lt;/keyword&gt;&lt;keyword&gt;Incidence&lt;/keyword&gt;&lt;keyword&gt;North Carolina/epidemiology&lt;/keyword&gt;&lt;keyword&gt;Pregnancy/*physiology&lt;/keyword&gt;&lt;keyword&gt;Prospective Studies&lt;/keyword&gt;&lt;keyword&gt;Socioeconomic Factors&lt;/keyword&gt;&lt;keyword&gt;Wounds and Injuries/*epidemiology&lt;/keyword&gt;&lt;keyword&gt;Young Adult&lt;/keyword&gt;&lt;/keywords&gt;&lt;dates&gt;&lt;year&gt;2010&lt;/year&gt;&lt;pub-dates&gt;&lt;date&gt;Nov&lt;/date&gt;&lt;/pub-dates&gt;&lt;/dates&gt;&lt;isbn&gt;1543-3080 (Print)&amp;#xD;1543-3080 (Linking)&lt;/isbn&gt;&lt;accession-num&gt;21088307&lt;/accession-num&gt;&lt;urls&gt;&lt;related-urls&gt;&lt;url&gt;https://www.ncbi.nlm.nih.gov/pubmed/21088307&lt;/url&gt;&lt;/related-urls&gt;&lt;/urls&gt;&lt;custom2&gt;PMC3319730&lt;/custom2&gt;&lt;/record&gt;&lt;/Cite&gt;&lt;/EndNote&gt;</w:instrText>
      </w:r>
      <w:r>
        <w:fldChar w:fldCharType="separate"/>
      </w:r>
      <w:r w:rsidR="002747EA" w:rsidRPr="002747EA">
        <w:rPr>
          <w:noProof/>
          <w:vertAlign w:val="superscript"/>
        </w:rPr>
        <w:t>274</w:t>
      </w:r>
      <w:r>
        <w:fldChar w:fldCharType="end"/>
      </w:r>
    </w:p>
    <w:p w14:paraId="55CE7A96" w14:textId="66705C9B" w:rsidR="003E3405" w:rsidRDefault="005A3ECC" w:rsidP="00E226F8">
      <w:pPr>
        <w:pStyle w:val="Heading3"/>
      </w:pPr>
      <w:bookmarkStart w:id="117" w:name="_Toc40956512"/>
      <w:r>
        <w:t>Effect on q</w:t>
      </w:r>
      <w:r w:rsidR="00DA4CE7">
        <w:t>uality of life</w:t>
      </w:r>
      <w:bookmarkEnd w:id="117"/>
    </w:p>
    <w:p w14:paraId="67884887" w14:textId="475CD650" w:rsidR="00DA4CE7" w:rsidRPr="006450D0" w:rsidRDefault="00725D89" w:rsidP="00DA4CE7">
      <w:r>
        <w:t>RCTs</w:t>
      </w:r>
      <w:r w:rsidR="00DA4CE7">
        <w:t xml:space="preserve"> assessing quality of life among women who had participated in an exercise program were inconsistent in their findings. </w:t>
      </w:r>
      <w:r w:rsidR="001F54EE">
        <w:t>Two RCTs found higher summary scores for physical and mental health summaries of the SF36.</w:t>
      </w:r>
      <w:r w:rsidR="00D07346">
        <w:rPr>
          <w:noProof/>
        </w:rPr>
        <w:fldChar w:fldCharType="begin">
          <w:fldData xml:space="preserve">PEVuZE5vdGU+PENpdGU+PEF1dGhvcj5Sb2RyaWd1ZXotQmxhbnF1ZTwvQXV0aG9yPjxZZWFyPjIw
MjA8L1llYXI+PFJlY051bT4xOTYyPC9SZWNOdW0+PERpc3BsYXlUZXh0PjxzdHlsZSBmYWNlPSJz
dXBlcnNjcmlwdCIgZm9udD0iVHJlYnVjaGV0IE1TIiBzaXplPSI5Ij4yNzUsMjc2PC9zdHlsZT48
L0Rpc3BsYXlUZXh0PjxyZWNvcmQ+PHJlYy1udW1iZXI+MTk2MjwvcmVjLW51bWJlcj48Zm9yZWln
bi1rZXlzPjxrZXkgYXBwPSJFTiIgZGItaWQ9ImV4dmFzcmZ4MmR0cmFvZXNhc3hwMnN6c3hhMmRm
NTAyNTkyeCIgdGltZXN0YW1wPSIxNTg4NzQzODk0Ij4xOTYyPC9rZXk+PGtleSBhcHA9IkVOV2Vi
IiBkYi1pZD0iIj4wPC9rZXk+PC9mb3JlaWduLWtleXM+PHJlZi10eXBlIG5hbWU9IkpvdXJuYWwg
QXJ0aWNsZSI+MTc8L3JlZi10eXBlPjxjb250cmlidXRvcnM+PGF1dGhvcnM+PGF1dGhvcj5Sb2Ry
aWd1ZXotQmxhbnF1ZSwgUi48L2F1dGhvcj48YXV0aG9yPkFndWlsYXItQ29yZGVybywgTS4gSi48
L2F1dGhvcj48YXV0aG9yPk1hcmluLUppbWVuZXosIEEuIEUuPC9hdXRob3I+PGF1dGhvcj5NZW5v
ci1Sb2RyaWd1ZXosIE0uIEouPC9hdXRob3I+PGF1dGhvcj5Nb250aWVsLVRyb3lhLCBNLjwvYXV0
aG9yPjxhdXRob3I+U2FuY2hlei1HYXJjaWEsIEouIEMuPC9hdXRob3I+PC9hdXRob3JzPjwvY29u
dHJpYnV0b3JzPjxhdXRoLWFkZHJlc3M+UGhELiBSZXNlYXJjaCBHcm91cCBDVFMxMDY4LCBBbmRh
bHVzaWEgUmVzZWFyY2ggUGxhbiwgSnVudGEgZGUgQW5kYWx1Y2lhLCBTYW4gQ2VjaWxpbyBDbGlu
aWNhbCBIb3NwaXRhbCwgU2Nob29sIG9mIE51cnNpbmcsIEZhY3VsdHkgb2YgSGVhbHRoIFNjaWVu
Y2VzLCBVbml2ZXJzaXR5IG9mIEdyYW5hZGEsIDE4MDcxIEdyYW5hZGEsIFNwYWluLiYjeEQ7UGgu
RC4gUmVzZWFyY2ggR3JvdXAgQ1RTIDM2NywgQW5kYWx1c2lhIFJlc2VhcmNoIFBsYW4sIEp1bnRh
IGRlIEFuZGFsdWNpYSwgU2Nob29sIG9mIE51cnNpbmcsIFNjaG9vbCBvZiBIZWFsdGggU2NpZW5j
ZXMsIFVuaXZlcnNpdHkgb2YgR3JhbmFkYSwgU2FuIENlY2lsaW8gQ2xpbmljYWwgSG9zcGl0YWws
IDE4MDcxIEdyYW5hZGEsIFNwYWluLiYjeEQ7UGhELiBSZXNlYXJjaCBHcm91cCBDVFMxMDY4LCBB
bmRhbHVzaWEgUmVzZWFyY2ggUGxhbiwgSnVudGEgZGUgQW5kYWx1Y2lhLCBRdWFudGl0YXRpdmUg
bWV0aG9kcyBmb3IgdGhlIGVjb25vbWljcyBhbmQgZW50ZXJwcmlzZSwgRmFjdWx0eSBvZiBFY29u
b21pY3MgYW5kIEJ1c2luZXNzIFNjaWVuY2VzLCBVbml2ZXJzaXR5IG9mIEdyYW5hZGEsIDE4MDcx
IEdyYW5hZGEsIFNwYWluLiYjeEQ7UGhELiBSZXNlYXJjaCBHcm91cCBDVFMzNjcsIEFuZGFsdXNp
YSBSZXNlYXJjaCBQbGFuLCBKdW50YSBkZSBBbmRhbHVjaWEsIEFyZWEgU2FuaXRhcmlhIGRlIE91
cmVuc2UsIDMyNjE2IE91cmVuc2UsIFNwYWluLiYjeEQ7UGhELiBSZXNlYXJjaCBHcm91cCBDVFMx
MDY4LCBBbmRhbHVzaWEgUmVzZWFyY2ggUGxhbiwgSnVudGEgZGUgQW5kYWx1Y2lhLCBTY2hvb2wg
b2YgTnVyc2luZyBDZXV0YSBDYW1wdXMsIEZhY3VsdHkgb2YgSGVhbHRoIFNjaWVuY2VzLCBVbml2
ZXJzaXR5IG9mIEdyYW5hZGEsIDUxMDAxIENldXRhLCBTcGFpbi4mI3hEO1BoRC4gUmVzZWFyY2gg
R3JvdXAgQ1RTMTA2OCwgQW5kYWx1c2lhIFJlc2VhcmNoIFBsYW4sIEp1bnRhIGRlIEFuZGFsdWNp
YSwgU2Nob29sIG9mIE51cnNpbmcsIEZhY3VsdHkgb2YgSGVhbHRoIFNjaWVuY2VzLCBVbml2ZXJz
aXR5IG9mIEdyYW5hZGEsIDE4MDcxIEdyYW5hZGEsIFNwYWluLjwvYXV0aC1hZGRyZXNzPjx0aXRs
ZXM+PHRpdGxlPldhdGVyIGV4ZXJjaXNlIGFuZCBxdWFsaXR5IG9mIGxpZmUgaW4gcHJlZ25hbmN5
OiBhIHJhbmRvbWlzZWQgY2xpbmljYWwgdHJpYWw8L3RpdGxlPjxzZWNvbmRhcnktdGl0bGU+SW50
IEogRW52aXJvbiBSZXMgUHVibGljIEhlYWx0aDwvc2Vjb25kYXJ5LXRpdGxlPjwvdGl0bGVzPjxw
ZXJpb2RpY2FsPjxmdWxsLXRpdGxlPkludCBKIEVudmlyb24gUmVzIFB1YmxpYyBIZWFsdGg8L2Z1
bGwtdGl0bGU+PC9wZXJpb2RpY2FsPjx2b2x1bWU+MTc8L3ZvbHVtZT48bnVtYmVyPjQ8L251bWJl
cj48ZWRpdGlvbj4yMDIwLzAyLzIzPC9lZGl0aW9uPjxrZXl3b3Jkcz48a2V5d29yZD4qUHJlZ25h
bnQgd29tYW48L2tleXdvcmQ+PGtleXdvcmQ+KmV4ZXJjaXNlPC9rZXl3b3JkPjxrZXl3b3JkPipw
aHlzaWNhbCBhY3Rpdml0eTwva2V5d29yZD48a2V5d29yZD4qcXVhbGl0eSBvZiBsaWZlPC9rZXl3
b3JkPjwva2V5d29yZHM+PGRhdGVzPjx5ZWFyPjIwMjA8L3llYXI+PHB1Yi1kYXRlcz48ZGF0ZT5G
ZWIgMTc8L2RhdGU+PC9wdWItZGF0ZXM+PC9kYXRlcz48aXNibj4xNjYwLTQ2MDEgKEVsZWN0cm9u
aWMpJiN4RDsxNjYwLTQ2MDEgKExpbmtpbmcpPC9pc2JuPjxhY2Nlc3Npb24tbnVtPjMyMDc5MzQy
PC9hY2Nlc3Npb24tbnVtPjx1cmxzPjxyZWxhdGVkLXVybHM+PHVybD5odHRwczovL3d3dy5uY2Jp
Lm5sbS5uaWguZ292L3B1Ym1lZC8zMjA3OTM0MjwvdXJsPjwvcmVsYXRlZC11cmxzPjwvdXJscz48
Y3VzdG9tMj5QTUM3MDY4NDEwPC9jdXN0b20yPjxlbGVjdHJvbmljLXJlc291cmNlLW51bT4xMC4z
MzkwL2lqZXJwaDE3MDQxMjg4PC9lbGVjdHJvbmljLXJlc291cmNlLW51bT48L3JlY29yZD48L0Np
dGU+PENpdGU+PEF1dGhvcj5QcmFiaGE8L0F1dGhvcj48WWVhcj4yMDE5PC9ZZWFyPjxSZWNOdW0+
MTk2MDwvUmVjTnVtPjxyZWNvcmQ+PHJlYy1udW1iZXI+MTk2MDwvcmVjLW51bWJlcj48Zm9yZWln
bi1rZXlzPjxrZXkgYXBwPSJFTiIgZGItaWQ9ImV4dmFzcmZ4MmR0cmFvZXNhc3hwMnN6c3hhMmRm
NTAyNTkyeCIgdGltZXN0YW1wPSIxNTg4NzQzODc4Ij4xOTYwPC9rZXk+PGtleSBhcHA9IkVOV2Vi
IiBkYi1pZD0iIj4wPC9rZXk+PC9mb3JlaWduLWtleXM+PHJlZi10eXBlIG5hbWU9IkpvdXJuYWwg
QXJ0aWNsZSI+MTc8L3JlZi10eXBlPjxjb250cmlidXRvcnM+PGF1dGhvcnM+PGF1dGhvcj5QcmFi
aGEsIEIuUy4sPC9hdXRob3I+PGF1dGhvcj5WaWpheWFyYWdoYXZhbiwgSi4sPC9hdXRob3I+PGF1
dGhvcj5NYWl5YSwgQS5HLiw8L2F1dGhvcj48YXV0aG9yPlZlbmthdGVzaCwgTi4sPC9hdXRob3I+
PGF1dGhvcj5TaXZha3VtYXIsIFIuLDwvYXV0aG9yPjwvYXV0aG9ycz48L2NvbnRyaWJ1dG9ycz48
dGl0bGVzPjx0aXRsZT5FZmZlY3RzIG9mIGFudGVuYXRhbCBleGVyY2lzZSBwcm9ncmFtbWUgYW5k
IGVkdWNhdGlvbiBvbiBoZWFsdGggcmVsYXRlZCBxdWFsaXR5IG9mIGxpZmU6IGEgcmFuZG9taXNl
ZCBjb250cm9sbGVkIHRyaWFsPC90aXRsZT48c2Vjb25kYXJ5LXRpdGxlPkogQ2xpbiBEaWFnIFJl
czwvc2Vjb25kYXJ5LXRpdGxlPjwvdGl0bGVzPjxwZXJpb2RpY2FsPjxmdWxsLXRpdGxlPkogQ2xp
biBEaWFnIFJlczwvZnVsbC10aXRsZT48L3BlcmlvZGljYWw+PHBhZ2VzPllGMDEtWUYwNDwvcGFn
ZXM+PHZvbHVtZT4xMzwvdm9sdW1lPjxudW1iZXI+MjwvbnVtYmVyPjxkYXRlcz48eWVhcj4yMDE5
PC95ZWFyPjwvZGF0ZXM+PGlzYm4+MjI0OTc4Mlg8L2lzYm4+PHVybHM+PC91cmxzPjxlbGVjdHJv
bmljLXJlc291cmNlLW51bT4xMC43ODYwL2pjZHIvMjAxOS8zODA4Ni4xMjU3NTwvZWxlY3Ryb25p
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PEVuZE5vdGU+PENpdGU+PEF1dGhvcj5Sb2RyaWd1ZXotQmxhbnF1ZTwvQXV0aG9yPjxZZWFyPjIw
MjA8L1llYXI+PFJlY051bT4xOTYyPC9SZWNOdW0+PERpc3BsYXlUZXh0PjxzdHlsZSBmYWNlPSJz
dXBlcnNjcmlwdCIgZm9udD0iVHJlYnVjaGV0IE1TIiBzaXplPSI5Ij4yNzUsMjc2PC9zdHlsZT48
L0Rpc3BsYXlUZXh0PjxyZWNvcmQ+PHJlYy1udW1iZXI+MTk2MjwvcmVjLW51bWJlcj48Zm9yZWln
bi1rZXlzPjxrZXkgYXBwPSJFTiIgZGItaWQ9ImV4dmFzcmZ4MmR0cmFvZXNhc3hwMnN6c3hhMmRm
NTAyNTkyeCIgdGltZXN0YW1wPSIxNTg4NzQzODk0Ij4xOTYyPC9rZXk+PGtleSBhcHA9IkVOV2Vi
IiBkYi1pZD0iIj4wPC9rZXk+PC9mb3JlaWduLWtleXM+PHJlZi10eXBlIG5hbWU9IkpvdXJuYWwg
QXJ0aWNsZSI+MTc8L3JlZi10eXBlPjxjb250cmlidXRvcnM+PGF1dGhvcnM+PGF1dGhvcj5Sb2Ry
aWd1ZXotQmxhbnF1ZSwgUi48L2F1dGhvcj48YXV0aG9yPkFndWlsYXItQ29yZGVybywgTS4gSi48
L2F1dGhvcj48YXV0aG9yPk1hcmluLUppbWVuZXosIEEuIEUuPC9hdXRob3I+PGF1dGhvcj5NZW5v
ci1Sb2RyaWd1ZXosIE0uIEouPC9hdXRob3I+PGF1dGhvcj5Nb250aWVsLVRyb3lhLCBNLjwvYXV0
aG9yPjxhdXRob3I+U2FuY2hlei1HYXJjaWEsIEouIEMuPC9hdXRob3I+PC9hdXRob3JzPjwvY29u
dHJpYnV0b3JzPjxhdXRoLWFkZHJlc3M+UGhELiBSZXNlYXJjaCBHcm91cCBDVFMxMDY4LCBBbmRh
bHVzaWEgUmVzZWFyY2ggUGxhbiwgSnVudGEgZGUgQW5kYWx1Y2lhLCBTYW4gQ2VjaWxpbyBDbGlu
aWNhbCBIb3NwaXRhbCwgU2Nob29sIG9mIE51cnNpbmcsIEZhY3VsdHkgb2YgSGVhbHRoIFNjaWVu
Y2VzLCBVbml2ZXJzaXR5IG9mIEdyYW5hZGEsIDE4MDcxIEdyYW5hZGEsIFNwYWluLiYjeEQ7UGgu
RC4gUmVzZWFyY2ggR3JvdXAgQ1RTIDM2NywgQW5kYWx1c2lhIFJlc2VhcmNoIFBsYW4sIEp1bnRh
IGRlIEFuZGFsdWNpYSwgU2Nob29sIG9mIE51cnNpbmcsIFNjaG9vbCBvZiBIZWFsdGggU2NpZW5j
ZXMsIFVuaXZlcnNpdHkgb2YgR3JhbmFkYSwgU2FuIENlY2lsaW8gQ2xpbmljYWwgSG9zcGl0YWws
IDE4MDcxIEdyYW5hZGEsIFNwYWluLiYjeEQ7UGhELiBSZXNlYXJjaCBHcm91cCBDVFMxMDY4LCBB
bmRhbHVzaWEgUmVzZWFyY2ggUGxhbiwgSnVudGEgZGUgQW5kYWx1Y2lhLCBRdWFudGl0YXRpdmUg
bWV0aG9kcyBmb3IgdGhlIGVjb25vbWljcyBhbmQgZW50ZXJwcmlzZSwgRmFjdWx0eSBvZiBFY29u
b21pY3MgYW5kIEJ1c2luZXNzIFNjaWVuY2VzLCBVbml2ZXJzaXR5IG9mIEdyYW5hZGEsIDE4MDcx
IEdyYW5hZGEsIFNwYWluLiYjeEQ7UGhELiBSZXNlYXJjaCBHcm91cCBDVFMzNjcsIEFuZGFsdXNp
YSBSZXNlYXJjaCBQbGFuLCBKdW50YSBkZSBBbmRhbHVjaWEsIEFyZWEgU2FuaXRhcmlhIGRlIE91
cmVuc2UsIDMyNjE2IE91cmVuc2UsIFNwYWluLiYjeEQ7UGhELiBSZXNlYXJjaCBHcm91cCBDVFMx
MDY4LCBBbmRhbHVzaWEgUmVzZWFyY2ggUGxhbiwgSnVudGEgZGUgQW5kYWx1Y2lhLCBTY2hvb2wg
b2YgTnVyc2luZyBDZXV0YSBDYW1wdXMsIEZhY3VsdHkgb2YgSGVhbHRoIFNjaWVuY2VzLCBVbml2
ZXJzaXR5IG9mIEdyYW5hZGEsIDUxMDAxIENldXRhLCBTcGFpbi4mI3hEO1BoRC4gUmVzZWFyY2gg
R3JvdXAgQ1RTMTA2OCwgQW5kYWx1c2lhIFJlc2VhcmNoIFBsYW4sIEp1bnRhIGRlIEFuZGFsdWNp
YSwgU2Nob29sIG9mIE51cnNpbmcsIEZhY3VsdHkgb2YgSGVhbHRoIFNjaWVuY2VzLCBVbml2ZXJz
aXR5IG9mIEdyYW5hZGEsIDE4MDcxIEdyYW5hZGEsIFNwYWluLjwvYXV0aC1hZGRyZXNzPjx0aXRs
ZXM+PHRpdGxlPldhdGVyIGV4ZXJjaXNlIGFuZCBxdWFsaXR5IG9mIGxpZmUgaW4gcHJlZ25hbmN5
OiBhIHJhbmRvbWlzZWQgY2xpbmljYWwgdHJpYWw8L3RpdGxlPjxzZWNvbmRhcnktdGl0bGU+SW50
IEogRW52aXJvbiBSZXMgUHVibGljIEhlYWx0aDwvc2Vjb25kYXJ5LXRpdGxlPjwvdGl0bGVzPjxw
ZXJpb2RpY2FsPjxmdWxsLXRpdGxlPkludCBKIEVudmlyb24gUmVzIFB1YmxpYyBIZWFsdGg8L2Z1
bGwtdGl0bGU+PC9wZXJpb2RpY2FsPjx2b2x1bWU+MTc8L3ZvbHVtZT48bnVtYmVyPjQ8L251bWJl
cj48ZWRpdGlvbj4yMDIwLzAyLzIzPC9lZGl0aW9uPjxrZXl3b3Jkcz48a2V5d29yZD4qUHJlZ25h
bnQgd29tYW48L2tleXdvcmQ+PGtleXdvcmQ+KmV4ZXJjaXNlPC9rZXl3b3JkPjxrZXl3b3JkPipw
aHlzaWNhbCBhY3Rpdml0eTwva2V5d29yZD48a2V5d29yZD4qcXVhbGl0eSBvZiBsaWZlPC9rZXl3
b3JkPjwva2V5d29yZHM+PGRhdGVzPjx5ZWFyPjIwMjA8L3llYXI+PHB1Yi1kYXRlcz48ZGF0ZT5G
ZWIgMTc8L2RhdGU+PC9wdWItZGF0ZXM+PC9kYXRlcz48aXNibj4xNjYwLTQ2MDEgKEVsZWN0cm9u
aWMpJiN4RDsxNjYwLTQ2MDEgKExpbmtpbmcpPC9pc2JuPjxhY2Nlc3Npb24tbnVtPjMyMDc5MzQy
PC9hY2Nlc3Npb24tbnVtPjx1cmxzPjxyZWxhdGVkLXVybHM+PHVybD5odHRwczovL3d3dy5uY2Jp
Lm5sbS5uaWguZ292L3B1Ym1lZC8zMjA3OTM0MjwvdXJsPjwvcmVsYXRlZC11cmxzPjwvdXJscz48
Y3VzdG9tMj5QTUM3MDY4NDEwPC9jdXN0b20yPjxlbGVjdHJvbmljLXJlc291cmNlLW51bT4xMC4z
MzkwL2lqZXJwaDE3MDQxMjg4PC9lbGVjdHJvbmljLXJlc291cmNlLW51bT48L3JlY29yZD48L0Np
dGU+PENpdGU+PEF1dGhvcj5QcmFiaGE8L0F1dGhvcj48WWVhcj4yMDE5PC9ZZWFyPjxSZWNOdW0+
MTk2MDwvUmVjTnVtPjxyZWNvcmQ+PHJlYy1udW1iZXI+MTk2MDwvcmVjLW51bWJlcj48Zm9yZWln
bi1rZXlzPjxrZXkgYXBwPSJFTiIgZGItaWQ9ImV4dmFzcmZ4MmR0cmFvZXNhc3hwMnN6c3hhMmRm
NTAyNTkyeCIgdGltZXN0YW1wPSIxNTg4NzQzODc4Ij4xOTYwPC9rZXk+PGtleSBhcHA9IkVOV2Vi
IiBkYi1pZD0iIj4wPC9rZXk+PC9mb3JlaWduLWtleXM+PHJlZi10eXBlIG5hbWU9IkpvdXJuYWwg
QXJ0aWNsZSI+MTc8L3JlZi10eXBlPjxjb250cmlidXRvcnM+PGF1dGhvcnM+PGF1dGhvcj5QcmFi
aGEsIEIuUy4sPC9hdXRob3I+PGF1dGhvcj5WaWpheWFyYWdoYXZhbiwgSi4sPC9hdXRob3I+PGF1
dGhvcj5NYWl5YSwgQS5HLiw8L2F1dGhvcj48YXV0aG9yPlZlbmthdGVzaCwgTi4sPC9hdXRob3I+
PGF1dGhvcj5TaXZha3VtYXIsIFIuLDwvYXV0aG9yPjwvYXV0aG9ycz48L2NvbnRyaWJ1dG9ycz48
dGl0bGVzPjx0aXRsZT5FZmZlY3RzIG9mIGFudGVuYXRhbCBleGVyY2lzZSBwcm9ncmFtbWUgYW5k
IGVkdWNhdGlvbiBvbiBoZWFsdGggcmVsYXRlZCBxdWFsaXR5IG9mIGxpZmU6IGEgcmFuZG9taXNl
ZCBjb250cm9sbGVkIHRyaWFsPC90aXRsZT48c2Vjb25kYXJ5LXRpdGxlPkogQ2xpbiBEaWFnIFJl
czwvc2Vjb25kYXJ5LXRpdGxlPjwvdGl0bGVzPjxwZXJpb2RpY2FsPjxmdWxsLXRpdGxlPkogQ2xp
biBEaWFnIFJlczwvZnVsbC10aXRsZT48L3BlcmlvZGljYWw+PHBhZ2VzPllGMDEtWUYwNDwvcGFn
ZXM+PHZvbHVtZT4xMzwvdm9sdW1lPjxudW1iZXI+MjwvbnVtYmVyPjxkYXRlcz48eWVhcj4yMDE5
PC95ZWFyPjwvZGF0ZXM+PGlzYm4+MjI0OTc4Mlg8L2lzYm4+PHVybHM+PC91cmxzPjxlbGVjdHJv
bmljLXJlc291cmNlLW51bT4xMC43ODYwL2pjZHIvMjAxOS8zODA4Ni4xMjU3NTwvZWxlY3Ryb25p
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275,276</w:t>
      </w:r>
      <w:r w:rsidR="00D07346">
        <w:rPr>
          <w:noProof/>
        </w:rPr>
        <w:fldChar w:fldCharType="end"/>
      </w:r>
      <w:r w:rsidR="001F54EE">
        <w:t xml:space="preserve"> </w:t>
      </w:r>
      <w:r w:rsidR="00DA4CE7">
        <w:t>One found no</w:t>
      </w:r>
      <w:r w:rsidR="00DA4CE7" w:rsidRPr="006450D0">
        <w:t xml:space="preserve"> influence </w:t>
      </w:r>
      <w:r w:rsidR="00DA4CE7">
        <w:t>on</w:t>
      </w:r>
      <w:r w:rsidR="00DA4CE7" w:rsidRPr="006450D0">
        <w:t xml:space="preserve"> women’s psychological wellbeing and self-perceived general health</w:t>
      </w:r>
      <w:r w:rsidR="00DA4CE7">
        <w:t>,</w:t>
      </w:r>
      <w:r w:rsidR="00DA4CE7">
        <w:fldChar w:fldCharType="begin">
          <w:fldData xml:space="preserve">PEVuZE5vdGU+PENpdGU+PEF1dGhvcj5HdXN0YWZzc29uPC9BdXRob3I+PFllYXI+MjAxNjwvWWVh
cj48UmVjTnVtPjkzMTwvUmVjTnVtPjxEaXNwbGF5VGV4dD48c3R5bGUgZmFjZT0ic3VwZXJzY3Jp
cHQiIGZvbnQ9IlRyZWJ1Y2hldCBNUyIgc2l6ZT0iOSI+Mjc3PC9zdHlsZT48L0Rpc3BsYXlUZXh0
PjxyZWNvcmQ+PHJlYy1udW1iZXI+OTMxPC9yZWMtbnVtYmVyPjxmb3JlaWduLWtleXM+PGtleSBh
cHA9IkVOIiBkYi1pZD0iZXh2YXNyZngyZHRyYW9lc2FzeHAyc3pzeGEyZGY1MDI1OTJ4IiB0aW1l
c3RhbXA9IjE1NDE1NDA5NTEiPjkzMTwva2V5PjxrZXkgYXBwPSJFTldlYiIgZGItaWQ9IiI+MDwv
a2V5PjwvZm9yZWlnbi1rZXlzPjxyZWYtdHlwZSBuYW1lPSJKb3VybmFsIEFydGljbGUiPjE3PC9y
ZWYtdHlwZT48Y29udHJpYnV0b3JzPjxhdXRob3JzPjxhdXRob3I+R3VzdGFmc3NvbiwgTS4gSy48
L2F1dGhvcj48YXV0aG9yPlN0YWZuZSwgUy4gTi48L2F1dGhvcj48YXV0aG9yPlJvbXVuZHN0YWQs
IFAuIFIuPC9hdXRob3I+PGF1dGhvcj5Nb3JrdmVkLCBTLjwvYXV0aG9yPjxhdXRob3I+U2FsdmVz
ZW4sIEsuPC9hdXRob3I+PGF1dGhvcj5IZWx2aWssIEEuIFMuPC9hdXRob3I+PC9hdXRob3JzPjwv
Y29udHJpYnV0b3JzPjxhdXRoLWFkZHJlc3M+RGVwYXJ0bWVudCBvZiBQdWJsaWMgSGVhbHRoIGFu
ZCBHZW5lcmFsIFByYWN0aWNlLCBOb3J3ZWdpYW4gVW5pdmVyc2l0eSBvZiBTY2llbmNlIGFuZCBU
ZWNobm9sb2d5LCBUcm9uZGhlaW0sIE5vcndheS4mI3hEO1Ryb25kaGVpbSBVbml2ZXJzaXR5IEhv
c3BpdGFsIChTdCBPbGF2cyBIb3NwaXRhbCksIFRyb25kaGVpbSwgTm9yd2F5LiYjeEQ7Q2xpbmlj
YWwgU2VydmljZXMsIFN0IE9sYXZzIEhvc3BpdGFsLCBUcm9uZGhlaW0gVW5pdmVyc2l0eSBIb3Nw
aXRhbCwgVHJvbmRoZWltLCBOb3J3YXkuJiN4RDtEZXBhcnRtZW50IG9mIExhYm9yYXRvcnkgTWVk
aWNpbmUsIENoaWxkcmVuJmFwb3M7cyBhbmQgV29tZW4mYXBvcztzIEhlYWx0aCwgTm9yd2VnaWFu
IFVuaXZlcnNpdHkgb2YgU2NpZW5jZSBhbmQgVGVjaG5vbG9neSwgVHJvbmRoZWltLCBOb3J3YXku
JiN4RDtOYXRpb25hbCBDZW50ZXIgZm9yIEZldGFsIE1lZGljaW5lLCBEZXBhcnRtZW50IG9mIE9i
c3RldHJpY3MgYW5kIEd5bmVjb2xvZ3ksIFRyb25kaGVpbSBVbml2ZXJzaXR5IEhvc3BpdGFsLCBU
cm9uZGhlaW0sIE5vcndheS4mI3hEO0FnZWluZyBhbmQgSGVhbHRoLCBOb3J3ZWdpYW4gQ2VudHJl
IGZvciBSZXNlYXJjaCwgRWR1Y2F0aW9uIGFuZCBTZXJ2aWNlIERldmVsb3BtZW50LCBWZXN0Zm9s
ZCBIb3NwaXRhbCBUcnVzdCwgVG9uc2JlcmcsIE5vcndheS48L2F1dGgtYWRkcmVzcz48dGl0bGVz
Pjx0aXRsZT5UaGUgZWZmZWN0cyBvZiBhbiBleGVyY2lzZSBwcm9ncmFtbWUgZHVyaW5nIHByZWdu
YW5jeSBvbiBoZWFsdGgtcmVsYXRlZCBxdWFsaXR5IG9mIGxpZmUgaW4gcHJlZ25hbnQgd29tZW46
IGEgTm9yd2VnaWFuIHJhbmRvbWlzZWQgY29udHJvbGxlZCB0cmlhbDwvdGl0bGU+PHNlY29uZGFy
eS10aXRsZT5CSk9HPC9zZWNvbmRhcnktdGl0bGU+PC90aXRsZXM+PHBlcmlvZGljYWw+PGZ1bGwt
dGl0bGU+QkpPRzwvZnVsbC10aXRsZT48L3BlcmlvZGljYWw+PHBhZ2VzPjExNTItNjA8L3BhZ2Vz
Pjx2b2x1bWU+MTIzPC92b2x1bWU+PG51bWJlcj43PC9udW1iZXI+PGVkaXRpb24+MjAxNS8wOC8x
MzwvZWRpdGlvbj48a2V5d29yZHM+PGtleXdvcmQ+QWRvbGVzY2VudDwva2V5d29yZD48a2V5d29y
ZD5BZHVsdDwva2V5d29yZD48a2V5d29yZD5FeGVyY2lzZSBUaGVyYXB5Lypwc3ljaG9sb2d5PC9r
ZXl3b3JkPjxrZXl3b3JkPkZlbWFsZTwva2V5d29yZD48a2V5d29yZD5IZWFsdGggUHJvbW90aW9u
L21ldGhvZHM8L2tleXdvcmQ+PGtleXdvcmQ+SGVhbHRoIFN0YXR1czwva2V5d29yZD48a2V5d29y
ZD5IdW1hbnM8L2tleXdvcmQ+PGtleXdvcmQ+UHJlZ25hbmN5PC9rZXl3b3JkPjxrZXl3b3JkPlBy
ZWduYW5jeSBUcmltZXN0ZXIsIFRoaXJkPC9rZXl3b3JkPjxrZXl3b3JkPlByZWduYW50IFdvbWVu
L3BzeWNob2xvZ3k8L2tleXdvcmQ+PGtleXdvcmQ+UHJlbmF0YWwgQ2FyZS9tZXRob2RzL3BzeWNo
b2xvZ3k8L2tleXdvcmQ+PGtleXdvcmQ+KlF1YWxpdHkgb2YgTGlmZTwva2V5d29yZD48a2V5d29y
ZD5TZWxmIENvbmNlcHQ8L2tleXdvcmQ+PGtleXdvcmQ+VHJlYXRtZW50IE91dGNvbWU8L2tleXdv
cmQ+PGtleXdvcmQ+WW91bmcgQWR1bHQ8L2tleXdvcmQ+PGtleXdvcmQ+RXhlcmNpc2U8L2tleXdv
cmQ+PGtleXdvcmQ+Z2VuZXJhbCBoZWFsdGg8L2tleXdvcmQ+PGtleXdvcmQ+aGVhbHRoLXJlbGF0
ZWQgcXVhbGl0eSBvZiBsaWZlPC9rZXl3b3JkPjwva2V5d29yZHM+PGRhdGVzPjx5ZWFyPjIwMTY8
L3llYXI+PHB1Yi1kYXRlcz48ZGF0ZT5KdW48L2RhdGU+PC9wdWItZGF0ZXM+PC9kYXRlcz48aXNi
bj4xNDcxLTA1MjggKEVsZWN0cm9uaWMpJiN4RDsxNDcwLTAzMjggKExpbmtpbmcpPC9pc2JuPjxh
Y2Nlc3Npb24tbnVtPjI2MjY1NDY1PC9hY2Nlc3Npb24tbnVtPjx1cmxzPjxyZWxhdGVkLXVybHM+
PHVybD5odHRwczovL3d3dy5uY2JpLm5sbS5uaWguZ292L3B1Ym1lZC8yNjI2NTQ2NTwvdXJsPjwv
cmVsYXRlZC11cmxzPjwvdXJscz48ZWxlY3Ryb25pYy1yZXNvdXJjZS1udW0+MTAuMTExMS8xNDcx
LTA1MjguMTM1NzA8L2VsZWN0cm9uaWMtcmVzb3VyY2UtbnVtPjwvcmVjb3JkPjwvQ2l0ZT48L0Vu
ZE5vdGU+
</w:fldData>
        </w:fldChar>
      </w:r>
      <w:r w:rsidR="002747EA">
        <w:instrText xml:space="preserve"> ADDIN EN.CITE </w:instrText>
      </w:r>
      <w:r w:rsidR="002747EA">
        <w:fldChar w:fldCharType="begin">
          <w:fldData xml:space="preserve">PEVuZE5vdGU+PENpdGU+PEF1dGhvcj5HdXN0YWZzc29uPC9BdXRob3I+PFllYXI+MjAxNjwvWWVh
cj48UmVjTnVtPjkzMTwvUmVjTnVtPjxEaXNwbGF5VGV4dD48c3R5bGUgZmFjZT0ic3VwZXJzY3Jp
cHQiIGZvbnQ9IlRyZWJ1Y2hldCBNUyIgc2l6ZT0iOSI+Mjc3PC9zdHlsZT48L0Rpc3BsYXlUZXh0
PjxyZWNvcmQ+PHJlYy1udW1iZXI+OTMxPC9yZWMtbnVtYmVyPjxmb3JlaWduLWtleXM+PGtleSBh
cHA9IkVOIiBkYi1pZD0iZXh2YXNyZngyZHRyYW9lc2FzeHAyc3pzeGEyZGY1MDI1OTJ4IiB0aW1l
c3RhbXA9IjE1NDE1NDA5NTEiPjkzMTwva2V5PjxrZXkgYXBwPSJFTldlYiIgZGItaWQ9IiI+MDwv
a2V5PjwvZm9yZWlnbi1rZXlzPjxyZWYtdHlwZSBuYW1lPSJKb3VybmFsIEFydGljbGUiPjE3PC9y
ZWYtdHlwZT48Y29udHJpYnV0b3JzPjxhdXRob3JzPjxhdXRob3I+R3VzdGFmc3NvbiwgTS4gSy48
L2F1dGhvcj48YXV0aG9yPlN0YWZuZSwgUy4gTi48L2F1dGhvcj48YXV0aG9yPlJvbXVuZHN0YWQs
IFAuIFIuPC9hdXRob3I+PGF1dGhvcj5Nb3JrdmVkLCBTLjwvYXV0aG9yPjxhdXRob3I+U2FsdmVz
ZW4sIEsuPC9hdXRob3I+PGF1dGhvcj5IZWx2aWssIEEuIFMuPC9hdXRob3I+PC9hdXRob3JzPjwv
Y29udHJpYnV0b3JzPjxhdXRoLWFkZHJlc3M+RGVwYXJ0bWVudCBvZiBQdWJsaWMgSGVhbHRoIGFu
ZCBHZW5lcmFsIFByYWN0aWNlLCBOb3J3ZWdpYW4gVW5pdmVyc2l0eSBvZiBTY2llbmNlIGFuZCBU
ZWNobm9sb2d5LCBUcm9uZGhlaW0sIE5vcndheS4mI3hEO1Ryb25kaGVpbSBVbml2ZXJzaXR5IEhv
c3BpdGFsIChTdCBPbGF2cyBIb3NwaXRhbCksIFRyb25kaGVpbSwgTm9yd2F5LiYjeEQ7Q2xpbmlj
YWwgU2VydmljZXMsIFN0IE9sYXZzIEhvc3BpdGFsLCBUcm9uZGhlaW0gVW5pdmVyc2l0eSBIb3Nw
aXRhbCwgVHJvbmRoZWltLCBOb3J3YXkuJiN4RDtEZXBhcnRtZW50IG9mIExhYm9yYXRvcnkgTWVk
aWNpbmUsIENoaWxkcmVuJmFwb3M7cyBhbmQgV29tZW4mYXBvcztzIEhlYWx0aCwgTm9yd2VnaWFu
IFVuaXZlcnNpdHkgb2YgU2NpZW5jZSBhbmQgVGVjaG5vbG9neSwgVHJvbmRoZWltLCBOb3J3YXku
JiN4RDtOYXRpb25hbCBDZW50ZXIgZm9yIEZldGFsIE1lZGljaW5lLCBEZXBhcnRtZW50IG9mIE9i
c3RldHJpY3MgYW5kIEd5bmVjb2xvZ3ksIFRyb25kaGVpbSBVbml2ZXJzaXR5IEhvc3BpdGFsLCBU
cm9uZGhlaW0sIE5vcndheS4mI3hEO0FnZWluZyBhbmQgSGVhbHRoLCBOb3J3ZWdpYW4gQ2VudHJl
IGZvciBSZXNlYXJjaCwgRWR1Y2F0aW9uIGFuZCBTZXJ2aWNlIERldmVsb3BtZW50LCBWZXN0Zm9s
ZCBIb3NwaXRhbCBUcnVzdCwgVG9uc2JlcmcsIE5vcndheS48L2F1dGgtYWRkcmVzcz48dGl0bGVz
Pjx0aXRsZT5UaGUgZWZmZWN0cyBvZiBhbiBleGVyY2lzZSBwcm9ncmFtbWUgZHVyaW5nIHByZWdu
YW5jeSBvbiBoZWFsdGgtcmVsYXRlZCBxdWFsaXR5IG9mIGxpZmUgaW4gcHJlZ25hbnQgd29tZW46
IGEgTm9yd2VnaWFuIHJhbmRvbWlzZWQgY29udHJvbGxlZCB0cmlhbDwvdGl0bGU+PHNlY29uZGFy
eS10aXRsZT5CSk9HPC9zZWNvbmRhcnktdGl0bGU+PC90aXRsZXM+PHBlcmlvZGljYWw+PGZ1bGwt
dGl0bGU+QkpPRzwvZnVsbC10aXRsZT48L3BlcmlvZGljYWw+PHBhZ2VzPjExNTItNjA8L3BhZ2Vz
Pjx2b2x1bWU+MTIzPC92b2x1bWU+PG51bWJlcj43PC9udW1iZXI+PGVkaXRpb24+MjAxNS8wOC8x
MzwvZWRpdGlvbj48a2V5d29yZHM+PGtleXdvcmQ+QWRvbGVzY2VudDwva2V5d29yZD48a2V5d29y
ZD5BZHVsdDwva2V5d29yZD48a2V5d29yZD5FeGVyY2lzZSBUaGVyYXB5Lypwc3ljaG9sb2d5PC9r
ZXl3b3JkPjxrZXl3b3JkPkZlbWFsZTwva2V5d29yZD48a2V5d29yZD5IZWFsdGggUHJvbW90aW9u
L21ldGhvZHM8L2tleXdvcmQ+PGtleXdvcmQ+SGVhbHRoIFN0YXR1czwva2V5d29yZD48a2V5d29y
ZD5IdW1hbnM8L2tleXdvcmQ+PGtleXdvcmQ+UHJlZ25hbmN5PC9rZXl3b3JkPjxrZXl3b3JkPlBy
ZWduYW5jeSBUcmltZXN0ZXIsIFRoaXJkPC9rZXl3b3JkPjxrZXl3b3JkPlByZWduYW50IFdvbWVu
L3BzeWNob2xvZ3k8L2tleXdvcmQ+PGtleXdvcmQ+UHJlbmF0YWwgQ2FyZS9tZXRob2RzL3BzeWNo
b2xvZ3k8L2tleXdvcmQ+PGtleXdvcmQ+KlF1YWxpdHkgb2YgTGlmZTwva2V5d29yZD48a2V5d29y
ZD5TZWxmIENvbmNlcHQ8L2tleXdvcmQ+PGtleXdvcmQ+VHJlYXRtZW50IE91dGNvbWU8L2tleXdv
cmQ+PGtleXdvcmQ+WW91bmcgQWR1bHQ8L2tleXdvcmQ+PGtleXdvcmQ+RXhlcmNpc2U8L2tleXdv
cmQ+PGtleXdvcmQ+Z2VuZXJhbCBoZWFsdGg8L2tleXdvcmQ+PGtleXdvcmQ+aGVhbHRoLXJlbGF0
ZWQgcXVhbGl0eSBvZiBsaWZlPC9rZXl3b3JkPjwva2V5d29yZHM+PGRhdGVzPjx5ZWFyPjIwMTY8
L3llYXI+PHB1Yi1kYXRlcz48ZGF0ZT5KdW48L2RhdGU+PC9wdWItZGF0ZXM+PC9kYXRlcz48aXNi
bj4xNDcxLTA1MjggKEVsZWN0cm9uaWMpJiN4RDsxNDcwLTAzMjggKExpbmtpbmcpPC9pc2JuPjxh
Y2Nlc3Npb24tbnVtPjI2MjY1NDY1PC9hY2Nlc3Npb24tbnVtPjx1cmxzPjxyZWxhdGVkLXVybHM+
PHVybD5odHRwczovL3d3dy5uY2JpLm5sbS5uaWguZ292L3B1Ym1lZC8yNjI2NTQ2NTwvdXJsPjwv
cmVsYXRlZC11cmxzPjwvdXJscz48ZWxlY3Ryb25pYy1yZXNvdXJjZS1udW0+MTAuMTExMS8xNDcx
LTA1MjguMTM1NzA8L2VsZWN0cm9uaWMtcmVzb3VyY2UtbnVtPjwvcmVjb3JkPjwvQ2l0ZT48L0Vu
ZE5vdGU+
</w:fldData>
        </w:fldChar>
      </w:r>
      <w:r w:rsidR="002747EA">
        <w:instrText xml:space="preserve"> ADDIN EN.CITE.DATA </w:instrText>
      </w:r>
      <w:r w:rsidR="002747EA">
        <w:fldChar w:fldCharType="end"/>
      </w:r>
      <w:r w:rsidR="00DA4CE7">
        <w:fldChar w:fldCharType="separate"/>
      </w:r>
      <w:r w:rsidR="002747EA" w:rsidRPr="002747EA">
        <w:rPr>
          <w:noProof/>
          <w:vertAlign w:val="superscript"/>
        </w:rPr>
        <w:t>277</w:t>
      </w:r>
      <w:r w:rsidR="00DA4CE7">
        <w:fldChar w:fldCharType="end"/>
      </w:r>
      <w:r w:rsidR="00DA4CE7" w:rsidRPr="006450D0">
        <w:t xml:space="preserve"> </w:t>
      </w:r>
      <w:r w:rsidR="00DA4CE7">
        <w:t>one found that exercise</w:t>
      </w:r>
      <w:r w:rsidR="00DA4CE7" w:rsidRPr="006450D0">
        <w:t xml:space="preserve"> contributed to improvements in some variables related to maternal well-being and quality of life</w:t>
      </w:r>
      <w:r w:rsidR="00DA4CE7">
        <w:fldChar w:fldCharType="begin">
          <w:fldData xml:space="preserve">PEVuZE5vdGU+PENpdGU+PEF1dGhvcj5IYWFrc3RhZDwvQXV0aG9yPjxZZWFyPjIwMTY8L1llYXI+
PFJlY051bT4xMDI3PC9SZWNOdW0+PERpc3BsYXlUZXh0PjxzdHlsZSBmYWNlPSJzdXBlcnNjcmlw
dCIgZm9udD0iVHJlYnVjaGV0IE1TIiBzaXplPSI5Ij4yNzg8L3N0eWxlPjwvRGlzcGxheVRleHQ+
PHJlY29yZD48cmVjLW51bWJlcj4xMDI3PC9yZWMtbnVtYmVyPjxmb3JlaWduLWtleXM+PGtleSBh
cHA9IkVOIiBkYi1pZD0iZXh2YXNyZngyZHRyYW9lc2FzeHAyc3pzeGEyZGY1MDI1OTJ4IiB0aW1l
c3RhbXA9IjE1NDg5ODM0NzYiPjEwMjc8L2tleT48L2ZvcmVpZ24ta2V5cz48cmVmLXR5cGUgbmFt
ZT0iSm91cm5hbCBBcnRpY2xlIj4xNzwvcmVmLXR5cGU+PGNvbnRyaWJ1dG9ycz48YXV0aG9ycz48
YXV0aG9yPkhhYWtzdGFkLCBMLiBBLjwvYXV0aG9yPjxhdXRob3I+VG9yc2V0LCBCLjwvYXV0aG9y
PjxhdXRob3I+Qm8sIEsuPC9hdXRob3I+PC9hdXRob3JzPjwvY29udHJpYnV0b3JzPjxhdXRoLWFk
ZHJlc3M+Tm9yd2VnaWFuIFNjaG9vbCBvZiBTcG9ydHMgU2NpZW5jZXMsIERlcGFydG1lbnQgb2Yg
U3BvcnRzIE1lZGljaW5lLCBOb3J3YXkuIEVsZWN0cm9uaWMgYWRkcmVzczogbGFoYWFrc3RhZEBu
aWgubm8uJiN4RDtOb3J3ZWdpYW4gU2Nob29sIG9mIFNwb3J0cyBTY2llbmNlcywgRGVwYXJ0bWVu
dCBvZiBTcG9ydHMgTWVkaWNpbmUsIE5vcndheS4gRWxlY3Ryb25pYyBhZGRyZXNzOiBiLnMudG9y
c2V0QG5paC5uby4mI3hEO05vcndlZ2lhbiBTY2hvb2wgb2YgU3BvcnRzIFNjaWVuY2VzLCBEZXBh
cnRtZW50IG9mIFNwb3J0cyBNZWRpY2luZSwgTm9yd2F5LiBFbGVjdHJvbmljIGFkZHJlc3M6IGth
cmkuYm9AbmloLm5vLjwvYXV0aC1hZGRyZXNzPjx0aXRsZXM+PHRpdGxlPldoYXQgaXMgdGhlIGVm
ZmVjdCBvZiByZWd1bGFyIGdyb3VwIGV4ZXJjaXNlIG9uIG1hdGVybmFsIHBzeWNob2xvZ2ljYWwg
b3V0Y29tZXMgYW5kIGNvbW1vbiBwcmVnbmFuY3kgY29tcGxhaW50cz8gQW4gYXNzZXNzb3IgYmxp
bmRlZCBSQ1Q8L3RpdGxlPjxzZWNvbmRhcnktdGl0bGU+TWlkd2lmZXJ5PC9zZWNvbmRhcnktdGl0
bGU+PC90aXRsZXM+PHBlcmlvZGljYWw+PGZ1bGwtdGl0bGU+TWlkd2lmZXJ5PC9mdWxsLXRpdGxl
PjwvcGVyaW9kaWNhbD48cGFnZXM+ODEtNjwvcGFnZXM+PHZvbHVtZT4zMjwvdm9sdW1lPjxlZGl0
aW9uPjIwMTUvMTEvMTg8L2VkaXRpb24+PGtleXdvcmRzPjxrZXl3b3JkPkFkdWx0PC9rZXl3b3Jk
PjxrZXl3b3JkPipFeGVyY2lzZS9waHlzaW9sb2d5L3BzeWNob2xvZ3k8L2tleXdvcmQ+PGtleXdv
cmQ+RmVtYWxlPC9rZXl3b3JkPjxrZXl3b3JkPkh1bWFuczwva2V5d29yZD48a2V5d29yZD5PdXRj
b21lIEFzc2Vzc21lbnQgKEhlYWx0aCBDYXJlKTwva2V5d29yZD48a2V5d29yZD5QcmVnbmFuY3kv
cGh5c2lvbG9neS8qcHN5Y2hvbG9neTwva2V5d29yZD48a2V5d29yZD5QcmVnbmFuY3kgQ29tcGxp
Y2F0aW9ucy9wc3ljaG9sb2d5Lyp0aGVyYXB5PC9rZXl3b3JkPjxrZXl3b3JkPipRdWFsaXR5IG9m
IExpZmU8L2tleXdvcmQ+PGtleXdvcmQ+U2luZ2xlLUJsaW5kIE1ldGhvZDwva2V5d29yZD48a2V5
d29yZD5FeGVyY2lzZTwva2V5d29yZD48a2V5d29yZD5NYXRlcm5hbCB3ZWxsLWJlaW5nPC9rZXl3
b3JkPjxrZXl3b3JkPlByZWduYW5jeSBjb21wbGFpbnQ8L2tleXdvcmQ+PGtleXdvcmQ+UHJlZ25h
bmN5IGRlcHJlc3Npb248L2tleXdvcmQ+PGtleXdvcmQ+UXVhbGl0eSBvZiBsaWZlPC9rZXl3b3Jk
Pjwva2V5d29yZHM+PGRhdGVzPjx5ZWFyPjIwMTY8L3llYXI+PHB1Yi1kYXRlcz48ZGF0ZT5KYW48
L2RhdGU+PC9wdWItZGF0ZXM+PC9kYXRlcz48aXNibj4xNTMyLTMwOTkgKEVsZWN0cm9uaWMpJiN4
RDswMjY2LTYxMzggKExpbmtpbmcpPC9pc2JuPjxhY2Nlc3Npb24tbnVtPjI2NTc0MDUwPC9hY2Nl
c3Npb24tbnVtPjx1cmxzPjxyZWxhdGVkLXVybHM+PHVybD5odHRwczovL3d3dy5uY2JpLm5sbS5u
aWguZ292L3B1Ym1lZC8yNjU3NDA1MDwvdXJsPjwvcmVsYXRlZC11cmxzPjwvdXJscz48ZWxlY3Ry
b25pYy1yZXNvdXJjZS1udW0+MTAuMTAxNi9qLm1pZHcuMjAxNS4xMC4wMDg8L2VsZWN0cm9uaWMt
cmVzb3VyY2UtbnVtPjwvcmVjb3JkPjwvQ2l0ZT48L0VuZE5vdGU+
</w:fldData>
        </w:fldChar>
      </w:r>
      <w:r w:rsidR="002747EA">
        <w:instrText xml:space="preserve"> ADDIN EN.CITE </w:instrText>
      </w:r>
      <w:r w:rsidR="002747EA">
        <w:fldChar w:fldCharType="begin">
          <w:fldData xml:space="preserve">PEVuZE5vdGU+PENpdGU+PEF1dGhvcj5IYWFrc3RhZDwvQXV0aG9yPjxZZWFyPjIwMTY8L1llYXI+
PFJlY051bT4xMDI3PC9SZWNOdW0+PERpc3BsYXlUZXh0PjxzdHlsZSBmYWNlPSJzdXBlcnNjcmlw
dCIgZm9udD0iVHJlYnVjaGV0IE1TIiBzaXplPSI5Ij4yNzg8L3N0eWxlPjwvRGlzcGxheVRleHQ+
PHJlY29yZD48cmVjLW51bWJlcj4xMDI3PC9yZWMtbnVtYmVyPjxmb3JlaWduLWtleXM+PGtleSBh
cHA9IkVOIiBkYi1pZD0iZXh2YXNyZngyZHRyYW9lc2FzeHAyc3pzeGEyZGY1MDI1OTJ4IiB0aW1l
c3RhbXA9IjE1NDg5ODM0NzYiPjEwMjc8L2tleT48L2ZvcmVpZ24ta2V5cz48cmVmLXR5cGUgbmFt
ZT0iSm91cm5hbCBBcnRpY2xlIj4xNzwvcmVmLXR5cGU+PGNvbnRyaWJ1dG9ycz48YXV0aG9ycz48
YXV0aG9yPkhhYWtzdGFkLCBMLiBBLjwvYXV0aG9yPjxhdXRob3I+VG9yc2V0LCBCLjwvYXV0aG9y
PjxhdXRob3I+Qm8sIEsuPC9hdXRob3I+PC9hdXRob3JzPjwvY29udHJpYnV0b3JzPjxhdXRoLWFk
ZHJlc3M+Tm9yd2VnaWFuIFNjaG9vbCBvZiBTcG9ydHMgU2NpZW5jZXMsIERlcGFydG1lbnQgb2Yg
U3BvcnRzIE1lZGljaW5lLCBOb3J3YXkuIEVsZWN0cm9uaWMgYWRkcmVzczogbGFoYWFrc3RhZEBu
aWgubm8uJiN4RDtOb3J3ZWdpYW4gU2Nob29sIG9mIFNwb3J0cyBTY2llbmNlcywgRGVwYXJ0bWVu
dCBvZiBTcG9ydHMgTWVkaWNpbmUsIE5vcndheS4gRWxlY3Ryb25pYyBhZGRyZXNzOiBiLnMudG9y
c2V0QG5paC5uby4mI3hEO05vcndlZ2lhbiBTY2hvb2wgb2YgU3BvcnRzIFNjaWVuY2VzLCBEZXBh
cnRtZW50IG9mIFNwb3J0cyBNZWRpY2luZSwgTm9yd2F5LiBFbGVjdHJvbmljIGFkZHJlc3M6IGth
cmkuYm9AbmloLm5vLjwvYXV0aC1hZGRyZXNzPjx0aXRsZXM+PHRpdGxlPldoYXQgaXMgdGhlIGVm
ZmVjdCBvZiByZWd1bGFyIGdyb3VwIGV4ZXJjaXNlIG9uIG1hdGVybmFsIHBzeWNob2xvZ2ljYWwg
b3V0Y29tZXMgYW5kIGNvbW1vbiBwcmVnbmFuY3kgY29tcGxhaW50cz8gQW4gYXNzZXNzb3IgYmxp
bmRlZCBSQ1Q8L3RpdGxlPjxzZWNvbmRhcnktdGl0bGU+TWlkd2lmZXJ5PC9zZWNvbmRhcnktdGl0
bGU+PC90aXRsZXM+PHBlcmlvZGljYWw+PGZ1bGwtdGl0bGU+TWlkd2lmZXJ5PC9mdWxsLXRpdGxl
PjwvcGVyaW9kaWNhbD48cGFnZXM+ODEtNjwvcGFnZXM+PHZvbHVtZT4zMjwvdm9sdW1lPjxlZGl0
aW9uPjIwMTUvMTEvMTg8L2VkaXRpb24+PGtleXdvcmRzPjxrZXl3b3JkPkFkdWx0PC9rZXl3b3Jk
PjxrZXl3b3JkPipFeGVyY2lzZS9waHlzaW9sb2d5L3BzeWNob2xvZ3k8L2tleXdvcmQ+PGtleXdv
cmQ+RmVtYWxlPC9rZXl3b3JkPjxrZXl3b3JkPkh1bWFuczwva2V5d29yZD48a2V5d29yZD5PdXRj
b21lIEFzc2Vzc21lbnQgKEhlYWx0aCBDYXJlKTwva2V5d29yZD48a2V5d29yZD5QcmVnbmFuY3kv
cGh5c2lvbG9neS8qcHN5Y2hvbG9neTwva2V5d29yZD48a2V5d29yZD5QcmVnbmFuY3kgQ29tcGxp
Y2F0aW9ucy9wc3ljaG9sb2d5Lyp0aGVyYXB5PC9rZXl3b3JkPjxrZXl3b3JkPipRdWFsaXR5IG9m
IExpZmU8L2tleXdvcmQ+PGtleXdvcmQ+U2luZ2xlLUJsaW5kIE1ldGhvZDwva2V5d29yZD48a2V5
d29yZD5FeGVyY2lzZTwva2V5d29yZD48a2V5d29yZD5NYXRlcm5hbCB3ZWxsLWJlaW5nPC9rZXl3
b3JkPjxrZXl3b3JkPlByZWduYW5jeSBjb21wbGFpbnQ8L2tleXdvcmQ+PGtleXdvcmQ+UHJlZ25h
bmN5IGRlcHJlc3Npb248L2tleXdvcmQ+PGtleXdvcmQ+UXVhbGl0eSBvZiBsaWZlPC9rZXl3b3Jk
Pjwva2V5d29yZHM+PGRhdGVzPjx5ZWFyPjIwMTY8L3llYXI+PHB1Yi1kYXRlcz48ZGF0ZT5KYW48
L2RhdGU+PC9wdWItZGF0ZXM+PC9kYXRlcz48aXNibj4xNTMyLTMwOTkgKEVsZWN0cm9uaWMpJiN4
RDswMjY2LTYxMzggKExpbmtpbmcpPC9pc2JuPjxhY2Nlc3Npb24tbnVtPjI2NTc0MDUwPC9hY2Nl
c3Npb24tbnVtPjx1cmxzPjxyZWxhdGVkLXVybHM+PHVybD5odHRwczovL3d3dy5uY2JpLm5sbS5u
aWguZ292L3B1Ym1lZC8yNjU3NDA1MDwvdXJsPjwvcmVsYXRlZC11cmxzPjwvdXJscz48ZWxlY3Ry
b25pYy1yZXNvdXJjZS1udW0+MTAuMTAxNi9qLm1pZHcuMjAxNS4xMC4wMDg8L2VsZWN0cm9uaWMt
cmVzb3VyY2UtbnVtPjwvcmVjb3JkPjwvQ2l0ZT48L0VuZE5vdGU+
</w:fldData>
        </w:fldChar>
      </w:r>
      <w:r w:rsidR="002747EA">
        <w:instrText xml:space="preserve"> ADDIN EN.CITE.DATA </w:instrText>
      </w:r>
      <w:r w:rsidR="002747EA">
        <w:fldChar w:fldCharType="end"/>
      </w:r>
      <w:r w:rsidR="00DA4CE7">
        <w:fldChar w:fldCharType="separate"/>
      </w:r>
      <w:r w:rsidR="002747EA" w:rsidRPr="002747EA">
        <w:rPr>
          <w:noProof/>
          <w:vertAlign w:val="superscript"/>
        </w:rPr>
        <w:t>278</w:t>
      </w:r>
      <w:r w:rsidR="00DA4CE7">
        <w:fldChar w:fldCharType="end"/>
      </w:r>
      <w:r w:rsidR="00DA4CE7">
        <w:t xml:space="preserve"> and another that</w:t>
      </w:r>
      <w:r w:rsidR="00DA4CE7" w:rsidRPr="006450D0">
        <w:t xml:space="preserve"> exercise during pregnancy improves health-related quality of life.</w:t>
      </w:r>
      <w:r w:rsidR="00DA4CE7">
        <w:fldChar w:fldCharType="begin"/>
      </w:r>
      <w:r w:rsidR="002747EA">
        <w:instrText xml:space="preserve"> ADDIN EN.CITE &lt;EndNote&gt;&lt;Cite&gt;&lt;Author&gt;Montoya Arizabaleta&lt;/Author&gt;&lt;Year&gt;2010&lt;/Year&gt;&lt;RecNum&gt;729&lt;/RecNum&gt;&lt;DisplayText&gt;&lt;style face="superscript" font="Trebuchet MS" size="9"&gt;279&lt;/style&gt;&lt;/DisplayText&gt;&lt;record&gt;&lt;rec-number&gt;729&lt;/rec-number&gt;&lt;foreign-keys&gt;&lt;key app="EN" db-id="exvasrfx2dtraoesasxp2szsxa2df502592x" timestamp="1541467682"&gt;729&lt;/key&gt;&lt;key app="ENWeb" db-id=""&gt;0&lt;/key&gt;&lt;/foreign-keys&gt;&lt;ref-type name="Journal Article"&gt;17&lt;/ref-type&gt;&lt;contributors&gt;&lt;authors&gt;&lt;author&gt;Montoya Arizabaleta, A.V.,&lt;/author&gt;&lt;author&gt;Orozco Buitrago, L.,&lt;/author&gt;&lt;author&gt;Aguilar de Plata, A.C.,&lt;/author&gt;&lt;author&gt;Mosquera Escudero, M.,&lt;/author&gt;&lt;author&gt;Ramírez-Vélez, R.,&lt;/author&gt;&lt;/authors&gt;&lt;/contributors&gt;&lt;titles&gt;&lt;title&gt;Aerobic exercise during pregnancy improves health-related quality of life: a randomised trial&lt;/title&gt;&lt;secondary-title&gt;Journal of Physiotherapy&lt;/secondary-title&gt;&lt;/titles&gt;&lt;periodical&gt;&lt;full-title&gt;Journal of Physiotherapy&lt;/full-title&gt;&lt;/periodical&gt;&lt;pages&gt;253-258&lt;/pages&gt;&lt;volume&gt;56&lt;/volume&gt;&lt;number&gt;4&lt;/number&gt;&lt;section&gt;253&lt;/section&gt;&lt;dates&gt;&lt;year&gt;2010&lt;/year&gt;&lt;/dates&gt;&lt;isbn&gt;18369553&lt;/isbn&gt;&lt;urls&gt;&lt;/urls&gt;&lt;electronic-resource-num&gt;10.1016/s1836-9553(10)70008-4&lt;/electronic-resource-num&gt;&lt;/record&gt;&lt;/Cite&gt;&lt;/EndNote&gt;</w:instrText>
      </w:r>
      <w:r w:rsidR="00DA4CE7">
        <w:fldChar w:fldCharType="separate"/>
      </w:r>
      <w:r w:rsidR="002747EA" w:rsidRPr="002747EA">
        <w:rPr>
          <w:noProof/>
          <w:vertAlign w:val="superscript"/>
        </w:rPr>
        <w:t>279</w:t>
      </w:r>
      <w:r w:rsidR="00DA4CE7">
        <w:fldChar w:fldCharType="end"/>
      </w:r>
    </w:p>
    <w:p w14:paraId="5C987E7F" w14:textId="78B46718" w:rsidR="008E1439" w:rsidRDefault="008E1439" w:rsidP="00E226F8">
      <w:pPr>
        <w:pStyle w:val="Heading3"/>
      </w:pPr>
      <w:bookmarkStart w:id="118" w:name="_Toc40956513"/>
      <w:r>
        <w:t xml:space="preserve">Effect on common </w:t>
      </w:r>
      <w:r w:rsidR="006C719A">
        <w:t xml:space="preserve">conditions </w:t>
      </w:r>
      <w:r>
        <w:t>in pregnancy</w:t>
      </w:r>
      <w:bookmarkEnd w:id="118"/>
    </w:p>
    <w:p w14:paraId="6C264F86" w14:textId="77777777" w:rsidR="00921608" w:rsidRDefault="00921608" w:rsidP="00921608">
      <w:pPr>
        <w:pStyle w:val="Heading4"/>
      </w:pPr>
      <w:r>
        <w:t>Incontinence</w:t>
      </w:r>
    </w:p>
    <w:p w14:paraId="05FE8F49" w14:textId="562E6F67" w:rsidR="00D44EC7" w:rsidRDefault="00D44EC7" w:rsidP="00D44EC7">
      <w:r>
        <w:t>A Cochrane review</w:t>
      </w:r>
      <w:r w:rsidR="00590DC1">
        <w:fldChar w:fldCharType="begin"/>
      </w:r>
      <w:r w:rsidR="002747EA">
        <w:instrText xml:space="preserve"> ADDIN EN.CITE &lt;EndNote&gt;&lt;Cite&gt;&lt;Author&gt;Woodley&lt;/Author&gt;&lt;Year&gt;2017&lt;/Year&gt;&lt;RecNum&gt;1246&lt;/RecNum&gt;&lt;DisplayText&gt;&lt;style face="superscript" font="Trebuchet MS" size="9"&gt;280&lt;/style&gt;&lt;/DisplayText&gt;&lt;record&gt;&lt;rec-number&gt;1246&lt;/rec-number&gt;&lt;foreign-keys&gt;&lt;key app="EN" db-id="exvasrfx2dtraoesasxp2szsxa2df502592x" timestamp="1562809161"&gt;1246&lt;/key&gt;&lt;key app="ENWeb" db-id=""&gt;0&lt;/key&gt;&lt;/foreign-keys&gt;&lt;ref-type name="Journal Article"&gt;17&lt;/ref-type&gt;&lt;contributors&gt;&lt;authors&gt;&lt;author&gt;Woodley, Stephanie J.&lt;/author&gt;&lt;author&gt;Boyle, Rhianon&lt;/author&gt;&lt;author&gt;Cody, June D.&lt;/author&gt;&lt;author&gt;Mørkved, Siv&lt;/author&gt;&lt;author&gt;Hay-Smith, E. Jean C.&lt;/author&gt;&lt;/authors&gt;&lt;/contributors&gt;&lt;titles&gt;&lt;title&gt;Pelvic floor muscle training for prevention and treatment of urinary and faecal incontinence in antenatal and postnatal women&lt;/title&gt;&lt;secondary-title&gt;Cochrane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007471.pub3&lt;/electronic-resource-num&gt;&lt;/record&gt;&lt;/Cite&gt;&lt;/EndNote&gt;</w:instrText>
      </w:r>
      <w:r w:rsidR="00590DC1">
        <w:fldChar w:fldCharType="separate"/>
      </w:r>
      <w:r w:rsidR="002747EA" w:rsidRPr="002747EA">
        <w:rPr>
          <w:noProof/>
          <w:vertAlign w:val="superscript"/>
        </w:rPr>
        <w:t>280</w:t>
      </w:r>
      <w:r w:rsidR="00590DC1">
        <w:fldChar w:fldCharType="end"/>
      </w:r>
      <w:r>
        <w:t xml:space="preserve"> found that pelvic floor muscle training among continent women during pregnancy reduced the risk of incontinence in late pregnancy (</w:t>
      </w:r>
      <w:r w:rsidRPr="0097039F">
        <w:rPr>
          <w:sz w:val="16"/>
          <w:szCs w:val="16"/>
        </w:rPr>
        <w:t xml:space="preserve">RR 0.38; 95%CI 0.20 to 0.72; 6 studies; n=624; low </w:t>
      </w:r>
      <w:r w:rsidR="00FB2A6C">
        <w:rPr>
          <w:sz w:val="16"/>
          <w:szCs w:val="16"/>
        </w:rPr>
        <w:t>certainty</w:t>
      </w:r>
      <w:r>
        <w:t xml:space="preserve">) and </w:t>
      </w:r>
      <w:r w:rsidR="002F6002">
        <w:t xml:space="preserve">at </w:t>
      </w:r>
      <w:r>
        <w:t>3-6 months postpartum (</w:t>
      </w:r>
      <w:r w:rsidRPr="0097039F">
        <w:rPr>
          <w:sz w:val="16"/>
          <w:szCs w:val="16"/>
        </w:rPr>
        <w:t xml:space="preserve">RR 0.71; 95%CI 0.54 to 0.95; 5 studies; n=673; moderate </w:t>
      </w:r>
      <w:r w:rsidR="00FB2A6C">
        <w:rPr>
          <w:sz w:val="16"/>
          <w:szCs w:val="16"/>
        </w:rPr>
        <w:t>certainty</w:t>
      </w:r>
      <w:r>
        <w:t>). Among women with or without incontinence, there was a reduction in risk of urinary incontinence in late pregnancy (</w:t>
      </w:r>
      <w:r w:rsidRPr="001F34EC">
        <w:rPr>
          <w:sz w:val="16"/>
          <w:szCs w:val="16"/>
        </w:rPr>
        <w:t xml:space="preserve">RR 0.74; 95%CI 0.61 to 0.90; 9 studies; n=3,164; low </w:t>
      </w:r>
      <w:r w:rsidR="00FB2A6C">
        <w:rPr>
          <w:sz w:val="16"/>
          <w:szCs w:val="16"/>
        </w:rPr>
        <w:t>certainty</w:t>
      </w:r>
      <w:r>
        <w:t>), 3-6 months postpartum (</w:t>
      </w:r>
      <w:r w:rsidRPr="001F34EC">
        <w:rPr>
          <w:sz w:val="16"/>
          <w:szCs w:val="16"/>
        </w:rPr>
        <w:t xml:space="preserve">RR 0.73; 95%CI 0.55 to 0.97; 5 studies; n=1,921; very low </w:t>
      </w:r>
      <w:r w:rsidR="00FB2A6C">
        <w:rPr>
          <w:sz w:val="16"/>
          <w:szCs w:val="16"/>
        </w:rPr>
        <w:t>certainty</w:t>
      </w:r>
      <w:r>
        <w:t>) but not at 6-12 months postpartum (</w:t>
      </w:r>
      <w:r w:rsidRPr="001F34EC">
        <w:rPr>
          <w:sz w:val="16"/>
          <w:szCs w:val="16"/>
        </w:rPr>
        <w:t xml:space="preserve">RR 0.85; 95%CI 0.63 to 1.14; 2 studies; n=244; low </w:t>
      </w:r>
      <w:r w:rsidR="00FB2A6C">
        <w:rPr>
          <w:sz w:val="16"/>
          <w:szCs w:val="16"/>
        </w:rPr>
        <w:t>certainty</w:t>
      </w:r>
      <w:r>
        <w:t>). There was no clear difference in faecal incontinence in late pregnancy among women with or without faecal incontinence at baseline (</w:t>
      </w:r>
      <w:r w:rsidRPr="001F34EC">
        <w:rPr>
          <w:sz w:val="16"/>
          <w:szCs w:val="16"/>
        </w:rPr>
        <w:t xml:space="preserve">RR 0.61; 95%CI 0.30 to 1.25; 2 studies; n=867; moderate </w:t>
      </w:r>
      <w:r w:rsidR="00FB2A6C">
        <w:rPr>
          <w:sz w:val="16"/>
          <w:szCs w:val="16"/>
        </w:rPr>
        <w:t>certainty</w:t>
      </w:r>
      <w:r w:rsidR="00496802">
        <w:t>).</w:t>
      </w:r>
    </w:p>
    <w:p w14:paraId="6B31A02B" w14:textId="240C15D2" w:rsidR="005579CC" w:rsidRPr="00D44EC7" w:rsidRDefault="005579CC" w:rsidP="005579CC">
      <w:r>
        <w:t>Another systematic review</w:t>
      </w:r>
      <w:r w:rsidR="00D07346">
        <w:fldChar w:fldCharType="begin">
          <w:fldData xml:space="preserve">PEVuZE5vdGU+PENpdGU+PEF1dGhvcj5EYXZlbnBvcnQ8L0F1dGhvcj48WWVhcj4yMDE4PC9ZZWFy
PjxSZWNOdW0+MTk1NTwvUmVjTnVtPjxEaXNwbGF5VGV4dD48c3R5bGUgZmFjZT0ic3VwZXJzY3Jp
cHQiIGZvbnQ9IlRyZWJ1Y2hldCBNUyIgc2l6ZT0iOSI+MjgxPC9zdHlsZT48L0Rpc3BsYXlUZXh0
PjxyZWNvcmQ+PHJlYy1udW1iZXI+MTk1NTwvcmVjLW51bWJlcj48Zm9yZWlnbi1rZXlzPjxrZXkg
YXBwPSJFTiIgZGItaWQ9ImV4dmFzcmZ4MmR0cmFvZXNhc3hwMnN6c3hhMmRmNTAyNTkyeCIgdGlt
ZXN0YW1wPSIxNTg4NzQzODQxIj4xOTU1PC9rZXk+PGtleSBhcHA9IkVOV2ViIiBkYi1pZD0iIj4w
PC9rZXk+PC9mb3JlaWduLWtleXM+PHJlZi10eXBlIG5hbWU9IkpvdXJuYWwgQXJ0aWNsZSI+MTc8
L3JlZi10eXBlPjxjb250cmlidXRvcnM+PGF1dGhvcnM+PGF1dGhvcj5EYXZlbnBvcnQsIE0uIEgu
PC9hdXRob3I+PGF1dGhvcj5OYWdwYWwsIFQuIFMuPC9hdXRob3I+PGF1dGhvcj5Nb3R0b2xhLCBN
LiBGLjwvYXV0aG9yPjxhdXRob3I+U2tvdywgUi4gSi48L2F1dGhvcj48YXV0aG9yPlJpc2tlLCBM
LjwvYXV0aG9yPjxhdXRob3I+UG9pdHJhcywgVi4gSi48L2F1dGhvcj48YXV0aG9yPkphcmFtaWxs
byBHYXJjaWEsIEEuPC9hdXRob3I+PGF1dGhvcj5HcmF5LCBDLiBFLjwvYXV0aG9yPjxhdXRob3I+
QmFycm93bWFuLCBOLjwvYXV0aG9yPjxhdXRob3I+TWVhaCwgVi4gTC48L2F1dGhvcj48YXV0aG9y
PlNvYmllcmFqc2tpLCBGLjwvYXV0aG9yPjxhdXRob3I+SmFtZXMsIE0uPC9hdXRob3I+PGF1dGhv
cj5OdXNwbCwgTS48L2F1dGhvcj48YXV0aG9yPldlZWtzLCBBLjwvYXV0aG9yPjxhdXRob3I+TWFy
Y2hhbmQsIEEuIEEuPC9hdXRob3I+PGF1dGhvcj5TbGF0ZXIsIEwuIEcuPC9hdXRob3I+PGF1dGhv
cj5BZGFtbywgSy4gQi48L2F1dGhvcj48YXV0aG9yPkRhdmllcywgRy4gQS48L2F1dGhvcj48YXV0
aG9yPkJhcmFrYXQsIFIuPC9hdXRob3I+PGF1dGhvcj5SdWNoYXQsIFMuIE0uPC9hdXRob3I+PC9h
dXRob3JzPjwvY29udHJpYnV0b3JzPjxhdXRoLWFkZHJlc3M+UHJvZ3JhbSBmb3IgUHJlZ25hbmN5
IGFuZCBQb3N0cGFydHVtIEhlYWx0aCwgUGh5c2ljYWwgQWN0aXZpdHkgYW5kIERpYWJldGVzIExh
Ym9yYXRvcnksIEZhY3VsdHkgb2YgS2luZXNpb2xvZ3ksIFNwb3J0IGFuZCBSZWNyZWF0aW9uLCBX
b21lbiBhbmQgQ2hpbGRyZW4mYXBvcztzIEhlYWx0aCBSZXNlYXJjaCBJbnN0aXR1dGUsIEFsYmVy
dGEgRGlhYmV0ZXMgSW5zdGl0dXRlLCBVbml2ZXJzaXR5IG9mIEFsYmVydGEsIEVkbW9udG9uLCBB
bGJlcnRhLCBDYW5hZGEuJiN4RDtSLiBTYW11ZWwgTWNMYXVnaGxpbiBGb3VuZGF0aW9uLUV4ZXJj
aXNlIGFuZCBQcmVnbmFuY3kgTGFib3JhdG9yeSwgU2Nob29sIG9mIEtpbmVzaW9sb2d5LCBGYWN1
bHR5IG9mIEhlYWx0aCBTY2llbmNlcywgRGVwYXJ0bWVudCBvZiBBbmF0b215IGFuZCBDZWxsIEJp
b2xvZ3ksIFNjaHVsaWNoIFNjaG9vbCBvZiBNZWRpY2luZSBhbmQgRGVudGlzdHJ5LCBDaGlsZHJl
biZhcG9zO3MgSGVhbHRoIFJlc2VhcmNoIEluc3RpdHV0ZSwgVGhlIFVuaXZlcnNpdHkgb2YgV2Vz
dGVybiBPbnRhcmlvLCBMb25kb24sIE9udGFyaW8sIENhbmFkYS4mI3hEO0luZGVwZW5kZW50IHJl
c2VhcmNoZXIsIE90dGF3YSwgT250YXJpbywgQ2FuYWRhLiYjeEQ7SGVhbHRoeSBBY3RpdmUgTGl2
aW5nIGFuZCBPYmVzaXR5IFJlc2VhcmNoIEdyb3VwLCBDaGlsZHJlbiZhcG9zO3MgSG9zcGl0YWwg
b2YgRWFzdGVybiBPbnRhcmlvIFJlc2VhcmNoIEluc3RpdHV0ZSwgT3R0YXdhLCBPbnRhcmlvLCBD
YW5hZGEuJiN4RDtDbGluaWNhbCBSZXNlYXJjaCBVbml0LCBDaGlsZHJlbiZhcG9zO3MgSG9zcGl0
YWwgb2YgRWFzdGVybiBPbnRhcmlvIFJlc2VhcmNoIEluc3RpdHV0ZSwgT3R0YXdhLCBPbnRhcmlv
LCBDYW5hZGEuJiN4RDtDYXJkaWZmIFNjaG9vbCBvZiBTcG9ydCBhbmQgSGVhbHRoIFNjaWVuY2Vz
LCBDYXJkaWZmIE1ldHJvcG9saXRhbiBVbml2ZXJzaXR5LCBDYXJkaWZmLCBVSy4mI3hEO0FsYmVy
dGEgUmVzZWFyY2ggQ2VudHJlIGZvciBIZWFsdGggRXZpZGVuY2UsIEZhY3VsdHkgb2YgTWVkaWNp
bmUgYW5kIERlbnRpc3RyeSwgVW5pdmVyc2l0eSBvZiBBbGJlcnRhLCBFZG1vbnRvbiwgQWxiZXJ0
YSwgQ2FuYWRhLiYjeEQ7U2Nob29sIG9mIEludGVyZGlzY2lwbGluYXJ5IEhlYWx0aCBTY2llbmNl
cywgVW5pdmVyc2l0eSBvZiBPdHRhd2EsIE90dGF3YSwgT250YXJpbywgQ2FuYWRhLiYjeEQ7RGVw
YXJ0bWVudCBvZiBBbmF0b215LCBVbml2ZXJzaXRlIGR1IFF1ZWJlYyBhIFRyb2lzLVJpdmllcmVz
LCBUcm9pcy1SaXZpZXJlcywgUXVlYmVjLCBDYW5hZGEuJiN4RDtKb2huIFcuIFNjb3R0IEhlYWx0
aCBTY2llbmNlcyBMaWJyYXJ5LCBVbml2ZXJzaXR5IG9mIEFsYmVydGEsIEVkbW9udG9uLCBBbGJl
cnRhLCBDYW5hZGEuJiN4RDtTY2hvb2wgb2YgSHVtYW4gS2luZXRpY3MsIFVuaXZlcnNpdHkgb2Yg
T3R0YXdhLCBPdHRhd2EsIE9udGFyaW8sIENhbmFkYS4mI3hEO0RlcGFydG1lbnQgb2YgT2JzdGV0
cmljcyBhbmQgR3luZWNvbG9neSwgUXVlZW4mYXBvcztzIFVuaXZlcnNpdHksIEtpbmdzdG9uLCBP
bnRhcmlvLCBDYW5hZGEuJiN4RDtBRklQRSBSZXNlYXJjaCBHcm91cCwgVGVjaG5pY2FsIFVuaXZl
cnNpdHkgb2YgTWFkcmlkLCBNYWRyaWQsIFNwYWluLiYjeEQ7RGVwYXJ0bWVudCBvZiBIdW1hbiBL
aW5ldGljcywgVW5pdmVyc2l0ZSBkdSBRdWViZWMgYSBUcm9pcy1SaXZpZXJlcywgVHJvaXMtUml2
aWVyZXMsIFF1ZWJlYywgQ2FuYWRhLjwvYXV0aC1hZGRyZXNzPjx0aXRsZXM+PHRpdGxlPlByZW5h
dGFsIGV4ZXJjaXNlIChpbmNsdWRpbmcgYnV0IG5vdCBsaW1pdGVkIHRvIHBlbHZpYyBmbG9vciBt
dXNjbGUgdHJhaW5pbmcpIGFuZCB1cmluYXJ5IGluY29udGluZW5jZSBkdXJpbmcgYW5kIGZvbGxv
d2luZyBwcmVnbmFuY3k6IGEgc3lzdGVtYXRpYyByZXZpZXcgYW5kIG1ldGEtYW5hbHlzaXM8L3Rp
dGxlPjxzZWNvbmRhcnktdGl0bGU+QnIgSiBTcG9ydHMgTWVkPC9zZWNvbmRhcnktdGl0bGU+PC90
aXRsZXM+PHBlcmlvZGljYWw+PGZ1bGwtdGl0bGU+QnIgSiBTcG9ydHMgTWVkPC9mdWxsLXRpdGxl
PjwvcGVyaW9kaWNhbD48cGFnZXM+MTM5Ny0xNDA0PC9wYWdlcz48dm9sdW1lPjUyPC92b2x1bWU+
PG51bWJlcj4yMTwvbnVtYmVyPjxlZGl0aW9uPjIwMTgvMTAvMjA8L2VkaXRpb24+PGtleXdvcmRz
PjxrZXl3b3JkPkV4ZXJjaXNlPC9rZXl3b3JkPjxrZXl3b3JkPkZlbWFsZTwva2V5d29yZD48a2V5
d29yZD5IdW1hbnM8L2tleXdvcmQ+PGtleXdvcmQ+UGVsdmljIEZsb29yPC9rZXl3b3JkPjxrZXl3
b3JkPipQcmVnbmFuY3k8L2tleXdvcmQ+PGtleXdvcmQ+UmFuZG9taXplZCBDb250cm9sbGVkIFRy
aWFscyBhcyBUb3BpYzwva2V5d29yZD48a2V5d29yZD5VcmluYXJ5IEluY29udGluZW5jZS8qcHJl
dmVudGlvbiAmYW1wOyBjb250cm9sPC9rZXl3b3JkPjxrZXl3b3JkPnByZWduYW5jeTwva2V5d29y
ZD48a2V5d29yZD51cmluYXJ5IGluY29udGluZW5jZTwva2V5d29yZD48L2tleXdvcmRzPjxkYXRl
cz48eWVhcj4yMDE4PC95ZWFyPjxwdWItZGF0ZXM+PGRhdGU+Tm92PC9kYXRlPjwvcHViLWRhdGVz
PjwvZGF0ZXM+PGlzYm4+MTQ3My0wNDgwIChFbGVjdHJvbmljKSYjeEQ7MDMwNi0zNjc0IChMaW5r
aW5nKTwvaXNibj48YWNjZXNzaW9uLW51bT4zMDMzNzQ2NjwvYWNjZXNzaW9uLW51bT48dXJscz48
cmVsYXRlZC11cmxzPjx1cmw+aHR0cHM6Ly93d3cubmNiaS5ubG0ubmloLmdvdi9wdWJtZWQvMzAz
Mzc0NjY8L3VybD48L3JlbGF0ZWQtdXJscz48L3VybHM+PGVsZWN0cm9uaWMtcmVzb3VyY2UtbnVt
PjEwLjExMzYvYmpzcG9ydHMtMjAxOC0wOTk3ODA8L2VsZWN0cm9uaWMtcmVzb3VyY2UtbnVtPjwv
cmVjb3JkPjwvQ2l0ZT48L0VuZE5vdGU+AG==
</w:fldData>
        </w:fldChar>
      </w:r>
      <w:r w:rsidR="002747EA">
        <w:instrText xml:space="preserve"> ADDIN EN.CITE </w:instrText>
      </w:r>
      <w:r w:rsidR="002747EA">
        <w:fldChar w:fldCharType="begin">
          <w:fldData xml:space="preserve">PEVuZE5vdGU+PENpdGU+PEF1dGhvcj5EYXZlbnBvcnQ8L0F1dGhvcj48WWVhcj4yMDE4PC9ZZWFy
PjxSZWNOdW0+MTk1NTwvUmVjTnVtPjxEaXNwbGF5VGV4dD48c3R5bGUgZmFjZT0ic3VwZXJzY3Jp
cHQiIGZvbnQ9IlRyZWJ1Y2hldCBNUyIgc2l6ZT0iOSI+MjgxPC9zdHlsZT48L0Rpc3BsYXlUZXh0
PjxyZWNvcmQ+PHJlYy1udW1iZXI+MTk1NTwvcmVjLW51bWJlcj48Zm9yZWlnbi1rZXlzPjxrZXkg
YXBwPSJFTiIgZGItaWQ9ImV4dmFzcmZ4MmR0cmFvZXNhc3hwMnN6c3hhMmRmNTAyNTkyeCIgdGlt
ZXN0YW1wPSIxNTg4NzQzODQxIj4xOTU1PC9rZXk+PGtleSBhcHA9IkVOV2ViIiBkYi1pZD0iIj4w
PC9rZXk+PC9mb3JlaWduLWtleXM+PHJlZi10eXBlIG5hbWU9IkpvdXJuYWwgQXJ0aWNsZSI+MTc8
L3JlZi10eXBlPjxjb250cmlidXRvcnM+PGF1dGhvcnM+PGF1dGhvcj5EYXZlbnBvcnQsIE0uIEgu
PC9hdXRob3I+PGF1dGhvcj5OYWdwYWwsIFQuIFMuPC9hdXRob3I+PGF1dGhvcj5Nb3R0b2xhLCBN
LiBGLjwvYXV0aG9yPjxhdXRob3I+U2tvdywgUi4gSi48L2F1dGhvcj48YXV0aG9yPlJpc2tlLCBM
LjwvYXV0aG9yPjxhdXRob3I+UG9pdHJhcywgVi4gSi48L2F1dGhvcj48YXV0aG9yPkphcmFtaWxs
byBHYXJjaWEsIEEuPC9hdXRob3I+PGF1dGhvcj5HcmF5LCBDLiBFLjwvYXV0aG9yPjxhdXRob3I+
QmFycm93bWFuLCBOLjwvYXV0aG9yPjxhdXRob3I+TWVhaCwgVi4gTC48L2F1dGhvcj48YXV0aG9y
PlNvYmllcmFqc2tpLCBGLjwvYXV0aG9yPjxhdXRob3I+SmFtZXMsIE0uPC9hdXRob3I+PGF1dGhv
cj5OdXNwbCwgTS48L2F1dGhvcj48YXV0aG9yPldlZWtzLCBBLjwvYXV0aG9yPjxhdXRob3I+TWFy
Y2hhbmQsIEEuIEEuPC9hdXRob3I+PGF1dGhvcj5TbGF0ZXIsIEwuIEcuPC9hdXRob3I+PGF1dGhv
cj5BZGFtbywgSy4gQi48L2F1dGhvcj48YXV0aG9yPkRhdmllcywgRy4gQS48L2F1dGhvcj48YXV0
aG9yPkJhcmFrYXQsIFIuPC9hdXRob3I+PGF1dGhvcj5SdWNoYXQsIFMuIE0uPC9hdXRob3I+PC9h
dXRob3JzPjwvY29udHJpYnV0b3JzPjxhdXRoLWFkZHJlc3M+UHJvZ3JhbSBmb3IgUHJlZ25hbmN5
IGFuZCBQb3N0cGFydHVtIEhlYWx0aCwgUGh5c2ljYWwgQWN0aXZpdHkgYW5kIERpYWJldGVzIExh
Ym9yYXRvcnksIEZhY3VsdHkgb2YgS2luZXNpb2xvZ3ksIFNwb3J0IGFuZCBSZWNyZWF0aW9uLCBX
b21lbiBhbmQgQ2hpbGRyZW4mYXBvcztzIEhlYWx0aCBSZXNlYXJjaCBJbnN0aXR1dGUsIEFsYmVy
dGEgRGlhYmV0ZXMgSW5zdGl0dXRlLCBVbml2ZXJzaXR5IG9mIEFsYmVydGEsIEVkbW9udG9uLCBB
bGJlcnRhLCBDYW5hZGEuJiN4RDtSLiBTYW11ZWwgTWNMYXVnaGxpbiBGb3VuZGF0aW9uLUV4ZXJj
aXNlIGFuZCBQcmVnbmFuY3kgTGFib3JhdG9yeSwgU2Nob29sIG9mIEtpbmVzaW9sb2d5LCBGYWN1
bHR5IG9mIEhlYWx0aCBTY2llbmNlcywgRGVwYXJ0bWVudCBvZiBBbmF0b215IGFuZCBDZWxsIEJp
b2xvZ3ksIFNjaHVsaWNoIFNjaG9vbCBvZiBNZWRpY2luZSBhbmQgRGVudGlzdHJ5LCBDaGlsZHJl
biZhcG9zO3MgSGVhbHRoIFJlc2VhcmNoIEluc3RpdHV0ZSwgVGhlIFVuaXZlcnNpdHkgb2YgV2Vz
dGVybiBPbnRhcmlvLCBMb25kb24sIE9udGFyaW8sIENhbmFkYS4mI3hEO0luZGVwZW5kZW50IHJl
c2VhcmNoZXIsIE90dGF3YSwgT250YXJpbywgQ2FuYWRhLiYjeEQ7SGVhbHRoeSBBY3RpdmUgTGl2
aW5nIGFuZCBPYmVzaXR5IFJlc2VhcmNoIEdyb3VwLCBDaGlsZHJlbiZhcG9zO3MgSG9zcGl0YWwg
b2YgRWFzdGVybiBPbnRhcmlvIFJlc2VhcmNoIEluc3RpdHV0ZSwgT3R0YXdhLCBPbnRhcmlvLCBD
YW5hZGEuJiN4RDtDbGluaWNhbCBSZXNlYXJjaCBVbml0LCBDaGlsZHJlbiZhcG9zO3MgSG9zcGl0
YWwgb2YgRWFzdGVybiBPbnRhcmlvIFJlc2VhcmNoIEluc3RpdHV0ZSwgT3R0YXdhLCBPbnRhcmlv
LCBDYW5hZGEuJiN4RDtDYXJkaWZmIFNjaG9vbCBvZiBTcG9ydCBhbmQgSGVhbHRoIFNjaWVuY2Vz
LCBDYXJkaWZmIE1ldHJvcG9saXRhbiBVbml2ZXJzaXR5LCBDYXJkaWZmLCBVSy4mI3hEO0FsYmVy
dGEgUmVzZWFyY2ggQ2VudHJlIGZvciBIZWFsdGggRXZpZGVuY2UsIEZhY3VsdHkgb2YgTWVkaWNp
bmUgYW5kIERlbnRpc3RyeSwgVW5pdmVyc2l0eSBvZiBBbGJlcnRhLCBFZG1vbnRvbiwgQWxiZXJ0
YSwgQ2FuYWRhLiYjeEQ7U2Nob29sIG9mIEludGVyZGlzY2lwbGluYXJ5IEhlYWx0aCBTY2llbmNl
cywgVW5pdmVyc2l0eSBvZiBPdHRhd2EsIE90dGF3YSwgT250YXJpbywgQ2FuYWRhLiYjeEQ7RGVw
YXJ0bWVudCBvZiBBbmF0b215LCBVbml2ZXJzaXRlIGR1IFF1ZWJlYyBhIFRyb2lzLVJpdmllcmVz
LCBUcm9pcy1SaXZpZXJlcywgUXVlYmVjLCBDYW5hZGEuJiN4RDtKb2huIFcuIFNjb3R0IEhlYWx0
aCBTY2llbmNlcyBMaWJyYXJ5LCBVbml2ZXJzaXR5IG9mIEFsYmVydGEsIEVkbW9udG9uLCBBbGJl
cnRhLCBDYW5hZGEuJiN4RDtTY2hvb2wgb2YgSHVtYW4gS2luZXRpY3MsIFVuaXZlcnNpdHkgb2Yg
T3R0YXdhLCBPdHRhd2EsIE9udGFyaW8sIENhbmFkYS4mI3hEO0RlcGFydG1lbnQgb2YgT2JzdGV0
cmljcyBhbmQgR3luZWNvbG9neSwgUXVlZW4mYXBvcztzIFVuaXZlcnNpdHksIEtpbmdzdG9uLCBP
bnRhcmlvLCBDYW5hZGEuJiN4RDtBRklQRSBSZXNlYXJjaCBHcm91cCwgVGVjaG5pY2FsIFVuaXZl
cnNpdHkgb2YgTWFkcmlkLCBNYWRyaWQsIFNwYWluLiYjeEQ7RGVwYXJ0bWVudCBvZiBIdW1hbiBL
aW5ldGljcywgVW5pdmVyc2l0ZSBkdSBRdWViZWMgYSBUcm9pcy1SaXZpZXJlcywgVHJvaXMtUml2
aWVyZXMsIFF1ZWJlYywgQ2FuYWRhLjwvYXV0aC1hZGRyZXNzPjx0aXRsZXM+PHRpdGxlPlByZW5h
dGFsIGV4ZXJjaXNlIChpbmNsdWRpbmcgYnV0IG5vdCBsaW1pdGVkIHRvIHBlbHZpYyBmbG9vciBt
dXNjbGUgdHJhaW5pbmcpIGFuZCB1cmluYXJ5IGluY29udGluZW5jZSBkdXJpbmcgYW5kIGZvbGxv
d2luZyBwcmVnbmFuY3k6IGEgc3lzdGVtYXRpYyByZXZpZXcgYW5kIG1ldGEtYW5hbHlzaXM8L3Rp
dGxlPjxzZWNvbmRhcnktdGl0bGU+QnIgSiBTcG9ydHMgTWVkPC9zZWNvbmRhcnktdGl0bGU+PC90
aXRsZXM+PHBlcmlvZGljYWw+PGZ1bGwtdGl0bGU+QnIgSiBTcG9ydHMgTWVkPC9mdWxsLXRpdGxl
PjwvcGVyaW9kaWNhbD48cGFnZXM+MTM5Ny0xNDA0PC9wYWdlcz48dm9sdW1lPjUyPC92b2x1bWU+
PG51bWJlcj4yMTwvbnVtYmVyPjxlZGl0aW9uPjIwMTgvMTAvMjA8L2VkaXRpb24+PGtleXdvcmRz
PjxrZXl3b3JkPkV4ZXJjaXNlPC9rZXl3b3JkPjxrZXl3b3JkPkZlbWFsZTwva2V5d29yZD48a2V5
d29yZD5IdW1hbnM8L2tleXdvcmQ+PGtleXdvcmQ+UGVsdmljIEZsb29yPC9rZXl3b3JkPjxrZXl3
b3JkPipQcmVnbmFuY3k8L2tleXdvcmQ+PGtleXdvcmQ+UmFuZG9taXplZCBDb250cm9sbGVkIFRy
aWFscyBhcyBUb3BpYzwva2V5d29yZD48a2V5d29yZD5VcmluYXJ5IEluY29udGluZW5jZS8qcHJl
dmVudGlvbiAmYW1wOyBjb250cm9sPC9rZXl3b3JkPjxrZXl3b3JkPnByZWduYW5jeTwva2V5d29y
ZD48a2V5d29yZD51cmluYXJ5IGluY29udGluZW5jZTwva2V5d29yZD48L2tleXdvcmRzPjxkYXRl
cz48eWVhcj4yMDE4PC95ZWFyPjxwdWItZGF0ZXM+PGRhdGU+Tm92PC9kYXRlPjwvcHViLWRhdGVz
PjwvZGF0ZXM+PGlzYm4+MTQ3My0wNDgwIChFbGVjdHJvbmljKSYjeEQ7MDMwNi0zNjc0IChMaW5r
aW5nKTwvaXNibj48YWNjZXNzaW9uLW51bT4zMDMzNzQ2NjwvYWNjZXNzaW9uLW51bT48dXJscz48
cmVsYXRlZC11cmxzPjx1cmw+aHR0cHM6Ly93d3cubmNiaS5ubG0ubmloLmdvdi9wdWJtZWQvMzAz
Mzc0NjY8L3VybD48L3JlbGF0ZWQtdXJscz48L3VybHM+PGVsZWN0cm9uaWMtcmVzb3VyY2UtbnVt
PjEwLjExMzYvYmpzcG9ydHMtMjAxOC0wOTk3ODA8L2VsZWN0cm9uaWMtcmVzb3VyY2UtbnVtPjwv
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281</w:t>
      </w:r>
      <w:r w:rsidR="00D07346">
        <w:fldChar w:fldCharType="end"/>
      </w:r>
      <w:r>
        <w:t xml:space="preserve"> found low to moderate</w:t>
      </w:r>
      <w:r w:rsidRPr="00566A78">
        <w:t xml:space="preserve"> </w:t>
      </w:r>
      <w:r w:rsidR="00FB2A6C">
        <w:t>certainty</w:t>
      </w:r>
      <w:r w:rsidRPr="00566A78">
        <w:t xml:space="preserve"> evidence </w:t>
      </w:r>
      <w:r>
        <w:t>that</w:t>
      </w:r>
      <w:r w:rsidRPr="00566A78">
        <w:t xml:space="preserve"> prenatal pelv</w:t>
      </w:r>
      <w:r>
        <w:t xml:space="preserve">ic floor muscle training </w:t>
      </w:r>
      <w:r w:rsidRPr="00566A78">
        <w:t>with or without aerobic exercise decreased t</w:t>
      </w:r>
      <w:r>
        <w:t>he odds of urinary incontinence in pregnancy (</w:t>
      </w:r>
      <w:r w:rsidRPr="00BD61CC">
        <w:rPr>
          <w:sz w:val="16"/>
          <w:szCs w:val="16"/>
        </w:rPr>
        <w:t>15 RCTs, n=2,764 women; OR 0.50, 95%CI 0.37 to 0.68</w:t>
      </w:r>
      <w:r w:rsidRPr="00566A78">
        <w:t xml:space="preserve">). </w:t>
      </w:r>
      <w:r>
        <w:t xml:space="preserve">On further analysis, </w:t>
      </w:r>
      <w:r w:rsidRPr="00566A78">
        <w:t xml:space="preserve">exercise was beneficial at preventing the development of </w:t>
      </w:r>
      <w:r>
        <w:t>urinary incontinence in women with continence</w:t>
      </w:r>
      <w:r w:rsidRPr="00566A78">
        <w:t xml:space="preserve"> but not in treating incontinence. There was 'low' </w:t>
      </w:r>
      <w:r w:rsidR="00FB2A6C">
        <w:t>certainty</w:t>
      </w:r>
      <w:r w:rsidRPr="00566A78">
        <w:t xml:space="preserve"> evidence that prenatal exercise had a moderate effect in the reduction of </w:t>
      </w:r>
      <w:r w:rsidR="0075272C">
        <w:t xml:space="preserve">urinary </w:t>
      </w:r>
      <w:r w:rsidR="005056D2">
        <w:t>incontinence</w:t>
      </w:r>
      <w:r w:rsidRPr="00566A78">
        <w:t xml:space="preserve"> symptom severity (</w:t>
      </w:r>
      <w:r w:rsidRPr="00BD61CC">
        <w:rPr>
          <w:sz w:val="16"/>
          <w:szCs w:val="16"/>
        </w:rPr>
        <w:t>5 RCTs, SMD -0.54, 95%CI -0.88 to -0.20</w:t>
      </w:r>
      <w:r w:rsidRPr="00566A78">
        <w:t>).</w:t>
      </w:r>
    </w:p>
    <w:p w14:paraId="364FE8F2" w14:textId="77777777" w:rsidR="00921608" w:rsidRDefault="00921608" w:rsidP="00921608">
      <w:pPr>
        <w:pStyle w:val="Heading4"/>
      </w:pPr>
      <w:r>
        <w:t>Pelvic girdle and low back pain</w:t>
      </w:r>
    </w:p>
    <w:p w14:paraId="6BFB84E3" w14:textId="7E9349F2" w:rsidR="00F66E4E" w:rsidRDefault="00F66E4E" w:rsidP="00F66E4E">
      <w:r>
        <w:t>A systematic review that grouped low back, pelvic girdle and lumbopelvic pain as a single outcome</w:t>
      </w:r>
      <w:r>
        <w:fldChar w:fldCharType="begin">
          <w:fldData xml:space="preserve">PEVuZE5vdGU+PENpdGU+PEF1dGhvcj5EYXZlbnBvcnQ8L0F1dGhvcj48WWVhcj4yMDE5PC9ZZWFy
PjxSZWNOdW0+MTI1MDwvUmVjTnVtPjxEaXNwbGF5VGV4dD48c3R5bGUgZmFjZT0ic3VwZXJzY3Jp
cHQiIGZvbnQ9IlRyZWJ1Y2hldCBNUyIgc2l6ZT0iOSI+MjgyPC9zdHlsZT48L0Rpc3BsYXlUZXh0
PjxyZWNvcmQ+PHJlYy1udW1iZXI+MTI1MDwvcmVjLW51bWJlcj48Zm9yZWlnbi1rZXlzPjxrZXkg
YXBwPSJFTiIgZGItaWQ9ImV4dmFzcmZ4MmR0cmFvZXNhc3hwMnN6c3hhMmRmNTAyNTkyeCIgdGlt
ZXN0YW1wPSIxNTYyODkxMjgwIj4xMjUwPC9rZXk+PGtleSBhcHA9IkVOV2ViIiBkYi1pZD0iIj4w
PC9rZXk+PC9mb3JlaWduLWtleXM+PHJlZi10eXBlIG5hbWU9IkpvdXJuYWwgQXJ0aWNsZSI+MTc8
L3JlZi10eXBlPjxjb250cmlidXRvcnM+PGF1dGhvcnM+PGF1dGhvcj5EYXZlbnBvcnQsIE0uIEgu
PC9hdXRob3I+PGF1dGhvcj5NYXJjaGFuZCwgQS4gQS48L2F1dGhvcj48YXV0aG9yPk1vdHRvbGEs
IE0uIEYuPC9hdXRob3I+PGF1dGhvcj5Qb2l0cmFzLCBWLiBKLjwvYXV0aG9yPjxhdXRob3I+R3Jh
eSwgQy4gRS48L2F1dGhvcj48YXV0aG9yPkphcmFtaWxsbyBHYXJjaWEsIEEuPC9hdXRob3I+PGF1
dGhvcj5CYXJyb3dtYW4sIE4uPC9hdXRob3I+PGF1dGhvcj5Tb2JpZXJhanNraSwgRi48L2F1dGhv
cj48YXV0aG9yPkphbWVzLCBNLjwvYXV0aG9yPjxhdXRob3I+TWVhaCwgVi4gTC48L2F1dGhvcj48
YXV0aG9yPlNrb3csIFIuIEouPC9hdXRob3I+PGF1dGhvcj5SaXNrZSwgTC48L2F1dGhvcj48YXV0
aG9yPk51c3BsLCBNLjwvYXV0aG9yPjxhdXRob3I+TmFncGFsLCBULiBTLjwvYXV0aG9yPjxhdXRo
b3I+Q291cmJhbGF5LCBBLjwvYXV0aG9yPjxhdXRob3I+U2xhdGVyLCBMLiBHLjwvYXV0aG9yPjxh
dXRob3I+QWRhbW8sIEsuIEIuPC9hdXRob3I+PGF1dGhvcj5EYXZpZXMsIEcuIEEuPC9hdXRob3I+
PGF1dGhvcj5CYXJha2F0LCBSLjwvYXV0aG9yPjxhdXRob3I+UnVjaGF0LCBTLiBNLjwvYXV0aG9y
PjwvYXV0aG9ycz48L2NvbnRyaWJ1dG9ycz48YXV0aC1hZGRyZXNzPlByb2dyYW0gZm9yIFByZWdu
YW5jeSBhbmQgUG9zdHBhcnR1bSBIZWFsdGgsIFBoeXNpY2FsIEFjdGl2aXR5IGFuZCBEaWFiZXRl
cyBMYWJvcmF0b3J5LCBGYWN1bHR5IG9mIEtpbmVzaW9sb2d5LCBTcG9ydCBhbmQgUmVjcmVhdGlv
biwgV29tZW4gYW5kIENoaWxkcmVuJmFwb3M7cyBIZWFsdGggUmVzZWFyY2ggSW5zdGl0dXRlLCBB
bGJlcnRhIERpYWJldGVzIEluc3RpdHV0ZSwgVW5pdmVyc2l0eSBvZiBBbGJlcnRhLCBFZG1vbnRv
biwgQWxiZXJ0YSwgQ2FuYWRhLiYjeEQ7RGVwYXJ0bWVudCBvZiBBbmF0b215LCBVbml2ZXJzaXRl
IGR1IFF1ZWJlYyBhIFRyb2lzLVJpdmllcmVzLCBUcm9pcy1SaXZpZXJlcywgUXVlYmVjLCBDYW5h
ZGEuJiN4RDtSIFNhbXVlbCBNY0xhdWdobGluIEZvdW5kYXRpb24tRXhlcmNpc2UgYW5kIFByZWdu
YW5jeSBMYWJvcmF0b3J5LCBTY2hvb2wgb2YgS2luZXNpb2xvZ3ksIEZhY3VsdHkgb2YgSGVhbHRo
IFNjaWVuY2VzLCBEZXBhcnRtZW50IG9mIEFuYXRvbXkgYW5kIENlbGwgQmlvbG9neSwgU2NodWxp
Y2ggU2Nob29sIG9mIE1lZGljaW5lIGFuZCBEZW50aXN0cnksIENoaWxkcmVuJmFwb3M7cyBIZWFs
dGggUmVzZWFyY2ggSW5zdGl0dXRlLCBUaGUgVW5pdmVyc2l0eSBvZiBXZXN0ZXJuIE9udGFyaW8s
IExvbmRvbiwgT250YXJpbywgQ2FuYWRhLiYjeEQ7SW5kZXBlbmRlbnQgUmVzZWFyY2hlciwgT3R0
YXdhLCBPbnRhcmlvLCBDYW5hZGEuJiN4RDtIZWFsdGh5IEFjdGl2ZSBMaXZpbmcgYW5kIE9iZXNp
dHkgUmVzZWFyY2ggR3JvdXAsIENoaWxkcmVuJmFwb3M7cyBIb3NwaXRhbCBvZiBFYXN0ZXJuIE9u
dGFyaW8gUmVzZWFyY2ggSW5zdGl0dXRlLCBPdHRhd2EsIE9udGFyaW8sIENhbmFkYS4mI3hEO0Ns
aW5pY2FsIFJlc2VhcmNoIFVuaXQsIENoaWxkcmVuJmFwb3M7cyBIb3NwaXRhbCBvZiBFYXN0ZXJu
IE9udGFyaW8gUmVzZWFyY2ggSW5zdGl0dXRlLCBPdHRhd2EsIE9udGFyaW8sIENhbmFkYS4mI3hE
O0NhcmRpZmYgU2Nob29sIG9mIFNwb3J0IGFuZCBIZWFsdGggU2NpZW5jZXMsIENhcmRpZmYgTWV0
cm9wb2xpdGFuIFVuaXZlcnNpdHksIENhcmRpZmYsIFVLLiYjeEQ7RmFjdWx0eSBvZiBNZWRpY2lu
ZSBhbmQgRGVudGlzdHJ5LCBBbGJlcnRhIFJlc2VhcmNoIENlbnRyZSBmb3IgSGVhbHRoIEV2aWRl
bmNlLCBVbml2ZXJzaXR5IG9mIEFsYmVydGEsIEVkbW9udG9uLCBBbGJlcnRhLCBDYW5hZGEuJiN4
RDtKb2huIFcgU2NvdHQgSGVhbHRoIFNjaWVuY2VzIExpYnJhcnksIFVuaXZlcnNpdHkgb2YgQWxi
ZXJ0YSwgRWRtb250b24sIEFsYmVydGEsIENhbmFkYS4mI3hEO1NjaG9vbCBvZiBIdW1hbiBLaW5l
dGljcywgRmFjdWx0eSBvZiBIZWFsdGggU2NpZW5jZXMsIFVuaXZlcnNpdHkgb2YgT3R0YXdhLCBP
dHRhd2EsIE9udGFyaW8sIENhbmFkYS4mI3hEO0RlcGFydG1lbnQgb2YgT2JzdGV0cmljcyBhbmQg
R3luYWVjb2xvZ3ksIFF1ZWVuJmFwb3M7cyBVbml2ZXJzaXR5LCBLaW5nc3RvbiwgT250YXJpbywg
Q2FuYWRhLiYjeEQ7RmFjdWx0YWQgZGUgQ2llbmNpYXMgZGUgbGEgQWN0aXZpZGFkIEZpc2ljYSB5
IGRlbCBEZXBvcnRlLUlORUYsIFVuaXZlcnNpZGFkIFBvbGl0ZWNuaWNhIGRlIE1hZHJpZCwgTWFk
cmlkLCBTcGFpbi4mI3hEO0RlcGFydG1lbnQgb2YgSHVtYW4gS2luZXRpY3MsIFVuaXZlcnNpdGUg
ZHUgUXVlYmVjIGEgVHJvaXMtUml2aWVyZXMsIFRyb2lzLVJpdmllcmVzLCBRdWViZWMsIENhbmFk
YS48L2F1dGgtYWRkcmVzcz48dGl0bGVzPjx0aXRsZT5FeGVyY2lzZSBmb3IgdGhlIHByZXZlbnRp
b24gYW5kIHRyZWF0bWVudCBvZiBsb3cgYmFjaywgcGVsdmljIGdpcmRsZSBhbmQgbHVtYm9wZWx2
aWMgcGFpbiBkdXJpbmcgcHJlZ25hbmN5OiBhIHN5c3RlbWF0aWMgcmV2aWV3IGFuZCBtZXRhLWFu
YWx5c2lzPC90aXRsZT48c2Vjb25kYXJ5LXRpdGxlPkJyIEogU3BvcnRzIE1lZDwvc2Vjb25kYXJ5
LXRpdGxlPjwvdGl0bGVzPjxwZXJpb2RpY2FsPjxmdWxsLXRpdGxlPkJyIEogU3BvcnRzIE1lZDwv
ZnVsbC10aXRsZT48L3BlcmlvZGljYWw+PHBhZ2VzPjkwLTk4PC9wYWdlcz48dm9sdW1lPjUzPC92
b2x1bWU+PG51bWJlcj4yPC9udW1iZXI+PGVkaXRpb24+MjAxOC8xMC8yMDwvZWRpdGlvbj48a2V5
d29yZHM+PGtleXdvcmQ+KkV4ZXJjaXNlIFRoZXJhcHk8L2tleXdvcmQ+PGtleXdvcmQ+RmVtYWxl
PC9rZXl3b3JkPjxrZXl3b3JkPkh1bWFuczwva2V5d29yZD48a2V5d29yZD5Mb3cgQmFjayBQYWlu
LypwcmV2ZW50aW9uICZhbXA7IGNvbnRyb2wvKnRoZXJhcHk8L2tleXdvcmQ+PGtleXdvcmQ+UGVs
dmljIEdpcmRsZSBQYWluLypwcmV2ZW50aW9uICZhbXA7IGNvbnRyb2wvKnRoZXJhcHk8L2tleXdv
cmQ+PGtleXdvcmQ+UHJlZ25hbmN5PC9rZXl3b3JkPjxrZXl3b3JkPlJhbmRvbWl6ZWQgQ29udHJv
bGxlZCBUcmlhbHMgYXMgVG9waWM8L2tleXdvcmQ+PGtleXdvcmQ+YmFjazwva2V5d29yZD48a2V5
d29yZD5leGVyY2lzZTwva2V5d29yZD48a2V5d29yZD5wZWx2aXM8L2tleXdvcmQ+PC9rZXl3b3Jk
cz48ZGF0ZXM+PHllYXI+MjAxOTwveWVhcj48cHViLWRhdGVzPjxkYXRlPkphbjwvZGF0ZT48L3B1
Yi1kYXRlcz48L2RhdGVzPjxpc2JuPjE0NzMtMDQ4MCAoRWxlY3Ryb25pYykmI3hEOzAzMDYtMzY3
NCAoTGlua2luZyk8L2lzYm4+PGFjY2Vzc2lvbi1udW0+MzAzMzczNDQ8L2FjY2Vzc2lvbi1udW0+
PHVybHM+PHJlbGF0ZWQtdXJscz48dXJsPmh0dHBzOi8vd3d3Lm5jYmkubmxtLm5paC5nb3YvcHVi
bWVkLzMwMzM3MzQ0PC91cmw+PC9yZWxhdGVkLXVybHM+PC91cmxzPjxlbGVjdHJvbmljLXJlc291
cmNlLW51bT4xMC4xMTM2L2Jqc3BvcnRzLTIwMTgtMDk5NDAwPC9lbGVjdHJvbmljLXJlc291cmNl
LW51bT48L3JlY29yZD48L0NpdGU+PC9FbmROb3RlPn==
</w:fldData>
        </w:fldChar>
      </w:r>
      <w:r w:rsidR="002747EA">
        <w:instrText xml:space="preserve"> ADDIN EN.CITE </w:instrText>
      </w:r>
      <w:r w:rsidR="002747EA">
        <w:fldChar w:fldCharType="begin">
          <w:fldData xml:space="preserve">PEVuZE5vdGU+PENpdGU+PEF1dGhvcj5EYXZlbnBvcnQ8L0F1dGhvcj48WWVhcj4yMDE5PC9ZZWFy
PjxSZWNOdW0+MTI1MDwvUmVjTnVtPjxEaXNwbGF5VGV4dD48c3R5bGUgZmFjZT0ic3VwZXJzY3Jp
cHQiIGZvbnQ9IlRyZWJ1Y2hldCBNUyIgc2l6ZT0iOSI+MjgyPC9zdHlsZT48L0Rpc3BsYXlUZXh0
PjxyZWNvcmQ+PHJlYy1udW1iZXI+MTI1MDwvcmVjLW51bWJlcj48Zm9yZWlnbi1rZXlzPjxrZXkg
YXBwPSJFTiIgZGItaWQ9ImV4dmFzcmZ4MmR0cmFvZXNhc3hwMnN6c3hhMmRmNTAyNTkyeCIgdGlt
ZXN0YW1wPSIxNTYyODkxMjgwIj4xMjUwPC9rZXk+PGtleSBhcHA9IkVOV2ViIiBkYi1pZD0iIj4w
PC9rZXk+PC9mb3JlaWduLWtleXM+PHJlZi10eXBlIG5hbWU9IkpvdXJuYWwgQXJ0aWNsZSI+MTc8
L3JlZi10eXBlPjxjb250cmlidXRvcnM+PGF1dGhvcnM+PGF1dGhvcj5EYXZlbnBvcnQsIE0uIEgu
PC9hdXRob3I+PGF1dGhvcj5NYXJjaGFuZCwgQS4gQS48L2F1dGhvcj48YXV0aG9yPk1vdHRvbGEs
IE0uIEYuPC9hdXRob3I+PGF1dGhvcj5Qb2l0cmFzLCBWLiBKLjwvYXV0aG9yPjxhdXRob3I+R3Jh
eSwgQy4gRS48L2F1dGhvcj48YXV0aG9yPkphcmFtaWxsbyBHYXJjaWEsIEEuPC9hdXRob3I+PGF1
dGhvcj5CYXJyb3dtYW4sIE4uPC9hdXRob3I+PGF1dGhvcj5Tb2JpZXJhanNraSwgRi48L2F1dGhv
cj48YXV0aG9yPkphbWVzLCBNLjwvYXV0aG9yPjxhdXRob3I+TWVhaCwgVi4gTC48L2F1dGhvcj48
YXV0aG9yPlNrb3csIFIuIEouPC9hdXRob3I+PGF1dGhvcj5SaXNrZSwgTC48L2F1dGhvcj48YXV0
aG9yPk51c3BsLCBNLjwvYXV0aG9yPjxhdXRob3I+TmFncGFsLCBULiBTLjwvYXV0aG9yPjxhdXRo
b3I+Q291cmJhbGF5LCBBLjwvYXV0aG9yPjxhdXRob3I+U2xhdGVyLCBMLiBHLjwvYXV0aG9yPjxh
dXRob3I+QWRhbW8sIEsuIEIuPC9hdXRob3I+PGF1dGhvcj5EYXZpZXMsIEcuIEEuPC9hdXRob3I+
PGF1dGhvcj5CYXJha2F0LCBSLjwvYXV0aG9yPjxhdXRob3I+UnVjaGF0LCBTLiBNLjwvYXV0aG9y
PjwvYXV0aG9ycz48L2NvbnRyaWJ1dG9ycz48YXV0aC1hZGRyZXNzPlByb2dyYW0gZm9yIFByZWdu
YW5jeSBhbmQgUG9zdHBhcnR1bSBIZWFsdGgsIFBoeXNpY2FsIEFjdGl2aXR5IGFuZCBEaWFiZXRl
cyBMYWJvcmF0b3J5LCBGYWN1bHR5IG9mIEtpbmVzaW9sb2d5LCBTcG9ydCBhbmQgUmVjcmVhdGlv
biwgV29tZW4gYW5kIENoaWxkcmVuJmFwb3M7cyBIZWFsdGggUmVzZWFyY2ggSW5zdGl0dXRlLCBB
bGJlcnRhIERpYWJldGVzIEluc3RpdHV0ZSwgVW5pdmVyc2l0eSBvZiBBbGJlcnRhLCBFZG1vbnRv
biwgQWxiZXJ0YSwgQ2FuYWRhLiYjeEQ7RGVwYXJ0bWVudCBvZiBBbmF0b215LCBVbml2ZXJzaXRl
IGR1IFF1ZWJlYyBhIFRyb2lzLVJpdmllcmVzLCBUcm9pcy1SaXZpZXJlcywgUXVlYmVjLCBDYW5h
ZGEuJiN4RDtSIFNhbXVlbCBNY0xhdWdobGluIEZvdW5kYXRpb24tRXhlcmNpc2UgYW5kIFByZWdu
YW5jeSBMYWJvcmF0b3J5LCBTY2hvb2wgb2YgS2luZXNpb2xvZ3ksIEZhY3VsdHkgb2YgSGVhbHRo
IFNjaWVuY2VzLCBEZXBhcnRtZW50IG9mIEFuYXRvbXkgYW5kIENlbGwgQmlvbG9neSwgU2NodWxp
Y2ggU2Nob29sIG9mIE1lZGljaW5lIGFuZCBEZW50aXN0cnksIENoaWxkcmVuJmFwb3M7cyBIZWFs
dGggUmVzZWFyY2ggSW5zdGl0dXRlLCBUaGUgVW5pdmVyc2l0eSBvZiBXZXN0ZXJuIE9udGFyaW8s
IExvbmRvbiwgT250YXJpbywgQ2FuYWRhLiYjeEQ7SW5kZXBlbmRlbnQgUmVzZWFyY2hlciwgT3R0
YXdhLCBPbnRhcmlvLCBDYW5hZGEuJiN4RDtIZWFsdGh5IEFjdGl2ZSBMaXZpbmcgYW5kIE9iZXNp
dHkgUmVzZWFyY2ggR3JvdXAsIENoaWxkcmVuJmFwb3M7cyBIb3NwaXRhbCBvZiBFYXN0ZXJuIE9u
dGFyaW8gUmVzZWFyY2ggSW5zdGl0dXRlLCBPdHRhd2EsIE9udGFyaW8sIENhbmFkYS4mI3hEO0Ns
aW5pY2FsIFJlc2VhcmNoIFVuaXQsIENoaWxkcmVuJmFwb3M7cyBIb3NwaXRhbCBvZiBFYXN0ZXJu
IE9udGFyaW8gUmVzZWFyY2ggSW5zdGl0dXRlLCBPdHRhd2EsIE9udGFyaW8sIENhbmFkYS4mI3hE
O0NhcmRpZmYgU2Nob29sIG9mIFNwb3J0IGFuZCBIZWFsdGggU2NpZW5jZXMsIENhcmRpZmYgTWV0
cm9wb2xpdGFuIFVuaXZlcnNpdHksIENhcmRpZmYsIFVLLiYjeEQ7RmFjdWx0eSBvZiBNZWRpY2lu
ZSBhbmQgRGVudGlzdHJ5LCBBbGJlcnRhIFJlc2VhcmNoIENlbnRyZSBmb3IgSGVhbHRoIEV2aWRl
bmNlLCBVbml2ZXJzaXR5IG9mIEFsYmVydGEsIEVkbW9udG9uLCBBbGJlcnRhLCBDYW5hZGEuJiN4
RDtKb2huIFcgU2NvdHQgSGVhbHRoIFNjaWVuY2VzIExpYnJhcnksIFVuaXZlcnNpdHkgb2YgQWxi
ZXJ0YSwgRWRtb250b24sIEFsYmVydGEsIENhbmFkYS4mI3hEO1NjaG9vbCBvZiBIdW1hbiBLaW5l
dGljcywgRmFjdWx0eSBvZiBIZWFsdGggU2NpZW5jZXMsIFVuaXZlcnNpdHkgb2YgT3R0YXdhLCBP
dHRhd2EsIE9udGFyaW8sIENhbmFkYS4mI3hEO0RlcGFydG1lbnQgb2YgT2JzdGV0cmljcyBhbmQg
R3luYWVjb2xvZ3ksIFF1ZWVuJmFwb3M7cyBVbml2ZXJzaXR5LCBLaW5nc3RvbiwgT250YXJpbywg
Q2FuYWRhLiYjeEQ7RmFjdWx0YWQgZGUgQ2llbmNpYXMgZGUgbGEgQWN0aXZpZGFkIEZpc2ljYSB5
IGRlbCBEZXBvcnRlLUlORUYsIFVuaXZlcnNpZGFkIFBvbGl0ZWNuaWNhIGRlIE1hZHJpZCwgTWFk
cmlkLCBTcGFpbi4mI3hEO0RlcGFydG1lbnQgb2YgSHVtYW4gS2luZXRpY3MsIFVuaXZlcnNpdGUg
ZHUgUXVlYmVjIGEgVHJvaXMtUml2aWVyZXMsIFRyb2lzLVJpdmllcmVzLCBRdWViZWMsIENhbmFk
YS48L2F1dGgtYWRkcmVzcz48dGl0bGVzPjx0aXRsZT5FeGVyY2lzZSBmb3IgdGhlIHByZXZlbnRp
b24gYW5kIHRyZWF0bWVudCBvZiBsb3cgYmFjaywgcGVsdmljIGdpcmRsZSBhbmQgbHVtYm9wZWx2
aWMgcGFpbiBkdXJpbmcgcHJlZ25hbmN5OiBhIHN5c3RlbWF0aWMgcmV2aWV3IGFuZCBtZXRhLWFu
YWx5c2lzPC90aXRsZT48c2Vjb25kYXJ5LXRpdGxlPkJyIEogU3BvcnRzIE1lZDwvc2Vjb25kYXJ5
LXRpdGxlPjwvdGl0bGVzPjxwZXJpb2RpY2FsPjxmdWxsLXRpdGxlPkJyIEogU3BvcnRzIE1lZDwv
ZnVsbC10aXRsZT48L3BlcmlvZGljYWw+PHBhZ2VzPjkwLTk4PC9wYWdlcz48dm9sdW1lPjUzPC92
b2x1bWU+PG51bWJlcj4yPC9udW1iZXI+PGVkaXRpb24+MjAxOC8xMC8yMDwvZWRpdGlvbj48a2V5
d29yZHM+PGtleXdvcmQ+KkV4ZXJjaXNlIFRoZXJhcHk8L2tleXdvcmQ+PGtleXdvcmQ+RmVtYWxl
PC9rZXl3b3JkPjxrZXl3b3JkPkh1bWFuczwva2V5d29yZD48a2V5d29yZD5Mb3cgQmFjayBQYWlu
LypwcmV2ZW50aW9uICZhbXA7IGNvbnRyb2wvKnRoZXJhcHk8L2tleXdvcmQ+PGtleXdvcmQ+UGVs
dmljIEdpcmRsZSBQYWluLypwcmV2ZW50aW9uICZhbXA7IGNvbnRyb2wvKnRoZXJhcHk8L2tleXdv
cmQ+PGtleXdvcmQ+UHJlZ25hbmN5PC9rZXl3b3JkPjxrZXl3b3JkPlJhbmRvbWl6ZWQgQ29udHJv
bGxlZCBUcmlhbHMgYXMgVG9waWM8L2tleXdvcmQ+PGtleXdvcmQ+YmFjazwva2V5d29yZD48a2V5
d29yZD5leGVyY2lzZTwva2V5d29yZD48a2V5d29yZD5wZWx2aXM8L2tleXdvcmQ+PC9rZXl3b3Jk
cz48ZGF0ZXM+PHllYXI+MjAxOTwveWVhcj48cHViLWRhdGVzPjxkYXRlPkphbjwvZGF0ZT48L3B1
Yi1kYXRlcz48L2RhdGVzPjxpc2JuPjE0NzMtMDQ4MCAoRWxlY3Ryb25pYykmI3hEOzAzMDYtMzY3
NCAoTGlua2luZyk8L2lzYm4+PGFjY2Vzc2lvbi1udW0+MzAzMzczNDQ8L2FjY2Vzc2lvbi1udW0+
PHVybHM+PHJlbGF0ZWQtdXJscz48dXJsPmh0dHBzOi8vd3d3Lm5jYmkubmxtLm5paC5nb3YvcHVi
bWVkLzMwMzM3MzQ0PC91cmw+PC9yZWxhdGVkLXVybHM+PC91cmxzPjxlbGVjdHJvbmljLXJlc291
cmNlLW51bT4xMC4xMTM2L2Jqc3BvcnRzLTIwMTgtMDk5NDAwPC9lbGVjdHJvbmljLXJlc291cmNl
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282</w:t>
      </w:r>
      <w:r>
        <w:fldChar w:fldCharType="end"/>
      </w:r>
      <w:r>
        <w:t xml:space="preserve"> found </w:t>
      </w:r>
      <w:r w:rsidR="001E2E5C">
        <w:t xml:space="preserve">that exercise during pregnancy was associated with </w:t>
      </w:r>
      <w:r w:rsidR="00AE198D">
        <w:t xml:space="preserve">a possible reduction in the likelihood of pain during pregnancy </w:t>
      </w:r>
      <w:r>
        <w:t>(</w:t>
      </w:r>
      <w:r w:rsidRPr="00F66E4E">
        <w:rPr>
          <w:sz w:val="16"/>
          <w:szCs w:val="16"/>
        </w:rPr>
        <w:t xml:space="preserve">OR 0.78; 95%CI 0.60 to 1.02; 13 studies; very low to moderate </w:t>
      </w:r>
      <w:r w:rsidR="00FB2A6C">
        <w:rPr>
          <w:sz w:val="16"/>
          <w:szCs w:val="16"/>
        </w:rPr>
        <w:t>certainty</w:t>
      </w:r>
      <w:r>
        <w:t xml:space="preserve">) </w:t>
      </w:r>
      <w:r w:rsidR="001E2E5C">
        <w:t xml:space="preserve">but </w:t>
      </w:r>
      <w:r w:rsidR="00482255">
        <w:t>the</w:t>
      </w:r>
      <w:r w:rsidR="001E2E5C">
        <w:t xml:space="preserve"> difference in the</w:t>
      </w:r>
      <w:r>
        <w:t xml:space="preserve"> postpartum</w:t>
      </w:r>
      <w:r w:rsidR="001E2E5C">
        <w:t xml:space="preserve"> period</w:t>
      </w:r>
      <w:r>
        <w:t xml:space="preserve"> </w:t>
      </w:r>
      <w:r w:rsidR="00482255">
        <w:t xml:space="preserve">was unclear </w:t>
      </w:r>
      <w:r>
        <w:t>(</w:t>
      </w:r>
      <w:r w:rsidRPr="00F66E4E">
        <w:rPr>
          <w:sz w:val="16"/>
          <w:szCs w:val="16"/>
        </w:rPr>
        <w:t xml:space="preserve">OR 0.89; 95%CI 0.51 to 1.56; 4 studies; very low to moderate </w:t>
      </w:r>
      <w:r w:rsidR="00FB2A6C">
        <w:rPr>
          <w:sz w:val="16"/>
          <w:szCs w:val="16"/>
        </w:rPr>
        <w:t>certainty</w:t>
      </w:r>
      <w:r>
        <w:t xml:space="preserve">). </w:t>
      </w:r>
      <w:r w:rsidR="001E2E5C">
        <w:t>T</w:t>
      </w:r>
      <w:r>
        <w:t>here appeared to be a reduction in severity of pain</w:t>
      </w:r>
      <w:r w:rsidR="001E2E5C">
        <w:t xml:space="preserve"> during</w:t>
      </w:r>
      <w:r>
        <w:t xml:space="preserve"> </w:t>
      </w:r>
      <w:r w:rsidR="00352698">
        <w:t xml:space="preserve">pregnancy </w:t>
      </w:r>
      <w:r w:rsidRPr="00034D06">
        <w:t>(</w:t>
      </w:r>
      <w:r w:rsidR="00352698">
        <w:rPr>
          <w:sz w:val="16"/>
          <w:szCs w:val="16"/>
        </w:rPr>
        <w:t xml:space="preserve">SMD </w:t>
      </w:r>
      <w:r w:rsidRPr="00F66E4E">
        <w:rPr>
          <w:sz w:val="16"/>
          <w:szCs w:val="16"/>
        </w:rPr>
        <w:t xml:space="preserve">1.03; 95%CI -1.58 to -0.48; 10 studies; very low to moderate </w:t>
      </w:r>
      <w:r w:rsidR="00FB2A6C">
        <w:rPr>
          <w:sz w:val="16"/>
          <w:szCs w:val="16"/>
        </w:rPr>
        <w:t>certainty</w:t>
      </w:r>
      <w:r w:rsidRPr="00034D06">
        <w:t>)</w:t>
      </w:r>
      <w:r>
        <w:t>.</w:t>
      </w:r>
    </w:p>
    <w:p w14:paraId="43796738" w14:textId="0078979E" w:rsidR="00D3661B" w:rsidRDefault="00F80343" w:rsidP="00F66E4E">
      <w:r>
        <w:t>A systematic review</w:t>
      </w:r>
      <w:r w:rsidR="00D3661B">
        <w:t xml:space="preserve"> that reported outcomes separately</w:t>
      </w:r>
      <w:r w:rsidR="00E51743">
        <w:fldChar w:fldCharType="begin"/>
      </w:r>
      <w:r w:rsidR="002747EA">
        <w:instrText xml:space="preserve"> ADDIN EN.CITE &lt;EndNote&gt;&lt;Cite&gt;&lt;Author&gt;Shiri&lt;/Author&gt;&lt;Year&gt;2018&lt;/Year&gt;&lt;RecNum&gt;585&lt;/RecNum&gt;&lt;DisplayText&gt;&lt;style face="superscript" font="Trebuchet MS" size="9"&gt;283&lt;/style&gt;&lt;/DisplayText&gt;&lt;record&gt;&lt;rec-number&gt;585&lt;/rec-number&gt;&lt;foreign-keys&gt;&lt;key app="EN" db-id="exvasrfx2dtraoesasxp2szsxa2df502592x" timestamp="1536369713"&gt;585&lt;/key&gt;&lt;/foreign-keys&gt;&lt;ref-type name="Journal Article"&gt;17&lt;/ref-type&gt;&lt;contributors&gt;&lt;authors&gt;&lt;author&gt;Shiri, R.&lt;/author&gt;&lt;author&gt;Coggon, D.&lt;/author&gt;&lt;author&gt;Falah-Hassani, K.&lt;/author&gt;&lt;/authors&gt;&lt;/contributors&gt;&lt;auth-address&gt;Finnish Institute of Occupational Health, Helsinki, Finland.&amp;#xD;Arthritis Research UK/MRC Centre for Musculoskeletal Health and Work, University of Southampton, UK.&amp;#xD;MRC Lifecourse Epidemiology Unit, University of Southampton, UK.&amp;#xD;Western University, London, Canada.&lt;/auth-address&gt;&lt;titles&gt;&lt;title&gt;Exercise for the prevention of low back and pelvic girdle pain in pregnancy: A meta-analysis of randomized controlled trials&lt;/title&gt;&lt;secondary-title&gt;Eur J Pain&lt;/secondary-title&gt;&lt;/titles&gt;&lt;periodical&gt;&lt;full-title&gt;Eur J Pain&lt;/full-title&gt;&lt;/periodical&gt;&lt;pages&gt;19-27&lt;/pages&gt;&lt;volume&gt;22&lt;/volume&gt;&lt;number&gt;1&lt;/number&gt;&lt;edition&gt;2017/09/05&lt;/edition&gt;&lt;keywords&gt;&lt;keyword&gt;Adult&lt;/keyword&gt;&lt;keyword&gt;*Exercise Therapy&lt;/keyword&gt;&lt;keyword&gt;Female&lt;/keyword&gt;&lt;keyword&gt;Humans&lt;/keyword&gt;&lt;keyword&gt;Low Back Pain/*prevention &amp;amp; control&lt;/keyword&gt;&lt;keyword&gt;Pelvic Girdle Pain/*prevention &amp;amp; control&lt;/keyword&gt;&lt;keyword&gt;Pregnancy&lt;/keyword&gt;&lt;keyword&gt;Pregnancy Complications/*prevention &amp;amp; control&lt;/keyword&gt;&lt;keyword&gt;Randomized Controlled Trials as Topic&lt;/keyword&gt;&lt;keyword&gt;Sick Leave&lt;/keyword&gt;&lt;keyword&gt;Treatment Outcome&lt;/keyword&gt;&lt;/keywords&gt;&lt;dates&gt;&lt;year&gt;2018&lt;/year&gt;&lt;pub-dates&gt;&lt;date&gt;Jan&lt;/date&gt;&lt;/pub-dates&gt;&lt;/dates&gt;&lt;isbn&gt;1532-2149 (Electronic)&amp;#xD;1090-3801 (Linking)&lt;/isbn&gt;&lt;accession-num&gt;28869318&lt;/accession-num&gt;&lt;urls&gt;&lt;related-urls&gt;&lt;url&gt;https://www.ncbi.nlm.nih.gov/pubmed/28869318&lt;/url&gt;&lt;/related-urls&gt;&lt;/urls&gt;&lt;electronic-resource-num&gt;10.1002/ejp.1096&lt;/electronic-resource-num&gt;&lt;/record&gt;&lt;/Cite&gt;&lt;/EndNote&gt;</w:instrText>
      </w:r>
      <w:r w:rsidR="00E51743">
        <w:fldChar w:fldCharType="separate"/>
      </w:r>
      <w:r w:rsidR="002747EA" w:rsidRPr="002747EA">
        <w:rPr>
          <w:noProof/>
          <w:vertAlign w:val="superscript"/>
        </w:rPr>
        <w:t>283</w:t>
      </w:r>
      <w:r w:rsidR="00E51743">
        <w:fldChar w:fldCharType="end"/>
      </w:r>
      <w:r w:rsidR="00D3661B">
        <w:t xml:space="preserve"> </w:t>
      </w:r>
      <w:r>
        <w:t>found</w:t>
      </w:r>
      <w:r w:rsidR="00D3794D">
        <w:t xml:space="preserve"> a possible reduction in low back pain (</w:t>
      </w:r>
      <w:r w:rsidR="00D3794D" w:rsidRPr="00D3794D">
        <w:rPr>
          <w:sz w:val="16"/>
          <w:szCs w:val="16"/>
        </w:rPr>
        <w:t>RR 0.91, 95%CI 0.83 to 0.99; 7 studies; n=1,175</w:t>
      </w:r>
      <w:r w:rsidR="00D3794D">
        <w:t xml:space="preserve">) </w:t>
      </w:r>
      <w:r w:rsidR="00DC4B51">
        <w:t>and lumbopelvic pain (</w:t>
      </w:r>
      <w:r w:rsidR="00DC4B51" w:rsidRPr="00AE198D">
        <w:rPr>
          <w:sz w:val="16"/>
          <w:szCs w:val="16"/>
        </w:rPr>
        <w:t>RR 0.96, 95%CI 0.90 to 1.02; 8 studies; n=1,737</w:t>
      </w:r>
      <w:r w:rsidR="00DC4B51">
        <w:t xml:space="preserve">) </w:t>
      </w:r>
      <w:r w:rsidR="00C424DE">
        <w:t xml:space="preserve">associated with exercise </w:t>
      </w:r>
      <w:r w:rsidR="00DC4B51">
        <w:t>but no clear difference in risk of pelvic girdle pain (</w:t>
      </w:r>
      <w:r w:rsidR="00DC4B51" w:rsidRPr="00AE198D">
        <w:rPr>
          <w:sz w:val="16"/>
          <w:szCs w:val="16"/>
        </w:rPr>
        <w:t>RR 0.99, 95%CI 0.81 to 1.21; 4 studies, n=565</w:t>
      </w:r>
      <w:r w:rsidR="00DC4B51">
        <w:t>).</w:t>
      </w:r>
    </w:p>
    <w:p w14:paraId="33307348" w14:textId="216BA8AB" w:rsidR="00001993" w:rsidRDefault="00001993" w:rsidP="00F66E4E">
      <w:r>
        <w:t xml:space="preserve">An RCT </w:t>
      </w:r>
      <w:r w:rsidR="00C424DE">
        <w:t>(n=42)</w:t>
      </w:r>
      <w:r w:rsidR="00283324">
        <w:fldChar w:fldCharType="begin">
          <w:fldData xml:space="preserve">PEVuZE5vdGU+PENpdGU+PEF1dGhvcj5Ta2xlbXBlIEtva2ljPC9BdXRob3I+PFllYXI+MjAxNzwv
WWVhcj48UmVjTnVtPjEyNjY8L1JlY051bT48RGlzcGxheVRleHQ+PHN0eWxlIGZhY2U9InN1cGVy
c2NyaXB0IiBmb250PSJUcmVidWNoZXQgTVMiIHNpemU9IjkiPjI4NDwvc3R5bGU+PC9EaXNwbGF5
VGV4dD48cmVjb3JkPjxyZWMtbnVtYmVyPjEyNjY8L3JlYy1udW1iZXI+PGZvcmVpZ24ta2V5cz48
a2V5IGFwcD0iRU4iIGRiLWlkPSJleHZhc3JmeDJkdHJhb2VzYXN4cDJzenN4YTJkZjUwMjU5Mngi
IHRpbWVzdGFtcD0iMTU2Mjg5MTM3NiI+MTI2Njwva2V5PjxrZXkgYXBwPSJFTldlYiIgZGItaWQ9
IiI+MDwva2V5PjwvZm9yZWlnbi1rZXlzPjxyZWYtdHlwZSBuYW1lPSJKb3VybmFsIEFydGljbGUi
PjE3PC9yZWYtdHlwZT48Y29udHJpYnV0b3JzPjxhdXRob3JzPjxhdXRob3I+U2tsZW1wZSBLb2tp
YywgSS48L2F1dGhvcj48YXV0aG9yPkl2YW5pc2V2aWMsIE0uPC9hdXRob3I+PGF1dGhvcj5VcmVt
b3ZpYywgTS48L2F1dGhvcj48YXV0aG9yPktva2ljLCBULjwvYXV0aG9yPjxhdXRob3I+UGlzb3Qs
IFIuPC9hdXRob3I+PGF1dGhvcj5TaW11bmljLCBCLjwvYXV0aG9yPjwvYXV0aG9ycz48L2NvbnRy
aWJ1dG9ycz48YXV0aC1hZGRyZXNzPkRlcGFydG1lbnQgb2YgSGVhbHRoIFN0dWRpZXMsIENvbGxl
Z2Ugb2YgQXBwbGllZCBTY2llbmNlcy48L2F1dGgtYWRkcmVzcz48dGl0bGVzPjx0aXRsZT5FZmZl
Y3Qgb2YgdGhlcmFwZXV0aWMgZXhlcmNpc2VzIG9uIHByZWduYW5jeS1yZWxhdGVkIGxvdyBiYWNr
IHBhaW4gYW5kIHBlbHZpYyBnaXJkbGUgcGFpbjogU2Vjb25kYXJ5IGFuYWx5c2lzIG9mIGEgcmFu
ZG9taXplZCBjb250cm9sbGVkIHRyaWFsPC90aXRsZT48c2Vjb25kYXJ5LXRpdGxlPkogUmVoYWJp
bCBNZWQ8L3NlY29uZGFyeS10aXRsZT48L3RpdGxlcz48cGVyaW9kaWNhbD48ZnVsbC10aXRsZT5K
IFJlaGFiaWwgTWVkPC9mdWxsLXRpdGxlPjwvcGVyaW9kaWNhbD48cGFnZXM+MjUxLTI1NzwvcGFn
ZXM+PHZvbHVtZT40OTwvdm9sdW1lPjxudW1iZXI+MzwvbnVtYmVyPjxlZGl0aW9uPjIwMTcvMDIv
MjU8L2VkaXRpb24+PGtleXdvcmRzPjxrZXl3b3JkPkFkdWx0PC9rZXl3b3JkPjxrZXl3b3JkPkV4
ZXJjaXNlIFRoZXJhcHkvKm1ldGhvZHM8L2tleXdvcmQ+PGtleXdvcmQ+RmVtYWxlPC9rZXl3b3Jk
PjxrZXl3b3JkPkh1bWFuczwva2V5d29yZD48a2V5d29yZD5Mb3cgQmFjayBQYWluL3BoeXNpb3Bh
dGhvbG9neS8qdGhlcmFweTwva2V5d29yZD48a2V5d29yZD5Mb3dlciBFeHRyZW1pdHkvcGh5c2lv
cGF0aG9sb2d5PC9rZXl3b3JkPjxrZXl3b3JkPlBhaW4gTWVhc3VyZW1lbnQ8L2tleXdvcmQ+PGtl
eXdvcmQ+UGVsdmljIEdpcmRsZSBQYWluL3BoeXNpb3BhdGhvbG9neS8qdGhlcmFweTwva2V5d29y
ZD48a2V5d29yZD5QZWx2aXMvcGh5c2lvcGF0aG9sb2d5PC9rZXl3b3JkPjxrZXl3b3JkPlByZWdu
YW5jeTwva2V5d29yZD48a2V5d29yZD5QcmVnbmFuY3kgQ29tcGxpY2F0aW9ucy9waHlzaW9wYXRo
b2xvZ3kvKnRoZXJhcHk8L2tleXdvcmQ+PGtleXdvcmQ+U2V2ZXJpdHkgb2YgSWxsbmVzcyBJbmRl
eDwva2V5d29yZD48a2V5d29yZD5TdXJ2ZXlzIGFuZCBRdWVzdGlvbm5haXJlczwva2V5d29yZD48
a2V5d29yZD5UcmVhdG1lbnQgT3V0Y29tZTwva2V5d29yZD48L2tleXdvcmRzPjxkYXRlcz48eWVh
cj4yMDE3PC95ZWFyPjxwdWItZGF0ZXM+PGRhdGU+TWFyIDY8L2RhdGU+PC9wdWItZGF0ZXM+PC9k
YXRlcz48aXNibj4xNjUxLTIwODEgKEVsZWN0cm9uaWMpJiN4RDsxNjUwLTE5NzcgKExpbmtpbmcp
PC9pc2JuPjxhY2Nlc3Npb24tbnVtPjI4MjMzMDEyPC9hY2Nlc3Npb24tbnVtPjx1cmxzPjxyZWxh
dGVkLXVybHM+PHVybD5odHRwczovL3d3dy5uY2JpLm5sbS5uaWguZ292L3B1Ym1lZC8yODIzMzAx
MjwvdXJsPjwvcmVsYXRlZC11cmxzPjwvdXJscz48ZWxlY3Ryb25pYy1yZXNvdXJjZS1udW0+MTAu
MjM0MC8xNjUwMTk3Ny0yMTk2PC9lbGVjdHJvbmljLXJlc291cmNlLW51bT48L3JlY29yZD48L0Np
dGU+PC9FbmROb3RlPgB=
</w:fldData>
        </w:fldChar>
      </w:r>
      <w:r w:rsidR="002747EA">
        <w:instrText xml:space="preserve"> ADDIN EN.CITE </w:instrText>
      </w:r>
      <w:r w:rsidR="002747EA">
        <w:fldChar w:fldCharType="begin">
          <w:fldData xml:space="preserve">PEVuZE5vdGU+PENpdGU+PEF1dGhvcj5Ta2xlbXBlIEtva2ljPC9BdXRob3I+PFllYXI+MjAxNzwv
WWVhcj48UmVjTnVtPjEyNjY8L1JlY051bT48RGlzcGxheVRleHQ+PHN0eWxlIGZhY2U9InN1cGVy
c2NyaXB0IiBmb250PSJUcmVidWNoZXQgTVMiIHNpemU9IjkiPjI4NDwvc3R5bGU+PC9EaXNwbGF5
VGV4dD48cmVjb3JkPjxyZWMtbnVtYmVyPjEyNjY8L3JlYy1udW1iZXI+PGZvcmVpZ24ta2V5cz48
a2V5IGFwcD0iRU4iIGRiLWlkPSJleHZhc3JmeDJkdHJhb2VzYXN4cDJzenN4YTJkZjUwMjU5Mngi
IHRpbWVzdGFtcD0iMTU2Mjg5MTM3NiI+MTI2Njwva2V5PjxrZXkgYXBwPSJFTldlYiIgZGItaWQ9
IiI+MDwva2V5PjwvZm9yZWlnbi1rZXlzPjxyZWYtdHlwZSBuYW1lPSJKb3VybmFsIEFydGljbGUi
PjE3PC9yZWYtdHlwZT48Y29udHJpYnV0b3JzPjxhdXRob3JzPjxhdXRob3I+U2tsZW1wZSBLb2tp
YywgSS48L2F1dGhvcj48YXV0aG9yPkl2YW5pc2V2aWMsIE0uPC9hdXRob3I+PGF1dGhvcj5VcmVt
b3ZpYywgTS48L2F1dGhvcj48YXV0aG9yPktva2ljLCBULjwvYXV0aG9yPjxhdXRob3I+UGlzb3Qs
IFIuPC9hdXRob3I+PGF1dGhvcj5TaW11bmljLCBCLjwvYXV0aG9yPjwvYXV0aG9ycz48L2NvbnRy
aWJ1dG9ycz48YXV0aC1hZGRyZXNzPkRlcGFydG1lbnQgb2YgSGVhbHRoIFN0dWRpZXMsIENvbGxl
Z2Ugb2YgQXBwbGllZCBTY2llbmNlcy48L2F1dGgtYWRkcmVzcz48dGl0bGVzPjx0aXRsZT5FZmZl
Y3Qgb2YgdGhlcmFwZXV0aWMgZXhlcmNpc2VzIG9uIHByZWduYW5jeS1yZWxhdGVkIGxvdyBiYWNr
IHBhaW4gYW5kIHBlbHZpYyBnaXJkbGUgcGFpbjogU2Vjb25kYXJ5IGFuYWx5c2lzIG9mIGEgcmFu
ZG9taXplZCBjb250cm9sbGVkIHRyaWFsPC90aXRsZT48c2Vjb25kYXJ5LXRpdGxlPkogUmVoYWJp
bCBNZWQ8L3NlY29uZGFyeS10aXRsZT48L3RpdGxlcz48cGVyaW9kaWNhbD48ZnVsbC10aXRsZT5K
IFJlaGFiaWwgTWVkPC9mdWxsLXRpdGxlPjwvcGVyaW9kaWNhbD48cGFnZXM+MjUxLTI1NzwvcGFn
ZXM+PHZvbHVtZT40OTwvdm9sdW1lPjxudW1iZXI+MzwvbnVtYmVyPjxlZGl0aW9uPjIwMTcvMDIv
MjU8L2VkaXRpb24+PGtleXdvcmRzPjxrZXl3b3JkPkFkdWx0PC9rZXl3b3JkPjxrZXl3b3JkPkV4
ZXJjaXNlIFRoZXJhcHkvKm1ldGhvZHM8L2tleXdvcmQ+PGtleXdvcmQ+RmVtYWxlPC9rZXl3b3Jk
PjxrZXl3b3JkPkh1bWFuczwva2V5d29yZD48a2V5d29yZD5Mb3cgQmFjayBQYWluL3BoeXNpb3Bh
dGhvbG9neS8qdGhlcmFweTwva2V5d29yZD48a2V5d29yZD5Mb3dlciBFeHRyZW1pdHkvcGh5c2lv
cGF0aG9sb2d5PC9rZXl3b3JkPjxrZXl3b3JkPlBhaW4gTWVhc3VyZW1lbnQ8L2tleXdvcmQ+PGtl
eXdvcmQ+UGVsdmljIEdpcmRsZSBQYWluL3BoeXNpb3BhdGhvbG9neS8qdGhlcmFweTwva2V5d29y
ZD48a2V5d29yZD5QZWx2aXMvcGh5c2lvcGF0aG9sb2d5PC9rZXl3b3JkPjxrZXl3b3JkPlByZWdu
YW5jeTwva2V5d29yZD48a2V5d29yZD5QcmVnbmFuY3kgQ29tcGxpY2F0aW9ucy9waHlzaW9wYXRo
b2xvZ3kvKnRoZXJhcHk8L2tleXdvcmQ+PGtleXdvcmQ+U2V2ZXJpdHkgb2YgSWxsbmVzcyBJbmRl
eDwva2V5d29yZD48a2V5d29yZD5TdXJ2ZXlzIGFuZCBRdWVzdGlvbm5haXJlczwva2V5d29yZD48
a2V5d29yZD5UcmVhdG1lbnQgT3V0Y29tZTwva2V5d29yZD48L2tleXdvcmRzPjxkYXRlcz48eWVh
cj4yMDE3PC95ZWFyPjxwdWItZGF0ZXM+PGRhdGU+TWFyIDY8L2RhdGU+PC9wdWItZGF0ZXM+PC9k
YXRlcz48aXNibj4xNjUxLTIwODEgKEVsZWN0cm9uaWMpJiN4RDsxNjUwLTE5NzcgKExpbmtpbmcp
PC9pc2JuPjxhY2Nlc3Npb24tbnVtPjI4MjMzMDEyPC9hY2Nlc3Npb24tbnVtPjx1cmxzPjxyZWxh
dGVkLXVybHM+PHVybD5odHRwczovL3d3dy5uY2JpLm5sbS5uaWguZ292L3B1Ym1lZC8yODIzMzAx
MjwvdXJsPjwvcmVsYXRlZC11cmxzPjwvdXJscz48ZWxlY3Ryb25pYy1yZXNvdXJjZS1udW0+MTAu
MjM0MC8xNjUwMTk3Ny0yMTk2PC9lbGVjdHJvbmljLXJlc291cmNlLW51bT48L3JlY29yZD48L0Np
dGU+PC9FbmROb3RlPgB=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284</w:t>
      </w:r>
      <w:r w:rsidR="00283324">
        <w:fldChar w:fldCharType="end"/>
      </w:r>
      <w:r w:rsidR="00C424DE">
        <w:t xml:space="preserve"> found that exercise during pregnancy had a beneficial effect on the severity of lumbopelvic pain.</w:t>
      </w:r>
    </w:p>
    <w:p w14:paraId="648C9602" w14:textId="4E672A44" w:rsidR="002F63E7" w:rsidRPr="00F66E4E" w:rsidRDefault="002F63E7" w:rsidP="00F66E4E">
      <w:r>
        <w:t>A cohort study (</w:t>
      </w:r>
      <w:r w:rsidRPr="002F63E7">
        <w:rPr>
          <w:sz w:val="16"/>
          <w:szCs w:val="16"/>
        </w:rPr>
        <w:t>n=3,482</w:t>
      </w:r>
      <w:r>
        <w:t>)</w:t>
      </w:r>
      <w:r w:rsidR="00283324">
        <w:fldChar w:fldCharType="begin">
          <w:fldData xml:space="preserve">PEVuZE5vdGU+PENpdGU+PEF1dGhvcj5HamVzdGxhbmQ8L0F1dGhvcj48WWVhcj4yMDEzPC9ZZWFy
PjxSZWNOdW0+MTI1NDwvUmVjTnVtPjxEaXNwbGF5VGV4dD48c3R5bGUgZmFjZT0ic3VwZXJzY3Jp
cHQiIGZvbnQ9IlRyZWJ1Y2hldCBNUyIgc2l6ZT0iOSI+Mjg1PC9zdHlsZT48L0Rpc3BsYXlUZXh0
PjxyZWNvcmQ+PHJlYy1udW1iZXI+MTI1NDwvcmVjLW51bWJlcj48Zm9yZWlnbi1rZXlzPjxrZXkg
YXBwPSJFTiIgZGItaWQ9ImV4dmFzcmZ4MmR0cmFvZXNhc3hwMnN6c3hhMmRmNTAyNTkyeCIgdGlt
ZXN0YW1wPSIxNTYyODkxMjk4Ij4xMjU0PC9rZXk+PGtleSBhcHA9IkVOV2ViIiBkYi1pZD0iIj4w
PC9rZXk+PC9mb3JlaWduLWtleXM+PHJlZi10eXBlIG5hbWU9IkpvdXJuYWwgQXJ0aWNsZSI+MTc8
L3JlZi10eXBlPjxjb250cmlidXRvcnM+PGF1dGhvcnM+PGF1dGhvcj5HamVzdGxhbmQsIEsuPC9h
dXRob3I+PGF1dGhvcj5CbywgSy48L2F1dGhvcj48YXV0aG9yPk93ZSwgSy4gTS48L2F1dGhvcj48
YXV0aG9yPkViZXJoYXJkLUdyYW4sIE0uPC9hdXRob3I+PC9hdXRob3JzPjwvY29udHJpYnV0b3Jz
PjxhdXRoLWFkZHJlc3M+RGVwYXJ0bWVudCBvZiBPYnN0ZXRyaWNzIGFuZCBHeW5hZWNvbG9neSwg
QWtlcnNodXMgVW5pdmVyc2l0eSBIb3NwaXRhbCwgTG9yZW5za29nLCBOb3J3YXkuIGtyaXN0aW5w
cmVzdGhvbGR0QGhvdG1haWwubm88L2F1dGgtYWRkcmVzcz48dGl0bGVzPjx0aXRsZT5EbyBwcmVn
bmFudCB3b21lbiBmb2xsb3cgZXhlcmNpc2UgZ3VpZGVsaW5lcz8gUHJldmFsZW5jZSBkYXRhIGFt
b25nIDM0ODIgd29tZW4sIGFuZCBwcmVkaWN0aW9uIG9mIGxvdy1iYWNrIHBhaW4sIHBlbHZpYyBn
aXJkbGUgcGFpbiBhbmQgZGVwcmVzc2lvbjwvdGl0bGU+PHNlY29uZGFyeS10aXRsZT5CciBKIFNw
b3J0cyBNZWQ8L3NlY29uZGFyeS10aXRsZT48L3RpdGxlcz48cGVyaW9kaWNhbD48ZnVsbC10aXRs
ZT5CciBKIFNwb3J0cyBNZWQ8L2Z1bGwtdGl0bGU+PC9wZXJpb2RpY2FsPjxwYWdlcz41MTUtMjA8
L3BhZ2VzPjx2b2x1bWU+NDc8L3ZvbHVtZT48bnVtYmVyPjg8L251bWJlcj48ZWRpdGlvbj4yMDEy
LzA4LzIxPC9lZGl0aW9uPjxrZXl3b3Jkcz48a2V5d29yZD5BZHVsdDwva2V5d29yZD48a2V5d29y
ZD5Cb2R5IE1hc3MgSW5kZXg8L2tleXdvcmQ+PGtleXdvcmQ+Q29ob3J0IFN0dWRpZXM8L2tleXdv
cmQ+PGtleXdvcmQ+RGVwcmVzc2lvbi8qcHJldmVudGlvbiAmYW1wOyBjb250cm9sPC9rZXl3b3Jk
PjxrZXl3b3JkPkVkdWNhdGlvbmFsIFN0YXR1czwva2V5d29yZD48a2V5d29yZD4qRXhlcmNpc2Ug
VGhlcmFweTwva2V5d29yZD48a2V5d29yZD5GZW1hbGU8L2tleXdvcmQ+PGtleXdvcmQ+SHVtYW5z
PC9rZXl3b3JkPjxrZXl3b3JkPkxvdyBCYWNrIFBhaW4vKnByZXZlbnRpb24gJmFtcDsgY29udHJv
bDwva2V5d29yZD48a2V5d29yZD5QYXJpdHk8L2tleXdvcmQ+PGtleXdvcmQ+UGF0aWVudCBDb21w
bGlhbmNlPC9rZXl3b3JkPjxrZXl3b3JkPlBlbHZpYyBHaXJkbGUgUGFpbi8qcHJldmVudGlvbiAm
YW1wOyBjb250cm9sPC9rZXl3b3JkPjxrZXl3b3JkPlByZWduYW5jeTwva2V5d29yZD48a2V5d29y
ZD5QcmVnbmFuY3kgQ29tcGxpY2F0aW9ucy8qcHJldmVudGlvbiAmYW1wOyBjb250cm9sPC9rZXl3
b3JkPjxrZXl3b3JkPlByZWduYW5jeSBUcmltZXN0ZXIsIFNlY29uZDwva2V5d29yZD48L2tleXdv
cmRzPjxkYXRlcz48eWVhcj4yMDEzPC95ZWFyPjxwdWItZGF0ZXM+PGRhdGU+TWF5PC9kYXRlPjwv
cHViLWRhdGVzPjwvZGF0ZXM+PGlzYm4+MTQ3My0wNDgwIChFbGVjdHJvbmljKSYjeEQ7MDMwNi0z
Njc0IChMaW5raW5nKTwvaXNibj48YWNjZXNzaW9uLW51bT4yMjkwNDI5NTwvYWNjZXNzaW9uLW51
bT48dXJscz48cmVsYXRlZC11cmxzPjx1cmw+aHR0cHM6Ly93d3cubmNiaS5ubG0ubmloLmdvdi9w
dWJtZWQvMjI5MDQyOTU8L3VybD48L3JlbGF0ZWQtdXJscz48L3VybHM+PGVsZWN0cm9uaWMtcmVz
b3VyY2UtbnVtPjEwLjExMzYvYmpzcG9ydHMtMjAxMi0wOTEzNDQ8L2VsZWN0cm9uaWMtcmVzb3Vy
Y2UtbnVtPjwvcmVjb3JkPjwvQ2l0ZT48L0VuZE5vdGU+AG==
</w:fldData>
        </w:fldChar>
      </w:r>
      <w:r w:rsidR="002747EA">
        <w:instrText xml:space="preserve"> ADDIN EN.CITE </w:instrText>
      </w:r>
      <w:r w:rsidR="002747EA">
        <w:fldChar w:fldCharType="begin">
          <w:fldData xml:space="preserve">PEVuZE5vdGU+PENpdGU+PEF1dGhvcj5HamVzdGxhbmQ8L0F1dGhvcj48WWVhcj4yMDEzPC9ZZWFy
PjxSZWNOdW0+MTI1NDwvUmVjTnVtPjxEaXNwbGF5VGV4dD48c3R5bGUgZmFjZT0ic3VwZXJzY3Jp
cHQiIGZvbnQ9IlRyZWJ1Y2hldCBNUyIgc2l6ZT0iOSI+Mjg1PC9zdHlsZT48L0Rpc3BsYXlUZXh0
PjxyZWNvcmQ+PHJlYy1udW1iZXI+MTI1NDwvcmVjLW51bWJlcj48Zm9yZWlnbi1rZXlzPjxrZXkg
YXBwPSJFTiIgZGItaWQ9ImV4dmFzcmZ4MmR0cmFvZXNhc3hwMnN6c3hhMmRmNTAyNTkyeCIgdGlt
ZXN0YW1wPSIxNTYyODkxMjk4Ij4xMjU0PC9rZXk+PGtleSBhcHA9IkVOV2ViIiBkYi1pZD0iIj4w
PC9rZXk+PC9mb3JlaWduLWtleXM+PHJlZi10eXBlIG5hbWU9IkpvdXJuYWwgQXJ0aWNsZSI+MTc8
L3JlZi10eXBlPjxjb250cmlidXRvcnM+PGF1dGhvcnM+PGF1dGhvcj5HamVzdGxhbmQsIEsuPC9h
dXRob3I+PGF1dGhvcj5CbywgSy48L2F1dGhvcj48YXV0aG9yPk93ZSwgSy4gTS48L2F1dGhvcj48
YXV0aG9yPkViZXJoYXJkLUdyYW4sIE0uPC9hdXRob3I+PC9hdXRob3JzPjwvY29udHJpYnV0b3Jz
PjxhdXRoLWFkZHJlc3M+RGVwYXJ0bWVudCBvZiBPYnN0ZXRyaWNzIGFuZCBHeW5hZWNvbG9neSwg
QWtlcnNodXMgVW5pdmVyc2l0eSBIb3NwaXRhbCwgTG9yZW5za29nLCBOb3J3YXkuIGtyaXN0aW5w
cmVzdGhvbGR0QGhvdG1haWwubm88L2F1dGgtYWRkcmVzcz48dGl0bGVzPjx0aXRsZT5EbyBwcmVn
bmFudCB3b21lbiBmb2xsb3cgZXhlcmNpc2UgZ3VpZGVsaW5lcz8gUHJldmFsZW5jZSBkYXRhIGFt
b25nIDM0ODIgd29tZW4sIGFuZCBwcmVkaWN0aW9uIG9mIGxvdy1iYWNrIHBhaW4sIHBlbHZpYyBn
aXJkbGUgcGFpbiBhbmQgZGVwcmVzc2lvbjwvdGl0bGU+PHNlY29uZGFyeS10aXRsZT5CciBKIFNw
b3J0cyBNZWQ8L3NlY29uZGFyeS10aXRsZT48L3RpdGxlcz48cGVyaW9kaWNhbD48ZnVsbC10aXRs
ZT5CciBKIFNwb3J0cyBNZWQ8L2Z1bGwtdGl0bGU+PC9wZXJpb2RpY2FsPjxwYWdlcz41MTUtMjA8
L3BhZ2VzPjx2b2x1bWU+NDc8L3ZvbHVtZT48bnVtYmVyPjg8L251bWJlcj48ZWRpdGlvbj4yMDEy
LzA4LzIxPC9lZGl0aW9uPjxrZXl3b3Jkcz48a2V5d29yZD5BZHVsdDwva2V5d29yZD48a2V5d29y
ZD5Cb2R5IE1hc3MgSW5kZXg8L2tleXdvcmQ+PGtleXdvcmQ+Q29ob3J0IFN0dWRpZXM8L2tleXdv
cmQ+PGtleXdvcmQ+RGVwcmVzc2lvbi8qcHJldmVudGlvbiAmYW1wOyBjb250cm9sPC9rZXl3b3Jk
PjxrZXl3b3JkPkVkdWNhdGlvbmFsIFN0YXR1czwva2V5d29yZD48a2V5d29yZD4qRXhlcmNpc2Ug
VGhlcmFweTwva2V5d29yZD48a2V5d29yZD5GZW1hbGU8L2tleXdvcmQ+PGtleXdvcmQ+SHVtYW5z
PC9rZXl3b3JkPjxrZXl3b3JkPkxvdyBCYWNrIFBhaW4vKnByZXZlbnRpb24gJmFtcDsgY29udHJv
bDwva2V5d29yZD48a2V5d29yZD5QYXJpdHk8L2tleXdvcmQ+PGtleXdvcmQ+UGF0aWVudCBDb21w
bGlhbmNlPC9rZXl3b3JkPjxrZXl3b3JkPlBlbHZpYyBHaXJkbGUgUGFpbi8qcHJldmVudGlvbiAm
YW1wOyBjb250cm9sPC9rZXl3b3JkPjxrZXl3b3JkPlByZWduYW5jeTwva2V5d29yZD48a2V5d29y
ZD5QcmVnbmFuY3kgQ29tcGxpY2F0aW9ucy8qcHJldmVudGlvbiAmYW1wOyBjb250cm9sPC9rZXl3
b3JkPjxrZXl3b3JkPlByZWduYW5jeSBUcmltZXN0ZXIsIFNlY29uZDwva2V5d29yZD48L2tleXdv
cmRzPjxkYXRlcz48eWVhcj4yMDEzPC95ZWFyPjxwdWItZGF0ZXM+PGRhdGU+TWF5PC9kYXRlPjwv
cHViLWRhdGVzPjwvZGF0ZXM+PGlzYm4+MTQ3My0wNDgwIChFbGVjdHJvbmljKSYjeEQ7MDMwNi0z
Njc0IChMaW5raW5nKTwvaXNibj48YWNjZXNzaW9uLW51bT4yMjkwNDI5NTwvYWNjZXNzaW9uLW51
bT48dXJscz48cmVsYXRlZC11cmxzPjx1cmw+aHR0cHM6Ly93d3cubmNiaS5ubG0ubmloLmdvdi9w
dWJtZWQvMjI5MDQyOTU8L3VybD48L3JlbGF0ZWQtdXJscz48L3VybHM+PGVsZWN0cm9uaWMtcmVz
b3VyY2UtbnVtPjEwLjExMzYvYmpzcG9ydHMtMjAxMi0wOTEzNDQ8L2VsZWN0cm9uaWMtcmVzb3Vy
Y2UtbnVtPjwvcmVjb3JkPjwvQ2l0ZT48L0VuZE5vdGU+AG==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285</w:t>
      </w:r>
      <w:r w:rsidR="00283324">
        <w:fldChar w:fldCharType="end"/>
      </w:r>
      <w:r>
        <w:t xml:space="preserve"> found that women who exercised one or two times a week had a lower risk of low back pain (</w:t>
      </w:r>
      <w:r w:rsidRPr="002F63E7">
        <w:rPr>
          <w:sz w:val="16"/>
          <w:szCs w:val="16"/>
        </w:rPr>
        <w:t>aOR 0.80, 95% CI 0.66 to 0.97</w:t>
      </w:r>
      <w:r>
        <w:t>) but not pelvic girdle pain (</w:t>
      </w:r>
      <w:r w:rsidRPr="002F63E7">
        <w:rPr>
          <w:sz w:val="16"/>
          <w:szCs w:val="16"/>
        </w:rPr>
        <w:t>aOR 0.88; 95%CI 0.72 to 1.07</w:t>
      </w:r>
      <w:r>
        <w:t>), while women who exercised three or more times a week had a lower risk of pelvic girdle pain (</w:t>
      </w:r>
      <w:r w:rsidRPr="002F63E7">
        <w:rPr>
          <w:sz w:val="16"/>
          <w:szCs w:val="16"/>
        </w:rPr>
        <w:t>aOR: 0.76, 95%CI 0.61 to 0.96</w:t>
      </w:r>
      <w:r>
        <w:t>) but not low back pain (</w:t>
      </w:r>
      <w:r w:rsidRPr="002F63E7">
        <w:rPr>
          <w:sz w:val="16"/>
          <w:szCs w:val="16"/>
        </w:rPr>
        <w:t>aOR 0.82; 95%CI 0.68 to 1.02</w:t>
      </w:r>
      <w:r>
        <w:t>).</w:t>
      </w:r>
    </w:p>
    <w:p w14:paraId="13C7D730" w14:textId="74970E26" w:rsidR="00921608" w:rsidRDefault="00921608" w:rsidP="00921608">
      <w:pPr>
        <w:pStyle w:val="Heading4"/>
      </w:pPr>
      <w:r>
        <w:t>Anaemia</w:t>
      </w:r>
    </w:p>
    <w:p w14:paraId="105625BD" w14:textId="728FCEED" w:rsidR="00E54497" w:rsidRPr="00E54497" w:rsidRDefault="00E54497" w:rsidP="00E54497">
      <w:r>
        <w:t>A small RCT</w:t>
      </w:r>
      <w:r w:rsidR="00352698">
        <w:t xml:space="preserve"> (</w:t>
      </w:r>
      <w:r w:rsidR="00352698" w:rsidRPr="005B38BC">
        <w:rPr>
          <w:sz w:val="16"/>
          <w:szCs w:val="16"/>
        </w:rPr>
        <w:t>n=142</w:t>
      </w:r>
      <w:r w:rsidR="00352698">
        <w:t>)</w:t>
      </w:r>
      <w:r w:rsidR="00E51743">
        <w:fldChar w:fldCharType="begin"/>
      </w:r>
      <w:r w:rsidR="002747EA">
        <w:instrText xml:space="preserve"> ADDIN EN.CITE &lt;EndNote&gt;&lt;Cite&gt;&lt;Author&gt;Barakat&lt;/Author&gt;&lt;Year&gt;2009&lt;/Year&gt;&lt;RecNum&gt;835&lt;/RecNum&gt;&lt;DisplayText&gt;&lt;style face="superscript" font="Trebuchet MS" size="9"&gt;286&lt;/style&gt;&lt;/DisplayText&gt;&lt;record&gt;&lt;rec-number&gt;835&lt;/rec-number&gt;&lt;foreign-keys&gt;&lt;key app="EN" db-id="exvasrfx2dtraoesasxp2szsxa2df502592x" timestamp="1541540561"&gt;835&lt;/key&gt;&lt;key app="ENWeb" db-id=""&gt;0&lt;/key&gt;&lt;/foreign-keys&gt;&lt;ref-type name="Journal Article"&gt;17&lt;/ref-type&gt;&lt;contributors&gt;&lt;authors&gt;&lt;author&gt;Barakat, R.&lt;/author&gt;&lt;author&gt;Ruiz, J. R.&lt;/author&gt;&lt;author&gt;Lucia, A.&lt;/author&gt;&lt;/authors&gt;&lt;/contributors&gt;&lt;auth-address&gt;Universidad Politecnica de Madrid, Spain.&lt;/auth-address&gt;&lt;titles&gt;&lt;title&gt;Exercise during pregnancy and risk of maternal anaemia: a randomised controlled trial&lt;/title&gt;&lt;secondary-title&gt;Br J Sports Med&lt;/secondary-title&gt;&lt;/titles&gt;&lt;periodical&gt;&lt;full-title&gt;Br J Sports Med&lt;/full-title&gt;&lt;/periodical&gt;&lt;pages&gt;954-6&lt;/pages&gt;&lt;volume&gt;43&lt;/volume&gt;&lt;number&gt;12&lt;/number&gt;&lt;edition&gt;2009/01/14&lt;/edition&gt;&lt;keywords&gt;&lt;keyword&gt;Adult&lt;/keyword&gt;&lt;keyword&gt;Anemia/*etiology&lt;/keyword&gt;&lt;keyword&gt;Erythrocyte Indices/physiology&lt;/keyword&gt;&lt;keyword&gt;Exercise/*physiology&lt;/keyword&gt;&lt;keyword&gt;Female&lt;/keyword&gt;&lt;keyword&gt;Hemoglobins/metabolism&lt;/keyword&gt;&lt;keyword&gt;Humans&lt;/keyword&gt;&lt;keyword&gt;Pregnancy&lt;/keyword&gt;&lt;keyword&gt;Pregnancy Complications, Hematologic/*etiology&lt;/keyword&gt;&lt;keyword&gt;Pregnancy Trimester, Second&lt;/keyword&gt;&lt;keyword&gt;Pregnancy Trimester, Third&lt;/keyword&gt;&lt;keyword&gt;Prenatal Care/methods&lt;/keyword&gt;&lt;keyword&gt;Risk Factors&lt;/keyword&gt;&lt;keyword&gt;*Sedentary Lifestyle&lt;/keyword&gt;&lt;/keywords&gt;&lt;dates&gt;&lt;year&gt;2009&lt;/year&gt;&lt;pub-dates&gt;&lt;date&gt;Dec&lt;/date&gt;&lt;/pub-dates&gt;&lt;/dates&gt;&lt;isbn&gt;1473-0480 (Electronic)&amp;#xD;0306-3674 (Linking)&lt;/isbn&gt;&lt;accession-num&gt;19139033&lt;/accession-num&gt;&lt;urls&gt;&lt;related-urls&gt;&lt;url&gt;https://www.ncbi.nlm.nih.gov/pubmed/19139033&lt;/url&gt;&lt;/related-urls&gt;&lt;/urls&gt;&lt;electronic-resource-num&gt;10.1136/bjsm.2008.055764&lt;/electronic-resource-num&gt;&lt;/record&gt;&lt;/Cite&gt;&lt;/EndNote&gt;</w:instrText>
      </w:r>
      <w:r w:rsidR="00E51743">
        <w:fldChar w:fldCharType="separate"/>
      </w:r>
      <w:r w:rsidR="002747EA" w:rsidRPr="002747EA">
        <w:rPr>
          <w:noProof/>
          <w:vertAlign w:val="superscript"/>
        </w:rPr>
        <w:t>286</w:t>
      </w:r>
      <w:r w:rsidR="00E51743">
        <w:fldChar w:fldCharType="end"/>
      </w:r>
      <w:r>
        <w:t xml:space="preserve"> found higher third trimester iron levels among women who participated in an exercise program in pregnancy (</w:t>
      </w:r>
      <w:r w:rsidRPr="002F6002">
        <w:rPr>
          <w:sz w:val="16"/>
          <w:szCs w:val="16"/>
        </w:rPr>
        <w:t>p=0.007</w:t>
      </w:r>
      <w:r>
        <w:t>). There were no clear differences in second trimester iron levels or in haemoglobin concentration in either trimester.</w:t>
      </w:r>
    </w:p>
    <w:p w14:paraId="3EFC58F2" w14:textId="2A427AF7" w:rsidR="008E1439" w:rsidRDefault="008E1439" w:rsidP="008E1439">
      <w:pPr>
        <w:pStyle w:val="Heading4"/>
      </w:pPr>
      <w:r>
        <w:t xml:space="preserve">Sleep </w:t>
      </w:r>
      <w:r w:rsidR="003B42EF">
        <w:t>quality</w:t>
      </w:r>
    </w:p>
    <w:p w14:paraId="3559AE20" w14:textId="7307836D" w:rsidR="0059138D" w:rsidRDefault="0059138D" w:rsidP="00A37586">
      <w:r>
        <w:t>A systematic review (</w:t>
      </w:r>
      <w:r w:rsidRPr="00BD61CC">
        <w:rPr>
          <w:sz w:val="16"/>
          <w:szCs w:val="16"/>
        </w:rPr>
        <w:t>7 RCTs</w:t>
      </w:r>
      <w:r>
        <w:t>)</w:t>
      </w:r>
      <w:r w:rsidR="00D07346">
        <w:fldChar w:fldCharType="begin">
          <w:fldData xml:space="preserve">PEVuZE5vdGU+PENpdGU+PEF1dGhvcj5ZYW5nPC9BdXRob3I+PFllYXI+MjAyMDwvWWVhcj48UmVj
TnVtPjE5NjY8L1JlY051bT48RGlzcGxheVRleHQ+PHN0eWxlIGZhY2U9InN1cGVyc2NyaXB0IiBm
b250PSJUcmVidWNoZXQgTVMiIHNpemU9IjkiPjI4Nzwvc3R5bGU+PC9EaXNwbGF5VGV4dD48cmVj
b3JkPjxyZWMtbnVtYmVyPjE5NjY8L3JlYy1udW1iZXI+PGZvcmVpZ24ta2V5cz48a2V5IGFwcD0i
RU4iIGRiLWlkPSJleHZhc3JmeDJkdHJhb2VzYXN4cDJzenN4YTJkZjUwMjU5MngiIHRpbWVzdGFt
cD0iMTU4ODc0MzkyOCI+MTk2Njwva2V5PjxrZXkgYXBwPSJFTldlYiIgZGItaWQ9IiI+MDwva2V5
PjwvZm9yZWlnbi1rZXlzPjxyZWYtdHlwZSBuYW1lPSJKb3VybmFsIEFydGljbGUiPjE3PC9yZWYt
dHlwZT48Y29udHJpYnV0b3JzPjxhdXRob3JzPjxhdXRob3I+WWFuZywgUy4gWS48L2F1dGhvcj48
YXV0aG9yPkxhbiwgUy4gSi48L2F1dGhvcj48YXV0aG9yPlllbiwgWS4gWS48L2F1dGhvcj48YXV0
aG9yPkhzaWVoLCBZLiBQLjwvYXV0aG9yPjxhdXRob3I+S3VuZywgUC4gVC48L2F1dGhvcj48YXV0
aG9yPkxhbiwgUy4gSC48L2F1dGhvcj48L2F1dGhvcnM+PC9jb250cmlidXRvcnM+PGF1dGgtYWRk
cmVzcz5EZXBhcnRtZW50IG9mIEhlYWx0aGNhcmUgQWRtaW5pc3RyYXRpb24sIEFzaWEgVW5pdmVy
c2l0eSwgVGFpY2h1bmcsIFRhaXdhbi4mI3hEO0RlcGFydG1lbnQgb2YgSGVhbHRoY2FyZSBBZG1p
bmlzdHJhdGlvbiwgQXNpYSBVbml2ZXJzaXR5LCBUYWljaHVuZywgVGFpd2FuOyBEZXBhcnRtZW50
IG9mIE1lZGljYWwgUmVzZWFyY2gsIENoaW5hIE1lZGljYWwgVW5pdmVyc2l0eSBIb3NwaXRhbCwg
VGFpY2h1bmcsIFRhaXdhbi4mI3hEO0RlcGFydG1lbnQgb2YgT3JhbCBIeWdpZW5lLCBLYW9oc2l1
bmcgTWVkaWNhbCBVbml2ZXJzaXR5LCBLYW9oc2l1bmcsIFRhaXdhbi4mI3hEO0RlcGFydG1lbnQg
b2YgTG9uZyBUZXJtIENhcmUsIE5hdGlvbmFsIFF1ZW1veSBVbml2ZXJzaXR5LCBKaW5uaW5nLCBU
YWl3YW4uJiN4RDtTY2hvb2wgb2YgUGhhcm1hY2V1dGljYWwgU2NpZW5jZXMgYW5kIE1lZGljYWwg
VGVjaG5vbG9neSwgUHV0aWFuIFVuaXZlcnNpdHksIFB1dGlhbiwgQ2hpbmEuIEVsZWN0cm9uaWMg
YWRkcmVzczogc2hhd25sYW4wNzEzQGdtYWlsLmNvbS48L2F1dGgtYWRkcmVzcz48dGl0bGVzPjx0
aXRsZT5FZmZlY3RzIG9mIGV4ZXJjaXNlIG9uIHNsZWVwIHF1YWxpdHkgaW4gcHJlZ25hbnQgd29t
ZW46IEEgc3lzdGVtYXRpYyByZXZpZXcgYW5kIG1ldGEtYW5hbHlzaXMgb2YgcmFuZG9taXplZCBj
b250cm9sbGVkIHRyaWFsczwvdGl0bGU+PHNlY29uZGFyeS10aXRsZT5Bc2lhbiBOdXJzIFJlcyAo
S29yZWFuIFNvYyBOdXJzIFNjaSk8L3NlY29uZGFyeS10aXRsZT48L3RpdGxlcz48cGVyaW9kaWNh
bD48ZnVsbC10aXRsZT5Bc2lhbiBOdXJzIFJlcyAoS29yZWFuIFNvYyBOdXJzIFNjaSk8L2Z1bGwt
dGl0bGU+PC9wZXJpb2RpY2FsPjxwYWdlcz4xLTEwPC9wYWdlcz48dm9sdW1lPjE0PC92b2x1bWU+
PG51bWJlcj4xPC9udW1iZXI+PGVkaXRpb24+MjAyMC8wMi8wMjwvZWRpdGlvbj48a2V5d29yZHM+
PGtleXdvcmQ+ZXhlcmNpc2U8L2tleXdvcmQ+PGtleXdvcmQ+bWV0YS1hbmFseXNpczwva2V5d29y
ZD48a2V5d29yZD5wcmVnbmFudCB3b21lbjwva2V5d29yZD48a2V5d29yZD5zbGVlcDwva2V5d29y
ZD48a2V5d29yZD5zbGVlcCBpbml0aWF0aW9uIGFuZCBtYWludGVuYW5jZSBkaXNvcmRlcnM8L2tl
eXdvcmQ+PC9rZXl3b3Jkcz48ZGF0ZXM+PHllYXI+MjAyMDwveWVhcj48cHViLWRhdGVzPjxkYXRl
PkZlYjwvZGF0ZT48L3B1Yi1kYXRlcz48L2RhdGVzPjxpc2JuPjIwOTMtNzQ4MiAoRWxlY3Ryb25p
YykmI3hEOzE5NzYtMTMxNyAoTGlua2luZyk8L2lzYm4+PGFjY2Vzc2lvbi1udW0+MzIwMDY3MTk8
L2FjY2Vzc2lvbi1udW0+PHVybHM+PHJlbGF0ZWQtdXJscz48dXJsPmh0dHBzOi8vd3d3Lm5jYmku
bmxtLm5paC5nb3YvcHVibWVkLzMyMDA2NzE5PC91cmw+PC9yZWxhdGVkLXVybHM+PC91cmxzPjxl
bGVjdHJvbmljLXJlc291cmNlLW51bT4xMC4xMDE2L2ouYW5yLjIwMjAuMDEuMDAzPC9lbGVjdHJv
bmljLXJlc291cmNlLW51bT48L3JlY29yZD48L0NpdGU+PC9FbmROb3RlPn==
</w:fldData>
        </w:fldChar>
      </w:r>
      <w:r w:rsidR="002747EA">
        <w:instrText xml:space="preserve"> ADDIN EN.CITE </w:instrText>
      </w:r>
      <w:r w:rsidR="002747EA">
        <w:fldChar w:fldCharType="begin">
          <w:fldData xml:space="preserve">PEVuZE5vdGU+PENpdGU+PEF1dGhvcj5ZYW5nPC9BdXRob3I+PFllYXI+MjAyMDwvWWVhcj48UmVj
TnVtPjE5NjY8L1JlY051bT48RGlzcGxheVRleHQ+PHN0eWxlIGZhY2U9InN1cGVyc2NyaXB0IiBm
b250PSJUcmVidWNoZXQgTVMiIHNpemU9IjkiPjI4Nzwvc3R5bGU+PC9EaXNwbGF5VGV4dD48cmVj
b3JkPjxyZWMtbnVtYmVyPjE5NjY8L3JlYy1udW1iZXI+PGZvcmVpZ24ta2V5cz48a2V5IGFwcD0i
RU4iIGRiLWlkPSJleHZhc3JmeDJkdHJhb2VzYXN4cDJzenN4YTJkZjUwMjU5MngiIHRpbWVzdGFt
cD0iMTU4ODc0MzkyOCI+MTk2Njwva2V5PjxrZXkgYXBwPSJFTldlYiIgZGItaWQ9IiI+MDwva2V5
PjwvZm9yZWlnbi1rZXlzPjxyZWYtdHlwZSBuYW1lPSJKb3VybmFsIEFydGljbGUiPjE3PC9yZWYt
dHlwZT48Y29udHJpYnV0b3JzPjxhdXRob3JzPjxhdXRob3I+WWFuZywgUy4gWS48L2F1dGhvcj48
YXV0aG9yPkxhbiwgUy4gSi48L2F1dGhvcj48YXV0aG9yPlllbiwgWS4gWS48L2F1dGhvcj48YXV0
aG9yPkhzaWVoLCBZLiBQLjwvYXV0aG9yPjxhdXRob3I+S3VuZywgUC4gVC48L2F1dGhvcj48YXV0
aG9yPkxhbiwgUy4gSC48L2F1dGhvcj48L2F1dGhvcnM+PC9jb250cmlidXRvcnM+PGF1dGgtYWRk
cmVzcz5EZXBhcnRtZW50IG9mIEhlYWx0aGNhcmUgQWRtaW5pc3RyYXRpb24sIEFzaWEgVW5pdmVy
c2l0eSwgVGFpY2h1bmcsIFRhaXdhbi4mI3hEO0RlcGFydG1lbnQgb2YgSGVhbHRoY2FyZSBBZG1p
bmlzdHJhdGlvbiwgQXNpYSBVbml2ZXJzaXR5LCBUYWljaHVuZywgVGFpd2FuOyBEZXBhcnRtZW50
IG9mIE1lZGljYWwgUmVzZWFyY2gsIENoaW5hIE1lZGljYWwgVW5pdmVyc2l0eSBIb3NwaXRhbCwg
VGFpY2h1bmcsIFRhaXdhbi4mI3hEO0RlcGFydG1lbnQgb2YgT3JhbCBIeWdpZW5lLCBLYW9oc2l1
bmcgTWVkaWNhbCBVbml2ZXJzaXR5LCBLYW9oc2l1bmcsIFRhaXdhbi4mI3hEO0RlcGFydG1lbnQg
b2YgTG9uZyBUZXJtIENhcmUsIE5hdGlvbmFsIFF1ZW1veSBVbml2ZXJzaXR5LCBKaW5uaW5nLCBU
YWl3YW4uJiN4RDtTY2hvb2wgb2YgUGhhcm1hY2V1dGljYWwgU2NpZW5jZXMgYW5kIE1lZGljYWwg
VGVjaG5vbG9neSwgUHV0aWFuIFVuaXZlcnNpdHksIFB1dGlhbiwgQ2hpbmEuIEVsZWN0cm9uaWMg
YWRkcmVzczogc2hhd25sYW4wNzEzQGdtYWlsLmNvbS48L2F1dGgtYWRkcmVzcz48dGl0bGVzPjx0
aXRsZT5FZmZlY3RzIG9mIGV4ZXJjaXNlIG9uIHNsZWVwIHF1YWxpdHkgaW4gcHJlZ25hbnQgd29t
ZW46IEEgc3lzdGVtYXRpYyByZXZpZXcgYW5kIG1ldGEtYW5hbHlzaXMgb2YgcmFuZG9taXplZCBj
b250cm9sbGVkIHRyaWFsczwvdGl0bGU+PHNlY29uZGFyeS10aXRsZT5Bc2lhbiBOdXJzIFJlcyAo
S29yZWFuIFNvYyBOdXJzIFNjaSk8L3NlY29uZGFyeS10aXRsZT48L3RpdGxlcz48cGVyaW9kaWNh
bD48ZnVsbC10aXRsZT5Bc2lhbiBOdXJzIFJlcyAoS29yZWFuIFNvYyBOdXJzIFNjaSk8L2Z1bGwt
dGl0bGU+PC9wZXJpb2RpY2FsPjxwYWdlcz4xLTEwPC9wYWdlcz48dm9sdW1lPjE0PC92b2x1bWU+
PG51bWJlcj4xPC9udW1iZXI+PGVkaXRpb24+MjAyMC8wMi8wMjwvZWRpdGlvbj48a2V5d29yZHM+
PGtleXdvcmQ+ZXhlcmNpc2U8L2tleXdvcmQ+PGtleXdvcmQ+bWV0YS1hbmFseXNpczwva2V5d29y
ZD48a2V5d29yZD5wcmVnbmFudCB3b21lbjwva2V5d29yZD48a2V5d29yZD5zbGVlcDwva2V5d29y
ZD48a2V5d29yZD5zbGVlcCBpbml0aWF0aW9uIGFuZCBtYWludGVuYW5jZSBkaXNvcmRlcnM8L2tl
eXdvcmQ+PC9rZXl3b3Jkcz48ZGF0ZXM+PHllYXI+MjAyMDwveWVhcj48cHViLWRhdGVzPjxkYXRl
PkZlYjwvZGF0ZT48L3B1Yi1kYXRlcz48L2RhdGVzPjxpc2JuPjIwOTMtNzQ4MiAoRWxlY3Ryb25p
YykmI3hEOzE5NzYtMTMxNyAoTGlua2luZyk8L2lzYm4+PGFjY2Vzc2lvbi1udW0+MzIwMDY3MTk8
L2FjY2Vzc2lvbi1udW0+PHVybHM+PHJlbGF0ZWQtdXJscz48dXJsPmh0dHBzOi8vd3d3Lm5jYmku
bmxtLm5paC5nb3YvcHVibWVkLzMyMDA2NzE5PC91cmw+PC9yZWxhdGVkLXVybHM+PC91cmxzPjxl
bGVjdHJvbmljLXJlc291cmNlLW51bT4xMC4xMDE2L2ouYW5yLjIwMjAuMDEuMDAzPC9lbGVjdHJv
bmljLXJlc291cmNlLW51bT48L3JlY29yZD48L0NpdGU+PC9FbmROb3RlPn==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287</w:t>
      </w:r>
      <w:r w:rsidR="00D07346">
        <w:fldChar w:fldCharType="end"/>
      </w:r>
      <w:r w:rsidR="00A37586">
        <w:t xml:space="preserve"> found that, c</w:t>
      </w:r>
      <w:r w:rsidR="00A37586" w:rsidRPr="004B74C1">
        <w:t xml:space="preserve">ompared with </w:t>
      </w:r>
      <w:r w:rsidR="00A37586">
        <w:t>women who did not exercise</w:t>
      </w:r>
      <w:r w:rsidR="00A37586" w:rsidRPr="004B74C1">
        <w:t>, regularly exercising women had significantly enhanced sleep quality</w:t>
      </w:r>
      <w:r w:rsidR="00A37586">
        <w:t xml:space="preserve"> (</w:t>
      </w:r>
      <w:r w:rsidR="00A37586" w:rsidRPr="00BD61CC">
        <w:rPr>
          <w:sz w:val="16"/>
          <w:szCs w:val="16"/>
        </w:rPr>
        <w:t>OR 6.21, 95%CI 2.02 to 19.11; p=0.001; SMD -0.93 (95%CI -1.19 to -0.67; p&lt;0.001</w:t>
      </w:r>
      <w:r w:rsidR="00A37586" w:rsidRPr="004B74C1">
        <w:t xml:space="preserve">). However, exercising women showed no significant </w:t>
      </w:r>
      <w:r w:rsidR="00A37586">
        <w:t xml:space="preserve">improvement in </w:t>
      </w:r>
      <w:r w:rsidR="00A37586" w:rsidRPr="004B74C1">
        <w:t xml:space="preserve">insomnia </w:t>
      </w:r>
      <w:r w:rsidR="00A37586">
        <w:t>(</w:t>
      </w:r>
      <w:r w:rsidR="00A37586" w:rsidRPr="00BD61CC">
        <w:rPr>
          <w:sz w:val="16"/>
          <w:szCs w:val="16"/>
        </w:rPr>
        <w:t>SMD -2.85, 95% CI -7.67 to 1.98; p=0.250</w:t>
      </w:r>
      <w:r w:rsidR="00A37586">
        <w:t>)</w:t>
      </w:r>
      <w:r w:rsidR="00A37586" w:rsidRPr="004B74C1">
        <w:t xml:space="preserve"> relative to </w:t>
      </w:r>
      <w:r w:rsidR="00A37586">
        <w:t>women who did not exercise</w:t>
      </w:r>
      <w:r w:rsidR="00A37586" w:rsidRPr="004B74C1">
        <w:t>.</w:t>
      </w:r>
    </w:p>
    <w:p w14:paraId="1A753A5B" w14:textId="57421758" w:rsidR="00482255" w:rsidRPr="00482255" w:rsidRDefault="00482255" w:rsidP="00482255">
      <w:r>
        <w:t xml:space="preserve">Two RCTs investigated the association between exercise in pregnancy and sleep quality. </w:t>
      </w:r>
      <w:r w:rsidR="003B42EF">
        <w:t>One suggested that sleep quality was improved with moderate-intensity aquatic exercise</w:t>
      </w:r>
      <w:r w:rsidR="004E750A">
        <w:t xml:space="preserve"> (</w:t>
      </w:r>
      <w:r w:rsidR="004E750A" w:rsidRPr="00A912D4">
        <w:rPr>
          <w:sz w:val="16"/>
          <w:szCs w:val="16"/>
        </w:rPr>
        <w:t>n=134</w:t>
      </w:r>
      <w:r w:rsidR="004E750A">
        <w:t xml:space="preserve">) </w:t>
      </w:r>
      <w:r w:rsidR="00E51743">
        <w:fldChar w:fldCharType="begin">
          <w:fldData xml:space="preserve">PEVuZE5vdGU+PENpdGU+PEF1dGhvcj5Sb2RyaWd1ZXotQmxhbnF1ZTwvQXV0aG9yPjxZZWFyPjIw
MTg8L1llYXI+PFJlY051bT45MzM8L1JlY051bT48RGlzcGxheVRleHQ+PHN0eWxlIGZhY2U9InN1
cGVyc2NyaXB0IiBmb250PSJUcmVidWNoZXQgTVMiIHNpemU9IjkiPjI4ODwvc3R5bGU+PC9EaXNw
bGF5VGV4dD48cmVjb3JkPjxyZWMtbnVtYmVyPjkzMzwvcmVjLW51bWJlcj48Zm9yZWlnbi1rZXlz
PjxrZXkgYXBwPSJFTiIgZGItaWQ9ImV4dmFzcmZ4MmR0cmFvZXNhc3hwMnN6c3hhMmRmNTAyNTky
eCIgdGltZXN0YW1wPSIxNTQxNTQwOTYwIj45MzM8L2tleT48a2V5IGFwcD0iRU5XZWIiIGRiLWlk
PSIiPjA8L2tleT48L2ZvcmVpZ24ta2V5cz48cmVmLXR5cGUgbmFtZT0iSm91cm5hbCBBcnRpY2xl
Ij4xNzwvcmVmLXR5cGU+PGNvbnRyaWJ1dG9ycz48YXV0aG9ycz48YXV0aG9yPlJvZHJpZ3Vlei1C
bGFucXVlLCBSLjwvYXV0aG9yPjxhdXRob3I+U2FuY2hlei1HYXJjaWEsIEouIEMuPC9hdXRob3I+
PGF1dGhvcj5TYW5jaGV6LUxvcGV6LCBBLiBNLjwvYXV0aG9yPjxhdXRob3I+TXVyLVZpbGxhciwg
Ti48L2F1dGhvcj48YXV0aG9yPkFndWlsYXItQ29yZGVybywgTS4gSi48L2F1dGhvcj48L2F1dGhv
cnM+PC9jb250cmlidXRvcnM+PGF1dGgtYWRkcmVzcz5HcnVwbyBkZSBJbnZlc3RpZ2FjaW9uIENU
UyAzNjcsIFBsYW4gQW5kYWx1eiBkZSBJbnZlc3RpZ2FjaW9uLCBKdW50YSBkZSBBbmRhbHVjaWEs
IFNwYWluOyBEZXBhcnRhbWVudG8gZGUgRW5mZXJtZXJpYSwgRmFjdWx0YWQgZGUgQ2llbmNpYXMg
ZGUgbGEgU2FsdWQsIFVuaXZlcnNpZGFkIGRlIEdyYW5hZGEsIEdyYW5hZGEsIFNwYWluLiYjeEQ7
R3J1cG8gZGUgSW52ZXN0aWdhY2lvbiBDVFMgMzY3LCBQbGFuIEFuZGFsdXogZGUgSW52ZXN0aWdh
Y2lvbiwgSnVudGEgZGUgQW5kYWx1Y2lhLCBTcGFpbjsgVW5pdmVyc2lkYWQgZGUgQ2llbmNpYXMg
TWVkaWNhcyBkZSBDaWVuZnVlZ29zLCBDaWVuZnVlZ29zLCBDdWJhLiYjeEQ7R3J1cG8gZGUgSW52
ZXN0aWdhY2lvbiBDVFMgMzY3LCBQbGFuIEFuZGFsdXogZGUgSW52ZXN0aWdhY2lvbiwgSnVudGEg
ZGUgQW5kYWx1Y2lhLCBTcGFpbjsgRGVwYXJ0YW1lbnRvIGRlIEVuZmVybWVyaWEsIEZhY3VsdGFk
IGRlIENpZW5jaWFzIGRlIGxhIFNhbHVkLCBVbml2ZXJzaWRhZCBkZSBHcmFuYWRhLCBHcmFuYWRh
LCBTcGFpbjsgQ29tcGxlam8gSG9zcGl0YWxhcmlvIFVuaXZlcnNpdGFyaW8gZGUgR3JhbmFkYSwg
R3JhbmFkYSwgU3BhaW4uIEVsZWN0cm9uaWMgYWRkcmVzczogbWFyaWFqYWd1aWxhckB0ZWxlZm9u
aWNhLm5ldC48L2F1dGgtYWRkcmVzcz48dGl0bGVzPjx0aXRsZT5UaGUgaW5mbHVlbmNlIG9mIHBo
eXNpY2FsIGFjdGl2aXR5IGluIHdhdGVyIG9uIHNsZWVwIHF1YWxpdHkgaW4gcHJlZ25hbnQgd29t
ZW46IEEgcmFuZG9taXNlZCB0cmlhbDwvdGl0bGU+PHNlY29uZGFyeS10aXRsZT5Xb21lbiBCaXJ0
aDwvc2Vjb25kYXJ5LXRpdGxlPjwvdGl0bGVzPjxwZXJpb2RpY2FsPjxmdWxsLXRpdGxlPldvbWVu
IEJpcnRoPC9mdWxsLXRpdGxlPjwvcGVyaW9kaWNhbD48cGFnZXM+ZTUxLWU1ODwvcGFnZXM+PHZv
bHVtZT4zMTwvdm9sdW1lPjxudW1iZXI+MTwvbnVtYmVyPjxlZGl0aW9uPjIwMTcvMDcvMTI8L2Vk
aXRpb24+PGtleXdvcmRzPjxrZXl3b3JkPkFkdWx0PC9rZXl3b3JkPjxrZXl3b3JkPkJvZHkgTWFz
cyBJbmRleDwva2V5d29yZD48a2V5d29yZD5FeGVyY2lzZS8qcHN5Y2hvbG9neTwva2V5d29yZD48
a2V5d29yZD5FeGVyY2lzZSBUaGVyYXB5LyptZXRob2RzPC9rZXl3b3JkPjxrZXl3b3JkPkZlbWFs
ZTwva2V5d29yZD48a2V5d29yZD5IdW1hbnM8L2tleXdvcmQ+PGtleXdvcmQ+UHJlZ25hbmN5PC9r
ZXl3b3JkPjxrZXl3b3JkPlByZWduYW5jeSBDb21wbGljYXRpb25zLypwcmV2ZW50aW9uICZhbXA7
IGNvbnRyb2w8L2tleXdvcmQ+PGtleXdvcmQ+UHJlZ25hbnQgV29tZW4vKnBzeWNob2xvZ3k8L2tl
eXdvcmQ+PGtleXdvcmQ+UXVhbGl0eSBvZiBMaWZlLypwc3ljaG9sb2d5PC9rZXl3b3JkPjxrZXl3
b3JkPlNsZWVwIERlcHJpdmF0aW9uLypwcmV2ZW50aW9uICZhbXA7IGNvbnRyb2w8L2tleXdvcmQ+
PGtleXdvcmQ+WW91bmcgQWR1bHQ8L2tleXdvcmQ+PGtleXdvcmQ+Qm1pPC9rZXl3b3JkPjxrZXl3
b3JkPkV4ZXJjaXNlPC9rZXl3b3JkPjxrZXl3b3JkPlBoeXNpY2FsIGFjdGl2aXR5PC9rZXl3b3Jk
PjxrZXl3b3JkPlByZWduYW50IHdvbWVuPC9rZXl3b3JkPjxrZXl3b3JkPlNsZWVwPC9rZXl3b3Jk
Pjwva2V5d29yZHM+PGRhdGVzPjx5ZWFyPjIwMTg8L3llYXI+PHB1Yi1kYXRlcz48ZGF0ZT5GZWI8
L2RhdGU+PC9wdWItZGF0ZXM+PC9kYXRlcz48aXNibj4xODc4LTE3OTkgKEVsZWN0cm9uaWMpJiN4
RDsxODcxLTUxOTIgKExpbmtpbmcpPC9pc2JuPjxhY2Nlc3Npb24tbnVtPjI4NjkzOTY5PC9hY2Nl
c3Npb24tbnVtPjx1cmxzPjxyZWxhdGVkLXVybHM+PHVybD5odHRwczovL3d3dy5uY2JpLm5sbS5u
aWguZ292L3B1Ym1lZC8yODY5Mzk2OTwvdXJsPjwvcmVsYXRlZC11cmxzPjwvdXJscz48ZWxlY3Ry
b25pYy1yZXNvdXJjZS1udW0+MTAuMTAxNi9qLndvbWJpLjIwMTcuMDYuMDE4PC9lbGVjdHJvbmlj
LXJlc291cmNlLW51bT48L3JlY29yZD48L0NpdGU+PC9FbmROb3RlPn==
</w:fldData>
        </w:fldChar>
      </w:r>
      <w:r w:rsidR="002747EA">
        <w:instrText xml:space="preserve"> ADDIN EN.CITE </w:instrText>
      </w:r>
      <w:r w:rsidR="002747EA">
        <w:fldChar w:fldCharType="begin">
          <w:fldData xml:space="preserve">PEVuZE5vdGU+PENpdGU+PEF1dGhvcj5Sb2RyaWd1ZXotQmxhbnF1ZTwvQXV0aG9yPjxZZWFyPjIw
MTg8L1llYXI+PFJlY051bT45MzM8L1JlY051bT48RGlzcGxheVRleHQ+PHN0eWxlIGZhY2U9InN1
cGVyc2NyaXB0IiBmb250PSJUcmVidWNoZXQgTVMiIHNpemU9IjkiPjI4ODwvc3R5bGU+PC9EaXNw
bGF5VGV4dD48cmVjb3JkPjxyZWMtbnVtYmVyPjkzMzwvcmVjLW51bWJlcj48Zm9yZWlnbi1rZXlz
PjxrZXkgYXBwPSJFTiIgZGItaWQ9ImV4dmFzcmZ4MmR0cmFvZXNhc3hwMnN6c3hhMmRmNTAyNTky
eCIgdGltZXN0YW1wPSIxNTQxNTQwOTYwIj45MzM8L2tleT48a2V5IGFwcD0iRU5XZWIiIGRiLWlk
PSIiPjA8L2tleT48L2ZvcmVpZ24ta2V5cz48cmVmLXR5cGUgbmFtZT0iSm91cm5hbCBBcnRpY2xl
Ij4xNzwvcmVmLXR5cGU+PGNvbnRyaWJ1dG9ycz48YXV0aG9ycz48YXV0aG9yPlJvZHJpZ3Vlei1C
bGFucXVlLCBSLjwvYXV0aG9yPjxhdXRob3I+U2FuY2hlei1HYXJjaWEsIEouIEMuPC9hdXRob3I+
PGF1dGhvcj5TYW5jaGV6LUxvcGV6LCBBLiBNLjwvYXV0aG9yPjxhdXRob3I+TXVyLVZpbGxhciwg
Ti48L2F1dGhvcj48YXV0aG9yPkFndWlsYXItQ29yZGVybywgTS4gSi48L2F1dGhvcj48L2F1dGhv
cnM+PC9jb250cmlidXRvcnM+PGF1dGgtYWRkcmVzcz5HcnVwbyBkZSBJbnZlc3RpZ2FjaW9uIENU
UyAzNjcsIFBsYW4gQW5kYWx1eiBkZSBJbnZlc3RpZ2FjaW9uLCBKdW50YSBkZSBBbmRhbHVjaWEs
IFNwYWluOyBEZXBhcnRhbWVudG8gZGUgRW5mZXJtZXJpYSwgRmFjdWx0YWQgZGUgQ2llbmNpYXMg
ZGUgbGEgU2FsdWQsIFVuaXZlcnNpZGFkIGRlIEdyYW5hZGEsIEdyYW5hZGEsIFNwYWluLiYjeEQ7
R3J1cG8gZGUgSW52ZXN0aWdhY2lvbiBDVFMgMzY3LCBQbGFuIEFuZGFsdXogZGUgSW52ZXN0aWdh
Y2lvbiwgSnVudGEgZGUgQW5kYWx1Y2lhLCBTcGFpbjsgVW5pdmVyc2lkYWQgZGUgQ2llbmNpYXMg
TWVkaWNhcyBkZSBDaWVuZnVlZ29zLCBDaWVuZnVlZ29zLCBDdWJhLiYjeEQ7R3J1cG8gZGUgSW52
ZXN0aWdhY2lvbiBDVFMgMzY3LCBQbGFuIEFuZGFsdXogZGUgSW52ZXN0aWdhY2lvbiwgSnVudGEg
ZGUgQW5kYWx1Y2lhLCBTcGFpbjsgRGVwYXJ0YW1lbnRvIGRlIEVuZmVybWVyaWEsIEZhY3VsdGFk
IGRlIENpZW5jaWFzIGRlIGxhIFNhbHVkLCBVbml2ZXJzaWRhZCBkZSBHcmFuYWRhLCBHcmFuYWRh
LCBTcGFpbjsgQ29tcGxlam8gSG9zcGl0YWxhcmlvIFVuaXZlcnNpdGFyaW8gZGUgR3JhbmFkYSwg
R3JhbmFkYSwgU3BhaW4uIEVsZWN0cm9uaWMgYWRkcmVzczogbWFyaWFqYWd1aWxhckB0ZWxlZm9u
aWNhLm5ldC48L2F1dGgtYWRkcmVzcz48dGl0bGVzPjx0aXRsZT5UaGUgaW5mbHVlbmNlIG9mIHBo
eXNpY2FsIGFjdGl2aXR5IGluIHdhdGVyIG9uIHNsZWVwIHF1YWxpdHkgaW4gcHJlZ25hbnQgd29t
ZW46IEEgcmFuZG9taXNlZCB0cmlhbDwvdGl0bGU+PHNlY29uZGFyeS10aXRsZT5Xb21lbiBCaXJ0
aDwvc2Vjb25kYXJ5LXRpdGxlPjwvdGl0bGVzPjxwZXJpb2RpY2FsPjxmdWxsLXRpdGxlPldvbWVu
IEJpcnRoPC9mdWxsLXRpdGxlPjwvcGVyaW9kaWNhbD48cGFnZXM+ZTUxLWU1ODwvcGFnZXM+PHZv
bHVtZT4zMTwvdm9sdW1lPjxudW1iZXI+MTwvbnVtYmVyPjxlZGl0aW9uPjIwMTcvMDcvMTI8L2Vk
aXRpb24+PGtleXdvcmRzPjxrZXl3b3JkPkFkdWx0PC9rZXl3b3JkPjxrZXl3b3JkPkJvZHkgTWFz
cyBJbmRleDwva2V5d29yZD48a2V5d29yZD5FeGVyY2lzZS8qcHN5Y2hvbG9neTwva2V5d29yZD48
a2V5d29yZD5FeGVyY2lzZSBUaGVyYXB5LyptZXRob2RzPC9rZXl3b3JkPjxrZXl3b3JkPkZlbWFs
ZTwva2V5d29yZD48a2V5d29yZD5IdW1hbnM8L2tleXdvcmQ+PGtleXdvcmQ+UHJlZ25hbmN5PC9r
ZXl3b3JkPjxrZXl3b3JkPlByZWduYW5jeSBDb21wbGljYXRpb25zLypwcmV2ZW50aW9uICZhbXA7
IGNvbnRyb2w8L2tleXdvcmQ+PGtleXdvcmQ+UHJlZ25hbnQgV29tZW4vKnBzeWNob2xvZ3k8L2tl
eXdvcmQ+PGtleXdvcmQ+UXVhbGl0eSBvZiBMaWZlLypwc3ljaG9sb2d5PC9rZXl3b3JkPjxrZXl3
b3JkPlNsZWVwIERlcHJpdmF0aW9uLypwcmV2ZW50aW9uICZhbXA7IGNvbnRyb2w8L2tleXdvcmQ+
PGtleXdvcmQ+WW91bmcgQWR1bHQ8L2tleXdvcmQ+PGtleXdvcmQ+Qm1pPC9rZXl3b3JkPjxrZXl3
b3JkPkV4ZXJjaXNlPC9rZXl3b3JkPjxrZXl3b3JkPlBoeXNpY2FsIGFjdGl2aXR5PC9rZXl3b3Jk
PjxrZXl3b3JkPlByZWduYW50IHdvbWVuPC9rZXl3b3JkPjxrZXl3b3JkPlNsZWVwPC9rZXl3b3Jk
Pjwva2V5d29yZHM+PGRhdGVzPjx5ZWFyPjIwMTg8L3llYXI+PHB1Yi1kYXRlcz48ZGF0ZT5GZWI8
L2RhdGU+PC9wdWItZGF0ZXM+PC9kYXRlcz48aXNibj4xODc4LTE3OTkgKEVsZWN0cm9uaWMpJiN4
RDsxODcxLTUxOTIgKExpbmtpbmcpPC9pc2JuPjxhY2Nlc3Npb24tbnVtPjI4NjkzOTY5PC9hY2Nl
c3Npb24tbnVtPjx1cmxzPjxyZWxhdGVkLXVybHM+PHVybD5odHRwczovL3d3dy5uY2JpLm5sbS5u
aWguZ292L3B1Ym1lZC8yODY5Mzk2OTwvdXJsPjwvcmVsYXRlZC11cmxzPjwvdXJscz48ZWxlY3Ry
b25pYy1yZXNvdXJjZS1udW0+MTAuMTAxNi9qLndvbWJpLjIwMTcuMDYuMDE4PC9lbGVjdHJvbmlj
LXJlc291cmNlLW51bT48L3JlY29yZD48L0NpdGU+PC9FbmROb3RlPn==
</w:fldData>
        </w:fldChar>
      </w:r>
      <w:r w:rsidR="002747EA">
        <w:instrText xml:space="preserve"> ADDIN EN.CITE.DATA </w:instrText>
      </w:r>
      <w:r w:rsidR="002747EA">
        <w:fldChar w:fldCharType="end"/>
      </w:r>
      <w:r w:rsidR="00E51743">
        <w:fldChar w:fldCharType="separate"/>
      </w:r>
      <w:r w:rsidR="002747EA" w:rsidRPr="002747EA">
        <w:rPr>
          <w:noProof/>
          <w:vertAlign w:val="superscript"/>
        </w:rPr>
        <w:t>288</w:t>
      </w:r>
      <w:r w:rsidR="00E51743">
        <w:fldChar w:fldCharType="end"/>
      </w:r>
      <w:r w:rsidR="003B42EF">
        <w:t xml:space="preserve"> and the other</w:t>
      </w:r>
      <w:r w:rsidR="004E750A">
        <w:t xml:space="preserve"> (</w:t>
      </w:r>
      <w:r w:rsidR="004E750A" w:rsidRPr="00A912D4">
        <w:rPr>
          <w:sz w:val="16"/>
          <w:szCs w:val="16"/>
        </w:rPr>
        <w:t>n=132</w:t>
      </w:r>
      <w:r w:rsidR="004E750A">
        <w:t xml:space="preserve">) </w:t>
      </w:r>
      <w:r w:rsidR="003B42EF">
        <w:fldChar w:fldCharType="begin"/>
      </w:r>
      <w:r w:rsidR="002747EA">
        <w:instrText xml:space="preserve"> ADDIN EN.CITE &lt;EndNote&gt;&lt;Cite&gt;&lt;Author&gt;Kocsis&lt;/Author&gt;&lt;Year&gt;2017&lt;/Year&gt;&lt;RecNum&gt;1237&lt;/RecNum&gt;&lt;DisplayText&gt;&lt;style face="superscript" font="Trebuchet MS" size="9"&gt;289&lt;/style&gt;&lt;/DisplayText&gt;&lt;record&gt;&lt;rec-number&gt;1237&lt;/rec-number&gt;&lt;foreign-keys&gt;&lt;key app="EN" db-id="exvasrfx2dtraoesasxp2szsxa2df502592x" timestamp="1562639164"&gt;1237&lt;/key&gt;&lt;/foreign-keys&gt;&lt;ref-type name="Journal Article"&gt;17&lt;/ref-type&gt;&lt;contributors&gt;&lt;authors&gt;&lt;author&gt;Kocsis, Ildikó&lt;/author&gt;&lt;author&gt;Szilágyi, Tibor&lt;/author&gt;&lt;author&gt;Turos, János&lt;/author&gt;&lt;author&gt;Bakó, Aliz&lt;/author&gt;&lt;author&gt;Frigy, Attila&lt;/author&gt;&lt;/authors&gt;&lt;/contributors&gt;&lt;titles&gt;&lt;title&gt;Effect of a gymnastics program on sleep characteristics in pregnant women&lt;/title&gt;&lt;secondary-title&gt;Taiwanese Journal of Obstetrics and Gynecology&lt;/secondary-title&gt;&lt;/titles&gt;&lt;periodical&gt;&lt;full-title&gt;Taiwanese Journal of Obstetrics and Gynecology&lt;/full-title&gt;&lt;/periodical&gt;&lt;pages&gt;204-209&lt;/pages&gt;&lt;volume&gt;56&lt;/volume&gt;&lt;number&gt;2&lt;/number&gt;&lt;section&gt;204&lt;/section&gt;&lt;dates&gt;&lt;year&gt;2017&lt;/year&gt;&lt;/dates&gt;&lt;isbn&gt;10284559&lt;/isbn&gt;&lt;urls&gt;&lt;/urls&gt;&lt;electronic-resource-num&gt;10.1016/j.tjog.2017.02.001&lt;/electronic-resource-num&gt;&lt;/record&gt;&lt;/Cite&gt;&lt;/EndNote&gt;</w:instrText>
      </w:r>
      <w:r w:rsidR="003B42EF">
        <w:fldChar w:fldCharType="separate"/>
      </w:r>
      <w:r w:rsidR="002747EA" w:rsidRPr="002747EA">
        <w:rPr>
          <w:noProof/>
          <w:vertAlign w:val="superscript"/>
        </w:rPr>
        <w:t>289</w:t>
      </w:r>
      <w:r w:rsidR="003B42EF">
        <w:fldChar w:fldCharType="end"/>
      </w:r>
      <w:r w:rsidR="003B42EF">
        <w:t xml:space="preserve"> found </w:t>
      </w:r>
      <w:r w:rsidR="003B42EF" w:rsidRPr="002108B4">
        <w:t>a signi</w:t>
      </w:r>
      <w:r w:rsidR="003B42EF" w:rsidRPr="002108B4">
        <w:rPr>
          <w:rFonts w:ascii="Helvetica" w:hAnsi="Helvetica"/>
        </w:rPr>
        <w:t>fi</w:t>
      </w:r>
      <w:r w:rsidR="003B42EF" w:rsidRPr="002108B4">
        <w:t>cant attenuation of the</w:t>
      </w:r>
      <w:r w:rsidR="003B42EF">
        <w:t xml:space="preserve"> </w:t>
      </w:r>
      <w:r w:rsidR="003B42EF" w:rsidRPr="002108B4">
        <w:t>worsening of several sleep characteristics, such as restless sleep, snoring, diurnal tiredness, and excessive</w:t>
      </w:r>
      <w:r w:rsidR="003B42EF">
        <w:t xml:space="preserve"> </w:t>
      </w:r>
      <w:r w:rsidR="003B42EF" w:rsidRPr="002108B4">
        <w:t xml:space="preserve">daytime sleepiness. </w:t>
      </w:r>
      <w:r w:rsidR="003B42EF">
        <w:t>A cohort study</w:t>
      </w:r>
      <w:r w:rsidR="006C719A">
        <w:t xml:space="preserve"> (</w:t>
      </w:r>
      <w:r w:rsidR="006C719A" w:rsidRPr="00A912D4">
        <w:rPr>
          <w:sz w:val="16"/>
          <w:szCs w:val="16"/>
        </w:rPr>
        <w:t>n=138</w:t>
      </w:r>
      <w:r w:rsidR="006C719A">
        <w:t>)</w:t>
      </w:r>
      <w:r w:rsidR="004E750A">
        <w:t xml:space="preserve"> </w:t>
      </w:r>
      <w:r w:rsidR="006C719A">
        <w:fldChar w:fldCharType="begin"/>
      </w:r>
      <w:r w:rsidR="002747EA">
        <w:instrText xml:space="preserve"> ADDIN EN.CITE &lt;EndNote&gt;&lt;Cite&gt;&lt;Author&gt;Loprinzi&lt;/Author&gt;&lt;Year&gt;2012&lt;/Year&gt;&lt;RecNum&gt;809&lt;/RecNum&gt;&lt;DisplayText&gt;&lt;style face="superscript" font="Trebuchet MS" size="9"&gt;290&lt;/style&gt;&lt;/DisplayText&gt;&lt;record&gt;&lt;rec-number&gt;809&lt;/rec-number&gt;&lt;foreign-keys&gt;&lt;key app="EN" db-id="exvasrfx2dtraoesasxp2szsxa2df502592x" timestamp="1541540477"&gt;809&lt;/key&gt;&lt;key app="ENWeb" db-id=""&gt;0&lt;/key&gt;&lt;/foreign-keys&gt;&lt;ref-type name="Journal Article"&gt;17&lt;/ref-type&gt;&lt;contributors&gt;&lt;authors&gt;&lt;author&gt;Loprinzi, Paul D.&lt;/author&gt;&lt;author&gt;Loprinzi, Kristina L.&lt;/author&gt;&lt;author&gt;Cardinal, Bradley J.&lt;/author&gt;&lt;/authors&gt;&lt;/contributors&gt;&lt;titles&gt;&lt;title&gt;The relationship between physical activity and sleep among pregnant women&lt;/title&gt;&lt;secondary-title&gt;Mental Health and Physical Activity&lt;/secondary-title&gt;&lt;/titles&gt;&lt;periodical&gt;&lt;full-title&gt;Mental Health and Physical Activity&lt;/full-title&gt;&lt;/periodical&gt;&lt;pages&gt;22-27&lt;/pages&gt;&lt;volume&gt;5&lt;/volume&gt;&lt;number&gt;1&lt;/number&gt;&lt;section&gt;22&lt;/section&gt;&lt;dates&gt;&lt;year&gt;2012&lt;/year&gt;&lt;/dates&gt;&lt;isbn&gt;17552966&lt;/isbn&gt;&lt;urls&gt;&lt;/urls&gt;&lt;electronic-resource-num&gt;10.1016/j.mhpa.2011.12.002&lt;/electronic-resource-num&gt;&lt;/record&gt;&lt;/Cite&gt;&lt;/EndNote&gt;</w:instrText>
      </w:r>
      <w:r w:rsidR="006C719A">
        <w:fldChar w:fldCharType="separate"/>
      </w:r>
      <w:r w:rsidR="002747EA" w:rsidRPr="002747EA">
        <w:rPr>
          <w:noProof/>
          <w:vertAlign w:val="superscript"/>
        </w:rPr>
        <w:t>290</w:t>
      </w:r>
      <w:r w:rsidR="006C719A">
        <w:fldChar w:fldCharType="end"/>
      </w:r>
      <w:r w:rsidR="003B42EF">
        <w:t xml:space="preserve"> </w:t>
      </w:r>
      <w:r w:rsidR="00827A91">
        <w:t>suggested a weak association between physical activity and sleep in pregnant women</w:t>
      </w:r>
      <w:r w:rsidR="003B42EF" w:rsidRPr="00781D87">
        <w:t>.</w:t>
      </w:r>
    </w:p>
    <w:p w14:paraId="7EF050D4" w14:textId="46618BD0" w:rsidR="008E1439" w:rsidRDefault="008E1439" w:rsidP="00E226F8">
      <w:pPr>
        <w:pStyle w:val="Heading3"/>
      </w:pPr>
      <w:bookmarkStart w:id="119" w:name="_Toc40956514"/>
      <w:r>
        <w:t>Effect on labour</w:t>
      </w:r>
      <w:bookmarkEnd w:id="119"/>
    </w:p>
    <w:p w14:paraId="00112B3E" w14:textId="6459DCDC" w:rsidR="00CA0301" w:rsidRDefault="00CA0301" w:rsidP="008E1439">
      <w:pPr>
        <w:pStyle w:val="Heading4"/>
      </w:pPr>
      <w:r>
        <w:t>Duration of labour</w:t>
      </w:r>
    </w:p>
    <w:p w14:paraId="48627E65" w14:textId="2D4BA92E" w:rsidR="00E226F8" w:rsidRPr="00133978" w:rsidRDefault="001E2B3D" w:rsidP="002F6002">
      <w:r>
        <w:t>One systematic review</w:t>
      </w:r>
      <w:r>
        <w:fldChar w:fldCharType="begin"/>
      </w:r>
      <w:r w:rsidR="002747EA">
        <w:instrText xml:space="preserve"> ADDIN EN.CITE &lt;EndNote&gt;&lt;Cite&gt;&lt;Author&gt;Kramer&lt;/Author&gt;&lt;Year&gt;2006&lt;/Year&gt;&lt;RecNum&gt;633&lt;/RecNum&gt;&lt;DisplayText&gt;&lt;style face="superscript" font="Trebuchet MS" size="9"&gt;291&lt;/style&gt;&lt;/DisplayText&gt;&lt;record&gt;&lt;rec-number&gt;633&lt;/rec-number&gt;&lt;foreign-keys&gt;&lt;key app="EN" db-id="exvasrfx2dtraoesasxp2szsxa2df502592x" timestamp="1540425550"&gt;633&lt;/key&gt;&lt;key app="ENWeb" db-id=""&gt;0&lt;/key&gt;&lt;/foreign-keys&gt;&lt;ref-type name="Journal Article"&gt;17&lt;/ref-type&gt;&lt;contributors&gt;&lt;authors&gt;&lt;author&gt;Kramer, Michael S.&lt;/author&gt;&lt;author&gt;McDonald, Sheila W.&lt;/author&gt;&lt;/authors&gt;&lt;/contributors&gt;&lt;titles&gt;&lt;title&gt;Aerobic exercise for women during pregnancy&lt;/title&gt;&lt;secondary-title&gt;Cochrane Database of Systematic Reviews&lt;/secondary-title&gt;&lt;/titles&gt;&lt;periodical&gt;&lt;full-title&gt;Cochrane Database of Systematic Reviews&lt;/full-title&gt;&lt;/periodical&gt;&lt;dates&gt;&lt;year&gt;2006&lt;/year&gt;&lt;/dates&gt;&lt;isbn&gt;14651858&lt;/isbn&gt;&lt;urls&gt;&lt;/urls&gt;&lt;electronic-resource-num&gt;10.1002/14651858.CD000180.pub2&lt;/electronic-resource-num&gt;&lt;/record&gt;&lt;/Cite&gt;&lt;/EndNote&gt;</w:instrText>
      </w:r>
      <w:r>
        <w:fldChar w:fldCharType="separate"/>
      </w:r>
      <w:r w:rsidR="002747EA" w:rsidRPr="002747EA">
        <w:rPr>
          <w:noProof/>
          <w:vertAlign w:val="superscript"/>
        </w:rPr>
        <w:t>291</w:t>
      </w:r>
      <w:r>
        <w:fldChar w:fldCharType="end"/>
      </w:r>
      <w:r>
        <w:t xml:space="preserve"> and </w:t>
      </w:r>
      <w:r w:rsidR="00A37586">
        <w:t xml:space="preserve">eleven </w:t>
      </w:r>
      <w:r w:rsidR="00DA0D14">
        <w:t>RCTs</w:t>
      </w:r>
      <w:r>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Zm9udD0iVHJlYnVjaGV0IE1TIiBzaXplPSI5Ij4yOTItMzAyPC9zdHlsZT48L0Rpc3BsYXlUZXh0
PjxyZWNvcmQ+PHJlYy1udW1iZXI+Njc5PC9yZWMtbnVtYmVyPjxmb3JlaWduLWtleXM+PGtleSBh
cHA9IkVOIiBkYi1pZD0iZXh2YXNyZngyZHRyYW9lc2FzeHAyc3pzeGEyZGY1MDI1OTJ4IiB0aW1l
c3RhbXA9IjE1NDA1MjY4OTAiPjY3OTwva2V5PjwvZm9yZWlnbi1rZXlzPjxyZWYtdHlwZSBuYW1l
PSJKb3VybmFsIEFydGljbGUiPjE3PC9yZWYtdHlwZT48Y29udHJpYnV0b3JzPjxhdXRob3JzPjxh
dXRob3I+QmFjaXVrLCBFLiBQLjwvYXV0aG9yPjxhdXRob3I+UGVyZWlyYSwgUi4gSS48L2F1dGhv
cj48YXV0aG9yPkNlY2F0dGksIEouIEcuPC9hdXRob3I+PGF1dGhvcj5CcmFnYSwgQS4gRi48L2F1
dGhvcj48YXV0aG9yPkNhdmFsY2FudGUsIFMuIFIuPC9hdXRob3I+PC9hdXRob3JzPjwvY29udHJp
YnV0b3JzPjxhdXRoLWFkZHJlc3M+RGVwYXJ0bWVudCBvZiBPYnN0ZXRyaWNzIGFuZCBHeW5lY29s
b2d5LCBVbml2ZXJzaXR5IG9mIENhbXBpbmFzLCBTYW8gUGF1bG8sIEJyYXppbC4gZXJpY2F4YmFA
dGVycmEuY29tLmJyPC9hdXRoLWFkZHJlc3M+PHRpdGxlcz48dGl0bGU+V2F0ZXIgYWVyb2JpY3Mg
aW4gcHJlZ25hbmN5OiBDYXJkaW92YXNjdWxhciByZXNwb25zZSwgbGFib3IgYW5kIG5lb25hdGFs
IG91dGNvbWVzPC90aXRsZT48c2Vjb25kYXJ5LXRpdGxlPlJlcHJvZCBIZWFsdGg8L3NlY29uZGFy
eS10aXRsZT48L3RpdGxlcz48cGVyaW9kaWNhbD48ZnVsbC10aXRsZT5SZXByb2QgSGVhbHRoPC9m
dWxsLXRpdGxlPjwvcGVyaW9kaWNhbD48cGFnZXM+MTA8L3BhZ2VzPjx2b2x1bWU+NTwvdm9sdW1l
PjxlZGl0aW9uPjIwMDgvMTEvMjY8L2VkaXRpb24+PGRhdGVzPjx5ZWFyPjIwMDg8L3llYXI+PHB1
Yi1kYXRlcz48ZGF0ZT5Ob3YgMjE8L2RhdGU+PC9wdWItZGF0ZXM+PC9kYXRlcz48aXNibj4xNzQy
LTQ3NTUgKEVsZWN0cm9uaWMpJiN4RDsxNzQyLTQ3NTUgKExpbmtpbmcpPC9pc2JuPjxhY2Nlc3Np
b24tbnVtPjE5MDI1NTc5PC9hY2Nlc3Npb24tbnVtPjx1cmxzPjxyZWxhdGVkLXVybHM+PHVybD5o
dHRwczovL3d3dy5uY2JpLm5sbS5uaWguZ292L3B1Ym1lZC8xOTAyNTU3OTwvdXJsPjwvcmVsYXRl
ZC11cmxzPjwvdXJscz48Y3VzdG9tMj5QTUMyNjEzMTMxPC9jdXN0b20yPjxlbGVjdHJvbmljLXJl
c291cmNlLW51bT4xMC4xMTg2LzE3NDItNDc1NS01LTEwPC9lbGVjdHJvbmljLXJlc291cmNlLW51
bT48L3JlY29yZD48L0NpdGU+PENpdGU+PEF1dGhvcj5CYXJha2F0PC9BdXRob3I+PFllYXI+MjAw
ODwvWWVhcj48UmVjTnVtPjY2NzwvUmVjTnVtPjxyZWNvcmQ+PHJlYy1udW1iZXI+NjY3PC9yZWMt
bnVtYmVyPjxmb3JlaWduLWtleXM+PGtleSBhcHA9IkVOIiBkYi1pZD0iZXh2YXNyZngyZHRyYW9l
c2FzeHAyc3pzeGEyZGY1MDI1OTJ4IiB0aW1lc3RhbXA9IjE1NDA1MjY1MzgiPjY2Nzwva2V5Pjwv
Zm9yZWlnbi1rZXlzPjxyZWYtdHlwZSBuYW1lPSJKb3VybmFsIEFydGljbGUiPjE3PC9yZWYtdHlw
ZT48Y29udHJpYnV0b3JzPjxhdXRob3JzPjxhdXRob3I+QmFyYWthdCwgUi48L2F1dGhvcj48YXV0
aG9yPlN0aXJsaW5nLCBKLiBSLjwvYXV0aG9yPjxhdXRob3I+THVjaWEsIEEuPC9hdXRob3I+PC9h
dXRob3JzPjwvY29udHJpYnV0b3JzPjxhdXRoLWFkZHJlc3M+SW5zdGl0dXRvIE5hY2lvbmFsIGRl
IEVkdWNhY2lvbiBGaXNpY2EgKElORUYpLCBVbml2ZXJzaWRhZCBQb2xpdGVjbmljYSwgTWFkcmlk
LCBTcGFpbi48L2F1dGgtYWRkcmVzcz48dGl0bGVzPjx0aXRsZT5Eb2VzIGV4ZXJjaXNlIHRyYWlu
aW5nIGR1cmluZyBwcmVnbmFuY3kgYWZmZWN0IGdlc3RhdGlvbmFsIGFnZT8gQSByYW5kb21pc2Vk
IGNvbnRyb2xsZWQgdHJpYWw8L3RpdGxlPjxzZWNvbmRhcnktdGl0bGU+QnIgSiBTcG9ydHMgTWVk
PC9zZWNvbmRhcnktdGl0bGU+PC90aXRsZXM+PHBlcmlvZGljYWw+PGZ1bGwtdGl0bGU+QnIgSiBT
cG9ydHMgTWVkPC9mdWxsLXRpdGxlPjwvcGVyaW9kaWNhbD48cGFnZXM+Njc0LTg8L3BhZ2VzPjx2
b2x1bWU+NDI8L3ZvbHVtZT48bnVtYmVyPjg8L251bWJlcj48ZWRpdGlvbj4yMDA4LzA2LzE3PC9l
ZGl0aW9uPjxrZXl3b3Jkcz48a2V5d29yZD5BZHVsdDwva2V5d29yZD48a2V5d29yZD5FeGVyY2lz
ZS8qcGh5c2lvbG9neTwva2V5d29yZD48a2V5d29yZD5GZW1hbGU8L2tleXdvcmQ+PGtleXdvcmQ+
Kkdlc3RhdGlvbmFsIEFnZTwva2V5d29yZD48a2V5d29yZD5IdW1hbnM8L2tleXdvcmQ+PGtleXdv
cmQ+SW5mYW50LCBOZXdib3JuPC9rZXl3b3JkPjxrZXl3b3JkPlBoeXNpY2FsIEVkdWNhdGlvbiBh
bmQgVHJhaW5pbmcvbWV0aG9kczwva2V5d29yZD48a2V5d29yZD5QcmVnbmFuY3k8L2tleXdvcmQ+
PGtleXdvcmQ+UHJlZ25hbmN5IFRyaW1lc3RlciwgU2Vjb25kL3BoeXNpb2xvZ3k8L2tleXdvcmQ+
PGtleXdvcmQ+UHJlZ25hbmN5IFRyaW1lc3RlciwgVGhpcmQvcGh5c2lvbG9neTwva2V5d29yZD48
a2V5d29yZD5QcmVtYXR1cmUgQmlydGgvKmV0aW9sb2d5PC9rZXl3b3JkPjwva2V5d29yZHM+PGRh
dGVzPjx5ZWFyPjIwMDg8L3llYXI+PHB1Yi1kYXRlcz48ZGF0ZT5BdWc8L2RhdGU+PC9wdWItZGF0
ZXM+PC9kYXRlcz48aXNibj4xNDczLTA0ODAgKEVsZWN0cm9uaWMpJiN4RDswMzA2LTM2NzQgKExp
bmtpbmcpPC9pc2JuPjxhY2Nlc3Npb24tbnVtPjE4NTUyMzcwPC9hY2Nlc3Npb24tbnVtPjx1cmxz
PjxyZWxhdGVkLXVybHM+PHVybD5odHRwczovL3d3dy5uY2JpLm5sbS5uaWguZ292L3B1Ym1lZC8x
ODU1MjM3MDwvdXJsPjwvcmVsYXRlZC11cmxzPjwvdXJscz48ZWxlY3Ryb25pYy1yZXNvdXJjZS1u
dW0+MTAuMTEzNi9ianNtLjIwMDguMDQ3ODM3PC9lbGVjdHJvbmljLXJlc291cmNlLW51bT48L3Jl
Y29yZD48L0NpdGU+PENpdGU+PEF1dGhvcj5CYXJha2F0PC9BdXRob3I+PFllYXI+MjAxODwvWWVh
cj48UmVjTnVtPjcxMTwvUmVjTnVtPjxyZWNvcmQ+PHJlYy1udW1iZXI+NzExPC9yZWMtbnVtYmVy
Pjxmb3JlaWduLWtleXM+PGtleSBhcHA9IkVOIiBkYi1pZD0iZXh2YXNyZngyZHRyYW9lc2FzeHAy
c3pzeGEyZGY1MDI1OTJ4IiB0aW1lc3RhbXA9IjE1NDE0NjIyODUiPjcxMTwva2V5PjwvZm9yZWln
bi1rZXlzPjxyZWYtdHlwZSBuYW1lPSJKb3VybmFsIEFydGljbGUiPjE3PC9yZWYtdHlwZT48Y29u
dHJpYnV0b3JzPjxhdXRob3JzPjxhdXRob3I+QmFyYWthdCwgUi48L2F1dGhvcj48YXV0aG9yPkZy
YW5jbywgRS48L2F1dGhvcj48YXV0aG9yPlBlcmFsZXMsIE0uPC9hdXRob3I+PGF1dGhvcj5Mb3Bl
eiwgQy48L2F1dGhvcj48YXV0aG9yPk1vdHRvbGEsIE0uIEYuPC9hdXRob3I+PC9hdXRob3JzPjwv
Y29udHJpYnV0b3JzPjxhdXRoLWFkZHJlc3M+QUZJUEUgUmVzZWFyY2ggR3JvdXAsIFRlY2huaWNh
bCBVbml2ZXJzaXR5IG9mIE1hZHJpZCwgU3BhaW4uIEVsZWN0cm9uaWMgYWRkcmVzczogYmFyYWth
dHJ1YmVuQGdtYWlsLmNvbS4mI3hEO0FGSVBFIFJlc2VhcmNoIEdyb3VwLCBUZWNobmljYWwgVW5p
dmVyc2l0eSBvZiBNYWRyaWQsIFNwYWluLiYjeEQ7Q2FtaWxvIEpvc2UgQ2VsYSBVbml2ZXJzaXR5
LCBNYWRyaWQsIFNwYWluOyBSZXNlYXJjaCBJbnN0aXR1dGUgb2YgSG9zcGl0YWwgMTIgZGUgT2N0
dWJyZSAoJmFwb3M7aSsxMiZhcG9zOyksIE1hZHJpZCwgU3BhaW4uJiN4RDtSIFNhbXVlbCBNY0xh
dWdobGluIEZvdW5kYXRpb24tRXhlcmNpc2UgJmFtcDsgUHJlZ25hbmN5IExhYm9yYXRvcnksIFNj
aG9vbCBvZiBLaW5lc2lvbG9neSwgRmFjdWx0eSBvZiBIZWFsdGggU2NpZW5jZXMsIENhbmFkYTsg
RGVwdCBvZiBBbmF0b215ICZhbXA7IENlbGwgQmlvbG9neSwgU2NodWxpY2ggU2Nob29sIG9mIE1l
ZGljaW5lICZhbXA7IERlbnRpc3RyeSwgQ2hpbGRyZW4mYXBvcztzIEhlYWx0aCBSZXNlYXJjaCBJ
bnN0aXR1dGUsIFVuaXZlcnNpdHkgb2YgV2VzdGVybiBPbnRhcmlvLCBMb25kb24sIENhbmFkYS48
L2F1dGgtYWRkcmVzcz48dGl0bGVzPjx0aXRsZT5FeGVyY2lzZSBkdXJpbmcgcHJlZ25hbmN5IGlz
IGFzc29jaWF0ZWQgd2l0aCBhIHNob3J0ZXIgZHVyYXRpb24gb2YgbGFib3IuIEEgcmFuZG9taXpl
ZCBjbGluaWNhbCB0cmlhbDwvdGl0bGU+PHNlY29uZGFyeS10aXRsZT5FdXIgSiBPYnN0ZXQgR3lu
ZWNvbCBSZXByb2QgQmlvbDwvc2Vjb25kYXJ5LXRpdGxlPjwvdGl0bGVzPjxwZXJpb2RpY2FsPjxm
dWxsLXRpdGxlPkV1ciBKIE9ic3RldCBHeW5lY29sIFJlcHJvZCBCaW9sPC9mdWxsLXRpdGxlPjwv
cGVyaW9kaWNhbD48cGFnZXM+MzMtNDA8L3BhZ2VzPjx2b2x1bWU+MjI0PC92b2x1bWU+PGVkaXRp
b24+MjAxOC8wMy8xMzwvZWRpdGlvbj48a2V5d29yZHM+PGtleXdvcmQ+QWR1bHQ8L2tleXdvcmQ+
PGtleXdvcmQ+KkV4ZXJjaXNlPC9rZXl3b3JkPjxrZXl3b3JkPkZlbWFsZTwva2V5d29yZD48a2V5
d29yZD5IdW1hbnM8L2tleXdvcmQ+PGtleXdvcmQ+KkxhYm9yIFN0YWdlLCBGaXJzdDwva2V5d29y
ZD48a2V5d29yZD5QcmVnbmFuY3k8L2tleXdvcmQ+PGtleXdvcmQ+KkR1cmF0aW9uPC9rZXl3b3Jk
PjxrZXl3b3JkPipMYWJvcjwva2V5d29yZD48a2V5d29yZD4qUHJlZ25hbmN5PC9rZXl3b3JkPjwv
a2V5d29yZHM+PGRhdGVzPjx5ZWFyPjIwMTg8L3llYXI+PHB1Yi1kYXRlcz48ZGF0ZT5NYXk8L2Rh
dGU+PC9wdWItZGF0ZXM+PC9kYXRlcz48aXNibj4xODcyLTc2NTQgKEVsZWN0cm9uaWMpJiN4RDsw
MzAxLTIxMTUgKExpbmtpbmcpPC9pc2JuPjxhY2Nlc3Npb24tbnVtPjI5NTI5NDc1PC9hY2Nlc3Np
b24tbnVtPjx1cmxzPjxyZWxhdGVkLXVybHM+PHVybD5odHRwczovL3d3dy5uY2JpLm5sbS5uaWgu
Z292L3B1Ym1lZC8yOTUyOTQ3NTwvdXJsPjwvcmVsYXRlZC11cmxzPjwvdXJscz48ZWxlY3Ryb25p
Yy1yZXNvdXJjZS1udW0+MTAuMTAxNi9qLmVqb2dyYi4yMDE4LjAzLjAwOTwvZWxlY3Ryb25pYy1y
ZXNvdXJjZS1udW0+PC9yZWNvcmQ+PC9DaXRlPjxDaXRlPjxBdXRob3I+UGVyYWxlczwvQXV0aG9y
PjxZZWFyPjIwMTY8L1llYXI+PFJlY051bT45MjQ8L1JlY051bT48cmVjb3JkPjxyZWMtbnVtYmVy
PjkyNDwvcmVjLW51bWJlcj48Zm9yZWlnbi1rZXlzPjxrZXkgYXBwPSJFTiIgZGItaWQ9ImV4dmFz
cmZ4MmR0cmFvZXNhc3hwMnN6c3hhMmRmNTAyNTkyeCIgdGltZXN0YW1wPSIxNTQxNTQwOTI1Ij45
MjQ8L2tleT48a2V5IGFwcD0iRU5XZWIiIGRiLWlkPSIiPjA8L2tleT48L2ZvcmVpZ24ta2V5cz48
cmVmLXR5cGUgbmFtZT0iSm91cm5hbCBBcnRpY2xlIj4xNzwvcmVmLXR5cGU+PGNvbnRyaWJ1dG9y
cz48YXV0aG9ycz48YXV0aG9yPlBlcmFsZXMsIE1hcmlhPC9hdXRob3I+PGF1dGhvcj5DYWxhYnJp
YSwgSXJlbmU8L2F1dGhvcj48YXV0aG9yPkxvcGV6LCBDYXJtaW5hPC9hdXRob3I+PGF1dGhvcj5G
cmFuY28sIEV2ZWxpYTwvYXV0aG9yPjxhdXRob3I+Q290ZXJvbiwgSmF2aWVyPC9hdXRob3I+PGF1
dGhvcj5CYXJha2F0LCBSdWJlbjwvYXV0aG9yPjwvYXV0aG9ycz48L2NvbnRyaWJ1dG9ycz48dGl0
bGVzPjx0aXRsZT5SZWd1bGFyIEV4ZXJjaXNlIFRocm91Z2hvdXQgUHJlZ25hbmN5IGlzIEFzc29j
aWF0ZWQgd2l0aCBhIFNob3J0ZXIgRmlyc3QgU3RhZ2Ugb2YgTGFib3I8L3RpdGxlPjxzZWNvbmRh
cnktdGl0bGU+QW1lcmljYW4gSm91cm5hbCBvZiBIZWFsdGggUHJvbW90aW9uPC9zZWNvbmRhcnkt
dGl0bGU+PC90aXRsZXM+PHBlcmlvZGljYWw+PGZ1bGwtdGl0bGU+QW1lcmljYW4gSm91cm5hbCBv
ZiBIZWFsdGggUHJvbW90aW9uPC9mdWxsLXRpdGxlPjwvcGVyaW9kaWNhbD48cGFnZXM+MTQ5LTE1
NzwvcGFnZXM+PHZvbHVtZT4zMDwvdm9sdW1lPjxudW1iZXI+MzwvbnVtYmVyPjxzZWN0aW9uPjE0
OTwvc2VjdGlvbj48ZGF0ZXM+PHllYXI+MjAxNjwveWVhcj48L2RhdGVzPjxpc2JuPjA4OTAtMTE3
MSYjeEQ7MjE2OC02NjAyPC9pc2JuPjx1cmxzPjwvdXJscz48ZWxlY3Ryb25pYy1yZXNvdXJjZS1u
dW0+MTAuNDI3OC9hamhwLjE0MDIyMS1RVUFOLTc5PC9lbGVjdHJvbmljLXJlc291cmNlLW51bT48
L3JlY29yZD48L0NpdGU+PENpdGU+PEF1dGhvcj5QZXJhbGVzPC9BdXRob3I+PFllYXI+MjAxNjwv
WWVhcj48UmVjTnVtPjEwNjY8L1JlY051bT48cmVjb3JkPjxyZWMtbnVtYmVyPjEwNjY8L3JlYy1u
dW1iZXI+PGZvcmVpZ24ta2V5cz48a2V5IGFwcD0iRU4iIGRiLWlkPSJleHZhc3JmeDJkdHJhb2Vz
YXN4cDJzenN4YTJkZjUwMjU5MngiIHRpbWVzdGFtcD0iMTU0ODk5MDI5NiI+MTA2Njwva2V5Pjwv
Zm9yZWlnbi1rZXlzPjxyZWYtdHlwZSBuYW1lPSJKb3VybmFsIEFydGljbGUiPjE3PC9yZWYtdHlw
ZT48Y29udHJpYnV0b3JzPjxhdXRob3JzPjxhdXRob3I+UGVyYWxlcywgTS48L2F1dGhvcj48YXV0
aG9yPlNhbnRvcy1Mb3phbm8sIEEuPC9hdXRob3I+PGF1dGhvcj5TYW5jaGlzLUdvbWFyLCBGLjwv
YXV0aG9yPjxhdXRob3I+THVhY2VzLCBNLjwvYXV0aG9yPjxhdXRob3I+UGFyZWphLUdhbGVhbm8s
IEguPC9hdXRob3I+PGF1dGhvcj5HYXJhdGFjaGVhLCBOLjwvYXV0aG9yPjxhdXRob3I+QmFyYWth
dCwgUi48L2F1dGhvcj48YXV0aG9yPkx1Y2lhLCBBLjwvYXV0aG9yPjwvYXV0aG9ycz48L2NvbnRy
aWJ1dG9ycz48YXV0aC1hZGRyZXNzPjFSZXNlYXJjaCBJbnN0aXR1dGUgSG9zcGl0YWwgMTIgZGUg
T2N0dWJyZSAoJmFwb3M7aSsxMiZhcG9zOyksIE1hZHJpZCwgU1BBSU47IDJBRklQRSBSZXNlYXJj
aCBHcm91cCwgRmFjdWx0eSBvZiBQaHlzaWNhbCBBY3Rpdml0eSBhbmQgU3BvcnRzIFNjaWVuY2Vz
IElORUYsIFRlY2huaWNhbCBVbml2ZXJzaXR5IG9mIE1hZHJpZCwgU1BBSU47IDNHSURGWVMsIERl
cGFydG1lbnQgb2YgSGVhbHRoIFNjaWVuY2VzLCBFdXJvcGVhbiBVbml2ZXJzaXR5IE1pZ3VlbCBk
ZSBDZXJ2YW50ZXMsIFZhbGxhZG9saWQsIFNQQUlOOyA0RGVwYXJ0bWVudCBvZiBDYXJkaW9sb2d5
LCBDYXJkaW92YXNjdWxhciBJbnN0aXR1dGUsIEhvc3BpdGFsIENsaW5pY28gU2FuIENhcmxvcywg
TWFkcmlkLCBTUEFJTjsgNVNjaG9vbCBvZiBEb2N0b3JhdGUgU3R1ZGllcyBhbmQgUmVzZWFyY2gs
IEV1cm9wZWFuIFVuaXZlcnNpdHksIE1hZHJpZCwgU1BBSU47IGFuZCA2RGVwYXJ0YW1lbnRvIGRl
IEZpc2lhdHJpYSB5IEVuZmVybWVyaWEuIEZhY3VsdGFkIGRlIENpZW5jaWFzIGRlIGxhIFNhbHVk
IHkgZGVsIERlcG9ydGUuIEluc3RpdHV0byBBZ3JvYWxpbWVudGFyaW8gZGUgQXJhZ29uLUlBMiwg
VW5pdmVyc2lkYWQgZGUgWmFyYWdvemEtQ0lUQSwgWmFyYWdvemEsIFNQQUlOLjwvYXV0aC1hZGRy
ZXNzPjx0aXRsZXM+PHRpdGxlPk1hdGVybmFsIENhcmRpYWMgQWRhcHRhdGlvbnMgdG8gYSBQaHlz
aWNhbCBFeGVyY2lzZSBQcm9ncmFtIGR1cmluZyBQcmVnbmFuY3k8L3RpdGxlPjxzZWNvbmRhcnkt
dGl0bGU+TWVkIFNjaSBTcG9ydHMgRXhlcmM8L3NlY29uZGFyeS10aXRsZT48L3RpdGxlcz48cGVy
aW9kaWNhbD48ZnVsbC10aXRsZT5NZWQgU2NpIFNwb3J0cyBFeGVyYzwvZnVsbC10aXRsZT48L3Bl
cmlvZGljYWw+PHBhZ2VzPjg5Ni05MDY8L3BhZ2VzPjx2b2x1bWU+NDg8L3ZvbHVtZT48bnVtYmVy
PjU8L251bWJlcj48ZWRpdGlvbj4yMDE1LzEyLzI0PC9lZGl0aW9uPjxrZXl3b3Jkcz48a2V5d29y
ZD5BZHVsdDwva2V5d29yZD48a2V5d29yZD5BdHJpYWwgUmVtb2RlbGluZzwva2V5d29yZD48a2V5
d29yZD5DYXJkaW92YXNjdWxhciBEaXNlYXNlcy9wcmV2ZW50aW9uICZhbXA7IGNvbnRyb2w8L2tl
eXdvcmQ+PGtleXdvcmQ+KkNhcmRpb3Zhc2N1bGFyIFBoeXNpb2xvZ2ljYWwgUGhlbm9tZW5hPC9r
ZXl3b3JkPjxrZXl3b3JkPkRlcHJlc3Npb24vcHJldmVudGlvbiAmYW1wOyBjb250cm9sPC9rZXl3
b3JkPjxrZXl3b3JkPkVjaG9jYXJkaW9ncmFwaHk8L2tleXdvcmQ+PGtleXdvcmQ+KkV4ZXJjaXNl
PC9rZXl3b3JkPjxrZXl3b3JkPkZlbWFsZTwva2V5d29yZD48a2V5d29yZD5IZW1vZHluYW1pY3M8
L2tleXdvcmQ+PGtleXdvcmQ+SHVtYW5zPC9rZXl3b3JkPjxrZXl3b3JkPlByZWduYW5jeS8qcGh5
c2lvbG9neTwva2V5d29yZD48a2V5d29yZD5QcmVnbmFuY3kgT3V0Y29tZTwva2V5d29yZD48a2V5
d29yZD5SaXNrIEZhY3RvcnM8L2tleXdvcmQ+PGtleXdvcmQ+VmVudHJpY3VsYXIgRnVuY3Rpb24s
IExlZnQ8L2tleXdvcmQ+PGtleXdvcmQ+VmVudHJpY3VsYXIgUmVtb2RlbGluZzwva2V5d29yZD48
a2V5d29yZD5XZWlnaHQgR2Fpbjwva2V5d29yZD48L2tleXdvcmRzPjxkYXRlcz48eWVhcj4yMDE2
PC95ZWFyPjxwdWItZGF0ZXM+PGRhdGU+TWF5PC9kYXRlPjwvcHViLWRhdGVzPjwvZGF0ZXM+PGlz
Ym4+MTUzMC0wMzE1IChFbGVjdHJvbmljKSYjeEQ7MDE5NS05MTMxIChMaW5raW5nKTwvaXNibj48
YWNjZXNzaW9uLW51bT4yNjY5NDg0ODwvYWNjZXNzaW9uLW51bT48dXJscz48cmVsYXRlZC11cmxz
Pjx1cmw+aHR0cHM6Ly93d3cubmNiaS5ubG0ubmloLmdvdi9wdWJtZWQvMjY2OTQ4NDg8L3VybD48
L3JlbGF0ZWQtdXJscz48L3VybHM+PGVsZWN0cm9uaWMtcmVzb3VyY2UtbnVtPjEwLjEyNDkvTVNT
LjAwMDAwMDAwMDAwMDA4Mzc8L2VsZWN0cm9uaWMtcmVzb3VyY2UtbnVtPjwvcmVjb3JkPjwvQ2l0
ZT48Q2l0ZT48QXV0aG9yPlNhbHZlc2VuPC9BdXRob3I+PFllYXI+MjAwNDwvWWVhcj48UmVjTnVt
Pjk0MTwvUmVjTnVtPjxyZWNvcmQ+PHJlYy1udW1iZXI+OTQxPC9yZWMtbnVtYmVyPjxmb3JlaWdu
LWtleXM+PGtleSBhcHA9IkVOIiBkYi1pZD0iZXh2YXNyZngyZHRyYW9lc2FzeHAyc3pzeGEyZGY1
MDI1OTJ4IiB0aW1lc3RhbXA9IjE1NDE1NDE4MjYiPjk0MTwva2V5PjxrZXkgYXBwPSJFTldlYiIg
ZGItaWQ9IiI+MDwva2V5PjwvZm9yZWlnbi1rZXlzPjxyZWYtdHlwZSBuYW1lPSJKb3VybmFsIEFy
dGljbGUiPjE3PC9yZWYtdHlwZT48Y29udHJpYnV0b3JzPjxhdXRob3JzPjxhdXRob3I+U2FsdmVz
ZW4sIEsuIEEuPC9hdXRob3I+PGF1dGhvcj5Nb3JrdmVkLCBTLjwvYXV0aG9yPjwvYXV0aG9ycz48
L2NvbnRyaWJ1dG9ycz48YXV0aC1hZGRyZXNzPkRlcGFydG1lbnQgb2YgT2JzdGV0cmljcyBhbmQg
R3luYWVjb2xvZ3ksIFRyb25kaGVpbSBVbml2ZXJzaXR5IEhvc3BpdGFsIFN0LiBPbGF2LCBOLTcw
MDYgVHJvbmRoZWltLCBOb3J3YXkuIHBlcGVzQG1lZGlzaW4ubnRudS5ubzwvYXV0aC1hZGRyZXNz
Pjx0aXRsZXM+PHRpdGxlPlJhbmRvbWlzZWQgY29udHJvbGxlZCB0cmlhbCBvZiBwZWx2aWMgZmxv
b3IgbXVzY2xlIHRyYWluaW5nIGR1cmluZyBwcmVnbmFuY3k8L3RpdGxlPjxzZWNvbmRhcnktdGl0
bGU+Qk1KPC9zZWNvbmRhcnktdGl0bGU+PC90aXRsZXM+PHBlcmlvZGljYWw+PGZ1bGwtdGl0bGU+
Qk1KPC9mdWxsLXRpdGxlPjwvcGVyaW9kaWNhbD48cGFnZXM+Mzc4LTgwPC9wYWdlcz48dm9sdW1l
PjMyOTwvdm9sdW1lPjxudW1iZXI+NzQ2MjwvbnVtYmVyPjxlZGl0aW9uPjIwMDQvMDcvMTY8L2Vk
aXRpb24+PGtleXdvcmRzPjxrZXl3b3JkPkVwaXNpb3RvbXkvc3RhdGlzdGljcyAmYW1wOyBudW1l
cmljYWwgZGF0YTwva2V5d29yZD48a2V5d29yZD5FeGVyY2lzZSBUaGVyYXB5LyptZXRob2RzPC9r
ZXl3b3JkPjxrZXl3b3JkPkZlbWFsZTwva2V5d29yZD48a2V5d29yZD5IdW1hbnM8L2tleXdvcmQ+
PGtleXdvcmQ+TGFib3IgU3RhZ2UsIFNlY29uZDwva2V5d29yZD48a2V5d29yZD5PYnN0ZXRyaWMg
TGFib3IgQ29tcGxpY2F0aW9ucy8qcHJldmVudGlvbiAmYW1wOyBjb250cm9sPC9rZXl3b3JkPjxr
ZXl3b3JkPlBlbHZpYyBGbG9vcjwva2V5d29yZD48a2V5d29yZD5QcmVnbmFuY3k8L2tleXdvcmQ+
PGtleXdvcmQ+VXJpbmFyeSBJbmNvbnRpbmVuY2UvKnByZXZlbnRpb24gJmFtcDsgY29udHJvbDwv
a2V5d29yZD48L2tleXdvcmRzPjxkYXRlcz48eWVhcj4yMDA0PC95ZWFyPjxwdWItZGF0ZXM+PGRh
dGU+QXVnIDE0PC9kYXRlPjwvcHViLWRhdGVzPjwvZGF0ZXM+PGlzYm4+MTc1Ni0xODMzIChFbGVj
dHJvbmljKSYjeEQ7MDk1OS04MTM4IChMaW5raW5nKTwvaXNibj48YWNjZXNzaW9uLW51bT4xNTI1
MzkyMDwvYWNjZXNzaW9uLW51bT48dXJscz48cmVsYXRlZC11cmxzPjx1cmw+aHR0cHM6Ly93d3cu
bmNiaS5ubG0ubmloLmdvdi9wdWJtZWQvMTUyNTM5MjA8L3VybD48L3JlbGF0ZWQtdXJscz48L3Vy
bHM+PGN1c3RvbTI+UE1DNTA5MzQzPC9jdXN0b20yPjxlbGVjdHJvbmljLXJlc291cmNlLW51bT4x
MC4xMTM2L2Jtai4zODE2My43MjQzMDYuM0E8L2VsZWN0cm9uaWMtcmVzb3VyY2UtbnVtPjwvcmVj
b3JkPjwvQ2l0ZT48Q2l0ZT48QXV0aG9yPlNhbHZlc2VuPC9BdXRob3I+PFllYXI+MjAxNDwvWWVh
cj48UmVjTnVtPjk0MjwvUmVjTnVtPjxyZWNvcmQ+PHJlYy1udW1iZXI+OTQyPC9yZWMtbnVtYmVy
Pjxmb3JlaWduLWtleXM+PGtleSBhcHA9IkVOIiBkYi1pZD0iZXh2YXNyZngyZHRyYW9lc2FzeHAy
c3pzeGEyZGY1MDI1OTJ4IiB0aW1lc3RhbXA9IjE1NDE1NDE4MzIiPjk0Mjwva2V5PjxrZXkgYXBw
PSJFTldlYiIgZGItaWQ9IiI+MDwva2V5PjwvZm9yZWlnbi1rZXlzPjxyZWYtdHlwZSBuYW1lPSJK
b3VybmFsIEFydGljbGUiPjE3PC9yZWYtdHlwZT48Y29udHJpYnV0b3JzPjxhdXRob3JzPjxhdXRo
b3I+U2FsdmVzZW4sIEsuIEEuPC9hdXRob3I+PGF1dGhvcj5TdGFmbmUsIFMuIE4uPC9hdXRob3I+
PGF1dGhvcj5FZ2dlYm8sIFQuIE0uPC9hdXRob3I+PGF1dGhvcj5Nb3JrdmVkLCBTLjwvYXV0aG9y
PjwvYXV0aG9ycz48L2NvbnRyaWJ1dG9ycz48YXV0aC1hZGRyZXNzPkNsaW5pY2FsIFNjaWVuY2Vz
LCBPYnN0ZXRyaWNzIGFuZCBHeW5lY29sb2d5LCBMdW5kIFVuaXZlcnNpdHksIEx1bmQsIFN3ZWRl
bjsgTmF0aW9uYWwgQ2VudGVyIGZvciBGZXRhbCBNZWRpY2luZSwgRGVwYXJ0bWVudCBvZiBPYnN0
ZXRyaWNzIGFuZCBHeW5lY29sb2d5LCBTdC4gT2xhdnMgSG9zcGl0YWwsIFRyb25kaGVpbSBVbml2
ZXJzaXR5IEhvc3BpdGFsLCBUcm9uZGhlaW0sIE5vcndheS48L2F1dGgtYWRkcmVzcz48dGl0bGVz
Pjx0aXRsZT5Eb2VzIHJlZ3VsYXIgZXhlcmNpc2UgaW4gcHJlZ25hbmN5IGluZmx1ZW5jZSBkdXJh
dGlvbiBvZiBsYWJvcj8gQSBzZWNvbmRhcnkgYW5hbHlzaXMgb2YgYSByYW5kb21pemVkIGNvbnRy
b2xsZWQgdHJpYWw8L3RpdGxlPjxzZWNvbmRhcnktdGl0bGU+QWN0YSBPYnN0ZXQgR3luZWNvbCBT
Y2FuZDwvc2Vjb25kYXJ5LXRpdGxlPjwvdGl0bGVzPjxwZXJpb2RpY2FsPjxmdWxsLXRpdGxlPkFj
dGEgT2JzdGV0IEd5bmVjb2wgU2NhbmQ8L2Z1bGwtdGl0bGU+PC9wZXJpb2RpY2FsPjxwYWdlcz43
My05PC9wYWdlcz48dm9sdW1lPjkzPC92b2x1bWU+PG51bWJlcj4xPC9udW1iZXI+PGVkaXRpb24+
MjAxMy8xMC8xMDwvZWRpdGlvbj48a2V5d29yZHM+PGtleXdvcmQ+QWR1bHQ8L2tleXdvcmQ+PGtl
eXdvcmQ+Qm9keSBNYXNzIEluZGV4PC9rZXl3b3JkPjxrZXl3b3JkPkV4ZXJjaXNlLypwaHlzaW9s
b2d5PC9rZXl3b3JkPjxrZXl3b3JkPkZlbWFsZTwva2V5d29yZD48a2V5d29yZD5IdW1hbnM8L2tl
eXdvcmQ+PGtleXdvcmQ+TGFib3IsIE9ic3RldHJpYy8qcGh5c2lvbG9neTwva2V5d29yZD48a2V5
d29yZD5QcmVnbmFuY3k8L2tleXdvcmQ+PGtleXdvcmQ+KlByZW5hdGFsIENhcmU8L2tleXdvcmQ+
PGtleXdvcmQ+RXhlcmNpc2U8L2tleXdvcmQ+PGtleXdvcmQ+bGFib3I8L2tleXdvcmQ+PGtleXdv
cmQ+cmFuZG9taXplZCBjb250cm9sbGVkIHRyaWFsPC9rZXl3b3JkPjwva2V5d29yZHM+PGRhdGVz
Pjx5ZWFyPjIwMTQ8L3llYXI+PHB1Yi1kYXRlcz48ZGF0ZT5KYW48L2RhdGU+PC9wdWItZGF0ZXM+
PC9kYXRlcz48aXNibj4xNjAwLTA0MTIgKEVsZWN0cm9uaWMpJiN4RDswMDAxLTYzNDkgKExpbmtp
bmcpPC9pc2JuPjxhY2Nlc3Npb24tbnVtPjI0MTAyNDIzPC9hY2Nlc3Npb24tbnVtPjx1cmxzPjxy
ZWxhdGVkLXVybHM+PHVybD5odHRwczovL3d3dy5uY2JpLm5sbS5uaWguZ292L3B1Ym1lZC8yNDEw
MjQyMzwvdXJsPjwvcmVsYXRlZC11cmxzPjwvdXJscz48ZWxlY3Ryb25pYy1yZXNvdXJjZS1udW0+
MTAuMTExMS9hb2dzLjEyMjYwPC9lbGVjdHJvbmljLXJlc291cmNlLW51bT48L3JlY29yZD48L0Np
dGU+PENpdGU+PEF1dGhvcj5UYW5pZ3VjaGk8L0F1dGhvcj48WWVhcj4yMDE2PC9ZZWFyPjxSZWNO
dW0+OTExPC9SZWNOdW0+PHJlY29yZD48cmVjLW51bWJlcj45MTE8L3JlYy1udW1iZXI+PGZvcmVp
Z24ta2V5cz48a2V5IGFwcD0iRU4iIGRiLWlkPSJleHZhc3JmeDJkdHJhb2VzYXN4cDJzenN4YTJk
ZjUwMjU5MngiIHRpbWVzdGFtcD0iMTU0MTU0MDg2MSI+OTExPC9rZXk+PGtleSBhcHA9IkVOV2Vi
IiBkYi1pZD0iIj4wPC9rZXk+PC9mb3JlaWduLWtleXM+PHJlZi10eXBlIG5hbWU9IkpvdXJuYWwg
QXJ0aWNsZSI+MTc8L3JlZi10eXBlPjxjb250cmlidXRvcnM+PGF1dGhvcnM+PGF1dGhvcj5UYW5p
Z3VjaGksIEMuPC9hdXRob3I+PGF1dGhvcj5TYXRvLCBDLjwvYXV0aG9yPjwvYXV0aG9ycz48L2Nv
bnRyaWJ1dG9ycz48YXV0aC1hZGRyZXNzPkthbmFnYXdhIFVuaXZlcnNpdHkgb2YgSHVtYW4gU2Vy
dmljZXMsIEthbmFnYXdhIFByZWZlY3R1cmUsIEphcGFuLiB0YW5pZ3VjaGkubTdiQGt1aHMuYWMu
anAuJiN4RDtPdHN1a2EgTWVkaWNhbCBDbGluaWMsIFRvc2hpbWEta3UsIEphcGFuLjwvYXV0aC1h
ZGRyZXNzPjx0aXRsZXM+PHRpdGxlPkhvbWUtYmFzZWQgd2Fsa2luZyBkdXJpbmcgcHJlZ25hbmN5
IGFmZmVjdHMgbW9vZCBhbmQgYmlydGggb3V0Y29tZXMgYW1vbmcgc2VkZW50YXJ5IHdvbWVuOiBB
IHJhbmRvbWl6ZWQgY29udHJvbGxlZCB0cmlhbDwvdGl0bGU+PHNlY29uZGFyeS10aXRsZT5JbnQg
SiBOdXJzIFByYWN0PC9zZWNvbmRhcnktdGl0bGU+PC90aXRsZXM+PHBlcmlvZGljYWw+PGZ1bGwt
dGl0bGU+SW50IEogTnVycyBQcmFjdDwvZnVsbC10aXRsZT48L3BlcmlvZGljYWw+PHBhZ2VzPjQy
MC00MjY8L3BhZ2VzPjx2b2x1bWU+MjI8L3ZvbHVtZT48bnVtYmVyPjU8L251bWJlcj48ZWRpdGlv
bj4yMDE2LzA2LzA5PC9lZGl0aW9uPjxrZXl3b3Jkcz48a2V5d29yZD5BZHVsdDwva2V5d29yZD48
a2V5d29yZD4qQWZmZWN0PC9rZXl3b3JkPjxrZXl3b3JkPkZlbWFsZTwva2V5d29yZD48a2V5d29y
ZD5IdW1hbnM8L2tleXdvcmQ+PGtleXdvcmQ+UHJlZ25hbmN5PC9rZXl3b3JkPjxrZXl3b3JkPipQ
cmVnbmFuY3kgT3V0Y29tZTwva2V5d29yZD48a2V5d29yZD4qU2VkZW50YXJ5IExpZmVzdHlsZTwv
a2V5d29yZD48a2V5d29yZD4qV2Fsa2luZzwva2V5d29yZD48a2V5d29yZD5Zb3VuZyBBZHVsdDwv
a2V5d29yZD48a2V5d29yZD4qUHJvZmlsZSBvZiBNb29kIFN0YXRlczwva2V5d29yZD48a2V5d29y
ZD4qZXhlcmNpc2U8L2tleXdvcmQ+PGtleXdvcmQ+Km51cnNpbmc8L2tleXdvcmQ+PGtleXdvcmQ+
KnByZWduYW5jeTwva2V5d29yZD48a2V5d29yZD4qcmFuZG9taXplZCBjb250cm9sbGVkIHRyaWFs
PC9rZXl3b3JkPjwva2V5d29yZHM+PGRhdGVzPjx5ZWFyPjIwMTY8L3llYXI+PHB1Yi1kYXRlcz48
ZGF0ZT5PY3Q8L2RhdGU+PC9wdWItZGF0ZXM+PC9kYXRlcz48aXNibj4xNDQwLTE3MlggKEVsZWN0
cm9uaWMpJiN4RDsxMzIyLTcxMTQgKExpbmtpbmcpPC9pc2JuPjxhY2Nlc3Npb24tbnVtPjI3Mjcy
OTM3PC9hY2Nlc3Npb24tbnVtPjx1cmxzPjxyZWxhdGVkLXVybHM+PHVybD5odHRwczovL3d3dy5u
Y2JpLm5sbS5uaWguZ292L3B1Ym1lZC8yNzI3MjkzNzwvdXJsPjwvcmVsYXRlZC11cmxzPjwvdXJs
cz48ZWxlY3Ryb25pYy1yZXNvdXJjZS1udW0+MTAuMTExMS9pam4uMTI0NTM8L2VsZWN0cm9uaWMt
cmVzb3VyY2UtbnVtPjwvcmVjb3JkPjwvQ2l0ZT48Q2l0ZT48QXV0aG9yPlNhbmRhPC9BdXRob3I+
PFllYXI+MjAxODwvWWVhcj48UmVjTnVtPjkyNTwvUmVjTnVtPjxyZWNvcmQ+PHJlYy1udW1iZXI+
OTI1PC9yZWMtbnVtYmVyPjxmb3JlaWduLWtleXM+PGtleSBhcHA9IkVOIiBkYi1pZD0iZXh2YXNy
ZngyZHRyYW9lc2FzeHAyc3pzeGEyZGY1MDI1OTJ4IiB0aW1lc3RhbXA9IjE1NDE1NDA5MjkiPjky
NTwva2V5PjxrZXkgYXBwPSJFTldlYiIgZGItaWQ9IiI+MDwva2V5PjwvZm9yZWlnbi1rZXlzPjxy
ZWYtdHlwZSBuYW1lPSJKb3VybmFsIEFydGljbGUiPjE3PC9yZWYtdHlwZT48Y29udHJpYnV0b3Jz
PjxhdXRob3JzPjxhdXRob3I+U2FuZGEsIEIuPC9hdXRob3I+PGF1dGhvcj5WaXN0YWQsIEkuPC9h
dXRob3I+PGF1dGhvcj5TYWdlZGFsLCBMLiBSLjwvYXV0aG9yPjxhdXRob3I+SGFha3N0YWQsIEwu
IEEuIEguPC9hdXRob3I+PGF1dGhvcj5Mb2huZS1TZWlsZXIsIEguPC9hdXRob3I+PGF1dGhvcj5U
b3JzdHZlaXQsIE0uIEsuPC9hdXRob3I+PC9hdXRob3JzPjwvY29udHJpYnV0b3JzPjxhdXRoLWFk
ZHJlc3M+RmFjdWx0eSBvZiBIZWFsdGggYW5kIFNwb3J0IFNjaWVuY2VzLCBVbml2ZXJzaXR5IG9m
IEFnZGVyLCBLcmlzdGlhbnNhbmQsIE5vcndheS4mI3hEO0RlcGFydG1lbnQgb2YgT2JzdGV0cmlj
cyBhbmQgR3luZWNvbG9neSwgU291dGhlcm4gTm9yd2F5IEhvc3BpdGFsIFRydXN0LCBLcmlzdGlh
bnNhbmQsIE5vcndheS4mI3hEO05vcndlZ2lhbiBTY2hvb2wgb2YgU3BvcnRzIFNjaWVuY2UsIE9z
bG8sIE5vcndheS48L2F1dGgtYWRkcmVzcz48dGl0bGVzPjx0aXRsZT5XaGF0IGlzIHRoZSBlZmZl
Y3Qgb2YgcGh5c2ljYWwgYWN0aXZpdHkgb24gZHVyYXRpb24gYW5kIG1vZGUgb2YgZGVsaXZlcnk/
IFNlY29uZGFyeSBhbmFseXNpcyBmcm9tIHRoZSBOb3J3ZWdpYW4gRml0IGZvciBEZWxpdmVyeSB0
cmlhbDwvdGl0bGU+PHNlY29uZGFyeS10aXRsZT5BY3RhIE9ic3RldCBHeW5lY29sIFNjYW5kPC9z
ZWNvbmRhcnktdGl0bGU+PC90aXRsZXM+PHBlcmlvZGljYWw+PGZ1bGwtdGl0bGU+QWN0YSBPYnN0
ZXQgR3luZWNvbCBTY2FuZDwvZnVsbC10aXRsZT48L3BlcmlvZGljYWw+PHBhZ2VzPjg2MS04NzE8
L3BhZ2VzPjx2b2x1bWU+OTc8L3ZvbHVtZT48bnVtYmVyPjc8L251bWJlcj48ZWRpdGlvbj4yMDE4
LzA1LzExPC9lZGl0aW9uPjxrZXl3b3Jkcz48a2V5d29yZD5FeGVyY2lzZTwva2V5d29yZD48a2V5
d29yZD5jZXNhcmVhbiBzZWN0aW9uPC9rZXl3b3JkPjxrZXl3b3JkPmRlbGl2ZXJ5IG91dGNvbWVz
PC9rZXl3b3JkPjxrZXl3b3JkPmxhYm9yPC9rZXl3b3JkPjxrZXl3b3JkPnByZWduYW5jeTwva2V5
d29yZD48a2V5d29yZD5yYW5kb21pemVkIGNvbnRyb2xsZWQgdHJpYWw8L2tleXdvcmQ+PC9rZXl3
b3Jkcz48ZGF0ZXM+PHllYXI+MjAxODwveWVhcj48cHViLWRhdGVzPjxkYXRlPkp1bDwvZGF0ZT48
L3B1Yi1kYXRlcz48L2RhdGVzPjxpc2JuPjE2MDAtMDQxMiAoRWxlY3Ryb25pYykmI3hEOzAwMDEt
NjM0OSAoTGlua2luZyk8L2lzYm4+PGFjY2Vzc2lvbi1udW0+Mjk3NDQ4NjY8L2FjY2Vzc2lvbi1u
dW0+PHVybHM+PHJlbGF0ZWQtdXJscz48dXJsPmh0dHBzOi8vd3d3Lm5jYmkubmxtLm5paC5nb3Yv
cHVibWVkLzI5NzQ0ODY2PC91cmw+PC9yZWxhdGVkLXVybHM+PC91cmxzPjxlbGVjdHJvbmljLXJl
c291cmNlLW51bT4xMC4xMTExL2FvZ3MuMTMzNTE8L2VsZWN0cm9uaWMtcmVzb3VyY2UtbnVtPjwv
cmVjb3JkPjwvQ2l0ZT48Q2l0ZT48QXV0aG9yPlJvZHJpZ3Vlei1CbGFucXVlPC9BdXRob3I+PFll
YXI+MjAxOTwvWWVhcj48UmVjTnVtPjE5NjM8L1JlY051bT48cmVjb3JkPjxyZWMtbnVtYmVyPjE5
NjM8L3JlYy1udW1iZXI+PGZvcmVpZ24ta2V5cz48a2V5IGFwcD0iRU4iIGRiLWlkPSJleHZhc3Jm
eDJkdHJhb2VzYXN4cDJzenN4YTJkZjUwMjU5MngiIHRpbWVzdGFtcD0iMTU4ODc0MzkwMSI+MTk2
Mzwva2V5PjxrZXkgYXBwPSJFTldlYiIgZGItaWQ9IiI+MDwva2V5PjwvZm9yZWlnbi1rZXlzPjxy
ZWYtdHlwZSBuYW1lPSJKb3VybmFsIEFydGljbGUiPjE3PC9yZWYtdHlwZT48Y29udHJpYnV0b3Jz
PjxhdXRob3JzPjxhdXRob3I+Um9kcmlndWV6LUJsYW5xdWUsIFIuPC9hdXRob3I+PGF1dGhvcj5T
YW5jaGV6LUdhcmNpYSwgSi4gQy48L2F1dGhvcj48YXV0aG9yPlNhbmNoZXotTG9wZXosIEEuIE0u
PC9hdXRob3I+PGF1dGhvcj5BZ3VpbGFyLUNvcmRlcm8sIE0uIEouPC9hdXRob3I+PC9hdXRob3Jz
PjwvY29udHJpYnV0b3JzPjxhdXRoLWFkZHJlc3M+SG9zcGl0YWwgVW5pdmVyc2l0YXJpbyBTYW4g
Q2VjaWxpbywgR3JhbmFkYSwgU3BhaW4uJiN4RDtBbmRhbHVzaWEgUmVzZWFyY2ggUGxhbiwgUmVz
ZWFyY2ggR3JvdXAgQ1RTIDM2NywgR3JhbmFkYSwgU3BhaW4uJiN4RDtEZXBhcnRhbWVudG8gZGUg
RW5mZXJtZXJpYS9GYWN1bHRhZCBkZSBDaWVuY2lhcyBkZSBsYSBTYWx1ZCwgVW5pdmVyc2lkYWQg
ZGUgR3JhbmFkYSwgR3JhbmFkYSwgU3BhaW4uPC9hdXRoLWFkZHJlc3M+PHRpdGxlcz48dGl0bGU+
UGh5c2ljYWwgYWN0aXZpdHkgZHVyaW5nIHByZWduYW5jeSBhbmQgaXRzIGluZmx1ZW5jZSBvbiBk
ZWxpdmVyeSB0aW1lOiBhIHJhbmRvbWl6ZWQgY2xpbmljYWwgdHJpYWw8L3RpdGxlPjxzZWNvbmRh
cnktdGl0bGU+UGVlcko8L3NlY29uZGFyeS10aXRsZT48L3RpdGxlcz48cGVyaW9kaWNhbD48ZnVs
bC10aXRsZT5QZWVySjwvZnVsbC10aXRsZT48L3BlcmlvZGljYWw+PHBhZ2VzPmU2MzcwPC9wYWdl
cz48dm9sdW1lPjc8L3ZvbHVtZT48ZWRpdGlvbj4yMDE5LzAyLzE5PC9lZGl0aW9uPjxrZXl3b3Jk
cz48a2V5d29yZD5CaXJ0aDwva2V5d29yZD48a2V5d29yZD5FeGVyY2lzZTwva2V5d29yZD48a2V5
d29yZD5MYWJvcjwva2V5d29yZD48a2V5d29yZD5QcmVnbmFuY3k8L2tleXdvcmQ+PGtleXdvcmQ+
UHJlZ25hbmN5IG91dGNvbWU8L2tleXdvcmQ+PC9rZXl3b3Jkcz48ZGF0ZXM+PHllYXI+MjAxOTwv
eWVhcj48L2RhdGVzPjxpc2JuPjIxNjctODM1OSAoUHJpbnQpJiN4RDsyMTY3LTgzNTkgKExpbmtp
bmcpPC9pc2JuPjxhY2Nlc3Npb24tbnVtPjMwNzc1MTc1PC9hY2Nlc3Npb24tbnVtPjx1cmxzPjxy
ZWxhdGVkLXVybHM+PHVybD5odHRwczovL3d3dy5uY2JpLm5sbS5uaWguZ292L3B1Ym1lZC8zMDc3
NTE3NTwvdXJsPjwvcmVsYXRlZC11cmxzPjwvdXJscz48Y3VzdG9tMj5QTUM2MzcxOTE2PC9jdXN0
b20yPjxlbGVjdHJvbmljLXJlc291cmNlLW51bT4xMC43NzE3L3BlZXJqLjYzNzA8L2VsZWN0cm9u
aWMtcmVzb3VyY2UtbnVtPjwvcmVjb3JkPjwvQ2l0ZT48Q2l0ZT48QXV0aG9yPlBlcmFsZXM8L0F1
dGhvcj48WWVhcj4yMDIwPC9ZZWFyPjxSZWNOdW0+MTk2NDwvUmVjTnVtPjxyZWNvcmQ+PHJlYy1u
dW1iZXI+MTk2NDwvcmVjLW51bWJlcj48Zm9yZWlnbi1rZXlzPjxrZXkgYXBwPSJFTiIgZGItaWQ9
ImV4dmFzcmZ4MmR0cmFvZXNhc3hwMnN6c3hhMmRmNTAyNTkyeCIgdGltZXN0YW1wPSIxNTg4NzQz
OTEyIj4xOTY0PC9rZXk+PGtleSBhcHA9IkVOV2ViIiBkYi1pZD0iIj4wPC9rZXk+PC9mb3JlaWdu
LWtleXM+PHJlZi10eXBlIG5hbWU9IkpvdXJuYWwgQXJ0aWNsZSI+MTc8L3JlZi10eXBlPjxjb250
cmlidXRvcnM+PGF1dGhvcnM+PGF1dGhvcj5QZXJhbGVzLCBNLjwvYXV0aG9yPjxhdXRob3I+VmFs
ZW56dWVsYSwgUC4gTC48L2F1dGhvcj48YXV0aG9yPkJhcmFrYXQsIFIuPC9hdXRob3I+PGF1dGhv
cj5Db3JkZXJvLCBZLjwvYXV0aG9yPjxhdXRob3I+UGVsYWV6LCBNLjwvYXV0aG9yPjxhdXRob3I+
TG9wZXosIEMuPC9hdXRob3I+PGF1dGhvcj5SdWlsb3BlLCBMLiBNLjwvYXV0aG9yPjxhdXRob3I+
U2FudG9zLUxvemFubywgQS48L2F1dGhvcj48YXV0aG9yPkx1Y2lhLCBBLjwvYXV0aG9yPjwvYXV0
aG9ycz48L2NvbnRyaWJ1dG9ycz48YXV0aC1hZGRyZXNzPlJlc2VhcmNoIEluc3RpdHVlIG9mIEhv
c3BpdGFsIDEyIGRlIE9jdHVicmUgKCZhcG9zO2krMTImYXBvczspLCAyODA0MSBNYWRyaWQsIFNw
YWluLiYjeEQ7RGVwYXJ0YW1lbnRvIGRlIENpZW5jaWFzIGRlIGxhIEFjdGl2aWRhZCBGaXNpY2Eg
eSBkZWwgRGVwb3J0ZS4gVW5pdmVyc2lkYWQgQ2FtaWxvIEpvc2UgQ2VsYSwgMjg2OTIgVmlsbGFu
dWV2YSBkZSBsYSBDYW5hZGEsIE1hZHJpZCwgU3BhaW4uJiN4RDtEZXBhcnRtZW50IG9mIFN5c3Rl
bXMgQmlvbG9neSwgVW5pdmVyc2l0eSBvZiBBbGNhbGEsIDI4ODAxIEFsY2FsYSBkZSBIZW5hcmVz
LCBNYWRyaWQsIFNwYWluLiYjeEQ7RmFjdWx0YWQgZGUgQ2llbmNpYXMgZGUgbGEgQWN0aXZpZGFk
IEZpc2ljYSB5IGRlbCBEZXBvcnRlLCBVbml2ZXJzaWRhZCBQb2xpdGVjbmljYSBkZSBNYWRyaWQs
IDI4MDQwIE1hZHJpZCwgU3BhaW4uJiN4RDtVbml2ZXJzaWRhZCBDb21wbHV0ZW5zZSBkZSBNYWRy
aWQsIDI4MDQwIE1hZHJpZCwgU3BhaW4uJiN4RDtVbml2ZXJzaWRhZCBFdXJvcGVhZGVsIEF0bGFu
dGljbywgMzkwMTEgU2FudGFuZGVyLCBTcGFpbi4mI3hEO0MuUC5CLiBUaWVtbyBHYWx2YW4sIFRy
ZXMgQ2FudG9zLCAyODc2MCBUcmVzIENhbnRvcywgTWFkcmlkLCBTcGFpbi4mI3hEO0h5cGVydGVu
c2lvbiBVbml0IGFuZCBDYXJkaW9yZW50YWwgVHJhbnNsYXRpb25hbCBMYWJvcmF0b3J5LCBSZXNl
YXJjaCBJbnN0aXR1ZSBvZiBIb3NwaXRhbCAxMiBkZSBPY3R1YnJlICgmYXBvcztpKzEyJmFwb3M7
KSwgMjgwNDEgTWFkcmlkLCBTcGFpbi4mI3hEO2krSGVBTFRILCBEZXBhcnRtZW50IG9mIEhlYWx0
aCBTY2llbmNlcywgRXVyb3BlYW4gVW5pdmVyc2l0eSBNaWd1ZWwgZGUgR2VydmFudGVzLCA0NzAx
MiBWYWxsYWRvbGlkLCBTcGFpbi4mI3hEO0ZhY3VsdHkgb2YgU3BvcnQgU2NpZW5jZXMsIFVuaXZl
cnNpZGFkIEV1cm9wZWEgZGUgTWFkcmlkLCAyODY3MCBWaWxsYXZpY2lvc2EgZGUgT2RvbiwgTWFk
cmlkLCBTcGFpbi48L2F1dGgtYWRkcmVzcz48dGl0bGVzPjx0aXRsZT5HZXN0YXRpb25hbCBleGVy
Y2lzZSBhbmQgbWF0ZXJuYWwgYW5kIGNoaWxkIGhlYWx0aDogZWZmZWN0cyB1bnRpbCBkZWxpdmVy
eSBhbmQgYXQgcG9zdC1uYXRhbCBmb2xsb3ctdXA8L3RpdGxlPjxzZWNvbmRhcnktdGl0bGU+SiBD
bGluIE1lZDwvc2Vjb25kYXJ5LXRpdGxlPjwvdGl0bGVzPjxwZXJpb2RpY2FsPjxmdWxsLXRpdGxl
PkogQ2xpbiBNZWQ8L2Z1bGwtdGl0bGU+PC9wZXJpb2RpY2FsPjx2b2x1bWU+OTwvdm9sdW1lPjxu
dW1iZXI+MjwvbnVtYmVyPjxlZGl0aW9uPjIwMjAvMDIvMDc8L2VkaXRpb24+PGtleXdvcmRzPjxr
ZXl3b3JkPmRpYWJldGVzPC9rZXl3b3JkPjxrZXl3b3JkPmh5cGVydGVuc2lvbjwva2V5d29yZD48
a2V5d29yZD5vYmVzaXR5PC9rZXl3b3JkPjxrZXl3b3JkPnBoeXNpY2FsIGFjdGl2aXR5PC9rZXl3
b3JkPjxrZXl3b3JkPnByZWduYW5jeTwva2V5d29yZD48a2V5d29yZD50cmFpbmluZzwva2V5d29y
ZD48L2tleXdvcmRzPjxkYXRlcz48eWVhcj4yMDIwPC95ZWFyPjxwdWItZGF0ZXM+PGRhdGU+SmFu
IDMxPC9kYXRlPjwvcHViLWRhdGVzPjwvZGF0ZXM+PGlzYm4+MjA3Ny0wMzgzIChQcmludCkmI3hE
OzIwNzctMDM4MyAoTGlua2luZyk8L2lzYm4+PGFjY2Vzc2lvbi1udW0+MzIwMjM4MzM8L2FjY2Vz
c2lvbi1udW0+PHVybHM+PHJlbGF0ZWQtdXJscz48dXJsPmh0dHBzOi8vd3d3Lm5jYmkubmxtLm5p
aC5nb3YvcHVibWVkLzMyMDIzODMzPC91cmw+PC9yZWxhdGVkLXVybHM+PC91cmxzPjxjdXN0b20y
PlBNQzcwNzQ1Nzc8L2N1c3RvbTI+PGVsZWN0cm9uaWMtcmVzb3VyY2UtbnVtPjEwLjMzOTAvamNt
OTAyMDM3OTwvZWxlY3Ryb25pYy1yZXNvdXJjZS1udW0+PC9yZWNvcmQ+PC9DaXRlPjwvRW5kTm90
ZT4A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Zm9udD0iVHJlYnVjaGV0IE1TIiBzaXplPSI5Ij4yOTItMzAyPC9zdHlsZT48L0Rpc3BsYXlUZXh0
PjxyZWNvcmQ+PHJlYy1udW1iZXI+Njc5PC9yZWMtbnVtYmVyPjxmb3JlaWduLWtleXM+PGtleSBh
cHA9IkVOIiBkYi1pZD0iZXh2YXNyZngyZHRyYW9lc2FzeHAyc3pzeGEyZGY1MDI1OTJ4IiB0aW1l
c3RhbXA9IjE1NDA1MjY4OTAiPjY3OTwva2V5PjwvZm9yZWlnbi1rZXlzPjxyZWYtdHlwZSBuYW1l
PSJKb3VybmFsIEFydGljbGUiPjE3PC9yZWYtdHlwZT48Y29udHJpYnV0b3JzPjxhdXRob3JzPjxh
dXRob3I+QmFjaXVrLCBFLiBQLjwvYXV0aG9yPjxhdXRob3I+UGVyZWlyYSwgUi4gSS48L2F1dGhv
cj48YXV0aG9yPkNlY2F0dGksIEouIEcuPC9hdXRob3I+PGF1dGhvcj5CcmFnYSwgQS4gRi48L2F1
dGhvcj48YXV0aG9yPkNhdmFsY2FudGUsIFMuIFIuPC9hdXRob3I+PC9hdXRob3JzPjwvY29udHJp
YnV0b3JzPjxhdXRoLWFkZHJlc3M+RGVwYXJ0bWVudCBvZiBPYnN0ZXRyaWNzIGFuZCBHeW5lY29s
b2d5LCBVbml2ZXJzaXR5IG9mIENhbXBpbmFzLCBTYW8gUGF1bG8sIEJyYXppbC4gZXJpY2F4YmFA
dGVycmEuY29tLmJyPC9hdXRoLWFkZHJlc3M+PHRpdGxlcz48dGl0bGU+V2F0ZXIgYWVyb2JpY3Mg
aW4gcHJlZ25hbmN5OiBDYXJkaW92YXNjdWxhciByZXNwb25zZSwgbGFib3IgYW5kIG5lb25hdGFs
IG91dGNvbWVzPC90aXRsZT48c2Vjb25kYXJ5LXRpdGxlPlJlcHJvZCBIZWFsdGg8L3NlY29uZGFy
eS10aXRsZT48L3RpdGxlcz48cGVyaW9kaWNhbD48ZnVsbC10aXRsZT5SZXByb2QgSGVhbHRoPC9m
dWxsLXRpdGxlPjwvcGVyaW9kaWNhbD48cGFnZXM+MTA8L3BhZ2VzPjx2b2x1bWU+NTwvdm9sdW1l
PjxlZGl0aW9uPjIwMDgvMTEvMjY8L2VkaXRpb24+PGRhdGVzPjx5ZWFyPjIwMDg8L3llYXI+PHB1
Yi1kYXRlcz48ZGF0ZT5Ob3YgMjE8L2RhdGU+PC9wdWItZGF0ZXM+PC9kYXRlcz48aXNibj4xNzQy
LTQ3NTUgKEVsZWN0cm9uaWMpJiN4RDsxNzQyLTQ3NTUgKExpbmtpbmcpPC9pc2JuPjxhY2Nlc3Np
b24tbnVtPjE5MDI1NTc5PC9hY2Nlc3Npb24tbnVtPjx1cmxzPjxyZWxhdGVkLXVybHM+PHVybD5o
dHRwczovL3d3dy5uY2JpLm5sbS5uaWguZ292L3B1Ym1lZC8xOTAyNTU3OTwvdXJsPjwvcmVsYXRl
ZC11cmxzPjwvdXJscz48Y3VzdG9tMj5QTUMyNjEzMTMxPC9jdXN0b20yPjxlbGVjdHJvbmljLXJl
c291cmNlLW51bT4xMC4xMTg2LzE3NDItNDc1NS01LTEwPC9lbGVjdHJvbmljLXJlc291cmNlLW51
bT48L3JlY29yZD48L0NpdGU+PENpdGU+PEF1dGhvcj5CYXJha2F0PC9BdXRob3I+PFllYXI+MjAw
ODwvWWVhcj48UmVjTnVtPjY2NzwvUmVjTnVtPjxyZWNvcmQ+PHJlYy1udW1iZXI+NjY3PC9yZWMt
bnVtYmVyPjxmb3JlaWduLWtleXM+PGtleSBhcHA9IkVOIiBkYi1pZD0iZXh2YXNyZngyZHRyYW9l
c2FzeHAyc3pzeGEyZGY1MDI1OTJ4IiB0aW1lc3RhbXA9IjE1NDA1MjY1MzgiPjY2Nzwva2V5Pjwv
Zm9yZWlnbi1rZXlzPjxyZWYtdHlwZSBuYW1lPSJKb3VybmFsIEFydGljbGUiPjE3PC9yZWYtdHlw
ZT48Y29udHJpYnV0b3JzPjxhdXRob3JzPjxhdXRob3I+QmFyYWthdCwgUi48L2F1dGhvcj48YXV0
aG9yPlN0aXJsaW5nLCBKLiBSLjwvYXV0aG9yPjxhdXRob3I+THVjaWEsIEEuPC9hdXRob3I+PC9h
dXRob3JzPjwvY29udHJpYnV0b3JzPjxhdXRoLWFkZHJlc3M+SW5zdGl0dXRvIE5hY2lvbmFsIGRl
IEVkdWNhY2lvbiBGaXNpY2EgKElORUYpLCBVbml2ZXJzaWRhZCBQb2xpdGVjbmljYSwgTWFkcmlk
LCBTcGFpbi48L2F1dGgtYWRkcmVzcz48dGl0bGVzPjx0aXRsZT5Eb2VzIGV4ZXJjaXNlIHRyYWlu
aW5nIGR1cmluZyBwcmVnbmFuY3kgYWZmZWN0IGdlc3RhdGlvbmFsIGFnZT8gQSByYW5kb21pc2Vk
IGNvbnRyb2xsZWQgdHJpYWw8L3RpdGxlPjxzZWNvbmRhcnktdGl0bGU+QnIgSiBTcG9ydHMgTWVk
PC9zZWNvbmRhcnktdGl0bGU+PC90aXRsZXM+PHBlcmlvZGljYWw+PGZ1bGwtdGl0bGU+QnIgSiBT
cG9ydHMgTWVkPC9mdWxsLXRpdGxlPjwvcGVyaW9kaWNhbD48cGFnZXM+Njc0LTg8L3BhZ2VzPjx2
b2x1bWU+NDI8L3ZvbHVtZT48bnVtYmVyPjg8L251bWJlcj48ZWRpdGlvbj4yMDA4LzA2LzE3PC9l
ZGl0aW9uPjxrZXl3b3Jkcz48a2V5d29yZD5BZHVsdDwva2V5d29yZD48a2V5d29yZD5FeGVyY2lz
ZS8qcGh5c2lvbG9neTwva2V5d29yZD48a2V5d29yZD5GZW1hbGU8L2tleXdvcmQ+PGtleXdvcmQ+
Kkdlc3RhdGlvbmFsIEFnZTwva2V5d29yZD48a2V5d29yZD5IdW1hbnM8L2tleXdvcmQ+PGtleXdv
cmQ+SW5mYW50LCBOZXdib3JuPC9rZXl3b3JkPjxrZXl3b3JkPlBoeXNpY2FsIEVkdWNhdGlvbiBh
bmQgVHJhaW5pbmcvbWV0aG9kczwva2V5d29yZD48a2V5d29yZD5QcmVnbmFuY3k8L2tleXdvcmQ+
PGtleXdvcmQ+UHJlZ25hbmN5IFRyaW1lc3RlciwgU2Vjb25kL3BoeXNpb2xvZ3k8L2tleXdvcmQ+
PGtleXdvcmQ+UHJlZ25hbmN5IFRyaW1lc3RlciwgVGhpcmQvcGh5c2lvbG9neTwva2V5d29yZD48
a2V5d29yZD5QcmVtYXR1cmUgQmlydGgvKmV0aW9sb2d5PC9rZXl3b3JkPjwva2V5d29yZHM+PGRh
dGVzPjx5ZWFyPjIwMDg8L3llYXI+PHB1Yi1kYXRlcz48ZGF0ZT5BdWc8L2RhdGU+PC9wdWItZGF0
ZXM+PC9kYXRlcz48aXNibj4xNDczLTA0ODAgKEVsZWN0cm9uaWMpJiN4RDswMzA2LTM2NzQgKExp
bmtpbmcpPC9pc2JuPjxhY2Nlc3Npb24tbnVtPjE4NTUyMzcwPC9hY2Nlc3Npb24tbnVtPjx1cmxz
PjxyZWxhdGVkLXVybHM+PHVybD5odHRwczovL3d3dy5uY2JpLm5sbS5uaWguZ292L3B1Ym1lZC8x
ODU1MjM3MDwvdXJsPjwvcmVsYXRlZC11cmxzPjwvdXJscz48ZWxlY3Ryb25pYy1yZXNvdXJjZS1u
dW0+MTAuMTEzNi9ianNtLjIwMDguMDQ3ODM3PC9lbGVjdHJvbmljLXJlc291cmNlLW51bT48L3Jl
Y29yZD48L0NpdGU+PENpdGU+PEF1dGhvcj5CYXJha2F0PC9BdXRob3I+PFllYXI+MjAxODwvWWVh
cj48UmVjTnVtPjcxMTwvUmVjTnVtPjxyZWNvcmQ+PHJlYy1udW1iZXI+NzExPC9yZWMtbnVtYmVy
Pjxmb3JlaWduLWtleXM+PGtleSBhcHA9IkVOIiBkYi1pZD0iZXh2YXNyZngyZHRyYW9lc2FzeHAy
c3pzeGEyZGY1MDI1OTJ4IiB0aW1lc3RhbXA9IjE1NDE0NjIyODUiPjcxMTwva2V5PjwvZm9yZWln
bi1rZXlzPjxyZWYtdHlwZSBuYW1lPSJKb3VybmFsIEFydGljbGUiPjE3PC9yZWYtdHlwZT48Y29u
dHJpYnV0b3JzPjxhdXRob3JzPjxhdXRob3I+QmFyYWthdCwgUi48L2F1dGhvcj48YXV0aG9yPkZy
YW5jbywgRS48L2F1dGhvcj48YXV0aG9yPlBlcmFsZXMsIE0uPC9hdXRob3I+PGF1dGhvcj5Mb3Bl
eiwgQy48L2F1dGhvcj48YXV0aG9yPk1vdHRvbGEsIE0uIEYuPC9hdXRob3I+PC9hdXRob3JzPjwv
Y29udHJpYnV0b3JzPjxhdXRoLWFkZHJlc3M+QUZJUEUgUmVzZWFyY2ggR3JvdXAsIFRlY2huaWNh
bCBVbml2ZXJzaXR5IG9mIE1hZHJpZCwgU3BhaW4uIEVsZWN0cm9uaWMgYWRkcmVzczogYmFyYWth
dHJ1YmVuQGdtYWlsLmNvbS4mI3hEO0FGSVBFIFJlc2VhcmNoIEdyb3VwLCBUZWNobmljYWwgVW5p
dmVyc2l0eSBvZiBNYWRyaWQsIFNwYWluLiYjeEQ7Q2FtaWxvIEpvc2UgQ2VsYSBVbml2ZXJzaXR5
LCBNYWRyaWQsIFNwYWluOyBSZXNlYXJjaCBJbnN0aXR1dGUgb2YgSG9zcGl0YWwgMTIgZGUgT2N0
dWJyZSAoJmFwb3M7aSsxMiZhcG9zOyksIE1hZHJpZCwgU3BhaW4uJiN4RDtSIFNhbXVlbCBNY0xh
dWdobGluIEZvdW5kYXRpb24tRXhlcmNpc2UgJmFtcDsgUHJlZ25hbmN5IExhYm9yYXRvcnksIFNj
aG9vbCBvZiBLaW5lc2lvbG9neSwgRmFjdWx0eSBvZiBIZWFsdGggU2NpZW5jZXMsIENhbmFkYTsg
RGVwdCBvZiBBbmF0b215ICZhbXA7IENlbGwgQmlvbG9neSwgU2NodWxpY2ggU2Nob29sIG9mIE1l
ZGljaW5lICZhbXA7IERlbnRpc3RyeSwgQ2hpbGRyZW4mYXBvcztzIEhlYWx0aCBSZXNlYXJjaCBJ
bnN0aXR1dGUsIFVuaXZlcnNpdHkgb2YgV2VzdGVybiBPbnRhcmlvLCBMb25kb24sIENhbmFkYS48
L2F1dGgtYWRkcmVzcz48dGl0bGVzPjx0aXRsZT5FeGVyY2lzZSBkdXJpbmcgcHJlZ25hbmN5IGlz
IGFzc29jaWF0ZWQgd2l0aCBhIHNob3J0ZXIgZHVyYXRpb24gb2YgbGFib3IuIEEgcmFuZG9taXpl
ZCBjbGluaWNhbCB0cmlhbDwvdGl0bGU+PHNlY29uZGFyeS10aXRsZT5FdXIgSiBPYnN0ZXQgR3lu
ZWNvbCBSZXByb2QgQmlvbDwvc2Vjb25kYXJ5LXRpdGxlPjwvdGl0bGVzPjxwZXJpb2RpY2FsPjxm
dWxsLXRpdGxlPkV1ciBKIE9ic3RldCBHeW5lY29sIFJlcHJvZCBCaW9sPC9mdWxsLXRpdGxlPjwv
cGVyaW9kaWNhbD48cGFnZXM+MzMtNDA8L3BhZ2VzPjx2b2x1bWU+MjI0PC92b2x1bWU+PGVkaXRp
b24+MjAxOC8wMy8xMzwvZWRpdGlvbj48a2V5d29yZHM+PGtleXdvcmQ+QWR1bHQ8L2tleXdvcmQ+
PGtleXdvcmQ+KkV4ZXJjaXNlPC9rZXl3b3JkPjxrZXl3b3JkPkZlbWFsZTwva2V5d29yZD48a2V5
d29yZD5IdW1hbnM8L2tleXdvcmQ+PGtleXdvcmQ+KkxhYm9yIFN0YWdlLCBGaXJzdDwva2V5d29y
ZD48a2V5d29yZD5QcmVnbmFuY3k8L2tleXdvcmQ+PGtleXdvcmQ+KkR1cmF0aW9uPC9rZXl3b3Jk
PjxrZXl3b3JkPipMYWJvcjwva2V5d29yZD48a2V5d29yZD4qUHJlZ25hbmN5PC9rZXl3b3JkPjwv
a2V5d29yZHM+PGRhdGVzPjx5ZWFyPjIwMTg8L3llYXI+PHB1Yi1kYXRlcz48ZGF0ZT5NYXk8L2Rh
dGU+PC9wdWItZGF0ZXM+PC9kYXRlcz48aXNibj4xODcyLTc2NTQgKEVsZWN0cm9uaWMpJiN4RDsw
MzAxLTIxMTUgKExpbmtpbmcpPC9pc2JuPjxhY2Nlc3Npb24tbnVtPjI5NTI5NDc1PC9hY2Nlc3Np
b24tbnVtPjx1cmxzPjxyZWxhdGVkLXVybHM+PHVybD5odHRwczovL3d3dy5uY2JpLm5sbS5uaWgu
Z292L3B1Ym1lZC8yOTUyOTQ3NTwvdXJsPjwvcmVsYXRlZC11cmxzPjwvdXJscz48ZWxlY3Ryb25p
Yy1yZXNvdXJjZS1udW0+MTAuMTAxNi9qLmVqb2dyYi4yMDE4LjAzLjAwOTwvZWxlY3Ryb25pYy1y
ZXNvdXJjZS1udW0+PC9yZWNvcmQ+PC9DaXRlPjxDaXRlPjxBdXRob3I+UGVyYWxlczwvQXV0aG9y
PjxZZWFyPjIwMTY8L1llYXI+PFJlY051bT45MjQ8L1JlY051bT48cmVjb3JkPjxyZWMtbnVtYmVy
PjkyNDwvcmVjLW51bWJlcj48Zm9yZWlnbi1rZXlzPjxrZXkgYXBwPSJFTiIgZGItaWQ9ImV4dmFz
cmZ4MmR0cmFvZXNhc3hwMnN6c3hhMmRmNTAyNTkyeCIgdGltZXN0YW1wPSIxNTQxNTQwOTI1Ij45
MjQ8L2tleT48a2V5IGFwcD0iRU5XZWIiIGRiLWlkPSIiPjA8L2tleT48L2ZvcmVpZ24ta2V5cz48
cmVmLXR5cGUgbmFtZT0iSm91cm5hbCBBcnRpY2xlIj4xNzwvcmVmLXR5cGU+PGNvbnRyaWJ1dG9y
cz48YXV0aG9ycz48YXV0aG9yPlBlcmFsZXMsIE1hcmlhPC9hdXRob3I+PGF1dGhvcj5DYWxhYnJp
YSwgSXJlbmU8L2F1dGhvcj48YXV0aG9yPkxvcGV6LCBDYXJtaW5hPC9hdXRob3I+PGF1dGhvcj5G
cmFuY28sIEV2ZWxpYTwvYXV0aG9yPjxhdXRob3I+Q290ZXJvbiwgSmF2aWVyPC9hdXRob3I+PGF1
dGhvcj5CYXJha2F0LCBSdWJlbjwvYXV0aG9yPjwvYXV0aG9ycz48L2NvbnRyaWJ1dG9ycz48dGl0
bGVzPjx0aXRsZT5SZWd1bGFyIEV4ZXJjaXNlIFRocm91Z2hvdXQgUHJlZ25hbmN5IGlzIEFzc29j
aWF0ZWQgd2l0aCBhIFNob3J0ZXIgRmlyc3QgU3RhZ2Ugb2YgTGFib3I8L3RpdGxlPjxzZWNvbmRh
cnktdGl0bGU+QW1lcmljYW4gSm91cm5hbCBvZiBIZWFsdGggUHJvbW90aW9uPC9zZWNvbmRhcnkt
dGl0bGU+PC90aXRsZXM+PHBlcmlvZGljYWw+PGZ1bGwtdGl0bGU+QW1lcmljYW4gSm91cm5hbCBv
ZiBIZWFsdGggUHJvbW90aW9uPC9mdWxsLXRpdGxlPjwvcGVyaW9kaWNhbD48cGFnZXM+MTQ5LTE1
NzwvcGFnZXM+PHZvbHVtZT4zMDwvdm9sdW1lPjxudW1iZXI+MzwvbnVtYmVyPjxzZWN0aW9uPjE0
OTwvc2VjdGlvbj48ZGF0ZXM+PHllYXI+MjAxNjwveWVhcj48L2RhdGVzPjxpc2JuPjA4OTAtMTE3
MSYjeEQ7MjE2OC02NjAyPC9pc2JuPjx1cmxzPjwvdXJscz48ZWxlY3Ryb25pYy1yZXNvdXJjZS1u
dW0+MTAuNDI3OC9hamhwLjE0MDIyMS1RVUFOLTc5PC9lbGVjdHJvbmljLXJlc291cmNlLW51bT48
L3JlY29yZD48L0NpdGU+PENpdGU+PEF1dGhvcj5QZXJhbGVzPC9BdXRob3I+PFllYXI+MjAxNjwv
WWVhcj48UmVjTnVtPjEwNjY8L1JlY051bT48cmVjb3JkPjxyZWMtbnVtYmVyPjEwNjY8L3JlYy1u
dW1iZXI+PGZvcmVpZ24ta2V5cz48a2V5IGFwcD0iRU4iIGRiLWlkPSJleHZhc3JmeDJkdHJhb2Vz
YXN4cDJzenN4YTJkZjUwMjU5MngiIHRpbWVzdGFtcD0iMTU0ODk5MDI5NiI+MTA2Njwva2V5Pjwv
Zm9yZWlnbi1rZXlzPjxyZWYtdHlwZSBuYW1lPSJKb3VybmFsIEFydGljbGUiPjE3PC9yZWYtdHlw
ZT48Y29udHJpYnV0b3JzPjxhdXRob3JzPjxhdXRob3I+UGVyYWxlcywgTS48L2F1dGhvcj48YXV0
aG9yPlNhbnRvcy1Mb3phbm8sIEEuPC9hdXRob3I+PGF1dGhvcj5TYW5jaGlzLUdvbWFyLCBGLjwv
YXV0aG9yPjxhdXRob3I+THVhY2VzLCBNLjwvYXV0aG9yPjxhdXRob3I+UGFyZWphLUdhbGVhbm8s
IEguPC9hdXRob3I+PGF1dGhvcj5HYXJhdGFjaGVhLCBOLjwvYXV0aG9yPjxhdXRob3I+QmFyYWth
dCwgUi48L2F1dGhvcj48YXV0aG9yPkx1Y2lhLCBBLjwvYXV0aG9yPjwvYXV0aG9ycz48L2NvbnRy
aWJ1dG9ycz48YXV0aC1hZGRyZXNzPjFSZXNlYXJjaCBJbnN0aXR1dGUgSG9zcGl0YWwgMTIgZGUg
T2N0dWJyZSAoJmFwb3M7aSsxMiZhcG9zOyksIE1hZHJpZCwgU1BBSU47IDJBRklQRSBSZXNlYXJj
aCBHcm91cCwgRmFjdWx0eSBvZiBQaHlzaWNhbCBBY3Rpdml0eSBhbmQgU3BvcnRzIFNjaWVuY2Vz
IElORUYsIFRlY2huaWNhbCBVbml2ZXJzaXR5IG9mIE1hZHJpZCwgU1BBSU47IDNHSURGWVMsIERl
cGFydG1lbnQgb2YgSGVhbHRoIFNjaWVuY2VzLCBFdXJvcGVhbiBVbml2ZXJzaXR5IE1pZ3VlbCBk
ZSBDZXJ2YW50ZXMsIFZhbGxhZG9saWQsIFNQQUlOOyA0RGVwYXJ0bWVudCBvZiBDYXJkaW9sb2d5
LCBDYXJkaW92YXNjdWxhciBJbnN0aXR1dGUsIEhvc3BpdGFsIENsaW5pY28gU2FuIENhcmxvcywg
TWFkcmlkLCBTUEFJTjsgNVNjaG9vbCBvZiBEb2N0b3JhdGUgU3R1ZGllcyBhbmQgUmVzZWFyY2gs
IEV1cm9wZWFuIFVuaXZlcnNpdHksIE1hZHJpZCwgU1BBSU47IGFuZCA2RGVwYXJ0YW1lbnRvIGRl
IEZpc2lhdHJpYSB5IEVuZmVybWVyaWEuIEZhY3VsdGFkIGRlIENpZW5jaWFzIGRlIGxhIFNhbHVk
IHkgZGVsIERlcG9ydGUuIEluc3RpdHV0byBBZ3JvYWxpbWVudGFyaW8gZGUgQXJhZ29uLUlBMiwg
VW5pdmVyc2lkYWQgZGUgWmFyYWdvemEtQ0lUQSwgWmFyYWdvemEsIFNQQUlOLjwvYXV0aC1hZGRy
ZXNzPjx0aXRsZXM+PHRpdGxlPk1hdGVybmFsIENhcmRpYWMgQWRhcHRhdGlvbnMgdG8gYSBQaHlz
aWNhbCBFeGVyY2lzZSBQcm9ncmFtIGR1cmluZyBQcmVnbmFuY3k8L3RpdGxlPjxzZWNvbmRhcnkt
dGl0bGU+TWVkIFNjaSBTcG9ydHMgRXhlcmM8L3NlY29uZGFyeS10aXRsZT48L3RpdGxlcz48cGVy
aW9kaWNhbD48ZnVsbC10aXRsZT5NZWQgU2NpIFNwb3J0cyBFeGVyYzwvZnVsbC10aXRsZT48L3Bl
cmlvZGljYWw+PHBhZ2VzPjg5Ni05MDY8L3BhZ2VzPjx2b2x1bWU+NDg8L3ZvbHVtZT48bnVtYmVy
PjU8L251bWJlcj48ZWRpdGlvbj4yMDE1LzEyLzI0PC9lZGl0aW9uPjxrZXl3b3Jkcz48a2V5d29y
ZD5BZHVsdDwva2V5d29yZD48a2V5d29yZD5BdHJpYWwgUmVtb2RlbGluZzwva2V5d29yZD48a2V5
d29yZD5DYXJkaW92YXNjdWxhciBEaXNlYXNlcy9wcmV2ZW50aW9uICZhbXA7IGNvbnRyb2w8L2tl
eXdvcmQ+PGtleXdvcmQ+KkNhcmRpb3Zhc2N1bGFyIFBoeXNpb2xvZ2ljYWwgUGhlbm9tZW5hPC9r
ZXl3b3JkPjxrZXl3b3JkPkRlcHJlc3Npb24vcHJldmVudGlvbiAmYW1wOyBjb250cm9sPC9rZXl3
b3JkPjxrZXl3b3JkPkVjaG9jYXJkaW9ncmFwaHk8L2tleXdvcmQ+PGtleXdvcmQ+KkV4ZXJjaXNl
PC9rZXl3b3JkPjxrZXl3b3JkPkZlbWFsZTwva2V5d29yZD48a2V5d29yZD5IZW1vZHluYW1pY3M8
L2tleXdvcmQ+PGtleXdvcmQ+SHVtYW5zPC9rZXl3b3JkPjxrZXl3b3JkPlByZWduYW5jeS8qcGh5
c2lvbG9neTwva2V5d29yZD48a2V5d29yZD5QcmVnbmFuY3kgT3V0Y29tZTwva2V5d29yZD48a2V5
d29yZD5SaXNrIEZhY3RvcnM8L2tleXdvcmQ+PGtleXdvcmQ+VmVudHJpY3VsYXIgRnVuY3Rpb24s
IExlZnQ8L2tleXdvcmQ+PGtleXdvcmQ+VmVudHJpY3VsYXIgUmVtb2RlbGluZzwva2V5d29yZD48
a2V5d29yZD5XZWlnaHQgR2Fpbjwva2V5d29yZD48L2tleXdvcmRzPjxkYXRlcz48eWVhcj4yMDE2
PC95ZWFyPjxwdWItZGF0ZXM+PGRhdGU+TWF5PC9kYXRlPjwvcHViLWRhdGVzPjwvZGF0ZXM+PGlz
Ym4+MTUzMC0wMzE1IChFbGVjdHJvbmljKSYjeEQ7MDE5NS05MTMxIChMaW5raW5nKTwvaXNibj48
YWNjZXNzaW9uLW51bT4yNjY5NDg0ODwvYWNjZXNzaW9uLW51bT48dXJscz48cmVsYXRlZC11cmxz
Pjx1cmw+aHR0cHM6Ly93d3cubmNiaS5ubG0ubmloLmdvdi9wdWJtZWQvMjY2OTQ4NDg8L3VybD48
L3JlbGF0ZWQtdXJscz48L3VybHM+PGVsZWN0cm9uaWMtcmVzb3VyY2UtbnVtPjEwLjEyNDkvTVNT
LjAwMDAwMDAwMDAwMDA4Mzc8L2VsZWN0cm9uaWMtcmVzb3VyY2UtbnVtPjwvcmVjb3JkPjwvQ2l0
ZT48Q2l0ZT48QXV0aG9yPlNhbHZlc2VuPC9BdXRob3I+PFllYXI+MjAwNDwvWWVhcj48UmVjTnVt
Pjk0MTwvUmVjTnVtPjxyZWNvcmQ+PHJlYy1udW1iZXI+OTQxPC9yZWMtbnVtYmVyPjxmb3JlaWdu
LWtleXM+PGtleSBhcHA9IkVOIiBkYi1pZD0iZXh2YXNyZngyZHRyYW9lc2FzeHAyc3pzeGEyZGY1
MDI1OTJ4IiB0aW1lc3RhbXA9IjE1NDE1NDE4MjYiPjk0MTwva2V5PjxrZXkgYXBwPSJFTldlYiIg
ZGItaWQ9IiI+MDwva2V5PjwvZm9yZWlnbi1rZXlzPjxyZWYtdHlwZSBuYW1lPSJKb3VybmFsIEFy
dGljbGUiPjE3PC9yZWYtdHlwZT48Y29udHJpYnV0b3JzPjxhdXRob3JzPjxhdXRob3I+U2FsdmVz
ZW4sIEsuIEEuPC9hdXRob3I+PGF1dGhvcj5Nb3JrdmVkLCBTLjwvYXV0aG9yPjwvYXV0aG9ycz48
L2NvbnRyaWJ1dG9ycz48YXV0aC1hZGRyZXNzPkRlcGFydG1lbnQgb2YgT2JzdGV0cmljcyBhbmQg
R3luYWVjb2xvZ3ksIFRyb25kaGVpbSBVbml2ZXJzaXR5IEhvc3BpdGFsIFN0LiBPbGF2LCBOLTcw
MDYgVHJvbmRoZWltLCBOb3J3YXkuIHBlcGVzQG1lZGlzaW4ubnRudS5ubzwvYXV0aC1hZGRyZXNz
Pjx0aXRsZXM+PHRpdGxlPlJhbmRvbWlzZWQgY29udHJvbGxlZCB0cmlhbCBvZiBwZWx2aWMgZmxv
b3IgbXVzY2xlIHRyYWluaW5nIGR1cmluZyBwcmVnbmFuY3k8L3RpdGxlPjxzZWNvbmRhcnktdGl0
bGU+Qk1KPC9zZWNvbmRhcnktdGl0bGU+PC90aXRsZXM+PHBlcmlvZGljYWw+PGZ1bGwtdGl0bGU+
Qk1KPC9mdWxsLXRpdGxlPjwvcGVyaW9kaWNhbD48cGFnZXM+Mzc4LTgwPC9wYWdlcz48dm9sdW1l
PjMyOTwvdm9sdW1lPjxudW1iZXI+NzQ2MjwvbnVtYmVyPjxlZGl0aW9uPjIwMDQvMDcvMTY8L2Vk
aXRpb24+PGtleXdvcmRzPjxrZXl3b3JkPkVwaXNpb3RvbXkvc3RhdGlzdGljcyAmYW1wOyBudW1l
cmljYWwgZGF0YTwva2V5d29yZD48a2V5d29yZD5FeGVyY2lzZSBUaGVyYXB5LyptZXRob2RzPC9r
ZXl3b3JkPjxrZXl3b3JkPkZlbWFsZTwva2V5d29yZD48a2V5d29yZD5IdW1hbnM8L2tleXdvcmQ+
PGtleXdvcmQ+TGFib3IgU3RhZ2UsIFNlY29uZDwva2V5d29yZD48a2V5d29yZD5PYnN0ZXRyaWMg
TGFib3IgQ29tcGxpY2F0aW9ucy8qcHJldmVudGlvbiAmYW1wOyBjb250cm9sPC9rZXl3b3JkPjxr
ZXl3b3JkPlBlbHZpYyBGbG9vcjwva2V5d29yZD48a2V5d29yZD5QcmVnbmFuY3k8L2tleXdvcmQ+
PGtleXdvcmQ+VXJpbmFyeSBJbmNvbnRpbmVuY2UvKnByZXZlbnRpb24gJmFtcDsgY29udHJvbDwv
a2V5d29yZD48L2tleXdvcmRzPjxkYXRlcz48eWVhcj4yMDA0PC95ZWFyPjxwdWItZGF0ZXM+PGRh
dGU+QXVnIDE0PC9kYXRlPjwvcHViLWRhdGVzPjwvZGF0ZXM+PGlzYm4+MTc1Ni0xODMzIChFbGVj
dHJvbmljKSYjeEQ7MDk1OS04MTM4IChMaW5raW5nKTwvaXNibj48YWNjZXNzaW9uLW51bT4xNTI1
MzkyMDwvYWNjZXNzaW9uLW51bT48dXJscz48cmVsYXRlZC11cmxzPjx1cmw+aHR0cHM6Ly93d3cu
bmNiaS5ubG0ubmloLmdvdi9wdWJtZWQvMTUyNTM5MjA8L3VybD48L3JlbGF0ZWQtdXJscz48L3Vy
bHM+PGN1c3RvbTI+UE1DNTA5MzQzPC9jdXN0b20yPjxlbGVjdHJvbmljLXJlc291cmNlLW51bT4x
MC4xMTM2L2Jtai4zODE2My43MjQzMDYuM0E8L2VsZWN0cm9uaWMtcmVzb3VyY2UtbnVtPjwvcmVj
b3JkPjwvQ2l0ZT48Q2l0ZT48QXV0aG9yPlNhbHZlc2VuPC9BdXRob3I+PFllYXI+MjAxNDwvWWVh
cj48UmVjTnVtPjk0MjwvUmVjTnVtPjxyZWNvcmQ+PHJlYy1udW1iZXI+OTQyPC9yZWMtbnVtYmVy
Pjxmb3JlaWduLWtleXM+PGtleSBhcHA9IkVOIiBkYi1pZD0iZXh2YXNyZngyZHRyYW9lc2FzeHAy
c3pzeGEyZGY1MDI1OTJ4IiB0aW1lc3RhbXA9IjE1NDE1NDE4MzIiPjk0Mjwva2V5PjxrZXkgYXBw
PSJFTldlYiIgZGItaWQ9IiI+MDwva2V5PjwvZm9yZWlnbi1rZXlzPjxyZWYtdHlwZSBuYW1lPSJK
b3VybmFsIEFydGljbGUiPjE3PC9yZWYtdHlwZT48Y29udHJpYnV0b3JzPjxhdXRob3JzPjxhdXRo
b3I+U2FsdmVzZW4sIEsuIEEuPC9hdXRob3I+PGF1dGhvcj5TdGFmbmUsIFMuIE4uPC9hdXRob3I+
PGF1dGhvcj5FZ2dlYm8sIFQuIE0uPC9hdXRob3I+PGF1dGhvcj5Nb3JrdmVkLCBTLjwvYXV0aG9y
PjwvYXV0aG9ycz48L2NvbnRyaWJ1dG9ycz48YXV0aC1hZGRyZXNzPkNsaW5pY2FsIFNjaWVuY2Vz
LCBPYnN0ZXRyaWNzIGFuZCBHeW5lY29sb2d5LCBMdW5kIFVuaXZlcnNpdHksIEx1bmQsIFN3ZWRl
bjsgTmF0aW9uYWwgQ2VudGVyIGZvciBGZXRhbCBNZWRpY2luZSwgRGVwYXJ0bWVudCBvZiBPYnN0
ZXRyaWNzIGFuZCBHeW5lY29sb2d5LCBTdC4gT2xhdnMgSG9zcGl0YWwsIFRyb25kaGVpbSBVbml2
ZXJzaXR5IEhvc3BpdGFsLCBUcm9uZGhlaW0sIE5vcndheS48L2F1dGgtYWRkcmVzcz48dGl0bGVz
Pjx0aXRsZT5Eb2VzIHJlZ3VsYXIgZXhlcmNpc2UgaW4gcHJlZ25hbmN5IGluZmx1ZW5jZSBkdXJh
dGlvbiBvZiBsYWJvcj8gQSBzZWNvbmRhcnkgYW5hbHlzaXMgb2YgYSByYW5kb21pemVkIGNvbnRy
b2xsZWQgdHJpYWw8L3RpdGxlPjxzZWNvbmRhcnktdGl0bGU+QWN0YSBPYnN0ZXQgR3luZWNvbCBT
Y2FuZDwvc2Vjb25kYXJ5LXRpdGxlPjwvdGl0bGVzPjxwZXJpb2RpY2FsPjxmdWxsLXRpdGxlPkFj
dGEgT2JzdGV0IEd5bmVjb2wgU2NhbmQ8L2Z1bGwtdGl0bGU+PC9wZXJpb2RpY2FsPjxwYWdlcz43
My05PC9wYWdlcz48dm9sdW1lPjkzPC92b2x1bWU+PG51bWJlcj4xPC9udW1iZXI+PGVkaXRpb24+
MjAxMy8xMC8xMDwvZWRpdGlvbj48a2V5d29yZHM+PGtleXdvcmQ+QWR1bHQ8L2tleXdvcmQ+PGtl
eXdvcmQ+Qm9keSBNYXNzIEluZGV4PC9rZXl3b3JkPjxrZXl3b3JkPkV4ZXJjaXNlLypwaHlzaW9s
b2d5PC9rZXl3b3JkPjxrZXl3b3JkPkZlbWFsZTwva2V5d29yZD48a2V5d29yZD5IdW1hbnM8L2tl
eXdvcmQ+PGtleXdvcmQ+TGFib3IsIE9ic3RldHJpYy8qcGh5c2lvbG9neTwva2V5d29yZD48a2V5
d29yZD5QcmVnbmFuY3k8L2tleXdvcmQ+PGtleXdvcmQ+KlByZW5hdGFsIENhcmU8L2tleXdvcmQ+
PGtleXdvcmQ+RXhlcmNpc2U8L2tleXdvcmQ+PGtleXdvcmQ+bGFib3I8L2tleXdvcmQ+PGtleXdv
cmQ+cmFuZG9taXplZCBjb250cm9sbGVkIHRyaWFsPC9rZXl3b3JkPjwva2V5d29yZHM+PGRhdGVz
Pjx5ZWFyPjIwMTQ8L3llYXI+PHB1Yi1kYXRlcz48ZGF0ZT5KYW48L2RhdGU+PC9wdWItZGF0ZXM+
PC9kYXRlcz48aXNibj4xNjAwLTA0MTIgKEVsZWN0cm9uaWMpJiN4RDswMDAxLTYzNDkgKExpbmtp
bmcpPC9pc2JuPjxhY2Nlc3Npb24tbnVtPjI0MTAyNDIzPC9hY2Nlc3Npb24tbnVtPjx1cmxzPjxy
ZWxhdGVkLXVybHM+PHVybD5odHRwczovL3d3dy5uY2JpLm5sbS5uaWguZ292L3B1Ym1lZC8yNDEw
MjQyMzwvdXJsPjwvcmVsYXRlZC11cmxzPjwvdXJscz48ZWxlY3Ryb25pYy1yZXNvdXJjZS1udW0+
MTAuMTExMS9hb2dzLjEyMjYwPC9lbGVjdHJvbmljLXJlc291cmNlLW51bT48L3JlY29yZD48L0Np
dGU+PENpdGU+PEF1dGhvcj5UYW5pZ3VjaGk8L0F1dGhvcj48WWVhcj4yMDE2PC9ZZWFyPjxSZWNO
dW0+OTExPC9SZWNOdW0+PHJlY29yZD48cmVjLW51bWJlcj45MTE8L3JlYy1udW1iZXI+PGZvcmVp
Z24ta2V5cz48a2V5IGFwcD0iRU4iIGRiLWlkPSJleHZhc3JmeDJkdHJhb2VzYXN4cDJzenN4YTJk
ZjUwMjU5MngiIHRpbWVzdGFtcD0iMTU0MTU0MDg2MSI+OTExPC9rZXk+PGtleSBhcHA9IkVOV2Vi
IiBkYi1pZD0iIj4wPC9rZXk+PC9mb3JlaWduLWtleXM+PHJlZi10eXBlIG5hbWU9IkpvdXJuYWwg
QXJ0aWNsZSI+MTc8L3JlZi10eXBlPjxjb250cmlidXRvcnM+PGF1dGhvcnM+PGF1dGhvcj5UYW5p
Z3VjaGksIEMuPC9hdXRob3I+PGF1dGhvcj5TYXRvLCBDLjwvYXV0aG9yPjwvYXV0aG9ycz48L2Nv
bnRyaWJ1dG9ycz48YXV0aC1hZGRyZXNzPkthbmFnYXdhIFVuaXZlcnNpdHkgb2YgSHVtYW4gU2Vy
dmljZXMsIEthbmFnYXdhIFByZWZlY3R1cmUsIEphcGFuLiB0YW5pZ3VjaGkubTdiQGt1aHMuYWMu
anAuJiN4RDtPdHN1a2EgTWVkaWNhbCBDbGluaWMsIFRvc2hpbWEta3UsIEphcGFuLjwvYXV0aC1h
ZGRyZXNzPjx0aXRsZXM+PHRpdGxlPkhvbWUtYmFzZWQgd2Fsa2luZyBkdXJpbmcgcHJlZ25hbmN5
IGFmZmVjdHMgbW9vZCBhbmQgYmlydGggb3V0Y29tZXMgYW1vbmcgc2VkZW50YXJ5IHdvbWVuOiBB
IHJhbmRvbWl6ZWQgY29udHJvbGxlZCB0cmlhbDwvdGl0bGU+PHNlY29uZGFyeS10aXRsZT5JbnQg
SiBOdXJzIFByYWN0PC9zZWNvbmRhcnktdGl0bGU+PC90aXRsZXM+PHBlcmlvZGljYWw+PGZ1bGwt
dGl0bGU+SW50IEogTnVycyBQcmFjdDwvZnVsbC10aXRsZT48L3BlcmlvZGljYWw+PHBhZ2VzPjQy
MC00MjY8L3BhZ2VzPjx2b2x1bWU+MjI8L3ZvbHVtZT48bnVtYmVyPjU8L251bWJlcj48ZWRpdGlv
bj4yMDE2LzA2LzA5PC9lZGl0aW9uPjxrZXl3b3Jkcz48a2V5d29yZD5BZHVsdDwva2V5d29yZD48
a2V5d29yZD4qQWZmZWN0PC9rZXl3b3JkPjxrZXl3b3JkPkZlbWFsZTwva2V5d29yZD48a2V5d29y
ZD5IdW1hbnM8L2tleXdvcmQ+PGtleXdvcmQ+UHJlZ25hbmN5PC9rZXl3b3JkPjxrZXl3b3JkPipQ
cmVnbmFuY3kgT3V0Y29tZTwva2V5d29yZD48a2V5d29yZD4qU2VkZW50YXJ5IExpZmVzdHlsZTwv
a2V5d29yZD48a2V5d29yZD4qV2Fsa2luZzwva2V5d29yZD48a2V5d29yZD5Zb3VuZyBBZHVsdDwv
a2V5d29yZD48a2V5d29yZD4qUHJvZmlsZSBvZiBNb29kIFN0YXRlczwva2V5d29yZD48a2V5d29y
ZD4qZXhlcmNpc2U8L2tleXdvcmQ+PGtleXdvcmQ+Km51cnNpbmc8L2tleXdvcmQ+PGtleXdvcmQ+
KnByZWduYW5jeTwva2V5d29yZD48a2V5d29yZD4qcmFuZG9taXplZCBjb250cm9sbGVkIHRyaWFs
PC9rZXl3b3JkPjwva2V5d29yZHM+PGRhdGVzPjx5ZWFyPjIwMTY8L3llYXI+PHB1Yi1kYXRlcz48
ZGF0ZT5PY3Q8L2RhdGU+PC9wdWItZGF0ZXM+PC9kYXRlcz48aXNibj4xNDQwLTE3MlggKEVsZWN0
cm9uaWMpJiN4RDsxMzIyLTcxMTQgKExpbmtpbmcpPC9pc2JuPjxhY2Nlc3Npb24tbnVtPjI3Mjcy
OTM3PC9hY2Nlc3Npb24tbnVtPjx1cmxzPjxyZWxhdGVkLXVybHM+PHVybD5odHRwczovL3d3dy5u
Y2JpLm5sbS5uaWguZ292L3B1Ym1lZC8yNzI3MjkzNzwvdXJsPjwvcmVsYXRlZC11cmxzPjwvdXJs
cz48ZWxlY3Ryb25pYy1yZXNvdXJjZS1udW0+MTAuMTExMS9pam4uMTI0NTM8L2VsZWN0cm9uaWMt
cmVzb3VyY2UtbnVtPjwvcmVjb3JkPjwvQ2l0ZT48Q2l0ZT48QXV0aG9yPlNhbmRhPC9BdXRob3I+
PFllYXI+MjAxODwvWWVhcj48UmVjTnVtPjkyNTwvUmVjTnVtPjxyZWNvcmQ+PHJlYy1udW1iZXI+
OTI1PC9yZWMtbnVtYmVyPjxmb3JlaWduLWtleXM+PGtleSBhcHA9IkVOIiBkYi1pZD0iZXh2YXNy
ZngyZHRyYW9lc2FzeHAyc3pzeGEyZGY1MDI1OTJ4IiB0aW1lc3RhbXA9IjE1NDE1NDA5MjkiPjky
NTwva2V5PjxrZXkgYXBwPSJFTldlYiIgZGItaWQ9IiI+MDwva2V5PjwvZm9yZWlnbi1rZXlzPjxy
ZWYtdHlwZSBuYW1lPSJKb3VybmFsIEFydGljbGUiPjE3PC9yZWYtdHlwZT48Y29udHJpYnV0b3Jz
PjxhdXRob3JzPjxhdXRob3I+U2FuZGEsIEIuPC9hdXRob3I+PGF1dGhvcj5WaXN0YWQsIEkuPC9h
dXRob3I+PGF1dGhvcj5TYWdlZGFsLCBMLiBSLjwvYXV0aG9yPjxhdXRob3I+SGFha3N0YWQsIEwu
IEEuIEguPC9hdXRob3I+PGF1dGhvcj5Mb2huZS1TZWlsZXIsIEguPC9hdXRob3I+PGF1dGhvcj5U
b3JzdHZlaXQsIE0uIEsuPC9hdXRob3I+PC9hdXRob3JzPjwvY29udHJpYnV0b3JzPjxhdXRoLWFk
ZHJlc3M+RmFjdWx0eSBvZiBIZWFsdGggYW5kIFNwb3J0IFNjaWVuY2VzLCBVbml2ZXJzaXR5IG9m
IEFnZGVyLCBLcmlzdGlhbnNhbmQsIE5vcndheS4mI3hEO0RlcGFydG1lbnQgb2YgT2JzdGV0cmlj
cyBhbmQgR3luZWNvbG9neSwgU291dGhlcm4gTm9yd2F5IEhvc3BpdGFsIFRydXN0LCBLcmlzdGlh
bnNhbmQsIE5vcndheS4mI3hEO05vcndlZ2lhbiBTY2hvb2wgb2YgU3BvcnRzIFNjaWVuY2UsIE9z
bG8sIE5vcndheS48L2F1dGgtYWRkcmVzcz48dGl0bGVzPjx0aXRsZT5XaGF0IGlzIHRoZSBlZmZl
Y3Qgb2YgcGh5c2ljYWwgYWN0aXZpdHkgb24gZHVyYXRpb24gYW5kIG1vZGUgb2YgZGVsaXZlcnk/
IFNlY29uZGFyeSBhbmFseXNpcyBmcm9tIHRoZSBOb3J3ZWdpYW4gRml0IGZvciBEZWxpdmVyeSB0
cmlhbDwvdGl0bGU+PHNlY29uZGFyeS10aXRsZT5BY3RhIE9ic3RldCBHeW5lY29sIFNjYW5kPC9z
ZWNvbmRhcnktdGl0bGU+PC90aXRsZXM+PHBlcmlvZGljYWw+PGZ1bGwtdGl0bGU+QWN0YSBPYnN0
ZXQgR3luZWNvbCBTY2FuZDwvZnVsbC10aXRsZT48L3BlcmlvZGljYWw+PHBhZ2VzPjg2MS04NzE8
L3BhZ2VzPjx2b2x1bWU+OTc8L3ZvbHVtZT48bnVtYmVyPjc8L251bWJlcj48ZWRpdGlvbj4yMDE4
LzA1LzExPC9lZGl0aW9uPjxrZXl3b3Jkcz48a2V5d29yZD5FeGVyY2lzZTwva2V5d29yZD48a2V5
d29yZD5jZXNhcmVhbiBzZWN0aW9uPC9rZXl3b3JkPjxrZXl3b3JkPmRlbGl2ZXJ5IG91dGNvbWVz
PC9rZXl3b3JkPjxrZXl3b3JkPmxhYm9yPC9rZXl3b3JkPjxrZXl3b3JkPnByZWduYW5jeTwva2V5
d29yZD48a2V5d29yZD5yYW5kb21pemVkIGNvbnRyb2xsZWQgdHJpYWw8L2tleXdvcmQ+PC9rZXl3
b3Jkcz48ZGF0ZXM+PHllYXI+MjAxODwveWVhcj48cHViLWRhdGVzPjxkYXRlPkp1bDwvZGF0ZT48
L3B1Yi1kYXRlcz48L2RhdGVzPjxpc2JuPjE2MDAtMDQxMiAoRWxlY3Ryb25pYykmI3hEOzAwMDEt
NjM0OSAoTGlua2luZyk8L2lzYm4+PGFjY2Vzc2lvbi1udW0+Mjk3NDQ4NjY8L2FjY2Vzc2lvbi1u
dW0+PHVybHM+PHJlbGF0ZWQtdXJscz48dXJsPmh0dHBzOi8vd3d3Lm5jYmkubmxtLm5paC5nb3Yv
cHVibWVkLzI5NzQ0ODY2PC91cmw+PC9yZWxhdGVkLXVybHM+PC91cmxzPjxlbGVjdHJvbmljLXJl
c291cmNlLW51bT4xMC4xMTExL2FvZ3MuMTMzNTE8L2VsZWN0cm9uaWMtcmVzb3VyY2UtbnVtPjwv
cmVjb3JkPjwvQ2l0ZT48Q2l0ZT48QXV0aG9yPlJvZHJpZ3Vlei1CbGFucXVlPC9BdXRob3I+PFll
YXI+MjAxOTwvWWVhcj48UmVjTnVtPjE5NjM8L1JlY051bT48cmVjb3JkPjxyZWMtbnVtYmVyPjE5
NjM8L3JlYy1udW1iZXI+PGZvcmVpZ24ta2V5cz48a2V5IGFwcD0iRU4iIGRiLWlkPSJleHZhc3Jm
eDJkdHJhb2VzYXN4cDJzenN4YTJkZjUwMjU5MngiIHRpbWVzdGFtcD0iMTU4ODc0MzkwMSI+MTk2
Mzwva2V5PjxrZXkgYXBwPSJFTldlYiIgZGItaWQ9IiI+MDwva2V5PjwvZm9yZWlnbi1rZXlzPjxy
ZWYtdHlwZSBuYW1lPSJKb3VybmFsIEFydGljbGUiPjE3PC9yZWYtdHlwZT48Y29udHJpYnV0b3Jz
PjxhdXRob3JzPjxhdXRob3I+Um9kcmlndWV6LUJsYW5xdWUsIFIuPC9hdXRob3I+PGF1dGhvcj5T
YW5jaGV6LUdhcmNpYSwgSi4gQy48L2F1dGhvcj48YXV0aG9yPlNhbmNoZXotTG9wZXosIEEuIE0u
PC9hdXRob3I+PGF1dGhvcj5BZ3VpbGFyLUNvcmRlcm8sIE0uIEouPC9hdXRob3I+PC9hdXRob3Jz
PjwvY29udHJpYnV0b3JzPjxhdXRoLWFkZHJlc3M+SG9zcGl0YWwgVW5pdmVyc2l0YXJpbyBTYW4g
Q2VjaWxpbywgR3JhbmFkYSwgU3BhaW4uJiN4RDtBbmRhbHVzaWEgUmVzZWFyY2ggUGxhbiwgUmVz
ZWFyY2ggR3JvdXAgQ1RTIDM2NywgR3JhbmFkYSwgU3BhaW4uJiN4RDtEZXBhcnRhbWVudG8gZGUg
RW5mZXJtZXJpYS9GYWN1bHRhZCBkZSBDaWVuY2lhcyBkZSBsYSBTYWx1ZCwgVW5pdmVyc2lkYWQg
ZGUgR3JhbmFkYSwgR3JhbmFkYSwgU3BhaW4uPC9hdXRoLWFkZHJlc3M+PHRpdGxlcz48dGl0bGU+
UGh5c2ljYWwgYWN0aXZpdHkgZHVyaW5nIHByZWduYW5jeSBhbmQgaXRzIGluZmx1ZW5jZSBvbiBk
ZWxpdmVyeSB0aW1lOiBhIHJhbmRvbWl6ZWQgY2xpbmljYWwgdHJpYWw8L3RpdGxlPjxzZWNvbmRh
cnktdGl0bGU+UGVlcko8L3NlY29uZGFyeS10aXRsZT48L3RpdGxlcz48cGVyaW9kaWNhbD48ZnVs
bC10aXRsZT5QZWVySjwvZnVsbC10aXRsZT48L3BlcmlvZGljYWw+PHBhZ2VzPmU2MzcwPC9wYWdl
cz48dm9sdW1lPjc8L3ZvbHVtZT48ZWRpdGlvbj4yMDE5LzAyLzE5PC9lZGl0aW9uPjxrZXl3b3Jk
cz48a2V5d29yZD5CaXJ0aDwva2V5d29yZD48a2V5d29yZD5FeGVyY2lzZTwva2V5d29yZD48a2V5
d29yZD5MYWJvcjwva2V5d29yZD48a2V5d29yZD5QcmVnbmFuY3k8L2tleXdvcmQ+PGtleXdvcmQ+
UHJlZ25hbmN5IG91dGNvbWU8L2tleXdvcmQ+PC9rZXl3b3Jkcz48ZGF0ZXM+PHllYXI+MjAxOTwv
eWVhcj48L2RhdGVzPjxpc2JuPjIxNjctODM1OSAoUHJpbnQpJiN4RDsyMTY3LTgzNTkgKExpbmtp
bmcpPC9pc2JuPjxhY2Nlc3Npb24tbnVtPjMwNzc1MTc1PC9hY2Nlc3Npb24tbnVtPjx1cmxzPjxy
ZWxhdGVkLXVybHM+PHVybD5odHRwczovL3d3dy5uY2JpLm5sbS5uaWguZ292L3B1Ym1lZC8zMDc3
NTE3NTwvdXJsPjwvcmVsYXRlZC11cmxzPjwvdXJscz48Y3VzdG9tMj5QTUM2MzcxOTE2PC9jdXN0
b20yPjxlbGVjdHJvbmljLXJlc291cmNlLW51bT4xMC43NzE3L3BlZXJqLjYzNzA8L2VsZWN0cm9u
aWMtcmVzb3VyY2UtbnVtPjwvcmVjb3JkPjwvQ2l0ZT48Q2l0ZT48QXV0aG9yPlBlcmFsZXM8L0F1
dGhvcj48WWVhcj4yMDIwPC9ZZWFyPjxSZWNOdW0+MTk2NDwvUmVjTnVtPjxyZWNvcmQ+PHJlYy1u
dW1iZXI+MTk2NDwvcmVjLW51bWJlcj48Zm9yZWlnbi1rZXlzPjxrZXkgYXBwPSJFTiIgZGItaWQ9
ImV4dmFzcmZ4MmR0cmFvZXNhc3hwMnN6c3hhMmRmNTAyNTkyeCIgdGltZXN0YW1wPSIxNTg4NzQz
OTEyIj4xOTY0PC9rZXk+PGtleSBhcHA9IkVOV2ViIiBkYi1pZD0iIj4wPC9rZXk+PC9mb3JlaWdu
LWtleXM+PHJlZi10eXBlIG5hbWU9IkpvdXJuYWwgQXJ0aWNsZSI+MTc8L3JlZi10eXBlPjxjb250
cmlidXRvcnM+PGF1dGhvcnM+PGF1dGhvcj5QZXJhbGVzLCBNLjwvYXV0aG9yPjxhdXRob3I+VmFs
ZW56dWVsYSwgUC4gTC48L2F1dGhvcj48YXV0aG9yPkJhcmFrYXQsIFIuPC9hdXRob3I+PGF1dGhv
cj5Db3JkZXJvLCBZLjwvYXV0aG9yPjxhdXRob3I+UGVsYWV6LCBNLjwvYXV0aG9yPjxhdXRob3I+
TG9wZXosIEMuPC9hdXRob3I+PGF1dGhvcj5SdWlsb3BlLCBMLiBNLjwvYXV0aG9yPjxhdXRob3I+
U2FudG9zLUxvemFubywgQS48L2F1dGhvcj48YXV0aG9yPkx1Y2lhLCBBLjwvYXV0aG9yPjwvYXV0
aG9ycz48L2NvbnRyaWJ1dG9ycz48YXV0aC1hZGRyZXNzPlJlc2VhcmNoIEluc3RpdHVlIG9mIEhv
c3BpdGFsIDEyIGRlIE9jdHVicmUgKCZhcG9zO2krMTImYXBvczspLCAyODA0MSBNYWRyaWQsIFNw
YWluLiYjeEQ7RGVwYXJ0YW1lbnRvIGRlIENpZW5jaWFzIGRlIGxhIEFjdGl2aWRhZCBGaXNpY2Eg
eSBkZWwgRGVwb3J0ZS4gVW5pdmVyc2lkYWQgQ2FtaWxvIEpvc2UgQ2VsYSwgMjg2OTIgVmlsbGFu
dWV2YSBkZSBsYSBDYW5hZGEsIE1hZHJpZCwgU3BhaW4uJiN4RDtEZXBhcnRtZW50IG9mIFN5c3Rl
bXMgQmlvbG9neSwgVW5pdmVyc2l0eSBvZiBBbGNhbGEsIDI4ODAxIEFsY2FsYSBkZSBIZW5hcmVz
LCBNYWRyaWQsIFNwYWluLiYjeEQ7RmFjdWx0YWQgZGUgQ2llbmNpYXMgZGUgbGEgQWN0aXZpZGFk
IEZpc2ljYSB5IGRlbCBEZXBvcnRlLCBVbml2ZXJzaWRhZCBQb2xpdGVjbmljYSBkZSBNYWRyaWQs
IDI4MDQwIE1hZHJpZCwgU3BhaW4uJiN4RDtVbml2ZXJzaWRhZCBDb21wbHV0ZW5zZSBkZSBNYWRy
aWQsIDI4MDQwIE1hZHJpZCwgU3BhaW4uJiN4RDtVbml2ZXJzaWRhZCBFdXJvcGVhZGVsIEF0bGFu
dGljbywgMzkwMTEgU2FudGFuZGVyLCBTcGFpbi4mI3hEO0MuUC5CLiBUaWVtbyBHYWx2YW4sIFRy
ZXMgQ2FudG9zLCAyODc2MCBUcmVzIENhbnRvcywgTWFkcmlkLCBTcGFpbi4mI3hEO0h5cGVydGVu
c2lvbiBVbml0IGFuZCBDYXJkaW9yZW50YWwgVHJhbnNsYXRpb25hbCBMYWJvcmF0b3J5LCBSZXNl
YXJjaCBJbnN0aXR1ZSBvZiBIb3NwaXRhbCAxMiBkZSBPY3R1YnJlICgmYXBvcztpKzEyJmFwb3M7
KSwgMjgwNDEgTWFkcmlkLCBTcGFpbi4mI3hEO2krSGVBTFRILCBEZXBhcnRtZW50IG9mIEhlYWx0
aCBTY2llbmNlcywgRXVyb3BlYW4gVW5pdmVyc2l0eSBNaWd1ZWwgZGUgR2VydmFudGVzLCA0NzAx
MiBWYWxsYWRvbGlkLCBTcGFpbi4mI3hEO0ZhY3VsdHkgb2YgU3BvcnQgU2NpZW5jZXMsIFVuaXZl
cnNpZGFkIEV1cm9wZWEgZGUgTWFkcmlkLCAyODY3MCBWaWxsYXZpY2lvc2EgZGUgT2RvbiwgTWFk
cmlkLCBTcGFpbi48L2F1dGgtYWRkcmVzcz48dGl0bGVzPjx0aXRsZT5HZXN0YXRpb25hbCBleGVy
Y2lzZSBhbmQgbWF0ZXJuYWwgYW5kIGNoaWxkIGhlYWx0aDogZWZmZWN0cyB1bnRpbCBkZWxpdmVy
eSBhbmQgYXQgcG9zdC1uYXRhbCBmb2xsb3ctdXA8L3RpdGxlPjxzZWNvbmRhcnktdGl0bGU+SiBD
bGluIE1lZDwvc2Vjb25kYXJ5LXRpdGxlPjwvdGl0bGVzPjxwZXJpb2RpY2FsPjxmdWxsLXRpdGxl
PkogQ2xpbiBNZWQ8L2Z1bGwtdGl0bGU+PC9wZXJpb2RpY2FsPjx2b2x1bWU+OTwvdm9sdW1lPjxu
dW1iZXI+MjwvbnVtYmVyPjxlZGl0aW9uPjIwMjAvMDIvMDc8L2VkaXRpb24+PGtleXdvcmRzPjxr
ZXl3b3JkPmRpYWJldGVzPC9rZXl3b3JkPjxrZXl3b3JkPmh5cGVydGVuc2lvbjwva2V5d29yZD48
a2V5d29yZD5vYmVzaXR5PC9rZXl3b3JkPjxrZXl3b3JkPnBoeXNpY2FsIGFjdGl2aXR5PC9rZXl3
b3JkPjxrZXl3b3JkPnByZWduYW5jeTwva2V5d29yZD48a2V5d29yZD50cmFpbmluZzwva2V5d29y
ZD48L2tleXdvcmRzPjxkYXRlcz48eWVhcj4yMDIwPC95ZWFyPjxwdWItZGF0ZXM+PGRhdGU+SmFu
IDMxPC9kYXRlPjwvcHViLWRhdGVzPjwvZGF0ZXM+PGlzYm4+MjA3Ny0wMzgzIChQcmludCkmI3hE
OzIwNzctMDM4MyAoTGlua2luZyk8L2lzYm4+PGFjY2Vzc2lvbi1udW0+MzIwMjM4MzM8L2FjY2Vz
c2lvbi1udW0+PHVybHM+PHJlbGF0ZWQtdXJscz48dXJsPmh0dHBzOi8vd3d3Lm5jYmkubmxtLm5p
aC5nb3YvcHVibWVkLzMyMDIzODMzPC91cmw+PC9yZWxhdGVkLXVybHM+PC91cmxzPjxjdXN0b20y
PlBNQzcwNzQ1Nzc8L2N1c3RvbTI+PGVsZWN0cm9uaWMtcmVzb3VyY2UtbnVtPjEwLjMzOTAvamNt
OTAyMDM3OTwvZWxlY3Ryb25pYy1yZXNvdXJjZS1udW0+PC9yZWNvcmQ+PC9DaXRlPjwvRW5kTm90
ZT4A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292-302</w:t>
      </w:r>
      <w:r>
        <w:rPr>
          <w:noProof/>
          <w:sz w:val="16"/>
          <w:szCs w:val="16"/>
        </w:rPr>
        <w:fldChar w:fldCharType="end"/>
      </w:r>
      <w:r w:rsidR="00DA0D14">
        <w:t xml:space="preserve"> reported on duration of labour among women who </w:t>
      </w:r>
      <w:r w:rsidR="00F06ADE">
        <w:t>had participated in a physical activity intervention during pregnancy and those who had not.</w:t>
      </w:r>
      <w:r w:rsidR="00827E81">
        <w:t xml:space="preserve"> </w:t>
      </w:r>
      <w:r w:rsidR="0026369E">
        <w:t xml:space="preserve">The systematic review found no clear difference in length of </w:t>
      </w:r>
      <w:r w:rsidR="00827A91">
        <w:t>the first (</w:t>
      </w:r>
      <w:r w:rsidR="00827A91" w:rsidRPr="00A912D4">
        <w:rPr>
          <w:sz w:val="16"/>
          <w:szCs w:val="16"/>
        </w:rPr>
        <w:t>MD 2.00; 95%CI -1.15 to 5.15; 1 study; n=18</w:t>
      </w:r>
      <w:r w:rsidR="00827A91">
        <w:t>) or second stage (</w:t>
      </w:r>
      <w:r w:rsidR="00827A91" w:rsidRPr="00A912D4">
        <w:rPr>
          <w:sz w:val="16"/>
          <w:szCs w:val="16"/>
        </w:rPr>
        <w:t xml:space="preserve">MD </w:t>
      </w:r>
      <w:r w:rsidR="00827A91">
        <w:rPr>
          <w:sz w:val="16"/>
          <w:szCs w:val="16"/>
        </w:rPr>
        <w:noBreakHyphen/>
      </w:r>
      <w:r w:rsidR="00827A91" w:rsidRPr="00A912D4">
        <w:rPr>
          <w:sz w:val="16"/>
          <w:szCs w:val="16"/>
        </w:rPr>
        <w:t>5.72; 95%CI -15.22 to 3.78; 1 study; n=18</w:t>
      </w:r>
      <w:r w:rsidR="00827A91">
        <w:t xml:space="preserve">) stage of </w:t>
      </w:r>
      <w:r w:rsidR="0026369E">
        <w:t>labour</w:t>
      </w:r>
      <w:r w:rsidR="00827A91">
        <w:t xml:space="preserve"> </w:t>
      </w:r>
      <w:r w:rsidR="00827A91">
        <w:fldChar w:fldCharType="begin"/>
      </w:r>
      <w:r w:rsidR="002747EA">
        <w:instrText xml:space="preserve"> ADDIN EN.CITE &lt;EndNote&gt;&lt;Cite&gt;&lt;Author&gt;Kramer&lt;/Author&gt;&lt;Year&gt;2006&lt;/Year&gt;&lt;RecNum&gt;633&lt;/RecNum&gt;&lt;DisplayText&gt;&lt;style face="superscript" font="Trebuchet MS" size="9"&gt;291&lt;/style&gt;&lt;/DisplayText&gt;&lt;record&gt;&lt;rec-number&gt;633&lt;/rec-number&gt;&lt;foreign-keys&gt;&lt;key app="EN" db-id="exvasrfx2dtraoesasxp2szsxa2df502592x" timestamp="1540425550"&gt;633&lt;/key&gt;&lt;key app="ENWeb" db-id=""&gt;0&lt;/key&gt;&lt;/foreign-keys&gt;&lt;ref-type name="Journal Article"&gt;17&lt;/ref-type&gt;&lt;contributors&gt;&lt;authors&gt;&lt;author&gt;Kramer, Michael S.&lt;/author&gt;&lt;author&gt;McDonald, Sheila W.&lt;/author&gt;&lt;/authors&gt;&lt;/contributors&gt;&lt;titles&gt;&lt;title&gt;Aerobic exercise for women during pregnancy&lt;/title&gt;&lt;secondary-title&gt;Cochrane Database of Systematic Reviews&lt;/secondary-title&gt;&lt;/titles&gt;&lt;periodical&gt;&lt;full-title&gt;Cochrane Database of Systematic Reviews&lt;/full-title&gt;&lt;/periodical&gt;&lt;dates&gt;&lt;year&gt;2006&lt;/year&gt;&lt;/dates&gt;&lt;isbn&gt;14651858&lt;/isbn&gt;&lt;urls&gt;&lt;/urls&gt;&lt;electronic-resource-num&gt;10.1002/14651858.CD000180.pub2&lt;/electronic-resource-num&gt;&lt;/record&gt;&lt;/Cite&gt;&lt;/EndNote&gt;</w:instrText>
      </w:r>
      <w:r w:rsidR="00827A91">
        <w:fldChar w:fldCharType="separate"/>
      </w:r>
      <w:r w:rsidR="002747EA" w:rsidRPr="002747EA">
        <w:rPr>
          <w:noProof/>
          <w:vertAlign w:val="superscript"/>
        </w:rPr>
        <w:t>291</w:t>
      </w:r>
      <w:r w:rsidR="00827A91">
        <w:fldChar w:fldCharType="end"/>
      </w:r>
      <w:r w:rsidR="0026369E">
        <w:t xml:space="preserve">. </w:t>
      </w:r>
      <w:r w:rsidR="009C7C88">
        <w:t>While some</w:t>
      </w:r>
      <w:r w:rsidR="00133978">
        <w:t xml:space="preserve"> RCTs found </w:t>
      </w:r>
      <w:r w:rsidR="009C7C88">
        <w:t xml:space="preserve">that women who had participated in exercise had a shorter </w:t>
      </w:r>
      <w:r w:rsidR="00133978">
        <w:t>first stage of labour</w:t>
      </w:r>
      <w:r w:rsidR="009C7C88">
        <w:t>,</w:t>
      </w:r>
      <w:r w:rsidR="00133978">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IGZvbnQ9IlRyZWJ1Y2hldCBNUyIgc2l6ZT0iOSI+Mjk0LDI5NSwzMDAtMzAyPC9zdHlsZT48L0Rp
c3BsYXlUZXh0PjxyZWNvcmQ+PHJlYy1udW1iZXI+NzExPC9yZWMtbnVtYmVyPjxmb3JlaWduLWtl
eXM+PGtleSBhcHA9IkVOIiBkYi1pZD0iZXh2YXNyZngyZHRyYW9lc2FzeHAyc3pzeGEyZGY1MDI1
OTJ4IiB0aW1lc3RhbXA9IjE1NDE0NjIyODUiPjcxMTwva2V5PjwvZm9yZWlnbi1rZXlzPjxyZWYt
dHlwZSBuYW1lPSJKb3VybmFsIEFydGljbGUiPjE3PC9yZWYtdHlwZT48Y29udHJpYnV0b3JzPjxh
dXRob3JzPjxhdXRob3I+QmFyYWthdCwgUi48L2F1dGhvcj48YXV0aG9yPkZyYW5jbywgRS48L2F1
dGhvcj48YXV0aG9yPlBlcmFsZXMsIE0uPC9hdXRob3I+PGF1dGhvcj5Mb3BleiwgQy48L2F1dGhv
cj48YXV0aG9yPk1vdHRvbGEsIE0uIEYuPC9hdXRob3I+PC9hdXRob3JzPjwvY29udHJpYnV0b3Jz
PjxhdXRoLWFkZHJlc3M+QUZJUEUgUmVzZWFyY2ggR3JvdXAsIFRlY2huaWNhbCBVbml2ZXJzaXR5
IG9mIE1hZHJpZCwgU3BhaW4uIEVsZWN0cm9uaWMgYWRkcmVzczogYmFyYWthdHJ1YmVuQGdtYWls
LmNvbS4mI3hEO0FGSVBFIFJlc2VhcmNoIEdyb3VwLCBUZWNobmljYWwgVW5pdmVyc2l0eSBvZiBN
YWRyaWQsIFNwYWluLiYjeEQ7Q2FtaWxvIEpvc2UgQ2VsYSBVbml2ZXJzaXR5LCBNYWRyaWQsIFNw
YWluOyBSZXNlYXJjaCBJbnN0aXR1dGUgb2YgSG9zcGl0YWwgMTIgZGUgT2N0dWJyZSAoJmFwb3M7
aSsxMiZhcG9zOyksIE1hZHJpZCwgU3BhaW4uJiN4RDtSIFNhbXVlbCBNY0xhdWdobGluIEZvdW5k
YXRpb24tRXhlcmNpc2UgJmFtcDsgUHJlZ25hbmN5IExhYm9yYXRvcnksIFNjaG9vbCBvZiBLaW5l
c2lvbG9neSwgRmFjdWx0eSBvZiBIZWFsdGggU2NpZW5jZXMsIENhbmFkYTsgRGVwdCBvZiBBbmF0
b215ICZhbXA7IENlbGwgQmlvbG9neSwgU2NodWxpY2ggU2Nob29sIG9mIE1lZGljaW5lICZhbXA7
IERlbnRpc3RyeSwgQ2hpbGRyZW4mYXBvcztzIEhlYWx0aCBSZXNlYXJjaCBJbnN0aXR1dGUsIFVu
aXZlcnNpdHkgb2YgV2VzdGVybiBPbnRhcmlvLCBMb25kb24sIENhbmFkYS48L2F1dGgtYWRkcmVz
cz48dGl0bGVzPjx0aXRsZT5FeGVyY2lzZSBkdXJpbmcgcHJlZ25hbmN5IGlzIGFzc29jaWF0ZWQg
d2l0aCBhIHNob3J0ZXIgZHVyYXRpb24gb2YgbGFib3IuIEEgcmFuZG9taXplZCBjbGluaWNhbCB0
cmlhbDwvdGl0bGU+PHNlY29uZGFyeS10aXRsZT5FdXIgSiBPYnN0ZXQgR3luZWNvbCBSZXByb2Qg
QmlvbDwvc2Vjb25kYXJ5LXRpdGxlPjwvdGl0bGVzPjxwZXJpb2RpY2FsPjxmdWxsLXRpdGxlPkV1
ciBKIE9ic3RldCBHeW5lY29sIFJlcHJvZCBCaW9sPC9mdWxsLXRpdGxlPjwvcGVyaW9kaWNhbD48
cGFnZXM+MzMtNDA8L3BhZ2VzPjx2b2x1bWU+MjI0PC92b2x1bWU+PGVkaXRpb24+MjAxOC8wMy8x
MzwvZWRpdGlvbj48a2V5d29yZHM+PGtleXdvcmQ+QWR1bHQ8L2tleXdvcmQ+PGtleXdvcmQ+KkV4
ZXJjaXNlPC9rZXl3b3JkPjxrZXl3b3JkPkZlbWFsZTwva2V5d29yZD48a2V5d29yZD5IdW1hbnM8
L2tleXdvcmQ+PGtleXdvcmQ+KkxhYm9yIFN0YWdlLCBGaXJzdDwva2V5d29yZD48a2V5d29yZD5Q
cmVnbmFuY3k8L2tleXdvcmQ+PGtleXdvcmQ+KkR1cmF0aW9uPC9rZXl3b3JkPjxrZXl3b3JkPipM
YWJvcjwva2V5d29yZD48a2V5d29yZD4qUHJlZ25hbmN5PC9rZXl3b3JkPjwva2V5d29yZHM+PGRh
dGVzPjx5ZWFyPjIwMTg8L3llYXI+PHB1Yi1kYXRlcz48ZGF0ZT5NYXk8L2RhdGU+PC9wdWItZGF0
ZXM+PC9kYXRlcz48aXNibj4xODcyLTc2NTQgKEVsZWN0cm9uaWMpJiN4RDswMzAxLTIxMTUgKExp
bmtpbmcpPC9pc2JuPjxhY2Nlc3Npb24tbnVtPjI5NTI5NDc1PC9hY2Nlc3Npb24tbnVtPjx1cmxz
PjxyZWxhdGVkLXVybHM+PHVybD5odHRwczovL3d3dy5uY2JpLm5sbS5uaWguZ292L3B1Ym1lZC8y
OTUyOTQ3NTwvdXJsPjwvcmVsYXRlZC11cmxzPjwvdXJscz48ZWxlY3Ryb25pYy1yZXNvdXJjZS1u
dW0+MTAuMTAxNi9qLmVqb2dyYi4yMDE4LjAzLjAwOTwvZWxlY3Ryb25pYy1yZXNvdXJjZS1udW0+
PC9yZWNvcmQ+PC9DaXRlPjxDaXRlPjxBdXRob3I+UGVyYWxlczwvQXV0aG9yPjxZZWFyPjIwMTY8
L1llYXI+PFJlY051bT45MjQ8L1JlY051bT48cmVjb3JkPjxyZWMtbnVtYmVyPjkyNDwvcmVjLW51
bWJlcj48Zm9yZWlnbi1rZXlzPjxrZXkgYXBwPSJFTiIgZGItaWQ9ImV4dmFzcmZ4MmR0cmFvZXNh
c3hwMnN6c3hhMmRmNTAyNTkyeCIgdGltZXN0YW1wPSIxNTQxNTQwOTI1Ij45MjQ8L2tleT48a2V5
IGFwcD0iRU5XZWIiIGRiLWlkPSIiPjA8L2tleT48L2ZvcmVpZ24ta2V5cz48cmVmLXR5cGUgbmFt
ZT0iSm91cm5hbCBBcnRpY2xlIj4xNzwvcmVmLXR5cGU+PGNvbnRyaWJ1dG9ycz48YXV0aG9ycz48
YXV0aG9yPlBlcmFsZXMsIE1hcmlhPC9hdXRob3I+PGF1dGhvcj5DYWxhYnJpYSwgSXJlbmU8L2F1
dGhvcj48YXV0aG9yPkxvcGV6LCBDYXJtaW5hPC9hdXRob3I+PGF1dGhvcj5GcmFuY28sIEV2ZWxp
YTwvYXV0aG9yPjxhdXRob3I+Q290ZXJvbiwgSmF2aWVyPC9hdXRob3I+PGF1dGhvcj5CYXJha2F0
LCBSdWJlbjwvYXV0aG9yPjwvYXV0aG9ycz48L2NvbnRyaWJ1dG9ycz48dGl0bGVzPjx0aXRsZT5S
ZWd1bGFyIEV4ZXJjaXNlIFRocm91Z2hvdXQgUHJlZ25hbmN5IGlzIEFzc29jaWF0ZWQgd2l0aCBh
IFNob3J0ZXIgRmlyc3QgU3RhZ2Ugb2YgTGFib3I8L3RpdGxlPjxzZWNvbmRhcnktdGl0bGU+QW1l
cmljYW4gSm91cm5hbCBvZiBIZWFsdGggUHJvbW90aW9uPC9zZWNvbmRhcnktdGl0bGU+PC90aXRs
ZXM+PHBlcmlvZGljYWw+PGZ1bGwtdGl0bGU+QW1lcmljYW4gSm91cm5hbCBvZiBIZWFsdGggUHJv
bW90aW9uPC9mdWxsLXRpdGxlPjwvcGVyaW9kaWNhbD48cGFnZXM+MTQ5LTE1NzwvcGFnZXM+PHZv
bHVtZT4zMDwvdm9sdW1lPjxudW1iZXI+MzwvbnVtYmVyPjxzZWN0aW9uPjE0OTwvc2VjdGlvbj48
ZGF0ZXM+PHllYXI+MjAxNjwveWVhcj48L2RhdGVzPjxpc2JuPjA4OTAtMTE3MSYjeEQ7MjE2OC02
NjAyPC9pc2JuPjx1cmxzPjwvdXJscz48ZWxlY3Ryb25pYy1yZXNvdXJjZS1udW0+MTAuNDI3OC9h
amhwLjE0MDIyMS1RVUFOLTc5PC9lbGVjdHJvbmljLXJlc291cmNlLW51bT48L3JlY29yZD48L0Np
dGU+PENpdGU+PEF1dGhvcj5QZXJhbGVzPC9BdXRob3I+PFllYXI+MjAyMDwvWWVhcj48UmVjTnVt
PjE5NjQ8L1JlY051bT48cmVjb3JkPjxyZWMtbnVtYmVyPjE5NjQ8L3JlYy1udW1iZXI+PGZvcmVp
Z24ta2V5cz48a2V5IGFwcD0iRU4iIGRiLWlkPSJleHZhc3JmeDJkdHJhb2VzYXN4cDJzenN4YTJk
ZjUwMjU5MngiIHRpbWVzdGFtcD0iMTU4ODc0MzkxMiI+MTk2NDwva2V5PjxrZXkgYXBwPSJFTldl
YiIgZGItaWQ9IiI+MDwva2V5PjwvZm9yZWlnbi1rZXlzPjxyZWYtdHlwZSBuYW1lPSJKb3VybmFs
IEFydGljbGUiPjE3PC9yZWYtdHlwZT48Y29udHJpYnV0b3JzPjxhdXRob3JzPjxhdXRob3I+UGVy
YWxlcywgTS48L2F1dGhvcj48YXV0aG9yPlZhbGVuenVlbGEsIFAuIEwuPC9hdXRob3I+PGF1dGhv
cj5CYXJha2F0LCBSLjwvYXV0aG9yPjxhdXRob3I+Q29yZGVybywgWS48L2F1dGhvcj48YXV0aG9y
PlBlbGFleiwgTS48L2F1dGhvcj48YXV0aG9yPkxvcGV6LCBDLjwvYXV0aG9yPjxhdXRob3I+UnVp
bG9wZSwgTC4gTS48L2F1dGhvcj48YXV0aG9yPlNhbnRvcy1Mb3phbm8sIEEuPC9hdXRob3I+PGF1
dGhvcj5MdWNpYSwgQS48L2F1dGhvcj48L2F1dGhvcnM+PC9jb250cmlidXRvcnM+PGF1dGgtYWRk
cmVzcz5SZXNlYXJjaCBJbnN0aXR1ZSBvZiBIb3NwaXRhbCAxMiBkZSBPY3R1YnJlICgmYXBvcztp
KzEyJmFwb3M7KSwgMjgwNDEgTWFkcmlkLCBTcGFpbi4mI3hEO0RlcGFydGFtZW50byBkZSBDaWVu
Y2lhcyBkZSBsYSBBY3RpdmlkYWQgRmlzaWNhIHkgZGVsIERlcG9ydGUuIFVuaXZlcnNpZGFkIENh
bWlsbyBKb3NlIENlbGEsIDI4NjkyIFZpbGxhbnVldmEgZGUgbGEgQ2FuYWRhLCBNYWRyaWQsIFNw
YWluLiYjeEQ7RGVwYXJ0bWVudCBvZiBTeXN0ZW1zIEJpb2xvZ3ksIFVuaXZlcnNpdHkgb2YgQWxj
YWxhLCAyODgwMSBBbGNhbGEgZGUgSGVuYXJlcywgTWFkcmlkLCBTcGFpbi4mI3hEO0ZhY3VsdGFk
IGRlIENpZW5jaWFzIGRlIGxhIEFjdGl2aWRhZCBGaXNpY2EgeSBkZWwgRGVwb3J0ZSwgVW5pdmVy
c2lkYWQgUG9saXRlY25pY2EgZGUgTWFkcmlkLCAyODA0MCBNYWRyaWQsIFNwYWluLiYjeEQ7VW5p
dmVyc2lkYWQgQ29tcGx1dGVuc2UgZGUgTWFkcmlkLCAyODA0MCBNYWRyaWQsIFNwYWluLiYjeEQ7
VW5pdmVyc2lkYWQgRXVyb3BlYWRlbCBBdGxhbnRpY28sIDM5MDExIFNhbnRhbmRlciwgU3BhaW4u
JiN4RDtDLlAuQi4gVGllbW8gR2FsdmFuLCBUcmVzIENhbnRvcywgMjg3NjAgVHJlcyBDYW50b3Ms
IE1hZHJpZCwgU3BhaW4uJiN4RDtIeXBlcnRlbnNpb24gVW5pdCBhbmQgQ2FyZGlvcmVudGFsIFRy
YW5zbGF0aW9uYWwgTGFib3JhdG9yeSwgUmVzZWFyY2ggSW5zdGl0dWUgb2YgSG9zcGl0YWwgMTIg
ZGUgT2N0dWJyZSAoJmFwb3M7aSsxMiZhcG9zOyksIDI4MDQxIE1hZHJpZCwgU3BhaW4uJiN4RDtp
K0hlQUxUSCwgRGVwYXJ0bWVudCBvZiBIZWFsdGggU2NpZW5jZXMsIEV1cm9wZWFuIFVuaXZlcnNp
dHkgTWlndWVsIGRlIEdlcnZhbnRlcywgNDcwMTIgVmFsbGFkb2xpZCwgU3BhaW4uJiN4RDtGYWN1
bHR5IG9mIFNwb3J0IFNjaWVuY2VzLCBVbml2ZXJzaWRhZCBFdXJvcGVhIGRlIE1hZHJpZCwgMjg2
NzAgVmlsbGF2aWNpb3NhIGRlIE9kb24sIE1hZHJpZCwgU3BhaW4uPC9hdXRoLWFkZHJlc3M+PHRp
dGxlcz48dGl0bGU+R2VzdGF0aW9uYWwgZXhlcmNpc2UgYW5kIG1hdGVybmFsIGFuZCBjaGlsZCBo
ZWFsdGg6IGVmZmVjdHMgdW50aWwgZGVsaXZlcnkgYW5kIGF0IHBvc3QtbmF0YWwgZm9sbG93LXVw
PC90aXRsZT48c2Vjb25kYXJ5LXRpdGxlPkogQ2xpbiBNZWQ8L3NlY29uZGFyeS10aXRsZT48L3Rp
dGxlcz48cGVyaW9kaWNhbD48ZnVsbC10aXRsZT5KIENsaW4gTWVkPC9mdWxsLXRpdGxlPjwvcGVy
aW9kaWNhbD48dm9sdW1lPjk8L3ZvbHVtZT48bnVtYmVyPjI8L251bWJlcj48ZWRpdGlvbj4yMDIw
LzAyLzA3PC9lZGl0aW9uPjxrZXl3b3Jkcz48a2V5d29yZD5kaWFiZXRlczwva2V5d29yZD48a2V5
d29yZD5oeXBlcnRlbnNpb248L2tleXdvcmQ+PGtleXdvcmQ+b2Jlc2l0eTwva2V5d29yZD48a2V5
d29yZD5waHlzaWNhbCBhY3Rpdml0eTwva2V5d29yZD48a2V5d29yZD5wcmVnbmFuY3k8L2tleXdv
cmQ+PGtleXdvcmQ+dHJhaW5pbmc8L2tleXdvcmQ+PC9rZXl3b3Jkcz48ZGF0ZXM+PHllYXI+MjAy
MDwveWVhcj48cHViLWRhdGVzPjxkYXRlPkphbiAzMTwvZGF0ZT48L3B1Yi1kYXRlcz48L2RhdGVz
Pjxpc2JuPjIwNzctMDM4MyAoUHJpbnQpJiN4RDsyMDc3LTAzODMgKExpbmtpbmcpPC9pc2JuPjxh
Y2Nlc3Npb24tbnVtPjMyMDIzODMzPC9hY2Nlc3Npb24tbnVtPjx1cmxzPjxyZWxhdGVkLXVybHM+
PHVybD5odHRwczovL3d3dy5uY2JpLm5sbS5uaWguZ292L3B1Ym1lZC8zMjAyMzgzMzwvdXJsPjwv
cmVsYXRlZC11cmxzPjwvdXJscz48Y3VzdG9tMj5QTUM3MDc0NTc3PC9jdXN0b20yPjxlbGVjdHJv
bmljLXJlc291cmNlLW51bT4xMC4zMzkwL2pjbTkwMjAzNzk8L2VsZWN0cm9uaWMtcmVzb3VyY2Ut
bnVtPjwvcmVjb3JkPjwvQ2l0ZT48Q2l0ZT48QXV0aG9yPlJvZHJpZ3Vlei1CbGFucXVlPC9BdXRo
b3I+PFllYXI+MjAxOTwvWWVhcj48UmVjTnVtPjE5NjM8L1JlY051bT48cmVjb3JkPjxyZWMtbnVt
YmVyPjE5NjM8L3JlYy1udW1iZXI+PGZvcmVpZ24ta2V5cz48a2V5IGFwcD0iRU4iIGRiLWlkPSJl
eHZhc3JmeDJkdHJhb2VzYXN4cDJzenN4YTJkZjUwMjU5MngiIHRpbWVzdGFtcD0iMTU4ODc0Mzkw
MSI+MTk2Mzwva2V5PjxrZXkgYXBwPSJFTldlYiIgZGItaWQ9IiI+MDwva2V5PjwvZm9yZWlnbi1r
ZXlzPjxyZWYtdHlwZSBuYW1lPSJKb3VybmFsIEFydGljbGUiPjE3PC9yZWYtdHlwZT48Y29udHJp
YnV0b3JzPjxhdXRob3JzPjxhdXRob3I+Um9kcmlndWV6LUJsYW5xdWUsIFIuPC9hdXRob3I+PGF1
dGhvcj5TYW5jaGV6LUdhcmNpYSwgSi4gQy48L2F1dGhvcj48YXV0aG9yPlNhbmNoZXotTG9wZXos
IEEuIE0uPC9hdXRob3I+PGF1dGhvcj5BZ3VpbGFyLUNvcmRlcm8sIE0uIEouPC9hdXRob3I+PC9h
dXRob3JzPjwvY29udHJpYnV0b3JzPjxhdXRoLWFkZHJlc3M+SG9zcGl0YWwgVW5pdmVyc2l0YXJp
byBTYW4gQ2VjaWxpbywgR3JhbmFkYSwgU3BhaW4uJiN4RDtBbmRhbHVzaWEgUmVzZWFyY2ggUGxh
biwgUmVzZWFyY2ggR3JvdXAgQ1RTIDM2NywgR3JhbmFkYSwgU3BhaW4uJiN4RDtEZXBhcnRhbWVu
dG8gZGUgRW5mZXJtZXJpYS9GYWN1bHRhZCBkZSBDaWVuY2lhcyBkZSBsYSBTYWx1ZCwgVW5pdmVy
c2lkYWQgZGUgR3JhbmFkYSwgR3JhbmFkYSwgU3BhaW4uPC9hdXRoLWFkZHJlc3M+PHRpdGxlcz48
dGl0bGU+UGh5c2ljYWwgYWN0aXZpdHkgZHVyaW5nIHByZWduYW5jeSBhbmQgaXRzIGluZmx1ZW5j
ZSBvbiBkZWxpdmVyeSB0aW1lOiBhIHJhbmRvbWl6ZWQgY2xpbmljYWwgdHJpYWw8L3RpdGxlPjxz
ZWNvbmRhcnktdGl0bGU+UGVlcko8L3NlY29uZGFyeS10aXRsZT48L3RpdGxlcz48cGVyaW9kaWNh
bD48ZnVsbC10aXRsZT5QZWVySjwvZnVsbC10aXRsZT48L3BlcmlvZGljYWw+PHBhZ2VzPmU2Mzcw
PC9wYWdlcz48dm9sdW1lPjc8L3ZvbHVtZT48ZWRpdGlvbj4yMDE5LzAyLzE5PC9lZGl0aW9uPjxr
ZXl3b3Jkcz48a2V5d29yZD5CaXJ0aDwva2V5d29yZD48a2V5d29yZD5FeGVyY2lzZTwva2V5d29y
ZD48a2V5d29yZD5MYWJvcjwva2V5d29yZD48a2V5d29yZD5QcmVnbmFuY3k8L2tleXdvcmQ+PGtl
eXdvcmQ+UHJlZ25hbmN5IG91dGNvbWU8L2tleXdvcmQ+PC9rZXl3b3Jkcz48ZGF0ZXM+PHllYXI+
MjAxOTwveWVhcj48L2RhdGVzPjxpc2JuPjIxNjctODM1OSAoUHJpbnQpJiN4RDsyMTY3LTgzNTkg
KExpbmtpbmcpPC9pc2JuPjxhY2Nlc3Npb24tbnVtPjMwNzc1MTc1PC9hY2Nlc3Npb24tbnVtPjx1
cmxzPjxyZWxhdGVkLXVybHM+PHVybD5odHRwczovL3d3dy5uY2JpLm5sbS5uaWguZ292L3B1Ym1l
ZC8zMDc3NTE3NTwvdXJsPjwvcmVsYXRlZC11cmxzPjwvdXJscz48Y3VzdG9tMj5QTUM2MzcxOTE2
PC9jdXN0b20yPjxlbGVjdHJvbmljLXJlc291cmNlLW51bT4xMC43NzE3L3BlZXJqLjYzNzA8L2Vs
ZWN0cm9uaWMtcmVzb3VyY2UtbnVtPjwvcmVjb3JkPjwvQ2l0ZT48Q2l0ZT48QXV0aG9yPlNhbmRh
PC9BdXRob3I+PFllYXI+MjAxODwvWWVhcj48UmVjTnVtPjkyNTwvUmVjTnVtPjxyZWNvcmQ+PHJl
Yy1udW1iZXI+OTI1PC9yZWMtbnVtYmVyPjxmb3JlaWduLWtleXM+PGtleSBhcHA9IkVOIiBkYi1p
ZD0iZXh2YXNyZngyZHRyYW9lc2FzeHAyc3pzeGEyZGY1MDI1OTJ4IiB0aW1lc3RhbXA9IjE1NDE1
NDA5MjkiPjkyNTwva2V5PjxrZXkgYXBwPSJFTldlYiIgZGItaWQ9IiI+MDwva2V5PjwvZm9yZWln
bi1rZXlzPjxyZWYtdHlwZSBuYW1lPSJKb3VybmFsIEFydGljbGUiPjE3PC9yZWYtdHlwZT48Y29u
dHJpYnV0b3JzPjxhdXRob3JzPjxhdXRob3I+U2FuZGEsIEIuPC9hdXRob3I+PGF1dGhvcj5WaXN0
YWQsIEkuPC9hdXRob3I+PGF1dGhvcj5TYWdlZGFsLCBMLiBSLjwvYXV0aG9yPjxhdXRob3I+SGFh
a3N0YWQsIEwuIEEuIEguPC9hdXRob3I+PGF1dGhvcj5Mb2huZS1TZWlsZXIsIEguPC9hdXRob3I+
PGF1dGhvcj5Ub3JzdHZlaXQsIE0uIEsuPC9hdXRob3I+PC9hdXRob3JzPjwvY29udHJpYnV0b3Jz
PjxhdXRoLWFkZHJlc3M+RmFjdWx0eSBvZiBIZWFsdGggYW5kIFNwb3J0IFNjaWVuY2VzLCBVbml2
ZXJzaXR5IG9mIEFnZGVyLCBLcmlzdGlhbnNhbmQsIE5vcndheS4mI3hEO0RlcGFydG1lbnQgb2Yg
T2JzdGV0cmljcyBhbmQgR3luZWNvbG9neSwgU291dGhlcm4gTm9yd2F5IEhvc3BpdGFsIFRydXN0
LCBLcmlzdGlhbnNhbmQsIE5vcndheS4mI3hEO05vcndlZ2lhbiBTY2hvb2wgb2YgU3BvcnRzIFNj
aWVuY2UsIE9zbG8sIE5vcndheS48L2F1dGgtYWRkcmVzcz48dGl0bGVzPjx0aXRsZT5XaGF0IGlz
IHRoZSBlZmZlY3Qgb2YgcGh5c2ljYWwgYWN0aXZpdHkgb24gZHVyYXRpb24gYW5kIG1vZGUgb2Yg
ZGVsaXZlcnk/IFNlY29uZGFyeSBhbmFseXNpcyBmcm9tIHRoZSBOb3J3ZWdpYW4gRml0IGZvciBE
ZWxpdmVyeSB0cmlhbDwvdGl0bGU+PHNlY29uZGFyeS10aXRsZT5BY3RhIE9ic3RldCBHeW5lY29s
IFNjYW5kPC9zZWNvbmRhcnktdGl0bGU+PC90aXRsZXM+PHBlcmlvZGljYWw+PGZ1bGwtdGl0bGU+
QWN0YSBPYnN0ZXQgR3luZWNvbCBTY2FuZDwvZnVsbC10aXRsZT48L3BlcmlvZGljYWw+PHBhZ2Vz
Pjg2MS04NzE8L3BhZ2VzPjx2b2x1bWU+OTc8L3ZvbHVtZT48bnVtYmVyPjc8L251bWJlcj48ZWRp
dGlvbj4yMDE4LzA1LzExPC9lZGl0aW9uPjxrZXl3b3Jkcz48a2V5d29yZD5FeGVyY2lzZTwva2V5
d29yZD48a2V5d29yZD5jZXNhcmVhbiBzZWN0aW9uPC9rZXl3b3JkPjxrZXl3b3JkPmRlbGl2ZXJ5
IG91dGNvbWVzPC9rZXl3b3JkPjxrZXl3b3JkPmxhYm9yPC9rZXl3b3JkPjxrZXl3b3JkPnByZWdu
YW5jeTwva2V5d29yZD48a2V5d29yZD5yYW5kb21pemVkIGNvbnRyb2xsZWQgdHJpYWw8L2tleXdv
cmQ+PC9rZXl3b3Jkcz48ZGF0ZXM+PHllYXI+MjAxODwveWVhcj48cHViLWRhdGVzPjxkYXRlPkp1
bDwvZGF0ZT48L3B1Yi1kYXRlcz48L2RhdGVzPjxpc2JuPjE2MDAtMDQxMiAoRWxlY3Ryb25pYykm
I3hEOzAwMDEtNjM0OSAoTGlua2luZyk8L2lzYm4+PGFjY2Vzc2lvbi1udW0+Mjk3NDQ4NjY8L2Fj
Y2Vzc2lvbi1udW0+PHVybHM+PHJlbGF0ZWQtdXJscz48dXJsPmh0dHBzOi8vd3d3Lm5jYmkubmxt
Lm5paC5nb3YvcHVibWVkLzI5NzQ0ODY2PC91cmw+PC9yZWxhdGVkLXVybHM+PC91cmxzPjxlbGVj
dHJvbmljLXJlc291cmNlLW51bT4xMC4xMTExL2FvZ3MuMTMzNTE8L2VsZWN0cm9uaWMtcmVzb3Vy
Y2UtbnVtPjwvcmVjb3JkPjwvQ2l0ZT48L0VuZE5vdGU+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IGZvbnQ9IlRyZWJ1Y2hldCBNUyIgc2l6ZT0iOSI+Mjk0LDI5NSwzMDAtMzAyPC9zdHlsZT48L0Rp
c3BsYXlUZXh0PjxyZWNvcmQ+PHJlYy1udW1iZXI+NzExPC9yZWMtbnVtYmVyPjxmb3JlaWduLWtl
eXM+PGtleSBhcHA9IkVOIiBkYi1pZD0iZXh2YXNyZngyZHRyYW9lc2FzeHAyc3pzeGEyZGY1MDI1
OTJ4IiB0aW1lc3RhbXA9IjE1NDE0NjIyODUiPjcxMTwva2V5PjwvZm9yZWlnbi1rZXlzPjxyZWYt
dHlwZSBuYW1lPSJKb3VybmFsIEFydGljbGUiPjE3PC9yZWYtdHlwZT48Y29udHJpYnV0b3JzPjxh
dXRob3JzPjxhdXRob3I+QmFyYWthdCwgUi48L2F1dGhvcj48YXV0aG9yPkZyYW5jbywgRS48L2F1
dGhvcj48YXV0aG9yPlBlcmFsZXMsIE0uPC9hdXRob3I+PGF1dGhvcj5Mb3BleiwgQy48L2F1dGhv
cj48YXV0aG9yPk1vdHRvbGEsIE0uIEYuPC9hdXRob3I+PC9hdXRob3JzPjwvY29udHJpYnV0b3Jz
PjxhdXRoLWFkZHJlc3M+QUZJUEUgUmVzZWFyY2ggR3JvdXAsIFRlY2huaWNhbCBVbml2ZXJzaXR5
IG9mIE1hZHJpZCwgU3BhaW4uIEVsZWN0cm9uaWMgYWRkcmVzczogYmFyYWthdHJ1YmVuQGdtYWls
LmNvbS4mI3hEO0FGSVBFIFJlc2VhcmNoIEdyb3VwLCBUZWNobmljYWwgVW5pdmVyc2l0eSBvZiBN
YWRyaWQsIFNwYWluLiYjeEQ7Q2FtaWxvIEpvc2UgQ2VsYSBVbml2ZXJzaXR5LCBNYWRyaWQsIFNw
YWluOyBSZXNlYXJjaCBJbnN0aXR1dGUgb2YgSG9zcGl0YWwgMTIgZGUgT2N0dWJyZSAoJmFwb3M7
aSsxMiZhcG9zOyksIE1hZHJpZCwgU3BhaW4uJiN4RDtSIFNhbXVlbCBNY0xhdWdobGluIEZvdW5k
YXRpb24tRXhlcmNpc2UgJmFtcDsgUHJlZ25hbmN5IExhYm9yYXRvcnksIFNjaG9vbCBvZiBLaW5l
c2lvbG9neSwgRmFjdWx0eSBvZiBIZWFsdGggU2NpZW5jZXMsIENhbmFkYTsgRGVwdCBvZiBBbmF0
b215ICZhbXA7IENlbGwgQmlvbG9neSwgU2NodWxpY2ggU2Nob29sIG9mIE1lZGljaW5lICZhbXA7
IERlbnRpc3RyeSwgQ2hpbGRyZW4mYXBvcztzIEhlYWx0aCBSZXNlYXJjaCBJbnN0aXR1dGUsIFVu
aXZlcnNpdHkgb2YgV2VzdGVybiBPbnRhcmlvLCBMb25kb24sIENhbmFkYS48L2F1dGgtYWRkcmVz
cz48dGl0bGVzPjx0aXRsZT5FeGVyY2lzZSBkdXJpbmcgcHJlZ25hbmN5IGlzIGFzc29jaWF0ZWQg
d2l0aCBhIHNob3J0ZXIgZHVyYXRpb24gb2YgbGFib3IuIEEgcmFuZG9taXplZCBjbGluaWNhbCB0
cmlhbDwvdGl0bGU+PHNlY29uZGFyeS10aXRsZT5FdXIgSiBPYnN0ZXQgR3luZWNvbCBSZXByb2Qg
QmlvbDwvc2Vjb25kYXJ5LXRpdGxlPjwvdGl0bGVzPjxwZXJpb2RpY2FsPjxmdWxsLXRpdGxlPkV1
ciBKIE9ic3RldCBHeW5lY29sIFJlcHJvZCBCaW9sPC9mdWxsLXRpdGxlPjwvcGVyaW9kaWNhbD48
cGFnZXM+MzMtNDA8L3BhZ2VzPjx2b2x1bWU+MjI0PC92b2x1bWU+PGVkaXRpb24+MjAxOC8wMy8x
MzwvZWRpdGlvbj48a2V5d29yZHM+PGtleXdvcmQ+QWR1bHQ8L2tleXdvcmQ+PGtleXdvcmQ+KkV4
ZXJjaXNlPC9rZXl3b3JkPjxrZXl3b3JkPkZlbWFsZTwva2V5d29yZD48a2V5d29yZD5IdW1hbnM8
L2tleXdvcmQ+PGtleXdvcmQ+KkxhYm9yIFN0YWdlLCBGaXJzdDwva2V5d29yZD48a2V5d29yZD5Q
cmVnbmFuY3k8L2tleXdvcmQ+PGtleXdvcmQ+KkR1cmF0aW9uPC9rZXl3b3JkPjxrZXl3b3JkPipM
YWJvcjwva2V5d29yZD48a2V5d29yZD4qUHJlZ25hbmN5PC9rZXl3b3JkPjwva2V5d29yZHM+PGRh
dGVzPjx5ZWFyPjIwMTg8L3llYXI+PHB1Yi1kYXRlcz48ZGF0ZT5NYXk8L2RhdGU+PC9wdWItZGF0
ZXM+PC9kYXRlcz48aXNibj4xODcyLTc2NTQgKEVsZWN0cm9uaWMpJiN4RDswMzAxLTIxMTUgKExp
bmtpbmcpPC9pc2JuPjxhY2Nlc3Npb24tbnVtPjI5NTI5NDc1PC9hY2Nlc3Npb24tbnVtPjx1cmxz
PjxyZWxhdGVkLXVybHM+PHVybD5odHRwczovL3d3dy5uY2JpLm5sbS5uaWguZ292L3B1Ym1lZC8y
OTUyOTQ3NTwvdXJsPjwvcmVsYXRlZC11cmxzPjwvdXJscz48ZWxlY3Ryb25pYy1yZXNvdXJjZS1u
dW0+MTAuMTAxNi9qLmVqb2dyYi4yMDE4LjAzLjAwOTwvZWxlY3Ryb25pYy1yZXNvdXJjZS1udW0+
PC9yZWNvcmQ+PC9DaXRlPjxDaXRlPjxBdXRob3I+UGVyYWxlczwvQXV0aG9yPjxZZWFyPjIwMTY8
L1llYXI+PFJlY051bT45MjQ8L1JlY051bT48cmVjb3JkPjxyZWMtbnVtYmVyPjkyNDwvcmVjLW51
bWJlcj48Zm9yZWlnbi1rZXlzPjxrZXkgYXBwPSJFTiIgZGItaWQ9ImV4dmFzcmZ4MmR0cmFvZXNh
c3hwMnN6c3hhMmRmNTAyNTkyeCIgdGltZXN0YW1wPSIxNTQxNTQwOTI1Ij45MjQ8L2tleT48a2V5
IGFwcD0iRU5XZWIiIGRiLWlkPSIiPjA8L2tleT48L2ZvcmVpZ24ta2V5cz48cmVmLXR5cGUgbmFt
ZT0iSm91cm5hbCBBcnRpY2xlIj4xNzwvcmVmLXR5cGU+PGNvbnRyaWJ1dG9ycz48YXV0aG9ycz48
YXV0aG9yPlBlcmFsZXMsIE1hcmlhPC9hdXRob3I+PGF1dGhvcj5DYWxhYnJpYSwgSXJlbmU8L2F1
dGhvcj48YXV0aG9yPkxvcGV6LCBDYXJtaW5hPC9hdXRob3I+PGF1dGhvcj5GcmFuY28sIEV2ZWxp
YTwvYXV0aG9yPjxhdXRob3I+Q290ZXJvbiwgSmF2aWVyPC9hdXRob3I+PGF1dGhvcj5CYXJha2F0
LCBSdWJlbjwvYXV0aG9yPjwvYXV0aG9ycz48L2NvbnRyaWJ1dG9ycz48dGl0bGVzPjx0aXRsZT5S
ZWd1bGFyIEV4ZXJjaXNlIFRocm91Z2hvdXQgUHJlZ25hbmN5IGlzIEFzc29jaWF0ZWQgd2l0aCBh
IFNob3J0ZXIgRmlyc3QgU3RhZ2Ugb2YgTGFib3I8L3RpdGxlPjxzZWNvbmRhcnktdGl0bGU+QW1l
cmljYW4gSm91cm5hbCBvZiBIZWFsdGggUHJvbW90aW9uPC9zZWNvbmRhcnktdGl0bGU+PC90aXRs
ZXM+PHBlcmlvZGljYWw+PGZ1bGwtdGl0bGU+QW1lcmljYW4gSm91cm5hbCBvZiBIZWFsdGggUHJv
bW90aW9uPC9mdWxsLXRpdGxlPjwvcGVyaW9kaWNhbD48cGFnZXM+MTQ5LTE1NzwvcGFnZXM+PHZv
bHVtZT4zMDwvdm9sdW1lPjxudW1iZXI+MzwvbnVtYmVyPjxzZWN0aW9uPjE0OTwvc2VjdGlvbj48
ZGF0ZXM+PHllYXI+MjAxNjwveWVhcj48L2RhdGVzPjxpc2JuPjA4OTAtMTE3MSYjeEQ7MjE2OC02
NjAyPC9pc2JuPjx1cmxzPjwvdXJscz48ZWxlY3Ryb25pYy1yZXNvdXJjZS1udW0+MTAuNDI3OC9h
amhwLjE0MDIyMS1RVUFOLTc5PC9lbGVjdHJvbmljLXJlc291cmNlLW51bT48L3JlY29yZD48L0Np
dGU+PENpdGU+PEF1dGhvcj5QZXJhbGVzPC9BdXRob3I+PFllYXI+MjAyMDwvWWVhcj48UmVjTnVt
PjE5NjQ8L1JlY051bT48cmVjb3JkPjxyZWMtbnVtYmVyPjE5NjQ8L3JlYy1udW1iZXI+PGZvcmVp
Z24ta2V5cz48a2V5IGFwcD0iRU4iIGRiLWlkPSJleHZhc3JmeDJkdHJhb2VzYXN4cDJzenN4YTJk
ZjUwMjU5MngiIHRpbWVzdGFtcD0iMTU4ODc0MzkxMiI+MTk2NDwva2V5PjxrZXkgYXBwPSJFTldl
YiIgZGItaWQ9IiI+MDwva2V5PjwvZm9yZWlnbi1rZXlzPjxyZWYtdHlwZSBuYW1lPSJKb3VybmFs
IEFydGljbGUiPjE3PC9yZWYtdHlwZT48Y29udHJpYnV0b3JzPjxhdXRob3JzPjxhdXRob3I+UGVy
YWxlcywgTS48L2F1dGhvcj48YXV0aG9yPlZhbGVuenVlbGEsIFAuIEwuPC9hdXRob3I+PGF1dGhv
cj5CYXJha2F0LCBSLjwvYXV0aG9yPjxhdXRob3I+Q29yZGVybywgWS48L2F1dGhvcj48YXV0aG9y
PlBlbGFleiwgTS48L2F1dGhvcj48YXV0aG9yPkxvcGV6LCBDLjwvYXV0aG9yPjxhdXRob3I+UnVp
bG9wZSwgTC4gTS48L2F1dGhvcj48YXV0aG9yPlNhbnRvcy1Mb3phbm8sIEEuPC9hdXRob3I+PGF1
dGhvcj5MdWNpYSwgQS48L2F1dGhvcj48L2F1dGhvcnM+PC9jb250cmlidXRvcnM+PGF1dGgtYWRk
cmVzcz5SZXNlYXJjaCBJbnN0aXR1ZSBvZiBIb3NwaXRhbCAxMiBkZSBPY3R1YnJlICgmYXBvcztp
KzEyJmFwb3M7KSwgMjgwNDEgTWFkcmlkLCBTcGFpbi4mI3hEO0RlcGFydGFtZW50byBkZSBDaWVu
Y2lhcyBkZSBsYSBBY3RpdmlkYWQgRmlzaWNhIHkgZGVsIERlcG9ydGUuIFVuaXZlcnNpZGFkIENh
bWlsbyBKb3NlIENlbGEsIDI4NjkyIFZpbGxhbnVldmEgZGUgbGEgQ2FuYWRhLCBNYWRyaWQsIFNw
YWluLiYjeEQ7RGVwYXJ0bWVudCBvZiBTeXN0ZW1zIEJpb2xvZ3ksIFVuaXZlcnNpdHkgb2YgQWxj
YWxhLCAyODgwMSBBbGNhbGEgZGUgSGVuYXJlcywgTWFkcmlkLCBTcGFpbi4mI3hEO0ZhY3VsdGFk
IGRlIENpZW5jaWFzIGRlIGxhIEFjdGl2aWRhZCBGaXNpY2EgeSBkZWwgRGVwb3J0ZSwgVW5pdmVy
c2lkYWQgUG9saXRlY25pY2EgZGUgTWFkcmlkLCAyODA0MCBNYWRyaWQsIFNwYWluLiYjeEQ7VW5p
dmVyc2lkYWQgQ29tcGx1dGVuc2UgZGUgTWFkcmlkLCAyODA0MCBNYWRyaWQsIFNwYWluLiYjeEQ7
VW5pdmVyc2lkYWQgRXVyb3BlYWRlbCBBdGxhbnRpY28sIDM5MDExIFNhbnRhbmRlciwgU3BhaW4u
JiN4RDtDLlAuQi4gVGllbW8gR2FsdmFuLCBUcmVzIENhbnRvcywgMjg3NjAgVHJlcyBDYW50b3Ms
IE1hZHJpZCwgU3BhaW4uJiN4RDtIeXBlcnRlbnNpb24gVW5pdCBhbmQgQ2FyZGlvcmVudGFsIFRy
YW5zbGF0aW9uYWwgTGFib3JhdG9yeSwgUmVzZWFyY2ggSW5zdGl0dWUgb2YgSG9zcGl0YWwgMTIg
ZGUgT2N0dWJyZSAoJmFwb3M7aSsxMiZhcG9zOyksIDI4MDQxIE1hZHJpZCwgU3BhaW4uJiN4RDtp
K0hlQUxUSCwgRGVwYXJ0bWVudCBvZiBIZWFsdGggU2NpZW5jZXMsIEV1cm9wZWFuIFVuaXZlcnNp
dHkgTWlndWVsIGRlIEdlcnZhbnRlcywgNDcwMTIgVmFsbGFkb2xpZCwgU3BhaW4uJiN4RDtGYWN1
bHR5IG9mIFNwb3J0IFNjaWVuY2VzLCBVbml2ZXJzaWRhZCBFdXJvcGVhIGRlIE1hZHJpZCwgMjg2
NzAgVmlsbGF2aWNpb3NhIGRlIE9kb24sIE1hZHJpZCwgU3BhaW4uPC9hdXRoLWFkZHJlc3M+PHRp
dGxlcz48dGl0bGU+R2VzdGF0aW9uYWwgZXhlcmNpc2UgYW5kIG1hdGVybmFsIGFuZCBjaGlsZCBo
ZWFsdGg6IGVmZmVjdHMgdW50aWwgZGVsaXZlcnkgYW5kIGF0IHBvc3QtbmF0YWwgZm9sbG93LXVw
PC90aXRsZT48c2Vjb25kYXJ5LXRpdGxlPkogQ2xpbiBNZWQ8L3NlY29uZGFyeS10aXRsZT48L3Rp
dGxlcz48cGVyaW9kaWNhbD48ZnVsbC10aXRsZT5KIENsaW4gTWVkPC9mdWxsLXRpdGxlPjwvcGVy
aW9kaWNhbD48dm9sdW1lPjk8L3ZvbHVtZT48bnVtYmVyPjI8L251bWJlcj48ZWRpdGlvbj4yMDIw
LzAyLzA3PC9lZGl0aW9uPjxrZXl3b3Jkcz48a2V5d29yZD5kaWFiZXRlczwva2V5d29yZD48a2V5
d29yZD5oeXBlcnRlbnNpb248L2tleXdvcmQ+PGtleXdvcmQ+b2Jlc2l0eTwva2V5d29yZD48a2V5
d29yZD5waHlzaWNhbCBhY3Rpdml0eTwva2V5d29yZD48a2V5d29yZD5wcmVnbmFuY3k8L2tleXdv
cmQ+PGtleXdvcmQ+dHJhaW5pbmc8L2tleXdvcmQ+PC9rZXl3b3Jkcz48ZGF0ZXM+PHllYXI+MjAy
MDwveWVhcj48cHViLWRhdGVzPjxkYXRlPkphbiAzMTwvZGF0ZT48L3B1Yi1kYXRlcz48L2RhdGVz
Pjxpc2JuPjIwNzctMDM4MyAoUHJpbnQpJiN4RDsyMDc3LTAzODMgKExpbmtpbmcpPC9pc2JuPjxh
Y2Nlc3Npb24tbnVtPjMyMDIzODMzPC9hY2Nlc3Npb24tbnVtPjx1cmxzPjxyZWxhdGVkLXVybHM+
PHVybD5odHRwczovL3d3dy5uY2JpLm5sbS5uaWguZ292L3B1Ym1lZC8zMjAyMzgzMzwvdXJsPjwv
cmVsYXRlZC11cmxzPjwvdXJscz48Y3VzdG9tMj5QTUM3MDc0NTc3PC9jdXN0b20yPjxlbGVjdHJv
bmljLXJlc291cmNlLW51bT4xMC4zMzkwL2pjbTkwMjAzNzk8L2VsZWN0cm9uaWMtcmVzb3VyY2Ut
bnVtPjwvcmVjb3JkPjwvQ2l0ZT48Q2l0ZT48QXV0aG9yPlJvZHJpZ3Vlei1CbGFucXVlPC9BdXRo
b3I+PFllYXI+MjAxOTwvWWVhcj48UmVjTnVtPjE5NjM8L1JlY051bT48cmVjb3JkPjxyZWMtbnVt
YmVyPjE5NjM8L3JlYy1udW1iZXI+PGZvcmVpZ24ta2V5cz48a2V5IGFwcD0iRU4iIGRiLWlkPSJl
eHZhc3JmeDJkdHJhb2VzYXN4cDJzenN4YTJkZjUwMjU5MngiIHRpbWVzdGFtcD0iMTU4ODc0Mzkw
MSI+MTk2Mzwva2V5PjxrZXkgYXBwPSJFTldlYiIgZGItaWQ9IiI+MDwva2V5PjwvZm9yZWlnbi1r
ZXlzPjxyZWYtdHlwZSBuYW1lPSJKb3VybmFsIEFydGljbGUiPjE3PC9yZWYtdHlwZT48Y29udHJp
YnV0b3JzPjxhdXRob3JzPjxhdXRob3I+Um9kcmlndWV6LUJsYW5xdWUsIFIuPC9hdXRob3I+PGF1
dGhvcj5TYW5jaGV6LUdhcmNpYSwgSi4gQy48L2F1dGhvcj48YXV0aG9yPlNhbmNoZXotTG9wZXos
IEEuIE0uPC9hdXRob3I+PGF1dGhvcj5BZ3VpbGFyLUNvcmRlcm8sIE0uIEouPC9hdXRob3I+PC9h
dXRob3JzPjwvY29udHJpYnV0b3JzPjxhdXRoLWFkZHJlc3M+SG9zcGl0YWwgVW5pdmVyc2l0YXJp
byBTYW4gQ2VjaWxpbywgR3JhbmFkYSwgU3BhaW4uJiN4RDtBbmRhbHVzaWEgUmVzZWFyY2ggUGxh
biwgUmVzZWFyY2ggR3JvdXAgQ1RTIDM2NywgR3JhbmFkYSwgU3BhaW4uJiN4RDtEZXBhcnRhbWVu
dG8gZGUgRW5mZXJtZXJpYS9GYWN1bHRhZCBkZSBDaWVuY2lhcyBkZSBsYSBTYWx1ZCwgVW5pdmVy
c2lkYWQgZGUgR3JhbmFkYSwgR3JhbmFkYSwgU3BhaW4uPC9hdXRoLWFkZHJlc3M+PHRpdGxlcz48
dGl0bGU+UGh5c2ljYWwgYWN0aXZpdHkgZHVyaW5nIHByZWduYW5jeSBhbmQgaXRzIGluZmx1ZW5j
ZSBvbiBkZWxpdmVyeSB0aW1lOiBhIHJhbmRvbWl6ZWQgY2xpbmljYWwgdHJpYWw8L3RpdGxlPjxz
ZWNvbmRhcnktdGl0bGU+UGVlcko8L3NlY29uZGFyeS10aXRsZT48L3RpdGxlcz48cGVyaW9kaWNh
bD48ZnVsbC10aXRsZT5QZWVySjwvZnVsbC10aXRsZT48L3BlcmlvZGljYWw+PHBhZ2VzPmU2Mzcw
PC9wYWdlcz48dm9sdW1lPjc8L3ZvbHVtZT48ZWRpdGlvbj4yMDE5LzAyLzE5PC9lZGl0aW9uPjxr
ZXl3b3Jkcz48a2V5d29yZD5CaXJ0aDwva2V5d29yZD48a2V5d29yZD5FeGVyY2lzZTwva2V5d29y
ZD48a2V5d29yZD5MYWJvcjwva2V5d29yZD48a2V5d29yZD5QcmVnbmFuY3k8L2tleXdvcmQ+PGtl
eXdvcmQ+UHJlZ25hbmN5IG91dGNvbWU8L2tleXdvcmQ+PC9rZXl3b3Jkcz48ZGF0ZXM+PHllYXI+
MjAxOTwveWVhcj48L2RhdGVzPjxpc2JuPjIxNjctODM1OSAoUHJpbnQpJiN4RDsyMTY3LTgzNTkg
KExpbmtpbmcpPC9pc2JuPjxhY2Nlc3Npb24tbnVtPjMwNzc1MTc1PC9hY2Nlc3Npb24tbnVtPjx1
cmxzPjxyZWxhdGVkLXVybHM+PHVybD5odHRwczovL3d3dy5uY2JpLm5sbS5uaWguZ292L3B1Ym1l
ZC8zMDc3NTE3NTwvdXJsPjwvcmVsYXRlZC11cmxzPjwvdXJscz48Y3VzdG9tMj5QTUM2MzcxOTE2
PC9jdXN0b20yPjxlbGVjdHJvbmljLXJlc291cmNlLW51bT4xMC43NzE3L3BlZXJqLjYzNzA8L2Vs
ZWN0cm9uaWMtcmVzb3VyY2UtbnVtPjwvcmVjb3JkPjwvQ2l0ZT48Q2l0ZT48QXV0aG9yPlNhbmRh
PC9BdXRob3I+PFllYXI+MjAxODwvWWVhcj48UmVjTnVtPjkyNTwvUmVjTnVtPjxyZWNvcmQ+PHJl
Yy1udW1iZXI+OTI1PC9yZWMtbnVtYmVyPjxmb3JlaWduLWtleXM+PGtleSBhcHA9IkVOIiBkYi1p
ZD0iZXh2YXNyZngyZHRyYW9lc2FzeHAyc3pzeGEyZGY1MDI1OTJ4IiB0aW1lc3RhbXA9IjE1NDE1
NDA5MjkiPjkyNTwva2V5PjxrZXkgYXBwPSJFTldlYiIgZGItaWQ9IiI+MDwva2V5PjwvZm9yZWln
bi1rZXlzPjxyZWYtdHlwZSBuYW1lPSJKb3VybmFsIEFydGljbGUiPjE3PC9yZWYtdHlwZT48Y29u
dHJpYnV0b3JzPjxhdXRob3JzPjxhdXRob3I+U2FuZGEsIEIuPC9hdXRob3I+PGF1dGhvcj5WaXN0
YWQsIEkuPC9hdXRob3I+PGF1dGhvcj5TYWdlZGFsLCBMLiBSLjwvYXV0aG9yPjxhdXRob3I+SGFh
a3N0YWQsIEwuIEEuIEguPC9hdXRob3I+PGF1dGhvcj5Mb2huZS1TZWlsZXIsIEguPC9hdXRob3I+
PGF1dGhvcj5Ub3JzdHZlaXQsIE0uIEsuPC9hdXRob3I+PC9hdXRob3JzPjwvY29udHJpYnV0b3Jz
PjxhdXRoLWFkZHJlc3M+RmFjdWx0eSBvZiBIZWFsdGggYW5kIFNwb3J0IFNjaWVuY2VzLCBVbml2
ZXJzaXR5IG9mIEFnZGVyLCBLcmlzdGlhbnNhbmQsIE5vcndheS4mI3hEO0RlcGFydG1lbnQgb2Yg
T2JzdGV0cmljcyBhbmQgR3luZWNvbG9neSwgU291dGhlcm4gTm9yd2F5IEhvc3BpdGFsIFRydXN0
LCBLcmlzdGlhbnNhbmQsIE5vcndheS4mI3hEO05vcndlZ2lhbiBTY2hvb2wgb2YgU3BvcnRzIFNj
aWVuY2UsIE9zbG8sIE5vcndheS48L2F1dGgtYWRkcmVzcz48dGl0bGVzPjx0aXRsZT5XaGF0IGlz
IHRoZSBlZmZlY3Qgb2YgcGh5c2ljYWwgYWN0aXZpdHkgb24gZHVyYXRpb24gYW5kIG1vZGUgb2Yg
ZGVsaXZlcnk/IFNlY29uZGFyeSBhbmFseXNpcyBmcm9tIHRoZSBOb3J3ZWdpYW4gRml0IGZvciBE
ZWxpdmVyeSB0cmlhbDwvdGl0bGU+PHNlY29uZGFyeS10aXRsZT5BY3RhIE9ic3RldCBHeW5lY29s
IFNjYW5kPC9zZWNvbmRhcnktdGl0bGU+PC90aXRsZXM+PHBlcmlvZGljYWw+PGZ1bGwtdGl0bGU+
QWN0YSBPYnN0ZXQgR3luZWNvbCBTY2FuZDwvZnVsbC10aXRsZT48L3BlcmlvZGljYWw+PHBhZ2Vz
Pjg2MS04NzE8L3BhZ2VzPjx2b2x1bWU+OTc8L3ZvbHVtZT48bnVtYmVyPjc8L251bWJlcj48ZWRp
dGlvbj4yMDE4LzA1LzExPC9lZGl0aW9uPjxrZXl3b3Jkcz48a2V5d29yZD5FeGVyY2lzZTwva2V5
d29yZD48a2V5d29yZD5jZXNhcmVhbiBzZWN0aW9uPC9rZXl3b3JkPjxrZXl3b3JkPmRlbGl2ZXJ5
IG91dGNvbWVzPC9rZXl3b3JkPjxrZXl3b3JkPmxhYm9yPC9rZXl3b3JkPjxrZXl3b3JkPnByZWdu
YW5jeTwva2V5d29yZD48a2V5d29yZD5yYW5kb21pemVkIGNvbnRyb2xsZWQgdHJpYWw8L2tleXdv
cmQ+PC9rZXl3b3Jkcz48ZGF0ZXM+PHllYXI+MjAxODwveWVhcj48cHViLWRhdGVzPjxkYXRlPkp1
bDwvZGF0ZT48L3B1Yi1kYXRlcz48L2RhdGVzPjxpc2JuPjE2MDAtMDQxMiAoRWxlY3Ryb25pYykm
I3hEOzAwMDEtNjM0OSAoTGlua2luZyk8L2lzYm4+PGFjY2Vzc2lvbi1udW0+Mjk3NDQ4NjY8L2Fj
Y2Vzc2lvbi1udW0+PHVybHM+PHJlbGF0ZWQtdXJscz48dXJsPmh0dHBzOi8vd3d3Lm5jYmkubmxt
Lm5paC5nb3YvcHVibWVkLzI5NzQ0ODY2PC91cmw+PC9yZWxhdGVkLXVybHM+PC91cmxzPjxlbGVj
dHJvbmljLXJlc291cmNlLW51bT4xMC4xMTExL2FvZ3MuMTMzNTE8L2VsZWN0cm9uaWMtcmVzb3Vy
Y2UtbnVtPjwvcmVjb3JkPjwvQ2l0ZT48L0VuZE5vdGU+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sidR="00133978">
        <w:rPr>
          <w:sz w:val="16"/>
          <w:szCs w:val="16"/>
        </w:rPr>
      </w:r>
      <w:r w:rsidR="00133978">
        <w:rPr>
          <w:sz w:val="16"/>
          <w:szCs w:val="16"/>
        </w:rPr>
        <w:fldChar w:fldCharType="separate"/>
      </w:r>
      <w:r w:rsidR="002747EA" w:rsidRPr="002747EA">
        <w:rPr>
          <w:noProof/>
          <w:szCs w:val="16"/>
          <w:vertAlign w:val="superscript"/>
        </w:rPr>
        <w:t>294,295,300-302</w:t>
      </w:r>
      <w:r w:rsidR="00133978">
        <w:rPr>
          <w:sz w:val="16"/>
          <w:szCs w:val="16"/>
        </w:rPr>
        <w:fldChar w:fldCharType="end"/>
      </w:r>
      <w:r w:rsidR="00133978" w:rsidRPr="00133978">
        <w:t xml:space="preserve"> </w:t>
      </w:r>
      <w:r w:rsidR="009C7C88" w:rsidRPr="00133978">
        <w:t>second stage of labour</w:t>
      </w:r>
      <w:r w:rsidR="009C7C88">
        <w:rPr>
          <w:noProof/>
          <w:sz w:val="16"/>
          <w:szCs w:val="16"/>
        </w:rPr>
        <w:fldChar w:fldCharType="begin">
          <w:fldData xml:space="preserve">PEVuZE5vdGU+PENpdGU+PEF1dGhvcj5TYWx2ZXNlbjwvQXV0aG9yPjxZZWFyPjIwMTQ8L1llYXI+
PFJlY051bT45NDI8L1JlY051bT48RGlzcGxheVRleHQ+PHN0eWxlIGZhY2U9InN1cGVyc2NyaXB0
IiBmb250PSJUcmVidWNoZXQgTVMiIHNpemU9IjkiPjI5OCwzMDE8L3N0eWxlPjwvRGlzcGxheVRl
eHQ+PHJlY29yZD48cmVjLW51bWJlcj45NDI8L3JlYy1udW1iZXI+PGZvcmVpZ24ta2V5cz48a2V5
IGFwcD0iRU4iIGRiLWlkPSJleHZhc3JmeDJkdHJhb2VzYXN4cDJzenN4YTJkZjUwMjU5MngiIHRp
bWVzdGFtcD0iMTU0MTU0MTgzMiI+OTQyPC9rZXk+PGtleSBhcHA9IkVOV2ViIiBkYi1pZD0iIj4w
PC9rZXk+PC9mb3JlaWduLWtleXM+PHJlZi10eXBlIG5hbWU9IkpvdXJuYWwgQXJ0aWNsZSI+MTc8
L3JlZi10eXBlPjxjb250cmlidXRvcnM+PGF1dGhvcnM+PGF1dGhvcj5TYWx2ZXNlbiwgSy4gQS48
L2F1dGhvcj48YXV0aG9yPlN0YWZuZSwgUy4gTi48L2F1dGhvcj48YXV0aG9yPkVnZ2VibywgVC4g
TS48L2F1dGhvcj48YXV0aG9yPk1vcmt2ZWQsIFMuPC9hdXRob3I+PC9hdXRob3JzPjwvY29udHJp
YnV0b3JzPjxhdXRoLWFkZHJlc3M+Q2xpbmljYWwgU2NpZW5jZXMsIE9ic3RldHJpY3MgYW5kIEd5
bmVjb2xvZ3ksIEx1bmQgVW5pdmVyc2l0eSwgTHVuZCwgU3dlZGVuOyBOYXRpb25hbCBDZW50ZXIg
Zm9yIEZldGFsIE1lZGljaW5lLCBEZXBhcnRtZW50IG9mIE9ic3RldHJpY3MgYW5kIEd5bmVjb2xv
Z3ksIFN0LiBPbGF2cyBIb3NwaXRhbCwgVHJvbmRoZWltIFVuaXZlcnNpdHkgSG9zcGl0YWwsIFRy
b25kaGVpbSwgTm9yd2F5LjwvYXV0aC1hZGRyZXNzPjx0aXRsZXM+PHRpdGxlPkRvZXMgcmVndWxh
ciBleGVyY2lzZSBpbiBwcmVnbmFuY3kgaW5mbHVlbmNlIGR1cmF0aW9uIG9mIGxhYm9yPyBBIHNl
Y29uZGFyeSBhbmFseXNpcyBvZiBhIHJhbmRvbWl6ZWQgY29udHJvbGxlZCB0cmlhbDwvdGl0bGU+
PHNlY29uZGFyeS10aXRsZT5BY3RhIE9ic3RldCBHeW5lY29sIFNjYW5kPC9zZWNvbmRhcnktdGl0
bGU+PC90aXRsZXM+PHBlcmlvZGljYWw+PGZ1bGwtdGl0bGU+QWN0YSBPYnN0ZXQgR3luZWNvbCBT
Y2FuZDwvZnVsbC10aXRsZT48L3BlcmlvZGljYWw+PHBhZ2VzPjczLTk8L3BhZ2VzPjx2b2x1bWU+
OTM8L3ZvbHVtZT48bnVtYmVyPjE8L251bWJlcj48ZWRpdGlvbj4yMDEzLzEwLzEwPC9lZGl0aW9u
PjxrZXl3b3Jkcz48a2V5d29yZD5BZHVsdDwva2V5d29yZD48a2V5d29yZD5Cb2R5IE1hc3MgSW5k
ZXg8L2tleXdvcmQ+PGtleXdvcmQ+RXhlcmNpc2UvKnBoeXNpb2xvZ3k8L2tleXdvcmQ+PGtleXdv
cmQ+RmVtYWxlPC9rZXl3b3JkPjxrZXl3b3JkPkh1bWFuczwva2V5d29yZD48a2V5d29yZD5MYWJv
ciwgT2JzdGV0cmljLypwaHlzaW9sb2d5PC9rZXl3b3JkPjxrZXl3b3JkPlByZWduYW5jeTwva2V5
d29yZD48a2V5d29yZD4qUHJlbmF0YWwgQ2FyZTwva2V5d29yZD48a2V5d29yZD5FeGVyY2lzZTwv
a2V5d29yZD48a2V5d29yZD5sYWJvcjwva2V5d29yZD48a2V5d29yZD5yYW5kb21pemVkIGNvbnRy
b2xsZWQgdHJpYWw8L2tleXdvcmQ+PC9rZXl3b3Jkcz48ZGF0ZXM+PHllYXI+MjAxNDwveWVhcj48
cHViLWRhdGVzPjxkYXRlPkphbjwvZGF0ZT48L3B1Yi1kYXRlcz48L2RhdGVzPjxpc2JuPjE2MDAt
MDQxMiAoRWxlY3Ryb25pYykmI3hEOzAwMDEtNjM0OSAoTGlua2luZyk8L2lzYm4+PGFjY2Vzc2lv
bi1udW0+MjQxMDI0MjM8L2FjY2Vzc2lvbi1udW0+PHVybHM+PHJlbGF0ZWQtdXJscz48dXJsPmh0
dHBzOi8vd3d3Lm5jYmkubmxtLm5paC5nb3YvcHVibWVkLzI0MTAyNDIzPC91cmw+PC9yZWxhdGVk
LXVybHM+PC91cmxzPjxlbGVjdHJvbmljLXJlc291cmNlLW51bT4xMC4xMTExL2FvZ3MuMTIyNjA8
L2VsZWN0cm9uaWMtcmVzb3VyY2UtbnVtPjwvcmVjb3JkPjwvQ2l0ZT48Q2l0ZT48QXV0aG9yPlJv
ZHJpZ3Vlei1CbGFucXVlPC9BdXRob3I+PFllYXI+MjAxOTwvWWVhcj48UmVjTnVtPjE5NjM8L1Jl
Y051bT48cmVjb3JkPjxyZWMtbnVtYmVyPjE5NjM8L3JlYy1udW1iZXI+PGZvcmVpZ24ta2V5cz48
a2V5IGFwcD0iRU4iIGRiLWlkPSJleHZhc3JmeDJkdHJhb2VzYXN4cDJzenN4YTJkZjUwMjU5Mngi
IHRpbWVzdGFtcD0iMTU4ODc0MzkwMSI+MTk2Mzwva2V5PjxrZXkgYXBwPSJFTldlYiIgZGItaWQ9
IiI+MDwva2V5PjwvZm9yZWlnbi1rZXlzPjxyZWYtdHlwZSBuYW1lPSJKb3VybmFsIEFydGljbGUi
PjE3PC9yZWYtdHlwZT48Y29udHJpYnV0b3JzPjxhdXRob3JzPjxhdXRob3I+Um9kcmlndWV6LUJs
YW5xdWUsIFIuPC9hdXRob3I+PGF1dGhvcj5TYW5jaGV6LUdhcmNpYSwgSi4gQy48L2F1dGhvcj48
YXV0aG9yPlNhbmNoZXotTG9wZXosIEEuIE0uPC9hdXRob3I+PGF1dGhvcj5BZ3VpbGFyLUNvcmRl
cm8sIE0uIEouPC9hdXRob3I+PC9hdXRob3JzPjwvY29udHJpYnV0b3JzPjxhdXRoLWFkZHJlc3M+
SG9zcGl0YWwgVW5pdmVyc2l0YXJpbyBTYW4gQ2VjaWxpbywgR3JhbmFkYSwgU3BhaW4uJiN4RDtB
bmRhbHVzaWEgUmVzZWFyY2ggUGxhbiwgUmVzZWFyY2ggR3JvdXAgQ1RTIDM2NywgR3JhbmFkYSwg
U3BhaW4uJiN4RDtEZXBhcnRhbWVudG8gZGUgRW5mZXJtZXJpYS9GYWN1bHRhZCBkZSBDaWVuY2lh
cyBkZSBsYSBTYWx1ZCwgVW5pdmVyc2lkYWQgZGUgR3JhbmFkYSwgR3JhbmFkYSwgU3BhaW4uPC9h
dXRoLWFkZHJlc3M+PHRpdGxlcz48dGl0bGU+UGh5c2ljYWwgYWN0aXZpdHkgZHVyaW5nIHByZWdu
YW5jeSBhbmQgaXRzIGluZmx1ZW5jZSBvbiBkZWxpdmVyeSB0aW1lOiBhIHJhbmRvbWl6ZWQgY2xp
bmljYWwgdHJpYWw8L3RpdGxlPjxzZWNvbmRhcnktdGl0bGU+UGVlcko8L3NlY29uZGFyeS10aXRs
ZT48L3RpdGxlcz48cGVyaW9kaWNhbD48ZnVsbC10aXRsZT5QZWVySjwvZnVsbC10aXRsZT48L3Bl
cmlvZGljYWw+PHBhZ2VzPmU2MzcwPC9wYWdlcz48dm9sdW1lPjc8L3ZvbHVtZT48ZWRpdGlvbj4y
MDE5LzAyLzE5PC9lZGl0aW9uPjxrZXl3b3Jkcz48a2V5d29yZD5CaXJ0aDwva2V5d29yZD48a2V5
d29yZD5FeGVyY2lzZTwva2V5d29yZD48a2V5d29yZD5MYWJvcjwva2V5d29yZD48a2V5d29yZD5Q
cmVnbmFuY3k8L2tleXdvcmQ+PGtleXdvcmQ+UHJlZ25hbmN5IG91dGNvbWU8L2tleXdvcmQ+PC9r
ZXl3b3Jkcz48ZGF0ZXM+PHllYXI+MjAxOTwveWVhcj48L2RhdGVzPjxpc2JuPjIxNjctODM1OSAo
UHJpbnQpJiN4RDsyMTY3LTgzNTkgKExpbmtpbmcpPC9pc2JuPjxhY2Nlc3Npb24tbnVtPjMwNzc1
MTc1PC9hY2Nlc3Npb24tbnVtPjx1cmxzPjxyZWxhdGVkLXVybHM+PHVybD5odHRwczovL3d3dy5u
Y2JpLm5sbS5uaWguZ292L3B1Ym1lZC8zMDc3NTE3NTwvdXJsPjwvcmVsYXRlZC11cmxzPjwvdXJs
cz48Y3VzdG9tMj5QTUM2MzcxOTE2PC9jdXN0b20yPjxlbGVjdHJvbmljLXJlc291cmNlLW51bT4x
MC43NzE3L3BlZXJqLjYzNzA8L2VsZWN0cm9uaWMtcmVzb3VyY2UtbnVtPjwvcmVjb3JkPjwvQ2l0
ZT48L0VuZE5vdGU+AG==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PEVuZE5vdGU+PENpdGU+PEF1dGhvcj5TYWx2ZXNlbjwvQXV0aG9yPjxZZWFyPjIwMTQ8L1llYXI+
PFJlY051bT45NDI8L1JlY051bT48RGlzcGxheVRleHQ+PHN0eWxlIGZhY2U9InN1cGVyc2NyaXB0
IiBmb250PSJUcmVidWNoZXQgTVMiIHNpemU9IjkiPjI5OCwzMDE8L3N0eWxlPjwvRGlzcGxheVRl
eHQ+PHJlY29yZD48cmVjLW51bWJlcj45NDI8L3JlYy1udW1iZXI+PGZvcmVpZ24ta2V5cz48a2V5
IGFwcD0iRU4iIGRiLWlkPSJleHZhc3JmeDJkdHJhb2VzYXN4cDJzenN4YTJkZjUwMjU5MngiIHRp
bWVzdGFtcD0iMTU0MTU0MTgzMiI+OTQyPC9rZXk+PGtleSBhcHA9IkVOV2ViIiBkYi1pZD0iIj4w
PC9rZXk+PC9mb3JlaWduLWtleXM+PHJlZi10eXBlIG5hbWU9IkpvdXJuYWwgQXJ0aWNsZSI+MTc8
L3JlZi10eXBlPjxjb250cmlidXRvcnM+PGF1dGhvcnM+PGF1dGhvcj5TYWx2ZXNlbiwgSy4gQS48
L2F1dGhvcj48YXV0aG9yPlN0YWZuZSwgUy4gTi48L2F1dGhvcj48YXV0aG9yPkVnZ2VibywgVC4g
TS48L2F1dGhvcj48YXV0aG9yPk1vcmt2ZWQsIFMuPC9hdXRob3I+PC9hdXRob3JzPjwvY29udHJp
YnV0b3JzPjxhdXRoLWFkZHJlc3M+Q2xpbmljYWwgU2NpZW5jZXMsIE9ic3RldHJpY3MgYW5kIEd5
bmVjb2xvZ3ksIEx1bmQgVW5pdmVyc2l0eSwgTHVuZCwgU3dlZGVuOyBOYXRpb25hbCBDZW50ZXIg
Zm9yIEZldGFsIE1lZGljaW5lLCBEZXBhcnRtZW50IG9mIE9ic3RldHJpY3MgYW5kIEd5bmVjb2xv
Z3ksIFN0LiBPbGF2cyBIb3NwaXRhbCwgVHJvbmRoZWltIFVuaXZlcnNpdHkgSG9zcGl0YWwsIFRy
b25kaGVpbSwgTm9yd2F5LjwvYXV0aC1hZGRyZXNzPjx0aXRsZXM+PHRpdGxlPkRvZXMgcmVndWxh
ciBleGVyY2lzZSBpbiBwcmVnbmFuY3kgaW5mbHVlbmNlIGR1cmF0aW9uIG9mIGxhYm9yPyBBIHNl
Y29uZGFyeSBhbmFseXNpcyBvZiBhIHJhbmRvbWl6ZWQgY29udHJvbGxlZCB0cmlhbDwvdGl0bGU+
PHNlY29uZGFyeS10aXRsZT5BY3RhIE9ic3RldCBHeW5lY29sIFNjYW5kPC9zZWNvbmRhcnktdGl0
bGU+PC90aXRsZXM+PHBlcmlvZGljYWw+PGZ1bGwtdGl0bGU+QWN0YSBPYnN0ZXQgR3luZWNvbCBT
Y2FuZDwvZnVsbC10aXRsZT48L3BlcmlvZGljYWw+PHBhZ2VzPjczLTk8L3BhZ2VzPjx2b2x1bWU+
OTM8L3ZvbHVtZT48bnVtYmVyPjE8L251bWJlcj48ZWRpdGlvbj4yMDEzLzEwLzEwPC9lZGl0aW9u
PjxrZXl3b3Jkcz48a2V5d29yZD5BZHVsdDwva2V5d29yZD48a2V5d29yZD5Cb2R5IE1hc3MgSW5k
ZXg8L2tleXdvcmQ+PGtleXdvcmQ+RXhlcmNpc2UvKnBoeXNpb2xvZ3k8L2tleXdvcmQ+PGtleXdv
cmQ+RmVtYWxlPC9rZXl3b3JkPjxrZXl3b3JkPkh1bWFuczwva2V5d29yZD48a2V5d29yZD5MYWJv
ciwgT2JzdGV0cmljLypwaHlzaW9sb2d5PC9rZXl3b3JkPjxrZXl3b3JkPlByZWduYW5jeTwva2V5
d29yZD48a2V5d29yZD4qUHJlbmF0YWwgQ2FyZTwva2V5d29yZD48a2V5d29yZD5FeGVyY2lzZTwv
a2V5d29yZD48a2V5d29yZD5sYWJvcjwva2V5d29yZD48a2V5d29yZD5yYW5kb21pemVkIGNvbnRy
b2xsZWQgdHJpYWw8L2tleXdvcmQ+PC9rZXl3b3Jkcz48ZGF0ZXM+PHllYXI+MjAxNDwveWVhcj48
cHViLWRhdGVzPjxkYXRlPkphbjwvZGF0ZT48L3B1Yi1kYXRlcz48L2RhdGVzPjxpc2JuPjE2MDAt
MDQxMiAoRWxlY3Ryb25pYykmI3hEOzAwMDEtNjM0OSAoTGlua2luZyk8L2lzYm4+PGFjY2Vzc2lv
bi1udW0+MjQxMDI0MjM8L2FjY2Vzc2lvbi1udW0+PHVybHM+PHJlbGF0ZWQtdXJscz48dXJsPmh0
dHBzOi8vd3d3Lm5jYmkubmxtLm5paC5nb3YvcHVibWVkLzI0MTAyNDIzPC91cmw+PC9yZWxhdGVk
LXVybHM+PC91cmxzPjxlbGVjdHJvbmljLXJlc291cmNlLW51bT4xMC4xMTExL2FvZ3MuMTIyNjA8
L2VsZWN0cm9uaWMtcmVzb3VyY2UtbnVtPjwvcmVjb3JkPjwvQ2l0ZT48Q2l0ZT48QXV0aG9yPlJv
ZHJpZ3Vlei1CbGFucXVlPC9BdXRob3I+PFllYXI+MjAxOTwvWWVhcj48UmVjTnVtPjE5NjM8L1Jl
Y051bT48cmVjb3JkPjxyZWMtbnVtYmVyPjE5NjM8L3JlYy1udW1iZXI+PGZvcmVpZ24ta2V5cz48
a2V5IGFwcD0iRU4iIGRiLWlkPSJleHZhc3JmeDJkdHJhb2VzYXN4cDJzenN4YTJkZjUwMjU5Mngi
IHRpbWVzdGFtcD0iMTU4ODc0MzkwMSI+MTk2Mzwva2V5PjxrZXkgYXBwPSJFTldlYiIgZGItaWQ9
IiI+MDwva2V5PjwvZm9yZWlnbi1rZXlzPjxyZWYtdHlwZSBuYW1lPSJKb3VybmFsIEFydGljbGUi
PjE3PC9yZWYtdHlwZT48Y29udHJpYnV0b3JzPjxhdXRob3JzPjxhdXRob3I+Um9kcmlndWV6LUJs
YW5xdWUsIFIuPC9hdXRob3I+PGF1dGhvcj5TYW5jaGV6LUdhcmNpYSwgSi4gQy48L2F1dGhvcj48
YXV0aG9yPlNhbmNoZXotTG9wZXosIEEuIE0uPC9hdXRob3I+PGF1dGhvcj5BZ3VpbGFyLUNvcmRl
cm8sIE0uIEouPC9hdXRob3I+PC9hdXRob3JzPjwvY29udHJpYnV0b3JzPjxhdXRoLWFkZHJlc3M+
SG9zcGl0YWwgVW5pdmVyc2l0YXJpbyBTYW4gQ2VjaWxpbywgR3JhbmFkYSwgU3BhaW4uJiN4RDtB
bmRhbHVzaWEgUmVzZWFyY2ggUGxhbiwgUmVzZWFyY2ggR3JvdXAgQ1RTIDM2NywgR3JhbmFkYSwg
U3BhaW4uJiN4RDtEZXBhcnRhbWVudG8gZGUgRW5mZXJtZXJpYS9GYWN1bHRhZCBkZSBDaWVuY2lh
cyBkZSBsYSBTYWx1ZCwgVW5pdmVyc2lkYWQgZGUgR3JhbmFkYSwgR3JhbmFkYSwgU3BhaW4uPC9h
dXRoLWFkZHJlc3M+PHRpdGxlcz48dGl0bGU+UGh5c2ljYWwgYWN0aXZpdHkgZHVyaW5nIHByZWdu
YW5jeSBhbmQgaXRzIGluZmx1ZW5jZSBvbiBkZWxpdmVyeSB0aW1lOiBhIHJhbmRvbWl6ZWQgY2xp
bmljYWwgdHJpYWw8L3RpdGxlPjxzZWNvbmRhcnktdGl0bGU+UGVlcko8L3NlY29uZGFyeS10aXRs
ZT48L3RpdGxlcz48cGVyaW9kaWNhbD48ZnVsbC10aXRsZT5QZWVySjwvZnVsbC10aXRsZT48L3Bl
cmlvZGljYWw+PHBhZ2VzPmU2MzcwPC9wYWdlcz48dm9sdW1lPjc8L3ZvbHVtZT48ZWRpdGlvbj4y
MDE5LzAyLzE5PC9lZGl0aW9uPjxrZXl3b3Jkcz48a2V5d29yZD5CaXJ0aDwva2V5d29yZD48a2V5
d29yZD5FeGVyY2lzZTwva2V5d29yZD48a2V5d29yZD5MYWJvcjwva2V5d29yZD48a2V5d29yZD5Q
cmVnbmFuY3k8L2tleXdvcmQ+PGtleXdvcmQ+UHJlZ25hbmN5IG91dGNvbWU8L2tleXdvcmQ+PC9r
ZXl3b3Jkcz48ZGF0ZXM+PHllYXI+MjAxOTwveWVhcj48L2RhdGVzPjxpc2JuPjIxNjctODM1OSAo
UHJpbnQpJiN4RDsyMTY3LTgzNTkgKExpbmtpbmcpPC9pc2JuPjxhY2Nlc3Npb24tbnVtPjMwNzc1
MTc1PC9hY2Nlc3Npb24tbnVtPjx1cmxzPjxyZWxhdGVkLXVybHM+PHVybD5odHRwczovL3d3dy5u
Y2JpLm5sbS5uaWguZ292L3B1Ym1lZC8zMDc3NTE3NTwvdXJsPjwvcmVsYXRlZC11cmxzPjwvdXJs
cz48Y3VzdG9tMj5QTUM2MzcxOTE2PC9jdXN0b20yPjxlbGVjdHJvbmljLXJlc291cmNlLW51bT4x
MC43NzE3L3BlZXJqLjYzNzA8L2VsZWN0cm9uaWMtcmVzb3VyY2UtbnVtPjwvcmVjb3JkPjwvQ2l0
ZT48L0VuZE5vdGU+AG==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009C7C88">
        <w:rPr>
          <w:noProof/>
          <w:sz w:val="16"/>
          <w:szCs w:val="16"/>
        </w:rPr>
      </w:r>
      <w:r w:rsidR="009C7C88">
        <w:rPr>
          <w:noProof/>
          <w:sz w:val="16"/>
          <w:szCs w:val="16"/>
        </w:rPr>
        <w:fldChar w:fldCharType="separate"/>
      </w:r>
      <w:r w:rsidR="002747EA" w:rsidRPr="002747EA">
        <w:rPr>
          <w:noProof/>
          <w:szCs w:val="16"/>
          <w:vertAlign w:val="superscript"/>
        </w:rPr>
        <w:t>298,301</w:t>
      </w:r>
      <w:r w:rsidR="009C7C88">
        <w:rPr>
          <w:noProof/>
          <w:sz w:val="16"/>
          <w:szCs w:val="16"/>
        </w:rPr>
        <w:fldChar w:fldCharType="end"/>
      </w:r>
      <w:r w:rsidR="009C7C88" w:rsidRPr="009C7C88">
        <w:t xml:space="preserve"> and a s</w:t>
      </w:r>
      <w:r w:rsidR="009C7C88">
        <w:t>horter</w:t>
      </w:r>
      <w:r w:rsidR="00133978">
        <w:t xml:space="preserve"> total duration of labour</w:t>
      </w:r>
      <w:r w:rsidR="009C7C88">
        <w:t>,</w:t>
      </w:r>
      <w:r w:rsidR="00133978">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IGZvbnQ9IlRyZWJ1Y2hldCBNUyIgc2l6ZT0iOSI+Mjk0LDMwMTwvc3R5bGU+PC9EaXNwbGF5VGV4
dD48cmVjb3JkPjxyZWMtbnVtYmVyPjcxMTwvcmVjLW51bWJlcj48Zm9yZWlnbi1rZXlzPjxrZXkg
YXBwPSJFTiIgZGItaWQ9ImV4dmFzcmZ4MmR0cmFvZXNhc3hwMnN6c3hhMmRmNTAyNTkyeCIgdGlt
ZXN0YW1wPSIxNTQxNDYyMjg1Ij43MTE8L2tleT48L2ZvcmVpZ24ta2V5cz48cmVmLXR5cGUgbmFt
ZT0iSm91cm5hbCBBcnRpY2xlIj4xNzwvcmVmLXR5cGU+PGNvbnRyaWJ1dG9ycz48YXV0aG9ycz48
YXV0aG9yPkJhcmFrYXQsIFIuPC9hdXRob3I+PGF1dGhvcj5GcmFuY28sIEUuPC9hdXRob3I+PGF1
dGhvcj5QZXJhbGVzLCBNLjwvYXV0aG9yPjxhdXRob3I+TG9wZXosIEMuPC9hdXRob3I+PGF1dGhv
cj5Nb3R0b2xhLCBNLiBGLjwvYXV0aG9yPjwvYXV0aG9ycz48L2NvbnRyaWJ1dG9ycz48YXV0aC1h
ZGRyZXNzPkFGSVBFIFJlc2VhcmNoIEdyb3VwLCBUZWNobmljYWwgVW5pdmVyc2l0eSBvZiBNYWRy
aWQsIFNwYWluLiBFbGVjdHJvbmljIGFkZHJlc3M6IGJhcmFrYXRydWJlbkBnbWFpbC5jb20uJiN4
RDtBRklQRSBSZXNlYXJjaCBHcm91cCwgVGVjaG5pY2FsIFVuaXZlcnNpdHkgb2YgTWFkcmlkLCBT
cGFpbi4mI3hEO0NhbWlsbyBKb3NlIENlbGEgVW5pdmVyc2l0eSwgTWFkcmlkLCBTcGFpbjsgUmVz
ZWFyY2ggSW5zdGl0dXRlIG9mIEhvc3BpdGFsIDEyIGRlIE9jdHVicmUgKCZhcG9zO2krMTImYXBv
czspLCBNYWRyaWQsIFNwYWluLiYjeEQ7UiBTYW11ZWwgTWNMYXVnaGxpbiBGb3VuZGF0aW9uLUV4
ZXJjaXNlICZhbXA7IFByZWduYW5jeSBMYWJvcmF0b3J5LCBTY2hvb2wgb2YgS2luZXNpb2xvZ3ks
IEZhY3VsdHkgb2YgSGVhbHRoIFNjaWVuY2VzLCBDYW5hZGE7IERlcHQgb2YgQW5hdG9teSAmYW1w
OyBDZWxsIEJpb2xvZ3ksIFNjaHVsaWNoIFNjaG9vbCBvZiBNZWRpY2luZSAmYW1wOyBEZW50aXN0
cnksIENoaWxkcmVuJmFwb3M7cyBIZWFsdGggUmVzZWFyY2ggSW5zdGl0dXRlLCBVbml2ZXJzaXR5
IG9mIFdlc3Rlcm4gT250YXJpbywgTG9uZG9uLCBDYW5hZGEuPC9hdXRoLWFkZHJlc3M+PHRpdGxl
cz48dGl0bGU+RXhlcmNpc2UgZHVyaW5nIHByZWduYW5jeSBpcyBhc3NvY2lhdGVkIHdpdGggYSBz
aG9ydGVyIGR1cmF0aW9uIG9mIGxhYm9yLiBBIHJhbmRvbWl6ZWQgY2xpbmljYWwgdHJpYWw8L3Rp
dGxlPjxzZWNvbmRhcnktdGl0bGU+RXVyIEogT2JzdGV0IEd5bmVjb2wgUmVwcm9kIEJpb2w8L3Nl
Y29uZGFyeS10aXRsZT48L3RpdGxlcz48cGVyaW9kaWNhbD48ZnVsbC10aXRsZT5FdXIgSiBPYnN0
ZXQgR3luZWNvbCBSZXByb2QgQmlvbDwvZnVsbC10aXRsZT48L3BlcmlvZGljYWw+PHBhZ2VzPjMz
LTQwPC9wYWdlcz48dm9sdW1lPjIyNDwvdm9sdW1lPjxlZGl0aW9uPjIwMTgvMDMvMTM8L2VkaXRp
b24+PGtleXdvcmRzPjxrZXl3b3JkPkFkdWx0PC9rZXl3b3JkPjxrZXl3b3JkPipFeGVyY2lzZTwv
a2V5d29yZD48a2V5d29yZD5GZW1hbGU8L2tleXdvcmQ+PGtleXdvcmQ+SHVtYW5zPC9rZXl3b3Jk
PjxrZXl3b3JkPipMYWJvciBTdGFnZSwgRmlyc3Q8L2tleXdvcmQ+PGtleXdvcmQ+UHJlZ25hbmN5
PC9rZXl3b3JkPjxrZXl3b3JkPipEdXJhdGlvbjwva2V5d29yZD48a2V5d29yZD4qTGFib3I8L2tl
eXdvcmQ+PGtleXdvcmQ+KlByZWduYW5jeTwva2V5d29yZD48L2tleXdvcmRzPjxkYXRlcz48eWVh
cj4yMDE4PC95ZWFyPjxwdWItZGF0ZXM+PGRhdGU+TWF5PC9kYXRlPjwvcHViLWRhdGVzPjwvZGF0
ZXM+PGlzYm4+MTg3Mi03NjU0IChFbGVjdHJvbmljKSYjeEQ7MDMwMS0yMTE1IChMaW5raW5nKTwv
aXNibj48YWNjZXNzaW9uLW51bT4yOTUyOTQ3NTwvYWNjZXNzaW9uLW51bT48dXJscz48cmVsYXRl
ZC11cmxzPjx1cmw+aHR0cHM6Ly93d3cubmNiaS5ubG0ubmloLmdvdi9wdWJtZWQvMjk1Mjk0NzU8
L3VybD48L3JlbGF0ZWQtdXJscz48L3VybHM+PGVsZWN0cm9uaWMtcmVzb3VyY2UtbnVtPjEwLjEw
MTYvai5lam9ncmIuMjAxOC4wMy4wMDk8L2VsZWN0cm9uaWMtcmVzb3VyY2UtbnVtPjwvcmVjb3Jk
PjwvQ2l0ZT48Q2l0ZT48QXV0aG9yPlJvZHJpZ3Vlei1CbGFucXVlPC9BdXRob3I+PFllYXI+MjAx
OTwvWWVhcj48UmVjTnVtPjE5NjM8L1JlY051bT48cmVjb3JkPjxyZWMtbnVtYmVyPjE5NjM8L3Jl
Yy1udW1iZXI+PGZvcmVpZ24ta2V5cz48a2V5IGFwcD0iRU4iIGRiLWlkPSJleHZhc3JmeDJkdHJh
b2VzYXN4cDJzenN4YTJkZjUwMjU5MngiIHRpbWVzdGFtcD0iMTU4ODc0MzkwMSI+MTk2Mzwva2V5
PjxrZXkgYXBwPSJFTldlYiIgZGItaWQ9IiI+MDwva2V5PjwvZm9yZWlnbi1rZXlzPjxyZWYtdHlw
ZSBuYW1lPSJKb3VybmFsIEFydGljbGUiPjE3PC9yZWYtdHlwZT48Y29udHJpYnV0b3JzPjxhdXRo
b3JzPjxhdXRob3I+Um9kcmlndWV6LUJsYW5xdWUsIFIuPC9hdXRob3I+PGF1dGhvcj5TYW5jaGV6
LUdhcmNpYSwgSi4gQy48L2F1dGhvcj48YXV0aG9yPlNhbmNoZXotTG9wZXosIEEuIE0uPC9hdXRo
b3I+PGF1dGhvcj5BZ3VpbGFyLUNvcmRlcm8sIE0uIEouPC9hdXRob3I+PC9hdXRob3JzPjwvY29u
dHJpYnV0b3JzPjxhdXRoLWFkZHJlc3M+SG9zcGl0YWwgVW5pdmVyc2l0YXJpbyBTYW4gQ2VjaWxp
bywgR3JhbmFkYSwgU3BhaW4uJiN4RDtBbmRhbHVzaWEgUmVzZWFyY2ggUGxhbiwgUmVzZWFyY2gg
R3JvdXAgQ1RTIDM2NywgR3JhbmFkYSwgU3BhaW4uJiN4RDtEZXBhcnRhbWVudG8gZGUgRW5mZXJt
ZXJpYS9GYWN1bHRhZCBkZSBDaWVuY2lhcyBkZSBsYSBTYWx1ZCwgVW5pdmVyc2lkYWQgZGUgR3Jh
bmFkYSwgR3JhbmFkYSwgU3BhaW4uPC9hdXRoLWFkZHJlc3M+PHRpdGxlcz48dGl0bGU+UGh5c2lj
YWwgYWN0aXZpdHkgZHVyaW5nIHByZWduYW5jeSBhbmQgaXRzIGluZmx1ZW5jZSBvbiBkZWxpdmVy
eSB0aW1lOiBhIHJhbmRvbWl6ZWQgY2xpbmljYWwgdHJpYWw8L3RpdGxlPjxzZWNvbmRhcnktdGl0
bGU+UGVlcko8L3NlY29uZGFyeS10aXRsZT48L3RpdGxlcz48cGVyaW9kaWNhbD48ZnVsbC10aXRs
ZT5QZWVySjwvZnVsbC10aXRsZT48L3BlcmlvZGljYWw+PHBhZ2VzPmU2MzcwPC9wYWdlcz48dm9s
dW1lPjc8L3ZvbHVtZT48ZWRpdGlvbj4yMDE5LzAyLzE5PC9lZGl0aW9uPjxrZXl3b3Jkcz48a2V5
d29yZD5CaXJ0aDwva2V5d29yZD48a2V5d29yZD5FeGVyY2lzZTwva2V5d29yZD48a2V5d29yZD5M
YWJvcjwva2V5d29yZD48a2V5d29yZD5QcmVnbmFuY3k8L2tleXdvcmQ+PGtleXdvcmQ+UHJlZ25h
bmN5IG91dGNvbWU8L2tleXdvcmQ+PC9rZXl3b3Jkcz48ZGF0ZXM+PHllYXI+MjAxOTwveWVhcj48
L2RhdGVzPjxpc2JuPjIxNjctODM1OSAoUHJpbnQpJiN4RDsyMTY3LTgzNTkgKExpbmtpbmcpPC9p
c2JuPjxhY2Nlc3Npb24tbnVtPjMwNzc1MTc1PC9hY2Nlc3Npb24tbnVtPjx1cmxzPjxyZWxhdGVk
LXVybHM+PHVybD5odHRwczovL3d3dy5uY2JpLm5sbS5uaWguZ292L3B1Ym1lZC8zMDc3NTE3NTwv
dXJsPjwvcmVsYXRlZC11cmxzPjwvdXJscz48Y3VzdG9tMj5QTUM2MzcxOTE2PC9jdXN0b20yPjxl
bGVjdHJvbmljLXJlc291cmNlLW51bT4xMC43NzE3L3BlZXJqLjYzNzA8L2VsZWN0cm9uaWMtcmVz
b3VyY2UtbnVtPjwvcmVjb3JkPjwvQ2l0ZT48L0VuZE5vdGU+AG==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IGZvbnQ9IlRyZWJ1Y2hldCBNUyIgc2l6ZT0iOSI+Mjk0LDMwMTwvc3R5bGU+PC9EaXNwbGF5VGV4
dD48cmVjb3JkPjxyZWMtbnVtYmVyPjcxMTwvcmVjLW51bWJlcj48Zm9yZWlnbi1rZXlzPjxrZXkg
YXBwPSJFTiIgZGItaWQ9ImV4dmFzcmZ4MmR0cmFvZXNhc3hwMnN6c3hhMmRmNTAyNTkyeCIgdGlt
ZXN0YW1wPSIxNTQxNDYyMjg1Ij43MTE8L2tleT48L2ZvcmVpZ24ta2V5cz48cmVmLXR5cGUgbmFt
ZT0iSm91cm5hbCBBcnRpY2xlIj4xNzwvcmVmLXR5cGU+PGNvbnRyaWJ1dG9ycz48YXV0aG9ycz48
YXV0aG9yPkJhcmFrYXQsIFIuPC9hdXRob3I+PGF1dGhvcj5GcmFuY28sIEUuPC9hdXRob3I+PGF1
dGhvcj5QZXJhbGVzLCBNLjwvYXV0aG9yPjxhdXRob3I+TG9wZXosIEMuPC9hdXRob3I+PGF1dGhv
cj5Nb3R0b2xhLCBNLiBGLjwvYXV0aG9yPjwvYXV0aG9ycz48L2NvbnRyaWJ1dG9ycz48YXV0aC1h
ZGRyZXNzPkFGSVBFIFJlc2VhcmNoIEdyb3VwLCBUZWNobmljYWwgVW5pdmVyc2l0eSBvZiBNYWRy
aWQsIFNwYWluLiBFbGVjdHJvbmljIGFkZHJlc3M6IGJhcmFrYXRydWJlbkBnbWFpbC5jb20uJiN4
RDtBRklQRSBSZXNlYXJjaCBHcm91cCwgVGVjaG5pY2FsIFVuaXZlcnNpdHkgb2YgTWFkcmlkLCBT
cGFpbi4mI3hEO0NhbWlsbyBKb3NlIENlbGEgVW5pdmVyc2l0eSwgTWFkcmlkLCBTcGFpbjsgUmVz
ZWFyY2ggSW5zdGl0dXRlIG9mIEhvc3BpdGFsIDEyIGRlIE9jdHVicmUgKCZhcG9zO2krMTImYXBv
czspLCBNYWRyaWQsIFNwYWluLiYjeEQ7UiBTYW11ZWwgTWNMYXVnaGxpbiBGb3VuZGF0aW9uLUV4
ZXJjaXNlICZhbXA7IFByZWduYW5jeSBMYWJvcmF0b3J5LCBTY2hvb2wgb2YgS2luZXNpb2xvZ3ks
IEZhY3VsdHkgb2YgSGVhbHRoIFNjaWVuY2VzLCBDYW5hZGE7IERlcHQgb2YgQW5hdG9teSAmYW1w
OyBDZWxsIEJpb2xvZ3ksIFNjaHVsaWNoIFNjaG9vbCBvZiBNZWRpY2luZSAmYW1wOyBEZW50aXN0
cnksIENoaWxkcmVuJmFwb3M7cyBIZWFsdGggUmVzZWFyY2ggSW5zdGl0dXRlLCBVbml2ZXJzaXR5
IG9mIFdlc3Rlcm4gT250YXJpbywgTG9uZG9uLCBDYW5hZGEuPC9hdXRoLWFkZHJlc3M+PHRpdGxl
cz48dGl0bGU+RXhlcmNpc2UgZHVyaW5nIHByZWduYW5jeSBpcyBhc3NvY2lhdGVkIHdpdGggYSBz
aG9ydGVyIGR1cmF0aW9uIG9mIGxhYm9yLiBBIHJhbmRvbWl6ZWQgY2xpbmljYWwgdHJpYWw8L3Rp
dGxlPjxzZWNvbmRhcnktdGl0bGU+RXVyIEogT2JzdGV0IEd5bmVjb2wgUmVwcm9kIEJpb2w8L3Nl
Y29uZGFyeS10aXRsZT48L3RpdGxlcz48cGVyaW9kaWNhbD48ZnVsbC10aXRsZT5FdXIgSiBPYnN0
ZXQgR3luZWNvbCBSZXByb2QgQmlvbDwvZnVsbC10aXRsZT48L3BlcmlvZGljYWw+PHBhZ2VzPjMz
LTQwPC9wYWdlcz48dm9sdW1lPjIyNDwvdm9sdW1lPjxlZGl0aW9uPjIwMTgvMDMvMTM8L2VkaXRp
b24+PGtleXdvcmRzPjxrZXl3b3JkPkFkdWx0PC9rZXl3b3JkPjxrZXl3b3JkPipFeGVyY2lzZTwv
a2V5d29yZD48a2V5d29yZD5GZW1hbGU8L2tleXdvcmQ+PGtleXdvcmQ+SHVtYW5zPC9rZXl3b3Jk
PjxrZXl3b3JkPipMYWJvciBTdGFnZSwgRmlyc3Q8L2tleXdvcmQ+PGtleXdvcmQ+UHJlZ25hbmN5
PC9rZXl3b3JkPjxrZXl3b3JkPipEdXJhdGlvbjwva2V5d29yZD48a2V5d29yZD4qTGFib3I8L2tl
eXdvcmQ+PGtleXdvcmQ+KlByZWduYW5jeTwva2V5d29yZD48L2tleXdvcmRzPjxkYXRlcz48eWVh
cj4yMDE4PC95ZWFyPjxwdWItZGF0ZXM+PGRhdGU+TWF5PC9kYXRlPjwvcHViLWRhdGVzPjwvZGF0
ZXM+PGlzYm4+MTg3Mi03NjU0IChFbGVjdHJvbmljKSYjeEQ7MDMwMS0yMTE1IChMaW5raW5nKTwv
aXNibj48YWNjZXNzaW9uLW51bT4yOTUyOTQ3NTwvYWNjZXNzaW9uLW51bT48dXJscz48cmVsYXRl
ZC11cmxzPjx1cmw+aHR0cHM6Ly93d3cubmNiaS5ubG0ubmloLmdvdi9wdWJtZWQvMjk1Mjk0NzU8
L3VybD48L3JlbGF0ZWQtdXJscz48L3VybHM+PGVsZWN0cm9uaWMtcmVzb3VyY2UtbnVtPjEwLjEw
MTYvai5lam9ncmIuMjAxOC4wMy4wMDk8L2VsZWN0cm9uaWMtcmVzb3VyY2UtbnVtPjwvcmVjb3Jk
PjwvQ2l0ZT48Q2l0ZT48QXV0aG9yPlJvZHJpZ3Vlei1CbGFucXVlPC9BdXRob3I+PFllYXI+MjAx
OTwvWWVhcj48UmVjTnVtPjE5NjM8L1JlY051bT48cmVjb3JkPjxyZWMtbnVtYmVyPjE5NjM8L3Jl
Yy1udW1iZXI+PGZvcmVpZ24ta2V5cz48a2V5IGFwcD0iRU4iIGRiLWlkPSJleHZhc3JmeDJkdHJh
b2VzYXN4cDJzenN4YTJkZjUwMjU5MngiIHRpbWVzdGFtcD0iMTU4ODc0MzkwMSI+MTk2Mzwva2V5
PjxrZXkgYXBwPSJFTldlYiIgZGItaWQ9IiI+MDwva2V5PjwvZm9yZWlnbi1rZXlzPjxyZWYtdHlw
ZSBuYW1lPSJKb3VybmFsIEFydGljbGUiPjE3PC9yZWYtdHlwZT48Y29udHJpYnV0b3JzPjxhdXRo
b3JzPjxhdXRob3I+Um9kcmlndWV6LUJsYW5xdWUsIFIuPC9hdXRob3I+PGF1dGhvcj5TYW5jaGV6
LUdhcmNpYSwgSi4gQy48L2F1dGhvcj48YXV0aG9yPlNhbmNoZXotTG9wZXosIEEuIE0uPC9hdXRo
b3I+PGF1dGhvcj5BZ3VpbGFyLUNvcmRlcm8sIE0uIEouPC9hdXRob3I+PC9hdXRob3JzPjwvY29u
dHJpYnV0b3JzPjxhdXRoLWFkZHJlc3M+SG9zcGl0YWwgVW5pdmVyc2l0YXJpbyBTYW4gQ2VjaWxp
bywgR3JhbmFkYSwgU3BhaW4uJiN4RDtBbmRhbHVzaWEgUmVzZWFyY2ggUGxhbiwgUmVzZWFyY2gg
R3JvdXAgQ1RTIDM2NywgR3JhbmFkYSwgU3BhaW4uJiN4RDtEZXBhcnRhbWVudG8gZGUgRW5mZXJt
ZXJpYS9GYWN1bHRhZCBkZSBDaWVuY2lhcyBkZSBsYSBTYWx1ZCwgVW5pdmVyc2lkYWQgZGUgR3Jh
bmFkYSwgR3JhbmFkYSwgU3BhaW4uPC9hdXRoLWFkZHJlc3M+PHRpdGxlcz48dGl0bGU+UGh5c2lj
YWwgYWN0aXZpdHkgZHVyaW5nIHByZWduYW5jeSBhbmQgaXRzIGluZmx1ZW5jZSBvbiBkZWxpdmVy
eSB0aW1lOiBhIHJhbmRvbWl6ZWQgY2xpbmljYWwgdHJpYWw8L3RpdGxlPjxzZWNvbmRhcnktdGl0
bGU+UGVlcko8L3NlY29uZGFyeS10aXRsZT48L3RpdGxlcz48cGVyaW9kaWNhbD48ZnVsbC10aXRs
ZT5QZWVySjwvZnVsbC10aXRsZT48L3BlcmlvZGljYWw+PHBhZ2VzPmU2MzcwPC9wYWdlcz48dm9s
dW1lPjc8L3ZvbHVtZT48ZWRpdGlvbj4yMDE5LzAyLzE5PC9lZGl0aW9uPjxrZXl3b3Jkcz48a2V5
d29yZD5CaXJ0aDwva2V5d29yZD48a2V5d29yZD5FeGVyY2lzZTwva2V5d29yZD48a2V5d29yZD5M
YWJvcjwva2V5d29yZD48a2V5d29yZD5QcmVnbmFuY3k8L2tleXdvcmQ+PGtleXdvcmQ+UHJlZ25h
bmN5IG91dGNvbWU8L2tleXdvcmQ+PC9rZXl3b3Jkcz48ZGF0ZXM+PHllYXI+MjAxOTwveWVhcj48
L2RhdGVzPjxpc2JuPjIxNjctODM1OSAoUHJpbnQpJiN4RDsyMTY3LTgzNTkgKExpbmtpbmcpPC9p
c2JuPjxhY2Nlc3Npb24tbnVtPjMwNzc1MTc1PC9hY2Nlc3Npb24tbnVtPjx1cmxzPjxyZWxhdGVk
LXVybHM+PHVybD5odHRwczovL3d3dy5uY2JpLm5sbS5uaWguZ292L3B1Ym1lZC8zMDc3NTE3NTwv
dXJsPjwvcmVsYXRlZC11cmxzPjwvdXJscz48Y3VzdG9tMj5QTUM2MzcxOTE2PC9jdXN0b20yPjxl
bGVjdHJvbmljLXJlc291cmNlLW51bT4xMC43NzE3L3BlZXJqLjYzNzA8L2VsZWN0cm9uaWMtcmVz
b3VyY2UtbnVtPjwvcmVjb3JkPjwvQ2l0ZT48L0VuZE5vdGU+AG==
</w:fldData>
        </w:fldChar>
      </w:r>
      <w:r w:rsidR="002747EA">
        <w:rPr>
          <w:sz w:val="16"/>
          <w:szCs w:val="16"/>
        </w:rPr>
        <w:instrText xml:space="preserve"> ADDIN EN.CITE.DATA </w:instrText>
      </w:r>
      <w:r w:rsidR="002747EA">
        <w:rPr>
          <w:sz w:val="16"/>
          <w:szCs w:val="16"/>
        </w:rPr>
      </w:r>
      <w:r w:rsidR="002747EA">
        <w:rPr>
          <w:sz w:val="16"/>
          <w:szCs w:val="16"/>
        </w:rPr>
        <w:fldChar w:fldCharType="end"/>
      </w:r>
      <w:r w:rsidR="00133978">
        <w:rPr>
          <w:sz w:val="16"/>
          <w:szCs w:val="16"/>
        </w:rPr>
      </w:r>
      <w:r w:rsidR="00133978">
        <w:rPr>
          <w:sz w:val="16"/>
          <w:szCs w:val="16"/>
        </w:rPr>
        <w:fldChar w:fldCharType="separate"/>
      </w:r>
      <w:r w:rsidR="002747EA" w:rsidRPr="002747EA">
        <w:rPr>
          <w:noProof/>
          <w:szCs w:val="16"/>
          <w:vertAlign w:val="superscript"/>
        </w:rPr>
        <w:t>294,301</w:t>
      </w:r>
      <w:r w:rsidR="00133978">
        <w:rPr>
          <w:sz w:val="16"/>
          <w:szCs w:val="16"/>
        </w:rPr>
        <w:fldChar w:fldCharType="end"/>
      </w:r>
      <w:r w:rsidR="00133978">
        <w:rPr>
          <w:sz w:val="16"/>
          <w:szCs w:val="16"/>
        </w:rPr>
        <w:t xml:space="preserve"> </w:t>
      </w:r>
      <w:r w:rsidR="009C7C88">
        <w:t>most found no clear difference in duration of any stage of labour.</w:t>
      </w:r>
    </w:p>
    <w:p w14:paraId="15A961B7" w14:textId="5B4325F9" w:rsidR="00DE2470" w:rsidRDefault="00EF1B2C" w:rsidP="008E1439">
      <w:pPr>
        <w:pStyle w:val="Heading4"/>
      </w:pPr>
      <w:r>
        <w:t>Pain during labour</w:t>
      </w:r>
    </w:p>
    <w:p w14:paraId="6FEEAD49" w14:textId="63274B96" w:rsidR="002205C5" w:rsidRPr="002205C5" w:rsidRDefault="00B37B03" w:rsidP="002205C5">
      <w:r>
        <w:t xml:space="preserve">Five </w:t>
      </w:r>
      <w:r w:rsidR="002205C5">
        <w:t>RCTs</w:t>
      </w:r>
      <w:r w:rsidR="008D4074">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Zm9udD0iVHJlYnVjaGV0IE1TIiBzaXplPSI5Ij4yOTIsMjk4LTMwMCwzMDM8L3N0eWxlPjwvRGlz
cGxheVRleHQ+PHJlY29yZD48cmVjLW51bWJlcj42Nzk8L3JlYy1udW1iZXI+PGZvcmVpZ24ta2V5
cz48a2V5IGFwcD0iRU4iIGRiLWlkPSJleHZhc3JmeDJkdHJhb2VzYXN4cDJzenN4YTJkZjUwMjU5
MngiIHRpbWVzdGFtcD0iMTU0MDUyNjg5MCI+Njc5PC9rZXk+PC9mb3JlaWduLWtleXM+PHJlZi10
eXBlIG5hbWU9IkpvdXJuYWwgQXJ0aWNsZSI+MTc8L3JlZi10eXBlPjxjb250cmlidXRvcnM+PGF1
dGhvcnM+PGF1dGhvcj5CYWNpdWssIEUuIFAuPC9hdXRob3I+PGF1dGhvcj5QZXJlaXJhLCBSLiBJ
LjwvYXV0aG9yPjxhdXRob3I+Q2VjYXR0aSwgSi4gRy48L2F1dGhvcj48YXV0aG9yPkJyYWdhLCBB
LiBGLjwvYXV0aG9yPjxhdXRob3I+Q2F2YWxjYW50ZSwgUy4gUi48L2F1dGhvcj48L2F1dGhvcnM+
PC9jb250cmlidXRvcnM+PGF1dGgtYWRkcmVzcz5EZXBhcnRtZW50IG9mIE9ic3RldHJpY3MgYW5k
IEd5bmVjb2xvZ3ksIFVuaXZlcnNpdHkgb2YgQ2FtcGluYXMsIFNhbyBQYXVsbywgQnJhemlsLiBl
cmljYXhiYUB0ZXJyYS5jb20uYnI8L2F1dGgtYWRkcmVzcz48dGl0bGVzPjx0aXRsZT5XYXRlciBh
ZXJvYmljcyBpbiBwcmVnbmFuY3k6IENhcmRpb3Zhc2N1bGFyIHJlc3BvbnNlLCBsYWJvciBhbmQg
bmVvbmF0YWwgb3V0Y29tZXM8L3RpdGxlPjxzZWNvbmRhcnktdGl0bGU+UmVwcm9kIEhlYWx0aDwv
c2Vjb25kYXJ5LXRpdGxlPjwvdGl0bGVzPjxwZXJpb2RpY2FsPjxmdWxsLXRpdGxlPlJlcHJvZCBI
ZWFsdGg8L2Z1bGwtdGl0bGU+PC9wZXJpb2RpY2FsPjxwYWdlcz4xMDwvcGFnZXM+PHZvbHVtZT41
PC92b2x1bWU+PGVkaXRpb24+MjAwOC8xMS8yNjwvZWRpdGlvbj48ZGF0ZXM+PHllYXI+MjAwODwv
eWVhcj48cHViLWRhdGVzPjxkYXRlPk5vdiAyMTwvZGF0ZT48L3B1Yi1kYXRlcz48L2RhdGVzPjxp
c2JuPjE3NDItNDc1NSAoRWxlY3Ryb25pYykmI3hEOzE3NDItNDc1NSAoTGlua2luZyk8L2lzYm4+
PGFjY2Vzc2lvbi1udW0+MTkwMjU1Nzk8L2FjY2Vzc2lvbi1udW0+PHVybHM+PHJlbGF0ZWQtdXJs
cz48dXJsPmh0dHBzOi8vd3d3Lm5jYmkubmxtLm5paC5nb3YvcHVibWVkLzE5MDI1NTc5PC91cmw+
PC9yZWxhdGVkLXVybHM+PC91cmxzPjxjdXN0b20yPlBNQzI2MTMxMzE8L2N1c3RvbTI+PGVsZWN0
cm9uaWMtcmVzb3VyY2UtbnVtPjEwLjExODYvMTc0Mi00NzU1LTUtMTA8L2VsZWN0cm9uaWMtcmVz
b3VyY2UtbnVtPjwvcmVjb3JkPjwvQ2l0ZT48Q2l0ZT48QXV0aG9yPkJhcmFrYXQ8L0F1dGhvcj48
WWVhcj4yMDA5PC9ZZWFyPjxSZWNOdW0+MTAxMDwvUmVjTnVtPjxyZWNvcmQ+PHJlYy1udW1iZXI+
MTAxMDwvcmVjLW51bWJlcj48Zm9yZWlnbi1rZXlzPjxrZXkgYXBwPSJFTiIgZGItaWQ9ImV4dmFz
cmZ4MmR0cmFvZXNhc3hwMnN6c3hhMmRmNTAyNTkyeCIgdGltZXN0YW1wPSIxNTQ4OTgzNDc2Ij4x
MDEwPC9rZXk+PC9mb3JlaWduLWtleXM+PHJlZi10eXBlIG5hbWU9IkpvdXJuYWwgQXJ0aWNsZSI+
MTc8L3JlZi10eXBlPjxjb250cmlidXRvcnM+PGF1dGhvcnM+PGF1dGhvcj5CYXJha2F0LCBSLjwv
YXV0aG9yPjxhdXRob3I+UnVpeiwgSi4gUi48L2F1dGhvcj48YXV0aG9yPlN0aXJsaW5nLCBKLiBS
LjwvYXV0aG9yPjxhdXRob3I+WmFreW50aGluYWtpLCBNLjwvYXV0aG9yPjxhdXRob3I+THVjaWEs
IEEuPC9hdXRob3I+PC9hdXRob3JzPjwvY29udHJpYnV0b3JzPjxhdXRoLWFkZHJlc3M+RmFjdWx0
YWQgZGUgQ2llbmNpYXMgZGUgbGEgQWN0aXZpZGFkIEZpc2ljYSB5IGRlbCBEZXBvcnRlLUlORUYs
IFVuaXZlcnNpZGFkIFBvbGl0ZWNuaWNhIGRlIE1hZHJpZCwgU3BhaW4uPC9hdXRoLWFkZHJlc3M+
PHRpdGxlcz48dGl0bGU+VHlwZSBvZiBkZWxpdmVyeSBpcyBub3QgYWZmZWN0ZWQgYnkgbGlnaHQg
cmVzaXN0YW5jZSBhbmQgdG9uaW5nIGV4ZXJjaXNlIHRyYWluaW5nIGR1cmluZyBwcmVnbmFuY3k6
IGEgcmFuZG9taXplZCBjb250cm9sbGVkIHRyaWFsPC90aXRsZT48c2Vjb25kYXJ5LXRpdGxlPkFt
IEogT2JzdGV0IEd5bmVjb2w8L3NlY29uZGFyeS10aXRsZT48L3RpdGxlcz48cGVyaW9kaWNhbD48
ZnVsbC10aXRsZT5BbSBKIE9ic3RldCBHeW5lY29sPC9mdWxsLXRpdGxlPjwvcGVyaW9kaWNhbD48
cGFnZXM+NTkwIGUxLTY8L3BhZ2VzPjx2b2x1bWU+MjAxPC92b2x1bWU+PG51bWJlcj42PC9udW1i
ZXI+PGVkaXRpb24+MjAwOS8wNy8xODwvZWRpdGlvbj48a2V5d29yZHM+PGtleXdvcmQ+QWR1bHQ8
L2tleXdvcmQ+PGtleXdvcmQ+KkRlbGl2ZXJ5LCBPYnN0ZXRyaWM8L2tleXdvcmQ+PGtleXdvcmQ+
RmVtYWxlPC9rZXl3b3JkPjxrZXl3b3JkPkh1bWFuczwva2V5d29yZD48a2V5d29yZD4qTGFib3Is
IE9ic3RldHJpYzwva2V5d29yZD48a2V5d29yZD5QcmVnbmFuY3k8L2tleXdvcmQ+PGtleXdvcmQ+
UHJlZ25hbmN5IFRyaW1lc3RlciwgU2Vjb25kPC9rZXl3b3JkPjxrZXl3b3JkPlByZWduYW5jeSBU
cmltZXN0ZXIsIFRoaXJkPC9rZXl3b3JkPjxrZXl3b3JkPipXZWlnaHQgTGlmdGluZzwva2V5d29y
ZD48L2tleXdvcmRzPjxkYXRlcz48eWVhcj4yMDA5PC95ZWFyPjxwdWItZGF0ZXM+PGRhdGU+RGVj
PC9kYXRlPjwvcHViLWRhdGVzPjwvZGF0ZXM+PGlzYm4+MTA5Ny02ODY4IChFbGVjdHJvbmljKSYj
eEQ7MDAwMi05Mzc4IChMaW5raW5nKTwvaXNibj48YWNjZXNzaW9uLW51bT4xOTYwODE1MTwvYWNj
ZXNzaW9uLW51bT48dXJscz48cmVsYXRlZC11cmxzPjx1cmw+aHR0cHM6Ly93d3cubmNiaS5ubG0u
bmloLmdvdi9wdWJtZWQvMTk2MDgxNTE8L3VybD48L3JlbGF0ZWQtdXJscz48L3VybHM+PGVsZWN0
cm9uaWMtcmVzb3VyY2UtbnVtPjEwLjEwMTYvai5ham9nLjIwMDkuMDYuMDA0PC9lbGVjdHJvbmlj
LXJlc291cmNlLW51bT48L3JlY29yZD48L0NpdGU+PENpdGU+PEF1dGhvcj5TYWx2ZXNlbjwvQXV0
aG9yPjxZZWFyPjIwMTQ8L1llYXI+PFJlY051bT45NDI8L1JlY051bT48cmVjb3JkPjxyZWMtbnVt
YmVyPjk0MjwvcmVjLW51bWJlcj48Zm9yZWlnbi1rZXlzPjxrZXkgYXBwPSJFTiIgZGItaWQ9ImV4
dmFzcmZ4MmR0cmFvZXNhc3hwMnN6c3hhMmRmNTAyNTkyeCIgdGltZXN0YW1wPSIxNTQxNTQxODMy
Ij45NDI8L2tleT48a2V5IGFwcD0iRU5XZWIiIGRiLWlkPSIiPjA8L2tleT48L2ZvcmVpZ24ta2V5
cz48cmVmLXR5cGUgbmFtZT0iSm91cm5hbCBBcnRpY2xlIj4xNzwvcmVmLXR5cGU+PGNvbnRyaWJ1
dG9ycz48YXV0aG9ycz48YXV0aG9yPlNhbHZlc2VuLCBLLiBBLjwvYXV0aG9yPjxhdXRob3I+U3Rh
Zm5lLCBTLiBOLjwvYXV0aG9yPjxhdXRob3I+RWdnZWJvLCBULiBNLjwvYXV0aG9yPjxhdXRob3I+
TW9ya3ZlZCwgUy48L2F1dGhvcj48L2F1dGhvcnM+PC9jb250cmlidXRvcnM+PGF1dGgtYWRkcmVz
cz5DbGluaWNhbCBTY2llbmNlcywgT2JzdGV0cmljcyBhbmQgR3luZWNvbG9neSwgTHVuZCBVbml2
ZXJzaXR5LCBMdW5kLCBTd2VkZW47IE5hdGlvbmFsIENlbnRlciBmb3IgRmV0YWwgTWVkaWNpbmUs
IERlcGFydG1lbnQgb2YgT2JzdGV0cmljcyBhbmQgR3luZWNvbG9neSwgU3QuIE9sYXZzIEhvc3Bp
dGFsLCBUcm9uZGhlaW0gVW5pdmVyc2l0eSBIb3NwaXRhbCwgVHJvbmRoZWltLCBOb3J3YXkuPC9h
dXRoLWFkZHJlc3M+PHRpdGxlcz48dGl0bGU+RG9lcyByZWd1bGFyIGV4ZXJjaXNlIGluIHByZWdu
YW5jeSBpbmZsdWVuY2UgZHVyYXRpb24gb2YgbGFib3I/IEEgc2Vjb25kYXJ5IGFuYWx5c2lzIG9m
IGEgcmFuZG9taXplZCBjb250cm9sbGVkIHRyaWFsPC90aXRsZT48c2Vjb25kYXJ5LXRpdGxlPkFj
dGEgT2JzdGV0IEd5bmVjb2wgU2NhbmQ8L3NlY29uZGFyeS10aXRsZT48L3RpdGxlcz48cGVyaW9k
aWNhbD48ZnVsbC10aXRsZT5BY3RhIE9ic3RldCBHeW5lY29sIFNjYW5kPC9mdWxsLXRpdGxlPjwv
cGVyaW9kaWNhbD48cGFnZXM+NzMtOTwvcGFnZXM+PHZvbHVtZT45Mzwvdm9sdW1lPjxudW1iZXI+
MTwvbnVtYmVyPjxlZGl0aW9uPjIwMTMvMTAvMTA8L2VkaXRpb24+PGtleXdvcmRzPjxrZXl3b3Jk
PkFkdWx0PC9rZXl3b3JkPjxrZXl3b3JkPkJvZHkgTWFzcyBJbmRleDwva2V5d29yZD48a2V5d29y
ZD5FeGVyY2lzZS8qcGh5c2lvbG9neTwva2V5d29yZD48a2V5d29yZD5GZW1hbGU8L2tleXdvcmQ+
PGtleXdvcmQ+SHVtYW5zPC9rZXl3b3JkPjxrZXl3b3JkPkxhYm9yLCBPYnN0ZXRyaWMvKnBoeXNp
b2xvZ3k8L2tleXdvcmQ+PGtleXdvcmQ+UHJlZ25hbmN5PC9rZXl3b3JkPjxrZXl3b3JkPipQcmVu
YXRhbCBDYXJlPC9rZXl3b3JkPjxrZXl3b3JkPkV4ZXJjaXNlPC9rZXl3b3JkPjxrZXl3b3JkPmxh
Ym9yPC9rZXl3b3JkPjxrZXl3b3JkPnJhbmRvbWl6ZWQgY29udHJvbGxlZCB0cmlhbDwva2V5d29y
ZD48L2tleXdvcmRzPjxkYXRlcz48eWVhcj4yMDE0PC95ZWFyPjxwdWItZGF0ZXM+PGRhdGU+SmFu
PC9kYXRlPjwvcHViLWRhdGVzPjwvZGF0ZXM+PGlzYm4+MTYwMC0wNDEyIChFbGVjdHJvbmljKSYj
eEQ7MDAwMS02MzQ5IChMaW5raW5nKTwvaXNibj48YWNjZXNzaW9uLW51bT4yNDEwMjQyMzwvYWNj
ZXNzaW9uLW51bT48dXJscz48cmVsYXRlZC11cmxzPjx1cmw+aHR0cHM6Ly93d3cubmNiaS5ubG0u
bmloLmdvdi9wdWJtZWQvMjQxMDI0MjM8L3VybD48L3JlbGF0ZWQtdXJscz48L3VybHM+PGVsZWN0
cm9uaWMtcmVzb3VyY2UtbnVtPjEwLjExMTEvYW9ncy4xMjI2MDwvZWxlY3Ryb25pYy1yZXNvdXJj
ZS1udW0+PC9yZWNvcmQ+PC9DaXRlPjxDaXRlPjxBdXRob3I+VGFuaWd1Y2hpPC9BdXRob3I+PFll
YXI+MjAxNjwvWWVhcj48UmVjTnVtPjkxMTwvUmVjTnVtPjxyZWNvcmQ+PHJlYy1udW1iZXI+OTEx
PC9yZWMtbnVtYmVyPjxmb3JlaWduLWtleXM+PGtleSBhcHA9IkVOIiBkYi1pZD0iZXh2YXNyZngy
ZHRyYW9lc2FzeHAyc3pzeGEyZGY1MDI1OTJ4IiB0aW1lc3RhbXA9IjE1NDE1NDA4NjEiPjkxMTwv
a2V5PjxrZXkgYXBwPSJFTldlYiIgZGItaWQ9IiI+MDwva2V5PjwvZm9yZWlnbi1rZXlzPjxyZWYt
dHlwZSBuYW1lPSJKb3VybmFsIEFydGljbGUiPjE3PC9yZWYtdHlwZT48Y29udHJpYnV0b3JzPjxh
dXRob3JzPjxhdXRob3I+VGFuaWd1Y2hpLCBDLjwvYXV0aG9yPjxhdXRob3I+U2F0bywgQy48L2F1
dGhvcj48L2F1dGhvcnM+PC9jb250cmlidXRvcnM+PGF1dGgtYWRkcmVzcz5LYW5hZ2F3YSBVbml2
ZXJzaXR5IG9mIEh1bWFuIFNlcnZpY2VzLCBLYW5hZ2F3YSBQcmVmZWN0dXJlLCBKYXBhbi4gdGFu
aWd1Y2hpLm03YkBrdWhzLmFjLmpwLiYjeEQ7T3RzdWthIE1lZGljYWwgQ2xpbmljLCBUb3NoaW1h
LWt1LCBKYXBhbi48L2F1dGgtYWRkcmVzcz48dGl0bGVzPjx0aXRsZT5Ib21lLWJhc2VkIHdhbGtp
bmcgZHVyaW5nIHByZWduYW5jeSBhZmZlY3RzIG1vb2QgYW5kIGJpcnRoIG91dGNvbWVzIGFtb25n
IHNlZGVudGFyeSB3b21lbjogQSByYW5kb21pemVkIGNvbnRyb2xsZWQgdHJpYWw8L3RpdGxlPjxz
ZWNvbmRhcnktdGl0bGU+SW50IEogTnVycyBQcmFjdDwvc2Vjb25kYXJ5LXRpdGxlPjwvdGl0bGVz
PjxwZXJpb2RpY2FsPjxmdWxsLXRpdGxlPkludCBKIE51cnMgUHJhY3Q8L2Z1bGwtdGl0bGU+PC9w
ZXJpb2RpY2FsPjxwYWdlcz40MjAtNDI2PC9wYWdlcz48dm9sdW1lPjIyPC92b2x1bWU+PG51bWJl
cj41PC9udW1iZXI+PGVkaXRpb24+MjAxNi8wNi8wOTwvZWRpdGlvbj48a2V5d29yZHM+PGtleXdv
cmQ+QWR1bHQ8L2tleXdvcmQ+PGtleXdvcmQ+KkFmZmVjdDwva2V5d29yZD48a2V5d29yZD5GZW1h
bGU8L2tleXdvcmQ+PGtleXdvcmQ+SHVtYW5zPC9rZXl3b3JkPjxrZXl3b3JkPlByZWduYW5jeTwv
a2V5d29yZD48a2V5d29yZD4qUHJlZ25hbmN5IE91dGNvbWU8L2tleXdvcmQ+PGtleXdvcmQ+KlNl
ZGVudGFyeSBMaWZlc3R5bGU8L2tleXdvcmQ+PGtleXdvcmQ+KldhbGtpbmc8L2tleXdvcmQ+PGtl
eXdvcmQ+WW91bmcgQWR1bHQ8L2tleXdvcmQ+PGtleXdvcmQ+KlByb2ZpbGUgb2YgTW9vZCBTdGF0
ZXM8L2tleXdvcmQ+PGtleXdvcmQ+KmV4ZXJjaXNlPC9rZXl3b3JkPjxrZXl3b3JkPipudXJzaW5n
PC9rZXl3b3JkPjxrZXl3b3JkPipwcmVnbmFuY3k8L2tleXdvcmQ+PGtleXdvcmQ+KnJhbmRvbWl6
ZWQgY29udHJvbGxlZCB0cmlhbDwva2V5d29yZD48L2tleXdvcmRzPjxkYXRlcz48eWVhcj4yMDE2
PC95ZWFyPjxwdWItZGF0ZXM+PGRhdGU+T2N0PC9kYXRlPjwvcHViLWRhdGVzPjwvZGF0ZXM+PGlz
Ym4+MTQ0MC0xNzJYIChFbGVjdHJvbmljKSYjeEQ7MTMyMi03MTE0IChMaW5raW5nKTwvaXNibj48
YWNjZXNzaW9uLW51bT4yNzI3MjkzNzwvYWNjZXNzaW9uLW51bT48dXJscz48cmVsYXRlZC11cmxz
Pjx1cmw+aHR0cHM6Ly93d3cubmNiaS5ubG0ubmloLmdvdi9wdWJtZWQvMjcyNzI5Mzc8L3VybD48
L3JlbGF0ZWQtdXJscz48L3VybHM+PGVsZWN0cm9uaWMtcmVzb3VyY2UtbnVtPjEwLjExMTEvaWpu
LjEyNDUzPC9lbGVjdHJvbmljLXJlc291cmNlLW51bT48L3JlY29yZD48L0NpdGU+PENpdGU+PEF1
dGhvcj5TYW5kYTwvQXV0aG9yPjxZZWFyPjIwMTg8L1llYXI+PFJlY051bT45MjU8L1JlY051bT48
cmVjb3JkPjxyZWMtbnVtYmVyPjkyNTwvcmVjLW51bWJlcj48Zm9yZWlnbi1rZXlzPjxrZXkgYXBw
PSJFTiIgZGItaWQ9ImV4dmFzcmZ4MmR0cmFvZXNhc3hwMnN6c3hhMmRmNTAyNTkyeCIgdGltZXN0
YW1wPSIxNTQxNTQwOTI5Ij45MjU8L2tleT48a2V5IGFwcD0iRU5XZWIiIGRiLWlkPSIiPjA8L2tl
eT48L2ZvcmVpZ24ta2V5cz48cmVmLXR5cGUgbmFtZT0iSm91cm5hbCBBcnRpY2xlIj4xNzwvcmVm
LXR5cGU+PGNvbnRyaWJ1dG9ycz48YXV0aG9ycz48YXV0aG9yPlNhbmRhLCBCLjwvYXV0aG9yPjxh
dXRob3I+VmlzdGFkLCBJLjwvYXV0aG9yPjxhdXRob3I+U2FnZWRhbCwgTC4gUi48L2F1dGhvcj48
YXV0aG9yPkhhYWtzdGFkLCBMLiBBLiBILjwvYXV0aG9yPjxhdXRob3I+TG9obmUtU2VpbGVyLCBI
LjwvYXV0aG9yPjxhdXRob3I+VG9yc3R2ZWl0LCBNLiBLLjwvYXV0aG9yPjwvYXV0aG9ycz48L2Nv
bnRyaWJ1dG9ycz48YXV0aC1hZGRyZXNzPkZhY3VsdHkgb2YgSGVhbHRoIGFuZCBTcG9ydCBTY2ll
bmNlcywgVW5pdmVyc2l0eSBvZiBBZ2RlciwgS3Jpc3RpYW5zYW5kLCBOb3J3YXkuJiN4RDtEZXBh
cnRtZW50IG9mIE9ic3RldHJpY3MgYW5kIEd5bmVjb2xvZ3ksIFNvdXRoZXJuIE5vcndheSBIb3Nw
aXRhbCBUcnVzdCwgS3Jpc3RpYW5zYW5kLCBOb3J3YXkuJiN4RDtOb3J3ZWdpYW4gU2Nob29sIG9m
IFNwb3J0cyBTY2llbmNlLCBPc2xvLCBOb3J3YXkuPC9hdXRoLWFkZHJlc3M+PHRpdGxlcz48dGl0
bGU+V2hhdCBpcyB0aGUgZWZmZWN0IG9mIHBoeXNpY2FsIGFjdGl2aXR5IG9uIGR1cmF0aW9uIGFu
ZCBtb2RlIG9mIGRlbGl2ZXJ5PyBTZWNvbmRhcnkgYW5hbHlzaXMgZnJvbSB0aGUgTm9yd2VnaWFu
IEZpdCBmb3IgRGVsaXZlcnkgdHJpYWw8L3RpdGxlPjxzZWNvbmRhcnktdGl0bGU+QWN0YSBPYnN0
ZXQgR3luZWNvbCBTY2FuZDwvc2Vjb25kYXJ5LXRpdGxlPjwvdGl0bGVzPjxwZXJpb2RpY2FsPjxm
dWxsLXRpdGxlPkFjdGEgT2JzdGV0IEd5bmVjb2wgU2NhbmQ8L2Z1bGwtdGl0bGU+PC9wZXJpb2Rp
Y2FsPjxwYWdlcz44NjEtODcxPC9wYWdlcz48dm9sdW1lPjk3PC92b2x1bWU+PG51bWJlcj43PC9u
dW1iZXI+PGVkaXRpb24+MjAxOC8wNS8xMTwvZWRpdGlvbj48a2V5d29yZHM+PGtleXdvcmQ+RXhl
cmNpc2U8L2tleXdvcmQ+PGtleXdvcmQ+Y2VzYXJlYW4gc2VjdGlvbjwva2V5d29yZD48a2V5d29y
ZD5kZWxpdmVyeSBvdXRjb21lczwva2V5d29yZD48a2V5d29yZD5sYWJvcjwva2V5d29yZD48a2V5
d29yZD5wcmVnbmFuY3k8L2tleXdvcmQ+PGtleXdvcmQ+cmFuZG9taXplZCBjb250cm9sbGVkIHRy
aWFsPC9rZXl3b3JkPjwva2V5d29yZHM+PGRhdGVzPjx5ZWFyPjIwMTg8L3llYXI+PHB1Yi1kYXRl
cz48ZGF0ZT5KdWw8L2RhdGU+PC9wdWItZGF0ZXM+PC9kYXRlcz48aXNibj4xNjAwLTA0MTIgKEVs
ZWN0cm9uaWMpJiN4RDswMDAxLTYzNDkgKExpbmtpbmcpPC9pc2JuPjxhY2Nlc3Npb24tbnVtPjI5
NzQ0ODY2PC9hY2Nlc3Npb24tbnVtPjx1cmxzPjxyZWxhdGVkLXVybHM+PHVybD5odHRwczovL3d3
dy5uY2JpLm5sbS5uaWguZ292L3B1Ym1lZC8yOTc0NDg2NjwvdXJsPjwvcmVsYXRlZC11cmxzPjwv
dXJscz48ZWxlY3Ryb25pYy1yZXNvdXJjZS1udW0+MTAuMTExMS9hb2dzLjEzMzUxPC9lbGVjdHJv
bmljLXJlc291cmNlLW51bT48L3JlY29yZD48L0NpdGU+PC9FbmROb3RlPgB=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Zm9udD0iVHJlYnVjaGV0IE1TIiBzaXplPSI5Ij4yOTIsMjk4LTMwMCwzMDM8L3N0eWxlPjwvRGlz
cGxheVRleHQ+PHJlY29yZD48cmVjLW51bWJlcj42Nzk8L3JlYy1udW1iZXI+PGZvcmVpZ24ta2V5
cz48a2V5IGFwcD0iRU4iIGRiLWlkPSJleHZhc3JmeDJkdHJhb2VzYXN4cDJzenN4YTJkZjUwMjU5
MngiIHRpbWVzdGFtcD0iMTU0MDUyNjg5MCI+Njc5PC9rZXk+PC9mb3JlaWduLWtleXM+PHJlZi10
eXBlIG5hbWU9IkpvdXJuYWwgQXJ0aWNsZSI+MTc8L3JlZi10eXBlPjxjb250cmlidXRvcnM+PGF1
dGhvcnM+PGF1dGhvcj5CYWNpdWssIEUuIFAuPC9hdXRob3I+PGF1dGhvcj5QZXJlaXJhLCBSLiBJ
LjwvYXV0aG9yPjxhdXRob3I+Q2VjYXR0aSwgSi4gRy48L2F1dGhvcj48YXV0aG9yPkJyYWdhLCBB
LiBGLjwvYXV0aG9yPjxhdXRob3I+Q2F2YWxjYW50ZSwgUy4gUi48L2F1dGhvcj48L2F1dGhvcnM+
PC9jb250cmlidXRvcnM+PGF1dGgtYWRkcmVzcz5EZXBhcnRtZW50IG9mIE9ic3RldHJpY3MgYW5k
IEd5bmVjb2xvZ3ksIFVuaXZlcnNpdHkgb2YgQ2FtcGluYXMsIFNhbyBQYXVsbywgQnJhemlsLiBl
cmljYXhiYUB0ZXJyYS5jb20uYnI8L2F1dGgtYWRkcmVzcz48dGl0bGVzPjx0aXRsZT5XYXRlciBh
ZXJvYmljcyBpbiBwcmVnbmFuY3k6IENhcmRpb3Zhc2N1bGFyIHJlc3BvbnNlLCBsYWJvciBhbmQg
bmVvbmF0YWwgb3V0Y29tZXM8L3RpdGxlPjxzZWNvbmRhcnktdGl0bGU+UmVwcm9kIEhlYWx0aDwv
c2Vjb25kYXJ5LXRpdGxlPjwvdGl0bGVzPjxwZXJpb2RpY2FsPjxmdWxsLXRpdGxlPlJlcHJvZCBI
ZWFsdGg8L2Z1bGwtdGl0bGU+PC9wZXJpb2RpY2FsPjxwYWdlcz4xMDwvcGFnZXM+PHZvbHVtZT41
PC92b2x1bWU+PGVkaXRpb24+MjAwOC8xMS8yNjwvZWRpdGlvbj48ZGF0ZXM+PHllYXI+MjAwODwv
eWVhcj48cHViLWRhdGVzPjxkYXRlPk5vdiAyMTwvZGF0ZT48L3B1Yi1kYXRlcz48L2RhdGVzPjxp
c2JuPjE3NDItNDc1NSAoRWxlY3Ryb25pYykmI3hEOzE3NDItNDc1NSAoTGlua2luZyk8L2lzYm4+
PGFjY2Vzc2lvbi1udW0+MTkwMjU1Nzk8L2FjY2Vzc2lvbi1udW0+PHVybHM+PHJlbGF0ZWQtdXJs
cz48dXJsPmh0dHBzOi8vd3d3Lm5jYmkubmxtLm5paC5nb3YvcHVibWVkLzE5MDI1NTc5PC91cmw+
PC9yZWxhdGVkLXVybHM+PC91cmxzPjxjdXN0b20yPlBNQzI2MTMxMzE8L2N1c3RvbTI+PGVsZWN0
cm9uaWMtcmVzb3VyY2UtbnVtPjEwLjExODYvMTc0Mi00NzU1LTUtMTA8L2VsZWN0cm9uaWMtcmVz
b3VyY2UtbnVtPjwvcmVjb3JkPjwvQ2l0ZT48Q2l0ZT48QXV0aG9yPkJhcmFrYXQ8L0F1dGhvcj48
WWVhcj4yMDA5PC9ZZWFyPjxSZWNOdW0+MTAxMDwvUmVjTnVtPjxyZWNvcmQ+PHJlYy1udW1iZXI+
MTAxMDwvcmVjLW51bWJlcj48Zm9yZWlnbi1rZXlzPjxrZXkgYXBwPSJFTiIgZGItaWQ9ImV4dmFz
cmZ4MmR0cmFvZXNhc3hwMnN6c3hhMmRmNTAyNTkyeCIgdGltZXN0YW1wPSIxNTQ4OTgzNDc2Ij4x
MDEwPC9rZXk+PC9mb3JlaWduLWtleXM+PHJlZi10eXBlIG5hbWU9IkpvdXJuYWwgQXJ0aWNsZSI+
MTc8L3JlZi10eXBlPjxjb250cmlidXRvcnM+PGF1dGhvcnM+PGF1dGhvcj5CYXJha2F0LCBSLjwv
YXV0aG9yPjxhdXRob3I+UnVpeiwgSi4gUi48L2F1dGhvcj48YXV0aG9yPlN0aXJsaW5nLCBKLiBS
LjwvYXV0aG9yPjxhdXRob3I+WmFreW50aGluYWtpLCBNLjwvYXV0aG9yPjxhdXRob3I+THVjaWEs
IEEuPC9hdXRob3I+PC9hdXRob3JzPjwvY29udHJpYnV0b3JzPjxhdXRoLWFkZHJlc3M+RmFjdWx0
YWQgZGUgQ2llbmNpYXMgZGUgbGEgQWN0aXZpZGFkIEZpc2ljYSB5IGRlbCBEZXBvcnRlLUlORUYs
IFVuaXZlcnNpZGFkIFBvbGl0ZWNuaWNhIGRlIE1hZHJpZCwgU3BhaW4uPC9hdXRoLWFkZHJlc3M+
PHRpdGxlcz48dGl0bGU+VHlwZSBvZiBkZWxpdmVyeSBpcyBub3QgYWZmZWN0ZWQgYnkgbGlnaHQg
cmVzaXN0YW5jZSBhbmQgdG9uaW5nIGV4ZXJjaXNlIHRyYWluaW5nIGR1cmluZyBwcmVnbmFuY3k6
IGEgcmFuZG9taXplZCBjb250cm9sbGVkIHRyaWFsPC90aXRsZT48c2Vjb25kYXJ5LXRpdGxlPkFt
IEogT2JzdGV0IEd5bmVjb2w8L3NlY29uZGFyeS10aXRsZT48L3RpdGxlcz48cGVyaW9kaWNhbD48
ZnVsbC10aXRsZT5BbSBKIE9ic3RldCBHeW5lY29sPC9mdWxsLXRpdGxlPjwvcGVyaW9kaWNhbD48
cGFnZXM+NTkwIGUxLTY8L3BhZ2VzPjx2b2x1bWU+MjAxPC92b2x1bWU+PG51bWJlcj42PC9udW1i
ZXI+PGVkaXRpb24+MjAwOS8wNy8xODwvZWRpdGlvbj48a2V5d29yZHM+PGtleXdvcmQ+QWR1bHQ8
L2tleXdvcmQ+PGtleXdvcmQ+KkRlbGl2ZXJ5LCBPYnN0ZXRyaWM8L2tleXdvcmQ+PGtleXdvcmQ+
RmVtYWxlPC9rZXl3b3JkPjxrZXl3b3JkPkh1bWFuczwva2V5d29yZD48a2V5d29yZD4qTGFib3Is
IE9ic3RldHJpYzwva2V5d29yZD48a2V5d29yZD5QcmVnbmFuY3k8L2tleXdvcmQ+PGtleXdvcmQ+
UHJlZ25hbmN5IFRyaW1lc3RlciwgU2Vjb25kPC9rZXl3b3JkPjxrZXl3b3JkPlByZWduYW5jeSBU
cmltZXN0ZXIsIFRoaXJkPC9rZXl3b3JkPjxrZXl3b3JkPipXZWlnaHQgTGlmdGluZzwva2V5d29y
ZD48L2tleXdvcmRzPjxkYXRlcz48eWVhcj4yMDA5PC95ZWFyPjxwdWItZGF0ZXM+PGRhdGU+RGVj
PC9kYXRlPjwvcHViLWRhdGVzPjwvZGF0ZXM+PGlzYm4+MTA5Ny02ODY4IChFbGVjdHJvbmljKSYj
eEQ7MDAwMi05Mzc4IChMaW5raW5nKTwvaXNibj48YWNjZXNzaW9uLW51bT4xOTYwODE1MTwvYWNj
ZXNzaW9uLW51bT48dXJscz48cmVsYXRlZC11cmxzPjx1cmw+aHR0cHM6Ly93d3cubmNiaS5ubG0u
bmloLmdvdi9wdWJtZWQvMTk2MDgxNTE8L3VybD48L3JlbGF0ZWQtdXJscz48L3VybHM+PGVsZWN0
cm9uaWMtcmVzb3VyY2UtbnVtPjEwLjEwMTYvai5ham9nLjIwMDkuMDYuMDA0PC9lbGVjdHJvbmlj
LXJlc291cmNlLW51bT48L3JlY29yZD48L0NpdGU+PENpdGU+PEF1dGhvcj5TYWx2ZXNlbjwvQXV0
aG9yPjxZZWFyPjIwMTQ8L1llYXI+PFJlY051bT45NDI8L1JlY051bT48cmVjb3JkPjxyZWMtbnVt
YmVyPjk0MjwvcmVjLW51bWJlcj48Zm9yZWlnbi1rZXlzPjxrZXkgYXBwPSJFTiIgZGItaWQ9ImV4
dmFzcmZ4MmR0cmFvZXNhc3hwMnN6c3hhMmRmNTAyNTkyeCIgdGltZXN0YW1wPSIxNTQxNTQxODMy
Ij45NDI8L2tleT48a2V5IGFwcD0iRU5XZWIiIGRiLWlkPSIiPjA8L2tleT48L2ZvcmVpZ24ta2V5
cz48cmVmLXR5cGUgbmFtZT0iSm91cm5hbCBBcnRpY2xlIj4xNzwvcmVmLXR5cGU+PGNvbnRyaWJ1
dG9ycz48YXV0aG9ycz48YXV0aG9yPlNhbHZlc2VuLCBLLiBBLjwvYXV0aG9yPjxhdXRob3I+U3Rh
Zm5lLCBTLiBOLjwvYXV0aG9yPjxhdXRob3I+RWdnZWJvLCBULiBNLjwvYXV0aG9yPjxhdXRob3I+
TW9ya3ZlZCwgUy48L2F1dGhvcj48L2F1dGhvcnM+PC9jb250cmlidXRvcnM+PGF1dGgtYWRkcmVz
cz5DbGluaWNhbCBTY2llbmNlcywgT2JzdGV0cmljcyBhbmQgR3luZWNvbG9neSwgTHVuZCBVbml2
ZXJzaXR5LCBMdW5kLCBTd2VkZW47IE5hdGlvbmFsIENlbnRlciBmb3IgRmV0YWwgTWVkaWNpbmUs
IERlcGFydG1lbnQgb2YgT2JzdGV0cmljcyBhbmQgR3luZWNvbG9neSwgU3QuIE9sYXZzIEhvc3Bp
dGFsLCBUcm9uZGhlaW0gVW5pdmVyc2l0eSBIb3NwaXRhbCwgVHJvbmRoZWltLCBOb3J3YXkuPC9h
dXRoLWFkZHJlc3M+PHRpdGxlcz48dGl0bGU+RG9lcyByZWd1bGFyIGV4ZXJjaXNlIGluIHByZWdu
YW5jeSBpbmZsdWVuY2UgZHVyYXRpb24gb2YgbGFib3I/IEEgc2Vjb25kYXJ5IGFuYWx5c2lzIG9m
IGEgcmFuZG9taXplZCBjb250cm9sbGVkIHRyaWFsPC90aXRsZT48c2Vjb25kYXJ5LXRpdGxlPkFj
dGEgT2JzdGV0IEd5bmVjb2wgU2NhbmQ8L3NlY29uZGFyeS10aXRsZT48L3RpdGxlcz48cGVyaW9k
aWNhbD48ZnVsbC10aXRsZT5BY3RhIE9ic3RldCBHeW5lY29sIFNjYW5kPC9mdWxsLXRpdGxlPjwv
cGVyaW9kaWNhbD48cGFnZXM+NzMtOTwvcGFnZXM+PHZvbHVtZT45Mzwvdm9sdW1lPjxudW1iZXI+
MTwvbnVtYmVyPjxlZGl0aW9uPjIwMTMvMTAvMTA8L2VkaXRpb24+PGtleXdvcmRzPjxrZXl3b3Jk
PkFkdWx0PC9rZXl3b3JkPjxrZXl3b3JkPkJvZHkgTWFzcyBJbmRleDwva2V5d29yZD48a2V5d29y
ZD5FeGVyY2lzZS8qcGh5c2lvbG9neTwva2V5d29yZD48a2V5d29yZD5GZW1hbGU8L2tleXdvcmQ+
PGtleXdvcmQ+SHVtYW5zPC9rZXl3b3JkPjxrZXl3b3JkPkxhYm9yLCBPYnN0ZXRyaWMvKnBoeXNp
b2xvZ3k8L2tleXdvcmQ+PGtleXdvcmQ+UHJlZ25hbmN5PC9rZXl3b3JkPjxrZXl3b3JkPipQcmVu
YXRhbCBDYXJlPC9rZXl3b3JkPjxrZXl3b3JkPkV4ZXJjaXNlPC9rZXl3b3JkPjxrZXl3b3JkPmxh
Ym9yPC9rZXl3b3JkPjxrZXl3b3JkPnJhbmRvbWl6ZWQgY29udHJvbGxlZCB0cmlhbDwva2V5d29y
ZD48L2tleXdvcmRzPjxkYXRlcz48eWVhcj4yMDE0PC95ZWFyPjxwdWItZGF0ZXM+PGRhdGU+SmFu
PC9kYXRlPjwvcHViLWRhdGVzPjwvZGF0ZXM+PGlzYm4+MTYwMC0wNDEyIChFbGVjdHJvbmljKSYj
eEQ7MDAwMS02MzQ5IChMaW5raW5nKTwvaXNibj48YWNjZXNzaW9uLW51bT4yNDEwMjQyMzwvYWNj
ZXNzaW9uLW51bT48dXJscz48cmVsYXRlZC11cmxzPjx1cmw+aHR0cHM6Ly93d3cubmNiaS5ubG0u
bmloLmdvdi9wdWJtZWQvMjQxMDI0MjM8L3VybD48L3JlbGF0ZWQtdXJscz48L3VybHM+PGVsZWN0
cm9uaWMtcmVzb3VyY2UtbnVtPjEwLjExMTEvYW9ncy4xMjI2MDwvZWxlY3Ryb25pYy1yZXNvdXJj
ZS1udW0+PC9yZWNvcmQ+PC9DaXRlPjxDaXRlPjxBdXRob3I+VGFuaWd1Y2hpPC9BdXRob3I+PFll
YXI+MjAxNjwvWWVhcj48UmVjTnVtPjkxMTwvUmVjTnVtPjxyZWNvcmQ+PHJlYy1udW1iZXI+OTEx
PC9yZWMtbnVtYmVyPjxmb3JlaWduLWtleXM+PGtleSBhcHA9IkVOIiBkYi1pZD0iZXh2YXNyZngy
ZHRyYW9lc2FzeHAyc3pzeGEyZGY1MDI1OTJ4IiB0aW1lc3RhbXA9IjE1NDE1NDA4NjEiPjkxMTwv
a2V5PjxrZXkgYXBwPSJFTldlYiIgZGItaWQ9IiI+MDwva2V5PjwvZm9yZWlnbi1rZXlzPjxyZWYt
dHlwZSBuYW1lPSJKb3VybmFsIEFydGljbGUiPjE3PC9yZWYtdHlwZT48Y29udHJpYnV0b3JzPjxh
dXRob3JzPjxhdXRob3I+VGFuaWd1Y2hpLCBDLjwvYXV0aG9yPjxhdXRob3I+U2F0bywgQy48L2F1
dGhvcj48L2F1dGhvcnM+PC9jb250cmlidXRvcnM+PGF1dGgtYWRkcmVzcz5LYW5hZ2F3YSBVbml2
ZXJzaXR5IG9mIEh1bWFuIFNlcnZpY2VzLCBLYW5hZ2F3YSBQcmVmZWN0dXJlLCBKYXBhbi4gdGFu
aWd1Y2hpLm03YkBrdWhzLmFjLmpwLiYjeEQ7T3RzdWthIE1lZGljYWwgQ2xpbmljLCBUb3NoaW1h
LWt1LCBKYXBhbi48L2F1dGgtYWRkcmVzcz48dGl0bGVzPjx0aXRsZT5Ib21lLWJhc2VkIHdhbGtp
bmcgZHVyaW5nIHByZWduYW5jeSBhZmZlY3RzIG1vb2QgYW5kIGJpcnRoIG91dGNvbWVzIGFtb25n
IHNlZGVudGFyeSB3b21lbjogQSByYW5kb21pemVkIGNvbnRyb2xsZWQgdHJpYWw8L3RpdGxlPjxz
ZWNvbmRhcnktdGl0bGU+SW50IEogTnVycyBQcmFjdDwvc2Vjb25kYXJ5LXRpdGxlPjwvdGl0bGVz
PjxwZXJpb2RpY2FsPjxmdWxsLXRpdGxlPkludCBKIE51cnMgUHJhY3Q8L2Z1bGwtdGl0bGU+PC9w
ZXJpb2RpY2FsPjxwYWdlcz40MjAtNDI2PC9wYWdlcz48dm9sdW1lPjIyPC92b2x1bWU+PG51bWJl
cj41PC9udW1iZXI+PGVkaXRpb24+MjAxNi8wNi8wOTwvZWRpdGlvbj48a2V5d29yZHM+PGtleXdv
cmQ+QWR1bHQ8L2tleXdvcmQ+PGtleXdvcmQ+KkFmZmVjdDwva2V5d29yZD48a2V5d29yZD5GZW1h
bGU8L2tleXdvcmQ+PGtleXdvcmQ+SHVtYW5zPC9rZXl3b3JkPjxrZXl3b3JkPlByZWduYW5jeTwv
a2V5d29yZD48a2V5d29yZD4qUHJlZ25hbmN5IE91dGNvbWU8L2tleXdvcmQ+PGtleXdvcmQ+KlNl
ZGVudGFyeSBMaWZlc3R5bGU8L2tleXdvcmQ+PGtleXdvcmQ+KldhbGtpbmc8L2tleXdvcmQ+PGtl
eXdvcmQ+WW91bmcgQWR1bHQ8L2tleXdvcmQ+PGtleXdvcmQ+KlByb2ZpbGUgb2YgTW9vZCBTdGF0
ZXM8L2tleXdvcmQ+PGtleXdvcmQ+KmV4ZXJjaXNlPC9rZXl3b3JkPjxrZXl3b3JkPipudXJzaW5n
PC9rZXl3b3JkPjxrZXl3b3JkPipwcmVnbmFuY3k8L2tleXdvcmQ+PGtleXdvcmQ+KnJhbmRvbWl6
ZWQgY29udHJvbGxlZCB0cmlhbDwva2V5d29yZD48L2tleXdvcmRzPjxkYXRlcz48eWVhcj4yMDE2
PC95ZWFyPjxwdWItZGF0ZXM+PGRhdGU+T2N0PC9kYXRlPjwvcHViLWRhdGVzPjwvZGF0ZXM+PGlz
Ym4+MTQ0MC0xNzJYIChFbGVjdHJvbmljKSYjeEQ7MTMyMi03MTE0IChMaW5raW5nKTwvaXNibj48
YWNjZXNzaW9uLW51bT4yNzI3MjkzNzwvYWNjZXNzaW9uLW51bT48dXJscz48cmVsYXRlZC11cmxz
Pjx1cmw+aHR0cHM6Ly93d3cubmNiaS5ubG0ubmloLmdvdi9wdWJtZWQvMjcyNzI5Mzc8L3VybD48
L3JlbGF0ZWQtdXJscz48L3VybHM+PGVsZWN0cm9uaWMtcmVzb3VyY2UtbnVtPjEwLjExMTEvaWpu
LjEyNDUzPC9lbGVjdHJvbmljLXJlc291cmNlLW51bT48L3JlY29yZD48L0NpdGU+PENpdGU+PEF1
dGhvcj5TYW5kYTwvQXV0aG9yPjxZZWFyPjIwMTg8L1llYXI+PFJlY051bT45MjU8L1JlY051bT48
cmVjb3JkPjxyZWMtbnVtYmVyPjkyNTwvcmVjLW51bWJlcj48Zm9yZWlnbi1rZXlzPjxrZXkgYXBw
PSJFTiIgZGItaWQ9ImV4dmFzcmZ4MmR0cmFvZXNhc3hwMnN6c3hhMmRmNTAyNTkyeCIgdGltZXN0
YW1wPSIxNTQxNTQwOTI5Ij45MjU8L2tleT48a2V5IGFwcD0iRU5XZWIiIGRiLWlkPSIiPjA8L2tl
eT48L2ZvcmVpZ24ta2V5cz48cmVmLXR5cGUgbmFtZT0iSm91cm5hbCBBcnRpY2xlIj4xNzwvcmVm
LXR5cGU+PGNvbnRyaWJ1dG9ycz48YXV0aG9ycz48YXV0aG9yPlNhbmRhLCBCLjwvYXV0aG9yPjxh
dXRob3I+VmlzdGFkLCBJLjwvYXV0aG9yPjxhdXRob3I+U2FnZWRhbCwgTC4gUi48L2F1dGhvcj48
YXV0aG9yPkhhYWtzdGFkLCBMLiBBLiBILjwvYXV0aG9yPjxhdXRob3I+TG9obmUtU2VpbGVyLCBI
LjwvYXV0aG9yPjxhdXRob3I+VG9yc3R2ZWl0LCBNLiBLLjwvYXV0aG9yPjwvYXV0aG9ycz48L2Nv
bnRyaWJ1dG9ycz48YXV0aC1hZGRyZXNzPkZhY3VsdHkgb2YgSGVhbHRoIGFuZCBTcG9ydCBTY2ll
bmNlcywgVW5pdmVyc2l0eSBvZiBBZ2RlciwgS3Jpc3RpYW5zYW5kLCBOb3J3YXkuJiN4RDtEZXBh
cnRtZW50IG9mIE9ic3RldHJpY3MgYW5kIEd5bmVjb2xvZ3ksIFNvdXRoZXJuIE5vcndheSBIb3Nw
aXRhbCBUcnVzdCwgS3Jpc3RpYW5zYW5kLCBOb3J3YXkuJiN4RDtOb3J3ZWdpYW4gU2Nob29sIG9m
IFNwb3J0cyBTY2llbmNlLCBPc2xvLCBOb3J3YXkuPC9hdXRoLWFkZHJlc3M+PHRpdGxlcz48dGl0
bGU+V2hhdCBpcyB0aGUgZWZmZWN0IG9mIHBoeXNpY2FsIGFjdGl2aXR5IG9uIGR1cmF0aW9uIGFu
ZCBtb2RlIG9mIGRlbGl2ZXJ5PyBTZWNvbmRhcnkgYW5hbHlzaXMgZnJvbSB0aGUgTm9yd2VnaWFu
IEZpdCBmb3IgRGVsaXZlcnkgdHJpYWw8L3RpdGxlPjxzZWNvbmRhcnktdGl0bGU+QWN0YSBPYnN0
ZXQgR3luZWNvbCBTY2FuZDwvc2Vjb25kYXJ5LXRpdGxlPjwvdGl0bGVzPjxwZXJpb2RpY2FsPjxm
dWxsLXRpdGxlPkFjdGEgT2JzdGV0IEd5bmVjb2wgU2NhbmQ8L2Z1bGwtdGl0bGU+PC9wZXJpb2Rp
Y2FsPjxwYWdlcz44NjEtODcxPC9wYWdlcz48dm9sdW1lPjk3PC92b2x1bWU+PG51bWJlcj43PC9u
dW1iZXI+PGVkaXRpb24+MjAxOC8wNS8xMTwvZWRpdGlvbj48a2V5d29yZHM+PGtleXdvcmQ+RXhl
cmNpc2U8L2tleXdvcmQ+PGtleXdvcmQ+Y2VzYXJlYW4gc2VjdGlvbjwva2V5d29yZD48a2V5d29y
ZD5kZWxpdmVyeSBvdXRjb21lczwva2V5d29yZD48a2V5d29yZD5sYWJvcjwva2V5d29yZD48a2V5
d29yZD5wcmVnbmFuY3k8L2tleXdvcmQ+PGtleXdvcmQ+cmFuZG9taXplZCBjb250cm9sbGVkIHRy
aWFsPC9rZXl3b3JkPjwva2V5d29yZHM+PGRhdGVzPjx5ZWFyPjIwMTg8L3llYXI+PHB1Yi1kYXRl
cz48ZGF0ZT5KdWw8L2RhdGU+PC9wdWItZGF0ZXM+PC9kYXRlcz48aXNibj4xNjAwLTA0MTIgKEVs
ZWN0cm9uaWMpJiN4RDswMDAxLTYzNDkgKExpbmtpbmcpPC9pc2JuPjxhY2Nlc3Npb24tbnVtPjI5
NzQ0ODY2PC9hY2Nlc3Npb24tbnVtPjx1cmxzPjxyZWxhdGVkLXVybHM+PHVybD5odHRwczovL3d3
dy5uY2JpLm5sbS5uaWguZ292L3B1Ym1lZC8yOTc0NDg2NjwvdXJsPjwvcmVsYXRlZC11cmxzPjwv
dXJscz48ZWxlY3Ryb25pYy1yZXNvdXJjZS1udW0+MTAuMTExMS9hb2dzLjEzMzUxPC9lbGVjdHJv
bmljLXJlc291cmNlLW51bT48L3JlY29yZD48L0NpdGU+PC9FbmROb3RlPgB=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008D4074">
        <w:rPr>
          <w:noProof/>
          <w:sz w:val="16"/>
          <w:szCs w:val="16"/>
        </w:rPr>
      </w:r>
      <w:r w:rsidR="008D4074">
        <w:rPr>
          <w:noProof/>
          <w:sz w:val="16"/>
          <w:szCs w:val="16"/>
        </w:rPr>
        <w:fldChar w:fldCharType="separate"/>
      </w:r>
      <w:r w:rsidR="002747EA" w:rsidRPr="002747EA">
        <w:rPr>
          <w:noProof/>
          <w:szCs w:val="16"/>
          <w:vertAlign w:val="superscript"/>
        </w:rPr>
        <w:t>292,298-300,303</w:t>
      </w:r>
      <w:r w:rsidR="008D4074">
        <w:rPr>
          <w:noProof/>
          <w:sz w:val="16"/>
          <w:szCs w:val="16"/>
        </w:rPr>
        <w:fldChar w:fldCharType="end"/>
      </w:r>
      <w:r w:rsidR="002205C5">
        <w:t xml:space="preserve"> reported on pain relief during labour</w:t>
      </w:r>
      <w:r w:rsidR="002205C5" w:rsidRPr="002205C5">
        <w:t xml:space="preserve"> </w:t>
      </w:r>
      <w:r w:rsidR="002205C5">
        <w:t xml:space="preserve">among women who had participated in a physical activity intervention during pregnancy and those who had not. </w:t>
      </w:r>
      <w:r w:rsidR="008D4074">
        <w:t xml:space="preserve">One study </w:t>
      </w:r>
      <w:r w:rsidR="00C21AEB">
        <w:t xml:space="preserve">reported fewer </w:t>
      </w:r>
      <w:r w:rsidR="008D4074">
        <w:t>requests for analgesia</w:t>
      </w:r>
      <w:r w:rsidR="00C17092">
        <w:t xml:space="preserve"> (</w:t>
      </w:r>
      <w:r w:rsidR="00C17092" w:rsidRPr="00A912D4">
        <w:rPr>
          <w:sz w:val="16"/>
          <w:szCs w:val="16"/>
        </w:rPr>
        <w:t>RR 0.42; 95%CI 0.23 to 0.77</w:t>
      </w:r>
      <w:r w:rsidR="00C17092">
        <w:t xml:space="preserve">) </w:t>
      </w:r>
      <w:r w:rsidR="008D4074">
        <w:rPr>
          <w:noProof/>
          <w:sz w:val="16"/>
          <w:szCs w:val="16"/>
        </w:rPr>
        <w:fldChar w:fldCharType="begin"/>
      </w:r>
      <w:r w:rsidR="002747EA">
        <w:rPr>
          <w:noProof/>
          <w:sz w:val="16"/>
          <w:szCs w:val="16"/>
        </w:rPr>
        <w:instrText xml:space="preserve"> ADDIN EN.CITE &lt;EndNote&gt;&lt;Cite&gt;&lt;Author&gt;Baciuk&lt;/Author&gt;&lt;Year&gt;2008&lt;/Year&gt;&lt;RecNum&gt;679&lt;/RecNum&gt;&lt;DisplayText&gt;&lt;style face="superscript" font="Trebuchet MS" size="9"&gt;292&lt;/style&gt;&lt;/DisplayText&gt;&lt;record&gt;&lt;rec-number&gt;679&lt;/rec-number&gt;&lt;foreign-keys&gt;&lt;key app="EN" db-id="exvasrfx2dtraoesasxp2szsxa2df502592x" timestamp="1540526890"&gt;679&lt;/key&gt;&lt;/foreign-keys&gt;&lt;ref-type name="Journal Article"&gt;17&lt;/ref-type&gt;&lt;contributors&gt;&lt;authors&gt;&lt;author&gt;Baciuk, E. P.&lt;/author&gt;&lt;author&gt;Pereira, R. I.&lt;/author&gt;&lt;author&gt;Cecatti, J. G.&lt;/author&gt;&lt;author&gt;Braga, A. F.&lt;/author&gt;&lt;author&gt;Cavalcante, S. R.&lt;/author&gt;&lt;/authors&gt;&lt;/contributors&gt;&lt;auth-address&gt;Department of Obstetrics and Gynecology, University of Campinas, Sao Paulo, Brazil. ericaxba@terra.com.br&lt;/auth-address&gt;&lt;titles&gt;&lt;title&gt;Water aerobics in pregnancy: Cardiovascular response, labor and neonatal outcomes&lt;/title&gt;&lt;secondary-title&gt;Reprod Health&lt;/secondary-title&gt;&lt;/titles&gt;&lt;periodical&gt;&lt;full-title&gt;Reprod Health&lt;/full-title&gt;&lt;/periodical&gt;&lt;pages&gt;10&lt;/pages&gt;&lt;volume&gt;5&lt;/volume&gt;&lt;edition&gt;2008/11/26&lt;/edition&gt;&lt;dates&gt;&lt;year&gt;2008&lt;/year&gt;&lt;pub-dates&gt;&lt;date&gt;Nov 21&lt;/date&gt;&lt;/pub-dates&gt;&lt;/dates&gt;&lt;isbn&gt;1742-4755 (Electronic)&amp;#xD;1742-4755 (Linking)&lt;/isbn&gt;&lt;accession-num&gt;19025579&lt;/accession-num&gt;&lt;urls&gt;&lt;related-urls&gt;&lt;url&gt;https://www.ncbi.nlm.nih.gov/pubmed/19025579&lt;/url&gt;&lt;/related-urls&gt;&lt;/urls&gt;&lt;custom2&gt;PMC2613131&lt;/custom2&gt;&lt;electronic-resource-num&gt;10.1186/1742-4755-5-10&lt;/electronic-resource-num&gt;&lt;/record&gt;&lt;/Cite&gt;&lt;/EndNote&gt;</w:instrText>
      </w:r>
      <w:r w:rsidR="008D4074">
        <w:rPr>
          <w:noProof/>
          <w:sz w:val="16"/>
          <w:szCs w:val="16"/>
        </w:rPr>
        <w:fldChar w:fldCharType="separate"/>
      </w:r>
      <w:r w:rsidR="002747EA" w:rsidRPr="002747EA">
        <w:rPr>
          <w:noProof/>
          <w:szCs w:val="16"/>
          <w:vertAlign w:val="superscript"/>
        </w:rPr>
        <w:t>292</w:t>
      </w:r>
      <w:r w:rsidR="008D4074">
        <w:rPr>
          <w:noProof/>
          <w:sz w:val="16"/>
          <w:szCs w:val="16"/>
        </w:rPr>
        <w:fldChar w:fldCharType="end"/>
      </w:r>
      <w:r w:rsidR="008D4074">
        <w:t xml:space="preserve"> but there was no clear difference in the other studies.</w:t>
      </w:r>
    </w:p>
    <w:p w14:paraId="54643C55" w14:textId="246B7D65" w:rsidR="00DF7769" w:rsidRDefault="00DF7769" w:rsidP="008E1439">
      <w:pPr>
        <w:pStyle w:val="Heading4"/>
      </w:pPr>
      <w:r>
        <w:t>Perineal tears</w:t>
      </w:r>
    </w:p>
    <w:p w14:paraId="0D1EC16A" w14:textId="29222DC6" w:rsidR="002205C5" w:rsidRPr="002205C5" w:rsidRDefault="00B37B03" w:rsidP="002205C5">
      <w:r>
        <w:t xml:space="preserve">Five </w:t>
      </w:r>
      <w:r w:rsidR="002205C5">
        <w:t>RCTs</w:t>
      </w:r>
      <w:r w:rsidR="008D4074">
        <w:rPr>
          <w:noProof/>
          <w:sz w:val="16"/>
          <w:szCs w:val="16"/>
        </w:rPr>
        <w:fldChar w:fldCharType="begin">
          <w:fldData xml:space="preserve">PEVuZE5vdGU+PENpdGU+PEF1dGhvcj5TYWx2ZXNlbjwvQXV0aG9yPjxZZWFyPjIwMDQ8L1llYXI+
PFJlY051bT45NDE8L1JlY051bT48RGlzcGxheVRleHQ+PHN0eWxlIGZhY2U9InN1cGVyc2NyaXB0
IiBmb250PSJUcmVidWNoZXQgTVMiIHNpemU9IjkiPjI3MywyOTcsMjk4LDMwNCwzMDU8L3N0eWxl
PjwvRGlzcGxheVRleHQ+PHJlY29yZD48cmVjLW51bWJlcj45NDE8L3JlYy1udW1iZXI+PGZvcmVp
Z24ta2V5cz48a2V5IGFwcD0iRU4iIGRiLWlkPSJleHZhc3JmeDJkdHJhb2VzYXN4cDJzenN4YTJk
ZjUwMjU5MngiIHRpbWVzdGFtcD0iMTU0MTU0MTgyNiI+OTQxPC9rZXk+PGtleSBhcHA9IkVOV2Vi
IiBkYi1pZD0iIj4wPC9rZXk+PC9mb3JlaWduLWtleXM+PHJlZi10eXBlIG5hbWU9IkpvdXJuYWwg
QXJ0aWNsZSI+MTc8L3JlZi10eXBlPjxjb250cmlidXRvcnM+PGF1dGhvcnM+PGF1dGhvcj5TYWx2
ZXNlbiwgSy4gQS48L2F1dGhvcj48YXV0aG9yPk1vcmt2ZWQsIFMuPC9hdXRob3I+PC9hdXRob3Jz
PjwvY29udHJpYnV0b3JzPjxhdXRoLWFkZHJlc3M+RGVwYXJ0bWVudCBvZiBPYnN0ZXRyaWNzIGFu
ZCBHeW5hZWNvbG9neSwgVHJvbmRoZWltIFVuaXZlcnNpdHkgSG9zcGl0YWwgU3QuIE9sYXYsIE4t
NzAwNiBUcm9uZGhlaW0sIE5vcndheS4gcGVwZXNAbWVkaXNpbi5udG51Lm5vPC9hdXRoLWFkZHJl
c3M+PHRpdGxlcz48dGl0bGU+UmFuZG9taXNlZCBjb250cm9sbGVkIHRyaWFsIG9mIHBlbHZpYyBm
bG9vciBtdXNjbGUgdHJhaW5pbmcgZHVyaW5nIHByZWduYW5jeTwvdGl0bGU+PHNlY29uZGFyeS10
aXRsZT5CTUo8L3NlY29uZGFyeS10aXRsZT48L3RpdGxlcz48cGVyaW9kaWNhbD48ZnVsbC10aXRs
ZT5CTUo8L2Z1bGwtdGl0bGU+PC9wZXJpb2RpY2FsPjxwYWdlcz4zNzgtODA8L3BhZ2VzPjx2b2x1
bWU+MzI5PC92b2x1bWU+PG51bWJlcj43NDYyPC9udW1iZXI+PGVkaXRpb24+MjAwNC8wNy8xNjwv
ZWRpdGlvbj48a2V5d29yZHM+PGtleXdvcmQ+RXBpc2lvdG9teS9zdGF0aXN0aWNzICZhbXA7IG51
bWVyaWNhbCBkYXRhPC9rZXl3b3JkPjxrZXl3b3JkPkV4ZXJjaXNlIFRoZXJhcHkvKm1ldGhvZHM8
L2tleXdvcmQ+PGtleXdvcmQ+RmVtYWxlPC9rZXl3b3JkPjxrZXl3b3JkPkh1bWFuczwva2V5d29y
ZD48a2V5d29yZD5MYWJvciBTdGFnZSwgU2Vjb25kPC9rZXl3b3JkPjxrZXl3b3JkPk9ic3RldHJp
YyBMYWJvciBDb21wbGljYXRpb25zLypwcmV2ZW50aW9uICZhbXA7IGNvbnRyb2w8L2tleXdvcmQ+
PGtleXdvcmQ+UGVsdmljIEZsb29yPC9rZXl3b3JkPjxrZXl3b3JkPlByZWduYW5jeTwva2V5d29y
ZD48a2V5d29yZD5VcmluYXJ5IEluY29udGluZW5jZS8qcHJldmVudGlvbiAmYW1wOyBjb250cm9s
PC9rZXl3b3JkPjwva2V5d29yZHM+PGRhdGVzPjx5ZWFyPjIwMDQ8L3llYXI+PHB1Yi1kYXRlcz48
ZGF0ZT5BdWcgMTQ8L2RhdGU+PC9wdWItZGF0ZXM+PC9kYXRlcz48aXNibj4xNzU2LTE4MzMgKEVs
ZWN0cm9uaWMpJiN4RDswOTU5LTgxMzggKExpbmtpbmcpPC9pc2JuPjxhY2Nlc3Npb24tbnVtPjE1
MjUzOTIwPC9hY2Nlc3Npb24tbnVtPjx1cmxzPjxyZWxhdGVkLXVybHM+PHVybD5odHRwczovL3d3
dy5uY2JpLm5sbS5uaWguZ292L3B1Ym1lZC8xNTI1MzkyMDwvdXJsPjwvcmVsYXRlZC11cmxzPjwv
dXJscz48Y3VzdG9tMj5QTUM1MDkzNDM8L2N1c3RvbTI+PGVsZWN0cm9uaWMtcmVzb3VyY2UtbnVt
PjEwLjExMzYvYm1qLjM4MTYzLjcyNDMwNi4zQTwvZWxlY3Ryb25pYy1yZXNvdXJjZS1udW0+PC9y
ZWNvcmQ+PC9DaXRlPjxDaXRlPjxBdXRob3I+U2FsdmVzZW48L0F1dGhvcj48WWVhcj4yMDE0PC9Z
ZWFyPjxSZWNOdW0+OTQyPC9SZWNOdW0+PHJlY29yZD48cmVjLW51bWJlcj45NDI8L3JlYy1udW1i
ZXI+PGZvcmVpZ24ta2V5cz48a2V5IGFwcD0iRU4iIGRiLWlkPSJleHZhc3JmeDJkdHJhb2VzYXN4
cDJzenN4YTJkZjUwMjU5MngiIHRpbWVzdGFtcD0iMTU0MTU0MTgzMiI+OTQyPC9rZXk+PGtleSBh
cHA9IkVOV2ViIiBkYi1pZD0iIj4wPC9rZXk+PC9mb3JlaWduLWtleXM+PHJlZi10eXBlIG5hbWU9
IkpvdXJuYWwgQXJ0aWNsZSI+MTc8L3JlZi10eXBlPjxjb250cmlidXRvcnM+PGF1dGhvcnM+PGF1
dGhvcj5TYWx2ZXNlbiwgSy4gQS48L2F1dGhvcj48YXV0aG9yPlN0YWZuZSwgUy4gTi48L2F1dGhv
cj48YXV0aG9yPkVnZ2VibywgVC4gTS48L2F1dGhvcj48YXV0aG9yPk1vcmt2ZWQsIFMuPC9hdXRo
b3I+PC9hdXRob3JzPjwvY29udHJpYnV0b3JzPjxhdXRoLWFkZHJlc3M+Q2xpbmljYWwgU2NpZW5j
ZXMsIE9ic3RldHJpY3MgYW5kIEd5bmVjb2xvZ3ksIEx1bmQgVW5pdmVyc2l0eSwgTHVuZCwgU3dl
ZGVuOyBOYXRpb25hbCBDZW50ZXIgZm9yIEZldGFsIE1lZGljaW5lLCBEZXBhcnRtZW50IG9mIE9i
c3RldHJpY3MgYW5kIEd5bmVjb2xvZ3ksIFN0LiBPbGF2cyBIb3NwaXRhbCwgVHJvbmRoZWltIFVu
aXZlcnNpdHkgSG9zcGl0YWwsIFRyb25kaGVpbSwgTm9yd2F5LjwvYXV0aC1hZGRyZXNzPjx0aXRs
ZXM+PHRpdGxlPkRvZXMgcmVndWxhciBleGVyY2lzZSBpbiBwcmVnbmFuY3kgaW5mbHVlbmNlIGR1
cmF0aW9uIG9mIGxhYm9yPyBBIHNlY29uZGFyeSBhbmFseXNpcyBvZiBhIHJhbmRvbWl6ZWQgY29u
dHJvbGxlZCB0cmlhbDwvdGl0bGU+PHNlY29uZGFyeS10aXRsZT5BY3RhIE9ic3RldCBHeW5lY29s
IFNjYW5kPC9zZWNvbmRhcnktdGl0bGU+PC90aXRsZXM+PHBlcmlvZGljYWw+PGZ1bGwtdGl0bGU+
QWN0YSBPYnN0ZXQgR3luZWNvbCBTY2FuZDwvZnVsbC10aXRsZT48L3BlcmlvZGljYWw+PHBhZ2Vz
PjczLTk8L3BhZ2VzPjx2b2x1bWU+OTM8L3ZvbHVtZT48bnVtYmVyPjE8L251bWJlcj48ZWRpdGlv
bj4yMDEzLzEwLzEwPC9lZGl0aW9uPjxrZXl3b3Jkcz48a2V5d29yZD5BZHVsdDwva2V5d29yZD48
a2V5d29yZD5Cb2R5IE1hc3MgSW5kZXg8L2tleXdvcmQ+PGtleXdvcmQ+RXhlcmNpc2UvKnBoeXNp
b2xvZ3k8L2tleXdvcmQ+PGtleXdvcmQ+RmVtYWxlPC9rZXl3b3JkPjxrZXl3b3JkPkh1bWFuczwv
a2V5d29yZD48a2V5d29yZD5MYWJvciwgT2JzdGV0cmljLypwaHlzaW9sb2d5PC9rZXl3b3JkPjxr
ZXl3b3JkPlByZWduYW5jeTwva2V5d29yZD48a2V5d29yZD4qUHJlbmF0YWwgQ2FyZTwva2V5d29y
ZD48a2V5d29yZD5FeGVyY2lzZTwva2V5d29yZD48a2V5d29yZD5sYWJvcjwva2V5d29yZD48a2V5
d29yZD5yYW5kb21pemVkIGNvbnRyb2xsZWQgdHJpYWw8L2tleXdvcmQ+PC9rZXl3b3Jkcz48ZGF0
ZXM+PHllYXI+MjAxNDwveWVhcj48cHViLWRhdGVzPjxkYXRlPkphbjwvZGF0ZT48L3B1Yi1kYXRl
cz48L2RhdGVzPjxpc2JuPjE2MDAtMDQxMiAoRWxlY3Ryb25pYykmI3hEOzAwMDEtNjM0OSAoTGlu
a2luZyk8L2lzYm4+PGFjY2Vzc2lvbi1udW0+MjQxMDI0MjM8L2FjY2Vzc2lvbi1udW0+PHVybHM+
PHJlbGF0ZWQtdXJscz48dXJsPmh0dHBzOi8vd3d3Lm5jYmkubmxtLm5paC5nb3YvcHVibWVkLzI0
MTAyNDIzPC91cmw+PC9yZWxhdGVkLXVybHM+PC91cmxzPjxlbGVjdHJvbmljLXJlc291cmNlLW51
bT4xMC4xMTExL2FvZ3MuMTIyNjA8L2VsZWN0cm9uaWMtcmVzb3VyY2UtbnVtPjwvcmVjb3JkPjwv
Q2l0ZT48Q2l0ZT48QXV0aG9yPlNlbmV2aXJhdG5lPC9BdXRob3I+PFllYXI+MjAxNjwvWWVhcj48
UmVjTnVtPjk0NTwvUmVjTnVtPjxyZWNvcmQ+PHJlYy1udW1iZXI+OTQ1PC9yZWMtbnVtYmVyPjxm
b3JlaWduLWtleXM+PGtleSBhcHA9IkVOIiBkYi1pZD0iZXh2YXNyZngyZHRyYW9lc2FzeHAyc3pz
eGEyZGY1MDI1OTJ4IiB0aW1lc3RhbXA9IjE1NDE1NDE4NDkiPjk0NTwva2V5PjxrZXkgYXBwPSJF
TldlYiIgZGItaWQ9IiI+MDwva2V5PjwvZm9yZWlnbi1rZXlzPjxyZWYtdHlwZSBuYW1lPSJKb3Vy
bmFsIEFydGljbGUiPjE3PC9yZWYtdHlwZT48Y29udHJpYnV0b3JzPjxhdXRob3JzPjxhdXRob3I+
U2VuZXZpcmF0bmUsIFMuIE4uPC9hdXRob3I+PGF1dGhvcj5KaWFuZywgWS48L2F1dGhvcj48YXV0
aG9yPkRlcnJhaWssIEouPC9hdXRob3I+PGF1dGhvcj5NY0Nvd2FuLCBMLjwvYXV0aG9yPjxhdXRo
b3I+UGFycnksIEcuIEsuPC9hdXRob3I+PGF1dGhvcj5CaWdncywgSi4gQi48L2F1dGhvcj48YXV0
aG9yPkNyYWlnaWUsIFMuPC9hdXRob3I+PGF1dGhvcj5HdXNzbywgUy48L2F1dGhvcj48YXV0aG9y
PlBlcmVzLCBHLjwvYXV0aG9yPjxhdXRob3I+Um9kcmlndWVzLCBSLiBPLjwvYXV0aG9yPjxhdXRo
b3I+RWtlcm9tYSwgQS48L2F1dGhvcj48YXV0aG9yPkN1dGZpZWxkLCBXLiBTLjwvYXV0aG9yPjxh
dXRob3I+SG9mbWFuLCBQLiBMLjwvYXV0aG9yPjwvYXV0aG9ycz48L2NvbnRyaWJ1dG9ycz48YXV0
aC1hZGRyZXNzPkxpZ2dpbnMgSW5zdGl0dXRlLCBVbml2ZXJzaXR5IG9mIEF1Y2tsYW5kLCBBdWNr
bGFuZCwgTmV3IFplYWxhbmQuJiN4RDtHcmF2aWRhOiBOYXRpb25hbCBDZW50cmUgZm9yIEdyb3d0
aCBhbmQgRGV2ZWxvcG1lbnQsIEF1Y2tsYW5kLCBOZXcgWmVhbGFuZC4mI3hEO0RlcGFydG1lbnQg
b2YgU3RhdGlzdGljcywgVW5pdmVyc2l0eSBvZiBBdWNrbGFuZCwgQXVja2xhbmQsIE5ldyBaZWFs
YW5kLiYjeEQ7RGVwYXJ0bWVudCBvZiBPYnN0ZXRyaWNzIGFuZCBHeW5hZWNvbG9neSwgRmFjdWx0
eSBvZiBNZWRpY2FsIGFuZCBIZWFsdGggU2NpZW5jZSwgVW5pdmVyc2l0eSBvZiBBdWNrbGFuZCwg
QXVja2xhbmQsIE5ldyBaZWFsYW5kLjwvYXV0aC1hZGRyZXNzPjx0aXRsZXM+PHRpdGxlPkVmZmVj
dHMgb2YgYW50ZW5hdGFsIGV4ZXJjaXNlIGluIG92ZXJ3ZWlnaHQgYW5kIG9iZXNlIHByZWduYW50
IHdvbWVuIG9uIG1hdGVybmFsIGFuZCBwZXJpbmF0YWwgb3V0Y29tZXM6IGEgcmFuZG9taXNlZCBj
b250cm9sbGVkIHRyaWFsPC90aXRsZT48c2Vjb25kYXJ5LXRpdGxlPkJKT0c8L3NlY29uZGFyeS10
aXRsZT48L3RpdGxlcz48cGVyaW9kaWNhbD48ZnVsbC10aXRsZT5CSk9HPC9mdWxsLXRpdGxlPjwv
cGVyaW9kaWNhbD48cGFnZXM+NTg4LTk3PC9wYWdlcz48dm9sdW1lPjEyMzwvdm9sdW1lPjxudW1i
ZXI+NDwvbnVtYmVyPjxlZGl0aW9uPjIwMTUvMTEvMDc8L2VkaXRpb24+PGtleXdvcmRzPjxrZXl3
b3JkPkFkdWx0PC9rZXl3b3JkPjxrZXl3b3JkPkJvZHkgTWFzcyBJbmRleDwva2V5d29yZD48a2V5
d29yZD4qRXhlcmNpc2UgVGhlcmFweTwva2V5d29yZD48a2V5d29yZD5GZW1hbGU8L2tleXdvcmQ+
PGtleXdvcmQ+SHVtYW5zPC9rZXl3b3JkPjxrZXl3b3JkPk5ldyBaZWFsYW5kL2VwaWRlbWlvbG9n
eTwva2V5d29yZD48a2V5d29yZD5PYmVzaXR5L2VwaWRlbWlvbG9neS9wcmV2ZW50aW9uICZhbXA7
IGNvbnRyb2wvKnRoZXJhcHk8L2tleXdvcmQ+PGtleXdvcmQ+T3ZlcndlaWdodC9lcGlkZW1pb2xv
Z3kvcHJldmVudGlvbiAmYW1wOyBjb250cm9sLyp0aGVyYXB5PC9rZXl3b3JkPjxrZXl3b3JkPlBh
dGllbnQgQ29tcGxpYW5jZTwva2V5d29yZD48a2V5d29yZD5QcmVnbmFuY3k8L2tleXdvcmQ+PGtl
eXdvcmQ+UHJlZ25hbmN5IE91dGNvbWU8L2tleXdvcmQ+PGtleXdvcmQ+KlByZWduYW50IFdvbWVu
L3BzeWNob2xvZ3k8L2tleXdvcmQ+PGtleXdvcmQ+KlByZW5hdGFsIENhcmU8L2tleXdvcmQ+PGtl
eXdvcmQ+UXVhbGl0eSBvZiBMaWZlPC9rZXl3b3JkPjxrZXl3b3JkPlJpc2sgUmVkdWN0aW9uIEJl
aGF2aW9yPC9rZXl3b3JkPjxrZXl3b3JkPlRyZWF0bWVudCBPdXRjb21lPC9rZXl3b3JkPjxrZXl3
b3JkPldlaWdodCBHYWluPC9rZXl3b3JkPjxrZXl3b3JkPkFudGVuYXRhbCBleGVyY2lzZTwva2V5
d29yZD48a2V5d29yZD5ib2R5IGNvbXBvc2l0aW9uPC9rZXl3b3JkPjxrZXl3b3JkPm9iZXNpdHk8
L2tleXdvcmQ+PC9rZXl3b3Jkcz48ZGF0ZXM+PHllYXI+MjAxNjwveWVhcj48cHViLWRhdGVzPjxk
YXRlPk1hcjwvZGF0ZT48L3B1Yi1kYXRlcz48L2RhdGVzPjxpc2JuPjE0NzEtMDUyOCAoRWxlY3Ry
b25pYykmI3hEOzE0NzAtMDMyOCAoTGlua2luZyk8L2lzYm4+PGFjY2Vzc2lvbi1udW0+MjY1NDI0
MTk8L2FjY2Vzc2lvbi1udW0+PHVybHM+PHJlbGF0ZWQtdXJscz48dXJsPmh0dHBzOi8vd3d3Lm5j
YmkubmxtLm5paC5nb3YvcHVibWVkLzI2NTQyNDE5PC91cmw+PC9yZWxhdGVkLXVybHM+PC91cmxz
PjxlbGVjdHJvbmljLXJlc291cmNlLW51bT4xMC4xMTExLzE0NzEtMDUyOC4xMzczODwvZWxlY3Ry
b25pYy1yZXNvdXJjZS1udW0+PC9yZWNvcmQ+PC9DaXRlPjxDaXRlPjxBdXRob3I+R2FybmFlczwv
QXV0aG9yPjxZZWFyPjIwMTY8L1llYXI+PFJlY051bT42ODg8L1JlY051bT48cmVjb3JkPjxyZWMt
bnVtYmVyPjY4ODwvcmVjLW51bWJlcj48Zm9yZWlnbi1rZXlzPjxrZXkgYXBwPSJFTiIgZGItaWQ9
ImV4dmFzcmZ4MmR0cmFvZXNhc3hwMnN6c3hhMmRmNTAyNTkyeCIgdGltZXN0YW1wPSIxNTQwNTI3
MzkzIj42ODg8L2tleT48L2ZvcmVpZ24ta2V5cz48cmVmLXR5cGUgbmFtZT0iSm91cm5hbCBBcnRp
Y2xlIj4xNzwvcmVmLXR5cGU+PGNvbnRyaWJ1dG9ycz48YXV0aG9ycz48YXV0aG9yPkdhcm5hZXMs
IEsuIEsuPC9hdXRob3I+PGF1dGhvcj5Nb3JrdmVkLCBTLjwvYXV0aG9yPjxhdXRob3I+U2FsdmVz
ZW4sIE8uPC9hdXRob3I+PGF1dGhvcj5Nb2hvbGR0LCBULjwvYXV0aG9yPjwvYXV0aG9ycz48L2Nv
bnRyaWJ1dG9ycz48YXV0aC1hZGRyZXNzPkRlcGFydG1lbnQgb2YgQ2lyY3VsYXRpb24gYW5kIE1l
ZGljYWwgSW1hZ2luZywgTWVkaWNhbCBGYWN1bHR5LCBOb3J3ZWdpYW4gVW5pdmVyc2l0eSBvZiBT
Y2llbmNlIGFuZCBUZWNobm9sb2d5IChOVE5VKSwgVHJvbmRoZWltLCBOb3J3YXkuJiN4RDtEZXBh
cnRtZW50IG9mIFB1YmxpYyBIZWFsdGggYW5kIEdlbmVyYWwgUHJhY3RpY2UsIE1lZGljYWwgRmFj
dWx0eSwgTm9yd2VnaWFuIFVuaXZlcnNpdHkgb2YgU2NpZW5jZSBhbmQgVGVjaG5vbG9neSAoTlRO
VSksIFRyb25kaGVpbSwgTm9yd2F5LiYjeEQ7Q2xpbmljYWwgU2VydmljZSwgU3QuIE9sYXZzIEhv
c3BpdGFsLCBUcm9uZGhlaW0gVW5pdmVyc2l0eSBIb3NwaXRhbCwgVHJvbmRoZWltLCBOb3J3YXku
JiN4RDtEZXBhcnRtZW50IG9mIFdvbWVuJmFwb3M7cyBIZWFsdGgsIFN0LiBPbGF2cyBIb3NwaXRh
bCwgVHJvbmRoZWltIFVuaXZlcnNpdHkgSG9zcGl0YWwsIFRyb25kaGVpbSwgTm9yd2F5LjwvYXV0
aC1hZGRyZXNzPjx0aXRsZXM+PHRpdGxlPkV4ZXJjaXNlIFRyYWluaW5nIGFuZCBXZWlnaHQgR2Fp
biBpbiBPYmVzZSBQcmVnbmFudCBXb21lbjogQSBSYW5kb21pemVkIENvbnRyb2xsZWQgVHJpYWwg
KEVUSVAgVHJpYWwpPC90aXRsZT48c2Vjb25kYXJ5LXRpdGxlPlBMb1MgTWVkPC9zZWNvbmRhcnkt
dGl0bGU+PC90aXRsZXM+PHBlcmlvZGljYWw+PGZ1bGwtdGl0bGU+UExvUyBNZWQ8L2Z1bGwtdGl0
bGU+PC9wZXJpb2RpY2FsPjxwYWdlcz5lMTAwMjA3OTwvcGFnZXM+PHZvbHVtZT4xMzwvdm9sdW1l
PjxudW1iZXI+NzwvbnVtYmVyPjxlZGl0aW9uPjIwMTYvMDcvMjg8L2VkaXRpb24+PGtleXdvcmRz
PjxrZXl3b3JkPkFkdWx0PC9rZXl3b3JkPjxrZXl3b3JkPkJsb29kIFByZXNzdXJlPC9rZXl3b3Jk
PjxrZXl3b3JkPkRpYWJldGVzLCBHZXN0YXRpb25hbC9wcmV2ZW50aW9uICZhbXA7IGNvbnRyb2w8
L2tleXdvcmQ+PGtleXdvcmQ+RXhlcmNpc2UvcGh5c2lvbG9neTwva2V5d29yZD48a2V5d29yZD5F
eGVyY2lzZSBUaGVyYXB5L2FkdmVyc2UgZWZmZWN0cy8qbWV0aG9kczwva2V5d29yZD48a2V5d29y
ZD5GZW1hbGU8L2tleXdvcmQ+PGtleXdvcmQ+SHVtYW5zPC9rZXl3b3JkPjxrZXl3b3JkPk9iZXNp
dHkvKmNvbXBsaWNhdGlvbnMvcHJldmVudGlvbiAmYW1wOyBjb250cm9sL3RoZXJhcHk8L2tleXdv
cmQ+PGtleXdvcmQ+T3ZlcndlaWdodC9jb21wbGljYXRpb25zL3ByZXZlbnRpb24gJmFtcDsgY29u
dHJvbC90aGVyYXB5PC9rZXl3b3JkPjxrZXl3b3JkPlByZWduYW5jeTwva2V5d29yZD48a2V5d29y
ZD5QcmVnbmFuY3kgQ29tcGxpY2F0aW9ucy9wcmV2ZW50aW9uICZhbXA7IGNvbnRyb2wvKnRoZXJh
cHk8L2tleXdvcmQ+PGtleXdvcmQ+VHJlYXRtZW50IE91dGNvbWU8L2tleXdvcmQ+PGtleXdvcmQ+
V2VpZ2h0IEdhaW48L2tleXdvcmQ+PC9rZXl3b3Jkcz48ZGF0ZXM+PHllYXI+MjAxNjwveWVhcj48
cHViLWRhdGVzPjxkYXRlPkp1bDwvZGF0ZT48L3B1Yi1kYXRlcz48L2RhdGVzPjxpc2JuPjE1NDkt
MTY3NiAoRWxlY3Ryb25pYykmI3hEOzE1NDktMTI3NyAoTGlua2luZyk8L2lzYm4+PGFjY2Vzc2lv
bi1udW0+Mjc0NTkzNzU8L2FjY2Vzc2lvbi1udW0+PHVybHM+PHJlbGF0ZWQtdXJscz48dXJsPmh0
dHBzOi8vd3d3Lm5jYmkubmxtLm5paC5nb3YvcHVibWVkLzI3NDU5Mzc1PC91cmw+PC9yZWxhdGVk
LXVybHM+PC91cmxzPjxjdXN0b20yPlBNQzQ5NjEzOTI8L2N1c3RvbTI+PGVsZWN0cm9uaWMtcmVz
b3VyY2UtbnVtPjEwLjEzNzEvam91cm5hbC5wbWVkLjEwMDIwNzk8L2VsZWN0cm9uaWMtcmVzb3Vy
Y2UtbnVtPjwvcmVjb3JkPjwvQ2l0ZT48Q2l0ZT48QXV0aG9yPlJvZHJpZ3Vlei1CbGFucXVlPC9B
dXRob3I+PFllYXI+MjAxOTwvWWVhcj48UmVjTnVtPjE5MTY8L1JlY051bT48cmVjb3JkPjxyZWMt
bnVtYmVyPjE5MTY8L3JlYy1udW1iZXI+PGZvcmVpZ24ta2V5cz48a2V5IGFwcD0iRU4iIGRiLWlk
PSJleHZhc3JmeDJkdHJhb2VzYXN4cDJzenN4YTJkZjUwMjU5MngiIHRpbWVzdGFtcD0iMTU4ODQ4
MTAwNiI+MTkxNjwva2V5PjwvZm9yZWlnbi1rZXlzPjxyZWYtdHlwZSBuYW1lPSJKb3VybmFsIEFy
dGljbGUiPjE3PC9yZWYtdHlwZT48Y29udHJpYnV0b3JzPjxhdXRob3JzPjxhdXRob3I+Um9kcmln
dWV6LUJsYW5xdWUsIFIuPC9hdXRob3I+PGF1dGhvcj5TYW5jaGV6LUdhcmNpYSwgSi4gQy48L2F1
dGhvcj48YXV0aG9yPlNhbmNoZXotTG9wZXosIEEuIE0uPC9hdXRob3I+PGF1dGhvcj5FeHBvc2l0
by1SdWl6LCBNLjwvYXV0aG9yPjxhdXRob3I+QWd1aWxhci1Db3JkZXJvLCBNLiBKLjwvYXV0aG9y
PjwvYXV0aG9ycz48L2NvbnRyaWJ1dG9ycz48dGl0bGVzPjx0aXRsZT5SYW5kb21pemVkIGNsaW5p
Y2FsIHRyaWFsIG9mIGFuIGFxdWF0aWMgcGh5c2ljYWwgZXhlcmNpc2UgcHJvZ3JhbSBkdXJpbmcg
cHJlZ25hbmN5PC90aXRsZT48c2Vjb25kYXJ5LXRpdGxlPkogT2JzdGV0IEd5bmVjb2wgTmVvbmF0
YWwgTnVyczwvc2Vjb25kYXJ5LXRpdGxlPjwvdGl0bGVzPjxwZXJpb2RpY2FsPjxmdWxsLXRpdGxl
PkogT2JzdGV0IEd5bmVjb2wgTmVvbmF0YWwgTnVyczwvZnVsbC10aXRsZT48L3BlcmlvZGljYWw+
PHBhZ2VzPjMyMS0zMzE8L3BhZ2VzPjx2b2x1bWU+NDg8L3ZvbHVtZT48bnVtYmVyPjM8L251bWJl
cj48ZWRpdGlvbj4yMDE5LzA0LzA3PC9lZGl0aW9uPjxrZXl3b3Jkcz48a2V5d29yZD4qY2hpbGRi
aXJ0aDwva2V5d29yZD48a2V5d29yZD4qZXBpc2lvdG9teTwva2V5d29yZD48a2V5d29yZD4qZXhl
cmNpc2U8L2tleXdvcmQ+PGtleXdvcmQ+KnBlcmluZXVtPC9rZXl3b3JkPjxrZXl3b3JkPipwcmVn
bmFuY3k8L2tleXdvcmQ+PGtleXdvcmQ+KnRlYXI8L2tleXdvcmQ+PC9rZXl3b3Jkcz48ZGF0ZXM+
PHllYXI+MjAxOTwveWVhcj48cHViLWRhdGVzPjxkYXRlPk1heTwvZGF0ZT48L3B1Yi1kYXRlcz48
L2RhdGVzPjxpc2JuPjE1NTItNjkwOSAoRWxlY3Ryb25pYykmI3hEOzAwOTAtMDMxMSAoTGlua2lu
Zyk8L2lzYm4+PGFjY2Vzc2lvbi1udW0+MzA5NTM2MDU8L2FjY2Vzc2lvbi1udW0+PHVybHM+PHJl
bGF0ZWQtdXJscz48dXJsPmh0dHBzOi8vd3d3Lm5jYmkubmxtLm5paC5nb3YvcHVibWVkLzMwOTUz
NjA1PC91cmw+PC9yZWxhdGVkLXVybHM+PC91cmxzPjxlbGVjdHJvbmljLXJlc291cmNlLW51bT4x
MC4xMDE2L2ouam9nbi4yMDE5LjAyLjAwMzwvZWxlY3Ryb25pYy1yZXNvdXJjZS1udW0+PC9yZWNv
cmQ+PC9DaXRlPjwvRW5kTm90ZT4A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PEVuZE5vdGU+PENpdGU+PEF1dGhvcj5TYWx2ZXNlbjwvQXV0aG9yPjxZZWFyPjIwMDQ8L1llYXI+
PFJlY051bT45NDE8L1JlY051bT48RGlzcGxheVRleHQ+PHN0eWxlIGZhY2U9InN1cGVyc2NyaXB0
IiBmb250PSJUcmVidWNoZXQgTVMiIHNpemU9IjkiPjI3MywyOTcsMjk4LDMwNCwzMDU8L3N0eWxl
PjwvRGlzcGxheVRleHQ+PHJlY29yZD48cmVjLW51bWJlcj45NDE8L3JlYy1udW1iZXI+PGZvcmVp
Z24ta2V5cz48a2V5IGFwcD0iRU4iIGRiLWlkPSJleHZhc3JmeDJkdHJhb2VzYXN4cDJzenN4YTJk
ZjUwMjU5MngiIHRpbWVzdGFtcD0iMTU0MTU0MTgyNiI+OTQxPC9rZXk+PGtleSBhcHA9IkVOV2Vi
IiBkYi1pZD0iIj4wPC9rZXk+PC9mb3JlaWduLWtleXM+PHJlZi10eXBlIG5hbWU9IkpvdXJuYWwg
QXJ0aWNsZSI+MTc8L3JlZi10eXBlPjxjb250cmlidXRvcnM+PGF1dGhvcnM+PGF1dGhvcj5TYWx2
ZXNlbiwgSy4gQS48L2F1dGhvcj48YXV0aG9yPk1vcmt2ZWQsIFMuPC9hdXRob3I+PC9hdXRob3Jz
PjwvY29udHJpYnV0b3JzPjxhdXRoLWFkZHJlc3M+RGVwYXJ0bWVudCBvZiBPYnN0ZXRyaWNzIGFu
ZCBHeW5hZWNvbG9neSwgVHJvbmRoZWltIFVuaXZlcnNpdHkgSG9zcGl0YWwgU3QuIE9sYXYsIE4t
NzAwNiBUcm9uZGhlaW0sIE5vcndheS4gcGVwZXNAbWVkaXNpbi5udG51Lm5vPC9hdXRoLWFkZHJl
c3M+PHRpdGxlcz48dGl0bGU+UmFuZG9taXNlZCBjb250cm9sbGVkIHRyaWFsIG9mIHBlbHZpYyBm
bG9vciBtdXNjbGUgdHJhaW5pbmcgZHVyaW5nIHByZWduYW5jeTwvdGl0bGU+PHNlY29uZGFyeS10
aXRsZT5CTUo8L3NlY29uZGFyeS10aXRsZT48L3RpdGxlcz48cGVyaW9kaWNhbD48ZnVsbC10aXRs
ZT5CTUo8L2Z1bGwtdGl0bGU+PC9wZXJpb2RpY2FsPjxwYWdlcz4zNzgtODA8L3BhZ2VzPjx2b2x1
bWU+MzI5PC92b2x1bWU+PG51bWJlcj43NDYyPC9udW1iZXI+PGVkaXRpb24+MjAwNC8wNy8xNjwv
ZWRpdGlvbj48a2V5d29yZHM+PGtleXdvcmQ+RXBpc2lvdG9teS9zdGF0aXN0aWNzICZhbXA7IG51
bWVyaWNhbCBkYXRhPC9rZXl3b3JkPjxrZXl3b3JkPkV4ZXJjaXNlIFRoZXJhcHkvKm1ldGhvZHM8
L2tleXdvcmQ+PGtleXdvcmQ+RmVtYWxlPC9rZXl3b3JkPjxrZXl3b3JkPkh1bWFuczwva2V5d29y
ZD48a2V5d29yZD5MYWJvciBTdGFnZSwgU2Vjb25kPC9rZXl3b3JkPjxrZXl3b3JkPk9ic3RldHJp
YyBMYWJvciBDb21wbGljYXRpb25zLypwcmV2ZW50aW9uICZhbXA7IGNvbnRyb2w8L2tleXdvcmQ+
PGtleXdvcmQ+UGVsdmljIEZsb29yPC9rZXl3b3JkPjxrZXl3b3JkPlByZWduYW5jeTwva2V5d29y
ZD48a2V5d29yZD5VcmluYXJ5IEluY29udGluZW5jZS8qcHJldmVudGlvbiAmYW1wOyBjb250cm9s
PC9rZXl3b3JkPjwva2V5d29yZHM+PGRhdGVzPjx5ZWFyPjIwMDQ8L3llYXI+PHB1Yi1kYXRlcz48
ZGF0ZT5BdWcgMTQ8L2RhdGU+PC9wdWItZGF0ZXM+PC9kYXRlcz48aXNibj4xNzU2LTE4MzMgKEVs
ZWN0cm9uaWMpJiN4RDswOTU5LTgxMzggKExpbmtpbmcpPC9pc2JuPjxhY2Nlc3Npb24tbnVtPjE1
MjUzOTIwPC9hY2Nlc3Npb24tbnVtPjx1cmxzPjxyZWxhdGVkLXVybHM+PHVybD5odHRwczovL3d3
dy5uY2JpLm5sbS5uaWguZ292L3B1Ym1lZC8xNTI1MzkyMDwvdXJsPjwvcmVsYXRlZC11cmxzPjwv
dXJscz48Y3VzdG9tMj5QTUM1MDkzNDM8L2N1c3RvbTI+PGVsZWN0cm9uaWMtcmVzb3VyY2UtbnVt
PjEwLjExMzYvYm1qLjM4MTYzLjcyNDMwNi4zQTwvZWxlY3Ryb25pYy1yZXNvdXJjZS1udW0+PC9y
ZWNvcmQ+PC9DaXRlPjxDaXRlPjxBdXRob3I+U2FsdmVzZW48L0F1dGhvcj48WWVhcj4yMDE0PC9Z
ZWFyPjxSZWNOdW0+OTQyPC9SZWNOdW0+PHJlY29yZD48cmVjLW51bWJlcj45NDI8L3JlYy1udW1i
ZXI+PGZvcmVpZ24ta2V5cz48a2V5IGFwcD0iRU4iIGRiLWlkPSJleHZhc3JmeDJkdHJhb2VzYXN4
cDJzenN4YTJkZjUwMjU5MngiIHRpbWVzdGFtcD0iMTU0MTU0MTgzMiI+OTQyPC9rZXk+PGtleSBh
cHA9IkVOV2ViIiBkYi1pZD0iIj4wPC9rZXk+PC9mb3JlaWduLWtleXM+PHJlZi10eXBlIG5hbWU9
IkpvdXJuYWwgQXJ0aWNsZSI+MTc8L3JlZi10eXBlPjxjb250cmlidXRvcnM+PGF1dGhvcnM+PGF1
dGhvcj5TYWx2ZXNlbiwgSy4gQS48L2F1dGhvcj48YXV0aG9yPlN0YWZuZSwgUy4gTi48L2F1dGhv
cj48YXV0aG9yPkVnZ2VibywgVC4gTS48L2F1dGhvcj48YXV0aG9yPk1vcmt2ZWQsIFMuPC9hdXRo
b3I+PC9hdXRob3JzPjwvY29udHJpYnV0b3JzPjxhdXRoLWFkZHJlc3M+Q2xpbmljYWwgU2NpZW5j
ZXMsIE9ic3RldHJpY3MgYW5kIEd5bmVjb2xvZ3ksIEx1bmQgVW5pdmVyc2l0eSwgTHVuZCwgU3dl
ZGVuOyBOYXRpb25hbCBDZW50ZXIgZm9yIEZldGFsIE1lZGljaW5lLCBEZXBhcnRtZW50IG9mIE9i
c3RldHJpY3MgYW5kIEd5bmVjb2xvZ3ksIFN0LiBPbGF2cyBIb3NwaXRhbCwgVHJvbmRoZWltIFVu
aXZlcnNpdHkgSG9zcGl0YWwsIFRyb25kaGVpbSwgTm9yd2F5LjwvYXV0aC1hZGRyZXNzPjx0aXRs
ZXM+PHRpdGxlPkRvZXMgcmVndWxhciBleGVyY2lzZSBpbiBwcmVnbmFuY3kgaW5mbHVlbmNlIGR1
cmF0aW9uIG9mIGxhYm9yPyBBIHNlY29uZGFyeSBhbmFseXNpcyBvZiBhIHJhbmRvbWl6ZWQgY29u
dHJvbGxlZCB0cmlhbDwvdGl0bGU+PHNlY29uZGFyeS10aXRsZT5BY3RhIE9ic3RldCBHeW5lY29s
IFNjYW5kPC9zZWNvbmRhcnktdGl0bGU+PC90aXRsZXM+PHBlcmlvZGljYWw+PGZ1bGwtdGl0bGU+
QWN0YSBPYnN0ZXQgR3luZWNvbCBTY2FuZDwvZnVsbC10aXRsZT48L3BlcmlvZGljYWw+PHBhZ2Vz
PjczLTk8L3BhZ2VzPjx2b2x1bWU+OTM8L3ZvbHVtZT48bnVtYmVyPjE8L251bWJlcj48ZWRpdGlv
bj4yMDEzLzEwLzEwPC9lZGl0aW9uPjxrZXl3b3Jkcz48a2V5d29yZD5BZHVsdDwva2V5d29yZD48
a2V5d29yZD5Cb2R5IE1hc3MgSW5kZXg8L2tleXdvcmQ+PGtleXdvcmQ+RXhlcmNpc2UvKnBoeXNp
b2xvZ3k8L2tleXdvcmQ+PGtleXdvcmQ+RmVtYWxlPC9rZXl3b3JkPjxrZXl3b3JkPkh1bWFuczwv
a2V5d29yZD48a2V5d29yZD5MYWJvciwgT2JzdGV0cmljLypwaHlzaW9sb2d5PC9rZXl3b3JkPjxr
ZXl3b3JkPlByZWduYW5jeTwva2V5d29yZD48a2V5d29yZD4qUHJlbmF0YWwgQ2FyZTwva2V5d29y
ZD48a2V5d29yZD5FeGVyY2lzZTwva2V5d29yZD48a2V5d29yZD5sYWJvcjwva2V5d29yZD48a2V5
d29yZD5yYW5kb21pemVkIGNvbnRyb2xsZWQgdHJpYWw8L2tleXdvcmQ+PC9rZXl3b3Jkcz48ZGF0
ZXM+PHllYXI+MjAxNDwveWVhcj48cHViLWRhdGVzPjxkYXRlPkphbjwvZGF0ZT48L3B1Yi1kYXRl
cz48L2RhdGVzPjxpc2JuPjE2MDAtMDQxMiAoRWxlY3Ryb25pYykmI3hEOzAwMDEtNjM0OSAoTGlu
a2luZyk8L2lzYm4+PGFjY2Vzc2lvbi1udW0+MjQxMDI0MjM8L2FjY2Vzc2lvbi1udW0+PHVybHM+
PHJlbGF0ZWQtdXJscz48dXJsPmh0dHBzOi8vd3d3Lm5jYmkubmxtLm5paC5nb3YvcHVibWVkLzI0
MTAyNDIzPC91cmw+PC9yZWxhdGVkLXVybHM+PC91cmxzPjxlbGVjdHJvbmljLXJlc291cmNlLW51
bT4xMC4xMTExL2FvZ3MuMTIyNjA8L2VsZWN0cm9uaWMtcmVzb3VyY2UtbnVtPjwvcmVjb3JkPjwv
Q2l0ZT48Q2l0ZT48QXV0aG9yPlNlbmV2aXJhdG5lPC9BdXRob3I+PFllYXI+MjAxNjwvWWVhcj48
UmVjTnVtPjk0NTwvUmVjTnVtPjxyZWNvcmQ+PHJlYy1udW1iZXI+OTQ1PC9yZWMtbnVtYmVyPjxm
b3JlaWduLWtleXM+PGtleSBhcHA9IkVOIiBkYi1pZD0iZXh2YXNyZngyZHRyYW9lc2FzeHAyc3pz
eGEyZGY1MDI1OTJ4IiB0aW1lc3RhbXA9IjE1NDE1NDE4NDkiPjk0NTwva2V5PjxrZXkgYXBwPSJF
TldlYiIgZGItaWQ9IiI+MDwva2V5PjwvZm9yZWlnbi1rZXlzPjxyZWYtdHlwZSBuYW1lPSJKb3Vy
bmFsIEFydGljbGUiPjE3PC9yZWYtdHlwZT48Y29udHJpYnV0b3JzPjxhdXRob3JzPjxhdXRob3I+
U2VuZXZpcmF0bmUsIFMuIE4uPC9hdXRob3I+PGF1dGhvcj5KaWFuZywgWS48L2F1dGhvcj48YXV0
aG9yPkRlcnJhaWssIEouPC9hdXRob3I+PGF1dGhvcj5NY0Nvd2FuLCBMLjwvYXV0aG9yPjxhdXRo
b3I+UGFycnksIEcuIEsuPC9hdXRob3I+PGF1dGhvcj5CaWdncywgSi4gQi48L2F1dGhvcj48YXV0
aG9yPkNyYWlnaWUsIFMuPC9hdXRob3I+PGF1dGhvcj5HdXNzbywgUy48L2F1dGhvcj48YXV0aG9y
PlBlcmVzLCBHLjwvYXV0aG9yPjxhdXRob3I+Um9kcmlndWVzLCBSLiBPLjwvYXV0aG9yPjxhdXRo
b3I+RWtlcm9tYSwgQS48L2F1dGhvcj48YXV0aG9yPkN1dGZpZWxkLCBXLiBTLjwvYXV0aG9yPjxh
dXRob3I+SG9mbWFuLCBQLiBMLjwvYXV0aG9yPjwvYXV0aG9ycz48L2NvbnRyaWJ1dG9ycz48YXV0
aC1hZGRyZXNzPkxpZ2dpbnMgSW5zdGl0dXRlLCBVbml2ZXJzaXR5IG9mIEF1Y2tsYW5kLCBBdWNr
bGFuZCwgTmV3IFplYWxhbmQuJiN4RDtHcmF2aWRhOiBOYXRpb25hbCBDZW50cmUgZm9yIEdyb3d0
aCBhbmQgRGV2ZWxvcG1lbnQsIEF1Y2tsYW5kLCBOZXcgWmVhbGFuZC4mI3hEO0RlcGFydG1lbnQg
b2YgU3RhdGlzdGljcywgVW5pdmVyc2l0eSBvZiBBdWNrbGFuZCwgQXVja2xhbmQsIE5ldyBaZWFs
YW5kLiYjeEQ7RGVwYXJ0bWVudCBvZiBPYnN0ZXRyaWNzIGFuZCBHeW5hZWNvbG9neSwgRmFjdWx0
eSBvZiBNZWRpY2FsIGFuZCBIZWFsdGggU2NpZW5jZSwgVW5pdmVyc2l0eSBvZiBBdWNrbGFuZCwg
QXVja2xhbmQsIE5ldyBaZWFsYW5kLjwvYXV0aC1hZGRyZXNzPjx0aXRsZXM+PHRpdGxlPkVmZmVj
dHMgb2YgYW50ZW5hdGFsIGV4ZXJjaXNlIGluIG92ZXJ3ZWlnaHQgYW5kIG9iZXNlIHByZWduYW50
IHdvbWVuIG9uIG1hdGVybmFsIGFuZCBwZXJpbmF0YWwgb3V0Y29tZXM6IGEgcmFuZG9taXNlZCBj
b250cm9sbGVkIHRyaWFsPC90aXRsZT48c2Vjb25kYXJ5LXRpdGxlPkJKT0c8L3NlY29uZGFyeS10
aXRsZT48L3RpdGxlcz48cGVyaW9kaWNhbD48ZnVsbC10aXRsZT5CSk9HPC9mdWxsLXRpdGxlPjwv
cGVyaW9kaWNhbD48cGFnZXM+NTg4LTk3PC9wYWdlcz48dm9sdW1lPjEyMzwvdm9sdW1lPjxudW1i
ZXI+NDwvbnVtYmVyPjxlZGl0aW9uPjIwMTUvMTEvMDc8L2VkaXRpb24+PGtleXdvcmRzPjxrZXl3
b3JkPkFkdWx0PC9rZXl3b3JkPjxrZXl3b3JkPkJvZHkgTWFzcyBJbmRleDwva2V5d29yZD48a2V5
d29yZD4qRXhlcmNpc2UgVGhlcmFweTwva2V5d29yZD48a2V5d29yZD5GZW1hbGU8L2tleXdvcmQ+
PGtleXdvcmQ+SHVtYW5zPC9rZXl3b3JkPjxrZXl3b3JkPk5ldyBaZWFsYW5kL2VwaWRlbWlvbG9n
eTwva2V5d29yZD48a2V5d29yZD5PYmVzaXR5L2VwaWRlbWlvbG9neS9wcmV2ZW50aW9uICZhbXA7
IGNvbnRyb2wvKnRoZXJhcHk8L2tleXdvcmQ+PGtleXdvcmQ+T3ZlcndlaWdodC9lcGlkZW1pb2xv
Z3kvcHJldmVudGlvbiAmYW1wOyBjb250cm9sLyp0aGVyYXB5PC9rZXl3b3JkPjxrZXl3b3JkPlBh
dGllbnQgQ29tcGxpYW5jZTwva2V5d29yZD48a2V5d29yZD5QcmVnbmFuY3k8L2tleXdvcmQ+PGtl
eXdvcmQ+UHJlZ25hbmN5IE91dGNvbWU8L2tleXdvcmQ+PGtleXdvcmQ+KlByZWduYW50IFdvbWVu
L3BzeWNob2xvZ3k8L2tleXdvcmQ+PGtleXdvcmQ+KlByZW5hdGFsIENhcmU8L2tleXdvcmQ+PGtl
eXdvcmQ+UXVhbGl0eSBvZiBMaWZlPC9rZXl3b3JkPjxrZXl3b3JkPlJpc2sgUmVkdWN0aW9uIEJl
aGF2aW9yPC9rZXl3b3JkPjxrZXl3b3JkPlRyZWF0bWVudCBPdXRjb21lPC9rZXl3b3JkPjxrZXl3
b3JkPldlaWdodCBHYWluPC9rZXl3b3JkPjxrZXl3b3JkPkFudGVuYXRhbCBleGVyY2lzZTwva2V5
d29yZD48a2V5d29yZD5ib2R5IGNvbXBvc2l0aW9uPC9rZXl3b3JkPjxrZXl3b3JkPm9iZXNpdHk8
L2tleXdvcmQ+PC9rZXl3b3Jkcz48ZGF0ZXM+PHllYXI+MjAxNjwveWVhcj48cHViLWRhdGVzPjxk
YXRlPk1hcjwvZGF0ZT48L3B1Yi1kYXRlcz48L2RhdGVzPjxpc2JuPjE0NzEtMDUyOCAoRWxlY3Ry
b25pYykmI3hEOzE0NzAtMDMyOCAoTGlua2luZyk8L2lzYm4+PGFjY2Vzc2lvbi1udW0+MjY1NDI0
MTk8L2FjY2Vzc2lvbi1udW0+PHVybHM+PHJlbGF0ZWQtdXJscz48dXJsPmh0dHBzOi8vd3d3Lm5j
YmkubmxtLm5paC5nb3YvcHVibWVkLzI2NTQyNDE5PC91cmw+PC9yZWxhdGVkLXVybHM+PC91cmxz
PjxlbGVjdHJvbmljLXJlc291cmNlLW51bT4xMC4xMTExLzE0NzEtMDUyOC4xMzczODwvZWxlY3Ry
b25pYy1yZXNvdXJjZS1udW0+PC9yZWNvcmQ+PC9DaXRlPjxDaXRlPjxBdXRob3I+R2FybmFlczwv
QXV0aG9yPjxZZWFyPjIwMTY8L1llYXI+PFJlY051bT42ODg8L1JlY051bT48cmVjb3JkPjxyZWMt
bnVtYmVyPjY4ODwvcmVjLW51bWJlcj48Zm9yZWlnbi1rZXlzPjxrZXkgYXBwPSJFTiIgZGItaWQ9
ImV4dmFzcmZ4MmR0cmFvZXNhc3hwMnN6c3hhMmRmNTAyNTkyeCIgdGltZXN0YW1wPSIxNTQwNTI3
MzkzIj42ODg8L2tleT48L2ZvcmVpZ24ta2V5cz48cmVmLXR5cGUgbmFtZT0iSm91cm5hbCBBcnRp
Y2xlIj4xNzwvcmVmLXR5cGU+PGNvbnRyaWJ1dG9ycz48YXV0aG9ycz48YXV0aG9yPkdhcm5hZXMs
IEsuIEsuPC9hdXRob3I+PGF1dGhvcj5Nb3JrdmVkLCBTLjwvYXV0aG9yPjxhdXRob3I+U2FsdmVz
ZW4sIE8uPC9hdXRob3I+PGF1dGhvcj5Nb2hvbGR0LCBULjwvYXV0aG9yPjwvYXV0aG9ycz48L2Nv
bnRyaWJ1dG9ycz48YXV0aC1hZGRyZXNzPkRlcGFydG1lbnQgb2YgQ2lyY3VsYXRpb24gYW5kIE1l
ZGljYWwgSW1hZ2luZywgTWVkaWNhbCBGYWN1bHR5LCBOb3J3ZWdpYW4gVW5pdmVyc2l0eSBvZiBT
Y2llbmNlIGFuZCBUZWNobm9sb2d5IChOVE5VKSwgVHJvbmRoZWltLCBOb3J3YXkuJiN4RDtEZXBh
cnRtZW50IG9mIFB1YmxpYyBIZWFsdGggYW5kIEdlbmVyYWwgUHJhY3RpY2UsIE1lZGljYWwgRmFj
dWx0eSwgTm9yd2VnaWFuIFVuaXZlcnNpdHkgb2YgU2NpZW5jZSBhbmQgVGVjaG5vbG9neSAoTlRO
VSksIFRyb25kaGVpbSwgTm9yd2F5LiYjeEQ7Q2xpbmljYWwgU2VydmljZSwgU3QuIE9sYXZzIEhv
c3BpdGFsLCBUcm9uZGhlaW0gVW5pdmVyc2l0eSBIb3NwaXRhbCwgVHJvbmRoZWltLCBOb3J3YXku
JiN4RDtEZXBhcnRtZW50IG9mIFdvbWVuJmFwb3M7cyBIZWFsdGgsIFN0LiBPbGF2cyBIb3NwaXRh
bCwgVHJvbmRoZWltIFVuaXZlcnNpdHkgSG9zcGl0YWwsIFRyb25kaGVpbSwgTm9yd2F5LjwvYXV0
aC1hZGRyZXNzPjx0aXRsZXM+PHRpdGxlPkV4ZXJjaXNlIFRyYWluaW5nIGFuZCBXZWlnaHQgR2Fp
biBpbiBPYmVzZSBQcmVnbmFudCBXb21lbjogQSBSYW5kb21pemVkIENvbnRyb2xsZWQgVHJpYWwg
KEVUSVAgVHJpYWwpPC90aXRsZT48c2Vjb25kYXJ5LXRpdGxlPlBMb1MgTWVkPC9zZWNvbmRhcnkt
dGl0bGU+PC90aXRsZXM+PHBlcmlvZGljYWw+PGZ1bGwtdGl0bGU+UExvUyBNZWQ8L2Z1bGwtdGl0
bGU+PC9wZXJpb2RpY2FsPjxwYWdlcz5lMTAwMjA3OTwvcGFnZXM+PHZvbHVtZT4xMzwvdm9sdW1l
PjxudW1iZXI+NzwvbnVtYmVyPjxlZGl0aW9uPjIwMTYvMDcvMjg8L2VkaXRpb24+PGtleXdvcmRz
PjxrZXl3b3JkPkFkdWx0PC9rZXl3b3JkPjxrZXl3b3JkPkJsb29kIFByZXNzdXJlPC9rZXl3b3Jk
PjxrZXl3b3JkPkRpYWJldGVzLCBHZXN0YXRpb25hbC9wcmV2ZW50aW9uICZhbXA7IGNvbnRyb2w8
L2tleXdvcmQ+PGtleXdvcmQ+RXhlcmNpc2UvcGh5c2lvbG9neTwva2V5d29yZD48a2V5d29yZD5F
eGVyY2lzZSBUaGVyYXB5L2FkdmVyc2UgZWZmZWN0cy8qbWV0aG9kczwva2V5d29yZD48a2V5d29y
ZD5GZW1hbGU8L2tleXdvcmQ+PGtleXdvcmQ+SHVtYW5zPC9rZXl3b3JkPjxrZXl3b3JkPk9iZXNp
dHkvKmNvbXBsaWNhdGlvbnMvcHJldmVudGlvbiAmYW1wOyBjb250cm9sL3RoZXJhcHk8L2tleXdv
cmQ+PGtleXdvcmQ+T3ZlcndlaWdodC9jb21wbGljYXRpb25zL3ByZXZlbnRpb24gJmFtcDsgY29u
dHJvbC90aGVyYXB5PC9rZXl3b3JkPjxrZXl3b3JkPlByZWduYW5jeTwva2V5d29yZD48a2V5d29y
ZD5QcmVnbmFuY3kgQ29tcGxpY2F0aW9ucy9wcmV2ZW50aW9uICZhbXA7IGNvbnRyb2wvKnRoZXJh
cHk8L2tleXdvcmQ+PGtleXdvcmQ+VHJlYXRtZW50IE91dGNvbWU8L2tleXdvcmQ+PGtleXdvcmQ+
V2VpZ2h0IEdhaW48L2tleXdvcmQ+PC9rZXl3b3Jkcz48ZGF0ZXM+PHllYXI+MjAxNjwveWVhcj48
cHViLWRhdGVzPjxkYXRlPkp1bDwvZGF0ZT48L3B1Yi1kYXRlcz48L2RhdGVzPjxpc2JuPjE1NDkt
MTY3NiAoRWxlY3Ryb25pYykmI3hEOzE1NDktMTI3NyAoTGlua2luZyk8L2lzYm4+PGFjY2Vzc2lv
bi1udW0+Mjc0NTkzNzU8L2FjY2Vzc2lvbi1udW0+PHVybHM+PHJlbGF0ZWQtdXJscz48dXJsPmh0
dHBzOi8vd3d3Lm5jYmkubmxtLm5paC5nb3YvcHVibWVkLzI3NDU5Mzc1PC91cmw+PC9yZWxhdGVk
LXVybHM+PC91cmxzPjxjdXN0b20yPlBNQzQ5NjEzOTI8L2N1c3RvbTI+PGVsZWN0cm9uaWMtcmVz
b3VyY2UtbnVtPjEwLjEzNzEvam91cm5hbC5wbWVkLjEwMDIwNzk8L2VsZWN0cm9uaWMtcmVzb3Vy
Y2UtbnVtPjwvcmVjb3JkPjwvQ2l0ZT48Q2l0ZT48QXV0aG9yPlJvZHJpZ3Vlei1CbGFucXVlPC9B
dXRob3I+PFllYXI+MjAxOTwvWWVhcj48UmVjTnVtPjE5MTY8L1JlY051bT48cmVjb3JkPjxyZWMt
bnVtYmVyPjE5MTY8L3JlYy1udW1iZXI+PGZvcmVpZ24ta2V5cz48a2V5IGFwcD0iRU4iIGRiLWlk
PSJleHZhc3JmeDJkdHJhb2VzYXN4cDJzenN4YTJkZjUwMjU5MngiIHRpbWVzdGFtcD0iMTU4ODQ4
MTAwNiI+MTkxNjwva2V5PjwvZm9yZWlnbi1rZXlzPjxyZWYtdHlwZSBuYW1lPSJKb3VybmFsIEFy
dGljbGUiPjE3PC9yZWYtdHlwZT48Y29udHJpYnV0b3JzPjxhdXRob3JzPjxhdXRob3I+Um9kcmln
dWV6LUJsYW5xdWUsIFIuPC9hdXRob3I+PGF1dGhvcj5TYW5jaGV6LUdhcmNpYSwgSi4gQy48L2F1
dGhvcj48YXV0aG9yPlNhbmNoZXotTG9wZXosIEEuIE0uPC9hdXRob3I+PGF1dGhvcj5FeHBvc2l0
by1SdWl6LCBNLjwvYXV0aG9yPjxhdXRob3I+QWd1aWxhci1Db3JkZXJvLCBNLiBKLjwvYXV0aG9y
PjwvYXV0aG9ycz48L2NvbnRyaWJ1dG9ycz48dGl0bGVzPjx0aXRsZT5SYW5kb21pemVkIGNsaW5p
Y2FsIHRyaWFsIG9mIGFuIGFxdWF0aWMgcGh5c2ljYWwgZXhlcmNpc2UgcHJvZ3JhbSBkdXJpbmcg
cHJlZ25hbmN5PC90aXRsZT48c2Vjb25kYXJ5LXRpdGxlPkogT2JzdGV0IEd5bmVjb2wgTmVvbmF0
YWwgTnVyczwvc2Vjb25kYXJ5LXRpdGxlPjwvdGl0bGVzPjxwZXJpb2RpY2FsPjxmdWxsLXRpdGxl
PkogT2JzdGV0IEd5bmVjb2wgTmVvbmF0YWwgTnVyczwvZnVsbC10aXRsZT48L3BlcmlvZGljYWw+
PHBhZ2VzPjMyMS0zMzE8L3BhZ2VzPjx2b2x1bWU+NDg8L3ZvbHVtZT48bnVtYmVyPjM8L251bWJl
cj48ZWRpdGlvbj4yMDE5LzA0LzA3PC9lZGl0aW9uPjxrZXl3b3Jkcz48a2V5d29yZD4qY2hpbGRi
aXJ0aDwva2V5d29yZD48a2V5d29yZD4qZXBpc2lvdG9teTwva2V5d29yZD48a2V5d29yZD4qZXhl
cmNpc2U8L2tleXdvcmQ+PGtleXdvcmQ+KnBlcmluZXVtPC9rZXl3b3JkPjxrZXl3b3JkPipwcmVn
bmFuY3k8L2tleXdvcmQ+PGtleXdvcmQ+KnRlYXI8L2tleXdvcmQ+PC9rZXl3b3Jkcz48ZGF0ZXM+
PHllYXI+MjAxOTwveWVhcj48cHViLWRhdGVzPjxkYXRlPk1heTwvZGF0ZT48L3B1Yi1kYXRlcz48
L2RhdGVzPjxpc2JuPjE1NTItNjkwOSAoRWxlY3Ryb25pYykmI3hEOzAwOTAtMDMxMSAoTGlua2lu
Zyk8L2lzYm4+PGFjY2Vzc2lvbi1udW0+MzA5NTM2MDU8L2FjY2Vzc2lvbi1udW0+PHVybHM+PHJl
bGF0ZWQtdXJscz48dXJsPmh0dHBzOi8vd3d3Lm5jYmkubmxtLm5paC5nb3YvcHVibWVkLzMwOTUz
NjA1PC91cmw+PC9yZWxhdGVkLXVybHM+PC91cmxzPjxlbGVjdHJvbmljLXJlc291cmNlLW51bT4x
MC4xMDE2L2ouam9nbi4yMDE5LjAyLjAwMzwvZWxlY3Ryb25pYy1yZXNvdXJjZS1udW0+PC9yZWNv
cmQ+PC9DaXRlPjwvRW5kTm90ZT4A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008D4074">
        <w:rPr>
          <w:noProof/>
          <w:sz w:val="16"/>
          <w:szCs w:val="16"/>
        </w:rPr>
      </w:r>
      <w:r w:rsidR="008D4074">
        <w:rPr>
          <w:noProof/>
          <w:sz w:val="16"/>
          <w:szCs w:val="16"/>
        </w:rPr>
        <w:fldChar w:fldCharType="separate"/>
      </w:r>
      <w:r w:rsidR="002747EA" w:rsidRPr="002747EA">
        <w:rPr>
          <w:noProof/>
          <w:szCs w:val="16"/>
          <w:vertAlign w:val="superscript"/>
        </w:rPr>
        <w:t>273,297,298,304,305</w:t>
      </w:r>
      <w:r w:rsidR="008D4074">
        <w:rPr>
          <w:noProof/>
          <w:sz w:val="16"/>
          <w:szCs w:val="16"/>
        </w:rPr>
        <w:fldChar w:fldCharType="end"/>
      </w:r>
      <w:r w:rsidR="002205C5">
        <w:t xml:space="preserve"> reported on perineal tears</w:t>
      </w:r>
      <w:r w:rsidR="002205C5" w:rsidRPr="002205C5">
        <w:t xml:space="preserve"> </w:t>
      </w:r>
      <w:r w:rsidR="002205C5">
        <w:t>among women who had participated in a physical activity intervention during pregnancy and those who had not.</w:t>
      </w:r>
      <w:r w:rsidR="000F0880">
        <w:t xml:space="preserve"> </w:t>
      </w:r>
      <w:r>
        <w:t>One study found higher rates of intact perineum among the intervention group (</w:t>
      </w:r>
      <w:r w:rsidRPr="00BD61CC">
        <w:rPr>
          <w:sz w:val="16"/>
          <w:szCs w:val="16"/>
        </w:rPr>
        <w:t>aOR 8.57; 95% CI 1.85 to 39.68</w:t>
      </w:r>
      <w:r>
        <w:t>)</w:t>
      </w:r>
      <w:r w:rsidR="00D07346">
        <w:rPr>
          <w:noProof/>
        </w:rPr>
        <w:fldChar w:fldCharType="begin"/>
      </w:r>
      <w:r w:rsidR="002747EA">
        <w:rPr>
          <w:noProof/>
        </w:rPr>
        <w:instrText xml:space="preserve"> ADDIN EN.CITE &lt;EndNote&gt;&lt;Cite&gt;&lt;Author&gt;Rodriguez-Blanque&lt;/Author&gt;&lt;Year&gt;2019&lt;/Year&gt;&lt;RecNum&gt;1916&lt;/RecNum&gt;&lt;DisplayText&gt;&lt;style face="superscript" font="Trebuchet MS" size="9"&gt;305&lt;/style&gt;&lt;/DisplayText&gt;&lt;record&gt;&lt;rec-number&gt;1916&lt;/rec-number&gt;&lt;foreign-keys&gt;&lt;key app="EN" db-id="exvasrfx2dtraoesasxp2szsxa2df502592x" timestamp="1588481006"&gt;1916&lt;/key&gt;&lt;/foreign-keys&gt;&lt;ref-type name="Journal Article"&gt;17&lt;/ref-type&gt;&lt;contributors&gt;&lt;authors&gt;&lt;author&gt;Rodriguez-Blanque, R.&lt;/author&gt;&lt;author&gt;Sanchez-Garcia, J. C.&lt;/author&gt;&lt;author&gt;Sanchez-Lopez, A. M.&lt;/author&gt;&lt;author&gt;Exposito-Ruiz, M.&lt;/author&gt;&lt;author&gt;Aguilar-Cordero, M. J.&lt;/author&gt;&lt;/authors&gt;&lt;/contributors&gt;&lt;titles&gt;&lt;title&gt;Randomized clinical trial of an aquatic physical exercise program during pregnancy&lt;/title&gt;&lt;secondary-title&gt;J Obstet Gynecol Neonatal Nurs&lt;/secondary-title&gt;&lt;/titles&gt;&lt;periodical&gt;&lt;full-title&gt;J Obstet Gynecol Neonatal Nurs&lt;/full-title&gt;&lt;/periodical&gt;&lt;pages&gt;321-331&lt;/pages&gt;&lt;volume&gt;48&lt;/volume&gt;&lt;number&gt;3&lt;/number&gt;&lt;edition&gt;2019/04/07&lt;/edition&gt;&lt;keywords&gt;&lt;keyword&gt;*childbirth&lt;/keyword&gt;&lt;keyword&gt;*episiotomy&lt;/keyword&gt;&lt;keyword&gt;*exercise&lt;/keyword&gt;&lt;keyword&gt;*perineum&lt;/keyword&gt;&lt;keyword&gt;*pregnancy&lt;/keyword&gt;&lt;keyword&gt;*tear&lt;/keyword&gt;&lt;/keywords&gt;&lt;dates&gt;&lt;year&gt;2019&lt;/year&gt;&lt;pub-dates&gt;&lt;date&gt;May&lt;/date&gt;&lt;/pub-dates&gt;&lt;/dates&gt;&lt;isbn&gt;1552-6909 (Electronic)&amp;#xD;0090-0311 (Linking)&lt;/isbn&gt;&lt;accession-num&gt;30953605&lt;/accession-num&gt;&lt;urls&gt;&lt;related-urls&gt;&lt;url&gt;https://www.ncbi.nlm.nih.gov/pubmed/30953605&lt;/url&gt;&lt;/related-urls&gt;&lt;/urls&gt;&lt;electronic-resource-num&gt;10.1016/j.jogn.2019.02.003&lt;/electronic-resource-num&gt;&lt;/record&gt;&lt;/Cite&gt;&lt;/EndNote&gt;</w:instrText>
      </w:r>
      <w:r w:rsidR="00D07346">
        <w:rPr>
          <w:noProof/>
        </w:rPr>
        <w:fldChar w:fldCharType="separate"/>
      </w:r>
      <w:r w:rsidR="002747EA" w:rsidRPr="002747EA">
        <w:rPr>
          <w:noProof/>
          <w:vertAlign w:val="superscript"/>
        </w:rPr>
        <w:t>305</w:t>
      </w:r>
      <w:r w:rsidR="00D07346">
        <w:rPr>
          <w:noProof/>
        </w:rPr>
        <w:fldChar w:fldCharType="end"/>
      </w:r>
      <w:r>
        <w:t xml:space="preserve"> but t</w:t>
      </w:r>
      <w:r w:rsidR="000F0880">
        <w:t xml:space="preserve">here was no clear difference in rates of perineal tears in any </w:t>
      </w:r>
      <w:r>
        <w:t xml:space="preserve">other </w:t>
      </w:r>
      <w:r w:rsidR="000F0880">
        <w:t>study.</w:t>
      </w:r>
    </w:p>
    <w:p w14:paraId="5905A51A" w14:textId="7D3B5E87" w:rsidR="00CA0301" w:rsidRDefault="008E1439" w:rsidP="008E1439">
      <w:pPr>
        <w:pStyle w:val="Heading3"/>
      </w:pPr>
      <w:bookmarkStart w:id="120" w:name="_Toc40956515"/>
      <w:r>
        <w:t>Effect on the infant and child</w:t>
      </w:r>
      <w:bookmarkEnd w:id="120"/>
    </w:p>
    <w:p w14:paraId="15DBFAB4" w14:textId="77777777" w:rsidR="00D86DBF" w:rsidRDefault="00D86DBF" w:rsidP="003E3405">
      <w:pPr>
        <w:pStyle w:val="Heading4"/>
      </w:pPr>
      <w:r>
        <w:t>Congenital anomaly</w:t>
      </w:r>
    </w:p>
    <w:p w14:paraId="76515AD2" w14:textId="353F72B2" w:rsidR="00D86DBF" w:rsidRPr="00D86DBF" w:rsidRDefault="00D374A5" w:rsidP="00D86DBF">
      <w:r>
        <w:t>A systematic review</w:t>
      </w:r>
      <w:r w:rsidR="00E51743">
        <w:fldChar w:fldCharType="begin">
          <w:fldData xml:space="preserve">PEVuZE5vdGU+PENpdGU+PEF1dGhvcj5EYXZlbnBvcnQ8L0F1dGhvcj48WWVhcj4yMDE5PC9ZZWFy
PjxSZWNOdW0+MTI3MjwvUmVjTnVtPjxEaXNwbGF5VGV4dD48c3R5bGUgZmFjZT0ic3VwZXJzY3Jp
cHQiIGZvbnQ9IlRyZWJ1Y2hldCBNUyIgc2l6ZT0iOSI+MzA2PC9zdHlsZT48L0Rpc3BsYXlUZXh0
PjxyZWNvcmQ+PHJlYy1udW1iZXI+MTI3MjwvcmVjLW51bWJlcj48Zm9yZWlnbi1rZXlzPjxrZXkg
YXBwPSJFTiIgZGItaWQ9ImV4dmFzcmZ4MmR0cmFvZXNhc3hwMnN6c3hhMmRmNTAyNTkyeCIgdGlt
ZXN0YW1wPSIxNTYyOTg2MjkzIj4xMjcyPC9rZXk+PGtleSBhcHA9IkVOV2ViIiBkYi1pZD0iIj4w
PC9rZXk+PC9mb3JlaWduLWtleXM+PHJlZi10eXBlIG5hbWU9IkpvdXJuYWwgQXJ0aWNsZSI+MTc8
L3JlZi10eXBlPjxjb250cmlidXRvcnM+PGF1dGhvcnM+PGF1dGhvcj5EYXZlbnBvcnQsIE0uIEgu
PC9hdXRob3I+PGF1dGhvcj5Zb28sIEMuPC9hdXRob3I+PGF1dGhvcj5Nb3R0b2xhLCBNLiBGLjwv
YXV0aG9yPjxhdXRob3I+UG9pdHJhcywgVi4gSi48L2F1dGhvcj48YXV0aG9yPkphcmFtaWxsbyBH
YXJjaWEsIEEuPC9hdXRob3I+PGF1dGhvcj5HcmF5LCBDLiBFLjwvYXV0aG9yPjxhdXRob3I+QmFy
cm93bWFuLCBOLjwvYXV0aG9yPjxhdXRob3I+RGF2aWVzLCBHLiBBLjwvYXV0aG9yPjxhdXRob3I+
S2F0aG9sLCBBLjwvYXV0aG9yPjxhdXRob3I+U2tvdywgUi4gSi48L2F1dGhvcj48YXV0aG9yPk1l
YWgsIFYuIEwuPC9hdXRob3I+PGF1dGhvcj5SaXNrZSwgTC48L2F1dGhvcj48YXV0aG9yPlNvYmll
cmFqc2tpLCBGLjwvYXV0aG9yPjxhdXRob3I+SmFtZXMsIE0uPC9hdXRob3I+PGF1dGhvcj5OYWdw
YWwsIFQuIFMuPC9hdXRob3I+PGF1dGhvcj5NYXJjaGFuZCwgQS4gQS48L2F1dGhvcj48YXV0aG9y
PlNsYXRlciwgTC4gRy48L2F1dGhvcj48YXV0aG9yPkFkYW1vLCBLLiBCLjwvYXV0aG9yPjxhdXRo
b3I+QmFyYWthdCwgUi48L2F1dGhvcj48YXV0aG9yPlJ1Y2hhdCwgUy4gTS48L2F1dGhvcj48L2F1
dGhvcnM+PC9jb250cmlidXRvcnM+PGF1dGgtYWRkcmVzcz5Qcm9ncmFtIGZvciBQcmVnbmFuY3kg
YW5kIFBvc3RwYXJ0dW0gSGVhbHRoLCBQaHlzaWNhbCBBY3Rpdml0eSBhbmQgRGlhYmV0ZXMgTGFi
b3JhdG9yeSwgRmFjdWx0eSBvZiBLaW5lc2lvbG9neSwgU3BvcnQsIGFuZCBSZWNyZWF0aW9uLCBX
b21lbiBhbmQgQ2hpbGRyZW4mYXBvcztzIEhlYWx0aCBSZXNlYXJjaCBJbnN0aXR1dGUsIEFsYmVy
dGEgRGlhYmV0ZXMgSW5zdGl0dXRlLCBVbml2ZXJzaXR5IG9mIEFsYmVydGEsIEVkbW9udG9uLCBB
bGJlcnRhLCBDYW5hZGEuJiN4RDtSIFNhbXVlbCBNY0xhdWdobGluIEZvdW5kYXRpb24tRXhlcmNp
c2UgYW5kIFByZWduYW5jeSBMYWJvcmF0b3J5LCBTY2hvb2wgb2YgS2luZXNpb2xvZ3ksIEZhY3Vs
dHkgb2YgSGVhbHRoIFNjaWVuY2VzLCBEZXBhcnRtZW50IG9mIEFuYXRvbXkgYW5kIENlbGwgQmlv
bG9neSwgU2NodWxpY2ggU2Nob29sIG9mIE1lZGljaW5lICZhbXA7IERlbnRpc3RyeSwgQ2hpbGRy
ZW4mYXBvcztzIEhlYWx0aCBSZXNlYXJjaCBJbnN0aXR1dGUsIFRoZSBVbml2ZXJzaXR5IG9mIFdl
c3Rlcm4gT250YXJpbywgTG9uZG9uLCBPbnRhcmlvLCBDYW5hZGEuJiN4RDtJbmRlcGVuZGVudCBS
ZXNlYXJjaGVyLCBPdHRhd2EsIE9udGFyaW8sIENhbmFkYS4mI3hEO0hlYWx0aHkgQWN0aXZlIExp
dmluZyBhbmQgT2Jlc2l0eSBSZXNlYXJjaCBHcm91cCwgQ2hpbGRyZW4mYXBvcztzIEhvc3BpdGFs
IG9mIEVhc3Rlcm4gT250YXJpbyBSZXNlYXJjaCBJbnN0aXR1dGUsIE90dGF3YSwgT250YXJpbywg
Q2FuYWRhLiYjeEQ7Q2xpbmljYWwgUmVzZWFyY2ggVW5pdCwgQ2hpbGRyZW4mYXBvcztzIEhvc3Bp
dGFsIG9mIEVhc3Rlcm4gT250YXJpbyBSZXNlYXJjaCBJbnN0aXR1dGUsIE90dGF3YSwgT250YXJp
bywgQ2FuYWRhLiYjeEQ7RGVwYXJ0bWVudCBvZiBPYnN0ZXRyaWNzIGFuZCBHeW5lY29sb2d5LCBR
dWVlbiZhcG9zO3MgVW5pdmVyc2l0eSwgS2luZ3N0b24sIE9udGFyaW8sIENhbmFkYS4mI3hEO0Nh
cmRpZmYgU2Nob29sIG9mIFNwb3J0IGFuZCBIZWFsdGggU2NpZW5jZXMsIENhcmRpZmYgTWV0cm9w
b2xpdGFuIFVuaXZlcnNpdHksIENhcmRpZmYsIFVLLiYjeEQ7RGVwYXJ0bWVudCBvZiBBbmF0b215
LCBVbml2ZXJzaXRlIGR1IFF1ZWJlYyBhIFRyb2lzLVJpdmllcmVzLCBUcm9pcy1SaXZpZXJlcywg
UXVlYmVjLCBDYW5hZGEuJiN4RDtKb2huIFcgU2NvdHQgSGVhbHRoIFNjaWVuY2VzIExpYnJhcnks
IFVuaXZlcnNpdHkgb2YgQWxiZXJ0YSwgRWRtb250b24sIEFsYmVydGEsIENhbmFkYS4mI3hEO0Zh
Y3VsdHkgb2YgSGVhbHRoIFNjaWVuY2VzLCBVbml2ZXJzaXR5IG9mIE90dGF3YSwgT3R0YXdhLCBP
bnRhcmlvLCBDYW5hZGEuJiN4RDtGYWN1bHRhZCBkZSBDaWVuY2lhcyBkZSBsYSBBY3RpdmlkYWQg
RmlzaWNhIHkgZGVsIERlcG9ydGUtSU5FRiwgVW5pdmVyc2lkYWQgUG9saXRlY25pY2EgZGUgTWFk
cmlkLCBNYWRyaWQsIFNwYWluLiYjeEQ7RGVwYXJ0bWVudCBvZiBIdW1hbiBLaW5ldGljcywgVW5p
dmVyc2l0ZSBkdSBRdWViZWMgYSBUcm9pcy1SaXZpZXJlcywgVHJvaXMtUml2aWVyZXMsIFF1ZWJl
YywgQ2FuYWRhLjwvYXV0aC1hZGRyZXNzPjx0aXRsZXM+PHRpdGxlPkVmZmVjdHMgb2YgcHJlbmF0
YWwgZXhlcmNpc2Ugb24gaW5jaWRlbmNlIG9mIGNvbmdlbml0YWwgYW5vbWFsaWVzIGFuZCBoeXBl
cnRoZXJtaWE6IGEgc3lzdGVtYXRpYyByZXZpZXcgYW5kIG1ldGEtYW5hbHlzaXM8L3RpdGxlPjxz
ZWNvbmRhcnktdGl0bGU+QnIgSiBTcG9ydHMgTWVkPC9zZWNvbmRhcnktdGl0bGU+PC90aXRsZXM+
PHBlcmlvZGljYWw+PGZ1bGwtdGl0bGU+QnIgSiBTcG9ydHMgTWVkPC9mdWxsLXRpdGxlPjwvcGVy
aW9kaWNhbD48cGFnZXM+MTE2LTEyMzwvcGFnZXM+PHZvbHVtZT41Mzwvdm9sdW1lPjxudW1iZXI+
MjwvbnVtYmVyPjxlZGl0aW9uPjIwMTgvMTAvMjA8L2VkaXRpb24+PGtleXdvcmRzPjxrZXl3b3Jk
PkJvZHkgVGVtcGVyYXR1cmU8L2tleXdvcmQ+PGtleXdvcmQ+Q29uZ2VuaXRhbCBBYm5vcm1hbGl0
aWVzLypldGlvbG9neTwva2V5d29yZD48a2V5d29yZD4qRXhlcmNpc2U8L2tleXdvcmQ+PGtleXdv
cmQ+RmVtYWxlPC9rZXl3b3JkPjxrZXl3b3JkPkZldmVyLypjb21wbGljYXRpb25zPC9rZXl3b3Jk
PjxrZXl3b3JkPkh1bWFuczwva2V5d29yZD48a2V5d29yZD5QcmVnbmFuY3k8L2tleXdvcmQ+PGtl
eXdvcmQ+UmFuZG9taXplZCBDb250cm9sbGVkIFRyaWFscyBhcyBUb3BpYzwva2V5d29yZD48a2V5
d29yZD5leGVyY2lzZTwva2V5d29yZD48a2V5d29yZD53b21lbjwva2V5d29yZD48L2tleXdvcmRz
PjxkYXRlcz48eWVhcj4yMDE5PC95ZWFyPjxwdWItZGF0ZXM+PGRhdGU+SmFuPC9kYXRlPjwvcHVi
LWRhdGVzPjwvZGF0ZXM+PGlzYm4+MTQ3My0wNDgwIChFbGVjdHJvbmljKSYjeEQ7MDMwNi0zNjc0
IChMaW5raW5nKTwvaXNibj48YWNjZXNzaW9uLW51bT4zMDMzNzM0NzwvYWNjZXNzaW9uLW51bT48
dXJscz48cmVsYXRlZC11cmxzPjx1cmw+aHR0cHM6Ly93d3cubmNiaS5ubG0ubmloLmdvdi9wdWJt
ZWQvMzAzMzczNDc8L3VybD48L3JlbGF0ZWQtdXJscz48L3VybHM+PGVsZWN0cm9uaWMtcmVzb3Vy
Y2UtbnVtPjEwLjExMzYvYmpzcG9ydHMtMjAxOC0wOTk2NTM8L2VsZWN0cm9uaWMtcmVzb3VyY2Ut
bnVtPjwvcmVjb3JkPjwvQ2l0ZT48L0VuZE5vdGU+AG==
</w:fldData>
        </w:fldChar>
      </w:r>
      <w:r w:rsidR="002747EA">
        <w:instrText xml:space="preserve"> ADDIN EN.CITE </w:instrText>
      </w:r>
      <w:r w:rsidR="002747EA">
        <w:fldChar w:fldCharType="begin">
          <w:fldData xml:space="preserve">PEVuZE5vdGU+PENpdGU+PEF1dGhvcj5EYXZlbnBvcnQ8L0F1dGhvcj48WWVhcj4yMDE5PC9ZZWFy
PjxSZWNOdW0+MTI3MjwvUmVjTnVtPjxEaXNwbGF5VGV4dD48c3R5bGUgZmFjZT0ic3VwZXJzY3Jp
cHQiIGZvbnQ9IlRyZWJ1Y2hldCBNUyIgc2l6ZT0iOSI+MzA2PC9zdHlsZT48L0Rpc3BsYXlUZXh0
PjxyZWNvcmQ+PHJlYy1udW1iZXI+MTI3MjwvcmVjLW51bWJlcj48Zm9yZWlnbi1rZXlzPjxrZXkg
YXBwPSJFTiIgZGItaWQ9ImV4dmFzcmZ4MmR0cmFvZXNhc3hwMnN6c3hhMmRmNTAyNTkyeCIgdGlt
ZXN0YW1wPSIxNTYyOTg2MjkzIj4xMjcyPC9rZXk+PGtleSBhcHA9IkVOV2ViIiBkYi1pZD0iIj4w
PC9rZXk+PC9mb3JlaWduLWtleXM+PHJlZi10eXBlIG5hbWU9IkpvdXJuYWwgQXJ0aWNsZSI+MTc8
L3JlZi10eXBlPjxjb250cmlidXRvcnM+PGF1dGhvcnM+PGF1dGhvcj5EYXZlbnBvcnQsIE0uIEgu
PC9hdXRob3I+PGF1dGhvcj5Zb28sIEMuPC9hdXRob3I+PGF1dGhvcj5Nb3R0b2xhLCBNLiBGLjwv
YXV0aG9yPjxhdXRob3I+UG9pdHJhcywgVi4gSi48L2F1dGhvcj48YXV0aG9yPkphcmFtaWxsbyBH
YXJjaWEsIEEuPC9hdXRob3I+PGF1dGhvcj5HcmF5LCBDLiBFLjwvYXV0aG9yPjxhdXRob3I+QmFy
cm93bWFuLCBOLjwvYXV0aG9yPjxhdXRob3I+RGF2aWVzLCBHLiBBLjwvYXV0aG9yPjxhdXRob3I+
S2F0aG9sLCBBLjwvYXV0aG9yPjxhdXRob3I+U2tvdywgUi4gSi48L2F1dGhvcj48YXV0aG9yPk1l
YWgsIFYuIEwuPC9hdXRob3I+PGF1dGhvcj5SaXNrZSwgTC48L2F1dGhvcj48YXV0aG9yPlNvYmll
cmFqc2tpLCBGLjwvYXV0aG9yPjxhdXRob3I+SmFtZXMsIE0uPC9hdXRob3I+PGF1dGhvcj5OYWdw
YWwsIFQuIFMuPC9hdXRob3I+PGF1dGhvcj5NYXJjaGFuZCwgQS4gQS48L2F1dGhvcj48YXV0aG9y
PlNsYXRlciwgTC4gRy48L2F1dGhvcj48YXV0aG9yPkFkYW1vLCBLLiBCLjwvYXV0aG9yPjxhdXRo
b3I+QmFyYWthdCwgUi48L2F1dGhvcj48YXV0aG9yPlJ1Y2hhdCwgUy4gTS48L2F1dGhvcj48L2F1
dGhvcnM+PC9jb250cmlidXRvcnM+PGF1dGgtYWRkcmVzcz5Qcm9ncmFtIGZvciBQcmVnbmFuY3kg
YW5kIFBvc3RwYXJ0dW0gSGVhbHRoLCBQaHlzaWNhbCBBY3Rpdml0eSBhbmQgRGlhYmV0ZXMgTGFi
b3JhdG9yeSwgRmFjdWx0eSBvZiBLaW5lc2lvbG9neSwgU3BvcnQsIGFuZCBSZWNyZWF0aW9uLCBX
b21lbiBhbmQgQ2hpbGRyZW4mYXBvcztzIEhlYWx0aCBSZXNlYXJjaCBJbnN0aXR1dGUsIEFsYmVy
dGEgRGlhYmV0ZXMgSW5zdGl0dXRlLCBVbml2ZXJzaXR5IG9mIEFsYmVydGEsIEVkbW9udG9uLCBB
bGJlcnRhLCBDYW5hZGEuJiN4RDtSIFNhbXVlbCBNY0xhdWdobGluIEZvdW5kYXRpb24tRXhlcmNp
c2UgYW5kIFByZWduYW5jeSBMYWJvcmF0b3J5LCBTY2hvb2wgb2YgS2luZXNpb2xvZ3ksIEZhY3Vs
dHkgb2YgSGVhbHRoIFNjaWVuY2VzLCBEZXBhcnRtZW50IG9mIEFuYXRvbXkgYW5kIENlbGwgQmlv
bG9neSwgU2NodWxpY2ggU2Nob29sIG9mIE1lZGljaW5lICZhbXA7IERlbnRpc3RyeSwgQ2hpbGRy
ZW4mYXBvcztzIEhlYWx0aCBSZXNlYXJjaCBJbnN0aXR1dGUsIFRoZSBVbml2ZXJzaXR5IG9mIFdl
c3Rlcm4gT250YXJpbywgTG9uZG9uLCBPbnRhcmlvLCBDYW5hZGEuJiN4RDtJbmRlcGVuZGVudCBS
ZXNlYXJjaGVyLCBPdHRhd2EsIE9udGFyaW8sIENhbmFkYS4mI3hEO0hlYWx0aHkgQWN0aXZlIExp
dmluZyBhbmQgT2Jlc2l0eSBSZXNlYXJjaCBHcm91cCwgQ2hpbGRyZW4mYXBvcztzIEhvc3BpdGFs
IG9mIEVhc3Rlcm4gT250YXJpbyBSZXNlYXJjaCBJbnN0aXR1dGUsIE90dGF3YSwgT250YXJpbywg
Q2FuYWRhLiYjeEQ7Q2xpbmljYWwgUmVzZWFyY2ggVW5pdCwgQ2hpbGRyZW4mYXBvcztzIEhvc3Bp
dGFsIG9mIEVhc3Rlcm4gT250YXJpbyBSZXNlYXJjaCBJbnN0aXR1dGUsIE90dGF3YSwgT250YXJp
bywgQ2FuYWRhLiYjeEQ7RGVwYXJ0bWVudCBvZiBPYnN0ZXRyaWNzIGFuZCBHeW5lY29sb2d5LCBR
dWVlbiZhcG9zO3MgVW5pdmVyc2l0eSwgS2luZ3N0b24sIE9udGFyaW8sIENhbmFkYS4mI3hEO0Nh
cmRpZmYgU2Nob29sIG9mIFNwb3J0IGFuZCBIZWFsdGggU2NpZW5jZXMsIENhcmRpZmYgTWV0cm9w
b2xpdGFuIFVuaXZlcnNpdHksIENhcmRpZmYsIFVLLiYjeEQ7RGVwYXJ0bWVudCBvZiBBbmF0b215
LCBVbml2ZXJzaXRlIGR1IFF1ZWJlYyBhIFRyb2lzLVJpdmllcmVzLCBUcm9pcy1SaXZpZXJlcywg
UXVlYmVjLCBDYW5hZGEuJiN4RDtKb2huIFcgU2NvdHQgSGVhbHRoIFNjaWVuY2VzIExpYnJhcnks
IFVuaXZlcnNpdHkgb2YgQWxiZXJ0YSwgRWRtb250b24sIEFsYmVydGEsIENhbmFkYS4mI3hEO0Zh
Y3VsdHkgb2YgSGVhbHRoIFNjaWVuY2VzLCBVbml2ZXJzaXR5IG9mIE90dGF3YSwgT3R0YXdhLCBP
bnRhcmlvLCBDYW5hZGEuJiN4RDtGYWN1bHRhZCBkZSBDaWVuY2lhcyBkZSBsYSBBY3RpdmlkYWQg
RmlzaWNhIHkgZGVsIERlcG9ydGUtSU5FRiwgVW5pdmVyc2lkYWQgUG9saXRlY25pY2EgZGUgTWFk
cmlkLCBNYWRyaWQsIFNwYWluLiYjeEQ7RGVwYXJ0bWVudCBvZiBIdW1hbiBLaW5ldGljcywgVW5p
dmVyc2l0ZSBkdSBRdWViZWMgYSBUcm9pcy1SaXZpZXJlcywgVHJvaXMtUml2aWVyZXMsIFF1ZWJl
YywgQ2FuYWRhLjwvYXV0aC1hZGRyZXNzPjx0aXRsZXM+PHRpdGxlPkVmZmVjdHMgb2YgcHJlbmF0
YWwgZXhlcmNpc2Ugb24gaW5jaWRlbmNlIG9mIGNvbmdlbml0YWwgYW5vbWFsaWVzIGFuZCBoeXBl
cnRoZXJtaWE6IGEgc3lzdGVtYXRpYyByZXZpZXcgYW5kIG1ldGEtYW5hbHlzaXM8L3RpdGxlPjxz
ZWNvbmRhcnktdGl0bGU+QnIgSiBTcG9ydHMgTWVkPC9zZWNvbmRhcnktdGl0bGU+PC90aXRsZXM+
PHBlcmlvZGljYWw+PGZ1bGwtdGl0bGU+QnIgSiBTcG9ydHMgTWVkPC9mdWxsLXRpdGxlPjwvcGVy
aW9kaWNhbD48cGFnZXM+MTE2LTEyMzwvcGFnZXM+PHZvbHVtZT41Mzwvdm9sdW1lPjxudW1iZXI+
MjwvbnVtYmVyPjxlZGl0aW9uPjIwMTgvMTAvMjA8L2VkaXRpb24+PGtleXdvcmRzPjxrZXl3b3Jk
PkJvZHkgVGVtcGVyYXR1cmU8L2tleXdvcmQ+PGtleXdvcmQ+Q29uZ2VuaXRhbCBBYm5vcm1hbGl0
aWVzLypldGlvbG9neTwva2V5d29yZD48a2V5d29yZD4qRXhlcmNpc2U8L2tleXdvcmQ+PGtleXdv
cmQ+RmVtYWxlPC9rZXl3b3JkPjxrZXl3b3JkPkZldmVyLypjb21wbGljYXRpb25zPC9rZXl3b3Jk
PjxrZXl3b3JkPkh1bWFuczwva2V5d29yZD48a2V5d29yZD5QcmVnbmFuY3k8L2tleXdvcmQ+PGtl
eXdvcmQ+UmFuZG9taXplZCBDb250cm9sbGVkIFRyaWFscyBhcyBUb3BpYzwva2V5d29yZD48a2V5
d29yZD5leGVyY2lzZTwva2V5d29yZD48a2V5d29yZD53b21lbjwva2V5d29yZD48L2tleXdvcmRz
PjxkYXRlcz48eWVhcj4yMDE5PC95ZWFyPjxwdWItZGF0ZXM+PGRhdGU+SmFuPC9kYXRlPjwvcHVi
LWRhdGVzPjwvZGF0ZXM+PGlzYm4+MTQ3My0wNDgwIChFbGVjdHJvbmljKSYjeEQ7MDMwNi0zNjc0
IChMaW5raW5nKTwvaXNibj48YWNjZXNzaW9uLW51bT4zMDMzNzM0NzwvYWNjZXNzaW9uLW51bT48
dXJscz48cmVsYXRlZC11cmxzPjx1cmw+aHR0cHM6Ly93d3cubmNiaS5ubG0ubmloLmdvdi9wdWJt
ZWQvMzAzMzczNDc8L3VybD48L3JlbGF0ZWQtdXJscz48L3VybHM+PGVsZWN0cm9uaWMtcmVzb3Vy
Y2UtbnVtPjEwLjExMzYvYmpzcG9ydHMtMjAxOC0wOTk2NTM8L2VsZWN0cm9uaWMtcmVzb3VyY2Ut
bnVtPjwvcmVjb3JkPjwvQ2l0ZT48L0VuZE5vdGU+AG==
</w:fldData>
        </w:fldChar>
      </w:r>
      <w:r w:rsidR="002747EA">
        <w:instrText xml:space="preserve"> ADDIN EN.CITE.DATA </w:instrText>
      </w:r>
      <w:r w:rsidR="002747EA">
        <w:fldChar w:fldCharType="end"/>
      </w:r>
      <w:r w:rsidR="00E51743">
        <w:fldChar w:fldCharType="separate"/>
      </w:r>
      <w:r w:rsidR="002747EA" w:rsidRPr="002747EA">
        <w:rPr>
          <w:noProof/>
          <w:vertAlign w:val="superscript"/>
        </w:rPr>
        <w:t>306</w:t>
      </w:r>
      <w:r w:rsidR="00E51743">
        <w:fldChar w:fldCharType="end"/>
      </w:r>
      <w:r>
        <w:t xml:space="preserve"> found that</w:t>
      </w:r>
      <w:r w:rsidRPr="00D86DBF">
        <w:t xml:space="preserve"> exercise did not increase the odds of congenital</w:t>
      </w:r>
      <w:r>
        <w:t xml:space="preserve"> </w:t>
      </w:r>
      <w:r w:rsidRPr="00D86DBF">
        <w:t>anomalie</w:t>
      </w:r>
      <w:r>
        <w:t>s (</w:t>
      </w:r>
      <w:r w:rsidRPr="00D374A5">
        <w:rPr>
          <w:sz w:val="16"/>
          <w:szCs w:val="16"/>
        </w:rPr>
        <w:t xml:space="preserve">OR 1.23, 95%CI 0.77 to 1.95; 14 studies; n=78,735; very low </w:t>
      </w:r>
      <w:r w:rsidR="00343BBE">
        <w:rPr>
          <w:sz w:val="16"/>
          <w:szCs w:val="16"/>
        </w:rPr>
        <w:t>certainty</w:t>
      </w:r>
      <w:r>
        <w:t>).</w:t>
      </w:r>
    </w:p>
    <w:p w14:paraId="16E99D4E" w14:textId="332D9246" w:rsidR="00921608" w:rsidRDefault="000F0880" w:rsidP="003E3405">
      <w:pPr>
        <w:pStyle w:val="Heading4"/>
      </w:pPr>
      <w:r>
        <w:t>Birth weight</w:t>
      </w:r>
    </w:p>
    <w:p w14:paraId="3CAECAD4" w14:textId="44BFA6A8" w:rsidR="000F0880" w:rsidRPr="000F0880" w:rsidRDefault="00DD18D5" w:rsidP="002F6002">
      <w:r>
        <w:t xml:space="preserve">Two cohort studies reported on the association between regular exercise during pregnancy and </w:t>
      </w:r>
      <w:r w:rsidR="00C1310A">
        <w:t>fetal growth</w:t>
      </w:r>
      <w:r>
        <w:t>. A large Norwegian study (</w:t>
      </w:r>
      <w:r w:rsidRPr="00AC1FF1">
        <w:rPr>
          <w:sz w:val="16"/>
          <w:szCs w:val="16"/>
        </w:rPr>
        <w:t>n=36,896</w:t>
      </w:r>
      <w:r>
        <w:t>)</w:t>
      </w:r>
      <w:r w:rsidR="00E51743">
        <w:fldChar w:fldCharType="begin"/>
      </w:r>
      <w:r w:rsidR="002747EA">
        <w:instrText xml:space="preserve"> ADDIN EN.CITE &lt;EndNote&gt;&lt;Cite&gt;&lt;Author&gt;Owe&lt;/Author&gt;&lt;Year&gt;2009&lt;/Year&gt;&lt;RecNum&gt;815&lt;/RecNum&gt;&lt;DisplayText&gt;&lt;style face="superscript" font="Trebuchet MS" size="9"&gt;307&lt;/style&gt;&lt;/DisplayText&gt;&lt;record&gt;&lt;rec-number&gt;815&lt;/rec-number&gt;&lt;foreign-keys&gt;&lt;key app="EN" db-id="exvasrfx2dtraoesasxp2szsxa2df502592x" timestamp="1541540495"&gt;815&lt;/key&gt;&lt;key app="ENWeb" db-id=""&gt;0&lt;/key&gt;&lt;/foreign-keys&gt;&lt;ref-type name="Journal Article"&gt;17&lt;/ref-type&gt;&lt;contributors&gt;&lt;authors&gt;&lt;author&gt;Owe, Katrine Mari&lt;/author&gt;&lt;author&gt;Nystad, Wenche&lt;/author&gt;&lt;author&gt;Bø, Kari&lt;/author&gt;&lt;/authors&gt;&lt;/contributors&gt;&lt;titles&gt;&lt;title&gt;Association Between Regular Exercise and Excessive Newborn Birth Weight&lt;/title&gt;&lt;secondary-title&gt;Obstetrics &amp;amp; Gynecology&lt;/secondary-title&gt;&lt;/titles&gt;&lt;periodical&gt;&lt;full-title&gt;Obstetrics &amp;amp; Gynecology&lt;/full-title&gt;&lt;/periodical&gt;&lt;pages&gt;770-776&lt;/pages&gt;&lt;volume&gt;114&lt;/volume&gt;&lt;number&gt;4&lt;/number&gt;&lt;section&gt;770&lt;/section&gt;&lt;dates&gt;&lt;year&gt;2009&lt;/year&gt;&lt;/dates&gt;&lt;isbn&gt;0029-7844&lt;/isbn&gt;&lt;urls&gt;&lt;/urls&gt;&lt;electronic-resource-num&gt;10.1097/AOG.0b013e3181b6c105&lt;/electronic-resource-num&gt;&lt;/record&gt;&lt;/Cite&gt;&lt;/EndNote&gt;</w:instrText>
      </w:r>
      <w:r w:rsidR="00E51743">
        <w:fldChar w:fldCharType="separate"/>
      </w:r>
      <w:r w:rsidR="002747EA" w:rsidRPr="002747EA">
        <w:rPr>
          <w:noProof/>
          <w:vertAlign w:val="superscript"/>
        </w:rPr>
        <w:t>307</w:t>
      </w:r>
      <w:r w:rsidR="00E51743">
        <w:fldChar w:fldCharType="end"/>
      </w:r>
      <w:r>
        <w:t xml:space="preserve"> found that exercising more than 3 times a week reduced the risk of macrosomia among nulliparous women (</w:t>
      </w:r>
      <w:r w:rsidRPr="00AC1FF1">
        <w:rPr>
          <w:sz w:val="16"/>
          <w:szCs w:val="16"/>
        </w:rPr>
        <w:t>aOR 0.77; 95%CI 0.61 to 0.96</w:t>
      </w:r>
      <w:r>
        <w:t>). A smaller study in the United States (</w:t>
      </w:r>
      <w:r w:rsidRPr="00AC1FF1">
        <w:rPr>
          <w:sz w:val="16"/>
          <w:szCs w:val="16"/>
        </w:rPr>
        <w:t>n=2,245</w:t>
      </w:r>
      <w:r>
        <w:t>)</w:t>
      </w:r>
      <w:r w:rsidR="00E51743">
        <w:fldChar w:fldCharType="begin"/>
      </w:r>
      <w:r w:rsidR="002747EA">
        <w:instrText xml:space="preserve"> ADDIN EN.CITE &lt;EndNote&gt;&lt;Cite&gt;&lt;Author&gt;Leiferman&lt;/Author&gt;&lt;Year&gt;2003&lt;/Year&gt;&lt;RecNum&gt;1271&lt;/RecNum&gt;&lt;DisplayText&gt;&lt;style face="superscript" font="Trebuchet MS" size="9"&gt;308&lt;/style&gt;&lt;/DisplayText&gt;&lt;record&gt;&lt;rec-number&gt;1271&lt;/rec-number&gt;&lt;foreign-keys&gt;&lt;key app="EN" db-id="exvasrfx2dtraoesasxp2szsxa2df502592x" timestamp="1562982773"&gt;1271&lt;/key&gt;&lt;/foreign-keys&gt;&lt;ref-type name="Journal Article"&gt;17&lt;/ref-type&gt;&lt;contributors&gt;&lt;authors&gt;&lt;author&gt;Leiferman, J. A.&lt;/author&gt;&lt;author&gt;Evenson, K. R.&lt;/author&gt;&lt;/authors&gt;&lt;/contributors&gt;&lt;auth-address&gt;Department of Human Nutrition, Foods, and Exercise, Virginia Tech University, Blacksburg, Virginia 24061, USA. jleif@vt.edu&lt;/auth-address&gt;&lt;titles&gt;&lt;title&gt;The effect of regular leisure physical activity on birth outcomes&lt;/title&gt;&lt;secondary-title&gt;Matern Child Health J&lt;/secondary-title&gt;&lt;/titles&gt;&lt;periodical&gt;&lt;full-title&gt;Matern Child Health J&lt;/full-title&gt;&lt;/periodical&gt;&lt;pages&gt;59-64&lt;/pages&gt;&lt;volume&gt;7&lt;/volume&gt;&lt;number&gt;1&lt;/number&gt;&lt;edition&gt;2003/04/25&lt;/edition&gt;&lt;keywords&gt;&lt;keyword&gt;Adolescent&lt;/keyword&gt;&lt;keyword&gt;Adult&lt;/keyword&gt;&lt;keyword&gt;Data Collection&lt;/keyword&gt;&lt;keyword&gt;*Exercise&lt;/keyword&gt;&lt;keyword&gt;Female&lt;/keyword&gt;&lt;keyword&gt;Gestational Age&lt;/keyword&gt;&lt;keyword&gt;*Health Behavior&lt;/keyword&gt;&lt;keyword&gt;Humans&lt;/keyword&gt;&lt;keyword&gt;*Infant, Low Birth Weight&lt;/keyword&gt;&lt;keyword&gt;Infant, Newborn&lt;/keyword&gt;&lt;keyword&gt;*Leisure Activities&lt;/keyword&gt;&lt;keyword&gt;Obstetric Labor, Premature/epidemiology&lt;/keyword&gt;&lt;keyword&gt;Odds Ratio&lt;/keyword&gt;&lt;keyword&gt;Pregnancy&lt;/keyword&gt;&lt;keyword&gt;Pregnancy Outcome/*epidemiology&lt;/keyword&gt;&lt;keyword&gt;Pregnant Women/*psychology&lt;/keyword&gt;&lt;keyword&gt;Regression Analysis&lt;/keyword&gt;&lt;keyword&gt;Sampling Studies&lt;/keyword&gt;&lt;keyword&gt;Socioeconomic Factors&lt;/keyword&gt;&lt;keyword&gt;United States/epidemiology&lt;/keyword&gt;&lt;/keywords&gt;&lt;dates&gt;&lt;year&gt;2003&lt;/year&gt;&lt;pub-dates&gt;&lt;date&gt;Mar&lt;/date&gt;&lt;/pub-dates&gt;&lt;/dates&gt;&lt;isbn&gt;1092-7875 (Print)&amp;#xD;1092-7875 (Linking)&lt;/isbn&gt;&lt;accession-num&gt;12710801&lt;/accession-num&gt;&lt;urls&gt;&lt;related-urls&gt;&lt;url&gt;https://www.ncbi.nlm.nih.gov/pubmed/12710801&lt;/url&gt;&lt;/related-urls&gt;&lt;/urls&gt;&lt;/record&gt;&lt;/Cite&gt;&lt;/EndNote&gt;</w:instrText>
      </w:r>
      <w:r w:rsidR="00E51743">
        <w:fldChar w:fldCharType="separate"/>
      </w:r>
      <w:r w:rsidR="002747EA" w:rsidRPr="002747EA">
        <w:rPr>
          <w:noProof/>
          <w:vertAlign w:val="superscript"/>
        </w:rPr>
        <w:t>308</w:t>
      </w:r>
      <w:r w:rsidR="00E51743">
        <w:fldChar w:fldCharType="end"/>
      </w:r>
      <w:r>
        <w:t xml:space="preserve"> found that </w:t>
      </w:r>
      <w:r w:rsidR="00AC1FF1">
        <w:t>compared to women who exercised both before and during pregnancy, women who exercised before but not during pregnancy had an increased risk of low birth weight (1,500 to 2,499 g) (</w:t>
      </w:r>
      <w:r w:rsidR="00AC1FF1" w:rsidRPr="00AC1FF1">
        <w:rPr>
          <w:sz w:val="16"/>
          <w:szCs w:val="16"/>
        </w:rPr>
        <w:t>OR 1.28; 95%CI 1.05 to 1.56</w:t>
      </w:r>
      <w:r w:rsidR="00AC1FF1">
        <w:t>) and very low birth weight (&lt;1,500 g) (</w:t>
      </w:r>
      <w:r w:rsidR="00AC1FF1" w:rsidRPr="00AC1FF1">
        <w:rPr>
          <w:sz w:val="16"/>
          <w:szCs w:val="16"/>
        </w:rPr>
        <w:t>OR 2.05; 95%CI 1.69 to 2.48</w:t>
      </w:r>
      <w:r w:rsidR="00AC1FF1">
        <w:t>) and women who did not exercise before or during pregnancy had an increased risk of very low birth weight (</w:t>
      </w:r>
      <w:r w:rsidR="00AC1FF1" w:rsidRPr="00AC1FF1">
        <w:rPr>
          <w:sz w:val="16"/>
          <w:szCs w:val="16"/>
        </w:rPr>
        <w:t>OR 1.75; 95%CI 1.50 to 2.04</w:t>
      </w:r>
      <w:r w:rsidR="00AC1FF1">
        <w:t>).</w:t>
      </w:r>
    </w:p>
    <w:p w14:paraId="273D7EEF" w14:textId="5E4308A5" w:rsidR="008E1439" w:rsidRDefault="003E3405" w:rsidP="003E3405">
      <w:pPr>
        <w:pStyle w:val="Heading4"/>
      </w:pPr>
      <w:r>
        <w:t>Childhood weight</w:t>
      </w:r>
    </w:p>
    <w:p w14:paraId="241CC5BB" w14:textId="67AE2BCC" w:rsidR="00904C09" w:rsidRPr="00904C09" w:rsidRDefault="00345E7C" w:rsidP="00904C09">
      <w:r>
        <w:t>A small cohort study (</w:t>
      </w:r>
      <w:r w:rsidRPr="00A912D4">
        <w:rPr>
          <w:sz w:val="16"/>
          <w:szCs w:val="16"/>
        </w:rPr>
        <w:t>n=802</w:t>
      </w:r>
      <w:r>
        <w:t>)</w:t>
      </w:r>
      <w:r w:rsidR="00E51743">
        <w:fldChar w:fldCharType="begin">
          <w:fldData xml:space="preserve">PEVuZE5vdGU+PENpdGU+PEF1dGhvcj5Lb25nPC9BdXRob3I+PFllYXI+MjAxNjwvWWVhcj48UmVj
TnVtPjg4NjwvUmVjTnVtPjxEaXNwbGF5VGV4dD48c3R5bGUgZmFjZT0ic3VwZXJzY3JpcHQiIGZv
bnQ9IlRyZWJ1Y2hldCBNUyIgc2l6ZT0iOSI+MzA5PC9zdHlsZT48L0Rpc3BsYXlUZXh0PjxyZWNv
cmQ+PHJlYy1udW1iZXI+ODg2PC9yZWMtbnVtYmVyPjxmb3JlaWduLWtleXM+PGtleSBhcHA9IkVO
IiBkYi1pZD0iZXh2YXNyZngyZHRyYW9lc2FzeHAyc3pzeGEyZGY1MDI1OTJ4IiB0aW1lc3RhbXA9
IjE1NDE1NDA3NzkiPjg4Njwva2V5PjxrZXkgYXBwPSJFTldlYiIgZGItaWQ9IiI+MDwva2V5Pjwv
Zm9yZWlnbi1rZXlzPjxyZWYtdHlwZSBuYW1lPSJKb3VybmFsIEFydGljbGUiPjE3PC9yZWYtdHlw
ZT48Y29udHJpYnV0b3JzPjxhdXRob3JzPjxhdXRob3I+S29uZywgSy4gTC48L2F1dGhvcj48YXV0
aG9yPkdpbGxtYW4sIE0uIFcuPC9hdXRob3I+PGF1dGhvcj5SaWZhcy1TaGltYW4sIFMuIEwuPC9h
dXRob3I+PGF1dGhvcj5XZW4sIFguPC9hdXRob3I+PC9hdXRob3JzPjwvY29udHJpYnV0b3JzPjxh
dXRoLWFkZHJlc3M+RGl2aXNpb24gb2YgQmVoYXZpb3JhbCBNZWRpY2luZSwgRGVwYXJ0bWVudCBv
ZiBQZWRpYXRyaWNzLCBTY2hvb2wgb2YgTWVkaWNpbmUgYW5kIEJpb21lZGljYWwgU2NpZW5jZXMs
IFN0YXRlIFVuaXZlcnNpdHkgb2YgTmV3IFlvcmsgYXQgQnVmZmFsbywgQnVmZmFsbywgTlksIFVT
QS4mI3hEO09iZXNpdHkgUHJldmVudGlvbiBQcm9ncmFtLCBEZXBhcnRtZW50IG9mIFBvcHVsYXRp
b24gTWVkaWNpbmUsIEhhcnZhcmQgTWVkaWNhbCBTY2hvb2wgYW5kIEhhcnZhcmQgUGlsZ3JpbSBI
ZWFsdGggQ2FyZSBJbnN0aXR1dGUsIEJvc3RvbiwgTUEsIFVTQS4mI3hEO0RlcGFydG1lbnQgb2Yg
TnV0cml0aW9uLCBIYXJ2YXJkIFNjaG9vbCBvZiBQdWJsaWMgSGVhbHRoLCBCb3N0b24sIE1BLCBV
U0EuPC9hdXRoLWFkZHJlc3M+PHRpdGxlcz48dGl0bGU+TGVpc3VyZSB0aW1lIHBoeXNpY2FsIGFj
dGl2aXR5IGJlZm9yZSBhbmQgZHVyaW5nIG1pZC1wcmVnbmFuY3kgYW5kIG9mZnNwcmluZyBhZGlw
b3NpdHkgaW4gbWlkLWNoaWxkaG9vZDwvdGl0bGU+PHNlY29uZGFyeS10aXRsZT5QZWRpYXRyIE9i
ZXM8L3NlY29uZGFyeS10aXRsZT48L3RpdGxlcz48cGVyaW9kaWNhbD48ZnVsbC10aXRsZT5QZWRp
YXRyIE9iZXM8L2Z1bGwtdGl0bGU+PC9wZXJpb2RpY2FsPjxwYWdlcz44MS03PC9wYWdlcz48dm9s
dW1lPjExPC92b2x1bWU+PG51bWJlcj4yPC9udW1iZXI+PGVkaXRpb24+MjAxNS8wNC8xMDwvZWRp
dGlvbj48a2V5d29yZHM+PGtleXdvcmQ+QWJzb3JwdGlvbWV0cnksIFBob3Rvbjwva2V5d29yZD48
a2V5d29yZD5BZGlwb3NpdHkvKnBoeXNpb2xvZ3k8L2tleXdvcmQ+PGtleXdvcmQ+QWR1bHQ8L2tl
eXdvcmQ+PGtleXdvcmQ+Qm9keSBNYXNzIEluZGV4PC9rZXl3b3JkPjxrZXl3b3JkPkNoaWxkPC9r
ZXl3b3JkPjxrZXl3b3JkPkNoaWxkIE51dHJpdGlvbmFsIFBoeXNpb2xvZ2ljYWwgUGhlbm9tZW5h
PC9rZXl3b3JkPjxrZXl3b3JkPkZlbWFsZTwva2V5d29yZD48a2V5d29yZD5IdW1hbnM8L2tleXdv
cmQ+PGtleXdvcmQ+KkxlaXN1cmUgQWN0aXZpdGllczwva2V5d29yZD48a2V5d29yZD5NYWxlPC9r
ZXl3b3JkPjxrZXl3b3JkPk1vdGhlcnM8L2tleXdvcmQ+PGtleXdvcmQ+Kk1vdG9yIEFjdGl2aXR5
PC9rZXl3b3JkPjxrZXl3b3JkPlBlZGlhdHJpYyBPYmVzaXR5LypwcmV2ZW50aW9uICZhbXA7IGNv
bnRyb2w8L2tleXdvcmQ+PGtleXdvcmQ+UHJlZ25hbmN5PC9rZXl3b3JkPjxrZXl3b3JkPlByZWdu
YW5jeSBUcmltZXN0ZXIsIFNlY29uZDwva2V5d29yZD48a2V5d29yZD5Qcm9zcGVjdGl2ZSBTdHVk
aWVzPC9rZXl3b3JkPjxrZXl3b3JkPmFkaXBvc2l0eTwva2V5d29yZD48a2V5d29yZD5jaGlsZGhv
b2Qgb2Jlc2l0eTwva2V5d29yZD48a2V5d29yZD5nZXN0YXRpb248L2tleXdvcmQ+PGtleXdvcmQ+
bGVpc3VyZSB0aW1lIHBoeXNpY2FsIGFjdGl2aXR5PC9rZXl3b3JkPjwva2V5d29yZHM+PGRhdGVz
Pjx5ZWFyPjIwMTY8L3llYXI+PHB1Yi1kYXRlcz48ZGF0ZT5BcHI8L2RhdGU+PC9wdWItZGF0ZXM+
PC9kYXRlcz48aXNibj4yMDQ3LTYzMTAgKEVsZWN0cm9uaWMpJiN4RDsyMDQ3LTYzMDIgKExpbmtp
bmcpPC9pc2JuPjxhY2Nlc3Npb24tbnVtPjI1ODU0Nzg1PC9hY2Nlc3Npb24tbnVtPjx1cmxzPjxy
ZWxhdGVkLXVybHM+PHVybD5odHRwczovL3d3dy5uY2JpLm5sbS5uaWguZ292L3B1Ym1lZC8yNTg1
NDc4NTwvdXJsPjwvcmVsYXRlZC11cmxzPjwvdXJscz48Y3VzdG9tMj5QTUM0Njk1MzE0PC9jdXN0
b20yPjxlbGVjdHJvbmljLXJlc291cmNlLW51bT4xMC4xMTExL2lqcG8uMTIwMjQ8L2VsZWN0cm9u
aWMtcmVzb3VyY2UtbnVtPjwvcmVjb3JkPjwvQ2l0ZT48L0VuZE5vdGU+
</w:fldData>
        </w:fldChar>
      </w:r>
      <w:r w:rsidR="002747EA">
        <w:instrText xml:space="preserve"> ADDIN EN.CITE </w:instrText>
      </w:r>
      <w:r w:rsidR="002747EA">
        <w:fldChar w:fldCharType="begin">
          <w:fldData xml:space="preserve">PEVuZE5vdGU+PENpdGU+PEF1dGhvcj5Lb25nPC9BdXRob3I+PFllYXI+MjAxNjwvWWVhcj48UmVj
TnVtPjg4NjwvUmVjTnVtPjxEaXNwbGF5VGV4dD48c3R5bGUgZmFjZT0ic3VwZXJzY3JpcHQiIGZv
bnQ9IlRyZWJ1Y2hldCBNUyIgc2l6ZT0iOSI+MzA5PC9zdHlsZT48L0Rpc3BsYXlUZXh0PjxyZWNv
cmQ+PHJlYy1udW1iZXI+ODg2PC9yZWMtbnVtYmVyPjxmb3JlaWduLWtleXM+PGtleSBhcHA9IkVO
IiBkYi1pZD0iZXh2YXNyZngyZHRyYW9lc2FzeHAyc3pzeGEyZGY1MDI1OTJ4IiB0aW1lc3RhbXA9
IjE1NDE1NDA3NzkiPjg4Njwva2V5PjxrZXkgYXBwPSJFTldlYiIgZGItaWQ9IiI+MDwva2V5Pjwv
Zm9yZWlnbi1rZXlzPjxyZWYtdHlwZSBuYW1lPSJKb3VybmFsIEFydGljbGUiPjE3PC9yZWYtdHlw
ZT48Y29udHJpYnV0b3JzPjxhdXRob3JzPjxhdXRob3I+S29uZywgSy4gTC48L2F1dGhvcj48YXV0
aG9yPkdpbGxtYW4sIE0uIFcuPC9hdXRob3I+PGF1dGhvcj5SaWZhcy1TaGltYW4sIFMuIEwuPC9h
dXRob3I+PGF1dGhvcj5XZW4sIFguPC9hdXRob3I+PC9hdXRob3JzPjwvY29udHJpYnV0b3JzPjxh
dXRoLWFkZHJlc3M+RGl2aXNpb24gb2YgQmVoYXZpb3JhbCBNZWRpY2luZSwgRGVwYXJ0bWVudCBv
ZiBQZWRpYXRyaWNzLCBTY2hvb2wgb2YgTWVkaWNpbmUgYW5kIEJpb21lZGljYWwgU2NpZW5jZXMs
IFN0YXRlIFVuaXZlcnNpdHkgb2YgTmV3IFlvcmsgYXQgQnVmZmFsbywgQnVmZmFsbywgTlksIFVT
QS4mI3hEO09iZXNpdHkgUHJldmVudGlvbiBQcm9ncmFtLCBEZXBhcnRtZW50IG9mIFBvcHVsYXRp
b24gTWVkaWNpbmUsIEhhcnZhcmQgTWVkaWNhbCBTY2hvb2wgYW5kIEhhcnZhcmQgUGlsZ3JpbSBI
ZWFsdGggQ2FyZSBJbnN0aXR1dGUsIEJvc3RvbiwgTUEsIFVTQS4mI3hEO0RlcGFydG1lbnQgb2Yg
TnV0cml0aW9uLCBIYXJ2YXJkIFNjaG9vbCBvZiBQdWJsaWMgSGVhbHRoLCBCb3N0b24sIE1BLCBV
U0EuPC9hdXRoLWFkZHJlc3M+PHRpdGxlcz48dGl0bGU+TGVpc3VyZSB0aW1lIHBoeXNpY2FsIGFj
dGl2aXR5IGJlZm9yZSBhbmQgZHVyaW5nIG1pZC1wcmVnbmFuY3kgYW5kIG9mZnNwcmluZyBhZGlw
b3NpdHkgaW4gbWlkLWNoaWxkaG9vZDwvdGl0bGU+PHNlY29uZGFyeS10aXRsZT5QZWRpYXRyIE9i
ZXM8L3NlY29uZGFyeS10aXRsZT48L3RpdGxlcz48cGVyaW9kaWNhbD48ZnVsbC10aXRsZT5QZWRp
YXRyIE9iZXM8L2Z1bGwtdGl0bGU+PC9wZXJpb2RpY2FsPjxwYWdlcz44MS03PC9wYWdlcz48dm9s
dW1lPjExPC92b2x1bWU+PG51bWJlcj4yPC9udW1iZXI+PGVkaXRpb24+MjAxNS8wNC8xMDwvZWRp
dGlvbj48a2V5d29yZHM+PGtleXdvcmQ+QWJzb3JwdGlvbWV0cnksIFBob3Rvbjwva2V5d29yZD48
a2V5d29yZD5BZGlwb3NpdHkvKnBoeXNpb2xvZ3k8L2tleXdvcmQ+PGtleXdvcmQ+QWR1bHQ8L2tl
eXdvcmQ+PGtleXdvcmQ+Qm9keSBNYXNzIEluZGV4PC9rZXl3b3JkPjxrZXl3b3JkPkNoaWxkPC9r
ZXl3b3JkPjxrZXl3b3JkPkNoaWxkIE51dHJpdGlvbmFsIFBoeXNpb2xvZ2ljYWwgUGhlbm9tZW5h
PC9rZXl3b3JkPjxrZXl3b3JkPkZlbWFsZTwva2V5d29yZD48a2V5d29yZD5IdW1hbnM8L2tleXdv
cmQ+PGtleXdvcmQ+KkxlaXN1cmUgQWN0aXZpdGllczwva2V5d29yZD48a2V5d29yZD5NYWxlPC9r
ZXl3b3JkPjxrZXl3b3JkPk1vdGhlcnM8L2tleXdvcmQ+PGtleXdvcmQ+Kk1vdG9yIEFjdGl2aXR5
PC9rZXl3b3JkPjxrZXl3b3JkPlBlZGlhdHJpYyBPYmVzaXR5LypwcmV2ZW50aW9uICZhbXA7IGNv
bnRyb2w8L2tleXdvcmQ+PGtleXdvcmQ+UHJlZ25hbmN5PC9rZXl3b3JkPjxrZXl3b3JkPlByZWdu
YW5jeSBUcmltZXN0ZXIsIFNlY29uZDwva2V5d29yZD48a2V5d29yZD5Qcm9zcGVjdGl2ZSBTdHVk
aWVzPC9rZXl3b3JkPjxrZXl3b3JkPmFkaXBvc2l0eTwva2V5d29yZD48a2V5d29yZD5jaGlsZGhv
b2Qgb2Jlc2l0eTwva2V5d29yZD48a2V5d29yZD5nZXN0YXRpb248L2tleXdvcmQ+PGtleXdvcmQ+
bGVpc3VyZSB0aW1lIHBoeXNpY2FsIGFjdGl2aXR5PC9rZXl3b3JkPjwva2V5d29yZHM+PGRhdGVz
Pjx5ZWFyPjIwMTY8L3llYXI+PHB1Yi1kYXRlcz48ZGF0ZT5BcHI8L2RhdGU+PC9wdWItZGF0ZXM+
PC9kYXRlcz48aXNibj4yMDQ3LTYzMTAgKEVsZWN0cm9uaWMpJiN4RDsyMDQ3LTYzMDIgKExpbmtp
bmcpPC9pc2JuPjxhY2Nlc3Npb24tbnVtPjI1ODU0Nzg1PC9hY2Nlc3Npb24tbnVtPjx1cmxzPjxy
ZWxhdGVkLXVybHM+PHVybD5odHRwczovL3d3dy5uY2JpLm5sbS5uaWguZ292L3B1Ym1lZC8yNTg1
NDc4NTwvdXJsPjwvcmVsYXRlZC11cmxzPjwvdXJscz48Y3VzdG9tMj5QTUM0Njk1MzE0PC9jdXN0
b20yPjxlbGVjdHJvbmljLXJlc291cmNlLW51bT4xMC4xMTExL2lqcG8uMTIwMjQ8L2VsZWN0cm9u
aWMtcmVzb3VyY2UtbnVtPjwvcmVjb3JkPjwvQ2l0ZT48L0VuZE5vdGU+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309</w:t>
      </w:r>
      <w:r w:rsidR="00E51743">
        <w:fldChar w:fldCharType="end"/>
      </w:r>
      <w:r>
        <w:t xml:space="preserve"> found no association between maternal </w:t>
      </w:r>
      <w:r w:rsidR="00836F65">
        <w:t>leisure time physical activity and childhood adiposity.</w:t>
      </w:r>
    </w:p>
    <w:p w14:paraId="0E489202" w14:textId="08D620BC" w:rsidR="003E3405" w:rsidRDefault="003E3405" w:rsidP="003E3405">
      <w:pPr>
        <w:pStyle w:val="Heading4"/>
      </w:pPr>
      <w:r>
        <w:t>Child neurodevelopment</w:t>
      </w:r>
    </w:p>
    <w:p w14:paraId="7EDA6322" w14:textId="1E96FEE3" w:rsidR="00904C09" w:rsidRPr="00904C09" w:rsidRDefault="008C3375" w:rsidP="00904C09">
      <w:r>
        <w:t>A systematic review of one RCT and five cohort studies</w:t>
      </w:r>
      <w:r w:rsidR="00E51743">
        <w:fldChar w:fldCharType="begin"/>
      </w:r>
      <w:r w:rsidR="002747EA">
        <w:instrText xml:space="preserve"> ADDIN EN.CITE &lt;EndNote&gt;&lt;Cite&gt;&lt;Author&gt;Nino Cruz&lt;/Author&gt;&lt;Year&gt;2018&lt;/Year&gt;&lt;RecNum&gt;567&lt;/RecNum&gt;&lt;DisplayText&gt;&lt;style face="superscript" font="Trebuchet MS" size="9"&gt;310&lt;/style&gt;&lt;/DisplayText&gt;&lt;record&gt;&lt;rec-number&gt;567&lt;/rec-number&gt;&lt;foreign-keys&gt;&lt;key app="EN" db-id="exvasrfx2dtraoesasxp2szsxa2df502592x" timestamp="1535933807"&gt;567&lt;/key&gt;&lt;key app="ENWeb" db-id=""&gt;0&lt;/key&gt;&lt;/foreign-keys&gt;&lt;ref-type name="Journal Article"&gt;17&lt;/ref-type&gt;&lt;contributors&gt;&lt;authors&gt;&lt;author&gt;Nino Cruz, G. I.&lt;/author&gt;&lt;author&gt;Ramirez Varela, A.&lt;/author&gt;&lt;author&gt;da Silva, I. C. M.&lt;/author&gt;&lt;author&gt;Hallal, P. C.&lt;/author&gt;&lt;author&gt;Santos, I. S.&lt;/author&gt;&lt;/authors&gt;&lt;/contributors&gt;&lt;auth-address&gt;Post-Graduate Program in Epidemiology, Federal University of Pelotas, Rio Grande do Sul, Brazil.&lt;/auth-address&gt;&lt;titles&gt;&lt;title&gt;Physical activity during pregnancy and offspring neurodevelopment: A systematic review&lt;/title&gt;&lt;secondary-title&gt;Paediatr Perinat Epidemiol&lt;/secondary-title&gt;&lt;/titles&gt;&lt;periodical&gt;&lt;full-title&gt;Paediatr Perinat Epidemiol&lt;/full-title&gt;&lt;/periodical&gt;&lt;pages&gt;369-379&lt;/pages&gt;&lt;volume&gt;32&lt;/volume&gt;&lt;number&gt;4&lt;/number&gt;&lt;edition&gt;2018/05/05&lt;/edition&gt;&lt;keywords&gt;&lt;keyword&gt;childhood&lt;/keyword&gt;&lt;keyword&gt;infancy&lt;/keyword&gt;&lt;keyword&gt;neurodevelopment&lt;/keyword&gt;&lt;keyword&gt;physical activity&lt;/keyword&gt;&lt;keyword&gt;pregnancy&lt;/keyword&gt;&lt;/keywords&gt;&lt;dates&gt;&lt;year&gt;2018&lt;/year&gt;&lt;pub-dates&gt;&lt;date&gt;Jul&lt;/date&gt;&lt;/pub-dates&gt;&lt;/dates&gt;&lt;isbn&gt;1365-3016 (Electronic)&amp;#xD;0269-5022 (Linking)&lt;/isbn&gt;&lt;accession-num&gt;29727034&lt;/accession-num&gt;&lt;urls&gt;&lt;related-urls&gt;&lt;url&gt;https://www.ncbi.nlm.nih.gov/pubmed/29727034&lt;/url&gt;&lt;/related-urls&gt;&lt;/urls&gt;&lt;electronic-resource-num&gt;10.1111/ppe.12472&lt;/electronic-resource-num&gt;&lt;/record&gt;&lt;/Cite&gt;&lt;/EndNote&gt;</w:instrText>
      </w:r>
      <w:r w:rsidR="00E51743">
        <w:fldChar w:fldCharType="separate"/>
      </w:r>
      <w:r w:rsidR="002747EA" w:rsidRPr="002747EA">
        <w:rPr>
          <w:noProof/>
          <w:vertAlign w:val="superscript"/>
        </w:rPr>
        <w:t>310</w:t>
      </w:r>
      <w:r w:rsidR="00E51743">
        <w:fldChar w:fldCharType="end"/>
      </w:r>
      <w:r>
        <w:t xml:space="preserve"> reported that the </w:t>
      </w:r>
      <w:r w:rsidR="00CD3153">
        <w:t>cohort studies found a positive association between physical activity during pregnancy and offspring neurodevelopment, while the RCT did not.</w:t>
      </w:r>
      <w:r>
        <w:t xml:space="preserve"> </w:t>
      </w:r>
    </w:p>
    <w:p w14:paraId="6AC7AA1E" w14:textId="7F91CBCB" w:rsidR="003E3405" w:rsidRDefault="003E3405" w:rsidP="003E3405">
      <w:pPr>
        <w:pStyle w:val="Heading3"/>
      </w:pPr>
      <w:bookmarkStart w:id="121" w:name="_Toc40956516"/>
      <w:r>
        <w:t>Summary</w:t>
      </w:r>
      <w:bookmarkEnd w:id="121"/>
    </w:p>
    <w:p w14:paraId="257D3B8E" w14:textId="24B72577" w:rsidR="00196FE3" w:rsidRDefault="00196FE3" w:rsidP="008E1439">
      <w:r>
        <w:t xml:space="preserve">There is a possible increase in physical fitness associated with exercise in pregnancy and rates of injury appear to be low. The evidence on the effect on quality of life </w:t>
      </w:r>
      <w:r w:rsidR="00266EF3">
        <w:t>suggests an improvement with physical activity</w:t>
      </w:r>
      <w:r>
        <w:t>.</w:t>
      </w:r>
    </w:p>
    <w:p w14:paraId="14CF05FB" w14:textId="04DF4834" w:rsidR="00196FE3" w:rsidRDefault="00196FE3" w:rsidP="008E1439">
      <w:r>
        <w:t xml:space="preserve">Pelvic floor muscle exercises </w:t>
      </w:r>
      <w:r w:rsidR="00352698">
        <w:t>appear to reduce the risk of urinary inc</w:t>
      </w:r>
      <w:r w:rsidR="00A110E8">
        <w:t>ontinence but do not appear to a</w:t>
      </w:r>
      <w:r w:rsidR="00352698">
        <w:t>ffect the risk of faecal incontinence.</w:t>
      </w:r>
    </w:p>
    <w:p w14:paraId="10E3C38E" w14:textId="0B041596" w:rsidR="00352698" w:rsidRDefault="00352698" w:rsidP="008E1439">
      <w:r>
        <w:t>There is evidence from systematic reviews</w:t>
      </w:r>
      <w:r w:rsidR="00981753">
        <w:t>, an RCT and a cohort study</w:t>
      </w:r>
      <w:r>
        <w:t xml:space="preserve"> of a possible reduction in </w:t>
      </w:r>
      <w:r w:rsidR="005B38BC">
        <w:t xml:space="preserve">risk of </w:t>
      </w:r>
      <w:r>
        <w:t xml:space="preserve">low back and lumbopelvic pain </w:t>
      </w:r>
      <w:r w:rsidR="005B38BC">
        <w:t xml:space="preserve">and a reduction in severity of pain </w:t>
      </w:r>
      <w:r>
        <w:t>during pregnancy</w:t>
      </w:r>
      <w:r w:rsidR="005B38BC">
        <w:t>. T</w:t>
      </w:r>
      <w:r>
        <w:t xml:space="preserve">he evidence on </w:t>
      </w:r>
      <w:r w:rsidR="005B38BC">
        <w:t xml:space="preserve">the effect of exercise on pelvic girdle </w:t>
      </w:r>
      <w:r>
        <w:t xml:space="preserve">pain </w:t>
      </w:r>
      <w:r w:rsidR="005B38BC">
        <w:t xml:space="preserve">and pain </w:t>
      </w:r>
      <w:r>
        <w:t xml:space="preserve">in the postpartum period is unclear. </w:t>
      </w:r>
    </w:p>
    <w:p w14:paraId="192106F1" w14:textId="5F6C3567" w:rsidR="005B38BC" w:rsidRDefault="005B38BC" w:rsidP="008E1439">
      <w:r>
        <w:t>Moderate to vigorous exercise during pregnancy appears to improve sleep quality</w:t>
      </w:r>
      <w:r w:rsidR="00343BBE">
        <w:t xml:space="preserve"> but is not effective in treating insomnia in pregnancy</w:t>
      </w:r>
      <w:r>
        <w:t>.</w:t>
      </w:r>
    </w:p>
    <w:p w14:paraId="24A61513" w14:textId="70A1152F" w:rsidR="005B38BC" w:rsidRDefault="005B38BC" w:rsidP="008E1439">
      <w:r>
        <w:t>There is no clear difference in the duration of labour, pain during labour or perineal tears between women who exercise during pregnancy and those who don’t, although some RCTs have reported a shorter duration of labour and fewer requests for analgesia among women who exercised during pregnancy.</w:t>
      </w:r>
    </w:p>
    <w:p w14:paraId="19B28C10" w14:textId="6D6EFCAE" w:rsidR="003E3405" w:rsidRPr="008E1439" w:rsidRDefault="0026369E" w:rsidP="008E1439">
      <w:r>
        <w:t>There is no clear association between leisure-time exercise during pregnancy and congenital anomaly and it</w:t>
      </w:r>
      <w:r w:rsidR="002D36FA">
        <w:t xml:space="preserve"> appear</w:t>
      </w:r>
      <w:r w:rsidR="00D56474">
        <w:t>s</w:t>
      </w:r>
      <w:r w:rsidR="002D36FA">
        <w:t xml:space="preserve"> to </w:t>
      </w:r>
      <w:r w:rsidR="00D56474">
        <w:t>be protective against</w:t>
      </w:r>
      <w:r w:rsidR="002D36FA">
        <w:t xml:space="preserve"> macrosomia </w:t>
      </w:r>
      <w:r w:rsidR="00D56474">
        <w:t>and</w:t>
      </w:r>
      <w:r w:rsidR="002D36FA">
        <w:t xml:space="preserve"> low birth weight</w:t>
      </w:r>
      <w:r>
        <w:t>.</w:t>
      </w:r>
      <w:r w:rsidR="002D36FA">
        <w:t xml:space="preserve"> It does not appear to </w:t>
      </w:r>
      <w:r w:rsidR="00057D6E">
        <w:t>a</w:t>
      </w:r>
      <w:r>
        <w:t xml:space="preserve">ffect </w:t>
      </w:r>
      <w:r w:rsidR="002D36FA">
        <w:t>childhood weigh</w:t>
      </w:r>
      <w:r w:rsidR="000A1777">
        <w:t>t</w:t>
      </w:r>
      <w:r>
        <w:t xml:space="preserve"> but c</w:t>
      </w:r>
      <w:r w:rsidR="001C02BD">
        <w:t>ohort studies suggest a positive association between physical activity during pregnancy and offspring neurodevelopment.</w:t>
      </w:r>
    </w:p>
    <w:p w14:paraId="667AC9E6" w14:textId="77777777" w:rsidR="008E1439" w:rsidRPr="008E1439" w:rsidRDefault="008E1439" w:rsidP="008E1439">
      <w:pPr>
        <w:sectPr w:rsidR="008E1439" w:rsidRPr="008E1439" w:rsidSect="008A6B17">
          <w:pgSz w:w="11901" w:h="16817"/>
          <w:pgMar w:top="1134" w:right="1418" w:bottom="1134" w:left="1418" w:header="709" w:footer="709" w:gutter="0"/>
          <w:cols w:space="708"/>
          <w:docGrid w:linePitch="360"/>
        </w:sectPr>
      </w:pPr>
    </w:p>
    <w:p w14:paraId="613F0E93" w14:textId="6C89EB8E" w:rsidR="0073200D" w:rsidRDefault="0073200D" w:rsidP="0073200D">
      <w:pPr>
        <w:pStyle w:val="Heading3"/>
      </w:pPr>
      <w:bookmarkStart w:id="122" w:name="_Toc40956517"/>
      <w:r>
        <w:t>Evidence tables</w:t>
      </w:r>
      <w:bookmarkEnd w:id="122"/>
    </w:p>
    <w:p w14:paraId="7AF3A77D" w14:textId="706D5261" w:rsidR="00921608" w:rsidRPr="00921608" w:rsidRDefault="00921608" w:rsidP="00921608">
      <w:pPr>
        <w:pStyle w:val="Heading4"/>
      </w:pPr>
      <w:r>
        <w:t>Physical fitness and quality of life</w:t>
      </w:r>
    </w:p>
    <w:p w14:paraId="2F669609" w14:textId="2EF8503C" w:rsidR="00DC4A73" w:rsidRPr="00DC4A73" w:rsidRDefault="009C163D" w:rsidP="00932C6D">
      <w:pPr>
        <w:pStyle w:val="TableName"/>
      </w:pPr>
      <w:bookmarkStart w:id="123" w:name="_Toc40956641"/>
      <w:r>
        <w:t xml:space="preserve">Q5 </w:t>
      </w:r>
      <w:r w:rsidR="00DC4A73">
        <w:t>Physical activity in pregnancy and physical fitness — systematic review</w:t>
      </w:r>
      <w:bookmarkEnd w:id="12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3: Q5 Physical activity in pregnancy and physical fitness — systematic review"/>
      </w:tblPr>
      <w:tblGrid>
        <w:gridCol w:w="1305"/>
        <w:gridCol w:w="1247"/>
        <w:gridCol w:w="4961"/>
        <w:gridCol w:w="4536"/>
        <w:gridCol w:w="1843"/>
      </w:tblGrid>
      <w:tr w:rsidR="00DC4A73" w:rsidRPr="00F350A6" w14:paraId="6071C77E" w14:textId="77777777" w:rsidTr="00BD61CC">
        <w:trPr>
          <w:cantSplit/>
          <w:tblHeader/>
        </w:trPr>
        <w:tc>
          <w:tcPr>
            <w:tcW w:w="1305" w:type="dxa"/>
          </w:tcPr>
          <w:p w14:paraId="7D8058B4" w14:textId="77777777" w:rsidR="00DC4A73" w:rsidRPr="00F350A6" w:rsidRDefault="00DC4A73" w:rsidP="00225579">
            <w:pPr>
              <w:keepNext/>
              <w:rPr>
                <w:b/>
              </w:rPr>
            </w:pPr>
            <w:r>
              <w:rPr>
                <w:b/>
              </w:rPr>
              <w:t>Study ref</w:t>
            </w:r>
          </w:p>
        </w:tc>
        <w:tc>
          <w:tcPr>
            <w:tcW w:w="1247" w:type="dxa"/>
          </w:tcPr>
          <w:p w14:paraId="3FD7F8C9" w14:textId="77777777" w:rsidR="00DC4A73" w:rsidRPr="00F350A6" w:rsidRDefault="00DC4A73" w:rsidP="00225579">
            <w:pPr>
              <w:keepNext/>
              <w:rPr>
                <w:b/>
              </w:rPr>
            </w:pPr>
            <w:r>
              <w:rPr>
                <w:b/>
              </w:rPr>
              <w:t>N</w:t>
            </w:r>
          </w:p>
        </w:tc>
        <w:tc>
          <w:tcPr>
            <w:tcW w:w="4961" w:type="dxa"/>
          </w:tcPr>
          <w:p w14:paraId="5B70198D" w14:textId="5BBF1543" w:rsidR="00DC4A73" w:rsidRPr="00F350A6" w:rsidRDefault="00DC4A73" w:rsidP="00631ADC">
            <w:pPr>
              <w:keepNext/>
              <w:rPr>
                <w:b/>
              </w:rPr>
            </w:pPr>
            <w:r>
              <w:rPr>
                <w:b/>
              </w:rPr>
              <w:t>Aim/</w:t>
            </w:r>
            <w:r w:rsidR="00631ADC">
              <w:rPr>
                <w:b/>
              </w:rPr>
              <w:t>methods</w:t>
            </w:r>
          </w:p>
        </w:tc>
        <w:tc>
          <w:tcPr>
            <w:tcW w:w="4536" w:type="dxa"/>
          </w:tcPr>
          <w:p w14:paraId="76910A97" w14:textId="77777777" w:rsidR="00DC4A73" w:rsidRPr="00F350A6" w:rsidRDefault="00DC4A73" w:rsidP="00225579">
            <w:pPr>
              <w:keepNext/>
              <w:rPr>
                <w:b/>
              </w:rPr>
            </w:pPr>
            <w:r>
              <w:rPr>
                <w:b/>
              </w:rPr>
              <w:t>Results</w:t>
            </w:r>
          </w:p>
        </w:tc>
        <w:tc>
          <w:tcPr>
            <w:tcW w:w="1843" w:type="dxa"/>
          </w:tcPr>
          <w:p w14:paraId="355030ED" w14:textId="77777777" w:rsidR="00DC4A73" w:rsidRPr="00F350A6" w:rsidRDefault="00DC4A73" w:rsidP="00225579">
            <w:pPr>
              <w:keepNext/>
              <w:rPr>
                <w:b/>
              </w:rPr>
            </w:pPr>
            <w:r>
              <w:rPr>
                <w:b/>
              </w:rPr>
              <w:t>Comments</w:t>
            </w:r>
          </w:p>
        </w:tc>
      </w:tr>
      <w:tr w:rsidR="00DC4A73" w:rsidRPr="00DC4A73" w14:paraId="39B7224F" w14:textId="77777777" w:rsidTr="00BD61CC">
        <w:trPr>
          <w:cantSplit/>
        </w:trPr>
        <w:tc>
          <w:tcPr>
            <w:tcW w:w="1305" w:type="dxa"/>
          </w:tcPr>
          <w:p w14:paraId="72FAAE66" w14:textId="5FEB9B20" w:rsidR="00DC4A73" w:rsidRPr="00DC4A73" w:rsidRDefault="00562FDD" w:rsidP="002747EA">
            <w:pPr>
              <w:keepNext/>
            </w:pPr>
            <w:r>
              <w:t>Kramer et al 2006</w:t>
            </w:r>
            <w:r w:rsidR="00DC4A73">
              <w:fldChar w:fldCharType="begin"/>
            </w:r>
            <w:r w:rsidR="002747EA">
              <w:instrText xml:space="preserve"> ADDIN EN.CITE &lt;EndNote&gt;&lt;Cite&gt;&lt;Author&gt;Kramer&lt;/Author&gt;&lt;Year&gt;2006&lt;/Year&gt;&lt;RecNum&gt;633&lt;/RecNum&gt;&lt;DisplayText&gt;&lt;style face="superscript" font="Trebuchet MS" size="9"&gt;291&lt;/style&gt;&lt;/DisplayText&gt;&lt;record&gt;&lt;rec-number&gt;633&lt;/rec-number&gt;&lt;foreign-keys&gt;&lt;key app="EN" db-id="exvasrfx2dtraoesasxp2szsxa2df502592x" timestamp="1540425550"&gt;633&lt;/key&gt;&lt;key app="ENWeb" db-id=""&gt;0&lt;/key&gt;&lt;/foreign-keys&gt;&lt;ref-type name="Journal Article"&gt;17&lt;/ref-type&gt;&lt;contributors&gt;&lt;authors&gt;&lt;author&gt;Kramer, Michael S.&lt;/author&gt;&lt;author&gt;McDonald, Sheila W.&lt;/author&gt;&lt;/authors&gt;&lt;/contributors&gt;&lt;titles&gt;&lt;title&gt;Aerobic exercise for women during pregnancy&lt;/title&gt;&lt;secondary-title&gt;Cochrane Database of Systematic Reviews&lt;/secondary-title&gt;&lt;/titles&gt;&lt;periodical&gt;&lt;full-title&gt;Cochrane Database of Systematic Reviews&lt;/full-title&gt;&lt;/periodical&gt;&lt;dates&gt;&lt;year&gt;2006&lt;/year&gt;&lt;/dates&gt;&lt;isbn&gt;14651858&lt;/isbn&gt;&lt;urls&gt;&lt;/urls&gt;&lt;electronic-resource-num&gt;10.1002/14651858.CD000180.pub2&lt;/electronic-resource-num&gt;&lt;/record&gt;&lt;/Cite&gt;&lt;/EndNote&gt;</w:instrText>
            </w:r>
            <w:r w:rsidR="00DC4A73">
              <w:fldChar w:fldCharType="separate"/>
            </w:r>
            <w:r w:rsidR="002747EA" w:rsidRPr="002747EA">
              <w:rPr>
                <w:noProof/>
                <w:vertAlign w:val="superscript"/>
              </w:rPr>
              <w:t>291</w:t>
            </w:r>
            <w:r w:rsidR="00DC4A73">
              <w:fldChar w:fldCharType="end"/>
            </w:r>
          </w:p>
        </w:tc>
        <w:tc>
          <w:tcPr>
            <w:tcW w:w="1247" w:type="dxa"/>
          </w:tcPr>
          <w:p w14:paraId="16018302" w14:textId="75E735D1" w:rsidR="00DC4A73" w:rsidRPr="00DC4A73" w:rsidRDefault="00DC4A73" w:rsidP="00225579">
            <w:pPr>
              <w:keepNext/>
            </w:pPr>
            <w:r>
              <w:t>9 studies</w:t>
            </w:r>
          </w:p>
        </w:tc>
        <w:tc>
          <w:tcPr>
            <w:tcW w:w="4961" w:type="dxa"/>
          </w:tcPr>
          <w:p w14:paraId="6580B2D5" w14:textId="1D128740" w:rsidR="00DE6BD0" w:rsidRPr="00DE6BD0" w:rsidRDefault="00DE6BD0" w:rsidP="00DE6BD0">
            <w:r w:rsidRPr="00DE6BD0">
              <w:rPr>
                <w:b/>
              </w:rPr>
              <w:t>Aim</w:t>
            </w:r>
            <w:r>
              <w:t xml:space="preserve">: </w:t>
            </w:r>
            <w:r w:rsidRPr="00DE6BD0">
              <w:t>To assess the effects of advising healthy pregnant women to engage in regular aerobic exercise (at least two to three times per week), or</w:t>
            </w:r>
            <w:r>
              <w:t xml:space="preserve"> </w:t>
            </w:r>
            <w:r w:rsidRPr="00DE6BD0">
              <w:t>to increase or reduce the intensity, duration, or frequency of such exercise, on physical fitness, the course of labour and delivery, and</w:t>
            </w:r>
            <w:r>
              <w:t xml:space="preserve"> </w:t>
            </w:r>
            <w:r w:rsidRPr="00DE6BD0">
              <w:t>the outcome of pregnancy.</w:t>
            </w:r>
          </w:p>
          <w:p w14:paraId="530B9242" w14:textId="08AE4E58" w:rsidR="00DC4A73" w:rsidRPr="00DC4A73" w:rsidRDefault="00DE6BD0" w:rsidP="001823B7">
            <w:r w:rsidRPr="001823B7">
              <w:rPr>
                <w:b/>
              </w:rPr>
              <w:t>Methods</w:t>
            </w:r>
            <w:r>
              <w:t xml:space="preserve">: </w:t>
            </w:r>
            <w:r w:rsidR="001823B7" w:rsidRPr="001823B7">
              <w:t>We searched the Cochrane Pregnancy and Childbirth Group’s Trials Register (31 August 2009), MEDLINE (1966 to August 2009), EMBASE (1980 to August 2009), Conference Papers Index (earliest to August 2009), contacted researchers in the field and searched reference lists of retrieved articles.</w:t>
            </w:r>
          </w:p>
        </w:tc>
        <w:tc>
          <w:tcPr>
            <w:tcW w:w="4536" w:type="dxa"/>
          </w:tcPr>
          <w:p w14:paraId="7DF6C018" w14:textId="5F0FC9F3" w:rsidR="00DC4A73" w:rsidRPr="00DC4A73" w:rsidRDefault="00DC4A73" w:rsidP="00DC4A73">
            <w:r w:rsidRPr="00DC4A73">
              <w:t>Of the nine trials reporting</w:t>
            </w:r>
            <w:r>
              <w:t xml:space="preserve"> </w:t>
            </w:r>
            <w:r w:rsidRPr="00DC4A73">
              <w:t xml:space="preserve">on </w:t>
            </w:r>
            <w:r w:rsidR="00562FDD">
              <w:t xml:space="preserve">the effect of aerobic exercise during pregnancy on </w:t>
            </w:r>
            <w:r w:rsidRPr="00DC4A73">
              <w:t>physical fitness, six reported significant improvement in physical fitness in the exercise group, although inconsistencies in summary</w:t>
            </w:r>
            <w:r>
              <w:t xml:space="preserve"> </w:t>
            </w:r>
            <w:r w:rsidRPr="00DC4A73">
              <w:t>statistics and measures used to assess fitness prevented quantitative pooling of results.</w:t>
            </w:r>
          </w:p>
        </w:tc>
        <w:tc>
          <w:tcPr>
            <w:tcW w:w="1843" w:type="dxa"/>
          </w:tcPr>
          <w:p w14:paraId="7E345BEA" w14:textId="77777777" w:rsidR="00DC4A73" w:rsidRPr="00DC4A73" w:rsidRDefault="00DC4A73" w:rsidP="00225579">
            <w:pPr>
              <w:keepNext/>
            </w:pPr>
          </w:p>
        </w:tc>
      </w:tr>
      <w:tr w:rsidR="00DC1B4F" w:rsidRPr="00DC4A73" w14:paraId="39D619C1" w14:textId="77777777" w:rsidTr="00BD61CC">
        <w:trPr>
          <w:cantSplit/>
        </w:trPr>
        <w:tc>
          <w:tcPr>
            <w:tcW w:w="1305" w:type="dxa"/>
          </w:tcPr>
          <w:p w14:paraId="3DBC2EDD" w14:textId="7A8A1B8B" w:rsidR="00DC1B4F" w:rsidRDefault="00DC1B4F" w:rsidP="002747EA">
            <w:pPr>
              <w:keepNext/>
            </w:pPr>
            <w:r>
              <w:t>Cai et al 2020</w:t>
            </w:r>
            <w:r w:rsidR="00D07346">
              <w:fldChar w:fldCharType="begin"/>
            </w:r>
            <w:r w:rsidR="002747EA">
              <w:instrText xml:space="preserve"> ADDIN EN.CITE &lt;EndNote&gt;&lt;Cite&gt;&lt;Author&gt;Cai&lt;/Author&gt;&lt;Year&gt;2020&lt;/Year&gt;&lt;RecNum&gt;1952&lt;/RecNum&gt;&lt;DisplayText&gt;&lt;style face="superscript" font="Trebuchet MS" size="9"&gt;311&lt;/style&gt;&lt;/DisplayText&gt;&lt;record&gt;&lt;rec-number&gt;1952&lt;/rec-number&gt;&lt;foreign-keys&gt;&lt;key app="EN" db-id="exvasrfx2dtraoesasxp2szsxa2df502592x" timestamp="1588743809"&gt;1952&lt;/key&gt;&lt;key app="ENWeb" db-id=""&gt;0&lt;/key&gt;&lt;/foreign-keys&gt;&lt;ref-type name="Journal Article"&gt;17&lt;/ref-type&gt;&lt;contributors&gt;&lt;authors&gt;&lt;author&gt;Cai, C.&lt;/author&gt;&lt;author&gt;Ruchat, S. M.&lt;/author&gt;&lt;author&gt;Sivak, A.&lt;/author&gt;&lt;author&gt;Davenport, M. H.&lt;/author&gt;&lt;/authors&gt;&lt;/contributors&gt;&lt;auth-address&gt;Program for Pregnancy and Postpartum Health, University of Alberta, Edmonton, Alberta, Canada.&amp;#xD;Physical Activity and Diabetes Laboratory, University of Alberta, Edmonton, Alberta, Canada.&amp;#xD;Faculty of Kinesiology, Sport and Recreation, University of Alberta, Edmonton, Alberta, Canada.&amp;#xD;Women and Children&amp;apos;s Health Research Institute, Edmonton, Alberta, Canada.&amp;#xD;Alberta Diabetes Institute, Edmonton, Alberta, Canada.&amp;#xD;Department of Human Kinetics, Universite du Quebec a Trois-Rivieres, Trois-Rivieres, Quebec, Canada.&amp;#xD;H.T. Coutts Education &amp;amp; Physical Education Library, University of Alberta, Edmonton, Alberta, Canada.&lt;/auth-address&gt;&lt;titles&gt;&lt;title&gt;Prenatal exercise and cardiorespiratory health and fitness: A meta-analysis&lt;/title&gt;&lt;secondary-title&gt;Med Sci Sports Exerc&lt;/secondary-title&gt;&lt;/titles&gt;&lt;periodical&gt;&lt;full-title&gt;Med Sci Sports Exerc&lt;/full-title&gt;&lt;/periodical&gt;&lt;edition&gt;2020/01/25&lt;/edition&gt;&lt;dates&gt;&lt;year&gt;2020&lt;/year&gt;&lt;pub-dates&gt;&lt;date&gt;Jan 17&lt;/date&gt;&lt;/pub-dates&gt;&lt;/dates&gt;&lt;isbn&gt;1530-0315 (Electronic)&amp;#xD;0195-9131 (Linking)&lt;/isbn&gt;&lt;accession-num&gt;31977635&lt;/accession-num&gt;&lt;urls&gt;&lt;related-urls&gt;&lt;url&gt;https://www.ncbi.nlm.nih.gov/pubmed/31977635&lt;/url&gt;&lt;/related-urls&gt;&lt;/urls&gt;&lt;electronic-resource-num&gt;10.1249/MSS.0000000000002279&lt;/electronic-resource-num&gt;&lt;/record&gt;&lt;/Cite&gt;&lt;/EndNote&gt;</w:instrText>
            </w:r>
            <w:r w:rsidR="00D07346">
              <w:fldChar w:fldCharType="separate"/>
            </w:r>
            <w:r w:rsidR="002747EA" w:rsidRPr="002747EA">
              <w:rPr>
                <w:noProof/>
                <w:vertAlign w:val="superscript"/>
              </w:rPr>
              <w:t>311</w:t>
            </w:r>
            <w:r w:rsidR="00D07346">
              <w:fldChar w:fldCharType="end"/>
            </w:r>
          </w:p>
        </w:tc>
        <w:tc>
          <w:tcPr>
            <w:tcW w:w="1247" w:type="dxa"/>
          </w:tcPr>
          <w:p w14:paraId="775EABE0" w14:textId="6377B568" w:rsidR="00DC1B4F" w:rsidRDefault="00495F22" w:rsidP="00225579">
            <w:pPr>
              <w:keepNext/>
            </w:pPr>
            <w:r>
              <w:t>26 RCTs</w:t>
            </w:r>
          </w:p>
        </w:tc>
        <w:tc>
          <w:tcPr>
            <w:tcW w:w="4961" w:type="dxa"/>
          </w:tcPr>
          <w:p w14:paraId="57A0AE87" w14:textId="77777777" w:rsidR="00495F22" w:rsidRPr="00495F22" w:rsidRDefault="00495F22" w:rsidP="00BD61CC">
            <w:r>
              <w:rPr>
                <w:b/>
              </w:rPr>
              <w:t xml:space="preserve">Aim: </w:t>
            </w:r>
            <w:r w:rsidRPr="00495F22">
              <w:t>To examine the influence of prenatal exercise on maternal cardiorespiratory health and fitness during pregnancy. </w:t>
            </w:r>
          </w:p>
          <w:p w14:paraId="05F4972E" w14:textId="0F0A683F" w:rsidR="00DC1B4F" w:rsidRPr="00BD61CC" w:rsidRDefault="00495F22" w:rsidP="00DE6BD0">
            <w:r>
              <w:rPr>
                <w:b/>
              </w:rPr>
              <w:t xml:space="preserve">Methods: </w:t>
            </w:r>
            <w:r w:rsidRPr="00495F22">
              <w:t>Online databases were searched up to Februa</w:t>
            </w:r>
            <w:r>
              <w:t>ry 25, 2019. Studies of randomis</w:t>
            </w:r>
            <w:r w:rsidRPr="00495F22">
              <w:t>ed controlled trials (RCTs) were eligible, which contained information on the relevant population (pregnant women), intervention (subjective or objective measures of frequency, intensity, duration, volume, or type of exercise), comparator (no exercise intervention), and outcomes (maternal cardiorespiratory fitness [CRF], including VO</w:t>
            </w:r>
            <w:r w:rsidRPr="00495F22">
              <w:rPr>
                <w:sz w:val="12"/>
                <w:szCs w:val="12"/>
              </w:rPr>
              <w:t>2max</w:t>
            </w:r>
            <w:r w:rsidRPr="00495F22">
              <w:t>, submaximal VO</w:t>
            </w:r>
            <w:r w:rsidRPr="00495F22">
              <w:rPr>
                <w:sz w:val="12"/>
                <w:szCs w:val="12"/>
              </w:rPr>
              <w:t>2</w:t>
            </w:r>
            <w:r w:rsidRPr="00495F22">
              <w:t>, VO</w:t>
            </w:r>
            <w:r w:rsidRPr="00495F22">
              <w:rPr>
                <w:sz w:val="12"/>
                <w:szCs w:val="12"/>
              </w:rPr>
              <w:t xml:space="preserve">2 </w:t>
            </w:r>
            <w:r w:rsidRPr="00495F22">
              <w:t>at anaerobic threshold, and cardiorespiratory health, including resting heart rate, resting systolic and diastolic blood pressure during pregnancy).</w:t>
            </w:r>
            <w:r w:rsidRPr="00495F22">
              <w:rPr>
                <w:rFonts w:eastAsiaTheme="majorEastAsia"/>
              </w:rPr>
              <w:t> </w:t>
            </w:r>
          </w:p>
        </w:tc>
        <w:tc>
          <w:tcPr>
            <w:tcW w:w="4536" w:type="dxa"/>
          </w:tcPr>
          <w:p w14:paraId="13587B48" w14:textId="160F6664" w:rsidR="00DC1B4F" w:rsidRPr="00DC4A73" w:rsidRDefault="00495F22" w:rsidP="00DC4A73">
            <w:r>
              <w:t>Low to hig</w:t>
            </w:r>
            <w:r w:rsidR="003B485A">
              <w:t>h</w:t>
            </w:r>
            <w:r w:rsidRPr="00495F22">
              <w:t xml:space="preserve"> certainty evidence revealed that exercise was associated with improved predicted/measured VO</w:t>
            </w:r>
            <w:r w:rsidRPr="00495F22">
              <w:rPr>
                <w:sz w:val="12"/>
                <w:szCs w:val="12"/>
              </w:rPr>
              <w:t xml:space="preserve">2 max </w:t>
            </w:r>
            <w:r w:rsidRPr="00495F22">
              <w:t>(</w:t>
            </w:r>
            <w:r>
              <w:t>5</w:t>
            </w:r>
            <w:r w:rsidRPr="00495F22">
              <w:t xml:space="preserve"> RCTs, n=430; </w:t>
            </w:r>
            <w:r>
              <w:t>MD 2.77 mL/kg/min; 95%CI</w:t>
            </w:r>
            <w:r w:rsidRPr="00495F22">
              <w:t xml:space="preserve"> 0.32 to 5.21), reduced resting heart rate (</w:t>
            </w:r>
            <w:r>
              <w:t>9 RCTs, n=637; MD -1.71 bpm; 95%CI</w:t>
            </w:r>
            <w:r w:rsidRPr="00495F22">
              <w:t xml:space="preserve"> -3.24 to -0.19), resting systolic blood pressure (16 RCTs, n=1</w:t>
            </w:r>
            <w:r>
              <w:t>,672; MD </w:t>
            </w:r>
            <w:r w:rsidRPr="00495F22">
              <w:t>−2.11</w:t>
            </w:r>
            <w:r>
              <w:t> mmHg, 95% CI</w:t>
            </w:r>
            <w:r w:rsidRPr="00495F22">
              <w:t xml:space="preserve"> −3.71 to −0.51) and diastolic blood pressure (15 RCTs, n=1</w:t>
            </w:r>
            <w:r>
              <w:t>,624; MD −1.77 mmHg, 95%CI</w:t>
            </w:r>
            <w:r w:rsidRPr="00495F22">
              <w:t xml:space="preserve"> −2.90 to −0.64).</w:t>
            </w:r>
            <w:r w:rsidRPr="00495F22">
              <w:rPr>
                <w:rFonts w:eastAsiaTheme="majorEastAsia"/>
              </w:rPr>
              <w:t> </w:t>
            </w:r>
          </w:p>
        </w:tc>
        <w:tc>
          <w:tcPr>
            <w:tcW w:w="1843" w:type="dxa"/>
          </w:tcPr>
          <w:p w14:paraId="447E3C24" w14:textId="77777777" w:rsidR="00DC1B4F" w:rsidRPr="00DC4A73" w:rsidRDefault="00DC1B4F" w:rsidP="00225579">
            <w:pPr>
              <w:keepNext/>
            </w:pPr>
          </w:p>
        </w:tc>
      </w:tr>
    </w:tbl>
    <w:p w14:paraId="33FF102C" w14:textId="072AEAB6" w:rsidR="00562FDD" w:rsidRPr="00DC4A73" w:rsidRDefault="009C163D" w:rsidP="00932C6D">
      <w:pPr>
        <w:pStyle w:val="TableName"/>
      </w:pPr>
      <w:bookmarkStart w:id="124" w:name="_Toc40956642"/>
      <w:r>
        <w:t xml:space="preserve">Q5 </w:t>
      </w:r>
      <w:r w:rsidR="00562FDD">
        <w:t>Physical activity in pregnancy and physical fitness — RCTs</w:t>
      </w:r>
      <w:bookmarkEnd w:id="12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4: Q5 Physical activity in pregnancy and physical fitness — RCTs"/>
      </w:tblPr>
      <w:tblGrid>
        <w:gridCol w:w="1273"/>
        <w:gridCol w:w="1279"/>
        <w:gridCol w:w="4961"/>
        <w:gridCol w:w="4536"/>
        <w:gridCol w:w="1843"/>
      </w:tblGrid>
      <w:tr w:rsidR="00562FDD" w:rsidRPr="00F350A6" w14:paraId="43B5D0F3" w14:textId="77777777" w:rsidTr="00062DBB">
        <w:trPr>
          <w:cantSplit/>
          <w:tblHeader/>
        </w:trPr>
        <w:tc>
          <w:tcPr>
            <w:tcW w:w="1273" w:type="dxa"/>
          </w:tcPr>
          <w:p w14:paraId="5B1C3CA7" w14:textId="77777777" w:rsidR="00562FDD" w:rsidRPr="00F350A6" w:rsidRDefault="00562FDD" w:rsidP="00225579">
            <w:pPr>
              <w:keepNext/>
              <w:rPr>
                <w:b/>
              </w:rPr>
            </w:pPr>
            <w:r>
              <w:rPr>
                <w:b/>
              </w:rPr>
              <w:t>Study ref</w:t>
            </w:r>
          </w:p>
        </w:tc>
        <w:tc>
          <w:tcPr>
            <w:tcW w:w="1279" w:type="dxa"/>
          </w:tcPr>
          <w:p w14:paraId="654FB63F" w14:textId="77777777" w:rsidR="00562FDD" w:rsidRPr="00F350A6" w:rsidRDefault="00562FDD" w:rsidP="00225579">
            <w:pPr>
              <w:keepNext/>
              <w:rPr>
                <w:b/>
              </w:rPr>
            </w:pPr>
            <w:r>
              <w:rPr>
                <w:b/>
              </w:rPr>
              <w:t>N</w:t>
            </w:r>
          </w:p>
        </w:tc>
        <w:tc>
          <w:tcPr>
            <w:tcW w:w="4961" w:type="dxa"/>
          </w:tcPr>
          <w:p w14:paraId="3E0F7816" w14:textId="26A4497A" w:rsidR="00562FDD" w:rsidRPr="00F350A6" w:rsidRDefault="00562FDD" w:rsidP="00050D6C">
            <w:pPr>
              <w:keepNext/>
              <w:rPr>
                <w:b/>
              </w:rPr>
            </w:pPr>
            <w:r>
              <w:rPr>
                <w:b/>
              </w:rPr>
              <w:t>Aim/</w:t>
            </w:r>
            <w:r w:rsidRPr="00F350A6">
              <w:rPr>
                <w:b/>
              </w:rPr>
              <w:t>population</w:t>
            </w:r>
            <w:r>
              <w:rPr>
                <w:b/>
              </w:rPr>
              <w:t>/intervention</w:t>
            </w:r>
          </w:p>
        </w:tc>
        <w:tc>
          <w:tcPr>
            <w:tcW w:w="4536" w:type="dxa"/>
          </w:tcPr>
          <w:p w14:paraId="727EBEBA" w14:textId="77777777" w:rsidR="00562FDD" w:rsidRPr="00F350A6" w:rsidRDefault="00562FDD" w:rsidP="00225579">
            <w:pPr>
              <w:keepNext/>
              <w:rPr>
                <w:b/>
              </w:rPr>
            </w:pPr>
            <w:r>
              <w:rPr>
                <w:b/>
              </w:rPr>
              <w:t>Results</w:t>
            </w:r>
          </w:p>
        </w:tc>
        <w:tc>
          <w:tcPr>
            <w:tcW w:w="1843" w:type="dxa"/>
          </w:tcPr>
          <w:p w14:paraId="0367E481" w14:textId="77777777" w:rsidR="00562FDD" w:rsidRPr="00F350A6" w:rsidRDefault="00562FDD" w:rsidP="00225579">
            <w:pPr>
              <w:keepNext/>
              <w:rPr>
                <w:b/>
              </w:rPr>
            </w:pPr>
            <w:r>
              <w:rPr>
                <w:b/>
              </w:rPr>
              <w:t>Comments</w:t>
            </w:r>
          </w:p>
        </w:tc>
      </w:tr>
      <w:tr w:rsidR="00562FDD" w:rsidRPr="00DC4A73" w14:paraId="44800523" w14:textId="77777777" w:rsidTr="00062DBB">
        <w:trPr>
          <w:cantSplit/>
        </w:trPr>
        <w:tc>
          <w:tcPr>
            <w:tcW w:w="1273" w:type="dxa"/>
          </w:tcPr>
          <w:p w14:paraId="0EDDF94F" w14:textId="2E308050" w:rsidR="00562FDD" w:rsidRDefault="00562FDD" w:rsidP="00225579">
            <w:pPr>
              <w:keepNext/>
            </w:pPr>
            <w:r>
              <w:t>Halvorsen et al 2013</w:t>
            </w:r>
            <w:r w:rsidR="00283324">
              <w:fldChar w:fldCharType="begin"/>
            </w:r>
            <w:r w:rsidR="002747EA">
              <w:instrText xml:space="preserve"> ADDIN EN.CITE &lt;EndNote&gt;&lt;Cite&gt;&lt;Author&gt;Halvorsen&lt;/Author&gt;&lt;Year&gt;2013&lt;/Year&gt;&lt;RecNum&gt;1783&lt;/RecNum&gt;&lt;DisplayText&gt;&lt;style face="superscript" font="Trebuchet MS" size="9"&gt;268&lt;/style&gt;&lt;/DisplayText&gt;&lt;record&gt;&lt;rec-number&gt;1783&lt;/rec-number&gt;&lt;foreign-keys&gt;&lt;key app="EN" db-id="exvasrfx2dtraoesasxp2szsxa2df502592x" timestamp="1583204194"&gt;1783&lt;/key&gt;&lt;key app="ENWeb" db-id=""&gt;0&lt;/key&gt;&lt;/foreign-keys&gt;&lt;ref-type name="Journal Article"&gt;17&lt;/ref-type&gt;&lt;contributors&gt;&lt;authors&gt;&lt;author&gt;Halvorsen, S.&lt;/author&gt;&lt;author&gt;Haakstad, L. A.&lt;/author&gt;&lt;author&gt;Edvardsen, E.&lt;/author&gt;&lt;author&gt;Bo, K.&lt;/author&gt;&lt;/authors&gt;&lt;/contributors&gt;&lt;auth-address&gt;Department of Sports Medicine, Norwegian School of Sport Sciences, P.O. Box 4014, Ulleval Stadion, 0806 Oslo, Norway. silje.halvorsen@medisin.uio.no&lt;/auth-address&gt;&lt;titles&gt;&lt;title&gt;Effect of aerobic dance on cardiorespiratory fitness in pregnant women: a randomised controlled trial&lt;/title&gt;&lt;secondary-title&gt;Physiotherapy&lt;/secondary-title&gt;&lt;/titles&gt;&lt;periodical&gt;&lt;full-title&gt;Physiotherapy&lt;/full-title&gt;&lt;/periodical&gt;&lt;pages&gt;42-8&lt;/pages&gt;&lt;volume&gt;99&lt;/volume&gt;&lt;number&gt;1&lt;/number&gt;&lt;edition&gt;2012/11/29&lt;/edition&gt;&lt;keywords&gt;&lt;keyword&gt;Adult&lt;/keyword&gt;&lt;keyword&gt;Case-Control Studies&lt;/keyword&gt;&lt;keyword&gt;Chi-Square Distribution&lt;/keyword&gt;&lt;keyword&gt;Dancing/*physiology&lt;/keyword&gt;&lt;keyword&gt;Exercise Test&lt;/keyword&gt;&lt;keyword&gt;Female&lt;/keyword&gt;&lt;keyword&gt;Humans&lt;/keyword&gt;&lt;keyword&gt;Lactates/blood&lt;/keyword&gt;&lt;keyword&gt;Norway&lt;/keyword&gt;&lt;keyword&gt;Oxygen Consumption/physiology&lt;/keyword&gt;&lt;keyword&gt;Physical Fitness/*physiology&lt;/keyword&gt;&lt;keyword&gt;Pregnancy&lt;/keyword&gt;&lt;keyword&gt;Treatment Outcome&lt;/keyword&gt;&lt;/keywords&gt;&lt;dates&gt;&lt;year&gt;2013&lt;/year&gt;&lt;pub-dates&gt;&lt;date&gt;Mar&lt;/date&gt;&lt;/pub-dates&gt;&lt;/dates&gt;&lt;isbn&gt;1873-1465 (Electronic)&amp;#xD;0031-9406 (Linking)&lt;/isbn&gt;&lt;accession-num&gt;23186730&lt;/accession-num&gt;&lt;urls&gt;&lt;related-urls&gt;&lt;url&gt;https://www.ncbi.nlm.nih.gov/pubmed/23186730&lt;/url&gt;&lt;/related-urls&gt;&lt;/urls&gt;&lt;electronic-resource-num&gt;10.1016/j.physio.2011.11.002&lt;/electronic-resource-num&gt;&lt;/record&gt;&lt;/Cite&gt;&lt;/EndNote&gt;</w:instrText>
            </w:r>
            <w:r w:rsidR="00283324">
              <w:fldChar w:fldCharType="separate"/>
            </w:r>
            <w:r w:rsidR="002747EA" w:rsidRPr="002747EA">
              <w:rPr>
                <w:noProof/>
                <w:vertAlign w:val="superscript"/>
              </w:rPr>
              <w:t>268</w:t>
            </w:r>
            <w:r w:rsidR="00283324">
              <w:fldChar w:fldCharType="end"/>
            </w:r>
          </w:p>
          <w:p w14:paraId="311DDAF0" w14:textId="74B214FA" w:rsidR="00050D6C" w:rsidRPr="00DC4A73" w:rsidRDefault="00050D6C" w:rsidP="00225579">
            <w:pPr>
              <w:keepNext/>
            </w:pPr>
            <w:r>
              <w:t>Norway</w:t>
            </w:r>
          </w:p>
        </w:tc>
        <w:tc>
          <w:tcPr>
            <w:tcW w:w="1279" w:type="dxa"/>
          </w:tcPr>
          <w:p w14:paraId="09615567" w14:textId="4B60373A" w:rsidR="00562FDD" w:rsidRDefault="00562FDD" w:rsidP="00225579">
            <w:pPr>
              <w:keepNext/>
            </w:pPr>
            <w:r>
              <w:t>Intervention 34</w:t>
            </w:r>
          </w:p>
          <w:p w14:paraId="6164E8CD" w14:textId="45338144" w:rsidR="00562FDD" w:rsidRPr="00DC4A73" w:rsidRDefault="00562FDD" w:rsidP="00225579">
            <w:pPr>
              <w:keepNext/>
            </w:pPr>
            <w:r>
              <w:t>Control 28</w:t>
            </w:r>
          </w:p>
        </w:tc>
        <w:tc>
          <w:tcPr>
            <w:tcW w:w="4961" w:type="dxa"/>
          </w:tcPr>
          <w:p w14:paraId="1AACA25F" w14:textId="2F4B21D2" w:rsidR="00562FDD" w:rsidRPr="00562FDD" w:rsidRDefault="00562FDD" w:rsidP="00562FDD">
            <w:r w:rsidRPr="00562FDD">
              <w:rPr>
                <w:b/>
              </w:rPr>
              <w:t>Aim</w:t>
            </w:r>
            <w:r>
              <w:t xml:space="preserve">: </w:t>
            </w:r>
            <w:r w:rsidRPr="00562FDD">
              <w:t>To evaluate the effectiveness of aerobic dance on cardiorespiratory fitness in pregnant women.</w:t>
            </w:r>
          </w:p>
          <w:p w14:paraId="6BDDC830" w14:textId="7A103994" w:rsidR="00562FDD" w:rsidRPr="00562FDD" w:rsidRDefault="00562FDD" w:rsidP="00562FDD">
            <w:pPr>
              <w:rPr>
                <w:rFonts w:ascii="Times" w:hAnsi="Times"/>
                <w:sz w:val="14"/>
                <w:szCs w:val="14"/>
              </w:rPr>
            </w:pPr>
            <w:r w:rsidRPr="00562FDD">
              <w:rPr>
                <w:rFonts w:ascii="Helvetica" w:hAnsi="Helvetica"/>
                <w:b/>
              </w:rPr>
              <w:t>Population</w:t>
            </w:r>
            <w:r>
              <w:rPr>
                <w:rFonts w:ascii="Helvetica" w:hAnsi="Helvetica"/>
              </w:rPr>
              <w:t>:</w:t>
            </w:r>
            <w:r w:rsidRPr="00562FDD">
              <w:rPr>
                <w:rFonts w:ascii="Helvetica" w:hAnsi="Helvetica"/>
              </w:rPr>
              <w:t xml:space="preserve"> </w:t>
            </w:r>
            <w:r>
              <w:t>P</w:t>
            </w:r>
            <w:r w:rsidRPr="00562FDD">
              <w:t>rimiparous women with a mean age of 30.6</w:t>
            </w:r>
            <w:r>
              <w:t>±3.7</w:t>
            </w:r>
            <w:r w:rsidRPr="00562FDD">
              <w:t xml:space="preserve"> years</w:t>
            </w:r>
          </w:p>
          <w:p w14:paraId="7743E27A" w14:textId="08BDE728" w:rsidR="00562FDD" w:rsidRPr="00562FDD" w:rsidRDefault="00562FDD" w:rsidP="00562FDD">
            <w:r w:rsidRPr="00562FDD">
              <w:rPr>
                <w:rFonts w:ascii="Helvetica" w:hAnsi="Helvetica"/>
                <w:b/>
              </w:rPr>
              <w:t>Intervention</w:t>
            </w:r>
            <w:r w:rsidRPr="00562FDD">
              <w:rPr>
                <w:rFonts w:ascii="Helvetica" w:hAnsi="Helvetica"/>
              </w:rPr>
              <w:t xml:space="preserve"> </w:t>
            </w:r>
            <w:r w:rsidRPr="00562FDD">
              <w:t>Two aerobic dance classes per week and 30 minutes of daily self-imposed physical activity for 12 weeks.</w:t>
            </w:r>
          </w:p>
        </w:tc>
        <w:tc>
          <w:tcPr>
            <w:tcW w:w="4536" w:type="dxa"/>
          </w:tcPr>
          <w:p w14:paraId="694B4510" w14:textId="77777777" w:rsidR="00562FDD" w:rsidRDefault="00562FDD" w:rsidP="00562FDD">
            <w:r>
              <w:t>Intervention vs control:</w:t>
            </w:r>
          </w:p>
          <w:p w14:paraId="025452A4" w14:textId="5777142C" w:rsidR="00562FDD" w:rsidRPr="00DC4A73" w:rsidRDefault="00562FDD" w:rsidP="007731B7">
            <w:pPr>
              <w:pStyle w:val="bullet"/>
            </w:pPr>
            <w:r w:rsidRPr="00562FDD">
              <w:t>V</w:t>
            </w:r>
            <w:r w:rsidRPr="005055B0">
              <w:t>O</w:t>
            </w:r>
            <w:r w:rsidRPr="005055B0">
              <w:rPr>
                <w:vertAlign w:val="subscript"/>
              </w:rPr>
              <w:t>2</w:t>
            </w:r>
            <w:r w:rsidRPr="005055B0">
              <w:t xml:space="preserve"> </w:t>
            </w:r>
            <w:r w:rsidR="005055B0" w:rsidRPr="005055B0">
              <w:t>(mL/kg/minute</w:t>
            </w:r>
            <w:r w:rsidR="007731B7">
              <w:t xml:space="preserve"> at 1.5 mmol above resting blood lactate levels</w:t>
            </w:r>
            <w:r w:rsidR="005055B0" w:rsidRPr="005055B0">
              <w:t xml:space="preserve">) </w:t>
            </w:r>
            <w:r w:rsidRPr="005055B0">
              <w:t>po</w:t>
            </w:r>
            <w:r w:rsidRPr="00562FDD">
              <w:t>st-intervention: 24.5</w:t>
            </w:r>
            <w:r w:rsidR="005055B0">
              <w:t>±</w:t>
            </w:r>
            <w:r w:rsidRPr="00562FDD">
              <w:t>3.8</w:t>
            </w:r>
            <w:r w:rsidR="005055B0">
              <w:t xml:space="preserve"> vs</w:t>
            </w:r>
            <w:r w:rsidRPr="00596809">
              <w:t xml:space="preserve"> 24.5</w:t>
            </w:r>
            <w:r w:rsidR="007731B7">
              <w:t>±</w:t>
            </w:r>
            <w:r w:rsidRPr="00596809">
              <w:t xml:space="preserve">2.5 </w:t>
            </w:r>
          </w:p>
        </w:tc>
        <w:tc>
          <w:tcPr>
            <w:tcW w:w="1843" w:type="dxa"/>
          </w:tcPr>
          <w:p w14:paraId="77F31BD7" w14:textId="77777777" w:rsidR="00562FDD" w:rsidRPr="00DC4A73" w:rsidRDefault="00562FDD" w:rsidP="00225579">
            <w:pPr>
              <w:keepNext/>
            </w:pPr>
          </w:p>
        </w:tc>
      </w:tr>
      <w:tr w:rsidR="00583EE8" w:rsidRPr="00DC4A73" w14:paraId="38CDD594" w14:textId="77777777" w:rsidTr="00062DBB">
        <w:trPr>
          <w:cantSplit/>
        </w:trPr>
        <w:tc>
          <w:tcPr>
            <w:tcW w:w="1273" w:type="dxa"/>
          </w:tcPr>
          <w:p w14:paraId="20989EA7" w14:textId="05A79CC0" w:rsidR="00583EE8" w:rsidRPr="00C12274" w:rsidRDefault="00583EE8" w:rsidP="0099206A">
            <w:r>
              <w:t>Bisson et al 2015</w:t>
            </w:r>
            <w:r>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instrText xml:space="preserve"> ADDIN EN.CITE </w:instrText>
            </w:r>
            <w:r w:rsidR="002747EA">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269</w:t>
            </w:r>
            <w:r>
              <w:fldChar w:fldCharType="end"/>
            </w:r>
          </w:p>
          <w:p w14:paraId="0E16B50A" w14:textId="1A0B3174" w:rsidR="00583EE8" w:rsidRDefault="00583EE8" w:rsidP="0099206A">
            <w:r w:rsidRPr="00C12274">
              <w:t>Canada</w:t>
            </w:r>
          </w:p>
        </w:tc>
        <w:tc>
          <w:tcPr>
            <w:tcW w:w="1279" w:type="dxa"/>
          </w:tcPr>
          <w:p w14:paraId="3A74FF3D" w14:textId="77777777" w:rsidR="00583EE8" w:rsidRDefault="00583EE8" w:rsidP="00FC3D91">
            <w:r>
              <w:t>Intervention 23</w:t>
            </w:r>
          </w:p>
          <w:p w14:paraId="182BF6F5" w14:textId="3570A7AB" w:rsidR="00583EE8" w:rsidRDefault="00583EE8" w:rsidP="00225579">
            <w:pPr>
              <w:keepNext/>
            </w:pPr>
            <w:r>
              <w:t>Control 22</w:t>
            </w:r>
          </w:p>
        </w:tc>
        <w:tc>
          <w:tcPr>
            <w:tcW w:w="4961" w:type="dxa"/>
          </w:tcPr>
          <w:p w14:paraId="3DDD232A" w14:textId="77777777" w:rsidR="00583EE8" w:rsidRPr="00867F71" w:rsidRDefault="00583EE8" w:rsidP="00FC3D91">
            <w:r w:rsidRPr="0035385E">
              <w:rPr>
                <w:b/>
              </w:rPr>
              <w:t>Aim</w:t>
            </w:r>
            <w:r>
              <w:t xml:space="preserve">: </w:t>
            </w:r>
            <w:r w:rsidRPr="00867F71">
              <w:t>To evaluate whether a 12-week supervised exercise program promotes an active lifestyle throughout pregnancy in pregnant women with obesity.</w:t>
            </w:r>
          </w:p>
          <w:p w14:paraId="679AC624" w14:textId="77777777" w:rsidR="00583EE8" w:rsidRDefault="00583EE8" w:rsidP="00FC3D91">
            <w:r w:rsidRPr="0035385E">
              <w:rPr>
                <w:b/>
              </w:rPr>
              <w:t>Population</w:t>
            </w:r>
            <w:r>
              <w:t>: Pregnant women with BMI ≥</w:t>
            </w:r>
            <w:r w:rsidRPr="00867F71">
              <w:t>30 kg/m</w:t>
            </w:r>
            <w:r w:rsidRPr="0067575F">
              <w:rPr>
                <w:vertAlign w:val="superscript"/>
              </w:rPr>
              <w:t>2</w:t>
            </w:r>
            <w:r w:rsidRPr="00867F71">
              <w:t xml:space="preserve">) </w:t>
            </w:r>
            <w:r>
              <w:t>and a singleton pregnancy.</w:t>
            </w:r>
          </w:p>
          <w:p w14:paraId="37B042A6" w14:textId="77777777" w:rsidR="00583EE8" w:rsidRDefault="00583EE8" w:rsidP="00FC3D91">
            <w:r w:rsidRPr="005E4EF9">
              <w:rPr>
                <w:b/>
              </w:rPr>
              <w:t>Intervention</w:t>
            </w:r>
            <w:r>
              <w:rPr>
                <w:b/>
              </w:rPr>
              <w:t>:</w:t>
            </w:r>
          </w:p>
          <w:p w14:paraId="7FF99F89" w14:textId="77777777" w:rsidR="00583EE8" w:rsidRPr="00C45716" w:rsidRDefault="00583EE8" w:rsidP="00FC3D91">
            <w:pPr>
              <w:pStyle w:val="bullet"/>
            </w:pPr>
            <w:r w:rsidRPr="00C45716">
              <w:rPr>
                <w:i/>
              </w:rPr>
              <w:t>Supervised</w:t>
            </w:r>
            <w:r w:rsidRPr="00C45716">
              <w:t>: Yes</w:t>
            </w:r>
          </w:p>
          <w:p w14:paraId="266A44AE" w14:textId="77777777" w:rsidR="00583EE8" w:rsidRPr="007D13BF" w:rsidRDefault="00583EE8" w:rsidP="00FC3D91">
            <w:pPr>
              <w:pStyle w:val="bullet"/>
            </w:pPr>
            <w:r w:rsidRPr="00C45716">
              <w:rPr>
                <w:i/>
              </w:rPr>
              <w:t>Type and duration</w:t>
            </w:r>
            <w:r w:rsidRPr="00C45716">
              <w:t xml:space="preserve">: </w:t>
            </w:r>
            <w:r>
              <w:t xml:space="preserve">Aerobic and resistance; </w:t>
            </w:r>
            <w:r w:rsidRPr="00C12274">
              <w:t>Stationary cycling, treadmill, muscle strengthening</w:t>
            </w:r>
            <w:r>
              <w:t xml:space="preserve">; </w:t>
            </w:r>
            <w:r w:rsidRPr="00C12274">
              <w:t>60 min 3 times a week from week 15 to 27</w:t>
            </w:r>
          </w:p>
          <w:p w14:paraId="69ADE2ED" w14:textId="55D98F11" w:rsidR="00583EE8" w:rsidRPr="00562FDD" w:rsidRDefault="00583EE8" w:rsidP="00583EE8">
            <w:pPr>
              <w:pStyle w:val="bullet"/>
              <w:rPr>
                <w:b/>
              </w:rPr>
            </w:pPr>
            <w:r w:rsidRPr="00C45716">
              <w:rPr>
                <w:i/>
              </w:rPr>
              <w:t>Intensity</w:t>
            </w:r>
            <w:r w:rsidRPr="00C45716">
              <w:t xml:space="preserve">: </w:t>
            </w:r>
            <w:r w:rsidRPr="00C12274">
              <w:t>Moderate; 70% HR or perceived exertion score of 3-5/10</w:t>
            </w:r>
          </w:p>
        </w:tc>
        <w:tc>
          <w:tcPr>
            <w:tcW w:w="4536" w:type="dxa"/>
          </w:tcPr>
          <w:p w14:paraId="16526070" w14:textId="21C669E8" w:rsidR="00583EE8" w:rsidRDefault="00583EE8" w:rsidP="00562FDD">
            <w:r>
              <w:t>Intervention (n=22) vs control (n=22):</w:t>
            </w:r>
          </w:p>
          <w:p w14:paraId="0B3009A5" w14:textId="49EE437D" w:rsidR="00583EE8" w:rsidRPr="00583EE8" w:rsidRDefault="00BC038E" w:rsidP="00583EE8">
            <w:pPr>
              <w:pStyle w:val="bullet"/>
            </w:pPr>
            <w:r>
              <w:t xml:space="preserve">Change in </w:t>
            </w:r>
            <w:r w:rsidR="00583EE8" w:rsidRPr="00583EE8">
              <w:t>VO</w:t>
            </w:r>
            <w:r w:rsidR="00583EE8" w:rsidRPr="00583EE8">
              <w:rPr>
                <w:vertAlign w:val="subscript"/>
              </w:rPr>
              <w:t xml:space="preserve">2 </w:t>
            </w:r>
            <w:r w:rsidR="00583EE8">
              <w:t>AT (</w:t>
            </w:r>
            <w:r w:rsidR="00583EE8" w:rsidRPr="00583EE8">
              <w:t xml:space="preserve">oxygen </w:t>
            </w:r>
            <w:r w:rsidR="00333D44">
              <w:t>uptake</w:t>
            </w:r>
            <w:r w:rsidR="00583EE8" w:rsidRPr="00583EE8">
              <w:t xml:space="preserve"> at the anaerobic threshold</w:t>
            </w:r>
            <w:r w:rsidR="00583EE8">
              <w:t xml:space="preserve">): </w:t>
            </w:r>
            <w:r>
              <w:t>1.6±13.3 vs -6.5±9.9; MD 8.1; (%%CI 0.7 to 9.5; p&lt;0.05</w:t>
            </w:r>
          </w:p>
          <w:p w14:paraId="4EE79AB4" w14:textId="77777777" w:rsidR="00583EE8" w:rsidRDefault="00583EE8" w:rsidP="00562FDD"/>
        </w:tc>
        <w:tc>
          <w:tcPr>
            <w:tcW w:w="1843" w:type="dxa"/>
          </w:tcPr>
          <w:p w14:paraId="2626C7DB" w14:textId="77777777" w:rsidR="00583EE8" w:rsidRPr="00DC4A73" w:rsidRDefault="00583EE8" w:rsidP="00225579">
            <w:pPr>
              <w:keepNext/>
            </w:pPr>
          </w:p>
        </w:tc>
      </w:tr>
      <w:tr w:rsidR="00CE19C8" w:rsidRPr="00DC4A73" w14:paraId="3A67CB42" w14:textId="77777777" w:rsidTr="00062DBB">
        <w:trPr>
          <w:cantSplit/>
        </w:trPr>
        <w:tc>
          <w:tcPr>
            <w:tcW w:w="1273" w:type="dxa"/>
          </w:tcPr>
          <w:p w14:paraId="051915AA" w14:textId="001C6988" w:rsidR="00CE19C8" w:rsidRPr="00C12274" w:rsidRDefault="00CE19C8" w:rsidP="0099206A">
            <w:r>
              <w:rPr>
                <w:noProof/>
              </w:rPr>
              <w:t>de Oliveria Melo et al 2012</w:t>
            </w:r>
            <w:r>
              <w:fldChar w:fldCharType="begin"/>
            </w:r>
            <w:r w:rsidR="002747EA">
              <w:instrText xml:space="preserve"> ADDIN EN.CITE &lt;EndNote&gt;&lt;Cite&gt;&lt;Author&gt;de Oliveria Melo&lt;/Author&gt;&lt;Year&gt;2012&lt;/Year&gt;&lt;RecNum&gt;687&lt;/RecNum&gt;&lt;DisplayText&gt;&lt;style face="superscript" font="Trebuchet MS" size="9"&gt;270&lt;/style&gt;&lt;/DisplayText&gt;&lt;record&gt;&lt;rec-number&gt;687&lt;/rec-number&gt;&lt;foreign-keys&gt;&lt;key app="EN" db-id="exvasrfx2dtraoesasxp2szsxa2df502592x" timestamp="1540527319"&gt;687&lt;/key&gt;&lt;/foreign-keys&gt;&lt;ref-type name="Journal Article"&gt;17&lt;/ref-type&gt;&lt;contributors&gt;&lt;authors&gt;&lt;author&gt;de Oliveria Melo, A. S.&lt;/author&gt;&lt;author&gt;Silva, J. L.&lt;/author&gt;&lt;author&gt;Tavares, J. S.&lt;/author&gt;&lt;author&gt;Barros, V. O.&lt;/author&gt;&lt;author&gt;Leite, D. F.&lt;/author&gt;&lt;author&gt;Amorim, M. M.&lt;/author&gt;&lt;/authors&gt;&lt;/contributors&gt;&lt;auth-address&gt;Department of Obstetrics, School Medical Sciences, University of Campinas, Campinas, Brazil. asomelo@gmail.com&lt;/auth-address&gt;&lt;titles&gt;&lt;title&gt;Effect of a physical exercise program during pregnancy on uteroplacental and fetal blood flow and fetal growth: a randomized controlled trial&lt;/title&gt;&lt;secondary-title&gt;Obstet Gynecol&lt;/secondary-title&gt;&lt;/titles&gt;&lt;periodical&gt;&lt;full-title&gt;Obstet Gynecol&lt;/full-title&gt;&lt;/periodical&gt;&lt;pages&gt;302-10&lt;/pages&gt;&lt;volume&gt;120&lt;/volume&gt;&lt;number&gt;2 Pt 1&lt;/number&gt;&lt;edition&gt;2012/07/25&lt;/edition&gt;&lt;keywords&gt;&lt;keyword&gt;Adult&lt;/keyword&gt;&lt;keyword&gt;*Birth Weight&lt;/keyword&gt;&lt;keyword&gt;Blood Pressure&lt;/keyword&gt;&lt;keyword&gt;Exercise/*physiology&lt;/keyword&gt;&lt;keyword&gt;Female&lt;/keyword&gt;&lt;keyword&gt;*Fetal Development&lt;/keyword&gt;&lt;keyword&gt;Fetus/blood supply&lt;/keyword&gt;&lt;keyword&gt;Humans&lt;/keyword&gt;&lt;keyword&gt;Infant, Newborn&lt;/keyword&gt;&lt;keyword&gt;Physical Fitness&lt;/keyword&gt;&lt;keyword&gt;*Placental Circulation&lt;/keyword&gt;&lt;keyword&gt;Pregnancy/*physiology&lt;/keyword&gt;&lt;keyword&gt;Young Adult&lt;/keyword&gt;&lt;/keywords&gt;&lt;dates&gt;&lt;year&gt;2012&lt;/year&gt;&lt;pub-dates&gt;&lt;date&gt;Aug&lt;/date&gt;&lt;/pub-dates&gt;&lt;/dates&gt;&lt;isbn&gt;1873-233X (Electronic)&amp;#xD;0029-7844 (Linking)&lt;/isbn&gt;&lt;accession-num&gt;22825089&lt;/accession-num&gt;&lt;urls&gt;&lt;related-urls&gt;&lt;url&gt;https://www.ncbi.nlm.nih.gov/pubmed/22825089&lt;/url&gt;&lt;/related-urls&gt;&lt;/urls&gt;&lt;electronic-resource-num&gt;10.1097/AOG.0b013e31825de592&lt;/electronic-resource-num&gt;&lt;/record&gt;&lt;/Cite&gt;&lt;/EndNote&gt;</w:instrText>
            </w:r>
            <w:r>
              <w:fldChar w:fldCharType="separate"/>
            </w:r>
            <w:r w:rsidR="002747EA" w:rsidRPr="002747EA">
              <w:rPr>
                <w:noProof/>
                <w:vertAlign w:val="superscript"/>
              </w:rPr>
              <w:t>270</w:t>
            </w:r>
            <w:r>
              <w:fldChar w:fldCharType="end"/>
            </w:r>
          </w:p>
          <w:p w14:paraId="267D77CD" w14:textId="2E60BD14" w:rsidR="00CE19C8" w:rsidRDefault="00CE19C8" w:rsidP="0099206A">
            <w:r w:rsidRPr="00C12274">
              <w:t>Brazil</w:t>
            </w:r>
          </w:p>
        </w:tc>
        <w:tc>
          <w:tcPr>
            <w:tcW w:w="1279" w:type="dxa"/>
          </w:tcPr>
          <w:p w14:paraId="50426315" w14:textId="77777777" w:rsidR="00CE19C8" w:rsidRDefault="00CE19C8" w:rsidP="00FC3D91">
            <w:r>
              <w:t>Intervention 13 weeks 62</w:t>
            </w:r>
          </w:p>
          <w:p w14:paraId="1DE00D06" w14:textId="77777777" w:rsidR="00CE19C8" w:rsidRDefault="00CE19C8" w:rsidP="00FC3D91">
            <w:r>
              <w:t>Intervention 20 weeks 63</w:t>
            </w:r>
          </w:p>
          <w:p w14:paraId="7DB524F1" w14:textId="77777777" w:rsidR="00CE19C8" w:rsidRDefault="00CE19C8" w:rsidP="00FC3D91">
            <w:r>
              <w:t>Control 62</w:t>
            </w:r>
          </w:p>
          <w:p w14:paraId="3669C405" w14:textId="29573E31" w:rsidR="00C96A00" w:rsidRDefault="00C96A00" w:rsidP="00FC3D91">
            <w:r>
              <w:t>3-armed; control group halved</w:t>
            </w:r>
          </w:p>
        </w:tc>
        <w:tc>
          <w:tcPr>
            <w:tcW w:w="4961" w:type="dxa"/>
          </w:tcPr>
          <w:p w14:paraId="07F62A30" w14:textId="77777777" w:rsidR="00CE19C8" w:rsidRDefault="00CE19C8" w:rsidP="00FC3D91">
            <w:r w:rsidRPr="00056D57">
              <w:rPr>
                <w:b/>
              </w:rPr>
              <w:t>Aim</w:t>
            </w:r>
            <w:r>
              <w:t xml:space="preserve">: </w:t>
            </w:r>
            <w:r w:rsidRPr="00056D57">
              <w:t xml:space="preserve">To estimate the effect of supervised physical exercise on maternal physical fitness, fetoplacental blood flow, and fetal growth. </w:t>
            </w:r>
          </w:p>
          <w:p w14:paraId="09BD18FB" w14:textId="77777777" w:rsidR="00CE19C8" w:rsidRPr="00935520" w:rsidRDefault="00CE19C8" w:rsidP="00FC3D91">
            <w:r w:rsidRPr="00935520">
              <w:rPr>
                <w:b/>
              </w:rPr>
              <w:t>Population</w:t>
            </w:r>
            <w:r>
              <w:t xml:space="preserve">: </w:t>
            </w:r>
            <w:r w:rsidRPr="00935520">
              <w:t>healthy pregnant</w:t>
            </w:r>
            <w:r>
              <w:t xml:space="preserve"> </w:t>
            </w:r>
            <w:r w:rsidRPr="00935520">
              <w:t>women who were sedentary at admission to the</w:t>
            </w:r>
            <w:r>
              <w:t xml:space="preserve"> </w:t>
            </w:r>
            <w:r w:rsidRPr="00935520">
              <w:t xml:space="preserve">study, gestational age 13 weeks </w:t>
            </w:r>
            <w:r>
              <w:t>with an uncomplicated singleton pregnancy. Mixed BMIs.</w:t>
            </w:r>
          </w:p>
          <w:p w14:paraId="367408BC" w14:textId="77777777" w:rsidR="00CE19C8" w:rsidRDefault="00CE19C8" w:rsidP="00FC3D91">
            <w:r w:rsidRPr="005E4EF9">
              <w:rPr>
                <w:b/>
              </w:rPr>
              <w:t>Intervention</w:t>
            </w:r>
            <w:r>
              <w:rPr>
                <w:b/>
              </w:rPr>
              <w:t>:</w:t>
            </w:r>
          </w:p>
          <w:p w14:paraId="1C7FECF1" w14:textId="77777777" w:rsidR="00CE19C8" w:rsidRPr="00C45716" w:rsidRDefault="00CE19C8" w:rsidP="00FC3D91">
            <w:pPr>
              <w:pStyle w:val="bullet"/>
            </w:pPr>
            <w:r w:rsidRPr="00C45716">
              <w:rPr>
                <w:i/>
              </w:rPr>
              <w:t>Supervised</w:t>
            </w:r>
            <w:r w:rsidRPr="00C45716">
              <w:t>: Yes</w:t>
            </w:r>
          </w:p>
          <w:p w14:paraId="72B18874" w14:textId="77777777" w:rsidR="00CE19C8" w:rsidRPr="00CE19C8" w:rsidRDefault="00CE19C8" w:rsidP="00FC3D91">
            <w:pPr>
              <w:pStyle w:val="bullet"/>
            </w:pPr>
            <w:r w:rsidRPr="00C45716">
              <w:rPr>
                <w:i/>
              </w:rPr>
              <w:t>Type and duration</w:t>
            </w:r>
            <w:r w:rsidRPr="00C45716">
              <w:t xml:space="preserve">: </w:t>
            </w:r>
            <w:r w:rsidRPr="00CE19C8">
              <w:t xml:space="preserve">Aerobic; 15 min walking, 3 times weekly, increasing according to woman’s ability from 13 weeks (Group A) or 20 weeks (Group B) until birth </w:t>
            </w:r>
          </w:p>
          <w:p w14:paraId="1291D7C6" w14:textId="1FCCBF1B" w:rsidR="00CE19C8" w:rsidRPr="001C598C" w:rsidRDefault="00CE19C8" w:rsidP="00E617FF">
            <w:pPr>
              <w:pStyle w:val="bullet"/>
              <w:rPr>
                <w:b/>
              </w:rPr>
            </w:pPr>
            <w:r w:rsidRPr="00E617FF">
              <w:rPr>
                <w:i/>
              </w:rPr>
              <w:t>Intensity</w:t>
            </w:r>
            <w:r w:rsidRPr="00CE19C8">
              <w:t>: Moderate; 60-80% maximum HR; Borg scale 12-16</w:t>
            </w:r>
          </w:p>
        </w:tc>
        <w:tc>
          <w:tcPr>
            <w:tcW w:w="4536" w:type="dxa"/>
          </w:tcPr>
          <w:p w14:paraId="3F942AE5" w14:textId="2878E95A" w:rsidR="00CE19C8" w:rsidRDefault="00C96A00" w:rsidP="00562FDD">
            <w:r>
              <w:t xml:space="preserve">Intervention </w:t>
            </w:r>
            <w:r w:rsidR="003305E0">
              <w:t>(initiated at 13 weeks; n=</w:t>
            </w:r>
            <w:r w:rsidR="000A1729">
              <w:t>62</w:t>
            </w:r>
            <w:r w:rsidR="003305E0">
              <w:t xml:space="preserve">) </w:t>
            </w:r>
            <w:r>
              <w:t>vs control</w:t>
            </w:r>
            <w:r w:rsidR="003305E0">
              <w:t xml:space="preserve"> (n=</w:t>
            </w:r>
            <w:r w:rsidR="000A1729">
              <w:t>31</w:t>
            </w:r>
            <w:r w:rsidR="003305E0">
              <w:t>):</w:t>
            </w:r>
          </w:p>
          <w:p w14:paraId="1B1D066B" w14:textId="33331BD2" w:rsidR="00F87E0B" w:rsidRDefault="003305E0" w:rsidP="000A1729">
            <w:pPr>
              <w:pStyle w:val="bullet"/>
            </w:pPr>
            <w:r>
              <w:t>VO</w:t>
            </w:r>
            <w:r w:rsidRPr="000A1729">
              <w:rPr>
                <w:vertAlign w:val="subscript"/>
              </w:rPr>
              <w:t>2</w:t>
            </w:r>
            <w:r>
              <w:t xml:space="preserve"> max (maximal oxygen </w:t>
            </w:r>
            <w:r w:rsidR="000A1729">
              <w:t>consumption</w:t>
            </w:r>
            <w:r>
              <w:t>)</w:t>
            </w:r>
            <w:r w:rsidR="000A1729">
              <w:t xml:space="preserve"> at 28 weeks</w:t>
            </w:r>
            <w:r>
              <w:t>:</w:t>
            </w:r>
            <w:r w:rsidR="000A1729">
              <w:t xml:space="preserve"> 27.3±4.3 vs 25.5±3.8</w:t>
            </w:r>
          </w:p>
          <w:p w14:paraId="6B880454" w14:textId="77777777" w:rsidR="003305E0" w:rsidRDefault="003305E0" w:rsidP="000A1729">
            <w:r>
              <w:t xml:space="preserve">Intervention </w:t>
            </w:r>
            <w:r w:rsidR="00875528">
              <w:t xml:space="preserve">(initiated at 20 weeks; </w:t>
            </w:r>
            <w:r w:rsidR="000A1729">
              <w:t xml:space="preserve">n=63) </w:t>
            </w:r>
            <w:r>
              <w:t xml:space="preserve">vs control </w:t>
            </w:r>
            <w:r w:rsidR="000A1729">
              <w:t>(n=31)</w:t>
            </w:r>
          </w:p>
          <w:p w14:paraId="000F8640" w14:textId="67D22BED" w:rsidR="000A1729" w:rsidRPr="000A1729" w:rsidRDefault="000A1729" w:rsidP="000A1729">
            <w:pPr>
              <w:pStyle w:val="bullet"/>
            </w:pPr>
            <w:r>
              <w:t>VO</w:t>
            </w:r>
            <w:r w:rsidRPr="00C3770D">
              <w:rPr>
                <w:vertAlign w:val="subscript"/>
              </w:rPr>
              <w:t>2</w:t>
            </w:r>
            <w:r>
              <w:t xml:space="preserve"> max (maximal oxygen consumption) at 28 weeks: 28.0±3 vs 25.5±3.8</w:t>
            </w:r>
          </w:p>
        </w:tc>
        <w:tc>
          <w:tcPr>
            <w:tcW w:w="1843" w:type="dxa"/>
          </w:tcPr>
          <w:p w14:paraId="6E9DE504" w14:textId="77777777" w:rsidR="00CE19C8" w:rsidRPr="00DC4A73" w:rsidRDefault="00CE19C8" w:rsidP="00225579">
            <w:pPr>
              <w:keepNext/>
            </w:pPr>
          </w:p>
        </w:tc>
      </w:tr>
      <w:tr w:rsidR="00BA5C68" w:rsidRPr="00DC4A73" w14:paraId="13B67C1F" w14:textId="77777777" w:rsidTr="00062DBB">
        <w:trPr>
          <w:cantSplit/>
        </w:trPr>
        <w:tc>
          <w:tcPr>
            <w:tcW w:w="1273" w:type="dxa"/>
          </w:tcPr>
          <w:p w14:paraId="6E723539" w14:textId="3952DEBF" w:rsidR="00BA5C68" w:rsidRPr="00C12274" w:rsidRDefault="00BA5C68" w:rsidP="0099206A">
            <w:r>
              <w:rPr>
                <w:noProof/>
              </w:rPr>
              <w:t>Guelfi et al 2016</w:t>
            </w:r>
            <w:r>
              <w:fldChar w:fldCharType="begin"/>
            </w:r>
            <w:r w:rsidR="002747EA">
              <w:instrText xml:space="preserve"> ADDIN EN.CITE &lt;EndNote&gt;&lt;Cite&gt;&lt;Author&gt;Guelfi&lt;/Author&gt;&lt;Year&gt;2016&lt;/Year&gt;&lt;RecNum&gt;723&lt;/RecNum&gt;&lt;DisplayText&gt;&lt;style face="superscript" font="Trebuchet MS" size="9"&gt;271&lt;/style&gt;&lt;/DisplayText&gt;&lt;record&gt;&lt;rec-number&gt;723&lt;/rec-number&gt;&lt;foreign-keys&gt;&lt;key app="EN" db-id="exvasrfx2dtraoesasxp2szsxa2df502592x" timestamp="1541464880"&gt;723&lt;/key&gt;&lt;/foreign-keys&gt;&lt;ref-type name="Journal Article"&gt;17&lt;/ref-type&gt;&lt;contributors&gt;&lt;authors&gt;&lt;author&gt;Guelfi, K. J.&lt;/author&gt;&lt;author&gt;Ong, M. J.&lt;/author&gt;&lt;author&gt;Crisp, N. A.&lt;/author&gt;&lt;author&gt;Fournier, P. A.&lt;/author&gt;&lt;author&gt;Wallman, K. E.&lt;/author&gt;&lt;author&gt;Grove, J. R.&lt;/author&gt;&lt;author&gt;Doherty, D. A.&lt;/author&gt;&lt;author&gt;Newnham, J. P.&lt;/author&gt;&lt;/authors&gt;&lt;/contributors&gt;&lt;auth-address&gt;School of Sport Science, Exercise and Health and the School of Women&amp;apos;s and Infants&amp;apos; Health, the University of Western Australia, Perth, Western Australia, Australia.&lt;/auth-address&gt;&lt;titles&gt;&lt;title&gt;Regular Exercise to Prevent the Recurrence of Gestational Diabetes Mellitus: A Randomized Controlled Trial&lt;/title&gt;&lt;secondary-title&gt;Obstet Gynecol&lt;/secondary-title&gt;&lt;/titles&gt;&lt;periodical&gt;&lt;full-title&gt;Obstet Gynecol&lt;/full-title&gt;&lt;/periodical&gt;&lt;pages&gt;819-27&lt;/pages&gt;&lt;volume&gt;128&lt;/volume&gt;&lt;number&gt;4&lt;/number&gt;&lt;edition&gt;2016/09/09&lt;/edition&gt;&lt;keywords&gt;&lt;keyword&gt;Adult&lt;/keyword&gt;&lt;keyword&gt;Diabetes, Gestational/blood/*prevention &amp;amp; control&lt;/keyword&gt;&lt;keyword&gt;*Exercise Therapy&lt;/keyword&gt;&lt;keyword&gt;Female&lt;/keyword&gt;&lt;keyword&gt;Glucose Tolerance Test&lt;/keyword&gt;&lt;keyword&gt;Humans&lt;/keyword&gt;&lt;keyword&gt;Pregnancy&lt;/keyword&gt;&lt;keyword&gt;Pregnancy Outcome&lt;/keyword&gt;&lt;keyword&gt;*Prenatal Care&lt;/keyword&gt;&lt;keyword&gt;Recurrence&lt;/keyword&gt;&lt;keyword&gt;Treatment Outcome&lt;/keyword&gt;&lt;/keywords&gt;&lt;dates&gt;&lt;year&gt;2016&lt;/year&gt;&lt;pub-dates&gt;&lt;date&gt;Oct&lt;/date&gt;&lt;/pub-dates&gt;&lt;/dates&gt;&lt;isbn&gt;1873-233X (Electronic)&amp;#xD;0029-7844 (Linking)&lt;/isbn&gt;&lt;accession-num&gt;27607876&lt;/accession-num&gt;&lt;urls&gt;&lt;related-urls&gt;&lt;url&gt;https://www.ncbi.nlm.nih.gov/pubmed/27607876&lt;/url&gt;&lt;/related-urls&gt;&lt;/urls&gt;&lt;electronic-resource-num&gt;10.1097/AOG.0000000000001632&lt;/electronic-resource-num&gt;&lt;/record&gt;&lt;/Cite&gt;&lt;/EndNote&gt;</w:instrText>
            </w:r>
            <w:r>
              <w:fldChar w:fldCharType="separate"/>
            </w:r>
            <w:r w:rsidR="002747EA" w:rsidRPr="002747EA">
              <w:rPr>
                <w:noProof/>
                <w:vertAlign w:val="superscript"/>
              </w:rPr>
              <w:t>271</w:t>
            </w:r>
            <w:r>
              <w:fldChar w:fldCharType="end"/>
            </w:r>
          </w:p>
          <w:p w14:paraId="2E70C205" w14:textId="77777777" w:rsidR="00BA5C68" w:rsidRPr="00C12274" w:rsidRDefault="00BA5C68" w:rsidP="0099206A">
            <w:r w:rsidRPr="00C12274">
              <w:t>Australia</w:t>
            </w:r>
          </w:p>
          <w:p w14:paraId="188646A7" w14:textId="36D00C77" w:rsidR="00BA5C68" w:rsidRPr="00C12274" w:rsidRDefault="00BA5C68" w:rsidP="0099206A">
            <w:pPr>
              <w:rPr>
                <w:noProof/>
              </w:rPr>
            </w:pPr>
            <w:r w:rsidRPr="00C12274">
              <w:rPr>
                <w:noProof/>
              </w:rPr>
              <w:t>NCT01283854</w:t>
            </w:r>
          </w:p>
        </w:tc>
        <w:tc>
          <w:tcPr>
            <w:tcW w:w="1279" w:type="dxa"/>
          </w:tcPr>
          <w:p w14:paraId="667AF21E" w14:textId="77777777" w:rsidR="00BA5C68" w:rsidRDefault="00BA5C68" w:rsidP="002E4BC8">
            <w:r>
              <w:t>Intervention 84</w:t>
            </w:r>
          </w:p>
          <w:p w14:paraId="725128B4" w14:textId="15A74E48" w:rsidR="00BA5C68" w:rsidRDefault="00BA5C68" w:rsidP="002E4BC8">
            <w:r>
              <w:t>Control 85</w:t>
            </w:r>
          </w:p>
        </w:tc>
        <w:tc>
          <w:tcPr>
            <w:tcW w:w="4961" w:type="dxa"/>
          </w:tcPr>
          <w:p w14:paraId="4E72CA6A" w14:textId="77777777" w:rsidR="00BA5C68" w:rsidRDefault="00BA5C68" w:rsidP="002E4BC8">
            <w:r w:rsidRPr="003040B9">
              <w:rPr>
                <w:b/>
              </w:rPr>
              <w:t>Aim</w:t>
            </w:r>
            <w:r>
              <w:t xml:space="preserve">: </w:t>
            </w:r>
            <w:r w:rsidRPr="003D4FA6">
              <w:t>To investigate the effect of a supervised</w:t>
            </w:r>
            <w:r>
              <w:t xml:space="preserve"> </w:t>
            </w:r>
            <w:r w:rsidRPr="003D4FA6">
              <w:t>home-based exercise program on the recurrence and</w:t>
            </w:r>
            <w:r>
              <w:t xml:space="preserve"> </w:t>
            </w:r>
            <w:r w:rsidRPr="003D4FA6">
              <w:t>severity of gestational diabetes mellitus (GDM) together</w:t>
            </w:r>
            <w:r>
              <w:t xml:space="preserve"> </w:t>
            </w:r>
            <w:r w:rsidRPr="003D4FA6">
              <w:t>with other aspects of maternal health and obstetric and</w:t>
            </w:r>
            <w:r>
              <w:t xml:space="preserve"> </w:t>
            </w:r>
            <w:r w:rsidRPr="003D4FA6">
              <w:t>neonatal outcomes.</w:t>
            </w:r>
          </w:p>
          <w:p w14:paraId="24CC2F6F" w14:textId="77777777" w:rsidR="00BA5C68" w:rsidRDefault="00BA5C68" w:rsidP="002E4BC8">
            <w:r w:rsidRPr="003040B9">
              <w:rPr>
                <w:b/>
              </w:rPr>
              <w:t>Population</w:t>
            </w:r>
            <w:r>
              <w:t>: Women with a history of gestational diabetes. Mixed BMIs.</w:t>
            </w:r>
          </w:p>
          <w:p w14:paraId="48447084" w14:textId="77777777" w:rsidR="00BA5C68" w:rsidRDefault="00BA5C68" w:rsidP="002E4BC8">
            <w:r w:rsidRPr="005E4EF9">
              <w:rPr>
                <w:b/>
              </w:rPr>
              <w:t>Intervention</w:t>
            </w:r>
            <w:r>
              <w:rPr>
                <w:b/>
              </w:rPr>
              <w:t>:</w:t>
            </w:r>
          </w:p>
          <w:p w14:paraId="049D64D4" w14:textId="77777777" w:rsidR="00BA5C68" w:rsidRPr="00C45716" w:rsidRDefault="00BA5C68" w:rsidP="002E4BC8">
            <w:pPr>
              <w:pStyle w:val="bullet"/>
            </w:pPr>
            <w:r w:rsidRPr="00C45716">
              <w:rPr>
                <w:i/>
              </w:rPr>
              <w:t>Supervised</w:t>
            </w:r>
            <w:r w:rsidRPr="00C45716">
              <w:t>: Yes</w:t>
            </w:r>
          </w:p>
          <w:p w14:paraId="2531C992" w14:textId="77777777" w:rsidR="00BA5C68" w:rsidRPr="002F69E2" w:rsidRDefault="00BA5C68" w:rsidP="002E4BC8">
            <w:pPr>
              <w:pStyle w:val="bullet"/>
            </w:pPr>
            <w:r w:rsidRPr="00C45716">
              <w:rPr>
                <w:i/>
              </w:rPr>
              <w:t>Type and duration</w:t>
            </w:r>
            <w:r w:rsidRPr="00C45716">
              <w:t xml:space="preserve">: </w:t>
            </w:r>
            <w:r>
              <w:t xml:space="preserve">Aerobic; </w:t>
            </w:r>
            <w:r w:rsidRPr="00C12274">
              <w:t>Stationary cycling</w:t>
            </w:r>
            <w:r>
              <w:t xml:space="preserve"> </w:t>
            </w:r>
            <w:r w:rsidRPr="00C12274">
              <w:t>20-60 min, 3 times a week for 14 weeks from 13±1 weeks</w:t>
            </w:r>
          </w:p>
          <w:p w14:paraId="2E937425" w14:textId="020EB47E" w:rsidR="00BA5C68" w:rsidRPr="00C45CE5" w:rsidRDefault="00BA5C68" w:rsidP="00BA5C68">
            <w:pPr>
              <w:pStyle w:val="bullet"/>
              <w:rPr>
                <w:b/>
              </w:rPr>
            </w:pPr>
            <w:r w:rsidRPr="00C45716">
              <w:rPr>
                <w:i/>
              </w:rPr>
              <w:t>Intensity</w:t>
            </w:r>
            <w:r w:rsidRPr="00C45716">
              <w:t xml:space="preserve">: </w:t>
            </w:r>
            <w:r w:rsidRPr="00BA5C68">
              <w:t>Moderate; 75–85% maximum HR; Borg scale 14–16.</w:t>
            </w:r>
          </w:p>
        </w:tc>
        <w:tc>
          <w:tcPr>
            <w:tcW w:w="4536" w:type="dxa"/>
          </w:tcPr>
          <w:p w14:paraId="092F0012" w14:textId="77777777" w:rsidR="00BA5C68" w:rsidRDefault="00BA5C68" w:rsidP="00562FDD">
            <w:r>
              <w:t>Intervention vs control:</w:t>
            </w:r>
          </w:p>
          <w:p w14:paraId="69DB7D24" w14:textId="27063780" w:rsidR="00BA5C68" w:rsidRDefault="00BA5C68" w:rsidP="00BA5C68">
            <w:pPr>
              <w:pStyle w:val="bullet"/>
            </w:pPr>
            <w:r>
              <w:t>O</w:t>
            </w:r>
            <w:r w:rsidRPr="00BA5C68">
              <w:t>xygen consumption</w:t>
            </w:r>
            <w:r>
              <w:t xml:space="preserve"> </w:t>
            </w:r>
            <w:r w:rsidRPr="00BA5C68">
              <w:t>[L/</w:t>
            </w:r>
            <w:r>
              <w:t xml:space="preserve">min] at 75% maximum heart rate: </w:t>
            </w:r>
            <w:r w:rsidRPr="00BA5C68">
              <w:t>1.65</w:t>
            </w:r>
            <w:r>
              <w:t>±</w:t>
            </w:r>
            <w:r w:rsidRPr="00BA5C68">
              <w:t>0.38</w:t>
            </w:r>
            <w:r>
              <w:t xml:space="preserve"> vs </w:t>
            </w:r>
            <w:r w:rsidRPr="00BA5C68">
              <w:t>1.52</w:t>
            </w:r>
            <w:r>
              <w:t>±</w:t>
            </w:r>
            <w:r w:rsidRPr="00BA5C68">
              <w:t>0.24</w:t>
            </w:r>
            <w:r w:rsidR="005A11E5">
              <w:t>; p&lt;0.01</w:t>
            </w:r>
          </w:p>
        </w:tc>
        <w:tc>
          <w:tcPr>
            <w:tcW w:w="1843" w:type="dxa"/>
          </w:tcPr>
          <w:p w14:paraId="245CB5C8" w14:textId="77777777" w:rsidR="00BA5C68" w:rsidRPr="00DC4A73" w:rsidRDefault="00BA5C68" w:rsidP="00225579">
            <w:pPr>
              <w:keepNext/>
            </w:pPr>
          </w:p>
        </w:tc>
      </w:tr>
      <w:tr w:rsidR="00781DA7" w:rsidRPr="00DC4A73" w14:paraId="356B4C60" w14:textId="77777777" w:rsidTr="00062DBB">
        <w:trPr>
          <w:cantSplit/>
        </w:trPr>
        <w:tc>
          <w:tcPr>
            <w:tcW w:w="1273" w:type="dxa"/>
          </w:tcPr>
          <w:p w14:paraId="244E4ACC" w14:textId="0286D31E" w:rsidR="00781DA7" w:rsidRPr="00C12274" w:rsidRDefault="00781DA7" w:rsidP="0099206A">
            <w:r w:rsidRPr="00C12274">
              <w:rPr>
                <w:noProof/>
              </w:rPr>
              <w:t>Hopkins et al 2010;</w:t>
            </w:r>
            <w:r>
              <w:rPr>
                <w:noProof/>
              </w:rPr>
              <w:fldChar w:fldCharType="begin">
                <w:fldData xml:space="preserve">PEVuZE5vdGU+PENpdGU+PEF1dGhvcj5Ib3BraW5zPC9BdXRob3I+PFllYXI+MjAxMDwvWWVhcj48
UmVjTnVtPjY5MzwvUmVjTnVtPjxEaXNwbGF5VGV4dD48c3R5bGUgZmFjZT0ic3VwZXJzY3JpcHQi
IGZvbnQ9IlRyZWJ1Y2hldCBNUyIgc2l6ZT0iOSI+MjcyPC9zdHlsZT48L0Rpc3BsYXlUZXh0Pjxy
ZWNvcmQ+PHJlYy1udW1iZXI+NjkzPC9yZWMtbnVtYmVyPjxmb3JlaWduLWtleXM+PGtleSBhcHA9
IkVOIiBkYi1pZD0iZXh2YXNyZngyZHRyYW9lc2FzeHAyc3pzeGEyZGY1MDI1OTJ4IiB0aW1lc3Rh
bXA9IjE1NDA1MzAwNjciPjY5Mzwva2V5PjwvZm9yZWlnbi1rZXlzPjxyZWYtdHlwZSBuYW1lPSJK
b3VybmFsIEFydGljbGUiPjE3PC9yZWYtdHlwZT48Y29udHJpYnV0b3JzPjxhdXRob3JzPjxhdXRo
b3I+SG9wa2lucywgUy4gQS48L2F1dGhvcj48YXV0aG9yPkJhbGRpLCBKLiBDLjwvYXV0aG9yPjxh
dXRob3I+Q3V0ZmllbGQsIFcuIFMuPC9hdXRob3I+PGF1dGhvcj5NY0Nvd2FuLCBMLjwvYXV0aG9y
PjxhdXRob3I+SG9mbWFuLCBQLiBMLjwvYXV0aG9yPjwvYXV0aG9ycz48L2NvbnRyaWJ1dG9ycz48
YXV0aC1hZGRyZXNzPkxpZ2dpbnMgSW5zdGl0dXRlLCBUaGUgVW5pdmVyc2l0eSBvZiBBdWNrbGFu
ZCwgUE8gQm94IDkyMDE5LCBBdWNrbGFuZCAxMTQyLCBOZXcgWmVhbGFuZC48L2F1dGgtYWRkcmVz
cz48dGl0bGVzPjx0aXRsZT5FeGVyY2lzZSB0cmFpbmluZyBpbiBwcmVnbmFuY3kgcmVkdWNlcyBv
ZmZzcHJpbmcgc2l6ZSB3aXRob3V0IGNoYW5nZXMgaW4gbWF0ZXJuYWwgaW5zdWxpbiBzZW5zaXRp
dml0eTwvdGl0bGU+PHNlY29uZGFyeS10aXRsZT5KIENsaW4gRW5kb2NyaW5vbCBNZXRhYjwvc2Vj
b25kYXJ5LXRpdGxlPjwvdGl0bGVzPjxwZXJpb2RpY2FsPjxmdWxsLXRpdGxlPkogQ2xpbiBFbmRv
Y3Jpbm9sIE1ldGFiPC9mdWxsLXRpdGxlPjwvcGVyaW9kaWNhbD48cGFnZXM+MjA4MC04PC9wYWdl
cz48dm9sdW1lPjk1PC92b2x1bWU+PG51bWJlcj41PC9udW1iZXI+PGVkaXRpb24+MjAxMC8wMy8y
NjwvZWRpdGlvbj48a2V5d29yZHM+PGtleXdvcmQ+QWR1bHQ8L2tleXdvcmQ+PGtleXdvcmQ+QWVy
b2Jpb3Npczwva2V5d29yZD48a2V5d29yZD5CaWN5Y2xpbmc8L2tleXdvcmQ+PGtleXdvcmQ+KkJp
cnRoIFdlaWdodDwva2V5d29yZD48a2V5d29yZD5CbG9vZCBHbHVjb3NlL21ldGFib2xpc208L2tl
eXdvcmQ+PGtleXdvcmQ+Qm9keSBNYXNzIEluZGV4PC9rZXl3b3JkPjxrZXl3b3JkPkV4ZXJjaXNl
LypwaHlzaW9sb2d5PC9rZXl3b3JkPjxrZXl3b3JkPkZlbWFsZTwva2V5d29yZD48a2V5d29yZD5G
ZXRhbCBCbG9vZC9jaGVtaXN0cnk8L2tleXdvcmQ+PGtleXdvcmQ+RmV0YWwgRGV2ZWxvcG1lbnQv
KnBoeXNpb2xvZ3k8L2tleXdvcmQ+PGtleXdvcmQ+SHVtYW5zPC9rZXl3b3JkPjxrZXl3b3JkPklu
ZmFudCwgTmV3Ym9ybjwva2V5d29yZD48a2V5d29yZD5JbnN1bGluLypibG9vZDwva2V5d29yZD48
a2V5d29yZD5JbnN1bGluLUxpa2UgR3Jvd3RoIEZhY3RvciBJL21ldGFib2xpc208L2tleXdvcmQ+
PGtleXdvcmQ+SW5zdWxpbi1MaWtlIEdyb3d0aCBGYWN0b3IgSUkvbWV0YWJvbGlzbTwva2V5d29y
ZD48a2V5d29yZD5NYWxlPC9rZXl3b3JkPjxrZXl3b3JkPlByZWduYW5jeTwva2V5d29yZD48a2V5
d29yZD5QcmVnbmFuY3kgVHJpbWVzdGVyLCBTZWNvbmQ8L2tleXdvcmQ+PGtleXdvcmQ+UHJlZ25h
bmN5IFRyaW1lc3RlciwgVGhpcmQ8L2tleXdvcmQ+PGtleXdvcmQ+VXRlcnVzL3BoeXNpb2xvZ3k8
L2tleXdvcmQ+PC9rZXl3b3Jkcz48ZGF0ZXM+PHllYXI+MjAxMDwveWVhcj48cHViLWRhdGVzPjxk
YXRlPk1heTwvZGF0ZT48L3B1Yi1kYXRlcz48L2RhdGVzPjxpc2JuPjE5NDUtNzE5NyAoRWxlY3Ry
b25pYykmI3hEOzAwMjEtOTcyWCAoTGlua2luZyk8L2lzYm4+PGFjY2Vzc2lvbi1udW0+MjAzMzU0
NDk8L2FjY2Vzc2lvbi1udW0+PHVybHM+PHJlbGF0ZWQtdXJscz48dXJsPmh0dHBzOi8vd3d3Lm5j
YmkubmxtLm5paC5nb3YvcHVibWVkLzIwMzM1NDQ5PC91cmw+PC9yZWxhdGVkLXVybHM+PC91cmxz
PjxlbGVjdHJvbmljLXJlc291cmNlLW51bT4xMC4xMjEwL2pjLjIwMDktMjI1NTwvZWxlY3Ryb25p
Yy1yZXNvdXJjZS1udW0+PC9yZWNvcmQ+PC9DaXRlPjwvRW5kTm90ZT5=
</w:fldData>
              </w:fldChar>
            </w:r>
            <w:r w:rsidR="002747EA">
              <w:rPr>
                <w:noProof/>
              </w:rPr>
              <w:instrText xml:space="preserve"> ADDIN EN.CITE </w:instrText>
            </w:r>
            <w:r w:rsidR="002747EA">
              <w:rPr>
                <w:noProof/>
              </w:rPr>
              <w:fldChar w:fldCharType="begin">
                <w:fldData xml:space="preserve">PEVuZE5vdGU+PENpdGU+PEF1dGhvcj5Ib3BraW5zPC9BdXRob3I+PFllYXI+MjAxMDwvWWVhcj48
UmVjTnVtPjY5MzwvUmVjTnVtPjxEaXNwbGF5VGV4dD48c3R5bGUgZmFjZT0ic3VwZXJzY3JpcHQi
IGZvbnQ9IlRyZWJ1Y2hldCBNUyIgc2l6ZT0iOSI+MjcyPC9zdHlsZT48L0Rpc3BsYXlUZXh0Pjxy
ZWNvcmQ+PHJlYy1udW1iZXI+NjkzPC9yZWMtbnVtYmVyPjxmb3JlaWduLWtleXM+PGtleSBhcHA9
IkVOIiBkYi1pZD0iZXh2YXNyZngyZHRyYW9lc2FzeHAyc3pzeGEyZGY1MDI1OTJ4IiB0aW1lc3Rh
bXA9IjE1NDA1MzAwNjciPjY5Mzwva2V5PjwvZm9yZWlnbi1rZXlzPjxyZWYtdHlwZSBuYW1lPSJK
b3VybmFsIEFydGljbGUiPjE3PC9yZWYtdHlwZT48Y29udHJpYnV0b3JzPjxhdXRob3JzPjxhdXRo
b3I+SG9wa2lucywgUy4gQS48L2F1dGhvcj48YXV0aG9yPkJhbGRpLCBKLiBDLjwvYXV0aG9yPjxh
dXRob3I+Q3V0ZmllbGQsIFcuIFMuPC9hdXRob3I+PGF1dGhvcj5NY0Nvd2FuLCBMLjwvYXV0aG9y
PjxhdXRob3I+SG9mbWFuLCBQLiBMLjwvYXV0aG9yPjwvYXV0aG9ycz48L2NvbnRyaWJ1dG9ycz48
YXV0aC1hZGRyZXNzPkxpZ2dpbnMgSW5zdGl0dXRlLCBUaGUgVW5pdmVyc2l0eSBvZiBBdWNrbGFu
ZCwgUE8gQm94IDkyMDE5LCBBdWNrbGFuZCAxMTQyLCBOZXcgWmVhbGFuZC48L2F1dGgtYWRkcmVz
cz48dGl0bGVzPjx0aXRsZT5FeGVyY2lzZSB0cmFpbmluZyBpbiBwcmVnbmFuY3kgcmVkdWNlcyBv
ZmZzcHJpbmcgc2l6ZSB3aXRob3V0IGNoYW5nZXMgaW4gbWF0ZXJuYWwgaW5zdWxpbiBzZW5zaXRp
dml0eTwvdGl0bGU+PHNlY29uZGFyeS10aXRsZT5KIENsaW4gRW5kb2NyaW5vbCBNZXRhYjwvc2Vj
b25kYXJ5LXRpdGxlPjwvdGl0bGVzPjxwZXJpb2RpY2FsPjxmdWxsLXRpdGxlPkogQ2xpbiBFbmRv
Y3Jpbm9sIE1ldGFiPC9mdWxsLXRpdGxlPjwvcGVyaW9kaWNhbD48cGFnZXM+MjA4MC04PC9wYWdl
cz48dm9sdW1lPjk1PC92b2x1bWU+PG51bWJlcj41PC9udW1iZXI+PGVkaXRpb24+MjAxMC8wMy8y
NjwvZWRpdGlvbj48a2V5d29yZHM+PGtleXdvcmQ+QWR1bHQ8L2tleXdvcmQ+PGtleXdvcmQ+QWVy
b2Jpb3Npczwva2V5d29yZD48a2V5d29yZD5CaWN5Y2xpbmc8L2tleXdvcmQ+PGtleXdvcmQ+KkJp
cnRoIFdlaWdodDwva2V5d29yZD48a2V5d29yZD5CbG9vZCBHbHVjb3NlL21ldGFib2xpc208L2tl
eXdvcmQ+PGtleXdvcmQ+Qm9keSBNYXNzIEluZGV4PC9rZXl3b3JkPjxrZXl3b3JkPkV4ZXJjaXNl
LypwaHlzaW9sb2d5PC9rZXl3b3JkPjxrZXl3b3JkPkZlbWFsZTwva2V5d29yZD48a2V5d29yZD5G
ZXRhbCBCbG9vZC9jaGVtaXN0cnk8L2tleXdvcmQ+PGtleXdvcmQ+RmV0YWwgRGV2ZWxvcG1lbnQv
KnBoeXNpb2xvZ3k8L2tleXdvcmQ+PGtleXdvcmQ+SHVtYW5zPC9rZXl3b3JkPjxrZXl3b3JkPklu
ZmFudCwgTmV3Ym9ybjwva2V5d29yZD48a2V5d29yZD5JbnN1bGluLypibG9vZDwva2V5d29yZD48
a2V5d29yZD5JbnN1bGluLUxpa2UgR3Jvd3RoIEZhY3RvciBJL21ldGFib2xpc208L2tleXdvcmQ+
PGtleXdvcmQ+SW5zdWxpbi1MaWtlIEdyb3d0aCBGYWN0b3IgSUkvbWV0YWJvbGlzbTwva2V5d29y
ZD48a2V5d29yZD5NYWxlPC9rZXl3b3JkPjxrZXl3b3JkPlByZWduYW5jeTwva2V5d29yZD48a2V5
d29yZD5QcmVnbmFuY3kgVHJpbWVzdGVyLCBTZWNvbmQ8L2tleXdvcmQ+PGtleXdvcmQ+UHJlZ25h
bmN5IFRyaW1lc3RlciwgVGhpcmQ8L2tleXdvcmQ+PGtleXdvcmQ+VXRlcnVzL3BoeXNpb2xvZ3k8
L2tleXdvcmQ+PC9rZXl3b3Jkcz48ZGF0ZXM+PHllYXI+MjAxMDwveWVhcj48cHViLWRhdGVzPjxk
YXRlPk1heTwvZGF0ZT48L3B1Yi1kYXRlcz48L2RhdGVzPjxpc2JuPjE5NDUtNzE5NyAoRWxlY3Ry
b25pYykmI3hEOzAwMjEtOTcyWCAoTGlua2luZyk8L2lzYm4+PGFjY2Vzc2lvbi1udW0+MjAzMzU0
NDk8L2FjY2Vzc2lvbi1udW0+PHVybHM+PHJlbGF0ZWQtdXJscz48dXJsPmh0dHBzOi8vd3d3Lm5j
YmkubmxtLm5paC5nb3YvcHVibWVkLzIwMzM1NDQ5PC91cmw+PC9yZWxhdGVkLXVybHM+PC91cmxz
PjxlbGVjdHJvbmljLXJlc291cmNlLW51bT4xMC4xMjEwL2pjLjIwMDktMjI1NTwvZWxlY3Ryb25p
Yy1yZXNvdXJjZS1udW0+PC9yZWNvcmQ+PC9DaXRlPjwvRW5kTm90ZT5=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vertAlign w:val="superscript"/>
              </w:rPr>
              <w:t>272</w:t>
            </w:r>
            <w:r>
              <w:rPr>
                <w:noProof/>
              </w:rPr>
              <w:fldChar w:fldCharType="end"/>
            </w:r>
            <w:r>
              <w:rPr>
                <w:noProof/>
              </w:rPr>
              <w:t xml:space="preserve"> </w:t>
            </w:r>
          </w:p>
          <w:p w14:paraId="1DB1AC6F" w14:textId="6A98409C" w:rsidR="00781DA7" w:rsidRDefault="00781DA7" w:rsidP="0099206A">
            <w:pPr>
              <w:rPr>
                <w:noProof/>
              </w:rPr>
            </w:pPr>
            <w:r w:rsidRPr="00C12274">
              <w:t>New Zealand</w:t>
            </w:r>
          </w:p>
        </w:tc>
        <w:tc>
          <w:tcPr>
            <w:tcW w:w="1279" w:type="dxa"/>
          </w:tcPr>
          <w:p w14:paraId="6DF38BF7" w14:textId="77777777" w:rsidR="00781DA7" w:rsidRDefault="00781DA7" w:rsidP="002E4BC8">
            <w:r>
              <w:t>Intervention 47</w:t>
            </w:r>
          </w:p>
          <w:p w14:paraId="4430ED13" w14:textId="334D8721" w:rsidR="00781DA7" w:rsidRDefault="00781DA7" w:rsidP="002E4BC8">
            <w:r>
              <w:t>Control 37</w:t>
            </w:r>
          </w:p>
        </w:tc>
        <w:tc>
          <w:tcPr>
            <w:tcW w:w="4961" w:type="dxa"/>
          </w:tcPr>
          <w:p w14:paraId="4045D554" w14:textId="77777777" w:rsidR="00781DA7" w:rsidRDefault="00781DA7" w:rsidP="002E4BC8">
            <w:r w:rsidRPr="00C45CE5">
              <w:rPr>
                <w:b/>
              </w:rPr>
              <w:t>Aim</w:t>
            </w:r>
            <w:r>
              <w:t xml:space="preserve">: </w:t>
            </w:r>
            <w:r w:rsidRPr="00C45CE5">
              <w:t xml:space="preserve">to determine the effects of aerobic exercise training in the second half of pregnancy on maternal insulin sensitivity and neonatal outcomes. </w:t>
            </w:r>
          </w:p>
          <w:p w14:paraId="5215D746" w14:textId="77777777" w:rsidR="00781DA7" w:rsidRDefault="00781DA7" w:rsidP="002E4BC8">
            <w:r w:rsidRPr="00C45CE5">
              <w:rPr>
                <w:b/>
              </w:rPr>
              <w:t>Population</w:t>
            </w:r>
            <w:r>
              <w:t>: H</w:t>
            </w:r>
            <w:r w:rsidRPr="00C45CE5">
              <w:t>ealthy nulliparous women (age, 30</w:t>
            </w:r>
            <w:r>
              <w:t>±</w:t>
            </w:r>
            <w:r w:rsidRPr="00C45CE5">
              <w:t xml:space="preserve">4 yr; </w:t>
            </w:r>
            <w:r>
              <w:t>BMI 25.5±4 kg/m</w:t>
            </w:r>
            <w:r w:rsidRPr="00C45CE5">
              <w:rPr>
                <w:vertAlign w:val="superscript"/>
              </w:rPr>
              <w:t>2</w:t>
            </w:r>
            <w:r>
              <w:t>).</w:t>
            </w:r>
          </w:p>
          <w:p w14:paraId="2AF07784" w14:textId="77777777" w:rsidR="00781DA7" w:rsidRDefault="00781DA7" w:rsidP="002E4BC8">
            <w:r w:rsidRPr="005E4EF9">
              <w:rPr>
                <w:b/>
              </w:rPr>
              <w:t>Intervention</w:t>
            </w:r>
            <w:r>
              <w:rPr>
                <w:b/>
              </w:rPr>
              <w:t>:</w:t>
            </w:r>
          </w:p>
          <w:p w14:paraId="6625C9AF" w14:textId="77777777" w:rsidR="00781DA7" w:rsidRPr="00C45716" w:rsidRDefault="00781DA7" w:rsidP="002E4BC8">
            <w:pPr>
              <w:pStyle w:val="bullet"/>
            </w:pPr>
            <w:r w:rsidRPr="00C45716">
              <w:rPr>
                <w:i/>
              </w:rPr>
              <w:t>Supervised</w:t>
            </w:r>
            <w:r w:rsidRPr="00C45716">
              <w:t xml:space="preserve">: </w:t>
            </w:r>
            <w:r>
              <w:t>No</w:t>
            </w:r>
          </w:p>
          <w:p w14:paraId="52B72A65" w14:textId="77777777" w:rsidR="00781DA7" w:rsidRPr="00DD3C0C" w:rsidRDefault="00781DA7" w:rsidP="002E4BC8">
            <w:pPr>
              <w:pStyle w:val="bullet"/>
            </w:pPr>
            <w:r w:rsidRPr="00C45716">
              <w:rPr>
                <w:i/>
              </w:rPr>
              <w:t>Type and duration</w:t>
            </w:r>
            <w:r w:rsidRPr="00C45716">
              <w:t xml:space="preserve">: </w:t>
            </w:r>
            <w:r>
              <w:t xml:space="preserve">Aerobic; </w:t>
            </w:r>
            <w:r w:rsidRPr="00C12274">
              <w:t>Stationary cycling</w:t>
            </w:r>
            <w:r>
              <w:t xml:space="preserve">; </w:t>
            </w:r>
            <w:r w:rsidRPr="00C12274">
              <w:t>40 min, up to 5 times a week</w:t>
            </w:r>
          </w:p>
          <w:p w14:paraId="2403C812" w14:textId="57E24D24" w:rsidR="00781DA7" w:rsidRDefault="00781DA7" w:rsidP="001823B7">
            <w:pPr>
              <w:pStyle w:val="bullet"/>
              <w:rPr>
                <w:b/>
              </w:rPr>
            </w:pPr>
            <w:r w:rsidRPr="00C45716">
              <w:rPr>
                <w:i/>
              </w:rPr>
              <w:t>Intensity</w:t>
            </w:r>
            <w:r w:rsidRPr="00C45716">
              <w:t xml:space="preserve">: </w:t>
            </w:r>
            <w:r w:rsidRPr="00C12274">
              <w:t>Moderate; 65% of predicted capacity</w:t>
            </w:r>
            <w:r>
              <w:t>.</w:t>
            </w:r>
          </w:p>
        </w:tc>
        <w:tc>
          <w:tcPr>
            <w:tcW w:w="4536" w:type="dxa"/>
          </w:tcPr>
          <w:p w14:paraId="48B620AF" w14:textId="313001A6" w:rsidR="00781DA7" w:rsidRDefault="00781DA7" w:rsidP="00562FDD">
            <w:r>
              <w:t>Intervention vs control:</w:t>
            </w:r>
          </w:p>
          <w:p w14:paraId="401F3008" w14:textId="75BBC507" w:rsidR="00781DA7" w:rsidRDefault="00781DA7" w:rsidP="009C1707">
            <w:pPr>
              <w:pStyle w:val="bullet"/>
            </w:pPr>
            <w:r>
              <w:t>Peak VO</w:t>
            </w:r>
            <w:r w:rsidRPr="00342B6B">
              <w:rPr>
                <w:vertAlign w:val="subscript"/>
              </w:rPr>
              <w:t>2</w:t>
            </w:r>
            <w:r>
              <w:t xml:space="preserve">: </w:t>
            </w:r>
            <w:r w:rsidRPr="00781DA7">
              <w:t>20.0</w:t>
            </w:r>
            <w:r>
              <w:t>±</w:t>
            </w:r>
            <w:r w:rsidRPr="00781DA7">
              <w:t>3.5</w:t>
            </w:r>
            <w:r>
              <w:t xml:space="preserve"> vs </w:t>
            </w:r>
            <w:r w:rsidRPr="00781DA7">
              <w:t>18.7</w:t>
            </w:r>
            <w:r>
              <w:t>±</w:t>
            </w:r>
            <w:r w:rsidRPr="00781DA7">
              <w:t>3.3</w:t>
            </w:r>
            <w:r w:rsidR="008F3A0F">
              <w:t>; p&lt;0.01</w:t>
            </w:r>
          </w:p>
        </w:tc>
        <w:tc>
          <w:tcPr>
            <w:tcW w:w="1843" w:type="dxa"/>
          </w:tcPr>
          <w:p w14:paraId="0782866A" w14:textId="77777777" w:rsidR="00781DA7" w:rsidRPr="00DC4A73" w:rsidRDefault="00781DA7" w:rsidP="00225579">
            <w:pPr>
              <w:keepNext/>
            </w:pPr>
          </w:p>
        </w:tc>
      </w:tr>
      <w:tr w:rsidR="003B5012" w:rsidRPr="00DC4A73" w14:paraId="7480F24F" w14:textId="77777777" w:rsidTr="00062DBB">
        <w:trPr>
          <w:cantSplit/>
        </w:trPr>
        <w:tc>
          <w:tcPr>
            <w:tcW w:w="1273" w:type="dxa"/>
          </w:tcPr>
          <w:p w14:paraId="46F37FC9" w14:textId="50E1E8C1" w:rsidR="003B5012" w:rsidRPr="00C12274" w:rsidRDefault="003B5012" w:rsidP="0099206A">
            <w:r>
              <w:rPr>
                <w:noProof/>
              </w:rPr>
              <w:t>Seneviratne et al 2016</w:t>
            </w:r>
            <w:r>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instrText xml:space="preserve"> ADDIN EN.CITE </w:instrText>
            </w:r>
            <w:r w:rsidR="002747EA">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273</w:t>
            </w:r>
            <w:r>
              <w:fldChar w:fldCharType="end"/>
            </w:r>
          </w:p>
          <w:p w14:paraId="0D30C919" w14:textId="067A1724" w:rsidR="003B5012" w:rsidRDefault="003B5012" w:rsidP="0099206A">
            <w:pPr>
              <w:rPr>
                <w:noProof/>
              </w:rPr>
            </w:pPr>
            <w:r w:rsidRPr="00C12274">
              <w:t>New Zealand</w:t>
            </w:r>
          </w:p>
        </w:tc>
        <w:tc>
          <w:tcPr>
            <w:tcW w:w="1279" w:type="dxa"/>
          </w:tcPr>
          <w:p w14:paraId="14D680BF" w14:textId="77777777" w:rsidR="003B5012" w:rsidRDefault="003B5012" w:rsidP="002E4BC8">
            <w:r>
              <w:t>Intervention 37</w:t>
            </w:r>
          </w:p>
          <w:p w14:paraId="239F88CB" w14:textId="0415C980" w:rsidR="003B5012" w:rsidRDefault="003B5012" w:rsidP="00FC3D91">
            <w:r>
              <w:t>Control 37</w:t>
            </w:r>
          </w:p>
        </w:tc>
        <w:tc>
          <w:tcPr>
            <w:tcW w:w="4961" w:type="dxa"/>
          </w:tcPr>
          <w:p w14:paraId="52DFEA1F" w14:textId="77777777" w:rsidR="003B5012" w:rsidRPr="006F1991" w:rsidRDefault="003B5012" w:rsidP="002E4BC8">
            <w:r>
              <w:rPr>
                <w:b/>
              </w:rPr>
              <w:t xml:space="preserve">Aim: </w:t>
            </w:r>
            <w:r w:rsidRPr="006F1991">
              <w:t>To assess whether antenatal exercise in overweight/obese</w:t>
            </w:r>
            <w:r>
              <w:t xml:space="preserve"> </w:t>
            </w:r>
            <w:r w:rsidRPr="006F1991">
              <w:t>women would improve maternal and perinatal outcomes.</w:t>
            </w:r>
          </w:p>
          <w:p w14:paraId="7325910F" w14:textId="77777777" w:rsidR="003B5012" w:rsidRPr="006F1991" w:rsidRDefault="003B5012" w:rsidP="002E4BC8">
            <w:r>
              <w:rPr>
                <w:b/>
              </w:rPr>
              <w:t xml:space="preserve">Population: </w:t>
            </w:r>
            <w:r w:rsidRPr="00D33772">
              <w:t>Pregnant women with body mass index</w:t>
            </w:r>
            <w:r>
              <w:t xml:space="preserve"> </w:t>
            </w:r>
            <w:r w:rsidRPr="00D33772">
              <w:rPr>
                <w:rFonts w:ascii="Helvetica" w:hAnsi="Helvetica"/>
              </w:rPr>
              <w:t>≥</w:t>
            </w:r>
            <w:r w:rsidRPr="00D33772">
              <w:t>25 kg/m</w:t>
            </w:r>
            <w:r w:rsidRPr="00D33772">
              <w:rPr>
                <w:rFonts w:eastAsiaTheme="majorEastAsia"/>
                <w:sz w:val="8"/>
                <w:szCs w:val="8"/>
              </w:rPr>
              <w:t>2</w:t>
            </w:r>
            <w:r w:rsidRPr="00D33772">
              <w:t>.</w:t>
            </w:r>
          </w:p>
          <w:p w14:paraId="033AD893" w14:textId="77777777" w:rsidR="003B5012" w:rsidRDefault="003B5012" w:rsidP="002E4BC8">
            <w:r w:rsidRPr="005E4EF9">
              <w:rPr>
                <w:b/>
              </w:rPr>
              <w:t>Intervention</w:t>
            </w:r>
            <w:r>
              <w:rPr>
                <w:b/>
              </w:rPr>
              <w:t>:</w:t>
            </w:r>
          </w:p>
          <w:p w14:paraId="03933714" w14:textId="77777777" w:rsidR="003B5012" w:rsidRPr="00C45716" w:rsidRDefault="003B5012" w:rsidP="002E4BC8">
            <w:pPr>
              <w:pStyle w:val="bullet"/>
            </w:pPr>
            <w:r w:rsidRPr="00C45716">
              <w:rPr>
                <w:i/>
              </w:rPr>
              <w:t>Supervised</w:t>
            </w:r>
            <w:r w:rsidRPr="00C45716">
              <w:t xml:space="preserve">: </w:t>
            </w:r>
            <w:r>
              <w:t>No</w:t>
            </w:r>
          </w:p>
          <w:p w14:paraId="41B4AC2C" w14:textId="77777777" w:rsidR="003B5012" w:rsidRPr="007D4CC2" w:rsidRDefault="003B5012" w:rsidP="002E4BC8">
            <w:pPr>
              <w:pStyle w:val="bullet"/>
            </w:pPr>
            <w:r w:rsidRPr="00C45716">
              <w:rPr>
                <w:i/>
              </w:rPr>
              <w:t>Type and duration</w:t>
            </w:r>
            <w:r w:rsidRPr="00C45716">
              <w:t xml:space="preserve">: </w:t>
            </w:r>
            <w:r>
              <w:t>Aerobic; S</w:t>
            </w:r>
            <w:r w:rsidRPr="00C12274">
              <w:t>tationary cycling</w:t>
            </w:r>
            <w:r>
              <w:t xml:space="preserve">; </w:t>
            </w:r>
            <w:r w:rsidRPr="00C12274">
              <w:t>25-45 min, 3-5 times a week depending on stage of pregnancy, from week 25 to 35</w:t>
            </w:r>
            <w:r>
              <w:t>.</w:t>
            </w:r>
          </w:p>
          <w:p w14:paraId="3A4F9CE0" w14:textId="4B3DDD68" w:rsidR="003B5012" w:rsidRPr="00056D57" w:rsidRDefault="003B5012" w:rsidP="003B5012">
            <w:pPr>
              <w:pStyle w:val="bullet"/>
              <w:rPr>
                <w:b/>
              </w:rPr>
            </w:pPr>
            <w:r w:rsidRPr="00C45716">
              <w:rPr>
                <w:i/>
              </w:rPr>
              <w:t>Intensity</w:t>
            </w:r>
            <w:r w:rsidRPr="00C45716">
              <w:t xml:space="preserve">: </w:t>
            </w:r>
            <w:r w:rsidRPr="003B5012">
              <w:t>Moderate (40–59% VO</w:t>
            </w:r>
            <w:r w:rsidRPr="005E0BBE">
              <w:rPr>
                <w:vertAlign w:val="subscript"/>
              </w:rPr>
              <w:t>2</w:t>
            </w:r>
            <w:r w:rsidRPr="003B5012">
              <w:t xml:space="preserve"> reserve).</w:t>
            </w:r>
          </w:p>
        </w:tc>
        <w:tc>
          <w:tcPr>
            <w:tcW w:w="4536" w:type="dxa"/>
          </w:tcPr>
          <w:p w14:paraId="7BB986D8" w14:textId="77777777" w:rsidR="003B5012" w:rsidRDefault="00205AEA" w:rsidP="00562FDD">
            <w:r>
              <w:t>Intervention vs control:</w:t>
            </w:r>
          </w:p>
          <w:p w14:paraId="29DC0ECD" w14:textId="7880BDE7" w:rsidR="00CE715B" w:rsidRDefault="00F21FC3" w:rsidP="009D7445">
            <w:pPr>
              <w:pStyle w:val="bullet"/>
            </w:pPr>
            <w:r>
              <w:t>Change in fitness test time (seconds): 31.6±88.4 vs -12.6±69.1; p=0.19</w:t>
            </w:r>
          </w:p>
          <w:p w14:paraId="1B422202" w14:textId="3769ADB4" w:rsidR="00F75A25" w:rsidRPr="00CE715B" w:rsidRDefault="00F21FC3" w:rsidP="00431EA5">
            <w:pPr>
              <w:pStyle w:val="bullet"/>
            </w:pPr>
            <w:r>
              <w:t>Change in test work load: 4.6±15.3 vs -3.6±12.2; p=0.019</w:t>
            </w:r>
          </w:p>
        </w:tc>
        <w:tc>
          <w:tcPr>
            <w:tcW w:w="1843" w:type="dxa"/>
          </w:tcPr>
          <w:p w14:paraId="531F5807" w14:textId="77777777" w:rsidR="003B5012" w:rsidRPr="00DC4A73" w:rsidRDefault="003B5012" w:rsidP="00225579">
            <w:pPr>
              <w:keepNext/>
            </w:pPr>
          </w:p>
        </w:tc>
      </w:tr>
    </w:tbl>
    <w:p w14:paraId="22A848A9" w14:textId="147B0496" w:rsidR="0023187B" w:rsidRPr="00DC4A73" w:rsidRDefault="009C163D" w:rsidP="00932C6D">
      <w:pPr>
        <w:pStyle w:val="TableName"/>
      </w:pPr>
      <w:bookmarkStart w:id="125" w:name="_Toc40956643"/>
      <w:r>
        <w:t xml:space="preserve">Q5 </w:t>
      </w:r>
      <w:r w:rsidR="0023187B">
        <w:t>Physical activity in pregnancy and quality of life — RCTs</w:t>
      </w:r>
      <w:bookmarkEnd w:id="12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5: Q5 Physical activity in pregnancy and quality of life — RCTs"/>
      </w:tblPr>
      <w:tblGrid>
        <w:gridCol w:w="1557"/>
        <w:gridCol w:w="1275"/>
        <w:gridCol w:w="4681"/>
        <w:gridCol w:w="4536"/>
        <w:gridCol w:w="1843"/>
      </w:tblGrid>
      <w:tr w:rsidR="00CE2050" w:rsidRPr="00F350A6" w14:paraId="0D1B36A0" w14:textId="77777777" w:rsidTr="00CE2050">
        <w:trPr>
          <w:cantSplit/>
          <w:tblHeader/>
        </w:trPr>
        <w:tc>
          <w:tcPr>
            <w:tcW w:w="1557" w:type="dxa"/>
          </w:tcPr>
          <w:p w14:paraId="2CF84B92" w14:textId="77777777" w:rsidR="0023187B" w:rsidRPr="00F350A6" w:rsidRDefault="0023187B" w:rsidP="00E37989">
            <w:pPr>
              <w:keepNext/>
              <w:rPr>
                <w:b/>
              </w:rPr>
            </w:pPr>
            <w:r>
              <w:rPr>
                <w:b/>
              </w:rPr>
              <w:t>Study ref</w:t>
            </w:r>
          </w:p>
        </w:tc>
        <w:tc>
          <w:tcPr>
            <w:tcW w:w="1275" w:type="dxa"/>
          </w:tcPr>
          <w:p w14:paraId="4C77E127" w14:textId="77777777" w:rsidR="0023187B" w:rsidRPr="00F350A6" w:rsidRDefault="0023187B" w:rsidP="00E37989">
            <w:pPr>
              <w:keepNext/>
              <w:rPr>
                <w:b/>
              </w:rPr>
            </w:pPr>
            <w:r>
              <w:rPr>
                <w:b/>
              </w:rPr>
              <w:t>N</w:t>
            </w:r>
          </w:p>
        </w:tc>
        <w:tc>
          <w:tcPr>
            <w:tcW w:w="4681" w:type="dxa"/>
          </w:tcPr>
          <w:p w14:paraId="2E056917" w14:textId="77777777" w:rsidR="0023187B" w:rsidRPr="00F350A6" w:rsidRDefault="0023187B" w:rsidP="00E37989">
            <w:pPr>
              <w:keepNext/>
              <w:rPr>
                <w:b/>
              </w:rPr>
            </w:pPr>
            <w:r>
              <w:rPr>
                <w:b/>
              </w:rPr>
              <w:t>Aim/</w:t>
            </w:r>
            <w:r w:rsidRPr="00F350A6">
              <w:rPr>
                <w:b/>
              </w:rPr>
              <w:t>population</w:t>
            </w:r>
            <w:r>
              <w:rPr>
                <w:b/>
              </w:rPr>
              <w:t>/intervention</w:t>
            </w:r>
          </w:p>
        </w:tc>
        <w:tc>
          <w:tcPr>
            <w:tcW w:w="4536" w:type="dxa"/>
          </w:tcPr>
          <w:p w14:paraId="209D5B9E" w14:textId="77777777" w:rsidR="0023187B" w:rsidRPr="00F350A6" w:rsidRDefault="0023187B" w:rsidP="00E37989">
            <w:pPr>
              <w:keepNext/>
              <w:rPr>
                <w:b/>
              </w:rPr>
            </w:pPr>
            <w:r>
              <w:rPr>
                <w:b/>
              </w:rPr>
              <w:t>Results</w:t>
            </w:r>
          </w:p>
        </w:tc>
        <w:tc>
          <w:tcPr>
            <w:tcW w:w="1843" w:type="dxa"/>
          </w:tcPr>
          <w:p w14:paraId="4FD08215" w14:textId="77777777" w:rsidR="0023187B" w:rsidRPr="00F350A6" w:rsidRDefault="0023187B" w:rsidP="00E37989">
            <w:pPr>
              <w:keepNext/>
              <w:rPr>
                <w:b/>
              </w:rPr>
            </w:pPr>
            <w:r>
              <w:rPr>
                <w:b/>
              </w:rPr>
              <w:t>Comments</w:t>
            </w:r>
          </w:p>
        </w:tc>
      </w:tr>
      <w:tr w:rsidR="00DA31DD" w:rsidRPr="009C0C55" w14:paraId="7D26695B" w14:textId="77777777" w:rsidTr="00BD61CC">
        <w:trPr>
          <w:cantSplit/>
        </w:trPr>
        <w:tc>
          <w:tcPr>
            <w:tcW w:w="1557" w:type="dxa"/>
            <w:tcBorders>
              <w:top w:val="single" w:sz="4" w:space="0" w:color="auto"/>
              <w:left w:val="single" w:sz="4" w:space="0" w:color="auto"/>
              <w:bottom w:val="single" w:sz="4" w:space="0" w:color="auto"/>
              <w:right w:val="single" w:sz="4" w:space="0" w:color="auto"/>
            </w:tcBorders>
          </w:tcPr>
          <w:p w14:paraId="02C80851" w14:textId="549E7308" w:rsidR="00DA31DD" w:rsidRDefault="00DA31DD" w:rsidP="00317DE7">
            <w:pPr>
              <w:rPr>
                <w:noProof/>
              </w:rPr>
            </w:pPr>
            <w:r>
              <w:rPr>
                <w:noProof/>
              </w:rPr>
              <w:t>Rodriguez-Blanque et al 2020</w:t>
            </w:r>
            <w:r w:rsidR="00D07346">
              <w:rPr>
                <w:noProof/>
              </w:rPr>
              <w:fldChar w:fldCharType="begin">
                <w:fldData xml:space="preserve">PEVuZE5vdGU+PENpdGU+PEF1dGhvcj5Sb2RyaWd1ZXotQmxhbnF1ZTwvQXV0aG9yPjxZZWFyPjIw
MjA8L1llYXI+PFJlY051bT4xOTYyPC9SZWNOdW0+PERpc3BsYXlUZXh0PjxzdHlsZSBmYWNlPSJz
dXBlcnNjcmlwdCIgZm9udD0iVHJlYnVjaGV0IE1TIiBzaXplPSI5Ij4yNzU8L3N0eWxlPjwvRGlz
cGxheVRleHQ+PHJlY29yZD48cmVjLW51bWJlcj4xOTYyPC9yZWMtbnVtYmVyPjxmb3JlaWduLWtl
eXM+PGtleSBhcHA9IkVOIiBkYi1pZD0iZXh2YXNyZngyZHRyYW9lc2FzeHAyc3pzeGEyZGY1MDI1
OTJ4IiB0aW1lc3RhbXA9IjE1ODg3NDM4OTQiPjE5NjI8L2tleT48a2V5IGFwcD0iRU5XZWIiIGRi
LWlkPSIiPjA8L2tleT48L2ZvcmVpZ24ta2V5cz48cmVmLXR5cGUgbmFtZT0iSm91cm5hbCBBcnRp
Y2xlIj4xNzwvcmVmLXR5cGU+PGNvbnRyaWJ1dG9ycz48YXV0aG9ycz48YXV0aG9yPlJvZHJpZ3Vl
ei1CbGFucXVlLCBSLjwvYXV0aG9yPjxhdXRob3I+QWd1aWxhci1Db3JkZXJvLCBNLiBKLjwvYXV0
aG9yPjxhdXRob3I+TWFyaW4tSmltZW5leiwgQS4gRS48L2F1dGhvcj48YXV0aG9yPk1lbm9yLVJv
ZHJpZ3VleiwgTS4gSi48L2F1dGhvcj48YXV0aG9yPk1vbnRpZWwtVHJveWEsIE0uPC9hdXRob3I+
PGF1dGhvcj5TYW5jaGV6LUdhcmNpYSwgSi4gQy48L2F1dGhvcj48L2F1dGhvcnM+PC9jb250cmli
dXRvcnM+PGF1dGgtYWRkcmVzcz5QaEQuIFJlc2VhcmNoIEdyb3VwIENUUzEwNjgsIEFuZGFsdXNp
YSBSZXNlYXJjaCBQbGFuLCBKdW50YSBkZSBBbmRhbHVjaWEsIFNhbiBDZWNpbGlvIENsaW5pY2Fs
IEhvc3BpdGFsLCBTY2hvb2wgb2YgTnVyc2luZywgRmFjdWx0eSBvZiBIZWFsdGggU2NpZW5jZXMs
IFVuaXZlcnNpdHkgb2YgR3JhbmFkYSwgMTgwNzEgR3JhbmFkYSwgU3BhaW4uJiN4RDtQaC5ELiBS
ZXNlYXJjaCBHcm91cCBDVFMgMzY3LCBBbmRhbHVzaWEgUmVzZWFyY2ggUGxhbiwgSnVudGEgZGUg
QW5kYWx1Y2lhLCBTY2hvb2wgb2YgTnVyc2luZywgU2Nob29sIG9mIEhlYWx0aCBTY2llbmNlcywg
VW5pdmVyc2l0eSBvZiBHcmFuYWRhLCBTYW4gQ2VjaWxpbyBDbGluaWNhbCBIb3NwaXRhbCwgMTgw
NzEgR3JhbmFkYSwgU3BhaW4uJiN4RDtQaEQuIFJlc2VhcmNoIEdyb3VwIENUUzEwNjgsIEFuZGFs
dXNpYSBSZXNlYXJjaCBQbGFuLCBKdW50YSBkZSBBbmRhbHVjaWEsIFF1YW50aXRhdGl2ZSBtZXRo
b2RzIGZvciB0aGUgZWNvbm9taWNzIGFuZCBlbnRlcnByaXNlLCBGYWN1bHR5IG9mIEVjb25vbWlj
cyBhbmQgQnVzaW5lc3MgU2NpZW5jZXMsIFVuaXZlcnNpdHkgb2YgR3JhbmFkYSwgMTgwNzEgR3Jh
bmFkYSwgU3BhaW4uJiN4RDtQaEQuIFJlc2VhcmNoIEdyb3VwIENUUzM2NywgQW5kYWx1c2lhIFJl
c2VhcmNoIFBsYW4sIEp1bnRhIGRlIEFuZGFsdWNpYSwgQXJlYSBTYW5pdGFyaWEgZGUgT3VyZW5z
ZSwgMzI2MTYgT3VyZW5zZSwgU3BhaW4uJiN4RDtQaEQuIFJlc2VhcmNoIEdyb3VwIENUUzEwNjgs
IEFuZGFsdXNpYSBSZXNlYXJjaCBQbGFuLCBKdW50YSBkZSBBbmRhbHVjaWEsIFNjaG9vbCBvZiBO
dXJzaW5nIENldXRhIENhbXB1cywgRmFjdWx0eSBvZiBIZWFsdGggU2NpZW5jZXMsIFVuaXZlcnNp
dHkgb2YgR3JhbmFkYSwgNTEwMDEgQ2V1dGEsIFNwYWluLiYjeEQ7UGhELiBSZXNlYXJjaCBHcm91
cCBDVFMxMDY4LCBBbmRhbHVzaWEgUmVzZWFyY2ggUGxhbiwgSnVudGEgZGUgQW5kYWx1Y2lhLCBT
Y2hvb2wgb2YgTnVyc2luZywgRmFjdWx0eSBvZiBIZWFsdGggU2NpZW5jZXMsIFVuaXZlcnNpdHkg
b2YgR3JhbmFkYSwgMTgwNzEgR3JhbmFkYSwgU3BhaW4uPC9hdXRoLWFkZHJlc3M+PHRpdGxlcz48
dGl0bGU+V2F0ZXIgZXhlcmNpc2UgYW5kIHF1YWxpdHkgb2YgbGlmZSBpbiBwcmVnbmFuY3k6IGEg
cmFuZG9taXNlZCBjbGluaWNhbCB0cmlhbDwvdGl0bGU+PHNlY29uZGFyeS10aXRsZT5JbnQgSiBF
bnZpcm9uIFJlcyBQdWJsaWMgSGVhbHRoPC9zZWNvbmRhcnktdGl0bGU+PC90aXRsZXM+PHBlcmlv
ZGljYWw+PGZ1bGwtdGl0bGU+SW50IEogRW52aXJvbiBSZXMgUHVibGljIEhlYWx0aDwvZnVsbC10
aXRsZT48L3BlcmlvZGljYWw+PHZvbHVtZT4xNzwvdm9sdW1lPjxudW1iZXI+NDwvbnVtYmVyPjxl
ZGl0aW9uPjIwMjAvMDIvMjM8L2VkaXRpb24+PGtleXdvcmRzPjxrZXl3b3JkPipQcmVnbmFudCB3
b21hbjwva2V5d29yZD48a2V5d29yZD4qZXhlcmNpc2U8L2tleXdvcmQ+PGtleXdvcmQ+KnBoeXNp
Y2FsIGFjdGl2aXR5PC9rZXl3b3JkPjxrZXl3b3JkPipxdWFsaXR5IG9mIGxpZmU8L2tleXdvcmQ+
PC9rZXl3b3Jkcz48ZGF0ZXM+PHllYXI+MjAyMDwveWVhcj48cHViLWRhdGVzPjxkYXRlPkZlYiAx
NzwvZGF0ZT48L3B1Yi1kYXRlcz48L2RhdGVzPjxpc2JuPjE2NjAtNDYwMSAoRWxlY3Ryb25pYykm
I3hEOzE2NjAtNDYwMSAoTGlua2luZyk8L2lzYm4+PGFjY2Vzc2lvbi1udW0+MzIwNzkzNDI8L2Fj
Y2Vzc2lvbi1udW0+PHVybHM+PHJlbGF0ZWQtdXJscz48dXJsPmh0dHBzOi8vd3d3Lm5jYmkubmxt
Lm5paC5nb3YvcHVibWVkLzMyMDc5MzQyPC91cmw+PC9yZWxhdGVkLXVybHM+PC91cmxzPjxjdXN0
b20yPlBNQzcwNjg0MTA8L2N1c3RvbTI+PGVsZWN0cm9uaWMtcmVzb3VyY2UtbnVtPjEwLjMzOTAv
aWplcnBoMTcwNDEyODg8L2VsZWN0cm9uaWMtcmVzb3VyY2UtbnVtPjwvcmVjb3JkPjwvQ2l0ZT48
L0VuZE5vdGU+
</w:fldData>
              </w:fldChar>
            </w:r>
            <w:r w:rsidR="002747EA">
              <w:rPr>
                <w:noProof/>
              </w:rPr>
              <w:instrText xml:space="preserve"> ADDIN EN.CITE </w:instrText>
            </w:r>
            <w:r w:rsidR="002747EA">
              <w:rPr>
                <w:noProof/>
              </w:rPr>
              <w:fldChar w:fldCharType="begin">
                <w:fldData xml:space="preserve">PEVuZE5vdGU+PENpdGU+PEF1dGhvcj5Sb2RyaWd1ZXotQmxhbnF1ZTwvQXV0aG9yPjxZZWFyPjIw
MjA8L1llYXI+PFJlY051bT4xOTYyPC9SZWNOdW0+PERpc3BsYXlUZXh0PjxzdHlsZSBmYWNlPSJz
dXBlcnNjcmlwdCIgZm9udD0iVHJlYnVjaGV0IE1TIiBzaXplPSI5Ij4yNzU8L3N0eWxlPjwvRGlz
cGxheVRleHQ+PHJlY29yZD48cmVjLW51bWJlcj4xOTYyPC9yZWMtbnVtYmVyPjxmb3JlaWduLWtl
eXM+PGtleSBhcHA9IkVOIiBkYi1pZD0iZXh2YXNyZngyZHRyYW9lc2FzeHAyc3pzeGEyZGY1MDI1
OTJ4IiB0aW1lc3RhbXA9IjE1ODg3NDM4OTQiPjE5NjI8L2tleT48a2V5IGFwcD0iRU5XZWIiIGRi
LWlkPSIiPjA8L2tleT48L2ZvcmVpZ24ta2V5cz48cmVmLXR5cGUgbmFtZT0iSm91cm5hbCBBcnRp
Y2xlIj4xNzwvcmVmLXR5cGU+PGNvbnRyaWJ1dG9ycz48YXV0aG9ycz48YXV0aG9yPlJvZHJpZ3Vl
ei1CbGFucXVlLCBSLjwvYXV0aG9yPjxhdXRob3I+QWd1aWxhci1Db3JkZXJvLCBNLiBKLjwvYXV0
aG9yPjxhdXRob3I+TWFyaW4tSmltZW5leiwgQS4gRS48L2F1dGhvcj48YXV0aG9yPk1lbm9yLVJv
ZHJpZ3VleiwgTS4gSi48L2F1dGhvcj48YXV0aG9yPk1vbnRpZWwtVHJveWEsIE0uPC9hdXRob3I+
PGF1dGhvcj5TYW5jaGV6LUdhcmNpYSwgSi4gQy48L2F1dGhvcj48L2F1dGhvcnM+PC9jb250cmli
dXRvcnM+PGF1dGgtYWRkcmVzcz5QaEQuIFJlc2VhcmNoIEdyb3VwIENUUzEwNjgsIEFuZGFsdXNp
YSBSZXNlYXJjaCBQbGFuLCBKdW50YSBkZSBBbmRhbHVjaWEsIFNhbiBDZWNpbGlvIENsaW5pY2Fs
IEhvc3BpdGFsLCBTY2hvb2wgb2YgTnVyc2luZywgRmFjdWx0eSBvZiBIZWFsdGggU2NpZW5jZXMs
IFVuaXZlcnNpdHkgb2YgR3JhbmFkYSwgMTgwNzEgR3JhbmFkYSwgU3BhaW4uJiN4RDtQaC5ELiBS
ZXNlYXJjaCBHcm91cCBDVFMgMzY3LCBBbmRhbHVzaWEgUmVzZWFyY2ggUGxhbiwgSnVudGEgZGUg
QW5kYWx1Y2lhLCBTY2hvb2wgb2YgTnVyc2luZywgU2Nob29sIG9mIEhlYWx0aCBTY2llbmNlcywg
VW5pdmVyc2l0eSBvZiBHcmFuYWRhLCBTYW4gQ2VjaWxpbyBDbGluaWNhbCBIb3NwaXRhbCwgMTgw
NzEgR3JhbmFkYSwgU3BhaW4uJiN4RDtQaEQuIFJlc2VhcmNoIEdyb3VwIENUUzEwNjgsIEFuZGFs
dXNpYSBSZXNlYXJjaCBQbGFuLCBKdW50YSBkZSBBbmRhbHVjaWEsIFF1YW50aXRhdGl2ZSBtZXRo
b2RzIGZvciB0aGUgZWNvbm9taWNzIGFuZCBlbnRlcnByaXNlLCBGYWN1bHR5IG9mIEVjb25vbWlj
cyBhbmQgQnVzaW5lc3MgU2NpZW5jZXMsIFVuaXZlcnNpdHkgb2YgR3JhbmFkYSwgMTgwNzEgR3Jh
bmFkYSwgU3BhaW4uJiN4RDtQaEQuIFJlc2VhcmNoIEdyb3VwIENUUzM2NywgQW5kYWx1c2lhIFJl
c2VhcmNoIFBsYW4sIEp1bnRhIGRlIEFuZGFsdWNpYSwgQXJlYSBTYW5pdGFyaWEgZGUgT3VyZW5z
ZSwgMzI2MTYgT3VyZW5zZSwgU3BhaW4uJiN4RDtQaEQuIFJlc2VhcmNoIEdyb3VwIENUUzEwNjgs
IEFuZGFsdXNpYSBSZXNlYXJjaCBQbGFuLCBKdW50YSBkZSBBbmRhbHVjaWEsIFNjaG9vbCBvZiBO
dXJzaW5nIENldXRhIENhbXB1cywgRmFjdWx0eSBvZiBIZWFsdGggU2NpZW5jZXMsIFVuaXZlcnNp
dHkgb2YgR3JhbmFkYSwgNTEwMDEgQ2V1dGEsIFNwYWluLiYjeEQ7UGhELiBSZXNlYXJjaCBHcm91
cCBDVFMxMDY4LCBBbmRhbHVzaWEgUmVzZWFyY2ggUGxhbiwgSnVudGEgZGUgQW5kYWx1Y2lhLCBT
Y2hvb2wgb2YgTnVyc2luZywgRmFjdWx0eSBvZiBIZWFsdGggU2NpZW5jZXMsIFVuaXZlcnNpdHkg
b2YgR3JhbmFkYSwgMTgwNzEgR3JhbmFkYSwgU3BhaW4uPC9hdXRoLWFkZHJlc3M+PHRpdGxlcz48
dGl0bGU+V2F0ZXIgZXhlcmNpc2UgYW5kIHF1YWxpdHkgb2YgbGlmZSBpbiBwcmVnbmFuY3k6IGEg
cmFuZG9taXNlZCBjbGluaWNhbCB0cmlhbDwvdGl0bGU+PHNlY29uZGFyeS10aXRsZT5JbnQgSiBF
bnZpcm9uIFJlcyBQdWJsaWMgSGVhbHRoPC9zZWNvbmRhcnktdGl0bGU+PC90aXRsZXM+PHBlcmlv
ZGljYWw+PGZ1bGwtdGl0bGU+SW50IEogRW52aXJvbiBSZXMgUHVibGljIEhlYWx0aDwvZnVsbC10
aXRsZT48L3BlcmlvZGljYWw+PHZvbHVtZT4xNzwvdm9sdW1lPjxudW1iZXI+NDwvbnVtYmVyPjxl
ZGl0aW9uPjIwMjAvMDIvMjM8L2VkaXRpb24+PGtleXdvcmRzPjxrZXl3b3JkPipQcmVnbmFudCB3
b21hbjwva2V5d29yZD48a2V5d29yZD4qZXhlcmNpc2U8L2tleXdvcmQ+PGtleXdvcmQ+KnBoeXNp
Y2FsIGFjdGl2aXR5PC9rZXl3b3JkPjxrZXl3b3JkPipxdWFsaXR5IG9mIGxpZmU8L2tleXdvcmQ+
PC9rZXl3b3Jkcz48ZGF0ZXM+PHllYXI+MjAyMDwveWVhcj48cHViLWRhdGVzPjxkYXRlPkZlYiAx
NzwvZGF0ZT48L3B1Yi1kYXRlcz48L2RhdGVzPjxpc2JuPjE2NjAtNDYwMSAoRWxlY3Ryb25pYykm
I3hEOzE2NjAtNDYwMSAoTGlua2luZyk8L2lzYm4+PGFjY2Vzc2lvbi1udW0+MzIwNzkzNDI8L2Fj
Y2Vzc2lvbi1udW0+PHVybHM+PHJlbGF0ZWQtdXJscz48dXJsPmh0dHBzOi8vd3d3Lm5jYmkubmxt
Lm5paC5nb3YvcHVibWVkLzMyMDc5MzQyPC91cmw+PC9yZWxhdGVkLXVybHM+PC91cmxzPjxjdXN0
b20yPlBNQzcwNjg0MTA8L2N1c3RvbTI+PGVsZWN0cm9uaWMtcmVzb3VyY2UtbnVtPjEwLjMzOTAv
aWplcnBoMTcwNDEyODg8L2VsZWN0cm9uaWMtcmVzb3VyY2UtbnVtPjwvcmVjb3JkPjwvQ2l0ZT48
L0VuZE5vdGU+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275</w:t>
            </w:r>
            <w:r w:rsidR="00D07346">
              <w:rPr>
                <w:noProof/>
              </w:rPr>
              <w:fldChar w:fldCharType="end"/>
            </w:r>
          </w:p>
          <w:p w14:paraId="4EF3B41C" w14:textId="77777777" w:rsidR="00DA31DD" w:rsidRDefault="00DA31DD" w:rsidP="00317DE7">
            <w:pPr>
              <w:rPr>
                <w:noProof/>
              </w:rPr>
            </w:pPr>
            <w:r>
              <w:rPr>
                <w:noProof/>
              </w:rPr>
              <w:t>SWEP</w:t>
            </w:r>
          </w:p>
          <w:p w14:paraId="76518836" w14:textId="77777777" w:rsidR="00DA31DD" w:rsidRPr="00980F56" w:rsidRDefault="00DA31DD" w:rsidP="00317DE7">
            <w:pPr>
              <w:spacing w:before="0" w:after="0" w:line="240" w:lineRule="auto"/>
              <w:rPr>
                <w:rFonts w:ascii="Helvetica" w:hAnsi="Helvetica"/>
                <w:sz w:val="17"/>
                <w:szCs w:val="17"/>
              </w:rPr>
            </w:pPr>
            <w:r w:rsidRPr="00980F56">
              <w:rPr>
                <w:rFonts w:ascii="Helvetica" w:hAnsi="Helvetica"/>
                <w:sz w:val="17"/>
                <w:szCs w:val="17"/>
              </w:rPr>
              <w:t>NCT02761967</w:t>
            </w:r>
          </w:p>
          <w:p w14:paraId="30E381FE" w14:textId="77777777" w:rsidR="00DA31DD" w:rsidRPr="00C12274" w:rsidRDefault="00DA31DD" w:rsidP="00317DE7">
            <w:pPr>
              <w:rPr>
                <w:noProof/>
              </w:rPr>
            </w:pPr>
          </w:p>
        </w:tc>
        <w:tc>
          <w:tcPr>
            <w:tcW w:w="1275" w:type="dxa"/>
            <w:tcBorders>
              <w:top w:val="single" w:sz="4" w:space="0" w:color="auto"/>
              <w:left w:val="single" w:sz="4" w:space="0" w:color="auto"/>
              <w:bottom w:val="single" w:sz="4" w:space="0" w:color="auto"/>
              <w:right w:val="single" w:sz="4" w:space="0" w:color="auto"/>
            </w:tcBorders>
          </w:tcPr>
          <w:p w14:paraId="22FEC936" w14:textId="77777777" w:rsidR="00DA31DD" w:rsidRDefault="00DA31DD" w:rsidP="00317DE7">
            <w:r>
              <w:t>Intervention 65</w:t>
            </w:r>
          </w:p>
          <w:p w14:paraId="2379F197" w14:textId="77777777" w:rsidR="00DA31DD" w:rsidRDefault="00DA31DD" w:rsidP="00317DE7">
            <w:r>
              <w:t>Control 64</w:t>
            </w:r>
          </w:p>
        </w:tc>
        <w:tc>
          <w:tcPr>
            <w:tcW w:w="4681" w:type="dxa"/>
            <w:tcBorders>
              <w:top w:val="single" w:sz="4" w:space="0" w:color="auto"/>
              <w:left w:val="single" w:sz="4" w:space="0" w:color="auto"/>
              <w:bottom w:val="single" w:sz="4" w:space="0" w:color="auto"/>
              <w:right w:val="single" w:sz="4" w:space="0" w:color="auto"/>
            </w:tcBorders>
          </w:tcPr>
          <w:p w14:paraId="1835E096" w14:textId="376A60F7" w:rsidR="00DA31DD" w:rsidRDefault="00DA31DD" w:rsidP="00317DE7">
            <w:r w:rsidRPr="00A96FD5">
              <w:rPr>
                <w:b/>
              </w:rPr>
              <w:t>Aim</w:t>
            </w:r>
            <w:r>
              <w:t xml:space="preserve">: </w:t>
            </w:r>
            <w:r w:rsidRPr="00DA31DD">
              <w:t>To analyse the quality of life in pregnancy for women who complete a programme of moderate physical activity in water</w:t>
            </w:r>
            <w:r>
              <w:t>.</w:t>
            </w:r>
          </w:p>
          <w:p w14:paraId="65F58CD8" w14:textId="77777777" w:rsidR="00DA31DD" w:rsidRDefault="00DA31DD" w:rsidP="00317DE7">
            <w:r w:rsidRPr="00A96FD5">
              <w:rPr>
                <w:b/>
              </w:rPr>
              <w:t>Population</w:t>
            </w:r>
            <w:r>
              <w:t xml:space="preserve">: </w:t>
            </w:r>
            <w:r>
              <w:rPr>
                <w:b/>
              </w:rPr>
              <w:t>H</w:t>
            </w:r>
            <w:r w:rsidRPr="00444351">
              <w:t>ealthy pregnant women</w:t>
            </w:r>
            <w:r>
              <w:t xml:space="preserve"> with uncomplicated singleton pregnancies.</w:t>
            </w:r>
          </w:p>
          <w:p w14:paraId="182916B5" w14:textId="77777777" w:rsidR="00DA31DD" w:rsidRDefault="00DA31DD" w:rsidP="00317DE7">
            <w:r w:rsidRPr="00A96FD5">
              <w:rPr>
                <w:b/>
              </w:rPr>
              <w:t>Intervention</w:t>
            </w:r>
            <w:r>
              <w:t xml:space="preserve">: </w:t>
            </w:r>
          </w:p>
          <w:p w14:paraId="7B58E83B" w14:textId="77777777" w:rsidR="00DA31DD" w:rsidRDefault="00DA31DD" w:rsidP="00317DE7">
            <w:pPr>
              <w:pStyle w:val="bullet"/>
            </w:pPr>
            <w:r w:rsidRPr="00A96FD5">
              <w:rPr>
                <w:i/>
              </w:rPr>
              <w:t>Supervised</w:t>
            </w:r>
            <w:r>
              <w:t>: Yes</w:t>
            </w:r>
          </w:p>
          <w:p w14:paraId="1CD20E68" w14:textId="77777777" w:rsidR="00DA31DD" w:rsidRDefault="00DA31DD" w:rsidP="00317DE7">
            <w:pPr>
              <w:pStyle w:val="bullet"/>
            </w:pPr>
            <w:r w:rsidRPr="00A96FD5">
              <w:rPr>
                <w:i/>
              </w:rPr>
              <w:t>Intervention</w:t>
            </w:r>
            <w:r>
              <w:t xml:space="preserve">: Aerobic and muscle strengthening </w:t>
            </w:r>
            <w:r w:rsidRPr="00A96FD5">
              <w:t>exercise</w:t>
            </w:r>
            <w:r>
              <w:t>s</w:t>
            </w:r>
            <w:r w:rsidRPr="00A96FD5">
              <w:t xml:space="preserve"> in water </w:t>
            </w:r>
            <w:r>
              <w:t xml:space="preserve">for 60 minutes 3 times/week </w:t>
            </w:r>
            <w:r w:rsidRPr="00A96FD5">
              <w:t>from weeks 20 to 37.</w:t>
            </w:r>
          </w:p>
          <w:p w14:paraId="417F5FB5" w14:textId="77777777" w:rsidR="00DA31DD" w:rsidRPr="00A96FD5" w:rsidRDefault="00DA31DD" w:rsidP="00317DE7">
            <w:pPr>
              <w:pStyle w:val="bullet"/>
            </w:pPr>
            <w:r w:rsidRPr="00A96FD5">
              <w:rPr>
                <w:i/>
              </w:rPr>
              <w:t>Intensity</w:t>
            </w:r>
            <w:r>
              <w:t>: Moderate; Borg scale 12-14</w:t>
            </w:r>
          </w:p>
        </w:tc>
        <w:tc>
          <w:tcPr>
            <w:tcW w:w="4536" w:type="dxa"/>
            <w:tcBorders>
              <w:top w:val="single" w:sz="4" w:space="0" w:color="auto"/>
              <w:left w:val="single" w:sz="4" w:space="0" w:color="auto"/>
              <w:bottom w:val="single" w:sz="4" w:space="0" w:color="auto"/>
              <w:right w:val="single" w:sz="4" w:space="0" w:color="auto"/>
            </w:tcBorders>
          </w:tcPr>
          <w:p w14:paraId="4E8777DF" w14:textId="50EB8860" w:rsidR="00DA31DD" w:rsidRDefault="00DA31DD" w:rsidP="00317DE7">
            <w:r>
              <w:t>Intervention vs control</w:t>
            </w:r>
            <w:r w:rsidR="003C0750">
              <w:t xml:space="preserve"> at 35 weeks</w:t>
            </w:r>
            <w:r>
              <w:t>:</w:t>
            </w:r>
          </w:p>
          <w:p w14:paraId="454C665C" w14:textId="64FB7A26" w:rsidR="003C0750" w:rsidRDefault="00DA31DD" w:rsidP="00BD61CC">
            <w:pPr>
              <w:pStyle w:val="bullet"/>
            </w:pPr>
            <w:r w:rsidRPr="00DA31DD">
              <w:t xml:space="preserve">SF36v2 </w:t>
            </w:r>
            <w:r w:rsidR="003C0750">
              <w:t>physical component summary: 49.79±4.59 vs45.39±4.21</w:t>
            </w:r>
            <w:r w:rsidR="00855B67">
              <w:t>;</w:t>
            </w:r>
            <w:r w:rsidR="003C0750">
              <w:t xml:space="preserve"> p group=0.001</w:t>
            </w:r>
          </w:p>
          <w:p w14:paraId="3D7D2E8C" w14:textId="15861E70" w:rsidR="00DA31DD" w:rsidRPr="00855B67" w:rsidRDefault="003C0750" w:rsidP="00BD61CC">
            <w:pPr>
              <w:pStyle w:val="bullet"/>
            </w:pPr>
            <w:r w:rsidRPr="00DA31DD">
              <w:t xml:space="preserve">SF36v2 </w:t>
            </w:r>
            <w:r>
              <w:t>mental health component summary:</w:t>
            </w:r>
            <w:r w:rsidR="00855B67">
              <w:t xml:space="preserve"> 42.</w:t>
            </w:r>
            <w:r>
              <w:t>57±5.16 vs 39.2±4.16; p group =0.016</w:t>
            </w:r>
            <w:r w:rsidR="00855B67">
              <w:t>.</w:t>
            </w:r>
          </w:p>
        </w:tc>
        <w:tc>
          <w:tcPr>
            <w:tcW w:w="1843" w:type="dxa"/>
            <w:tcBorders>
              <w:top w:val="single" w:sz="4" w:space="0" w:color="auto"/>
              <w:left w:val="single" w:sz="4" w:space="0" w:color="auto"/>
              <w:bottom w:val="single" w:sz="4" w:space="0" w:color="auto"/>
              <w:right w:val="single" w:sz="4" w:space="0" w:color="auto"/>
            </w:tcBorders>
          </w:tcPr>
          <w:p w14:paraId="066F769F" w14:textId="77777777" w:rsidR="00DA31DD" w:rsidRPr="009C0C55" w:rsidRDefault="00DA31DD" w:rsidP="00317DE7">
            <w:pPr>
              <w:keepNext/>
            </w:pPr>
          </w:p>
        </w:tc>
      </w:tr>
      <w:tr w:rsidR="00A10E4B" w:rsidRPr="009C0C55" w14:paraId="6B8C3CF3" w14:textId="77777777" w:rsidTr="00CE2050">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557" w:type="dxa"/>
            <w:tcBorders>
              <w:top w:val="single" w:sz="4" w:space="0" w:color="auto"/>
              <w:left w:val="single" w:sz="4" w:space="0" w:color="auto"/>
              <w:bottom w:val="single" w:sz="4" w:space="0" w:color="auto"/>
              <w:right w:val="single" w:sz="4" w:space="0" w:color="auto"/>
            </w:tcBorders>
          </w:tcPr>
          <w:p w14:paraId="253B3B6B" w14:textId="5994A324" w:rsidR="00A10E4B" w:rsidRDefault="00CA11CE" w:rsidP="002747EA">
            <w:pPr>
              <w:rPr>
                <w:noProof/>
              </w:rPr>
            </w:pPr>
            <w:r>
              <w:rPr>
                <w:noProof/>
              </w:rPr>
              <w:t>Prabha et al 2019</w:t>
            </w:r>
            <w:r w:rsidR="00D07346">
              <w:rPr>
                <w:noProof/>
              </w:rPr>
              <w:fldChar w:fldCharType="begin"/>
            </w:r>
            <w:r w:rsidR="002747EA">
              <w:rPr>
                <w:noProof/>
              </w:rPr>
              <w:instrText xml:space="preserve"> ADDIN EN.CITE &lt;EndNote&gt;&lt;Cite&gt;&lt;Author&gt;Prabha&lt;/Author&gt;&lt;Year&gt;2019&lt;/Year&gt;&lt;RecNum&gt;1960&lt;/RecNum&gt;&lt;DisplayText&gt;&lt;style face="superscript" font="Trebuchet MS" size="9"&gt;276&lt;/style&gt;&lt;/DisplayText&gt;&lt;record&gt;&lt;rec-number&gt;1960&lt;/rec-number&gt;&lt;foreign-keys&gt;&lt;key app="EN" db-id="exvasrfx2dtraoesasxp2szsxa2df502592x" timestamp="1588743878"&gt;1960&lt;/key&gt;&lt;key app="ENWeb" db-id=""&gt;0&lt;/key&gt;&lt;/foreign-keys&gt;&lt;ref-type name="Journal Article"&gt;17&lt;/ref-type&gt;&lt;contributors&gt;&lt;authors&gt;&lt;author&gt;Prabha, B.S.,&lt;/author&gt;&lt;author&gt;Vijayaraghavan, J.,&lt;/author&gt;&lt;author&gt;Maiya, A.G.,&lt;/author&gt;&lt;author&gt;Venkatesh, N.,&lt;/author&gt;&lt;author&gt;Sivakumar, R.,&lt;/author&gt;&lt;/authors&gt;&lt;/contributors&gt;&lt;titles&gt;&lt;title&gt;Effects of antenatal exercise programme and education on health related quality of life: a randomised controlled trial&lt;/title&gt;&lt;secondary-title&gt;J Clin Diag Res&lt;/secondary-title&gt;&lt;/titles&gt;&lt;periodical&gt;&lt;full-title&gt;J Clin Diag Res&lt;/full-title&gt;&lt;/periodical&gt;&lt;pages&gt;YF01-YF04&lt;/pages&gt;&lt;volume&gt;13&lt;/volume&gt;&lt;number&gt;2&lt;/number&gt;&lt;dates&gt;&lt;year&gt;2019&lt;/year&gt;&lt;/dates&gt;&lt;isbn&gt;2249782X&lt;/isbn&gt;&lt;urls&gt;&lt;/urls&gt;&lt;electronic-resource-num&gt;10.7860/jcdr/2019/38086.12575&lt;/electronic-resource-num&gt;&lt;/record&gt;&lt;/Cite&gt;&lt;/EndNote&gt;</w:instrText>
            </w:r>
            <w:r w:rsidR="00D07346">
              <w:rPr>
                <w:noProof/>
              </w:rPr>
              <w:fldChar w:fldCharType="separate"/>
            </w:r>
            <w:r w:rsidR="002747EA" w:rsidRPr="002747EA">
              <w:rPr>
                <w:noProof/>
                <w:vertAlign w:val="superscript"/>
              </w:rPr>
              <w:t>276</w:t>
            </w:r>
            <w:r w:rsidR="00D07346">
              <w:rPr>
                <w:noProof/>
              </w:rPr>
              <w:fldChar w:fldCharType="end"/>
            </w:r>
          </w:p>
        </w:tc>
        <w:tc>
          <w:tcPr>
            <w:tcW w:w="1275" w:type="dxa"/>
            <w:tcBorders>
              <w:top w:val="single" w:sz="4" w:space="0" w:color="auto"/>
              <w:left w:val="single" w:sz="4" w:space="0" w:color="auto"/>
              <w:bottom w:val="single" w:sz="4" w:space="0" w:color="auto"/>
              <w:right w:val="single" w:sz="4" w:space="0" w:color="auto"/>
            </w:tcBorders>
          </w:tcPr>
          <w:p w14:paraId="50CE0E9D" w14:textId="77777777" w:rsidR="00A10E4B" w:rsidRDefault="001F54EE" w:rsidP="00317DE7">
            <w:r>
              <w:t>Intervention 84</w:t>
            </w:r>
          </w:p>
          <w:p w14:paraId="6C633563" w14:textId="44B9A645" w:rsidR="001F54EE" w:rsidRDefault="001F54EE" w:rsidP="00317DE7">
            <w:r>
              <w:t>Control 86</w:t>
            </w:r>
          </w:p>
        </w:tc>
        <w:tc>
          <w:tcPr>
            <w:tcW w:w="4681" w:type="dxa"/>
            <w:tcBorders>
              <w:top w:val="single" w:sz="4" w:space="0" w:color="auto"/>
              <w:left w:val="single" w:sz="4" w:space="0" w:color="auto"/>
              <w:bottom w:val="single" w:sz="4" w:space="0" w:color="auto"/>
              <w:right w:val="single" w:sz="4" w:space="0" w:color="auto"/>
            </w:tcBorders>
          </w:tcPr>
          <w:p w14:paraId="5F0FF5DB" w14:textId="4A33DFF4" w:rsidR="00E43470" w:rsidRPr="00BD61CC" w:rsidRDefault="00E43470" w:rsidP="00BD61CC">
            <w:pPr>
              <w:rPr>
                <w:szCs w:val="18"/>
              </w:rPr>
            </w:pPr>
            <w:r>
              <w:rPr>
                <w:b/>
              </w:rPr>
              <w:t xml:space="preserve">Aim: </w:t>
            </w:r>
            <w:r w:rsidRPr="00E43470">
              <w:t>To evaluate the effect o</w:t>
            </w:r>
            <w:r w:rsidRPr="00BD61CC">
              <w:t>f</w:t>
            </w:r>
            <w:r w:rsidRPr="00E43470">
              <w:t xml:space="preserve"> structu</w:t>
            </w:r>
            <w:r>
              <w:t>red antenatal exercise program</w:t>
            </w:r>
            <w:r w:rsidRPr="00E43470">
              <w:t xml:space="preserve"> and education on health-related quality of life.</w:t>
            </w:r>
          </w:p>
          <w:p w14:paraId="5E482AD5" w14:textId="77777777" w:rsidR="00A10E4B" w:rsidRDefault="00E43470" w:rsidP="00317DE7">
            <w:r>
              <w:rPr>
                <w:b/>
              </w:rPr>
              <w:t>Population</w:t>
            </w:r>
            <w:r w:rsidRPr="00BD61CC">
              <w:t>:</w:t>
            </w:r>
            <w:r>
              <w:rPr>
                <w:b/>
              </w:rPr>
              <w:t xml:space="preserve"> </w:t>
            </w:r>
            <w:r w:rsidR="00747FB1" w:rsidRPr="00BD61CC">
              <w:t>Healthy women aged 21-36 years, gestational age &gt;20 weeks.</w:t>
            </w:r>
          </w:p>
          <w:p w14:paraId="3503F5AD" w14:textId="07C990D2" w:rsidR="00F946D3" w:rsidRPr="00BD61CC" w:rsidRDefault="00F946D3" w:rsidP="00317DE7">
            <w:r w:rsidRPr="00BD61CC">
              <w:rPr>
                <w:b/>
              </w:rPr>
              <w:t>Intervention</w:t>
            </w:r>
            <w:r>
              <w:t xml:space="preserve">: </w:t>
            </w:r>
            <w:r w:rsidRPr="00F946D3">
              <w:t>Deep breathing exercises, pelvic floor exercise, neck exercises, arm and leg exercises, trunk exercises, pelvic tilting exercises, relaxation technique, Stretching exercise for low back, calf, adductors, wall exercises, Floor exercises for stretching hamstrings, low back, adductors (8-10 repetitions with the duration of 15-20 minutes; 3-5 times a week). </w:t>
            </w:r>
          </w:p>
        </w:tc>
        <w:tc>
          <w:tcPr>
            <w:tcW w:w="4536" w:type="dxa"/>
            <w:tcBorders>
              <w:top w:val="single" w:sz="4" w:space="0" w:color="auto"/>
              <w:left w:val="single" w:sz="4" w:space="0" w:color="auto"/>
              <w:bottom w:val="single" w:sz="4" w:space="0" w:color="auto"/>
              <w:right w:val="single" w:sz="4" w:space="0" w:color="auto"/>
            </w:tcBorders>
          </w:tcPr>
          <w:p w14:paraId="4415568F" w14:textId="62824B9F" w:rsidR="00E43470" w:rsidRDefault="00E43470" w:rsidP="00E43470">
            <w:r>
              <w:t>Intervention vs control at 32 weeks:</w:t>
            </w:r>
          </w:p>
          <w:p w14:paraId="01A69215" w14:textId="21FF7D9B" w:rsidR="00E43470" w:rsidRDefault="00F946D3" w:rsidP="00E43470">
            <w:pPr>
              <w:pStyle w:val="bullet"/>
            </w:pPr>
            <w:r>
              <w:t>SF36</w:t>
            </w:r>
            <w:r w:rsidR="00E43470" w:rsidRPr="00DA31DD">
              <w:t xml:space="preserve"> </w:t>
            </w:r>
            <w:r>
              <w:t>physical component summary: 52.25±5.75</w:t>
            </w:r>
            <w:r w:rsidR="00E43470">
              <w:t xml:space="preserve"> vs</w:t>
            </w:r>
            <w:r>
              <w:t xml:space="preserve"> 49.97±6.92</w:t>
            </w:r>
          </w:p>
          <w:p w14:paraId="73F4B819" w14:textId="5C50CBB7" w:rsidR="00A10E4B" w:rsidRDefault="00E43470" w:rsidP="00BD61CC">
            <w:pPr>
              <w:pStyle w:val="bullet"/>
            </w:pPr>
            <w:r w:rsidRPr="00DA31DD">
              <w:t xml:space="preserve">SF36v2 </w:t>
            </w:r>
            <w:r>
              <w:t xml:space="preserve">mental health component summary: </w:t>
            </w:r>
            <w:r w:rsidR="00F946D3">
              <w:t>46.07±7.05 vs 43.02±5.61</w:t>
            </w:r>
          </w:p>
        </w:tc>
        <w:tc>
          <w:tcPr>
            <w:tcW w:w="1843" w:type="dxa"/>
            <w:tcBorders>
              <w:top w:val="single" w:sz="4" w:space="0" w:color="auto"/>
              <w:left w:val="single" w:sz="4" w:space="0" w:color="auto"/>
              <w:bottom w:val="single" w:sz="4" w:space="0" w:color="auto"/>
              <w:right w:val="single" w:sz="4" w:space="0" w:color="auto"/>
            </w:tcBorders>
          </w:tcPr>
          <w:p w14:paraId="0E479783" w14:textId="77777777" w:rsidR="00A10E4B" w:rsidRPr="009C0C55" w:rsidRDefault="00A10E4B" w:rsidP="00317DE7">
            <w:pPr>
              <w:keepNext/>
            </w:pPr>
          </w:p>
        </w:tc>
      </w:tr>
      <w:tr w:rsidR="00CE2050" w:rsidRPr="0023187B" w14:paraId="5DABCB26" w14:textId="77777777" w:rsidTr="00CE2050">
        <w:trPr>
          <w:cantSplit/>
        </w:trPr>
        <w:tc>
          <w:tcPr>
            <w:tcW w:w="1557" w:type="dxa"/>
          </w:tcPr>
          <w:p w14:paraId="22982900" w14:textId="07EB9D5B" w:rsidR="0023187B" w:rsidRDefault="00AA3827" w:rsidP="0023187B">
            <w:r>
              <w:t>Gustafsson et al 2016</w:t>
            </w:r>
            <w:r w:rsidR="003E3405">
              <w:fldChar w:fldCharType="begin">
                <w:fldData xml:space="preserve">PEVuZE5vdGU+PENpdGU+PEF1dGhvcj5HdXN0YWZzc29uPC9BdXRob3I+PFllYXI+MjAxNjwvWWVh
cj48UmVjTnVtPjkzMTwvUmVjTnVtPjxEaXNwbGF5VGV4dD48c3R5bGUgZmFjZT0ic3VwZXJzY3Jp
cHQiIGZvbnQ9IlRyZWJ1Y2hldCBNUyIgc2l6ZT0iOSI+Mjc3PC9zdHlsZT48L0Rpc3BsYXlUZXh0
PjxyZWNvcmQ+PHJlYy1udW1iZXI+OTMxPC9yZWMtbnVtYmVyPjxmb3JlaWduLWtleXM+PGtleSBh
cHA9IkVOIiBkYi1pZD0iZXh2YXNyZngyZHRyYW9lc2FzeHAyc3pzeGEyZGY1MDI1OTJ4IiB0aW1l
c3RhbXA9IjE1NDE1NDA5NTEiPjkzMTwva2V5PjxrZXkgYXBwPSJFTldlYiIgZGItaWQ9IiI+MDwv
a2V5PjwvZm9yZWlnbi1rZXlzPjxyZWYtdHlwZSBuYW1lPSJKb3VybmFsIEFydGljbGUiPjE3PC9y
ZWYtdHlwZT48Y29udHJpYnV0b3JzPjxhdXRob3JzPjxhdXRob3I+R3VzdGFmc3NvbiwgTS4gSy48
L2F1dGhvcj48YXV0aG9yPlN0YWZuZSwgUy4gTi48L2F1dGhvcj48YXV0aG9yPlJvbXVuZHN0YWQs
IFAuIFIuPC9hdXRob3I+PGF1dGhvcj5Nb3JrdmVkLCBTLjwvYXV0aG9yPjxhdXRob3I+U2FsdmVz
ZW4sIEsuPC9hdXRob3I+PGF1dGhvcj5IZWx2aWssIEEuIFMuPC9hdXRob3I+PC9hdXRob3JzPjwv
Y29udHJpYnV0b3JzPjxhdXRoLWFkZHJlc3M+RGVwYXJ0bWVudCBvZiBQdWJsaWMgSGVhbHRoIGFu
ZCBHZW5lcmFsIFByYWN0aWNlLCBOb3J3ZWdpYW4gVW5pdmVyc2l0eSBvZiBTY2llbmNlIGFuZCBU
ZWNobm9sb2d5LCBUcm9uZGhlaW0sIE5vcndheS4mI3hEO1Ryb25kaGVpbSBVbml2ZXJzaXR5IEhv
c3BpdGFsIChTdCBPbGF2cyBIb3NwaXRhbCksIFRyb25kaGVpbSwgTm9yd2F5LiYjeEQ7Q2xpbmlj
YWwgU2VydmljZXMsIFN0IE9sYXZzIEhvc3BpdGFsLCBUcm9uZGhlaW0gVW5pdmVyc2l0eSBIb3Nw
aXRhbCwgVHJvbmRoZWltLCBOb3J3YXkuJiN4RDtEZXBhcnRtZW50IG9mIExhYm9yYXRvcnkgTWVk
aWNpbmUsIENoaWxkcmVuJmFwb3M7cyBhbmQgV29tZW4mYXBvcztzIEhlYWx0aCwgTm9yd2VnaWFu
IFVuaXZlcnNpdHkgb2YgU2NpZW5jZSBhbmQgVGVjaG5vbG9neSwgVHJvbmRoZWltLCBOb3J3YXku
JiN4RDtOYXRpb25hbCBDZW50ZXIgZm9yIEZldGFsIE1lZGljaW5lLCBEZXBhcnRtZW50IG9mIE9i
c3RldHJpY3MgYW5kIEd5bmVjb2xvZ3ksIFRyb25kaGVpbSBVbml2ZXJzaXR5IEhvc3BpdGFsLCBU
cm9uZGhlaW0sIE5vcndheS4mI3hEO0FnZWluZyBhbmQgSGVhbHRoLCBOb3J3ZWdpYW4gQ2VudHJl
IGZvciBSZXNlYXJjaCwgRWR1Y2F0aW9uIGFuZCBTZXJ2aWNlIERldmVsb3BtZW50LCBWZXN0Zm9s
ZCBIb3NwaXRhbCBUcnVzdCwgVG9uc2JlcmcsIE5vcndheS48L2F1dGgtYWRkcmVzcz48dGl0bGVz
Pjx0aXRsZT5UaGUgZWZmZWN0cyBvZiBhbiBleGVyY2lzZSBwcm9ncmFtbWUgZHVyaW5nIHByZWdu
YW5jeSBvbiBoZWFsdGgtcmVsYXRlZCBxdWFsaXR5IG9mIGxpZmUgaW4gcHJlZ25hbnQgd29tZW46
IGEgTm9yd2VnaWFuIHJhbmRvbWlzZWQgY29udHJvbGxlZCB0cmlhbDwvdGl0bGU+PHNlY29uZGFy
eS10aXRsZT5CSk9HPC9zZWNvbmRhcnktdGl0bGU+PC90aXRsZXM+PHBlcmlvZGljYWw+PGZ1bGwt
dGl0bGU+QkpPRzwvZnVsbC10aXRsZT48L3BlcmlvZGljYWw+PHBhZ2VzPjExNTItNjA8L3BhZ2Vz
Pjx2b2x1bWU+MTIzPC92b2x1bWU+PG51bWJlcj43PC9udW1iZXI+PGVkaXRpb24+MjAxNS8wOC8x
MzwvZWRpdGlvbj48a2V5d29yZHM+PGtleXdvcmQ+QWRvbGVzY2VudDwva2V5d29yZD48a2V5d29y
ZD5BZHVsdDwva2V5d29yZD48a2V5d29yZD5FeGVyY2lzZSBUaGVyYXB5Lypwc3ljaG9sb2d5PC9r
ZXl3b3JkPjxrZXl3b3JkPkZlbWFsZTwva2V5d29yZD48a2V5d29yZD5IZWFsdGggUHJvbW90aW9u
L21ldGhvZHM8L2tleXdvcmQ+PGtleXdvcmQ+SGVhbHRoIFN0YXR1czwva2V5d29yZD48a2V5d29y
ZD5IdW1hbnM8L2tleXdvcmQ+PGtleXdvcmQ+UHJlZ25hbmN5PC9rZXl3b3JkPjxrZXl3b3JkPlBy
ZWduYW5jeSBUcmltZXN0ZXIsIFRoaXJkPC9rZXl3b3JkPjxrZXl3b3JkPlByZWduYW50IFdvbWVu
L3BzeWNob2xvZ3k8L2tleXdvcmQ+PGtleXdvcmQ+UHJlbmF0YWwgQ2FyZS9tZXRob2RzL3BzeWNo
b2xvZ3k8L2tleXdvcmQ+PGtleXdvcmQ+KlF1YWxpdHkgb2YgTGlmZTwva2V5d29yZD48a2V5d29y
ZD5TZWxmIENvbmNlcHQ8L2tleXdvcmQ+PGtleXdvcmQ+VHJlYXRtZW50IE91dGNvbWU8L2tleXdv
cmQ+PGtleXdvcmQ+WW91bmcgQWR1bHQ8L2tleXdvcmQ+PGtleXdvcmQ+RXhlcmNpc2U8L2tleXdv
cmQ+PGtleXdvcmQ+Z2VuZXJhbCBoZWFsdGg8L2tleXdvcmQ+PGtleXdvcmQ+aGVhbHRoLXJlbGF0
ZWQgcXVhbGl0eSBvZiBsaWZlPC9rZXl3b3JkPjwva2V5d29yZHM+PGRhdGVzPjx5ZWFyPjIwMTY8
L3llYXI+PHB1Yi1kYXRlcz48ZGF0ZT5KdW48L2RhdGU+PC9wdWItZGF0ZXM+PC9kYXRlcz48aXNi
bj4xNDcxLTA1MjggKEVsZWN0cm9uaWMpJiN4RDsxNDcwLTAzMjggKExpbmtpbmcpPC9pc2JuPjxh
Y2Nlc3Npb24tbnVtPjI2MjY1NDY1PC9hY2Nlc3Npb24tbnVtPjx1cmxzPjxyZWxhdGVkLXVybHM+
PHVybD5odHRwczovL3d3dy5uY2JpLm5sbS5uaWguZ292L3B1Ym1lZC8yNjI2NTQ2NTwvdXJsPjwv
cmVsYXRlZC11cmxzPjwvdXJscz48ZWxlY3Ryb25pYy1yZXNvdXJjZS1udW0+MTAuMTExMS8xNDcx
LTA1MjguMTM1NzA8L2VsZWN0cm9uaWMtcmVzb3VyY2UtbnVtPjwvcmVjb3JkPjwvQ2l0ZT48L0Vu
ZE5vdGU+
</w:fldData>
              </w:fldChar>
            </w:r>
            <w:r w:rsidR="002747EA">
              <w:instrText xml:space="preserve"> ADDIN EN.CITE </w:instrText>
            </w:r>
            <w:r w:rsidR="002747EA">
              <w:fldChar w:fldCharType="begin">
                <w:fldData xml:space="preserve">PEVuZE5vdGU+PENpdGU+PEF1dGhvcj5HdXN0YWZzc29uPC9BdXRob3I+PFllYXI+MjAxNjwvWWVh
cj48UmVjTnVtPjkzMTwvUmVjTnVtPjxEaXNwbGF5VGV4dD48c3R5bGUgZmFjZT0ic3VwZXJzY3Jp
cHQiIGZvbnQ9IlRyZWJ1Y2hldCBNUyIgc2l6ZT0iOSI+Mjc3PC9zdHlsZT48L0Rpc3BsYXlUZXh0
PjxyZWNvcmQ+PHJlYy1udW1iZXI+OTMxPC9yZWMtbnVtYmVyPjxmb3JlaWduLWtleXM+PGtleSBh
cHA9IkVOIiBkYi1pZD0iZXh2YXNyZngyZHRyYW9lc2FzeHAyc3pzeGEyZGY1MDI1OTJ4IiB0aW1l
c3RhbXA9IjE1NDE1NDA5NTEiPjkzMTwva2V5PjxrZXkgYXBwPSJFTldlYiIgZGItaWQ9IiI+MDwv
a2V5PjwvZm9yZWlnbi1rZXlzPjxyZWYtdHlwZSBuYW1lPSJKb3VybmFsIEFydGljbGUiPjE3PC9y
ZWYtdHlwZT48Y29udHJpYnV0b3JzPjxhdXRob3JzPjxhdXRob3I+R3VzdGFmc3NvbiwgTS4gSy48
L2F1dGhvcj48YXV0aG9yPlN0YWZuZSwgUy4gTi48L2F1dGhvcj48YXV0aG9yPlJvbXVuZHN0YWQs
IFAuIFIuPC9hdXRob3I+PGF1dGhvcj5Nb3JrdmVkLCBTLjwvYXV0aG9yPjxhdXRob3I+U2FsdmVz
ZW4sIEsuPC9hdXRob3I+PGF1dGhvcj5IZWx2aWssIEEuIFMuPC9hdXRob3I+PC9hdXRob3JzPjwv
Y29udHJpYnV0b3JzPjxhdXRoLWFkZHJlc3M+RGVwYXJ0bWVudCBvZiBQdWJsaWMgSGVhbHRoIGFu
ZCBHZW5lcmFsIFByYWN0aWNlLCBOb3J3ZWdpYW4gVW5pdmVyc2l0eSBvZiBTY2llbmNlIGFuZCBU
ZWNobm9sb2d5LCBUcm9uZGhlaW0sIE5vcndheS4mI3hEO1Ryb25kaGVpbSBVbml2ZXJzaXR5IEhv
c3BpdGFsIChTdCBPbGF2cyBIb3NwaXRhbCksIFRyb25kaGVpbSwgTm9yd2F5LiYjeEQ7Q2xpbmlj
YWwgU2VydmljZXMsIFN0IE9sYXZzIEhvc3BpdGFsLCBUcm9uZGhlaW0gVW5pdmVyc2l0eSBIb3Nw
aXRhbCwgVHJvbmRoZWltLCBOb3J3YXkuJiN4RDtEZXBhcnRtZW50IG9mIExhYm9yYXRvcnkgTWVk
aWNpbmUsIENoaWxkcmVuJmFwb3M7cyBhbmQgV29tZW4mYXBvcztzIEhlYWx0aCwgTm9yd2VnaWFu
IFVuaXZlcnNpdHkgb2YgU2NpZW5jZSBhbmQgVGVjaG5vbG9neSwgVHJvbmRoZWltLCBOb3J3YXku
JiN4RDtOYXRpb25hbCBDZW50ZXIgZm9yIEZldGFsIE1lZGljaW5lLCBEZXBhcnRtZW50IG9mIE9i
c3RldHJpY3MgYW5kIEd5bmVjb2xvZ3ksIFRyb25kaGVpbSBVbml2ZXJzaXR5IEhvc3BpdGFsLCBU
cm9uZGhlaW0sIE5vcndheS4mI3hEO0FnZWluZyBhbmQgSGVhbHRoLCBOb3J3ZWdpYW4gQ2VudHJl
IGZvciBSZXNlYXJjaCwgRWR1Y2F0aW9uIGFuZCBTZXJ2aWNlIERldmVsb3BtZW50LCBWZXN0Zm9s
ZCBIb3NwaXRhbCBUcnVzdCwgVG9uc2JlcmcsIE5vcndheS48L2F1dGgtYWRkcmVzcz48dGl0bGVz
Pjx0aXRsZT5UaGUgZWZmZWN0cyBvZiBhbiBleGVyY2lzZSBwcm9ncmFtbWUgZHVyaW5nIHByZWdu
YW5jeSBvbiBoZWFsdGgtcmVsYXRlZCBxdWFsaXR5IG9mIGxpZmUgaW4gcHJlZ25hbnQgd29tZW46
IGEgTm9yd2VnaWFuIHJhbmRvbWlzZWQgY29udHJvbGxlZCB0cmlhbDwvdGl0bGU+PHNlY29uZGFy
eS10aXRsZT5CSk9HPC9zZWNvbmRhcnktdGl0bGU+PC90aXRsZXM+PHBlcmlvZGljYWw+PGZ1bGwt
dGl0bGU+QkpPRzwvZnVsbC10aXRsZT48L3BlcmlvZGljYWw+PHBhZ2VzPjExNTItNjA8L3BhZ2Vz
Pjx2b2x1bWU+MTIzPC92b2x1bWU+PG51bWJlcj43PC9udW1iZXI+PGVkaXRpb24+MjAxNS8wOC8x
MzwvZWRpdGlvbj48a2V5d29yZHM+PGtleXdvcmQ+QWRvbGVzY2VudDwva2V5d29yZD48a2V5d29y
ZD5BZHVsdDwva2V5d29yZD48a2V5d29yZD5FeGVyY2lzZSBUaGVyYXB5Lypwc3ljaG9sb2d5PC9r
ZXl3b3JkPjxrZXl3b3JkPkZlbWFsZTwva2V5d29yZD48a2V5d29yZD5IZWFsdGggUHJvbW90aW9u
L21ldGhvZHM8L2tleXdvcmQ+PGtleXdvcmQ+SGVhbHRoIFN0YXR1czwva2V5d29yZD48a2V5d29y
ZD5IdW1hbnM8L2tleXdvcmQ+PGtleXdvcmQ+UHJlZ25hbmN5PC9rZXl3b3JkPjxrZXl3b3JkPlBy
ZWduYW5jeSBUcmltZXN0ZXIsIFRoaXJkPC9rZXl3b3JkPjxrZXl3b3JkPlByZWduYW50IFdvbWVu
L3BzeWNob2xvZ3k8L2tleXdvcmQ+PGtleXdvcmQ+UHJlbmF0YWwgQ2FyZS9tZXRob2RzL3BzeWNo
b2xvZ3k8L2tleXdvcmQ+PGtleXdvcmQ+KlF1YWxpdHkgb2YgTGlmZTwva2V5d29yZD48a2V5d29y
ZD5TZWxmIENvbmNlcHQ8L2tleXdvcmQ+PGtleXdvcmQ+VHJlYXRtZW50IE91dGNvbWU8L2tleXdv
cmQ+PGtleXdvcmQ+WW91bmcgQWR1bHQ8L2tleXdvcmQ+PGtleXdvcmQ+RXhlcmNpc2U8L2tleXdv
cmQ+PGtleXdvcmQ+Z2VuZXJhbCBoZWFsdGg8L2tleXdvcmQ+PGtleXdvcmQ+aGVhbHRoLXJlbGF0
ZWQgcXVhbGl0eSBvZiBsaWZlPC9rZXl3b3JkPjwva2V5d29yZHM+PGRhdGVzPjx5ZWFyPjIwMTY8
L3llYXI+PHB1Yi1kYXRlcz48ZGF0ZT5KdW48L2RhdGU+PC9wdWItZGF0ZXM+PC9kYXRlcz48aXNi
bj4xNDcxLTA1MjggKEVsZWN0cm9uaWMpJiN4RDsxNDcwLTAzMjggKExpbmtpbmcpPC9pc2JuPjxh
Y2Nlc3Npb24tbnVtPjI2MjY1NDY1PC9hY2Nlc3Npb24tbnVtPjx1cmxzPjxyZWxhdGVkLXVybHM+
PHVybD5odHRwczovL3d3dy5uY2JpLm5sbS5uaWguZ292L3B1Ym1lZC8yNjI2NTQ2NTwvdXJsPjwv
cmVsYXRlZC11cmxzPjwvdXJscz48ZWxlY3Ryb25pYy1yZXNvdXJjZS1udW0+MTAuMTExMS8xNDcx
LTA1MjguMTM1NzA8L2VsZWN0cm9uaWMtcmVzb3VyY2UtbnVtPjwvcmVjb3JkPjwvQ2l0ZT48L0Vu
ZE5vdGU+
</w:fldData>
              </w:fldChar>
            </w:r>
            <w:r w:rsidR="002747EA">
              <w:instrText xml:space="preserve"> ADDIN EN.CITE.DATA </w:instrText>
            </w:r>
            <w:r w:rsidR="002747EA">
              <w:fldChar w:fldCharType="end"/>
            </w:r>
            <w:r w:rsidR="003E3405">
              <w:fldChar w:fldCharType="separate"/>
            </w:r>
            <w:r w:rsidR="002747EA" w:rsidRPr="002747EA">
              <w:rPr>
                <w:noProof/>
                <w:vertAlign w:val="superscript"/>
              </w:rPr>
              <w:t>277</w:t>
            </w:r>
            <w:r w:rsidR="003E3405">
              <w:fldChar w:fldCharType="end"/>
            </w:r>
          </w:p>
          <w:p w14:paraId="09950C94" w14:textId="6F025D86" w:rsidR="00AA3827" w:rsidRPr="0023187B" w:rsidRDefault="00AA3827" w:rsidP="0023187B">
            <w:r>
              <w:t xml:space="preserve">Norway </w:t>
            </w:r>
          </w:p>
        </w:tc>
        <w:tc>
          <w:tcPr>
            <w:tcW w:w="1275" w:type="dxa"/>
          </w:tcPr>
          <w:p w14:paraId="36104A34" w14:textId="78233E80" w:rsidR="0023187B" w:rsidRPr="0023187B" w:rsidRDefault="00AA3827" w:rsidP="0023187B">
            <w:r>
              <w:t>855</w:t>
            </w:r>
          </w:p>
        </w:tc>
        <w:tc>
          <w:tcPr>
            <w:tcW w:w="4681" w:type="dxa"/>
          </w:tcPr>
          <w:p w14:paraId="55C25EDC" w14:textId="48CAC89A" w:rsidR="00AA3827" w:rsidRDefault="00AA3827" w:rsidP="00AA3827">
            <w:r w:rsidRPr="00AA3827">
              <w:rPr>
                <w:b/>
              </w:rPr>
              <w:t>Aim</w:t>
            </w:r>
            <w:r>
              <w:t xml:space="preserve">: </w:t>
            </w:r>
            <w:r w:rsidRPr="00AA3827">
              <w:t xml:space="preserve">To investigate whether a customised exercise programme influences pregnant women's psychological wellbeing and general health perception reflecting health-related quality of life (HRQoL) in late pregnancy. </w:t>
            </w:r>
          </w:p>
          <w:p w14:paraId="51127851" w14:textId="77777777" w:rsidR="00AA3827" w:rsidRDefault="00AA3827" w:rsidP="00AA3827">
            <w:r w:rsidRPr="00AA3827">
              <w:rPr>
                <w:b/>
              </w:rPr>
              <w:t>Population</w:t>
            </w:r>
            <w:r w:rsidRPr="00AA3827">
              <w:t xml:space="preserve">: </w:t>
            </w:r>
            <w:r>
              <w:t>H</w:t>
            </w:r>
            <w:r w:rsidRPr="00AA3827">
              <w:t xml:space="preserve">ealthy Caucasian pregnant women. </w:t>
            </w:r>
          </w:p>
          <w:p w14:paraId="29FB8ED3" w14:textId="267E9D94" w:rsidR="0023187B" w:rsidRPr="0023187B" w:rsidRDefault="00AA3827" w:rsidP="00AA3827">
            <w:r w:rsidRPr="00AA3827">
              <w:rPr>
                <w:b/>
              </w:rPr>
              <w:t>Intervention</w:t>
            </w:r>
            <w:r w:rsidRPr="00AA3827">
              <w:t xml:space="preserve">: The intervention group was offered a 12-week exercise programme between 20 and 36 weeks of pregnancy. One weekly group session was led by physiotherapists, in addition women were encouraged to follow a home exercise programme at least twice a week. The exercise programme followed standard recommendations and included both aerobic and strength training. </w:t>
            </w:r>
          </w:p>
        </w:tc>
        <w:tc>
          <w:tcPr>
            <w:tcW w:w="4536" w:type="dxa"/>
          </w:tcPr>
          <w:p w14:paraId="37B56A5B" w14:textId="77777777" w:rsidR="0023187B" w:rsidRDefault="00AA3827" w:rsidP="00AA3827">
            <w:r>
              <w:t>Intervention vs control:</w:t>
            </w:r>
          </w:p>
          <w:p w14:paraId="3B8AE143" w14:textId="77777777" w:rsidR="00AA3827" w:rsidRDefault="00AA3827" w:rsidP="00AA3827">
            <w:pPr>
              <w:pStyle w:val="bullet"/>
            </w:pPr>
            <w:r>
              <w:t>PGWBI index at 32-36 weeks: 79.5 (78.5 to 80.6) vs 78.5 (77.5 to 79.6)</w:t>
            </w:r>
          </w:p>
          <w:p w14:paraId="32A2F7A4" w14:textId="014CDD67" w:rsidR="00AA3827" w:rsidRPr="00AA3827" w:rsidRDefault="00AA3827" w:rsidP="00AA3827">
            <w:r>
              <w:t>Higher score indicates a better outcome.</w:t>
            </w:r>
          </w:p>
        </w:tc>
        <w:tc>
          <w:tcPr>
            <w:tcW w:w="1843" w:type="dxa"/>
          </w:tcPr>
          <w:p w14:paraId="310310E4" w14:textId="77777777" w:rsidR="0023187B" w:rsidRPr="0023187B" w:rsidRDefault="0023187B" w:rsidP="0023187B"/>
        </w:tc>
      </w:tr>
      <w:tr w:rsidR="00CE2050" w:rsidRPr="0023187B" w14:paraId="0EF969AD" w14:textId="77777777" w:rsidTr="00CE2050">
        <w:trPr>
          <w:cantSplit/>
        </w:trPr>
        <w:tc>
          <w:tcPr>
            <w:tcW w:w="1557" w:type="dxa"/>
          </w:tcPr>
          <w:p w14:paraId="33B03042" w14:textId="6837A1AE" w:rsidR="00AA3827" w:rsidRDefault="00AA3827" w:rsidP="0023187B">
            <w:r>
              <w:t>Montoya arizabaleta et al 2010</w:t>
            </w:r>
            <w:r w:rsidR="003E3405">
              <w:fldChar w:fldCharType="begin"/>
            </w:r>
            <w:r w:rsidR="002747EA">
              <w:instrText xml:space="preserve"> ADDIN EN.CITE &lt;EndNote&gt;&lt;Cite&gt;&lt;Author&gt;Montoya Arizabaleta&lt;/Author&gt;&lt;Year&gt;2010&lt;/Year&gt;&lt;RecNum&gt;729&lt;/RecNum&gt;&lt;DisplayText&gt;&lt;style face="superscript" font="Trebuchet MS" size="9"&gt;279&lt;/style&gt;&lt;/DisplayText&gt;&lt;record&gt;&lt;rec-number&gt;729&lt;/rec-number&gt;&lt;foreign-keys&gt;&lt;key app="EN" db-id="exvasrfx2dtraoesasxp2szsxa2df502592x" timestamp="1541467682"&gt;729&lt;/key&gt;&lt;key app="ENWeb" db-id=""&gt;0&lt;/key&gt;&lt;/foreign-keys&gt;&lt;ref-type name="Journal Article"&gt;17&lt;/ref-type&gt;&lt;contributors&gt;&lt;authors&gt;&lt;author&gt;Montoya Arizabaleta, A.V.,&lt;/author&gt;&lt;author&gt;Orozco Buitrago, L.,&lt;/author&gt;&lt;author&gt;Aguilar de Plata, A.C.,&lt;/author&gt;&lt;author&gt;Mosquera Escudero, M.,&lt;/author&gt;&lt;author&gt;Ramírez-Vélez, R.,&lt;/author&gt;&lt;/authors&gt;&lt;/contributors&gt;&lt;titles&gt;&lt;title&gt;Aerobic exercise during pregnancy improves health-related quality of life: a randomised trial&lt;/title&gt;&lt;secondary-title&gt;Journal of Physiotherapy&lt;/secondary-title&gt;&lt;/titles&gt;&lt;periodical&gt;&lt;full-title&gt;Journal of Physiotherapy&lt;/full-title&gt;&lt;/periodical&gt;&lt;pages&gt;253-258&lt;/pages&gt;&lt;volume&gt;56&lt;/volume&gt;&lt;number&gt;4&lt;/number&gt;&lt;section&gt;253&lt;/section&gt;&lt;dates&gt;&lt;year&gt;2010&lt;/year&gt;&lt;/dates&gt;&lt;isbn&gt;18369553&lt;/isbn&gt;&lt;urls&gt;&lt;/urls&gt;&lt;electronic-resource-num&gt;10.1016/s1836-9553(10)70008-4&lt;/electronic-resource-num&gt;&lt;/record&gt;&lt;/Cite&gt;&lt;/EndNote&gt;</w:instrText>
            </w:r>
            <w:r w:rsidR="003E3405">
              <w:fldChar w:fldCharType="separate"/>
            </w:r>
            <w:r w:rsidR="002747EA" w:rsidRPr="002747EA">
              <w:rPr>
                <w:noProof/>
                <w:vertAlign w:val="superscript"/>
              </w:rPr>
              <w:t>279</w:t>
            </w:r>
            <w:r w:rsidR="003E3405">
              <w:fldChar w:fldCharType="end"/>
            </w:r>
          </w:p>
          <w:p w14:paraId="279B4939" w14:textId="0938158B" w:rsidR="00B6373F" w:rsidRPr="0023187B" w:rsidRDefault="00B6373F" w:rsidP="0023187B">
            <w:r>
              <w:t>Colombia</w:t>
            </w:r>
          </w:p>
        </w:tc>
        <w:tc>
          <w:tcPr>
            <w:tcW w:w="1275" w:type="dxa"/>
          </w:tcPr>
          <w:p w14:paraId="4ADB1F9C" w14:textId="7646D291" w:rsidR="00AA3827" w:rsidRDefault="00B6373F" w:rsidP="0023187B">
            <w:r>
              <w:t>Intervention 24</w:t>
            </w:r>
          </w:p>
          <w:p w14:paraId="0B54DADD" w14:textId="2D40A74C" w:rsidR="00B6373F" w:rsidRPr="0023187B" w:rsidRDefault="00B6373F" w:rsidP="0023187B">
            <w:r>
              <w:t>Control 26</w:t>
            </w:r>
          </w:p>
        </w:tc>
        <w:tc>
          <w:tcPr>
            <w:tcW w:w="4681" w:type="dxa"/>
          </w:tcPr>
          <w:p w14:paraId="4178D07D" w14:textId="47F5FEC3" w:rsidR="00AA3827" w:rsidRDefault="00B6373F" w:rsidP="0023187B">
            <w:r w:rsidRPr="00A70F4B">
              <w:rPr>
                <w:b/>
              </w:rPr>
              <w:t>Aim</w:t>
            </w:r>
            <w:r>
              <w:t xml:space="preserve">: </w:t>
            </w:r>
            <w:r w:rsidR="00A70F4B">
              <w:t>To determine whether supervised aerobic exercise during pregnancy improves health-related quality of life.</w:t>
            </w:r>
          </w:p>
          <w:p w14:paraId="3F94CE66" w14:textId="77777777" w:rsidR="00B6373F" w:rsidRDefault="00B6373F" w:rsidP="0023187B">
            <w:r w:rsidRPr="00A70F4B">
              <w:rPr>
                <w:b/>
              </w:rPr>
              <w:t>Population</w:t>
            </w:r>
            <w:r>
              <w:t>: Nulliparous women aged 16-30 years between 16 and 20 weeks of gestation.</w:t>
            </w:r>
          </w:p>
          <w:p w14:paraId="515D0AE1" w14:textId="433B6CE9" w:rsidR="00B6373F" w:rsidRPr="0023187B" w:rsidRDefault="00B6373F" w:rsidP="0023187B">
            <w:r w:rsidRPr="00A70F4B">
              <w:rPr>
                <w:b/>
              </w:rPr>
              <w:t>Intervention</w:t>
            </w:r>
            <w:r>
              <w:t xml:space="preserve">: </w:t>
            </w:r>
            <w:r w:rsidR="00A70F4B" w:rsidRPr="00A70F4B">
              <w:t>The experimental group completed a 3-month supervised exercise program, commencing at 16 to 20 weeks of</w:t>
            </w:r>
            <w:r w:rsidR="00A70F4B">
              <w:t xml:space="preserve"> </w:t>
            </w:r>
            <w:r w:rsidR="00A70F4B" w:rsidRPr="00A70F4B">
              <w:t>gestation. Each session included walking (10 min), aerobic exercise (30 min), stretching (10 min), and relaxation (10 min).</w:t>
            </w:r>
          </w:p>
        </w:tc>
        <w:tc>
          <w:tcPr>
            <w:tcW w:w="4536" w:type="dxa"/>
          </w:tcPr>
          <w:p w14:paraId="0751A50D" w14:textId="586FB563" w:rsidR="00AA3827" w:rsidRDefault="00A70F4B" w:rsidP="0023187B">
            <w:r>
              <w:t>Difference between groups in improvement in health-related quality of life:</w:t>
            </w:r>
          </w:p>
          <w:p w14:paraId="508E6A6F" w14:textId="40ED7B05" w:rsidR="00A70F4B" w:rsidRDefault="00A70F4B" w:rsidP="00A70F4B">
            <w:pPr>
              <w:pStyle w:val="bullet"/>
            </w:pPr>
            <w:r>
              <w:t>Physical component: 6 points (2 to 11)</w:t>
            </w:r>
          </w:p>
          <w:p w14:paraId="57BEC42A" w14:textId="4C785F51" w:rsidR="00A70F4B" w:rsidRDefault="00A70F4B" w:rsidP="00A70F4B">
            <w:pPr>
              <w:pStyle w:val="bullet"/>
            </w:pPr>
            <w:r>
              <w:t>Physical function: 7 points (0 to 14)</w:t>
            </w:r>
          </w:p>
          <w:p w14:paraId="71954B6D" w14:textId="2833EED0" w:rsidR="00A70F4B" w:rsidRDefault="00A70F4B" w:rsidP="00A70F4B">
            <w:pPr>
              <w:pStyle w:val="bullet"/>
            </w:pPr>
            <w:r>
              <w:t>Bodily pain: 7 points (1 to 13)</w:t>
            </w:r>
          </w:p>
          <w:p w14:paraId="51440BE9" w14:textId="6B5D5E41" w:rsidR="00A70F4B" w:rsidRDefault="00A70F4B" w:rsidP="00A70F4B">
            <w:pPr>
              <w:pStyle w:val="bullet"/>
            </w:pPr>
            <w:r>
              <w:t>General health: 5 points (1 to 10)</w:t>
            </w:r>
          </w:p>
          <w:p w14:paraId="79773539" w14:textId="2EFEFD8C" w:rsidR="00A70F4B" w:rsidRPr="0023187B" w:rsidRDefault="00A70F4B" w:rsidP="0023187B"/>
        </w:tc>
        <w:tc>
          <w:tcPr>
            <w:tcW w:w="1843" w:type="dxa"/>
          </w:tcPr>
          <w:p w14:paraId="6D41C397" w14:textId="77777777" w:rsidR="00AA3827" w:rsidRPr="0023187B" w:rsidRDefault="00AA3827" w:rsidP="0023187B"/>
        </w:tc>
      </w:tr>
      <w:tr w:rsidR="00CE2050" w:rsidRPr="0023187B" w14:paraId="56756388" w14:textId="77777777" w:rsidTr="00CE2050">
        <w:trPr>
          <w:cantSplit/>
        </w:trPr>
        <w:tc>
          <w:tcPr>
            <w:tcW w:w="1557" w:type="dxa"/>
          </w:tcPr>
          <w:p w14:paraId="4C63BFFB" w14:textId="10388ED0" w:rsidR="00AA3827" w:rsidRDefault="008C7420" w:rsidP="0023187B">
            <w:r>
              <w:t>Haakstad et al 2016</w:t>
            </w:r>
            <w:r w:rsidR="003E3405">
              <w:fldChar w:fldCharType="begin">
                <w:fldData xml:space="preserve">PEVuZE5vdGU+PENpdGU+PEF1dGhvcj5IYWFrc3RhZDwvQXV0aG9yPjxZZWFyPjIwMTY8L1llYXI+
PFJlY051bT4xMDI3PC9SZWNOdW0+PERpc3BsYXlUZXh0PjxzdHlsZSBmYWNlPSJzdXBlcnNjcmlw
dCIgZm9udD0iVHJlYnVjaGV0IE1TIiBzaXplPSI5Ij4yNzg8L3N0eWxlPjwvRGlzcGxheVRleHQ+
PHJlY29yZD48cmVjLW51bWJlcj4xMDI3PC9yZWMtbnVtYmVyPjxmb3JlaWduLWtleXM+PGtleSBh
cHA9IkVOIiBkYi1pZD0iZXh2YXNyZngyZHRyYW9lc2FzeHAyc3pzeGEyZGY1MDI1OTJ4IiB0aW1l
c3RhbXA9IjE1NDg5ODM0NzYiPjEwMjc8L2tleT48L2ZvcmVpZ24ta2V5cz48cmVmLXR5cGUgbmFt
ZT0iSm91cm5hbCBBcnRpY2xlIj4xNzwvcmVmLXR5cGU+PGNvbnRyaWJ1dG9ycz48YXV0aG9ycz48
YXV0aG9yPkhhYWtzdGFkLCBMLiBBLjwvYXV0aG9yPjxhdXRob3I+VG9yc2V0LCBCLjwvYXV0aG9y
PjxhdXRob3I+Qm8sIEsuPC9hdXRob3I+PC9hdXRob3JzPjwvY29udHJpYnV0b3JzPjxhdXRoLWFk
ZHJlc3M+Tm9yd2VnaWFuIFNjaG9vbCBvZiBTcG9ydHMgU2NpZW5jZXMsIERlcGFydG1lbnQgb2Yg
U3BvcnRzIE1lZGljaW5lLCBOb3J3YXkuIEVsZWN0cm9uaWMgYWRkcmVzczogbGFoYWFrc3RhZEBu
aWgubm8uJiN4RDtOb3J3ZWdpYW4gU2Nob29sIG9mIFNwb3J0cyBTY2llbmNlcywgRGVwYXJ0bWVu
dCBvZiBTcG9ydHMgTWVkaWNpbmUsIE5vcndheS4gRWxlY3Ryb25pYyBhZGRyZXNzOiBiLnMudG9y
c2V0QG5paC5uby4mI3hEO05vcndlZ2lhbiBTY2hvb2wgb2YgU3BvcnRzIFNjaWVuY2VzLCBEZXBh
cnRtZW50IG9mIFNwb3J0cyBNZWRpY2luZSwgTm9yd2F5LiBFbGVjdHJvbmljIGFkZHJlc3M6IGth
cmkuYm9AbmloLm5vLjwvYXV0aC1hZGRyZXNzPjx0aXRsZXM+PHRpdGxlPldoYXQgaXMgdGhlIGVm
ZmVjdCBvZiByZWd1bGFyIGdyb3VwIGV4ZXJjaXNlIG9uIG1hdGVybmFsIHBzeWNob2xvZ2ljYWwg
b3V0Y29tZXMgYW5kIGNvbW1vbiBwcmVnbmFuY3kgY29tcGxhaW50cz8gQW4gYXNzZXNzb3IgYmxp
bmRlZCBSQ1Q8L3RpdGxlPjxzZWNvbmRhcnktdGl0bGU+TWlkd2lmZXJ5PC9zZWNvbmRhcnktdGl0
bGU+PC90aXRsZXM+PHBlcmlvZGljYWw+PGZ1bGwtdGl0bGU+TWlkd2lmZXJ5PC9mdWxsLXRpdGxl
PjwvcGVyaW9kaWNhbD48cGFnZXM+ODEtNjwvcGFnZXM+PHZvbHVtZT4zMjwvdm9sdW1lPjxlZGl0
aW9uPjIwMTUvMTEvMTg8L2VkaXRpb24+PGtleXdvcmRzPjxrZXl3b3JkPkFkdWx0PC9rZXl3b3Jk
PjxrZXl3b3JkPipFeGVyY2lzZS9waHlzaW9sb2d5L3BzeWNob2xvZ3k8L2tleXdvcmQ+PGtleXdv
cmQ+RmVtYWxlPC9rZXl3b3JkPjxrZXl3b3JkPkh1bWFuczwva2V5d29yZD48a2V5d29yZD5PdXRj
b21lIEFzc2Vzc21lbnQgKEhlYWx0aCBDYXJlKTwva2V5d29yZD48a2V5d29yZD5QcmVnbmFuY3kv
cGh5c2lvbG9neS8qcHN5Y2hvbG9neTwva2V5d29yZD48a2V5d29yZD5QcmVnbmFuY3kgQ29tcGxp
Y2F0aW9ucy9wc3ljaG9sb2d5Lyp0aGVyYXB5PC9rZXl3b3JkPjxrZXl3b3JkPipRdWFsaXR5IG9m
IExpZmU8L2tleXdvcmQ+PGtleXdvcmQ+U2luZ2xlLUJsaW5kIE1ldGhvZDwva2V5d29yZD48a2V5
d29yZD5FeGVyY2lzZTwva2V5d29yZD48a2V5d29yZD5NYXRlcm5hbCB3ZWxsLWJlaW5nPC9rZXl3
b3JkPjxrZXl3b3JkPlByZWduYW5jeSBjb21wbGFpbnQ8L2tleXdvcmQ+PGtleXdvcmQ+UHJlZ25h
bmN5IGRlcHJlc3Npb248L2tleXdvcmQ+PGtleXdvcmQ+UXVhbGl0eSBvZiBsaWZlPC9rZXl3b3Jk
Pjwva2V5d29yZHM+PGRhdGVzPjx5ZWFyPjIwMTY8L3llYXI+PHB1Yi1kYXRlcz48ZGF0ZT5KYW48
L2RhdGU+PC9wdWItZGF0ZXM+PC9kYXRlcz48aXNibj4xNTMyLTMwOTkgKEVsZWN0cm9uaWMpJiN4
RDswMjY2LTYxMzggKExpbmtpbmcpPC9pc2JuPjxhY2Nlc3Npb24tbnVtPjI2NTc0MDUwPC9hY2Nl
c3Npb24tbnVtPjx1cmxzPjxyZWxhdGVkLXVybHM+PHVybD5odHRwczovL3d3dy5uY2JpLm5sbS5u
aWguZ292L3B1Ym1lZC8yNjU3NDA1MDwvdXJsPjwvcmVsYXRlZC11cmxzPjwvdXJscz48ZWxlY3Ry
b25pYy1yZXNvdXJjZS1udW0+MTAuMTAxNi9qLm1pZHcuMjAxNS4xMC4wMDg8L2VsZWN0cm9uaWMt
cmVzb3VyY2UtbnVtPjwvcmVjb3JkPjwvQ2l0ZT48L0VuZE5vdGU+
</w:fldData>
              </w:fldChar>
            </w:r>
            <w:r w:rsidR="002747EA">
              <w:instrText xml:space="preserve"> ADDIN EN.CITE </w:instrText>
            </w:r>
            <w:r w:rsidR="002747EA">
              <w:fldChar w:fldCharType="begin">
                <w:fldData xml:space="preserve">PEVuZE5vdGU+PENpdGU+PEF1dGhvcj5IYWFrc3RhZDwvQXV0aG9yPjxZZWFyPjIwMTY8L1llYXI+
PFJlY051bT4xMDI3PC9SZWNOdW0+PERpc3BsYXlUZXh0PjxzdHlsZSBmYWNlPSJzdXBlcnNjcmlw
dCIgZm9udD0iVHJlYnVjaGV0IE1TIiBzaXplPSI5Ij4yNzg8L3N0eWxlPjwvRGlzcGxheVRleHQ+
PHJlY29yZD48cmVjLW51bWJlcj4xMDI3PC9yZWMtbnVtYmVyPjxmb3JlaWduLWtleXM+PGtleSBh
cHA9IkVOIiBkYi1pZD0iZXh2YXNyZngyZHRyYW9lc2FzeHAyc3pzeGEyZGY1MDI1OTJ4IiB0aW1l
c3RhbXA9IjE1NDg5ODM0NzYiPjEwMjc8L2tleT48L2ZvcmVpZ24ta2V5cz48cmVmLXR5cGUgbmFt
ZT0iSm91cm5hbCBBcnRpY2xlIj4xNzwvcmVmLXR5cGU+PGNvbnRyaWJ1dG9ycz48YXV0aG9ycz48
YXV0aG9yPkhhYWtzdGFkLCBMLiBBLjwvYXV0aG9yPjxhdXRob3I+VG9yc2V0LCBCLjwvYXV0aG9y
PjxhdXRob3I+Qm8sIEsuPC9hdXRob3I+PC9hdXRob3JzPjwvY29udHJpYnV0b3JzPjxhdXRoLWFk
ZHJlc3M+Tm9yd2VnaWFuIFNjaG9vbCBvZiBTcG9ydHMgU2NpZW5jZXMsIERlcGFydG1lbnQgb2Yg
U3BvcnRzIE1lZGljaW5lLCBOb3J3YXkuIEVsZWN0cm9uaWMgYWRkcmVzczogbGFoYWFrc3RhZEBu
aWgubm8uJiN4RDtOb3J3ZWdpYW4gU2Nob29sIG9mIFNwb3J0cyBTY2llbmNlcywgRGVwYXJ0bWVu
dCBvZiBTcG9ydHMgTWVkaWNpbmUsIE5vcndheS4gRWxlY3Ryb25pYyBhZGRyZXNzOiBiLnMudG9y
c2V0QG5paC5uby4mI3hEO05vcndlZ2lhbiBTY2hvb2wgb2YgU3BvcnRzIFNjaWVuY2VzLCBEZXBh
cnRtZW50IG9mIFNwb3J0cyBNZWRpY2luZSwgTm9yd2F5LiBFbGVjdHJvbmljIGFkZHJlc3M6IGth
cmkuYm9AbmloLm5vLjwvYXV0aC1hZGRyZXNzPjx0aXRsZXM+PHRpdGxlPldoYXQgaXMgdGhlIGVm
ZmVjdCBvZiByZWd1bGFyIGdyb3VwIGV4ZXJjaXNlIG9uIG1hdGVybmFsIHBzeWNob2xvZ2ljYWwg
b3V0Y29tZXMgYW5kIGNvbW1vbiBwcmVnbmFuY3kgY29tcGxhaW50cz8gQW4gYXNzZXNzb3IgYmxp
bmRlZCBSQ1Q8L3RpdGxlPjxzZWNvbmRhcnktdGl0bGU+TWlkd2lmZXJ5PC9zZWNvbmRhcnktdGl0
bGU+PC90aXRsZXM+PHBlcmlvZGljYWw+PGZ1bGwtdGl0bGU+TWlkd2lmZXJ5PC9mdWxsLXRpdGxl
PjwvcGVyaW9kaWNhbD48cGFnZXM+ODEtNjwvcGFnZXM+PHZvbHVtZT4zMjwvdm9sdW1lPjxlZGl0
aW9uPjIwMTUvMTEvMTg8L2VkaXRpb24+PGtleXdvcmRzPjxrZXl3b3JkPkFkdWx0PC9rZXl3b3Jk
PjxrZXl3b3JkPipFeGVyY2lzZS9waHlzaW9sb2d5L3BzeWNob2xvZ3k8L2tleXdvcmQ+PGtleXdv
cmQ+RmVtYWxlPC9rZXl3b3JkPjxrZXl3b3JkPkh1bWFuczwva2V5d29yZD48a2V5d29yZD5PdXRj
b21lIEFzc2Vzc21lbnQgKEhlYWx0aCBDYXJlKTwva2V5d29yZD48a2V5d29yZD5QcmVnbmFuY3kv
cGh5c2lvbG9neS8qcHN5Y2hvbG9neTwva2V5d29yZD48a2V5d29yZD5QcmVnbmFuY3kgQ29tcGxp
Y2F0aW9ucy9wc3ljaG9sb2d5Lyp0aGVyYXB5PC9rZXl3b3JkPjxrZXl3b3JkPipRdWFsaXR5IG9m
IExpZmU8L2tleXdvcmQ+PGtleXdvcmQ+U2luZ2xlLUJsaW5kIE1ldGhvZDwva2V5d29yZD48a2V5
d29yZD5FeGVyY2lzZTwva2V5d29yZD48a2V5d29yZD5NYXRlcm5hbCB3ZWxsLWJlaW5nPC9rZXl3
b3JkPjxrZXl3b3JkPlByZWduYW5jeSBjb21wbGFpbnQ8L2tleXdvcmQ+PGtleXdvcmQ+UHJlZ25h
bmN5IGRlcHJlc3Npb248L2tleXdvcmQ+PGtleXdvcmQ+UXVhbGl0eSBvZiBsaWZlPC9rZXl3b3Jk
Pjwva2V5d29yZHM+PGRhdGVzPjx5ZWFyPjIwMTY8L3llYXI+PHB1Yi1kYXRlcz48ZGF0ZT5KYW48
L2RhdGU+PC9wdWItZGF0ZXM+PC9kYXRlcz48aXNibj4xNTMyLTMwOTkgKEVsZWN0cm9uaWMpJiN4
RDswMjY2LTYxMzggKExpbmtpbmcpPC9pc2JuPjxhY2Nlc3Npb24tbnVtPjI2NTc0MDUwPC9hY2Nl
c3Npb24tbnVtPjx1cmxzPjxyZWxhdGVkLXVybHM+PHVybD5odHRwczovL3d3dy5uY2JpLm5sbS5u
aWguZ292L3B1Ym1lZC8yNjU3NDA1MDwvdXJsPjwvcmVsYXRlZC11cmxzPjwvdXJscz48ZWxlY3Ry
b25pYy1yZXNvdXJjZS1udW0+MTAuMTAxNi9qLm1pZHcuMjAxNS4xMC4wMDg8L2VsZWN0cm9uaWMt
cmVzb3VyY2UtbnVtPjwvcmVjb3JkPjwvQ2l0ZT48L0VuZE5vdGU+
</w:fldData>
              </w:fldChar>
            </w:r>
            <w:r w:rsidR="002747EA">
              <w:instrText xml:space="preserve"> ADDIN EN.CITE.DATA </w:instrText>
            </w:r>
            <w:r w:rsidR="002747EA">
              <w:fldChar w:fldCharType="end"/>
            </w:r>
            <w:r w:rsidR="003E3405">
              <w:fldChar w:fldCharType="separate"/>
            </w:r>
            <w:r w:rsidR="002747EA" w:rsidRPr="002747EA">
              <w:rPr>
                <w:noProof/>
                <w:vertAlign w:val="superscript"/>
              </w:rPr>
              <w:t>278</w:t>
            </w:r>
            <w:r w:rsidR="003E3405">
              <w:fldChar w:fldCharType="end"/>
            </w:r>
          </w:p>
          <w:p w14:paraId="0EA380DB" w14:textId="29C8EA5C" w:rsidR="008C7420" w:rsidRPr="0023187B" w:rsidRDefault="008C7420" w:rsidP="0023187B">
            <w:r>
              <w:t>Norway</w:t>
            </w:r>
          </w:p>
        </w:tc>
        <w:tc>
          <w:tcPr>
            <w:tcW w:w="1275" w:type="dxa"/>
          </w:tcPr>
          <w:p w14:paraId="04CE6C4B" w14:textId="77777777" w:rsidR="00AA3827" w:rsidRDefault="008C7420" w:rsidP="0023187B">
            <w:r>
              <w:t>Intervention 52</w:t>
            </w:r>
          </w:p>
          <w:p w14:paraId="319306C2" w14:textId="41661A13" w:rsidR="008C7420" w:rsidRPr="0023187B" w:rsidRDefault="008C7420" w:rsidP="0023187B">
            <w:r>
              <w:t>Control 53</w:t>
            </w:r>
          </w:p>
        </w:tc>
        <w:tc>
          <w:tcPr>
            <w:tcW w:w="4681" w:type="dxa"/>
          </w:tcPr>
          <w:p w14:paraId="5B5C79EB" w14:textId="77777777" w:rsidR="008C7420" w:rsidRDefault="008C7420" w:rsidP="008C7420">
            <w:r w:rsidRPr="008C7420">
              <w:rPr>
                <w:b/>
              </w:rPr>
              <w:t>Aim</w:t>
            </w:r>
            <w:r>
              <w:t xml:space="preserve">: </w:t>
            </w:r>
            <w:r w:rsidR="00A70F4B" w:rsidRPr="00A70F4B">
              <w:t xml:space="preserve">to examine the effects of supervised group exercise on maternal psychological outcomes and commonly reported pregnancy complaints. </w:t>
            </w:r>
          </w:p>
          <w:p w14:paraId="36757ADC" w14:textId="77777777" w:rsidR="008C7420" w:rsidRDefault="008C7420" w:rsidP="008C7420">
            <w:r w:rsidRPr="008C7420">
              <w:rPr>
                <w:b/>
              </w:rPr>
              <w:t>Population</w:t>
            </w:r>
            <w:r>
              <w:t>:</w:t>
            </w:r>
            <w:r w:rsidR="00A70F4B" w:rsidRPr="00A70F4B">
              <w:t xml:space="preserve"> </w:t>
            </w:r>
            <w:r>
              <w:t>S</w:t>
            </w:r>
            <w:r w:rsidR="00A70F4B" w:rsidRPr="00A70F4B">
              <w:t>edentary, nulliparous pregnant women, mean age 30.7</w:t>
            </w:r>
            <w:r>
              <w:t xml:space="preserve">±4.0 </w:t>
            </w:r>
            <w:r w:rsidR="00A70F4B" w:rsidRPr="00A70F4B">
              <w:t>years, pre-pregnancy BMI 23.8</w:t>
            </w:r>
            <w:r>
              <w:t xml:space="preserve">±4.3 </w:t>
            </w:r>
            <w:r w:rsidR="00A70F4B" w:rsidRPr="00A70F4B">
              <w:t>at mean gestation week 17.7</w:t>
            </w:r>
            <w:r>
              <w:t>±4.2</w:t>
            </w:r>
            <w:r w:rsidR="00A70F4B" w:rsidRPr="00A70F4B">
              <w:t xml:space="preserve">. </w:t>
            </w:r>
          </w:p>
          <w:p w14:paraId="707718F7" w14:textId="716A81BB" w:rsidR="00AA3827" w:rsidRPr="0023187B" w:rsidRDefault="008C7420" w:rsidP="008C7420">
            <w:r w:rsidRPr="008C7420">
              <w:rPr>
                <w:b/>
              </w:rPr>
              <w:t>Intervention</w:t>
            </w:r>
            <w:r w:rsidR="00A70F4B" w:rsidRPr="00A70F4B">
              <w:t xml:space="preserve">: the intervention </w:t>
            </w:r>
            <w:r>
              <w:t>i</w:t>
            </w:r>
            <w:r w:rsidR="00A70F4B" w:rsidRPr="00A70F4B">
              <w:t xml:space="preserve">ncluded a 60 minutes general fitness class, with 40 minutes of endurance training/aerobic and 20 minutes of strength training and stretching/relaxation, performed at least twice per week for a minimum of 12 weeks. </w:t>
            </w:r>
          </w:p>
        </w:tc>
        <w:tc>
          <w:tcPr>
            <w:tcW w:w="4536" w:type="dxa"/>
          </w:tcPr>
          <w:p w14:paraId="1DFFD653" w14:textId="77777777" w:rsidR="00AA3827" w:rsidRDefault="008C7420" w:rsidP="0023187B">
            <w:r>
              <w:t>Intervention vs control:</w:t>
            </w:r>
          </w:p>
          <w:p w14:paraId="2405A96D" w14:textId="7073C214" w:rsidR="008C7420" w:rsidRPr="0023187B" w:rsidRDefault="008C7420" w:rsidP="008C7420">
            <w:pPr>
              <w:pStyle w:val="bullet"/>
            </w:pPr>
            <w:r>
              <w:t>Quality of life: 4.43</w:t>
            </w:r>
            <w:r w:rsidR="00FA1DB4">
              <w:t>±0.6</w:t>
            </w:r>
            <w:r>
              <w:t xml:space="preserve"> vs 4.28</w:t>
            </w:r>
            <w:r w:rsidR="00FA1DB4">
              <w:t>±0.7; p=0.3</w:t>
            </w:r>
          </w:p>
        </w:tc>
        <w:tc>
          <w:tcPr>
            <w:tcW w:w="1843" w:type="dxa"/>
          </w:tcPr>
          <w:p w14:paraId="08419171" w14:textId="77777777" w:rsidR="00AA3827" w:rsidRPr="0023187B" w:rsidRDefault="00AA3827" w:rsidP="0023187B"/>
        </w:tc>
      </w:tr>
    </w:tbl>
    <w:p w14:paraId="2CFE49B4" w14:textId="77777777" w:rsidR="00921608" w:rsidRDefault="00921608" w:rsidP="00921608">
      <w:pPr>
        <w:pStyle w:val="Heading4"/>
      </w:pPr>
      <w:r>
        <w:t>Injury</w:t>
      </w:r>
    </w:p>
    <w:p w14:paraId="0805D3AB" w14:textId="4E6BB85F" w:rsidR="00FB2C28" w:rsidRPr="00DC4A73" w:rsidRDefault="009C163D" w:rsidP="00932C6D">
      <w:pPr>
        <w:pStyle w:val="TableName"/>
      </w:pPr>
      <w:bookmarkStart w:id="126" w:name="_Toc40956644"/>
      <w:r>
        <w:t xml:space="preserve">Q5 </w:t>
      </w:r>
      <w:r w:rsidR="00FB2C28">
        <w:t>Physical activity in pregnancy and injury — cohort study</w:t>
      </w:r>
      <w:bookmarkEnd w:id="126"/>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6: Q5 Physical activity in pregnancy and injury — cohort study"/>
      </w:tblPr>
      <w:tblGrid>
        <w:gridCol w:w="1305"/>
        <w:gridCol w:w="1247"/>
        <w:gridCol w:w="4961"/>
        <w:gridCol w:w="4536"/>
        <w:gridCol w:w="1843"/>
      </w:tblGrid>
      <w:tr w:rsidR="00FB2C28" w:rsidRPr="00F350A6" w14:paraId="35852760" w14:textId="77777777" w:rsidTr="00E37989">
        <w:trPr>
          <w:cantSplit/>
          <w:tblHeader/>
        </w:trPr>
        <w:tc>
          <w:tcPr>
            <w:tcW w:w="1305" w:type="dxa"/>
          </w:tcPr>
          <w:p w14:paraId="62960A08" w14:textId="77777777" w:rsidR="00FB2C28" w:rsidRPr="00F350A6" w:rsidRDefault="00FB2C28" w:rsidP="00E37989">
            <w:pPr>
              <w:keepNext/>
              <w:rPr>
                <w:b/>
              </w:rPr>
            </w:pPr>
            <w:r>
              <w:rPr>
                <w:b/>
              </w:rPr>
              <w:t>Study ref</w:t>
            </w:r>
          </w:p>
        </w:tc>
        <w:tc>
          <w:tcPr>
            <w:tcW w:w="1247" w:type="dxa"/>
          </w:tcPr>
          <w:p w14:paraId="310BB69D" w14:textId="77777777" w:rsidR="00FB2C28" w:rsidRPr="00F350A6" w:rsidRDefault="00FB2C28" w:rsidP="00E37989">
            <w:pPr>
              <w:keepNext/>
              <w:rPr>
                <w:b/>
              </w:rPr>
            </w:pPr>
            <w:r>
              <w:rPr>
                <w:b/>
              </w:rPr>
              <w:t>N</w:t>
            </w:r>
          </w:p>
        </w:tc>
        <w:tc>
          <w:tcPr>
            <w:tcW w:w="4961" w:type="dxa"/>
          </w:tcPr>
          <w:p w14:paraId="2969797B" w14:textId="77777777" w:rsidR="00FB2C28" w:rsidRPr="00F350A6" w:rsidRDefault="00FB2C28" w:rsidP="00E37989">
            <w:pPr>
              <w:keepNext/>
              <w:rPr>
                <w:b/>
              </w:rPr>
            </w:pPr>
            <w:r>
              <w:rPr>
                <w:b/>
              </w:rPr>
              <w:t>Aim/methods</w:t>
            </w:r>
          </w:p>
        </w:tc>
        <w:tc>
          <w:tcPr>
            <w:tcW w:w="4536" w:type="dxa"/>
          </w:tcPr>
          <w:p w14:paraId="4E66325C" w14:textId="77777777" w:rsidR="00FB2C28" w:rsidRPr="00F350A6" w:rsidRDefault="00FB2C28" w:rsidP="00E37989">
            <w:pPr>
              <w:keepNext/>
              <w:rPr>
                <w:b/>
              </w:rPr>
            </w:pPr>
            <w:r>
              <w:rPr>
                <w:b/>
              </w:rPr>
              <w:t>Results</w:t>
            </w:r>
          </w:p>
        </w:tc>
        <w:tc>
          <w:tcPr>
            <w:tcW w:w="1843" w:type="dxa"/>
          </w:tcPr>
          <w:p w14:paraId="41A6C29F" w14:textId="77777777" w:rsidR="00FB2C28" w:rsidRPr="00F350A6" w:rsidRDefault="00FB2C28" w:rsidP="00E37989">
            <w:pPr>
              <w:keepNext/>
              <w:rPr>
                <w:b/>
              </w:rPr>
            </w:pPr>
            <w:r>
              <w:rPr>
                <w:b/>
              </w:rPr>
              <w:t>Comments</w:t>
            </w:r>
          </w:p>
        </w:tc>
      </w:tr>
      <w:tr w:rsidR="00FB2C28" w:rsidRPr="00DC4A73" w14:paraId="34E21432" w14:textId="77777777" w:rsidTr="00E37989">
        <w:trPr>
          <w:cantSplit/>
          <w:tblHeader/>
        </w:trPr>
        <w:tc>
          <w:tcPr>
            <w:tcW w:w="1305" w:type="dxa"/>
          </w:tcPr>
          <w:p w14:paraId="7B5D4FF9" w14:textId="40F13D49" w:rsidR="00FB2C28" w:rsidRDefault="00CF74F2" w:rsidP="00CF74F2">
            <w:r w:rsidRPr="00CF74F2">
              <w:t>Vladutiu</w:t>
            </w:r>
            <w:r>
              <w:t xml:space="preserve"> et al 2010</w:t>
            </w:r>
            <w:r w:rsidR="003E3405">
              <w:fldChar w:fldCharType="begin"/>
            </w:r>
            <w:r w:rsidR="002747EA">
              <w:instrText xml:space="preserve"> ADDIN EN.CITE &lt;EndNote&gt;&lt;Cite&gt;&lt;Author&gt;Vladutiu&lt;/Author&gt;&lt;Year&gt;2010&lt;/Year&gt;&lt;RecNum&gt;1242&lt;/RecNum&gt;&lt;DisplayText&gt;&lt;style face="superscript" font="Trebuchet MS" size="9"&gt;274&lt;/style&gt;&lt;/DisplayText&gt;&lt;record&gt;&lt;rec-number&gt;1242&lt;/rec-number&gt;&lt;foreign-keys&gt;&lt;key app="EN" db-id="exvasrfx2dtraoesasxp2szsxa2df502592x" timestamp="1562807292"&gt;1242&lt;/key&gt;&lt;/foreign-keys&gt;&lt;ref-type name="Journal Article"&gt;17&lt;/ref-type&gt;&lt;contributors&gt;&lt;authors&gt;&lt;author&gt;Vladutiu, C. J.&lt;/author&gt;&lt;author&gt;Evenson, K. R.&lt;/author&gt;&lt;author&gt;Marshall, S. W.&lt;/author&gt;&lt;/authors&gt;&lt;/contributors&gt;&lt;auth-address&gt;Dept. of Epidemiology, Gillings School of Global Public Health, University of North Carolina at Chapel Hill, NC, USA.&lt;/auth-address&gt;&lt;titles&gt;&lt;title&gt;Physical activity and injuries during pregnancy&lt;/title&gt;&lt;secondary-title&gt;J Phys Act Health&lt;/secondary-title&gt;&lt;/titles&gt;&lt;periodical&gt;&lt;full-title&gt;J Phys Act Health&lt;/full-title&gt;&lt;/periodical&gt;&lt;pages&gt;761-9&lt;/pages&gt;&lt;volume&gt;7&lt;/volume&gt;&lt;number&gt;6&lt;/number&gt;&lt;edition&gt;2010/11/23&lt;/edition&gt;&lt;keywords&gt;&lt;keyword&gt;Adolescent&lt;/keyword&gt;&lt;keyword&gt;Adult&lt;/keyword&gt;&lt;keyword&gt;*Exercise&lt;/keyword&gt;&lt;keyword&gt;Female&lt;/keyword&gt;&lt;keyword&gt;Health Status&lt;/keyword&gt;&lt;keyword&gt;Humans&lt;/keyword&gt;&lt;keyword&gt;Incidence&lt;/keyword&gt;&lt;keyword&gt;North Carolina/epidemiology&lt;/keyword&gt;&lt;keyword&gt;Pregnancy/*physiology&lt;/keyword&gt;&lt;keyword&gt;Prospective Studies&lt;/keyword&gt;&lt;keyword&gt;Socioeconomic Factors&lt;/keyword&gt;&lt;keyword&gt;Wounds and Injuries/*epidemiology&lt;/keyword&gt;&lt;keyword&gt;Young Adult&lt;/keyword&gt;&lt;/keywords&gt;&lt;dates&gt;&lt;year&gt;2010&lt;/year&gt;&lt;pub-dates&gt;&lt;date&gt;Nov&lt;/date&gt;&lt;/pub-dates&gt;&lt;/dates&gt;&lt;isbn&gt;1543-3080 (Print)&amp;#xD;1543-3080 (Linking)&lt;/isbn&gt;&lt;accession-num&gt;21088307&lt;/accession-num&gt;&lt;urls&gt;&lt;related-urls&gt;&lt;url&gt;https://www.ncbi.nlm.nih.gov/pubmed/21088307&lt;/url&gt;&lt;/related-urls&gt;&lt;/urls&gt;&lt;custom2&gt;PMC3319730&lt;/custom2&gt;&lt;/record&gt;&lt;/Cite&gt;&lt;/EndNote&gt;</w:instrText>
            </w:r>
            <w:r w:rsidR="003E3405">
              <w:fldChar w:fldCharType="separate"/>
            </w:r>
            <w:r w:rsidR="002747EA" w:rsidRPr="002747EA">
              <w:rPr>
                <w:noProof/>
                <w:vertAlign w:val="superscript"/>
              </w:rPr>
              <w:t>274</w:t>
            </w:r>
            <w:r w:rsidR="003E3405">
              <w:fldChar w:fldCharType="end"/>
            </w:r>
          </w:p>
          <w:p w14:paraId="6160A6A7" w14:textId="199059A6" w:rsidR="00CF74F2" w:rsidRPr="00CF74F2" w:rsidRDefault="00CF74F2" w:rsidP="00CF74F2">
            <w:r>
              <w:t xml:space="preserve">United States </w:t>
            </w:r>
          </w:p>
        </w:tc>
        <w:tc>
          <w:tcPr>
            <w:tcW w:w="1247" w:type="dxa"/>
          </w:tcPr>
          <w:p w14:paraId="1E141B44" w14:textId="77777777" w:rsidR="00FB2C28" w:rsidRDefault="00CF74F2" w:rsidP="00E37989">
            <w:pPr>
              <w:keepNext/>
            </w:pPr>
            <w:r>
              <w:t>1,469</w:t>
            </w:r>
          </w:p>
          <w:p w14:paraId="53E6492E" w14:textId="0466BEDF" w:rsidR="00CF74F2" w:rsidRPr="00DC4A73" w:rsidRDefault="00CF74F2" w:rsidP="00E37989">
            <w:pPr>
              <w:keepNext/>
            </w:pPr>
            <w:r>
              <w:t>Cohort</w:t>
            </w:r>
          </w:p>
        </w:tc>
        <w:tc>
          <w:tcPr>
            <w:tcW w:w="4961" w:type="dxa"/>
          </w:tcPr>
          <w:p w14:paraId="28ACC3E1" w14:textId="70984ECE" w:rsidR="00CF74F2" w:rsidRDefault="00CF74F2" w:rsidP="00E37989">
            <w:r>
              <w:rPr>
                <w:b/>
              </w:rPr>
              <w:t xml:space="preserve">Aim: </w:t>
            </w:r>
            <w:r>
              <w:t>To conduct</w:t>
            </w:r>
            <w:r w:rsidRPr="00CF74F2">
              <w:t xml:space="preserve"> population-based research on the circumstances surrounding injuries from physical activity during pregnancy. </w:t>
            </w:r>
          </w:p>
          <w:p w14:paraId="449254DC" w14:textId="51CBEB7A" w:rsidR="00FB2C28" w:rsidRPr="00DE6BD0" w:rsidRDefault="00CF74F2" w:rsidP="00CF74F2">
            <w:pPr>
              <w:rPr>
                <w:b/>
              </w:rPr>
            </w:pPr>
            <w:r w:rsidRPr="00CF74F2">
              <w:rPr>
                <w:b/>
              </w:rPr>
              <w:t>Methods</w:t>
            </w:r>
            <w:r w:rsidRPr="00CF74F2">
              <w:t xml:space="preserve">: Physical activity and subsequent injuries among a cohort of 1469 pregnant women in North Carolina were examined prospectively from the third phase of the Pregnancy, Infection, and Nutrition Study between 2001 and 2005. Chi-square analyses were used to compare distributions of maternal characteristics among women who sustained injuries from physical activity and women who reported no injuries during pregnancy. Injury incidence rates were calculated. </w:t>
            </w:r>
          </w:p>
        </w:tc>
        <w:tc>
          <w:tcPr>
            <w:tcW w:w="4536" w:type="dxa"/>
          </w:tcPr>
          <w:p w14:paraId="23B6DF28" w14:textId="2284F29B" w:rsidR="004E3A59" w:rsidRDefault="004E3A59" w:rsidP="00CF74F2">
            <w:r>
              <w:t>Number of injuries:</w:t>
            </w:r>
          </w:p>
          <w:p w14:paraId="30713A9D" w14:textId="592C35BB" w:rsidR="00B464AA" w:rsidRDefault="00B464AA" w:rsidP="00B464AA">
            <w:pPr>
              <w:pStyle w:val="bullet"/>
            </w:pPr>
            <w:r>
              <w:t>P</w:t>
            </w:r>
            <w:r w:rsidR="00CF74F2" w:rsidRPr="00CF74F2">
              <w:t xml:space="preserve">hysical activity-related </w:t>
            </w:r>
            <w:r>
              <w:t>injuries: 3.2 per 1,000 physical activity hours</w:t>
            </w:r>
          </w:p>
          <w:p w14:paraId="05973401" w14:textId="77777777" w:rsidR="00B464AA" w:rsidRDefault="00B464AA" w:rsidP="00B464AA">
            <w:pPr>
              <w:pStyle w:val="bullet"/>
            </w:pPr>
            <w:r>
              <w:t xml:space="preserve">Exercise-related </w:t>
            </w:r>
            <w:r w:rsidR="00CF74F2" w:rsidRPr="00CF74F2">
              <w:t>injuries</w:t>
            </w:r>
            <w:r>
              <w:t xml:space="preserve">: </w:t>
            </w:r>
            <w:r w:rsidR="00CF74F2" w:rsidRPr="00CF74F2">
              <w:t>4.1 per 1</w:t>
            </w:r>
            <w:r>
              <w:t>,000 exercise hours</w:t>
            </w:r>
            <w:r w:rsidR="00CF74F2" w:rsidRPr="00CF74F2">
              <w:t xml:space="preserve"> </w:t>
            </w:r>
          </w:p>
          <w:p w14:paraId="7B824152" w14:textId="77777777" w:rsidR="00FB2C28" w:rsidRDefault="00CF74F2" w:rsidP="00B464AA">
            <w:r w:rsidRPr="00CF74F2">
              <w:t xml:space="preserve">The most common types of injuries were bruises or scrapes (55%). </w:t>
            </w:r>
          </w:p>
          <w:p w14:paraId="3CCE4C05" w14:textId="589E0FD5" w:rsidR="003D29A3" w:rsidRPr="00DC4A73" w:rsidRDefault="003D29A3" w:rsidP="00B464AA">
            <w:r>
              <w:t>Exercise-related injuries occurred during walking (57.1%) or other exercise (42.9%)</w:t>
            </w:r>
          </w:p>
        </w:tc>
        <w:tc>
          <w:tcPr>
            <w:tcW w:w="1843" w:type="dxa"/>
          </w:tcPr>
          <w:p w14:paraId="51473C53" w14:textId="77777777" w:rsidR="00FB2C28" w:rsidRPr="00DC4A73" w:rsidRDefault="00FB2C28" w:rsidP="00E37989">
            <w:pPr>
              <w:keepNext/>
            </w:pPr>
          </w:p>
        </w:tc>
      </w:tr>
    </w:tbl>
    <w:p w14:paraId="63AE97AE" w14:textId="0D910854" w:rsidR="00921608" w:rsidRDefault="00921608" w:rsidP="00921608">
      <w:pPr>
        <w:pStyle w:val="Heading4"/>
      </w:pPr>
      <w:r>
        <w:t xml:space="preserve">Common </w:t>
      </w:r>
      <w:r w:rsidR="002A465D">
        <w:t xml:space="preserve">conditions </w:t>
      </w:r>
      <w:r>
        <w:t>in pregnancy</w:t>
      </w:r>
    </w:p>
    <w:p w14:paraId="79F334A5" w14:textId="158CF21A" w:rsidR="007E605F" w:rsidRPr="00DC4A73" w:rsidRDefault="009C163D" w:rsidP="00932C6D">
      <w:pPr>
        <w:pStyle w:val="TableName"/>
      </w:pPr>
      <w:bookmarkStart w:id="127" w:name="_Toc40956645"/>
      <w:r>
        <w:t xml:space="preserve">Q5 </w:t>
      </w:r>
      <w:r w:rsidR="007E605F">
        <w:t xml:space="preserve">Physical activity in pregnancy and incontinence — </w:t>
      </w:r>
      <w:r w:rsidR="001F26A0">
        <w:t>systematic reviews</w:t>
      </w:r>
      <w:bookmarkEnd w:id="12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7: Q5 Physical activity in pregnancy and incontinence — systematic reviews"/>
      </w:tblPr>
      <w:tblGrid>
        <w:gridCol w:w="1305"/>
        <w:gridCol w:w="1247"/>
        <w:gridCol w:w="4961"/>
        <w:gridCol w:w="4536"/>
        <w:gridCol w:w="1843"/>
      </w:tblGrid>
      <w:tr w:rsidR="007E605F" w:rsidRPr="00F350A6" w14:paraId="4FE7C08A" w14:textId="77777777" w:rsidTr="00BD61CC">
        <w:trPr>
          <w:cantSplit/>
          <w:tblHeader/>
        </w:trPr>
        <w:tc>
          <w:tcPr>
            <w:tcW w:w="1305" w:type="dxa"/>
          </w:tcPr>
          <w:p w14:paraId="02379036" w14:textId="77777777" w:rsidR="007E605F" w:rsidRPr="00F350A6" w:rsidRDefault="007E605F" w:rsidP="00E37989">
            <w:pPr>
              <w:keepNext/>
              <w:rPr>
                <w:b/>
              </w:rPr>
            </w:pPr>
            <w:r>
              <w:rPr>
                <w:b/>
              </w:rPr>
              <w:t>Study ref</w:t>
            </w:r>
          </w:p>
        </w:tc>
        <w:tc>
          <w:tcPr>
            <w:tcW w:w="1247" w:type="dxa"/>
          </w:tcPr>
          <w:p w14:paraId="28A41B3F" w14:textId="77777777" w:rsidR="007E605F" w:rsidRPr="00F350A6" w:rsidRDefault="007E605F" w:rsidP="00E37989">
            <w:pPr>
              <w:keepNext/>
              <w:rPr>
                <w:b/>
              </w:rPr>
            </w:pPr>
            <w:r>
              <w:rPr>
                <w:b/>
              </w:rPr>
              <w:t>N</w:t>
            </w:r>
          </w:p>
        </w:tc>
        <w:tc>
          <w:tcPr>
            <w:tcW w:w="4961" w:type="dxa"/>
          </w:tcPr>
          <w:p w14:paraId="3AB5F923" w14:textId="77777777" w:rsidR="007E605F" w:rsidRPr="00F350A6" w:rsidRDefault="007E605F" w:rsidP="00E37989">
            <w:pPr>
              <w:keepNext/>
              <w:rPr>
                <w:b/>
              </w:rPr>
            </w:pPr>
            <w:r>
              <w:rPr>
                <w:b/>
              </w:rPr>
              <w:t>Aim/methods</w:t>
            </w:r>
          </w:p>
        </w:tc>
        <w:tc>
          <w:tcPr>
            <w:tcW w:w="4536" w:type="dxa"/>
          </w:tcPr>
          <w:p w14:paraId="72237580" w14:textId="77777777" w:rsidR="007E605F" w:rsidRPr="00F350A6" w:rsidRDefault="007E605F" w:rsidP="00E37989">
            <w:pPr>
              <w:keepNext/>
              <w:rPr>
                <w:b/>
              </w:rPr>
            </w:pPr>
            <w:r>
              <w:rPr>
                <w:b/>
              </w:rPr>
              <w:t>Results</w:t>
            </w:r>
          </w:p>
        </w:tc>
        <w:tc>
          <w:tcPr>
            <w:tcW w:w="1843" w:type="dxa"/>
          </w:tcPr>
          <w:p w14:paraId="555F9BC5" w14:textId="77777777" w:rsidR="007E605F" w:rsidRPr="00F350A6" w:rsidRDefault="007E605F" w:rsidP="00E37989">
            <w:pPr>
              <w:keepNext/>
              <w:rPr>
                <w:b/>
              </w:rPr>
            </w:pPr>
            <w:r>
              <w:rPr>
                <w:b/>
              </w:rPr>
              <w:t>Comments</w:t>
            </w:r>
          </w:p>
        </w:tc>
      </w:tr>
      <w:tr w:rsidR="007E605F" w:rsidRPr="00DC4A73" w14:paraId="7702A35C" w14:textId="77777777" w:rsidTr="00BD61CC">
        <w:trPr>
          <w:cantSplit/>
        </w:trPr>
        <w:tc>
          <w:tcPr>
            <w:tcW w:w="1305" w:type="dxa"/>
          </w:tcPr>
          <w:p w14:paraId="49DBFE0F" w14:textId="5854CFFE" w:rsidR="007E605F" w:rsidRPr="00CF74F2" w:rsidRDefault="00D81FAA" w:rsidP="002747EA">
            <w:r>
              <w:t>Woodley et al 2017</w:t>
            </w:r>
            <w:r w:rsidR="003E3405">
              <w:fldChar w:fldCharType="begin"/>
            </w:r>
            <w:r w:rsidR="002747EA">
              <w:instrText xml:space="preserve"> ADDIN EN.CITE &lt;EndNote&gt;&lt;Cite&gt;&lt;Author&gt;Woodley&lt;/Author&gt;&lt;Year&gt;2017&lt;/Year&gt;&lt;RecNum&gt;1246&lt;/RecNum&gt;&lt;DisplayText&gt;&lt;style face="superscript" font="Trebuchet MS" size="9"&gt;280&lt;/style&gt;&lt;/DisplayText&gt;&lt;record&gt;&lt;rec-number&gt;1246&lt;/rec-number&gt;&lt;foreign-keys&gt;&lt;key app="EN" db-id="exvasrfx2dtraoesasxp2szsxa2df502592x" timestamp="1562809161"&gt;1246&lt;/key&gt;&lt;key app="ENWeb" db-id=""&gt;0&lt;/key&gt;&lt;/foreign-keys&gt;&lt;ref-type name="Journal Article"&gt;17&lt;/ref-type&gt;&lt;contributors&gt;&lt;authors&gt;&lt;author&gt;Woodley, Stephanie J.&lt;/author&gt;&lt;author&gt;Boyle, Rhianon&lt;/author&gt;&lt;author&gt;Cody, June D.&lt;/author&gt;&lt;author&gt;Mørkved, Siv&lt;/author&gt;&lt;author&gt;Hay-Smith, E. Jean C.&lt;/author&gt;&lt;/authors&gt;&lt;/contributors&gt;&lt;titles&gt;&lt;title&gt;Pelvic floor muscle training for prevention and treatment of urinary and faecal incontinence in antenatal and postnatal women&lt;/title&gt;&lt;secondary-title&gt;Cochrane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007471.pub3&lt;/electronic-resource-num&gt;&lt;/record&gt;&lt;/Cite&gt;&lt;/EndNote&gt;</w:instrText>
            </w:r>
            <w:r w:rsidR="003E3405">
              <w:fldChar w:fldCharType="separate"/>
            </w:r>
            <w:r w:rsidR="002747EA" w:rsidRPr="002747EA">
              <w:rPr>
                <w:noProof/>
                <w:vertAlign w:val="superscript"/>
              </w:rPr>
              <w:t>280</w:t>
            </w:r>
            <w:r w:rsidR="003E3405">
              <w:fldChar w:fldCharType="end"/>
            </w:r>
          </w:p>
        </w:tc>
        <w:tc>
          <w:tcPr>
            <w:tcW w:w="1247" w:type="dxa"/>
          </w:tcPr>
          <w:p w14:paraId="17AE61C3" w14:textId="01CFDBD0" w:rsidR="007E605F" w:rsidRDefault="00356676" w:rsidP="00E37989">
            <w:pPr>
              <w:keepNext/>
            </w:pPr>
            <w:r>
              <w:t>38 studies</w:t>
            </w:r>
          </w:p>
        </w:tc>
        <w:tc>
          <w:tcPr>
            <w:tcW w:w="4961" w:type="dxa"/>
          </w:tcPr>
          <w:p w14:paraId="2E3912E4" w14:textId="77777777" w:rsidR="007E605F" w:rsidRDefault="00D81FAA" w:rsidP="00D81FAA">
            <w:r>
              <w:rPr>
                <w:b/>
              </w:rPr>
              <w:t xml:space="preserve">Aim: </w:t>
            </w:r>
            <w:r w:rsidRPr="00D81FAA">
              <w:t>To determine the effectiveness of pelvic floor muscle training (PFMT) in the prevention or treatment of urinary and faecal incontinence in pregnant or postnatal women.</w:t>
            </w:r>
          </w:p>
          <w:p w14:paraId="50812A5F" w14:textId="77777777" w:rsidR="00D81FAA" w:rsidRPr="00D81FAA" w:rsidRDefault="00D81FAA" w:rsidP="00D81FAA">
            <w:r w:rsidRPr="00D81FAA">
              <w:rPr>
                <w:b/>
              </w:rPr>
              <w:t>Methods</w:t>
            </w:r>
            <w:r>
              <w:t xml:space="preserve">: </w:t>
            </w:r>
            <w:r w:rsidRPr="00D81FAA">
              <w:t>We searched the Cochrane Incontinence Specialised Register (16 February 2017) and reference lists of retrieved studies.</w:t>
            </w:r>
          </w:p>
          <w:p w14:paraId="17E9474A" w14:textId="5E9692C9" w:rsidR="00D81FAA" w:rsidRPr="00D81FAA" w:rsidRDefault="00D81FAA" w:rsidP="00D81FAA">
            <w:pPr>
              <w:rPr>
                <w:rFonts w:ascii="Helvetica" w:hAnsi="Helvetica"/>
                <w:sz w:val="14"/>
                <w:szCs w:val="14"/>
              </w:rPr>
            </w:pPr>
          </w:p>
        </w:tc>
        <w:tc>
          <w:tcPr>
            <w:tcW w:w="4536" w:type="dxa"/>
          </w:tcPr>
          <w:p w14:paraId="1E306EA4" w14:textId="0F0EB3E3" w:rsidR="00356676" w:rsidRDefault="00356676" w:rsidP="00D81FAA">
            <w:r>
              <w:t>Intervention vs control in continent women:</w:t>
            </w:r>
            <w:r w:rsidR="00D81FAA" w:rsidRPr="00D81FAA">
              <w:t xml:space="preserve"> </w:t>
            </w:r>
          </w:p>
          <w:p w14:paraId="2DD36E7E" w14:textId="0401785B" w:rsidR="00356676" w:rsidRDefault="00D81FAA" w:rsidP="00356676">
            <w:pPr>
              <w:pStyle w:val="bullet"/>
            </w:pPr>
            <w:r w:rsidRPr="00D81FAA">
              <w:t>urinary incontinence in late pregnancy</w:t>
            </w:r>
            <w:r w:rsidR="00356676">
              <w:t>: RR</w:t>
            </w:r>
            <w:r w:rsidRPr="00D81FAA">
              <w:t xml:space="preserve"> 0.38</w:t>
            </w:r>
            <w:r w:rsidR="00356676">
              <w:t xml:space="preserve"> (</w:t>
            </w:r>
            <w:r w:rsidRPr="00D81FAA">
              <w:t>0.20 to 0.72</w:t>
            </w:r>
            <w:r w:rsidR="00356676">
              <w:t>)</w:t>
            </w:r>
            <w:r w:rsidRPr="00D81FAA">
              <w:t xml:space="preserve">; 6 trials, </w:t>
            </w:r>
            <w:r w:rsidR="00356676">
              <w:t>624 women; low-</w:t>
            </w:r>
            <w:r w:rsidR="00343BBE">
              <w:t>certainty</w:t>
            </w:r>
            <w:r w:rsidR="00356676">
              <w:t xml:space="preserve"> evidence</w:t>
            </w:r>
            <w:r w:rsidRPr="00D81FAA">
              <w:t xml:space="preserve"> </w:t>
            </w:r>
          </w:p>
          <w:p w14:paraId="7AA10A22" w14:textId="1F2A4FF6" w:rsidR="007E605F" w:rsidRDefault="00D81FAA" w:rsidP="00356676">
            <w:pPr>
              <w:pStyle w:val="bullet"/>
            </w:pPr>
            <w:r w:rsidRPr="00D81FAA">
              <w:t>urinary incontinence in</w:t>
            </w:r>
            <w:r>
              <w:t xml:space="preserve"> </w:t>
            </w:r>
            <w:r w:rsidRPr="00D81FAA">
              <w:t>the mid-postnatal period (more than three to six months’ postpartum)</w:t>
            </w:r>
            <w:r w:rsidR="00356676">
              <w:t xml:space="preserve">: </w:t>
            </w:r>
            <w:r w:rsidRPr="00D81FAA">
              <w:t>RR 0.71</w:t>
            </w:r>
            <w:r w:rsidR="00356676">
              <w:t xml:space="preserve"> (</w:t>
            </w:r>
            <w:r w:rsidRPr="00D81FAA">
              <w:t>0.54 to 0.95</w:t>
            </w:r>
            <w:r w:rsidR="00356676">
              <w:t>)</w:t>
            </w:r>
            <w:r w:rsidRPr="00D81FAA">
              <w:t>; 5 trials, 673 women;</w:t>
            </w:r>
            <w:r>
              <w:t xml:space="preserve"> </w:t>
            </w:r>
            <w:r w:rsidR="00356676">
              <w:t>moderate-</w:t>
            </w:r>
            <w:r w:rsidR="00343BBE">
              <w:t>certainty</w:t>
            </w:r>
            <w:r w:rsidR="00356676">
              <w:t xml:space="preserve"> evidence</w:t>
            </w:r>
          </w:p>
          <w:p w14:paraId="5B375E87" w14:textId="77777777" w:rsidR="00356676" w:rsidRDefault="00356676" w:rsidP="00356676">
            <w:r>
              <w:t>Intervention vs control among women with or without incontinence</w:t>
            </w:r>
          </w:p>
          <w:p w14:paraId="63D585CB" w14:textId="7F80AB76" w:rsidR="00356676" w:rsidRDefault="00356676" w:rsidP="00356676">
            <w:pPr>
              <w:pStyle w:val="bullet"/>
            </w:pPr>
            <w:r>
              <w:t xml:space="preserve">Urinary incontinence in </w:t>
            </w:r>
            <w:r w:rsidRPr="00356676">
              <w:t>late pregnancy</w:t>
            </w:r>
            <w:r>
              <w:t xml:space="preserve">: </w:t>
            </w:r>
            <w:r w:rsidRPr="00356676">
              <w:t>RR 0.74</w:t>
            </w:r>
            <w:r>
              <w:t xml:space="preserve"> (</w:t>
            </w:r>
            <w:r w:rsidRPr="00356676">
              <w:t>0.61 to 0.90</w:t>
            </w:r>
            <w:r>
              <w:t>)</w:t>
            </w:r>
            <w:r w:rsidRPr="00356676">
              <w:t xml:space="preserve">; 9 trials, </w:t>
            </w:r>
            <w:r w:rsidR="001F34EC">
              <w:t>n=</w:t>
            </w:r>
            <w:r w:rsidRPr="00356676">
              <w:t>3</w:t>
            </w:r>
            <w:r>
              <w:t>,</w:t>
            </w:r>
            <w:r w:rsidRPr="00356676">
              <w:t>164</w:t>
            </w:r>
            <w:r>
              <w:t>; low-</w:t>
            </w:r>
            <w:r w:rsidR="00343BBE">
              <w:t>certainty</w:t>
            </w:r>
            <w:r>
              <w:t xml:space="preserve"> </w:t>
            </w:r>
          </w:p>
          <w:p w14:paraId="0885EF48" w14:textId="32745A49" w:rsidR="00356676" w:rsidRPr="00356676" w:rsidRDefault="00356676" w:rsidP="00356676">
            <w:pPr>
              <w:pStyle w:val="bullet"/>
            </w:pPr>
            <w:r>
              <w:t xml:space="preserve">Urinary incontinence in the mid-postnatal period: </w:t>
            </w:r>
            <w:r w:rsidRPr="00356676">
              <w:t>RR 0.73</w:t>
            </w:r>
            <w:r>
              <w:t xml:space="preserve"> (</w:t>
            </w:r>
            <w:r w:rsidRPr="00356676">
              <w:t>0.55 to 0.97</w:t>
            </w:r>
            <w:r>
              <w:t>)</w:t>
            </w:r>
            <w:r w:rsidRPr="00356676">
              <w:t xml:space="preserve">; 5 trials, </w:t>
            </w:r>
            <w:r w:rsidR="001F34EC">
              <w:t>n=</w:t>
            </w:r>
            <w:r w:rsidRPr="00356676">
              <w:t>1</w:t>
            </w:r>
            <w:r w:rsidR="001F34EC">
              <w:t>,</w:t>
            </w:r>
            <w:r w:rsidRPr="00356676">
              <w:t>921; very low-</w:t>
            </w:r>
            <w:r w:rsidR="00343BBE">
              <w:t>certainty</w:t>
            </w:r>
          </w:p>
          <w:p w14:paraId="6348D50B" w14:textId="2581BBD8" w:rsidR="00356676" w:rsidRPr="00356676" w:rsidRDefault="00356676" w:rsidP="00356676">
            <w:pPr>
              <w:pStyle w:val="bullet"/>
            </w:pPr>
            <w:r>
              <w:t>U</w:t>
            </w:r>
            <w:r w:rsidRPr="00356676">
              <w:t>rinary inc</w:t>
            </w:r>
            <w:r>
              <w:t>ontinence late postpartum</w:t>
            </w:r>
            <w:r w:rsidR="001F34EC">
              <w:t xml:space="preserve"> (6-12 months)</w:t>
            </w:r>
            <w:r>
              <w:t xml:space="preserve">: </w:t>
            </w:r>
            <w:r w:rsidRPr="00356676">
              <w:t>RR 0.85</w:t>
            </w:r>
            <w:r>
              <w:t xml:space="preserve"> (</w:t>
            </w:r>
            <w:r w:rsidRPr="00356676">
              <w:t>0.63 to 1.14</w:t>
            </w:r>
            <w:r>
              <w:t>)</w:t>
            </w:r>
            <w:r w:rsidRPr="00356676">
              <w:t>; 2 trials,</w:t>
            </w:r>
            <w:r>
              <w:t xml:space="preserve"> </w:t>
            </w:r>
            <w:r w:rsidR="001F34EC">
              <w:t>n=</w:t>
            </w:r>
            <w:r>
              <w:t>244; low-</w:t>
            </w:r>
            <w:r w:rsidR="00343BBE">
              <w:t>certainty</w:t>
            </w:r>
            <w:r>
              <w:t xml:space="preserve"> </w:t>
            </w:r>
          </w:p>
          <w:p w14:paraId="72A1A5E5" w14:textId="77777777" w:rsidR="00356676" w:rsidRDefault="00356676" w:rsidP="00356676">
            <w:r>
              <w:t>Intervention vs control among</w:t>
            </w:r>
            <w:r w:rsidRPr="00356676">
              <w:t xml:space="preserve"> women with or without faecal incontinence</w:t>
            </w:r>
            <w:r>
              <w:t>:</w:t>
            </w:r>
          </w:p>
          <w:p w14:paraId="6B60A65D" w14:textId="6DB2CB09" w:rsidR="00356676" w:rsidRPr="00356676" w:rsidRDefault="00356676" w:rsidP="001F34EC">
            <w:pPr>
              <w:pStyle w:val="bullet"/>
            </w:pPr>
            <w:r w:rsidRPr="00356676">
              <w:t>faecal incontinence in late pregnancy (RR 0.61</w:t>
            </w:r>
            <w:r>
              <w:t xml:space="preserve"> (</w:t>
            </w:r>
            <w:r w:rsidRPr="00356676">
              <w:t>0.30 to 1.25</w:t>
            </w:r>
            <w:r>
              <w:t>)</w:t>
            </w:r>
            <w:r w:rsidRPr="00356676">
              <w:t xml:space="preserve">; 2 trials, </w:t>
            </w:r>
            <w:r w:rsidR="001F34EC">
              <w:t>n=</w:t>
            </w:r>
            <w:r w:rsidRPr="00356676">
              <w:t>867; moderate-</w:t>
            </w:r>
            <w:r w:rsidR="00343BBE">
              <w:t>certainty</w:t>
            </w:r>
            <w:r w:rsidRPr="00356676">
              <w:t xml:space="preserve"> </w:t>
            </w:r>
          </w:p>
        </w:tc>
        <w:tc>
          <w:tcPr>
            <w:tcW w:w="1843" w:type="dxa"/>
          </w:tcPr>
          <w:p w14:paraId="75DB3EBC" w14:textId="77777777" w:rsidR="007E605F" w:rsidRPr="00DC4A73" w:rsidRDefault="007E605F" w:rsidP="00E37989">
            <w:pPr>
              <w:keepNext/>
            </w:pPr>
          </w:p>
        </w:tc>
      </w:tr>
      <w:tr w:rsidR="003B485A" w:rsidRPr="00DC4A73" w14:paraId="34EAD389" w14:textId="77777777" w:rsidTr="00BD61CC">
        <w:trPr>
          <w:cantSplit/>
        </w:trPr>
        <w:tc>
          <w:tcPr>
            <w:tcW w:w="1305" w:type="dxa"/>
          </w:tcPr>
          <w:p w14:paraId="2DC92E61" w14:textId="4819AD71" w:rsidR="003B485A" w:rsidRDefault="003B485A" w:rsidP="002747EA">
            <w:r>
              <w:t>Davenport et al 2018</w:t>
            </w:r>
            <w:r w:rsidR="00D07346">
              <w:fldChar w:fldCharType="begin">
                <w:fldData xml:space="preserve">PEVuZE5vdGU+PENpdGU+PEF1dGhvcj5EYXZlbnBvcnQ8L0F1dGhvcj48WWVhcj4yMDE4PC9ZZWFy
PjxSZWNOdW0+MTk1NTwvUmVjTnVtPjxEaXNwbGF5VGV4dD48c3R5bGUgZmFjZT0ic3VwZXJzY3Jp
cHQiIGZvbnQ9IlRyZWJ1Y2hldCBNUyIgc2l6ZT0iOSI+MjgxPC9zdHlsZT48L0Rpc3BsYXlUZXh0
PjxyZWNvcmQ+PHJlYy1udW1iZXI+MTk1NTwvcmVjLW51bWJlcj48Zm9yZWlnbi1rZXlzPjxrZXkg
YXBwPSJFTiIgZGItaWQ9ImV4dmFzcmZ4MmR0cmFvZXNhc3hwMnN6c3hhMmRmNTAyNTkyeCIgdGlt
ZXN0YW1wPSIxNTg4NzQzODQxIj4xOTU1PC9rZXk+PGtleSBhcHA9IkVOV2ViIiBkYi1pZD0iIj4w
PC9rZXk+PC9mb3JlaWduLWtleXM+PHJlZi10eXBlIG5hbWU9IkpvdXJuYWwgQXJ0aWNsZSI+MTc8
L3JlZi10eXBlPjxjb250cmlidXRvcnM+PGF1dGhvcnM+PGF1dGhvcj5EYXZlbnBvcnQsIE0uIEgu
PC9hdXRob3I+PGF1dGhvcj5OYWdwYWwsIFQuIFMuPC9hdXRob3I+PGF1dGhvcj5Nb3R0b2xhLCBN
LiBGLjwvYXV0aG9yPjxhdXRob3I+U2tvdywgUi4gSi48L2F1dGhvcj48YXV0aG9yPlJpc2tlLCBM
LjwvYXV0aG9yPjxhdXRob3I+UG9pdHJhcywgVi4gSi48L2F1dGhvcj48YXV0aG9yPkphcmFtaWxs
byBHYXJjaWEsIEEuPC9hdXRob3I+PGF1dGhvcj5HcmF5LCBDLiBFLjwvYXV0aG9yPjxhdXRob3I+
QmFycm93bWFuLCBOLjwvYXV0aG9yPjxhdXRob3I+TWVhaCwgVi4gTC48L2F1dGhvcj48YXV0aG9y
PlNvYmllcmFqc2tpLCBGLjwvYXV0aG9yPjxhdXRob3I+SmFtZXMsIE0uPC9hdXRob3I+PGF1dGhv
cj5OdXNwbCwgTS48L2F1dGhvcj48YXV0aG9yPldlZWtzLCBBLjwvYXV0aG9yPjxhdXRob3I+TWFy
Y2hhbmQsIEEuIEEuPC9hdXRob3I+PGF1dGhvcj5TbGF0ZXIsIEwuIEcuPC9hdXRob3I+PGF1dGhv
cj5BZGFtbywgSy4gQi48L2F1dGhvcj48YXV0aG9yPkRhdmllcywgRy4gQS48L2F1dGhvcj48YXV0
aG9yPkJhcmFrYXQsIFIuPC9hdXRob3I+PGF1dGhvcj5SdWNoYXQsIFMuIE0uPC9hdXRob3I+PC9h
dXRob3JzPjwvY29udHJpYnV0b3JzPjxhdXRoLWFkZHJlc3M+UHJvZ3JhbSBmb3IgUHJlZ25hbmN5
IGFuZCBQb3N0cGFydHVtIEhlYWx0aCwgUGh5c2ljYWwgQWN0aXZpdHkgYW5kIERpYWJldGVzIExh
Ym9yYXRvcnksIEZhY3VsdHkgb2YgS2luZXNpb2xvZ3ksIFNwb3J0IGFuZCBSZWNyZWF0aW9uLCBX
b21lbiBhbmQgQ2hpbGRyZW4mYXBvcztzIEhlYWx0aCBSZXNlYXJjaCBJbnN0aXR1dGUsIEFsYmVy
dGEgRGlhYmV0ZXMgSW5zdGl0dXRlLCBVbml2ZXJzaXR5IG9mIEFsYmVydGEsIEVkbW9udG9uLCBB
bGJlcnRhLCBDYW5hZGEuJiN4RDtSLiBTYW11ZWwgTWNMYXVnaGxpbiBGb3VuZGF0aW9uLUV4ZXJj
aXNlIGFuZCBQcmVnbmFuY3kgTGFib3JhdG9yeSwgU2Nob29sIG9mIEtpbmVzaW9sb2d5LCBGYWN1
bHR5IG9mIEhlYWx0aCBTY2llbmNlcywgRGVwYXJ0bWVudCBvZiBBbmF0b215IGFuZCBDZWxsIEJp
b2xvZ3ksIFNjaHVsaWNoIFNjaG9vbCBvZiBNZWRpY2luZSBhbmQgRGVudGlzdHJ5LCBDaGlsZHJl
biZhcG9zO3MgSGVhbHRoIFJlc2VhcmNoIEluc3RpdHV0ZSwgVGhlIFVuaXZlcnNpdHkgb2YgV2Vz
dGVybiBPbnRhcmlvLCBMb25kb24sIE9udGFyaW8sIENhbmFkYS4mI3hEO0luZGVwZW5kZW50IHJl
c2VhcmNoZXIsIE90dGF3YSwgT250YXJpbywgQ2FuYWRhLiYjeEQ7SGVhbHRoeSBBY3RpdmUgTGl2
aW5nIGFuZCBPYmVzaXR5IFJlc2VhcmNoIEdyb3VwLCBDaGlsZHJlbiZhcG9zO3MgSG9zcGl0YWwg
b2YgRWFzdGVybiBPbnRhcmlvIFJlc2VhcmNoIEluc3RpdHV0ZSwgT3R0YXdhLCBPbnRhcmlvLCBD
YW5hZGEuJiN4RDtDbGluaWNhbCBSZXNlYXJjaCBVbml0LCBDaGlsZHJlbiZhcG9zO3MgSG9zcGl0
YWwgb2YgRWFzdGVybiBPbnRhcmlvIFJlc2VhcmNoIEluc3RpdHV0ZSwgT3R0YXdhLCBPbnRhcmlv
LCBDYW5hZGEuJiN4RDtDYXJkaWZmIFNjaG9vbCBvZiBTcG9ydCBhbmQgSGVhbHRoIFNjaWVuY2Vz
LCBDYXJkaWZmIE1ldHJvcG9saXRhbiBVbml2ZXJzaXR5LCBDYXJkaWZmLCBVSy4mI3hEO0FsYmVy
dGEgUmVzZWFyY2ggQ2VudHJlIGZvciBIZWFsdGggRXZpZGVuY2UsIEZhY3VsdHkgb2YgTWVkaWNp
bmUgYW5kIERlbnRpc3RyeSwgVW5pdmVyc2l0eSBvZiBBbGJlcnRhLCBFZG1vbnRvbiwgQWxiZXJ0
YSwgQ2FuYWRhLiYjeEQ7U2Nob29sIG9mIEludGVyZGlzY2lwbGluYXJ5IEhlYWx0aCBTY2llbmNl
cywgVW5pdmVyc2l0eSBvZiBPdHRhd2EsIE90dGF3YSwgT250YXJpbywgQ2FuYWRhLiYjeEQ7RGVw
YXJ0bWVudCBvZiBBbmF0b215LCBVbml2ZXJzaXRlIGR1IFF1ZWJlYyBhIFRyb2lzLVJpdmllcmVz
LCBUcm9pcy1SaXZpZXJlcywgUXVlYmVjLCBDYW5hZGEuJiN4RDtKb2huIFcuIFNjb3R0IEhlYWx0
aCBTY2llbmNlcyBMaWJyYXJ5LCBVbml2ZXJzaXR5IG9mIEFsYmVydGEsIEVkbW9udG9uLCBBbGJl
cnRhLCBDYW5hZGEuJiN4RDtTY2hvb2wgb2YgSHVtYW4gS2luZXRpY3MsIFVuaXZlcnNpdHkgb2Yg
T3R0YXdhLCBPdHRhd2EsIE9udGFyaW8sIENhbmFkYS4mI3hEO0RlcGFydG1lbnQgb2YgT2JzdGV0
cmljcyBhbmQgR3luZWNvbG9neSwgUXVlZW4mYXBvcztzIFVuaXZlcnNpdHksIEtpbmdzdG9uLCBP
bnRhcmlvLCBDYW5hZGEuJiN4RDtBRklQRSBSZXNlYXJjaCBHcm91cCwgVGVjaG5pY2FsIFVuaXZl
cnNpdHkgb2YgTWFkcmlkLCBNYWRyaWQsIFNwYWluLiYjeEQ7RGVwYXJ0bWVudCBvZiBIdW1hbiBL
aW5ldGljcywgVW5pdmVyc2l0ZSBkdSBRdWViZWMgYSBUcm9pcy1SaXZpZXJlcywgVHJvaXMtUml2
aWVyZXMsIFF1ZWJlYywgQ2FuYWRhLjwvYXV0aC1hZGRyZXNzPjx0aXRsZXM+PHRpdGxlPlByZW5h
dGFsIGV4ZXJjaXNlIChpbmNsdWRpbmcgYnV0IG5vdCBsaW1pdGVkIHRvIHBlbHZpYyBmbG9vciBt
dXNjbGUgdHJhaW5pbmcpIGFuZCB1cmluYXJ5IGluY29udGluZW5jZSBkdXJpbmcgYW5kIGZvbGxv
d2luZyBwcmVnbmFuY3k6IGEgc3lzdGVtYXRpYyByZXZpZXcgYW5kIG1ldGEtYW5hbHlzaXM8L3Rp
dGxlPjxzZWNvbmRhcnktdGl0bGU+QnIgSiBTcG9ydHMgTWVkPC9zZWNvbmRhcnktdGl0bGU+PC90
aXRsZXM+PHBlcmlvZGljYWw+PGZ1bGwtdGl0bGU+QnIgSiBTcG9ydHMgTWVkPC9mdWxsLXRpdGxl
PjwvcGVyaW9kaWNhbD48cGFnZXM+MTM5Ny0xNDA0PC9wYWdlcz48dm9sdW1lPjUyPC92b2x1bWU+
PG51bWJlcj4yMTwvbnVtYmVyPjxlZGl0aW9uPjIwMTgvMTAvMjA8L2VkaXRpb24+PGtleXdvcmRz
PjxrZXl3b3JkPkV4ZXJjaXNlPC9rZXl3b3JkPjxrZXl3b3JkPkZlbWFsZTwva2V5d29yZD48a2V5
d29yZD5IdW1hbnM8L2tleXdvcmQ+PGtleXdvcmQ+UGVsdmljIEZsb29yPC9rZXl3b3JkPjxrZXl3
b3JkPipQcmVnbmFuY3k8L2tleXdvcmQ+PGtleXdvcmQ+UmFuZG9taXplZCBDb250cm9sbGVkIFRy
aWFscyBhcyBUb3BpYzwva2V5d29yZD48a2V5d29yZD5VcmluYXJ5IEluY29udGluZW5jZS8qcHJl
dmVudGlvbiAmYW1wOyBjb250cm9sPC9rZXl3b3JkPjxrZXl3b3JkPnByZWduYW5jeTwva2V5d29y
ZD48a2V5d29yZD51cmluYXJ5IGluY29udGluZW5jZTwva2V5d29yZD48L2tleXdvcmRzPjxkYXRl
cz48eWVhcj4yMDE4PC95ZWFyPjxwdWItZGF0ZXM+PGRhdGU+Tm92PC9kYXRlPjwvcHViLWRhdGVz
PjwvZGF0ZXM+PGlzYm4+MTQ3My0wNDgwIChFbGVjdHJvbmljKSYjeEQ7MDMwNi0zNjc0IChMaW5r
aW5nKTwvaXNibj48YWNjZXNzaW9uLW51bT4zMDMzNzQ2NjwvYWNjZXNzaW9uLW51bT48dXJscz48
cmVsYXRlZC11cmxzPjx1cmw+aHR0cHM6Ly93d3cubmNiaS5ubG0ubmloLmdvdi9wdWJtZWQvMzAz
Mzc0NjY8L3VybD48L3JlbGF0ZWQtdXJscz48L3VybHM+PGVsZWN0cm9uaWMtcmVzb3VyY2UtbnVt
PjEwLjExMzYvYmpzcG9ydHMtMjAxOC0wOTk3ODA8L2VsZWN0cm9uaWMtcmVzb3VyY2UtbnVtPjwv
cmVjb3JkPjwvQ2l0ZT48L0VuZE5vdGU+AG==
</w:fldData>
              </w:fldChar>
            </w:r>
            <w:r w:rsidR="002747EA">
              <w:instrText xml:space="preserve"> ADDIN EN.CITE </w:instrText>
            </w:r>
            <w:r w:rsidR="002747EA">
              <w:fldChar w:fldCharType="begin">
                <w:fldData xml:space="preserve">PEVuZE5vdGU+PENpdGU+PEF1dGhvcj5EYXZlbnBvcnQ8L0F1dGhvcj48WWVhcj4yMDE4PC9ZZWFy
PjxSZWNOdW0+MTk1NTwvUmVjTnVtPjxEaXNwbGF5VGV4dD48c3R5bGUgZmFjZT0ic3VwZXJzY3Jp
cHQiIGZvbnQ9IlRyZWJ1Y2hldCBNUyIgc2l6ZT0iOSI+MjgxPC9zdHlsZT48L0Rpc3BsYXlUZXh0
PjxyZWNvcmQ+PHJlYy1udW1iZXI+MTk1NTwvcmVjLW51bWJlcj48Zm9yZWlnbi1rZXlzPjxrZXkg
YXBwPSJFTiIgZGItaWQ9ImV4dmFzcmZ4MmR0cmFvZXNhc3hwMnN6c3hhMmRmNTAyNTkyeCIgdGlt
ZXN0YW1wPSIxNTg4NzQzODQxIj4xOTU1PC9rZXk+PGtleSBhcHA9IkVOV2ViIiBkYi1pZD0iIj4w
PC9rZXk+PC9mb3JlaWduLWtleXM+PHJlZi10eXBlIG5hbWU9IkpvdXJuYWwgQXJ0aWNsZSI+MTc8
L3JlZi10eXBlPjxjb250cmlidXRvcnM+PGF1dGhvcnM+PGF1dGhvcj5EYXZlbnBvcnQsIE0uIEgu
PC9hdXRob3I+PGF1dGhvcj5OYWdwYWwsIFQuIFMuPC9hdXRob3I+PGF1dGhvcj5Nb3R0b2xhLCBN
LiBGLjwvYXV0aG9yPjxhdXRob3I+U2tvdywgUi4gSi48L2F1dGhvcj48YXV0aG9yPlJpc2tlLCBM
LjwvYXV0aG9yPjxhdXRob3I+UG9pdHJhcywgVi4gSi48L2F1dGhvcj48YXV0aG9yPkphcmFtaWxs
byBHYXJjaWEsIEEuPC9hdXRob3I+PGF1dGhvcj5HcmF5LCBDLiBFLjwvYXV0aG9yPjxhdXRob3I+
QmFycm93bWFuLCBOLjwvYXV0aG9yPjxhdXRob3I+TWVhaCwgVi4gTC48L2F1dGhvcj48YXV0aG9y
PlNvYmllcmFqc2tpLCBGLjwvYXV0aG9yPjxhdXRob3I+SmFtZXMsIE0uPC9hdXRob3I+PGF1dGhv
cj5OdXNwbCwgTS48L2F1dGhvcj48YXV0aG9yPldlZWtzLCBBLjwvYXV0aG9yPjxhdXRob3I+TWFy
Y2hhbmQsIEEuIEEuPC9hdXRob3I+PGF1dGhvcj5TbGF0ZXIsIEwuIEcuPC9hdXRob3I+PGF1dGhv
cj5BZGFtbywgSy4gQi48L2F1dGhvcj48YXV0aG9yPkRhdmllcywgRy4gQS48L2F1dGhvcj48YXV0
aG9yPkJhcmFrYXQsIFIuPC9hdXRob3I+PGF1dGhvcj5SdWNoYXQsIFMuIE0uPC9hdXRob3I+PC9h
dXRob3JzPjwvY29udHJpYnV0b3JzPjxhdXRoLWFkZHJlc3M+UHJvZ3JhbSBmb3IgUHJlZ25hbmN5
IGFuZCBQb3N0cGFydHVtIEhlYWx0aCwgUGh5c2ljYWwgQWN0aXZpdHkgYW5kIERpYWJldGVzIExh
Ym9yYXRvcnksIEZhY3VsdHkgb2YgS2luZXNpb2xvZ3ksIFNwb3J0IGFuZCBSZWNyZWF0aW9uLCBX
b21lbiBhbmQgQ2hpbGRyZW4mYXBvcztzIEhlYWx0aCBSZXNlYXJjaCBJbnN0aXR1dGUsIEFsYmVy
dGEgRGlhYmV0ZXMgSW5zdGl0dXRlLCBVbml2ZXJzaXR5IG9mIEFsYmVydGEsIEVkbW9udG9uLCBB
bGJlcnRhLCBDYW5hZGEuJiN4RDtSLiBTYW11ZWwgTWNMYXVnaGxpbiBGb3VuZGF0aW9uLUV4ZXJj
aXNlIGFuZCBQcmVnbmFuY3kgTGFib3JhdG9yeSwgU2Nob29sIG9mIEtpbmVzaW9sb2d5LCBGYWN1
bHR5IG9mIEhlYWx0aCBTY2llbmNlcywgRGVwYXJ0bWVudCBvZiBBbmF0b215IGFuZCBDZWxsIEJp
b2xvZ3ksIFNjaHVsaWNoIFNjaG9vbCBvZiBNZWRpY2luZSBhbmQgRGVudGlzdHJ5LCBDaGlsZHJl
biZhcG9zO3MgSGVhbHRoIFJlc2VhcmNoIEluc3RpdHV0ZSwgVGhlIFVuaXZlcnNpdHkgb2YgV2Vz
dGVybiBPbnRhcmlvLCBMb25kb24sIE9udGFyaW8sIENhbmFkYS4mI3hEO0luZGVwZW5kZW50IHJl
c2VhcmNoZXIsIE90dGF3YSwgT250YXJpbywgQ2FuYWRhLiYjeEQ7SGVhbHRoeSBBY3RpdmUgTGl2
aW5nIGFuZCBPYmVzaXR5IFJlc2VhcmNoIEdyb3VwLCBDaGlsZHJlbiZhcG9zO3MgSG9zcGl0YWwg
b2YgRWFzdGVybiBPbnRhcmlvIFJlc2VhcmNoIEluc3RpdHV0ZSwgT3R0YXdhLCBPbnRhcmlvLCBD
YW5hZGEuJiN4RDtDbGluaWNhbCBSZXNlYXJjaCBVbml0LCBDaGlsZHJlbiZhcG9zO3MgSG9zcGl0
YWwgb2YgRWFzdGVybiBPbnRhcmlvIFJlc2VhcmNoIEluc3RpdHV0ZSwgT3R0YXdhLCBPbnRhcmlv
LCBDYW5hZGEuJiN4RDtDYXJkaWZmIFNjaG9vbCBvZiBTcG9ydCBhbmQgSGVhbHRoIFNjaWVuY2Vz
LCBDYXJkaWZmIE1ldHJvcG9saXRhbiBVbml2ZXJzaXR5LCBDYXJkaWZmLCBVSy4mI3hEO0FsYmVy
dGEgUmVzZWFyY2ggQ2VudHJlIGZvciBIZWFsdGggRXZpZGVuY2UsIEZhY3VsdHkgb2YgTWVkaWNp
bmUgYW5kIERlbnRpc3RyeSwgVW5pdmVyc2l0eSBvZiBBbGJlcnRhLCBFZG1vbnRvbiwgQWxiZXJ0
YSwgQ2FuYWRhLiYjeEQ7U2Nob29sIG9mIEludGVyZGlzY2lwbGluYXJ5IEhlYWx0aCBTY2llbmNl
cywgVW5pdmVyc2l0eSBvZiBPdHRhd2EsIE90dGF3YSwgT250YXJpbywgQ2FuYWRhLiYjeEQ7RGVw
YXJ0bWVudCBvZiBBbmF0b215LCBVbml2ZXJzaXRlIGR1IFF1ZWJlYyBhIFRyb2lzLVJpdmllcmVz
LCBUcm9pcy1SaXZpZXJlcywgUXVlYmVjLCBDYW5hZGEuJiN4RDtKb2huIFcuIFNjb3R0IEhlYWx0
aCBTY2llbmNlcyBMaWJyYXJ5LCBVbml2ZXJzaXR5IG9mIEFsYmVydGEsIEVkbW9udG9uLCBBbGJl
cnRhLCBDYW5hZGEuJiN4RDtTY2hvb2wgb2YgSHVtYW4gS2luZXRpY3MsIFVuaXZlcnNpdHkgb2Yg
T3R0YXdhLCBPdHRhd2EsIE9udGFyaW8sIENhbmFkYS4mI3hEO0RlcGFydG1lbnQgb2YgT2JzdGV0
cmljcyBhbmQgR3luZWNvbG9neSwgUXVlZW4mYXBvcztzIFVuaXZlcnNpdHksIEtpbmdzdG9uLCBP
bnRhcmlvLCBDYW5hZGEuJiN4RDtBRklQRSBSZXNlYXJjaCBHcm91cCwgVGVjaG5pY2FsIFVuaXZl
cnNpdHkgb2YgTWFkcmlkLCBNYWRyaWQsIFNwYWluLiYjeEQ7RGVwYXJ0bWVudCBvZiBIdW1hbiBL
aW5ldGljcywgVW5pdmVyc2l0ZSBkdSBRdWViZWMgYSBUcm9pcy1SaXZpZXJlcywgVHJvaXMtUml2
aWVyZXMsIFF1ZWJlYywgQ2FuYWRhLjwvYXV0aC1hZGRyZXNzPjx0aXRsZXM+PHRpdGxlPlByZW5h
dGFsIGV4ZXJjaXNlIChpbmNsdWRpbmcgYnV0IG5vdCBsaW1pdGVkIHRvIHBlbHZpYyBmbG9vciBt
dXNjbGUgdHJhaW5pbmcpIGFuZCB1cmluYXJ5IGluY29udGluZW5jZSBkdXJpbmcgYW5kIGZvbGxv
d2luZyBwcmVnbmFuY3k6IGEgc3lzdGVtYXRpYyByZXZpZXcgYW5kIG1ldGEtYW5hbHlzaXM8L3Rp
dGxlPjxzZWNvbmRhcnktdGl0bGU+QnIgSiBTcG9ydHMgTWVkPC9zZWNvbmRhcnktdGl0bGU+PC90
aXRsZXM+PHBlcmlvZGljYWw+PGZ1bGwtdGl0bGU+QnIgSiBTcG9ydHMgTWVkPC9mdWxsLXRpdGxl
PjwvcGVyaW9kaWNhbD48cGFnZXM+MTM5Ny0xNDA0PC9wYWdlcz48dm9sdW1lPjUyPC92b2x1bWU+
PG51bWJlcj4yMTwvbnVtYmVyPjxlZGl0aW9uPjIwMTgvMTAvMjA8L2VkaXRpb24+PGtleXdvcmRz
PjxrZXl3b3JkPkV4ZXJjaXNlPC9rZXl3b3JkPjxrZXl3b3JkPkZlbWFsZTwva2V5d29yZD48a2V5
d29yZD5IdW1hbnM8L2tleXdvcmQ+PGtleXdvcmQ+UGVsdmljIEZsb29yPC9rZXl3b3JkPjxrZXl3
b3JkPipQcmVnbmFuY3k8L2tleXdvcmQ+PGtleXdvcmQ+UmFuZG9taXplZCBDb250cm9sbGVkIFRy
aWFscyBhcyBUb3BpYzwva2V5d29yZD48a2V5d29yZD5VcmluYXJ5IEluY29udGluZW5jZS8qcHJl
dmVudGlvbiAmYW1wOyBjb250cm9sPC9rZXl3b3JkPjxrZXl3b3JkPnByZWduYW5jeTwva2V5d29y
ZD48a2V5d29yZD51cmluYXJ5IGluY29udGluZW5jZTwva2V5d29yZD48L2tleXdvcmRzPjxkYXRl
cz48eWVhcj4yMDE4PC95ZWFyPjxwdWItZGF0ZXM+PGRhdGU+Tm92PC9kYXRlPjwvcHViLWRhdGVz
PjwvZGF0ZXM+PGlzYm4+MTQ3My0wNDgwIChFbGVjdHJvbmljKSYjeEQ7MDMwNi0zNjc0IChMaW5r
aW5nKTwvaXNibj48YWNjZXNzaW9uLW51bT4zMDMzNzQ2NjwvYWNjZXNzaW9uLW51bT48dXJscz48
cmVsYXRlZC11cmxzPjx1cmw+aHR0cHM6Ly93d3cubmNiaS5ubG0ubmloLmdvdi9wdWJtZWQvMzAz
Mzc0NjY8L3VybD48L3JlbGF0ZWQtdXJscz48L3VybHM+PGVsZWN0cm9uaWMtcmVzb3VyY2UtbnVt
PjEwLjExMzYvYmpzcG9ydHMtMjAxOC0wOTk3ODA8L2VsZWN0cm9uaWMtcmVzb3VyY2UtbnVtPjwv
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281</w:t>
            </w:r>
            <w:r w:rsidR="00D07346">
              <w:fldChar w:fldCharType="end"/>
            </w:r>
          </w:p>
        </w:tc>
        <w:tc>
          <w:tcPr>
            <w:tcW w:w="1247" w:type="dxa"/>
          </w:tcPr>
          <w:p w14:paraId="4C1A5AEA" w14:textId="77777777" w:rsidR="003B485A" w:rsidRDefault="00566A78" w:rsidP="00E37989">
            <w:pPr>
              <w:keepNext/>
            </w:pPr>
            <w:r>
              <w:t>24 studies</w:t>
            </w:r>
          </w:p>
          <w:p w14:paraId="1A050FA4" w14:textId="77B92349" w:rsidR="00566A78" w:rsidRDefault="00566A78" w:rsidP="00E37989">
            <w:pPr>
              <w:keepNext/>
            </w:pPr>
            <w:r>
              <w:t>15,982 women</w:t>
            </w:r>
          </w:p>
        </w:tc>
        <w:tc>
          <w:tcPr>
            <w:tcW w:w="4961" w:type="dxa"/>
          </w:tcPr>
          <w:p w14:paraId="271B7E62" w14:textId="77777777" w:rsidR="00566A78" w:rsidRDefault="00566A78" w:rsidP="00566A78">
            <w:r w:rsidRPr="00BD61CC">
              <w:rPr>
                <w:b/>
              </w:rPr>
              <w:t>Aim</w:t>
            </w:r>
            <w:r>
              <w:t xml:space="preserve">: </w:t>
            </w:r>
            <w:r w:rsidRPr="00566A78">
              <w:t xml:space="preserve">To examine the relationships between prenatal physical activity and prenatal and postnatal urinary incontinence (UI). </w:t>
            </w:r>
          </w:p>
          <w:p w14:paraId="4F35B63B" w14:textId="7B2BD66F" w:rsidR="003B485A" w:rsidRDefault="00566A78" w:rsidP="00A44792">
            <w:pPr>
              <w:rPr>
                <w:b/>
              </w:rPr>
            </w:pPr>
            <w:r w:rsidRPr="00BD61CC">
              <w:rPr>
                <w:b/>
              </w:rPr>
              <w:t>Methods</w:t>
            </w:r>
            <w:r w:rsidRPr="00566A78">
              <w:t>: Systematic review with random effects meta-analysis and meta-regression. Online databases were searched up to 6 January 2017. Studies of all designs were included (except case studies) if they were published in English, Spanish or French and contained information on the Population (pregnant women without contraindication to exercise), Intervention (subjective or objective measures of frequency, intensity, duration, volume or type of exercise, alone ["exercise-only"] or in combination with other intervention components [e.g., dietary; "exercise + co-intervention"]), Comparator (no exercise or different frequency, intensity, duration, volume and type of exercise) and Outcome (prenatal or postnatal UI).</w:t>
            </w:r>
          </w:p>
        </w:tc>
        <w:tc>
          <w:tcPr>
            <w:tcW w:w="4536" w:type="dxa"/>
          </w:tcPr>
          <w:p w14:paraId="25999C7C" w14:textId="24C642FC" w:rsidR="00566A78" w:rsidRDefault="00566A78" w:rsidP="00566A78">
            <w:r w:rsidRPr="00566A78">
              <w:t xml:space="preserve">'Low' to 'moderate' </w:t>
            </w:r>
            <w:r w:rsidR="00343BBE">
              <w:t>certainty</w:t>
            </w:r>
            <w:r w:rsidRPr="00566A78">
              <w:t xml:space="preserve"> evidence revealed prenatal pelvic floor muscle training (PFMT) with or without aerobic exercise decreased t</w:t>
            </w:r>
            <w:r>
              <w:t>he odds of UI in pregnancy (15 RCTs</w:t>
            </w:r>
            <w:r w:rsidRPr="00566A78">
              <w:t>, n=2</w:t>
            </w:r>
            <w:r>
              <w:t>,764 women; OR 0.50, 95%</w:t>
            </w:r>
            <w:r w:rsidRPr="00566A78">
              <w:t xml:space="preserve">CI 0.37 to 0.68). When we analysed the data by whether women were continent or incontinent prior to the intervention, exercise was beneficial at preventing the development of UI in women with continence, but not effective in treating UI in women with incontinence. </w:t>
            </w:r>
          </w:p>
          <w:p w14:paraId="5A9CE35A" w14:textId="795C2339" w:rsidR="003B485A" w:rsidRPr="00566A78" w:rsidRDefault="00566A78" w:rsidP="0075272C">
            <w:r w:rsidRPr="00566A78">
              <w:t xml:space="preserve">There was 'low' </w:t>
            </w:r>
            <w:r w:rsidR="00343BBE">
              <w:t>certainty</w:t>
            </w:r>
            <w:r w:rsidRPr="00566A78">
              <w:t xml:space="preserve"> evidence that prenatal exercise had a moderate effect in the reduction of UI symptom severity (</w:t>
            </w:r>
            <w:r>
              <w:t>5</w:t>
            </w:r>
            <w:r w:rsidRPr="00566A78">
              <w:t xml:space="preserve"> RCTs, </w:t>
            </w:r>
            <w:r>
              <w:t>SMD -0.54, 95%</w:t>
            </w:r>
            <w:r w:rsidRPr="00566A78">
              <w:t xml:space="preserve">CI -0.88 to -0.20). </w:t>
            </w:r>
          </w:p>
        </w:tc>
        <w:tc>
          <w:tcPr>
            <w:tcW w:w="1843" w:type="dxa"/>
          </w:tcPr>
          <w:p w14:paraId="4FCADF71" w14:textId="77777777" w:rsidR="003B485A" w:rsidRPr="00DC4A73" w:rsidRDefault="003B485A" w:rsidP="00E37989">
            <w:pPr>
              <w:keepNext/>
            </w:pPr>
          </w:p>
        </w:tc>
      </w:tr>
    </w:tbl>
    <w:p w14:paraId="74101E5E" w14:textId="2A1E96B4" w:rsidR="00C12A8F" w:rsidRPr="00DC4A73" w:rsidRDefault="009C163D" w:rsidP="00932C6D">
      <w:pPr>
        <w:pStyle w:val="TableName"/>
      </w:pPr>
      <w:bookmarkStart w:id="128" w:name="_Toc40956646"/>
      <w:r>
        <w:t xml:space="preserve">Q5 </w:t>
      </w:r>
      <w:r w:rsidR="00C12A8F">
        <w:t xml:space="preserve">Physical activity in pregnancy and pelvic girdle/low back pain — </w:t>
      </w:r>
      <w:r w:rsidR="00144395">
        <w:t>systematic reviews</w:t>
      </w:r>
      <w:bookmarkEnd w:id="12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8: Q5 Physical activity in pregnancy and pelvic girdle/low back pain — systematic reviews"/>
      </w:tblPr>
      <w:tblGrid>
        <w:gridCol w:w="1305"/>
        <w:gridCol w:w="1388"/>
        <w:gridCol w:w="4820"/>
        <w:gridCol w:w="4536"/>
        <w:gridCol w:w="1843"/>
      </w:tblGrid>
      <w:tr w:rsidR="00C12A8F" w:rsidRPr="00F350A6" w14:paraId="42A4C6C7" w14:textId="77777777" w:rsidTr="005C36A9">
        <w:trPr>
          <w:cantSplit/>
          <w:tblHeader/>
        </w:trPr>
        <w:tc>
          <w:tcPr>
            <w:tcW w:w="1305" w:type="dxa"/>
          </w:tcPr>
          <w:p w14:paraId="2969FA2E" w14:textId="77777777" w:rsidR="00C12A8F" w:rsidRPr="00F350A6" w:rsidRDefault="00C12A8F" w:rsidP="00D86DBF">
            <w:pPr>
              <w:keepNext/>
              <w:rPr>
                <w:b/>
              </w:rPr>
            </w:pPr>
            <w:r>
              <w:rPr>
                <w:b/>
              </w:rPr>
              <w:t>Study ref</w:t>
            </w:r>
          </w:p>
        </w:tc>
        <w:tc>
          <w:tcPr>
            <w:tcW w:w="1388" w:type="dxa"/>
          </w:tcPr>
          <w:p w14:paraId="61AF7E44" w14:textId="77777777" w:rsidR="00C12A8F" w:rsidRPr="00F350A6" w:rsidRDefault="00C12A8F" w:rsidP="00D86DBF">
            <w:pPr>
              <w:keepNext/>
              <w:rPr>
                <w:b/>
              </w:rPr>
            </w:pPr>
            <w:r>
              <w:rPr>
                <w:b/>
              </w:rPr>
              <w:t>N</w:t>
            </w:r>
          </w:p>
        </w:tc>
        <w:tc>
          <w:tcPr>
            <w:tcW w:w="4820" w:type="dxa"/>
          </w:tcPr>
          <w:p w14:paraId="248BE274" w14:textId="255EF142" w:rsidR="00C12A8F" w:rsidRPr="00F350A6" w:rsidRDefault="00C12A8F" w:rsidP="00C12A8F">
            <w:pPr>
              <w:keepNext/>
              <w:rPr>
                <w:b/>
              </w:rPr>
            </w:pPr>
            <w:r>
              <w:rPr>
                <w:b/>
              </w:rPr>
              <w:t>Aim/methods</w:t>
            </w:r>
          </w:p>
        </w:tc>
        <w:tc>
          <w:tcPr>
            <w:tcW w:w="4536" w:type="dxa"/>
          </w:tcPr>
          <w:p w14:paraId="257B3743" w14:textId="77777777" w:rsidR="00C12A8F" w:rsidRPr="00F350A6" w:rsidRDefault="00C12A8F" w:rsidP="00D86DBF">
            <w:pPr>
              <w:keepNext/>
              <w:rPr>
                <w:b/>
              </w:rPr>
            </w:pPr>
            <w:r>
              <w:rPr>
                <w:b/>
              </w:rPr>
              <w:t>Results</w:t>
            </w:r>
          </w:p>
        </w:tc>
        <w:tc>
          <w:tcPr>
            <w:tcW w:w="1843" w:type="dxa"/>
          </w:tcPr>
          <w:p w14:paraId="0303C4E2" w14:textId="77777777" w:rsidR="00C12A8F" w:rsidRPr="00F350A6" w:rsidRDefault="00C12A8F" w:rsidP="00D86DBF">
            <w:pPr>
              <w:keepNext/>
              <w:rPr>
                <w:b/>
              </w:rPr>
            </w:pPr>
            <w:r>
              <w:rPr>
                <w:b/>
              </w:rPr>
              <w:t>Comments</w:t>
            </w:r>
          </w:p>
        </w:tc>
      </w:tr>
      <w:tr w:rsidR="00C12A8F" w:rsidRPr="00921608" w14:paraId="4A3CA8AA" w14:textId="77777777" w:rsidTr="005C36A9">
        <w:trPr>
          <w:cantSplit/>
        </w:trPr>
        <w:tc>
          <w:tcPr>
            <w:tcW w:w="1305" w:type="dxa"/>
          </w:tcPr>
          <w:p w14:paraId="466A8E5F" w14:textId="5FED71D9" w:rsidR="00C12A8F" w:rsidRPr="00921608" w:rsidRDefault="00C12A8F" w:rsidP="002747EA">
            <w:r>
              <w:t>Davenport et al 2019</w:t>
            </w:r>
            <w:r w:rsidR="00F15900">
              <w:t>a</w:t>
            </w:r>
            <w:r w:rsidR="00550D08">
              <w:fldChar w:fldCharType="begin">
                <w:fldData xml:space="preserve">PEVuZE5vdGU+PENpdGU+PEF1dGhvcj5EYXZlbnBvcnQ8L0F1dGhvcj48WWVhcj4yMDE5PC9ZZWFy
PjxSZWNOdW0+MTI1MDwvUmVjTnVtPjxEaXNwbGF5VGV4dD48c3R5bGUgZmFjZT0ic3VwZXJzY3Jp
cHQiIGZvbnQ9IlRyZWJ1Y2hldCBNUyIgc2l6ZT0iOSI+MjgyPC9zdHlsZT48L0Rpc3BsYXlUZXh0
PjxyZWNvcmQ+PHJlYy1udW1iZXI+MTI1MDwvcmVjLW51bWJlcj48Zm9yZWlnbi1rZXlzPjxrZXkg
YXBwPSJFTiIgZGItaWQ9ImV4dmFzcmZ4MmR0cmFvZXNhc3hwMnN6c3hhMmRmNTAyNTkyeCIgdGlt
ZXN0YW1wPSIxNTYyODkxMjgwIj4xMjUwPC9rZXk+PGtleSBhcHA9IkVOV2ViIiBkYi1pZD0iIj4w
PC9rZXk+PC9mb3JlaWduLWtleXM+PHJlZi10eXBlIG5hbWU9IkpvdXJuYWwgQXJ0aWNsZSI+MTc8
L3JlZi10eXBlPjxjb250cmlidXRvcnM+PGF1dGhvcnM+PGF1dGhvcj5EYXZlbnBvcnQsIE0uIEgu
PC9hdXRob3I+PGF1dGhvcj5NYXJjaGFuZCwgQS4gQS48L2F1dGhvcj48YXV0aG9yPk1vdHRvbGEs
IE0uIEYuPC9hdXRob3I+PGF1dGhvcj5Qb2l0cmFzLCBWLiBKLjwvYXV0aG9yPjxhdXRob3I+R3Jh
eSwgQy4gRS48L2F1dGhvcj48YXV0aG9yPkphcmFtaWxsbyBHYXJjaWEsIEEuPC9hdXRob3I+PGF1
dGhvcj5CYXJyb3dtYW4sIE4uPC9hdXRob3I+PGF1dGhvcj5Tb2JpZXJhanNraSwgRi48L2F1dGhv
cj48YXV0aG9yPkphbWVzLCBNLjwvYXV0aG9yPjxhdXRob3I+TWVhaCwgVi4gTC48L2F1dGhvcj48
YXV0aG9yPlNrb3csIFIuIEouPC9hdXRob3I+PGF1dGhvcj5SaXNrZSwgTC48L2F1dGhvcj48YXV0
aG9yPk51c3BsLCBNLjwvYXV0aG9yPjxhdXRob3I+TmFncGFsLCBULiBTLjwvYXV0aG9yPjxhdXRo
b3I+Q291cmJhbGF5LCBBLjwvYXV0aG9yPjxhdXRob3I+U2xhdGVyLCBMLiBHLjwvYXV0aG9yPjxh
dXRob3I+QWRhbW8sIEsuIEIuPC9hdXRob3I+PGF1dGhvcj5EYXZpZXMsIEcuIEEuPC9hdXRob3I+
PGF1dGhvcj5CYXJha2F0LCBSLjwvYXV0aG9yPjxhdXRob3I+UnVjaGF0LCBTLiBNLjwvYXV0aG9y
PjwvYXV0aG9ycz48L2NvbnRyaWJ1dG9ycz48YXV0aC1hZGRyZXNzPlByb2dyYW0gZm9yIFByZWdu
YW5jeSBhbmQgUG9zdHBhcnR1bSBIZWFsdGgsIFBoeXNpY2FsIEFjdGl2aXR5IGFuZCBEaWFiZXRl
cyBMYWJvcmF0b3J5LCBGYWN1bHR5IG9mIEtpbmVzaW9sb2d5LCBTcG9ydCBhbmQgUmVjcmVhdGlv
biwgV29tZW4gYW5kIENoaWxkcmVuJmFwb3M7cyBIZWFsdGggUmVzZWFyY2ggSW5zdGl0dXRlLCBB
bGJlcnRhIERpYWJldGVzIEluc3RpdHV0ZSwgVW5pdmVyc2l0eSBvZiBBbGJlcnRhLCBFZG1vbnRv
biwgQWxiZXJ0YSwgQ2FuYWRhLiYjeEQ7RGVwYXJ0bWVudCBvZiBBbmF0b215LCBVbml2ZXJzaXRl
IGR1IFF1ZWJlYyBhIFRyb2lzLVJpdmllcmVzLCBUcm9pcy1SaXZpZXJlcywgUXVlYmVjLCBDYW5h
ZGEuJiN4RDtSIFNhbXVlbCBNY0xhdWdobGluIEZvdW5kYXRpb24tRXhlcmNpc2UgYW5kIFByZWdu
YW5jeSBMYWJvcmF0b3J5LCBTY2hvb2wgb2YgS2luZXNpb2xvZ3ksIEZhY3VsdHkgb2YgSGVhbHRo
IFNjaWVuY2VzLCBEZXBhcnRtZW50IG9mIEFuYXRvbXkgYW5kIENlbGwgQmlvbG9neSwgU2NodWxp
Y2ggU2Nob29sIG9mIE1lZGljaW5lIGFuZCBEZW50aXN0cnksIENoaWxkcmVuJmFwb3M7cyBIZWFs
dGggUmVzZWFyY2ggSW5zdGl0dXRlLCBUaGUgVW5pdmVyc2l0eSBvZiBXZXN0ZXJuIE9udGFyaW8s
IExvbmRvbiwgT250YXJpbywgQ2FuYWRhLiYjeEQ7SW5kZXBlbmRlbnQgUmVzZWFyY2hlciwgT3R0
YXdhLCBPbnRhcmlvLCBDYW5hZGEuJiN4RDtIZWFsdGh5IEFjdGl2ZSBMaXZpbmcgYW5kIE9iZXNp
dHkgUmVzZWFyY2ggR3JvdXAsIENoaWxkcmVuJmFwb3M7cyBIb3NwaXRhbCBvZiBFYXN0ZXJuIE9u
dGFyaW8gUmVzZWFyY2ggSW5zdGl0dXRlLCBPdHRhd2EsIE9udGFyaW8sIENhbmFkYS4mI3hEO0Ns
aW5pY2FsIFJlc2VhcmNoIFVuaXQsIENoaWxkcmVuJmFwb3M7cyBIb3NwaXRhbCBvZiBFYXN0ZXJu
IE9udGFyaW8gUmVzZWFyY2ggSW5zdGl0dXRlLCBPdHRhd2EsIE9udGFyaW8sIENhbmFkYS4mI3hE
O0NhcmRpZmYgU2Nob29sIG9mIFNwb3J0IGFuZCBIZWFsdGggU2NpZW5jZXMsIENhcmRpZmYgTWV0
cm9wb2xpdGFuIFVuaXZlcnNpdHksIENhcmRpZmYsIFVLLiYjeEQ7RmFjdWx0eSBvZiBNZWRpY2lu
ZSBhbmQgRGVudGlzdHJ5LCBBbGJlcnRhIFJlc2VhcmNoIENlbnRyZSBmb3IgSGVhbHRoIEV2aWRl
bmNlLCBVbml2ZXJzaXR5IG9mIEFsYmVydGEsIEVkbW9udG9uLCBBbGJlcnRhLCBDYW5hZGEuJiN4
RDtKb2huIFcgU2NvdHQgSGVhbHRoIFNjaWVuY2VzIExpYnJhcnksIFVuaXZlcnNpdHkgb2YgQWxi
ZXJ0YSwgRWRtb250b24sIEFsYmVydGEsIENhbmFkYS4mI3hEO1NjaG9vbCBvZiBIdW1hbiBLaW5l
dGljcywgRmFjdWx0eSBvZiBIZWFsdGggU2NpZW5jZXMsIFVuaXZlcnNpdHkgb2YgT3R0YXdhLCBP
dHRhd2EsIE9udGFyaW8sIENhbmFkYS4mI3hEO0RlcGFydG1lbnQgb2YgT2JzdGV0cmljcyBhbmQg
R3luYWVjb2xvZ3ksIFF1ZWVuJmFwb3M7cyBVbml2ZXJzaXR5LCBLaW5nc3RvbiwgT250YXJpbywg
Q2FuYWRhLiYjeEQ7RmFjdWx0YWQgZGUgQ2llbmNpYXMgZGUgbGEgQWN0aXZpZGFkIEZpc2ljYSB5
IGRlbCBEZXBvcnRlLUlORUYsIFVuaXZlcnNpZGFkIFBvbGl0ZWNuaWNhIGRlIE1hZHJpZCwgTWFk
cmlkLCBTcGFpbi4mI3hEO0RlcGFydG1lbnQgb2YgSHVtYW4gS2luZXRpY3MsIFVuaXZlcnNpdGUg
ZHUgUXVlYmVjIGEgVHJvaXMtUml2aWVyZXMsIFRyb2lzLVJpdmllcmVzLCBRdWViZWMsIENhbmFk
YS48L2F1dGgtYWRkcmVzcz48dGl0bGVzPjx0aXRsZT5FeGVyY2lzZSBmb3IgdGhlIHByZXZlbnRp
b24gYW5kIHRyZWF0bWVudCBvZiBsb3cgYmFjaywgcGVsdmljIGdpcmRsZSBhbmQgbHVtYm9wZWx2
aWMgcGFpbiBkdXJpbmcgcHJlZ25hbmN5OiBhIHN5c3RlbWF0aWMgcmV2aWV3IGFuZCBtZXRhLWFu
YWx5c2lzPC90aXRsZT48c2Vjb25kYXJ5LXRpdGxlPkJyIEogU3BvcnRzIE1lZDwvc2Vjb25kYXJ5
LXRpdGxlPjwvdGl0bGVzPjxwZXJpb2RpY2FsPjxmdWxsLXRpdGxlPkJyIEogU3BvcnRzIE1lZDwv
ZnVsbC10aXRsZT48L3BlcmlvZGljYWw+PHBhZ2VzPjkwLTk4PC9wYWdlcz48dm9sdW1lPjUzPC92
b2x1bWU+PG51bWJlcj4yPC9udW1iZXI+PGVkaXRpb24+MjAxOC8xMC8yMDwvZWRpdGlvbj48a2V5
d29yZHM+PGtleXdvcmQ+KkV4ZXJjaXNlIFRoZXJhcHk8L2tleXdvcmQ+PGtleXdvcmQ+RmVtYWxl
PC9rZXl3b3JkPjxrZXl3b3JkPkh1bWFuczwva2V5d29yZD48a2V5d29yZD5Mb3cgQmFjayBQYWlu
LypwcmV2ZW50aW9uICZhbXA7IGNvbnRyb2wvKnRoZXJhcHk8L2tleXdvcmQ+PGtleXdvcmQ+UGVs
dmljIEdpcmRsZSBQYWluLypwcmV2ZW50aW9uICZhbXA7IGNvbnRyb2wvKnRoZXJhcHk8L2tleXdv
cmQ+PGtleXdvcmQ+UHJlZ25hbmN5PC9rZXl3b3JkPjxrZXl3b3JkPlJhbmRvbWl6ZWQgQ29udHJv
bGxlZCBUcmlhbHMgYXMgVG9waWM8L2tleXdvcmQ+PGtleXdvcmQ+YmFjazwva2V5d29yZD48a2V5
d29yZD5leGVyY2lzZTwva2V5d29yZD48a2V5d29yZD5wZWx2aXM8L2tleXdvcmQ+PC9rZXl3b3Jk
cz48ZGF0ZXM+PHllYXI+MjAxOTwveWVhcj48cHViLWRhdGVzPjxkYXRlPkphbjwvZGF0ZT48L3B1
Yi1kYXRlcz48L2RhdGVzPjxpc2JuPjE0NzMtMDQ4MCAoRWxlY3Ryb25pYykmI3hEOzAzMDYtMzY3
NCAoTGlua2luZyk8L2lzYm4+PGFjY2Vzc2lvbi1udW0+MzAzMzczNDQ8L2FjY2Vzc2lvbi1udW0+
PHVybHM+PHJlbGF0ZWQtdXJscz48dXJsPmh0dHBzOi8vd3d3Lm5jYmkubmxtLm5paC5nb3YvcHVi
bWVkLzMwMzM3MzQ0PC91cmw+PC9yZWxhdGVkLXVybHM+PC91cmxzPjxlbGVjdHJvbmljLXJlc291
cmNlLW51bT4xMC4xMTM2L2Jqc3BvcnRzLTIwMTgtMDk5NDAwPC9lbGVjdHJvbmljLXJlc291cmNl
LW51bT48L3JlY29yZD48L0NpdGU+PC9FbmROb3RlPn==
</w:fldData>
              </w:fldChar>
            </w:r>
            <w:r w:rsidR="002747EA">
              <w:instrText xml:space="preserve"> ADDIN EN.CITE </w:instrText>
            </w:r>
            <w:r w:rsidR="002747EA">
              <w:fldChar w:fldCharType="begin">
                <w:fldData xml:space="preserve">PEVuZE5vdGU+PENpdGU+PEF1dGhvcj5EYXZlbnBvcnQ8L0F1dGhvcj48WWVhcj4yMDE5PC9ZZWFy
PjxSZWNOdW0+MTI1MDwvUmVjTnVtPjxEaXNwbGF5VGV4dD48c3R5bGUgZmFjZT0ic3VwZXJzY3Jp
cHQiIGZvbnQ9IlRyZWJ1Y2hldCBNUyIgc2l6ZT0iOSI+MjgyPC9zdHlsZT48L0Rpc3BsYXlUZXh0
PjxyZWNvcmQ+PHJlYy1udW1iZXI+MTI1MDwvcmVjLW51bWJlcj48Zm9yZWlnbi1rZXlzPjxrZXkg
YXBwPSJFTiIgZGItaWQ9ImV4dmFzcmZ4MmR0cmFvZXNhc3hwMnN6c3hhMmRmNTAyNTkyeCIgdGlt
ZXN0YW1wPSIxNTYyODkxMjgwIj4xMjUwPC9rZXk+PGtleSBhcHA9IkVOV2ViIiBkYi1pZD0iIj4w
PC9rZXk+PC9mb3JlaWduLWtleXM+PHJlZi10eXBlIG5hbWU9IkpvdXJuYWwgQXJ0aWNsZSI+MTc8
L3JlZi10eXBlPjxjb250cmlidXRvcnM+PGF1dGhvcnM+PGF1dGhvcj5EYXZlbnBvcnQsIE0uIEgu
PC9hdXRob3I+PGF1dGhvcj5NYXJjaGFuZCwgQS4gQS48L2F1dGhvcj48YXV0aG9yPk1vdHRvbGEs
IE0uIEYuPC9hdXRob3I+PGF1dGhvcj5Qb2l0cmFzLCBWLiBKLjwvYXV0aG9yPjxhdXRob3I+R3Jh
eSwgQy4gRS48L2F1dGhvcj48YXV0aG9yPkphcmFtaWxsbyBHYXJjaWEsIEEuPC9hdXRob3I+PGF1
dGhvcj5CYXJyb3dtYW4sIE4uPC9hdXRob3I+PGF1dGhvcj5Tb2JpZXJhanNraSwgRi48L2F1dGhv
cj48YXV0aG9yPkphbWVzLCBNLjwvYXV0aG9yPjxhdXRob3I+TWVhaCwgVi4gTC48L2F1dGhvcj48
YXV0aG9yPlNrb3csIFIuIEouPC9hdXRob3I+PGF1dGhvcj5SaXNrZSwgTC48L2F1dGhvcj48YXV0
aG9yPk51c3BsLCBNLjwvYXV0aG9yPjxhdXRob3I+TmFncGFsLCBULiBTLjwvYXV0aG9yPjxhdXRo
b3I+Q291cmJhbGF5LCBBLjwvYXV0aG9yPjxhdXRob3I+U2xhdGVyLCBMLiBHLjwvYXV0aG9yPjxh
dXRob3I+QWRhbW8sIEsuIEIuPC9hdXRob3I+PGF1dGhvcj5EYXZpZXMsIEcuIEEuPC9hdXRob3I+
PGF1dGhvcj5CYXJha2F0LCBSLjwvYXV0aG9yPjxhdXRob3I+UnVjaGF0LCBTLiBNLjwvYXV0aG9y
PjwvYXV0aG9ycz48L2NvbnRyaWJ1dG9ycz48YXV0aC1hZGRyZXNzPlByb2dyYW0gZm9yIFByZWdu
YW5jeSBhbmQgUG9zdHBhcnR1bSBIZWFsdGgsIFBoeXNpY2FsIEFjdGl2aXR5IGFuZCBEaWFiZXRl
cyBMYWJvcmF0b3J5LCBGYWN1bHR5IG9mIEtpbmVzaW9sb2d5LCBTcG9ydCBhbmQgUmVjcmVhdGlv
biwgV29tZW4gYW5kIENoaWxkcmVuJmFwb3M7cyBIZWFsdGggUmVzZWFyY2ggSW5zdGl0dXRlLCBB
bGJlcnRhIERpYWJldGVzIEluc3RpdHV0ZSwgVW5pdmVyc2l0eSBvZiBBbGJlcnRhLCBFZG1vbnRv
biwgQWxiZXJ0YSwgQ2FuYWRhLiYjeEQ7RGVwYXJ0bWVudCBvZiBBbmF0b215LCBVbml2ZXJzaXRl
IGR1IFF1ZWJlYyBhIFRyb2lzLVJpdmllcmVzLCBUcm9pcy1SaXZpZXJlcywgUXVlYmVjLCBDYW5h
ZGEuJiN4RDtSIFNhbXVlbCBNY0xhdWdobGluIEZvdW5kYXRpb24tRXhlcmNpc2UgYW5kIFByZWdu
YW5jeSBMYWJvcmF0b3J5LCBTY2hvb2wgb2YgS2luZXNpb2xvZ3ksIEZhY3VsdHkgb2YgSGVhbHRo
IFNjaWVuY2VzLCBEZXBhcnRtZW50IG9mIEFuYXRvbXkgYW5kIENlbGwgQmlvbG9neSwgU2NodWxp
Y2ggU2Nob29sIG9mIE1lZGljaW5lIGFuZCBEZW50aXN0cnksIENoaWxkcmVuJmFwb3M7cyBIZWFs
dGggUmVzZWFyY2ggSW5zdGl0dXRlLCBUaGUgVW5pdmVyc2l0eSBvZiBXZXN0ZXJuIE9udGFyaW8s
IExvbmRvbiwgT250YXJpbywgQ2FuYWRhLiYjeEQ7SW5kZXBlbmRlbnQgUmVzZWFyY2hlciwgT3R0
YXdhLCBPbnRhcmlvLCBDYW5hZGEuJiN4RDtIZWFsdGh5IEFjdGl2ZSBMaXZpbmcgYW5kIE9iZXNp
dHkgUmVzZWFyY2ggR3JvdXAsIENoaWxkcmVuJmFwb3M7cyBIb3NwaXRhbCBvZiBFYXN0ZXJuIE9u
dGFyaW8gUmVzZWFyY2ggSW5zdGl0dXRlLCBPdHRhd2EsIE9udGFyaW8sIENhbmFkYS4mI3hEO0Ns
aW5pY2FsIFJlc2VhcmNoIFVuaXQsIENoaWxkcmVuJmFwb3M7cyBIb3NwaXRhbCBvZiBFYXN0ZXJu
IE9udGFyaW8gUmVzZWFyY2ggSW5zdGl0dXRlLCBPdHRhd2EsIE9udGFyaW8sIENhbmFkYS4mI3hE
O0NhcmRpZmYgU2Nob29sIG9mIFNwb3J0IGFuZCBIZWFsdGggU2NpZW5jZXMsIENhcmRpZmYgTWV0
cm9wb2xpdGFuIFVuaXZlcnNpdHksIENhcmRpZmYsIFVLLiYjeEQ7RmFjdWx0eSBvZiBNZWRpY2lu
ZSBhbmQgRGVudGlzdHJ5LCBBbGJlcnRhIFJlc2VhcmNoIENlbnRyZSBmb3IgSGVhbHRoIEV2aWRl
bmNlLCBVbml2ZXJzaXR5IG9mIEFsYmVydGEsIEVkbW9udG9uLCBBbGJlcnRhLCBDYW5hZGEuJiN4
RDtKb2huIFcgU2NvdHQgSGVhbHRoIFNjaWVuY2VzIExpYnJhcnksIFVuaXZlcnNpdHkgb2YgQWxi
ZXJ0YSwgRWRtb250b24sIEFsYmVydGEsIENhbmFkYS4mI3hEO1NjaG9vbCBvZiBIdW1hbiBLaW5l
dGljcywgRmFjdWx0eSBvZiBIZWFsdGggU2NpZW5jZXMsIFVuaXZlcnNpdHkgb2YgT3R0YXdhLCBP
dHRhd2EsIE9udGFyaW8sIENhbmFkYS4mI3hEO0RlcGFydG1lbnQgb2YgT2JzdGV0cmljcyBhbmQg
R3luYWVjb2xvZ3ksIFF1ZWVuJmFwb3M7cyBVbml2ZXJzaXR5LCBLaW5nc3RvbiwgT250YXJpbywg
Q2FuYWRhLiYjeEQ7RmFjdWx0YWQgZGUgQ2llbmNpYXMgZGUgbGEgQWN0aXZpZGFkIEZpc2ljYSB5
IGRlbCBEZXBvcnRlLUlORUYsIFVuaXZlcnNpZGFkIFBvbGl0ZWNuaWNhIGRlIE1hZHJpZCwgTWFk
cmlkLCBTcGFpbi4mI3hEO0RlcGFydG1lbnQgb2YgSHVtYW4gS2luZXRpY3MsIFVuaXZlcnNpdGUg
ZHUgUXVlYmVjIGEgVHJvaXMtUml2aWVyZXMsIFRyb2lzLVJpdmllcmVzLCBRdWViZWMsIENhbmFk
YS48L2F1dGgtYWRkcmVzcz48dGl0bGVzPjx0aXRsZT5FeGVyY2lzZSBmb3IgdGhlIHByZXZlbnRp
b24gYW5kIHRyZWF0bWVudCBvZiBsb3cgYmFjaywgcGVsdmljIGdpcmRsZSBhbmQgbHVtYm9wZWx2
aWMgcGFpbiBkdXJpbmcgcHJlZ25hbmN5OiBhIHN5c3RlbWF0aWMgcmV2aWV3IGFuZCBtZXRhLWFu
YWx5c2lzPC90aXRsZT48c2Vjb25kYXJ5LXRpdGxlPkJyIEogU3BvcnRzIE1lZDwvc2Vjb25kYXJ5
LXRpdGxlPjwvdGl0bGVzPjxwZXJpb2RpY2FsPjxmdWxsLXRpdGxlPkJyIEogU3BvcnRzIE1lZDwv
ZnVsbC10aXRsZT48L3BlcmlvZGljYWw+PHBhZ2VzPjkwLTk4PC9wYWdlcz48dm9sdW1lPjUzPC92
b2x1bWU+PG51bWJlcj4yPC9udW1iZXI+PGVkaXRpb24+MjAxOC8xMC8yMDwvZWRpdGlvbj48a2V5
d29yZHM+PGtleXdvcmQ+KkV4ZXJjaXNlIFRoZXJhcHk8L2tleXdvcmQ+PGtleXdvcmQ+RmVtYWxl
PC9rZXl3b3JkPjxrZXl3b3JkPkh1bWFuczwva2V5d29yZD48a2V5d29yZD5Mb3cgQmFjayBQYWlu
LypwcmV2ZW50aW9uICZhbXA7IGNvbnRyb2wvKnRoZXJhcHk8L2tleXdvcmQ+PGtleXdvcmQ+UGVs
dmljIEdpcmRsZSBQYWluLypwcmV2ZW50aW9uICZhbXA7IGNvbnRyb2wvKnRoZXJhcHk8L2tleXdv
cmQ+PGtleXdvcmQ+UHJlZ25hbmN5PC9rZXl3b3JkPjxrZXl3b3JkPlJhbmRvbWl6ZWQgQ29udHJv
bGxlZCBUcmlhbHMgYXMgVG9waWM8L2tleXdvcmQ+PGtleXdvcmQ+YmFjazwva2V5d29yZD48a2V5
d29yZD5leGVyY2lzZTwva2V5d29yZD48a2V5d29yZD5wZWx2aXM8L2tleXdvcmQ+PC9rZXl3b3Jk
cz48ZGF0ZXM+PHllYXI+MjAxOTwveWVhcj48cHViLWRhdGVzPjxkYXRlPkphbjwvZGF0ZT48L3B1
Yi1kYXRlcz48L2RhdGVzPjxpc2JuPjE0NzMtMDQ4MCAoRWxlY3Ryb25pYykmI3hEOzAzMDYtMzY3
NCAoTGlua2luZyk8L2lzYm4+PGFjY2Vzc2lvbi1udW0+MzAzMzczNDQ8L2FjY2Vzc2lvbi1udW0+
PHVybHM+PHJlbGF0ZWQtdXJscz48dXJsPmh0dHBzOi8vd3d3Lm5jYmkubmxtLm5paC5nb3YvcHVi
bWVkLzMwMzM3MzQ0PC91cmw+PC9yZWxhdGVkLXVybHM+PC91cmxzPjxlbGVjdHJvbmljLXJlc291
cmNlLW51bT4xMC4xMTM2L2Jqc3BvcnRzLTIwMTgtMDk5NDAwPC9lbGVjdHJvbmljLXJlc291cmNl
LW51bT48L3JlY29yZD48L0NpdGU+PC9FbmROb3RlPn==
</w:fldData>
              </w:fldChar>
            </w:r>
            <w:r w:rsidR="002747EA">
              <w:instrText xml:space="preserve"> ADDIN EN.CITE.DATA </w:instrText>
            </w:r>
            <w:r w:rsidR="002747EA">
              <w:fldChar w:fldCharType="end"/>
            </w:r>
            <w:r w:rsidR="00550D08">
              <w:fldChar w:fldCharType="separate"/>
            </w:r>
            <w:r w:rsidR="002747EA" w:rsidRPr="002747EA">
              <w:rPr>
                <w:noProof/>
                <w:vertAlign w:val="superscript"/>
              </w:rPr>
              <w:t>282</w:t>
            </w:r>
            <w:r w:rsidR="00550D08">
              <w:fldChar w:fldCharType="end"/>
            </w:r>
          </w:p>
        </w:tc>
        <w:tc>
          <w:tcPr>
            <w:tcW w:w="1388" w:type="dxa"/>
          </w:tcPr>
          <w:p w14:paraId="05EC5DEB" w14:textId="77777777" w:rsidR="00C12A8F" w:rsidRDefault="00034D06" w:rsidP="00D86DBF">
            <w:r>
              <w:t>32 studies</w:t>
            </w:r>
          </w:p>
          <w:p w14:paraId="00E4A756" w14:textId="234FF4D7" w:rsidR="00034D06" w:rsidRPr="00921608" w:rsidRDefault="00034D06" w:rsidP="00D86DBF">
            <w:r>
              <w:t xml:space="preserve">52,297 </w:t>
            </w:r>
          </w:p>
        </w:tc>
        <w:tc>
          <w:tcPr>
            <w:tcW w:w="4820" w:type="dxa"/>
          </w:tcPr>
          <w:p w14:paraId="3BC6CF95" w14:textId="77777777" w:rsidR="00034D06" w:rsidRDefault="00034D06" w:rsidP="00034D06">
            <w:r w:rsidRPr="00034D06">
              <w:rPr>
                <w:b/>
              </w:rPr>
              <w:t>Aim</w:t>
            </w:r>
            <w:r>
              <w:t>: T</w:t>
            </w:r>
            <w:r w:rsidRPr="00034D06">
              <w:t xml:space="preserve">o investigate the relationship between prenatal exercise, and low back (LBP), pelvic girdle (PGP) and lumbopelvic (LBPP) pain. </w:t>
            </w:r>
          </w:p>
          <w:p w14:paraId="5EF43308" w14:textId="434FBCC2" w:rsidR="00C12A8F" w:rsidRPr="00921608" w:rsidRDefault="00034D06" w:rsidP="00034D06">
            <w:r w:rsidRPr="00034D06">
              <w:rPr>
                <w:b/>
              </w:rPr>
              <w:t>Methods</w:t>
            </w:r>
            <w:r>
              <w:t xml:space="preserve">: </w:t>
            </w:r>
            <w:r w:rsidRPr="00034D06">
              <w:t xml:space="preserve">Online databases were searched up to 6 January 2017. Studies of all designs were eligible (except case studies and reviews) if they were published in English, Spanish or French, and contained information on the population (pregnant women without contraindication to exercise), intervention (subjective or objective measures of frequency, intensity, duration, volume or type of exercise, alone ["exercise-only"] or in combination with other intervention components [eg, dietary; "exercise + co-intervention"]), comparator (no exercise or different frequency, intensity, duration, volume and type of exercise) and outcome (prevalence and symptom severity of LBP, PGP and LBPP). </w:t>
            </w:r>
          </w:p>
        </w:tc>
        <w:tc>
          <w:tcPr>
            <w:tcW w:w="4536" w:type="dxa"/>
          </w:tcPr>
          <w:p w14:paraId="114F36F3" w14:textId="11039584" w:rsidR="00E050A8" w:rsidRDefault="00034D06" w:rsidP="00D86DBF">
            <w:r w:rsidRPr="00034D06">
              <w:t xml:space="preserve">'Very low' to 'moderate' </w:t>
            </w:r>
            <w:r w:rsidR="00343BBE">
              <w:t>certainty</w:t>
            </w:r>
            <w:r w:rsidRPr="00034D06">
              <w:t xml:space="preserve"> evidence from </w:t>
            </w:r>
            <w:r w:rsidR="000939AD">
              <w:t>RCTS</w:t>
            </w:r>
            <w:r w:rsidRPr="00034D06">
              <w:t xml:space="preserve"> showed prenatal exercise </w:t>
            </w:r>
            <w:r w:rsidR="00E050A8">
              <w:t xml:space="preserve">alone </w:t>
            </w:r>
            <w:r w:rsidRPr="00034D06">
              <w:t xml:space="preserve">did not reduce the odds of </w:t>
            </w:r>
            <w:r w:rsidR="000939AD">
              <w:t>experiencing</w:t>
            </w:r>
            <w:r w:rsidRPr="00034D06">
              <w:t xml:space="preserve"> LBP, PGP and LBPP either in pregnancy </w:t>
            </w:r>
            <w:r w:rsidR="00E050A8">
              <w:t>(OR 0.</w:t>
            </w:r>
            <w:r w:rsidR="00396BCC">
              <w:t>78</w:t>
            </w:r>
            <w:r w:rsidR="00E050A8">
              <w:t>; 95%CI 0.</w:t>
            </w:r>
            <w:r w:rsidR="00396BCC">
              <w:t>60</w:t>
            </w:r>
            <w:r w:rsidR="00E050A8">
              <w:t xml:space="preserve"> to 1.</w:t>
            </w:r>
            <w:r w:rsidR="00396BCC">
              <w:t>02</w:t>
            </w:r>
            <w:r w:rsidR="000939AD">
              <w:t xml:space="preserve">; </w:t>
            </w:r>
            <w:r w:rsidR="00396BCC">
              <w:t>13</w:t>
            </w:r>
            <w:r w:rsidR="000939AD">
              <w:t xml:space="preserve"> studies</w:t>
            </w:r>
            <w:r w:rsidR="00E050A8">
              <w:t xml:space="preserve">) </w:t>
            </w:r>
            <w:r w:rsidRPr="00034D06">
              <w:t>or the postpartum period</w:t>
            </w:r>
            <w:r w:rsidR="00E050A8">
              <w:t xml:space="preserve"> (OR 0.</w:t>
            </w:r>
            <w:r w:rsidR="00396BCC">
              <w:t>89</w:t>
            </w:r>
            <w:r w:rsidR="00E050A8">
              <w:t>; 95%CI 0.</w:t>
            </w:r>
            <w:r w:rsidR="00396BCC">
              <w:t>51</w:t>
            </w:r>
            <w:r w:rsidR="00E050A8">
              <w:t xml:space="preserve"> to </w:t>
            </w:r>
            <w:r w:rsidR="00396BCC">
              <w:t>1.56; 4</w:t>
            </w:r>
            <w:r w:rsidR="000939AD">
              <w:t xml:space="preserve"> studies</w:t>
            </w:r>
            <w:r w:rsidR="00E050A8">
              <w:t>)</w:t>
            </w:r>
            <w:r w:rsidRPr="00034D06">
              <w:t xml:space="preserve">. </w:t>
            </w:r>
          </w:p>
          <w:p w14:paraId="59569ADD" w14:textId="73AF5D1F" w:rsidR="00C12A8F" w:rsidRPr="00921608" w:rsidRDefault="00034D06" w:rsidP="00396BCC">
            <w:r w:rsidRPr="00034D06">
              <w:t xml:space="preserve">However, 'very low' to 'moderate' </w:t>
            </w:r>
            <w:r w:rsidR="00343BBE">
              <w:t>certainty</w:t>
            </w:r>
            <w:r w:rsidRPr="00034D06">
              <w:t xml:space="preserve"> evidence identified lower pain severity</w:t>
            </w:r>
            <w:r w:rsidR="000939AD">
              <w:t xml:space="preserve"> during pregnancy</w:t>
            </w:r>
            <w:r w:rsidR="00E050A8">
              <w:t xml:space="preserve"> </w:t>
            </w:r>
            <w:r w:rsidRPr="00034D06">
              <w:t>in women who exercised during pregnancy (</w:t>
            </w:r>
            <w:r w:rsidR="000939AD">
              <w:t xml:space="preserve">SMD </w:t>
            </w:r>
            <w:r w:rsidR="000939AD">
              <w:noBreakHyphen/>
              <w:t>1.</w:t>
            </w:r>
            <w:r w:rsidR="00396BCC">
              <w:t>0</w:t>
            </w:r>
            <w:r w:rsidR="000939AD">
              <w:t>3; 95%CI -</w:t>
            </w:r>
            <w:r w:rsidR="00396BCC">
              <w:t>1.5</w:t>
            </w:r>
            <w:r w:rsidR="000939AD">
              <w:t>8 to -0.</w:t>
            </w:r>
            <w:r w:rsidR="00396BCC">
              <w:t>4</w:t>
            </w:r>
            <w:r w:rsidRPr="00034D06">
              <w:t xml:space="preserve">8) compared with those who did not exercise. </w:t>
            </w:r>
          </w:p>
        </w:tc>
        <w:tc>
          <w:tcPr>
            <w:tcW w:w="1843" w:type="dxa"/>
          </w:tcPr>
          <w:p w14:paraId="6A7FF73C" w14:textId="77777777" w:rsidR="00C12A8F" w:rsidRPr="00921608" w:rsidRDefault="00C12A8F" w:rsidP="00D86DBF"/>
        </w:tc>
      </w:tr>
      <w:tr w:rsidR="0015714D" w:rsidRPr="00921608" w14:paraId="0C8CEBBA" w14:textId="77777777" w:rsidTr="005C36A9">
        <w:trPr>
          <w:cantSplit/>
        </w:trPr>
        <w:tc>
          <w:tcPr>
            <w:tcW w:w="1305" w:type="dxa"/>
          </w:tcPr>
          <w:p w14:paraId="5AD0D333" w14:textId="228EB35C" w:rsidR="0015714D" w:rsidRDefault="0015714D" w:rsidP="002747EA">
            <w:r>
              <w:t>Shiri et al 2018</w:t>
            </w:r>
            <w:r w:rsidR="00E51743">
              <w:fldChar w:fldCharType="begin"/>
            </w:r>
            <w:r w:rsidR="002747EA">
              <w:instrText xml:space="preserve"> ADDIN EN.CITE &lt;EndNote&gt;&lt;Cite&gt;&lt;Author&gt;Shiri&lt;/Author&gt;&lt;Year&gt;2018&lt;/Year&gt;&lt;RecNum&gt;585&lt;/RecNum&gt;&lt;DisplayText&gt;&lt;style face="superscript" font="Trebuchet MS" size="9"&gt;283&lt;/style&gt;&lt;/DisplayText&gt;&lt;record&gt;&lt;rec-number&gt;585&lt;/rec-number&gt;&lt;foreign-keys&gt;&lt;key app="EN" db-id="exvasrfx2dtraoesasxp2szsxa2df502592x" timestamp="1536369713"&gt;585&lt;/key&gt;&lt;/foreign-keys&gt;&lt;ref-type name="Journal Article"&gt;17&lt;/ref-type&gt;&lt;contributors&gt;&lt;authors&gt;&lt;author&gt;Shiri, R.&lt;/author&gt;&lt;author&gt;Coggon, D.&lt;/author&gt;&lt;author&gt;Falah-Hassani, K.&lt;/author&gt;&lt;/authors&gt;&lt;/contributors&gt;&lt;auth-address&gt;Finnish Institute of Occupational Health, Helsinki, Finland.&amp;#xD;Arthritis Research UK/MRC Centre for Musculoskeletal Health and Work, University of Southampton, UK.&amp;#xD;MRC Lifecourse Epidemiology Unit, University of Southampton, UK.&amp;#xD;Western University, London, Canada.&lt;/auth-address&gt;&lt;titles&gt;&lt;title&gt;Exercise for the prevention of low back and pelvic girdle pain in pregnancy: A meta-analysis of randomized controlled trials&lt;/title&gt;&lt;secondary-title&gt;Eur J Pain&lt;/secondary-title&gt;&lt;/titles&gt;&lt;periodical&gt;&lt;full-title&gt;Eur J Pain&lt;/full-title&gt;&lt;/periodical&gt;&lt;pages&gt;19-27&lt;/pages&gt;&lt;volume&gt;22&lt;/volume&gt;&lt;number&gt;1&lt;/number&gt;&lt;edition&gt;2017/09/05&lt;/edition&gt;&lt;keywords&gt;&lt;keyword&gt;Adult&lt;/keyword&gt;&lt;keyword&gt;*Exercise Therapy&lt;/keyword&gt;&lt;keyword&gt;Female&lt;/keyword&gt;&lt;keyword&gt;Humans&lt;/keyword&gt;&lt;keyword&gt;Low Back Pain/*prevention &amp;amp; control&lt;/keyword&gt;&lt;keyword&gt;Pelvic Girdle Pain/*prevention &amp;amp; control&lt;/keyword&gt;&lt;keyword&gt;Pregnancy&lt;/keyword&gt;&lt;keyword&gt;Pregnancy Complications/*prevention &amp;amp; control&lt;/keyword&gt;&lt;keyword&gt;Randomized Controlled Trials as Topic&lt;/keyword&gt;&lt;keyword&gt;Sick Leave&lt;/keyword&gt;&lt;keyword&gt;Treatment Outcome&lt;/keyword&gt;&lt;/keywords&gt;&lt;dates&gt;&lt;year&gt;2018&lt;/year&gt;&lt;pub-dates&gt;&lt;date&gt;Jan&lt;/date&gt;&lt;/pub-dates&gt;&lt;/dates&gt;&lt;isbn&gt;1532-2149 (Electronic)&amp;#xD;1090-3801 (Linking)&lt;/isbn&gt;&lt;accession-num&gt;28869318&lt;/accession-num&gt;&lt;urls&gt;&lt;related-urls&gt;&lt;url&gt;https://www.ncbi.nlm.nih.gov/pubmed/28869318&lt;/url&gt;&lt;/related-urls&gt;&lt;/urls&gt;&lt;electronic-resource-num&gt;10.1002/ejp.1096&lt;/electronic-resource-num&gt;&lt;/record&gt;&lt;/Cite&gt;&lt;/EndNote&gt;</w:instrText>
            </w:r>
            <w:r w:rsidR="00E51743">
              <w:fldChar w:fldCharType="separate"/>
            </w:r>
            <w:r w:rsidR="002747EA" w:rsidRPr="002747EA">
              <w:rPr>
                <w:noProof/>
                <w:vertAlign w:val="superscript"/>
              </w:rPr>
              <w:t>283</w:t>
            </w:r>
            <w:r w:rsidR="00E51743">
              <w:fldChar w:fldCharType="end"/>
            </w:r>
          </w:p>
        </w:tc>
        <w:tc>
          <w:tcPr>
            <w:tcW w:w="1388" w:type="dxa"/>
          </w:tcPr>
          <w:p w14:paraId="1CE8F07B" w14:textId="77777777" w:rsidR="0015714D" w:rsidRDefault="0015714D" w:rsidP="00D86DBF">
            <w:r>
              <w:t>11 studies</w:t>
            </w:r>
          </w:p>
          <w:p w14:paraId="18432811" w14:textId="553CEA1F" w:rsidR="0015714D" w:rsidRDefault="0015714D" w:rsidP="00D86DBF">
            <w:r>
              <w:t>2,347</w:t>
            </w:r>
          </w:p>
        </w:tc>
        <w:tc>
          <w:tcPr>
            <w:tcW w:w="4820" w:type="dxa"/>
          </w:tcPr>
          <w:p w14:paraId="151CB9A6" w14:textId="77777777" w:rsidR="0015714D" w:rsidRDefault="0015714D" w:rsidP="0015714D">
            <w:r w:rsidRPr="0015714D">
              <w:rPr>
                <w:b/>
              </w:rPr>
              <w:t>Aim</w:t>
            </w:r>
            <w:r>
              <w:t xml:space="preserve">: </w:t>
            </w:r>
            <w:r w:rsidRPr="0015714D">
              <w:t xml:space="preserve">to assess the effect of exercise on low back pain, pelvic girdle pain and associated sick leave. </w:t>
            </w:r>
          </w:p>
          <w:p w14:paraId="6364D42A" w14:textId="642ADB2F" w:rsidR="0015714D" w:rsidRPr="00C55CEB" w:rsidRDefault="0015714D" w:rsidP="0015714D">
            <w:pPr>
              <w:rPr>
                <w:b/>
              </w:rPr>
            </w:pPr>
            <w:r w:rsidRPr="0015714D">
              <w:rPr>
                <w:b/>
              </w:rPr>
              <w:t>Methods</w:t>
            </w:r>
            <w:r>
              <w:t xml:space="preserve">: </w:t>
            </w:r>
            <w:r w:rsidRPr="0015714D">
              <w:t xml:space="preserve">Literature searches were conducted in PubMed, EMBASE, Cochrane Library, Google Scholar, ResearchGate and ClinicalTrials.gov databases from their inception through May 2017. </w:t>
            </w:r>
            <w:r>
              <w:t>RCTs</w:t>
            </w:r>
            <w:r w:rsidRPr="0015714D">
              <w:t xml:space="preserve"> were eligible for inclusion in the review if they compared an exercise intervention with usual daily activities and at least some of the participants were free from low back pain and/or pelvic girdle pain at baseline. Methodological quality of included studies was evaluated using the Cochrane Collaboration's tool. A random-effects meta-analysis was performed, and heterogeneity and publication bias were assessed. </w:t>
            </w:r>
          </w:p>
        </w:tc>
        <w:tc>
          <w:tcPr>
            <w:tcW w:w="4536" w:type="dxa"/>
          </w:tcPr>
          <w:p w14:paraId="6C85F472" w14:textId="77777777" w:rsidR="00CF446D" w:rsidRDefault="00D238FE" w:rsidP="002138A4">
            <w:pPr>
              <w:pStyle w:val="bullet"/>
            </w:pPr>
            <w:r>
              <w:t>L</w:t>
            </w:r>
            <w:r w:rsidR="0015714D" w:rsidRPr="0015714D">
              <w:t>ow back pain in pregnancy</w:t>
            </w:r>
            <w:r w:rsidR="00CF446D">
              <w:t xml:space="preserve">: </w:t>
            </w:r>
            <w:r w:rsidR="0015714D">
              <w:t xml:space="preserve">RR 0.91, 95%CI 0.83 to </w:t>
            </w:r>
            <w:r w:rsidR="0015714D" w:rsidRPr="0015714D">
              <w:t>0.99</w:t>
            </w:r>
            <w:r w:rsidR="0015714D">
              <w:t>; 7 studies; n=</w:t>
            </w:r>
            <w:r w:rsidR="0015714D" w:rsidRPr="0015714D">
              <w:t>1</w:t>
            </w:r>
            <w:r w:rsidR="0015714D">
              <w:t>,</w:t>
            </w:r>
            <w:r w:rsidR="0015714D" w:rsidRPr="0015714D">
              <w:t>175</w:t>
            </w:r>
          </w:p>
          <w:p w14:paraId="0A3EDFCA" w14:textId="77777777" w:rsidR="00CF446D" w:rsidRDefault="00CF446D" w:rsidP="002138A4">
            <w:pPr>
              <w:pStyle w:val="bullet"/>
            </w:pPr>
            <w:r>
              <w:t xml:space="preserve">Pelvic girdle pain: </w:t>
            </w:r>
            <w:r w:rsidR="0015714D">
              <w:t xml:space="preserve">RR </w:t>
            </w:r>
            <w:r w:rsidR="0015714D" w:rsidRPr="0015714D">
              <w:t xml:space="preserve">0.99, </w:t>
            </w:r>
            <w:r w:rsidR="0015714D">
              <w:t>95%</w:t>
            </w:r>
            <w:r w:rsidR="0015714D" w:rsidRPr="0015714D">
              <w:t>CI 0.81</w:t>
            </w:r>
            <w:r w:rsidR="0015714D">
              <w:t xml:space="preserve"> to </w:t>
            </w:r>
            <w:r w:rsidR="0015714D" w:rsidRPr="0015714D">
              <w:t>1.21</w:t>
            </w:r>
            <w:r w:rsidR="0015714D">
              <w:t>; 4 studies, n=</w:t>
            </w:r>
            <w:r>
              <w:t>565</w:t>
            </w:r>
          </w:p>
          <w:p w14:paraId="6BA515ED" w14:textId="77777777" w:rsidR="00CF446D" w:rsidRDefault="00CF446D" w:rsidP="002138A4">
            <w:pPr>
              <w:pStyle w:val="bullet"/>
            </w:pPr>
            <w:r>
              <w:t xml:space="preserve">Lumbopelvic pain: </w:t>
            </w:r>
            <w:r w:rsidR="0015714D">
              <w:t xml:space="preserve">RR </w:t>
            </w:r>
            <w:r w:rsidR="0015714D" w:rsidRPr="0015714D">
              <w:t xml:space="preserve">0.96, </w:t>
            </w:r>
            <w:r w:rsidR="0015714D">
              <w:t>95%</w:t>
            </w:r>
            <w:r w:rsidR="0015714D" w:rsidRPr="0015714D">
              <w:t>CI 0.90</w:t>
            </w:r>
            <w:r w:rsidR="0015714D">
              <w:t xml:space="preserve"> to </w:t>
            </w:r>
            <w:r w:rsidR="0015714D" w:rsidRPr="0015714D">
              <w:t>1.02</w:t>
            </w:r>
            <w:r w:rsidR="0015714D">
              <w:t>; 8 studies; n=</w:t>
            </w:r>
            <w:r w:rsidR="0015714D" w:rsidRPr="0015714D">
              <w:t>1</w:t>
            </w:r>
            <w:r w:rsidR="0015714D">
              <w:t>,</w:t>
            </w:r>
            <w:r w:rsidR="0015714D" w:rsidRPr="0015714D">
              <w:t>737</w:t>
            </w:r>
          </w:p>
          <w:p w14:paraId="2E2C2DBE" w14:textId="61A355B5" w:rsidR="0015714D" w:rsidRPr="0015714D" w:rsidRDefault="00CF446D" w:rsidP="002138A4">
            <w:pPr>
              <w:pStyle w:val="bullet"/>
            </w:pPr>
            <w:r>
              <w:t>N</w:t>
            </w:r>
            <w:r w:rsidR="0015714D" w:rsidRPr="0015714D">
              <w:t>ew episodes of sick leav</w:t>
            </w:r>
            <w:r w:rsidR="0015714D">
              <w:t>e due to lumbopelvic pain</w:t>
            </w:r>
            <w:r>
              <w:t xml:space="preserve">: </w:t>
            </w:r>
            <w:r w:rsidR="0015714D">
              <w:t xml:space="preserve">RR </w:t>
            </w:r>
            <w:r w:rsidR="0015714D" w:rsidRPr="0015714D">
              <w:t xml:space="preserve">0.79, </w:t>
            </w:r>
            <w:r w:rsidR="0015714D">
              <w:t>95%</w:t>
            </w:r>
            <w:r w:rsidR="0015714D" w:rsidRPr="0015714D">
              <w:t>CI 0.64</w:t>
            </w:r>
            <w:r w:rsidR="0015714D">
              <w:t xml:space="preserve"> to </w:t>
            </w:r>
            <w:r w:rsidR="0015714D" w:rsidRPr="0015714D">
              <w:t>0.99</w:t>
            </w:r>
            <w:r w:rsidR="0015714D">
              <w:t>; 3 studies; n=</w:t>
            </w:r>
            <w:r w:rsidR="0015714D" w:rsidRPr="0015714D">
              <w:t>1</w:t>
            </w:r>
            <w:r w:rsidR="0015714D">
              <w:t>,</w:t>
            </w:r>
            <w:r>
              <w:t>168</w:t>
            </w:r>
          </w:p>
        </w:tc>
        <w:tc>
          <w:tcPr>
            <w:tcW w:w="1843" w:type="dxa"/>
          </w:tcPr>
          <w:p w14:paraId="6FE3ADBC" w14:textId="77777777" w:rsidR="0015714D" w:rsidRPr="00921608" w:rsidRDefault="0015714D" w:rsidP="00D86DBF"/>
        </w:tc>
      </w:tr>
    </w:tbl>
    <w:p w14:paraId="45A95785" w14:textId="6E5AD212" w:rsidR="00816978" w:rsidRPr="00DC4A73" w:rsidRDefault="009C163D" w:rsidP="00932C6D">
      <w:pPr>
        <w:pStyle w:val="TableName"/>
      </w:pPr>
      <w:bookmarkStart w:id="129" w:name="_Toc40956647"/>
      <w:r>
        <w:t xml:space="preserve">Q5 </w:t>
      </w:r>
      <w:r w:rsidR="00816978">
        <w:t>Physical activity in pregnancy and pelvic girdle/low back pain — RCT</w:t>
      </w:r>
      <w:bookmarkEnd w:id="12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69: Q5 Physical activity in pregnancy and pelvic girdle/low back pain — RCT"/>
      </w:tblPr>
      <w:tblGrid>
        <w:gridCol w:w="1305"/>
        <w:gridCol w:w="1388"/>
        <w:gridCol w:w="4820"/>
        <w:gridCol w:w="4536"/>
        <w:gridCol w:w="1843"/>
      </w:tblGrid>
      <w:tr w:rsidR="00816978" w:rsidRPr="00F350A6" w14:paraId="6154757F" w14:textId="77777777" w:rsidTr="002D0E62">
        <w:trPr>
          <w:cantSplit/>
          <w:tblHeader/>
        </w:trPr>
        <w:tc>
          <w:tcPr>
            <w:tcW w:w="1305" w:type="dxa"/>
          </w:tcPr>
          <w:p w14:paraId="0C8F6063" w14:textId="77777777" w:rsidR="00816978" w:rsidRPr="00F350A6" w:rsidRDefault="00816978" w:rsidP="002D0E62">
            <w:pPr>
              <w:keepNext/>
              <w:rPr>
                <w:b/>
              </w:rPr>
            </w:pPr>
            <w:r>
              <w:rPr>
                <w:b/>
              </w:rPr>
              <w:t>Study ref</w:t>
            </w:r>
          </w:p>
        </w:tc>
        <w:tc>
          <w:tcPr>
            <w:tcW w:w="1388" w:type="dxa"/>
          </w:tcPr>
          <w:p w14:paraId="73716BFC" w14:textId="77777777" w:rsidR="00816978" w:rsidRPr="00F350A6" w:rsidRDefault="00816978" w:rsidP="002D0E62">
            <w:pPr>
              <w:keepNext/>
              <w:rPr>
                <w:b/>
              </w:rPr>
            </w:pPr>
            <w:r>
              <w:rPr>
                <w:b/>
              </w:rPr>
              <w:t>N</w:t>
            </w:r>
          </w:p>
        </w:tc>
        <w:tc>
          <w:tcPr>
            <w:tcW w:w="4820" w:type="dxa"/>
          </w:tcPr>
          <w:p w14:paraId="6148A153" w14:textId="127F8D1C" w:rsidR="00816978" w:rsidRPr="00F350A6" w:rsidRDefault="00816978" w:rsidP="002D0E62">
            <w:pPr>
              <w:keepNext/>
              <w:rPr>
                <w:b/>
              </w:rPr>
            </w:pPr>
            <w:r>
              <w:rPr>
                <w:b/>
              </w:rPr>
              <w:t>Aim/methods</w:t>
            </w:r>
            <w:r w:rsidR="00E86233">
              <w:rPr>
                <w:b/>
              </w:rPr>
              <w:t>/intervention</w:t>
            </w:r>
          </w:p>
        </w:tc>
        <w:tc>
          <w:tcPr>
            <w:tcW w:w="4536" w:type="dxa"/>
          </w:tcPr>
          <w:p w14:paraId="3A61D3E1" w14:textId="77777777" w:rsidR="00816978" w:rsidRPr="00F350A6" w:rsidRDefault="00816978" w:rsidP="002D0E62">
            <w:pPr>
              <w:keepNext/>
              <w:rPr>
                <w:b/>
              </w:rPr>
            </w:pPr>
            <w:r>
              <w:rPr>
                <w:b/>
              </w:rPr>
              <w:t>Results</w:t>
            </w:r>
          </w:p>
        </w:tc>
        <w:tc>
          <w:tcPr>
            <w:tcW w:w="1843" w:type="dxa"/>
          </w:tcPr>
          <w:p w14:paraId="560A39B3" w14:textId="77777777" w:rsidR="00816978" w:rsidRPr="00F350A6" w:rsidRDefault="00816978" w:rsidP="002D0E62">
            <w:pPr>
              <w:keepNext/>
              <w:rPr>
                <w:b/>
              </w:rPr>
            </w:pPr>
            <w:r>
              <w:rPr>
                <w:b/>
              </w:rPr>
              <w:t>Comments</w:t>
            </w:r>
          </w:p>
        </w:tc>
      </w:tr>
      <w:tr w:rsidR="00816978" w:rsidRPr="00921608" w14:paraId="0D4E9FE5" w14:textId="77777777" w:rsidTr="002D0E62">
        <w:trPr>
          <w:cantSplit/>
        </w:trPr>
        <w:tc>
          <w:tcPr>
            <w:tcW w:w="1305" w:type="dxa"/>
          </w:tcPr>
          <w:p w14:paraId="28CD4E5F" w14:textId="5E1AFA1B" w:rsidR="00816978" w:rsidRDefault="00AC787C" w:rsidP="002D0E62">
            <w:r>
              <w:t xml:space="preserve">Sklempe </w:t>
            </w:r>
            <w:r w:rsidR="00001993">
              <w:t xml:space="preserve">Kokic </w:t>
            </w:r>
            <w:r>
              <w:t>et al 2017</w:t>
            </w:r>
            <w:r w:rsidR="00283324">
              <w:fldChar w:fldCharType="begin">
                <w:fldData xml:space="preserve">PEVuZE5vdGU+PENpdGU+PEF1dGhvcj5Ta2xlbXBlIEtva2ljPC9BdXRob3I+PFllYXI+MjAxNzwv
WWVhcj48UmVjTnVtPjEyNjY8L1JlY051bT48RGlzcGxheVRleHQ+PHN0eWxlIGZhY2U9InN1cGVy
c2NyaXB0IiBmb250PSJUcmVidWNoZXQgTVMiIHNpemU9IjkiPjI4NDwvc3R5bGU+PC9EaXNwbGF5
VGV4dD48cmVjb3JkPjxyZWMtbnVtYmVyPjEyNjY8L3JlYy1udW1iZXI+PGZvcmVpZ24ta2V5cz48
a2V5IGFwcD0iRU4iIGRiLWlkPSJleHZhc3JmeDJkdHJhb2VzYXN4cDJzenN4YTJkZjUwMjU5Mngi
IHRpbWVzdGFtcD0iMTU2Mjg5MTM3NiI+MTI2Njwva2V5PjxrZXkgYXBwPSJFTldlYiIgZGItaWQ9
IiI+MDwva2V5PjwvZm9yZWlnbi1rZXlzPjxyZWYtdHlwZSBuYW1lPSJKb3VybmFsIEFydGljbGUi
PjE3PC9yZWYtdHlwZT48Y29udHJpYnV0b3JzPjxhdXRob3JzPjxhdXRob3I+U2tsZW1wZSBLb2tp
YywgSS48L2F1dGhvcj48YXV0aG9yPkl2YW5pc2V2aWMsIE0uPC9hdXRob3I+PGF1dGhvcj5VcmVt
b3ZpYywgTS48L2F1dGhvcj48YXV0aG9yPktva2ljLCBULjwvYXV0aG9yPjxhdXRob3I+UGlzb3Qs
IFIuPC9hdXRob3I+PGF1dGhvcj5TaW11bmljLCBCLjwvYXV0aG9yPjwvYXV0aG9ycz48L2NvbnRy
aWJ1dG9ycz48YXV0aC1hZGRyZXNzPkRlcGFydG1lbnQgb2YgSGVhbHRoIFN0dWRpZXMsIENvbGxl
Z2Ugb2YgQXBwbGllZCBTY2llbmNlcy48L2F1dGgtYWRkcmVzcz48dGl0bGVzPjx0aXRsZT5FZmZl
Y3Qgb2YgdGhlcmFwZXV0aWMgZXhlcmNpc2VzIG9uIHByZWduYW5jeS1yZWxhdGVkIGxvdyBiYWNr
IHBhaW4gYW5kIHBlbHZpYyBnaXJkbGUgcGFpbjogU2Vjb25kYXJ5IGFuYWx5c2lzIG9mIGEgcmFu
ZG9taXplZCBjb250cm9sbGVkIHRyaWFsPC90aXRsZT48c2Vjb25kYXJ5LXRpdGxlPkogUmVoYWJp
bCBNZWQ8L3NlY29uZGFyeS10aXRsZT48L3RpdGxlcz48cGVyaW9kaWNhbD48ZnVsbC10aXRsZT5K
IFJlaGFiaWwgTWVkPC9mdWxsLXRpdGxlPjwvcGVyaW9kaWNhbD48cGFnZXM+MjUxLTI1NzwvcGFn
ZXM+PHZvbHVtZT40OTwvdm9sdW1lPjxudW1iZXI+MzwvbnVtYmVyPjxlZGl0aW9uPjIwMTcvMDIv
MjU8L2VkaXRpb24+PGtleXdvcmRzPjxrZXl3b3JkPkFkdWx0PC9rZXl3b3JkPjxrZXl3b3JkPkV4
ZXJjaXNlIFRoZXJhcHkvKm1ldGhvZHM8L2tleXdvcmQ+PGtleXdvcmQ+RmVtYWxlPC9rZXl3b3Jk
PjxrZXl3b3JkPkh1bWFuczwva2V5d29yZD48a2V5d29yZD5Mb3cgQmFjayBQYWluL3BoeXNpb3Bh
dGhvbG9neS8qdGhlcmFweTwva2V5d29yZD48a2V5d29yZD5Mb3dlciBFeHRyZW1pdHkvcGh5c2lv
cGF0aG9sb2d5PC9rZXl3b3JkPjxrZXl3b3JkPlBhaW4gTWVhc3VyZW1lbnQ8L2tleXdvcmQ+PGtl
eXdvcmQ+UGVsdmljIEdpcmRsZSBQYWluL3BoeXNpb3BhdGhvbG9neS8qdGhlcmFweTwva2V5d29y
ZD48a2V5d29yZD5QZWx2aXMvcGh5c2lvcGF0aG9sb2d5PC9rZXl3b3JkPjxrZXl3b3JkPlByZWdu
YW5jeTwva2V5d29yZD48a2V5d29yZD5QcmVnbmFuY3kgQ29tcGxpY2F0aW9ucy9waHlzaW9wYXRo
b2xvZ3kvKnRoZXJhcHk8L2tleXdvcmQ+PGtleXdvcmQ+U2V2ZXJpdHkgb2YgSWxsbmVzcyBJbmRl
eDwva2V5d29yZD48a2V5d29yZD5TdXJ2ZXlzIGFuZCBRdWVzdGlvbm5haXJlczwva2V5d29yZD48
a2V5d29yZD5UcmVhdG1lbnQgT3V0Y29tZTwva2V5d29yZD48L2tleXdvcmRzPjxkYXRlcz48eWVh
cj4yMDE3PC95ZWFyPjxwdWItZGF0ZXM+PGRhdGU+TWFyIDY8L2RhdGU+PC9wdWItZGF0ZXM+PC9k
YXRlcz48aXNibj4xNjUxLTIwODEgKEVsZWN0cm9uaWMpJiN4RDsxNjUwLTE5NzcgKExpbmtpbmcp
PC9pc2JuPjxhY2Nlc3Npb24tbnVtPjI4MjMzMDEyPC9hY2Nlc3Npb24tbnVtPjx1cmxzPjxyZWxh
dGVkLXVybHM+PHVybD5odHRwczovL3d3dy5uY2JpLm5sbS5uaWguZ292L3B1Ym1lZC8yODIzMzAx
MjwvdXJsPjwvcmVsYXRlZC11cmxzPjwvdXJscz48ZWxlY3Ryb25pYy1yZXNvdXJjZS1udW0+MTAu
MjM0MC8xNjUwMTk3Ny0yMTk2PC9lbGVjdHJvbmljLXJlc291cmNlLW51bT48L3JlY29yZD48L0Np
dGU+PC9FbmROb3RlPgB=
</w:fldData>
              </w:fldChar>
            </w:r>
            <w:r w:rsidR="002747EA">
              <w:instrText xml:space="preserve"> ADDIN EN.CITE </w:instrText>
            </w:r>
            <w:r w:rsidR="002747EA">
              <w:fldChar w:fldCharType="begin">
                <w:fldData xml:space="preserve">PEVuZE5vdGU+PENpdGU+PEF1dGhvcj5Ta2xlbXBlIEtva2ljPC9BdXRob3I+PFllYXI+MjAxNzwv
WWVhcj48UmVjTnVtPjEyNjY8L1JlY051bT48RGlzcGxheVRleHQ+PHN0eWxlIGZhY2U9InN1cGVy
c2NyaXB0IiBmb250PSJUcmVidWNoZXQgTVMiIHNpemU9IjkiPjI4NDwvc3R5bGU+PC9EaXNwbGF5
VGV4dD48cmVjb3JkPjxyZWMtbnVtYmVyPjEyNjY8L3JlYy1udW1iZXI+PGZvcmVpZ24ta2V5cz48
a2V5IGFwcD0iRU4iIGRiLWlkPSJleHZhc3JmeDJkdHJhb2VzYXN4cDJzenN4YTJkZjUwMjU5Mngi
IHRpbWVzdGFtcD0iMTU2Mjg5MTM3NiI+MTI2Njwva2V5PjxrZXkgYXBwPSJFTldlYiIgZGItaWQ9
IiI+MDwva2V5PjwvZm9yZWlnbi1rZXlzPjxyZWYtdHlwZSBuYW1lPSJKb3VybmFsIEFydGljbGUi
PjE3PC9yZWYtdHlwZT48Y29udHJpYnV0b3JzPjxhdXRob3JzPjxhdXRob3I+U2tsZW1wZSBLb2tp
YywgSS48L2F1dGhvcj48YXV0aG9yPkl2YW5pc2V2aWMsIE0uPC9hdXRob3I+PGF1dGhvcj5VcmVt
b3ZpYywgTS48L2F1dGhvcj48YXV0aG9yPktva2ljLCBULjwvYXV0aG9yPjxhdXRob3I+UGlzb3Qs
IFIuPC9hdXRob3I+PGF1dGhvcj5TaW11bmljLCBCLjwvYXV0aG9yPjwvYXV0aG9ycz48L2NvbnRy
aWJ1dG9ycz48YXV0aC1hZGRyZXNzPkRlcGFydG1lbnQgb2YgSGVhbHRoIFN0dWRpZXMsIENvbGxl
Z2Ugb2YgQXBwbGllZCBTY2llbmNlcy48L2F1dGgtYWRkcmVzcz48dGl0bGVzPjx0aXRsZT5FZmZl
Y3Qgb2YgdGhlcmFwZXV0aWMgZXhlcmNpc2VzIG9uIHByZWduYW5jeS1yZWxhdGVkIGxvdyBiYWNr
IHBhaW4gYW5kIHBlbHZpYyBnaXJkbGUgcGFpbjogU2Vjb25kYXJ5IGFuYWx5c2lzIG9mIGEgcmFu
ZG9taXplZCBjb250cm9sbGVkIHRyaWFsPC90aXRsZT48c2Vjb25kYXJ5LXRpdGxlPkogUmVoYWJp
bCBNZWQ8L3NlY29uZGFyeS10aXRsZT48L3RpdGxlcz48cGVyaW9kaWNhbD48ZnVsbC10aXRsZT5K
IFJlaGFiaWwgTWVkPC9mdWxsLXRpdGxlPjwvcGVyaW9kaWNhbD48cGFnZXM+MjUxLTI1NzwvcGFn
ZXM+PHZvbHVtZT40OTwvdm9sdW1lPjxudW1iZXI+MzwvbnVtYmVyPjxlZGl0aW9uPjIwMTcvMDIv
MjU8L2VkaXRpb24+PGtleXdvcmRzPjxrZXl3b3JkPkFkdWx0PC9rZXl3b3JkPjxrZXl3b3JkPkV4
ZXJjaXNlIFRoZXJhcHkvKm1ldGhvZHM8L2tleXdvcmQ+PGtleXdvcmQ+RmVtYWxlPC9rZXl3b3Jk
PjxrZXl3b3JkPkh1bWFuczwva2V5d29yZD48a2V5d29yZD5Mb3cgQmFjayBQYWluL3BoeXNpb3Bh
dGhvbG9neS8qdGhlcmFweTwva2V5d29yZD48a2V5d29yZD5Mb3dlciBFeHRyZW1pdHkvcGh5c2lv
cGF0aG9sb2d5PC9rZXl3b3JkPjxrZXl3b3JkPlBhaW4gTWVhc3VyZW1lbnQ8L2tleXdvcmQ+PGtl
eXdvcmQ+UGVsdmljIEdpcmRsZSBQYWluL3BoeXNpb3BhdGhvbG9neS8qdGhlcmFweTwva2V5d29y
ZD48a2V5d29yZD5QZWx2aXMvcGh5c2lvcGF0aG9sb2d5PC9rZXl3b3JkPjxrZXl3b3JkPlByZWdu
YW5jeTwva2V5d29yZD48a2V5d29yZD5QcmVnbmFuY3kgQ29tcGxpY2F0aW9ucy9waHlzaW9wYXRo
b2xvZ3kvKnRoZXJhcHk8L2tleXdvcmQ+PGtleXdvcmQ+U2V2ZXJpdHkgb2YgSWxsbmVzcyBJbmRl
eDwva2V5d29yZD48a2V5d29yZD5TdXJ2ZXlzIGFuZCBRdWVzdGlvbm5haXJlczwva2V5d29yZD48
a2V5d29yZD5UcmVhdG1lbnQgT3V0Y29tZTwva2V5d29yZD48L2tleXdvcmRzPjxkYXRlcz48eWVh
cj4yMDE3PC95ZWFyPjxwdWItZGF0ZXM+PGRhdGU+TWFyIDY8L2RhdGU+PC9wdWItZGF0ZXM+PC9k
YXRlcz48aXNibj4xNjUxLTIwODEgKEVsZWN0cm9uaWMpJiN4RDsxNjUwLTE5NzcgKExpbmtpbmcp
PC9pc2JuPjxhY2Nlc3Npb24tbnVtPjI4MjMzMDEyPC9hY2Nlc3Npb24tbnVtPjx1cmxzPjxyZWxh
dGVkLXVybHM+PHVybD5odHRwczovL3d3dy5uY2JpLm5sbS5uaWguZ292L3B1Ym1lZC8yODIzMzAx
MjwvdXJsPjwvcmVsYXRlZC11cmxzPjwvdXJscz48ZWxlY3Ryb25pYy1yZXNvdXJjZS1udW0+MTAu
MjM0MC8xNjUwMTk3Ny0yMTk2PC9lbGVjdHJvbmljLXJlc291cmNlLW51bT48L3JlY29yZD48L0Np
dGU+PC9FbmROb3RlPgB=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284</w:t>
            </w:r>
            <w:r w:rsidR="00283324">
              <w:fldChar w:fldCharType="end"/>
            </w:r>
          </w:p>
          <w:p w14:paraId="21ED3BE9" w14:textId="4D2312D2" w:rsidR="00AC787C" w:rsidRDefault="00001993" w:rsidP="002D0E62">
            <w:r>
              <w:t>Croatia</w:t>
            </w:r>
          </w:p>
        </w:tc>
        <w:tc>
          <w:tcPr>
            <w:tcW w:w="1388" w:type="dxa"/>
          </w:tcPr>
          <w:p w14:paraId="46BB6759" w14:textId="77777777" w:rsidR="00816978" w:rsidRDefault="00001993" w:rsidP="002D0E62">
            <w:r>
              <w:t>Intervention 20</w:t>
            </w:r>
          </w:p>
          <w:p w14:paraId="2520277F" w14:textId="126489FD" w:rsidR="00001993" w:rsidRDefault="00001993" w:rsidP="002D0E62">
            <w:r>
              <w:t>Control 22</w:t>
            </w:r>
          </w:p>
        </w:tc>
        <w:tc>
          <w:tcPr>
            <w:tcW w:w="4820" w:type="dxa"/>
          </w:tcPr>
          <w:p w14:paraId="2A88F62D" w14:textId="77777777" w:rsidR="00001993" w:rsidRDefault="00001993" w:rsidP="00001993">
            <w:r w:rsidRPr="00001993">
              <w:rPr>
                <w:b/>
              </w:rPr>
              <w:t>Aim</w:t>
            </w:r>
            <w:r>
              <w:t xml:space="preserve">: </w:t>
            </w:r>
            <w:r w:rsidR="00AC787C" w:rsidRPr="00AC787C">
              <w:t xml:space="preserve">To investigate the effect of a supervised, structured exercise programme on the occurrence and severity of pregnancy-related lumbopelvic pain. </w:t>
            </w:r>
          </w:p>
          <w:p w14:paraId="2158B433" w14:textId="56CCA603" w:rsidR="00001993" w:rsidRDefault="00001993" w:rsidP="00001993">
            <w:r w:rsidRPr="00001993">
              <w:rPr>
                <w:b/>
              </w:rPr>
              <w:t>Population</w:t>
            </w:r>
            <w:r>
              <w:t>: Healthy p</w:t>
            </w:r>
            <w:r w:rsidR="00AC787C" w:rsidRPr="00AC787C">
              <w:t>regnant women</w:t>
            </w:r>
            <w:r>
              <w:t xml:space="preserve"> and women with mild gestational diabetes controlled by lifestyle measures.</w:t>
            </w:r>
          </w:p>
          <w:p w14:paraId="5D980269" w14:textId="0BE6E01D" w:rsidR="00816978" w:rsidRPr="00034D06" w:rsidRDefault="00001993" w:rsidP="00001993">
            <w:pPr>
              <w:rPr>
                <w:b/>
              </w:rPr>
            </w:pPr>
            <w:r w:rsidRPr="00001993">
              <w:rPr>
                <w:b/>
              </w:rPr>
              <w:t>Intervention</w:t>
            </w:r>
            <w:r w:rsidR="00AC787C" w:rsidRPr="00AC787C">
              <w:t xml:space="preserve">: </w:t>
            </w:r>
            <w:r>
              <w:t>A</w:t>
            </w:r>
            <w:r w:rsidR="00AC787C" w:rsidRPr="00AC787C">
              <w:t>erobic and resistance exercises performed bi-weekly from the date of inclusion into the study until the end of pregnancy, together with at least 30 min of brisk daily walks.</w:t>
            </w:r>
          </w:p>
        </w:tc>
        <w:tc>
          <w:tcPr>
            <w:tcW w:w="4536" w:type="dxa"/>
          </w:tcPr>
          <w:p w14:paraId="2BA156BB" w14:textId="0AA0DE27" w:rsidR="00816978" w:rsidRPr="00AC787C" w:rsidRDefault="00AC787C" w:rsidP="00C424DE">
            <w:r w:rsidRPr="00AC787C">
              <w:t xml:space="preserve">There were significant differences between the 2 groups on the numeric rating scale, PGQ and RMDQ scores in the 36th week of pregnancy (p = 0.017; p = 0.005; p &lt; 0.001, respectively) in favour of the </w:t>
            </w:r>
            <w:r w:rsidR="00C424DE">
              <w:t>intervention</w:t>
            </w:r>
            <w:r w:rsidRPr="00AC787C">
              <w:t xml:space="preserve"> group.</w:t>
            </w:r>
          </w:p>
        </w:tc>
        <w:tc>
          <w:tcPr>
            <w:tcW w:w="1843" w:type="dxa"/>
          </w:tcPr>
          <w:p w14:paraId="6788FC94" w14:textId="77777777" w:rsidR="00816978" w:rsidRPr="00921608" w:rsidRDefault="00816978" w:rsidP="002D0E62"/>
        </w:tc>
      </w:tr>
    </w:tbl>
    <w:p w14:paraId="1DF8F23C" w14:textId="2D39DD7F" w:rsidR="00E86233" w:rsidRPr="00DC4A73" w:rsidRDefault="009C163D" w:rsidP="00932C6D">
      <w:pPr>
        <w:pStyle w:val="TableName"/>
      </w:pPr>
      <w:bookmarkStart w:id="130" w:name="_Toc40956648"/>
      <w:r>
        <w:t xml:space="preserve">Q5 </w:t>
      </w:r>
      <w:r w:rsidR="00E86233">
        <w:t>Physical activity in pregnancy and pelvic girdle/low back pain — observational studies</w:t>
      </w:r>
      <w:bookmarkEnd w:id="13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0: Q5 Physical activity in pregnancy and pelvic girdle/low back pain — observational studies"/>
      </w:tblPr>
      <w:tblGrid>
        <w:gridCol w:w="1305"/>
        <w:gridCol w:w="1388"/>
        <w:gridCol w:w="4820"/>
        <w:gridCol w:w="4536"/>
        <w:gridCol w:w="1843"/>
      </w:tblGrid>
      <w:tr w:rsidR="00E86233" w:rsidRPr="00F350A6" w14:paraId="0E2C30C7" w14:textId="77777777" w:rsidTr="002D0E62">
        <w:trPr>
          <w:cantSplit/>
          <w:tblHeader/>
        </w:trPr>
        <w:tc>
          <w:tcPr>
            <w:tcW w:w="1305" w:type="dxa"/>
          </w:tcPr>
          <w:p w14:paraId="7271B20C" w14:textId="77777777" w:rsidR="00E86233" w:rsidRPr="00F350A6" w:rsidRDefault="00E86233" w:rsidP="002D0E62">
            <w:pPr>
              <w:keepNext/>
              <w:rPr>
                <w:b/>
              </w:rPr>
            </w:pPr>
            <w:r>
              <w:rPr>
                <w:b/>
              </w:rPr>
              <w:t>Study ref</w:t>
            </w:r>
          </w:p>
        </w:tc>
        <w:tc>
          <w:tcPr>
            <w:tcW w:w="1388" w:type="dxa"/>
          </w:tcPr>
          <w:p w14:paraId="0EC876CA" w14:textId="77777777" w:rsidR="00E86233" w:rsidRPr="00F350A6" w:rsidRDefault="00E86233" w:rsidP="002D0E62">
            <w:pPr>
              <w:keepNext/>
              <w:rPr>
                <w:b/>
              </w:rPr>
            </w:pPr>
            <w:r>
              <w:rPr>
                <w:b/>
              </w:rPr>
              <w:t>N</w:t>
            </w:r>
          </w:p>
        </w:tc>
        <w:tc>
          <w:tcPr>
            <w:tcW w:w="4820" w:type="dxa"/>
          </w:tcPr>
          <w:p w14:paraId="3B81E3BF" w14:textId="77777777" w:rsidR="00E86233" w:rsidRPr="00F350A6" w:rsidRDefault="00E86233" w:rsidP="002D0E62">
            <w:pPr>
              <w:keepNext/>
              <w:rPr>
                <w:b/>
              </w:rPr>
            </w:pPr>
            <w:r>
              <w:rPr>
                <w:b/>
              </w:rPr>
              <w:t>Aim/methods</w:t>
            </w:r>
          </w:p>
        </w:tc>
        <w:tc>
          <w:tcPr>
            <w:tcW w:w="4536" w:type="dxa"/>
          </w:tcPr>
          <w:p w14:paraId="010AF15B" w14:textId="77777777" w:rsidR="00E86233" w:rsidRPr="00F350A6" w:rsidRDefault="00E86233" w:rsidP="002D0E62">
            <w:pPr>
              <w:keepNext/>
              <w:rPr>
                <w:b/>
              </w:rPr>
            </w:pPr>
            <w:r>
              <w:rPr>
                <w:b/>
              </w:rPr>
              <w:t>Results</w:t>
            </w:r>
          </w:p>
        </w:tc>
        <w:tc>
          <w:tcPr>
            <w:tcW w:w="1843" w:type="dxa"/>
          </w:tcPr>
          <w:p w14:paraId="1BD9D0CE" w14:textId="77777777" w:rsidR="00E86233" w:rsidRPr="00F350A6" w:rsidRDefault="00E86233" w:rsidP="002D0E62">
            <w:pPr>
              <w:keepNext/>
              <w:rPr>
                <w:b/>
              </w:rPr>
            </w:pPr>
            <w:r>
              <w:rPr>
                <w:b/>
              </w:rPr>
              <w:t>Comments</w:t>
            </w:r>
          </w:p>
        </w:tc>
      </w:tr>
      <w:tr w:rsidR="00E86233" w:rsidRPr="00921608" w14:paraId="3DE2054B" w14:textId="77777777" w:rsidTr="002D0E62">
        <w:trPr>
          <w:cantSplit/>
        </w:trPr>
        <w:tc>
          <w:tcPr>
            <w:tcW w:w="1305" w:type="dxa"/>
          </w:tcPr>
          <w:p w14:paraId="5519635F" w14:textId="150D5EA5" w:rsidR="00E86233" w:rsidRDefault="00E86233" w:rsidP="002D0E62">
            <w:r>
              <w:t xml:space="preserve">Gjestland et al </w:t>
            </w:r>
            <w:r w:rsidR="005A48FD">
              <w:t>2013</w:t>
            </w:r>
            <w:r w:rsidR="00283324">
              <w:fldChar w:fldCharType="begin">
                <w:fldData xml:space="preserve">PEVuZE5vdGU+PENpdGU+PEF1dGhvcj5HamVzdGxhbmQ8L0F1dGhvcj48WWVhcj4yMDEzPC9ZZWFy
PjxSZWNOdW0+MTI1NDwvUmVjTnVtPjxEaXNwbGF5VGV4dD48c3R5bGUgZmFjZT0ic3VwZXJzY3Jp
cHQiIGZvbnQ9IlRyZWJ1Y2hldCBNUyIgc2l6ZT0iOSI+Mjg1PC9zdHlsZT48L0Rpc3BsYXlUZXh0
PjxyZWNvcmQ+PHJlYy1udW1iZXI+MTI1NDwvcmVjLW51bWJlcj48Zm9yZWlnbi1rZXlzPjxrZXkg
YXBwPSJFTiIgZGItaWQ9ImV4dmFzcmZ4MmR0cmFvZXNhc3hwMnN6c3hhMmRmNTAyNTkyeCIgdGlt
ZXN0YW1wPSIxNTYyODkxMjk4Ij4xMjU0PC9rZXk+PGtleSBhcHA9IkVOV2ViIiBkYi1pZD0iIj4w
PC9rZXk+PC9mb3JlaWduLWtleXM+PHJlZi10eXBlIG5hbWU9IkpvdXJuYWwgQXJ0aWNsZSI+MTc8
L3JlZi10eXBlPjxjb250cmlidXRvcnM+PGF1dGhvcnM+PGF1dGhvcj5HamVzdGxhbmQsIEsuPC9h
dXRob3I+PGF1dGhvcj5CbywgSy48L2F1dGhvcj48YXV0aG9yPk93ZSwgSy4gTS48L2F1dGhvcj48
YXV0aG9yPkViZXJoYXJkLUdyYW4sIE0uPC9hdXRob3I+PC9hdXRob3JzPjwvY29udHJpYnV0b3Jz
PjxhdXRoLWFkZHJlc3M+RGVwYXJ0bWVudCBvZiBPYnN0ZXRyaWNzIGFuZCBHeW5hZWNvbG9neSwg
QWtlcnNodXMgVW5pdmVyc2l0eSBIb3NwaXRhbCwgTG9yZW5za29nLCBOb3J3YXkuIGtyaXN0aW5w
cmVzdGhvbGR0QGhvdG1haWwubm88L2F1dGgtYWRkcmVzcz48dGl0bGVzPjx0aXRsZT5EbyBwcmVn
bmFudCB3b21lbiBmb2xsb3cgZXhlcmNpc2UgZ3VpZGVsaW5lcz8gUHJldmFsZW5jZSBkYXRhIGFt
b25nIDM0ODIgd29tZW4sIGFuZCBwcmVkaWN0aW9uIG9mIGxvdy1iYWNrIHBhaW4sIHBlbHZpYyBn
aXJkbGUgcGFpbiBhbmQgZGVwcmVzc2lvbjwvdGl0bGU+PHNlY29uZGFyeS10aXRsZT5CciBKIFNw
b3J0cyBNZWQ8L3NlY29uZGFyeS10aXRsZT48L3RpdGxlcz48cGVyaW9kaWNhbD48ZnVsbC10aXRs
ZT5CciBKIFNwb3J0cyBNZWQ8L2Z1bGwtdGl0bGU+PC9wZXJpb2RpY2FsPjxwYWdlcz41MTUtMjA8
L3BhZ2VzPjx2b2x1bWU+NDc8L3ZvbHVtZT48bnVtYmVyPjg8L251bWJlcj48ZWRpdGlvbj4yMDEy
LzA4LzIxPC9lZGl0aW9uPjxrZXl3b3Jkcz48a2V5d29yZD5BZHVsdDwva2V5d29yZD48a2V5d29y
ZD5Cb2R5IE1hc3MgSW5kZXg8L2tleXdvcmQ+PGtleXdvcmQ+Q29ob3J0IFN0dWRpZXM8L2tleXdv
cmQ+PGtleXdvcmQ+RGVwcmVzc2lvbi8qcHJldmVudGlvbiAmYW1wOyBjb250cm9sPC9rZXl3b3Jk
PjxrZXl3b3JkPkVkdWNhdGlvbmFsIFN0YXR1czwva2V5d29yZD48a2V5d29yZD4qRXhlcmNpc2Ug
VGhlcmFweTwva2V5d29yZD48a2V5d29yZD5GZW1hbGU8L2tleXdvcmQ+PGtleXdvcmQ+SHVtYW5z
PC9rZXl3b3JkPjxrZXl3b3JkPkxvdyBCYWNrIFBhaW4vKnByZXZlbnRpb24gJmFtcDsgY29udHJv
bDwva2V5d29yZD48a2V5d29yZD5QYXJpdHk8L2tleXdvcmQ+PGtleXdvcmQ+UGF0aWVudCBDb21w
bGlhbmNlPC9rZXl3b3JkPjxrZXl3b3JkPlBlbHZpYyBHaXJkbGUgUGFpbi8qcHJldmVudGlvbiAm
YW1wOyBjb250cm9sPC9rZXl3b3JkPjxrZXl3b3JkPlByZWduYW5jeTwva2V5d29yZD48a2V5d29y
ZD5QcmVnbmFuY3kgQ29tcGxpY2F0aW9ucy8qcHJldmVudGlvbiAmYW1wOyBjb250cm9sPC9rZXl3
b3JkPjxrZXl3b3JkPlByZWduYW5jeSBUcmltZXN0ZXIsIFNlY29uZDwva2V5d29yZD48L2tleXdv
cmRzPjxkYXRlcz48eWVhcj4yMDEzPC95ZWFyPjxwdWItZGF0ZXM+PGRhdGU+TWF5PC9kYXRlPjwv
cHViLWRhdGVzPjwvZGF0ZXM+PGlzYm4+MTQ3My0wNDgwIChFbGVjdHJvbmljKSYjeEQ7MDMwNi0z
Njc0IChMaW5raW5nKTwvaXNibj48YWNjZXNzaW9uLW51bT4yMjkwNDI5NTwvYWNjZXNzaW9uLW51
bT48dXJscz48cmVsYXRlZC11cmxzPjx1cmw+aHR0cHM6Ly93d3cubmNiaS5ubG0ubmloLmdvdi9w
dWJtZWQvMjI5MDQyOTU8L3VybD48L3JlbGF0ZWQtdXJscz48L3VybHM+PGVsZWN0cm9uaWMtcmVz
b3VyY2UtbnVtPjEwLjExMzYvYmpzcG9ydHMtMjAxMi0wOTEzNDQ8L2VsZWN0cm9uaWMtcmVzb3Vy
Y2UtbnVtPjwvcmVjb3JkPjwvQ2l0ZT48L0VuZE5vdGU+AG==
</w:fldData>
              </w:fldChar>
            </w:r>
            <w:r w:rsidR="002747EA">
              <w:instrText xml:space="preserve"> ADDIN EN.CITE </w:instrText>
            </w:r>
            <w:r w:rsidR="002747EA">
              <w:fldChar w:fldCharType="begin">
                <w:fldData xml:space="preserve">PEVuZE5vdGU+PENpdGU+PEF1dGhvcj5HamVzdGxhbmQ8L0F1dGhvcj48WWVhcj4yMDEzPC9ZZWFy
PjxSZWNOdW0+MTI1NDwvUmVjTnVtPjxEaXNwbGF5VGV4dD48c3R5bGUgZmFjZT0ic3VwZXJzY3Jp
cHQiIGZvbnQ9IlRyZWJ1Y2hldCBNUyIgc2l6ZT0iOSI+Mjg1PC9zdHlsZT48L0Rpc3BsYXlUZXh0
PjxyZWNvcmQ+PHJlYy1udW1iZXI+MTI1NDwvcmVjLW51bWJlcj48Zm9yZWlnbi1rZXlzPjxrZXkg
YXBwPSJFTiIgZGItaWQ9ImV4dmFzcmZ4MmR0cmFvZXNhc3hwMnN6c3hhMmRmNTAyNTkyeCIgdGlt
ZXN0YW1wPSIxNTYyODkxMjk4Ij4xMjU0PC9rZXk+PGtleSBhcHA9IkVOV2ViIiBkYi1pZD0iIj4w
PC9rZXk+PC9mb3JlaWduLWtleXM+PHJlZi10eXBlIG5hbWU9IkpvdXJuYWwgQXJ0aWNsZSI+MTc8
L3JlZi10eXBlPjxjb250cmlidXRvcnM+PGF1dGhvcnM+PGF1dGhvcj5HamVzdGxhbmQsIEsuPC9h
dXRob3I+PGF1dGhvcj5CbywgSy48L2F1dGhvcj48YXV0aG9yPk93ZSwgSy4gTS48L2F1dGhvcj48
YXV0aG9yPkViZXJoYXJkLUdyYW4sIE0uPC9hdXRob3I+PC9hdXRob3JzPjwvY29udHJpYnV0b3Jz
PjxhdXRoLWFkZHJlc3M+RGVwYXJ0bWVudCBvZiBPYnN0ZXRyaWNzIGFuZCBHeW5hZWNvbG9neSwg
QWtlcnNodXMgVW5pdmVyc2l0eSBIb3NwaXRhbCwgTG9yZW5za29nLCBOb3J3YXkuIGtyaXN0aW5w
cmVzdGhvbGR0QGhvdG1haWwubm88L2F1dGgtYWRkcmVzcz48dGl0bGVzPjx0aXRsZT5EbyBwcmVn
bmFudCB3b21lbiBmb2xsb3cgZXhlcmNpc2UgZ3VpZGVsaW5lcz8gUHJldmFsZW5jZSBkYXRhIGFt
b25nIDM0ODIgd29tZW4sIGFuZCBwcmVkaWN0aW9uIG9mIGxvdy1iYWNrIHBhaW4sIHBlbHZpYyBn
aXJkbGUgcGFpbiBhbmQgZGVwcmVzc2lvbjwvdGl0bGU+PHNlY29uZGFyeS10aXRsZT5CciBKIFNw
b3J0cyBNZWQ8L3NlY29uZGFyeS10aXRsZT48L3RpdGxlcz48cGVyaW9kaWNhbD48ZnVsbC10aXRs
ZT5CciBKIFNwb3J0cyBNZWQ8L2Z1bGwtdGl0bGU+PC9wZXJpb2RpY2FsPjxwYWdlcz41MTUtMjA8
L3BhZ2VzPjx2b2x1bWU+NDc8L3ZvbHVtZT48bnVtYmVyPjg8L251bWJlcj48ZWRpdGlvbj4yMDEy
LzA4LzIxPC9lZGl0aW9uPjxrZXl3b3Jkcz48a2V5d29yZD5BZHVsdDwva2V5d29yZD48a2V5d29y
ZD5Cb2R5IE1hc3MgSW5kZXg8L2tleXdvcmQ+PGtleXdvcmQ+Q29ob3J0IFN0dWRpZXM8L2tleXdv
cmQ+PGtleXdvcmQ+RGVwcmVzc2lvbi8qcHJldmVudGlvbiAmYW1wOyBjb250cm9sPC9rZXl3b3Jk
PjxrZXl3b3JkPkVkdWNhdGlvbmFsIFN0YXR1czwva2V5d29yZD48a2V5d29yZD4qRXhlcmNpc2Ug
VGhlcmFweTwva2V5d29yZD48a2V5d29yZD5GZW1hbGU8L2tleXdvcmQ+PGtleXdvcmQ+SHVtYW5z
PC9rZXl3b3JkPjxrZXl3b3JkPkxvdyBCYWNrIFBhaW4vKnByZXZlbnRpb24gJmFtcDsgY29udHJv
bDwva2V5d29yZD48a2V5d29yZD5QYXJpdHk8L2tleXdvcmQ+PGtleXdvcmQ+UGF0aWVudCBDb21w
bGlhbmNlPC9rZXl3b3JkPjxrZXl3b3JkPlBlbHZpYyBHaXJkbGUgUGFpbi8qcHJldmVudGlvbiAm
YW1wOyBjb250cm9sPC9rZXl3b3JkPjxrZXl3b3JkPlByZWduYW5jeTwva2V5d29yZD48a2V5d29y
ZD5QcmVnbmFuY3kgQ29tcGxpY2F0aW9ucy8qcHJldmVudGlvbiAmYW1wOyBjb250cm9sPC9rZXl3
b3JkPjxrZXl3b3JkPlByZWduYW5jeSBUcmltZXN0ZXIsIFNlY29uZDwva2V5d29yZD48L2tleXdv
cmRzPjxkYXRlcz48eWVhcj4yMDEzPC95ZWFyPjxwdWItZGF0ZXM+PGRhdGU+TWF5PC9kYXRlPjwv
cHViLWRhdGVzPjwvZGF0ZXM+PGlzYm4+MTQ3My0wNDgwIChFbGVjdHJvbmljKSYjeEQ7MDMwNi0z
Njc0IChMaW5raW5nKTwvaXNibj48YWNjZXNzaW9uLW51bT4yMjkwNDI5NTwvYWNjZXNzaW9uLW51
bT48dXJscz48cmVsYXRlZC11cmxzPjx1cmw+aHR0cHM6Ly93d3cubmNiaS5ubG0ubmloLmdvdi9w
dWJtZWQvMjI5MDQyOTU8L3VybD48L3JlbGF0ZWQtdXJscz48L3VybHM+PGVsZWN0cm9uaWMtcmVz
b3VyY2UtbnVtPjEwLjExMzYvYmpzcG9ydHMtMjAxMi0wOTEzNDQ8L2VsZWN0cm9uaWMtcmVzb3Vy
Y2UtbnVtPjwvcmVjb3JkPjwvQ2l0ZT48L0VuZE5vdGU+AG==
</w:fldData>
              </w:fldChar>
            </w:r>
            <w:r w:rsidR="002747EA">
              <w:instrText xml:space="preserve"> ADDIN EN.CITE.DATA </w:instrText>
            </w:r>
            <w:r w:rsidR="002747EA">
              <w:fldChar w:fldCharType="end"/>
            </w:r>
            <w:r w:rsidR="00283324">
              <w:fldChar w:fldCharType="separate"/>
            </w:r>
            <w:r w:rsidR="002747EA" w:rsidRPr="002747EA">
              <w:rPr>
                <w:noProof/>
                <w:vertAlign w:val="superscript"/>
              </w:rPr>
              <w:t>285</w:t>
            </w:r>
            <w:r w:rsidR="00283324">
              <w:fldChar w:fldCharType="end"/>
            </w:r>
          </w:p>
          <w:p w14:paraId="325E23D1" w14:textId="676E6E04" w:rsidR="00E86233" w:rsidRDefault="00E86233" w:rsidP="002D0E62">
            <w:r>
              <w:t>Norway</w:t>
            </w:r>
          </w:p>
        </w:tc>
        <w:tc>
          <w:tcPr>
            <w:tcW w:w="1388" w:type="dxa"/>
          </w:tcPr>
          <w:p w14:paraId="6090CE84" w14:textId="27C1F4E2" w:rsidR="00E86233" w:rsidRDefault="002F63E7" w:rsidP="002D0E62">
            <w:r>
              <w:t>3,482 women</w:t>
            </w:r>
          </w:p>
        </w:tc>
        <w:tc>
          <w:tcPr>
            <w:tcW w:w="4820" w:type="dxa"/>
          </w:tcPr>
          <w:p w14:paraId="49621F5E" w14:textId="77777777" w:rsidR="005A48FD" w:rsidRDefault="005A48FD" w:rsidP="005A48FD">
            <w:r w:rsidRPr="005A48FD">
              <w:rPr>
                <w:b/>
              </w:rPr>
              <w:t>Aim</w:t>
            </w:r>
            <w:r>
              <w:t xml:space="preserve">: To </w:t>
            </w:r>
            <w:r w:rsidRPr="00E86233">
              <w:t xml:space="preserve">investigate the association between exercise in mid-pregnancy and subsequent low-back pain, pelvic girdle pain and depression at 32 weeks of pregnancy. </w:t>
            </w:r>
          </w:p>
          <w:p w14:paraId="2E4F75D8" w14:textId="56DC4E01" w:rsidR="00E86233" w:rsidRPr="00001993" w:rsidRDefault="005A48FD" w:rsidP="002F63E7">
            <w:pPr>
              <w:rPr>
                <w:b/>
              </w:rPr>
            </w:pPr>
            <w:r w:rsidRPr="005A48FD">
              <w:rPr>
                <w:b/>
              </w:rPr>
              <w:t>Methods</w:t>
            </w:r>
            <w:r w:rsidRPr="00E86233">
              <w:t xml:space="preserve">: The study included pregnant women participating in the Akershus Birth Cohort study (response rate 80.5%). Data were collected by a questionnaire in pregnancy weeks 17-21, pregnancy week 32 and electronic birth journal. The results were analysed by logistic regression and are presented as crude (cOR) and adjusted OR (aOR) with 95% CI. </w:t>
            </w:r>
          </w:p>
        </w:tc>
        <w:tc>
          <w:tcPr>
            <w:tcW w:w="4536" w:type="dxa"/>
          </w:tcPr>
          <w:p w14:paraId="4300F4A8" w14:textId="77777777" w:rsidR="00B105F2" w:rsidRDefault="00E86233" w:rsidP="005A48FD">
            <w:r w:rsidRPr="00E86233">
              <w:t xml:space="preserve">Women who exercised </w:t>
            </w:r>
            <w:r w:rsidR="005A48FD">
              <w:t>≥</w:t>
            </w:r>
            <w:r w:rsidRPr="00E86233">
              <w:t xml:space="preserve">3 times a week </w:t>
            </w:r>
            <w:r w:rsidR="00B105F2">
              <w:t>vs women who exercised &lt;1 time a week:</w:t>
            </w:r>
          </w:p>
          <w:p w14:paraId="1AF5243A" w14:textId="477E0BF2" w:rsidR="00B105F2" w:rsidRDefault="00B105F2" w:rsidP="00B105F2">
            <w:pPr>
              <w:pStyle w:val="bullet"/>
            </w:pPr>
            <w:r>
              <w:t>Pelvic girdle pain: aOR: 0.76, 95%CI 0.61 to 0.96</w:t>
            </w:r>
            <w:r w:rsidR="00E86233" w:rsidRPr="00E86233">
              <w:t xml:space="preserve"> </w:t>
            </w:r>
          </w:p>
          <w:p w14:paraId="21731D08" w14:textId="66722218" w:rsidR="00B105F2" w:rsidRDefault="00B105F2" w:rsidP="00B105F2">
            <w:pPr>
              <w:pStyle w:val="bullet"/>
            </w:pPr>
            <w:r>
              <w:t>Low back pain: aOR 0.82; 95%CI 0.68 to 1.02</w:t>
            </w:r>
          </w:p>
          <w:p w14:paraId="2ED17282" w14:textId="7CA483A8" w:rsidR="00B105F2" w:rsidRDefault="00B105F2" w:rsidP="005A48FD">
            <w:r>
              <w:t>W</w:t>
            </w:r>
            <w:r w:rsidR="00E86233" w:rsidRPr="00E86233">
              <w:t xml:space="preserve">omen exercising 1-2 times a week </w:t>
            </w:r>
            <w:r>
              <w:t>vs women who exercised &lt;1 time a week:</w:t>
            </w:r>
          </w:p>
          <w:p w14:paraId="0A692953" w14:textId="77777777" w:rsidR="00B105F2" w:rsidRDefault="00B105F2" w:rsidP="00B105F2">
            <w:pPr>
              <w:pStyle w:val="bullet"/>
            </w:pPr>
            <w:r>
              <w:t>Pelvic girdle pain: aOR 0.88; 95%CI 0.72 to 1.07</w:t>
            </w:r>
          </w:p>
          <w:p w14:paraId="3968BBC8" w14:textId="65527A52" w:rsidR="00E86233" w:rsidRPr="00E86233" w:rsidRDefault="00B105F2" w:rsidP="00B105F2">
            <w:pPr>
              <w:pStyle w:val="bullet"/>
            </w:pPr>
            <w:r>
              <w:t xml:space="preserve">Low-back pain: </w:t>
            </w:r>
            <w:r w:rsidR="002F63E7">
              <w:t>aOR</w:t>
            </w:r>
            <w:r>
              <w:t xml:space="preserve"> 0.80, 95% CI 0.66 to 0.97</w:t>
            </w:r>
          </w:p>
        </w:tc>
        <w:tc>
          <w:tcPr>
            <w:tcW w:w="1843" w:type="dxa"/>
          </w:tcPr>
          <w:p w14:paraId="01F8B91B" w14:textId="77777777" w:rsidR="00E86233" w:rsidRPr="00921608" w:rsidRDefault="00E86233" w:rsidP="002D0E62"/>
        </w:tc>
      </w:tr>
    </w:tbl>
    <w:p w14:paraId="4A7F9169" w14:textId="1FF32CC7" w:rsidR="009D6EFE" w:rsidRPr="00DC4A73" w:rsidRDefault="009C163D" w:rsidP="00932C6D">
      <w:pPr>
        <w:pStyle w:val="TableName"/>
      </w:pPr>
      <w:bookmarkStart w:id="131" w:name="_Toc40956649"/>
      <w:r>
        <w:t xml:space="preserve">Q5 </w:t>
      </w:r>
      <w:r w:rsidR="009D6EFE">
        <w:t>Physical activity in pregnancy and anaemia — RCTs</w:t>
      </w:r>
      <w:bookmarkEnd w:id="13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1: Q5 Physical activity in pregnancy and anaemia — RCTs"/>
      </w:tblPr>
      <w:tblGrid>
        <w:gridCol w:w="1305"/>
        <w:gridCol w:w="1388"/>
        <w:gridCol w:w="4820"/>
        <w:gridCol w:w="4536"/>
        <w:gridCol w:w="1843"/>
      </w:tblGrid>
      <w:tr w:rsidR="009D6EFE" w:rsidRPr="00F350A6" w14:paraId="09C7F05B" w14:textId="77777777" w:rsidTr="006F2899">
        <w:trPr>
          <w:cantSplit/>
          <w:tblHeader/>
        </w:trPr>
        <w:tc>
          <w:tcPr>
            <w:tcW w:w="1305" w:type="dxa"/>
          </w:tcPr>
          <w:p w14:paraId="1AFA562B" w14:textId="77777777" w:rsidR="009D6EFE" w:rsidRPr="00F350A6" w:rsidRDefault="009D6EFE" w:rsidP="00A2497E">
            <w:pPr>
              <w:keepNext/>
              <w:rPr>
                <w:b/>
              </w:rPr>
            </w:pPr>
            <w:r>
              <w:rPr>
                <w:b/>
              </w:rPr>
              <w:t>Study ref</w:t>
            </w:r>
          </w:p>
        </w:tc>
        <w:tc>
          <w:tcPr>
            <w:tcW w:w="1388" w:type="dxa"/>
          </w:tcPr>
          <w:p w14:paraId="10C86E1D" w14:textId="77777777" w:rsidR="009D6EFE" w:rsidRPr="00F350A6" w:rsidRDefault="009D6EFE" w:rsidP="00A2497E">
            <w:pPr>
              <w:keepNext/>
              <w:rPr>
                <w:b/>
              </w:rPr>
            </w:pPr>
            <w:r>
              <w:rPr>
                <w:b/>
              </w:rPr>
              <w:t>N</w:t>
            </w:r>
          </w:p>
        </w:tc>
        <w:tc>
          <w:tcPr>
            <w:tcW w:w="4820" w:type="dxa"/>
          </w:tcPr>
          <w:p w14:paraId="743514BD" w14:textId="77777777" w:rsidR="009D6EFE" w:rsidRPr="00F350A6" w:rsidRDefault="009D6EFE" w:rsidP="00A2497E">
            <w:pPr>
              <w:keepNext/>
              <w:rPr>
                <w:b/>
              </w:rPr>
            </w:pPr>
            <w:r>
              <w:rPr>
                <w:b/>
              </w:rPr>
              <w:t>Aim/</w:t>
            </w:r>
            <w:r w:rsidRPr="00F350A6">
              <w:rPr>
                <w:b/>
              </w:rPr>
              <w:t>population</w:t>
            </w:r>
            <w:r>
              <w:rPr>
                <w:b/>
              </w:rPr>
              <w:t>/intervention</w:t>
            </w:r>
          </w:p>
        </w:tc>
        <w:tc>
          <w:tcPr>
            <w:tcW w:w="4536" w:type="dxa"/>
          </w:tcPr>
          <w:p w14:paraId="33699E6E" w14:textId="77777777" w:rsidR="009D6EFE" w:rsidRPr="00F350A6" w:rsidRDefault="009D6EFE" w:rsidP="00A2497E">
            <w:pPr>
              <w:keepNext/>
              <w:rPr>
                <w:b/>
              </w:rPr>
            </w:pPr>
            <w:r>
              <w:rPr>
                <w:b/>
              </w:rPr>
              <w:t>Results</w:t>
            </w:r>
          </w:p>
        </w:tc>
        <w:tc>
          <w:tcPr>
            <w:tcW w:w="1843" w:type="dxa"/>
          </w:tcPr>
          <w:p w14:paraId="75EFC0E4" w14:textId="77777777" w:rsidR="009D6EFE" w:rsidRPr="00F350A6" w:rsidRDefault="009D6EFE" w:rsidP="00A2497E">
            <w:pPr>
              <w:keepNext/>
              <w:rPr>
                <w:b/>
              </w:rPr>
            </w:pPr>
            <w:r>
              <w:rPr>
                <w:b/>
              </w:rPr>
              <w:t>Comments</w:t>
            </w:r>
          </w:p>
        </w:tc>
      </w:tr>
      <w:tr w:rsidR="009D6EFE" w:rsidRPr="009D6EFE" w14:paraId="2C0CD14C" w14:textId="77777777" w:rsidTr="006F2899">
        <w:trPr>
          <w:cantSplit/>
          <w:tblHeader/>
        </w:trPr>
        <w:tc>
          <w:tcPr>
            <w:tcW w:w="1305" w:type="dxa"/>
          </w:tcPr>
          <w:p w14:paraId="11C9C83D" w14:textId="48E5B4E6" w:rsidR="009D6EFE" w:rsidRDefault="009D6EFE" w:rsidP="00A2497E">
            <w:pPr>
              <w:keepNext/>
            </w:pPr>
            <w:r>
              <w:t>Barakat et al 2009</w:t>
            </w:r>
            <w:r w:rsidR="00E51743">
              <w:fldChar w:fldCharType="begin"/>
            </w:r>
            <w:r w:rsidR="002747EA">
              <w:instrText xml:space="preserve"> ADDIN EN.CITE &lt;EndNote&gt;&lt;Cite&gt;&lt;Author&gt;Barakat&lt;/Author&gt;&lt;Year&gt;2009&lt;/Year&gt;&lt;RecNum&gt;835&lt;/RecNum&gt;&lt;DisplayText&gt;&lt;style face="superscript" font="Trebuchet MS" size="9"&gt;286&lt;/style&gt;&lt;/DisplayText&gt;&lt;record&gt;&lt;rec-number&gt;835&lt;/rec-number&gt;&lt;foreign-keys&gt;&lt;key app="EN" db-id="exvasrfx2dtraoesasxp2szsxa2df502592x" timestamp="1541540561"&gt;835&lt;/key&gt;&lt;key app="ENWeb" db-id=""&gt;0&lt;/key&gt;&lt;/foreign-keys&gt;&lt;ref-type name="Journal Article"&gt;17&lt;/ref-type&gt;&lt;contributors&gt;&lt;authors&gt;&lt;author&gt;Barakat, R.&lt;/author&gt;&lt;author&gt;Ruiz, J. R.&lt;/author&gt;&lt;author&gt;Lucia, A.&lt;/author&gt;&lt;/authors&gt;&lt;/contributors&gt;&lt;auth-address&gt;Universidad Politecnica de Madrid, Spain.&lt;/auth-address&gt;&lt;titles&gt;&lt;title&gt;Exercise during pregnancy and risk of maternal anaemia: a randomised controlled trial&lt;/title&gt;&lt;secondary-title&gt;Br J Sports Med&lt;/secondary-title&gt;&lt;/titles&gt;&lt;periodical&gt;&lt;full-title&gt;Br J Sports Med&lt;/full-title&gt;&lt;/periodical&gt;&lt;pages&gt;954-6&lt;/pages&gt;&lt;volume&gt;43&lt;/volume&gt;&lt;number&gt;12&lt;/number&gt;&lt;edition&gt;2009/01/14&lt;/edition&gt;&lt;keywords&gt;&lt;keyword&gt;Adult&lt;/keyword&gt;&lt;keyword&gt;Anemia/*etiology&lt;/keyword&gt;&lt;keyword&gt;Erythrocyte Indices/physiology&lt;/keyword&gt;&lt;keyword&gt;Exercise/*physiology&lt;/keyword&gt;&lt;keyword&gt;Female&lt;/keyword&gt;&lt;keyword&gt;Hemoglobins/metabolism&lt;/keyword&gt;&lt;keyword&gt;Humans&lt;/keyword&gt;&lt;keyword&gt;Pregnancy&lt;/keyword&gt;&lt;keyword&gt;Pregnancy Complications, Hematologic/*etiology&lt;/keyword&gt;&lt;keyword&gt;Pregnancy Trimester, Second&lt;/keyword&gt;&lt;keyword&gt;Pregnancy Trimester, Third&lt;/keyword&gt;&lt;keyword&gt;Prenatal Care/methods&lt;/keyword&gt;&lt;keyword&gt;Risk Factors&lt;/keyword&gt;&lt;keyword&gt;*Sedentary Lifestyle&lt;/keyword&gt;&lt;/keywords&gt;&lt;dates&gt;&lt;year&gt;2009&lt;/year&gt;&lt;pub-dates&gt;&lt;date&gt;Dec&lt;/date&gt;&lt;/pub-dates&gt;&lt;/dates&gt;&lt;isbn&gt;1473-0480 (Electronic)&amp;#xD;0306-3674 (Linking)&lt;/isbn&gt;&lt;accession-num&gt;19139033&lt;/accession-num&gt;&lt;urls&gt;&lt;related-urls&gt;&lt;url&gt;https://www.ncbi.nlm.nih.gov/pubmed/19139033&lt;/url&gt;&lt;/related-urls&gt;&lt;/urls&gt;&lt;electronic-resource-num&gt;10.1136/bjsm.2008.055764&lt;/electronic-resource-num&gt;&lt;/record&gt;&lt;/Cite&gt;&lt;/EndNote&gt;</w:instrText>
            </w:r>
            <w:r w:rsidR="00E51743">
              <w:fldChar w:fldCharType="separate"/>
            </w:r>
            <w:r w:rsidR="002747EA" w:rsidRPr="002747EA">
              <w:rPr>
                <w:noProof/>
                <w:vertAlign w:val="superscript"/>
              </w:rPr>
              <w:t>286</w:t>
            </w:r>
            <w:r w:rsidR="00E51743">
              <w:fldChar w:fldCharType="end"/>
            </w:r>
          </w:p>
          <w:p w14:paraId="15DC4E6C" w14:textId="05137453" w:rsidR="006F2899" w:rsidRPr="009D6EFE" w:rsidRDefault="006F2899" w:rsidP="00A2497E">
            <w:pPr>
              <w:keepNext/>
            </w:pPr>
            <w:r>
              <w:t>Spain</w:t>
            </w:r>
          </w:p>
        </w:tc>
        <w:tc>
          <w:tcPr>
            <w:tcW w:w="1388" w:type="dxa"/>
          </w:tcPr>
          <w:p w14:paraId="27F12F96" w14:textId="38956673" w:rsidR="009D6EFE" w:rsidRDefault="006F2899" w:rsidP="00A2497E">
            <w:r>
              <w:t xml:space="preserve">Intervention </w:t>
            </w:r>
            <w:r w:rsidR="009D6EFE">
              <w:t>72</w:t>
            </w:r>
          </w:p>
          <w:p w14:paraId="3FB93A22" w14:textId="3D80D074" w:rsidR="009D6EFE" w:rsidRPr="009D6EFE" w:rsidRDefault="006F2899" w:rsidP="00A2497E">
            <w:pPr>
              <w:keepNext/>
            </w:pPr>
            <w:r>
              <w:t>Control</w:t>
            </w:r>
            <w:r w:rsidR="009D6EFE">
              <w:t xml:space="preserve"> 70</w:t>
            </w:r>
          </w:p>
        </w:tc>
        <w:tc>
          <w:tcPr>
            <w:tcW w:w="4820" w:type="dxa"/>
          </w:tcPr>
          <w:p w14:paraId="2DF18DAC" w14:textId="77777777" w:rsidR="009D6EFE" w:rsidRDefault="009D6EFE" w:rsidP="00A2497E">
            <w:r w:rsidRPr="00A33A8C">
              <w:rPr>
                <w:b/>
              </w:rPr>
              <w:t>Aim</w:t>
            </w:r>
            <w:r>
              <w:t>: to examine</w:t>
            </w:r>
            <w:r w:rsidRPr="00A33A8C">
              <w:t xml:space="preserve"> the effect of light intensity resistance exercise training performed during the second and third trimester of pregnancy. </w:t>
            </w:r>
          </w:p>
          <w:p w14:paraId="26D4BDAD" w14:textId="77777777" w:rsidR="009D6EFE" w:rsidRDefault="009D6EFE" w:rsidP="00A2497E">
            <w:r w:rsidRPr="00A33A8C">
              <w:rPr>
                <w:b/>
              </w:rPr>
              <w:t>Population</w:t>
            </w:r>
            <w:r>
              <w:t xml:space="preserve">: Healthy </w:t>
            </w:r>
            <w:r w:rsidRPr="00A33A8C">
              <w:t xml:space="preserve">sedentary </w:t>
            </w:r>
            <w:r>
              <w:t>pregnant women; mixed BMIs</w:t>
            </w:r>
            <w:r w:rsidRPr="00A33A8C">
              <w:t xml:space="preserve">. </w:t>
            </w:r>
          </w:p>
          <w:p w14:paraId="4A7D668C" w14:textId="77777777" w:rsidR="009D6EFE" w:rsidRDefault="009D6EFE" w:rsidP="00A2497E">
            <w:r w:rsidRPr="005E4EF9">
              <w:rPr>
                <w:b/>
              </w:rPr>
              <w:t>Intervention</w:t>
            </w:r>
            <w:r>
              <w:rPr>
                <w:b/>
              </w:rPr>
              <w:t>:</w:t>
            </w:r>
          </w:p>
          <w:p w14:paraId="47D3D463" w14:textId="77777777" w:rsidR="009D6EFE" w:rsidRPr="00C45716" w:rsidRDefault="009D6EFE" w:rsidP="00A2497E">
            <w:pPr>
              <w:pStyle w:val="bullet"/>
            </w:pPr>
            <w:r w:rsidRPr="00C45716">
              <w:rPr>
                <w:i/>
              </w:rPr>
              <w:t>Supervised</w:t>
            </w:r>
            <w:r w:rsidRPr="00C45716">
              <w:t>: Yes</w:t>
            </w:r>
          </w:p>
          <w:p w14:paraId="2487B767" w14:textId="77777777" w:rsidR="009D6EFE" w:rsidRPr="00C45716" w:rsidRDefault="009D6EFE" w:rsidP="00A2497E">
            <w:pPr>
              <w:pStyle w:val="bullet"/>
            </w:pPr>
            <w:r w:rsidRPr="00C45716">
              <w:rPr>
                <w:i/>
              </w:rPr>
              <w:t>Type and duration</w:t>
            </w:r>
            <w:r w:rsidRPr="00C45716">
              <w:t xml:space="preserve">: </w:t>
            </w:r>
            <w:r>
              <w:t xml:space="preserve">Resistance; </w:t>
            </w:r>
            <w:r w:rsidRPr="00C12274">
              <w:t>Toning and joint mobilisation</w:t>
            </w:r>
            <w:r>
              <w:t xml:space="preserve">; </w:t>
            </w:r>
            <w:r w:rsidRPr="00C12274">
              <w:t>35-40 min 3 times a week from weeks 12-13 to 38-39</w:t>
            </w:r>
            <w:r>
              <w:t>.</w:t>
            </w:r>
          </w:p>
          <w:p w14:paraId="3FF80D55" w14:textId="0593B14E" w:rsidR="009D6EFE" w:rsidRPr="009D6EFE" w:rsidRDefault="009D6EFE" w:rsidP="009D6EFE">
            <w:pPr>
              <w:pStyle w:val="bullet"/>
            </w:pPr>
            <w:r w:rsidRPr="00C45716">
              <w:rPr>
                <w:i/>
              </w:rPr>
              <w:t>Intensity</w:t>
            </w:r>
            <w:r w:rsidRPr="00C45716">
              <w:t xml:space="preserve">: </w:t>
            </w:r>
            <w:r w:rsidRPr="00A32D99">
              <w:t>Light; ≤80% of age-predicted maximum HR</w:t>
            </w:r>
          </w:p>
        </w:tc>
        <w:tc>
          <w:tcPr>
            <w:tcW w:w="4536" w:type="dxa"/>
          </w:tcPr>
          <w:p w14:paraId="301668DD" w14:textId="065FD35D" w:rsidR="009D6EFE" w:rsidRDefault="00C834ED" w:rsidP="00A2497E">
            <w:pPr>
              <w:keepNext/>
            </w:pPr>
            <w:r>
              <w:t>Mean h</w:t>
            </w:r>
            <w:r w:rsidR="000E14FD">
              <w:t xml:space="preserve">aemoglobin </w:t>
            </w:r>
            <w:r>
              <w:t xml:space="preserve">concentration (g/dL) </w:t>
            </w:r>
            <w:r w:rsidR="000E14FD">
              <w:t>intervention vs control:</w:t>
            </w:r>
          </w:p>
          <w:p w14:paraId="76B36201" w14:textId="5EC4D8C9" w:rsidR="00C834ED" w:rsidRDefault="00C834ED" w:rsidP="000E14FD">
            <w:pPr>
              <w:pStyle w:val="bullet"/>
            </w:pPr>
            <w:r>
              <w:t>2</w:t>
            </w:r>
            <w:r w:rsidRPr="00C834ED">
              <w:rPr>
                <w:vertAlign w:val="superscript"/>
              </w:rPr>
              <w:t>nd</w:t>
            </w:r>
            <w:r>
              <w:t xml:space="preserve"> trimester: 11.9±7.3 vs 11.7±7.0; p=0.132</w:t>
            </w:r>
          </w:p>
          <w:p w14:paraId="1BF0F7D1" w14:textId="40BD8085" w:rsidR="00C834ED" w:rsidRDefault="00C834ED" w:rsidP="000E14FD">
            <w:pPr>
              <w:pStyle w:val="bullet"/>
            </w:pPr>
            <w:r>
              <w:t>3</w:t>
            </w:r>
            <w:r w:rsidRPr="00C834ED">
              <w:rPr>
                <w:vertAlign w:val="superscript"/>
              </w:rPr>
              <w:t>rd</w:t>
            </w:r>
            <w:r>
              <w:t xml:space="preserve"> trimester: 12.2±8.2 vs 11.9±7.7; p=0.070</w:t>
            </w:r>
          </w:p>
          <w:p w14:paraId="6FACB8E9" w14:textId="77777777" w:rsidR="00C834ED" w:rsidRDefault="00C834ED" w:rsidP="00C834ED">
            <w:r>
              <w:t>Mean iron level (</w:t>
            </w:r>
            <w:r>
              <w:sym w:font="Symbol" w:char="F06D"/>
            </w:r>
            <w:r>
              <w:t>g/dL) intervention vs control:</w:t>
            </w:r>
          </w:p>
          <w:p w14:paraId="16028340" w14:textId="02632C75" w:rsidR="00C834ED" w:rsidRDefault="00C834ED" w:rsidP="000E14FD">
            <w:pPr>
              <w:pStyle w:val="bullet"/>
            </w:pPr>
            <w:r>
              <w:t>2</w:t>
            </w:r>
            <w:r w:rsidRPr="00C834ED">
              <w:rPr>
                <w:vertAlign w:val="superscript"/>
              </w:rPr>
              <w:t>nd</w:t>
            </w:r>
            <w:r>
              <w:t xml:space="preserve"> trimester: 76.5±31.1 vs 68.5±25.7; p=0.097</w:t>
            </w:r>
          </w:p>
          <w:p w14:paraId="2A244DB2" w14:textId="31AD41DF" w:rsidR="00C834ED" w:rsidRPr="009D6EFE" w:rsidRDefault="00C834ED" w:rsidP="000E14FD">
            <w:pPr>
              <w:pStyle w:val="bullet"/>
            </w:pPr>
            <w:r>
              <w:t>3</w:t>
            </w:r>
            <w:r w:rsidRPr="00C834ED">
              <w:rPr>
                <w:vertAlign w:val="superscript"/>
              </w:rPr>
              <w:t>rd</w:t>
            </w:r>
            <w:r>
              <w:t xml:space="preserve"> trimester: 83.4±27.7 vs 71.9±21.8; p=0.007</w:t>
            </w:r>
          </w:p>
        </w:tc>
        <w:tc>
          <w:tcPr>
            <w:tcW w:w="1843" w:type="dxa"/>
          </w:tcPr>
          <w:p w14:paraId="4DC57B02" w14:textId="77777777" w:rsidR="009D6EFE" w:rsidRPr="009D6EFE" w:rsidRDefault="009D6EFE" w:rsidP="00A2497E">
            <w:pPr>
              <w:keepNext/>
            </w:pPr>
          </w:p>
        </w:tc>
      </w:tr>
    </w:tbl>
    <w:p w14:paraId="51BE24C1" w14:textId="4E1C0AE7" w:rsidR="00A44792" w:rsidRPr="00DC4A73" w:rsidRDefault="00A44792" w:rsidP="00A44792">
      <w:pPr>
        <w:pStyle w:val="TableName"/>
      </w:pPr>
      <w:bookmarkStart w:id="132" w:name="_Toc40956650"/>
      <w:r>
        <w:t>Q5 Physical activity in pregnancy and sleep — systematic review</w:t>
      </w:r>
      <w:bookmarkEnd w:id="13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2: Q5 Physical activity in pregnancy and sleep — systematic review"/>
      </w:tblPr>
      <w:tblGrid>
        <w:gridCol w:w="1305"/>
        <w:gridCol w:w="1388"/>
        <w:gridCol w:w="4820"/>
        <w:gridCol w:w="4536"/>
        <w:gridCol w:w="1843"/>
      </w:tblGrid>
      <w:tr w:rsidR="00A44792" w:rsidRPr="00F350A6" w14:paraId="5A3CC5EF" w14:textId="77777777" w:rsidTr="006A7633">
        <w:trPr>
          <w:cantSplit/>
          <w:tblHeader/>
        </w:trPr>
        <w:tc>
          <w:tcPr>
            <w:tcW w:w="1305" w:type="dxa"/>
          </w:tcPr>
          <w:p w14:paraId="0694DDED" w14:textId="77777777" w:rsidR="00A44792" w:rsidRPr="00F350A6" w:rsidRDefault="00A44792" w:rsidP="006A7633">
            <w:pPr>
              <w:keepNext/>
              <w:rPr>
                <w:b/>
              </w:rPr>
            </w:pPr>
            <w:r>
              <w:rPr>
                <w:b/>
              </w:rPr>
              <w:t>Study ref</w:t>
            </w:r>
          </w:p>
        </w:tc>
        <w:tc>
          <w:tcPr>
            <w:tcW w:w="1388" w:type="dxa"/>
          </w:tcPr>
          <w:p w14:paraId="18129076" w14:textId="77777777" w:rsidR="00A44792" w:rsidRPr="00F350A6" w:rsidRDefault="00A44792" w:rsidP="006A7633">
            <w:pPr>
              <w:keepNext/>
              <w:rPr>
                <w:b/>
              </w:rPr>
            </w:pPr>
            <w:r>
              <w:rPr>
                <w:b/>
              </w:rPr>
              <w:t>N</w:t>
            </w:r>
          </w:p>
        </w:tc>
        <w:tc>
          <w:tcPr>
            <w:tcW w:w="4820" w:type="dxa"/>
          </w:tcPr>
          <w:p w14:paraId="1B3CBDA9" w14:textId="4AF6E17C" w:rsidR="00A44792" w:rsidRPr="00F350A6" w:rsidRDefault="00A44792" w:rsidP="004B74C1">
            <w:pPr>
              <w:keepNext/>
              <w:rPr>
                <w:b/>
              </w:rPr>
            </w:pPr>
            <w:r>
              <w:rPr>
                <w:b/>
              </w:rPr>
              <w:t xml:space="preserve">Aim/methods </w:t>
            </w:r>
          </w:p>
        </w:tc>
        <w:tc>
          <w:tcPr>
            <w:tcW w:w="4536" w:type="dxa"/>
          </w:tcPr>
          <w:p w14:paraId="0444B81E" w14:textId="77777777" w:rsidR="00A44792" w:rsidRPr="00F350A6" w:rsidRDefault="00A44792" w:rsidP="006A7633">
            <w:pPr>
              <w:keepNext/>
              <w:rPr>
                <w:b/>
              </w:rPr>
            </w:pPr>
            <w:r>
              <w:rPr>
                <w:b/>
              </w:rPr>
              <w:t>Results</w:t>
            </w:r>
          </w:p>
        </w:tc>
        <w:tc>
          <w:tcPr>
            <w:tcW w:w="1843" w:type="dxa"/>
          </w:tcPr>
          <w:p w14:paraId="5B580175" w14:textId="77777777" w:rsidR="00A44792" w:rsidRPr="00F350A6" w:rsidRDefault="00A44792" w:rsidP="006A7633">
            <w:pPr>
              <w:keepNext/>
              <w:rPr>
                <w:b/>
              </w:rPr>
            </w:pPr>
            <w:r>
              <w:rPr>
                <w:b/>
              </w:rPr>
              <w:t>Comments</w:t>
            </w:r>
          </w:p>
        </w:tc>
      </w:tr>
      <w:tr w:rsidR="00A44792" w:rsidRPr="00F11C94" w14:paraId="1235ED71" w14:textId="77777777" w:rsidTr="006A7633">
        <w:trPr>
          <w:cantSplit/>
          <w:tblHeader/>
        </w:trPr>
        <w:tc>
          <w:tcPr>
            <w:tcW w:w="1305" w:type="dxa"/>
          </w:tcPr>
          <w:p w14:paraId="6E0327B9" w14:textId="56313D0F" w:rsidR="00A44792" w:rsidRPr="00F11C94" w:rsidRDefault="004B74C1" w:rsidP="002747EA">
            <w:r>
              <w:t>Yang et al 2020</w:t>
            </w:r>
            <w:r w:rsidR="00D07346">
              <w:fldChar w:fldCharType="begin">
                <w:fldData xml:space="preserve">PEVuZE5vdGU+PENpdGU+PEF1dGhvcj5ZYW5nPC9BdXRob3I+PFllYXI+MjAyMDwvWWVhcj48UmVj
TnVtPjE5NjY8L1JlY051bT48RGlzcGxheVRleHQ+PHN0eWxlIGZhY2U9InN1cGVyc2NyaXB0IiBm
b250PSJUcmVidWNoZXQgTVMiIHNpemU9IjkiPjI4Nzwvc3R5bGU+PC9EaXNwbGF5VGV4dD48cmVj
b3JkPjxyZWMtbnVtYmVyPjE5NjY8L3JlYy1udW1iZXI+PGZvcmVpZ24ta2V5cz48a2V5IGFwcD0i
RU4iIGRiLWlkPSJleHZhc3JmeDJkdHJhb2VzYXN4cDJzenN4YTJkZjUwMjU5MngiIHRpbWVzdGFt
cD0iMTU4ODc0MzkyOCI+MTk2Njwva2V5PjxrZXkgYXBwPSJFTldlYiIgZGItaWQ9IiI+MDwva2V5
PjwvZm9yZWlnbi1rZXlzPjxyZWYtdHlwZSBuYW1lPSJKb3VybmFsIEFydGljbGUiPjE3PC9yZWYt
dHlwZT48Y29udHJpYnV0b3JzPjxhdXRob3JzPjxhdXRob3I+WWFuZywgUy4gWS48L2F1dGhvcj48
YXV0aG9yPkxhbiwgUy4gSi48L2F1dGhvcj48YXV0aG9yPlllbiwgWS4gWS48L2F1dGhvcj48YXV0
aG9yPkhzaWVoLCBZLiBQLjwvYXV0aG9yPjxhdXRob3I+S3VuZywgUC4gVC48L2F1dGhvcj48YXV0
aG9yPkxhbiwgUy4gSC48L2F1dGhvcj48L2F1dGhvcnM+PC9jb250cmlidXRvcnM+PGF1dGgtYWRk
cmVzcz5EZXBhcnRtZW50IG9mIEhlYWx0aGNhcmUgQWRtaW5pc3RyYXRpb24sIEFzaWEgVW5pdmVy
c2l0eSwgVGFpY2h1bmcsIFRhaXdhbi4mI3hEO0RlcGFydG1lbnQgb2YgSGVhbHRoY2FyZSBBZG1p
bmlzdHJhdGlvbiwgQXNpYSBVbml2ZXJzaXR5LCBUYWljaHVuZywgVGFpd2FuOyBEZXBhcnRtZW50
IG9mIE1lZGljYWwgUmVzZWFyY2gsIENoaW5hIE1lZGljYWwgVW5pdmVyc2l0eSBIb3NwaXRhbCwg
VGFpY2h1bmcsIFRhaXdhbi4mI3hEO0RlcGFydG1lbnQgb2YgT3JhbCBIeWdpZW5lLCBLYW9oc2l1
bmcgTWVkaWNhbCBVbml2ZXJzaXR5LCBLYW9oc2l1bmcsIFRhaXdhbi4mI3hEO0RlcGFydG1lbnQg
b2YgTG9uZyBUZXJtIENhcmUsIE5hdGlvbmFsIFF1ZW1veSBVbml2ZXJzaXR5LCBKaW5uaW5nLCBU
YWl3YW4uJiN4RDtTY2hvb2wgb2YgUGhhcm1hY2V1dGljYWwgU2NpZW5jZXMgYW5kIE1lZGljYWwg
VGVjaG5vbG9neSwgUHV0aWFuIFVuaXZlcnNpdHksIFB1dGlhbiwgQ2hpbmEuIEVsZWN0cm9uaWMg
YWRkcmVzczogc2hhd25sYW4wNzEzQGdtYWlsLmNvbS48L2F1dGgtYWRkcmVzcz48dGl0bGVzPjx0
aXRsZT5FZmZlY3RzIG9mIGV4ZXJjaXNlIG9uIHNsZWVwIHF1YWxpdHkgaW4gcHJlZ25hbnQgd29t
ZW46IEEgc3lzdGVtYXRpYyByZXZpZXcgYW5kIG1ldGEtYW5hbHlzaXMgb2YgcmFuZG9taXplZCBj
b250cm9sbGVkIHRyaWFsczwvdGl0bGU+PHNlY29uZGFyeS10aXRsZT5Bc2lhbiBOdXJzIFJlcyAo
S29yZWFuIFNvYyBOdXJzIFNjaSk8L3NlY29uZGFyeS10aXRsZT48L3RpdGxlcz48cGVyaW9kaWNh
bD48ZnVsbC10aXRsZT5Bc2lhbiBOdXJzIFJlcyAoS29yZWFuIFNvYyBOdXJzIFNjaSk8L2Z1bGwt
dGl0bGU+PC9wZXJpb2RpY2FsPjxwYWdlcz4xLTEwPC9wYWdlcz48dm9sdW1lPjE0PC92b2x1bWU+
PG51bWJlcj4xPC9udW1iZXI+PGVkaXRpb24+MjAyMC8wMi8wMjwvZWRpdGlvbj48a2V5d29yZHM+
PGtleXdvcmQ+ZXhlcmNpc2U8L2tleXdvcmQ+PGtleXdvcmQ+bWV0YS1hbmFseXNpczwva2V5d29y
ZD48a2V5d29yZD5wcmVnbmFudCB3b21lbjwva2V5d29yZD48a2V5d29yZD5zbGVlcDwva2V5d29y
ZD48a2V5d29yZD5zbGVlcCBpbml0aWF0aW9uIGFuZCBtYWludGVuYW5jZSBkaXNvcmRlcnM8L2tl
eXdvcmQ+PC9rZXl3b3Jkcz48ZGF0ZXM+PHllYXI+MjAyMDwveWVhcj48cHViLWRhdGVzPjxkYXRl
PkZlYjwvZGF0ZT48L3B1Yi1kYXRlcz48L2RhdGVzPjxpc2JuPjIwOTMtNzQ4MiAoRWxlY3Ryb25p
YykmI3hEOzE5NzYtMTMxNyAoTGlua2luZyk8L2lzYm4+PGFjY2Vzc2lvbi1udW0+MzIwMDY3MTk8
L2FjY2Vzc2lvbi1udW0+PHVybHM+PHJlbGF0ZWQtdXJscz48dXJsPmh0dHBzOi8vd3d3Lm5jYmku
bmxtLm5paC5nb3YvcHVibWVkLzMyMDA2NzE5PC91cmw+PC9yZWxhdGVkLXVybHM+PC91cmxzPjxl
bGVjdHJvbmljLXJlc291cmNlLW51bT4xMC4xMDE2L2ouYW5yLjIwMjAuMDEuMDAzPC9lbGVjdHJv
bmljLXJlc291cmNlLW51bT48L3JlY29yZD48L0NpdGU+PC9FbmROb3RlPn==
</w:fldData>
              </w:fldChar>
            </w:r>
            <w:r w:rsidR="002747EA">
              <w:instrText xml:space="preserve"> ADDIN EN.CITE </w:instrText>
            </w:r>
            <w:r w:rsidR="002747EA">
              <w:fldChar w:fldCharType="begin">
                <w:fldData xml:space="preserve">PEVuZE5vdGU+PENpdGU+PEF1dGhvcj5ZYW5nPC9BdXRob3I+PFllYXI+MjAyMDwvWWVhcj48UmVj
TnVtPjE5NjY8L1JlY051bT48RGlzcGxheVRleHQ+PHN0eWxlIGZhY2U9InN1cGVyc2NyaXB0IiBm
b250PSJUcmVidWNoZXQgTVMiIHNpemU9IjkiPjI4Nzwvc3R5bGU+PC9EaXNwbGF5VGV4dD48cmVj
b3JkPjxyZWMtbnVtYmVyPjE5NjY8L3JlYy1udW1iZXI+PGZvcmVpZ24ta2V5cz48a2V5IGFwcD0i
RU4iIGRiLWlkPSJleHZhc3JmeDJkdHJhb2VzYXN4cDJzenN4YTJkZjUwMjU5MngiIHRpbWVzdGFt
cD0iMTU4ODc0MzkyOCI+MTk2Njwva2V5PjxrZXkgYXBwPSJFTldlYiIgZGItaWQ9IiI+MDwva2V5
PjwvZm9yZWlnbi1rZXlzPjxyZWYtdHlwZSBuYW1lPSJKb3VybmFsIEFydGljbGUiPjE3PC9yZWYt
dHlwZT48Y29udHJpYnV0b3JzPjxhdXRob3JzPjxhdXRob3I+WWFuZywgUy4gWS48L2F1dGhvcj48
YXV0aG9yPkxhbiwgUy4gSi48L2F1dGhvcj48YXV0aG9yPlllbiwgWS4gWS48L2F1dGhvcj48YXV0
aG9yPkhzaWVoLCBZLiBQLjwvYXV0aG9yPjxhdXRob3I+S3VuZywgUC4gVC48L2F1dGhvcj48YXV0
aG9yPkxhbiwgUy4gSC48L2F1dGhvcj48L2F1dGhvcnM+PC9jb250cmlidXRvcnM+PGF1dGgtYWRk
cmVzcz5EZXBhcnRtZW50IG9mIEhlYWx0aGNhcmUgQWRtaW5pc3RyYXRpb24sIEFzaWEgVW5pdmVy
c2l0eSwgVGFpY2h1bmcsIFRhaXdhbi4mI3hEO0RlcGFydG1lbnQgb2YgSGVhbHRoY2FyZSBBZG1p
bmlzdHJhdGlvbiwgQXNpYSBVbml2ZXJzaXR5LCBUYWljaHVuZywgVGFpd2FuOyBEZXBhcnRtZW50
IG9mIE1lZGljYWwgUmVzZWFyY2gsIENoaW5hIE1lZGljYWwgVW5pdmVyc2l0eSBIb3NwaXRhbCwg
VGFpY2h1bmcsIFRhaXdhbi4mI3hEO0RlcGFydG1lbnQgb2YgT3JhbCBIeWdpZW5lLCBLYW9oc2l1
bmcgTWVkaWNhbCBVbml2ZXJzaXR5LCBLYW9oc2l1bmcsIFRhaXdhbi4mI3hEO0RlcGFydG1lbnQg
b2YgTG9uZyBUZXJtIENhcmUsIE5hdGlvbmFsIFF1ZW1veSBVbml2ZXJzaXR5LCBKaW5uaW5nLCBU
YWl3YW4uJiN4RDtTY2hvb2wgb2YgUGhhcm1hY2V1dGljYWwgU2NpZW5jZXMgYW5kIE1lZGljYWwg
VGVjaG5vbG9neSwgUHV0aWFuIFVuaXZlcnNpdHksIFB1dGlhbiwgQ2hpbmEuIEVsZWN0cm9uaWMg
YWRkcmVzczogc2hhd25sYW4wNzEzQGdtYWlsLmNvbS48L2F1dGgtYWRkcmVzcz48dGl0bGVzPjx0
aXRsZT5FZmZlY3RzIG9mIGV4ZXJjaXNlIG9uIHNsZWVwIHF1YWxpdHkgaW4gcHJlZ25hbnQgd29t
ZW46IEEgc3lzdGVtYXRpYyByZXZpZXcgYW5kIG1ldGEtYW5hbHlzaXMgb2YgcmFuZG9taXplZCBj
b250cm9sbGVkIHRyaWFsczwvdGl0bGU+PHNlY29uZGFyeS10aXRsZT5Bc2lhbiBOdXJzIFJlcyAo
S29yZWFuIFNvYyBOdXJzIFNjaSk8L3NlY29uZGFyeS10aXRsZT48L3RpdGxlcz48cGVyaW9kaWNh
bD48ZnVsbC10aXRsZT5Bc2lhbiBOdXJzIFJlcyAoS29yZWFuIFNvYyBOdXJzIFNjaSk8L2Z1bGwt
dGl0bGU+PC9wZXJpb2RpY2FsPjxwYWdlcz4xLTEwPC9wYWdlcz48dm9sdW1lPjE0PC92b2x1bWU+
PG51bWJlcj4xPC9udW1iZXI+PGVkaXRpb24+MjAyMC8wMi8wMjwvZWRpdGlvbj48a2V5d29yZHM+
PGtleXdvcmQ+ZXhlcmNpc2U8L2tleXdvcmQ+PGtleXdvcmQ+bWV0YS1hbmFseXNpczwva2V5d29y
ZD48a2V5d29yZD5wcmVnbmFudCB3b21lbjwva2V5d29yZD48a2V5d29yZD5zbGVlcDwva2V5d29y
ZD48a2V5d29yZD5zbGVlcCBpbml0aWF0aW9uIGFuZCBtYWludGVuYW5jZSBkaXNvcmRlcnM8L2tl
eXdvcmQ+PC9rZXl3b3Jkcz48ZGF0ZXM+PHllYXI+MjAyMDwveWVhcj48cHViLWRhdGVzPjxkYXRl
PkZlYjwvZGF0ZT48L3B1Yi1kYXRlcz48L2RhdGVzPjxpc2JuPjIwOTMtNzQ4MiAoRWxlY3Ryb25p
YykmI3hEOzE5NzYtMTMxNyAoTGlua2luZyk8L2lzYm4+PGFjY2Vzc2lvbi1udW0+MzIwMDY3MTk8
L2FjY2Vzc2lvbi1udW0+PHVybHM+PHJlbGF0ZWQtdXJscz48dXJsPmh0dHBzOi8vd3d3Lm5jYmku
bmxtLm5paC5nb3YvcHVibWVkLzMyMDA2NzE5PC91cmw+PC9yZWxhdGVkLXVybHM+PC91cmxzPjxl
bGVjdHJvbmljLXJlc291cmNlLW51bT4xMC4xMDE2L2ouYW5yLjIwMjAuMDEuMDAzPC9lbGVjdHJv
bmljLXJlc291cmNlLW51bT48L3JlY29yZD48L0NpdGU+PC9FbmROb3RlPn==
</w:fldData>
              </w:fldChar>
            </w:r>
            <w:r w:rsidR="002747EA">
              <w:instrText xml:space="preserve"> ADDIN EN.CITE.DATA </w:instrText>
            </w:r>
            <w:r w:rsidR="002747EA">
              <w:fldChar w:fldCharType="end"/>
            </w:r>
            <w:r w:rsidR="00D07346">
              <w:fldChar w:fldCharType="separate"/>
            </w:r>
            <w:r w:rsidR="002747EA" w:rsidRPr="002747EA">
              <w:rPr>
                <w:noProof/>
                <w:vertAlign w:val="superscript"/>
              </w:rPr>
              <w:t>287</w:t>
            </w:r>
            <w:r w:rsidR="00D07346">
              <w:fldChar w:fldCharType="end"/>
            </w:r>
          </w:p>
        </w:tc>
        <w:tc>
          <w:tcPr>
            <w:tcW w:w="1388" w:type="dxa"/>
          </w:tcPr>
          <w:p w14:paraId="0A17DA39" w14:textId="2E12F278" w:rsidR="00A44792" w:rsidRDefault="004B74C1" w:rsidP="0059138D">
            <w:pPr>
              <w:keepNext/>
            </w:pPr>
            <w:r>
              <w:t xml:space="preserve">7 </w:t>
            </w:r>
            <w:r w:rsidR="0059138D">
              <w:t>RCTs</w:t>
            </w:r>
          </w:p>
        </w:tc>
        <w:tc>
          <w:tcPr>
            <w:tcW w:w="4820" w:type="dxa"/>
          </w:tcPr>
          <w:p w14:paraId="18C1D614" w14:textId="486C9CF3" w:rsidR="004B74C1" w:rsidRDefault="004B74C1" w:rsidP="004B74C1">
            <w:pPr>
              <w:keepNext/>
            </w:pPr>
            <w:r w:rsidRPr="00BD61CC">
              <w:rPr>
                <w:b/>
              </w:rPr>
              <w:t>Aim</w:t>
            </w:r>
            <w:r>
              <w:t>: T</w:t>
            </w:r>
            <w:r w:rsidRPr="004B74C1">
              <w:t xml:space="preserve">o assess the effects of a specific exercise program on </w:t>
            </w:r>
            <w:r w:rsidR="005056D2" w:rsidRPr="004B74C1">
              <w:t>the sleep</w:t>
            </w:r>
            <w:r w:rsidRPr="004B74C1">
              <w:t xml:space="preserve"> quality in pregnant women. </w:t>
            </w:r>
          </w:p>
          <w:p w14:paraId="501B737B" w14:textId="0A3DC686" w:rsidR="00A44792" w:rsidRPr="00F11C94" w:rsidRDefault="004B74C1" w:rsidP="004B74C1">
            <w:pPr>
              <w:keepNext/>
              <w:rPr>
                <w:b/>
              </w:rPr>
            </w:pPr>
            <w:r w:rsidRPr="00BD61CC">
              <w:rPr>
                <w:b/>
              </w:rPr>
              <w:t>Methods</w:t>
            </w:r>
            <w:r w:rsidRPr="004B74C1">
              <w:t xml:space="preserve">: Searches were executed in seven databases since their inceptions until February 28, 2019, for randomized controlled trials evaluating the effects of an exercise program on the sleep quality and insomnia in pregnant women. A random-effects model was applied for meta-analysis, and odds ratio, mean differences (MDs), and 95% confidence intervals (CIs) are shown as parts of outcomes. </w:t>
            </w:r>
          </w:p>
        </w:tc>
        <w:tc>
          <w:tcPr>
            <w:tcW w:w="4536" w:type="dxa"/>
          </w:tcPr>
          <w:p w14:paraId="20BBD4E3" w14:textId="0C0F754E" w:rsidR="004B74C1" w:rsidRDefault="004B74C1" w:rsidP="004B74C1">
            <w:r w:rsidRPr="004B74C1">
              <w:t>Compared with their not-exercising counterparts, analyses showed that regularly exercising women had significantly enhanced sleep quality</w:t>
            </w:r>
            <w:r>
              <w:t xml:space="preserve"> (OR 6.21, 95% CI</w:t>
            </w:r>
            <w:r w:rsidRPr="004B74C1">
              <w:t xml:space="preserve"> 2.02</w:t>
            </w:r>
            <w:r>
              <w:t xml:space="preserve"> to </w:t>
            </w:r>
            <w:r w:rsidRPr="004B74C1">
              <w:t>19.11;</w:t>
            </w:r>
            <w:r>
              <w:t xml:space="preserve"> p=0</w:t>
            </w:r>
            <w:r w:rsidRPr="004B74C1">
              <w:t>.001</w:t>
            </w:r>
            <w:r>
              <w:t xml:space="preserve">; </w:t>
            </w:r>
            <w:r>
              <w:br/>
              <w:t>SMD -0.93 (95%CI -1.19 to -0.67; p&lt;0</w:t>
            </w:r>
            <w:r w:rsidRPr="004B74C1">
              <w:t xml:space="preserve">.001). </w:t>
            </w:r>
          </w:p>
          <w:p w14:paraId="482A070E" w14:textId="54E1E871" w:rsidR="00A44792" w:rsidRPr="004B74C1" w:rsidRDefault="004B74C1" w:rsidP="004B74C1">
            <w:r w:rsidRPr="004B74C1">
              <w:t>However, exercising women showed no significant insomnia improvement</w:t>
            </w:r>
            <w:r>
              <w:t xml:space="preserve"> (SMD -2.85, 95% CI</w:t>
            </w:r>
            <w:r w:rsidRPr="004B74C1">
              <w:t xml:space="preserve"> -7.67 t</w:t>
            </w:r>
            <w:r>
              <w:t>o 1.98; p =0</w:t>
            </w:r>
            <w:r w:rsidRPr="004B74C1">
              <w:t xml:space="preserve">.250), relative to their not-exercising counterparts. </w:t>
            </w:r>
          </w:p>
        </w:tc>
        <w:tc>
          <w:tcPr>
            <w:tcW w:w="1843" w:type="dxa"/>
          </w:tcPr>
          <w:p w14:paraId="0F5D87F8" w14:textId="77777777" w:rsidR="00A44792" w:rsidRPr="00F11C94" w:rsidRDefault="00A44792" w:rsidP="006A7633">
            <w:pPr>
              <w:keepNext/>
            </w:pPr>
          </w:p>
        </w:tc>
      </w:tr>
    </w:tbl>
    <w:p w14:paraId="070F5E18" w14:textId="11676DFB" w:rsidR="00F11C94" w:rsidRPr="00DC4A73" w:rsidRDefault="009C163D" w:rsidP="00BD61CC">
      <w:pPr>
        <w:pStyle w:val="TableName"/>
        <w:ind w:left="1134" w:hanging="1134"/>
      </w:pPr>
      <w:bookmarkStart w:id="133" w:name="_Toc40956651"/>
      <w:r>
        <w:t xml:space="preserve">Q5 </w:t>
      </w:r>
      <w:r w:rsidR="00F11C94">
        <w:t xml:space="preserve">Physical activity in pregnancy and </w:t>
      </w:r>
      <w:r w:rsidR="0053003B">
        <w:t>sleep</w:t>
      </w:r>
      <w:r w:rsidR="00F11C94">
        <w:t xml:space="preserve"> — </w:t>
      </w:r>
      <w:r w:rsidR="00636E60">
        <w:t>RCT</w:t>
      </w:r>
      <w:bookmarkEnd w:id="13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3: Q5 Physical activity in pregnancy and sleep — RCT"/>
      </w:tblPr>
      <w:tblGrid>
        <w:gridCol w:w="1305"/>
        <w:gridCol w:w="1388"/>
        <w:gridCol w:w="4820"/>
        <w:gridCol w:w="4536"/>
        <w:gridCol w:w="1843"/>
      </w:tblGrid>
      <w:tr w:rsidR="00F11C94" w:rsidRPr="00F350A6" w14:paraId="3FAABED1" w14:textId="77777777" w:rsidTr="004B4FD2">
        <w:trPr>
          <w:cantSplit/>
          <w:tblHeader/>
        </w:trPr>
        <w:tc>
          <w:tcPr>
            <w:tcW w:w="1305" w:type="dxa"/>
          </w:tcPr>
          <w:p w14:paraId="73996395" w14:textId="77777777" w:rsidR="00F11C94" w:rsidRPr="00F350A6" w:rsidRDefault="00F11C94" w:rsidP="004B4FD2">
            <w:pPr>
              <w:keepNext/>
              <w:rPr>
                <w:b/>
              </w:rPr>
            </w:pPr>
            <w:r>
              <w:rPr>
                <w:b/>
              </w:rPr>
              <w:t>Study ref</w:t>
            </w:r>
          </w:p>
        </w:tc>
        <w:tc>
          <w:tcPr>
            <w:tcW w:w="1388" w:type="dxa"/>
          </w:tcPr>
          <w:p w14:paraId="5E8E330E" w14:textId="77777777" w:rsidR="00F11C94" w:rsidRPr="00F350A6" w:rsidRDefault="00F11C94" w:rsidP="004B4FD2">
            <w:pPr>
              <w:keepNext/>
              <w:rPr>
                <w:b/>
              </w:rPr>
            </w:pPr>
            <w:r>
              <w:rPr>
                <w:b/>
              </w:rPr>
              <w:t>N</w:t>
            </w:r>
          </w:p>
        </w:tc>
        <w:tc>
          <w:tcPr>
            <w:tcW w:w="4820" w:type="dxa"/>
          </w:tcPr>
          <w:p w14:paraId="10497788" w14:textId="41CA3E23" w:rsidR="00F11C94" w:rsidRPr="00F350A6" w:rsidRDefault="00F11C94" w:rsidP="00F11C94">
            <w:pPr>
              <w:keepNext/>
              <w:rPr>
                <w:b/>
              </w:rPr>
            </w:pPr>
            <w:r>
              <w:rPr>
                <w:b/>
              </w:rPr>
              <w:t xml:space="preserve">Aim/population/intervention </w:t>
            </w:r>
          </w:p>
        </w:tc>
        <w:tc>
          <w:tcPr>
            <w:tcW w:w="4536" w:type="dxa"/>
          </w:tcPr>
          <w:p w14:paraId="6D7B4EE8" w14:textId="77777777" w:rsidR="00F11C94" w:rsidRPr="00F350A6" w:rsidRDefault="00F11C94" w:rsidP="004B4FD2">
            <w:pPr>
              <w:keepNext/>
              <w:rPr>
                <w:b/>
              </w:rPr>
            </w:pPr>
            <w:r>
              <w:rPr>
                <w:b/>
              </w:rPr>
              <w:t>Results</w:t>
            </w:r>
          </w:p>
        </w:tc>
        <w:tc>
          <w:tcPr>
            <w:tcW w:w="1843" w:type="dxa"/>
          </w:tcPr>
          <w:p w14:paraId="2E8F0475" w14:textId="77777777" w:rsidR="00F11C94" w:rsidRPr="00F350A6" w:rsidRDefault="00F11C94" w:rsidP="004B4FD2">
            <w:pPr>
              <w:keepNext/>
              <w:rPr>
                <w:b/>
              </w:rPr>
            </w:pPr>
            <w:r>
              <w:rPr>
                <w:b/>
              </w:rPr>
              <w:t>Comments</w:t>
            </w:r>
          </w:p>
        </w:tc>
      </w:tr>
      <w:tr w:rsidR="00F11C94" w:rsidRPr="00F11C94" w14:paraId="3502F470" w14:textId="77777777" w:rsidTr="004B4FD2">
        <w:trPr>
          <w:cantSplit/>
          <w:tblHeader/>
        </w:trPr>
        <w:tc>
          <w:tcPr>
            <w:tcW w:w="1305" w:type="dxa"/>
          </w:tcPr>
          <w:p w14:paraId="62734828" w14:textId="1136EC1B" w:rsidR="00F11C94" w:rsidRDefault="00BB7EBA" w:rsidP="004B4FD2">
            <w:pPr>
              <w:keepNext/>
            </w:pPr>
            <w:r>
              <w:t>Kocsis et al 2017</w:t>
            </w:r>
            <w:r w:rsidR="003E3405">
              <w:fldChar w:fldCharType="begin"/>
            </w:r>
            <w:r w:rsidR="002747EA">
              <w:instrText xml:space="preserve"> ADDIN EN.CITE &lt;EndNote&gt;&lt;Cite&gt;&lt;Author&gt;Kocsis&lt;/Author&gt;&lt;Year&gt;2017&lt;/Year&gt;&lt;RecNum&gt;1237&lt;/RecNum&gt;&lt;DisplayText&gt;&lt;style face="superscript" font="Trebuchet MS" size="9"&gt;289&lt;/style&gt;&lt;/DisplayText&gt;&lt;record&gt;&lt;rec-number&gt;1237&lt;/rec-number&gt;&lt;foreign-keys&gt;&lt;key app="EN" db-id="exvasrfx2dtraoesasxp2szsxa2df502592x" timestamp="1562639164"&gt;1237&lt;/key&gt;&lt;/foreign-keys&gt;&lt;ref-type name="Journal Article"&gt;17&lt;/ref-type&gt;&lt;contributors&gt;&lt;authors&gt;&lt;author&gt;Kocsis, Ildikó&lt;/author&gt;&lt;author&gt;Szilágyi, Tibor&lt;/author&gt;&lt;author&gt;Turos, János&lt;/author&gt;&lt;author&gt;Bakó, Aliz&lt;/author&gt;&lt;author&gt;Frigy, Attila&lt;/author&gt;&lt;/authors&gt;&lt;/contributors&gt;&lt;titles&gt;&lt;title&gt;Effect of a gymnastics program on sleep characteristics in pregnant women&lt;/title&gt;&lt;secondary-title&gt;Taiwanese Journal of Obstetrics and Gynecology&lt;/secondary-title&gt;&lt;/titles&gt;&lt;periodical&gt;&lt;full-title&gt;Taiwanese Journal of Obstetrics and Gynecology&lt;/full-title&gt;&lt;/periodical&gt;&lt;pages&gt;204-209&lt;/pages&gt;&lt;volume&gt;56&lt;/volume&gt;&lt;number&gt;2&lt;/number&gt;&lt;section&gt;204&lt;/section&gt;&lt;dates&gt;&lt;year&gt;2017&lt;/year&gt;&lt;/dates&gt;&lt;isbn&gt;10284559&lt;/isbn&gt;&lt;urls&gt;&lt;/urls&gt;&lt;electronic-resource-num&gt;10.1016/j.tjog.2017.02.001&lt;/electronic-resource-num&gt;&lt;/record&gt;&lt;/Cite&gt;&lt;/EndNote&gt;</w:instrText>
            </w:r>
            <w:r w:rsidR="003E3405">
              <w:fldChar w:fldCharType="separate"/>
            </w:r>
            <w:r w:rsidR="002747EA" w:rsidRPr="002747EA">
              <w:rPr>
                <w:noProof/>
                <w:vertAlign w:val="superscript"/>
              </w:rPr>
              <w:t>289</w:t>
            </w:r>
            <w:r w:rsidR="003E3405">
              <w:fldChar w:fldCharType="end"/>
            </w:r>
          </w:p>
          <w:p w14:paraId="6C5949FD" w14:textId="7BA410C7" w:rsidR="00BB7EBA" w:rsidRPr="00F11C94" w:rsidRDefault="00BB7EBA" w:rsidP="004B4FD2">
            <w:pPr>
              <w:keepNext/>
            </w:pPr>
            <w:r>
              <w:t>Romania</w:t>
            </w:r>
          </w:p>
        </w:tc>
        <w:tc>
          <w:tcPr>
            <w:tcW w:w="1388" w:type="dxa"/>
          </w:tcPr>
          <w:p w14:paraId="168A7EC6" w14:textId="77777777" w:rsidR="00F11C94" w:rsidRDefault="00BB7EBA" w:rsidP="004B4FD2">
            <w:pPr>
              <w:keepNext/>
            </w:pPr>
            <w:r>
              <w:t>Intervention 79</w:t>
            </w:r>
          </w:p>
          <w:p w14:paraId="38786EAA" w14:textId="36F37D3D" w:rsidR="00BB7EBA" w:rsidRPr="00F11C94" w:rsidRDefault="00BB7EBA" w:rsidP="004B4FD2">
            <w:pPr>
              <w:keepNext/>
            </w:pPr>
            <w:r>
              <w:t>Control 53</w:t>
            </w:r>
          </w:p>
        </w:tc>
        <w:tc>
          <w:tcPr>
            <w:tcW w:w="4820" w:type="dxa"/>
          </w:tcPr>
          <w:p w14:paraId="11076276" w14:textId="6A6D8FC4" w:rsidR="00BB7EBA" w:rsidRPr="00BB7EBA" w:rsidRDefault="00BB7EBA" w:rsidP="00200A41">
            <w:r w:rsidRPr="00200A41">
              <w:rPr>
                <w:b/>
              </w:rPr>
              <w:t>Aim</w:t>
            </w:r>
            <w:r>
              <w:t xml:space="preserve">: </w:t>
            </w:r>
            <w:r w:rsidRPr="00BB7EBA">
              <w:t>to investigate the effect of a regular, specific, medium-term physical training program on sleep</w:t>
            </w:r>
            <w:r>
              <w:t xml:space="preserve"> </w:t>
            </w:r>
            <w:r w:rsidRPr="00BB7EBA">
              <w:t>characteristics in healthy pregnant women.</w:t>
            </w:r>
          </w:p>
          <w:p w14:paraId="4BB0BDD8" w14:textId="4B1B1939" w:rsidR="00254549" w:rsidRPr="00254549" w:rsidRDefault="00BB7EBA" w:rsidP="00200A41">
            <w:r w:rsidRPr="00200A41">
              <w:rPr>
                <w:b/>
              </w:rPr>
              <w:t>Population</w:t>
            </w:r>
            <w:r>
              <w:t xml:space="preserve">: </w:t>
            </w:r>
            <w:r w:rsidR="00254549" w:rsidRPr="00254549">
              <w:t>healthy pregnant women, with gestational age between 18 weeks</w:t>
            </w:r>
            <w:r w:rsidR="00254549">
              <w:t xml:space="preserve"> </w:t>
            </w:r>
            <w:r w:rsidR="00254549" w:rsidRPr="00254549">
              <w:t>and 22 weeks</w:t>
            </w:r>
            <w:r w:rsidR="00200A41">
              <w:t>.</w:t>
            </w:r>
          </w:p>
          <w:p w14:paraId="155D949C" w14:textId="77777777" w:rsidR="00254549" w:rsidRDefault="00254549" w:rsidP="00254549">
            <w:pPr>
              <w:keepNext/>
            </w:pPr>
            <w:r w:rsidRPr="00F11C94">
              <w:rPr>
                <w:b/>
              </w:rPr>
              <w:t>Intervention</w:t>
            </w:r>
            <w:r>
              <w:t>:</w:t>
            </w:r>
            <w:r w:rsidRPr="00F11C94">
              <w:t xml:space="preserve"> </w:t>
            </w:r>
          </w:p>
          <w:p w14:paraId="421AF31F" w14:textId="77777777" w:rsidR="00254549" w:rsidRPr="00C45716" w:rsidRDefault="00254549" w:rsidP="00254549">
            <w:pPr>
              <w:pStyle w:val="bullet"/>
            </w:pPr>
            <w:r w:rsidRPr="00C45716">
              <w:rPr>
                <w:i/>
              </w:rPr>
              <w:t>Supervised</w:t>
            </w:r>
            <w:r w:rsidRPr="00C45716">
              <w:t>: Yes</w:t>
            </w:r>
          </w:p>
          <w:p w14:paraId="1EEDCCEC" w14:textId="19BB46F2" w:rsidR="00254549" w:rsidRPr="00C45716" w:rsidRDefault="00254549" w:rsidP="00200A41">
            <w:pPr>
              <w:pStyle w:val="bullet"/>
            </w:pPr>
            <w:r w:rsidRPr="00C45716">
              <w:rPr>
                <w:i/>
              </w:rPr>
              <w:t>Type and duration</w:t>
            </w:r>
            <w:r w:rsidRPr="00C45716">
              <w:t xml:space="preserve">: </w:t>
            </w:r>
            <w:r w:rsidR="00200A41">
              <w:t xml:space="preserve">Muscle strengthening, relaxation; </w:t>
            </w:r>
            <w:r w:rsidR="00100C82" w:rsidRPr="00100C82">
              <w:t xml:space="preserve">2 hours twice </w:t>
            </w:r>
            <w:r w:rsidR="00200A41">
              <w:t>a</w:t>
            </w:r>
            <w:r w:rsidR="00100C82" w:rsidRPr="00100C82">
              <w:t xml:space="preserve"> week for 10 weeks. </w:t>
            </w:r>
          </w:p>
          <w:p w14:paraId="7F3A3E0E" w14:textId="28046172" w:rsidR="00F11C94" w:rsidRPr="00F11C94" w:rsidRDefault="00254549" w:rsidP="00200A41">
            <w:pPr>
              <w:pStyle w:val="bullet"/>
            </w:pPr>
            <w:r w:rsidRPr="00C45716">
              <w:rPr>
                <w:i/>
              </w:rPr>
              <w:t>Intensity</w:t>
            </w:r>
            <w:r w:rsidRPr="00C45716">
              <w:t xml:space="preserve">: </w:t>
            </w:r>
            <w:r w:rsidR="00200A41">
              <w:t>Not described.</w:t>
            </w:r>
          </w:p>
        </w:tc>
        <w:tc>
          <w:tcPr>
            <w:tcW w:w="4536" w:type="dxa"/>
          </w:tcPr>
          <w:p w14:paraId="727C04B2" w14:textId="77777777" w:rsidR="002108B4" w:rsidRDefault="002108B4" w:rsidP="002108B4">
            <w:r>
              <w:t>Interventions vs control:</w:t>
            </w:r>
          </w:p>
          <w:p w14:paraId="08E73F56" w14:textId="77777777" w:rsidR="002108B4" w:rsidRDefault="002108B4" w:rsidP="002108B4">
            <w:pPr>
              <w:pStyle w:val="bullet"/>
            </w:pPr>
            <w:r w:rsidRPr="002108B4">
              <w:t>the same general pattern of decrease in</w:t>
            </w:r>
            <w:r>
              <w:t xml:space="preserve"> </w:t>
            </w:r>
            <w:r w:rsidRPr="002108B4">
              <w:t>sleep quality, which is related to the progression of pregnancy</w:t>
            </w:r>
          </w:p>
          <w:p w14:paraId="44A25474" w14:textId="500E1358" w:rsidR="002108B4" w:rsidRDefault="002108B4" w:rsidP="002108B4">
            <w:pPr>
              <w:pStyle w:val="bullet"/>
            </w:pPr>
            <w:r w:rsidRPr="002108B4">
              <w:t>a signi</w:t>
            </w:r>
            <w:r w:rsidRPr="002108B4">
              <w:rPr>
                <w:rFonts w:ascii="Helvetica" w:hAnsi="Helvetica"/>
              </w:rPr>
              <w:t>fi</w:t>
            </w:r>
            <w:r w:rsidRPr="002108B4">
              <w:t>cant attenuation of the</w:t>
            </w:r>
            <w:r>
              <w:t xml:space="preserve"> </w:t>
            </w:r>
            <w:r w:rsidRPr="002108B4">
              <w:t>worsening of several sleep characteristics, such as restless sleep, snoring, diurnal tiredness, and excessive</w:t>
            </w:r>
            <w:r>
              <w:t xml:space="preserve"> </w:t>
            </w:r>
            <w:r w:rsidRPr="002108B4">
              <w:t xml:space="preserve">daytime sleepiness. </w:t>
            </w:r>
          </w:p>
          <w:p w14:paraId="786B982B" w14:textId="5700AD88" w:rsidR="00F11C94" w:rsidRPr="00F11C94" w:rsidRDefault="002108B4" w:rsidP="002108B4">
            <w:r w:rsidRPr="002108B4">
              <w:t>Nocturnal and diurnal sleep quantity increased signi</w:t>
            </w:r>
            <w:r w:rsidRPr="002108B4">
              <w:rPr>
                <w:rFonts w:ascii="Helvetica" w:hAnsi="Helvetica"/>
              </w:rPr>
              <w:t>fi</w:t>
            </w:r>
            <w:r w:rsidRPr="002108B4">
              <w:t>cantly in both groups.</w:t>
            </w:r>
          </w:p>
        </w:tc>
        <w:tc>
          <w:tcPr>
            <w:tcW w:w="1843" w:type="dxa"/>
          </w:tcPr>
          <w:p w14:paraId="52B997D7" w14:textId="6EE6D784" w:rsidR="00F11C94" w:rsidRPr="00F11C94" w:rsidRDefault="00BB7EBA" w:rsidP="004B4FD2">
            <w:pPr>
              <w:keepNext/>
            </w:pPr>
            <w:r>
              <w:t>Non-randomised</w:t>
            </w:r>
            <w:r w:rsidR="007E6341">
              <w:t>; data only presented as figures</w:t>
            </w:r>
          </w:p>
        </w:tc>
      </w:tr>
    </w:tbl>
    <w:p w14:paraId="4FBAD4B5" w14:textId="3B9BCA8A" w:rsidR="0053003B" w:rsidRPr="00DC4A73" w:rsidRDefault="009C163D" w:rsidP="00BD61CC">
      <w:pPr>
        <w:pStyle w:val="TableName"/>
        <w:ind w:left="1134" w:hanging="1134"/>
      </w:pPr>
      <w:bookmarkStart w:id="134" w:name="_Toc40956652"/>
      <w:r>
        <w:t xml:space="preserve">Q5 </w:t>
      </w:r>
      <w:r w:rsidR="0053003B">
        <w:t>Physical activity in pregnancy and sleep — observational studies</w:t>
      </w:r>
      <w:bookmarkEnd w:id="13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4: Q5 Physical activity in pregnancy and sleep — observational studies"/>
      </w:tblPr>
      <w:tblGrid>
        <w:gridCol w:w="1305"/>
        <w:gridCol w:w="1388"/>
        <w:gridCol w:w="4820"/>
        <w:gridCol w:w="4536"/>
        <w:gridCol w:w="1843"/>
      </w:tblGrid>
      <w:tr w:rsidR="0053003B" w:rsidRPr="00F350A6" w14:paraId="0FD22336" w14:textId="77777777" w:rsidTr="00781D87">
        <w:trPr>
          <w:cantSplit/>
          <w:trHeight w:val="390"/>
          <w:tblHeader/>
        </w:trPr>
        <w:tc>
          <w:tcPr>
            <w:tcW w:w="1305" w:type="dxa"/>
          </w:tcPr>
          <w:p w14:paraId="4D7F0469" w14:textId="77777777" w:rsidR="0053003B" w:rsidRPr="00F350A6" w:rsidRDefault="0053003B" w:rsidP="004B4FD2">
            <w:pPr>
              <w:keepNext/>
              <w:rPr>
                <w:b/>
              </w:rPr>
            </w:pPr>
            <w:r>
              <w:rPr>
                <w:b/>
              </w:rPr>
              <w:t>Study ref</w:t>
            </w:r>
          </w:p>
        </w:tc>
        <w:tc>
          <w:tcPr>
            <w:tcW w:w="1388" w:type="dxa"/>
          </w:tcPr>
          <w:p w14:paraId="1CD91620" w14:textId="77777777" w:rsidR="0053003B" w:rsidRPr="00F350A6" w:rsidRDefault="0053003B" w:rsidP="004B4FD2">
            <w:pPr>
              <w:keepNext/>
              <w:rPr>
                <w:b/>
              </w:rPr>
            </w:pPr>
            <w:r>
              <w:rPr>
                <w:b/>
              </w:rPr>
              <w:t>N</w:t>
            </w:r>
          </w:p>
        </w:tc>
        <w:tc>
          <w:tcPr>
            <w:tcW w:w="4820" w:type="dxa"/>
          </w:tcPr>
          <w:p w14:paraId="4F328544" w14:textId="77777777" w:rsidR="0053003B" w:rsidRPr="00F350A6" w:rsidRDefault="0053003B" w:rsidP="004B4FD2">
            <w:pPr>
              <w:keepNext/>
              <w:rPr>
                <w:b/>
              </w:rPr>
            </w:pPr>
            <w:r>
              <w:rPr>
                <w:b/>
              </w:rPr>
              <w:t>Aim/methods</w:t>
            </w:r>
          </w:p>
        </w:tc>
        <w:tc>
          <w:tcPr>
            <w:tcW w:w="4536" w:type="dxa"/>
          </w:tcPr>
          <w:p w14:paraId="602F7205" w14:textId="77777777" w:rsidR="0053003B" w:rsidRPr="00F350A6" w:rsidRDefault="0053003B" w:rsidP="004B4FD2">
            <w:pPr>
              <w:keepNext/>
              <w:rPr>
                <w:b/>
              </w:rPr>
            </w:pPr>
            <w:r>
              <w:rPr>
                <w:b/>
              </w:rPr>
              <w:t>Results</w:t>
            </w:r>
          </w:p>
        </w:tc>
        <w:tc>
          <w:tcPr>
            <w:tcW w:w="1843" w:type="dxa"/>
          </w:tcPr>
          <w:p w14:paraId="17360E5F" w14:textId="77777777" w:rsidR="0053003B" w:rsidRPr="00F350A6" w:rsidRDefault="0053003B" w:rsidP="004B4FD2">
            <w:pPr>
              <w:keepNext/>
              <w:rPr>
                <w:b/>
              </w:rPr>
            </w:pPr>
            <w:r>
              <w:rPr>
                <w:b/>
              </w:rPr>
              <w:t>Comments</w:t>
            </w:r>
          </w:p>
        </w:tc>
      </w:tr>
      <w:tr w:rsidR="0053003B" w:rsidRPr="0053003B" w14:paraId="75F387FC" w14:textId="77777777" w:rsidTr="004B4FD2">
        <w:trPr>
          <w:cantSplit/>
          <w:tblHeader/>
        </w:trPr>
        <w:tc>
          <w:tcPr>
            <w:tcW w:w="1305" w:type="dxa"/>
          </w:tcPr>
          <w:p w14:paraId="64441EE8" w14:textId="1B3F5A23" w:rsidR="0053003B" w:rsidRDefault="0053003B" w:rsidP="00BD61CC">
            <w:r>
              <w:t>Loprinzi et al 2012</w:t>
            </w:r>
            <w:r w:rsidR="003E3405">
              <w:fldChar w:fldCharType="begin"/>
            </w:r>
            <w:r w:rsidR="002747EA">
              <w:instrText xml:space="preserve"> ADDIN EN.CITE &lt;EndNote&gt;&lt;Cite&gt;&lt;Author&gt;Loprinzi&lt;/Author&gt;&lt;Year&gt;2012&lt;/Year&gt;&lt;RecNum&gt;809&lt;/RecNum&gt;&lt;DisplayText&gt;&lt;style face="superscript" font="Trebuchet MS" size="9"&gt;290&lt;/style&gt;&lt;/DisplayText&gt;&lt;record&gt;&lt;rec-number&gt;809&lt;/rec-number&gt;&lt;foreign-keys&gt;&lt;key app="EN" db-id="exvasrfx2dtraoesasxp2szsxa2df502592x" timestamp="1541540477"&gt;809&lt;/key&gt;&lt;key app="ENWeb" db-id=""&gt;0&lt;/key&gt;&lt;/foreign-keys&gt;&lt;ref-type name="Journal Article"&gt;17&lt;/ref-type&gt;&lt;contributors&gt;&lt;authors&gt;&lt;author&gt;Loprinzi, Paul D.&lt;/author&gt;&lt;author&gt;Loprinzi, Kristina L.&lt;/author&gt;&lt;author&gt;Cardinal, Bradley J.&lt;/author&gt;&lt;/authors&gt;&lt;/contributors&gt;&lt;titles&gt;&lt;title&gt;The relationship between physical activity and sleep among pregnant women&lt;/title&gt;&lt;secondary-title&gt;Mental Health and Physical Activity&lt;/secondary-title&gt;&lt;/titles&gt;&lt;periodical&gt;&lt;full-title&gt;Mental Health and Physical Activity&lt;/full-title&gt;&lt;/periodical&gt;&lt;pages&gt;22-27&lt;/pages&gt;&lt;volume&gt;5&lt;/volume&gt;&lt;number&gt;1&lt;/number&gt;&lt;section&gt;22&lt;/section&gt;&lt;dates&gt;&lt;year&gt;2012&lt;/year&gt;&lt;/dates&gt;&lt;isbn&gt;17552966&lt;/isbn&gt;&lt;urls&gt;&lt;/urls&gt;&lt;electronic-resource-num&gt;10.1016/j.mhpa.2011.12.002&lt;/electronic-resource-num&gt;&lt;/record&gt;&lt;/Cite&gt;&lt;/EndNote&gt;</w:instrText>
            </w:r>
            <w:r w:rsidR="003E3405">
              <w:fldChar w:fldCharType="separate"/>
            </w:r>
            <w:r w:rsidR="002747EA" w:rsidRPr="002747EA">
              <w:rPr>
                <w:noProof/>
                <w:vertAlign w:val="superscript"/>
              </w:rPr>
              <w:t>290</w:t>
            </w:r>
            <w:r w:rsidR="003E3405">
              <w:fldChar w:fldCharType="end"/>
            </w:r>
          </w:p>
          <w:p w14:paraId="6BA915B0" w14:textId="4A419BEF" w:rsidR="0053003B" w:rsidRPr="0053003B" w:rsidRDefault="0053003B" w:rsidP="00BD61CC">
            <w:r>
              <w:t xml:space="preserve">United States </w:t>
            </w:r>
          </w:p>
        </w:tc>
        <w:tc>
          <w:tcPr>
            <w:tcW w:w="1388" w:type="dxa"/>
          </w:tcPr>
          <w:p w14:paraId="4F56449B" w14:textId="77777777" w:rsidR="0053003B" w:rsidRDefault="00BB7EBA" w:rsidP="00BD61CC">
            <w:r>
              <w:t>138</w:t>
            </w:r>
          </w:p>
          <w:p w14:paraId="50B1FA9F" w14:textId="0BC42C92" w:rsidR="00BB7EBA" w:rsidRPr="0053003B" w:rsidRDefault="00BB7EBA" w:rsidP="00BD61CC">
            <w:r>
              <w:t>Cohort</w:t>
            </w:r>
          </w:p>
        </w:tc>
        <w:tc>
          <w:tcPr>
            <w:tcW w:w="4820" w:type="dxa"/>
          </w:tcPr>
          <w:p w14:paraId="59D8A4D7" w14:textId="18DC0B18" w:rsidR="0053003B" w:rsidRPr="0053003B" w:rsidRDefault="0053003B" w:rsidP="00A37586">
            <w:r w:rsidRPr="0053003B">
              <w:rPr>
                <w:b/>
              </w:rPr>
              <w:t>Aim</w:t>
            </w:r>
            <w:r>
              <w:t xml:space="preserve">: </w:t>
            </w:r>
            <w:r w:rsidRPr="0053003B">
              <w:t>to examine the association between</w:t>
            </w:r>
            <w:r>
              <w:t xml:space="preserve"> </w:t>
            </w:r>
            <w:r w:rsidRPr="0053003B">
              <w:t>objectively-measured physical activity and sleep among a nationally representative sample of U.S.</w:t>
            </w:r>
            <w:r>
              <w:t xml:space="preserve"> </w:t>
            </w:r>
            <w:r w:rsidRPr="0053003B">
              <w:t>pregnant women.</w:t>
            </w:r>
          </w:p>
          <w:p w14:paraId="56E87F00" w14:textId="7197B423" w:rsidR="0053003B" w:rsidRPr="00781D87" w:rsidRDefault="0053003B" w:rsidP="00A37586">
            <w:r w:rsidRPr="0053003B">
              <w:rPr>
                <w:b/>
              </w:rPr>
              <w:t>Methods</w:t>
            </w:r>
            <w:r>
              <w:t xml:space="preserve">: </w:t>
            </w:r>
            <w:r w:rsidRPr="0053003B">
              <w:t>Data from the National Health and Examination Survey 2005</w:t>
            </w:r>
            <w:r>
              <w:t>-</w:t>
            </w:r>
            <w:r w:rsidRPr="0053003B">
              <w:t>2006 was used for the present</w:t>
            </w:r>
            <w:r>
              <w:t xml:space="preserve"> </w:t>
            </w:r>
            <w:r w:rsidRPr="0053003B">
              <w:t xml:space="preserve">study. </w:t>
            </w:r>
            <w:r>
              <w:t>P</w:t>
            </w:r>
            <w:r w:rsidRPr="0053003B">
              <w:t>regnant women who had worn an accelerometer on the right hip for at least</w:t>
            </w:r>
            <w:r>
              <w:t xml:space="preserve"> </w:t>
            </w:r>
            <w:r w:rsidRPr="0053003B">
              <w:t>4 days for a minimum of 10 h per day were identi</w:t>
            </w:r>
            <w:r w:rsidRPr="0053003B">
              <w:rPr>
                <w:rFonts w:ascii="Helvetica" w:hAnsi="Helvetica"/>
              </w:rPr>
              <w:t>fi</w:t>
            </w:r>
            <w:r w:rsidRPr="0053003B">
              <w:t xml:space="preserve">ed. Questions on sleep were asked during </w:t>
            </w:r>
            <w:r w:rsidR="00781D87">
              <w:t xml:space="preserve">a </w:t>
            </w:r>
            <w:r w:rsidRPr="0053003B">
              <w:t>household interview.</w:t>
            </w:r>
          </w:p>
        </w:tc>
        <w:tc>
          <w:tcPr>
            <w:tcW w:w="4536" w:type="dxa"/>
          </w:tcPr>
          <w:p w14:paraId="305D09A7" w14:textId="1822E594" w:rsidR="0053003B" w:rsidRPr="0053003B" w:rsidRDefault="00781D87" w:rsidP="00A37586">
            <w:r>
              <w:t>F</w:t>
            </w:r>
            <w:r w:rsidRPr="00781D87">
              <w:t>or every 1-min increase in moderate-to</w:t>
            </w:r>
            <w:r>
              <w:t>-</w:t>
            </w:r>
            <w:r w:rsidRPr="00781D87">
              <w:t>vigorous</w:t>
            </w:r>
            <w:r>
              <w:t xml:space="preserve"> </w:t>
            </w:r>
            <w:r w:rsidRPr="00781D87">
              <w:t>physical activity, pregnant women were 17% less likely to have dif</w:t>
            </w:r>
            <w:r w:rsidRPr="00781D87">
              <w:rPr>
                <w:rFonts w:ascii="Helvetica" w:hAnsi="Helvetica"/>
              </w:rPr>
              <w:t>fi</w:t>
            </w:r>
            <w:r w:rsidRPr="00781D87">
              <w:t xml:space="preserve">culty </w:t>
            </w:r>
            <w:r w:rsidRPr="00781D87">
              <w:rPr>
                <w:rFonts w:ascii="Helvetica" w:hAnsi="Helvetica"/>
              </w:rPr>
              <w:t>fi</w:t>
            </w:r>
            <w:r w:rsidRPr="00781D87">
              <w:t>nishing a meal becau</w:t>
            </w:r>
            <w:r>
              <w:t>se of being tired or sleepy (OR</w:t>
            </w:r>
            <w:r w:rsidRPr="00781D87">
              <w:t xml:space="preserve"> </w:t>
            </w:r>
            <w:r>
              <w:t>1.17; 95%CI</w:t>
            </w:r>
            <w:r w:rsidRPr="00781D87">
              <w:t xml:space="preserve"> 0.98</w:t>
            </w:r>
            <w:r>
              <w:t xml:space="preserve"> to 1.38;</w:t>
            </w:r>
            <w:r w:rsidRPr="00781D87">
              <w:t xml:space="preserve"> p</w:t>
            </w:r>
            <w:r>
              <w:t>=</w:t>
            </w:r>
            <w:r w:rsidRPr="00781D87">
              <w:t>0.06).</w:t>
            </w:r>
          </w:p>
        </w:tc>
        <w:tc>
          <w:tcPr>
            <w:tcW w:w="1843" w:type="dxa"/>
          </w:tcPr>
          <w:p w14:paraId="7C481FA9" w14:textId="77777777" w:rsidR="0053003B" w:rsidRPr="0053003B" w:rsidRDefault="0053003B" w:rsidP="00BD61CC"/>
        </w:tc>
      </w:tr>
    </w:tbl>
    <w:p w14:paraId="6206AD1B" w14:textId="77777777" w:rsidR="00921608" w:rsidRDefault="00921608" w:rsidP="00921608">
      <w:pPr>
        <w:pStyle w:val="Heading4"/>
        <w:spacing w:before="240" w:after="0"/>
      </w:pPr>
      <w:r>
        <w:t>Labour</w:t>
      </w:r>
    </w:p>
    <w:p w14:paraId="5485D499" w14:textId="62B5E759" w:rsidR="00921608" w:rsidRPr="00DC4A73" w:rsidRDefault="009C163D" w:rsidP="00932C6D">
      <w:pPr>
        <w:pStyle w:val="TableName"/>
      </w:pPr>
      <w:bookmarkStart w:id="135" w:name="_Toc40956653"/>
      <w:r>
        <w:t xml:space="preserve">Q5 </w:t>
      </w:r>
      <w:r w:rsidR="00921608">
        <w:t>Physical activity in pregnancy and duration of labour — systematic review</w:t>
      </w:r>
      <w:bookmarkEnd w:id="13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5: Q5 Physical activity in pregnancy and duration of labour — systematic review"/>
      </w:tblPr>
      <w:tblGrid>
        <w:gridCol w:w="1305"/>
        <w:gridCol w:w="1247"/>
        <w:gridCol w:w="4961"/>
        <w:gridCol w:w="4536"/>
        <w:gridCol w:w="1843"/>
      </w:tblGrid>
      <w:tr w:rsidR="00921608" w:rsidRPr="00F350A6" w14:paraId="73B2AE2E" w14:textId="77777777" w:rsidTr="00D86DBF">
        <w:trPr>
          <w:cantSplit/>
          <w:tblHeader/>
        </w:trPr>
        <w:tc>
          <w:tcPr>
            <w:tcW w:w="1305" w:type="dxa"/>
          </w:tcPr>
          <w:p w14:paraId="2D39E4C0" w14:textId="77777777" w:rsidR="00921608" w:rsidRPr="00F350A6" w:rsidRDefault="00921608" w:rsidP="00D86DBF">
            <w:pPr>
              <w:keepNext/>
              <w:rPr>
                <w:b/>
              </w:rPr>
            </w:pPr>
            <w:r>
              <w:rPr>
                <w:b/>
              </w:rPr>
              <w:t>Study ref</w:t>
            </w:r>
          </w:p>
        </w:tc>
        <w:tc>
          <w:tcPr>
            <w:tcW w:w="1247" w:type="dxa"/>
          </w:tcPr>
          <w:p w14:paraId="21095432" w14:textId="77777777" w:rsidR="00921608" w:rsidRPr="00F350A6" w:rsidRDefault="00921608" w:rsidP="00D86DBF">
            <w:pPr>
              <w:keepNext/>
              <w:rPr>
                <w:b/>
              </w:rPr>
            </w:pPr>
            <w:r>
              <w:rPr>
                <w:b/>
              </w:rPr>
              <w:t>N</w:t>
            </w:r>
          </w:p>
        </w:tc>
        <w:tc>
          <w:tcPr>
            <w:tcW w:w="4961" w:type="dxa"/>
          </w:tcPr>
          <w:p w14:paraId="7DEFCFB6" w14:textId="77777777" w:rsidR="00921608" w:rsidRPr="00F350A6" w:rsidRDefault="00921608" w:rsidP="00D86DBF">
            <w:pPr>
              <w:keepNext/>
              <w:rPr>
                <w:b/>
              </w:rPr>
            </w:pPr>
            <w:r>
              <w:rPr>
                <w:b/>
              </w:rPr>
              <w:t>Aim/methods</w:t>
            </w:r>
          </w:p>
        </w:tc>
        <w:tc>
          <w:tcPr>
            <w:tcW w:w="4536" w:type="dxa"/>
          </w:tcPr>
          <w:p w14:paraId="7400793E" w14:textId="77777777" w:rsidR="00921608" w:rsidRPr="00F350A6" w:rsidRDefault="00921608" w:rsidP="00D86DBF">
            <w:pPr>
              <w:keepNext/>
              <w:rPr>
                <w:b/>
              </w:rPr>
            </w:pPr>
            <w:r>
              <w:rPr>
                <w:b/>
              </w:rPr>
              <w:t>Results</w:t>
            </w:r>
          </w:p>
        </w:tc>
        <w:tc>
          <w:tcPr>
            <w:tcW w:w="1843" w:type="dxa"/>
          </w:tcPr>
          <w:p w14:paraId="513830BD" w14:textId="77777777" w:rsidR="00921608" w:rsidRPr="00F350A6" w:rsidRDefault="00921608" w:rsidP="00D86DBF">
            <w:pPr>
              <w:keepNext/>
              <w:rPr>
                <w:b/>
              </w:rPr>
            </w:pPr>
            <w:r>
              <w:rPr>
                <w:b/>
              </w:rPr>
              <w:t>Comments</w:t>
            </w:r>
          </w:p>
        </w:tc>
      </w:tr>
      <w:tr w:rsidR="00921608" w:rsidRPr="00DC4A73" w14:paraId="11AF3490" w14:textId="77777777" w:rsidTr="00D86DBF">
        <w:trPr>
          <w:cantSplit/>
          <w:tblHeader/>
        </w:trPr>
        <w:tc>
          <w:tcPr>
            <w:tcW w:w="1305" w:type="dxa"/>
          </w:tcPr>
          <w:p w14:paraId="28D10DA7" w14:textId="2B0C5CD5" w:rsidR="00921608" w:rsidRPr="00DC4A73" w:rsidRDefault="00921608" w:rsidP="002747EA">
            <w:r>
              <w:t>Kramer et al 2006</w:t>
            </w:r>
            <w:r>
              <w:fldChar w:fldCharType="begin"/>
            </w:r>
            <w:r w:rsidR="002747EA">
              <w:instrText xml:space="preserve"> ADDIN EN.CITE &lt;EndNote&gt;&lt;Cite&gt;&lt;Author&gt;Kramer&lt;/Author&gt;&lt;Year&gt;2006&lt;/Year&gt;&lt;RecNum&gt;633&lt;/RecNum&gt;&lt;DisplayText&gt;&lt;style face="superscript" font="Trebuchet MS" size="9"&gt;291&lt;/style&gt;&lt;/DisplayText&gt;&lt;record&gt;&lt;rec-number&gt;633&lt;/rec-number&gt;&lt;foreign-keys&gt;&lt;key app="EN" db-id="exvasrfx2dtraoesasxp2szsxa2df502592x" timestamp="1540425550"&gt;633&lt;/key&gt;&lt;key app="ENWeb" db-id=""&gt;0&lt;/key&gt;&lt;/foreign-keys&gt;&lt;ref-type name="Journal Article"&gt;17&lt;/ref-type&gt;&lt;contributors&gt;&lt;authors&gt;&lt;author&gt;Kramer, Michael S.&lt;/author&gt;&lt;author&gt;McDonald, Sheila W.&lt;/author&gt;&lt;/authors&gt;&lt;/contributors&gt;&lt;titles&gt;&lt;title&gt;Aerobic exercise for women during pregnancy&lt;/title&gt;&lt;secondary-title&gt;Cochrane Database of Systematic Reviews&lt;/secondary-title&gt;&lt;/titles&gt;&lt;periodical&gt;&lt;full-title&gt;Cochrane Database of Systematic Reviews&lt;/full-title&gt;&lt;/periodical&gt;&lt;dates&gt;&lt;year&gt;2006&lt;/year&gt;&lt;/dates&gt;&lt;isbn&gt;14651858&lt;/isbn&gt;&lt;urls&gt;&lt;/urls&gt;&lt;electronic-resource-num&gt;10.1002/14651858.CD000180.pub2&lt;/electronic-resource-num&gt;&lt;/record&gt;&lt;/Cite&gt;&lt;/EndNote&gt;</w:instrText>
            </w:r>
            <w:r>
              <w:fldChar w:fldCharType="separate"/>
            </w:r>
            <w:r w:rsidR="002747EA" w:rsidRPr="002747EA">
              <w:rPr>
                <w:noProof/>
                <w:vertAlign w:val="superscript"/>
              </w:rPr>
              <w:t>291</w:t>
            </w:r>
            <w:r>
              <w:fldChar w:fldCharType="end"/>
            </w:r>
          </w:p>
        </w:tc>
        <w:tc>
          <w:tcPr>
            <w:tcW w:w="1247" w:type="dxa"/>
          </w:tcPr>
          <w:p w14:paraId="77058BB8" w14:textId="77777777" w:rsidR="00921608" w:rsidRDefault="00921608" w:rsidP="00D86DBF">
            <w:r>
              <w:t xml:space="preserve">1 study </w:t>
            </w:r>
          </w:p>
          <w:p w14:paraId="2ACDF9B2" w14:textId="77777777" w:rsidR="00921608" w:rsidRPr="00DC4A73" w:rsidRDefault="00921608" w:rsidP="00D86DBF">
            <w:r>
              <w:t>n=18</w:t>
            </w:r>
          </w:p>
        </w:tc>
        <w:tc>
          <w:tcPr>
            <w:tcW w:w="4961" w:type="dxa"/>
          </w:tcPr>
          <w:p w14:paraId="3AF0F236" w14:textId="77777777" w:rsidR="00921608" w:rsidRPr="00DE6BD0" w:rsidRDefault="00921608" w:rsidP="00D86DBF">
            <w:r w:rsidRPr="00DE6BD0">
              <w:rPr>
                <w:b/>
              </w:rPr>
              <w:t>Aim</w:t>
            </w:r>
            <w:r>
              <w:t xml:space="preserve">: </w:t>
            </w:r>
            <w:r w:rsidRPr="00DE6BD0">
              <w:t>To assess the effects of advising healthy pregnant women to engage in regular aerobic exercise (at least two to three times per week), or</w:t>
            </w:r>
            <w:r>
              <w:t xml:space="preserve"> </w:t>
            </w:r>
            <w:r w:rsidRPr="00DE6BD0">
              <w:t>to increase or reduce the intensity, duration, or frequency of such exercise, on physical fitness, the course of labour and delivery, and</w:t>
            </w:r>
            <w:r>
              <w:t xml:space="preserve"> </w:t>
            </w:r>
            <w:r w:rsidRPr="00DE6BD0">
              <w:t>the outcome of pregnancy.</w:t>
            </w:r>
          </w:p>
          <w:p w14:paraId="4888E592" w14:textId="77777777" w:rsidR="00921608" w:rsidRPr="00DC4A73" w:rsidRDefault="00921608" w:rsidP="00D86DBF">
            <w:r w:rsidRPr="001823B7">
              <w:rPr>
                <w:b/>
              </w:rPr>
              <w:t>Methods</w:t>
            </w:r>
            <w:r>
              <w:t xml:space="preserve">: </w:t>
            </w:r>
            <w:r w:rsidRPr="001823B7">
              <w:t>We searched the Cochrane Pregnancy and Childbirth Group’s Trials Register (31 August 2009), MEDLINE (1966 to August 2009), EMBASE (1980 to August 2009), Conference Papers Index (earliest to August 2009), contacted researchers in the field and searched reference lists of retrieved articles.</w:t>
            </w:r>
          </w:p>
        </w:tc>
        <w:tc>
          <w:tcPr>
            <w:tcW w:w="4536" w:type="dxa"/>
          </w:tcPr>
          <w:p w14:paraId="46DBF7B7" w14:textId="77777777" w:rsidR="00921608" w:rsidRDefault="00921608" w:rsidP="00D86DBF">
            <w:r>
              <w:t>Intervention vs control increase in exercise in sedentary women:</w:t>
            </w:r>
          </w:p>
          <w:p w14:paraId="7FBB13F9" w14:textId="77777777" w:rsidR="00921608" w:rsidRDefault="00921608" w:rsidP="00D86DBF">
            <w:pPr>
              <w:pStyle w:val="bullet"/>
            </w:pPr>
            <w:r>
              <w:t>First stage of labour: MD 2.00 (-1.15 to 5.15)</w:t>
            </w:r>
          </w:p>
          <w:p w14:paraId="46FA3842" w14:textId="77777777" w:rsidR="00921608" w:rsidRPr="00DC4A73" w:rsidRDefault="00921608" w:rsidP="00D86DBF">
            <w:pPr>
              <w:pStyle w:val="bullet"/>
            </w:pPr>
            <w:r>
              <w:t>Second stage of labour: MD -5.72 (-15.22 to 3.78)</w:t>
            </w:r>
          </w:p>
        </w:tc>
        <w:tc>
          <w:tcPr>
            <w:tcW w:w="1843" w:type="dxa"/>
          </w:tcPr>
          <w:p w14:paraId="084D1F1C" w14:textId="77777777" w:rsidR="00921608" w:rsidRPr="00DC4A73" w:rsidRDefault="00921608" w:rsidP="00D86DBF"/>
        </w:tc>
      </w:tr>
    </w:tbl>
    <w:p w14:paraId="0980456B" w14:textId="77792BA7" w:rsidR="00921608" w:rsidRPr="00DC4A73" w:rsidRDefault="009C163D" w:rsidP="00932C6D">
      <w:pPr>
        <w:pStyle w:val="TableName"/>
      </w:pPr>
      <w:bookmarkStart w:id="136" w:name="_Toc40956654"/>
      <w:r>
        <w:t xml:space="preserve">Q5 </w:t>
      </w:r>
      <w:r w:rsidR="00921608">
        <w:t>Physical activity in pregnancy and duration of labour — RCTs</w:t>
      </w:r>
      <w:bookmarkEnd w:id="136"/>
    </w:p>
    <w:tbl>
      <w:tblPr>
        <w:tblStyle w:val="TableGrid"/>
        <w:tblW w:w="1389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6: Q5 Physical activity in pregnancy and duration of labour — RCTs"/>
      </w:tblPr>
      <w:tblGrid>
        <w:gridCol w:w="1275"/>
        <w:gridCol w:w="1276"/>
        <w:gridCol w:w="4819"/>
        <w:gridCol w:w="4678"/>
        <w:gridCol w:w="1844"/>
      </w:tblGrid>
      <w:tr w:rsidR="006C2075" w:rsidRPr="0099206A" w14:paraId="629623CB" w14:textId="77777777" w:rsidTr="006C2075">
        <w:trPr>
          <w:cantSplit/>
          <w:tblHeader/>
        </w:trPr>
        <w:tc>
          <w:tcPr>
            <w:tcW w:w="1275" w:type="dxa"/>
          </w:tcPr>
          <w:p w14:paraId="18F3C9D4" w14:textId="77777777" w:rsidR="00921608" w:rsidRPr="0099206A" w:rsidRDefault="00921608" w:rsidP="0099206A">
            <w:pPr>
              <w:rPr>
                <w:b/>
              </w:rPr>
            </w:pPr>
            <w:r w:rsidRPr="0099206A">
              <w:rPr>
                <w:b/>
              </w:rPr>
              <w:t>Study ref</w:t>
            </w:r>
          </w:p>
        </w:tc>
        <w:tc>
          <w:tcPr>
            <w:tcW w:w="1276" w:type="dxa"/>
          </w:tcPr>
          <w:p w14:paraId="5B928715" w14:textId="77777777" w:rsidR="00921608" w:rsidRPr="0099206A" w:rsidRDefault="00921608" w:rsidP="00D86DBF">
            <w:pPr>
              <w:keepNext/>
              <w:rPr>
                <w:b/>
              </w:rPr>
            </w:pPr>
            <w:r w:rsidRPr="0099206A">
              <w:rPr>
                <w:b/>
              </w:rPr>
              <w:t>N</w:t>
            </w:r>
          </w:p>
        </w:tc>
        <w:tc>
          <w:tcPr>
            <w:tcW w:w="4819" w:type="dxa"/>
          </w:tcPr>
          <w:p w14:paraId="1F550BE5" w14:textId="77777777" w:rsidR="00921608" w:rsidRPr="0099206A" w:rsidRDefault="00921608" w:rsidP="00D86DBF">
            <w:pPr>
              <w:keepNext/>
              <w:rPr>
                <w:b/>
              </w:rPr>
            </w:pPr>
            <w:r w:rsidRPr="0099206A">
              <w:rPr>
                <w:b/>
              </w:rPr>
              <w:t>Aim/population/intervention</w:t>
            </w:r>
          </w:p>
        </w:tc>
        <w:tc>
          <w:tcPr>
            <w:tcW w:w="4678" w:type="dxa"/>
          </w:tcPr>
          <w:p w14:paraId="1CB60CD0" w14:textId="77777777" w:rsidR="00921608" w:rsidRPr="0099206A" w:rsidRDefault="00921608" w:rsidP="00D86DBF">
            <w:pPr>
              <w:keepNext/>
              <w:rPr>
                <w:b/>
              </w:rPr>
            </w:pPr>
            <w:r w:rsidRPr="0099206A">
              <w:rPr>
                <w:b/>
              </w:rPr>
              <w:t>Results</w:t>
            </w:r>
          </w:p>
        </w:tc>
        <w:tc>
          <w:tcPr>
            <w:tcW w:w="1844" w:type="dxa"/>
          </w:tcPr>
          <w:p w14:paraId="0F163905" w14:textId="77777777" w:rsidR="00921608" w:rsidRPr="0099206A" w:rsidRDefault="00921608" w:rsidP="00D86DBF">
            <w:pPr>
              <w:keepNext/>
              <w:rPr>
                <w:b/>
              </w:rPr>
            </w:pPr>
            <w:r w:rsidRPr="0099206A">
              <w:rPr>
                <w:b/>
              </w:rPr>
              <w:t>Comments</w:t>
            </w:r>
          </w:p>
        </w:tc>
      </w:tr>
      <w:tr w:rsidR="006C2075" w:rsidRPr="00DC4A73" w14:paraId="0EDDD2F5" w14:textId="77777777" w:rsidTr="006C2075">
        <w:trPr>
          <w:cantSplit/>
        </w:trPr>
        <w:tc>
          <w:tcPr>
            <w:tcW w:w="1275" w:type="dxa"/>
          </w:tcPr>
          <w:p w14:paraId="34E81EAE" w14:textId="0F795A6F" w:rsidR="00921608" w:rsidRPr="00C12274" w:rsidRDefault="00921608" w:rsidP="0099206A">
            <w:r w:rsidRPr="00C12274">
              <w:rPr>
                <w:noProof/>
              </w:rPr>
              <w:t>Baciuk et al 2008;</w:t>
            </w:r>
            <w:r>
              <w:rPr>
                <w:noProof/>
              </w:rPr>
              <w:fldChar w:fldCharType="begin"/>
            </w:r>
            <w:r w:rsidR="002747EA">
              <w:rPr>
                <w:noProof/>
              </w:rPr>
              <w:instrText xml:space="preserve"> ADDIN EN.CITE &lt;EndNote&gt;&lt;Cite&gt;&lt;Author&gt;Baciuk&lt;/Author&gt;&lt;Year&gt;2008&lt;/Year&gt;&lt;RecNum&gt;679&lt;/RecNum&gt;&lt;DisplayText&gt;&lt;style face="superscript" font="Trebuchet MS" size="9"&gt;292&lt;/style&gt;&lt;/DisplayText&gt;&lt;record&gt;&lt;rec-number&gt;679&lt;/rec-number&gt;&lt;foreign-keys&gt;&lt;key app="EN" db-id="exvasrfx2dtraoesasxp2szsxa2df502592x" timestamp="1540526890"&gt;679&lt;/key&gt;&lt;/foreign-keys&gt;&lt;ref-type name="Journal Article"&gt;17&lt;/ref-type&gt;&lt;contributors&gt;&lt;authors&gt;&lt;author&gt;Baciuk, E. P.&lt;/author&gt;&lt;author&gt;Pereira, R. I.&lt;/author&gt;&lt;author&gt;Cecatti, J. G.&lt;/author&gt;&lt;author&gt;Braga, A. F.&lt;/author&gt;&lt;author&gt;Cavalcante, S. R.&lt;/author&gt;&lt;/authors&gt;&lt;/contributors&gt;&lt;auth-address&gt;Department of Obstetrics and Gynecology, University of Campinas, Sao Paulo, Brazil. ericaxba@terra.com.br&lt;/auth-address&gt;&lt;titles&gt;&lt;title&gt;Water aerobics in pregnancy: Cardiovascular response, labor and neonatal outcomes&lt;/title&gt;&lt;secondary-title&gt;Reprod Health&lt;/secondary-title&gt;&lt;/titles&gt;&lt;periodical&gt;&lt;full-title&gt;Reprod Health&lt;/full-title&gt;&lt;/periodical&gt;&lt;pages&gt;10&lt;/pages&gt;&lt;volume&gt;5&lt;/volume&gt;&lt;edition&gt;2008/11/26&lt;/edition&gt;&lt;dates&gt;&lt;year&gt;2008&lt;/year&gt;&lt;pub-dates&gt;&lt;date&gt;Nov 21&lt;/date&gt;&lt;/pub-dates&gt;&lt;/dates&gt;&lt;isbn&gt;1742-4755 (Electronic)&amp;#xD;1742-4755 (Linking)&lt;/isbn&gt;&lt;accession-num&gt;19025579&lt;/accession-num&gt;&lt;urls&gt;&lt;related-urls&gt;&lt;url&gt;https://www.ncbi.nlm.nih.gov/pubmed/19025579&lt;/url&gt;&lt;/related-urls&gt;&lt;/urls&gt;&lt;custom2&gt;PMC2613131&lt;/custom2&gt;&lt;electronic-resource-num&gt;10.1186/1742-4755-5-10&lt;/electronic-resource-num&gt;&lt;/record&gt;&lt;/Cite&gt;&lt;/EndNote&gt;</w:instrText>
            </w:r>
            <w:r>
              <w:rPr>
                <w:noProof/>
              </w:rPr>
              <w:fldChar w:fldCharType="separate"/>
            </w:r>
            <w:r w:rsidR="002747EA" w:rsidRPr="002747EA">
              <w:rPr>
                <w:noProof/>
                <w:vertAlign w:val="superscript"/>
              </w:rPr>
              <w:t>292</w:t>
            </w:r>
            <w:r>
              <w:rPr>
                <w:noProof/>
              </w:rPr>
              <w:fldChar w:fldCharType="end"/>
            </w:r>
            <w:r w:rsidRPr="00C12274">
              <w:rPr>
                <w:noProof/>
              </w:rPr>
              <w:t xml:space="preserve"> Cavalcante et al 2009</w:t>
            </w:r>
            <w:r>
              <w:rPr>
                <w:noProof/>
              </w:rPr>
              <w:fldChar w:fldCharType="begin"/>
            </w:r>
            <w:r w:rsidR="002747EA">
              <w:rPr>
                <w:noProof/>
              </w:rPr>
              <w:instrText xml:space="preserve"> ADDIN EN.CITE &lt;EndNote&gt;&lt;Cite&gt;&lt;Author&gt;Cavalcante&lt;/Author&gt;&lt;Year&gt;2009&lt;/Year&gt;&lt;RecNum&gt;605&lt;/RecNum&gt;&lt;DisplayText&gt;&lt;style face="superscript" font="Trebuchet MS" size="9"&gt;312&lt;/style&gt;&lt;/DisplayText&gt;&lt;record&gt;&lt;rec-number&gt;605&lt;/rec-number&gt;&lt;foreign-keys&gt;&lt;key app="EN" db-id="exvasrfx2dtraoesasxp2szsxa2df502592x" timestamp="1539048322"&gt;605&lt;/key&gt;&lt;key app="ENWeb" db-id=""&gt;0&lt;/key&gt;&lt;/foreign-keys&gt;&lt;ref-type name="Journal Article"&gt;17&lt;/ref-type&gt;&lt;contributors&gt;&lt;authors&gt;&lt;author&gt;Cavalcante, S. R.&lt;/author&gt;&lt;author&gt;Cecatti, J. G.&lt;/author&gt;&lt;author&gt;Pereira, R. I.&lt;/author&gt;&lt;author&gt;Baciuk, E. P.&lt;/author&gt;&lt;author&gt;Bernardo, A. L.&lt;/author&gt;&lt;author&gt;Silveira, C.&lt;/author&gt;&lt;/authors&gt;&lt;/contributors&gt;&lt;auth-address&gt;Department of Obstetrics and Gynecology, University of Campinas, Sao Paulo, Brazil. cccavalcante@terra.com.br&lt;/auth-address&gt;&lt;titles&gt;&lt;title&gt;Water aerobics II: maternal body composition and perinatal outcomes after a program for low risk pregnant women&lt;/title&gt;&lt;secondary-title&gt;Reprod Health&lt;/secondary-title&gt;&lt;/titles&gt;&lt;periodical&gt;&lt;full-title&gt;Reprod Health&lt;/full-title&gt;&lt;/periodical&gt;&lt;pages&gt;1&lt;/pages&gt;&lt;volume&gt;6&lt;/volume&gt;&lt;edition&gt;2009/01/08&lt;/edition&gt;&lt;dates&gt;&lt;year&gt;2009&lt;/year&gt;&lt;pub-dates&gt;&lt;date&gt;Jan 6&lt;/date&gt;&lt;/pub-dates&gt;&lt;/dates&gt;&lt;isbn&gt;1742-4755 (Electronic)&amp;#xD;1742-4755 (Linking)&lt;/isbn&gt;&lt;accession-num&gt;19126239&lt;/accession-num&gt;&lt;urls&gt;&lt;related-urls&gt;&lt;url&gt;https://www.ncbi.nlm.nih.gov/pubmed/19126239&lt;/url&gt;&lt;/related-urls&gt;&lt;/urls&gt;&lt;custom2&gt;PMC2628875&lt;/custom2&gt;&lt;electronic-resource-num&gt;10.1186/1742-4755-6-1&lt;/electronic-resource-num&gt;&lt;/record&gt;&lt;/Cite&gt;&lt;/EndNote&gt;</w:instrText>
            </w:r>
            <w:r>
              <w:rPr>
                <w:noProof/>
              </w:rPr>
              <w:fldChar w:fldCharType="separate"/>
            </w:r>
            <w:r w:rsidR="002747EA" w:rsidRPr="002747EA">
              <w:rPr>
                <w:noProof/>
                <w:vertAlign w:val="superscript"/>
              </w:rPr>
              <w:t>312</w:t>
            </w:r>
            <w:r>
              <w:rPr>
                <w:noProof/>
              </w:rPr>
              <w:fldChar w:fldCharType="end"/>
            </w:r>
          </w:p>
          <w:p w14:paraId="47EDBD52" w14:textId="77777777" w:rsidR="00921608" w:rsidRPr="00C12274" w:rsidRDefault="00921608" w:rsidP="0099206A">
            <w:pPr>
              <w:rPr>
                <w:noProof/>
              </w:rPr>
            </w:pPr>
            <w:r w:rsidRPr="00C12274">
              <w:t>Brazil</w:t>
            </w:r>
          </w:p>
        </w:tc>
        <w:tc>
          <w:tcPr>
            <w:tcW w:w="1276" w:type="dxa"/>
          </w:tcPr>
          <w:p w14:paraId="0684D0E7" w14:textId="2239FABF" w:rsidR="00921608" w:rsidRDefault="00921608" w:rsidP="00D86DBF">
            <w:r>
              <w:t>Intervention 34</w:t>
            </w:r>
          </w:p>
          <w:p w14:paraId="304EE6CA" w14:textId="77777777" w:rsidR="00921608" w:rsidRDefault="00921608" w:rsidP="00D86DBF">
            <w:r>
              <w:t>Control: 37</w:t>
            </w:r>
          </w:p>
        </w:tc>
        <w:tc>
          <w:tcPr>
            <w:tcW w:w="4819" w:type="dxa"/>
          </w:tcPr>
          <w:p w14:paraId="5DF8A80D" w14:textId="77777777" w:rsidR="00921608" w:rsidRDefault="00921608" w:rsidP="00D86DBF">
            <w:r w:rsidRPr="0000282F">
              <w:rPr>
                <w:b/>
              </w:rPr>
              <w:t>Aim</w:t>
            </w:r>
            <w:r>
              <w:t xml:space="preserve">: </w:t>
            </w:r>
            <w:r w:rsidRPr="0000282F">
              <w:t>To evaluate the association between water aerobics, maternal cardiovascular capacity during pregnancy, labo</w:t>
            </w:r>
            <w:r>
              <w:t>u</w:t>
            </w:r>
            <w:r w:rsidRPr="0000282F">
              <w:t xml:space="preserve">r and neonatal outcomes. </w:t>
            </w:r>
          </w:p>
          <w:p w14:paraId="2753DE4E" w14:textId="77777777" w:rsidR="00921608" w:rsidRDefault="00921608" w:rsidP="00D86DBF">
            <w:r w:rsidRPr="0000282F">
              <w:rPr>
                <w:b/>
              </w:rPr>
              <w:t>Population</w:t>
            </w:r>
            <w:r>
              <w:t>: W</w:t>
            </w:r>
            <w:r w:rsidRPr="00C0211C">
              <w:t>omen of &lt; 20 weeks of pregnancy</w:t>
            </w:r>
            <w:r>
              <w:t xml:space="preserve"> with a singleton pregnancy</w:t>
            </w:r>
            <w:r w:rsidRPr="00C0211C">
              <w:t xml:space="preserve"> and no gestational risk factors</w:t>
            </w:r>
            <w:r>
              <w:t>. Mixed BMIs.</w:t>
            </w:r>
          </w:p>
          <w:p w14:paraId="5784192C" w14:textId="77777777" w:rsidR="00921608" w:rsidRDefault="00921608" w:rsidP="00D86DBF">
            <w:r w:rsidRPr="005E4EF9">
              <w:rPr>
                <w:b/>
              </w:rPr>
              <w:t>Intervention</w:t>
            </w:r>
            <w:r>
              <w:rPr>
                <w:b/>
              </w:rPr>
              <w:t>:</w:t>
            </w:r>
          </w:p>
          <w:p w14:paraId="01C687BA" w14:textId="77777777" w:rsidR="00921608" w:rsidRPr="00C45716" w:rsidRDefault="00921608" w:rsidP="00D86DBF">
            <w:pPr>
              <w:pStyle w:val="bullet"/>
            </w:pPr>
            <w:r w:rsidRPr="00C45716">
              <w:rPr>
                <w:i/>
              </w:rPr>
              <w:t>Supervised</w:t>
            </w:r>
            <w:r w:rsidRPr="00C45716">
              <w:t>: Yes</w:t>
            </w:r>
          </w:p>
          <w:p w14:paraId="38519CC6" w14:textId="77777777" w:rsidR="00921608" w:rsidRPr="000F6E85" w:rsidRDefault="00921608" w:rsidP="00D86DBF">
            <w:pPr>
              <w:pStyle w:val="bullet"/>
            </w:pPr>
            <w:r w:rsidRPr="00C45716">
              <w:rPr>
                <w:i/>
              </w:rPr>
              <w:t>Type and duration</w:t>
            </w:r>
            <w:r w:rsidRPr="00C45716">
              <w:t xml:space="preserve">: Aerobic; Aquatic; </w:t>
            </w:r>
            <w:r w:rsidRPr="000F6E85">
              <w:t>50 min 3 times a week from &lt;20 wks to birth</w:t>
            </w:r>
          </w:p>
          <w:p w14:paraId="2DF8263C" w14:textId="77777777" w:rsidR="00921608" w:rsidRPr="00A33A8C" w:rsidRDefault="00921608" w:rsidP="00D86DBF">
            <w:pPr>
              <w:pStyle w:val="bullet"/>
              <w:rPr>
                <w:b/>
              </w:rPr>
            </w:pPr>
            <w:r w:rsidRPr="00C45716">
              <w:rPr>
                <w:i/>
              </w:rPr>
              <w:t>Intensity</w:t>
            </w:r>
            <w:r w:rsidRPr="00C45716">
              <w:t xml:space="preserve">: </w:t>
            </w:r>
            <w:r w:rsidRPr="00C12274">
              <w:t>Moderate 70% predicted HR</w:t>
            </w:r>
          </w:p>
        </w:tc>
        <w:tc>
          <w:tcPr>
            <w:tcW w:w="4678" w:type="dxa"/>
          </w:tcPr>
          <w:p w14:paraId="23DF8F29" w14:textId="77777777" w:rsidR="00921608" w:rsidRDefault="00921608" w:rsidP="00D86DBF">
            <w:r>
              <w:t>Intervention vs control:</w:t>
            </w:r>
          </w:p>
          <w:p w14:paraId="5283D6AF" w14:textId="77777777" w:rsidR="00921608" w:rsidRPr="00BD6935" w:rsidRDefault="00921608" w:rsidP="00D86DBF">
            <w:pPr>
              <w:pStyle w:val="bullet"/>
            </w:pPr>
            <w:r>
              <w:t>Length of labour: 457.9±</w:t>
            </w:r>
            <w:r w:rsidRPr="00BD6935">
              <w:t xml:space="preserve">249.6 </w:t>
            </w:r>
            <w:r>
              <w:t xml:space="preserve">vs </w:t>
            </w:r>
            <w:r w:rsidRPr="00BD6935">
              <w:t>4</w:t>
            </w:r>
            <w:r>
              <w:t>28.9±</w:t>
            </w:r>
            <w:r w:rsidRPr="00BD6935">
              <w:t xml:space="preserve">203.2 </w:t>
            </w:r>
            <w:r>
              <w:t>p=0.69</w:t>
            </w:r>
          </w:p>
        </w:tc>
        <w:tc>
          <w:tcPr>
            <w:tcW w:w="1844" w:type="dxa"/>
          </w:tcPr>
          <w:p w14:paraId="26CFD9A8" w14:textId="77777777" w:rsidR="00921608" w:rsidRPr="00DC4A73" w:rsidRDefault="00921608" w:rsidP="00D86DBF">
            <w:pPr>
              <w:keepNext/>
            </w:pPr>
          </w:p>
        </w:tc>
      </w:tr>
      <w:tr w:rsidR="006C2075" w:rsidRPr="00DC4A73" w14:paraId="1938B391" w14:textId="77777777" w:rsidTr="006C2075">
        <w:trPr>
          <w:cantSplit/>
        </w:trPr>
        <w:tc>
          <w:tcPr>
            <w:tcW w:w="1275" w:type="dxa"/>
          </w:tcPr>
          <w:p w14:paraId="6EF2BB12" w14:textId="2D081915" w:rsidR="00921608" w:rsidRPr="00C12274" w:rsidRDefault="00921608" w:rsidP="0099206A">
            <w:r w:rsidRPr="00C12274">
              <w:rPr>
                <w:noProof/>
              </w:rPr>
              <w:t>Barakat et al 2008</w:t>
            </w:r>
            <w:r>
              <w:rPr>
                <w:noProof/>
              </w:rPr>
              <w:t>;</w:t>
            </w:r>
            <w:r>
              <w:rPr>
                <w:noProof/>
              </w:rPr>
              <w:fldChar w:fldCharType="begin"/>
            </w:r>
            <w:r w:rsidR="002747EA">
              <w:rPr>
                <w:noProof/>
              </w:rPr>
              <w:instrText xml:space="preserve"> ADDIN EN.CITE &lt;EndNote&gt;&lt;Cite&gt;&lt;Author&gt;Barakat&lt;/Author&gt;&lt;Year&gt;2008&lt;/Year&gt;&lt;RecNum&gt;667&lt;/RecNum&gt;&lt;DisplayText&gt;&lt;style face="superscript" font="Trebuchet MS" size="9"&gt;293&lt;/style&gt;&lt;/DisplayText&gt;&lt;record&gt;&lt;rec-number&gt;667&lt;/rec-number&gt;&lt;foreign-keys&gt;&lt;key app="EN" db-id="exvasrfx2dtraoesasxp2szsxa2df502592x" timestamp="1540526538"&gt;667&lt;/key&gt;&lt;/foreign-keys&gt;&lt;ref-type name="Journal Article"&gt;17&lt;/ref-type&gt;&lt;contributors&gt;&lt;authors&gt;&lt;author&gt;Barakat, R.&lt;/author&gt;&lt;author&gt;Stirling, J. R.&lt;/author&gt;&lt;author&gt;Lucia, A.&lt;/author&gt;&lt;/authors&gt;&lt;/contributors&gt;&lt;auth-address&gt;Instituto Nacional de Educacion Fisica (INEF), Universidad Politecnica, Madrid, Spain.&lt;/auth-address&gt;&lt;titles&gt;&lt;title&gt;Does exercise training during pregnancy affect gestational age? A randomised controlled trial&lt;/title&gt;&lt;secondary-title&gt;Br J Sports Med&lt;/secondary-title&gt;&lt;/titles&gt;&lt;periodical&gt;&lt;full-title&gt;Br J Sports Med&lt;/full-title&gt;&lt;/periodical&gt;&lt;pages&gt;674-8&lt;/pages&gt;&lt;volume&gt;42&lt;/volume&gt;&lt;number&gt;8&lt;/number&gt;&lt;edition&gt;2008/06/17&lt;/edition&gt;&lt;keywords&gt;&lt;keyword&gt;Adult&lt;/keyword&gt;&lt;keyword&gt;Exercise/*physiology&lt;/keyword&gt;&lt;keyword&gt;Female&lt;/keyword&gt;&lt;keyword&gt;*Gestational Age&lt;/keyword&gt;&lt;keyword&gt;Humans&lt;/keyword&gt;&lt;keyword&gt;Infant, Newborn&lt;/keyword&gt;&lt;keyword&gt;Physical Education and Training/methods&lt;/keyword&gt;&lt;keyword&gt;Pregnancy&lt;/keyword&gt;&lt;keyword&gt;Pregnancy Trimester, Second/physiology&lt;/keyword&gt;&lt;keyword&gt;Pregnancy Trimester, Third/physiology&lt;/keyword&gt;&lt;keyword&gt;Premature Birth/*etiology&lt;/keyword&gt;&lt;/keywords&gt;&lt;dates&gt;&lt;year&gt;2008&lt;/year&gt;&lt;pub-dates&gt;&lt;date&gt;Aug&lt;/date&gt;&lt;/pub-dates&gt;&lt;/dates&gt;&lt;isbn&gt;1473-0480 (Electronic)&amp;#xD;0306-3674 (Linking)&lt;/isbn&gt;&lt;accession-num&gt;18552370&lt;/accession-num&gt;&lt;urls&gt;&lt;related-urls&gt;&lt;url&gt;https://www.ncbi.nlm.nih.gov/pubmed/18552370&lt;/url&gt;&lt;/related-urls&gt;&lt;/urls&gt;&lt;electronic-resource-num&gt;10.1136/bjsm.2008.047837&lt;/electronic-resource-num&gt;&lt;/record&gt;&lt;/Cite&gt;&lt;/EndNote&gt;</w:instrText>
            </w:r>
            <w:r>
              <w:rPr>
                <w:noProof/>
              </w:rPr>
              <w:fldChar w:fldCharType="separate"/>
            </w:r>
            <w:r w:rsidR="002747EA" w:rsidRPr="002747EA">
              <w:rPr>
                <w:noProof/>
                <w:vertAlign w:val="superscript"/>
              </w:rPr>
              <w:t>293</w:t>
            </w:r>
            <w:r>
              <w:rPr>
                <w:noProof/>
              </w:rPr>
              <w:fldChar w:fldCharType="end"/>
            </w:r>
            <w:r w:rsidRPr="00C12274" w:rsidDel="00425275">
              <w:rPr>
                <w:noProof/>
              </w:rPr>
              <w:t xml:space="preserve"> </w:t>
            </w:r>
            <w:r w:rsidRPr="00C12274">
              <w:rPr>
                <w:noProof/>
              </w:rPr>
              <w:t>Barakat et al 2009a;</w:t>
            </w:r>
            <w:r>
              <w:rPr>
                <w:noProof/>
              </w:rPr>
              <w:fldChar w:fldCharType="begin"/>
            </w:r>
            <w:r w:rsidR="002747EA">
              <w:rPr>
                <w:noProof/>
              </w:rPr>
              <w:instrText xml:space="preserve"> ADDIN EN.CITE &lt;EndNote&gt;&lt;Cite&gt;&lt;Author&gt;Barakat&lt;/Author&gt;&lt;Year&gt;2009&lt;/Year&gt;&lt;RecNum&gt;668&lt;/RecNum&gt;&lt;DisplayText&gt;&lt;style face="superscript" font="Trebuchet MS" size="9"&gt;313&lt;/style&gt;&lt;/DisplayText&gt;&lt;record&gt;&lt;rec-number&gt;668&lt;/rec-number&gt;&lt;foreign-keys&gt;&lt;key app="EN" db-id="exvasrfx2dtraoesasxp2szsxa2df502592x" timestamp="1540526591"&gt;668&lt;/key&gt;&lt;/foreign-keys&gt;&lt;ref-type name="Journal Article"&gt;17&lt;/ref-type&gt;&lt;contributors&gt;&lt;authors&gt;&lt;author&gt;Barakat, R.&lt;/author&gt;&lt;author&gt;Lucia, A.&lt;/author&gt;&lt;author&gt;Ruiz, J. R.&lt;/author&gt;&lt;/authors&gt;&lt;/contributors&gt;&lt;auth-address&gt;Facultad de Ciencias de la Actividad Fisica y del Deporte-INEF, Universidad Politecnica de Madrid, Madrid, Spain.&lt;/auth-address&gt;&lt;titles&gt;&lt;title&gt;Resistance exercise training during pregnancy and newborn&amp;apos;s birth size: a randomised controlled trial&lt;/title&gt;&lt;secondary-title&gt;Int J Obes (Lond)&lt;/secondary-title&gt;&lt;/titles&gt;&lt;periodical&gt;&lt;full-title&gt;Int J Obes (Lond)&lt;/full-title&gt;&lt;/periodical&gt;&lt;pages&gt;1048-57&lt;/pages&gt;&lt;volume&gt;33&lt;/volume&gt;&lt;number&gt;9&lt;/number&gt;&lt;edition&gt;2009/07/29&lt;/edition&gt;&lt;keywords&gt;&lt;keyword&gt;Adult&lt;/keyword&gt;&lt;keyword&gt;Birth Weight/*physiology&lt;/keyword&gt;&lt;keyword&gt;Body Mass Index&lt;/keyword&gt;&lt;keyword&gt;Body Size&lt;/keyword&gt;&lt;keyword&gt;Body Weight/*physiology&lt;/keyword&gt;&lt;keyword&gt;Female&lt;/keyword&gt;&lt;keyword&gt;Fetal Development/*physiology&lt;/keyword&gt;&lt;keyword&gt;Humans&lt;/keyword&gt;&lt;keyword&gt;Infant, Newborn&lt;/keyword&gt;&lt;keyword&gt;Pregnancy&lt;/keyword&gt;&lt;keyword&gt;Pregnancy Trimester, Second&lt;/keyword&gt;&lt;keyword&gt;Pregnancy Trimester, Third&lt;/keyword&gt;&lt;keyword&gt;Resistance Training/*methods&lt;/keyword&gt;&lt;keyword&gt;Spain/epidemiology&lt;/keyword&gt;&lt;/keywords&gt;&lt;dates&gt;&lt;year&gt;2009&lt;/year&gt;&lt;pub-dates&gt;&lt;date&gt;Sep&lt;/date&gt;&lt;/pub-dates&gt;&lt;/dates&gt;&lt;isbn&gt;1476-5497 (Electronic)&amp;#xD;0307-0565 (Linking)&lt;/isbn&gt;&lt;accession-num&gt;19636320&lt;/accession-num&gt;&lt;urls&gt;&lt;related-urls&gt;&lt;url&gt;https://www.ncbi.nlm.nih.gov/pubmed/19636320&lt;/url&gt;&lt;/related-urls&gt;&lt;/urls&gt;&lt;electronic-resource-num&gt;10.1038/ijo.2009.150&lt;/electronic-resource-num&gt;&lt;/record&gt;&lt;/Cite&gt;&lt;/EndNote&gt;</w:instrText>
            </w:r>
            <w:r>
              <w:rPr>
                <w:noProof/>
              </w:rPr>
              <w:fldChar w:fldCharType="separate"/>
            </w:r>
            <w:r w:rsidR="002747EA" w:rsidRPr="002747EA">
              <w:rPr>
                <w:noProof/>
                <w:vertAlign w:val="superscript"/>
              </w:rPr>
              <w:t>313</w:t>
            </w:r>
            <w:r>
              <w:rPr>
                <w:noProof/>
              </w:rPr>
              <w:fldChar w:fldCharType="end"/>
            </w:r>
            <w:r w:rsidRPr="00C12274">
              <w:rPr>
                <w:noProof/>
              </w:rPr>
              <w:t xml:space="preserve"> Barakat et al 2009b;</w:t>
            </w:r>
            <w:r>
              <w:rPr>
                <w:noProof/>
              </w:rPr>
              <w:fldChar w:fldCharType="begin"/>
            </w:r>
            <w:r w:rsidR="002747EA">
              <w:rPr>
                <w:noProof/>
              </w:rPr>
              <w:instrText xml:space="preserve"> ADDIN EN.CITE &lt;EndNote&gt;&lt;Cite&gt;&lt;Author&gt;Barakat&lt;/Author&gt;&lt;Year&gt;2009&lt;/Year&gt;&lt;RecNum&gt;1010&lt;/RecNum&gt;&lt;DisplayText&gt;&lt;style face="superscript" font="Trebuchet MS" size="9"&gt;303&lt;/style&gt;&lt;/DisplayText&gt;&lt;record&gt;&lt;rec-number&gt;1010&lt;/rec-number&gt;&lt;foreign-keys&gt;&lt;key app="EN" db-id="exvasrfx2dtraoesasxp2szsxa2df502592x" timestamp="1548983476"&gt;1010&lt;/key&gt;&lt;/foreign-keys&gt;&lt;ref-type name="Journal Article"&gt;17&lt;/ref-type&gt;&lt;contributors&gt;&lt;authors&gt;&lt;author&gt;Barakat, R.&lt;/author&gt;&lt;author&gt;Ruiz, J. R.&lt;/author&gt;&lt;author&gt;Stirling, J. R.&lt;/author&gt;&lt;author&gt;Zakynthinaki, M.&lt;/author&gt;&lt;author&gt;Lucia, A.&lt;/author&gt;&lt;/authors&gt;&lt;/contributors&gt;&lt;auth-address&gt;Facultad de Ciencias de la Actividad Fisica y del Deporte-INEF, Universidad Politecnica de Madrid, Spain.&lt;/auth-address&gt;&lt;titles&gt;&lt;title&gt;Type of delivery is not affected by light resistance and toning exercise training during pregnancy: a randomized controlled trial&lt;/title&gt;&lt;secondary-title&gt;Am J Obstet Gynecol&lt;/secondary-title&gt;&lt;/titles&gt;&lt;periodical&gt;&lt;full-title&gt;Am J Obstet Gynecol&lt;/full-title&gt;&lt;/periodical&gt;&lt;pages&gt;590 e1-6&lt;/pages&gt;&lt;volume&gt;201&lt;/volume&gt;&lt;number&gt;6&lt;/number&gt;&lt;edition&gt;2009/07/18&lt;/edition&gt;&lt;keywords&gt;&lt;keyword&gt;Adult&lt;/keyword&gt;&lt;keyword&gt;*Delivery, Obstetric&lt;/keyword&gt;&lt;keyword&gt;Female&lt;/keyword&gt;&lt;keyword&gt;Humans&lt;/keyword&gt;&lt;keyword&gt;*Labor, Obstetric&lt;/keyword&gt;&lt;keyword&gt;Pregnancy&lt;/keyword&gt;&lt;keyword&gt;Pregnancy Trimester, Second&lt;/keyword&gt;&lt;keyword&gt;Pregnancy Trimester, Third&lt;/keyword&gt;&lt;keyword&gt;*Weight Lifting&lt;/keyword&gt;&lt;/keywords&gt;&lt;dates&gt;&lt;year&gt;2009&lt;/year&gt;&lt;pub-dates&gt;&lt;date&gt;Dec&lt;/date&gt;&lt;/pub-dates&gt;&lt;/dates&gt;&lt;isbn&gt;1097-6868 (Electronic)&amp;#xD;0002-9378 (Linking)&lt;/isbn&gt;&lt;accession-num&gt;19608151&lt;/accession-num&gt;&lt;urls&gt;&lt;related-urls&gt;&lt;url&gt;https://www.ncbi.nlm.nih.gov/pubmed/19608151&lt;/url&gt;&lt;/related-urls&gt;&lt;/urls&gt;&lt;electronic-resource-num&gt;10.1016/j.ajog.2009.06.004&lt;/electronic-resource-num&gt;&lt;/record&gt;&lt;/Cite&gt;&lt;/EndNote&gt;</w:instrText>
            </w:r>
            <w:r>
              <w:rPr>
                <w:noProof/>
              </w:rPr>
              <w:fldChar w:fldCharType="separate"/>
            </w:r>
            <w:r w:rsidR="002747EA" w:rsidRPr="002747EA">
              <w:rPr>
                <w:noProof/>
                <w:vertAlign w:val="superscript"/>
              </w:rPr>
              <w:t>303</w:t>
            </w:r>
            <w:r>
              <w:rPr>
                <w:noProof/>
              </w:rPr>
              <w:fldChar w:fldCharType="end"/>
            </w:r>
          </w:p>
          <w:p w14:paraId="70FF98F9" w14:textId="77777777" w:rsidR="00921608" w:rsidRPr="00C12274" w:rsidRDefault="00921608" w:rsidP="0099206A">
            <w:r w:rsidRPr="00C12274">
              <w:t>Spain</w:t>
            </w:r>
          </w:p>
          <w:p w14:paraId="189C76FB" w14:textId="77777777" w:rsidR="00921608" w:rsidRDefault="00921608" w:rsidP="0099206A">
            <w:pPr>
              <w:rPr>
                <w:noProof/>
              </w:rPr>
            </w:pPr>
            <w:r w:rsidRPr="00C12274">
              <w:t>NCT00813657</w:t>
            </w:r>
          </w:p>
        </w:tc>
        <w:tc>
          <w:tcPr>
            <w:tcW w:w="1276" w:type="dxa"/>
          </w:tcPr>
          <w:p w14:paraId="458D2BAA" w14:textId="77777777" w:rsidR="00921608" w:rsidRDefault="00921608" w:rsidP="00D86DBF">
            <w:r>
              <w:t>Intervention 72</w:t>
            </w:r>
          </w:p>
          <w:p w14:paraId="53D0E03D" w14:textId="77777777" w:rsidR="00921608" w:rsidRDefault="00921608" w:rsidP="00D86DBF">
            <w:r>
              <w:t>Control 70</w:t>
            </w:r>
          </w:p>
        </w:tc>
        <w:tc>
          <w:tcPr>
            <w:tcW w:w="4819" w:type="dxa"/>
          </w:tcPr>
          <w:p w14:paraId="0F3768F1" w14:textId="77777777" w:rsidR="00921608" w:rsidRDefault="00921608" w:rsidP="00D86DBF">
            <w:r w:rsidRPr="00A33A8C">
              <w:rPr>
                <w:b/>
              </w:rPr>
              <w:t>Aim</w:t>
            </w:r>
            <w:r>
              <w:t>: to examine</w:t>
            </w:r>
            <w:r w:rsidRPr="00A33A8C">
              <w:t xml:space="preserve"> the effect of light intensity resistance exercise training performed during the second and third trimester of pregnancy. </w:t>
            </w:r>
          </w:p>
          <w:p w14:paraId="5BC1A4CA" w14:textId="77777777" w:rsidR="00921608" w:rsidRDefault="00921608" w:rsidP="00D86DBF">
            <w:r w:rsidRPr="00A33A8C">
              <w:rPr>
                <w:b/>
              </w:rPr>
              <w:t>Population</w:t>
            </w:r>
            <w:r>
              <w:t xml:space="preserve">: Healthy </w:t>
            </w:r>
            <w:r w:rsidRPr="00A33A8C">
              <w:t xml:space="preserve">sedentary </w:t>
            </w:r>
            <w:r>
              <w:t>pregnant women; mixed BMIs</w:t>
            </w:r>
            <w:r w:rsidRPr="00A33A8C">
              <w:t xml:space="preserve">. </w:t>
            </w:r>
          </w:p>
          <w:p w14:paraId="2EDBBEE9" w14:textId="77777777" w:rsidR="00921608" w:rsidRDefault="00921608" w:rsidP="00D86DBF">
            <w:r w:rsidRPr="005E4EF9">
              <w:rPr>
                <w:b/>
              </w:rPr>
              <w:t>Intervention</w:t>
            </w:r>
            <w:r>
              <w:rPr>
                <w:b/>
              </w:rPr>
              <w:t>:</w:t>
            </w:r>
          </w:p>
          <w:p w14:paraId="3F37CF34" w14:textId="77777777" w:rsidR="00921608" w:rsidRPr="00C45716" w:rsidRDefault="00921608" w:rsidP="00D86DBF">
            <w:pPr>
              <w:pStyle w:val="bullet"/>
            </w:pPr>
            <w:r w:rsidRPr="00C45716">
              <w:rPr>
                <w:i/>
              </w:rPr>
              <w:t>Supervised</w:t>
            </w:r>
            <w:r w:rsidRPr="00C45716">
              <w:t>: Yes</w:t>
            </w:r>
          </w:p>
          <w:p w14:paraId="5B14E092" w14:textId="77777777" w:rsidR="00921608" w:rsidRPr="00C45716" w:rsidRDefault="00921608" w:rsidP="00D86DBF">
            <w:pPr>
              <w:pStyle w:val="bullet"/>
            </w:pPr>
            <w:r w:rsidRPr="00C45716">
              <w:rPr>
                <w:i/>
              </w:rPr>
              <w:t>Type and duration</w:t>
            </w:r>
            <w:r w:rsidRPr="00C45716">
              <w:t xml:space="preserve">: </w:t>
            </w:r>
            <w:r>
              <w:t xml:space="preserve">Resistance; </w:t>
            </w:r>
            <w:r w:rsidRPr="00C12274">
              <w:t>Toning and joint mobilisation</w:t>
            </w:r>
            <w:r>
              <w:t xml:space="preserve">; </w:t>
            </w:r>
            <w:r w:rsidRPr="00C12274">
              <w:t>35-40 min 3 times a week from weeks 12-13 to 38-39</w:t>
            </w:r>
            <w:r>
              <w:t>.</w:t>
            </w:r>
          </w:p>
          <w:p w14:paraId="4AF82358" w14:textId="77777777" w:rsidR="00921608" w:rsidRPr="004D49E0" w:rsidRDefault="00921608" w:rsidP="00D86DBF">
            <w:pPr>
              <w:pStyle w:val="bullet"/>
              <w:rPr>
                <w:b/>
              </w:rPr>
            </w:pPr>
            <w:r w:rsidRPr="00C45716">
              <w:rPr>
                <w:i/>
              </w:rPr>
              <w:t>Intensity</w:t>
            </w:r>
            <w:r w:rsidRPr="00C45716">
              <w:t xml:space="preserve">: </w:t>
            </w:r>
            <w:r w:rsidRPr="00A32D99">
              <w:t>Light; ≤80% of age-predicted maximum HR</w:t>
            </w:r>
          </w:p>
        </w:tc>
        <w:tc>
          <w:tcPr>
            <w:tcW w:w="4678" w:type="dxa"/>
          </w:tcPr>
          <w:p w14:paraId="2C70CCCC" w14:textId="77777777" w:rsidR="00921608" w:rsidRDefault="00921608" w:rsidP="00D86DBF">
            <w:r>
              <w:t>Intervention vs control:</w:t>
            </w:r>
          </w:p>
          <w:p w14:paraId="7E6D822D" w14:textId="77777777" w:rsidR="00921608" w:rsidRPr="00BD6935" w:rsidRDefault="00921608" w:rsidP="00D86DBF">
            <w:pPr>
              <w:pStyle w:val="bullet"/>
            </w:pPr>
            <w:r w:rsidRPr="00BD6935">
              <w:t>Dilation time (min): 426</w:t>
            </w:r>
            <w:r>
              <w:t>±</w:t>
            </w:r>
            <w:r w:rsidRPr="00BD6935">
              <w:t xml:space="preserve">20 </w:t>
            </w:r>
            <w:r>
              <w:t xml:space="preserve">vs </w:t>
            </w:r>
            <w:r w:rsidRPr="00BD6935">
              <w:t>378</w:t>
            </w:r>
            <w:r>
              <w:t>±</w:t>
            </w:r>
            <w:r w:rsidRPr="00BD6935">
              <w:t xml:space="preserve">13 </w:t>
            </w:r>
            <w:r>
              <w:t>p&gt;0</w:t>
            </w:r>
            <w:r w:rsidRPr="00BD6935">
              <w:t>.1</w:t>
            </w:r>
          </w:p>
          <w:p w14:paraId="4A27F0E8" w14:textId="77777777" w:rsidR="00921608" w:rsidRPr="00BD6935" w:rsidRDefault="00921608" w:rsidP="00D86DBF">
            <w:pPr>
              <w:pStyle w:val="bullet"/>
            </w:pPr>
            <w:r w:rsidRPr="00BD6935">
              <w:t>Expulsion time (min)</w:t>
            </w:r>
            <w:r>
              <w:t>: 32.5±</w:t>
            </w:r>
            <w:r w:rsidRPr="00BD6935">
              <w:t xml:space="preserve">24.7 </w:t>
            </w:r>
            <w:r>
              <w:t xml:space="preserve">vs </w:t>
            </w:r>
            <w:r w:rsidRPr="00BD6935">
              <w:t>36.0</w:t>
            </w:r>
            <w:r>
              <w:t>±</w:t>
            </w:r>
            <w:r w:rsidRPr="00BD6935">
              <w:t xml:space="preserve">31.5 </w:t>
            </w:r>
            <w:r>
              <w:t>p&gt;0</w:t>
            </w:r>
            <w:r w:rsidRPr="00BD6935">
              <w:t>.1</w:t>
            </w:r>
          </w:p>
          <w:p w14:paraId="7951D828" w14:textId="77777777" w:rsidR="00921608" w:rsidRPr="00BD6935" w:rsidRDefault="00921608" w:rsidP="00D86DBF">
            <w:pPr>
              <w:pStyle w:val="bullet"/>
              <w:rPr>
                <w:rFonts w:ascii="Helvetica" w:hAnsi="Helvetica"/>
                <w:sz w:val="14"/>
                <w:szCs w:val="14"/>
              </w:rPr>
            </w:pPr>
            <w:r w:rsidRPr="00BD6935">
              <w:t>Childbirth time (min)</w:t>
            </w:r>
            <w:r>
              <w:t xml:space="preserve">: </w:t>
            </w:r>
            <w:r w:rsidRPr="00BD6935">
              <w:t>8.1</w:t>
            </w:r>
            <w:r>
              <w:t>±</w:t>
            </w:r>
            <w:r w:rsidRPr="00BD6935">
              <w:t xml:space="preserve">2.3 </w:t>
            </w:r>
            <w:r>
              <w:t xml:space="preserve">vs </w:t>
            </w:r>
            <w:r w:rsidRPr="00BD6935">
              <w:t>7.7</w:t>
            </w:r>
            <w:r>
              <w:t>±</w:t>
            </w:r>
            <w:r w:rsidRPr="00BD6935">
              <w:t xml:space="preserve">1.7 </w:t>
            </w:r>
            <w:r>
              <w:t>p&gt;0</w:t>
            </w:r>
            <w:r w:rsidRPr="00BD6935">
              <w:t>.1</w:t>
            </w:r>
          </w:p>
        </w:tc>
        <w:tc>
          <w:tcPr>
            <w:tcW w:w="1844" w:type="dxa"/>
          </w:tcPr>
          <w:p w14:paraId="53DE7B9A" w14:textId="77777777" w:rsidR="00921608" w:rsidRPr="00DC4A73" w:rsidRDefault="00921608" w:rsidP="00D86DBF">
            <w:pPr>
              <w:keepNext/>
            </w:pPr>
          </w:p>
        </w:tc>
      </w:tr>
      <w:tr w:rsidR="006C2075" w:rsidRPr="00DC4A73" w14:paraId="76A6621B" w14:textId="77777777" w:rsidTr="006C2075">
        <w:trPr>
          <w:cantSplit/>
        </w:trPr>
        <w:tc>
          <w:tcPr>
            <w:tcW w:w="1275" w:type="dxa"/>
          </w:tcPr>
          <w:p w14:paraId="2F4D7561" w14:textId="4C9AD0CD" w:rsidR="00921608" w:rsidRPr="00C12274" w:rsidRDefault="00921608" w:rsidP="0099206A">
            <w:r>
              <w:rPr>
                <w:noProof/>
              </w:rPr>
              <w:t>Barakat et al 2018</w:t>
            </w:r>
            <w:r>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instrText xml:space="preserve"> ADDIN EN.CITE </w:instrText>
            </w:r>
            <w:r w:rsidR="002747EA">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294</w:t>
            </w:r>
            <w:r>
              <w:fldChar w:fldCharType="end"/>
            </w:r>
          </w:p>
          <w:p w14:paraId="499CCA74" w14:textId="77777777" w:rsidR="00921608" w:rsidRPr="00C12274" w:rsidRDefault="00921608" w:rsidP="0099206A">
            <w:r w:rsidRPr="00C12274">
              <w:t>Spain</w:t>
            </w:r>
          </w:p>
          <w:p w14:paraId="1F0F912B" w14:textId="77777777" w:rsidR="00921608" w:rsidRPr="00DC4A73" w:rsidRDefault="00921608" w:rsidP="0099206A">
            <w:r w:rsidRPr="00C12274">
              <w:t>NCT02109588</w:t>
            </w:r>
          </w:p>
        </w:tc>
        <w:tc>
          <w:tcPr>
            <w:tcW w:w="1276" w:type="dxa"/>
          </w:tcPr>
          <w:p w14:paraId="3340EDF9" w14:textId="77777777" w:rsidR="00921608" w:rsidRDefault="00921608" w:rsidP="00D86DBF">
            <w:r>
              <w:t>Intervention 176</w:t>
            </w:r>
          </w:p>
          <w:p w14:paraId="5CF62AA5" w14:textId="77777777" w:rsidR="00921608" w:rsidRDefault="00921608" w:rsidP="00D86DBF">
            <w:r>
              <w:t>Control 149</w:t>
            </w:r>
          </w:p>
          <w:p w14:paraId="6ACED6D4" w14:textId="77777777" w:rsidR="00921608" w:rsidRPr="00DC4A73" w:rsidRDefault="00921608" w:rsidP="00D86DBF">
            <w:pPr>
              <w:keepNext/>
            </w:pPr>
          </w:p>
        </w:tc>
        <w:tc>
          <w:tcPr>
            <w:tcW w:w="4819" w:type="dxa"/>
          </w:tcPr>
          <w:p w14:paraId="1C146985" w14:textId="77777777" w:rsidR="00921608" w:rsidRDefault="00921608" w:rsidP="00D86DBF">
            <w:r w:rsidRPr="004D49E0">
              <w:rPr>
                <w:b/>
              </w:rPr>
              <w:t>Aim</w:t>
            </w:r>
            <w:r>
              <w:t>: T</w:t>
            </w:r>
            <w:r w:rsidRPr="0065381D">
              <w:t>o examine the influence of an exercise program throughout pregnancy on the duration of labo</w:t>
            </w:r>
            <w:r>
              <w:t>u</w:t>
            </w:r>
            <w:r w:rsidRPr="0065381D">
              <w:t>r</w:t>
            </w:r>
            <w:r>
              <w:t>.</w:t>
            </w:r>
          </w:p>
          <w:p w14:paraId="5620D960" w14:textId="77777777" w:rsidR="00921608" w:rsidRDefault="00921608" w:rsidP="00D86DBF">
            <w:r w:rsidRPr="00901FC6">
              <w:rPr>
                <w:b/>
              </w:rPr>
              <w:t>Population</w:t>
            </w:r>
            <w:r>
              <w:t>: H</w:t>
            </w:r>
            <w:r w:rsidRPr="0065381D">
              <w:t xml:space="preserve">ealthy pregnant women. </w:t>
            </w:r>
            <w:r>
              <w:t>Mixed BMIs.</w:t>
            </w:r>
          </w:p>
          <w:p w14:paraId="45400B58" w14:textId="77777777" w:rsidR="00921608" w:rsidRDefault="00921608" w:rsidP="00D86DBF">
            <w:r w:rsidRPr="005E4EF9">
              <w:rPr>
                <w:b/>
              </w:rPr>
              <w:t>Intervention</w:t>
            </w:r>
            <w:r>
              <w:rPr>
                <w:b/>
              </w:rPr>
              <w:t>:</w:t>
            </w:r>
          </w:p>
          <w:p w14:paraId="45001625" w14:textId="77777777" w:rsidR="00921608" w:rsidRPr="00C45716" w:rsidRDefault="00921608" w:rsidP="00D86DBF">
            <w:pPr>
              <w:pStyle w:val="bullet"/>
            </w:pPr>
            <w:r w:rsidRPr="00C45716">
              <w:rPr>
                <w:i/>
              </w:rPr>
              <w:t>Supervised</w:t>
            </w:r>
            <w:r w:rsidRPr="00C45716">
              <w:t>: Yes</w:t>
            </w:r>
          </w:p>
          <w:p w14:paraId="2F5E67DA" w14:textId="77777777" w:rsidR="00921608" w:rsidRPr="00BC35D3" w:rsidRDefault="00921608" w:rsidP="00D86DBF">
            <w:pPr>
              <w:pStyle w:val="bullet"/>
            </w:pPr>
            <w:r w:rsidRPr="00C45716">
              <w:rPr>
                <w:i/>
              </w:rPr>
              <w:t>Type and duration</w:t>
            </w:r>
            <w:r w:rsidRPr="00C45716">
              <w:t xml:space="preserve">: </w:t>
            </w:r>
            <w:r>
              <w:t>Aerobic and resistance; Aquatic; 50-55</w:t>
            </w:r>
            <w:r w:rsidRPr="00C12274">
              <w:t xml:space="preserve">-min 3 times a week, from weeks </w:t>
            </w:r>
            <w:r>
              <w:t>9-11</w:t>
            </w:r>
            <w:r w:rsidRPr="00C12274">
              <w:t xml:space="preserve"> to 38–39</w:t>
            </w:r>
          </w:p>
          <w:p w14:paraId="53C2EAF0" w14:textId="77777777" w:rsidR="00921608" w:rsidRPr="00562FDD" w:rsidRDefault="00921608" w:rsidP="00D86DBF">
            <w:pPr>
              <w:pStyle w:val="bullet"/>
            </w:pPr>
            <w:r w:rsidRPr="00C45716">
              <w:rPr>
                <w:i/>
              </w:rPr>
              <w:t>Intensity</w:t>
            </w:r>
            <w:r w:rsidRPr="00C45716">
              <w:t xml:space="preserve">: </w:t>
            </w:r>
            <w:r>
              <w:t>M</w:t>
            </w:r>
            <w:r w:rsidRPr="00C12274">
              <w:t>oderate, HR&lt;70%</w:t>
            </w:r>
            <w:r>
              <w:t>; Borg 12-14</w:t>
            </w:r>
          </w:p>
        </w:tc>
        <w:tc>
          <w:tcPr>
            <w:tcW w:w="4678" w:type="dxa"/>
          </w:tcPr>
          <w:p w14:paraId="77BBE3BC" w14:textId="77777777" w:rsidR="00921608" w:rsidRDefault="00921608" w:rsidP="00D86DBF">
            <w:r>
              <w:t>Intervention vs control:</w:t>
            </w:r>
          </w:p>
          <w:p w14:paraId="7E1C885F" w14:textId="77777777" w:rsidR="00921608" w:rsidRDefault="00921608" w:rsidP="00D86DBF">
            <w:pPr>
              <w:pStyle w:val="bullet"/>
            </w:pPr>
            <w:r>
              <w:t>First stage of labour:</w:t>
            </w:r>
            <w:r w:rsidRPr="00A32D99">
              <w:t xml:space="preserve"> 409.15</w:t>
            </w:r>
            <w:r>
              <w:t>+</w:t>
            </w:r>
            <w:r w:rsidRPr="00A32D99">
              <w:t>185.74</w:t>
            </w:r>
            <w:r>
              <w:t xml:space="preserve"> vs </w:t>
            </w:r>
            <w:r w:rsidRPr="00A32D99">
              <w:t>462.83</w:t>
            </w:r>
            <w:r>
              <w:t>±208.37</w:t>
            </w:r>
            <w:r w:rsidRPr="00A32D99">
              <w:t xml:space="preserve"> </w:t>
            </w:r>
            <w:r>
              <w:t>p=</w:t>
            </w:r>
            <w:r w:rsidRPr="00A32D99">
              <w:t>0.01</w:t>
            </w:r>
          </w:p>
          <w:p w14:paraId="27A8A611" w14:textId="5BDC3665" w:rsidR="00921608" w:rsidRDefault="00921608" w:rsidP="00D86DBF">
            <w:pPr>
              <w:pStyle w:val="bullet"/>
            </w:pPr>
            <w:r w:rsidRPr="00A32D99">
              <w:t>Second stage of labo</w:t>
            </w:r>
            <w:r>
              <w:t>ur:</w:t>
            </w:r>
            <w:r w:rsidRPr="00A32D99">
              <w:t xml:space="preserve"> 33.23</w:t>
            </w:r>
            <w:r>
              <w:t>±</w:t>
            </w:r>
            <w:r w:rsidRPr="00A32D99">
              <w:t xml:space="preserve">22.53 </w:t>
            </w:r>
            <w:r>
              <w:t xml:space="preserve">vs </w:t>
            </w:r>
            <w:r w:rsidRPr="00A32D99">
              <w:t>36.21</w:t>
            </w:r>
            <w:r>
              <w:t>±</w:t>
            </w:r>
            <w:r w:rsidR="003613AD">
              <w:t>25.93 p=</w:t>
            </w:r>
            <w:r w:rsidRPr="00A32D99">
              <w:t xml:space="preserve">0.68 </w:t>
            </w:r>
          </w:p>
          <w:p w14:paraId="0BF78FE7" w14:textId="77777777" w:rsidR="00921608" w:rsidRDefault="00921608" w:rsidP="00D86DBF">
            <w:pPr>
              <w:pStyle w:val="bullet"/>
            </w:pPr>
            <w:r w:rsidRPr="00A32D99">
              <w:t xml:space="preserve">Cumulative first and second stage of </w:t>
            </w:r>
            <w:r>
              <w:t xml:space="preserve">labour: </w:t>
            </w:r>
            <w:r w:rsidRPr="00A32D99">
              <w:t>442.37</w:t>
            </w:r>
            <w:r>
              <w:t>±</w:t>
            </w:r>
            <w:r w:rsidRPr="00A32D99">
              <w:t>188.72</w:t>
            </w:r>
            <w:r>
              <w:t xml:space="preserve"> vs </w:t>
            </w:r>
            <w:r w:rsidRPr="00A32D99">
              <w:t>499.04</w:t>
            </w:r>
            <w:r>
              <w:t>±</w:t>
            </w:r>
            <w:r w:rsidRPr="00A32D99">
              <w:t xml:space="preserve">215.84 </w:t>
            </w:r>
            <w:r>
              <w:t>p=</w:t>
            </w:r>
            <w:r w:rsidRPr="00A32D99">
              <w:t>0.01</w:t>
            </w:r>
          </w:p>
          <w:p w14:paraId="33584D76" w14:textId="77777777" w:rsidR="00921608" w:rsidRDefault="00921608" w:rsidP="00D86DBF">
            <w:pPr>
              <w:pStyle w:val="bullet"/>
            </w:pPr>
            <w:r w:rsidRPr="00A32D99">
              <w:rPr>
                <w:rFonts w:eastAsia="Times New Roman"/>
                <w:lang w:val="en-AU"/>
              </w:rPr>
              <w:t xml:space="preserve">Third stage of </w:t>
            </w:r>
            <w:r>
              <w:rPr>
                <w:rFonts w:eastAsia="Times New Roman"/>
                <w:lang w:val="en-AU"/>
              </w:rPr>
              <w:t>labour</w:t>
            </w:r>
            <w:r>
              <w:t>:</w:t>
            </w:r>
            <w:r w:rsidRPr="00A32D99">
              <w:t xml:space="preserve"> 8.37</w:t>
            </w:r>
            <w:r>
              <w:t>±</w:t>
            </w:r>
            <w:r w:rsidRPr="00A32D99">
              <w:t xml:space="preserve">2.16 </w:t>
            </w:r>
            <w:r>
              <w:t xml:space="preserve">vs </w:t>
            </w:r>
            <w:r w:rsidRPr="00A32D99">
              <w:t>8.14</w:t>
            </w:r>
            <w:r>
              <w:t>±</w:t>
            </w:r>
            <w:r w:rsidRPr="00A32D99">
              <w:t xml:space="preserve">1.86 </w:t>
            </w:r>
            <w:r>
              <w:t>p=</w:t>
            </w:r>
            <w:r w:rsidRPr="00A32D99">
              <w:t xml:space="preserve">0.66 </w:t>
            </w:r>
          </w:p>
          <w:p w14:paraId="5DA078B7" w14:textId="7D901411" w:rsidR="00921608" w:rsidRPr="00DC4A73" w:rsidRDefault="00921608" w:rsidP="00D86DBF">
            <w:pPr>
              <w:pStyle w:val="bullet"/>
            </w:pPr>
            <w:r w:rsidRPr="00A32D99">
              <w:t>Total duration of lab</w:t>
            </w:r>
            <w:r>
              <w:t>our:</w:t>
            </w:r>
            <w:r w:rsidRPr="00A32D99">
              <w:t xml:space="preserve"> 450.74</w:t>
            </w:r>
            <w:r>
              <w:t>±</w:t>
            </w:r>
            <w:r w:rsidRPr="00A32D99">
              <w:t>188.64</w:t>
            </w:r>
            <w:r>
              <w:t xml:space="preserve"> vs </w:t>
            </w:r>
            <w:r w:rsidRPr="00A32D99">
              <w:t>507.19</w:t>
            </w:r>
            <w:r>
              <w:t>±</w:t>
            </w:r>
            <w:r w:rsidRPr="00A32D99">
              <w:t xml:space="preserve">216.06 </w:t>
            </w:r>
            <w:r>
              <w:t>p=</w:t>
            </w:r>
            <w:r w:rsidR="003613AD">
              <w:t>0.01</w:t>
            </w:r>
          </w:p>
        </w:tc>
        <w:tc>
          <w:tcPr>
            <w:tcW w:w="1844" w:type="dxa"/>
          </w:tcPr>
          <w:p w14:paraId="7043DDF1" w14:textId="77777777" w:rsidR="00921608" w:rsidRPr="00DC4A73" w:rsidRDefault="00921608" w:rsidP="00D86DBF">
            <w:pPr>
              <w:keepNext/>
            </w:pPr>
          </w:p>
        </w:tc>
      </w:tr>
      <w:tr w:rsidR="006C2075" w:rsidRPr="00DC4A73" w14:paraId="62C7BADD" w14:textId="77777777" w:rsidTr="006C2075">
        <w:trPr>
          <w:cantSplit/>
        </w:trPr>
        <w:tc>
          <w:tcPr>
            <w:tcW w:w="1275" w:type="dxa"/>
          </w:tcPr>
          <w:p w14:paraId="680E93E0" w14:textId="01894226" w:rsidR="00921608" w:rsidRPr="00C12274" w:rsidRDefault="00921608" w:rsidP="0099206A">
            <w:r>
              <w:rPr>
                <w:noProof/>
              </w:rPr>
              <w:t>Perales et al 2016a</w:t>
            </w:r>
            <w:r>
              <w:fldChar w:fldCharType="begin"/>
            </w:r>
            <w:r w:rsidR="002747EA">
              <w:instrText xml:space="preserve"> ADDIN EN.CITE &lt;EndNote&gt;&lt;Cite&gt;&lt;Author&gt;Perales&lt;/Author&gt;&lt;Year&gt;2016&lt;/Year&gt;&lt;RecNum&gt;924&lt;/RecNum&gt;&lt;DisplayText&gt;&lt;style face="superscript" font="Trebuchet MS" size="9"&gt;295&lt;/style&gt;&lt;/DisplayText&gt;&lt;record&gt;&lt;rec-number&gt;924&lt;/rec-number&gt;&lt;foreign-keys&gt;&lt;key app="EN" db-id="exvasrfx2dtraoesasxp2szsxa2df502592x" timestamp="1541540925"&gt;924&lt;/key&gt;&lt;key app="ENWeb" db-id=""&gt;0&lt;/key&gt;&lt;/foreign-keys&gt;&lt;ref-type name="Journal Article"&gt;17&lt;/ref-type&gt;&lt;contributors&gt;&lt;authors&gt;&lt;author&gt;Perales, Maria&lt;/author&gt;&lt;author&gt;Calabria, Irene&lt;/author&gt;&lt;author&gt;Lopez, Carmina&lt;/author&gt;&lt;author&gt;Franco, Evelia&lt;/author&gt;&lt;author&gt;Coteron, Javier&lt;/author&gt;&lt;author&gt;Barakat, Ruben&lt;/author&gt;&lt;/authors&gt;&lt;/contributors&gt;&lt;titles&gt;&lt;title&gt;Regular Exercise Throughout Pregnancy is Associated with a Shorter First Stage of Labor&lt;/title&gt;&lt;secondary-title&gt;American Journal of Health Promotion&lt;/secondary-title&gt;&lt;/titles&gt;&lt;periodical&gt;&lt;full-title&gt;American Journal of Health Promotion&lt;/full-title&gt;&lt;/periodical&gt;&lt;pages&gt;149-157&lt;/pages&gt;&lt;volume&gt;30&lt;/volume&gt;&lt;number&gt;3&lt;/number&gt;&lt;section&gt;149&lt;/section&gt;&lt;dates&gt;&lt;year&gt;2016&lt;/year&gt;&lt;/dates&gt;&lt;isbn&gt;0890-1171&amp;#xD;2168-6602&lt;/isbn&gt;&lt;urls&gt;&lt;/urls&gt;&lt;electronic-resource-num&gt;10.4278/ajhp.140221-QUAN-79&lt;/electronic-resource-num&gt;&lt;/record&gt;&lt;/Cite&gt;&lt;/EndNote&gt;</w:instrText>
            </w:r>
            <w:r>
              <w:fldChar w:fldCharType="separate"/>
            </w:r>
            <w:r w:rsidR="002747EA" w:rsidRPr="002747EA">
              <w:rPr>
                <w:noProof/>
                <w:vertAlign w:val="superscript"/>
              </w:rPr>
              <w:t>295</w:t>
            </w:r>
            <w:r>
              <w:fldChar w:fldCharType="end"/>
            </w:r>
          </w:p>
          <w:p w14:paraId="124BF223" w14:textId="77777777" w:rsidR="00921608" w:rsidRDefault="00921608" w:rsidP="0099206A">
            <w:pPr>
              <w:rPr>
                <w:noProof/>
              </w:rPr>
            </w:pPr>
            <w:r w:rsidRPr="00C12274">
              <w:t>Spain</w:t>
            </w:r>
          </w:p>
        </w:tc>
        <w:tc>
          <w:tcPr>
            <w:tcW w:w="1276" w:type="dxa"/>
          </w:tcPr>
          <w:p w14:paraId="0694E290" w14:textId="77777777" w:rsidR="00921608" w:rsidRDefault="00921608" w:rsidP="00D86DBF">
            <w:r>
              <w:t>Intervention 83</w:t>
            </w:r>
          </w:p>
          <w:p w14:paraId="18C46A7C" w14:textId="77777777" w:rsidR="00921608" w:rsidRDefault="00921608" w:rsidP="00D86DBF">
            <w:r>
              <w:t>Control 83</w:t>
            </w:r>
          </w:p>
        </w:tc>
        <w:tc>
          <w:tcPr>
            <w:tcW w:w="4819" w:type="dxa"/>
          </w:tcPr>
          <w:p w14:paraId="4235C50E" w14:textId="77777777" w:rsidR="00921608" w:rsidRPr="008B6D80" w:rsidRDefault="00921608" w:rsidP="00D86DBF">
            <w:r w:rsidRPr="00C03520">
              <w:rPr>
                <w:b/>
              </w:rPr>
              <w:t>Aim</w:t>
            </w:r>
            <w:r>
              <w:t>: T</w:t>
            </w:r>
            <w:r w:rsidRPr="008B6D80">
              <w:t>o examine the influence of moderate physical</w:t>
            </w:r>
            <w:r>
              <w:t xml:space="preserve"> </w:t>
            </w:r>
            <w:r w:rsidRPr="008B6D80">
              <w:t>exercise throughout pregnancy on the duration of labo</w:t>
            </w:r>
            <w:r>
              <w:t>u</w:t>
            </w:r>
            <w:r w:rsidRPr="008B6D80">
              <w:t>r stages</w:t>
            </w:r>
            <w:r w:rsidRPr="008B6D80">
              <w:rPr>
                <w:rFonts w:ascii="Times" w:hAnsi="Times"/>
              </w:rPr>
              <w:t>.</w:t>
            </w:r>
          </w:p>
          <w:p w14:paraId="23D571CB" w14:textId="77777777" w:rsidR="00921608" w:rsidRDefault="00921608" w:rsidP="00D86DBF">
            <w:r w:rsidRPr="00C03520">
              <w:rPr>
                <w:b/>
              </w:rPr>
              <w:t>Population</w:t>
            </w:r>
            <w:r>
              <w:t>:</w:t>
            </w:r>
            <w:r w:rsidRPr="008B6D80">
              <w:t xml:space="preserve"> </w:t>
            </w:r>
            <w:r>
              <w:t>P</w:t>
            </w:r>
            <w:r w:rsidRPr="008B6D80">
              <w:t>regnant women (31.6</w:t>
            </w:r>
            <w:r>
              <w:t>±</w:t>
            </w:r>
            <w:r w:rsidRPr="008B6D80">
              <w:t>3.8 years)</w:t>
            </w:r>
            <w:r>
              <w:t xml:space="preserve"> with </w:t>
            </w:r>
            <w:r w:rsidRPr="008B6D80">
              <w:t xml:space="preserve">uncomplicated and singleton </w:t>
            </w:r>
            <w:r>
              <w:t>pregnancies</w:t>
            </w:r>
            <w:r w:rsidRPr="008B6D80">
              <w:t xml:space="preserve">. </w:t>
            </w:r>
            <w:r>
              <w:t>Mixed BMIs.</w:t>
            </w:r>
          </w:p>
          <w:p w14:paraId="4E7B4C11" w14:textId="77777777" w:rsidR="00921608" w:rsidRDefault="00921608" w:rsidP="00D86DBF">
            <w:r w:rsidRPr="005E4EF9">
              <w:rPr>
                <w:b/>
              </w:rPr>
              <w:t>Intervention</w:t>
            </w:r>
            <w:r>
              <w:rPr>
                <w:b/>
              </w:rPr>
              <w:t>:</w:t>
            </w:r>
          </w:p>
          <w:p w14:paraId="6B22016A" w14:textId="77777777" w:rsidR="00921608" w:rsidRPr="00C45716" w:rsidRDefault="00921608" w:rsidP="00D86DBF">
            <w:pPr>
              <w:pStyle w:val="bullet"/>
            </w:pPr>
            <w:r w:rsidRPr="00C45716">
              <w:rPr>
                <w:i/>
              </w:rPr>
              <w:t>Supervised</w:t>
            </w:r>
            <w:r w:rsidRPr="00C45716">
              <w:t xml:space="preserve">: </w:t>
            </w:r>
            <w:r>
              <w:t>Yes</w:t>
            </w:r>
          </w:p>
          <w:p w14:paraId="129D262A" w14:textId="77777777" w:rsidR="00921608" w:rsidRPr="007D4CC2" w:rsidRDefault="00921608" w:rsidP="00D86DBF">
            <w:pPr>
              <w:pStyle w:val="bullet"/>
            </w:pPr>
            <w:r w:rsidRPr="00C45716">
              <w:rPr>
                <w:i/>
              </w:rPr>
              <w:t>Type and duration</w:t>
            </w:r>
            <w:r w:rsidRPr="00C45716">
              <w:t xml:space="preserve">: </w:t>
            </w:r>
            <w:r>
              <w:t xml:space="preserve">Aerobic and resistance; </w:t>
            </w:r>
            <w:r w:rsidRPr="00C12274">
              <w:t>Dance, muscle strengthening</w:t>
            </w:r>
            <w:r>
              <w:t xml:space="preserve">; </w:t>
            </w:r>
            <w:r w:rsidRPr="00C12274">
              <w:t>55-60 min, 3 times a week from week 9-11 to 39-40</w:t>
            </w:r>
            <w:r>
              <w:t>.</w:t>
            </w:r>
          </w:p>
          <w:p w14:paraId="31CDC70A" w14:textId="77777777" w:rsidR="00921608" w:rsidRPr="00ED5084" w:rsidRDefault="00921608" w:rsidP="00D86DBF">
            <w:pPr>
              <w:pStyle w:val="bullet"/>
              <w:rPr>
                <w:b/>
              </w:rPr>
            </w:pPr>
            <w:r w:rsidRPr="00C45716">
              <w:rPr>
                <w:i/>
              </w:rPr>
              <w:t>Intensity</w:t>
            </w:r>
            <w:r w:rsidRPr="00C45716">
              <w:t xml:space="preserve">: </w:t>
            </w:r>
            <w:r w:rsidRPr="00C12274">
              <w:t>Light to moderate; 55-60% maximal HR</w:t>
            </w:r>
            <w:r>
              <w:t>.</w:t>
            </w:r>
          </w:p>
        </w:tc>
        <w:tc>
          <w:tcPr>
            <w:tcW w:w="4678" w:type="dxa"/>
          </w:tcPr>
          <w:p w14:paraId="3E59A3CC" w14:textId="77777777" w:rsidR="00921608" w:rsidRDefault="00921608" w:rsidP="00D86DBF">
            <w:r>
              <w:t>Intervention vs control:</w:t>
            </w:r>
          </w:p>
          <w:p w14:paraId="0FEDA8CC" w14:textId="77777777" w:rsidR="00921608" w:rsidRPr="00225579" w:rsidRDefault="00921608" w:rsidP="00D86DBF">
            <w:pPr>
              <w:pStyle w:val="bullet"/>
            </w:pPr>
            <w:r>
              <w:t xml:space="preserve">Stage 1 (min): </w:t>
            </w:r>
            <w:r w:rsidRPr="00225579">
              <w:t>399.1</w:t>
            </w:r>
            <w:r>
              <w:t>±</w:t>
            </w:r>
            <w:r w:rsidRPr="00225579">
              <w:t xml:space="preserve">322.1 </w:t>
            </w:r>
            <w:r>
              <w:t xml:space="preserve">vs </w:t>
            </w:r>
            <w:r w:rsidRPr="00225579">
              <w:t>537.4</w:t>
            </w:r>
            <w:r>
              <w:t>±</w:t>
            </w:r>
            <w:r w:rsidRPr="00225579">
              <w:t xml:space="preserve">409.3 </w:t>
            </w:r>
            <w:r>
              <w:t>p=</w:t>
            </w:r>
            <w:r w:rsidRPr="00225579">
              <w:t>0.01</w:t>
            </w:r>
          </w:p>
          <w:p w14:paraId="2B714BDD" w14:textId="77777777" w:rsidR="00921608" w:rsidRPr="00225579" w:rsidRDefault="00921608" w:rsidP="00D86DBF">
            <w:pPr>
              <w:pStyle w:val="bullet"/>
            </w:pPr>
            <w:r w:rsidRPr="00225579">
              <w:t>Stage 2 (min)</w:t>
            </w:r>
            <w:r>
              <w:t>:</w:t>
            </w:r>
            <w:r w:rsidRPr="00225579">
              <w:t xml:space="preserve"> 40.6</w:t>
            </w:r>
            <w:r>
              <w:t>±</w:t>
            </w:r>
            <w:r w:rsidRPr="00225579">
              <w:t xml:space="preserve">42.8 </w:t>
            </w:r>
            <w:r>
              <w:t xml:space="preserve">vs </w:t>
            </w:r>
            <w:r w:rsidRPr="00225579">
              <w:t>37.4</w:t>
            </w:r>
            <w:r>
              <w:t>±</w:t>
            </w:r>
            <w:r w:rsidRPr="00225579">
              <w:t xml:space="preserve">44.7 </w:t>
            </w:r>
            <w:r>
              <w:t>p=</w:t>
            </w:r>
            <w:r w:rsidRPr="00225579">
              <w:t>0.87</w:t>
            </w:r>
          </w:p>
          <w:p w14:paraId="34782824" w14:textId="77777777" w:rsidR="00921608" w:rsidRPr="00225579" w:rsidRDefault="00921608" w:rsidP="00D86DBF">
            <w:pPr>
              <w:pStyle w:val="bullet"/>
            </w:pPr>
            <w:r w:rsidRPr="00225579">
              <w:t>Stage 3 (min) 8</w:t>
            </w:r>
            <w:r>
              <w:t>±</w:t>
            </w:r>
            <w:r w:rsidRPr="00225579">
              <w:t xml:space="preserve">7.7 </w:t>
            </w:r>
            <w:r>
              <w:t xml:space="preserve">vs </w:t>
            </w:r>
            <w:r w:rsidRPr="00225579">
              <w:t>8.8</w:t>
            </w:r>
            <w:r>
              <w:t>±</w:t>
            </w:r>
            <w:r w:rsidRPr="00225579">
              <w:t xml:space="preserve">7 </w:t>
            </w:r>
            <w:r>
              <w:t>p=</w:t>
            </w:r>
            <w:r w:rsidRPr="00225579">
              <w:t>0.46</w:t>
            </w:r>
          </w:p>
        </w:tc>
        <w:tc>
          <w:tcPr>
            <w:tcW w:w="1844" w:type="dxa"/>
          </w:tcPr>
          <w:p w14:paraId="00A8B22B" w14:textId="77777777" w:rsidR="00921608" w:rsidRPr="00DC4A73" w:rsidRDefault="00921608" w:rsidP="00D86DBF">
            <w:pPr>
              <w:keepNext/>
            </w:pPr>
          </w:p>
        </w:tc>
      </w:tr>
      <w:tr w:rsidR="006C2075" w:rsidRPr="00DC4A73" w14:paraId="0B7B2FDB" w14:textId="77777777" w:rsidTr="006C2075">
        <w:trPr>
          <w:cantSplit/>
        </w:trPr>
        <w:tc>
          <w:tcPr>
            <w:tcW w:w="1275" w:type="dxa"/>
          </w:tcPr>
          <w:p w14:paraId="2358A6AD" w14:textId="44AA1F05" w:rsidR="00921608" w:rsidRPr="00C12274" w:rsidRDefault="00921608" w:rsidP="0099206A">
            <w:r>
              <w:rPr>
                <w:noProof/>
              </w:rPr>
              <w:t>Perales et al 2016b</w:t>
            </w:r>
            <w:r>
              <w:fldChar w:fldCharType="begin">
                <w:fldData xml:space="preserve">PEVuZE5vdGU+PENpdGU+PEF1dGhvcj5QZXJhbGVzPC9BdXRob3I+PFllYXI+MjAxNjwvWWVhcj48
UmVjTnVtPjEwNjY8L1JlY051bT48RGlzcGxheVRleHQ+PHN0eWxlIGZhY2U9InN1cGVyc2NyaXB0
IiBmb250PSJUcmVidWNoZXQgTVMiIHNpemU9IjkiPjI5Njwvc3R5bGU+PC9EaXNwbGF5VGV4dD48
cmVjb3JkPjxyZWMtbnVtYmVyPjEwNjY8L3JlYy1udW1iZXI+PGZvcmVpZ24ta2V5cz48a2V5IGFw
cD0iRU4iIGRiLWlkPSJleHZhc3JmeDJkdHJhb2VzYXN4cDJzenN4YTJkZjUwMjU5MngiIHRpbWVz
dGFtcD0iMTU0ODk5MDI5NiI+MTA2Njwva2V5PjwvZm9yZWlnbi1rZXlzPjxyZWYtdHlwZSBuYW1l
PSJKb3VybmFsIEFydGljbGUiPjE3PC9yZWYtdHlwZT48Y29udHJpYnV0b3JzPjxhdXRob3JzPjxh
dXRob3I+UGVyYWxlcywgTS48L2F1dGhvcj48YXV0aG9yPlNhbnRvcy1Mb3phbm8sIEEuPC9hdXRo
b3I+PGF1dGhvcj5TYW5jaGlzLUdvbWFyLCBGLjwvYXV0aG9yPjxhdXRob3I+THVhY2VzLCBNLjwv
YXV0aG9yPjxhdXRob3I+UGFyZWphLUdhbGVhbm8sIEguPC9hdXRob3I+PGF1dGhvcj5HYXJhdGFj
aGVhLCBOLjwvYXV0aG9yPjxhdXRob3I+QmFyYWthdCwgUi48L2F1dGhvcj48YXV0aG9yPkx1Y2lh
LCBBLjwvYXV0aG9yPjwvYXV0aG9ycz48L2NvbnRyaWJ1dG9ycz48YXV0aC1hZGRyZXNzPjFSZXNl
YXJjaCBJbnN0aXR1dGUgSG9zcGl0YWwgMTIgZGUgT2N0dWJyZSAoJmFwb3M7aSsxMiZhcG9zOyks
IE1hZHJpZCwgU1BBSU47IDJBRklQRSBSZXNlYXJjaCBHcm91cCwgRmFjdWx0eSBvZiBQaHlzaWNh
bCBBY3Rpdml0eSBhbmQgU3BvcnRzIFNjaWVuY2VzIElORUYsIFRlY2huaWNhbCBVbml2ZXJzaXR5
IG9mIE1hZHJpZCwgU1BBSU47IDNHSURGWVMsIERlcGFydG1lbnQgb2YgSGVhbHRoIFNjaWVuY2Vz
LCBFdXJvcGVhbiBVbml2ZXJzaXR5IE1pZ3VlbCBkZSBDZXJ2YW50ZXMsIFZhbGxhZG9saWQsIFNQ
QUlOOyA0RGVwYXJ0bWVudCBvZiBDYXJkaW9sb2d5LCBDYXJkaW92YXNjdWxhciBJbnN0aXR1dGUs
IEhvc3BpdGFsIENsaW5pY28gU2FuIENhcmxvcywgTWFkcmlkLCBTUEFJTjsgNVNjaG9vbCBvZiBE
b2N0b3JhdGUgU3R1ZGllcyBhbmQgUmVzZWFyY2gsIEV1cm9wZWFuIFVuaXZlcnNpdHksIE1hZHJp
ZCwgU1BBSU47IGFuZCA2RGVwYXJ0YW1lbnRvIGRlIEZpc2lhdHJpYSB5IEVuZmVybWVyaWEuIEZh
Y3VsdGFkIGRlIENpZW5jaWFzIGRlIGxhIFNhbHVkIHkgZGVsIERlcG9ydGUuIEluc3RpdHV0byBB
Z3JvYWxpbWVudGFyaW8gZGUgQXJhZ29uLUlBMiwgVW5pdmVyc2lkYWQgZGUgWmFyYWdvemEtQ0lU
QSwgWmFyYWdvemEsIFNQQUlOLjwvYXV0aC1hZGRyZXNzPjx0aXRsZXM+PHRpdGxlPk1hdGVybmFs
IENhcmRpYWMgQWRhcHRhdGlvbnMgdG8gYSBQaHlzaWNhbCBFeGVyY2lzZSBQcm9ncmFtIGR1cmlu
ZyBQcmVnbmFuY3k8L3RpdGxlPjxzZWNvbmRhcnktdGl0bGU+TWVkIFNjaSBTcG9ydHMgRXhlcmM8
L3NlY29uZGFyeS10aXRsZT48L3RpdGxlcz48cGVyaW9kaWNhbD48ZnVsbC10aXRsZT5NZWQgU2Np
IFNwb3J0cyBFeGVyYzwvZnVsbC10aXRsZT48L3BlcmlvZGljYWw+PHBhZ2VzPjg5Ni05MDY8L3Bh
Z2VzPjx2b2x1bWU+NDg8L3ZvbHVtZT48bnVtYmVyPjU8L251bWJlcj48ZWRpdGlvbj4yMDE1LzEy
LzI0PC9lZGl0aW9uPjxrZXl3b3Jkcz48a2V5d29yZD5BZHVsdDwva2V5d29yZD48a2V5d29yZD5B
dHJpYWwgUmVtb2RlbGluZzwva2V5d29yZD48a2V5d29yZD5DYXJkaW92YXNjdWxhciBEaXNlYXNl
cy9wcmV2ZW50aW9uICZhbXA7IGNvbnRyb2w8L2tleXdvcmQ+PGtleXdvcmQ+KkNhcmRpb3Zhc2N1
bGFyIFBoeXNpb2xvZ2ljYWwgUGhlbm9tZW5hPC9rZXl3b3JkPjxrZXl3b3JkPkRlcHJlc3Npb24v
cHJldmVudGlvbiAmYW1wOyBjb250cm9sPC9rZXl3b3JkPjxrZXl3b3JkPkVjaG9jYXJkaW9ncmFw
aHk8L2tleXdvcmQ+PGtleXdvcmQ+KkV4ZXJjaXNlPC9rZXl3b3JkPjxrZXl3b3JkPkZlbWFsZTwv
a2V5d29yZD48a2V5d29yZD5IZW1vZHluYW1pY3M8L2tleXdvcmQ+PGtleXdvcmQ+SHVtYW5zPC9r
ZXl3b3JkPjxrZXl3b3JkPlByZWduYW5jeS8qcGh5c2lvbG9neTwva2V5d29yZD48a2V5d29yZD5Q
cmVnbmFuY3kgT3V0Y29tZTwva2V5d29yZD48a2V5d29yZD5SaXNrIEZhY3RvcnM8L2tleXdvcmQ+
PGtleXdvcmQ+VmVudHJpY3VsYXIgRnVuY3Rpb24sIExlZnQ8L2tleXdvcmQ+PGtleXdvcmQ+VmVu
dHJpY3VsYXIgUmVtb2RlbGluZzwva2V5d29yZD48a2V5d29yZD5XZWlnaHQgR2Fpbjwva2V5d29y
ZD48L2tleXdvcmRzPjxkYXRlcz48eWVhcj4yMDE2PC95ZWFyPjxwdWItZGF0ZXM+PGRhdGU+TWF5
PC9kYXRlPjwvcHViLWRhdGVzPjwvZGF0ZXM+PGlzYm4+MTUzMC0wMzE1IChFbGVjdHJvbmljKSYj
eEQ7MDE5NS05MTMxIChMaW5raW5nKTwvaXNibj48YWNjZXNzaW9uLW51bT4yNjY5NDg0ODwvYWNj
ZXNzaW9uLW51bT48dXJscz48cmVsYXRlZC11cmxzPjx1cmw+aHR0cHM6Ly93d3cubmNiaS5ubG0u
bmloLmdvdi9wdWJtZWQvMjY2OTQ4NDg8L3VybD48L3JlbGF0ZWQtdXJscz48L3VybHM+PGVsZWN0
cm9uaWMtcmVzb3VyY2UtbnVtPjEwLjEyNDkvTVNTLjAwMDAwMDAwMDAwMDA4Mzc8L2VsZWN0cm9u
aWMtcmVzb3VyY2UtbnVtPjwvcmVjb3JkPjwvQ2l0ZT48L0VuZE5vdGU+
</w:fldData>
              </w:fldChar>
            </w:r>
            <w:r w:rsidR="002747EA">
              <w:instrText xml:space="preserve"> ADDIN EN.CITE </w:instrText>
            </w:r>
            <w:r w:rsidR="002747EA">
              <w:fldChar w:fldCharType="begin">
                <w:fldData xml:space="preserve">PEVuZE5vdGU+PENpdGU+PEF1dGhvcj5QZXJhbGVzPC9BdXRob3I+PFllYXI+MjAxNjwvWWVhcj48
UmVjTnVtPjEwNjY8L1JlY051bT48RGlzcGxheVRleHQ+PHN0eWxlIGZhY2U9InN1cGVyc2NyaXB0
IiBmb250PSJUcmVidWNoZXQgTVMiIHNpemU9IjkiPjI5Njwvc3R5bGU+PC9EaXNwbGF5VGV4dD48
cmVjb3JkPjxyZWMtbnVtYmVyPjEwNjY8L3JlYy1udW1iZXI+PGZvcmVpZ24ta2V5cz48a2V5IGFw
cD0iRU4iIGRiLWlkPSJleHZhc3JmeDJkdHJhb2VzYXN4cDJzenN4YTJkZjUwMjU5MngiIHRpbWVz
dGFtcD0iMTU0ODk5MDI5NiI+MTA2Njwva2V5PjwvZm9yZWlnbi1rZXlzPjxyZWYtdHlwZSBuYW1l
PSJKb3VybmFsIEFydGljbGUiPjE3PC9yZWYtdHlwZT48Y29udHJpYnV0b3JzPjxhdXRob3JzPjxh
dXRob3I+UGVyYWxlcywgTS48L2F1dGhvcj48YXV0aG9yPlNhbnRvcy1Mb3phbm8sIEEuPC9hdXRo
b3I+PGF1dGhvcj5TYW5jaGlzLUdvbWFyLCBGLjwvYXV0aG9yPjxhdXRob3I+THVhY2VzLCBNLjwv
YXV0aG9yPjxhdXRob3I+UGFyZWphLUdhbGVhbm8sIEguPC9hdXRob3I+PGF1dGhvcj5HYXJhdGFj
aGVhLCBOLjwvYXV0aG9yPjxhdXRob3I+QmFyYWthdCwgUi48L2F1dGhvcj48YXV0aG9yPkx1Y2lh
LCBBLjwvYXV0aG9yPjwvYXV0aG9ycz48L2NvbnRyaWJ1dG9ycz48YXV0aC1hZGRyZXNzPjFSZXNl
YXJjaCBJbnN0aXR1dGUgSG9zcGl0YWwgMTIgZGUgT2N0dWJyZSAoJmFwb3M7aSsxMiZhcG9zOyks
IE1hZHJpZCwgU1BBSU47IDJBRklQRSBSZXNlYXJjaCBHcm91cCwgRmFjdWx0eSBvZiBQaHlzaWNh
bCBBY3Rpdml0eSBhbmQgU3BvcnRzIFNjaWVuY2VzIElORUYsIFRlY2huaWNhbCBVbml2ZXJzaXR5
IG9mIE1hZHJpZCwgU1BBSU47IDNHSURGWVMsIERlcGFydG1lbnQgb2YgSGVhbHRoIFNjaWVuY2Vz
LCBFdXJvcGVhbiBVbml2ZXJzaXR5IE1pZ3VlbCBkZSBDZXJ2YW50ZXMsIFZhbGxhZG9saWQsIFNQ
QUlOOyA0RGVwYXJ0bWVudCBvZiBDYXJkaW9sb2d5LCBDYXJkaW92YXNjdWxhciBJbnN0aXR1dGUs
IEhvc3BpdGFsIENsaW5pY28gU2FuIENhcmxvcywgTWFkcmlkLCBTUEFJTjsgNVNjaG9vbCBvZiBE
b2N0b3JhdGUgU3R1ZGllcyBhbmQgUmVzZWFyY2gsIEV1cm9wZWFuIFVuaXZlcnNpdHksIE1hZHJp
ZCwgU1BBSU47IGFuZCA2RGVwYXJ0YW1lbnRvIGRlIEZpc2lhdHJpYSB5IEVuZmVybWVyaWEuIEZh
Y3VsdGFkIGRlIENpZW5jaWFzIGRlIGxhIFNhbHVkIHkgZGVsIERlcG9ydGUuIEluc3RpdHV0byBB
Z3JvYWxpbWVudGFyaW8gZGUgQXJhZ29uLUlBMiwgVW5pdmVyc2lkYWQgZGUgWmFyYWdvemEtQ0lU
QSwgWmFyYWdvemEsIFNQQUlOLjwvYXV0aC1hZGRyZXNzPjx0aXRsZXM+PHRpdGxlPk1hdGVybmFs
IENhcmRpYWMgQWRhcHRhdGlvbnMgdG8gYSBQaHlzaWNhbCBFeGVyY2lzZSBQcm9ncmFtIGR1cmlu
ZyBQcmVnbmFuY3k8L3RpdGxlPjxzZWNvbmRhcnktdGl0bGU+TWVkIFNjaSBTcG9ydHMgRXhlcmM8
L3NlY29uZGFyeS10aXRsZT48L3RpdGxlcz48cGVyaW9kaWNhbD48ZnVsbC10aXRsZT5NZWQgU2Np
IFNwb3J0cyBFeGVyYzwvZnVsbC10aXRsZT48L3BlcmlvZGljYWw+PHBhZ2VzPjg5Ni05MDY8L3Bh
Z2VzPjx2b2x1bWU+NDg8L3ZvbHVtZT48bnVtYmVyPjU8L251bWJlcj48ZWRpdGlvbj4yMDE1LzEy
LzI0PC9lZGl0aW9uPjxrZXl3b3Jkcz48a2V5d29yZD5BZHVsdDwva2V5d29yZD48a2V5d29yZD5B
dHJpYWwgUmVtb2RlbGluZzwva2V5d29yZD48a2V5d29yZD5DYXJkaW92YXNjdWxhciBEaXNlYXNl
cy9wcmV2ZW50aW9uICZhbXA7IGNvbnRyb2w8L2tleXdvcmQ+PGtleXdvcmQ+KkNhcmRpb3Zhc2N1
bGFyIFBoeXNpb2xvZ2ljYWwgUGhlbm9tZW5hPC9rZXl3b3JkPjxrZXl3b3JkPkRlcHJlc3Npb24v
cHJldmVudGlvbiAmYW1wOyBjb250cm9sPC9rZXl3b3JkPjxrZXl3b3JkPkVjaG9jYXJkaW9ncmFw
aHk8L2tleXdvcmQ+PGtleXdvcmQ+KkV4ZXJjaXNlPC9rZXl3b3JkPjxrZXl3b3JkPkZlbWFsZTwv
a2V5d29yZD48a2V5d29yZD5IZW1vZHluYW1pY3M8L2tleXdvcmQ+PGtleXdvcmQ+SHVtYW5zPC9r
ZXl3b3JkPjxrZXl3b3JkPlByZWduYW5jeS8qcGh5c2lvbG9neTwva2V5d29yZD48a2V5d29yZD5Q
cmVnbmFuY3kgT3V0Y29tZTwva2V5d29yZD48a2V5d29yZD5SaXNrIEZhY3RvcnM8L2tleXdvcmQ+
PGtleXdvcmQ+VmVudHJpY3VsYXIgRnVuY3Rpb24sIExlZnQ8L2tleXdvcmQ+PGtleXdvcmQ+VmVu
dHJpY3VsYXIgUmVtb2RlbGluZzwva2V5d29yZD48a2V5d29yZD5XZWlnaHQgR2Fpbjwva2V5d29y
ZD48L2tleXdvcmRzPjxkYXRlcz48eWVhcj4yMDE2PC95ZWFyPjxwdWItZGF0ZXM+PGRhdGU+TWF5
PC9kYXRlPjwvcHViLWRhdGVzPjwvZGF0ZXM+PGlzYm4+MTUzMC0wMzE1IChFbGVjdHJvbmljKSYj
eEQ7MDE5NS05MTMxIChMaW5raW5nKTwvaXNibj48YWNjZXNzaW9uLW51bT4yNjY5NDg0ODwvYWNj
ZXNzaW9uLW51bT48dXJscz48cmVsYXRlZC11cmxzPjx1cmw+aHR0cHM6Ly93d3cubmNiaS5ubG0u
bmloLmdvdi9wdWJtZWQvMjY2OTQ4NDg8L3VybD48L3JlbGF0ZWQtdXJscz48L3VybHM+PGVsZWN0
cm9uaWMtcmVzb3VyY2UtbnVtPjEwLjEyNDkvTVNTLjAwMDAwMDAwMDAwMDA4Mzc8L2VsZWN0cm9u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296</w:t>
            </w:r>
            <w:r>
              <w:fldChar w:fldCharType="end"/>
            </w:r>
          </w:p>
          <w:p w14:paraId="1AFEF97E" w14:textId="77777777" w:rsidR="00921608" w:rsidRPr="00C12274" w:rsidRDefault="00921608" w:rsidP="0099206A">
            <w:r w:rsidRPr="00C12274">
              <w:t xml:space="preserve">Spain </w:t>
            </w:r>
          </w:p>
          <w:p w14:paraId="42B6048E" w14:textId="77777777" w:rsidR="00921608" w:rsidRDefault="00921608" w:rsidP="0099206A">
            <w:pPr>
              <w:rPr>
                <w:noProof/>
              </w:rPr>
            </w:pPr>
            <w:r w:rsidRPr="00C12274">
              <w:rPr>
                <w:rFonts w:ascii="Helvetica" w:hAnsi="Helvetica"/>
                <w:color w:val="2F2A2B"/>
                <w:sz w:val="15"/>
                <w:szCs w:val="15"/>
              </w:rPr>
              <w:t>NCT01723098</w:t>
            </w:r>
          </w:p>
        </w:tc>
        <w:tc>
          <w:tcPr>
            <w:tcW w:w="1276" w:type="dxa"/>
          </w:tcPr>
          <w:p w14:paraId="5BD994C0" w14:textId="77777777" w:rsidR="00921608" w:rsidRDefault="00921608" w:rsidP="00D86DBF">
            <w:r>
              <w:t>Intervention 83</w:t>
            </w:r>
          </w:p>
          <w:p w14:paraId="452C696F" w14:textId="77777777" w:rsidR="00921608" w:rsidRDefault="00921608" w:rsidP="00D86DBF">
            <w:r>
              <w:t>Control 59</w:t>
            </w:r>
          </w:p>
        </w:tc>
        <w:tc>
          <w:tcPr>
            <w:tcW w:w="4819" w:type="dxa"/>
          </w:tcPr>
          <w:p w14:paraId="53D59F70" w14:textId="77777777" w:rsidR="00921608" w:rsidRPr="00ED5084" w:rsidRDefault="00921608" w:rsidP="00D86DBF">
            <w:r w:rsidRPr="00ED5084">
              <w:rPr>
                <w:b/>
              </w:rPr>
              <w:t xml:space="preserve">Aim: </w:t>
            </w:r>
            <w:r w:rsidRPr="00ED5084">
              <w:t>To examine the effects of pregnancy exercise on echocardiographic indicators of h</w:t>
            </w:r>
            <w:r>
              <w:t xml:space="preserve">aemodynamics, </w:t>
            </w:r>
            <w:r w:rsidRPr="00ED5084">
              <w:t>cardiac remode</w:t>
            </w:r>
            <w:r>
              <w:t>l</w:t>
            </w:r>
            <w:r w:rsidRPr="00ED5084">
              <w:t>ling, left ventricular function, and cardiovascular disease risk factors.</w:t>
            </w:r>
          </w:p>
          <w:p w14:paraId="45527CE7" w14:textId="77777777" w:rsidR="00921608" w:rsidRPr="00ED5084" w:rsidRDefault="00921608" w:rsidP="00D86DBF">
            <w:pPr>
              <w:rPr>
                <w:sz w:val="16"/>
                <w:szCs w:val="16"/>
                <w:vertAlign w:val="superscript"/>
              </w:rPr>
            </w:pPr>
            <w:r w:rsidRPr="00ED5084">
              <w:rPr>
                <w:b/>
              </w:rPr>
              <w:t>Population</w:t>
            </w:r>
            <w:r w:rsidRPr="00ED5084">
              <w:t>: Pregnant women with n</w:t>
            </w:r>
            <w:r w:rsidRPr="00ED5084">
              <w:rPr>
                <w:shd w:val="clear" w:color="auto" w:fill="FFFFFF"/>
              </w:rPr>
              <w:t>o obstetric complications, no serious medical condition preventing them from exercising safely,&lt;16 wk gestation and not exercising regularly for more than 30 min on 3 d·wk</w:t>
            </w:r>
            <w:r w:rsidRPr="00ED5084">
              <w:rPr>
                <w:sz w:val="16"/>
                <w:szCs w:val="16"/>
                <w:vertAlign w:val="superscript"/>
              </w:rPr>
              <w:t>−1.</w:t>
            </w:r>
            <w:r>
              <w:rPr>
                <w:sz w:val="16"/>
                <w:szCs w:val="16"/>
                <w:vertAlign w:val="superscript"/>
              </w:rPr>
              <w:t xml:space="preserve"> </w:t>
            </w:r>
            <w:r w:rsidRPr="000B480F">
              <w:t>Mixed BMIs.</w:t>
            </w:r>
          </w:p>
          <w:p w14:paraId="088E955E" w14:textId="77777777" w:rsidR="00921608" w:rsidRDefault="00921608" w:rsidP="00D86DBF">
            <w:r w:rsidRPr="005E4EF9">
              <w:rPr>
                <w:b/>
              </w:rPr>
              <w:t>Intervention</w:t>
            </w:r>
            <w:r>
              <w:rPr>
                <w:b/>
              </w:rPr>
              <w:t>:</w:t>
            </w:r>
          </w:p>
          <w:p w14:paraId="6104FCC1" w14:textId="77777777" w:rsidR="00921608" w:rsidRPr="00C45716" w:rsidRDefault="00921608" w:rsidP="00D86DBF">
            <w:pPr>
              <w:pStyle w:val="bullet"/>
            </w:pPr>
            <w:r w:rsidRPr="00C45716">
              <w:rPr>
                <w:i/>
              </w:rPr>
              <w:t>Supervised</w:t>
            </w:r>
            <w:r w:rsidRPr="00C45716">
              <w:t xml:space="preserve">: </w:t>
            </w:r>
            <w:r>
              <w:t>Yes</w:t>
            </w:r>
          </w:p>
          <w:p w14:paraId="17616E81" w14:textId="77777777" w:rsidR="00921608" w:rsidRPr="007D4CC2" w:rsidRDefault="00921608" w:rsidP="00D86DBF">
            <w:pPr>
              <w:pStyle w:val="bullet"/>
            </w:pPr>
            <w:r w:rsidRPr="00C45716">
              <w:rPr>
                <w:i/>
              </w:rPr>
              <w:t>Type and duration</w:t>
            </w:r>
            <w:r w:rsidRPr="00C45716">
              <w:t xml:space="preserve">: </w:t>
            </w:r>
            <w:r>
              <w:t xml:space="preserve">Aerobic and resistance; </w:t>
            </w:r>
            <w:r w:rsidRPr="00C12274">
              <w:t>Dance, muscle strengthening</w:t>
            </w:r>
            <w:r>
              <w:t xml:space="preserve">; </w:t>
            </w:r>
            <w:r w:rsidRPr="00C12274">
              <w:t>55-60 min, 3 times a week from week 9-11 to 39-40</w:t>
            </w:r>
            <w:r>
              <w:t>.</w:t>
            </w:r>
          </w:p>
          <w:p w14:paraId="0FD8FE0B" w14:textId="77777777" w:rsidR="00921608" w:rsidRPr="004D49E0" w:rsidRDefault="00921608" w:rsidP="00D86DBF">
            <w:pPr>
              <w:pStyle w:val="bullet"/>
              <w:rPr>
                <w:b/>
              </w:rPr>
            </w:pPr>
            <w:r w:rsidRPr="00C45716">
              <w:rPr>
                <w:i/>
              </w:rPr>
              <w:t>Intensity</w:t>
            </w:r>
            <w:r w:rsidRPr="00C45716">
              <w:t xml:space="preserve">: </w:t>
            </w:r>
            <w:r w:rsidRPr="00C12274">
              <w:t>Light to moderate; 55-60% maximal HR</w:t>
            </w:r>
            <w:r>
              <w:t>.</w:t>
            </w:r>
          </w:p>
        </w:tc>
        <w:tc>
          <w:tcPr>
            <w:tcW w:w="4678" w:type="dxa"/>
          </w:tcPr>
          <w:p w14:paraId="1296A1CC" w14:textId="77777777" w:rsidR="00921608" w:rsidRDefault="00921608" w:rsidP="00D86DBF">
            <w:r>
              <w:t>Intervention vs control:</w:t>
            </w:r>
          </w:p>
          <w:p w14:paraId="37C9D29F" w14:textId="417E9660" w:rsidR="00921608" w:rsidRDefault="00921608" w:rsidP="00D86DBF">
            <w:pPr>
              <w:pStyle w:val="bullet"/>
            </w:pPr>
            <w:r>
              <w:t>Dilation time (min</w:t>
            </w:r>
            <w:r w:rsidRPr="00A407BD">
              <w:t>): 360±309 vs 516±332</w:t>
            </w:r>
            <w:r w:rsidR="00AE3FFB">
              <w:t>; p&gt;0.1</w:t>
            </w:r>
          </w:p>
          <w:p w14:paraId="54A1EA7D" w14:textId="7008DA7F" w:rsidR="00921608" w:rsidRPr="00A407BD" w:rsidRDefault="00921608" w:rsidP="00D86DBF">
            <w:pPr>
              <w:pStyle w:val="bullet"/>
            </w:pPr>
            <w:r w:rsidRPr="00A407BD">
              <w:t>Expulsion time (min): 98±73 vs 111±77</w:t>
            </w:r>
            <w:r w:rsidR="00AE3FFB">
              <w:t>; p&gt;0.1</w:t>
            </w:r>
          </w:p>
          <w:p w14:paraId="62AD973F" w14:textId="1D36E507" w:rsidR="00921608" w:rsidRPr="00A407BD" w:rsidRDefault="00921608" w:rsidP="00D86DBF">
            <w:pPr>
              <w:pStyle w:val="bullet"/>
            </w:pPr>
            <w:r w:rsidRPr="00A407BD">
              <w:t>Childbirth time</w:t>
            </w:r>
            <w:r>
              <w:t xml:space="preserve"> (min)</w:t>
            </w:r>
            <w:r w:rsidRPr="00A407BD">
              <w:t>: 6</w:t>
            </w:r>
            <w:r>
              <w:t>±</w:t>
            </w:r>
            <w:r w:rsidRPr="00A407BD">
              <w:t>4 vs 7</w:t>
            </w:r>
            <w:r>
              <w:t>±</w:t>
            </w:r>
            <w:r w:rsidRPr="00A407BD">
              <w:t>5</w:t>
            </w:r>
            <w:r w:rsidR="00AE3FFB">
              <w:t>; p&gt;0.1</w:t>
            </w:r>
          </w:p>
          <w:p w14:paraId="389043EC" w14:textId="1A9FA224" w:rsidR="00921608" w:rsidRDefault="00921608" w:rsidP="00D86DBF">
            <w:pPr>
              <w:pStyle w:val="bullet"/>
            </w:pPr>
            <w:r w:rsidRPr="00A407BD">
              <w:t>Total duration of labour</w:t>
            </w:r>
            <w:r>
              <w:t xml:space="preserve"> (min)</w:t>
            </w:r>
            <w:r w:rsidRPr="00A407BD">
              <w:t>: 495</w:t>
            </w:r>
            <w:r>
              <w:t>±</w:t>
            </w:r>
            <w:r w:rsidRPr="00A407BD">
              <w:t>234 vs 656</w:t>
            </w:r>
            <w:r>
              <w:t>±</w:t>
            </w:r>
            <w:r w:rsidRPr="00A407BD">
              <w:t>360</w:t>
            </w:r>
            <w:r w:rsidR="00AE3FFB">
              <w:t>; p&gt;0.1</w:t>
            </w:r>
          </w:p>
        </w:tc>
        <w:tc>
          <w:tcPr>
            <w:tcW w:w="1844" w:type="dxa"/>
          </w:tcPr>
          <w:p w14:paraId="118A8E21" w14:textId="77777777" w:rsidR="00921608" w:rsidRPr="00DC4A73" w:rsidRDefault="00921608" w:rsidP="00D86DBF">
            <w:pPr>
              <w:keepNext/>
            </w:pPr>
          </w:p>
        </w:tc>
      </w:tr>
      <w:tr w:rsidR="005A407B" w:rsidRPr="00DC4A73" w14:paraId="59457DEB" w14:textId="77777777" w:rsidTr="006C2075">
        <w:trPr>
          <w:cantSplit/>
        </w:trPr>
        <w:tc>
          <w:tcPr>
            <w:tcW w:w="1275" w:type="dxa"/>
          </w:tcPr>
          <w:p w14:paraId="7C6C9032" w14:textId="0D0358BA" w:rsidR="005A407B" w:rsidRDefault="005A407B" w:rsidP="002747EA">
            <w:pPr>
              <w:rPr>
                <w:noProof/>
              </w:rPr>
            </w:pPr>
            <w:r>
              <w:rPr>
                <w:noProof/>
              </w:rPr>
              <w:t>Perales et al 2020</w:t>
            </w:r>
            <w:r w:rsidR="00D07346">
              <w:rPr>
                <w:noProof/>
              </w:rPr>
              <w:fldChar w:fldCharType="begin">
                <w:fldData xml:space="preserve">PEVuZE5vdGU+PENpdGU+PEF1dGhvcj5QZXJhbGVzPC9BdXRob3I+PFllYXI+MjAyMDwvWWVhcj48
UmVjTnVtPjE5NjQ8L1JlY051bT48RGlzcGxheVRleHQ+PHN0eWxlIGZhY2U9InN1cGVyc2NyaXB0
IiBmb250PSJUcmVidWNoZXQgTVMiIHNpemU9IjkiPjMwMjwvc3R5bGU+PC9EaXNwbGF5VGV4dD48
cmVjb3JkPjxyZWMtbnVtYmVyPjE5NjQ8L3JlYy1udW1iZXI+PGZvcmVpZ24ta2V5cz48a2V5IGFw
cD0iRU4iIGRiLWlkPSJleHZhc3JmeDJkdHJhb2VzYXN4cDJzenN4YTJkZjUwMjU5MngiIHRpbWVz
dGFtcD0iMTU4ODc0MzkxMiI+MTk2NDwva2V5PjxrZXkgYXBwPSJFTldlYiIgZGItaWQ9IiI+MDwv
a2V5PjwvZm9yZWlnbi1rZXlzPjxyZWYtdHlwZSBuYW1lPSJKb3VybmFsIEFydGljbGUiPjE3PC9y
ZWYtdHlwZT48Y29udHJpYnV0b3JzPjxhdXRob3JzPjxhdXRob3I+UGVyYWxlcywgTS48L2F1dGhv
cj48YXV0aG9yPlZhbGVuenVlbGEsIFAuIEwuPC9hdXRob3I+PGF1dGhvcj5CYXJha2F0LCBSLjwv
YXV0aG9yPjxhdXRob3I+Q29yZGVybywgWS48L2F1dGhvcj48YXV0aG9yPlBlbGFleiwgTS48L2F1
dGhvcj48YXV0aG9yPkxvcGV6LCBDLjwvYXV0aG9yPjxhdXRob3I+UnVpbG9wZSwgTC4gTS48L2F1
dGhvcj48YXV0aG9yPlNhbnRvcy1Mb3phbm8sIEEuPC9hdXRob3I+PGF1dGhvcj5MdWNpYSwgQS48
L2F1dGhvcj48L2F1dGhvcnM+PC9jb250cmlidXRvcnM+PGF1dGgtYWRkcmVzcz5SZXNlYXJjaCBJ
bnN0aXR1ZSBvZiBIb3NwaXRhbCAxMiBkZSBPY3R1YnJlICgmYXBvcztpKzEyJmFwb3M7KSwgMjgw
NDEgTWFkcmlkLCBTcGFpbi4mI3hEO0RlcGFydGFtZW50byBkZSBDaWVuY2lhcyBkZSBsYSBBY3Rp
dmlkYWQgRmlzaWNhIHkgZGVsIERlcG9ydGUuIFVuaXZlcnNpZGFkIENhbWlsbyBKb3NlIENlbGEs
IDI4NjkyIFZpbGxhbnVldmEgZGUgbGEgQ2FuYWRhLCBNYWRyaWQsIFNwYWluLiYjeEQ7RGVwYXJ0
bWVudCBvZiBTeXN0ZW1zIEJpb2xvZ3ksIFVuaXZlcnNpdHkgb2YgQWxjYWxhLCAyODgwMSBBbGNh
bGEgZGUgSGVuYXJlcywgTWFkcmlkLCBTcGFpbi4mI3hEO0ZhY3VsdGFkIGRlIENpZW5jaWFzIGRl
IGxhIEFjdGl2aWRhZCBGaXNpY2EgeSBkZWwgRGVwb3J0ZSwgVW5pdmVyc2lkYWQgUG9saXRlY25p
Y2EgZGUgTWFkcmlkLCAyODA0MCBNYWRyaWQsIFNwYWluLiYjeEQ7VW5pdmVyc2lkYWQgQ29tcGx1
dGVuc2UgZGUgTWFkcmlkLCAyODA0MCBNYWRyaWQsIFNwYWluLiYjeEQ7VW5pdmVyc2lkYWQgRXVy
b3BlYWRlbCBBdGxhbnRpY28sIDM5MDExIFNhbnRhbmRlciwgU3BhaW4uJiN4RDtDLlAuQi4gVGll
bW8gR2FsdmFuLCBUcmVzIENhbnRvcywgMjg3NjAgVHJlcyBDYW50b3MsIE1hZHJpZCwgU3BhaW4u
JiN4RDtIeXBlcnRlbnNpb24gVW5pdCBhbmQgQ2FyZGlvcmVudGFsIFRyYW5zbGF0aW9uYWwgTGFi
b3JhdG9yeSwgUmVzZWFyY2ggSW5zdGl0dWUgb2YgSG9zcGl0YWwgMTIgZGUgT2N0dWJyZSAoJmFw
b3M7aSsxMiZhcG9zOyksIDI4MDQxIE1hZHJpZCwgU3BhaW4uJiN4RDtpK0hlQUxUSCwgRGVwYXJ0
bWVudCBvZiBIZWFsdGggU2NpZW5jZXMsIEV1cm9wZWFuIFVuaXZlcnNpdHkgTWlndWVsIGRlIEdl
cnZhbnRlcywgNDcwMTIgVmFsbGFkb2xpZCwgU3BhaW4uJiN4RDtGYWN1bHR5IG9mIFNwb3J0IFNj
aWVuY2VzLCBVbml2ZXJzaWRhZCBFdXJvcGVhIGRlIE1hZHJpZCwgMjg2NzAgVmlsbGF2aWNpb3Nh
IGRlIE9kb24sIE1hZHJpZCwgU3BhaW4uPC9hdXRoLWFkZHJlc3M+PHRpdGxlcz48dGl0bGU+R2Vz
dGF0aW9uYWwgZXhlcmNpc2UgYW5kIG1hdGVybmFsIGFuZCBjaGlsZCBoZWFsdGg6IGVmZmVjdHMg
dW50aWwgZGVsaXZlcnkgYW5kIGF0IHBvc3QtbmF0YWwgZm9sbG93LXVwPC90aXRsZT48c2Vjb25k
YXJ5LXRpdGxlPkogQ2xpbiBNZWQ8L3NlY29uZGFyeS10aXRsZT48L3RpdGxlcz48cGVyaW9kaWNh
bD48ZnVsbC10aXRsZT5KIENsaW4gTWVkPC9mdWxsLXRpdGxlPjwvcGVyaW9kaWNhbD48dm9sdW1l
Pjk8L3ZvbHVtZT48bnVtYmVyPjI8L251bWJlcj48ZWRpdGlvbj4yMDIwLzAyLzA3PC9lZGl0aW9u
PjxrZXl3b3Jkcz48a2V5d29yZD5kaWFiZXRlczwva2V5d29yZD48a2V5d29yZD5oeXBlcnRlbnNp
b248L2tleXdvcmQ+PGtleXdvcmQ+b2Jlc2l0eTwva2V5d29yZD48a2V5d29yZD5waHlzaWNhbCBh
Y3Rpdml0eTwva2V5d29yZD48a2V5d29yZD5wcmVnbmFuY3k8L2tleXdvcmQ+PGtleXdvcmQ+dHJh
aW5pbmc8L2tleXdvcmQ+PC9rZXl3b3Jkcz48ZGF0ZXM+PHllYXI+MjAyMDwveWVhcj48cHViLWRh
dGVzPjxkYXRlPkphbiAzMTwvZGF0ZT48L3B1Yi1kYXRlcz48L2RhdGVzPjxpc2JuPjIwNzctMDM4
MyAoUHJpbnQpJiN4RDsyMDc3LTAzODMgKExpbmtpbmcpPC9pc2JuPjxhY2Nlc3Npb24tbnVtPjMy
MDIzODMzPC9hY2Nlc3Npb24tbnVtPjx1cmxzPjxyZWxhdGVkLXVybHM+PHVybD5odHRwczovL3d3
dy5uY2JpLm5sbS5uaWguZ292L3B1Ym1lZC8zMjAyMzgzMzwvdXJsPjwvcmVsYXRlZC11cmxzPjwv
dXJscz48Y3VzdG9tMj5QTUM3MDc0NTc3PC9jdXN0b20yPjxlbGVjdHJvbmljLXJlc291cmNlLW51
bT4xMC4zMzkwL2pjbTkwMjAzNzk8L2VsZWN0cm9uaWMtcmVzb3VyY2UtbnVtPjwvcmVjb3JkPjwv
Q2l0ZT48L0VuZE5vdGU+AG==
</w:fldData>
              </w:fldChar>
            </w:r>
            <w:r w:rsidR="002747EA">
              <w:rPr>
                <w:noProof/>
              </w:rPr>
              <w:instrText xml:space="preserve"> ADDIN EN.CITE </w:instrText>
            </w:r>
            <w:r w:rsidR="002747EA">
              <w:rPr>
                <w:noProof/>
              </w:rPr>
              <w:fldChar w:fldCharType="begin">
                <w:fldData xml:space="preserve">PEVuZE5vdGU+PENpdGU+PEF1dGhvcj5QZXJhbGVzPC9BdXRob3I+PFllYXI+MjAyMDwvWWVhcj48
UmVjTnVtPjE5NjQ8L1JlY051bT48RGlzcGxheVRleHQ+PHN0eWxlIGZhY2U9InN1cGVyc2NyaXB0
IiBmb250PSJUcmVidWNoZXQgTVMiIHNpemU9IjkiPjMwMjwvc3R5bGU+PC9EaXNwbGF5VGV4dD48
cmVjb3JkPjxyZWMtbnVtYmVyPjE5NjQ8L3JlYy1udW1iZXI+PGZvcmVpZ24ta2V5cz48a2V5IGFw
cD0iRU4iIGRiLWlkPSJleHZhc3JmeDJkdHJhb2VzYXN4cDJzenN4YTJkZjUwMjU5MngiIHRpbWVz
dGFtcD0iMTU4ODc0MzkxMiI+MTk2NDwva2V5PjxrZXkgYXBwPSJFTldlYiIgZGItaWQ9IiI+MDwv
a2V5PjwvZm9yZWlnbi1rZXlzPjxyZWYtdHlwZSBuYW1lPSJKb3VybmFsIEFydGljbGUiPjE3PC9y
ZWYtdHlwZT48Y29udHJpYnV0b3JzPjxhdXRob3JzPjxhdXRob3I+UGVyYWxlcywgTS48L2F1dGhv
cj48YXV0aG9yPlZhbGVuenVlbGEsIFAuIEwuPC9hdXRob3I+PGF1dGhvcj5CYXJha2F0LCBSLjwv
YXV0aG9yPjxhdXRob3I+Q29yZGVybywgWS48L2F1dGhvcj48YXV0aG9yPlBlbGFleiwgTS48L2F1
dGhvcj48YXV0aG9yPkxvcGV6LCBDLjwvYXV0aG9yPjxhdXRob3I+UnVpbG9wZSwgTC4gTS48L2F1
dGhvcj48YXV0aG9yPlNhbnRvcy1Mb3phbm8sIEEuPC9hdXRob3I+PGF1dGhvcj5MdWNpYSwgQS48
L2F1dGhvcj48L2F1dGhvcnM+PC9jb250cmlidXRvcnM+PGF1dGgtYWRkcmVzcz5SZXNlYXJjaCBJ
bnN0aXR1ZSBvZiBIb3NwaXRhbCAxMiBkZSBPY3R1YnJlICgmYXBvcztpKzEyJmFwb3M7KSwgMjgw
NDEgTWFkcmlkLCBTcGFpbi4mI3hEO0RlcGFydGFtZW50byBkZSBDaWVuY2lhcyBkZSBsYSBBY3Rp
dmlkYWQgRmlzaWNhIHkgZGVsIERlcG9ydGUuIFVuaXZlcnNpZGFkIENhbWlsbyBKb3NlIENlbGEs
IDI4NjkyIFZpbGxhbnVldmEgZGUgbGEgQ2FuYWRhLCBNYWRyaWQsIFNwYWluLiYjeEQ7RGVwYXJ0
bWVudCBvZiBTeXN0ZW1zIEJpb2xvZ3ksIFVuaXZlcnNpdHkgb2YgQWxjYWxhLCAyODgwMSBBbGNh
bGEgZGUgSGVuYXJlcywgTWFkcmlkLCBTcGFpbi4mI3hEO0ZhY3VsdGFkIGRlIENpZW5jaWFzIGRl
IGxhIEFjdGl2aWRhZCBGaXNpY2EgeSBkZWwgRGVwb3J0ZSwgVW5pdmVyc2lkYWQgUG9saXRlY25p
Y2EgZGUgTWFkcmlkLCAyODA0MCBNYWRyaWQsIFNwYWluLiYjeEQ7VW5pdmVyc2lkYWQgQ29tcGx1
dGVuc2UgZGUgTWFkcmlkLCAyODA0MCBNYWRyaWQsIFNwYWluLiYjeEQ7VW5pdmVyc2lkYWQgRXVy
b3BlYWRlbCBBdGxhbnRpY28sIDM5MDExIFNhbnRhbmRlciwgU3BhaW4uJiN4RDtDLlAuQi4gVGll
bW8gR2FsdmFuLCBUcmVzIENhbnRvcywgMjg3NjAgVHJlcyBDYW50b3MsIE1hZHJpZCwgU3BhaW4u
JiN4RDtIeXBlcnRlbnNpb24gVW5pdCBhbmQgQ2FyZGlvcmVudGFsIFRyYW5zbGF0aW9uYWwgTGFi
b3JhdG9yeSwgUmVzZWFyY2ggSW5zdGl0dWUgb2YgSG9zcGl0YWwgMTIgZGUgT2N0dWJyZSAoJmFw
b3M7aSsxMiZhcG9zOyksIDI4MDQxIE1hZHJpZCwgU3BhaW4uJiN4RDtpK0hlQUxUSCwgRGVwYXJ0
bWVudCBvZiBIZWFsdGggU2NpZW5jZXMsIEV1cm9wZWFuIFVuaXZlcnNpdHkgTWlndWVsIGRlIEdl
cnZhbnRlcywgNDcwMTIgVmFsbGFkb2xpZCwgU3BhaW4uJiN4RDtGYWN1bHR5IG9mIFNwb3J0IFNj
aWVuY2VzLCBVbml2ZXJzaWRhZCBFdXJvcGVhIGRlIE1hZHJpZCwgMjg2NzAgVmlsbGF2aWNpb3Nh
IGRlIE9kb24sIE1hZHJpZCwgU3BhaW4uPC9hdXRoLWFkZHJlc3M+PHRpdGxlcz48dGl0bGU+R2Vz
dGF0aW9uYWwgZXhlcmNpc2UgYW5kIG1hdGVybmFsIGFuZCBjaGlsZCBoZWFsdGg6IGVmZmVjdHMg
dW50aWwgZGVsaXZlcnkgYW5kIGF0IHBvc3QtbmF0YWwgZm9sbG93LXVwPC90aXRsZT48c2Vjb25k
YXJ5LXRpdGxlPkogQ2xpbiBNZWQ8L3NlY29uZGFyeS10aXRsZT48L3RpdGxlcz48cGVyaW9kaWNh
bD48ZnVsbC10aXRsZT5KIENsaW4gTWVkPC9mdWxsLXRpdGxlPjwvcGVyaW9kaWNhbD48dm9sdW1l
Pjk8L3ZvbHVtZT48bnVtYmVyPjI8L251bWJlcj48ZWRpdGlvbj4yMDIwLzAyLzA3PC9lZGl0aW9u
PjxrZXl3b3Jkcz48a2V5d29yZD5kaWFiZXRlczwva2V5d29yZD48a2V5d29yZD5oeXBlcnRlbnNp
b248L2tleXdvcmQ+PGtleXdvcmQ+b2Jlc2l0eTwva2V5d29yZD48a2V5d29yZD5waHlzaWNhbCBh
Y3Rpdml0eTwva2V5d29yZD48a2V5d29yZD5wcmVnbmFuY3k8L2tleXdvcmQ+PGtleXdvcmQ+dHJh
aW5pbmc8L2tleXdvcmQ+PC9rZXl3b3Jkcz48ZGF0ZXM+PHllYXI+MjAyMDwveWVhcj48cHViLWRh
dGVzPjxkYXRlPkphbiAzMTwvZGF0ZT48L3B1Yi1kYXRlcz48L2RhdGVzPjxpc2JuPjIwNzctMDM4
MyAoUHJpbnQpJiN4RDsyMDc3LTAzODMgKExpbmtpbmcpPC9pc2JuPjxhY2Nlc3Npb24tbnVtPjMy
MDIzODMzPC9hY2Nlc3Npb24tbnVtPjx1cmxzPjxyZWxhdGVkLXVybHM+PHVybD5odHRwczovL3d3
dy5uY2JpLm5sbS5uaWguZ292L3B1Ym1lZC8zMjAyMzgzMzwvdXJsPjwvcmVsYXRlZC11cmxzPjwv
dXJscz48Y3VzdG9tMj5QTUM3MDc0NTc3PC9jdXN0b20yPjxlbGVjdHJvbmljLXJlc291cmNlLW51
bT4xMC4zMzkwL2pjbTkwMjAzNzk8L2VsZWN0cm9uaWMtcmVzb3VyY2UtbnVtPjwvcmVjb3JkPjwv
Q2l0ZT48L0VuZE5vdGU+AG==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302</w:t>
            </w:r>
            <w:r w:rsidR="00D07346">
              <w:rPr>
                <w:noProof/>
              </w:rPr>
              <w:fldChar w:fldCharType="end"/>
            </w:r>
          </w:p>
        </w:tc>
        <w:tc>
          <w:tcPr>
            <w:tcW w:w="1276" w:type="dxa"/>
          </w:tcPr>
          <w:p w14:paraId="5BC786CF" w14:textId="77777777" w:rsidR="005A407B" w:rsidRDefault="005424A0" w:rsidP="00D86DBF">
            <w:r>
              <w:t>Intervention 688</w:t>
            </w:r>
          </w:p>
          <w:p w14:paraId="6BE4C992" w14:textId="25F0195D" w:rsidR="005424A0" w:rsidRDefault="005424A0" w:rsidP="00D86DBF">
            <w:r>
              <w:t>Control 660</w:t>
            </w:r>
          </w:p>
        </w:tc>
        <w:tc>
          <w:tcPr>
            <w:tcW w:w="4819" w:type="dxa"/>
          </w:tcPr>
          <w:p w14:paraId="2ACAF1C0" w14:textId="0799E7F4" w:rsidR="005424A0" w:rsidRDefault="005424A0" w:rsidP="005424A0">
            <w:r w:rsidRPr="00C70D81">
              <w:rPr>
                <w:b/>
              </w:rPr>
              <w:t>Aim</w:t>
            </w:r>
            <w:r>
              <w:t xml:space="preserve">: </w:t>
            </w:r>
            <w:r w:rsidRPr="005D1D93">
              <w:t xml:space="preserve">To study </w:t>
            </w:r>
            <w:r w:rsidRPr="005A407B">
              <w:t>the influence of pregnancy exercise on maternal/offspring cardiometabolic health until delivery and at follow-up</w:t>
            </w:r>
            <w:r>
              <w:t xml:space="preserve"> by pooling data from two randomis</w:t>
            </w:r>
            <w:r w:rsidRPr="005A407B">
              <w:t>ed controlled trials that were performed following the same methodology (one unpublished).</w:t>
            </w:r>
          </w:p>
          <w:p w14:paraId="46A9246C" w14:textId="77777777" w:rsidR="005424A0" w:rsidRPr="00F377F9" w:rsidRDefault="005424A0" w:rsidP="005424A0">
            <w:r w:rsidRPr="00C70D81">
              <w:rPr>
                <w:b/>
              </w:rPr>
              <w:t>Population</w:t>
            </w:r>
            <w:r>
              <w:t>:</w:t>
            </w:r>
            <w:r w:rsidRPr="005D1D93">
              <w:t xml:space="preserve"> </w:t>
            </w:r>
            <w:r>
              <w:t>Sedentary</w:t>
            </w:r>
            <w:r w:rsidRPr="005D1D93">
              <w:t xml:space="preserve"> women </w:t>
            </w:r>
            <w:r>
              <w:t>with a singleton uncomplicated pregnan</w:t>
            </w:r>
            <w:r w:rsidRPr="00F377F9">
              <w:t>cy. BMI ≤25 kg/m</w:t>
            </w:r>
            <w:r w:rsidRPr="00F377F9">
              <w:rPr>
                <w:vertAlign w:val="superscript"/>
              </w:rPr>
              <w:t>2</w:t>
            </w:r>
            <w:r w:rsidRPr="00F377F9">
              <w:t>; BMI ≥25 kg/m</w:t>
            </w:r>
            <w:r w:rsidRPr="00F377F9">
              <w:rPr>
                <w:vertAlign w:val="superscript"/>
              </w:rPr>
              <w:t>2</w:t>
            </w:r>
            <w:r w:rsidRPr="00F377F9">
              <w:t>.</w:t>
            </w:r>
          </w:p>
          <w:p w14:paraId="61E71C9F" w14:textId="77777777" w:rsidR="005424A0" w:rsidRDefault="005424A0" w:rsidP="005424A0">
            <w:r w:rsidRPr="005E4EF9">
              <w:rPr>
                <w:b/>
              </w:rPr>
              <w:t>Intervention</w:t>
            </w:r>
            <w:r>
              <w:rPr>
                <w:b/>
              </w:rPr>
              <w:t>:</w:t>
            </w:r>
          </w:p>
          <w:p w14:paraId="7A41F459" w14:textId="77777777" w:rsidR="005424A0" w:rsidRPr="00C45716" w:rsidRDefault="005424A0" w:rsidP="005424A0">
            <w:pPr>
              <w:pStyle w:val="bullet"/>
            </w:pPr>
            <w:r w:rsidRPr="00C45716">
              <w:rPr>
                <w:i/>
              </w:rPr>
              <w:t>Supervised</w:t>
            </w:r>
            <w:r w:rsidRPr="00C45716">
              <w:t xml:space="preserve">: </w:t>
            </w:r>
            <w:r>
              <w:t>Yes</w:t>
            </w:r>
          </w:p>
          <w:p w14:paraId="4F47EC72" w14:textId="77777777" w:rsidR="005424A0" w:rsidRPr="007D4CC2" w:rsidRDefault="005424A0" w:rsidP="005424A0">
            <w:pPr>
              <w:pStyle w:val="bullet"/>
            </w:pPr>
            <w:r w:rsidRPr="00C45716">
              <w:rPr>
                <w:i/>
              </w:rPr>
              <w:t>Type and duration</w:t>
            </w:r>
            <w:r w:rsidRPr="00C45716">
              <w:t xml:space="preserve">: </w:t>
            </w:r>
            <w:r>
              <w:t xml:space="preserve">Aerobic and resistance; </w:t>
            </w:r>
            <w:r w:rsidRPr="00C12274">
              <w:t>Dance, muscle strengthening</w:t>
            </w:r>
            <w:r>
              <w:t xml:space="preserve">; </w:t>
            </w:r>
            <w:r w:rsidRPr="00C12274">
              <w:t>50-55 min, 3 times a week</w:t>
            </w:r>
            <w:r>
              <w:t>.</w:t>
            </w:r>
          </w:p>
          <w:p w14:paraId="4315C62C" w14:textId="1546C3D5" w:rsidR="005A407B" w:rsidRPr="00ED5084" w:rsidRDefault="005424A0" w:rsidP="00BD61CC">
            <w:pPr>
              <w:pStyle w:val="bullet"/>
              <w:rPr>
                <w:b/>
              </w:rPr>
            </w:pPr>
            <w:r w:rsidRPr="00C45716">
              <w:rPr>
                <w:i/>
              </w:rPr>
              <w:t>Intensity</w:t>
            </w:r>
            <w:r w:rsidRPr="00C45716">
              <w:t xml:space="preserve">: </w:t>
            </w:r>
            <w:r w:rsidRPr="00C12274">
              <w:t>Moderate; &lt;60% of age-predicted maximum HR; Borg scale 10 to 12</w:t>
            </w:r>
            <w:r>
              <w:t>.</w:t>
            </w:r>
          </w:p>
        </w:tc>
        <w:tc>
          <w:tcPr>
            <w:tcW w:w="4678" w:type="dxa"/>
          </w:tcPr>
          <w:p w14:paraId="05037462" w14:textId="77777777" w:rsidR="005A407B" w:rsidRDefault="005424A0" w:rsidP="005A407B">
            <w:r>
              <w:t>Intervention vs control:</w:t>
            </w:r>
          </w:p>
          <w:p w14:paraId="54A0EBC2" w14:textId="3587F228" w:rsidR="005424A0" w:rsidRDefault="005424A0" w:rsidP="00BD61CC">
            <w:pPr>
              <w:pStyle w:val="bullet"/>
            </w:pPr>
            <w:r>
              <w:t>Duration of 1</w:t>
            </w:r>
            <w:r w:rsidRPr="00BD61CC">
              <w:rPr>
                <w:vertAlign w:val="superscript"/>
              </w:rPr>
              <w:t>st</w:t>
            </w:r>
            <w:r>
              <w:t xml:space="preserve"> stage of labour: 382±256</w:t>
            </w:r>
            <w:r w:rsidR="00A37586">
              <w:t xml:space="preserve"> vs 430±</w:t>
            </w:r>
            <w:r w:rsidR="00A37586" w:rsidRPr="00A37586">
              <w:t>501</w:t>
            </w:r>
            <w:r>
              <w:t>; p=0.039</w:t>
            </w:r>
          </w:p>
          <w:p w14:paraId="78EE38FF" w14:textId="77777777" w:rsidR="005424A0" w:rsidRDefault="005424A0" w:rsidP="00BD61CC">
            <w:pPr>
              <w:pStyle w:val="bullet"/>
            </w:pPr>
            <w:r>
              <w:t>Duration of 2</w:t>
            </w:r>
            <w:r w:rsidRPr="00BD61CC">
              <w:rPr>
                <w:vertAlign w:val="superscript"/>
              </w:rPr>
              <w:t>nd</w:t>
            </w:r>
            <w:r>
              <w:t xml:space="preserve"> stage of labour: 45±50 vs 49±53; p=0.199</w:t>
            </w:r>
          </w:p>
          <w:p w14:paraId="3560619F" w14:textId="07498809" w:rsidR="005424A0" w:rsidRPr="005A407B" w:rsidRDefault="005424A0" w:rsidP="00BD61CC">
            <w:pPr>
              <w:pStyle w:val="bullet"/>
            </w:pPr>
            <w:r>
              <w:t>Duration of 3</w:t>
            </w:r>
            <w:r w:rsidRPr="00BD61CC">
              <w:rPr>
                <w:vertAlign w:val="superscript"/>
              </w:rPr>
              <w:t>rd</w:t>
            </w:r>
            <w:r>
              <w:t xml:space="preserve"> stage of labour: 8±7 vs 9±11; p=0.060</w:t>
            </w:r>
          </w:p>
        </w:tc>
        <w:tc>
          <w:tcPr>
            <w:tcW w:w="1844" w:type="dxa"/>
          </w:tcPr>
          <w:p w14:paraId="4D8DF038" w14:textId="77777777" w:rsidR="005A407B" w:rsidRPr="00DC4A73" w:rsidRDefault="005A407B" w:rsidP="00D86DBF">
            <w:pPr>
              <w:keepNext/>
            </w:pPr>
          </w:p>
        </w:tc>
      </w:tr>
      <w:tr w:rsidR="006C2075" w:rsidRPr="00DC4A73" w14:paraId="0A8D99E6" w14:textId="77777777" w:rsidTr="006C2075">
        <w:trPr>
          <w:cantSplit/>
        </w:trPr>
        <w:tc>
          <w:tcPr>
            <w:tcW w:w="1275" w:type="dxa"/>
          </w:tcPr>
          <w:p w14:paraId="0FE789F3" w14:textId="4D09AA2D" w:rsidR="00921608" w:rsidRDefault="00921608" w:rsidP="0099206A">
            <w:pPr>
              <w:rPr>
                <w:noProof/>
              </w:rPr>
            </w:pPr>
            <w:r>
              <w:rPr>
                <w:noProof/>
              </w:rPr>
              <w:t>Salvesen et al 2004</w:t>
            </w:r>
            <w:r>
              <w:rPr>
                <w:noProof/>
              </w:rPr>
              <w:fldChar w:fldCharType="begin"/>
            </w:r>
            <w:r w:rsidR="002747EA">
              <w:rPr>
                <w:noProof/>
              </w:rPr>
              <w:instrText xml:space="preserve"> ADDIN EN.CITE &lt;EndNote&gt;&lt;Cite&gt;&lt;Author&gt;Salvesen&lt;/Author&gt;&lt;Year&gt;2004&lt;/Year&gt;&lt;RecNum&gt;941&lt;/RecNum&gt;&lt;DisplayText&gt;&lt;style face="superscript" font="Trebuchet MS" size="9"&gt;297&lt;/style&gt;&lt;/DisplayText&gt;&lt;record&gt;&lt;rec-number&gt;941&lt;/rec-number&gt;&lt;foreign-keys&gt;&lt;key app="EN" db-id="exvasrfx2dtraoesasxp2szsxa2df502592x" timestamp="1541541826"&gt;941&lt;/key&gt;&lt;key app="ENWeb" db-id=""&gt;0&lt;/key&gt;&lt;/foreign-keys&gt;&lt;ref-type name="Journal Article"&gt;17&lt;/ref-type&gt;&lt;contributors&gt;&lt;authors&gt;&lt;author&gt;Salvesen, K. A.&lt;/author&gt;&lt;author&gt;Morkved, S.&lt;/author&gt;&lt;/authors&gt;&lt;/contributors&gt;&lt;auth-address&gt;Department of Obstetrics and Gynaecology, Trondheim University Hospital St. Olav, N-7006 Trondheim, Norway. pepes@medisin.ntnu.no&lt;/auth-address&gt;&lt;titles&gt;&lt;title&gt;Randomised controlled trial of pelvic floor muscle training during pregnancy&lt;/title&gt;&lt;secondary-title&gt;BMJ&lt;/secondary-title&gt;&lt;/titles&gt;&lt;periodical&gt;&lt;full-title&gt;BMJ&lt;/full-title&gt;&lt;/periodical&gt;&lt;pages&gt;378-80&lt;/pages&gt;&lt;volume&gt;329&lt;/volume&gt;&lt;number&gt;7462&lt;/number&gt;&lt;edition&gt;2004/07/16&lt;/edition&gt;&lt;keywords&gt;&lt;keyword&gt;Episiotomy/statistics &amp;amp; numerical data&lt;/keyword&gt;&lt;keyword&gt;Exercise Therapy/*methods&lt;/keyword&gt;&lt;keyword&gt;Female&lt;/keyword&gt;&lt;keyword&gt;Humans&lt;/keyword&gt;&lt;keyword&gt;Labor Stage, Second&lt;/keyword&gt;&lt;keyword&gt;Obstetric Labor Complications/*prevention &amp;amp; control&lt;/keyword&gt;&lt;keyword&gt;Pelvic Floor&lt;/keyword&gt;&lt;keyword&gt;Pregnancy&lt;/keyword&gt;&lt;keyword&gt;Urinary Incontinence/*prevention &amp;amp; control&lt;/keyword&gt;&lt;/keywords&gt;&lt;dates&gt;&lt;year&gt;2004&lt;/year&gt;&lt;pub-dates&gt;&lt;date&gt;Aug 14&lt;/date&gt;&lt;/pub-dates&gt;&lt;/dates&gt;&lt;isbn&gt;1756-1833 (Electronic)&amp;#xD;0959-8138 (Linking)&lt;/isbn&gt;&lt;accession-num&gt;15253920&lt;/accession-num&gt;&lt;urls&gt;&lt;related-urls&gt;&lt;url&gt;https://www.ncbi.nlm.nih.gov/pubmed/15253920&lt;/url&gt;&lt;/related-urls&gt;&lt;/urls&gt;&lt;custom2&gt;PMC509343&lt;/custom2&gt;&lt;electronic-resource-num&gt;10.1136/bmj.38163.724306.3A&lt;/electronic-resource-num&gt;&lt;/record&gt;&lt;/Cite&gt;&lt;/EndNote&gt;</w:instrText>
            </w:r>
            <w:r>
              <w:rPr>
                <w:noProof/>
              </w:rPr>
              <w:fldChar w:fldCharType="separate"/>
            </w:r>
            <w:r w:rsidR="002747EA" w:rsidRPr="002747EA">
              <w:rPr>
                <w:noProof/>
                <w:vertAlign w:val="superscript"/>
              </w:rPr>
              <w:t>297</w:t>
            </w:r>
            <w:r>
              <w:rPr>
                <w:noProof/>
              </w:rPr>
              <w:fldChar w:fldCharType="end"/>
            </w:r>
          </w:p>
          <w:p w14:paraId="40A3FB41" w14:textId="77777777" w:rsidR="00921608" w:rsidRDefault="00921608" w:rsidP="0099206A">
            <w:pPr>
              <w:rPr>
                <w:noProof/>
              </w:rPr>
            </w:pPr>
            <w:r>
              <w:rPr>
                <w:noProof/>
              </w:rPr>
              <w:t>Norway</w:t>
            </w:r>
          </w:p>
        </w:tc>
        <w:tc>
          <w:tcPr>
            <w:tcW w:w="1276" w:type="dxa"/>
          </w:tcPr>
          <w:p w14:paraId="6DEACD7E" w14:textId="77777777" w:rsidR="00921608" w:rsidRDefault="00921608" w:rsidP="00D86DBF">
            <w:r>
              <w:t>Intervention 111</w:t>
            </w:r>
          </w:p>
          <w:p w14:paraId="63DA55A7" w14:textId="77777777" w:rsidR="00921608" w:rsidRDefault="00921608" w:rsidP="00D86DBF">
            <w:r>
              <w:t>Control 113</w:t>
            </w:r>
          </w:p>
        </w:tc>
        <w:tc>
          <w:tcPr>
            <w:tcW w:w="4819" w:type="dxa"/>
          </w:tcPr>
          <w:p w14:paraId="4A14E3AD" w14:textId="2555392C" w:rsidR="00921608" w:rsidRDefault="00921608" w:rsidP="00D86DBF">
            <w:r w:rsidRPr="008566DE">
              <w:rPr>
                <w:b/>
              </w:rPr>
              <w:t>Aim</w:t>
            </w:r>
            <w:r>
              <w:t xml:space="preserve">: </w:t>
            </w:r>
            <w:r w:rsidRPr="005B6104">
              <w:t xml:space="preserve">To examine a possible effect on labour of training the muscles of the pelvic floor during pregnancy. </w:t>
            </w:r>
          </w:p>
          <w:p w14:paraId="1E6F2EEE" w14:textId="77777777" w:rsidR="00921608" w:rsidRDefault="00921608" w:rsidP="00D86DBF">
            <w:r w:rsidRPr="008566DE">
              <w:rPr>
                <w:b/>
              </w:rPr>
              <w:t>Population</w:t>
            </w:r>
            <w:r>
              <w:t>: H</w:t>
            </w:r>
            <w:r w:rsidRPr="005B6104">
              <w:t xml:space="preserve">ealthy nulliparous women. </w:t>
            </w:r>
          </w:p>
          <w:p w14:paraId="2A681417" w14:textId="77777777" w:rsidR="00921608" w:rsidRPr="005B6104" w:rsidRDefault="00921608" w:rsidP="00D86DBF">
            <w:r w:rsidRPr="008566DE">
              <w:rPr>
                <w:b/>
              </w:rPr>
              <w:t>Intervention</w:t>
            </w:r>
            <w:r w:rsidRPr="005B6104">
              <w:t>: A structured training programme with exercises for the pelvic floor muscles between the 20th and 36th week of pregnancy. </w:t>
            </w:r>
          </w:p>
        </w:tc>
        <w:tc>
          <w:tcPr>
            <w:tcW w:w="4678" w:type="dxa"/>
          </w:tcPr>
          <w:p w14:paraId="75D76F99" w14:textId="77777777" w:rsidR="00921608" w:rsidRDefault="00921608" w:rsidP="00D86DBF">
            <w:r>
              <w:t>Intervention vs control</w:t>
            </w:r>
          </w:p>
          <w:p w14:paraId="64E13817" w14:textId="27136CD7" w:rsidR="00921608" w:rsidRDefault="00921608" w:rsidP="00D86DBF">
            <w:pPr>
              <w:pStyle w:val="bullet"/>
            </w:pPr>
            <w:r>
              <w:t>First stage of labour: 260±349.4 vs 259±238.6</w:t>
            </w:r>
            <w:r w:rsidR="00AE3FFB">
              <w:t>; p=0.44</w:t>
            </w:r>
          </w:p>
          <w:p w14:paraId="2F31BFC5" w14:textId="4203CE70" w:rsidR="00921608" w:rsidRDefault="00921608" w:rsidP="00D86DBF">
            <w:pPr>
              <w:pStyle w:val="bullet"/>
            </w:pPr>
            <w:r>
              <w:t>Second stage of labour: 40±37.6 vs 45±38.0</w:t>
            </w:r>
            <w:r w:rsidR="00AE3FFB">
              <w:t>; p=0.06</w:t>
            </w:r>
          </w:p>
        </w:tc>
        <w:tc>
          <w:tcPr>
            <w:tcW w:w="1844" w:type="dxa"/>
          </w:tcPr>
          <w:p w14:paraId="2296B43F" w14:textId="77777777" w:rsidR="00921608" w:rsidRPr="00DC4A73" w:rsidRDefault="00921608" w:rsidP="00D86DBF">
            <w:pPr>
              <w:keepNext/>
            </w:pPr>
          </w:p>
        </w:tc>
      </w:tr>
      <w:tr w:rsidR="006C2075" w:rsidRPr="00DC4A73" w14:paraId="024EE840" w14:textId="77777777" w:rsidTr="006C2075">
        <w:trPr>
          <w:cantSplit/>
        </w:trPr>
        <w:tc>
          <w:tcPr>
            <w:tcW w:w="1275" w:type="dxa"/>
          </w:tcPr>
          <w:p w14:paraId="7555CB31" w14:textId="4CFF333F" w:rsidR="00921608" w:rsidRDefault="00921608" w:rsidP="0099206A">
            <w:pPr>
              <w:rPr>
                <w:noProof/>
              </w:rPr>
            </w:pPr>
            <w:r>
              <w:rPr>
                <w:noProof/>
              </w:rPr>
              <w:t>Salvesen et al 2014</w:t>
            </w:r>
            <w:r>
              <w:rPr>
                <w:noProof/>
              </w:rPr>
              <w:fldChar w:fldCharType="begin"/>
            </w:r>
            <w:r w:rsidR="002747EA">
              <w:rPr>
                <w:noProof/>
              </w:rPr>
              <w:instrText xml:space="preserve"> ADDIN EN.CITE &lt;EndNote&gt;&lt;Cite&gt;&lt;Author&gt;Salvesen&lt;/Author&gt;&lt;Year&gt;2014&lt;/Year&gt;&lt;RecNum&gt;942&lt;/RecNum&gt;&lt;DisplayText&gt;&lt;style face="superscript" font="Trebuchet MS" size="9"&gt;298&lt;/style&gt;&lt;/DisplayText&gt;&lt;record&gt;&lt;rec-number&gt;942&lt;/rec-number&gt;&lt;foreign-keys&gt;&lt;key app="EN" db-id="exvasrfx2dtraoesasxp2szsxa2df502592x" timestamp="1541541832"&gt;942&lt;/key&gt;&lt;key app="ENWeb" db-id=""&gt;0&lt;/key&gt;&lt;/foreign-keys&gt;&lt;ref-type name="Journal Article"&gt;17&lt;/ref-type&gt;&lt;contributors&gt;&lt;authors&gt;&lt;author&gt;Salvesen, K. A.&lt;/author&gt;&lt;author&gt;Stafne, S. N.&lt;/author&gt;&lt;author&gt;Eggebo, T. M.&lt;/author&gt;&lt;author&gt;Morkved, S.&lt;/author&gt;&lt;/authors&gt;&lt;/contributors&gt;&lt;auth-address&gt;Clinical Sciences, Obstetrics and Gynecology, Lund University, Lund, Sweden; National Center for Fetal Medicine, Department of Obstetrics and Gynecology, St. Olavs Hospital, Trondheim University Hospital, Trondheim, Norway.&lt;/auth-address&gt;&lt;titles&gt;&lt;title&gt;Does regular exercise in pregnancy influence duration of labor? A secondary analysis of a randomized controlled trial&lt;/title&gt;&lt;secondary-title&gt;Acta Obstet Gynecol Scand&lt;/secondary-title&gt;&lt;/titles&gt;&lt;periodical&gt;&lt;full-title&gt;Acta Obstet Gynecol Scand&lt;/full-title&gt;&lt;/periodical&gt;&lt;pages&gt;73-9&lt;/pages&gt;&lt;volume&gt;93&lt;/volume&gt;&lt;number&gt;1&lt;/number&gt;&lt;edition&gt;2013/10/10&lt;/edition&gt;&lt;keywords&gt;&lt;keyword&gt;Adult&lt;/keyword&gt;&lt;keyword&gt;Body Mass Index&lt;/keyword&gt;&lt;keyword&gt;Exercise/*physiology&lt;/keyword&gt;&lt;keyword&gt;Female&lt;/keyword&gt;&lt;keyword&gt;Humans&lt;/keyword&gt;&lt;keyword&gt;Labor, Obstetric/*physiology&lt;/keyword&gt;&lt;keyword&gt;Pregnancy&lt;/keyword&gt;&lt;keyword&gt;*Prenatal Care&lt;/keyword&gt;&lt;keyword&gt;Exercise&lt;/keyword&gt;&lt;keyword&gt;labor&lt;/keyword&gt;&lt;keyword&gt;randomized controlled trial&lt;/keyword&gt;&lt;/keywords&gt;&lt;dates&gt;&lt;year&gt;2014&lt;/year&gt;&lt;pub-dates&gt;&lt;date&gt;Jan&lt;/date&gt;&lt;/pub-dates&gt;&lt;/dates&gt;&lt;isbn&gt;1600-0412 (Electronic)&amp;#xD;0001-6349 (Linking)&lt;/isbn&gt;&lt;accession-num&gt;24102423&lt;/accession-num&gt;&lt;urls&gt;&lt;related-urls&gt;&lt;url&gt;https://www.ncbi.nlm.nih.gov/pubmed/24102423&lt;/url&gt;&lt;/related-urls&gt;&lt;/urls&gt;&lt;electronic-resource-num&gt;10.1111/aogs.12260&lt;/electronic-resource-num&gt;&lt;/record&gt;&lt;/Cite&gt;&lt;/EndNote&gt;</w:instrText>
            </w:r>
            <w:r>
              <w:rPr>
                <w:noProof/>
              </w:rPr>
              <w:fldChar w:fldCharType="separate"/>
            </w:r>
            <w:r w:rsidR="002747EA" w:rsidRPr="002747EA">
              <w:rPr>
                <w:noProof/>
                <w:vertAlign w:val="superscript"/>
              </w:rPr>
              <w:t>298</w:t>
            </w:r>
            <w:r>
              <w:rPr>
                <w:noProof/>
              </w:rPr>
              <w:fldChar w:fldCharType="end"/>
            </w:r>
          </w:p>
          <w:p w14:paraId="7761114E" w14:textId="77777777" w:rsidR="00921608" w:rsidRDefault="00921608" w:rsidP="0099206A">
            <w:pPr>
              <w:rPr>
                <w:noProof/>
              </w:rPr>
            </w:pPr>
            <w:r>
              <w:rPr>
                <w:noProof/>
              </w:rPr>
              <w:t>Norway</w:t>
            </w:r>
          </w:p>
        </w:tc>
        <w:tc>
          <w:tcPr>
            <w:tcW w:w="1276" w:type="dxa"/>
          </w:tcPr>
          <w:p w14:paraId="61E1DCF0" w14:textId="77777777" w:rsidR="00921608" w:rsidRDefault="00921608" w:rsidP="00D86DBF">
            <w:r>
              <w:t>Intervention 427</w:t>
            </w:r>
          </w:p>
          <w:p w14:paraId="30E5C9EA" w14:textId="77777777" w:rsidR="00921608" w:rsidRDefault="00921608" w:rsidP="00D86DBF">
            <w:r>
              <w:t>Control 426</w:t>
            </w:r>
          </w:p>
        </w:tc>
        <w:tc>
          <w:tcPr>
            <w:tcW w:w="4819" w:type="dxa"/>
          </w:tcPr>
          <w:p w14:paraId="7A7FF0F8" w14:textId="77777777" w:rsidR="00921608" w:rsidRDefault="00921608" w:rsidP="00D86DBF">
            <w:r w:rsidRPr="002768C4">
              <w:rPr>
                <w:b/>
              </w:rPr>
              <w:t>Aim</w:t>
            </w:r>
            <w:r>
              <w:t xml:space="preserve">: </w:t>
            </w:r>
            <w:r w:rsidRPr="002768C4">
              <w:t>To study effects of regular physical exercise in pregnancy on duration</w:t>
            </w:r>
            <w:r>
              <w:t xml:space="preserve"> </w:t>
            </w:r>
            <w:r w:rsidRPr="002768C4">
              <w:t>of the active phase of labo</w:t>
            </w:r>
            <w:r>
              <w:t>u</w:t>
            </w:r>
            <w:r w:rsidRPr="002768C4">
              <w:t>r and the proportions of women with prolonged</w:t>
            </w:r>
            <w:r>
              <w:t xml:space="preserve"> </w:t>
            </w:r>
            <w:r w:rsidRPr="002768C4">
              <w:t xml:space="preserve">active second stage. </w:t>
            </w:r>
          </w:p>
          <w:p w14:paraId="194C4791" w14:textId="77777777" w:rsidR="00921608" w:rsidRDefault="00921608" w:rsidP="00D86DBF">
            <w:r w:rsidRPr="002768C4">
              <w:rPr>
                <w:b/>
              </w:rPr>
              <w:t>Population</w:t>
            </w:r>
            <w:r>
              <w:t>: Women &gt;18 years with a singleton pregnancy.</w:t>
            </w:r>
          </w:p>
          <w:p w14:paraId="1E6247B1" w14:textId="77777777" w:rsidR="00921608" w:rsidRDefault="00921608" w:rsidP="00D86DBF">
            <w:r w:rsidRPr="002768C4">
              <w:rPr>
                <w:b/>
              </w:rPr>
              <w:t>Intervention</w:t>
            </w:r>
            <w:r>
              <w:t>:</w:t>
            </w:r>
          </w:p>
          <w:p w14:paraId="3B6505C0" w14:textId="77777777" w:rsidR="00921608" w:rsidRDefault="00921608" w:rsidP="00D86DBF">
            <w:pPr>
              <w:pStyle w:val="bullet"/>
            </w:pPr>
            <w:r w:rsidRPr="00A2497E">
              <w:rPr>
                <w:i/>
              </w:rPr>
              <w:t>Supervised</w:t>
            </w:r>
            <w:r>
              <w:t>: Yes</w:t>
            </w:r>
          </w:p>
          <w:p w14:paraId="2D9A7649" w14:textId="77777777" w:rsidR="00921608" w:rsidRDefault="00921608" w:rsidP="00D86DBF">
            <w:pPr>
              <w:pStyle w:val="bullet"/>
            </w:pPr>
            <w:r w:rsidRPr="003C7B26">
              <w:rPr>
                <w:i/>
              </w:rPr>
              <w:t>Type and duration</w:t>
            </w:r>
            <w:r>
              <w:t>: Aerobic and resistance; Dance</w:t>
            </w:r>
            <w:r w:rsidRPr="00C12274">
              <w:t>, muscle strengthening</w:t>
            </w:r>
            <w:r>
              <w:t xml:space="preserve">; </w:t>
            </w:r>
            <w:r w:rsidRPr="00C12274">
              <w:t>55-70 min, 3 times a week from week 20 to 36 plus 45 min home exercise program at least twice a week</w:t>
            </w:r>
            <w:r>
              <w:t>.</w:t>
            </w:r>
          </w:p>
          <w:p w14:paraId="19B898B4" w14:textId="77777777" w:rsidR="00921608" w:rsidRPr="00AE68E3" w:rsidRDefault="00921608" w:rsidP="00D86DBF">
            <w:pPr>
              <w:pStyle w:val="bullet"/>
            </w:pPr>
            <w:r w:rsidRPr="003C7B26">
              <w:rPr>
                <w:i/>
              </w:rPr>
              <w:t>Intensity</w:t>
            </w:r>
            <w:r>
              <w:t xml:space="preserve">: </w:t>
            </w:r>
            <w:r w:rsidRPr="00C12274">
              <w:t>Moderate; Borg scale 1</w:t>
            </w:r>
            <w:r>
              <w:t>3</w:t>
            </w:r>
            <w:r w:rsidRPr="00C12274">
              <w:t>-14</w:t>
            </w:r>
            <w:r>
              <w:t>.</w:t>
            </w:r>
          </w:p>
        </w:tc>
        <w:tc>
          <w:tcPr>
            <w:tcW w:w="4678" w:type="dxa"/>
          </w:tcPr>
          <w:p w14:paraId="59C6DE1F" w14:textId="77777777" w:rsidR="00921608" w:rsidRDefault="00921608" w:rsidP="00D86DBF">
            <w:r>
              <w:t>Nulliparous women intervention (n=245) vs control (n=239)</w:t>
            </w:r>
          </w:p>
          <w:p w14:paraId="3D4435F6" w14:textId="40EA52ED" w:rsidR="00921608" w:rsidRDefault="00921608" w:rsidP="00D86DBF">
            <w:pPr>
              <w:pStyle w:val="bullet"/>
            </w:pPr>
            <w:r>
              <w:t>Duration of labour (min): 373±266 vs 377±373</w:t>
            </w:r>
            <w:r w:rsidR="00AE3FFB">
              <w:t>; p=0.90</w:t>
            </w:r>
          </w:p>
          <w:p w14:paraId="7CD6EB04" w14:textId="787C2E9A" w:rsidR="00921608" w:rsidRDefault="00921608" w:rsidP="00D86DBF">
            <w:pPr>
              <w:pStyle w:val="bullet"/>
            </w:pPr>
            <w:r>
              <w:t>Duration of active second stage: 44±27 vs 38±24</w:t>
            </w:r>
            <w:r w:rsidR="00AE3FFB">
              <w:t>; p=0.03</w:t>
            </w:r>
          </w:p>
          <w:p w14:paraId="5C02F1B0" w14:textId="77777777" w:rsidR="00921608" w:rsidRDefault="00921608" w:rsidP="00D86DBF">
            <w:pPr>
              <w:pStyle w:val="bullet"/>
            </w:pPr>
            <w:r>
              <w:t>Prolonged active second stage: 41/208 (20%) vs 34/201 (17%)</w:t>
            </w:r>
          </w:p>
          <w:p w14:paraId="77FEC2E1" w14:textId="77777777" w:rsidR="00921608" w:rsidRDefault="00921608" w:rsidP="00D86DBF">
            <w:r>
              <w:t>Parous women intervention (n=182) vs control (n=187)</w:t>
            </w:r>
          </w:p>
          <w:p w14:paraId="038718B2" w14:textId="6B56E8A7" w:rsidR="00921608" w:rsidRDefault="00921608" w:rsidP="00D86DBF">
            <w:pPr>
              <w:pStyle w:val="bullet"/>
            </w:pPr>
            <w:r>
              <w:t>Duration of labour (min): 182±158 vs 161±170</w:t>
            </w:r>
            <w:r w:rsidR="00AE3FFB">
              <w:t>; p=0.25</w:t>
            </w:r>
          </w:p>
          <w:p w14:paraId="70CB07F4" w14:textId="00284535" w:rsidR="00921608" w:rsidRDefault="00921608" w:rsidP="00D86DBF">
            <w:pPr>
              <w:pStyle w:val="bullet"/>
            </w:pPr>
            <w:r>
              <w:t>Duration of active second stage: 16±14 vs 16±14</w:t>
            </w:r>
            <w:r w:rsidR="00AE3FFB">
              <w:t>; p=0.75</w:t>
            </w:r>
          </w:p>
          <w:p w14:paraId="37FD0AAF" w14:textId="77777777" w:rsidR="00921608" w:rsidRDefault="00921608" w:rsidP="00D86DBF">
            <w:pPr>
              <w:pStyle w:val="bullet"/>
            </w:pPr>
            <w:r>
              <w:t>Prolonged active second stage: 2/160 (1%) vs 4/157 (3%)</w:t>
            </w:r>
          </w:p>
        </w:tc>
        <w:tc>
          <w:tcPr>
            <w:tcW w:w="1844" w:type="dxa"/>
          </w:tcPr>
          <w:p w14:paraId="018FBCE9" w14:textId="77777777" w:rsidR="00921608" w:rsidRPr="00DC4A73" w:rsidRDefault="00921608" w:rsidP="00D86DBF">
            <w:pPr>
              <w:keepNext/>
            </w:pPr>
          </w:p>
        </w:tc>
      </w:tr>
      <w:tr w:rsidR="006C2075" w:rsidRPr="00DC4A73" w14:paraId="1C901338" w14:textId="77777777" w:rsidTr="006C2075">
        <w:trPr>
          <w:cantSplit/>
        </w:trPr>
        <w:tc>
          <w:tcPr>
            <w:tcW w:w="1275" w:type="dxa"/>
            <w:tcBorders>
              <w:bottom w:val="single" w:sz="4" w:space="0" w:color="auto"/>
            </w:tcBorders>
          </w:tcPr>
          <w:p w14:paraId="28309C2B" w14:textId="784976D7" w:rsidR="00921608" w:rsidRPr="00C12274" w:rsidRDefault="00921608" w:rsidP="0099206A">
            <w:r w:rsidRPr="00C12274">
              <w:rPr>
                <w:noProof/>
              </w:rPr>
              <w:t>T</w:t>
            </w:r>
            <w:r>
              <w:rPr>
                <w:noProof/>
              </w:rPr>
              <w:t>aniguchi &amp; Sato 2016</w:t>
            </w:r>
            <w:r>
              <w:fldChar w:fldCharType="begin"/>
            </w:r>
            <w:r w:rsidR="002747EA">
              <w:instrText xml:space="preserve"> ADDIN EN.CITE &lt;EndNote&gt;&lt;Cite&gt;&lt;Author&gt;Taniguchi&lt;/Author&gt;&lt;Year&gt;2016&lt;/Year&gt;&lt;RecNum&gt;911&lt;/RecNum&gt;&lt;DisplayText&gt;&lt;style face="superscript" font="Trebuchet MS" size="9"&gt;299&lt;/style&gt;&lt;/DisplayText&gt;&lt;record&gt;&lt;rec-number&gt;911&lt;/rec-number&gt;&lt;foreign-keys&gt;&lt;key app="EN" db-id="exvasrfx2dtraoesasxp2szsxa2df502592x" timestamp="1541540861"&gt;911&lt;/key&gt;&lt;key app="ENWeb" db-id=""&gt;0&lt;/key&gt;&lt;/foreign-keys&gt;&lt;ref-type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Pract&lt;/secondary-title&gt;&lt;/titles&gt;&lt;periodical&gt;&lt;full-title&gt;Int J Nurs Pract&lt;/full-title&gt;&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electronic-resource-num&gt;10.1111/ijn.12453&lt;/electronic-resource-num&gt;&lt;/record&gt;&lt;/Cite&gt;&lt;/EndNote&gt;</w:instrText>
            </w:r>
            <w:r>
              <w:fldChar w:fldCharType="separate"/>
            </w:r>
            <w:r w:rsidR="002747EA" w:rsidRPr="002747EA">
              <w:rPr>
                <w:noProof/>
                <w:vertAlign w:val="superscript"/>
              </w:rPr>
              <w:t>299</w:t>
            </w:r>
            <w:r>
              <w:fldChar w:fldCharType="end"/>
            </w:r>
          </w:p>
          <w:p w14:paraId="6BE3F672" w14:textId="77777777" w:rsidR="00921608" w:rsidRDefault="00921608" w:rsidP="0099206A">
            <w:pPr>
              <w:rPr>
                <w:noProof/>
              </w:rPr>
            </w:pPr>
            <w:r w:rsidRPr="00C12274">
              <w:t>Japan</w:t>
            </w:r>
          </w:p>
        </w:tc>
        <w:tc>
          <w:tcPr>
            <w:tcW w:w="1276" w:type="dxa"/>
            <w:tcBorders>
              <w:bottom w:val="single" w:sz="4" w:space="0" w:color="auto"/>
            </w:tcBorders>
          </w:tcPr>
          <w:p w14:paraId="23725649" w14:textId="77777777" w:rsidR="00921608" w:rsidRDefault="00921608" w:rsidP="00D86DBF">
            <w:r>
              <w:t>Intervention 54</w:t>
            </w:r>
          </w:p>
          <w:p w14:paraId="7464E8BC" w14:textId="77777777" w:rsidR="00921608" w:rsidRDefault="00921608" w:rsidP="00D86DBF">
            <w:r>
              <w:t>Control 53</w:t>
            </w:r>
          </w:p>
        </w:tc>
        <w:tc>
          <w:tcPr>
            <w:tcW w:w="4819" w:type="dxa"/>
            <w:tcBorders>
              <w:bottom w:val="single" w:sz="4" w:space="0" w:color="auto"/>
            </w:tcBorders>
          </w:tcPr>
          <w:p w14:paraId="5E4179AB" w14:textId="77777777" w:rsidR="00921608" w:rsidRDefault="00921608" w:rsidP="00D86DBF">
            <w:r w:rsidRPr="003F1AB1">
              <w:rPr>
                <w:b/>
              </w:rPr>
              <w:t>Aim</w:t>
            </w:r>
            <w:r>
              <w:t>: To examine</w:t>
            </w:r>
            <w:r w:rsidRPr="003F1AB1">
              <w:t xml:space="preserve"> the effects of home-based walking on sedentary women</w:t>
            </w:r>
            <w:r w:rsidRPr="003F1AB1">
              <w:rPr>
                <w:rFonts w:ascii="Helvetica" w:hAnsi="Helvetica"/>
              </w:rPr>
              <w:t>’</w:t>
            </w:r>
            <w:r w:rsidRPr="003F1AB1">
              <w:t xml:space="preserve">s pregnancy outcomes and mood. </w:t>
            </w:r>
          </w:p>
          <w:p w14:paraId="10E57B40" w14:textId="77777777" w:rsidR="00921608" w:rsidRDefault="00921608" w:rsidP="00D86DBF">
            <w:r w:rsidRPr="003F1AB1">
              <w:rPr>
                <w:b/>
              </w:rPr>
              <w:t>Population</w:t>
            </w:r>
            <w:r>
              <w:t xml:space="preserve">: Pregnant </w:t>
            </w:r>
            <w:r w:rsidRPr="003F1AB1">
              <w:t xml:space="preserve">women </w:t>
            </w:r>
            <w:r>
              <w:t>with a healthy singleton pregnancy</w:t>
            </w:r>
            <w:r w:rsidRPr="003F1AB1">
              <w:t xml:space="preserve"> </w:t>
            </w:r>
            <w:r w:rsidRPr="007B4B9A">
              <w:t>aged</w:t>
            </w:r>
            <w:r>
              <w:t xml:space="preserve"> </w:t>
            </w:r>
            <w:r w:rsidRPr="007B4B9A">
              <w:t>20</w:t>
            </w:r>
            <w:r w:rsidRPr="007B4B9A">
              <w:rPr>
                <w:rFonts w:ascii="Helvetica" w:hAnsi="Helvetica"/>
              </w:rPr>
              <w:t>–</w:t>
            </w:r>
            <w:r w:rsidRPr="007B4B9A">
              <w:t>30 years; sedentary in daily life by self-report; no</w:t>
            </w:r>
            <w:r>
              <w:t xml:space="preserve"> </w:t>
            </w:r>
            <w:r w:rsidRPr="007B4B9A">
              <w:t>physical, mental or social problems by self-report; no</w:t>
            </w:r>
            <w:r>
              <w:t xml:space="preserve"> </w:t>
            </w:r>
            <w:r w:rsidRPr="007B4B9A">
              <w:t>psychiatric drug use; in</w:t>
            </w:r>
            <w:r>
              <w:t xml:space="preserve"> </w:t>
            </w:r>
            <w:r w:rsidRPr="007B4B9A">
              <w:t>at least the 30th week of pregnancy</w:t>
            </w:r>
            <w:r>
              <w:t>. Mixed BMIs.</w:t>
            </w:r>
          </w:p>
          <w:p w14:paraId="4EB60FD4" w14:textId="77777777" w:rsidR="00921608" w:rsidRDefault="00921608" w:rsidP="00D86DBF">
            <w:r w:rsidRPr="005E4EF9">
              <w:rPr>
                <w:b/>
              </w:rPr>
              <w:t>Intervention</w:t>
            </w:r>
            <w:r>
              <w:rPr>
                <w:b/>
              </w:rPr>
              <w:t>:</w:t>
            </w:r>
          </w:p>
          <w:p w14:paraId="398A2017" w14:textId="77777777" w:rsidR="00921608" w:rsidRPr="00C45716" w:rsidRDefault="00921608" w:rsidP="00D86DBF">
            <w:pPr>
              <w:pStyle w:val="bullet"/>
            </w:pPr>
            <w:r w:rsidRPr="00C45716">
              <w:rPr>
                <w:i/>
              </w:rPr>
              <w:t>Supervised</w:t>
            </w:r>
            <w:r w:rsidRPr="00C45716">
              <w:t xml:space="preserve">: </w:t>
            </w:r>
            <w:r>
              <w:t>No</w:t>
            </w:r>
          </w:p>
          <w:p w14:paraId="02FDF7AA" w14:textId="77777777" w:rsidR="00921608" w:rsidRPr="007D4CC2" w:rsidRDefault="00921608" w:rsidP="00D86DBF">
            <w:pPr>
              <w:pStyle w:val="bullet"/>
            </w:pPr>
            <w:r w:rsidRPr="00C45716">
              <w:rPr>
                <w:i/>
              </w:rPr>
              <w:t>Type and duration</w:t>
            </w:r>
            <w:r w:rsidRPr="00C45716">
              <w:t xml:space="preserve">: </w:t>
            </w:r>
            <w:r>
              <w:t xml:space="preserve">Aerobic; Walking; </w:t>
            </w:r>
            <w:r w:rsidRPr="00C12274">
              <w:t>30 min, 3 times a week from 30 weeks until birth</w:t>
            </w:r>
            <w:r>
              <w:t>.</w:t>
            </w:r>
          </w:p>
          <w:p w14:paraId="6412D80C" w14:textId="77777777" w:rsidR="00921608" w:rsidRPr="00ED5084" w:rsidRDefault="00921608" w:rsidP="00D86DBF">
            <w:pPr>
              <w:pStyle w:val="bullet"/>
              <w:rPr>
                <w:b/>
              </w:rPr>
            </w:pPr>
            <w:r w:rsidRPr="00C45716">
              <w:rPr>
                <w:i/>
              </w:rPr>
              <w:t>Intensity</w:t>
            </w:r>
            <w:r w:rsidRPr="00C45716">
              <w:t xml:space="preserve">: </w:t>
            </w:r>
            <w:r w:rsidRPr="006530D5">
              <w:t>Not described.</w:t>
            </w:r>
          </w:p>
        </w:tc>
        <w:tc>
          <w:tcPr>
            <w:tcW w:w="4678" w:type="dxa"/>
            <w:tcBorders>
              <w:bottom w:val="single" w:sz="4" w:space="0" w:color="auto"/>
            </w:tcBorders>
          </w:tcPr>
          <w:p w14:paraId="41F73368" w14:textId="77777777" w:rsidR="00921608" w:rsidRDefault="00921608" w:rsidP="00D86DBF">
            <w:r>
              <w:t>Intervention vs control:</w:t>
            </w:r>
          </w:p>
          <w:p w14:paraId="437BEE9A" w14:textId="71A34BF0" w:rsidR="00921608" w:rsidRPr="00EC1C2A" w:rsidRDefault="00921608" w:rsidP="00D86DBF">
            <w:pPr>
              <w:pStyle w:val="bullet"/>
            </w:pPr>
            <w:r>
              <w:t>Duration of first stage of labour</w:t>
            </w:r>
            <w:r w:rsidRPr="00EC1C2A">
              <w:t>: 529.9±526.3 598.1±520.4</w:t>
            </w:r>
            <w:r w:rsidR="00133978">
              <w:t>; p=0.52</w:t>
            </w:r>
          </w:p>
          <w:p w14:paraId="047D7146" w14:textId="22EBFDBB" w:rsidR="00921608" w:rsidRPr="006A2F63" w:rsidRDefault="00921608" w:rsidP="00D86DBF">
            <w:pPr>
              <w:pStyle w:val="bullet"/>
              <w:rPr>
                <w:rFonts w:ascii="Times" w:hAnsi="Times"/>
              </w:rPr>
            </w:pPr>
            <w:r>
              <w:t xml:space="preserve">Duration of second stage of labour (min): </w:t>
            </w:r>
            <w:r w:rsidRPr="006A2F63">
              <w:t>41.4±99.5 30.3±19.0</w:t>
            </w:r>
            <w:r w:rsidR="00133978">
              <w:t>; p=0.44</w:t>
            </w:r>
          </w:p>
          <w:p w14:paraId="5B6F5069" w14:textId="03BA786B" w:rsidR="00921608" w:rsidRPr="00EC1C2A" w:rsidRDefault="00921608" w:rsidP="00D86DBF">
            <w:pPr>
              <w:pStyle w:val="bullet"/>
            </w:pPr>
            <w:r>
              <w:t>Duration of labour (min)</w:t>
            </w:r>
            <w:r w:rsidRPr="00EC1C2A">
              <w:t xml:space="preserve">: 556.3±532.2 </w:t>
            </w:r>
            <w:r>
              <w:t xml:space="preserve">vs </w:t>
            </w:r>
            <w:r w:rsidRPr="00EC1C2A">
              <w:t>627.8±525.3</w:t>
            </w:r>
            <w:r w:rsidR="00133978">
              <w:t>; p=0.51</w:t>
            </w:r>
          </w:p>
          <w:p w14:paraId="586CBF02" w14:textId="77777777" w:rsidR="00921608" w:rsidRDefault="00921608" w:rsidP="00D86DBF"/>
        </w:tc>
        <w:tc>
          <w:tcPr>
            <w:tcW w:w="1844" w:type="dxa"/>
            <w:tcBorders>
              <w:bottom w:val="single" w:sz="4" w:space="0" w:color="auto"/>
            </w:tcBorders>
          </w:tcPr>
          <w:p w14:paraId="5EE89B06" w14:textId="77777777" w:rsidR="00921608" w:rsidRPr="00DC4A73" w:rsidRDefault="00921608" w:rsidP="00D86DBF">
            <w:pPr>
              <w:keepNext/>
            </w:pPr>
          </w:p>
        </w:tc>
      </w:tr>
      <w:tr w:rsidR="006C2075" w:rsidRPr="009C0C55" w14:paraId="654B141F" w14:textId="77777777" w:rsidTr="006C2075">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275" w:type="dxa"/>
            <w:tcBorders>
              <w:top w:val="single" w:sz="4" w:space="0" w:color="auto"/>
              <w:left w:val="single" w:sz="4" w:space="0" w:color="auto"/>
              <w:bottom w:val="single" w:sz="4" w:space="0" w:color="auto"/>
              <w:right w:val="single" w:sz="4" w:space="0" w:color="auto"/>
            </w:tcBorders>
          </w:tcPr>
          <w:p w14:paraId="37A993F7" w14:textId="16A78668" w:rsidR="00980F56" w:rsidRDefault="00980F56" w:rsidP="006A7633">
            <w:pPr>
              <w:rPr>
                <w:noProof/>
              </w:rPr>
            </w:pPr>
            <w:r>
              <w:rPr>
                <w:noProof/>
              </w:rPr>
              <w:t>Rodriguez-Blanque et al 2018</w:t>
            </w:r>
            <w:r w:rsidR="00D07346">
              <w:rPr>
                <w:noProof/>
              </w:rPr>
              <w:fldChar w:fldCharType="begin"/>
            </w:r>
            <w:r w:rsidR="002747EA">
              <w:rPr>
                <w:noProof/>
              </w:rPr>
              <w:instrText xml:space="preserve"> ADDIN EN.CITE &lt;EndNote&gt;&lt;Cite&gt;&lt;Author&gt;Rodriguez-Blanque&lt;/Author&gt;&lt;Year&gt;2019&lt;/Year&gt;&lt;RecNum&gt;1963&lt;/RecNum&gt;&lt;DisplayText&gt;&lt;style face="superscript" font="Trebuchet MS" size="9"&gt;301&lt;/style&gt;&lt;/DisplayText&gt;&lt;record&gt;&lt;rec-number&gt;1963&lt;/rec-number&gt;&lt;foreign-keys&gt;&lt;key app="EN" db-id="exvasrfx2dtraoesasxp2szsxa2df502592x" timestamp="1588743901"&gt;1963&lt;/key&gt;&lt;key app="ENWeb" db-id=""&gt;0&lt;/key&gt;&lt;/foreign-keys&gt;&lt;ref-type name="Journal Article"&gt;17&lt;/ref-type&gt;&lt;contributors&gt;&lt;authors&gt;&lt;author&gt;Rodriguez-Blanque, R.&lt;/author&gt;&lt;author&gt;Sanchez-Garcia, J. C.&lt;/author&gt;&lt;author&gt;Sanchez-Lopez, A. M.&lt;/author&gt;&lt;author&gt;Aguilar-Cordero, M. J.&lt;/author&gt;&lt;/authors&gt;&lt;/contributors&gt;&lt;auth-address&gt;Hospital Universitario San Cecilio, Granada, Spain.&amp;#xD;Andalusia Research Plan, Research Group CTS 367, Granada, Spain.&amp;#xD;Departamento de Enfermeria/Facultad de Ciencias de la Salud, Universidad de Granada, Granada, Spain.&lt;/auth-address&gt;&lt;titles&gt;&lt;title&gt;Physical activity during pregnancy and its influence on delivery time: a randomized clinical trial&lt;/title&gt;&lt;secondary-title&gt;PeerJ&lt;/secondary-title&gt;&lt;/titles&gt;&lt;periodical&gt;&lt;full-title&gt;PeerJ&lt;/full-title&gt;&lt;/periodical&gt;&lt;pages&gt;e6370&lt;/pages&gt;&lt;volume&gt;7&lt;/volume&gt;&lt;edition&gt;2019/02/19&lt;/edition&gt;&lt;keywords&gt;&lt;keyword&gt;Birth&lt;/keyword&gt;&lt;keyword&gt;Exercise&lt;/keyword&gt;&lt;keyword&gt;Labor&lt;/keyword&gt;&lt;keyword&gt;Pregnancy&lt;/keyword&gt;&lt;keyword&gt;Pregnancy outcome&lt;/keyword&gt;&lt;/keywords&gt;&lt;dates&gt;&lt;year&gt;2019&lt;/year&gt;&lt;/dates&gt;&lt;isbn&gt;2167-8359 (Print)&amp;#xD;2167-8359 (Linking)&lt;/isbn&gt;&lt;accession-num&gt;30775175&lt;/accession-num&gt;&lt;urls&gt;&lt;related-urls&gt;&lt;url&gt;https://www.ncbi.nlm.nih.gov/pubmed/30775175&lt;/url&gt;&lt;/related-urls&gt;&lt;/urls&gt;&lt;custom2&gt;PMC6371916&lt;/custom2&gt;&lt;electronic-resource-num&gt;10.7717/peerj.6370&lt;/electronic-resource-num&gt;&lt;/record&gt;&lt;/Cite&gt;&lt;/EndNote&gt;</w:instrText>
            </w:r>
            <w:r w:rsidR="00D07346">
              <w:rPr>
                <w:noProof/>
              </w:rPr>
              <w:fldChar w:fldCharType="separate"/>
            </w:r>
            <w:r w:rsidR="002747EA" w:rsidRPr="002747EA">
              <w:rPr>
                <w:noProof/>
                <w:vertAlign w:val="superscript"/>
              </w:rPr>
              <w:t>301</w:t>
            </w:r>
            <w:r w:rsidR="00D07346">
              <w:rPr>
                <w:noProof/>
              </w:rPr>
              <w:fldChar w:fldCharType="end"/>
            </w:r>
          </w:p>
          <w:p w14:paraId="7F9E2BD7" w14:textId="77777777" w:rsidR="00980F56" w:rsidRDefault="00980F56" w:rsidP="006A7633">
            <w:pPr>
              <w:rPr>
                <w:noProof/>
              </w:rPr>
            </w:pPr>
            <w:r>
              <w:rPr>
                <w:noProof/>
              </w:rPr>
              <w:t>SWEP</w:t>
            </w:r>
          </w:p>
          <w:p w14:paraId="7204D163" w14:textId="77777777" w:rsidR="00980F56" w:rsidRPr="00980F56" w:rsidRDefault="00980F56" w:rsidP="006A7633">
            <w:pPr>
              <w:spacing w:before="0" w:after="0" w:line="240" w:lineRule="auto"/>
              <w:rPr>
                <w:rFonts w:ascii="Helvetica" w:hAnsi="Helvetica"/>
                <w:sz w:val="17"/>
                <w:szCs w:val="17"/>
              </w:rPr>
            </w:pPr>
            <w:r w:rsidRPr="00980F56">
              <w:rPr>
                <w:rFonts w:ascii="Helvetica" w:hAnsi="Helvetica"/>
                <w:sz w:val="17"/>
                <w:szCs w:val="17"/>
              </w:rPr>
              <w:t>NCT02761967</w:t>
            </w:r>
          </w:p>
          <w:p w14:paraId="3DE1AD97" w14:textId="77777777" w:rsidR="00980F56" w:rsidRPr="00C12274" w:rsidRDefault="00980F56" w:rsidP="006A7633">
            <w:pPr>
              <w:rPr>
                <w:noProof/>
              </w:rPr>
            </w:pPr>
          </w:p>
        </w:tc>
        <w:tc>
          <w:tcPr>
            <w:tcW w:w="1276" w:type="dxa"/>
            <w:tcBorders>
              <w:top w:val="single" w:sz="4" w:space="0" w:color="auto"/>
              <w:left w:val="single" w:sz="4" w:space="0" w:color="auto"/>
              <w:bottom w:val="single" w:sz="4" w:space="0" w:color="auto"/>
              <w:right w:val="single" w:sz="4" w:space="0" w:color="auto"/>
            </w:tcBorders>
          </w:tcPr>
          <w:p w14:paraId="15CD3F9E" w14:textId="60F9CB78" w:rsidR="00980F56" w:rsidRDefault="00980F56" w:rsidP="006A7633">
            <w:r>
              <w:t>Intervention 60</w:t>
            </w:r>
          </w:p>
          <w:p w14:paraId="7E0E47FE" w14:textId="117FDFE0" w:rsidR="00980F56" w:rsidRDefault="00980F56" w:rsidP="006A7633">
            <w:r>
              <w:t>Control 60</w:t>
            </w:r>
          </w:p>
        </w:tc>
        <w:tc>
          <w:tcPr>
            <w:tcW w:w="4819" w:type="dxa"/>
            <w:tcBorders>
              <w:top w:val="single" w:sz="4" w:space="0" w:color="auto"/>
              <w:left w:val="single" w:sz="4" w:space="0" w:color="auto"/>
              <w:bottom w:val="single" w:sz="4" w:space="0" w:color="auto"/>
              <w:right w:val="single" w:sz="4" w:space="0" w:color="auto"/>
            </w:tcBorders>
          </w:tcPr>
          <w:p w14:paraId="04ECD2F0" w14:textId="3A2B798D" w:rsidR="00980F56" w:rsidRDefault="00980F56" w:rsidP="006A7633">
            <w:r w:rsidRPr="00A96FD5">
              <w:rPr>
                <w:b/>
              </w:rPr>
              <w:t>Aim</w:t>
            </w:r>
            <w:r>
              <w:t xml:space="preserve">: </w:t>
            </w:r>
            <w:r w:rsidRPr="00444351">
              <w:t>To determine the duration of labo</w:t>
            </w:r>
            <w:r w:rsidR="00490AEB">
              <w:t>u</w:t>
            </w:r>
            <w:r w:rsidRPr="00444351">
              <w:t xml:space="preserve">r in pregnant women who completed a program of moderate physical exercise in water and subsequently presented eutocic birth. </w:t>
            </w:r>
          </w:p>
          <w:p w14:paraId="0C64F7D0" w14:textId="77777777" w:rsidR="00980F56" w:rsidRDefault="00980F56" w:rsidP="006A7633">
            <w:r w:rsidRPr="00A96FD5">
              <w:rPr>
                <w:b/>
              </w:rPr>
              <w:t>Population</w:t>
            </w:r>
            <w:r>
              <w:t xml:space="preserve">: </w:t>
            </w:r>
            <w:r>
              <w:rPr>
                <w:b/>
              </w:rPr>
              <w:t>H</w:t>
            </w:r>
            <w:r w:rsidRPr="00444351">
              <w:t>ealthy pregnant women</w:t>
            </w:r>
            <w:r>
              <w:t xml:space="preserve"> with uncomplicated singleton pregnancies.</w:t>
            </w:r>
          </w:p>
          <w:p w14:paraId="1883AA00" w14:textId="77777777" w:rsidR="00980F56" w:rsidRDefault="00980F56" w:rsidP="006A7633">
            <w:r w:rsidRPr="00A96FD5">
              <w:rPr>
                <w:b/>
              </w:rPr>
              <w:t>Intervention</w:t>
            </w:r>
            <w:r>
              <w:t xml:space="preserve">: </w:t>
            </w:r>
          </w:p>
          <w:p w14:paraId="0E1D87C3" w14:textId="77777777" w:rsidR="00980F56" w:rsidRDefault="00980F56" w:rsidP="00BD61CC">
            <w:pPr>
              <w:pStyle w:val="bullet"/>
            </w:pPr>
            <w:r w:rsidRPr="00BD61CC">
              <w:rPr>
                <w:i/>
              </w:rPr>
              <w:t>Supervised</w:t>
            </w:r>
            <w:r>
              <w:t>: Yes</w:t>
            </w:r>
          </w:p>
          <w:p w14:paraId="1DEDFB70" w14:textId="7784BBF4" w:rsidR="00980F56" w:rsidRDefault="00980F56" w:rsidP="00BD61CC">
            <w:pPr>
              <w:pStyle w:val="bullet"/>
            </w:pPr>
            <w:r w:rsidRPr="00A96FD5">
              <w:rPr>
                <w:i/>
              </w:rPr>
              <w:t>Intervention</w:t>
            </w:r>
            <w:r>
              <w:t xml:space="preserve">: </w:t>
            </w:r>
            <w:r w:rsidR="00490AEB">
              <w:t xml:space="preserve">Aerobic and muscle strengthening </w:t>
            </w:r>
            <w:r w:rsidR="00490AEB" w:rsidRPr="00A96FD5">
              <w:t>exercise</w:t>
            </w:r>
            <w:r w:rsidR="00490AEB">
              <w:t>s</w:t>
            </w:r>
            <w:r w:rsidR="00490AEB" w:rsidRPr="00A96FD5">
              <w:t xml:space="preserve"> in water </w:t>
            </w:r>
            <w:r w:rsidR="00490AEB">
              <w:t xml:space="preserve">for 60 minutes 3 times/week </w:t>
            </w:r>
            <w:r w:rsidR="00490AEB" w:rsidRPr="00A96FD5">
              <w:t>from weeks 20 to 37.</w:t>
            </w:r>
          </w:p>
          <w:p w14:paraId="4DD3C8FC" w14:textId="77777777" w:rsidR="00980F56" w:rsidRPr="00A96FD5" w:rsidRDefault="00980F56" w:rsidP="00BD61CC">
            <w:pPr>
              <w:pStyle w:val="bullet"/>
            </w:pPr>
            <w:r w:rsidRPr="00A96FD5">
              <w:rPr>
                <w:i/>
              </w:rPr>
              <w:t>Intensity</w:t>
            </w:r>
            <w:r>
              <w:t>: Moderate; Borg scale 12-14</w:t>
            </w:r>
          </w:p>
        </w:tc>
        <w:tc>
          <w:tcPr>
            <w:tcW w:w="4678" w:type="dxa"/>
            <w:tcBorders>
              <w:top w:val="single" w:sz="4" w:space="0" w:color="auto"/>
              <w:left w:val="single" w:sz="4" w:space="0" w:color="auto"/>
              <w:bottom w:val="single" w:sz="4" w:space="0" w:color="auto"/>
              <w:right w:val="single" w:sz="4" w:space="0" w:color="auto"/>
            </w:tcBorders>
          </w:tcPr>
          <w:p w14:paraId="375E6049" w14:textId="77777777" w:rsidR="00980F56" w:rsidRDefault="00980F56" w:rsidP="00980F56">
            <w:r>
              <w:t>Intervention vs control:</w:t>
            </w:r>
          </w:p>
          <w:p w14:paraId="6AEA0698" w14:textId="0873A663" w:rsidR="00EE313B" w:rsidRDefault="00EE313B" w:rsidP="00BD61CC">
            <w:pPr>
              <w:pStyle w:val="bullet"/>
            </w:pPr>
            <w:r>
              <w:t>Duration of 1</w:t>
            </w:r>
            <w:r w:rsidRPr="00BD61CC">
              <w:rPr>
                <w:vertAlign w:val="superscript"/>
              </w:rPr>
              <w:t>st</w:t>
            </w:r>
            <w:r>
              <w:t xml:space="preserve"> stage of labour: 260.00 (137.50 to 390.000) vs 405 (295.00 to 498.75); p&lt;0.001</w:t>
            </w:r>
          </w:p>
          <w:p w14:paraId="57C2D544" w14:textId="0B3322C5" w:rsidR="00EE313B" w:rsidRDefault="00EE313B" w:rsidP="00BD61CC">
            <w:pPr>
              <w:pStyle w:val="bullet"/>
            </w:pPr>
            <w:r>
              <w:t>Duration of 2</w:t>
            </w:r>
            <w:r w:rsidRPr="00BD61CC">
              <w:rPr>
                <w:vertAlign w:val="superscript"/>
              </w:rPr>
              <w:t>nd</w:t>
            </w:r>
            <w:r>
              <w:t xml:space="preserve"> stage of labour: 90.00 (30.00 to 187.50) vs 152 (70.00 to 210.00); p=0.007</w:t>
            </w:r>
          </w:p>
          <w:p w14:paraId="43C9A2ED" w14:textId="15411DCE" w:rsidR="00EE313B" w:rsidRDefault="00EE313B" w:rsidP="00BD61CC">
            <w:pPr>
              <w:pStyle w:val="bullet"/>
            </w:pPr>
            <w:r>
              <w:t>Duration of 3</w:t>
            </w:r>
            <w:r w:rsidRPr="00BD61CC">
              <w:rPr>
                <w:vertAlign w:val="superscript"/>
              </w:rPr>
              <w:t>rd</w:t>
            </w:r>
            <w:r>
              <w:t xml:space="preserve"> stage of labour: 5.00 (5.00 to 10.00) vs 8.00 (5.00 to 10.00); p=0.383</w:t>
            </w:r>
          </w:p>
          <w:p w14:paraId="50D24875" w14:textId="0F5A95C0" w:rsidR="00980F56" w:rsidRPr="00444351" w:rsidRDefault="00980F56" w:rsidP="00BD61CC">
            <w:pPr>
              <w:pStyle w:val="bullet"/>
            </w:pPr>
            <w:r>
              <w:t xml:space="preserve">Average total duration of labour: </w:t>
            </w:r>
            <w:r w:rsidRPr="00444351">
              <w:t>389.33</w:t>
            </w:r>
            <w:r>
              <w:t>±</w:t>
            </w:r>
            <w:r w:rsidRPr="00444351">
              <w:t xml:space="preserve">216.18 min </w:t>
            </w:r>
            <w:r>
              <w:t>vs</w:t>
            </w:r>
            <w:r w:rsidRPr="00444351">
              <w:t xml:space="preserve"> 561.30</w:t>
            </w:r>
            <w:r>
              <w:t>±</w:t>
            </w:r>
            <w:r w:rsidRPr="00444351">
              <w:t>199.94 min</w:t>
            </w:r>
            <w:r>
              <w:t xml:space="preserve">; </w:t>
            </w:r>
            <w:r w:rsidR="00EE313B">
              <w:t>p&lt;</w:t>
            </w:r>
            <w:r w:rsidRPr="00444351">
              <w:t>0.001</w:t>
            </w:r>
          </w:p>
        </w:tc>
        <w:tc>
          <w:tcPr>
            <w:tcW w:w="1844" w:type="dxa"/>
            <w:tcBorders>
              <w:top w:val="single" w:sz="4" w:space="0" w:color="auto"/>
              <w:left w:val="single" w:sz="4" w:space="0" w:color="auto"/>
              <w:bottom w:val="single" w:sz="4" w:space="0" w:color="auto"/>
              <w:right w:val="single" w:sz="4" w:space="0" w:color="auto"/>
            </w:tcBorders>
          </w:tcPr>
          <w:p w14:paraId="2E329356" w14:textId="77777777" w:rsidR="00980F56" w:rsidRPr="009C0C55" w:rsidRDefault="00980F56" w:rsidP="006A7633">
            <w:pPr>
              <w:keepNext/>
            </w:pPr>
          </w:p>
        </w:tc>
      </w:tr>
      <w:tr w:rsidR="006C2075" w:rsidRPr="009C0C55" w14:paraId="1CC42BF7" w14:textId="77777777" w:rsidTr="006C2075">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275" w:type="dxa"/>
            <w:tcBorders>
              <w:top w:val="single" w:sz="4" w:space="0" w:color="auto"/>
              <w:left w:val="single" w:sz="4" w:space="0" w:color="auto"/>
              <w:bottom w:val="single" w:sz="4" w:space="0" w:color="auto"/>
              <w:right w:val="single" w:sz="4" w:space="0" w:color="auto"/>
            </w:tcBorders>
          </w:tcPr>
          <w:p w14:paraId="7C80FDE2" w14:textId="522E5355" w:rsidR="006C2075" w:rsidRPr="00D00A59" w:rsidRDefault="006C2075" w:rsidP="00317DE7">
            <w:r w:rsidRPr="00D00A59">
              <w:rPr>
                <w:noProof/>
              </w:rPr>
              <w:t>Sanda et al 2018</w:t>
            </w:r>
            <w:r w:rsidRPr="00D00A59">
              <w:fldChar w:fldCharType="begin"/>
            </w:r>
            <w:r w:rsidR="002747EA">
              <w:instrText xml:space="preserve"> ADDIN EN.CITE &lt;EndNote&gt;&lt;Cite&gt;&lt;Author&gt;Sanda&lt;/Author&gt;&lt;Year&gt;2018&lt;/Year&gt;&lt;RecNum&gt;925&lt;/RecNum&gt;&lt;DisplayText&gt;&lt;style face="superscript" font="Trebuchet MS" size="9"&gt;300&lt;/style&gt;&lt;/DisplayText&gt;&lt;record&gt;&lt;rec-number&gt;925&lt;/rec-number&gt;&lt;foreign-keys&gt;&lt;key app="EN" db-id="exvasrfx2dtraoesasxp2szsxa2df502592x" timestamp="1541540929"&gt;925&lt;/key&gt;&lt;key app="ENWeb" db-id=""&gt;0&lt;/key&gt;&lt;/foreign-keys&gt;&lt;ref-type name="Journal Article"&gt;17&lt;/ref-type&gt;&lt;contributors&gt;&lt;authors&gt;&lt;author&gt;Sanda, B.&lt;/author&gt;&lt;author&gt;Vistad, I.&lt;/author&gt;&lt;author&gt;Sagedal, L. R.&lt;/author&gt;&lt;author&gt;Haakstad, L. A. H.&lt;/author&gt;&lt;author&gt;Lohne-Seiler, H.&lt;/author&gt;&lt;author&gt;Torstveit, M. K.&lt;/author&gt;&lt;/authors&gt;&lt;/contributors&gt;&lt;auth-address&gt;Faculty of Health and Sport Sciences, University of Agder, Kristiansand, Norway.&amp;#xD;Department of Obstetrics and Gynecology, Southern Norway Hospital Trust, Kristiansand, Norway.&amp;#xD;Norwegian School of Sports Science, Oslo, Norway.&lt;/auth-address&gt;&lt;titles&gt;&lt;title&gt;What is the effect of physical activity on duration and mode of delivery? Secondary analysis from the Norwegian Fit for Delivery trial&lt;/title&gt;&lt;secondary-title&gt;Acta Obstet Gynecol Scand&lt;/secondary-title&gt;&lt;/titles&gt;&lt;periodical&gt;&lt;full-title&gt;Acta Obstet Gynecol Scand&lt;/full-title&gt;&lt;/periodical&gt;&lt;pages&gt;861-871&lt;/pages&gt;&lt;volume&gt;97&lt;/volume&gt;&lt;number&gt;7&lt;/number&gt;&lt;edition&gt;2018/05/11&lt;/edition&gt;&lt;keywords&gt;&lt;keyword&gt;Exercise&lt;/keyword&gt;&lt;keyword&gt;cesarean section&lt;/keyword&gt;&lt;keyword&gt;delivery outcomes&lt;/keyword&gt;&lt;keyword&gt;labor&lt;/keyword&gt;&lt;keyword&gt;pregnancy&lt;/keyword&gt;&lt;keyword&gt;randomized controlled trial&lt;/keyword&gt;&lt;/keywords&gt;&lt;dates&gt;&lt;year&gt;2018&lt;/year&gt;&lt;pub-dates&gt;&lt;date&gt;Jul&lt;/date&gt;&lt;/pub-dates&gt;&lt;/dates&gt;&lt;isbn&gt;1600-0412 (Electronic)&amp;#xD;0001-6349 (Linking)&lt;/isbn&gt;&lt;accession-num&gt;29744866&lt;/accession-num&gt;&lt;urls&gt;&lt;related-urls&gt;&lt;url&gt;https://www.ncbi.nlm.nih.gov/pubmed/29744866&lt;/url&gt;&lt;/related-urls&gt;&lt;/urls&gt;&lt;electronic-resource-num&gt;10.1111/aogs.13351&lt;/electronic-resource-num&gt;&lt;/record&gt;&lt;/Cite&gt;&lt;/EndNote&gt;</w:instrText>
            </w:r>
            <w:r w:rsidRPr="00D00A59">
              <w:fldChar w:fldCharType="separate"/>
            </w:r>
            <w:r w:rsidR="002747EA" w:rsidRPr="002747EA">
              <w:rPr>
                <w:noProof/>
                <w:vertAlign w:val="superscript"/>
              </w:rPr>
              <w:t>300</w:t>
            </w:r>
            <w:r w:rsidRPr="00D00A59">
              <w:fldChar w:fldCharType="end"/>
            </w:r>
          </w:p>
          <w:p w14:paraId="7B98CC52" w14:textId="77777777" w:rsidR="006C2075" w:rsidRPr="00D00A59" w:rsidRDefault="006C2075" w:rsidP="00317DE7">
            <w:pPr>
              <w:rPr>
                <w:szCs w:val="18"/>
              </w:rPr>
            </w:pPr>
            <w:r w:rsidRPr="00D00A59">
              <w:rPr>
                <w:szCs w:val="18"/>
              </w:rPr>
              <w:t>Fit for Delivery</w:t>
            </w:r>
          </w:p>
          <w:p w14:paraId="7734757A" w14:textId="2FE3647E" w:rsidR="006C2075" w:rsidRDefault="006C2075" w:rsidP="006A7633">
            <w:pPr>
              <w:rPr>
                <w:noProof/>
              </w:rPr>
            </w:pPr>
            <w:r w:rsidRPr="00D00A59">
              <w:rPr>
                <w:szCs w:val="18"/>
              </w:rPr>
              <w:t>Norway</w:t>
            </w:r>
          </w:p>
        </w:tc>
        <w:tc>
          <w:tcPr>
            <w:tcW w:w="1276" w:type="dxa"/>
            <w:tcBorders>
              <w:top w:val="single" w:sz="4" w:space="0" w:color="auto"/>
              <w:left w:val="single" w:sz="4" w:space="0" w:color="auto"/>
              <w:bottom w:val="single" w:sz="4" w:space="0" w:color="auto"/>
              <w:right w:val="single" w:sz="4" w:space="0" w:color="auto"/>
            </w:tcBorders>
          </w:tcPr>
          <w:p w14:paraId="4193159B" w14:textId="39FAE293" w:rsidR="006C2075" w:rsidRPr="00D00A59" w:rsidRDefault="006C2075" w:rsidP="00317DE7">
            <w:pPr>
              <w:rPr>
                <w:szCs w:val="18"/>
              </w:rPr>
            </w:pPr>
            <w:r w:rsidRPr="00D00A59">
              <w:rPr>
                <w:szCs w:val="18"/>
              </w:rPr>
              <w:t xml:space="preserve">Intervention </w:t>
            </w:r>
            <w:r>
              <w:rPr>
                <w:szCs w:val="18"/>
              </w:rPr>
              <w:t>303</w:t>
            </w:r>
          </w:p>
          <w:p w14:paraId="328BCDB8" w14:textId="024ABC33" w:rsidR="006C2075" w:rsidRDefault="006C2075" w:rsidP="005215EF">
            <w:r w:rsidRPr="00D00A59">
              <w:rPr>
                <w:szCs w:val="18"/>
              </w:rPr>
              <w:t xml:space="preserve">Control </w:t>
            </w:r>
            <w:r>
              <w:rPr>
                <w:szCs w:val="18"/>
              </w:rPr>
              <w:t>303</w:t>
            </w:r>
          </w:p>
        </w:tc>
        <w:tc>
          <w:tcPr>
            <w:tcW w:w="4819" w:type="dxa"/>
            <w:tcBorders>
              <w:top w:val="single" w:sz="4" w:space="0" w:color="auto"/>
              <w:left w:val="single" w:sz="4" w:space="0" w:color="auto"/>
              <w:bottom w:val="single" w:sz="4" w:space="0" w:color="auto"/>
              <w:right w:val="single" w:sz="4" w:space="0" w:color="auto"/>
            </w:tcBorders>
          </w:tcPr>
          <w:p w14:paraId="11F6CF66" w14:textId="2A59E2D7" w:rsidR="006C2075" w:rsidRPr="00D00A59" w:rsidRDefault="006C2075" w:rsidP="00317DE7">
            <w:pPr>
              <w:rPr>
                <w:szCs w:val="18"/>
              </w:rPr>
            </w:pPr>
            <w:r w:rsidRPr="00D00A59">
              <w:rPr>
                <w:b/>
                <w:szCs w:val="18"/>
              </w:rPr>
              <w:t>Aim</w:t>
            </w:r>
            <w:r w:rsidRPr="00D00A59">
              <w:rPr>
                <w:szCs w:val="18"/>
              </w:rPr>
              <w:t xml:space="preserve">: To </w:t>
            </w:r>
            <w:r>
              <w:t>present</w:t>
            </w:r>
            <w:r w:rsidRPr="006C2075">
              <w:t xml:space="preserve"> secondary analyses from the Norwegian Fit for Delivery randomized controlled trial, aiming at studying the effect of a lifestyle intervention including group exercise classes, as well as the possible influence of physical activity level in late pregnancy, on </w:t>
            </w:r>
            <w:r w:rsidR="005056D2" w:rsidRPr="006C2075">
              <w:t>labo</w:t>
            </w:r>
            <w:r w:rsidR="005056D2">
              <w:t>u</w:t>
            </w:r>
            <w:r w:rsidR="005056D2" w:rsidRPr="006C2075">
              <w:t>r</w:t>
            </w:r>
            <w:r w:rsidRPr="006C2075">
              <w:t xml:space="preserve"> outcomes.</w:t>
            </w:r>
          </w:p>
          <w:p w14:paraId="447F41E3" w14:textId="77777777" w:rsidR="006C2075" w:rsidRPr="00D00A59" w:rsidRDefault="006C2075" w:rsidP="00317DE7">
            <w:pPr>
              <w:rPr>
                <w:szCs w:val="18"/>
              </w:rPr>
            </w:pPr>
            <w:r w:rsidRPr="00D00A59">
              <w:rPr>
                <w:b/>
                <w:szCs w:val="18"/>
              </w:rPr>
              <w:t>Population</w:t>
            </w:r>
            <w:r w:rsidRPr="00D00A59">
              <w:rPr>
                <w:szCs w:val="18"/>
              </w:rPr>
              <w:t>: Pregnant women who were nulliparous, with a singleton pregnancy at ≤20 weeks of gestation, had a pre-pregnancy body mass index (BMI) of ≥19 kg/m</w:t>
            </w:r>
            <w:r w:rsidRPr="00D00A59">
              <w:rPr>
                <w:rFonts w:eastAsiaTheme="majorEastAsia"/>
                <w:szCs w:val="18"/>
                <w:vertAlign w:val="superscript"/>
              </w:rPr>
              <w:t>2</w:t>
            </w:r>
            <w:r w:rsidRPr="00D00A59">
              <w:rPr>
                <w:szCs w:val="18"/>
              </w:rPr>
              <w:t>.</w:t>
            </w:r>
          </w:p>
          <w:p w14:paraId="610F8664" w14:textId="77777777" w:rsidR="006C2075" w:rsidRPr="00D00A59" w:rsidRDefault="006C2075" w:rsidP="00317DE7">
            <w:r w:rsidRPr="00D00A59">
              <w:rPr>
                <w:b/>
              </w:rPr>
              <w:t>Intervention</w:t>
            </w:r>
            <w:r w:rsidRPr="00D00A59">
              <w:t>: Dietary counselling was performed by telephone, with an initial consultation and then a follow-up 4</w:t>
            </w:r>
            <w:r w:rsidRPr="00D00A59">
              <w:rPr>
                <w:rFonts w:ascii="Helvetica" w:eastAsiaTheme="majorEastAsia" w:hAnsi="Helvetica"/>
              </w:rPr>
              <w:t>–</w:t>
            </w:r>
            <w:r w:rsidRPr="00D00A59">
              <w:t xml:space="preserve">6 weeks later, each of approximately 20 minutes. Counsellors were either experienced clinical dieticians or graduate students in public health. </w:t>
            </w:r>
          </w:p>
          <w:p w14:paraId="2BA39DDE" w14:textId="77777777" w:rsidR="006C2075" w:rsidRPr="00D00A59" w:rsidRDefault="006C2075" w:rsidP="00317DE7">
            <w:r w:rsidRPr="00D00A59">
              <w:rPr>
                <w:shd w:val="clear" w:color="auto" w:fill="FFFFFF"/>
              </w:rPr>
              <w:t>Nutritional advice was based on recommendations from the Norwegian Directorate for Health with specific attention given to intake of fruits and vegetables, drinking water instead of drinks containing energy, regular meal patterns, and limiting consumption of snack foods and foods/drinks containing added sugar.</w:t>
            </w:r>
          </w:p>
          <w:p w14:paraId="385FE42F" w14:textId="3EEC2AEF" w:rsidR="006C2075" w:rsidRPr="00A96FD5" w:rsidRDefault="006C2075" w:rsidP="006A7633">
            <w:pPr>
              <w:rPr>
                <w:b/>
              </w:rPr>
            </w:pPr>
            <w:r w:rsidRPr="00D00A59">
              <w:rPr>
                <w:szCs w:val="18"/>
              </w:rPr>
              <w:t>The physical activity component consisted of access to twice-weekly exercise classes at a local gym, all following the same pattern: 10 minutes of warm-up, 40 minutes of strength training and cardiovascular exercise at moderate intensity (using aerobics, calisthenics, and weight training), and 10 minutes of stretching. The intensity of the exercise was self-monitored using Borg’s scale with a target of 12-14. Classes were led by physical therapists or students in sports science.</w:t>
            </w:r>
          </w:p>
        </w:tc>
        <w:tc>
          <w:tcPr>
            <w:tcW w:w="4678" w:type="dxa"/>
            <w:tcBorders>
              <w:top w:val="single" w:sz="4" w:space="0" w:color="auto"/>
              <w:left w:val="single" w:sz="4" w:space="0" w:color="auto"/>
              <w:bottom w:val="single" w:sz="4" w:space="0" w:color="auto"/>
              <w:right w:val="single" w:sz="4" w:space="0" w:color="auto"/>
            </w:tcBorders>
          </w:tcPr>
          <w:p w14:paraId="0537F223" w14:textId="77777777" w:rsidR="006C2075" w:rsidRDefault="006C2075" w:rsidP="00317DE7">
            <w:pPr>
              <w:rPr>
                <w:szCs w:val="18"/>
              </w:rPr>
            </w:pPr>
            <w:r w:rsidRPr="00D00A59">
              <w:rPr>
                <w:szCs w:val="18"/>
              </w:rPr>
              <w:t>Intervention vs control:</w:t>
            </w:r>
          </w:p>
          <w:p w14:paraId="531A9191" w14:textId="67A3E264" w:rsidR="00356D8A" w:rsidRPr="007A08A0" w:rsidRDefault="00356D8A" w:rsidP="00BD61CC">
            <w:pPr>
              <w:pStyle w:val="bullet"/>
              <w:rPr>
                <w:szCs w:val="18"/>
              </w:rPr>
            </w:pPr>
            <w:r>
              <w:rPr>
                <w:szCs w:val="18"/>
              </w:rPr>
              <w:t xml:space="preserve">duration of active labour: </w:t>
            </w:r>
            <w:r w:rsidRPr="005215EF">
              <w:rPr>
                <w:szCs w:val="18"/>
              </w:rPr>
              <w:t>322.7±166.8 vs 278.3±164.4; p=0.027</w:t>
            </w:r>
          </w:p>
          <w:p w14:paraId="082291E0" w14:textId="0F69BA04" w:rsidR="006C2075" w:rsidRPr="005215EF" w:rsidRDefault="006C2075" w:rsidP="00BD61CC">
            <w:pPr>
              <w:pStyle w:val="bullet"/>
              <w:rPr>
                <w:szCs w:val="18"/>
              </w:rPr>
            </w:pPr>
            <w:r>
              <w:rPr>
                <w:szCs w:val="18"/>
              </w:rPr>
              <w:t>duration of 1</w:t>
            </w:r>
            <w:r w:rsidRPr="00BD61CC">
              <w:rPr>
                <w:szCs w:val="18"/>
                <w:vertAlign w:val="superscript"/>
              </w:rPr>
              <w:t>st</w:t>
            </w:r>
            <w:r>
              <w:rPr>
                <w:szCs w:val="18"/>
              </w:rPr>
              <w:t xml:space="preserve"> stage of labour: </w:t>
            </w:r>
            <w:r w:rsidRPr="006C2075">
              <w:t>293</w:t>
            </w:r>
            <w:r w:rsidR="00356D8A">
              <w:t>.4</w:t>
            </w:r>
            <w:r>
              <w:t>±</w:t>
            </w:r>
            <w:r w:rsidR="00356D8A">
              <w:t>201.8</w:t>
            </w:r>
            <w:r>
              <w:t xml:space="preserve"> min vs</w:t>
            </w:r>
            <w:r w:rsidRPr="006C2075">
              <w:t xml:space="preserve"> 257</w:t>
            </w:r>
            <w:r w:rsidR="00356D8A">
              <w:t>.1</w:t>
            </w:r>
            <w:r>
              <w:t>±181</w:t>
            </w:r>
            <w:r w:rsidR="00356D8A">
              <w:t>.4</w:t>
            </w:r>
            <w:r>
              <w:t xml:space="preserve"> min, p=0.030</w:t>
            </w:r>
          </w:p>
          <w:p w14:paraId="3B1A211C" w14:textId="5DD290C7" w:rsidR="00356D8A" w:rsidRPr="005215EF" w:rsidRDefault="00356D8A" w:rsidP="00BD61CC">
            <w:pPr>
              <w:pStyle w:val="bullet"/>
              <w:rPr>
                <w:szCs w:val="18"/>
              </w:rPr>
            </w:pPr>
            <w:r>
              <w:t>duration of 2</w:t>
            </w:r>
            <w:r w:rsidRPr="00BD61CC">
              <w:rPr>
                <w:vertAlign w:val="superscript"/>
              </w:rPr>
              <w:t>nd</w:t>
            </w:r>
            <w:r>
              <w:t xml:space="preserve"> stage of labour: 69.5±43.4 vs 66.0±41.9; p=0.49</w:t>
            </w:r>
          </w:p>
          <w:p w14:paraId="51C1BED5" w14:textId="4E51C860" w:rsidR="006C2075" w:rsidRPr="007A08A0" w:rsidRDefault="006C2075" w:rsidP="00A37586">
            <w:pPr>
              <w:rPr>
                <w:szCs w:val="18"/>
              </w:rPr>
            </w:pPr>
          </w:p>
        </w:tc>
        <w:tc>
          <w:tcPr>
            <w:tcW w:w="1844" w:type="dxa"/>
            <w:tcBorders>
              <w:top w:val="single" w:sz="4" w:space="0" w:color="auto"/>
              <w:left w:val="single" w:sz="4" w:space="0" w:color="auto"/>
              <w:bottom w:val="single" w:sz="4" w:space="0" w:color="auto"/>
              <w:right w:val="single" w:sz="4" w:space="0" w:color="auto"/>
            </w:tcBorders>
          </w:tcPr>
          <w:p w14:paraId="10C2D077" w14:textId="77777777" w:rsidR="006C2075" w:rsidRPr="009C0C55" w:rsidRDefault="006C2075" w:rsidP="006A7633">
            <w:pPr>
              <w:keepNext/>
            </w:pPr>
          </w:p>
        </w:tc>
      </w:tr>
    </w:tbl>
    <w:p w14:paraId="5E3DFD3F" w14:textId="7474F441" w:rsidR="00921608" w:rsidRPr="00DC4A73" w:rsidRDefault="009C163D" w:rsidP="00932C6D">
      <w:pPr>
        <w:pStyle w:val="TableName"/>
      </w:pPr>
      <w:bookmarkStart w:id="137" w:name="_Toc40956655"/>
      <w:r>
        <w:t xml:space="preserve">Q5 </w:t>
      </w:r>
      <w:r w:rsidR="00921608">
        <w:t>Physical activity in pregnancy and pain during labour — RCTs</w:t>
      </w:r>
      <w:bookmarkEnd w:id="137"/>
    </w:p>
    <w:tbl>
      <w:tblPr>
        <w:tblStyle w:val="TableGrid"/>
        <w:tblW w:w="1389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7: Q5 Physical activity in pregnancy and pain during labour — RCTs"/>
      </w:tblPr>
      <w:tblGrid>
        <w:gridCol w:w="1276"/>
        <w:gridCol w:w="30"/>
        <w:gridCol w:w="1247"/>
        <w:gridCol w:w="5101"/>
        <w:gridCol w:w="4396"/>
        <w:gridCol w:w="1844"/>
      </w:tblGrid>
      <w:tr w:rsidR="00921608" w:rsidRPr="00F350A6" w14:paraId="6151C782" w14:textId="77777777" w:rsidTr="00BD61CC">
        <w:trPr>
          <w:cantSplit/>
          <w:tblHeader/>
        </w:trPr>
        <w:tc>
          <w:tcPr>
            <w:tcW w:w="1306" w:type="dxa"/>
            <w:gridSpan w:val="2"/>
          </w:tcPr>
          <w:p w14:paraId="0B2932AE" w14:textId="77777777" w:rsidR="00921608" w:rsidRPr="00F350A6" w:rsidRDefault="00921608" w:rsidP="00D86DBF">
            <w:pPr>
              <w:keepNext/>
              <w:rPr>
                <w:b/>
              </w:rPr>
            </w:pPr>
            <w:r>
              <w:rPr>
                <w:b/>
              </w:rPr>
              <w:t>Study ref</w:t>
            </w:r>
          </w:p>
        </w:tc>
        <w:tc>
          <w:tcPr>
            <w:tcW w:w="1247" w:type="dxa"/>
          </w:tcPr>
          <w:p w14:paraId="4689FA0D" w14:textId="77777777" w:rsidR="00921608" w:rsidRPr="00F350A6" w:rsidRDefault="00921608" w:rsidP="00D86DBF">
            <w:pPr>
              <w:keepNext/>
              <w:rPr>
                <w:b/>
              </w:rPr>
            </w:pPr>
            <w:r>
              <w:rPr>
                <w:b/>
              </w:rPr>
              <w:t>N</w:t>
            </w:r>
          </w:p>
        </w:tc>
        <w:tc>
          <w:tcPr>
            <w:tcW w:w="5101" w:type="dxa"/>
          </w:tcPr>
          <w:p w14:paraId="364AB172" w14:textId="77777777" w:rsidR="00921608" w:rsidRPr="00F350A6" w:rsidRDefault="00921608" w:rsidP="00D86DBF">
            <w:pPr>
              <w:keepNext/>
              <w:rPr>
                <w:b/>
              </w:rPr>
            </w:pPr>
            <w:r>
              <w:rPr>
                <w:b/>
              </w:rPr>
              <w:t>Aim/</w:t>
            </w:r>
            <w:r w:rsidRPr="00F350A6">
              <w:rPr>
                <w:b/>
              </w:rPr>
              <w:t>population</w:t>
            </w:r>
            <w:r>
              <w:rPr>
                <w:b/>
              </w:rPr>
              <w:t>/intervention</w:t>
            </w:r>
          </w:p>
        </w:tc>
        <w:tc>
          <w:tcPr>
            <w:tcW w:w="4396" w:type="dxa"/>
          </w:tcPr>
          <w:p w14:paraId="6A862B64" w14:textId="77777777" w:rsidR="00921608" w:rsidRPr="00F350A6" w:rsidRDefault="00921608" w:rsidP="00D86DBF">
            <w:pPr>
              <w:keepNext/>
              <w:rPr>
                <w:b/>
              </w:rPr>
            </w:pPr>
            <w:r>
              <w:rPr>
                <w:b/>
              </w:rPr>
              <w:t>Results</w:t>
            </w:r>
          </w:p>
        </w:tc>
        <w:tc>
          <w:tcPr>
            <w:tcW w:w="1844" w:type="dxa"/>
          </w:tcPr>
          <w:p w14:paraId="383B9862" w14:textId="77777777" w:rsidR="00921608" w:rsidRPr="00F350A6" w:rsidRDefault="00921608" w:rsidP="00D86DBF">
            <w:pPr>
              <w:keepNext/>
              <w:rPr>
                <w:b/>
              </w:rPr>
            </w:pPr>
            <w:r>
              <w:rPr>
                <w:b/>
              </w:rPr>
              <w:t>Comments</w:t>
            </w:r>
          </w:p>
        </w:tc>
      </w:tr>
      <w:tr w:rsidR="00921608" w:rsidRPr="00990BB1" w14:paraId="08A990EF" w14:textId="77777777" w:rsidTr="00BD61CC">
        <w:trPr>
          <w:cantSplit/>
        </w:trPr>
        <w:tc>
          <w:tcPr>
            <w:tcW w:w="1306" w:type="dxa"/>
            <w:gridSpan w:val="2"/>
          </w:tcPr>
          <w:p w14:paraId="195FB340" w14:textId="069829EC" w:rsidR="00921608" w:rsidRPr="00C12274" w:rsidRDefault="00921608" w:rsidP="0099206A">
            <w:r w:rsidRPr="00C12274">
              <w:rPr>
                <w:noProof/>
              </w:rPr>
              <w:t>Baciuk et al 2008;</w:t>
            </w:r>
            <w:r>
              <w:rPr>
                <w:noProof/>
              </w:rPr>
              <w:fldChar w:fldCharType="begin"/>
            </w:r>
            <w:r w:rsidR="002747EA">
              <w:rPr>
                <w:noProof/>
              </w:rPr>
              <w:instrText xml:space="preserve"> ADDIN EN.CITE &lt;EndNote&gt;&lt;Cite&gt;&lt;Author&gt;Baciuk&lt;/Author&gt;&lt;Year&gt;2008&lt;/Year&gt;&lt;RecNum&gt;679&lt;/RecNum&gt;&lt;DisplayText&gt;&lt;style face="superscript" font="Trebuchet MS" size="9"&gt;292&lt;/style&gt;&lt;/DisplayText&gt;&lt;record&gt;&lt;rec-number&gt;679&lt;/rec-number&gt;&lt;foreign-keys&gt;&lt;key app="EN" db-id="exvasrfx2dtraoesasxp2szsxa2df502592x" timestamp="1540526890"&gt;679&lt;/key&gt;&lt;/foreign-keys&gt;&lt;ref-type name="Journal Article"&gt;17&lt;/ref-type&gt;&lt;contributors&gt;&lt;authors&gt;&lt;author&gt;Baciuk, E. P.&lt;/author&gt;&lt;author&gt;Pereira, R. I.&lt;/author&gt;&lt;author&gt;Cecatti, J. G.&lt;/author&gt;&lt;author&gt;Braga, A. F.&lt;/author&gt;&lt;author&gt;Cavalcante, S. R.&lt;/author&gt;&lt;/authors&gt;&lt;/contributors&gt;&lt;auth-address&gt;Department of Obstetrics and Gynecology, University of Campinas, Sao Paulo, Brazil. ericaxba@terra.com.br&lt;/auth-address&gt;&lt;titles&gt;&lt;title&gt;Water aerobics in pregnancy: Cardiovascular response, labor and neonatal outcomes&lt;/title&gt;&lt;secondary-title&gt;Reprod Health&lt;/secondary-title&gt;&lt;/titles&gt;&lt;periodical&gt;&lt;full-title&gt;Reprod Health&lt;/full-title&gt;&lt;/periodical&gt;&lt;pages&gt;10&lt;/pages&gt;&lt;volume&gt;5&lt;/volume&gt;&lt;edition&gt;2008/11/26&lt;/edition&gt;&lt;dates&gt;&lt;year&gt;2008&lt;/year&gt;&lt;pub-dates&gt;&lt;date&gt;Nov 21&lt;/date&gt;&lt;/pub-dates&gt;&lt;/dates&gt;&lt;isbn&gt;1742-4755 (Electronic)&amp;#xD;1742-4755 (Linking)&lt;/isbn&gt;&lt;accession-num&gt;19025579&lt;/accession-num&gt;&lt;urls&gt;&lt;related-urls&gt;&lt;url&gt;https://www.ncbi.nlm.nih.gov/pubmed/19025579&lt;/url&gt;&lt;/related-urls&gt;&lt;/urls&gt;&lt;custom2&gt;PMC2613131&lt;/custom2&gt;&lt;electronic-resource-num&gt;10.1186/1742-4755-5-10&lt;/electronic-resource-num&gt;&lt;/record&gt;&lt;/Cite&gt;&lt;/EndNote&gt;</w:instrText>
            </w:r>
            <w:r>
              <w:rPr>
                <w:noProof/>
              </w:rPr>
              <w:fldChar w:fldCharType="separate"/>
            </w:r>
            <w:r w:rsidR="002747EA" w:rsidRPr="002747EA">
              <w:rPr>
                <w:noProof/>
                <w:vertAlign w:val="superscript"/>
              </w:rPr>
              <w:t>292</w:t>
            </w:r>
            <w:r>
              <w:rPr>
                <w:noProof/>
              </w:rPr>
              <w:fldChar w:fldCharType="end"/>
            </w:r>
            <w:r w:rsidRPr="00C12274">
              <w:rPr>
                <w:noProof/>
              </w:rPr>
              <w:t xml:space="preserve"> Cavalcante et al 2009</w:t>
            </w:r>
            <w:r>
              <w:rPr>
                <w:noProof/>
              </w:rPr>
              <w:fldChar w:fldCharType="begin"/>
            </w:r>
            <w:r w:rsidR="002747EA">
              <w:rPr>
                <w:noProof/>
              </w:rPr>
              <w:instrText xml:space="preserve"> ADDIN EN.CITE &lt;EndNote&gt;&lt;Cite&gt;&lt;Author&gt;Cavalcante&lt;/Author&gt;&lt;Year&gt;2009&lt;/Year&gt;&lt;RecNum&gt;605&lt;/RecNum&gt;&lt;DisplayText&gt;&lt;style face="superscript" font="Trebuchet MS" size="9"&gt;312&lt;/style&gt;&lt;/DisplayText&gt;&lt;record&gt;&lt;rec-number&gt;605&lt;/rec-number&gt;&lt;foreign-keys&gt;&lt;key app="EN" db-id="exvasrfx2dtraoesasxp2szsxa2df502592x" timestamp="1539048322"&gt;605&lt;/key&gt;&lt;key app="ENWeb" db-id=""&gt;0&lt;/key&gt;&lt;/foreign-keys&gt;&lt;ref-type name="Journal Article"&gt;17&lt;/ref-type&gt;&lt;contributors&gt;&lt;authors&gt;&lt;author&gt;Cavalcante, S. R.&lt;/author&gt;&lt;author&gt;Cecatti, J. G.&lt;/author&gt;&lt;author&gt;Pereira, R. I.&lt;/author&gt;&lt;author&gt;Baciuk, E. P.&lt;/author&gt;&lt;author&gt;Bernardo, A. L.&lt;/author&gt;&lt;author&gt;Silveira, C.&lt;/author&gt;&lt;/authors&gt;&lt;/contributors&gt;&lt;auth-address&gt;Department of Obstetrics and Gynecology, University of Campinas, Sao Paulo, Brazil. cccavalcante@terra.com.br&lt;/auth-address&gt;&lt;titles&gt;&lt;title&gt;Water aerobics II: maternal body composition and perinatal outcomes after a program for low risk pregnant women&lt;/title&gt;&lt;secondary-title&gt;Reprod Health&lt;/secondary-title&gt;&lt;/titles&gt;&lt;periodical&gt;&lt;full-title&gt;Reprod Health&lt;/full-title&gt;&lt;/periodical&gt;&lt;pages&gt;1&lt;/pages&gt;&lt;volume&gt;6&lt;/volume&gt;&lt;edition&gt;2009/01/08&lt;/edition&gt;&lt;dates&gt;&lt;year&gt;2009&lt;/year&gt;&lt;pub-dates&gt;&lt;date&gt;Jan 6&lt;/date&gt;&lt;/pub-dates&gt;&lt;/dates&gt;&lt;isbn&gt;1742-4755 (Electronic)&amp;#xD;1742-4755 (Linking)&lt;/isbn&gt;&lt;accession-num&gt;19126239&lt;/accession-num&gt;&lt;urls&gt;&lt;related-urls&gt;&lt;url&gt;https://www.ncbi.nlm.nih.gov/pubmed/19126239&lt;/url&gt;&lt;/related-urls&gt;&lt;/urls&gt;&lt;custom2&gt;PMC2628875&lt;/custom2&gt;&lt;electronic-resource-num&gt;10.1186/1742-4755-6-1&lt;/electronic-resource-num&gt;&lt;/record&gt;&lt;/Cite&gt;&lt;/EndNote&gt;</w:instrText>
            </w:r>
            <w:r>
              <w:rPr>
                <w:noProof/>
              </w:rPr>
              <w:fldChar w:fldCharType="separate"/>
            </w:r>
            <w:r w:rsidR="002747EA" w:rsidRPr="002747EA">
              <w:rPr>
                <w:noProof/>
                <w:vertAlign w:val="superscript"/>
              </w:rPr>
              <w:t>312</w:t>
            </w:r>
            <w:r>
              <w:rPr>
                <w:noProof/>
              </w:rPr>
              <w:fldChar w:fldCharType="end"/>
            </w:r>
          </w:p>
          <w:p w14:paraId="076C5CBE" w14:textId="77777777" w:rsidR="00921608" w:rsidRPr="00C12274" w:rsidRDefault="00921608" w:rsidP="0099206A">
            <w:pPr>
              <w:rPr>
                <w:noProof/>
              </w:rPr>
            </w:pPr>
            <w:r w:rsidRPr="00C12274">
              <w:t>Brazil</w:t>
            </w:r>
          </w:p>
        </w:tc>
        <w:tc>
          <w:tcPr>
            <w:tcW w:w="1247" w:type="dxa"/>
          </w:tcPr>
          <w:p w14:paraId="632EAB3B" w14:textId="27FD1F66" w:rsidR="00921608" w:rsidRDefault="0099206A" w:rsidP="00D86DBF">
            <w:r>
              <w:t>Intervention</w:t>
            </w:r>
            <w:r w:rsidR="00921608">
              <w:t xml:space="preserve"> 34</w:t>
            </w:r>
          </w:p>
          <w:p w14:paraId="106BD7D8" w14:textId="77777777" w:rsidR="00921608" w:rsidRDefault="00921608" w:rsidP="00D86DBF">
            <w:r>
              <w:t>Control: 37</w:t>
            </w:r>
          </w:p>
        </w:tc>
        <w:tc>
          <w:tcPr>
            <w:tcW w:w="5101" w:type="dxa"/>
          </w:tcPr>
          <w:p w14:paraId="1444320B" w14:textId="77777777" w:rsidR="00921608" w:rsidRDefault="00921608" w:rsidP="00D86DBF">
            <w:r w:rsidRPr="0000282F">
              <w:rPr>
                <w:b/>
              </w:rPr>
              <w:t>Aim</w:t>
            </w:r>
            <w:r>
              <w:t xml:space="preserve">: </w:t>
            </w:r>
            <w:r w:rsidRPr="0000282F">
              <w:t>To evaluate the association between water aerobics, maternal cardiovascular capacity during pregnancy, labo</w:t>
            </w:r>
            <w:r>
              <w:t>u</w:t>
            </w:r>
            <w:r w:rsidRPr="0000282F">
              <w:t xml:space="preserve">r and neonatal outcomes. </w:t>
            </w:r>
          </w:p>
          <w:p w14:paraId="174088CB" w14:textId="77777777" w:rsidR="00921608" w:rsidRDefault="00921608" w:rsidP="00D86DBF">
            <w:r w:rsidRPr="0000282F">
              <w:rPr>
                <w:b/>
              </w:rPr>
              <w:t>Population</w:t>
            </w:r>
            <w:r>
              <w:t>: W</w:t>
            </w:r>
            <w:r w:rsidRPr="00C0211C">
              <w:t>omen of &lt; 20 weeks of pregnancy</w:t>
            </w:r>
            <w:r>
              <w:t xml:space="preserve"> with a singleton pregnancy</w:t>
            </w:r>
            <w:r w:rsidRPr="00C0211C">
              <w:t xml:space="preserve"> and no gestational risk factors</w:t>
            </w:r>
            <w:r>
              <w:t>. Mixed BMIs.</w:t>
            </w:r>
          </w:p>
          <w:p w14:paraId="21CCA173" w14:textId="77777777" w:rsidR="00921608" w:rsidRDefault="00921608" w:rsidP="00D86DBF">
            <w:r w:rsidRPr="005E4EF9">
              <w:rPr>
                <w:b/>
              </w:rPr>
              <w:t>Intervention</w:t>
            </w:r>
            <w:r>
              <w:rPr>
                <w:b/>
              </w:rPr>
              <w:t>:</w:t>
            </w:r>
          </w:p>
          <w:p w14:paraId="425A7A1D" w14:textId="77777777" w:rsidR="00921608" w:rsidRPr="00C45716" w:rsidRDefault="00921608" w:rsidP="00D86DBF">
            <w:pPr>
              <w:pStyle w:val="bullet"/>
            </w:pPr>
            <w:r w:rsidRPr="00C45716">
              <w:rPr>
                <w:i/>
              </w:rPr>
              <w:t>Supervised</w:t>
            </w:r>
            <w:r w:rsidRPr="00C45716">
              <w:t>: Yes</w:t>
            </w:r>
          </w:p>
          <w:p w14:paraId="240B935D" w14:textId="77777777" w:rsidR="00921608" w:rsidRPr="009D6EFE" w:rsidRDefault="00921608" w:rsidP="00D86DBF">
            <w:pPr>
              <w:pStyle w:val="bullet"/>
            </w:pPr>
            <w:r w:rsidRPr="00C45716">
              <w:rPr>
                <w:i/>
              </w:rPr>
              <w:t>Type and duration</w:t>
            </w:r>
            <w:r w:rsidRPr="00C45716">
              <w:t>: Aerobic; Aquatic</w:t>
            </w:r>
            <w:r w:rsidRPr="009D6EFE">
              <w:t>; 50 min 3 times a week from &lt;20 wks to birth</w:t>
            </w:r>
          </w:p>
          <w:p w14:paraId="6B210EAE" w14:textId="77777777" w:rsidR="00921608" w:rsidRPr="00A33A8C" w:rsidRDefault="00921608" w:rsidP="00D86DBF">
            <w:pPr>
              <w:pStyle w:val="bullet"/>
              <w:rPr>
                <w:b/>
              </w:rPr>
            </w:pPr>
            <w:r w:rsidRPr="00C45716">
              <w:rPr>
                <w:i/>
              </w:rPr>
              <w:t>Intensity</w:t>
            </w:r>
            <w:r w:rsidRPr="00C45716">
              <w:t xml:space="preserve">: </w:t>
            </w:r>
            <w:r w:rsidRPr="00C12274">
              <w:t>Moderate 70% predicted HR</w:t>
            </w:r>
          </w:p>
        </w:tc>
        <w:tc>
          <w:tcPr>
            <w:tcW w:w="4396" w:type="dxa"/>
          </w:tcPr>
          <w:p w14:paraId="6E3D1661" w14:textId="77777777" w:rsidR="00921608" w:rsidRDefault="00921608" w:rsidP="00D86DBF">
            <w:pPr>
              <w:keepNext/>
            </w:pPr>
            <w:r>
              <w:t>Intervention vs control:</w:t>
            </w:r>
          </w:p>
          <w:p w14:paraId="38907A1B" w14:textId="571F8BB1" w:rsidR="00921608" w:rsidRDefault="00921608" w:rsidP="008D4074">
            <w:pPr>
              <w:pStyle w:val="bullet"/>
            </w:pPr>
            <w:r>
              <w:t xml:space="preserve">Request for analgesia: 9/34 </w:t>
            </w:r>
            <w:r w:rsidR="008D4074">
              <w:t xml:space="preserve">(27%) </w:t>
            </w:r>
            <w:r>
              <w:t>vs 24/37</w:t>
            </w:r>
            <w:r w:rsidR="008D4074">
              <w:t xml:space="preserve"> (65%) </w:t>
            </w:r>
            <w:r w:rsidR="008D4074" w:rsidRPr="008D4074">
              <w:t xml:space="preserve">RR </w:t>
            </w:r>
            <w:r w:rsidR="008D4074">
              <w:t xml:space="preserve">0.42 95%CI 0.23 to </w:t>
            </w:r>
            <w:r w:rsidR="008D4074" w:rsidRPr="008D4074">
              <w:t>0.77</w:t>
            </w:r>
          </w:p>
        </w:tc>
        <w:tc>
          <w:tcPr>
            <w:tcW w:w="1844" w:type="dxa"/>
          </w:tcPr>
          <w:p w14:paraId="19A922D2" w14:textId="77777777" w:rsidR="00921608" w:rsidRPr="00990BB1" w:rsidRDefault="00921608" w:rsidP="00D86DBF">
            <w:pPr>
              <w:keepNext/>
            </w:pPr>
          </w:p>
        </w:tc>
      </w:tr>
      <w:tr w:rsidR="00921608" w:rsidRPr="00990BB1" w14:paraId="40D2CE4E" w14:textId="77777777" w:rsidTr="00BD61CC">
        <w:trPr>
          <w:cantSplit/>
        </w:trPr>
        <w:tc>
          <w:tcPr>
            <w:tcW w:w="1306" w:type="dxa"/>
            <w:gridSpan w:val="2"/>
          </w:tcPr>
          <w:p w14:paraId="6C29CE9A" w14:textId="3A932717" w:rsidR="00921608" w:rsidRPr="00C12274" w:rsidRDefault="00921608" w:rsidP="0099206A">
            <w:r w:rsidRPr="00C12274">
              <w:rPr>
                <w:noProof/>
              </w:rPr>
              <w:t>Barakat et al 2008</w:t>
            </w:r>
            <w:r>
              <w:rPr>
                <w:noProof/>
              </w:rPr>
              <w:t>;</w:t>
            </w:r>
            <w:r>
              <w:rPr>
                <w:noProof/>
              </w:rPr>
              <w:fldChar w:fldCharType="begin"/>
            </w:r>
            <w:r w:rsidR="002747EA">
              <w:rPr>
                <w:noProof/>
              </w:rPr>
              <w:instrText xml:space="preserve"> ADDIN EN.CITE &lt;EndNote&gt;&lt;Cite&gt;&lt;Author&gt;Barakat&lt;/Author&gt;&lt;Year&gt;2008&lt;/Year&gt;&lt;RecNum&gt;667&lt;/RecNum&gt;&lt;DisplayText&gt;&lt;style face="superscript" font="Trebuchet MS" size="9"&gt;293&lt;/style&gt;&lt;/DisplayText&gt;&lt;record&gt;&lt;rec-number&gt;667&lt;/rec-number&gt;&lt;foreign-keys&gt;&lt;key app="EN" db-id="exvasrfx2dtraoesasxp2szsxa2df502592x" timestamp="1540526538"&gt;667&lt;/key&gt;&lt;/foreign-keys&gt;&lt;ref-type name="Journal Article"&gt;17&lt;/ref-type&gt;&lt;contributors&gt;&lt;authors&gt;&lt;author&gt;Barakat, R.&lt;/author&gt;&lt;author&gt;Stirling, J. R.&lt;/author&gt;&lt;author&gt;Lucia, A.&lt;/author&gt;&lt;/authors&gt;&lt;/contributors&gt;&lt;auth-address&gt;Instituto Nacional de Educacion Fisica (INEF), Universidad Politecnica, Madrid, Spain.&lt;/auth-address&gt;&lt;titles&gt;&lt;title&gt;Does exercise training during pregnancy affect gestational age? A randomised controlled trial&lt;/title&gt;&lt;secondary-title&gt;Br J Sports Med&lt;/secondary-title&gt;&lt;/titles&gt;&lt;periodical&gt;&lt;full-title&gt;Br J Sports Med&lt;/full-title&gt;&lt;/periodical&gt;&lt;pages&gt;674-8&lt;/pages&gt;&lt;volume&gt;42&lt;/volume&gt;&lt;number&gt;8&lt;/number&gt;&lt;edition&gt;2008/06/17&lt;/edition&gt;&lt;keywords&gt;&lt;keyword&gt;Adult&lt;/keyword&gt;&lt;keyword&gt;Exercise/*physiology&lt;/keyword&gt;&lt;keyword&gt;Female&lt;/keyword&gt;&lt;keyword&gt;*Gestational Age&lt;/keyword&gt;&lt;keyword&gt;Humans&lt;/keyword&gt;&lt;keyword&gt;Infant, Newborn&lt;/keyword&gt;&lt;keyword&gt;Physical Education and Training/methods&lt;/keyword&gt;&lt;keyword&gt;Pregnancy&lt;/keyword&gt;&lt;keyword&gt;Pregnancy Trimester, Second/physiology&lt;/keyword&gt;&lt;keyword&gt;Pregnancy Trimester, Third/physiology&lt;/keyword&gt;&lt;keyword&gt;Premature Birth/*etiology&lt;/keyword&gt;&lt;/keywords&gt;&lt;dates&gt;&lt;year&gt;2008&lt;/year&gt;&lt;pub-dates&gt;&lt;date&gt;Aug&lt;/date&gt;&lt;/pub-dates&gt;&lt;/dates&gt;&lt;isbn&gt;1473-0480 (Electronic)&amp;#xD;0306-3674 (Linking)&lt;/isbn&gt;&lt;accession-num&gt;18552370&lt;/accession-num&gt;&lt;urls&gt;&lt;related-urls&gt;&lt;url&gt;https://www.ncbi.nlm.nih.gov/pubmed/18552370&lt;/url&gt;&lt;/related-urls&gt;&lt;/urls&gt;&lt;electronic-resource-num&gt;10.1136/bjsm.2008.047837&lt;/electronic-resource-num&gt;&lt;/record&gt;&lt;/Cite&gt;&lt;/EndNote&gt;</w:instrText>
            </w:r>
            <w:r>
              <w:rPr>
                <w:noProof/>
              </w:rPr>
              <w:fldChar w:fldCharType="separate"/>
            </w:r>
            <w:r w:rsidR="002747EA" w:rsidRPr="002747EA">
              <w:rPr>
                <w:noProof/>
                <w:vertAlign w:val="superscript"/>
              </w:rPr>
              <w:t>293</w:t>
            </w:r>
            <w:r>
              <w:rPr>
                <w:noProof/>
              </w:rPr>
              <w:fldChar w:fldCharType="end"/>
            </w:r>
            <w:r w:rsidRPr="00C12274" w:rsidDel="00425275">
              <w:rPr>
                <w:noProof/>
              </w:rPr>
              <w:t xml:space="preserve"> </w:t>
            </w:r>
            <w:r w:rsidRPr="00C12274">
              <w:rPr>
                <w:noProof/>
              </w:rPr>
              <w:t>Barakat et al 2009a;</w:t>
            </w:r>
            <w:r>
              <w:rPr>
                <w:noProof/>
              </w:rPr>
              <w:fldChar w:fldCharType="begin"/>
            </w:r>
            <w:r w:rsidR="002747EA">
              <w:rPr>
                <w:noProof/>
              </w:rPr>
              <w:instrText xml:space="preserve"> ADDIN EN.CITE &lt;EndNote&gt;&lt;Cite&gt;&lt;Author&gt;Barakat&lt;/Author&gt;&lt;Year&gt;2009&lt;/Year&gt;&lt;RecNum&gt;668&lt;/RecNum&gt;&lt;DisplayText&gt;&lt;style face="superscript" font="Trebuchet MS" size="9"&gt;313&lt;/style&gt;&lt;/DisplayText&gt;&lt;record&gt;&lt;rec-number&gt;668&lt;/rec-number&gt;&lt;foreign-keys&gt;&lt;key app="EN" db-id="exvasrfx2dtraoesasxp2szsxa2df502592x" timestamp="1540526591"&gt;668&lt;/key&gt;&lt;/foreign-keys&gt;&lt;ref-type name="Journal Article"&gt;17&lt;/ref-type&gt;&lt;contributors&gt;&lt;authors&gt;&lt;author&gt;Barakat, R.&lt;/author&gt;&lt;author&gt;Lucia, A.&lt;/author&gt;&lt;author&gt;Ruiz, J. R.&lt;/author&gt;&lt;/authors&gt;&lt;/contributors&gt;&lt;auth-address&gt;Facultad de Ciencias de la Actividad Fisica y del Deporte-INEF, Universidad Politecnica de Madrid, Madrid, Spain.&lt;/auth-address&gt;&lt;titles&gt;&lt;title&gt;Resistance exercise training during pregnancy and newborn&amp;apos;s birth size: a randomised controlled trial&lt;/title&gt;&lt;secondary-title&gt;Int J Obes (Lond)&lt;/secondary-title&gt;&lt;/titles&gt;&lt;periodical&gt;&lt;full-title&gt;Int J Obes (Lond)&lt;/full-title&gt;&lt;/periodical&gt;&lt;pages&gt;1048-57&lt;/pages&gt;&lt;volume&gt;33&lt;/volume&gt;&lt;number&gt;9&lt;/number&gt;&lt;edition&gt;2009/07/29&lt;/edition&gt;&lt;keywords&gt;&lt;keyword&gt;Adult&lt;/keyword&gt;&lt;keyword&gt;Birth Weight/*physiology&lt;/keyword&gt;&lt;keyword&gt;Body Mass Index&lt;/keyword&gt;&lt;keyword&gt;Body Size&lt;/keyword&gt;&lt;keyword&gt;Body Weight/*physiology&lt;/keyword&gt;&lt;keyword&gt;Female&lt;/keyword&gt;&lt;keyword&gt;Fetal Development/*physiology&lt;/keyword&gt;&lt;keyword&gt;Humans&lt;/keyword&gt;&lt;keyword&gt;Infant, Newborn&lt;/keyword&gt;&lt;keyword&gt;Pregnancy&lt;/keyword&gt;&lt;keyword&gt;Pregnancy Trimester, Second&lt;/keyword&gt;&lt;keyword&gt;Pregnancy Trimester, Third&lt;/keyword&gt;&lt;keyword&gt;Resistance Training/*methods&lt;/keyword&gt;&lt;keyword&gt;Spain/epidemiology&lt;/keyword&gt;&lt;/keywords&gt;&lt;dates&gt;&lt;year&gt;2009&lt;/year&gt;&lt;pub-dates&gt;&lt;date&gt;Sep&lt;/date&gt;&lt;/pub-dates&gt;&lt;/dates&gt;&lt;isbn&gt;1476-5497 (Electronic)&amp;#xD;0307-0565 (Linking)&lt;/isbn&gt;&lt;accession-num&gt;19636320&lt;/accession-num&gt;&lt;urls&gt;&lt;related-urls&gt;&lt;url&gt;https://www.ncbi.nlm.nih.gov/pubmed/19636320&lt;/url&gt;&lt;/related-urls&gt;&lt;/urls&gt;&lt;electronic-resource-num&gt;10.1038/ijo.2009.150&lt;/electronic-resource-num&gt;&lt;/record&gt;&lt;/Cite&gt;&lt;/EndNote&gt;</w:instrText>
            </w:r>
            <w:r>
              <w:rPr>
                <w:noProof/>
              </w:rPr>
              <w:fldChar w:fldCharType="separate"/>
            </w:r>
            <w:r w:rsidR="002747EA" w:rsidRPr="002747EA">
              <w:rPr>
                <w:noProof/>
                <w:vertAlign w:val="superscript"/>
              </w:rPr>
              <w:t>313</w:t>
            </w:r>
            <w:r>
              <w:rPr>
                <w:noProof/>
              </w:rPr>
              <w:fldChar w:fldCharType="end"/>
            </w:r>
            <w:r w:rsidRPr="00C12274">
              <w:rPr>
                <w:noProof/>
              </w:rPr>
              <w:t xml:space="preserve"> Barakat et al 2009b;</w:t>
            </w:r>
            <w:r>
              <w:rPr>
                <w:noProof/>
              </w:rPr>
              <w:fldChar w:fldCharType="begin"/>
            </w:r>
            <w:r w:rsidR="002747EA">
              <w:rPr>
                <w:noProof/>
              </w:rPr>
              <w:instrText xml:space="preserve"> ADDIN EN.CITE &lt;EndNote&gt;&lt;Cite&gt;&lt;Author&gt;Barakat&lt;/Author&gt;&lt;Year&gt;2009&lt;/Year&gt;&lt;RecNum&gt;1010&lt;/RecNum&gt;&lt;DisplayText&gt;&lt;style face="superscript" font="Trebuchet MS" size="9"&gt;303&lt;/style&gt;&lt;/DisplayText&gt;&lt;record&gt;&lt;rec-number&gt;1010&lt;/rec-number&gt;&lt;foreign-keys&gt;&lt;key app="EN" db-id="exvasrfx2dtraoesasxp2szsxa2df502592x" timestamp="1548983476"&gt;1010&lt;/key&gt;&lt;/foreign-keys&gt;&lt;ref-type name="Journal Article"&gt;17&lt;/ref-type&gt;&lt;contributors&gt;&lt;authors&gt;&lt;author&gt;Barakat, R.&lt;/author&gt;&lt;author&gt;Ruiz, J. R.&lt;/author&gt;&lt;author&gt;Stirling, J. R.&lt;/author&gt;&lt;author&gt;Zakynthinaki, M.&lt;/author&gt;&lt;author&gt;Lucia, A.&lt;/author&gt;&lt;/authors&gt;&lt;/contributors&gt;&lt;auth-address&gt;Facultad de Ciencias de la Actividad Fisica y del Deporte-INEF, Universidad Politecnica de Madrid, Spain.&lt;/auth-address&gt;&lt;titles&gt;&lt;title&gt;Type of delivery is not affected by light resistance and toning exercise training during pregnancy: a randomized controlled trial&lt;/title&gt;&lt;secondary-title&gt;Am J Obstet Gynecol&lt;/secondary-title&gt;&lt;/titles&gt;&lt;periodical&gt;&lt;full-title&gt;Am J Obstet Gynecol&lt;/full-title&gt;&lt;/periodical&gt;&lt;pages&gt;590 e1-6&lt;/pages&gt;&lt;volume&gt;201&lt;/volume&gt;&lt;number&gt;6&lt;/number&gt;&lt;edition&gt;2009/07/18&lt;/edition&gt;&lt;keywords&gt;&lt;keyword&gt;Adult&lt;/keyword&gt;&lt;keyword&gt;*Delivery, Obstetric&lt;/keyword&gt;&lt;keyword&gt;Female&lt;/keyword&gt;&lt;keyword&gt;Humans&lt;/keyword&gt;&lt;keyword&gt;*Labor, Obstetric&lt;/keyword&gt;&lt;keyword&gt;Pregnancy&lt;/keyword&gt;&lt;keyword&gt;Pregnancy Trimester, Second&lt;/keyword&gt;&lt;keyword&gt;Pregnancy Trimester, Third&lt;/keyword&gt;&lt;keyword&gt;*Weight Lifting&lt;/keyword&gt;&lt;/keywords&gt;&lt;dates&gt;&lt;year&gt;2009&lt;/year&gt;&lt;pub-dates&gt;&lt;date&gt;Dec&lt;/date&gt;&lt;/pub-dates&gt;&lt;/dates&gt;&lt;isbn&gt;1097-6868 (Electronic)&amp;#xD;0002-9378 (Linking)&lt;/isbn&gt;&lt;accession-num&gt;19608151&lt;/accession-num&gt;&lt;urls&gt;&lt;related-urls&gt;&lt;url&gt;https://www.ncbi.nlm.nih.gov/pubmed/19608151&lt;/url&gt;&lt;/related-urls&gt;&lt;/urls&gt;&lt;electronic-resource-num&gt;10.1016/j.ajog.2009.06.004&lt;/electronic-resource-num&gt;&lt;/record&gt;&lt;/Cite&gt;&lt;/EndNote&gt;</w:instrText>
            </w:r>
            <w:r>
              <w:rPr>
                <w:noProof/>
              </w:rPr>
              <w:fldChar w:fldCharType="separate"/>
            </w:r>
            <w:r w:rsidR="002747EA" w:rsidRPr="002747EA">
              <w:rPr>
                <w:noProof/>
                <w:vertAlign w:val="superscript"/>
              </w:rPr>
              <w:t>303</w:t>
            </w:r>
            <w:r>
              <w:rPr>
                <w:noProof/>
              </w:rPr>
              <w:fldChar w:fldCharType="end"/>
            </w:r>
          </w:p>
          <w:p w14:paraId="1AE7E97A" w14:textId="77777777" w:rsidR="00921608" w:rsidRPr="00C12274" w:rsidRDefault="00921608" w:rsidP="0099206A">
            <w:r w:rsidRPr="00C12274">
              <w:t>Spain</w:t>
            </w:r>
          </w:p>
          <w:p w14:paraId="4DF4A6CA" w14:textId="77777777" w:rsidR="00921608" w:rsidRPr="00990BB1" w:rsidRDefault="00921608" w:rsidP="0099206A">
            <w:r w:rsidRPr="00C12274">
              <w:t>NCT00813657</w:t>
            </w:r>
          </w:p>
        </w:tc>
        <w:tc>
          <w:tcPr>
            <w:tcW w:w="1247" w:type="dxa"/>
          </w:tcPr>
          <w:p w14:paraId="3DAF7970" w14:textId="77777777" w:rsidR="00921608" w:rsidRDefault="00921608" w:rsidP="00D86DBF">
            <w:r>
              <w:t>Intervention 72</w:t>
            </w:r>
          </w:p>
          <w:p w14:paraId="0FD2804D" w14:textId="77777777" w:rsidR="00921608" w:rsidRPr="00990BB1" w:rsidRDefault="00921608" w:rsidP="00D86DBF">
            <w:pPr>
              <w:keepNext/>
            </w:pPr>
            <w:r>
              <w:t>Control 70</w:t>
            </w:r>
          </w:p>
        </w:tc>
        <w:tc>
          <w:tcPr>
            <w:tcW w:w="5101" w:type="dxa"/>
          </w:tcPr>
          <w:p w14:paraId="1990CFCF" w14:textId="77777777" w:rsidR="00921608" w:rsidRDefault="00921608" w:rsidP="00D86DBF">
            <w:r w:rsidRPr="00A33A8C">
              <w:rPr>
                <w:b/>
              </w:rPr>
              <w:t>Aim</w:t>
            </w:r>
            <w:r>
              <w:t>: to examine</w:t>
            </w:r>
            <w:r w:rsidRPr="00A33A8C">
              <w:t xml:space="preserve"> the effect of light intensity resistance exercise training performed during the second and third trimester of pregnancy. </w:t>
            </w:r>
          </w:p>
          <w:p w14:paraId="6380F6C3" w14:textId="77777777" w:rsidR="00921608" w:rsidRDefault="00921608" w:rsidP="00D86DBF">
            <w:r w:rsidRPr="00A33A8C">
              <w:rPr>
                <w:b/>
              </w:rPr>
              <w:t>Population</w:t>
            </w:r>
            <w:r>
              <w:t xml:space="preserve">: Healthy </w:t>
            </w:r>
            <w:r w:rsidRPr="00A33A8C">
              <w:t xml:space="preserve">sedentary </w:t>
            </w:r>
            <w:r>
              <w:t>pregnant women; mixed BMIs</w:t>
            </w:r>
            <w:r w:rsidRPr="00A33A8C">
              <w:t xml:space="preserve">. </w:t>
            </w:r>
          </w:p>
          <w:p w14:paraId="65878A61" w14:textId="77777777" w:rsidR="00921608" w:rsidRDefault="00921608" w:rsidP="00D86DBF">
            <w:r w:rsidRPr="005E4EF9">
              <w:rPr>
                <w:b/>
              </w:rPr>
              <w:t>Intervention</w:t>
            </w:r>
            <w:r>
              <w:rPr>
                <w:b/>
              </w:rPr>
              <w:t>:</w:t>
            </w:r>
          </w:p>
          <w:p w14:paraId="1BD48887" w14:textId="77777777" w:rsidR="00921608" w:rsidRPr="00C45716" w:rsidRDefault="00921608" w:rsidP="00D86DBF">
            <w:pPr>
              <w:pStyle w:val="bullet"/>
            </w:pPr>
            <w:r w:rsidRPr="00C45716">
              <w:rPr>
                <w:i/>
              </w:rPr>
              <w:t>Supervised</w:t>
            </w:r>
            <w:r w:rsidRPr="00C45716">
              <w:t>: Yes</w:t>
            </w:r>
          </w:p>
          <w:p w14:paraId="43865BFD" w14:textId="77777777" w:rsidR="00921608" w:rsidRPr="00C45716" w:rsidRDefault="00921608" w:rsidP="00D86DBF">
            <w:pPr>
              <w:pStyle w:val="bullet"/>
            </w:pPr>
            <w:r w:rsidRPr="00C45716">
              <w:rPr>
                <w:i/>
              </w:rPr>
              <w:t>Type and duration</w:t>
            </w:r>
            <w:r w:rsidRPr="00C45716">
              <w:t xml:space="preserve">: </w:t>
            </w:r>
            <w:r>
              <w:t xml:space="preserve">Resistance; </w:t>
            </w:r>
            <w:r w:rsidRPr="00C12274">
              <w:t>Toning and joint mobilisation</w:t>
            </w:r>
            <w:r>
              <w:t xml:space="preserve">; </w:t>
            </w:r>
            <w:r w:rsidRPr="00C12274">
              <w:t>35-40 min 3 times a week from weeks 12-13 to 38-39</w:t>
            </w:r>
            <w:r>
              <w:t>.</w:t>
            </w:r>
          </w:p>
          <w:p w14:paraId="1483D48D" w14:textId="77777777" w:rsidR="00921608" w:rsidRPr="00990BB1" w:rsidRDefault="00921608" w:rsidP="00D86DBF">
            <w:pPr>
              <w:pStyle w:val="bullet"/>
            </w:pPr>
            <w:r w:rsidRPr="00C45716">
              <w:rPr>
                <w:i/>
              </w:rPr>
              <w:t>Intensity</w:t>
            </w:r>
            <w:r w:rsidRPr="00C45716">
              <w:t xml:space="preserve">: </w:t>
            </w:r>
            <w:r w:rsidRPr="00A32D99">
              <w:t>Light; ≤80% of age-predicted maximum HR</w:t>
            </w:r>
          </w:p>
        </w:tc>
        <w:tc>
          <w:tcPr>
            <w:tcW w:w="4396" w:type="dxa"/>
          </w:tcPr>
          <w:p w14:paraId="207DDE52" w14:textId="77777777" w:rsidR="00921608" w:rsidRDefault="00921608" w:rsidP="00D86DBF">
            <w:pPr>
              <w:keepNext/>
            </w:pPr>
            <w:r>
              <w:t>Intervention vs control:</w:t>
            </w:r>
          </w:p>
          <w:p w14:paraId="17C6B301" w14:textId="35EC664C" w:rsidR="00921608" w:rsidRPr="00990BB1" w:rsidRDefault="00921608" w:rsidP="00D86DBF">
            <w:pPr>
              <w:pStyle w:val="bullet"/>
            </w:pPr>
            <w:r>
              <w:t xml:space="preserve">Epidural anaesthesia: 50/72 </w:t>
            </w:r>
            <w:r w:rsidR="008D4074">
              <w:t xml:space="preserve">(69.4%) </w:t>
            </w:r>
            <w:r>
              <w:t>vs 48/70</w:t>
            </w:r>
            <w:r w:rsidR="008D4074">
              <w:t xml:space="preserve"> (68.6%); p&gt;0.1</w:t>
            </w:r>
          </w:p>
        </w:tc>
        <w:tc>
          <w:tcPr>
            <w:tcW w:w="1844" w:type="dxa"/>
          </w:tcPr>
          <w:p w14:paraId="3CCDDE38" w14:textId="77777777" w:rsidR="00921608" w:rsidRPr="00990BB1" w:rsidRDefault="00921608" w:rsidP="00D86DBF">
            <w:pPr>
              <w:keepNext/>
            </w:pPr>
          </w:p>
        </w:tc>
      </w:tr>
      <w:tr w:rsidR="00921608" w:rsidRPr="00DC4A73" w14:paraId="4C243F2E" w14:textId="77777777" w:rsidTr="00BD61CC">
        <w:trPr>
          <w:cantSplit/>
        </w:trPr>
        <w:tc>
          <w:tcPr>
            <w:tcW w:w="1306" w:type="dxa"/>
            <w:gridSpan w:val="2"/>
          </w:tcPr>
          <w:p w14:paraId="72415682" w14:textId="315FBF6B" w:rsidR="00921608" w:rsidRDefault="00921608" w:rsidP="0099206A">
            <w:pPr>
              <w:rPr>
                <w:noProof/>
              </w:rPr>
            </w:pPr>
            <w:r>
              <w:rPr>
                <w:noProof/>
              </w:rPr>
              <w:t>Salvesen et al 2014</w:t>
            </w:r>
            <w:r w:rsidR="00E51743">
              <w:rPr>
                <w:noProof/>
              </w:rPr>
              <w:fldChar w:fldCharType="begin"/>
            </w:r>
            <w:r w:rsidR="002747EA">
              <w:rPr>
                <w:noProof/>
              </w:rPr>
              <w:instrText xml:space="preserve"> ADDIN EN.CITE &lt;EndNote&gt;&lt;Cite&gt;&lt;Author&gt;Salvesen&lt;/Author&gt;&lt;Year&gt;2014&lt;/Year&gt;&lt;RecNum&gt;942&lt;/RecNum&gt;&lt;DisplayText&gt;&lt;style face="superscript" font="Trebuchet MS" size="9"&gt;298&lt;/style&gt;&lt;/DisplayText&gt;&lt;record&gt;&lt;rec-number&gt;942&lt;/rec-number&gt;&lt;foreign-keys&gt;&lt;key app="EN" db-id="exvasrfx2dtraoesasxp2szsxa2df502592x" timestamp="1541541832"&gt;942&lt;/key&gt;&lt;key app="ENWeb" db-id=""&gt;0&lt;/key&gt;&lt;/foreign-keys&gt;&lt;ref-type name="Journal Article"&gt;17&lt;/ref-type&gt;&lt;contributors&gt;&lt;authors&gt;&lt;author&gt;Salvesen, K. A.&lt;/author&gt;&lt;author&gt;Stafne, S. N.&lt;/author&gt;&lt;author&gt;Eggebo, T. M.&lt;/author&gt;&lt;author&gt;Morkved, S.&lt;/author&gt;&lt;/authors&gt;&lt;/contributors&gt;&lt;auth-address&gt;Clinical Sciences, Obstetrics and Gynecology, Lund University, Lund, Sweden; National Center for Fetal Medicine, Department of Obstetrics and Gynecology, St. Olavs Hospital, Trondheim University Hospital, Trondheim, Norway.&lt;/auth-address&gt;&lt;titles&gt;&lt;title&gt;Does regular exercise in pregnancy influence duration of labor? A secondary analysis of a randomized controlled trial&lt;/title&gt;&lt;secondary-title&gt;Acta Obstet Gynecol Scand&lt;/secondary-title&gt;&lt;/titles&gt;&lt;periodical&gt;&lt;full-title&gt;Acta Obstet Gynecol Scand&lt;/full-title&gt;&lt;/periodical&gt;&lt;pages&gt;73-9&lt;/pages&gt;&lt;volume&gt;93&lt;/volume&gt;&lt;number&gt;1&lt;/number&gt;&lt;edition&gt;2013/10/10&lt;/edition&gt;&lt;keywords&gt;&lt;keyword&gt;Adult&lt;/keyword&gt;&lt;keyword&gt;Body Mass Index&lt;/keyword&gt;&lt;keyword&gt;Exercise/*physiology&lt;/keyword&gt;&lt;keyword&gt;Female&lt;/keyword&gt;&lt;keyword&gt;Humans&lt;/keyword&gt;&lt;keyword&gt;Labor, Obstetric/*physiology&lt;/keyword&gt;&lt;keyword&gt;Pregnancy&lt;/keyword&gt;&lt;keyword&gt;*Prenatal Care&lt;/keyword&gt;&lt;keyword&gt;Exercise&lt;/keyword&gt;&lt;keyword&gt;labor&lt;/keyword&gt;&lt;keyword&gt;randomized controlled trial&lt;/keyword&gt;&lt;/keywords&gt;&lt;dates&gt;&lt;year&gt;2014&lt;/year&gt;&lt;pub-dates&gt;&lt;date&gt;Jan&lt;/date&gt;&lt;/pub-dates&gt;&lt;/dates&gt;&lt;isbn&gt;1600-0412 (Electronic)&amp;#xD;0001-6349 (Linking)&lt;/isbn&gt;&lt;accession-num&gt;24102423&lt;/accession-num&gt;&lt;urls&gt;&lt;related-urls&gt;&lt;url&gt;https://www.ncbi.nlm.nih.gov/pubmed/24102423&lt;/url&gt;&lt;/related-urls&gt;&lt;/urls&gt;&lt;electronic-resource-num&gt;10.1111/aogs.12260&lt;/electronic-resource-num&gt;&lt;/record&gt;&lt;/Cite&gt;&lt;/EndNote&gt;</w:instrText>
            </w:r>
            <w:r w:rsidR="00E51743">
              <w:rPr>
                <w:noProof/>
              </w:rPr>
              <w:fldChar w:fldCharType="separate"/>
            </w:r>
            <w:r w:rsidR="002747EA" w:rsidRPr="002747EA">
              <w:rPr>
                <w:noProof/>
                <w:vertAlign w:val="superscript"/>
              </w:rPr>
              <w:t>298</w:t>
            </w:r>
            <w:r w:rsidR="00E51743">
              <w:rPr>
                <w:noProof/>
              </w:rPr>
              <w:fldChar w:fldCharType="end"/>
            </w:r>
          </w:p>
          <w:p w14:paraId="4FA0A0B4" w14:textId="77777777" w:rsidR="00921608" w:rsidRDefault="00921608" w:rsidP="0099206A">
            <w:pPr>
              <w:rPr>
                <w:noProof/>
              </w:rPr>
            </w:pPr>
            <w:r>
              <w:rPr>
                <w:noProof/>
              </w:rPr>
              <w:t>Norway</w:t>
            </w:r>
          </w:p>
        </w:tc>
        <w:tc>
          <w:tcPr>
            <w:tcW w:w="1247" w:type="dxa"/>
          </w:tcPr>
          <w:p w14:paraId="6041ED62" w14:textId="77777777" w:rsidR="00921608" w:rsidRDefault="00921608" w:rsidP="00D86DBF">
            <w:r>
              <w:t>Intervention 427</w:t>
            </w:r>
          </w:p>
          <w:p w14:paraId="5C3CBA31" w14:textId="77777777" w:rsidR="00921608" w:rsidRDefault="00921608" w:rsidP="00D86DBF">
            <w:r>
              <w:t>Control 426</w:t>
            </w:r>
          </w:p>
        </w:tc>
        <w:tc>
          <w:tcPr>
            <w:tcW w:w="5101" w:type="dxa"/>
          </w:tcPr>
          <w:p w14:paraId="20BFD1BB" w14:textId="77777777" w:rsidR="00921608" w:rsidRDefault="00921608" w:rsidP="00D86DBF">
            <w:r w:rsidRPr="002768C4">
              <w:rPr>
                <w:b/>
              </w:rPr>
              <w:t>Aim</w:t>
            </w:r>
            <w:r>
              <w:t xml:space="preserve">: </w:t>
            </w:r>
            <w:r w:rsidRPr="002768C4">
              <w:t>To study effects of regular physical exercise in pregnancy on duration</w:t>
            </w:r>
            <w:r>
              <w:t xml:space="preserve"> </w:t>
            </w:r>
            <w:r w:rsidRPr="002768C4">
              <w:t>of the active phase of labo</w:t>
            </w:r>
            <w:r>
              <w:t>u</w:t>
            </w:r>
            <w:r w:rsidRPr="002768C4">
              <w:t>r and the proportions of women with prolonged</w:t>
            </w:r>
            <w:r>
              <w:t xml:space="preserve"> </w:t>
            </w:r>
            <w:r w:rsidRPr="002768C4">
              <w:t xml:space="preserve">active second stage. </w:t>
            </w:r>
          </w:p>
          <w:p w14:paraId="79DDA3EF" w14:textId="77777777" w:rsidR="00921608" w:rsidRDefault="00921608" w:rsidP="00D86DBF">
            <w:r w:rsidRPr="002768C4">
              <w:rPr>
                <w:b/>
              </w:rPr>
              <w:t>Population</w:t>
            </w:r>
            <w:r>
              <w:t>: Women &gt;18 years with a singleton pregnancy.</w:t>
            </w:r>
          </w:p>
          <w:p w14:paraId="46E70016" w14:textId="77777777" w:rsidR="00921608" w:rsidRDefault="00921608" w:rsidP="00D86DBF">
            <w:r w:rsidRPr="002768C4">
              <w:rPr>
                <w:b/>
              </w:rPr>
              <w:t>Intervention</w:t>
            </w:r>
            <w:r>
              <w:t>:</w:t>
            </w:r>
          </w:p>
          <w:p w14:paraId="26FB1400" w14:textId="77777777" w:rsidR="00921608" w:rsidRDefault="00921608" w:rsidP="00D86DBF">
            <w:pPr>
              <w:pStyle w:val="bullet"/>
            </w:pPr>
            <w:r w:rsidRPr="00A2497E">
              <w:rPr>
                <w:i/>
              </w:rPr>
              <w:t>Supervised</w:t>
            </w:r>
            <w:r>
              <w:t>: Yes</w:t>
            </w:r>
          </w:p>
          <w:p w14:paraId="093B0CD5" w14:textId="77777777" w:rsidR="00921608" w:rsidRDefault="00921608" w:rsidP="00D86DBF">
            <w:pPr>
              <w:pStyle w:val="bullet"/>
            </w:pPr>
            <w:r w:rsidRPr="003C7B26">
              <w:rPr>
                <w:i/>
              </w:rPr>
              <w:t>Type and duration</w:t>
            </w:r>
            <w:r>
              <w:t>: Aerobic and resistance; Dance</w:t>
            </w:r>
            <w:r w:rsidRPr="00C12274">
              <w:t>, muscle strengthening</w:t>
            </w:r>
            <w:r>
              <w:t xml:space="preserve">; </w:t>
            </w:r>
            <w:r w:rsidRPr="00C12274">
              <w:t>55-70 min, 3 times a week from week 20 to 36 plus 45 min home exercise program at least twice a week</w:t>
            </w:r>
            <w:r>
              <w:t>.</w:t>
            </w:r>
          </w:p>
          <w:p w14:paraId="39681023" w14:textId="77777777" w:rsidR="00921608" w:rsidRPr="00A32E50" w:rsidRDefault="00921608" w:rsidP="00D86DBF">
            <w:pPr>
              <w:pStyle w:val="bullet"/>
            </w:pPr>
            <w:r w:rsidRPr="003C7B26">
              <w:rPr>
                <w:i/>
              </w:rPr>
              <w:t>Intensity</w:t>
            </w:r>
            <w:r>
              <w:t xml:space="preserve">: </w:t>
            </w:r>
            <w:r w:rsidRPr="00C12274">
              <w:t>Moderate; Borg scale 1</w:t>
            </w:r>
            <w:r>
              <w:t>3</w:t>
            </w:r>
            <w:r w:rsidRPr="00C12274">
              <w:t>-14</w:t>
            </w:r>
            <w:r>
              <w:t>.</w:t>
            </w:r>
          </w:p>
        </w:tc>
        <w:tc>
          <w:tcPr>
            <w:tcW w:w="4396" w:type="dxa"/>
          </w:tcPr>
          <w:p w14:paraId="683FD080" w14:textId="77777777" w:rsidR="00921608" w:rsidRDefault="00921608" w:rsidP="00D86DBF">
            <w:r>
              <w:t xml:space="preserve">Epidural analgesia intervention vs control </w:t>
            </w:r>
          </w:p>
          <w:p w14:paraId="732EAAC5" w14:textId="77777777" w:rsidR="00921608" w:rsidRDefault="00921608" w:rsidP="00D86DBF">
            <w:pPr>
              <w:pStyle w:val="bullet"/>
            </w:pPr>
            <w:r>
              <w:t>Nulliparous women: 87/239 (36%) vs 88/233 (38%); p=0.76</w:t>
            </w:r>
          </w:p>
          <w:p w14:paraId="605A3376" w14:textId="77777777" w:rsidR="00921608" w:rsidRDefault="00921608" w:rsidP="00D86DBF">
            <w:pPr>
              <w:pStyle w:val="bullet"/>
            </w:pPr>
            <w:r>
              <w:t>Parous women: 34/177 (19%) vs 23/183 (13%); p=0.08</w:t>
            </w:r>
          </w:p>
        </w:tc>
        <w:tc>
          <w:tcPr>
            <w:tcW w:w="1844" w:type="dxa"/>
          </w:tcPr>
          <w:p w14:paraId="7F752548" w14:textId="77777777" w:rsidR="00921608" w:rsidRPr="00DC4A73" w:rsidRDefault="00921608" w:rsidP="00D86DBF">
            <w:pPr>
              <w:keepNext/>
            </w:pPr>
          </w:p>
        </w:tc>
      </w:tr>
      <w:tr w:rsidR="00356D8A" w:rsidRPr="009C0C55" w14:paraId="57FEFFE6" w14:textId="77777777" w:rsidTr="00BD61C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276" w:type="dxa"/>
            <w:tcBorders>
              <w:top w:val="single" w:sz="4" w:space="0" w:color="auto"/>
              <w:left w:val="single" w:sz="4" w:space="0" w:color="auto"/>
              <w:bottom w:val="single" w:sz="4" w:space="0" w:color="auto"/>
              <w:right w:val="single" w:sz="4" w:space="0" w:color="auto"/>
            </w:tcBorders>
          </w:tcPr>
          <w:p w14:paraId="6375D6FA" w14:textId="7254415B" w:rsidR="00356D8A" w:rsidRPr="00D00A59" w:rsidRDefault="00356D8A" w:rsidP="00317DE7">
            <w:r w:rsidRPr="00D00A59">
              <w:rPr>
                <w:noProof/>
              </w:rPr>
              <w:t>Sanda et al 2018</w:t>
            </w:r>
            <w:r w:rsidRPr="00D00A59">
              <w:fldChar w:fldCharType="begin"/>
            </w:r>
            <w:r w:rsidR="002747EA">
              <w:instrText xml:space="preserve"> ADDIN EN.CITE &lt;EndNote&gt;&lt;Cite&gt;&lt;Author&gt;Sanda&lt;/Author&gt;&lt;Year&gt;2018&lt;/Year&gt;&lt;RecNum&gt;925&lt;/RecNum&gt;&lt;DisplayText&gt;&lt;style face="superscript" font="Trebuchet MS" size="9"&gt;300&lt;/style&gt;&lt;/DisplayText&gt;&lt;record&gt;&lt;rec-number&gt;925&lt;/rec-number&gt;&lt;foreign-keys&gt;&lt;key app="EN" db-id="exvasrfx2dtraoesasxp2szsxa2df502592x" timestamp="1541540929"&gt;925&lt;/key&gt;&lt;key app="ENWeb" db-id=""&gt;0&lt;/key&gt;&lt;/foreign-keys&gt;&lt;ref-type name="Journal Article"&gt;17&lt;/ref-type&gt;&lt;contributors&gt;&lt;authors&gt;&lt;author&gt;Sanda, B.&lt;/author&gt;&lt;author&gt;Vistad, I.&lt;/author&gt;&lt;author&gt;Sagedal, L. R.&lt;/author&gt;&lt;author&gt;Haakstad, L. A. H.&lt;/author&gt;&lt;author&gt;Lohne-Seiler, H.&lt;/author&gt;&lt;author&gt;Torstveit, M. K.&lt;/author&gt;&lt;/authors&gt;&lt;/contributors&gt;&lt;auth-address&gt;Faculty of Health and Sport Sciences, University of Agder, Kristiansand, Norway.&amp;#xD;Department of Obstetrics and Gynecology, Southern Norway Hospital Trust, Kristiansand, Norway.&amp;#xD;Norwegian School of Sports Science, Oslo, Norway.&lt;/auth-address&gt;&lt;titles&gt;&lt;title&gt;What is the effect of physical activity on duration and mode of delivery? Secondary analysis from the Norwegian Fit for Delivery trial&lt;/title&gt;&lt;secondary-title&gt;Acta Obstet Gynecol Scand&lt;/secondary-title&gt;&lt;/titles&gt;&lt;periodical&gt;&lt;full-title&gt;Acta Obstet Gynecol Scand&lt;/full-title&gt;&lt;/periodical&gt;&lt;pages&gt;861-871&lt;/pages&gt;&lt;volume&gt;97&lt;/volume&gt;&lt;number&gt;7&lt;/number&gt;&lt;edition&gt;2018/05/11&lt;/edition&gt;&lt;keywords&gt;&lt;keyword&gt;Exercise&lt;/keyword&gt;&lt;keyword&gt;cesarean section&lt;/keyword&gt;&lt;keyword&gt;delivery outcomes&lt;/keyword&gt;&lt;keyword&gt;labor&lt;/keyword&gt;&lt;keyword&gt;pregnancy&lt;/keyword&gt;&lt;keyword&gt;randomized controlled trial&lt;/keyword&gt;&lt;/keywords&gt;&lt;dates&gt;&lt;year&gt;2018&lt;/year&gt;&lt;pub-dates&gt;&lt;date&gt;Jul&lt;/date&gt;&lt;/pub-dates&gt;&lt;/dates&gt;&lt;isbn&gt;1600-0412 (Electronic)&amp;#xD;0001-6349 (Linking)&lt;/isbn&gt;&lt;accession-num&gt;29744866&lt;/accession-num&gt;&lt;urls&gt;&lt;related-urls&gt;&lt;url&gt;https://www.ncbi.nlm.nih.gov/pubmed/29744866&lt;/url&gt;&lt;/related-urls&gt;&lt;/urls&gt;&lt;electronic-resource-num&gt;10.1111/aogs.13351&lt;/electronic-resource-num&gt;&lt;/record&gt;&lt;/Cite&gt;&lt;/EndNote&gt;</w:instrText>
            </w:r>
            <w:r w:rsidRPr="00D00A59">
              <w:fldChar w:fldCharType="separate"/>
            </w:r>
            <w:r w:rsidR="002747EA" w:rsidRPr="002747EA">
              <w:rPr>
                <w:noProof/>
                <w:vertAlign w:val="superscript"/>
              </w:rPr>
              <w:t>300</w:t>
            </w:r>
            <w:r w:rsidRPr="00D00A59">
              <w:fldChar w:fldCharType="end"/>
            </w:r>
          </w:p>
          <w:p w14:paraId="3AC52836" w14:textId="77777777" w:rsidR="00356D8A" w:rsidRPr="00D00A59" w:rsidRDefault="00356D8A" w:rsidP="00317DE7">
            <w:pPr>
              <w:rPr>
                <w:szCs w:val="18"/>
              </w:rPr>
            </w:pPr>
            <w:r w:rsidRPr="00D00A59">
              <w:rPr>
                <w:szCs w:val="18"/>
              </w:rPr>
              <w:t>Fit for Delivery</w:t>
            </w:r>
          </w:p>
          <w:p w14:paraId="38A46EF8" w14:textId="77777777" w:rsidR="00356D8A" w:rsidRDefault="00356D8A" w:rsidP="00317DE7">
            <w:pPr>
              <w:rPr>
                <w:noProof/>
              </w:rPr>
            </w:pPr>
            <w:r w:rsidRPr="00D00A59">
              <w:rPr>
                <w:szCs w:val="18"/>
              </w:rPr>
              <w:t>Norway</w:t>
            </w:r>
          </w:p>
        </w:tc>
        <w:tc>
          <w:tcPr>
            <w:tcW w:w="1277" w:type="dxa"/>
            <w:gridSpan w:val="2"/>
            <w:tcBorders>
              <w:top w:val="single" w:sz="4" w:space="0" w:color="auto"/>
              <w:left w:val="single" w:sz="4" w:space="0" w:color="auto"/>
              <w:bottom w:val="single" w:sz="4" w:space="0" w:color="auto"/>
              <w:right w:val="single" w:sz="4" w:space="0" w:color="auto"/>
            </w:tcBorders>
          </w:tcPr>
          <w:p w14:paraId="1741E149" w14:textId="77777777" w:rsidR="00356D8A" w:rsidRPr="00D00A59" w:rsidRDefault="00356D8A" w:rsidP="00317DE7">
            <w:pPr>
              <w:rPr>
                <w:szCs w:val="18"/>
              </w:rPr>
            </w:pPr>
            <w:r w:rsidRPr="00D00A59">
              <w:rPr>
                <w:szCs w:val="18"/>
              </w:rPr>
              <w:t xml:space="preserve">Intervention </w:t>
            </w:r>
            <w:r>
              <w:rPr>
                <w:szCs w:val="18"/>
              </w:rPr>
              <w:t>303</w:t>
            </w:r>
          </w:p>
          <w:p w14:paraId="556C620B" w14:textId="77777777" w:rsidR="00356D8A" w:rsidRDefault="00356D8A" w:rsidP="00317DE7">
            <w:r w:rsidRPr="00D00A59">
              <w:rPr>
                <w:szCs w:val="18"/>
              </w:rPr>
              <w:t xml:space="preserve">Control </w:t>
            </w:r>
            <w:r>
              <w:rPr>
                <w:szCs w:val="18"/>
              </w:rPr>
              <w:t>303</w:t>
            </w:r>
          </w:p>
        </w:tc>
        <w:tc>
          <w:tcPr>
            <w:tcW w:w="5101" w:type="dxa"/>
            <w:tcBorders>
              <w:top w:val="single" w:sz="4" w:space="0" w:color="auto"/>
              <w:left w:val="single" w:sz="4" w:space="0" w:color="auto"/>
              <w:bottom w:val="single" w:sz="4" w:space="0" w:color="auto"/>
              <w:right w:val="single" w:sz="4" w:space="0" w:color="auto"/>
            </w:tcBorders>
          </w:tcPr>
          <w:p w14:paraId="39FA2680" w14:textId="2FA2D8A3" w:rsidR="00356D8A" w:rsidRPr="00D00A59" w:rsidRDefault="00356D8A" w:rsidP="00317DE7">
            <w:pPr>
              <w:rPr>
                <w:szCs w:val="18"/>
              </w:rPr>
            </w:pPr>
            <w:r w:rsidRPr="00D00A59">
              <w:rPr>
                <w:b/>
                <w:szCs w:val="18"/>
              </w:rPr>
              <w:t>Aim</w:t>
            </w:r>
            <w:r w:rsidRPr="00D00A59">
              <w:rPr>
                <w:szCs w:val="18"/>
              </w:rPr>
              <w:t xml:space="preserve">: To </w:t>
            </w:r>
            <w:r>
              <w:t>present</w:t>
            </w:r>
            <w:r w:rsidRPr="006C2075">
              <w:t xml:space="preserve"> secondary analyses from the Norwegian Fit for Delivery randomized controlled trial, aiming at studying the effect of a lifestyle intervention including group exercise classes, as well as the possible influence of physical activity level in late pregnancy, on </w:t>
            </w:r>
            <w:r w:rsidR="005056D2" w:rsidRPr="006C2075">
              <w:t>labo</w:t>
            </w:r>
            <w:r w:rsidR="005056D2">
              <w:t>u</w:t>
            </w:r>
            <w:r w:rsidR="005056D2" w:rsidRPr="006C2075">
              <w:t>r</w:t>
            </w:r>
            <w:r w:rsidRPr="006C2075">
              <w:t xml:space="preserve"> outcomes.</w:t>
            </w:r>
          </w:p>
          <w:p w14:paraId="4CA3C28F" w14:textId="77777777" w:rsidR="00356D8A" w:rsidRPr="00D00A59" w:rsidRDefault="00356D8A" w:rsidP="00317DE7">
            <w:pPr>
              <w:rPr>
                <w:szCs w:val="18"/>
              </w:rPr>
            </w:pPr>
            <w:r w:rsidRPr="00D00A59">
              <w:rPr>
                <w:b/>
                <w:szCs w:val="18"/>
              </w:rPr>
              <w:t>Population</w:t>
            </w:r>
            <w:r w:rsidRPr="00D00A59">
              <w:rPr>
                <w:szCs w:val="18"/>
              </w:rPr>
              <w:t>: Pregnant women who were nulliparous, with a singleton pregnancy at ≤20 weeks of gestation, had a pre-pregnancy body mass index (BMI) of ≥19 kg/m</w:t>
            </w:r>
            <w:r w:rsidRPr="00D00A59">
              <w:rPr>
                <w:rFonts w:eastAsiaTheme="majorEastAsia"/>
                <w:szCs w:val="18"/>
                <w:vertAlign w:val="superscript"/>
              </w:rPr>
              <w:t>2</w:t>
            </w:r>
            <w:r w:rsidRPr="00D00A59">
              <w:rPr>
                <w:szCs w:val="18"/>
              </w:rPr>
              <w:t>.</w:t>
            </w:r>
          </w:p>
          <w:p w14:paraId="416BBB6B" w14:textId="77777777" w:rsidR="00356D8A" w:rsidRPr="00D00A59" w:rsidRDefault="00356D8A" w:rsidP="00317DE7">
            <w:r w:rsidRPr="00D00A59">
              <w:rPr>
                <w:b/>
              </w:rPr>
              <w:t>Intervention</w:t>
            </w:r>
            <w:r w:rsidRPr="00D00A59">
              <w:t>: Dietary counselling was performed by telephone, with an initial consultation and then a follow-up 4</w:t>
            </w:r>
            <w:r w:rsidRPr="00D00A59">
              <w:rPr>
                <w:rFonts w:ascii="Helvetica" w:eastAsiaTheme="majorEastAsia" w:hAnsi="Helvetica"/>
              </w:rPr>
              <w:t>–</w:t>
            </w:r>
            <w:r w:rsidRPr="00D00A59">
              <w:t xml:space="preserve">6 weeks later, each of approximately 20 minutes. Counsellors were either experienced clinical dieticians or graduate students in public health. </w:t>
            </w:r>
          </w:p>
          <w:p w14:paraId="5D01DF0C" w14:textId="77777777" w:rsidR="00356D8A" w:rsidRPr="00D00A59" w:rsidRDefault="00356D8A" w:rsidP="00317DE7">
            <w:r w:rsidRPr="00D00A59">
              <w:rPr>
                <w:shd w:val="clear" w:color="auto" w:fill="FFFFFF"/>
              </w:rPr>
              <w:t>Nutritional advice was based on recommendations from the Norwegian Directorate for Health with specific attention given to intake of fruits and vegetables, drinking water instead of drinks containing energy, regular meal patterns, and limiting consumption of snack foods and foods/drinks containing added sugar.</w:t>
            </w:r>
          </w:p>
          <w:p w14:paraId="2BD6ADC5" w14:textId="77777777" w:rsidR="00356D8A" w:rsidRPr="00A96FD5" w:rsidRDefault="00356D8A" w:rsidP="00317DE7">
            <w:pPr>
              <w:rPr>
                <w:b/>
              </w:rPr>
            </w:pPr>
            <w:r w:rsidRPr="00D00A59">
              <w:rPr>
                <w:szCs w:val="18"/>
              </w:rPr>
              <w:t>The physical activity component consisted of access to twice-weekly exercise classes at a local gym, all following the same pattern: 10 minutes of warm-up, 40 minutes of strength training and cardiovascular exercise at moderate intensity (using aerobics, calisthenics, and weight training), and 10 minutes of stretching. The intensity of the exercise was self-monitored using Borg’s scale with a target of 12-14. Classes were led by physical therapists or students in sports science.</w:t>
            </w:r>
          </w:p>
        </w:tc>
        <w:tc>
          <w:tcPr>
            <w:tcW w:w="4396" w:type="dxa"/>
            <w:tcBorders>
              <w:top w:val="single" w:sz="4" w:space="0" w:color="auto"/>
              <w:left w:val="single" w:sz="4" w:space="0" w:color="auto"/>
              <w:bottom w:val="single" w:sz="4" w:space="0" w:color="auto"/>
              <w:right w:val="single" w:sz="4" w:space="0" w:color="auto"/>
            </w:tcBorders>
          </w:tcPr>
          <w:p w14:paraId="65D5334F" w14:textId="77777777" w:rsidR="00356D8A" w:rsidRDefault="00356D8A" w:rsidP="00317DE7">
            <w:pPr>
              <w:rPr>
                <w:szCs w:val="18"/>
              </w:rPr>
            </w:pPr>
            <w:r w:rsidRPr="00D00A59">
              <w:rPr>
                <w:szCs w:val="18"/>
              </w:rPr>
              <w:t>Intervention vs control:</w:t>
            </w:r>
          </w:p>
          <w:p w14:paraId="3F1E483F" w14:textId="3F911E63" w:rsidR="00356D8A" w:rsidRPr="00A96FD5" w:rsidRDefault="00356D8A" w:rsidP="00317DE7">
            <w:pPr>
              <w:pStyle w:val="bullet"/>
              <w:rPr>
                <w:szCs w:val="18"/>
              </w:rPr>
            </w:pPr>
            <w:r>
              <w:rPr>
                <w:szCs w:val="18"/>
              </w:rPr>
              <w:t>Epidural analgesia: 56/280 vs 76/287; p=0.068</w:t>
            </w:r>
          </w:p>
          <w:p w14:paraId="4B5FFE83" w14:textId="74982560" w:rsidR="00356D8A" w:rsidRPr="005215EF" w:rsidRDefault="00356D8A" w:rsidP="00BD61CC">
            <w:pPr>
              <w:pStyle w:val="bullet"/>
              <w:rPr>
                <w:szCs w:val="18"/>
              </w:rPr>
            </w:pPr>
            <w:r>
              <w:rPr>
                <w:szCs w:val="18"/>
              </w:rPr>
              <w:t>Fentanyl analgesia: 169/276 vs 168/282; p=0.69</w:t>
            </w:r>
          </w:p>
        </w:tc>
        <w:tc>
          <w:tcPr>
            <w:tcW w:w="1844" w:type="dxa"/>
            <w:tcBorders>
              <w:top w:val="single" w:sz="4" w:space="0" w:color="auto"/>
              <w:left w:val="single" w:sz="4" w:space="0" w:color="auto"/>
              <w:bottom w:val="single" w:sz="4" w:space="0" w:color="auto"/>
              <w:right w:val="single" w:sz="4" w:space="0" w:color="auto"/>
            </w:tcBorders>
          </w:tcPr>
          <w:p w14:paraId="3CB3C7A6" w14:textId="77777777" w:rsidR="00356D8A" w:rsidRPr="009C0C55" w:rsidRDefault="00356D8A" w:rsidP="00317DE7">
            <w:pPr>
              <w:keepNext/>
            </w:pPr>
          </w:p>
        </w:tc>
      </w:tr>
      <w:tr w:rsidR="00921608" w:rsidRPr="00990BB1" w14:paraId="3852F71A" w14:textId="77777777" w:rsidTr="00BD61CC">
        <w:trPr>
          <w:cantSplit/>
        </w:trPr>
        <w:tc>
          <w:tcPr>
            <w:tcW w:w="1306" w:type="dxa"/>
            <w:gridSpan w:val="2"/>
          </w:tcPr>
          <w:p w14:paraId="2598A3A6" w14:textId="5ADFB885" w:rsidR="00921608" w:rsidRPr="00C12274" w:rsidRDefault="00921608" w:rsidP="0099206A">
            <w:r w:rsidRPr="00C12274">
              <w:rPr>
                <w:noProof/>
              </w:rPr>
              <w:t>T</w:t>
            </w:r>
            <w:r>
              <w:rPr>
                <w:noProof/>
              </w:rPr>
              <w:t>aniguchi &amp; Sato 2016</w:t>
            </w:r>
            <w:r>
              <w:fldChar w:fldCharType="begin"/>
            </w:r>
            <w:r w:rsidR="002747EA">
              <w:instrText xml:space="preserve"> ADDIN EN.CITE &lt;EndNote&gt;&lt;Cite&gt;&lt;Author&gt;Taniguchi&lt;/Author&gt;&lt;Year&gt;2016&lt;/Year&gt;&lt;RecNum&gt;911&lt;/RecNum&gt;&lt;DisplayText&gt;&lt;style face="superscript" font="Trebuchet MS" size="9"&gt;299&lt;/style&gt;&lt;/DisplayText&gt;&lt;record&gt;&lt;rec-number&gt;911&lt;/rec-number&gt;&lt;foreign-keys&gt;&lt;key app="EN" db-id="exvasrfx2dtraoesasxp2szsxa2df502592x" timestamp="1541540861"&gt;911&lt;/key&gt;&lt;key app="ENWeb" db-id=""&gt;0&lt;/key&gt;&lt;/foreign-keys&gt;&lt;ref-type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Pract&lt;/secondary-title&gt;&lt;/titles&gt;&lt;periodical&gt;&lt;full-title&gt;Int J Nurs Pract&lt;/full-title&gt;&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electronic-resource-num&gt;10.1111/ijn.12453&lt;/electronic-resource-num&gt;&lt;/record&gt;&lt;/Cite&gt;&lt;/EndNote&gt;</w:instrText>
            </w:r>
            <w:r>
              <w:fldChar w:fldCharType="separate"/>
            </w:r>
            <w:r w:rsidR="002747EA" w:rsidRPr="002747EA">
              <w:rPr>
                <w:noProof/>
                <w:vertAlign w:val="superscript"/>
              </w:rPr>
              <w:t>299</w:t>
            </w:r>
            <w:r>
              <w:fldChar w:fldCharType="end"/>
            </w:r>
          </w:p>
          <w:p w14:paraId="6BCAEC45" w14:textId="77777777" w:rsidR="00921608" w:rsidRPr="00C12274" w:rsidRDefault="00921608" w:rsidP="0099206A">
            <w:pPr>
              <w:rPr>
                <w:noProof/>
              </w:rPr>
            </w:pPr>
            <w:r w:rsidRPr="00C12274">
              <w:t>Japan</w:t>
            </w:r>
          </w:p>
        </w:tc>
        <w:tc>
          <w:tcPr>
            <w:tcW w:w="1247" w:type="dxa"/>
          </w:tcPr>
          <w:p w14:paraId="62D71285" w14:textId="77777777" w:rsidR="00921608" w:rsidRDefault="00921608" w:rsidP="00D86DBF">
            <w:r>
              <w:t>Intervention 54</w:t>
            </w:r>
          </w:p>
          <w:p w14:paraId="6FEE511B" w14:textId="77777777" w:rsidR="00921608" w:rsidRDefault="00921608" w:rsidP="00D86DBF">
            <w:r>
              <w:t>Control 53</w:t>
            </w:r>
          </w:p>
        </w:tc>
        <w:tc>
          <w:tcPr>
            <w:tcW w:w="5101" w:type="dxa"/>
          </w:tcPr>
          <w:p w14:paraId="24AA5C04" w14:textId="77777777" w:rsidR="00921608" w:rsidRDefault="00921608" w:rsidP="00D86DBF">
            <w:r w:rsidRPr="003F1AB1">
              <w:rPr>
                <w:b/>
              </w:rPr>
              <w:t>Aim</w:t>
            </w:r>
            <w:r>
              <w:t>: To examine</w:t>
            </w:r>
            <w:r w:rsidRPr="003F1AB1">
              <w:t xml:space="preserve"> the effects of home-based walking on sedentary women</w:t>
            </w:r>
            <w:r w:rsidRPr="003F1AB1">
              <w:rPr>
                <w:rFonts w:ascii="Helvetica" w:hAnsi="Helvetica"/>
              </w:rPr>
              <w:t>’</w:t>
            </w:r>
            <w:r w:rsidRPr="003F1AB1">
              <w:t xml:space="preserve">s pregnancy outcomes and mood. </w:t>
            </w:r>
          </w:p>
          <w:p w14:paraId="3698CBD0" w14:textId="77777777" w:rsidR="00921608" w:rsidRDefault="00921608" w:rsidP="00D86DBF">
            <w:r w:rsidRPr="003F1AB1">
              <w:rPr>
                <w:b/>
              </w:rPr>
              <w:t>Population</w:t>
            </w:r>
            <w:r>
              <w:t xml:space="preserve">: Pregnant </w:t>
            </w:r>
            <w:r w:rsidRPr="003F1AB1">
              <w:t xml:space="preserve">women </w:t>
            </w:r>
            <w:r>
              <w:t>with a healthy singleton pregnancy</w:t>
            </w:r>
            <w:r w:rsidRPr="003F1AB1">
              <w:t xml:space="preserve"> </w:t>
            </w:r>
            <w:r w:rsidRPr="007B4B9A">
              <w:t>aged</w:t>
            </w:r>
            <w:r>
              <w:t xml:space="preserve"> </w:t>
            </w:r>
            <w:r w:rsidRPr="007B4B9A">
              <w:t>20</w:t>
            </w:r>
            <w:r w:rsidRPr="007B4B9A">
              <w:rPr>
                <w:rFonts w:ascii="Helvetica" w:hAnsi="Helvetica"/>
              </w:rPr>
              <w:t>–</w:t>
            </w:r>
            <w:r w:rsidRPr="007B4B9A">
              <w:t>30 years; sedentary in daily life by self-report; no</w:t>
            </w:r>
            <w:r>
              <w:t xml:space="preserve"> </w:t>
            </w:r>
            <w:r w:rsidRPr="007B4B9A">
              <w:t>physical, mental or social problems by self-report; no</w:t>
            </w:r>
            <w:r>
              <w:t xml:space="preserve"> </w:t>
            </w:r>
            <w:r w:rsidRPr="007B4B9A">
              <w:t>psychiatric drug use; in</w:t>
            </w:r>
            <w:r>
              <w:t xml:space="preserve"> </w:t>
            </w:r>
            <w:r w:rsidRPr="007B4B9A">
              <w:t>at least the 30th week of pregnancy</w:t>
            </w:r>
            <w:r>
              <w:t>. Mixed BMIs.</w:t>
            </w:r>
          </w:p>
          <w:p w14:paraId="1ECFB38C" w14:textId="77777777" w:rsidR="00921608" w:rsidRDefault="00921608" w:rsidP="00D86DBF">
            <w:r w:rsidRPr="005E4EF9">
              <w:rPr>
                <w:b/>
              </w:rPr>
              <w:t>Intervention</w:t>
            </w:r>
            <w:r>
              <w:rPr>
                <w:b/>
              </w:rPr>
              <w:t>:</w:t>
            </w:r>
          </w:p>
          <w:p w14:paraId="2127B231" w14:textId="77777777" w:rsidR="00921608" w:rsidRPr="00C45716" w:rsidRDefault="00921608" w:rsidP="00D86DBF">
            <w:pPr>
              <w:pStyle w:val="bullet"/>
            </w:pPr>
            <w:r w:rsidRPr="00C45716">
              <w:rPr>
                <w:i/>
              </w:rPr>
              <w:t>Supervised</w:t>
            </w:r>
            <w:r w:rsidRPr="00C45716">
              <w:t xml:space="preserve">: </w:t>
            </w:r>
            <w:r>
              <w:t>No</w:t>
            </w:r>
          </w:p>
          <w:p w14:paraId="0AEBBB59" w14:textId="77777777" w:rsidR="00921608" w:rsidRPr="007D4CC2" w:rsidRDefault="00921608" w:rsidP="00D86DBF">
            <w:pPr>
              <w:pStyle w:val="bullet"/>
            </w:pPr>
            <w:r w:rsidRPr="00C45716">
              <w:rPr>
                <w:i/>
              </w:rPr>
              <w:t>Type and duration</w:t>
            </w:r>
            <w:r w:rsidRPr="00C45716">
              <w:t xml:space="preserve">: </w:t>
            </w:r>
            <w:r>
              <w:t xml:space="preserve">Aerobic; Walking; </w:t>
            </w:r>
            <w:r w:rsidRPr="00C12274">
              <w:t>30 min, 3 times a week from 30 weeks until birth</w:t>
            </w:r>
            <w:r>
              <w:t>.</w:t>
            </w:r>
          </w:p>
          <w:p w14:paraId="107F0BFE" w14:textId="77777777" w:rsidR="00921608" w:rsidRPr="00A33A8C" w:rsidRDefault="00921608" w:rsidP="00D86DBF">
            <w:pPr>
              <w:pStyle w:val="bullet"/>
              <w:rPr>
                <w:b/>
              </w:rPr>
            </w:pPr>
            <w:r w:rsidRPr="00C45716">
              <w:rPr>
                <w:i/>
              </w:rPr>
              <w:t>Intensity</w:t>
            </w:r>
            <w:r w:rsidRPr="00C45716">
              <w:t xml:space="preserve">: </w:t>
            </w:r>
            <w:r w:rsidRPr="006530D5">
              <w:t>Not described.</w:t>
            </w:r>
          </w:p>
        </w:tc>
        <w:tc>
          <w:tcPr>
            <w:tcW w:w="4396" w:type="dxa"/>
          </w:tcPr>
          <w:p w14:paraId="74FBCDC3" w14:textId="77777777" w:rsidR="00921608" w:rsidRDefault="00921608" w:rsidP="00D86DBF">
            <w:pPr>
              <w:keepNext/>
            </w:pPr>
            <w:r>
              <w:t>Intervention vs control:</w:t>
            </w:r>
          </w:p>
          <w:p w14:paraId="7B119E68" w14:textId="491D34D2" w:rsidR="00921608" w:rsidRPr="006A2F63" w:rsidRDefault="00921608" w:rsidP="00D86DBF">
            <w:pPr>
              <w:pStyle w:val="bullet"/>
            </w:pPr>
            <w:r w:rsidRPr="006A2F63">
              <w:t>Birth pain</w:t>
            </w:r>
            <w:r>
              <w:t xml:space="preserve"> </w:t>
            </w:r>
            <w:r w:rsidRPr="006A2F63">
              <w:t>(VAS: 0</w:t>
            </w:r>
            <w:r w:rsidRPr="006A2F63">
              <w:rPr>
                <w:rFonts w:ascii="Helvetica" w:hAnsi="Helvetica"/>
              </w:rPr>
              <w:t>–</w:t>
            </w:r>
            <w:r w:rsidRPr="006A2F63">
              <w:t xml:space="preserve">10 cm): 8.8±1.4 </w:t>
            </w:r>
            <w:r>
              <w:t xml:space="preserve">vs </w:t>
            </w:r>
            <w:r w:rsidRPr="006A2F63">
              <w:t>8.5±1.7</w:t>
            </w:r>
            <w:r w:rsidR="008D4074">
              <w:t>; p=0.37</w:t>
            </w:r>
          </w:p>
        </w:tc>
        <w:tc>
          <w:tcPr>
            <w:tcW w:w="1844" w:type="dxa"/>
          </w:tcPr>
          <w:p w14:paraId="6DF703A0" w14:textId="77777777" w:rsidR="00921608" w:rsidRPr="00990BB1" w:rsidRDefault="00921608" w:rsidP="00D86DBF">
            <w:pPr>
              <w:keepNext/>
            </w:pPr>
          </w:p>
        </w:tc>
      </w:tr>
    </w:tbl>
    <w:p w14:paraId="61DE8286" w14:textId="73515E83" w:rsidR="00921608" w:rsidRPr="00DC4A73" w:rsidRDefault="009C163D" w:rsidP="00932C6D">
      <w:pPr>
        <w:pStyle w:val="TableName"/>
      </w:pPr>
      <w:bookmarkStart w:id="138" w:name="_Toc40956656"/>
      <w:r>
        <w:t xml:space="preserve">Q5 </w:t>
      </w:r>
      <w:r w:rsidR="00921608">
        <w:t>Physical activity in pregnancy and perineal tears — RCTs</w:t>
      </w:r>
      <w:bookmarkEnd w:id="138"/>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8: Q5 Physical activity in pregnancy and perineal tears — RCTs"/>
      </w:tblPr>
      <w:tblGrid>
        <w:gridCol w:w="1415"/>
        <w:gridCol w:w="1417"/>
        <w:gridCol w:w="4681"/>
        <w:gridCol w:w="4536"/>
        <w:gridCol w:w="1843"/>
      </w:tblGrid>
      <w:tr w:rsidR="00DA31DD" w:rsidRPr="00F350A6" w14:paraId="714CAE25" w14:textId="77777777" w:rsidTr="00DA31DD">
        <w:trPr>
          <w:cantSplit/>
          <w:tblHeader/>
        </w:trPr>
        <w:tc>
          <w:tcPr>
            <w:tcW w:w="1415" w:type="dxa"/>
          </w:tcPr>
          <w:p w14:paraId="304245F8" w14:textId="77777777" w:rsidR="00921608" w:rsidRPr="00F350A6" w:rsidRDefault="00921608" w:rsidP="00D86DBF">
            <w:pPr>
              <w:keepNext/>
              <w:rPr>
                <w:b/>
              </w:rPr>
            </w:pPr>
            <w:r>
              <w:rPr>
                <w:b/>
              </w:rPr>
              <w:t>Study ref</w:t>
            </w:r>
          </w:p>
        </w:tc>
        <w:tc>
          <w:tcPr>
            <w:tcW w:w="1417" w:type="dxa"/>
          </w:tcPr>
          <w:p w14:paraId="7982F529" w14:textId="77777777" w:rsidR="00921608" w:rsidRPr="00F350A6" w:rsidRDefault="00921608" w:rsidP="00D86DBF">
            <w:pPr>
              <w:keepNext/>
              <w:rPr>
                <w:b/>
              </w:rPr>
            </w:pPr>
            <w:r>
              <w:rPr>
                <w:b/>
              </w:rPr>
              <w:t>N</w:t>
            </w:r>
          </w:p>
        </w:tc>
        <w:tc>
          <w:tcPr>
            <w:tcW w:w="4681" w:type="dxa"/>
          </w:tcPr>
          <w:p w14:paraId="30041D55" w14:textId="77777777" w:rsidR="00921608" w:rsidRPr="00F350A6" w:rsidRDefault="00921608" w:rsidP="00D86DBF">
            <w:pPr>
              <w:keepNext/>
              <w:rPr>
                <w:b/>
              </w:rPr>
            </w:pPr>
            <w:r>
              <w:rPr>
                <w:b/>
              </w:rPr>
              <w:t>Aim/</w:t>
            </w:r>
            <w:r w:rsidRPr="00F350A6">
              <w:rPr>
                <w:b/>
              </w:rPr>
              <w:t>population</w:t>
            </w:r>
            <w:r>
              <w:rPr>
                <w:b/>
              </w:rPr>
              <w:t>/intervention</w:t>
            </w:r>
          </w:p>
        </w:tc>
        <w:tc>
          <w:tcPr>
            <w:tcW w:w="4536" w:type="dxa"/>
          </w:tcPr>
          <w:p w14:paraId="28E60E09" w14:textId="77777777" w:rsidR="00921608" w:rsidRPr="00F350A6" w:rsidRDefault="00921608" w:rsidP="00D86DBF">
            <w:pPr>
              <w:keepNext/>
              <w:rPr>
                <w:b/>
              </w:rPr>
            </w:pPr>
            <w:r>
              <w:rPr>
                <w:b/>
              </w:rPr>
              <w:t>Results</w:t>
            </w:r>
          </w:p>
        </w:tc>
        <w:tc>
          <w:tcPr>
            <w:tcW w:w="1843" w:type="dxa"/>
          </w:tcPr>
          <w:p w14:paraId="1CB5460A" w14:textId="77777777" w:rsidR="00921608" w:rsidRPr="00F350A6" w:rsidRDefault="00921608" w:rsidP="00D86DBF">
            <w:pPr>
              <w:keepNext/>
              <w:rPr>
                <w:b/>
              </w:rPr>
            </w:pPr>
            <w:r>
              <w:rPr>
                <w:b/>
              </w:rPr>
              <w:t>Comments</w:t>
            </w:r>
          </w:p>
        </w:tc>
      </w:tr>
      <w:tr w:rsidR="00DA31DD" w:rsidRPr="009C0C55" w14:paraId="2766D871" w14:textId="77777777" w:rsidTr="0030223E">
        <w:trPr>
          <w:cantSplit/>
        </w:trPr>
        <w:tc>
          <w:tcPr>
            <w:tcW w:w="1415" w:type="dxa"/>
            <w:tcBorders>
              <w:top w:val="single" w:sz="4" w:space="0" w:color="auto"/>
              <w:left w:val="single" w:sz="4" w:space="0" w:color="auto"/>
              <w:bottom w:val="single" w:sz="4" w:space="0" w:color="auto"/>
              <w:right w:val="single" w:sz="4" w:space="0" w:color="auto"/>
            </w:tcBorders>
          </w:tcPr>
          <w:p w14:paraId="74949225" w14:textId="7B5B2E93" w:rsidR="006A7633" w:rsidRDefault="006A7633" w:rsidP="006A7633">
            <w:pPr>
              <w:rPr>
                <w:noProof/>
              </w:rPr>
            </w:pPr>
            <w:r>
              <w:rPr>
                <w:noProof/>
              </w:rPr>
              <w:t>Rodriguez-Blanque et al 2019</w:t>
            </w:r>
            <w:r w:rsidR="00D07346">
              <w:rPr>
                <w:noProof/>
              </w:rPr>
              <w:fldChar w:fldCharType="begin"/>
            </w:r>
            <w:r w:rsidR="002747EA">
              <w:rPr>
                <w:noProof/>
              </w:rPr>
              <w:instrText xml:space="preserve"> ADDIN EN.CITE &lt;EndNote&gt;&lt;Cite&gt;&lt;Author&gt;Rodriguez-Blanque&lt;/Author&gt;&lt;Year&gt;2019&lt;/Year&gt;&lt;RecNum&gt;1916&lt;/RecNum&gt;&lt;DisplayText&gt;&lt;style face="superscript" font="Trebuchet MS" size="9"&gt;305&lt;/style&gt;&lt;/DisplayText&gt;&lt;record&gt;&lt;rec-number&gt;1916&lt;/rec-number&gt;&lt;foreign-keys&gt;&lt;key app="EN" db-id="exvasrfx2dtraoesasxp2szsxa2df502592x" timestamp="1588481006"&gt;1916&lt;/key&gt;&lt;/foreign-keys&gt;&lt;ref-type name="Journal Article"&gt;17&lt;/ref-type&gt;&lt;contributors&gt;&lt;authors&gt;&lt;author&gt;Rodriguez-Blanque, R.&lt;/author&gt;&lt;author&gt;Sanchez-Garcia, J. C.&lt;/author&gt;&lt;author&gt;Sanchez-Lopez, A. M.&lt;/author&gt;&lt;author&gt;Exposito-Ruiz, M.&lt;/author&gt;&lt;author&gt;Aguilar-Cordero, M. J.&lt;/author&gt;&lt;/authors&gt;&lt;/contributors&gt;&lt;titles&gt;&lt;title&gt;Randomized clinical trial of an aquatic physical exercise program during pregnancy&lt;/title&gt;&lt;secondary-title&gt;J Obstet Gynecol Neonatal Nurs&lt;/secondary-title&gt;&lt;/titles&gt;&lt;periodical&gt;&lt;full-title&gt;J Obstet Gynecol Neonatal Nurs&lt;/full-title&gt;&lt;/periodical&gt;&lt;pages&gt;321-331&lt;/pages&gt;&lt;volume&gt;48&lt;/volume&gt;&lt;number&gt;3&lt;/number&gt;&lt;edition&gt;2019/04/07&lt;/edition&gt;&lt;keywords&gt;&lt;keyword&gt;*childbirth&lt;/keyword&gt;&lt;keyword&gt;*episiotomy&lt;/keyword&gt;&lt;keyword&gt;*exercise&lt;/keyword&gt;&lt;keyword&gt;*perineum&lt;/keyword&gt;&lt;keyword&gt;*pregnancy&lt;/keyword&gt;&lt;keyword&gt;*tear&lt;/keyword&gt;&lt;/keywords&gt;&lt;dates&gt;&lt;year&gt;2019&lt;/year&gt;&lt;pub-dates&gt;&lt;date&gt;May&lt;/date&gt;&lt;/pub-dates&gt;&lt;/dates&gt;&lt;isbn&gt;1552-6909 (Electronic)&amp;#xD;0090-0311 (Linking)&lt;/isbn&gt;&lt;accession-num&gt;30953605&lt;/accession-num&gt;&lt;urls&gt;&lt;related-urls&gt;&lt;url&gt;https://www.ncbi.nlm.nih.gov/pubmed/30953605&lt;/url&gt;&lt;/related-urls&gt;&lt;/urls&gt;&lt;electronic-resource-num&gt;10.1016/j.jogn.2019.02.003&lt;/electronic-resource-num&gt;&lt;/record&gt;&lt;/Cite&gt;&lt;/EndNote&gt;</w:instrText>
            </w:r>
            <w:r w:rsidR="00D07346">
              <w:rPr>
                <w:noProof/>
              </w:rPr>
              <w:fldChar w:fldCharType="separate"/>
            </w:r>
            <w:r w:rsidR="002747EA" w:rsidRPr="002747EA">
              <w:rPr>
                <w:noProof/>
                <w:vertAlign w:val="superscript"/>
              </w:rPr>
              <w:t>305</w:t>
            </w:r>
            <w:r w:rsidR="00D07346">
              <w:rPr>
                <w:noProof/>
              </w:rPr>
              <w:fldChar w:fldCharType="end"/>
            </w:r>
          </w:p>
          <w:p w14:paraId="02B78B75" w14:textId="77777777" w:rsidR="006A7633" w:rsidRDefault="006A7633" w:rsidP="006A7633">
            <w:pPr>
              <w:rPr>
                <w:noProof/>
              </w:rPr>
            </w:pPr>
            <w:r>
              <w:rPr>
                <w:noProof/>
              </w:rPr>
              <w:t>SWEP</w:t>
            </w:r>
          </w:p>
          <w:p w14:paraId="566DBE47" w14:textId="77777777" w:rsidR="006A7633" w:rsidRPr="00980F56" w:rsidRDefault="006A7633" w:rsidP="006A7633">
            <w:pPr>
              <w:spacing w:before="0" w:after="0" w:line="240" w:lineRule="auto"/>
              <w:rPr>
                <w:rFonts w:ascii="Helvetica" w:hAnsi="Helvetica"/>
                <w:sz w:val="17"/>
                <w:szCs w:val="17"/>
              </w:rPr>
            </w:pPr>
            <w:r w:rsidRPr="00980F56">
              <w:rPr>
                <w:rFonts w:ascii="Helvetica" w:hAnsi="Helvetica"/>
                <w:sz w:val="17"/>
                <w:szCs w:val="17"/>
              </w:rPr>
              <w:t>NCT02761967</w:t>
            </w:r>
          </w:p>
          <w:p w14:paraId="4B297B2B" w14:textId="77777777" w:rsidR="006A7633" w:rsidRPr="00C12274" w:rsidRDefault="006A7633" w:rsidP="006A7633">
            <w:pPr>
              <w:rPr>
                <w:noProof/>
              </w:rPr>
            </w:pPr>
          </w:p>
        </w:tc>
        <w:tc>
          <w:tcPr>
            <w:tcW w:w="1417" w:type="dxa"/>
            <w:tcBorders>
              <w:top w:val="single" w:sz="4" w:space="0" w:color="auto"/>
              <w:left w:val="single" w:sz="4" w:space="0" w:color="auto"/>
              <w:bottom w:val="single" w:sz="4" w:space="0" w:color="auto"/>
              <w:right w:val="single" w:sz="4" w:space="0" w:color="auto"/>
            </w:tcBorders>
          </w:tcPr>
          <w:p w14:paraId="1166F525" w14:textId="375C3B3D" w:rsidR="006A7633" w:rsidRDefault="00023282" w:rsidP="006A7633">
            <w:r>
              <w:t>Intervention 65</w:t>
            </w:r>
          </w:p>
          <w:p w14:paraId="35D73BB9" w14:textId="46C92C6D" w:rsidR="006A7633" w:rsidRDefault="00023282" w:rsidP="006A7633">
            <w:r>
              <w:t>Control 64</w:t>
            </w:r>
          </w:p>
        </w:tc>
        <w:tc>
          <w:tcPr>
            <w:tcW w:w="4681" w:type="dxa"/>
            <w:tcBorders>
              <w:top w:val="single" w:sz="4" w:space="0" w:color="auto"/>
              <w:left w:val="single" w:sz="4" w:space="0" w:color="auto"/>
              <w:bottom w:val="single" w:sz="4" w:space="0" w:color="auto"/>
              <w:right w:val="single" w:sz="4" w:space="0" w:color="auto"/>
            </w:tcBorders>
          </w:tcPr>
          <w:p w14:paraId="1D1AF34A" w14:textId="01990757" w:rsidR="006A7633" w:rsidRDefault="006A7633" w:rsidP="006A7633">
            <w:r w:rsidRPr="00A96FD5">
              <w:rPr>
                <w:b/>
              </w:rPr>
              <w:t>Aim</w:t>
            </w:r>
            <w:r>
              <w:t xml:space="preserve">: </w:t>
            </w:r>
            <w:r w:rsidR="00023282">
              <w:t>T</w:t>
            </w:r>
            <w:r w:rsidR="00023282" w:rsidRPr="00023282">
              <w:t>o determine the effect of an aquatic physical exercise program performed during pregnancy on rate of intact perineum after childbirth.</w:t>
            </w:r>
          </w:p>
          <w:p w14:paraId="2DF41183" w14:textId="77777777" w:rsidR="006A7633" w:rsidRDefault="006A7633" w:rsidP="006A7633">
            <w:r w:rsidRPr="00A96FD5">
              <w:rPr>
                <w:b/>
              </w:rPr>
              <w:t>Population</w:t>
            </w:r>
            <w:r>
              <w:t xml:space="preserve">: </w:t>
            </w:r>
            <w:r>
              <w:rPr>
                <w:b/>
              </w:rPr>
              <w:t>H</w:t>
            </w:r>
            <w:r w:rsidRPr="00444351">
              <w:t>ealthy pregnant women</w:t>
            </w:r>
            <w:r>
              <w:t xml:space="preserve"> with uncomplicated singleton pregnancies.</w:t>
            </w:r>
          </w:p>
          <w:p w14:paraId="075087D7" w14:textId="77777777" w:rsidR="006A7633" w:rsidRDefault="006A7633" w:rsidP="006A7633">
            <w:r w:rsidRPr="00A96FD5">
              <w:rPr>
                <w:b/>
              </w:rPr>
              <w:t>Intervention</w:t>
            </w:r>
            <w:r>
              <w:t xml:space="preserve">: </w:t>
            </w:r>
          </w:p>
          <w:p w14:paraId="3777EDE4" w14:textId="77777777" w:rsidR="006A7633" w:rsidRDefault="006A7633" w:rsidP="006A7633">
            <w:pPr>
              <w:pStyle w:val="bullet"/>
            </w:pPr>
            <w:r w:rsidRPr="00A96FD5">
              <w:rPr>
                <w:i/>
              </w:rPr>
              <w:t>Supervised</w:t>
            </w:r>
            <w:r>
              <w:t>: Yes</w:t>
            </w:r>
          </w:p>
          <w:p w14:paraId="0EEE12CE" w14:textId="740766C8" w:rsidR="006A7633" w:rsidRDefault="006A7633" w:rsidP="006A7633">
            <w:pPr>
              <w:pStyle w:val="bullet"/>
            </w:pPr>
            <w:r w:rsidRPr="00A96FD5">
              <w:rPr>
                <w:i/>
              </w:rPr>
              <w:t>Intervention</w:t>
            </w:r>
            <w:r>
              <w:t xml:space="preserve">: Aerobic and muscle strengthening </w:t>
            </w:r>
            <w:r w:rsidRPr="00A96FD5">
              <w:t>exercise</w:t>
            </w:r>
            <w:r w:rsidR="00490AEB">
              <w:t>s</w:t>
            </w:r>
            <w:r w:rsidRPr="00A96FD5">
              <w:t xml:space="preserve"> in water </w:t>
            </w:r>
            <w:r w:rsidR="00490AEB">
              <w:t xml:space="preserve">for 60 minutes 3 times/week </w:t>
            </w:r>
            <w:r w:rsidRPr="00A96FD5">
              <w:t>from weeks 20 to 37.</w:t>
            </w:r>
          </w:p>
          <w:p w14:paraId="5E542D8B" w14:textId="77777777" w:rsidR="006A7633" w:rsidRPr="00A96FD5" w:rsidRDefault="006A7633" w:rsidP="006A7633">
            <w:pPr>
              <w:pStyle w:val="bullet"/>
            </w:pPr>
            <w:r w:rsidRPr="00A96FD5">
              <w:rPr>
                <w:i/>
              </w:rPr>
              <w:t>Intensity</w:t>
            </w:r>
            <w:r>
              <w:t>: Moderate; Borg scale 12-14</w:t>
            </w:r>
          </w:p>
        </w:tc>
        <w:tc>
          <w:tcPr>
            <w:tcW w:w="4536" w:type="dxa"/>
            <w:tcBorders>
              <w:top w:val="single" w:sz="4" w:space="0" w:color="auto"/>
              <w:left w:val="single" w:sz="4" w:space="0" w:color="auto"/>
              <w:bottom w:val="single" w:sz="4" w:space="0" w:color="auto"/>
              <w:right w:val="single" w:sz="4" w:space="0" w:color="auto"/>
            </w:tcBorders>
          </w:tcPr>
          <w:p w14:paraId="5E641CFD" w14:textId="77777777" w:rsidR="006A7633" w:rsidRDefault="006A7633" w:rsidP="006A7633">
            <w:r>
              <w:t>Intervention vs control:</w:t>
            </w:r>
          </w:p>
          <w:p w14:paraId="1B6A0F85" w14:textId="77777777" w:rsidR="00490AEB" w:rsidRDefault="00023282" w:rsidP="00BD61CC">
            <w:pPr>
              <w:pStyle w:val="bullet"/>
            </w:pPr>
            <w:r w:rsidRPr="00023282">
              <w:t>intact perineum</w:t>
            </w:r>
            <w:r w:rsidR="00490AEB">
              <w:t>: aOR 8.57; 95% CI 1.85 to</w:t>
            </w:r>
            <w:r w:rsidR="00490AEB" w:rsidRPr="00023282">
              <w:t xml:space="preserve"> 39.68</w:t>
            </w:r>
          </w:p>
          <w:p w14:paraId="2760A600" w14:textId="77777777" w:rsidR="00490AEB" w:rsidRDefault="00023282" w:rsidP="00BD61CC">
            <w:r w:rsidRPr="00023282">
              <w:t>Maternal weight gain did not influence th</w:t>
            </w:r>
            <w:r w:rsidR="00490AEB">
              <w:t>e odds of intact perineum (OR 1.072, 95%CI 0.896 to 1.283</w:t>
            </w:r>
            <w:r w:rsidRPr="00023282">
              <w:t xml:space="preserve">). </w:t>
            </w:r>
          </w:p>
          <w:p w14:paraId="2FBEE253" w14:textId="77777777" w:rsidR="00490AEB" w:rsidRDefault="00023282" w:rsidP="00BD61CC">
            <w:r w:rsidRPr="00023282">
              <w:t>Women who previously gave birth and followed the SWEP meth</w:t>
            </w:r>
            <w:r w:rsidR="00490AEB">
              <w:t>od had an OR of 10.197 (95% CI 2.190, 47.476</w:t>
            </w:r>
            <w:r w:rsidRPr="00023282">
              <w:t xml:space="preserve"> for an intact perineum. </w:t>
            </w:r>
          </w:p>
          <w:p w14:paraId="43424F74" w14:textId="05288E9F" w:rsidR="006A7633" w:rsidRPr="00444351" w:rsidRDefault="00023282" w:rsidP="00BD61CC">
            <w:r w:rsidRPr="00023282">
              <w:t>The administration of an</w:t>
            </w:r>
            <w:r w:rsidR="00490AEB">
              <w:t>a</w:t>
            </w:r>
            <w:r w:rsidRPr="00023282">
              <w:t>esthesia and previous pregnancy also were assoc</w:t>
            </w:r>
            <w:r w:rsidR="00490AEB">
              <w:t>iated with intact perineum (OR 6.68, 95%CI 1.21 to 36.84 and OR 5.42, 95%CI 1.64 to 17.89),</w:t>
            </w:r>
            <w:r w:rsidRPr="00023282">
              <w:t xml:space="preserve"> respectively. </w:t>
            </w:r>
          </w:p>
        </w:tc>
        <w:tc>
          <w:tcPr>
            <w:tcW w:w="1843" w:type="dxa"/>
            <w:tcBorders>
              <w:top w:val="single" w:sz="4" w:space="0" w:color="auto"/>
              <w:left w:val="single" w:sz="4" w:space="0" w:color="auto"/>
              <w:bottom w:val="single" w:sz="4" w:space="0" w:color="auto"/>
              <w:right w:val="single" w:sz="4" w:space="0" w:color="auto"/>
            </w:tcBorders>
          </w:tcPr>
          <w:p w14:paraId="61EEF62C" w14:textId="77777777" w:rsidR="006A7633" w:rsidRPr="009C0C55" w:rsidRDefault="006A7633" w:rsidP="006A7633">
            <w:pPr>
              <w:keepNext/>
            </w:pPr>
          </w:p>
        </w:tc>
      </w:tr>
      <w:tr w:rsidR="00DA31DD" w:rsidRPr="00DC4A73" w14:paraId="1182359B" w14:textId="77777777" w:rsidTr="00DA31DD">
        <w:trPr>
          <w:cantSplit/>
        </w:trPr>
        <w:tc>
          <w:tcPr>
            <w:tcW w:w="1415" w:type="dxa"/>
          </w:tcPr>
          <w:p w14:paraId="25C1AA58" w14:textId="2C9FF1D0" w:rsidR="00921608" w:rsidRDefault="00921608" w:rsidP="0099206A">
            <w:pPr>
              <w:rPr>
                <w:noProof/>
              </w:rPr>
            </w:pPr>
            <w:r>
              <w:rPr>
                <w:noProof/>
              </w:rPr>
              <w:t>Salvesen et al 2004</w:t>
            </w:r>
            <w:r>
              <w:rPr>
                <w:noProof/>
              </w:rPr>
              <w:fldChar w:fldCharType="begin"/>
            </w:r>
            <w:r w:rsidR="002747EA">
              <w:rPr>
                <w:noProof/>
              </w:rPr>
              <w:instrText xml:space="preserve"> ADDIN EN.CITE &lt;EndNote&gt;&lt;Cite&gt;&lt;Author&gt;Salvesen&lt;/Author&gt;&lt;Year&gt;2004&lt;/Year&gt;&lt;RecNum&gt;941&lt;/RecNum&gt;&lt;DisplayText&gt;&lt;style face="superscript" font="Trebuchet MS" size="9"&gt;297&lt;/style&gt;&lt;/DisplayText&gt;&lt;record&gt;&lt;rec-number&gt;941&lt;/rec-number&gt;&lt;foreign-keys&gt;&lt;key app="EN" db-id="exvasrfx2dtraoesasxp2szsxa2df502592x" timestamp="1541541826"&gt;941&lt;/key&gt;&lt;key app="ENWeb" db-id=""&gt;0&lt;/key&gt;&lt;/foreign-keys&gt;&lt;ref-type name="Journal Article"&gt;17&lt;/ref-type&gt;&lt;contributors&gt;&lt;authors&gt;&lt;author&gt;Salvesen, K. A.&lt;/author&gt;&lt;author&gt;Morkved, S.&lt;/author&gt;&lt;/authors&gt;&lt;/contributors&gt;&lt;auth-address&gt;Department of Obstetrics and Gynaecology, Trondheim University Hospital St. Olav, N-7006 Trondheim, Norway. pepes@medisin.ntnu.no&lt;/auth-address&gt;&lt;titles&gt;&lt;title&gt;Randomised controlled trial of pelvic floor muscle training during pregnancy&lt;/title&gt;&lt;secondary-title&gt;BMJ&lt;/secondary-title&gt;&lt;/titles&gt;&lt;periodical&gt;&lt;full-title&gt;BMJ&lt;/full-title&gt;&lt;/periodical&gt;&lt;pages&gt;378-80&lt;/pages&gt;&lt;volume&gt;329&lt;/volume&gt;&lt;number&gt;7462&lt;/number&gt;&lt;edition&gt;2004/07/16&lt;/edition&gt;&lt;keywords&gt;&lt;keyword&gt;Episiotomy/statistics &amp;amp; numerical data&lt;/keyword&gt;&lt;keyword&gt;Exercise Therapy/*methods&lt;/keyword&gt;&lt;keyword&gt;Female&lt;/keyword&gt;&lt;keyword&gt;Humans&lt;/keyword&gt;&lt;keyword&gt;Labor Stage, Second&lt;/keyword&gt;&lt;keyword&gt;Obstetric Labor Complications/*prevention &amp;amp; control&lt;/keyword&gt;&lt;keyword&gt;Pelvic Floor&lt;/keyword&gt;&lt;keyword&gt;Pregnancy&lt;/keyword&gt;&lt;keyword&gt;Urinary Incontinence/*prevention &amp;amp; control&lt;/keyword&gt;&lt;/keywords&gt;&lt;dates&gt;&lt;year&gt;2004&lt;/year&gt;&lt;pub-dates&gt;&lt;date&gt;Aug 14&lt;/date&gt;&lt;/pub-dates&gt;&lt;/dates&gt;&lt;isbn&gt;1756-1833 (Electronic)&amp;#xD;0959-8138 (Linking)&lt;/isbn&gt;&lt;accession-num&gt;15253920&lt;/accession-num&gt;&lt;urls&gt;&lt;related-urls&gt;&lt;url&gt;https://www.ncbi.nlm.nih.gov/pubmed/15253920&lt;/url&gt;&lt;/related-urls&gt;&lt;/urls&gt;&lt;custom2&gt;PMC509343&lt;/custom2&gt;&lt;electronic-resource-num&gt;10.1136/bmj.38163.724306.3A&lt;/electronic-resource-num&gt;&lt;/record&gt;&lt;/Cite&gt;&lt;/EndNote&gt;</w:instrText>
            </w:r>
            <w:r>
              <w:rPr>
                <w:noProof/>
              </w:rPr>
              <w:fldChar w:fldCharType="separate"/>
            </w:r>
            <w:r w:rsidR="002747EA" w:rsidRPr="002747EA">
              <w:rPr>
                <w:noProof/>
                <w:vertAlign w:val="superscript"/>
              </w:rPr>
              <w:t>297</w:t>
            </w:r>
            <w:r>
              <w:rPr>
                <w:noProof/>
              </w:rPr>
              <w:fldChar w:fldCharType="end"/>
            </w:r>
          </w:p>
          <w:p w14:paraId="11B0B0D6" w14:textId="77777777" w:rsidR="00921608" w:rsidRDefault="00921608" w:rsidP="0099206A">
            <w:pPr>
              <w:rPr>
                <w:noProof/>
              </w:rPr>
            </w:pPr>
            <w:r>
              <w:rPr>
                <w:noProof/>
              </w:rPr>
              <w:t>Norway</w:t>
            </w:r>
          </w:p>
        </w:tc>
        <w:tc>
          <w:tcPr>
            <w:tcW w:w="1417" w:type="dxa"/>
          </w:tcPr>
          <w:p w14:paraId="427CC46E" w14:textId="77777777" w:rsidR="00921608" w:rsidRDefault="00921608" w:rsidP="00D86DBF">
            <w:r>
              <w:t>Intervention 111</w:t>
            </w:r>
          </w:p>
          <w:p w14:paraId="47887CC3" w14:textId="77777777" w:rsidR="00921608" w:rsidRDefault="00921608" w:rsidP="00D86DBF">
            <w:r>
              <w:t>Control 113</w:t>
            </w:r>
          </w:p>
        </w:tc>
        <w:tc>
          <w:tcPr>
            <w:tcW w:w="4681" w:type="dxa"/>
          </w:tcPr>
          <w:p w14:paraId="5A2725A5" w14:textId="77777777" w:rsidR="00921608" w:rsidRDefault="00921608" w:rsidP="00D86DBF">
            <w:r w:rsidRPr="008566DE">
              <w:rPr>
                <w:b/>
              </w:rPr>
              <w:t>Aim</w:t>
            </w:r>
            <w:r>
              <w:t xml:space="preserve">: </w:t>
            </w:r>
            <w:r w:rsidRPr="005B6104">
              <w:t xml:space="preserve">To examine a possible effect on labour of training the muscles of the pelvic floor during pregnancy. DESIGN: Randomised controlled trial. </w:t>
            </w:r>
          </w:p>
          <w:p w14:paraId="2ADC1EDB" w14:textId="77777777" w:rsidR="00921608" w:rsidRDefault="00921608" w:rsidP="00D86DBF">
            <w:r w:rsidRPr="008566DE">
              <w:rPr>
                <w:b/>
              </w:rPr>
              <w:t>Population</w:t>
            </w:r>
            <w:r>
              <w:t>: H</w:t>
            </w:r>
            <w:r w:rsidRPr="005B6104">
              <w:t xml:space="preserve">ealthy nulliparous women. </w:t>
            </w:r>
          </w:p>
          <w:p w14:paraId="59989152" w14:textId="77777777" w:rsidR="00921608" w:rsidRPr="005B6104" w:rsidRDefault="00921608" w:rsidP="00D86DBF">
            <w:r w:rsidRPr="008566DE">
              <w:rPr>
                <w:b/>
              </w:rPr>
              <w:t>Intervention</w:t>
            </w:r>
            <w:r w:rsidRPr="005B6104">
              <w:t>: A structured training programme with exercises for the pelvic floor muscles between the 20th and 36th week of pregnancy. </w:t>
            </w:r>
          </w:p>
        </w:tc>
        <w:tc>
          <w:tcPr>
            <w:tcW w:w="4536" w:type="dxa"/>
          </w:tcPr>
          <w:p w14:paraId="4D0BE7DB" w14:textId="77777777" w:rsidR="00921608" w:rsidRDefault="00921608" w:rsidP="00D86DBF">
            <w:r>
              <w:t>Grade 3 and 4 perineal tears intervention vs control:</w:t>
            </w:r>
          </w:p>
          <w:p w14:paraId="5CCA9A11" w14:textId="547E6592" w:rsidR="00921608" w:rsidRDefault="00921608" w:rsidP="00D86DBF">
            <w:pPr>
              <w:pStyle w:val="bullet"/>
            </w:pPr>
            <w:r>
              <w:t>7/111 (6%) vs 9/113 (8%)</w:t>
            </w:r>
            <w:r w:rsidR="000F0880">
              <w:t>; p=0.64</w:t>
            </w:r>
          </w:p>
        </w:tc>
        <w:tc>
          <w:tcPr>
            <w:tcW w:w="1843" w:type="dxa"/>
          </w:tcPr>
          <w:p w14:paraId="63857263" w14:textId="77777777" w:rsidR="00921608" w:rsidRPr="00DC4A73" w:rsidRDefault="00921608" w:rsidP="00D86DBF">
            <w:pPr>
              <w:keepNext/>
            </w:pPr>
          </w:p>
        </w:tc>
      </w:tr>
      <w:tr w:rsidR="00DA31DD" w:rsidRPr="009C0C55" w14:paraId="642C402C" w14:textId="77777777" w:rsidTr="00DA31DD">
        <w:trPr>
          <w:cantSplit/>
          <w:trHeight w:val="3617"/>
        </w:trPr>
        <w:tc>
          <w:tcPr>
            <w:tcW w:w="1415" w:type="dxa"/>
          </w:tcPr>
          <w:p w14:paraId="4B4F3587" w14:textId="326DB166" w:rsidR="00921608" w:rsidRDefault="00921608" w:rsidP="0099206A">
            <w:pPr>
              <w:rPr>
                <w:noProof/>
              </w:rPr>
            </w:pPr>
            <w:r>
              <w:rPr>
                <w:noProof/>
              </w:rPr>
              <w:t>Salvesen et al 2014</w:t>
            </w:r>
            <w:r w:rsidR="00E51743">
              <w:rPr>
                <w:noProof/>
              </w:rPr>
              <w:fldChar w:fldCharType="begin"/>
            </w:r>
            <w:r w:rsidR="002747EA">
              <w:rPr>
                <w:noProof/>
              </w:rPr>
              <w:instrText xml:space="preserve"> ADDIN EN.CITE &lt;EndNote&gt;&lt;Cite&gt;&lt;Author&gt;Salvesen&lt;/Author&gt;&lt;Year&gt;2014&lt;/Year&gt;&lt;RecNum&gt;942&lt;/RecNum&gt;&lt;DisplayText&gt;&lt;style face="superscript" font="Trebuchet MS" size="9"&gt;298&lt;/style&gt;&lt;/DisplayText&gt;&lt;record&gt;&lt;rec-number&gt;942&lt;/rec-number&gt;&lt;foreign-keys&gt;&lt;key app="EN" db-id="exvasrfx2dtraoesasxp2szsxa2df502592x" timestamp="1541541832"&gt;942&lt;/key&gt;&lt;key app="ENWeb" db-id=""&gt;0&lt;/key&gt;&lt;/foreign-keys&gt;&lt;ref-type name="Journal Article"&gt;17&lt;/ref-type&gt;&lt;contributors&gt;&lt;authors&gt;&lt;author&gt;Salvesen, K. A.&lt;/author&gt;&lt;author&gt;Stafne, S. N.&lt;/author&gt;&lt;author&gt;Eggebo, T. M.&lt;/author&gt;&lt;author&gt;Morkved, S.&lt;/author&gt;&lt;/authors&gt;&lt;/contributors&gt;&lt;auth-address&gt;Clinical Sciences, Obstetrics and Gynecology, Lund University, Lund, Sweden; National Center for Fetal Medicine, Department of Obstetrics and Gynecology, St. Olavs Hospital, Trondheim University Hospital, Trondheim, Norway.&lt;/auth-address&gt;&lt;titles&gt;&lt;title&gt;Does regular exercise in pregnancy influence duration of labor? A secondary analysis of a randomized controlled trial&lt;/title&gt;&lt;secondary-title&gt;Acta Obstet Gynecol Scand&lt;/secondary-title&gt;&lt;/titles&gt;&lt;periodical&gt;&lt;full-title&gt;Acta Obstet Gynecol Scand&lt;/full-title&gt;&lt;/periodical&gt;&lt;pages&gt;73-9&lt;/pages&gt;&lt;volume&gt;93&lt;/volume&gt;&lt;number&gt;1&lt;/number&gt;&lt;edition&gt;2013/10/10&lt;/edition&gt;&lt;keywords&gt;&lt;keyword&gt;Adult&lt;/keyword&gt;&lt;keyword&gt;Body Mass Index&lt;/keyword&gt;&lt;keyword&gt;Exercise/*physiology&lt;/keyword&gt;&lt;keyword&gt;Female&lt;/keyword&gt;&lt;keyword&gt;Humans&lt;/keyword&gt;&lt;keyword&gt;Labor, Obstetric/*physiology&lt;/keyword&gt;&lt;keyword&gt;Pregnancy&lt;/keyword&gt;&lt;keyword&gt;*Prenatal Care&lt;/keyword&gt;&lt;keyword&gt;Exercise&lt;/keyword&gt;&lt;keyword&gt;labor&lt;/keyword&gt;&lt;keyword&gt;randomized controlled trial&lt;/keyword&gt;&lt;/keywords&gt;&lt;dates&gt;&lt;year&gt;2014&lt;/year&gt;&lt;pub-dates&gt;&lt;date&gt;Jan&lt;/date&gt;&lt;/pub-dates&gt;&lt;/dates&gt;&lt;isbn&gt;1600-0412 (Electronic)&amp;#xD;0001-6349 (Linking)&lt;/isbn&gt;&lt;accession-num&gt;24102423&lt;/accession-num&gt;&lt;urls&gt;&lt;related-urls&gt;&lt;url&gt;https://www.ncbi.nlm.nih.gov/pubmed/24102423&lt;/url&gt;&lt;/related-urls&gt;&lt;/urls&gt;&lt;electronic-resource-num&gt;10.1111/aogs.12260&lt;/electronic-resource-num&gt;&lt;/record&gt;&lt;/Cite&gt;&lt;/EndNote&gt;</w:instrText>
            </w:r>
            <w:r w:rsidR="00E51743">
              <w:rPr>
                <w:noProof/>
              </w:rPr>
              <w:fldChar w:fldCharType="separate"/>
            </w:r>
            <w:r w:rsidR="002747EA" w:rsidRPr="002747EA">
              <w:rPr>
                <w:noProof/>
                <w:vertAlign w:val="superscript"/>
              </w:rPr>
              <w:t>298</w:t>
            </w:r>
            <w:r w:rsidR="00E51743">
              <w:rPr>
                <w:noProof/>
              </w:rPr>
              <w:fldChar w:fldCharType="end"/>
            </w:r>
          </w:p>
          <w:p w14:paraId="38C55B0E" w14:textId="77777777" w:rsidR="00921608" w:rsidRPr="009C0C55" w:rsidRDefault="00921608" w:rsidP="0099206A">
            <w:r>
              <w:rPr>
                <w:noProof/>
              </w:rPr>
              <w:t>Norway</w:t>
            </w:r>
          </w:p>
        </w:tc>
        <w:tc>
          <w:tcPr>
            <w:tcW w:w="1417" w:type="dxa"/>
          </w:tcPr>
          <w:p w14:paraId="0642E7DB" w14:textId="77777777" w:rsidR="00921608" w:rsidRDefault="00921608" w:rsidP="00D86DBF">
            <w:r>
              <w:t>Intervention 427</w:t>
            </w:r>
          </w:p>
          <w:p w14:paraId="4FC55FC6" w14:textId="77777777" w:rsidR="00921608" w:rsidRPr="009C0C55" w:rsidRDefault="00921608" w:rsidP="00D86DBF">
            <w:pPr>
              <w:keepNext/>
            </w:pPr>
            <w:r>
              <w:t>Control 426</w:t>
            </w:r>
          </w:p>
        </w:tc>
        <w:tc>
          <w:tcPr>
            <w:tcW w:w="4681" w:type="dxa"/>
          </w:tcPr>
          <w:p w14:paraId="61F81701" w14:textId="77777777" w:rsidR="00921608" w:rsidRDefault="00921608" w:rsidP="00D86DBF">
            <w:r w:rsidRPr="002768C4">
              <w:rPr>
                <w:b/>
              </w:rPr>
              <w:t>Aim</w:t>
            </w:r>
            <w:r>
              <w:t xml:space="preserve">: </w:t>
            </w:r>
            <w:r w:rsidRPr="002768C4">
              <w:t>To study effects of regular physical exercise in pregnancy on duration</w:t>
            </w:r>
            <w:r>
              <w:t xml:space="preserve"> </w:t>
            </w:r>
            <w:r w:rsidRPr="002768C4">
              <w:t>of the active phase of labo</w:t>
            </w:r>
            <w:r>
              <w:t>u</w:t>
            </w:r>
            <w:r w:rsidRPr="002768C4">
              <w:t>r and the proportions of women with prolonged</w:t>
            </w:r>
            <w:r>
              <w:t xml:space="preserve"> </w:t>
            </w:r>
            <w:r w:rsidRPr="002768C4">
              <w:t xml:space="preserve">active second stage. </w:t>
            </w:r>
          </w:p>
          <w:p w14:paraId="059766AC" w14:textId="77777777" w:rsidR="00921608" w:rsidRDefault="00921608" w:rsidP="00D86DBF">
            <w:r w:rsidRPr="002768C4">
              <w:rPr>
                <w:b/>
              </w:rPr>
              <w:t>Population</w:t>
            </w:r>
            <w:r>
              <w:t>: Women &gt;18 years with a singleton pregnancy.</w:t>
            </w:r>
          </w:p>
          <w:p w14:paraId="1C4A77C7" w14:textId="77777777" w:rsidR="00921608" w:rsidRDefault="00921608" w:rsidP="00D86DBF">
            <w:r w:rsidRPr="002768C4">
              <w:rPr>
                <w:b/>
              </w:rPr>
              <w:t>Intervention</w:t>
            </w:r>
            <w:r>
              <w:t>:</w:t>
            </w:r>
          </w:p>
          <w:p w14:paraId="6FE1D5F9" w14:textId="77777777" w:rsidR="00921608" w:rsidRDefault="00921608" w:rsidP="00D86DBF">
            <w:pPr>
              <w:pStyle w:val="bullet"/>
            </w:pPr>
            <w:r w:rsidRPr="00A2497E">
              <w:rPr>
                <w:i/>
              </w:rPr>
              <w:t>Supervised</w:t>
            </w:r>
            <w:r>
              <w:t>: Yes</w:t>
            </w:r>
          </w:p>
          <w:p w14:paraId="45DA92A4" w14:textId="77777777" w:rsidR="00921608" w:rsidRDefault="00921608" w:rsidP="00D86DBF">
            <w:pPr>
              <w:pStyle w:val="bullet"/>
            </w:pPr>
            <w:r w:rsidRPr="003C7B26">
              <w:rPr>
                <w:i/>
              </w:rPr>
              <w:t>Type and duration</w:t>
            </w:r>
            <w:r>
              <w:t>: Aerobic and resistance; Dance</w:t>
            </w:r>
            <w:r w:rsidRPr="00C12274">
              <w:t>, muscle strengthening</w:t>
            </w:r>
            <w:r>
              <w:t xml:space="preserve">; </w:t>
            </w:r>
            <w:r w:rsidRPr="00C12274">
              <w:t>55-70 min, 3 times a week from week 20 to 36 plus 45 min home exercise program at least twice a week</w:t>
            </w:r>
            <w:r>
              <w:t>.</w:t>
            </w:r>
          </w:p>
          <w:p w14:paraId="6D3867AE" w14:textId="77777777" w:rsidR="00921608" w:rsidRPr="009C0C55" w:rsidRDefault="00921608" w:rsidP="00D86DBF">
            <w:pPr>
              <w:pStyle w:val="bullet"/>
            </w:pPr>
            <w:r w:rsidRPr="003C7B26">
              <w:rPr>
                <w:i/>
              </w:rPr>
              <w:t>Intensity</w:t>
            </w:r>
            <w:r>
              <w:t xml:space="preserve">: </w:t>
            </w:r>
            <w:r w:rsidRPr="00C12274">
              <w:t>Moderate; Borg scale 1</w:t>
            </w:r>
            <w:r>
              <w:t>3</w:t>
            </w:r>
            <w:r w:rsidRPr="00C12274">
              <w:t>-14</w:t>
            </w:r>
            <w:r>
              <w:t>.</w:t>
            </w:r>
          </w:p>
        </w:tc>
        <w:tc>
          <w:tcPr>
            <w:tcW w:w="4536" w:type="dxa"/>
          </w:tcPr>
          <w:p w14:paraId="27EE70B4" w14:textId="77777777" w:rsidR="00921608" w:rsidRDefault="00921608" w:rsidP="00D86DBF">
            <w:pPr>
              <w:keepNext/>
            </w:pPr>
            <w:r>
              <w:t>Grade 3 and 4 perineal tears intervention vs control:</w:t>
            </w:r>
          </w:p>
          <w:p w14:paraId="016671DA" w14:textId="77777777" w:rsidR="00921608" w:rsidRDefault="00921608" w:rsidP="00D86DBF">
            <w:pPr>
              <w:pStyle w:val="bullet"/>
            </w:pPr>
            <w:r>
              <w:t>Nulliparous women: 12/206 (6%) vs 12/207 (6%) p=0.99</w:t>
            </w:r>
          </w:p>
          <w:p w14:paraId="522A5E1C" w14:textId="77777777" w:rsidR="00921608" w:rsidRPr="009C0C55" w:rsidRDefault="00921608" w:rsidP="00D86DBF">
            <w:pPr>
              <w:pStyle w:val="bullet"/>
            </w:pPr>
            <w:r>
              <w:t>Parous women: 2/164 (1%) vs 4/164 (2%) p=0.41</w:t>
            </w:r>
          </w:p>
        </w:tc>
        <w:tc>
          <w:tcPr>
            <w:tcW w:w="1843" w:type="dxa"/>
          </w:tcPr>
          <w:p w14:paraId="3E692E91" w14:textId="77777777" w:rsidR="00921608" w:rsidRPr="009C0C55" w:rsidRDefault="00921608" w:rsidP="00D86DBF">
            <w:pPr>
              <w:keepNext/>
            </w:pPr>
          </w:p>
        </w:tc>
      </w:tr>
      <w:tr w:rsidR="00DA31DD" w:rsidRPr="009C0C55" w14:paraId="2BCCC5A7" w14:textId="77777777" w:rsidTr="00DA31DD">
        <w:trPr>
          <w:cantSplit/>
        </w:trPr>
        <w:tc>
          <w:tcPr>
            <w:tcW w:w="1415" w:type="dxa"/>
          </w:tcPr>
          <w:p w14:paraId="10A6CD7A" w14:textId="5EE3724D" w:rsidR="00921608" w:rsidRPr="00C12274" w:rsidRDefault="00921608" w:rsidP="0099206A">
            <w:r>
              <w:rPr>
                <w:noProof/>
              </w:rPr>
              <w:t>Seneviratne et al 2016</w:t>
            </w:r>
            <w:r>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instrText xml:space="preserve"> ADDIN EN.CITE </w:instrText>
            </w:r>
            <w:r w:rsidR="002747EA">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273</w:t>
            </w:r>
            <w:r>
              <w:fldChar w:fldCharType="end"/>
            </w:r>
          </w:p>
          <w:p w14:paraId="6A256D9A" w14:textId="77777777" w:rsidR="00921608" w:rsidRDefault="00921608" w:rsidP="0099206A">
            <w:pPr>
              <w:rPr>
                <w:noProof/>
              </w:rPr>
            </w:pPr>
            <w:r w:rsidRPr="00C12274">
              <w:t>New Zealand</w:t>
            </w:r>
          </w:p>
        </w:tc>
        <w:tc>
          <w:tcPr>
            <w:tcW w:w="1417" w:type="dxa"/>
          </w:tcPr>
          <w:p w14:paraId="38EA9432" w14:textId="77777777" w:rsidR="00921608" w:rsidRDefault="00921608" w:rsidP="00D86DBF">
            <w:r>
              <w:t>Intervention 37</w:t>
            </w:r>
          </w:p>
          <w:p w14:paraId="1A44278B" w14:textId="77777777" w:rsidR="00921608" w:rsidRDefault="00921608" w:rsidP="00D86DBF">
            <w:r>
              <w:t>Control 37</w:t>
            </w:r>
          </w:p>
        </w:tc>
        <w:tc>
          <w:tcPr>
            <w:tcW w:w="4681" w:type="dxa"/>
          </w:tcPr>
          <w:p w14:paraId="43ADD01E" w14:textId="77777777" w:rsidR="00921608" w:rsidRPr="006F1991" w:rsidRDefault="00921608" w:rsidP="00D86DBF">
            <w:r>
              <w:rPr>
                <w:b/>
              </w:rPr>
              <w:t xml:space="preserve">Aim: </w:t>
            </w:r>
            <w:r w:rsidRPr="006F1991">
              <w:t>To assess whether antenatal exercise in overweight/obese</w:t>
            </w:r>
            <w:r>
              <w:t xml:space="preserve"> </w:t>
            </w:r>
            <w:r w:rsidRPr="006F1991">
              <w:t>women would improve maternal and perinatal outcomes.</w:t>
            </w:r>
          </w:p>
          <w:p w14:paraId="7E15F9D1" w14:textId="77777777" w:rsidR="00921608" w:rsidRPr="006F1991" w:rsidRDefault="00921608" w:rsidP="00D86DBF">
            <w:r>
              <w:rPr>
                <w:b/>
              </w:rPr>
              <w:t xml:space="preserve">Population: </w:t>
            </w:r>
            <w:r w:rsidRPr="00D33772">
              <w:t>Pregnant women with body mass index</w:t>
            </w:r>
            <w:r>
              <w:t xml:space="preserve"> </w:t>
            </w:r>
            <w:r w:rsidRPr="00D33772">
              <w:rPr>
                <w:rFonts w:ascii="Helvetica" w:hAnsi="Helvetica"/>
              </w:rPr>
              <w:t>≥</w:t>
            </w:r>
            <w:r w:rsidRPr="00D33772">
              <w:t>25 kg/m</w:t>
            </w:r>
            <w:r w:rsidRPr="00D33772">
              <w:rPr>
                <w:rFonts w:eastAsiaTheme="majorEastAsia"/>
                <w:sz w:val="8"/>
                <w:szCs w:val="8"/>
              </w:rPr>
              <w:t>2</w:t>
            </w:r>
            <w:r w:rsidRPr="00D33772">
              <w:t>.</w:t>
            </w:r>
          </w:p>
          <w:p w14:paraId="2C1DCED9" w14:textId="77777777" w:rsidR="00921608" w:rsidRDefault="00921608" w:rsidP="00D86DBF">
            <w:r w:rsidRPr="005E4EF9">
              <w:rPr>
                <w:b/>
              </w:rPr>
              <w:t>Intervention</w:t>
            </w:r>
            <w:r>
              <w:rPr>
                <w:b/>
              </w:rPr>
              <w:t>:</w:t>
            </w:r>
          </w:p>
          <w:p w14:paraId="0E95217E" w14:textId="77777777" w:rsidR="00921608" w:rsidRPr="00C45716" w:rsidRDefault="00921608" w:rsidP="00D86DBF">
            <w:pPr>
              <w:pStyle w:val="bullet"/>
            </w:pPr>
            <w:r w:rsidRPr="00C45716">
              <w:rPr>
                <w:i/>
              </w:rPr>
              <w:t>Supervised</w:t>
            </w:r>
            <w:r w:rsidRPr="00C45716">
              <w:t xml:space="preserve">: </w:t>
            </w:r>
            <w:r>
              <w:t>No</w:t>
            </w:r>
          </w:p>
          <w:p w14:paraId="0A329D44" w14:textId="77777777" w:rsidR="00921608" w:rsidRPr="007D4CC2" w:rsidRDefault="00921608" w:rsidP="00D86DBF">
            <w:pPr>
              <w:pStyle w:val="bullet"/>
            </w:pPr>
            <w:r w:rsidRPr="00C45716">
              <w:rPr>
                <w:i/>
              </w:rPr>
              <w:t>Type and duration</w:t>
            </w:r>
            <w:r w:rsidRPr="00C45716">
              <w:t xml:space="preserve">: </w:t>
            </w:r>
            <w:r>
              <w:t>Aerobic; S</w:t>
            </w:r>
            <w:r w:rsidRPr="00C12274">
              <w:t>tationary cycling</w:t>
            </w:r>
            <w:r>
              <w:t xml:space="preserve">; </w:t>
            </w:r>
            <w:r w:rsidRPr="00C12274">
              <w:t>25-45 min, 3-5 times a week depending on stage of pregnancy, from week 25 to 35</w:t>
            </w:r>
            <w:r>
              <w:t>.</w:t>
            </w:r>
          </w:p>
          <w:p w14:paraId="52C7FFE9" w14:textId="77777777" w:rsidR="00921608" w:rsidRPr="002768C4" w:rsidRDefault="00921608" w:rsidP="00D86DBF">
            <w:pPr>
              <w:pStyle w:val="bullet"/>
              <w:rPr>
                <w:b/>
              </w:rPr>
            </w:pPr>
            <w:r w:rsidRPr="00C45716">
              <w:rPr>
                <w:i/>
              </w:rPr>
              <w:t>Intensity</w:t>
            </w:r>
            <w:r w:rsidRPr="00C45716">
              <w:t xml:space="preserve">: </w:t>
            </w:r>
            <w:r w:rsidRPr="003B5012">
              <w:t>Moderate (40–59% VO</w:t>
            </w:r>
            <w:r w:rsidRPr="00B559D0">
              <w:rPr>
                <w:vertAlign w:val="subscript"/>
              </w:rPr>
              <w:t>2</w:t>
            </w:r>
            <w:r w:rsidRPr="003B5012">
              <w:t xml:space="preserve"> reserve).</w:t>
            </w:r>
          </w:p>
        </w:tc>
        <w:tc>
          <w:tcPr>
            <w:tcW w:w="4536" w:type="dxa"/>
          </w:tcPr>
          <w:p w14:paraId="5DB16F0D" w14:textId="77777777" w:rsidR="00921608" w:rsidRDefault="00921608" w:rsidP="00D86DBF">
            <w:pPr>
              <w:keepNext/>
            </w:pPr>
            <w:r>
              <w:t>Perineal tears intervention vs control:</w:t>
            </w:r>
          </w:p>
          <w:p w14:paraId="7AFE24A7" w14:textId="77777777" w:rsidR="00921608" w:rsidRDefault="00921608" w:rsidP="00D86DBF">
            <w:pPr>
              <w:pStyle w:val="bullet"/>
            </w:pPr>
            <w:r>
              <w:t>6/37 (22%) vs 10/37 (35%); p=0.061</w:t>
            </w:r>
          </w:p>
        </w:tc>
        <w:tc>
          <w:tcPr>
            <w:tcW w:w="1843" w:type="dxa"/>
          </w:tcPr>
          <w:p w14:paraId="02D12032" w14:textId="77777777" w:rsidR="00921608" w:rsidRPr="009C0C55" w:rsidRDefault="00921608" w:rsidP="00D86DBF">
            <w:pPr>
              <w:keepNext/>
            </w:pPr>
          </w:p>
        </w:tc>
      </w:tr>
      <w:tr w:rsidR="00DA31DD" w:rsidRPr="009C0C55" w14:paraId="325BB888" w14:textId="77777777" w:rsidTr="00DA31DD">
        <w:trPr>
          <w:cantSplit/>
        </w:trPr>
        <w:tc>
          <w:tcPr>
            <w:tcW w:w="1415" w:type="dxa"/>
          </w:tcPr>
          <w:p w14:paraId="69C766F1" w14:textId="0A7902B0" w:rsidR="00921608" w:rsidRPr="00C12274" w:rsidRDefault="00921608" w:rsidP="0099206A">
            <w:r w:rsidRPr="00C12274">
              <w:rPr>
                <w:noProof/>
              </w:rPr>
              <w:t>Garnaes</w:t>
            </w:r>
            <w:r>
              <w:rPr>
                <w:noProof/>
              </w:rPr>
              <w:t xml:space="preserve"> et al 2016;</w:t>
            </w:r>
            <w:r>
              <w:rPr>
                <w:noProof/>
              </w:rPr>
              <w:fldChar w:fldCharType="begin">
                <w:fldData xml:space="preserve">PEVuZE5vdGU+PENpdGU+PEF1dGhvcj5HYXJuYWVzPC9BdXRob3I+PFllYXI+MjAxNjwvWWVhcj48
UmVjTnVtPjY4ODwvUmVjTnVtPjxEaXNwbGF5VGV4dD48c3R5bGUgZmFjZT0ic3VwZXJzY3JpcHQi
IGZvbnQ9IlRyZWJ1Y2hldCBNUyIgc2l6ZT0iOSI+MzA0PC9zdHlsZT48L0Rpc3BsYXlUZXh0Pjxy
ZWNvcmQ+PHJlYy1udW1iZXI+Njg4PC9yZWMtbnVtYmVyPjxmb3JlaWduLWtleXM+PGtleSBhcHA9
IkVOIiBkYi1pZD0iZXh2YXNyZngyZHRyYW9lc2FzeHAyc3pzeGEyZGY1MDI1OTJ4IiB0aW1lc3Rh
bXA9IjE1NDA1MjczOTMiPjY4ODwva2V5PjwvZm9yZWlnbi1rZXlzPjxyZWYtdHlwZSBuYW1lPSJK
b3VybmFsIEFydGljbGUiPjE3PC9yZWYtdHlwZT48Y29udHJpYnV0b3JzPjxhdXRob3JzPjxhdXRo
b3I+R2FybmFlcywgSy4gSy48L2F1dGhvcj48YXV0aG9yPk1vcmt2ZWQsIFMuPC9hdXRob3I+PGF1
dGhvcj5TYWx2ZXNlbiwgTy48L2F1dGhvcj48YXV0aG9yPk1vaG9sZHQsIFQuPC9hdXRob3I+PC9h
dXRob3JzPjwvY29udHJpYnV0b3JzPjxhdXRoLWFkZHJlc3M+RGVwYXJ0bWVudCBvZiBDaXJjdWxh
dGlvbiBhbmQgTWVkaWNhbCBJbWFnaW5nLCBNZWRpY2FsIEZhY3VsdHksIE5vcndlZ2lhbiBVbml2
ZXJzaXR5IG9mIFNjaWVuY2UgYW5kIFRlY2hub2xvZ3kgKE5UTlUpLCBUcm9uZGhlaW0sIE5vcndh
eS4mI3hEO0RlcGFydG1lbnQgb2YgUHVibGljIEhlYWx0aCBhbmQgR2VuZXJhbCBQcmFjdGljZSwg
TWVkaWNhbCBGYWN1bHR5LCBOb3J3ZWdpYW4gVW5pdmVyc2l0eSBvZiBTY2llbmNlIGFuZCBUZWNo
bm9sb2d5IChOVE5VKSwgVHJvbmRoZWltLCBOb3J3YXkuJiN4RDtDbGluaWNhbCBTZXJ2aWNlLCBT
dC4gT2xhdnMgSG9zcGl0YWwsIFRyb25kaGVpbSBVbml2ZXJzaXR5IEhvc3BpdGFsLCBUcm9uZGhl
aW0sIE5vcndheS4mI3hEO0RlcGFydG1lbnQgb2YgV29tZW4mYXBvcztzIEhlYWx0aCwgU3QuIE9s
YXZzIEhvc3BpdGFsLCBUcm9uZGhlaW0gVW5pdmVyc2l0eSBIb3NwaXRhbCwgVHJvbmRoZWltLCBO
b3J3YXkuPC9hdXRoLWFkZHJlc3M+PHRpdGxlcz48dGl0bGU+RXhlcmNpc2UgVHJhaW5pbmcgYW5k
IFdlaWdodCBHYWluIGluIE9iZXNlIFByZWduYW50IFdvbWVuOiBBIFJhbmRvbWl6ZWQgQ29udHJv
bGxlZCBUcmlhbCAoRVRJUCBUcmlhbCk8L3RpdGxlPjxzZWNvbmRhcnktdGl0bGU+UExvUyBNZWQ8
L3NlY29uZGFyeS10aXRsZT48L3RpdGxlcz48cGVyaW9kaWNhbD48ZnVsbC10aXRsZT5QTG9TIE1l
ZDwvZnVsbC10aXRsZT48L3BlcmlvZGljYWw+PHBhZ2VzPmUxMDAyMDc5PC9wYWdlcz48dm9sdW1l
PjEzPC92b2x1bWU+PG51bWJlcj43PC9udW1iZXI+PGVkaXRpb24+MjAxNi8wNy8yODwvZWRpdGlv
bj48a2V5d29yZHM+PGtleXdvcmQ+QWR1bHQ8L2tleXdvcmQ+PGtleXdvcmQ+Qmxvb2QgUHJlc3N1
cmU8L2tleXdvcmQ+PGtleXdvcmQ+RGlhYmV0ZXMsIEdlc3RhdGlvbmFsL3ByZXZlbnRpb24gJmFt
cDsgY29udHJvbDwva2V5d29yZD48a2V5d29yZD5FeGVyY2lzZS9waHlzaW9sb2d5PC9rZXl3b3Jk
PjxrZXl3b3JkPkV4ZXJjaXNlIFRoZXJhcHkvYWR2ZXJzZSBlZmZlY3RzLyptZXRob2RzPC9rZXl3
b3JkPjxrZXl3b3JkPkZlbWFsZTwva2V5d29yZD48a2V5d29yZD5IdW1hbnM8L2tleXdvcmQ+PGtl
eXdvcmQ+T2Jlc2l0eS8qY29tcGxpY2F0aW9ucy9wcmV2ZW50aW9uICZhbXA7IGNvbnRyb2wvdGhl
cmFweTwva2V5d29yZD48a2V5d29yZD5PdmVyd2VpZ2h0L2NvbXBsaWNhdGlvbnMvcHJldmVudGlv
biAmYW1wOyBjb250cm9sL3RoZXJhcHk8L2tleXdvcmQ+PGtleXdvcmQ+UHJlZ25hbmN5PC9rZXl3
b3JkPjxrZXl3b3JkPlByZWduYW5jeSBDb21wbGljYXRpb25zL3ByZXZlbnRpb24gJmFtcDsgY29u
dHJvbC8qdGhlcmFweTwva2V5d29yZD48a2V5d29yZD5UcmVhdG1lbnQgT3V0Y29tZTwva2V5d29y
ZD48a2V5d29yZD5XZWlnaHQgR2Fpbjwva2V5d29yZD48L2tleXdvcmRzPjxkYXRlcz48eWVhcj4y
MDE2PC95ZWFyPjxwdWItZGF0ZXM+PGRhdGU+SnVsPC9kYXRlPjwvcHViLWRhdGVzPjwvZGF0ZXM+
PGlzYm4+MTU0OS0xNjc2IChFbGVjdHJvbmljKSYjeEQ7MTU0OS0xMjc3IChMaW5raW5nKTwvaXNi
bj48YWNjZXNzaW9uLW51bT4yNzQ1OTM3NTwvYWNjZXNzaW9uLW51bT48dXJscz48cmVsYXRlZC11
cmxzPjx1cmw+aHR0cHM6Ly93d3cubmNiaS5ubG0ubmloLmdvdi9wdWJtZWQvMjc0NTkzNzU8L3Vy
bD48L3JlbGF0ZWQtdXJscz48L3VybHM+PGN1c3RvbTI+UE1DNDk2MTM5MjwvY3VzdG9tMj48ZWxl
Y3Ryb25pYy1yZXNvdXJjZS1udW0+MTAuMTM3MS9qb3VybmFsLnBtZWQuMTAwMjA3OTwvZWxlY3Ry
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PEVuZE5vdGU+PENpdGU+PEF1dGhvcj5HYXJuYWVzPC9BdXRob3I+PFllYXI+MjAxNjwvWWVhcj48
UmVjTnVtPjY4ODwvUmVjTnVtPjxEaXNwbGF5VGV4dD48c3R5bGUgZmFjZT0ic3VwZXJzY3JpcHQi
IGZvbnQ9IlRyZWJ1Y2hldCBNUyIgc2l6ZT0iOSI+MzA0PC9zdHlsZT48L0Rpc3BsYXlUZXh0Pjxy
ZWNvcmQ+PHJlYy1udW1iZXI+Njg4PC9yZWMtbnVtYmVyPjxmb3JlaWduLWtleXM+PGtleSBhcHA9
IkVOIiBkYi1pZD0iZXh2YXNyZngyZHRyYW9lc2FzeHAyc3pzeGEyZGY1MDI1OTJ4IiB0aW1lc3Rh
bXA9IjE1NDA1MjczOTMiPjY4ODwva2V5PjwvZm9yZWlnbi1rZXlzPjxyZWYtdHlwZSBuYW1lPSJK
b3VybmFsIEFydGljbGUiPjE3PC9yZWYtdHlwZT48Y29udHJpYnV0b3JzPjxhdXRob3JzPjxhdXRo
b3I+R2FybmFlcywgSy4gSy48L2F1dGhvcj48YXV0aG9yPk1vcmt2ZWQsIFMuPC9hdXRob3I+PGF1
dGhvcj5TYWx2ZXNlbiwgTy48L2F1dGhvcj48YXV0aG9yPk1vaG9sZHQsIFQuPC9hdXRob3I+PC9h
dXRob3JzPjwvY29udHJpYnV0b3JzPjxhdXRoLWFkZHJlc3M+RGVwYXJ0bWVudCBvZiBDaXJjdWxh
dGlvbiBhbmQgTWVkaWNhbCBJbWFnaW5nLCBNZWRpY2FsIEZhY3VsdHksIE5vcndlZ2lhbiBVbml2
ZXJzaXR5IG9mIFNjaWVuY2UgYW5kIFRlY2hub2xvZ3kgKE5UTlUpLCBUcm9uZGhlaW0sIE5vcndh
eS4mI3hEO0RlcGFydG1lbnQgb2YgUHVibGljIEhlYWx0aCBhbmQgR2VuZXJhbCBQcmFjdGljZSwg
TWVkaWNhbCBGYWN1bHR5LCBOb3J3ZWdpYW4gVW5pdmVyc2l0eSBvZiBTY2llbmNlIGFuZCBUZWNo
bm9sb2d5IChOVE5VKSwgVHJvbmRoZWltLCBOb3J3YXkuJiN4RDtDbGluaWNhbCBTZXJ2aWNlLCBT
dC4gT2xhdnMgSG9zcGl0YWwsIFRyb25kaGVpbSBVbml2ZXJzaXR5IEhvc3BpdGFsLCBUcm9uZGhl
aW0sIE5vcndheS4mI3hEO0RlcGFydG1lbnQgb2YgV29tZW4mYXBvcztzIEhlYWx0aCwgU3QuIE9s
YXZzIEhvc3BpdGFsLCBUcm9uZGhlaW0gVW5pdmVyc2l0eSBIb3NwaXRhbCwgVHJvbmRoZWltLCBO
b3J3YXkuPC9hdXRoLWFkZHJlc3M+PHRpdGxlcz48dGl0bGU+RXhlcmNpc2UgVHJhaW5pbmcgYW5k
IFdlaWdodCBHYWluIGluIE9iZXNlIFByZWduYW50IFdvbWVuOiBBIFJhbmRvbWl6ZWQgQ29udHJv
bGxlZCBUcmlhbCAoRVRJUCBUcmlhbCk8L3RpdGxlPjxzZWNvbmRhcnktdGl0bGU+UExvUyBNZWQ8
L3NlY29uZGFyeS10aXRsZT48L3RpdGxlcz48cGVyaW9kaWNhbD48ZnVsbC10aXRsZT5QTG9TIE1l
ZDwvZnVsbC10aXRsZT48L3BlcmlvZGljYWw+PHBhZ2VzPmUxMDAyMDc5PC9wYWdlcz48dm9sdW1l
PjEzPC92b2x1bWU+PG51bWJlcj43PC9udW1iZXI+PGVkaXRpb24+MjAxNi8wNy8yODwvZWRpdGlv
bj48a2V5d29yZHM+PGtleXdvcmQ+QWR1bHQ8L2tleXdvcmQ+PGtleXdvcmQ+Qmxvb2QgUHJlc3N1
cmU8L2tleXdvcmQ+PGtleXdvcmQ+RGlhYmV0ZXMsIEdlc3RhdGlvbmFsL3ByZXZlbnRpb24gJmFt
cDsgY29udHJvbDwva2V5d29yZD48a2V5d29yZD5FeGVyY2lzZS9waHlzaW9sb2d5PC9rZXl3b3Jk
PjxrZXl3b3JkPkV4ZXJjaXNlIFRoZXJhcHkvYWR2ZXJzZSBlZmZlY3RzLyptZXRob2RzPC9rZXl3
b3JkPjxrZXl3b3JkPkZlbWFsZTwva2V5d29yZD48a2V5d29yZD5IdW1hbnM8L2tleXdvcmQ+PGtl
eXdvcmQ+T2Jlc2l0eS8qY29tcGxpY2F0aW9ucy9wcmV2ZW50aW9uICZhbXA7IGNvbnRyb2wvdGhl
cmFweTwva2V5d29yZD48a2V5d29yZD5PdmVyd2VpZ2h0L2NvbXBsaWNhdGlvbnMvcHJldmVudGlv
biAmYW1wOyBjb250cm9sL3RoZXJhcHk8L2tleXdvcmQ+PGtleXdvcmQ+UHJlZ25hbmN5PC9rZXl3
b3JkPjxrZXl3b3JkPlByZWduYW5jeSBDb21wbGljYXRpb25zL3ByZXZlbnRpb24gJmFtcDsgY29u
dHJvbC8qdGhlcmFweTwva2V5d29yZD48a2V5d29yZD5UcmVhdG1lbnQgT3V0Y29tZTwva2V5d29y
ZD48a2V5d29yZD5XZWlnaHQgR2Fpbjwva2V5d29yZD48L2tleXdvcmRzPjxkYXRlcz48eWVhcj4y
MDE2PC95ZWFyPjxwdWItZGF0ZXM+PGRhdGU+SnVsPC9kYXRlPjwvcHViLWRhdGVzPjwvZGF0ZXM+
PGlzYm4+MTU0OS0xNjc2IChFbGVjdHJvbmljKSYjeEQ7MTU0OS0xMjc3IChMaW5raW5nKTwvaXNi
bj48YWNjZXNzaW9uLW51bT4yNzQ1OTM3NTwvYWNjZXNzaW9uLW51bT48dXJscz48cmVsYXRlZC11
cmxzPjx1cmw+aHR0cHM6Ly93d3cubmNiaS5ubG0ubmloLmdvdi9wdWJtZWQvMjc0NTkzNzU8L3Vy
bD48L3JlbGF0ZWQtdXJscz48L3VybHM+PGN1c3RvbTI+UE1DNDk2MTM5MjwvY3VzdG9tMj48ZWxl
Y3Ryb25pYy1yZXNvdXJjZS1udW0+MTAuMTM3MS9qb3VybmFsLnBtZWQuMTAwMjA3OTwvZWxlY3Ry
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vertAlign w:val="superscript"/>
              </w:rPr>
              <w:t>304</w:t>
            </w:r>
            <w:r>
              <w:rPr>
                <w:noProof/>
              </w:rPr>
              <w:fldChar w:fldCharType="end"/>
            </w:r>
            <w:r>
              <w:rPr>
                <w:noProof/>
              </w:rPr>
              <w:t xml:space="preserve"> Garnaes et al 2017;</w:t>
            </w:r>
            <w:r>
              <w:rPr>
                <w:noProof/>
              </w:rPr>
              <w:fldChar w:fldCharType="begin">
                <w:fldData xml:space="preserve">PEVuZE5vdGU+PENpdGU+PEF1dGhvcj5HYXJuYWVzPC9BdXRob3I+PFllYXI+MjAxNzwvWWVhcj48
UmVjTnVtPjYwNzwvUmVjTnVtPjxEaXNwbGF5VGV4dD48c3R5bGUgZmFjZT0ic3VwZXJzY3JpcHQi
IGZvbnQ9IlRyZWJ1Y2hldCBNUyIgc2l6ZT0iOSI+MzE0PC9zdHlsZT48L0Rpc3BsYXlUZXh0Pjxy
ZWNvcmQ+PHJlYy1udW1iZXI+NjA3PC9yZWMtbnVtYmVyPjxmb3JlaWduLWtleXM+PGtleSBhcHA9
IkVOIiBkYi1pZD0iZXh2YXNyZngyZHRyYW9lc2FzeHAyc3pzeGEyZGY1MDI1OTJ4IiB0aW1lc3Rh
bXA9IjE1MzkwNDgzMzAiPjYwNzwva2V5PjxrZXkgYXBwPSJFTldlYiIgZGItaWQ9IiI+MDwva2V5
PjwvZm9yZWlnbi1rZXlzPjxyZWYtdHlwZSBuYW1lPSJKb3VybmFsIEFydGljbGUiPjE3PC9yZWYt
dHlwZT48Y29udHJpYnV0b3JzPjxhdXRob3JzPjxhdXRob3I+R2FybmFlcywgSy4gSy48L2F1dGhv
cj48YXV0aG9yPk55cm5lcywgUy4gQS48L2F1dGhvcj48YXV0aG9yPlNhbHZlc2VuLCBLLiBBLjwv
YXV0aG9yPjxhdXRob3I+U2FsdmVzZW4sIE8uPC9hdXRob3I+PGF1dGhvcj5Nb3JrdmVkLCBTLjwv
YXV0aG9yPjxhdXRob3I+TW9ob2xkdCwgVC48L2F1dGhvcj48L2F1dGhvcnM+PC9jb250cmlidXRv
cnM+PGF1dGgtYWRkcmVzcz5EZXBhcnRtZW50IG9mIENpcmN1bGF0aW9uIGFuZCBNZWRpY2FsIElt
YWdpbmcsIE5UTlUsIE5vcndlZ2lhbiBVbml2ZXJzaXR5IG9mIFNjaWVuY2UgYW5kIFRlY2hub2xv
Z3ksIFRyb25kaGVpbSwgTm9yd2F5LiYjeEQ7RGVwYXJ0bWVudCBvZiBQYWVkaWF0cmljcywgU3Qu
IE9sYXZzIEhvc3BpdGFsLCBUcm9uZGhlaW0gVW5pdmVyc2l0eSBIb3NwaXRhbCwgVHJvbmRoZWlt
LCBOb3J3YXkuJiN4RDtEZXBhcnRtZW50IG9mIE9ic3RldHJpY3MgYW5kIEd5bmFlY29sb2d5LCBT
dC4gT2xhdnMgSG9zcGl0YWwsIFRyb25kaGVpbSBVbml2ZXJzaXR5IEhvc3BpdGFsLCBUcm9uZGhl
aW0sIE5vcndheS4mI3hEO0RlcGFydG1lbnQgb2YgTGFib3JhdG9yeSBNZWRpY2luZSwgQ2hpbGRy
ZW4mYXBvcztzIGFuZCBXb21lbiZhcG9zO3MgSGVhbHRoLCBOb3J3ZWdpYW4gVW5pdmVyc2l0eSBv
ZiBTY2llbmNlIGFuZCBUZWNobm9sb2d5LCBUcm9uZGhlaW0sIE5vcndheS4mI3hEO0RlcGFydG1l
bnQgb2YgUHVibGljIEhlYWx0aCBhbmQgR2VuZXJhbCBQcmFjdGljZSwgTlROVSwgTm9yd2VnaWFu
IFVuaXZlcnNpdHkgb2YgU2NpZW5jZSBhbmQgVGVjaG5vbG9neSwgVHJvbmRoZWltLCBOb3J3YXku
JiN4RDtDbGluaWNhbCBTZXJ2aWNlLCBTdC4gT2xhdnMgSG9zcGl0YWwsIFRyb25kaGVpbSBVbml2
ZXJzaXR5IEhvc3BpdGFsLCBUcm9uZGhlaW0sIE5vcndheS48L2F1dGgtYWRkcmVzcz48dGl0bGVz
Pjx0aXRsZT5FZmZlY3Qgb2Ygc3VwZXJ2aXNlZCBleGVyY2lzZSB0cmFpbmluZyBkdXJpbmcgcHJl
Z25hbmN5IG9uIG5lb25hdGFsIGFuZCBtYXRlcm5hbCBvdXRjb21lcyBhbW9uZyBvdmVyd2VpZ2h0
IGFuZCBvYmVzZSB3b21lbi4gU2Vjb25kYXJ5IGFuYWx5c2VzIG9mIHRoZSBFVElQIHRyaWFsOiBB
IHJhbmRvbWlzZWQgY29udHJvbGxlZCB0cmlhbDwvdGl0bGU+PHNlY29uZGFyeS10aXRsZT5QTG9T
IE9uZTwvc2Vjb25kYXJ5LXRpdGxlPjwvdGl0bGVzPjxwZXJpb2RpY2FsPjxmdWxsLXRpdGxlPlBM
b1MgT25lPC9mdWxsLXRpdGxlPjwvcGVyaW9kaWNhbD48cGFnZXM+ZTAxNzM5Mzc8L3BhZ2VzPjx2
b2x1bWU+MTI8L3ZvbHVtZT48bnVtYmVyPjM8L251bWJlcj48ZWRpdGlvbj4yMDE3LzAzLzIzPC9l
ZGl0aW9uPjxrZXl3b3Jkcz48a2V5d29yZD5BZHVsdDwva2V5d29yZD48a2V5d29yZD5CaXJ0aCBX
ZWlnaHQ8L2tleXdvcmQ+PGtleXdvcmQ+RXhlcmNpc2UgVGhlcmFweS8qbWV0aG9kczwva2V5d29y
ZD48a2V5d29yZD5GZW1hbGU8L2tleXdvcmQ+PGtleXdvcmQ+SHVtYW5zPC9rZXl3b3JkPjxrZXl3
b3JkPkluZmFudCwgTmV3Ym9ybjwva2V5d29yZD48a2V5d29yZD5PYmVzaXR5Lypjb21wbGljYXRp
b25zLyp0aGVyYXB5PC9rZXl3b3JkPjxrZXl3b3JkPk92ZXJ3ZWlnaHQvKmNvbXBsaWNhdGlvbnMv
KnRoZXJhcHk8L2tleXdvcmQ+PGtleXdvcmQ+UHJlZ25hbmN5PC9rZXl3b3JkPjxrZXl3b3JkPlBy
ZWduYW5jeSBDb21wbGljYXRpb25zLyp0aGVyYXB5PC9rZXl3b3JkPjxrZXl3b3JkPlByZWduYW5j
eSBPdXRjb21lPC9rZXl3b3JkPjwva2V5d29yZHM+PGRhdGVzPjx5ZWFyPjIwMTc8L3llYXI+PC9k
YXRlcz48aXNibj4xOTMyLTYyMDMgKEVsZWN0cm9uaWMpJiN4RDsxOTMyLTYyMDMgKExpbmtpbmcp
PC9pc2JuPjxhY2Nlc3Npb24tbnVtPjI4MzIzODkzPC9hY2Nlc3Npb24tbnVtPjx1cmxzPjxyZWxh
dGVkLXVybHM+PHVybD5odHRwczovL3d3dy5uY2JpLm5sbS5uaWguZ292L3B1Ym1lZC8yODMyMzg5
MzwvdXJsPjwvcmVsYXRlZC11cmxzPjwvdXJscz48Y3VzdG9tMj5QTUM1MzYwMjU0PC9jdXN0b20y
PjxlbGVjdHJvbmljLXJlc291cmNlLW51bT4xMC4xMzcxL2pvdXJuYWwucG9uZS4wMTczOTM3PC9l
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PEVuZE5vdGU+PENpdGU+PEF1dGhvcj5HYXJuYWVzPC9BdXRob3I+PFllYXI+MjAxNzwvWWVhcj48
UmVjTnVtPjYwNzwvUmVjTnVtPjxEaXNwbGF5VGV4dD48c3R5bGUgZmFjZT0ic3VwZXJzY3JpcHQi
IGZvbnQ9IlRyZWJ1Y2hldCBNUyIgc2l6ZT0iOSI+MzE0PC9zdHlsZT48L0Rpc3BsYXlUZXh0Pjxy
ZWNvcmQ+PHJlYy1udW1iZXI+NjA3PC9yZWMtbnVtYmVyPjxmb3JlaWduLWtleXM+PGtleSBhcHA9
IkVOIiBkYi1pZD0iZXh2YXNyZngyZHRyYW9lc2FzeHAyc3pzeGEyZGY1MDI1OTJ4IiB0aW1lc3Rh
bXA9IjE1MzkwNDgzMzAiPjYwNzwva2V5PjxrZXkgYXBwPSJFTldlYiIgZGItaWQ9IiI+MDwva2V5
PjwvZm9yZWlnbi1rZXlzPjxyZWYtdHlwZSBuYW1lPSJKb3VybmFsIEFydGljbGUiPjE3PC9yZWYt
dHlwZT48Y29udHJpYnV0b3JzPjxhdXRob3JzPjxhdXRob3I+R2FybmFlcywgSy4gSy48L2F1dGhv
cj48YXV0aG9yPk55cm5lcywgUy4gQS48L2F1dGhvcj48YXV0aG9yPlNhbHZlc2VuLCBLLiBBLjwv
YXV0aG9yPjxhdXRob3I+U2FsdmVzZW4sIE8uPC9hdXRob3I+PGF1dGhvcj5Nb3JrdmVkLCBTLjwv
YXV0aG9yPjxhdXRob3I+TW9ob2xkdCwgVC48L2F1dGhvcj48L2F1dGhvcnM+PC9jb250cmlidXRv
cnM+PGF1dGgtYWRkcmVzcz5EZXBhcnRtZW50IG9mIENpcmN1bGF0aW9uIGFuZCBNZWRpY2FsIElt
YWdpbmcsIE5UTlUsIE5vcndlZ2lhbiBVbml2ZXJzaXR5IG9mIFNjaWVuY2UgYW5kIFRlY2hub2xv
Z3ksIFRyb25kaGVpbSwgTm9yd2F5LiYjeEQ7RGVwYXJ0bWVudCBvZiBQYWVkaWF0cmljcywgU3Qu
IE9sYXZzIEhvc3BpdGFsLCBUcm9uZGhlaW0gVW5pdmVyc2l0eSBIb3NwaXRhbCwgVHJvbmRoZWlt
LCBOb3J3YXkuJiN4RDtEZXBhcnRtZW50IG9mIE9ic3RldHJpY3MgYW5kIEd5bmFlY29sb2d5LCBT
dC4gT2xhdnMgSG9zcGl0YWwsIFRyb25kaGVpbSBVbml2ZXJzaXR5IEhvc3BpdGFsLCBUcm9uZGhl
aW0sIE5vcndheS4mI3hEO0RlcGFydG1lbnQgb2YgTGFib3JhdG9yeSBNZWRpY2luZSwgQ2hpbGRy
ZW4mYXBvcztzIGFuZCBXb21lbiZhcG9zO3MgSGVhbHRoLCBOb3J3ZWdpYW4gVW5pdmVyc2l0eSBv
ZiBTY2llbmNlIGFuZCBUZWNobm9sb2d5LCBUcm9uZGhlaW0sIE5vcndheS4mI3hEO0RlcGFydG1l
bnQgb2YgUHVibGljIEhlYWx0aCBhbmQgR2VuZXJhbCBQcmFjdGljZSwgTlROVSwgTm9yd2VnaWFu
IFVuaXZlcnNpdHkgb2YgU2NpZW5jZSBhbmQgVGVjaG5vbG9neSwgVHJvbmRoZWltLCBOb3J3YXku
JiN4RDtDbGluaWNhbCBTZXJ2aWNlLCBTdC4gT2xhdnMgSG9zcGl0YWwsIFRyb25kaGVpbSBVbml2
ZXJzaXR5IEhvc3BpdGFsLCBUcm9uZGhlaW0sIE5vcndheS48L2F1dGgtYWRkcmVzcz48dGl0bGVz
Pjx0aXRsZT5FZmZlY3Qgb2Ygc3VwZXJ2aXNlZCBleGVyY2lzZSB0cmFpbmluZyBkdXJpbmcgcHJl
Z25hbmN5IG9uIG5lb25hdGFsIGFuZCBtYXRlcm5hbCBvdXRjb21lcyBhbW9uZyBvdmVyd2VpZ2h0
IGFuZCBvYmVzZSB3b21lbi4gU2Vjb25kYXJ5IGFuYWx5c2VzIG9mIHRoZSBFVElQIHRyaWFsOiBB
IHJhbmRvbWlzZWQgY29udHJvbGxlZCB0cmlhbDwvdGl0bGU+PHNlY29uZGFyeS10aXRsZT5QTG9T
IE9uZTwvc2Vjb25kYXJ5LXRpdGxlPjwvdGl0bGVzPjxwZXJpb2RpY2FsPjxmdWxsLXRpdGxlPlBM
b1MgT25lPC9mdWxsLXRpdGxlPjwvcGVyaW9kaWNhbD48cGFnZXM+ZTAxNzM5Mzc8L3BhZ2VzPjx2
b2x1bWU+MTI8L3ZvbHVtZT48bnVtYmVyPjM8L251bWJlcj48ZWRpdGlvbj4yMDE3LzAzLzIzPC9l
ZGl0aW9uPjxrZXl3b3Jkcz48a2V5d29yZD5BZHVsdDwva2V5d29yZD48a2V5d29yZD5CaXJ0aCBX
ZWlnaHQ8L2tleXdvcmQ+PGtleXdvcmQ+RXhlcmNpc2UgVGhlcmFweS8qbWV0aG9kczwva2V5d29y
ZD48a2V5d29yZD5GZW1hbGU8L2tleXdvcmQ+PGtleXdvcmQ+SHVtYW5zPC9rZXl3b3JkPjxrZXl3
b3JkPkluZmFudCwgTmV3Ym9ybjwva2V5d29yZD48a2V5d29yZD5PYmVzaXR5Lypjb21wbGljYXRp
b25zLyp0aGVyYXB5PC9rZXl3b3JkPjxrZXl3b3JkPk92ZXJ3ZWlnaHQvKmNvbXBsaWNhdGlvbnMv
KnRoZXJhcHk8L2tleXdvcmQ+PGtleXdvcmQ+UHJlZ25hbmN5PC9rZXl3b3JkPjxrZXl3b3JkPlBy
ZWduYW5jeSBDb21wbGljYXRpb25zLyp0aGVyYXB5PC9rZXl3b3JkPjxrZXl3b3JkPlByZWduYW5j
eSBPdXRjb21lPC9rZXl3b3JkPjwva2V5d29yZHM+PGRhdGVzPjx5ZWFyPjIwMTc8L3llYXI+PC9k
YXRlcz48aXNibj4xOTMyLTYyMDMgKEVsZWN0cm9uaWMpJiN4RDsxOTMyLTYyMDMgKExpbmtpbmcp
PC9pc2JuPjxhY2Nlc3Npb24tbnVtPjI4MzIzODkzPC9hY2Nlc3Npb24tbnVtPjx1cmxzPjxyZWxh
dGVkLXVybHM+PHVybD5odHRwczovL3d3dy5uY2JpLm5sbS5uaWguZ292L3B1Ym1lZC8yODMyMzg5
MzwvdXJsPjwvcmVsYXRlZC11cmxzPjwvdXJscz48Y3VzdG9tMj5QTUM1MzYwMjU0PC9jdXN0b20y
PjxlbGVjdHJvbmljLXJlc291cmNlLW51bT4xMC4xMzcxL2pvdXJuYWwucG9uZS4wMTczOTM3PC9l
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vertAlign w:val="superscript"/>
              </w:rPr>
              <w:t>314</w:t>
            </w:r>
            <w:r>
              <w:rPr>
                <w:noProof/>
              </w:rPr>
              <w:fldChar w:fldCharType="end"/>
            </w:r>
            <w:r>
              <w:rPr>
                <w:noProof/>
              </w:rPr>
              <w:t xml:space="preserve"> Garnæs et al 2018</w:t>
            </w:r>
            <w:r>
              <w:fldChar w:fldCharType="begin"/>
            </w:r>
            <w:r w:rsidR="002747EA">
              <w:instrText xml:space="preserve"> ADDIN EN.CITE &lt;EndNote&gt;&lt;Cite&gt;&lt;Author&gt;Garnæs&lt;/Author&gt;&lt;Year&gt;2018&lt;/Year&gt;&lt;RecNum&gt;1023&lt;/RecNum&gt;&lt;DisplayText&gt;&lt;style face="superscript" font="Trebuchet MS" size="9"&gt;315&lt;/style&gt;&lt;/DisplayText&gt;&lt;record&gt;&lt;rec-number&gt;1023&lt;/rec-number&gt;&lt;foreign-keys&gt;&lt;key app="EN" db-id="exvasrfx2dtraoesasxp2szsxa2df502592x" timestamp="1548983476"&gt;1023&lt;/key&gt;&lt;/foreign-keys&gt;&lt;ref-type name="Journal Article"&gt;17&lt;/ref-type&gt;&lt;contributors&gt;&lt;authors&gt;&lt;author&gt;Garnæs, Kirsti K.&lt;/author&gt;&lt;author&gt;Mørkved, Siv&lt;/author&gt;&lt;author&gt;Salvesen, Kjell Å&lt;/author&gt;&lt;author&gt;Salvesen, Øyvind&lt;/author&gt;&lt;author&gt;Moholdt, Trine&lt;/author&gt;&lt;/authors&gt;&lt;/contributors&gt;&lt;titles&gt;&lt;title&gt;Exercise training during pregnancy reduces circulating insulin levels in overweight/obese women postpartum: secondary analysis of a randomised controlled trial (the ETIP trial)&lt;/title&gt;&lt;secondary-title&gt;BMC Pregnancy and Childbirth&lt;/secondary-title&gt;&lt;/titles&gt;&lt;periodical&gt;&lt;full-title&gt;BMC Pregnancy and Childbirth&lt;/full-title&gt;&lt;/periodical&gt;&lt;volume&gt;18&lt;/volume&gt;&lt;number&gt;1&lt;/number&gt;&lt;dates&gt;&lt;year&gt;2018&lt;/year&gt;&lt;/dates&gt;&lt;isbn&gt;1471-2393&lt;/isbn&gt;&lt;urls&gt;&lt;/urls&gt;&lt;electronic-resource-num&gt;10.1186/s12884-017-1653-5&lt;/electronic-resource-num&gt;&lt;/record&gt;&lt;/Cite&gt;&lt;/EndNote&gt;</w:instrText>
            </w:r>
            <w:r>
              <w:fldChar w:fldCharType="separate"/>
            </w:r>
            <w:r w:rsidR="002747EA" w:rsidRPr="002747EA">
              <w:rPr>
                <w:noProof/>
                <w:vertAlign w:val="superscript"/>
              </w:rPr>
              <w:t>315</w:t>
            </w:r>
            <w:r>
              <w:fldChar w:fldCharType="end"/>
            </w:r>
          </w:p>
          <w:p w14:paraId="21C52323" w14:textId="77777777" w:rsidR="00921608" w:rsidRDefault="00921608" w:rsidP="0099206A">
            <w:pPr>
              <w:rPr>
                <w:noProof/>
              </w:rPr>
            </w:pPr>
            <w:r w:rsidRPr="00C12274">
              <w:t>Norway</w:t>
            </w:r>
          </w:p>
        </w:tc>
        <w:tc>
          <w:tcPr>
            <w:tcW w:w="1417" w:type="dxa"/>
          </w:tcPr>
          <w:p w14:paraId="22E1CBA9" w14:textId="77777777" w:rsidR="00921608" w:rsidRDefault="00921608" w:rsidP="00D86DBF">
            <w:r>
              <w:t>Intervention 38</w:t>
            </w:r>
          </w:p>
          <w:p w14:paraId="4B4ED2FB" w14:textId="77777777" w:rsidR="00921608" w:rsidRDefault="00921608" w:rsidP="00D86DBF">
            <w:r>
              <w:t>Control 36</w:t>
            </w:r>
          </w:p>
        </w:tc>
        <w:tc>
          <w:tcPr>
            <w:tcW w:w="4681" w:type="dxa"/>
          </w:tcPr>
          <w:p w14:paraId="2A00D70E" w14:textId="77777777" w:rsidR="00921608" w:rsidRDefault="00921608" w:rsidP="00D86DBF">
            <w:r w:rsidRPr="00DD2B2D">
              <w:rPr>
                <w:b/>
              </w:rPr>
              <w:t>Aim</w:t>
            </w:r>
            <w:r>
              <w:t xml:space="preserve">: </w:t>
            </w:r>
            <w:r w:rsidRPr="0068482E">
              <w:t xml:space="preserve">to assess whether regular supervised exercise training in pregnancy could reduce </w:t>
            </w:r>
            <w:r>
              <w:t>gestational weight gain</w:t>
            </w:r>
            <w:r w:rsidRPr="0068482E">
              <w:t xml:space="preserve"> in women with prepregnancy overweight/obesity. </w:t>
            </w:r>
          </w:p>
          <w:p w14:paraId="7D46EED4" w14:textId="77777777" w:rsidR="00921608" w:rsidRDefault="00921608" w:rsidP="00D86DBF">
            <w:r w:rsidRPr="00DD2B2D">
              <w:rPr>
                <w:b/>
              </w:rPr>
              <w:t>Population</w:t>
            </w:r>
            <w:r>
              <w:t>: P</w:t>
            </w:r>
            <w:r w:rsidRPr="0068482E">
              <w:t xml:space="preserve">regnant women with a prepregnancy body mass index (BMI) </w:t>
            </w:r>
            <w:r>
              <w:t>≥</w:t>
            </w:r>
            <w:r w:rsidRPr="0068482E">
              <w:t>28</w:t>
            </w:r>
            <w:r>
              <w:t> </w:t>
            </w:r>
            <w:r w:rsidRPr="0068482E">
              <w:t>kg/m</w:t>
            </w:r>
            <w:r w:rsidRPr="00DD2B2D">
              <w:rPr>
                <w:vertAlign w:val="superscript"/>
              </w:rPr>
              <w:t>2</w:t>
            </w:r>
            <w:r>
              <w:t>.</w:t>
            </w:r>
          </w:p>
          <w:p w14:paraId="25452471" w14:textId="77777777" w:rsidR="00921608" w:rsidRDefault="00921608" w:rsidP="00D86DBF">
            <w:r w:rsidRPr="005E4EF9">
              <w:rPr>
                <w:b/>
              </w:rPr>
              <w:t>Intervention</w:t>
            </w:r>
            <w:r>
              <w:rPr>
                <w:b/>
              </w:rPr>
              <w:t>:</w:t>
            </w:r>
          </w:p>
          <w:p w14:paraId="6893CC67" w14:textId="77777777" w:rsidR="00921608" w:rsidRPr="00C45716" w:rsidRDefault="00921608" w:rsidP="00D86DBF">
            <w:pPr>
              <w:pStyle w:val="bullet"/>
            </w:pPr>
            <w:r w:rsidRPr="00C45716">
              <w:rPr>
                <w:i/>
              </w:rPr>
              <w:t>Supervised</w:t>
            </w:r>
            <w:r w:rsidRPr="00C45716">
              <w:t>: Yes</w:t>
            </w:r>
          </w:p>
          <w:p w14:paraId="091584F5" w14:textId="77777777" w:rsidR="00921608" w:rsidRPr="00321BF0" w:rsidRDefault="00921608" w:rsidP="00D86DBF">
            <w:pPr>
              <w:pStyle w:val="bullet"/>
            </w:pPr>
            <w:r w:rsidRPr="00C45716">
              <w:rPr>
                <w:i/>
              </w:rPr>
              <w:t>Type and duration</w:t>
            </w:r>
            <w:r w:rsidRPr="00C45716">
              <w:t xml:space="preserve">: </w:t>
            </w:r>
            <w:r>
              <w:t xml:space="preserve">Aerobic and resistance; </w:t>
            </w:r>
            <w:r w:rsidRPr="00321BF0">
              <w:t>Treadmill walking/jogging and muscle strengthening; 60 min, 3 times weekly plus 50 min home exercise program 2 times a week.</w:t>
            </w:r>
          </w:p>
          <w:p w14:paraId="199A4FF2" w14:textId="77777777" w:rsidR="00921608" w:rsidRDefault="00921608" w:rsidP="00D86DBF">
            <w:pPr>
              <w:pStyle w:val="bullet"/>
              <w:rPr>
                <w:b/>
              </w:rPr>
            </w:pPr>
            <w:r w:rsidRPr="00C45716">
              <w:rPr>
                <w:i/>
              </w:rPr>
              <w:t>Intensity</w:t>
            </w:r>
            <w:r w:rsidRPr="00C45716">
              <w:t xml:space="preserve">: </w:t>
            </w:r>
            <w:r w:rsidRPr="00321BF0">
              <w:t>Moderate; 80% maximal capacity, Borg scale 12-15.</w:t>
            </w:r>
          </w:p>
        </w:tc>
        <w:tc>
          <w:tcPr>
            <w:tcW w:w="4536" w:type="dxa"/>
          </w:tcPr>
          <w:p w14:paraId="4FF9BF72" w14:textId="77777777" w:rsidR="00921608" w:rsidRDefault="00921608" w:rsidP="00D86DBF">
            <w:pPr>
              <w:keepNext/>
            </w:pPr>
            <w:r>
              <w:t>Grade 3 and 4 perineal tears intervention vs control:</w:t>
            </w:r>
          </w:p>
          <w:p w14:paraId="3B324BA9" w14:textId="77777777" w:rsidR="00921608" w:rsidRDefault="00921608" w:rsidP="00D86DBF">
            <w:pPr>
              <w:pStyle w:val="bullet"/>
            </w:pPr>
            <w:r>
              <w:t>4/38 (18%) vs 2/36 (10%); p=0.66</w:t>
            </w:r>
          </w:p>
        </w:tc>
        <w:tc>
          <w:tcPr>
            <w:tcW w:w="1843" w:type="dxa"/>
          </w:tcPr>
          <w:p w14:paraId="138D64AB" w14:textId="77777777" w:rsidR="00921608" w:rsidRPr="009C0C55" w:rsidRDefault="00921608" w:rsidP="00D86DBF">
            <w:pPr>
              <w:keepNext/>
            </w:pPr>
          </w:p>
        </w:tc>
      </w:tr>
    </w:tbl>
    <w:p w14:paraId="163522E2" w14:textId="71A9C313" w:rsidR="00921608" w:rsidRDefault="00921608" w:rsidP="00921608">
      <w:pPr>
        <w:pStyle w:val="Heading4"/>
        <w:pageBreakBefore/>
      </w:pPr>
      <w:r>
        <w:t>Effect on the infant and child</w:t>
      </w:r>
    </w:p>
    <w:p w14:paraId="048BE283" w14:textId="13A3CFE3" w:rsidR="00D86DBF" w:rsidRPr="00DC4A73" w:rsidRDefault="009C163D" w:rsidP="00BD61CC">
      <w:pPr>
        <w:pStyle w:val="TableName"/>
        <w:ind w:left="1134" w:hanging="1134"/>
      </w:pPr>
      <w:bookmarkStart w:id="139" w:name="_Toc40956657"/>
      <w:r>
        <w:t xml:space="preserve">Q5 </w:t>
      </w:r>
      <w:r w:rsidR="00D86DBF">
        <w:t>Physical activity in pregnancy and congenital anomaly — observational studies</w:t>
      </w:r>
      <w:bookmarkEnd w:id="13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79: Q5 Physical activity in pregnancy and congenital anomaly — observational studies"/>
      </w:tblPr>
      <w:tblGrid>
        <w:gridCol w:w="1305"/>
        <w:gridCol w:w="1388"/>
        <w:gridCol w:w="4820"/>
        <w:gridCol w:w="4536"/>
        <w:gridCol w:w="1843"/>
      </w:tblGrid>
      <w:tr w:rsidR="00D86DBF" w:rsidRPr="00F350A6" w14:paraId="30809D70" w14:textId="77777777" w:rsidTr="00D86DBF">
        <w:trPr>
          <w:cantSplit/>
          <w:tblHeader/>
        </w:trPr>
        <w:tc>
          <w:tcPr>
            <w:tcW w:w="1305" w:type="dxa"/>
          </w:tcPr>
          <w:p w14:paraId="057D7CEE" w14:textId="77777777" w:rsidR="00D86DBF" w:rsidRPr="00F350A6" w:rsidRDefault="00D86DBF" w:rsidP="00D86DBF">
            <w:pPr>
              <w:keepNext/>
              <w:rPr>
                <w:b/>
              </w:rPr>
            </w:pPr>
            <w:r>
              <w:rPr>
                <w:b/>
              </w:rPr>
              <w:t>Study ref</w:t>
            </w:r>
          </w:p>
        </w:tc>
        <w:tc>
          <w:tcPr>
            <w:tcW w:w="1388" w:type="dxa"/>
          </w:tcPr>
          <w:p w14:paraId="3A2E78EC" w14:textId="77777777" w:rsidR="00D86DBF" w:rsidRPr="00F350A6" w:rsidRDefault="00D86DBF" w:rsidP="00D86DBF">
            <w:pPr>
              <w:keepNext/>
              <w:rPr>
                <w:b/>
              </w:rPr>
            </w:pPr>
            <w:r>
              <w:rPr>
                <w:b/>
              </w:rPr>
              <w:t>N</w:t>
            </w:r>
          </w:p>
        </w:tc>
        <w:tc>
          <w:tcPr>
            <w:tcW w:w="4820" w:type="dxa"/>
          </w:tcPr>
          <w:p w14:paraId="23E1D3FF" w14:textId="77777777" w:rsidR="00D86DBF" w:rsidRPr="00F350A6" w:rsidRDefault="00D86DBF" w:rsidP="00D86DBF">
            <w:pPr>
              <w:keepNext/>
              <w:rPr>
                <w:b/>
              </w:rPr>
            </w:pPr>
            <w:r>
              <w:rPr>
                <w:b/>
              </w:rPr>
              <w:t>Aim/methods</w:t>
            </w:r>
          </w:p>
        </w:tc>
        <w:tc>
          <w:tcPr>
            <w:tcW w:w="4536" w:type="dxa"/>
          </w:tcPr>
          <w:p w14:paraId="298EA472" w14:textId="77777777" w:rsidR="00D86DBF" w:rsidRPr="00F350A6" w:rsidRDefault="00D86DBF" w:rsidP="00D86DBF">
            <w:pPr>
              <w:keepNext/>
              <w:rPr>
                <w:b/>
              </w:rPr>
            </w:pPr>
            <w:r>
              <w:rPr>
                <w:b/>
              </w:rPr>
              <w:t>Results</w:t>
            </w:r>
          </w:p>
        </w:tc>
        <w:tc>
          <w:tcPr>
            <w:tcW w:w="1843" w:type="dxa"/>
          </w:tcPr>
          <w:p w14:paraId="604775D7" w14:textId="77777777" w:rsidR="00D86DBF" w:rsidRPr="00F350A6" w:rsidRDefault="00D86DBF" w:rsidP="00D86DBF">
            <w:pPr>
              <w:keepNext/>
              <w:rPr>
                <w:b/>
              </w:rPr>
            </w:pPr>
            <w:r>
              <w:rPr>
                <w:b/>
              </w:rPr>
              <w:t>Comments</w:t>
            </w:r>
          </w:p>
        </w:tc>
      </w:tr>
      <w:tr w:rsidR="00D86DBF" w:rsidRPr="00D86DBF" w14:paraId="7F1ACE29" w14:textId="77777777" w:rsidTr="00D86DBF">
        <w:trPr>
          <w:cantSplit/>
          <w:tblHeader/>
        </w:trPr>
        <w:tc>
          <w:tcPr>
            <w:tcW w:w="1305" w:type="dxa"/>
          </w:tcPr>
          <w:p w14:paraId="624B8FCC" w14:textId="645CF5B8" w:rsidR="00D86DBF" w:rsidRPr="00D86DBF" w:rsidRDefault="00D86DBF" w:rsidP="002747EA">
            <w:r>
              <w:t>Davenport et al 2019</w:t>
            </w:r>
            <w:r w:rsidR="00F15900">
              <w:t>b</w:t>
            </w:r>
            <w:r w:rsidR="00E51743">
              <w:fldChar w:fldCharType="begin">
                <w:fldData xml:space="preserve">PEVuZE5vdGU+PENpdGU+PEF1dGhvcj5EYXZlbnBvcnQ8L0F1dGhvcj48WWVhcj4yMDE5PC9ZZWFy
PjxSZWNOdW0+MTI3MjwvUmVjTnVtPjxEaXNwbGF5VGV4dD48c3R5bGUgZmFjZT0ic3VwZXJzY3Jp
cHQiIGZvbnQ9IlRyZWJ1Y2hldCBNUyIgc2l6ZT0iOSI+MzA2PC9zdHlsZT48L0Rpc3BsYXlUZXh0
PjxyZWNvcmQ+PHJlYy1udW1iZXI+MTI3MjwvcmVjLW51bWJlcj48Zm9yZWlnbi1rZXlzPjxrZXkg
YXBwPSJFTiIgZGItaWQ9ImV4dmFzcmZ4MmR0cmFvZXNhc3hwMnN6c3hhMmRmNTAyNTkyeCIgdGlt
ZXN0YW1wPSIxNTYyOTg2MjkzIj4xMjcyPC9rZXk+PGtleSBhcHA9IkVOV2ViIiBkYi1pZD0iIj4w
PC9rZXk+PC9mb3JlaWduLWtleXM+PHJlZi10eXBlIG5hbWU9IkpvdXJuYWwgQXJ0aWNsZSI+MTc8
L3JlZi10eXBlPjxjb250cmlidXRvcnM+PGF1dGhvcnM+PGF1dGhvcj5EYXZlbnBvcnQsIE0uIEgu
PC9hdXRob3I+PGF1dGhvcj5Zb28sIEMuPC9hdXRob3I+PGF1dGhvcj5Nb3R0b2xhLCBNLiBGLjwv
YXV0aG9yPjxhdXRob3I+UG9pdHJhcywgVi4gSi48L2F1dGhvcj48YXV0aG9yPkphcmFtaWxsbyBH
YXJjaWEsIEEuPC9hdXRob3I+PGF1dGhvcj5HcmF5LCBDLiBFLjwvYXV0aG9yPjxhdXRob3I+QmFy
cm93bWFuLCBOLjwvYXV0aG9yPjxhdXRob3I+RGF2aWVzLCBHLiBBLjwvYXV0aG9yPjxhdXRob3I+
S2F0aG9sLCBBLjwvYXV0aG9yPjxhdXRob3I+U2tvdywgUi4gSi48L2F1dGhvcj48YXV0aG9yPk1l
YWgsIFYuIEwuPC9hdXRob3I+PGF1dGhvcj5SaXNrZSwgTC48L2F1dGhvcj48YXV0aG9yPlNvYmll
cmFqc2tpLCBGLjwvYXV0aG9yPjxhdXRob3I+SmFtZXMsIE0uPC9hdXRob3I+PGF1dGhvcj5OYWdw
YWwsIFQuIFMuPC9hdXRob3I+PGF1dGhvcj5NYXJjaGFuZCwgQS4gQS48L2F1dGhvcj48YXV0aG9y
PlNsYXRlciwgTC4gRy48L2F1dGhvcj48YXV0aG9yPkFkYW1vLCBLLiBCLjwvYXV0aG9yPjxhdXRo
b3I+QmFyYWthdCwgUi48L2F1dGhvcj48YXV0aG9yPlJ1Y2hhdCwgUy4gTS48L2F1dGhvcj48L2F1
dGhvcnM+PC9jb250cmlidXRvcnM+PGF1dGgtYWRkcmVzcz5Qcm9ncmFtIGZvciBQcmVnbmFuY3kg
YW5kIFBvc3RwYXJ0dW0gSGVhbHRoLCBQaHlzaWNhbCBBY3Rpdml0eSBhbmQgRGlhYmV0ZXMgTGFi
b3JhdG9yeSwgRmFjdWx0eSBvZiBLaW5lc2lvbG9neSwgU3BvcnQsIGFuZCBSZWNyZWF0aW9uLCBX
b21lbiBhbmQgQ2hpbGRyZW4mYXBvcztzIEhlYWx0aCBSZXNlYXJjaCBJbnN0aXR1dGUsIEFsYmVy
dGEgRGlhYmV0ZXMgSW5zdGl0dXRlLCBVbml2ZXJzaXR5IG9mIEFsYmVydGEsIEVkbW9udG9uLCBB
bGJlcnRhLCBDYW5hZGEuJiN4RDtSIFNhbXVlbCBNY0xhdWdobGluIEZvdW5kYXRpb24tRXhlcmNp
c2UgYW5kIFByZWduYW5jeSBMYWJvcmF0b3J5LCBTY2hvb2wgb2YgS2luZXNpb2xvZ3ksIEZhY3Vs
dHkgb2YgSGVhbHRoIFNjaWVuY2VzLCBEZXBhcnRtZW50IG9mIEFuYXRvbXkgYW5kIENlbGwgQmlv
bG9neSwgU2NodWxpY2ggU2Nob29sIG9mIE1lZGljaW5lICZhbXA7IERlbnRpc3RyeSwgQ2hpbGRy
ZW4mYXBvcztzIEhlYWx0aCBSZXNlYXJjaCBJbnN0aXR1dGUsIFRoZSBVbml2ZXJzaXR5IG9mIFdl
c3Rlcm4gT250YXJpbywgTG9uZG9uLCBPbnRhcmlvLCBDYW5hZGEuJiN4RDtJbmRlcGVuZGVudCBS
ZXNlYXJjaGVyLCBPdHRhd2EsIE9udGFyaW8sIENhbmFkYS4mI3hEO0hlYWx0aHkgQWN0aXZlIExp
dmluZyBhbmQgT2Jlc2l0eSBSZXNlYXJjaCBHcm91cCwgQ2hpbGRyZW4mYXBvcztzIEhvc3BpdGFs
IG9mIEVhc3Rlcm4gT250YXJpbyBSZXNlYXJjaCBJbnN0aXR1dGUsIE90dGF3YSwgT250YXJpbywg
Q2FuYWRhLiYjeEQ7Q2xpbmljYWwgUmVzZWFyY2ggVW5pdCwgQ2hpbGRyZW4mYXBvcztzIEhvc3Bp
dGFsIG9mIEVhc3Rlcm4gT250YXJpbyBSZXNlYXJjaCBJbnN0aXR1dGUsIE90dGF3YSwgT250YXJp
bywgQ2FuYWRhLiYjeEQ7RGVwYXJ0bWVudCBvZiBPYnN0ZXRyaWNzIGFuZCBHeW5lY29sb2d5LCBR
dWVlbiZhcG9zO3MgVW5pdmVyc2l0eSwgS2luZ3N0b24sIE9udGFyaW8sIENhbmFkYS4mI3hEO0Nh
cmRpZmYgU2Nob29sIG9mIFNwb3J0IGFuZCBIZWFsdGggU2NpZW5jZXMsIENhcmRpZmYgTWV0cm9w
b2xpdGFuIFVuaXZlcnNpdHksIENhcmRpZmYsIFVLLiYjeEQ7RGVwYXJ0bWVudCBvZiBBbmF0b215
LCBVbml2ZXJzaXRlIGR1IFF1ZWJlYyBhIFRyb2lzLVJpdmllcmVzLCBUcm9pcy1SaXZpZXJlcywg
UXVlYmVjLCBDYW5hZGEuJiN4RDtKb2huIFcgU2NvdHQgSGVhbHRoIFNjaWVuY2VzIExpYnJhcnks
IFVuaXZlcnNpdHkgb2YgQWxiZXJ0YSwgRWRtb250b24sIEFsYmVydGEsIENhbmFkYS4mI3hEO0Zh
Y3VsdHkgb2YgSGVhbHRoIFNjaWVuY2VzLCBVbml2ZXJzaXR5IG9mIE90dGF3YSwgT3R0YXdhLCBP
bnRhcmlvLCBDYW5hZGEuJiN4RDtGYWN1bHRhZCBkZSBDaWVuY2lhcyBkZSBsYSBBY3RpdmlkYWQg
RmlzaWNhIHkgZGVsIERlcG9ydGUtSU5FRiwgVW5pdmVyc2lkYWQgUG9saXRlY25pY2EgZGUgTWFk
cmlkLCBNYWRyaWQsIFNwYWluLiYjeEQ7RGVwYXJ0bWVudCBvZiBIdW1hbiBLaW5ldGljcywgVW5p
dmVyc2l0ZSBkdSBRdWViZWMgYSBUcm9pcy1SaXZpZXJlcywgVHJvaXMtUml2aWVyZXMsIFF1ZWJl
YywgQ2FuYWRhLjwvYXV0aC1hZGRyZXNzPjx0aXRsZXM+PHRpdGxlPkVmZmVjdHMgb2YgcHJlbmF0
YWwgZXhlcmNpc2Ugb24gaW5jaWRlbmNlIG9mIGNvbmdlbml0YWwgYW5vbWFsaWVzIGFuZCBoeXBl
cnRoZXJtaWE6IGEgc3lzdGVtYXRpYyByZXZpZXcgYW5kIG1ldGEtYW5hbHlzaXM8L3RpdGxlPjxz
ZWNvbmRhcnktdGl0bGU+QnIgSiBTcG9ydHMgTWVkPC9zZWNvbmRhcnktdGl0bGU+PC90aXRsZXM+
PHBlcmlvZGljYWw+PGZ1bGwtdGl0bGU+QnIgSiBTcG9ydHMgTWVkPC9mdWxsLXRpdGxlPjwvcGVy
aW9kaWNhbD48cGFnZXM+MTE2LTEyMzwvcGFnZXM+PHZvbHVtZT41Mzwvdm9sdW1lPjxudW1iZXI+
MjwvbnVtYmVyPjxlZGl0aW9uPjIwMTgvMTAvMjA8L2VkaXRpb24+PGtleXdvcmRzPjxrZXl3b3Jk
PkJvZHkgVGVtcGVyYXR1cmU8L2tleXdvcmQ+PGtleXdvcmQ+Q29uZ2VuaXRhbCBBYm5vcm1hbGl0
aWVzLypldGlvbG9neTwva2V5d29yZD48a2V5d29yZD4qRXhlcmNpc2U8L2tleXdvcmQ+PGtleXdv
cmQ+RmVtYWxlPC9rZXl3b3JkPjxrZXl3b3JkPkZldmVyLypjb21wbGljYXRpb25zPC9rZXl3b3Jk
PjxrZXl3b3JkPkh1bWFuczwva2V5d29yZD48a2V5d29yZD5QcmVnbmFuY3k8L2tleXdvcmQ+PGtl
eXdvcmQ+UmFuZG9taXplZCBDb250cm9sbGVkIFRyaWFscyBhcyBUb3BpYzwva2V5d29yZD48a2V5
d29yZD5leGVyY2lzZTwva2V5d29yZD48a2V5d29yZD53b21lbjwva2V5d29yZD48L2tleXdvcmRz
PjxkYXRlcz48eWVhcj4yMDE5PC95ZWFyPjxwdWItZGF0ZXM+PGRhdGU+SmFuPC9kYXRlPjwvcHVi
LWRhdGVzPjwvZGF0ZXM+PGlzYm4+MTQ3My0wNDgwIChFbGVjdHJvbmljKSYjeEQ7MDMwNi0zNjc0
IChMaW5raW5nKTwvaXNibj48YWNjZXNzaW9uLW51bT4zMDMzNzM0NzwvYWNjZXNzaW9uLW51bT48
dXJscz48cmVsYXRlZC11cmxzPjx1cmw+aHR0cHM6Ly93d3cubmNiaS5ubG0ubmloLmdvdi9wdWJt
ZWQvMzAzMzczNDc8L3VybD48L3JlbGF0ZWQtdXJscz48L3VybHM+PGVsZWN0cm9uaWMtcmVzb3Vy
Y2UtbnVtPjEwLjExMzYvYmpzcG9ydHMtMjAxOC0wOTk2NTM8L2VsZWN0cm9uaWMtcmVzb3VyY2Ut
bnVtPjwvcmVjb3JkPjwvQ2l0ZT48L0VuZE5vdGU+AG==
</w:fldData>
              </w:fldChar>
            </w:r>
            <w:r w:rsidR="002747EA">
              <w:instrText xml:space="preserve"> ADDIN EN.CITE </w:instrText>
            </w:r>
            <w:r w:rsidR="002747EA">
              <w:fldChar w:fldCharType="begin">
                <w:fldData xml:space="preserve">PEVuZE5vdGU+PENpdGU+PEF1dGhvcj5EYXZlbnBvcnQ8L0F1dGhvcj48WWVhcj4yMDE5PC9ZZWFy
PjxSZWNOdW0+MTI3MjwvUmVjTnVtPjxEaXNwbGF5VGV4dD48c3R5bGUgZmFjZT0ic3VwZXJzY3Jp
cHQiIGZvbnQ9IlRyZWJ1Y2hldCBNUyIgc2l6ZT0iOSI+MzA2PC9zdHlsZT48L0Rpc3BsYXlUZXh0
PjxyZWNvcmQ+PHJlYy1udW1iZXI+MTI3MjwvcmVjLW51bWJlcj48Zm9yZWlnbi1rZXlzPjxrZXkg
YXBwPSJFTiIgZGItaWQ9ImV4dmFzcmZ4MmR0cmFvZXNhc3hwMnN6c3hhMmRmNTAyNTkyeCIgdGlt
ZXN0YW1wPSIxNTYyOTg2MjkzIj4xMjcyPC9rZXk+PGtleSBhcHA9IkVOV2ViIiBkYi1pZD0iIj4w
PC9rZXk+PC9mb3JlaWduLWtleXM+PHJlZi10eXBlIG5hbWU9IkpvdXJuYWwgQXJ0aWNsZSI+MTc8
L3JlZi10eXBlPjxjb250cmlidXRvcnM+PGF1dGhvcnM+PGF1dGhvcj5EYXZlbnBvcnQsIE0uIEgu
PC9hdXRob3I+PGF1dGhvcj5Zb28sIEMuPC9hdXRob3I+PGF1dGhvcj5Nb3R0b2xhLCBNLiBGLjwv
YXV0aG9yPjxhdXRob3I+UG9pdHJhcywgVi4gSi48L2F1dGhvcj48YXV0aG9yPkphcmFtaWxsbyBH
YXJjaWEsIEEuPC9hdXRob3I+PGF1dGhvcj5HcmF5LCBDLiBFLjwvYXV0aG9yPjxhdXRob3I+QmFy
cm93bWFuLCBOLjwvYXV0aG9yPjxhdXRob3I+RGF2aWVzLCBHLiBBLjwvYXV0aG9yPjxhdXRob3I+
S2F0aG9sLCBBLjwvYXV0aG9yPjxhdXRob3I+U2tvdywgUi4gSi48L2F1dGhvcj48YXV0aG9yPk1l
YWgsIFYuIEwuPC9hdXRob3I+PGF1dGhvcj5SaXNrZSwgTC48L2F1dGhvcj48YXV0aG9yPlNvYmll
cmFqc2tpLCBGLjwvYXV0aG9yPjxhdXRob3I+SmFtZXMsIE0uPC9hdXRob3I+PGF1dGhvcj5OYWdw
YWwsIFQuIFMuPC9hdXRob3I+PGF1dGhvcj5NYXJjaGFuZCwgQS4gQS48L2F1dGhvcj48YXV0aG9y
PlNsYXRlciwgTC4gRy48L2F1dGhvcj48YXV0aG9yPkFkYW1vLCBLLiBCLjwvYXV0aG9yPjxhdXRo
b3I+QmFyYWthdCwgUi48L2F1dGhvcj48YXV0aG9yPlJ1Y2hhdCwgUy4gTS48L2F1dGhvcj48L2F1
dGhvcnM+PC9jb250cmlidXRvcnM+PGF1dGgtYWRkcmVzcz5Qcm9ncmFtIGZvciBQcmVnbmFuY3kg
YW5kIFBvc3RwYXJ0dW0gSGVhbHRoLCBQaHlzaWNhbCBBY3Rpdml0eSBhbmQgRGlhYmV0ZXMgTGFi
b3JhdG9yeSwgRmFjdWx0eSBvZiBLaW5lc2lvbG9neSwgU3BvcnQsIGFuZCBSZWNyZWF0aW9uLCBX
b21lbiBhbmQgQ2hpbGRyZW4mYXBvcztzIEhlYWx0aCBSZXNlYXJjaCBJbnN0aXR1dGUsIEFsYmVy
dGEgRGlhYmV0ZXMgSW5zdGl0dXRlLCBVbml2ZXJzaXR5IG9mIEFsYmVydGEsIEVkbW9udG9uLCBB
bGJlcnRhLCBDYW5hZGEuJiN4RDtSIFNhbXVlbCBNY0xhdWdobGluIEZvdW5kYXRpb24tRXhlcmNp
c2UgYW5kIFByZWduYW5jeSBMYWJvcmF0b3J5LCBTY2hvb2wgb2YgS2luZXNpb2xvZ3ksIEZhY3Vs
dHkgb2YgSGVhbHRoIFNjaWVuY2VzLCBEZXBhcnRtZW50IG9mIEFuYXRvbXkgYW5kIENlbGwgQmlv
bG9neSwgU2NodWxpY2ggU2Nob29sIG9mIE1lZGljaW5lICZhbXA7IERlbnRpc3RyeSwgQ2hpbGRy
ZW4mYXBvcztzIEhlYWx0aCBSZXNlYXJjaCBJbnN0aXR1dGUsIFRoZSBVbml2ZXJzaXR5IG9mIFdl
c3Rlcm4gT250YXJpbywgTG9uZG9uLCBPbnRhcmlvLCBDYW5hZGEuJiN4RDtJbmRlcGVuZGVudCBS
ZXNlYXJjaGVyLCBPdHRhd2EsIE9udGFyaW8sIENhbmFkYS4mI3hEO0hlYWx0aHkgQWN0aXZlIExp
dmluZyBhbmQgT2Jlc2l0eSBSZXNlYXJjaCBHcm91cCwgQ2hpbGRyZW4mYXBvcztzIEhvc3BpdGFs
IG9mIEVhc3Rlcm4gT250YXJpbyBSZXNlYXJjaCBJbnN0aXR1dGUsIE90dGF3YSwgT250YXJpbywg
Q2FuYWRhLiYjeEQ7Q2xpbmljYWwgUmVzZWFyY2ggVW5pdCwgQ2hpbGRyZW4mYXBvcztzIEhvc3Bp
dGFsIG9mIEVhc3Rlcm4gT250YXJpbyBSZXNlYXJjaCBJbnN0aXR1dGUsIE90dGF3YSwgT250YXJp
bywgQ2FuYWRhLiYjeEQ7RGVwYXJ0bWVudCBvZiBPYnN0ZXRyaWNzIGFuZCBHeW5lY29sb2d5LCBR
dWVlbiZhcG9zO3MgVW5pdmVyc2l0eSwgS2luZ3N0b24sIE9udGFyaW8sIENhbmFkYS4mI3hEO0Nh
cmRpZmYgU2Nob29sIG9mIFNwb3J0IGFuZCBIZWFsdGggU2NpZW5jZXMsIENhcmRpZmYgTWV0cm9w
b2xpdGFuIFVuaXZlcnNpdHksIENhcmRpZmYsIFVLLiYjeEQ7RGVwYXJ0bWVudCBvZiBBbmF0b215
LCBVbml2ZXJzaXRlIGR1IFF1ZWJlYyBhIFRyb2lzLVJpdmllcmVzLCBUcm9pcy1SaXZpZXJlcywg
UXVlYmVjLCBDYW5hZGEuJiN4RDtKb2huIFcgU2NvdHQgSGVhbHRoIFNjaWVuY2VzIExpYnJhcnks
IFVuaXZlcnNpdHkgb2YgQWxiZXJ0YSwgRWRtb250b24sIEFsYmVydGEsIENhbmFkYS4mI3hEO0Zh
Y3VsdHkgb2YgSGVhbHRoIFNjaWVuY2VzLCBVbml2ZXJzaXR5IG9mIE90dGF3YSwgT3R0YXdhLCBP
bnRhcmlvLCBDYW5hZGEuJiN4RDtGYWN1bHRhZCBkZSBDaWVuY2lhcyBkZSBsYSBBY3RpdmlkYWQg
RmlzaWNhIHkgZGVsIERlcG9ydGUtSU5FRiwgVW5pdmVyc2lkYWQgUG9saXRlY25pY2EgZGUgTWFk
cmlkLCBNYWRyaWQsIFNwYWluLiYjeEQ7RGVwYXJ0bWVudCBvZiBIdW1hbiBLaW5ldGljcywgVW5p
dmVyc2l0ZSBkdSBRdWViZWMgYSBUcm9pcy1SaXZpZXJlcywgVHJvaXMtUml2aWVyZXMsIFF1ZWJl
YywgQ2FuYWRhLjwvYXV0aC1hZGRyZXNzPjx0aXRsZXM+PHRpdGxlPkVmZmVjdHMgb2YgcHJlbmF0
YWwgZXhlcmNpc2Ugb24gaW5jaWRlbmNlIG9mIGNvbmdlbml0YWwgYW5vbWFsaWVzIGFuZCBoeXBl
cnRoZXJtaWE6IGEgc3lzdGVtYXRpYyByZXZpZXcgYW5kIG1ldGEtYW5hbHlzaXM8L3RpdGxlPjxz
ZWNvbmRhcnktdGl0bGU+QnIgSiBTcG9ydHMgTWVkPC9zZWNvbmRhcnktdGl0bGU+PC90aXRsZXM+
PHBlcmlvZGljYWw+PGZ1bGwtdGl0bGU+QnIgSiBTcG9ydHMgTWVkPC9mdWxsLXRpdGxlPjwvcGVy
aW9kaWNhbD48cGFnZXM+MTE2LTEyMzwvcGFnZXM+PHZvbHVtZT41Mzwvdm9sdW1lPjxudW1iZXI+
MjwvbnVtYmVyPjxlZGl0aW9uPjIwMTgvMTAvMjA8L2VkaXRpb24+PGtleXdvcmRzPjxrZXl3b3Jk
PkJvZHkgVGVtcGVyYXR1cmU8L2tleXdvcmQ+PGtleXdvcmQ+Q29uZ2VuaXRhbCBBYm5vcm1hbGl0
aWVzLypldGlvbG9neTwva2V5d29yZD48a2V5d29yZD4qRXhlcmNpc2U8L2tleXdvcmQ+PGtleXdv
cmQ+RmVtYWxlPC9rZXl3b3JkPjxrZXl3b3JkPkZldmVyLypjb21wbGljYXRpb25zPC9rZXl3b3Jk
PjxrZXl3b3JkPkh1bWFuczwva2V5d29yZD48a2V5d29yZD5QcmVnbmFuY3k8L2tleXdvcmQ+PGtl
eXdvcmQ+UmFuZG9taXplZCBDb250cm9sbGVkIFRyaWFscyBhcyBUb3BpYzwva2V5d29yZD48a2V5
d29yZD5leGVyY2lzZTwva2V5d29yZD48a2V5d29yZD53b21lbjwva2V5d29yZD48L2tleXdvcmRz
PjxkYXRlcz48eWVhcj4yMDE5PC95ZWFyPjxwdWItZGF0ZXM+PGRhdGU+SmFuPC9kYXRlPjwvcHVi
LWRhdGVzPjwvZGF0ZXM+PGlzYm4+MTQ3My0wNDgwIChFbGVjdHJvbmljKSYjeEQ7MDMwNi0zNjc0
IChMaW5raW5nKTwvaXNibj48YWNjZXNzaW9uLW51bT4zMDMzNzM0NzwvYWNjZXNzaW9uLW51bT48
dXJscz48cmVsYXRlZC11cmxzPjx1cmw+aHR0cHM6Ly93d3cubmNiaS5ubG0ubmloLmdvdi9wdWJt
ZWQvMzAzMzczNDc8L3VybD48L3JlbGF0ZWQtdXJscz48L3VybHM+PGVsZWN0cm9uaWMtcmVzb3Vy
Y2UtbnVtPjEwLjExMzYvYmpzcG9ydHMtMjAxOC0wOTk2NTM8L2VsZWN0cm9uaWMtcmVzb3VyY2Ut
bnVtPjwvcmVjb3JkPjwvQ2l0ZT48L0VuZE5vdGU+AG==
</w:fldData>
              </w:fldChar>
            </w:r>
            <w:r w:rsidR="002747EA">
              <w:instrText xml:space="preserve"> ADDIN EN.CITE.DATA </w:instrText>
            </w:r>
            <w:r w:rsidR="002747EA">
              <w:fldChar w:fldCharType="end"/>
            </w:r>
            <w:r w:rsidR="00E51743">
              <w:fldChar w:fldCharType="separate"/>
            </w:r>
            <w:r w:rsidR="002747EA" w:rsidRPr="002747EA">
              <w:rPr>
                <w:noProof/>
                <w:vertAlign w:val="superscript"/>
              </w:rPr>
              <w:t>306</w:t>
            </w:r>
            <w:r w:rsidR="00E51743">
              <w:fldChar w:fldCharType="end"/>
            </w:r>
          </w:p>
        </w:tc>
        <w:tc>
          <w:tcPr>
            <w:tcW w:w="1388" w:type="dxa"/>
          </w:tcPr>
          <w:p w14:paraId="113C0C2C" w14:textId="77777777" w:rsidR="00D86DBF" w:rsidRDefault="00D86DBF" w:rsidP="00D86DBF">
            <w:r>
              <w:t>14 studies</w:t>
            </w:r>
          </w:p>
          <w:p w14:paraId="07D876EE" w14:textId="1FC2A5DA" w:rsidR="00D86DBF" w:rsidRPr="00D86DBF" w:rsidRDefault="00D86DBF" w:rsidP="00D86DBF">
            <w:r>
              <w:t>78,735</w:t>
            </w:r>
          </w:p>
        </w:tc>
        <w:tc>
          <w:tcPr>
            <w:tcW w:w="4820" w:type="dxa"/>
          </w:tcPr>
          <w:p w14:paraId="0AA3CAFB" w14:textId="466D10FA" w:rsidR="00D374A5" w:rsidRDefault="00D374A5" w:rsidP="00D374A5">
            <w:r w:rsidRPr="00D374A5">
              <w:rPr>
                <w:b/>
              </w:rPr>
              <w:t>Aim</w:t>
            </w:r>
            <w:r>
              <w:t xml:space="preserve">: </w:t>
            </w:r>
            <w:r w:rsidR="00D86DBF" w:rsidRPr="00D86DBF">
              <w:t>To investigate the relationships between</w:t>
            </w:r>
            <w:r w:rsidR="00D86DBF">
              <w:t xml:space="preserve"> </w:t>
            </w:r>
            <w:r w:rsidR="00D86DBF" w:rsidRPr="00D86DBF">
              <w:t>exercise and incidence of congenital anomalies.</w:t>
            </w:r>
            <w:r w:rsidR="00D86DBF">
              <w:t xml:space="preserve"> </w:t>
            </w:r>
          </w:p>
          <w:p w14:paraId="16573891" w14:textId="264863CC" w:rsidR="00D86DBF" w:rsidRPr="00D86DBF" w:rsidRDefault="00D374A5" w:rsidP="00D374A5">
            <w:r w:rsidRPr="00D374A5">
              <w:rPr>
                <w:b/>
              </w:rPr>
              <w:t>Methods</w:t>
            </w:r>
            <w:r>
              <w:t>:</w:t>
            </w:r>
            <w:r w:rsidR="00D86DBF" w:rsidRPr="00D86DBF">
              <w:t xml:space="preserve"> Online databases were searched from</w:t>
            </w:r>
            <w:r w:rsidR="00D86DBF">
              <w:t xml:space="preserve"> </w:t>
            </w:r>
            <w:r w:rsidR="00D86DBF" w:rsidRPr="00D86DBF">
              <w:t>inception up to 6 January 2017.</w:t>
            </w:r>
            <w:r w:rsidR="00D86DBF">
              <w:t xml:space="preserve"> </w:t>
            </w:r>
            <w:r w:rsidR="00D86DBF" w:rsidRPr="00D86DBF">
              <w:t>Studies of all designs were</w:t>
            </w:r>
            <w:r w:rsidR="00D86DBF">
              <w:t xml:space="preserve"> </w:t>
            </w:r>
            <w:r w:rsidR="00D86DBF" w:rsidRPr="00D86DBF">
              <w:t>eligible (except case studies and reviews) if they were</w:t>
            </w:r>
            <w:r w:rsidR="00D86DBF">
              <w:t xml:space="preserve"> </w:t>
            </w:r>
            <w:r w:rsidR="00D86DBF" w:rsidRPr="00D86DBF">
              <w:t>published in English, Spanish or French, and contained</w:t>
            </w:r>
            <w:r w:rsidR="00D86DBF">
              <w:t xml:space="preserve"> </w:t>
            </w:r>
            <w:r w:rsidR="00D86DBF" w:rsidRPr="00D86DBF">
              <w:t>information on population (pregnant women without</w:t>
            </w:r>
            <w:r w:rsidR="00D86DBF">
              <w:t xml:space="preserve"> </w:t>
            </w:r>
            <w:r w:rsidR="00D86DBF" w:rsidRPr="00D86DBF">
              <w:t>contraindication to exercise), intervention (subjective</w:t>
            </w:r>
            <w:r w:rsidR="00D86DBF">
              <w:t xml:space="preserve"> </w:t>
            </w:r>
            <w:r w:rsidR="00D86DBF" w:rsidRPr="00D86DBF">
              <w:t>or objective measures of frequency, intensity, duration,</w:t>
            </w:r>
            <w:r w:rsidR="00D86DBF">
              <w:t xml:space="preserve"> </w:t>
            </w:r>
            <w:r w:rsidR="00D86DBF" w:rsidRPr="00D86DBF">
              <w:t>volume or type of exercise, alone [“exercise-only”] or</w:t>
            </w:r>
            <w:r w:rsidR="00D86DBF">
              <w:t xml:space="preserve"> </w:t>
            </w:r>
            <w:r w:rsidR="00D86DBF" w:rsidRPr="00D86DBF">
              <w:t>in combination with other intervention components</w:t>
            </w:r>
            <w:r w:rsidR="00D86DBF">
              <w:t xml:space="preserve"> </w:t>
            </w:r>
            <w:r w:rsidR="00D86DBF" w:rsidRPr="00D86DBF">
              <w:t>[e.g., dietary; “exercise + co-intervention”]), comparator</w:t>
            </w:r>
            <w:r w:rsidR="00D86DBF">
              <w:t xml:space="preserve"> </w:t>
            </w:r>
            <w:r w:rsidR="00D86DBF" w:rsidRPr="00D86DBF">
              <w:t>(no exercise or different frequency, intensity, duration,</w:t>
            </w:r>
            <w:r w:rsidR="00D86DBF">
              <w:t xml:space="preserve"> </w:t>
            </w:r>
            <w:r w:rsidR="00D86DBF" w:rsidRPr="00D86DBF">
              <w:t>volume or type of exercise) and outcome (maternal</w:t>
            </w:r>
            <w:r w:rsidR="00D86DBF">
              <w:t xml:space="preserve"> </w:t>
            </w:r>
            <w:r w:rsidR="00D86DBF" w:rsidRPr="00D86DBF">
              <w:t>temperature and fetal anomalies).</w:t>
            </w:r>
            <w:r w:rsidR="00D86DBF">
              <w:t xml:space="preserve"> </w:t>
            </w:r>
          </w:p>
        </w:tc>
        <w:tc>
          <w:tcPr>
            <w:tcW w:w="4536" w:type="dxa"/>
          </w:tcPr>
          <w:p w14:paraId="2B21DDAE" w14:textId="3DBAC46D" w:rsidR="00D86DBF" w:rsidRPr="00D86DBF" w:rsidRDefault="00D86DBF" w:rsidP="00D374A5">
            <w:r w:rsidRPr="00D86DBF">
              <w:t>Prenatal exercise did not increase the odds of congenital</w:t>
            </w:r>
            <w:r>
              <w:t xml:space="preserve"> </w:t>
            </w:r>
            <w:r w:rsidRPr="00D86DBF">
              <w:t>anomalies (OR 1.23, 95% CI 0.77 to 1.95, I</w:t>
            </w:r>
            <w:r w:rsidRPr="00D86DBF">
              <w:rPr>
                <w:sz w:val="10"/>
                <w:szCs w:val="10"/>
              </w:rPr>
              <w:t>2</w:t>
            </w:r>
            <w:r w:rsidRPr="00D86DBF">
              <w:t>=0%</w:t>
            </w:r>
            <w:r w:rsidR="00D374A5">
              <w:t xml:space="preserve">; very low </w:t>
            </w:r>
            <w:r w:rsidR="00343BBE">
              <w:t>certainty</w:t>
            </w:r>
            <w:r w:rsidRPr="00D86DBF">
              <w:t xml:space="preserve">). </w:t>
            </w:r>
          </w:p>
        </w:tc>
        <w:tc>
          <w:tcPr>
            <w:tcW w:w="1843" w:type="dxa"/>
          </w:tcPr>
          <w:p w14:paraId="4D422F3B" w14:textId="77777777" w:rsidR="00D86DBF" w:rsidRPr="00D86DBF" w:rsidRDefault="00D86DBF" w:rsidP="00D86DBF"/>
        </w:tc>
      </w:tr>
    </w:tbl>
    <w:p w14:paraId="63130296" w14:textId="0E6AFA87" w:rsidR="00964CB7" w:rsidRPr="00DC4A73" w:rsidRDefault="009C163D" w:rsidP="00BD61CC">
      <w:pPr>
        <w:pStyle w:val="TableName"/>
        <w:ind w:left="1134" w:hanging="1134"/>
      </w:pPr>
      <w:bookmarkStart w:id="140" w:name="_Toc40956658"/>
      <w:r>
        <w:t xml:space="preserve">Q5 </w:t>
      </w:r>
      <w:r w:rsidR="00964CB7">
        <w:t>Physical activity in pregnancy and macrosomia — observational studies</w:t>
      </w:r>
      <w:bookmarkEnd w:id="14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0: Q5 Physical activity in pregnancy and macrosomia — observational studies"/>
      </w:tblPr>
      <w:tblGrid>
        <w:gridCol w:w="1305"/>
        <w:gridCol w:w="1388"/>
        <w:gridCol w:w="4820"/>
        <w:gridCol w:w="4536"/>
        <w:gridCol w:w="1843"/>
      </w:tblGrid>
      <w:tr w:rsidR="00964CB7" w:rsidRPr="00F350A6" w14:paraId="09995193" w14:textId="77777777" w:rsidTr="00A2497E">
        <w:trPr>
          <w:cantSplit/>
          <w:tblHeader/>
        </w:trPr>
        <w:tc>
          <w:tcPr>
            <w:tcW w:w="1305" w:type="dxa"/>
          </w:tcPr>
          <w:p w14:paraId="6B571539" w14:textId="77777777" w:rsidR="00964CB7" w:rsidRPr="00F350A6" w:rsidRDefault="00964CB7" w:rsidP="00A2497E">
            <w:pPr>
              <w:keepNext/>
              <w:rPr>
                <w:b/>
              </w:rPr>
            </w:pPr>
            <w:r>
              <w:rPr>
                <w:b/>
              </w:rPr>
              <w:t>Study ref</w:t>
            </w:r>
          </w:p>
        </w:tc>
        <w:tc>
          <w:tcPr>
            <w:tcW w:w="1388" w:type="dxa"/>
          </w:tcPr>
          <w:p w14:paraId="06D618A8" w14:textId="77777777" w:rsidR="00964CB7" w:rsidRPr="00F350A6" w:rsidRDefault="00964CB7" w:rsidP="00A2497E">
            <w:pPr>
              <w:keepNext/>
              <w:rPr>
                <w:b/>
              </w:rPr>
            </w:pPr>
            <w:r>
              <w:rPr>
                <w:b/>
              </w:rPr>
              <w:t>N</w:t>
            </w:r>
          </w:p>
        </w:tc>
        <w:tc>
          <w:tcPr>
            <w:tcW w:w="4820" w:type="dxa"/>
          </w:tcPr>
          <w:p w14:paraId="5E7C9CB4" w14:textId="78B8C716" w:rsidR="00964CB7" w:rsidRPr="00F350A6" w:rsidRDefault="00964CB7" w:rsidP="00964CB7">
            <w:pPr>
              <w:keepNext/>
              <w:rPr>
                <w:b/>
              </w:rPr>
            </w:pPr>
            <w:r>
              <w:rPr>
                <w:b/>
              </w:rPr>
              <w:t>Aim/methods</w:t>
            </w:r>
          </w:p>
        </w:tc>
        <w:tc>
          <w:tcPr>
            <w:tcW w:w="4536" w:type="dxa"/>
          </w:tcPr>
          <w:p w14:paraId="6D947DA7" w14:textId="77777777" w:rsidR="00964CB7" w:rsidRPr="00F350A6" w:rsidRDefault="00964CB7" w:rsidP="00A2497E">
            <w:pPr>
              <w:keepNext/>
              <w:rPr>
                <w:b/>
              </w:rPr>
            </w:pPr>
            <w:r>
              <w:rPr>
                <w:b/>
              </w:rPr>
              <w:t>Results</w:t>
            </w:r>
          </w:p>
        </w:tc>
        <w:tc>
          <w:tcPr>
            <w:tcW w:w="1843" w:type="dxa"/>
          </w:tcPr>
          <w:p w14:paraId="74A56ED2" w14:textId="77777777" w:rsidR="00964CB7" w:rsidRPr="00F350A6" w:rsidRDefault="00964CB7" w:rsidP="00A2497E">
            <w:pPr>
              <w:keepNext/>
              <w:rPr>
                <w:b/>
              </w:rPr>
            </w:pPr>
            <w:r>
              <w:rPr>
                <w:b/>
              </w:rPr>
              <w:t>Comments</w:t>
            </w:r>
          </w:p>
        </w:tc>
      </w:tr>
      <w:tr w:rsidR="00964CB7" w:rsidRPr="00964CB7" w14:paraId="309EE20C" w14:textId="77777777" w:rsidTr="00A2497E">
        <w:trPr>
          <w:cantSplit/>
          <w:tblHeader/>
        </w:trPr>
        <w:tc>
          <w:tcPr>
            <w:tcW w:w="1305" w:type="dxa"/>
          </w:tcPr>
          <w:p w14:paraId="5A52A872" w14:textId="77EF85F7" w:rsidR="00964CB7" w:rsidRDefault="00964CB7" w:rsidP="00A2497E">
            <w:pPr>
              <w:keepNext/>
            </w:pPr>
            <w:r>
              <w:t>Owe et al 2009</w:t>
            </w:r>
            <w:r w:rsidR="00E51743">
              <w:fldChar w:fldCharType="begin"/>
            </w:r>
            <w:r w:rsidR="002747EA">
              <w:instrText xml:space="preserve"> ADDIN EN.CITE &lt;EndNote&gt;&lt;Cite&gt;&lt;Author&gt;Owe&lt;/Author&gt;&lt;Year&gt;2009&lt;/Year&gt;&lt;RecNum&gt;815&lt;/RecNum&gt;&lt;DisplayText&gt;&lt;style face="superscript" font="Trebuchet MS" size="9"&gt;307&lt;/style&gt;&lt;/DisplayText&gt;&lt;record&gt;&lt;rec-number&gt;815&lt;/rec-number&gt;&lt;foreign-keys&gt;&lt;key app="EN" db-id="exvasrfx2dtraoesasxp2szsxa2df502592x" timestamp="1541540495"&gt;815&lt;/key&gt;&lt;key app="ENWeb" db-id=""&gt;0&lt;/key&gt;&lt;/foreign-keys&gt;&lt;ref-type name="Journal Article"&gt;17&lt;/ref-type&gt;&lt;contributors&gt;&lt;authors&gt;&lt;author&gt;Owe, Katrine Mari&lt;/author&gt;&lt;author&gt;Nystad, Wenche&lt;/author&gt;&lt;author&gt;Bø, Kari&lt;/author&gt;&lt;/authors&gt;&lt;/contributors&gt;&lt;titles&gt;&lt;title&gt;Association Between Regular Exercise and Excessive Newborn Birth Weight&lt;/title&gt;&lt;secondary-title&gt;Obstetrics &amp;amp; Gynecology&lt;/secondary-title&gt;&lt;/titles&gt;&lt;periodical&gt;&lt;full-title&gt;Obstetrics &amp;amp; Gynecology&lt;/full-title&gt;&lt;/periodical&gt;&lt;pages&gt;770-776&lt;/pages&gt;&lt;volume&gt;114&lt;/volume&gt;&lt;number&gt;4&lt;/number&gt;&lt;section&gt;770&lt;/section&gt;&lt;dates&gt;&lt;year&gt;2009&lt;/year&gt;&lt;/dates&gt;&lt;isbn&gt;0029-7844&lt;/isbn&gt;&lt;urls&gt;&lt;/urls&gt;&lt;electronic-resource-num&gt;10.1097/AOG.0b013e3181b6c105&lt;/electronic-resource-num&gt;&lt;/record&gt;&lt;/Cite&gt;&lt;/EndNote&gt;</w:instrText>
            </w:r>
            <w:r w:rsidR="00E51743">
              <w:fldChar w:fldCharType="separate"/>
            </w:r>
            <w:r w:rsidR="002747EA" w:rsidRPr="002747EA">
              <w:rPr>
                <w:noProof/>
                <w:vertAlign w:val="superscript"/>
              </w:rPr>
              <w:t>307</w:t>
            </w:r>
            <w:r w:rsidR="00E51743">
              <w:fldChar w:fldCharType="end"/>
            </w:r>
          </w:p>
          <w:p w14:paraId="25B2CE9F" w14:textId="308EFC94" w:rsidR="00964CB7" w:rsidRPr="00964CB7" w:rsidRDefault="00964CB7" w:rsidP="00A2497E">
            <w:pPr>
              <w:keepNext/>
            </w:pPr>
            <w:r>
              <w:t>Norway</w:t>
            </w:r>
          </w:p>
        </w:tc>
        <w:tc>
          <w:tcPr>
            <w:tcW w:w="1388" w:type="dxa"/>
          </w:tcPr>
          <w:p w14:paraId="63BAA14F" w14:textId="77777777" w:rsidR="00964CB7" w:rsidRDefault="00964CB7" w:rsidP="00A2497E">
            <w:pPr>
              <w:keepNext/>
            </w:pPr>
            <w:r>
              <w:t>36,896</w:t>
            </w:r>
          </w:p>
          <w:p w14:paraId="57AD821A" w14:textId="546AC41D" w:rsidR="00964CB7" w:rsidRPr="00964CB7" w:rsidRDefault="00964CB7" w:rsidP="00A2497E">
            <w:pPr>
              <w:keepNext/>
            </w:pPr>
            <w:r>
              <w:t>Cohort</w:t>
            </w:r>
          </w:p>
        </w:tc>
        <w:tc>
          <w:tcPr>
            <w:tcW w:w="4820" w:type="dxa"/>
          </w:tcPr>
          <w:p w14:paraId="2320C1E3" w14:textId="77777777" w:rsidR="00964CB7" w:rsidRDefault="00964CB7" w:rsidP="00A2497E">
            <w:pPr>
              <w:keepNext/>
            </w:pPr>
            <w:r w:rsidRPr="00964CB7">
              <w:rPr>
                <w:b/>
              </w:rPr>
              <w:t>Aim</w:t>
            </w:r>
            <w:r>
              <w:t>: To estimate the association between regular exercise during pregnancy and excessive infant birth weight.</w:t>
            </w:r>
          </w:p>
          <w:p w14:paraId="3664FF34" w14:textId="7BCFD90E" w:rsidR="00964CB7" w:rsidRPr="00964CB7" w:rsidRDefault="00964CB7" w:rsidP="00964CB7">
            <w:pPr>
              <w:keepNext/>
            </w:pPr>
            <w:r w:rsidRPr="00964CB7">
              <w:rPr>
                <w:b/>
              </w:rPr>
              <w:t>Methods</w:t>
            </w:r>
            <w:r>
              <w:t xml:space="preserve">: Information on regular exercise was based on answers to two questionnaires to collect data from the Norwegian Mother and Child Cohort Study at 17 and 30 weeks. </w:t>
            </w:r>
          </w:p>
        </w:tc>
        <w:tc>
          <w:tcPr>
            <w:tcW w:w="4536" w:type="dxa"/>
          </w:tcPr>
          <w:p w14:paraId="3586C1DA" w14:textId="0D4C86D4" w:rsidR="00964CB7" w:rsidRDefault="0059370D" w:rsidP="00A2497E">
            <w:pPr>
              <w:keepNext/>
            </w:pPr>
            <w:r>
              <w:t>Adjusted odds ratio of macrosomia at week 17:</w:t>
            </w:r>
          </w:p>
          <w:p w14:paraId="3B9507FD" w14:textId="77777777" w:rsidR="0059370D" w:rsidRPr="00B715AC" w:rsidRDefault="0059370D" w:rsidP="00A2497E">
            <w:pPr>
              <w:keepNext/>
              <w:rPr>
                <w:i/>
              </w:rPr>
            </w:pPr>
            <w:r w:rsidRPr="00B715AC">
              <w:rPr>
                <w:i/>
              </w:rPr>
              <w:t>Nulliparous</w:t>
            </w:r>
          </w:p>
          <w:p w14:paraId="4BDD3A0C" w14:textId="163930FD" w:rsidR="0059370D" w:rsidRDefault="0059370D" w:rsidP="00FE117F">
            <w:pPr>
              <w:pStyle w:val="bullet"/>
            </w:pPr>
            <w:r>
              <w:t>1-3 times/month: aOR 0.93 (0.74 to 1.18)</w:t>
            </w:r>
          </w:p>
          <w:p w14:paraId="2B190C57" w14:textId="77777777" w:rsidR="0059370D" w:rsidRDefault="0059370D" w:rsidP="00FE117F">
            <w:pPr>
              <w:pStyle w:val="bullet"/>
            </w:pPr>
            <w:r>
              <w:t>1-2 times/week: aOR 0.91 (0.73 to 1.14)</w:t>
            </w:r>
          </w:p>
          <w:p w14:paraId="0F655C23" w14:textId="77777777" w:rsidR="0059370D" w:rsidRDefault="0059370D" w:rsidP="00FE117F">
            <w:pPr>
              <w:pStyle w:val="bullet"/>
            </w:pPr>
            <w:r>
              <w:t>≥3 times/week: aOR 0.72 (0.56 to 0.93)</w:t>
            </w:r>
          </w:p>
          <w:p w14:paraId="2D422A3A" w14:textId="77777777" w:rsidR="0059370D" w:rsidRPr="00B715AC" w:rsidRDefault="0059370D" w:rsidP="00A2497E">
            <w:pPr>
              <w:keepNext/>
              <w:rPr>
                <w:i/>
              </w:rPr>
            </w:pPr>
            <w:r w:rsidRPr="00B715AC">
              <w:rPr>
                <w:i/>
              </w:rPr>
              <w:t>Multiparous</w:t>
            </w:r>
          </w:p>
          <w:p w14:paraId="46DD3784" w14:textId="2BC9DD69" w:rsidR="0059370D" w:rsidRDefault="0059370D" w:rsidP="00FE117F">
            <w:pPr>
              <w:pStyle w:val="bullet"/>
            </w:pPr>
            <w:r>
              <w:t>1-3 times/month: aOR 1.05 (0.91 to 1.22)</w:t>
            </w:r>
          </w:p>
          <w:p w14:paraId="2FA79048" w14:textId="0185CD57" w:rsidR="0059370D" w:rsidRDefault="0059370D" w:rsidP="00FE117F">
            <w:pPr>
              <w:pStyle w:val="bullet"/>
            </w:pPr>
            <w:r>
              <w:t>1-2 times/week: aOR 0.95 (0.83 to 1.10)</w:t>
            </w:r>
          </w:p>
          <w:p w14:paraId="4A56DF04" w14:textId="37ADBC20" w:rsidR="0059370D" w:rsidRDefault="0059370D" w:rsidP="00FE117F">
            <w:pPr>
              <w:pStyle w:val="bullet"/>
            </w:pPr>
            <w:r>
              <w:t>≥3 times/week: aOR 0.90 (0.76 to 1.07)</w:t>
            </w:r>
          </w:p>
          <w:p w14:paraId="4E8AB048" w14:textId="53B2B09A" w:rsidR="0059370D" w:rsidRDefault="0059370D" w:rsidP="0059370D">
            <w:pPr>
              <w:keepNext/>
            </w:pPr>
            <w:r>
              <w:t>Adjusted odds ratio of macrosomia at week 30:</w:t>
            </w:r>
          </w:p>
          <w:p w14:paraId="06B05E68" w14:textId="77777777" w:rsidR="0059370D" w:rsidRPr="00B715AC" w:rsidRDefault="0059370D" w:rsidP="0059370D">
            <w:pPr>
              <w:keepNext/>
              <w:rPr>
                <w:i/>
              </w:rPr>
            </w:pPr>
            <w:r w:rsidRPr="00B715AC">
              <w:rPr>
                <w:i/>
              </w:rPr>
              <w:t>Nulliparous</w:t>
            </w:r>
          </w:p>
          <w:p w14:paraId="7B8C9F03" w14:textId="775513D2" w:rsidR="0059370D" w:rsidRDefault="0059370D" w:rsidP="00FE117F">
            <w:pPr>
              <w:pStyle w:val="bullet"/>
            </w:pPr>
            <w:r>
              <w:t>1-3 times/month: aOR 1.04 (0.86 to 1.27)</w:t>
            </w:r>
          </w:p>
          <w:p w14:paraId="5CBD2A9A" w14:textId="03156DC9" w:rsidR="0059370D" w:rsidRDefault="0059370D" w:rsidP="00FE117F">
            <w:pPr>
              <w:pStyle w:val="bullet"/>
            </w:pPr>
            <w:r>
              <w:t>1-2 times/week: aOR 0.90 (0.75 to 1.09)</w:t>
            </w:r>
          </w:p>
          <w:p w14:paraId="6018412B" w14:textId="5B6E2EF2" w:rsidR="0059370D" w:rsidRDefault="0059370D" w:rsidP="00FE117F">
            <w:pPr>
              <w:pStyle w:val="bullet"/>
            </w:pPr>
            <w:r>
              <w:t>≥3 times/week: aOR 0.77 (0.61 to 0.96)</w:t>
            </w:r>
          </w:p>
          <w:p w14:paraId="1AE1501E" w14:textId="1134D309" w:rsidR="0059370D" w:rsidRPr="00B715AC" w:rsidRDefault="0059370D" w:rsidP="0059370D">
            <w:pPr>
              <w:keepNext/>
              <w:rPr>
                <w:i/>
              </w:rPr>
            </w:pPr>
            <w:r w:rsidRPr="00B715AC">
              <w:rPr>
                <w:i/>
              </w:rPr>
              <w:t>Multiparous</w:t>
            </w:r>
          </w:p>
          <w:p w14:paraId="50CB58B4" w14:textId="2B425433" w:rsidR="0059370D" w:rsidRDefault="0059370D" w:rsidP="00FE117F">
            <w:pPr>
              <w:pStyle w:val="bullet"/>
            </w:pPr>
            <w:r>
              <w:t>1-3 times/month: aOR 1.02 (0.90 to 1.15)</w:t>
            </w:r>
          </w:p>
          <w:p w14:paraId="2416C802" w14:textId="551B2BE1" w:rsidR="0059370D" w:rsidRDefault="0059370D" w:rsidP="00FE117F">
            <w:pPr>
              <w:pStyle w:val="bullet"/>
            </w:pPr>
            <w:r>
              <w:t>1-2 times/week: aOR 1.00 (0.89 to 1.13)</w:t>
            </w:r>
          </w:p>
          <w:p w14:paraId="5B9F4CF9" w14:textId="6D185422" w:rsidR="0059370D" w:rsidRPr="00964CB7" w:rsidRDefault="0059370D" w:rsidP="00FE117F">
            <w:pPr>
              <w:pStyle w:val="bullet"/>
            </w:pPr>
            <w:r>
              <w:t>≥3 times/week: aOR 1.09 (0.90 to 1.32)</w:t>
            </w:r>
          </w:p>
        </w:tc>
        <w:tc>
          <w:tcPr>
            <w:tcW w:w="1843" w:type="dxa"/>
          </w:tcPr>
          <w:p w14:paraId="0958D98E" w14:textId="77777777" w:rsidR="00964CB7" w:rsidRPr="00964CB7" w:rsidRDefault="00964CB7" w:rsidP="00A2497E">
            <w:pPr>
              <w:keepNext/>
            </w:pPr>
          </w:p>
        </w:tc>
      </w:tr>
    </w:tbl>
    <w:p w14:paraId="3492C2E0" w14:textId="3919D653" w:rsidR="00516CE1" w:rsidRPr="00DC4A73" w:rsidRDefault="009C163D" w:rsidP="00BD61CC">
      <w:pPr>
        <w:pStyle w:val="TableName"/>
        <w:ind w:left="1134" w:hanging="1134"/>
      </w:pPr>
      <w:bookmarkStart w:id="141" w:name="_Toc40956659"/>
      <w:r>
        <w:t xml:space="preserve">Q5 </w:t>
      </w:r>
      <w:r w:rsidR="00516CE1">
        <w:t>Physical activity in pregnancy and low birth weight — observational studies</w:t>
      </w:r>
      <w:bookmarkEnd w:id="14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1: Q5 Physical activity in pregnancy and low birth weight — observational studies"/>
      </w:tblPr>
      <w:tblGrid>
        <w:gridCol w:w="1305"/>
        <w:gridCol w:w="1388"/>
        <w:gridCol w:w="4820"/>
        <w:gridCol w:w="4536"/>
        <w:gridCol w:w="1843"/>
      </w:tblGrid>
      <w:tr w:rsidR="00516CE1" w:rsidRPr="00F350A6" w14:paraId="5892B7A2" w14:textId="77777777" w:rsidTr="00516CE1">
        <w:trPr>
          <w:cantSplit/>
          <w:tblHeader/>
        </w:trPr>
        <w:tc>
          <w:tcPr>
            <w:tcW w:w="1305" w:type="dxa"/>
            <w:tcBorders>
              <w:bottom w:val="single" w:sz="4" w:space="0" w:color="auto"/>
            </w:tcBorders>
          </w:tcPr>
          <w:p w14:paraId="7D4ADBFF" w14:textId="77777777" w:rsidR="00516CE1" w:rsidRPr="00F350A6" w:rsidRDefault="00516CE1" w:rsidP="00DE2A9C">
            <w:pPr>
              <w:keepNext/>
              <w:rPr>
                <w:b/>
              </w:rPr>
            </w:pPr>
            <w:r>
              <w:rPr>
                <w:b/>
              </w:rPr>
              <w:t>Study ref</w:t>
            </w:r>
          </w:p>
        </w:tc>
        <w:tc>
          <w:tcPr>
            <w:tcW w:w="1388" w:type="dxa"/>
            <w:tcBorders>
              <w:bottom w:val="single" w:sz="4" w:space="0" w:color="auto"/>
            </w:tcBorders>
          </w:tcPr>
          <w:p w14:paraId="3BE6B08F" w14:textId="77777777" w:rsidR="00516CE1" w:rsidRPr="00F350A6" w:rsidRDefault="00516CE1" w:rsidP="00DE2A9C">
            <w:pPr>
              <w:keepNext/>
              <w:rPr>
                <w:b/>
              </w:rPr>
            </w:pPr>
            <w:r>
              <w:rPr>
                <w:b/>
              </w:rPr>
              <w:t>N</w:t>
            </w:r>
          </w:p>
        </w:tc>
        <w:tc>
          <w:tcPr>
            <w:tcW w:w="4820" w:type="dxa"/>
            <w:tcBorders>
              <w:bottom w:val="single" w:sz="4" w:space="0" w:color="auto"/>
            </w:tcBorders>
          </w:tcPr>
          <w:p w14:paraId="1C103F95" w14:textId="77777777" w:rsidR="00516CE1" w:rsidRPr="00F350A6" w:rsidRDefault="00516CE1" w:rsidP="00DE2A9C">
            <w:pPr>
              <w:keepNext/>
              <w:rPr>
                <w:b/>
              </w:rPr>
            </w:pPr>
            <w:r>
              <w:rPr>
                <w:b/>
              </w:rPr>
              <w:t>Aim/methods</w:t>
            </w:r>
          </w:p>
        </w:tc>
        <w:tc>
          <w:tcPr>
            <w:tcW w:w="4536" w:type="dxa"/>
            <w:tcBorders>
              <w:bottom w:val="single" w:sz="4" w:space="0" w:color="auto"/>
            </w:tcBorders>
          </w:tcPr>
          <w:p w14:paraId="3664049B" w14:textId="77777777" w:rsidR="00516CE1" w:rsidRPr="00F350A6" w:rsidRDefault="00516CE1" w:rsidP="00DE2A9C">
            <w:pPr>
              <w:keepNext/>
              <w:rPr>
                <w:b/>
              </w:rPr>
            </w:pPr>
            <w:r>
              <w:rPr>
                <w:b/>
              </w:rPr>
              <w:t>Results</w:t>
            </w:r>
          </w:p>
        </w:tc>
        <w:tc>
          <w:tcPr>
            <w:tcW w:w="1843" w:type="dxa"/>
            <w:tcBorders>
              <w:bottom w:val="single" w:sz="4" w:space="0" w:color="auto"/>
            </w:tcBorders>
          </w:tcPr>
          <w:p w14:paraId="3611811B" w14:textId="77777777" w:rsidR="00516CE1" w:rsidRPr="00F350A6" w:rsidRDefault="00516CE1" w:rsidP="00DE2A9C">
            <w:pPr>
              <w:keepNext/>
              <w:rPr>
                <w:b/>
              </w:rPr>
            </w:pPr>
            <w:r>
              <w:rPr>
                <w:b/>
              </w:rPr>
              <w:t>Comments</w:t>
            </w:r>
          </w:p>
        </w:tc>
      </w:tr>
      <w:tr w:rsidR="00516CE1" w:rsidRPr="00AF7D6C" w14:paraId="0FB2D374" w14:textId="77777777" w:rsidTr="00516CE1">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c>
          <w:tcPr>
            <w:tcW w:w="1305" w:type="dxa"/>
            <w:tcBorders>
              <w:top w:val="single" w:sz="4" w:space="0" w:color="auto"/>
              <w:left w:val="single" w:sz="4" w:space="0" w:color="auto"/>
              <w:bottom w:val="single" w:sz="4" w:space="0" w:color="auto"/>
              <w:right w:val="single" w:sz="4" w:space="0" w:color="auto"/>
            </w:tcBorders>
          </w:tcPr>
          <w:p w14:paraId="7CE02D96" w14:textId="46BA86CA" w:rsidR="00516CE1" w:rsidRDefault="00516CE1" w:rsidP="00DE2A9C">
            <w:pPr>
              <w:keepNext/>
            </w:pPr>
            <w:r>
              <w:t>Lieferman et al 2003</w:t>
            </w:r>
            <w:r w:rsidR="00E51743">
              <w:fldChar w:fldCharType="begin"/>
            </w:r>
            <w:r w:rsidR="002747EA">
              <w:instrText xml:space="preserve"> ADDIN EN.CITE &lt;EndNote&gt;&lt;Cite&gt;&lt;Author&gt;Leiferman&lt;/Author&gt;&lt;Year&gt;2003&lt;/Year&gt;&lt;RecNum&gt;1271&lt;/RecNum&gt;&lt;DisplayText&gt;&lt;style face="superscript" font="Trebuchet MS" size="9"&gt;308&lt;/style&gt;&lt;/DisplayText&gt;&lt;record&gt;&lt;rec-number&gt;1271&lt;/rec-number&gt;&lt;foreign-keys&gt;&lt;key app="EN" db-id="exvasrfx2dtraoesasxp2szsxa2df502592x" timestamp="1562982773"&gt;1271&lt;/key&gt;&lt;/foreign-keys&gt;&lt;ref-type name="Journal Article"&gt;17&lt;/ref-type&gt;&lt;contributors&gt;&lt;authors&gt;&lt;author&gt;Leiferman, J. A.&lt;/author&gt;&lt;author&gt;Evenson, K. R.&lt;/author&gt;&lt;/authors&gt;&lt;/contributors&gt;&lt;auth-address&gt;Department of Human Nutrition, Foods, and Exercise, Virginia Tech University, Blacksburg, Virginia 24061, USA. jleif@vt.edu&lt;/auth-address&gt;&lt;titles&gt;&lt;title&gt;The effect of regular leisure physical activity on birth outcomes&lt;/title&gt;&lt;secondary-title&gt;Matern Child Health J&lt;/secondary-title&gt;&lt;/titles&gt;&lt;periodical&gt;&lt;full-title&gt;Matern Child Health J&lt;/full-title&gt;&lt;/periodical&gt;&lt;pages&gt;59-64&lt;/pages&gt;&lt;volume&gt;7&lt;/volume&gt;&lt;number&gt;1&lt;/number&gt;&lt;edition&gt;2003/04/25&lt;/edition&gt;&lt;keywords&gt;&lt;keyword&gt;Adolescent&lt;/keyword&gt;&lt;keyword&gt;Adult&lt;/keyword&gt;&lt;keyword&gt;Data Collection&lt;/keyword&gt;&lt;keyword&gt;*Exercise&lt;/keyword&gt;&lt;keyword&gt;Female&lt;/keyword&gt;&lt;keyword&gt;Gestational Age&lt;/keyword&gt;&lt;keyword&gt;*Health Behavior&lt;/keyword&gt;&lt;keyword&gt;Humans&lt;/keyword&gt;&lt;keyword&gt;*Infant, Low Birth Weight&lt;/keyword&gt;&lt;keyword&gt;Infant, Newborn&lt;/keyword&gt;&lt;keyword&gt;*Leisure Activities&lt;/keyword&gt;&lt;keyword&gt;Obstetric Labor, Premature/epidemiology&lt;/keyword&gt;&lt;keyword&gt;Odds Ratio&lt;/keyword&gt;&lt;keyword&gt;Pregnancy&lt;/keyword&gt;&lt;keyword&gt;Pregnancy Outcome/*epidemiology&lt;/keyword&gt;&lt;keyword&gt;Pregnant Women/*psychology&lt;/keyword&gt;&lt;keyword&gt;Regression Analysis&lt;/keyword&gt;&lt;keyword&gt;Sampling Studies&lt;/keyword&gt;&lt;keyword&gt;Socioeconomic Factors&lt;/keyword&gt;&lt;keyword&gt;United States/epidemiology&lt;/keyword&gt;&lt;/keywords&gt;&lt;dates&gt;&lt;year&gt;2003&lt;/year&gt;&lt;pub-dates&gt;&lt;date&gt;Mar&lt;/date&gt;&lt;/pub-dates&gt;&lt;/dates&gt;&lt;isbn&gt;1092-7875 (Print)&amp;#xD;1092-7875 (Linking)&lt;/isbn&gt;&lt;accession-num&gt;12710801&lt;/accession-num&gt;&lt;urls&gt;&lt;related-urls&gt;&lt;url&gt;https://www.ncbi.nlm.nih.gov/pubmed/12710801&lt;/url&gt;&lt;/related-urls&gt;&lt;/urls&gt;&lt;/record&gt;&lt;/Cite&gt;&lt;/EndNote&gt;</w:instrText>
            </w:r>
            <w:r w:rsidR="00E51743">
              <w:fldChar w:fldCharType="separate"/>
            </w:r>
            <w:r w:rsidR="002747EA" w:rsidRPr="002747EA">
              <w:rPr>
                <w:noProof/>
                <w:vertAlign w:val="superscript"/>
              </w:rPr>
              <w:t>308</w:t>
            </w:r>
            <w:r w:rsidR="00E51743">
              <w:fldChar w:fldCharType="end"/>
            </w:r>
          </w:p>
          <w:p w14:paraId="3F41D44B" w14:textId="77777777" w:rsidR="00516CE1" w:rsidRDefault="00516CE1" w:rsidP="00DE2A9C">
            <w:pPr>
              <w:keepNext/>
            </w:pPr>
            <w:r>
              <w:t xml:space="preserve">United States </w:t>
            </w:r>
          </w:p>
        </w:tc>
        <w:tc>
          <w:tcPr>
            <w:tcW w:w="1388" w:type="dxa"/>
            <w:tcBorders>
              <w:top w:val="single" w:sz="4" w:space="0" w:color="auto"/>
              <w:left w:val="single" w:sz="4" w:space="0" w:color="auto"/>
              <w:bottom w:val="single" w:sz="4" w:space="0" w:color="auto"/>
              <w:right w:val="single" w:sz="4" w:space="0" w:color="auto"/>
            </w:tcBorders>
          </w:tcPr>
          <w:p w14:paraId="5B7A2460" w14:textId="77777777" w:rsidR="00516CE1" w:rsidRDefault="00516CE1" w:rsidP="00DE2A9C">
            <w:pPr>
              <w:keepNext/>
            </w:pPr>
            <w:r>
              <w:t>2,245</w:t>
            </w:r>
          </w:p>
          <w:p w14:paraId="77D25CA0" w14:textId="77777777" w:rsidR="00516CE1" w:rsidRDefault="00516CE1" w:rsidP="00DE2A9C">
            <w:pPr>
              <w:keepNext/>
            </w:pPr>
            <w:r>
              <w:t>Cohort</w:t>
            </w:r>
          </w:p>
        </w:tc>
        <w:tc>
          <w:tcPr>
            <w:tcW w:w="4820" w:type="dxa"/>
            <w:tcBorders>
              <w:top w:val="single" w:sz="4" w:space="0" w:color="auto"/>
              <w:left w:val="single" w:sz="4" w:space="0" w:color="auto"/>
              <w:bottom w:val="single" w:sz="4" w:space="0" w:color="auto"/>
              <w:right w:val="single" w:sz="4" w:space="0" w:color="auto"/>
            </w:tcBorders>
          </w:tcPr>
          <w:p w14:paraId="5C385997" w14:textId="77777777" w:rsidR="00516CE1" w:rsidRDefault="00516CE1" w:rsidP="00DE2A9C">
            <w:r w:rsidRPr="00AD17E5">
              <w:rPr>
                <w:b/>
              </w:rPr>
              <w:t>Aim</w:t>
            </w:r>
            <w:r>
              <w:t xml:space="preserve">: </w:t>
            </w:r>
            <w:r w:rsidRPr="00AD17E5">
              <w:t>to determine the effect of regular leisure physical</w:t>
            </w:r>
            <w:r>
              <w:t xml:space="preserve"> </w:t>
            </w:r>
            <w:r w:rsidRPr="00AD17E5">
              <w:t xml:space="preserve">activity (RLPA) on two different adverse birth outcomes: timeliness of </w:t>
            </w:r>
            <w:r>
              <w:t>birth</w:t>
            </w:r>
            <w:r w:rsidRPr="00AD17E5">
              <w:t xml:space="preserve"> (</w:t>
            </w:r>
            <w:r w:rsidRPr="00AD17E5">
              <w:rPr>
                <w:rFonts w:ascii="Helvetica" w:hAnsi="Helvetica"/>
              </w:rPr>
              <w:t>&lt;</w:t>
            </w:r>
            <w:r w:rsidRPr="00AD17E5">
              <w:t>37 weeks,</w:t>
            </w:r>
            <w:r>
              <w:t xml:space="preserve"> </w:t>
            </w:r>
            <w:r w:rsidRPr="00AD17E5">
              <w:t xml:space="preserve">preterm; 37–42 weeks, term; and </w:t>
            </w:r>
            <w:r w:rsidRPr="00AD17E5">
              <w:rPr>
                <w:rFonts w:ascii="Helvetica" w:hAnsi="Helvetica"/>
              </w:rPr>
              <w:t>&gt;</w:t>
            </w:r>
            <w:r w:rsidRPr="00AD17E5">
              <w:t>42 weeks, postterm) and low birth weight (</w:t>
            </w:r>
            <w:r w:rsidRPr="00AD17E5">
              <w:rPr>
                <w:rFonts w:ascii="Helvetica" w:hAnsi="Helvetica"/>
              </w:rPr>
              <w:t>&lt;</w:t>
            </w:r>
            <w:r w:rsidRPr="00AD17E5">
              <w:t>1500 g, very</w:t>
            </w:r>
            <w:r>
              <w:t xml:space="preserve"> </w:t>
            </w:r>
            <w:r w:rsidRPr="00AD17E5">
              <w:t xml:space="preserve">low; 1500–2499 g, low). </w:t>
            </w:r>
          </w:p>
          <w:p w14:paraId="78D1CC3F" w14:textId="77777777" w:rsidR="00516CE1" w:rsidRPr="00AD17E5" w:rsidRDefault="00516CE1" w:rsidP="00DE2A9C">
            <w:r w:rsidRPr="00AD17E5">
              <w:rPr>
                <w:b/>
              </w:rPr>
              <w:t>Methods</w:t>
            </w:r>
            <w:r w:rsidRPr="00AD17E5">
              <w:t>: The sample</w:t>
            </w:r>
            <w:r>
              <w:t xml:space="preserve"> </w:t>
            </w:r>
            <w:r w:rsidRPr="00AD17E5">
              <w:t>was obtained</w:t>
            </w:r>
            <w:r>
              <w:t xml:space="preserve"> </w:t>
            </w:r>
            <w:r w:rsidRPr="00AD17E5">
              <w:t>from the 1988 National Maternal and Infant Health Survey (NMIHS) data. The NMIHS was</w:t>
            </w:r>
            <w:r>
              <w:t xml:space="preserve"> </w:t>
            </w:r>
            <w:r w:rsidRPr="00AD17E5">
              <w:t>developed to examine adverse birth outcomes by assessing various maternal characteristics</w:t>
            </w:r>
            <w:r>
              <w:t xml:space="preserve"> </w:t>
            </w:r>
            <w:r w:rsidRPr="00AD17E5">
              <w:t>such as demographic, behavio</w:t>
            </w:r>
            <w:r>
              <w:t>u</w:t>
            </w:r>
            <w:r w:rsidRPr="00AD17E5">
              <w:t>ral, and health care factors not found in vital statistics data.</w:t>
            </w:r>
            <w:r>
              <w:t xml:space="preserve"> Women were grouped as exercising before and during pregnancy (Group 1), exercising before but not during pregnancy (Group 2), exercising during pregnancy but not before (Group 3), and not exercising before or during pregnancy (Group 4).</w:t>
            </w:r>
          </w:p>
        </w:tc>
        <w:tc>
          <w:tcPr>
            <w:tcW w:w="4536" w:type="dxa"/>
            <w:tcBorders>
              <w:top w:val="single" w:sz="4" w:space="0" w:color="auto"/>
              <w:left w:val="single" w:sz="4" w:space="0" w:color="auto"/>
              <w:bottom w:val="single" w:sz="4" w:space="0" w:color="auto"/>
              <w:right w:val="single" w:sz="4" w:space="0" w:color="auto"/>
            </w:tcBorders>
          </w:tcPr>
          <w:p w14:paraId="23957749" w14:textId="77777777" w:rsidR="00516CE1" w:rsidRDefault="00516CE1" w:rsidP="00DE2A9C">
            <w:pPr>
              <w:keepNext/>
            </w:pPr>
            <w:r>
              <w:t>Preterm birth and level of exercise during pregnancy compared to Group 1:</w:t>
            </w:r>
          </w:p>
          <w:p w14:paraId="380E02A9" w14:textId="77777777" w:rsidR="00516CE1" w:rsidRDefault="00516CE1" w:rsidP="00DE2A9C">
            <w:pPr>
              <w:pStyle w:val="bullet"/>
            </w:pPr>
            <w:r>
              <w:t>Group 2: OR 0.91 (0.71 to 1.17)</w:t>
            </w:r>
          </w:p>
          <w:p w14:paraId="0C88F0C1" w14:textId="77777777" w:rsidR="00516CE1" w:rsidRDefault="00516CE1" w:rsidP="00DE2A9C">
            <w:pPr>
              <w:pStyle w:val="bullet"/>
            </w:pPr>
            <w:r>
              <w:t>Group 3: OR 1.08 (0.76 to 1.55)</w:t>
            </w:r>
          </w:p>
          <w:p w14:paraId="7C88CA0A" w14:textId="77777777" w:rsidR="00516CE1" w:rsidRDefault="00516CE1" w:rsidP="00DE2A9C">
            <w:pPr>
              <w:pStyle w:val="bullet"/>
            </w:pPr>
            <w:r>
              <w:t>Group 4: OR 1.11 (0.93 to 1.31)</w:t>
            </w:r>
          </w:p>
          <w:p w14:paraId="26BBEF19" w14:textId="77777777" w:rsidR="00516CE1" w:rsidRDefault="00516CE1" w:rsidP="00DE2A9C">
            <w:pPr>
              <w:keepNext/>
            </w:pPr>
            <w:r>
              <w:t>Post-term birth and level of exercise during pregnancy compared to Group 1:</w:t>
            </w:r>
          </w:p>
          <w:p w14:paraId="12D06987" w14:textId="77777777" w:rsidR="00516CE1" w:rsidRDefault="00516CE1" w:rsidP="00DE2A9C">
            <w:pPr>
              <w:pStyle w:val="bullet"/>
            </w:pPr>
            <w:r>
              <w:t>Group 2: OR 0.88 (0.64 to 1.19)</w:t>
            </w:r>
          </w:p>
          <w:p w14:paraId="606D128B" w14:textId="77777777" w:rsidR="00516CE1" w:rsidRDefault="00516CE1" w:rsidP="00DE2A9C">
            <w:pPr>
              <w:pStyle w:val="bullet"/>
            </w:pPr>
            <w:r>
              <w:t>Group 3: OR 0.88 (0.60 to 1.30)</w:t>
            </w:r>
          </w:p>
          <w:p w14:paraId="536D48AB" w14:textId="77777777" w:rsidR="00516CE1" w:rsidRDefault="00516CE1" w:rsidP="00DE2A9C">
            <w:pPr>
              <w:pStyle w:val="bullet"/>
            </w:pPr>
            <w:r>
              <w:t>Group 4: OR 0.89 (0.75 to 1.05)</w:t>
            </w:r>
          </w:p>
          <w:p w14:paraId="2289B0B9" w14:textId="77777777" w:rsidR="00516CE1" w:rsidRDefault="00516CE1" w:rsidP="00DE2A9C">
            <w:pPr>
              <w:keepNext/>
            </w:pPr>
            <w:r>
              <w:t>Low birth weight (1,500-2,499 g) and level of exercise during pregnancy compared to Group 1:</w:t>
            </w:r>
          </w:p>
          <w:p w14:paraId="174D7291" w14:textId="77777777" w:rsidR="00516CE1" w:rsidRDefault="00516CE1" w:rsidP="00DE2A9C">
            <w:pPr>
              <w:pStyle w:val="bullet"/>
            </w:pPr>
            <w:r>
              <w:t>Group 2: OR 1.28 (1.05 to 1.56)</w:t>
            </w:r>
          </w:p>
          <w:p w14:paraId="1130D17C" w14:textId="77777777" w:rsidR="00516CE1" w:rsidRDefault="00516CE1" w:rsidP="00DE2A9C">
            <w:pPr>
              <w:pStyle w:val="bullet"/>
            </w:pPr>
            <w:r>
              <w:t>Group 3: OR 0.85 (0.62 to 1.17)</w:t>
            </w:r>
          </w:p>
          <w:p w14:paraId="18E14D5A" w14:textId="77777777" w:rsidR="00516CE1" w:rsidRDefault="00516CE1" w:rsidP="00DE2A9C">
            <w:pPr>
              <w:pStyle w:val="bullet"/>
            </w:pPr>
            <w:r>
              <w:t>Group 4: OR 1.15 (0.99 to 1.34)</w:t>
            </w:r>
          </w:p>
          <w:p w14:paraId="16613E3B" w14:textId="77777777" w:rsidR="00516CE1" w:rsidRDefault="00516CE1" w:rsidP="00DE2A9C">
            <w:pPr>
              <w:keepNext/>
            </w:pPr>
            <w:r>
              <w:t>Very low birth weight (&lt;1,500 g) and level of exercise during pregnancy compared to Group 1:</w:t>
            </w:r>
          </w:p>
          <w:p w14:paraId="2B9D0A51" w14:textId="77777777" w:rsidR="00516CE1" w:rsidRDefault="00516CE1" w:rsidP="00DE2A9C">
            <w:pPr>
              <w:pStyle w:val="bullet"/>
            </w:pPr>
            <w:r>
              <w:t>Group 2: OR 2.05 (1.69 to 2.48)</w:t>
            </w:r>
          </w:p>
          <w:p w14:paraId="42A197B2" w14:textId="77777777" w:rsidR="00516CE1" w:rsidRDefault="00516CE1" w:rsidP="00DE2A9C">
            <w:pPr>
              <w:pStyle w:val="bullet"/>
            </w:pPr>
            <w:r>
              <w:t>Group 3: OR 1.13 (0.85 to 1.49)</w:t>
            </w:r>
          </w:p>
          <w:p w14:paraId="4C457270" w14:textId="77777777" w:rsidR="00516CE1" w:rsidRPr="000F45C8" w:rsidRDefault="00516CE1" w:rsidP="00DE2A9C">
            <w:pPr>
              <w:pStyle w:val="bullet"/>
            </w:pPr>
            <w:r>
              <w:t>Group 4: OR 1.75 (1.50 to 2.04)</w:t>
            </w:r>
          </w:p>
        </w:tc>
        <w:tc>
          <w:tcPr>
            <w:tcW w:w="1843" w:type="dxa"/>
            <w:tcBorders>
              <w:top w:val="single" w:sz="4" w:space="0" w:color="auto"/>
              <w:left w:val="single" w:sz="4" w:space="0" w:color="auto"/>
              <w:bottom w:val="single" w:sz="4" w:space="0" w:color="auto"/>
              <w:right w:val="single" w:sz="4" w:space="0" w:color="auto"/>
            </w:tcBorders>
          </w:tcPr>
          <w:p w14:paraId="1F44064F" w14:textId="77777777" w:rsidR="00516CE1" w:rsidRPr="00AF7D6C" w:rsidRDefault="00516CE1" w:rsidP="00DE2A9C">
            <w:pPr>
              <w:keepNext/>
            </w:pPr>
          </w:p>
        </w:tc>
      </w:tr>
    </w:tbl>
    <w:p w14:paraId="07C20882" w14:textId="2F3FFA5B" w:rsidR="00904C09" w:rsidRPr="00DC4A73" w:rsidRDefault="009C163D" w:rsidP="00BD61CC">
      <w:pPr>
        <w:pStyle w:val="TableName"/>
        <w:pageBreakBefore/>
        <w:ind w:left="1134" w:hanging="1134"/>
      </w:pPr>
      <w:bookmarkStart w:id="142" w:name="_Toc40956660"/>
      <w:r>
        <w:t xml:space="preserve">Q5 </w:t>
      </w:r>
      <w:r w:rsidR="00904C09">
        <w:t>Physical activity in pregnancy and childhood weight</w:t>
      </w:r>
      <w:bookmarkEnd w:id="14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2: Q5 Physical activity in pregnancy and childhood weight"/>
      </w:tblPr>
      <w:tblGrid>
        <w:gridCol w:w="1305"/>
        <w:gridCol w:w="1388"/>
        <w:gridCol w:w="4820"/>
        <w:gridCol w:w="4536"/>
        <w:gridCol w:w="1843"/>
      </w:tblGrid>
      <w:tr w:rsidR="00904C09" w:rsidRPr="00F350A6" w14:paraId="7DF7621C" w14:textId="77777777" w:rsidTr="00D86DBF">
        <w:trPr>
          <w:cantSplit/>
          <w:tblHeader/>
        </w:trPr>
        <w:tc>
          <w:tcPr>
            <w:tcW w:w="1305" w:type="dxa"/>
          </w:tcPr>
          <w:p w14:paraId="39CD0C66" w14:textId="77777777" w:rsidR="00904C09" w:rsidRPr="00F350A6" w:rsidRDefault="00904C09" w:rsidP="00D86DBF">
            <w:pPr>
              <w:keepNext/>
              <w:rPr>
                <w:b/>
              </w:rPr>
            </w:pPr>
            <w:r>
              <w:rPr>
                <w:b/>
              </w:rPr>
              <w:t>Study ref</w:t>
            </w:r>
          </w:p>
        </w:tc>
        <w:tc>
          <w:tcPr>
            <w:tcW w:w="1388" w:type="dxa"/>
          </w:tcPr>
          <w:p w14:paraId="0A618AD9" w14:textId="77777777" w:rsidR="00904C09" w:rsidRPr="00F350A6" w:rsidRDefault="00904C09" w:rsidP="00D86DBF">
            <w:pPr>
              <w:keepNext/>
              <w:rPr>
                <w:b/>
              </w:rPr>
            </w:pPr>
            <w:r>
              <w:rPr>
                <w:b/>
              </w:rPr>
              <w:t>N</w:t>
            </w:r>
          </w:p>
        </w:tc>
        <w:tc>
          <w:tcPr>
            <w:tcW w:w="4820" w:type="dxa"/>
          </w:tcPr>
          <w:p w14:paraId="5B186446" w14:textId="77777777" w:rsidR="00904C09" w:rsidRPr="00F350A6" w:rsidRDefault="00904C09" w:rsidP="00D86DBF">
            <w:pPr>
              <w:keepNext/>
              <w:rPr>
                <w:b/>
              </w:rPr>
            </w:pPr>
            <w:r>
              <w:rPr>
                <w:b/>
              </w:rPr>
              <w:t>Aim/methods</w:t>
            </w:r>
          </w:p>
        </w:tc>
        <w:tc>
          <w:tcPr>
            <w:tcW w:w="4536" w:type="dxa"/>
          </w:tcPr>
          <w:p w14:paraId="51CBA92C" w14:textId="77777777" w:rsidR="00904C09" w:rsidRPr="00F350A6" w:rsidRDefault="00904C09" w:rsidP="00D86DBF">
            <w:pPr>
              <w:keepNext/>
              <w:rPr>
                <w:b/>
              </w:rPr>
            </w:pPr>
            <w:r>
              <w:rPr>
                <w:b/>
              </w:rPr>
              <w:t>Results</w:t>
            </w:r>
          </w:p>
        </w:tc>
        <w:tc>
          <w:tcPr>
            <w:tcW w:w="1843" w:type="dxa"/>
          </w:tcPr>
          <w:p w14:paraId="0D25CB5D" w14:textId="77777777" w:rsidR="00904C09" w:rsidRPr="00F350A6" w:rsidRDefault="00904C09" w:rsidP="00D86DBF">
            <w:pPr>
              <w:keepNext/>
              <w:rPr>
                <w:b/>
              </w:rPr>
            </w:pPr>
            <w:r>
              <w:rPr>
                <w:b/>
              </w:rPr>
              <w:t>Comments</w:t>
            </w:r>
          </w:p>
        </w:tc>
      </w:tr>
      <w:tr w:rsidR="00904C09" w:rsidRPr="00904C09" w14:paraId="2B46E3E7" w14:textId="77777777" w:rsidTr="00D86DBF">
        <w:trPr>
          <w:cantSplit/>
          <w:tblHeader/>
        </w:trPr>
        <w:tc>
          <w:tcPr>
            <w:tcW w:w="1305" w:type="dxa"/>
          </w:tcPr>
          <w:p w14:paraId="1A78303F" w14:textId="52F39AF2" w:rsidR="00904C09" w:rsidRDefault="00C21322" w:rsidP="00904C09">
            <w:r>
              <w:t>Kong et al 2016</w:t>
            </w:r>
            <w:r w:rsidR="00E51743">
              <w:fldChar w:fldCharType="begin">
                <w:fldData xml:space="preserve">PEVuZE5vdGU+PENpdGU+PEF1dGhvcj5Lb25nPC9BdXRob3I+PFllYXI+MjAxNjwvWWVhcj48UmVj
TnVtPjg4NjwvUmVjTnVtPjxEaXNwbGF5VGV4dD48c3R5bGUgZmFjZT0ic3VwZXJzY3JpcHQiIGZv
bnQ9IlRyZWJ1Y2hldCBNUyIgc2l6ZT0iOSI+MzA5PC9zdHlsZT48L0Rpc3BsYXlUZXh0PjxyZWNv
cmQ+PHJlYy1udW1iZXI+ODg2PC9yZWMtbnVtYmVyPjxmb3JlaWduLWtleXM+PGtleSBhcHA9IkVO
IiBkYi1pZD0iZXh2YXNyZngyZHRyYW9lc2FzeHAyc3pzeGEyZGY1MDI1OTJ4IiB0aW1lc3RhbXA9
IjE1NDE1NDA3NzkiPjg4Njwva2V5PjxrZXkgYXBwPSJFTldlYiIgZGItaWQ9IiI+MDwva2V5Pjwv
Zm9yZWlnbi1rZXlzPjxyZWYtdHlwZSBuYW1lPSJKb3VybmFsIEFydGljbGUiPjE3PC9yZWYtdHlw
ZT48Y29udHJpYnV0b3JzPjxhdXRob3JzPjxhdXRob3I+S29uZywgSy4gTC48L2F1dGhvcj48YXV0
aG9yPkdpbGxtYW4sIE0uIFcuPC9hdXRob3I+PGF1dGhvcj5SaWZhcy1TaGltYW4sIFMuIEwuPC9h
dXRob3I+PGF1dGhvcj5XZW4sIFguPC9hdXRob3I+PC9hdXRob3JzPjwvY29udHJpYnV0b3JzPjxh
dXRoLWFkZHJlc3M+RGl2aXNpb24gb2YgQmVoYXZpb3JhbCBNZWRpY2luZSwgRGVwYXJ0bWVudCBv
ZiBQZWRpYXRyaWNzLCBTY2hvb2wgb2YgTWVkaWNpbmUgYW5kIEJpb21lZGljYWwgU2NpZW5jZXMs
IFN0YXRlIFVuaXZlcnNpdHkgb2YgTmV3IFlvcmsgYXQgQnVmZmFsbywgQnVmZmFsbywgTlksIFVT
QS4mI3hEO09iZXNpdHkgUHJldmVudGlvbiBQcm9ncmFtLCBEZXBhcnRtZW50IG9mIFBvcHVsYXRp
b24gTWVkaWNpbmUsIEhhcnZhcmQgTWVkaWNhbCBTY2hvb2wgYW5kIEhhcnZhcmQgUGlsZ3JpbSBI
ZWFsdGggQ2FyZSBJbnN0aXR1dGUsIEJvc3RvbiwgTUEsIFVTQS4mI3hEO0RlcGFydG1lbnQgb2Yg
TnV0cml0aW9uLCBIYXJ2YXJkIFNjaG9vbCBvZiBQdWJsaWMgSGVhbHRoLCBCb3N0b24sIE1BLCBV
U0EuPC9hdXRoLWFkZHJlc3M+PHRpdGxlcz48dGl0bGU+TGVpc3VyZSB0aW1lIHBoeXNpY2FsIGFj
dGl2aXR5IGJlZm9yZSBhbmQgZHVyaW5nIG1pZC1wcmVnbmFuY3kgYW5kIG9mZnNwcmluZyBhZGlw
b3NpdHkgaW4gbWlkLWNoaWxkaG9vZDwvdGl0bGU+PHNlY29uZGFyeS10aXRsZT5QZWRpYXRyIE9i
ZXM8L3NlY29uZGFyeS10aXRsZT48L3RpdGxlcz48cGVyaW9kaWNhbD48ZnVsbC10aXRsZT5QZWRp
YXRyIE9iZXM8L2Z1bGwtdGl0bGU+PC9wZXJpb2RpY2FsPjxwYWdlcz44MS03PC9wYWdlcz48dm9s
dW1lPjExPC92b2x1bWU+PG51bWJlcj4yPC9udW1iZXI+PGVkaXRpb24+MjAxNS8wNC8xMDwvZWRp
dGlvbj48a2V5d29yZHM+PGtleXdvcmQ+QWJzb3JwdGlvbWV0cnksIFBob3Rvbjwva2V5d29yZD48
a2V5d29yZD5BZGlwb3NpdHkvKnBoeXNpb2xvZ3k8L2tleXdvcmQ+PGtleXdvcmQ+QWR1bHQ8L2tl
eXdvcmQ+PGtleXdvcmQ+Qm9keSBNYXNzIEluZGV4PC9rZXl3b3JkPjxrZXl3b3JkPkNoaWxkPC9r
ZXl3b3JkPjxrZXl3b3JkPkNoaWxkIE51dHJpdGlvbmFsIFBoeXNpb2xvZ2ljYWwgUGhlbm9tZW5h
PC9rZXl3b3JkPjxrZXl3b3JkPkZlbWFsZTwva2V5d29yZD48a2V5d29yZD5IdW1hbnM8L2tleXdv
cmQ+PGtleXdvcmQ+KkxlaXN1cmUgQWN0aXZpdGllczwva2V5d29yZD48a2V5d29yZD5NYWxlPC9r
ZXl3b3JkPjxrZXl3b3JkPk1vdGhlcnM8L2tleXdvcmQ+PGtleXdvcmQ+Kk1vdG9yIEFjdGl2aXR5
PC9rZXl3b3JkPjxrZXl3b3JkPlBlZGlhdHJpYyBPYmVzaXR5LypwcmV2ZW50aW9uICZhbXA7IGNv
bnRyb2w8L2tleXdvcmQ+PGtleXdvcmQ+UHJlZ25hbmN5PC9rZXl3b3JkPjxrZXl3b3JkPlByZWdu
YW5jeSBUcmltZXN0ZXIsIFNlY29uZDwva2V5d29yZD48a2V5d29yZD5Qcm9zcGVjdGl2ZSBTdHVk
aWVzPC9rZXl3b3JkPjxrZXl3b3JkPmFkaXBvc2l0eTwva2V5d29yZD48a2V5d29yZD5jaGlsZGhv
b2Qgb2Jlc2l0eTwva2V5d29yZD48a2V5d29yZD5nZXN0YXRpb248L2tleXdvcmQ+PGtleXdvcmQ+
bGVpc3VyZSB0aW1lIHBoeXNpY2FsIGFjdGl2aXR5PC9rZXl3b3JkPjwva2V5d29yZHM+PGRhdGVz
Pjx5ZWFyPjIwMTY8L3llYXI+PHB1Yi1kYXRlcz48ZGF0ZT5BcHI8L2RhdGU+PC9wdWItZGF0ZXM+
PC9kYXRlcz48aXNibj4yMDQ3LTYzMTAgKEVsZWN0cm9uaWMpJiN4RDsyMDQ3LTYzMDIgKExpbmtp
bmcpPC9pc2JuPjxhY2Nlc3Npb24tbnVtPjI1ODU0Nzg1PC9hY2Nlc3Npb24tbnVtPjx1cmxzPjxy
ZWxhdGVkLXVybHM+PHVybD5odHRwczovL3d3dy5uY2JpLm5sbS5uaWguZ292L3B1Ym1lZC8yNTg1
NDc4NTwvdXJsPjwvcmVsYXRlZC11cmxzPjwvdXJscz48Y3VzdG9tMj5QTUM0Njk1MzE0PC9jdXN0
b20yPjxlbGVjdHJvbmljLXJlc291cmNlLW51bT4xMC4xMTExL2lqcG8uMTIwMjQ8L2VsZWN0cm9u
aWMtcmVzb3VyY2UtbnVtPjwvcmVjb3JkPjwvQ2l0ZT48L0VuZE5vdGU+
</w:fldData>
              </w:fldChar>
            </w:r>
            <w:r w:rsidR="002747EA">
              <w:instrText xml:space="preserve"> ADDIN EN.CITE </w:instrText>
            </w:r>
            <w:r w:rsidR="002747EA">
              <w:fldChar w:fldCharType="begin">
                <w:fldData xml:space="preserve">PEVuZE5vdGU+PENpdGU+PEF1dGhvcj5Lb25nPC9BdXRob3I+PFllYXI+MjAxNjwvWWVhcj48UmVj
TnVtPjg4NjwvUmVjTnVtPjxEaXNwbGF5VGV4dD48c3R5bGUgZmFjZT0ic3VwZXJzY3JpcHQiIGZv
bnQ9IlRyZWJ1Y2hldCBNUyIgc2l6ZT0iOSI+MzA5PC9zdHlsZT48L0Rpc3BsYXlUZXh0PjxyZWNv
cmQ+PHJlYy1udW1iZXI+ODg2PC9yZWMtbnVtYmVyPjxmb3JlaWduLWtleXM+PGtleSBhcHA9IkVO
IiBkYi1pZD0iZXh2YXNyZngyZHRyYW9lc2FzeHAyc3pzeGEyZGY1MDI1OTJ4IiB0aW1lc3RhbXA9
IjE1NDE1NDA3NzkiPjg4Njwva2V5PjxrZXkgYXBwPSJFTldlYiIgZGItaWQ9IiI+MDwva2V5Pjwv
Zm9yZWlnbi1rZXlzPjxyZWYtdHlwZSBuYW1lPSJKb3VybmFsIEFydGljbGUiPjE3PC9yZWYtdHlw
ZT48Y29udHJpYnV0b3JzPjxhdXRob3JzPjxhdXRob3I+S29uZywgSy4gTC48L2F1dGhvcj48YXV0
aG9yPkdpbGxtYW4sIE0uIFcuPC9hdXRob3I+PGF1dGhvcj5SaWZhcy1TaGltYW4sIFMuIEwuPC9h
dXRob3I+PGF1dGhvcj5XZW4sIFguPC9hdXRob3I+PC9hdXRob3JzPjwvY29udHJpYnV0b3JzPjxh
dXRoLWFkZHJlc3M+RGl2aXNpb24gb2YgQmVoYXZpb3JhbCBNZWRpY2luZSwgRGVwYXJ0bWVudCBv
ZiBQZWRpYXRyaWNzLCBTY2hvb2wgb2YgTWVkaWNpbmUgYW5kIEJpb21lZGljYWwgU2NpZW5jZXMs
IFN0YXRlIFVuaXZlcnNpdHkgb2YgTmV3IFlvcmsgYXQgQnVmZmFsbywgQnVmZmFsbywgTlksIFVT
QS4mI3hEO09iZXNpdHkgUHJldmVudGlvbiBQcm9ncmFtLCBEZXBhcnRtZW50IG9mIFBvcHVsYXRp
b24gTWVkaWNpbmUsIEhhcnZhcmQgTWVkaWNhbCBTY2hvb2wgYW5kIEhhcnZhcmQgUGlsZ3JpbSBI
ZWFsdGggQ2FyZSBJbnN0aXR1dGUsIEJvc3RvbiwgTUEsIFVTQS4mI3hEO0RlcGFydG1lbnQgb2Yg
TnV0cml0aW9uLCBIYXJ2YXJkIFNjaG9vbCBvZiBQdWJsaWMgSGVhbHRoLCBCb3N0b24sIE1BLCBV
U0EuPC9hdXRoLWFkZHJlc3M+PHRpdGxlcz48dGl0bGU+TGVpc3VyZSB0aW1lIHBoeXNpY2FsIGFj
dGl2aXR5IGJlZm9yZSBhbmQgZHVyaW5nIG1pZC1wcmVnbmFuY3kgYW5kIG9mZnNwcmluZyBhZGlw
b3NpdHkgaW4gbWlkLWNoaWxkaG9vZDwvdGl0bGU+PHNlY29uZGFyeS10aXRsZT5QZWRpYXRyIE9i
ZXM8L3NlY29uZGFyeS10aXRsZT48L3RpdGxlcz48cGVyaW9kaWNhbD48ZnVsbC10aXRsZT5QZWRp
YXRyIE9iZXM8L2Z1bGwtdGl0bGU+PC9wZXJpb2RpY2FsPjxwYWdlcz44MS03PC9wYWdlcz48dm9s
dW1lPjExPC92b2x1bWU+PG51bWJlcj4yPC9udW1iZXI+PGVkaXRpb24+MjAxNS8wNC8xMDwvZWRp
dGlvbj48a2V5d29yZHM+PGtleXdvcmQ+QWJzb3JwdGlvbWV0cnksIFBob3Rvbjwva2V5d29yZD48
a2V5d29yZD5BZGlwb3NpdHkvKnBoeXNpb2xvZ3k8L2tleXdvcmQ+PGtleXdvcmQ+QWR1bHQ8L2tl
eXdvcmQ+PGtleXdvcmQ+Qm9keSBNYXNzIEluZGV4PC9rZXl3b3JkPjxrZXl3b3JkPkNoaWxkPC9r
ZXl3b3JkPjxrZXl3b3JkPkNoaWxkIE51dHJpdGlvbmFsIFBoeXNpb2xvZ2ljYWwgUGhlbm9tZW5h
PC9rZXl3b3JkPjxrZXl3b3JkPkZlbWFsZTwva2V5d29yZD48a2V5d29yZD5IdW1hbnM8L2tleXdv
cmQ+PGtleXdvcmQ+KkxlaXN1cmUgQWN0aXZpdGllczwva2V5d29yZD48a2V5d29yZD5NYWxlPC9r
ZXl3b3JkPjxrZXl3b3JkPk1vdGhlcnM8L2tleXdvcmQ+PGtleXdvcmQ+Kk1vdG9yIEFjdGl2aXR5
PC9rZXl3b3JkPjxrZXl3b3JkPlBlZGlhdHJpYyBPYmVzaXR5LypwcmV2ZW50aW9uICZhbXA7IGNv
bnRyb2w8L2tleXdvcmQ+PGtleXdvcmQ+UHJlZ25hbmN5PC9rZXl3b3JkPjxrZXl3b3JkPlByZWdu
YW5jeSBUcmltZXN0ZXIsIFNlY29uZDwva2V5d29yZD48a2V5d29yZD5Qcm9zcGVjdGl2ZSBTdHVk
aWVzPC9rZXl3b3JkPjxrZXl3b3JkPmFkaXBvc2l0eTwva2V5d29yZD48a2V5d29yZD5jaGlsZGhv
b2Qgb2Jlc2l0eTwva2V5d29yZD48a2V5d29yZD5nZXN0YXRpb248L2tleXdvcmQ+PGtleXdvcmQ+
bGVpc3VyZSB0aW1lIHBoeXNpY2FsIGFjdGl2aXR5PC9rZXl3b3JkPjwva2V5d29yZHM+PGRhdGVz
Pjx5ZWFyPjIwMTY8L3llYXI+PHB1Yi1kYXRlcz48ZGF0ZT5BcHI8L2RhdGU+PC9wdWItZGF0ZXM+
PC9kYXRlcz48aXNibj4yMDQ3LTYzMTAgKEVsZWN0cm9uaWMpJiN4RDsyMDQ3LTYzMDIgKExpbmtp
bmcpPC9pc2JuPjxhY2Nlc3Npb24tbnVtPjI1ODU0Nzg1PC9hY2Nlc3Npb24tbnVtPjx1cmxzPjxy
ZWxhdGVkLXVybHM+PHVybD5odHRwczovL3d3dy5uY2JpLm5sbS5uaWguZ292L3B1Ym1lZC8yNTg1
NDc4NTwvdXJsPjwvcmVsYXRlZC11cmxzPjwvdXJscz48Y3VzdG9tMj5QTUM0Njk1MzE0PC9jdXN0
b20yPjxlbGVjdHJvbmljLXJlc291cmNlLW51bT4xMC4xMTExL2lqcG8uMTIwMjQ8L2VsZWN0cm9u
aWMtcmVzb3VyY2UtbnVtPjwvcmVjb3JkPjwvQ2l0ZT48L0VuZE5vdGU+
</w:fldData>
              </w:fldChar>
            </w:r>
            <w:r w:rsidR="002747EA">
              <w:instrText xml:space="preserve"> ADDIN EN.CITE.DATA </w:instrText>
            </w:r>
            <w:r w:rsidR="002747EA">
              <w:fldChar w:fldCharType="end"/>
            </w:r>
            <w:r w:rsidR="00E51743">
              <w:fldChar w:fldCharType="separate"/>
            </w:r>
            <w:r w:rsidR="002747EA" w:rsidRPr="002747EA">
              <w:rPr>
                <w:noProof/>
                <w:vertAlign w:val="superscript"/>
              </w:rPr>
              <w:t>309</w:t>
            </w:r>
            <w:r w:rsidR="00E51743">
              <w:fldChar w:fldCharType="end"/>
            </w:r>
          </w:p>
          <w:p w14:paraId="53E7222C" w14:textId="0FDFAF7D" w:rsidR="00345E7C" w:rsidRPr="00904C09" w:rsidRDefault="00345E7C" w:rsidP="00904C09">
            <w:r>
              <w:t>United States</w:t>
            </w:r>
          </w:p>
        </w:tc>
        <w:tc>
          <w:tcPr>
            <w:tcW w:w="1388" w:type="dxa"/>
          </w:tcPr>
          <w:p w14:paraId="6516C514" w14:textId="1662FF09" w:rsidR="00904C09" w:rsidRPr="00904C09" w:rsidRDefault="00C21322" w:rsidP="00904C09">
            <w:r>
              <w:t>802 mother-child dyads</w:t>
            </w:r>
          </w:p>
        </w:tc>
        <w:tc>
          <w:tcPr>
            <w:tcW w:w="4820" w:type="dxa"/>
          </w:tcPr>
          <w:p w14:paraId="7D4F1095" w14:textId="77777777" w:rsidR="00C21322" w:rsidRDefault="00C21322" w:rsidP="00C21322">
            <w:r w:rsidRPr="00C21322">
              <w:rPr>
                <w:b/>
              </w:rPr>
              <w:t>Aim</w:t>
            </w:r>
            <w:r>
              <w:t xml:space="preserve">: </w:t>
            </w:r>
            <w:r w:rsidRPr="00C21322">
              <w:t xml:space="preserve">to examine associations of maternal LTPA with offspring overall and central adiposity in mid-childhood. </w:t>
            </w:r>
          </w:p>
          <w:p w14:paraId="35937AF7" w14:textId="0B443F9F" w:rsidR="00904C09" w:rsidRPr="00904C09" w:rsidRDefault="00C21322" w:rsidP="00C21322">
            <w:r w:rsidRPr="00C21322">
              <w:rPr>
                <w:b/>
              </w:rPr>
              <w:t>Methods</w:t>
            </w:r>
            <w:r w:rsidRPr="00C21322">
              <w:t>: We analysed data from mother-child dyads from Project Viva, a prospective pre-birth cohort study. Women reported average weekly LTPA before and during mid-pregnancy. At age 7-10 years, we measured fat, truncal fat and lean mass with dual-energy X-ray absorptiometry. Using multivariable linear regression, we examined associations of maternal LTPA with offspring adiposity, adjusting for child age and sex, maternal race/ethnicity, education, age, pre-pregnancy body mass index, mari</w:t>
            </w:r>
            <w:r>
              <w:t>tal status and smoking status.</w:t>
            </w:r>
          </w:p>
        </w:tc>
        <w:tc>
          <w:tcPr>
            <w:tcW w:w="4536" w:type="dxa"/>
          </w:tcPr>
          <w:p w14:paraId="7F00C53E" w14:textId="4F3DBBEA" w:rsidR="00345E7C" w:rsidRPr="00345E7C" w:rsidRDefault="00345E7C" w:rsidP="00345E7C">
            <w:r>
              <w:t>Associations between mid pregnancy leisure time physical activity of &gt;8 hours/week</w:t>
            </w:r>
          </w:p>
          <w:p w14:paraId="072FB3EB" w14:textId="77777777" w:rsidR="00345E7C" w:rsidRDefault="00345E7C" w:rsidP="00345E7C">
            <w:pPr>
              <w:pStyle w:val="bullet"/>
            </w:pPr>
            <w:r>
              <w:t xml:space="preserve">Fat mass index: </w:t>
            </w:r>
            <w:r w:rsidRPr="00345E7C">
              <w:t>0.07 (−0.22, 0.36)</w:t>
            </w:r>
          </w:p>
          <w:p w14:paraId="0F3D3E72" w14:textId="77777777" w:rsidR="00345E7C" w:rsidRDefault="00345E7C" w:rsidP="00345E7C">
            <w:pPr>
              <w:pStyle w:val="bullet"/>
            </w:pPr>
            <w:r>
              <w:t xml:space="preserve">Truncal fat mass index: </w:t>
            </w:r>
            <w:r w:rsidRPr="00345E7C">
              <w:t>0.03 (−0.10, 0.17)</w:t>
            </w:r>
          </w:p>
          <w:p w14:paraId="7DE4FE1C" w14:textId="53918FB6" w:rsidR="00345E7C" w:rsidRPr="00345E7C" w:rsidRDefault="00345E7C" w:rsidP="00345E7C">
            <w:pPr>
              <w:pStyle w:val="bullet"/>
            </w:pPr>
            <w:r>
              <w:t xml:space="preserve">Lean mass index: </w:t>
            </w:r>
            <w:r w:rsidRPr="00345E7C">
              <w:t>0.03 (−0.18, 0.25)</w:t>
            </w:r>
          </w:p>
          <w:p w14:paraId="75E12261" w14:textId="53765DFE" w:rsidR="00904C09" w:rsidRPr="00C21322" w:rsidRDefault="00904C09" w:rsidP="00C21322"/>
        </w:tc>
        <w:tc>
          <w:tcPr>
            <w:tcW w:w="1843" w:type="dxa"/>
          </w:tcPr>
          <w:p w14:paraId="58F0DC79" w14:textId="77777777" w:rsidR="00904C09" w:rsidRPr="00904C09" w:rsidRDefault="00904C09" w:rsidP="00904C09"/>
        </w:tc>
      </w:tr>
    </w:tbl>
    <w:p w14:paraId="5496E625" w14:textId="4474447C" w:rsidR="0003571F" w:rsidRPr="00DC4A73" w:rsidRDefault="009C163D" w:rsidP="00BD61CC">
      <w:pPr>
        <w:pStyle w:val="TableName"/>
        <w:ind w:left="1134" w:hanging="1134"/>
      </w:pPr>
      <w:bookmarkStart w:id="143" w:name="_Toc40956661"/>
      <w:r>
        <w:t xml:space="preserve">Q5 </w:t>
      </w:r>
      <w:r w:rsidR="0003571F">
        <w:t>Physical activity in pregnancy and neurodevelopment of the child</w:t>
      </w:r>
      <w:bookmarkEnd w:id="14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3: Q5 Physical activity in pregnancy and neurodevelopment of the child"/>
      </w:tblPr>
      <w:tblGrid>
        <w:gridCol w:w="1305"/>
        <w:gridCol w:w="1388"/>
        <w:gridCol w:w="4820"/>
        <w:gridCol w:w="4536"/>
        <w:gridCol w:w="1843"/>
      </w:tblGrid>
      <w:tr w:rsidR="0003571F" w:rsidRPr="00F350A6" w14:paraId="0D1A1D4A" w14:textId="77777777" w:rsidTr="0003571F">
        <w:trPr>
          <w:cantSplit/>
          <w:tblHeader/>
        </w:trPr>
        <w:tc>
          <w:tcPr>
            <w:tcW w:w="1305" w:type="dxa"/>
          </w:tcPr>
          <w:p w14:paraId="3C07F54E" w14:textId="77777777" w:rsidR="0003571F" w:rsidRPr="00F350A6" w:rsidRDefault="0003571F" w:rsidP="00DE2A9C">
            <w:pPr>
              <w:keepNext/>
              <w:rPr>
                <w:b/>
              </w:rPr>
            </w:pPr>
            <w:r>
              <w:rPr>
                <w:b/>
              </w:rPr>
              <w:t>Study ref</w:t>
            </w:r>
          </w:p>
        </w:tc>
        <w:tc>
          <w:tcPr>
            <w:tcW w:w="1388" w:type="dxa"/>
          </w:tcPr>
          <w:p w14:paraId="185A7F57" w14:textId="77777777" w:rsidR="0003571F" w:rsidRPr="00F350A6" w:rsidRDefault="0003571F" w:rsidP="00DE2A9C">
            <w:pPr>
              <w:keepNext/>
              <w:rPr>
                <w:b/>
              </w:rPr>
            </w:pPr>
            <w:r>
              <w:rPr>
                <w:b/>
              </w:rPr>
              <w:t>N</w:t>
            </w:r>
          </w:p>
        </w:tc>
        <w:tc>
          <w:tcPr>
            <w:tcW w:w="4820" w:type="dxa"/>
          </w:tcPr>
          <w:p w14:paraId="62D3E374" w14:textId="77777777" w:rsidR="0003571F" w:rsidRPr="00F350A6" w:rsidRDefault="0003571F" w:rsidP="00DE2A9C">
            <w:pPr>
              <w:keepNext/>
              <w:rPr>
                <w:b/>
              </w:rPr>
            </w:pPr>
            <w:r>
              <w:rPr>
                <w:b/>
              </w:rPr>
              <w:t>Aim/methods</w:t>
            </w:r>
          </w:p>
        </w:tc>
        <w:tc>
          <w:tcPr>
            <w:tcW w:w="4536" w:type="dxa"/>
          </w:tcPr>
          <w:p w14:paraId="75C9B17A" w14:textId="77777777" w:rsidR="0003571F" w:rsidRPr="00F350A6" w:rsidRDefault="0003571F" w:rsidP="00DE2A9C">
            <w:pPr>
              <w:keepNext/>
              <w:rPr>
                <w:b/>
              </w:rPr>
            </w:pPr>
            <w:r>
              <w:rPr>
                <w:b/>
              </w:rPr>
              <w:t>Results</w:t>
            </w:r>
          </w:p>
        </w:tc>
        <w:tc>
          <w:tcPr>
            <w:tcW w:w="1843" w:type="dxa"/>
          </w:tcPr>
          <w:p w14:paraId="55AA9B71" w14:textId="77777777" w:rsidR="0003571F" w:rsidRPr="00F350A6" w:rsidRDefault="0003571F" w:rsidP="00DE2A9C">
            <w:pPr>
              <w:keepNext/>
              <w:rPr>
                <w:b/>
              </w:rPr>
            </w:pPr>
            <w:r>
              <w:rPr>
                <w:b/>
              </w:rPr>
              <w:t>Comments</w:t>
            </w:r>
          </w:p>
        </w:tc>
      </w:tr>
      <w:tr w:rsidR="0003571F" w:rsidRPr="0003571F" w14:paraId="562D57F6" w14:textId="77777777" w:rsidTr="0003571F">
        <w:trPr>
          <w:cantSplit/>
          <w:tblHeader/>
        </w:trPr>
        <w:tc>
          <w:tcPr>
            <w:tcW w:w="1305" w:type="dxa"/>
          </w:tcPr>
          <w:p w14:paraId="5E12A8C8" w14:textId="2DA9F138" w:rsidR="0003571F" w:rsidRPr="0003571F" w:rsidRDefault="0003571F" w:rsidP="002747EA">
            <w:pPr>
              <w:keepNext/>
            </w:pPr>
            <w:r>
              <w:t>Nino Cruz et al 2018</w:t>
            </w:r>
            <w:r w:rsidR="00E51743">
              <w:fldChar w:fldCharType="begin"/>
            </w:r>
            <w:r w:rsidR="002747EA">
              <w:instrText xml:space="preserve"> ADDIN EN.CITE &lt;EndNote&gt;&lt;Cite&gt;&lt;Author&gt;Nino Cruz&lt;/Author&gt;&lt;Year&gt;2018&lt;/Year&gt;&lt;RecNum&gt;567&lt;/RecNum&gt;&lt;DisplayText&gt;&lt;style face="superscript" font="Trebuchet MS" size="9"&gt;310&lt;/style&gt;&lt;/DisplayText&gt;&lt;record&gt;&lt;rec-number&gt;567&lt;/rec-number&gt;&lt;foreign-keys&gt;&lt;key app="EN" db-id="exvasrfx2dtraoesasxp2szsxa2df502592x" timestamp="1535933807"&gt;567&lt;/key&gt;&lt;key app="ENWeb" db-id=""&gt;0&lt;/key&gt;&lt;/foreign-keys&gt;&lt;ref-type name="Journal Article"&gt;17&lt;/ref-type&gt;&lt;contributors&gt;&lt;authors&gt;&lt;author&gt;Nino Cruz, G. I.&lt;/author&gt;&lt;author&gt;Ramirez Varela, A.&lt;/author&gt;&lt;author&gt;da Silva, I. C. M.&lt;/author&gt;&lt;author&gt;Hallal, P. C.&lt;/author&gt;&lt;author&gt;Santos, I. S.&lt;/author&gt;&lt;/authors&gt;&lt;/contributors&gt;&lt;auth-address&gt;Post-Graduate Program in Epidemiology, Federal University of Pelotas, Rio Grande do Sul, Brazil.&lt;/auth-address&gt;&lt;titles&gt;&lt;title&gt;Physical activity during pregnancy and offspring neurodevelopment: A systematic review&lt;/title&gt;&lt;secondary-title&gt;Paediatr Perinat Epidemiol&lt;/secondary-title&gt;&lt;/titles&gt;&lt;periodical&gt;&lt;full-title&gt;Paediatr Perinat Epidemiol&lt;/full-title&gt;&lt;/periodical&gt;&lt;pages&gt;369-379&lt;/pages&gt;&lt;volume&gt;32&lt;/volume&gt;&lt;number&gt;4&lt;/number&gt;&lt;edition&gt;2018/05/05&lt;/edition&gt;&lt;keywords&gt;&lt;keyword&gt;childhood&lt;/keyword&gt;&lt;keyword&gt;infancy&lt;/keyword&gt;&lt;keyword&gt;neurodevelopment&lt;/keyword&gt;&lt;keyword&gt;physical activity&lt;/keyword&gt;&lt;keyword&gt;pregnancy&lt;/keyword&gt;&lt;/keywords&gt;&lt;dates&gt;&lt;year&gt;2018&lt;/year&gt;&lt;pub-dates&gt;&lt;date&gt;Jul&lt;/date&gt;&lt;/pub-dates&gt;&lt;/dates&gt;&lt;isbn&gt;1365-3016 (Electronic)&amp;#xD;0269-5022 (Linking)&lt;/isbn&gt;&lt;accession-num&gt;29727034&lt;/accession-num&gt;&lt;urls&gt;&lt;related-urls&gt;&lt;url&gt;https://www.ncbi.nlm.nih.gov/pubmed/29727034&lt;/url&gt;&lt;/related-urls&gt;&lt;/urls&gt;&lt;electronic-resource-num&gt;10.1111/ppe.12472&lt;/electronic-resource-num&gt;&lt;/record&gt;&lt;/Cite&gt;&lt;/EndNote&gt;</w:instrText>
            </w:r>
            <w:r w:rsidR="00E51743">
              <w:fldChar w:fldCharType="separate"/>
            </w:r>
            <w:r w:rsidR="002747EA" w:rsidRPr="002747EA">
              <w:rPr>
                <w:noProof/>
                <w:vertAlign w:val="superscript"/>
              </w:rPr>
              <w:t>310</w:t>
            </w:r>
            <w:r w:rsidR="00E51743">
              <w:fldChar w:fldCharType="end"/>
            </w:r>
          </w:p>
        </w:tc>
        <w:tc>
          <w:tcPr>
            <w:tcW w:w="1388" w:type="dxa"/>
          </w:tcPr>
          <w:p w14:paraId="7321D9E0" w14:textId="77777777" w:rsidR="0003571F" w:rsidRDefault="0003571F" w:rsidP="00DE2A9C">
            <w:pPr>
              <w:keepNext/>
            </w:pPr>
            <w:r>
              <w:t>6 studies</w:t>
            </w:r>
          </w:p>
          <w:p w14:paraId="2C0AC937" w14:textId="34D60A3D" w:rsidR="00EE6645" w:rsidRDefault="00EE6645" w:rsidP="00DE2A9C">
            <w:pPr>
              <w:keepNext/>
            </w:pPr>
            <w:r>
              <w:t>1 RCT; 5 cohort</w:t>
            </w:r>
          </w:p>
          <w:p w14:paraId="0CE1E151" w14:textId="74B04D40" w:rsidR="0003571F" w:rsidRPr="0003571F" w:rsidRDefault="0003571F" w:rsidP="00DE2A9C">
            <w:pPr>
              <w:keepNext/>
            </w:pPr>
            <w:r>
              <w:t>SLR</w:t>
            </w:r>
          </w:p>
        </w:tc>
        <w:tc>
          <w:tcPr>
            <w:tcW w:w="4820" w:type="dxa"/>
          </w:tcPr>
          <w:p w14:paraId="5D21E6F6" w14:textId="0C8BBE36" w:rsidR="0003571F" w:rsidRDefault="0003571F" w:rsidP="00DE2A9C">
            <w:pPr>
              <w:keepNext/>
            </w:pPr>
            <w:r w:rsidRPr="0003571F">
              <w:rPr>
                <w:b/>
              </w:rPr>
              <w:t>Aim</w:t>
            </w:r>
            <w:r>
              <w:t>: T</w:t>
            </w:r>
            <w:r w:rsidRPr="0003571F">
              <w:t xml:space="preserve">o review the literature on the association between physical activity </w:t>
            </w:r>
            <w:r w:rsidR="00AC1FF1">
              <w:t xml:space="preserve">(PA) </w:t>
            </w:r>
            <w:r w:rsidRPr="0003571F">
              <w:t xml:space="preserve">during pregnancy and offspring neurodevelopment. </w:t>
            </w:r>
          </w:p>
          <w:p w14:paraId="508DA00A" w14:textId="6390D632" w:rsidR="0003571F" w:rsidRPr="0003571F" w:rsidRDefault="0003571F" w:rsidP="0003571F">
            <w:pPr>
              <w:keepNext/>
            </w:pPr>
            <w:r w:rsidRPr="0003571F">
              <w:rPr>
                <w:b/>
              </w:rPr>
              <w:t>Methods</w:t>
            </w:r>
            <w:r w:rsidRPr="0003571F">
              <w:t xml:space="preserve">: LILACS, MEDLINE and Web of Science were searched for studies published since 1977. Original studies conducted in humans, without language, country, or study type restriction, were eligible. Information on the study methodology like study  design, sample size, PA exposure and neurodevelopment assessment, covariates, and the effect measure were extracted from the selected articles. </w:t>
            </w:r>
          </w:p>
        </w:tc>
        <w:tc>
          <w:tcPr>
            <w:tcW w:w="4536" w:type="dxa"/>
          </w:tcPr>
          <w:p w14:paraId="2BAFA2E0" w14:textId="77777777" w:rsidR="00EE6645" w:rsidRDefault="0003571F" w:rsidP="0003571F">
            <w:r w:rsidRPr="0003571F">
              <w:t xml:space="preserve">The instruments used to measure PA during pregnancy and neurodevelopment varied between the studies. PA was self-reported at different gestational ages and neurodevelopment was assessed prospectively in offspring aged 1-8 years old. </w:t>
            </w:r>
          </w:p>
          <w:p w14:paraId="644181A3" w14:textId="61265272" w:rsidR="0003571F" w:rsidRPr="0003571F" w:rsidRDefault="0003571F" w:rsidP="00EE6645">
            <w:r w:rsidRPr="0003571F">
              <w:t xml:space="preserve">Only the randomised clinical trial found no effect of PA over offspring neurodevelopment. Cohort studies found a positive association between </w:t>
            </w:r>
            <w:r w:rsidR="00EE6645">
              <w:t>physical activity</w:t>
            </w:r>
            <w:r w:rsidRPr="0003571F">
              <w:t xml:space="preserve"> during pregnancy and offspring neurodevelopment. </w:t>
            </w:r>
          </w:p>
        </w:tc>
        <w:tc>
          <w:tcPr>
            <w:tcW w:w="1843" w:type="dxa"/>
          </w:tcPr>
          <w:p w14:paraId="40173A88" w14:textId="77777777" w:rsidR="0003571F" w:rsidRPr="0003571F" w:rsidRDefault="0003571F" w:rsidP="00DE2A9C">
            <w:pPr>
              <w:keepNext/>
            </w:pPr>
          </w:p>
        </w:tc>
      </w:tr>
    </w:tbl>
    <w:p w14:paraId="668520F6" w14:textId="77777777" w:rsidR="00C066D7" w:rsidRDefault="00C066D7" w:rsidP="00E14BF4">
      <w:pPr>
        <w:sectPr w:rsidR="00C066D7" w:rsidSect="000E26CA">
          <w:pgSz w:w="16820" w:h="11900" w:orient="landscape"/>
          <w:pgMar w:top="1418" w:right="1134" w:bottom="1418" w:left="1134" w:header="709" w:footer="709" w:gutter="0"/>
          <w:cols w:space="708"/>
          <w:docGrid w:linePitch="360"/>
        </w:sectPr>
      </w:pPr>
    </w:p>
    <w:p w14:paraId="57740C73" w14:textId="2F0372D0" w:rsidR="0025332C" w:rsidRDefault="0025332C" w:rsidP="00755FB9">
      <w:pPr>
        <w:pStyle w:val="Heading2"/>
      </w:pPr>
      <w:bookmarkStart w:id="144" w:name="_Toc40956518"/>
      <w:r w:rsidRPr="00F43F44">
        <w:rPr>
          <w:b/>
        </w:rPr>
        <w:t>Q</w:t>
      </w:r>
      <w:r w:rsidR="00F43F44" w:rsidRPr="00F43F44">
        <w:rPr>
          <w:b/>
        </w:rPr>
        <w:t>6</w:t>
      </w:r>
      <w:r>
        <w:t xml:space="preserve">: </w:t>
      </w:r>
      <w:r w:rsidR="00F43F44" w:rsidRPr="008E3E3B">
        <w:t xml:space="preserve">What </w:t>
      </w:r>
      <w:r w:rsidR="00F43F44">
        <w:t>physical activities</w:t>
      </w:r>
      <w:r w:rsidR="00F43F44" w:rsidRPr="008E3E3B">
        <w:t xml:space="preserve"> are associated with adverse </w:t>
      </w:r>
      <w:r w:rsidR="00F43F44">
        <w:t>maternal and perinatal outcomes</w:t>
      </w:r>
      <w:r w:rsidRPr="00B432DA">
        <w:t>?</w:t>
      </w:r>
      <w:bookmarkEnd w:id="144"/>
    </w:p>
    <w:p w14:paraId="57FDBD3F" w14:textId="12FBFD5F" w:rsidR="008863D9" w:rsidRDefault="00D906C2" w:rsidP="006B6C3C">
      <w:pPr>
        <w:pStyle w:val="Heading3"/>
      </w:pPr>
      <w:bookmarkStart w:id="145" w:name="_Toc40956519"/>
      <w:r>
        <w:t>Existing</w:t>
      </w:r>
      <w:r w:rsidR="008863D9">
        <w:t xml:space="preserve"> guidelines on exercise in pregnancy</w:t>
      </w:r>
      <w:bookmarkEnd w:id="145"/>
    </w:p>
    <w:p w14:paraId="6B8E34A5" w14:textId="517F00E9" w:rsidR="00EF7282" w:rsidRPr="00D3746E" w:rsidRDefault="00EF7282" w:rsidP="00EF7282">
      <w:r w:rsidRPr="00D3746E">
        <w:t>There are several</w:t>
      </w:r>
      <w:r>
        <w:t xml:space="preserve"> </w:t>
      </w:r>
      <w:r w:rsidRPr="00D3746E">
        <w:t>activities that pose increased risks in</w:t>
      </w:r>
      <w:r>
        <w:t xml:space="preserve"> </w:t>
      </w:r>
      <w:r w:rsidRPr="00D3746E">
        <w:t>pregnancy such as scuba diving and</w:t>
      </w:r>
      <w:r>
        <w:t xml:space="preserve"> </w:t>
      </w:r>
      <w:r w:rsidRPr="00D3746E">
        <w:t>exertion in the supine position.</w:t>
      </w:r>
      <w:r>
        <w:t xml:space="preserve"> </w:t>
      </w:r>
      <w:r w:rsidRPr="00D3746E">
        <w:t>Activities that increase</w:t>
      </w:r>
      <w:r>
        <w:t xml:space="preserve"> </w:t>
      </w:r>
      <w:r w:rsidRPr="00D3746E">
        <w:t>the risk of falls, such as skiing, or those</w:t>
      </w:r>
      <w:r>
        <w:t xml:space="preserve"> </w:t>
      </w:r>
      <w:r w:rsidRPr="00D3746E">
        <w:t>that may result in excessive joint stress,</w:t>
      </w:r>
      <w:r>
        <w:t xml:space="preserve"> </w:t>
      </w:r>
      <w:r w:rsidRPr="00D3746E">
        <w:t>such as jogging and tennis, should</w:t>
      </w:r>
      <w:r>
        <w:t xml:space="preserve"> </w:t>
      </w:r>
      <w:r w:rsidRPr="00D3746E">
        <w:t>include cautionary advice for most pregnant</w:t>
      </w:r>
      <w:r>
        <w:t xml:space="preserve"> </w:t>
      </w:r>
      <w:r w:rsidRPr="00D3746E">
        <w:t>women, but evaluated on an individual</w:t>
      </w:r>
      <w:r>
        <w:t xml:space="preserve"> </w:t>
      </w:r>
      <w:r w:rsidRPr="00D3746E">
        <w:t>basis with consideration for individual</w:t>
      </w:r>
      <w:r>
        <w:t xml:space="preserve"> </w:t>
      </w:r>
      <w:r w:rsidRPr="00D3746E">
        <w:t>abilities.</w:t>
      </w:r>
    </w:p>
    <w:p w14:paraId="20A4962E" w14:textId="77777777" w:rsidR="00B43651" w:rsidRDefault="00B43651" w:rsidP="006B6C3C">
      <w:pPr>
        <w:pStyle w:val="Heading3"/>
      </w:pPr>
      <w:bookmarkStart w:id="146" w:name="_Toc40956520"/>
      <w:r>
        <w:t>Any exercise</w:t>
      </w:r>
      <w:bookmarkEnd w:id="146"/>
    </w:p>
    <w:p w14:paraId="7C0DC835" w14:textId="0DBECDE8" w:rsidR="0063687D" w:rsidRDefault="0063687D" w:rsidP="00A912D4">
      <w:r>
        <w:t xml:space="preserve">Systematic reviews have found: </w:t>
      </w:r>
    </w:p>
    <w:p w14:paraId="21424A77" w14:textId="32569FDD" w:rsidR="00B43651" w:rsidRDefault="00B43651" w:rsidP="00BD61CC">
      <w:pPr>
        <w:pStyle w:val="bullet"/>
      </w:pPr>
      <w:r>
        <w:t>no increase in risk of miscarriage (</w:t>
      </w:r>
      <w:r w:rsidRPr="00A912D4">
        <w:rPr>
          <w:sz w:val="16"/>
          <w:szCs w:val="16"/>
        </w:rPr>
        <w:t>OR 0.69; 95%CI 0.40 to 1.22; 10 studies</w:t>
      </w:r>
      <w:r>
        <w:t>) or perinatal mortality (</w:t>
      </w:r>
      <w:r w:rsidRPr="00A912D4">
        <w:rPr>
          <w:sz w:val="16"/>
          <w:szCs w:val="16"/>
        </w:rPr>
        <w:t>OR 0.79; 95%CI 0.26 to 2.38; 6 studies</w:t>
      </w:r>
      <w:r>
        <w:t>) between women who exercised in pregnancy compared to those who did not</w:t>
      </w:r>
      <w:r w:rsidR="0063687D">
        <w:t xml:space="preserve"> (</w:t>
      </w:r>
      <w:r w:rsidR="0063687D" w:rsidRPr="00A912D4">
        <w:rPr>
          <w:sz w:val="16"/>
          <w:szCs w:val="16"/>
        </w:rPr>
        <w:t>46 studies, n=266,778</w:t>
      </w:r>
      <w:r w:rsidR="0063687D">
        <w:t>)</w:t>
      </w:r>
      <w:r w:rsidR="0063687D">
        <w:fldChar w:fldCharType="begin">
          <w:fldData xml:space="preserve">PEVuZE5vdGU+PENpdGU+PEF1dGhvcj5EYXZlbnBvcnQ8L0F1dGhvcj48WWVhcj4yMDE5PC9ZZWFy
PjxSZWNOdW0+MTI0NzwvUmVjTnVtPjxEaXNwbGF5VGV4dD48c3R5bGUgZmFjZT0ic3VwZXJzY3Jp
cHQiIGZvbnQ9IlRyZWJ1Y2hldCBNUyIgc2l6ZT0iOSI+MzE2PC9zdHlsZT48L0Rpc3BsYXlUZXh0
PjxyZWNvcmQ+PHJlYy1udW1iZXI+MTI0NzwvcmVjLW51bWJlcj48Zm9yZWlnbi1rZXlzPjxrZXkg
YXBwPSJFTiIgZGItaWQ9ImV4dmFzcmZ4MmR0cmFvZXNhc3hwMnN6c3hhMmRmNTAyNTkyeCIgdGlt
ZXN0YW1wPSIxNTYyODIyNTg0Ij4xMjQ3PC9rZXk+PGtleSBhcHA9IkVOV2ViIiBkYi1pZD0iIj4w
PC9rZXk+PC9mb3JlaWduLWtleXM+PHJlZi10eXBlIG5hbWU9IkpvdXJuYWwgQXJ0aWNsZSI+MTc8
L3JlZi10eXBlPjxjb250cmlidXRvcnM+PGF1dGhvcnM+PGF1dGhvcj5EYXZlbnBvcnQsIE0uIEgu
PC9hdXRob3I+PGF1dGhvcj5LYXRob2wsIEEuIEouPC9hdXRob3I+PGF1dGhvcj5Nb3R0b2xhLCBN
LiBGLjwvYXV0aG9yPjxhdXRob3I+U2tvdywgUi4gSi48L2F1dGhvcj48YXV0aG9yPk1lYWgsIFYu
IEwuPC9hdXRob3I+PGF1dGhvcj5Qb2l0cmFzLCBWLiBKLjwvYXV0aG9yPjxhdXRob3I+SmFyYW1p
bGxvIEdhcmNpYSwgQS48L2F1dGhvcj48YXV0aG9yPkdyYXksIEMuIEUuPC9hdXRob3I+PGF1dGhv
cj5CYXJyb3dtYW4sIE4uPC9hdXRob3I+PGF1dGhvcj5SaXNrZSwgTC48L2F1dGhvcj48YXV0aG9y
PlNvYmllcmFqc2tpLCBGLjwvYXV0aG9yPjxhdXRob3I+SmFtZXMsIE0uPC9hdXRob3I+PGF1dGhv
cj5OYWdwYWwsIFQuPC9hdXRob3I+PGF1dGhvcj5NYXJjaGFuZCwgQS4gQS48L2F1dGhvcj48YXV0
aG9yPlNsYXRlciwgTC4gRy48L2F1dGhvcj48YXV0aG9yPkFkYW1vLCBLLiBCLjwvYXV0aG9yPjxh
dXRob3I+RGF2aWVzLCBHLiBBLjwvYXV0aG9yPjxhdXRob3I+QmFyYWthdCwgUi48L2F1dGhvcj48
YXV0aG9yPlJ1Y2hhdCwgUy4gTS48L2F1dGhvcj48L2F1dGhvcnM+PC9jb250cmlidXRvcnM+PGF1
dGgtYWRkcmVzcz5Qcm9ncmFtIGZvciBQcmVnbmFuY3kgYW5kIFBvc3RwYXJ0dW0gSGVhbHRoLCBQ
aHlzaWNhbCBBY3Rpdml0eSBhbmQgRGlhYmV0ZXMgTGFib3JhdG9yeSwgRmFjdWx0eSBvZiBLaW5l
c2lvbG9neSwgU3BvcnQsIGFuZCBSZWNyZWF0aW9uLCBXb21lbiBhbmQgQ2hpbGRyZW4mYXBvcztz
IEhlYWx0aCBSZXNlYXJjaCBJbnN0aXR1dGUsIEFsYmVydGEgRGlhYmV0ZXMgSW5zdGl0dXRlLCBV
bml2ZXJzaXR5IG9mIEFsYmVydGEsIEVkbW9udG9uLCBBbGJlcnRhLCBDYW5hZGEuJiN4RDtSIFNh
bXVlbCBNY0xhdWdobGluIEZvdW5kYXRpb24sIEV4ZXJjaXNlIGFuZCBQcmVnbmFuY3kgTGFib3Jh
dG9yeSwgU2Nob29sIG9mIEtpbmVzaW9sb2d5LCBGYWN1bHR5IG9mIEhlYWx0aCBTY2llbmNlcywg
RGVwYXJ0bWVudCBvZiBBbmF0b215IGFuZCBDZWxsIEJpb2xvZ3ksIFNjaHVsaWNoIFNjaG9vbCBv
ZiBNZWRpY2luZSBhbmQgRGVudGlzdHJ5LCBDaGlsZHJlbiZhcG9zO3MgSGVhbHRoIFJlc2VhcmNo
IEluc3RpdHV0ZSwgVGhlIFVuaXZlcnNpdHkgb2YgV2VzdGVybiBPbnRhcmlvLCBMb25kb24sIE9u
dGFyaW8sIENhbmFkYS4mI3hEO0NhcmRpZmYgU2Nob29sIG9mIFNwb3J0IGFuZCBIZWFsdGggU2Np
ZW5jZXMsIENhcmRpZmYgTWV0cm9wb2xpdGFuIFVuaXZlcnNpdHksIENhcmRpZmYsIFVLLiYjeEQ7
SW5kZXBlbmRlbnQgUmVzZWFyY2hlciwgT3R0YXdhLCBPbnRhcmlvLCBDYW5hZGEuJiN4RDtIZWFs
dGh5IEFjdGl2ZSBMaXZpbmcgYW5kIE9iZXNpdHkgUmVzZWFyY2ggR3JvdXAsIENoaWxkcmVuJmFw
b3M7cyBIb3NwaXRhbCBvZiBFYXN0ZXJuIE9udGFyaW8gUmVzZWFyY2ggSW5zdGl0dXRlLCBPdHRh
d2EsIE9udGFyaW8sIENhbmFkYS4mI3hEO0NsaW5pY2FsIFJlc2VhcmNoIFVuaXQsIENoaWxkcmVu
JmFwb3M7cyBIb3NwaXRhbCBvZiBFYXN0ZXJuIE9udGFyaW8gUmVzZWFyY2ggSW5zdGl0dXRlLCBP
dHRhd2EsIE9udGFyaW8sIENhbmFkYS4mI3hEO0RlcGFydG1lbnQgb2YgQW5hdG9teSwgVW5pdmVy
c2l0ZSBkdSBRdWViZWMgYSBUcm9pcy1SaXZpZXJlcywgVHJvaXMtUml2aWVyZXMsIFF1ZWJlYywg
Q2FuYWRhLiYjeEQ7Sm9obiBXIFNjb3R0IEhlYWx0aCBTY2llbmNlcyBMaWJyYXJ5LCBVbml2ZXJz
aXR5IG9mIEFsYmVydGEsIEVkbW9udG9uLCBBbGJlcnRhLCBDYW5hZGEuJiN4RDtGYWN1bHR5IG9m
IEhlYWx0aCBTY2llbmNlcywgVW5pdmVyc2l0eSBvZiBPdHRhd2EsIE90dGF3YSwgT250YXJpbywg
Q2FuYWRhLiYjeEQ7RGVwYXJ0bWVudCBvZiBPYnN0ZXRyaWNzIGFuZCBHeW5lY29sb2d5LCBRdWVl
biZhcG9zO3MgVW5pdmVyc2l0eSwgS2luZ3N0b24sIE9udGFyaW8sIENhbmFkYS4mI3hEO0ZhY3Vs
dGFkIGRlIENpZW5jaWFzIGRlIGxhIEFjdGl2aWRhZCBGaXNpY2EgeSBkZWwgRGVwb3J0ZS1JTkVG
LCBVbml2ZXJzaWRhZCBQb2xpdGVjbmljYSBkZSBNYWRyaWQsIE1hZHJpZCwgU3BhaW4uJiN4RDtE
ZXBhcnRtZW50IG9mIEh1bWFuIEtpbmV0aWNzLCBVbml2ZXJzaXRlIGR1IFF1ZWJlYyBhIFRyb2lz
LVJpdmllcmVzLCBUcm9pcy1SaXZpZXJlcywgUXVlYmVjLCBDYW5hZGEuPC9hdXRoLWFkZHJlc3M+
PHRpdGxlcz48dGl0bGU+UHJlbmF0YWwgZXhlcmNpc2UgaXMgbm90IGFzc29jaWF0ZWQgd2l0aCBm
ZXRhbCBtb3J0YWxpdHk6IGEgc3lzdGVtYXRpYyByZXZpZXcgYW5kIG1ldGEtYW5hbHlzaXM8L3Rp
dGxlPjxzZWNvbmRhcnktdGl0bGU+QnIgSiBTcG9ydHMgTWVkPC9zZWNvbmRhcnktdGl0bGU+PC90
aXRsZXM+PHBlcmlvZGljYWw+PGZ1bGwtdGl0bGU+QnIgSiBTcG9ydHMgTWVkPC9mdWxsLXRpdGxl
PjwvcGVyaW9kaWNhbD48cGFnZXM+MTA4LTExNTwvcGFnZXM+PHZvbHVtZT41Mzwvdm9sdW1lPjxu
dW1iZXI+MjwvbnVtYmVyPjxlZGl0aW9uPjIwMTgvMTAvMjA8L2VkaXRpb24+PGtleXdvcmRzPjxr
ZXl3b3JkPipFeGVyY2lzZTwva2V5d29yZD48a2V5d29yZD5GZW1hbGU8L2tleXdvcmQ+PGtleXdv
cmQ+KkZldGFsIERlYXRoPC9rZXl3b3JkPjxrZXl3b3JkPkh1bWFuczwva2V5d29yZD48a2V5d29y
ZD5JbmZhbnQ8L2tleXdvcmQ+PGtleXdvcmQ+KkluZmFudCBEZWF0aDwva2V5d29yZD48a2V5d29y
ZD5QcmVnbmFuY3k8L2tleXdvcmQ+PGtleXdvcmQ+UHJlbmF0YWwgQ2FyZTwva2V5d29yZD48a2V5
d29yZD5SYW5kb21pemVkIENvbnRyb2xsZWQgVHJpYWxzIGFzIFRvcGljPC9rZXl3b3JkPjxrZXl3
b3JkPmV4ZXJjaXNlPC9rZXl3b3JkPjxrZXl3b3JkPm1pc2NhcnJpYWdlPC9rZXl3b3JkPjxrZXl3
b3JkPnBlcmluYXRhbCBtb3J0YWxpdHk8L2tleXdvcmQ+PGtleXdvcmQ+c3RpbGxiaXJ0aDwva2V5
d29yZD48L2tleXdvcmRzPjxkYXRlcz48eWVhcj4yMDE5PC95ZWFyPjxwdWItZGF0ZXM+PGRhdGU+
SmFuPC9kYXRlPjwvcHViLWRhdGVzPjwvZGF0ZXM+PGlzYm4+MTQ3My0wNDgwIChFbGVjdHJvbmlj
KSYjeEQ7MDMwNi0zNjc0IChMaW5raW5nKTwvaXNibj48YWNjZXNzaW9uLW51bT4zMDMzNzM0Njwv
YWNjZXNzaW9uLW51bT48dXJscz48cmVsYXRlZC11cmxzPjx1cmw+aHR0cHM6Ly93d3cubmNiaS5u
bG0ubmloLmdvdi9wdWJtZWQvMzAzMzczNDY8L3VybD48L3JlbGF0ZWQtdXJscz48L3VybHM+PGVs
ZWN0cm9uaWMtcmVzb3VyY2UtbnVtPjEwLjExMzYvYmpzcG9ydHMtMjAxOC0wOTk3NzM8L2VsZWN0
cm9uaWMtcmVzb3VyY2UtbnVtPjwvcmVjb3JkPjwvQ2l0ZT48L0VuZE5vdGU+
</w:fldData>
        </w:fldChar>
      </w:r>
      <w:r w:rsidR="002747EA">
        <w:instrText xml:space="preserve"> ADDIN EN.CITE </w:instrText>
      </w:r>
      <w:r w:rsidR="002747EA">
        <w:fldChar w:fldCharType="begin">
          <w:fldData xml:space="preserve">PEVuZE5vdGU+PENpdGU+PEF1dGhvcj5EYXZlbnBvcnQ8L0F1dGhvcj48WWVhcj4yMDE5PC9ZZWFy
PjxSZWNOdW0+MTI0NzwvUmVjTnVtPjxEaXNwbGF5VGV4dD48c3R5bGUgZmFjZT0ic3VwZXJzY3Jp
cHQiIGZvbnQ9IlRyZWJ1Y2hldCBNUyIgc2l6ZT0iOSI+MzE2PC9zdHlsZT48L0Rpc3BsYXlUZXh0
PjxyZWNvcmQ+PHJlYy1udW1iZXI+MTI0NzwvcmVjLW51bWJlcj48Zm9yZWlnbi1rZXlzPjxrZXkg
YXBwPSJFTiIgZGItaWQ9ImV4dmFzcmZ4MmR0cmFvZXNhc3hwMnN6c3hhMmRmNTAyNTkyeCIgdGlt
ZXN0YW1wPSIxNTYyODIyNTg0Ij4xMjQ3PC9rZXk+PGtleSBhcHA9IkVOV2ViIiBkYi1pZD0iIj4w
PC9rZXk+PC9mb3JlaWduLWtleXM+PHJlZi10eXBlIG5hbWU9IkpvdXJuYWwgQXJ0aWNsZSI+MTc8
L3JlZi10eXBlPjxjb250cmlidXRvcnM+PGF1dGhvcnM+PGF1dGhvcj5EYXZlbnBvcnQsIE0uIEgu
PC9hdXRob3I+PGF1dGhvcj5LYXRob2wsIEEuIEouPC9hdXRob3I+PGF1dGhvcj5Nb3R0b2xhLCBN
LiBGLjwvYXV0aG9yPjxhdXRob3I+U2tvdywgUi4gSi48L2F1dGhvcj48YXV0aG9yPk1lYWgsIFYu
IEwuPC9hdXRob3I+PGF1dGhvcj5Qb2l0cmFzLCBWLiBKLjwvYXV0aG9yPjxhdXRob3I+SmFyYW1p
bGxvIEdhcmNpYSwgQS48L2F1dGhvcj48YXV0aG9yPkdyYXksIEMuIEUuPC9hdXRob3I+PGF1dGhv
cj5CYXJyb3dtYW4sIE4uPC9hdXRob3I+PGF1dGhvcj5SaXNrZSwgTC48L2F1dGhvcj48YXV0aG9y
PlNvYmllcmFqc2tpLCBGLjwvYXV0aG9yPjxhdXRob3I+SmFtZXMsIE0uPC9hdXRob3I+PGF1dGhv
cj5OYWdwYWwsIFQuPC9hdXRob3I+PGF1dGhvcj5NYXJjaGFuZCwgQS4gQS48L2F1dGhvcj48YXV0
aG9yPlNsYXRlciwgTC4gRy48L2F1dGhvcj48YXV0aG9yPkFkYW1vLCBLLiBCLjwvYXV0aG9yPjxh
dXRob3I+RGF2aWVzLCBHLiBBLjwvYXV0aG9yPjxhdXRob3I+QmFyYWthdCwgUi48L2F1dGhvcj48
YXV0aG9yPlJ1Y2hhdCwgUy4gTS48L2F1dGhvcj48L2F1dGhvcnM+PC9jb250cmlidXRvcnM+PGF1
dGgtYWRkcmVzcz5Qcm9ncmFtIGZvciBQcmVnbmFuY3kgYW5kIFBvc3RwYXJ0dW0gSGVhbHRoLCBQ
aHlzaWNhbCBBY3Rpdml0eSBhbmQgRGlhYmV0ZXMgTGFib3JhdG9yeSwgRmFjdWx0eSBvZiBLaW5l
c2lvbG9neSwgU3BvcnQsIGFuZCBSZWNyZWF0aW9uLCBXb21lbiBhbmQgQ2hpbGRyZW4mYXBvcztz
IEhlYWx0aCBSZXNlYXJjaCBJbnN0aXR1dGUsIEFsYmVydGEgRGlhYmV0ZXMgSW5zdGl0dXRlLCBV
bml2ZXJzaXR5IG9mIEFsYmVydGEsIEVkbW9udG9uLCBBbGJlcnRhLCBDYW5hZGEuJiN4RDtSIFNh
bXVlbCBNY0xhdWdobGluIEZvdW5kYXRpb24sIEV4ZXJjaXNlIGFuZCBQcmVnbmFuY3kgTGFib3Jh
dG9yeSwgU2Nob29sIG9mIEtpbmVzaW9sb2d5LCBGYWN1bHR5IG9mIEhlYWx0aCBTY2llbmNlcywg
RGVwYXJ0bWVudCBvZiBBbmF0b215IGFuZCBDZWxsIEJpb2xvZ3ksIFNjaHVsaWNoIFNjaG9vbCBv
ZiBNZWRpY2luZSBhbmQgRGVudGlzdHJ5LCBDaGlsZHJlbiZhcG9zO3MgSGVhbHRoIFJlc2VhcmNo
IEluc3RpdHV0ZSwgVGhlIFVuaXZlcnNpdHkgb2YgV2VzdGVybiBPbnRhcmlvLCBMb25kb24sIE9u
dGFyaW8sIENhbmFkYS4mI3hEO0NhcmRpZmYgU2Nob29sIG9mIFNwb3J0IGFuZCBIZWFsdGggU2Np
ZW5jZXMsIENhcmRpZmYgTWV0cm9wb2xpdGFuIFVuaXZlcnNpdHksIENhcmRpZmYsIFVLLiYjeEQ7
SW5kZXBlbmRlbnQgUmVzZWFyY2hlciwgT3R0YXdhLCBPbnRhcmlvLCBDYW5hZGEuJiN4RDtIZWFs
dGh5IEFjdGl2ZSBMaXZpbmcgYW5kIE9iZXNpdHkgUmVzZWFyY2ggR3JvdXAsIENoaWxkcmVuJmFw
b3M7cyBIb3NwaXRhbCBvZiBFYXN0ZXJuIE9udGFyaW8gUmVzZWFyY2ggSW5zdGl0dXRlLCBPdHRh
d2EsIE9udGFyaW8sIENhbmFkYS4mI3hEO0NsaW5pY2FsIFJlc2VhcmNoIFVuaXQsIENoaWxkcmVu
JmFwb3M7cyBIb3NwaXRhbCBvZiBFYXN0ZXJuIE9udGFyaW8gUmVzZWFyY2ggSW5zdGl0dXRlLCBP
dHRhd2EsIE9udGFyaW8sIENhbmFkYS4mI3hEO0RlcGFydG1lbnQgb2YgQW5hdG9teSwgVW5pdmVy
c2l0ZSBkdSBRdWViZWMgYSBUcm9pcy1SaXZpZXJlcywgVHJvaXMtUml2aWVyZXMsIFF1ZWJlYywg
Q2FuYWRhLiYjeEQ7Sm9obiBXIFNjb3R0IEhlYWx0aCBTY2llbmNlcyBMaWJyYXJ5LCBVbml2ZXJz
aXR5IG9mIEFsYmVydGEsIEVkbW9udG9uLCBBbGJlcnRhLCBDYW5hZGEuJiN4RDtGYWN1bHR5IG9m
IEhlYWx0aCBTY2llbmNlcywgVW5pdmVyc2l0eSBvZiBPdHRhd2EsIE90dGF3YSwgT250YXJpbywg
Q2FuYWRhLiYjeEQ7RGVwYXJ0bWVudCBvZiBPYnN0ZXRyaWNzIGFuZCBHeW5lY29sb2d5LCBRdWVl
biZhcG9zO3MgVW5pdmVyc2l0eSwgS2luZ3N0b24sIE9udGFyaW8sIENhbmFkYS4mI3hEO0ZhY3Vs
dGFkIGRlIENpZW5jaWFzIGRlIGxhIEFjdGl2aWRhZCBGaXNpY2EgeSBkZWwgRGVwb3J0ZS1JTkVG
LCBVbml2ZXJzaWRhZCBQb2xpdGVjbmljYSBkZSBNYWRyaWQsIE1hZHJpZCwgU3BhaW4uJiN4RDtE
ZXBhcnRtZW50IG9mIEh1bWFuIEtpbmV0aWNzLCBVbml2ZXJzaXRlIGR1IFF1ZWJlYyBhIFRyb2lz
LVJpdmllcmVzLCBUcm9pcy1SaXZpZXJlcywgUXVlYmVjLCBDYW5hZGEuPC9hdXRoLWFkZHJlc3M+
PHRpdGxlcz48dGl0bGU+UHJlbmF0YWwgZXhlcmNpc2UgaXMgbm90IGFzc29jaWF0ZWQgd2l0aCBm
ZXRhbCBtb3J0YWxpdHk6IGEgc3lzdGVtYXRpYyByZXZpZXcgYW5kIG1ldGEtYW5hbHlzaXM8L3Rp
dGxlPjxzZWNvbmRhcnktdGl0bGU+QnIgSiBTcG9ydHMgTWVkPC9zZWNvbmRhcnktdGl0bGU+PC90
aXRsZXM+PHBlcmlvZGljYWw+PGZ1bGwtdGl0bGU+QnIgSiBTcG9ydHMgTWVkPC9mdWxsLXRpdGxl
PjwvcGVyaW9kaWNhbD48cGFnZXM+MTA4LTExNTwvcGFnZXM+PHZvbHVtZT41Mzwvdm9sdW1lPjxu
dW1iZXI+MjwvbnVtYmVyPjxlZGl0aW9uPjIwMTgvMTAvMjA8L2VkaXRpb24+PGtleXdvcmRzPjxr
ZXl3b3JkPipFeGVyY2lzZTwva2V5d29yZD48a2V5d29yZD5GZW1hbGU8L2tleXdvcmQ+PGtleXdv
cmQ+KkZldGFsIERlYXRoPC9rZXl3b3JkPjxrZXl3b3JkPkh1bWFuczwva2V5d29yZD48a2V5d29y
ZD5JbmZhbnQ8L2tleXdvcmQ+PGtleXdvcmQ+KkluZmFudCBEZWF0aDwva2V5d29yZD48a2V5d29y
ZD5QcmVnbmFuY3k8L2tleXdvcmQ+PGtleXdvcmQ+UHJlbmF0YWwgQ2FyZTwva2V5d29yZD48a2V5
d29yZD5SYW5kb21pemVkIENvbnRyb2xsZWQgVHJpYWxzIGFzIFRvcGljPC9rZXl3b3JkPjxrZXl3
b3JkPmV4ZXJjaXNlPC9rZXl3b3JkPjxrZXl3b3JkPm1pc2NhcnJpYWdlPC9rZXl3b3JkPjxrZXl3
b3JkPnBlcmluYXRhbCBtb3J0YWxpdHk8L2tleXdvcmQ+PGtleXdvcmQ+c3RpbGxiaXJ0aDwva2V5
d29yZD48L2tleXdvcmRzPjxkYXRlcz48eWVhcj4yMDE5PC95ZWFyPjxwdWItZGF0ZXM+PGRhdGU+
SmFuPC9kYXRlPjwvcHViLWRhdGVzPjwvZGF0ZXM+PGlzYm4+MTQ3My0wNDgwIChFbGVjdHJvbmlj
KSYjeEQ7MDMwNi0zNjc0IChMaW5raW5nKTwvaXNibj48YWNjZXNzaW9uLW51bT4zMDMzNzM0Njwv
YWNjZXNzaW9uLW51bT48dXJscz48cmVsYXRlZC11cmxzPjx1cmw+aHR0cHM6Ly93d3cubmNiaS5u
bG0ubmloLmdvdi9wdWJtZWQvMzAzMzczNDY8L3VybD48L3JlbGF0ZWQtdXJscz48L3VybHM+PGVs
ZWN0cm9uaWMtcmVzb3VyY2UtbnVtPjEwLjExMzYvYmpzcG9ydHMtMjAxOC0wOTk3NzM8L2VsZWN0
cm9uaWMtcmVzb3VyY2UtbnVtPjwvcmVjb3JkPjwvQ2l0ZT48L0VuZE5vdGU+
</w:fldData>
        </w:fldChar>
      </w:r>
      <w:r w:rsidR="002747EA">
        <w:instrText xml:space="preserve"> ADDIN EN.CITE.DATA </w:instrText>
      </w:r>
      <w:r w:rsidR="002747EA">
        <w:fldChar w:fldCharType="end"/>
      </w:r>
      <w:r w:rsidR="0063687D">
        <w:fldChar w:fldCharType="separate"/>
      </w:r>
      <w:r w:rsidR="002747EA" w:rsidRPr="002747EA">
        <w:rPr>
          <w:noProof/>
          <w:vertAlign w:val="superscript"/>
        </w:rPr>
        <w:t>316</w:t>
      </w:r>
      <w:r w:rsidR="0063687D">
        <w:fldChar w:fldCharType="end"/>
      </w:r>
    </w:p>
    <w:p w14:paraId="056CD5F0" w14:textId="2C9EADF8" w:rsidR="00183B5F" w:rsidRPr="0063687D" w:rsidRDefault="0063687D" w:rsidP="00BD61CC">
      <w:pPr>
        <w:pStyle w:val="bullet"/>
      </w:pPr>
      <w:r>
        <w:t>no adverse</w:t>
      </w:r>
      <w:r w:rsidR="00183B5F" w:rsidRPr="00183B5F">
        <w:t xml:space="preserve"> impact </w:t>
      </w:r>
      <w:r>
        <w:t>on fetal heart rate</w:t>
      </w:r>
      <w:r w:rsidR="00183B5F" w:rsidRPr="00183B5F">
        <w:t xml:space="preserve"> or uteroplacental blood </w:t>
      </w:r>
      <w:r w:rsidR="00183B5F" w:rsidRPr="0063687D">
        <w:t>flow</w:t>
      </w:r>
      <w:r w:rsidRPr="0063687D">
        <w:t xml:space="preserve"> metrics (</w:t>
      </w:r>
      <w:r w:rsidRPr="00BD61CC">
        <w:rPr>
          <w:sz w:val="16"/>
          <w:szCs w:val="16"/>
        </w:rPr>
        <w:t>9 studies; 4,651 women</w:t>
      </w:r>
      <w:r w:rsidRPr="0063687D">
        <w:t>)</w:t>
      </w:r>
      <w:r>
        <w:t>.</w:t>
      </w:r>
      <w:r w:rsidR="00D07346">
        <w:fldChar w:fldCharType="begin">
          <w:fldData xml:space="preserve">PEVuZE5vdGU+PENpdGU+PEF1dGhvcj5Ta293PC9BdXRob3I+PFllYXI+MjAxOTwvWWVhcj48UmVj
TnVtPjE5NDk8L1JlY051bT48RGlzcGxheVRleHQ+PHN0eWxlIGZhY2U9InN1cGVyc2NyaXB0IiBm
b250PSJUcmVidWNoZXQgTVMiIHNpemU9IjkiPjMxNzwvc3R5bGU+PC9EaXNwbGF5VGV4dD48cmVj
b3JkPjxyZWMtbnVtYmVyPjE5NDk8L3JlYy1udW1iZXI+PGZvcmVpZ24ta2V5cz48a2V5IGFwcD0i
RU4iIGRiLWlkPSJleHZhc3JmeDJkdHJhb2VzYXN4cDJzenN4YTJkZjUwMjU5MngiIHRpbWVzdGFt
cD0iMTU4ODcyODQ3NSI+MTk0OTwva2V5PjxrZXkgYXBwPSJFTldlYiIgZGItaWQ9IiI+MDwva2V5
PjwvZm9yZWlnbi1rZXlzPjxyZWYtdHlwZSBuYW1lPSJKb3VybmFsIEFydGljbGUiPjE3PC9yZWYt
dHlwZT48Y29udHJpYnV0b3JzPjxhdXRob3JzPjxhdXRob3I+U2tvdywgUi4gSi48L2F1dGhvcj48
YXV0aG9yPkRhdmVucG9ydCwgTS4gSC48L2F1dGhvcj48YXV0aG9yPk1vdHRvbGEsIE0uIEYuPC9h
dXRob3I+PGF1dGhvcj5EYXZpZXMsIEcuIEEuPC9hdXRob3I+PGF1dGhvcj5Qb2l0cmFzLCBWLiBK
LjwvYXV0aG9yPjxhdXRob3I+R3JheSwgQy4gRS48L2F1dGhvcj48YXV0aG9yPkphcmFtaWxsbyBH
YXJjaWEsIEEuPC9hdXRob3I+PGF1dGhvcj5CYXJyb3dtYW4sIE4uPC9hdXRob3I+PGF1dGhvcj5N
ZWFoLCBWLiBMLjwvYXV0aG9yPjxhdXRob3I+U2xhdGVyLCBMLiBHLjwvYXV0aG9yPjxhdXRob3I+
QWRhbW8sIEsuIEIuPC9hdXRob3I+PGF1dGhvcj5CYXJha2F0LCBSLjwvYXV0aG9yPjxhdXRob3I+
UnVjaGF0LCBTLiBNLjwvYXV0aG9yPjwvYXV0aG9ycz48L2NvbnRyaWJ1dG9ycz48YXV0aC1hZGRy
ZXNzPlByb2dyYW0gZm9yIFByZWduYW5jeSBhbmQgUG9zdHBhcnR1bSBIZWFsdGgsIFBoeXNpY2Fs
IEFjdGl2aXR5IGFuZCBEaWFiZXRlcyBMYWJvcmF0b3J5LCBGYWN1bHR5IG9mIEtpbmVzaW9sb2d5
LCBTcG9ydCwgYW5kIFJlY3JlYXRpb24sIFdvbWVuIGFuZCBDaGlsZHJlbiZhcG9zO3MgSGVhbHRo
IFJlc2VhcmNoIEluc3RpdHV0ZSwgQWxiZXJ0YSBEaWFiZXRlcyBJbnN0aXR1dGUsIFVuaXZlcnNp
dHkgb2YgQWxiZXJ0YSwgRWRtb250b24sIEFsYmVydGEsIENhbmFkYS4mI3hEO1IuIFNhbXVlbCBN
Y0xhdWdobGluIEZvdW5kYXRpb24tRXhlcmNpc2UgYW5kIFByZWduYW5jeSBMYWJvcmF0b3J5LCBT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dXRlLCBUaGUgVW5pdmVyc2l0eSBvZiBXZXN0ZXJuIE9udGFyaW8sIExvbmRvbiwgT250YXJpbywg
Q2FuYWRhLiYjeEQ7RGVwYXJ0bWVudCBvZiBPYnN0ZXRyaWNzIGFuZCBHeW5lY29sb2d5LCBRdWVl
biZhcG9zO3MgVW5pdmVyc2l0eSwgS2luZ3N0b24sIE9udGFyaW8sIENhbmFkYS4mI3hEO0luZGVw
ZW5kZW50IHJlc2VhcmNoZXIsIE90dGF3YSwgT250YXJpbywgQ2FuYWRhLiYjeEQ7SGVhbHRoeSBB
Y3RpdmUgTGl2aW5nIGFuZCBPYmVzaXR5IFJlc2VhcmNoIEdyb3VwLCBDaGlsZHJlbiZhcG9zO3Mg
SG9zcGl0YWwgb2YgRWFzdGVybiBPbnRhcmlvIFJlc2VhcmNoIEluc3RpdHV0ZSwgT3R0YXdhLCBP
bnRhcmlvLCBDYW5hZGEuJiN4RDtDbGluaWNhbCBSZXNlYXJjaCBVbml0LCBDaGlsZHJlbiZhcG9z
O3MgSG9zcGl0YWwgb2YgRWFzdGVybiBPbnRhcmlvIFJlc2VhcmNoIEluc3RpdHV0ZSwgT3R0YXdh
LCBPbnRhcmlvLCBDYW5hZGEuJiN4RDtKb2huIFcuIFNjb3R0IEhlYWx0aCBTY2llbmNlcyBMaWJy
YXJ5LCBVbml2ZXJzaXR5IG9mIEFsYmVydGEsIEVkbW9udG9uLCBBbGJlcnRhLCBDYW5hZGEuJiN4
RDtTY2hvb2wgb2YgSHVtYW4gS2luZXRpY3MsIEZhY3VsdHkgb2YgSGVhbHRoIFNjaWVuY2VzLCBV
bml2ZXJzaXR5IG9mIE90dGF3YSwgT3R0YXdhLCBPbnRhcmlvLCBDYW5hZGEuJiN4RDtGYWN1bHRh
ZCBkZSBDaWVuY2lhcyBkZSBsYSBBY3RpdmlkYWQgRmlzaWNhIHkgZGVsIERlcG9ydGUtSU5FRiwg
VW5pdmVyc2lkYWQgUG9saXRlY25pY2EgZGUgTWFkcmlkLCBNYWRyaWQsIFNwYWluLiYjeEQ7RGVw
YXJ0bWVudCBvZiBIdW1hbiBLaW5ldGljcywgVW5pdmVyc2l0ZSBkdSBRdWViZWMgYSBUcm9pcy1S
aXZpZXJlcywgVHJvaXMtUml2aWVyZXMsIFF1ZWJlYywgQ2FuYWRhLjwvYXV0aC1hZGRyZXNzPjx0
aXRsZXM+PHRpdGxlPkVmZmVjdHMgb2YgcHJlbmF0YWwgZXhlcmNpc2Ugb24gZmV0YWwgaGVhcnQg
cmF0ZSwgdW1iaWxpY2FsIGFuZCB1dGVyaW5lIGJsb29kIGZsb3c6IGEgc3lzdGVtYXRpYyByZXZp
ZXcgYW5kIG1ldGEtYW5hbHlzaXM8L3RpdGxlPjxzZWNvbmRhcnktdGl0bGU+QnIgSiBTcG9ydHMg
TWVkPC9zZWNvbmRhcnktdGl0bGU+PC90aXRsZXM+PHBlcmlvZGljYWw+PGZ1bGwtdGl0bGU+QnIg
SiBTcG9ydHMgTWVkPC9mdWxsLXRpdGxlPjwvcGVyaW9kaWNhbD48cGFnZXM+MTI0LTEzMzwvcGFn
ZXM+PHZvbHVtZT41Mzwvdm9sdW1lPjxudW1iZXI+MjwvbnVtYmVyPjxlZGl0aW9uPjIwMTgvMTAv
MjA8L2VkaXRpb24+PGtleXdvcmRzPjxrZXl3b3JkPkJyYWR5Y2FyZGlhL2VwaWRlbWlvbG9neTwv
a2V5d29yZD48a2V5d29yZD4qRXhlcmNpc2U8L2tleXdvcmQ+PGtleXdvcmQ+RmVtYWxlPC9rZXl3
b3JkPjxrZXl3b3JkPipIZWFydCBSYXRlLCBGZXRhbDwva2V5d29yZD48a2V5d29yZD5IdW1hbnM8
L2tleXdvcmQ+PGtleXdvcmQ+UHJlZ25hbmN5PC9rZXl3b3JkPjxrZXl3b3JkPlJhbmRvbWl6ZWQg
Q29udHJvbGxlZCBUcmlhbHMgYXMgVG9waWM8L2tleXdvcmQ+PGtleXdvcmQ+KlJlZ2lvbmFsIEJs
b29kIEZsb3c8L2tleXdvcmQ+PGtleXdvcmQ+VGFjaHljYXJkaWEvZXBpZGVtaW9sb2d5PC9rZXl3
b3JkPjxrZXl3b3JkPlVtYmlsaWNhbCBBcnRlcmllcy8qYmxvb2Qgc3VwcGx5PC9rZXl3b3JkPjxr
ZXl3b3JkPlV0ZXJ1cy8qYmxvb2Qgc3VwcGx5PC9rZXl3b3JkPjxrZXl3b3JkPmV4ZXJjaXNlPC9r
ZXl3b3JkPjwva2V5d29yZHM+PGRhdGVzPjx5ZWFyPjIwMTk8L3llYXI+PHB1Yi1kYXRlcz48ZGF0
ZT5KYW48L2RhdGU+PC9wdWItZGF0ZXM+PC9kYXRlcz48aXNibj4xNDczLTA0ODAgKEVsZWN0cm9u
aWMpJiN4RDswMzA2LTM2NzQgKExpbmtpbmcpPC9pc2JuPjxhY2Nlc3Npb24tbnVtPjMwMzM3MzQ1
PC9hY2Nlc3Npb24tbnVtPjx1cmxzPjxyZWxhdGVkLXVybHM+PHVybD5odHRwczovL3d3dy5uY2Jp
Lm5sbS5uaWguZ292L3B1Ym1lZC8zMDMzNzM0NTwvdXJsPjwvcmVsYXRlZC11cmxzPjwvdXJscz48
ZWxlY3Ryb25pYy1yZXNvdXJjZS1udW0+MTAuMTEzNi9ianNwb3J0cy0yMDE4LTA5OTgyMjwvZWxl
Y3Ryb25pYy1yZXNvdXJjZS1udW0+PC9yZWNvcmQ+PC9DaXRlPjwvRW5kTm90ZT4A
</w:fldData>
        </w:fldChar>
      </w:r>
      <w:r w:rsidR="002747EA">
        <w:instrText xml:space="preserve"> ADDIN EN.CITE </w:instrText>
      </w:r>
      <w:r w:rsidR="002747EA">
        <w:fldChar w:fldCharType="begin">
          <w:fldData xml:space="preserve">PEVuZE5vdGU+PENpdGU+PEF1dGhvcj5Ta293PC9BdXRob3I+PFllYXI+MjAxOTwvWWVhcj48UmVj
TnVtPjE5NDk8L1JlY051bT48RGlzcGxheVRleHQ+PHN0eWxlIGZhY2U9InN1cGVyc2NyaXB0IiBm
b250PSJUcmVidWNoZXQgTVMiIHNpemU9IjkiPjMxNzwvc3R5bGU+PC9EaXNwbGF5VGV4dD48cmVj
b3JkPjxyZWMtbnVtYmVyPjE5NDk8L3JlYy1udW1iZXI+PGZvcmVpZ24ta2V5cz48a2V5IGFwcD0i
RU4iIGRiLWlkPSJleHZhc3JmeDJkdHJhb2VzYXN4cDJzenN4YTJkZjUwMjU5MngiIHRpbWVzdGFt
cD0iMTU4ODcyODQ3NSI+MTk0OTwva2V5PjxrZXkgYXBwPSJFTldlYiIgZGItaWQ9IiI+MDwva2V5
PjwvZm9yZWlnbi1rZXlzPjxyZWYtdHlwZSBuYW1lPSJKb3VybmFsIEFydGljbGUiPjE3PC9yZWYt
dHlwZT48Y29udHJpYnV0b3JzPjxhdXRob3JzPjxhdXRob3I+U2tvdywgUi4gSi48L2F1dGhvcj48
YXV0aG9yPkRhdmVucG9ydCwgTS4gSC48L2F1dGhvcj48YXV0aG9yPk1vdHRvbGEsIE0uIEYuPC9h
dXRob3I+PGF1dGhvcj5EYXZpZXMsIEcuIEEuPC9hdXRob3I+PGF1dGhvcj5Qb2l0cmFzLCBWLiBK
LjwvYXV0aG9yPjxhdXRob3I+R3JheSwgQy4gRS48L2F1dGhvcj48YXV0aG9yPkphcmFtaWxsbyBH
YXJjaWEsIEEuPC9hdXRob3I+PGF1dGhvcj5CYXJyb3dtYW4sIE4uPC9hdXRob3I+PGF1dGhvcj5N
ZWFoLCBWLiBMLjwvYXV0aG9yPjxhdXRob3I+U2xhdGVyLCBMLiBHLjwvYXV0aG9yPjxhdXRob3I+
QWRhbW8sIEsuIEIuPC9hdXRob3I+PGF1dGhvcj5CYXJha2F0LCBSLjwvYXV0aG9yPjxhdXRob3I+
UnVjaGF0LCBTLiBNLjwvYXV0aG9yPjwvYXV0aG9ycz48L2NvbnRyaWJ1dG9ycz48YXV0aC1hZGRy
ZXNzPlByb2dyYW0gZm9yIFByZWduYW5jeSBhbmQgUG9zdHBhcnR1bSBIZWFsdGgsIFBoeXNpY2Fs
IEFjdGl2aXR5IGFuZCBEaWFiZXRlcyBMYWJvcmF0b3J5LCBGYWN1bHR5IG9mIEtpbmVzaW9sb2d5
LCBTcG9ydCwgYW5kIFJlY3JlYXRpb24sIFdvbWVuIGFuZCBDaGlsZHJlbiZhcG9zO3MgSGVhbHRo
IFJlc2VhcmNoIEluc3RpdHV0ZSwgQWxiZXJ0YSBEaWFiZXRlcyBJbnN0aXR1dGUsIFVuaXZlcnNp
dHkgb2YgQWxiZXJ0YSwgRWRtb250b24sIEFsYmVydGEsIENhbmFkYS4mI3hEO1IuIFNhbXVlbCBN
Y0xhdWdobGluIEZvdW5kYXRpb24tRXhlcmNpc2UgYW5kIFByZWduYW5jeSBMYWJvcmF0b3J5LCBT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dXRlLCBUaGUgVW5pdmVyc2l0eSBvZiBXZXN0ZXJuIE9udGFyaW8sIExvbmRvbiwgT250YXJpbywg
Q2FuYWRhLiYjeEQ7RGVwYXJ0bWVudCBvZiBPYnN0ZXRyaWNzIGFuZCBHeW5lY29sb2d5LCBRdWVl
biZhcG9zO3MgVW5pdmVyc2l0eSwgS2luZ3N0b24sIE9udGFyaW8sIENhbmFkYS4mI3hEO0luZGVw
ZW5kZW50IHJlc2VhcmNoZXIsIE90dGF3YSwgT250YXJpbywgQ2FuYWRhLiYjeEQ7SGVhbHRoeSBB
Y3RpdmUgTGl2aW5nIGFuZCBPYmVzaXR5IFJlc2VhcmNoIEdyb3VwLCBDaGlsZHJlbiZhcG9zO3Mg
SG9zcGl0YWwgb2YgRWFzdGVybiBPbnRhcmlvIFJlc2VhcmNoIEluc3RpdHV0ZSwgT3R0YXdhLCBP
bnRhcmlvLCBDYW5hZGEuJiN4RDtDbGluaWNhbCBSZXNlYXJjaCBVbml0LCBDaGlsZHJlbiZhcG9z
O3MgSG9zcGl0YWwgb2YgRWFzdGVybiBPbnRhcmlvIFJlc2VhcmNoIEluc3RpdHV0ZSwgT3R0YXdh
LCBPbnRhcmlvLCBDYW5hZGEuJiN4RDtKb2huIFcuIFNjb3R0IEhlYWx0aCBTY2llbmNlcyBMaWJy
YXJ5LCBVbml2ZXJzaXR5IG9mIEFsYmVydGEsIEVkbW9udG9uLCBBbGJlcnRhLCBDYW5hZGEuJiN4
RDtTY2hvb2wgb2YgSHVtYW4gS2luZXRpY3MsIEZhY3VsdHkgb2YgSGVhbHRoIFNjaWVuY2VzLCBV
bml2ZXJzaXR5IG9mIE90dGF3YSwgT3R0YXdhLCBPbnRhcmlvLCBDYW5hZGEuJiN4RDtGYWN1bHRh
ZCBkZSBDaWVuY2lhcyBkZSBsYSBBY3RpdmlkYWQgRmlzaWNhIHkgZGVsIERlcG9ydGUtSU5FRiwg
VW5pdmVyc2lkYWQgUG9saXRlY25pY2EgZGUgTWFkcmlkLCBNYWRyaWQsIFNwYWluLiYjeEQ7RGVw
YXJ0bWVudCBvZiBIdW1hbiBLaW5ldGljcywgVW5pdmVyc2l0ZSBkdSBRdWViZWMgYSBUcm9pcy1S
aXZpZXJlcywgVHJvaXMtUml2aWVyZXMsIFF1ZWJlYywgQ2FuYWRhLjwvYXV0aC1hZGRyZXNzPjx0
aXRsZXM+PHRpdGxlPkVmZmVjdHMgb2YgcHJlbmF0YWwgZXhlcmNpc2Ugb24gZmV0YWwgaGVhcnQg
cmF0ZSwgdW1iaWxpY2FsIGFuZCB1dGVyaW5lIGJsb29kIGZsb3c6IGEgc3lzdGVtYXRpYyByZXZp
ZXcgYW5kIG1ldGEtYW5hbHlzaXM8L3RpdGxlPjxzZWNvbmRhcnktdGl0bGU+QnIgSiBTcG9ydHMg
TWVkPC9zZWNvbmRhcnktdGl0bGU+PC90aXRsZXM+PHBlcmlvZGljYWw+PGZ1bGwtdGl0bGU+QnIg
SiBTcG9ydHMgTWVkPC9mdWxsLXRpdGxlPjwvcGVyaW9kaWNhbD48cGFnZXM+MTI0LTEzMzwvcGFn
ZXM+PHZvbHVtZT41Mzwvdm9sdW1lPjxudW1iZXI+MjwvbnVtYmVyPjxlZGl0aW9uPjIwMTgvMTAv
MjA8L2VkaXRpb24+PGtleXdvcmRzPjxrZXl3b3JkPkJyYWR5Y2FyZGlhL2VwaWRlbWlvbG9neTwv
a2V5d29yZD48a2V5d29yZD4qRXhlcmNpc2U8L2tleXdvcmQ+PGtleXdvcmQ+RmVtYWxlPC9rZXl3
b3JkPjxrZXl3b3JkPipIZWFydCBSYXRlLCBGZXRhbDwva2V5d29yZD48a2V5d29yZD5IdW1hbnM8
L2tleXdvcmQ+PGtleXdvcmQ+UHJlZ25hbmN5PC9rZXl3b3JkPjxrZXl3b3JkPlJhbmRvbWl6ZWQg
Q29udHJvbGxlZCBUcmlhbHMgYXMgVG9waWM8L2tleXdvcmQ+PGtleXdvcmQ+KlJlZ2lvbmFsIEJs
b29kIEZsb3c8L2tleXdvcmQ+PGtleXdvcmQ+VGFjaHljYXJkaWEvZXBpZGVtaW9sb2d5PC9rZXl3
b3JkPjxrZXl3b3JkPlVtYmlsaWNhbCBBcnRlcmllcy8qYmxvb2Qgc3VwcGx5PC9rZXl3b3JkPjxr
ZXl3b3JkPlV0ZXJ1cy8qYmxvb2Qgc3VwcGx5PC9rZXl3b3JkPjxrZXl3b3JkPmV4ZXJjaXNlPC9r
ZXl3b3JkPjwva2V5d29yZHM+PGRhdGVzPjx5ZWFyPjIwMTk8L3llYXI+PHB1Yi1kYXRlcz48ZGF0
ZT5KYW48L2RhdGU+PC9wdWItZGF0ZXM+PC9kYXRlcz48aXNibj4xNDczLTA0ODAgKEVsZWN0cm9u
aWMpJiN4RDswMzA2LTM2NzQgKExpbmtpbmcpPC9pc2JuPjxhY2Nlc3Npb24tbnVtPjMwMzM3MzQ1
PC9hY2Nlc3Npb24tbnVtPjx1cmxzPjxyZWxhdGVkLXVybHM+PHVybD5odHRwczovL3d3dy5uY2Jp
Lm5sbS5uaWguZ292L3B1Ym1lZC8zMDMzNzM0NTwvdXJsPjwvcmVsYXRlZC11cmxzPjwvdXJscz48
ZWxlY3Ryb25pYy1yZXNvdXJjZS1udW0+MTAuMTEzNi9ianNwb3J0cy0yMDE4LTA5OTgyMjwvZWxl
Y3Ryb25pYy1yZXNvdXJjZS1udW0+PC9yZWNvcmQ+PC9DaXRlPjwvRW5kTm90ZT4A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317</w:t>
      </w:r>
      <w:r w:rsidR="00D07346">
        <w:fldChar w:fldCharType="end"/>
      </w:r>
    </w:p>
    <w:p w14:paraId="20E037BA" w14:textId="65221D01" w:rsidR="006B6C3C" w:rsidRDefault="006B6C3C" w:rsidP="006B6C3C">
      <w:pPr>
        <w:pStyle w:val="Heading3"/>
      </w:pPr>
      <w:bookmarkStart w:id="147" w:name="_Toc40620724"/>
      <w:bookmarkStart w:id="148" w:name="_Toc40943779"/>
      <w:bookmarkStart w:id="149" w:name="_Toc40956521"/>
      <w:bookmarkEnd w:id="147"/>
      <w:bookmarkEnd w:id="148"/>
      <w:r>
        <w:t>Vigorous exercise</w:t>
      </w:r>
      <w:bookmarkEnd w:id="149"/>
    </w:p>
    <w:p w14:paraId="51A8BB44" w14:textId="7107C71E" w:rsidR="0063687D" w:rsidRDefault="0063687D" w:rsidP="00794F56">
      <w:r>
        <w:t>A systematic review (</w:t>
      </w:r>
      <w:r w:rsidRPr="00BD61CC">
        <w:rPr>
          <w:sz w:val="16"/>
          <w:szCs w:val="16"/>
        </w:rPr>
        <w:t>5 RCTs, 10 cohort studies; n=32,703</w:t>
      </w:r>
      <w:r>
        <w:t>)</w:t>
      </w:r>
      <w:r w:rsidR="00D07346">
        <w:fldChar w:fldCharType="begin">
          <w:fldData xml:space="preserve">PEVuZE5vdGU+PENpdGU+PEF1dGhvcj5CZWV0aGFtPC9BdXRob3I+PFllYXI+MjAxOTwvWWVhcj48
UmVjTnVtPjE5MzU8L1JlY051bT48RGlzcGxheVRleHQ+PHN0eWxlIGZhY2U9InN1cGVyc2NyaXB0
IiBmb250PSJUcmVidWNoZXQgTVMiIHNpemU9IjkiPjMxODwvc3R5bGU+PC9EaXNwbGF5VGV4dD48
cmVjb3JkPjxyZWMtbnVtYmVyPjE5MzU8L3JlYy1udW1iZXI+PGZvcmVpZ24ta2V5cz48a2V5IGFw
cD0iRU4iIGRiLWlkPSJleHZhc3JmeDJkdHJhb2VzYXN4cDJzenN4YTJkZjUwMjU5MngiIHRpbWVz
dGFtcD0iMTU4ODcyODM4MCI+MTkzNTwva2V5PjxrZXkgYXBwPSJFTldlYiIgZGItaWQ9IiI+MDwv
a2V5PjwvZm9yZWlnbi1rZXlzPjxyZWYtdHlwZSBuYW1lPSJKb3VybmFsIEFydGljbGUiPjE3PC9y
ZWYtdHlwZT48Y29udHJpYnV0b3JzPjxhdXRob3JzPjxhdXRob3I+QmVldGhhbSwgSy4gUy48L2F1
dGhvcj48YXV0aG9yPkdpbGVzLCBDLjwvYXV0aG9yPjxhdXRob3I+Tm9ldGVsLCBNLjwvYXV0aG9y
PjxhdXRob3I+Q2xpZnRvbiwgVi48L2F1dGhvcj48YXV0aG9yPkpvbmVzLCBKLiBDLjwvYXV0aG9y
PjxhdXRob3I+TmF1Z2h0b24sIEcuPC9hdXRob3I+PC9hdXRob3JzPjwvY29udHJpYnV0b3JzPjxh
dXRoLWFkZHJlc3M+U2Nob29sIG9mIEJlaGF2aW91cmFsIGFuZCBIZWFsdGggU2NpZW5jZXMsIEF1
c3RyYWxpYW4gQ2F0aG9saWMgVW5pdmVyc2l0eSwgMTEwMCBOdWRnZWUgUm9hZCwgQmFueW8sIEJy
aXNiYW5lLCBRdWVlbnNsYW5kLCA0MDE0LCBBdXN0cmFsaWEuIGthc3NpYS5iZWV0aGFtQGFjdS5l
ZHUuYXUuJiN4RDtTY2hvb2wgb2YgQmVoYXZpb3VyYWwgYW5kIEhlYWx0aCBTY2llbmNlcywgQXVz
dHJhbGlhbiBDYXRob2xpYyBVbml2ZXJzaXR5LCAxMTAwIE51ZGdlZSBSb2FkLCBCYW55bywgQnJp
c2JhbmUsIFF1ZWVuc2xhbmQsIDQwMTQsIEF1c3RyYWxpYS4mI3hEO1ByZWduYW5jeSBhbmQgRGV2
ZWxvcG1lbnQsIE1hdGVyIFJlc2VhcmNoIEluc3RpdHV0ZS1Vbml2ZXJzaXR5IG9mIFF1ZWVuc2xh
bmQsIFRyYW5zbGF0aW9uYWwgUmVzZWFyY2ggSW5zdGl0dXRlLCBTb3V0aCBCcmlzYmFuZSwgUXVl
ZW5zbGFuZCwgQXVzdHJhbGlhLiYjeEQ7T2JzdGV0cmljcyBhbmQgR3luYWVjb2xvZ3kgRGVwYXJ0
bWVudCwgUm95YWwgTm9ydGggU2hvcmUgSG9zcGl0YWwsIFN5ZG5leSwgTmV3IFNvdXRoIFdhbGVz
LCBBdXN0cmFsaWEuJiN4RDtEZXBhcnRtZW50IG9mIEVkdWNhdGlvbmFsIFN0dWRpZXMsIE1hY3F1
YXJpZSBVbml2ZXJzaXR5LCBTeWRuZXksIE5ldyBTb3V0aCBXYWxlcywgQXVzdHJhbGlhLiYjeEQ7
U2Nob29sIG9mIEhlYWx0aCBTY2llbmNlcywgU3dpbmJ1cm5lIFVuaXZlcnNpdHkgb2YgVGVjaG5v
bG9neSwgTWVsYm91cm5lLCBWaWN0b3JpYSwgQXVzdHJhbGlhLjwvYXV0aC1hZGRyZXNzPjx0aXRs
ZXM+PHRpdGxlPlRoZSBlZmZlY3RzIG9mIHZpZ29yb3VzIGludGVuc2l0eSBleGVyY2lzZSBpbiB0
aGUgdGhpcmQgdHJpbWVzdGVyIG9mIHByZWduYW5jeTogYSBzeXN0ZW1hdGljIHJldmlldyBhbmQg
bWV0YS1hbmFseXNpczwvdGl0bGU+PHNlY29uZGFyeS10aXRsZT5CTUMgUHJlZ25hbmN5IENoaWxk
YmlydGg8L3NlY29uZGFyeS10aXRsZT48L3RpdGxlcz48cGVyaW9kaWNhbD48ZnVsbC10aXRsZT5C
TUMgUHJlZ25hbmN5IENoaWxkYmlydGg8L2Z1bGwtdGl0bGU+PC9wZXJpb2RpY2FsPjxwYWdlcz4y
ODE8L3BhZ2VzPjx2b2x1bWU+MTk8L3ZvbHVtZT48bnVtYmVyPjE8L251bWJlcj48ZWRpdGlvbj4y
MDE5LzA4LzA5PC9lZGl0aW9uPjxrZXl3b3Jkcz48a2V5d29yZD4qRXhlcmNpc2U8L2tleXdvcmQ+
PGtleXdvcmQ+RmVtYWxlPC9rZXl3b3JkPjxrZXl3b3JkPkZldGFsIEdyb3d0aCBSZXRhcmRhdGlv
bi8qZXBpZGVtaW9sb2d5PC9rZXl3b3JkPjxrZXl3b3JkPkdlc3RhdGlvbmFsIFdlaWdodCBHYWlu
PC9rZXl3b3JkPjxrZXl3b3JkPkh1bWFuczwva2V5d29yZD48a2V5d29yZD5JbmZhbnQsIExvdyBC
aXJ0aCBXZWlnaHQ8L2tleXdvcmQ+PGtleXdvcmQ+SW5mYW50LCBOZXdib3JuPC9rZXl3b3JkPjxr
ZXl3b3JkPkluZmFudCwgU21hbGwgZm9yIEdlc3RhdGlvbmFsIEFnZTwva2V5d29yZD48a2V5d29y
ZD5QcmVnbmFuY3k8L2tleXdvcmQ+PGtleXdvcmQ+KlByZWduYW5jeSBUcmltZXN0ZXIsIFRoaXJk
PC9rZXl3b3JkPjxrZXl3b3JkPlByZW1hdHVyZSBCaXJ0aC8qZXBpZGVtaW9sb2d5PC9rZXl3b3Jk
PjxrZXl3b3JkPlByb3RlY3RpdmUgRmFjdG9yczwva2V5d29yZD48a2V5d29yZD5SaXNrIEZhY3Rv
cnM8L2tleXdvcmQ+PGtleXdvcmQ+QW50ZW5hdGFsPC9rZXl3b3JkPjxrZXl3b3JkPkdlc3RhdGlv
bjwva2V5d29yZD48a2V5d29yZD5IaWdoIGludGVuc2l0eTwva2V5d29yZD48a2V5d29yZD5JbmZh
bnQ8L2tleXdvcmQ+PGtleXdvcmQ+SW50cmF1dGVyaW5lIGdyb3d0aCByZXN0cmljdGlvbjwva2V5
d29yZD48a2V5d29yZD5NYXRlcm5hbCB3ZWlnaHQgZ2Fpbjwva2V5d29yZD48a2V5d29yZD5QaHlz
aWNhbCBhY3Rpdml0eTwva2V5d29yZD48a2V5d29yZD5QcmVuYXRhbDwva2V5d29yZD48a2V5d29y
ZD5TbWFsbCBmb3IgZ2VzdGF0aW9uYWwgYWdlPC9rZXl3b3JkPjwva2V5d29yZHM+PGRhdGVzPjx5
ZWFyPjIwMTk8L3llYXI+PHB1Yi1kYXRlcz48ZGF0ZT5BdWcgNzwvZGF0ZT48L3B1Yi1kYXRlcz48
L2RhdGVzPjxpc2JuPjE0NzEtMjM5MyAoRWxlY3Ryb25pYykmI3hEOzE0NzEtMjM5MyAoTGlua2lu
Zyk8L2lzYm4+PGFjY2Vzc2lvbi1udW0+MzEzOTEwMTY8L2FjY2Vzc2lvbi1udW0+PHVybHM+PHJl
bGF0ZWQtdXJscz48dXJsPmh0dHBzOi8vd3d3Lm5jYmkubmxtLm5paC5nb3YvcHVibWVkLzMxMzkx
MDE2PC91cmw+PC9yZWxhdGVkLXVybHM+PC91cmxzPjxjdXN0b20yPlBNQzY2ODY1MzU8L2N1c3Rv
bTI+PGVsZWN0cm9uaWMtcmVzb3VyY2UtbnVtPjEwLjExODYvczEyODg0LTAxOS0yNDQxLTE8L2Vs
ZWN0cm9uaWMtcmVzb3VyY2UtbnVtPjwvcmVjb3JkPjwvQ2l0ZT48L0VuZE5vdGU+
</w:fldData>
        </w:fldChar>
      </w:r>
      <w:r w:rsidR="002747EA">
        <w:instrText xml:space="preserve"> ADDIN EN.CITE </w:instrText>
      </w:r>
      <w:r w:rsidR="002747EA">
        <w:fldChar w:fldCharType="begin">
          <w:fldData xml:space="preserve">PEVuZE5vdGU+PENpdGU+PEF1dGhvcj5CZWV0aGFtPC9BdXRob3I+PFllYXI+MjAxOTwvWWVhcj48
UmVjTnVtPjE5MzU8L1JlY051bT48RGlzcGxheVRleHQ+PHN0eWxlIGZhY2U9InN1cGVyc2NyaXB0
IiBmb250PSJUcmVidWNoZXQgTVMiIHNpemU9IjkiPjMxODwvc3R5bGU+PC9EaXNwbGF5VGV4dD48
cmVjb3JkPjxyZWMtbnVtYmVyPjE5MzU8L3JlYy1udW1iZXI+PGZvcmVpZ24ta2V5cz48a2V5IGFw
cD0iRU4iIGRiLWlkPSJleHZhc3JmeDJkdHJhb2VzYXN4cDJzenN4YTJkZjUwMjU5MngiIHRpbWVz
dGFtcD0iMTU4ODcyODM4MCI+MTkzNTwva2V5PjxrZXkgYXBwPSJFTldlYiIgZGItaWQ9IiI+MDwv
a2V5PjwvZm9yZWlnbi1rZXlzPjxyZWYtdHlwZSBuYW1lPSJKb3VybmFsIEFydGljbGUiPjE3PC9y
ZWYtdHlwZT48Y29udHJpYnV0b3JzPjxhdXRob3JzPjxhdXRob3I+QmVldGhhbSwgSy4gUy48L2F1
dGhvcj48YXV0aG9yPkdpbGVzLCBDLjwvYXV0aG9yPjxhdXRob3I+Tm9ldGVsLCBNLjwvYXV0aG9y
PjxhdXRob3I+Q2xpZnRvbiwgVi48L2F1dGhvcj48YXV0aG9yPkpvbmVzLCBKLiBDLjwvYXV0aG9y
PjxhdXRob3I+TmF1Z2h0b24sIEcuPC9hdXRob3I+PC9hdXRob3JzPjwvY29udHJpYnV0b3JzPjxh
dXRoLWFkZHJlc3M+U2Nob29sIG9mIEJlaGF2aW91cmFsIGFuZCBIZWFsdGggU2NpZW5jZXMsIEF1
c3RyYWxpYW4gQ2F0aG9saWMgVW5pdmVyc2l0eSwgMTEwMCBOdWRnZWUgUm9hZCwgQmFueW8sIEJy
aXNiYW5lLCBRdWVlbnNsYW5kLCA0MDE0LCBBdXN0cmFsaWEuIGthc3NpYS5iZWV0aGFtQGFjdS5l
ZHUuYXUuJiN4RDtTY2hvb2wgb2YgQmVoYXZpb3VyYWwgYW5kIEhlYWx0aCBTY2llbmNlcywgQXVz
dHJhbGlhbiBDYXRob2xpYyBVbml2ZXJzaXR5LCAxMTAwIE51ZGdlZSBSb2FkLCBCYW55bywgQnJp
c2JhbmUsIFF1ZWVuc2xhbmQsIDQwMTQsIEF1c3RyYWxpYS4mI3hEO1ByZWduYW5jeSBhbmQgRGV2
ZWxvcG1lbnQsIE1hdGVyIFJlc2VhcmNoIEluc3RpdHV0ZS1Vbml2ZXJzaXR5IG9mIFF1ZWVuc2xh
bmQsIFRyYW5zbGF0aW9uYWwgUmVzZWFyY2ggSW5zdGl0dXRlLCBTb3V0aCBCcmlzYmFuZSwgUXVl
ZW5zbGFuZCwgQXVzdHJhbGlhLiYjeEQ7T2JzdGV0cmljcyBhbmQgR3luYWVjb2xvZ3kgRGVwYXJ0
bWVudCwgUm95YWwgTm9ydGggU2hvcmUgSG9zcGl0YWwsIFN5ZG5leSwgTmV3IFNvdXRoIFdhbGVz
LCBBdXN0cmFsaWEuJiN4RDtEZXBhcnRtZW50IG9mIEVkdWNhdGlvbmFsIFN0dWRpZXMsIE1hY3F1
YXJpZSBVbml2ZXJzaXR5LCBTeWRuZXksIE5ldyBTb3V0aCBXYWxlcywgQXVzdHJhbGlhLiYjeEQ7
U2Nob29sIG9mIEhlYWx0aCBTY2llbmNlcywgU3dpbmJ1cm5lIFVuaXZlcnNpdHkgb2YgVGVjaG5v
bG9neSwgTWVsYm91cm5lLCBWaWN0b3JpYSwgQXVzdHJhbGlhLjwvYXV0aC1hZGRyZXNzPjx0aXRs
ZXM+PHRpdGxlPlRoZSBlZmZlY3RzIG9mIHZpZ29yb3VzIGludGVuc2l0eSBleGVyY2lzZSBpbiB0
aGUgdGhpcmQgdHJpbWVzdGVyIG9mIHByZWduYW5jeTogYSBzeXN0ZW1hdGljIHJldmlldyBhbmQg
bWV0YS1hbmFseXNpczwvdGl0bGU+PHNlY29uZGFyeS10aXRsZT5CTUMgUHJlZ25hbmN5IENoaWxk
YmlydGg8L3NlY29uZGFyeS10aXRsZT48L3RpdGxlcz48cGVyaW9kaWNhbD48ZnVsbC10aXRsZT5C
TUMgUHJlZ25hbmN5IENoaWxkYmlydGg8L2Z1bGwtdGl0bGU+PC9wZXJpb2RpY2FsPjxwYWdlcz4y
ODE8L3BhZ2VzPjx2b2x1bWU+MTk8L3ZvbHVtZT48bnVtYmVyPjE8L251bWJlcj48ZWRpdGlvbj4y
MDE5LzA4LzA5PC9lZGl0aW9uPjxrZXl3b3Jkcz48a2V5d29yZD4qRXhlcmNpc2U8L2tleXdvcmQ+
PGtleXdvcmQ+RmVtYWxlPC9rZXl3b3JkPjxrZXl3b3JkPkZldGFsIEdyb3d0aCBSZXRhcmRhdGlv
bi8qZXBpZGVtaW9sb2d5PC9rZXl3b3JkPjxrZXl3b3JkPkdlc3RhdGlvbmFsIFdlaWdodCBHYWlu
PC9rZXl3b3JkPjxrZXl3b3JkPkh1bWFuczwva2V5d29yZD48a2V5d29yZD5JbmZhbnQsIExvdyBC
aXJ0aCBXZWlnaHQ8L2tleXdvcmQ+PGtleXdvcmQ+SW5mYW50LCBOZXdib3JuPC9rZXl3b3JkPjxr
ZXl3b3JkPkluZmFudCwgU21hbGwgZm9yIEdlc3RhdGlvbmFsIEFnZTwva2V5d29yZD48a2V5d29y
ZD5QcmVnbmFuY3k8L2tleXdvcmQ+PGtleXdvcmQ+KlByZWduYW5jeSBUcmltZXN0ZXIsIFRoaXJk
PC9rZXl3b3JkPjxrZXl3b3JkPlByZW1hdHVyZSBCaXJ0aC8qZXBpZGVtaW9sb2d5PC9rZXl3b3Jk
PjxrZXl3b3JkPlByb3RlY3RpdmUgRmFjdG9yczwva2V5d29yZD48a2V5d29yZD5SaXNrIEZhY3Rv
cnM8L2tleXdvcmQ+PGtleXdvcmQ+QW50ZW5hdGFsPC9rZXl3b3JkPjxrZXl3b3JkPkdlc3RhdGlv
bjwva2V5d29yZD48a2V5d29yZD5IaWdoIGludGVuc2l0eTwva2V5d29yZD48a2V5d29yZD5JbmZh
bnQ8L2tleXdvcmQ+PGtleXdvcmQ+SW50cmF1dGVyaW5lIGdyb3d0aCByZXN0cmljdGlvbjwva2V5
d29yZD48a2V5d29yZD5NYXRlcm5hbCB3ZWlnaHQgZ2Fpbjwva2V5d29yZD48a2V5d29yZD5QaHlz
aWNhbCBhY3Rpdml0eTwva2V5d29yZD48a2V5d29yZD5QcmVuYXRhbDwva2V5d29yZD48a2V5d29y
ZD5TbWFsbCBmb3IgZ2VzdGF0aW9uYWwgYWdlPC9rZXl3b3JkPjwva2V5d29yZHM+PGRhdGVzPjx5
ZWFyPjIwMTk8L3llYXI+PHB1Yi1kYXRlcz48ZGF0ZT5BdWcgNzwvZGF0ZT48L3B1Yi1kYXRlcz48
L2RhdGVzPjxpc2JuPjE0NzEtMjM5MyAoRWxlY3Ryb25pYykmI3hEOzE0NzEtMjM5MyAoTGlua2lu
Zyk8L2lzYm4+PGFjY2Vzc2lvbi1udW0+MzEzOTEwMTY8L2FjY2Vzc2lvbi1udW0+PHVybHM+PHJl
bGF0ZWQtdXJscz48dXJsPmh0dHBzOi8vd3d3Lm5jYmkubmxtLm5paC5nb3YvcHVibWVkLzMxMzkx
MDE2PC91cmw+PC9yZWxhdGVkLXVybHM+PC91cmxzPjxjdXN0b20yPlBNQzY2ODY1MzU8L2N1c3Rv
bTI+PGVsZWN0cm9uaWMtcmVzb3VyY2UtbnVtPjEwLjExODYvczEyODg0LTAxOS0yNDQxLTE8L2Vs
ZWN0cm9uaWMtcmVzb3VyY2UtbnVtPjwvcmVjb3JkPjwvQ2l0ZT48L0VuZE5vdGU+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318</w:t>
      </w:r>
      <w:r w:rsidR="00D07346">
        <w:fldChar w:fldCharType="end"/>
      </w:r>
      <w:r>
        <w:t xml:space="preserve"> found no clear difference in birthweight</w:t>
      </w:r>
      <w:r w:rsidR="008B0A3F">
        <w:t xml:space="preserve"> (</w:t>
      </w:r>
      <w:r w:rsidR="008B0A3F" w:rsidRPr="00BD61CC">
        <w:rPr>
          <w:sz w:val="16"/>
          <w:szCs w:val="16"/>
        </w:rPr>
        <w:t>p=0.79</w:t>
      </w:r>
      <w:r w:rsidR="008B0A3F">
        <w:t>)</w:t>
      </w:r>
      <w:r>
        <w:t>, small for gestational age</w:t>
      </w:r>
      <w:r w:rsidR="008B0A3F">
        <w:t xml:space="preserve"> (</w:t>
      </w:r>
      <w:r w:rsidR="008B0A3F" w:rsidRPr="00BD61CC">
        <w:rPr>
          <w:sz w:val="16"/>
          <w:szCs w:val="16"/>
        </w:rPr>
        <w:t>p=0.13</w:t>
      </w:r>
      <w:r w:rsidR="008B0A3F">
        <w:t>)</w:t>
      </w:r>
      <w:r>
        <w:t xml:space="preserve">, low birthweight </w:t>
      </w:r>
      <w:r w:rsidR="008B0A3F">
        <w:t>(</w:t>
      </w:r>
      <w:r w:rsidR="008B0A3F" w:rsidRPr="00BD61CC">
        <w:rPr>
          <w:sz w:val="16"/>
          <w:szCs w:val="16"/>
        </w:rPr>
        <w:t>p=0.35</w:t>
      </w:r>
      <w:r w:rsidR="008B0A3F">
        <w:t xml:space="preserve">) </w:t>
      </w:r>
      <w:r>
        <w:t xml:space="preserve">or maternal weight gain </w:t>
      </w:r>
      <w:r w:rsidR="008B0A3F">
        <w:t>(</w:t>
      </w:r>
      <w:r w:rsidR="008B0A3F" w:rsidRPr="00BD61CC">
        <w:rPr>
          <w:sz w:val="16"/>
          <w:szCs w:val="16"/>
        </w:rPr>
        <w:t>p=0.5</w:t>
      </w:r>
      <w:r w:rsidR="008B0A3F">
        <w:t xml:space="preserve">) </w:t>
      </w:r>
      <w:r w:rsidR="005F1650">
        <w:t>between women who engaged in vigorous physical activity and those who did not.</w:t>
      </w:r>
      <w:r w:rsidR="008B0A3F">
        <w:t xml:space="preserve"> </w:t>
      </w:r>
      <w:r w:rsidR="008B0A3F" w:rsidRPr="000F7073">
        <w:t xml:space="preserve">Women who engaged in vigorous physical activity had a small increase in </w:t>
      </w:r>
      <w:r w:rsidR="008B0A3F">
        <w:t>g</w:t>
      </w:r>
      <w:r w:rsidR="008B0A3F" w:rsidRPr="000F7073">
        <w:t xml:space="preserve">estational age </w:t>
      </w:r>
      <w:r w:rsidR="008B0A3F">
        <w:t>at birth (</w:t>
      </w:r>
      <w:r w:rsidR="008B0A3F" w:rsidRPr="00BD61CC">
        <w:rPr>
          <w:sz w:val="16"/>
          <w:szCs w:val="16"/>
        </w:rPr>
        <w:t>p&lt;0.001</w:t>
      </w:r>
      <w:r w:rsidR="008B0A3F">
        <w:t>)</w:t>
      </w:r>
      <w:r w:rsidR="008B0A3F" w:rsidRPr="000F7073">
        <w:t xml:space="preserve"> and a small but significantly reduced risk of prematurity (</w:t>
      </w:r>
      <w:r w:rsidR="008B0A3F" w:rsidRPr="00BD61CC">
        <w:rPr>
          <w:sz w:val="16"/>
          <w:szCs w:val="16"/>
        </w:rPr>
        <w:t>p=0.03</w:t>
      </w:r>
      <w:r w:rsidR="008B0A3F" w:rsidRPr="000F7073">
        <w:t>).</w:t>
      </w:r>
    </w:p>
    <w:p w14:paraId="6F6BFA95" w14:textId="34FE057A" w:rsidR="008B0A3F" w:rsidRDefault="00BE7372" w:rsidP="00794F56">
      <w:r>
        <w:t>A secondary cohort analysis of an</w:t>
      </w:r>
      <w:r w:rsidR="008B0A3F">
        <w:t xml:space="preserve"> RCT</w:t>
      </w:r>
      <w:r>
        <w:t xml:space="preserve"> (n=1,890)</w:t>
      </w:r>
      <w:r w:rsidR="00D07346">
        <w:rPr>
          <w:noProof/>
        </w:rPr>
        <w:fldChar w:fldCharType="begin">
          <w:fldData xml:space="preserve">PEVuZE5vdGU+PENpdGU+PEF1dGhvcj5Ib2ZmbWFubjwvQXV0aG9yPjxZZWFyPjIwMTk8L1llYXI+
PFJlY051bT4xOTU3PC9SZWNOdW0+PERpc3BsYXlUZXh0PjxzdHlsZSBmYWNlPSJzdXBlcnNjcmlw
dCIgZm9udD0iVHJlYnVjaGV0IE1TIiBzaXplPSI5Ij4zMTk8L3N0eWxlPjwvRGlzcGxheVRleHQ+
PHJlY29yZD48cmVjLW51bWJlcj4xOTU3PC9yZWMtbnVtYmVyPjxmb3JlaWduLWtleXM+PGtleSBh
cHA9IkVOIiBkYi1pZD0iZXh2YXNyZngyZHRyYW9lc2FzeHAyc3pzeGEyZGY1MDI1OTJ4IiB0aW1l
c3RhbXA9IjE1ODg3NDM4NTgiPjE5NTc8L2tleT48a2V5IGFwcD0iRU5XZWIiIGRiLWlkPSIiPjA8
L2tleT48L2ZvcmVpZ24ta2V5cz48cmVmLXR5cGUgbmFtZT0iSm91cm5hbCBBcnRpY2xlIj4xNzwv
cmVmLXR5cGU+PGNvbnRyaWJ1dG9ycz48YXV0aG9ycz48YXV0aG9yPkhvZmZtYW5uLCBKLjwvYXV0
aG9yPjxhdXRob3I+R3VudGhlciwgSi48L2F1dGhvcj48YXV0aG9yPkdleWVyLCBLLjwvYXV0aG9y
PjxhdXRob3I+U3RlY2hlciwgTC48L2F1dGhvcj48YXV0aG9yPkt1bmF0aCwgSi48L2F1dGhvcj48
YXV0aG9yPk1leWVyLCBELjwvYXV0aG9yPjxhdXRob3I+U3BpZXMsIE0uPC9hdXRob3I+PGF1dGhv
cj5Sb3NlbmZlbGQsIEUuPC9hdXRob3I+PGF1dGhvcj5LaWNrLCBMLjwvYXV0aG9yPjxhdXRob3I+
UmF1aCwgSy48L2F1dGhvcj48YXV0aG9yPkhhdW5lciwgSC48L2F1dGhvcj48L2F1dGhvcnM+PC9j
b250cmlidXRvcnM+PGF1dGgtYWRkcmVzcz5FbHNlIEtyb25lci1GcmVzZW5pdXMtQ2VudHJlIGZv
ciBOdXRyaXRpb25hbCBNZWRpY2luZSwgS2xpbmlrdW0gcmVjaHRzIGRlciBJc2FyLCBUZWNobmlj
YWwgVW5pdmVyc2l0eSBvZiBNdW5pY2gsIEdlb3JnLUJyYXVjaGxlLVJpbmcgNjIsIDgwOTkyIE11
bmljaCwgR2VybWFueS4ganVsaWEuaG9mZm1hbm5AdHVtLmRlLiYjeEQ7RWxzZSBLcm9uZXItRnJl
c2VuaXVzLUNlbnRyZSBmb3IgTnV0cml0aW9uYWwgTWVkaWNpbmUsIEtsaW5pa3VtIHJlY2h0cyBk
ZXIgSXNhciwgVGVjaG5pY2FsIFVuaXZlcnNpdHkgb2YgTXVuaWNoLCBHZW9yZy1CcmF1Y2hsZS1S
aW5nIDYyLCA4MDk5MiBNdW5pY2gsIEdlcm1hbnkuIGp1bGlhLmd1ZW50aGVyQHR1bS5kZS4mI3hE
O0Vsc2UgS3JvbmVyLUZyZXNlbml1cy1DZW50cmUgZm9yIE51dHJpdGlvbmFsIE1lZGljaW5lLCBL
bGluaWt1bSByZWNodHMgZGVyIElzYXIsIFRlY2huaWNhbCBVbml2ZXJzaXR5IG9mIE11bmljaCwg
R2VvcmctQnJhdWNobGUtUmluZyA2MiwgODA5OTIgTXVuaWNoLCBHZXJtYW55LiBrLmdleWVyQHR1
bS5kZS4mI3hEO0Vsc2UgS3JvbmVyLUZyZXNlbml1cy1DZW50cmUgZm9yIE51dHJpdGlvbmFsIE1l
ZGljaW5lLCBLbGluaWt1bSByZWNodHMgZGVyIElzYXIsIFRlY2huaWNhbCBVbml2ZXJzaXR5IG9m
IE11bmljaCwgR2VvcmctQnJhdWNobGUtUmluZyA2MiwgODA5OTIgTXVuaWNoLCBHZXJtYW55LiBs
eW5uZS5zdGVjaGVyQHR1bS5kZS4mI3hEO0Vsc2UgS3JvbmVyLUZyZXNlbml1cy1DZW50cmUgZm9y
IE51dHJpdGlvbmFsIE1lZGljaW5lLCBLbGluaWt1bSByZWNodHMgZGVyIElzYXIsIFRlY2huaWNh
bCBVbml2ZXJzaXR5IG9mIE11bmljaCwgR2VvcmctQnJhdWNobGUtUmluZyA2MiwgODA5OTIgTXVu
aWNoLCBHZXJtYW55LiBqdWxpYS5rdW5hdGhAdHVtLmRlLiYjeEQ7RWxzZSBLcm9uZXItRnJlc2Vu
aXVzLUNlbnRyZSBmb3IgTnV0cml0aW9uYWwgTWVkaWNpbmUsIEtsaW5pa3VtIHJlY2h0cyBkZXIg
SXNhciwgVGVjaG5pY2FsIFVuaXZlcnNpdHkgb2YgTXVuaWNoLCBHZW9yZy1CcmF1Y2hsZS1SaW5n
IDYyLCA4MDk5MiBNdW5pY2gsIEdlcm1hbnkuIGRvcmEubWV5ZXJAdHVtLmRlLiYjeEQ7RWxzZSBL
cm9uZXItRnJlc2VuaXVzLUNlbnRyZSBmb3IgTnV0cml0aW9uYWwgTWVkaWNpbmUsIEtsaW5pa3Vt
IHJlY2h0cyBkZXIgSXNhciwgVGVjaG5pY2FsIFVuaXZlcnNpdHkgb2YgTXVuaWNoLCBHZW9yZy1C
cmF1Y2hsZS1SaW5nIDYyLCA4MDk5MiBNdW5pY2gsIEdlcm1hbnkuIG1vbmlrYS5zcGllc0B0dW0u
ZGUuJiN4RDtDb21wZXRlbmNlIENlbnRyZSBmb3IgTnV0cml0aW9uIChLRXJuKSwgQW0gR2VyZXV0
aCA0LCA4NTM1NCBGcmVpc2luZywgR2VybWFueS4gZXZhLnJvc2VuZmVsZEBtdWVuY2hlbi5kZS4m
I3hEO0NvbXBldGVuY2UgQ2VudHJlIGZvciBOdXRyaXRpb24gKEtFcm4pLCBBbSBHZXJldXRoIDQs
IDg1MzU0IEZyZWlzaW5nLCBHZXJtYW55LiBMdXppYS5LaWNrQEtFcm4uYmF5ZXJuLmRlLiYjeEQ7
RWxzZSBLcm9uZXItRnJlc2VuaXVzLUNlbnRyZSBmb3IgTnV0cml0aW9uYWwgTWVkaWNpbmUsIEts
aW5pa3VtIHJlY2h0cyBkZXIgSXNhciwgVGVjaG5pY2FsIFVuaXZlcnNpdHkgb2YgTXVuaWNoLCBH
ZW9yZy1CcmF1Y2hsZS1SaW5nIDYyLCA4MDk5MiBNdW5pY2gsIEdlcm1hbnkuIGthdGhyaW4ucmF1
aEB0dW0uZGUuJiN4RDtDb21wZXRlbmNlIENlbnRyZSBmb3IgTnV0cml0aW9uIChLRXJuKSwgQW0g
R2VyZXV0aCA0LCA4NTM1NCBGcmVpc2luZywgR2VybWFueS4ga2F0aHJpbi5yYXVoQHR1bS5kZS4m
I3hEO0Vsc2UgS3JvbmVyLUZyZXNlbml1cy1DZW50cmUgZm9yIE51dHJpdGlvbmFsIE1lZGljaW5l
LCBLbGluaWt1bSByZWNodHMgZGVyIElzYXIsIFRlY2huaWNhbCBVbml2ZXJzaXR5IG9mIE11bmlj
aCwgR2VvcmctQnJhdWNobGUtUmluZyA2MiwgODA5OTIgTXVuaWNoLCBHZXJtYW55LiBoYW5zLmhh
dW5lckB0dW0uZGUuPC9hdXRoLWFkZHJlc3M+PHRpdGxlcz48dGl0bGU+QXNzb2NpYXRpb25zIGJl
dHdlZW4gcHJlbmF0YWwgcGh5c2ljYWwgYWN0aXZpdHkgYW5kIG5lb25hdGFsIGFuZCBvYnN0ZXRy
aWMgb3V0Y29tZXMtYSBzZWNvbmRhcnkgYW5hbHlzaXMgb2YgdGhlIGNsdXN0ZXItcmFuZG9taXpl
ZCBHZWxpUyB0cmlhbDwvdGl0bGU+PHNlY29uZGFyeS10aXRsZT5KIENsaW4gTWVkPC9zZWNvbmRh
cnktdGl0bGU+PC90aXRsZXM+PHBlcmlvZGljYWw+PGZ1bGwtdGl0bGU+SiBDbGluIE1lZDwvZnVs
bC10aXRsZT48L3BlcmlvZGljYWw+PHZvbHVtZT44PC92b2x1bWU+PG51bWJlcj4xMDwvbnVtYmVy
PjxlZGl0aW9uPjIwMTkvMTAvMjM8L2VkaXRpb24+PGtleXdvcmRzPjxrZXl3b3JkPmJpcnRoIHdl
aWdodDwva2V5d29yZD48a2V5d29yZD5leGVyY2lzZTwva2V5d29yZD48a2V5d29yZD5sYXJnZSBm
b3IgZ2VzdGF0aW9uYWwgYWdlPC9rZXl3b3JkPjxrZXl3b3JkPmxpZmVzdHlsZSBpbnRlcnZlbnRp
b248L2tleXdvcmQ+PGtleXdvcmQ+bmVvbmF0YWwgb3V0Y29tZXM8L2tleXdvcmQ+PGtleXdvcmQ+
b2Jlc2l0eSBwcmV2ZW50aW9uPC9rZXl3b3JkPjxrZXl3b3JkPm9ic3RldHJpYyBvdXRjb21lczwv
a2V5d29yZD48a2V5d29yZD5waHlzaWNhbCBhY3Rpdml0eTwva2V5d29yZD48a2V5d29yZD5wcmVn
bmFuY3k8L2tleXdvcmQ+PGtleXdvcmQ+cm91dGluZSBjYXJlPC9rZXl3b3JkPjwva2V5d29yZHM+
PGRhdGVzPjx5ZWFyPjIwMTk8L3llYXI+PHB1Yi1kYXRlcz48ZGF0ZT5PY3QgMTk8L2RhdGU+PC9w
dWItZGF0ZXM+PC9kYXRlcz48aXNibj4yMDc3LTAzODMgKFByaW50KSYjeEQ7MjA3Ny0wMzgzIChM
aW5raW5nKTwvaXNibj48YWNjZXNzaW9uLW51bT4zMTYzNTA2NTwvYWNjZXNzaW9uLW51bT48dXJs
cz48cmVsYXRlZC11cmxzPjx1cmw+aHR0cHM6Ly93d3cubmNiaS5ubG0ubmloLmdvdi9wdWJtZWQv
MzE2MzUwNjU8L3VybD48L3JlbGF0ZWQtdXJscz48L3VybHM+PGN1c3RvbTI+UE1DNjgzMjI2Mjwv
Y3VzdG9tMj48ZWxlY3Ryb25pYy1yZXNvdXJjZS1udW0+MTAuMzM5MC9qY204MTAxNzM1PC9lbGVj
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PEVuZE5vdGU+PENpdGU+PEF1dGhvcj5Ib2ZmbWFubjwvQXV0aG9yPjxZZWFyPjIwMTk8L1llYXI+
PFJlY051bT4xOTU3PC9SZWNOdW0+PERpc3BsYXlUZXh0PjxzdHlsZSBmYWNlPSJzdXBlcnNjcmlw
dCIgZm9udD0iVHJlYnVjaGV0IE1TIiBzaXplPSI5Ij4zMTk8L3N0eWxlPjwvRGlzcGxheVRleHQ+
PHJlY29yZD48cmVjLW51bWJlcj4xOTU3PC9yZWMtbnVtYmVyPjxmb3JlaWduLWtleXM+PGtleSBh
cHA9IkVOIiBkYi1pZD0iZXh2YXNyZngyZHRyYW9lc2FzeHAyc3pzeGEyZGY1MDI1OTJ4IiB0aW1l
c3RhbXA9IjE1ODg3NDM4NTgiPjE5NTc8L2tleT48a2V5IGFwcD0iRU5XZWIiIGRiLWlkPSIiPjA8
L2tleT48L2ZvcmVpZ24ta2V5cz48cmVmLXR5cGUgbmFtZT0iSm91cm5hbCBBcnRpY2xlIj4xNzwv
cmVmLXR5cGU+PGNvbnRyaWJ1dG9ycz48YXV0aG9ycz48YXV0aG9yPkhvZmZtYW5uLCBKLjwvYXV0
aG9yPjxhdXRob3I+R3VudGhlciwgSi48L2F1dGhvcj48YXV0aG9yPkdleWVyLCBLLjwvYXV0aG9y
PjxhdXRob3I+U3RlY2hlciwgTC48L2F1dGhvcj48YXV0aG9yPkt1bmF0aCwgSi48L2F1dGhvcj48
YXV0aG9yPk1leWVyLCBELjwvYXV0aG9yPjxhdXRob3I+U3BpZXMsIE0uPC9hdXRob3I+PGF1dGhv
cj5Sb3NlbmZlbGQsIEUuPC9hdXRob3I+PGF1dGhvcj5LaWNrLCBMLjwvYXV0aG9yPjxhdXRob3I+
UmF1aCwgSy48L2F1dGhvcj48YXV0aG9yPkhhdW5lciwgSC48L2F1dGhvcj48L2F1dGhvcnM+PC9j
b250cmlidXRvcnM+PGF1dGgtYWRkcmVzcz5FbHNlIEtyb25lci1GcmVzZW5pdXMtQ2VudHJlIGZv
ciBOdXRyaXRpb25hbCBNZWRpY2luZSwgS2xpbmlrdW0gcmVjaHRzIGRlciBJc2FyLCBUZWNobmlj
YWwgVW5pdmVyc2l0eSBvZiBNdW5pY2gsIEdlb3JnLUJyYXVjaGxlLVJpbmcgNjIsIDgwOTkyIE11
bmljaCwgR2VybWFueS4ganVsaWEuaG9mZm1hbm5AdHVtLmRlLiYjeEQ7RWxzZSBLcm9uZXItRnJl
c2VuaXVzLUNlbnRyZSBmb3IgTnV0cml0aW9uYWwgTWVkaWNpbmUsIEtsaW5pa3VtIHJlY2h0cyBk
ZXIgSXNhciwgVGVjaG5pY2FsIFVuaXZlcnNpdHkgb2YgTXVuaWNoLCBHZW9yZy1CcmF1Y2hsZS1S
aW5nIDYyLCA4MDk5MiBNdW5pY2gsIEdlcm1hbnkuIGp1bGlhLmd1ZW50aGVyQHR1bS5kZS4mI3hE
O0Vsc2UgS3JvbmVyLUZyZXNlbml1cy1DZW50cmUgZm9yIE51dHJpdGlvbmFsIE1lZGljaW5lLCBL
bGluaWt1bSByZWNodHMgZGVyIElzYXIsIFRlY2huaWNhbCBVbml2ZXJzaXR5IG9mIE11bmljaCwg
R2VvcmctQnJhdWNobGUtUmluZyA2MiwgODA5OTIgTXVuaWNoLCBHZXJtYW55LiBrLmdleWVyQHR1
bS5kZS4mI3hEO0Vsc2UgS3JvbmVyLUZyZXNlbml1cy1DZW50cmUgZm9yIE51dHJpdGlvbmFsIE1l
ZGljaW5lLCBLbGluaWt1bSByZWNodHMgZGVyIElzYXIsIFRlY2huaWNhbCBVbml2ZXJzaXR5IG9m
IE11bmljaCwgR2VvcmctQnJhdWNobGUtUmluZyA2MiwgODA5OTIgTXVuaWNoLCBHZXJtYW55LiBs
eW5uZS5zdGVjaGVyQHR1bS5kZS4mI3hEO0Vsc2UgS3JvbmVyLUZyZXNlbml1cy1DZW50cmUgZm9y
IE51dHJpdGlvbmFsIE1lZGljaW5lLCBLbGluaWt1bSByZWNodHMgZGVyIElzYXIsIFRlY2huaWNh
bCBVbml2ZXJzaXR5IG9mIE11bmljaCwgR2VvcmctQnJhdWNobGUtUmluZyA2MiwgODA5OTIgTXVu
aWNoLCBHZXJtYW55LiBqdWxpYS5rdW5hdGhAdHVtLmRlLiYjeEQ7RWxzZSBLcm9uZXItRnJlc2Vu
aXVzLUNlbnRyZSBmb3IgTnV0cml0aW9uYWwgTWVkaWNpbmUsIEtsaW5pa3VtIHJlY2h0cyBkZXIg
SXNhciwgVGVjaG5pY2FsIFVuaXZlcnNpdHkgb2YgTXVuaWNoLCBHZW9yZy1CcmF1Y2hsZS1SaW5n
IDYyLCA4MDk5MiBNdW5pY2gsIEdlcm1hbnkuIGRvcmEubWV5ZXJAdHVtLmRlLiYjeEQ7RWxzZSBL
cm9uZXItRnJlc2VuaXVzLUNlbnRyZSBmb3IgTnV0cml0aW9uYWwgTWVkaWNpbmUsIEtsaW5pa3Vt
IHJlY2h0cyBkZXIgSXNhciwgVGVjaG5pY2FsIFVuaXZlcnNpdHkgb2YgTXVuaWNoLCBHZW9yZy1C
cmF1Y2hsZS1SaW5nIDYyLCA4MDk5MiBNdW5pY2gsIEdlcm1hbnkuIG1vbmlrYS5zcGllc0B0dW0u
ZGUuJiN4RDtDb21wZXRlbmNlIENlbnRyZSBmb3IgTnV0cml0aW9uIChLRXJuKSwgQW0gR2VyZXV0
aCA0LCA4NTM1NCBGcmVpc2luZywgR2VybWFueS4gZXZhLnJvc2VuZmVsZEBtdWVuY2hlbi5kZS4m
I3hEO0NvbXBldGVuY2UgQ2VudHJlIGZvciBOdXRyaXRpb24gKEtFcm4pLCBBbSBHZXJldXRoIDQs
IDg1MzU0IEZyZWlzaW5nLCBHZXJtYW55LiBMdXppYS5LaWNrQEtFcm4uYmF5ZXJuLmRlLiYjeEQ7
RWxzZSBLcm9uZXItRnJlc2VuaXVzLUNlbnRyZSBmb3IgTnV0cml0aW9uYWwgTWVkaWNpbmUsIEts
aW5pa3VtIHJlY2h0cyBkZXIgSXNhciwgVGVjaG5pY2FsIFVuaXZlcnNpdHkgb2YgTXVuaWNoLCBH
ZW9yZy1CcmF1Y2hsZS1SaW5nIDYyLCA4MDk5MiBNdW5pY2gsIEdlcm1hbnkuIGthdGhyaW4ucmF1
aEB0dW0uZGUuJiN4RDtDb21wZXRlbmNlIENlbnRyZSBmb3IgTnV0cml0aW9uIChLRXJuKSwgQW0g
R2VyZXV0aCA0LCA4NTM1NCBGcmVpc2luZywgR2VybWFueS4ga2F0aHJpbi5yYXVoQHR1bS5kZS4m
I3hEO0Vsc2UgS3JvbmVyLUZyZXNlbml1cy1DZW50cmUgZm9yIE51dHJpdGlvbmFsIE1lZGljaW5l
LCBLbGluaWt1bSByZWNodHMgZGVyIElzYXIsIFRlY2huaWNhbCBVbml2ZXJzaXR5IG9mIE11bmlj
aCwgR2VvcmctQnJhdWNobGUtUmluZyA2MiwgODA5OTIgTXVuaWNoLCBHZXJtYW55LiBoYW5zLmhh
dW5lckB0dW0uZGUuPC9hdXRoLWFkZHJlc3M+PHRpdGxlcz48dGl0bGU+QXNzb2NpYXRpb25zIGJl
dHdlZW4gcHJlbmF0YWwgcGh5c2ljYWwgYWN0aXZpdHkgYW5kIG5lb25hdGFsIGFuZCBvYnN0ZXRy
aWMgb3V0Y29tZXMtYSBzZWNvbmRhcnkgYW5hbHlzaXMgb2YgdGhlIGNsdXN0ZXItcmFuZG9taXpl
ZCBHZWxpUyB0cmlhbDwvdGl0bGU+PHNlY29uZGFyeS10aXRsZT5KIENsaW4gTWVkPC9zZWNvbmRh
cnktdGl0bGU+PC90aXRsZXM+PHBlcmlvZGljYWw+PGZ1bGwtdGl0bGU+SiBDbGluIE1lZDwvZnVs
bC10aXRsZT48L3BlcmlvZGljYWw+PHZvbHVtZT44PC92b2x1bWU+PG51bWJlcj4xMDwvbnVtYmVy
PjxlZGl0aW9uPjIwMTkvMTAvMjM8L2VkaXRpb24+PGtleXdvcmRzPjxrZXl3b3JkPmJpcnRoIHdl
aWdodDwva2V5d29yZD48a2V5d29yZD5leGVyY2lzZTwva2V5d29yZD48a2V5d29yZD5sYXJnZSBm
b3IgZ2VzdGF0aW9uYWwgYWdlPC9rZXl3b3JkPjxrZXl3b3JkPmxpZmVzdHlsZSBpbnRlcnZlbnRp
b248L2tleXdvcmQ+PGtleXdvcmQ+bmVvbmF0YWwgb3V0Y29tZXM8L2tleXdvcmQ+PGtleXdvcmQ+
b2Jlc2l0eSBwcmV2ZW50aW9uPC9rZXl3b3JkPjxrZXl3b3JkPm9ic3RldHJpYyBvdXRjb21lczwv
a2V5d29yZD48a2V5d29yZD5waHlzaWNhbCBhY3Rpdml0eTwva2V5d29yZD48a2V5d29yZD5wcmVn
bmFuY3k8L2tleXdvcmQ+PGtleXdvcmQ+cm91dGluZSBjYXJlPC9rZXl3b3JkPjwva2V5d29yZHM+
PGRhdGVzPjx5ZWFyPjIwMTk8L3llYXI+PHB1Yi1kYXRlcz48ZGF0ZT5PY3QgMTk8L2RhdGU+PC9w
dWItZGF0ZXM+PC9kYXRlcz48aXNibj4yMDc3LTAzODMgKFByaW50KSYjeEQ7MjA3Ny0wMzgzIChM
aW5raW5nKTwvaXNibj48YWNjZXNzaW9uLW51bT4zMTYzNTA2NTwvYWNjZXNzaW9uLW51bT48dXJs
cz48cmVsYXRlZC11cmxzPjx1cmw+aHR0cHM6Ly93d3cubmNiaS5ubG0ubmloLmdvdi9wdWJtZWQv
MzE2MzUwNjU8L3VybD48L3JlbGF0ZWQtdXJscz48L3VybHM+PGN1c3RvbTI+UE1DNjgzMjI2Mjwv
Y3VzdG9tMj48ZWxlY3Ryb25pYy1yZXNvdXJjZS1udW0+MTAuMzM5MC9qY204MTAxNzM1PC9lbGVj
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319</w:t>
      </w:r>
      <w:r w:rsidR="00D07346">
        <w:rPr>
          <w:noProof/>
        </w:rPr>
        <w:fldChar w:fldCharType="end"/>
      </w:r>
      <w:r w:rsidR="008B0A3F">
        <w:t xml:space="preserve"> found no clear difference in low birthweight (p=0.946), high birthweight (p=0.278), large for gestational age (p=0.533) or small for gestational age (p=0.160).</w:t>
      </w:r>
    </w:p>
    <w:p w14:paraId="2A9F8CD1" w14:textId="71BE90BC" w:rsidR="00380E4B" w:rsidRDefault="00196F84" w:rsidP="00794F56">
      <w:r>
        <w:t>Three</w:t>
      </w:r>
      <w:r w:rsidR="00794F56">
        <w:t xml:space="preserve"> cohort studies</w:t>
      </w:r>
      <w:r w:rsidR="00CC1A65">
        <w:fldChar w:fldCharType="begin">
          <w:fldData xml:space="preserve">PEVuZE5vdGU+PENpdGU+PEF1dGhvcj5NYWRzZW48L0F1dGhvcj48WWVhcj4yMDA3PC9ZZWFyPjxS
ZWNOdW0+ODkwPC9SZWNOdW0+PERpc3BsYXlUZXh0PjxzdHlsZSBmYWNlPSJzdXBlcnNjcmlwdCIg
Zm9udD0iVHJlYnVjaGV0IE1TIiBzaXplPSI5Ij4zMjAtMzIyPC9zdHlsZT48L0Rpc3BsYXlUZXh0
PjxyZWNvcmQ+PHJlYy1udW1iZXI+ODkwPC9yZWMtbnVtYmVyPjxmb3JlaWduLWtleXM+PGtleSBh
cHA9IkVOIiBkYi1pZD0iZXh2YXNyZngyZHRyYW9lc2FzeHAyc3pzeGEyZGY1MDI1OTJ4IiB0aW1l
c3RhbXA9IjE1NDE1NDA3OTQiPjg5MDwva2V5PjxrZXkgYXBwPSJFTldlYiIgZGItaWQ9IiI+MDwv
a2V5PjwvZm9yZWlnbi1rZXlzPjxyZWYtdHlwZSBuYW1lPSJKb3VybmFsIEFydGljbGUiPjE3PC9y
ZWYtdHlwZT48Y29udHJpYnV0b3JzPjxhdXRob3JzPjxhdXRob3I+TWFkc2VuLCBNLjwvYXV0aG9y
PjxhdXRob3I+Sm9yZ2Vuc2VuLCBULjwvYXV0aG9yPjxhdXRob3I+SmVuc2VuLCBNLiBMLjwvYXV0
aG9yPjxhdXRob3I+SnVobCwgTS48L2F1dGhvcj48YXV0aG9yPk9sc2VuLCBKLjwvYXV0aG9yPjxh
dXRob3I+QW5kZXJzZW4sIFAuIEsuPC9hdXRob3I+PGF1dGhvcj5OeWJvIEFuZGVyc2VuLCBBLiBN
LjwvYXV0aG9yPjwvYXV0aG9ycz48L2NvbnRyaWJ1dG9ycz48YXV0aC1hZGRyZXNzPkRlcGFydG1l
bnQgb2YgQ2hpbGQgSGVhbHRoLCBOYXRpb25hbCBJbnN0aXR1dGUgb2YgUHVibGljIEhlYWx0aCwg
Q29wZW5oYWdlbiBLLCBEZW5tYXJrLjwvYXV0aC1hZGRyZXNzPjx0aXRsZXM+PHRpdGxlPkxlaXN1
cmUgdGltZSBwaHlzaWNhbCBleGVyY2lzZSBkdXJpbmcgcHJlZ25hbmN5IGFuZCB0aGUgcmlzayBv
ZiBtaXNjYXJyaWFnZTogYSBzdHVkeSB3aXRoaW4gdGhlIERhbmlzaCBOYXRpb25hbCBCaXJ0aCBD
b2hvcnQ8L3RpdGxlPjxzZWNvbmRhcnktdGl0bGU+QkpPRzwvc2Vjb25kYXJ5LXRpdGxlPjwvdGl0
bGVzPjxwZXJpb2RpY2FsPjxmdWxsLXRpdGxlPkJKT0c8L2Z1bGwtdGl0bGU+PC9wZXJpb2RpY2Fs
PjxwYWdlcz4xNDE5LTI2PC9wYWdlcz48dm9sdW1lPjExNDwvdm9sdW1lPjxudW1iZXI+MTE8L251
bWJlcj48ZWRpdGlvbj4yMDA3LzA5LzIwPC9lZGl0aW9uPjxrZXl3b3Jkcz48a2V5d29yZD5BYm9y
dGlvbiwgU3BvbnRhbmVvdXMvZXBpZGVtaW9sb2d5LypldGlvbG9neTwva2V5d29yZD48a2V5d29y
ZD5BZG9sZXNjZW50PC9rZXl3b3JkPjxrZXl3b3JkPkFkdWx0PC9rZXl3b3JkPjxrZXl3b3JkPkRl
bm1hcmsvZXBpZGVtaW9sb2d5PC9rZXl3b3JkPjxrZXl3b3JkPkVwaWRlbWlvbG9naWMgTWV0aG9k
czwva2V5d29yZD48a2V5d29yZD5FeGVyY2lzZS8qcGh5c2lvbG9neTwva2V5d29yZD48a2V5d29y
ZD5GZW1hbGU8L2tleXdvcmQ+PGtleXdvcmQ+SHVtYW5zPC9rZXl3b3JkPjxrZXl3b3JkPipMZWlz
dXJlIEFjdGl2aXRpZXM8L2tleXdvcmQ+PGtleXdvcmQ+TWF0ZXJuYWwgQWdlPC9rZXl3b3JkPjxr
ZXl3b3JkPlByZWduYW5jeTwva2V5d29yZD48a2V5d29yZD5QcmVnbmFuY3kgT3V0Y29tZS9lcGlk
ZW1pb2xvZ3k8L2tleXdvcmQ+PC9rZXl3b3Jkcz48ZGF0ZXM+PHllYXI+MjAwNzwveWVhcj48cHVi
LWRhdGVzPjxkYXRlPk5vdjwvZGF0ZT48L3B1Yi1kYXRlcz48L2RhdGVzPjxpc2JuPjE0NzEtMDUy
OCAoRWxlY3Ryb25pYykmI3hEOzE0NzAtMDMyOCAoTGlua2luZyk8L2lzYm4+PGFjY2Vzc2lvbi1u
dW0+MTc4Nzc3NzQ8L2FjY2Vzc2lvbi1udW0+PHVybHM+PHJlbGF0ZWQtdXJscz48dXJsPmh0dHBz
Oi8vd3d3Lm5jYmkubmxtLm5paC5nb3YvcHVibWVkLzE3ODc3Nzc0PC91cmw+PC9yZWxhdGVkLXVy
bHM+PC91cmxzPjxjdXN0b20yPlBNQzIzNjYwMjQ8L2N1c3RvbTI+PGVsZWN0cm9uaWMtcmVzb3Vy
Y2UtbnVtPjEwLjExMTEvai4xNDcxLTA1MjguMjAwNy4wMTQ5Ni54PC9lbGVjdHJvbmljLXJlc291
cmNlLW51bT48L3JlY29yZD48L0NpdGU+PENpdGU+PEF1dGhvcj5FdmVuc29uPC9BdXRob3I+PFll
YXI+MjAwMjwvWWVhcj48UmVjTnVtPjg1MTwvUmVjTnVtPjxyZWNvcmQ+PHJlYy1udW1iZXI+ODUx
PC9yZWMtbnVtYmVyPjxmb3JlaWduLWtleXM+PGtleSBhcHA9IkVOIiBkYi1pZD0iZXh2YXNyZngy
ZHRyYW9lc2FzeHAyc3pzeGEyZGY1MDI1OTJ4IiB0aW1lc3RhbXA9IjE1NDE1NDA2MzgiPjg1MTwv
a2V5PjxrZXkgYXBwPSJFTldlYiIgZGItaWQ9IiI+MDwva2V5PjwvZm9yZWlnbi1rZXlzPjxyZWYt
dHlwZSBuYW1lPSJKb3VybmFsIEFydGljbGUiPjE3PC9yZWYtdHlwZT48Y29udHJpYnV0b3JzPjxh
dXRob3JzPjxhdXRob3I+RXZlbnNvbiwgSy4gUi48L2F1dGhvcj48YXV0aG9yPlNpZWdhLVJpeiwg
QS4gTS48L2F1dGhvcj48YXV0aG9yPlNhdml0eiwgRC4gQS48L2F1dGhvcj48YXV0aG9yPkxlaWZl
cm1hbiwgSi4gQS48L2F1dGhvcj48YXV0aG9yPlRob3JwLCBKLiBNLiwgSnIuPC9hdXRob3I+PC9h
dXRob3JzPjwvY29udHJpYnV0b3JzPjxhdXRoLWFkZHJlc3M+RGVwYXJ0bWVudCBvZiBFcGlkZW1p
b2xvZ3ksIFNjaG9vbCBvZiBQdWJsaWMgSGVhbHRoLCBVbml2ZXJzaXR5IG9mIE5vcnRoIENhcm9s
aW5hLUNoYXBlbCBIaWxsLCBOQyAyNzUxNCwgVVNBLiBrZWxseV9ldmVuc2VuQHVuYy5lZHU8L2F1
dGgtYWRkcmVzcz48dGl0bGVzPjx0aXRsZT5WaWdvcm91cyBsZWlzdXJlIGFjdGl2aXR5IGFuZCBw
cmVnbmFuY3kgb3V0Y29tZTwvdGl0bGU+PHNlY29uZGFyeS10aXRsZT5FcGlkZW1pb2xvZ3k8L3Nl
Y29uZGFyeS10aXRsZT48L3RpdGxlcz48cGVyaW9kaWNhbD48ZnVsbC10aXRsZT5FcGlkZW1pb2xv
Z3k8L2Z1bGwtdGl0bGU+PC9wZXJpb2RpY2FsPjxwYWdlcz42NTMtOTwvcGFnZXM+PHZvbHVtZT4x
Mzwvdm9sdW1lPjxudW1iZXI+NjwvbnVtYmVyPjxlZGl0aW9uPjIwMDIvMTEvMDE8L2VkaXRpb24+
PGtleXdvcmRzPjxrZXl3b3JkPkZlbWFsZTwva2V5d29yZD48a2V5d29yZD5IdW1hbnM8L2tleXdv
cmQ+PGtleXdvcmQ+SW5mYW50PC9rZXl3b3JkPjxrZXl3b3JkPkluZmFudCBNb3J0YWxpdHk8L2tl
eXdvcmQ+PGtleXdvcmQ+SW5mYW50LCBMb3cgQmlydGggV2VpZ2h0PC9rZXl3b3JkPjxrZXl3b3Jk
PkluZmFudCwgTmV3Ym9ybjwva2V5d29yZD48a2V5d29yZD5JbmZhbnQsIFByZW1hdHVyZTwva2V5
d29yZD48a2V5d29yZD4qTGVpc3VyZSBBY3Rpdml0aWVzPC9rZXl3b3JkPjxrZXl3b3JkPk5vcnRo
IENhcm9saW5hL2VwaWRlbWlvbG9neTwva2V5d29yZD48a2V5d29yZD5QaHlzaWNhbCBFeGVydGlv
bjwva2V5d29yZD48a2V5d29yZD5QcmVnbmFuY3k8L2tleXdvcmQ+PGtleXdvcmQ+UHJlZ25hbmN5
IE91dGNvbWUvKmVwaWRlbWlvbG9neTwva2V5d29yZD48a2V5d29yZD5QcmVnbmFuY3kgVHJpbWVz
dGVyLCBGaXJzdDwva2V5d29yZD48a2V5d29yZD5QcmVnbmFuY3kgVHJpbWVzdGVyLCBTZWNvbmQ8
L2tleXdvcmQ+PC9rZXl3b3Jkcz48ZGF0ZXM+PHllYXI+MjAwMjwveWVhcj48cHViLWRhdGVzPjxk
YXRlPk5vdjwvZGF0ZT48L3B1Yi1kYXRlcz48L2RhdGVzPjxpc2JuPjEwNDQtMzk4MyAoUHJpbnQp
JiN4RDsxMDQ0LTM5ODMgKExpbmtpbmcpPC9pc2JuPjxhY2Nlc3Npb24tbnVtPjEyNDEwMDA2PC9h
Y2Nlc3Npb24tbnVtPjx1cmxzPjxyZWxhdGVkLXVybHM+PHVybD5odHRwczovL3d3dy5uY2JpLm5s
bS5uaWguZ292L3B1Ym1lZC8xMjQxMDAwNjwvdXJsPjwvcmVsYXRlZC11cmxzPjwvdXJscz48ZWxl
Y3Ryb25pYy1yZXNvdXJjZS1udW0+MTAuMTA5Ny8wMS5FREUuMDAwMDAyMTQ2My40NTA0MS45NTwv
ZWxlY3Ryb25pYy1yZXNvdXJjZS1udW0+PC9yZWNvcmQ+PC9DaXRlPjxDaXRlPjxBdXRob3I+SnVr
aWM8L0F1dGhvcj48WWVhcj4yMDEyPC9ZZWFyPjxSZWNOdW0+ODgyPC9SZWNOdW0+PHJlY29yZD48
cmVjLW51bWJlcj44ODI8L3JlYy1udW1iZXI+PGZvcmVpZ24ta2V5cz48a2V5IGFwcD0iRU4iIGRi
LWlkPSJleHZhc3JmeDJkdHJhb2VzYXN4cDJzenN4YTJkZjUwMjU5MngiIHRpbWVzdGFtcD0iMTU0
MTU0MDc1OCI+ODgyPC9rZXk+PGtleSBhcHA9IkVOV2ViIiBkYi1pZD0iIj4wPC9rZXk+PC9mb3Jl
aWduLWtleXM+PHJlZi10eXBlIG5hbWU9IkpvdXJuYWwgQXJ0aWNsZSI+MTc8L3JlZi10eXBlPjxj
b250cmlidXRvcnM+PGF1dGhvcnM+PGF1dGhvcj5KdWtpYywgQS4gTS48L2F1dGhvcj48YXV0aG9y
PkV2ZW5zb24sIEsuIFIuPC9hdXRob3I+PGF1dGhvcj5EYW5pZWxzLCBKLiBMLjwvYXV0aG9yPjxh
dXRob3I+SGVycmluZywgQS4gSC48L2F1dGhvcj48YXV0aG9yPldpbGNveCwgQS4gSi48L2F1dGhv
cj48YXV0aG9yPkhhcnRtYW5uLCBLLiBFLjwvYXV0aG9yPjwvYXV0aG9ycz48L2NvbnRyaWJ1dG9y
cz48YXV0aC1hZGRyZXNzPkRlcGFydG1lbnQgb2YgRXBpZGVtaW9sb2d5LCBHaWxsaW5ncyBTY2hv
b2wgb2YgR2xvYmFsIFB1YmxpYyBIZWFsdGgsIFVuaXZlcnNpdHkgb2YgTm9ydGggQ2Fyb2xpbmEg
YXQgQ2hhcGVsIEhpbGwsIENoYXBlbCBIaWxsLCBOQywgVVNBLiBqdWtpY2FAbmllaHMubmloLmdv
djwvYXV0aC1hZGRyZXNzPjx0aXRsZXM+PHRpdGxlPkEgcHJvc3BlY3RpdmUgc3R1ZHkgb2YgdGhl
IGFzc29jaWF0aW9uIGJldHdlZW4gdmlnb3JvdXMgcGh5c2ljYWwgYWN0aXZpdHkgZHVyaW5nIHBy
ZWduYW5jeSBhbmQgbGVuZ3RoIG9mIGdlc3RhdGlvbiBhbmQgYmlydGh3ZWlnaHQ8L3RpdGxlPjxz
ZWNvbmRhcnktdGl0bGU+TWF0ZXJuIENoaWxkIEhlYWx0aCBKPC9zZWNvbmRhcnktdGl0bGU+PC90
aXRsZXM+PHBlcmlvZGljYWw+PGZ1bGwtdGl0bGU+TWF0ZXJuIENoaWxkIEhlYWx0aCBKPC9mdWxs
LXRpdGxlPjwvcGVyaW9kaWNhbD48cGFnZXM+MTAzMS00NDwvcGFnZXM+PHZvbHVtZT4xNjwvdm9s
dW1lPjxudW1iZXI+NTwvbnVtYmVyPjxlZGl0aW9uPjIwMTEvMDYvMTY8L2VkaXRpb24+PGtleXdv
cmRzPjxrZXl3b3JkPkFkdWx0PC9rZXl3b3JkPjxrZXl3b3JkPipCaXJ0aCBXZWlnaHQ8L2tleXdv
cmQ+PGtleXdvcmQ+Q2hpbGQ8L2tleXdvcmQ+PGtleXdvcmQ+KkV4ZXJjaXNlPC9rZXl3b3JkPjxr
ZXl3b3JkPkZlbWFsZTwva2V5d29yZD48a2V5d29yZD4qR2VzdGF0aW9uYWwgQWdlPC9rZXl3b3Jk
PjxrZXl3b3JkPkh1bWFuczwva2V5d29yZD48a2V5d29yZD5JbmZhbnQ8L2tleXdvcmQ+PGtleXdv
cmQ+SW5mYW50LCBOZXdib3JuPC9rZXl3b3JkPjxrZXl3b3JkPkludGVydmlld3MgYXMgVG9waWM8
L2tleXdvcmQ+PGtleXdvcmQ+Kk1vdG9yIEFjdGl2aXR5PC9rZXl3b3JkPjxrZXl3b3JkPlByZWdu
YW5jeTwva2V5d29yZD48a2V5d29yZD5QcmVnbmFuY3kgT3V0Y29tZTwva2V5d29yZD48a2V5d29y
ZD5QcmVnbmFuY3kgVHJpbWVzdGVycy9waHlzaW9sb2d5PC9rZXl3b3JkPjxrZXl3b3JkPlByZW1h
dHVyZSBCaXJ0aDwva2V5d29yZD48a2V5d29yZD5Qcm9zcGVjdGl2ZSBTdHVkaWVzPC9rZXl3b3Jk
PjxrZXl3b3JkPlJlY3JlYXRpb248L2tleXdvcmQ+PGtleXdvcmQ+U2VsZiBSZXBvcnQ8L2tleXdv
cmQ+PGtleXdvcmQ+U3VydmV5cyBhbmQgUXVlc3Rpb25uYWlyZXM8L2tleXdvcmQ+PC9rZXl3b3Jk
cz48ZGF0ZXM+PHllYXI+MjAxMjwveWVhcj48cHViLWRhdGVzPjxkYXRlPkp1bDwvZGF0ZT48L3B1
Yi1kYXRlcz48L2RhdGVzPjxpc2JuPjE1NzMtNjYyOCAoRWxlY3Ryb25pYykmI3hEOzEwOTItNzg3
NSAoTGlua2luZyk8L2lzYm4+PGFjY2Vzc2lvbi1udW0+MjE2NzQyMTg8L2FjY2Vzc2lvbi1udW0+
PHVybHM+PHJlbGF0ZWQtdXJscz48dXJsPmh0dHBzOi8vd3d3Lm5jYmkubmxtLm5paC5nb3YvcHVi
bWVkLzIxNjc0MjE4PC91cmw+PC9yZWxhdGVkLXVybHM+PC91cmxzPjxjdXN0b20yPlBNQzMzODY0
MjM8L2N1c3RvbTI+PGVsZWN0cm9uaWMtcmVzb3VyY2UtbnVtPjEwLjEwMDcvczEwOTk1LTAxMS0w
ODMxLTg8L2VsZWN0cm9uaWMtcmVzb3VyY2UtbnVtPjwvcmVjb3JkPjwvQ2l0ZT48L0VuZE5vdGU+
</w:fldData>
        </w:fldChar>
      </w:r>
      <w:r w:rsidR="002747EA">
        <w:instrText xml:space="preserve"> ADDIN EN.CITE </w:instrText>
      </w:r>
      <w:r w:rsidR="002747EA">
        <w:fldChar w:fldCharType="begin">
          <w:fldData xml:space="preserve">PEVuZE5vdGU+PENpdGU+PEF1dGhvcj5NYWRzZW48L0F1dGhvcj48WWVhcj4yMDA3PC9ZZWFyPjxS
ZWNOdW0+ODkwPC9SZWNOdW0+PERpc3BsYXlUZXh0PjxzdHlsZSBmYWNlPSJzdXBlcnNjcmlwdCIg
Zm9udD0iVHJlYnVjaGV0IE1TIiBzaXplPSI5Ij4zMjAtMzIyPC9zdHlsZT48L0Rpc3BsYXlUZXh0
PjxyZWNvcmQ+PHJlYy1udW1iZXI+ODkwPC9yZWMtbnVtYmVyPjxmb3JlaWduLWtleXM+PGtleSBh
cHA9IkVOIiBkYi1pZD0iZXh2YXNyZngyZHRyYW9lc2FzeHAyc3pzeGEyZGY1MDI1OTJ4IiB0aW1l
c3RhbXA9IjE1NDE1NDA3OTQiPjg5MDwva2V5PjxrZXkgYXBwPSJFTldlYiIgZGItaWQ9IiI+MDwv
a2V5PjwvZm9yZWlnbi1rZXlzPjxyZWYtdHlwZSBuYW1lPSJKb3VybmFsIEFydGljbGUiPjE3PC9y
ZWYtdHlwZT48Y29udHJpYnV0b3JzPjxhdXRob3JzPjxhdXRob3I+TWFkc2VuLCBNLjwvYXV0aG9y
PjxhdXRob3I+Sm9yZ2Vuc2VuLCBULjwvYXV0aG9yPjxhdXRob3I+SmVuc2VuLCBNLiBMLjwvYXV0
aG9yPjxhdXRob3I+SnVobCwgTS48L2F1dGhvcj48YXV0aG9yPk9sc2VuLCBKLjwvYXV0aG9yPjxh
dXRob3I+QW5kZXJzZW4sIFAuIEsuPC9hdXRob3I+PGF1dGhvcj5OeWJvIEFuZGVyc2VuLCBBLiBN
LjwvYXV0aG9yPjwvYXV0aG9ycz48L2NvbnRyaWJ1dG9ycz48YXV0aC1hZGRyZXNzPkRlcGFydG1l
bnQgb2YgQ2hpbGQgSGVhbHRoLCBOYXRpb25hbCBJbnN0aXR1dGUgb2YgUHVibGljIEhlYWx0aCwg
Q29wZW5oYWdlbiBLLCBEZW5tYXJrLjwvYXV0aC1hZGRyZXNzPjx0aXRsZXM+PHRpdGxlPkxlaXN1
cmUgdGltZSBwaHlzaWNhbCBleGVyY2lzZSBkdXJpbmcgcHJlZ25hbmN5IGFuZCB0aGUgcmlzayBv
ZiBtaXNjYXJyaWFnZTogYSBzdHVkeSB3aXRoaW4gdGhlIERhbmlzaCBOYXRpb25hbCBCaXJ0aCBD
b2hvcnQ8L3RpdGxlPjxzZWNvbmRhcnktdGl0bGU+QkpPRzwvc2Vjb25kYXJ5LXRpdGxlPjwvdGl0
bGVzPjxwZXJpb2RpY2FsPjxmdWxsLXRpdGxlPkJKT0c8L2Z1bGwtdGl0bGU+PC9wZXJpb2RpY2Fs
PjxwYWdlcz4xNDE5LTI2PC9wYWdlcz48dm9sdW1lPjExNDwvdm9sdW1lPjxudW1iZXI+MTE8L251
bWJlcj48ZWRpdGlvbj4yMDA3LzA5LzIwPC9lZGl0aW9uPjxrZXl3b3Jkcz48a2V5d29yZD5BYm9y
dGlvbiwgU3BvbnRhbmVvdXMvZXBpZGVtaW9sb2d5LypldGlvbG9neTwva2V5d29yZD48a2V5d29y
ZD5BZG9sZXNjZW50PC9rZXl3b3JkPjxrZXl3b3JkPkFkdWx0PC9rZXl3b3JkPjxrZXl3b3JkPkRl
bm1hcmsvZXBpZGVtaW9sb2d5PC9rZXl3b3JkPjxrZXl3b3JkPkVwaWRlbWlvbG9naWMgTWV0aG9k
czwva2V5d29yZD48a2V5d29yZD5FeGVyY2lzZS8qcGh5c2lvbG9neTwva2V5d29yZD48a2V5d29y
ZD5GZW1hbGU8L2tleXdvcmQ+PGtleXdvcmQ+SHVtYW5zPC9rZXl3b3JkPjxrZXl3b3JkPipMZWlz
dXJlIEFjdGl2aXRpZXM8L2tleXdvcmQ+PGtleXdvcmQ+TWF0ZXJuYWwgQWdlPC9rZXl3b3JkPjxr
ZXl3b3JkPlByZWduYW5jeTwva2V5d29yZD48a2V5d29yZD5QcmVnbmFuY3kgT3V0Y29tZS9lcGlk
ZW1pb2xvZ3k8L2tleXdvcmQ+PC9rZXl3b3Jkcz48ZGF0ZXM+PHllYXI+MjAwNzwveWVhcj48cHVi
LWRhdGVzPjxkYXRlPk5vdjwvZGF0ZT48L3B1Yi1kYXRlcz48L2RhdGVzPjxpc2JuPjE0NzEtMDUy
OCAoRWxlY3Ryb25pYykmI3hEOzE0NzAtMDMyOCAoTGlua2luZyk8L2lzYm4+PGFjY2Vzc2lvbi1u
dW0+MTc4Nzc3NzQ8L2FjY2Vzc2lvbi1udW0+PHVybHM+PHJlbGF0ZWQtdXJscz48dXJsPmh0dHBz
Oi8vd3d3Lm5jYmkubmxtLm5paC5nb3YvcHVibWVkLzE3ODc3Nzc0PC91cmw+PC9yZWxhdGVkLXVy
bHM+PC91cmxzPjxjdXN0b20yPlBNQzIzNjYwMjQ8L2N1c3RvbTI+PGVsZWN0cm9uaWMtcmVzb3Vy
Y2UtbnVtPjEwLjExMTEvai4xNDcxLTA1MjguMjAwNy4wMTQ5Ni54PC9lbGVjdHJvbmljLXJlc291
cmNlLW51bT48L3JlY29yZD48L0NpdGU+PENpdGU+PEF1dGhvcj5FdmVuc29uPC9BdXRob3I+PFll
YXI+MjAwMjwvWWVhcj48UmVjTnVtPjg1MTwvUmVjTnVtPjxyZWNvcmQ+PHJlYy1udW1iZXI+ODUx
PC9yZWMtbnVtYmVyPjxmb3JlaWduLWtleXM+PGtleSBhcHA9IkVOIiBkYi1pZD0iZXh2YXNyZngy
ZHRyYW9lc2FzeHAyc3pzeGEyZGY1MDI1OTJ4IiB0aW1lc3RhbXA9IjE1NDE1NDA2MzgiPjg1MTwv
a2V5PjxrZXkgYXBwPSJFTldlYiIgZGItaWQ9IiI+MDwva2V5PjwvZm9yZWlnbi1rZXlzPjxyZWYt
dHlwZSBuYW1lPSJKb3VybmFsIEFydGljbGUiPjE3PC9yZWYtdHlwZT48Y29udHJpYnV0b3JzPjxh
dXRob3JzPjxhdXRob3I+RXZlbnNvbiwgSy4gUi48L2F1dGhvcj48YXV0aG9yPlNpZWdhLVJpeiwg
QS4gTS48L2F1dGhvcj48YXV0aG9yPlNhdml0eiwgRC4gQS48L2F1dGhvcj48YXV0aG9yPkxlaWZl
cm1hbiwgSi4gQS48L2F1dGhvcj48YXV0aG9yPlRob3JwLCBKLiBNLiwgSnIuPC9hdXRob3I+PC9h
dXRob3JzPjwvY29udHJpYnV0b3JzPjxhdXRoLWFkZHJlc3M+RGVwYXJ0bWVudCBvZiBFcGlkZW1p
b2xvZ3ksIFNjaG9vbCBvZiBQdWJsaWMgSGVhbHRoLCBVbml2ZXJzaXR5IG9mIE5vcnRoIENhcm9s
aW5hLUNoYXBlbCBIaWxsLCBOQyAyNzUxNCwgVVNBLiBrZWxseV9ldmVuc2VuQHVuYy5lZHU8L2F1
dGgtYWRkcmVzcz48dGl0bGVzPjx0aXRsZT5WaWdvcm91cyBsZWlzdXJlIGFjdGl2aXR5IGFuZCBw
cmVnbmFuY3kgb3V0Y29tZTwvdGl0bGU+PHNlY29uZGFyeS10aXRsZT5FcGlkZW1pb2xvZ3k8L3Nl
Y29uZGFyeS10aXRsZT48L3RpdGxlcz48cGVyaW9kaWNhbD48ZnVsbC10aXRsZT5FcGlkZW1pb2xv
Z3k8L2Z1bGwtdGl0bGU+PC9wZXJpb2RpY2FsPjxwYWdlcz42NTMtOTwvcGFnZXM+PHZvbHVtZT4x
Mzwvdm9sdW1lPjxudW1iZXI+NjwvbnVtYmVyPjxlZGl0aW9uPjIwMDIvMTEvMDE8L2VkaXRpb24+
PGtleXdvcmRzPjxrZXl3b3JkPkZlbWFsZTwva2V5d29yZD48a2V5d29yZD5IdW1hbnM8L2tleXdv
cmQ+PGtleXdvcmQ+SW5mYW50PC9rZXl3b3JkPjxrZXl3b3JkPkluZmFudCBNb3J0YWxpdHk8L2tl
eXdvcmQ+PGtleXdvcmQ+SW5mYW50LCBMb3cgQmlydGggV2VpZ2h0PC9rZXl3b3JkPjxrZXl3b3Jk
PkluZmFudCwgTmV3Ym9ybjwva2V5d29yZD48a2V5d29yZD5JbmZhbnQsIFByZW1hdHVyZTwva2V5
d29yZD48a2V5d29yZD4qTGVpc3VyZSBBY3Rpdml0aWVzPC9rZXl3b3JkPjxrZXl3b3JkPk5vcnRo
IENhcm9saW5hL2VwaWRlbWlvbG9neTwva2V5d29yZD48a2V5d29yZD5QaHlzaWNhbCBFeGVydGlv
bjwva2V5d29yZD48a2V5d29yZD5QcmVnbmFuY3k8L2tleXdvcmQ+PGtleXdvcmQ+UHJlZ25hbmN5
IE91dGNvbWUvKmVwaWRlbWlvbG9neTwva2V5d29yZD48a2V5d29yZD5QcmVnbmFuY3kgVHJpbWVz
dGVyLCBGaXJzdDwva2V5d29yZD48a2V5d29yZD5QcmVnbmFuY3kgVHJpbWVzdGVyLCBTZWNvbmQ8
L2tleXdvcmQ+PC9rZXl3b3Jkcz48ZGF0ZXM+PHllYXI+MjAwMjwveWVhcj48cHViLWRhdGVzPjxk
YXRlPk5vdjwvZGF0ZT48L3B1Yi1kYXRlcz48L2RhdGVzPjxpc2JuPjEwNDQtMzk4MyAoUHJpbnQp
JiN4RDsxMDQ0LTM5ODMgKExpbmtpbmcpPC9pc2JuPjxhY2Nlc3Npb24tbnVtPjEyNDEwMDA2PC9h
Y2Nlc3Npb24tbnVtPjx1cmxzPjxyZWxhdGVkLXVybHM+PHVybD5odHRwczovL3d3dy5uY2JpLm5s
bS5uaWguZ292L3B1Ym1lZC8xMjQxMDAwNjwvdXJsPjwvcmVsYXRlZC11cmxzPjwvdXJscz48ZWxl
Y3Ryb25pYy1yZXNvdXJjZS1udW0+MTAuMTA5Ny8wMS5FREUuMDAwMDAyMTQ2My40NTA0MS45NTwv
ZWxlY3Ryb25pYy1yZXNvdXJjZS1udW0+PC9yZWNvcmQ+PC9DaXRlPjxDaXRlPjxBdXRob3I+SnVr
aWM8L0F1dGhvcj48WWVhcj4yMDEyPC9ZZWFyPjxSZWNOdW0+ODgyPC9SZWNOdW0+PHJlY29yZD48
cmVjLW51bWJlcj44ODI8L3JlYy1udW1iZXI+PGZvcmVpZ24ta2V5cz48a2V5IGFwcD0iRU4iIGRi
LWlkPSJleHZhc3JmeDJkdHJhb2VzYXN4cDJzenN4YTJkZjUwMjU5MngiIHRpbWVzdGFtcD0iMTU0
MTU0MDc1OCI+ODgyPC9rZXk+PGtleSBhcHA9IkVOV2ViIiBkYi1pZD0iIj4wPC9rZXk+PC9mb3Jl
aWduLWtleXM+PHJlZi10eXBlIG5hbWU9IkpvdXJuYWwgQXJ0aWNsZSI+MTc8L3JlZi10eXBlPjxj
b250cmlidXRvcnM+PGF1dGhvcnM+PGF1dGhvcj5KdWtpYywgQS4gTS48L2F1dGhvcj48YXV0aG9y
PkV2ZW5zb24sIEsuIFIuPC9hdXRob3I+PGF1dGhvcj5EYW5pZWxzLCBKLiBMLjwvYXV0aG9yPjxh
dXRob3I+SGVycmluZywgQS4gSC48L2F1dGhvcj48YXV0aG9yPldpbGNveCwgQS4gSi48L2F1dGhv
cj48YXV0aG9yPkhhcnRtYW5uLCBLLiBFLjwvYXV0aG9yPjwvYXV0aG9ycz48L2NvbnRyaWJ1dG9y
cz48YXV0aC1hZGRyZXNzPkRlcGFydG1lbnQgb2YgRXBpZGVtaW9sb2d5LCBHaWxsaW5ncyBTY2hv
b2wgb2YgR2xvYmFsIFB1YmxpYyBIZWFsdGgsIFVuaXZlcnNpdHkgb2YgTm9ydGggQ2Fyb2xpbmEg
YXQgQ2hhcGVsIEhpbGwsIENoYXBlbCBIaWxsLCBOQywgVVNBLiBqdWtpY2FAbmllaHMubmloLmdv
djwvYXV0aC1hZGRyZXNzPjx0aXRsZXM+PHRpdGxlPkEgcHJvc3BlY3RpdmUgc3R1ZHkgb2YgdGhl
IGFzc29jaWF0aW9uIGJldHdlZW4gdmlnb3JvdXMgcGh5c2ljYWwgYWN0aXZpdHkgZHVyaW5nIHBy
ZWduYW5jeSBhbmQgbGVuZ3RoIG9mIGdlc3RhdGlvbiBhbmQgYmlydGh3ZWlnaHQ8L3RpdGxlPjxz
ZWNvbmRhcnktdGl0bGU+TWF0ZXJuIENoaWxkIEhlYWx0aCBKPC9zZWNvbmRhcnktdGl0bGU+PC90
aXRsZXM+PHBlcmlvZGljYWw+PGZ1bGwtdGl0bGU+TWF0ZXJuIENoaWxkIEhlYWx0aCBKPC9mdWxs
LXRpdGxlPjwvcGVyaW9kaWNhbD48cGFnZXM+MTAzMS00NDwvcGFnZXM+PHZvbHVtZT4xNjwvdm9s
dW1lPjxudW1iZXI+NTwvbnVtYmVyPjxlZGl0aW9uPjIwMTEvMDYvMTY8L2VkaXRpb24+PGtleXdv
cmRzPjxrZXl3b3JkPkFkdWx0PC9rZXl3b3JkPjxrZXl3b3JkPipCaXJ0aCBXZWlnaHQ8L2tleXdv
cmQ+PGtleXdvcmQ+Q2hpbGQ8L2tleXdvcmQ+PGtleXdvcmQ+KkV4ZXJjaXNlPC9rZXl3b3JkPjxr
ZXl3b3JkPkZlbWFsZTwva2V5d29yZD48a2V5d29yZD4qR2VzdGF0aW9uYWwgQWdlPC9rZXl3b3Jk
PjxrZXl3b3JkPkh1bWFuczwva2V5d29yZD48a2V5d29yZD5JbmZhbnQ8L2tleXdvcmQ+PGtleXdv
cmQ+SW5mYW50LCBOZXdib3JuPC9rZXl3b3JkPjxrZXl3b3JkPkludGVydmlld3MgYXMgVG9waWM8
L2tleXdvcmQ+PGtleXdvcmQ+Kk1vdG9yIEFjdGl2aXR5PC9rZXl3b3JkPjxrZXl3b3JkPlByZWdu
YW5jeTwva2V5d29yZD48a2V5d29yZD5QcmVnbmFuY3kgT3V0Y29tZTwva2V5d29yZD48a2V5d29y
ZD5QcmVnbmFuY3kgVHJpbWVzdGVycy9waHlzaW9sb2d5PC9rZXl3b3JkPjxrZXl3b3JkPlByZW1h
dHVyZSBCaXJ0aDwva2V5d29yZD48a2V5d29yZD5Qcm9zcGVjdGl2ZSBTdHVkaWVzPC9rZXl3b3Jk
PjxrZXl3b3JkPlJlY3JlYXRpb248L2tleXdvcmQ+PGtleXdvcmQ+U2VsZiBSZXBvcnQ8L2tleXdv
cmQ+PGtleXdvcmQ+U3VydmV5cyBhbmQgUXVlc3Rpb25uYWlyZXM8L2tleXdvcmQ+PC9rZXl3b3Jk
cz48ZGF0ZXM+PHllYXI+MjAxMjwveWVhcj48cHViLWRhdGVzPjxkYXRlPkp1bDwvZGF0ZT48L3B1
Yi1kYXRlcz48L2RhdGVzPjxpc2JuPjE1NzMtNjYyOCAoRWxlY3Ryb25pYykmI3hEOzEwOTItNzg3
NSAoTGlua2luZyk8L2lzYm4+PGFjY2Vzc2lvbi1udW0+MjE2NzQyMTg8L2FjY2Vzc2lvbi1udW0+
PHVybHM+PHJlbGF0ZWQtdXJscz48dXJsPmh0dHBzOi8vd3d3Lm5jYmkubmxtLm5paC5nb3YvcHVi
bWVkLzIxNjc0MjE4PC91cmw+PC9yZWxhdGVkLXVybHM+PC91cmxzPjxjdXN0b20yPlBNQzMzODY0
MjM8L2N1c3RvbTI+PGVsZWN0cm9uaWMtcmVzb3VyY2UtbnVtPjEwLjEwMDcvczEwOTk1LTAxMS0w
ODMxLTg8L2VsZWN0cm9uaWMtcmVzb3VyY2UtbnVtPjwvcmVjb3JkPjwvQ2l0ZT48L0VuZE5vdGU+
</w:fldData>
        </w:fldChar>
      </w:r>
      <w:r w:rsidR="002747EA">
        <w:instrText xml:space="preserve"> ADDIN EN.CITE.DATA </w:instrText>
      </w:r>
      <w:r w:rsidR="002747EA">
        <w:fldChar w:fldCharType="end"/>
      </w:r>
      <w:r w:rsidR="00CC1A65">
        <w:fldChar w:fldCharType="separate"/>
      </w:r>
      <w:r w:rsidR="002747EA" w:rsidRPr="002747EA">
        <w:rPr>
          <w:noProof/>
          <w:vertAlign w:val="superscript"/>
        </w:rPr>
        <w:t>320-322</w:t>
      </w:r>
      <w:r w:rsidR="00CC1A65">
        <w:fldChar w:fldCharType="end"/>
      </w:r>
      <w:r w:rsidR="00794F56">
        <w:t xml:space="preserve"> examined the assoc</w:t>
      </w:r>
      <w:r w:rsidR="00A77AB6">
        <w:t xml:space="preserve">iation between vigorous leisure time physical </w:t>
      </w:r>
      <w:r w:rsidR="00794F56">
        <w:t>activity and adverse outcomes</w:t>
      </w:r>
      <w:r w:rsidR="00380E4B">
        <w:t xml:space="preserve"> (miscarriage and preterm and post-term birth)</w:t>
      </w:r>
      <w:r w:rsidR="00794F56">
        <w:t>.</w:t>
      </w:r>
      <w:r w:rsidR="0007732D">
        <w:t xml:space="preserve"> </w:t>
      </w:r>
    </w:p>
    <w:p w14:paraId="19D1F962" w14:textId="3C5171E5" w:rsidR="00380E4B" w:rsidRDefault="00380E4B" w:rsidP="00794F56">
      <w:r>
        <w:t>One study (</w:t>
      </w:r>
      <w:r w:rsidRPr="00FB4431">
        <w:rPr>
          <w:sz w:val="16"/>
          <w:szCs w:val="16"/>
        </w:rPr>
        <w:t>n=92,671</w:t>
      </w:r>
      <w:r>
        <w:t>)</w:t>
      </w:r>
      <w:r>
        <w:fldChar w:fldCharType="begin"/>
      </w:r>
      <w:r w:rsidR="002747EA">
        <w:instrText xml:space="preserve"> ADDIN EN.CITE &lt;EndNote&gt;&lt;Cite&gt;&lt;Author&gt;Madsen&lt;/Author&gt;&lt;Year&gt;2007&lt;/Year&gt;&lt;RecNum&gt;890&lt;/RecNum&gt;&lt;DisplayText&gt;&lt;style face="superscript" font="Trebuchet MS" size="9"&gt;320&lt;/style&gt;&lt;/DisplayText&gt;&lt;record&gt;&lt;rec-number&gt;890&lt;/rec-number&gt;&lt;foreign-keys&gt;&lt;key app="EN" db-id="exvasrfx2dtraoesasxp2szsxa2df502592x" timestamp="1541540794"&gt;890&lt;/key&gt;&lt;key app="ENWeb" db-id=""&gt;0&lt;/key&gt;&lt;/foreign-keys&gt;&lt;ref-type name="Journal Article"&gt;17&lt;/ref-type&gt;&lt;contributors&gt;&lt;authors&gt;&lt;author&gt;Madsen, M.&lt;/author&gt;&lt;author&gt;Jorgensen, T.&lt;/author&gt;&lt;author&gt;Jensen, M. L.&lt;/author&gt;&lt;author&gt;Juhl, M.&lt;/author&gt;&lt;author&gt;Olsen, J.&lt;/author&gt;&lt;author&gt;Andersen, P. K.&lt;/author&gt;&lt;author&gt;Nybo Andersen, A. M.&lt;/author&gt;&lt;/authors&gt;&lt;/contributors&gt;&lt;auth-address&gt;Department of Child Health, National Institute of Public Health, Copenhagen K, Denmark.&lt;/auth-address&gt;&lt;titles&gt;&lt;title&gt;Leisure time physical exercise during pregnancy and the risk of miscarriage: a study within the Danish National Birth Cohort&lt;/title&gt;&lt;secondary-title&gt;BJOG&lt;/secondary-title&gt;&lt;/titles&gt;&lt;periodical&gt;&lt;full-title&gt;BJOG&lt;/full-title&gt;&lt;/periodical&gt;&lt;pages&gt;1419-26&lt;/pages&gt;&lt;volume&gt;114&lt;/volume&gt;&lt;number&gt;11&lt;/number&gt;&lt;edition&gt;2007/09/20&lt;/edition&gt;&lt;keywords&gt;&lt;keyword&gt;Abortion, Spontaneous/epidemiology/*etiology&lt;/keyword&gt;&lt;keyword&gt;Adolescent&lt;/keyword&gt;&lt;keyword&gt;Adult&lt;/keyword&gt;&lt;keyword&gt;Denmark/epidemiology&lt;/keyword&gt;&lt;keyword&gt;Epidemiologic Methods&lt;/keyword&gt;&lt;keyword&gt;Exercise/*physiology&lt;/keyword&gt;&lt;keyword&gt;Female&lt;/keyword&gt;&lt;keyword&gt;Humans&lt;/keyword&gt;&lt;keyword&gt;*Leisure Activities&lt;/keyword&gt;&lt;keyword&gt;Maternal Age&lt;/keyword&gt;&lt;keyword&gt;Pregnancy&lt;/keyword&gt;&lt;keyword&gt;Pregnancy Outcome/epidemiology&lt;/keyword&gt;&lt;/keywords&gt;&lt;dates&gt;&lt;year&gt;2007&lt;/year&gt;&lt;pub-dates&gt;&lt;date&gt;Nov&lt;/date&gt;&lt;/pub-dates&gt;&lt;/dates&gt;&lt;isbn&gt;1471-0528 (Electronic)&amp;#xD;1470-0328 (Linking)&lt;/isbn&gt;&lt;accession-num&gt;17877774&lt;/accession-num&gt;&lt;urls&gt;&lt;related-urls&gt;&lt;url&gt;https://www.ncbi.nlm.nih.gov/pubmed/17877774&lt;/url&gt;&lt;/related-urls&gt;&lt;/urls&gt;&lt;custom2&gt;PMC2366024&lt;/custom2&gt;&lt;electronic-resource-num&gt;10.1111/j.1471-0528.2007.01496.x&lt;/electronic-resource-num&gt;&lt;/record&gt;&lt;/Cite&gt;&lt;/EndNote&gt;</w:instrText>
      </w:r>
      <w:r>
        <w:fldChar w:fldCharType="separate"/>
      </w:r>
      <w:r w:rsidR="002747EA" w:rsidRPr="002747EA">
        <w:rPr>
          <w:noProof/>
          <w:vertAlign w:val="superscript"/>
        </w:rPr>
        <w:t>320</w:t>
      </w:r>
      <w:r>
        <w:fldChar w:fldCharType="end"/>
      </w:r>
      <w:r>
        <w:t xml:space="preserve"> with potential bias from retrospective data collection suggested an increase in risk of miscarriage &lt;18 weeks with high impact exercise (jogging, ball games and racket sports) or workout/fitness training (75-269 minutes/week). However, the authors noted</w:t>
      </w:r>
      <w:r w:rsidRPr="003C0830">
        <w:t xml:space="preserve"> </w:t>
      </w:r>
      <w:r w:rsidRPr="00FB4431">
        <w:t>that it is too early to draw any public health inferences on this basis.</w:t>
      </w:r>
    </w:p>
    <w:p w14:paraId="3E1E6F97" w14:textId="5B1F8171" w:rsidR="00380E4B" w:rsidRDefault="00380E4B" w:rsidP="00794F56">
      <w:r>
        <w:t xml:space="preserve">In regard to preterm </w:t>
      </w:r>
      <w:r w:rsidR="008B0A3F">
        <w:t xml:space="preserve">and post-term </w:t>
      </w:r>
      <w:r>
        <w:t>birth:</w:t>
      </w:r>
    </w:p>
    <w:p w14:paraId="31B534B2" w14:textId="1F6F22DB" w:rsidR="00380E4B" w:rsidRDefault="00380E4B" w:rsidP="00A912D4">
      <w:pPr>
        <w:pStyle w:val="bullet"/>
      </w:pPr>
      <w:r>
        <w:t>i</w:t>
      </w:r>
      <w:r w:rsidR="003C0830">
        <w:t>n one study (</w:t>
      </w:r>
      <w:r w:rsidR="003C0830" w:rsidRPr="00A912D4">
        <w:rPr>
          <w:sz w:val="16"/>
          <w:szCs w:val="16"/>
        </w:rPr>
        <w:t>n=1,699</w:t>
      </w:r>
      <w:r w:rsidR="003C0830">
        <w:t>),</w:t>
      </w:r>
      <w:r w:rsidR="003C0830">
        <w:fldChar w:fldCharType="begin"/>
      </w:r>
      <w:r w:rsidR="002747EA">
        <w:instrText xml:space="preserve"> ADDIN EN.CITE &lt;EndNote&gt;&lt;Cite&gt;&lt;Author&gt;Evenson&lt;/Author&gt;&lt;Year&gt;2002&lt;/Year&gt;&lt;RecNum&gt;851&lt;/RecNum&gt;&lt;DisplayText&gt;&lt;style face="superscript" font="Trebuchet MS" size="9"&gt;321&lt;/style&gt;&lt;/DisplayText&gt;&lt;record&gt;&lt;rec-number&gt;851&lt;/rec-number&gt;&lt;foreign-keys&gt;&lt;key app="EN" db-id="exvasrfx2dtraoesasxp2szsxa2df502592x" timestamp="1541540638"&gt;851&lt;/key&gt;&lt;key app="ENWeb" db-id=""&gt;0&lt;/key&gt;&lt;/foreign-keys&gt;&lt;ref-type name="Journal Article"&gt;17&lt;/ref-type&gt;&lt;contributors&gt;&lt;authors&gt;&lt;author&gt;Evenson, K. R.&lt;/author&gt;&lt;author&gt;Siega-Riz, A. M.&lt;/author&gt;&lt;author&gt;Savitz, D. A.&lt;/author&gt;&lt;author&gt;Leiferman, J. A.&lt;/author&gt;&lt;author&gt;Thorp, J. M., Jr.&lt;/author&gt;&lt;/authors&gt;&lt;/contributors&gt;&lt;auth-address&gt;Department of Epidemiology, School of Public Health, University of North Carolina-Chapel Hill, NC 27514, USA. kelly_evensen@unc.edu&lt;/auth-address&gt;&lt;titles&gt;&lt;title&gt;Vigorous leisure activity and pregnancy outcome&lt;/title&gt;&lt;secondary-title&gt;Epidemiology&lt;/secondary-title&gt;&lt;/titles&gt;&lt;periodical&gt;&lt;full-title&gt;Epidemiology&lt;/full-title&gt;&lt;/periodical&gt;&lt;pages&gt;653-9&lt;/pages&gt;&lt;volume&gt;13&lt;/volume&gt;&lt;number&gt;6&lt;/number&gt;&lt;edition&gt;2002/11/01&lt;/edition&gt;&lt;keywords&gt;&lt;keyword&gt;Female&lt;/keyword&gt;&lt;keyword&gt;Humans&lt;/keyword&gt;&lt;keyword&gt;Infant&lt;/keyword&gt;&lt;keyword&gt;Infant Mortality&lt;/keyword&gt;&lt;keyword&gt;Infant, Low Birth Weight&lt;/keyword&gt;&lt;keyword&gt;Infant, Newborn&lt;/keyword&gt;&lt;keyword&gt;Infant, Premature&lt;/keyword&gt;&lt;keyword&gt;*Leisure Activities&lt;/keyword&gt;&lt;keyword&gt;North Carolina/epidemiology&lt;/keyword&gt;&lt;keyword&gt;Physical Exertion&lt;/keyword&gt;&lt;keyword&gt;Pregnancy&lt;/keyword&gt;&lt;keyword&gt;Pregnancy Outcome/*epidemiology&lt;/keyword&gt;&lt;keyword&gt;Pregnancy Trimester, First&lt;/keyword&gt;&lt;keyword&gt;Pregnancy Trimester, Second&lt;/keyword&gt;&lt;/keywords&gt;&lt;dates&gt;&lt;year&gt;2002&lt;/year&gt;&lt;pub-dates&gt;&lt;date&gt;Nov&lt;/date&gt;&lt;/pub-dates&gt;&lt;/dates&gt;&lt;isbn&gt;1044-3983 (Print)&amp;#xD;1044-3983 (Linking)&lt;/isbn&gt;&lt;accession-num&gt;12410006&lt;/accession-num&gt;&lt;urls&gt;&lt;related-urls&gt;&lt;url&gt;https://www.ncbi.nlm.nih.gov/pubmed/12410006&lt;/url&gt;&lt;/related-urls&gt;&lt;/urls&gt;&lt;electronic-resource-num&gt;10.1097/01.EDE.0000021463.45041.95&lt;/electronic-resource-num&gt;&lt;/record&gt;&lt;/Cite&gt;&lt;/EndNote&gt;</w:instrText>
      </w:r>
      <w:r w:rsidR="003C0830">
        <w:fldChar w:fldCharType="separate"/>
      </w:r>
      <w:r w:rsidR="002747EA" w:rsidRPr="002747EA">
        <w:rPr>
          <w:noProof/>
          <w:vertAlign w:val="superscript"/>
        </w:rPr>
        <w:t>321</w:t>
      </w:r>
      <w:r w:rsidR="003C0830">
        <w:fldChar w:fldCharType="end"/>
      </w:r>
      <w:r w:rsidR="003C0830">
        <w:t xml:space="preserve"> t</w:t>
      </w:r>
      <w:r w:rsidR="00F233A0">
        <w:t xml:space="preserve">here was no clear </w:t>
      </w:r>
      <w:r w:rsidR="003C0830">
        <w:t>difference</w:t>
      </w:r>
      <w:r w:rsidR="00F233A0">
        <w:t xml:space="preserve"> in risk of preterm birth</w:t>
      </w:r>
      <w:r w:rsidR="003C0830">
        <w:t xml:space="preserve"> </w:t>
      </w:r>
      <w:r>
        <w:t xml:space="preserve">with exercise </w:t>
      </w:r>
      <w:r w:rsidR="003C0830">
        <w:t>in the first (</w:t>
      </w:r>
      <w:r w:rsidR="003C0830" w:rsidRPr="00A912D4">
        <w:rPr>
          <w:sz w:val="16"/>
          <w:szCs w:val="16"/>
        </w:rPr>
        <w:t>OR 0.80; 95%CI 0.48 to 1.35</w:t>
      </w:r>
      <w:r w:rsidR="003C0830">
        <w:t>) or second trimester (</w:t>
      </w:r>
      <w:r w:rsidR="003C0830" w:rsidRPr="00A912D4">
        <w:rPr>
          <w:sz w:val="16"/>
          <w:szCs w:val="16"/>
        </w:rPr>
        <w:t>OR 0.52; 95%CI 0.24 to 1.11</w:t>
      </w:r>
      <w:r w:rsidR="003C0830">
        <w:t xml:space="preserve">) and no clear </w:t>
      </w:r>
      <w:r>
        <w:t>difference in risk of</w:t>
      </w:r>
      <w:r w:rsidR="00A77AB6">
        <w:t xml:space="preserve"> post-term birth</w:t>
      </w:r>
      <w:r>
        <w:t xml:space="preserve"> with exercise in the first (</w:t>
      </w:r>
      <w:r w:rsidRPr="00A912D4">
        <w:rPr>
          <w:sz w:val="16"/>
          <w:szCs w:val="16"/>
        </w:rPr>
        <w:t>OR 0.93; 95%CI 0.45 to 1.89</w:t>
      </w:r>
      <w:r>
        <w:t>) or second (</w:t>
      </w:r>
      <w:r w:rsidRPr="00A912D4">
        <w:rPr>
          <w:sz w:val="16"/>
          <w:szCs w:val="16"/>
        </w:rPr>
        <w:t>OR 1.15; 95%CI 0.47 to 2.79</w:t>
      </w:r>
      <w:r>
        <w:t>) trimester</w:t>
      </w:r>
    </w:p>
    <w:p w14:paraId="5D5563A3" w14:textId="0C55E587" w:rsidR="00380E4B" w:rsidRDefault="00380E4B" w:rsidP="00A912D4">
      <w:pPr>
        <w:pStyle w:val="bullet"/>
      </w:pPr>
      <w:r>
        <w:t>another study (</w:t>
      </w:r>
      <w:r w:rsidRPr="00A912D4">
        <w:rPr>
          <w:sz w:val="16"/>
          <w:szCs w:val="16"/>
        </w:rPr>
        <w:t>n=1,647</w:t>
      </w:r>
      <w:r>
        <w:t>)</w:t>
      </w:r>
      <w:r w:rsidR="00BE7372">
        <w:fldChar w:fldCharType="begin">
          <w:fldData xml:space="preserve">PEVuZE5vdGU+PENpdGU+PEF1dGhvcj5KdWtpYzwvQXV0aG9yPjxZZWFyPjIwMTI8L1llYXI+PFJl
Y051bT44ODI8L1JlY051bT48RGlzcGxheVRleHQ+PHN0eWxlIGZhY2U9InN1cGVyc2NyaXB0IiBm
b250PSJUcmVidWNoZXQgTVMiIHNpemU9IjkiPjMyMjwvc3R5bGU+PC9EaXNwbGF5VGV4dD48cmVj
b3JkPjxyZWMtbnVtYmVyPjg4MjwvcmVjLW51bWJlcj48Zm9yZWlnbi1rZXlzPjxrZXkgYXBwPSJF
TiIgZGItaWQ9ImV4dmFzcmZ4MmR0cmFvZXNhc3hwMnN6c3hhMmRmNTAyNTkyeCIgdGltZXN0YW1w
PSIxNTQxNTQwNzU4Ij44ODI8L2tleT48a2V5IGFwcD0iRU5XZWIiIGRiLWlkPSIiPjA8L2tleT48
L2ZvcmVpZ24ta2V5cz48cmVmLXR5cGUgbmFtZT0iSm91cm5hbCBBcnRpY2xlIj4xNzwvcmVmLXR5
cGU+PGNvbnRyaWJ1dG9ycz48YXV0aG9ycz48YXV0aG9yPkp1a2ljLCBBLiBNLjwvYXV0aG9yPjxh
dXRob3I+RXZlbnNvbiwgSy4gUi48L2F1dGhvcj48YXV0aG9yPkRhbmllbHMsIEouIEwuPC9hdXRo
b3I+PGF1dGhvcj5IZXJyaW5nLCBBLiBILjwvYXV0aG9yPjxhdXRob3I+V2lsY294LCBBLiBKLjwv
YXV0aG9yPjxhdXRob3I+SGFydG1hbm4sIEsuIEUuPC9hdXRob3I+PC9hdXRob3JzPjwvY29udHJp
YnV0b3JzPjxhdXRoLWFkZHJlc3M+RGVwYXJ0bWVudCBvZiBFcGlkZW1pb2xvZ3ksIEdpbGxpbmdz
IFNjaG9vbCBvZiBHbG9iYWwgUHVibGljIEhlYWx0aCwgVW5pdmVyc2l0eSBvZiBOb3J0aCBDYXJv
bGluYSBhdCBDaGFwZWwgSGlsbCwgQ2hhcGVsIEhpbGwsIE5DLCBVU0EuIGp1a2ljYUBuaWVocy5u
aWguZ292PC9hdXRoLWFkZHJlc3M+PHRpdGxlcz48dGl0bGU+QSBwcm9zcGVjdGl2ZSBzdHVkeSBv
ZiB0aGUgYXNzb2NpYXRpb24gYmV0d2VlbiB2aWdvcm91cyBwaHlzaWNhbCBhY3Rpdml0eSBkdXJp
bmcgcHJlZ25hbmN5IGFuZCBsZW5ndGggb2YgZ2VzdGF0aW9uIGFuZCBiaXJ0aHdlaWdodDwvdGl0
bGU+PHNlY29uZGFyeS10aXRsZT5NYXRlcm4gQ2hpbGQgSGVhbHRoIEo8L3NlY29uZGFyeS10aXRs
ZT48L3RpdGxlcz48cGVyaW9kaWNhbD48ZnVsbC10aXRsZT5NYXRlcm4gQ2hpbGQgSGVhbHRoIEo8
L2Z1bGwtdGl0bGU+PC9wZXJpb2RpY2FsPjxwYWdlcz4xMDMxLTQ0PC9wYWdlcz48dm9sdW1lPjE2
PC92b2x1bWU+PG51bWJlcj41PC9udW1iZXI+PGVkaXRpb24+MjAxMS8wNi8xNjwvZWRpdGlvbj48
a2V5d29yZHM+PGtleXdvcmQ+QWR1bHQ8L2tleXdvcmQ+PGtleXdvcmQ+KkJpcnRoIFdlaWdodDwv
a2V5d29yZD48a2V5d29yZD5DaGlsZDwva2V5d29yZD48a2V5d29yZD4qRXhlcmNpc2U8L2tleXdv
cmQ+PGtleXdvcmQ+RmVtYWxlPC9rZXl3b3JkPjxrZXl3b3JkPipHZXN0YXRpb25hbCBBZ2U8L2tl
eXdvcmQ+PGtleXdvcmQ+SHVtYW5zPC9rZXl3b3JkPjxrZXl3b3JkPkluZmFudDwva2V5d29yZD48
a2V5d29yZD5JbmZhbnQsIE5ld2Jvcm48L2tleXdvcmQ+PGtleXdvcmQ+SW50ZXJ2aWV3cyBhcyBU
b3BpYzwva2V5d29yZD48a2V5d29yZD4qTW90b3IgQWN0aXZpdHk8L2tleXdvcmQ+PGtleXdvcmQ+
UHJlZ25hbmN5PC9rZXl3b3JkPjxrZXl3b3JkPlByZWduYW5jeSBPdXRjb21lPC9rZXl3b3JkPjxr
ZXl3b3JkPlByZWduYW5jeSBUcmltZXN0ZXJzL3BoeXNpb2xvZ3k8L2tleXdvcmQ+PGtleXdvcmQ+
UHJlbWF0dXJlIEJpcnRoPC9rZXl3b3JkPjxrZXl3b3JkPlByb3NwZWN0aXZlIFN0dWRpZXM8L2tl
eXdvcmQ+PGtleXdvcmQ+UmVjcmVhdGlvbjwva2V5d29yZD48a2V5d29yZD5TZWxmIFJlcG9ydDwv
a2V5d29yZD48a2V5d29yZD5TdXJ2ZXlzIGFuZCBRdWVzdGlvbm5haXJlczwva2V5d29yZD48L2tl
eXdvcmRzPjxkYXRlcz48eWVhcj4yMDEyPC95ZWFyPjxwdWItZGF0ZXM+PGRhdGU+SnVsPC9kYXRl
PjwvcHViLWRhdGVzPjwvZGF0ZXM+PGlzYm4+MTU3My02NjI4IChFbGVjdHJvbmljKSYjeEQ7MTA5
Mi03ODc1IChMaW5raW5nKTwvaXNibj48YWNjZXNzaW9uLW51bT4yMTY3NDIxODwvYWNjZXNzaW9u
LW51bT48dXJscz48cmVsYXRlZC11cmxzPjx1cmw+aHR0cHM6Ly93d3cubmNiaS5ubG0ubmloLmdv
di9wdWJtZWQvMjE2NzQyMTg8L3VybD48L3JlbGF0ZWQtdXJscz48L3VybHM+PGN1c3RvbTI+UE1D
MzM4NjQyMzwvY3VzdG9tMj48ZWxlY3Ryb25pYy1yZXNvdXJjZS1udW0+MTAuMTAwNy9zMTA5OTUt
MDExLTA4MzEtODwvZWxlY3Ryb25pYy1yZXNvdXJjZS1udW0+PC9yZWNvcmQ+PC9DaXRlPjwvRW5k
Tm90ZT5=
</w:fldData>
        </w:fldChar>
      </w:r>
      <w:r w:rsidR="002747EA">
        <w:instrText xml:space="preserve"> ADDIN EN.CITE </w:instrText>
      </w:r>
      <w:r w:rsidR="002747EA">
        <w:fldChar w:fldCharType="begin">
          <w:fldData xml:space="preserve">PEVuZE5vdGU+PENpdGU+PEF1dGhvcj5KdWtpYzwvQXV0aG9yPjxZZWFyPjIwMTI8L1llYXI+PFJl
Y051bT44ODI8L1JlY051bT48RGlzcGxheVRleHQ+PHN0eWxlIGZhY2U9InN1cGVyc2NyaXB0IiBm
b250PSJUcmVidWNoZXQgTVMiIHNpemU9IjkiPjMyMjwvc3R5bGU+PC9EaXNwbGF5VGV4dD48cmVj
b3JkPjxyZWMtbnVtYmVyPjg4MjwvcmVjLW51bWJlcj48Zm9yZWlnbi1rZXlzPjxrZXkgYXBwPSJF
TiIgZGItaWQ9ImV4dmFzcmZ4MmR0cmFvZXNhc3hwMnN6c3hhMmRmNTAyNTkyeCIgdGltZXN0YW1w
PSIxNTQxNTQwNzU4Ij44ODI8L2tleT48a2V5IGFwcD0iRU5XZWIiIGRiLWlkPSIiPjA8L2tleT48
L2ZvcmVpZ24ta2V5cz48cmVmLXR5cGUgbmFtZT0iSm91cm5hbCBBcnRpY2xlIj4xNzwvcmVmLXR5
cGU+PGNvbnRyaWJ1dG9ycz48YXV0aG9ycz48YXV0aG9yPkp1a2ljLCBBLiBNLjwvYXV0aG9yPjxh
dXRob3I+RXZlbnNvbiwgSy4gUi48L2F1dGhvcj48YXV0aG9yPkRhbmllbHMsIEouIEwuPC9hdXRo
b3I+PGF1dGhvcj5IZXJyaW5nLCBBLiBILjwvYXV0aG9yPjxhdXRob3I+V2lsY294LCBBLiBKLjwv
YXV0aG9yPjxhdXRob3I+SGFydG1hbm4sIEsuIEUuPC9hdXRob3I+PC9hdXRob3JzPjwvY29udHJp
YnV0b3JzPjxhdXRoLWFkZHJlc3M+RGVwYXJ0bWVudCBvZiBFcGlkZW1pb2xvZ3ksIEdpbGxpbmdz
IFNjaG9vbCBvZiBHbG9iYWwgUHVibGljIEhlYWx0aCwgVW5pdmVyc2l0eSBvZiBOb3J0aCBDYXJv
bGluYSBhdCBDaGFwZWwgSGlsbCwgQ2hhcGVsIEhpbGwsIE5DLCBVU0EuIGp1a2ljYUBuaWVocy5u
aWguZ292PC9hdXRoLWFkZHJlc3M+PHRpdGxlcz48dGl0bGU+QSBwcm9zcGVjdGl2ZSBzdHVkeSBv
ZiB0aGUgYXNzb2NpYXRpb24gYmV0d2VlbiB2aWdvcm91cyBwaHlzaWNhbCBhY3Rpdml0eSBkdXJp
bmcgcHJlZ25hbmN5IGFuZCBsZW5ndGggb2YgZ2VzdGF0aW9uIGFuZCBiaXJ0aHdlaWdodDwvdGl0
bGU+PHNlY29uZGFyeS10aXRsZT5NYXRlcm4gQ2hpbGQgSGVhbHRoIEo8L3NlY29uZGFyeS10aXRs
ZT48L3RpdGxlcz48cGVyaW9kaWNhbD48ZnVsbC10aXRsZT5NYXRlcm4gQ2hpbGQgSGVhbHRoIEo8
L2Z1bGwtdGl0bGU+PC9wZXJpb2RpY2FsPjxwYWdlcz4xMDMxLTQ0PC9wYWdlcz48dm9sdW1lPjE2
PC92b2x1bWU+PG51bWJlcj41PC9udW1iZXI+PGVkaXRpb24+MjAxMS8wNi8xNjwvZWRpdGlvbj48
a2V5d29yZHM+PGtleXdvcmQ+QWR1bHQ8L2tleXdvcmQ+PGtleXdvcmQ+KkJpcnRoIFdlaWdodDwv
a2V5d29yZD48a2V5d29yZD5DaGlsZDwva2V5d29yZD48a2V5d29yZD4qRXhlcmNpc2U8L2tleXdv
cmQ+PGtleXdvcmQ+RmVtYWxlPC9rZXl3b3JkPjxrZXl3b3JkPipHZXN0YXRpb25hbCBBZ2U8L2tl
eXdvcmQ+PGtleXdvcmQ+SHVtYW5zPC9rZXl3b3JkPjxrZXl3b3JkPkluZmFudDwva2V5d29yZD48
a2V5d29yZD5JbmZhbnQsIE5ld2Jvcm48L2tleXdvcmQ+PGtleXdvcmQ+SW50ZXJ2aWV3cyBhcyBU
b3BpYzwva2V5d29yZD48a2V5d29yZD4qTW90b3IgQWN0aXZpdHk8L2tleXdvcmQ+PGtleXdvcmQ+
UHJlZ25hbmN5PC9rZXl3b3JkPjxrZXl3b3JkPlByZWduYW5jeSBPdXRjb21lPC9rZXl3b3JkPjxr
ZXl3b3JkPlByZWduYW5jeSBUcmltZXN0ZXJzL3BoeXNpb2xvZ3k8L2tleXdvcmQ+PGtleXdvcmQ+
UHJlbWF0dXJlIEJpcnRoPC9rZXl3b3JkPjxrZXl3b3JkPlByb3NwZWN0aXZlIFN0dWRpZXM8L2tl
eXdvcmQ+PGtleXdvcmQ+UmVjcmVhdGlvbjwva2V5d29yZD48a2V5d29yZD5TZWxmIFJlcG9ydDwv
a2V5d29yZD48a2V5d29yZD5TdXJ2ZXlzIGFuZCBRdWVzdGlvbm5haXJlczwva2V5d29yZD48L2tl
eXdvcmRzPjxkYXRlcz48eWVhcj4yMDEyPC95ZWFyPjxwdWItZGF0ZXM+PGRhdGU+SnVsPC9kYXRl
PjwvcHViLWRhdGVzPjwvZGF0ZXM+PGlzYm4+MTU3My02NjI4IChFbGVjdHJvbmljKSYjeEQ7MTA5
Mi03ODc1IChMaW5raW5nKTwvaXNibj48YWNjZXNzaW9uLW51bT4yMTY3NDIxODwvYWNjZXNzaW9u
LW51bT48dXJscz48cmVsYXRlZC11cmxzPjx1cmw+aHR0cHM6Ly93d3cubmNiaS5ubG0ubmloLmdv
di9wdWJtZWQvMjE2NzQyMTg8L3VybD48L3JlbGF0ZWQtdXJscz48L3VybHM+PGN1c3RvbTI+UE1D
MzM4NjQyMzwvY3VzdG9tMj48ZWxlY3Ryb25pYy1yZXNvdXJjZS1udW0+MTAuMTAwNy9zMTA5OTUt
MDExLTA4MzEtODwvZWxlY3Ryb25pYy1yZXNvdXJjZS1udW0+PC9yZWNvcmQ+PC9DaXRlPjwvRW5k
Tm90ZT5=
</w:fldData>
        </w:fldChar>
      </w:r>
      <w:r w:rsidR="002747EA">
        <w:instrText xml:space="preserve"> ADDIN EN.CITE.DATA </w:instrText>
      </w:r>
      <w:r w:rsidR="002747EA">
        <w:fldChar w:fldCharType="end"/>
      </w:r>
      <w:r w:rsidR="00BE7372">
        <w:fldChar w:fldCharType="separate"/>
      </w:r>
      <w:r w:rsidR="002747EA" w:rsidRPr="002747EA">
        <w:rPr>
          <w:noProof/>
          <w:vertAlign w:val="superscript"/>
        </w:rPr>
        <w:t>322</w:t>
      </w:r>
      <w:r w:rsidR="00BE7372">
        <w:fldChar w:fldCharType="end"/>
      </w:r>
      <w:r>
        <w:t xml:space="preserve"> found no clear difference in risk of preterm birth based on duration of </w:t>
      </w:r>
      <w:r w:rsidR="00FA5635">
        <w:t xml:space="preserve">vigorous </w:t>
      </w:r>
      <w:r>
        <w:t>activity</w:t>
      </w:r>
      <w:r w:rsidR="00CC1A65">
        <w:t xml:space="preserve"> up to &gt;435 min/week (</w:t>
      </w:r>
      <w:r w:rsidR="00CC1A65" w:rsidRPr="00A912D4">
        <w:rPr>
          <w:sz w:val="16"/>
          <w:szCs w:val="16"/>
        </w:rPr>
        <w:t>OR 1.2; 95%C</w:t>
      </w:r>
      <w:r w:rsidR="00F67FD3" w:rsidRPr="00F67FD3">
        <w:rPr>
          <w:sz w:val="16"/>
          <w:szCs w:val="16"/>
        </w:rPr>
        <w:t>I</w:t>
      </w:r>
      <w:r w:rsidR="00CC1A65" w:rsidRPr="00A912D4">
        <w:rPr>
          <w:sz w:val="16"/>
          <w:szCs w:val="16"/>
        </w:rPr>
        <w:t xml:space="preserve"> </w:t>
      </w:r>
      <w:r w:rsidR="00F67FD3" w:rsidRPr="00FE681D">
        <w:rPr>
          <w:sz w:val="16"/>
          <w:szCs w:val="16"/>
        </w:rPr>
        <w:t>0.5 to 3.</w:t>
      </w:r>
      <w:r w:rsidR="00CC1A65" w:rsidRPr="00A912D4">
        <w:rPr>
          <w:sz w:val="16"/>
          <w:szCs w:val="16"/>
        </w:rPr>
        <w:t>1</w:t>
      </w:r>
      <w:r w:rsidR="00CC1A65">
        <w:t>).</w:t>
      </w:r>
    </w:p>
    <w:p w14:paraId="3AEF39BE" w14:textId="5820E18E" w:rsidR="00D3746E" w:rsidRDefault="00A419FA" w:rsidP="006B6C3C">
      <w:pPr>
        <w:pStyle w:val="Heading3"/>
      </w:pPr>
      <w:bookmarkStart w:id="150" w:name="_Toc40956522"/>
      <w:r>
        <w:t>Supine exercise</w:t>
      </w:r>
      <w:bookmarkEnd w:id="150"/>
    </w:p>
    <w:p w14:paraId="4FBF0B0A" w14:textId="5774D373" w:rsidR="00B0068D" w:rsidRPr="00A912D4" w:rsidRDefault="00A77AB6" w:rsidP="00A912D4">
      <w:r>
        <w:t>A systematic review</w:t>
      </w:r>
      <w:r w:rsidR="003E3405">
        <w:fldChar w:fldCharType="begin"/>
      </w:r>
      <w:r w:rsidR="002747EA">
        <w:instrText xml:space="preserve"> ADDIN EN.CITE &lt;EndNote&gt;&lt;Cite&gt;&lt;Author&gt;Mottola&lt;/Author&gt;&lt;Year&gt;2019&lt;/Year&gt;&lt;RecNum&gt;1226&lt;/RecNum&gt;&lt;DisplayText&gt;&lt;style face="superscript" font="Trebuchet MS" size="9"&gt;323&lt;/style&gt;&lt;/DisplayText&gt;&lt;record&gt;&lt;rec-number&gt;1226&lt;/rec-number&gt;&lt;foreign-keys&gt;&lt;key app="EN" db-id="exvasrfx2dtraoesasxp2szsxa2df502592x" timestamp="1562472156"&gt;1226&lt;/key&gt;&lt;key app="ENWeb" db-id=""&gt;0&lt;/key&gt;&lt;/foreign-keys&gt;&lt;ref-type name="Journal Article"&gt;17&lt;/ref-type&gt;&lt;contributors&gt;&lt;authors&gt;&lt;author&gt;Mottola, Michelle F.&lt;/author&gt;&lt;author&gt;Nagpal, Taniya S.&lt;/author&gt;&lt;author&gt;Bgeginski, Roberta&lt;/author&gt;&lt;author&gt;Davenport, Margie H.&lt;/author&gt;&lt;author&gt;Poitras, Veronica J.&lt;/author&gt;&lt;author&gt;Gray, Casey E.&lt;/author&gt;&lt;author&gt;Davies, Gregory A.&lt;/author&gt;&lt;author&gt;Adamo, Kristi B.&lt;/author&gt;&lt;author&gt;Slater, Linda G.&lt;/author&gt;&lt;author&gt;Barrowman, Nick&lt;/author&gt;&lt;author&gt;Barakat, Ruben&lt;/author&gt;&lt;author&gt;Ruchat, Stephanie-May&lt;/author&gt;&lt;/authors&gt;&lt;/contributors&gt;&lt;titles&gt;&lt;title&gt;Is supine exercise associated with adverse maternal and fetal outcomes? A systematic review&lt;/title&gt;&lt;secondary-title&gt;British Journal of Sports Medicine&lt;/secondary-title&gt;&lt;/titles&gt;&lt;periodical&gt;&lt;full-title&gt;British Journal of Sports Medicine&lt;/full-title&gt;&lt;/periodical&gt;&lt;pages&gt;82-89&lt;/pages&gt;&lt;volume&gt;53&lt;/volume&gt;&lt;number&gt;2&lt;/number&gt;&lt;section&gt;82&lt;/section&gt;&lt;dates&gt;&lt;year&gt;2019&lt;/year&gt;&lt;/dates&gt;&lt;isbn&gt;0306-3674&amp;#xD;1473-0480&lt;/isbn&gt;&lt;urls&gt;&lt;/urls&gt;&lt;electronic-resource-num&gt;10.1136/bjsports-2018-099919&lt;/electronic-resource-num&gt;&lt;/record&gt;&lt;/Cite&gt;&lt;/EndNote&gt;</w:instrText>
      </w:r>
      <w:r w:rsidR="003E3405">
        <w:fldChar w:fldCharType="separate"/>
      </w:r>
      <w:r w:rsidR="002747EA" w:rsidRPr="002747EA">
        <w:rPr>
          <w:noProof/>
          <w:vertAlign w:val="superscript"/>
        </w:rPr>
        <w:t>323</w:t>
      </w:r>
      <w:r w:rsidR="003E3405">
        <w:fldChar w:fldCharType="end"/>
      </w:r>
      <w:r>
        <w:t xml:space="preserve"> found very low to low </w:t>
      </w:r>
      <w:r w:rsidR="00343BBE">
        <w:t>certainty</w:t>
      </w:r>
      <w:r>
        <w:t xml:space="preserve"> evidence from three RCTs that </w:t>
      </w:r>
      <w:r w:rsidR="00E82F9C">
        <w:t>exercise interventions that included supine exercise were not associated with low birth weight</w:t>
      </w:r>
      <w:r w:rsidR="00C22F59">
        <w:t xml:space="preserve"> (</w:t>
      </w:r>
      <w:r w:rsidR="00C22F59" w:rsidRPr="00A912D4">
        <w:rPr>
          <w:sz w:val="16"/>
          <w:szCs w:val="16"/>
        </w:rPr>
        <w:t>narrative synthesis</w:t>
      </w:r>
      <w:r w:rsidR="00C22F59">
        <w:t>)</w:t>
      </w:r>
      <w:r w:rsidR="00E82F9C">
        <w:t xml:space="preserve">. Very low to low </w:t>
      </w:r>
      <w:r w:rsidR="00343BBE">
        <w:t>certainty</w:t>
      </w:r>
      <w:r w:rsidR="00E82F9C">
        <w:t xml:space="preserve"> evidence from four observational studies showed no adverse events in the mother but a potential association between an acute bout of supine exercise and abnormal fetal heart rate</w:t>
      </w:r>
      <w:r w:rsidR="00C22F59">
        <w:t xml:space="preserve"> (</w:t>
      </w:r>
      <w:r w:rsidR="00C22F59" w:rsidRPr="00A912D4">
        <w:rPr>
          <w:sz w:val="16"/>
          <w:szCs w:val="16"/>
        </w:rPr>
        <w:t>narrative synthesis</w:t>
      </w:r>
      <w:r w:rsidR="00C22F59">
        <w:t>)</w:t>
      </w:r>
      <w:r w:rsidR="00E82F9C">
        <w:t>.</w:t>
      </w:r>
      <w:r w:rsidR="00B0068D">
        <w:t xml:space="preserve"> The authors noted that t</w:t>
      </w:r>
      <w:r w:rsidR="00B0068D" w:rsidRPr="00B0068D">
        <w:t>here was insufficient evidence to ascertain</w:t>
      </w:r>
      <w:r w:rsidR="00B0068D">
        <w:t xml:space="preserve"> </w:t>
      </w:r>
      <w:r w:rsidR="00B0068D" w:rsidRPr="00A912D4">
        <w:t>whether maternal exercise in the supine position is safe</w:t>
      </w:r>
      <w:r w:rsidR="00B0068D" w:rsidRPr="00B0068D">
        <w:t xml:space="preserve"> </w:t>
      </w:r>
      <w:r w:rsidR="00B0068D" w:rsidRPr="00A912D4">
        <w:t>or should be avoided during pregnancy</w:t>
      </w:r>
      <w:r w:rsidR="00B0068D">
        <w:t>.</w:t>
      </w:r>
    </w:p>
    <w:p w14:paraId="42447A9E" w14:textId="37E69177" w:rsidR="00A419FA" w:rsidRDefault="00A419FA" w:rsidP="006B6C3C">
      <w:pPr>
        <w:pStyle w:val="Heading3"/>
      </w:pPr>
      <w:bookmarkStart w:id="151" w:name="_Toc37247377"/>
      <w:bookmarkStart w:id="152" w:name="_Toc37250005"/>
      <w:bookmarkStart w:id="153" w:name="_Toc37329204"/>
      <w:bookmarkStart w:id="154" w:name="_Toc40956523"/>
      <w:bookmarkEnd w:id="151"/>
      <w:bookmarkEnd w:id="152"/>
      <w:bookmarkEnd w:id="153"/>
      <w:r>
        <w:t>Swimming</w:t>
      </w:r>
      <w:r w:rsidR="00FE681D">
        <w:t xml:space="preserve"> and aqua aerobics</w:t>
      </w:r>
      <w:bookmarkEnd w:id="154"/>
    </w:p>
    <w:p w14:paraId="39176078" w14:textId="4D8AEE4B" w:rsidR="00752615" w:rsidRDefault="00752615" w:rsidP="00752615">
      <w:r>
        <w:t>A cohort study</w:t>
      </w:r>
      <w:r w:rsidR="00663392">
        <w:t xml:space="preserve"> (</w:t>
      </w:r>
      <w:r w:rsidR="00663392" w:rsidRPr="00DC03DC">
        <w:rPr>
          <w:sz w:val="16"/>
          <w:szCs w:val="16"/>
        </w:rPr>
        <w:t>n=92,671</w:t>
      </w:r>
      <w:r w:rsidR="00663392">
        <w:t>)</w:t>
      </w:r>
      <w:r w:rsidR="003E3405">
        <w:fldChar w:fldCharType="begin"/>
      </w:r>
      <w:r w:rsidR="002747EA">
        <w:instrText xml:space="preserve"> ADDIN EN.CITE &lt;EndNote&gt;&lt;Cite&gt;&lt;Author&gt;Madsen&lt;/Author&gt;&lt;Year&gt;2007&lt;/Year&gt;&lt;RecNum&gt;890&lt;/RecNum&gt;&lt;DisplayText&gt;&lt;style face="superscript" font="Trebuchet MS" size="9"&gt;320&lt;/style&gt;&lt;/DisplayText&gt;&lt;record&gt;&lt;rec-number&gt;890&lt;/rec-number&gt;&lt;foreign-keys&gt;&lt;key app="EN" db-id="exvasrfx2dtraoesasxp2szsxa2df502592x" timestamp="1541540794"&gt;890&lt;/key&gt;&lt;key app="ENWeb" db-id=""&gt;0&lt;/key&gt;&lt;/foreign-keys&gt;&lt;ref-type name="Journal Article"&gt;17&lt;/ref-type&gt;&lt;contributors&gt;&lt;authors&gt;&lt;author&gt;Madsen, M.&lt;/author&gt;&lt;author&gt;Jorgensen, T.&lt;/author&gt;&lt;author&gt;Jensen, M. L.&lt;/author&gt;&lt;author&gt;Juhl, M.&lt;/author&gt;&lt;author&gt;Olsen, J.&lt;/author&gt;&lt;author&gt;Andersen, P. K.&lt;/author&gt;&lt;author&gt;Nybo Andersen, A. M.&lt;/author&gt;&lt;/authors&gt;&lt;/contributors&gt;&lt;auth-address&gt;Department of Child Health, National Institute of Public Health, Copenhagen K, Denmark.&lt;/auth-address&gt;&lt;titles&gt;&lt;title&gt;Leisure time physical exercise during pregnancy and the risk of miscarriage: a study within the Danish National Birth Cohort&lt;/title&gt;&lt;secondary-title&gt;BJOG&lt;/secondary-title&gt;&lt;/titles&gt;&lt;periodical&gt;&lt;full-title&gt;BJOG&lt;/full-title&gt;&lt;/periodical&gt;&lt;pages&gt;1419-26&lt;/pages&gt;&lt;volume&gt;114&lt;/volume&gt;&lt;number&gt;11&lt;/number&gt;&lt;edition&gt;2007/09/20&lt;/edition&gt;&lt;keywords&gt;&lt;keyword&gt;Abortion, Spontaneous/epidemiology/*etiology&lt;/keyword&gt;&lt;keyword&gt;Adolescent&lt;/keyword&gt;&lt;keyword&gt;Adult&lt;/keyword&gt;&lt;keyword&gt;Denmark/epidemiology&lt;/keyword&gt;&lt;keyword&gt;Epidemiologic Methods&lt;/keyword&gt;&lt;keyword&gt;Exercise/*physiology&lt;/keyword&gt;&lt;keyword&gt;Female&lt;/keyword&gt;&lt;keyword&gt;Humans&lt;/keyword&gt;&lt;keyword&gt;*Leisure Activities&lt;/keyword&gt;&lt;keyword&gt;Maternal Age&lt;/keyword&gt;&lt;keyword&gt;Pregnancy&lt;/keyword&gt;&lt;keyword&gt;Pregnancy Outcome/epidemiology&lt;/keyword&gt;&lt;/keywords&gt;&lt;dates&gt;&lt;year&gt;2007&lt;/year&gt;&lt;pub-dates&gt;&lt;date&gt;Nov&lt;/date&gt;&lt;/pub-dates&gt;&lt;/dates&gt;&lt;isbn&gt;1471-0528 (Electronic)&amp;#xD;1470-0328 (Linking)&lt;/isbn&gt;&lt;accession-num&gt;17877774&lt;/accession-num&gt;&lt;urls&gt;&lt;related-urls&gt;&lt;url&gt;https://www.ncbi.nlm.nih.gov/pubmed/17877774&lt;/url&gt;&lt;/related-urls&gt;&lt;/urls&gt;&lt;custom2&gt;PMC2366024&lt;/custom2&gt;&lt;electronic-resource-num&gt;10.1111/j.1471-0528.2007.01496.x&lt;/electronic-resource-num&gt;&lt;/record&gt;&lt;/Cite&gt;&lt;/EndNote&gt;</w:instrText>
      </w:r>
      <w:r w:rsidR="003E3405">
        <w:fldChar w:fldCharType="separate"/>
      </w:r>
      <w:r w:rsidR="002747EA" w:rsidRPr="002747EA">
        <w:rPr>
          <w:noProof/>
          <w:vertAlign w:val="superscript"/>
        </w:rPr>
        <w:t>320</w:t>
      </w:r>
      <w:r w:rsidR="003E3405">
        <w:fldChar w:fldCharType="end"/>
      </w:r>
      <w:r>
        <w:t xml:space="preserve"> found no association between </w:t>
      </w:r>
      <w:r w:rsidR="00663392">
        <w:t xml:space="preserve">swimming and </w:t>
      </w:r>
      <w:r>
        <w:t>risk of miscarriage &lt;22 weeks</w:t>
      </w:r>
      <w:r w:rsidR="002F3C83">
        <w:t xml:space="preserve"> (</w:t>
      </w:r>
      <w:r w:rsidR="002F3C83" w:rsidRPr="00A912D4">
        <w:rPr>
          <w:sz w:val="16"/>
          <w:szCs w:val="16"/>
        </w:rPr>
        <w:t>19-22 weeks HR 0.9; 95%CI 0.4 to 1.9</w:t>
      </w:r>
      <w:r w:rsidR="002F3C83">
        <w:t>)</w:t>
      </w:r>
      <w:r>
        <w:t xml:space="preserve">. </w:t>
      </w:r>
    </w:p>
    <w:p w14:paraId="09137AC6" w14:textId="304E278D" w:rsidR="00752615" w:rsidRPr="00E82F9C" w:rsidRDefault="00752615" w:rsidP="00752615">
      <w:r>
        <w:t>A cohort study (</w:t>
      </w:r>
      <w:r w:rsidRPr="00DC03DC">
        <w:rPr>
          <w:sz w:val="16"/>
          <w:szCs w:val="16"/>
        </w:rPr>
        <w:t>n=109</w:t>
      </w:r>
      <w:r>
        <w:t>)</w:t>
      </w:r>
      <w:r w:rsidR="003E3405">
        <w:fldChar w:fldCharType="begin"/>
      </w:r>
      <w:r w:rsidR="002747EA">
        <w:instrText xml:space="preserve"> ADDIN EN.CITE &lt;EndNote&gt;&lt;Cite&gt;&lt;Author&gt;Brearley&lt;/Author&gt;&lt;Year&gt;2015&lt;/Year&gt;&lt;RecNum&gt;840&lt;/RecNum&gt;&lt;DisplayText&gt;&lt;style face="superscript" font="Trebuchet MS" size="9"&gt;324&lt;/style&gt;&lt;/DisplayText&gt;&lt;record&gt;&lt;rec-number&gt;840&lt;/rec-number&gt;&lt;foreign-keys&gt;&lt;key app="EN" db-id="exvasrfx2dtraoesasxp2szsxa2df502592x" timestamp="1541540586"&gt;840&lt;/key&gt;&lt;key app="ENWeb" db-id=""&gt;0&lt;/key&gt;&lt;/foreign-keys&gt;&lt;ref-type name="Journal Article"&gt;17&lt;/ref-type&gt;&lt;contributors&gt;&lt;authors&gt;&lt;author&gt;Brearley, Amanda L.&lt;/author&gt;&lt;author&gt;Sherburn, Margaret&lt;/author&gt;&lt;author&gt;Galea, Mary P.&lt;/author&gt;&lt;author&gt;Clarke, Sandy J.&lt;/author&gt;&lt;/authors&gt;&lt;/contributors&gt;&lt;titles&gt;&lt;title&gt;Pregnant women maintain body temperatures within safe limits during moderate-intensity aqua-aerobic classes conducted in pools heated up to 33 degrees Celsius: an observational study&lt;/title&gt;&lt;secondary-title&gt;Journal of Physiotherapy&lt;/secondary-title&gt;&lt;/titles&gt;&lt;periodical&gt;&lt;full-title&gt;Journal of Physiotherapy&lt;/full-title&gt;&lt;/periodical&gt;&lt;pages&gt;199-203&lt;/pages&gt;&lt;volume&gt;61&lt;/volume&gt;&lt;number&gt;4&lt;/number&gt;&lt;section&gt;199&lt;/section&gt;&lt;dates&gt;&lt;year&gt;2015&lt;/year&gt;&lt;/dates&gt;&lt;isbn&gt;18369553&lt;/isbn&gt;&lt;urls&gt;&lt;/urls&gt;&lt;electronic-resource-num&gt;10.1016/j.jphys.2015.08.004&lt;/electronic-resource-num&gt;&lt;/record&gt;&lt;/Cite&gt;&lt;/EndNote&gt;</w:instrText>
      </w:r>
      <w:r w:rsidR="003E3405">
        <w:fldChar w:fldCharType="separate"/>
      </w:r>
      <w:r w:rsidR="002747EA" w:rsidRPr="002747EA">
        <w:rPr>
          <w:noProof/>
          <w:vertAlign w:val="superscript"/>
        </w:rPr>
        <w:t>324</w:t>
      </w:r>
      <w:r w:rsidR="003E3405">
        <w:fldChar w:fldCharType="end"/>
      </w:r>
      <w:r>
        <w:t xml:space="preserve"> found that moderate intensity aqua aerobics in water temperatures of 28.8 to 33.4°C did not significantly increase maternal body temperature</w:t>
      </w:r>
      <w:r w:rsidR="00B43651">
        <w:t xml:space="preserve"> (</w:t>
      </w:r>
      <w:r w:rsidR="00FE681D" w:rsidRPr="00FE681D">
        <w:rPr>
          <w:sz w:val="16"/>
          <w:szCs w:val="16"/>
        </w:rPr>
        <w:t>m</w:t>
      </w:r>
      <w:r w:rsidR="00B43651" w:rsidRPr="00A912D4">
        <w:rPr>
          <w:sz w:val="16"/>
          <w:szCs w:val="16"/>
        </w:rPr>
        <w:t>ean body temperature increase 0.16±0.35°C</w:t>
      </w:r>
      <w:r w:rsidR="00B43651">
        <w:t>)</w:t>
      </w:r>
      <w:r>
        <w:t>.</w:t>
      </w:r>
    </w:p>
    <w:p w14:paraId="297EA826" w14:textId="0154CA99" w:rsidR="00E82F9C" w:rsidRDefault="00E82F9C" w:rsidP="00E82F9C">
      <w:r>
        <w:t>A case-control study</w:t>
      </w:r>
      <w:r w:rsidR="004F2192">
        <w:t xml:space="preserve"> (</w:t>
      </w:r>
      <w:r w:rsidR="004F2192" w:rsidRPr="00DC03DC">
        <w:rPr>
          <w:sz w:val="16"/>
          <w:szCs w:val="16"/>
        </w:rPr>
        <w:t>n=</w:t>
      </w:r>
      <w:r w:rsidR="00421CBD" w:rsidRPr="00DC03DC">
        <w:rPr>
          <w:sz w:val="16"/>
          <w:szCs w:val="16"/>
        </w:rPr>
        <w:t>8,655</w:t>
      </w:r>
      <w:r w:rsidR="00421CBD">
        <w:t>)</w:t>
      </w:r>
      <w:r w:rsidR="003E3405">
        <w:fldChar w:fldCharType="begin"/>
      </w:r>
      <w:r w:rsidR="002747EA">
        <w:instrText xml:space="preserve"> ADDIN EN.CITE &lt;EndNote&gt;&lt;Cite&gt;&lt;Author&gt;Agopian&lt;/Author&gt;&lt;Year&gt;2013&lt;/Year&gt;&lt;RecNum&gt;901&lt;/RecNum&gt;&lt;DisplayText&gt;&lt;style face="superscript" font="Trebuchet MS" size="9"&gt;325&lt;/style&gt;&lt;/DisplayText&gt;&lt;record&gt;&lt;rec-number&gt;901&lt;/rec-number&gt;&lt;foreign-keys&gt;&lt;key app="EN" db-id="exvasrfx2dtraoesasxp2szsxa2df502592x" timestamp="1541540824"&gt;901&lt;/key&gt;&lt;key app="ENWeb" db-id=""&gt;0&lt;/key&gt;&lt;/foreign-keys&gt;&lt;ref-type name="Journal Article"&gt;17&lt;/ref-type&gt;&lt;contributors&gt;&lt;authors&gt;&lt;author&gt;Agopian, A. J.&lt;/author&gt;&lt;author&gt;Lupo, Philip J.&lt;/author&gt;&lt;author&gt;Canfield, Mark A.&lt;/author&gt;&lt;author&gt;Mitchell, Laura E.&lt;/author&gt;&lt;/authors&gt;&lt;/contributors&gt;&lt;titles&gt;&lt;title&gt;Swimming pool use and birth defect risk&lt;/title&gt;&lt;secondary-title&gt;American Journal of Obstetrics and Gynecology&lt;/secondary-title&gt;&lt;/titles&gt;&lt;periodical&gt;&lt;full-title&gt;American Journal of Obstetrics and Gynecology&lt;/full-title&gt;&lt;/periodical&gt;&lt;pages&gt;219.e1-219.e9&lt;/pages&gt;&lt;volume&gt;209&lt;/volume&gt;&lt;number&gt;3&lt;/number&gt;&lt;section&gt;219.e1&lt;/section&gt;&lt;dates&gt;&lt;year&gt;2013&lt;/year&gt;&lt;/dates&gt;&lt;isbn&gt;00029378&lt;/isbn&gt;&lt;urls&gt;&lt;/urls&gt;&lt;electronic-resource-num&gt;10.1016/j.ajog.2013.04.033&lt;/electronic-resource-num&gt;&lt;/record&gt;&lt;/Cite&gt;&lt;/EndNote&gt;</w:instrText>
      </w:r>
      <w:r w:rsidR="003E3405">
        <w:fldChar w:fldCharType="separate"/>
      </w:r>
      <w:r w:rsidR="002747EA" w:rsidRPr="002747EA">
        <w:rPr>
          <w:noProof/>
          <w:vertAlign w:val="superscript"/>
        </w:rPr>
        <w:t>325</w:t>
      </w:r>
      <w:r w:rsidR="003E3405">
        <w:fldChar w:fldCharType="end"/>
      </w:r>
      <w:r>
        <w:t xml:space="preserve"> found no significant positive associations between any or frequent pool use and birth defect and a possible decrease in risk of spina bifida (</w:t>
      </w:r>
      <w:r w:rsidRPr="00057D6E">
        <w:rPr>
          <w:sz w:val="16"/>
          <w:szCs w:val="16"/>
        </w:rPr>
        <w:t>aOR 0.68; 95%CI 0.47 to 0.99</w:t>
      </w:r>
      <w:r>
        <w:t>).</w:t>
      </w:r>
    </w:p>
    <w:p w14:paraId="00AEBF6B" w14:textId="25216590" w:rsidR="00752615" w:rsidRDefault="00752615" w:rsidP="00752615">
      <w:pPr>
        <w:pStyle w:val="Heading3"/>
      </w:pPr>
      <w:bookmarkStart w:id="155" w:name="_Toc40956524"/>
      <w:r>
        <w:t>Bicycling/horseback riding</w:t>
      </w:r>
      <w:bookmarkEnd w:id="155"/>
    </w:p>
    <w:p w14:paraId="4AF21FCC" w14:textId="4BC8996B" w:rsidR="00752615" w:rsidRDefault="00752615" w:rsidP="00752615">
      <w:r>
        <w:t>A cohort study</w:t>
      </w:r>
      <w:r w:rsidR="003E4A03">
        <w:t xml:space="preserve"> (</w:t>
      </w:r>
      <w:r w:rsidR="003E4A03" w:rsidRPr="00A912D4">
        <w:rPr>
          <w:sz w:val="16"/>
          <w:szCs w:val="16"/>
        </w:rPr>
        <w:t>n=92,671</w:t>
      </w:r>
      <w:r w:rsidR="003E4A03">
        <w:t>)</w:t>
      </w:r>
      <w:r w:rsidR="003E3405">
        <w:fldChar w:fldCharType="begin"/>
      </w:r>
      <w:r w:rsidR="002747EA">
        <w:instrText xml:space="preserve"> ADDIN EN.CITE &lt;EndNote&gt;&lt;Cite&gt;&lt;Author&gt;Madsen&lt;/Author&gt;&lt;Year&gt;2007&lt;/Year&gt;&lt;RecNum&gt;890&lt;/RecNum&gt;&lt;DisplayText&gt;&lt;style face="superscript" font="Trebuchet MS" size="9"&gt;320&lt;/style&gt;&lt;/DisplayText&gt;&lt;record&gt;&lt;rec-number&gt;890&lt;/rec-number&gt;&lt;foreign-keys&gt;&lt;key app="EN" db-id="exvasrfx2dtraoesasxp2szsxa2df502592x" timestamp="1541540794"&gt;890&lt;/key&gt;&lt;key app="ENWeb" db-id=""&gt;0&lt;/key&gt;&lt;/foreign-keys&gt;&lt;ref-type name="Journal Article"&gt;17&lt;/ref-type&gt;&lt;contributors&gt;&lt;authors&gt;&lt;author&gt;Madsen, M.&lt;/author&gt;&lt;author&gt;Jorgensen, T.&lt;/author&gt;&lt;author&gt;Jensen, M. L.&lt;/author&gt;&lt;author&gt;Juhl, M.&lt;/author&gt;&lt;author&gt;Olsen, J.&lt;/author&gt;&lt;author&gt;Andersen, P. K.&lt;/author&gt;&lt;author&gt;Nybo Andersen, A. M.&lt;/author&gt;&lt;/authors&gt;&lt;/contributors&gt;&lt;auth-address&gt;Department of Child Health, National Institute of Public Health, Copenhagen K, Denmark.&lt;/auth-address&gt;&lt;titles&gt;&lt;title&gt;Leisure time physical exercise during pregnancy and the risk of miscarriage: a study within the Danish National Birth Cohort&lt;/title&gt;&lt;secondary-title&gt;BJOG&lt;/secondary-title&gt;&lt;/titles&gt;&lt;periodical&gt;&lt;full-title&gt;BJOG&lt;/full-title&gt;&lt;/periodical&gt;&lt;pages&gt;1419-26&lt;/pages&gt;&lt;volume&gt;114&lt;/volume&gt;&lt;number&gt;11&lt;/number&gt;&lt;edition&gt;2007/09/20&lt;/edition&gt;&lt;keywords&gt;&lt;keyword&gt;Abortion, Spontaneous/epidemiology/*etiology&lt;/keyword&gt;&lt;keyword&gt;Adolescent&lt;/keyword&gt;&lt;keyword&gt;Adult&lt;/keyword&gt;&lt;keyword&gt;Denmark/epidemiology&lt;/keyword&gt;&lt;keyword&gt;Epidemiologic Methods&lt;/keyword&gt;&lt;keyword&gt;Exercise/*physiology&lt;/keyword&gt;&lt;keyword&gt;Female&lt;/keyword&gt;&lt;keyword&gt;Humans&lt;/keyword&gt;&lt;keyword&gt;*Leisure Activities&lt;/keyword&gt;&lt;keyword&gt;Maternal Age&lt;/keyword&gt;&lt;keyword&gt;Pregnancy&lt;/keyword&gt;&lt;keyword&gt;Pregnancy Outcome/epidemiology&lt;/keyword&gt;&lt;/keywords&gt;&lt;dates&gt;&lt;year&gt;2007&lt;/year&gt;&lt;pub-dates&gt;&lt;date&gt;Nov&lt;/date&gt;&lt;/pub-dates&gt;&lt;/dates&gt;&lt;isbn&gt;1471-0528 (Electronic)&amp;#xD;1470-0328 (Linking)&lt;/isbn&gt;&lt;accession-num&gt;17877774&lt;/accession-num&gt;&lt;urls&gt;&lt;related-urls&gt;&lt;url&gt;https://www.ncbi.nlm.nih.gov/pubmed/17877774&lt;/url&gt;&lt;/related-urls&gt;&lt;/urls&gt;&lt;custom2&gt;PMC2366024&lt;/custom2&gt;&lt;electronic-resource-num&gt;10.1111/j.1471-0528.2007.01496.x&lt;/electronic-resource-num&gt;&lt;/record&gt;&lt;/Cite&gt;&lt;/EndNote&gt;</w:instrText>
      </w:r>
      <w:r w:rsidR="003E3405">
        <w:fldChar w:fldCharType="separate"/>
      </w:r>
      <w:r w:rsidR="002747EA" w:rsidRPr="002747EA">
        <w:rPr>
          <w:noProof/>
          <w:vertAlign w:val="superscript"/>
        </w:rPr>
        <w:t>320</w:t>
      </w:r>
      <w:r w:rsidR="003E3405">
        <w:fldChar w:fldCharType="end"/>
      </w:r>
      <w:r>
        <w:t xml:space="preserve"> found an association between bicycling or horseback riding and risk of miscarriage at 11-14 weeks (</w:t>
      </w:r>
      <w:r w:rsidRPr="00057D6E">
        <w:rPr>
          <w:sz w:val="16"/>
          <w:szCs w:val="16"/>
        </w:rPr>
        <w:t>HR 1.7; 95%CI 1.4 to 2.0</w:t>
      </w:r>
      <w:r>
        <w:t xml:space="preserve">) but not at other times before 22 weeks. </w:t>
      </w:r>
    </w:p>
    <w:p w14:paraId="54C69B15" w14:textId="62385D87" w:rsidR="006B6C3C" w:rsidRDefault="006B6C3C" w:rsidP="006B6C3C">
      <w:pPr>
        <w:pStyle w:val="Heading3"/>
      </w:pPr>
      <w:bookmarkStart w:id="156" w:name="_Toc40956525"/>
      <w:r>
        <w:t>Occupational activities</w:t>
      </w:r>
      <w:bookmarkEnd w:id="156"/>
    </w:p>
    <w:p w14:paraId="1C2A801B" w14:textId="6E659EC2" w:rsidR="00E82F9C" w:rsidRDefault="00E82F9C" w:rsidP="00E82F9C">
      <w:pPr>
        <w:pStyle w:val="Heading4"/>
      </w:pPr>
      <w:r>
        <w:t>Fetal loss</w:t>
      </w:r>
    </w:p>
    <w:p w14:paraId="0E576757" w14:textId="053F035A" w:rsidR="00E82F9C" w:rsidRDefault="00E82F9C" w:rsidP="00E82F9C">
      <w:r>
        <w:t>A systematic review</w:t>
      </w:r>
      <w:r w:rsidR="000E5081">
        <w:t xml:space="preserve"> of cohort and cross-sectional studies</w:t>
      </w:r>
      <w:r w:rsidR="003E3405">
        <w:fldChar w:fldCharType="begin"/>
      </w:r>
      <w:r w:rsidR="002747EA">
        <w:instrText xml:space="preserve"> ADDIN EN.CITE &lt;EndNote&gt;&lt;Cite&gt;&lt;Author&gt;Bonde&lt;/Author&gt;&lt;Year&gt;2013&lt;/Year&gt;&lt;RecNum&gt;839&lt;/RecNum&gt;&lt;DisplayText&gt;&lt;style face="superscript" font="Trebuchet MS" size="9"&gt;326&lt;/style&gt;&lt;/DisplayText&gt;&lt;record&gt;&lt;rec-number&gt;839&lt;/rec-number&gt;&lt;foreign-keys&gt;&lt;key app="EN" db-id="exvasrfx2dtraoesasxp2szsxa2df502592x" timestamp="1541540581"&gt;839&lt;/key&gt;&lt;key app="ENWeb" db-id=""&gt;0&lt;/key&gt;&lt;/foreign-keys&gt;&lt;ref-type name="Journal Article"&gt;17&lt;/ref-type&gt;&lt;contributors&gt;&lt;authors&gt;&lt;author&gt;Bonde, Jens Peter&lt;/author&gt;&lt;author&gt;Jørgensen, Kristian Tore&lt;/author&gt;&lt;author&gt;Bonzini, Matteo&lt;/author&gt;&lt;author&gt;Palmer, Keith T.&lt;/author&gt;&lt;/authors&gt;&lt;/contributors&gt;&lt;titles&gt;&lt;title&gt;Miscarriage and occupational activity: a systematic review and meta-analysis regarding shift work, working hours, lifting, standing, and physical workload&lt;/title&gt;&lt;secondary-title&gt;Scandinavian Journal of Work, Environment &amp;amp; Health&lt;/secondary-title&gt;&lt;/titles&gt;&lt;periodical&gt;&lt;full-title&gt;Scandinavian Journal of Work, Environment &amp;amp; Health&lt;/full-title&gt;&lt;/periodical&gt;&lt;pages&gt;325-334&lt;/pages&gt;&lt;volume&gt;39&lt;/volume&gt;&lt;number&gt;4&lt;/number&gt;&lt;section&gt;325&lt;/section&gt;&lt;dates&gt;&lt;year&gt;2013&lt;/year&gt;&lt;/dates&gt;&lt;isbn&gt;0355-3140&amp;#xD;1795-990X&lt;/isbn&gt;&lt;urls&gt;&lt;/urls&gt;&lt;electronic-resource-num&gt;10.5271/sjweh.3337&lt;/electronic-resource-num&gt;&lt;/record&gt;&lt;/Cite&gt;&lt;/EndNote&gt;</w:instrText>
      </w:r>
      <w:r w:rsidR="003E3405">
        <w:fldChar w:fldCharType="separate"/>
      </w:r>
      <w:r w:rsidR="002747EA" w:rsidRPr="002747EA">
        <w:rPr>
          <w:noProof/>
          <w:vertAlign w:val="superscript"/>
        </w:rPr>
        <w:t>326</w:t>
      </w:r>
      <w:r w:rsidR="003E3405">
        <w:fldChar w:fldCharType="end"/>
      </w:r>
      <w:r>
        <w:t xml:space="preserve"> found no clear increase or decrease in the risk of miscarriage with lifting &gt;100 kg per day (</w:t>
      </w:r>
      <w:r w:rsidR="00A40ADE">
        <w:rPr>
          <w:sz w:val="16"/>
          <w:szCs w:val="16"/>
        </w:rPr>
        <w:t>RR 1.32; 95%CI 0.93 to 1.</w:t>
      </w:r>
      <w:r w:rsidRPr="00FA44BE">
        <w:rPr>
          <w:sz w:val="16"/>
          <w:szCs w:val="16"/>
        </w:rPr>
        <w:t>87</w:t>
      </w:r>
      <w:r>
        <w:t>) but a possible increase in risk associated with standing &gt;6 hours per day (</w:t>
      </w:r>
      <w:r w:rsidRPr="00FA44BE">
        <w:rPr>
          <w:sz w:val="16"/>
          <w:szCs w:val="16"/>
        </w:rPr>
        <w:t>RR 1.16; 95%CI 1.01 to 1.32</w:t>
      </w:r>
      <w:r>
        <w:t xml:space="preserve">). </w:t>
      </w:r>
    </w:p>
    <w:p w14:paraId="25E1AB70" w14:textId="34B0414C" w:rsidR="00F14051" w:rsidRDefault="008C18C3" w:rsidP="00E82F9C">
      <w:r>
        <w:t xml:space="preserve">A </w:t>
      </w:r>
      <w:r w:rsidR="001B2152">
        <w:t xml:space="preserve">large </w:t>
      </w:r>
      <w:r>
        <w:t>cohort study</w:t>
      </w:r>
      <w:r w:rsidR="001B2152">
        <w:t xml:space="preserve"> (</w:t>
      </w:r>
      <w:r w:rsidR="001B2152" w:rsidRPr="00DC03DC">
        <w:rPr>
          <w:sz w:val="16"/>
          <w:szCs w:val="16"/>
        </w:rPr>
        <w:t>n=71,500</w:t>
      </w:r>
      <w:r w:rsidR="001B2152">
        <w:t>)</w:t>
      </w:r>
      <w:r w:rsidR="007E48A2">
        <w:fldChar w:fldCharType="begin"/>
      </w:r>
      <w:r w:rsidR="002747EA">
        <w:instrText xml:space="preserve"> ADDIN EN.CITE &lt;EndNote&gt;&lt;Cite&gt;&lt;Author&gt;Juhl&lt;/Author&gt;&lt;Year&gt;2013&lt;/Year&gt;&lt;RecNum&gt;1228&lt;/RecNum&gt;&lt;DisplayText&gt;&lt;style face="superscript" font="Trebuchet MS" size="9"&gt;327&lt;/style&gt;&lt;/DisplayText&gt;&lt;record&gt;&lt;rec-number&gt;1228&lt;/rec-number&gt;&lt;foreign-keys&gt;&lt;key app="EN" db-id="exvasrfx2dtraoesasxp2szsxa2df502592x" timestamp="1562472199"&gt;1228&lt;/key&gt;&lt;key app="ENWeb" db-id=""&gt;0&lt;/key&gt;&lt;/foreign-keys&gt;&lt;ref-type name="Journal Article"&gt;17&lt;/ref-type&gt;&lt;contributors&gt;&lt;authors&gt;&lt;author&gt;Juhl, M.&lt;/author&gt;&lt;author&gt;Strandberg-Larsen, K.&lt;/author&gt;&lt;author&gt;Larsen, P. S.&lt;/author&gt;&lt;author&gt;Andersen, P. K.&lt;/author&gt;&lt;author&gt;Svendsen, S. W.&lt;/author&gt;&lt;author&gt;Bonde, J. P.&lt;/author&gt;&lt;author&gt;Nybo Andersen, A. M.&lt;/author&gt;&lt;/authors&gt;&lt;/contributors&gt;&lt;auth-address&gt;Section of Social Medicine, Department of Public Health, University of Copenhagen, Copenhagen, Denmark. metjuhl@gmail.com&lt;/auth-address&gt;&lt;titles&gt;&lt;title&gt;Occupational lifting during pregnancy and risk of fetal death in a large national cohort study&lt;/title&gt;&lt;secondary-title&gt;Scand J Work Environ Health&lt;/secondary-title&gt;&lt;/titles&gt;&lt;periodical&gt;&lt;full-title&gt;Scand J Work Environ Health&lt;/full-title&gt;&lt;/periodical&gt;&lt;pages&gt;335-42&lt;/pages&gt;&lt;volume&gt;39&lt;/volume&gt;&lt;number&gt;4&lt;/number&gt;&lt;edition&gt;2012/12/05&lt;/edition&gt;&lt;keywords&gt;&lt;keyword&gt;Adult&lt;/keyword&gt;&lt;keyword&gt;Denmark&lt;/keyword&gt;&lt;keyword&gt;Female&lt;/keyword&gt;&lt;keyword&gt;*Fetal Death&lt;/keyword&gt;&lt;keyword&gt;Humans&lt;/keyword&gt;&lt;keyword&gt;*Lifting&lt;/keyword&gt;&lt;keyword&gt;*Occupational Health&lt;/keyword&gt;&lt;keyword&gt;Pregnancy&lt;/keyword&gt;&lt;keyword&gt;Proportional Hazards Models&lt;/keyword&gt;&lt;keyword&gt;Risk Factors&lt;/keyword&gt;&lt;/keywords&gt;&lt;dates&gt;&lt;year&gt;2013&lt;/year&gt;&lt;pub-dates&gt;&lt;date&gt;Jul&lt;/date&gt;&lt;/pub-dates&gt;&lt;/dates&gt;&lt;isbn&gt;1795-990X (Electronic)&amp;#xD;0355-3140 (Linking)&lt;/isbn&gt;&lt;accession-num&gt;23207454&lt;/accession-num&gt;&lt;urls&gt;&lt;related-urls&gt;&lt;url&gt;https://www.ncbi.nlm.nih.gov/pubmed/23207454&lt;/url&gt;&lt;/related-urls&gt;&lt;/urls&gt;&lt;electronic-resource-num&gt;10.5271/sjweh.3335&lt;/electronic-resource-num&gt;&lt;/record&gt;&lt;/Cite&gt;&lt;/EndNote&gt;</w:instrText>
      </w:r>
      <w:r w:rsidR="007E48A2">
        <w:fldChar w:fldCharType="separate"/>
      </w:r>
      <w:r w:rsidR="002747EA" w:rsidRPr="002747EA">
        <w:rPr>
          <w:noProof/>
          <w:vertAlign w:val="superscript"/>
        </w:rPr>
        <w:t>327</w:t>
      </w:r>
      <w:r w:rsidR="007E48A2">
        <w:fldChar w:fldCharType="end"/>
      </w:r>
      <w:r>
        <w:t xml:space="preserve"> found an increased risk of early miscarriage (≤12 weeks) </w:t>
      </w:r>
      <w:r w:rsidR="00D25637">
        <w:t>with occupational lifting of 101-200 kg per day (</w:t>
      </w:r>
      <w:r w:rsidR="00D25637" w:rsidRPr="00F5304B">
        <w:rPr>
          <w:sz w:val="16"/>
          <w:szCs w:val="16"/>
        </w:rPr>
        <w:t>aHR 1.38; 95%CI 1.10 to 1.74</w:t>
      </w:r>
      <w:r w:rsidR="00D25637">
        <w:t>)</w:t>
      </w:r>
      <w:r w:rsidR="00A90F52">
        <w:t xml:space="preserve"> and</w:t>
      </w:r>
      <w:r w:rsidR="00D25637">
        <w:t xml:space="preserve"> a doubling of risk with lifting of &gt;1,000 kg/day (</w:t>
      </w:r>
      <w:r w:rsidR="00D25637" w:rsidRPr="00F5304B">
        <w:rPr>
          <w:sz w:val="16"/>
          <w:szCs w:val="16"/>
        </w:rPr>
        <w:t>aHR 2.02; 95%CI 1.23 to 3.33</w:t>
      </w:r>
      <w:r w:rsidR="00D25637">
        <w:t>). The risk of late miscarriage (13-21 weeks) was increased with lifting of 201-500 kg per day (</w:t>
      </w:r>
      <w:r w:rsidR="00D25637" w:rsidRPr="00F5304B">
        <w:rPr>
          <w:sz w:val="16"/>
          <w:szCs w:val="16"/>
        </w:rPr>
        <w:t>aHR 1.42; 95%CI 1.15 to 1.76</w:t>
      </w:r>
      <w:r w:rsidR="00D25637">
        <w:t>). There was no clear difference in risk of stillbirth (≥22 weeks) with lifting of 201-500 kg per day (</w:t>
      </w:r>
      <w:r w:rsidR="00D25637" w:rsidRPr="00F5304B">
        <w:rPr>
          <w:sz w:val="16"/>
          <w:szCs w:val="16"/>
        </w:rPr>
        <w:t>aHR 0.72; 95%CI 0.45 to 1.16</w:t>
      </w:r>
      <w:r w:rsidR="00D25637">
        <w:t>).</w:t>
      </w:r>
      <w:r w:rsidR="00FD3606">
        <w:t xml:space="preserve"> However, f</w:t>
      </w:r>
      <w:r w:rsidR="00F22423">
        <w:t xml:space="preserve">urther analysis of the same </w:t>
      </w:r>
      <w:r w:rsidR="00F14051">
        <w:t xml:space="preserve">cohort </w:t>
      </w:r>
      <w:r w:rsidR="003C78C0">
        <w:t>(</w:t>
      </w:r>
      <w:r w:rsidR="003C78C0" w:rsidRPr="00DC03DC">
        <w:rPr>
          <w:sz w:val="16"/>
          <w:szCs w:val="16"/>
        </w:rPr>
        <w:t>n=68,086</w:t>
      </w:r>
      <w:r w:rsidR="003C78C0">
        <w:t>)</w:t>
      </w:r>
      <w:r w:rsidR="00007AB2">
        <w:fldChar w:fldCharType="begin">
          <w:fldData xml:space="preserve">PEVuZE5vdGU+PENpdGU+PEF1dGhvcj5Nb2NldmljPC9BdXRob3I+PFllYXI+MjAxNDwvWWVhcj48
UmVjTnVtPjEyMjk8L1JlY051bT48RGlzcGxheVRleHQ+PHN0eWxlIGZhY2U9InN1cGVyc2NyaXB0
IiBmb250PSJUcmVidWNoZXQgTVMiIHNpemU9IjkiPjMyODwvc3R5bGU+PC9EaXNwbGF5VGV4dD48
cmVjb3JkPjxyZWMtbnVtYmVyPjEyMjk8L3JlYy1udW1iZXI+PGZvcmVpZ24ta2V5cz48a2V5IGFw
cD0iRU4iIGRiLWlkPSJleHZhc3JmeDJkdHJhb2VzYXN4cDJzenN4YTJkZjUwMjU5MngiIHRpbWVz
dGFtcD0iMTU2MjQ3MjIxNSI+MTIyOTwva2V5PjxrZXkgYXBwPSJFTldlYiIgZGItaWQ9IiI+MDwv
a2V5PjwvZm9yZWlnbi1rZXlzPjxyZWYtdHlwZSBuYW1lPSJKb3VybmFsIEFydGljbGUiPjE3PC9y
ZWYtdHlwZT48Y29udHJpYnV0b3JzPjxhdXRob3JzPjxhdXRob3I+TW9jZXZpYywgRS48L2F1dGhv
cj48YXV0aG9yPlN2ZW5kc2VuLCBTLiBXLjwvYXV0aG9yPjxhdXRob3I+Sm9yZ2Vuc2VuLCBLLiBU
LjwvYXV0aG9yPjxhdXRob3I+RnJvc3QsIFAuPC9hdXRob3I+PGF1dGhvcj5Cb25kZSwgSi4gUC48
L2F1dGhvcj48L2F1dGhvcnM+PC9jb250cmlidXRvcnM+PGF1dGgtYWRkcmVzcz5EZXBhcnRtZW50
IG9mIE9jY3VwYXRpb25hbCBhbmQgRW52aXJvbm1lbnRhbCBNZWRpY2luZSwgQmlzcGViamVyZyBI
b3NwaXRhbCwgVW5pdmVyc2l0eSBvZiBDb3BlbmhhZ2VuLCBDb3BlaGFnZW4sIERlbm1hcmsuJiN4
RDtEYW5pc2ggUmFtYXp6aW5pIENlbnRyZSwgVW5pdmVyc2l0eSBEZXBhcnRtZW50IG9mIE9jY3Vw
YXRpb25hbCBNZWRpY2luZSwgSGVybmluZyBSZWdpb25hbCBIb3NwaXRhbCwgSGVybmluZywgRGVu
bWFyay4mI3hEO0RhbmlzaCBSYW1henppbmkgQ2VudHJlLCBEZXBhcnRtZW50IG9mIE9jY3VwYXRp
b25hbCBNZWRpY2luZSwgQWFyaHVzIFVuaXZlcnNpdHkgSG9zcGl0YWwsIEFhcmh1cywgRGVubWFy
ay48L2F1dGgtYWRkcmVzcz48dGl0bGVzPjx0aXRsZT5PY2N1cGF0aW9uYWwgbGlmdGluZywgZmV0
YWwgZGVhdGggYW5kIHByZXRlcm0gYmlydGg6IGZpbmRpbmdzIGZyb20gdGhlIERhbmlzaCBOYXRp
b25hbCBCaXJ0aCBDb2hvcnQgdXNpbmcgYSBqb2IgZXhwb3N1cmUgbWF0cml4PC90aXRsZT48c2Vj
b25kYXJ5LXRpdGxlPlBMb1MgT25lPC9zZWNvbmRhcnktdGl0bGU+PC90aXRsZXM+PHBlcmlvZGlj
YWw+PGZ1bGwtdGl0bGU+UExvUyBPbmU8L2Z1bGwtdGl0bGU+PC9wZXJpb2RpY2FsPjxwYWdlcz5l
OTA1NTA8L3BhZ2VzPjx2b2x1bWU+OTwvdm9sdW1lPjxudW1iZXI+MzwvbnVtYmVyPjxlZGl0aW9u
PjIwMTQvMDMvMTM8L2VkaXRpb24+PGtleXdvcmRzPjxrZXl3b3JkPkFkb2xlc2NlbnQ8L2tleXdv
cmQ+PGtleXdvcmQ+QWR1bHQ8L2tleXdvcmQ+PGtleXdvcmQ+Q29ob3J0IFN0dWRpZXM8L2tleXdv
cmQ+PGtleXdvcmQ+RGVubWFyay9lcGlkZW1pb2xvZ3k8L2tleXdvcmQ+PGtleXdvcmQ+RmVtYWxl
PC9rZXl3b3JkPjxrZXl3b3JkPipGZXRhbCBEZWF0aDwva2V5d29yZD48a2V5d29yZD5HZXN0YXRp
b25hbCBBZ2U8L2tleXdvcmQ+PGtleXdvcmQ+SHVtYW5zPC9rZXl3b3JkPjxrZXl3b3JkPipMaWZ0
aW5nPC9rZXl3b3JkPjxrZXl3b3JkPk1pZGRsZSBBZ2VkPC9rZXl3b3JkPjxrZXl3b3JkPk9jY3Vw
YXRpb25hbCBFeHBvc3VyZS8qYWR2ZXJzZSBlZmZlY3RzPC9rZXl3b3JkPjxrZXl3b3JkPlByZWdu
YW5jeTwva2V5d29yZD48a2V5d29yZD5QcmVnbmFuY3kgT3V0Y29tZTwva2V5d29yZD48a2V5d29y
ZD5QcmVtYXR1cmUgQmlydGgvKmVwaWRlbWlvbG9neTwva2V5d29yZD48a2V5d29yZD5Qcm9wb3J0
aW9uYWwgSGF6YXJkcyBNb2RlbHM8L2tleXdvcmQ+PGtleXdvcmQ+WW91bmcgQWR1bHQ8L2tleXdv
cmQ+PC9rZXl3b3Jkcz48ZGF0ZXM+PHllYXI+MjAxNDwveWVhcj48L2RhdGVzPjxpc2JuPjE5MzIt
NjIwMyAoRWxlY3Ryb25pYykmI3hEOzE5MzItNjIwMyAoTGlua2luZyk8L2lzYm4+PGFjY2Vzc2lv
bi1udW0+MjQ2MTQxMjk8L2FjY2Vzc2lvbi1udW0+PHVybHM+PHJlbGF0ZWQtdXJscz48dXJsPmh0
dHBzOi8vd3d3Lm5jYmkubmxtLm5paC5nb3YvcHVibWVkLzI0NjE0MTI5PC91cmw+PC9yZWxhdGVk
LXVybHM+PC91cmxzPjxjdXN0b20yPlBNQzM5NDg2NzY8L2N1c3RvbTI+PGVsZWN0cm9uaWMtcmVz
b3VyY2UtbnVtPjEwLjEzNzEvam91cm5hbC5wb25lLjAwOTA1NTA8L2VsZWN0cm9uaWMtcmVzb3Vy
Y2UtbnVtPjwvcmVjb3JkPjwvQ2l0ZT48L0VuZE5vdGU+
</w:fldData>
        </w:fldChar>
      </w:r>
      <w:r w:rsidR="002747EA">
        <w:instrText xml:space="preserve"> ADDIN EN.CITE </w:instrText>
      </w:r>
      <w:r w:rsidR="002747EA">
        <w:fldChar w:fldCharType="begin">
          <w:fldData xml:space="preserve">PEVuZE5vdGU+PENpdGU+PEF1dGhvcj5Nb2NldmljPC9BdXRob3I+PFllYXI+MjAxNDwvWWVhcj48
UmVjTnVtPjEyMjk8L1JlY051bT48RGlzcGxheVRleHQ+PHN0eWxlIGZhY2U9InN1cGVyc2NyaXB0
IiBmb250PSJUcmVidWNoZXQgTVMiIHNpemU9IjkiPjMyODwvc3R5bGU+PC9EaXNwbGF5VGV4dD48
cmVjb3JkPjxyZWMtbnVtYmVyPjEyMjk8L3JlYy1udW1iZXI+PGZvcmVpZ24ta2V5cz48a2V5IGFw
cD0iRU4iIGRiLWlkPSJleHZhc3JmeDJkdHJhb2VzYXN4cDJzenN4YTJkZjUwMjU5MngiIHRpbWVz
dGFtcD0iMTU2MjQ3MjIxNSI+MTIyOTwva2V5PjxrZXkgYXBwPSJFTldlYiIgZGItaWQ9IiI+MDwv
a2V5PjwvZm9yZWlnbi1rZXlzPjxyZWYtdHlwZSBuYW1lPSJKb3VybmFsIEFydGljbGUiPjE3PC9y
ZWYtdHlwZT48Y29udHJpYnV0b3JzPjxhdXRob3JzPjxhdXRob3I+TW9jZXZpYywgRS48L2F1dGhv
cj48YXV0aG9yPlN2ZW5kc2VuLCBTLiBXLjwvYXV0aG9yPjxhdXRob3I+Sm9yZ2Vuc2VuLCBLLiBU
LjwvYXV0aG9yPjxhdXRob3I+RnJvc3QsIFAuPC9hdXRob3I+PGF1dGhvcj5Cb25kZSwgSi4gUC48
L2F1dGhvcj48L2F1dGhvcnM+PC9jb250cmlidXRvcnM+PGF1dGgtYWRkcmVzcz5EZXBhcnRtZW50
IG9mIE9jY3VwYXRpb25hbCBhbmQgRW52aXJvbm1lbnRhbCBNZWRpY2luZSwgQmlzcGViamVyZyBI
b3NwaXRhbCwgVW5pdmVyc2l0eSBvZiBDb3BlbmhhZ2VuLCBDb3BlaGFnZW4sIERlbm1hcmsuJiN4
RDtEYW5pc2ggUmFtYXp6aW5pIENlbnRyZSwgVW5pdmVyc2l0eSBEZXBhcnRtZW50IG9mIE9jY3Vw
YXRpb25hbCBNZWRpY2luZSwgSGVybmluZyBSZWdpb25hbCBIb3NwaXRhbCwgSGVybmluZywgRGVu
bWFyay4mI3hEO0RhbmlzaCBSYW1henppbmkgQ2VudHJlLCBEZXBhcnRtZW50IG9mIE9jY3VwYXRp
b25hbCBNZWRpY2luZSwgQWFyaHVzIFVuaXZlcnNpdHkgSG9zcGl0YWwsIEFhcmh1cywgRGVubWFy
ay48L2F1dGgtYWRkcmVzcz48dGl0bGVzPjx0aXRsZT5PY2N1cGF0aW9uYWwgbGlmdGluZywgZmV0
YWwgZGVhdGggYW5kIHByZXRlcm0gYmlydGg6IGZpbmRpbmdzIGZyb20gdGhlIERhbmlzaCBOYXRp
b25hbCBCaXJ0aCBDb2hvcnQgdXNpbmcgYSBqb2IgZXhwb3N1cmUgbWF0cml4PC90aXRsZT48c2Vj
b25kYXJ5LXRpdGxlPlBMb1MgT25lPC9zZWNvbmRhcnktdGl0bGU+PC90aXRsZXM+PHBlcmlvZGlj
YWw+PGZ1bGwtdGl0bGU+UExvUyBPbmU8L2Z1bGwtdGl0bGU+PC9wZXJpb2RpY2FsPjxwYWdlcz5l
OTA1NTA8L3BhZ2VzPjx2b2x1bWU+OTwvdm9sdW1lPjxudW1iZXI+MzwvbnVtYmVyPjxlZGl0aW9u
PjIwMTQvMDMvMTM8L2VkaXRpb24+PGtleXdvcmRzPjxrZXl3b3JkPkFkb2xlc2NlbnQ8L2tleXdv
cmQ+PGtleXdvcmQ+QWR1bHQ8L2tleXdvcmQ+PGtleXdvcmQ+Q29ob3J0IFN0dWRpZXM8L2tleXdv
cmQ+PGtleXdvcmQ+RGVubWFyay9lcGlkZW1pb2xvZ3k8L2tleXdvcmQ+PGtleXdvcmQ+RmVtYWxl
PC9rZXl3b3JkPjxrZXl3b3JkPipGZXRhbCBEZWF0aDwva2V5d29yZD48a2V5d29yZD5HZXN0YXRp
b25hbCBBZ2U8L2tleXdvcmQ+PGtleXdvcmQ+SHVtYW5zPC9rZXl3b3JkPjxrZXl3b3JkPipMaWZ0
aW5nPC9rZXl3b3JkPjxrZXl3b3JkPk1pZGRsZSBBZ2VkPC9rZXl3b3JkPjxrZXl3b3JkPk9jY3Vw
YXRpb25hbCBFeHBvc3VyZS8qYWR2ZXJzZSBlZmZlY3RzPC9rZXl3b3JkPjxrZXl3b3JkPlByZWdu
YW5jeTwva2V5d29yZD48a2V5d29yZD5QcmVnbmFuY3kgT3V0Y29tZTwva2V5d29yZD48a2V5d29y
ZD5QcmVtYXR1cmUgQmlydGgvKmVwaWRlbWlvbG9neTwva2V5d29yZD48a2V5d29yZD5Qcm9wb3J0
aW9uYWwgSGF6YXJkcyBNb2RlbHM8L2tleXdvcmQ+PGtleXdvcmQ+WW91bmcgQWR1bHQ8L2tleXdv
cmQ+PC9rZXl3b3Jkcz48ZGF0ZXM+PHllYXI+MjAxNDwveWVhcj48L2RhdGVzPjxpc2JuPjE5MzIt
NjIwMyAoRWxlY3Ryb25pYykmI3hEOzE5MzItNjIwMyAoTGlua2luZyk8L2lzYm4+PGFjY2Vzc2lv
bi1udW0+MjQ2MTQxMjk8L2FjY2Vzc2lvbi1udW0+PHVybHM+PHJlbGF0ZWQtdXJscz48dXJsPmh0
dHBzOi8vd3d3Lm5jYmkubmxtLm5paC5nb3YvcHVibWVkLzI0NjE0MTI5PC91cmw+PC9yZWxhdGVk
LXVybHM+PC91cmxzPjxjdXN0b20yPlBNQzM5NDg2NzY8L2N1c3RvbTI+PGVsZWN0cm9uaWMtcmVz
b3VyY2UtbnVtPjEwLjEzNzEvam91cm5hbC5wb25lLjAwOTA1NTA8L2VsZWN0cm9uaWMtcmVzb3Vy
Y2UtbnVtPjwvcmVjb3JkPjwvQ2l0ZT48L0VuZE5vdGU+
</w:fldData>
        </w:fldChar>
      </w:r>
      <w:r w:rsidR="002747EA">
        <w:instrText xml:space="preserve"> ADDIN EN.CITE.DATA </w:instrText>
      </w:r>
      <w:r w:rsidR="002747EA">
        <w:fldChar w:fldCharType="end"/>
      </w:r>
      <w:r w:rsidR="00007AB2">
        <w:fldChar w:fldCharType="separate"/>
      </w:r>
      <w:r w:rsidR="002747EA" w:rsidRPr="002747EA">
        <w:rPr>
          <w:noProof/>
          <w:vertAlign w:val="superscript"/>
        </w:rPr>
        <w:t>328</w:t>
      </w:r>
      <w:r w:rsidR="00007AB2">
        <w:fldChar w:fldCharType="end"/>
      </w:r>
      <w:r w:rsidR="00F14051">
        <w:t xml:space="preserve"> found </w:t>
      </w:r>
      <w:r w:rsidR="00F5304B">
        <w:t>no clear difference in risk of early or late miscarriage with lifting loads of 101-975 kg a day but an increased risk of stillbirth with lifting of 201-975 kg per day (</w:t>
      </w:r>
      <w:r w:rsidR="00F5304B" w:rsidRPr="00F5304B">
        <w:rPr>
          <w:sz w:val="16"/>
          <w:szCs w:val="16"/>
        </w:rPr>
        <w:t>aHR 2.87; 95%CI 1.37 to 6.01</w:t>
      </w:r>
      <w:r w:rsidR="00F5304B">
        <w:t>)</w:t>
      </w:r>
      <w:r w:rsidR="003C78C0">
        <w:t xml:space="preserve"> </w:t>
      </w:r>
      <w:r w:rsidR="00D13703">
        <w:t>among</w:t>
      </w:r>
      <w:r w:rsidR="003C78C0">
        <w:t xml:space="preserve"> women with a prior fetal death</w:t>
      </w:r>
      <w:r w:rsidR="00F5304B">
        <w:t xml:space="preserve">. </w:t>
      </w:r>
      <w:r w:rsidR="00F14051">
        <w:t xml:space="preserve">There was no clear difference in fetal loss at any time or </w:t>
      </w:r>
      <w:r w:rsidR="00D13703">
        <w:t xml:space="preserve">with any </w:t>
      </w:r>
      <w:r w:rsidR="00F14051">
        <w:t>lifting l</w:t>
      </w:r>
      <w:r w:rsidR="00F5304B">
        <w:t>oad for</w:t>
      </w:r>
      <w:r w:rsidR="00F14051">
        <w:t xml:space="preserve"> women without a prior fetal death.</w:t>
      </w:r>
    </w:p>
    <w:p w14:paraId="4DA3503D" w14:textId="53CA3D1A" w:rsidR="00B6441A" w:rsidRDefault="00B6441A" w:rsidP="00E82F9C">
      <w:r>
        <w:t xml:space="preserve">A case-control study </w:t>
      </w:r>
      <w:r w:rsidR="000E5081">
        <w:t>(</w:t>
      </w:r>
      <w:r w:rsidR="000E5081" w:rsidRPr="00DC03DC">
        <w:rPr>
          <w:sz w:val="16"/>
          <w:szCs w:val="16"/>
        </w:rPr>
        <w:t>n=1,762</w:t>
      </w:r>
      <w:r w:rsidR="000E5081">
        <w:t xml:space="preserve">) </w:t>
      </w:r>
      <w:r>
        <w:t xml:space="preserve">found that women who experienced spontaneous abortion were more likely than controls to </w:t>
      </w:r>
      <w:r w:rsidR="00A90F52">
        <w:t xml:space="preserve">have </w:t>
      </w:r>
      <w:r>
        <w:t>participate</w:t>
      </w:r>
      <w:r w:rsidR="00A90F52">
        <w:t>d</w:t>
      </w:r>
      <w:r>
        <w:t xml:space="preserve"> in high intensity occupational activity (</w:t>
      </w:r>
      <w:r w:rsidRPr="00581675">
        <w:rPr>
          <w:sz w:val="16"/>
          <w:szCs w:val="16"/>
        </w:rPr>
        <w:t>59.8 vs 30.7%</w:t>
      </w:r>
      <w:r>
        <w:t>) and occupational lifting (</w:t>
      </w:r>
      <w:r w:rsidRPr="00581675">
        <w:rPr>
          <w:sz w:val="16"/>
          <w:szCs w:val="16"/>
        </w:rPr>
        <w:t>53.9 vs 36.5%</w:t>
      </w:r>
      <w:r>
        <w:t>).</w:t>
      </w:r>
      <w:r w:rsidR="00330C17">
        <w:fldChar w:fldCharType="begin"/>
      </w:r>
      <w:r w:rsidR="002747EA">
        <w:instrText xml:space="preserve"> ADDIN EN.CITE &lt;EndNote&gt;&lt;Cite&gt;&lt;Author&gt;El Metwalli&lt;/Author&gt;&lt;Year&gt;2001&lt;/Year&gt;&lt;RecNum&gt;1494&lt;/RecNum&gt;&lt;DisplayText&gt;&lt;style face="superscript" font="Trebuchet MS" size="9"&gt;329&lt;/style&gt;&lt;/DisplayText&gt;&lt;record&gt;&lt;rec-number&gt;1494&lt;/rec-number&gt;&lt;foreign-keys&gt;&lt;key app="EN" db-id="exvasrfx2dtraoesasxp2szsxa2df502592x" timestamp="1574313806"&gt;1494&lt;/key&gt;&lt;/foreign-keys&gt;&lt;ref-type name="Journal Article"&gt;17&lt;/ref-type&gt;&lt;contributors&gt;&lt;authors&gt;&lt;author&gt;El Metwalli, A.G.,&lt;/author&gt;&lt;author&gt;Badawy, A.M.,&lt;/author&gt;&lt;author&gt;El Baghdadi, L.A.,&lt;/author&gt;&lt;author&gt;El Wahady, A.,&lt;/author&gt;&lt;/authors&gt;&lt;/contributors&gt;&lt;titles&gt;&lt;title&gt;        Occupational physical activity and pregnancy outcome&lt;/title&gt;&lt;secondary-title&gt;Eur J Obstet Gynecol Reprod Biol&lt;/secondary-title&gt;&lt;/titles&gt;&lt;periodical&gt;&lt;full-title&gt;Eur J Obstet Gynecol Reprod Biol&lt;/full-title&gt;&lt;/periodical&gt;&lt;pages&gt;41-45&lt;/pages&gt;&lt;volume&gt;100&lt;/volume&gt;&lt;dates&gt;&lt;year&gt;2001&lt;/year&gt;&lt;/dates&gt;&lt;urls&gt;&lt;/urls&gt;&lt;/record&gt;&lt;/Cite&gt;&lt;/EndNote&gt;</w:instrText>
      </w:r>
      <w:r w:rsidR="00330C17">
        <w:fldChar w:fldCharType="separate"/>
      </w:r>
      <w:r w:rsidR="002747EA" w:rsidRPr="002747EA">
        <w:rPr>
          <w:noProof/>
          <w:vertAlign w:val="superscript"/>
        </w:rPr>
        <w:t>329</w:t>
      </w:r>
      <w:r w:rsidR="00330C17">
        <w:fldChar w:fldCharType="end"/>
      </w:r>
    </w:p>
    <w:p w14:paraId="630DC7BD" w14:textId="145097E1" w:rsidR="00CE5EE6" w:rsidRDefault="00CE5EE6" w:rsidP="0031338D">
      <w:pPr>
        <w:pStyle w:val="Heading4"/>
      </w:pPr>
      <w:r>
        <w:t>Risk of preterm premature rupture of the membranes</w:t>
      </w:r>
    </w:p>
    <w:p w14:paraId="033BF9F0" w14:textId="491E4C65" w:rsidR="00CE5EE6" w:rsidRPr="00CE5EE6" w:rsidRDefault="00CE5EE6" w:rsidP="00CE5EE6">
      <w:r>
        <w:t xml:space="preserve">A cohort study </w:t>
      </w:r>
      <w:r w:rsidR="000E5081">
        <w:t>(</w:t>
      </w:r>
      <w:r w:rsidR="000E5081" w:rsidRPr="00DC03DC">
        <w:rPr>
          <w:sz w:val="16"/>
          <w:szCs w:val="16"/>
        </w:rPr>
        <w:t>n=2,929</w:t>
      </w:r>
      <w:r w:rsidR="000E5081">
        <w:t>)</w:t>
      </w:r>
      <w:r w:rsidR="003E3405">
        <w:fldChar w:fldCharType="begin"/>
      </w:r>
      <w:r w:rsidR="002747EA">
        <w:instrText xml:space="preserve"> ADDIN EN.CITE &lt;EndNote&gt;&lt;Cite&gt;&lt;Author&gt;Newman&lt;/Author&gt;&lt;Year&gt;2001&lt;/Year&gt;&lt;RecNum&gt;1231&lt;/RecNum&gt;&lt;DisplayText&gt;&lt;style face="superscript" font="Trebuchet MS" size="9"&gt;330&lt;/style&gt;&lt;/DisplayText&gt;&lt;record&gt;&lt;rec-number&gt;1231&lt;/rec-number&gt;&lt;foreign-keys&gt;&lt;key app="EN" db-id="exvasrfx2dtraoesasxp2szsxa2df502592x" timestamp="1562472229"&gt;1231&lt;/key&gt;&lt;key app="ENWeb" db-id=""&gt;0&lt;/key&gt;&lt;/foreign-keys&gt;&lt;ref-type name="Journal Article"&gt;17&lt;/ref-type&gt;&lt;contributors&gt;&lt;authors&gt;&lt;author&gt;Newman, R. B.&lt;/author&gt;&lt;author&gt;Goldenberg, R. L.&lt;/author&gt;&lt;author&gt;Moawad, A. H.&lt;/author&gt;&lt;author&gt;Iams, J. D.&lt;/author&gt;&lt;author&gt;Meis, P. J.&lt;/author&gt;&lt;author&gt;Das, A.&lt;/author&gt;&lt;author&gt;Miodovnik, M.&lt;/author&gt;&lt;author&gt;Caritis, S. N.&lt;/author&gt;&lt;author&gt;Thurnau, G. R.&lt;/author&gt;&lt;author&gt;Dombrowski, M. P.&lt;/author&gt;&lt;author&gt;Roberts, J.&lt;/author&gt;&lt;/authors&gt;&lt;/contributors&gt;&lt;titles&gt;&lt;title&gt;Occupational fatigue and preterm premature rupture of membranes&lt;/title&gt;&lt;secondary-title&gt;American Journal of Obstetrics and Gynecology&lt;/secondary-title&gt;&lt;/titles&gt;&lt;periodical&gt;&lt;full-title&gt;American Journal of Obstetrics and Gynecology&lt;/full-title&gt;&lt;/periodical&gt;&lt;pages&gt;438-446&lt;/pages&gt;&lt;volume&gt;184&lt;/volume&gt;&lt;number&gt;3&lt;/number&gt;&lt;section&gt;438&lt;/section&gt;&lt;dates&gt;&lt;year&gt;2001&lt;/year&gt;&lt;/dates&gt;&lt;isbn&gt;00029378&lt;/isbn&gt;&lt;urls&gt;&lt;/urls&gt;&lt;electronic-resource-num&gt;10.1067/mob.2001.110312&lt;/electronic-resource-num&gt;&lt;/record&gt;&lt;/Cite&gt;&lt;/EndNote&gt;</w:instrText>
      </w:r>
      <w:r w:rsidR="003E3405">
        <w:fldChar w:fldCharType="separate"/>
      </w:r>
      <w:r w:rsidR="002747EA" w:rsidRPr="002747EA">
        <w:rPr>
          <w:noProof/>
          <w:vertAlign w:val="superscript"/>
        </w:rPr>
        <w:t>330</w:t>
      </w:r>
      <w:r w:rsidR="003E3405">
        <w:fldChar w:fldCharType="end"/>
      </w:r>
      <w:r>
        <w:t xml:space="preserve"> found an increased risk of preterm premature rupture of the membranes with </w:t>
      </w:r>
      <w:r w:rsidR="0027320C">
        <w:t xml:space="preserve">strenuous </w:t>
      </w:r>
      <w:r>
        <w:t>occupational physical exertion</w:t>
      </w:r>
      <w:r w:rsidR="0027320C">
        <w:t xml:space="preserve"> (</w:t>
      </w:r>
      <w:r w:rsidR="0027320C" w:rsidRPr="0027320C">
        <w:rPr>
          <w:sz w:val="16"/>
          <w:szCs w:val="16"/>
        </w:rPr>
        <w:t>OR 1.72; 95%CI 1.16 to 2.56</w:t>
      </w:r>
      <w:r w:rsidR="0027320C">
        <w:t>).</w:t>
      </w:r>
    </w:p>
    <w:p w14:paraId="74E5DFF3" w14:textId="22B48AC2" w:rsidR="00E82F9C" w:rsidRDefault="00E82F9C" w:rsidP="0031338D">
      <w:pPr>
        <w:pStyle w:val="Heading4"/>
      </w:pPr>
      <w:r>
        <w:t>Risk of preterm birth</w:t>
      </w:r>
    </w:p>
    <w:p w14:paraId="5C49C161" w14:textId="1F90C619" w:rsidR="000E5081" w:rsidRDefault="000E5081" w:rsidP="00612B3A">
      <w:pPr>
        <w:keepLines/>
      </w:pPr>
      <w:r>
        <w:t>A systematic review of cohort studies</w:t>
      </w:r>
      <w:r w:rsidR="003E3405">
        <w:fldChar w:fldCharType="begin"/>
      </w:r>
      <w:r w:rsidR="002747EA">
        <w:instrText xml:space="preserve"> ADDIN EN.CITE &lt;EndNote&gt;&lt;Cite&gt;&lt;Author&gt;van Beukering&lt;/Author&gt;&lt;Year&gt;2014&lt;/Year&gt;&lt;RecNum&gt;1183&lt;/RecNum&gt;&lt;DisplayText&gt;&lt;style face="superscript" font="Trebuchet MS" size="9"&gt;331&lt;/style&gt;&lt;/DisplayText&gt;&lt;record&gt;&lt;rec-number&gt;1183&lt;/rec-number&gt;&lt;foreign-keys&gt;&lt;key app="EN" db-id="exvasrfx2dtraoesasxp2szsxa2df502592x" timestamp="1558839958"&gt;1183&lt;/key&gt;&lt;key app="ENWeb" db-id=""&gt;0&lt;/key&gt;&lt;/foreign-keys&gt;&lt;ref-type name="Journal Article"&gt;17&lt;/ref-type&gt;&lt;contributors&gt;&lt;authors&gt;&lt;author&gt;van Beukering, M. D. M.&lt;/author&gt;&lt;author&gt;van Melick, M. J. G. J.&lt;/author&gt;&lt;author&gt;Mol, B. W.&lt;/author&gt;&lt;author&gt;Frings-Dresen, M. H. W.&lt;/author&gt;&lt;author&gt;Hulshof, C. T. J.&lt;/author&gt;&lt;/authors&gt;&lt;/contributors&gt;&lt;titles&gt;&lt;title&gt;Physically demanding work and preterm delivery: a systematic review and meta-analysis&lt;/title&gt;&lt;secondary-title&gt;International Archives of Occupational and Environmental Health&lt;/secondary-title&gt;&lt;/titles&gt;&lt;periodical&gt;&lt;full-title&gt;International Archives of Occupational and Environmental Health&lt;/full-title&gt;&lt;/periodical&gt;&lt;pages&gt;809-834&lt;/pages&gt;&lt;volume&gt;87&lt;/volume&gt;&lt;number&gt;8&lt;/number&gt;&lt;section&gt;809&lt;/section&gt;&lt;dates&gt;&lt;year&gt;2014&lt;/year&gt;&lt;/dates&gt;&lt;isbn&gt;0340-0131&amp;#xD;1432-1246&lt;/isbn&gt;&lt;urls&gt;&lt;/urls&gt;&lt;electronic-resource-num&gt;10.1007/s00420-013-0924-3&lt;/electronic-resource-num&gt;&lt;/record&gt;&lt;/Cite&gt;&lt;/EndNote&gt;</w:instrText>
      </w:r>
      <w:r w:rsidR="003E3405">
        <w:fldChar w:fldCharType="separate"/>
      </w:r>
      <w:r w:rsidR="002747EA" w:rsidRPr="002747EA">
        <w:rPr>
          <w:noProof/>
          <w:vertAlign w:val="superscript"/>
        </w:rPr>
        <w:t>331</w:t>
      </w:r>
      <w:r w:rsidR="003E3405">
        <w:fldChar w:fldCharType="end"/>
      </w:r>
      <w:r>
        <w:t xml:space="preserve"> found </w:t>
      </w:r>
      <w:r w:rsidR="00612B3A">
        <w:t>possible</w:t>
      </w:r>
      <w:r>
        <w:t xml:space="preserve"> associations between preterm birth and lifting and carrying &gt;5 kg at any time (</w:t>
      </w:r>
      <w:r w:rsidRPr="000E5081">
        <w:rPr>
          <w:sz w:val="16"/>
          <w:szCs w:val="16"/>
        </w:rPr>
        <w:t>OR 1.24; 95%CI 1.00 to 1.54</w:t>
      </w:r>
      <w:r>
        <w:t>) or in the third trimester (</w:t>
      </w:r>
      <w:r w:rsidRPr="000E5081">
        <w:rPr>
          <w:sz w:val="16"/>
          <w:szCs w:val="16"/>
        </w:rPr>
        <w:t>OR</w:t>
      </w:r>
      <w:r>
        <w:rPr>
          <w:sz w:val="16"/>
          <w:szCs w:val="16"/>
        </w:rPr>
        <w:t> </w:t>
      </w:r>
      <w:r w:rsidRPr="000E5081">
        <w:rPr>
          <w:sz w:val="16"/>
          <w:szCs w:val="16"/>
        </w:rPr>
        <w:t>1.30; 95%CI 1.01 to 1.67</w:t>
      </w:r>
      <w:r>
        <w:t>), physical effort or exhaustion (</w:t>
      </w:r>
      <w:r w:rsidRPr="000E5081">
        <w:rPr>
          <w:sz w:val="16"/>
          <w:szCs w:val="16"/>
        </w:rPr>
        <w:t>OR 1.30; 95%CI 1.05 to 1.61</w:t>
      </w:r>
      <w:r>
        <w:t>) and standing and walking &gt;3 hours per day (</w:t>
      </w:r>
      <w:r w:rsidRPr="000E5081">
        <w:rPr>
          <w:sz w:val="16"/>
          <w:szCs w:val="16"/>
        </w:rPr>
        <w:t>OR 1.25; 95%CI 0.99 to 1.57</w:t>
      </w:r>
      <w:r>
        <w:t>).</w:t>
      </w:r>
    </w:p>
    <w:p w14:paraId="1DD9EEFE" w14:textId="0CF2D88B" w:rsidR="00F82888" w:rsidRDefault="00F82888" w:rsidP="00F5304B">
      <w:r>
        <w:t xml:space="preserve">Cohort studies found an increased risk of preterm birth </w:t>
      </w:r>
      <w:r w:rsidR="00135198">
        <w:t>among:</w:t>
      </w:r>
    </w:p>
    <w:p w14:paraId="0B25FB2C" w14:textId="08E79D6E" w:rsidR="008B223E" w:rsidRDefault="00F5304B" w:rsidP="00F82888">
      <w:pPr>
        <w:pStyle w:val="bullet"/>
      </w:pPr>
      <w:r>
        <w:t>primigravid women lifting 101-200 kg/day (</w:t>
      </w:r>
      <w:r w:rsidRPr="00F5304B">
        <w:rPr>
          <w:sz w:val="16"/>
          <w:szCs w:val="16"/>
        </w:rPr>
        <w:t>aHR 1.34; 95%CI 1.14 to 1.58</w:t>
      </w:r>
      <w:r>
        <w:t>) or 201-975 kg/day (</w:t>
      </w:r>
      <w:r w:rsidRPr="00F5304B">
        <w:rPr>
          <w:sz w:val="16"/>
          <w:szCs w:val="16"/>
        </w:rPr>
        <w:t>aHR 1.43; 95%CI 1.13 to 1.80</w:t>
      </w:r>
      <w:r>
        <w:t>)</w:t>
      </w:r>
      <w:r w:rsidR="00F82888">
        <w:t xml:space="preserve"> but</w:t>
      </w:r>
      <w:r>
        <w:t xml:space="preserve"> no clear increase in risk among multigravida women lifting 101-200 kg/day (</w:t>
      </w:r>
      <w:r w:rsidRPr="00F5304B">
        <w:rPr>
          <w:sz w:val="16"/>
          <w:szCs w:val="16"/>
        </w:rPr>
        <w:t>aHR 1.17; 95%CI 1.00 to 1.36</w:t>
      </w:r>
      <w:r>
        <w:t>) or 201</w:t>
      </w:r>
      <w:r w:rsidR="00F82888">
        <w:t>-</w:t>
      </w:r>
      <w:r>
        <w:t>975</w:t>
      </w:r>
      <w:r w:rsidR="00913A43">
        <w:t> </w:t>
      </w:r>
      <w:r>
        <w:t>kg/day (</w:t>
      </w:r>
      <w:r w:rsidRPr="00F5304B">
        <w:rPr>
          <w:sz w:val="16"/>
          <w:szCs w:val="16"/>
        </w:rPr>
        <w:t>aHR 1.09; 95%CI 0.89 to 1.33</w:t>
      </w:r>
      <w:r w:rsidR="00F82888">
        <w:t>) (</w:t>
      </w:r>
      <w:r w:rsidR="00F82888" w:rsidRPr="00DC03DC">
        <w:rPr>
          <w:sz w:val="16"/>
          <w:szCs w:val="16"/>
        </w:rPr>
        <w:t>n=65,530</w:t>
      </w:r>
      <w:r w:rsidR="00F82888">
        <w:t>)</w:t>
      </w:r>
      <w:r w:rsidR="00F82888">
        <w:fldChar w:fldCharType="begin">
          <w:fldData xml:space="preserve">PEVuZE5vdGU+PENpdGU+PEF1dGhvcj5Nb2NldmljPC9BdXRob3I+PFllYXI+MjAxNDwvWWVhcj48
UmVjTnVtPjEyMjk8L1JlY051bT48RGlzcGxheVRleHQ+PHN0eWxlIGZhY2U9InN1cGVyc2NyaXB0
IiBmb250PSJUcmVidWNoZXQgTVMiIHNpemU9IjkiPjMyODwvc3R5bGU+PC9EaXNwbGF5VGV4dD48
cmVjb3JkPjxyZWMtbnVtYmVyPjEyMjk8L3JlYy1udW1iZXI+PGZvcmVpZ24ta2V5cz48a2V5IGFw
cD0iRU4iIGRiLWlkPSJleHZhc3JmeDJkdHJhb2VzYXN4cDJzenN4YTJkZjUwMjU5MngiIHRpbWVz
dGFtcD0iMTU2MjQ3MjIxNSI+MTIyOTwva2V5PjxrZXkgYXBwPSJFTldlYiIgZGItaWQ9IiI+MDwv
a2V5PjwvZm9yZWlnbi1rZXlzPjxyZWYtdHlwZSBuYW1lPSJKb3VybmFsIEFydGljbGUiPjE3PC9y
ZWYtdHlwZT48Y29udHJpYnV0b3JzPjxhdXRob3JzPjxhdXRob3I+TW9jZXZpYywgRS48L2F1dGhv
cj48YXV0aG9yPlN2ZW5kc2VuLCBTLiBXLjwvYXV0aG9yPjxhdXRob3I+Sm9yZ2Vuc2VuLCBLLiBU
LjwvYXV0aG9yPjxhdXRob3I+RnJvc3QsIFAuPC9hdXRob3I+PGF1dGhvcj5Cb25kZSwgSi4gUC48
L2F1dGhvcj48L2F1dGhvcnM+PC9jb250cmlidXRvcnM+PGF1dGgtYWRkcmVzcz5EZXBhcnRtZW50
IG9mIE9jY3VwYXRpb25hbCBhbmQgRW52aXJvbm1lbnRhbCBNZWRpY2luZSwgQmlzcGViamVyZyBI
b3NwaXRhbCwgVW5pdmVyc2l0eSBvZiBDb3BlbmhhZ2VuLCBDb3BlaGFnZW4sIERlbm1hcmsuJiN4
RDtEYW5pc2ggUmFtYXp6aW5pIENlbnRyZSwgVW5pdmVyc2l0eSBEZXBhcnRtZW50IG9mIE9jY3Vw
YXRpb25hbCBNZWRpY2luZSwgSGVybmluZyBSZWdpb25hbCBIb3NwaXRhbCwgSGVybmluZywgRGVu
bWFyay4mI3hEO0RhbmlzaCBSYW1henppbmkgQ2VudHJlLCBEZXBhcnRtZW50IG9mIE9jY3VwYXRp
b25hbCBNZWRpY2luZSwgQWFyaHVzIFVuaXZlcnNpdHkgSG9zcGl0YWwsIEFhcmh1cywgRGVubWFy
ay48L2F1dGgtYWRkcmVzcz48dGl0bGVzPjx0aXRsZT5PY2N1cGF0aW9uYWwgbGlmdGluZywgZmV0
YWwgZGVhdGggYW5kIHByZXRlcm0gYmlydGg6IGZpbmRpbmdzIGZyb20gdGhlIERhbmlzaCBOYXRp
b25hbCBCaXJ0aCBDb2hvcnQgdXNpbmcgYSBqb2IgZXhwb3N1cmUgbWF0cml4PC90aXRsZT48c2Vj
b25kYXJ5LXRpdGxlPlBMb1MgT25lPC9zZWNvbmRhcnktdGl0bGU+PC90aXRsZXM+PHBlcmlvZGlj
YWw+PGZ1bGwtdGl0bGU+UExvUyBPbmU8L2Z1bGwtdGl0bGU+PC9wZXJpb2RpY2FsPjxwYWdlcz5l
OTA1NTA8L3BhZ2VzPjx2b2x1bWU+OTwvdm9sdW1lPjxudW1iZXI+MzwvbnVtYmVyPjxlZGl0aW9u
PjIwMTQvMDMvMTM8L2VkaXRpb24+PGtleXdvcmRzPjxrZXl3b3JkPkFkb2xlc2NlbnQ8L2tleXdv
cmQ+PGtleXdvcmQ+QWR1bHQ8L2tleXdvcmQ+PGtleXdvcmQ+Q29ob3J0IFN0dWRpZXM8L2tleXdv
cmQ+PGtleXdvcmQ+RGVubWFyay9lcGlkZW1pb2xvZ3k8L2tleXdvcmQ+PGtleXdvcmQ+RmVtYWxl
PC9rZXl3b3JkPjxrZXl3b3JkPipGZXRhbCBEZWF0aDwva2V5d29yZD48a2V5d29yZD5HZXN0YXRp
b25hbCBBZ2U8L2tleXdvcmQ+PGtleXdvcmQ+SHVtYW5zPC9rZXl3b3JkPjxrZXl3b3JkPipMaWZ0
aW5nPC9rZXl3b3JkPjxrZXl3b3JkPk1pZGRsZSBBZ2VkPC9rZXl3b3JkPjxrZXl3b3JkPk9jY3Vw
YXRpb25hbCBFeHBvc3VyZS8qYWR2ZXJzZSBlZmZlY3RzPC9rZXl3b3JkPjxrZXl3b3JkPlByZWdu
YW5jeTwva2V5d29yZD48a2V5d29yZD5QcmVnbmFuY3kgT3V0Y29tZTwva2V5d29yZD48a2V5d29y
ZD5QcmVtYXR1cmUgQmlydGgvKmVwaWRlbWlvbG9neTwva2V5d29yZD48a2V5d29yZD5Qcm9wb3J0
aW9uYWwgSGF6YXJkcyBNb2RlbHM8L2tleXdvcmQ+PGtleXdvcmQ+WW91bmcgQWR1bHQ8L2tleXdv
cmQ+PC9rZXl3b3Jkcz48ZGF0ZXM+PHllYXI+MjAxNDwveWVhcj48L2RhdGVzPjxpc2JuPjE5MzIt
NjIwMyAoRWxlY3Ryb25pYykmI3hEOzE5MzItNjIwMyAoTGlua2luZyk8L2lzYm4+PGFjY2Vzc2lv
bi1udW0+MjQ2MTQxMjk8L2FjY2Vzc2lvbi1udW0+PHVybHM+PHJlbGF0ZWQtdXJscz48dXJsPmh0
dHBzOi8vd3d3Lm5jYmkubmxtLm5paC5nb3YvcHVibWVkLzI0NjE0MTI5PC91cmw+PC9yZWxhdGVk
LXVybHM+PC91cmxzPjxjdXN0b20yPlBNQzM5NDg2NzY8L2N1c3RvbTI+PGVsZWN0cm9uaWMtcmVz
b3VyY2UtbnVtPjEwLjEzNzEvam91cm5hbC5wb25lLjAwOTA1NTA8L2VsZWN0cm9uaWMtcmVzb3Vy
Y2UtbnVtPjwvcmVjb3JkPjwvQ2l0ZT48L0VuZE5vdGU+
</w:fldData>
        </w:fldChar>
      </w:r>
      <w:r w:rsidR="002747EA">
        <w:instrText xml:space="preserve"> ADDIN EN.CITE </w:instrText>
      </w:r>
      <w:r w:rsidR="002747EA">
        <w:fldChar w:fldCharType="begin">
          <w:fldData xml:space="preserve">PEVuZE5vdGU+PENpdGU+PEF1dGhvcj5Nb2NldmljPC9BdXRob3I+PFllYXI+MjAxNDwvWWVhcj48
UmVjTnVtPjEyMjk8L1JlY051bT48RGlzcGxheVRleHQ+PHN0eWxlIGZhY2U9InN1cGVyc2NyaXB0
IiBmb250PSJUcmVidWNoZXQgTVMiIHNpemU9IjkiPjMyODwvc3R5bGU+PC9EaXNwbGF5VGV4dD48
cmVjb3JkPjxyZWMtbnVtYmVyPjEyMjk8L3JlYy1udW1iZXI+PGZvcmVpZ24ta2V5cz48a2V5IGFw
cD0iRU4iIGRiLWlkPSJleHZhc3JmeDJkdHJhb2VzYXN4cDJzenN4YTJkZjUwMjU5MngiIHRpbWVz
dGFtcD0iMTU2MjQ3MjIxNSI+MTIyOTwva2V5PjxrZXkgYXBwPSJFTldlYiIgZGItaWQ9IiI+MDwv
a2V5PjwvZm9yZWlnbi1rZXlzPjxyZWYtdHlwZSBuYW1lPSJKb3VybmFsIEFydGljbGUiPjE3PC9y
ZWYtdHlwZT48Y29udHJpYnV0b3JzPjxhdXRob3JzPjxhdXRob3I+TW9jZXZpYywgRS48L2F1dGhv
cj48YXV0aG9yPlN2ZW5kc2VuLCBTLiBXLjwvYXV0aG9yPjxhdXRob3I+Sm9yZ2Vuc2VuLCBLLiBU
LjwvYXV0aG9yPjxhdXRob3I+RnJvc3QsIFAuPC9hdXRob3I+PGF1dGhvcj5Cb25kZSwgSi4gUC48
L2F1dGhvcj48L2F1dGhvcnM+PC9jb250cmlidXRvcnM+PGF1dGgtYWRkcmVzcz5EZXBhcnRtZW50
IG9mIE9jY3VwYXRpb25hbCBhbmQgRW52aXJvbm1lbnRhbCBNZWRpY2luZSwgQmlzcGViamVyZyBI
b3NwaXRhbCwgVW5pdmVyc2l0eSBvZiBDb3BlbmhhZ2VuLCBDb3BlaGFnZW4sIERlbm1hcmsuJiN4
RDtEYW5pc2ggUmFtYXp6aW5pIENlbnRyZSwgVW5pdmVyc2l0eSBEZXBhcnRtZW50IG9mIE9jY3Vw
YXRpb25hbCBNZWRpY2luZSwgSGVybmluZyBSZWdpb25hbCBIb3NwaXRhbCwgSGVybmluZywgRGVu
bWFyay4mI3hEO0RhbmlzaCBSYW1henppbmkgQ2VudHJlLCBEZXBhcnRtZW50IG9mIE9jY3VwYXRp
b25hbCBNZWRpY2luZSwgQWFyaHVzIFVuaXZlcnNpdHkgSG9zcGl0YWwsIEFhcmh1cywgRGVubWFy
ay48L2F1dGgtYWRkcmVzcz48dGl0bGVzPjx0aXRsZT5PY2N1cGF0aW9uYWwgbGlmdGluZywgZmV0
YWwgZGVhdGggYW5kIHByZXRlcm0gYmlydGg6IGZpbmRpbmdzIGZyb20gdGhlIERhbmlzaCBOYXRp
b25hbCBCaXJ0aCBDb2hvcnQgdXNpbmcgYSBqb2IgZXhwb3N1cmUgbWF0cml4PC90aXRsZT48c2Vj
b25kYXJ5LXRpdGxlPlBMb1MgT25lPC9zZWNvbmRhcnktdGl0bGU+PC90aXRsZXM+PHBlcmlvZGlj
YWw+PGZ1bGwtdGl0bGU+UExvUyBPbmU8L2Z1bGwtdGl0bGU+PC9wZXJpb2RpY2FsPjxwYWdlcz5l
OTA1NTA8L3BhZ2VzPjx2b2x1bWU+OTwvdm9sdW1lPjxudW1iZXI+MzwvbnVtYmVyPjxlZGl0aW9u
PjIwMTQvMDMvMTM8L2VkaXRpb24+PGtleXdvcmRzPjxrZXl3b3JkPkFkb2xlc2NlbnQ8L2tleXdv
cmQ+PGtleXdvcmQ+QWR1bHQ8L2tleXdvcmQ+PGtleXdvcmQ+Q29ob3J0IFN0dWRpZXM8L2tleXdv
cmQ+PGtleXdvcmQ+RGVubWFyay9lcGlkZW1pb2xvZ3k8L2tleXdvcmQ+PGtleXdvcmQ+RmVtYWxl
PC9rZXl3b3JkPjxrZXl3b3JkPipGZXRhbCBEZWF0aDwva2V5d29yZD48a2V5d29yZD5HZXN0YXRp
b25hbCBBZ2U8L2tleXdvcmQ+PGtleXdvcmQ+SHVtYW5zPC9rZXl3b3JkPjxrZXl3b3JkPipMaWZ0
aW5nPC9rZXl3b3JkPjxrZXl3b3JkPk1pZGRsZSBBZ2VkPC9rZXl3b3JkPjxrZXl3b3JkPk9jY3Vw
YXRpb25hbCBFeHBvc3VyZS8qYWR2ZXJzZSBlZmZlY3RzPC9rZXl3b3JkPjxrZXl3b3JkPlByZWdu
YW5jeTwva2V5d29yZD48a2V5d29yZD5QcmVnbmFuY3kgT3V0Y29tZTwva2V5d29yZD48a2V5d29y
ZD5QcmVtYXR1cmUgQmlydGgvKmVwaWRlbWlvbG9neTwva2V5d29yZD48a2V5d29yZD5Qcm9wb3J0
aW9uYWwgSGF6YXJkcyBNb2RlbHM8L2tleXdvcmQ+PGtleXdvcmQ+WW91bmcgQWR1bHQ8L2tleXdv
cmQ+PC9rZXl3b3Jkcz48ZGF0ZXM+PHllYXI+MjAxNDwveWVhcj48L2RhdGVzPjxpc2JuPjE5MzIt
NjIwMyAoRWxlY3Ryb25pYykmI3hEOzE5MzItNjIwMyAoTGlua2luZyk8L2lzYm4+PGFjY2Vzc2lv
bi1udW0+MjQ2MTQxMjk8L2FjY2Vzc2lvbi1udW0+PHVybHM+PHJlbGF0ZWQtdXJscz48dXJsPmh0
dHBzOi8vd3d3Lm5jYmkubmxtLm5paC5nb3YvcHVibWVkLzI0NjE0MTI5PC91cmw+PC9yZWxhdGVk
LXVybHM+PC91cmxzPjxjdXN0b20yPlBNQzM5NDg2NzY8L2N1c3RvbTI+PGVsZWN0cm9uaWMtcmVz
b3VyY2UtbnVtPjEwLjEzNzEvam91cm5hbC5wb25lLjAwOTA1NTA8L2VsZWN0cm9uaWMtcmVzb3Vy
Y2UtbnVtPjwvcmVjb3JkPjwvQ2l0ZT48L0VuZE5vdGU+
</w:fldData>
        </w:fldChar>
      </w:r>
      <w:r w:rsidR="002747EA">
        <w:instrText xml:space="preserve"> ADDIN EN.CITE.DATA </w:instrText>
      </w:r>
      <w:r w:rsidR="002747EA">
        <w:fldChar w:fldCharType="end"/>
      </w:r>
      <w:r w:rsidR="00F82888">
        <w:fldChar w:fldCharType="separate"/>
      </w:r>
      <w:r w:rsidR="002747EA" w:rsidRPr="002747EA">
        <w:rPr>
          <w:noProof/>
          <w:vertAlign w:val="superscript"/>
        </w:rPr>
        <w:t>328</w:t>
      </w:r>
      <w:r w:rsidR="00F82888">
        <w:fldChar w:fldCharType="end"/>
      </w:r>
    </w:p>
    <w:p w14:paraId="1BEA49BA" w14:textId="0CF965C4" w:rsidR="00F5304B" w:rsidRDefault="008B223E" w:rsidP="00F82888">
      <w:pPr>
        <w:pStyle w:val="bullet"/>
      </w:pPr>
      <w:r>
        <w:t>women engaging in moderate</w:t>
      </w:r>
      <w:r w:rsidR="00F82888">
        <w:t xml:space="preserve"> or heavy occupational activity (</w:t>
      </w:r>
      <w:r w:rsidR="00F82888" w:rsidRPr="00DC03DC">
        <w:rPr>
          <w:sz w:val="16"/>
          <w:szCs w:val="16"/>
        </w:rPr>
        <w:t>n=380</w:t>
      </w:r>
      <w:r w:rsidR="00F82888">
        <w:t>)</w:t>
      </w:r>
      <w:r w:rsidR="00F82888">
        <w:fldChar w:fldCharType="begin"/>
      </w:r>
      <w:r w:rsidR="002747EA">
        <w:instrText xml:space="preserve"> ADDIN EN.CITE &lt;EndNote&gt;&lt;Cite&gt;&lt;Author&gt;Salunkhe&lt;/Author&gt;&lt;Year&gt;2018&lt;/Year&gt;&lt;RecNum&gt;1497&lt;/RecNum&gt;&lt;DisplayText&gt;&lt;style face="superscript" font="Trebuchet MS" size="9"&gt;332&lt;/style&gt;&lt;/DisplayText&gt;&lt;record&gt;&lt;rec-number&gt;1497&lt;/rec-number&gt;&lt;foreign-keys&gt;&lt;key app="EN" db-id="exvasrfx2dtraoesasxp2szsxa2df502592x" timestamp="1574314791"&gt;1497&lt;/key&gt;&lt;/foreign-keys&gt;&lt;ref-type name="Journal Article"&gt;17&lt;/ref-type&gt;&lt;contributors&gt;&lt;authors&gt;&lt;author&gt;Salunkhe, A.H.,&lt;/author&gt;&lt;author&gt;Pratinidhi, A.,&lt;/author&gt;&lt;author&gt;Kakade, S.V.,&lt;/author&gt;&lt;author&gt;Salunkhe, J.A.,&lt;/author&gt;&lt;author&gt;Mohite, V.R.,&lt;/author&gt;&lt;author&gt;Bhosale, T.,&lt;/author&gt;&lt;/authors&gt;&lt;/contributors&gt;&lt;titles&gt;&lt;title&gt;Occupation, caloric intake and rest during day time of pregnant women and birth weight and gestational age of the baby&lt;/title&gt;&lt;secondary-title&gt;Asian J Pharm Res Health care&lt;/secondary-title&gt;&lt;/titles&gt;&lt;periodical&gt;&lt;full-title&gt;Asian J Pharm Res Health care&lt;/full-title&gt;&lt;/periodical&gt;&lt;pages&gt;36-41&lt;/pages&gt;&lt;volume&gt;10&lt;/volume&gt;&lt;number&gt;1&lt;/number&gt;&lt;dates&gt;&lt;year&gt;2018&lt;/year&gt;&lt;/dates&gt;&lt;urls&gt;&lt;/urls&gt;&lt;/record&gt;&lt;/Cite&gt;&lt;/EndNote&gt;</w:instrText>
      </w:r>
      <w:r w:rsidR="00F82888">
        <w:fldChar w:fldCharType="separate"/>
      </w:r>
      <w:r w:rsidR="002747EA" w:rsidRPr="002747EA">
        <w:rPr>
          <w:noProof/>
          <w:vertAlign w:val="superscript"/>
        </w:rPr>
        <w:t>332</w:t>
      </w:r>
      <w:r w:rsidR="00F82888">
        <w:fldChar w:fldCharType="end"/>
      </w:r>
    </w:p>
    <w:p w14:paraId="69EEF9B4" w14:textId="259E0DC9" w:rsidR="00F82888" w:rsidRDefault="00F82888" w:rsidP="00F82888">
      <w:pPr>
        <w:pStyle w:val="bullet"/>
      </w:pPr>
      <w:r w:rsidRPr="00D857B7">
        <w:t>women whose work at 34 weeks entailed trunk bending for &gt;1 h/day</w:t>
      </w:r>
      <w:r>
        <w:t xml:space="preserve"> (</w:t>
      </w:r>
      <w:r w:rsidRPr="00F82888">
        <w:rPr>
          <w:sz w:val="16"/>
          <w:szCs w:val="16"/>
        </w:rPr>
        <w:t>OR 2.92; 95%CI 1.27 to 6.70</w:t>
      </w:r>
      <w:r>
        <w:t>) (</w:t>
      </w:r>
      <w:r w:rsidRPr="00F82888">
        <w:rPr>
          <w:sz w:val="16"/>
          <w:szCs w:val="16"/>
        </w:rPr>
        <w:t>n=1,327</w:t>
      </w:r>
      <w:r>
        <w:t>)</w:t>
      </w:r>
      <w:r w:rsidRPr="00D857B7">
        <w:t>.</w:t>
      </w:r>
      <w:r w:rsidR="00283324">
        <w:fldChar w:fldCharType="begin">
          <w:fldData xml:space="preserve">PEVuZE5vdGU+PENpdGU+PEF1dGhvcj5Cb256aW5pPC9BdXRob3I+PFllYXI+MjAwOTwvWWVhcj48
UmVjTnVtPjc4OTwvUmVjTnVtPjxEaXNwbGF5VGV4dD48c3R5bGUgZmFjZT0ic3VwZXJzY3JpcHQi
IGZvbnQ9IlRyZWJ1Y2hldCBNUyIgc2l6ZT0iOSI+MzMzPC9zdHlsZT48L0Rpc3BsYXlUZXh0Pjxy
ZWNvcmQ+PHJlYy1udW1iZXI+Nzg5PC9yZWMtbnVtYmVyPjxmb3JlaWduLWtleXM+PGtleSBhcHA9
IkVOIiBkYi1pZD0iZXh2YXNyZngyZHRyYW9lc2FzeHAyc3pzeGEyZGY1MDI1OTJ4IiB0aW1lc3Rh
bXA9IjE1NDE1NDA0MDciPjc4OTwva2V5PjxrZXkgYXBwPSJFTldlYiIgZGItaWQ9IiI+MDwva2V5
PjwvZm9yZWlnbi1rZXlzPjxyZWYtdHlwZSBuYW1lPSJKb3VybmFsIEFydGljbGUiPjE3PC9yZWYt
dHlwZT48Y29udHJpYnV0b3JzPjxhdXRob3JzPjxhdXRob3I+Qm9uemluaSwgTS48L2F1dGhvcj48
YXV0aG9yPkNvZ2dvbiwgRC48L2F1dGhvcj48YXV0aG9yPkdvZGZyZXksIEsuPC9hdXRob3I+PGF1
dGhvcj5JbnNraXAsIEguPC9hdXRob3I+PGF1dGhvcj5Dcm96aWVyLCBTLjwvYXV0aG9yPjxhdXRo
b3I+UGFsbWVyLCBLLiBULjwvYXV0aG9yPjwvYXV0aG9ycz48L2NvbnRyaWJ1dG9ycz48YXV0aC1h
ZGRyZXNzPkRlcGFydG1lbnQgb2YgT2NjdXBhdGlvbmFsIEhlYWx0aCwgVW5pdmVyc2l0eSBvZiBN
aWxhbiwgRm91bmRhdGlvbiBJUkNDUyBPc3BlZGFsZSwgTWFnZ2lvcmUsIE1pbGFuLCBJdGFseS48
L2F1dGgtYWRkcmVzcz48dGl0bGVzPjx0aXRsZT5PY2N1cGF0aW9uYWwgcGh5c2ljYWwgYWN0aXZp
dGllcywgd29ya2luZyBob3VycyBhbmQgb3V0Y29tZSBvZiBwcmVnbmFuY3k6IGZpbmRpbmdzIGZy
b20gdGhlIFNvdXRoYW1wdG9uIFdvbWVuJmFwb3M7cyBTdXJ2ZXk8L3RpdGxlPjxzZWNvbmRhcnkt
dGl0bGU+T2NjdXAgRW52aXJvbiBNZWQ8L3NlY29uZGFyeS10aXRsZT48L3RpdGxlcz48cGVyaW9k
aWNhbD48ZnVsbC10aXRsZT5PY2N1cCBFbnZpcm9uIE1lZDwvZnVsbC10aXRsZT48L3BlcmlvZGlj
YWw+PHBhZ2VzPjY4NS05MDwvcGFnZXM+PHZvbHVtZT42Njwvdm9sdW1lPjxudW1iZXI+MTA8L251
bWJlcj48ZWRpdGlvbj4yMDA5LzA5LzIzPC9lZGl0aW9uPjxrZXl3b3Jkcz48a2V5d29yZD5BYmRv
bWVuL2FuYXRvbXkgJmFtcDsgaGlzdG9sb2d5PC9rZXl3b3JkPjxrZXl3b3JkPkFkdWx0PC9rZXl3
b3JkPjxrZXl3b3JkPkFudGhyb3BvbWV0cnkvbWV0aG9kczwva2V5d29yZD48a2V5d29yZD5DZXBo
YWxvbWV0cnkvbWV0aG9kczwva2V5d29yZD48a2V5d29yZD5FbmdsYW5kL2VwaWRlbWlvbG9neTwv
a2V5d29yZD48a2V5d29yZD5FcGlkZW1pb2xvZ2ljIE1ldGhvZHM8L2tleXdvcmQ+PGtleXdvcmQ+
RmVtYWxlPC9rZXl3b3JkPjxrZXl3b3JkPkh1bWFuczwva2V5d29yZD48a2V5d29yZD5JbmZhbnQs
IE5ld2Jvcm48L2tleXdvcmQ+PGtleXdvcmQ+SW5mYW50LCBQcmVtYXR1cmU8L2tleXdvcmQ+PGtl
eXdvcmQ+SW5mYW50LCBTbWFsbCBmb3IgR2VzdGF0aW9uYWwgQWdlPC9rZXl3b3JkPjxrZXl3b3Jk
Pk1vdG9yIEFjdGl2aXR5LypwaHlzaW9sb2d5PC9rZXl3b3JkPjxrZXl3b3JkPk9ic3RldHJpYyBM
YWJvciwgUHJlbWF0dXJlL2VwaWRlbWlvbG9neS9ldGlvbG9neTwva2V5d29yZD48a2V5d29yZD5P
Y2N1cGF0aW9uYWwgRXhwb3N1cmUvYWR2ZXJzZSBlZmZlY3RzPC9rZXl3b3JkPjxrZXl3b3JkPipP
Y2N1cGF0aW9uYWwgSGVhbHRoPC9rZXl3b3JkPjxrZXl3b3JkPlBvc3R1cmU8L2tleXdvcmQ+PGtl
eXdvcmQ+UHJlZ25hbmN5PC9rZXl3b3JkPjxrZXl3b3JkPipQcmVnbmFuY3kgT3V0Y29tZTwva2V5
d29yZD48a2V5d29yZD5Xb3JrbG9hZC8qc3RhdGlzdGljcyAmYW1wOyBudW1lcmljYWwgZGF0YTwv
a2V5d29yZD48a2V5d29yZD5Zb3VuZyBBZHVsdDwva2V5d29yZD48L2tleXdvcmRzPjxkYXRlcz48
eWVhcj4yMDA5PC95ZWFyPjxwdWItZGF0ZXM+PGRhdGU+T2N0PC9kYXRlPjwvcHViLWRhdGVzPjwv
ZGF0ZXM+PGlzYm4+MTQ3MC03OTI2IChFbGVjdHJvbmljKSYjeEQ7MTM1MS0wNzExIChMaW5raW5n
KTwvaXNibj48YWNjZXNzaW9uLW51bT4xOTc3MDM1NTwvYWNjZXNzaW9uLW51bT48dXJscz48cmVs
YXRlZC11cmxzPjx1cmw+aHR0cHM6Ly93d3cubmNiaS5ubG0ubmloLmdvdi9wdWJtZWQvMTk3NzAz
NTU8L3VybD48L3JlbGF0ZWQtdXJscz48L3VybHM+PGN1c3RvbTI+UE1DMzA4ODg5OTwvY3VzdG9t
Mj48ZWxlY3Ryb25pYy1yZXNvdXJjZS1udW0+MTAuMTEzNi9vZW0uMjAwOC4wNDM5MzU8L2VsZWN0
cm9uaWMtcmVzb3VyY2UtbnVtPjwvcmVjb3JkPjwvQ2l0ZT48L0VuZE5vdGU+AG==
</w:fldData>
        </w:fldChar>
      </w:r>
      <w:r w:rsidR="002747EA">
        <w:instrText xml:space="preserve"> ADDIN EN.CITE </w:instrText>
      </w:r>
      <w:r w:rsidR="002747EA">
        <w:fldChar w:fldCharType="begin">
          <w:fldData xml:space="preserve">PEVuZE5vdGU+PENpdGU+PEF1dGhvcj5Cb256aW5pPC9BdXRob3I+PFllYXI+MjAwOTwvWWVhcj48
UmVjTnVtPjc4OTwvUmVjTnVtPjxEaXNwbGF5VGV4dD48c3R5bGUgZmFjZT0ic3VwZXJzY3JpcHQi
IGZvbnQ9IlRyZWJ1Y2hldCBNUyIgc2l6ZT0iOSI+MzMzPC9zdHlsZT48L0Rpc3BsYXlUZXh0Pjxy
ZWNvcmQ+PHJlYy1udW1iZXI+Nzg5PC9yZWMtbnVtYmVyPjxmb3JlaWduLWtleXM+PGtleSBhcHA9
IkVOIiBkYi1pZD0iZXh2YXNyZngyZHRyYW9lc2FzeHAyc3pzeGEyZGY1MDI1OTJ4IiB0aW1lc3Rh
bXA9IjE1NDE1NDA0MDciPjc4OTwva2V5PjxrZXkgYXBwPSJFTldlYiIgZGItaWQ9IiI+MDwva2V5
PjwvZm9yZWlnbi1rZXlzPjxyZWYtdHlwZSBuYW1lPSJKb3VybmFsIEFydGljbGUiPjE3PC9yZWYt
dHlwZT48Y29udHJpYnV0b3JzPjxhdXRob3JzPjxhdXRob3I+Qm9uemluaSwgTS48L2F1dGhvcj48
YXV0aG9yPkNvZ2dvbiwgRC48L2F1dGhvcj48YXV0aG9yPkdvZGZyZXksIEsuPC9hdXRob3I+PGF1
dGhvcj5JbnNraXAsIEguPC9hdXRob3I+PGF1dGhvcj5Dcm96aWVyLCBTLjwvYXV0aG9yPjxhdXRo
b3I+UGFsbWVyLCBLLiBULjwvYXV0aG9yPjwvYXV0aG9ycz48L2NvbnRyaWJ1dG9ycz48YXV0aC1h
ZGRyZXNzPkRlcGFydG1lbnQgb2YgT2NjdXBhdGlvbmFsIEhlYWx0aCwgVW5pdmVyc2l0eSBvZiBN
aWxhbiwgRm91bmRhdGlvbiBJUkNDUyBPc3BlZGFsZSwgTWFnZ2lvcmUsIE1pbGFuLCBJdGFseS48
L2F1dGgtYWRkcmVzcz48dGl0bGVzPjx0aXRsZT5PY2N1cGF0aW9uYWwgcGh5c2ljYWwgYWN0aXZp
dGllcywgd29ya2luZyBob3VycyBhbmQgb3V0Y29tZSBvZiBwcmVnbmFuY3k6IGZpbmRpbmdzIGZy
b20gdGhlIFNvdXRoYW1wdG9uIFdvbWVuJmFwb3M7cyBTdXJ2ZXk8L3RpdGxlPjxzZWNvbmRhcnkt
dGl0bGU+T2NjdXAgRW52aXJvbiBNZWQ8L3NlY29uZGFyeS10aXRsZT48L3RpdGxlcz48cGVyaW9k
aWNhbD48ZnVsbC10aXRsZT5PY2N1cCBFbnZpcm9uIE1lZDwvZnVsbC10aXRsZT48L3BlcmlvZGlj
YWw+PHBhZ2VzPjY4NS05MDwvcGFnZXM+PHZvbHVtZT42Njwvdm9sdW1lPjxudW1iZXI+MTA8L251
bWJlcj48ZWRpdGlvbj4yMDA5LzA5LzIzPC9lZGl0aW9uPjxrZXl3b3Jkcz48a2V5d29yZD5BYmRv
bWVuL2FuYXRvbXkgJmFtcDsgaGlzdG9sb2d5PC9rZXl3b3JkPjxrZXl3b3JkPkFkdWx0PC9rZXl3
b3JkPjxrZXl3b3JkPkFudGhyb3BvbWV0cnkvbWV0aG9kczwva2V5d29yZD48a2V5d29yZD5DZXBo
YWxvbWV0cnkvbWV0aG9kczwva2V5d29yZD48a2V5d29yZD5FbmdsYW5kL2VwaWRlbWlvbG9neTwv
a2V5d29yZD48a2V5d29yZD5FcGlkZW1pb2xvZ2ljIE1ldGhvZHM8L2tleXdvcmQ+PGtleXdvcmQ+
RmVtYWxlPC9rZXl3b3JkPjxrZXl3b3JkPkh1bWFuczwva2V5d29yZD48a2V5d29yZD5JbmZhbnQs
IE5ld2Jvcm48L2tleXdvcmQ+PGtleXdvcmQ+SW5mYW50LCBQcmVtYXR1cmU8L2tleXdvcmQ+PGtl
eXdvcmQ+SW5mYW50LCBTbWFsbCBmb3IgR2VzdGF0aW9uYWwgQWdlPC9rZXl3b3JkPjxrZXl3b3Jk
Pk1vdG9yIEFjdGl2aXR5LypwaHlzaW9sb2d5PC9rZXl3b3JkPjxrZXl3b3JkPk9ic3RldHJpYyBM
YWJvciwgUHJlbWF0dXJlL2VwaWRlbWlvbG9neS9ldGlvbG9neTwva2V5d29yZD48a2V5d29yZD5P
Y2N1cGF0aW9uYWwgRXhwb3N1cmUvYWR2ZXJzZSBlZmZlY3RzPC9rZXl3b3JkPjxrZXl3b3JkPipP
Y2N1cGF0aW9uYWwgSGVhbHRoPC9rZXl3b3JkPjxrZXl3b3JkPlBvc3R1cmU8L2tleXdvcmQ+PGtl
eXdvcmQ+UHJlZ25hbmN5PC9rZXl3b3JkPjxrZXl3b3JkPipQcmVnbmFuY3kgT3V0Y29tZTwva2V5
d29yZD48a2V5d29yZD5Xb3JrbG9hZC8qc3RhdGlzdGljcyAmYW1wOyBudW1lcmljYWwgZGF0YTwv
a2V5d29yZD48a2V5d29yZD5Zb3VuZyBBZHVsdDwva2V5d29yZD48L2tleXdvcmRzPjxkYXRlcz48
eWVhcj4yMDA5PC95ZWFyPjxwdWItZGF0ZXM+PGRhdGU+T2N0PC9kYXRlPjwvcHViLWRhdGVzPjwv
ZGF0ZXM+PGlzYm4+MTQ3MC03OTI2IChFbGVjdHJvbmljKSYjeEQ7MTM1MS0wNzExIChMaW5raW5n
KTwvaXNibj48YWNjZXNzaW9uLW51bT4xOTc3MDM1NTwvYWNjZXNzaW9uLW51bT48dXJscz48cmVs
YXRlZC11cmxzPjx1cmw+aHR0cHM6Ly93d3cubmNiaS5ubG0ubmloLmdvdi9wdWJtZWQvMTk3NzAz
NTU8L3VybD48L3JlbGF0ZWQtdXJscz48L3VybHM+PGN1c3RvbTI+UE1DMzA4ODg5OTwvY3VzdG9t
Mj48ZWxlY3Ryb25pYy1yZXNvdXJjZS1udW0+MTAuMTEzNi9vZW0uMjAwOC4wNDM5MzU8L2VsZWN0
cm9uaWMtcmVzb3VyY2UtbnVtPjwvcmVjb3JkPjwvQ2l0ZT48L0VuZE5vdGU+AG==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333</w:t>
      </w:r>
      <w:r w:rsidR="00283324">
        <w:fldChar w:fldCharType="end"/>
      </w:r>
    </w:p>
    <w:p w14:paraId="6EF41BA7" w14:textId="5A7BD02F" w:rsidR="00C223D8" w:rsidRDefault="00C223D8" w:rsidP="00F5304B">
      <w:r>
        <w:t>However, other cohort studies have found no clear association between preterm birth among women:</w:t>
      </w:r>
    </w:p>
    <w:p w14:paraId="1392ED53" w14:textId="5AB391BA" w:rsidR="0045363F" w:rsidRDefault="0045363F" w:rsidP="00C223D8">
      <w:pPr>
        <w:pStyle w:val="bullet"/>
      </w:pPr>
      <w:r w:rsidRPr="005005AE">
        <w:t>who lifted repeate</w:t>
      </w:r>
      <w:r w:rsidRPr="00A36FEE">
        <w:t xml:space="preserve">dly </w:t>
      </w:r>
      <w:r w:rsidR="00A36FEE" w:rsidRPr="00A36FEE">
        <w:t>(</w:t>
      </w:r>
      <w:r w:rsidR="00A36FEE" w:rsidRPr="00A36FEE">
        <w:rPr>
          <w:sz w:val="16"/>
          <w:szCs w:val="16"/>
        </w:rPr>
        <w:t>RR 1.3; 95%CI 0.6 to 2.9</w:t>
      </w:r>
      <w:r w:rsidR="00A36FEE" w:rsidRPr="00A36FEE">
        <w:t xml:space="preserve">) </w:t>
      </w:r>
      <w:r w:rsidRPr="00A36FEE">
        <w:t>or stood at least 30 hours per week</w:t>
      </w:r>
      <w:r w:rsidR="00A36FEE" w:rsidRPr="00A36FEE">
        <w:t xml:space="preserve"> (</w:t>
      </w:r>
      <w:r w:rsidR="00A36FEE" w:rsidRPr="00A36FEE">
        <w:rPr>
          <w:sz w:val="16"/>
          <w:szCs w:val="16"/>
        </w:rPr>
        <w:t>RR 1.3; 95%CI 0.8 to 2.3</w:t>
      </w:r>
      <w:r w:rsidR="00A36FEE" w:rsidRPr="00A36FEE">
        <w:t>)</w:t>
      </w:r>
      <w:r w:rsidR="00C223D8" w:rsidRPr="00C223D8">
        <w:t xml:space="preserve"> </w:t>
      </w:r>
      <w:r w:rsidR="00C223D8">
        <w:t>(</w:t>
      </w:r>
      <w:r w:rsidR="00C223D8" w:rsidRPr="0045363F">
        <w:rPr>
          <w:sz w:val="16"/>
          <w:szCs w:val="16"/>
        </w:rPr>
        <w:t>n=1,908</w:t>
      </w:r>
      <w:r w:rsidR="00C223D8">
        <w:t>)</w:t>
      </w:r>
      <w:r w:rsidR="00283324">
        <w:fldChar w:fldCharType="begin">
          <w:fldData xml:space="preserve">PEVuZE5vdGU+PENpdGU+PEF1dGhvcj5Qb21wZWlpPC9BdXRob3I+PFllYXI+MjAwNTwvWWVhcj48
UmVjTnVtPjE3OTM8L1JlY051bT48RGlzcGxheVRleHQ+PHN0eWxlIGZhY2U9InN1cGVyc2NyaXB0
IiBmb250PSJUcmVidWNoZXQgTVMiIHNpemU9IjkiPjMzNDwvc3R5bGU+PC9EaXNwbGF5VGV4dD48
cmVjb3JkPjxyZWMtbnVtYmVyPjE3OTM8L3JlYy1udW1iZXI+PGZvcmVpZ24ta2V5cz48a2V5IGFw
cD0iRU4iIGRiLWlkPSJleHZhc3JmeDJkdHJhb2VzYXN4cDJzenN4YTJkZjUwMjU5MngiIHRpbWVz
dGFtcD0iMTU4MzMwMDI3NiI+MTc5Mzwva2V5PjwvZm9yZWlnbi1rZXlzPjxyZWYtdHlwZSBuYW1l
PSJKb3VybmFsIEFydGljbGUiPjE3PC9yZWYtdHlwZT48Y29udHJpYnV0b3JzPjxhdXRob3JzPjxh
dXRob3I+UG9tcGVpaSwgTC4gQS48L2F1dGhvcj48YXV0aG9yPlNhdml0eiwgRC4gQS48L2F1dGhv
cj48YXV0aG9yPkV2ZW5zb24sIEsuIFIuPC9hdXRob3I+PGF1dGhvcj5Sb2dlcnMsIEIuPC9hdXRo
b3I+PGF1dGhvcj5NY01haG9uLCBNLjwvYXV0aG9yPjwvYXV0aG9ycz48L2NvbnRyaWJ1dG9ycz48
YXV0aC1hZGRyZXNzPkRlcGFydG1lbnQgb2YgRXBpZGVtaW9sb2d5LCBTY2hvb2wgb2YgUHVibGlj
IEhlYWx0aCwgVW5pdmVyc2l0eSBvZiBOb3J0aCBDYXJvbGluYSwgQ2hhcGVsIEhpbGwsIFVTQS4g
bGlzYS5wb21wZWlpQHV0aC50bWMuZWR1PC9hdXRoLWFkZHJlc3M+PHRpdGxlcz48dGl0bGU+UGh5
c2ljYWwgZXhlcnRpb24gYXQgd29yayBhbmQgdGhlIHJpc2sgb2YgcHJldGVybSBkZWxpdmVyeSBh
bmQgc21hbGwtZm9yLWdlc3RhdGlvbmFsLWFnZSBiaXJ0aDwvdGl0bGU+PHNlY29uZGFyeS10aXRs
ZT5PYnN0ZXQgR3luZWNvbDwvc2Vjb25kYXJ5LXRpdGxlPjwvdGl0bGVzPjxwZXJpb2RpY2FsPjxm
dWxsLXRpdGxlPk9ic3RldCBHeW5lY29sPC9mdWxsLXRpdGxlPjwvcGVyaW9kaWNhbD48cGFnZXM+
MTI3OS04ODwvcGFnZXM+PHZvbHVtZT4xMDY8L3ZvbHVtZT48bnVtYmVyPjY8L251bWJlcj48ZWRp
dGlvbj4yMDA1LzEyLzAyPC9lZGl0aW9uPjxrZXl3b3Jkcz48a2V5d29yZD5BZHVsdDwva2V5d29y
ZD48a2V5d29yZD5BZ2UgRGlzdHJpYnV0aW9uPC9rZXl3b3JkPjxrZXl3b3JkPkNhc2UtQ29udHJv
bCBTdHVkaWVzPC9rZXl3b3JkPjxrZXl3b3JkPkNvaG9ydCBTdHVkaWVzPC9rZXl3b3JkPjxrZXl3
b3JkPkNvbmZpZGVuY2UgSW50ZXJ2YWxzPC9rZXl3b3JkPjxrZXl3b3JkPkZlbWFsZTwva2V5d29y
ZD48a2V5d29yZD5Gb2xsb3ctVXAgU3R1ZGllczwva2V5d29yZD48a2V5d29yZD5HZXN0YXRpb25h
bCBBZ2U8L2tleXdvcmQ+PGtleXdvcmQ+SHVtYW5zPC9rZXl3b3JkPjxrZXl3b3JkPkluY2lkZW5j
ZTwva2V5d29yZD48a2V5d29yZD5JbmZhbnQsIE5ld2Jvcm48L2tleXdvcmQ+PGtleXdvcmQ+SW5m
YW50LCBQcmVtYXR1cmU8L2tleXdvcmQ+PGtleXdvcmQ+KkluZmFudCwgU21hbGwgZm9yIEdlc3Rh
dGlvbmFsIEFnZTwva2V5d29yZD48a2V5d29yZD5NYXRlcm5hbCBBZ2U8L2tleXdvcmQ+PGtleXdv
cmQ+T2JzdGV0cmljIExhYm9yLCBQcmVtYXR1cmUvKmVwaWRlbWlvbG9neS8qZXRpb2xvZ3k8L2tl
eXdvcmQ+PGtleXdvcmQ+T2RkcyBSYXRpbzwva2V5d29yZD48a2V5d29yZD4qUGh5c2ljYWwgRXhl
cnRpb248L2tleXdvcmQ+PGtleXdvcmQ+UHJlZ25hbmN5PC9rZXl3b3JkPjxrZXl3b3JkPlByb2Jh
YmlsaXR5PC9rZXl3b3JkPjxrZXl3b3JkPlByb3NwZWN0aXZlIFN0dWRpZXM8L2tleXdvcmQ+PGtl
eXdvcmQ+UmlzayBBc3Nlc3NtZW50PC9rZXl3b3JkPjxrZXl3b3JkPipXb21lbiwgV29ya2luZzwv
a2V5d29yZD48a2V5d29yZD5Xb3JrIFNjaGVkdWxlIFRvbGVyYW5jZTwva2V5d29yZD48L2tleXdv
cmRzPjxkYXRlcz48eWVhcj4yMDA1PC95ZWFyPjxwdWItZGF0ZXM+PGRhdGU+RGVjPC9kYXRlPjwv
cHViLWRhdGVzPjwvZGF0ZXM+PGlzYm4+MDAyOS03ODQ0IChQcmludCkmI3hEOzAwMjktNzg0NCAo
TGlua2luZyk8L2lzYm4+PGFjY2Vzc2lvbi1udW0+MTYzMTkyNTM8L2FjY2Vzc2lvbi1udW0+PHVy
bHM+PHJlbGF0ZWQtdXJscz48dXJsPmh0dHBzOi8vd3d3Lm5jYmkubmxtLm5paC5nb3YvcHVibWVk
LzE2MzE5MjUzPC91cmw+PC9yZWxhdGVkLXVybHM+PC91cmxzPjxlbGVjdHJvbmljLXJlc291cmNl
LW51bT4xMC4xMDk3LzAxLkFPRy4wMDAwMTg5MDgwLjc2OTk4LmY4PC9lbGVjdHJvbmljLXJlc291
cmNlLW51bT48L3JlY29yZD48L0NpdGU+PC9FbmROb3RlPgB=
</w:fldData>
        </w:fldChar>
      </w:r>
      <w:r w:rsidR="002747EA">
        <w:instrText xml:space="preserve"> ADDIN EN.CITE </w:instrText>
      </w:r>
      <w:r w:rsidR="002747EA">
        <w:fldChar w:fldCharType="begin">
          <w:fldData xml:space="preserve">PEVuZE5vdGU+PENpdGU+PEF1dGhvcj5Qb21wZWlpPC9BdXRob3I+PFllYXI+MjAwNTwvWWVhcj48
UmVjTnVtPjE3OTM8L1JlY051bT48RGlzcGxheVRleHQ+PHN0eWxlIGZhY2U9InN1cGVyc2NyaXB0
IiBmb250PSJUcmVidWNoZXQgTVMiIHNpemU9IjkiPjMzNDwvc3R5bGU+PC9EaXNwbGF5VGV4dD48
cmVjb3JkPjxyZWMtbnVtYmVyPjE3OTM8L3JlYy1udW1iZXI+PGZvcmVpZ24ta2V5cz48a2V5IGFw
cD0iRU4iIGRiLWlkPSJleHZhc3JmeDJkdHJhb2VzYXN4cDJzenN4YTJkZjUwMjU5MngiIHRpbWVz
dGFtcD0iMTU4MzMwMDI3NiI+MTc5Mzwva2V5PjwvZm9yZWlnbi1rZXlzPjxyZWYtdHlwZSBuYW1l
PSJKb3VybmFsIEFydGljbGUiPjE3PC9yZWYtdHlwZT48Y29udHJpYnV0b3JzPjxhdXRob3JzPjxh
dXRob3I+UG9tcGVpaSwgTC4gQS48L2F1dGhvcj48YXV0aG9yPlNhdml0eiwgRC4gQS48L2F1dGhv
cj48YXV0aG9yPkV2ZW5zb24sIEsuIFIuPC9hdXRob3I+PGF1dGhvcj5Sb2dlcnMsIEIuPC9hdXRo
b3I+PGF1dGhvcj5NY01haG9uLCBNLjwvYXV0aG9yPjwvYXV0aG9ycz48L2NvbnRyaWJ1dG9ycz48
YXV0aC1hZGRyZXNzPkRlcGFydG1lbnQgb2YgRXBpZGVtaW9sb2d5LCBTY2hvb2wgb2YgUHVibGlj
IEhlYWx0aCwgVW5pdmVyc2l0eSBvZiBOb3J0aCBDYXJvbGluYSwgQ2hhcGVsIEhpbGwsIFVTQS4g
bGlzYS5wb21wZWlpQHV0aC50bWMuZWR1PC9hdXRoLWFkZHJlc3M+PHRpdGxlcz48dGl0bGU+UGh5
c2ljYWwgZXhlcnRpb24gYXQgd29yayBhbmQgdGhlIHJpc2sgb2YgcHJldGVybSBkZWxpdmVyeSBh
bmQgc21hbGwtZm9yLWdlc3RhdGlvbmFsLWFnZSBiaXJ0aDwvdGl0bGU+PHNlY29uZGFyeS10aXRs
ZT5PYnN0ZXQgR3luZWNvbDwvc2Vjb25kYXJ5LXRpdGxlPjwvdGl0bGVzPjxwZXJpb2RpY2FsPjxm
dWxsLXRpdGxlPk9ic3RldCBHeW5lY29sPC9mdWxsLXRpdGxlPjwvcGVyaW9kaWNhbD48cGFnZXM+
MTI3OS04ODwvcGFnZXM+PHZvbHVtZT4xMDY8L3ZvbHVtZT48bnVtYmVyPjY8L251bWJlcj48ZWRp
dGlvbj4yMDA1LzEyLzAyPC9lZGl0aW9uPjxrZXl3b3Jkcz48a2V5d29yZD5BZHVsdDwva2V5d29y
ZD48a2V5d29yZD5BZ2UgRGlzdHJpYnV0aW9uPC9rZXl3b3JkPjxrZXl3b3JkPkNhc2UtQ29udHJv
bCBTdHVkaWVzPC9rZXl3b3JkPjxrZXl3b3JkPkNvaG9ydCBTdHVkaWVzPC9rZXl3b3JkPjxrZXl3
b3JkPkNvbmZpZGVuY2UgSW50ZXJ2YWxzPC9rZXl3b3JkPjxrZXl3b3JkPkZlbWFsZTwva2V5d29y
ZD48a2V5d29yZD5Gb2xsb3ctVXAgU3R1ZGllczwva2V5d29yZD48a2V5d29yZD5HZXN0YXRpb25h
bCBBZ2U8L2tleXdvcmQ+PGtleXdvcmQ+SHVtYW5zPC9rZXl3b3JkPjxrZXl3b3JkPkluY2lkZW5j
ZTwva2V5d29yZD48a2V5d29yZD5JbmZhbnQsIE5ld2Jvcm48L2tleXdvcmQ+PGtleXdvcmQ+SW5m
YW50LCBQcmVtYXR1cmU8L2tleXdvcmQ+PGtleXdvcmQ+KkluZmFudCwgU21hbGwgZm9yIEdlc3Rh
dGlvbmFsIEFnZTwva2V5d29yZD48a2V5d29yZD5NYXRlcm5hbCBBZ2U8L2tleXdvcmQ+PGtleXdv
cmQ+T2JzdGV0cmljIExhYm9yLCBQcmVtYXR1cmUvKmVwaWRlbWlvbG9neS8qZXRpb2xvZ3k8L2tl
eXdvcmQ+PGtleXdvcmQ+T2RkcyBSYXRpbzwva2V5d29yZD48a2V5d29yZD4qUGh5c2ljYWwgRXhl
cnRpb248L2tleXdvcmQ+PGtleXdvcmQ+UHJlZ25hbmN5PC9rZXl3b3JkPjxrZXl3b3JkPlByb2Jh
YmlsaXR5PC9rZXl3b3JkPjxrZXl3b3JkPlByb3NwZWN0aXZlIFN0dWRpZXM8L2tleXdvcmQ+PGtl
eXdvcmQ+UmlzayBBc3Nlc3NtZW50PC9rZXl3b3JkPjxrZXl3b3JkPipXb21lbiwgV29ya2luZzwv
a2V5d29yZD48a2V5d29yZD5Xb3JrIFNjaGVkdWxlIFRvbGVyYW5jZTwva2V5d29yZD48L2tleXdv
cmRzPjxkYXRlcz48eWVhcj4yMDA1PC95ZWFyPjxwdWItZGF0ZXM+PGRhdGU+RGVjPC9kYXRlPjwv
cHViLWRhdGVzPjwvZGF0ZXM+PGlzYm4+MDAyOS03ODQ0IChQcmludCkmI3hEOzAwMjktNzg0NCAo
TGlua2luZyk8L2lzYm4+PGFjY2Vzc2lvbi1udW0+MTYzMTkyNTM8L2FjY2Vzc2lvbi1udW0+PHVy
bHM+PHJlbGF0ZWQtdXJscz48dXJsPmh0dHBzOi8vd3d3Lm5jYmkubmxtLm5paC5nb3YvcHVibWVk
LzE2MzE5MjUzPC91cmw+PC9yZWxhdGVkLXVybHM+PC91cmxzPjxlbGVjdHJvbmljLXJlc291cmNl
LW51bT4xMC4xMDk3LzAxLkFPRy4wMDAwMTg5MDgwLjc2OTk4LmY4PC9lbGVjdHJvbmljLXJlc291
cmNlLW51bT48L3JlY29yZD48L0NpdGU+PC9FbmROb3RlPgB=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334</w:t>
      </w:r>
      <w:r w:rsidR="00283324">
        <w:fldChar w:fldCharType="end"/>
      </w:r>
    </w:p>
    <w:p w14:paraId="684E75D2" w14:textId="6DD8C600" w:rsidR="00C223D8" w:rsidRDefault="00C223D8" w:rsidP="00C223D8">
      <w:pPr>
        <w:pStyle w:val="bullet"/>
      </w:pPr>
      <w:r>
        <w:t>frequently lifted &gt;25 kg (</w:t>
      </w:r>
      <w:r w:rsidRPr="003060CB">
        <w:rPr>
          <w:sz w:val="16"/>
          <w:szCs w:val="16"/>
        </w:rPr>
        <w:t>OR 0.55; 95%CI 0.13 to 2.28</w:t>
      </w:r>
      <w:r>
        <w:t>) or often had long periods of standing (</w:t>
      </w:r>
      <w:r w:rsidRPr="003060CB">
        <w:rPr>
          <w:sz w:val="16"/>
          <w:szCs w:val="16"/>
        </w:rPr>
        <w:t>OR 0.95; 95%CI 0.65 to 1.40</w:t>
      </w:r>
      <w:r>
        <w:t>) (</w:t>
      </w:r>
      <w:r w:rsidRPr="003060CB">
        <w:rPr>
          <w:sz w:val="16"/>
          <w:szCs w:val="16"/>
        </w:rPr>
        <w:t>n=4,680</w:t>
      </w:r>
      <w:r>
        <w:t>).</w:t>
      </w:r>
      <w:r w:rsidR="00283324">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 </w:instrText>
      </w:r>
      <w:r w:rsidR="002747EA">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335</w:t>
      </w:r>
      <w:r w:rsidR="00283324">
        <w:fldChar w:fldCharType="end"/>
      </w:r>
    </w:p>
    <w:p w14:paraId="59978167" w14:textId="10555B68" w:rsidR="00135198" w:rsidRDefault="00135198" w:rsidP="00F5304B">
      <w:r>
        <w:t>Case-control studies found an increased risk of preterm birth among women:</w:t>
      </w:r>
    </w:p>
    <w:p w14:paraId="3C6E3D45" w14:textId="1CCF0949" w:rsidR="00F5304B" w:rsidRDefault="00913A43" w:rsidP="00135198">
      <w:pPr>
        <w:pStyle w:val="bullet"/>
      </w:pPr>
      <w:r>
        <w:t>lifting and carrying loads of ≥25 kg (</w:t>
      </w:r>
      <w:r w:rsidRPr="00F545E0">
        <w:rPr>
          <w:sz w:val="16"/>
          <w:szCs w:val="16"/>
        </w:rPr>
        <w:t>aOR 2.42; 95%CI 1.15 to 5.09</w:t>
      </w:r>
      <w:r w:rsidR="00135198">
        <w:t>)</w:t>
      </w:r>
      <w:r w:rsidR="00135198" w:rsidRPr="00135198">
        <w:t xml:space="preserve"> </w:t>
      </w:r>
      <w:r w:rsidR="00135198">
        <w:t>(</w:t>
      </w:r>
      <w:r w:rsidR="00135198" w:rsidRPr="00F545E0">
        <w:rPr>
          <w:sz w:val="16"/>
          <w:szCs w:val="16"/>
        </w:rPr>
        <w:t>n=938</w:t>
      </w:r>
      <w:r w:rsidR="00135198">
        <w:t>)</w:t>
      </w:r>
      <w:r w:rsidR="00135198">
        <w:fldChar w:fldCharType="begin"/>
      </w:r>
      <w:r w:rsidR="002747EA">
        <w:instrText xml:space="preserve"> ADDIN EN.CITE &lt;EndNote&gt;&lt;Cite&gt;&lt;Author&gt;Nelson&lt;/Author&gt;&lt;Year&gt;2009&lt;/Year&gt;&lt;RecNum&gt;1496&lt;/RecNum&gt;&lt;DisplayText&gt;&lt;style face="superscript" font="Trebuchet MS" size="9"&gt;336&lt;/style&gt;&lt;/DisplayText&gt;&lt;record&gt;&lt;rec-number&gt;1496&lt;/rec-number&gt;&lt;foreign-keys&gt;&lt;key app="EN" db-id="exvasrfx2dtraoesasxp2szsxa2df502592x" timestamp="1574314563"&gt;1496&lt;/key&gt;&lt;/foreign-keys&gt;&lt;ref-type name="Journal Article"&gt;17&lt;/ref-type&gt;&lt;contributors&gt;&lt;authors&gt;&lt;author&gt;Nelson, K.,&lt;/author&gt;&lt;author&gt;Lohsoonthorna, V.,&lt;/author&gt;&lt;author&gt;Williams, M.A.,&lt;/author&gt;&lt;/authors&gt;&lt;/contributors&gt;&lt;titles&gt;&lt;title&gt;Preterm delivery risk in relation to maternal occupational and leisure time physical activity among Thai women&lt;/title&gt;&lt;secondary-title&gt;Asian Biomed (Res Rev News)&lt;/secondary-title&gt;&lt;/titles&gt;&lt;periodical&gt;&lt;full-title&gt;Asian Biomed (Res Rev News)&lt;/full-title&gt;&lt;/periodical&gt;&lt;pages&gt;267-77&lt;/pages&gt;&lt;volume&gt;3&lt;/volume&gt;&lt;number&gt;3&lt;/number&gt;&lt;dates&gt;&lt;year&gt;2009&lt;/year&gt;&lt;/dates&gt;&lt;urls&gt;&lt;/urls&gt;&lt;/record&gt;&lt;/Cite&gt;&lt;/EndNote&gt;</w:instrText>
      </w:r>
      <w:r w:rsidR="00135198">
        <w:fldChar w:fldCharType="separate"/>
      </w:r>
      <w:r w:rsidR="002747EA" w:rsidRPr="002747EA">
        <w:rPr>
          <w:noProof/>
          <w:vertAlign w:val="superscript"/>
        </w:rPr>
        <w:t>336</w:t>
      </w:r>
      <w:r w:rsidR="00135198">
        <w:fldChar w:fldCharType="end"/>
      </w:r>
    </w:p>
    <w:p w14:paraId="24728CFD" w14:textId="13F9CDC0" w:rsidR="00135198" w:rsidRDefault="00135198" w:rsidP="00135198">
      <w:pPr>
        <w:pStyle w:val="bullet"/>
      </w:pPr>
      <w:r>
        <w:t>standing longer than 3 hours a day (</w:t>
      </w:r>
      <w:r w:rsidRPr="00135198">
        <w:rPr>
          <w:sz w:val="16"/>
          <w:szCs w:val="16"/>
        </w:rPr>
        <w:t>OR 4.1; 95%CI 1,29 to 13.10</w:t>
      </w:r>
      <w:r>
        <w:t>) or engaging in physical exertion (</w:t>
      </w:r>
      <w:r w:rsidRPr="00135198">
        <w:rPr>
          <w:sz w:val="16"/>
          <w:szCs w:val="16"/>
        </w:rPr>
        <w:t>OR 2.91; 95%CI 1.29 to 6.58</w:t>
      </w:r>
      <w:r>
        <w:t>) (</w:t>
      </w:r>
      <w:r w:rsidRPr="003060CB">
        <w:rPr>
          <w:sz w:val="16"/>
          <w:szCs w:val="16"/>
        </w:rPr>
        <w:t>n=223 pairs</w:t>
      </w:r>
      <w:r>
        <w:t>)</w:t>
      </w:r>
      <w:r w:rsidR="00283324">
        <w:fldChar w:fldCharType="begin"/>
      </w:r>
      <w:r w:rsidR="002747EA">
        <w:instrText xml:space="preserve"> ADDIN EN.CITE &lt;EndNote&gt;&lt;Cite&gt;&lt;Author&gt;Ritsmitchai&lt;/Author&gt;&lt;Year&gt;1997&lt;/Year&gt;&lt;RecNum&gt;1792&lt;/RecNum&gt;&lt;DisplayText&gt;&lt;style face="superscript" font="Trebuchet MS" size="9"&gt;337&lt;/style&gt;&lt;/DisplayText&gt;&lt;record&gt;&lt;rec-number&gt;1792&lt;/rec-number&gt;&lt;foreign-keys&gt;&lt;key app="EN" db-id="exvasrfx2dtraoesasxp2szsxa2df502592x" timestamp="1583299791"&gt;1792&lt;/key&gt;&lt;/foreign-keys&gt;&lt;ref-type name="Journal Article"&gt;17&lt;/ref-type&gt;&lt;contributors&gt;&lt;authors&gt;&lt;author&gt;Ritsmitchai, S.,&lt;/author&gt;&lt;author&gt;Geater, A.F.,&lt;/author&gt;&lt;author&gt;Chongsuviwatvong, V.,&lt;/author&gt;&lt;/authors&gt;&lt;/contributors&gt;&lt;titles&gt;&lt;title&gt;Prolonged standing and physical exertion at work during pregnancy increases the risk of preterm birth for Thai mothers.&lt;/title&gt;&lt;secondary-title&gt;J Occup Health&lt;/secondary-title&gt;&lt;/titles&gt;&lt;periodical&gt;&lt;full-title&gt;J Occup Health&lt;/full-title&gt;&lt;/periodical&gt;&lt;pages&gt;217-22&lt;/pages&gt;&lt;volume&gt;39&lt;/volume&gt;&lt;dates&gt;&lt;year&gt;1997&lt;/year&gt;&lt;/dates&gt;&lt;urls&gt;&lt;/urls&gt;&lt;/record&gt;&lt;/Cite&gt;&lt;/EndNote&gt;</w:instrText>
      </w:r>
      <w:r w:rsidR="00283324">
        <w:fldChar w:fldCharType="separate"/>
      </w:r>
      <w:r w:rsidR="002747EA" w:rsidRPr="002747EA">
        <w:rPr>
          <w:noProof/>
          <w:vertAlign w:val="superscript"/>
        </w:rPr>
        <w:t>337</w:t>
      </w:r>
      <w:r w:rsidR="00283324">
        <w:fldChar w:fldCharType="end"/>
      </w:r>
    </w:p>
    <w:p w14:paraId="1EA7B84E" w14:textId="16973EB0" w:rsidR="00E82F9C" w:rsidRDefault="00914146" w:rsidP="0031338D">
      <w:pPr>
        <w:pStyle w:val="Heading4"/>
      </w:pPr>
      <w:r>
        <w:t>L</w:t>
      </w:r>
      <w:r w:rsidR="00E82F9C">
        <w:t>ow birth weight</w:t>
      </w:r>
    </w:p>
    <w:p w14:paraId="163FFA8C" w14:textId="69B1FAA5" w:rsidR="003060CB" w:rsidRDefault="00C223D8" w:rsidP="00364D2B">
      <w:r>
        <w:t>Cohort studies have found</w:t>
      </w:r>
      <w:r w:rsidR="00433793">
        <w:t xml:space="preserve"> clear difference in birth</w:t>
      </w:r>
      <w:r w:rsidR="00255531">
        <w:t xml:space="preserve"> </w:t>
      </w:r>
      <w:r w:rsidR="003060CB">
        <w:t>weights among</w:t>
      </w:r>
      <w:r w:rsidR="00612B3A">
        <w:t xml:space="preserve"> women</w:t>
      </w:r>
      <w:r w:rsidR="003060CB">
        <w:t>:</w:t>
      </w:r>
    </w:p>
    <w:p w14:paraId="38C56E90" w14:textId="28E96B71" w:rsidR="00364D2B" w:rsidRDefault="00433793" w:rsidP="003060CB">
      <w:pPr>
        <w:pStyle w:val="bullet"/>
      </w:pPr>
      <w:r>
        <w:t xml:space="preserve">standing ≥3 hours a day </w:t>
      </w:r>
      <w:r w:rsidR="003060CB">
        <w:t>versus</w:t>
      </w:r>
      <w:r>
        <w:t xml:space="preserve"> those standing &lt;3 hours a day (</w:t>
      </w:r>
      <w:r w:rsidRPr="00581675">
        <w:rPr>
          <w:sz w:val="16"/>
          <w:szCs w:val="16"/>
        </w:rPr>
        <w:t>MD -27.80; 95%CI -86.34 to 30.74</w:t>
      </w:r>
      <w:r>
        <w:t xml:space="preserve">), women involved in occupational lifting </w:t>
      </w:r>
      <w:r w:rsidR="003060CB">
        <w:t>versus</w:t>
      </w:r>
      <w:r>
        <w:t xml:space="preserve"> those who were not (</w:t>
      </w:r>
      <w:r w:rsidRPr="00581675">
        <w:rPr>
          <w:sz w:val="16"/>
          <w:szCs w:val="16"/>
        </w:rPr>
        <w:t>MD-8.70; 95%CI -69.13 to 51.73</w:t>
      </w:r>
      <w:r>
        <w:t xml:space="preserve">) and those engaging in medium or heavy physical exertion </w:t>
      </w:r>
      <w:r w:rsidR="003060CB">
        <w:t>versus</w:t>
      </w:r>
      <w:r>
        <w:t xml:space="preserve"> those engaging in light physical exertion (</w:t>
      </w:r>
      <w:r w:rsidRPr="00581675">
        <w:rPr>
          <w:sz w:val="16"/>
          <w:szCs w:val="16"/>
        </w:rPr>
        <w:t>MD -1.20; 95%CI -55.93 to 53.53</w:t>
      </w:r>
      <w:r w:rsidR="003060CB">
        <w:t>)</w:t>
      </w:r>
      <w:r w:rsidR="003060CB" w:rsidRPr="003060CB">
        <w:t xml:space="preserve"> </w:t>
      </w:r>
      <w:r w:rsidR="003060CB">
        <w:t>(</w:t>
      </w:r>
      <w:r w:rsidR="003060CB" w:rsidRPr="00DC03DC">
        <w:rPr>
          <w:sz w:val="16"/>
          <w:szCs w:val="16"/>
        </w:rPr>
        <w:t>n=1,222</w:t>
      </w:r>
      <w:r w:rsidR="003060CB">
        <w:t>)</w:t>
      </w:r>
      <w:r w:rsidR="003060CB">
        <w:fldChar w:fldCharType="begin"/>
      </w:r>
      <w:r w:rsidR="002747EA">
        <w:instrText xml:space="preserve"> ADDIN EN.CITE &lt;EndNote&gt;&lt;Cite&gt;&lt;Author&gt;Eunhee&lt;/Author&gt;&lt;Year&gt;2002&lt;/Year&gt;&lt;RecNum&gt;1495&lt;/RecNum&gt;&lt;DisplayText&gt;&lt;style face="superscript" font="Trebuchet MS" size="9"&gt;338&lt;/style&gt;&lt;/DisplayText&gt;&lt;record&gt;&lt;rec-number&gt;1495&lt;/rec-number&gt;&lt;foreign-keys&gt;&lt;key app="EN" db-id="exvasrfx2dtraoesasxp2szsxa2df502592x" timestamp="1574314249"&gt;1495&lt;/key&gt;&lt;/foreign-keys&gt;&lt;ref-type name="Journal Article"&gt;17&lt;/ref-type&gt;&lt;contributors&gt;&lt;authors&gt;&lt;author&gt;Eunhee, H.,&lt;/author&gt;&lt;author&gt;Cho, S-I.,&lt;/author&gt;&lt;author&gt;Park, H.,&lt;/author&gt;&lt;author&gt;Chen, D.,&lt;/author&gt;&lt;author&gt;Chen, C.,&lt;/author&gt;&lt;author&gt;Wang., L.,&lt;/author&gt;&lt;author&gt;Xu, X.,&lt;/author&gt;&lt;author&gt;Christiani, D.C.,&lt;/author&gt;&lt;/authors&gt;&lt;/contributors&gt;&lt;titles&gt;&lt;title&gt;Does standing at work during pregnancy result in reduced infant birth weight?&lt;/title&gt;&lt;secondary-title&gt;JOEM&lt;/secondary-title&gt;&lt;/titles&gt;&lt;periodical&gt;&lt;full-title&gt;JOEM&lt;/full-title&gt;&lt;/periodical&gt;&lt;pages&gt;815-21&lt;/pages&gt;&lt;volume&gt;44&lt;/volume&gt;&lt;number&gt;9&lt;/number&gt;&lt;dates&gt;&lt;year&gt;2002&lt;/year&gt;&lt;/dates&gt;&lt;urls&gt;&lt;/urls&gt;&lt;/record&gt;&lt;/Cite&gt;&lt;/EndNote&gt;</w:instrText>
      </w:r>
      <w:r w:rsidR="003060CB">
        <w:fldChar w:fldCharType="separate"/>
      </w:r>
      <w:r w:rsidR="002747EA" w:rsidRPr="002747EA">
        <w:rPr>
          <w:noProof/>
          <w:vertAlign w:val="superscript"/>
        </w:rPr>
        <w:t>338</w:t>
      </w:r>
      <w:r w:rsidR="003060CB">
        <w:fldChar w:fldCharType="end"/>
      </w:r>
    </w:p>
    <w:p w14:paraId="7D2951CD" w14:textId="4C586BCC" w:rsidR="00C223D8" w:rsidRDefault="00C223D8" w:rsidP="00C223D8">
      <w:pPr>
        <w:pStyle w:val="bullet"/>
      </w:pPr>
      <w:r>
        <w:t>frequently lifted &gt;25 kg (</w:t>
      </w:r>
      <w:r w:rsidRPr="003060CB">
        <w:rPr>
          <w:sz w:val="16"/>
          <w:szCs w:val="16"/>
        </w:rPr>
        <w:t>OR 1.86; 95%CI 0.44 to 7.77</w:t>
      </w:r>
      <w:r>
        <w:t>) or often had long periods of standing (</w:t>
      </w:r>
      <w:r w:rsidRPr="003060CB">
        <w:rPr>
          <w:sz w:val="16"/>
          <w:szCs w:val="16"/>
        </w:rPr>
        <w:t>OR 1.02; 95%CI 0.60 to 1.73</w:t>
      </w:r>
      <w:r>
        <w:t>) (</w:t>
      </w:r>
      <w:r w:rsidRPr="003060CB">
        <w:rPr>
          <w:sz w:val="16"/>
          <w:szCs w:val="16"/>
        </w:rPr>
        <w:t>n=4,680</w:t>
      </w:r>
      <w:r>
        <w:t>).</w:t>
      </w:r>
      <w:r w:rsidR="00283324">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 </w:instrText>
      </w:r>
      <w:r w:rsidR="002747EA">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335</w:t>
      </w:r>
      <w:r w:rsidR="00283324">
        <w:fldChar w:fldCharType="end"/>
      </w:r>
    </w:p>
    <w:p w14:paraId="50CA54F0" w14:textId="618A397C" w:rsidR="00C223D8" w:rsidRDefault="003060CB" w:rsidP="00364D2B">
      <w:r>
        <w:t>A small cohort study (</w:t>
      </w:r>
      <w:r w:rsidRPr="00DC03DC">
        <w:rPr>
          <w:sz w:val="16"/>
          <w:szCs w:val="16"/>
        </w:rPr>
        <w:t>n=380</w:t>
      </w:r>
      <w:r>
        <w:t>)</w:t>
      </w:r>
      <w:r>
        <w:fldChar w:fldCharType="begin"/>
      </w:r>
      <w:r w:rsidR="002747EA">
        <w:instrText xml:space="preserve"> ADDIN EN.CITE &lt;EndNote&gt;&lt;Cite&gt;&lt;Author&gt;Salunkhe&lt;/Author&gt;&lt;Year&gt;2018&lt;/Year&gt;&lt;RecNum&gt;1497&lt;/RecNum&gt;&lt;DisplayText&gt;&lt;style face="superscript" font="Trebuchet MS" size="9"&gt;332&lt;/style&gt;&lt;/DisplayText&gt;&lt;record&gt;&lt;rec-number&gt;1497&lt;/rec-number&gt;&lt;foreign-keys&gt;&lt;key app="EN" db-id="exvasrfx2dtraoesasxp2szsxa2df502592x" timestamp="1574314791"&gt;1497&lt;/key&gt;&lt;/foreign-keys&gt;&lt;ref-type name="Journal Article"&gt;17&lt;/ref-type&gt;&lt;contributors&gt;&lt;authors&gt;&lt;author&gt;Salunkhe, A.H.,&lt;/author&gt;&lt;author&gt;Pratinidhi, A.,&lt;/author&gt;&lt;author&gt;Kakade, S.V.,&lt;/author&gt;&lt;author&gt;Salunkhe, J.A.,&lt;/author&gt;&lt;author&gt;Mohite, V.R.,&lt;/author&gt;&lt;author&gt;Bhosale, T.,&lt;/author&gt;&lt;/authors&gt;&lt;/contributors&gt;&lt;titles&gt;&lt;title&gt;Occupation, caloric intake and rest during day time of pregnant women and birth weight and gestational age of the baby&lt;/title&gt;&lt;secondary-title&gt;Asian J Pharm Res Health care&lt;/secondary-title&gt;&lt;/titles&gt;&lt;periodical&gt;&lt;full-title&gt;Asian J Pharm Res Health care&lt;/full-title&gt;&lt;/periodical&gt;&lt;pages&gt;36-41&lt;/pages&gt;&lt;volume&gt;10&lt;/volume&gt;&lt;number&gt;1&lt;/number&gt;&lt;dates&gt;&lt;year&gt;2018&lt;/year&gt;&lt;/dates&gt;&lt;urls&gt;&lt;/urls&gt;&lt;/record&gt;&lt;/Cite&gt;&lt;/EndNote&gt;</w:instrText>
      </w:r>
      <w:r>
        <w:fldChar w:fldCharType="separate"/>
      </w:r>
      <w:r w:rsidR="002747EA" w:rsidRPr="002747EA">
        <w:rPr>
          <w:noProof/>
          <w:vertAlign w:val="superscript"/>
        </w:rPr>
        <w:t>332</w:t>
      </w:r>
      <w:r>
        <w:fldChar w:fldCharType="end"/>
      </w:r>
      <w:r>
        <w:t xml:space="preserve"> found an increased risk of low birth weight among women engaging in moderate or heavy occupational activity. </w:t>
      </w:r>
    </w:p>
    <w:p w14:paraId="32527030" w14:textId="57382952" w:rsidR="008050E8" w:rsidRDefault="008050E8" w:rsidP="008050E8">
      <w:pPr>
        <w:pStyle w:val="Heading4"/>
      </w:pPr>
      <w:r>
        <w:t>Small-for-gestational age</w:t>
      </w:r>
    </w:p>
    <w:p w14:paraId="42955898" w14:textId="77777777" w:rsidR="00135198" w:rsidRDefault="00A36FEE" w:rsidP="00364D2B">
      <w:r>
        <w:t xml:space="preserve">Cohort studies </w:t>
      </w:r>
      <w:r w:rsidR="00135198">
        <w:t>have found no clear association between small-for-gestational age and:</w:t>
      </w:r>
    </w:p>
    <w:p w14:paraId="1FA6A5ED" w14:textId="24AA69CF" w:rsidR="008050E8" w:rsidRDefault="0027320C" w:rsidP="00135198">
      <w:pPr>
        <w:pStyle w:val="bullet"/>
      </w:pPr>
      <w:r>
        <w:t>person lifting of 501-1,000 kg/day (</w:t>
      </w:r>
      <w:r w:rsidRPr="0027320C">
        <w:rPr>
          <w:sz w:val="16"/>
          <w:szCs w:val="16"/>
        </w:rPr>
        <w:t>aOR 1.34; 95%CI 0.98 to 1.83</w:t>
      </w:r>
      <w:r>
        <w:t xml:space="preserve">) </w:t>
      </w:r>
      <w:r w:rsidR="00135198">
        <w:t>or</w:t>
      </w:r>
      <w:r>
        <w:t xml:space="preserve"> lifting &gt;1,000 kg/day that did not involve lifting persons (</w:t>
      </w:r>
      <w:r w:rsidRPr="0027320C">
        <w:rPr>
          <w:sz w:val="16"/>
          <w:szCs w:val="16"/>
        </w:rPr>
        <w:t>aOR 1.51; 95%CI 0.83 to 2.76</w:t>
      </w:r>
      <w:r w:rsidR="00135198">
        <w:t>) (</w:t>
      </w:r>
      <w:r w:rsidR="00135198" w:rsidRPr="00DC03DC">
        <w:rPr>
          <w:sz w:val="16"/>
          <w:szCs w:val="16"/>
        </w:rPr>
        <w:t>n=66,963</w:t>
      </w:r>
      <w:r w:rsidR="00135198">
        <w:t>)</w:t>
      </w:r>
      <w:r w:rsidR="00135198">
        <w:fldChar w:fldCharType="begin"/>
      </w:r>
      <w:r w:rsidR="002747EA">
        <w:instrText xml:space="preserve"> ADDIN EN.CITE &lt;EndNote&gt;&lt;Cite&gt;&lt;Author&gt;Juhl&lt;/Author&gt;&lt;Year&gt;2014&lt;/Year&gt;&lt;RecNum&gt;1493&lt;/RecNum&gt;&lt;DisplayText&gt;&lt;style face="superscript" font="Trebuchet MS" size="9"&gt;339&lt;/style&gt;&lt;/DisplayText&gt;&lt;record&gt;&lt;rec-number&gt;1493&lt;/rec-number&gt;&lt;foreign-keys&gt;&lt;key app="EN" db-id="exvasrfx2dtraoesasxp2szsxa2df502592x" timestamp="1574313141"&gt;1493&lt;/key&gt;&lt;/foreign-keys&gt;&lt;ref-type name="Journal Article"&gt;17&lt;/ref-type&gt;&lt;contributors&gt;&lt;authors&gt;&lt;author&gt;Juhl, M.,&lt;/author&gt;&lt;author&gt;Larsen, P.S.,&lt;/author&gt;&lt;author&gt;Andersen, P.K.,&lt;/author&gt;&lt;author&gt;Svendsen, S.W.,&lt;/author&gt;&lt;author&gt;Bonde J.P.,&lt;/author&gt;&lt;author&gt;Nybo Andersen, A-M,&lt;/author&gt;&lt;author&gt;Strandberg-Larsen K.,&lt;/author&gt;&lt;/authors&gt;&lt;/contributors&gt;&lt;titles&gt;&lt;title&gt;Occupational lifting during pregnancy and child’s birth size in a large cohort study&lt;/title&gt;&lt;secondary-title&gt;Scand J Work Environ Health&lt;/secondary-title&gt;&lt;/titles&gt;&lt;periodical&gt;&lt;full-title&gt;Scand J Work Environ Health&lt;/full-title&gt;&lt;/periodical&gt;&lt;pages&gt;411-19&lt;/pages&gt;&lt;volume&gt;40&lt;/volume&gt;&lt;number&gt;4&lt;/number&gt;&lt;dates&gt;&lt;year&gt;2014&lt;/year&gt;&lt;/dates&gt;&lt;urls&gt;&lt;/urls&gt;&lt;/record&gt;&lt;/Cite&gt;&lt;/EndNote&gt;</w:instrText>
      </w:r>
      <w:r w:rsidR="00135198">
        <w:fldChar w:fldCharType="separate"/>
      </w:r>
      <w:r w:rsidR="002747EA" w:rsidRPr="002747EA">
        <w:rPr>
          <w:noProof/>
          <w:vertAlign w:val="superscript"/>
        </w:rPr>
        <w:t>339</w:t>
      </w:r>
      <w:r w:rsidR="00135198">
        <w:fldChar w:fldCharType="end"/>
      </w:r>
    </w:p>
    <w:p w14:paraId="1E0FB719" w14:textId="519887D8" w:rsidR="00A36FEE" w:rsidRDefault="00135198" w:rsidP="00135198">
      <w:pPr>
        <w:pStyle w:val="bullet"/>
      </w:pPr>
      <w:r>
        <w:t xml:space="preserve">lifting </w:t>
      </w:r>
      <w:r w:rsidR="00A36FEE" w:rsidRPr="005005AE">
        <w:t>repeate</w:t>
      </w:r>
      <w:r w:rsidR="00A36FEE" w:rsidRPr="00A36FEE">
        <w:t>dly (</w:t>
      </w:r>
      <w:r w:rsidR="00A36FEE" w:rsidRPr="00A36FEE">
        <w:rPr>
          <w:sz w:val="16"/>
          <w:szCs w:val="16"/>
        </w:rPr>
        <w:t xml:space="preserve">RR </w:t>
      </w:r>
      <w:r w:rsidR="00A36FEE">
        <w:rPr>
          <w:sz w:val="16"/>
          <w:szCs w:val="16"/>
        </w:rPr>
        <w:t>1.0</w:t>
      </w:r>
      <w:r w:rsidR="00A36FEE" w:rsidRPr="00A36FEE">
        <w:rPr>
          <w:sz w:val="16"/>
          <w:szCs w:val="16"/>
        </w:rPr>
        <w:t xml:space="preserve">; 95%CI 0.6 to </w:t>
      </w:r>
      <w:r w:rsidR="00A36FEE">
        <w:rPr>
          <w:sz w:val="16"/>
          <w:szCs w:val="16"/>
        </w:rPr>
        <w:t>1.5</w:t>
      </w:r>
      <w:r w:rsidR="00A36FEE" w:rsidRPr="00A36FEE">
        <w:t xml:space="preserve">) or </w:t>
      </w:r>
      <w:r>
        <w:t>standing</w:t>
      </w:r>
      <w:r w:rsidR="00A36FEE" w:rsidRPr="00A36FEE">
        <w:t xml:space="preserve"> at least 30 hours per week (</w:t>
      </w:r>
      <w:r w:rsidR="00A36FEE" w:rsidRPr="00A36FEE">
        <w:rPr>
          <w:sz w:val="16"/>
          <w:szCs w:val="16"/>
        </w:rPr>
        <w:t xml:space="preserve">RR </w:t>
      </w:r>
      <w:r w:rsidR="00A36FEE">
        <w:rPr>
          <w:sz w:val="16"/>
          <w:szCs w:val="16"/>
        </w:rPr>
        <w:t>1.2</w:t>
      </w:r>
      <w:r w:rsidR="00A36FEE" w:rsidRPr="00A36FEE">
        <w:rPr>
          <w:sz w:val="16"/>
          <w:szCs w:val="16"/>
        </w:rPr>
        <w:t xml:space="preserve">; 95%CI </w:t>
      </w:r>
      <w:r w:rsidR="00A36FEE">
        <w:rPr>
          <w:sz w:val="16"/>
          <w:szCs w:val="16"/>
        </w:rPr>
        <w:t>0.6</w:t>
      </w:r>
      <w:r w:rsidR="00A36FEE" w:rsidRPr="00A36FEE">
        <w:rPr>
          <w:sz w:val="16"/>
          <w:szCs w:val="16"/>
        </w:rPr>
        <w:t xml:space="preserve"> to 2.</w:t>
      </w:r>
      <w:r w:rsidR="00A36FEE">
        <w:rPr>
          <w:sz w:val="16"/>
          <w:szCs w:val="16"/>
        </w:rPr>
        <w:t>2</w:t>
      </w:r>
      <w:r w:rsidR="00A36FEE" w:rsidRPr="00A36FEE">
        <w:t>)</w:t>
      </w:r>
      <w:r w:rsidRPr="00135198">
        <w:t xml:space="preserve"> </w:t>
      </w:r>
      <w:r>
        <w:t>(</w:t>
      </w:r>
      <w:r w:rsidRPr="0045363F">
        <w:rPr>
          <w:sz w:val="16"/>
          <w:szCs w:val="16"/>
        </w:rPr>
        <w:t>n=1,908</w:t>
      </w:r>
      <w:r>
        <w:t>).</w:t>
      </w:r>
      <w:r w:rsidR="00283324">
        <w:fldChar w:fldCharType="begin">
          <w:fldData xml:space="preserve">PEVuZE5vdGU+PENpdGU+PEF1dGhvcj5Qb21wZWlpPC9BdXRob3I+PFllYXI+MjAwNTwvWWVhcj48
UmVjTnVtPjE3OTM8L1JlY051bT48RGlzcGxheVRleHQ+PHN0eWxlIGZhY2U9InN1cGVyc2NyaXB0
IiBmb250PSJUcmVidWNoZXQgTVMiIHNpemU9IjkiPjMzNDwvc3R5bGU+PC9EaXNwbGF5VGV4dD48
cmVjb3JkPjxyZWMtbnVtYmVyPjE3OTM8L3JlYy1udW1iZXI+PGZvcmVpZ24ta2V5cz48a2V5IGFw
cD0iRU4iIGRiLWlkPSJleHZhc3JmeDJkdHJhb2VzYXN4cDJzenN4YTJkZjUwMjU5MngiIHRpbWVz
dGFtcD0iMTU4MzMwMDI3NiI+MTc5Mzwva2V5PjwvZm9yZWlnbi1rZXlzPjxyZWYtdHlwZSBuYW1l
PSJKb3VybmFsIEFydGljbGUiPjE3PC9yZWYtdHlwZT48Y29udHJpYnV0b3JzPjxhdXRob3JzPjxh
dXRob3I+UG9tcGVpaSwgTC4gQS48L2F1dGhvcj48YXV0aG9yPlNhdml0eiwgRC4gQS48L2F1dGhv
cj48YXV0aG9yPkV2ZW5zb24sIEsuIFIuPC9hdXRob3I+PGF1dGhvcj5Sb2dlcnMsIEIuPC9hdXRo
b3I+PGF1dGhvcj5NY01haG9uLCBNLjwvYXV0aG9yPjwvYXV0aG9ycz48L2NvbnRyaWJ1dG9ycz48
YXV0aC1hZGRyZXNzPkRlcGFydG1lbnQgb2YgRXBpZGVtaW9sb2d5LCBTY2hvb2wgb2YgUHVibGlj
IEhlYWx0aCwgVW5pdmVyc2l0eSBvZiBOb3J0aCBDYXJvbGluYSwgQ2hhcGVsIEhpbGwsIFVTQS4g
bGlzYS5wb21wZWlpQHV0aC50bWMuZWR1PC9hdXRoLWFkZHJlc3M+PHRpdGxlcz48dGl0bGU+UGh5
c2ljYWwgZXhlcnRpb24gYXQgd29yayBhbmQgdGhlIHJpc2sgb2YgcHJldGVybSBkZWxpdmVyeSBh
bmQgc21hbGwtZm9yLWdlc3RhdGlvbmFsLWFnZSBiaXJ0aDwvdGl0bGU+PHNlY29uZGFyeS10aXRs
ZT5PYnN0ZXQgR3luZWNvbDwvc2Vjb25kYXJ5LXRpdGxlPjwvdGl0bGVzPjxwZXJpb2RpY2FsPjxm
dWxsLXRpdGxlPk9ic3RldCBHeW5lY29sPC9mdWxsLXRpdGxlPjwvcGVyaW9kaWNhbD48cGFnZXM+
MTI3OS04ODwvcGFnZXM+PHZvbHVtZT4xMDY8L3ZvbHVtZT48bnVtYmVyPjY8L251bWJlcj48ZWRp
dGlvbj4yMDA1LzEyLzAyPC9lZGl0aW9uPjxrZXl3b3Jkcz48a2V5d29yZD5BZHVsdDwva2V5d29y
ZD48a2V5d29yZD5BZ2UgRGlzdHJpYnV0aW9uPC9rZXl3b3JkPjxrZXl3b3JkPkNhc2UtQ29udHJv
bCBTdHVkaWVzPC9rZXl3b3JkPjxrZXl3b3JkPkNvaG9ydCBTdHVkaWVzPC9rZXl3b3JkPjxrZXl3
b3JkPkNvbmZpZGVuY2UgSW50ZXJ2YWxzPC9rZXl3b3JkPjxrZXl3b3JkPkZlbWFsZTwva2V5d29y
ZD48a2V5d29yZD5Gb2xsb3ctVXAgU3R1ZGllczwva2V5d29yZD48a2V5d29yZD5HZXN0YXRpb25h
bCBBZ2U8L2tleXdvcmQ+PGtleXdvcmQ+SHVtYW5zPC9rZXl3b3JkPjxrZXl3b3JkPkluY2lkZW5j
ZTwva2V5d29yZD48a2V5d29yZD5JbmZhbnQsIE5ld2Jvcm48L2tleXdvcmQ+PGtleXdvcmQ+SW5m
YW50LCBQcmVtYXR1cmU8L2tleXdvcmQ+PGtleXdvcmQ+KkluZmFudCwgU21hbGwgZm9yIEdlc3Rh
dGlvbmFsIEFnZTwva2V5d29yZD48a2V5d29yZD5NYXRlcm5hbCBBZ2U8L2tleXdvcmQ+PGtleXdv
cmQ+T2JzdGV0cmljIExhYm9yLCBQcmVtYXR1cmUvKmVwaWRlbWlvbG9neS8qZXRpb2xvZ3k8L2tl
eXdvcmQ+PGtleXdvcmQ+T2RkcyBSYXRpbzwva2V5d29yZD48a2V5d29yZD4qUGh5c2ljYWwgRXhl
cnRpb248L2tleXdvcmQ+PGtleXdvcmQ+UHJlZ25hbmN5PC9rZXl3b3JkPjxrZXl3b3JkPlByb2Jh
YmlsaXR5PC9rZXl3b3JkPjxrZXl3b3JkPlByb3NwZWN0aXZlIFN0dWRpZXM8L2tleXdvcmQ+PGtl
eXdvcmQ+UmlzayBBc3Nlc3NtZW50PC9rZXl3b3JkPjxrZXl3b3JkPipXb21lbiwgV29ya2luZzwv
a2V5d29yZD48a2V5d29yZD5Xb3JrIFNjaGVkdWxlIFRvbGVyYW5jZTwva2V5d29yZD48L2tleXdv
cmRzPjxkYXRlcz48eWVhcj4yMDA1PC95ZWFyPjxwdWItZGF0ZXM+PGRhdGU+RGVjPC9kYXRlPjwv
cHViLWRhdGVzPjwvZGF0ZXM+PGlzYm4+MDAyOS03ODQ0IChQcmludCkmI3hEOzAwMjktNzg0NCAo
TGlua2luZyk8L2lzYm4+PGFjY2Vzc2lvbi1udW0+MTYzMTkyNTM8L2FjY2Vzc2lvbi1udW0+PHVy
bHM+PHJlbGF0ZWQtdXJscz48dXJsPmh0dHBzOi8vd3d3Lm5jYmkubmxtLm5paC5nb3YvcHVibWVk
LzE2MzE5MjUzPC91cmw+PC9yZWxhdGVkLXVybHM+PC91cmxzPjxlbGVjdHJvbmljLXJlc291cmNl
LW51bT4xMC4xMDk3LzAxLkFPRy4wMDAwMTg5MDgwLjc2OTk4LmY4PC9lbGVjdHJvbmljLXJlc291
cmNlLW51bT48L3JlY29yZD48L0NpdGU+PC9FbmROb3RlPgB=
</w:fldData>
        </w:fldChar>
      </w:r>
      <w:r w:rsidR="002747EA">
        <w:instrText xml:space="preserve"> ADDIN EN.CITE </w:instrText>
      </w:r>
      <w:r w:rsidR="002747EA">
        <w:fldChar w:fldCharType="begin">
          <w:fldData xml:space="preserve">PEVuZE5vdGU+PENpdGU+PEF1dGhvcj5Qb21wZWlpPC9BdXRob3I+PFllYXI+MjAwNTwvWWVhcj48
UmVjTnVtPjE3OTM8L1JlY051bT48RGlzcGxheVRleHQ+PHN0eWxlIGZhY2U9InN1cGVyc2NyaXB0
IiBmb250PSJUcmVidWNoZXQgTVMiIHNpemU9IjkiPjMzNDwvc3R5bGU+PC9EaXNwbGF5VGV4dD48
cmVjb3JkPjxyZWMtbnVtYmVyPjE3OTM8L3JlYy1udW1iZXI+PGZvcmVpZ24ta2V5cz48a2V5IGFw
cD0iRU4iIGRiLWlkPSJleHZhc3JmeDJkdHJhb2VzYXN4cDJzenN4YTJkZjUwMjU5MngiIHRpbWVz
dGFtcD0iMTU4MzMwMDI3NiI+MTc5Mzwva2V5PjwvZm9yZWlnbi1rZXlzPjxyZWYtdHlwZSBuYW1l
PSJKb3VybmFsIEFydGljbGUiPjE3PC9yZWYtdHlwZT48Y29udHJpYnV0b3JzPjxhdXRob3JzPjxh
dXRob3I+UG9tcGVpaSwgTC4gQS48L2F1dGhvcj48YXV0aG9yPlNhdml0eiwgRC4gQS48L2F1dGhv
cj48YXV0aG9yPkV2ZW5zb24sIEsuIFIuPC9hdXRob3I+PGF1dGhvcj5Sb2dlcnMsIEIuPC9hdXRo
b3I+PGF1dGhvcj5NY01haG9uLCBNLjwvYXV0aG9yPjwvYXV0aG9ycz48L2NvbnRyaWJ1dG9ycz48
YXV0aC1hZGRyZXNzPkRlcGFydG1lbnQgb2YgRXBpZGVtaW9sb2d5LCBTY2hvb2wgb2YgUHVibGlj
IEhlYWx0aCwgVW5pdmVyc2l0eSBvZiBOb3J0aCBDYXJvbGluYSwgQ2hhcGVsIEhpbGwsIFVTQS4g
bGlzYS5wb21wZWlpQHV0aC50bWMuZWR1PC9hdXRoLWFkZHJlc3M+PHRpdGxlcz48dGl0bGU+UGh5
c2ljYWwgZXhlcnRpb24gYXQgd29yayBhbmQgdGhlIHJpc2sgb2YgcHJldGVybSBkZWxpdmVyeSBh
bmQgc21hbGwtZm9yLWdlc3RhdGlvbmFsLWFnZSBiaXJ0aDwvdGl0bGU+PHNlY29uZGFyeS10aXRs
ZT5PYnN0ZXQgR3luZWNvbDwvc2Vjb25kYXJ5LXRpdGxlPjwvdGl0bGVzPjxwZXJpb2RpY2FsPjxm
dWxsLXRpdGxlPk9ic3RldCBHeW5lY29sPC9mdWxsLXRpdGxlPjwvcGVyaW9kaWNhbD48cGFnZXM+
MTI3OS04ODwvcGFnZXM+PHZvbHVtZT4xMDY8L3ZvbHVtZT48bnVtYmVyPjY8L251bWJlcj48ZWRp
dGlvbj4yMDA1LzEyLzAyPC9lZGl0aW9uPjxrZXl3b3Jkcz48a2V5d29yZD5BZHVsdDwva2V5d29y
ZD48a2V5d29yZD5BZ2UgRGlzdHJpYnV0aW9uPC9rZXl3b3JkPjxrZXl3b3JkPkNhc2UtQ29udHJv
bCBTdHVkaWVzPC9rZXl3b3JkPjxrZXl3b3JkPkNvaG9ydCBTdHVkaWVzPC9rZXl3b3JkPjxrZXl3
b3JkPkNvbmZpZGVuY2UgSW50ZXJ2YWxzPC9rZXl3b3JkPjxrZXl3b3JkPkZlbWFsZTwva2V5d29y
ZD48a2V5d29yZD5Gb2xsb3ctVXAgU3R1ZGllczwva2V5d29yZD48a2V5d29yZD5HZXN0YXRpb25h
bCBBZ2U8L2tleXdvcmQ+PGtleXdvcmQ+SHVtYW5zPC9rZXl3b3JkPjxrZXl3b3JkPkluY2lkZW5j
ZTwva2V5d29yZD48a2V5d29yZD5JbmZhbnQsIE5ld2Jvcm48L2tleXdvcmQ+PGtleXdvcmQ+SW5m
YW50LCBQcmVtYXR1cmU8L2tleXdvcmQ+PGtleXdvcmQ+KkluZmFudCwgU21hbGwgZm9yIEdlc3Rh
dGlvbmFsIEFnZTwva2V5d29yZD48a2V5d29yZD5NYXRlcm5hbCBBZ2U8L2tleXdvcmQ+PGtleXdv
cmQ+T2JzdGV0cmljIExhYm9yLCBQcmVtYXR1cmUvKmVwaWRlbWlvbG9neS8qZXRpb2xvZ3k8L2tl
eXdvcmQ+PGtleXdvcmQ+T2RkcyBSYXRpbzwva2V5d29yZD48a2V5d29yZD4qUGh5c2ljYWwgRXhl
cnRpb248L2tleXdvcmQ+PGtleXdvcmQ+UHJlZ25hbmN5PC9rZXl3b3JkPjxrZXl3b3JkPlByb2Jh
YmlsaXR5PC9rZXl3b3JkPjxrZXl3b3JkPlByb3NwZWN0aXZlIFN0dWRpZXM8L2tleXdvcmQ+PGtl
eXdvcmQ+UmlzayBBc3Nlc3NtZW50PC9rZXl3b3JkPjxrZXl3b3JkPipXb21lbiwgV29ya2luZzwv
a2V5d29yZD48a2V5d29yZD5Xb3JrIFNjaGVkdWxlIFRvbGVyYW5jZTwva2V5d29yZD48L2tleXdv
cmRzPjxkYXRlcz48eWVhcj4yMDA1PC95ZWFyPjxwdWItZGF0ZXM+PGRhdGU+RGVjPC9kYXRlPjwv
cHViLWRhdGVzPjwvZGF0ZXM+PGlzYm4+MDAyOS03ODQ0IChQcmludCkmI3hEOzAwMjktNzg0NCAo
TGlua2luZyk8L2lzYm4+PGFjY2Vzc2lvbi1udW0+MTYzMTkyNTM8L2FjY2Vzc2lvbi1udW0+PHVy
bHM+PHJlbGF0ZWQtdXJscz48dXJsPmh0dHBzOi8vd3d3Lm5jYmkubmxtLm5paC5nb3YvcHVibWVk
LzE2MzE5MjUzPC91cmw+PC9yZWxhdGVkLXVybHM+PC91cmxzPjxlbGVjdHJvbmljLXJlc291cmNl
LW51bT4xMC4xMDk3LzAxLkFPRy4wMDAwMTg5MDgwLjc2OTk4LmY4PC9lbGVjdHJvbmljLXJlc291
cmNlLW51bT48L3JlY29yZD48L0NpdGU+PC9FbmROb3RlPgB=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334</w:t>
      </w:r>
      <w:r w:rsidR="00283324">
        <w:fldChar w:fldCharType="end"/>
      </w:r>
    </w:p>
    <w:p w14:paraId="347B8BF5" w14:textId="08565C2B" w:rsidR="003060CB" w:rsidRDefault="00523F3C" w:rsidP="003060CB">
      <w:pPr>
        <w:pStyle w:val="bullet"/>
      </w:pPr>
      <w:r>
        <w:t>frequently lifting</w:t>
      </w:r>
      <w:r w:rsidR="003060CB">
        <w:t xml:space="preserve"> &gt;25 kg (</w:t>
      </w:r>
      <w:r w:rsidR="003060CB" w:rsidRPr="003060CB">
        <w:rPr>
          <w:sz w:val="16"/>
          <w:szCs w:val="16"/>
        </w:rPr>
        <w:t>OR 1.85; 95%CI 0.70 to 4.88</w:t>
      </w:r>
      <w:r w:rsidR="003060CB">
        <w:t>) or often had long periods of standing (</w:t>
      </w:r>
      <w:r w:rsidR="003060CB" w:rsidRPr="003060CB">
        <w:rPr>
          <w:sz w:val="16"/>
          <w:szCs w:val="16"/>
        </w:rPr>
        <w:t>OR 0.95; 95%CI 0.63 to 1.45</w:t>
      </w:r>
      <w:r w:rsidR="003060CB">
        <w:t>) (</w:t>
      </w:r>
      <w:r w:rsidR="003060CB" w:rsidRPr="003060CB">
        <w:rPr>
          <w:sz w:val="16"/>
          <w:szCs w:val="16"/>
        </w:rPr>
        <w:t>n=4,680</w:t>
      </w:r>
      <w:r w:rsidR="003060CB">
        <w:t>).</w:t>
      </w:r>
      <w:r w:rsidR="00283324">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 </w:instrText>
      </w:r>
      <w:r w:rsidR="002747EA">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335</w:t>
      </w:r>
      <w:r w:rsidR="00283324">
        <w:fldChar w:fldCharType="end"/>
      </w:r>
    </w:p>
    <w:p w14:paraId="280E2855" w14:textId="7AE56686" w:rsidR="0017687C" w:rsidRPr="00364D2B" w:rsidRDefault="0017687C" w:rsidP="00364D2B">
      <w:r>
        <w:t>A case-control study (</w:t>
      </w:r>
      <w:r w:rsidRPr="0017687C">
        <w:rPr>
          <w:sz w:val="16"/>
          <w:szCs w:val="16"/>
        </w:rPr>
        <w:t>n=5,677</w:t>
      </w:r>
      <w:r>
        <w:t>)</w:t>
      </w:r>
      <w:r w:rsidR="00283324">
        <w:fldChar w:fldCharType="begin"/>
      </w:r>
      <w:r w:rsidR="002747EA">
        <w:instrText xml:space="preserve"> ADDIN EN.CITE &lt;EndNote&gt;&lt;Cite&gt;&lt;Author&gt;Croteau&lt;/Author&gt;&lt;Year&gt;2006&lt;/Year&gt;&lt;RecNum&gt;843&lt;/RecNum&gt;&lt;DisplayText&gt;&lt;style face="superscript" font="Trebuchet MS" size="9"&gt;340&lt;/style&gt;&lt;/DisplayText&gt;&lt;record&gt;&lt;rec-number&gt;843&lt;/rec-number&gt;&lt;foreign-keys&gt;&lt;key app="EN" db-id="exvasrfx2dtraoesasxp2szsxa2df502592x" timestamp="1541540597"&gt;843&lt;/key&gt;&lt;key app="ENWeb" db-id=""&gt;0&lt;/key&gt;&lt;/foreign-keys&gt;&lt;ref-type name="Journal Article"&gt;17&lt;/ref-type&gt;&lt;contributors&gt;&lt;authors&gt;&lt;author&gt;Croteau, Agathe&lt;/author&gt;&lt;author&gt;Marcoux, Sylvie&lt;/author&gt;&lt;author&gt;Brisson, Chantal&lt;/author&gt;&lt;/authors&gt;&lt;/contributors&gt;&lt;titles&gt;&lt;title&gt;Work activity in pregnancy, preventive measures, and the risk of delivering a small-for-gestational-age infant&lt;/title&gt;&lt;secondary-title&gt;American Journal of Public Health&lt;/secondary-title&gt;&lt;/titles&gt;&lt;periodical&gt;&lt;full-title&gt;American Journal of Public Health&lt;/full-title&gt;&lt;/periodical&gt;&lt;pages&gt;846-855&lt;/pages&gt;&lt;volume&gt;96&lt;/volume&gt;&lt;number&gt;5&lt;/number&gt;&lt;section&gt;846&lt;/section&gt;&lt;dates&gt;&lt;year&gt;2006&lt;/year&gt;&lt;/dates&gt;&lt;isbn&gt;0090-0036&amp;#xD;1541-0048&lt;/isbn&gt;&lt;urls&gt;&lt;/urls&gt;&lt;electronic-resource-num&gt;10.2105/ajph.2004.058552&lt;/electronic-resource-num&gt;&lt;/record&gt;&lt;/Cite&gt;&lt;/EndNote&gt;</w:instrText>
      </w:r>
      <w:r w:rsidR="00283324">
        <w:fldChar w:fldCharType="separate"/>
      </w:r>
      <w:r w:rsidR="002747EA" w:rsidRPr="002747EA">
        <w:rPr>
          <w:noProof/>
          <w:vertAlign w:val="superscript"/>
        </w:rPr>
        <w:t>340</w:t>
      </w:r>
      <w:r w:rsidR="00283324">
        <w:fldChar w:fldCharType="end"/>
      </w:r>
      <w:r>
        <w:t xml:space="preserve"> found no association between small-for-gestational age and standing ≥7 hours a day (</w:t>
      </w:r>
      <w:r w:rsidRPr="0017687C">
        <w:rPr>
          <w:sz w:val="16"/>
          <w:szCs w:val="16"/>
        </w:rPr>
        <w:t>OR 1.2; 95%CI 0.9 to 1.6</w:t>
      </w:r>
      <w:r>
        <w:t>) or lifting ≥7 kg (</w:t>
      </w:r>
      <w:r w:rsidRPr="0017687C">
        <w:rPr>
          <w:sz w:val="16"/>
          <w:szCs w:val="16"/>
        </w:rPr>
        <w:t>OR 1.2; 95%CI 0.9 to 1.5</w:t>
      </w:r>
      <w:r>
        <w:t>).</w:t>
      </w:r>
    </w:p>
    <w:p w14:paraId="31CD52A8" w14:textId="79431C75" w:rsidR="00E82F9C" w:rsidRDefault="00E82F9C" w:rsidP="0031338D">
      <w:pPr>
        <w:pStyle w:val="Heading4"/>
      </w:pPr>
      <w:r>
        <w:t>Risk of pelvic pain</w:t>
      </w:r>
    </w:p>
    <w:p w14:paraId="1DA4A395" w14:textId="793A2AA7" w:rsidR="00C83E42" w:rsidRDefault="00C83E42" w:rsidP="00805340">
      <w:r>
        <w:t>A cohort study (</w:t>
      </w:r>
      <w:r w:rsidRPr="00C83E42">
        <w:rPr>
          <w:sz w:val="16"/>
          <w:szCs w:val="16"/>
        </w:rPr>
        <w:t>n=50,143</w:t>
      </w:r>
      <w:r>
        <w:t>)</w:t>
      </w:r>
      <w:r w:rsidR="00283324">
        <w:fldChar w:fldCharType="begin">
          <w:fldData xml:space="preserve">PEVuZE5vdGU+PENpdGU+PEF1dGhvcj5MYXJzZW48L0F1dGhvcj48WWVhcj4yMDEzPC9ZZWFyPjxS
ZWNOdW0+ODA2PC9SZWNOdW0+PERpc3BsYXlUZXh0PjxzdHlsZSBmYWNlPSJzdXBlcnNjcmlwdCIg
Zm9udD0iVHJlYnVjaGV0IE1TIiBzaXplPSI5Ij4zNDE8L3N0eWxlPjwvRGlzcGxheVRleHQ+PHJl
Y29yZD48cmVjLW51bWJlcj44MDY8L3JlYy1udW1iZXI+PGZvcmVpZ24ta2V5cz48a2V5IGFwcD0i
RU4iIGRiLWlkPSJleHZhc3JmeDJkdHJhb2VzYXN4cDJzenN4YTJkZjUwMjU5MngiIHRpbWVzdGFt
cD0iMTU0MTU0MDQ2NyI+ODA2PC9rZXk+PGtleSBhcHA9IkVOV2ViIiBkYi1pZD0iIj4wPC9rZXk+
PC9mb3JlaWduLWtleXM+PHJlZi10eXBlIG5hbWU9IkpvdXJuYWwgQXJ0aWNsZSI+MTc8L3JlZi10
eXBlPjxjb250cmlidXRvcnM+PGF1dGhvcnM+PGF1dGhvcj5MYXJzZW4sIFAuIFMuPC9hdXRob3I+
PGF1dGhvcj5TdHJhbmRiZXJnLUxhcnNlbiwgSy48L2F1dGhvcj48YXV0aG9yPkp1aGwsIE0uPC9h
dXRob3I+PGF1dGhvcj5TdmVuZHNlbiwgUy4gVy48L2F1dGhvcj48YXV0aG9yPkJvbmRlLCBKLiBQ
LjwvYXV0aG9yPjxhdXRob3I+QW5kZXJzZW4sIEEuIE0uPC9hdXRob3I+PC9hdXRob3JzPjwvY29u
dHJpYnV0b3JzPjxhdXRoLWFkZHJlc3M+U2VjdGlvbiBvZiBTb2NpYWwgTWVkaWNpbmUsIERlcGFy
dG1lbnQgb2YgUHVibGljIEhlYWx0aCwgVW5pdmVyc2l0eSBvZiBDb3BlbmhhZ2VuLCBDb3Blbmhh
Z2VuIEssIERlbm1hcmsuIHBlcm5pbGxlbGFyc2VuQHN1bmQua3UuZGs8L2F1dGgtYWRkcmVzcz48
dGl0bGVzPjx0aXRsZT5PY2N1cGF0aW9uYWwgbGlmdGluZyBhbmQgcGVsdmljIHBhaW4gZHVyaW5n
IHByZWduYW5jeTogYSBzdHVkeSB3aXRoaW4gdGhlIERhbmlzaCBOYXRpb25hbCBCaXJ0aCBDb2hv
cnQ8L3RpdGxlPjxzZWNvbmRhcnktdGl0bGU+U2NhbmQgSiBXb3JrIEVudmlyb24gSGVhbHRoPC9z
ZWNvbmRhcnktdGl0bGU+PC90aXRsZXM+PHBlcmlvZGljYWw+PGZ1bGwtdGl0bGU+U2NhbmQgSiBX
b3JrIEVudmlyb24gSGVhbHRoPC9mdWxsLXRpdGxlPjwvcGVyaW9kaWNhbD48cGFnZXM+ODgtOTU8
L3BhZ2VzPjx2b2x1bWU+Mzk8L3ZvbHVtZT48bnVtYmVyPjE8L251bWJlcj48ZWRpdGlvbj4yMDEy
LzA1LzEwPC9lZGl0aW9uPjxrZXl3b3Jkcz48a2V5d29yZD5BYnNlbnRlZWlzbTwva2V5d29yZD48
a2V5d29yZD5BZHVsdDwva2V5d29yZD48a2V5d29yZD5Cb2R5IE1hc3MgSW5kZXg8L2tleXdvcmQ+
PGtleXdvcmQ+RGVubWFyay9lcGlkZW1pb2xvZ3k8L2tleXdvcmQ+PGtleXdvcmQ+RXhlcmNpc2U8
L2tleXdvcmQ+PGtleXdvcmQ+RmVtYWxlPC9rZXl3b3JkPjxrZXl3b3JkPkh1bWFuczwva2V5d29y
ZD48a2V5d29yZD5MaWZ0aW5nLyphZHZlcnNlIGVmZmVjdHM8L2tleXdvcmQ+PGtleXdvcmQ+T2Nj
dXBhdGlvbmFsIERpc2Vhc2VzL2VwaWRlbWlvbG9neS8qZXRpb2xvZ3k8L2tleXdvcmQ+PGtleXdv
cmQ+T2NjdXBhdGlvbmFsIEV4cG9zdXJlLyphZHZlcnNlIGVmZmVjdHMvc3RhdGlzdGljcyAmYW1w
OyBudW1lcmljYWwgZGF0YTwva2V5d29yZD48a2V5d29yZD5PY2N1cGF0aW9uYWwgSGVhbHRoPC9r
ZXl3b3JkPjxrZXl3b3JkPk9jY3VwYXRpb25zL3N0YXRpc3RpY3MgJmFtcDsgbnVtZXJpY2FsIGRh
dGE8L2tleXdvcmQ+PGtleXdvcmQ+UGVsdmljIFBhaW4vZXBpZGVtaW9sb2d5LypldGlvbG9neTwv
a2V5d29yZD48a2V5d29yZD5QcmVnbmFuY3k8L2tleXdvcmQ+PGtleXdvcmQ+UHJlZ25hbmN5IENv
bXBsaWNhdGlvbnMvKmV0aW9sb2d5PC9rZXl3b3JkPjxrZXl3b3JkPlJpc2sgRmFjdG9yczwva2V5
d29yZD48L2tleXdvcmRzPjxkYXRlcz48eWVhcj4yMDEzPC95ZWFyPjxwdWItZGF0ZXM+PGRhdGU+
SmFuPC9kYXRlPjwvcHViLWRhdGVzPjwvZGF0ZXM+PGlzYm4+MTc5NS05OTBYIChFbGVjdHJvbmlj
KSYjeEQ7MDM1NS0zMTQwIChMaW5raW5nKTwvaXNibj48YWNjZXNzaW9uLW51bT4yMjU2OTc3ODwv
YWNjZXNzaW9uLW51bT48dXJscz48cmVsYXRlZC11cmxzPjx1cmw+aHR0cHM6Ly93d3cubmNiaS5u
bG0ubmloLmdvdi9wdWJtZWQvMjI1Njk3Nzg8L3VybD48L3JlbGF0ZWQtdXJscz48L3VybHM+PGVs
ZWN0cm9uaWMtcmVzb3VyY2UtbnVtPjEwLjUyNzEvc2p3ZWguMzMwNDwvZWxlY3Ryb25pYy1yZXNv
dXJjZS1udW0+PC9yZWNvcmQ+PC9DaXRlPjwvRW5kTm90ZT4A
</w:fldData>
        </w:fldChar>
      </w:r>
      <w:r w:rsidR="002747EA">
        <w:instrText xml:space="preserve"> ADDIN EN.CITE </w:instrText>
      </w:r>
      <w:r w:rsidR="002747EA">
        <w:fldChar w:fldCharType="begin">
          <w:fldData xml:space="preserve">PEVuZE5vdGU+PENpdGU+PEF1dGhvcj5MYXJzZW48L0F1dGhvcj48WWVhcj4yMDEzPC9ZZWFyPjxS
ZWNOdW0+ODA2PC9SZWNOdW0+PERpc3BsYXlUZXh0PjxzdHlsZSBmYWNlPSJzdXBlcnNjcmlwdCIg
Zm9udD0iVHJlYnVjaGV0IE1TIiBzaXplPSI5Ij4zNDE8L3N0eWxlPjwvRGlzcGxheVRleHQ+PHJl
Y29yZD48cmVjLW51bWJlcj44MDY8L3JlYy1udW1iZXI+PGZvcmVpZ24ta2V5cz48a2V5IGFwcD0i
RU4iIGRiLWlkPSJleHZhc3JmeDJkdHJhb2VzYXN4cDJzenN4YTJkZjUwMjU5MngiIHRpbWVzdGFt
cD0iMTU0MTU0MDQ2NyI+ODA2PC9rZXk+PGtleSBhcHA9IkVOV2ViIiBkYi1pZD0iIj4wPC9rZXk+
PC9mb3JlaWduLWtleXM+PHJlZi10eXBlIG5hbWU9IkpvdXJuYWwgQXJ0aWNsZSI+MTc8L3JlZi10
eXBlPjxjb250cmlidXRvcnM+PGF1dGhvcnM+PGF1dGhvcj5MYXJzZW4sIFAuIFMuPC9hdXRob3I+
PGF1dGhvcj5TdHJhbmRiZXJnLUxhcnNlbiwgSy48L2F1dGhvcj48YXV0aG9yPkp1aGwsIE0uPC9h
dXRob3I+PGF1dGhvcj5TdmVuZHNlbiwgUy4gVy48L2F1dGhvcj48YXV0aG9yPkJvbmRlLCBKLiBQ
LjwvYXV0aG9yPjxhdXRob3I+QW5kZXJzZW4sIEEuIE0uPC9hdXRob3I+PC9hdXRob3JzPjwvY29u
dHJpYnV0b3JzPjxhdXRoLWFkZHJlc3M+U2VjdGlvbiBvZiBTb2NpYWwgTWVkaWNpbmUsIERlcGFy
dG1lbnQgb2YgUHVibGljIEhlYWx0aCwgVW5pdmVyc2l0eSBvZiBDb3BlbmhhZ2VuLCBDb3Blbmhh
Z2VuIEssIERlbm1hcmsuIHBlcm5pbGxlbGFyc2VuQHN1bmQua3UuZGs8L2F1dGgtYWRkcmVzcz48
dGl0bGVzPjx0aXRsZT5PY2N1cGF0aW9uYWwgbGlmdGluZyBhbmQgcGVsdmljIHBhaW4gZHVyaW5n
IHByZWduYW5jeTogYSBzdHVkeSB3aXRoaW4gdGhlIERhbmlzaCBOYXRpb25hbCBCaXJ0aCBDb2hv
cnQ8L3RpdGxlPjxzZWNvbmRhcnktdGl0bGU+U2NhbmQgSiBXb3JrIEVudmlyb24gSGVhbHRoPC9z
ZWNvbmRhcnktdGl0bGU+PC90aXRsZXM+PHBlcmlvZGljYWw+PGZ1bGwtdGl0bGU+U2NhbmQgSiBX
b3JrIEVudmlyb24gSGVhbHRoPC9mdWxsLXRpdGxlPjwvcGVyaW9kaWNhbD48cGFnZXM+ODgtOTU8
L3BhZ2VzPjx2b2x1bWU+Mzk8L3ZvbHVtZT48bnVtYmVyPjE8L251bWJlcj48ZWRpdGlvbj4yMDEy
LzA1LzEwPC9lZGl0aW9uPjxrZXl3b3Jkcz48a2V5d29yZD5BYnNlbnRlZWlzbTwva2V5d29yZD48
a2V5d29yZD5BZHVsdDwva2V5d29yZD48a2V5d29yZD5Cb2R5IE1hc3MgSW5kZXg8L2tleXdvcmQ+
PGtleXdvcmQ+RGVubWFyay9lcGlkZW1pb2xvZ3k8L2tleXdvcmQ+PGtleXdvcmQ+RXhlcmNpc2U8
L2tleXdvcmQ+PGtleXdvcmQ+RmVtYWxlPC9rZXl3b3JkPjxrZXl3b3JkPkh1bWFuczwva2V5d29y
ZD48a2V5d29yZD5MaWZ0aW5nLyphZHZlcnNlIGVmZmVjdHM8L2tleXdvcmQ+PGtleXdvcmQ+T2Nj
dXBhdGlvbmFsIERpc2Vhc2VzL2VwaWRlbWlvbG9neS8qZXRpb2xvZ3k8L2tleXdvcmQ+PGtleXdv
cmQ+T2NjdXBhdGlvbmFsIEV4cG9zdXJlLyphZHZlcnNlIGVmZmVjdHMvc3RhdGlzdGljcyAmYW1w
OyBudW1lcmljYWwgZGF0YTwva2V5d29yZD48a2V5d29yZD5PY2N1cGF0aW9uYWwgSGVhbHRoPC9r
ZXl3b3JkPjxrZXl3b3JkPk9jY3VwYXRpb25zL3N0YXRpc3RpY3MgJmFtcDsgbnVtZXJpY2FsIGRh
dGE8L2tleXdvcmQ+PGtleXdvcmQ+UGVsdmljIFBhaW4vZXBpZGVtaW9sb2d5LypldGlvbG9neTwv
a2V5d29yZD48a2V5d29yZD5QcmVnbmFuY3k8L2tleXdvcmQ+PGtleXdvcmQ+UHJlZ25hbmN5IENv
bXBsaWNhdGlvbnMvKmV0aW9sb2d5PC9rZXl3b3JkPjxrZXl3b3JkPlJpc2sgRmFjdG9yczwva2V5
d29yZD48L2tleXdvcmRzPjxkYXRlcz48eWVhcj4yMDEzPC95ZWFyPjxwdWItZGF0ZXM+PGRhdGU+
SmFuPC9kYXRlPjwvcHViLWRhdGVzPjwvZGF0ZXM+PGlzYm4+MTc5NS05OTBYIChFbGVjdHJvbmlj
KSYjeEQ7MDM1NS0zMTQwIChMaW5raW5nKTwvaXNibj48YWNjZXNzaW9uLW51bT4yMjU2OTc3ODwv
YWNjZXNzaW9uLW51bT48dXJscz48cmVsYXRlZC11cmxzPjx1cmw+aHR0cHM6Ly93d3cubmNiaS5u
bG0ubmloLmdvdi9wdWJtZWQvMjI1Njk3Nzg8L3VybD48L3JlbGF0ZWQtdXJscz48L3VybHM+PGVs
ZWN0cm9uaWMtcmVzb3VyY2UtbnVtPjEwLjUyNzEvc2p3ZWguMzMwNDwvZWxlY3Ryb25pYy1yZXNv
dXJjZS1udW0+PC9yZWNvcmQ+PC9DaXRlPjwvRW5kTm90ZT4A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341</w:t>
      </w:r>
      <w:r w:rsidR="00283324">
        <w:fldChar w:fldCharType="end"/>
      </w:r>
      <w:r>
        <w:t xml:space="preserve"> found an increased risk of pelvic pain among women lifting 101-200 kg/day (</w:t>
      </w:r>
      <w:r w:rsidRPr="00C83E42">
        <w:rPr>
          <w:sz w:val="16"/>
          <w:szCs w:val="16"/>
        </w:rPr>
        <w:t>aOR 1.21; 95%CI 1.09 to 1.34</w:t>
      </w:r>
      <w:r>
        <w:t>), 201-500 kg/day (</w:t>
      </w:r>
      <w:r w:rsidRPr="00C83E42">
        <w:rPr>
          <w:sz w:val="16"/>
          <w:szCs w:val="16"/>
        </w:rPr>
        <w:t>aOR 1.45; 95%CI 1.31 to 1.60</w:t>
      </w:r>
      <w:r>
        <w:t>), 501-1,000 kg/day (</w:t>
      </w:r>
      <w:r w:rsidRPr="00C83E42">
        <w:rPr>
          <w:sz w:val="16"/>
          <w:szCs w:val="16"/>
        </w:rPr>
        <w:t>aOR</w:t>
      </w:r>
      <w:r>
        <w:rPr>
          <w:sz w:val="16"/>
          <w:szCs w:val="16"/>
        </w:rPr>
        <w:t> </w:t>
      </w:r>
      <w:r w:rsidRPr="00C83E42">
        <w:rPr>
          <w:sz w:val="16"/>
          <w:szCs w:val="16"/>
        </w:rPr>
        <w:t>1.45; 95%CI 1.23 to 1.72</w:t>
      </w:r>
      <w:r>
        <w:t>) or &gt;1,000 kg/day (</w:t>
      </w:r>
      <w:r w:rsidRPr="00C83E42">
        <w:rPr>
          <w:sz w:val="16"/>
          <w:szCs w:val="16"/>
        </w:rPr>
        <w:t>aOR 1.31; 95%CI 1.02 to 1.69</w:t>
      </w:r>
      <w:r>
        <w:t>).</w:t>
      </w:r>
    </w:p>
    <w:p w14:paraId="0F4CD329" w14:textId="2EC7E490" w:rsidR="00805340" w:rsidRDefault="00805340" w:rsidP="00805340">
      <w:r>
        <w:t xml:space="preserve">A </w:t>
      </w:r>
      <w:r w:rsidR="003C78C0">
        <w:t>case-control</w:t>
      </w:r>
      <w:r>
        <w:t xml:space="preserve"> study</w:t>
      </w:r>
      <w:r w:rsidR="003C78C0">
        <w:t xml:space="preserve"> (</w:t>
      </w:r>
      <w:r w:rsidR="003C78C0" w:rsidRPr="00DC03DC">
        <w:rPr>
          <w:sz w:val="16"/>
          <w:szCs w:val="16"/>
        </w:rPr>
        <w:t>n=</w:t>
      </w:r>
      <w:r w:rsidR="000E5081" w:rsidRPr="00DC03DC">
        <w:rPr>
          <w:sz w:val="16"/>
          <w:szCs w:val="16"/>
        </w:rPr>
        <w:t>2,758</w:t>
      </w:r>
      <w:r w:rsidR="000E5081">
        <w:t>)</w:t>
      </w:r>
      <w:r w:rsidR="003E3405">
        <w:fldChar w:fldCharType="begin"/>
      </w:r>
      <w:r w:rsidR="002747EA">
        <w:instrText xml:space="preserve"> ADDIN EN.CITE &lt;EndNote&gt;&lt;Cite&gt;&lt;Author&gt;Juhl&lt;/Author&gt;&lt;Year&gt;2005&lt;/Year&gt;&lt;RecNum&gt;880&lt;/RecNum&gt;&lt;DisplayText&gt;&lt;style face="superscript" font="Trebuchet MS" size="9"&gt;342&lt;/style&gt;&lt;/DisplayText&gt;&lt;record&gt;&lt;rec-number&gt;880&lt;/rec-number&gt;&lt;foreign-keys&gt;&lt;key app="EN" db-id="exvasrfx2dtraoesasxp2szsxa2df502592x" timestamp="1541540751"&gt;880&lt;/key&gt;&lt;key app="ENWeb" db-id=""&gt;0&lt;/key&gt;&lt;/foreign-keys&gt;&lt;ref-type name="Journal Article"&gt;17&lt;/ref-type&gt;&lt;contributors&gt;&lt;authors&gt;&lt;author&gt;Juhl, M.&lt;/author&gt;&lt;/authors&gt;&lt;/contributors&gt;&lt;titles&gt;&lt;title&gt;Psychosocial and physical work environment, and risk of pelvic pain in pregnancy. A study within the Danish national birth cohort&lt;/title&gt;&lt;secondary-title&gt;J Epidemiol &amp;amp; Community Health&lt;/secondary-title&gt;&lt;/titles&gt;&lt;periodical&gt;&lt;full-title&gt;J Epidemiol &amp;amp; Community Health&lt;/full-title&gt;&lt;/periodical&gt;&lt;pages&gt;580-585&lt;/pages&gt;&lt;volume&gt;59&lt;/volume&gt;&lt;number&gt;7&lt;/number&gt;&lt;section&gt;580&lt;/section&gt;&lt;dates&gt;&lt;year&gt;2005&lt;/year&gt;&lt;/dates&gt;&lt;isbn&gt;0143-005X&lt;/isbn&gt;&lt;urls&gt;&lt;/urls&gt;&lt;electronic-resource-num&gt;10.1136/jech.2004.029520&lt;/electronic-resource-num&gt;&lt;/record&gt;&lt;/Cite&gt;&lt;/EndNote&gt;</w:instrText>
      </w:r>
      <w:r w:rsidR="003E3405">
        <w:fldChar w:fldCharType="separate"/>
      </w:r>
      <w:r w:rsidR="002747EA" w:rsidRPr="002747EA">
        <w:rPr>
          <w:noProof/>
          <w:vertAlign w:val="superscript"/>
        </w:rPr>
        <w:t>342</w:t>
      </w:r>
      <w:r w:rsidR="003E3405">
        <w:fldChar w:fldCharType="end"/>
      </w:r>
      <w:r>
        <w:t xml:space="preserve"> found no clear </w:t>
      </w:r>
      <w:r w:rsidR="00255531">
        <w:t>difference</w:t>
      </w:r>
      <w:r>
        <w:t xml:space="preserve"> in incidence of pelvic pain among women predominantly standing or walking at work (</w:t>
      </w:r>
      <w:r w:rsidRPr="00805340">
        <w:rPr>
          <w:sz w:val="16"/>
          <w:szCs w:val="16"/>
        </w:rPr>
        <w:t>OR 1.04; 95%CI 0.80 to 1.35</w:t>
      </w:r>
      <w:r>
        <w:t>) but a probable increase among women engaging in physically strenuous work (</w:t>
      </w:r>
      <w:r w:rsidRPr="00805340">
        <w:rPr>
          <w:sz w:val="16"/>
          <w:szCs w:val="16"/>
        </w:rPr>
        <w:t>OR 1.47; 95%CI 1.17 to 1.84</w:t>
      </w:r>
      <w:r>
        <w:t>).</w:t>
      </w:r>
    </w:p>
    <w:p w14:paraId="54DBC44A" w14:textId="6BA071F0" w:rsidR="00D02F54" w:rsidRDefault="00D02F54" w:rsidP="00805340">
      <w:r>
        <w:t>Another case-control study (</w:t>
      </w:r>
      <w:r w:rsidRPr="00D02F54">
        <w:rPr>
          <w:sz w:val="16"/>
          <w:szCs w:val="16"/>
        </w:rPr>
        <w:t>n=2,758</w:t>
      </w:r>
      <w:r>
        <w:t>)</w:t>
      </w:r>
      <w:r w:rsidR="00283324">
        <w:fldChar w:fldCharType="begin"/>
      </w:r>
      <w:r w:rsidR="002747EA">
        <w:instrText xml:space="preserve"> ADDIN EN.CITE &lt;EndNote&gt;&lt;Cite&gt;&lt;Author&gt;Juhl&lt;/Author&gt;&lt;Year&gt;2005&lt;/Year&gt;&lt;RecNum&gt;880&lt;/RecNum&gt;&lt;DisplayText&gt;&lt;style face="superscript" font="Trebuchet MS" size="9"&gt;342&lt;/style&gt;&lt;/DisplayText&gt;&lt;record&gt;&lt;rec-number&gt;880&lt;/rec-number&gt;&lt;foreign-keys&gt;&lt;key app="EN" db-id="exvasrfx2dtraoesasxp2szsxa2df502592x" timestamp="1541540751"&gt;880&lt;/key&gt;&lt;key app="ENWeb" db-id=""&gt;0&lt;/key&gt;&lt;/foreign-keys&gt;&lt;ref-type name="Journal Article"&gt;17&lt;/ref-type&gt;&lt;contributors&gt;&lt;authors&gt;&lt;author&gt;Juhl, M.&lt;/author&gt;&lt;/authors&gt;&lt;/contributors&gt;&lt;titles&gt;&lt;title&gt;Psychosocial and physical work environment, and risk of pelvic pain in pregnancy. A study within the Danish national birth cohort&lt;/title&gt;&lt;secondary-title&gt;J Epidemiol &amp;amp; Community Health&lt;/secondary-title&gt;&lt;/titles&gt;&lt;periodical&gt;&lt;full-title&gt;J Epidemiol &amp;amp; Community Health&lt;/full-title&gt;&lt;/periodical&gt;&lt;pages&gt;580-585&lt;/pages&gt;&lt;volume&gt;59&lt;/volume&gt;&lt;number&gt;7&lt;/number&gt;&lt;section&gt;580&lt;/section&gt;&lt;dates&gt;&lt;year&gt;2005&lt;/year&gt;&lt;/dates&gt;&lt;isbn&gt;0143-005X&lt;/isbn&gt;&lt;urls&gt;&lt;/urls&gt;&lt;electronic-resource-num&gt;10.1136/jech.2004.029520&lt;/electronic-resource-num&gt;&lt;/record&gt;&lt;/Cite&gt;&lt;/EndNote&gt;</w:instrText>
      </w:r>
      <w:r w:rsidR="00283324">
        <w:fldChar w:fldCharType="separate"/>
      </w:r>
      <w:r w:rsidR="002747EA" w:rsidRPr="002747EA">
        <w:rPr>
          <w:noProof/>
          <w:vertAlign w:val="superscript"/>
        </w:rPr>
        <w:t>342</w:t>
      </w:r>
      <w:r w:rsidR="00283324">
        <w:fldChar w:fldCharType="end"/>
      </w:r>
      <w:r>
        <w:t xml:space="preserve"> found an increased risk of pelvic pain associated with physically strenuous work (</w:t>
      </w:r>
      <w:r w:rsidRPr="00D02F54">
        <w:rPr>
          <w:sz w:val="16"/>
          <w:szCs w:val="16"/>
        </w:rPr>
        <w:t>OR 1.47; 95%CI 1.17 to 1.84</w:t>
      </w:r>
      <w:r w:rsidRPr="00D02F54">
        <w:t>)</w:t>
      </w:r>
      <w:r>
        <w:t>.</w:t>
      </w:r>
    </w:p>
    <w:p w14:paraId="2546324B" w14:textId="68AF7847" w:rsidR="00F82888" w:rsidRDefault="00F82888" w:rsidP="00F82888">
      <w:pPr>
        <w:pStyle w:val="Heading4"/>
      </w:pPr>
      <w:r>
        <w:t>Risk of congenital anomalies</w:t>
      </w:r>
    </w:p>
    <w:p w14:paraId="11042FEE" w14:textId="470F7427" w:rsidR="00F82888" w:rsidRDefault="00F82888" w:rsidP="00805340">
      <w:r>
        <w:t>A case-control study (</w:t>
      </w:r>
      <w:r w:rsidRPr="00612B3A">
        <w:rPr>
          <w:sz w:val="16"/>
          <w:szCs w:val="16"/>
        </w:rPr>
        <w:t>n=3,255</w:t>
      </w:r>
      <w:r>
        <w:t>)</w:t>
      </w:r>
      <w:r w:rsidR="00283324">
        <w:fldChar w:fldCharType="begin"/>
      </w:r>
      <w:r w:rsidR="002747EA">
        <w:instrText xml:space="preserve"> ADDIN EN.CITE &lt;EndNote&gt;&lt;Cite&gt;&lt;Author&gt;Agopian&lt;/Author&gt;&lt;Year&gt;2017&lt;/Year&gt;&lt;RecNum&gt;774&lt;/RecNum&gt;&lt;DisplayText&gt;&lt;style face="superscript" font="Trebuchet MS" size="9"&gt;343&lt;/style&gt;&lt;/DisplayText&gt;&lt;record&gt;&lt;rec-number&gt;774&lt;/rec-number&gt;&lt;foreign-keys&gt;&lt;key app="EN" db-id="exvasrfx2dtraoesasxp2szsxa2df502592x" timestamp="1541540359"&gt;774&lt;/key&gt;&lt;key app="ENWeb" db-id=""&gt;0&lt;/key&gt;&lt;/foreign-keys&gt;&lt;ref-type name="Journal Article"&gt;17&lt;/ref-type&gt;&lt;contributors&gt;&lt;authors&gt;&lt;author&gt;Agopian, A. J.&lt;/author&gt;&lt;author&gt;Kim, Jihye&lt;/author&gt;&lt;author&gt;Langlois, Peter H.&lt;/author&gt;&lt;author&gt;Lee, Laura&lt;/author&gt;&lt;author&gt;Whitehead, Lawrence W.&lt;/author&gt;&lt;author&gt;Symanski, Elaine&lt;/author&gt;&lt;author&gt;Herdt, Michele L.&lt;/author&gt;&lt;author&gt;Delclos, George L.&lt;/author&gt;&lt;/authors&gt;&lt;/contributors&gt;&lt;titles&gt;&lt;title&gt;Maternal occupational physical activity and risk for orofacial clefts&lt;/title&gt;&lt;secondary-title&gt;Am J Industrial Med&lt;/secondary-title&gt;&lt;/titles&gt;&lt;periodical&gt;&lt;full-title&gt;Am J Industrial Med&lt;/full-title&gt;&lt;/periodical&gt;&lt;pages&gt;627-634&lt;/pages&gt;&lt;volume&gt;60&lt;/volume&gt;&lt;number&gt;7&lt;/number&gt;&lt;section&gt;627&lt;/section&gt;&lt;dates&gt;&lt;year&gt;2017&lt;/year&gt;&lt;/dates&gt;&lt;isbn&gt;02713586&lt;/isbn&gt;&lt;urls&gt;&lt;/urls&gt;&lt;electronic-resource-num&gt;10.1002/ajim.22731&lt;/electronic-resource-num&gt;&lt;/record&gt;&lt;/Cite&gt;&lt;/EndNote&gt;</w:instrText>
      </w:r>
      <w:r w:rsidR="00283324">
        <w:fldChar w:fldCharType="separate"/>
      </w:r>
      <w:r w:rsidR="002747EA" w:rsidRPr="002747EA">
        <w:rPr>
          <w:noProof/>
          <w:vertAlign w:val="superscript"/>
        </w:rPr>
        <w:t>343</w:t>
      </w:r>
      <w:r w:rsidR="00283324">
        <w:fldChar w:fldCharType="end"/>
      </w:r>
      <w:r>
        <w:t xml:space="preserve"> found association</w:t>
      </w:r>
      <w:r w:rsidR="00F33EED">
        <w:t>s</w:t>
      </w:r>
      <w:r>
        <w:t xml:space="preserve"> between cleft lip and palate and longest versus shortest time standing (</w:t>
      </w:r>
      <w:r w:rsidRPr="00612B3A">
        <w:rPr>
          <w:sz w:val="16"/>
          <w:szCs w:val="16"/>
        </w:rPr>
        <w:t>OR 1.33; 95%CI 1.04 to 1.69</w:t>
      </w:r>
      <w:r>
        <w:t>) and keeping or regaining balance (</w:t>
      </w:r>
      <w:r w:rsidRPr="00612B3A">
        <w:rPr>
          <w:sz w:val="16"/>
          <w:szCs w:val="16"/>
        </w:rPr>
        <w:t>OR 1.32; 95%CI 1.03 to 1.68</w:t>
      </w:r>
      <w:r>
        <w:t>) but not bending or twisting or climbing. There was no association between any of these activities and cleft palate alone.</w:t>
      </w:r>
    </w:p>
    <w:p w14:paraId="6B02A1FA" w14:textId="7A6C8A29" w:rsidR="00FA44BE" w:rsidRDefault="00590256" w:rsidP="00D07E28">
      <w:pPr>
        <w:pStyle w:val="Heading3"/>
      </w:pPr>
      <w:bookmarkStart w:id="157" w:name="_Toc40956526"/>
      <w:r>
        <w:t>Evidence s</w:t>
      </w:r>
      <w:r w:rsidR="00FA44BE">
        <w:t>ummary</w:t>
      </w:r>
      <w:bookmarkEnd w:id="157"/>
    </w:p>
    <w:p w14:paraId="5F0CF1D9" w14:textId="155DABF3" w:rsidR="00FA44BE" w:rsidRDefault="00FA44BE" w:rsidP="00805340">
      <w:r>
        <w:t xml:space="preserve">No evidence was identified to support an association between </w:t>
      </w:r>
      <w:r w:rsidR="00C724CF">
        <w:t xml:space="preserve">adverse effects in the mother and </w:t>
      </w:r>
      <w:r w:rsidR="003E3405">
        <w:t xml:space="preserve">exercise, </w:t>
      </w:r>
      <w:r w:rsidR="001B2152">
        <w:t>vig</w:t>
      </w:r>
      <w:r w:rsidR="00525DFF">
        <w:t>orous exercise or</w:t>
      </w:r>
      <w:r w:rsidR="001B2152">
        <w:t xml:space="preserve"> </w:t>
      </w:r>
      <w:r>
        <w:t>swimming during pregnancy.</w:t>
      </w:r>
      <w:r w:rsidR="001B2152">
        <w:t xml:space="preserve"> There is very low to low </w:t>
      </w:r>
      <w:r w:rsidR="00343BBE">
        <w:t>certainty</w:t>
      </w:r>
      <w:r w:rsidR="001B2152">
        <w:t xml:space="preserve"> evidence to suggest a potential association between an acute bout of supine exercise and abnormal fetal heart rate.</w:t>
      </w:r>
      <w:r w:rsidR="003E3405">
        <w:t xml:space="preserve"> Bicycling and horseback riding may be associated with miscarriage at 11-14 weeks.</w:t>
      </w:r>
      <w:r w:rsidR="009D51F1">
        <w:t xml:space="preserve"> A systematic review noted that t</w:t>
      </w:r>
      <w:r w:rsidR="009D51F1" w:rsidRPr="00B0068D">
        <w:t>here was insufficient evidence to ascertain</w:t>
      </w:r>
      <w:r w:rsidR="009D51F1">
        <w:t xml:space="preserve"> </w:t>
      </w:r>
      <w:r w:rsidR="009D51F1" w:rsidRPr="006144F9">
        <w:t>whether maternal exercise in the supine position is safe</w:t>
      </w:r>
      <w:r w:rsidR="009D51F1" w:rsidRPr="00B0068D">
        <w:t xml:space="preserve"> </w:t>
      </w:r>
      <w:r w:rsidR="009D51F1" w:rsidRPr="006144F9">
        <w:t>or should be avoided during pregnanc</w:t>
      </w:r>
      <w:r w:rsidR="005056D2">
        <w:t>y.</w:t>
      </w:r>
    </w:p>
    <w:p w14:paraId="6DBDCAAC" w14:textId="74F6FEAC" w:rsidR="006823B0" w:rsidRDefault="00D13703" w:rsidP="002E4BC8">
      <w:r>
        <w:t xml:space="preserve">The evidence on risks associated with </w:t>
      </w:r>
      <w:r w:rsidR="0096540B">
        <w:t>occupational</w:t>
      </w:r>
      <w:r>
        <w:t xml:space="preserve"> </w:t>
      </w:r>
      <w:r w:rsidR="00525DFF">
        <w:t>physical activity</w:t>
      </w:r>
      <w:r>
        <w:t xml:space="preserve"> during pregnancy is unclear. </w:t>
      </w:r>
      <w:r w:rsidR="00525DFF">
        <w:t>H</w:t>
      </w:r>
      <w:r w:rsidR="00375626">
        <w:t xml:space="preserve">eavy lifting </w:t>
      </w:r>
      <w:r w:rsidR="006823B0">
        <w:t>(eg &gt;200 kg/day) may b</w:t>
      </w:r>
      <w:r w:rsidR="00271E4A">
        <w:t>e associated with an increased</w:t>
      </w:r>
      <w:r w:rsidR="006823B0">
        <w:t xml:space="preserve"> risk </w:t>
      </w:r>
      <w:r w:rsidR="00523F3C">
        <w:t>of pelvic pain,</w:t>
      </w:r>
      <w:r w:rsidR="006823B0">
        <w:t xml:space="preserve"> stillbirth among w</w:t>
      </w:r>
      <w:r w:rsidR="00523F3C">
        <w:t>omen with a previous fetal loss and</w:t>
      </w:r>
      <w:r w:rsidR="006823B0">
        <w:t xml:space="preserve"> preterm birth among primigravid women </w:t>
      </w:r>
      <w:r w:rsidR="00523F3C">
        <w:t>but is not</w:t>
      </w:r>
      <w:r w:rsidR="006823B0">
        <w:t xml:space="preserve"> </w:t>
      </w:r>
      <w:r w:rsidR="00523F3C">
        <w:t xml:space="preserve">associated with </w:t>
      </w:r>
      <w:r w:rsidR="006823B0">
        <w:t xml:space="preserve">small-for-gestational age </w:t>
      </w:r>
      <w:r w:rsidR="00523F3C">
        <w:t>or low birth weight</w:t>
      </w:r>
      <w:r w:rsidR="006823B0">
        <w:t xml:space="preserve">. There is a possible association between occupational standing and increased risk of miscarriage (&gt;6 hours a day) or preterm birth (&gt;3 hours a day) but no clear difference in </w:t>
      </w:r>
      <w:r w:rsidR="00271E4A">
        <w:t xml:space="preserve">small-for-gestational age, </w:t>
      </w:r>
      <w:r w:rsidR="006823B0">
        <w:t>birth weight</w:t>
      </w:r>
      <w:r w:rsidR="00523F3C">
        <w:t xml:space="preserve"> or pelvic pain</w:t>
      </w:r>
      <w:r w:rsidR="006823B0">
        <w:t xml:space="preserve">. </w:t>
      </w:r>
      <w:r w:rsidR="00525DFF">
        <w:t xml:space="preserve">There is insufficient evidence to draw conclusions on </w:t>
      </w:r>
      <w:r w:rsidR="00523F3C">
        <w:t>strenuous</w:t>
      </w:r>
      <w:r w:rsidR="00525DFF">
        <w:t xml:space="preserve"> occupational physical exertion in pregnancy</w:t>
      </w:r>
      <w:r w:rsidR="00523F3C">
        <w:t xml:space="preserve"> but it may be associated with preterm premature rupture of the membranes and pelvic pain</w:t>
      </w:r>
      <w:r w:rsidR="00525DFF">
        <w:t>.</w:t>
      </w:r>
    </w:p>
    <w:p w14:paraId="6BF24F3A" w14:textId="0C65FEAF" w:rsidR="00612B3A" w:rsidRPr="002E4BC8" w:rsidRDefault="00612B3A" w:rsidP="002E4BC8"/>
    <w:p w14:paraId="043EC15C" w14:textId="77777777" w:rsidR="00823E0B" w:rsidRDefault="00823E0B" w:rsidP="00823E0B">
      <w:pPr>
        <w:pStyle w:val="Heading1"/>
        <w:sectPr w:rsidR="00823E0B" w:rsidSect="008A6B17">
          <w:pgSz w:w="11901" w:h="16817"/>
          <w:pgMar w:top="1134" w:right="1418" w:bottom="1134" w:left="1418" w:header="709" w:footer="709" w:gutter="0"/>
          <w:cols w:space="708"/>
          <w:docGrid w:linePitch="360"/>
        </w:sectPr>
      </w:pPr>
    </w:p>
    <w:p w14:paraId="58CDFE2E" w14:textId="77777777" w:rsidR="0027320C" w:rsidRDefault="0027320C" w:rsidP="0027320C">
      <w:pPr>
        <w:pStyle w:val="Heading3"/>
      </w:pPr>
      <w:bookmarkStart w:id="158" w:name="_Toc40956527"/>
      <w:r>
        <w:t>Evidence tables</w:t>
      </w:r>
      <w:bookmarkEnd w:id="158"/>
    </w:p>
    <w:p w14:paraId="7BF9E725" w14:textId="3B741134" w:rsidR="003E3405" w:rsidRPr="00DC4A73" w:rsidRDefault="009C163D" w:rsidP="00932C6D">
      <w:pPr>
        <w:pStyle w:val="TableName"/>
      </w:pPr>
      <w:bookmarkStart w:id="159" w:name="_Toc40956662"/>
      <w:r>
        <w:t xml:space="preserve">Q6 </w:t>
      </w:r>
      <w:r w:rsidR="003E3405">
        <w:t>Potential adverse effects associated with any exercise — systematic review</w:t>
      </w:r>
      <w:bookmarkEnd w:id="159"/>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4: Q6 Potential adverse effects associated with any exercise — systematic review"/>
      </w:tblPr>
      <w:tblGrid>
        <w:gridCol w:w="1305"/>
        <w:gridCol w:w="1247"/>
        <w:gridCol w:w="4961"/>
        <w:gridCol w:w="4536"/>
        <w:gridCol w:w="1843"/>
      </w:tblGrid>
      <w:tr w:rsidR="003E3405" w:rsidRPr="00F350A6" w14:paraId="4A2D6397" w14:textId="77777777" w:rsidTr="00BD61CC">
        <w:trPr>
          <w:cantSplit/>
          <w:tblHeader/>
        </w:trPr>
        <w:tc>
          <w:tcPr>
            <w:tcW w:w="1305" w:type="dxa"/>
          </w:tcPr>
          <w:p w14:paraId="3D257692" w14:textId="77777777" w:rsidR="003E3405" w:rsidRPr="00F350A6" w:rsidRDefault="003E3405" w:rsidP="003E3405">
            <w:pPr>
              <w:keepNext/>
              <w:rPr>
                <w:b/>
              </w:rPr>
            </w:pPr>
            <w:r>
              <w:rPr>
                <w:b/>
              </w:rPr>
              <w:t>Study ref</w:t>
            </w:r>
          </w:p>
        </w:tc>
        <w:tc>
          <w:tcPr>
            <w:tcW w:w="1247" w:type="dxa"/>
          </w:tcPr>
          <w:p w14:paraId="614289E4" w14:textId="77777777" w:rsidR="003E3405" w:rsidRPr="00F350A6" w:rsidRDefault="003E3405" w:rsidP="003E3405">
            <w:pPr>
              <w:keepNext/>
              <w:rPr>
                <w:b/>
              </w:rPr>
            </w:pPr>
            <w:r>
              <w:rPr>
                <w:b/>
              </w:rPr>
              <w:t>N</w:t>
            </w:r>
          </w:p>
        </w:tc>
        <w:tc>
          <w:tcPr>
            <w:tcW w:w="4961" w:type="dxa"/>
          </w:tcPr>
          <w:p w14:paraId="50B0DB46" w14:textId="77777777" w:rsidR="003E3405" w:rsidRPr="00F350A6" w:rsidRDefault="003E3405" w:rsidP="003E3405">
            <w:pPr>
              <w:keepNext/>
              <w:rPr>
                <w:b/>
              </w:rPr>
            </w:pPr>
            <w:r>
              <w:rPr>
                <w:b/>
              </w:rPr>
              <w:t>Aim/methods</w:t>
            </w:r>
          </w:p>
        </w:tc>
        <w:tc>
          <w:tcPr>
            <w:tcW w:w="4536" w:type="dxa"/>
          </w:tcPr>
          <w:p w14:paraId="2BD8F867" w14:textId="77777777" w:rsidR="003E3405" w:rsidRPr="00F350A6" w:rsidRDefault="003E3405" w:rsidP="003E3405">
            <w:pPr>
              <w:keepNext/>
              <w:rPr>
                <w:b/>
              </w:rPr>
            </w:pPr>
            <w:r>
              <w:rPr>
                <w:b/>
              </w:rPr>
              <w:t>Results</w:t>
            </w:r>
          </w:p>
        </w:tc>
        <w:tc>
          <w:tcPr>
            <w:tcW w:w="1843" w:type="dxa"/>
          </w:tcPr>
          <w:p w14:paraId="3DBE5771" w14:textId="77777777" w:rsidR="003E3405" w:rsidRPr="00F350A6" w:rsidRDefault="003E3405" w:rsidP="003E3405">
            <w:pPr>
              <w:keepNext/>
              <w:rPr>
                <w:b/>
              </w:rPr>
            </w:pPr>
            <w:r>
              <w:rPr>
                <w:b/>
              </w:rPr>
              <w:t>Comments</w:t>
            </w:r>
          </w:p>
        </w:tc>
      </w:tr>
      <w:tr w:rsidR="003E3405" w:rsidRPr="00F2226D" w14:paraId="0DA54B55" w14:textId="77777777" w:rsidTr="00BD61CC">
        <w:trPr>
          <w:cantSplit/>
        </w:trPr>
        <w:tc>
          <w:tcPr>
            <w:tcW w:w="1305" w:type="dxa"/>
          </w:tcPr>
          <w:p w14:paraId="4A527404" w14:textId="5893AFC3" w:rsidR="003E3405" w:rsidRPr="00F2226D" w:rsidRDefault="003E3405" w:rsidP="002747EA">
            <w:r>
              <w:t>Davenport et al 2019</w:t>
            </w:r>
            <w:r w:rsidR="00F15900">
              <w:t>c</w:t>
            </w:r>
            <w:r>
              <w:fldChar w:fldCharType="begin">
                <w:fldData xml:space="preserve">PEVuZE5vdGU+PENpdGU+PEF1dGhvcj5EYXZlbnBvcnQ8L0F1dGhvcj48WWVhcj4yMDE5PC9ZZWFy
PjxSZWNOdW0+MTI0NzwvUmVjTnVtPjxEaXNwbGF5VGV4dD48c3R5bGUgZmFjZT0ic3VwZXJzY3Jp
cHQiIGZvbnQ9IlRyZWJ1Y2hldCBNUyIgc2l6ZT0iOSI+MzE2PC9zdHlsZT48L0Rpc3BsYXlUZXh0
PjxyZWNvcmQ+PHJlYy1udW1iZXI+MTI0NzwvcmVjLW51bWJlcj48Zm9yZWlnbi1rZXlzPjxrZXkg
YXBwPSJFTiIgZGItaWQ9ImV4dmFzcmZ4MmR0cmFvZXNhc3hwMnN6c3hhMmRmNTAyNTkyeCIgdGlt
ZXN0YW1wPSIxNTYyODIyNTg0Ij4xMjQ3PC9rZXk+PGtleSBhcHA9IkVOV2ViIiBkYi1pZD0iIj4w
PC9rZXk+PC9mb3JlaWduLWtleXM+PHJlZi10eXBlIG5hbWU9IkpvdXJuYWwgQXJ0aWNsZSI+MTc8
L3JlZi10eXBlPjxjb250cmlidXRvcnM+PGF1dGhvcnM+PGF1dGhvcj5EYXZlbnBvcnQsIE0uIEgu
PC9hdXRob3I+PGF1dGhvcj5LYXRob2wsIEEuIEouPC9hdXRob3I+PGF1dGhvcj5Nb3R0b2xhLCBN
LiBGLjwvYXV0aG9yPjxhdXRob3I+U2tvdywgUi4gSi48L2F1dGhvcj48YXV0aG9yPk1lYWgsIFYu
IEwuPC9hdXRob3I+PGF1dGhvcj5Qb2l0cmFzLCBWLiBKLjwvYXV0aG9yPjxhdXRob3I+SmFyYW1p
bGxvIEdhcmNpYSwgQS48L2F1dGhvcj48YXV0aG9yPkdyYXksIEMuIEUuPC9hdXRob3I+PGF1dGhv
cj5CYXJyb3dtYW4sIE4uPC9hdXRob3I+PGF1dGhvcj5SaXNrZSwgTC48L2F1dGhvcj48YXV0aG9y
PlNvYmllcmFqc2tpLCBGLjwvYXV0aG9yPjxhdXRob3I+SmFtZXMsIE0uPC9hdXRob3I+PGF1dGhv
cj5OYWdwYWwsIFQuPC9hdXRob3I+PGF1dGhvcj5NYXJjaGFuZCwgQS4gQS48L2F1dGhvcj48YXV0
aG9yPlNsYXRlciwgTC4gRy48L2F1dGhvcj48YXV0aG9yPkFkYW1vLCBLLiBCLjwvYXV0aG9yPjxh
dXRob3I+RGF2aWVzLCBHLiBBLjwvYXV0aG9yPjxhdXRob3I+QmFyYWthdCwgUi48L2F1dGhvcj48
YXV0aG9yPlJ1Y2hhdCwgUy4gTS48L2F1dGhvcj48L2F1dGhvcnM+PC9jb250cmlidXRvcnM+PGF1
dGgtYWRkcmVzcz5Qcm9ncmFtIGZvciBQcmVnbmFuY3kgYW5kIFBvc3RwYXJ0dW0gSGVhbHRoLCBQ
aHlzaWNhbCBBY3Rpdml0eSBhbmQgRGlhYmV0ZXMgTGFib3JhdG9yeSwgRmFjdWx0eSBvZiBLaW5l
c2lvbG9neSwgU3BvcnQsIGFuZCBSZWNyZWF0aW9uLCBXb21lbiBhbmQgQ2hpbGRyZW4mYXBvcztz
IEhlYWx0aCBSZXNlYXJjaCBJbnN0aXR1dGUsIEFsYmVydGEgRGlhYmV0ZXMgSW5zdGl0dXRlLCBV
bml2ZXJzaXR5IG9mIEFsYmVydGEsIEVkbW9udG9uLCBBbGJlcnRhLCBDYW5hZGEuJiN4RDtSIFNh
bXVlbCBNY0xhdWdobGluIEZvdW5kYXRpb24sIEV4ZXJjaXNlIGFuZCBQcmVnbmFuY3kgTGFib3Jh
dG9yeSwgU2Nob29sIG9mIEtpbmVzaW9sb2d5LCBGYWN1bHR5IG9mIEhlYWx0aCBTY2llbmNlcywg
RGVwYXJ0bWVudCBvZiBBbmF0b215IGFuZCBDZWxsIEJpb2xvZ3ksIFNjaHVsaWNoIFNjaG9vbCBv
ZiBNZWRpY2luZSBhbmQgRGVudGlzdHJ5LCBDaGlsZHJlbiZhcG9zO3MgSGVhbHRoIFJlc2VhcmNo
IEluc3RpdHV0ZSwgVGhlIFVuaXZlcnNpdHkgb2YgV2VzdGVybiBPbnRhcmlvLCBMb25kb24sIE9u
dGFyaW8sIENhbmFkYS4mI3hEO0NhcmRpZmYgU2Nob29sIG9mIFNwb3J0IGFuZCBIZWFsdGggU2Np
ZW5jZXMsIENhcmRpZmYgTWV0cm9wb2xpdGFuIFVuaXZlcnNpdHksIENhcmRpZmYsIFVLLiYjeEQ7
SW5kZXBlbmRlbnQgUmVzZWFyY2hlciwgT3R0YXdhLCBPbnRhcmlvLCBDYW5hZGEuJiN4RDtIZWFs
dGh5IEFjdGl2ZSBMaXZpbmcgYW5kIE9iZXNpdHkgUmVzZWFyY2ggR3JvdXAsIENoaWxkcmVuJmFw
b3M7cyBIb3NwaXRhbCBvZiBFYXN0ZXJuIE9udGFyaW8gUmVzZWFyY2ggSW5zdGl0dXRlLCBPdHRh
d2EsIE9udGFyaW8sIENhbmFkYS4mI3hEO0NsaW5pY2FsIFJlc2VhcmNoIFVuaXQsIENoaWxkcmVu
JmFwb3M7cyBIb3NwaXRhbCBvZiBFYXN0ZXJuIE9udGFyaW8gUmVzZWFyY2ggSW5zdGl0dXRlLCBP
dHRhd2EsIE9udGFyaW8sIENhbmFkYS4mI3hEO0RlcGFydG1lbnQgb2YgQW5hdG9teSwgVW5pdmVy
c2l0ZSBkdSBRdWViZWMgYSBUcm9pcy1SaXZpZXJlcywgVHJvaXMtUml2aWVyZXMsIFF1ZWJlYywg
Q2FuYWRhLiYjeEQ7Sm9obiBXIFNjb3R0IEhlYWx0aCBTY2llbmNlcyBMaWJyYXJ5LCBVbml2ZXJz
aXR5IG9mIEFsYmVydGEsIEVkbW9udG9uLCBBbGJlcnRhLCBDYW5hZGEuJiN4RDtGYWN1bHR5IG9m
IEhlYWx0aCBTY2llbmNlcywgVW5pdmVyc2l0eSBvZiBPdHRhd2EsIE90dGF3YSwgT250YXJpbywg
Q2FuYWRhLiYjeEQ7RGVwYXJ0bWVudCBvZiBPYnN0ZXRyaWNzIGFuZCBHeW5lY29sb2d5LCBRdWVl
biZhcG9zO3MgVW5pdmVyc2l0eSwgS2luZ3N0b24sIE9udGFyaW8sIENhbmFkYS4mI3hEO0ZhY3Vs
dGFkIGRlIENpZW5jaWFzIGRlIGxhIEFjdGl2aWRhZCBGaXNpY2EgeSBkZWwgRGVwb3J0ZS1JTkVG
LCBVbml2ZXJzaWRhZCBQb2xpdGVjbmljYSBkZSBNYWRyaWQsIE1hZHJpZCwgU3BhaW4uJiN4RDtE
ZXBhcnRtZW50IG9mIEh1bWFuIEtpbmV0aWNzLCBVbml2ZXJzaXRlIGR1IFF1ZWJlYyBhIFRyb2lz
LVJpdmllcmVzLCBUcm9pcy1SaXZpZXJlcywgUXVlYmVjLCBDYW5hZGEuPC9hdXRoLWFkZHJlc3M+
PHRpdGxlcz48dGl0bGU+UHJlbmF0YWwgZXhlcmNpc2UgaXMgbm90IGFzc29jaWF0ZWQgd2l0aCBm
ZXRhbCBtb3J0YWxpdHk6IGEgc3lzdGVtYXRpYyByZXZpZXcgYW5kIG1ldGEtYW5hbHlzaXM8L3Rp
dGxlPjxzZWNvbmRhcnktdGl0bGU+QnIgSiBTcG9ydHMgTWVkPC9zZWNvbmRhcnktdGl0bGU+PC90
aXRsZXM+PHBlcmlvZGljYWw+PGZ1bGwtdGl0bGU+QnIgSiBTcG9ydHMgTWVkPC9mdWxsLXRpdGxl
PjwvcGVyaW9kaWNhbD48cGFnZXM+MTA4LTExNTwvcGFnZXM+PHZvbHVtZT41Mzwvdm9sdW1lPjxu
dW1iZXI+MjwvbnVtYmVyPjxlZGl0aW9uPjIwMTgvMTAvMjA8L2VkaXRpb24+PGtleXdvcmRzPjxr
ZXl3b3JkPipFeGVyY2lzZTwva2V5d29yZD48a2V5d29yZD5GZW1hbGU8L2tleXdvcmQ+PGtleXdv
cmQ+KkZldGFsIERlYXRoPC9rZXl3b3JkPjxrZXl3b3JkPkh1bWFuczwva2V5d29yZD48a2V5d29y
ZD5JbmZhbnQ8L2tleXdvcmQ+PGtleXdvcmQ+KkluZmFudCBEZWF0aDwva2V5d29yZD48a2V5d29y
ZD5QcmVnbmFuY3k8L2tleXdvcmQ+PGtleXdvcmQ+UHJlbmF0YWwgQ2FyZTwva2V5d29yZD48a2V5
d29yZD5SYW5kb21pemVkIENvbnRyb2xsZWQgVHJpYWxzIGFzIFRvcGljPC9rZXl3b3JkPjxrZXl3
b3JkPmV4ZXJjaXNlPC9rZXl3b3JkPjxrZXl3b3JkPm1pc2NhcnJpYWdlPC9rZXl3b3JkPjxrZXl3
b3JkPnBlcmluYXRhbCBtb3J0YWxpdHk8L2tleXdvcmQ+PGtleXdvcmQ+c3RpbGxiaXJ0aDwva2V5
d29yZD48L2tleXdvcmRzPjxkYXRlcz48eWVhcj4yMDE5PC95ZWFyPjxwdWItZGF0ZXM+PGRhdGU+
SmFuPC9kYXRlPjwvcHViLWRhdGVzPjwvZGF0ZXM+PGlzYm4+MTQ3My0wNDgwIChFbGVjdHJvbmlj
KSYjeEQ7MDMwNi0zNjc0IChMaW5raW5nKTwvaXNibj48YWNjZXNzaW9uLW51bT4zMDMzNzM0Njwv
YWNjZXNzaW9uLW51bT48dXJscz48cmVsYXRlZC11cmxzPjx1cmw+aHR0cHM6Ly93d3cubmNiaS5u
bG0ubmloLmdvdi9wdWJtZWQvMzAzMzczNDY8L3VybD48L3JlbGF0ZWQtdXJscz48L3VybHM+PGVs
ZWN0cm9uaWMtcmVzb3VyY2UtbnVtPjEwLjExMzYvYmpzcG9ydHMtMjAxOC0wOTk3NzM8L2VsZWN0
cm9uaWMtcmVzb3VyY2UtbnVtPjwvcmVjb3JkPjwvQ2l0ZT48L0VuZE5vdGU+
</w:fldData>
              </w:fldChar>
            </w:r>
            <w:r w:rsidR="002747EA">
              <w:instrText xml:space="preserve"> ADDIN EN.CITE </w:instrText>
            </w:r>
            <w:r w:rsidR="002747EA">
              <w:fldChar w:fldCharType="begin">
                <w:fldData xml:space="preserve">PEVuZE5vdGU+PENpdGU+PEF1dGhvcj5EYXZlbnBvcnQ8L0F1dGhvcj48WWVhcj4yMDE5PC9ZZWFy
PjxSZWNOdW0+MTI0NzwvUmVjTnVtPjxEaXNwbGF5VGV4dD48c3R5bGUgZmFjZT0ic3VwZXJzY3Jp
cHQiIGZvbnQ9IlRyZWJ1Y2hldCBNUyIgc2l6ZT0iOSI+MzE2PC9zdHlsZT48L0Rpc3BsYXlUZXh0
PjxyZWNvcmQ+PHJlYy1udW1iZXI+MTI0NzwvcmVjLW51bWJlcj48Zm9yZWlnbi1rZXlzPjxrZXkg
YXBwPSJFTiIgZGItaWQ9ImV4dmFzcmZ4MmR0cmFvZXNhc3hwMnN6c3hhMmRmNTAyNTkyeCIgdGlt
ZXN0YW1wPSIxNTYyODIyNTg0Ij4xMjQ3PC9rZXk+PGtleSBhcHA9IkVOV2ViIiBkYi1pZD0iIj4w
PC9rZXk+PC9mb3JlaWduLWtleXM+PHJlZi10eXBlIG5hbWU9IkpvdXJuYWwgQXJ0aWNsZSI+MTc8
L3JlZi10eXBlPjxjb250cmlidXRvcnM+PGF1dGhvcnM+PGF1dGhvcj5EYXZlbnBvcnQsIE0uIEgu
PC9hdXRob3I+PGF1dGhvcj5LYXRob2wsIEEuIEouPC9hdXRob3I+PGF1dGhvcj5Nb3R0b2xhLCBN
LiBGLjwvYXV0aG9yPjxhdXRob3I+U2tvdywgUi4gSi48L2F1dGhvcj48YXV0aG9yPk1lYWgsIFYu
IEwuPC9hdXRob3I+PGF1dGhvcj5Qb2l0cmFzLCBWLiBKLjwvYXV0aG9yPjxhdXRob3I+SmFyYW1p
bGxvIEdhcmNpYSwgQS48L2F1dGhvcj48YXV0aG9yPkdyYXksIEMuIEUuPC9hdXRob3I+PGF1dGhv
cj5CYXJyb3dtYW4sIE4uPC9hdXRob3I+PGF1dGhvcj5SaXNrZSwgTC48L2F1dGhvcj48YXV0aG9y
PlNvYmllcmFqc2tpLCBGLjwvYXV0aG9yPjxhdXRob3I+SmFtZXMsIE0uPC9hdXRob3I+PGF1dGhv
cj5OYWdwYWwsIFQuPC9hdXRob3I+PGF1dGhvcj5NYXJjaGFuZCwgQS4gQS48L2F1dGhvcj48YXV0
aG9yPlNsYXRlciwgTC4gRy48L2F1dGhvcj48YXV0aG9yPkFkYW1vLCBLLiBCLjwvYXV0aG9yPjxh
dXRob3I+RGF2aWVzLCBHLiBBLjwvYXV0aG9yPjxhdXRob3I+QmFyYWthdCwgUi48L2F1dGhvcj48
YXV0aG9yPlJ1Y2hhdCwgUy4gTS48L2F1dGhvcj48L2F1dGhvcnM+PC9jb250cmlidXRvcnM+PGF1
dGgtYWRkcmVzcz5Qcm9ncmFtIGZvciBQcmVnbmFuY3kgYW5kIFBvc3RwYXJ0dW0gSGVhbHRoLCBQ
aHlzaWNhbCBBY3Rpdml0eSBhbmQgRGlhYmV0ZXMgTGFib3JhdG9yeSwgRmFjdWx0eSBvZiBLaW5l
c2lvbG9neSwgU3BvcnQsIGFuZCBSZWNyZWF0aW9uLCBXb21lbiBhbmQgQ2hpbGRyZW4mYXBvcztz
IEhlYWx0aCBSZXNlYXJjaCBJbnN0aXR1dGUsIEFsYmVydGEgRGlhYmV0ZXMgSW5zdGl0dXRlLCBV
bml2ZXJzaXR5IG9mIEFsYmVydGEsIEVkbW9udG9uLCBBbGJlcnRhLCBDYW5hZGEuJiN4RDtSIFNh
bXVlbCBNY0xhdWdobGluIEZvdW5kYXRpb24sIEV4ZXJjaXNlIGFuZCBQcmVnbmFuY3kgTGFib3Jh
dG9yeSwgU2Nob29sIG9mIEtpbmVzaW9sb2d5LCBGYWN1bHR5IG9mIEhlYWx0aCBTY2llbmNlcywg
RGVwYXJ0bWVudCBvZiBBbmF0b215IGFuZCBDZWxsIEJpb2xvZ3ksIFNjaHVsaWNoIFNjaG9vbCBv
ZiBNZWRpY2luZSBhbmQgRGVudGlzdHJ5LCBDaGlsZHJlbiZhcG9zO3MgSGVhbHRoIFJlc2VhcmNo
IEluc3RpdHV0ZSwgVGhlIFVuaXZlcnNpdHkgb2YgV2VzdGVybiBPbnRhcmlvLCBMb25kb24sIE9u
dGFyaW8sIENhbmFkYS4mI3hEO0NhcmRpZmYgU2Nob29sIG9mIFNwb3J0IGFuZCBIZWFsdGggU2Np
ZW5jZXMsIENhcmRpZmYgTWV0cm9wb2xpdGFuIFVuaXZlcnNpdHksIENhcmRpZmYsIFVLLiYjeEQ7
SW5kZXBlbmRlbnQgUmVzZWFyY2hlciwgT3R0YXdhLCBPbnRhcmlvLCBDYW5hZGEuJiN4RDtIZWFs
dGh5IEFjdGl2ZSBMaXZpbmcgYW5kIE9iZXNpdHkgUmVzZWFyY2ggR3JvdXAsIENoaWxkcmVuJmFw
b3M7cyBIb3NwaXRhbCBvZiBFYXN0ZXJuIE9udGFyaW8gUmVzZWFyY2ggSW5zdGl0dXRlLCBPdHRh
d2EsIE9udGFyaW8sIENhbmFkYS4mI3hEO0NsaW5pY2FsIFJlc2VhcmNoIFVuaXQsIENoaWxkcmVu
JmFwb3M7cyBIb3NwaXRhbCBvZiBFYXN0ZXJuIE9udGFyaW8gUmVzZWFyY2ggSW5zdGl0dXRlLCBP
dHRhd2EsIE9udGFyaW8sIENhbmFkYS4mI3hEO0RlcGFydG1lbnQgb2YgQW5hdG9teSwgVW5pdmVy
c2l0ZSBkdSBRdWViZWMgYSBUcm9pcy1SaXZpZXJlcywgVHJvaXMtUml2aWVyZXMsIFF1ZWJlYywg
Q2FuYWRhLiYjeEQ7Sm9obiBXIFNjb3R0IEhlYWx0aCBTY2llbmNlcyBMaWJyYXJ5LCBVbml2ZXJz
aXR5IG9mIEFsYmVydGEsIEVkbW9udG9uLCBBbGJlcnRhLCBDYW5hZGEuJiN4RDtGYWN1bHR5IG9m
IEhlYWx0aCBTY2llbmNlcywgVW5pdmVyc2l0eSBvZiBPdHRhd2EsIE90dGF3YSwgT250YXJpbywg
Q2FuYWRhLiYjeEQ7RGVwYXJ0bWVudCBvZiBPYnN0ZXRyaWNzIGFuZCBHeW5lY29sb2d5LCBRdWVl
biZhcG9zO3MgVW5pdmVyc2l0eSwgS2luZ3N0b24sIE9udGFyaW8sIENhbmFkYS4mI3hEO0ZhY3Vs
dGFkIGRlIENpZW5jaWFzIGRlIGxhIEFjdGl2aWRhZCBGaXNpY2EgeSBkZWwgRGVwb3J0ZS1JTkVG
LCBVbml2ZXJzaWRhZCBQb2xpdGVjbmljYSBkZSBNYWRyaWQsIE1hZHJpZCwgU3BhaW4uJiN4RDtE
ZXBhcnRtZW50IG9mIEh1bWFuIEtpbmV0aWNzLCBVbml2ZXJzaXRlIGR1IFF1ZWJlYyBhIFRyb2lz
LVJpdmllcmVzLCBUcm9pcy1SaXZpZXJlcywgUXVlYmVjLCBDYW5hZGEuPC9hdXRoLWFkZHJlc3M+
PHRpdGxlcz48dGl0bGU+UHJlbmF0YWwgZXhlcmNpc2UgaXMgbm90IGFzc29jaWF0ZWQgd2l0aCBm
ZXRhbCBtb3J0YWxpdHk6IGEgc3lzdGVtYXRpYyByZXZpZXcgYW5kIG1ldGEtYW5hbHlzaXM8L3Rp
dGxlPjxzZWNvbmRhcnktdGl0bGU+QnIgSiBTcG9ydHMgTWVkPC9zZWNvbmRhcnktdGl0bGU+PC90
aXRsZXM+PHBlcmlvZGljYWw+PGZ1bGwtdGl0bGU+QnIgSiBTcG9ydHMgTWVkPC9mdWxsLXRpdGxl
PjwvcGVyaW9kaWNhbD48cGFnZXM+MTA4LTExNTwvcGFnZXM+PHZvbHVtZT41Mzwvdm9sdW1lPjxu
dW1iZXI+MjwvbnVtYmVyPjxlZGl0aW9uPjIwMTgvMTAvMjA8L2VkaXRpb24+PGtleXdvcmRzPjxr
ZXl3b3JkPipFeGVyY2lzZTwva2V5d29yZD48a2V5d29yZD5GZW1hbGU8L2tleXdvcmQ+PGtleXdv
cmQ+KkZldGFsIERlYXRoPC9rZXl3b3JkPjxrZXl3b3JkPkh1bWFuczwva2V5d29yZD48a2V5d29y
ZD5JbmZhbnQ8L2tleXdvcmQ+PGtleXdvcmQ+KkluZmFudCBEZWF0aDwva2V5d29yZD48a2V5d29y
ZD5QcmVnbmFuY3k8L2tleXdvcmQ+PGtleXdvcmQ+UHJlbmF0YWwgQ2FyZTwva2V5d29yZD48a2V5
d29yZD5SYW5kb21pemVkIENvbnRyb2xsZWQgVHJpYWxzIGFzIFRvcGljPC9rZXl3b3JkPjxrZXl3
b3JkPmV4ZXJjaXNlPC9rZXl3b3JkPjxrZXl3b3JkPm1pc2NhcnJpYWdlPC9rZXl3b3JkPjxrZXl3
b3JkPnBlcmluYXRhbCBtb3J0YWxpdHk8L2tleXdvcmQ+PGtleXdvcmQ+c3RpbGxiaXJ0aDwva2V5
d29yZD48L2tleXdvcmRzPjxkYXRlcz48eWVhcj4yMDE5PC95ZWFyPjxwdWItZGF0ZXM+PGRhdGU+
SmFuPC9kYXRlPjwvcHViLWRhdGVzPjwvZGF0ZXM+PGlzYm4+MTQ3My0wNDgwIChFbGVjdHJvbmlj
KSYjeEQ7MDMwNi0zNjc0IChMaW5raW5nKTwvaXNibj48YWNjZXNzaW9uLW51bT4zMDMzNzM0Njwv
YWNjZXNzaW9uLW51bT48dXJscz48cmVsYXRlZC11cmxzPjx1cmw+aHR0cHM6Ly93d3cubmNiaS5u
bG0ubmloLmdvdi9wdWJtZWQvMzAzMzczNDY8L3VybD48L3JlbGF0ZWQtdXJscz48L3VybHM+PGVs
ZWN0cm9uaWMtcmVzb3VyY2UtbnVtPjEwLjExMzYvYmpzcG9ydHMtMjAxOC0wOTk3NzM8L2VsZWN0
cm9uaWMtcmVzb3VyY2UtbnVtPjwvcmVjb3JkPjwvQ2l0ZT48L0VuZE5vdGU+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316</w:t>
            </w:r>
            <w:r>
              <w:fldChar w:fldCharType="end"/>
            </w:r>
          </w:p>
        </w:tc>
        <w:tc>
          <w:tcPr>
            <w:tcW w:w="1247" w:type="dxa"/>
          </w:tcPr>
          <w:p w14:paraId="5839A753" w14:textId="77777777" w:rsidR="003E3405" w:rsidRDefault="003E3405" w:rsidP="003E3405">
            <w:r>
              <w:t>46 studies</w:t>
            </w:r>
          </w:p>
          <w:p w14:paraId="36D50E3E" w14:textId="77777777" w:rsidR="003E3405" w:rsidRPr="00F2226D" w:rsidRDefault="003E3405" w:rsidP="003E3405">
            <w:r>
              <w:t>266,778</w:t>
            </w:r>
          </w:p>
        </w:tc>
        <w:tc>
          <w:tcPr>
            <w:tcW w:w="4961" w:type="dxa"/>
          </w:tcPr>
          <w:p w14:paraId="26903A5D" w14:textId="77777777" w:rsidR="003E3405" w:rsidRPr="00DB73BF" w:rsidRDefault="003E3405" w:rsidP="003E3405">
            <w:r w:rsidRPr="00DB73BF">
              <w:rPr>
                <w:b/>
              </w:rPr>
              <w:t>Aim</w:t>
            </w:r>
            <w:r>
              <w:t xml:space="preserve">: </w:t>
            </w:r>
            <w:r w:rsidRPr="00DB73BF">
              <w:t>To perform a systematic review of the</w:t>
            </w:r>
            <w:r>
              <w:t xml:space="preserve"> </w:t>
            </w:r>
            <w:r w:rsidRPr="00DB73BF">
              <w:t>relationship between prenatal exercise and fetal or</w:t>
            </w:r>
            <w:r>
              <w:t xml:space="preserve"> </w:t>
            </w:r>
            <w:r w:rsidRPr="00DB73BF">
              <w:t>newborn death.</w:t>
            </w:r>
          </w:p>
          <w:p w14:paraId="061BD376" w14:textId="77777777" w:rsidR="003E3405" w:rsidRPr="00F2226D" w:rsidRDefault="003E3405" w:rsidP="003E3405">
            <w:r w:rsidRPr="00636D2C">
              <w:rPr>
                <w:b/>
              </w:rPr>
              <w:t>Methods</w:t>
            </w:r>
            <w:r>
              <w:t xml:space="preserve">: </w:t>
            </w:r>
            <w:r w:rsidRPr="00636D2C">
              <w:t>Online databases were searched up to 6</w:t>
            </w:r>
            <w:r>
              <w:t xml:space="preserve"> </w:t>
            </w:r>
            <w:r w:rsidRPr="00636D2C">
              <w:t>January 2017.</w:t>
            </w:r>
            <w:r>
              <w:t xml:space="preserve"> </w:t>
            </w:r>
            <w:r w:rsidRPr="00636D2C">
              <w:t>Studies of all designs</w:t>
            </w:r>
            <w:r>
              <w:t xml:space="preserve"> </w:t>
            </w:r>
            <w:r w:rsidRPr="00636D2C">
              <w:t>were included (except case studies) if they were</w:t>
            </w:r>
            <w:r>
              <w:t xml:space="preserve"> </w:t>
            </w:r>
            <w:r w:rsidRPr="00636D2C">
              <w:t>published in English, Spanish or French and contained</w:t>
            </w:r>
            <w:r>
              <w:t xml:space="preserve"> </w:t>
            </w:r>
            <w:r w:rsidRPr="00636D2C">
              <w:t>information on the population (pregnant women without</w:t>
            </w:r>
            <w:r>
              <w:t xml:space="preserve"> </w:t>
            </w:r>
            <w:r w:rsidRPr="00636D2C">
              <w:t>contraindication to exercise), intervention (subjective</w:t>
            </w:r>
            <w:r>
              <w:t xml:space="preserve"> </w:t>
            </w:r>
            <w:r w:rsidRPr="00636D2C">
              <w:t>or objective measures of frequency, intensity, duration,</w:t>
            </w:r>
            <w:r>
              <w:t xml:space="preserve"> volume or type of exercise</w:t>
            </w:r>
            <w:r w:rsidRPr="00636D2C">
              <w:t xml:space="preserve"> alone and outcome (miscarriage</w:t>
            </w:r>
            <w:r>
              <w:t xml:space="preserve"> </w:t>
            </w:r>
            <w:r w:rsidRPr="00636D2C">
              <w:t>or perinatal mortality).</w:t>
            </w:r>
          </w:p>
        </w:tc>
        <w:tc>
          <w:tcPr>
            <w:tcW w:w="4536" w:type="dxa"/>
          </w:tcPr>
          <w:p w14:paraId="748C08E4" w14:textId="77777777" w:rsidR="003E3405" w:rsidRDefault="003E3405" w:rsidP="003E3405">
            <w:r>
              <w:t>Risk in women who exercised in pregnancy compared to those who did not:</w:t>
            </w:r>
          </w:p>
          <w:p w14:paraId="3B3E076B" w14:textId="77777777" w:rsidR="003E3405" w:rsidRDefault="003E3405" w:rsidP="003E3405">
            <w:pPr>
              <w:pStyle w:val="bullet"/>
            </w:pPr>
            <w:r>
              <w:t>Miscarriage: OR 0.69 (0.40 to 1.22); 10 studies</w:t>
            </w:r>
          </w:p>
          <w:p w14:paraId="55AF5F9F" w14:textId="77777777" w:rsidR="003E3405" w:rsidRPr="00636D2C" w:rsidRDefault="003E3405" w:rsidP="003E3405">
            <w:pPr>
              <w:pStyle w:val="bullet"/>
            </w:pPr>
            <w:r>
              <w:t>Perinatal mortality: OR 0.79 (0.26 to 2.38); 6 studies</w:t>
            </w:r>
          </w:p>
        </w:tc>
        <w:tc>
          <w:tcPr>
            <w:tcW w:w="1843" w:type="dxa"/>
          </w:tcPr>
          <w:p w14:paraId="43F4491A" w14:textId="77777777" w:rsidR="003E3405" w:rsidRPr="00F2226D" w:rsidRDefault="003E3405" w:rsidP="003E3405"/>
        </w:tc>
      </w:tr>
      <w:tr w:rsidR="00C04A56" w:rsidRPr="00F2226D" w14:paraId="65F4EBA7" w14:textId="77777777" w:rsidTr="00BD61CC">
        <w:trPr>
          <w:cantSplit/>
        </w:trPr>
        <w:tc>
          <w:tcPr>
            <w:tcW w:w="1305" w:type="dxa"/>
          </w:tcPr>
          <w:p w14:paraId="7EA1B505" w14:textId="527A33DE" w:rsidR="00C04A56" w:rsidRDefault="00C04A56" w:rsidP="002747EA">
            <w:r>
              <w:t>Davenport et al 2018</w:t>
            </w:r>
            <w:r w:rsidR="00D07346">
              <w:fldChar w:fldCharType="begin">
                <w:fldData xml:space="preserve">PEVuZE5vdGU+PENpdGU+PEF1dGhvcj5EYXZlbnBvcnQ8L0F1dGhvcj48WWVhcj4yMDE4PC9ZZWFy
PjxSZWNOdW0+MTk1NDwvUmVjTnVtPjxEaXNwbGF5VGV4dD48c3R5bGUgZmFjZT0ic3VwZXJzY3Jp
cHQiIGZvbnQ9IlRyZWJ1Y2hldCBNUyIgc2l6ZT0iOSI+MzQ0PC9zdHlsZT48L0Rpc3BsYXlUZXh0
PjxyZWNvcmQ+PHJlYy1udW1iZXI+MTk1NDwvcmVjLW51bWJlcj48Zm9yZWlnbi1rZXlzPjxrZXkg
YXBwPSJFTiIgZGItaWQ9ImV4dmFzcmZ4MmR0cmFvZXNhc3hwMnN6c3hhMmRmNTAyNTkyeCIgdGlt
ZXN0YW1wPSIxNTg4NzQzODI5Ij4xOTU0PC9rZXk+PGtleSBhcHA9IkVOV2ViIiBkYi1pZD0iIj4w
PC9rZXk+PC9mb3JlaWduLWtleXM+PHJlZi10eXBlIG5hbWU9IkpvdXJuYWwgQXJ0aWNsZSI+MTc8
L3JlZi10eXBlPjxjb250cmlidXRvcnM+PGF1dGhvcnM+PGF1dGhvcj5EYXZlbnBvcnQsIE0uIEgu
PC9hdXRob3I+PGF1dGhvcj5Tb2JpZXJhanNraSwgRi48L2F1dGhvcj48YXV0aG9yPk1vdHRvbGEs
IE0uIEYuPC9hdXRob3I+PGF1dGhvcj5Ta293LCBSLiBKLjwvYXV0aG9yPjxhdXRob3I+TWVhaCwg
Vi4gTC48L2F1dGhvcj48YXV0aG9yPlBvaXRyYXMsIFYuIEouPC9hdXRob3I+PGF1dGhvcj5HcmF5
LCBDLiBFLjwvYXV0aG9yPjxhdXRob3I+SmFyYW1pbGxvIEdhcmNpYSwgQS48L2F1dGhvcj48YXV0
aG9yPkJhcnJvd21hbiwgTi48L2F1dGhvcj48YXV0aG9yPlJpc2tlLCBMLjwvYXV0aG9yPjxhdXRo
b3I+SmFtZXMsIE0uPC9hdXRob3I+PGF1dGhvcj5OYWdwYWwsIFQuIFMuPC9hdXRob3I+PGF1dGhv
cj5NYXJjaGFuZCwgQS4gQS48L2F1dGhvcj48YXV0aG9yPlNsYXRlciwgTC4gRy48L2F1dGhvcj48
YXV0aG9yPkFkYW1vLCBLLiBCLjwvYXV0aG9yPjxhdXRob3I+RGF2aWVzLCBHLiBBLjwvYXV0aG9y
PjxhdXRob3I+QmFyYWthdCwgUi48L2F1dGhvcj48YXV0aG9yPlJ1Y2hhdCwgUy4gTS48L2F1dGhv
cj48L2F1dGhvcnM+PC9jb250cmlidXRvcnM+PGF1dGgtYWRkcmVzcz5Qcm9ncmFtIGZvciBQcmVn
bmFuY3kgYW5kIFBvc3RwYXJ0dW0gSGVhbHRoLCBQaHlzaWNhbCBBY3Rpdml0eSBhbmQgRGlhYmV0
ZXMgTGFib3JhdG9yeSwgRmFjdWx0eSBvZiBLaW5lc2lvbG9neSwgU3BvcnQgYW5kIFJlY3JlYXRp
b24sIFdvbWVuIGFuZCBDaGlsZHJlbiZhcG9zO3MgSGVhbHRoIFJlc2VhcmNoIEluc3RpdHV0ZSwg
QWxiZXJ0YSBEaWFiZXRlcyBJbnN0aXR1dGUsIFVuaXZlcnNpdHkgb2YgQWxiZXJ0YSwgRWRtb250
b24sIEFsYmVydGEsIENhbmFkYS4mI3hEO1IgU2FtdWVsIE1jTGF1Z2hsaW4gRm91bmRhdGlvbiAt
IEV4ZXJjaXNlIGFuZCBQcmVnbmFuY3kgTGFib3JhdG9yeSwgU2Nob29sIG9mIEtpbmVzaW9sb2d5
LCBGYWN1bHR5IG9mIEhlYWx0aCBTY2llbmNlcywgRGVwYXJ0bWVudCBvZiBBbmF0b215IGFuZCBD
ZWxsIEJpb2xvZ3ksIFNjaHVsaWNoIFNjaG9vbCBvZiBNZWRpY2luZSBhbmQgRGVudGlzdHJ5LCBD
aGlsZHJlbiZhcG9zO3MgSGVhbHRoIFJlc2VhcmNoIEluc3RpdHV0ZSwgVGhlIFVuaXZlcnNpdHkg
b2YgV2VzdGVybiBPbnRhcmlvLCBMb25kb24sIE9udGFyaW8sIENhbmFkYS4mI3hEO0NhcmRpZmYg
U2Nob29sIG9mIFNwb3J0IGFuZCBIZWFsdGggU2NpZW5jZXMsIENhcmRpZmYgTWV0cm9wb2xpdGFu
IFVuaXZlcnNpdHksIENhcmRpZmYsIFVLLiYjeEQ7SW5kZXBlbmRlbnQgUmVzZWFyY2hlciwgT3R0
YXdhLCBPbnRhcmlvLCBDYW5hZGEuJiN4RDtIZWFsdGh5IEFjdGl2ZSBMaXZpbmcgYW5kIE9iZXNp
dHkgUmVzZWFyY2ggR3JvdXAsIENoaWxkcmVuJmFwb3M7cyBIb3NwaXRhbCBvZiBFYXN0ZXJuIE9u
dGFyaW8gUmVzZWFyY2ggSW5zdGl0dXRlLCBPdHRhd2EsIE9udGFyaW8sIENhbmFkYS4mI3hEO0Ns
aW5pY2FsIFJlc2VhcmNoIFVuaXQsIENoaWxkcmVuJmFwb3M7cyBIb3NwaXRhbCBvZiBFYXN0ZXJu
IE9udGFyaW8gUmVzZWFyY2ggSW5zdGl0dXRlLCBPdHRhd2EsIE9udGFyaW8sIENhbmFkYS4mI3hE
O0RlcGFydG1lbnQgb2YgQW5hdG9teSwgVW5pdmVyc2l0ZSBkdSBRdWViZWMgYSBUcm9pcy1SaXZp
ZXJlcywgVHJvaXMtUml2aWVyZXMsIFF1ZWJlYywgQ2FuYWRhLiYjeEQ7Sm9obiBXIFNjb3R0IEhl
YWx0aCBTY2llbmNlcyBMaWJyYXJ5LCBVbml2ZXJzaXR5IG9mIEFsYmVydGEsIEVkbW9udG9uLCBB
bGJlcnRhLCBDYW5hZGEuJiN4RDtGYWN1bHR5IG9mIEhlYWx0aCBTY2llbmNlLCBVbml2ZXJzaXR5
IG9mIE90dGF3YSwgT3R0YXdhLCBPbnRhcmlvLCBDYW5hZGEuJiN4RDtEZXBhcnRtZW50IG9mIE9i
c3RldHJpY3MgYW5kIEd5bmVjb2xvZ3ksIFF1ZWVuJmFwb3M7cyBVbml2ZXJzaXR5LCBLaW5nc3Rv
biwgT250YXJpbywgQ2FuYWRhLiYjeEQ7RmFjdWx0YWQgZGUgQ2llbmNpYXMgZGUgbGEgQWN0aXZp
ZGFkIEZpc2ljYSB5IGRlbCBEZXBvcnRlLUlORUYsIFVuaXZlcnNpZGFkIFBvbGl0ZWNuaWNhIGRl
IE1hZHJpZCwgTWFkcmlkLCBTcGFpbi4mI3hEO0RlcGFydG1lbnQgb2YgSHVtYW4gS2luZXRpY3Ms
IFVuaXZlcnNpdGUgZHUgUXVlYmVjIGEgVHJvaXMtUml2aWVyZXMsIFRyb2lzLVJpdmllcmVzLCBR
dWViZWMsIENhbmFkYS48L2F1dGgtYWRkcmVzcz48dGl0bGVzPjx0aXRsZT5HbHVjb3NlIHJlc3Bv
bnNlcyB0byBhY3V0ZSBhbmQgY2hyb25pYyBleGVyY2lzZSBkdXJpbmcgcHJlZ25hbmN5OiBhIHN5
c3RlbWF0aWMgcmV2aWV3IGFuZCBtZXRhLWFuYWx5c2lzPC90aXRsZT48c2Vjb25kYXJ5LXRpdGxl
PkJyIEogU3BvcnRzIE1lZDwvc2Vjb25kYXJ5LXRpdGxlPjwvdGl0bGVzPjxwZXJpb2RpY2FsPjxm
dWxsLXRpdGxlPkJyIEogU3BvcnRzIE1lZDwvZnVsbC10aXRsZT48L3BlcmlvZGljYWw+PHBhZ2Vz
PjEzNTctMTM2NjwvcGFnZXM+PHZvbHVtZT41Mjwvdm9sdW1lPjxudW1iZXI+MjE8L251bWJlcj48
ZWRpdGlvbj4yMDE4LzEwLzIwPC9lZGl0aW9uPjxrZXl3b3Jkcz48a2V5d29yZD5CbG9vZCBHbHVj
b3NlLyptZXRhYm9saXNtPC9rZXl3b3JkPjxrZXl3b3JkPkRpYWJldGVzLCBHZXN0YXRpb25hbC9k
cnVnIHRoZXJhcHk8L2tleXdvcmQ+PGtleXdvcmQ+KkV4ZXJjaXNlPC9rZXl3b3JkPjxrZXl3b3Jk
PkZlbWFsZTwva2V5d29yZD48a2V5d29yZD5IdW1hbnM8L2tleXdvcmQ+PGtleXdvcmQ+SHlwb2ds
eWNlbWlhPC9rZXl3b3JkPjxrZXl3b3JkPkluc3VsaW4vdGhlcmFwZXV0aWMgdXNlPC9rZXl3b3Jk
PjxrZXl3b3JkPlByZWduYW5jeS8qcGh5c2lvbG9neTwva2V5d29yZD48a2V5d29yZD5SYW5kb21p
emVkIENvbnRyb2xsZWQgVHJpYWxzIGFzIFRvcGljPC9rZXl3b3JkPjxrZXl3b3JkPmV4ZXJjaXNl
PC9rZXl3b3JkPjxrZXl3b3JkPmdsdWNvc2U8L2tleXdvcmQ+PGtleXdvcmQ+cHJlZ25hbmN5PC9r
ZXl3b3JkPjwva2V5d29yZHM+PGRhdGVzPjx5ZWFyPjIwMTg8L3llYXI+PHB1Yi1kYXRlcz48ZGF0
ZT5Ob3Y8L2RhdGU+PC9wdWItZGF0ZXM+PC9kYXRlcz48aXNibj4xNDczLTA0ODAgKEVsZWN0cm9u
aWMpJiN4RDswMzA2LTM2NzQgKExpbmtpbmcpPC9pc2JuPjxhY2Nlc3Npb24tbnVtPjMwMzM3NDYy
PC9hY2Nlc3Npb24tbnVtPjx1cmxzPjxyZWxhdGVkLXVybHM+PHVybD5odHRwczovL3d3dy5uY2Jp
Lm5sbS5uaWguZ292L3B1Ym1lZC8zMDMzNzQ2MjwvdXJsPjwvcmVsYXRlZC11cmxzPjwvdXJscz48
ZWxlY3Ryb25pYy1yZXNvdXJjZS1udW0+MTAuMTEzNi9ianNwb3J0cy0yMDE4LTA5OTgyOTwvZWxl
Y3Ryb25pYy1yZXNvdXJjZS1udW0+PC9yZWNvcmQ+PC9DaXRlPjwvRW5kTm90ZT5=
</w:fldData>
              </w:fldChar>
            </w:r>
            <w:r w:rsidR="002747EA">
              <w:instrText xml:space="preserve"> ADDIN EN.CITE </w:instrText>
            </w:r>
            <w:r w:rsidR="002747EA">
              <w:fldChar w:fldCharType="begin">
                <w:fldData xml:space="preserve">PEVuZE5vdGU+PENpdGU+PEF1dGhvcj5EYXZlbnBvcnQ8L0F1dGhvcj48WWVhcj4yMDE4PC9ZZWFy
PjxSZWNOdW0+MTk1NDwvUmVjTnVtPjxEaXNwbGF5VGV4dD48c3R5bGUgZmFjZT0ic3VwZXJzY3Jp
cHQiIGZvbnQ9IlRyZWJ1Y2hldCBNUyIgc2l6ZT0iOSI+MzQ0PC9zdHlsZT48L0Rpc3BsYXlUZXh0
PjxyZWNvcmQ+PHJlYy1udW1iZXI+MTk1NDwvcmVjLW51bWJlcj48Zm9yZWlnbi1rZXlzPjxrZXkg
YXBwPSJFTiIgZGItaWQ9ImV4dmFzcmZ4MmR0cmFvZXNhc3hwMnN6c3hhMmRmNTAyNTkyeCIgdGlt
ZXN0YW1wPSIxNTg4NzQzODI5Ij4xOTU0PC9rZXk+PGtleSBhcHA9IkVOV2ViIiBkYi1pZD0iIj4w
PC9rZXk+PC9mb3JlaWduLWtleXM+PHJlZi10eXBlIG5hbWU9IkpvdXJuYWwgQXJ0aWNsZSI+MTc8
L3JlZi10eXBlPjxjb250cmlidXRvcnM+PGF1dGhvcnM+PGF1dGhvcj5EYXZlbnBvcnQsIE0uIEgu
PC9hdXRob3I+PGF1dGhvcj5Tb2JpZXJhanNraSwgRi48L2F1dGhvcj48YXV0aG9yPk1vdHRvbGEs
IE0uIEYuPC9hdXRob3I+PGF1dGhvcj5Ta293LCBSLiBKLjwvYXV0aG9yPjxhdXRob3I+TWVhaCwg
Vi4gTC48L2F1dGhvcj48YXV0aG9yPlBvaXRyYXMsIFYuIEouPC9hdXRob3I+PGF1dGhvcj5HcmF5
LCBDLiBFLjwvYXV0aG9yPjxhdXRob3I+SmFyYW1pbGxvIEdhcmNpYSwgQS48L2F1dGhvcj48YXV0
aG9yPkJhcnJvd21hbiwgTi48L2F1dGhvcj48YXV0aG9yPlJpc2tlLCBMLjwvYXV0aG9yPjxhdXRo
b3I+SmFtZXMsIE0uPC9hdXRob3I+PGF1dGhvcj5OYWdwYWwsIFQuIFMuPC9hdXRob3I+PGF1dGhv
cj5NYXJjaGFuZCwgQS4gQS48L2F1dGhvcj48YXV0aG9yPlNsYXRlciwgTC4gRy48L2F1dGhvcj48
YXV0aG9yPkFkYW1vLCBLLiBCLjwvYXV0aG9yPjxhdXRob3I+RGF2aWVzLCBHLiBBLjwvYXV0aG9y
PjxhdXRob3I+QmFyYWthdCwgUi48L2F1dGhvcj48YXV0aG9yPlJ1Y2hhdCwgUy4gTS48L2F1dGhv
cj48L2F1dGhvcnM+PC9jb250cmlidXRvcnM+PGF1dGgtYWRkcmVzcz5Qcm9ncmFtIGZvciBQcmVn
bmFuY3kgYW5kIFBvc3RwYXJ0dW0gSGVhbHRoLCBQaHlzaWNhbCBBY3Rpdml0eSBhbmQgRGlhYmV0
ZXMgTGFib3JhdG9yeSwgRmFjdWx0eSBvZiBLaW5lc2lvbG9neSwgU3BvcnQgYW5kIFJlY3JlYXRp
b24sIFdvbWVuIGFuZCBDaGlsZHJlbiZhcG9zO3MgSGVhbHRoIFJlc2VhcmNoIEluc3RpdHV0ZSwg
QWxiZXJ0YSBEaWFiZXRlcyBJbnN0aXR1dGUsIFVuaXZlcnNpdHkgb2YgQWxiZXJ0YSwgRWRtb250
b24sIEFsYmVydGEsIENhbmFkYS4mI3hEO1IgU2FtdWVsIE1jTGF1Z2hsaW4gRm91bmRhdGlvbiAt
IEV4ZXJjaXNlIGFuZCBQcmVnbmFuY3kgTGFib3JhdG9yeSwgU2Nob29sIG9mIEtpbmVzaW9sb2d5
LCBGYWN1bHR5IG9mIEhlYWx0aCBTY2llbmNlcywgRGVwYXJ0bWVudCBvZiBBbmF0b215IGFuZCBD
ZWxsIEJpb2xvZ3ksIFNjaHVsaWNoIFNjaG9vbCBvZiBNZWRpY2luZSBhbmQgRGVudGlzdHJ5LCBD
aGlsZHJlbiZhcG9zO3MgSGVhbHRoIFJlc2VhcmNoIEluc3RpdHV0ZSwgVGhlIFVuaXZlcnNpdHkg
b2YgV2VzdGVybiBPbnRhcmlvLCBMb25kb24sIE9udGFyaW8sIENhbmFkYS4mI3hEO0NhcmRpZmYg
U2Nob29sIG9mIFNwb3J0IGFuZCBIZWFsdGggU2NpZW5jZXMsIENhcmRpZmYgTWV0cm9wb2xpdGFu
IFVuaXZlcnNpdHksIENhcmRpZmYsIFVLLiYjeEQ7SW5kZXBlbmRlbnQgUmVzZWFyY2hlciwgT3R0
YXdhLCBPbnRhcmlvLCBDYW5hZGEuJiN4RDtIZWFsdGh5IEFjdGl2ZSBMaXZpbmcgYW5kIE9iZXNp
dHkgUmVzZWFyY2ggR3JvdXAsIENoaWxkcmVuJmFwb3M7cyBIb3NwaXRhbCBvZiBFYXN0ZXJuIE9u
dGFyaW8gUmVzZWFyY2ggSW5zdGl0dXRlLCBPdHRhd2EsIE9udGFyaW8sIENhbmFkYS4mI3hEO0Ns
aW5pY2FsIFJlc2VhcmNoIFVuaXQsIENoaWxkcmVuJmFwb3M7cyBIb3NwaXRhbCBvZiBFYXN0ZXJu
IE9udGFyaW8gUmVzZWFyY2ggSW5zdGl0dXRlLCBPdHRhd2EsIE9udGFyaW8sIENhbmFkYS4mI3hE
O0RlcGFydG1lbnQgb2YgQW5hdG9teSwgVW5pdmVyc2l0ZSBkdSBRdWViZWMgYSBUcm9pcy1SaXZp
ZXJlcywgVHJvaXMtUml2aWVyZXMsIFF1ZWJlYywgQ2FuYWRhLiYjeEQ7Sm9obiBXIFNjb3R0IEhl
YWx0aCBTY2llbmNlcyBMaWJyYXJ5LCBVbml2ZXJzaXR5IG9mIEFsYmVydGEsIEVkbW9udG9uLCBB
bGJlcnRhLCBDYW5hZGEuJiN4RDtGYWN1bHR5IG9mIEhlYWx0aCBTY2llbmNlLCBVbml2ZXJzaXR5
IG9mIE90dGF3YSwgT3R0YXdhLCBPbnRhcmlvLCBDYW5hZGEuJiN4RDtEZXBhcnRtZW50IG9mIE9i
c3RldHJpY3MgYW5kIEd5bmVjb2xvZ3ksIFF1ZWVuJmFwb3M7cyBVbml2ZXJzaXR5LCBLaW5nc3Rv
biwgT250YXJpbywgQ2FuYWRhLiYjeEQ7RmFjdWx0YWQgZGUgQ2llbmNpYXMgZGUgbGEgQWN0aXZp
ZGFkIEZpc2ljYSB5IGRlbCBEZXBvcnRlLUlORUYsIFVuaXZlcnNpZGFkIFBvbGl0ZWNuaWNhIGRl
IE1hZHJpZCwgTWFkcmlkLCBTcGFpbi4mI3hEO0RlcGFydG1lbnQgb2YgSHVtYW4gS2luZXRpY3Ms
IFVuaXZlcnNpdGUgZHUgUXVlYmVjIGEgVHJvaXMtUml2aWVyZXMsIFRyb2lzLVJpdmllcmVzLCBR
dWViZWMsIENhbmFkYS48L2F1dGgtYWRkcmVzcz48dGl0bGVzPjx0aXRsZT5HbHVjb3NlIHJlc3Bv
bnNlcyB0byBhY3V0ZSBhbmQgY2hyb25pYyBleGVyY2lzZSBkdXJpbmcgcHJlZ25hbmN5OiBhIHN5
c3RlbWF0aWMgcmV2aWV3IGFuZCBtZXRhLWFuYWx5c2lzPC90aXRsZT48c2Vjb25kYXJ5LXRpdGxl
PkJyIEogU3BvcnRzIE1lZDwvc2Vjb25kYXJ5LXRpdGxlPjwvdGl0bGVzPjxwZXJpb2RpY2FsPjxm
dWxsLXRpdGxlPkJyIEogU3BvcnRzIE1lZDwvZnVsbC10aXRsZT48L3BlcmlvZGljYWw+PHBhZ2Vz
PjEzNTctMTM2NjwvcGFnZXM+PHZvbHVtZT41Mjwvdm9sdW1lPjxudW1iZXI+MjE8L251bWJlcj48
ZWRpdGlvbj4yMDE4LzEwLzIwPC9lZGl0aW9uPjxrZXl3b3Jkcz48a2V5d29yZD5CbG9vZCBHbHVj
b3NlLyptZXRhYm9saXNtPC9rZXl3b3JkPjxrZXl3b3JkPkRpYWJldGVzLCBHZXN0YXRpb25hbC9k
cnVnIHRoZXJhcHk8L2tleXdvcmQ+PGtleXdvcmQ+KkV4ZXJjaXNlPC9rZXl3b3JkPjxrZXl3b3Jk
PkZlbWFsZTwva2V5d29yZD48a2V5d29yZD5IdW1hbnM8L2tleXdvcmQ+PGtleXdvcmQ+SHlwb2ds
eWNlbWlhPC9rZXl3b3JkPjxrZXl3b3JkPkluc3VsaW4vdGhlcmFwZXV0aWMgdXNlPC9rZXl3b3Jk
PjxrZXl3b3JkPlByZWduYW5jeS8qcGh5c2lvbG9neTwva2V5d29yZD48a2V5d29yZD5SYW5kb21p
emVkIENvbnRyb2xsZWQgVHJpYWxzIGFzIFRvcGljPC9rZXl3b3JkPjxrZXl3b3JkPmV4ZXJjaXNl
PC9rZXl3b3JkPjxrZXl3b3JkPmdsdWNvc2U8L2tleXdvcmQ+PGtleXdvcmQ+cHJlZ25hbmN5PC9r
ZXl3b3JkPjwva2V5d29yZHM+PGRhdGVzPjx5ZWFyPjIwMTg8L3llYXI+PHB1Yi1kYXRlcz48ZGF0
ZT5Ob3Y8L2RhdGU+PC9wdWItZGF0ZXM+PC9kYXRlcz48aXNibj4xNDczLTA0ODAgKEVsZWN0cm9u
aWMpJiN4RDswMzA2LTM2NzQgKExpbmtpbmcpPC9pc2JuPjxhY2Nlc3Npb24tbnVtPjMwMzM3NDYy
PC9hY2Nlc3Npb24tbnVtPjx1cmxzPjxyZWxhdGVkLXVybHM+PHVybD5odHRwczovL3d3dy5uY2Jp
Lm5sbS5uaWguZ292L3B1Ym1lZC8zMDMzNzQ2MjwvdXJsPjwvcmVsYXRlZC11cmxzPjwvdXJscz48
ZWxlY3Ryb25pYy1yZXNvdXJjZS1udW0+MTAuMTEzNi9ianNwb3J0cy0yMDE4LTA5OTgyOTwvZWxl
Y3Ryb25pYy1yZXNvdXJjZS1udW0+PC9yZWNvcmQ+PC9DaXRlPjwvRW5kTm90ZT5=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344</w:t>
            </w:r>
            <w:r w:rsidR="00D07346">
              <w:fldChar w:fldCharType="end"/>
            </w:r>
          </w:p>
        </w:tc>
        <w:tc>
          <w:tcPr>
            <w:tcW w:w="1247" w:type="dxa"/>
          </w:tcPr>
          <w:p w14:paraId="5AC39E2F" w14:textId="77777777" w:rsidR="00C04A56" w:rsidRDefault="00C04A56" w:rsidP="003E3405">
            <w:r>
              <w:t>58 studies</w:t>
            </w:r>
          </w:p>
          <w:p w14:paraId="1CAA7BB4" w14:textId="07E09870" w:rsidR="00C04A56" w:rsidRDefault="00C04A56" w:rsidP="003E3405">
            <w:r w:rsidRPr="00C04A56">
              <w:t>8</w:t>
            </w:r>
            <w:r>
              <w:t>,</w:t>
            </w:r>
            <w:r w:rsidRPr="00C04A56">
              <w:t>699</w:t>
            </w:r>
            <w:r>
              <w:t xml:space="preserve"> women</w:t>
            </w:r>
          </w:p>
        </w:tc>
        <w:tc>
          <w:tcPr>
            <w:tcW w:w="4961" w:type="dxa"/>
          </w:tcPr>
          <w:p w14:paraId="2C1B3A60" w14:textId="77777777" w:rsidR="00C04A56" w:rsidRDefault="00C04A56" w:rsidP="00C04A56">
            <w:r w:rsidRPr="00BD61CC">
              <w:rPr>
                <w:b/>
              </w:rPr>
              <w:t>Aim</w:t>
            </w:r>
            <w:r>
              <w:t xml:space="preserve">: </w:t>
            </w:r>
            <w:r w:rsidRPr="00C04A56">
              <w:t xml:space="preserve">To perform a systematic review and meta-analysis to explore the relationship between prenatal exercise and glycaemic control. </w:t>
            </w:r>
          </w:p>
          <w:p w14:paraId="535857AB" w14:textId="72B624F3" w:rsidR="00C04A56" w:rsidRPr="00C04A56" w:rsidRDefault="00C04A56" w:rsidP="00C04A56">
            <w:pPr>
              <w:rPr>
                <w:b/>
              </w:rPr>
            </w:pPr>
            <w:r w:rsidRPr="00BD61CC">
              <w:rPr>
                <w:b/>
              </w:rPr>
              <w:t>Methods</w:t>
            </w:r>
            <w:r w:rsidRPr="00C04A56">
              <w:t xml:space="preserve">: Online databases were </w:t>
            </w:r>
            <w:r>
              <w:t xml:space="preserve">searched up to 6 January 2017. </w:t>
            </w:r>
            <w:r w:rsidRPr="00C04A56">
              <w:t xml:space="preserve">Studies of all designs were included (except case studies and reviews) if they were published in English, Spanish or French, and contained information on the population (pregnant women without contraindication to exercise), intervention (subjective or objective measures of frequency, intensity, duration, volume or type of acute or chronic exercise, alone ('exercise-only') or in combination with other intervention components (eg, dietary; 'exercise+cointervention') at any stage of pregnancy), comparator (no exercise or different frequency, intensity, duration, volume and type of exercise) and outcome (glycaemic control). </w:t>
            </w:r>
          </w:p>
        </w:tc>
        <w:tc>
          <w:tcPr>
            <w:tcW w:w="4536" w:type="dxa"/>
          </w:tcPr>
          <w:p w14:paraId="7F282C8F" w14:textId="1909867B" w:rsidR="00C04A56" w:rsidRPr="00C04A56" w:rsidRDefault="00C33812" w:rsidP="00C33812">
            <w:r>
              <w:t>There was very low</w:t>
            </w:r>
            <w:r w:rsidR="00C04A56" w:rsidRPr="00C04A56">
              <w:t xml:space="preserve"> </w:t>
            </w:r>
            <w:r w:rsidR="00343BBE">
              <w:t>certainty</w:t>
            </w:r>
            <w:r w:rsidR="00C04A56" w:rsidRPr="00C04A56">
              <w:t xml:space="preserve"> evidence showing that an acute bout of exercise was associated with a decrease in maternal blood glucose from before to during exercise (6 studies, n=123; </w:t>
            </w:r>
            <w:r w:rsidR="00C04A56">
              <w:t>MD -0.94 mmol/L, 95%</w:t>
            </w:r>
            <w:r w:rsidR="00C04A56" w:rsidRPr="00C04A56">
              <w:t>CI -1.18 to -0.70) and following exercise (n=333; MD -0.5</w:t>
            </w:r>
            <w:r w:rsidR="00C04A56">
              <w:t>7 mmol/L, 95% CI -0.72 to -0.41</w:t>
            </w:r>
            <w:r w:rsidR="00C04A56" w:rsidRPr="00C04A56">
              <w:t xml:space="preserve">). Subgroup analysis showed that there were larger decreases in blood glucose following acute exercise in women with diabetes (n=26; MD -1.42, 95% CI -1.69 to -1.16, I(2)=8%) compared with those without diabetes (n=285; MD -0.46, 95% CI -0.60 to -0.32, I(2)=62%). Finally, chronic exercise-only interventions reduced fasting blood glucose compared with no exercise postintervention in women with diabetes (2 studies, n=70; MD -2.76, 95% CI -3.18 to -2.34; 'low' </w:t>
            </w:r>
            <w:r w:rsidR="00343BBE">
              <w:t>certainty</w:t>
            </w:r>
            <w:r w:rsidR="00C04A56" w:rsidRPr="00C04A56">
              <w:t xml:space="preserve"> of evidence), but not in those without diabetes (9 studies, n=2</w:t>
            </w:r>
            <w:r>
              <w:t>,</w:t>
            </w:r>
            <w:r w:rsidR="00C04A56" w:rsidRPr="00C04A56">
              <w:t>174; MD -0.05</w:t>
            </w:r>
            <w:r>
              <w:t>, 95% CI -0.16 to 0.05</w:t>
            </w:r>
            <w:r w:rsidR="00C04A56" w:rsidRPr="00C04A56">
              <w:t xml:space="preserve">). </w:t>
            </w:r>
          </w:p>
        </w:tc>
        <w:tc>
          <w:tcPr>
            <w:tcW w:w="1843" w:type="dxa"/>
          </w:tcPr>
          <w:p w14:paraId="43426A4D" w14:textId="77777777" w:rsidR="00C04A56" w:rsidRPr="00F2226D" w:rsidRDefault="00C04A56" w:rsidP="003E3405"/>
        </w:tc>
      </w:tr>
      <w:tr w:rsidR="00A60D8D" w:rsidRPr="00F2226D" w14:paraId="45299172" w14:textId="77777777" w:rsidTr="00BD61CC">
        <w:trPr>
          <w:cantSplit/>
        </w:trPr>
        <w:tc>
          <w:tcPr>
            <w:tcW w:w="1305" w:type="dxa"/>
          </w:tcPr>
          <w:p w14:paraId="40DAD767" w14:textId="09E6EA7A" w:rsidR="00A60D8D" w:rsidRDefault="00A60D8D" w:rsidP="002747EA">
            <w:r>
              <w:t>Skow et al 2018</w:t>
            </w:r>
            <w:r w:rsidR="00D07346">
              <w:fldChar w:fldCharType="begin">
                <w:fldData xml:space="preserve">PEVuZE5vdGU+PENpdGU+PEF1dGhvcj5Ta293PC9BdXRob3I+PFllYXI+MjAxOTwvWWVhcj48UmVj
TnVtPjE5NDk8L1JlY051bT48RGlzcGxheVRleHQ+PHN0eWxlIGZhY2U9InN1cGVyc2NyaXB0IiBm
b250PSJUcmVidWNoZXQgTVMiIHNpemU9IjkiPjMxNzwvc3R5bGU+PC9EaXNwbGF5VGV4dD48cmVj
b3JkPjxyZWMtbnVtYmVyPjE5NDk8L3JlYy1udW1iZXI+PGZvcmVpZ24ta2V5cz48a2V5IGFwcD0i
RU4iIGRiLWlkPSJleHZhc3JmeDJkdHJhb2VzYXN4cDJzenN4YTJkZjUwMjU5MngiIHRpbWVzdGFt
cD0iMTU4ODcyODQ3NSI+MTk0OTwva2V5PjxrZXkgYXBwPSJFTldlYiIgZGItaWQ9IiI+MDwva2V5
PjwvZm9yZWlnbi1rZXlzPjxyZWYtdHlwZSBuYW1lPSJKb3VybmFsIEFydGljbGUiPjE3PC9yZWYt
dHlwZT48Y29udHJpYnV0b3JzPjxhdXRob3JzPjxhdXRob3I+U2tvdywgUi4gSi48L2F1dGhvcj48
YXV0aG9yPkRhdmVucG9ydCwgTS4gSC48L2F1dGhvcj48YXV0aG9yPk1vdHRvbGEsIE0uIEYuPC9h
dXRob3I+PGF1dGhvcj5EYXZpZXMsIEcuIEEuPC9hdXRob3I+PGF1dGhvcj5Qb2l0cmFzLCBWLiBK
LjwvYXV0aG9yPjxhdXRob3I+R3JheSwgQy4gRS48L2F1dGhvcj48YXV0aG9yPkphcmFtaWxsbyBH
YXJjaWEsIEEuPC9hdXRob3I+PGF1dGhvcj5CYXJyb3dtYW4sIE4uPC9hdXRob3I+PGF1dGhvcj5N
ZWFoLCBWLiBMLjwvYXV0aG9yPjxhdXRob3I+U2xhdGVyLCBMLiBHLjwvYXV0aG9yPjxhdXRob3I+
QWRhbW8sIEsuIEIuPC9hdXRob3I+PGF1dGhvcj5CYXJha2F0LCBSLjwvYXV0aG9yPjxhdXRob3I+
UnVjaGF0LCBTLiBNLjwvYXV0aG9yPjwvYXV0aG9ycz48L2NvbnRyaWJ1dG9ycz48YXV0aC1hZGRy
ZXNzPlByb2dyYW0gZm9yIFByZWduYW5jeSBhbmQgUG9zdHBhcnR1bSBIZWFsdGgsIFBoeXNpY2Fs
IEFjdGl2aXR5IGFuZCBEaWFiZXRlcyBMYWJvcmF0b3J5LCBGYWN1bHR5IG9mIEtpbmVzaW9sb2d5
LCBTcG9ydCwgYW5kIFJlY3JlYXRpb24sIFdvbWVuIGFuZCBDaGlsZHJlbiZhcG9zO3MgSGVhbHRo
IFJlc2VhcmNoIEluc3RpdHV0ZSwgQWxiZXJ0YSBEaWFiZXRlcyBJbnN0aXR1dGUsIFVuaXZlcnNp
dHkgb2YgQWxiZXJ0YSwgRWRtb250b24sIEFsYmVydGEsIENhbmFkYS4mI3hEO1IuIFNhbXVlbCBN
Y0xhdWdobGluIEZvdW5kYXRpb24tRXhlcmNpc2UgYW5kIFByZWduYW5jeSBMYWJvcmF0b3J5LCBT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dXRlLCBUaGUgVW5pdmVyc2l0eSBvZiBXZXN0ZXJuIE9udGFyaW8sIExvbmRvbiwgT250YXJpbywg
Q2FuYWRhLiYjeEQ7RGVwYXJ0bWVudCBvZiBPYnN0ZXRyaWNzIGFuZCBHeW5lY29sb2d5LCBRdWVl
biZhcG9zO3MgVW5pdmVyc2l0eSwgS2luZ3N0b24sIE9udGFyaW8sIENhbmFkYS4mI3hEO0luZGVw
ZW5kZW50IHJlc2VhcmNoZXIsIE90dGF3YSwgT250YXJpbywgQ2FuYWRhLiYjeEQ7SGVhbHRoeSBB
Y3RpdmUgTGl2aW5nIGFuZCBPYmVzaXR5IFJlc2VhcmNoIEdyb3VwLCBDaGlsZHJlbiZhcG9zO3Mg
SG9zcGl0YWwgb2YgRWFzdGVybiBPbnRhcmlvIFJlc2VhcmNoIEluc3RpdHV0ZSwgT3R0YXdhLCBP
bnRhcmlvLCBDYW5hZGEuJiN4RDtDbGluaWNhbCBSZXNlYXJjaCBVbml0LCBDaGlsZHJlbiZhcG9z
O3MgSG9zcGl0YWwgb2YgRWFzdGVybiBPbnRhcmlvIFJlc2VhcmNoIEluc3RpdHV0ZSwgT3R0YXdh
LCBPbnRhcmlvLCBDYW5hZGEuJiN4RDtKb2huIFcuIFNjb3R0IEhlYWx0aCBTY2llbmNlcyBMaWJy
YXJ5LCBVbml2ZXJzaXR5IG9mIEFsYmVydGEsIEVkbW9udG9uLCBBbGJlcnRhLCBDYW5hZGEuJiN4
RDtTY2hvb2wgb2YgSHVtYW4gS2luZXRpY3MsIEZhY3VsdHkgb2YgSGVhbHRoIFNjaWVuY2VzLCBV
bml2ZXJzaXR5IG9mIE90dGF3YSwgT3R0YXdhLCBPbnRhcmlvLCBDYW5hZGEuJiN4RDtGYWN1bHRh
ZCBkZSBDaWVuY2lhcyBkZSBsYSBBY3RpdmlkYWQgRmlzaWNhIHkgZGVsIERlcG9ydGUtSU5FRiwg
VW5pdmVyc2lkYWQgUG9saXRlY25pY2EgZGUgTWFkcmlkLCBNYWRyaWQsIFNwYWluLiYjeEQ7RGVw
YXJ0bWVudCBvZiBIdW1hbiBLaW5ldGljcywgVW5pdmVyc2l0ZSBkdSBRdWViZWMgYSBUcm9pcy1S
aXZpZXJlcywgVHJvaXMtUml2aWVyZXMsIFF1ZWJlYywgQ2FuYWRhLjwvYXV0aC1hZGRyZXNzPjx0
aXRsZXM+PHRpdGxlPkVmZmVjdHMgb2YgcHJlbmF0YWwgZXhlcmNpc2Ugb24gZmV0YWwgaGVhcnQg
cmF0ZSwgdW1iaWxpY2FsIGFuZCB1dGVyaW5lIGJsb29kIGZsb3c6IGEgc3lzdGVtYXRpYyByZXZp
ZXcgYW5kIG1ldGEtYW5hbHlzaXM8L3RpdGxlPjxzZWNvbmRhcnktdGl0bGU+QnIgSiBTcG9ydHMg
TWVkPC9zZWNvbmRhcnktdGl0bGU+PC90aXRsZXM+PHBlcmlvZGljYWw+PGZ1bGwtdGl0bGU+QnIg
SiBTcG9ydHMgTWVkPC9mdWxsLXRpdGxlPjwvcGVyaW9kaWNhbD48cGFnZXM+MTI0LTEzMzwvcGFn
ZXM+PHZvbHVtZT41Mzwvdm9sdW1lPjxudW1iZXI+MjwvbnVtYmVyPjxlZGl0aW9uPjIwMTgvMTAv
MjA8L2VkaXRpb24+PGtleXdvcmRzPjxrZXl3b3JkPkJyYWR5Y2FyZGlhL2VwaWRlbWlvbG9neTwv
a2V5d29yZD48a2V5d29yZD4qRXhlcmNpc2U8L2tleXdvcmQ+PGtleXdvcmQ+RmVtYWxlPC9rZXl3
b3JkPjxrZXl3b3JkPipIZWFydCBSYXRlLCBGZXRhbDwva2V5d29yZD48a2V5d29yZD5IdW1hbnM8
L2tleXdvcmQ+PGtleXdvcmQ+UHJlZ25hbmN5PC9rZXl3b3JkPjxrZXl3b3JkPlJhbmRvbWl6ZWQg
Q29udHJvbGxlZCBUcmlhbHMgYXMgVG9waWM8L2tleXdvcmQ+PGtleXdvcmQ+KlJlZ2lvbmFsIEJs
b29kIEZsb3c8L2tleXdvcmQ+PGtleXdvcmQ+VGFjaHljYXJkaWEvZXBpZGVtaW9sb2d5PC9rZXl3
b3JkPjxrZXl3b3JkPlVtYmlsaWNhbCBBcnRlcmllcy8qYmxvb2Qgc3VwcGx5PC9rZXl3b3JkPjxr
ZXl3b3JkPlV0ZXJ1cy8qYmxvb2Qgc3VwcGx5PC9rZXl3b3JkPjxrZXl3b3JkPmV4ZXJjaXNlPC9r
ZXl3b3JkPjwva2V5d29yZHM+PGRhdGVzPjx5ZWFyPjIwMTk8L3llYXI+PHB1Yi1kYXRlcz48ZGF0
ZT5KYW48L2RhdGU+PC9wdWItZGF0ZXM+PC9kYXRlcz48aXNibj4xNDczLTA0ODAgKEVsZWN0cm9u
aWMpJiN4RDswMzA2LTM2NzQgKExpbmtpbmcpPC9pc2JuPjxhY2Nlc3Npb24tbnVtPjMwMzM3MzQ1
PC9hY2Nlc3Npb24tbnVtPjx1cmxzPjxyZWxhdGVkLXVybHM+PHVybD5odHRwczovL3d3dy5uY2Jp
Lm5sbS5uaWguZ292L3B1Ym1lZC8zMDMzNzM0NTwvdXJsPjwvcmVsYXRlZC11cmxzPjwvdXJscz48
ZWxlY3Ryb25pYy1yZXNvdXJjZS1udW0+MTAuMTEzNi9ianNwb3J0cy0yMDE4LTA5OTgyMjwvZWxl
Y3Ryb25pYy1yZXNvdXJjZS1udW0+PC9yZWNvcmQ+PC9DaXRlPjwvRW5kTm90ZT4A
</w:fldData>
              </w:fldChar>
            </w:r>
            <w:r w:rsidR="002747EA">
              <w:instrText xml:space="preserve"> ADDIN EN.CITE </w:instrText>
            </w:r>
            <w:r w:rsidR="002747EA">
              <w:fldChar w:fldCharType="begin">
                <w:fldData xml:space="preserve">PEVuZE5vdGU+PENpdGU+PEF1dGhvcj5Ta293PC9BdXRob3I+PFllYXI+MjAxOTwvWWVhcj48UmVj
TnVtPjE5NDk8L1JlY051bT48RGlzcGxheVRleHQ+PHN0eWxlIGZhY2U9InN1cGVyc2NyaXB0IiBm
b250PSJUcmVidWNoZXQgTVMiIHNpemU9IjkiPjMxNzwvc3R5bGU+PC9EaXNwbGF5VGV4dD48cmVj
b3JkPjxyZWMtbnVtYmVyPjE5NDk8L3JlYy1udW1iZXI+PGZvcmVpZ24ta2V5cz48a2V5IGFwcD0i
RU4iIGRiLWlkPSJleHZhc3JmeDJkdHJhb2VzYXN4cDJzenN4YTJkZjUwMjU5MngiIHRpbWVzdGFt
cD0iMTU4ODcyODQ3NSI+MTk0OTwva2V5PjxrZXkgYXBwPSJFTldlYiIgZGItaWQ9IiI+MDwva2V5
PjwvZm9yZWlnbi1rZXlzPjxyZWYtdHlwZSBuYW1lPSJKb3VybmFsIEFydGljbGUiPjE3PC9yZWYt
dHlwZT48Y29udHJpYnV0b3JzPjxhdXRob3JzPjxhdXRob3I+U2tvdywgUi4gSi48L2F1dGhvcj48
YXV0aG9yPkRhdmVucG9ydCwgTS4gSC48L2F1dGhvcj48YXV0aG9yPk1vdHRvbGEsIE0uIEYuPC9h
dXRob3I+PGF1dGhvcj5EYXZpZXMsIEcuIEEuPC9hdXRob3I+PGF1dGhvcj5Qb2l0cmFzLCBWLiBK
LjwvYXV0aG9yPjxhdXRob3I+R3JheSwgQy4gRS48L2F1dGhvcj48YXV0aG9yPkphcmFtaWxsbyBH
YXJjaWEsIEEuPC9hdXRob3I+PGF1dGhvcj5CYXJyb3dtYW4sIE4uPC9hdXRob3I+PGF1dGhvcj5N
ZWFoLCBWLiBMLjwvYXV0aG9yPjxhdXRob3I+U2xhdGVyLCBMLiBHLjwvYXV0aG9yPjxhdXRob3I+
QWRhbW8sIEsuIEIuPC9hdXRob3I+PGF1dGhvcj5CYXJha2F0LCBSLjwvYXV0aG9yPjxhdXRob3I+
UnVjaGF0LCBTLiBNLjwvYXV0aG9yPjwvYXV0aG9ycz48L2NvbnRyaWJ1dG9ycz48YXV0aC1hZGRy
ZXNzPlByb2dyYW0gZm9yIFByZWduYW5jeSBhbmQgUG9zdHBhcnR1bSBIZWFsdGgsIFBoeXNpY2Fs
IEFjdGl2aXR5IGFuZCBEaWFiZXRlcyBMYWJvcmF0b3J5LCBGYWN1bHR5IG9mIEtpbmVzaW9sb2d5
LCBTcG9ydCwgYW5kIFJlY3JlYXRpb24sIFdvbWVuIGFuZCBDaGlsZHJlbiZhcG9zO3MgSGVhbHRo
IFJlc2VhcmNoIEluc3RpdHV0ZSwgQWxiZXJ0YSBEaWFiZXRlcyBJbnN0aXR1dGUsIFVuaXZlcnNp
dHkgb2YgQWxiZXJ0YSwgRWRtb250b24sIEFsYmVydGEsIENhbmFkYS4mI3hEO1IuIFNhbXVlbCBN
Y0xhdWdobGluIEZvdW5kYXRpb24tRXhlcmNpc2UgYW5kIFByZWduYW5jeSBMYWJvcmF0b3J5LCBT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dXRlLCBUaGUgVW5pdmVyc2l0eSBvZiBXZXN0ZXJuIE9udGFyaW8sIExvbmRvbiwgT250YXJpbywg
Q2FuYWRhLiYjeEQ7RGVwYXJ0bWVudCBvZiBPYnN0ZXRyaWNzIGFuZCBHeW5lY29sb2d5LCBRdWVl
biZhcG9zO3MgVW5pdmVyc2l0eSwgS2luZ3N0b24sIE9udGFyaW8sIENhbmFkYS4mI3hEO0luZGVw
ZW5kZW50IHJlc2VhcmNoZXIsIE90dGF3YSwgT250YXJpbywgQ2FuYWRhLiYjeEQ7SGVhbHRoeSBB
Y3RpdmUgTGl2aW5nIGFuZCBPYmVzaXR5IFJlc2VhcmNoIEdyb3VwLCBDaGlsZHJlbiZhcG9zO3Mg
SG9zcGl0YWwgb2YgRWFzdGVybiBPbnRhcmlvIFJlc2VhcmNoIEluc3RpdHV0ZSwgT3R0YXdhLCBP
bnRhcmlvLCBDYW5hZGEuJiN4RDtDbGluaWNhbCBSZXNlYXJjaCBVbml0LCBDaGlsZHJlbiZhcG9z
O3MgSG9zcGl0YWwgb2YgRWFzdGVybiBPbnRhcmlvIFJlc2VhcmNoIEluc3RpdHV0ZSwgT3R0YXdh
LCBPbnRhcmlvLCBDYW5hZGEuJiN4RDtKb2huIFcuIFNjb3R0IEhlYWx0aCBTY2llbmNlcyBMaWJy
YXJ5LCBVbml2ZXJzaXR5IG9mIEFsYmVydGEsIEVkbW9udG9uLCBBbGJlcnRhLCBDYW5hZGEuJiN4
RDtTY2hvb2wgb2YgSHVtYW4gS2luZXRpY3MsIEZhY3VsdHkgb2YgSGVhbHRoIFNjaWVuY2VzLCBV
bml2ZXJzaXR5IG9mIE90dGF3YSwgT3R0YXdhLCBPbnRhcmlvLCBDYW5hZGEuJiN4RDtGYWN1bHRh
ZCBkZSBDaWVuY2lhcyBkZSBsYSBBY3RpdmlkYWQgRmlzaWNhIHkgZGVsIERlcG9ydGUtSU5FRiwg
VW5pdmVyc2lkYWQgUG9saXRlY25pY2EgZGUgTWFkcmlkLCBNYWRyaWQsIFNwYWluLiYjeEQ7RGVw
YXJ0bWVudCBvZiBIdW1hbiBLaW5ldGljcywgVW5pdmVyc2l0ZSBkdSBRdWViZWMgYSBUcm9pcy1S
aXZpZXJlcywgVHJvaXMtUml2aWVyZXMsIFF1ZWJlYywgQ2FuYWRhLjwvYXV0aC1hZGRyZXNzPjx0
aXRsZXM+PHRpdGxlPkVmZmVjdHMgb2YgcHJlbmF0YWwgZXhlcmNpc2Ugb24gZmV0YWwgaGVhcnQg
cmF0ZSwgdW1iaWxpY2FsIGFuZCB1dGVyaW5lIGJsb29kIGZsb3c6IGEgc3lzdGVtYXRpYyByZXZp
ZXcgYW5kIG1ldGEtYW5hbHlzaXM8L3RpdGxlPjxzZWNvbmRhcnktdGl0bGU+QnIgSiBTcG9ydHMg
TWVkPC9zZWNvbmRhcnktdGl0bGU+PC90aXRsZXM+PHBlcmlvZGljYWw+PGZ1bGwtdGl0bGU+QnIg
SiBTcG9ydHMgTWVkPC9mdWxsLXRpdGxlPjwvcGVyaW9kaWNhbD48cGFnZXM+MTI0LTEzMzwvcGFn
ZXM+PHZvbHVtZT41Mzwvdm9sdW1lPjxudW1iZXI+MjwvbnVtYmVyPjxlZGl0aW9uPjIwMTgvMTAv
MjA8L2VkaXRpb24+PGtleXdvcmRzPjxrZXl3b3JkPkJyYWR5Y2FyZGlhL2VwaWRlbWlvbG9neTwv
a2V5d29yZD48a2V5d29yZD4qRXhlcmNpc2U8L2tleXdvcmQ+PGtleXdvcmQ+RmVtYWxlPC9rZXl3
b3JkPjxrZXl3b3JkPipIZWFydCBSYXRlLCBGZXRhbDwva2V5d29yZD48a2V5d29yZD5IdW1hbnM8
L2tleXdvcmQ+PGtleXdvcmQ+UHJlZ25hbmN5PC9rZXl3b3JkPjxrZXl3b3JkPlJhbmRvbWl6ZWQg
Q29udHJvbGxlZCBUcmlhbHMgYXMgVG9waWM8L2tleXdvcmQ+PGtleXdvcmQ+KlJlZ2lvbmFsIEJs
b29kIEZsb3c8L2tleXdvcmQ+PGtleXdvcmQ+VGFjaHljYXJkaWEvZXBpZGVtaW9sb2d5PC9rZXl3
b3JkPjxrZXl3b3JkPlVtYmlsaWNhbCBBcnRlcmllcy8qYmxvb2Qgc3VwcGx5PC9rZXl3b3JkPjxr
ZXl3b3JkPlV0ZXJ1cy8qYmxvb2Qgc3VwcGx5PC9rZXl3b3JkPjxrZXl3b3JkPmV4ZXJjaXNlPC9r
ZXl3b3JkPjwva2V5d29yZHM+PGRhdGVzPjx5ZWFyPjIwMTk8L3llYXI+PHB1Yi1kYXRlcz48ZGF0
ZT5KYW48L2RhdGU+PC9wdWItZGF0ZXM+PC9kYXRlcz48aXNibj4xNDczLTA0ODAgKEVsZWN0cm9u
aWMpJiN4RDswMzA2LTM2NzQgKExpbmtpbmcpPC9pc2JuPjxhY2Nlc3Npb24tbnVtPjMwMzM3MzQ1
PC9hY2Nlc3Npb24tbnVtPjx1cmxzPjxyZWxhdGVkLXVybHM+PHVybD5odHRwczovL3d3dy5uY2Jp
Lm5sbS5uaWguZ292L3B1Ym1lZC8zMDMzNzM0NTwvdXJsPjwvcmVsYXRlZC11cmxzPjwvdXJscz48
ZWxlY3Ryb25pYy1yZXNvdXJjZS1udW0+MTAuMTEzNi9ianNwb3J0cy0yMDE4LTA5OTgyMjwvZWxl
Y3Ryb25pYy1yZXNvdXJjZS1udW0+PC9yZWNvcmQ+PC9DaXRlPjwvRW5kTm90ZT4A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317</w:t>
            </w:r>
            <w:r w:rsidR="00D07346">
              <w:fldChar w:fldCharType="end"/>
            </w:r>
          </w:p>
        </w:tc>
        <w:tc>
          <w:tcPr>
            <w:tcW w:w="1247" w:type="dxa"/>
          </w:tcPr>
          <w:p w14:paraId="5EA458CD" w14:textId="77777777" w:rsidR="00A60D8D" w:rsidRDefault="000A1A5F" w:rsidP="003E3405">
            <w:r>
              <w:t>91 studies</w:t>
            </w:r>
          </w:p>
          <w:p w14:paraId="26865978" w14:textId="7BEF3B66" w:rsidR="000A1A5F" w:rsidRDefault="000A1A5F" w:rsidP="003E3405">
            <w:r>
              <w:t>4,641 women</w:t>
            </w:r>
          </w:p>
        </w:tc>
        <w:tc>
          <w:tcPr>
            <w:tcW w:w="4961" w:type="dxa"/>
          </w:tcPr>
          <w:p w14:paraId="1A08DD46" w14:textId="77777777" w:rsidR="000A1A5F" w:rsidRDefault="000A1A5F" w:rsidP="000A1A5F">
            <w:r w:rsidRPr="00BD61CC">
              <w:rPr>
                <w:b/>
              </w:rPr>
              <w:t>Aim</w:t>
            </w:r>
            <w:r>
              <w:t xml:space="preserve">: </w:t>
            </w:r>
            <w:r w:rsidRPr="000A1A5F">
              <w:t xml:space="preserve">To perform a systematic review and meta-analysis examining the influence of acute and chronic prenatal exercise on fetal heart rate (FHR) and umbilical and uterine blood flow metrics. </w:t>
            </w:r>
          </w:p>
          <w:p w14:paraId="0B231C46" w14:textId="43F66598" w:rsidR="00A60D8D" w:rsidRPr="00DB73BF" w:rsidRDefault="000A1A5F" w:rsidP="000A1A5F">
            <w:pPr>
              <w:rPr>
                <w:b/>
              </w:rPr>
            </w:pPr>
            <w:r>
              <w:t>Methods</w:t>
            </w:r>
            <w:r w:rsidRPr="000A1A5F">
              <w:t xml:space="preserve">: Online databases were searched up to 6 January 2017. Studies of all designs were included (except case studies) if published in English, Spanish or French, and contained information on the population (pregnant women without contraindication to exercise), intervention (subjective or objective measures of frequency, intensity, duration, volume or type of exercise, alone or in combination with other intervention components), comparator (no exercise or different frequency, intensity, duration, volume and type of exercise) and outcomes (FHR, beats per minute (bpm); uterine and umbilical blood flow metrics </w:t>
            </w:r>
            <w:r>
              <w:t>.</w:t>
            </w:r>
          </w:p>
        </w:tc>
        <w:tc>
          <w:tcPr>
            <w:tcW w:w="4536" w:type="dxa"/>
          </w:tcPr>
          <w:p w14:paraId="5D006E70" w14:textId="58E791D3" w:rsidR="00A60D8D" w:rsidRDefault="000A1A5F" w:rsidP="000A1A5F">
            <w:r w:rsidRPr="000A1A5F">
              <w:t>Overall, FHR increased during (</w:t>
            </w:r>
            <w:r>
              <w:t>MD 6.35bpm; 95%</w:t>
            </w:r>
            <w:r w:rsidRPr="000A1A5F">
              <w:t>CI 2.30 to 10.41, p=0.002) a</w:t>
            </w:r>
            <w:r>
              <w:t>nd following acute exercise (MD 4.05; 95%</w:t>
            </w:r>
            <w:r w:rsidRPr="000A1A5F">
              <w:t xml:space="preserve">CI 2.98 to 5.12, p&lt;0.00001). The incidence of fetal bradycardia was low at rest and unchanged with acute exercise. There were no significant changes in umbilical or uterine S/D, PI, RI, blood flow or blood velocity during or following acute exercise sessions. Chronic exercise decreased resting FHR and the umbilical artery S/D, PI and RI at rest. </w:t>
            </w:r>
          </w:p>
        </w:tc>
        <w:tc>
          <w:tcPr>
            <w:tcW w:w="1843" w:type="dxa"/>
          </w:tcPr>
          <w:p w14:paraId="7499A3B0" w14:textId="77777777" w:rsidR="00A60D8D" w:rsidRPr="00F2226D" w:rsidRDefault="00A60D8D" w:rsidP="003E3405"/>
        </w:tc>
      </w:tr>
    </w:tbl>
    <w:p w14:paraId="6C713686" w14:textId="61EFA67C" w:rsidR="005149CF" w:rsidRDefault="005149CF" w:rsidP="005149CF">
      <w:pPr>
        <w:pStyle w:val="TableName"/>
      </w:pPr>
      <w:bookmarkStart w:id="160" w:name="_Toc40956663"/>
      <w:r>
        <w:t>Q6 Adverse effects associated with vigorous exercise during pregnancy — systematic review</w:t>
      </w:r>
      <w:bookmarkEnd w:id="160"/>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5: Q6 Adverse effects associated with vigorous exercise during pregnancy — systematic review"/>
      </w:tblPr>
      <w:tblGrid>
        <w:gridCol w:w="1305"/>
        <w:gridCol w:w="1247"/>
        <w:gridCol w:w="4961"/>
        <w:gridCol w:w="4536"/>
        <w:gridCol w:w="1843"/>
      </w:tblGrid>
      <w:tr w:rsidR="005149CF" w:rsidRPr="00F350A6" w14:paraId="4F17CE29" w14:textId="77777777" w:rsidTr="006A7633">
        <w:trPr>
          <w:cantSplit/>
          <w:tblHeader/>
        </w:trPr>
        <w:tc>
          <w:tcPr>
            <w:tcW w:w="1305" w:type="dxa"/>
          </w:tcPr>
          <w:p w14:paraId="4E45B26F" w14:textId="77777777" w:rsidR="005149CF" w:rsidRPr="00F350A6" w:rsidRDefault="005149CF" w:rsidP="006A7633">
            <w:pPr>
              <w:keepNext/>
              <w:rPr>
                <w:b/>
              </w:rPr>
            </w:pPr>
            <w:r>
              <w:rPr>
                <w:b/>
              </w:rPr>
              <w:t>Study ref</w:t>
            </w:r>
          </w:p>
        </w:tc>
        <w:tc>
          <w:tcPr>
            <w:tcW w:w="1247" w:type="dxa"/>
          </w:tcPr>
          <w:p w14:paraId="62DB1A9F" w14:textId="77777777" w:rsidR="005149CF" w:rsidRPr="00F350A6" w:rsidRDefault="005149CF" w:rsidP="006A7633">
            <w:pPr>
              <w:keepNext/>
              <w:rPr>
                <w:b/>
              </w:rPr>
            </w:pPr>
            <w:r>
              <w:rPr>
                <w:b/>
              </w:rPr>
              <w:t>N</w:t>
            </w:r>
          </w:p>
        </w:tc>
        <w:tc>
          <w:tcPr>
            <w:tcW w:w="4961" w:type="dxa"/>
          </w:tcPr>
          <w:p w14:paraId="0A993ED9" w14:textId="77777777" w:rsidR="005149CF" w:rsidRPr="00F350A6" w:rsidRDefault="005149CF" w:rsidP="006A7633">
            <w:pPr>
              <w:keepNext/>
              <w:rPr>
                <w:b/>
              </w:rPr>
            </w:pPr>
            <w:r>
              <w:rPr>
                <w:b/>
              </w:rPr>
              <w:t>Aim/methods</w:t>
            </w:r>
          </w:p>
        </w:tc>
        <w:tc>
          <w:tcPr>
            <w:tcW w:w="4536" w:type="dxa"/>
          </w:tcPr>
          <w:p w14:paraId="340CD2B0" w14:textId="77777777" w:rsidR="005149CF" w:rsidRPr="00F350A6" w:rsidRDefault="005149CF" w:rsidP="006A7633">
            <w:pPr>
              <w:keepNext/>
              <w:rPr>
                <w:b/>
              </w:rPr>
            </w:pPr>
            <w:r>
              <w:rPr>
                <w:b/>
              </w:rPr>
              <w:t>Results</w:t>
            </w:r>
          </w:p>
        </w:tc>
        <w:tc>
          <w:tcPr>
            <w:tcW w:w="1843" w:type="dxa"/>
          </w:tcPr>
          <w:p w14:paraId="6AFB8B31" w14:textId="77777777" w:rsidR="005149CF" w:rsidRPr="00F350A6" w:rsidRDefault="005149CF" w:rsidP="006A7633">
            <w:pPr>
              <w:keepNext/>
              <w:rPr>
                <w:b/>
              </w:rPr>
            </w:pPr>
            <w:r>
              <w:rPr>
                <w:b/>
              </w:rPr>
              <w:t>Comments</w:t>
            </w:r>
          </w:p>
        </w:tc>
      </w:tr>
      <w:tr w:rsidR="005149CF" w:rsidRPr="00F2226D" w14:paraId="3E73F219" w14:textId="77777777" w:rsidTr="006A7633">
        <w:trPr>
          <w:cantSplit/>
        </w:trPr>
        <w:tc>
          <w:tcPr>
            <w:tcW w:w="1305" w:type="dxa"/>
          </w:tcPr>
          <w:p w14:paraId="24D22444" w14:textId="2E5CFFBA" w:rsidR="005149CF" w:rsidRDefault="000F7073" w:rsidP="002747EA">
            <w:r>
              <w:t>Beetham et al 2019</w:t>
            </w:r>
            <w:r w:rsidR="00D07346">
              <w:fldChar w:fldCharType="begin">
                <w:fldData xml:space="preserve">PEVuZE5vdGU+PENpdGU+PEF1dGhvcj5CZWV0aGFtPC9BdXRob3I+PFllYXI+MjAxOTwvWWVhcj48
UmVjTnVtPjE5MzU8L1JlY051bT48RGlzcGxheVRleHQ+PHN0eWxlIGZhY2U9InN1cGVyc2NyaXB0
IiBmb250PSJUcmVidWNoZXQgTVMiIHNpemU9IjkiPjMxODwvc3R5bGU+PC9EaXNwbGF5VGV4dD48
cmVjb3JkPjxyZWMtbnVtYmVyPjE5MzU8L3JlYy1udW1iZXI+PGZvcmVpZ24ta2V5cz48a2V5IGFw
cD0iRU4iIGRiLWlkPSJleHZhc3JmeDJkdHJhb2VzYXN4cDJzenN4YTJkZjUwMjU5MngiIHRpbWVz
dGFtcD0iMTU4ODcyODM4MCI+MTkzNTwva2V5PjxrZXkgYXBwPSJFTldlYiIgZGItaWQ9IiI+MDwv
a2V5PjwvZm9yZWlnbi1rZXlzPjxyZWYtdHlwZSBuYW1lPSJKb3VybmFsIEFydGljbGUiPjE3PC9y
ZWYtdHlwZT48Y29udHJpYnV0b3JzPjxhdXRob3JzPjxhdXRob3I+QmVldGhhbSwgSy4gUy48L2F1
dGhvcj48YXV0aG9yPkdpbGVzLCBDLjwvYXV0aG9yPjxhdXRob3I+Tm9ldGVsLCBNLjwvYXV0aG9y
PjxhdXRob3I+Q2xpZnRvbiwgVi48L2F1dGhvcj48YXV0aG9yPkpvbmVzLCBKLiBDLjwvYXV0aG9y
PjxhdXRob3I+TmF1Z2h0b24sIEcuPC9hdXRob3I+PC9hdXRob3JzPjwvY29udHJpYnV0b3JzPjxh
dXRoLWFkZHJlc3M+U2Nob29sIG9mIEJlaGF2aW91cmFsIGFuZCBIZWFsdGggU2NpZW5jZXMsIEF1
c3RyYWxpYW4gQ2F0aG9saWMgVW5pdmVyc2l0eSwgMTEwMCBOdWRnZWUgUm9hZCwgQmFueW8sIEJy
aXNiYW5lLCBRdWVlbnNsYW5kLCA0MDE0LCBBdXN0cmFsaWEuIGthc3NpYS5iZWV0aGFtQGFjdS5l
ZHUuYXUuJiN4RDtTY2hvb2wgb2YgQmVoYXZpb3VyYWwgYW5kIEhlYWx0aCBTY2llbmNlcywgQXVz
dHJhbGlhbiBDYXRob2xpYyBVbml2ZXJzaXR5LCAxMTAwIE51ZGdlZSBSb2FkLCBCYW55bywgQnJp
c2JhbmUsIFF1ZWVuc2xhbmQsIDQwMTQsIEF1c3RyYWxpYS4mI3hEO1ByZWduYW5jeSBhbmQgRGV2
ZWxvcG1lbnQsIE1hdGVyIFJlc2VhcmNoIEluc3RpdHV0ZS1Vbml2ZXJzaXR5IG9mIFF1ZWVuc2xh
bmQsIFRyYW5zbGF0aW9uYWwgUmVzZWFyY2ggSW5zdGl0dXRlLCBTb3V0aCBCcmlzYmFuZSwgUXVl
ZW5zbGFuZCwgQXVzdHJhbGlhLiYjeEQ7T2JzdGV0cmljcyBhbmQgR3luYWVjb2xvZ3kgRGVwYXJ0
bWVudCwgUm95YWwgTm9ydGggU2hvcmUgSG9zcGl0YWwsIFN5ZG5leSwgTmV3IFNvdXRoIFdhbGVz
LCBBdXN0cmFsaWEuJiN4RDtEZXBhcnRtZW50IG9mIEVkdWNhdGlvbmFsIFN0dWRpZXMsIE1hY3F1
YXJpZSBVbml2ZXJzaXR5LCBTeWRuZXksIE5ldyBTb3V0aCBXYWxlcywgQXVzdHJhbGlhLiYjeEQ7
U2Nob29sIG9mIEhlYWx0aCBTY2llbmNlcywgU3dpbmJ1cm5lIFVuaXZlcnNpdHkgb2YgVGVjaG5v
bG9neSwgTWVsYm91cm5lLCBWaWN0b3JpYSwgQXVzdHJhbGlhLjwvYXV0aC1hZGRyZXNzPjx0aXRs
ZXM+PHRpdGxlPlRoZSBlZmZlY3RzIG9mIHZpZ29yb3VzIGludGVuc2l0eSBleGVyY2lzZSBpbiB0
aGUgdGhpcmQgdHJpbWVzdGVyIG9mIHByZWduYW5jeTogYSBzeXN0ZW1hdGljIHJldmlldyBhbmQg
bWV0YS1hbmFseXNpczwvdGl0bGU+PHNlY29uZGFyeS10aXRsZT5CTUMgUHJlZ25hbmN5IENoaWxk
YmlydGg8L3NlY29uZGFyeS10aXRsZT48L3RpdGxlcz48cGVyaW9kaWNhbD48ZnVsbC10aXRsZT5C
TUMgUHJlZ25hbmN5IENoaWxkYmlydGg8L2Z1bGwtdGl0bGU+PC9wZXJpb2RpY2FsPjxwYWdlcz4y
ODE8L3BhZ2VzPjx2b2x1bWU+MTk8L3ZvbHVtZT48bnVtYmVyPjE8L251bWJlcj48ZWRpdGlvbj4y
MDE5LzA4LzA5PC9lZGl0aW9uPjxrZXl3b3Jkcz48a2V5d29yZD4qRXhlcmNpc2U8L2tleXdvcmQ+
PGtleXdvcmQ+RmVtYWxlPC9rZXl3b3JkPjxrZXl3b3JkPkZldGFsIEdyb3d0aCBSZXRhcmRhdGlv
bi8qZXBpZGVtaW9sb2d5PC9rZXl3b3JkPjxrZXl3b3JkPkdlc3RhdGlvbmFsIFdlaWdodCBHYWlu
PC9rZXl3b3JkPjxrZXl3b3JkPkh1bWFuczwva2V5d29yZD48a2V5d29yZD5JbmZhbnQsIExvdyBC
aXJ0aCBXZWlnaHQ8L2tleXdvcmQ+PGtleXdvcmQ+SW5mYW50LCBOZXdib3JuPC9rZXl3b3JkPjxr
ZXl3b3JkPkluZmFudCwgU21hbGwgZm9yIEdlc3RhdGlvbmFsIEFnZTwva2V5d29yZD48a2V5d29y
ZD5QcmVnbmFuY3k8L2tleXdvcmQ+PGtleXdvcmQ+KlByZWduYW5jeSBUcmltZXN0ZXIsIFRoaXJk
PC9rZXl3b3JkPjxrZXl3b3JkPlByZW1hdHVyZSBCaXJ0aC8qZXBpZGVtaW9sb2d5PC9rZXl3b3Jk
PjxrZXl3b3JkPlByb3RlY3RpdmUgRmFjdG9yczwva2V5d29yZD48a2V5d29yZD5SaXNrIEZhY3Rv
cnM8L2tleXdvcmQ+PGtleXdvcmQ+QW50ZW5hdGFsPC9rZXl3b3JkPjxrZXl3b3JkPkdlc3RhdGlv
bjwva2V5d29yZD48a2V5d29yZD5IaWdoIGludGVuc2l0eTwva2V5d29yZD48a2V5d29yZD5JbmZh
bnQ8L2tleXdvcmQ+PGtleXdvcmQ+SW50cmF1dGVyaW5lIGdyb3d0aCByZXN0cmljdGlvbjwva2V5
d29yZD48a2V5d29yZD5NYXRlcm5hbCB3ZWlnaHQgZ2Fpbjwva2V5d29yZD48a2V5d29yZD5QaHlz
aWNhbCBhY3Rpdml0eTwva2V5d29yZD48a2V5d29yZD5QcmVuYXRhbDwva2V5d29yZD48a2V5d29y
ZD5TbWFsbCBmb3IgZ2VzdGF0aW9uYWwgYWdlPC9rZXl3b3JkPjwva2V5d29yZHM+PGRhdGVzPjx5
ZWFyPjIwMTk8L3llYXI+PHB1Yi1kYXRlcz48ZGF0ZT5BdWcgNzwvZGF0ZT48L3B1Yi1kYXRlcz48
L2RhdGVzPjxpc2JuPjE0NzEtMjM5MyAoRWxlY3Ryb25pYykmI3hEOzE0NzEtMjM5MyAoTGlua2lu
Zyk8L2lzYm4+PGFjY2Vzc2lvbi1udW0+MzEzOTEwMTY8L2FjY2Vzc2lvbi1udW0+PHVybHM+PHJl
bGF0ZWQtdXJscz48dXJsPmh0dHBzOi8vd3d3Lm5jYmkubmxtLm5paC5nb3YvcHVibWVkLzMxMzkx
MDE2PC91cmw+PC9yZWxhdGVkLXVybHM+PC91cmxzPjxjdXN0b20yPlBNQzY2ODY1MzU8L2N1c3Rv
bTI+PGVsZWN0cm9uaWMtcmVzb3VyY2UtbnVtPjEwLjExODYvczEyODg0LTAxOS0yNDQxLTE8L2Vs
ZWN0cm9uaWMtcmVzb3VyY2UtbnVtPjwvcmVjb3JkPjwvQ2l0ZT48L0VuZE5vdGU+
</w:fldData>
              </w:fldChar>
            </w:r>
            <w:r w:rsidR="002747EA">
              <w:instrText xml:space="preserve"> ADDIN EN.CITE </w:instrText>
            </w:r>
            <w:r w:rsidR="002747EA">
              <w:fldChar w:fldCharType="begin">
                <w:fldData xml:space="preserve">PEVuZE5vdGU+PENpdGU+PEF1dGhvcj5CZWV0aGFtPC9BdXRob3I+PFllYXI+MjAxOTwvWWVhcj48
UmVjTnVtPjE5MzU8L1JlY051bT48RGlzcGxheVRleHQ+PHN0eWxlIGZhY2U9InN1cGVyc2NyaXB0
IiBmb250PSJUcmVidWNoZXQgTVMiIHNpemU9IjkiPjMxODwvc3R5bGU+PC9EaXNwbGF5VGV4dD48
cmVjb3JkPjxyZWMtbnVtYmVyPjE5MzU8L3JlYy1udW1iZXI+PGZvcmVpZ24ta2V5cz48a2V5IGFw
cD0iRU4iIGRiLWlkPSJleHZhc3JmeDJkdHJhb2VzYXN4cDJzenN4YTJkZjUwMjU5MngiIHRpbWVz
dGFtcD0iMTU4ODcyODM4MCI+MTkzNTwva2V5PjxrZXkgYXBwPSJFTldlYiIgZGItaWQ9IiI+MDwv
a2V5PjwvZm9yZWlnbi1rZXlzPjxyZWYtdHlwZSBuYW1lPSJKb3VybmFsIEFydGljbGUiPjE3PC9y
ZWYtdHlwZT48Y29udHJpYnV0b3JzPjxhdXRob3JzPjxhdXRob3I+QmVldGhhbSwgSy4gUy48L2F1
dGhvcj48YXV0aG9yPkdpbGVzLCBDLjwvYXV0aG9yPjxhdXRob3I+Tm9ldGVsLCBNLjwvYXV0aG9y
PjxhdXRob3I+Q2xpZnRvbiwgVi48L2F1dGhvcj48YXV0aG9yPkpvbmVzLCBKLiBDLjwvYXV0aG9y
PjxhdXRob3I+TmF1Z2h0b24sIEcuPC9hdXRob3I+PC9hdXRob3JzPjwvY29udHJpYnV0b3JzPjxh
dXRoLWFkZHJlc3M+U2Nob29sIG9mIEJlaGF2aW91cmFsIGFuZCBIZWFsdGggU2NpZW5jZXMsIEF1
c3RyYWxpYW4gQ2F0aG9saWMgVW5pdmVyc2l0eSwgMTEwMCBOdWRnZWUgUm9hZCwgQmFueW8sIEJy
aXNiYW5lLCBRdWVlbnNsYW5kLCA0MDE0LCBBdXN0cmFsaWEuIGthc3NpYS5iZWV0aGFtQGFjdS5l
ZHUuYXUuJiN4RDtTY2hvb2wgb2YgQmVoYXZpb3VyYWwgYW5kIEhlYWx0aCBTY2llbmNlcywgQXVz
dHJhbGlhbiBDYXRob2xpYyBVbml2ZXJzaXR5LCAxMTAwIE51ZGdlZSBSb2FkLCBCYW55bywgQnJp
c2JhbmUsIFF1ZWVuc2xhbmQsIDQwMTQsIEF1c3RyYWxpYS4mI3hEO1ByZWduYW5jeSBhbmQgRGV2
ZWxvcG1lbnQsIE1hdGVyIFJlc2VhcmNoIEluc3RpdHV0ZS1Vbml2ZXJzaXR5IG9mIFF1ZWVuc2xh
bmQsIFRyYW5zbGF0aW9uYWwgUmVzZWFyY2ggSW5zdGl0dXRlLCBTb3V0aCBCcmlzYmFuZSwgUXVl
ZW5zbGFuZCwgQXVzdHJhbGlhLiYjeEQ7T2JzdGV0cmljcyBhbmQgR3luYWVjb2xvZ3kgRGVwYXJ0
bWVudCwgUm95YWwgTm9ydGggU2hvcmUgSG9zcGl0YWwsIFN5ZG5leSwgTmV3IFNvdXRoIFdhbGVz
LCBBdXN0cmFsaWEuJiN4RDtEZXBhcnRtZW50IG9mIEVkdWNhdGlvbmFsIFN0dWRpZXMsIE1hY3F1
YXJpZSBVbml2ZXJzaXR5LCBTeWRuZXksIE5ldyBTb3V0aCBXYWxlcywgQXVzdHJhbGlhLiYjeEQ7
U2Nob29sIG9mIEhlYWx0aCBTY2llbmNlcywgU3dpbmJ1cm5lIFVuaXZlcnNpdHkgb2YgVGVjaG5v
bG9neSwgTWVsYm91cm5lLCBWaWN0b3JpYSwgQXVzdHJhbGlhLjwvYXV0aC1hZGRyZXNzPjx0aXRs
ZXM+PHRpdGxlPlRoZSBlZmZlY3RzIG9mIHZpZ29yb3VzIGludGVuc2l0eSBleGVyY2lzZSBpbiB0
aGUgdGhpcmQgdHJpbWVzdGVyIG9mIHByZWduYW5jeTogYSBzeXN0ZW1hdGljIHJldmlldyBhbmQg
bWV0YS1hbmFseXNpczwvdGl0bGU+PHNlY29uZGFyeS10aXRsZT5CTUMgUHJlZ25hbmN5IENoaWxk
YmlydGg8L3NlY29uZGFyeS10aXRsZT48L3RpdGxlcz48cGVyaW9kaWNhbD48ZnVsbC10aXRsZT5C
TUMgUHJlZ25hbmN5IENoaWxkYmlydGg8L2Z1bGwtdGl0bGU+PC9wZXJpb2RpY2FsPjxwYWdlcz4y
ODE8L3BhZ2VzPjx2b2x1bWU+MTk8L3ZvbHVtZT48bnVtYmVyPjE8L251bWJlcj48ZWRpdGlvbj4y
MDE5LzA4LzA5PC9lZGl0aW9uPjxrZXl3b3Jkcz48a2V5d29yZD4qRXhlcmNpc2U8L2tleXdvcmQ+
PGtleXdvcmQ+RmVtYWxlPC9rZXl3b3JkPjxrZXl3b3JkPkZldGFsIEdyb3d0aCBSZXRhcmRhdGlv
bi8qZXBpZGVtaW9sb2d5PC9rZXl3b3JkPjxrZXl3b3JkPkdlc3RhdGlvbmFsIFdlaWdodCBHYWlu
PC9rZXl3b3JkPjxrZXl3b3JkPkh1bWFuczwva2V5d29yZD48a2V5d29yZD5JbmZhbnQsIExvdyBC
aXJ0aCBXZWlnaHQ8L2tleXdvcmQ+PGtleXdvcmQ+SW5mYW50LCBOZXdib3JuPC9rZXl3b3JkPjxr
ZXl3b3JkPkluZmFudCwgU21hbGwgZm9yIEdlc3RhdGlvbmFsIEFnZTwva2V5d29yZD48a2V5d29y
ZD5QcmVnbmFuY3k8L2tleXdvcmQ+PGtleXdvcmQ+KlByZWduYW5jeSBUcmltZXN0ZXIsIFRoaXJk
PC9rZXl3b3JkPjxrZXl3b3JkPlByZW1hdHVyZSBCaXJ0aC8qZXBpZGVtaW9sb2d5PC9rZXl3b3Jk
PjxrZXl3b3JkPlByb3RlY3RpdmUgRmFjdG9yczwva2V5d29yZD48a2V5d29yZD5SaXNrIEZhY3Rv
cnM8L2tleXdvcmQ+PGtleXdvcmQ+QW50ZW5hdGFsPC9rZXl3b3JkPjxrZXl3b3JkPkdlc3RhdGlv
bjwva2V5d29yZD48a2V5d29yZD5IaWdoIGludGVuc2l0eTwva2V5d29yZD48a2V5d29yZD5JbmZh
bnQ8L2tleXdvcmQ+PGtleXdvcmQ+SW50cmF1dGVyaW5lIGdyb3d0aCByZXN0cmljdGlvbjwva2V5
d29yZD48a2V5d29yZD5NYXRlcm5hbCB3ZWlnaHQgZ2Fpbjwva2V5d29yZD48a2V5d29yZD5QaHlz
aWNhbCBhY3Rpdml0eTwva2V5d29yZD48a2V5d29yZD5QcmVuYXRhbDwva2V5d29yZD48a2V5d29y
ZD5TbWFsbCBmb3IgZ2VzdGF0aW9uYWwgYWdlPC9rZXl3b3JkPjwva2V5d29yZHM+PGRhdGVzPjx5
ZWFyPjIwMTk8L3llYXI+PHB1Yi1kYXRlcz48ZGF0ZT5BdWcgNzwvZGF0ZT48L3B1Yi1kYXRlcz48
L2RhdGVzPjxpc2JuPjE0NzEtMjM5MyAoRWxlY3Ryb25pYykmI3hEOzE0NzEtMjM5MyAoTGlua2lu
Zyk8L2lzYm4+PGFjY2Vzc2lvbi1udW0+MzEzOTEwMTY8L2FjY2Vzc2lvbi1udW0+PHVybHM+PHJl
bGF0ZWQtdXJscz48dXJsPmh0dHBzOi8vd3d3Lm5jYmkubmxtLm5paC5nb3YvcHVibWVkLzMxMzkx
MDE2PC91cmw+PC9yZWxhdGVkLXVybHM+PC91cmxzPjxjdXN0b20yPlBNQzY2ODY1MzU8L2N1c3Rv
bTI+PGVsZWN0cm9uaWMtcmVzb3VyY2UtbnVtPjEwLjExODYvczEyODg0LTAxOS0yNDQxLTE8L2Vs
ZWN0cm9uaWMtcmVzb3VyY2UtbnVtPjwvcmVjb3JkPjwvQ2l0ZT48L0VuZE5vdGU+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318</w:t>
            </w:r>
            <w:r w:rsidR="00D07346">
              <w:fldChar w:fldCharType="end"/>
            </w:r>
          </w:p>
        </w:tc>
        <w:tc>
          <w:tcPr>
            <w:tcW w:w="1247" w:type="dxa"/>
          </w:tcPr>
          <w:p w14:paraId="5B7ED4A9" w14:textId="77777777" w:rsidR="000F7073" w:rsidRDefault="000F7073" w:rsidP="006A7633">
            <w:r>
              <w:t>10</w:t>
            </w:r>
            <w:r w:rsidRPr="000F7073">
              <w:t xml:space="preserve"> c</w:t>
            </w:r>
            <w:r>
              <w:t>ohort studies;</w:t>
            </w:r>
          </w:p>
          <w:p w14:paraId="08697EC2" w14:textId="77777777" w:rsidR="000F7073" w:rsidRDefault="000F7073" w:rsidP="000F7073">
            <w:r>
              <w:t>32,080 women</w:t>
            </w:r>
            <w:r w:rsidRPr="000F7073">
              <w:t xml:space="preserve"> </w:t>
            </w:r>
          </w:p>
          <w:p w14:paraId="28EF1E6A" w14:textId="77777777" w:rsidR="000F7073" w:rsidRDefault="000F7073" w:rsidP="000F7073">
            <w:r>
              <w:t>5 RCTS;</w:t>
            </w:r>
          </w:p>
          <w:p w14:paraId="2CC61ADF" w14:textId="0D0EC7D2" w:rsidR="005149CF" w:rsidRDefault="000F7073" w:rsidP="000F7073">
            <w:r>
              <w:t>623 women</w:t>
            </w:r>
          </w:p>
        </w:tc>
        <w:tc>
          <w:tcPr>
            <w:tcW w:w="4961" w:type="dxa"/>
          </w:tcPr>
          <w:p w14:paraId="2135D4B0" w14:textId="77777777" w:rsidR="000F7073" w:rsidRDefault="000F7073" w:rsidP="000F7073">
            <w:r w:rsidRPr="00BD61CC">
              <w:rPr>
                <w:b/>
              </w:rPr>
              <w:t>Aim</w:t>
            </w:r>
            <w:r>
              <w:t>: T</w:t>
            </w:r>
            <w:r w:rsidRPr="000F7073">
              <w:t xml:space="preserve">o investigate the effects of vigorous intensity exercise performed throughout pregnancy, on infant and maternal outcomes. </w:t>
            </w:r>
          </w:p>
          <w:p w14:paraId="4701B281" w14:textId="41D11037" w:rsidR="005149CF" w:rsidRPr="00F2226D" w:rsidRDefault="000F7073" w:rsidP="000F7073">
            <w:pPr>
              <w:rPr>
                <w:b/>
              </w:rPr>
            </w:pPr>
            <w:r w:rsidRPr="00BD61CC">
              <w:rPr>
                <w:b/>
              </w:rPr>
              <w:t>Methods</w:t>
            </w:r>
            <w:r w:rsidRPr="000F7073">
              <w:t xml:space="preserve">: Electronic searching of the PubMed, Medline, EMBASE, Cochrane Library, Web of Science and CINAHL databases was used to conduct the search up to November 2018. Study designs included in the systematic review were randomised control trials, quasi-experimental studies, cohort studies and case-control studies. The studies were required to include an intervention or report of pregnant women performing vigorous exercise during gestation, with a comparator group of either lower intensity exercise or standard care. </w:t>
            </w:r>
          </w:p>
        </w:tc>
        <w:tc>
          <w:tcPr>
            <w:tcW w:w="4536" w:type="dxa"/>
          </w:tcPr>
          <w:p w14:paraId="644ED73B" w14:textId="72274808" w:rsidR="000F7073" w:rsidRDefault="000F7073" w:rsidP="000F7073">
            <w:r w:rsidRPr="000F7073">
              <w:t>No significant difference existed in birthweight for infants of mothers who engaged in vigorous physical activity and those who lacked this exposure (</w:t>
            </w:r>
            <w:r>
              <w:t>MD 8.06 g, n=</w:t>
            </w:r>
            <w:r w:rsidRPr="000F7073">
              <w:t>8006</w:t>
            </w:r>
            <w:r w:rsidR="008B0A3F">
              <w:t>, p=0.79</w:t>
            </w:r>
            <w:r w:rsidRPr="000F7073">
              <w:t>). Moreover, no significant increase existed in risk of small for gestational age (</w:t>
            </w:r>
            <w:r>
              <w:t>RR 0.15, n=</w:t>
            </w:r>
            <w:r w:rsidRPr="000F7073">
              <w:t>4</w:t>
            </w:r>
            <w:r>
              <w:t>,</w:t>
            </w:r>
            <w:r w:rsidRPr="000F7073">
              <w:t>504</w:t>
            </w:r>
            <w:r w:rsidR="008B0A3F">
              <w:t>, p=0.13), risk of low birth weight (&lt;</w:t>
            </w:r>
            <w:r w:rsidRPr="000F7073">
              <w:t>2500 g) (</w:t>
            </w:r>
            <w:r>
              <w:t>RR 0.44, n=</w:t>
            </w:r>
            <w:r w:rsidRPr="000F7073">
              <w:t>2</w:t>
            </w:r>
            <w:r>
              <w:t>,</w:t>
            </w:r>
            <w:r w:rsidRPr="000F7073">
              <w:t>454</w:t>
            </w:r>
            <w:r w:rsidR="008B0A3F">
              <w:t>; p=0.35</w:t>
            </w:r>
            <w:r w:rsidRPr="000F7073">
              <w:t>) or maternal weight gain (</w:t>
            </w:r>
            <w:r>
              <w:t>MD</w:t>
            </w:r>
            <w:r w:rsidR="008B0A3F">
              <w:t xml:space="preserve"> -</w:t>
            </w:r>
            <w:r>
              <w:t>0.46 kg, n=</w:t>
            </w:r>
            <w:r w:rsidRPr="000F7073">
              <w:t>1</w:t>
            </w:r>
            <w:r>
              <w:t>,</w:t>
            </w:r>
            <w:r w:rsidRPr="000F7073">
              <w:t>834</w:t>
            </w:r>
            <w:r w:rsidR="008B0A3F">
              <w:t>; p=0.5</w:t>
            </w:r>
            <w:r w:rsidRPr="000F7073">
              <w:t xml:space="preserve">). </w:t>
            </w:r>
          </w:p>
          <w:p w14:paraId="2729E25F" w14:textId="0788634F" w:rsidR="005149CF" w:rsidRPr="000F7073" w:rsidRDefault="000F7073" w:rsidP="008B0A3F">
            <w:r w:rsidRPr="000F7073">
              <w:t>Women who engaged in vigorous physical activity had a small but significant increase in length of gestational age before delivery (</w:t>
            </w:r>
            <w:r w:rsidR="008B0A3F">
              <w:t>MD 0.21 weeks, n=</w:t>
            </w:r>
            <w:r w:rsidRPr="000F7073">
              <w:t>4</w:t>
            </w:r>
            <w:r w:rsidR="008B0A3F">
              <w:t>,</w:t>
            </w:r>
            <w:r w:rsidRPr="000F7073">
              <w:t>281</w:t>
            </w:r>
            <w:r w:rsidR="008B0A3F">
              <w:t>; p&lt;0.001</w:t>
            </w:r>
            <w:r w:rsidRPr="000F7073">
              <w:t>) and a small but significantly reduced risk of prematurity (</w:t>
            </w:r>
            <w:r w:rsidR="001F47CB">
              <w:t>RR -</w:t>
            </w:r>
            <w:r w:rsidRPr="000F7073">
              <w:t>0.20, n = 3025</w:t>
            </w:r>
            <w:r w:rsidR="008B0A3F">
              <w:t>; p=0.03</w:t>
            </w:r>
            <w:r w:rsidRPr="000F7073">
              <w:t xml:space="preserve">). </w:t>
            </w:r>
          </w:p>
        </w:tc>
        <w:tc>
          <w:tcPr>
            <w:tcW w:w="1843" w:type="dxa"/>
          </w:tcPr>
          <w:p w14:paraId="0CDE1262" w14:textId="77777777" w:rsidR="005149CF" w:rsidRDefault="005149CF" w:rsidP="006A7633"/>
        </w:tc>
      </w:tr>
    </w:tbl>
    <w:p w14:paraId="4061F2DD" w14:textId="12AB0810" w:rsidR="00557E94" w:rsidRDefault="00557E94" w:rsidP="00557E94">
      <w:pPr>
        <w:pStyle w:val="TableName"/>
      </w:pPr>
      <w:bookmarkStart w:id="161" w:name="_Toc40956664"/>
      <w:r>
        <w:t>Q6 Adverse effects associated with vigorous exercise during pregnancy — RCT</w:t>
      </w:r>
      <w:bookmarkEnd w:id="161"/>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6: Q6 Adverse effects associated with vigorous exercise during pregnancy — RCT"/>
      </w:tblPr>
      <w:tblGrid>
        <w:gridCol w:w="1305"/>
        <w:gridCol w:w="1247"/>
        <w:gridCol w:w="4961"/>
        <w:gridCol w:w="4536"/>
        <w:gridCol w:w="1843"/>
      </w:tblGrid>
      <w:tr w:rsidR="00557E94" w:rsidRPr="00F350A6" w14:paraId="3133619E" w14:textId="77777777" w:rsidTr="00317DE7">
        <w:trPr>
          <w:cantSplit/>
          <w:tblHeader/>
        </w:trPr>
        <w:tc>
          <w:tcPr>
            <w:tcW w:w="1305" w:type="dxa"/>
          </w:tcPr>
          <w:p w14:paraId="08AED085" w14:textId="77777777" w:rsidR="00557E94" w:rsidRPr="00F350A6" w:rsidRDefault="00557E94" w:rsidP="00317DE7">
            <w:pPr>
              <w:keepNext/>
              <w:rPr>
                <w:b/>
              </w:rPr>
            </w:pPr>
            <w:r>
              <w:rPr>
                <w:b/>
              </w:rPr>
              <w:t>Study ref</w:t>
            </w:r>
          </w:p>
        </w:tc>
        <w:tc>
          <w:tcPr>
            <w:tcW w:w="1247" w:type="dxa"/>
          </w:tcPr>
          <w:p w14:paraId="358235B0" w14:textId="77777777" w:rsidR="00557E94" w:rsidRPr="00F350A6" w:rsidRDefault="00557E94" w:rsidP="00317DE7">
            <w:pPr>
              <w:keepNext/>
              <w:rPr>
                <w:b/>
              </w:rPr>
            </w:pPr>
            <w:r>
              <w:rPr>
                <w:b/>
              </w:rPr>
              <w:t>N</w:t>
            </w:r>
          </w:p>
        </w:tc>
        <w:tc>
          <w:tcPr>
            <w:tcW w:w="4961" w:type="dxa"/>
          </w:tcPr>
          <w:p w14:paraId="5F5283B1" w14:textId="77777777" w:rsidR="00557E94" w:rsidRPr="00F350A6" w:rsidRDefault="00557E94" w:rsidP="00317DE7">
            <w:pPr>
              <w:keepNext/>
              <w:rPr>
                <w:b/>
              </w:rPr>
            </w:pPr>
            <w:r>
              <w:rPr>
                <w:b/>
              </w:rPr>
              <w:t>Aim/methods</w:t>
            </w:r>
          </w:p>
        </w:tc>
        <w:tc>
          <w:tcPr>
            <w:tcW w:w="4536" w:type="dxa"/>
          </w:tcPr>
          <w:p w14:paraId="7B930692" w14:textId="77777777" w:rsidR="00557E94" w:rsidRPr="00F350A6" w:rsidRDefault="00557E94" w:rsidP="00317DE7">
            <w:pPr>
              <w:keepNext/>
              <w:rPr>
                <w:b/>
              </w:rPr>
            </w:pPr>
            <w:r>
              <w:rPr>
                <w:b/>
              </w:rPr>
              <w:t>Results</w:t>
            </w:r>
          </w:p>
        </w:tc>
        <w:tc>
          <w:tcPr>
            <w:tcW w:w="1843" w:type="dxa"/>
          </w:tcPr>
          <w:p w14:paraId="5270171C" w14:textId="77777777" w:rsidR="00557E94" w:rsidRPr="00F350A6" w:rsidRDefault="00557E94" w:rsidP="00317DE7">
            <w:pPr>
              <w:keepNext/>
              <w:rPr>
                <w:b/>
              </w:rPr>
            </w:pPr>
            <w:r>
              <w:rPr>
                <w:b/>
              </w:rPr>
              <w:t>Comments</w:t>
            </w:r>
          </w:p>
        </w:tc>
      </w:tr>
      <w:tr w:rsidR="005D5D38" w:rsidRPr="00A37586" w14:paraId="51EAB238" w14:textId="77777777" w:rsidTr="00317DE7">
        <w:trPr>
          <w:cantSplit/>
          <w:tblHeader/>
        </w:trPr>
        <w:tc>
          <w:tcPr>
            <w:tcW w:w="1305" w:type="dxa"/>
          </w:tcPr>
          <w:p w14:paraId="05BD5569" w14:textId="25756CE7" w:rsidR="005D5D38" w:rsidRDefault="005D5D38" w:rsidP="005D5D38">
            <w:pPr>
              <w:rPr>
                <w:noProof/>
              </w:rPr>
            </w:pPr>
            <w:r>
              <w:rPr>
                <w:noProof/>
              </w:rPr>
              <w:t>Hoffman et al 2019</w:t>
            </w:r>
            <w:r w:rsidR="00D07346">
              <w:rPr>
                <w:noProof/>
              </w:rPr>
              <w:fldChar w:fldCharType="begin">
                <w:fldData xml:space="preserve">PEVuZE5vdGU+PENpdGU+PEF1dGhvcj5Ib2ZmbWFubjwvQXV0aG9yPjxZZWFyPjIwMTk8L1llYXI+
PFJlY051bT4xOTU3PC9SZWNOdW0+PERpc3BsYXlUZXh0PjxzdHlsZSBmYWNlPSJzdXBlcnNjcmlw
dCIgZm9udD0iVHJlYnVjaGV0IE1TIiBzaXplPSI5Ij4zMTk8L3N0eWxlPjwvRGlzcGxheVRleHQ+
PHJlY29yZD48cmVjLW51bWJlcj4xOTU3PC9yZWMtbnVtYmVyPjxmb3JlaWduLWtleXM+PGtleSBh
cHA9IkVOIiBkYi1pZD0iZXh2YXNyZngyZHRyYW9lc2FzeHAyc3pzeGEyZGY1MDI1OTJ4IiB0aW1l
c3RhbXA9IjE1ODg3NDM4NTgiPjE5NTc8L2tleT48a2V5IGFwcD0iRU5XZWIiIGRiLWlkPSIiPjA8
L2tleT48L2ZvcmVpZ24ta2V5cz48cmVmLXR5cGUgbmFtZT0iSm91cm5hbCBBcnRpY2xlIj4xNzwv
cmVmLXR5cGU+PGNvbnRyaWJ1dG9ycz48YXV0aG9ycz48YXV0aG9yPkhvZmZtYW5uLCBKLjwvYXV0
aG9yPjxhdXRob3I+R3VudGhlciwgSi48L2F1dGhvcj48YXV0aG9yPkdleWVyLCBLLjwvYXV0aG9y
PjxhdXRob3I+U3RlY2hlciwgTC48L2F1dGhvcj48YXV0aG9yPkt1bmF0aCwgSi48L2F1dGhvcj48
YXV0aG9yPk1leWVyLCBELjwvYXV0aG9yPjxhdXRob3I+U3BpZXMsIE0uPC9hdXRob3I+PGF1dGhv
cj5Sb3NlbmZlbGQsIEUuPC9hdXRob3I+PGF1dGhvcj5LaWNrLCBMLjwvYXV0aG9yPjxhdXRob3I+
UmF1aCwgSy48L2F1dGhvcj48YXV0aG9yPkhhdW5lciwgSC48L2F1dGhvcj48L2F1dGhvcnM+PC9j
b250cmlidXRvcnM+PGF1dGgtYWRkcmVzcz5FbHNlIEtyb25lci1GcmVzZW5pdXMtQ2VudHJlIGZv
ciBOdXRyaXRpb25hbCBNZWRpY2luZSwgS2xpbmlrdW0gcmVjaHRzIGRlciBJc2FyLCBUZWNobmlj
YWwgVW5pdmVyc2l0eSBvZiBNdW5pY2gsIEdlb3JnLUJyYXVjaGxlLVJpbmcgNjIsIDgwOTkyIE11
bmljaCwgR2VybWFueS4ganVsaWEuaG9mZm1hbm5AdHVtLmRlLiYjeEQ7RWxzZSBLcm9uZXItRnJl
c2VuaXVzLUNlbnRyZSBmb3IgTnV0cml0aW9uYWwgTWVkaWNpbmUsIEtsaW5pa3VtIHJlY2h0cyBk
ZXIgSXNhciwgVGVjaG5pY2FsIFVuaXZlcnNpdHkgb2YgTXVuaWNoLCBHZW9yZy1CcmF1Y2hsZS1S
aW5nIDYyLCA4MDk5MiBNdW5pY2gsIEdlcm1hbnkuIGp1bGlhLmd1ZW50aGVyQHR1bS5kZS4mI3hE
O0Vsc2UgS3JvbmVyLUZyZXNlbml1cy1DZW50cmUgZm9yIE51dHJpdGlvbmFsIE1lZGljaW5lLCBL
bGluaWt1bSByZWNodHMgZGVyIElzYXIsIFRlY2huaWNhbCBVbml2ZXJzaXR5IG9mIE11bmljaCwg
R2VvcmctQnJhdWNobGUtUmluZyA2MiwgODA5OTIgTXVuaWNoLCBHZXJtYW55LiBrLmdleWVyQHR1
bS5kZS4mI3hEO0Vsc2UgS3JvbmVyLUZyZXNlbml1cy1DZW50cmUgZm9yIE51dHJpdGlvbmFsIE1l
ZGljaW5lLCBLbGluaWt1bSByZWNodHMgZGVyIElzYXIsIFRlY2huaWNhbCBVbml2ZXJzaXR5IG9m
IE11bmljaCwgR2VvcmctQnJhdWNobGUtUmluZyA2MiwgODA5OTIgTXVuaWNoLCBHZXJtYW55LiBs
eW5uZS5zdGVjaGVyQHR1bS5kZS4mI3hEO0Vsc2UgS3JvbmVyLUZyZXNlbml1cy1DZW50cmUgZm9y
IE51dHJpdGlvbmFsIE1lZGljaW5lLCBLbGluaWt1bSByZWNodHMgZGVyIElzYXIsIFRlY2huaWNh
bCBVbml2ZXJzaXR5IG9mIE11bmljaCwgR2VvcmctQnJhdWNobGUtUmluZyA2MiwgODA5OTIgTXVu
aWNoLCBHZXJtYW55LiBqdWxpYS5rdW5hdGhAdHVtLmRlLiYjeEQ7RWxzZSBLcm9uZXItRnJlc2Vu
aXVzLUNlbnRyZSBmb3IgTnV0cml0aW9uYWwgTWVkaWNpbmUsIEtsaW5pa3VtIHJlY2h0cyBkZXIg
SXNhciwgVGVjaG5pY2FsIFVuaXZlcnNpdHkgb2YgTXVuaWNoLCBHZW9yZy1CcmF1Y2hsZS1SaW5n
IDYyLCA4MDk5MiBNdW5pY2gsIEdlcm1hbnkuIGRvcmEubWV5ZXJAdHVtLmRlLiYjeEQ7RWxzZSBL
cm9uZXItRnJlc2VuaXVzLUNlbnRyZSBmb3IgTnV0cml0aW9uYWwgTWVkaWNpbmUsIEtsaW5pa3Vt
IHJlY2h0cyBkZXIgSXNhciwgVGVjaG5pY2FsIFVuaXZlcnNpdHkgb2YgTXVuaWNoLCBHZW9yZy1C
cmF1Y2hsZS1SaW5nIDYyLCA4MDk5MiBNdW5pY2gsIEdlcm1hbnkuIG1vbmlrYS5zcGllc0B0dW0u
ZGUuJiN4RDtDb21wZXRlbmNlIENlbnRyZSBmb3IgTnV0cml0aW9uIChLRXJuKSwgQW0gR2VyZXV0
aCA0LCA4NTM1NCBGcmVpc2luZywgR2VybWFueS4gZXZhLnJvc2VuZmVsZEBtdWVuY2hlbi5kZS4m
I3hEO0NvbXBldGVuY2UgQ2VudHJlIGZvciBOdXRyaXRpb24gKEtFcm4pLCBBbSBHZXJldXRoIDQs
IDg1MzU0IEZyZWlzaW5nLCBHZXJtYW55LiBMdXppYS5LaWNrQEtFcm4uYmF5ZXJuLmRlLiYjeEQ7
RWxzZSBLcm9uZXItRnJlc2VuaXVzLUNlbnRyZSBmb3IgTnV0cml0aW9uYWwgTWVkaWNpbmUsIEts
aW5pa3VtIHJlY2h0cyBkZXIgSXNhciwgVGVjaG5pY2FsIFVuaXZlcnNpdHkgb2YgTXVuaWNoLCBH
ZW9yZy1CcmF1Y2hsZS1SaW5nIDYyLCA4MDk5MiBNdW5pY2gsIEdlcm1hbnkuIGthdGhyaW4ucmF1
aEB0dW0uZGUuJiN4RDtDb21wZXRlbmNlIENlbnRyZSBmb3IgTnV0cml0aW9uIChLRXJuKSwgQW0g
R2VyZXV0aCA0LCA4NTM1NCBGcmVpc2luZywgR2VybWFueS4ga2F0aHJpbi5yYXVoQHR1bS5kZS4m
I3hEO0Vsc2UgS3JvbmVyLUZyZXNlbml1cy1DZW50cmUgZm9yIE51dHJpdGlvbmFsIE1lZGljaW5l
LCBLbGluaWt1bSByZWNodHMgZGVyIElzYXIsIFRlY2huaWNhbCBVbml2ZXJzaXR5IG9mIE11bmlj
aCwgR2VvcmctQnJhdWNobGUtUmluZyA2MiwgODA5OTIgTXVuaWNoLCBHZXJtYW55LiBoYW5zLmhh
dW5lckB0dW0uZGUuPC9hdXRoLWFkZHJlc3M+PHRpdGxlcz48dGl0bGU+QXNzb2NpYXRpb25zIGJl
dHdlZW4gcHJlbmF0YWwgcGh5c2ljYWwgYWN0aXZpdHkgYW5kIG5lb25hdGFsIGFuZCBvYnN0ZXRy
aWMgb3V0Y29tZXMtYSBzZWNvbmRhcnkgYW5hbHlzaXMgb2YgdGhlIGNsdXN0ZXItcmFuZG9taXpl
ZCBHZWxpUyB0cmlhbDwvdGl0bGU+PHNlY29uZGFyeS10aXRsZT5KIENsaW4gTWVkPC9zZWNvbmRh
cnktdGl0bGU+PC90aXRsZXM+PHBlcmlvZGljYWw+PGZ1bGwtdGl0bGU+SiBDbGluIE1lZDwvZnVs
bC10aXRsZT48L3BlcmlvZGljYWw+PHZvbHVtZT44PC92b2x1bWU+PG51bWJlcj4xMDwvbnVtYmVy
PjxlZGl0aW9uPjIwMTkvMTAvMjM8L2VkaXRpb24+PGtleXdvcmRzPjxrZXl3b3JkPmJpcnRoIHdl
aWdodDwva2V5d29yZD48a2V5d29yZD5leGVyY2lzZTwva2V5d29yZD48a2V5d29yZD5sYXJnZSBm
b3IgZ2VzdGF0aW9uYWwgYWdlPC9rZXl3b3JkPjxrZXl3b3JkPmxpZmVzdHlsZSBpbnRlcnZlbnRp
b248L2tleXdvcmQ+PGtleXdvcmQ+bmVvbmF0YWwgb3V0Y29tZXM8L2tleXdvcmQ+PGtleXdvcmQ+
b2Jlc2l0eSBwcmV2ZW50aW9uPC9rZXl3b3JkPjxrZXl3b3JkPm9ic3RldHJpYyBvdXRjb21lczwv
a2V5d29yZD48a2V5d29yZD5waHlzaWNhbCBhY3Rpdml0eTwva2V5d29yZD48a2V5d29yZD5wcmVn
bmFuY3k8L2tleXdvcmQ+PGtleXdvcmQ+cm91dGluZSBjYXJlPC9rZXl3b3JkPjwva2V5d29yZHM+
PGRhdGVzPjx5ZWFyPjIwMTk8L3llYXI+PHB1Yi1kYXRlcz48ZGF0ZT5PY3QgMTk8L2RhdGU+PC9w
dWItZGF0ZXM+PC9kYXRlcz48aXNibj4yMDc3LTAzODMgKFByaW50KSYjeEQ7MjA3Ny0wMzgzIChM
aW5raW5nKTwvaXNibj48YWNjZXNzaW9uLW51bT4zMTYzNTA2NTwvYWNjZXNzaW9uLW51bT48dXJs
cz48cmVsYXRlZC11cmxzPjx1cmw+aHR0cHM6Ly93d3cubmNiaS5ubG0ubmloLmdvdi9wdWJtZWQv
MzE2MzUwNjU8L3VybD48L3JlbGF0ZWQtdXJscz48L3VybHM+PGN1c3RvbTI+UE1DNjgzMjI2Mjwv
Y3VzdG9tMj48ZWxlY3Ryb25pYy1yZXNvdXJjZS1udW0+MTAuMzM5MC9qY204MTAxNzM1PC9lbGVj
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PEVuZE5vdGU+PENpdGU+PEF1dGhvcj5Ib2ZmbWFubjwvQXV0aG9yPjxZZWFyPjIwMTk8L1llYXI+
PFJlY051bT4xOTU3PC9SZWNOdW0+PERpc3BsYXlUZXh0PjxzdHlsZSBmYWNlPSJzdXBlcnNjcmlw
dCIgZm9udD0iVHJlYnVjaGV0IE1TIiBzaXplPSI5Ij4zMTk8L3N0eWxlPjwvRGlzcGxheVRleHQ+
PHJlY29yZD48cmVjLW51bWJlcj4xOTU3PC9yZWMtbnVtYmVyPjxmb3JlaWduLWtleXM+PGtleSBh
cHA9IkVOIiBkYi1pZD0iZXh2YXNyZngyZHRyYW9lc2FzeHAyc3pzeGEyZGY1MDI1OTJ4IiB0aW1l
c3RhbXA9IjE1ODg3NDM4NTgiPjE5NTc8L2tleT48a2V5IGFwcD0iRU5XZWIiIGRiLWlkPSIiPjA8
L2tleT48L2ZvcmVpZ24ta2V5cz48cmVmLXR5cGUgbmFtZT0iSm91cm5hbCBBcnRpY2xlIj4xNzwv
cmVmLXR5cGU+PGNvbnRyaWJ1dG9ycz48YXV0aG9ycz48YXV0aG9yPkhvZmZtYW5uLCBKLjwvYXV0
aG9yPjxhdXRob3I+R3VudGhlciwgSi48L2F1dGhvcj48YXV0aG9yPkdleWVyLCBLLjwvYXV0aG9y
PjxhdXRob3I+U3RlY2hlciwgTC48L2F1dGhvcj48YXV0aG9yPkt1bmF0aCwgSi48L2F1dGhvcj48
YXV0aG9yPk1leWVyLCBELjwvYXV0aG9yPjxhdXRob3I+U3BpZXMsIE0uPC9hdXRob3I+PGF1dGhv
cj5Sb3NlbmZlbGQsIEUuPC9hdXRob3I+PGF1dGhvcj5LaWNrLCBMLjwvYXV0aG9yPjxhdXRob3I+
UmF1aCwgSy48L2F1dGhvcj48YXV0aG9yPkhhdW5lciwgSC48L2F1dGhvcj48L2F1dGhvcnM+PC9j
b250cmlidXRvcnM+PGF1dGgtYWRkcmVzcz5FbHNlIEtyb25lci1GcmVzZW5pdXMtQ2VudHJlIGZv
ciBOdXRyaXRpb25hbCBNZWRpY2luZSwgS2xpbmlrdW0gcmVjaHRzIGRlciBJc2FyLCBUZWNobmlj
YWwgVW5pdmVyc2l0eSBvZiBNdW5pY2gsIEdlb3JnLUJyYXVjaGxlLVJpbmcgNjIsIDgwOTkyIE11
bmljaCwgR2VybWFueS4ganVsaWEuaG9mZm1hbm5AdHVtLmRlLiYjeEQ7RWxzZSBLcm9uZXItRnJl
c2VuaXVzLUNlbnRyZSBmb3IgTnV0cml0aW9uYWwgTWVkaWNpbmUsIEtsaW5pa3VtIHJlY2h0cyBk
ZXIgSXNhciwgVGVjaG5pY2FsIFVuaXZlcnNpdHkgb2YgTXVuaWNoLCBHZW9yZy1CcmF1Y2hsZS1S
aW5nIDYyLCA4MDk5MiBNdW5pY2gsIEdlcm1hbnkuIGp1bGlhLmd1ZW50aGVyQHR1bS5kZS4mI3hE
O0Vsc2UgS3JvbmVyLUZyZXNlbml1cy1DZW50cmUgZm9yIE51dHJpdGlvbmFsIE1lZGljaW5lLCBL
bGluaWt1bSByZWNodHMgZGVyIElzYXIsIFRlY2huaWNhbCBVbml2ZXJzaXR5IG9mIE11bmljaCwg
R2VvcmctQnJhdWNobGUtUmluZyA2MiwgODA5OTIgTXVuaWNoLCBHZXJtYW55LiBrLmdleWVyQHR1
bS5kZS4mI3hEO0Vsc2UgS3JvbmVyLUZyZXNlbml1cy1DZW50cmUgZm9yIE51dHJpdGlvbmFsIE1l
ZGljaW5lLCBLbGluaWt1bSByZWNodHMgZGVyIElzYXIsIFRlY2huaWNhbCBVbml2ZXJzaXR5IG9m
IE11bmljaCwgR2VvcmctQnJhdWNobGUtUmluZyA2MiwgODA5OTIgTXVuaWNoLCBHZXJtYW55LiBs
eW5uZS5zdGVjaGVyQHR1bS5kZS4mI3hEO0Vsc2UgS3JvbmVyLUZyZXNlbml1cy1DZW50cmUgZm9y
IE51dHJpdGlvbmFsIE1lZGljaW5lLCBLbGluaWt1bSByZWNodHMgZGVyIElzYXIsIFRlY2huaWNh
bCBVbml2ZXJzaXR5IG9mIE11bmljaCwgR2VvcmctQnJhdWNobGUtUmluZyA2MiwgODA5OTIgTXVu
aWNoLCBHZXJtYW55LiBqdWxpYS5rdW5hdGhAdHVtLmRlLiYjeEQ7RWxzZSBLcm9uZXItRnJlc2Vu
aXVzLUNlbnRyZSBmb3IgTnV0cml0aW9uYWwgTWVkaWNpbmUsIEtsaW5pa3VtIHJlY2h0cyBkZXIg
SXNhciwgVGVjaG5pY2FsIFVuaXZlcnNpdHkgb2YgTXVuaWNoLCBHZW9yZy1CcmF1Y2hsZS1SaW5n
IDYyLCA4MDk5MiBNdW5pY2gsIEdlcm1hbnkuIGRvcmEubWV5ZXJAdHVtLmRlLiYjeEQ7RWxzZSBL
cm9uZXItRnJlc2VuaXVzLUNlbnRyZSBmb3IgTnV0cml0aW9uYWwgTWVkaWNpbmUsIEtsaW5pa3Vt
IHJlY2h0cyBkZXIgSXNhciwgVGVjaG5pY2FsIFVuaXZlcnNpdHkgb2YgTXVuaWNoLCBHZW9yZy1C
cmF1Y2hsZS1SaW5nIDYyLCA4MDk5MiBNdW5pY2gsIEdlcm1hbnkuIG1vbmlrYS5zcGllc0B0dW0u
ZGUuJiN4RDtDb21wZXRlbmNlIENlbnRyZSBmb3IgTnV0cml0aW9uIChLRXJuKSwgQW0gR2VyZXV0
aCA0LCA4NTM1NCBGcmVpc2luZywgR2VybWFueS4gZXZhLnJvc2VuZmVsZEBtdWVuY2hlbi5kZS4m
I3hEO0NvbXBldGVuY2UgQ2VudHJlIGZvciBOdXRyaXRpb24gKEtFcm4pLCBBbSBHZXJldXRoIDQs
IDg1MzU0IEZyZWlzaW5nLCBHZXJtYW55LiBMdXppYS5LaWNrQEtFcm4uYmF5ZXJuLmRlLiYjeEQ7
RWxzZSBLcm9uZXItRnJlc2VuaXVzLUNlbnRyZSBmb3IgTnV0cml0aW9uYWwgTWVkaWNpbmUsIEts
aW5pa3VtIHJlY2h0cyBkZXIgSXNhciwgVGVjaG5pY2FsIFVuaXZlcnNpdHkgb2YgTXVuaWNoLCBH
ZW9yZy1CcmF1Y2hsZS1SaW5nIDYyLCA4MDk5MiBNdW5pY2gsIEdlcm1hbnkuIGthdGhyaW4ucmF1
aEB0dW0uZGUuJiN4RDtDb21wZXRlbmNlIENlbnRyZSBmb3IgTnV0cml0aW9uIChLRXJuKSwgQW0g
R2VyZXV0aCA0LCA4NTM1NCBGcmVpc2luZywgR2VybWFueS4ga2F0aHJpbi5yYXVoQHR1bS5kZS4m
I3hEO0Vsc2UgS3JvbmVyLUZyZXNlbml1cy1DZW50cmUgZm9yIE51dHJpdGlvbmFsIE1lZGljaW5l
LCBLbGluaWt1bSByZWNodHMgZGVyIElzYXIsIFRlY2huaWNhbCBVbml2ZXJzaXR5IG9mIE11bmlj
aCwgR2VvcmctQnJhdWNobGUtUmluZyA2MiwgODA5OTIgTXVuaWNoLCBHZXJtYW55LiBoYW5zLmhh
dW5lckB0dW0uZGUuPC9hdXRoLWFkZHJlc3M+PHRpdGxlcz48dGl0bGU+QXNzb2NpYXRpb25zIGJl
dHdlZW4gcHJlbmF0YWwgcGh5c2ljYWwgYWN0aXZpdHkgYW5kIG5lb25hdGFsIGFuZCBvYnN0ZXRy
aWMgb3V0Y29tZXMtYSBzZWNvbmRhcnkgYW5hbHlzaXMgb2YgdGhlIGNsdXN0ZXItcmFuZG9taXpl
ZCBHZWxpUyB0cmlhbDwvdGl0bGU+PHNlY29uZGFyeS10aXRsZT5KIENsaW4gTWVkPC9zZWNvbmRh
cnktdGl0bGU+PC90aXRsZXM+PHBlcmlvZGljYWw+PGZ1bGwtdGl0bGU+SiBDbGluIE1lZDwvZnVs
bC10aXRsZT48L3BlcmlvZGljYWw+PHZvbHVtZT44PC92b2x1bWU+PG51bWJlcj4xMDwvbnVtYmVy
PjxlZGl0aW9uPjIwMTkvMTAvMjM8L2VkaXRpb24+PGtleXdvcmRzPjxrZXl3b3JkPmJpcnRoIHdl
aWdodDwva2V5d29yZD48a2V5d29yZD5leGVyY2lzZTwva2V5d29yZD48a2V5d29yZD5sYXJnZSBm
b3IgZ2VzdGF0aW9uYWwgYWdlPC9rZXl3b3JkPjxrZXl3b3JkPmxpZmVzdHlsZSBpbnRlcnZlbnRp
b248L2tleXdvcmQ+PGtleXdvcmQ+bmVvbmF0YWwgb3V0Y29tZXM8L2tleXdvcmQ+PGtleXdvcmQ+
b2Jlc2l0eSBwcmV2ZW50aW9uPC9rZXl3b3JkPjxrZXl3b3JkPm9ic3RldHJpYyBvdXRjb21lczwv
a2V5d29yZD48a2V5d29yZD5waHlzaWNhbCBhY3Rpdml0eTwva2V5d29yZD48a2V5d29yZD5wcmVn
bmFuY3k8L2tleXdvcmQ+PGtleXdvcmQ+cm91dGluZSBjYXJlPC9rZXl3b3JkPjwva2V5d29yZHM+
PGRhdGVzPjx5ZWFyPjIwMTk8L3llYXI+PHB1Yi1kYXRlcz48ZGF0ZT5PY3QgMTk8L2RhdGU+PC9w
dWItZGF0ZXM+PC9kYXRlcz48aXNibj4yMDc3LTAzODMgKFByaW50KSYjeEQ7MjA3Ny0wMzgzIChM
aW5raW5nKTwvaXNibj48YWNjZXNzaW9uLW51bT4zMTYzNTA2NTwvYWNjZXNzaW9uLW51bT48dXJs
cz48cmVsYXRlZC11cmxzPjx1cmw+aHR0cHM6Ly93d3cubmNiaS5ubG0ubmloLmdvdi9wdWJtZWQv
MzE2MzUwNjU8L3VybD48L3JlbGF0ZWQtdXJscz48L3VybHM+PGN1c3RvbTI+UE1DNjgzMjI2Mjwv
Y3VzdG9tMj48ZWxlY3Ryb25pYy1yZXNvdXJjZS1udW0+MTAuMzM5MC9qY204MTAxNzM1PC9lbGVj
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319</w:t>
            </w:r>
            <w:r w:rsidR="00D07346">
              <w:rPr>
                <w:noProof/>
              </w:rPr>
              <w:fldChar w:fldCharType="end"/>
            </w:r>
          </w:p>
          <w:p w14:paraId="10F53336" w14:textId="4573C79B" w:rsidR="005D5D38" w:rsidRPr="00A95FF7" w:rsidRDefault="005D5D38" w:rsidP="005D5D38">
            <w:pPr>
              <w:rPr>
                <w:noProof/>
              </w:rPr>
            </w:pPr>
            <w:r w:rsidRPr="00A95FF7">
              <w:rPr>
                <w:noProof/>
              </w:rPr>
              <w:t>Germany</w:t>
            </w:r>
          </w:p>
          <w:p w14:paraId="29BA6979" w14:textId="77777777" w:rsidR="005D5D38" w:rsidRPr="00A95FF7" w:rsidRDefault="005D5D38" w:rsidP="005D5D38">
            <w:pPr>
              <w:rPr>
                <w:noProof/>
              </w:rPr>
            </w:pPr>
            <w:r w:rsidRPr="00A95FF7">
              <w:rPr>
                <w:noProof/>
              </w:rPr>
              <w:t>GeliS</w:t>
            </w:r>
          </w:p>
          <w:p w14:paraId="35A34045" w14:textId="6F6D0C0A" w:rsidR="005D5D38" w:rsidRPr="00BD61CC" w:rsidRDefault="005D5D38" w:rsidP="00BD61CC">
            <w:r w:rsidRPr="00A95FF7">
              <w:t>NCT01958307</w:t>
            </w:r>
          </w:p>
        </w:tc>
        <w:tc>
          <w:tcPr>
            <w:tcW w:w="1247" w:type="dxa"/>
          </w:tcPr>
          <w:p w14:paraId="52E55688" w14:textId="1A08AF18" w:rsidR="005D5D38" w:rsidRPr="00BD61CC" w:rsidRDefault="00BE7372" w:rsidP="00BD61CC">
            <w:r>
              <w:t>1,890</w:t>
            </w:r>
          </w:p>
        </w:tc>
        <w:tc>
          <w:tcPr>
            <w:tcW w:w="4961" w:type="dxa"/>
          </w:tcPr>
          <w:p w14:paraId="1F2DA26F" w14:textId="287DFC66" w:rsidR="005D5D38" w:rsidRPr="00A95FF7" w:rsidRDefault="005D5D38" w:rsidP="005D5D38">
            <w:r w:rsidRPr="00A95FF7">
              <w:rPr>
                <w:b/>
              </w:rPr>
              <w:t>Aim</w:t>
            </w:r>
            <w:r w:rsidRPr="00A95FF7">
              <w:t xml:space="preserve">: </w:t>
            </w:r>
            <w:r>
              <w:t>To investigate the associations between prenatal physical activity and adverse obstetric and neonatal outcomes i</w:t>
            </w:r>
            <w:r w:rsidRPr="005D5D38">
              <w:t xml:space="preserve">n </w:t>
            </w:r>
            <w:r>
              <w:t>a</w:t>
            </w:r>
            <w:r w:rsidRPr="005D5D38">
              <w:t xml:space="preserve"> secondary cohort analysis of the cluster-randomized GeliS ("healthy living in pregnancy") trial</w:t>
            </w:r>
            <w:r>
              <w:t>.</w:t>
            </w:r>
          </w:p>
          <w:p w14:paraId="34BD32DF" w14:textId="77777777" w:rsidR="005D5D38" w:rsidRPr="00A95FF7" w:rsidRDefault="005D5D38" w:rsidP="005D5D38">
            <w:r w:rsidRPr="00A95FF7">
              <w:rPr>
                <w:b/>
              </w:rPr>
              <w:t>Population</w:t>
            </w:r>
            <w:r w:rsidRPr="00A95FF7">
              <w:t xml:space="preserve">: Women with a pre-pregnancy BMI between 18.5 and 40.0 kg/m(2) recruited from gynaecological and midwifery practices prior to the end of the 12(th) week of gestation. </w:t>
            </w:r>
          </w:p>
          <w:p w14:paraId="4335737A" w14:textId="595577D7" w:rsidR="005D5D38" w:rsidRPr="00BD61CC" w:rsidRDefault="005D5D38" w:rsidP="00BD61CC">
            <w:r w:rsidRPr="00A95FF7">
              <w:rPr>
                <w:b/>
              </w:rPr>
              <w:t>Intervention</w:t>
            </w:r>
            <w:r w:rsidRPr="00A95FF7">
              <w:t>: Four lifestyle counselling sessions covering a balanced healthy diet, regular physical activity and self-monitoring of weight gain were performed by trained healthcare providers alongside routine pre- and postnatal practice visits.</w:t>
            </w:r>
          </w:p>
        </w:tc>
        <w:tc>
          <w:tcPr>
            <w:tcW w:w="4536" w:type="dxa"/>
          </w:tcPr>
          <w:p w14:paraId="44761117" w14:textId="77777777" w:rsidR="005D5D38" w:rsidRDefault="00E642BE" w:rsidP="00BD61CC">
            <w:r>
              <w:t>Association between vigorous physical activity</w:t>
            </w:r>
            <w:r w:rsidR="003249B4">
              <w:t xml:space="preserve"> at week 29:</w:t>
            </w:r>
          </w:p>
          <w:p w14:paraId="2DFF35DA" w14:textId="77777777" w:rsidR="003249B4" w:rsidRDefault="003249B4" w:rsidP="00BD61CC">
            <w:pPr>
              <w:pStyle w:val="bullet"/>
            </w:pPr>
            <w:r>
              <w:t>Low birthweight OR 0.97; 95%CI 0.36 to 2.57; p=0.946</w:t>
            </w:r>
          </w:p>
          <w:p w14:paraId="4C9B12AD" w14:textId="7DCD30B0" w:rsidR="003249B4" w:rsidRDefault="003249B4" w:rsidP="00BD61CC">
            <w:pPr>
              <w:pStyle w:val="bullet"/>
            </w:pPr>
            <w:r>
              <w:t>High birthweight: OR 1.38; 95%CI 0.77 to 2.49; p=0.278</w:t>
            </w:r>
          </w:p>
          <w:p w14:paraId="43D1C4D3" w14:textId="77777777" w:rsidR="003249B4" w:rsidRDefault="003249B4" w:rsidP="00BD61CC">
            <w:pPr>
              <w:pStyle w:val="bullet"/>
            </w:pPr>
            <w:r>
              <w:t>Large for gestational age: OR 1.24; 95%CI 0.64 to 2.40; p=0.533</w:t>
            </w:r>
          </w:p>
          <w:p w14:paraId="749BE184" w14:textId="6F8F17A6" w:rsidR="003249B4" w:rsidRPr="00BD61CC" w:rsidRDefault="003249B4" w:rsidP="00BD61CC">
            <w:pPr>
              <w:pStyle w:val="bullet"/>
            </w:pPr>
            <w:r>
              <w:t>Small for gestational age: OR 1.48; 95%CI 0.86 to 2.55; p=0.160</w:t>
            </w:r>
          </w:p>
        </w:tc>
        <w:tc>
          <w:tcPr>
            <w:tcW w:w="1843" w:type="dxa"/>
          </w:tcPr>
          <w:p w14:paraId="1B2768C3" w14:textId="77777777" w:rsidR="005D5D38" w:rsidRPr="00BD61CC" w:rsidRDefault="005D5D38" w:rsidP="00BD61CC"/>
        </w:tc>
      </w:tr>
    </w:tbl>
    <w:p w14:paraId="789397E8" w14:textId="6178BA47" w:rsidR="002E4BC8" w:rsidRDefault="009C163D" w:rsidP="00932C6D">
      <w:pPr>
        <w:pStyle w:val="TableName"/>
      </w:pPr>
      <w:bookmarkStart w:id="162" w:name="_Toc40956665"/>
      <w:r>
        <w:t xml:space="preserve">Q6 </w:t>
      </w:r>
      <w:r w:rsidR="002E4BC8">
        <w:t xml:space="preserve">Adverse effects associated with vigorous exercise during pregnancy — </w:t>
      </w:r>
      <w:r w:rsidR="002C2569">
        <w:t>observational</w:t>
      </w:r>
      <w:r w:rsidR="00B443F5">
        <w:t xml:space="preserve"> studies</w:t>
      </w:r>
      <w:bookmarkEnd w:id="162"/>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7: Q6 Adverse effects associated with vigorous exercise during pregnancy — observational studies"/>
      </w:tblPr>
      <w:tblGrid>
        <w:gridCol w:w="1305"/>
        <w:gridCol w:w="1247"/>
        <w:gridCol w:w="4961"/>
        <w:gridCol w:w="4536"/>
        <w:gridCol w:w="1843"/>
      </w:tblGrid>
      <w:tr w:rsidR="00A548EE" w:rsidRPr="00F350A6" w14:paraId="0954C286" w14:textId="77777777" w:rsidTr="003E3405">
        <w:trPr>
          <w:cantSplit/>
          <w:tblHeader/>
        </w:trPr>
        <w:tc>
          <w:tcPr>
            <w:tcW w:w="1305" w:type="dxa"/>
          </w:tcPr>
          <w:p w14:paraId="1B19B605" w14:textId="77777777" w:rsidR="00A548EE" w:rsidRPr="00F350A6" w:rsidRDefault="00A548EE" w:rsidP="003E3405">
            <w:pPr>
              <w:keepNext/>
              <w:rPr>
                <w:b/>
              </w:rPr>
            </w:pPr>
            <w:r>
              <w:rPr>
                <w:b/>
              </w:rPr>
              <w:t>Study ref</w:t>
            </w:r>
          </w:p>
        </w:tc>
        <w:tc>
          <w:tcPr>
            <w:tcW w:w="1247" w:type="dxa"/>
          </w:tcPr>
          <w:p w14:paraId="4468AEAA" w14:textId="77777777" w:rsidR="00A548EE" w:rsidRPr="00F350A6" w:rsidRDefault="00A548EE" w:rsidP="003E3405">
            <w:pPr>
              <w:keepNext/>
              <w:rPr>
                <w:b/>
              </w:rPr>
            </w:pPr>
            <w:r>
              <w:rPr>
                <w:b/>
              </w:rPr>
              <w:t>N</w:t>
            </w:r>
          </w:p>
        </w:tc>
        <w:tc>
          <w:tcPr>
            <w:tcW w:w="4961" w:type="dxa"/>
          </w:tcPr>
          <w:p w14:paraId="7F018938" w14:textId="77777777" w:rsidR="00A548EE" w:rsidRPr="00F350A6" w:rsidRDefault="00A548EE" w:rsidP="003E3405">
            <w:pPr>
              <w:keepNext/>
              <w:rPr>
                <w:b/>
              </w:rPr>
            </w:pPr>
            <w:r>
              <w:rPr>
                <w:b/>
              </w:rPr>
              <w:t>Aim/methods</w:t>
            </w:r>
          </w:p>
        </w:tc>
        <w:tc>
          <w:tcPr>
            <w:tcW w:w="4536" w:type="dxa"/>
          </w:tcPr>
          <w:p w14:paraId="78FA24E6" w14:textId="77777777" w:rsidR="00A548EE" w:rsidRPr="00F350A6" w:rsidRDefault="00A548EE" w:rsidP="003E3405">
            <w:pPr>
              <w:keepNext/>
              <w:rPr>
                <w:b/>
              </w:rPr>
            </w:pPr>
            <w:r>
              <w:rPr>
                <w:b/>
              </w:rPr>
              <w:t>Results</w:t>
            </w:r>
          </w:p>
        </w:tc>
        <w:tc>
          <w:tcPr>
            <w:tcW w:w="1843" w:type="dxa"/>
          </w:tcPr>
          <w:p w14:paraId="2F6679A0" w14:textId="77777777" w:rsidR="00A548EE" w:rsidRPr="00F350A6" w:rsidRDefault="00A548EE" w:rsidP="003E3405">
            <w:pPr>
              <w:keepNext/>
              <w:rPr>
                <w:b/>
              </w:rPr>
            </w:pPr>
            <w:r>
              <w:rPr>
                <w:b/>
              </w:rPr>
              <w:t>Comments</w:t>
            </w:r>
          </w:p>
        </w:tc>
      </w:tr>
      <w:tr w:rsidR="00A548EE" w:rsidRPr="00F2226D" w14:paraId="7AD90BE3" w14:textId="77777777" w:rsidTr="00A548EE">
        <w:trPr>
          <w:cantSplit/>
        </w:trPr>
        <w:tc>
          <w:tcPr>
            <w:tcW w:w="1305" w:type="dxa"/>
          </w:tcPr>
          <w:p w14:paraId="13B74887" w14:textId="3697C0DF" w:rsidR="00A548EE" w:rsidRDefault="00A548EE" w:rsidP="003E3405">
            <w:r>
              <w:t>Madsen et al 2007</w:t>
            </w:r>
            <w:r w:rsidR="003E3405">
              <w:fldChar w:fldCharType="begin"/>
            </w:r>
            <w:r w:rsidR="002747EA">
              <w:instrText xml:space="preserve"> ADDIN EN.CITE &lt;EndNote&gt;&lt;Cite&gt;&lt;Author&gt;Madsen&lt;/Author&gt;&lt;Year&gt;2007&lt;/Year&gt;&lt;RecNum&gt;890&lt;/RecNum&gt;&lt;DisplayText&gt;&lt;style face="superscript" font="Trebuchet MS" size="9"&gt;320&lt;/style&gt;&lt;/DisplayText&gt;&lt;record&gt;&lt;rec-number&gt;890&lt;/rec-number&gt;&lt;foreign-keys&gt;&lt;key app="EN" db-id="exvasrfx2dtraoesasxp2szsxa2df502592x" timestamp="1541540794"&gt;890&lt;/key&gt;&lt;key app="ENWeb" db-id=""&gt;0&lt;/key&gt;&lt;/foreign-keys&gt;&lt;ref-type name="Journal Article"&gt;17&lt;/ref-type&gt;&lt;contributors&gt;&lt;authors&gt;&lt;author&gt;Madsen, M.&lt;/author&gt;&lt;author&gt;Jorgensen, T.&lt;/author&gt;&lt;author&gt;Jensen, M. L.&lt;/author&gt;&lt;author&gt;Juhl, M.&lt;/author&gt;&lt;author&gt;Olsen, J.&lt;/author&gt;&lt;author&gt;Andersen, P. K.&lt;/author&gt;&lt;author&gt;Nybo Andersen, A. M.&lt;/author&gt;&lt;/authors&gt;&lt;/contributors&gt;&lt;auth-address&gt;Department of Child Health, National Institute of Public Health, Copenhagen K, Denmark.&lt;/auth-address&gt;&lt;titles&gt;&lt;title&gt;Leisure time physical exercise during pregnancy and the risk of miscarriage: a study within the Danish National Birth Cohort&lt;/title&gt;&lt;secondary-title&gt;BJOG&lt;/secondary-title&gt;&lt;/titles&gt;&lt;periodical&gt;&lt;full-title&gt;BJOG&lt;/full-title&gt;&lt;/periodical&gt;&lt;pages&gt;1419-26&lt;/pages&gt;&lt;volume&gt;114&lt;/volume&gt;&lt;number&gt;11&lt;/number&gt;&lt;edition&gt;2007/09/20&lt;/edition&gt;&lt;keywords&gt;&lt;keyword&gt;Abortion, Spontaneous/epidemiology/*etiology&lt;/keyword&gt;&lt;keyword&gt;Adolescent&lt;/keyword&gt;&lt;keyword&gt;Adult&lt;/keyword&gt;&lt;keyword&gt;Denmark/epidemiology&lt;/keyword&gt;&lt;keyword&gt;Epidemiologic Methods&lt;/keyword&gt;&lt;keyword&gt;Exercise/*physiology&lt;/keyword&gt;&lt;keyword&gt;Female&lt;/keyword&gt;&lt;keyword&gt;Humans&lt;/keyword&gt;&lt;keyword&gt;*Leisure Activities&lt;/keyword&gt;&lt;keyword&gt;Maternal Age&lt;/keyword&gt;&lt;keyword&gt;Pregnancy&lt;/keyword&gt;&lt;keyword&gt;Pregnancy Outcome/epidemiology&lt;/keyword&gt;&lt;/keywords&gt;&lt;dates&gt;&lt;year&gt;2007&lt;/year&gt;&lt;pub-dates&gt;&lt;date&gt;Nov&lt;/date&gt;&lt;/pub-dates&gt;&lt;/dates&gt;&lt;isbn&gt;1471-0528 (Electronic)&amp;#xD;1470-0328 (Linking)&lt;/isbn&gt;&lt;accession-num&gt;17877774&lt;/accession-num&gt;&lt;urls&gt;&lt;related-urls&gt;&lt;url&gt;https://www.ncbi.nlm.nih.gov/pubmed/17877774&lt;/url&gt;&lt;/related-urls&gt;&lt;/urls&gt;&lt;custom2&gt;PMC2366024&lt;/custom2&gt;&lt;electronic-resource-num&gt;10.1111/j.1471-0528.2007.01496.x&lt;/electronic-resource-num&gt;&lt;/record&gt;&lt;/Cite&gt;&lt;/EndNote&gt;</w:instrText>
            </w:r>
            <w:r w:rsidR="003E3405">
              <w:fldChar w:fldCharType="separate"/>
            </w:r>
            <w:r w:rsidR="002747EA" w:rsidRPr="002747EA">
              <w:rPr>
                <w:noProof/>
                <w:vertAlign w:val="superscript"/>
              </w:rPr>
              <w:t>320</w:t>
            </w:r>
            <w:r w:rsidR="003E3405">
              <w:fldChar w:fldCharType="end"/>
            </w:r>
          </w:p>
          <w:p w14:paraId="79661F35" w14:textId="4DEC40C8" w:rsidR="00B43651" w:rsidRPr="00F2226D" w:rsidRDefault="00A548EE" w:rsidP="003E3405">
            <w:r>
              <w:t>Denmark</w:t>
            </w:r>
          </w:p>
        </w:tc>
        <w:tc>
          <w:tcPr>
            <w:tcW w:w="1247" w:type="dxa"/>
          </w:tcPr>
          <w:p w14:paraId="79C5734A" w14:textId="77777777" w:rsidR="00A548EE" w:rsidRDefault="00A548EE" w:rsidP="003E3405">
            <w:r>
              <w:t>92,671</w:t>
            </w:r>
          </w:p>
          <w:p w14:paraId="5DC82EFC" w14:textId="7C56438C" w:rsidR="003C0830" w:rsidRPr="00F2226D" w:rsidRDefault="003C0830" w:rsidP="003E3405">
            <w:r>
              <w:t>Cohort</w:t>
            </w:r>
          </w:p>
        </w:tc>
        <w:tc>
          <w:tcPr>
            <w:tcW w:w="4961" w:type="dxa"/>
          </w:tcPr>
          <w:p w14:paraId="63BF67C4" w14:textId="77777777" w:rsidR="00A548EE" w:rsidRDefault="00A548EE" w:rsidP="003E3405">
            <w:r w:rsidRPr="00F2226D">
              <w:rPr>
                <w:b/>
              </w:rPr>
              <w:t>Aim</w:t>
            </w:r>
            <w:r>
              <w:t xml:space="preserve">: </w:t>
            </w:r>
            <w:r w:rsidRPr="00F2226D">
              <w:t>To examine the association between leisure time</w:t>
            </w:r>
            <w:r>
              <w:t xml:space="preserve"> </w:t>
            </w:r>
            <w:r w:rsidRPr="00F2226D">
              <w:t>physical exercise during pregnancy and the risk of miscarriage.</w:t>
            </w:r>
          </w:p>
          <w:p w14:paraId="40FCAB76" w14:textId="77777777" w:rsidR="00A548EE" w:rsidRPr="00F2226D" w:rsidRDefault="00A548EE" w:rsidP="003E3405">
            <w:r w:rsidRPr="00F2226D">
              <w:rPr>
                <w:b/>
              </w:rPr>
              <w:t>Methods</w:t>
            </w:r>
            <w:r>
              <w:t xml:space="preserve">: </w:t>
            </w:r>
            <w:r w:rsidRPr="00F2226D">
              <w:t>Data on exercise during pregnancy and potential</w:t>
            </w:r>
            <w:r>
              <w:t xml:space="preserve"> </w:t>
            </w:r>
            <w:r w:rsidRPr="00F2226D">
              <w:t>confounders were obtained through computer-assisted telephone</w:t>
            </w:r>
            <w:r>
              <w:t xml:space="preserve"> </w:t>
            </w:r>
            <w:r w:rsidRPr="00F2226D">
              <w:t>interviews either during pregnancy or after an early miscarriage.</w:t>
            </w:r>
            <w:r>
              <w:t xml:space="preserve"> </w:t>
            </w:r>
            <w:r w:rsidRPr="00F2226D">
              <w:t>Outcome of pregnancy was identified by register linkage. Using</w:t>
            </w:r>
            <w:r>
              <w:t xml:space="preserve"> </w:t>
            </w:r>
            <w:r w:rsidRPr="00F2226D">
              <w:t>Cox regression analysis, we estimated the hazard ratio (HR) of</w:t>
            </w:r>
            <w:r>
              <w:t xml:space="preserve"> </w:t>
            </w:r>
            <w:r w:rsidRPr="00F2226D">
              <w:t>miscarriage according to weekly amount of exercise and the type of</w:t>
            </w:r>
            <w:r>
              <w:t xml:space="preserve"> </w:t>
            </w:r>
            <w:r w:rsidRPr="00F2226D">
              <w:t>exercise. The HR was estimated for &lt;11, 11–14, 15–18, and 19–22</w:t>
            </w:r>
            <w:r>
              <w:t xml:space="preserve"> </w:t>
            </w:r>
            <w:r w:rsidRPr="00F2226D">
              <w:t>weeks of gestation, respectively.</w:t>
            </w:r>
          </w:p>
        </w:tc>
        <w:tc>
          <w:tcPr>
            <w:tcW w:w="4536" w:type="dxa"/>
          </w:tcPr>
          <w:p w14:paraId="57C9CD23" w14:textId="6E05D4F3" w:rsidR="00A548EE" w:rsidRDefault="00A548EE" w:rsidP="003E3405">
            <w:r>
              <w:t xml:space="preserve">Risk of miscarriage with high impact exercise (jogging, ball games and racket sports) </w:t>
            </w:r>
            <w:r w:rsidR="00C51020">
              <w:t xml:space="preserve">(75 to 269 minutes/week) </w:t>
            </w:r>
            <w:r>
              <w:t>compared to no exercise:</w:t>
            </w:r>
          </w:p>
          <w:p w14:paraId="4BBD793C" w14:textId="77777777" w:rsidR="00A548EE" w:rsidRDefault="00A548EE" w:rsidP="00A548EE">
            <w:pPr>
              <w:pStyle w:val="bullet"/>
            </w:pPr>
            <w:r>
              <w:t>&lt;11 weeks: HR 3.6 (2.5 to 5.2)</w:t>
            </w:r>
          </w:p>
          <w:p w14:paraId="543676EF" w14:textId="77777777" w:rsidR="00A548EE" w:rsidRDefault="00A548EE" w:rsidP="00A548EE">
            <w:pPr>
              <w:pStyle w:val="bullet"/>
            </w:pPr>
            <w:r>
              <w:t>11-14 weeks: HR 4.2 (3.4 to 5.2)</w:t>
            </w:r>
          </w:p>
          <w:p w14:paraId="13A8AB28" w14:textId="77777777" w:rsidR="00A548EE" w:rsidRDefault="00A548EE" w:rsidP="00A548EE">
            <w:pPr>
              <w:pStyle w:val="bullet"/>
            </w:pPr>
            <w:r>
              <w:t>15-18 weeks: HR 2.1 (1.2 to 3.5)</w:t>
            </w:r>
          </w:p>
          <w:p w14:paraId="510D0C66" w14:textId="4B705760" w:rsidR="00A548EE" w:rsidRDefault="00A548EE" w:rsidP="00A548EE">
            <w:pPr>
              <w:pStyle w:val="bullet"/>
            </w:pPr>
            <w:r>
              <w:t xml:space="preserve">19-22 weeks: </w:t>
            </w:r>
            <w:r w:rsidR="00752615">
              <w:t xml:space="preserve">HR </w:t>
            </w:r>
            <w:r>
              <w:t>1.2 (0.5 to 3.0)</w:t>
            </w:r>
          </w:p>
          <w:p w14:paraId="74A27E72" w14:textId="2E8FCEE0" w:rsidR="00A548EE" w:rsidRDefault="00A548EE" w:rsidP="00A548EE">
            <w:r>
              <w:t xml:space="preserve">Risk of miscarriage with workout/fitness training </w:t>
            </w:r>
            <w:r w:rsidR="00C51020">
              <w:t xml:space="preserve">(75 to 269 minutes/week) </w:t>
            </w:r>
            <w:r>
              <w:t>compared to no exercise:</w:t>
            </w:r>
          </w:p>
          <w:p w14:paraId="18D9BF5F" w14:textId="2225E83C" w:rsidR="00A548EE" w:rsidRDefault="00A548EE" w:rsidP="00A548EE">
            <w:pPr>
              <w:pStyle w:val="bullet"/>
            </w:pPr>
            <w:r>
              <w:t>&lt;11 weeks: HR 2.1 (1.3 to 3.4)</w:t>
            </w:r>
          </w:p>
          <w:p w14:paraId="748F5EF9" w14:textId="229A67A2" w:rsidR="00A548EE" w:rsidRDefault="00A548EE" w:rsidP="00A548EE">
            <w:pPr>
              <w:pStyle w:val="bullet"/>
            </w:pPr>
            <w:r>
              <w:t>11-14 weeks: HR 1.9 (1.4 to 2.6)</w:t>
            </w:r>
          </w:p>
          <w:p w14:paraId="3B3B70E4" w14:textId="5911EEAF" w:rsidR="00A548EE" w:rsidRDefault="00A548EE" w:rsidP="00A548EE">
            <w:pPr>
              <w:pStyle w:val="bullet"/>
            </w:pPr>
            <w:r>
              <w:t>15-18 weeks: HR 2.0 (1.2 to 3.6)</w:t>
            </w:r>
          </w:p>
          <w:p w14:paraId="384A9EDE" w14:textId="6D487B28" w:rsidR="00A548EE" w:rsidRPr="00A548EE" w:rsidRDefault="00A548EE" w:rsidP="00A548EE">
            <w:pPr>
              <w:pStyle w:val="bullet"/>
            </w:pPr>
            <w:r>
              <w:t>19-22 weeks: HR 2.3 (1.0 to 5.2)</w:t>
            </w:r>
          </w:p>
        </w:tc>
        <w:tc>
          <w:tcPr>
            <w:tcW w:w="1843" w:type="dxa"/>
          </w:tcPr>
          <w:p w14:paraId="5EBA853F" w14:textId="403EA907" w:rsidR="00752615" w:rsidRPr="00752615" w:rsidRDefault="00752615" w:rsidP="00752615">
            <w:r>
              <w:t>P</w:t>
            </w:r>
            <w:r w:rsidRPr="00752615">
              <w:t>otential bias arising</w:t>
            </w:r>
            <w:r>
              <w:t xml:space="preserve"> </w:t>
            </w:r>
            <w:r w:rsidRPr="00752615">
              <w:t>from retrospective data collection may explain part of the</w:t>
            </w:r>
            <w:r>
              <w:t xml:space="preserve"> </w:t>
            </w:r>
            <w:r w:rsidRPr="00752615">
              <w:t>association</w:t>
            </w:r>
          </w:p>
          <w:p w14:paraId="21BD6BB0" w14:textId="77777777" w:rsidR="00A548EE" w:rsidRPr="00F2226D" w:rsidRDefault="00A548EE" w:rsidP="00752615"/>
        </w:tc>
      </w:tr>
      <w:tr w:rsidR="00AF7D6C" w:rsidRPr="00AF7D6C" w14:paraId="398FAC74" w14:textId="77777777" w:rsidTr="00A548EE">
        <w:trPr>
          <w:cantSplit/>
        </w:trPr>
        <w:tc>
          <w:tcPr>
            <w:tcW w:w="1305" w:type="dxa"/>
          </w:tcPr>
          <w:p w14:paraId="152ABB78" w14:textId="3B72E06F" w:rsidR="00AF7D6C" w:rsidRDefault="00C11E86" w:rsidP="002E4BC8">
            <w:pPr>
              <w:keepNext/>
            </w:pPr>
            <w:r>
              <w:t>Evenson et al 2002</w:t>
            </w:r>
            <w:r w:rsidR="003E3405">
              <w:fldChar w:fldCharType="begin"/>
            </w:r>
            <w:r w:rsidR="002747EA">
              <w:instrText xml:space="preserve"> ADDIN EN.CITE &lt;EndNote&gt;&lt;Cite&gt;&lt;Author&gt;Evenson&lt;/Author&gt;&lt;Year&gt;2002&lt;/Year&gt;&lt;RecNum&gt;851&lt;/RecNum&gt;&lt;DisplayText&gt;&lt;style face="superscript" font="Trebuchet MS" size="9"&gt;321&lt;/style&gt;&lt;/DisplayText&gt;&lt;record&gt;&lt;rec-number&gt;851&lt;/rec-number&gt;&lt;foreign-keys&gt;&lt;key app="EN" db-id="exvasrfx2dtraoesasxp2szsxa2df502592x" timestamp="1541540638"&gt;851&lt;/key&gt;&lt;key app="ENWeb" db-id=""&gt;0&lt;/key&gt;&lt;/foreign-keys&gt;&lt;ref-type name="Journal Article"&gt;17&lt;/ref-type&gt;&lt;contributors&gt;&lt;authors&gt;&lt;author&gt;Evenson, K. R.&lt;/author&gt;&lt;author&gt;Siega-Riz, A. M.&lt;/author&gt;&lt;author&gt;Savitz, D. A.&lt;/author&gt;&lt;author&gt;Leiferman, J. A.&lt;/author&gt;&lt;author&gt;Thorp, J. M., Jr.&lt;/author&gt;&lt;/authors&gt;&lt;/contributors&gt;&lt;auth-address&gt;Department of Epidemiology, School of Public Health, University of North Carolina-Chapel Hill, NC 27514, USA. kelly_evensen@unc.edu&lt;/auth-address&gt;&lt;titles&gt;&lt;title&gt;Vigorous leisure activity and pregnancy outcome&lt;/title&gt;&lt;secondary-title&gt;Epidemiology&lt;/secondary-title&gt;&lt;/titles&gt;&lt;periodical&gt;&lt;full-title&gt;Epidemiology&lt;/full-title&gt;&lt;/periodical&gt;&lt;pages&gt;653-9&lt;/pages&gt;&lt;volume&gt;13&lt;/volume&gt;&lt;number&gt;6&lt;/number&gt;&lt;edition&gt;2002/11/01&lt;/edition&gt;&lt;keywords&gt;&lt;keyword&gt;Female&lt;/keyword&gt;&lt;keyword&gt;Humans&lt;/keyword&gt;&lt;keyword&gt;Infant&lt;/keyword&gt;&lt;keyword&gt;Infant Mortality&lt;/keyword&gt;&lt;keyword&gt;Infant, Low Birth Weight&lt;/keyword&gt;&lt;keyword&gt;Infant, Newborn&lt;/keyword&gt;&lt;keyword&gt;Infant, Premature&lt;/keyword&gt;&lt;keyword&gt;*Leisure Activities&lt;/keyword&gt;&lt;keyword&gt;North Carolina/epidemiology&lt;/keyword&gt;&lt;keyword&gt;Physical Exertion&lt;/keyword&gt;&lt;keyword&gt;Pregnancy&lt;/keyword&gt;&lt;keyword&gt;Pregnancy Outcome/*epidemiology&lt;/keyword&gt;&lt;keyword&gt;Pregnancy Trimester, First&lt;/keyword&gt;&lt;keyword&gt;Pregnancy Trimester, Second&lt;/keyword&gt;&lt;/keywords&gt;&lt;dates&gt;&lt;year&gt;2002&lt;/year&gt;&lt;pub-dates&gt;&lt;date&gt;Nov&lt;/date&gt;&lt;/pub-dates&gt;&lt;/dates&gt;&lt;isbn&gt;1044-3983 (Print)&amp;#xD;1044-3983 (Linking)&lt;/isbn&gt;&lt;accession-num&gt;12410006&lt;/accession-num&gt;&lt;urls&gt;&lt;related-urls&gt;&lt;url&gt;https://www.ncbi.nlm.nih.gov/pubmed/12410006&lt;/url&gt;&lt;/related-urls&gt;&lt;/urls&gt;&lt;electronic-resource-num&gt;10.1097/01.EDE.0000021463.45041.95&lt;/electronic-resource-num&gt;&lt;/record&gt;&lt;/Cite&gt;&lt;/EndNote&gt;</w:instrText>
            </w:r>
            <w:r w:rsidR="003E3405">
              <w:fldChar w:fldCharType="separate"/>
            </w:r>
            <w:r w:rsidR="002747EA" w:rsidRPr="002747EA">
              <w:rPr>
                <w:noProof/>
                <w:vertAlign w:val="superscript"/>
              </w:rPr>
              <w:t>321</w:t>
            </w:r>
            <w:r w:rsidR="003E3405">
              <w:fldChar w:fldCharType="end"/>
            </w:r>
          </w:p>
          <w:p w14:paraId="1A47F6F0" w14:textId="4B0838D2" w:rsidR="00AE2159" w:rsidRPr="00AF7D6C" w:rsidRDefault="00AE2159" w:rsidP="002E4BC8">
            <w:pPr>
              <w:keepNext/>
            </w:pPr>
            <w:r>
              <w:t xml:space="preserve">United States </w:t>
            </w:r>
          </w:p>
        </w:tc>
        <w:tc>
          <w:tcPr>
            <w:tcW w:w="1247" w:type="dxa"/>
          </w:tcPr>
          <w:p w14:paraId="4958EEFA" w14:textId="77777777" w:rsidR="00AF7D6C" w:rsidRDefault="00C11E86" w:rsidP="002E4BC8">
            <w:pPr>
              <w:keepNext/>
            </w:pPr>
            <w:r>
              <w:t>1,699</w:t>
            </w:r>
          </w:p>
          <w:p w14:paraId="55D920CA" w14:textId="73D4BD84" w:rsidR="002C2569" w:rsidRPr="00AF7D6C" w:rsidRDefault="002C2569" w:rsidP="002E4BC8">
            <w:pPr>
              <w:keepNext/>
            </w:pPr>
            <w:r>
              <w:t>Cohort</w:t>
            </w:r>
          </w:p>
        </w:tc>
        <w:tc>
          <w:tcPr>
            <w:tcW w:w="4961" w:type="dxa"/>
          </w:tcPr>
          <w:p w14:paraId="0117F4E7" w14:textId="4B561245" w:rsidR="00A240B9" w:rsidRPr="00A240B9" w:rsidRDefault="00A240B9" w:rsidP="00A240B9">
            <w:r w:rsidRPr="00A240B9">
              <w:rPr>
                <w:b/>
              </w:rPr>
              <w:t>Aim</w:t>
            </w:r>
            <w:r>
              <w:t>: To examin</w:t>
            </w:r>
            <w:r w:rsidRPr="00A240B9">
              <w:t>e association between vigorous leisure activity and</w:t>
            </w:r>
            <w:r>
              <w:t xml:space="preserve"> </w:t>
            </w:r>
            <w:r w:rsidRPr="00A240B9">
              <w:t>birth outcomes.</w:t>
            </w:r>
          </w:p>
          <w:p w14:paraId="05CBC9CA" w14:textId="060706AB" w:rsidR="00AF7D6C" w:rsidRPr="00A240B9" w:rsidRDefault="00A240B9" w:rsidP="00A548EE">
            <w:r w:rsidRPr="00A240B9">
              <w:rPr>
                <w:b/>
              </w:rPr>
              <w:t>Methods</w:t>
            </w:r>
            <w:r>
              <w:t xml:space="preserve">: </w:t>
            </w:r>
            <w:r w:rsidRPr="00A240B9">
              <w:t>Women with a singleton pregnancy</w:t>
            </w:r>
            <w:r>
              <w:t xml:space="preserve"> </w:t>
            </w:r>
            <w:r w:rsidRPr="00A240B9">
              <w:t>were recruited at 24–29 weeks’ gestation. The type</w:t>
            </w:r>
            <w:r>
              <w:t xml:space="preserve"> </w:t>
            </w:r>
            <w:r w:rsidRPr="00A240B9">
              <w:t>and duration of any regular vigorous leisure activity was assessed</w:t>
            </w:r>
            <w:r>
              <w:t xml:space="preserve"> </w:t>
            </w:r>
            <w:r w:rsidR="004F7A07">
              <w:t>in</w:t>
            </w:r>
            <w:r w:rsidRPr="00A240B9">
              <w:t xml:space="preserve"> telephone interview</w:t>
            </w:r>
            <w:r w:rsidR="004F7A07">
              <w:t>s</w:t>
            </w:r>
            <w:r w:rsidRPr="00A240B9">
              <w:t xml:space="preserve"> covering the 3-month period</w:t>
            </w:r>
            <w:r>
              <w:t xml:space="preserve"> </w:t>
            </w:r>
            <w:r w:rsidRPr="00A240B9">
              <w:t>before pregnancy and during the first and second trimesters of</w:t>
            </w:r>
            <w:r>
              <w:t xml:space="preserve"> </w:t>
            </w:r>
            <w:r w:rsidRPr="00A240B9">
              <w:t>pregnancy.</w:t>
            </w:r>
          </w:p>
        </w:tc>
        <w:tc>
          <w:tcPr>
            <w:tcW w:w="4536" w:type="dxa"/>
          </w:tcPr>
          <w:p w14:paraId="222D4623" w14:textId="77777777" w:rsidR="00AF7D6C" w:rsidRDefault="00C11E86" w:rsidP="002E4BC8">
            <w:pPr>
              <w:keepNext/>
            </w:pPr>
            <w:r>
              <w:t>First trimester:</w:t>
            </w:r>
          </w:p>
          <w:p w14:paraId="47EB3437" w14:textId="77777777" w:rsidR="00C11E86" w:rsidRDefault="00C11E86" w:rsidP="00C11E86">
            <w:pPr>
              <w:pStyle w:val="bullet"/>
            </w:pPr>
            <w:r>
              <w:t>Preterm birth: OR 0.80 (0.48 to 1.35)</w:t>
            </w:r>
          </w:p>
          <w:p w14:paraId="253EFB86" w14:textId="77777777" w:rsidR="00C11E86" w:rsidRDefault="00C11E86" w:rsidP="00C11E86">
            <w:pPr>
              <w:pStyle w:val="bullet"/>
            </w:pPr>
            <w:r>
              <w:t>Post-term birth: OR 0.93 (0.45 to 1.89)</w:t>
            </w:r>
          </w:p>
          <w:p w14:paraId="56C6A731" w14:textId="77777777" w:rsidR="00C11E86" w:rsidRDefault="00C11E86" w:rsidP="002E4BC8">
            <w:pPr>
              <w:keepNext/>
            </w:pPr>
            <w:r>
              <w:t>Second trimester:</w:t>
            </w:r>
          </w:p>
          <w:p w14:paraId="6102ACAF" w14:textId="77777777" w:rsidR="00C11E86" w:rsidRDefault="00C11E86" w:rsidP="00C11E86">
            <w:pPr>
              <w:pStyle w:val="bullet"/>
            </w:pPr>
            <w:r>
              <w:t>Preterm birth: OR 0.52 (0.24 to 1.11)</w:t>
            </w:r>
          </w:p>
          <w:p w14:paraId="76090D24" w14:textId="3D32C74F" w:rsidR="00C11E86" w:rsidRPr="00AF7D6C" w:rsidRDefault="00C11E86" w:rsidP="00C11E86">
            <w:pPr>
              <w:pStyle w:val="bullet"/>
            </w:pPr>
            <w:r>
              <w:t>Post-term birth: OR 1.15 (0.47 to 2.79)</w:t>
            </w:r>
          </w:p>
        </w:tc>
        <w:tc>
          <w:tcPr>
            <w:tcW w:w="1843" w:type="dxa"/>
          </w:tcPr>
          <w:p w14:paraId="544A1836" w14:textId="77777777" w:rsidR="00AF7D6C" w:rsidRPr="00AF7D6C" w:rsidRDefault="00AF7D6C" w:rsidP="002E4BC8">
            <w:pPr>
              <w:keepNext/>
            </w:pPr>
          </w:p>
        </w:tc>
      </w:tr>
      <w:tr w:rsidR="00A240B9" w:rsidRPr="00AF7D6C" w14:paraId="0D997C4B" w14:textId="77777777" w:rsidTr="00A548EE">
        <w:trPr>
          <w:cantSplit/>
        </w:trPr>
        <w:tc>
          <w:tcPr>
            <w:tcW w:w="1305" w:type="dxa"/>
          </w:tcPr>
          <w:p w14:paraId="345C3558" w14:textId="70B12976" w:rsidR="00A240B9" w:rsidRDefault="00AE2159" w:rsidP="002E4BC8">
            <w:pPr>
              <w:keepNext/>
            </w:pPr>
            <w:r>
              <w:t>Jukic et al 2012</w:t>
            </w:r>
            <w:r w:rsidR="003E3405">
              <w:fldChar w:fldCharType="begin">
                <w:fldData xml:space="preserve">PEVuZE5vdGU+PENpdGU+PEF1dGhvcj5KdWtpYzwvQXV0aG9yPjxZZWFyPjIwMTI8L1llYXI+PFJl
Y051bT44ODI8L1JlY051bT48RGlzcGxheVRleHQ+PHN0eWxlIGZhY2U9InN1cGVyc2NyaXB0IiBm
b250PSJUcmVidWNoZXQgTVMiIHNpemU9IjkiPjMyMjwvc3R5bGU+PC9EaXNwbGF5VGV4dD48cmVj
b3JkPjxyZWMtbnVtYmVyPjg4MjwvcmVjLW51bWJlcj48Zm9yZWlnbi1rZXlzPjxrZXkgYXBwPSJF
TiIgZGItaWQ9ImV4dmFzcmZ4MmR0cmFvZXNhc3hwMnN6c3hhMmRmNTAyNTkyeCIgdGltZXN0YW1w
PSIxNTQxNTQwNzU4Ij44ODI8L2tleT48a2V5IGFwcD0iRU5XZWIiIGRiLWlkPSIiPjA8L2tleT48
L2ZvcmVpZ24ta2V5cz48cmVmLXR5cGUgbmFtZT0iSm91cm5hbCBBcnRpY2xlIj4xNzwvcmVmLXR5
cGU+PGNvbnRyaWJ1dG9ycz48YXV0aG9ycz48YXV0aG9yPkp1a2ljLCBBLiBNLjwvYXV0aG9yPjxh
dXRob3I+RXZlbnNvbiwgSy4gUi48L2F1dGhvcj48YXV0aG9yPkRhbmllbHMsIEouIEwuPC9hdXRo
b3I+PGF1dGhvcj5IZXJyaW5nLCBBLiBILjwvYXV0aG9yPjxhdXRob3I+V2lsY294LCBBLiBKLjwv
YXV0aG9yPjxhdXRob3I+SGFydG1hbm4sIEsuIEUuPC9hdXRob3I+PC9hdXRob3JzPjwvY29udHJp
YnV0b3JzPjxhdXRoLWFkZHJlc3M+RGVwYXJ0bWVudCBvZiBFcGlkZW1pb2xvZ3ksIEdpbGxpbmdz
IFNjaG9vbCBvZiBHbG9iYWwgUHVibGljIEhlYWx0aCwgVW5pdmVyc2l0eSBvZiBOb3J0aCBDYXJv
bGluYSBhdCBDaGFwZWwgSGlsbCwgQ2hhcGVsIEhpbGwsIE5DLCBVU0EuIGp1a2ljYUBuaWVocy5u
aWguZ292PC9hdXRoLWFkZHJlc3M+PHRpdGxlcz48dGl0bGU+QSBwcm9zcGVjdGl2ZSBzdHVkeSBv
ZiB0aGUgYXNzb2NpYXRpb24gYmV0d2VlbiB2aWdvcm91cyBwaHlzaWNhbCBhY3Rpdml0eSBkdXJp
bmcgcHJlZ25hbmN5IGFuZCBsZW5ndGggb2YgZ2VzdGF0aW9uIGFuZCBiaXJ0aHdlaWdodDwvdGl0
bGU+PHNlY29uZGFyeS10aXRsZT5NYXRlcm4gQ2hpbGQgSGVhbHRoIEo8L3NlY29uZGFyeS10aXRs
ZT48L3RpdGxlcz48cGVyaW9kaWNhbD48ZnVsbC10aXRsZT5NYXRlcm4gQ2hpbGQgSGVhbHRoIEo8
L2Z1bGwtdGl0bGU+PC9wZXJpb2RpY2FsPjxwYWdlcz4xMDMxLTQ0PC9wYWdlcz48dm9sdW1lPjE2
PC92b2x1bWU+PG51bWJlcj41PC9udW1iZXI+PGVkaXRpb24+MjAxMS8wNi8xNjwvZWRpdGlvbj48
a2V5d29yZHM+PGtleXdvcmQ+QWR1bHQ8L2tleXdvcmQ+PGtleXdvcmQ+KkJpcnRoIFdlaWdodDwv
a2V5d29yZD48a2V5d29yZD5DaGlsZDwva2V5d29yZD48a2V5d29yZD4qRXhlcmNpc2U8L2tleXdv
cmQ+PGtleXdvcmQ+RmVtYWxlPC9rZXl3b3JkPjxrZXl3b3JkPipHZXN0YXRpb25hbCBBZ2U8L2tl
eXdvcmQ+PGtleXdvcmQ+SHVtYW5zPC9rZXl3b3JkPjxrZXl3b3JkPkluZmFudDwva2V5d29yZD48
a2V5d29yZD5JbmZhbnQsIE5ld2Jvcm48L2tleXdvcmQ+PGtleXdvcmQ+SW50ZXJ2aWV3cyBhcyBU
b3BpYzwva2V5d29yZD48a2V5d29yZD4qTW90b3IgQWN0aXZpdHk8L2tleXdvcmQ+PGtleXdvcmQ+
UHJlZ25hbmN5PC9rZXl3b3JkPjxrZXl3b3JkPlByZWduYW5jeSBPdXRjb21lPC9rZXl3b3JkPjxr
ZXl3b3JkPlByZWduYW5jeSBUcmltZXN0ZXJzL3BoeXNpb2xvZ3k8L2tleXdvcmQ+PGtleXdvcmQ+
UHJlbWF0dXJlIEJpcnRoPC9rZXl3b3JkPjxrZXl3b3JkPlByb3NwZWN0aXZlIFN0dWRpZXM8L2tl
eXdvcmQ+PGtleXdvcmQ+UmVjcmVhdGlvbjwva2V5d29yZD48a2V5d29yZD5TZWxmIFJlcG9ydDwv
a2V5d29yZD48a2V5d29yZD5TdXJ2ZXlzIGFuZCBRdWVzdGlvbm5haXJlczwva2V5d29yZD48L2tl
eXdvcmRzPjxkYXRlcz48eWVhcj4yMDEyPC95ZWFyPjxwdWItZGF0ZXM+PGRhdGU+SnVsPC9kYXRl
PjwvcHViLWRhdGVzPjwvZGF0ZXM+PGlzYm4+MTU3My02NjI4IChFbGVjdHJvbmljKSYjeEQ7MTA5
Mi03ODc1IChMaW5raW5nKTwvaXNibj48YWNjZXNzaW9uLW51bT4yMTY3NDIxODwvYWNjZXNzaW9u
LW51bT48dXJscz48cmVsYXRlZC11cmxzPjx1cmw+aHR0cHM6Ly93d3cubmNiaS5ubG0ubmloLmdv
di9wdWJtZWQvMjE2NzQyMTg8L3VybD48L3JlbGF0ZWQtdXJscz48L3VybHM+PGN1c3RvbTI+UE1D
MzM4NjQyMzwvY3VzdG9tMj48ZWxlY3Ryb25pYy1yZXNvdXJjZS1udW0+MTAuMTAwNy9zMTA5OTUt
MDExLTA4MzEtODwvZWxlY3Ryb25pYy1yZXNvdXJjZS1udW0+PC9yZWNvcmQ+PC9DaXRlPjwvRW5k
Tm90ZT5=
</w:fldData>
              </w:fldChar>
            </w:r>
            <w:r w:rsidR="002747EA">
              <w:instrText xml:space="preserve"> ADDIN EN.CITE </w:instrText>
            </w:r>
            <w:r w:rsidR="002747EA">
              <w:fldChar w:fldCharType="begin">
                <w:fldData xml:space="preserve">PEVuZE5vdGU+PENpdGU+PEF1dGhvcj5KdWtpYzwvQXV0aG9yPjxZZWFyPjIwMTI8L1llYXI+PFJl
Y051bT44ODI8L1JlY051bT48RGlzcGxheVRleHQ+PHN0eWxlIGZhY2U9InN1cGVyc2NyaXB0IiBm
b250PSJUcmVidWNoZXQgTVMiIHNpemU9IjkiPjMyMjwvc3R5bGU+PC9EaXNwbGF5VGV4dD48cmVj
b3JkPjxyZWMtbnVtYmVyPjg4MjwvcmVjLW51bWJlcj48Zm9yZWlnbi1rZXlzPjxrZXkgYXBwPSJF
TiIgZGItaWQ9ImV4dmFzcmZ4MmR0cmFvZXNhc3hwMnN6c3hhMmRmNTAyNTkyeCIgdGltZXN0YW1w
PSIxNTQxNTQwNzU4Ij44ODI8L2tleT48a2V5IGFwcD0iRU5XZWIiIGRiLWlkPSIiPjA8L2tleT48
L2ZvcmVpZ24ta2V5cz48cmVmLXR5cGUgbmFtZT0iSm91cm5hbCBBcnRpY2xlIj4xNzwvcmVmLXR5
cGU+PGNvbnRyaWJ1dG9ycz48YXV0aG9ycz48YXV0aG9yPkp1a2ljLCBBLiBNLjwvYXV0aG9yPjxh
dXRob3I+RXZlbnNvbiwgSy4gUi48L2F1dGhvcj48YXV0aG9yPkRhbmllbHMsIEouIEwuPC9hdXRo
b3I+PGF1dGhvcj5IZXJyaW5nLCBBLiBILjwvYXV0aG9yPjxhdXRob3I+V2lsY294LCBBLiBKLjwv
YXV0aG9yPjxhdXRob3I+SGFydG1hbm4sIEsuIEUuPC9hdXRob3I+PC9hdXRob3JzPjwvY29udHJp
YnV0b3JzPjxhdXRoLWFkZHJlc3M+RGVwYXJ0bWVudCBvZiBFcGlkZW1pb2xvZ3ksIEdpbGxpbmdz
IFNjaG9vbCBvZiBHbG9iYWwgUHVibGljIEhlYWx0aCwgVW5pdmVyc2l0eSBvZiBOb3J0aCBDYXJv
bGluYSBhdCBDaGFwZWwgSGlsbCwgQ2hhcGVsIEhpbGwsIE5DLCBVU0EuIGp1a2ljYUBuaWVocy5u
aWguZ292PC9hdXRoLWFkZHJlc3M+PHRpdGxlcz48dGl0bGU+QSBwcm9zcGVjdGl2ZSBzdHVkeSBv
ZiB0aGUgYXNzb2NpYXRpb24gYmV0d2VlbiB2aWdvcm91cyBwaHlzaWNhbCBhY3Rpdml0eSBkdXJp
bmcgcHJlZ25hbmN5IGFuZCBsZW5ndGggb2YgZ2VzdGF0aW9uIGFuZCBiaXJ0aHdlaWdodDwvdGl0
bGU+PHNlY29uZGFyeS10aXRsZT5NYXRlcm4gQ2hpbGQgSGVhbHRoIEo8L3NlY29uZGFyeS10aXRs
ZT48L3RpdGxlcz48cGVyaW9kaWNhbD48ZnVsbC10aXRsZT5NYXRlcm4gQ2hpbGQgSGVhbHRoIEo8
L2Z1bGwtdGl0bGU+PC9wZXJpb2RpY2FsPjxwYWdlcz4xMDMxLTQ0PC9wYWdlcz48dm9sdW1lPjE2
PC92b2x1bWU+PG51bWJlcj41PC9udW1iZXI+PGVkaXRpb24+MjAxMS8wNi8xNjwvZWRpdGlvbj48
a2V5d29yZHM+PGtleXdvcmQ+QWR1bHQ8L2tleXdvcmQ+PGtleXdvcmQ+KkJpcnRoIFdlaWdodDwv
a2V5d29yZD48a2V5d29yZD5DaGlsZDwva2V5d29yZD48a2V5d29yZD4qRXhlcmNpc2U8L2tleXdv
cmQ+PGtleXdvcmQ+RmVtYWxlPC9rZXl3b3JkPjxrZXl3b3JkPipHZXN0YXRpb25hbCBBZ2U8L2tl
eXdvcmQ+PGtleXdvcmQ+SHVtYW5zPC9rZXl3b3JkPjxrZXl3b3JkPkluZmFudDwva2V5d29yZD48
a2V5d29yZD5JbmZhbnQsIE5ld2Jvcm48L2tleXdvcmQ+PGtleXdvcmQ+SW50ZXJ2aWV3cyBhcyBU
b3BpYzwva2V5d29yZD48a2V5d29yZD4qTW90b3IgQWN0aXZpdHk8L2tleXdvcmQ+PGtleXdvcmQ+
UHJlZ25hbmN5PC9rZXl3b3JkPjxrZXl3b3JkPlByZWduYW5jeSBPdXRjb21lPC9rZXl3b3JkPjxr
ZXl3b3JkPlByZWduYW5jeSBUcmltZXN0ZXJzL3BoeXNpb2xvZ3k8L2tleXdvcmQ+PGtleXdvcmQ+
UHJlbWF0dXJlIEJpcnRoPC9rZXl3b3JkPjxrZXl3b3JkPlByb3NwZWN0aXZlIFN0dWRpZXM8L2tl
eXdvcmQ+PGtleXdvcmQ+UmVjcmVhdGlvbjwva2V5d29yZD48a2V5d29yZD5TZWxmIFJlcG9ydDwv
a2V5d29yZD48a2V5d29yZD5TdXJ2ZXlzIGFuZCBRdWVzdGlvbm5haXJlczwva2V5d29yZD48L2tl
eXdvcmRzPjxkYXRlcz48eWVhcj4yMDEyPC95ZWFyPjxwdWItZGF0ZXM+PGRhdGU+SnVsPC9kYXRl
PjwvcHViLWRhdGVzPjwvZGF0ZXM+PGlzYm4+MTU3My02NjI4IChFbGVjdHJvbmljKSYjeEQ7MTA5
Mi03ODc1IChMaW5raW5nKTwvaXNibj48YWNjZXNzaW9uLW51bT4yMTY3NDIxODwvYWNjZXNzaW9u
LW51bT48dXJscz48cmVsYXRlZC11cmxzPjx1cmw+aHR0cHM6Ly93d3cubmNiaS5ubG0ubmloLmdv
di9wdWJtZWQvMjE2NzQyMTg8L3VybD48L3JlbGF0ZWQtdXJscz48L3VybHM+PGN1c3RvbTI+UE1D
MzM4NjQyMzwvY3VzdG9tMj48ZWxlY3Ryb25pYy1yZXNvdXJjZS1udW0+MTAuMTAwNy9zMTA5OTUt
MDExLTA4MzEtODwvZWxlY3Ryb25pYy1yZXNvdXJjZS1udW0+PC9yZWNvcmQ+PC9DaXRlPjwvRW5k
Tm90ZT5=
</w:fldData>
              </w:fldChar>
            </w:r>
            <w:r w:rsidR="002747EA">
              <w:instrText xml:space="preserve"> ADDIN EN.CITE.DATA </w:instrText>
            </w:r>
            <w:r w:rsidR="002747EA">
              <w:fldChar w:fldCharType="end"/>
            </w:r>
            <w:r w:rsidR="003E3405">
              <w:fldChar w:fldCharType="separate"/>
            </w:r>
            <w:r w:rsidR="002747EA" w:rsidRPr="002747EA">
              <w:rPr>
                <w:noProof/>
                <w:vertAlign w:val="superscript"/>
              </w:rPr>
              <w:t>322</w:t>
            </w:r>
            <w:r w:rsidR="003E3405">
              <w:fldChar w:fldCharType="end"/>
            </w:r>
          </w:p>
          <w:p w14:paraId="0FBB78F9" w14:textId="0C862CFA" w:rsidR="00AE2159" w:rsidRDefault="00AE2159" w:rsidP="002E4BC8">
            <w:pPr>
              <w:keepNext/>
            </w:pPr>
            <w:r>
              <w:t>United States</w:t>
            </w:r>
          </w:p>
        </w:tc>
        <w:tc>
          <w:tcPr>
            <w:tcW w:w="1247" w:type="dxa"/>
          </w:tcPr>
          <w:p w14:paraId="437762D8" w14:textId="77777777" w:rsidR="00A240B9" w:rsidRDefault="00AE2159" w:rsidP="002E4BC8">
            <w:pPr>
              <w:keepNext/>
            </w:pPr>
            <w:r>
              <w:t>1,647</w:t>
            </w:r>
          </w:p>
          <w:p w14:paraId="261C9484" w14:textId="5617D5E7" w:rsidR="002C2569" w:rsidRDefault="002C2569" w:rsidP="002E4BC8">
            <w:pPr>
              <w:keepNext/>
            </w:pPr>
            <w:r>
              <w:t>Cohort</w:t>
            </w:r>
          </w:p>
        </w:tc>
        <w:tc>
          <w:tcPr>
            <w:tcW w:w="4961" w:type="dxa"/>
          </w:tcPr>
          <w:p w14:paraId="01C2A14D" w14:textId="50856CC6" w:rsidR="00AE2159" w:rsidRPr="00AE2159" w:rsidRDefault="00AE2159" w:rsidP="00AE2159">
            <w:pPr>
              <w:rPr>
                <w:rFonts w:eastAsiaTheme="minorHAnsi"/>
                <w:lang w:val="en-GB"/>
              </w:rPr>
            </w:pPr>
            <w:r w:rsidRPr="00AE2159">
              <w:rPr>
                <w:b/>
              </w:rPr>
              <w:t>Aim</w:t>
            </w:r>
            <w:r>
              <w:t xml:space="preserve">: </w:t>
            </w:r>
            <w:r>
              <w:rPr>
                <w:rFonts w:eastAsiaTheme="minorHAnsi"/>
                <w:lang w:val="en-GB"/>
              </w:rPr>
              <w:t>To examine</w:t>
            </w:r>
            <w:r w:rsidRPr="00AE2159">
              <w:rPr>
                <w:rFonts w:eastAsiaTheme="minorHAnsi"/>
                <w:lang w:val="en-GB"/>
              </w:rPr>
              <w:t xml:space="preserve"> the associations</w:t>
            </w:r>
            <w:r>
              <w:rPr>
                <w:rFonts w:eastAsiaTheme="minorHAnsi"/>
                <w:lang w:val="en-GB"/>
              </w:rPr>
              <w:t xml:space="preserve"> </w:t>
            </w:r>
            <w:r w:rsidRPr="00AE2159">
              <w:t>between vigorous physical activity during pregnancy and</w:t>
            </w:r>
            <w:r>
              <w:t xml:space="preserve"> </w:t>
            </w:r>
            <w:r w:rsidRPr="00AE2159">
              <w:t>length of gestation and birthweight.</w:t>
            </w:r>
          </w:p>
          <w:p w14:paraId="317A5E4D" w14:textId="6683D6C4" w:rsidR="00A240B9" w:rsidRPr="00AE2159" w:rsidRDefault="00AE2159" w:rsidP="00AE2159">
            <w:pPr>
              <w:rPr>
                <w:rFonts w:ascii="Times" w:hAnsi="Times"/>
                <w:sz w:val="15"/>
                <w:szCs w:val="15"/>
              </w:rPr>
            </w:pPr>
            <w:r w:rsidRPr="00AE2159">
              <w:rPr>
                <w:b/>
              </w:rPr>
              <w:t>Methods</w:t>
            </w:r>
            <w:r>
              <w:t xml:space="preserve">: </w:t>
            </w:r>
            <w:r w:rsidRPr="00AE2159">
              <w:t>Women were</w:t>
            </w:r>
            <w:r>
              <w:t xml:space="preserve"> </w:t>
            </w:r>
            <w:r w:rsidRPr="00AE2159">
              <w:t>recruited before 10 weeks gestation. At 13–16 weeks gestation,</w:t>
            </w:r>
            <w:r>
              <w:t xml:space="preserve"> </w:t>
            </w:r>
            <w:r w:rsidRPr="00AE2159">
              <w:t>participants reported the type, frequency, and</w:t>
            </w:r>
            <w:r>
              <w:t xml:space="preserve"> </w:t>
            </w:r>
            <w:r w:rsidRPr="00AE2159">
              <w:t>duration of their typical weekly vigorous physical activities.</w:t>
            </w:r>
            <w:r>
              <w:t xml:space="preserve"> </w:t>
            </w:r>
            <w:r w:rsidRPr="00AE2159">
              <w:t> Birthweight (from vital records) was stud</w:t>
            </w:r>
            <w:r>
              <w:t>ied among term births. We analys</w:t>
            </w:r>
            <w:r w:rsidRPr="00AE2159">
              <w:t>ed gestational age among 1,647 births using discrete-time survival analysis.</w:t>
            </w:r>
          </w:p>
        </w:tc>
        <w:tc>
          <w:tcPr>
            <w:tcW w:w="4536" w:type="dxa"/>
          </w:tcPr>
          <w:p w14:paraId="35A97267" w14:textId="01BFCF57" w:rsidR="00A240B9" w:rsidRDefault="00033934" w:rsidP="002E4BC8">
            <w:pPr>
              <w:keepNext/>
            </w:pPr>
            <w:r>
              <w:t>Vigorous activity in the first trimester and odds ratio for preterm birth:</w:t>
            </w:r>
          </w:p>
          <w:p w14:paraId="3681DE8D" w14:textId="77777777" w:rsidR="00033934" w:rsidRDefault="00033934" w:rsidP="00CC26DB">
            <w:pPr>
              <w:pStyle w:val="bullet"/>
            </w:pPr>
            <w:r>
              <w:t>1–30 min/week: OR 1.0 (0.4 to 2.3)</w:t>
            </w:r>
          </w:p>
          <w:p w14:paraId="4C67DAF3" w14:textId="77777777" w:rsidR="00033934" w:rsidRDefault="00033934" w:rsidP="00CC26DB">
            <w:pPr>
              <w:pStyle w:val="bullet"/>
            </w:pPr>
            <w:r>
              <w:t>31-60 min/week: OR 0.2 (0.05 to 1.0)</w:t>
            </w:r>
          </w:p>
          <w:p w14:paraId="1C8DE2EF" w14:textId="77777777" w:rsidR="00033934" w:rsidRDefault="00033934" w:rsidP="00CC26DB">
            <w:pPr>
              <w:pStyle w:val="bullet"/>
            </w:pPr>
            <w:r>
              <w:t>61–435 min/week: OR 0.6 (0.3 to 1.2)</w:t>
            </w:r>
          </w:p>
          <w:p w14:paraId="3E807B5A" w14:textId="7A682C6F" w:rsidR="00033934" w:rsidRDefault="00033934" w:rsidP="00CC26DB">
            <w:pPr>
              <w:pStyle w:val="bullet"/>
            </w:pPr>
            <w:r>
              <w:t>&gt;435 min/week: OR 1.2 (0.5 to 3.1)</w:t>
            </w:r>
          </w:p>
        </w:tc>
        <w:tc>
          <w:tcPr>
            <w:tcW w:w="1843" w:type="dxa"/>
          </w:tcPr>
          <w:p w14:paraId="6208FB31" w14:textId="77777777" w:rsidR="00A240B9" w:rsidRPr="00AF7D6C" w:rsidRDefault="00A240B9" w:rsidP="002E4BC8">
            <w:pPr>
              <w:keepNext/>
            </w:pPr>
          </w:p>
        </w:tc>
      </w:tr>
    </w:tbl>
    <w:p w14:paraId="0079395D" w14:textId="31E8848B" w:rsidR="002E4BC8" w:rsidRPr="00DC4A73" w:rsidRDefault="009C163D" w:rsidP="00BD61CC">
      <w:pPr>
        <w:pStyle w:val="TableName"/>
        <w:pageBreakBefore/>
        <w:ind w:left="1134" w:hanging="1134"/>
      </w:pPr>
      <w:bookmarkStart w:id="163" w:name="_Toc40956666"/>
      <w:r>
        <w:t xml:space="preserve">Q6 </w:t>
      </w:r>
      <w:r w:rsidR="002E4BC8">
        <w:t xml:space="preserve">Adverse effects associated with supine exercise during pregnancy — </w:t>
      </w:r>
      <w:r w:rsidR="00D906C2">
        <w:t>systematic review</w:t>
      </w:r>
      <w:bookmarkEnd w:id="163"/>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8: Q6 Adverse effects associated with supine exercise during pregnancy — systematic review"/>
      </w:tblPr>
      <w:tblGrid>
        <w:gridCol w:w="1305"/>
        <w:gridCol w:w="1247"/>
        <w:gridCol w:w="4961"/>
        <w:gridCol w:w="4536"/>
        <w:gridCol w:w="1843"/>
      </w:tblGrid>
      <w:tr w:rsidR="002E4BC8" w:rsidRPr="00F350A6" w14:paraId="3BFE2D40" w14:textId="77777777" w:rsidTr="002E4BC8">
        <w:trPr>
          <w:cantSplit/>
          <w:tblHeader/>
        </w:trPr>
        <w:tc>
          <w:tcPr>
            <w:tcW w:w="1305" w:type="dxa"/>
          </w:tcPr>
          <w:p w14:paraId="459A5989" w14:textId="77777777" w:rsidR="002E4BC8" w:rsidRPr="00F350A6" w:rsidRDefault="002E4BC8" w:rsidP="002E4BC8">
            <w:pPr>
              <w:keepNext/>
              <w:rPr>
                <w:b/>
              </w:rPr>
            </w:pPr>
            <w:r>
              <w:rPr>
                <w:b/>
              </w:rPr>
              <w:t>Study ref</w:t>
            </w:r>
          </w:p>
        </w:tc>
        <w:tc>
          <w:tcPr>
            <w:tcW w:w="1247" w:type="dxa"/>
          </w:tcPr>
          <w:p w14:paraId="4D69BD50" w14:textId="77777777" w:rsidR="002E4BC8" w:rsidRPr="00F350A6" w:rsidRDefault="002E4BC8" w:rsidP="002E4BC8">
            <w:pPr>
              <w:keepNext/>
              <w:rPr>
                <w:b/>
              </w:rPr>
            </w:pPr>
            <w:r>
              <w:rPr>
                <w:b/>
              </w:rPr>
              <w:t>N</w:t>
            </w:r>
          </w:p>
        </w:tc>
        <w:tc>
          <w:tcPr>
            <w:tcW w:w="4961" w:type="dxa"/>
          </w:tcPr>
          <w:p w14:paraId="6C907DCD" w14:textId="77777777" w:rsidR="002E4BC8" w:rsidRPr="00F350A6" w:rsidRDefault="002E4BC8" w:rsidP="002E4BC8">
            <w:pPr>
              <w:keepNext/>
              <w:rPr>
                <w:b/>
              </w:rPr>
            </w:pPr>
            <w:r>
              <w:rPr>
                <w:b/>
              </w:rPr>
              <w:t>Aim/</w:t>
            </w:r>
            <w:r w:rsidRPr="00F350A6">
              <w:rPr>
                <w:b/>
              </w:rPr>
              <w:t>population</w:t>
            </w:r>
            <w:r>
              <w:rPr>
                <w:b/>
              </w:rPr>
              <w:t>/intervention</w:t>
            </w:r>
          </w:p>
        </w:tc>
        <w:tc>
          <w:tcPr>
            <w:tcW w:w="4536" w:type="dxa"/>
          </w:tcPr>
          <w:p w14:paraId="7E371635" w14:textId="77777777" w:rsidR="002E4BC8" w:rsidRPr="00F350A6" w:rsidRDefault="002E4BC8" w:rsidP="002E4BC8">
            <w:pPr>
              <w:keepNext/>
              <w:rPr>
                <w:b/>
              </w:rPr>
            </w:pPr>
            <w:r>
              <w:rPr>
                <w:b/>
              </w:rPr>
              <w:t>Results</w:t>
            </w:r>
          </w:p>
        </w:tc>
        <w:tc>
          <w:tcPr>
            <w:tcW w:w="1843" w:type="dxa"/>
          </w:tcPr>
          <w:p w14:paraId="225BEF75" w14:textId="77777777" w:rsidR="002E4BC8" w:rsidRPr="00F350A6" w:rsidRDefault="002E4BC8" w:rsidP="002E4BC8">
            <w:pPr>
              <w:keepNext/>
              <w:rPr>
                <w:b/>
              </w:rPr>
            </w:pPr>
            <w:r>
              <w:rPr>
                <w:b/>
              </w:rPr>
              <w:t>Comments</w:t>
            </w:r>
          </w:p>
        </w:tc>
      </w:tr>
      <w:tr w:rsidR="00AF7D6C" w:rsidRPr="00AF7D6C" w14:paraId="743364F3" w14:textId="77777777" w:rsidTr="002E4BC8">
        <w:trPr>
          <w:cantSplit/>
          <w:tblHeader/>
        </w:trPr>
        <w:tc>
          <w:tcPr>
            <w:tcW w:w="1305" w:type="dxa"/>
          </w:tcPr>
          <w:p w14:paraId="0590AADB" w14:textId="71A7CD44" w:rsidR="00AF7D6C" w:rsidRPr="00AF7D6C" w:rsidRDefault="00D906C2" w:rsidP="002747EA">
            <w:pPr>
              <w:keepNext/>
            </w:pPr>
            <w:r>
              <w:t>Mottola et al 2019</w:t>
            </w:r>
            <w:r w:rsidR="003E3405">
              <w:fldChar w:fldCharType="begin"/>
            </w:r>
            <w:r w:rsidR="002747EA">
              <w:instrText xml:space="preserve"> ADDIN EN.CITE &lt;EndNote&gt;&lt;Cite&gt;&lt;Author&gt;Mottola&lt;/Author&gt;&lt;Year&gt;2019&lt;/Year&gt;&lt;RecNum&gt;1226&lt;/RecNum&gt;&lt;DisplayText&gt;&lt;style face="superscript" font="Trebuchet MS" size="9"&gt;323&lt;/style&gt;&lt;/DisplayText&gt;&lt;record&gt;&lt;rec-number&gt;1226&lt;/rec-number&gt;&lt;foreign-keys&gt;&lt;key app="EN" db-id="exvasrfx2dtraoesasxp2szsxa2df502592x" timestamp="1562472156"&gt;1226&lt;/key&gt;&lt;key app="ENWeb" db-id=""&gt;0&lt;/key&gt;&lt;/foreign-keys&gt;&lt;ref-type name="Journal Article"&gt;17&lt;/ref-type&gt;&lt;contributors&gt;&lt;authors&gt;&lt;author&gt;Mottola, Michelle F.&lt;/author&gt;&lt;author&gt;Nagpal, Taniya S.&lt;/author&gt;&lt;author&gt;Bgeginski, Roberta&lt;/author&gt;&lt;author&gt;Davenport, Margie H.&lt;/author&gt;&lt;author&gt;Poitras, Veronica J.&lt;/author&gt;&lt;author&gt;Gray, Casey E.&lt;/author&gt;&lt;author&gt;Davies, Gregory A.&lt;/author&gt;&lt;author&gt;Adamo, Kristi B.&lt;/author&gt;&lt;author&gt;Slater, Linda G.&lt;/author&gt;&lt;author&gt;Barrowman, Nick&lt;/author&gt;&lt;author&gt;Barakat, Ruben&lt;/author&gt;&lt;author&gt;Ruchat, Stephanie-May&lt;/author&gt;&lt;/authors&gt;&lt;/contributors&gt;&lt;titles&gt;&lt;title&gt;Is supine exercise associated with adverse maternal and fetal outcomes? A systematic review&lt;/title&gt;&lt;secondary-title&gt;British Journal of Sports Medicine&lt;/secondary-title&gt;&lt;/titles&gt;&lt;periodical&gt;&lt;full-title&gt;British Journal of Sports Medicine&lt;/full-title&gt;&lt;/periodical&gt;&lt;pages&gt;82-89&lt;/pages&gt;&lt;volume&gt;53&lt;/volume&gt;&lt;number&gt;2&lt;/number&gt;&lt;section&gt;82&lt;/section&gt;&lt;dates&gt;&lt;year&gt;2019&lt;/year&gt;&lt;/dates&gt;&lt;isbn&gt;0306-3674&amp;#xD;1473-0480&lt;/isbn&gt;&lt;urls&gt;&lt;/urls&gt;&lt;electronic-resource-num&gt;10.1136/bjsports-2018-099919&lt;/electronic-resource-num&gt;&lt;/record&gt;&lt;/Cite&gt;&lt;/EndNote&gt;</w:instrText>
            </w:r>
            <w:r w:rsidR="003E3405">
              <w:fldChar w:fldCharType="separate"/>
            </w:r>
            <w:r w:rsidR="002747EA" w:rsidRPr="002747EA">
              <w:rPr>
                <w:noProof/>
                <w:vertAlign w:val="superscript"/>
              </w:rPr>
              <w:t>323</w:t>
            </w:r>
            <w:r w:rsidR="003E3405">
              <w:fldChar w:fldCharType="end"/>
            </w:r>
          </w:p>
        </w:tc>
        <w:tc>
          <w:tcPr>
            <w:tcW w:w="1247" w:type="dxa"/>
          </w:tcPr>
          <w:p w14:paraId="63243597" w14:textId="77777777" w:rsidR="00AF7D6C" w:rsidRDefault="00D906C2" w:rsidP="002E4BC8">
            <w:pPr>
              <w:keepNext/>
            </w:pPr>
            <w:r>
              <w:t>7 studies</w:t>
            </w:r>
          </w:p>
          <w:p w14:paraId="19F733EE" w14:textId="0BFA935F" w:rsidR="00D906C2" w:rsidRPr="00AF7D6C" w:rsidRDefault="00D906C2" w:rsidP="002E4BC8">
            <w:pPr>
              <w:keepNext/>
            </w:pPr>
            <w:r>
              <w:t>n=1,759</w:t>
            </w:r>
          </w:p>
        </w:tc>
        <w:tc>
          <w:tcPr>
            <w:tcW w:w="4961" w:type="dxa"/>
          </w:tcPr>
          <w:p w14:paraId="2152E70B" w14:textId="200C9350" w:rsidR="006A6E12" w:rsidRDefault="006A6E12" w:rsidP="006A6E12">
            <w:r w:rsidRPr="006A6E12">
              <w:rPr>
                <w:b/>
              </w:rPr>
              <w:t>Aim</w:t>
            </w:r>
            <w:r>
              <w:t>: To explore t</w:t>
            </w:r>
            <w:r w:rsidRPr="006A6E12">
              <w:t>heoretical concerns regarding the supine</w:t>
            </w:r>
            <w:r>
              <w:t xml:space="preserve"> </w:t>
            </w:r>
            <w:r w:rsidRPr="006A6E12">
              <w:t>position at rest due to the gravid uterus obstructing</w:t>
            </w:r>
            <w:r>
              <w:t xml:space="preserve"> </w:t>
            </w:r>
            <w:r w:rsidRPr="006A6E12">
              <w:t>aorta and vena caval flow may impinge uterine blood</w:t>
            </w:r>
            <w:r>
              <w:t xml:space="preserve"> </w:t>
            </w:r>
            <w:r w:rsidRPr="006A6E12">
              <w:t>flow (UBF) to the fetus and maternal venous return.</w:t>
            </w:r>
          </w:p>
          <w:p w14:paraId="3B8FF6EC" w14:textId="0F009FE4" w:rsidR="00AF7D6C" w:rsidRPr="006A6E12" w:rsidRDefault="006A6E12" w:rsidP="006A6E12">
            <w:r w:rsidRPr="006A6E12">
              <w:t>Eligible population (pregnant without</w:t>
            </w:r>
            <w:r>
              <w:t xml:space="preserve"> </w:t>
            </w:r>
            <w:r w:rsidRPr="006A6E12">
              <w:t>contraindication to exercise), intervention (frequency,</w:t>
            </w:r>
            <w:r>
              <w:t xml:space="preserve"> </w:t>
            </w:r>
            <w:r w:rsidRPr="006A6E12">
              <w:t>intensity, duration, volume or type of supine exercise),</w:t>
            </w:r>
            <w:r>
              <w:t xml:space="preserve"> </w:t>
            </w:r>
            <w:r w:rsidRPr="006A6E12">
              <w:t>comparator (no exercise or exercise in left lateral rest</w:t>
            </w:r>
            <w:r>
              <w:t xml:space="preserve"> </w:t>
            </w:r>
            <w:r w:rsidRPr="006A6E12">
              <w:t>position, upright posture or other supine exercise),</w:t>
            </w:r>
            <w:r>
              <w:t xml:space="preserve"> </w:t>
            </w:r>
            <w:r w:rsidRPr="006A6E12">
              <w:t>outcomes (potentially adverse effects on maternal blood</w:t>
            </w:r>
            <w:r>
              <w:t xml:space="preserve"> </w:t>
            </w:r>
            <w:r w:rsidRPr="006A6E12">
              <w:t>pressure, cardiac output, heart rate, oxygen saturation,</w:t>
            </w:r>
            <w:r>
              <w:t xml:space="preserve"> </w:t>
            </w:r>
            <w:r w:rsidRPr="006A6E12">
              <w:t>fetal movements, UBF, fetal heart rate (FHR) patterns;</w:t>
            </w:r>
            <w:r>
              <w:t xml:space="preserve"> </w:t>
            </w:r>
            <w:r w:rsidRPr="006A6E12">
              <w:t>adverse events such as bradycardia, low birth weight,</w:t>
            </w:r>
            <w:r>
              <w:t xml:space="preserve"> </w:t>
            </w:r>
            <w:r w:rsidRPr="006A6E12">
              <w:t>intrauterine growth restriction, perinatal mortality and</w:t>
            </w:r>
            <w:r>
              <w:t xml:space="preserve"> </w:t>
            </w:r>
            <w:r w:rsidRPr="006A6E12">
              <w:t>other adverse events as documented by study authors),</w:t>
            </w:r>
            <w:r>
              <w:t xml:space="preserve"> </w:t>
            </w:r>
            <w:r w:rsidRPr="006A6E12">
              <w:t>and study design (except case studies and reviews)</w:t>
            </w:r>
            <w:r>
              <w:t xml:space="preserve"> </w:t>
            </w:r>
            <w:r w:rsidRPr="006A6E12">
              <w:t>published in English, Spanish, French or Portuguese.</w:t>
            </w:r>
          </w:p>
        </w:tc>
        <w:tc>
          <w:tcPr>
            <w:tcW w:w="4536" w:type="dxa"/>
          </w:tcPr>
          <w:p w14:paraId="1F643108" w14:textId="40C7D031" w:rsidR="004C0524" w:rsidRPr="004C0524" w:rsidRDefault="00A77AB6" w:rsidP="004C0524">
            <w:r>
              <w:t>‘</w:t>
            </w:r>
            <w:r w:rsidR="004C0524" w:rsidRPr="004C0524">
              <w:t>Very</w:t>
            </w:r>
            <w:r w:rsidR="004C0524">
              <w:t xml:space="preserve"> </w:t>
            </w:r>
            <w:r w:rsidR="004C0524" w:rsidRPr="004C0524">
              <w:t xml:space="preserve">low’ to ’low’ </w:t>
            </w:r>
            <w:r w:rsidR="00343BBE">
              <w:t>certainty</w:t>
            </w:r>
            <w:r w:rsidR="004C0524" w:rsidRPr="004C0524">
              <w:t xml:space="preserve"> evidence from three </w:t>
            </w:r>
            <w:r w:rsidR="005750C0">
              <w:t>RCT</w:t>
            </w:r>
            <w:r w:rsidR="004C0524" w:rsidRPr="004C0524">
              <w:t>s indicated no association between</w:t>
            </w:r>
            <w:r w:rsidR="004C0524">
              <w:t xml:space="preserve"> </w:t>
            </w:r>
            <w:r w:rsidR="004C0524" w:rsidRPr="004C0524">
              <w:t>supervised exercise interventions that included supine</w:t>
            </w:r>
            <w:r w:rsidR="004C0524">
              <w:t xml:space="preserve"> </w:t>
            </w:r>
            <w:r w:rsidR="004C0524" w:rsidRPr="004C0524">
              <w:t>exercise and low birth weight compared with no exercise.</w:t>
            </w:r>
          </w:p>
          <w:p w14:paraId="1D007DD3" w14:textId="0486877C" w:rsidR="00AF7D6C" w:rsidRPr="00010328" w:rsidRDefault="004C0524" w:rsidP="00010328">
            <w:r w:rsidRPr="004C0524">
              <w:t xml:space="preserve">There was ’very low’ to ’low’ </w:t>
            </w:r>
            <w:r w:rsidR="00343BBE">
              <w:t>certainty</w:t>
            </w:r>
            <w:r w:rsidRPr="004C0524">
              <w:t xml:space="preserve"> evidence from four</w:t>
            </w:r>
            <w:r>
              <w:t xml:space="preserve"> </w:t>
            </w:r>
            <w:r w:rsidRPr="004C0524">
              <w:t>observational studies that showed no adverse events in</w:t>
            </w:r>
            <w:r>
              <w:t xml:space="preserve"> </w:t>
            </w:r>
            <w:r w:rsidRPr="004C0524">
              <w:t>the mother; however, there were abnormal FHR patterns</w:t>
            </w:r>
            <w:r>
              <w:t xml:space="preserve"> </w:t>
            </w:r>
            <w:r w:rsidRPr="004C0524">
              <w:t xml:space="preserve">(as defined by study authors) in 20 of 65 (31%) </w:t>
            </w:r>
            <w:r w:rsidR="00F24B5D">
              <w:t>f</w:t>
            </w:r>
            <w:r>
              <w:t xml:space="preserve">etuses </w:t>
            </w:r>
            <w:r w:rsidRPr="004C0524">
              <w:t>during an acute bout of supine exercise. UBF decreased</w:t>
            </w:r>
            <w:r>
              <w:t xml:space="preserve"> </w:t>
            </w:r>
            <w:r w:rsidRPr="004C0524">
              <w:t>(13%) when women moved from left lateral rest to ac</w:t>
            </w:r>
            <w:r w:rsidRPr="00010328">
              <w:t>ute</w:t>
            </w:r>
            <w:r w:rsidR="00010328" w:rsidRPr="00010328">
              <w:t xml:space="preserve"> </w:t>
            </w:r>
            <w:r w:rsidRPr="00010328">
              <w:t>dynamic supine exercise.</w:t>
            </w:r>
          </w:p>
        </w:tc>
        <w:tc>
          <w:tcPr>
            <w:tcW w:w="1843" w:type="dxa"/>
          </w:tcPr>
          <w:p w14:paraId="36E7C312" w14:textId="77777777" w:rsidR="00AF7D6C" w:rsidRPr="00AF7D6C" w:rsidRDefault="00AF7D6C" w:rsidP="002E4BC8">
            <w:pPr>
              <w:keepNext/>
            </w:pPr>
          </w:p>
        </w:tc>
      </w:tr>
    </w:tbl>
    <w:p w14:paraId="4F202744" w14:textId="10237ACC" w:rsidR="002E4BC8" w:rsidRPr="00DC4A73" w:rsidRDefault="009C163D" w:rsidP="00BD61CC">
      <w:pPr>
        <w:pStyle w:val="TableName"/>
        <w:pageBreakBefore/>
        <w:ind w:left="1134" w:hanging="1134"/>
      </w:pPr>
      <w:bookmarkStart w:id="164" w:name="_Toc40956667"/>
      <w:r>
        <w:t xml:space="preserve">Q6 </w:t>
      </w:r>
      <w:r w:rsidR="002E4BC8">
        <w:t xml:space="preserve">Adverse effects associated with </w:t>
      </w:r>
      <w:r w:rsidR="00DF108B">
        <w:t>swimming</w:t>
      </w:r>
      <w:r w:rsidR="002E4BC8">
        <w:t xml:space="preserve"> during pregnancy — </w:t>
      </w:r>
      <w:r w:rsidR="0058307B">
        <w:t>observational</w:t>
      </w:r>
      <w:r w:rsidR="00C54CD9">
        <w:t xml:space="preserve"> studies</w:t>
      </w:r>
      <w:bookmarkEnd w:id="164"/>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89: Q6 Adverse effects associated with swimming during pregnancy — observational studies"/>
      </w:tblPr>
      <w:tblGrid>
        <w:gridCol w:w="1305"/>
        <w:gridCol w:w="1247"/>
        <w:gridCol w:w="4961"/>
        <w:gridCol w:w="4536"/>
        <w:gridCol w:w="1843"/>
      </w:tblGrid>
      <w:tr w:rsidR="002E4BC8" w:rsidRPr="00F350A6" w14:paraId="7E70DD20" w14:textId="77777777" w:rsidTr="002E4BC8">
        <w:trPr>
          <w:cantSplit/>
          <w:tblHeader/>
        </w:trPr>
        <w:tc>
          <w:tcPr>
            <w:tcW w:w="1305" w:type="dxa"/>
          </w:tcPr>
          <w:p w14:paraId="1F8F42CF" w14:textId="77777777" w:rsidR="002E4BC8" w:rsidRPr="00F350A6" w:rsidRDefault="002E4BC8" w:rsidP="002E4BC8">
            <w:pPr>
              <w:keepNext/>
              <w:rPr>
                <w:b/>
              </w:rPr>
            </w:pPr>
            <w:r>
              <w:rPr>
                <w:b/>
              </w:rPr>
              <w:t>Study ref</w:t>
            </w:r>
          </w:p>
        </w:tc>
        <w:tc>
          <w:tcPr>
            <w:tcW w:w="1247" w:type="dxa"/>
          </w:tcPr>
          <w:p w14:paraId="5602B047" w14:textId="77777777" w:rsidR="002E4BC8" w:rsidRPr="00F350A6" w:rsidRDefault="002E4BC8" w:rsidP="002E4BC8">
            <w:pPr>
              <w:keepNext/>
              <w:rPr>
                <w:b/>
              </w:rPr>
            </w:pPr>
            <w:r>
              <w:rPr>
                <w:b/>
              </w:rPr>
              <w:t>N</w:t>
            </w:r>
          </w:p>
        </w:tc>
        <w:tc>
          <w:tcPr>
            <w:tcW w:w="4961" w:type="dxa"/>
          </w:tcPr>
          <w:p w14:paraId="40316CA9" w14:textId="77777777" w:rsidR="002E4BC8" w:rsidRPr="00F350A6" w:rsidRDefault="002E4BC8" w:rsidP="002E4BC8">
            <w:pPr>
              <w:keepNext/>
              <w:rPr>
                <w:b/>
              </w:rPr>
            </w:pPr>
            <w:r>
              <w:rPr>
                <w:b/>
              </w:rPr>
              <w:t>Aim/</w:t>
            </w:r>
            <w:r w:rsidRPr="00F350A6">
              <w:rPr>
                <w:b/>
              </w:rPr>
              <w:t>population</w:t>
            </w:r>
            <w:r>
              <w:rPr>
                <w:b/>
              </w:rPr>
              <w:t>/intervention</w:t>
            </w:r>
          </w:p>
        </w:tc>
        <w:tc>
          <w:tcPr>
            <w:tcW w:w="4536" w:type="dxa"/>
          </w:tcPr>
          <w:p w14:paraId="43225334" w14:textId="77777777" w:rsidR="002E4BC8" w:rsidRPr="00F350A6" w:rsidRDefault="002E4BC8" w:rsidP="002E4BC8">
            <w:pPr>
              <w:keepNext/>
              <w:rPr>
                <w:b/>
              </w:rPr>
            </w:pPr>
            <w:r>
              <w:rPr>
                <w:b/>
              </w:rPr>
              <w:t>Results</w:t>
            </w:r>
          </w:p>
        </w:tc>
        <w:tc>
          <w:tcPr>
            <w:tcW w:w="1843" w:type="dxa"/>
          </w:tcPr>
          <w:p w14:paraId="16DEDA7E" w14:textId="77777777" w:rsidR="002E4BC8" w:rsidRPr="00F350A6" w:rsidRDefault="002E4BC8" w:rsidP="002E4BC8">
            <w:pPr>
              <w:keepNext/>
              <w:rPr>
                <w:b/>
              </w:rPr>
            </w:pPr>
            <w:r>
              <w:rPr>
                <w:b/>
              </w:rPr>
              <w:t>Comments</w:t>
            </w:r>
          </w:p>
        </w:tc>
      </w:tr>
      <w:tr w:rsidR="00AF7D6C" w:rsidRPr="00AF7D6C" w14:paraId="7516517C" w14:textId="77777777" w:rsidTr="00F62E69">
        <w:trPr>
          <w:cantSplit/>
        </w:trPr>
        <w:tc>
          <w:tcPr>
            <w:tcW w:w="1305" w:type="dxa"/>
          </w:tcPr>
          <w:p w14:paraId="6B1D360B" w14:textId="680C4360" w:rsidR="00AF7D6C" w:rsidRDefault="007B0219" w:rsidP="002E4BC8">
            <w:pPr>
              <w:keepNext/>
            </w:pPr>
            <w:r>
              <w:t>Agopian et al 2013</w:t>
            </w:r>
            <w:r w:rsidR="003E3405">
              <w:fldChar w:fldCharType="begin"/>
            </w:r>
            <w:r w:rsidR="002747EA">
              <w:instrText xml:space="preserve"> ADDIN EN.CITE &lt;EndNote&gt;&lt;Cite&gt;&lt;Author&gt;Agopian&lt;/Author&gt;&lt;Year&gt;2013&lt;/Year&gt;&lt;RecNum&gt;901&lt;/RecNum&gt;&lt;DisplayText&gt;&lt;style face="superscript" font="Trebuchet MS" size="9"&gt;325&lt;/style&gt;&lt;/DisplayText&gt;&lt;record&gt;&lt;rec-number&gt;901&lt;/rec-number&gt;&lt;foreign-keys&gt;&lt;key app="EN" db-id="exvasrfx2dtraoesasxp2szsxa2df502592x" timestamp="1541540824"&gt;901&lt;/key&gt;&lt;key app="ENWeb" db-id=""&gt;0&lt;/key&gt;&lt;/foreign-keys&gt;&lt;ref-type name="Journal Article"&gt;17&lt;/ref-type&gt;&lt;contributors&gt;&lt;authors&gt;&lt;author&gt;Agopian, A. J.&lt;/author&gt;&lt;author&gt;Lupo, Philip J.&lt;/author&gt;&lt;author&gt;Canfield, Mark A.&lt;/author&gt;&lt;author&gt;Mitchell, Laura E.&lt;/author&gt;&lt;/authors&gt;&lt;/contributors&gt;&lt;titles&gt;&lt;title&gt;Swimming pool use and birth defect risk&lt;/title&gt;&lt;secondary-title&gt;American Journal of Obstetrics and Gynecology&lt;/secondary-title&gt;&lt;/titles&gt;&lt;periodical&gt;&lt;full-title&gt;American Journal of Obstetrics and Gynecology&lt;/full-title&gt;&lt;/periodical&gt;&lt;pages&gt;219.e1-219.e9&lt;/pages&gt;&lt;volume&gt;209&lt;/volume&gt;&lt;number&gt;3&lt;/number&gt;&lt;section&gt;219.e1&lt;/section&gt;&lt;dates&gt;&lt;year&gt;2013&lt;/year&gt;&lt;/dates&gt;&lt;isbn&gt;00029378&lt;/isbn&gt;&lt;urls&gt;&lt;/urls&gt;&lt;electronic-resource-num&gt;10.1016/j.ajog.2013.04.033&lt;/electronic-resource-num&gt;&lt;/record&gt;&lt;/Cite&gt;&lt;/EndNote&gt;</w:instrText>
            </w:r>
            <w:r w:rsidR="003E3405">
              <w:fldChar w:fldCharType="separate"/>
            </w:r>
            <w:r w:rsidR="002747EA" w:rsidRPr="002747EA">
              <w:rPr>
                <w:noProof/>
                <w:vertAlign w:val="superscript"/>
              </w:rPr>
              <w:t>325</w:t>
            </w:r>
            <w:r w:rsidR="003E3405">
              <w:fldChar w:fldCharType="end"/>
            </w:r>
          </w:p>
          <w:p w14:paraId="55A23746" w14:textId="0F4764F3" w:rsidR="007B0219" w:rsidRPr="00AF7D6C" w:rsidRDefault="007B0219" w:rsidP="002E4BC8">
            <w:pPr>
              <w:keepNext/>
            </w:pPr>
            <w:r>
              <w:t xml:space="preserve">United States </w:t>
            </w:r>
          </w:p>
        </w:tc>
        <w:tc>
          <w:tcPr>
            <w:tcW w:w="1247" w:type="dxa"/>
          </w:tcPr>
          <w:p w14:paraId="74B41D71" w14:textId="065AFA99" w:rsidR="00421CBD" w:rsidRDefault="00421CBD" w:rsidP="002E4BC8">
            <w:pPr>
              <w:keepNext/>
            </w:pPr>
            <w:r>
              <w:t>Cases 191-1929</w:t>
            </w:r>
          </w:p>
          <w:p w14:paraId="2397AF1F" w14:textId="6B4C78D3" w:rsidR="00421CBD" w:rsidRDefault="00421CBD" w:rsidP="002E4BC8">
            <w:pPr>
              <w:keepNext/>
            </w:pPr>
            <w:r>
              <w:t>Controls 6,826</w:t>
            </w:r>
          </w:p>
          <w:p w14:paraId="4B2F60CE" w14:textId="19B2A016" w:rsidR="00421CBD" w:rsidRPr="00AF7D6C" w:rsidRDefault="00C54CD9" w:rsidP="002E4BC8">
            <w:pPr>
              <w:keepNext/>
            </w:pPr>
            <w:r>
              <w:t>Case control</w:t>
            </w:r>
          </w:p>
        </w:tc>
        <w:tc>
          <w:tcPr>
            <w:tcW w:w="4961" w:type="dxa"/>
          </w:tcPr>
          <w:p w14:paraId="07D2A64B" w14:textId="41E077DE" w:rsidR="007B0219" w:rsidRDefault="007B0219" w:rsidP="007B0219">
            <w:r w:rsidRPr="007B0219">
              <w:rPr>
                <w:b/>
              </w:rPr>
              <w:t>Aim</w:t>
            </w:r>
            <w:r>
              <w:t xml:space="preserve">: </w:t>
            </w:r>
            <w:r w:rsidRPr="007B0219">
              <w:t> </w:t>
            </w:r>
            <w:r>
              <w:t>To evaluate</w:t>
            </w:r>
            <w:r w:rsidRPr="007B0219">
              <w:t xml:space="preserve"> the relationship between maternal</w:t>
            </w:r>
            <w:r>
              <w:t xml:space="preserve"> </w:t>
            </w:r>
            <w:r w:rsidRPr="007B0219">
              <w:t>swimming pool use during early pregnancy and risk for select birth</w:t>
            </w:r>
            <w:r>
              <w:t xml:space="preserve"> defects in offspring associated with water-borne pathogens and exposure to water-disinfection by</w:t>
            </w:r>
            <w:r w:rsidR="0058307B">
              <w:t xml:space="preserve"> </w:t>
            </w:r>
            <w:r>
              <w:t>products.</w:t>
            </w:r>
          </w:p>
          <w:p w14:paraId="73A199A5" w14:textId="5B635E48" w:rsidR="00AF7D6C" w:rsidRPr="007B0219" w:rsidRDefault="007B0219" w:rsidP="007B0219">
            <w:r w:rsidRPr="007B0219">
              <w:rPr>
                <w:b/>
              </w:rPr>
              <w:t>Methods</w:t>
            </w:r>
            <w:r>
              <w:t xml:space="preserve">: </w:t>
            </w:r>
            <w:r w:rsidRPr="007B0219">
              <w:t>Data were evaluated for non</w:t>
            </w:r>
            <w:r w:rsidR="0058307B">
              <w:t>-</w:t>
            </w:r>
            <w:r w:rsidRPr="007B0219">
              <w:t>syndromic cases with 1</w:t>
            </w:r>
            <w:r>
              <w:t xml:space="preserve"> </w:t>
            </w:r>
            <w:r w:rsidR="009C04DE">
              <w:t>of 16 types of birth defects (n=191-1829) and controls (n=</w:t>
            </w:r>
            <w:r w:rsidRPr="007B0219">
              <w:t>6826)</w:t>
            </w:r>
            <w:r>
              <w:t xml:space="preserve"> </w:t>
            </w:r>
            <w:r w:rsidRPr="007B0219">
              <w:t>from the National Birth Defects Prevention Study delivered during</w:t>
            </w:r>
            <w:r>
              <w:t xml:space="preserve"> </w:t>
            </w:r>
            <w:r w:rsidRPr="007B0219">
              <w:t>2000-2006. Logistic regression analyses were conducted separately</w:t>
            </w:r>
            <w:r>
              <w:t xml:space="preserve"> </w:t>
            </w:r>
            <w:r w:rsidRPr="007B0219">
              <w:t>for each birth defect type. Separate analyses were conducted to</w:t>
            </w:r>
            <w:r>
              <w:t xml:space="preserve"> </w:t>
            </w:r>
            <w:r w:rsidRPr="007B0219">
              <w:t>assess any pool use (yes vs no) and frequent use (5 or more occasions</w:t>
            </w:r>
            <w:r>
              <w:t xml:space="preserve"> </w:t>
            </w:r>
            <w:r w:rsidRPr="007B0219">
              <w:t>in 1 month) during the month before pregnancy through the third</w:t>
            </w:r>
            <w:r>
              <w:t xml:space="preserve"> </w:t>
            </w:r>
            <w:r w:rsidRPr="007B0219">
              <w:t>month of pregnancy.</w:t>
            </w:r>
          </w:p>
        </w:tc>
        <w:tc>
          <w:tcPr>
            <w:tcW w:w="4536" w:type="dxa"/>
          </w:tcPr>
          <w:p w14:paraId="74722E80" w14:textId="77777777" w:rsidR="00AF7D6C" w:rsidRDefault="002232A4" w:rsidP="002E4BC8">
            <w:pPr>
              <w:keepNext/>
            </w:pPr>
            <w:r>
              <w:t>Adjusted odds ratio of birth defects associated with frequent pool use:</w:t>
            </w:r>
          </w:p>
          <w:p w14:paraId="3C74E71C" w14:textId="50A2D01F" w:rsidR="002232A4" w:rsidRDefault="002232A4" w:rsidP="009C04DE">
            <w:pPr>
              <w:pStyle w:val="bullet"/>
            </w:pPr>
            <w:r>
              <w:t>Spina bifida: aOR 0.68 (0.47 to 0.99)</w:t>
            </w:r>
          </w:p>
          <w:p w14:paraId="199054D7" w14:textId="012D1FB9" w:rsidR="002232A4" w:rsidRPr="00AF7D6C" w:rsidRDefault="009C04DE" w:rsidP="002E4BC8">
            <w:pPr>
              <w:keepNext/>
            </w:pPr>
            <w:r>
              <w:t>There were no significant positive association between any or frequent pool use and any of the types of birth defect.</w:t>
            </w:r>
          </w:p>
        </w:tc>
        <w:tc>
          <w:tcPr>
            <w:tcW w:w="1843" w:type="dxa"/>
          </w:tcPr>
          <w:p w14:paraId="5113865C" w14:textId="77777777" w:rsidR="00AF7D6C" w:rsidRPr="00AF7D6C" w:rsidRDefault="00AF7D6C" w:rsidP="002E4BC8">
            <w:pPr>
              <w:keepNext/>
            </w:pPr>
          </w:p>
        </w:tc>
      </w:tr>
      <w:tr w:rsidR="00C54CD9" w:rsidRPr="00AF7D6C" w14:paraId="2D07740D" w14:textId="77777777" w:rsidTr="00F62E69">
        <w:trPr>
          <w:cantSplit/>
        </w:trPr>
        <w:tc>
          <w:tcPr>
            <w:tcW w:w="1305" w:type="dxa"/>
          </w:tcPr>
          <w:p w14:paraId="23C8ACD0" w14:textId="59B6EF80" w:rsidR="00C54CD9" w:rsidRDefault="00C54CD9" w:rsidP="00283324">
            <w:pPr>
              <w:keepNext/>
            </w:pPr>
            <w:r>
              <w:t>Brearl</w:t>
            </w:r>
            <w:r w:rsidR="0050625F">
              <w:t>e</w:t>
            </w:r>
            <w:r>
              <w:t>y et al 2015</w:t>
            </w:r>
            <w:r w:rsidR="003E3405">
              <w:fldChar w:fldCharType="begin"/>
            </w:r>
            <w:r w:rsidR="002747EA">
              <w:instrText xml:space="preserve"> ADDIN EN.CITE &lt;EndNote&gt;&lt;Cite&gt;&lt;Author&gt;Brearley&lt;/Author&gt;&lt;Year&gt;2015&lt;/Year&gt;&lt;RecNum&gt;840&lt;/RecNum&gt;&lt;DisplayText&gt;&lt;style face="superscript" font="Trebuchet MS" size="9"&gt;324&lt;/style&gt;&lt;/DisplayText&gt;&lt;record&gt;&lt;rec-number&gt;840&lt;/rec-number&gt;&lt;foreign-keys&gt;&lt;key app="EN" db-id="exvasrfx2dtraoesasxp2szsxa2df502592x" timestamp="1541540586"&gt;840&lt;/key&gt;&lt;key app="ENWeb" db-id=""&gt;0&lt;/key&gt;&lt;/foreign-keys&gt;&lt;ref-type name="Journal Article"&gt;17&lt;/ref-type&gt;&lt;contributors&gt;&lt;authors&gt;&lt;author&gt;Brearley, Amanda L.&lt;/author&gt;&lt;author&gt;Sherburn, Margaret&lt;/author&gt;&lt;author&gt;Galea, Mary P.&lt;/author&gt;&lt;author&gt;Clarke, Sandy J.&lt;/author&gt;&lt;/authors&gt;&lt;/contributors&gt;&lt;titles&gt;&lt;title&gt;Pregnant women maintain body temperatures within safe limits during moderate-intensity aqua-aerobic classes conducted in pools heated up to 33 degrees Celsius: an observational study&lt;/title&gt;&lt;secondary-title&gt;Journal of Physiotherapy&lt;/secondary-title&gt;&lt;/titles&gt;&lt;periodical&gt;&lt;full-title&gt;Journal of Physiotherapy&lt;/full-title&gt;&lt;/periodical&gt;&lt;pages&gt;199-203&lt;/pages&gt;&lt;volume&gt;61&lt;/volume&gt;&lt;number&gt;4&lt;/number&gt;&lt;section&gt;199&lt;/section&gt;&lt;dates&gt;&lt;year&gt;2015&lt;/year&gt;&lt;/dates&gt;&lt;isbn&gt;18369553&lt;/isbn&gt;&lt;urls&gt;&lt;/urls&gt;&lt;electronic-resource-num&gt;10.1016/j.jphys.2015.08.004&lt;/electronic-resource-num&gt;&lt;/record&gt;&lt;/Cite&gt;&lt;/EndNote&gt;</w:instrText>
            </w:r>
            <w:r w:rsidR="003E3405">
              <w:fldChar w:fldCharType="separate"/>
            </w:r>
            <w:r w:rsidR="002747EA" w:rsidRPr="002747EA">
              <w:rPr>
                <w:noProof/>
                <w:vertAlign w:val="superscript"/>
              </w:rPr>
              <w:t>324</w:t>
            </w:r>
            <w:r w:rsidR="003E3405">
              <w:fldChar w:fldCharType="end"/>
            </w:r>
          </w:p>
          <w:p w14:paraId="20B6EB01" w14:textId="4D98E59A" w:rsidR="001843D9" w:rsidRDefault="0050625F" w:rsidP="00283324">
            <w:pPr>
              <w:keepNext/>
            </w:pPr>
            <w:r>
              <w:t>Australia</w:t>
            </w:r>
          </w:p>
        </w:tc>
        <w:tc>
          <w:tcPr>
            <w:tcW w:w="1247" w:type="dxa"/>
          </w:tcPr>
          <w:p w14:paraId="059F8026" w14:textId="77777777" w:rsidR="00C54CD9" w:rsidRDefault="00C54CD9" w:rsidP="002E4BC8">
            <w:pPr>
              <w:keepNext/>
            </w:pPr>
            <w:r>
              <w:t>109</w:t>
            </w:r>
          </w:p>
          <w:p w14:paraId="2462365E" w14:textId="578B4C4F" w:rsidR="00C54CD9" w:rsidRDefault="00C54CD9" w:rsidP="002E4BC8">
            <w:pPr>
              <w:keepNext/>
            </w:pPr>
            <w:r>
              <w:t>Cohort</w:t>
            </w:r>
          </w:p>
        </w:tc>
        <w:tc>
          <w:tcPr>
            <w:tcW w:w="4961" w:type="dxa"/>
          </w:tcPr>
          <w:p w14:paraId="4DACFD11" w14:textId="40E77FAF" w:rsidR="00C54CD9" w:rsidRPr="00C54CD9" w:rsidRDefault="00C54CD9" w:rsidP="00C54CD9">
            <w:r>
              <w:rPr>
                <w:b/>
              </w:rPr>
              <w:t>Aim</w:t>
            </w:r>
            <w:r w:rsidRPr="00C54CD9">
              <w:t>: To examine</w:t>
            </w:r>
            <w:r>
              <w:rPr>
                <w:b/>
              </w:rPr>
              <w:t xml:space="preserve"> </w:t>
            </w:r>
            <w:r w:rsidRPr="00C54CD9">
              <w:t>the body temperature response of healthy pregnant women exercising at moderate</w:t>
            </w:r>
            <w:r>
              <w:t xml:space="preserve"> </w:t>
            </w:r>
            <w:r w:rsidRPr="00C54CD9">
              <w:t>intensity in an aqua-aerobics class where the water temperat</w:t>
            </w:r>
            <w:r>
              <w:t>ure is in the range of 28.8 to 33.4°C</w:t>
            </w:r>
            <w:r w:rsidRPr="00C54CD9">
              <w:t>, as typically found in community swimming pools</w:t>
            </w:r>
            <w:r>
              <w:t>.</w:t>
            </w:r>
          </w:p>
          <w:p w14:paraId="66CC860B" w14:textId="6718F5FC" w:rsidR="00C54CD9" w:rsidRPr="00C54CD9" w:rsidRDefault="00C54CD9" w:rsidP="00C54CD9">
            <w:r>
              <w:rPr>
                <w:b/>
              </w:rPr>
              <w:t xml:space="preserve">Methods: </w:t>
            </w:r>
            <w:r w:rsidRPr="00C54CD9">
              <w:t>Tympanic temperature was</w:t>
            </w:r>
            <w:r>
              <w:t xml:space="preserve"> </w:t>
            </w:r>
            <w:r w:rsidRPr="00C54CD9">
              <w:t>measured at rest pre-immersion (T1), after 35 minutes of moderate-intensity aqua-aerobic exercise (T2),</w:t>
            </w:r>
            <w:r>
              <w:t xml:space="preserve"> </w:t>
            </w:r>
            <w:r w:rsidRPr="00C54CD9">
              <w:t>after a further 10 minutes of light exercise while still in the water (T3) and finally on departure from the</w:t>
            </w:r>
            <w:r>
              <w:t xml:space="preserve"> </w:t>
            </w:r>
            <w:r w:rsidRPr="00C54CD9">
              <w:t xml:space="preserve">facility (T4). </w:t>
            </w:r>
          </w:p>
        </w:tc>
        <w:tc>
          <w:tcPr>
            <w:tcW w:w="4536" w:type="dxa"/>
          </w:tcPr>
          <w:p w14:paraId="4F3F424A" w14:textId="09A1A01C" w:rsidR="00C54CD9" w:rsidRDefault="00C54CD9" w:rsidP="00C54CD9">
            <w:pPr>
              <w:keepNext/>
            </w:pPr>
            <w:r>
              <w:t>Mean body temperature increase 0.16±0.35°C</w:t>
            </w:r>
          </w:p>
        </w:tc>
        <w:tc>
          <w:tcPr>
            <w:tcW w:w="1843" w:type="dxa"/>
          </w:tcPr>
          <w:p w14:paraId="48DEF91C" w14:textId="77777777" w:rsidR="00C54CD9" w:rsidRPr="00AF7D6C" w:rsidRDefault="00C54CD9" w:rsidP="002E4BC8">
            <w:pPr>
              <w:keepNext/>
            </w:pPr>
          </w:p>
        </w:tc>
      </w:tr>
      <w:tr w:rsidR="00C51020" w:rsidRPr="00F2226D" w14:paraId="6C0E47EB" w14:textId="77777777" w:rsidTr="00F62E69">
        <w:trPr>
          <w:cantSplit/>
        </w:trPr>
        <w:tc>
          <w:tcPr>
            <w:tcW w:w="1305" w:type="dxa"/>
          </w:tcPr>
          <w:p w14:paraId="76C7EBCD" w14:textId="2228F580" w:rsidR="00C51020" w:rsidRDefault="00C51020" w:rsidP="003E3405">
            <w:r>
              <w:t>Madsen et al 2007</w:t>
            </w:r>
            <w:r w:rsidR="003E3405">
              <w:fldChar w:fldCharType="begin"/>
            </w:r>
            <w:r w:rsidR="002747EA">
              <w:instrText xml:space="preserve"> ADDIN EN.CITE &lt;EndNote&gt;&lt;Cite&gt;&lt;Author&gt;Madsen&lt;/Author&gt;&lt;Year&gt;2007&lt;/Year&gt;&lt;RecNum&gt;890&lt;/RecNum&gt;&lt;DisplayText&gt;&lt;style face="superscript" font="Trebuchet MS" size="9"&gt;320&lt;/style&gt;&lt;/DisplayText&gt;&lt;record&gt;&lt;rec-number&gt;890&lt;/rec-number&gt;&lt;foreign-keys&gt;&lt;key app="EN" db-id="exvasrfx2dtraoesasxp2szsxa2df502592x" timestamp="1541540794"&gt;890&lt;/key&gt;&lt;key app="ENWeb" db-id=""&gt;0&lt;/key&gt;&lt;/foreign-keys&gt;&lt;ref-type name="Journal Article"&gt;17&lt;/ref-type&gt;&lt;contributors&gt;&lt;authors&gt;&lt;author&gt;Madsen, M.&lt;/author&gt;&lt;author&gt;Jorgensen, T.&lt;/author&gt;&lt;author&gt;Jensen, M. L.&lt;/author&gt;&lt;author&gt;Juhl, M.&lt;/author&gt;&lt;author&gt;Olsen, J.&lt;/author&gt;&lt;author&gt;Andersen, P. K.&lt;/author&gt;&lt;author&gt;Nybo Andersen, A. M.&lt;/author&gt;&lt;/authors&gt;&lt;/contributors&gt;&lt;auth-address&gt;Department of Child Health, National Institute of Public Health, Copenhagen K, Denmark.&lt;/auth-address&gt;&lt;titles&gt;&lt;title&gt;Leisure time physical exercise during pregnancy and the risk of miscarriage: a study within the Danish National Birth Cohort&lt;/title&gt;&lt;secondary-title&gt;BJOG&lt;/secondary-title&gt;&lt;/titles&gt;&lt;periodical&gt;&lt;full-title&gt;BJOG&lt;/full-title&gt;&lt;/periodical&gt;&lt;pages&gt;1419-26&lt;/pages&gt;&lt;volume&gt;114&lt;/volume&gt;&lt;number&gt;11&lt;/number&gt;&lt;edition&gt;2007/09/20&lt;/edition&gt;&lt;keywords&gt;&lt;keyword&gt;Abortion, Spontaneous/epidemiology/*etiology&lt;/keyword&gt;&lt;keyword&gt;Adolescent&lt;/keyword&gt;&lt;keyword&gt;Adult&lt;/keyword&gt;&lt;keyword&gt;Denmark/epidemiology&lt;/keyword&gt;&lt;keyword&gt;Epidemiologic Methods&lt;/keyword&gt;&lt;keyword&gt;Exercise/*physiology&lt;/keyword&gt;&lt;keyword&gt;Female&lt;/keyword&gt;&lt;keyword&gt;Humans&lt;/keyword&gt;&lt;keyword&gt;*Leisure Activities&lt;/keyword&gt;&lt;keyword&gt;Maternal Age&lt;/keyword&gt;&lt;keyword&gt;Pregnancy&lt;/keyword&gt;&lt;keyword&gt;Pregnancy Outcome/epidemiology&lt;/keyword&gt;&lt;/keywords&gt;&lt;dates&gt;&lt;year&gt;2007&lt;/year&gt;&lt;pub-dates&gt;&lt;date&gt;Nov&lt;/date&gt;&lt;/pub-dates&gt;&lt;/dates&gt;&lt;isbn&gt;1471-0528 (Electronic)&amp;#xD;1470-0328 (Linking)&lt;/isbn&gt;&lt;accession-num&gt;17877774&lt;/accession-num&gt;&lt;urls&gt;&lt;related-urls&gt;&lt;url&gt;https://www.ncbi.nlm.nih.gov/pubmed/17877774&lt;/url&gt;&lt;/related-urls&gt;&lt;/urls&gt;&lt;custom2&gt;PMC2366024&lt;/custom2&gt;&lt;electronic-resource-num&gt;10.1111/j.1471-0528.2007.01496.x&lt;/electronic-resource-num&gt;&lt;/record&gt;&lt;/Cite&gt;&lt;/EndNote&gt;</w:instrText>
            </w:r>
            <w:r w:rsidR="003E3405">
              <w:fldChar w:fldCharType="separate"/>
            </w:r>
            <w:r w:rsidR="002747EA" w:rsidRPr="002747EA">
              <w:rPr>
                <w:noProof/>
                <w:vertAlign w:val="superscript"/>
              </w:rPr>
              <w:t>320</w:t>
            </w:r>
            <w:r w:rsidR="003E3405">
              <w:fldChar w:fldCharType="end"/>
            </w:r>
          </w:p>
          <w:p w14:paraId="6EAE1F8A" w14:textId="77777777" w:rsidR="00C51020" w:rsidRPr="00F2226D" w:rsidRDefault="00C51020" w:rsidP="003E3405">
            <w:r>
              <w:t>Denmark</w:t>
            </w:r>
          </w:p>
        </w:tc>
        <w:tc>
          <w:tcPr>
            <w:tcW w:w="1247" w:type="dxa"/>
          </w:tcPr>
          <w:p w14:paraId="28FCEBF1" w14:textId="77777777" w:rsidR="00C51020" w:rsidRPr="00F2226D" w:rsidRDefault="00C51020" w:rsidP="003E3405">
            <w:r>
              <w:t>92,671</w:t>
            </w:r>
          </w:p>
        </w:tc>
        <w:tc>
          <w:tcPr>
            <w:tcW w:w="4961" w:type="dxa"/>
          </w:tcPr>
          <w:p w14:paraId="09F44B4E" w14:textId="77777777" w:rsidR="00C51020" w:rsidRDefault="00C51020" w:rsidP="003E3405">
            <w:r w:rsidRPr="00F2226D">
              <w:rPr>
                <w:b/>
              </w:rPr>
              <w:t>Aim</w:t>
            </w:r>
            <w:r>
              <w:t xml:space="preserve">: </w:t>
            </w:r>
            <w:r w:rsidRPr="00F2226D">
              <w:t>To examine the association between leisure time</w:t>
            </w:r>
            <w:r>
              <w:t xml:space="preserve"> </w:t>
            </w:r>
            <w:r w:rsidRPr="00F2226D">
              <w:t>physical exercise during pregnancy and the risk of miscarriage.</w:t>
            </w:r>
          </w:p>
          <w:p w14:paraId="7BF99F23" w14:textId="77777777" w:rsidR="00C51020" w:rsidRPr="00F2226D" w:rsidRDefault="00C51020" w:rsidP="003E3405">
            <w:r w:rsidRPr="00F2226D">
              <w:rPr>
                <w:b/>
              </w:rPr>
              <w:t>Methods</w:t>
            </w:r>
            <w:r>
              <w:t xml:space="preserve">: </w:t>
            </w:r>
            <w:r w:rsidRPr="00F2226D">
              <w:t>Data on exercise during pregnancy and potential</w:t>
            </w:r>
            <w:r>
              <w:t xml:space="preserve"> </w:t>
            </w:r>
            <w:r w:rsidRPr="00F2226D">
              <w:t>confounders were obtained through computer-assisted telephone</w:t>
            </w:r>
            <w:r>
              <w:t xml:space="preserve"> </w:t>
            </w:r>
            <w:r w:rsidRPr="00F2226D">
              <w:t>interviews either during pregnancy or after an early miscarriage.</w:t>
            </w:r>
            <w:r>
              <w:t xml:space="preserve"> </w:t>
            </w:r>
            <w:r w:rsidRPr="00F2226D">
              <w:t>Outcome of pregnancy was identified by register linkage. Using</w:t>
            </w:r>
            <w:r>
              <w:t xml:space="preserve"> </w:t>
            </w:r>
            <w:r w:rsidRPr="00F2226D">
              <w:t>Cox regression analysis, we estimated the hazard ratio (HR) of</w:t>
            </w:r>
            <w:r>
              <w:t xml:space="preserve"> </w:t>
            </w:r>
            <w:r w:rsidRPr="00F2226D">
              <w:t>miscarriage according to weekly amount of exercise and the type of</w:t>
            </w:r>
            <w:r>
              <w:t xml:space="preserve"> </w:t>
            </w:r>
            <w:r w:rsidRPr="00F2226D">
              <w:t>exercise. The HR was estimated for &lt;11, 11–14, 15–18, and 19–22</w:t>
            </w:r>
            <w:r>
              <w:t xml:space="preserve"> </w:t>
            </w:r>
            <w:r w:rsidRPr="00F2226D">
              <w:t>weeks of gestation, respectively.</w:t>
            </w:r>
          </w:p>
        </w:tc>
        <w:tc>
          <w:tcPr>
            <w:tcW w:w="4536" w:type="dxa"/>
          </w:tcPr>
          <w:p w14:paraId="7E201F1D" w14:textId="77777777" w:rsidR="00C0766C" w:rsidRDefault="00C0766C" w:rsidP="00C0766C">
            <w:r>
              <w:t>Risk of miscarriage with swimming (75-269 minutes/week) compared to no exercise:</w:t>
            </w:r>
          </w:p>
          <w:p w14:paraId="3156A016" w14:textId="77777777" w:rsidR="00C0766C" w:rsidRDefault="00C0766C" w:rsidP="00C0766C">
            <w:pPr>
              <w:pStyle w:val="bullet"/>
            </w:pPr>
            <w:r>
              <w:t>&lt;11 weeks: HR 0.8 (0.5 to 1.3)</w:t>
            </w:r>
          </w:p>
          <w:p w14:paraId="63482BE7" w14:textId="0A0CA193" w:rsidR="00C0766C" w:rsidRDefault="00C0766C" w:rsidP="00C0766C">
            <w:pPr>
              <w:pStyle w:val="bullet"/>
            </w:pPr>
            <w:r>
              <w:t>11-14 weeks: HR 0.8 (0.6 to 1.1)</w:t>
            </w:r>
          </w:p>
          <w:p w14:paraId="62C93ACC" w14:textId="77D75B1F" w:rsidR="00C0766C" w:rsidRDefault="00C0766C" w:rsidP="00C0766C">
            <w:pPr>
              <w:pStyle w:val="bullet"/>
            </w:pPr>
            <w:r>
              <w:t>15-18 weeks: HR 0.7 (0.4 to 1.2)</w:t>
            </w:r>
          </w:p>
          <w:p w14:paraId="1E9B5EA6" w14:textId="7D0C4B06" w:rsidR="00C51020" w:rsidRPr="00A548EE" w:rsidRDefault="00C0766C" w:rsidP="00C0766C">
            <w:pPr>
              <w:pStyle w:val="bullet"/>
            </w:pPr>
            <w:r>
              <w:t>19-22 weeks: HR 0.9 (0.4 to 1.9)</w:t>
            </w:r>
          </w:p>
        </w:tc>
        <w:tc>
          <w:tcPr>
            <w:tcW w:w="1843" w:type="dxa"/>
          </w:tcPr>
          <w:p w14:paraId="498AC758" w14:textId="77777777" w:rsidR="00C51020" w:rsidRPr="00F2226D" w:rsidRDefault="00C51020" w:rsidP="003E3405"/>
        </w:tc>
      </w:tr>
    </w:tbl>
    <w:p w14:paraId="766D7E6F" w14:textId="42EEFED9" w:rsidR="00322A09" w:rsidRPr="00DC4A73" w:rsidRDefault="009C163D" w:rsidP="00BD61CC">
      <w:pPr>
        <w:pStyle w:val="TableName"/>
        <w:ind w:left="1134" w:hanging="1134"/>
      </w:pPr>
      <w:bookmarkStart w:id="165" w:name="_Toc40956668"/>
      <w:r>
        <w:t xml:space="preserve">Q6 </w:t>
      </w:r>
      <w:r w:rsidR="00322A09">
        <w:t>Adverse effects associated with bicycling/horseback riding during pregnancy — observational studies</w:t>
      </w:r>
      <w:bookmarkEnd w:id="165"/>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0: Q6 Adverse effects associated with bicycling/horseback riding during pregnancy — observational studies"/>
      </w:tblPr>
      <w:tblGrid>
        <w:gridCol w:w="1305"/>
        <w:gridCol w:w="1247"/>
        <w:gridCol w:w="4961"/>
        <w:gridCol w:w="4536"/>
        <w:gridCol w:w="1843"/>
      </w:tblGrid>
      <w:tr w:rsidR="00322A09" w:rsidRPr="00F350A6" w14:paraId="692DDC11" w14:textId="77777777" w:rsidTr="003E3405">
        <w:trPr>
          <w:cantSplit/>
          <w:tblHeader/>
        </w:trPr>
        <w:tc>
          <w:tcPr>
            <w:tcW w:w="1305" w:type="dxa"/>
          </w:tcPr>
          <w:p w14:paraId="61984C6D" w14:textId="77777777" w:rsidR="00322A09" w:rsidRPr="00F350A6" w:rsidRDefault="00322A09" w:rsidP="003E3405">
            <w:pPr>
              <w:keepNext/>
              <w:rPr>
                <w:b/>
              </w:rPr>
            </w:pPr>
            <w:r>
              <w:rPr>
                <w:b/>
              </w:rPr>
              <w:t>Study ref</w:t>
            </w:r>
          </w:p>
        </w:tc>
        <w:tc>
          <w:tcPr>
            <w:tcW w:w="1247" w:type="dxa"/>
          </w:tcPr>
          <w:p w14:paraId="2AB8E537" w14:textId="77777777" w:rsidR="00322A09" w:rsidRPr="00F350A6" w:rsidRDefault="00322A09" w:rsidP="003E3405">
            <w:pPr>
              <w:keepNext/>
              <w:rPr>
                <w:b/>
              </w:rPr>
            </w:pPr>
            <w:r>
              <w:rPr>
                <w:b/>
              </w:rPr>
              <w:t>N</w:t>
            </w:r>
          </w:p>
        </w:tc>
        <w:tc>
          <w:tcPr>
            <w:tcW w:w="4961" w:type="dxa"/>
          </w:tcPr>
          <w:p w14:paraId="123E2CE0" w14:textId="77777777" w:rsidR="00322A09" w:rsidRPr="00F350A6" w:rsidRDefault="00322A09" w:rsidP="003E3405">
            <w:pPr>
              <w:keepNext/>
              <w:rPr>
                <w:b/>
              </w:rPr>
            </w:pPr>
            <w:r>
              <w:rPr>
                <w:b/>
              </w:rPr>
              <w:t>Aim/</w:t>
            </w:r>
            <w:r w:rsidRPr="00F350A6">
              <w:rPr>
                <w:b/>
              </w:rPr>
              <w:t>population</w:t>
            </w:r>
            <w:r>
              <w:rPr>
                <w:b/>
              </w:rPr>
              <w:t>/intervention</w:t>
            </w:r>
          </w:p>
        </w:tc>
        <w:tc>
          <w:tcPr>
            <w:tcW w:w="4536" w:type="dxa"/>
          </w:tcPr>
          <w:p w14:paraId="764C4232" w14:textId="77777777" w:rsidR="00322A09" w:rsidRPr="00F350A6" w:rsidRDefault="00322A09" w:rsidP="003E3405">
            <w:pPr>
              <w:keepNext/>
              <w:rPr>
                <w:b/>
              </w:rPr>
            </w:pPr>
            <w:r>
              <w:rPr>
                <w:b/>
              </w:rPr>
              <w:t>Results</w:t>
            </w:r>
          </w:p>
        </w:tc>
        <w:tc>
          <w:tcPr>
            <w:tcW w:w="1843" w:type="dxa"/>
          </w:tcPr>
          <w:p w14:paraId="66947A8A" w14:textId="77777777" w:rsidR="00322A09" w:rsidRPr="00F350A6" w:rsidRDefault="00322A09" w:rsidP="003E3405">
            <w:pPr>
              <w:keepNext/>
              <w:rPr>
                <w:b/>
              </w:rPr>
            </w:pPr>
            <w:r>
              <w:rPr>
                <w:b/>
              </w:rPr>
              <w:t>Comments</w:t>
            </w:r>
          </w:p>
        </w:tc>
      </w:tr>
      <w:tr w:rsidR="00322A09" w:rsidRPr="00322A09" w14:paraId="2A07244D" w14:textId="77777777" w:rsidTr="00322A09">
        <w:trPr>
          <w:cantSplit/>
        </w:trPr>
        <w:tc>
          <w:tcPr>
            <w:tcW w:w="1305" w:type="dxa"/>
          </w:tcPr>
          <w:p w14:paraId="0FCB6F00" w14:textId="444AE60B" w:rsidR="00322A09" w:rsidRDefault="00322A09" w:rsidP="003E3405">
            <w:r>
              <w:t>Madsen et al 2007</w:t>
            </w:r>
            <w:r w:rsidR="003E3405">
              <w:fldChar w:fldCharType="begin"/>
            </w:r>
            <w:r w:rsidR="002747EA">
              <w:instrText xml:space="preserve"> ADDIN EN.CITE &lt;EndNote&gt;&lt;Cite&gt;&lt;Author&gt;Madsen&lt;/Author&gt;&lt;Year&gt;2007&lt;/Year&gt;&lt;RecNum&gt;890&lt;/RecNum&gt;&lt;DisplayText&gt;&lt;style face="superscript" font="Trebuchet MS" size="9"&gt;320&lt;/style&gt;&lt;/DisplayText&gt;&lt;record&gt;&lt;rec-number&gt;890&lt;/rec-number&gt;&lt;foreign-keys&gt;&lt;key app="EN" db-id="exvasrfx2dtraoesasxp2szsxa2df502592x" timestamp="1541540794"&gt;890&lt;/key&gt;&lt;key app="ENWeb" db-id=""&gt;0&lt;/key&gt;&lt;/foreign-keys&gt;&lt;ref-type name="Journal Article"&gt;17&lt;/ref-type&gt;&lt;contributors&gt;&lt;authors&gt;&lt;author&gt;Madsen, M.&lt;/author&gt;&lt;author&gt;Jorgensen, T.&lt;/author&gt;&lt;author&gt;Jensen, M. L.&lt;/author&gt;&lt;author&gt;Juhl, M.&lt;/author&gt;&lt;author&gt;Olsen, J.&lt;/author&gt;&lt;author&gt;Andersen, P. K.&lt;/author&gt;&lt;author&gt;Nybo Andersen, A. M.&lt;/author&gt;&lt;/authors&gt;&lt;/contributors&gt;&lt;auth-address&gt;Department of Child Health, National Institute of Public Health, Copenhagen K, Denmark.&lt;/auth-address&gt;&lt;titles&gt;&lt;title&gt;Leisure time physical exercise during pregnancy and the risk of miscarriage: a study within the Danish National Birth Cohort&lt;/title&gt;&lt;secondary-title&gt;BJOG&lt;/secondary-title&gt;&lt;/titles&gt;&lt;periodical&gt;&lt;full-title&gt;BJOG&lt;/full-title&gt;&lt;/periodical&gt;&lt;pages&gt;1419-26&lt;/pages&gt;&lt;volume&gt;114&lt;/volume&gt;&lt;number&gt;11&lt;/number&gt;&lt;edition&gt;2007/09/20&lt;/edition&gt;&lt;keywords&gt;&lt;keyword&gt;Abortion, Spontaneous/epidemiology/*etiology&lt;/keyword&gt;&lt;keyword&gt;Adolescent&lt;/keyword&gt;&lt;keyword&gt;Adult&lt;/keyword&gt;&lt;keyword&gt;Denmark/epidemiology&lt;/keyword&gt;&lt;keyword&gt;Epidemiologic Methods&lt;/keyword&gt;&lt;keyword&gt;Exercise/*physiology&lt;/keyword&gt;&lt;keyword&gt;Female&lt;/keyword&gt;&lt;keyword&gt;Humans&lt;/keyword&gt;&lt;keyword&gt;*Leisure Activities&lt;/keyword&gt;&lt;keyword&gt;Maternal Age&lt;/keyword&gt;&lt;keyword&gt;Pregnancy&lt;/keyword&gt;&lt;keyword&gt;Pregnancy Outcome/epidemiology&lt;/keyword&gt;&lt;/keywords&gt;&lt;dates&gt;&lt;year&gt;2007&lt;/year&gt;&lt;pub-dates&gt;&lt;date&gt;Nov&lt;/date&gt;&lt;/pub-dates&gt;&lt;/dates&gt;&lt;isbn&gt;1471-0528 (Electronic)&amp;#xD;1470-0328 (Linking)&lt;/isbn&gt;&lt;accession-num&gt;17877774&lt;/accession-num&gt;&lt;urls&gt;&lt;related-urls&gt;&lt;url&gt;https://www.ncbi.nlm.nih.gov/pubmed/17877774&lt;/url&gt;&lt;/related-urls&gt;&lt;/urls&gt;&lt;custom2&gt;PMC2366024&lt;/custom2&gt;&lt;electronic-resource-num&gt;10.1111/j.1471-0528.2007.01496.x&lt;/electronic-resource-num&gt;&lt;/record&gt;&lt;/Cite&gt;&lt;/EndNote&gt;</w:instrText>
            </w:r>
            <w:r w:rsidR="003E3405">
              <w:fldChar w:fldCharType="separate"/>
            </w:r>
            <w:r w:rsidR="002747EA" w:rsidRPr="002747EA">
              <w:rPr>
                <w:noProof/>
                <w:vertAlign w:val="superscript"/>
              </w:rPr>
              <w:t>320</w:t>
            </w:r>
            <w:r w:rsidR="003E3405">
              <w:fldChar w:fldCharType="end"/>
            </w:r>
          </w:p>
          <w:p w14:paraId="5309A5E3" w14:textId="0A6E03A2" w:rsidR="00322A09" w:rsidRPr="00322A09" w:rsidRDefault="00322A09" w:rsidP="003E3405">
            <w:pPr>
              <w:keepNext/>
            </w:pPr>
            <w:r>
              <w:t>Denmark</w:t>
            </w:r>
          </w:p>
        </w:tc>
        <w:tc>
          <w:tcPr>
            <w:tcW w:w="1247" w:type="dxa"/>
          </w:tcPr>
          <w:p w14:paraId="342DCFAE" w14:textId="398E0CE8" w:rsidR="00322A09" w:rsidRPr="00322A09" w:rsidRDefault="00322A09" w:rsidP="003E3405">
            <w:pPr>
              <w:keepNext/>
            </w:pPr>
            <w:r>
              <w:t>92,671</w:t>
            </w:r>
          </w:p>
        </w:tc>
        <w:tc>
          <w:tcPr>
            <w:tcW w:w="4961" w:type="dxa"/>
          </w:tcPr>
          <w:p w14:paraId="1991FCD2" w14:textId="77777777" w:rsidR="00322A09" w:rsidRDefault="00322A09" w:rsidP="003E3405">
            <w:r w:rsidRPr="00F2226D">
              <w:rPr>
                <w:b/>
              </w:rPr>
              <w:t>Aim</w:t>
            </w:r>
            <w:r>
              <w:t xml:space="preserve">: </w:t>
            </w:r>
            <w:r w:rsidRPr="00F2226D">
              <w:t>To examine the association between leisure time</w:t>
            </w:r>
            <w:r>
              <w:t xml:space="preserve"> </w:t>
            </w:r>
            <w:r w:rsidRPr="00F2226D">
              <w:t>physical exercise during pregnancy and the risk of miscarriage.</w:t>
            </w:r>
          </w:p>
          <w:p w14:paraId="5C85145C" w14:textId="109CC448" w:rsidR="00322A09" w:rsidRPr="00322A09" w:rsidRDefault="00322A09" w:rsidP="003E3405">
            <w:pPr>
              <w:keepNext/>
            </w:pPr>
            <w:r w:rsidRPr="00F2226D">
              <w:rPr>
                <w:b/>
              </w:rPr>
              <w:t>Methods</w:t>
            </w:r>
            <w:r>
              <w:t xml:space="preserve">: </w:t>
            </w:r>
            <w:r w:rsidRPr="00F2226D">
              <w:t>Data on exercise during pregnancy and potential</w:t>
            </w:r>
            <w:r>
              <w:t xml:space="preserve"> </w:t>
            </w:r>
            <w:r w:rsidRPr="00F2226D">
              <w:t>confounders were obtained through computer-assisted telephone</w:t>
            </w:r>
            <w:r>
              <w:t xml:space="preserve"> </w:t>
            </w:r>
            <w:r w:rsidRPr="00F2226D">
              <w:t>interviews either during pregnancy or after an early miscarriage.</w:t>
            </w:r>
            <w:r>
              <w:t xml:space="preserve"> </w:t>
            </w:r>
            <w:r w:rsidRPr="00F2226D">
              <w:t>Outcome of pregnancy was identified by register linkage. Using</w:t>
            </w:r>
            <w:r>
              <w:t xml:space="preserve"> </w:t>
            </w:r>
            <w:r w:rsidRPr="00F2226D">
              <w:t>Cox regression analysis, we estimated the hazard ratio (HR) of</w:t>
            </w:r>
            <w:r>
              <w:t xml:space="preserve"> </w:t>
            </w:r>
            <w:r w:rsidRPr="00F2226D">
              <w:t>miscarriage according to weekly amount of exercise and the type of</w:t>
            </w:r>
            <w:r>
              <w:t xml:space="preserve"> </w:t>
            </w:r>
            <w:r w:rsidRPr="00F2226D">
              <w:t>exercise. The HR was estimated for &lt;11, 11–14, 15–18, and 19–22</w:t>
            </w:r>
            <w:r>
              <w:t xml:space="preserve"> </w:t>
            </w:r>
            <w:r w:rsidRPr="00F2226D">
              <w:t>weeks of gestation, respectively.</w:t>
            </w:r>
          </w:p>
        </w:tc>
        <w:tc>
          <w:tcPr>
            <w:tcW w:w="4536" w:type="dxa"/>
          </w:tcPr>
          <w:p w14:paraId="6922B646" w14:textId="5406DAD8" w:rsidR="00322A09" w:rsidRDefault="00322A09" w:rsidP="003E3405">
            <w:r>
              <w:t>Risk of miscarriage with bicycling/horseback riding (75-269 minutes/week) compared to no exercise:</w:t>
            </w:r>
          </w:p>
          <w:p w14:paraId="73B79D81" w14:textId="4573CA00" w:rsidR="00322A09" w:rsidRDefault="00322A09" w:rsidP="003E3405">
            <w:pPr>
              <w:pStyle w:val="bullet"/>
            </w:pPr>
            <w:r>
              <w:t>&lt;11 weeks: HR 1.3 (0.9 to 1.7)</w:t>
            </w:r>
          </w:p>
          <w:p w14:paraId="6622444A" w14:textId="021DB5ED" w:rsidR="00322A09" w:rsidRDefault="00322A09" w:rsidP="003E3405">
            <w:pPr>
              <w:pStyle w:val="bullet"/>
            </w:pPr>
            <w:r>
              <w:t>11-14 weeks: HR 1.7 (1.4 to 2.0)</w:t>
            </w:r>
          </w:p>
          <w:p w14:paraId="4BA2B069" w14:textId="2D86E395" w:rsidR="00322A09" w:rsidRDefault="00322A09" w:rsidP="003E3405">
            <w:pPr>
              <w:pStyle w:val="bullet"/>
            </w:pPr>
            <w:r>
              <w:t>15-18 weeks: HR 1.3 (0.9 to 1.9)</w:t>
            </w:r>
          </w:p>
          <w:p w14:paraId="786AF891" w14:textId="231E0BEE" w:rsidR="00322A09" w:rsidRPr="00322A09" w:rsidRDefault="00322A09" w:rsidP="00322A09">
            <w:pPr>
              <w:pStyle w:val="bullet"/>
            </w:pPr>
            <w:r>
              <w:t>19-22 weeks: HR 0.7 (0.4 to 1.4)</w:t>
            </w:r>
          </w:p>
        </w:tc>
        <w:tc>
          <w:tcPr>
            <w:tcW w:w="1843" w:type="dxa"/>
          </w:tcPr>
          <w:p w14:paraId="3ACEC923" w14:textId="77777777" w:rsidR="00322A09" w:rsidRPr="00322A09" w:rsidRDefault="00322A09" w:rsidP="003E3405">
            <w:pPr>
              <w:keepNext/>
            </w:pPr>
          </w:p>
        </w:tc>
      </w:tr>
    </w:tbl>
    <w:p w14:paraId="6AE37EC4" w14:textId="6CECD56B" w:rsidR="00DF108B" w:rsidRPr="00DC4A73" w:rsidRDefault="009C163D" w:rsidP="00BD61CC">
      <w:pPr>
        <w:pStyle w:val="TableName"/>
        <w:ind w:left="1134" w:hanging="1134"/>
      </w:pPr>
      <w:bookmarkStart w:id="166" w:name="_Toc40956669"/>
      <w:r>
        <w:t xml:space="preserve">Q6 </w:t>
      </w:r>
      <w:r w:rsidR="00DF108B">
        <w:t xml:space="preserve">Adverse effects associated with occupational activities during pregnancy — </w:t>
      </w:r>
      <w:r w:rsidR="00570308">
        <w:t>systematic review</w:t>
      </w:r>
      <w:r w:rsidR="00DF108B">
        <w:t>s</w:t>
      </w:r>
      <w:bookmarkEnd w:id="166"/>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1: Q6 Adverse effects associated with occupational activities during pregnancy — systematic reviews"/>
      </w:tblPr>
      <w:tblGrid>
        <w:gridCol w:w="1305"/>
        <w:gridCol w:w="1247"/>
        <w:gridCol w:w="4961"/>
        <w:gridCol w:w="4536"/>
        <w:gridCol w:w="1843"/>
      </w:tblGrid>
      <w:tr w:rsidR="00DF108B" w:rsidRPr="00F350A6" w14:paraId="32BAFFFF" w14:textId="77777777" w:rsidTr="00452E7C">
        <w:trPr>
          <w:cantSplit/>
          <w:tblHeader/>
        </w:trPr>
        <w:tc>
          <w:tcPr>
            <w:tcW w:w="1305" w:type="dxa"/>
          </w:tcPr>
          <w:p w14:paraId="3483099C" w14:textId="77777777" w:rsidR="00DF108B" w:rsidRPr="00F350A6" w:rsidRDefault="00DF108B" w:rsidP="004A0E1A">
            <w:pPr>
              <w:keepNext/>
              <w:rPr>
                <w:b/>
              </w:rPr>
            </w:pPr>
            <w:r>
              <w:rPr>
                <w:b/>
              </w:rPr>
              <w:t>Study ref</w:t>
            </w:r>
          </w:p>
        </w:tc>
        <w:tc>
          <w:tcPr>
            <w:tcW w:w="1247" w:type="dxa"/>
          </w:tcPr>
          <w:p w14:paraId="2214686F" w14:textId="77777777" w:rsidR="00DF108B" w:rsidRPr="00F350A6" w:rsidRDefault="00DF108B" w:rsidP="004A0E1A">
            <w:pPr>
              <w:keepNext/>
              <w:rPr>
                <w:b/>
              </w:rPr>
            </w:pPr>
            <w:r>
              <w:rPr>
                <w:b/>
              </w:rPr>
              <w:t>N</w:t>
            </w:r>
          </w:p>
        </w:tc>
        <w:tc>
          <w:tcPr>
            <w:tcW w:w="4961" w:type="dxa"/>
          </w:tcPr>
          <w:p w14:paraId="03F73E19" w14:textId="77777777" w:rsidR="00DF108B" w:rsidRPr="00F350A6" w:rsidRDefault="00DF108B" w:rsidP="004A0E1A">
            <w:pPr>
              <w:keepNext/>
              <w:rPr>
                <w:b/>
              </w:rPr>
            </w:pPr>
            <w:r>
              <w:rPr>
                <w:b/>
              </w:rPr>
              <w:t>Aim/</w:t>
            </w:r>
            <w:r w:rsidRPr="00F350A6">
              <w:rPr>
                <w:b/>
              </w:rPr>
              <w:t>population</w:t>
            </w:r>
            <w:r>
              <w:rPr>
                <w:b/>
              </w:rPr>
              <w:t>/intervention</w:t>
            </w:r>
          </w:p>
        </w:tc>
        <w:tc>
          <w:tcPr>
            <w:tcW w:w="4536" w:type="dxa"/>
          </w:tcPr>
          <w:p w14:paraId="3F15FB68" w14:textId="77777777" w:rsidR="00DF108B" w:rsidRPr="00F350A6" w:rsidRDefault="00DF108B" w:rsidP="004A0E1A">
            <w:pPr>
              <w:keepNext/>
              <w:rPr>
                <w:b/>
              </w:rPr>
            </w:pPr>
            <w:r>
              <w:rPr>
                <w:b/>
              </w:rPr>
              <w:t>Results</w:t>
            </w:r>
          </w:p>
        </w:tc>
        <w:tc>
          <w:tcPr>
            <w:tcW w:w="1843" w:type="dxa"/>
          </w:tcPr>
          <w:p w14:paraId="495A92B5" w14:textId="77777777" w:rsidR="00DF108B" w:rsidRPr="00F350A6" w:rsidRDefault="00DF108B" w:rsidP="004A0E1A">
            <w:pPr>
              <w:keepNext/>
              <w:rPr>
                <w:b/>
              </w:rPr>
            </w:pPr>
            <w:r>
              <w:rPr>
                <w:b/>
              </w:rPr>
              <w:t>Comments</w:t>
            </w:r>
          </w:p>
        </w:tc>
      </w:tr>
      <w:tr w:rsidR="00A909CE" w:rsidRPr="00AF7D6C" w14:paraId="1B623048" w14:textId="77777777" w:rsidTr="00452E7C">
        <w:trPr>
          <w:cantSplit/>
        </w:trPr>
        <w:tc>
          <w:tcPr>
            <w:tcW w:w="1305" w:type="dxa"/>
          </w:tcPr>
          <w:p w14:paraId="299ADEBA" w14:textId="05C515B1" w:rsidR="00A909CE" w:rsidRDefault="000B4D19" w:rsidP="002747EA">
            <w:pPr>
              <w:keepNext/>
            </w:pPr>
            <w:r>
              <w:t>Bonde et al 2013</w:t>
            </w:r>
            <w:r w:rsidR="003E3405">
              <w:fldChar w:fldCharType="begin"/>
            </w:r>
            <w:r w:rsidR="002747EA">
              <w:instrText xml:space="preserve"> ADDIN EN.CITE &lt;EndNote&gt;&lt;Cite&gt;&lt;Author&gt;Bonde&lt;/Author&gt;&lt;Year&gt;2013&lt;/Year&gt;&lt;RecNum&gt;839&lt;/RecNum&gt;&lt;DisplayText&gt;&lt;style face="superscript" font="Trebuchet MS" size="9"&gt;326&lt;/style&gt;&lt;/DisplayText&gt;&lt;record&gt;&lt;rec-number&gt;839&lt;/rec-number&gt;&lt;foreign-keys&gt;&lt;key app="EN" db-id="exvasrfx2dtraoesasxp2szsxa2df502592x" timestamp="1541540581"&gt;839&lt;/key&gt;&lt;key app="ENWeb" db-id=""&gt;0&lt;/key&gt;&lt;/foreign-keys&gt;&lt;ref-type name="Journal Article"&gt;17&lt;/ref-type&gt;&lt;contributors&gt;&lt;authors&gt;&lt;author&gt;Bonde, Jens Peter&lt;/author&gt;&lt;author&gt;Jørgensen, Kristian Tore&lt;/author&gt;&lt;author&gt;Bonzini, Matteo&lt;/author&gt;&lt;author&gt;Palmer, Keith T.&lt;/author&gt;&lt;/authors&gt;&lt;/contributors&gt;&lt;titles&gt;&lt;title&gt;Miscarriage and occupational activity: a systematic review and meta-analysis regarding shift work, working hours, lifting, standing, and physical workload&lt;/title&gt;&lt;secondary-title&gt;Scandinavian Journal of Work, Environment &amp;amp; Health&lt;/secondary-title&gt;&lt;/titles&gt;&lt;periodical&gt;&lt;full-title&gt;Scandinavian Journal of Work, Environment &amp;amp; Health&lt;/full-title&gt;&lt;/periodical&gt;&lt;pages&gt;325-334&lt;/pages&gt;&lt;volume&gt;39&lt;/volume&gt;&lt;number&gt;4&lt;/number&gt;&lt;section&gt;325&lt;/section&gt;&lt;dates&gt;&lt;year&gt;2013&lt;/year&gt;&lt;/dates&gt;&lt;isbn&gt;0355-3140&amp;#xD;1795-990X&lt;/isbn&gt;&lt;urls&gt;&lt;/urls&gt;&lt;electronic-resource-num&gt;10.5271/sjweh.3337&lt;/electronic-resource-num&gt;&lt;/record&gt;&lt;/Cite&gt;&lt;/EndNote&gt;</w:instrText>
            </w:r>
            <w:r w:rsidR="003E3405">
              <w:fldChar w:fldCharType="separate"/>
            </w:r>
            <w:r w:rsidR="002747EA" w:rsidRPr="002747EA">
              <w:rPr>
                <w:noProof/>
                <w:vertAlign w:val="superscript"/>
              </w:rPr>
              <w:t>326</w:t>
            </w:r>
            <w:r w:rsidR="003E3405">
              <w:fldChar w:fldCharType="end"/>
            </w:r>
          </w:p>
        </w:tc>
        <w:tc>
          <w:tcPr>
            <w:tcW w:w="1247" w:type="dxa"/>
          </w:tcPr>
          <w:p w14:paraId="355F46FC" w14:textId="19140496" w:rsidR="00A909CE" w:rsidRDefault="000A1A31" w:rsidP="004A0E1A">
            <w:pPr>
              <w:keepNext/>
            </w:pPr>
            <w:r>
              <w:t>30 studies</w:t>
            </w:r>
          </w:p>
        </w:tc>
        <w:tc>
          <w:tcPr>
            <w:tcW w:w="4961" w:type="dxa"/>
          </w:tcPr>
          <w:p w14:paraId="010A90A0" w14:textId="77777777" w:rsidR="00A909CE" w:rsidRDefault="00452E7C" w:rsidP="004A0E1A">
            <w:pPr>
              <w:keepNext/>
              <w:rPr>
                <w:b/>
              </w:rPr>
            </w:pPr>
            <w:r>
              <w:rPr>
                <w:b/>
              </w:rPr>
              <w:t xml:space="preserve">Aim: </w:t>
            </w:r>
            <w:r w:rsidRPr="00452E7C">
              <w:t>To examine the effect of workplace exposures on the risk of miscarriage.</w:t>
            </w:r>
          </w:p>
          <w:p w14:paraId="2332FAFB" w14:textId="71BCDE1A" w:rsidR="00452E7C" w:rsidRPr="00452E7C" w:rsidRDefault="00452E7C" w:rsidP="00452E7C">
            <w:r>
              <w:rPr>
                <w:b/>
              </w:rPr>
              <w:t xml:space="preserve">Methods: </w:t>
            </w:r>
            <w:r w:rsidRPr="00452E7C">
              <w:t>A search in Medline and</w:t>
            </w:r>
            <w:r>
              <w:t xml:space="preserve"> EMBASE 1966–2012 identified 30 </w:t>
            </w:r>
            <w:r w:rsidRPr="00452E7C">
              <w:t>primary papers reporting the relative</w:t>
            </w:r>
            <w:r>
              <w:t xml:space="preserve"> </w:t>
            </w:r>
            <w:r w:rsidRPr="00452E7C">
              <w:t>risk (RR) of miscarriage according to ≥1 of 5 occupational activities of interest. Following an assessment of completeness of reporting, confounding, and bias, ea</w:t>
            </w:r>
            <w:r>
              <w:t>ch risk estimate was characteris</w:t>
            </w:r>
            <w:r w:rsidRPr="00452E7C">
              <w:t>ed as more or less likely to be biased. Studies with equivalent measures of exposure were pooled to obtain a weighted common risk estimate.</w:t>
            </w:r>
            <w:r>
              <w:t xml:space="preserve"> </w:t>
            </w:r>
            <w:r w:rsidRPr="00452E7C">
              <w:t>Sensitivity analyses excluded studies most likely to be biased.</w:t>
            </w:r>
          </w:p>
        </w:tc>
        <w:tc>
          <w:tcPr>
            <w:tcW w:w="4536" w:type="dxa"/>
          </w:tcPr>
          <w:p w14:paraId="58832BAB" w14:textId="77777777" w:rsidR="000A1A31" w:rsidRDefault="000A1A31" w:rsidP="00CF65E2">
            <w:r>
              <w:t>Risk of miscarriage:</w:t>
            </w:r>
          </w:p>
          <w:p w14:paraId="0E7BD8AF" w14:textId="2304DC42" w:rsidR="00A909CE" w:rsidRDefault="000B4D19" w:rsidP="000A1A31">
            <w:pPr>
              <w:pStyle w:val="bullet"/>
            </w:pPr>
            <w:r>
              <w:t>Lifting &gt;100 kg/day</w:t>
            </w:r>
            <w:r w:rsidR="000A1A31">
              <w:t>: RR 1.32 (0.93 to 1.87)</w:t>
            </w:r>
          </w:p>
          <w:p w14:paraId="75D322F5" w14:textId="0C82A58C" w:rsidR="000A1A31" w:rsidRDefault="000A1A31" w:rsidP="000A1A31">
            <w:pPr>
              <w:pStyle w:val="bullet"/>
            </w:pPr>
            <w:r>
              <w:t>Standing &gt;6 hours/day: RR 1.16 (1.01 to 1.32)</w:t>
            </w:r>
          </w:p>
        </w:tc>
        <w:tc>
          <w:tcPr>
            <w:tcW w:w="1843" w:type="dxa"/>
          </w:tcPr>
          <w:p w14:paraId="3FF0FE8D" w14:textId="040DF42E" w:rsidR="00A909CE" w:rsidRPr="00AF7D6C" w:rsidRDefault="000A1A31" w:rsidP="004A0E1A">
            <w:pPr>
              <w:keepNext/>
            </w:pPr>
            <w:r>
              <w:t xml:space="preserve">Includes </w:t>
            </w:r>
            <w:r w:rsidR="00677DB6">
              <w:t>cohort and cross-sectional studies</w:t>
            </w:r>
          </w:p>
        </w:tc>
      </w:tr>
      <w:tr w:rsidR="00AF7D6C" w:rsidRPr="00AF7D6C" w14:paraId="7F1F6E41" w14:textId="77777777" w:rsidTr="00452E7C">
        <w:trPr>
          <w:cantSplit/>
        </w:trPr>
        <w:tc>
          <w:tcPr>
            <w:tcW w:w="1305" w:type="dxa"/>
          </w:tcPr>
          <w:p w14:paraId="424839B7" w14:textId="68A1F769" w:rsidR="00AF7D6C" w:rsidRPr="00AF7D6C" w:rsidRDefault="00395C3C" w:rsidP="002747EA">
            <w:pPr>
              <w:keepNext/>
            </w:pPr>
            <w:r>
              <w:t>van Beukering et al 2014</w:t>
            </w:r>
            <w:r w:rsidR="003E3405">
              <w:fldChar w:fldCharType="begin"/>
            </w:r>
            <w:r w:rsidR="002747EA">
              <w:instrText xml:space="preserve"> ADDIN EN.CITE &lt;EndNote&gt;&lt;Cite&gt;&lt;Author&gt;van Beukering&lt;/Author&gt;&lt;Year&gt;2014&lt;/Year&gt;&lt;RecNum&gt;1183&lt;/RecNum&gt;&lt;DisplayText&gt;&lt;style face="superscript" font="Trebuchet MS" size="9"&gt;331&lt;/style&gt;&lt;/DisplayText&gt;&lt;record&gt;&lt;rec-number&gt;1183&lt;/rec-number&gt;&lt;foreign-keys&gt;&lt;key app="EN" db-id="exvasrfx2dtraoesasxp2szsxa2df502592x" timestamp="1558839958"&gt;1183&lt;/key&gt;&lt;key app="ENWeb" db-id=""&gt;0&lt;/key&gt;&lt;/foreign-keys&gt;&lt;ref-type name="Journal Article"&gt;17&lt;/ref-type&gt;&lt;contributors&gt;&lt;authors&gt;&lt;author&gt;van Beukering, M. D. M.&lt;/author&gt;&lt;author&gt;van Melick, M. J. G. J.&lt;/author&gt;&lt;author&gt;Mol, B. W.&lt;/author&gt;&lt;author&gt;Frings-Dresen, M. H. W.&lt;/author&gt;&lt;author&gt;Hulshof, C. T. J.&lt;/author&gt;&lt;/authors&gt;&lt;/contributors&gt;&lt;titles&gt;&lt;title&gt;Physically demanding work and preterm delivery: a systematic review and meta-analysis&lt;/title&gt;&lt;secondary-title&gt;International Archives of Occupational and Environmental Health&lt;/secondary-title&gt;&lt;/titles&gt;&lt;periodical&gt;&lt;full-title&gt;International Archives of Occupational and Environmental Health&lt;/full-title&gt;&lt;/periodical&gt;&lt;pages&gt;809-834&lt;/pages&gt;&lt;volume&gt;87&lt;/volume&gt;&lt;number&gt;8&lt;/number&gt;&lt;section&gt;809&lt;/section&gt;&lt;dates&gt;&lt;year&gt;2014&lt;/year&gt;&lt;/dates&gt;&lt;isbn&gt;0340-0131&amp;#xD;1432-1246&lt;/isbn&gt;&lt;urls&gt;&lt;/urls&gt;&lt;electronic-resource-num&gt;10.1007/s00420-013-0924-3&lt;/electronic-resource-num&gt;&lt;/record&gt;&lt;/Cite&gt;&lt;/EndNote&gt;</w:instrText>
            </w:r>
            <w:r w:rsidR="003E3405">
              <w:fldChar w:fldCharType="separate"/>
            </w:r>
            <w:r w:rsidR="002747EA" w:rsidRPr="002747EA">
              <w:rPr>
                <w:noProof/>
                <w:vertAlign w:val="superscript"/>
              </w:rPr>
              <w:t>331</w:t>
            </w:r>
            <w:r w:rsidR="003E3405">
              <w:fldChar w:fldCharType="end"/>
            </w:r>
          </w:p>
        </w:tc>
        <w:tc>
          <w:tcPr>
            <w:tcW w:w="1247" w:type="dxa"/>
          </w:tcPr>
          <w:p w14:paraId="67DAF626" w14:textId="5738014E" w:rsidR="00AF7D6C" w:rsidRPr="00AF7D6C" w:rsidRDefault="000178DF" w:rsidP="004A0E1A">
            <w:pPr>
              <w:keepNext/>
            </w:pPr>
            <w:r>
              <w:t>11 cohort studies</w:t>
            </w:r>
          </w:p>
        </w:tc>
        <w:tc>
          <w:tcPr>
            <w:tcW w:w="4961" w:type="dxa"/>
          </w:tcPr>
          <w:p w14:paraId="4B901F11" w14:textId="77777777" w:rsidR="00AF7D6C" w:rsidRDefault="00395C3C" w:rsidP="004A0E1A">
            <w:pPr>
              <w:keepNext/>
            </w:pPr>
            <w:r w:rsidRPr="00EE67EA">
              <w:rPr>
                <w:b/>
              </w:rPr>
              <w:t>Aim</w:t>
            </w:r>
            <w:r>
              <w:t>: To assess the association between physically demanding work and risk of preterm birth.</w:t>
            </w:r>
          </w:p>
          <w:p w14:paraId="5621F362" w14:textId="0BF81CE4" w:rsidR="00395C3C" w:rsidRPr="00AF7D6C" w:rsidRDefault="00F716AA" w:rsidP="00F716AA">
            <w:r w:rsidRPr="00F716AA">
              <w:rPr>
                <w:b/>
              </w:rPr>
              <w:t>Methods</w:t>
            </w:r>
            <w:r>
              <w:t xml:space="preserve">: </w:t>
            </w:r>
            <w:r w:rsidRPr="00F716AA">
              <w:t> A systematic search in Medline, Embase and</w:t>
            </w:r>
            <w:r>
              <w:t xml:space="preserve"> </w:t>
            </w:r>
            <w:r w:rsidRPr="00F716AA">
              <w:t>Nioshtic for the period 1990 to June 2012 for observational</w:t>
            </w:r>
            <w:r>
              <w:t xml:space="preserve"> </w:t>
            </w:r>
            <w:r w:rsidRPr="00F716AA">
              <w:t>and intervention studies on physically demanding work</w:t>
            </w:r>
            <w:r>
              <w:t xml:space="preserve"> </w:t>
            </w:r>
            <w:r w:rsidRPr="00F716AA">
              <w:t>(prolonged standing, heavy lifting, physical exertion,</w:t>
            </w:r>
            <w:r>
              <w:t xml:space="preserve"> </w:t>
            </w:r>
            <w:r w:rsidRPr="00F716AA">
              <w:t>occupational fatigue and demanding posture) and PTD.</w:t>
            </w:r>
            <w:r>
              <w:t xml:space="preserve"> </w:t>
            </w:r>
            <w:r w:rsidRPr="00F716AA">
              <w:t>Selected studies were assessed for their risk of bias and</w:t>
            </w:r>
            <w:r>
              <w:t xml:space="preserve"> </w:t>
            </w:r>
            <w:r w:rsidRPr="00F716AA">
              <w:t xml:space="preserve">pooled using a random effects model. </w:t>
            </w:r>
          </w:p>
        </w:tc>
        <w:tc>
          <w:tcPr>
            <w:tcW w:w="4536" w:type="dxa"/>
          </w:tcPr>
          <w:p w14:paraId="4C500BF7" w14:textId="77777777" w:rsidR="00CF65E2" w:rsidRDefault="00CF65E2" w:rsidP="00CF65E2">
            <w:r>
              <w:t>Association with preterm birth in cohort studies</w:t>
            </w:r>
          </w:p>
          <w:p w14:paraId="0313B9BE" w14:textId="2E01BA5D" w:rsidR="00395C3C" w:rsidRDefault="00395C3C" w:rsidP="00395C3C">
            <w:pPr>
              <w:pStyle w:val="bullet"/>
            </w:pPr>
            <w:r w:rsidRPr="00395C3C">
              <w:t>Standing and</w:t>
            </w:r>
            <w:r>
              <w:t xml:space="preserve"> walking</w:t>
            </w:r>
            <w:r w:rsidRPr="00395C3C">
              <w:t xml:space="preserve"> </w:t>
            </w:r>
            <w:r w:rsidR="007B0219">
              <w:t>&gt;</w:t>
            </w:r>
            <w:r w:rsidRPr="00395C3C">
              <w:t>3 h per</w:t>
            </w:r>
            <w:r>
              <w:t xml:space="preserve"> day: </w:t>
            </w:r>
            <w:r w:rsidRPr="00395C3C">
              <w:t>OR 1.</w:t>
            </w:r>
            <w:r w:rsidR="00CF65E2">
              <w:t>25</w:t>
            </w:r>
            <w:r>
              <w:t xml:space="preserve"> (</w:t>
            </w:r>
            <w:r w:rsidR="00CF65E2">
              <w:t>0.99</w:t>
            </w:r>
            <w:r>
              <w:t xml:space="preserve"> to 1.</w:t>
            </w:r>
            <w:r w:rsidR="00CF65E2">
              <w:t>57</w:t>
            </w:r>
            <w:r>
              <w:t>)</w:t>
            </w:r>
            <w:r w:rsidRPr="00395C3C">
              <w:t xml:space="preserve"> </w:t>
            </w:r>
          </w:p>
          <w:p w14:paraId="4F48BB0F" w14:textId="2E16898D" w:rsidR="00395C3C" w:rsidRDefault="00395C3C" w:rsidP="00395C3C">
            <w:pPr>
              <w:pStyle w:val="bullet"/>
            </w:pPr>
            <w:r>
              <w:t>L</w:t>
            </w:r>
            <w:r w:rsidRPr="00395C3C">
              <w:t>ifting and carrying</w:t>
            </w:r>
            <w:r>
              <w:t xml:space="preserve"> </w:t>
            </w:r>
            <w:r w:rsidR="00ED6ED7">
              <w:t>&gt;</w:t>
            </w:r>
            <w:r>
              <w:t xml:space="preserve">5 kg: </w:t>
            </w:r>
            <w:r w:rsidRPr="00395C3C">
              <w:t>OR</w:t>
            </w:r>
            <w:r>
              <w:t xml:space="preserve"> 1.</w:t>
            </w:r>
            <w:r w:rsidR="00ED6ED7">
              <w:t>24</w:t>
            </w:r>
            <w:r>
              <w:t xml:space="preserve"> (</w:t>
            </w:r>
            <w:r w:rsidR="00ED6ED7">
              <w:t>1.00</w:t>
            </w:r>
            <w:r>
              <w:t xml:space="preserve"> to 1.</w:t>
            </w:r>
            <w:r w:rsidR="00ED6ED7">
              <w:t>54</w:t>
            </w:r>
            <w:r>
              <w:t>)</w:t>
            </w:r>
          </w:p>
          <w:p w14:paraId="4F4CB9AE" w14:textId="77777777" w:rsidR="00AF7D6C" w:rsidRDefault="00395C3C" w:rsidP="00EE67EA">
            <w:pPr>
              <w:pStyle w:val="bullet"/>
            </w:pPr>
            <w:r>
              <w:t>L</w:t>
            </w:r>
            <w:r w:rsidRPr="00395C3C">
              <w:t xml:space="preserve">ifting and carrying </w:t>
            </w:r>
            <w:r w:rsidR="00ED6ED7">
              <w:t xml:space="preserve">&gt;5 kg </w:t>
            </w:r>
            <w:r w:rsidRPr="00395C3C">
              <w:t>in the third</w:t>
            </w:r>
            <w:r>
              <w:t xml:space="preserve"> </w:t>
            </w:r>
            <w:r w:rsidRPr="00395C3C">
              <w:t>trimester</w:t>
            </w:r>
            <w:r>
              <w:t xml:space="preserve">: </w:t>
            </w:r>
            <w:r w:rsidRPr="00395C3C">
              <w:t>OR</w:t>
            </w:r>
            <w:r>
              <w:t> </w:t>
            </w:r>
            <w:r w:rsidRPr="00395C3C">
              <w:t>1.3</w:t>
            </w:r>
            <w:r w:rsidR="00EE67EA">
              <w:t>0</w:t>
            </w:r>
            <w:r w:rsidRPr="00395C3C">
              <w:t xml:space="preserve"> (1.01</w:t>
            </w:r>
            <w:r>
              <w:t xml:space="preserve"> to </w:t>
            </w:r>
            <w:r w:rsidRPr="00395C3C">
              <w:t>1.</w:t>
            </w:r>
            <w:r w:rsidR="00EE67EA">
              <w:t>67)</w:t>
            </w:r>
          </w:p>
          <w:p w14:paraId="6F82DFCC" w14:textId="4D7C2665" w:rsidR="00DB06B0" w:rsidRPr="00AF7D6C" w:rsidRDefault="00DB06B0" w:rsidP="00EE67EA">
            <w:pPr>
              <w:pStyle w:val="bullet"/>
            </w:pPr>
            <w:r>
              <w:t>Physical effort or exertion: OR 1.30 (1.05 to 1.61)</w:t>
            </w:r>
          </w:p>
        </w:tc>
        <w:tc>
          <w:tcPr>
            <w:tcW w:w="1843" w:type="dxa"/>
          </w:tcPr>
          <w:p w14:paraId="0AD09637" w14:textId="77777777" w:rsidR="00AF7D6C" w:rsidRPr="00AF7D6C" w:rsidRDefault="00AF7D6C" w:rsidP="004A0E1A">
            <w:pPr>
              <w:keepNext/>
            </w:pPr>
          </w:p>
        </w:tc>
      </w:tr>
    </w:tbl>
    <w:p w14:paraId="4946A0B2" w14:textId="062B2ECC" w:rsidR="00570308" w:rsidRPr="00DC4A73" w:rsidRDefault="009C163D" w:rsidP="00BD61CC">
      <w:pPr>
        <w:pStyle w:val="TableName"/>
        <w:pageBreakBefore/>
        <w:ind w:left="1134" w:hanging="1134"/>
      </w:pPr>
      <w:bookmarkStart w:id="167" w:name="_Toc40956670"/>
      <w:r>
        <w:t xml:space="preserve">Q6 </w:t>
      </w:r>
      <w:r w:rsidR="00570308">
        <w:t xml:space="preserve">Adverse effects associated with occupational activities during pregnancy — </w:t>
      </w:r>
      <w:r w:rsidR="002C2569">
        <w:t xml:space="preserve">observational </w:t>
      </w:r>
      <w:r w:rsidR="00395C3C">
        <w:t>studies</w:t>
      </w:r>
      <w:bookmarkEnd w:id="167"/>
    </w:p>
    <w:tbl>
      <w:tblPr>
        <w:tblStyle w:val="TableGrid"/>
        <w:tblW w:w="138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2: Q6 Adverse effects associated with occupational activities during pregnancy — observational studies"/>
      </w:tblPr>
      <w:tblGrid>
        <w:gridCol w:w="1305"/>
        <w:gridCol w:w="1247"/>
        <w:gridCol w:w="4961"/>
        <w:gridCol w:w="4536"/>
        <w:gridCol w:w="1843"/>
      </w:tblGrid>
      <w:tr w:rsidR="00570308" w:rsidRPr="00F350A6" w14:paraId="0C3B1ECE" w14:textId="77777777" w:rsidTr="00E01A84">
        <w:trPr>
          <w:cantSplit/>
          <w:tblHeader/>
        </w:trPr>
        <w:tc>
          <w:tcPr>
            <w:tcW w:w="1305" w:type="dxa"/>
          </w:tcPr>
          <w:p w14:paraId="358FB09F" w14:textId="77777777" w:rsidR="00570308" w:rsidRPr="00F350A6" w:rsidRDefault="00570308" w:rsidP="00053FBC">
            <w:pPr>
              <w:keepNext/>
              <w:rPr>
                <w:b/>
              </w:rPr>
            </w:pPr>
            <w:r>
              <w:rPr>
                <w:b/>
              </w:rPr>
              <w:t>Study ref</w:t>
            </w:r>
          </w:p>
        </w:tc>
        <w:tc>
          <w:tcPr>
            <w:tcW w:w="1247" w:type="dxa"/>
          </w:tcPr>
          <w:p w14:paraId="64778313" w14:textId="77777777" w:rsidR="00570308" w:rsidRPr="00F350A6" w:rsidRDefault="00570308" w:rsidP="00053FBC">
            <w:pPr>
              <w:keepNext/>
              <w:rPr>
                <w:b/>
              </w:rPr>
            </w:pPr>
            <w:r>
              <w:rPr>
                <w:b/>
              </w:rPr>
              <w:t>N</w:t>
            </w:r>
          </w:p>
        </w:tc>
        <w:tc>
          <w:tcPr>
            <w:tcW w:w="4961" w:type="dxa"/>
          </w:tcPr>
          <w:p w14:paraId="57EC5C66" w14:textId="3EBD4C86" w:rsidR="00570308" w:rsidRPr="00F350A6" w:rsidRDefault="00570308" w:rsidP="00555B1B">
            <w:pPr>
              <w:keepNext/>
              <w:rPr>
                <w:b/>
              </w:rPr>
            </w:pPr>
            <w:r>
              <w:rPr>
                <w:b/>
              </w:rPr>
              <w:t>Aim/</w:t>
            </w:r>
            <w:r w:rsidR="00555B1B">
              <w:rPr>
                <w:b/>
              </w:rPr>
              <w:t>methods</w:t>
            </w:r>
          </w:p>
        </w:tc>
        <w:tc>
          <w:tcPr>
            <w:tcW w:w="4536" w:type="dxa"/>
          </w:tcPr>
          <w:p w14:paraId="21A18F7F" w14:textId="77777777" w:rsidR="00570308" w:rsidRPr="00F350A6" w:rsidRDefault="00570308" w:rsidP="00053FBC">
            <w:pPr>
              <w:keepNext/>
              <w:rPr>
                <w:b/>
              </w:rPr>
            </w:pPr>
            <w:r>
              <w:rPr>
                <w:b/>
              </w:rPr>
              <w:t>Results</w:t>
            </w:r>
          </w:p>
        </w:tc>
        <w:tc>
          <w:tcPr>
            <w:tcW w:w="1843" w:type="dxa"/>
          </w:tcPr>
          <w:p w14:paraId="4E0AB7D4" w14:textId="77777777" w:rsidR="00570308" w:rsidRPr="00F350A6" w:rsidRDefault="00570308" w:rsidP="00053FBC">
            <w:pPr>
              <w:keepNext/>
              <w:rPr>
                <w:b/>
              </w:rPr>
            </w:pPr>
            <w:r>
              <w:rPr>
                <w:b/>
              </w:rPr>
              <w:t>Comments</w:t>
            </w:r>
          </w:p>
        </w:tc>
      </w:tr>
      <w:tr w:rsidR="003060CB" w:rsidRPr="00AF7D6C" w14:paraId="33719C36" w14:textId="77777777" w:rsidTr="00A2497E">
        <w:trPr>
          <w:cantSplit/>
        </w:trPr>
        <w:tc>
          <w:tcPr>
            <w:tcW w:w="1305" w:type="dxa"/>
          </w:tcPr>
          <w:p w14:paraId="6E034E5B" w14:textId="3C8666F4" w:rsidR="003060CB" w:rsidRDefault="003060CB" w:rsidP="00A2497E">
            <w:pPr>
              <w:keepNext/>
            </w:pPr>
            <w:r>
              <w:t>Agopian et al 2017</w:t>
            </w:r>
            <w:r w:rsidR="00283324">
              <w:fldChar w:fldCharType="begin"/>
            </w:r>
            <w:r w:rsidR="002747EA">
              <w:instrText xml:space="preserve"> ADDIN EN.CITE &lt;EndNote&gt;&lt;Cite&gt;&lt;Author&gt;Agopian&lt;/Author&gt;&lt;Year&gt;2017&lt;/Year&gt;&lt;RecNum&gt;774&lt;/RecNum&gt;&lt;DisplayText&gt;&lt;style face="superscript" font="Trebuchet MS" size="9"&gt;343&lt;/style&gt;&lt;/DisplayText&gt;&lt;record&gt;&lt;rec-number&gt;774&lt;/rec-number&gt;&lt;foreign-keys&gt;&lt;key app="EN" db-id="exvasrfx2dtraoesasxp2szsxa2df502592x" timestamp="1541540359"&gt;774&lt;/key&gt;&lt;key app="ENWeb" db-id=""&gt;0&lt;/key&gt;&lt;/foreign-keys&gt;&lt;ref-type name="Journal Article"&gt;17&lt;/ref-type&gt;&lt;contributors&gt;&lt;authors&gt;&lt;author&gt;Agopian, A. J.&lt;/author&gt;&lt;author&gt;Kim, Jihye&lt;/author&gt;&lt;author&gt;Langlois, Peter H.&lt;/author&gt;&lt;author&gt;Lee, Laura&lt;/author&gt;&lt;author&gt;Whitehead, Lawrence W.&lt;/author&gt;&lt;author&gt;Symanski, Elaine&lt;/author&gt;&lt;author&gt;Herdt, Michele L.&lt;/author&gt;&lt;author&gt;Delclos, George L.&lt;/author&gt;&lt;/authors&gt;&lt;/contributors&gt;&lt;titles&gt;&lt;title&gt;Maternal occupational physical activity and risk for orofacial clefts&lt;/title&gt;&lt;secondary-title&gt;Am J Industrial Med&lt;/secondary-title&gt;&lt;/titles&gt;&lt;periodical&gt;&lt;full-title&gt;Am J Industrial Med&lt;/full-title&gt;&lt;/periodical&gt;&lt;pages&gt;627-634&lt;/pages&gt;&lt;volume&gt;60&lt;/volume&gt;&lt;number&gt;7&lt;/number&gt;&lt;section&gt;627&lt;/section&gt;&lt;dates&gt;&lt;year&gt;2017&lt;/year&gt;&lt;/dates&gt;&lt;isbn&gt;02713586&lt;/isbn&gt;&lt;urls&gt;&lt;/urls&gt;&lt;electronic-resource-num&gt;10.1002/ajim.22731&lt;/electronic-resource-num&gt;&lt;/record&gt;&lt;/Cite&gt;&lt;/EndNote&gt;</w:instrText>
            </w:r>
            <w:r w:rsidR="00283324">
              <w:fldChar w:fldCharType="separate"/>
            </w:r>
            <w:r w:rsidR="002747EA" w:rsidRPr="002747EA">
              <w:rPr>
                <w:noProof/>
                <w:vertAlign w:val="superscript"/>
              </w:rPr>
              <w:t>343</w:t>
            </w:r>
            <w:r w:rsidR="00283324">
              <w:fldChar w:fldCharType="end"/>
            </w:r>
          </w:p>
          <w:p w14:paraId="0FE1E2B6" w14:textId="77777777" w:rsidR="003060CB" w:rsidRDefault="003060CB" w:rsidP="00A2497E">
            <w:pPr>
              <w:keepNext/>
            </w:pPr>
            <w:r>
              <w:t>United States</w:t>
            </w:r>
          </w:p>
        </w:tc>
        <w:tc>
          <w:tcPr>
            <w:tcW w:w="1247" w:type="dxa"/>
          </w:tcPr>
          <w:p w14:paraId="67C31816" w14:textId="77777777" w:rsidR="003060CB" w:rsidRDefault="003060CB" w:rsidP="00A2497E">
            <w:pPr>
              <w:keepNext/>
            </w:pPr>
            <w:r>
              <w:t>887 cleft lip and palate</w:t>
            </w:r>
          </w:p>
          <w:p w14:paraId="427FF822" w14:textId="77777777" w:rsidR="003060CB" w:rsidRDefault="003060CB" w:rsidP="00A2497E">
            <w:pPr>
              <w:keepNext/>
            </w:pPr>
            <w:r>
              <w:t>436 cleft palate</w:t>
            </w:r>
          </w:p>
          <w:p w14:paraId="425EF8A8" w14:textId="77777777" w:rsidR="003060CB" w:rsidRDefault="003060CB" w:rsidP="00A2497E">
            <w:pPr>
              <w:keepNext/>
            </w:pPr>
            <w:r>
              <w:t>1,932 controls</w:t>
            </w:r>
          </w:p>
          <w:p w14:paraId="507629BC" w14:textId="77777777" w:rsidR="003060CB" w:rsidRDefault="003060CB" w:rsidP="00A2497E">
            <w:pPr>
              <w:keepNext/>
            </w:pPr>
            <w:r>
              <w:t>Case-control</w:t>
            </w:r>
          </w:p>
        </w:tc>
        <w:tc>
          <w:tcPr>
            <w:tcW w:w="4961" w:type="dxa"/>
          </w:tcPr>
          <w:p w14:paraId="602BEFEE" w14:textId="77777777" w:rsidR="003060CB" w:rsidRPr="00642F2F" w:rsidRDefault="003060CB" w:rsidP="00642F2F">
            <w:r w:rsidRPr="00642F2F">
              <w:rPr>
                <w:b/>
              </w:rPr>
              <w:t>Aim</w:t>
            </w:r>
            <w:r>
              <w:t xml:space="preserve">: </w:t>
            </w:r>
            <w:r w:rsidRPr="00642F2F">
              <w:t>To perform a case-control study of maternal occupational physical activity and risk</w:t>
            </w:r>
            <w:r>
              <w:t xml:space="preserve"> </w:t>
            </w:r>
            <w:r w:rsidRPr="00642F2F">
              <w:t>for orofacial clefts in Texas during 1999-2009.</w:t>
            </w:r>
          </w:p>
          <w:p w14:paraId="10A0671D" w14:textId="77777777" w:rsidR="003060CB" w:rsidRPr="00642F2F" w:rsidRDefault="003060CB" w:rsidP="002D0E62">
            <w:r w:rsidRPr="00642F2F">
              <w:rPr>
                <w:b/>
              </w:rPr>
              <w:t xml:space="preserve">Methods: </w:t>
            </w:r>
            <w:r w:rsidRPr="00642F2F">
              <w:t>We</w:t>
            </w:r>
            <w:r>
              <w:t xml:space="preserve"> </w:t>
            </w:r>
            <w:r w:rsidRPr="00642F2F">
              <w:t>used logistic regression to assess measures of physical activity estimated from a</w:t>
            </w:r>
            <w:r>
              <w:t xml:space="preserve"> </w:t>
            </w:r>
            <w:r w:rsidRPr="00642F2F">
              <w:t>job exposure matrix, using the maternal occupation reported on the birth certificate.</w:t>
            </w:r>
          </w:p>
        </w:tc>
        <w:tc>
          <w:tcPr>
            <w:tcW w:w="4536" w:type="dxa"/>
          </w:tcPr>
          <w:p w14:paraId="74A07B5B" w14:textId="77777777" w:rsidR="003060CB" w:rsidRDefault="003060CB" w:rsidP="00D857B7">
            <w:r>
              <w:t>Cleft lip and palate — longest vs shortest time performing:</w:t>
            </w:r>
          </w:p>
          <w:p w14:paraId="4BA93843" w14:textId="77777777" w:rsidR="003060CB" w:rsidRDefault="003060CB" w:rsidP="004C402A">
            <w:pPr>
              <w:pStyle w:val="bullet"/>
            </w:pPr>
            <w:r>
              <w:t>Bending or twisting: OR 1.22 (0.97 to 1.53)</w:t>
            </w:r>
          </w:p>
          <w:p w14:paraId="35E032E4" w14:textId="77777777" w:rsidR="003060CB" w:rsidRDefault="003060CB" w:rsidP="004C402A">
            <w:pPr>
              <w:pStyle w:val="bullet"/>
            </w:pPr>
            <w:r>
              <w:t>Climbing: OR 0.91 (0.71 to 1.15)</w:t>
            </w:r>
          </w:p>
          <w:p w14:paraId="750D126B" w14:textId="77777777" w:rsidR="003060CB" w:rsidRDefault="003060CB" w:rsidP="004C402A">
            <w:pPr>
              <w:pStyle w:val="bullet"/>
            </w:pPr>
            <w:r>
              <w:t>Keeping or regaining balance: OR 1.32 (1.03 to 1.68)</w:t>
            </w:r>
          </w:p>
          <w:p w14:paraId="1188788D" w14:textId="77777777" w:rsidR="003060CB" w:rsidRDefault="003060CB" w:rsidP="004C402A">
            <w:pPr>
              <w:pStyle w:val="bullet"/>
            </w:pPr>
            <w:r>
              <w:t>Standing: OR 1.33 (1.04 to 1.69)</w:t>
            </w:r>
          </w:p>
          <w:p w14:paraId="3B857F6E" w14:textId="77777777" w:rsidR="003060CB" w:rsidRDefault="003060CB" w:rsidP="004C402A">
            <w:r>
              <w:t>Cleft palate — longest vs shortest time performing:</w:t>
            </w:r>
          </w:p>
          <w:p w14:paraId="0B76805F" w14:textId="77777777" w:rsidR="003060CB" w:rsidRDefault="003060CB" w:rsidP="004C402A">
            <w:pPr>
              <w:pStyle w:val="bullet"/>
            </w:pPr>
            <w:r>
              <w:t>Bending or twisting: OR 0.93 (0.69 to 1.27)</w:t>
            </w:r>
          </w:p>
          <w:p w14:paraId="5C277515" w14:textId="77777777" w:rsidR="003060CB" w:rsidRDefault="003060CB" w:rsidP="004C402A">
            <w:pPr>
              <w:pStyle w:val="bullet"/>
            </w:pPr>
            <w:r>
              <w:t>Climbing: OR 1.04 (0.76 to 1.43)</w:t>
            </w:r>
          </w:p>
          <w:p w14:paraId="70C385C9" w14:textId="77777777" w:rsidR="003060CB" w:rsidRDefault="003060CB" w:rsidP="004C402A">
            <w:pPr>
              <w:pStyle w:val="bullet"/>
            </w:pPr>
            <w:r>
              <w:t>Keeping or regaining balance: OR 1.10 (0.80 to 1.52)</w:t>
            </w:r>
          </w:p>
          <w:p w14:paraId="17F06416" w14:textId="77777777" w:rsidR="003060CB" w:rsidRPr="00D857B7" w:rsidRDefault="003060CB" w:rsidP="004C402A">
            <w:pPr>
              <w:pStyle w:val="bullet"/>
            </w:pPr>
            <w:r>
              <w:t>Standing: OR 1.29 (0.95 to 1.77)</w:t>
            </w:r>
          </w:p>
        </w:tc>
        <w:tc>
          <w:tcPr>
            <w:tcW w:w="1843" w:type="dxa"/>
          </w:tcPr>
          <w:p w14:paraId="7C3C6167" w14:textId="77777777" w:rsidR="003060CB" w:rsidRPr="00AF7D6C" w:rsidRDefault="003060CB" w:rsidP="00A2497E">
            <w:pPr>
              <w:keepNext/>
            </w:pPr>
          </w:p>
        </w:tc>
      </w:tr>
      <w:tr w:rsidR="003060CB" w:rsidRPr="00AF7D6C" w14:paraId="0239B814" w14:textId="77777777" w:rsidTr="00A2497E">
        <w:trPr>
          <w:cantSplit/>
        </w:trPr>
        <w:tc>
          <w:tcPr>
            <w:tcW w:w="1305" w:type="dxa"/>
          </w:tcPr>
          <w:p w14:paraId="28829DC2" w14:textId="0746949F" w:rsidR="003060CB" w:rsidRDefault="003060CB" w:rsidP="00A2497E">
            <w:pPr>
              <w:keepNext/>
            </w:pPr>
            <w:r>
              <w:t>Bonzini et al 2009</w:t>
            </w:r>
            <w:r w:rsidR="00283324">
              <w:fldChar w:fldCharType="begin">
                <w:fldData xml:space="preserve">PEVuZE5vdGU+PENpdGU+PEF1dGhvcj5Cb256aW5pPC9BdXRob3I+PFllYXI+MjAwOTwvWWVhcj48
UmVjTnVtPjc4OTwvUmVjTnVtPjxEaXNwbGF5VGV4dD48c3R5bGUgZmFjZT0ic3VwZXJzY3JpcHQi
IGZvbnQ9IlRyZWJ1Y2hldCBNUyIgc2l6ZT0iOSI+MzMzPC9zdHlsZT48L0Rpc3BsYXlUZXh0Pjxy
ZWNvcmQ+PHJlYy1udW1iZXI+Nzg5PC9yZWMtbnVtYmVyPjxmb3JlaWduLWtleXM+PGtleSBhcHA9
IkVOIiBkYi1pZD0iZXh2YXNyZngyZHRyYW9lc2FzeHAyc3pzeGEyZGY1MDI1OTJ4IiB0aW1lc3Rh
bXA9IjE1NDE1NDA0MDciPjc4OTwva2V5PjxrZXkgYXBwPSJFTldlYiIgZGItaWQ9IiI+MDwva2V5
PjwvZm9yZWlnbi1rZXlzPjxyZWYtdHlwZSBuYW1lPSJKb3VybmFsIEFydGljbGUiPjE3PC9yZWYt
dHlwZT48Y29udHJpYnV0b3JzPjxhdXRob3JzPjxhdXRob3I+Qm9uemluaSwgTS48L2F1dGhvcj48
YXV0aG9yPkNvZ2dvbiwgRC48L2F1dGhvcj48YXV0aG9yPkdvZGZyZXksIEsuPC9hdXRob3I+PGF1
dGhvcj5JbnNraXAsIEguPC9hdXRob3I+PGF1dGhvcj5Dcm96aWVyLCBTLjwvYXV0aG9yPjxhdXRo
b3I+UGFsbWVyLCBLLiBULjwvYXV0aG9yPjwvYXV0aG9ycz48L2NvbnRyaWJ1dG9ycz48YXV0aC1h
ZGRyZXNzPkRlcGFydG1lbnQgb2YgT2NjdXBhdGlvbmFsIEhlYWx0aCwgVW5pdmVyc2l0eSBvZiBN
aWxhbiwgRm91bmRhdGlvbiBJUkNDUyBPc3BlZGFsZSwgTWFnZ2lvcmUsIE1pbGFuLCBJdGFseS48
L2F1dGgtYWRkcmVzcz48dGl0bGVzPjx0aXRsZT5PY2N1cGF0aW9uYWwgcGh5c2ljYWwgYWN0aXZp
dGllcywgd29ya2luZyBob3VycyBhbmQgb3V0Y29tZSBvZiBwcmVnbmFuY3k6IGZpbmRpbmdzIGZy
b20gdGhlIFNvdXRoYW1wdG9uIFdvbWVuJmFwb3M7cyBTdXJ2ZXk8L3RpdGxlPjxzZWNvbmRhcnkt
dGl0bGU+T2NjdXAgRW52aXJvbiBNZWQ8L3NlY29uZGFyeS10aXRsZT48L3RpdGxlcz48cGVyaW9k
aWNhbD48ZnVsbC10aXRsZT5PY2N1cCBFbnZpcm9uIE1lZDwvZnVsbC10aXRsZT48L3BlcmlvZGlj
YWw+PHBhZ2VzPjY4NS05MDwvcGFnZXM+PHZvbHVtZT42Njwvdm9sdW1lPjxudW1iZXI+MTA8L251
bWJlcj48ZWRpdGlvbj4yMDA5LzA5LzIzPC9lZGl0aW9uPjxrZXl3b3Jkcz48a2V5d29yZD5BYmRv
bWVuL2FuYXRvbXkgJmFtcDsgaGlzdG9sb2d5PC9rZXl3b3JkPjxrZXl3b3JkPkFkdWx0PC9rZXl3
b3JkPjxrZXl3b3JkPkFudGhyb3BvbWV0cnkvbWV0aG9kczwva2V5d29yZD48a2V5d29yZD5DZXBo
YWxvbWV0cnkvbWV0aG9kczwva2V5d29yZD48a2V5d29yZD5FbmdsYW5kL2VwaWRlbWlvbG9neTwv
a2V5d29yZD48a2V5d29yZD5FcGlkZW1pb2xvZ2ljIE1ldGhvZHM8L2tleXdvcmQ+PGtleXdvcmQ+
RmVtYWxlPC9rZXl3b3JkPjxrZXl3b3JkPkh1bWFuczwva2V5d29yZD48a2V5d29yZD5JbmZhbnQs
IE5ld2Jvcm48L2tleXdvcmQ+PGtleXdvcmQ+SW5mYW50LCBQcmVtYXR1cmU8L2tleXdvcmQ+PGtl
eXdvcmQ+SW5mYW50LCBTbWFsbCBmb3IgR2VzdGF0aW9uYWwgQWdlPC9rZXl3b3JkPjxrZXl3b3Jk
Pk1vdG9yIEFjdGl2aXR5LypwaHlzaW9sb2d5PC9rZXl3b3JkPjxrZXl3b3JkPk9ic3RldHJpYyBM
YWJvciwgUHJlbWF0dXJlL2VwaWRlbWlvbG9neS9ldGlvbG9neTwva2V5d29yZD48a2V5d29yZD5P
Y2N1cGF0aW9uYWwgRXhwb3N1cmUvYWR2ZXJzZSBlZmZlY3RzPC9rZXl3b3JkPjxrZXl3b3JkPipP
Y2N1cGF0aW9uYWwgSGVhbHRoPC9rZXl3b3JkPjxrZXl3b3JkPlBvc3R1cmU8L2tleXdvcmQ+PGtl
eXdvcmQ+UHJlZ25hbmN5PC9rZXl3b3JkPjxrZXl3b3JkPipQcmVnbmFuY3kgT3V0Y29tZTwva2V5
d29yZD48a2V5d29yZD5Xb3JrbG9hZC8qc3RhdGlzdGljcyAmYW1wOyBudW1lcmljYWwgZGF0YTwv
a2V5d29yZD48a2V5d29yZD5Zb3VuZyBBZHVsdDwva2V5d29yZD48L2tleXdvcmRzPjxkYXRlcz48
eWVhcj4yMDA5PC95ZWFyPjxwdWItZGF0ZXM+PGRhdGU+T2N0PC9kYXRlPjwvcHViLWRhdGVzPjwv
ZGF0ZXM+PGlzYm4+MTQ3MC03OTI2IChFbGVjdHJvbmljKSYjeEQ7MTM1MS0wNzExIChMaW5raW5n
KTwvaXNibj48YWNjZXNzaW9uLW51bT4xOTc3MDM1NTwvYWNjZXNzaW9uLW51bT48dXJscz48cmVs
YXRlZC11cmxzPjx1cmw+aHR0cHM6Ly93d3cubmNiaS5ubG0ubmloLmdvdi9wdWJtZWQvMTk3NzAz
NTU8L3VybD48L3JlbGF0ZWQtdXJscz48L3VybHM+PGN1c3RvbTI+UE1DMzA4ODg5OTwvY3VzdG9t
Mj48ZWxlY3Ryb25pYy1yZXNvdXJjZS1udW0+MTAuMTEzNi9vZW0uMjAwOC4wNDM5MzU8L2VsZWN0
cm9uaWMtcmVzb3VyY2UtbnVtPjwvcmVjb3JkPjwvQ2l0ZT48L0VuZE5vdGU+AG==
</w:fldData>
              </w:fldChar>
            </w:r>
            <w:r w:rsidR="002747EA">
              <w:instrText xml:space="preserve"> ADDIN EN.CITE </w:instrText>
            </w:r>
            <w:r w:rsidR="002747EA">
              <w:fldChar w:fldCharType="begin">
                <w:fldData xml:space="preserve">PEVuZE5vdGU+PENpdGU+PEF1dGhvcj5Cb256aW5pPC9BdXRob3I+PFllYXI+MjAwOTwvWWVhcj48
UmVjTnVtPjc4OTwvUmVjTnVtPjxEaXNwbGF5VGV4dD48c3R5bGUgZmFjZT0ic3VwZXJzY3JpcHQi
IGZvbnQ9IlRyZWJ1Y2hldCBNUyIgc2l6ZT0iOSI+MzMzPC9zdHlsZT48L0Rpc3BsYXlUZXh0Pjxy
ZWNvcmQ+PHJlYy1udW1iZXI+Nzg5PC9yZWMtbnVtYmVyPjxmb3JlaWduLWtleXM+PGtleSBhcHA9
IkVOIiBkYi1pZD0iZXh2YXNyZngyZHRyYW9lc2FzeHAyc3pzeGEyZGY1MDI1OTJ4IiB0aW1lc3Rh
bXA9IjE1NDE1NDA0MDciPjc4OTwva2V5PjxrZXkgYXBwPSJFTldlYiIgZGItaWQ9IiI+MDwva2V5
PjwvZm9yZWlnbi1rZXlzPjxyZWYtdHlwZSBuYW1lPSJKb3VybmFsIEFydGljbGUiPjE3PC9yZWYt
dHlwZT48Y29udHJpYnV0b3JzPjxhdXRob3JzPjxhdXRob3I+Qm9uemluaSwgTS48L2F1dGhvcj48
YXV0aG9yPkNvZ2dvbiwgRC48L2F1dGhvcj48YXV0aG9yPkdvZGZyZXksIEsuPC9hdXRob3I+PGF1
dGhvcj5JbnNraXAsIEguPC9hdXRob3I+PGF1dGhvcj5Dcm96aWVyLCBTLjwvYXV0aG9yPjxhdXRo
b3I+UGFsbWVyLCBLLiBULjwvYXV0aG9yPjwvYXV0aG9ycz48L2NvbnRyaWJ1dG9ycz48YXV0aC1h
ZGRyZXNzPkRlcGFydG1lbnQgb2YgT2NjdXBhdGlvbmFsIEhlYWx0aCwgVW5pdmVyc2l0eSBvZiBN
aWxhbiwgRm91bmRhdGlvbiBJUkNDUyBPc3BlZGFsZSwgTWFnZ2lvcmUsIE1pbGFuLCBJdGFseS48
L2F1dGgtYWRkcmVzcz48dGl0bGVzPjx0aXRsZT5PY2N1cGF0aW9uYWwgcGh5c2ljYWwgYWN0aXZp
dGllcywgd29ya2luZyBob3VycyBhbmQgb3V0Y29tZSBvZiBwcmVnbmFuY3k6IGZpbmRpbmdzIGZy
b20gdGhlIFNvdXRoYW1wdG9uIFdvbWVuJmFwb3M7cyBTdXJ2ZXk8L3RpdGxlPjxzZWNvbmRhcnkt
dGl0bGU+T2NjdXAgRW52aXJvbiBNZWQ8L3NlY29uZGFyeS10aXRsZT48L3RpdGxlcz48cGVyaW9k
aWNhbD48ZnVsbC10aXRsZT5PY2N1cCBFbnZpcm9uIE1lZDwvZnVsbC10aXRsZT48L3BlcmlvZGlj
YWw+PHBhZ2VzPjY4NS05MDwvcGFnZXM+PHZvbHVtZT42Njwvdm9sdW1lPjxudW1iZXI+MTA8L251
bWJlcj48ZWRpdGlvbj4yMDA5LzA5LzIzPC9lZGl0aW9uPjxrZXl3b3Jkcz48a2V5d29yZD5BYmRv
bWVuL2FuYXRvbXkgJmFtcDsgaGlzdG9sb2d5PC9rZXl3b3JkPjxrZXl3b3JkPkFkdWx0PC9rZXl3
b3JkPjxrZXl3b3JkPkFudGhyb3BvbWV0cnkvbWV0aG9kczwva2V5d29yZD48a2V5d29yZD5DZXBo
YWxvbWV0cnkvbWV0aG9kczwva2V5d29yZD48a2V5d29yZD5FbmdsYW5kL2VwaWRlbWlvbG9neTwv
a2V5d29yZD48a2V5d29yZD5FcGlkZW1pb2xvZ2ljIE1ldGhvZHM8L2tleXdvcmQ+PGtleXdvcmQ+
RmVtYWxlPC9rZXl3b3JkPjxrZXl3b3JkPkh1bWFuczwva2V5d29yZD48a2V5d29yZD5JbmZhbnQs
IE5ld2Jvcm48L2tleXdvcmQ+PGtleXdvcmQ+SW5mYW50LCBQcmVtYXR1cmU8L2tleXdvcmQ+PGtl
eXdvcmQ+SW5mYW50LCBTbWFsbCBmb3IgR2VzdGF0aW9uYWwgQWdlPC9rZXl3b3JkPjxrZXl3b3Jk
Pk1vdG9yIEFjdGl2aXR5LypwaHlzaW9sb2d5PC9rZXl3b3JkPjxrZXl3b3JkPk9ic3RldHJpYyBM
YWJvciwgUHJlbWF0dXJlL2VwaWRlbWlvbG9neS9ldGlvbG9neTwva2V5d29yZD48a2V5d29yZD5P
Y2N1cGF0aW9uYWwgRXhwb3N1cmUvYWR2ZXJzZSBlZmZlY3RzPC9rZXl3b3JkPjxrZXl3b3JkPipP
Y2N1cGF0aW9uYWwgSGVhbHRoPC9rZXl3b3JkPjxrZXl3b3JkPlBvc3R1cmU8L2tleXdvcmQ+PGtl
eXdvcmQ+UHJlZ25hbmN5PC9rZXl3b3JkPjxrZXl3b3JkPipQcmVnbmFuY3kgT3V0Y29tZTwva2V5
d29yZD48a2V5d29yZD5Xb3JrbG9hZC8qc3RhdGlzdGljcyAmYW1wOyBudW1lcmljYWwgZGF0YTwv
a2V5d29yZD48a2V5d29yZD5Zb3VuZyBBZHVsdDwva2V5d29yZD48L2tleXdvcmRzPjxkYXRlcz48
eWVhcj4yMDA5PC95ZWFyPjxwdWItZGF0ZXM+PGRhdGU+T2N0PC9kYXRlPjwvcHViLWRhdGVzPjwv
ZGF0ZXM+PGlzYm4+MTQ3MC03OTI2IChFbGVjdHJvbmljKSYjeEQ7MTM1MS0wNzExIChMaW5raW5n
KTwvaXNibj48YWNjZXNzaW9uLW51bT4xOTc3MDM1NTwvYWNjZXNzaW9uLW51bT48dXJscz48cmVs
YXRlZC11cmxzPjx1cmw+aHR0cHM6Ly93d3cubmNiaS5ubG0ubmloLmdvdi9wdWJtZWQvMTk3NzAz
NTU8L3VybD48L3JlbGF0ZWQtdXJscz48L3VybHM+PGN1c3RvbTI+UE1DMzA4ODg5OTwvY3VzdG9t
Mj48ZWxlY3Ryb25pYy1yZXNvdXJjZS1udW0+MTAuMTEzNi9vZW0uMjAwOC4wNDM5MzU8L2VsZWN0
cm9uaWMtcmVzb3VyY2UtbnVtPjwvcmVjb3JkPjwvQ2l0ZT48L0VuZE5vdGU+AG==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333</w:t>
            </w:r>
            <w:r w:rsidR="00283324">
              <w:fldChar w:fldCharType="end"/>
            </w:r>
          </w:p>
          <w:p w14:paraId="35EAE2A9" w14:textId="77777777" w:rsidR="003060CB" w:rsidRDefault="003060CB" w:rsidP="00A2497E">
            <w:pPr>
              <w:keepNext/>
            </w:pPr>
            <w:r>
              <w:t>United Kingdom</w:t>
            </w:r>
          </w:p>
        </w:tc>
        <w:tc>
          <w:tcPr>
            <w:tcW w:w="1247" w:type="dxa"/>
          </w:tcPr>
          <w:p w14:paraId="0F06364E" w14:textId="77777777" w:rsidR="003060CB" w:rsidRDefault="003060CB" w:rsidP="00A2497E">
            <w:pPr>
              <w:keepNext/>
            </w:pPr>
            <w:r>
              <w:t>1,327 women</w:t>
            </w:r>
          </w:p>
          <w:p w14:paraId="7C5DF7B1" w14:textId="77777777" w:rsidR="003060CB" w:rsidRDefault="003060CB" w:rsidP="00A2497E">
            <w:pPr>
              <w:keepNext/>
            </w:pPr>
            <w:r>
              <w:t>Cohort</w:t>
            </w:r>
          </w:p>
        </w:tc>
        <w:tc>
          <w:tcPr>
            <w:tcW w:w="4961" w:type="dxa"/>
          </w:tcPr>
          <w:p w14:paraId="3BF44BB2" w14:textId="77777777" w:rsidR="003060CB" w:rsidRDefault="003060CB" w:rsidP="00D857B7">
            <w:r w:rsidRPr="00D857B7">
              <w:rPr>
                <w:b/>
              </w:rPr>
              <w:t>Aim</w:t>
            </w:r>
            <w:r>
              <w:t xml:space="preserve">: </w:t>
            </w:r>
            <w:r w:rsidRPr="00D857B7">
              <w:t xml:space="preserve">To investigate risks of physical activity at work by pregnancy trimester, including the effects on head and abdominal circumference. </w:t>
            </w:r>
          </w:p>
          <w:p w14:paraId="2608B206" w14:textId="77777777" w:rsidR="003060CB" w:rsidRDefault="003060CB" w:rsidP="00D857B7">
            <w:pPr>
              <w:rPr>
                <w:b/>
              </w:rPr>
            </w:pPr>
            <w:r w:rsidRPr="00D857B7">
              <w:rPr>
                <w:b/>
              </w:rPr>
              <w:t>Methods</w:t>
            </w:r>
            <w:r w:rsidRPr="00D857B7">
              <w:t xml:space="preserve">: At 34 weeks of gestation we interviewed mothers from the prospective Southampton Women's Survey (SWS); we asked about their activities (working hours, standing/walking, kneeling/squatting, trunk bending, lifting and night shifts) in jobs held at each of 11, 19 and 34 weeks of gestation, and subsequently ascertained four birth outcomes (preterm delivery, small for gestational age (SGA) and reduced head or abdominal circumference) blinded to employment history. </w:t>
            </w:r>
          </w:p>
        </w:tc>
        <w:tc>
          <w:tcPr>
            <w:tcW w:w="4536" w:type="dxa"/>
          </w:tcPr>
          <w:p w14:paraId="36A25929" w14:textId="77777777" w:rsidR="003060CB" w:rsidRDefault="003060CB" w:rsidP="00D857B7">
            <w:r w:rsidRPr="00D857B7">
              <w:t xml:space="preserve">Risk of preterm </w:t>
            </w:r>
            <w:r>
              <w:t>birth</w:t>
            </w:r>
            <w:r w:rsidRPr="00D857B7">
              <w:t xml:space="preserve"> was elevated nearly threefold in women whose work at 34 weeks entailed trunk bending for &gt;1 h/day</w:t>
            </w:r>
            <w:r>
              <w:t xml:space="preserve"> (OR 2.92; 95%CI 1.27 to 6.70)</w:t>
            </w:r>
            <w:r w:rsidRPr="00D857B7">
              <w:t xml:space="preserve">. </w:t>
            </w:r>
          </w:p>
          <w:p w14:paraId="0D435097" w14:textId="77777777" w:rsidR="003060CB" w:rsidRPr="00D857B7" w:rsidRDefault="003060CB" w:rsidP="00F82888">
            <w:r>
              <w:t>N</w:t>
            </w:r>
            <w:r w:rsidRPr="00D857B7">
              <w:t xml:space="preserve">o statistically significant associations were found with </w:t>
            </w:r>
            <w:r>
              <w:t>small for gestational age</w:t>
            </w:r>
            <w:r w:rsidRPr="00D857B7">
              <w:t xml:space="preserve"> or small abdominal circumference, and preterm </w:t>
            </w:r>
            <w:r>
              <w:t>birth</w:t>
            </w:r>
            <w:r w:rsidRPr="00D857B7">
              <w:t xml:space="preserve"> showed little association with long working hours, lifting, standing or shift work. </w:t>
            </w:r>
          </w:p>
        </w:tc>
        <w:tc>
          <w:tcPr>
            <w:tcW w:w="1843" w:type="dxa"/>
          </w:tcPr>
          <w:p w14:paraId="6A776A66" w14:textId="77777777" w:rsidR="003060CB" w:rsidRPr="00AF7D6C" w:rsidRDefault="003060CB" w:rsidP="00A2497E">
            <w:pPr>
              <w:keepNext/>
            </w:pPr>
          </w:p>
        </w:tc>
      </w:tr>
      <w:tr w:rsidR="003060CB" w:rsidRPr="00AF7D6C" w14:paraId="4FF06C78" w14:textId="77777777" w:rsidTr="00A2497E">
        <w:trPr>
          <w:cantSplit/>
        </w:trPr>
        <w:tc>
          <w:tcPr>
            <w:tcW w:w="1305" w:type="dxa"/>
          </w:tcPr>
          <w:p w14:paraId="7DAD1EB5" w14:textId="432548B9" w:rsidR="003060CB" w:rsidRDefault="003060CB" w:rsidP="00283324">
            <w:pPr>
              <w:keepNext/>
            </w:pPr>
            <w:r>
              <w:t>Crotaeu et al 2006</w:t>
            </w:r>
            <w:r w:rsidR="00283324">
              <w:fldChar w:fldCharType="begin"/>
            </w:r>
            <w:r w:rsidR="002747EA">
              <w:instrText xml:space="preserve"> ADDIN EN.CITE &lt;EndNote&gt;&lt;Cite&gt;&lt;Author&gt;Croteau&lt;/Author&gt;&lt;Year&gt;2006&lt;/Year&gt;&lt;RecNum&gt;843&lt;/RecNum&gt;&lt;DisplayText&gt;&lt;style face="superscript" font="Trebuchet MS" size="9"&gt;340&lt;/style&gt;&lt;/DisplayText&gt;&lt;record&gt;&lt;rec-number&gt;843&lt;/rec-number&gt;&lt;foreign-keys&gt;&lt;key app="EN" db-id="exvasrfx2dtraoesasxp2szsxa2df502592x" timestamp="1541540597"&gt;843&lt;/key&gt;&lt;key app="ENWeb" db-id=""&gt;0&lt;/key&gt;&lt;/foreign-keys&gt;&lt;ref-type name="Journal Article"&gt;17&lt;/ref-type&gt;&lt;contributors&gt;&lt;authors&gt;&lt;author&gt;Croteau, Agathe&lt;/author&gt;&lt;author&gt;Marcoux, Sylvie&lt;/author&gt;&lt;author&gt;Brisson, Chantal&lt;/author&gt;&lt;/authors&gt;&lt;/contributors&gt;&lt;titles&gt;&lt;title&gt;Work activity in pregnancy, preventive measures, and the risk of delivering a small-for-gestational-age infant&lt;/title&gt;&lt;secondary-title&gt;American Journal of Public Health&lt;/secondary-title&gt;&lt;/titles&gt;&lt;periodical&gt;&lt;full-title&gt;American Journal of Public Health&lt;/full-title&gt;&lt;/periodical&gt;&lt;pages&gt;846-855&lt;/pages&gt;&lt;volume&gt;96&lt;/volume&gt;&lt;number&gt;5&lt;/number&gt;&lt;section&gt;846&lt;/section&gt;&lt;dates&gt;&lt;year&gt;2006&lt;/year&gt;&lt;/dates&gt;&lt;isbn&gt;0090-0036&amp;#xD;1541-0048&lt;/isbn&gt;&lt;urls&gt;&lt;/urls&gt;&lt;electronic-resource-num&gt;10.2105/ajph.2004.058552&lt;/electronic-resource-num&gt;&lt;/record&gt;&lt;/Cite&gt;&lt;/EndNote&gt;</w:instrText>
            </w:r>
            <w:r w:rsidR="00283324">
              <w:fldChar w:fldCharType="separate"/>
            </w:r>
            <w:r w:rsidR="002747EA" w:rsidRPr="002747EA">
              <w:rPr>
                <w:noProof/>
                <w:vertAlign w:val="superscript"/>
              </w:rPr>
              <w:t>340</w:t>
            </w:r>
            <w:r w:rsidR="00283324">
              <w:fldChar w:fldCharType="end"/>
            </w:r>
          </w:p>
          <w:p w14:paraId="7B5795C1" w14:textId="757FF6D1" w:rsidR="0050625F" w:rsidRDefault="0050625F" w:rsidP="00283324">
            <w:pPr>
              <w:keepNext/>
            </w:pPr>
            <w:r>
              <w:t>Canada</w:t>
            </w:r>
          </w:p>
        </w:tc>
        <w:tc>
          <w:tcPr>
            <w:tcW w:w="1247" w:type="dxa"/>
          </w:tcPr>
          <w:p w14:paraId="6A18F9AF" w14:textId="77777777" w:rsidR="003060CB" w:rsidRDefault="003060CB" w:rsidP="00A2497E">
            <w:pPr>
              <w:keepNext/>
            </w:pPr>
            <w:r>
              <w:t>1,536 cases</w:t>
            </w:r>
          </w:p>
          <w:p w14:paraId="5B2FA6FC" w14:textId="77777777" w:rsidR="003060CB" w:rsidRDefault="003060CB" w:rsidP="00A2497E">
            <w:pPr>
              <w:keepNext/>
            </w:pPr>
            <w:r>
              <w:t>4,441 controls</w:t>
            </w:r>
          </w:p>
        </w:tc>
        <w:tc>
          <w:tcPr>
            <w:tcW w:w="4961" w:type="dxa"/>
          </w:tcPr>
          <w:p w14:paraId="4E25E76A" w14:textId="77777777" w:rsidR="003060CB" w:rsidRDefault="003060CB" w:rsidP="00462042">
            <w:r w:rsidRPr="00462042">
              <w:rPr>
                <w:b/>
              </w:rPr>
              <w:t>Aim</w:t>
            </w:r>
            <w:r>
              <w:t xml:space="preserve">: To evaluate whether some occupational conditions during pregnancy increase the risk of delivering a small-for gestational-age (SGA) infant and whether taking measures to eliminate these conditions decreases that risk. </w:t>
            </w:r>
          </w:p>
          <w:p w14:paraId="1F2BAD7E" w14:textId="77777777" w:rsidR="003060CB" w:rsidRDefault="003060CB" w:rsidP="00462042">
            <w:pPr>
              <w:rPr>
                <w:b/>
              </w:rPr>
            </w:pPr>
            <w:r w:rsidRPr="00462042">
              <w:rPr>
                <w:b/>
              </w:rPr>
              <w:t>Methods</w:t>
            </w:r>
            <w:r>
              <w:t xml:space="preserve">: Cases and controls were selected from 43,898 women who had single live births between January 1997 and March 1999 in Québec, Canada. The women were interviewed by telephone after birth. </w:t>
            </w:r>
          </w:p>
        </w:tc>
        <w:tc>
          <w:tcPr>
            <w:tcW w:w="4536" w:type="dxa"/>
          </w:tcPr>
          <w:p w14:paraId="69AB8866" w14:textId="77777777" w:rsidR="003060CB" w:rsidRDefault="003060CB" w:rsidP="008F7F6E">
            <w:r>
              <w:t>Association between small-for-gestational age:</w:t>
            </w:r>
          </w:p>
          <w:p w14:paraId="749C91C9" w14:textId="77777777" w:rsidR="003060CB" w:rsidRPr="00E17C45" w:rsidRDefault="003060CB" w:rsidP="00E17C45">
            <w:pPr>
              <w:pStyle w:val="bullet"/>
            </w:pPr>
            <w:r>
              <w:t xml:space="preserve">standing ≥7 hours a day: </w:t>
            </w:r>
            <w:r w:rsidRPr="00E17C45">
              <w:t>OR 1.2; 95%CI 0.9 to 1.6)</w:t>
            </w:r>
          </w:p>
          <w:p w14:paraId="3591B8F7" w14:textId="77777777" w:rsidR="003060CB" w:rsidRDefault="003060CB" w:rsidP="00E17C45">
            <w:pPr>
              <w:pStyle w:val="bullet"/>
            </w:pPr>
            <w:r>
              <w:t xml:space="preserve">lifting ≥7 kg: </w:t>
            </w:r>
            <w:r w:rsidRPr="00E17C45">
              <w:t>OR 1.2; 95%CI 0.9 to 1.5)</w:t>
            </w:r>
          </w:p>
        </w:tc>
        <w:tc>
          <w:tcPr>
            <w:tcW w:w="1843" w:type="dxa"/>
          </w:tcPr>
          <w:p w14:paraId="3271B9C4" w14:textId="77777777" w:rsidR="003060CB" w:rsidRPr="00AF7D6C" w:rsidRDefault="003060CB" w:rsidP="00A2497E">
            <w:pPr>
              <w:keepNext/>
            </w:pPr>
          </w:p>
        </w:tc>
      </w:tr>
      <w:tr w:rsidR="003060CB" w:rsidRPr="00AF7D6C" w14:paraId="4E990857" w14:textId="77777777" w:rsidTr="00A2497E">
        <w:trPr>
          <w:cantSplit/>
        </w:trPr>
        <w:tc>
          <w:tcPr>
            <w:tcW w:w="1305" w:type="dxa"/>
          </w:tcPr>
          <w:p w14:paraId="557E1062" w14:textId="13D475C0" w:rsidR="003060CB" w:rsidRDefault="003060CB" w:rsidP="00A2497E">
            <w:pPr>
              <w:keepNext/>
            </w:pPr>
            <w:r>
              <w:t>El Metwalli et al 2001</w:t>
            </w:r>
            <w:r>
              <w:fldChar w:fldCharType="begin"/>
            </w:r>
            <w:r w:rsidR="002747EA">
              <w:instrText xml:space="preserve"> ADDIN EN.CITE &lt;EndNote&gt;&lt;Cite&gt;&lt;Author&gt;El Metwalli&lt;/Author&gt;&lt;Year&gt;2001&lt;/Year&gt;&lt;RecNum&gt;1494&lt;/RecNum&gt;&lt;DisplayText&gt;&lt;style face="superscript" font="Trebuchet MS" size="9"&gt;329&lt;/style&gt;&lt;/DisplayText&gt;&lt;record&gt;&lt;rec-number&gt;1494&lt;/rec-number&gt;&lt;foreign-keys&gt;&lt;key app="EN" db-id="exvasrfx2dtraoesasxp2szsxa2df502592x" timestamp="1574313806"&gt;1494&lt;/key&gt;&lt;/foreign-keys&gt;&lt;ref-type name="Journal Article"&gt;17&lt;/ref-type&gt;&lt;contributors&gt;&lt;authors&gt;&lt;author&gt;El Metwalli, A.G.,&lt;/author&gt;&lt;author&gt;Badawy, A.M.,&lt;/author&gt;&lt;author&gt;El Baghdadi, L.A.,&lt;/author&gt;&lt;author&gt;El Wahady, A.,&lt;/author&gt;&lt;/authors&gt;&lt;/contributors&gt;&lt;titles&gt;&lt;title&gt;        Occupational physical activity and pregnancy outcome&lt;/title&gt;&lt;secondary-title&gt;Eur J Obstet Gynecol Reprod Biol&lt;/secondary-title&gt;&lt;/titles&gt;&lt;periodical&gt;&lt;full-title&gt;Eur J Obstet Gynecol Reprod Biol&lt;/full-title&gt;&lt;/periodical&gt;&lt;pages&gt;41-45&lt;/pages&gt;&lt;volume&gt;100&lt;/volume&gt;&lt;dates&gt;&lt;year&gt;2001&lt;/year&gt;&lt;/dates&gt;&lt;urls&gt;&lt;/urls&gt;&lt;/record&gt;&lt;/Cite&gt;&lt;/EndNote&gt;</w:instrText>
            </w:r>
            <w:r>
              <w:fldChar w:fldCharType="separate"/>
            </w:r>
            <w:r w:rsidR="002747EA" w:rsidRPr="002747EA">
              <w:rPr>
                <w:noProof/>
                <w:vertAlign w:val="superscript"/>
              </w:rPr>
              <w:t>329</w:t>
            </w:r>
            <w:r>
              <w:fldChar w:fldCharType="end"/>
            </w:r>
          </w:p>
          <w:p w14:paraId="604762CE" w14:textId="77777777" w:rsidR="003060CB" w:rsidRDefault="003060CB" w:rsidP="00A2497E">
            <w:pPr>
              <w:keepNext/>
            </w:pPr>
            <w:r>
              <w:t>Egypt</w:t>
            </w:r>
          </w:p>
        </w:tc>
        <w:tc>
          <w:tcPr>
            <w:tcW w:w="1247" w:type="dxa"/>
          </w:tcPr>
          <w:p w14:paraId="2DA6658F" w14:textId="77777777" w:rsidR="003060CB" w:rsidRDefault="003060CB" w:rsidP="00A2497E">
            <w:pPr>
              <w:keepNext/>
            </w:pPr>
            <w:r>
              <w:t>1,762</w:t>
            </w:r>
          </w:p>
          <w:p w14:paraId="6392E7ED" w14:textId="77777777" w:rsidR="003060CB" w:rsidRDefault="003060CB" w:rsidP="00A2497E">
            <w:pPr>
              <w:keepNext/>
            </w:pPr>
            <w:r>
              <w:t>Case control</w:t>
            </w:r>
          </w:p>
        </w:tc>
        <w:tc>
          <w:tcPr>
            <w:tcW w:w="4961" w:type="dxa"/>
          </w:tcPr>
          <w:p w14:paraId="15D86C28" w14:textId="77777777" w:rsidR="003060CB" w:rsidRDefault="003060CB" w:rsidP="00A2497E">
            <w:pPr>
              <w:rPr>
                <w:b/>
              </w:rPr>
            </w:pPr>
            <w:r>
              <w:rPr>
                <w:b/>
              </w:rPr>
              <w:t xml:space="preserve">Aim: </w:t>
            </w:r>
            <w:r w:rsidRPr="00555B1B">
              <w:t>To determine the effect of occupational physical activities on the outcome of pregnancy.</w:t>
            </w:r>
          </w:p>
          <w:p w14:paraId="2AB9F414" w14:textId="77777777" w:rsidR="003060CB" w:rsidRPr="00555B1B" w:rsidRDefault="003060CB" w:rsidP="00A2497E">
            <w:r>
              <w:rPr>
                <w:b/>
              </w:rPr>
              <w:t xml:space="preserve">Methods: </w:t>
            </w:r>
            <w:r>
              <w:t>Occupational physical activity was evaluated through energy expenditure and biomechanic load for women who had experienced spontaneous abortion (cases; n=562) and women who gave birth at full term (control; n=1,200).</w:t>
            </w:r>
          </w:p>
        </w:tc>
        <w:tc>
          <w:tcPr>
            <w:tcW w:w="4536" w:type="dxa"/>
          </w:tcPr>
          <w:p w14:paraId="3AD569EC" w14:textId="77777777" w:rsidR="003060CB" w:rsidRDefault="003060CB" w:rsidP="00A2497E">
            <w:pPr>
              <w:keepNext/>
            </w:pPr>
            <w:r>
              <w:t>Spontaneous abortion group vs completed pregnancy group:</w:t>
            </w:r>
          </w:p>
          <w:p w14:paraId="284D6797" w14:textId="77777777" w:rsidR="003060CB" w:rsidRDefault="003060CB" w:rsidP="00A2497E">
            <w:pPr>
              <w:pStyle w:val="bullet"/>
            </w:pPr>
            <w:r>
              <w:t>Low intensity score: 226/562 (40.2%) vs 831/1,200 (69.3%)</w:t>
            </w:r>
          </w:p>
          <w:p w14:paraId="3C8BD210" w14:textId="77777777" w:rsidR="003060CB" w:rsidRDefault="003060CB" w:rsidP="00A2497E">
            <w:pPr>
              <w:pStyle w:val="bullet"/>
            </w:pPr>
            <w:r>
              <w:t>High intensity score: 336/562 (59.8%) vs 369/1,200 (30.7%)</w:t>
            </w:r>
          </w:p>
          <w:p w14:paraId="5B069138" w14:textId="77777777" w:rsidR="003060CB" w:rsidRDefault="003060CB" w:rsidP="00A2497E">
            <w:pPr>
              <w:pStyle w:val="bullet"/>
            </w:pPr>
            <w:r>
              <w:t>No lifting: 259/562 (46.1%) vs 762/1,200 (63.5%)</w:t>
            </w:r>
          </w:p>
          <w:p w14:paraId="25FDF048" w14:textId="77777777" w:rsidR="003060CB" w:rsidRPr="00F74B01" w:rsidRDefault="003060CB" w:rsidP="00A2497E">
            <w:pPr>
              <w:pStyle w:val="bullet"/>
            </w:pPr>
            <w:r>
              <w:t>Lifting: 303/562 (53.9%) vs 438/1,200 (36.5%)</w:t>
            </w:r>
          </w:p>
        </w:tc>
        <w:tc>
          <w:tcPr>
            <w:tcW w:w="1843" w:type="dxa"/>
          </w:tcPr>
          <w:p w14:paraId="19F7B2F4" w14:textId="77777777" w:rsidR="003060CB" w:rsidRPr="00AF7D6C" w:rsidRDefault="003060CB" w:rsidP="00A2497E">
            <w:pPr>
              <w:keepNext/>
            </w:pPr>
          </w:p>
        </w:tc>
      </w:tr>
      <w:tr w:rsidR="003060CB" w:rsidRPr="00AF7D6C" w14:paraId="4DD82E24" w14:textId="77777777" w:rsidTr="00E01A84">
        <w:trPr>
          <w:cantSplit/>
        </w:trPr>
        <w:tc>
          <w:tcPr>
            <w:tcW w:w="1305" w:type="dxa"/>
          </w:tcPr>
          <w:p w14:paraId="5FE1D94E" w14:textId="75905828" w:rsidR="003060CB" w:rsidRDefault="003060CB" w:rsidP="00053FBC">
            <w:pPr>
              <w:keepNext/>
            </w:pPr>
            <w:r>
              <w:t>Eunhee et al 2002</w:t>
            </w:r>
            <w:r>
              <w:fldChar w:fldCharType="begin"/>
            </w:r>
            <w:r w:rsidR="002747EA">
              <w:instrText xml:space="preserve"> ADDIN EN.CITE &lt;EndNote&gt;&lt;Cite&gt;&lt;Author&gt;Eunhee&lt;/Author&gt;&lt;Year&gt;2002&lt;/Year&gt;&lt;RecNum&gt;1495&lt;/RecNum&gt;&lt;DisplayText&gt;&lt;style face="superscript" font="Trebuchet MS" size="9"&gt;338&lt;/style&gt;&lt;/DisplayText&gt;&lt;record&gt;&lt;rec-number&gt;1495&lt;/rec-number&gt;&lt;foreign-keys&gt;&lt;key app="EN" db-id="exvasrfx2dtraoesasxp2szsxa2df502592x" timestamp="1574314249"&gt;1495&lt;/key&gt;&lt;/foreign-keys&gt;&lt;ref-type name="Journal Article"&gt;17&lt;/ref-type&gt;&lt;contributors&gt;&lt;authors&gt;&lt;author&gt;Eunhee, H.,&lt;/author&gt;&lt;author&gt;Cho, S-I.,&lt;/author&gt;&lt;author&gt;Park, H.,&lt;/author&gt;&lt;author&gt;Chen, D.,&lt;/author&gt;&lt;author&gt;Chen, C.,&lt;/author&gt;&lt;author&gt;Wang., L.,&lt;/author&gt;&lt;author&gt;Xu, X.,&lt;/author&gt;&lt;author&gt;Christiani, D.C.,&lt;/author&gt;&lt;/authors&gt;&lt;/contributors&gt;&lt;titles&gt;&lt;title&gt;Does standing at work during pregnancy result in reduced infant birth weight?&lt;/title&gt;&lt;secondary-title&gt;JOEM&lt;/secondary-title&gt;&lt;/titles&gt;&lt;periodical&gt;&lt;full-title&gt;JOEM&lt;/full-title&gt;&lt;/periodical&gt;&lt;pages&gt;815-21&lt;/pages&gt;&lt;volume&gt;44&lt;/volume&gt;&lt;number&gt;9&lt;/number&gt;&lt;dates&gt;&lt;year&gt;2002&lt;/year&gt;&lt;/dates&gt;&lt;urls&gt;&lt;/urls&gt;&lt;/record&gt;&lt;/Cite&gt;&lt;/EndNote&gt;</w:instrText>
            </w:r>
            <w:r>
              <w:fldChar w:fldCharType="separate"/>
            </w:r>
            <w:r w:rsidR="002747EA" w:rsidRPr="002747EA">
              <w:rPr>
                <w:noProof/>
                <w:vertAlign w:val="superscript"/>
              </w:rPr>
              <w:t>338</w:t>
            </w:r>
            <w:r>
              <w:fldChar w:fldCharType="end"/>
            </w:r>
          </w:p>
          <w:p w14:paraId="765A6E28" w14:textId="77777777" w:rsidR="003060CB" w:rsidRPr="00AF7D6C" w:rsidRDefault="003060CB" w:rsidP="00053FBC">
            <w:pPr>
              <w:keepNext/>
            </w:pPr>
            <w:r>
              <w:t>China</w:t>
            </w:r>
          </w:p>
        </w:tc>
        <w:tc>
          <w:tcPr>
            <w:tcW w:w="1247" w:type="dxa"/>
          </w:tcPr>
          <w:p w14:paraId="0640F928" w14:textId="77777777" w:rsidR="003060CB" w:rsidRDefault="003060CB" w:rsidP="00053FBC">
            <w:pPr>
              <w:keepNext/>
            </w:pPr>
            <w:r>
              <w:t>1,222</w:t>
            </w:r>
          </w:p>
          <w:p w14:paraId="05A33A7E" w14:textId="77777777" w:rsidR="003060CB" w:rsidRPr="00AF7D6C" w:rsidRDefault="003060CB" w:rsidP="00053FBC">
            <w:pPr>
              <w:keepNext/>
            </w:pPr>
            <w:r>
              <w:t>Cohort</w:t>
            </w:r>
          </w:p>
        </w:tc>
        <w:tc>
          <w:tcPr>
            <w:tcW w:w="4961" w:type="dxa"/>
          </w:tcPr>
          <w:p w14:paraId="6207A7C6" w14:textId="77777777" w:rsidR="003060CB" w:rsidRPr="00695F30" w:rsidRDefault="003060CB" w:rsidP="00695F30">
            <w:r w:rsidRPr="007255FB">
              <w:rPr>
                <w:b/>
              </w:rPr>
              <w:t>Aim</w:t>
            </w:r>
            <w:r>
              <w:t>: T</w:t>
            </w:r>
            <w:r w:rsidRPr="00695F30">
              <w:t>o investigate the association between infant birth weight</w:t>
            </w:r>
            <w:r>
              <w:t xml:space="preserve"> </w:t>
            </w:r>
            <w:r w:rsidRPr="00695F30">
              <w:t>and standing at work during pregnancy.</w:t>
            </w:r>
          </w:p>
          <w:p w14:paraId="5ABC3304" w14:textId="77777777" w:rsidR="003060CB" w:rsidRPr="00AF7D6C" w:rsidRDefault="003060CB" w:rsidP="007255FB">
            <w:r w:rsidRPr="007255FB">
              <w:rPr>
                <w:b/>
              </w:rPr>
              <w:t>Methods</w:t>
            </w:r>
            <w:r>
              <w:t xml:space="preserve">: </w:t>
            </w:r>
            <w:r w:rsidRPr="00695F30">
              <w:t>Various work-related</w:t>
            </w:r>
            <w:r>
              <w:t xml:space="preserve"> </w:t>
            </w:r>
            <w:r w:rsidRPr="00695F30">
              <w:t>physical activities during pregnancy were assessed using a structured questionnaire, and</w:t>
            </w:r>
            <w:r>
              <w:t xml:space="preserve"> generalis</w:t>
            </w:r>
            <w:r w:rsidRPr="00695F30">
              <w:t>ed additive models (GAMs) were performed to examine their association with</w:t>
            </w:r>
            <w:r>
              <w:t xml:space="preserve"> </w:t>
            </w:r>
            <w:r w:rsidRPr="00695F30">
              <w:t>birth weight.</w:t>
            </w:r>
          </w:p>
        </w:tc>
        <w:tc>
          <w:tcPr>
            <w:tcW w:w="4536" w:type="dxa"/>
          </w:tcPr>
          <w:p w14:paraId="00FE035D" w14:textId="77777777" w:rsidR="003060CB" w:rsidRDefault="003060CB" w:rsidP="00053FBC">
            <w:pPr>
              <w:keepNext/>
            </w:pPr>
            <w:r>
              <w:t>Birth weight (g):</w:t>
            </w:r>
          </w:p>
          <w:p w14:paraId="2BD3B145" w14:textId="77777777" w:rsidR="003060CB" w:rsidRDefault="003060CB" w:rsidP="00555B1B">
            <w:pPr>
              <w:pStyle w:val="bullet"/>
            </w:pPr>
            <w:r>
              <w:t>Standing ≥3 h/day vs &lt;3 h/d: 3,396.0±418.9 vs 3,423.8±432.6; MD -27.80 (-86.34 to 30.74)</w:t>
            </w:r>
          </w:p>
          <w:p w14:paraId="73447D87" w14:textId="77777777" w:rsidR="003060CB" w:rsidRDefault="003060CB" w:rsidP="00555B1B">
            <w:pPr>
              <w:pStyle w:val="bullet"/>
            </w:pPr>
            <w:r>
              <w:t>Lifting vs not lifting: 3410.6±450.6 vs 3,419.3±433.4; MD -8.70 (-69.13 to 51.73)</w:t>
            </w:r>
          </w:p>
          <w:p w14:paraId="2590AB1A" w14:textId="77777777" w:rsidR="003060CB" w:rsidRPr="00AF7D6C" w:rsidRDefault="003060CB" w:rsidP="00433793">
            <w:pPr>
              <w:pStyle w:val="bullet"/>
            </w:pPr>
            <w:r>
              <w:t>Medium or heavy vs light physical exertion: 3,416±435.0 vs 3,417.7±433.4; MD -1.20 (-55.93 to 53.53)</w:t>
            </w:r>
          </w:p>
        </w:tc>
        <w:tc>
          <w:tcPr>
            <w:tcW w:w="1843" w:type="dxa"/>
          </w:tcPr>
          <w:p w14:paraId="3A00DAD7" w14:textId="77777777" w:rsidR="003060CB" w:rsidRPr="00AF7D6C" w:rsidRDefault="003060CB" w:rsidP="00053FBC">
            <w:pPr>
              <w:keepNext/>
            </w:pPr>
          </w:p>
        </w:tc>
      </w:tr>
      <w:tr w:rsidR="003060CB" w:rsidRPr="00AF7D6C" w14:paraId="0F4543F5" w14:textId="77777777" w:rsidTr="00A2497E">
        <w:trPr>
          <w:cantSplit/>
        </w:trPr>
        <w:tc>
          <w:tcPr>
            <w:tcW w:w="1305" w:type="dxa"/>
          </w:tcPr>
          <w:p w14:paraId="796EF237" w14:textId="0097B778" w:rsidR="003060CB" w:rsidRDefault="003060CB" w:rsidP="00A2497E">
            <w:pPr>
              <w:keepNext/>
            </w:pPr>
            <w:r>
              <w:t>Juhl et al 2005</w:t>
            </w:r>
            <w:r w:rsidR="00283324">
              <w:fldChar w:fldCharType="begin"/>
            </w:r>
            <w:r w:rsidR="002747EA">
              <w:instrText xml:space="preserve"> ADDIN EN.CITE &lt;EndNote&gt;&lt;Cite&gt;&lt;Author&gt;Juhl&lt;/Author&gt;&lt;Year&gt;2005&lt;/Year&gt;&lt;RecNum&gt;880&lt;/RecNum&gt;&lt;DisplayText&gt;&lt;style face="superscript" font="Trebuchet MS" size="9"&gt;342&lt;/style&gt;&lt;/DisplayText&gt;&lt;record&gt;&lt;rec-number&gt;880&lt;/rec-number&gt;&lt;foreign-keys&gt;&lt;key app="EN" db-id="exvasrfx2dtraoesasxp2szsxa2df502592x" timestamp="1541540751"&gt;880&lt;/key&gt;&lt;key app="ENWeb" db-id=""&gt;0&lt;/key&gt;&lt;/foreign-keys&gt;&lt;ref-type name="Journal Article"&gt;17&lt;/ref-type&gt;&lt;contributors&gt;&lt;authors&gt;&lt;author&gt;Juhl, M.&lt;/author&gt;&lt;/authors&gt;&lt;/contributors&gt;&lt;titles&gt;&lt;title&gt;Psychosocial and physical work environment, and risk of pelvic pain in pregnancy. A study within the Danish national birth cohort&lt;/title&gt;&lt;secondary-title&gt;J Epidemiol &amp;amp; Community Health&lt;/secondary-title&gt;&lt;/titles&gt;&lt;periodical&gt;&lt;full-title&gt;J Epidemiol &amp;amp; Community Health&lt;/full-title&gt;&lt;/periodical&gt;&lt;pages&gt;580-585&lt;/pages&gt;&lt;volume&gt;59&lt;/volume&gt;&lt;number&gt;7&lt;/number&gt;&lt;section&gt;580&lt;/section&gt;&lt;dates&gt;&lt;year&gt;2005&lt;/year&gt;&lt;/dates&gt;&lt;isbn&gt;0143-005X&lt;/isbn&gt;&lt;urls&gt;&lt;/urls&gt;&lt;electronic-resource-num&gt;10.1136/jech.2004.029520&lt;/electronic-resource-num&gt;&lt;/record&gt;&lt;/Cite&gt;&lt;/EndNote&gt;</w:instrText>
            </w:r>
            <w:r w:rsidR="00283324">
              <w:fldChar w:fldCharType="separate"/>
            </w:r>
            <w:r w:rsidR="002747EA" w:rsidRPr="002747EA">
              <w:rPr>
                <w:noProof/>
                <w:vertAlign w:val="superscript"/>
              </w:rPr>
              <w:t>342</w:t>
            </w:r>
            <w:r w:rsidR="00283324">
              <w:fldChar w:fldCharType="end"/>
            </w:r>
          </w:p>
          <w:p w14:paraId="304F31B3" w14:textId="77777777" w:rsidR="003060CB" w:rsidRDefault="003060CB" w:rsidP="00A2497E">
            <w:pPr>
              <w:keepNext/>
            </w:pPr>
            <w:r>
              <w:t>Denmark</w:t>
            </w:r>
          </w:p>
        </w:tc>
        <w:tc>
          <w:tcPr>
            <w:tcW w:w="1247" w:type="dxa"/>
          </w:tcPr>
          <w:p w14:paraId="69327478" w14:textId="77777777" w:rsidR="003060CB" w:rsidRDefault="003060CB" w:rsidP="00D02F54">
            <w:pPr>
              <w:keepNext/>
            </w:pPr>
            <w:r w:rsidRPr="00D02F54">
              <w:t xml:space="preserve">1219 cases </w:t>
            </w:r>
          </w:p>
          <w:p w14:paraId="4FAB14A2" w14:textId="77777777" w:rsidR="003060CB" w:rsidRDefault="003060CB" w:rsidP="00D02F54">
            <w:pPr>
              <w:keepNext/>
            </w:pPr>
            <w:r w:rsidRPr="00D02F54">
              <w:t>1539 controls</w:t>
            </w:r>
          </w:p>
        </w:tc>
        <w:tc>
          <w:tcPr>
            <w:tcW w:w="4961" w:type="dxa"/>
          </w:tcPr>
          <w:p w14:paraId="71435A0C" w14:textId="77777777" w:rsidR="003060CB" w:rsidRPr="00D02F54" w:rsidRDefault="003060CB" w:rsidP="00D02F54">
            <w:r w:rsidRPr="00D02F54">
              <w:rPr>
                <w:b/>
              </w:rPr>
              <w:t>Aim</w:t>
            </w:r>
            <w:r>
              <w:t>: T</w:t>
            </w:r>
            <w:r w:rsidRPr="00D02F54">
              <w:t>o examine the relation between pelvic pain in</w:t>
            </w:r>
            <w:r>
              <w:t xml:space="preserve"> </w:t>
            </w:r>
            <w:r w:rsidRPr="00D02F54">
              <w:t>pregnancy and physical and psychosocial working conditions.</w:t>
            </w:r>
          </w:p>
          <w:p w14:paraId="3FE27E56" w14:textId="77777777" w:rsidR="003060CB" w:rsidRPr="00D02F54" w:rsidRDefault="003060CB" w:rsidP="00D02F54">
            <w:r w:rsidRPr="00D02F54">
              <w:rPr>
                <w:b/>
              </w:rPr>
              <w:t>Methods</w:t>
            </w:r>
            <w:r>
              <w:t>: This study used self-</w:t>
            </w:r>
            <w:r w:rsidRPr="00D02F54">
              <w:t>reporte</w:t>
            </w:r>
            <w:r>
              <w:t xml:space="preserve">d data on working conditions </w:t>
            </w:r>
            <w:r w:rsidRPr="00D02F54">
              <w:t>sampled as a nested case-control study within the Danish national birth cohort. Exposure data were collected prospectively; early in pregnancy and before the onset of pelvic</w:t>
            </w:r>
            <w:r>
              <w:t xml:space="preserve"> </w:t>
            </w:r>
            <w:r w:rsidRPr="00D02F54">
              <w:t>pain. Main outcome measures were odds ratios for pelvic pain in pregnancy as a function of physical and</w:t>
            </w:r>
            <w:r>
              <w:t xml:space="preserve"> </w:t>
            </w:r>
            <w:r w:rsidRPr="00D02F54">
              <w:t>psychosocial working conditions.</w:t>
            </w:r>
          </w:p>
        </w:tc>
        <w:tc>
          <w:tcPr>
            <w:tcW w:w="4536" w:type="dxa"/>
          </w:tcPr>
          <w:p w14:paraId="6F158C5F" w14:textId="77777777" w:rsidR="003060CB" w:rsidRPr="00D02F54" w:rsidRDefault="003060CB" w:rsidP="00D02F54">
            <w:r w:rsidRPr="00D02F54">
              <w:t>Physically strenuous work was associated with</w:t>
            </w:r>
            <w:r>
              <w:t xml:space="preserve"> </w:t>
            </w:r>
            <w:r w:rsidRPr="00D02F54">
              <w:t>an almost 50% increased risk of pelvic pain in pregnancy (</w:t>
            </w:r>
            <w:r>
              <w:t xml:space="preserve">OR </w:t>
            </w:r>
            <w:r w:rsidRPr="00D02F54">
              <w:t xml:space="preserve">1.47; </w:t>
            </w:r>
            <w:r>
              <w:t xml:space="preserve">95%CI </w:t>
            </w:r>
            <w:r w:rsidRPr="00D02F54">
              <w:t>1.17 to 1.84).</w:t>
            </w:r>
          </w:p>
        </w:tc>
        <w:tc>
          <w:tcPr>
            <w:tcW w:w="1843" w:type="dxa"/>
          </w:tcPr>
          <w:p w14:paraId="28B6FE44" w14:textId="77777777" w:rsidR="003060CB" w:rsidRPr="00AF7D6C" w:rsidRDefault="003060CB" w:rsidP="00A2497E">
            <w:pPr>
              <w:keepNext/>
            </w:pPr>
          </w:p>
        </w:tc>
      </w:tr>
      <w:tr w:rsidR="003060CB" w:rsidRPr="00AF7D6C" w14:paraId="7301D12F" w14:textId="77777777" w:rsidTr="00E01A84">
        <w:trPr>
          <w:cantSplit/>
        </w:trPr>
        <w:tc>
          <w:tcPr>
            <w:tcW w:w="1305" w:type="dxa"/>
          </w:tcPr>
          <w:p w14:paraId="6F4CCBE4" w14:textId="0469C159" w:rsidR="003060CB" w:rsidRDefault="003060CB" w:rsidP="002747EA">
            <w:pPr>
              <w:keepNext/>
            </w:pPr>
            <w:r>
              <w:t>Juhl et al 2005</w:t>
            </w:r>
            <w:r>
              <w:fldChar w:fldCharType="begin"/>
            </w:r>
            <w:r w:rsidR="002747EA">
              <w:instrText xml:space="preserve"> ADDIN EN.CITE &lt;EndNote&gt;&lt;Cite&gt;&lt;Author&gt;Juhl&lt;/Author&gt;&lt;Year&gt;2005&lt;/Year&gt;&lt;RecNum&gt;880&lt;/RecNum&gt;&lt;DisplayText&gt;&lt;style face="superscript" font="Trebuchet MS" size="9"&gt;342&lt;/style&gt;&lt;/DisplayText&gt;&lt;record&gt;&lt;rec-number&gt;880&lt;/rec-number&gt;&lt;foreign-keys&gt;&lt;key app="EN" db-id="exvasrfx2dtraoesasxp2szsxa2df502592x" timestamp="1541540751"&gt;880&lt;/key&gt;&lt;key app="ENWeb" db-id=""&gt;0&lt;/key&gt;&lt;/foreign-keys&gt;&lt;ref-type name="Journal Article"&gt;17&lt;/ref-type&gt;&lt;contributors&gt;&lt;authors&gt;&lt;author&gt;Juhl, M.&lt;/author&gt;&lt;/authors&gt;&lt;/contributors&gt;&lt;titles&gt;&lt;title&gt;Psychosocial and physical work environment, and risk of pelvic pain in pregnancy. A study within the Danish national birth cohort&lt;/title&gt;&lt;secondary-title&gt;J Epidemiol &amp;amp; Community Health&lt;/secondary-title&gt;&lt;/titles&gt;&lt;periodical&gt;&lt;full-title&gt;J Epidemiol &amp;amp; Community Health&lt;/full-title&gt;&lt;/periodical&gt;&lt;pages&gt;580-585&lt;/pages&gt;&lt;volume&gt;59&lt;/volume&gt;&lt;number&gt;7&lt;/number&gt;&lt;section&gt;580&lt;/section&gt;&lt;dates&gt;&lt;year&gt;2005&lt;/year&gt;&lt;/dates&gt;&lt;isbn&gt;0143-005X&lt;/isbn&gt;&lt;urls&gt;&lt;/urls&gt;&lt;electronic-resource-num&gt;10.1136/jech.2004.029520&lt;/electronic-resource-num&gt;&lt;/record&gt;&lt;/Cite&gt;&lt;/EndNote&gt;</w:instrText>
            </w:r>
            <w:r>
              <w:fldChar w:fldCharType="separate"/>
            </w:r>
            <w:r w:rsidR="002747EA" w:rsidRPr="002747EA">
              <w:rPr>
                <w:noProof/>
                <w:vertAlign w:val="superscript"/>
              </w:rPr>
              <w:t>342</w:t>
            </w:r>
            <w:r>
              <w:fldChar w:fldCharType="end"/>
            </w:r>
          </w:p>
        </w:tc>
        <w:tc>
          <w:tcPr>
            <w:tcW w:w="1247" w:type="dxa"/>
          </w:tcPr>
          <w:p w14:paraId="7036EB60" w14:textId="77777777" w:rsidR="003060CB" w:rsidRDefault="003060CB" w:rsidP="00053FBC">
            <w:pPr>
              <w:keepNext/>
            </w:pPr>
            <w:r>
              <w:t>Cases 1,219</w:t>
            </w:r>
          </w:p>
          <w:p w14:paraId="05F0C454" w14:textId="77777777" w:rsidR="003060CB" w:rsidRDefault="003060CB" w:rsidP="00053FBC">
            <w:pPr>
              <w:keepNext/>
            </w:pPr>
            <w:r>
              <w:t>Controls 1,539</w:t>
            </w:r>
          </w:p>
          <w:p w14:paraId="00A88723" w14:textId="77777777" w:rsidR="003060CB" w:rsidRDefault="003060CB" w:rsidP="00053FBC">
            <w:pPr>
              <w:keepNext/>
            </w:pPr>
            <w:r>
              <w:t>Cohort (nested case-control)</w:t>
            </w:r>
          </w:p>
        </w:tc>
        <w:tc>
          <w:tcPr>
            <w:tcW w:w="4961" w:type="dxa"/>
          </w:tcPr>
          <w:p w14:paraId="5C54FB2B" w14:textId="77777777" w:rsidR="003060CB" w:rsidRPr="0043240B" w:rsidRDefault="003060CB" w:rsidP="0043240B">
            <w:r>
              <w:rPr>
                <w:b/>
              </w:rPr>
              <w:t xml:space="preserve">Aim: </w:t>
            </w:r>
            <w:r w:rsidRPr="0043240B">
              <w:t>to examine the relation between pelvic pain in</w:t>
            </w:r>
            <w:r>
              <w:t xml:space="preserve"> </w:t>
            </w:r>
            <w:r w:rsidRPr="0043240B">
              <w:t>pregnancy and physical and psychosocial working conditions.</w:t>
            </w:r>
          </w:p>
          <w:p w14:paraId="433475F7" w14:textId="4BCB6ABF" w:rsidR="003060CB" w:rsidRPr="0043240B" w:rsidRDefault="003060CB" w:rsidP="0043240B">
            <w:r>
              <w:rPr>
                <w:b/>
              </w:rPr>
              <w:t xml:space="preserve">Methods: </w:t>
            </w:r>
            <w:r w:rsidRPr="0043240B">
              <w:t>Cases and controls were</w:t>
            </w:r>
            <w:r>
              <w:t xml:space="preserve"> </w:t>
            </w:r>
            <w:r w:rsidRPr="0043240B">
              <w:t xml:space="preserve">selected on the basis of </w:t>
            </w:r>
            <w:r w:rsidR="005056D2" w:rsidRPr="0043240B">
              <w:t>self-reported</w:t>
            </w:r>
            <w:r w:rsidRPr="0043240B">
              <w:t xml:space="preserve"> pelvic pain intensity, pain localisation, and pain impact on daily living</w:t>
            </w:r>
            <w:r>
              <w:t xml:space="preserve"> </w:t>
            </w:r>
            <w:r w:rsidRPr="0043240B">
              <w:t>activities. Exposure data were collected prospectively; early in pregnancy and before the onset of pelvic</w:t>
            </w:r>
            <w:r>
              <w:t xml:space="preserve"> </w:t>
            </w:r>
            <w:r w:rsidRPr="0043240B">
              <w:t>pain. Main outcome measures were odds ratios for pelvic pain in pregnancy as a function of physical and</w:t>
            </w:r>
            <w:r>
              <w:t xml:space="preserve"> </w:t>
            </w:r>
            <w:r w:rsidRPr="0043240B">
              <w:t>psychosocial working conditions.</w:t>
            </w:r>
          </w:p>
        </w:tc>
        <w:tc>
          <w:tcPr>
            <w:tcW w:w="4536" w:type="dxa"/>
          </w:tcPr>
          <w:p w14:paraId="4E9E65C3" w14:textId="77777777" w:rsidR="003060CB" w:rsidRDefault="003060CB" w:rsidP="00B21B78">
            <w:r>
              <w:t>Odds ratio of pelvic pain</w:t>
            </w:r>
          </w:p>
          <w:p w14:paraId="2DB2CC4C" w14:textId="77777777" w:rsidR="003060CB" w:rsidRPr="00B21B78" w:rsidRDefault="003060CB" w:rsidP="00B21B78">
            <w:pPr>
              <w:pStyle w:val="bullet"/>
            </w:pPr>
            <w:r>
              <w:t>Predominantly standing or wal</w:t>
            </w:r>
            <w:r w:rsidRPr="00B21B78">
              <w:t xml:space="preserve">king: </w:t>
            </w:r>
            <w:r>
              <w:t xml:space="preserve">OR </w:t>
            </w:r>
            <w:r w:rsidRPr="00B21B78">
              <w:t xml:space="preserve">1.04 </w:t>
            </w:r>
            <w:r>
              <w:t>(</w:t>
            </w:r>
            <w:r w:rsidRPr="00B21B78">
              <w:t>0.80 to 1.35</w:t>
            </w:r>
            <w:r>
              <w:t>)</w:t>
            </w:r>
          </w:p>
          <w:p w14:paraId="3F544D03" w14:textId="77777777" w:rsidR="003060CB" w:rsidRPr="00B21B78" w:rsidRDefault="003060CB" w:rsidP="00B21B78">
            <w:pPr>
              <w:pStyle w:val="bullet"/>
            </w:pPr>
            <w:r>
              <w:t>P</w:t>
            </w:r>
            <w:r w:rsidRPr="00B21B78">
              <w:t>hysically strenuous work</w:t>
            </w:r>
            <w:r>
              <w:t xml:space="preserve">: OR </w:t>
            </w:r>
            <w:r w:rsidRPr="00B21B78">
              <w:t>1.47</w:t>
            </w:r>
            <w:r>
              <w:t xml:space="preserve"> (</w:t>
            </w:r>
            <w:r w:rsidRPr="00B21B78">
              <w:t>1.17 to 1.84).</w:t>
            </w:r>
          </w:p>
          <w:p w14:paraId="201B37EB" w14:textId="77777777" w:rsidR="003060CB" w:rsidRDefault="003060CB" w:rsidP="00053FBC">
            <w:pPr>
              <w:keepNext/>
            </w:pPr>
          </w:p>
        </w:tc>
        <w:tc>
          <w:tcPr>
            <w:tcW w:w="1843" w:type="dxa"/>
          </w:tcPr>
          <w:p w14:paraId="4F3D0551" w14:textId="77777777" w:rsidR="003060CB" w:rsidRPr="00AF7D6C" w:rsidRDefault="003060CB" w:rsidP="00053FBC">
            <w:pPr>
              <w:keepNext/>
            </w:pPr>
          </w:p>
        </w:tc>
      </w:tr>
      <w:tr w:rsidR="003060CB" w:rsidRPr="00AF7D6C" w14:paraId="2B8A6620" w14:textId="77777777" w:rsidTr="00E01A84">
        <w:trPr>
          <w:cantSplit/>
        </w:trPr>
        <w:tc>
          <w:tcPr>
            <w:tcW w:w="1305" w:type="dxa"/>
          </w:tcPr>
          <w:p w14:paraId="27C2F355" w14:textId="18A801FE" w:rsidR="003060CB" w:rsidRDefault="003060CB" w:rsidP="00053FBC">
            <w:pPr>
              <w:keepNext/>
            </w:pPr>
            <w:r>
              <w:t>Juhl et al 2013; 2014</w:t>
            </w:r>
            <w:r>
              <w:fldChar w:fldCharType="begin">
                <w:fldData xml:space="preserve">PEVuZE5vdGU+PENpdGU+PEF1dGhvcj5KdWhsPC9BdXRob3I+PFllYXI+MjAxNDwvWWVhcj48UmVj
TnVtPjE0OTM8L1JlY051bT48RGlzcGxheVRleHQ+PHN0eWxlIGZhY2U9InN1cGVyc2NyaXB0IiBm
b250PSJUcmVidWNoZXQgTVMiIHNpemU9IjkiPjMyNywzMzk8L3N0eWxlPjwvRGlzcGxheVRleHQ+
PHJlY29yZD48cmVjLW51bWJlcj4xNDkzPC9yZWMtbnVtYmVyPjxmb3JlaWduLWtleXM+PGtleSBh
cHA9IkVOIiBkYi1pZD0iZXh2YXNyZngyZHRyYW9lc2FzeHAyc3pzeGEyZGY1MDI1OTJ4IiB0aW1l
c3RhbXA9IjE1NzQzMTMxNDEiPjE0OTM8L2tleT48L2ZvcmVpZ24ta2V5cz48cmVmLXR5cGUgbmFt
ZT0iSm91cm5hbCBBcnRpY2xlIj4xNzwvcmVmLXR5cGU+PGNvbnRyaWJ1dG9ycz48YXV0aG9ycz48
YXV0aG9yPkp1aGwsIE0uLDwvYXV0aG9yPjxhdXRob3I+TGFyc2VuLCBQLlMuLDwvYXV0aG9yPjxh
dXRob3I+QW5kZXJzZW4sIFAuSy4sPC9hdXRob3I+PGF1dGhvcj5TdmVuZHNlbiwgUy5XLiw8L2F1
dGhvcj48YXV0aG9yPkJvbmRlIEouUC4sPC9hdXRob3I+PGF1dGhvcj5OeWJvIEFuZGVyc2VuLCBB
LU0sPC9hdXRob3I+PGF1dGhvcj5TdHJhbmRiZXJnLUxhcnNlbiBLLiw8L2F1dGhvcj48L2F1dGhv
cnM+PC9jb250cmlidXRvcnM+PHRpdGxlcz48dGl0bGU+T2NjdXBhdGlvbmFsIGxpZnRpbmcgZHVy
aW5nIHByZWduYW5jeSBhbmQgY2hpbGTigJlzIGJpcnRoIHNpemUgaW4gYSBsYXJnZSBjb2hvcnQg
c3R1ZHk8L3RpdGxlPjxzZWNvbmRhcnktdGl0bGU+U2NhbmQgSiBXb3JrIEVudmlyb24gSGVhbHRo
PC9zZWNvbmRhcnktdGl0bGU+PC90aXRsZXM+PHBlcmlvZGljYWw+PGZ1bGwtdGl0bGU+U2NhbmQg
SiBXb3JrIEVudmlyb24gSGVhbHRoPC9mdWxsLXRpdGxlPjwvcGVyaW9kaWNhbD48cGFnZXM+NDEx
LTE5PC9wYWdlcz48dm9sdW1lPjQwPC92b2x1bWU+PG51bWJlcj40PC9udW1iZXI+PGRhdGVzPjx5
ZWFyPjIwMTQ8L3llYXI+PC9kYXRlcz48dXJscz48L3VybHM+PC9yZWNvcmQ+PC9DaXRlPjxDaXRl
PjxBdXRob3I+SnVobDwvQXV0aG9yPjxZZWFyPjIwMTM8L1llYXI+PFJlY051bT4xMjI4PC9SZWNO
dW0+PHJlY29yZD48cmVjLW51bWJlcj4xMjI4PC9yZWMtbnVtYmVyPjxmb3JlaWduLWtleXM+PGtl
eSBhcHA9IkVOIiBkYi1pZD0iZXh2YXNyZngyZHRyYW9lc2FzeHAyc3pzeGEyZGY1MDI1OTJ4IiB0
aW1lc3RhbXA9IjE1NjI0NzIxOTkiPjEyMjg8L2tleT48a2V5IGFwcD0iRU5XZWIiIGRiLWlkPSIi
PjA8L2tleT48L2ZvcmVpZ24ta2V5cz48cmVmLXR5cGUgbmFtZT0iSm91cm5hbCBBcnRpY2xlIj4x
NzwvcmVmLXR5cGU+PGNvbnRyaWJ1dG9ycz48YXV0aG9ycz48YXV0aG9yPkp1aGwsIE0uPC9hdXRo
b3I+PGF1dGhvcj5TdHJhbmRiZXJnLUxhcnNlbiwgSy48L2F1dGhvcj48YXV0aG9yPkxhcnNlbiwg
UC4gUy48L2F1dGhvcj48YXV0aG9yPkFuZGVyc2VuLCBQLiBLLjwvYXV0aG9yPjxhdXRob3I+U3Zl
bmRzZW4sIFMuIFcuPC9hdXRob3I+PGF1dGhvcj5Cb25kZSwgSi4gUC48L2F1dGhvcj48YXV0aG9y
Pk55Ym8gQW5kZXJzZW4sIEEuIE0uPC9hdXRob3I+PC9hdXRob3JzPjwvY29udHJpYnV0b3JzPjxh
dXRoLWFkZHJlc3M+U2VjdGlvbiBvZiBTb2NpYWwgTWVkaWNpbmUsIERlcGFydG1lbnQgb2YgUHVi
bGljIEhlYWx0aCwgVW5pdmVyc2l0eSBvZiBDb3BlbmhhZ2VuLCBDb3BlbmhhZ2VuLCBEZW5tYXJr
LiBtZXRqdWhsQGdtYWlsLmNvbTwvYXV0aC1hZGRyZXNzPjx0aXRsZXM+PHRpdGxlPk9jY3VwYXRp
b25hbCBsaWZ0aW5nIGR1cmluZyBwcmVnbmFuY3kgYW5kIHJpc2sgb2YgZmV0YWwgZGVhdGggaW4g
YSBsYXJnZSBuYXRpb25hbCBjb2hvcnQgc3R1ZHk8L3RpdGxlPjxzZWNvbmRhcnktdGl0bGU+U2Nh
bmQgSiBXb3JrIEVudmlyb24gSGVhbHRoPC9zZWNvbmRhcnktdGl0bGU+PC90aXRsZXM+PHBlcmlv
ZGljYWw+PGZ1bGwtdGl0bGU+U2NhbmQgSiBXb3JrIEVudmlyb24gSGVhbHRoPC9mdWxsLXRpdGxl
PjwvcGVyaW9kaWNhbD48cGFnZXM+MzM1LTQyPC9wYWdlcz48dm9sdW1lPjM5PC92b2x1bWU+PG51
bWJlcj40PC9udW1iZXI+PGVkaXRpb24+MjAxMi8xMi8wNTwvZWRpdGlvbj48a2V5d29yZHM+PGtl
eXdvcmQ+QWR1bHQ8L2tleXdvcmQ+PGtleXdvcmQ+RGVubWFyazwva2V5d29yZD48a2V5d29yZD5G
ZW1hbGU8L2tleXdvcmQ+PGtleXdvcmQ+KkZldGFsIERlYXRoPC9rZXl3b3JkPjxrZXl3b3JkPkh1
bWFuczwva2V5d29yZD48a2V5d29yZD4qTGlmdGluZzwva2V5d29yZD48a2V5d29yZD4qT2NjdXBh
dGlvbmFsIEhlYWx0aDwva2V5d29yZD48a2V5d29yZD5QcmVnbmFuY3k8L2tleXdvcmQ+PGtleXdv
cmQ+UHJvcG9ydGlvbmFsIEhhemFyZHMgTW9kZWxzPC9rZXl3b3JkPjxrZXl3b3JkPlJpc2sgRmFj
dG9yczwva2V5d29yZD48L2tleXdvcmRzPjxkYXRlcz48eWVhcj4yMDEzPC95ZWFyPjxwdWItZGF0
ZXM+PGRhdGU+SnVsPC9kYXRlPjwvcHViLWRhdGVzPjwvZGF0ZXM+PGlzYm4+MTc5NS05OTBYIChF
bGVjdHJvbmljKSYjeEQ7MDM1NS0zMTQwIChMaW5raW5nKTwvaXNibj48YWNjZXNzaW9uLW51bT4y
MzIwNzQ1NDwvYWNjZXNzaW9uLW51bT48dXJscz48cmVsYXRlZC11cmxzPjx1cmw+aHR0cHM6Ly93
d3cubmNiaS5ubG0ubmloLmdvdi9wdWJtZWQvMjMyMDc0NTQ8L3VybD48L3JlbGF0ZWQtdXJscz48
L3VybHM+PGVsZWN0cm9uaWMtcmVzb3VyY2UtbnVtPjEwLjUyNzEvc2p3ZWguMzMzNTwvZWxlY3Ry
b25pYy1yZXNvdXJjZS1udW0+PC9yZWNvcmQ+PC9DaXRlPjwvRW5kTm90ZT5=
</w:fldData>
              </w:fldChar>
            </w:r>
            <w:r w:rsidR="002747EA">
              <w:instrText xml:space="preserve"> ADDIN EN.CITE </w:instrText>
            </w:r>
            <w:r w:rsidR="002747EA">
              <w:fldChar w:fldCharType="begin">
                <w:fldData xml:space="preserve">PEVuZE5vdGU+PENpdGU+PEF1dGhvcj5KdWhsPC9BdXRob3I+PFllYXI+MjAxNDwvWWVhcj48UmVj
TnVtPjE0OTM8L1JlY051bT48RGlzcGxheVRleHQ+PHN0eWxlIGZhY2U9InN1cGVyc2NyaXB0IiBm
b250PSJUcmVidWNoZXQgTVMiIHNpemU9IjkiPjMyNywzMzk8L3N0eWxlPjwvRGlzcGxheVRleHQ+
PHJlY29yZD48cmVjLW51bWJlcj4xNDkzPC9yZWMtbnVtYmVyPjxmb3JlaWduLWtleXM+PGtleSBh
cHA9IkVOIiBkYi1pZD0iZXh2YXNyZngyZHRyYW9lc2FzeHAyc3pzeGEyZGY1MDI1OTJ4IiB0aW1l
c3RhbXA9IjE1NzQzMTMxNDEiPjE0OTM8L2tleT48L2ZvcmVpZ24ta2V5cz48cmVmLXR5cGUgbmFt
ZT0iSm91cm5hbCBBcnRpY2xlIj4xNzwvcmVmLXR5cGU+PGNvbnRyaWJ1dG9ycz48YXV0aG9ycz48
YXV0aG9yPkp1aGwsIE0uLDwvYXV0aG9yPjxhdXRob3I+TGFyc2VuLCBQLlMuLDwvYXV0aG9yPjxh
dXRob3I+QW5kZXJzZW4sIFAuSy4sPC9hdXRob3I+PGF1dGhvcj5TdmVuZHNlbiwgUy5XLiw8L2F1
dGhvcj48YXV0aG9yPkJvbmRlIEouUC4sPC9hdXRob3I+PGF1dGhvcj5OeWJvIEFuZGVyc2VuLCBB
LU0sPC9hdXRob3I+PGF1dGhvcj5TdHJhbmRiZXJnLUxhcnNlbiBLLiw8L2F1dGhvcj48L2F1dGhv
cnM+PC9jb250cmlidXRvcnM+PHRpdGxlcz48dGl0bGU+T2NjdXBhdGlvbmFsIGxpZnRpbmcgZHVy
aW5nIHByZWduYW5jeSBhbmQgY2hpbGTigJlzIGJpcnRoIHNpemUgaW4gYSBsYXJnZSBjb2hvcnQg
c3R1ZHk8L3RpdGxlPjxzZWNvbmRhcnktdGl0bGU+U2NhbmQgSiBXb3JrIEVudmlyb24gSGVhbHRo
PC9zZWNvbmRhcnktdGl0bGU+PC90aXRsZXM+PHBlcmlvZGljYWw+PGZ1bGwtdGl0bGU+U2NhbmQg
SiBXb3JrIEVudmlyb24gSGVhbHRoPC9mdWxsLXRpdGxlPjwvcGVyaW9kaWNhbD48cGFnZXM+NDEx
LTE5PC9wYWdlcz48dm9sdW1lPjQwPC92b2x1bWU+PG51bWJlcj40PC9udW1iZXI+PGRhdGVzPjx5
ZWFyPjIwMTQ8L3llYXI+PC9kYXRlcz48dXJscz48L3VybHM+PC9yZWNvcmQ+PC9DaXRlPjxDaXRl
PjxBdXRob3I+SnVobDwvQXV0aG9yPjxZZWFyPjIwMTM8L1llYXI+PFJlY051bT4xMjI4PC9SZWNO
dW0+PHJlY29yZD48cmVjLW51bWJlcj4xMjI4PC9yZWMtbnVtYmVyPjxmb3JlaWduLWtleXM+PGtl
eSBhcHA9IkVOIiBkYi1pZD0iZXh2YXNyZngyZHRyYW9lc2FzeHAyc3pzeGEyZGY1MDI1OTJ4IiB0
aW1lc3RhbXA9IjE1NjI0NzIxOTkiPjEyMjg8L2tleT48a2V5IGFwcD0iRU5XZWIiIGRiLWlkPSIi
PjA8L2tleT48L2ZvcmVpZ24ta2V5cz48cmVmLXR5cGUgbmFtZT0iSm91cm5hbCBBcnRpY2xlIj4x
NzwvcmVmLXR5cGU+PGNvbnRyaWJ1dG9ycz48YXV0aG9ycz48YXV0aG9yPkp1aGwsIE0uPC9hdXRo
b3I+PGF1dGhvcj5TdHJhbmRiZXJnLUxhcnNlbiwgSy48L2F1dGhvcj48YXV0aG9yPkxhcnNlbiwg
UC4gUy48L2F1dGhvcj48YXV0aG9yPkFuZGVyc2VuLCBQLiBLLjwvYXV0aG9yPjxhdXRob3I+U3Zl
bmRzZW4sIFMuIFcuPC9hdXRob3I+PGF1dGhvcj5Cb25kZSwgSi4gUC48L2F1dGhvcj48YXV0aG9y
Pk55Ym8gQW5kZXJzZW4sIEEuIE0uPC9hdXRob3I+PC9hdXRob3JzPjwvY29udHJpYnV0b3JzPjxh
dXRoLWFkZHJlc3M+U2VjdGlvbiBvZiBTb2NpYWwgTWVkaWNpbmUsIERlcGFydG1lbnQgb2YgUHVi
bGljIEhlYWx0aCwgVW5pdmVyc2l0eSBvZiBDb3BlbmhhZ2VuLCBDb3BlbmhhZ2VuLCBEZW5tYXJr
LiBtZXRqdWhsQGdtYWlsLmNvbTwvYXV0aC1hZGRyZXNzPjx0aXRsZXM+PHRpdGxlPk9jY3VwYXRp
b25hbCBsaWZ0aW5nIGR1cmluZyBwcmVnbmFuY3kgYW5kIHJpc2sgb2YgZmV0YWwgZGVhdGggaW4g
YSBsYXJnZSBuYXRpb25hbCBjb2hvcnQgc3R1ZHk8L3RpdGxlPjxzZWNvbmRhcnktdGl0bGU+U2Nh
bmQgSiBXb3JrIEVudmlyb24gSGVhbHRoPC9zZWNvbmRhcnktdGl0bGU+PC90aXRsZXM+PHBlcmlv
ZGljYWw+PGZ1bGwtdGl0bGU+U2NhbmQgSiBXb3JrIEVudmlyb24gSGVhbHRoPC9mdWxsLXRpdGxl
PjwvcGVyaW9kaWNhbD48cGFnZXM+MzM1LTQyPC9wYWdlcz48dm9sdW1lPjM5PC92b2x1bWU+PG51
bWJlcj40PC9udW1iZXI+PGVkaXRpb24+MjAxMi8xMi8wNTwvZWRpdGlvbj48a2V5d29yZHM+PGtl
eXdvcmQ+QWR1bHQ8L2tleXdvcmQ+PGtleXdvcmQ+RGVubWFyazwva2V5d29yZD48a2V5d29yZD5G
ZW1hbGU8L2tleXdvcmQ+PGtleXdvcmQ+KkZldGFsIERlYXRoPC9rZXl3b3JkPjxrZXl3b3JkPkh1
bWFuczwva2V5d29yZD48a2V5d29yZD4qTGlmdGluZzwva2V5d29yZD48a2V5d29yZD4qT2NjdXBh
dGlvbmFsIEhlYWx0aDwva2V5d29yZD48a2V5d29yZD5QcmVnbmFuY3k8L2tleXdvcmQ+PGtleXdv
cmQ+UHJvcG9ydGlvbmFsIEhhemFyZHMgTW9kZWxzPC9rZXl3b3JkPjxrZXl3b3JkPlJpc2sgRmFj
dG9yczwva2V5d29yZD48L2tleXdvcmRzPjxkYXRlcz48eWVhcj4yMDEzPC95ZWFyPjxwdWItZGF0
ZXM+PGRhdGU+SnVsPC9kYXRlPjwvcHViLWRhdGVzPjwvZGF0ZXM+PGlzYm4+MTc5NS05OTBYIChF
bGVjdHJvbmljKSYjeEQ7MDM1NS0zMTQwIChMaW5raW5nKTwvaXNibj48YWNjZXNzaW9uLW51bT4y
MzIwNzQ1NDwvYWNjZXNzaW9uLW51bT48dXJscz48cmVsYXRlZC11cmxzPjx1cmw+aHR0cHM6Ly93
d3cubmNiaS5ubG0ubmloLmdvdi9wdWJtZWQvMjMyMDc0NTQ8L3VybD48L3JlbGF0ZWQtdXJscz48
L3VybHM+PGVsZWN0cm9uaWMtcmVzb3VyY2UtbnVtPjEwLjUyNzEvc2p3ZWguMzMzNTwvZWxlY3Ry
b25pYy1yZXNvdXJjZS1udW0+PC9yZWNvcmQ+PC9DaXRlPjwvRW5kTm90ZT5=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327,339</w:t>
            </w:r>
            <w:r>
              <w:fldChar w:fldCharType="end"/>
            </w:r>
          </w:p>
          <w:p w14:paraId="7CFDD612" w14:textId="77777777" w:rsidR="003060CB" w:rsidRDefault="003060CB" w:rsidP="00053FBC">
            <w:pPr>
              <w:keepNext/>
            </w:pPr>
            <w:r>
              <w:t>Denmark</w:t>
            </w:r>
          </w:p>
        </w:tc>
        <w:tc>
          <w:tcPr>
            <w:tcW w:w="1247" w:type="dxa"/>
          </w:tcPr>
          <w:p w14:paraId="310A7AB5" w14:textId="77777777" w:rsidR="003060CB" w:rsidRDefault="003060CB" w:rsidP="00053FBC">
            <w:pPr>
              <w:keepNext/>
            </w:pPr>
            <w:r>
              <w:t>SGA: 66,693</w:t>
            </w:r>
          </w:p>
          <w:p w14:paraId="7A12497E" w14:textId="77777777" w:rsidR="003060CB" w:rsidRDefault="003060CB" w:rsidP="00053FBC">
            <w:pPr>
              <w:keepNext/>
            </w:pPr>
            <w:r>
              <w:t>Fetal loss: 71,500</w:t>
            </w:r>
          </w:p>
          <w:p w14:paraId="2A9A5B83" w14:textId="77777777" w:rsidR="003060CB" w:rsidRDefault="003060CB" w:rsidP="00053FBC">
            <w:pPr>
              <w:keepNext/>
            </w:pPr>
          </w:p>
          <w:p w14:paraId="7EB58A6D" w14:textId="77777777" w:rsidR="003060CB" w:rsidRDefault="003060CB" w:rsidP="00053FBC">
            <w:pPr>
              <w:keepNext/>
            </w:pPr>
            <w:r>
              <w:t>Cohort</w:t>
            </w:r>
          </w:p>
        </w:tc>
        <w:tc>
          <w:tcPr>
            <w:tcW w:w="4961" w:type="dxa"/>
          </w:tcPr>
          <w:p w14:paraId="158C6FA3" w14:textId="77777777" w:rsidR="003060CB" w:rsidRPr="00053FBC" w:rsidRDefault="003060CB" w:rsidP="00053FBC">
            <w:r w:rsidRPr="00053FBC">
              <w:rPr>
                <w:b/>
              </w:rPr>
              <w:t>Aim</w:t>
            </w:r>
            <w:r>
              <w:t>: To examine</w:t>
            </w:r>
            <w:r w:rsidRPr="00053FBC">
              <w:t xml:space="preserve"> the association between maternal occupational lifting and</w:t>
            </w:r>
            <w:r>
              <w:t xml:space="preserve"> small for </w:t>
            </w:r>
            <w:r w:rsidRPr="00053FBC">
              <w:t>gestational-age (SGA)</w:t>
            </w:r>
            <w:r>
              <w:t xml:space="preserve"> and fetal loss.</w:t>
            </w:r>
          </w:p>
          <w:p w14:paraId="47A37364" w14:textId="77777777" w:rsidR="003060CB" w:rsidRDefault="003060CB" w:rsidP="00CA4F71">
            <w:r w:rsidRPr="00053FBC">
              <w:rPr>
                <w:b/>
              </w:rPr>
              <w:t>Methods</w:t>
            </w:r>
            <w:r>
              <w:t>: Analysis of information from the Danish Medical Birth Registry according to the mother’s self-reported information on occupational lifting from telephone interviews around gestational week 16. Linear and logistic regression models were used and adjustments made for confounders.</w:t>
            </w:r>
          </w:p>
        </w:tc>
        <w:tc>
          <w:tcPr>
            <w:tcW w:w="4536" w:type="dxa"/>
          </w:tcPr>
          <w:p w14:paraId="648E9F7D" w14:textId="77777777" w:rsidR="003060CB" w:rsidRDefault="003060CB" w:rsidP="00053FBC">
            <w:pPr>
              <w:keepNext/>
            </w:pPr>
            <w:r>
              <w:t>Small for gestational age among women who reported person-lifting compared to women with no lifting:</w:t>
            </w:r>
          </w:p>
          <w:p w14:paraId="4E896849" w14:textId="77777777" w:rsidR="003060CB" w:rsidRDefault="003060CB" w:rsidP="00BA1736">
            <w:pPr>
              <w:pStyle w:val="bullet"/>
            </w:pPr>
            <w:r>
              <w:t>501-1,000 kg/day: aOR 1.34 (0.98 to 1.83)</w:t>
            </w:r>
          </w:p>
          <w:p w14:paraId="08728540" w14:textId="77777777" w:rsidR="003060CB" w:rsidRDefault="003060CB" w:rsidP="00BA1736">
            <w:pPr>
              <w:pStyle w:val="bullet"/>
            </w:pPr>
            <w:r>
              <w:t>&gt;1,000 kg/day: aOR 1.51 (0.83 to 2.76)</w:t>
            </w:r>
          </w:p>
          <w:p w14:paraId="2C6E9BBA" w14:textId="77777777" w:rsidR="003060CB" w:rsidRDefault="003060CB" w:rsidP="00053FBC">
            <w:pPr>
              <w:keepNext/>
            </w:pPr>
            <w:r>
              <w:t>Small for gestational age lifting with no person lifting:</w:t>
            </w:r>
          </w:p>
          <w:p w14:paraId="2A59003E" w14:textId="77777777" w:rsidR="003060CB" w:rsidRDefault="003060CB" w:rsidP="00CA4F71">
            <w:pPr>
              <w:pStyle w:val="bullet"/>
            </w:pPr>
            <w:r>
              <w:t>&gt;1,000 kg/day: aOR 0.99 (0.71 to 1.39)</w:t>
            </w:r>
          </w:p>
          <w:p w14:paraId="336B23EA" w14:textId="77777777" w:rsidR="003060CB" w:rsidRDefault="003060CB" w:rsidP="00CA4F71">
            <w:r>
              <w:t>Early miscarriage (≤12 wks) lifting vs no lifting:</w:t>
            </w:r>
          </w:p>
          <w:p w14:paraId="304D963C" w14:textId="77777777" w:rsidR="003060CB" w:rsidRDefault="003060CB" w:rsidP="00CA4F71">
            <w:pPr>
              <w:pStyle w:val="bullet"/>
            </w:pPr>
            <w:r>
              <w:t>101-200 kg/day: adjusted hazard ratio (aHR) 1.38 (1.10 to 1.74)</w:t>
            </w:r>
          </w:p>
          <w:p w14:paraId="2B89478D" w14:textId="77777777" w:rsidR="003060CB" w:rsidRDefault="003060CB" w:rsidP="00CA4F71">
            <w:pPr>
              <w:pStyle w:val="bullet"/>
            </w:pPr>
            <w:r>
              <w:t>201-500kg/day: aHR 1.46 (1.15 to 1.85)</w:t>
            </w:r>
          </w:p>
          <w:p w14:paraId="4C8AB833" w14:textId="77777777" w:rsidR="003060CB" w:rsidRDefault="003060CB" w:rsidP="00CA4F71">
            <w:pPr>
              <w:pStyle w:val="bullet"/>
            </w:pPr>
            <w:r>
              <w:t>&gt;1,000 kg/day: aHR 2.02 (1.23 to 3.33)</w:t>
            </w:r>
          </w:p>
          <w:p w14:paraId="00C95D6A" w14:textId="77777777" w:rsidR="003060CB" w:rsidRDefault="003060CB" w:rsidP="00744580">
            <w:r>
              <w:t>Late miscarriage (13-21 wks) lifting vs no lifting:</w:t>
            </w:r>
          </w:p>
          <w:p w14:paraId="481159AA" w14:textId="77777777" w:rsidR="003060CB" w:rsidRDefault="003060CB" w:rsidP="00744580">
            <w:pPr>
              <w:pStyle w:val="bullet"/>
            </w:pPr>
            <w:r>
              <w:t>101-200 kg/day: aHR 1.04 (0.80 to 1.35)</w:t>
            </w:r>
          </w:p>
          <w:p w14:paraId="5CA9A467" w14:textId="77777777" w:rsidR="003060CB" w:rsidRDefault="003060CB" w:rsidP="00744580">
            <w:pPr>
              <w:pStyle w:val="bullet"/>
            </w:pPr>
            <w:r>
              <w:t>201-500 kg/day: aHR 1.42 (1.15 to 1.76)</w:t>
            </w:r>
          </w:p>
          <w:p w14:paraId="7314D9F5" w14:textId="77777777" w:rsidR="003060CB" w:rsidRDefault="003060CB" w:rsidP="00744580">
            <w:r>
              <w:t>Stillbirth (≥22 wks) lifting vs no lifting</w:t>
            </w:r>
          </w:p>
          <w:p w14:paraId="01FA8458" w14:textId="77777777" w:rsidR="003060CB" w:rsidRDefault="003060CB" w:rsidP="00744580">
            <w:pPr>
              <w:pStyle w:val="bullet"/>
            </w:pPr>
            <w:r>
              <w:t>101-200 kg/day: aHR 1.23 (0.78 to 1.92)</w:t>
            </w:r>
          </w:p>
          <w:p w14:paraId="02B3CCA9" w14:textId="77777777" w:rsidR="003060CB" w:rsidRDefault="003060CB" w:rsidP="00744580">
            <w:pPr>
              <w:pStyle w:val="bullet"/>
            </w:pPr>
            <w:r>
              <w:t>201-500 kg/day: aHR 0.72 (0.45 to 1.16)</w:t>
            </w:r>
          </w:p>
        </w:tc>
        <w:tc>
          <w:tcPr>
            <w:tcW w:w="1843" w:type="dxa"/>
          </w:tcPr>
          <w:p w14:paraId="46BF14B6" w14:textId="77777777" w:rsidR="003060CB" w:rsidRPr="00AF7D6C" w:rsidRDefault="003060CB" w:rsidP="00053FBC">
            <w:pPr>
              <w:keepNext/>
            </w:pPr>
          </w:p>
        </w:tc>
      </w:tr>
      <w:tr w:rsidR="003060CB" w:rsidRPr="00AF7D6C" w14:paraId="0B2AB4D6" w14:textId="77777777" w:rsidTr="00A2497E">
        <w:trPr>
          <w:cantSplit/>
        </w:trPr>
        <w:tc>
          <w:tcPr>
            <w:tcW w:w="1305" w:type="dxa"/>
          </w:tcPr>
          <w:p w14:paraId="777CADEB" w14:textId="35E8AE9B" w:rsidR="003060CB" w:rsidRDefault="003060CB" w:rsidP="00A2497E">
            <w:pPr>
              <w:keepNext/>
            </w:pPr>
            <w:r>
              <w:t>Larsen et al 2013</w:t>
            </w:r>
            <w:r w:rsidR="00283324">
              <w:fldChar w:fldCharType="begin">
                <w:fldData xml:space="preserve">PEVuZE5vdGU+PENpdGU+PEF1dGhvcj5MYXJzZW48L0F1dGhvcj48WWVhcj4yMDEzPC9ZZWFyPjxS
ZWNOdW0+ODA2PC9SZWNOdW0+PERpc3BsYXlUZXh0PjxzdHlsZSBmYWNlPSJzdXBlcnNjcmlwdCIg
Zm9udD0iVHJlYnVjaGV0IE1TIiBzaXplPSI5Ij4zNDE8L3N0eWxlPjwvRGlzcGxheVRleHQ+PHJl
Y29yZD48cmVjLW51bWJlcj44MDY8L3JlYy1udW1iZXI+PGZvcmVpZ24ta2V5cz48a2V5IGFwcD0i
RU4iIGRiLWlkPSJleHZhc3JmeDJkdHJhb2VzYXN4cDJzenN4YTJkZjUwMjU5MngiIHRpbWVzdGFt
cD0iMTU0MTU0MDQ2NyI+ODA2PC9rZXk+PGtleSBhcHA9IkVOV2ViIiBkYi1pZD0iIj4wPC9rZXk+
PC9mb3JlaWduLWtleXM+PHJlZi10eXBlIG5hbWU9IkpvdXJuYWwgQXJ0aWNsZSI+MTc8L3JlZi10
eXBlPjxjb250cmlidXRvcnM+PGF1dGhvcnM+PGF1dGhvcj5MYXJzZW4sIFAuIFMuPC9hdXRob3I+
PGF1dGhvcj5TdHJhbmRiZXJnLUxhcnNlbiwgSy48L2F1dGhvcj48YXV0aG9yPkp1aGwsIE0uPC9h
dXRob3I+PGF1dGhvcj5TdmVuZHNlbiwgUy4gVy48L2F1dGhvcj48YXV0aG9yPkJvbmRlLCBKLiBQ
LjwvYXV0aG9yPjxhdXRob3I+QW5kZXJzZW4sIEEuIE0uPC9hdXRob3I+PC9hdXRob3JzPjwvY29u
dHJpYnV0b3JzPjxhdXRoLWFkZHJlc3M+U2VjdGlvbiBvZiBTb2NpYWwgTWVkaWNpbmUsIERlcGFy
dG1lbnQgb2YgUHVibGljIEhlYWx0aCwgVW5pdmVyc2l0eSBvZiBDb3BlbmhhZ2VuLCBDb3Blbmhh
Z2VuIEssIERlbm1hcmsuIHBlcm5pbGxlbGFyc2VuQHN1bmQua3UuZGs8L2F1dGgtYWRkcmVzcz48
dGl0bGVzPjx0aXRsZT5PY2N1cGF0aW9uYWwgbGlmdGluZyBhbmQgcGVsdmljIHBhaW4gZHVyaW5n
IHByZWduYW5jeTogYSBzdHVkeSB3aXRoaW4gdGhlIERhbmlzaCBOYXRpb25hbCBCaXJ0aCBDb2hv
cnQ8L3RpdGxlPjxzZWNvbmRhcnktdGl0bGU+U2NhbmQgSiBXb3JrIEVudmlyb24gSGVhbHRoPC9z
ZWNvbmRhcnktdGl0bGU+PC90aXRsZXM+PHBlcmlvZGljYWw+PGZ1bGwtdGl0bGU+U2NhbmQgSiBX
b3JrIEVudmlyb24gSGVhbHRoPC9mdWxsLXRpdGxlPjwvcGVyaW9kaWNhbD48cGFnZXM+ODgtOTU8
L3BhZ2VzPjx2b2x1bWU+Mzk8L3ZvbHVtZT48bnVtYmVyPjE8L251bWJlcj48ZWRpdGlvbj4yMDEy
LzA1LzEwPC9lZGl0aW9uPjxrZXl3b3Jkcz48a2V5d29yZD5BYnNlbnRlZWlzbTwva2V5d29yZD48
a2V5d29yZD5BZHVsdDwva2V5d29yZD48a2V5d29yZD5Cb2R5IE1hc3MgSW5kZXg8L2tleXdvcmQ+
PGtleXdvcmQ+RGVubWFyay9lcGlkZW1pb2xvZ3k8L2tleXdvcmQ+PGtleXdvcmQ+RXhlcmNpc2U8
L2tleXdvcmQ+PGtleXdvcmQ+RmVtYWxlPC9rZXl3b3JkPjxrZXl3b3JkPkh1bWFuczwva2V5d29y
ZD48a2V5d29yZD5MaWZ0aW5nLyphZHZlcnNlIGVmZmVjdHM8L2tleXdvcmQ+PGtleXdvcmQ+T2Nj
dXBhdGlvbmFsIERpc2Vhc2VzL2VwaWRlbWlvbG9neS8qZXRpb2xvZ3k8L2tleXdvcmQ+PGtleXdv
cmQ+T2NjdXBhdGlvbmFsIEV4cG9zdXJlLyphZHZlcnNlIGVmZmVjdHMvc3RhdGlzdGljcyAmYW1w
OyBudW1lcmljYWwgZGF0YTwva2V5d29yZD48a2V5d29yZD5PY2N1cGF0aW9uYWwgSGVhbHRoPC9r
ZXl3b3JkPjxrZXl3b3JkPk9jY3VwYXRpb25zL3N0YXRpc3RpY3MgJmFtcDsgbnVtZXJpY2FsIGRh
dGE8L2tleXdvcmQ+PGtleXdvcmQ+UGVsdmljIFBhaW4vZXBpZGVtaW9sb2d5LypldGlvbG9neTwv
a2V5d29yZD48a2V5d29yZD5QcmVnbmFuY3k8L2tleXdvcmQ+PGtleXdvcmQ+UHJlZ25hbmN5IENv
bXBsaWNhdGlvbnMvKmV0aW9sb2d5PC9rZXl3b3JkPjxrZXl3b3JkPlJpc2sgRmFjdG9yczwva2V5
d29yZD48L2tleXdvcmRzPjxkYXRlcz48eWVhcj4yMDEzPC95ZWFyPjxwdWItZGF0ZXM+PGRhdGU+
SmFuPC9kYXRlPjwvcHViLWRhdGVzPjwvZGF0ZXM+PGlzYm4+MTc5NS05OTBYIChFbGVjdHJvbmlj
KSYjeEQ7MDM1NS0zMTQwIChMaW5raW5nKTwvaXNibj48YWNjZXNzaW9uLW51bT4yMjU2OTc3ODwv
YWNjZXNzaW9uLW51bT48dXJscz48cmVsYXRlZC11cmxzPjx1cmw+aHR0cHM6Ly93d3cubmNiaS5u
bG0ubmloLmdvdi9wdWJtZWQvMjI1Njk3Nzg8L3VybD48L3JlbGF0ZWQtdXJscz48L3VybHM+PGVs
ZWN0cm9uaWMtcmVzb3VyY2UtbnVtPjEwLjUyNzEvc2p3ZWguMzMwNDwvZWxlY3Ryb25pYy1yZXNv
dXJjZS1udW0+PC9yZWNvcmQ+PC9DaXRlPjwvRW5kTm90ZT4A
</w:fldData>
              </w:fldChar>
            </w:r>
            <w:r w:rsidR="002747EA">
              <w:instrText xml:space="preserve"> ADDIN EN.CITE </w:instrText>
            </w:r>
            <w:r w:rsidR="002747EA">
              <w:fldChar w:fldCharType="begin">
                <w:fldData xml:space="preserve">PEVuZE5vdGU+PENpdGU+PEF1dGhvcj5MYXJzZW48L0F1dGhvcj48WWVhcj4yMDEzPC9ZZWFyPjxS
ZWNOdW0+ODA2PC9SZWNOdW0+PERpc3BsYXlUZXh0PjxzdHlsZSBmYWNlPSJzdXBlcnNjcmlwdCIg
Zm9udD0iVHJlYnVjaGV0IE1TIiBzaXplPSI5Ij4zNDE8L3N0eWxlPjwvRGlzcGxheVRleHQ+PHJl
Y29yZD48cmVjLW51bWJlcj44MDY8L3JlYy1udW1iZXI+PGZvcmVpZ24ta2V5cz48a2V5IGFwcD0i
RU4iIGRiLWlkPSJleHZhc3JmeDJkdHJhb2VzYXN4cDJzenN4YTJkZjUwMjU5MngiIHRpbWVzdGFt
cD0iMTU0MTU0MDQ2NyI+ODA2PC9rZXk+PGtleSBhcHA9IkVOV2ViIiBkYi1pZD0iIj4wPC9rZXk+
PC9mb3JlaWduLWtleXM+PHJlZi10eXBlIG5hbWU9IkpvdXJuYWwgQXJ0aWNsZSI+MTc8L3JlZi10
eXBlPjxjb250cmlidXRvcnM+PGF1dGhvcnM+PGF1dGhvcj5MYXJzZW4sIFAuIFMuPC9hdXRob3I+
PGF1dGhvcj5TdHJhbmRiZXJnLUxhcnNlbiwgSy48L2F1dGhvcj48YXV0aG9yPkp1aGwsIE0uPC9h
dXRob3I+PGF1dGhvcj5TdmVuZHNlbiwgUy4gVy48L2F1dGhvcj48YXV0aG9yPkJvbmRlLCBKLiBQ
LjwvYXV0aG9yPjxhdXRob3I+QW5kZXJzZW4sIEEuIE0uPC9hdXRob3I+PC9hdXRob3JzPjwvY29u
dHJpYnV0b3JzPjxhdXRoLWFkZHJlc3M+U2VjdGlvbiBvZiBTb2NpYWwgTWVkaWNpbmUsIERlcGFy
dG1lbnQgb2YgUHVibGljIEhlYWx0aCwgVW5pdmVyc2l0eSBvZiBDb3BlbmhhZ2VuLCBDb3Blbmhh
Z2VuIEssIERlbm1hcmsuIHBlcm5pbGxlbGFyc2VuQHN1bmQua3UuZGs8L2F1dGgtYWRkcmVzcz48
dGl0bGVzPjx0aXRsZT5PY2N1cGF0aW9uYWwgbGlmdGluZyBhbmQgcGVsdmljIHBhaW4gZHVyaW5n
IHByZWduYW5jeTogYSBzdHVkeSB3aXRoaW4gdGhlIERhbmlzaCBOYXRpb25hbCBCaXJ0aCBDb2hv
cnQ8L3RpdGxlPjxzZWNvbmRhcnktdGl0bGU+U2NhbmQgSiBXb3JrIEVudmlyb24gSGVhbHRoPC9z
ZWNvbmRhcnktdGl0bGU+PC90aXRsZXM+PHBlcmlvZGljYWw+PGZ1bGwtdGl0bGU+U2NhbmQgSiBX
b3JrIEVudmlyb24gSGVhbHRoPC9mdWxsLXRpdGxlPjwvcGVyaW9kaWNhbD48cGFnZXM+ODgtOTU8
L3BhZ2VzPjx2b2x1bWU+Mzk8L3ZvbHVtZT48bnVtYmVyPjE8L251bWJlcj48ZWRpdGlvbj4yMDEy
LzA1LzEwPC9lZGl0aW9uPjxrZXl3b3Jkcz48a2V5d29yZD5BYnNlbnRlZWlzbTwva2V5d29yZD48
a2V5d29yZD5BZHVsdDwva2V5d29yZD48a2V5d29yZD5Cb2R5IE1hc3MgSW5kZXg8L2tleXdvcmQ+
PGtleXdvcmQ+RGVubWFyay9lcGlkZW1pb2xvZ3k8L2tleXdvcmQ+PGtleXdvcmQ+RXhlcmNpc2U8
L2tleXdvcmQ+PGtleXdvcmQ+RmVtYWxlPC9rZXl3b3JkPjxrZXl3b3JkPkh1bWFuczwva2V5d29y
ZD48a2V5d29yZD5MaWZ0aW5nLyphZHZlcnNlIGVmZmVjdHM8L2tleXdvcmQ+PGtleXdvcmQ+T2Nj
dXBhdGlvbmFsIERpc2Vhc2VzL2VwaWRlbWlvbG9neS8qZXRpb2xvZ3k8L2tleXdvcmQ+PGtleXdv
cmQ+T2NjdXBhdGlvbmFsIEV4cG9zdXJlLyphZHZlcnNlIGVmZmVjdHMvc3RhdGlzdGljcyAmYW1w
OyBudW1lcmljYWwgZGF0YTwva2V5d29yZD48a2V5d29yZD5PY2N1cGF0aW9uYWwgSGVhbHRoPC9r
ZXl3b3JkPjxrZXl3b3JkPk9jY3VwYXRpb25zL3N0YXRpc3RpY3MgJmFtcDsgbnVtZXJpY2FsIGRh
dGE8L2tleXdvcmQ+PGtleXdvcmQ+UGVsdmljIFBhaW4vZXBpZGVtaW9sb2d5LypldGlvbG9neTwv
a2V5d29yZD48a2V5d29yZD5QcmVnbmFuY3k8L2tleXdvcmQ+PGtleXdvcmQ+UHJlZ25hbmN5IENv
bXBsaWNhdGlvbnMvKmV0aW9sb2d5PC9rZXl3b3JkPjxrZXl3b3JkPlJpc2sgRmFjdG9yczwva2V5
d29yZD48L2tleXdvcmRzPjxkYXRlcz48eWVhcj4yMDEzPC95ZWFyPjxwdWItZGF0ZXM+PGRhdGU+
SmFuPC9kYXRlPjwvcHViLWRhdGVzPjwvZGF0ZXM+PGlzYm4+MTc5NS05OTBYIChFbGVjdHJvbmlj
KSYjeEQ7MDM1NS0zMTQwIChMaW5raW5nKTwvaXNibj48YWNjZXNzaW9uLW51bT4yMjU2OTc3ODwv
YWNjZXNzaW9uLW51bT48dXJscz48cmVsYXRlZC11cmxzPjx1cmw+aHR0cHM6Ly93d3cubmNiaS5u
bG0ubmloLmdvdi9wdWJtZWQvMjI1Njk3Nzg8L3VybD48L3JlbGF0ZWQtdXJscz48L3VybHM+PGVs
ZWN0cm9uaWMtcmVzb3VyY2UtbnVtPjEwLjUyNzEvc2p3ZWguMzMwNDwvZWxlY3Ryb25pYy1yZXNv
dXJjZS1udW0+PC9yZWNvcmQ+PC9DaXRlPjwvRW5kTm90ZT4A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341</w:t>
            </w:r>
            <w:r w:rsidR="00283324">
              <w:fldChar w:fldCharType="end"/>
            </w:r>
          </w:p>
          <w:p w14:paraId="0528F77A" w14:textId="77777777" w:rsidR="003060CB" w:rsidRDefault="003060CB" w:rsidP="00A2497E">
            <w:pPr>
              <w:keepNext/>
            </w:pPr>
            <w:r>
              <w:t>Denmark</w:t>
            </w:r>
          </w:p>
        </w:tc>
        <w:tc>
          <w:tcPr>
            <w:tcW w:w="1247" w:type="dxa"/>
          </w:tcPr>
          <w:p w14:paraId="0FAAB467" w14:textId="77777777" w:rsidR="003060CB" w:rsidRDefault="003060CB" w:rsidP="00A2497E">
            <w:pPr>
              <w:keepNext/>
            </w:pPr>
            <w:r>
              <w:t>50,143 women</w:t>
            </w:r>
          </w:p>
          <w:p w14:paraId="22D785EC" w14:textId="77777777" w:rsidR="003060CB" w:rsidRDefault="003060CB" w:rsidP="00A2497E">
            <w:pPr>
              <w:keepNext/>
            </w:pPr>
            <w:r>
              <w:t>Cohort</w:t>
            </w:r>
          </w:p>
        </w:tc>
        <w:tc>
          <w:tcPr>
            <w:tcW w:w="4961" w:type="dxa"/>
          </w:tcPr>
          <w:p w14:paraId="4139728B" w14:textId="77777777" w:rsidR="003060CB" w:rsidRDefault="003060CB" w:rsidP="005005AE">
            <w:pPr>
              <w:rPr>
                <w:b/>
              </w:rPr>
            </w:pPr>
            <w:r>
              <w:rPr>
                <w:b/>
              </w:rPr>
              <w:t>Aim</w:t>
            </w:r>
            <w:r w:rsidRPr="008A4D1D">
              <w:t>: To examine the association between occupational lifting and pelvic pain in pregnancy.</w:t>
            </w:r>
          </w:p>
          <w:p w14:paraId="53EC2718" w14:textId="77777777" w:rsidR="003060CB" w:rsidRPr="005005AE" w:rsidRDefault="003060CB" w:rsidP="005005AE">
            <w:pPr>
              <w:rPr>
                <w:b/>
              </w:rPr>
            </w:pPr>
            <w:r>
              <w:rPr>
                <w:b/>
              </w:rPr>
              <w:t xml:space="preserve">Methods: </w:t>
            </w:r>
            <w:r w:rsidRPr="008A4D1D">
              <w:t>During pregnancy, women provided information on occupational lifting (weight load and daily frequency) and 6 months postpartum on pelvic pain. Adjusted odds ratios for pelvic pain during pregnancy according to occupational lifting were calculated by logistic regression.</w:t>
            </w:r>
          </w:p>
        </w:tc>
        <w:tc>
          <w:tcPr>
            <w:tcW w:w="4536" w:type="dxa"/>
          </w:tcPr>
          <w:p w14:paraId="25A4B370" w14:textId="77777777" w:rsidR="003060CB" w:rsidRDefault="003060CB" w:rsidP="005005AE">
            <w:r>
              <w:t>Lifting versus no lifting:</w:t>
            </w:r>
          </w:p>
          <w:p w14:paraId="3A84A2DC" w14:textId="77777777" w:rsidR="003060CB" w:rsidRDefault="003060CB" w:rsidP="00D857B7">
            <w:pPr>
              <w:pStyle w:val="bullet"/>
            </w:pPr>
            <w:r>
              <w:t>15-100 kg/day: aOR 1.06; 95%CI 0.99 to 1.13</w:t>
            </w:r>
          </w:p>
          <w:p w14:paraId="0D689D3A" w14:textId="77777777" w:rsidR="003060CB" w:rsidRDefault="003060CB" w:rsidP="00D857B7">
            <w:pPr>
              <w:pStyle w:val="bullet"/>
            </w:pPr>
            <w:r>
              <w:t>101-200 kg/day: aOR 1.21; 95%CI 1.09 to 1.34</w:t>
            </w:r>
          </w:p>
          <w:p w14:paraId="0164829B" w14:textId="77777777" w:rsidR="003060CB" w:rsidRDefault="003060CB" w:rsidP="00D857B7">
            <w:pPr>
              <w:pStyle w:val="bullet"/>
            </w:pPr>
            <w:r>
              <w:t>201-500 kg/day: aOR 1.45; 95%CI 1.31 to 1.60</w:t>
            </w:r>
          </w:p>
          <w:p w14:paraId="07F32132" w14:textId="77777777" w:rsidR="003060CB" w:rsidRDefault="003060CB" w:rsidP="00D857B7">
            <w:pPr>
              <w:pStyle w:val="bullet"/>
            </w:pPr>
            <w:r>
              <w:t>501-1,000 kg/day: aOR 1.45; 95%CI 1.23 to 1.72</w:t>
            </w:r>
          </w:p>
          <w:p w14:paraId="154D2713" w14:textId="77777777" w:rsidR="003060CB" w:rsidRPr="005005AE" w:rsidRDefault="003060CB" w:rsidP="00C83E42">
            <w:pPr>
              <w:pStyle w:val="bullet"/>
            </w:pPr>
            <w:r>
              <w:t>&gt;1,000 kg/day: aOR 1.31; 95%CI 1.02 to 1.69</w:t>
            </w:r>
          </w:p>
        </w:tc>
        <w:tc>
          <w:tcPr>
            <w:tcW w:w="1843" w:type="dxa"/>
          </w:tcPr>
          <w:p w14:paraId="4BE0D3D0" w14:textId="77777777" w:rsidR="003060CB" w:rsidRPr="00AF7D6C" w:rsidRDefault="003060CB" w:rsidP="00A2497E">
            <w:pPr>
              <w:keepNext/>
            </w:pPr>
          </w:p>
        </w:tc>
      </w:tr>
      <w:tr w:rsidR="003060CB" w:rsidRPr="00AF7D6C" w14:paraId="38B057DC" w14:textId="77777777" w:rsidTr="00E01A84">
        <w:trPr>
          <w:cantSplit/>
        </w:trPr>
        <w:tc>
          <w:tcPr>
            <w:tcW w:w="1305" w:type="dxa"/>
          </w:tcPr>
          <w:p w14:paraId="00681E82" w14:textId="189FF956" w:rsidR="003060CB" w:rsidRDefault="003060CB" w:rsidP="00053FBC">
            <w:pPr>
              <w:keepNext/>
            </w:pPr>
            <w:r>
              <w:t>Mocevic et al 2014</w:t>
            </w:r>
            <w:r>
              <w:fldChar w:fldCharType="begin">
                <w:fldData xml:space="preserve">PEVuZE5vdGU+PENpdGU+PEF1dGhvcj5Nb2NldmljPC9BdXRob3I+PFllYXI+MjAxNDwvWWVhcj48
UmVjTnVtPjEyMjk8L1JlY051bT48RGlzcGxheVRleHQ+PHN0eWxlIGZhY2U9InN1cGVyc2NyaXB0
IiBmb250PSJUcmVidWNoZXQgTVMiIHNpemU9IjkiPjMyODwvc3R5bGU+PC9EaXNwbGF5VGV4dD48
cmVjb3JkPjxyZWMtbnVtYmVyPjEyMjk8L3JlYy1udW1iZXI+PGZvcmVpZ24ta2V5cz48a2V5IGFw
cD0iRU4iIGRiLWlkPSJleHZhc3JmeDJkdHJhb2VzYXN4cDJzenN4YTJkZjUwMjU5MngiIHRpbWVz
dGFtcD0iMTU2MjQ3MjIxNSI+MTIyOTwva2V5PjxrZXkgYXBwPSJFTldlYiIgZGItaWQ9IiI+MDwv
a2V5PjwvZm9yZWlnbi1rZXlzPjxyZWYtdHlwZSBuYW1lPSJKb3VybmFsIEFydGljbGUiPjE3PC9y
ZWYtdHlwZT48Y29udHJpYnV0b3JzPjxhdXRob3JzPjxhdXRob3I+TW9jZXZpYywgRS48L2F1dGhv
cj48YXV0aG9yPlN2ZW5kc2VuLCBTLiBXLjwvYXV0aG9yPjxhdXRob3I+Sm9yZ2Vuc2VuLCBLLiBU
LjwvYXV0aG9yPjxhdXRob3I+RnJvc3QsIFAuPC9hdXRob3I+PGF1dGhvcj5Cb25kZSwgSi4gUC48
L2F1dGhvcj48L2F1dGhvcnM+PC9jb250cmlidXRvcnM+PGF1dGgtYWRkcmVzcz5EZXBhcnRtZW50
IG9mIE9jY3VwYXRpb25hbCBhbmQgRW52aXJvbm1lbnRhbCBNZWRpY2luZSwgQmlzcGViamVyZyBI
b3NwaXRhbCwgVW5pdmVyc2l0eSBvZiBDb3BlbmhhZ2VuLCBDb3BlaGFnZW4sIERlbm1hcmsuJiN4
RDtEYW5pc2ggUmFtYXp6aW5pIENlbnRyZSwgVW5pdmVyc2l0eSBEZXBhcnRtZW50IG9mIE9jY3Vw
YXRpb25hbCBNZWRpY2luZSwgSGVybmluZyBSZWdpb25hbCBIb3NwaXRhbCwgSGVybmluZywgRGVu
bWFyay4mI3hEO0RhbmlzaCBSYW1henppbmkgQ2VudHJlLCBEZXBhcnRtZW50IG9mIE9jY3VwYXRp
b25hbCBNZWRpY2luZSwgQWFyaHVzIFVuaXZlcnNpdHkgSG9zcGl0YWwsIEFhcmh1cywgRGVubWFy
ay48L2F1dGgtYWRkcmVzcz48dGl0bGVzPjx0aXRsZT5PY2N1cGF0aW9uYWwgbGlmdGluZywgZmV0
YWwgZGVhdGggYW5kIHByZXRlcm0gYmlydGg6IGZpbmRpbmdzIGZyb20gdGhlIERhbmlzaCBOYXRp
b25hbCBCaXJ0aCBDb2hvcnQgdXNpbmcgYSBqb2IgZXhwb3N1cmUgbWF0cml4PC90aXRsZT48c2Vj
b25kYXJ5LXRpdGxlPlBMb1MgT25lPC9zZWNvbmRhcnktdGl0bGU+PC90aXRsZXM+PHBlcmlvZGlj
YWw+PGZ1bGwtdGl0bGU+UExvUyBPbmU8L2Z1bGwtdGl0bGU+PC9wZXJpb2RpY2FsPjxwYWdlcz5l
OTA1NTA8L3BhZ2VzPjx2b2x1bWU+OTwvdm9sdW1lPjxudW1iZXI+MzwvbnVtYmVyPjxlZGl0aW9u
PjIwMTQvMDMvMTM8L2VkaXRpb24+PGtleXdvcmRzPjxrZXl3b3JkPkFkb2xlc2NlbnQ8L2tleXdv
cmQ+PGtleXdvcmQ+QWR1bHQ8L2tleXdvcmQ+PGtleXdvcmQ+Q29ob3J0IFN0dWRpZXM8L2tleXdv
cmQ+PGtleXdvcmQ+RGVubWFyay9lcGlkZW1pb2xvZ3k8L2tleXdvcmQ+PGtleXdvcmQ+RmVtYWxl
PC9rZXl3b3JkPjxrZXl3b3JkPipGZXRhbCBEZWF0aDwva2V5d29yZD48a2V5d29yZD5HZXN0YXRp
b25hbCBBZ2U8L2tleXdvcmQ+PGtleXdvcmQ+SHVtYW5zPC9rZXl3b3JkPjxrZXl3b3JkPipMaWZ0
aW5nPC9rZXl3b3JkPjxrZXl3b3JkPk1pZGRsZSBBZ2VkPC9rZXl3b3JkPjxrZXl3b3JkPk9jY3Vw
YXRpb25hbCBFeHBvc3VyZS8qYWR2ZXJzZSBlZmZlY3RzPC9rZXl3b3JkPjxrZXl3b3JkPlByZWdu
YW5jeTwva2V5d29yZD48a2V5d29yZD5QcmVnbmFuY3kgT3V0Y29tZTwva2V5d29yZD48a2V5d29y
ZD5QcmVtYXR1cmUgQmlydGgvKmVwaWRlbWlvbG9neTwva2V5d29yZD48a2V5d29yZD5Qcm9wb3J0
aW9uYWwgSGF6YXJkcyBNb2RlbHM8L2tleXdvcmQ+PGtleXdvcmQ+WW91bmcgQWR1bHQ8L2tleXdv
cmQ+PC9rZXl3b3Jkcz48ZGF0ZXM+PHllYXI+MjAxNDwveWVhcj48L2RhdGVzPjxpc2JuPjE5MzIt
NjIwMyAoRWxlY3Ryb25pYykmI3hEOzE5MzItNjIwMyAoTGlua2luZyk8L2lzYm4+PGFjY2Vzc2lv
bi1udW0+MjQ2MTQxMjk8L2FjY2Vzc2lvbi1udW0+PHVybHM+PHJlbGF0ZWQtdXJscz48dXJsPmh0
dHBzOi8vd3d3Lm5jYmkubmxtLm5paC5nb3YvcHVibWVkLzI0NjE0MTI5PC91cmw+PC9yZWxhdGVk
LXVybHM+PC91cmxzPjxjdXN0b20yPlBNQzM5NDg2NzY8L2N1c3RvbTI+PGVsZWN0cm9uaWMtcmVz
b3VyY2UtbnVtPjEwLjEzNzEvam91cm5hbC5wb25lLjAwOTA1NTA8L2VsZWN0cm9uaWMtcmVzb3Vy
Y2UtbnVtPjwvcmVjb3JkPjwvQ2l0ZT48L0VuZE5vdGU+
</w:fldData>
              </w:fldChar>
            </w:r>
            <w:r w:rsidR="002747EA">
              <w:instrText xml:space="preserve"> ADDIN EN.CITE </w:instrText>
            </w:r>
            <w:r w:rsidR="002747EA">
              <w:fldChar w:fldCharType="begin">
                <w:fldData xml:space="preserve">PEVuZE5vdGU+PENpdGU+PEF1dGhvcj5Nb2NldmljPC9BdXRob3I+PFllYXI+MjAxNDwvWWVhcj48
UmVjTnVtPjEyMjk8L1JlY051bT48RGlzcGxheVRleHQ+PHN0eWxlIGZhY2U9InN1cGVyc2NyaXB0
IiBmb250PSJUcmVidWNoZXQgTVMiIHNpemU9IjkiPjMyODwvc3R5bGU+PC9EaXNwbGF5VGV4dD48
cmVjb3JkPjxyZWMtbnVtYmVyPjEyMjk8L3JlYy1udW1iZXI+PGZvcmVpZ24ta2V5cz48a2V5IGFw
cD0iRU4iIGRiLWlkPSJleHZhc3JmeDJkdHJhb2VzYXN4cDJzenN4YTJkZjUwMjU5MngiIHRpbWVz
dGFtcD0iMTU2MjQ3MjIxNSI+MTIyOTwva2V5PjxrZXkgYXBwPSJFTldlYiIgZGItaWQ9IiI+MDwv
a2V5PjwvZm9yZWlnbi1rZXlzPjxyZWYtdHlwZSBuYW1lPSJKb3VybmFsIEFydGljbGUiPjE3PC9y
ZWYtdHlwZT48Y29udHJpYnV0b3JzPjxhdXRob3JzPjxhdXRob3I+TW9jZXZpYywgRS48L2F1dGhv
cj48YXV0aG9yPlN2ZW5kc2VuLCBTLiBXLjwvYXV0aG9yPjxhdXRob3I+Sm9yZ2Vuc2VuLCBLLiBU
LjwvYXV0aG9yPjxhdXRob3I+RnJvc3QsIFAuPC9hdXRob3I+PGF1dGhvcj5Cb25kZSwgSi4gUC48
L2F1dGhvcj48L2F1dGhvcnM+PC9jb250cmlidXRvcnM+PGF1dGgtYWRkcmVzcz5EZXBhcnRtZW50
IG9mIE9jY3VwYXRpb25hbCBhbmQgRW52aXJvbm1lbnRhbCBNZWRpY2luZSwgQmlzcGViamVyZyBI
b3NwaXRhbCwgVW5pdmVyc2l0eSBvZiBDb3BlbmhhZ2VuLCBDb3BlaGFnZW4sIERlbm1hcmsuJiN4
RDtEYW5pc2ggUmFtYXp6aW5pIENlbnRyZSwgVW5pdmVyc2l0eSBEZXBhcnRtZW50IG9mIE9jY3Vw
YXRpb25hbCBNZWRpY2luZSwgSGVybmluZyBSZWdpb25hbCBIb3NwaXRhbCwgSGVybmluZywgRGVu
bWFyay4mI3hEO0RhbmlzaCBSYW1henppbmkgQ2VudHJlLCBEZXBhcnRtZW50IG9mIE9jY3VwYXRp
b25hbCBNZWRpY2luZSwgQWFyaHVzIFVuaXZlcnNpdHkgSG9zcGl0YWwsIEFhcmh1cywgRGVubWFy
ay48L2F1dGgtYWRkcmVzcz48dGl0bGVzPjx0aXRsZT5PY2N1cGF0aW9uYWwgbGlmdGluZywgZmV0
YWwgZGVhdGggYW5kIHByZXRlcm0gYmlydGg6IGZpbmRpbmdzIGZyb20gdGhlIERhbmlzaCBOYXRp
b25hbCBCaXJ0aCBDb2hvcnQgdXNpbmcgYSBqb2IgZXhwb3N1cmUgbWF0cml4PC90aXRsZT48c2Vj
b25kYXJ5LXRpdGxlPlBMb1MgT25lPC9zZWNvbmRhcnktdGl0bGU+PC90aXRsZXM+PHBlcmlvZGlj
YWw+PGZ1bGwtdGl0bGU+UExvUyBPbmU8L2Z1bGwtdGl0bGU+PC9wZXJpb2RpY2FsPjxwYWdlcz5l
OTA1NTA8L3BhZ2VzPjx2b2x1bWU+OTwvdm9sdW1lPjxudW1iZXI+MzwvbnVtYmVyPjxlZGl0aW9u
PjIwMTQvMDMvMTM8L2VkaXRpb24+PGtleXdvcmRzPjxrZXl3b3JkPkFkb2xlc2NlbnQ8L2tleXdv
cmQ+PGtleXdvcmQ+QWR1bHQ8L2tleXdvcmQ+PGtleXdvcmQ+Q29ob3J0IFN0dWRpZXM8L2tleXdv
cmQ+PGtleXdvcmQ+RGVubWFyay9lcGlkZW1pb2xvZ3k8L2tleXdvcmQ+PGtleXdvcmQ+RmVtYWxl
PC9rZXl3b3JkPjxrZXl3b3JkPipGZXRhbCBEZWF0aDwva2V5d29yZD48a2V5d29yZD5HZXN0YXRp
b25hbCBBZ2U8L2tleXdvcmQ+PGtleXdvcmQ+SHVtYW5zPC9rZXl3b3JkPjxrZXl3b3JkPipMaWZ0
aW5nPC9rZXl3b3JkPjxrZXl3b3JkPk1pZGRsZSBBZ2VkPC9rZXl3b3JkPjxrZXl3b3JkPk9jY3Vw
YXRpb25hbCBFeHBvc3VyZS8qYWR2ZXJzZSBlZmZlY3RzPC9rZXl3b3JkPjxrZXl3b3JkPlByZWdu
YW5jeTwva2V5d29yZD48a2V5d29yZD5QcmVnbmFuY3kgT3V0Y29tZTwva2V5d29yZD48a2V5d29y
ZD5QcmVtYXR1cmUgQmlydGgvKmVwaWRlbWlvbG9neTwva2V5d29yZD48a2V5d29yZD5Qcm9wb3J0
aW9uYWwgSGF6YXJkcyBNb2RlbHM8L2tleXdvcmQ+PGtleXdvcmQ+WW91bmcgQWR1bHQ8L2tleXdv
cmQ+PC9rZXl3b3Jkcz48ZGF0ZXM+PHllYXI+MjAxNDwveWVhcj48L2RhdGVzPjxpc2JuPjE5MzIt
NjIwMyAoRWxlY3Ryb25pYykmI3hEOzE5MzItNjIwMyAoTGlua2luZyk8L2lzYm4+PGFjY2Vzc2lv
bi1udW0+MjQ2MTQxMjk8L2FjY2Vzc2lvbi1udW0+PHVybHM+PHJlbGF0ZWQtdXJscz48dXJsPmh0
dHBzOi8vd3d3Lm5jYmkubmxtLm5paC5nb3YvcHVibWVkLzI0NjE0MTI5PC91cmw+PC9yZWxhdGVk
LXVybHM+PC91cmxzPjxjdXN0b20yPlBNQzM5NDg2NzY8L2N1c3RvbTI+PGVsZWN0cm9uaWMtcmVz
b3VyY2UtbnVtPjEwLjEzNzEvam91cm5hbC5wb25lLjAwOTA1NTA8L2VsZWN0cm9uaWMtcmVzb3Vy
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328</w:t>
            </w:r>
            <w:r>
              <w:fldChar w:fldCharType="end"/>
            </w:r>
          </w:p>
          <w:p w14:paraId="35670D83" w14:textId="77777777" w:rsidR="003060CB" w:rsidRDefault="003060CB" w:rsidP="00053FBC">
            <w:pPr>
              <w:keepNext/>
            </w:pPr>
            <w:r>
              <w:t>Denmark</w:t>
            </w:r>
          </w:p>
        </w:tc>
        <w:tc>
          <w:tcPr>
            <w:tcW w:w="1247" w:type="dxa"/>
          </w:tcPr>
          <w:p w14:paraId="4D7E1B7B" w14:textId="77777777" w:rsidR="003060CB" w:rsidRDefault="003060CB" w:rsidP="00053FBC">
            <w:pPr>
              <w:keepNext/>
            </w:pPr>
            <w:r>
              <w:t>Fetal death: 68,086</w:t>
            </w:r>
          </w:p>
          <w:p w14:paraId="79F10B15" w14:textId="77777777" w:rsidR="003060CB" w:rsidRDefault="003060CB" w:rsidP="00053FBC">
            <w:pPr>
              <w:keepNext/>
            </w:pPr>
            <w:r>
              <w:t>Preterm birth: 65,530</w:t>
            </w:r>
          </w:p>
          <w:p w14:paraId="2F4316D2" w14:textId="77777777" w:rsidR="003060CB" w:rsidRDefault="003060CB" w:rsidP="00053FBC">
            <w:pPr>
              <w:keepNext/>
            </w:pPr>
            <w:r>
              <w:t>Cohort</w:t>
            </w:r>
          </w:p>
        </w:tc>
        <w:tc>
          <w:tcPr>
            <w:tcW w:w="4961" w:type="dxa"/>
          </w:tcPr>
          <w:p w14:paraId="3BCF493C" w14:textId="77777777" w:rsidR="003060CB" w:rsidRPr="00903545" w:rsidRDefault="003060CB" w:rsidP="00903545">
            <w:r>
              <w:rPr>
                <w:b/>
              </w:rPr>
              <w:t xml:space="preserve">Aim: </w:t>
            </w:r>
            <w:r w:rsidRPr="00903545">
              <w:t>examined the association between occupational lifting during pregnancy and risk of fetal death and preterm birth using a job exposure matrix (JEM).</w:t>
            </w:r>
          </w:p>
          <w:p w14:paraId="1A395F90" w14:textId="77777777" w:rsidR="003060CB" w:rsidRPr="00903545" w:rsidRDefault="003060CB" w:rsidP="00053FBC">
            <w:r>
              <w:rPr>
                <w:b/>
              </w:rPr>
              <w:t xml:space="preserve">Methods: </w:t>
            </w:r>
            <w:r w:rsidRPr="00903545">
              <w:t xml:space="preserve">For occupationally active women in the Danish National Birth Cohort, interview information on occupational lifting was collected around gestational week 16. A JEM was established based on information from women who were still pregnant when interviewed. The JEM provided mean total loads lifted per day within homogeneous exposure groups as informed by job and industry codes. All women were assigned an exposure estimate from the JEM. Cox regression models with gestational age as underlying time variable </w:t>
            </w:r>
            <w:r>
              <w:t xml:space="preserve">were used </w:t>
            </w:r>
            <w:r w:rsidRPr="00903545">
              <w:t>and adjustment for covariates</w:t>
            </w:r>
            <w:r>
              <w:t xml:space="preserve"> conducted</w:t>
            </w:r>
            <w:r w:rsidRPr="00903545">
              <w:t>.</w:t>
            </w:r>
          </w:p>
        </w:tc>
        <w:tc>
          <w:tcPr>
            <w:tcW w:w="4536" w:type="dxa"/>
          </w:tcPr>
          <w:p w14:paraId="2613C5D8" w14:textId="77777777" w:rsidR="003060CB" w:rsidRDefault="003060CB" w:rsidP="00053FBC">
            <w:pPr>
              <w:keepNext/>
            </w:pPr>
            <w:r>
              <w:t>Multigravid women with prior fetal death</w:t>
            </w:r>
          </w:p>
          <w:p w14:paraId="5F99C197" w14:textId="77777777" w:rsidR="003060CB" w:rsidRPr="00C55BBD" w:rsidRDefault="003060CB" w:rsidP="00053FBC">
            <w:pPr>
              <w:keepNext/>
              <w:rPr>
                <w:i/>
              </w:rPr>
            </w:pPr>
            <w:r w:rsidRPr="00C55BBD">
              <w:rPr>
                <w:i/>
              </w:rPr>
              <w:t>Early miscarriage (≤12 wks)</w:t>
            </w:r>
          </w:p>
          <w:p w14:paraId="28A49AB2" w14:textId="77777777" w:rsidR="003060CB" w:rsidRDefault="003060CB" w:rsidP="00903545">
            <w:pPr>
              <w:pStyle w:val="bullet"/>
            </w:pPr>
            <w:r>
              <w:t>101-200 kg/day: aHR 1.23 (0.73 to 1.83)</w:t>
            </w:r>
          </w:p>
          <w:p w14:paraId="4DCF542A" w14:textId="77777777" w:rsidR="003060CB" w:rsidRDefault="003060CB" w:rsidP="00903545">
            <w:pPr>
              <w:pStyle w:val="bullet"/>
            </w:pPr>
            <w:r>
              <w:t>201-975 kg/day: aHR 1.00 (0.57 to 1.77)</w:t>
            </w:r>
          </w:p>
          <w:p w14:paraId="25DC9D43" w14:textId="77777777" w:rsidR="003060CB" w:rsidRPr="00C55BBD" w:rsidRDefault="003060CB" w:rsidP="00903545">
            <w:pPr>
              <w:keepNext/>
              <w:rPr>
                <w:i/>
              </w:rPr>
            </w:pPr>
            <w:r w:rsidRPr="00C55BBD">
              <w:rPr>
                <w:i/>
              </w:rPr>
              <w:t>Late miscarriage (13-21 weeks)</w:t>
            </w:r>
          </w:p>
          <w:p w14:paraId="1B89CA31" w14:textId="77777777" w:rsidR="003060CB" w:rsidRDefault="003060CB" w:rsidP="00903545">
            <w:pPr>
              <w:pStyle w:val="bullet"/>
            </w:pPr>
            <w:r>
              <w:t>101-200 kg/day: aHR 1.37 (0.92 to 2.03)</w:t>
            </w:r>
          </w:p>
          <w:p w14:paraId="101E6BC8" w14:textId="77777777" w:rsidR="003060CB" w:rsidRDefault="003060CB" w:rsidP="00903545">
            <w:pPr>
              <w:pStyle w:val="bullet"/>
            </w:pPr>
            <w:r>
              <w:t>201-975 kg/day: aHR 1.14 (0.67 to 1.92)</w:t>
            </w:r>
          </w:p>
          <w:p w14:paraId="7A19910C" w14:textId="77777777" w:rsidR="003060CB" w:rsidRPr="00C55BBD" w:rsidRDefault="003060CB" w:rsidP="00903545">
            <w:pPr>
              <w:keepNext/>
              <w:rPr>
                <w:i/>
              </w:rPr>
            </w:pPr>
            <w:r w:rsidRPr="00C55BBD">
              <w:rPr>
                <w:i/>
              </w:rPr>
              <w:t>Stillbirth (≥22 weeks)</w:t>
            </w:r>
          </w:p>
          <w:p w14:paraId="41DE7ECF" w14:textId="77777777" w:rsidR="003060CB" w:rsidRDefault="003060CB" w:rsidP="00903545">
            <w:pPr>
              <w:pStyle w:val="bullet"/>
            </w:pPr>
            <w:r>
              <w:t>101-200 kg/day: aHR 0.90 (0.36 to 2.24)</w:t>
            </w:r>
          </w:p>
          <w:p w14:paraId="0FB39202" w14:textId="77777777" w:rsidR="003060CB" w:rsidRDefault="003060CB" w:rsidP="00903545">
            <w:pPr>
              <w:pStyle w:val="bullet"/>
            </w:pPr>
            <w:r>
              <w:t>201-975 kg/day: aHR 2.87 (1.37 to 6.01)</w:t>
            </w:r>
          </w:p>
          <w:p w14:paraId="76F52327" w14:textId="77777777" w:rsidR="003060CB" w:rsidRDefault="003060CB" w:rsidP="00903545">
            <w:pPr>
              <w:keepNext/>
            </w:pPr>
            <w:r>
              <w:t xml:space="preserve">Multigravid women without prior fetal death </w:t>
            </w:r>
          </w:p>
          <w:p w14:paraId="3552737F" w14:textId="77777777" w:rsidR="003060CB" w:rsidRPr="00C55BBD" w:rsidRDefault="003060CB" w:rsidP="00111CBD">
            <w:pPr>
              <w:keepNext/>
              <w:rPr>
                <w:i/>
              </w:rPr>
            </w:pPr>
            <w:r w:rsidRPr="00C55BBD">
              <w:rPr>
                <w:i/>
              </w:rPr>
              <w:t>Early miscarriage (≤12 wks)</w:t>
            </w:r>
          </w:p>
          <w:p w14:paraId="3725B15E" w14:textId="77777777" w:rsidR="003060CB" w:rsidRDefault="003060CB" w:rsidP="00111CBD">
            <w:pPr>
              <w:pStyle w:val="bullet"/>
            </w:pPr>
            <w:r>
              <w:t>101-200 kg/day: aHR 1.17 (0.88 to 1.56)</w:t>
            </w:r>
          </w:p>
          <w:p w14:paraId="3C124202" w14:textId="77777777" w:rsidR="003060CB" w:rsidRDefault="003060CB" w:rsidP="00111CBD">
            <w:pPr>
              <w:pStyle w:val="bullet"/>
            </w:pPr>
            <w:r>
              <w:t>201-975 kg/day: aHR 1.00 (0.68 to 1.48)</w:t>
            </w:r>
          </w:p>
          <w:p w14:paraId="237B1EEB" w14:textId="77777777" w:rsidR="003060CB" w:rsidRPr="00C55BBD" w:rsidRDefault="003060CB" w:rsidP="00053FBC">
            <w:pPr>
              <w:keepNext/>
              <w:rPr>
                <w:i/>
              </w:rPr>
            </w:pPr>
            <w:r w:rsidRPr="00C55BBD">
              <w:rPr>
                <w:i/>
              </w:rPr>
              <w:t>Late miscarriage (13-21 weeks)</w:t>
            </w:r>
          </w:p>
          <w:p w14:paraId="455DEF31" w14:textId="77777777" w:rsidR="003060CB" w:rsidRDefault="003060CB" w:rsidP="00111CBD">
            <w:pPr>
              <w:pStyle w:val="bullet"/>
            </w:pPr>
            <w:r>
              <w:t>101-200 kg/day: aHR 1.27 (0.97 to 1.68)</w:t>
            </w:r>
          </w:p>
          <w:p w14:paraId="3FAE1221" w14:textId="77777777" w:rsidR="003060CB" w:rsidRDefault="003060CB" w:rsidP="00111CBD">
            <w:pPr>
              <w:pStyle w:val="bullet"/>
            </w:pPr>
            <w:r>
              <w:t>201-975 kg/day: aHR 0.95 (0.64 to 1.40)</w:t>
            </w:r>
          </w:p>
          <w:p w14:paraId="13FA41F9" w14:textId="77777777" w:rsidR="003060CB" w:rsidRPr="00C55BBD" w:rsidRDefault="003060CB" w:rsidP="00053FBC">
            <w:pPr>
              <w:keepNext/>
              <w:rPr>
                <w:i/>
              </w:rPr>
            </w:pPr>
            <w:r w:rsidRPr="00C55BBD">
              <w:rPr>
                <w:i/>
              </w:rPr>
              <w:t>Stillbirth (≥22 weeks)</w:t>
            </w:r>
          </w:p>
          <w:p w14:paraId="02C1B9F6" w14:textId="77777777" w:rsidR="003060CB" w:rsidRDefault="003060CB" w:rsidP="00111CBD">
            <w:pPr>
              <w:pStyle w:val="bullet"/>
            </w:pPr>
            <w:r>
              <w:t>101-200 kg/day: aHR 1.23 (0.73 to 2.05)</w:t>
            </w:r>
          </w:p>
          <w:p w14:paraId="5D07D74D" w14:textId="77777777" w:rsidR="003060CB" w:rsidRDefault="003060CB" w:rsidP="00903545">
            <w:pPr>
              <w:pStyle w:val="bullet"/>
            </w:pPr>
            <w:r>
              <w:t>201-975 kg/day: aHR 0.75 (0.34 to 1.67)</w:t>
            </w:r>
          </w:p>
          <w:p w14:paraId="10DB8303" w14:textId="77777777" w:rsidR="003060CB" w:rsidRDefault="003060CB" w:rsidP="00C55BBD">
            <w:r>
              <w:t>Preterm birth among primigravid women</w:t>
            </w:r>
          </w:p>
          <w:p w14:paraId="503DD2FF" w14:textId="77777777" w:rsidR="003060CB" w:rsidRDefault="003060CB" w:rsidP="00C55BBD">
            <w:pPr>
              <w:pStyle w:val="bullet"/>
            </w:pPr>
            <w:r>
              <w:t>101-200 kg/day: aHR 1.34 (1.14 to 1.58)</w:t>
            </w:r>
          </w:p>
          <w:p w14:paraId="6ED4505C" w14:textId="77777777" w:rsidR="003060CB" w:rsidRDefault="003060CB" w:rsidP="00C55BBD">
            <w:pPr>
              <w:pStyle w:val="bullet"/>
            </w:pPr>
            <w:r>
              <w:t>201-975 kg/day: aHR 1.43 (1.13 to 1.80)</w:t>
            </w:r>
          </w:p>
          <w:p w14:paraId="621BBD73" w14:textId="77777777" w:rsidR="003060CB" w:rsidRDefault="003060CB" w:rsidP="00C55BBD">
            <w:r>
              <w:t>Preterm birth among multigravid women:</w:t>
            </w:r>
          </w:p>
          <w:p w14:paraId="5D3FD17F" w14:textId="77777777" w:rsidR="003060CB" w:rsidRDefault="003060CB" w:rsidP="00C55BBD">
            <w:pPr>
              <w:pStyle w:val="bullet"/>
            </w:pPr>
            <w:r>
              <w:t>101-200 kg/day: aHR 1.17 (1.00 to 1.36)</w:t>
            </w:r>
          </w:p>
          <w:p w14:paraId="7454E47A" w14:textId="77777777" w:rsidR="003060CB" w:rsidRPr="00C55BBD" w:rsidRDefault="003060CB" w:rsidP="00C55BBD">
            <w:pPr>
              <w:pStyle w:val="bullet"/>
            </w:pPr>
            <w:r>
              <w:t>201-975 kg/day: aHR 1.09 (0.89 to 1.33)</w:t>
            </w:r>
          </w:p>
        </w:tc>
        <w:tc>
          <w:tcPr>
            <w:tcW w:w="1843" w:type="dxa"/>
          </w:tcPr>
          <w:p w14:paraId="77CE195F" w14:textId="77777777" w:rsidR="003060CB" w:rsidRPr="00AF7D6C" w:rsidRDefault="003060CB" w:rsidP="00053FBC">
            <w:pPr>
              <w:keepNext/>
            </w:pPr>
          </w:p>
        </w:tc>
      </w:tr>
      <w:tr w:rsidR="003060CB" w:rsidRPr="00AF7D6C" w14:paraId="66A1FD06" w14:textId="77777777" w:rsidTr="00E01A84">
        <w:trPr>
          <w:cantSplit/>
        </w:trPr>
        <w:tc>
          <w:tcPr>
            <w:tcW w:w="1305" w:type="dxa"/>
          </w:tcPr>
          <w:p w14:paraId="6027609F" w14:textId="7B6889C6" w:rsidR="003060CB" w:rsidRDefault="003060CB" w:rsidP="00053FBC">
            <w:pPr>
              <w:keepNext/>
            </w:pPr>
            <w:r>
              <w:t>Nelson et al 2009</w:t>
            </w:r>
            <w:r>
              <w:fldChar w:fldCharType="begin"/>
            </w:r>
            <w:r w:rsidR="002747EA">
              <w:instrText xml:space="preserve"> ADDIN EN.CITE &lt;EndNote&gt;&lt;Cite&gt;&lt;Author&gt;Nelson&lt;/Author&gt;&lt;Year&gt;2009&lt;/Year&gt;&lt;RecNum&gt;1496&lt;/RecNum&gt;&lt;DisplayText&gt;&lt;style face="superscript" font="Trebuchet MS" size="9"&gt;336&lt;/style&gt;&lt;/DisplayText&gt;&lt;record&gt;&lt;rec-number&gt;1496&lt;/rec-number&gt;&lt;foreign-keys&gt;&lt;key app="EN" db-id="exvasrfx2dtraoesasxp2szsxa2df502592x" timestamp="1574314563"&gt;1496&lt;/key&gt;&lt;/foreign-keys&gt;&lt;ref-type name="Journal Article"&gt;17&lt;/ref-type&gt;&lt;contributors&gt;&lt;authors&gt;&lt;author&gt;Nelson, K.,&lt;/author&gt;&lt;author&gt;Lohsoonthorna, V.,&lt;/author&gt;&lt;author&gt;Williams, M.A.,&lt;/author&gt;&lt;/authors&gt;&lt;/contributors&gt;&lt;titles&gt;&lt;title&gt;Preterm delivery risk in relation to maternal occupational and leisure time physical activity among Thai women&lt;/title&gt;&lt;secondary-title&gt;Asian Biomed (Res Rev News)&lt;/secondary-title&gt;&lt;/titles&gt;&lt;periodical&gt;&lt;full-title&gt;Asian Biomed (Res Rev News)&lt;/full-title&gt;&lt;/periodical&gt;&lt;pages&gt;267-77&lt;/pages&gt;&lt;volume&gt;3&lt;/volume&gt;&lt;number&gt;3&lt;/number&gt;&lt;dates&gt;&lt;year&gt;2009&lt;/year&gt;&lt;/dates&gt;&lt;urls&gt;&lt;/urls&gt;&lt;/record&gt;&lt;/Cite&gt;&lt;/EndNote&gt;</w:instrText>
            </w:r>
            <w:r>
              <w:fldChar w:fldCharType="separate"/>
            </w:r>
            <w:r w:rsidR="002747EA" w:rsidRPr="002747EA">
              <w:rPr>
                <w:noProof/>
                <w:vertAlign w:val="superscript"/>
              </w:rPr>
              <w:t>336</w:t>
            </w:r>
            <w:r>
              <w:fldChar w:fldCharType="end"/>
            </w:r>
          </w:p>
          <w:p w14:paraId="61B29B76" w14:textId="77777777" w:rsidR="003060CB" w:rsidRDefault="003060CB" w:rsidP="00053FBC">
            <w:pPr>
              <w:keepNext/>
            </w:pPr>
            <w:r>
              <w:t>Thailand</w:t>
            </w:r>
          </w:p>
        </w:tc>
        <w:tc>
          <w:tcPr>
            <w:tcW w:w="1247" w:type="dxa"/>
          </w:tcPr>
          <w:p w14:paraId="1C02E6B2" w14:textId="77777777" w:rsidR="003060CB" w:rsidRDefault="003060CB" w:rsidP="00053FBC">
            <w:pPr>
              <w:keepNext/>
            </w:pPr>
            <w:r>
              <w:t>938</w:t>
            </w:r>
          </w:p>
          <w:p w14:paraId="3658F290" w14:textId="77777777" w:rsidR="003060CB" w:rsidRDefault="003060CB" w:rsidP="00053FBC">
            <w:pPr>
              <w:keepNext/>
            </w:pPr>
            <w:r>
              <w:t>Case control</w:t>
            </w:r>
          </w:p>
        </w:tc>
        <w:tc>
          <w:tcPr>
            <w:tcW w:w="4961" w:type="dxa"/>
          </w:tcPr>
          <w:p w14:paraId="0D5E4520" w14:textId="77777777" w:rsidR="003060CB" w:rsidRPr="000F6E85" w:rsidRDefault="003060CB" w:rsidP="000F6E85">
            <w:r w:rsidRPr="000F6E85">
              <w:rPr>
                <w:b/>
              </w:rPr>
              <w:t>Aim</w:t>
            </w:r>
            <w:r>
              <w:t xml:space="preserve">: </w:t>
            </w:r>
            <w:r w:rsidRPr="000F6E85">
              <w:t xml:space="preserve">To evaluate associations of maternal occupational physical exertion </w:t>
            </w:r>
            <w:r>
              <w:t>with preterm birth</w:t>
            </w:r>
            <w:r w:rsidRPr="000F6E85">
              <w:t>.</w:t>
            </w:r>
          </w:p>
          <w:p w14:paraId="748E82B0" w14:textId="77777777" w:rsidR="003060CB" w:rsidRPr="000F6E85" w:rsidRDefault="003060CB" w:rsidP="000F6E85">
            <w:r w:rsidRPr="000F6E85">
              <w:rPr>
                <w:b/>
              </w:rPr>
              <w:t>Methods</w:t>
            </w:r>
            <w:r>
              <w:t xml:space="preserve">: </w:t>
            </w:r>
            <w:r w:rsidRPr="000F6E85">
              <w:t>Maternal</w:t>
            </w:r>
            <w:r>
              <w:t xml:space="preserve"> </w:t>
            </w:r>
            <w:r w:rsidRPr="000F6E85">
              <w:t>occupational exertion during pregnancy was assessed using a structured questionnaire administered after delivery.</w:t>
            </w:r>
            <w:r>
              <w:t xml:space="preserve"> </w:t>
            </w:r>
            <w:r w:rsidRPr="000F6E85">
              <w:t xml:space="preserve">Logistic regression procedures were used to examine relationships between occupational physical activity and </w:t>
            </w:r>
            <w:r>
              <w:t>preterm birth</w:t>
            </w:r>
            <w:r w:rsidRPr="000F6E85">
              <w:t>.</w:t>
            </w:r>
          </w:p>
        </w:tc>
        <w:tc>
          <w:tcPr>
            <w:tcW w:w="4536" w:type="dxa"/>
          </w:tcPr>
          <w:p w14:paraId="1A387E45" w14:textId="77777777" w:rsidR="003060CB" w:rsidRDefault="003060CB" w:rsidP="00053FBC">
            <w:pPr>
              <w:keepNext/>
            </w:pPr>
            <w:r>
              <w:t>Adjusted odds ratio for spontaneous preterm birth:</w:t>
            </w:r>
          </w:p>
          <w:p w14:paraId="0450D8F0" w14:textId="77777777" w:rsidR="003060CB" w:rsidRDefault="003060CB" w:rsidP="000F6E85">
            <w:pPr>
              <w:pStyle w:val="bullet"/>
            </w:pPr>
            <w:r>
              <w:t>Medium exertion: aOR 0.90 (0.64 to 1.27)</w:t>
            </w:r>
          </w:p>
          <w:p w14:paraId="2C9F27AF" w14:textId="77777777" w:rsidR="003060CB" w:rsidRDefault="003060CB" w:rsidP="000F6E85">
            <w:pPr>
              <w:pStyle w:val="bullet"/>
            </w:pPr>
            <w:r>
              <w:t>Heavy exertion: aOR 2.42 (1.15 to 5.09)</w:t>
            </w:r>
          </w:p>
        </w:tc>
        <w:tc>
          <w:tcPr>
            <w:tcW w:w="1843" w:type="dxa"/>
          </w:tcPr>
          <w:p w14:paraId="70C23CC3" w14:textId="77777777" w:rsidR="003060CB" w:rsidRPr="00AF7D6C" w:rsidRDefault="003060CB" w:rsidP="00053FBC">
            <w:pPr>
              <w:keepNext/>
            </w:pPr>
          </w:p>
        </w:tc>
      </w:tr>
      <w:tr w:rsidR="003060CB" w:rsidRPr="00AF7D6C" w14:paraId="4A26B3B1" w14:textId="77777777" w:rsidTr="00E01A84">
        <w:trPr>
          <w:cantSplit/>
        </w:trPr>
        <w:tc>
          <w:tcPr>
            <w:tcW w:w="1305" w:type="dxa"/>
          </w:tcPr>
          <w:p w14:paraId="6F74B681" w14:textId="778E3FC2" w:rsidR="003060CB" w:rsidRDefault="003060CB" w:rsidP="00053FBC">
            <w:pPr>
              <w:keepNext/>
            </w:pPr>
            <w:r>
              <w:t>Newman et al 2001</w:t>
            </w:r>
            <w:r>
              <w:fldChar w:fldCharType="begin"/>
            </w:r>
            <w:r w:rsidR="002747EA">
              <w:instrText xml:space="preserve"> ADDIN EN.CITE &lt;EndNote&gt;&lt;Cite&gt;&lt;Author&gt;Newman&lt;/Author&gt;&lt;Year&gt;2001&lt;/Year&gt;&lt;RecNum&gt;1231&lt;/RecNum&gt;&lt;DisplayText&gt;&lt;style face="superscript" font="Trebuchet MS" size="9"&gt;330&lt;/style&gt;&lt;/DisplayText&gt;&lt;record&gt;&lt;rec-number&gt;1231&lt;/rec-number&gt;&lt;foreign-keys&gt;&lt;key app="EN" db-id="exvasrfx2dtraoesasxp2szsxa2df502592x" timestamp="1562472229"&gt;1231&lt;/key&gt;&lt;key app="ENWeb" db-id=""&gt;0&lt;/key&gt;&lt;/foreign-keys&gt;&lt;ref-type name="Journal Article"&gt;17&lt;/ref-type&gt;&lt;contributors&gt;&lt;authors&gt;&lt;author&gt;Newman, R. B.&lt;/author&gt;&lt;author&gt;Goldenberg, R. L.&lt;/author&gt;&lt;author&gt;Moawad, A. H.&lt;/author&gt;&lt;author&gt;Iams, J. D.&lt;/author&gt;&lt;author&gt;Meis, P. J.&lt;/author&gt;&lt;author&gt;Das, A.&lt;/author&gt;&lt;author&gt;Miodovnik, M.&lt;/author&gt;&lt;author&gt;Caritis, S. N.&lt;/author&gt;&lt;author&gt;Thurnau, G. R.&lt;/author&gt;&lt;author&gt;Dombrowski, M. P.&lt;/author&gt;&lt;author&gt;Roberts, J.&lt;/author&gt;&lt;/authors&gt;&lt;/contributors&gt;&lt;titles&gt;&lt;title&gt;Occupational fatigue and preterm premature rupture of membranes&lt;/title&gt;&lt;secondary-title&gt;American Journal of Obstetrics and Gynecology&lt;/secondary-title&gt;&lt;/titles&gt;&lt;periodical&gt;&lt;full-title&gt;American Journal of Obstetrics and Gynecology&lt;/full-title&gt;&lt;/periodical&gt;&lt;pages&gt;438-446&lt;/pages&gt;&lt;volume&gt;184&lt;/volume&gt;&lt;number&gt;3&lt;/number&gt;&lt;section&gt;438&lt;/section&gt;&lt;dates&gt;&lt;year&gt;2001&lt;/year&gt;&lt;/dates&gt;&lt;isbn&gt;00029378&lt;/isbn&gt;&lt;urls&gt;&lt;/urls&gt;&lt;electronic-resource-num&gt;10.1067/mob.2001.110312&lt;/electronic-resource-num&gt;&lt;/record&gt;&lt;/Cite&gt;&lt;/EndNote&gt;</w:instrText>
            </w:r>
            <w:r>
              <w:fldChar w:fldCharType="separate"/>
            </w:r>
            <w:r w:rsidR="002747EA" w:rsidRPr="002747EA">
              <w:rPr>
                <w:noProof/>
                <w:vertAlign w:val="superscript"/>
              </w:rPr>
              <w:t>330</w:t>
            </w:r>
            <w:r>
              <w:fldChar w:fldCharType="end"/>
            </w:r>
          </w:p>
          <w:p w14:paraId="6B8A5F35" w14:textId="77777777" w:rsidR="003060CB" w:rsidRDefault="003060CB" w:rsidP="00053FBC">
            <w:pPr>
              <w:keepNext/>
            </w:pPr>
            <w:r>
              <w:t>United States</w:t>
            </w:r>
          </w:p>
        </w:tc>
        <w:tc>
          <w:tcPr>
            <w:tcW w:w="1247" w:type="dxa"/>
          </w:tcPr>
          <w:p w14:paraId="36736745" w14:textId="77777777" w:rsidR="003060CB" w:rsidRDefault="003060CB" w:rsidP="00053FBC">
            <w:pPr>
              <w:keepNext/>
            </w:pPr>
            <w:r>
              <w:t>2,929</w:t>
            </w:r>
          </w:p>
          <w:p w14:paraId="044D9504" w14:textId="77777777" w:rsidR="003060CB" w:rsidRDefault="003060CB" w:rsidP="00053FBC">
            <w:pPr>
              <w:keepNext/>
            </w:pPr>
            <w:r>
              <w:t>Cohort</w:t>
            </w:r>
          </w:p>
        </w:tc>
        <w:tc>
          <w:tcPr>
            <w:tcW w:w="4961" w:type="dxa"/>
          </w:tcPr>
          <w:p w14:paraId="2F5A70DA" w14:textId="77777777" w:rsidR="003060CB" w:rsidRPr="000F6E85" w:rsidRDefault="003060CB" w:rsidP="000F6E85">
            <w:r>
              <w:rPr>
                <w:b/>
              </w:rPr>
              <w:t xml:space="preserve">Aim: </w:t>
            </w:r>
            <w:r>
              <w:t>T</w:t>
            </w:r>
            <w:r w:rsidRPr="000F6E85">
              <w:t>o prospectively determine the relationship between occupational</w:t>
            </w:r>
            <w:r>
              <w:t xml:space="preserve"> </w:t>
            </w:r>
            <w:r w:rsidRPr="000F6E85">
              <w:t xml:space="preserve">fatigue and spontaneous preterm </w:t>
            </w:r>
            <w:r>
              <w:t>birth</w:t>
            </w:r>
            <w:r w:rsidRPr="000F6E85">
              <w:t>.</w:t>
            </w:r>
          </w:p>
          <w:p w14:paraId="3BA83017" w14:textId="77777777" w:rsidR="003060CB" w:rsidRPr="000F6E85" w:rsidRDefault="003060CB" w:rsidP="00F2539E">
            <w:r w:rsidRPr="000F6E85">
              <w:rPr>
                <w:b/>
              </w:rPr>
              <w:t>Methods</w:t>
            </w:r>
            <w:r>
              <w:t>: W</w:t>
            </w:r>
            <w:r w:rsidRPr="000F6E85">
              <w:t xml:space="preserve">omen with singleton pregnancies </w:t>
            </w:r>
            <w:r>
              <w:t xml:space="preserve">enrolled </w:t>
            </w:r>
            <w:r w:rsidRPr="000F6E85">
              <w:t>at 22 to 24 weeks’ gestation reported the number of hours worked</w:t>
            </w:r>
            <w:r>
              <w:t xml:space="preserve"> </w:t>
            </w:r>
            <w:r w:rsidRPr="000F6E85">
              <w:t>per week and answered specific questions designed to determine sources of occupational</w:t>
            </w:r>
            <w:r>
              <w:t xml:space="preserve"> </w:t>
            </w:r>
            <w:r w:rsidRPr="000F6E85">
              <w:t>fatigue. Fatigue was quantified (0-5 index) according to the number of these sources</w:t>
            </w:r>
            <w:r>
              <w:t xml:space="preserve"> </w:t>
            </w:r>
            <w:r w:rsidRPr="000F6E85">
              <w:t>positively reported. Simple and Mantel-Haenszel χ</w:t>
            </w:r>
            <w:r w:rsidRPr="000F6E85">
              <w:rPr>
                <w:sz w:val="9"/>
                <w:szCs w:val="9"/>
              </w:rPr>
              <w:t xml:space="preserve">2 </w:t>
            </w:r>
            <w:r w:rsidRPr="000F6E85">
              <w:t>tests were used to test the univariate association and</w:t>
            </w:r>
            <w:r>
              <w:t xml:space="preserve"> </w:t>
            </w:r>
            <w:r w:rsidRPr="000F6E85">
              <w:t>hypothesis of a linear trend between sources of occupational fatigue and spontaneous preterm delivery.</w:t>
            </w:r>
            <w:r>
              <w:t xml:space="preserve"> </w:t>
            </w:r>
            <w:r w:rsidRPr="000F6E85">
              <w:t>Covariables were considered by multivariate logistic regression analysis.</w:t>
            </w:r>
            <w:r>
              <w:t xml:space="preserve"> </w:t>
            </w:r>
            <w:r w:rsidRPr="000F6E85">
              <w:t>Women who did not work outside</w:t>
            </w:r>
            <w:r>
              <w:t xml:space="preserve"> </w:t>
            </w:r>
            <w:r w:rsidRPr="000F6E85">
              <w:t>the home were considered separately from those who worked but did not report any sources of occupational</w:t>
            </w:r>
            <w:r>
              <w:t xml:space="preserve"> </w:t>
            </w:r>
            <w:r w:rsidRPr="000F6E85">
              <w:t>fatigue.</w:t>
            </w:r>
          </w:p>
        </w:tc>
        <w:tc>
          <w:tcPr>
            <w:tcW w:w="4536" w:type="dxa"/>
          </w:tcPr>
          <w:p w14:paraId="3E49B47A" w14:textId="77777777" w:rsidR="003060CB" w:rsidRDefault="003060CB" w:rsidP="00053FBC">
            <w:pPr>
              <w:keepNext/>
            </w:pPr>
            <w:r>
              <w:t>Adjusted odds ratios for preterm rupture of membranes (&lt;37 wks)</w:t>
            </w:r>
          </w:p>
          <w:p w14:paraId="2C9D8928" w14:textId="77777777" w:rsidR="003060CB" w:rsidRDefault="003060CB" w:rsidP="00F513D2">
            <w:pPr>
              <w:pStyle w:val="bullet"/>
            </w:pPr>
            <w:r>
              <w:t>Physical exertion: OR 1.72 (1.16 to 2.56)</w:t>
            </w:r>
          </w:p>
        </w:tc>
        <w:tc>
          <w:tcPr>
            <w:tcW w:w="1843" w:type="dxa"/>
          </w:tcPr>
          <w:p w14:paraId="32A39F65" w14:textId="77777777" w:rsidR="003060CB" w:rsidRPr="00AF7D6C" w:rsidRDefault="003060CB" w:rsidP="00053FBC">
            <w:pPr>
              <w:keepNext/>
            </w:pPr>
          </w:p>
        </w:tc>
      </w:tr>
      <w:tr w:rsidR="003060CB" w:rsidRPr="00AF7D6C" w14:paraId="1A532978" w14:textId="77777777" w:rsidTr="00A2497E">
        <w:trPr>
          <w:cantSplit/>
        </w:trPr>
        <w:tc>
          <w:tcPr>
            <w:tcW w:w="1305" w:type="dxa"/>
          </w:tcPr>
          <w:p w14:paraId="49C86A83" w14:textId="3C809CF1" w:rsidR="003060CB" w:rsidRDefault="003060CB" w:rsidP="00A2497E">
            <w:pPr>
              <w:keepNext/>
            </w:pPr>
            <w:r>
              <w:t>Pompeii et al 2005</w:t>
            </w:r>
            <w:r w:rsidR="00283324">
              <w:fldChar w:fldCharType="begin">
                <w:fldData xml:space="preserve">PEVuZE5vdGU+PENpdGU+PEF1dGhvcj5Qb21wZWlpPC9BdXRob3I+PFllYXI+MjAwNTwvWWVhcj48
UmVjTnVtPjE3OTM8L1JlY051bT48RGlzcGxheVRleHQ+PHN0eWxlIGZhY2U9InN1cGVyc2NyaXB0
IiBmb250PSJUcmVidWNoZXQgTVMiIHNpemU9IjkiPjMzNDwvc3R5bGU+PC9EaXNwbGF5VGV4dD48
cmVjb3JkPjxyZWMtbnVtYmVyPjE3OTM8L3JlYy1udW1iZXI+PGZvcmVpZ24ta2V5cz48a2V5IGFw
cD0iRU4iIGRiLWlkPSJleHZhc3JmeDJkdHJhb2VzYXN4cDJzenN4YTJkZjUwMjU5MngiIHRpbWVz
dGFtcD0iMTU4MzMwMDI3NiI+MTc5Mzwva2V5PjwvZm9yZWlnbi1rZXlzPjxyZWYtdHlwZSBuYW1l
PSJKb3VybmFsIEFydGljbGUiPjE3PC9yZWYtdHlwZT48Y29udHJpYnV0b3JzPjxhdXRob3JzPjxh
dXRob3I+UG9tcGVpaSwgTC4gQS48L2F1dGhvcj48YXV0aG9yPlNhdml0eiwgRC4gQS48L2F1dGhv
cj48YXV0aG9yPkV2ZW5zb24sIEsuIFIuPC9hdXRob3I+PGF1dGhvcj5Sb2dlcnMsIEIuPC9hdXRo
b3I+PGF1dGhvcj5NY01haG9uLCBNLjwvYXV0aG9yPjwvYXV0aG9ycz48L2NvbnRyaWJ1dG9ycz48
YXV0aC1hZGRyZXNzPkRlcGFydG1lbnQgb2YgRXBpZGVtaW9sb2d5LCBTY2hvb2wgb2YgUHVibGlj
IEhlYWx0aCwgVW5pdmVyc2l0eSBvZiBOb3J0aCBDYXJvbGluYSwgQ2hhcGVsIEhpbGwsIFVTQS4g
bGlzYS5wb21wZWlpQHV0aC50bWMuZWR1PC9hdXRoLWFkZHJlc3M+PHRpdGxlcz48dGl0bGU+UGh5
c2ljYWwgZXhlcnRpb24gYXQgd29yayBhbmQgdGhlIHJpc2sgb2YgcHJldGVybSBkZWxpdmVyeSBh
bmQgc21hbGwtZm9yLWdlc3RhdGlvbmFsLWFnZSBiaXJ0aDwvdGl0bGU+PHNlY29uZGFyeS10aXRs
ZT5PYnN0ZXQgR3luZWNvbDwvc2Vjb25kYXJ5LXRpdGxlPjwvdGl0bGVzPjxwZXJpb2RpY2FsPjxm
dWxsLXRpdGxlPk9ic3RldCBHeW5lY29sPC9mdWxsLXRpdGxlPjwvcGVyaW9kaWNhbD48cGFnZXM+
MTI3OS04ODwvcGFnZXM+PHZvbHVtZT4xMDY8L3ZvbHVtZT48bnVtYmVyPjY8L251bWJlcj48ZWRp
dGlvbj4yMDA1LzEyLzAyPC9lZGl0aW9uPjxrZXl3b3Jkcz48a2V5d29yZD5BZHVsdDwva2V5d29y
ZD48a2V5d29yZD5BZ2UgRGlzdHJpYnV0aW9uPC9rZXl3b3JkPjxrZXl3b3JkPkNhc2UtQ29udHJv
bCBTdHVkaWVzPC9rZXl3b3JkPjxrZXl3b3JkPkNvaG9ydCBTdHVkaWVzPC9rZXl3b3JkPjxrZXl3
b3JkPkNvbmZpZGVuY2UgSW50ZXJ2YWxzPC9rZXl3b3JkPjxrZXl3b3JkPkZlbWFsZTwva2V5d29y
ZD48a2V5d29yZD5Gb2xsb3ctVXAgU3R1ZGllczwva2V5d29yZD48a2V5d29yZD5HZXN0YXRpb25h
bCBBZ2U8L2tleXdvcmQ+PGtleXdvcmQ+SHVtYW5zPC9rZXl3b3JkPjxrZXl3b3JkPkluY2lkZW5j
ZTwva2V5d29yZD48a2V5d29yZD5JbmZhbnQsIE5ld2Jvcm48L2tleXdvcmQ+PGtleXdvcmQ+SW5m
YW50LCBQcmVtYXR1cmU8L2tleXdvcmQ+PGtleXdvcmQ+KkluZmFudCwgU21hbGwgZm9yIEdlc3Rh
dGlvbmFsIEFnZTwva2V5d29yZD48a2V5d29yZD5NYXRlcm5hbCBBZ2U8L2tleXdvcmQ+PGtleXdv
cmQ+T2JzdGV0cmljIExhYm9yLCBQcmVtYXR1cmUvKmVwaWRlbWlvbG9neS8qZXRpb2xvZ3k8L2tl
eXdvcmQ+PGtleXdvcmQ+T2RkcyBSYXRpbzwva2V5d29yZD48a2V5d29yZD4qUGh5c2ljYWwgRXhl
cnRpb248L2tleXdvcmQ+PGtleXdvcmQ+UHJlZ25hbmN5PC9rZXl3b3JkPjxrZXl3b3JkPlByb2Jh
YmlsaXR5PC9rZXl3b3JkPjxrZXl3b3JkPlByb3NwZWN0aXZlIFN0dWRpZXM8L2tleXdvcmQ+PGtl
eXdvcmQ+UmlzayBBc3Nlc3NtZW50PC9rZXl3b3JkPjxrZXl3b3JkPipXb21lbiwgV29ya2luZzwv
a2V5d29yZD48a2V5d29yZD5Xb3JrIFNjaGVkdWxlIFRvbGVyYW5jZTwva2V5d29yZD48L2tleXdv
cmRzPjxkYXRlcz48eWVhcj4yMDA1PC95ZWFyPjxwdWItZGF0ZXM+PGRhdGU+RGVjPC9kYXRlPjwv
cHViLWRhdGVzPjwvZGF0ZXM+PGlzYm4+MDAyOS03ODQ0IChQcmludCkmI3hEOzAwMjktNzg0NCAo
TGlua2luZyk8L2lzYm4+PGFjY2Vzc2lvbi1udW0+MTYzMTkyNTM8L2FjY2Vzc2lvbi1udW0+PHVy
bHM+PHJlbGF0ZWQtdXJscz48dXJsPmh0dHBzOi8vd3d3Lm5jYmkubmxtLm5paC5nb3YvcHVibWVk
LzE2MzE5MjUzPC91cmw+PC9yZWxhdGVkLXVybHM+PC91cmxzPjxlbGVjdHJvbmljLXJlc291cmNl
LW51bT4xMC4xMDk3LzAxLkFPRy4wMDAwMTg5MDgwLjc2OTk4LmY4PC9lbGVjdHJvbmljLXJlc291
cmNlLW51bT48L3JlY29yZD48L0NpdGU+PC9FbmROb3RlPgB=
</w:fldData>
              </w:fldChar>
            </w:r>
            <w:r w:rsidR="002747EA">
              <w:instrText xml:space="preserve"> ADDIN EN.CITE </w:instrText>
            </w:r>
            <w:r w:rsidR="002747EA">
              <w:fldChar w:fldCharType="begin">
                <w:fldData xml:space="preserve">PEVuZE5vdGU+PENpdGU+PEF1dGhvcj5Qb21wZWlpPC9BdXRob3I+PFllYXI+MjAwNTwvWWVhcj48
UmVjTnVtPjE3OTM8L1JlY051bT48RGlzcGxheVRleHQ+PHN0eWxlIGZhY2U9InN1cGVyc2NyaXB0
IiBmb250PSJUcmVidWNoZXQgTVMiIHNpemU9IjkiPjMzNDwvc3R5bGU+PC9EaXNwbGF5VGV4dD48
cmVjb3JkPjxyZWMtbnVtYmVyPjE3OTM8L3JlYy1udW1iZXI+PGZvcmVpZ24ta2V5cz48a2V5IGFw
cD0iRU4iIGRiLWlkPSJleHZhc3JmeDJkdHJhb2VzYXN4cDJzenN4YTJkZjUwMjU5MngiIHRpbWVz
dGFtcD0iMTU4MzMwMDI3NiI+MTc5Mzwva2V5PjwvZm9yZWlnbi1rZXlzPjxyZWYtdHlwZSBuYW1l
PSJKb3VybmFsIEFydGljbGUiPjE3PC9yZWYtdHlwZT48Y29udHJpYnV0b3JzPjxhdXRob3JzPjxh
dXRob3I+UG9tcGVpaSwgTC4gQS48L2F1dGhvcj48YXV0aG9yPlNhdml0eiwgRC4gQS48L2F1dGhv
cj48YXV0aG9yPkV2ZW5zb24sIEsuIFIuPC9hdXRob3I+PGF1dGhvcj5Sb2dlcnMsIEIuPC9hdXRo
b3I+PGF1dGhvcj5NY01haG9uLCBNLjwvYXV0aG9yPjwvYXV0aG9ycz48L2NvbnRyaWJ1dG9ycz48
YXV0aC1hZGRyZXNzPkRlcGFydG1lbnQgb2YgRXBpZGVtaW9sb2d5LCBTY2hvb2wgb2YgUHVibGlj
IEhlYWx0aCwgVW5pdmVyc2l0eSBvZiBOb3J0aCBDYXJvbGluYSwgQ2hhcGVsIEhpbGwsIFVTQS4g
bGlzYS5wb21wZWlpQHV0aC50bWMuZWR1PC9hdXRoLWFkZHJlc3M+PHRpdGxlcz48dGl0bGU+UGh5
c2ljYWwgZXhlcnRpb24gYXQgd29yayBhbmQgdGhlIHJpc2sgb2YgcHJldGVybSBkZWxpdmVyeSBh
bmQgc21hbGwtZm9yLWdlc3RhdGlvbmFsLWFnZSBiaXJ0aDwvdGl0bGU+PHNlY29uZGFyeS10aXRs
ZT5PYnN0ZXQgR3luZWNvbDwvc2Vjb25kYXJ5LXRpdGxlPjwvdGl0bGVzPjxwZXJpb2RpY2FsPjxm
dWxsLXRpdGxlPk9ic3RldCBHeW5lY29sPC9mdWxsLXRpdGxlPjwvcGVyaW9kaWNhbD48cGFnZXM+
MTI3OS04ODwvcGFnZXM+PHZvbHVtZT4xMDY8L3ZvbHVtZT48bnVtYmVyPjY8L251bWJlcj48ZWRp
dGlvbj4yMDA1LzEyLzAyPC9lZGl0aW9uPjxrZXl3b3Jkcz48a2V5d29yZD5BZHVsdDwva2V5d29y
ZD48a2V5d29yZD5BZ2UgRGlzdHJpYnV0aW9uPC9rZXl3b3JkPjxrZXl3b3JkPkNhc2UtQ29udHJv
bCBTdHVkaWVzPC9rZXl3b3JkPjxrZXl3b3JkPkNvaG9ydCBTdHVkaWVzPC9rZXl3b3JkPjxrZXl3
b3JkPkNvbmZpZGVuY2UgSW50ZXJ2YWxzPC9rZXl3b3JkPjxrZXl3b3JkPkZlbWFsZTwva2V5d29y
ZD48a2V5d29yZD5Gb2xsb3ctVXAgU3R1ZGllczwva2V5d29yZD48a2V5d29yZD5HZXN0YXRpb25h
bCBBZ2U8L2tleXdvcmQ+PGtleXdvcmQ+SHVtYW5zPC9rZXl3b3JkPjxrZXl3b3JkPkluY2lkZW5j
ZTwva2V5d29yZD48a2V5d29yZD5JbmZhbnQsIE5ld2Jvcm48L2tleXdvcmQ+PGtleXdvcmQ+SW5m
YW50LCBQcmVtYXR1cmU8L2tleXdvcmQ+PGtleXdvcmQ+KkluZmFudCwgU21hbGwgZm9yIEdlc3Rh
dGlvbmFsIEFnZTwva2V5d29yZD48a2V5d29yZD5NYXRlcm5hbCBBZ2U8L2tleXdvcmQ+PGtleXdv
cmQ+T2JzdGV0cmljIExhYm9yLCBQcmVtYXR1cmUvKmVwaWRlbWlvbG9neS8qZXRpb2xvZ3k8L2tl
eXdvcmQ+PGtleXdvcmQ+T2RkcyBSYXRpbzwva2V5d29yZD48a2V5d29yZD4qUGh5c2ljYWwgRXhl
cnRpb248L2tleXdvcmQ+PGtleXdvcmQ+UHJlZ25hbmN5PC9rZXl3b3JkPjxrZXl3b3JkPlByb2Jh
YmlsaXR5PC9rZXl3b3JkPjxrZXl3b3JkPlByb3NwZWN0aXZlIFN0dWRpZXM8L2tleXdvcmQ+PGtl
eXdvcmQ+UmlzayBBc3Nlc3NtZW50PC9rZXl3b3JkPjxrZXl3b3JkPipXb21lbiwgV29ya2luZzwv
a2V5d29yZD48a2V5d29yZD5Xb3JrIFNjaGVkdWxlIFRvbGVyYW5jZTwva2V5d29yZD48L2tleXdv
cmRzPjxkYXRlcz48eWVhcj4yMDA1PC95ZWFyPjxwdWItZGF0ZXM+PGRhdGU+RGVjPC9kYXRlPjwv
cHViLWRhdGVzPjwvZGF0ZXM+PGlzYm4+MDAyOS03ODQ0IChQcmludCkmI3hEOzAwMjktNzg0NCAo
TGlua2luZyk8L2lzYm4+PGFjY2Vzc2lvbi1udW0+MTYzMTkyNTM8L2FjY2Vzc2lvbi1udW0+PHVy
bHM+PHJlbGF0ZWQtdXJscz48dXJsPmh0dHBzOi8vd3d3Lm5jYmkubmxtLm5paC5nb3YvcHVibWVk
LzE2MzE5MjUzPC91cmw+PC9yZWxhdGVkLXVybHM+PC91cmxzPjxlbGVjdHJvbmljLXJlc291cmNl
LW51bT4xMC4xMDk3LzAxLkFPRy4wMDAwMTg5MDgwLjc2OTk4LmY4PC9lbGVjdHJvbmljLXJlc291
cmNlLW51bT48L3JlY29yZD48L0NpdGU+PC9FbmROb3RlPgB=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334</w:t>
            </w:r>
            <w:r w:rsidR="00283324">
              <w:fldChar w:fldCharType="end"/>
            </w:r>
          </w:p>
          <w:p w14:paraId="28AAFBEF" w14:textId="77777777" w:rsidR="003060CB" w:rsidRDefault="003060CB" w:rsidP="00A2497E">
            <w:pPr>
              <w:keepNext/>
            </w:pPr>
            <w:r>
              <w:t>United States</w:t>
            </w:r>
          </w:p>
        </w:tc>
        <w:tc>
          <w:tcPr>
            <w:tcW w:w="1247" w:type="dxa"/>
          </w:tcPr>
          <w:p w14:paraId="428FB938" w14:textId="77777777" w:rsidR="003060CB" w:rsidRDefault="003060CB" w:rsidP="00A2497E">
            <w:pPr>
              <w:keepNext/>
            </w:pPr>
            <w:r>
              <w:t>1,908 women</w:t>
            </w:r>
          </w:p>
          <w:p w14:paraId="1EC1786E" w14:textId="77777777" w:rsidR="003060CB" w:rsidRDefault="003060CB" w:rsidP="00A2497E">
            <w:pPr>
              <w:keepNext/>
            </w:pPr>
            <w:r>
              <w:t>Cohort</w:t>
            </w:r>
          </w:p>
        </w:tc>
        <w:tc>
          <w:tcPr>
            <w:tcW w:w="4961" w:type="dxa"/>
          </w:tcPr>
          <w:p w14:paraId="7F35DAB1" w14:textId="77777777" w:rsidR="003060CB" w:rsidRDefault="003060CB" w:rsidP="005005AE">
            <w:r w:rsidRPr="005005AE">
              <w:rPr>
                <w:b/>
              </w:rPr>
              <w:t>Aim</w:t>
            </w:r>
            <w:r>
              <w:t xml:space="preserve">: </w:t>
            </w:r>
            <w:r w:rsidRPr="005005AE">
              <w:t xml:space="preserve">To assess whether exposure to standing, lifting, night work, or long work hours during 3 periods of pregnancy are associated with an increased risk of preterm or small-for-gestational-age birth. </w:t>
            </w:r>
          </w:p>
          <w:p w14:paraId="5013A41F" w14:textId="77777777" w:rsidR="003060CB" w:rsidRDefault="003060CB" w:rsidP="005005AE">
            <w:pPr>
              <w:rPr>
                <w:b/>
              </w:rPr>
            </w:pPr>
            <w:r w:rsidRPr="005005AE">
              <w:rPr>
                <w:b/>
              </w:rPr>
              <w:t>Methods</w:t>
            </w:r>
            <w:r w:rsidRPr="005005AE">
              <w:t xml:space="preserve">: The Pregnancy, Infection and Nutrition study is a prospective cohort with a nested case-control component that was conducted through clinic and hospital settings. </w:t>
            </w:r>
            <w:r>
              <w:t>Women</w:t>
            </w:r>
            <w:r w:rsidRPr="005005AE">
              <w:t xml:space="preserve"> provided information during telephone and face-to-face interviews about physical exertion for the 2 longest-held jobs during pregnancy. </w:t>
            </w:r>
          </w:p>
        </w:tc>
        <w:tc>
          <w:tcPr>
            <w:tcW w:w="4536" w:type="dxa"/>
          </w:tcPr>
          <w:p w14:paraId="1C8C21CA" w14:textId="77777777" w:rsidR="003060CB" w:rsidRDefault="003060CB" w:rsidP="00A36FEE">
            <w:r>
              <w:t>Risk of preterm birth:</w:t>
            </w:r>
          </w:p>
          <w:p w14:paraId="46F904C5" w14:textId="77777777" w:rsidR="003060CB" w:rsidRDefault="003060CB" w:rsidP="00A36FEE">
            <w:pPr>
              <w:pStyle w:val="bullet"/>
            </w:pPr>
            <w:r>
              <w:t>Lifting</w:t>
            </w:r>
            <w:r w:rsidRPr="005005AE">
              <w:t xml:space="preserve"> repeate</w:t>
            </w:r>
            <w:r>
              <w:t xml:space="preserve">dly: </w:t>
            </w:r>
            <w:r w:rsidRPr="00A36FEE">
              <w:t xml:space="preserve">RR </w:t>
            </w:r>
            <w:r>
              <w:t>1.3; 95%CI 0.6 to 2.9</w:t>
            </w:r>
          </w:p>
          <w:p w14:paraId="5A38D0DB" w14:textId="77777777" w:rsidR="003060CB" w:rsidRDefault="003060CB" w:rsidP="00A36FEE">
            <w:pPr>
              <w:pStyle w:val="bullet"/>
            </w:pPr>
            <w:r>
              <w:t>Standing</w:t>
            </w:r>
            <w:r w:rsidRPr="00A36FEE">
              <w:t xml:space="preserve"> at least 30 hours per week</w:t>
            </w:r>
            <w:r>
              <w:t xml:space="preserve">: </w:t>
            </w:r>
            <w:r w:rsidRPr="00A36FEE">
              <w:t xml:space="preserve">RR </w:t>
            </w:r>
            <w:r>
              <w:t xml:space="preserve">1.3; 95%CI </w:t>
            </w:r>
            <w:r w:rsidRPr="00A36FEE">
              <w:t>0.8</w:t>
            </w:r>
            <w:r>
              <w:t xml:space="preserve"> to 2.3</w:t>
            </w:r>
          </w:p>
          <w:p w14:paraId="50B152D9" w14:textId="77777777" w:rsidR="003060CB" w:rsidRDefault="003060CB" w:rsidP="00A36FEE">
            <w:r>
              <w:t xml:space="preserve">Risk of small-for-gestational age: </w:t>
            </w:r>
          </w:p>
          <w:p w14:paraId="3DC4413F" w14:textId="77777777" w:rsidR="003060CB" w:rsidRDefault="003060CB" w:rsidP="00A36FEE">
            <w:pPr>
              <w:pStyle w:val="bullet"/>
            </w:pPr>
            <w:r>
              <w:t>Lifting</w:t>
            </w:r>
            <w:r w:rsidRPr="005005AE">
              <w:t xml:space="preserve"> repeate</w:t>
            </w:r>
            <w:r>
              <w:t xml:space="preserve">dly: </w:t>
            </w:r>
            <w:r w:rsidRPr="00A36FEE">
              <w:t xml:space="preserve">RR </w:t>
            </w:r>
            <w:r>
              <w:t>1.0; 95%CI 0.6 to 1.5</w:t>
            </w:r>
          </w:p>
          <w:p w14:paraId="2D07F5BD" w14:textId="77777777" w:rsidR="003060CB" w:rsidRPr="00A36FEE" w:rsidRDefault="003060CB" w:rsidP="00A36FEE">
            <w:pPr>
              <w:pStyle w:val="bullet"/>
            </w:pPr>
            <w:r>
              <w:t>Standing</w:t>
            </w:r>
            <w:r w:rsidRPr="00A36FEE">
              <w:t xml:space="preserve"> at least 30 hours per week</w:t>
            </w:r>
            <w:r>
              <w:t xml:space="preserve">: </w:t>
            </w:r>
            <w:r w:rsidRPr="00A36FEE">
              <w:t xml:space="preserve">RR </w:t>
            </w:r>
            <w:r>
              <w:t>1.2; 95%CI 0.6 to 2.2</w:t>
            </w:r>
          </w:p>
        </w:tc>
        <w:tc>
          <w:tcPr>
            <w:tcW w:w="1843" w:type="dxa"/>
          </w:tcPr>
          <w:p w14:paraId="256B240F" w14:textId="77777777" w:rsidR="003060CB" w:rsidRPr="00AF7D6C" w:rsidRDefault="003060CB" w:rsidP="00A2497E">
            <w:pPr>
              <w:keepNext/>
            </w:pPr>
          </w:p>
        </w:tc>
      </w:tr>
      <w:tr w:rsidR="003060CB" w:rsidRPr="00AF7D6C" w14:paraId="3D19D8B1" w14:textId="77777777" w:rsidTr="00A2497E">
        <w:trPr>
          <w:cantSplit/>
        </w:trPr>
        <w:tc>
          <w:tcPr>
            <w:tcW w:w="1305" w:type="dxa"/>
          </w:tcPr>
          <w:p w14:paraId="036AA827" w14:textId="7EBE7B2D" w:rsidR="003060CB" w:rsidRDefault="003060CB" w:rsidP="00A2497E">
            <w:pPr>
              <w:keepNext/>
            </w:pPr>
            <w:r>
              <w:t>Ritsmitchai et al 1997</w:t>
            </w:r>
            <w:r w:rsidR="00283324">
              <w:fldChar w:fldCharType="begin"/>
            </w:r>
            <w:r w:rsidR="002747EA">
              <w:instrText xml:space="preserve"> ADDIN EN.CITE &lt;EndNote&gt;&lt;Cite&gt;&lt;Author&gt;Ritsmitchai&lt;/Author&gt;&lt;Year&gt;1997&lt;/Year&gt;&lt;RecNum&gt;1792&lt;/RecNum&gt;&lt;DisplayText&gt;&lt;style face="superscript" font="Trebuchet MS" size="9"&gt;337&lt;/style&gt;&lt;/DisplayText&gt;&lt;record&gt;&lt;rec-number&gt;1792&lt;/rec-number&gt;&lt;foreign-keys&gt;&lt;key app="EN" db-id="exvasrfx2dtraoesasxp2szsxa2df502592x" timestamp="1583299791"&gt;1792&lt;/key&gt;&lt;/foreign-keys&gt;&lt;ref-type name="Journal Article"&gt;17&lt;/ref-type&gt;&lt;contributors&gt;&lt;authors&gt;&lt;author&gt;Ritsmitchai, S.,&lt;/author&gt;&lt;author&gt;Geater, A.F.,&lt;/author&gt;&lt;author&gt;Chongsuviwatvong, V.,&lt;/author&gt;&lt;/authors&gt;&lt;/contributors&gt;&lt;titles&gt;&lt;title&gt;Prolonged standing and physical exertion at work during pregnancy increases the risk of preterm birth for Thai mothers.&lt;/title&gt;&lt;secondary-title&gt;J Occup Health&lt;/secondary-title&gt;&lt;/titles&gt;&lt;periodical&gt;&lt;full-title&gt;J Occup Health&lt;/full-title&gt;&lt;/periodical&gt;&lt;pages&gt;217-22&lt;/pages&gt;&lt;volume&gt;39&lt;/volume&gt;&lt;dates&gt;&lt;year&gt;1997&lt;/year&gt;&lt;/dates&gt;&lt;urls&gt;&lt;/urls&gt;&lt;/record&gt;&lt;/Cite&gt;&lt;/EndNote&gt;</w:instrText>
            </w:r>
            <w:r w:rsidR="00283324">
              <w:fldChar w:fldCharType="separate"/>
            </w:r>
            <w:r w:rsidR="002747EA" w:rsidRPr="002747EA">
              <w:rPr>
                <w:noProof/>
                <w:vertAlign w:val="superscript"/>
              </w:rPr>
              <w:t>337</w:t>
            </w:r>
            <w:r w:rsidR="00283324">
              <w:fldChar w:fldCharType="end"/>
            </w:r>
          </w:p>
          <w:p w14:paraId="2DC1A58E" w14:textId="77777777" w:rsidR="003060CB" w:rsidRDefault="003060CB" w:rsidP="00A2497E">
            <w:pPr>
              <w:keepNext/>
            </w:pPr>
            <w:r>
              <w:t>Thailand</w:t>
            </w:r>
          </w:p>
          <w:p w14:paraId="78F8F3B4" w14:textId="52FD6D45" w:rsidR="003060CB" w:rsidRDefault="003060CB" w:rsidP="00A2497E">
            <w:pPr>
              <w:keepNext/>
            </w:pPr>
          </w:p>
        </w:tc>
        <w:tc>
          <w:tcPr>
            <w:tcW w:w="1247" w:type="dxa"/>
          </w:tcPr>
          <w:p w14:paraId="5F55C230" w14:textId="77777777" w:rsidR="003060CB" w:rsidRDefault="003060CB" w:rsidP="00A2497E">
            <w:pPr>
              <w:keepNext/>
            </w:pPr>
            <w:r>
              <w:t>223 case-control pairs</w:t>
            </w:r>
          </w:p>
          <w:p w14:paraId="01AA264C" w14:textId="78078845" w:rsidR="0050625F" w:rsidRDefault="0050625F" w:rsidP="00A2497E">
            <w:pPr>
              <w:keepNext/>
            </w:pPr>
            <w:r>
              <w:t>Case-control</w:t>
            </w:r>
          </w:p>
        </w:tc>
        <w:tc>
          <w:tcPr>
            <w:tcW w:w="4961" w:type="dxa"/>
          </w:tcPr>
          <w:p w14:paraId="778BE648" w14:textId="77777777" w:rsidR="003060CB" w:rsidRPr="00423FF6" w:rsidRDefault="003060CB" w:rsidP="00302272">
            <w:r>
              <w:rPr>
                <w:b/>
              </w:rPr>
              <w:t xml:space="preserve">Aim: </w:t>
            </w:r>
            <w:r w:rsidRPr="00423FF6">
              <w:t>To determine whether prolonged standing and/or physical exertion during pregnancy wer</w:t>
            </w:r>
            <w:r>
              <w:t>e associated with preterm birth.</w:t>
            </w:r>
          </w:p>
          <w:p w14:paraId="4D0E4C98" w14:textId="77777777" w:rsidR="003060CB" w:rsidRPr="00302272" w:rsidRDefault="003060CB" w:rsidP="00423FF6">
            <w:pPr>
              <w:rPr>
                <w:b/>
              </w:rPr>
            </w:pPr>
            <w:r>
              <w:rPr>
                <w:b/>
              </w:rPr>
              <w:t>Methods</w:t>
            </w:r>
            <w:r w:rsidRPr="00423FF6">
              <w:t xml:space="preserve">: </w:t>
            </w:r>
            <w:r>
              <w:t>Indicators of work activity and other potential risk factors were ascertained through medical records and by questionnaire after the birth.</w:t>
            </w:r>
          </w:p>
        </w:tc>
        <w:tc>
          <w:tcPr>
            <w:tcW w:w="4536" w:type="dxa"/>
          </w:tcPr>
          <w:p w14:paraId="389D52F0" w14:textId="77777777" w:rsidR="003060CB" w:rsidRDefault="003060CB" w:rsidP="00302272">
            <w:r>
              <w:t>There was an association between preterm birth and:</w:t>
            </w:r>
          </w:p>
          <w:p w14:paraId="0683945D" w14:textId="77777777" w:rsidR="003060CB" w:rsidRDefault="003060CB" w:rsidP="00423FF6">
            <w:pPr>
              <w:pStyle w:val="bullet"/>
            </w:pPr>
            <w:r>
              <w:t>standing longer than 3 hours a day throughout pregnancy: OR 4.1; 95%CI 1,29 to 13.10</w:t>
            </w:r>
          </w:p>
          <w:p w14:paraId="00DF58BB" w14:textId="77777777" w:rsidR="003060CB" w:rsidRPr="00302272" w:rsidRDefault="003060CB" w:rsidP="00423FF6">
            <w:pPr>
              <w:pStyle w:val="bullet"/>
            </w:pPr>
            <w:r>
              <w:t>physical exertion throughout pregnancy: OR 2.91; 95%CI 1.29 to 6.58.</w:t>
            </w:r>
          </w:p>
        </w:tc>
        <w:tc>
          <w:tcPr>
            <w:tcW w:w="1843" w:type="dxa"/>
          </w:tcPr>
          <w:p w14:paraId="135BA01B" w14:textId="77777777" w:rsidR="003060CB" w:rsidRPr="00AF7D6C" w:rsidRDefault="003060CB" w:rsidP="00A2497E">
            <w:pPr>
              <w:keepNext/>
            </w:pPr>
          </w:p>
        </w:tc>
      </w:tr>
      <w:tr w:rsidR="003060CB" w:rsidRPr="00AF7D6C" w14:paraId="54E3F493" w14:textId="77777777" w:rsidTr="00E01A84">
        <w:trPr>
          <w:cantSplit/>
        </w:trPr>
        <w:tc>
          <w:tcPr>
            <w:tcW w:w="1305" w:type="dxa"/>
          </w:tcPr>
          <w:p w14:paraId="239ADC13" w14:textId="6BB65ECD" w:rsidR="003060CB" w:rsidRDefault="003060CB" w:rsidP="00053FBC">
            <w:pPr>
              <w:keepNext/>
            </w:pPr>
            <w:r>
              <w:t>Salunkhe et al 2018</w:t>
            </w:r>
            <w:r>
              <w:fldChar w:fldCharType="begin"/>
            </w:r>
            <w:r w:rsidR="002747EA">
              <w:instrText xml:space="preserve"> ADDIN EN.CITE &lt;EndNote&gt;&lt;Cite&gt;&lt;Author&gt;Salunkhe&lt;/Author&gt;&lt;Year&gt;2018&lt;/Year&gt;&lt;RecNum&gt;1497&lt;/RecNum&gt;&lt;DisplayText&gt;&lt;style face="superscript" font="Trebuchet MS" size="9"&gt;332&lt;/style&gt;&lt;/DisplayText&gt;&lt;record&gt;&lt;rec-number&gt;1497&lt;/rec-number&gt;&lt;foreign-keys&gt;&lt;key app="EN" db-id="exvasrfx2dtraoesasxp2szsxa2df502592x" timestamp="1574314791"&gt;1497&lt;/key&gt;&lt;/foreign-keys&gt;&lt;ref-type name="Journal Article"&gt;17&lt;/ref-type&gt;&lt;contributors&gt;&lt;authors&gt;&lt;author&gt;Salunkhe, A.H.,&lt;/author&gt;&lt;author&gt;Pratinidhi, A.,&lt;/author&gt;&lt;author&gt;Kakade, S.V.,&lt;/author&gt;&lt;author&gt;Salunkhe, J.A.,&lt;/author&gt;&lt;author&gt;Mohite, V.R.,&lt;/author&gt;&lt;author&gt;Bhosale, T.,&lt;/author&gt;&lt;/authors&gt;&lt;/contributors&gt;&lt;titles&gt;&lt;title&gt;Occupation, caloric intake and rest during day time of pregnant women and birth weight and gestational age of the baby&lt;/title&gt;&lt;secondary-title&gt;Asian J Pharm Res Health care&lt;/secondary-title&gt;&lt;/titles&gt;&lt;periodical&gt;&lt;full-title&gt;Asian J Pharm Res Health care&lt;/full-title&gt;&lt;/periodical&gt;&lt;pages&gt;36-41&lt;/pages&gt;&lt;volume&gt;10&lt;/volume&gt;&lt;number&gt;1&lt;/number&gt;&lt;dates&gt;&lt;year&gt;2018&lt;/year&gt;&lt;/dates&gt;&lt;urls&gt;&lt;/urls&gt;&lt;/record&gt;&lt;/Cite&gt;&lt;/EndNote&gt;</w:instrText>
            </w:r>
            <w:r>
              <w:fldChar w:fldCharType="separate"/>
            </w:r>
            <w:r w:rsidR="002747EA" w:rsidRPr="002747EA">
              <w:rPr>
                <w:noProof/>
                <w:vertAlign w:val="superscript"/>
              </w:rPr>
              <w:t>332</w:t>
            </w:r>
            <w:r>
              <w:fldChar w:fldCharType="end"/>
            </w:r>
          </w:p>
          <w:p w14:paraId="06F997ED" w14:textId="77777777" w:rsidR="003060CB" w:rsidRDefault="003060CB" w:rsidP="00053FBC">
            <w:pPr>
              <w:keepNext/>
            </w:pPr>
            <w:r>
              <w:t xml:space="preserve">India </w:t>
            </w:r>
          </w:p>
        </w:tc>
        <w:tc>
          <w:tcPr>
            <w:tcW w:w="1247" w:type="dxa"/>
          </w:tcPr>
          <w:p w14:paraId="30461C77" w14:textId="77777777" w:rsidR="003060CB" w:rsidRDefault="003060CB" w:rsidP="00053FBC">
            <w:pPr>
              <w:keepNext/>
            </w:pPr>
            <w:r>
              <w:t>380</w:t>
            </w:r>
          </w:p>
          <w:p w14:paraId="0CBED202" w14:textId="77777777" w:rsidR="003060CB" w:rsidRDefault="003060CB" w:rsidP="00053FBC">
            <w:pPr>
              <w:keepNext/>
            </w:pPr>
            <w:r>
              <w:t>Cohort</w:t>
            </w:r>
          </w:p>
        </w:tc>
        <w:tc>
          <w:tcPr>
            <w:tcW w:w="4961" w:type="dxa"/>
          </w:tcPr>
          <w:p w14:paraId="0F8B42DD" w14:textId="77777777" w:rsidR="003060CB" w:rsidRPr="009A560E" w:rsidRDefault="003060CB" w:rsidP="009A560E">
            <w:pPr>
              <w:rPr>
                <w:szCs w:val="18"/>
              </w:rPr>
            </w:pPr>
            <w:r w:rsidRPr="009A560E">
              <w:rPr>
                <w:b/>
              </w:rPr>
              <w:t>Aim</w:t>
            </w:r>
            <w:r>
              <w:t>: T</w:t>
            </w:r>
            <w:r w:rsidRPr="009A560E">
              <w:t xml:space="preserve">o find out </w:t>
            </w:r>
            <w:r>
              <w:t xml:space="preserve">the </w:t>
            </w:r>
            <w:r w:rsidRPr="009A560E">
              <w:t>relationship between occupation of women and the birth weight and gestational age of the baby</w:t>
            </w:r>
            <w:r>
              <w:rPr>
                <w:rFonts w:eastAsiaTheme="majorEastAsia"/>
              </w:rPr>
              <w:t>.</w:t>
            </w:r>
          </w:p>
          <w:p w14:paraId="6C90CB3C" w14:textId="77777777" w:rsidR="003060CB" w:rsidRDefault="003060CB" w:rsidP="00695F30">
            <w:r w:rsidRPr="004D23E5">
              <w:rPr>
                <w:b/>
              </w:rPr>
              <w:t>Population</w:t>
            </w:r>
            <w:r>
              <w:t xml:space="preserve">: Pregnant women </w:t>
            </w:r>
          </w:p>
          <w:p w14:paraId="09D1AA6C" w14:textId="77777777" w:rsidR="003060CB" w:rsidRPr="004D23E5" w:rsidRDefault="003060CB" w:rsidP="004D23E5">
            <w:pPr>
              <w:rPr>
                <w:szCs w:val="18"/>
              </w:rPr>
            </w:pPr>
            <w:r w:rsidRPr="004D23E5">
              <w:rPr>
                <w:b/>
              </w:rPr>
              <w:t>Methods</w:t>
            </w:r>
            <w:r>
              <w:t>: Data on occupation was collected using a structured interview. Data was analys</w:t>
            </w:r>
            <w:r w:rsidRPr="004D23E5">
              <w:t>ed using descriptive and inferential statistics.</w:t>
            </w:r>
            <w:r w:rsidRPr="004D23E5">
              <w:rPr>
                <w:rFonts w:eastAsiaTheme="majorEastAsia"/>
              </w:rPr>
              <w:t> </w:t>
            </w:r>
          </w:p>
        </w:tc>
        <w:tc>
          <w:tcPr>
            <w:tcW w:w="4536" w:type="dxa"/>
          </w:tcPr>
          <w:p w14:paraId="4B839AD2" w14:textId="77777777" w:rsidR="003060CB" w:rsidRDefault="003060CB" w:rsidP="00053FBC">
            <w:pPr>
              <w:keepNext/>
            </w:pPr>
            <w:r>
              <w:t>Sedentary vs moderate vs heavy occupation:</w:t>
            </w:r>
          </w:p>
          <w:p w14:paraId="12D73CDD" w14:textId="77777777" w:rsidR="003060CB" w:rsidRDefault="003060CB" w:rsidP="00135CF2">
            <w:pPr>
              <w:pStyle w:val="bullet"/>
            </w:pPr>
            <w:r>
              <w:t>Preterm birth: 7/109 (6.5%) vs 35/248 (12.6%) vs 6/23 (26.1%)</w:t>
            </w:r>
          </w:p>
          <w:p w14:paraId="6646A434" w14:textId="77777777" w:rsidR="003060CB" w:rsidRDefault="003060CB" w:rsidP="00135CF2">
            <w:pPr>
              <w:pStyle w:val="bullet"/>
            </w:pPr>
            <w:r>
              <w:t>Low birth weight: 27/109 (24.8%) vs 59/248 (23.8%) vs 19/23 (82.6%)</w:t>
            </w:r>
          </w:p>
        </w:tc>
        <w:tc>
          <w:tcPr>
            <w:tcW w:w="1843" w:type="dxa"/>
          </w:tcPr>
          <w:p w14:paraId="3F164864" w14:textId="77777777" w:rsidR="003060CB" w:rsidRPr="00AF7D6C" w:rsidRDefault="003060CB" w:rsidP="004D23E5">
            <w:pPr>
              <w:keepNext/>
            </w:pPr>
            <w:r>
              <w:t>Moderate occupation was defined as farm work; heavy as working as labourer on road construction and stone cutting.</w:t>
            </w:r>
          </w:p>
        </w:tc>
      </w:tr>
      <w:tr w:rsidR="003060CB" w:rsidRPr="00AF7D6C" w14:paraId="76C10AA4" w14:textId="77777777" w:rsidTr="00A2497E">
        <w:trPr>
          <w:cantSplit/>
        </w:trPr>
        <w:tc>
          <w:tcPr>
            <w:tcW w:w="1305" w:type="dxa"/>
          </w:tcPr>
          <w:p w14:paraId="482A99D9" w14:textId="3C217EAC" w:rsidR="003060CB" w:rsidRDefault="003060CB" w:rsidP="00A2497E">
            <w:pPr>
              <w:keepNext/>
            </w:pPr>
            <w:r>
              <w:t>Snijder et al 2012</w:t>
            </w:r>
            <w:r w:rsidR="00283324">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 </w:instrText>
            </w:r>
            <w:r w:rsidR="002747EA">
              <w:fldChar w:fldCharType="begin">
                <w:fldData xml:space="preserve">PEVuZE5vdGU+PENpdGU+PEF1dGhvcj5TbmlqZGVyPC9BdXRob3I+PFllYXI+MjAxMjwvWWVhcj48
UmVjTnVtPjgyNzwvUmVjTnVtPjxEaXNwbGF5VGV4dD48c3R5bGUgZmFjZT0ic3VwZXJzY3JpcHQi
IGZvbnQ9IlRyZWJ1Y2hldCBNUyIgc2l6ZT0iOSI+MzM1PC9zdHlsZT48L0Rpc3BsYXlUZXh0Pjxy
ZWNvcmQ+PHJlYy1udW1iZXI+ODI3PC9yZWMtbnVtYmVyPjxmb3JlaWduLWtleXM+PGtleSBhcHA9
IkVOIiBkYi1pZD0iZXh2YXNyZngyZHRyYW9lc2FzeHAyc3pzeGEyZGY1MDI1OTJ4IiB0aW1lc3Rh
bXA9IjE1NDE1NDA1NDgiPjgyNzwva2V5PjxrZXkgYXBwPSJFTldlYiIgZGItaWQ9IiI+MDwva2V5
PjwvZm9yZWlnbi1rZXlzPjxyZWYtdHlwZSBuYW1lPSJKb3VybmFsIEFydGljbGUiPjE3PC9yZWYt
dHlwZT48Y29udHJpYnV0b3JzPjxhdXRob3JzPjxhdXRob3I+U25pamRlciwgQy4gQS48L2F1dGhv
cj48YXV0aG9yPkJyYW5kLCBULjwvYXV0aG9yPjxhdXRob3I+SmFkZG9lLCBWLjwvYXV0aG9yPjxh
dXRob3I+SG9mbWFuLCBBLjwvYXV0aG9yPjxhdXRob3I+TWFja2VuYmFjaCwgSi4gUC48L2F1dGhv
cj48YXV0aG9yPlN0ZWVnZXJzLCBFLiBBLjwvYXV0aG9yPjxhdXRob3I+QnVyZG9yZiwgQS48L2F1
dGhvcj48L2F1dGhvcnM+PC9jb250cmlidXRvcnM+PGF1dGgtYWRkcmVzcz5UaGUgR2VuZXJhdGlv
biBSIFN0dWR5IEdyb3VwLCBhbmQgRGVwYXJ0bWVudCBvZiBQdWJsaWMgSGVhbHRoLCBFcmFzbXVz
IE1lZGljYWwgQ2VudGVyLCBSb3R0ZXJkYW0sIFRoZSBOZXRoZXJsYW5kcy48L2F1dGgtYWRkcmVz
cz48dGl0bGVzPjx0aXRsZT5QaHlzaWNhbGx5IGRlbWFuZGluZyB3b3JrLCBmZXRhbCBncm93dGgg
YW5kIHRoZSByaXNrIG9mIGFkdmVyc2UgYmlydGggb3V0Y29tZXMuIFRoZSBHZW5lcmF0aW9uIFIg
U3R1ZHk8L3RpdGxlPjxzZWNvbmRhcnktdGl0bGU+T2NjdXAgRW52aXJvbiBNZWQ8L3NlY29uZGFy
eS10aXRsZT48L3RpdGxlcz48cGVyaW9kaWNhbD48ZnVsbC10aXRsZT5PY2N1cCBFbnZpcm9uIE1l
ZDwvZnVsbC10aXRsZT48L3BlcmlvZGljYWw+PHBhZ2VzPjU0My01MDwvcGFnZXM+PHZvbHVtZT42
OTwvdm9sdW1lPjxudW1iZXI+ODwvbnVtYmVyPjxlZGl0aW9uPjIwMTIvMDYvMzA8L2VkaXRpb24+
PGtleXdvcmRzPjxrZXl3b3JkPkFkdWx0PC9rZXl3b3JkPjxrZXl3b3JkPkJpcnRoIFdlaWdodDwv
a2V5d29yZD48a2V5d29yZD5FbXBsb3ltZW50PC9rZXl3b3JkPjxrZXl3b3JkPkZlbWFsZTwva2V5
d29yZD48a2V5d29yZD4qRmV0YWwgRGV2ZWxvcG1lbnQ8L2tleXdvcmQ+PGtleXdvcmQ+RmV0YWwg
V2VpZ2h0PC9rZXl3b3JkPjxrZXl3b3JkPkhlYWQvZW1icnlvbG9neTwva2V5d29yZD48a2V5d29y
ZD5IdW1hbnM8L2tleXdvcmQ+PGtleXdvcmQ+SW5mYW50LCBOZXdib3JuPC9rZXl3b3JkPjxrZXl3
b3JkPkluZmFudCwgU21hbGwgZm9yIEdlc3RhdGlvbmFsIEFnZTwva2V5d29yZD48a2V5d29yZD5N
YXRlcm5hbCBFeHBvc3VyZTwva2V5d29yZD48a2V5d29yZD5Nb3RoZXJzPC9rZXl3b3JkPjxrZXl3
b3JkPk1vdmVtZW50PC9rZXl3b3JkPjxrZXl3b3JkPk5ldGhlcmxhbmRzL2VwaWRlbWlvbG9neTwv
a2V5d29yZD48a2V5d29yZD5PY2N1cGF0aW9uYWwgRXhwb3N1cmU8L2tleXdvcmQ+PGtleXdvcmQ+
Kk9jY3VwYXRpb25zPC9rZXl3b3JkPjxrZXl3b3JkPipQaHlzaWNhbCBFeGVydGlvbjwva2V5d29y
ZD48a2V5d29yZD5QcmVnbmFuY3k8L2tleXdvcmQ+PGtleXdvcmQ+KlByZWduYW5jeSBDb21wbGlj
YXRpb25zPC9rZXl3b3JkPjxrZXl3b3JkPipQcmVnbmFuY3kgT3V0Y29tZTwva2V5d29yZD48a2V5
d29yZD5QcmVnbmFuY3kgVHJpbWVzdGVyczwva2V5d29yZD48a2V5d29yZD5QcmVtYXR1cmUgQmly
dGg8L2tleXdvcmQ+PGtleXdvcmQ+UHJvc3BlY3RpdmUgU3R1ZGllczwva2V5d29yZD48a2V5d29y
ZD5SaXNrIEZhY3RvcnM8L2tleXdvcmQ+PGtleXdvcmQ+U3VydmV5cyBhbmQgUXVlc3Rpb25uYWly
ZXM8L2tleXdvcmQ+PGtleXdvcmQ+V2Fsa2luZzwva2V5d29yZD48a2V5d29yZD4qV29yazwva2V5
d29yZD48L2tleXdvcmRzPjxkYXRlcz48eWVhcj4yMDEyPC95ZWFyPjxwdWItZGF0ZXM+PGRhdGU+
QXVnPC9kYXRlPjwvcHViLWRhdGVzPjwvZGF0ZXM+PGlzYm4+MTQ3MC03OTI2IChFbGVjdHJvbmlj
KSYjeEQ7MTM1MS0wNzExIChMaW5raW5nKTwvaXNibj48YWNjZXNzaW9uLW51bT4yMjc0NDc2Njwv
YWNjZXNzaW9uLW51bT48dXJscz48cmVsYXRlZC11cmxzPjx1cmw+aHR0cHM6Ly93d3cubmNiaS5u
bG0ubmloLmdvdi9wdWJtZWQvMjI3NDQ3NjY8L3VybD48L3JlbGF0ZWQtdXJscz48L3VybHM+PGVs
ZWN0cm9uaWMtcmVzb3VyY2UtbnVtPjEwLjExMzYvb2VtZWQtMjAxMS0xMDA2MTU8L2VsZWN0cm9u
aWMtcmVzb3VyY2UtbnVtPjwvcmVjb3JkPjwvQ2l0ZT48L0VuZE5vdGU+
</w:fldData>
              </w:fldChar>
            </w:r>
            <w:r w:rsidR="002747EA">
              <w:instrText xml:space="preserve"> ADDIN EN.CITE.DATA </w:instrText>
            </w:r>
            <w:r w:rsidR="002747EA">
              <w:fldChar w:fldCharType="end"/>
            </w:r>
            <w:r w:rsidR="00283324">
              <w:fldChar w:fldCharType="separate"/>
            </w:r>
            <w:r w:rsidR="002747EA" w:rsidRPr="002747EA">
              <w:rPr>
                <w:noProof/>
                <w:vertAlign w:val="superscript"/>
              </w:rPr>
              <w:t>335</w:t>
            </w:r>
            <w:r w:rsidR="00283324">
              <w:fldChar w:fldCharType="end"/>
            </w:r>
          </w:p>
          <w:p w14:paraId="255CE9A2" w14:textId="77777777" w:rsidR="003060CB" w:rsidRDefault="003060CB" w:rsidP="00A2497E">
            <w:pPr>
              <w:keepNext/>
            </w:pPr>
            <w:r>
              <w:t xml:space="preserve">Netherlands </w:t>
            </w:r>
          </w:p>
          <w:p w14:paraId="787BB07C" w14:textId="77777777" w:rsidR="003060CB" w:rsidRDefault="003060CB" w:rsidP="00A2497E">
            <w:pPr>
              <w:keepNext/>
            </w:pPr>
          </w:p>
        </w:tc>
        <w:tc>
          <w:tcPr>
            <w:tcW w:w="1247" w:type="dxa"/>
          </w:tcPr>
          <w:p w14:paraId="3C2E6D93" w14:textId="77777777" w:rsidR="003060CB" w:rsidRDefault="003060CB" w:rsidP="00A2497E">
            <w:pPr>
              <w:keepNext/>
            </w:pPr>
            <w:r>
              <w:t>4,680 women</w:t>
            </w:r>
          </w:p>
          <w:p w14:paraId="5C2E62DD" w14:textId="77777777" w:rsidR="003060CB" w:rsidRDefault="003060CB" w:rsidP="00A2497E">
            <w:pPr>
              <w:keepNext/>
            </w:pPr>
            <w:r>
              <w:t>Cohort</w:t>
            </w:r>
          </w:p>
        </w:tc>
        <w:tc>
          <w:tcPr>
            <w:tcW w:w="4961" w:type="dxa"/>
          </w:tcPr>
          <w:p w14:paraId="7A93968B" w14:textId="77777777" w:rsidR="003060CB" w:rsidRDefault="003060CB" w:rsidP="00302272">
            <w:r w:rsidRPr="00302272">
              <w:rPr>
                <w:b/>
              </w:rPr>
              <w:t>Aim</w:t>
            </w:r>
            <w:r>
              <w:t>: T</w:t>
            </w:r>
            <w:r w:rsidRPr="00302272">
              <w:t xml:space="preserve">o examine associations between various aspects of physically demanding work with fetal growth in different trimesters during pregnancy and the risks of adverse birth outcomes. </w:t>
            </w:r>
          </w:p>
          <w:p w14:paraId="0B033FAC" w14:textId="77777777" w:rsidR="003060CB" w:rsidRPr="00462042" w:rsidRDefault="003060CB" w:rsidP="00302272">
            <w:pPr>
              <w:rPr>
                <w:b/>
              </w:rPr>
            </w:pPr>
            <w:r w:rsidRPr="00302272">
              <w:rPr>
                <w:b/>
              </w:rPr>
              <w:t>Methods</w:t>
            </w:r>
            <w:r w:rsidRPr="00302272">
              <w:t>: Associations between physically demanding work and fetal growth were studied in a population-based prospective cohort study from early pregnancy onwards</w:t>
            </w:r>
            <w:r>
              <w:t xml:space="preserve">. </w:t>
            </w:r>
            <w:r w:rsidRPr="00302272">
              <w:t xml:space="preserve">Mothers who filled out a questionnaire during mid-pregnancy (response 77% of enrolment) were included if they conducted paid employment and had a spontaneously conceived singleton live born pregnancy. Questions on physical workload were obtained from the Dutch Musculoskeletal Questionnaire and concerned questions on lifting, long periods of standing or walking, night shifts and working hours. Fetal growth characteristics were repeatedly measured by ultrasound and were used in combination with measurements at birth. </w:t>
            </w:r>
          </w:p>
        </w:tc>
        <w:tc>
          <w:tcPr>
            <w:tcW w:w="4536" w:type="dxa"/>
          </w:tcPr>
          <w:p w14:paraId="16AE4FA0" w14:textId="77777777" w:rsidR="003060CB" w:rsidRDefault="003060CB" w:rsidP="00302272">
            <w:r>
              <w:t>Odds of preterm birth:</w:t>
            </w:r>
          </w:p>
          <w:p w14:paraId="3831720F" w14:textId="77777777" w:rsidR="003060CB" w:rsidRDefault="003060CB" w:rsidP="005F78E8">
            <w:pPr>
              <w:pStyle w:val="bullet"/>
            </w:pPr>
            <w:r>
              <w:t>Frequent periods of standing: OR 0.95; 95%CI 0.65 to 1.40</w:t>
            </w:r>
          </w:p>
          <w:p w14:paraId="5BF1877C" w14:textId="77777777" w:rsidR="003060CB" w:rsidRDefault="003060CB" w:rsidP="005F78E8">
            <w:pPr>
              <w:pStyle w:val="bullet"/>
            </w:pPr>
            <w:r>
              <w:t>Frequent lifting of &gt;25 kg: OR 0.55; 95%CI 0.13 to 2.28</w:t>
            </w:r>
          </w:p>
          <w:p w14:paraId="5BE77850" w14:textId="77777777" w:rsidR="003060CB" w:rsidRDefault="003060CB" w:rsidP="00302272">
            <w:r>
              <w:t>Odds of small-for gestational age:</w:t>
            </w:r>
          </w:p>
          <w:p w14:paraId="59FF6DDA" w14:textId="77777777" w:rsidR="003060CB" w:rsidRDefault="003060CB" w:rsidP="005F78E8">
            <w:pPr>
              <w:pStyle w:val="bullet"/>
            </w:pPr>
            <w:r>
              <w:t>Frequent long periods of standing: OR 0.95; 95%CI 0.63 to 1.45</w:t>
            </w:r>
          </w:p>
          <w:p w14:paraId="37262767" w14:textId="77777777" w:rsidR="003060CB" w:rsidRDefault="003060CB" w:rsidP="005F78E8">
            <w:pPr>
              <w:pStyle w:val="bullet"/>
            </w:pPr>
            <w:r>
              <w:t>Frequent lifting of &gt;25 kg: OR 1.85; 95%CI 0.70 to 4.88</w:t>
            </w:r>
          </w:p>
          <w:p w14:paraId="4DC260C6" w14:textId="77777777" w:rsidR="003060CB" w:rsidRDefault="003060CB" w:rsidP="005F78E8">
            <w:r>
              <w:t>Odds of low birth weight:</w:t>
            </w:r>
          </w:p>
          <w:p w14:paraId="35077B46" w14:textId="77777777" w:rsidR="003060CB" w:rsidRDefault="003060CB" w:rsidP="005F78E8">
            <w:pPr>
              <w:pStyle w:val="bullet"/>
            </w:pPr>
            <w:r>
              <w:t>Frequent long periods of standing: OR 1.02; 95%CI 0.60 to 1.73</w:t>
            </w:r>
          </w:p>
          <w:p w14:paraId="7B11031E" w14:textId="77777777" w:rsidR="003060CB" w:rsidRPr="005F78E8" w:rsidRDefault="003060CB" w:rsidP="005F78E8">
            <w:pPr>
              <w:pStyle w:val="bullet"/>
            </w:pPr>
            <w:r>
              <w:t>Frequent lifting of &gt;25 kg: OR 1.86; 95%CI 0.44 to 7.77</w:t>
            </w:r>
            <w:r w:rsidRPr="005F78E8">
              <w:rPr>
                <w:rFonts w:eastAsia="Times New Roman"/>
                <w:lang w:val="en-AU"/>
              </w:rPr>
              <w:t xml:space="preserve"> </w:t>
            </w:r>
          </w:p>
        </w:tc>
        <w:tc>
          <w:tcPr>
            <w:tcW w:w="1843" w:type="dxa"/>
          </w:tcPr>
          <w:p w14:paraId="56B19C2B" w14:textId="77777777" w:rsidR="003060CB" w:rsidRPr="00AF7D6C" w:rsidRDefault="003060CB" w:rsidP="00A2497E">
            <w:pPr>
              <w:keepNext/>
            </w:pPr>
          </w:p>
        </w:tc>
      </w:tr>
    </w:tbl>
    <w:p w14:paraId="7B3342B8" w14:textId="033B5DA6" w:rsidR="002E4BC8" w:rsidRDefault="002E4BC8" w:rsidP="00823E0B">
      <w:pPr>
        <w:pStyle w:val="Heading1"/>
        <w:sectPr w:rsidR="002E4BC8" w:rsidSect="002E4BC8">
          <w:pgSz w:w="16820" w:h="11900" w:orient="landscape"/>
          <w:pgMar w:top="1418" w:right="1134" w:bottom="1418" w:left="1134" w:header="709" w:footer="709" w:gutter="0"/>
          <w:cols w:space="708"/>
          <w:docGrid w:linePitch="360"/>
        </w:sectPr>
      </w:pPr>
    </w:p>
    <w:p w14:paraId="695011DE" w14:textId="34435B6D" w:rsidR="00823E0B" w:rsidRPr="00823E0B" w:rsidRDefault="00823E0B" w:rsidP="00823E0B">
      <w:pPr>
        <w:pStyle w:val="Heading1"/>
      </w:pPr>
      <w:bookmarkStart w:id="168" w:name="_Toc40956528"/>
      <w:r>
        <w:t>Weight assessment</w:t>
      </w:r>
      <w:r w:rsidR="00465384">
        <w:t xml:space="preserve"> and management</w:t>
      </w:r>
      <w:bookmarkEnd w:id="168"/>
    </w:p>
    <w:p w14:paraId="6E92FB85" w14:textId="3AA45BF9" w:rsidR="00823E0B" w:rsidRDefault="00823E0B" w:rsidP="00823E0B">
      <w:pPr>
        <w:pStyle w:val="Heading2"/>
      </w:pPr>
      <w:bookmarkStart w:id="169" w:name="_Toc40956529"/>
      <w:r w:rsidRPr="00F43F44">
        <w:rPr>
          <w:b/>
        </w:rPr>
        <w:t>Q</w:t>
      </w:r>
      <w:r w:rsidR="007D30D7">
        <w:rPr>
          <w:b/>
        </w:rPr>
        <w:t>7</w:t>
      </w:r>
      <w:r>
        <w:t>: When should maternal weight and height be measured and BMI calculated in pregnant women?</w:t>
      </w:r>
      <w:bookmarkEnd w:id="169"/>
    </w:p>
    <w:p w14:paraId="73A6D744" w14:textId="4FDC258F" w:rsidR="00F43957" w:rsidRDefault="00CB337D" w:rsidP="0056468B">
      <w:pPr>
        <w:pStyle w:val="Heading3"/>
      </w:pPr>
      <w:bookmarkStart w:id="170" w:name="_Toc40956530"/>
      <w:r>
        <w:t>Review of the IOM</w:t>
      </w:r>
      <w:r w:rsidRPr="00CB337D">
        <w:t xml:space="preserve"> </w:t>
      </w:r>
      <w:r>
        <w:t>guidelines for weight gain in pregnancy</w:t>
      </w:r>
      <w:bookmarkEnd w:id="170"/>
    </w:p>
    <w:p w14:paraId="309D6C84" w14:textId="3E868540" w:rsidR="00CB337D" w:rsidRPr="00CB337D" w:rsidRDefault="00CB337D" w:rsidP="00BD61CC">
      <w:r>
        <w:t>A number of studies have suggested that the IOM guidelines may not be a</w:t>
      </w:r>
      <w:r w:rsidR="008448B9">
        <w:t>pplicable to all women or that the weight gain ranges require revision.</w:t>
      </w:r>
    </w:p>
    <w:p w14:paraId="283F697B" w14:textId="07345507" w:rsidR="009D51F1" w:rsidRPr="009D51F1" w:rsidRDefault="009D51F1" w:rsidP="009D51F1">
      <w:pPr>
        <w:pStyle w:val="bullet"/>
      </w:pPr>
      <w:r w:rsidRPr="009D51F1">
        <w:t>An individual participant-level meta-analysis (</w:t>
      </w:r>
      <w:r w:rsidRPr="009D51F1">
        <w:rPr>
          <w:sz w:val="16"/>
          <w:szCs w:val="16"/>
        </w:rPr>
        <w:t>25 cohort studies; n=196,670</w:t>
      </w:r>
      <w:r w:rsidRPr="009D51F1">
        <w:t xml:space="preserve">) </w:t>
      </w:r>
      <w:r w:rsidRPr="009D51F1">
        <w:fldChar w:fldCharType="begin">
          <w:fldData xml:space="preserve">PEVuZE5vdGU+PENpdGU+PEF1dGhvcj5MaWZlQ3ljbGUgUHJvamVjdC1NYXRlcm5hbDwvQXV0aG9y
PjxZZWFyPjIwMTk8L1llYXI+PFJlY051bT4xOTMzPC9SZWNOdW0+PERpc3BsYXlUZXh0PjxzdHls
ZSBmYWNlPSJzdXBlcnNjcmlwdCIgZm9udD0iVHJlYnVjaGV0IE1TIiBzaXplPSI5Ij4zNDU8L3N0
eWxlPjwvRGlzcGxheVRleHQ+PHJlY29yZD48cmVjLW51bWJlcj4xOTMzPC9yZWMtbnVtYmVyPjxm
b3JlaWduLWtleXM+PGtleSBhcHA9IkVOIiBkYi1pZD0iZXh2YXNyZngyZHRyYW9lc2FzeHAyc3pz
eGEyZGY1MDI1OTJ4IiB0aW1lc3RhbXA9IjE1ODg2NTQ4MDgiPjE5MzM8L2tleT48a2V5IGFwcD0i
RU5XZWIiIGRiLWlkPSIiPjA8L2tleT48L2ZvcmVpZ24ta2V5cz48cmVmLXR5cGUgbmFtZT0iSm91
cm5hbCBBcnRpY2xlIj4xNzwvcmVmLXR5cGU+PGNvbnRyaWJ1dG9ycz48YXV0aG9ycz48YXV0aG9y
PkxpZmVDeWNsZSBQcm9qZWN0LU1hdGVybmFsLCBPYmVzaXR5PC9hdXRob3I+PGF1dGhvcj5DaGls
ZGhvb2QgT3V0Y29tZXMgU3R1ZHksIEdyb3VwPC9hdXRob3I+PGF1dGhvcj5Wb2VybWFuLCBFLjwv
YXV0aG9yPjxhdXRob3I+U2FudG9zLCBTLjwvYXV0aG9yPjxhdXRob3I+SW5za2lwLCBILjwvYXV0
aG9yPjxhdXRob3I+QW1pYW5vLCBQLjwvYXV0aG9yPjxhdXRob3I+QmFycm9zLCBILjwvYXV0aG9y
PjxhdXRob3I+Q2hhcmxlcywgTS4gQS48L2F1dGhvcj48YXV0aG9yPkNoYXR6aSwgTC48L2F1dGhv
cj48YXV0aG9yPkNocm91c29zLCBHLiBQLjwvYXV0aG9yPjxhdXRob3I+Q29ycGVsZWlqbiwgRS48
L2F1dGhvcj48YXV0aG9yPkNyb3ppZXIsIFMuPC9hdXRob3I+PGF1dGhvcj5Eb3lvbiwgTS48L2F1
dGhvcj48YXV0aG9yPkVnZ2VzYm8sIE0uPC9hdXRob3I+PGF1dGhvcj5GYW50aW5pLCBNLiBQLjwv
YXV0aG9yPjxhdXRob3I+RmFyY2hpLCBTLjwvYXV0aG9yPjxhdXRob3I+Rm9yYXN0aWVyZSwgRi48
L2F1dGhvcj48YXV0aG9yPkdlb3JnaXUsIFYuPC9hdXRob3I+PGF1dGhvcj5Hb3JpLCBELjwvYXV0
aG9yPjxhdXRob3I+SGFua2UsIFcuPC9hdXRob3I+PGF1dGhvcj5IZXJ0ei1QaWNjaW90dG8sIEku
PC9hdXRob3I+PGF1dGhvcj5IZXVkZSwgQi48L2F1dGhvcj48YXV0aG9yPkhpdmVydCwgTS4gRi48
L2F1dGhvcj48YXV0aG9yPkhyeWhvcmN6dWssIEQuPC9hdXRob3I+PGF1dGhvcj5JbmlndWV6LCBD
LjwvYXV0aG9yPjxhdXRob3I+S2Fydm9uZW4sIEEuIE0uPC9hdXRob3I+PGF1dGhvcj5LdXBlcnMs
IEwuIEsuPC9hdXRob3I+PGF1dGhvcj5MYWdzdHJvbSwgSC48L2F1dGhvcj48YXV0aG9yPkxhd2xv
ciwgRC4gQS48L2F1dGhvcj48YXV0aG9yPkxlaG1hbm4sIEkuPC9hdXRob3I+PGF1dGhvcj5NYWdu
dXMsIFAuPC9hdXRob3I+PGF1dGhvcj5NYWpld3NrYSwgUi48L2F1dGhvcj48YXV0aG9yPk1ha2Vs
YSwgSi48L2F1dGhvcj48YXV0aG9yPk1hbmlvcywgWS48L2F1dGhvcj48YXV0aG9yPk1vbW1lcnMs
IE0uPC9hdXRob3I+PGF1dGhvcj5Nb3JnZW4sIEMuIFMuPC9hdXRob3I+PGF1dGhvcj5Nb3NjaG9u
aXMsIEcuPC9hdXRob3I+PGF1dGhvcj5Ob2hyLCBFLiBBLjwvYXV0aG9yPjxhdXRob3I+TnlibyBB
bmRlcnNlbiwgQS4gTS48L2F1dGhvcj48YXV0aG9yPk9rZW4sIEUuPC9hdXRob3I+PGF1dGhvcj5Q
YWMsIEEuPC9hdXRob3I+PGF1dGhvcj5QYXBhZG9wb3Vsb3UsIEUuPC9hdXRob3I+PGF1dGhvcj5Q
ZWtrYW5lbiwgSi48L2F1dGhvcj48YXV0aG9yPlBpenppLCBDLjwvYXV0aG9yPjxhdXRob3I+UG9s
YW5za2EsIEsuPC9hdXRob3I+PGF1dGhvcj5Qb3J0YSwgRC48L2F1dGhvcj48YXV0aG9yPlJpY2hp
YXJkaSwgTC48L2F1dGhvcj48YXV0aG9yPlJpZmFzLVNoaW1hbiwgUy4gTC48L2F1dGhvcj48YXV0
aG9yPlJvZWxldmVsZCwgTi48L2F1dGhvcj48YXV0aG9yPlJvbmZhbmksIEwuPC9hdXRob3I+PGF1
dGhvcj5TYW50b3MsIEEuIEMuPC9hdXRob3I+PGF1dGhvcj5TdGFuZGwsIE0uPC9hdXRob3I+PGF1
dGhvcj5TdGlndW0sIEguPC9hdXRob3I+PGF1dGhvcj5TdG9sdGVuYmVyZywgQy48L2F1dGhvcj48
YXV0aG9yPlRoaWVyaW5nLCBFLjwvYXV0aG9yPjxhdXRob3I+VGhpanMsIEMuPC9hdXRob3I+PGF1
dGhvcj5Ub3JyZW50LCBNLjwvYXV0aG9yPjxhdXRob3I+VHJub3ZlYywgVC48L2F1dGhvcj48YXV0
aG9yPnZhbiBHZWxkZXIsIE1taGo8L2F1dGhvcj48YXV0aG9yPnZhbiBSb3NzZW0sIEwuPC9hdXRo
b3I+PGF1dGhvcj52b24gQmVyZywgQS48L2F1dGhvcj48YXV0aG9yPlZyaWpoZWlkLCBNLjwvYXV0
aG9yPjxhdXRob3I+V2lqZ2EsIEEuPC9hdXRob3I+PGF1dGhvcj5admluY2h1aywgTy48L2F1dGhv
cj48YXV0aG9yPlNvcmVuc2VuLCBULiBJLiBBLjwvYXV0aG9yPjxhdXRob3I+R29kZnJleSwgSy48
L2F1dGhvcj48YXV0aG9yPkphZGRvZSwgVi4gVy4gVi48L2F1dGhvcj48YXV0aG9yPkdhaWxsYXJk
LCBSLjwvYXV0aG9yPjwvYXV0aG9ycz48L2NvbnRyaWJ1dG9ycz48YXV0aC1hZGRyZXNzPkdlbmVy
YXRpb24gUiBTdHVkeSBHcm91cCwgRXJhc211cyBNQywgVW5pdmVyc2l0eSBNZWRpY2FsIENlbnRl
ciwgUm90dGVyZGFtLCB0aGUgTmV0aGVybGFuZHMuJiN4RDtEZXBhcnRtZW50IG9mIFBlZGlhdHJp
Y3MsIEVyYXNtdXMgTUMsIFVuaXZlcnNpdHkgTWVkaWNhbCBDZW50ZXIsIFJvdHRlcmRhbSwgdGhl
IE5ldGhlcmxhbmRzLiYjeEQ7TVJDIExpZmVjb3Vyc2UgRXBpZGVtaW9sb2d5IFVuaXQsIFVuaXZl
cnNpdHkgb2YgU291dGhhbXB0b24sIFNvdXRoYW1wdG9uLCBFbmdsYW5kLiYjeEQ7TklIUiBTb3V0
aGFtcHRvbiBCaW9tZWRpY2FsIFJlc2VhcmNoIENlbnRyZSwgVW5pdmVyc2l0eSBvZiBTb3V0aGFt
cHRvbiBhbmQgVW5pdmVyc2l0eSBIb3NwaXRhbCBTb3V0aGFtcHRvbiBOSFMgRm91bmRhdGlvbiBU
cnVzdCwgU291dGhhbXB0b24sIEVuZ2xhbmQuJiN4RDtQdWJsaWMgSGVhbHRoIERpdmlzaW9uIG9m
IEdpcHV6a29hLCBTYW4gU2ViYXN0aWFuLCBTcGFpbi4mI3hEO0Jpb0Rvbm9zdGlhIFJlc2VhcmNo
IEluc3RpdHV0ZSwgU2FuIFNlYmFzdGlhbiwgU3BhaW4uJiN4RDtDSUJFUiBFcGlkZW1pb2xvZ2lh
IHkgU2FsdWQgUHVibGljYSwgTWFkcmlkLCBTcGFpbi4mI3hEO0VQSSBVbml0LUluc3RpdHV0byBk
ZSBTYXVkZSBQdWJsaWNhLCBVbml2ZXJzaWRhZGUgZG8gUG9ydG8sIFBvcnRvLCBQb3J0dWdhbC4m
I3hEO0RlcGFydG1lbnQgb2YgUHVibGljIEhlYWx0aCBhbmQgRm9yZW5zaWMgU2NpZW5jZXMgYW5k
IE1lZGljYWwgRWR1Y2F0aW9uLCBVbml0IG9mIENsaW5pY2FsIEVwaWRlbWlvbG9neSwgUHJlZGlj
dGl2ZSBNZWRpY2luZSBhbmQgUHVibGljIEhlYWx0aCwgVW5pdmVyc2l0eSBvZiBQb3J0byBNZWRp
Y2FsIFNjaG9vbCwgUG9ydG8sIFBvcnR1Z2FsLiYjeEQ7SU5TRVJNLCBVTVIxMTUzIEVwaWRlbWlv
bG9neSBhbmQgQmlvc3RhdGlzdGljcyBTb3Jib25uZSBQYXJpcyBDaXRlIENlbnRlciwgT1JDSEFE
IFRlYW0sIFZpbGxlanVpZiwgRnJhbmNlLiYjeEQ7UGFyaXMgRGVzY2FydGVzIFVuaXZlcnNpdHks
IFZpbGxlanVpZiwgRnJhbmNlLiYjeEQ7RGVwYXJ0bWVudCBvZiBQcmV2ZW50aXZlIE1lZGljaW5l
LCBLZWNrIFNjaG9vbCBvZiBNZWRpY2luZSwgVW5pdmVyc2l0eSBvZiBTb3V0aGVybiBDYWxpZm9y
bmlhLCBMb3MgQW5nZWxlcy4mI3hEO0RlcGFydG1lbnQgb2YgU29jaWFsIE1lZGljaW5lLCBGYWN1
bHR5IG9mIE1lZGljaW5lLCBVbml2ZXJzaXR5IG9mIENyZXRlLCBIZXJha2xpb24sIEdyZWVjZS4m
I3hEO0RlcGFydG1lbnQgb2YgR2VuZXRpY3MgYW5kIENlbGwgQmlvbG9neSwgTWFhc3RyaWNodCBV
bml2ZXJzaXR5LCBNYWFzdHJpY2h0LCB0aGUgTmV0aGVybGFuZHMuJiN4RDtGaXJzdCBEZXBhcnRt
ZW50IG9mIFBlZGlhdHJpY3MsIE5hdGlvbmFsIGFuZCBLYXBvZGlzdHJpYW4gVW5pdmVyc2l0eSBv
ZiBBdGhlbnMsIE1lZGljYWwgU2Nob29sLCBBZ2hpYSBTb3BoaWEgQ2hpbGRyZW4mYXBvcztzIEhv
c3BpdGFsLCBBdGhlbnMsIEdyZWVjZS4mI3hEO1VuaXZlcnNpdHkgb2YgR3JvbmluZ2VuLCBVbml2
ZXJzaXR5IE1lZGljYWwgQ2VudGVyIEdyb25pbmdlbiwgRGVwYXJ0bWVudCBvZiBFcGlkZW1pb2xv
Z3ksIEdyb25pbmdlbiwgdGhlIE5ldGhlcmxhbmRzLiYjeEQ7Q2VudHJlIGRlIFJlY2hlcmNoZSBk
dSBDZW50cmUgSG9zcGl0YWxpZXIgZGUgbCZhcG9zO1VuaXZlcnNpdGUgZGUgU2hlcmJyb29rZSwg
U2hlcmJyb29rZSwgUXVlYmVjLCBDYW5hZGEuJiN4RDtEZXBhcnRtZW50IG9mIEV4cG9zdXJlIGFu
ZCBFbnZpcm9ubWVudGFsIEVwaWRlbWlvbG9neSwgTm9yd2VnaWFuIEluc3RpdHV0ZSBvZiBQdWJs
aWMgSGVhbHRoLCBPc2xvLCBOb3J3YXkuJiN4RDtEZXBhcnRtZW50IG9mIEJpb21lZGljYWwgYW5k
IE5ldXJvbW90b3IgU2NpZW5jZXMsIFVuaXZlcnNpdHkgb2YgQm9sb2duYSwgQm9sb2duYSwgSXRh
bHkuJiN4RDtEZXBhcnRtZW50IG9mIEVwaWRlbWlvbG9neSwgTGF6aW8gUmVnaW9uYWwgSGVhbHRo
IFNlcnZpY2UsIFJvbWUsIEl0YWx5LiYjeEQ7RGVwYXJ0bWVudCBvZiBFbnZpcm9ubWVudGFsIEVw
aWRlbWlvbG9neSwgTm9mZXIgSW5zdGl0dXRlIG9mIE9jY3VwYXRpb25hbCBNZWRpY2luZSwgTG9k
eiwgUG9sYW5kLiYjeEQ7RGVwYXJ0bWVudCBvZiBQdWJsaWMgSGVhbHRoIFNjaWVuY2VzLCBTY2hv
b2wgb2YgTWVkaWNpbmUsIFVuaXZlcnNpdHkgb2YgQ2FsaWZvcm5pYSwgRGF2aXMuJiN4RDtEZXBh
cnRtZW50IG9mIFBvcHVsYXRpb24gTWVkaWNpbmUsIEhhcnZhcmQgTWVkaWNhbCBTY2hvb2wsIEhh
cnZhcmQgUGlsZ3JpbSBIZWFsdGggQ2FyZSBJbnN0aXR1dGUsIEJvc3RvbiwgTWFzc2FjaHVzZXR0
cy4mI3hEO0RpYWJldGVzIFVuaXQsIE1hc3NhY2h1c2V0dHMgR2VuZXJhbCBIb3NwaXRhbCwgQm9z
dG9uLiYjeEQ7Q2VudGVyIGZvciBHbG9iYWwgSGVhbHRoLCBDb2xsZWdlIG9mIE1lZGljaW5lLCBV
bml2ZXJzaXR5IG9mIElsbGlub2lzLCBDaGljYWdvLiYjeEQ7RGVwYXJ0bWVudCBvZiBTdGF0aXN0
aWNzIGFuZCBDb21wdXRhdGlvbmFsIFJlc2VhcmNoLCBVbml2ZXJzaXRhdCBkZSBWYWxlbmNpYSwg
VmFsZW5jaWEsIFNwYWluLiYjeEQ7RGVwYXJ0bWVudCBvZiBIZWFsdGggU2VjdXJpdHksIE5hdGlv
bmFsIEluc3RpdHV0ZSBmb3IgSGVhbHRoIGFuZCBXZWxmYXJlLCBLdW9waW8sIEZpbmxhbmQuJiN4
RDtEaXZpc2lvbiBvZiBIdW1hbiBOdXRyaXRpb24gYW5kIEhlYWx0aCwgV2FnZW5pbmdlbiBVbml2
ZXJzaXR5IGFuZCBSZXNlYXJjaCwgV2FnZW5pbmdlbiwgdGhlIE5ldGhlcmxhbmRzLiYjeEQ7TVJD
IEludGVncmF0aXZlIEVwaWRlbWlvbG9neSBVbml0LCBVbml2ZXJzaXR5IG9mIEJyaXN0b2wsIEJy
aXN0b2wsIEVuZ2xhbmQuJiN4RDtQb3B1bGF0aW9uIEhlYWx0aCBTY2llbmNlLCBCcmlzdG9sIE1l
ZGljYWwgU2Nob29sLCBVbml2ZXJzaXR5IG9mIEJyaXN0b2wsIEJyaXN0b2wsIEVuZ2xhbmQuJiN4
RDtEZXBhcnRtZW50IG9mIFB1YmxpYyBIZWFsdGgsIFVuaXZlcnNpdHkgb2YgVHVya3UsIFR1cmt1
LCBGaW5sYW5kLiYjeEQ7RGVwYXJ0bWVudCBvZiBFbnZpcm9ubWVudGFsIEltbXVub2xvZ3kvQ29y
ZSBGYWNpbGl0eSBTdHVkaWVzLCBIZWxtaG9sdHogQ2VudHJlIGZvciBFbnZpcm9ubWVudGFsIFJl
c2VhcmNoLVVGWiwgTGVpcHppZywgR2VybWFueS4mI3hEO0RpdmlzaW9uIG9mIEhlYWx0aCBEYXRh
IGFuZCBEaWdpdGFsaXphdGlvbiwgTm9yd2VnaWFuIEluc3RpdHV0ZSBvZiBQdWJsaWMgSGVhbHRo
LCBPc2xvLCBOb3J3YXkuJiN4RDtEZXBhcnRtZW50IG9mIEVwaWRlbWlvbG9neSwgSmFnaWVsbG9u
aWFuIFVuaXZlcnNpdHkgTWVkaWNhbCBDb2xsZWdlLCBLcmFrb3csIFBvbGFuZC4mI3hEO1R1cmt1
IENlbnRyZSBmb3IgQmlvdGVjaG5vbG9neSwgVW5pdmVyc2l0eSBvZiBUdXJrdSBhbmQgQWJvIEFr
YWRlbWkgVW5pdmVyc2l0eSwgVHVya3UsIEZpbmxhbmQuJiN4RDtEZXBhcnRtZW50IG9mIE51dHJp
dGlvbiBhbmQgRGlldGV0aWNzLCBTY2hvb2wgb2YgSGVhbHRoIFNjaWVuY2UgYW5kIEVkdWNhdGlv
biwgSGFyb2tvcGlvIFVuaXZlcnNpdHksIEF0aGVucywgR3JlZWNlLiYjeEQ7RGVwYXJ0bWVudCBv
ZiBFcGlkZW1pb2xvZ3ksIENhcmUgYW5kIFB1YmxpYyBIZWFsdGggUmVzZWFyY2ggSW5zdGl0dXRl
LCBNYWFzdHJpY2h0IFVuaXZlcnNpdHksIE1hYXN0cmljaHQsIHRoZSBOZXRoZXJsYW5kcy4mI3hE
O05hdGlvbmFsIEluc3RpdHV0ZSBvZiBQdWJsaWMgSGVhbHRoLCBVbml2ZXJzaXR5IG9mIFNvdXRo
ZXJuIERlbm1hcmssIENvcGVuaGFnZW4uJiN4RDtEZXBhcnRtZW50IG9mIFB1YmxpYyBIZWFsdGgs
IFNlY3Rpb24gb2YgRXBpZGVtaW9sb2d5LCBVbml2ZXJzaXR5IG9mIENvcGVuaGFnZW4sIENvcGVu
aGFnZW4sIERlbm1hcmsuJiN4RDtEZXBhcnRtZW50IG9mIERpZXRldGljcywgTnV0cml0aW9uLCBh
bmQgU3BvcnQsIExhIFRyb2JlIFVuaXZlcnNpdHksIE1lbGJvdXJuZSwgQXVzdHJhbGlhLiYjeEQ7
UmVzZWFyY2ggVW5pdCBmb3IgR3luYWVjb2xvZ3kgYW5kIE9ic3RldHJpY3MsIEluc3RpdHV0ZSBm
b3IgQ2xpbmljYWwgUmVzZWFyY2gsIFVuaXZlcnNpdHkgb2YgU291dGhlcm4gRGVubWFyaywgT2Rl
bnNlLiYjeEQ7RGVwYXJ0bWVudCBvZiBFbnZpcm9ubWVudGFsIEV4cG9zdXJlcyBhbmQgRXBpZGVt
aW9sb2d5LCBEb21haW4gb2YgSW5mZWN0aW9uIENvbnRyb2wgYW5kIEVudmlyb25tZW50YWwgSGVh
bHRoLCBOb3J3ZWdpYW4gSW5zdGl0dXRlIG9mIFB1YmxpYyBIZWFsdGgsIE9zbG8sIE5vcndheS4m
I3hEO0RlcGFydG1lbnQgb2YgUHVibGljIEhlYWx0aCwgVW5pdmVyc2l0eSBvZiBIZWxzaW5raSwg
SGVsc2lua2ksIEZpbmxhbmQuJiN4RDtEZXBhcnRtZW50IG9mIE1lZGljYWwgU2NpZW5jZXMsIFVu
aXZlcnNpdHkgb2YgVHVyaW4sIFR1cmluLCBJdGFseS4mI3hEO0RlcGFydG1lbnQgZm9yIEhlYWx0
aCBFdmlkZW5jZSwgUmFkYm91ZCBJbnN0aXR1dGUgZm9yIEhlYWx0aCBTY2llbmNlcywgUmFkYm91
ZCBVbml2ZXJzaXR5IE1lZGljYWwgQ2VudGVyLCBOaWptZWdlbiwgdGhlIE5ldGhlcmxhbmRzLiYj
eEQ7SW5zdGl0dXRlIGZvciBNYXRlcm5hbCBhbmQgQ2hpbGQgSGVhbHRoLUlSQ0NTIEJ1cmxvIEdh
cm9mb2xvLCBUcmllc3RlLCBJdGFseS4mI3hEO0luc3RpdHV0ZSBvZiBFcGlkZW1pb2xvZ3ksIEhl
bG1ob2x0eiBaZW50cnVtIE11bmNoZW4tR2VybWFuIFJlc2VhcmNoIENlbnRlciBmb3IgRW52aXJv
bm1lbnRhbCBIZWFsdGgsIE5ldWhlcmJlcmcsIEdlcm1hbnkuJiN4RDtEZXBhcnRtZW50IG9mIE5v
bmNvbW11bmljYWJsZSBEaXNlYXNlcywgTm9yd2VnaWFuIEluc3RpdHV0ZSBvZiBQdWJsaWMgSGVh
bHRoLCBPc2xvLCBOb3J3YXkuJiN4RDtOb3J3ZWdpYW4gSW5zdGl0dXRlIG9mIFB1YmxpYyBIZWFs
dGgsIE9zbG8sIE5vcndheS4mI3hEO0RlcGFydG1lbnQgb2YgR2xvYmFsIFB1YmxpYyBIZWFsdGgg
YW5kIFByaW1hcnkgQ2FyZSwgVW5pdmVyc2l0eSBvZiBCZXJnZW4sIEJlcmdlbiwgTm9yd2F5LiYj
eEQ7RHIgdm9uIEhhdW5lciBDaGlsZHJlbiZhcG9zO3MgSG9zcGl0YWwsIEx1ZHdpZy1NYXhpbWls
aWFucy1Vbml2ZXJzaXR5IE11bmljaCwgTXVuaWNoLCBHZXJtYW55LiYjeEQ7SWItU2FsdXQsIEFy
ZWEgZGUgU2FsdXQgZGUgTWVub3JjYSwgUGFsbWEsIFNwYWluLiYjeEQ7RGVwYXJ0bWVudCBvZiBF
bnZpcm9ubWVudGFsIE1lZGljaW5lLCBTbG92YWsgTWVkaWNhbCBVbml2ZXJzaXR5LCBCcmF0aXNs
YXZhLCBTbG92YWtpYS4mI3hEO1JhZGJvdWQgUmVzaGFwZSBJbm5vdmF0aW9uIENlbnRlciwgUmFk
Ym91ZCBVbml2ZXJzaXR5IE1lZGljYWwgQ2VudGVyLCBOaWptZWdlbiwgdGhlIE5ldGhlcmxhbmRz
LiYjeEQ7SnVsaXVzIENlbnRlciBmb3IgSGVhbHRoIFNjaWVuY2VzIGFuZCBQcmltYXJ5IENhcmUs
IFVuaXZlcnNpdHkgTWVkaWNhbCBDZW50ZXIgVXRyZWNodCwgVXRyZWNodCBVbml2ZXJzaXR5LCBV
dHJlY2h0LCB0aGUgTmV0aGVybGFuZHMuJiN4RDtSZXNlYXJjaCBJbnN0aXR1dGUsIERlcGFydG1l
bnQgb2YgUGVkaWF0cmljcywgTWFyaWVuLUhvc3BpdGFsIFdlc2VsLCBXZXNlbCwgR2VybWFueS4m
I3hEO0lTR2xvYmFsLCBJbnN0aXR1dGUgZm9yIEdsb2JhbCBIZWFsdGgsIEJhcmNlbG9uYSwgU3Bh
aW4uJiN4RDtVbml2ZXJzaXRhdCBQb21wZXUgRmFicmEsIEJhcmNlbG9uYSwgU3BhaW4uJiN4RDtO
YXRpb25hbCBJbnN0aXR1dGUgZm9yIFB1YmxpYyBIZWFsdGggYW5kIHRoZSBFbnZpcm9ubWVudCwg
QmlsdGhvdmVuLCB0aGUgTmV0aGVybGFuZHMuJiN4RDtEZXBhcnRtZW50IG9mIE1lZGljYWwgYW5k
IFNvY2lhbCBQcm9ibGVtcyBvZiBGYW1pbHkgSGVhbHRoLCBJbnN0aXR1dGUgb2YgUGVkaWF0cmlj
cywgT2JzdGV0cmljcyBhbmQgR3luZWNvbG9neSwgS3lpdiwgVWtyYWluZS4mI3hEO05vdm8gTm9y
ZGlzayBGb3VuZGF0aW9uIENlbnRlciBmb3IgQmFzaWMgTWV0YWJvbGljIFJlc2VhcmNoLCBTZWN0
aW9uIG9mIE1ldGFib2xpYyBHZW5ldGljcywgRmFjdWx0eSBvZiBIZWFsdGggYW5kIE1lZGljYWwg
U2NpZW5jZXMsIFVuaXZlcnNpdHkgb2YgQ29wZW5oYWdlbiwgQ29wZW5oYWdlbiwgRGVubWFyay4m
I3hEO0RlcGFydG1lbnQgb2YgRXBpZGVtaW9sb2d5LCBFcmFzbXVzIE1DLCBVbml2ZXJzaXR5IE1l
ZGljYWwgQ2VudGVyLCBSb3R0ZXJkYW0sIHRoZSBOZXRoZXJsYW5kcy48L2F1dGgtYWRkcmVzcz48
dGl0bGVzPjx0aXRsZT5Bc3NvY2lhdGlvbiBvZiBnZXN0YXRpb25hbCB3ZWlnaHQgZ2FpbiB3aXRo
IGFkdmVyc2UgbWF0ZXJuYWwgYW5kIGluZmFudCBvdXRjb21lczwvdGl0bGU+PHNlY29uZGFyeS10
aXRsZT5KQU1BPC9zZWNvbmRhcnktdGl0bGU+PC90aXRsZXM+PHBlcmlvZGljYWw+PGZ1bGwtdGl0
bGU+SkFNQTwvZnVsbC10aXRsZT48L3BlcmlvZGljYWw+PHBhZ2VzPjE3MDItMTcxNTwvcGFnZXM+
PHZvbHVtZT4zMjE8L3ZvbHVtZT48bnVtYmVyPjE3PC9udW1iZXI+PGVkaXRpb24+MjAxOS8wNS8w
ODwvZWRpdGlvbj48a2V5d29yZHM+PGtleXdvcmQ+QWR1bHQ8L2tleXdvcmQ+PGtleXdvcmQ+Qmly
dGggV2VpZ2h0PC9rZXl3b3JkPjxrZXl3b3JkPipCb2R5IE1hc3MgSW5kZXg8L2tleXdvcmQ+PGtl
eXdvcmQ+Q2VzYXJlYW4gU2VjdGlvbi9zdGF0aXN0aWNzICZhbXA7IG51bWVyaWNhbCBkYXRhPC9r
ZXl3b3JkPjxrZXl3b3JkPkRpYWJldGVzLCBHZXN0YXRpb25hbDwva2V5d29yZD48a2V5d29yZD5G
ZW1hbGU8L2tleXdvcmQ+PGtleXdvcmQ+Kkdlc3RhdGlvbmFsIFdlaWdodCBHYWluPC9rZXl3b3Jk
PjxrZXl3b3JkPkh1bWFuczwva2V5d29yZD48a2V5d29yZD5IeXBlcnRlbnNpb24sIFByZWduYW5j
eS1JbmR1Y2VkPC9rZXl3b3JkPjxrZXl3b3JkPkluZmFudCwgTmV3Ym9ybjwva2V5d29yZD48a2V5
d29yZD5PYmVzaXR5PC9rZXl3b3JkPjxrZXl3b3JkPlByZWduYW5jeTwva2V5d29yZD48a2V5d29y
ZD4qUHJlZ25hbmN5IENvbXBsaWNhdGlvbnM8L2tleXdvcmQ+PGtleXdvcmQ+KlByZWduYW5jeSBP
dXRjb21lPC9rZXl3b3JkPjxrZXl3b3JkPlByZW1hdHVyZSBCaXJ0aDwva2V5d29yZD48L2tleXdv
cmRzPjxkYXRlcz48eWVhcj4yMDE5PC95ZWFyPjxwdWItZGF0ZXM+PGRhdGU+TWF5IDc8L2RhdGU+
PC9wdWItZGF0ZXM+PC9kYXRlcz48aXNibj4xNTM4LTM1OTggKEVsZWN0cm9uaWMpJiN4RDswMDk4
LTc0ODQgKExpbmtpbmcpPC9pc2JuPjxhY2Nlc3Npb24tbnVtPjMxMDYzNTcyPC9hY2Nlc3Npb24t
bnVtPjx1cmxzPjxyZWxhdGVkLXVybHM+PHVybD5odHRwczovL3d3dy5uY2JpLm5sbS5uaWguZ292
L3B1Ym1lZC8zMTA2MzU3MjwvdXJsPjwvcmVsYXRlZC11cmxzPjwvdXJscz48Y3VzdG9tMj5QTUM2
NTA2ODg2PC9jdXN0b20yPjxlbGVjdHJvbmljLXJlc291cmNlLW51bT4xMC4xMDAxL2phbWEuMjAx
OS4zODIwPC9lbGVjdHJvbmljLXJlc291cmNlLW51bT48L3JlY29yZD48L0NpdGU+PC9FbmROb3Rl
Pn==
</w:fldData>
        </w:fldChar>
      </w:r>
      <w:r w:rsidR="002747EA">
        <w:instrText xml:space="preserve"> ADDIN EN.CITE </w:instrText>
      </w:r>
      <w:r w:rsidR="002747EA">
        <w:fldChar w:fldCharType="begin">
          <w:fldData xml:space="preserve">PEVuZE5vdGU+PENpdGU+PEF1dGhvcj5MaWZlQ3ljbGUgUHJvamVjdC1NYXRlcm5hbDwvQXV0aG9y
PjxZZWFyPjIwMTk8L1llYXI+PFJlY051bT4xOTMzPC9SZWNOdW0+PERpc3BsYXlUZXh0PjxzdHls
ZSBmYWNlPSJzdXBlcnNjcmlwdCIgZm9udD0iVHJlYnVjaGV0IE1TIiBzaXplPSI5Ij4zNDU8L3N0
eWxlPjwvRGlzcGxheVRleHQ+PHJlY29yZD48cmVjLW51bWJlcj4xOTMzPC9yZWMtbnVtYmVyPjxm
b3JlaWduLWtleXM+PGtleSBhcHA9IkVOIiBkYi1pZD0iZXh2YXNyZngyZHRyYW9lc2FzeHAyc3pz
eGEyZGY1MDI1OTJ4IiB0aW1lc3RhbXA9IjE1ODg2NTQ4MDgiPjE5MzM8L2tleT48a2V5IGFwcD0i
RU5XZWIiIGRiLWlkPSIiPjA8L2tleT48L2ZvcmVpZ24ta2V5cz48cmVmLXR5cGUgbmFtZT0iSm91
cm5hbCBBcnRpY2xlIj4xNzwvcmVmLXR5cGU+PGNvbnRyaWJ1dG9ycz48YXV0aG9ycz48YXV0aG9y
PkxpZmVDeWNsZSBQcm9qZWN0LU1hdGVybmFsLCBPYmVzaXR5PC9hdXRob3I+PGF1dGhvcj5DaGls
ZGhvb2QgT3V0Y29tZXMgU3R1ZHksIEdyb3VwPC9hdXRob3I+PGF1dGhvcj5Wb2VybWFuLCBFLjwv
YXV0aG9yPjxhdXRob3I+U2FudG9zLCBTLjwvYXV0aG9yPjxhdXRob3I+SW5za2lwLCBILjwvYXV0
aG9yPjxhdXRob3I+QW1pYW5vLCBQLjwvYXV0aG9yPjxhdXRob3I+QmFycm9zLCBILjwvYXV0aG9y
PjxhdXRob3I+Q2hhcmxlcywgTS4gQS48L2F1dGhvcj48YXV0aG9yPkNoYXR6aSwgTC48L2F1dGhv
cj48YXV0aG9yPkNocm91c29zLCBHLiBQLjwvYXV0aG9yPjxhdXRob3I+Q29ycGVsZWlqbiwgRS48
L2F1dGhvcj48YXV0aG9yPkNyb3ppZXIsIFMuPC9hdXRob3I+PGF1dGhvcj5Eb3lvbiwgTS48L2F1
dGhvcj48YXV0aG9yPkVnZ2VzYm8sIE0uPC9hdXRob3I+PGF1dGhvcj5GYW50aW5pLCBNLiBQLjwv
YXV0aG9yPjxhdXRob3I+RmFyY2hpLCBTLjwvYXV0aG9yPjxhdXRob3I+Rm9yYXN0aWVyZSwgRi48
L2F1dGhvcj48YXV0aG9yPkdlb3JnaXUsIFYuPC9hdXRob3I+PGF1dGhvcj5Hb3JpLCBELjwvYXV0
aG9yPjxhdXRob3I+SGFua2UsIFcuPC9hdXRob3I+PGF1dGhvcj5IZXJ0ei1QaWNjaW90dG8sIEku
PC9hdXRob3I+PGF1dGhvcj5IZXVkZSwgQi48L2F1dGhvcj48YXV0aG9yPkhpdmVydCwgTS4gRi48
L2F1dGhvcj48YXV0aG9yPkhyeWhvcmN6dWssIEQuPC9hdXRob3I+PGF1dGhvcj5JbmlndWV6LCBD
LjwvYXV0aG9yPjxhdXRob3I+S2Fydm9uZW4sIEEuIE0uPC9hdXRob3I+PGF1dGhvcj5LdXBlcnMs
IEwuIEsuPC9hdXRob3I+PGF1dGhvcj5MYWdzdHJvbSwgSC48L2F1dGhvcj48YXV0aG9yPkxhd2xv
ciwgRC4gQS48L2F1dGhvcj48YXV0aG9yPkxlaG1hbm4sIEkuPC9hdXRob3I+PGF1dGhvcj5NYWdu
dXMsIFAuPC9hdXRob3I+PGF1dGhvcj5NYWpld3NrYSwgUi48L2F1dGhvcj48YXV0aG9yPk1ha2Vs
YSwgSi48L2F1dGhvcj48YXV0aG9yPk1hbmlvcywgWS48L2F1dGhvcj48YXV0aG9yPk1vbW1lcnMs
IE0uPC9hdXRob3I+PGF1dGhvcj5Nb3JnZW4sIEMuIFMuPC9hdXRob3I+PGF1dGhvcj5Nb3NjaG9u
aXMsIEcuPC9hdXRob3I+PGF1dGhvcj5Ob2hyLCBFLiBBLjwvYXV0aG9yPjxhdXRob3I+TnlibyBB
bmRlcnNlbiwgQS4gTS48L2F1dGhvcj48YXV0aG9yPk9rZW4sIEUuPC9hdXRob3I+PGF1dGhvcj5Q
YWMsIEEuPC9hdXRob3I+PGF1dGhvcj5QYXBhZG9wb3Vsb3UsIEUuPC9hdXRob3I+PGF1dGhvcj5Q
ZWtrYW5lbiwgSi48L2F1dGhvcj48YXV0aG9yPlBpenppLCBDLjwvYXV0aG9yPjxhdXRob3I+UG9s
YW5za2EsIEsuPC9hdXRob3I+PGF1dGhvcj5Qb3J0YSwgRC48L2F1dGhvcj48YXV0aG9yPlJpY2hp
YXJkaSwgTC48L2F1dGhvcj48YXV0aG9yPlJpZmFzLVNoaW1hbiwgUy4gTC48L2F1dGhvcj48YXV0
aG9yPlJvZWxldmVsZCwgTi48L2F1dGhvcj48YXV0aG9yPlJvbmZhbmksIEwuPC9hdXRob3I+PGF1
dGhvcj5TYW50b3MsIEEuIEMuPC9hdXRob3I+PGF1dGhvcj5TdGFuZGwsIE0uPC9hdXRob3I+PGF1
dGhvcj5TdGlndW0sIEguPC9hdXRob3I+PGF1dGhvcj5TdG9sdGVuYmVyZywgQy48L2F1dGhvcj48
YXV0aG9yPlRoaWVyaW5nLCBFLjwvYXV0aG9yPjxhdXRob3I+VGhpanMsIEMuPC9hdXRob3I+PGF1
dGhvcj5Ub3JyZW50LCBNLjwvYXV0aG9yPjxhdXRob3I+VHJub3ZlYywgVC48L2F1dGhvcj48YXV0
aG9yPnZhbiBHZWxkZXIsIE1taGo8L2F1dGhvcj48YXV0aG9yPnZhbiBSb3NzZW0sIEwuPC9hdXRo
b3I+PGF1dGhvcj52b24gQmVyZywgQS48L2F1dGhvcj48YXV0aG9yPlZyaWpoZWlkLCBNLjwvYXV0
aG9yPjxhdXRob3I+V2lqZ2EsIEEuPC9hdXRob3I+PGF1dGhvcj5admluY2h1aywgTy48L2F1dGhv
cj48YXV0aG9yPlNvcmVuc2VuLCBULiBJLiBBLjwvYXV0aG9yPjxhdXRob3I+R29kZnJleSwgSy48
L2F1dGhvcj48YXV0aG9yPkphZGRvZSwgVi4gVy4gVi48L2F1dGhvcj48YXV0aG9yPkdhaWxsYXJk
LCBSLjwvYXV0aG9yPjwvYXV0aG9ycz48L2NvbnRyaWJ1dG9ycz48YXV0aC1hZGRyZXNzPkdlbmVy
YXRpb24gUiBTdHVkeSBHcm91cCwgRXJhc211cyBNQywgVW5pdmVyc2l0eSBNZWRpY2FsIENlbnRl
ciwgUm90dGVyZGFtLCB0aGUgTmV0aGVybGFuZHMuJiN4RDtEZXBhcnRtZW50IG9mIFBlZGlhdHJp
Y3MsIEVyYXNtdXMgTUMsIFVuaXZlcnNpdHkgTWVkaWNhbCBDZW50ZXIsIFJvdHRlcmRhbSwgdGhl
IE5ldGhlcmxhbmRzLiYjeEQ7TVJDIExpZmVjb3Vyc2UgRXBpZGVtaW9sb2d5IFVuaXQsIFVuaXZl
cnNpdHkgb2YgU291dGhhbXB0b24sIFNvdXRoYW1wdG9uLCBFbmdsYW5kLiYjeEQ7TklIUiBTb3V0
aGFtcHRvbiBCaW9tZWRpY2FsIFJlc2VhcmNoIENlbnRyZSwgVW5pdmVyc2l0eSBvZiBTb3V0aGFt
cHRvbiBhbmQgVW5pdmVyc2l0eSBIb3NwaXRhbCBTb3V0aGFtcHRvbiBOSFMgRm91bmRhdGlvbiBU
cnVzdCwgU291dGhhbXB0b24sIEVuZ2xhbmQuJiN4RDtQdWJsaWMgSGVhbHRoIERpdmlzaW9uIG9m
IEdpcHV6a29hLCBTYW4gU2ViYXN0aWFuLCBTcGFpbi4mI3hEO0Jpb0Rvbm9zdGlhIFJlc2VhcmNo
IEluc3RpdHV0ZSwgU2FuIFNlYmFzdGlhbiwgU3BhaW4uJiN4RDtDSUJFUiBFcGlkZW1pb2xvZ2lh
IHkgU2FsdWQgUHVibGljYSwgTWFkcmlkLCBTcGFpbi4mI3hEO0VQSSBVbml0LUluc3RpdHV0byBk
ZSBTYXVkZSBQdWJsaWNhLCBVbml2ZXJzaWRhZGUgZG8gUG9ydG8sIFBvcnRvLCBQb3J0dWdhbC4m
I3hEO0RlcGFydG1lbnQgb2YgUHVibGljIEhlYWx0aCBhbmQgRm9yZW5zaWMgU2NpZW5jZXMgYW5k
IE1lZGljYWwgRWR1Y2F0aW9uLCBVbml0IG9mIENsaW5pY2FsIEVwaWRlbWlvbG9neSwgUHJlZGlj
dGl2ZSBNZWRpY2luZSBhbmQgUHVibGljIEhlYWx0aCwgVW5pdmVyc2l0eSBvZiBQb3J0byBNZWRp
Y2FsIFNjaG9vbCwgUG9ydG8sIFBvcnR1Z2FsLiYjeEQ7SU5TRVJNLCBVTVIxMTUzIEVwaWRlbWlv
bG9neSBhbmQgQmlvc3RhdGlzdGljcyBTb3Jib25uZSBQYXJpcyBDaXRlIENlbnRlciwgT1JDSEFE
IFRlYW0sIFZpbGxlanVpZiwgRnJhbmNlLiYjeEQ7UGFyaXMgRGVzY2FydGVzIFVuaXZlcnNpdHks
IFZpbGxlanVpZiwgRnJhbmNlLiYjeEQ7RGVwYXJ0bWVudCBvZiBQcmV2ZW50aXZlIE1lZGljaW5l
LCBLZWNrIFNjaG9vbCBvZiBNZWRpY2luZSwgVW5pdmVyc2l0eSBvZiBTb3V0aGVybiBDYWxpZm9y
bmlhLCBMb3MgQW5nZWxlcy4mI3hEO0RlcGFydG1lbnQgb2YgU29jaWFsIE1lZGljaW5lLCBGYWN1
bHR5IG9mIE1lZGljaW5lLCBVbml2ZXJzaXR5IG9mIENyZXRlLCBIZXJha2xpb24sIEdyZWVjZS4m
I3hEO0RlcGFydG1lbnQgb2YgR2VuZXRpY3MgYW5kIENlbGwgQmlvbG9neSwgTWFhc3RyaWNodCBV
bml2ZXJzaXR5LCBNYWFzdHJpY2h0LCB0aGUgTmV0aGVybGFuZHMuJiN4RDtGaXJzdCBEZXBhcnRt
ZW50IG9mIFBlZGlhdHJpY3MsIE5hdGlvbmFsIGFuZCBLYXBvZGlzdHJpYW4gVW5pdmVyc2l0eSBv
ZiBBdGhlbnMsIE1lZGljYWwgU2Nob29sLCBBZ2hpYSBTb3BoaWEgQ2hpbGRyZW4mYXBvcztzIEhv
c3BpdGFsLCBBdGhlbnMsIEdyZWVjZS4mI3hEO1VuaXZlcnNpdHkgb2YgR3JvbmluZ2VuLCBVbml2
ZXJzaXR5IE1lZGljYWwgQ2VudGVyIEdyb25pbmdlbiwgRGVwYXJ0bWVudCBvZiBFcGlkZW1pb2xv
Z3ksIEdyb25pbmdlbiwgdGhlIE5ldGhlcmxhbmRzLiYjeEQ7Q2VudHJlIGRlIFJlY2hlcmNoZSBk
dSBDZW50cmUgSG9zcGl0YWxpZXIgZGUgbCZhcG9zO1VuaXZlcnNpdGUgZGUgU2hlcmJyb29rZSwg
U2hlcmJyb29rZSwgUXVlYmVjLCBDYW5hZGEuJiN4RDtEZXBhcnRtZW50IG9mIEV4cG9zdXJlIGFu
ZCBFbnZpcm9ubWVudGFsIEVwaWRlbWlvbG9neSwgTm9yd2VnaWFuIEluc3RpdHV0ZSBvZiBQdWJs
aWMgSGVhbHRoLCBPc2xvLCBOb3J3YXkuJiN4RDtEZXBhcnRtZW50IG9mIEJpb21lZGljYWwgYW5k
IE5ldXJvbW90b3IgU2NpZW5jZXMsIFVuaXZlcnNpdHkgb2YgQm9sb2duYSwgQm9sb2duYSwgSXRh
bHkuJiN4RDtEZXBhcnRtZW50IG9mIEVwaWRlbWlvbG9neSwgTGF6aW8gUmVnaW9uYWwgSGVhbHRo
IFNlcnZpY2UsIFJvbWUsIEl0YWx5LiYjeEQ7RGVwYXJ0bWVudCBvZiBFbnZpcm9ubWVudGFsIEVw
aWRlbWlvbG9neSwgTm9mZXIgSW5zdGl0dXRlIG9mIE9jY3VwYXRpb25hbCBNZWRpY2luZSwgTG9k
eiwgUG9sYW5kLiYjeEQ7RGVwYXJ0bWVudCBvZiBQdWJsaWMgSGVhbHRoIFNjaWVuY2VzLCBTY2hv
b2wgb2YgTWVkaWNpbmUsIFVuaXZlcnNpdHkgb2YgQ2FsaWZvcm5pYSwgRGF2aXMuJiN4RDtEZXBh
cnRtZW50IG9mIFBvcHVsYXRpb24gTWVkaWNpbmUsIEhhcnZhcmQgTWVkaWNhbCBTY2hvb2wsIEhh
cnZhcmQgUGlsZ3JpbSBIZWFsdGggQ2FyZSBJbnN0aXR1dGUsIEJvc3RvbiwgTWFzc2FjaHVzZXR0
cy4mI3hEO0RpYWJldGVzIFVuaXQsIE1hc3NhY2h1c2V0dHMgR2VuZXJhbCBIb3NwaXRhbCwgQm9z
dG9uLiYjeEQ7Q2VudGVyIGZvciBHbG9iYWwgSGVhbHRoLCBDb2xsZWdlIG9mIE1lZGljaW5lLCBV
bml2ZXJzaXR5IG9mIElsbGlub2lzLCBDaGljYWdvLiYjeEQ7RGVwYXJ0bWVudCBvZiBTdGF0aXN0
aWNzIGFuZCBDb21wdXRhdGlvbmFsIFJlc2VhcmNoLCBVbml2ZXJzaXRhdCBkZSBWYWxlbmNpYSwg
VmFsZW5jaWEsIFNwYWluLiYjeEQ7RGVwYXJ0bWVudCBvZiBIZWFsdGggU2VjdXJpdHksIE5hdGlv
bmFsIEluc3RpdHV0ZSBmb3IgSGVhbHRoIGFuZCBXZWxmYXJlLCBLdW9waW8sIEZpbmxhbmQuJiN4
RDtEaXZpc2lvbiBvZiBIdW1hbiBOdXRyaXRpb24gYW5kIEhlYWx0aCwgV2FnZW5pbmdlbiBVbml2
ZXJzaXR5IGFuZCBSZXNlYXJjaCwgV2FnZW5pbmdlbiwgdGhlIE5ldGhlcmxhbmRzLiYjeEQ7TVJD
IEludGVncmF0aXZlIEVwaWRlbWlvbG9neSBVbml0LCBVbml2ZXJzaXR5IG9mIEJyaXN0b2wsIEJy
aXN0b2wsIEVuZ2xhbmQuJiN4RDtQb3B1bGF0aW9uIEhlYWx0aCBTY2llbmNlLCBCcmlzdG9sIE1l
ZGljYWwgU2Nob29sLCBVbml2ZXJzaXR5IG9mIEJyaXN0b2wsIEJyaXN0b2wsIEVuZ2xhbmQuJiN4
RDtEZXBhcnRtZW50IG9mIFB1YmxpYyBIZWFsdGgsIFVuaXZlcnNpdHkgb2YgVHVya3UsIFR1cmt1
LCBGaW5sYW5kLiYjeEQ7RGVwYXJ0bWVudCBvZiBFbnZpcm9ubWVudGFsIEltbXVub2xvZ3kvQ29y
ZSBGYWNpbGl0eSBTdHVkaWVzLCBIZWxtaG9sdHogQ2VudHJlIGZvciBFbnZpcm9ubWVudGFsIFJl
c2VhcmNoLVVGWiwgTGVpcHppZywgR2VybWFueS4mI3hEO0RpdmlzaW9uIG9mIEhlYWx0aCBEYXRh
IGFuZCBEaWdpdGFsaXphdGlvbiwgTm9yd2VnaWFuIEluc3RpdHV0ZSBvZiBQdWJsaWMgSGVhbHRo
LCBPc2xvLCBOb3J3YXkuJiN4RDtEZXBhcnRtZW50IG9mIEVwaWRlbWlvbG9neSwgSmFnaWVsbG9u
aWFuIFVuaXZlcnNpdHkgTWVkaWNhbCBDb2xsZWdlLCBLcmFrb3csIFBvbGFuZC4mI3hEO1R1cmt1
IENlbnRyZSBmb3IgQmlvdGVjaG5vbG9neSwgVW5pdmVyc2l0eSBvZiBUdXJrdSBhbmQgQWJvIEFr
YWRlbWkgVW5pdmVyc2l0eSwgVHVya3UsIEZpbmxhbmQuJiN4RDtEZXBhcnRtZW50IG9mIE51dHJp
dGlvbiBhbmQgRGlldGV0aWNzLCBTY2hvb2wgb2YgSGVhbHRoIFNjaWVuY2UgYW5kIEVkdWNhdGlv
biwgSGFyb2tvcGlvIFVuaXZlcnNpdHksIEF0aGVucywgR3JlZWNlLiYjeEQ7RGVwYXJ0bWVudCBv
ZiBFcGlkZW1pb2xvZ3ksIENhcmUgYW5kIFB1YmxpYyBIZWFsdGggUmVzZWFyY2ggSW5zdGl0dXRl
LCBNYWFzdHJpY2h0IFVuaXZlcnNpdHksIE1hYXN0cmljaHQsIHRoZSBOZXRoZXJsYW5kcy4mI3hE
O05hdGlvbmFsIEluc3RpdHV0ZSBvZiBQdWJsaWMgSGVhbHRoLCBVbml2ZXJzaXR5IG9mIFNvdXRo
ZXJuIERlbm1hcmssIENvcGVuaGFnZW4uJiN4RDtEZXBhcnRtZW50IG9mIFB1YmxpYyBIZWFsdGgs
IFNlY3Rpb24gb2YgRXBpZGVtaW9sb2d5LCBVbml2ZXJzaXR5IG9mIENvcGVuaGFnZW4sIENvcGVu
aGFnZW4sIERlbm1hcmsuJiN4RDtEZXBhcnRtZW50IG9mIERpZXRldGljcywgTnV0cml0aW9uLCBh
bmQgU3BvcnQsIExhIFRyb2JlIFVuaXZlcnNpdHksIE1lbGJvdXJuZSwgQXVzdHJhbGlhLiYjeEQ7
UmVzZWFyY2ggVW5pdCBmb3IgR3luYWVjb2xvZ3kgYW5kIE9ic3RldHJpY3MsIEluc3RpdHV0ZSBm
b3IgQ2xpbmljYWwgUmVzZWFyY2gsIFVuaXZlcnNpdHkgb2YgU291dGhlcm4gRGVubWFyaywgT2Rl
bnNlLiYjeEQ7RGVwYXJ0bWVudCBvZiBFbnZpcm9ubWVudGFsIEV4cG9zdXJlcyBhbmQgRXBpZGVt
aW9sb2d5LCBEb21haW4gb2YgSW5mZWN0aW9uIENvbnRyb2wgYW5kIEVudmlyb25tZW50YWwgSGVh
bHRoLCBOb3J3ZWdpYW4gSW5zdGl0dXRlIG9mIFB1YmxpYyBIZWFsdGgsIE9zbG8sIE5vcndheS4m
I3hEO0RlcGFydG1lbnQgb2YgUHVibGljIEhlYWx0aCwgVW5pdmVyc2l0eSBvZiBIZWxzaW5raSwg
SGVsc2lua2ksIEZpbmxhbmQuJiN4RDtEZXBhcnRtZW50IG9mIE1lZGljYWwgU2NpZW5jZXMsIFVu
aXZlcnNpdHkgb2YgVHVyaW4sIFR1cmluLCBJdGFseS4mI3hEO0RlcGFydG1lbnQgZm9yIEhlYWx0
aCBFdmlkZW5jZSwgUmFkYm91ZCBJbnN0aXR1dGUgZm9yIEhlYWx0aCBTY2llbmNlcywgUmFkYm91
ZCBVbml2ZXJzaXR5IE1lZGljYWwgQ2VudGVyLCBOaWptZWdlbiwgdGhlIE5ldGhlcmxhbmRzLiYj
eEQ7SW5zdGl0dXRlIGZvciBNYXRlcm5hbCBhbmQgQ2hpbGQgSGVhbHRoLUlSQ0NTIEJ1cmxvIEdh
cm9mb2xvLCBUcmllc3RlLCBJdGFseS4mI3hEO0luc3RpdHV0ZSBvZiBFcGlkZW1pb2xvZ3ksIEhl
bG1ob2x0eiBaZW50cnVtIE11bmNoZW4tR2VybWFuIFJlc2VhcmNoIENlbnRlciBmb3IgRW52aXJv
bm1lbnRhbCBIZWFsdGgsIE5ldWhlcmJlcmcsIEdlcm1hbnkuJiN4RDtEZXBhcnRtZW50IG9mIE5v
bmNvbW11bmljYWJsZSBEaXNlYXNlcywgTm9yd2VnaWFuIEluc3RpdHV0ZSBvZiBQdWJsaWMgSGVh
bHRoLCBPc2xvLCBOb3J3YXkuJiN4RDtOb3J3ZWdpYW4gSW5zdGl0dXRlIG9mIFB1YmxpYyBIZWFs
dGgsIE9zbG8sIE5vcndheS4mI3hEO0RlcGFydG1lbnQgb2YgR2xvYmFsIFB1YmxpYyBIZWFsdGgg
YW5kIFByaW1hcnkgQ2FyZSwgVW5pdmVyc2l0eSBvZiBCZXJnZW4sIEJlcmdlbiwgTm9yd2F5LiYj
eEQ7RHIgdm9uIEhhdW5lciBDaGlsZHJlbiZhcG9zO3MgSG9zcGl0YWwsIEx1ZHdpZy1NYXhpbWls
aWFucy1Vbml2ZXJzaXR5IE11bmljaCwgTXVuaWNoLCBHZXJtYW55LiYjeEQ7SWItU2FsdXQsIEFy
ZWEgZGUgU2FsdXQgZGUgTWVub3JjYSwgUGFsbWEsIFNwYWluLiYjeEQ7RGVwYXJ0bWVudCBvZiBF
bnZpcm9ubWVudGFsIE1lZGljaW5lLCBTbG92YWsgTWVkaWNhbCBVbml2ZXJzaXR5LCBCcmF0aXNs
YXZhLCBTbG92YWtpYS4mI3hEO1JhZGJvdWQgUmVzaGFwZSBJbm5vdmF0aW9uIENlbnRlciwgUmFk
Ym91ZCBVbml2ZXJzaXR5IE1lZGljYWwgQ2VudGVyLCBOaWptZWdlbiwgdGhlIE5ldGhlcmxhbmRz
LiYjeEQ7SnVsaXVzIENlbnRlciBmb3IgSGVhbHRoIFNjaWVuY2VzIGFuZCBQcmltYXJ5IENhcmUs
IFVuaXZlcnNpdHkgTWVkaWNhbCBDZW50ZXIgVXRyZWNodCwgVXRyZWNodCBVbml2ZXJzaXR5LCBV
dHJlY2h0LCB0aGUgTmV0aGVybGFuZHMuJiN4RDtSZXNlYXJjaCBJbnN0aXR1dGUsIERlcGFydG1l
bnQgb2YgUGVkaWF0cmljcywgTWFyaWVuLUhvc3BpdGFsIFdlc2VsLCBXZXNlbCwgR2VybWFueS4m
I3hEO0lTR2xvYmFsLCBJbnN0aXR1dGUgZm9yIEdsb2JhbCBIZWFsdGgsIEJhcmNlbG9uYSwgU3Bh
aW4uJiN4RDtVbml2ZXJzaXRhdCBQb21wZXUgRmFicmEsIEJhcmNlbG9uYSwgU3BhaW4uJiN4RDtO
YXRpb25hbCBJbnN0aXR1dGUgZm9yIFB1YmxpYyBIZWFsdGggYW5kIHRoZSBFbnZpcm9ubWVudCwg
QmlsdGhvdmVuLCB0aGUgTmV0aGVybGFuZHMuJiN4RDtEZXBhcnRtZW50IG9mIE1lZGljYWwgYW5k
IFNvY2lhbCBQcm9ibGVtcyBvZiBGYW1pbHkgSGVhbHRoLCBJbnN0aXR1dGUgb2YgUGVkaWF0cmlj
cywgT2JzdGV0cmljcyBhbmQgR3luZWNvbG9neSwgS3lpdiwgVWtyYWluZS4mI3hEO05vdm8gTm9y
ZGlzayBGb3VuZGF0aW9uIENlbnRlciBmb3IgQmFzaWMgTWV0YWJvbGljIFJlc2VhcmNoLCBTZWN0
aW9uIG9mIE1ldGFib2xpYyBHZW5ldGljcywgRmFjdWx0eSBvZiBIZWFsdGggYW5kIE1lZGljYWwg
U2NpZW5jZXMsIFVuaXZlcnNpdHkgb2YgQ29wZW5oYWdlbiwgQ29wZW5oYWdlbiwgRGVubWFyay4m
I3hEO0RlcGFydG1lbnQgb2YgRXBpZGVtaW9sb2d5LCBFcmFzbXVzIE1DLCBVbml2ZXJzaXR5IE1l
ZGljYWwgQ2VudGVyLCBSb3R0ZXJkYW0sIHRoZSBOZXRoZXJsYW5kcy48L2F1dGgtYWRkcmVzcz48
dGl0bGVzPjx0aXRsZT5Bc3NvY2lhdGlvbiBvZiBnZXN0YXRpb25hbCB3ZWlnaHQgZ2FpbiB3aXRo
IGFkdmVyc2UgbWF0ZXJuYWwgYW5kIGluZmFudCBvdXRjb21lczwvdGl0bGU+PHNlY29uZGFyeS10
aXRsZT5KQU1BPC9zZWNvbmRhcnktdGl0bGU+PC90aXRsZXM+PHBlcmlvZGljYWw+PGZ1bGwtdGl0
bGU+SkFNQTwvZnVsbC10aXRsZT48L3BlcmlvZGljYWw+PHBhZ2VzPjE3MDItMTcxNTwvcGFnZXM+
PHZvbHVtZT4zMjE8L3ZvbHVtZT48bnVtYmVyPjE3PC9udW1iZXI+PGVkaXRpb24+MjAxOS8wNS8w
ODwvZWRpdGlvbj48a2V5d29yZHM+PGtleXdvcmQ+QWR1bHQ8L2tleXdvcmQ+PGtleXdvcmQ+Qmly
dGggV2VpZ2h0PC9rZXl3b3JkPjxrZXl3b3JkPipCb2R5IE1hc3MgSW5kZXg8L2tleXdvcmQ+PGtl
eXdvcmQ+Q2VzYXJlYW4gU2VjdGlvbi9zdGF0aXN0aWNzICZhbXA7IG51bWVyaWNhbCBkYXRhPC9r
ZXl3b3JkPjxrZXl3b3JkPkRpYWJldGVzLCBHZXN0YXRpb25hbDwva2V5d29yZD48a2V5d29yZD5G
ZW1hbGU8L2tleXdvcmQ+PGtleXdvcmQ+Kkdlc3RhdGlvbmFsIFdlaWdodCBHYWluPC9rZXl3b3Jk
PjxrZXl3b3JkPkh1bWFuczwva2V5d29yZD48a2V5d29yZD5IeXBlcnRlbnNpb24sIFByZWduYW5j
eS1JbmR1Y2VkPC9rZXl3b3JkPjxrZXl3b3JkPkluZmFudCwgTmV3Ym9ybjwva2V5d29yZD48a2V5
d29yZD5PYmVzaXR5PC9rZXl3b3JkPjxrZXl3b3JkPlByZWduYW5jeTwva2V5d29yZD48a2V5d29y
ZD4qUHJlZ25hbmN5IENvbXBsaWNhdGlvbnM8L2tleXdvcmQ+PGtleXdvcmQ+KlByZWduYW5jeSBP
dXRjb21lPC9rZXl3b3JkPjxrZXl3b3JkPlByZW1hdHVyZSBCaXJ0aDwva2V5d29yZD48L2tleXdv
cmRzPjxkYXRlcz48eWVhcj4yMDE5PC95ZWFyPjxwdWItZGF0ZXM+PGRhdGU+TWF5IDc8L2RhdGU+
PC9wdWItZGF0ZXM+PC9kYXRlcz48aXNibj4xNTM4LTM1OTggKEVsZWN0cm9uaWMpJiN4RDswMDk4
LTc0ODQgKExpbmtpbmcpPC9pc2JuPjxhY2Nlc3Npb24tbnVtPjMxMDYzNTcyPC9hY2Nlc3Npb24t
bnVtPjx1cmxzPjxyZWxhdGVkLXVybHM+PHVybD5odHRwczovL3d3dy5uY2JpLm5sbS5uaWguZ292
L3B1Ym1lZC8zMTA2MzU3MjwvdXJsPjwvcmVsYXRlZC11cmxzPjwvdXJscz48Y3VzdG9tMj5QTUM2
NTA2ODg2PC9jdXN0b20yPjxlbGVjdHJvbmljLXJlc291cmNlLW51bT4xMC4xMDAxL2phbWEuMjAx
OS4zODIwPC9lbGVjdHJvbmljLXJlc291cmNlLW51bT48L3JlY29yZD48L0NpdGU+PC9FbmROb3Rl
Pn==
</w:fldData>
        </w:fldChar>
      </w:r>
      <w:r w:rsidR="002747EA">
        <w:instrText xml:space="preserve"> ADDIN EN.CITE.DATA </w:instrText>
      </w:r>
      <w:r w:rsidR="002747EA">
        <w:fldChar w:fldCharType="end"/>
      </w:r>
      <w:r w:rsidRPr="009D51F1">
        <w:fldChar w:fldCharType="separate"/>
      </w:r>
      <w:r w:rsidR="002747EA" w:rsidRPr="002747EA">
        <w:rPr>
          <w:noProof/>
          <w:vertAlign w:val="superscript"/>
        </w:rPr>
        <w:t>345</w:t>
      </w:r>
      <w:r w:rsidRPr="009D51F1">
        <w:fldChar w:fldCharType="end"/>
      </w:r>
      <w:r w:rsidRPr="009D51F1">
        <w:t xml:space="preserve"> estimated optimal gestational weight gain ranges for each pre-pregnancy BMI category by selecting the range of gestational weight gain that was associated with lower risk for any adverse outcome. This process identified weight gain ranges for women who are overweight or obese that were considerably lower than the IOM recommendations. However, the authors noted that while the estimates may inform antenatal counselling, the gestational weight gain ranges had limited predictive value for the outcomes assessed. </w:t>
      </w:r>
    </w:p>
    <w:p w14:paraId="62D3DCF2" w14:textId="315DC6E4" w:rsidR="007A08A0" w:rsidRPr="007A08A0" w:rsidRDefault="007A08A0" w:rsidP="00BD61CC">
      <w:pPr>
        <w:pStyle w:val="bullet"/>
      </w:pPr>
      <w:r>
        <w:t>A</w:t>
      </w:r>
      <w:r w:rsidRPr="007A08A0">
        <w:t xml:space="preserve"> systematic review </w:t>
      </w:r>
      <w:r>
        <w:t>of</w:t>
      </w:r>
      <w:r w:rsidRPr="007A08A0">
        <w:t xml:space="preserve"> the utility of IOM-2009 guidelines among Indian and other Asian pregnant women in terms of maternal and fetal outcomes</w:t>
      </w:r>
      <w:r>
        <w:t xml:space="preserve"> (</w:t>
      </w:r>
      <w:r w:rsidRPr="00BD61CC">
        <w:rPr>
          <w:sz w:val="16"/>
          <w:szCs w:val="16"/>
        </w:rPr>
        <w:t>n=13 studies</w:t>
      </w:r>
      <w:r>
        <w:t>)</w:t>
      </w:r>
      <w:r w:rsidR="00D07346">
        <w:fldChar w:fldCharType="begin">
          <w:fldData xml:space="preserve">PEVuZE5vdGU+PENpdGU+PEF1dGhvcj5Bcm9yYTwvQXV0aG9yPjxZZWFyPjIwMTk8L1llYXI+PFJl
Y051bT4xOTY4PC9SZWNOdW0+PERpc3BsYXlUZXh0PjxzdHlsZSBmYWNlPSJzdXBlcnNjcmlwdCIg
Zm9udD0iVHJlYnVjaGV0IE1TIiBzaXplPSI5Ij4zNDY8L3N0eWxlPjwvRGlzcGxheVRleHQ+PHJl
Y29yZD48cmVjLW51bWJlcj4xOTY4PC9yZWMtbnVtYmVyPjxmb3JlaWduLWtleXM+PGtleSBhcHA9
IkVOIiBkYi1pZD0iZXh2YXNyZngyZHRyYW9lc2FzeHAyc3pzeGEyZGY1MDI1OTJ4IiB0aW1lc3Rh
bXA9IjE1ODg5MDEzNTUiPjE5Njg8L2tleT48a2V5IGFwcD0iRU5XZWIiIGRiLWlkPSIiPjA8L2tl
eT48L2ZvcmVpZ24ta2V5cz48cmVmLXR5cGUgbmFtZT0iSm91cm5hbCBBcnRpY2xlIj4xNzwvcmVm
LXR5cGU+PGNvbnRyaWJ1dG9ycz48YXV0aG9ycz48YXV0aG9yPkFyb3JhLCBQLjwvYXV0aG9yPjxh
dXRob3I+VGFtYmVyIEFlcmksIEIuPC9hdXRob3I+PC9hdXRob3JzPjwvY29udHJpYnV0b3JzPjxh
dXRoLWFkZHJlc3M+RGVwYXJ0bWVudCBvZiBGb29kIGFuZCBOdXRyaXRpb24sIEluc3RpdHV0ZSBv
ZiBIb21lIEVjb25vbWljcywgRGVsaGkgVW5pdmVyc2l0eSwgRi00LCBIYXV6IEtoYXMgRW5jbGF2
ZSwgTmV3IERlbGhpLCBJbmRpYS48L2F1dGgtYWRkcmVzcz48dGl0bGVzPjx0aXRsZT5HZXN0YXRp
b25hbCB3ZWlnaHQgZ2FpbiBhbW9uZyBoZWFsdGh5IHByZWduYW50IHdvbWVuIGZyb20gQXNpYSBp
biBDb21wYXJpc29uIHdpdGggSW5zdGl0dXRlIG9mIE1lZGljaW5lIChJT00pIEd1aWRlbGluZXMt
MjAwOTogQSBzeXN0ZW1hdGljIHJldmlldzwvdGl0bGU+PHNlY29uZGFyeS10aXRsZT5KIFByZWdu
YW5jeTwvc2Vjb25kYXJ5LXRpdGxlPjwvdGl0bGVzPjxwZXJpb2RpY2FsPjxmdWxsLXRpdGxlPkog
UHJlZ25hbmN5PC9mdWxsLXRpdGxlPjwvcGVyaW9kaWNhbD48cGFnZXM+Mzg0OTU5NjwvcGFnZXM+
PHZvbHVtZT4yMDE5PC92b2x1bWU+PGVkaXRpb24+MjAxOS8wNC8wNDwvZWRpdGlvbj48a2V5d29y
ZHM+PGtleXdvcmQ+QWRvbGVzY2VudDwva2V5d29yZD48a2V5d29yZD5BZHVsdDwva2V5d29yZD48
a2V5d29yZD5Bc2lhbiBDb250aW5lbnRhbCBBbmNlc3RyeSBHcm91cDwva2V5d29yZD48a2V5d29y
ZD5Cb2R5IE1hc3MgSW5kZXg8L2tleXdvcmQ+PGtleXdvcmQ+Q2VzYXJlYW4gU2VjdGlvbjwva2V5
d29yZD48a2V5d29yZD5EYXRhYmFzZXMsIEJpYmxpb2dyYXBoaWM8L2tleXdvcmQ+PGtleXdvcmQ+
RGlhYmV0ZXMsIEdlc3RhdGlvbmFsL2V0aW9sb2d5L3ByZXZlbnRpb24gJmFtcDsgY29udHJvbDwv
a2V5d29yZD48a2V5d29yZD5GZW1hbGU8L2tleXdvcmQ+PGtleXdvcmQ+RmV0YWwgTWFjcm9zb21p
YS9ldGlvbG9neS9wcmV2ZW50aW9uICZhbXA7IGNvbnRyb2w8L2tleXdvcmQ+PGtleXdvcmQ+R2Vz
dGF0aW9uYWwgQWdlPC9rZXl3b3JkPjxrZXl3b3JkPipHZXN0YXRpb25hbCBXZWlnaHQgR2Fpbjwv
a2V5d29yZD48a2V5d29yZD5IdW1hbnM8L2tleXdvcmQ+PGtleXdvcmQ+SHlwZXJ0ZW5zaW9uLCBQ
cmVnbmFuY3ktSW5kdWNlZC9ldGlvbG9neS9wcmV2ZW50aW9uICZhbXA7IGNvbnRyb2w8L2tleXdv
cmQ+PGtleXdvcmQ+SW5mYW50LCBMb3cgQmlydGggV2VpZ2h0PC9rZXl3b3JkPjxrZXl3b3JkPipQ
cmFjdGljZSBHdWlkZWxpbmVzIGFzIFRvcGljPC9rZXl3b3JkPjxrZXl3b3JkPlByZWduYW5jeTwv
a2V5d29yZD48a2V5d29yZD5QcmVtYXR1cmUgQmlydGgvZXRpb2xvZ3kvcHJldmVudGlvbiAmYW1w
OyBjb250cm9sPC9rZXl3b3JkPjxrZXl3b3JkPllvdW5nIEFkdWx0PC9rZXl3b3JkPjwva2V5d29y
ZHM+PGRhdGVzPjx5ZWFyPjIwMTk8L3llYXI+PC9kYXRlcz48aXNibj4yMDkwLTI3MzUgKEVsZWN0
cm9uaWMpJiN4RDsyMDkwLTI3MjcgKExpbmtpbmcpPC9pc2JuPjxhY2Nlc3Npb24tbnVtPjMwOTQx
MjE4PC9hY2Nlc3Npb24tbnVtPjx1cmxzPjxyZWxhdGVkLXVybHM+PHVybD5odHRwczovL3d3dy5u
Y2JpLm5sbS5uaWguZ292L3B1Ym1lZC8zMDk0MTIxODwvdXJsPjwvcmVsYXRlZC11cmxzPjwvdXJs
cz48Y3VzdG9tMj5QTUM2NDIxMDQ4PC9jdXN0b20yPjxlbGVjdHJvbmljLXJlc291cmNlLW51bT4x
MC4xMTU1LzIwMTkvMzg0OTU5NjwvZWxlY3Ryb25pYy1yZXNvdXJjZS1udW0+PC9yZWNvcmQ+PC9D
aXRlPjwvRW5kTm90ZT5=
</w:fldData>
        </w:fldChar>
      </w:r>
      <w:r w:rsidR="002747EA">
        <w:instrText xml:space="preserve"> ADDIN EN.CITE </w:instrText>
      </w:r>
      <w:r w:rsidR="002747EA">
        <w:fldChar w:fldCharType="begin">
          <w:fldData xml:space="preserve">PEVuZE5vdGU+PENpdGU+PEF1dGhvcj5Bcm9yYTwvQXV0aG9yPjxZZWFyPjIwMTk8L1llYXI+PFJl
Y051bT4xOTY4PC9SZWNOdW0+PERpc3BsYXlUZXh0PjxzdHlsZSBmYWNlPSJzdXBlcnNjcmlwdCIg
Zm9udD0iVHJlYnVjaGV0IE1TIiBzaXplPSI5Ij4zNDY8L3N0eWxlPjwvRGlzcGxheVRleHQ+PHJl
Y29yZD48cmVjLW51bWJlcj4xOTY4PC9yZWMtbnVtYmVyPjxmb3JlaWduLWtleXM+PGtleSBhcHA9
IkVOIiBkYi1pZD0iZXh2YXNyZngyZHRyYW9lc2FzeHAyc3pzeGEyZGY1MDI1OTJ4IiB0aW1lc3Rh
bXA9IjE1ODg5MDEzNTUiPjE5Njg8L2tleT48a2V5IGFwcD0iRU5XZWIiIGRiLWlkPSIiPjA8L2tl
eT48L2ZvcmVpZ24ta2V5cz48cmVmLXR5cGUgbmFtZT0iSm91cm5hbCBBcnRpY2xlIj4xNzwvcmVm
LXR5cGU+PGNvbnRyaWJ1dG9ycz48YXV0aG9ycz48YXV0aG9yPkFyb3JhLCBQLjwvYXV0aG9yPjxh
dXRob3I+VGFtYmVyIEFlcmksIEIuPC9hdXRob3I+PC9hdXRob3JzPjwvY29udHJpYnV0b3JzPjxh
dXRoLWFkZHJlc3M+RGVwYXJ0bWVudCBvZiBGb29kIGFuZCBOdXRyaXRpb24sIEluc3RpdHV0ZSBv
ZiBIb21lIEVjb25vbWljcywgRGVsaGkgVW5pdmVyc2l0eSwgRi00LCBIYXV6IEtoYXMgRW5jbGF2
ZSwgTmV3IERlbGhpLCBJbmRpYS48L2F1dGgtYWRkcmVzcz48dGl0bGVzPjx0aXRsZT5HZXN0YXRp
b25hbCB3ZWlnaHQgZ2FpbiBhbW9uZyBoZWFsdGh5IHByZWduYW50IHdvbWVuIGZyb20gQXNpYSBp
biBDb21wYXJpc29uIHdpdGggSW5zdGl0dXRlIG9mIE1lZGljaW5lIChJT00pIEd1aWRlbGluZXMt
MjAwOTogQSBzeXN0ZW1hdGljIHJldmlldzwvdGl0bGU+PHNlY29uZGFyeS10aXRsZT5KIFByZWdu
YW5jeTwvc2Vjb25kYXJ5LXRpdGxlPjwvdGl0bGVzPjxwZXJpb2RpY2FsPjxmdWxsLXRpdGxlPkog
UHJlZ25hbmN5PC9mdWxsLXRpdGxlPjwvcGVyaW9kaWNhbD48cGFnZXM+Mzg0OTU5NjwvcGFnZXM+
PHZvbHVtZT4yMDE5PC92b2x1bWU+PGVkaXRpb24+MjAxOS8wNC8wNDwvZWRpdGlvbj48a2V5d29y
ZHM+PGtleXdvcmQ+QWRvbGVzY2VudDwva2V5d29yZD48a2V5d29yZD5BZHVsdDwva2V5d29yZD48
a2V5d29yZD5Bc2lhbiBDb250aW5lbnRhbCBBbmNlc3RyeSBHcm91cDwva2V5d29yZD48a2V5d29y
ZD5Cb2R5IE1hc3MgSW5kZXg8L2tleXdvcmQ+PGtleXdvcmQ+Q2VzYXJlYW4gU2VjdGlvbjwva2V5
d29yZD48a2V5d29yZD5EYXRhYmFzZXMsIEJpYmxpb2dyYXBoaWM8L2tleXdvcmQ+PGtleXdvcmQ+
RGlhYmV0ZXMsIEdlc3RhdGlvbmFsL2V0aW9sb2d5L3ByZXZlbnRpb24gJmFtcDsgY29udHJvbDwv
a2V5d29yZD48a2V5d29yZD5GZW1hbGU8L2tleXdvcmQ+PGtleXdvcmQ+RmV0YWwgTWFjcm9zb21p
YS9ldGlvbG9neS9wcmV2ZW50aW9uICZhbXA7IGNvbnRyb2w8L2tleXdvcmQ+PGtleXdvcmQ+R2Vz
dGF0aW9uYWwgQWdlPC9rZXl3b3JkPjxrZXl3b3JkPipHZXN0YXRpb25hbCBXZWlnaHQgR2Fpbjwv
a2V5d29yZD48a2V5d29yZD5IdW1hbnM8L2tleXdvcmQ+PGtleXdvcmQ+SHlwZXJ0ZW5zaW9uLCBQ
cmVnbmFuY3ktSW5kdWNlZC9ldGlvbG9neS9wcmV2ZW50aW9uICZhbXA7IGNvbnRyb2w8L2tleXdv
cmQ+PGtleXdvcmQ+SW5mYW50LCBMb3cgQmlydGggV2VpZ2h0PC9rZXl3b3JkPjxrZXl3b3JkPipQ
cmFjdGljZSBHdWlkZWxpbmVzIGFzIFRvcGljPC9rZXl3b3JkPjxrZXl3b3JkPlByZWduYW5jeTwv
a2V5d29yZD48a2V5d29yZD5QcmVtYXR1cmUgQmlydGgvZXRpb2xvZ3kvcHJldmVudGlvbiAmYW1w
OyBjb250cm9sPC9rZXl3b3JkPjxrZXl3b3JkPllvdW5nIEFkdWx0PC9rZXl3b3JkPjwva2V5d29y
ZHM+PGRhdGVzPjx5ZWFyPjIwMTk8L3llYXI+PC9kYXRlcz48aXNibj4yMDkwLTI3MzUgKEVsZWN0
cm9uaWMpJiN4RDsyMDkwLTI3MjcgKExpbmtpbmcpPC9pc2JuPjxhY2Nlc3Npb24tbnVtPjMwOTQx
MjE4PC9hY2Nlc3Npb24tbnVtPjx1cmxzPjxyZWxhdGVkLXVybHM+PHVybD5odHRwczovL3d3dy5u
Y2JpLm5sbS5uaWguZ292L3B1Ym1lZC8zMDk0MTIxODwvdXJsPjwvcmVsYXRlZC11cmxzPjwvdXJs
cz48Y3VzdG9tMj5QTUM2NDIxMDQ4PC9jdXN0b20yPjxlbGVjdHJvbmljLXJlc291cmNlLW51bT4x
MC4xMTU1LzIwMTkvMzg0OTU5NjwvZWxlY3Ryb25pYy1yZXNvdXJjZS1udW0+PC9yZWNvcmQ+PC9D
aXRlPjwvRW5kTm90ZT5=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346</w:t>
      </w:r>
      <w:r w:rsidR="00D07346">
        <w:fldChar w:fldCharType="end"/>
      </w:r>
      <w:r>
        <w:t xml:space="preserve"> </w:t>
      </w:r>
      <w:r w:rsidRPr="007A08A0">
        <w:t>highlight</w:t>
      </w:r>
      <w:r w:rsidR="008448B9">
        <w:t>ed</w:t>
      </w:r>
      <w:r w:rsidRPr="007A08A0">
        <w:t xml:space="preserve"> the need for appropriate </w:t>
      </w:r>
      <w:r>
        <w:t>g</w:t>
      </w:r>
      <w:r w:rsidR="005876F4">
        <w:t>estational weight gain recommend</w:t>
      </w:r>
      <w:r>
        <w:t>ations</w:t>
      </w:r>
      <w:r w:rsidRPr="007A08A0">
        <w:t xml:space="preserve"> across the different body mass index</w:t>
      </w:r>
      <w:r w:rsidR="005876F4">
        <w:t xml:space="preserve"> levels specifically for Indian women</w:t>
      </w:r>
      <w:r w:rsidRPr="007A08A0">
        <w:t xml:space="preserve"> and other Asian population</w:t>
      </w:r>
      <w:r w:rsidR="005876F4">
        <w:t>s</w:t>
      </w:r>
      <w:r w:rsidRPr="007A08A0">
        <w:t>.</w:t>
      </w:r>
    </w:p>
    <w:p w14:paraId="5120DCFA" w14:textId="63863380" w:rsidR="00181F63" w:rsidRPr="00BD61CC" w:rsidRDefault="00901827" w:rsidP="00BD61CC">
      <w:pPr>
        <w:pStyle w:val="bullet"/>
      </w:pPr>
      <w:r>
        <w:t>A retrospective cohort study in China (</w:t>
      </w:r>
      <w:r w:rsidRPr="00BD61CC">
        <w:rPr>
          <w:sz w:val="16"/>
          <w:szCs w:val="16"/>
        </w:rPr>
        <w:t>n=8,209</w:t>
      </w:r>
      <w:r>
        <w:t>)</w:t>
      </w:r>
      <w:r w:rsidR="00D07346">
        <w:fldChar w:fldCharType="begin">
          <w:fldData xml:space="preserve">PEVuZE5vdGU+PENpdGU+PEF1dGhvcj5KaWFuZzwvQXV0aG9yPjxZZWFyPjIwMTk8L1llYXI+PFJl
Y051bT4xOTY5PC9SZWNOdW0+PERpc3BsYXlUZXh0PjxzdHlsZSBmYWNlPSJzdXBlcnNjcmlwdCIg
Zm9udD0iVHJlYnVjaGV0IE1TIiBzaXplPSI5Ij4zNDc8L3N0eWxlPjwvRGlzcGxheVRleHQ+PHJl
Y29yZD48cmVjLW51bWJlcj4xOTY5PC9yZWMtbnVtYmVyPjxmb3JlaWduLWtleXM+PGtleSBhcHA9
IkVOIiBkYi1pZD0iZXh2YXNyZngyZHRyYW9lc2FzeHAyc3pzeGEyZGY1MDI1OTJ4IiB0aW1lc3Rh
bXA9IjE1ODg5MDIxMjkiPjE5Njk8L2tleT48a2V5IGFwcD0iRU5XZWIiIGRiLWlkPSIiPjA8L2tl
eT48L2ZvcmVpZ24ta2V5cz48cmVmLXR5cGUgbmFtZT0iSm91cm5hbCBBcnRpY2xlIj4xNzwvcmVm
LXR5cGU+PGNvbnRyaWJ1dG9ycz48YXV0aG9ycz48YXV0aG9yPkppYW5nLCBYLjwvYXV0aG9yPjxh
dXRob3I+TGl1LCBNLjwvYXV0aG9yPjxhdXRob3I+U29uZywgWS48L2F1dGhvcj48YXV0aG9yPk1h
bywgSi48L2F1dGhvcj48YXV0aG9yPlpob3UsIE0uPC9hdXRob3I+PGF1dGhvcj5NYSwgWi48L2F1
dGhvcj48YXV0aG9yPlFpYW4sIFguPC9hdXRob3I+PGF1dGhvcj5IYW4sIFouPC9hdXRob3I+PGF1
dGhvcj5EdWFuLCBULjwvYXV0aG9yPjwvYXV0aG9ycz48L2NvbnRyaWJ1dG9ycz48YXV0aC1hZGRy
ZXNzPmEgRGVwYXJ0bWVudCBvZiBPYnN0ZXRyaWNzIGFuZCBHeW5lY29sb2d5ICwgU2hhbmdoYWkg
Rmlyc3QgTWF0ZXJuaXR5IGFuZCBJbmZhbnQgSG9zcGl0YWwsIFRvbmdqaSBVbml2ZXJzaXR5IFNj
aG9vbCBvZiBNZWRpY2luZSAsIFNoYW5naGFpICwgQ2hpbmEuPC9hdXRoLWFkZHJlc3M+PHRpdGxl
cz48dGl0bGU+VGhlIEluc3RpdHV0ZSBvZiBNZWRpY2luZSByZWNvbW1lbmRhdGlvbiBmb3IgZ2Vz
dGF0aW9uYWwgd2VpZ2h0IGdhaW4gaXMgcHJvYmFibHkgbm90IG9wdGltYWwgYW1vbmcgbm9uLUFt
ZXJpY2FuIHByZWduYW50IHdvbWVuOiBhIHJldHJvc3BlY3RpdmUgc3R1ZHkgZnJvbSBDaGluYTwv
dGl0bGU+PHNlY29uZGFyeS10aXRsZT5KIE1hdGVybiBGZXRhbCBOZW9uYXRhbCBNZWQ8L3NlY29u
ZGFyeS10aXRsZT48L3RpdGxlcz48cGVyaW9kaWNhbD48ZnVsbC10aXRsZT5KIE1hdGVybiBGZXRh
bCBOZW9uYXRhbCBNZWQ8L2Z1bGwtdGl0bGU+PC9wZXJpb2RpY2FsPjxwYWdlcz4xMzUzLTEzNTg8
L3BhZ2VzPjx2b2x1bWU+MzI8L3ZvbHVtZT48bnVtYmVyPjg8L251bWJlcj48ZWRpdGlvbj4yMDE3
LzExLzI4PC9lZGl0aW9uPjxrZXl3b3Jkcz48a2V5d29yZD5BZHVsdDwva2V5d29yZD48a2V5d29y
ZD5Bc2lhbiBDb250aW5lbnRhbCBBbmNlc3RyeSBHcm91cC8qc3RhdGlzdGljcyAmYW1wOyBudW1l
cmljYWwgZGF0YTwva2V5d29yZD48a2V5d29yZD5DaGluYTwva2V5d29yZD48a2V5d29yZD5GZW1h
bGU8L2tleXdvcmQ+PGtleXdvcmQ+Kkdlc3RhdGlvbmFsIFdlaWdodCBHYWluPC9rZXl3b3JkPjxr
ZXl3b3JkPkh1bWFuczwva2V5d29yZD48a2V5d29yZD4qUHJhY3RpY2UgR3VpZGVsaW5lcyBhcyBU
b3BpYzwva2V5d29yZD48a2V5d29yZD5QcmVnbmFuY3k8L2tleXdvcmQ+PGtleXdvcmQ+UmV0cm9z
cGVjdGl2ZSBTdHVkaWVzPC9rZXl3b3JkPjxrZXl3b3JkPkNoaW5lc2UgcHJlZ25hbnQgd29tZW48
L2tleXdvcmQ+PGtleXdvcmQ+SW5zdGl0dXRpb24gb2YgTWVkaWNpbmU8L2tleXdvcmQ+PGtleXdv
cmQ+Z2VzdGF0aW9uYWwgd2VpZ2h0IGdhaW48L2tleXdvcmQ+PC9rZXl3b3Jkcz48ZGF0ZXM+PHll
YXI+MjAxOTwveWVhcj48cHViLWRhdGVzPjxkYXRlPkFwcjwvZGF0ZT48L3B1Yi1kYXRlcz48L2Rh
dGVzPjxpc2JuPjE0NzYtNDk1NCAoRWxlY3Ryb25pYykmI3hEOzE0NzYtNDk1NCAoTGlua2luZyk8
L2lzYm4+PGFjY2Vzc2lvbi1udW0+MjkxNzI4ODE8L2FjY2Vzc2lvbi1udW0+PHVybHM+PHJlbGF0
ZWQtdXJscz48dXJsPmh0dHBzOi8vd3d3Lm5jYmkubmxtLm5paC5nb3YvcHVibWVkLzI5MTcyODgx
PC91cmw+PC9yZWxhdGVkLXVybHM+PC91cmxzPjxlbGVjdHJvbmljLXJlc291cmNlLW51bT4xMC4x
MDgwLzE0NzY3MDU4LjIwMTcuMTQwNTM4ODwvZWxlY3Ryb25pYy1yZXNvdXJjZS1udW0+PC9yZWNv
cmQ+PC9DaXRlPjwvRW5kTm90ZT4A
</w:fldData>
        </w:fldChar>
      </w:r>
      <w:r w:rsidR="002747EA">
        <w:instrText xml:space="preserve"> ADDIN EN.CITE </w:instrText>
      </w:r>
      <w:r w:rsidR="002747EA">
        <w:fldChar w:fldCharType="begin">
          <w:fldData xml:space="preserve">PEVuZE5vdGU+PENpdGU+PEF1dGhvcj5KaWFuZzwvQXV0aG9yPjxZZWFyPjIwMTk8L1llYXI+PFJl
Y051bT4xOTY5PC9SZWNOdW0+PERpc3BsYXlUZXh0PjxzdHlsZSBmYWNlPSJzdXBlcnNjcmlwdCIg
Zm9udD0iVHJlYnVjaGV0IE1TIiBzaXplPSI5Ij4zNDc8L3N0eWxlPjwvRGlzcGxheVRleHQ+PHJl
Y29yZD48cmVjLW51bWJlcj4xOTY5PC9yZWMtbnVtYmVyPjxmb3JlaWduLWtleXM+PGtleSBhcHA9
IkVOIiBkYi1pZD0iZXh2YXNyZngyZHRyYW9lc2FzeHAyc3pzeGEyZGY1MDI1OTJ4IiB0aW1lc3Rh
bXA9IjE1ODg5MDIxMjkiPjE5Njk8L2tleT48a2V5IGFwcD0iRU5XZWIiIGRiLWlkPSIiPjA8L2tl
eT48L2ZvcmVpZ24ta2V5cz48cmVmLXR5cGUgbmFtZT0iSm91cm5hbCBBcnRpY2xlIj4xNzwvcmVm
LXR5cGU+PGNvbnRyaWJ1dG9ycz48YXV0aG9ycz48YXV0aG9yPkppYW5nLCBYLjwvYXV0aG9yPjxh
dXRob3I+TGl1LCBNLjwvYXV0aG9yPjxhdXRob3I+U29uZywgWS48L2F1dGhvcj48YXV0aG9yPk1h
bywgSi48L2F1dGhvcj48YXV0aG9yPlpob3UsIE0uPC9hdXRob3I+PGF1dGhvcj5NYSwgWi48L2F1
dGhvcj48YXV0aG9yPlFpYW4sIFguPC9hdXRob3I+PGF1dGhvcj5IYW4sIFouPC9hdXRob3I+PGF1
dGhvcj5EdWFuLCBULjwvYXV0aG9yPjwvYXV0aG9ycz48L2NvbnRyaWJ1dG9ycz48YXV0aC1hZGRy
ZXNzPmEgRGVwYXJ0bWVudCBvZiBPYnN0ZXRyaWNzIGFuZCBHeW5lY29sb2d5ICwgU2hhbmdoYWkg
Rmlyc3QgTWF0ZXJuaXR5IGFuZCBJbmZhbnQgSG9zcGl0YWwsIFRvbmdqaSBVbml2ZXJzaXR5IFNj
aG9vbCBvZiBNZWRpY2luZSAsIFNoYW5naGFpICwgQ2hpbmEuPC9hdXRoLWFkZHJlc3M+PHRpdGxl
cz48dGl0bGU+VGhlIEluc3RpdHV0ZSBvZiBNZWRpY2luZSByZWNvbW1lbmRhdGlvbiBmb3IgZ2Vz
dGF0aW9uYWwgd2VpZ2h0IGdhaW4gaXMgcHJvYmFibHkgbm90IG9wdGltYWwgYW1vbmcgbm9uLUFt
ZXJpY2FuIHByZWduYW50IHdvbWVuOiBhIHJldHJvc3BlY3RpdmUgc3R1ZHkgZnJvbSBDaGluYTwv
dGl0bGU+PHNlY29uZGFyeS10aXRsZT5KIE1hdGVybiBGZXRhbCBOZW9uYXRhbCBNZWQ8L3NlY29u
ZGFyeS10aXRsZT48L3RpdGxlcz48cGVyaW9kaWNhbD48ZnVsbC10aXRsZT5KIE1hdGVybiBGZXRh
bCBOZW9uYXRhbCBNZWQ8L2Z1bGwtdGl0bGU+PC9wZXJpb2RpY2FsPjxwYWdlcz4xMzUzLTEzNTg8
L3BhZ2VzPjx2b2x1bWU+MzI8L3ZvbHVtZT48bnVtYmVyPjg8L251bWJlcj48ZWRpdGlvbj4yMDE3
LzExLzI4PC9lZGl0aW9uPjxrZXl3b3Jkcz48a2V5d29yZD5BZHVsdDwva2V5d29yZD48a2V5d29y
ZD5Bc2lhbiBDb250aW5lbnRhbCBBbmNlc3RyeSBHcm91cC8qc3RhdGlzdGljcyAmYW1wOyBudW1l
cmljYWwgZGF0YTwva2V5d29yZD48a2V5d29yZD5DaGluYTwva2V5d29yZD48a2V5d29yZD5GZW1h
bGU8L2tleXdvcmQ+PGtleXdvcmQ+Kkdlc3RhdGlvbmFsIFdlaWdodCBHYWluPC9rZXl3b3JkPjxr
ZXl3b3JkPkh1bWFuczwva2V5d29yZD48a2V5d29yZD4qUHJhY3RpY2UgR3VpZGVsaW5lcyBhcyBU
b3BpYzwva2V5d29yZD48a2V5d29yZD5QcmVnbmFuY3k8L2tleXdvcmQ+PGtleXdvcmQ+UmV0cm9z
cGVjdGl2ZSBTdHVkaWVzPC9rZXl3b3JkPjxrZXl3b3JkPkNoaW5lc2UgcHJlZ25hbnQgd29tZW48
L2tleXdvcmQ+PGtleXdvcmQ+SW5zdGl0dXRpb24gb2YgTWVkaWNpbmU8L2tleXdvcmQ+PGtleXdv
cmQ+Z2VzdGF0aW9uYWwgd2VpZ2h0IGdhaW48L2tleXdvcmQ+PC9rZXl3b3Jkcz48ZGF0ZXM+PHll
YXI+MjAxOTwveWVhcj48cHViLWRhdGVzPjxkYXRlPkFwcjwvZGF0ZT48L3B1Yi1kYXRlcz48L2Rh
dGVzPjxpc2JuPjE0NzYtNDk1NCAoRWxlY3Ryb25pYykmI3hEOzE0NzYtNDk1NCAoTGlua2luZyk8
L2lzYm4+PGFjY2Vzc2lvbi1udW0+MjkxNzI4ODE8L2FjY2Vzc2lvbi1udW0+PHVybHM+PHJlbGF0
ZWQtdXJscz48dXJsPmh0dHBzOi8vd3d3Lm5jYmkubmxtLm5paC5nb3YvcHVibWVkLzI5MTcyODgx
PC91cmw+PC9yZWxhdGVkLXVybHM+PC91cmxzPjxlbGVjdHJvbmljLXJlc291cmNlLW51bT4xMC4x
MDgwLzE0NzY3MDU4LjIwMTcuMTQwNTM4ODwvZWxlY3Ryb25pYy1yZXNvdXJjZS1udW0+PC9yZWNv
cmQ+PC9DaXRlPjwvRW5kTm90ZT4A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347</w:t>
      </w:r>
      <w:r w:rsidR="00D07346">
        <w:fldChar w:fldCharType="end"/>
      </w:r>
      <w:r>
        <w:t xml:space="preserve"> fo</w:t>
      </w:r>
      <w:r w:rsidRPr="008448B9">
        <w:t xml:space="preserve">und that </w:t>
      </w:r>
      <w:r w:rsidR="00181F63" w:rsidRPr="008448B9">
        <w:t>the lowest accumulated</w:t>
      </w:r>
      <w:r w:rsidR="00A17D2B" w:rsidRPr="008448B9">
        <w:t xml:space="preserve"> </w:t>
      </w:r>
      <w:r w:rsidR="00181F63" w:rsidRPr="00BD61CC">
        <w:t xml:space="preserve">risk of low birthweight and macrosomia was not always achieved </w:t>
      </w:r>
      <w:r w:rsidR="00A17D2B" w:rsidRPr="008448B9">
        <w:t xml:space="preserve">among women who gained weight within recommendations and suggested that </w:t>
      </w:r>
      <w:r w:rsidR="00181F63" w:rsidRPr="00BD61CC">
        <w:t xml:space="preserve">the IOM </w:t>
      </w:r>
      <w:r w:rsidR="008448B9">
        <w:t xml:space="preserve">weight gain </w:t>
      </w:r>
      <w:r w:rsidR="00181F63" w:rsidRPr="00BD61CC">
        <w:t>range</w:t>
      </w:r>
      <w:r w:rsidR="008448B9" w:rsidRPr="008448B9">
        <w:t xml:space="preserve">s are </w:t>
      </w:r>
      <w:r w:rsidR="00181F63" w:rsidRPr="00BD61CC">
        <w:t xml:space="preserve">too </w:t>
      </w:r>
      <w:r w:rsidR="00A17D2B" w:rsidRPr="008448B9">
        <w:t xml:space="preserve">high for Chinese </w:t>
      </w:r>
      <w:r w:rsidR="00181F63" w:rsidRPr="00BD61CC">
        <w:t>women.</w:t>
      </w:r>
    </w:p>
    <w:p w14:paraId="654A7AE7" w14:textId="133D6566" w:rsidR="00D175AE" w:rsidRPr="00D175AE" w:rsidRDefault="00D175AE" w:rsidP="00BD61CC">
      <w:pPr>
        <w:pStyle w:val="bullet"/>
      </w:pPr>
      <w:r>
        <w:t>A cohort study in the United States (</w:t>
      </w:r>
      <w:r w:rsidRPr="00BD61CC">
        <w:rPr>
          <w:sz w:val="16"/>
          <w:szCs w:val="16"/>
        </w:rPr>
        <w:t>n=181,948</w:t>
      </w:r>
      <w:r>
        <w:t>)</w:t>
      </w:r>
      <w:r w:rsidR="00D07346">
        <w:fldChar w:fldCharType="begin"/>
      </w:r>
      <w:r w:rsidR="002747EA">
        <w:instrText xml:space="preserve"> ADDIN EN.CITE &lt;EndNote&gt;&lt;Cite&gt;&lt;Author&gt;Khanolkar&lt;/Author&gt;&lt;Year&gt;2020&lt;/Year&gt;&lt;RecNum&gt;1970&lt;/RecNum&gt;&lt;DisplayText&gt;&lt;style face="superscript" font="Trebuchet MS" size="9"&gt;348&lt;/style&gt;&lt;/DisplayText&gt;&lt;record&gt;&lt;rec-number&gt;1970&lt;/rec-number&gt;&lt;foreign-keys&gt;&lt;key app="EN" db-id="exvasrfx2dtraoesasxp2szsxa2df502592x" timestamp="1588903235"&gt;1970&lt;/key&gt;&lt;key app="ENWeb" db-id=""&gt;0&lt;/key&gt;&lt;/foreign-keys&gt;&lt;ref-type name="Journal Article"&gt;17&lt;/ref-type&gt;&lt;contributors&gt;&lt;authors&gt;&lt;author&gt;Khanolkar, A. R.&lt;/author&gt;&lt;author&gt;Hanley, G. E.&lt;/author&gt;&lt;author&gt;Koupil, I.&lt;/author&gt;&lt;author&gt;Janssen, P. A.&lt;/author&gt;&lt;/authors&gt;&lt;/contributors&gt;&lt;auth-address&gt;Centre for Health Equity Studies (CHESS), Stockholm University, Stockholm, Sweden.&amp;#xD;Institute of Environmental Medicine, Karolinska Institutet, Stockholm, Sweden.&amp;#xD;GOS Institute of Child Health, University College London, London, UK.&amp;#xD;School of Population and Public Health and the Child and Family Research Institute, University of British Columbia, Vancouver, Canada.&lt;/auth-address&gt;&lt;titles&gt;&lt;title&gt;2009 IOM guidelines for gestational weight gain: how well do they predict outcomes across ethnic groups?&lt;/title&gt;&lt;secondary-title&gt;Ethn Health&lt;/secondary-title&gt;&lt;/titles&gt;&lt;periodical&gt;&lt;full-title&gt;Ethn Health&lt;/full-title&gt;&lt;/periodical&gt;&lt;pages&gt;110-125&lt;/pages&gt;&lt;volume&gt;25&lt;/volume&gt;&lt;number&gt;1&lt;/number&gt;&lt;edition&gt;2017/11/15&lt;/edition&gt;&lt;keywords&gt;&lt;keyword&gt;Iom&lt;/keyword&gt;&lt;keyword&gt;Weight gain&lt;/keyword&gt;&lt;keyword&gt;ethnicity&lt;/keyword&gt;&lt;keyword&gt;maternal health&lt;/keyword&gt;&lt;keyword&gt;neonatal outcomes&lt;/keyword&gt;&lt;keyword&gt;pregnancy&lt;/keyword&gt;&lt;/keywords&gt;&lt;dates&gt;&lt;year&gt;2020&lt;/year&gt;&lt;pub-dates&gt;&lt;date&gt;Jan&lt;/date&gt;&lt;/pub-dates&gt;&lt;/dates&gt;&lt;isbn&gt;1465-3419 (Electronic)&amp;#xD;1355-7858 (Linking)&lt;/isbn&gt;&lt;accession-num&gt;29132221&lt;/accession-num&gt;&lt;urls&gt;&lt;related-urls&gt;&lt;url&gt;https://www.ncbi.nlm.nih.gov/pubmed/29132221&lt;/url&gt;&lt;/related-urls&gt;&lt;/urls&gt;&lt;electronic-resource-num&gt;10.1080/13557858.2017.1398312&lt;/electronic-resource-num&gt;&lt;/record&gt;&lt;/Cite&gt;&lt;/EndNote&gt;</w:instrText>
      </w:r>
      <w:r w:rsidR="00D07346">
        <w:fldChar w:fldCharType="separate"/>
      </w:r>
      <w:r w:rsidR="002747EA" w:rsidRPr="002747EA">
        <w:rPr>
          <w:noProof/>
          <w:vertAlign w:val="superscript"/>
        </w:rPr>
        <w:t>348</w:t>
      </w:r>
      <w:r w:rsidR="00D07346">
        <w:fldChar w:fldCharType="end"/>
      </w:r>
      <w:r w:rsidR="00317DE7">
        <w:t xml:space="preserve"> found that </w:t>
      </w:r>
      <w:r w:rsidR="00937A3F">
        <w:t>a</w:t>
      </w:r>
      <w:r w:rsidRPr="00D175AE">
        <w:t>dherence to the 2009 IOM guidelines for weig</w:t>
      </w:r>
      <w:r w:rsidR="00937A3F">
        <w:t>ht gain during pregnancy reduced</w:t>
      </w:r>
      <w:r w:rsidRPr="00D175AE">
        <w:t xml:space="preserve"> risk for various adverse maternal outcomes in all ethnic groups studied. However, the guidelines were less predictive of infant outcomes with the exception of small and large for gestational age.</w:t>
      </w:r>
    </w:p>
    <w:p w14:paraId="6073295A" w14:textId="5DDFBA0E" w:rsidR="005A086E" w:rsidRPr="005A086E" w:rsidRDefault="005A086E" w:rsidP="00BD61CC">
      <w:pPr>
        <w:pStyle w:val="bullet"/>
      </w:pPr>
      <w:r>
        <w:t>A retrospective cohort study in the United States (</w:t>
      </w:r>
      <w:r w:rsidRPr="00BD61CC">
        <w:rPr>
          <w:sz w:val="16"/>
          <w:szCs w:val="16"/>
        </w:rPr>
        <w:t>n=~12,000,000 birth records</w:t>
      </w:r>
      <w:r>
        <w:t>)</w:t>
      </w:r>
      <w:r w:rsidR="00D07346">
        <w:fldChar w:fldCharType="begin">
          <w:fldData xml:space="preserve">PEVuZE5vdGU+PENpdGU+PEF1dGhvcj5UaG9tcHNvbjwvQXV0aG9yPjxZZWFyPjIwMTk8L1llYXI+
PFJlY051bT4xOTcxPC9SZWNOdW0+PERpc3BsYXlUZXh0PjxzdHlsZSBmYWNlPSJzdXBlcnNjcmlw
dCIgZm9udD0iVHJlYnVjaGV0IE1TIiBzaXplPSI5Ij4zNDk8L3N0eWxlPjwvRGlzcGxheVRleHQ+
PHJlY29yZD48cmVjLW51bWJlcj4xOTcxPC9yZWMtbnVtYmVyPjxmb3JlaWduLWtleXM+PGtleSBh
cHA9IkVOIiBkYi1pZD0iZXh2YXNyZngyZHRyYW9lc2FzeHAyc3pzeGEyZGY1MDI1OTJ4IiB0aW1l
c3RhbXA9IjE1ODg5MDM4NjkiPjE5NzE8L2tleT48a2V5IGFwcD0iRU5XZWIiIGRiLWlkPSIiPjA8
L2tleT48L2ZvcmVpZ24ta2V5cz48cmVmLXR5cGUgbmFtZT0iSm91cm5hbCBBcnRpY2xlIj4xNzwv
cmVmLXR5cGU+PGNvbnRyaWJ1dG9ycz48YXV0aG9ycz48YXV0aG9yPlRob21wc29uLCBBLiBNLjwv
YXV0aG9yPjxhdXRob3I+VGhvbXBzb24sIEouIEEuPC9hdXRob3I+PC9hdXRob3JzPjwvY29udHJp
YnV0b3JzPjxhdXRoLWFkZHJlc3M+U2Nob29sIG9mIE1lZGljaW5lLCBVbml2ZXJzaXR5IG9mIFRl
eGFzLCBSaW8gR3JhbmRlIFZhbGxleSwgMTIwMSBXZXN0IFVuaXZlcnNpdHkgRHJpdmUsIEVkaW5i
dXJnLCBUWCwgNzg1MzksIFVTQS4mI3hEO0NvbGxlZ2Ugb2YgVmV0ZXJpbmFyeSBNZWRpY2luZSBh
bmQgQmlvbWVkaWNhbCBTY2llbmNlLCBUZXhhcyBBJmFtcDtNIFVuaXZlcnNpdHksIENvbGxlZ2Ug
U3RhdGlvbiwgVFgsIDc3ODQzLTQ0NzUsIFVTQS4ganRob21wc29uQGN2bS50YW11LmVkdS48L2F1
dGgtYWRkcmVzcz48dGl0bGVzPjx0aXRsZT5BbiBldmFsdWF0aW9uIG9mIHdoZXRoZXIgYSBnZXN0
YXRpb25hbCB3ZWlnaHQgZ2FpbiBvZiA1IHRvIDkga2cgZm9yIG9iZXNlIHdvbWVuIG9wdGltaXpl
cyBtYXRlcm5hbCBhbmQgbmVvbmF0YWwgaGVhbHRoIHJpc2tzPC90aXRsZT48c2Vjb25kYXJ5LXRp
dGxlPkJNQyBQcmVnbmFuY3kgQ2hpbGRiaXJ0aDwvc2Vjb25kYXJ5LXRpdGxlPjwvdGl0bGVzPjxw
ZXJpb2RpY2FsPjxmdWxsLXRpdGxlPkJNQyBQcmVnbmFuY3kgQ2hpbGRiaXJ0aDwvZnVsbC10aXRs
ZT48L3BlcmlvZGljYWw+PHBhZ2VzPjEyNjwvcGFnZXM+PHZvbHVtZT4xOTwvdm9sdW1lPjxudW1i
ZXI+MTwvbnVtYmVyPjxlZGl0aW9uPjIwMTkvMDQvMTM8L2VkaXRpb24+PGtleXdvcmRzPjxrZXl3
b3JkPkFkdWx0PC9rZXl3b3JkPjxrZXl3b3JkPkJheWVzIFRoZW9yZW08L2tleXdvcmQ+PGtleXdv
cmQ+Qm9keSBNYXNzIEluZGV4PC9rZXl3b3JkPjxrZXl3b3JkPkNlc2FyZWFuIFNlY3Rpb24vc3Rh
dGlzdGljcyAmYW1wOyBudW1lcmljYWwgZGF0YTwva2V5d29yZD48a2V5d29yZD5EYXRhYmFzZXMs
IEZhY3R1YWw8L2tleXdvcmQ+PGtleXdvcmQ+RmVtYWxlPC9rZXl3b3JkPjxrZXl3b3JkPkZldGFs
IE1hY3Jvc29taWEvZXBpZGVtaW9sb2d5L2V0aW9sb2d5PC9rZXl3b3JkPjxrZXl3b3JkPipHZXN0
YXRpb25hbCBXZWlnaHQgR2Fpbjwva2V5d29yZD48a2V5d29yZD5IdW1hbnM8L2tleXdvcmQ+PGtl
eXdvcmQ+SHlwZXJ0ZW5zaW9uLCBQcmVnbmFuY3ktSW5kdWNlZC9lcGlkZW1pb2xvZ3kvZXRpb2xv
Z3k8L2tleXdvcmQ+PGtleXdvcmQ+SW5mYW50IEhlYWx0aDwva2V5d29yZD48a2V5d29yZD5JbmZh
bnQsIE5ld2Jvcm48L2tleXdvcmQ+PGtleXdvcmQ+T2Jlc2l0eS9jb21wbGljYXRpb25zL2VwaWRl
bWlvbG9neS8qcGh5c2lvcGF0aG9sb2d5PC9rZXl3b3JkPjxrZXl3b3JkPlByZWduYW5jeTwva2V5
d29yZD48a2V5d29yZD5QcmVnbmFuY3kgQ29tcGxpY2F0aW9ucy9lcGlkZW1pb2xvZ3kvZXRpb2xv
Z3kvKnBoeXNpb3BhdGhvbG9neTwva2V5d29yZD48a2V5d29yZD5QcmVnbmFuY3kgT3V0Y29tZS8q
ZXBpZGVtaW9sb2d5PC9rZXl3b3JkPjxrZXl3b3JkPlJpc2sgRmFjdG9yczwva2V5d29yZD48a2V5
d29yZD5Vbml0ZWQgU3RhdGVzL2VwaWRlbWlvbG9neTwva2V5d29yZD48a2V5d29yZD5BZHZlcnNl
IG91dGNvbWVzPC9rZXl3b3JkPjxrZXl3b3JkPkdlc3RhdGlvbmFsIHdlaWdodCBnYWluPC9rZXl3
b3JkPjxrZXl3b3JkPk1hdGVybmFsPC9rZXl3b3JkPjxrZXl3b3JkPk5lb25hdGFsPC9rZXl3b3Jk
Pjwva2V5d29yZHM+PGRhdGVzPjx5ZWFyPjIwMTk8L3llYXI+PHB1Yi1kYXRlcz48ZGF0ZT5BcHIg
MTE8L2RhdGU+PC9wdWItZGF0ZXM+PC9kYXRlcz48aXNibj4xNDcxLTIzOTMgKEVsZWN0cm9uaWMp
JiN4RDsxNDcxLTIzOTMgKExpbmtpbmcpPC9pc2JuPjxhY2Nlc3Npb24tbnVtPjMwOTc1MDg2PC9h
Y2Nlc3Npb24tbnVtPjx1cmxzPjxyZWxhdGVkLXVybHM+PHVybD5odHRwczovL3d3dy5uY2JpLm5s
bS5uaWguZ292L3B1Ym1lZC8zMDk3NTA4NjwvdXJsPjwvcmVsYXRlZC11cmxzPjwvdXJscz48Y3Vz
dG9tMj5QTUM2NDYwODIwPC9jdXN0b20yPjxlbGVjdHJvbmljLXJlc291cmNlLW51bT4xMC4xMTg2
L3MxMjg4NC0wMTktMjI3My16PC9lbGVjdHJvbmljLXJlc291cmNlLW51bT48L3JlY29yZD48L0Np
dGU+PC9FbmROb3RlPgB=
</w:fldData>
        </w:fldChar>
      </w:r>
      <w:r w:rsidR="002747EA">
        <w:instrText xml:space="preserve"> ADDIN EN.CITE </w:instrText>
      </w:r>
      <w:r w:rsidR="002747EA">
        <w:fldChar w:fldCharType="begin">
          <w:fldData xml:space="preserve">PEVuZE5vdGU+PENpdGU+PEF1dGhvcj5UaG9tcHNvbjwvQXV0aG9yPjxZZWFyPjIwMTk8L1llYXI+
PFJlY051bT4xOTcxPC9SZWNOdW0+PERpc3BsYXlUZXh0PjxzdHlsZSBmYWNlPSJzdXBlcnNjcmlw
dCIgZm9udD0iVHJlYnVjaGV0IE1TIiBzaXplPSI5Ij4zNDk8L3N0eWxlPjwvRGlzcGxheVRleHQ+
PHJlY29yZD48cmVjLW51bWJlcj4xOTcxPC9yZWMtbnVtYmVyPjxmb3JlaWduLWtleXM+PGtleSBh
cHA9IkVOIiBkYi1pZD0iZXh2YXNyZngyZHRyYW9lc2FzeHAyc3pzeGEyZGY1MDI1OTJ4IiB0aW1l
c3RhbXA9IjE1ODg5MDM4NjkiPjE5NzE8L2tleT48a2V5IGFwcD0iRU5XZWIiIGRiLWlkPSIiPjA8
L2tleT48L2ZvcmVpZ24ta2V5cz48cmVmLXR5cGUgbmFtZT0iSm91cm5hbCBBcnRpY2xlIj4xNzwv
cmVmLXR5cGU+PGNvbnRyaWJ1dG9ycz48YXV0aG9ycz48YXV0aG9yPlRob21wc29uLCBBLiBNLjwv
YXV0aG9yPjxhdXRob3I+VGhvbXBzb24sIEouIEEuPC9hdXRob3I+PC9hdXRob3JzPjwvY29udHJp
YnV0b3JzPjxhdXRoLWFkZHJlc3M+U2Nob29sIG9mIE1lZGljaW5lLCBVbml2ZXJzaXR5IG9mIFRl
eGFzLCBSaW8gR3JhbmRlIFZhbGxleSwgMTIwMSBXZXN0IFVuaXZlcnNpdHkgRHJpdmUsIEVkaW5i
dXJnLCBUWCwgNzg1MzksIFVTQS4mI3hEO0NvbGxlZ2Ugb2YgVmV0ZXJpbmFyeSBNZWRpY2luZSBh
bmQgQmlvbWVkaWNhbCBTY2llbmNlLCBUZXhhcyBBJmFtcDtNIFVuaXZlcnNpdHksIENvbGxlZ2Ug
U3RhdGlvbiwgVFgsIDc3ODQzLTQ0NzUsIFVTQS4ganRob21wc29uQGN2bS50YW11LmVkdS48L2F1
dGgtYWRkcmVzcz48dGl0bGVzPjx0aXRsZT5BbiBldmFsdWF0aW9uIG9mIHdoZXRoZXIgYSBnZXN0
YXRpb25hbCB3ZWlnaHQgZ2FpbiBvZiA1IHRvIDkga2cgZm9yIG9iZXNlIHdvbWVuIG9wdGltaXpl
cyBtYXRlcm5hbCBhbmQgbmVvbmF0YWwgaGVhbHRoIHJpc2tzPC90aXRsZT48c2Vjb25kYXJ5LXRp
dGxlPkJNQyBQcmVnbmFuY3kgQ2hpbGRiaXJ0aDwvc2Vjb25kYXJ5LXRpdGxlPjwvdGl0bGVzPjxw
ZXJpb2RpY2FsPjxmdWxsLXRpdGxlPkJNQyBQcmVnbmFuY3kgQ2hpbGRiaXJ0aDwvZnVsbC10aXRs
ZT48L3BlcmlvZGljYWw+PHBhZ2VzPjEyNjwvcGFnZXM+PHZvbHVtZT4xOTwvdm9sdW1lPjxudW1i
ZXI+MTwvbnVtYmVyPjxlZGl0aW9uPjIwMTkvMDQvMTM8L2VkaXRpb24+PGtleXdvcmRzPjxrZXl3
b3JkPkFkdWx0PC9rZXl3b3JkPjxrZXl3b3JkPkJheWVzIFRoZW9yZW08L2tleXdvcmQ+PGtleXdv
cmQ+Qm9keSBNYXNzIEluZGV4PC9rZXl3b3JkPjxrZXl3b3JkPkNlc2FyZWFuIFNlY3Rpb24vc3Rh
dGlzdGljcyAmYW1wOyBudW1lcmljYWwgZGF0YTwva2V5d29yZD48a2V5d29yZD5EYXRhYmFzZXMs
IEZhY3R1YWw8L2tleXdvcmQ+PGtleXdvcmQ+RmVtYWxlPC9rZXl3b3JkPjxrZXl3b3JkPkZldGFs
IE1hY3Jvc29taWEvZXBpZGVtaW9sb2d5L2V0aW9sb2d5PC9rZXl3b3JkPjxrZXl3b3JkPipHZXN0
YXRpb25hbCBXZWlnaHQgR2Fpbjwva2V5d29yZD48a2V5d29yZD5IdW1hbnM8L2tleXdvcmQ+PGtl
eXdvcmQ+SHlwZXJ0ZW5zaW9uLCBQcmVnbmFuY3ktSW5kdWNlZC9lcGlkZW1pb2xvZ3kvZXRpb2xv
Z3k8L2tleXdvcmQ+PGtleXdvcmQ+SW5mYW50IEhlYWx0aDwva2V5d29yZD48a2V5d29yZD5JbmZh
bnQsIE5ld2Jvcm48L2tleXdvcmQ+PGtleXdvcmQ+T2Jlc2l0eS9jb21wbGljYXRpb25zL2VwaWRl
bWlvbG9neS8qcGh5c2lvcGF0aG9sb2d5PC9rZXl3b3JkPjxrZXl3b3JkPlByZWduYW5jeTwva2V5
d29yZD48a2V5d29yZD5QcmVnbmFuY3kgQ29tcGxpY2F0aW9ucy9lcGlkZW1pb2xvZ3kvZXRpb2xv
Z3kvKnBoeXNpb3BhdGhvbG9neTwva2V5d29yZD48a2V5d29yZD5QcmVnbmFuY3kgT3V0Y29tZS8q
ZXBpZGVtaW9sb2d5PC9rZXl3b3JkPjxrZXl3b3JkPlJpc2sgRmFjdG9yczwva2V5d29yZD48a2V5
d29yZD5Vbml0ZWQgU3RhdGVzL2VwaWRlbWlvbG9neTwva2V5d29yZD48a2V5d29yZD5BZHZlcnNl
IG91dGNvbWVzPC9rZXl3b3JkPjxrZXl3b3JkPkdlc3RhdGlvbmFsIHdlaWdodCBnYWluPC9rZXl3
b3JkPjxrZXl3b3JkPk1hdGVybmFsPC9rZXl3b3JkPjxrZXl3b3JkPk5lb25hdGFsPC9rZXl3b3Jk
Pjwva2V5d29yZHM+PGRhdGVzPjx5ZWFyPjIwMTk8L3llYXI+PHB1Yi1kYXRlcz48ZGF0ZT5BcHIg
MTE8L2RhdGU+PC9wdWItZGF0ZXM+PC9kYXRlcz48aXNibj4xNDcxLTIzOTMgKEVsZWN0cm9uaWMp
JiN4RDsxNDcxLTIzOTMgKExpbmtpbmcpPC9pc2JuPjxhY2Nlc3Npb24tbnVtPjMwOTc1MDg2PC9h
Y2Nlc3Npb24tbnVtPjx1cmxzPjxyZWxhdGVkLXVybHM+PHVybD5odHRwczovL3d3dy5uY2JpLm5s
bS5uaWguZ292L3B1Ym1lZC8zMDk3NTA4NjwvdXJsPjwvcmVsYXRlZC11cmxzPjwvdXJscz48Y3Vz
dG9tMj5QTUM2NDYwODIwPC9jdXN0b20yPjxlbGVjdHJvbmljLXJlc291cmNlLW51bT4xMC4xMTg2
L3MxMjg4NC0wMTktMjI3My16PC9lbGVjdHJvbmljLXJlc291cmNlLW51bT48L3JlY29yZD48L0Np
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349</w:t>
      </w:r>
      <w:r w:rsidR="00D07346">
        <w:fldChar w:fldCharType="end"/>
      </w:r>
      <w:r w:rsidRPr="005A086E">
        <w:t xml:space="preserve"> </w:t>
      </w:r>
      <w:r>
        <w:t xml:space="preserve">found that </w:t>
      </w:r>
      <w:r w:rsidR="00937A3F">
        <w:t xml:space="preserve">weight gain lower than the IOM guidelines among </w:t>
      </w:r>
      <w:r>
        <w:t>o</w:t>
      </w:r>
      <w:r w:rsidRPr="005A086E">
        <w:t xml:space="preserve">bese women reduced </w:t>
      </w:r>
      <w:r w:rsidR="00937A3F">
        <w:t>the risk</w:t>
      </w:r>
      <w:r>
        <w:t xml:space="preserve"> of</w:t>
      </w:r>
      <w:r w:rsidRPr="005A086E">
        <w:t xml:space="preserve"> gestational hypertension, eclampsia, induction of lab</w:t>
      </w:r>
      <w:r w:rsidR="00937A3F">
        <w:t>ou</w:t>
      </w:r>
      <w:r>
        <w:t>r and Caesare</w:t>
      </w:r>
      <w:r w:rsidRPr="005A086E">
        <w:t>an section</w:t>
      </w:r>
      <w:r>
        <w:t xml:space="preserve"> but was also associated </w:t>
      </w:r>
      <w:r w:rsidRPr="005A086E">
        <w:t xml:space="preserve">with increased risks for multiple adverse neonatal outcomes with macrosomia the exception. </w:t>
      </w:r>
    </w:p>
    <w:p w14:paraId="4F4318C7" w14:textId="02D769F4" w:rsidR="00937A3F" w:rsidRPr="00937A3F" w:rsidRDefault="0031360D" w:rsidP="00A37586">
      <w:pPr>
        <w:pStyle w:val="Heading3"/>
      </w:pPr>
      <w:bookmarkStart w:id="171" w:name="_Toc40956531"/>
      <w:r>
        <w:t>Determinants of gestational weight gain</w:t>
      </w:r>
      <w:bookmarkEnd w:id="171"/>
    </w:p>
    <w:p w14:paraId="3F740921" w14:textId="77777777" w:rsidR="000F3D0F" w:rsidRDefault="000F3D0F" w:rsidP="000F3D0F">
      <w:pPr>
        <w:pStyle w:val="Heading4"/>
      </w:pPr>
      <w:r>
        <w:t>Weight gain below guidelines</w:t>
      </w:r>
    </w:p>
    <w:p w14:paraId="69D2E812" w14:textId="3B25B3D1" w:rsidR="00C32F32" w:rsidRDefault="00C32F32" w:rsidP="008C2F2A">
      <w:r>
        <w:t>A systematic review found that women with lower educational attainment had an increased risk of inadequate weight gain (OR 1.3; 95% CI 1.0 to 1.6, p =0.017).</w:t>
      </w:r>
      <w:r w:rsidR="00D07346">
        <w:fldChar w:fldCharType="begin">
          <w:fldData xml:space="preserve">PEVuZE5vdGU+PENpdGU+PEF1dGhvcj5PJmFwb3M7QnJpZW48L0F1dGhvcj48WWVhcj4yMDE5PC9Z
ZWFyPjxSZWNOdW0+MTkzMjwvUmVjTnVtPjxEaXNwbGF5VGV4dD48c3R5bGUgZmFjZT0ic3VwZXJz
Y3JpcHQiIGZvbnQ9IlRyZWJ1Y2hldCBNUyIgc2l6ZT0iOSI+MzUwPC9zdHlsZT48L0Rpc3BsYXlU
ZXh0PjxyZWNvcmQ+PHJlYy1udW1iZXI+MTkzMjwvcmVjLW51bWJlcj48Zm9yZWlnbi1rZXlzPjxr
ZXkgYXBwPSJFTiIgZGItaWQ9ImV4dmFzcmZ4MmR0cmFvZXNhc3hwMnN6c3hhMmRmNTAyNTkyeCIg
dGltZXN0YW1wPSIxNTg4NjU0Mzc5Ij4xOTMyPC9rZXk+PGtleSBhcHA9IkVOV2ViIiBkYi1pZD0i
Ij4wPC9rZXk+PC9mb3JlaWduLWtleXM+PHJlZi10eXBlIG5hbWU9IkpvdXJuYWwgQXJ0aWNsZSI+
MTc8L3JlZi10eXBlPjxjb250cmlidXRvcnM+PGF1dGhvcnM+PGF1dGhvcj5PJmFwb3M7QnJpZW4s
IEUuIEMuPC9hdXRob3I+PGF1dGhvcj5TZWd1cmFkbywgUi48L2F1dGhvcj48YXV0aG9yPkdlcmFn
aHR5LCBBLiBBLjwvYXV0aG9yPjxhdXRob3I+QWxiZXJkaSwgRy48L2F1dGhvcj48YXV0aG9yPlJv
Z296aW5za2EsIEUuPC9hdXRob3I+PGF1dGhvcj5Bc3RydXAsIEEuPC9hdXRob3I+PGF1dGhvcj5C
YXJha2F0IENhcmJhbGxvLCBSLjwvYXV0aG9yPjxhdXRob3I+Qm9nYWVydHMsIEEuPC9hdXRob3I+
PGF1dGhvcj5DZWNhdHRpLCBKLiBHLjwvYXV0aG9yPjxhdXRob3I+Q29vbWFyYXNhbXksIEEuPC9h
dXRob3I+PGF1dGhvcj5kZSBHcm9vdCwgQy4gSi4gTS48L2F1dGhvcj48YXV0aG9yPkRldmxpZWdl
ciwgUi48L2F1dGhvcj48YXV0aG9yPkRvZGQsIEouIE0uPC9hdXRob3I+PGF1dGhvcj5FbCBCZWx0
YWd5LCBOLjwvYXV0aG9yPjxhdXRob3I+RmFjY2hpbmV0dGksIEYuPC9hdXRob3I+PGF1dGhvcj5H
ZWlrZXIsIE4uPC9hdXRob3I+PGF1dGhvcj5HdWVsZmksIEsuPC9hdXRob3I+PGF1dGhvcj5IYWFr
c3RhZCwgTC48L2F1dGhvcj48YXV0aG9yPkhhcnJpc29uLCBDLjwvYXV0aG9yPjxhdXRob3I+SGF1
bmVyLCBILjwvYXV0aG9yPjxhdXRob3I+SmVuc2VuLCBELiBNLjwvYXV0aG9yPjxhdXRob3I+S2hh
biwgSy48L2F1dGhvcj48YXV0aG9yPktpbm51bmVuLCBULiBJLjwvYXV0aG9yPjxhdXRob3I+THVv
dG8sIFIuPC9hdXRob3I+PGF1dGhvcj5XaWxsZW0gTW9sLCBCLjwvYXV0aG9yPjxhdXRob3I+TW9y
a3ZlZCwgUy48L2F1dGhvcj48YXV0aG9yPk1vdGFoYXJpLVRhYmFyaSwgTi48L2F1dGhvcj48YXV0
aG9yPk93ZW5zLCBKLiBBLjwvYXV0aG9yPjxhdXRob3I+UGVyYWxlcywgTS48L2F1dGhvcj48YXV0
aG9yPlBldHJlbGxhLCBFLjwvYXV0aG9yPjxhdXRob3I+UGhlbGFuLCBTLjwvYXV0aG9yPjxhdXRo
b3I+UG9zdG9uLCBMLjwvYXV0aG9yPjxhdXRob3I+UmF1aCwgSy48L2F1dGhvcj48YXV0aG9yPlJh
eWFuYWdvdWRhciwgRy48L2F1dGhvcj48YXV0aG9yPlJlbmF1bHQsIEsuIE0uPC9hdXRob3I+PGF1
dGhvcj5SdWlmcm9rLCBBLiBFLjwvYXV0aG9yPjxhdXRob3I+U2FnZWRhbCwgTC48L2F1dGhvcj48
YXV0aG9yPlNhbHZlc2VuLCBLLiBBLjwvYXV0aG9yPjxhdXRob3I+U2N1ZGVsbGVyLCBULiBULjwv
YXV0aG9yPjxhdXRob3I+U2hlbiwgRy48L2F1dGhvcj48YXV0aG9yPlNodWIsIEEuPC9hdXRob3I+
PGF1dGhvcj5TdGFmbmUsIFMuIE4uPC9hdXRob3I+PGF1dGhvcj5TdXJpdGEsIEYuIEcuPC9hdXRo
b3I+PGF1dGhvcj5UaGFuZ2FyYXRpbmFtLCBTLjwvYXV0aG9yPjxhdXRob3I+VG9uc3RhZCwgUy48
L2F1dGhvcj48YXV0aG9yPnZhbiBQb3BwZWwsIE0uIE4uIE0uPC9hdXRob3I+PGF1dGhvcj5WaW50
ZXIsIEMuPC9hdXRob3I+PGF1dGhvcj5WaXN0YWQsIEkuPC9hdXRob3I+PGF1dGhvcj5ZZW8sIFMu
PC9hdXRob3I+PGF1dGhvcj5NY0F1bGlmZmUsIEYuIE0uPC9hdXRob3I+PGF1dGhvcj5pLCBXLiBJ
LiBQLiBDb2xsYWJvcmF0aXZlIEdyb3VwPC9hdXRob3I+PC9hdXRob3JzPjwvY29udHJpYnV0b3Jz
PjxhdXRoLWFkZHJlc3M+VUNEIFBlcmluYXRhbCBSZXNlYXJjaCBDZW50cmUsIE9ic3RldHJpY3Mg
YW5kIEd5bmFlY29sb2d5LCBVQ0QgU2Nob29sIG9mIE1lZGljaW5lLCBVbml2ZXJzaXR5IENvbGxl
Z2UgRHVibGluLCBEdWJsaW4sIElyZWxhbmQuJiN4RDtDZW50cmUgZm9yIFN1cHBvcnQgYW5kIFRy
YWluaW5nIGluIEFuYWx5c2lzIGFuZCBSZXNlYXJjaCAoQ1NUQVIpLCBTY2hvb2wgb2YgUHVibGlj
IEhlYWx0aCwgUGh5c2lvdGhlcmFweSBhbmQgU3BvcnRzIFNjaWVuY2UsIFVuaXZlcnNpdHkgQ29s
bGVnZSBEdWJsaW4sIER1YmxpbiwgSXJlbGFuZC4mI3hEO1dvbWVuJmFwb3M7cyBIZWFsdGggUmVz
ZWFyY2ggVW5pdCwgQmFydHMgYW5kIFRoZSBMb25kb24gU2Nob29sIG9mIE1lZGljaW5lIGFuZCBE
ZW50aXN0cnksIFF1ZWVuIE1hcnkgVW5pdmVyc2l0eSBvZiBMb25kb24sIExvbmRvbiwgVUsuJiN4
RDtNdWx0aWRpc2NpcGxpbmFyeSBFdmlkZW5jZSBTeW50aGVzaXMgSHViIChtRXNoKSwgQmFydHMg
YW5kIFRoZSBMb25kb24gU2Nob29sIG9mIE1lZGljaW5lIGFuZCBEZW50aXN0cnksIFF1ZWVuIE1h
cnkgVW5pdmVyc2l0eSBvZiBMb25kb24sIExvbmRvbiwgVUsuJiN4RDtEZXBhcnRtZW50IG9mIE51
dHJpdGlvbiwgRXhlcmNpc2UgYW5kIFNwb3J0cywgVW5pdmVzaXR5IG9mIENvcGVuaGFnZW4sIENv
cGVuaGFnZW4sIERlbm1hcmsuJiN4RDtGYWN1bHRhZCBkZSBDaWVuY2lhcyBkZSBsYSBBY3Rpdmlk
YWQgRmlzaWNhIHkgZGVsIERlcG9ydGUgKElORUYpLCBVbml2ZXJzaWRhZCBQb2xpdGVjbmljYSBk
ZSBNYWRyaWQsIE1hZHJpZCwgU3BhaW4uJiN4RDtEZXBhcnRtZW50IG9mIERldmVsb3BtZW50IGFu
ZCBSZWdlbmVyYXRpb24gS1UgTGV1dmVuLCBVbml2ZXJzaXR5IG9mIExldXZlbiwgTGV1dmVuLCBC
ZWxnaXVtLiYjeEQ7RmFjdWx0eSBvZiBIZWFsdGggYW5kIFNvY2lhbCBXb3JrLCBVQyBMZXV2ZW4t
TGltYnVyZywgTGV1dmVuLCBCZWxnaXVtLiYjeEQ7RmFjdWx0eSBvZiBNZWRpY2luZSBhbmQgSGVh
bHRoIFNjaWVuY2VzLCBDZW50cmUgZm9yIFJlc2VhcmNoIGFuZCBJbm5vdmF0aW9uIGluIENhcmUg
KENSSUMpLCBVbml2ZXJzaXR5IG9mIEFudHdlcnAsIEJlbGdpdW0uJiN4RDtPYnN0ZXRyaWNzIGFu
ZCBHeW5lY29sb2d5LCBTY2hvb2wgb2YgTWVkaWNhbCBTY2llbmNlcywgVW5pdmVyc2l0eSBvZiBD
YW1waW5hcywgQ2FtcGluYXMsIEJyYXppbC4mI3hEO1NjaG9vbCBvZiBDbGluaWNhbCBhbmQgRXhw
ZXJpbWVudGFsIE1lZGljaW5lLCBDb2xsZWdlIG9mIE1lZGljYWwgYW5kIERlbnRhbCBTY2llbmNl
cywgVW5pdmVyc2l0eSBvZiBCaXJtaW5naGFtLCBCaXJtaW5naGFtLCBVSy4mI3hEO09ic3RldHJp
Y3MgYW5kIEd5bmFlY29sb2d5LCBGYWN1bHR5IG9mIE1lZGljaW5lLCBWVSBVbml2ZXJzaXR5IE1l
ZGljYWwgQ2VudGVyLCBBbXN0ZXJkYW0sIFRoZSBOZXRoZXJsYW5kcy4mI3hEO0RlcGFydG1lbnQg
b2YgT2JzdGV0cmljcyBhbmQgR3luZWNvbG9neSwgVW5pdmVyc2l0YWlyZSBaaWVrZW5odWl6ZW4g
TGV1dmVuLCBMZXV2ZW4sIEJlbGdpdW0uJiN4RDtPYnN0ZXRyaWNzIGFuZCBHeW5hZWNvbG9neSwg
U2Nob29sIG9mIFBhZWRpYXRyaWNzIGFuZCBSZXByb2R1Y3RpdmUgSGVhbHRoLCBUaGUgVW52ZXJz
aXR5IG9mIEFkZWxhaWRlLCBBZGVsYWlkZSwgQXVzdHJhbGlhLiYjeEQ7RGVwYXJ0bWVudCBvZiBP
YnN0ZXRyaWNzIGFuZCBHeW5lY29sb2d5LCBBbGV4YW5kcmlhIFVuaXZlcnNpdHksIEFsZXhhbmRy
aWEsIEVneXB0LiYjeEQ7TW90aGVyLUluZmFudCBEZXBhcnRtZW50LCBVbml2ZXJzaXR5IG9mIE1v
ZGVuYSBhbmQgUmVnZ2lvIEVtaWxpYSwgTW9kZW5hLCBJdGFseS4mI3hEO0NsaW5pY2FsIE51dHJp
dGlvbiBSZXNlYXJjaCwgQ29wZW5oYWdlbiBVbml2ZXJzaXR5IEhvc3BpdGFsIEhlcmxldi1HZW50
b2Z0ZSwgR2VudG9mdGUsIERlbm1hcmsuJiN4RDtTY2hvb2wgb2YgSHVtYW4gU2NpZW5jZXMsIFRo
ZSBVbml2ZXJzaXR5IG9mIFdlc3Rlcm4gQXVzdHJhbGlhLCBQZXJ0aCwgQXVzdHJhbGlhLiYjeEQ7
RGVwYXJ0bWVudCBvZiBTcG9ydHMgTWVkaWNpbmUsIE5vcndlZ2lhbiBTY2hvb2wgb2YgU3BvcnQg
U2NpZW5jZXMsIE9zbG8sIE5vcndheS4mI3hEO01vbmFzaCBDZW50cmUgZm9yIEhlYWx0aCBSZXNl
YXJjaCBhbmQgSW1wbGVtZW50YXRpb24sIFNjaG9vbCBvZiBQdWJsaWMgSGVhbHRoIGFuZCBQcmV2
ZW50aXZlIE1lZGljaW5lLCBNb25hc2ggVW5pdmVyc2l0eSwgTWVsYm91cm5lLCBWaWN0b3JpYSwg
QXVzdHJhbGlhLiYjeEQ7RWxzZSBLcm9lbmVyLUZyZXNlbml1cy1DZW50ZXIgZm9yIE51dHJpdGlv
bmFsIE1lZGljaW5lLCBLbGluaWt1bSByZWNodHMgZGVyIElzYXIsIFRlY2huaXNjaGUgVW5pdmVy
c2l0YXQgTXVuY2hlbiwgTXVuaWNoLCBHZXJtYW55LiYjeEQ7RGVwYXJ0bWVudCBvZiBFbmRvY3Jp
bm9sb2d5LCBPZGVuc2UgVW5pdmVyc2l0eSBIb3NwaXRhbCwgVW5pdmVyc2l0eSBvZiBTb3V0aGVy
biBEZW5tYXJrLCBPZGVuc2UsIERlbm1hcmsuJiN4RDtIZWFsdGggU2NpZW5jZXMsIEZhY3VsdHkg
b2YgU29jaWFsIFNjaWVuY2VzLCBVbml2ZXJzaXR5IG9mIFRhbXBlcmUsIFRhbXBlcmUsIEZpbmxh
bmQuJiN4RDtSb2JpbnNvbiBJbnN0aXR1dGUsIFNjaG9vbCBvZiBQYWVkaWF0cmljcyBhbmQgUmVw
cm9kdWN0aXZlIEhlYWx0aCwgVGhlIFVuaXZlcnNpdHkgb2YgQWRlbGFpZGUsIEFkZWxhaWRlLCBB
dXN0cmFsaWEuJiN4RDtEZXBhcnRtZW50IG9mIFB1YmxpYyBIZWFsdGggYW5kIEdlbmVyYWwgUHJh
Y3RpY2UsIEZhY3VsdHkgb2YgTWVkaWNpbmUsIE5vcndlZ2lhbiBVbml2ZXJzaXR5IG9mIFNjaWVu
Y2UgYW5kIFRlY2hub2xvZ3ksIFRyb25kaGVpbSwgTm9yd2F5LiYjeEQ7Q2xpbmljYWwgU2Vydmlj
ZXMsIFN0LiBPbGF2cyBIb3NwaXRhbCwgVHJvbmRoZWltIFVuaXZlcnNpdHkgSG9zcGl0YWwsIFRy
b25kaGVpbSwgTm9yd2F5LiYjeEQ7TWlkd2lmZXJ5IERlcGFydG1lbnQsIEZhY3VsdHkgb2YgTnVy
c2luZyBhbmQgTWlkd2lmZXJ5LCBNYXphbmRhcmFuIFVuaXZlcnNpdHkgb2YgTWVkaWNhbCBTY2ll
bmNlLCBTYXJpLCBJcmFuLiYjeEQ7S2luZXNpb2xvZ3kgRGVwYXJ0bWVudCwgQ29sbGVnZSBvZiBT
Y2llbmNlIGFuZCBNYXRoZW1hdGljcywgQ2FsaWZvcm5pYSBQb2x5dGVjaG5pYyBTdGF0ZSBVbml2
ZXJzaXR5LCBTYW4gTHVpcyBPYmlzcG8sIENhbGlmb3JuaWEsIFVTQS4mI3hEO0RlcGFydG1lbnQg
b2YgV29tZW4gYW5kIENoaWxkcmVuJmFwb3M7cyBIZWFsdGgsIFNjaG9vbCBvZiBMaWZlIENvdXJz
ZSBTY2llbmNlcywgS2luZyZhcG9zO3MgQ29sbGVnZSBMb25kb24sIExvbmRvbiwgVUsuJiN4RDtO
dXRyaXRpb24gSW5mb3JtYXRpb24gYW5kIEtub3dsZWRnZSBUcmFuc2ZlciwgQ29tcGV0ZW5jZSBD
ZW50cmUgZm9yIE51dHJpdGlvbiAoS0VybiksIEZyZWlzaW5nLCBHZXJtYW55LiYjeEQ7RGVwYXJ0
bWVudCBvZiBPYnN0ZXRyaWNzIGFuZCBHeW5lY29sb2d5LCBIdmlkb3ZyZSBIb3NwaXRhbCwgVW5p
dmVyc2l0eSBvZiBDb3BlbmhhZ2VuLCBDb3BlbmhhZ2VuLCBEZW5tYXJrLiYjeEQ7T2JzdGV0cmlj
IENsaW5pYywgSnVsaWFuZSBNYXJpZSBDZW50cmV0LCBSaWdzaG9zcGl0YWxldCwgVW5pdmVyc2l0
eSBvZiBDb3BlbmhhZ2VuLCBDb3BlbmhhZ2VuLCBEZW5tYXJrLiYjeEQ7RGVwYXJ0bWVudCBvZiBP
YnN0ZXRyaWNzIGFuZCBHeW5hZWNvbG9neSwgQWNhZGVtaXNjaCBNZWRpc2NoIENlbnRydW0gVW5p
dmVyc2l0ZWl0IHZhbiBBbXN0ZXJkYW0sIEFtc3RlcmRhbSwgVGhlIE5ldGhlcmxhbmRzLiYjeEQ7
RGVwYXJ0bWVudCBvZiBPYnN0ZXRyaWNzIGFuZCBHeW5lY29sb2d5LCBTb3JsYW5kZXQgSG9zcGl0
YWwsIEtyaXN0aWFuc2FuZCwgTm9yd2F5LiYjeEQ7RGVwYXJ0bWVudCBvZiBPYnN0ZXRyaWNzIGFu
ZCBHeW5hZWNvbG9neSwgU3QuIE9sYXZzIEhvc3BpdGFsLCBUcm9uZGhlaW0gVW5pdmVyc2l0eSBI
b3NwaXRhbCwgVHJvbmRoZWltLCBOb3J3YXkuJiN4RDtEZXBhcnRtZW50IG9mIExhYm9yYXRvcnkg
TWVkaWNpbmUgQ2hpbGRyZW4mYXBvcztzIGFuZCBXb21lbiZhcG9zO3MgSGVhbHRoLCBOb3J3ZWdp
YW4gVW5pdmVyc2l0eSBvZiBTY2llbmNlIGFuZCBUZWNobm9sb2d5LCBUcm9uZGhlaW0sIE5vcndh
eS4mI3hEO0RlcGFydG1lbnQgb2YgTWFuYWdlbWVudCBhbmQgSGVhbHRoIENhcmUsIFVuaXZlcnNp
ZGFkZSBGZWRlcmFsIGRlIFNhbyBQYXVsbywgU2FvIFBhdWxvLCBCcmF6aWwuJiN4RDtEZXBhcnRt
ZW50IG9mIEludGVybmFsIE1lZGljaW5lLCBVbml2ZXJzaXR5IG9mIE1hbml0b2JhIENvbGxlZ2Ug
b2YgTWVkaWNpbmUsIFdpbm5pcGVnLCBDYW5hZGEuJiN4RDtPYnN0ZXRyaWNzIGFuZCBHeW5hZWNv
bG9neSwgVW5pdmVyc2l0eSBvZiBNZWxib3VybmUsIFZpY3RvcmlhLCBBdXN0cmFsaWEuJiN4RDtE
ZXBhcnRtZW50IG9mIE9ic3RldHJpY3MgYW5kIEd5bmVjb2xvZ3ksIE9zbG8gVW5pdmVyc2l0eSBI
b3NwaXRhbCwgT3NsbywgTm9yd2F5LiYjeEQ7RGVwYXJ0bWVudCBvZiBQdWJsaWMgYW5kIE9jY3Vw
YXRpb25hbCBIZWFsdGgsIFZVIFVuaXZlcnNpdHkgTWVkaWNhbCBDZW50ZXIsIEFtc3RlcmRhbSwg
VGhlIE5ldGhlcmxhbmRzLiYjeEQ7RGVwYXJ0bWVudCBvZiBPYnN0ZXRyaWNzIGFuZCBHeW5lY29s
b2d5LCBPZGVuc2UgVW5pdmVyc2l0eSBIb3NwaXRhbCwgVW5pdmVyc2l0eSBvZiBTb3V0aGVybiBE
ZW5tYXJrLCBPZGVuc2UsIERlbm1hcmsuJiN4RDtTY2hvb2wgb2YgTnVyc2luZywgVW5pdmVyc2l0
eSBvZiBOb3J0aCBDYXJvbGluYSBhdCBDaGFwZWwgSGlsbCwgQ2hhcGVsIEhpbGwsIE5vcnRoIENh
cm9saW5hLCBVU0EuPC9hdXRoLWFkZHJlc3M+PHRpdGxlcz48dGl0bGU+SW1wYWN0IG9mIG1hdGVy
bmFsIGVkdWNhdGlvbiBvbiByZXNwb25zZSB0byBsaWZlc3R5bGUgaW50ZXJ2ZW50aW9ucyB0byBy
ZWR1Y2UgZ2VzdGF0aW9uYWwgd2VpZ2h0IGdhaW46IGluZGl2aWR1YWwgcGFydGljaXBhbnQgZGF0
YSBtZXRhLWFuYWx5c2lzPC90aXRsZT48c2Vjb25kYXJ5LXRpdGxlPkJNSiBPcGVuPC9zZWNvbmRh
cnktdGl0bGU+PC90aXRsZXM+PHBlcmlvZGljYWw+PGZ1bGwtdGl0bGU+Qk1KIE9wZW48L2Z1bGwt
dGl0bGU+PC9wZXJpb2RpY2FsPjxwYWdlcz5lMDI1NjIwPC9wYWdlcz48dm9sdW1lPjk8L3ZvbHVt
ZT48bnVtYmVyPjg8L251bWJlcj48ZWRpdGlvbj4yMDE5LzA4LzA0PC9lZGl0aW9uPjxrZXl3b3Jk
cz48a2V5d29yZD4qaW5lcXVhbGl0aWVzPC9rZXl3b3JkPjxrZXl3b3JkPipsaWZlc3R5bGUgaW50
ZXJ2ZW50aW9uczwva2V5d29yZD48a2V5d29yZD4qbnV0cml0aW9uPC9rZXl3b3JkPjxrZXl3b3Jk
PipwcmVnbmFuY3k8L2tleXdvcmQ+PGtleXdvcmQ+KnNvY2lvZWNvbm9taWMgc3RhdHVzPC9rZXl3
b3JkPjwva2V5d29yZHM+PGRhdGVzPjx5ZWFyPjIwMTk8L3llYXI+PHB1Yi1kYXRlcz48ZGF0ZT5B
dWcgMTwvZGF0ZT48L3B1Yi1kYXRlcz48L2RhdGVzPjxpc2JuPjIwNDQtNjA1NSAoRWxlY3Ryb25p
YykmI3hEOzIwNDQtNjA1NSAoTGlua2luZyk8L2lzYm4+PGFjY2Vzc2lvbi1udW0+MzEzNzU2MDI8
L2FjY2Vzc2lvbi1udW0+PHVybHM+PHJlbGF0ZWQtdXJscz48dXJsPmh0dHBzOi8vd3d3Lm5jYmku
bmxtLm5paC5nb3YvcHVibWVkLzMxMzc1NjAyPC91cmw+PC9yZWxhdGVkLXVybHM+PC91cmxzPjxj
dXN0b20yPlBNQzY2ODg2OTA8L2N1c3RvbTI+PGVsZWN0cm9uaWMtcmVzb3VyY2UtbnVtPjEwLjEx
MzYvYm1qb3Blbi0yMDE4LTAyNTYyMDwvZWxlY3Ryb25pYy1yZXNvdXJjZS1udW0+PC9yZWNvcmQ+
PC9DaXRlPjwvRW5kTm90ZT5=
</w:fldData>
        </w:fldChar>
      </w:r>
      <w:r w:rsidR="002747EA">
        <w:instrText xml:space="preserve"> ADDIN EN.CITE </w:instrText>
      </w:r>
      <w:r w:rsidR="002747EA">
        <w:fldChar w:fldCharType="begin">
          <w:fldData xml:space="preserve">PEVuZE5vdGU+PENpdGU+PEF1dGhvcj5PJmFwb3M7QnJpZW48L0F1dGhvcj48WWVhcj4yMDE5PC9Z
ZWFyPjxSZWNOdW0+MTkzMjwvUmVjTnVtPjxEaXNwbGF5VGV4dD48c3R5bGUgZmFjZT0ic3VwZXJz
Y3JpcHQiIGZvbnQ9IlRyZWJ1Y2hldCBNUyIgc2l6ZT0iOSI+MzUwPC9zdHlsZT48L0Rpc3BsYXlU
ZXh0PjxyZWNvcmQ+PHJlYy1udW1iZXI+MTkzMjwvcmVjLW51bWJlcj48Zm9yZWlnbi1rZXlzPjxr
ZXkgYXBwPSJFTiIgZGItaWQ9ImV4dmFzcmZ4MmR0cmFvZXNhc3hwMnN6c3hhMmRmNTAyNTkyeCIg
dGltZXN0YW1wPSIxNTg4NjU0Mzc5Ij4xOTMyPC9rZXk+PGtleSBhcHA9IkVOV2ViIiBkYi1pZD0i
Ij4wPC9rZXk+PC9mb3JlaWduLWtleXM+PHJlZi10eXBlIG5hbWU9IkpvdXJuYWwgQXJ0aWNsZSI+
MTc8L3JlZi10eXBlPjxjb250cmlidXRvcnM+PGF1dGhvcnM+PGF1dGhvcj5PJmFwb3M7QnJpZW4s
IEUuIEMuPC9hdXRob3I+PGF1dGhvcj5TZWd1cmFkbywgUi48L2F1dGhvcj48YXV0aG9yPkdlcmFn
aHR5LCBBLiBBLjwvYXV0aG9yPjxhdXRob3I+QWxiZXJkaSwgRy48L2F1dGhvcj48YXV0aG9yPlJv
Z296aW5za2EsIEUuPC9hdXRob3I+PGF1dGhvcj5Bc3RydXAsIEEuPC9hdXRob3I+PGF1dGhvcj5C
YXJha2F0IENhcmJhbGxvLCBSLjwvYXV0aG9yPjxhdXRob3I+Qm9nYWVydHMsIEEuPC9hdXRob3I+
PGF1dGhvcj5DZWNhdHRpLCBKLiBHLjwvYXV0aG9yPjxhdXRob3I+Q29vbWFyYXNhbXksIEEuPC9h
dXRob3I+PGF1dGhvcj5kZSBHcm9vdCwgQy4gSi4gTS48L2F1dGhvcj48YXV0aG9yPkRldmxpZWdl
ciwgUi48L2F1dGhvcj48YXV0aG9yPkRvZGQsIEouIE0uPC9hdXRob3I+PGF1dGhvcj5FbCBCZWx0
YWd5LCBOLjwvYXV0aG9yPjxhdXRob3I+RmFjY2hpbmV0dGksIEYuPC9hdXRob3I+PGF1dGhvcj5H
ZWlrZXIsIE4uPC9hdXRob3I+PGF1dGhvcj5HdWVsZmksIEsuPC9hdXRob3I+PGF1dGhvcj5IYWFr
c3RhZCwgTC48L2F1dGhvcj48YXV0aG9yPkhhcnJpc29uLCBDLjwvYXV0aG9yPjxhdXRob3I+SGF1
bmVyLCBILjwvYXV0aG9yPjxhdXRob3I+SmVuc2VuLCBELiBNLjwvYXV0aG9yPjxhdXRob3I+S2hh
biwgSy48L2F1dGhvcj48YXV0aG9yPktpbm51bmVuLCBULiBJLjwvYXV0aG9yPjxhdXRob3I+THVv
dG8sIFIuPC9hdXRob3I+PGF1dGhvcj5XaWxsZW0gTW9sLCBCLjwvYXV0aG9yPjxhdXRob3I+TW9y
a3ZlZCwgUy48L2F1dGhvcj48YXV0aG9yPk1vdGFoYXJpLVRhYmFyaSwgTi48L2F1dGhvcj48YXV0
aG9yPk93ZW5zLCBKLiBBLjwvYXV0aG9yPjxhdXRob3I+UGVyYWxlcywgTS48L2F1dGhvcj48YXV0
aG9yPlBldHJlbGxhLCBFLjwvYXV0aG9yPjxhdXRob3I+UGhlbGFuLCBTLjwvYXV0aG9yPjxhdXRo
b3I+UG9zdG9uLCBMLjwvYXV0aG9yPjxhdXRob3I+UmF1aCwgSy48L2F1dGhvcj48YXV0aG9yPlJh
eWFuYWdvdWRhciwgRy48L2F1dGhvcj48YXV0aG9yPlJlbmF1bHQsIEsuIE0uPC9hdXRob3I+PGF1
dGhvcj5SdWlmcm9rLCBBLiBFLjwvYXV0aG9yPjxhdXRob3I+U2FnZWRhbCwgTC48L2F1dGhvcj48
YXV0aG9yPlNhbHZlc2VuLCBLLiBBLjwvYXV0aG9yPjxhdXRob3I+U2N1ZGVsbGVyLCBULiBULjwv
YXV0aG9yPjxhdXRob3I+U2hlbiwgRy48L2F1dGhvcj48YXV0aG9yPlNodWIsIEEuPC9hdXRob3I+
PGF1dGhvcj5TdGFmbmUsIFMuIE4uPC9hdXRob3I+PGF1dGhvcj5TdXJpdGEsIEYuIEcuPC9hdXRo
b3I+PGF1dGhvcj5UaGFuZ2FyYXRpbmFtLCBTLjwvYXV0aG9yPjxhdXRob3I+VG9uc3RhZCwgUy48
L2F1dGhvcj48YXV0aG9yPnZhbiBQb3BwZWwsIE0uIE4uIE0uPC9hdXRob3I+PGF1dGhvcj5WaW50
ZXIsIEMuPC9hdXRob3I+PGF1dGhvcj5WaXN0YWQsIEkuPC9hdXRob3I+PGF1dGhvcj5ZZW8sIFMu
PC9hdXRob3I+PGF1dGhvcj5NY0F1bGlmZmUsIEYuIE0uPC9hdXRob3I+PGF1dGhvcj5pLCBXLiBJ
LiBQLiBDb2xsYWJvcmF0aXZlIEdyb3VwPC9hdXRob3I+PC9hdXRob3JzPjwvY29udHJpYnV0b3Jz
PjxhdXRoLWFkZHJlc3M+VUNEIFBlcmluYXRhbCBSZXNlYXJjaCBDZW50cmUsIE9ic3RldHJpY3Mg
YW5kIEd5bmFlY29sb2d5LCBVQ0QgU2Nob29sIG9mIE1lZGljaW5lLCBVbml2ZXJzaXR5IENvbGxl
Z2UgRHVibGluLCBEdWJsaW4sIElyZWxhbmQuJiN4RDtDZW50cmUgZm9yIFN1cHBvcnQgYW5kIFRy
YWluaW5nIGluIEFuYWx5c2lzIGFuZCBSZXNlYXJjaCAoQ1NUQVIpLCBTY2hvb2wgb2YgUHVibGlj
IEhlYWx0aCwgUGh5c2lvdGhlcmFweSBhbmQgU3BvcnRzIFNjaWVuY2UsIFVuaXZlcnNpdHkgQ29s
bGVnZSBEdWJsaW4sIER1YmxpbiwgSXJlbGFuZC4mI3hEO1dvbWVuJmFwb3M7cyBIZWFsdGggUmVz
ZWFyY2ggVW5pdCwgQmFydHMgYW5kIFRoZSBMb25kb24gU2Nob29sIG9mIE1lZGljaW5lIGFuZCBE
ZW50aXN0cnksIFF1ZWVuIE1hcnkgVW5pdmVyc2l0eSBvZiBMb25kb24sIExvbmRvbiwgVUsuJiN4
RDtNdWx0aWRpc2NpcGxpbmFyeSBFdmlkZW5jZSBTeW50aGVzaXMgSHViIChtRXNoKSwgQmFydHMg
YW5kIFRoZSBMb25kb24gU2Nob29sIG9mIE1lZGljaW5lIGFuZCBEZW50aXN0cnksIFF1ZWVuIE1h
cnkgVW5pdmVyc2l0eSBvZiBMb25kb24sIExvbmRvbiwgVUsuJiN4RDtEZXBhcnRtZW50IG9mIE51
dHJpdGlvbiwgRXhlcmNpc2UgYW5kIFNwb3J0cywgVW5pdmVzaXR5IG9mIENvcGVuaGFnZW4sIENv
cGVuaGFnZW4sIERlbm1hcmsuJiN4RDtGYWN1bHRhZCBkZSBDaWVuY2lhcyBkZSBsYSBBY3Rpdmlk
YWQgRmlzaWNhIHkgZGVsIERlcG9ydGUgKElORUYpLCBVbml2ZXJzaWRhZCBQb2xpdGVjbmljYSBk
ZSBNYWRyaWQsIE1hZHJpZCwgU3BhaW4uJiN4RDtEZXBhcnRtZW50IG9mIERldmVsb3BtZW50IGFu
ZCBSZWdlbmVyYXRpb24gS1UgTGV1dmVuLCBVbml2ZXJzaXR5IG9mIExldXZlbiwgTGV1dmVuLCBC
ZWxnaXVtLiYjeEQ7RmFjdWx0eSBvZiBIZWFsdGggYW5kIFNvY2lhbCBXb3JrLCBVQyBMZXV2ZW4t
TGltYnVyZywgTGV1dmVuLCBCZWxnaXVtLiYjeEQ7RmFjdWx0eSBvZiBNZWRpY2luZSBhbmQgSGVh
bHRoIFNjaWVuY2VzLCBDZW50cmUgZm9yIFJlc2VhcmNoIGFuZCBJbm5vdmF0aW9uIGluIENhcmUg
KENSSUMpLCBVbml2ZXJzaXR5IG9mIEFudHdlcnAsIEJlbGdpdW0uJiN4RDtPYnN0ZXRyaWNzIGFu
ZCBHeW5lY29sb2d5LCBTY2hvb2wgb2YgTWVkaWNhbCBTY2llbmNlcywgVW5pdmVyc2l0eSBvZiBD
YW1waW5hcywgQ2FtcGluYXMsIEJyYXppbC4mI3hEO1NjaG9vbCBvZiBDbGluaWNhbCBhbmQgRXhw
ZXJpbWVudGFsIE1lZGljaW5lLCBDb2xsZWdlIG9mIE1lZGljYWwgYW5kIERlbnRhbCBTY2llbmNl
cywgVW5pdmVyc2l0eSBvZiBCaXJtaW5naGFtLCBCaXJtaW5naGFtLCBVSy4mI3hEO09ic3RldHJp
Y3MgYW5kIEd5bmFlY29sb2d5LCBGYWN1bHR5IG9mIE1lZGljaW5lLCBWVSBVbml2ZXJzaXR5IE1l
ZGljYWwgQ2VudGVyLCBBbXN0ZXJkYW0sIFRoZSBOZXRoZXJsYW5kcy4mI3hEO0RlcGFydG1lbnQg
b2YgT2JzdGV0cmljcyBhbmQgR3luZWNvbG9neSwgVW5pdmVyc2l0YWlyZSBaaWVrZW5odWl6ZW4g
TGV1dmVuLCBMZXV2ZW4sIEJlbGdpdW0uJiN4RDtPYnN0ZXRyaWNzIGFuZCBHeW5hZWNvbG9neSwg
U2Nob29sIG9mIFBhZWRpYXRyaWNzIGFuZCBSZXByb2R1Y3RpdmUgSGVhbHRoLCBUaGUgVW52ZXJz
aXR5IG9mIEFkZWxhaWRlLCBBZGVsYWlkZSwgQXVzdHJhbGlhLiYjeEQ7RGVwYXJ0bWVudCBvZiBP
YnN0ZXRyaWNzIGFuZCBHeW5lY29sb2d5LCBBbGV4YW5kcmlhIFVuaXZlcnNpdHksIEFsZXhhbmRy
aWEsIEVneXB0LiYjeEQ7TW90aGVyLUluZmFudCBEZXBhcnRtZW50LCBVbml2ZXJzaXR5IG9mIE1v
ZGVuYSBhbmQgUmVnZ2lvIEVtaWxpYSwgTW9kZW5hLCBJdGFseS4mI3hEO0NsaW5pY2FsIE51dHJp
dGlvbiBSZXNlYXJjaCwgQ29wZW5oYWdlbiBVbml2ZXJzaXR5IEhvc3BpdGFsIEhlcmxldi1HZW50
b2Z0ZSwgR2VudG9mdGUsIERlbm1hcmsuJiN4RDtTY2hvb2wgb2YgSHVtYW4gU2NpZW5jZXMsIFRo
ZSBVbml2ZXJzaXR5IG9mIFdlc3Rlcm4gQXVzdHJhbGlhLCBQZXJ0aCwgQXVzdHJhbGlhLiYjeEQ7
RGVwYXJ0bWVudCBvZiBTcG9ydHMgTWVkaWNpbmUsIE5vcndlZ2lhbiBTY2hvb2wgb2YgU3BvcnQg
U2NpZW5jZXMsIE9zbG8sIE5vcndheS4mI3hEO01vbmFzaCBDZW50cmUgZm9yIEhlYWx0aCBSZXNl
YXJjaCBhbmQgSW1wbGVtZW50YXRpb24sIFNjaG9vbCBvZiBQdWJsaWMgSGVhbHRoIGFuZCBQcmV2
ZW50aXZlIE1lZGljaW5lLCBNb25hc2ggVW5pdmVyc2l0eSwgTWVsYm91cm5lLCBWaWN0b3JpYSwg
QXVzdHJhbGlhLiYjeEQ7RWxzZSBLcm9lbmVyLUZyZXNlbml1cy1DZW50ZXIgZm9yIE51dHJpdGlv
bmFsIE1lZGljaW5lLCBLbGluaWt1bSByZWNodHMgZGVyIElzYXIsIFRlY2huaXNjaGUgVW5pdmVy
c2l0YXQgTXVuY2hlbiwgTXVuaWNoLCBHZXJtYW55LiYjeEQ7RGVwYXJ0bWVudCBvZiBFbmRvY3Jp
bm9sb2d5LCBPZGVuc2UgVW5pdmVyc2l0eSBIb3NwaXRhbCwgVW5pdmVyc2l0eSBvZiBTb3V0aGVy
biBEZW5tYXJrLCBPZGVuc2UsIERlbm1hcmsuJiN4RDtIZWFsdGggU2NpZW5jZXMsIEZhY3VsdHkg
b2YgU29jaWFsIFNjaWVuY2VzLCBVbml2ZXJzaXR5IG9mIFRhbXBlcmUsIFRhbXBlcmUsIEZpbmxh
bmQuJiN4RDtSb2JpbnNvbiBJbnN0aXR1dGUsIFNjaG9vbCBvZiBQYWVkaWF0cmljcyBhbmQgUmVw
cm9kdWN0aXZlIEhlYWx0aCwgVGhlIFVuaXZlcnNpdHkgb2YgQWRlbGFpZGUsIEFkZWxhaWRlLCBB
dXN0cmFsaWEuJiN4RDtEZXBhcnRtZW50IG9mIFB1YmxpYyBIZWFsdGggYW5kIEdlbmVyYWwgUHJh
Y3RpY2UsIEZhY3VsdHkgb2YgTWVkaWNpbmUsIE5vcndlZ2lhbiBVbml2ZXJzaXR5IG9mIFNjaWVu
Y2UgYW5kIFRlY2hub2xvZ3ksIFRyb25kaGVpbSwgTm9yd2F5LiYjeEQ7Q2xpbmljYWwgU2Vydmlj
ZXMsIFN0LiBPbGF2cyBIb3NwaXRhbCwgVHJvbmRoZWltIFVuaXZlcnNpdHkgSG9zcGl0YWwsIFRy
b25kaGVpbSwgTm9yd2F5LiYjeEQ7TWlkd2lmZXJ5IERlcGFydG1lbnQsIEZhY3VsdHkgb2YgTnVy
c2luZyBhbmQgTWlkd2lmZXJ5LCBNYXphbmRhcmFuIFVuaXZlcnNpdHkgb2YgTWVkaWNhbCBTY2ll
bmNlLCBTYXJpLCBJcmFuLiYjeEQ7S2luZXNpb2xvZ3kgRGVwYXJ0bWVudCwgQ29sbGVnZSBvZiBT
Y2llbmNlIGFuZCBNYXRoZW1hdGljcywgQ2FsaWZvcm5pYSBQb2x5dGVjaG5pYyBTdGF0ZSBVbml2
ZXJzaXR5LCBTYW4gTHVpcyBPYmlzcG8sIENhbGlmb3JuaWEsIFVTQS4mI3hEO0RlcGFydG1lbnQg
b2YgV29tZW4gYW5kIENoaWxkcmVuJmFwb3M7cyBIZWFsdGgsIFNjaG9vbCBvZiBMaWZlIENvdXJz
ZSBTY2llbmNlcywgS2luZyZhcG9zO3MgQ29sbGVnZSBMb25kb24sIExvbmRvbiwgVUsuJiN4RDtO
dXRyaXRpb24gSW5mb3JtYXRpb24gYW5kIEtub3dsZWRnZSBUcmFuc2ZlciwgQ29tcGV0ZW5jZSBD
ZW50cmUgZm9yIE51dHJpdGlvbiAoS0VybiksIEZyZWlzaW5nLCBHZXJtYW55LiYjeEQ7RGVwYXJ0
bWVudCBvZiBPYnN0ZXRyaWNzIGFuZCBHeW5lY29sb2d5LCBIdmlkb3ZyZSBIb3NwaXRhbCwgVW5p
dmVyc2l0eSBvZiBDb3BlbmhhZ2VuLCBDb3BlbmhhZ2VuLCBEZW5tYXJrLiYjeEQ7T2JzdGV0cmlj
IENsaW5pYywgSnVsaWFuZSBNYXJpZSBDZW50cmV0LCBSaWdzaG9zcGl0YWxldCwgVW5pdmVyc2l0
eSBvZiBDb3BlbmhhZ2VuLCBDb3BlbmhhZ2VuLCBEZW5tYXJrLiYjeEQ7RGVwYXJ0bWVudCBvZiBP
YnN0ZXRyaWNzIGFuZCBHeW5hZWNvbG9neSwgQWNhZGVtaXNjaCBNZWRpc2NoIENlbnRydW0gVW5p
dmVyc2l0ZWl0IHZhbiBBbXN0ZXJkYW0sIEFtc3RlcmRhbSwgVGhlIE5ldGhlcmxhbmRzLiYjeEQ7
RGVwYXJ0bWVudCBvZiBPYnN0ZXRyaWNzIGFuZCBHeW5lY29sb2d5LCBTb3JsYW5kZXQgSG9zcGl0
YWwsIEtyaXN0aWFuc2FuZCwgTm9yd2F5LiYjeEQ7RGVwYXJ0bWVudCBvZiBPYnN0ZXRyaWNzIGFu
ZCBHeW5hZWNvbG9neSwgU3QuIE9sYXZzIEhvc3BpdGFsLCBUcm9uZGhlaW0gVW5pdmVyc2l0eSBI
b3NwaXRhbCwgVHJvbmRoZWltLCBOb3J3YXkuJiN4RDtEZXBhcnRtZW50IG9mIExhYm9yYXRvcnkg
TWVkaWNpbmUgQ2hpbGRyZW4mYXBvcztzIGFuZCBXb21lbiZhcG9zO3MgSGVhbHRoLCBOb3J3ZWdp
YW4gVW5pdmVyc2l0eSBvZiBTY2llbmNlIGFuZCBUZWNobm9sb2d5LCBUcm9uZGhlaW0sIE5vcndh
eS4mI3hEO0RlcGFydG1lbnQgb2YgTWFuYWdlbWVudCBhbmQgSGVhbHRoIENhcmUsIFVuaXZlcnNp
ZGFkZSBGZWRlcmFsIGRlIFNhbyBQYXVsbywgU2FvIFBhdWxvLCBCcmF6aWwuJiN4RDtEZXBhcnRt
ZW50IG9mIEludGVybmFsIE1lZGljaW5lLCBVbml2ZXJzaXR5IG9mIE1hbml0b2JhIENvbGxlZ2Ug
b2YgTWVkaWNpbmUsIFdpbm5pcGVnLCBDYW5hZGEuJiN4RDtPYnN0ZXRyaWNzIGFuZCBHeW5hZWNv
bG9neSwgVW5pdmVyc2l0eSBvZiBNZWxib3VybmUsIFZpY3RvcmlhLCBBdXN0cmFsaWEuJiN4RDtE
ZXBhcnRtZW50IG9mIE9ic3RldHJpY3MgYW5kIEd5bmVjb2xvZ3ksIE9zbG8gVW5pdmVyc2l0eSBI
b3NwaXRhbCwgT3NsbywgTm9yd2F5LiYjeEQ7RGVwYXJ0bWVudCBvZiBQdWJsaWMgYW5kIE9jY3Vw
YXRpb25hbCBIZWFsdGgsIFZVIFVuaXZlcnNpdHkgTWVkaWNhbCBDZW50ZXIsIEFtc3RlcmRhbSwg
VGhlIE5ldGhlcmxhbmRzLiYjeEQ7RGVwYXJ0bWVudCBvZiBPYnN0ZXRyaWNzIGFuZCBHeW5lY29s
b2d5LCBPZGVuc2UgVW5pdmVyc2l0eSBIb3NwaXRhbCwgVW5pdmVyc2l0eSBvZiBTb3V0aGVybiBE
ZW5tYXJrLCBPZGVuc2UsIERlbm1hcmsuJiN4RDtTY2hvb2wgb2YgTnVyc2luZywgVW5pdmVyc2l0
eSBvZiBOb3J0aCBDYXJvbGluYSBhdCBDaGFwZWwgSGlsbCwgQ2hhcGVsIEhpbGwsIE5vcnRoIENh
cm9saW5hLCBVU0EuPC9hdXRoLWFkZHJlc3M+PHRpdGxlcz48dGl0bGU+SW1wYWN0IG9mIG1hdGVy
bmFsIGVkdWNhdGlvbiBvbiByZXNwb25zZSB0byBsaWZlc3R5bGUgaW50ZXJ2ZW50aW9ucyB0byBy
ZWR1Y2UgZ2VzdGF0aW9uYWwgd2VpZ2h0IGdhaW46IGluZGl2aWR1YWwgcGFydGljaXBhbnQgZGF0
YSBtZXRhLWFuYWx5c2lzPC90aXRsZT48c2Vjb25kYXJ5LXRpdGxlPkJNSiBPcGVuPC9zZWNvbmRh
cnktdGl0bGU+PC90aXRsZXM+PHBlcmlvZGljYWw+PGZ1bGwtdGl0bGU+Qk1KIE9wZW48L2Z1bGwt
dGl0bGU+PC9wZXJpb2RpY2FsPjxwYWdlcz5lMDI1NjIwPC9wYWdlcz48dm9sdW1lPjk8L3ZvbHVt
ZT48bnVtYmVyPjg8L251bWJlcj48ZWRpdGlvbj4yMDE5LzA4LzA0PC9lZGl0aW9uPjxrZXl3b3Jk
cz48a2V5d29yZD4qaW5lcXVhbGl0aWVzPC9rZXl3b3JkPjxrZXl3b3JkPipsaWZlc3R5bGUgaW50
ZXJ2ZW50aW9uczwva2V5d29yZD48a2V5d29yZD4qbnV0cml0aW9uPC9rZXl3b3JkPjxrZXl3b3Jk
PipwcmVnbmFuY3k8L2tleXdvcmQ+PGtleXdvcmQ+KnNvY2lvZWNvbm9taWMgc3RhdHVzPC9rZXl3
b3JkPjwva2V5d29yZHM+PGRhdGVzPjx5ZWFyPjIwMTk8L3llYXI+PHB1Yi1kYXRlcz48ZGF0ZT5B
dWcgMTwvZGF0ZT48L3B1Yi1kYXRlcz48L2RhdGVzPjxpc2JuPjIwNDQtNjA1NSAoRWxlY3Ryb25p
YykmI3hEOzIwNDQtNjA1NSAoTGlua2luZyk8L2lzYm4+PGFjY2Vzc2lvbi1udW0+MzEzNzU2MDI8
L2FjY2Vzc2lvbi1udW0+PHVybHM+PHJlbGF0ZWQtdXJscz48dXJsPmh0dHBzOi8vd3d3Lm5jYmku
bmxtLm5paC5nb3YvcHVibWVkLzMxMzc1NjAyPC91cmw+PC9yZWxhdGVkLXVybHM+PC91cmxzPjxj
dXN0b20yPlBNQzY2ODg2OTA8L2N1c3RvbTI+PGVsZWN0cm9uaWMtcmVzb3VyY2UtbnVtPjEwLjEx
MzYvYm1qb3Blbi0yMDE4LTAyNTYyMDwvZWxlY3Ryb25pYy1yZXNvdXJjZS1udW0+PC9yZWNvcmQ+
PC9DaXRlPjwvRW5kTm90ZT5=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350</w:t>
      </w:r>
      <w:r w:rsidR="00D07346">
        <w:fldChar w:fldCharType="end"/>
      </w:r>
    </w:p>
    <w:p w14:paraId="02DAB27B" w14:textId="7B235250" w:rsidR="00FA36C3" w:rsidRDefault="00FA36C3" w:rsidP="008C2F2A">
      <w:r>
        <w:t xml:space="preserve">An </w:t>
      </w:r>
      <w:r w:rsidRPr="00FC6AC8">
        <w:t xml:space="preserve">analysis of observational data from a longitudinal cohort study </w:t>
      </w:r>
      <w:r w:rsidR="00275432">
        <w:t>of</w:t>
      </w:r>
      <w:r w:rsidR="00275432" w:rsidRPr="00FC6AC8">
        <w:t xml:space="preserve"> </w:t>
      </w:r>
      <w:r w:rsidR="00275432">
        <w:t>Aboriginal</w:t>
      </w:r>
      <w:r w:rsidR="00275432" w:rsidRPr="00FC6AC8">
        <w:t xml:space="preserve"> women </w:t>
      </w:r>
      <w:r w:rsidR="00275432">
        <w:t>during</w:t>
      </w:r>
      <w:r w:rsidR="00275432" w:rsidRPr="00FC6AC8">
        <w:t xml:space="preserve"> pregnancy</w:t>
      </w:r>
      <w:r w:rsidR="00275432">
        <w:t xml:space="preserve"> (</w:t>
      </w:r>
      <w:r w:rsidR="00275432" w:rsidRPr="00FA36C3">
        <w:rPr>
          <w:sz w:val="16"/>
          <w:szCs w:val="16"/>
        </w:rPr>
        <w:t>n=110</w:t>
      </w:r>
      <w:r w:rsidR="00275432">
        <w:t>)</w:t>
      </w:r>
      <w:r w:rsidR="001A2F28">
        <w:fldChar w:fldCharType="begin">
          <w:fldData xml:space="preserve">PEVuZE5vdGU+PENpdGU+PEF1dGhvcj5TY2h1bWFjaGVyPC9BdXRob3I+PFllYXI+MjAxODwvWWVh
cj48UmVjTnVtPjc3MTwvUmVjTnVtPjxEaXNwbGF5VGV4dD48c3R5bGUgZmFjZT0ic3VwZXJzY3Jp
cHQiIGZvbnQ9IlRyZWJ1Y2hldCBNUyIgc2l6ZT0iOSI+MzUxPC9zdHlsZT48L0Rpc3BsYXlUZXh0
PjxyZWNvcmQ+PHJlYy1udW1iZXI+NzcxPC9yZWMtbnVtYmVyPjxmb3JlaWduLWtleXM+PGtleSBh
cHA9IkVOIiBkYi1pZD0iZXh2YXNyZngyZHRyYW9lc2FzeHAyc3pzeGEyZGY1MDI1OTJ4IiB0aW1l
c3RhbXA9IjE1NDE1NDAzNTEiPjc3MTwva2V5PjxrZXkgYXBwPSJFTldlYiIgZGItaWQ9IiI+MDwv
a2V5PjwvZm9yZWlnbi1rZXlzPjxyZWYtdHlwZSBuYW1lPSJKb3VybmFsIEFydGljbGUiPjE3PC9y
ZWYtdHlwZT48Y29udHJpYnV0b3JzPjxhdXRob3JzPjxhdXRob3I+U2NodW1hY2hlciwgVC4gTC48
L2F1dGhvcj48YXV0aG9yPldlYXRoZXJhbGwsIEwuPC9hdXRob3I+PGF1dGhvcj5LZW9naCwgTC48
L2F1dGhvcj48YXV0aG9yPlN1dGhlcmxhbmQsIEsuPC9hdXRob3I+PGF1dGhvcj5Db2xsaW5zLCBD
LiBFLjwvYXV0aG9yPjxhdXRob3I+UHJpbmdsZSwgSy4gRy48L2F1dGhvcj48YXV0aG9yPlJhZSwg
Sy4gTS48L2F1dGhvcj48L2F1dGhvcnM+PC9jb250cmlidXRvcnM+PGF1dGgtYWRkcmVzcz5Hb21l
cm9pIGdhYXluZ2FsIENlbnRyZSwgRmFjdWx0eSBvZiBIZWFsdGggYW5kIE1lZGljaW5lLCBVbml2
ZXJzaXR5IG9mIE5ld2Nhc3RsZSwgMi8xIEhpbmtsZXIgUmQsIFRhbXdvcnRoLCBOU1cgMjM0MCwg
QXVzdHJhbGlhOyBTY2hvb2wgb2YgTWVkaWNpbmUgYW5kIFB1YmxpYyBIZWFsdGgsIEZhY3VsdHkg
b2YgSGVhbHRoIGFuZCBNZWRpY2luZSwgVW5pdmVyc2l0eSBvZiBOZXdjYXN0bGUsIFVuaXZlcnNp
dHkgRHJpdmUsIENhbGxhZ2hhbiwgTlNXIDIzMDgsIEF1c3RyYWxpYTsgUHJpb3JpdHkgUmVzZWFy
Y2ggQ2VudHJlIGZvciBQaHlzaWNhbCBBY3Rpdml0eSBhbmQgTnV0cml0aW9uLCBVbml2ZXJzaXR5
IG9mIE5ld2Nhc3RsZSwgUmluZyBSZCwgQ2FsbGFnaGFuLCBOU1cgMjMwOCwgQXVzdHJhbGlhLiBF
bGVjdHJvbmljIGFkZHJlc3M6IHRyYWN5LnNjaHVtYWNoZXJAbmV3Y2FzdGxlLmVkdS5hdS4mI3hE
O0dvbWVyb2kgZ2FheW5nYWwgQ2VudHJlLCBGYWN1bHR5IG9mIEhlYWx0aCBhbmQgTWVkaWNpbmUs
IFVuaXZlcnNpdHkgb2YgTmV3Y2FzdGxlLCAyLzEgSGlua2xlciBSZCwgVGFtd29ydGgsIE5TVyAy
MzQwLCBBdXN0cmFsaWE7IFNjaG9vbCBvZiBNZWRpY2luZSBhbmQgUHVibGljIEhlYWx0aCwgRmFj
dWx0eSBvZiBIZWFsdGggYW5kIE1lZGljaW5lLCBVbml2ZXJzaXR5IG9mIE5ld2Nhc3RsZSwgVW5p
dmVyc2l0eSBEcml2ZSwgQ2FsbGFnaGFuLCBOU1cgMjMwOCwgQXVzdHJhbGlhLiBFbGVjdHJvbmlj
IGFkZHJlc3M6IGxvcmV0dGEud2VhdGhlcmFsbEBuZXdjYXN0bGUuZWR1LmF1LiYjeEQ7R29tZXJv
aSBnYWF5bmdhbCBDZW50cmUsIEZhY3VsdHkgb2YgSGVhbHRoIGFuZCBNZWRpY2luZSwgVW5pdmVy
c2l0eSBvZiBOZXdjYXN0bGUsIDIvMSBIaW5rbGVyIFJkLCBUYW13b3J0aCwgTlNXIDIzNDAsIEF1
c3RyYWxpYTsgU2Nob29sIG9mIE1lZGljaW5lIGFuZCBQdWJsaWMgSGVhbHRoLCBGYWN1bHR5IG9m
IEhlYWx0aCBhbmQgTWVkaWNpbmUsIFVuaXZlcnNpdHkgb2YgTmV3Y2FzdGxlLCBVbml2ZXJzaXR5
IERyaXZlLCBDYWxsYWdoYW4sIE5TVyAyMzA4LCBBdXN0cmFsaWEuIEVsZWN0cm9uaWMgYWRkcmVz
czogbHluaWVjZS5rZW9naEBuZXdjYXN0bGUuZWR1LmF1LiYjeEQ7R29tZXJvaSBnYWF5bmdhbCBD
ZW50cmUsIEZhY3VsdHkgb2YgSGVhbHRoIGFuZCBNZWRpY2luZSwgVW5pdmVyc2l0eSBvZiBOZXdj
YXN0bGUsIDIvMSBIaW5rbGVyIFJkLCBUYW13b3J0aCwgTlNXIDIzNDAsIEF1c3RyYWxpYTsgU2No
b29sIG9mIE1lZGljaW5lIGFuZCBQdWJsaWMgSGVhbHRoLCBGYWN1bHR5IG9mIEhlYWx0aCBhbmQg
TWVkaWNpbmUsIFVuaXZlcnNpdHkgb2YgTmV3Y2FzdGxlLCBVbml2ZXJzaXR5IERyaXZlLCBDYWxs
YWdoYW4sIE5TVyAyMzA4LCBBdXN0cmFsaWEuIEVsZWN0cm9uaWMgYWRkcmVzczoga2F0aHJ5bi5z
dXRoZXJsYW5kQG5ld2Nhc3RsZS5lZHUuYXUuJiN4RDtQcmlvcml0eSBSZXNlYXJjaCBDZW50cmUg
Zm9yIFBoeXNpY2FsIEFjdGl2aXR5IGFuZCBOdXRyaXRpb24sIFVuaXZlcnNpdHkgb2YgTmV3Y2Fz
dGxlLCBSaW5nIFJkLCBDYWxsYWdoYW4sIE5TVyAyMzA4LCBBdXN0cmFsaWE7IFNjaG9vbCBvZiBI
ZWFsdGggU2NpZW5jZXMsIEZhY3VsdHkgb2YgSGVhbHRoIGFuZCBNZWRpY2luZSwgVW5pdmVyc2l0
eSBvZiBOZXdjYXN0bGUsIFVuaXZlcnNpdHkgRHJpdmUsIENhbGxhZ2hhbiwgTlNXIDIzMDgsIEF1
c3RyYWxpYS4gRWxlY3Ryb25pYyBhZGRyZXNzOiBjbGFyZS5jb2xsaW5zQG5ld2Nhc3RsZS5lZHUu
YXUuJiN4RDtTY2hvb2wgb2YgQmlvbWVkaWNhbCBTY2llbmNlcyBhbmQgUGhhcm1hY3ksIFVuaXZl
cnNpdHkgb2YgTmV3Y2FzdGxlLCBVbml2ZXJzaXR5IERyaXZlLCBDYWxsYWdoYW4sIE5TVyAyMzA4
LCBBdXN0cmFsaWE7IFByaW9yaXR5IFJlc2VhcmNoIENlbnRyZSBvZiBSZXByb2R1Y3RpdmUgU2Np
ZW5jZXMsIFVuaXZlcnNpdHkgb2YgTmV3Y2FzdGxlLCBVbml2ZXJzaXR5IERyaXZlLCBDYWxsYWdo
YW4sIE5TVyAyMzA4LCBBdXN0cmFsaWEuIEVsZWN0cm9uaWMgYWRkcmVzczoga2lyc3R5LnByaW5n
bGVAbmV3Y2FzdGxlLmVkdS5hdS4mI3hEO0dvbWVyb2kgZ2FheW5nYWwgQ2VudHJlLCBGYWN1bHR5
IG9mIEhlYWx0aCBhbmQgTWVkaWNpbmUsIFVuaXZlcnNpdHkgb2YgTmV3Y2FzdGxlLCAyLzEgSGlu
a2xlciBSZCwgVGFtd29ydGgsIE5TVyAyMzQwLCBBdXN0cmFsaWE7IFNjaG9vbCBvZiBNZWRpY2lu
ZSBhbmQgUHVibGljIEhlYWx0aCwgRmFjdWx0eSBvZiBIZWFsdGggYW5kIE1lZGljaW5lLCBVbml2
ZXJzaXR5IG9mIE5ld2Nhc3RsZSwgVW5pdmVyc2l0eSBEcml2ZSwgQ2FsbGFnaGFuLCBOU1cgMjMw
OCwgQXVzdHJhbGlhOyBQcmlvcml0eSBSZXNlYXJjaCBDZW50cmUgb2YgUmVwcm9kdWN0aXZlIFNj
aWVuY2VzLCBVbml2ZXJzaXR5IG9mIE5ld2Nhc3RsZSwgVW5pdmVyc2l0eSBEcml2ZSwgQ2FsbGFn
aGFuLCBOU1cgMjMwOCwgQXVzdHJhbGlhOyBQcmlvcml0eSBSZXNlYXJjaCBDZW50cmUgb2YgR2Vu
ZXJhdGlvbmFsIEhlYWx0aCBhbmQgQWdlaW5nLCBVbml2ZXJzaXR5IG9mIE5ld2Nhc3RsZSwgVW5p
dmVyc2l0eSBEcml2ZSwgQ2FsbGFnaGFuLCBOU1cgMjMwOCwgQXVzdHJhbGlhOyBEZXBhcnRtZW50
IG9mIFJ1cmFsIEhlYWx0aCwgVW5pdmVyc2l0eSBvZiBOZXdjYXN0bGUsIFRhbXdvcnRoLCBOU1cg
MjM0MCwgQXVzdHJhbGlhLiBFbGVjdHJvbmljIGFkZHJlc3M6IGt5bS5yYWVAbmV3Y2FzdGxlLmVk
dS5hdS48L2F1dGgtYWRkcmVzcz48dGl0bGVzPjx0aXRsZT5DaGFyYWN0ZXJpemluZyBnZXN0YXRp
b25hbCB3ZWlnaHQgZ2FpbiBpbiBhIGNvaG9ydCBvZiBJbmRpZ2Vub3VzIEF1c3RyYWxpYW4gd29t
ZW48L3RpdGxlPjxzZWNvbmRhcnktdGl0bGU+TWlkd2lmZXJ5PC9zZWNvbmRhcnktdGl0bGU+PC90
aXRsZXM+PHBlcmlvZGljYWw+PGZ1bGwtdGl0bGU+TWlkd2lmZXJ5PC9mdWxsLXRpdGxlPjwvcGVy
aW9kaWNhbD48cGFnZXM+MTMtMTk8L3BhZ2VzPjx2b2x1bWU+NjA8L3ZvbHVtZT48ZWRpdGlvbj4y
MDE4LzAyLzIzPC9lZGl0aW9uPjxrZXl3b3Jkcz48a2V5d29yZD5BZHVsdDwva2V5d29yZD48a2V5
d29yZD5Cb2R5IE1hc3MgSW5kZXg8L2tleXdvcmQ+PGtleXdvcmQ+Q29ob3J0IFN0dWRpZXM8L2tl
eXdvcmQ+PGtleXdvcmQ+RGlhYmV0ZXMsIEdlc3RhdGlvbmFsL3BzeWNob2xvZ3k8L2tleXdvcmQ+
PGtleXdvcmQ+RXhlcmNpc2UvcHN5Y2hvbG9neTwva2V5d29yZD48a2V5d29yZD5GZWVkaW5nIEJl
aGF2aW9yL3BzeWNob2xvZ3k8L2tleXdvcmQ+PGtleXdvcmQ+RmVtYWxlPC9rZXl3b3JkPjxrZXl3
b3JkPkh1bWFuczwva2V5d29yZD48a2V5d29yZD5MaW5lYXIgTW9kZWxzPC9rZXl3b3JkPjxrZXl3
b3JkPkxvbmdpdHVkaW5hbCBTdHVkaWVzPC9rZXl3b3JkPjxrZXl3b3JkPk5ldyBTb3V0aCBXYWxl
czwva2V5d29yZD48a2V5d29yZD5PYmVzaXR5L2NvbXBsaWNhdGlvbnM8L2tleXdvcmQ+PGtleXdv
cmQ+T3ZlcndlaWdodC9jb21wbGljYXRpb25zL3ByZXZlbnRpb24gJmFtcDsgY29udHJvbDwva2V5
d29yZD48a2V5d29yZD5Qb3B1bGF0aW9uIEdyb3Vwczwva2V5d29yZD48a2V5d29yZD5QcmVnbmFu
Y3k8L2tleXdvcmQ+PGtleXdvcmQ+UHJlZ25hbmN5IENvbXBsaWNhdGlvbnMvZXRpb2xvZ3kvcHJl
dmVudGlvbiAmYW1wOyBjb250cm9sPC9rZXl3b3JkPjxrZXl3b3JkPlNtb2tpbmcvcHN5Y2hvbG9n
eTwva2V5d29yZD48a2V5d29yZD5XZWlnaHQgR2Fpbi8qcGh5c2lvbG9neTwva2V5d29yZD48a2V5
d29yZD5BYm9yaWdpbmVzLCBBdXN0cmFsaWFuPC9rZXl3b3JkPjxrZXl3b3JkPkdlc3RhdGlvbmFs
IHdlaWdodCBnYWluPC9rZXl3b3JkPjwva2V5d29yZHM+PGRhdGVzPjx5ZWFyPjIwMTg8L3llYXI+
PHB1Yi1kYXRlcz48ZGF0ZT5NYXk8L2RhdGU+PC9wdWItZGF0ZXM+PC9kYXRlcz48aXNibj4xNTMy
LTMwOTkgKEVsZWN0cm9uaWMpJiN4RDswMjY2LTYxMzggKExpbmtpbmcpPC9pc2JuPjxhY2Nlc3Np
b24tbnVtPjI5NDcxMTc0PC9hY2Nlc3Npb24tbnVtPjx1cmxzPjxyZWxhdGVkLXVybHM+PHVybD5o
dHRwczovL3d3dy5uY2JpLm5sbS5uaWguZ292L3B1Ym1lZC8yOTQ3MTE3NDwvdXJsPjwvcmVsYXRl
ZC11cmxzPjwvdXJscz48ZWxlY3Ryb25pYy1yZXNvdXJjZS1udW0+MTAuMTAxNi9qLm1pZHcuMjAx
OC4wMS4wMTc8L2VsZWN0cm9uaWMtcmVzb3VyY2UtbnVtPjwvcmVjb3JkPjwvQ2l0ZT48L0VuZE5v
dGU+AG==
</w:fldData>
        </w:fldChar>
      </w:r>
      <w:r w:rsidR="001A2F28">
        <w:instrText xml:space="preserve"> ADDIN EN.CITE </w:instrText>
      </w:r>
      <w:r w:rsidR="001A2F28">
        <w:fldChar w:fldCharType="begin">
          <w:fldData xml:space="preserve">PEVuZE5vdGU+PENpdGU+PEF1dGhvcj5TY2h1bWFjaGVyPC9BdXRob3I+PFllYXI+MjAxODwvWWVh
cj48UmVjTnVtPjc3MTwvUmVjTnVtPjxEaXNwbGF5VGV4dD48c3R5bGUgZmFjZT0ic3VwZXJzY3Jp
cHQiIGZvbnQ9IlRyZWJ1Y2hldCBNUyIgc2l6ZT0iOSI+MzUxPC9zdHlsZT48L0Rpc3BsYXlUZXh0
PjxyZWNvcmQ+PHJlYy1udW1iZXI+NzcxPC9yZWMtbnVtYmVyPjxmb3JlaWduLWtleXM+PGtleSBh
cHA9IkVOIiBkYi1pZD0iZXh2YXNyZngyZHRyYW9lc2FzeHAyc3pzeGEyZGY1MDI1OTJ4IiB0aW1l
c3RhbXA9IjE1NDE1NDAzNTEiPjc3MTwva2V5PjxrZXkgYXBwPSJFTldlYiIgZGItaWQ9IiI+MDwv
a2V5PjwvZm9yZWlnbi1rZXlzPjxyZWYtdHlwZSBuYW1lPSJKb3VybmFsIEFydGljbGUiPjE3PC9y
ZWYtdHlwZT48Y29udHJpYnV0b3JzPjxhdXRob3JzPjxhdXRob3I+U2NodW1hY2hlciwgVC4gTC48
L2F1dGhvcj48YXV0aG9yPldlYXRoZXJhbGwsIEwuPC9hdXRob3I+PGF1dGhvcj5LZW9naCwgTC48
L2F1dGhvcj48YXV0aG9yPlN1dGhlcmxhbmQsIEsuPC9hdXRob3I+PGF1dGhvcj5Db2xsaW5zLCBD
LiBFLjwvYXV0aG9yPjxhdXRob3I+UHJpbmdsZSwgSy4gRy48L2F1dGhvcj48YXV0aG9yPlJhZSwg
Sy4gTS48L2F1dGhvcj48L2F1dGhvcnM+PC9jb250cmlidXRvcnM+PGF1dGgtYWRkcmVzcz5Hb21l
cm9pIGdhYXluZ2FsIENlbnRyZSwgRmFjdWx0eSBvZiBIZWFsdGggYW5kIE1lZGljaW5lLCBVbml2
ZXJzaXR5IG9mIE5ld2Nhc3RsZSwgMi8xIEhpbmtsZXIgUmQsIFRhbXdvcnRoLCBOU1cgMjM0MCwg
QXVzdHJhbGlhOyBTY2hvb2wgb2YgTWVkaWNpbmUgYW5kIFB1YmxpYyBIZWFsdGgsIEZhY3VsdHkg
b2YgSGVhbHRoIGFuZCBNZWRpY2luZSwgVW5pdmVyc2l0eSBvZiBOZXdjYXN0bGUsIFVuaXZlcnNp
dHkgRHJpdmUsIENhbGxhZ2hhbiwgTlNXIDIzMDgsIEF1c3RyYWxpYTsgUHJpb3JpdHkgUmVzZWFy
Y2ggQ2VudHJlIGZvciBQaHlzaWNhbCBBY3Rpdml0eSBhbmQgTnV0cml0aW9uLCBVbml2ZXJzaXR5
IG9mIE5ld2Nhc3RsZSwgUmluZyBSZCwgQ2FsbGFnaGFuLCBOU1cgMjMwOCwgQXVzdHJhbGlhLiBF
bGVjdHJvbmljIGFkZHJlc3M6IHRyYWN5LnNjaHVtYWNoZXJAbmV3Y2FzdGxlLmVkdS5hdS4mI3hE
O0dvbWVyb2kgZ2FheW5nYWwgQ2VudHJlLCBGYWN1bHR5IG9mIEhlYWx0aCBhbmQgTWVkaWNpbmUs
IFVuaXZlcnNpdHkgb2YgTmV3Y2FzdGxlLCAyLzEgSGlua2xlciBSZCwgVGFtd29ydGgsIE5TVyAy
MzQwLCBBdXN0cmFsaWE7IFNjaG9vbCBvZiBNZWRpY2luZSBhbmQgUHVibGljIEhlYWx0aCwgRmFj
dWx0eSBvZiBIZWFsdGggYW5kIE1lZGljaW5lLCBVbml2ZXJzaXR5IG9mIE5ld2Nhc3RsZSwgVW5p
dmVyc2l0eSBEcml2ZSwgQ2FsbGFnaGFuLCBOU1cgMjMwOCwgQXVzdHJhbGlhLiBFbGVjdHJvbmlj
IGFkZHJlc3M6IGxvcmV0dGEud2VhdGhlcmFsbEBuZXdjYXN0bGUuZWR1LmF1LiYjeEQ7R29tZXJv
aSBnYWF5bmdhbCBDZW50cmUsIEZhY3VsdHkgb2YgSGVhbHRoIGFuZCBNZWRpY2luZSwgVW5pdmVy
c2l0eSBvZiBOZXdjYXN0bGUsIDIvMSBIaW5rbGVyIFJkLCBUYW13b3J0aCwgTlNXIDIzNDAsIEF1
c3RyYWxpYTsgU2Nob29sIG9mIE1lZGljaW5lIGFuZCBQdWJsaWMgSGVhbHRoLCBGYWN1bHR5IG9m
IEhlYWx0aCBhbmQgTWVkaWNpbmUsIFVuaXZlcnNpdHkgb2YgTmV3Y2FzdGxlLCBVbml2ZXJzaXR5
IERyaXZlLCBDYWxsYWdoYW4sIE5TVyAyMzA4LCBBdXN0cmFsaWEuIEVsZWN0cm9uaWMgYWRkcmVz
czogbHluaWVjZS5rZW9naEBuZXdjYXN0bGUuZWR1LmF1LiYjeEQ7R29tZXJvaSBnYWF5bmdhbCBD
ZW50cmUsIEZhY3VsdHkgb2YgSGVhbHRoIGFuZCBNZWRpY2luZSwgVW5pdmVyc2l0eSBvZiBOZXdj
YXN0bGUsIDIvMSBIaW5rbGVyIFJkLCBUYW13b3J0aCwgTlNXIDIzNDAsIEF1c3RyYWxpYTsgU2No
b29sIG9mIE1lZGljaW5lIGFuZCBQdWJsaWMgSGVhbHRoLCBGYWN1bHR5IG9mIEhlYWx0aCBhbmQg
TWVkaWNpbmUsIFVuaXZlcnNpdHkgb2YgTmV3Y2FzdGxlLCBVbml2ZXJzaXR5IERyaXZlLCBDYWxs
YWdoYW4sIE5TVyAyMzA4LCBBdXN0cmFsaWEuIEVsZWN0cm9uaWMgYWRkcmVzczoga2F0aHJ5bi5z
dXRoZXJsYW5kQG5ld2Nhc3RsZS5lZHUuYXUuJiN4RDtQcmlvcml0eSBSZXNlYXJjaCBDZW50cmUg
Zm9yIFBoeXNpY2FsIEFjdGl2aXR5IGFuZCBOdXRyaXRpb24sIFVuaXZlcnNpdHkgb2YgTmV3Y2Fz
dGxlLCBSaW5nIFJkLCBDYWxsYWdoYW4sIE5TVyAyMzA4LCBBdXN0cmFsaWE7IFNjaG9vbCBvZiBI
ZWFsdGggU2NpZW5jZXMsIEZhY3VsdHkgb2YgSGVhbHRoIGFuZCBNZWRpY2luZSwgVW5pdmVyc2l0
eSBvZiBOZXdjYXN0bGUsIFVuaXZlcnNpdHkgRHJpdmUsIENhbGxhZ2hhbiwgTlNXIDIzMDgsIEF1
c3RyYWxpYS4gRWxlY3Ryb25pYyBhZGRyZXNzOiBjbGFyZS5jb2xsaW5zQG5ld2Nhc3RsZS5lZHUu
YXUuJiN4RDtTY2hvb2wgb2YgQmlvbWVkaWNhbCBTY2llbmNlcyBhbmQgUGhhcm1hY3ksIFVuaXZl
cnNpdHkgb2YgTmV3Y2FzdGxlLCBVbml2ZXJzaXR5IERyaXZlLCBDYWxsYWdoYW4sIE5TVyAyMzA4
LCBBdXN0cmFsaWE7IFByaW9yaXR5IFJlc2VhcmNoIENlbnRyZSBvZiBSZXByb2R1Y3RpdmUgU2Np
ZW5jZXMsIFVuaXZlcnNpdHkgb2YgTmV3Y2FzdGxlLCBVbml2ZXJzaXR5IERyaXZlLCBDYWxsYWdo
YW4sIE5TVyAyMzA4LCBBdXN0cmFsaWEuIEVsZWN0cm9uaWMgYWRkcmVzczoga2lyc3R5LnByaW5n
bGVAbmV3Y2FzdGxlLmVkdS5hdS4mI3hEO0dvbWVyb2kgZ2FheW5nYWwgQ2VudHJlLCBGYWN1bHR5
IG9mIEhlYWx0aCBhbmQgTWVkaWNpbmUsIFVuaXZlcnNpdHkgb2YgTmV3Y2FzdGxlLCAyLzEgSGlu
a2xlciBSZCwgVGFtd29ydGgsIE5TVyAyMzQwLCBBdXN0cmFsaWE7IFNjaG9vbCBvZiBNZWRpY2lu
ZSBhbmQgUHVibGljIEhlYWx0aCwgRmFjdWx0eSBvZiBIZWFsdGggYW5kIE1lZGljaW5lLCBVbml2
ZXJzaXR5IG9mIE5ld2Nhc3RsZSwgVW5pdmVyc2l0eSBEcml2ZSwgQ2FsbGFnaGFuLCBOU1cgMjMw
OCwgQXVzdHJhbGlhOyBQcmlvcml0eSBSZXNlYXJjaCBDZW50cmUgb2YgUmVwcm9kdWN0aXZlIFNj
aWVuY2VzLCBVbml2ZXJzaXR5IG9mIE5ld2Nhc3RsZSwgVW5pdmVyc2l0eSBEcml2ZSwgQ2FsbGFn
aGFuLCBOU1cgMjMwOCwgQXVzdHJhbGlhOyBQcmlvcml0eSBSZXNlYXJjaCBDZW50cmUgb2YgR2Vu
ZXJhdGlvbmFsIEhlYWx0aCBhbmQgQWdlaW5nLCBVbml2ZXJzaXR5IG9mIE5ld2Nhc3RsZSwgVW5p
dmVyc2l0eSBEcml2ZSwgQ2FsbGFnaGFuLCBOU1cgMjMwOCwgQXVzdHJhbGlhOyBEZXBhcnRtZW50
IG9mIFJ1cmFsIEhlYWx0aCwgVW5pdmVyc2l0eSBvZiBOZXdjYXN0bGUsIFRhbXdvcnRoLCBOU1cg
MjM0MCwgQXVzdHJhbGlhLiBFbGVjdHJvbmljIGFkZHJlc3M6IGt5bS5yYWVAbmV3Y2FzdGxlLmVk
dS5hdS48L2F1dGgtYWRkcmVzcz48dGl0bGVzPjx0aXRsZT5DaGFyYWN0ZXJpemluZyBnZXN0YXRp
b25hbCB3ZWlnaHQgZ2FpbiBpbiBhIGNvaG9ydCBvZiBJbmRpZ2Vub3VzIEF1c3RyYWxpYW4gd29t
ZW48L3RpdGxlPjxzZWNvbmRhcnktdGl0bGU+TWlkd2lmZXJ5PC9zZWNvbmRhcnktdGl0bGU+PC90
aXRsZXM+PHBlcmlvZGljYWw+PGZ1bGwtdGl0bGU+TWlkd2lmZXJ5PC9mdWxsLXRpdGxlPjwvcGVy
aW9kaWNhbD48cGFnZXM+MTMtMTk8L3BhZ2VzPjx2b2x1bWU+NjA8L3ZvbHVtZT48ZWRpdGlvbj4y
MDE4LzAyLzIzPC9lZGl0aW9uPjxrZXl3b3Jkcz48a2V5d29yZD5BZHVsdDwva2V5d29yZD48a2V5
d29yZD5Cb2R5IE1hc3MgSW5kZXg8L2tleXdvcmQ+PGtleXdvcmQ+Q29ob3J0IFN0dWRpZXM8L2tl
eXdvcmQ+PGtleXdvcmQ+RGlhYmV0ZXMsIEdlc3RhdGlvbmFsL3BzeWNob2xvZ3k8L2tleXdvcmQ+
PGtleXdvcmQ+RXhlcmNpc2UvcHN5Y2hvbG9neTwva2V5d29yZD48a2V5d29yZD5GZWVkaW5nIEJl
aGF2aW9yL3BzeWNob2xvZ3k8L2tleXdvcmQ+PGtleXdvcmQ+RmVtYWxlPC9rZXl3b3JkPjxrZXl3
b3JkPkh1bWFuczwva2V5d29yZD48a2V5d29yZD5MaW5lYXIgTW9kZWxzPC9rZXl3b3JkPjxrZXl3
b3JkPkxvbmdpdHVkaW5hbCBTdHVkaWVzPC9rZXl3b3JkPjxrZXl3b3JkPk5ldyBTb3V0aCBXYWxl
czwva2V5d29yZD48a2V5d29yZD5PYmVzaXR5L2NvbXBsaWNhdGlvbnM8L2tleXdvcmQ+PGtleXdv
cmQ+T3ZlcndlaWdodC9jb21wbGljYXRpb25zL3ByZXZlbnRpb24gJmFtcDsgY29udHJvbDwva2V5
d29yZD48a2V5d29yZD5Qb3B1bGF0aW9uIEdyb3Vwczwva2V5d29yZD48a2V5d29yZD5QcmVnbmFu
Y3k8L2tleXdvcmQ+PGtleXdvcmQ+UHJlZ25hbmN5IENvbXBsaWNhdGlvbnMvZXRpb2xvZ3kvcHJl
dmVudGlvbiAmYW1wOyBjb250cm9sPC9rZXl3b3JkPjxrZXl3b3JkPlNtb2tpbmcvcHN5Y2hvbG9n
eTwva2V5d29yZD48a2V5d29yZD5XZWlnaHQgR2Fpbi8qcGh5c2lvbG9neTwva2V5d29yZD48a2V5
d29yZD5BYm9yaWdpbmVzLCBBdXN0cmFsaWFuPC9rZXl3b3JkPjxrZXl3b3JkPkdlc3RhdGlvbmFs
IHdlaWdodCBnYWluPC9rZXl3b3JkPjwva2V5d29yZHM+PGRhdGVzPjx5ZWFyPjIwMTg8L3llYXI+
PHB1Yi1kYXRlcz48ZGF0ZT5NYXk8L2RhdGU+PC9wdWItZGF0ZXM+PC9kYXRlcz48aXNibj4xNTMy
LTMwOTkgKEVsZWN0cm9uaWMpJiN4RDswMjY2LTYxMzggKExpbmtpbmcpPC9pc2JuPjxhY2Nlc3Np
b24tbnVtPjI5NDcxMTc0PC9hY2Nlc3Npb24tbnVtPjx1cmxzPjxyZWxhdGVkLXVybHM+PHVybD5o
dHRwczovL3d3dy5uY2JpLm5sbS5uaWguZ292L3B1Ym1lZC8yOTQ3MTE3NDwvdXJsPjwvcmVsYXRl
ZC11cmxzPjwvdXJscz48ZWxlY3Ryb25pYy1yZXNvdXJjZS1udW0+MTAuMTAxNi9qLm1pZHcuMjAx
OC4wMS4wMTc8L2VsZWN0cm9uaWMtcmVzb3VyY2UtbnVtPjwvcmVjb3JkPjwvQ2l0ZT48L0VuZE5v
dGU+AG==
</w:fldData>
        </w:fldChar>
      </w:r>
      <w:r w:rsidR="001A2F28">
        <w:instrText xml:space="preserve"> ADDIN EN.CITE.DATA </w:instrText>
      </w:r>
      <w:r w:rsidR="001A2F28">
        <w:fldChar w:fldCharType="end"/>
      </w:r>
      <w:r w:rsidR="001A2F28">
        <w:fldChar w:fldCharType="separate"/>
      </w:r>
      <w:r w:rsidR="001A2F28" w:rsidRPr="001A2F28">
        <w:rPr>
          <w:noProof/>
          <w:vertAlign w:val="superscript"/>
        </w:rPr>
        <w:t>351</w:t>
      </w:r>
      <w:r w:rsidR="001A2F28">
        <w:fldChar w:fldCharType="end"/>
      </w:r>
      <w:r>
        <w:t xml:space="preserve"> found that </w:t>
      </w:r>
      <w:r w:rsidRPr="00FC6AC8">
        <w:t>32% of women had inadequate weight gain</w:t>
      </w:r>
      <w:r>
        <w:t>.</w:t>
      </w:r>
    </w:p>
    <w:p w14:paraId="5995EEEB" w14:textId="32EECC80" w:rsidR="001D7FD8" w:rsidRDefault="00DB6DAF" w:rsidP="008C2F2A">
      <w:r>
        <w:t>Cohort studies in the United States</w:t>
      </w:r>
      <w:r>
        <w:fldChar w:fldCharType="begin">
          <w:fldData xml:space="preserve">PEVuZE5vdGU+PENpdGU+PEF1dGhvcj5NZW5kZXo8L0F1dGhvcj48WWVhcj4yMDE0PC9ZZWFyPjxS
ZWNOdW0+MTc3MDwvUmVjTnVtPjxEaXNwbGF5VGV4dD48c3R5bGUgZmFjZT0ic3VwZXJzY3JpcHQi
IGZvbnQ9IlRyZWJ1Y2hldCBNUyIgc2l6ZT0iOSI+MzUyLTM1NDwvc3R5bGU+PC9EaXNwbGF5VGV4
dD48cmVjb3JkPjxyZWMtbnVtYmVyPjE3NzA8L3JlYy1udW1iZXI+PGZvcmVpZ24ta2V5cz48a2V5
IGFwcD0iRU4iIGRiLWlkPSJleHZhc3JmeDJkdHJhb2VzYXN4cDJzenN4YTJkZjUwMjU5MngiIHRp
bWVzdGFtcD0iMTU4Mjg2NzI0MCI+MTc3MDwva2V5PjxrZXkgYXBwPSJFTldlYiIgZGItaWQ9IiI+
MDwva2V5PjwvZm9yZWlnbi1rZXlzPjxyZWYtdHlwZSBuYW1lPSJKb3VybmFsIEFydGljbGUiPjE3
PC9yZWYtdHlwZT48Y29udHJpYnV0b3JzPjxhdXRob3JzPjxhdXRob3I+TWVuZGV6LCBELiBELjwv
YXV0aG9yPjxhdXRob3I+RG9lYmxlciwgRC4gQS48L2F1dGhvcj48YXV0aG9yPktpbSwgSy4gSC48
L2F1dGhvcj48YXV0aG9yPkFtdXRhaCwgTi4gTi48L2F1dGhvcj48YXV0aG9yPkZhYmlvLCBBLjwv
YXV0aG9yPjxhdXRob3I+Qm9kbmFyLCBMLiBNLjwvYXV0aG9yPjwvYXV0aG9ycz48L2NvbnRyaWJ1
dG9ycz48YXV0aC1hZGRyZXNzPkRlcGFydG1lbnQgb2YgRXBpZGVtaW9sb2d5LCBVbml2ZXJzaXR5
IG9mIFBpdHRzYnVyZ2ggR3JhZHVhdGUgU2Nob29sIG9mIFB1YmxpYyBIZWFsdGgsIFBpdHRzYnVy
Z2gsIFBBLCAxNTI2MSwgVVNBLCBkZG0xMUBwaXR0LmVkdS48L2F1dGgtYWRkcmVzcz48dGl0bGVz
Pjx0aXRsZT5OZWlnaGJvcmhvb2Qgc29jaW9lY29ub21pYyBkaXNhZHZhbnRhZ2UgYW5kIGdlc3Rh
dGlvbmFsIHdlaWdodCBnYWluIGFuZCBsb3NzPC90aXRsZT48c2Vjb25kYXJ5LXRpdGxlPk1hdGVy
biBDaGlsZCBIZWFsdGggSjwvc2Vjb25kYXJ5LXRpdGxlPjwvdGl0bGVzPjxwZXJpb2RpY2FsPjxm
dWxsLXRpdGxlPk1hdGVybiBDaGlsZCBIZWFsdGggSjwvZnVsbC10aXRsZT48L3BlcmlvZGljYWw+
PHBhZ2VzPjEwOTUtMTAzPC9wYWdlcz48dm9sdW1lPjE4PC92b2x1bWU+PG51bWJlcj41PC9udW1i
ZXI+PGVkaXRpb24+MjAxMy8wOS8xMzwvZWRpdGlvbj48a2V5d29yZHM+PGtleXdvcmQ+QWR1bHQ8
L2tleXdvcmQ+PGtleXdvcmQ+QWZyaWNhbiBBbWVyaWNhbnMvKnN0YXRpc3RpY3MgJmFtcDsgbnVt
ZXJpY2FsIGRhdGE8L2tleXdvcmQ+PGtleXdvcmQ+Q2Vuc3VzZXM8L2tleXdvcmQ+PGtleXdvcmQ+
RXVyb3BlYW4gQ29udGluZW50YWwgQW5jZXN0cnkgR3JvdXAvKnN0YXRpc3RpY3MgJmFtcDsgbnVt
ZXJpY2FsIGRhdGE8L2tleXdvcmQ+PGtleXdvcmQ+RmVtYWxlPC9rZXl3b3JkPjxrZXl3b3JkPkh1
bWFuczwva2V5d29yZD48a2V5d29yZD5QZW5uc3lsdmFuaWEvZXBpZGVtaW9sb2d5PC9rZXl3b3Jk
PjxrZXl3b3JkPlByZWduYW5jeTwva2V5d29yZD48a2V5d29yZD4qUmVzaWRlbmNlIENoYXJhY3Rl
cmlzdGljczwva2V5d29yZD48a2V5d29yZD5SaXNrIEZhY3RvcnM8L2tleXdvcmQ+PGtleXdvcmQ+
U29jaW9lY29ub21pYyBGYWN0b3JzPC9rZXl3b3JkPjxrZXl3b3JkPldlaWdodCBHYWluLypldGhu
b2xvZ3k8L2tleXdvcmQ+PGtleXdvcmQ+V2VpZ2h0IExvc3MvKmV0aG5vbG9neTwva2V5d29yZD48
L2tleXdvcmRzPjxkYXRlcz48eWVhcj4yMDE0PC95ZWFyPjxwdWItZGF0ZXM+PGRhdGU+SnVsPC9k
YXRlPjwvcHViLWRhdGVzPjwvZGF0ZXM+PGlzYm4+MTU3My02NjI4IChFbGVjdHJvbmljKSYjeEQ7
MTA5Mi03ODc1IChMaW5raW5nKTwvaXNibj48YWNjZXNzaW9uLW51bT4yNDAyNjM5NzwvYWNjZXNz
aW9uLW51bT48dXJscz48cmVsYXRlZC11cmxzPjx1cmw+aHR0cHM6Ly93d3cubmNiaS5ubG0ubmlo
Lmdvdi9wdWJtZWQvMjQwMjYzOTc8L3VybD48L3JlbGF0ZWQtdXJscz48L3VybHM+PGN1c3RvbTI+
UE1DMzk1NDQ2ODwvY3VzdG9tMj48ZWxlY3Ryb25pYy1yZXNvdXJjZS1udW0+MTAuMTAwNy9zMTA5
OTUtMDEzLTEzMzktMTwvZWxlY3Ryb25pYy1yZXNvdXJjZS1udW0+PC9yZWNvcmQ+PC9DaXRlPjxD
aXRlPjxBdXRob3I+TWVuZGV6PC9BdXRob3I+PFllYXI+MjAxNjwvWWVhcj48UmVjTnVtPjE3NzE8
L1JlY051bT48cmVjb3JkPjxyZWMtbnVtYmVyPjE3NzE8L3JlYy1udW1iZXI+PGZvcmVpZ24ta2V5
cz48a2V5IGFwcD0iRU4iIGRiLWlkPSJleHZhc3JmeDJkdHJhb2VzYXN4cDJzenN4YTJkZjUwMjU5
MngiIHRpbWVzdGFtcD0iMTU4Mjg2NzI2MyI+MTc3MTwva2V5PjxrZXkgYXBwPSJFTldlYiIgZGIt
aWQ9IiI+MDwva2V5PjwvZm9yZWlnbi1rZXlzPjxyZWYtdHlwZSBuYW1lPSJKb3VybmFsIEFydGlj
bGUiPjE3PC9yZWYtdHlwZT48Y29udHJpYnV0b3JzPjxhdXRob3JzPjxhdXRob3I+TWVuZGV6LCBE
LiBELjwvYXV0aG9yPjxhdXRob3I+VGhvcnBlLCBSLiBKLjwvYXV0aG9yPjxhdXRob3I+QW11dGFo
LCBOLjwvYXV0aG9yPjxhdXRob3I+RGF2aXMsIEUuIE0uPC9hdXRob3I+PGF1dGhvcj5XYWxrZXIs
IFIuIEUuPC9hdXRob3I+PGF1dGhvcj5DaGFwcGxlLU1jR3J1ZGVyLCBULjwvYXV0aG9yPjxhdXRo
b3I+Qm9kbmFyLCBMLjwvYXV0aG9yPjwvYXV0aG9ycz48L2NvbnRyaWJ1dG9ycz48YXV0aC1hZGRy
ZXNzPlVuaXZlcnNpdHkgb2YgUGl0dHNidXJnaCwgR3JhZHVhdGUgU2Nob29sIG9mIFB1YmxpYyBI
ZWFsdGgsIERlcGFydG1lbnQgb2YgRXBpZGVtaW9sb2d5LCAxMzAgRGVTb3RvIFN0cmVldCwgUGl0
dHNidXJnaCwgUEEgMTUyNjEsIFVTQS4mI3hEO0pvaG5zIEhvcGtpbnMgVW5pdmVyc2l0eSBCbG9v
bWJlcmcgU2Nob29sIG9mIFB1YmxpYyBIZWFsdGggRGVwYXJ0bWVudCBvZiBIZWFsdGgsIEJlaGF2
aW9yLCBhbmQgU29jaWV0eSwgNjI0IE4uIEJyb2Fkd2F5LCBTdWl0ZSA3MDgsIEJhbHRpbW9yZSwg
TUQgMjEyMDUsIFVTQS4mI3hEO01vbnRjbGFpciBTdGF0ZSBVbml2ZXJzaXR5LCBEZXBhcnRtZW50
IG9mIEhlYWx0aCBhbmQgTnV0cml0aW9uIFNjaWVuY2VzLCAxIE5vcm1hbCBBdmVudWUgVU4tNDE5
MiBVcHBlciwgTW9udGNsYWlyLCBOSiAwNzA0MiwgVVNBLiYjeEQ7VW5pdmVyc2l0eSBvZiBQaXR0
c2J1cmdoLCBNZWRpY2FsIENlbnRlciBDZW50ZXIgZm9yIFJlc2VhcmNoIG9uIEhlYWx0aGNhcmUs
IDIzMCBNY0tlZSBQbCwgU3VpdGUgNjAwLCBQaXR0c2J1cmdoLCBQQSAxNTIxMywgVVNBLiYjeEQ7
VW5pdmVyc2l0eSBvZiBXaXNjb25zaW4tTWlsd2F1a2VlLCBKb3NlcGggSi4gWmlsYmVyIFNjaG9v
bCBvZiBQdWJsaWMgSGVhbHRoLCBCdWlsZGluZyA0MTUsIE1pbHdhdWtlZSwgV0kgNTMyMDEsIFVT
QS4mI3hEO0Vzc2VuY2Ugb2YgUHVibGljIEhlYWx0aCwgMTMwMCBDYXNjYWRlIEZhbGxzIERyaXZl
LCBBdGxhbnRhLCBHQSAzMDMxMSwgVVNBLiYjeEQ7VW5pdmVyc2l0eSBvZiBQaXR0c2J1cmdoLCBT
Y2hvb2wgb2YgTWVkaWNpbmUgRGVwYXJ0bWVudCBvZiBPYnN0ZXRyaWNzLCBHeW5lY29sb2d5LCBh
bmQgUmVwcm9kdWN0aXZlIFNjaWVuY2VzLCBVU0EuPC9hdXRoLWFkZHJlc3M+PHRpdGxlcz48dGl0
bGU+TmVpZ2hib3Job29kIHJhY2lhbCBjb21wb3NpdGlvbiBhbmQgcG92ZXJ0eSBpbiBhc3NvY2lh
dGlvbiB3aXRoIHByZS1wcmVnbmFuY3kgd2VpZ2h0IGFuZCBnZXN0YXRpb25hbCB3ZWlnaHQgZ2Fp
bjwvdGl0bGU+PHNlY29uZGFyeS10aXRsZT5TU00gUG9wdWwgSGVhbHRoPC9zZWNvbmRhcnktdGl0
bGU+PC90aXRsZXM+PHBlcmlvZGljYWw+PGZ1bGwtdGl0bGU+U1NNIFBvcHVsIEhlYWx0aDwvZnVs
bC10aXRsZT48L3BlcmlvZGljYWw+PHBhZ2VzPjY5Mi02OTk8L3BhZ2VzPjx2b2x1bWU+Mjwvdm9s
dW1lPjxlZGl0aW9uPjIwMTYvMDkvMjk8L2VkaXRpb24+PGtleXdvcmRzPjxrZXl3b3JkPk5laWdo
Ym9yaG9vZDwva2V5d29yZD48a2V5d29yZD5Qb3ZlcnR5PC9rZXl3b3JkPjxrZXl3b3JkPlByZWdu
YW5jeTwva2V5d29yZD48a2V5d29yZD5SYWNlPC9rZXl3b3JkPjxrZXl3b3JkPldlaWdodDwva2V5
d29yZD48L2tleXdvcmRzPjxkYXRlcz48eWVhcj4yMDE2PC95ZWFyPjxwdWItZGF0ZXM+PGRhdGU+
RGVjPC9kYXRlPjwvcHViLWRhdGVzPjwvZGF0ZXM+PGlzYm4+MjM1Mi04MjczIChQcmludCkmI3hE
OzIzNTItODI3MyAoTGlua2luZyk8L2lzYm4+PGFjY2Vzc2lvbi1udW0+MjkzNDkxODA8L2FjY2Vz
c2lvbi1udW0+PHVybHM+PHJlbGF0ZWQtdXJscz48dXJsPmh0dHBzOi8vd3d3Lm5jYmkubmxtLm5p
aC5nb3YvcHVibWVkLzI5MzQ5MTgwPC91cmw+PC9yZWxhdGVkLXVybHM+PC91cmxzPjxjdXN0b20y
PlBNQzU3NTc5NTQ8L2N1c3RvbTI+PGVsZWN0cm9uaWMtcmVzb3VyY2UtbnVtPjEwLjEwMTYvai5z
c21waC4yMDE2LjA5LjAwODwvZWxlY3Ryb25pYy1yZXNvdXJjZS1udW0+PC9yZWNvcmQ+PC9DaXRl
PjxDaXRlPjxBdXRob3I+SGVhZGVuPC9BdXRob3I+PFllYXI+MjAxNTwvWWVhcj48UmVjTnVtPjE3
NjA8L1JlY051bT48cmVjb3JkPjxyZWMtbnVtYmVyPjE3NjA8L3JlYy1udW1iZXI+PGZvcmVpZ24t
a2V5cz48a2V5IGFwcD0iRU4iIGRiLWlkPSJleHZhc3JmeDJkdHJhb2VzYXN4cDJzenN4YTJkZjUw
MjU5MngiIHRpbWVzdGFtcD0iMTU4Mjg2NzE1MSI+MTc2MDwva2V5PjxrZXkgYXBwPSJFTldlYiIg
ZGItaWQ9IiI+MDwva2V5PjwvZm9yZWlnbi1rZXlzPjxyZWYtdHlwZSBuYW1lPSJKb3VybmFsIEFy
dGljbGUiPjE3PC9yZWYtdHlwZT48Y29udHJpYnV0b3JzPjxhdXRob3JzPjxhdXRob3I+SGVhZGVu
LCBJLjwvYXV0aG9yPjxhdXRob3I+TXVqYWhpZCwgTS4gUy48L2F1dGhvcj48YXV0aG9yPkNvaGVu
LCBBLiBLLjwvYXV0aG9yPjxhdXRob3I+UmVoa29wZiwgRC4gSC48L2F1dGhvcj48YXV0aG9yPkFi
cmFtcywgQi48L2F1dGhvcj48L2F1dGhvcnM+PC9jb250cmlidXRvcnM+PGF1dGgtYWRkcmVzcz5E
aXZpc2lvbiBvZiBFcGlkZW1pb2xvZ3ksIFVuaXZlcnNpdHkgb2YgQ2FsaWZvcm5pYSwgQmVya2Vs
ZXkgU2Nob29sIG9mIFB1YmxpYyBIZWFsdGgsIDEwMSBIYXZpbGFuZCBIYWxsLCBCZXJrZWxleSwg
Q0EsIFVTQSwgaWhlYWRlbkBiZXJrZWxleS5lZHUuPC9hdXRoLWFkZHJlc3M+PHRpdGxlcz48dGl0
bGU+UmFjaWFsL2V0aG5pYyBkaXNwYXJpdGllcyBpbiBpbmFkZXF1YXRlIGdlc3RhdGlvbmFsIHdl
aWdodCBnYWluIGRpZmZlciBieSBwcmUtcHJlZ25hbmN5IHdlaWdodDwvdGl0bGU+PHNlY29uZGFy
eS10aXRsZT5NYXRlcm4gQ2hpbGQgSGVhbHRoIEo8L3NlY29uZGFyeS10aXRsZT48L3RpdGxlcz48
cGVyaW9kaWNhbD48ZnVsbC10aXRsZT5NYXRlcm4gQ2hpbGQgSGVhbHRoIEo8L2Z1bGwtdGl0bGU+
PC9wZXJpb2RpY2FsPjxwYWdlcz4xNjcyLTg2PC9wYWdlcz48dm9sdW1lPjE5PC92b2x1bWU+PG51
bWJlcj44PC9udW1iZXI+PGVkaXRpb24+MjAxNS8wMi8wNjwvZWRpdGlvbj48a2V5d29yZHM+PGtl
eXdvcmQ+QWZyaWNhbiBDb250aW5lbnRhbCBBbmNlc3RyeSBHcm91cC8qc3RhdGlzdGljcyAmYW1w
OyBudW1lcmljYWwgZGF0YTwva2V5d29yZD48a2V5d29yZD5Cb2R5IE1hc3MgSW5kZXg8L2tleXdv
cmQ+PGtleXdvcmQ+Q2FsaWZvcm5pYS9lcGlkZW1pb2xvZ3k8L2tleXdvcmQ+PGtleXdvcmQ+RXVy
b3BlYW4gQ29udGluZW50YWwgQW5jZXN0cnkgR3JvdXAvKnN0YXRpc3RpY3MgJmFtcDsgbnVtZXJp
Y2FsIGRhdGE8L2tleXdvcmQ+PGtleXdvcmQ+RmVtYWxlPC9rZXl3b3JkPjxrZXl3b3JkPipIZWFs
dGggU3RhdHVzIERpc3Bhcml0aWVzPC9rZXl3b3JkPjxrZXl3b3JkPkhpc3BhbmljIEFtZXJpY2Fu
cy8qc3RhdGlzdGljcyAmYW1wOyBudW1lcmljYWwgZGF0YTwva2V5d29yZD48a2V5d29yZD5IdW1h
bnM8L2tleXdvcmQ+PGtleXdvcmQ+SW5mYW50LCBOZXdib3JuPC9rZXl3b3JkPjxrZXl3b3JkPkxv
bmdpdHVkaW5hbCBTdHVkaWVzPC9rZXl3b3JkPjxrZXl3b3JkPk1hbGU8L2tleXdvcmQ+PGtleXdv
cmQ+TWlub3JpdHkgSGVhbHRoPC9rZXl3b3JkPjxrZXl3b3JkPk9iZXNpdHkvKmVwaWRlbWlvbG9n
eTwva2V5d29yZD48a2V5d29yZD5QcmVnbmFuY3k8L2tleXdvcmQ+PGtleXdvcmQ+UHJlZ25hbmN5
IE91dGNvbWUvZXRobm9sb2d5PC9rZXl3b3JkPjxrZXl3b3JkPldlaWdodCBHYWluLypldGhub2xv
Z3k8L2tleXdvcmQ+PC9rZXl3b3Jkcz48ZGF0ZXM+PHllYXI+MjAxNTwveWVhcj48cHViLWRhdGVz
PjxkYXRlPkF1ZzwvZGF0ZT48L3B1Yi1kYXRlcz48L2RhdGVzPjxpc2JuPjE1NzMtNjYyOCAoRWxl
Y3Ryb25pYykmI3hEOzEwOTItNzg3NSAoTGlua2luZyk8L2lzYm4+PGFjY2Vzc2lvbi1udW0+MjU2
NTIwNTc8L2FjY2Vzc2lvbi1udW0+PHVybHM+PHJlbGF0ZWQtdXJscz48dXJsPmh0dHBzOi8vd3d3
Lm5jYmkubmxtLm5paC5nb3YvcHVibWVkLzI1NjUyMDU3PC91cmw+PC9yZWxhdGVkLXVybHM+PC91
cmxzPjxjdXN0b20yPlBNQzQ1MDM1MDA8L2N1c3RvbTI+PGVsZWN0cm9uaWMtcmVzb3VyY2UtbnVt
PjEwLjEwMDcvczEwOTk1LTAxNS0xNjgyLTU8L2VsZWN0cm9uaWMtcmVzb3VyY2UtbnVtPjwvcmVj
b3JkPjwvQ2l0ZT48L0VuZE5vdGU+AG==
</w:fldData>
        </w:fldChar>
      </w:r>
      <w:r w:rsidR="001A2F28">
        <w:instrText xml:space="preserve"> ADDIN EN.CITE </w:instrText>
      </w:r>
      <w:r w:rsidR="001A2F28">
        <w:fldChar w:fldCharType="begin">
          <w:fldData xml:space="preserve">PEVuZE5vdGU+PENpdGU+PEF1dGhvcj5NZW5kZXo8L0F1dGhvcj48WWVhcj4yMDE0PC9ZZWFyPjxS
ZWNOdW0+MTc3MDwvUmVjTnVtPjxEaXNwbGF5VGV4dD48c3R5bGUgZmFjZT0ic3VwZXJzY3JpcHQi
IGZvbnQ9IlRyZWJ1Y2hldCBNUyIgc2l6ZT0iOSI+MzUyLTM1NDwvc3R5bGU+PC9EaXNwbGF5VGV4
dD48cmVjb3JkPjxyZWMtbnVtYmVyPjE3NzA8L3JlYy1udW1iZXI+PGZvcmVpZ24ta2V5cz48a2V5
IGFwcD0iRU4iIGRiLWlkPSJleHZhc3JmeDJkdHJhb2VzYXN4cDJzenN4YTJkZjUwMjU5MngiIHRp
bWVzdGFtcD0iMTU4Mjg2NzI0MCI+MTc3MDwva2V5PjxrZXkgYXBwPSJFTldlYiIgZGItaWQ9IiI+
MDwva2V5PjwvZm9yZWlnbi1rZXlzPjxyZWYtdHlwZSBuYW1lPSJKb3VybmFsIEFydGljbGUiPjE3
PC9yZWYtdHlwZT48Y29udHJpYnV0b3JzPjxhdXRob3JzPjxhdXRob3I+TWVuZGV6LCBELiBELjwv
YXV0aG9yPjxhdXRob3I+RG9lYmxlciwgRC4gQS48L2F1dGhvcj48YXV0aG9yPktpbSwgSy4gSC48
L2F1dGhvcj48YXV0aG9yPkFtdXRhaCwgTi4gTi48L2F1dGhvcj48YXV0aG9yPkZhYmlvLCBBLjwv
YXV0aG9yPjxhdXRob3I+Qm9kbmFyLCBMLiBNLjwvYXV0aG9yPjwvYXV0aG9ycz48L2NvbnRyaWJ1
dG9ycz48YXV0aC1hZGRyZXNzPkRlcGFydG1lbnQgb2YgRXBpZGVtaW9sb2d5LCBVbml2ZXJzaXR5
IG9mIFBpdHRzYnVyZ2ggR3JhZHVhdGUgU2Nob29sIG9mIFB1YmxpYyBIZWFsdGgsIFBpdHRzYnVy
Z2gsIFBBLCAxNTI2MSwgVVNBLCBkZG0xMUBwaXR0LmVkdS48L2F1dGgtYWRkcmVzcz48dGl0bGVz
Pjx0aXRsZT5OZWlnaGJvcmhvb2Qgc29jaW9lY29ub21pYyBkaXNhZHZhbnRhZ2UgYW5kIGdlc3Rh
dGlvbmFsIHdlaWdodCBnYWluIGFuZCBsb3NzPC90aXRsZT48c2Vjb25kYXJ5LXRpdGxlPk1hdGVy
biBDaGlsZCBIZWFsdGggSjwvc2Vjb25kYXJ5LXRpdGxlPjwvdGl0bGVzPjxwZXJpb2RpY2FsPjxm
dWxsLXRpdGxlPk1hdGVybiBDaGlsZCBIZWFsdGggSjwvZnVsbC10aXRsZT48L3BlcmlvZGljYWw+
PHBhZ2VzPjEwOTUtMTAzPC9wYWdlcz48dm9sdW1lPjE4PC92b2x1bWU+PG51bWJlcj41PC9udW1i
ZXI+PGVkaXRpb24+MjAxMy8wOS8xMzwvZWRpdGlvbj48a2V5d29yZHM+PGtleXdvcmQ+QWR1bHQ8
L2tleXdvcmQ+PGtleXdvcmQ+QWZyaWNhbiBBbWVyaWNhbnMvKnN0YXRpc3RpY3MgJmFtcDsgbnVt
ZXJpY2FsIGRhdGE8L2tleXdvcmQ+PGtleXdvcmQ+Q2Vuc3VzZXM8L2tleXdvcmQ+PGtleXdvcmQ+
RXVyb3BlYW4gQ29udGluZW50YWwgQW5jZXN0cnkgR3JvdXAvKnN0YXRpc3RpY3MgJmFtcDsgbnVt
ZXJpY2FsIGRhdGE8L2tleXdvcmQ+PGtleXdvcmQ+RmVtYWxlPC9rZXl3b3JkPjxrZXl3b3JkPkh1
bWFuczwva2V5d29yZD48a2V5d29yZD5QZW5uc3lsdmFuaWEvZXBpZGVtaW9sb2d5PC9rZXl3b3Jk
PjxrZXl3b3JkPlByZWduYW5jeTwva2V5d29yZD48a2V5d29yZD4qUmVzaWRlbmNlIENoYXJhY3Rl
cmlzdGljczwva2V5d29yZD48a2V5d29yZD5SaXNrIEZhY3RvcnM8L2tleXdvcmQ+PGtleXdvcmQ+
U29jaW9lY29ub21pYyBGYWN0b3JzPC9rZXl3b3JkPjxrZXl3b3JkPldlaWdodCBHYWluLypldGhu
b2xvZ3k8L2tleXdvcmQ+PGtleXdvcmQ+V2VpZ2h0IExvc3MvKmV0aG5vbG9neTwva2V5d29yZD48
L2tleXdvcmRzPjxkYXRlcz48eWVhcj4yMDE0PC95ZWFyPjxwdWItZGF0ZXM+PGRhdGU+SnVsPC9k
YXRlPjwvcHViLWRhdGVzPjwvZGF0ZXM+PGlzYm4+MTU3My02NjI4IChFbGVjdHJvbmljKSYjeEQ7
MTA5Mi03ODc1IChMaW5raW5nKTwvaXNibj48YWNjZXNzaW9uLW51bT4yNDAyNjM5NzwvYWNjZXNz
aW9uLW51bT48dXJscz48cmVsYXRlZC11cmxzPjx1cmw+aHR0cHM6Ly93d3cubmNiaS5ubG0ubmlo
Lmdvdi9wdWJtZWQvMjQwMjYzOTc8L3VybD48L3JlbGF0ZWQtdXJscz48L3VybHM+PGN1c3RvbTI+
UE1DMzk1NDQ2ODwvY3VzdG9tMj48ZWxlY3Ryb25pYy1yZXNvdXJjZS1udW0+MTAuMTAwNy9zMTA5
OTUtMDEzLTEzMzktMTwvZWxlY3Ryb25pYy1yZXNvdXJjZS1udW0+PC9yZWNvcmQ+PC9DaXRlPjxD
aXRlPjxBdXRob3I+TWVuZGV6PC9BdXRob3I+PFllYXI+MjAxNjwvWWVhcj48UmVjTnVtPjE3NzE8
L1JlY051bT48cmVjb3JkPjxyZWMtbnVtYmVyPjE3NzE8L3JlYy1udW1iZXI+PGZvcmVpZ24ta2V5
cz48a2V5IGFwcD0iRU4iIGRiLWlkPSJleHZhc3JmeDJkdHJhb2VzYXN4cDJzenN4YTJkZjUwMjU5
MngiIHRpbWVzdGFtcD0iMTU4Mjg2NzI2MyI+MTc3MTwva2V5PjxrZXkgYXBwPSJFTldlYiIgZGIt
aWQ9IiI+MDwva2V5PjwvZm9yZWlnbi1rZXlzPjxyZWYtdHlwZSBuYW1lPSJKb3VybmFsIEFydGlj
bGUiPjE3PC9yZWYtdHlwZT48Y29udHJpYnV0b3JzPjxhdXRob3JzPjxhdXRob3I+TWVuZGV6LCBE
LiBELjwvYXV0aG9yPjxhdXRob3I+VGhvcnBlLCBSLiBKLjwvYXV0aG9yPjxhdXRob3I+QW11dGFo
LCBOLjwvYXV0aG9yPjxhdXRob3I+RGF2aXMsIEUuIE0uPC9hdXRob3I+PGF1dGhvcj5XYWxrZXIs
IFIuIEUuPC9hdXRob3I+PGF1dGhvcj5DaGFwcGxlLU1jR3J1ZGVyLCBULjwvYXV0aG9yPjxhdXRo
b3I+Qm9kbmFyLCBMLjwvYXV0aG9yPjwvYXV0aG9ycz48L2NvbnRyaWJ1dG9ycz48YXV0aC1hZGRy
ZXNzPlVuaXZlcnNpdHkgb2YgUGl0dHNidXJnaCwgR3JhZHVhdGUgU2Nob29sIG9mIFB1YmxpYyBI
ZWFsdGgsIERlcGFydG1lbnQgb2YgRXBpZGVtaW9sb2d5LCAxMzAgRGVTb3RvIFN0cmVldCwgUGl0
dHNidXJnaCwgUEEgMTUyNjEsIFVTQS4mI3hEO0pvaG5zIEhvcGtpbnMgVW5pdmVyc2l0eSBCbG9v
bWJlcmcgU2Nob29sIG9mIFB1YmxpYyBIZWFsdGggRGVwYXJ0bWVudCBvZiBIZWFsdGgsIEJlaGF2
aW9yLCBhbmQgU29jaWV0eSwgNjI0IE4uIEJyb2Fkd2F5LCBTdWl0ZSA3MDgsIEJhbHRpbW9yZSwg
TUQgMjEyMDUsIFVTQS4mI3hEO01vbnRjbGFpciBTdGF0ZSBVbml2ZXJzaXR5LCBEZXBhcnRtZW50
IG9mIEhlYWx0aCBhbmQgTnV0cml0aW9uIFNjaWVuY2VzLCAxIE5vcm1hbCBBdmVudWUgVU4tNDE5
MiBVcHBlciwgTW9udGNsYWlyLCBOSiAwNzA0MiwgVVNBLiYjeEQ7VW5pdmVyc2l0eSBvZiBQaXR0
c2J1cmdoLCBNZWRpY2FsIENlbnRlciBDZW50ZXIgZm9yIFJlc2VhcmNoIG9uIEhlYWx0aGNhcmUs
IDIzMCBNY0tlZSBQbCwgU3VpdGUgNjAwLCBQaXR0c2J1cmdoLCBQQSAxNTIxMywgVVNBLiYjeEQ7
VW5pdmVyc2l0eSBvZiBXaXNjb25zaW4tTWlsd2F1a2VlLCBKb3NlcGggSi4gWmlsYmVyIFNjaG9v
bCBvZiBQdWJsaWMgSGVhbHRoLCBCdWlsZGluZyA0MTUsIE1pbHdhdWtlZSwgV0kgNTMyMDEsIFVT
QS4mI3hEO0Vzc2VuY2Ugb2YgUHVibGljIEhlYWx0aCwgMTMwMCBDYXNjYWRlIEZhbGxzIERyaXZl
LCBBdGxhbnRhLCBHQSAzMDMxMSwgVVNBLiYjeEQ7VW5pdmVyc2l0eSBvZiBQaXR0c2J1cmdoLCBT
Y2hvb2wgb2YgTWVkaWNpbmUgRGVwYXJ0bWVudCBvZiBPYnN0ZXRyaWNzLCBHeW5lY29sb2d5LCBh
bmQgUmVwcm9kdWN0aXZlIFNjaWVuY2VzLCBVU0EuPC9hdXRoLWFkZHJlc3M+PHRpdGxlcz48dGl0
bGU+TmVpZ2hib3Job29kIHJhY2lhbCBjb21wb3NpdGlvbiBhbmQgcG92ZXJ0eSBpbiBhc3NvY2lh
dGlvbiB3aXRoIHByZS1wcmVnbmFuY3kgd2VpZ2h0IGFuZCBnZXN0YXRpb25hbCB3ZWlnaHQgZ2Fp
bjwvdGl0bGU+PHNlY29uZGFyeS10aXRsZT5TU00gUG9wdWwgSGVhbHRoPC9zZWNvbmRhcnktdGl0
bGU+PC90aXRsZXM+PHBlcmlvZGljYWw+PGZ1bGwtdGl0bGU+U1NNIFBvcHVsIEhlYWx0aDwvZnVs
bC10aXRsZT48L3BlcmlvZGljYWw+PHBhZ2VzPjY5Mi02OTk8L3BhZ2VzPjx2b2x1bWU+Mjwvdm9s
dW1lPjxlZGl0aW9uPjIwMTYvMDkvMjk8L2VkaXRpb24+PGtleXdvcmRzPjxrZXl3b3JkPk5laWdo
Ym9yaG9vZDwva2V5d29yZD48a2V5d29yZD5Qb3ZlcnR5PC9rZXl3b3JkPjxrZXl3b3JkPlByZWdu
YW5jeTwva2V5d29yZD48a2V5d29yZD5SYWNlPC9rZXl3b3JkPjxrZXl3b3JkPldlaWdodDwva2V5
d29yZD48L2tleXdvcmRzPjxkYXRlcz48eWVhcj4yMDE2PC95ZWFyPjxwdWItZGF0ZXM+PGRhdGU+
RGVjPC9kYXRlPjwvcHViLWRhdGVzPjwvZGF0ZXM+PGlzYm4+MjM1Mi04MjczIChQcmludCkmI3hE
OzIzNTItODI3MyAoTGlua2luZyk8L2lzYm4+PGFjY2Vzc2lvbi1udW0+MjkzNDkxODA8L2FjY2Vz
c2lvbi1udW0+PHVybHM+PHJlbGF0ZWQtdXJscz48dXJsPmh0dHBzOi8vd3d3Lm5jYmkubmxtLm5p
aC5nb3YvcHVibWVkLzI5MzQ5MTgwPC91cmw+PC9yZWxhdGVkLXVybHM+PC91cmxzPjxjdXN0b20y
PlBNQzU3NTc5NTQ8L2N1c3RvbTI+PGVsZWN0cm9uaWMtcmVzb3VyY2UtbnVtPjEwLjEwMTYvai5z
c21waC4yMDE2LjA5LjAwODwvZWxlY3Ryb25pYy1yZXNvdXJjZS1udW0+PC9yZWNvcmQ+PC9DaXRl
PjxDaXRlPjxBdXRob3I+SGVhZGVuPC9BdXRob3I+PFllYXI+MjAxNTwvWWVhcj48UmVjTnVtPjE3
NjA8L1JlY051bT48cmVjb3JkPjxyZWMtbnVtYmVyPjE3NjA8L3JlYy1udW1iZXI+PGZvcmVpZ24t
a2V5cz48a2V5IGFwcD0iRU4iIGRiLWlkPSJleHZhc3JmeDJkdHJhb2VzYXN4cDJzenN4YTJkZjUw
MjU5MngiIHRpbWVzdGFtcD0iMTU4Mjg2NzE1MSI+MTc2MDwva2V5PjxrZXkgYXBwPSJFTldlYiIg
ZGItaWQ9IiI+MDwva2V5PjwvZm9yZWlnbi1rZXlzPjxyZWYtdHlwZSBuYW1lPSJKb3VybmFsIEFy
dGljbGUiPjE3PC9yZWYtdHlwZT48Y29udHJpYnV0b3JzPjxhdXRob3JzPjxhdXRob3I+SGVhZGVu
LCBJLjwvYXV0aG9yPjxhdXRob3I+TXVqYWhpZCwgTS4gUy48L2F1dGhvcj48YXV0aG9yPkNvaGVu
LCBBLiBLLjwvYXV0aG9yPjxhdXRob3I+UmVoa29wZiwgRC4gSC48L2F1dGhvcj48YXV0aG9yPkFi
cmFtcywgQi48L2F1dGhvcj48L2F1dGhvcnM+PC9jb250cmlidXRvcnM+PGF1dGgtYWRkcmVzcz5E
aXZpc2lvbiBvZiBFcGlkZW1pb2xvZ3ksIFVuaXZlcnNpdHkgb2YgQ2FsaWZvcm5pYSwgQmVya2Vs
ZXkgU2Nob29sIG9mIFB1YmxpYyBIZWFsdGgsIDEwMSBIYXZpbGFuZCBIYWxsLCBCZXJrZWxleSwg
Q0EsIFVTQSwgaWhlYWRlbkBiZXJrZWxleS5lZHUuPC9hdXRoLWFkZHJlc3M+PHRpdGxlcz48dGl0
bGU+UmFjaWFsL2V0aG5pYyBkaXNwYXJpdGllcyBpbiBpbmFkZXF1YXRlIGdlc3RhdGlvbmFsIHdl
aWdodCBnYWluIGRpZmZlciBieSBwcmUtcHJlZ25hbmN5IHdlaWdodDwvdGl0bGU+PHNlY29uZGFy
eS10aXRsZT5NYXRlcm4gQ2hpbGQgSGVhbHRoIEo8L3NlY29uZGFyeS10aXRsZT48L3RpdGxlcz48
cGVyaW9kaWNhbD48ZnVsbC10aXRsZT5NYXRlcm4gQ2hpbGQgSGVhbHRoIEo8L2Z1bGwtdGl0bGU+
PC9wZXJpb2RpY2FsPjxwYWdlcz4xNjcyLTg2PC9wYWdlcz48dm9sdW1lPjE5PC92b2x1bWU+PG51
bWJlcj44PC9udW1iZXI+PGVkaXRpb24+MjAxNS8wMi8wNjwvZWRpdGlvbj48a2V5d29yZHM+PGtl
eXdvcmQ+QWZyaWNhbiBDb250aW5lbnRhbCBBbmNlc3RyeSBHcm91cC8qc3RhdGlzdGljcyAmYW1w
OyBudW1lcmljYWwgZGF0YTwva2V5d29yZD48a2V5d29yZD5Cb2R5IE1hc3MgSW5kZXg8L2tleXdv
cmQ+PGtleXdvcmQ+Q2FsaWZvcm5pYS9lcGlkZW1pb2xvZ3k8L2tleXdvcmQ+PGtleXdvcmQ+RXVy
b3BlYW4gQ29udGluZW50YWwgQW5jZXN0cnkgR3JvdXAvKnN0YXRpc3RpY3MgJmFtcDsgbnVtZXJp
Y2FsIGRhdGE8L2tleXdvcmQ+PGtleXdvcmQ+RmVtYWxlPC9rZXl3b3JkPjxrZXl3b3JkPipIZWFs
dGggU3RhdHVzIERpc3Bhcml0aWVzPC9rZXl3b3JkPjxrZXl3b3JkPkhpc3BhbmljIEFtZXJpY2Fu
cy8qc3RhdGlzdGljcyAmYW1wOyBudW1lcmljYWwgZGF0YTwva2V5d29yZD48a2V5d29yZD5IdW1h
bnM8L2tleXdvcmQ+PGtleXdvcmQ+SW5mYW50LCBOZXdib3JuPC9rZXl3b3JkPjxrZXl3b3JkPkxv
bmdpdHVkaW5hbCBTdHVkaWVzPC9rZXl3b3JkPjxrZXl3b3JkPk1hbGU8L2tleXdvcmQ+PGtleXdv
cmQ+TWlub3JpdHkgSGVhbHRoPC9rZXl3b3JkPjxrZXl3b3JkPk9iZXNpdHkvKmVwaWRlbWlvbG9n
eTwva2V5d29yZD48a2V5d29yZD5QcmVnbmFuY3k8L2tleXdvcmQ+PGtleXdvcmQ+UHJlZ25hbmN5
IE91dGNvbWUvZXRobm9sb2d5PC9rZXl3b3JkPjxrZXl3b3JkPldlaWdodCBHYWluLypldGhub2xv
Z3k8L2tleXdvcmQ+PC9rZXl3b3Jkcz48ZGF0ZXM+PHllYXI+MjAxNTwveWVhcj48cHViLWRhdGVz
PjxkYXRlPkF1ZzwvZGF0ZT48L3B1Yi1kYXRlcz48L2RhdGVzPjxpc2JuPjE1NzMtNjYyOCAoRWxl
Y3Ryb25pYykmI3hEOzEwOTItNzg3NSAoTGlua2luZyk8L2lzYm4+PGFjY2Vzc2lvbi1udW0+MjU2
NTIwNTc8L2FjY2Vzc2lvbi1udW0+PHVybHM+PHJlbGF0ZWQtdXJscz48dXJsPmh0dHBzOi8vd3d3
Lm5jYmkubmxtLm5paC5nb3YvcHVibWVkLzI1NjUyMDU3PC91cmw+PC9yZWxhdGVkLXVybHM+PC91
cmxzPjxjdXN0b20yPlBNQzQ1MDM1MDA8L2N1c3RvbTI+PGVsZWN0cm9uaWMtcmVzb3VyY2UtbnVt
PjEwLjEwMDcvczEwOTk1LTAxNS0xNjgyLTU8L2VsZWN0cm9uaWMtcmVzb3VyY2UtbnVtPjwvcmVj
b3JkPjwvQ2l0ZT48L0VuZE5vdGU+AG==
</w:fldData>
        </w:fldChar>
      </w:r>
      <w:r w:rsidR="001A2F28">
        <w:instrText xml:space="preserve"> ADDIN EN.CITE.DATA </w:instrText>
      </w:r>
      <w:r w:rsidR="001A2F28">
        <w:fldChar w:fldCharType="end"/>
      </w:r>
      <w:r>
        <w:fldChar w:fldCharType="separate"/>
      </w:r>
      <w:r w:rsidR="001A2F28" w:rsidRPr="001A2F28">
        <w:rPr>
          <w:noProof/>
          <w:vertAlign w:val="superscript"/>
        </w:rPr>
        <w:t>352-354</w:t>
      </w:r>
      <w:r>
        <w:fldChar w:fldCharType="end"/>
      </w:r>
      <w:r>
        <w:t xml:space="preserve"> have found </w:t>
      </w:r>
      <w:r w:rsidR="00EC2EF8">
        <w:t>that African American women, Hispanic women and women in socially disadvantaged areas are more likely to experience inadequate weight gain.</w:t>
      </w:r>
      <w:r>
        <w:t xml:space="preserve"> </w:t>
      </w:r>
    </w:p>
    <w:p w14:paraId="17A5DFDB" w14:textId="77777777" w:rsidR="000F3D0F" w:rsidRDefault="000F3D0F" w:rsidP="000F3D0F">
      <w:pPr>
        <w:pStyle w:val="Heading4"/>
      </w:pPr>
      <w:r>
        <w:t>Weight gain exceeding guidelines</w:t>
      </w:r>
    </w:p>
    <w:p w14:paraId="5800AE56" w14:textId="51899B71" w:rsidR="00283348" w:rsidRDefault="001D1144" w:rsidP="00283348">
      <w:r>
        <w:t>Systematic reviews have found a</w:t>
      </w:r>
      <w:r w:rsidR="00526547">
        <w:t>ssociations between weight gain exceeding recommendations and:</w:t>
      </w:r>
    </w:p>
    <w:p w14:paraId="18A60E29" w14:textId="73BC7758" w:rsidR="000F3D0F" w:rsidRDefault="00526547" w:rsidP="00526547">
      <w:pPr>
        <w:pStyle w:val="bullet"/>
      </w:pPr>
      <w:r>
        <w:t>body image dissatisfaction</w:t>
      </w:r>
      <w:r w:rsidR="000F3D0F">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EN.CITE.DATA </w:instrText>
      </w:r>
      <w:r w:rsidR="001A2F28">
        <w:fldChar w:fldCharType="end"/>
      </w:r>
      <w:r w:rsidR="000F3D0F">
        <w:fldChar w:fldCharType="separate"/>
      </w:r>
      <w:r w:rsidR="001A2F28" w:rsidRPr="001A2F28">
        <w:rPr>
          <w:noProof/>
          <w:vertAlign w:val="superscript"/>
        </w:rPr>
        <w:t>355,356</w:t>
      </w:r>
      <w:r w:rsidR="000F3D0F">
        <w:fldChar w:fldCharType="end"/>
      </w:r>
      <w:r w:rsidR="001D1144" w:rsidRPr="00C973B8">
        <w:t xml:space="preserve"> </w:t>
      </w:r>
    </w:p>
    <w:p w14:paraId="6671E290" w14:textId="6908111E" w:rsidR="001D1144" w:rsidRDefault="00526547" w:rsidP="00526547">
      <w:pPr>
        <w:pStyle w:val="bullet"/>
      </w:pPr>
      <w:r>
        <w:t xml:space="preserve">lack of </w:t>
      </w:r>
      <w:r w:rsidR="001D1144" w:rsidRPr="00C973B8">
        <w:t>social support</w:t>
      </w:r>
      <w:r w:rsidR="001D1144">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EN.CITE.DATA </w:instrText>
      </w:r>
      <w:r w:rsidR="001A2F28">
        <w:fldChar w:fldCharType="end"/>
      </w:r>
      <w:r w:rsidR="001D1144">
        <w:fldChar w:fldCharType="separate"/>
      </w:r>
      <w:r w:rsidR="001A2F28" w:rsidRPr="001A2F28">
        <w:rPr>
          <w:noProof/>
          <w:vertAlign w:val="superscript"/>
        </w:rPr>
        <w:t>355</w:t>
      </w:r>
      <w:r w:rsidR="001D1144">
        <w:fldChar w:fldCharType="end"/>
      </w:r>
    </w:p>
    <w:p w14:paraId="0963469E" w14:textId="0DED394F" w:rsidR="00526547" w:rsidRDefault="00526547" w:rsidP="00526547">
      <w:pPr>
        <w:pStyle w:val="bullet"/>
      </w:pPr>
      <w:r w:rsidRPr="004E11A7">
        <w:t>concern about weight gain, negative attitude towards weight gain, inaccurate perceptions regarding weight, higher than recommended target weight gain, less knowledge about weight gain, higher levels of cognitive dietary restraint, and perceived barriers to healthy eating</w:t>
      </w:r>
      <w:r>
        <w:fldChar w:fldCharType="begin">
          <w:fldData xml:space="preserve">PEVuZE5vdGU+PENpdGU+PEF1dGhvcj5LYXBhZGlhPC9BdXRob3I+PFllYXI+MjAxNTwvWWVhcj48
UmVjTnVtPjE3NjU8L1JlY051bT48RGlzcGxheVRleHQ+PHN0eWxlIGZhY2U9InN1cGVyc2NyaXB0
IiBmb250PSJUcmVidWNoZXQgTVMiIHNpemU9IjkiPjM1Njwvc3R5bGU+PC9EaXNwbGF5VGV4dD48
cmVjb3JkPjxyZWMtbnVtYmVyPjE3NjU8L3JlYy1udW1iZXI+PGZvcmVpZ24ta2V5cz48a2V5IGFw
cD0iRU4iIGRiLWlkPSJleHZhc3JmeDJkdHJhb2VzYXN4cDJzenN4YTJkZjUwMjU5MngiIHRpbWVz
dGFtcD0iMTU4Mjg2NzIwMCI+MTc2NTwva2V5PjxrZXkgYXBwPSJFTldlYiIgZGItaWQ9IiI+MDwv
a2V5PjwvZm9yZWlnbi1rZXlzPjxyZWYtdHlwZSBuYW1lPSJKb3VybmFsIEFydGljbGUiPjE3PC9y
ZWYtdHlwZT48Y29udHJpYnV0b3JzPjxhdXRob3JzPjxhdXRob3I+S2FwYWRpYSwgTS4gWi48L2F1
dGhvcj48YXV0aG9yPkdhc3RvbiwgQS48L2F1dGhvcj48YXV0aG9yPlZhbiBCbHlkZXJ2ZWVuLCBT
LjwvYXV0aG9yPjxhdXRob3I+U2NobWlkdCwgTC48L2F1dGhvcj48YXV0aG9yPkJleWVuZSwgSi48
L2F1dGhvcj48YXV0aG9yPk1jRG9uYWxkLCBILjwvYXV0aG9yPjxhdXRob3I+TWNEb25hbGQsIFMu
IEQuPC9hdXRob3I+PC9hdXRob3JzPjwvY29udHJpYnV0b3JzPjxhdXRoLWFkZHJlc3M+RGVwYXJ0
bWVudCBvZiBPYnN0ZXRyaWNzIGFuZCBHeW5lY29sb2d5LCBNY01hc3RlciBVbml2ZXJzaXR5LCBI
YW1pbHRvbiwgQ2FuYWRhLiBtdWZpemEuZmFyaWRAZ21haWwuY29tLiYjeEQ7U2Nob29sIG9mIEtp
bmVzaW9sb2d5LCBVbml2ZXJzaXR5IG9mIFdlc3Rlcm4gT250YXJpbywgTG9uZG9uLCBPbnRhcmlv
LCBDYW5hZGEuIGFnYXN0b24yQHV3by5jYS4mI3hEO05ldyBMZWFmIFBzeWNob2xvZ3ksIE1pbHRv
biwgQ2FuYWRhLiBkci5zaGVycnlAbmV3bGVhZnBzeWNob2xvZ3kuY2EuJiN4RDtEZXBhcnRtZW50
IG9mIFBzeWNob2xvZ3ksIE5ldXJvc2NpZW5jZSAmYW1wOyBCZWhhdmlvciwgTWNNYXN0ZXIgVW5p
dmVyc2l0eSwgSGFtaWx0b24sIENhbmFkYS4gc2NobWlkdGxAbWNtYXN0ZXIuY2EuJiN4RDtEZXBh
cnRtZW50IENsaW5pY2FsIEVwaWRlbWlvbG9neSBhbmQgQmlvc3RhdGlzdGljcywgTWNNYXN0ZXIg
VW5pdmVyc2l0eSwgSGFtaWx0b24sIENhbmFkYS4gYmV5ZW5lQG1jbWFzdGVyLmNhLiYjeEQ7TWlk
d2lmZXJ5IEVkdWNhdGlvbiBQcm9ncmFtLCBEZXBhcnRtZW50IG9mIEZhbWlseSBNZWRpY2luZSwg
TWNNYXN0ZXIgVW5pdmVyc2l0eSwgSGFtaWx0b24sIENhbmFkYS4gbWNkb25hbEBtY21hc3Rlci5j
YS4mI3hEO0RpdmlzaW9uIG9mIE1hdGVybmFsLUZldGFsIE1lZGljaW5lLCBEZXBhcnRtZW50cyBv
ZiBPYnN0ZXRyaWNzICZhbXA7IEd5bmVjb2xvZ3ksIFJhZGlvbG9neSwgYW5kIENsaW5pY2FsIEVw
aWRlbWlvbG9neSAmYW1wOyBCaW9zdGF0aXN0aWNzLCBNY01hc3RlciBVbml2ZXJzaXR5LCAxMjgw
IE1haW4gU3RyZWV0IFdlc3QsIHJvb20gM041MkIsIEhhbWlsdG9uLCBPbnRhcmlvLCBMOFMgNEsx
LCBDYW5hZGEuIG1jZG9uYWxzQG1jbWFzdGVyLmNhLjwvYXV0aC1hZGRyZXNzPjx0aXRsZXM+PHRp
dGxlPlBzeWNob2xvZ2ljYWwgYW50ZWNlZGVudHMgb2YgZXhjZXNzIGdlc3RhdGlvbmFsIHdlaWdo
dCBnYWluOiBhIHN5c3RlbWF0aWMgcmV2aWV3PC90aXRsZT48c2Vjb25kYXJ5LXRpdGxlPkJNQyBQ
cmVnbmFuY3kgQ2hpbGRiaXJ0aDwvc2Vjb25kYXJ5LXRpdGxlPjwvdGl0bGVzPjxwZXJpb2RpY2Fs
PjxmdWxsLXRpdGxlPkJNQyBQcmVnbmFuY3kgQ2hpbGRiaXJ0aDwvZnVsbC10aXRsZT48L3Blcmlv
ZGljYWw+PHBhZ2VzPjEwNzwvcGFnZXM+PHZvbHVtZT4xNTwvdm9sdW1lPjxlZGl0aW9uPjIwMTUv
MDUvMDM8L2VkaXRpb24+PGtleXdvcmRzPjxrZXl3b3JkPkFkdWx0PC9rZXl3b3JkPjxrZXl3b3Jk
PkJvZHkgTWFzcyBJbmRleDwva2V5d29yZD48a2V5d29yZD5GZW1hbGU8L2tleXdvcmQ+PGtleXdv
cmQ+R2VzdGF0aW9uYWwgQWdlPC9rZXl3b3JkPjxrZXl3b3JkPkh1bWFuczwva2V5d29yZD48a2V5
d29yZD5JbmNpZGVuY2U8L2tleXdvcmQ+PGtleXdvcmQ+SW5mYW50LCBOZXdib3JuPC9rZXl3b3Jk
PjxrZXl3b3JkPk9iZXNpdHkvcGh5c2lvcGF0aG9sb2d5L3BzeWNob2xvZ3k8L2tleXdvcmQ+PGtl
eXdvcmQ+UHJlZ25hbmN5PC9rZXl3b3JkPjxrZXl3b3JkPlByZWduYW5jeSBDb21wbGljYXRpb25z
L2VwaWRlbWlvbG9neS8qcHN5Y2hvbG9neTwva2V5d29yZD48a2V5d29yZD4qUHJlZ25hbmN5IE91
dGNvbWU8L2tleXdvcmQ+PGtleXdvcmQ+UHJlZ25hbnQgV29tZW4vKnBzeWNob2xvZ3k8L2tleXdv
cmQ+PGtleXdvcmQ+UHN5Y2hvbG9neTwva2V5d29yZD48a2V5d29yZD5SaXNrIEFzc2Vzc21lbnQ8
L2tleXdvcmQ+PGtleXdvcmQ+KldlaWdodCBHYWluPC9rZXl3b3JkPjwva2V5d29yZHM+PGRhdGVz
Pjx5ZWFyPjIwMTU8L3llYXI+PHB1Yi1kYXRlcz48ZGF0ZT5NYXkgMjwvZGF0ZT48L3B1Yi1kYXRl
cz48L2RhdGVzPjxpc2JuPjE0NzEtMjM5MyAoRWxlY3Ryb25pYykmI3hEOzE0NzEtMjM5MyAoTGlu
a2luZyk8L2lzYm4+PGFjY2Vzc2lvbi1udW0+MjU5MzM2MDQ8L2FjY2Vzc2lvbi1udW0+PHVybHM+
PHJlbGF0ZWQtdXJscz48dXJsPmh0dHBzOi8vd3d3Lm5jYmkubmxtLm5paC5nb3YvcHVibWVkLzI1
OTMzNjA0PC91cmw+PC9yZWxhdGVkLXVybHM+PC91cmxzPjxjdXN0b20yPlBNQzQ1MTg2MDk8L2N1
c3RvbTI+PGVsZWN0cm9uaWMtcmVzb3VyY2UtbnVtPjEwLjExODYvczEyODg0LTAxNS0wNTM1LXk8
L2VsZWN0cm9uaWMtcmVzb3VyY2UtbnVtPjwvcmVjb3JkPjwvQ2l0ZT48L0VuZE5vdGU+
</w:fldData>
        </w:fldChar>
      </w:r>
      <w:r w:rsidR="001A2F28">
        <w:instrText xml:space="preserve"> ADDIN EN.CITE </w:instrText>
      </w:r>
      <w:r w:rsidR="001A2F28">
        <w:fldChar w:fldCharType="begin">
          <w:fldData xml:space="preserve">PEVuZE5vdGU+PENpdGU+PEF1dGhvcj5LYXBhZGlhPC9BdXRob3I+PFllYXI+MjAxNTwvWWVhcj48
UmVjTnVtPjE3NjU8L1JlY051bT48RGlzcGxheVRleHQ+PHN0eWxlIGZhY2U9InN1cGVyc2NyaXB0
IiBmb250PSJUcmVidWNoZXQgTVMiIHNpemU9IjkiPjM1Njwvc3R5bGU+PC9EaXNwbGF5VGV4dD48
cmVjb3JkPjxyZWMtbnVtYmVyPjE3NjU8L3JlYy1udW1iZXI+PGZvcmVpZ24ta2V5cz48a2V5IGFw
cD0iRU4iIGRiLWlkPSJleHZhc3JmeDJkdHJhb2VzYXN4cDJzenN4YTJkZjUwMjU5MngiIHRpbWVz
dGFtcD0iMTU4Mjg2NzIwMCI+MTc2NTwva2V5PjxrZXkgYXBwPSJFTldlYiIgZGItaWQ9IiI+MDwv
a2V5PjwvZm9yZWlnbi1rZXlzPjxyZWYtdHlwZSBuYW1lPSJKb3VybmFsIEFydGljbGUiPjE3PC9y
ZWYtdHlwZT48Y29udHJpYnV0b3JzPjxhdXRob3JzPjxhdXRob3I+S2FwYWRpYSwgTS4gWi48L2F1
dGhvcj48YXV0aG9yPkdhc3RvbiwgQS48L2F1dGhvcj48YXV0aG9yPlZhbiBCbHlkZXJ2ZWVuLCBT
LjwvYXV0aG9yPjxhdXRob3I+U2NobWlkdCwgTC48L2F1dGhvcj48YXV0aG9yPkJleWVuZSwgSi48
L2F1dGhvcj48YXV0aG9yPk1jRG9uYWxkLCBILjwvYXV0aG9yPjxhdXRob3I+TWNEb25hbGQsIFMu
IEQuPC9hdXRob3I+PC9hdXRob3JzPjwvY29udHJpYnV0b3JzPjxhdXRoLWFkZHJlc3M+RGVwYXJ0
bWVudCBvZiBPYnN0ZXRyaWNzIGFuZCBHeW5lY29sb2d5LCBNY01hc3RlciBVbml2ZXJzaXR5LCBI
YW1pbHRvbiwgQ2FuYWRhLiBtdWZpemEuZmFyaWRAZ21haWwuY29tLiYjeEQ7U2Nob29sIG9mIEtp
bmVzaW9sb2d5LCBVbml2ZXJzaXR5IG9mIFdlc3Rlcm4gT250YXJpbywgTG9uZG9uLCBPbnRhcmlv
LCBDYW5hZGEuIGFnYXN0b24yQHV3by5jYS4mI3hEO05ldyBMZWFmIFBzeWNob2xvZ3ksIE1pbHRv
biwgQ2FuYWRhLiBkci5zaGVycnlAbmV3bGVhZnBzeWNob2xvZ3kuY2EuJiN4RDtEZXBhcnRtZW50
IG9mIFBzeWNob2xvZ3ksIE5ldXJvc2NpZW5jZSAmYW1wOyBCZWhhdmlvciwgTWNNYXN0ZXIgVW5p
dmVyc2l0eSwgSGFtaWx0b24sIENhbmFkYS4gc2NobWlkdGxAbWNtYXN0ZXIuY2EuJiN4RDtEZXBh
cnRtZW50IENsaW5pY2FsIEVwaWRlbWlvbG9neSBhbmQgQmlvc3RhdGlzdGljcywgTWNNYXN0ZXIg
VW5pdmVyc2l0eSwgSGFtaWx0b24sIENhbmFkYS4gYmV5ZW5lQG1jbWFzdGVyLmNhLiYjeEQ7TWlk
d2lmZXJ5IEVkdWNhdGlvbiBQcm9ncmFtLCBEZXBhcnRtZW50IG9mIEZhbWlseSBNZWRpY2luZSwg
TWNNYXN0ZXIgVW5pdmVyc2l0eSwgSGFtaWx0b24sIENhbmFkYS4gbWNkb25hbEBtY21hc3Rlci5j
YS4mI3hEO0RpdmlzaW9uIG9mIE1hdGVybmFsLUZldGFsIE1lZGljaW5lLCBEZXBhcnRtZW50cyBv
ZiBPYnN0ZXRyaWNzICZhbXA7IEd5bmVjb2xvZ3ksIFJhZGlvbG9neSwgYW5kIENsaW5pY2FsIEVw
aWRlbWlvbG9neSAmYW1wOyBCaW9zdGF0aXN0aWNzLCBNY01hc3RlciBVbml2ZXJzaXR5LCAxMjgw
IE1haW4gU3RyZWV0IFdlc3QsIHJvb20gM041MkIsIEhhbWlsdG9uLCBPbnRhcmlvLCBMOFMgNEsx
LCBDYW5hZGEuIG1jZG9uYWxzQG1jbWFzdGVyLmNhLjwvYXV0aC1hZGRyZXNzPjx0aXRsZXM+PHRp
dGxlPlBzeWNob2xvZ2ljYWwgYW50ZWNlZGVudHMgb2YgZXhjZXNzIGdlc3RhdGlvbmFsIHdlaWdo
dCBnYWluOiBhIHN5c3RlbWF0aWMgcmV2aWV3PC90aXRsZT48c2Vjb25kYXJ5LXRpdGxlPkJNQyBQ
cmVnbmFuY3kgQ2hpbGRiaXJ0aDwvc2Vjb25kYXJ5LXRpdGxlPjwvdGl0bGVzPjxwZXJpb2RpY2Fs
PjxmdWxsLXRpdGxlPkJNQyBQcmVnbmFuY3kgQ2hpbGRiaXJ0aDwvZnVsbC10aXRsZT48L3Blcmlv
ZGljYWw+PHBhZ2VzPjEwNzwvcGFnZXM+PHZvbHVtZT4xNTwvdm9sdW1lPjxlZGl0aW9uPjIwMTUv
MDUvMDM8L2VkaXRpb24+PGtleXdvcmRzPjxrZXl3b3JkPkFkdWx0PC9rZXl3b3JkPjxrZXl3b3Jk
PkJvZHkgTWFzcyBJbmRleDwva2V5d29yZD48a2V5d29yZD5GZW1hbGU8L2tleXdvcmQ+PGtleXdv
cmQ+R2VzdGF0aW9uYWwgQWdlPC9rZXl3b3JkPjxrZXl3b3JkPkh1bWFuczwva2V5d29yZD48a2V5
d29yZD5JbmNpZGVuY2U8L2tleXdvcmQ+PGtleXdvcmQ+SW5mYW50LCBOZXdib3JuPC9rZXl3b3Jk
PjxrZXl3b3JkPk9iZXNpdHkvcGh5c2lvcGF0aG9sb2d5L3BzeWNob2xvZ3k8L2tleXdvcmQ+PGtl
eXdvcmQ+UHJlZ25hbmN5PC9rZXl3b3JkPjxrZXl3b3JkPlByZWduYW5jeSBDb21wbGljYXRpb25z
L2VwaWRlbWlvbG9neS8qcHN5Y2hvbG9neTwva2V5d29yZD48a2V5d29yZD4qUHJlZ25hbmN5IE91
dGNvbWU8L2tleXdvcmQ+PGtleXdvcmQ+UHJlZ25hbnQgV29tZW4vKnBzeWNob2xvZ3k8L2tleXdv
cmQ+PGtleXdvcmQ+UHN5Y2hvbG9neTwva2V5d29yZD48a2V5d29yZD5SaXNrIEFzc2Vzc21lbnQ8
L2tleXdvcmQ+PGtleXdvcmQ+KldlaWdodCBHYWluPC9rZXl3b3JkPjwva2V5d29yZHM+PGRhdGVz
Pjx5ZWFyPjIwMTU8L3llYXI+PHB1Yi1kYXRlcz48ZGF0ZT5NYXkgMjwvZGF0ZT48L3B1Yi1kYXRl
cz48L2RhdGVzPjxpc2JuPjE0NzEtMjM5MyAoRWxlY3Ryb25pYykmI3hEOzE0NzEtMjM5MyAoTGlu
a2luZyk8L2lzYm4+PGFjY2Vzc2lvbi1udW0+MjU5MzM2MDQ8L2FjY2Vzc2lvbi1udW0+PHVybHM+
PHJlbGF0ZWQtdXJscz48dXJsPmh0dHBzOi8vd3d3Lm5jYmkubmxtLm5paC5nb3YvcHVibWVkLzI1
OTMzNjA0PC91cmw+PC9yZWxhdGVkLXVybHM+PC91cmxzPjxjdXN0b20yPlBNQzQ1MTg2MDk8L2N1
c3RvbTI+PGVsZWN0cm9uaWMtcmVzb3VyY2UtbnVtPjEwLjExODYvczEyODg0LTAxNS0wNTM1LXk8
L2VsZWN0cm9uaWMtcmVzb3VyY2UtbnVtPjwvcmVjb3JkPjwvQ2l0ZT48L0VuZE5vdGU+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356</w:t>
      </w:r>
      <w:r>
        <w:fldChar w:fldCharType="end"/>
      </w:r>
      <w:r w:rsidRPr="004E11A7">
        <w:t xml:space="preserve"> </w:t>
      </w:r>
    </w:p>
    <w:p w14:paraId="31D0E2FC" w14:textId="332721FF" w:rsidR="00D078E1" w:rsidRDefault="00D078E1" w:rsidP="00526547">
      <w:pPr>
        <w:pStyle w:val="bullet"/>
      </w:pPr>
      <w:r>
        <w:t>lower educational attainment.</w:t>
      </w:r>
      <w:r w:rsidR="00D07346">
        <w:fldChar w:fldCharType="begin">
          <w:fldData xml:space="preserve">PEVuZE5vdGU+PENpdGU+PEF1dGhvcj5PJmFwb3M7QnJpZW48L0F1dGhvcj48WWVhcj4yMDE5PC9Z
ZWFyPjxSZWNOdW0+MTkzMjwvUmVjTnVtPjxEaXNwbGF5VGV4dD48c3R5bGUgZmFjZT0ic3VwZXJz
Y3JpcHQiIGZvbnQ9IlRyZWJ1Y2hldCBNUyIgc2l6ZT0iOSI+MzUwPC9zdHlsZT48L0Rpc3BsYXlU
ZXh0PjxyZWNvcmQ+PHJlYy1udW1iZXI+MTkzMjwvcmVjLW51bWJlcj48Zm9yZWlnbi1rZXlzPjxr
ZXkgYXBwPSJFTiIgZGItaWQ9ImV4dmFzcmZ4MmR0cmFvZXNhc3hwMnN6c3hhMmRmNTAyNTkyeCIg
dGltZXN0YW1wPSIxNTg4NjU0Mzc5Ij4xOTMyPC9rZXk+PGtleSBhcHA9IkVOV2ViIiBkYi1pZD0i
Ij4wPC9rZXk+PC9mb3JlaWduLWtleXM+PHJlZi10eXBlIG5hbWU9IkpvdXJuYWwgQXJ0aWNsZSI+
MTc8L3JlZi10eXBlPjxjb250cmlidXRvcnM+PGF1dGhvcnM+PGF1dGhvcj5PJmFwb3M7QnJpZW4s
IEUuIEMuPC9hdXRob3I+PGF1dGhvcj5TZWd1cmFkbywgUi48L2F1dGhvcj48YXV0aG9yPkdlcmFn
aHR5LCBBLiBBLjwvYXV0aG9yPjxhdXRob3I+QWxiZXJkaSwgRy48L2F1dGhvcj48YXV0aG9yPlJv
Z296aW5za2EsIEUuPC9hdXRob3I+PGF1dGhvcj5Bc3RydXAsIEEuPC9hdXRob3I+PGF1dGhvcj5C
YXJha2F0IENhcmJhbGxvLCBSLjwvYXV0aG9yPjxhdXRob3I+Qm9nYWVydHMsIEEuPC9hdXRob3I+
PGF1dGhvcj5DZWNhdHRpLCBKLiBHLjwvYXV0aG9yPjxhdXRob3I+Q29vbWFyYXNhbXksIEEuPC9h
dXRob3I+PGF1dGhvcj5kZSBHcm9vdCwgQy4gSi4gTS48L2F1dGhvcj48YXV0aG9yPkRldmxpZWdl
ciwgUi48L2F1dGhvcj48YXV0aG9yPkRvZGQsIEouIE0uPC9hdXRob3I+PGF1dGhvcj5FbCBCZWx0
YWd5LCBOLjwvYXV0aG9yPjxhdXRob3I+RmFjY2hpbmV0dGksIEYuPC9hdXRob3I+PGF1dGhvcj5H
ZWlrZXIsIE4uPC9hdXRob3I+PGF1dGhvcj5HdWVsZmksIEsuPC9hdXRob3I+PGF1dGhvcj5IYWFr
c3RhZCwgTC48L2F1dGhvcj48YXV0aG9yPkhhcnJpc29uLCBDLjwvYXV0aG9yPjxhdXRob3I+SGF1
bmVyLCBILjwvYXV0aG9yPjxhdXRob3I+SmVuc2VuLCBELiBNLjwvYXV0aG9yPjxhdXRob3I+S2hh
biwgSy48L2F1dGhvcj48YXV0aG9yPktpbm51bmVuLCBULiBJLjwvYXV0aG9yPjxhdXRob3I+THVv
dG8sIFIuPC9hdXRob3I+PGF1dGhvcj5XaWxsZW0gTW9sLCBCLjwvYXV0aG9yPjxhdXRob3I+TW9y
a3ZlZCwgUy48L2F1dGhvcj48YXV0aG9yPk1vdGFoYXJpLVRhYmFyaSwgTi48L2F1dGhvcj48YXV0
aG9yPk93ZW5zLCBKLiBBLjwvYXV0aG9yPjxhdXRob3I+UGVyYWxlcywgTS48L2F1dGhvcj48YXV0
aG9yPlBldHJlbGxhLCBFLjwvYXV0aG9yPjxhdXRob3I+UGhlbGFuLCBTLjwvYXV0aG9yPjxhdXRo
b3I+UG9zdG9uLCBMLjwvYXV0aG9yPjxhdXRob3I+UmF1aCwgSy48L2F1dGhvcj48YXV0aG9yPlJh
eWFuYWdvdWRhciwgRy48L2F1dGhvcj48YXV0aG9yPlJlbmF1bHQsIEsuIE0uPC9hdXRob3I+PGF1
dGhvcj5SdWlmcm9rLCBBLiBFLjwvYXV0aG9yPjxhdXRob3I+U2FnZWRhbCwgTC48L2F1dGhvcj48
YXV0aG9yPlNhbHZlc2VuLCBLLiBBLjwvYXV0aG9yPjxhdXRob3I+U2N1ZGVsbGVyLCBULiBULjwv
YXV0aG9yPjxhdXRob3I+U2hlbiwgRy48L2F1dGhvcj48YXV0aG9yPlNodWIsIEEuPC9hdXRob3I+
PGF1dGhvcj5TdGFmbmUsIFMuIE4uPC9hdXRob3I+PGF1dGhvcj5TdXJpdGEsIEYuIEcuPC9hdXRo
b3I+PGF1dGhvcj5UaGFuZ2FyYXRpbmFtLCBTLjwvYXV0aG9yPjxhdXRob3I+VG9uc3RhZCwgUy48
L2F1dGhvcj48YXV0aG9yPnZhbiBQb3BwZWwsIE0uIE4uIE0uPC9hdXRob3I+PGF1dGhvcj5WaW50
ZXIsIEMuPC9hdXRob3I+PGF1dGhvcj5WaXN0YWQsIEkuPC9hdXRob3I+PGF1dGhvcj5ZZW8sIFMu
PC9hdXRob3I+PGF1dGhvcj5NY0F1bGlmZmUsIEYuIE0uPC9hdXRob3I+PGF1dGhvcj5pLCBXLiBJ
LiBQLiBDb2xsYWJvcmF0aXZlIEdyb3VwPC9hdXRob3I+PC9hdXRob3JzPjwvY29udHJpYnV0b3Jz
PjxhdXRoLWFkZHJlc3M+VUNEIFBlcmluYXRhbCBSZXNlYXJjaCBDZW50cmUsIE9ic3RldHJpY3Mg
YW5kIEd5bmFlY29sb2d5LCBVQ0QgU2Nob29sIG9mIE1lZGljaW5lLCBVbml2ZXJzaXR5IENvbGxl
Z2UgRHVibGluLCBEdWJsaW4sIElyZWxhbmQuJiN4RDtDZW50cmUgZm9yIFN1cHBvcnQgYW5kIFRy
YWluaW5nIGluIEFuYWx5c2lzIGFuZCBSZXNlYXJjaCAoQ1NUQVIpLCBTY2hvb2wgb2YgUHVibGlj
IEhlYWx0aCwgUGh5c2lvdGhlcmFweSBhbmQgU3BvcnRzIFNjaWVuY2UsIFVuaXZlcnNpdHkgQ29s
bGVnZSBEdWJsaW4sIER1YmxpbiwgSXJlbGFuZC4mI3hEO1dvbWVuJmFwb3M7cyBIZWFsdGggUmVz
ZWFyY2ggVW5pdCwgQmFydHMgYW5kIFRoZSBMb25kb24gU2Nob29sIG9mIE1lZGljaW5lIGFuZCBE
ZW50aXN0cnksIFF1ZWVuIE1hcnkgVW5pdmVyc2l0eSBvZiBMb25kb24sIExvbmRvbiwgVUsuJiN4
RDtNdWx0aWRpc2NpcGxpbmFyeSBFdmlkZW5jZSBTeW50aGVzaXMgSHViIChtRXNoKSwgQmFydHMg
YW5kIFRoZSBMb25kb24gU2Nob29sIG9mIE1lZGljaW5lIGFuZCBEZW50aXN0cnksIFF1ZWVuIE1h
cnkgVW5pdmVyc2l0eSBvZiBMb25kb24sIExvbmRvbiwgVUsuJiN4RDtEZXBhcnRtZW50IG9mIE51
dHJpdGlvbiwgRXhlcmNpc2UgYW5kIFNwb3J0cywgVW5pdmVzaXR5IG9mIENvcGVuaGFnZW4sIENv
cGVuaGFnZW4sIERlbm1hcmsuJiN4RDtGYWN1bHRhZCBkZSBDaWVuY2lhcyBkZSBsYSBBY3Rpdmlk
YWQgRmlzaWNhIHkgZGVsIERlcG9ydGUgKElORUYpLCBVbml2ZXJzaWRhZCBQb2xpdGVjbmljYSBk
ZSBNYWRyaWQsIE1hZHJpZCwgU3BhaW4uJiN4RDtEZXBhcnRtZW50IG9mIERldmVsb3BtZW50IGFu
ZCBSZWdlbmVyYXRpb24gS1UgTGV1dmVuLCBVbml2ZXJzaXR5IG9mIExldXZlbiwgTGV1dmVuLCBC
ZWxnaXVtLiYjeEQ7RmFjdWx0eSBvZiBIZWFsdGggYW5kIFNvY2lhbCBXb3JrLCBVQyBMZXV2ZW4t
TGltYnVyZywgTGV1dmVuLCBCZWxnaXVtLiYjeEQ7RmFjdWx0eSBvZiBNZWRpY2luZSBhbmQgSGVh
bHRoIFNjaWVuY2VzLCBDZW50cmUgZm9yIFJlc2VhcmNoIGFuZCBJbm5vdmF0aW9uIGluIENhcmUg
KENSSUMpLCBVbml2ZXJzaXR5IG9mIEFudHdlcnAsIEJlbGdpdW0uJiN4RDtPYnN0ZXRyaWNzIGFu
ZCBHeW5lY29sb2d5LCBTY2hvb2wgb2YgTWVkaWNhbCBTY2llbmNlcywgVW5pdmVyc2l0eSBvZiBD
YW1waW5hcywgQ2FtcGluYXMsIEJyYXppbC4mI3hEO1NjaG9vbCBvZiBDbGluaWNhbCBhbmQgRXhw
ZXJpbWVudGFsIE1lZGljaW5lLCBDb2xsZWdlIG9mIE1lZGljYWwgYW5kIERlbnRhbCBTY2llbmNl
cywgVW5pdmVyc2l0eSBvZiBCaXJtaW5naGFtLCBCaXJtaW5naGFtLCBVSy4mI3hEO09ic3RldHJp
Y3MgYW5kIEd5bmFlY29sb2d5LCBGYWN1bHR5IG9mIE1lZGljaW5lLCBWVSBVbml2ZXJzaXR5IE1l
ZGljYWwgQ2VudGVyLCBBbXN0ZXJkYW0sIFRoZSBOZXRoZXJsYW5kcy4mI3hEO0RlcGFydG1lbnQg
b2YgT2JzdGV0cmljcyBhbmQgR3luZWNvbG9neSwgVW5pdmVyc2l0YWlyZSBaaWVrZW5odWl6ZW4g
TGV1dmVuLCBMZXV2ZW4sIEJlbGdpdW0uJiN4RDtPYnN0ZXRyaWNzIGFuZCBHeW5hZWNvbG9neSwg
U2Nob29sIG9mIFBhZWRpYXRyaWNzIGFuZCBSZXByb2R1Y3RpdmUgSGVhbHRoLCBUaGUgVW52ZXJz
aXR5IG9mIEFkZWxhaWRlLCBBZGVsYWlkZSwgQXVzdHJhbGlhLiYjeEQ7RGVwYXJ0bWVudCBvZiBP
YnN0ZXRyaWNzIGFuZCBHeW5lY29sb2d5LCBBbGV4YW5kcmlhIFVuaXZlcnNpdHksIEFsZXhhbmRy
aWEsIEVneXB0LiYjeEQ7TW90aGVyLUluZmFudCBEZXBhcnRtZW50LCBVbml2ZXJzaXR5IG9mIE1v
ZGVuYSBhbmQgUmVnZ2lvIEVtaWxpYSwgTW9kZW5hLCBJdGFseS4mI3hEO0NsaW5pY2FsIE51dHJp
dGlvbiBSZXNlYXJjaCwgQ29wZW5oYWdlbiBVbml2ZXJzaXR5IEhvc3BpdGFsIEhlcmxldi1HZW50
b2Z0ZSwgR2VudG9mdGUsIERlbm1hcmsuJiN4RDtTY2hvb2wgb2YgSHVtYW4gU2NpZW5jZXMsIFRo
ZSBVbml2ZXJzaXR5IG9mIFdlc3Rlcm4gQXVzdHJhbGlhLCBQZXJ0aCwgQXVzdHJhbGlhLiYjeEQ7
RGVwYXJ0bWVudCBvZiBTcG9ydHMgTWVkaWNpbmUsIE5vcndlZ2lhbiBTY2hvb2wgb2YgU3BvcnQg
U2NpZW5jZXMsIE9zbG8sIE5vcndheS4mI3hEO01vbmFzaCBDZW50cmUgZm9yIEhlYWx0aCBSZXNl
YXJjaCBhbmQgSW1wbGVtZW50YXRpb24sIFNjaG9vbCBvZiBQdWJsaWMgSGVhbHRoIGFuZCBQcmV2
ZW50aXZlIE1lZGljaW5lLCBNb25hc2ggVW5pdmVyc2l0eSwgTWVsYm91cm5lLCBWaWN0b3JpYSwg
QXVzdHJhbGlhLiYjeEQ7RWxzZSBLcm9lbmVyLUZyZXNlbml1cy1DZW50ZXIgZm9yIE51dHJpdGlv
bmFsIE1lZGljaW5lLCBLbGluaWt1bSByZWNodHMgZGVyIElzYXIsIFRlY2huaXNjaGUgVW5pdmVy
c2l0YXQgTXVuY2hlbiwgTXVuaWNoLCBHZXJtYW55LiYjeEQ7RGVwYXJ0bWVudCBvZiBFbmRvY3Jp
bm9sb2d5LCBPZGVuc2UgVW5pdmVyc2l0eSBIb3NwaXRhbCwgVW5pdmVyc2l0eSBvZiBTb3V0aGVy
biBEZW5tYXJrLCBPZGVuc2UsIERlbm1hcmsuJiN4RDtIZWFsdGggU2NpZW5jZXMsIEZhY3VsdHkg
b2YgU29jaWFsIFNjaWVuY2VzLCBVbml2ZXJzaXR5IG9mIFRhbXBlcmUsIFRhbXBlcmUsIEZpbmxh
bmQuJiN4RDtSb2JpbnNvbiBJbnN0aXR1dGUsIFNjaG9vbCBvZiBQYWVkaWF0cmljcyBhbmQgUmVw
cm9kdWN0aXZlIEhlYWx0aCwgVGhlIFVuaXZlcnNpdHkgb2YgQWRlbGFpZGUsIEFkZWxhaWRlLCBB
dXN0cmFsaWEuJiN4RDtEZXBhcnRtZW50IG9mIFB1YmxpYyBIZWFsdGggYW5kIEdlbmVyYWwgUHJh
Y3RpY2UsIEZhY3VsdHkgb2YgTWVkaWNpbmUsIE5vcndlZ2lhbiBVbml2ZXJzaXR5IG9mIFNjaWVu
Y2UgYW5kIFRlY2hub2xvZ3ksIFRyb25kaGVpbSwgTm9yd2F5LiYjeEQ7Q2xpbmljYWwgU2Vydmlj
ZXMsIFN0LiBPbGF2cyBIb3NwaXRhbCwgVHJvbmRoZWltIFVuaXZlcnNpdHkgSG9zcGl0YWwsIFRy
b25kaGVpbSwgTm9yd2F5LiYjeEQ7TWlkd2lmZXJ5IERlcGFydG1lbnQsIEZhY3VsdHkgb2YgTnVy
c2luZyBhbmQgTWlkd2lmZXJ5LCBNYXphbmRhcmFuIFVuaXZlcnNpdHkgb2YgTWVkaWNhbCBTY2ll
bmNlLCBTYXJpLCBJcmFuLiYjeEQ7S2luZXNpb2xvZ3kgRGVwYXJ0bWVudCwgQ29sbGVnZSBvZiBT
Y2llbmNlIGFuZCBNYXRoZW1hdGljcywgQ2FsaWZvcm5pYSBQb2x5dGVjaG5pYyBTdGF0ZSBVbml2
ZXJzaXR5LCBTYW4gTHVpcyBPYmlzcG8sIENhbGlmb3JuaWEsIFVTQS4mI3hEO0RlcGFydG1lbnQg
b2YgV29tZW4gYW5kIENoaWxkcmVuJmFwb3M7cyBIZWFsdGgsIFNjaG9vbCBvZiBMaWZlIENvdXJz
ZSBTY2llbmNlcywgS2luZyZhcG9zO3MgQ29sbGVnZSBMb25kb24sIExvbmRvbiwgVUsuJiN4RDtO
dXRyaXRpb24gSW5mb3JtYXRpb24gYW5kIEtub3dsZWRnZSBUcmFuc2ZlciwgQ29tcGV0ZW5jZSBD
ZW50cmUgZm9yIE51dHJpdGlvbiAoS0VybiksIEZyZWlzaW5nLCBHZXJtYW55LiYjeEQ7RGVwYXJ0
bWVudCBvZiBPYnN0ZXRyaWNzIGFuZCBHeW5lY29sb2d5LCBIdmlkb3ZyZSBIb3NwaXRhbCwgVW5p
dmVyc2l0eSBvZiBDb3BlbmhhZ2VuLCBDb3BlbmhhZ2VuLCBEZW5tYXJrLiYjeEQ7T2JzdGV0cmlj
IENsaW5pYywgSnVsaWFuZSBNYXJpZSBDZW50cmV0LCBSaWdzaG9zcGl0YWxldCwgVW5pdmVyc2l0
eSBvZiBDb3BlbmhhZ2VuLCBDb3BlbmhhZ2VuLCBEZW5tYXJrLiYjeEQ7RGVwYXJ0bWVudCBvZiBP
YnN0ZXRyaWNzIGFuZCBHeW5hZWNvbG9neSwgQWNhZGVtaXNjaCBNZWRpc2NoIENlbnRydW0gVW5p
dmVyc2l0ZWl0IHZhbiBBbXN0ZXJkYW0sIEFtc3RlcmRhbSwgVGhlIE5ldGhlcmxhbmRzLiYjeEQ7
RGVwYXJ0bWVudCBvZiBPYnN0ZXRyaWNzIGFuZCBHeW5lY29sb2d5LCBTb3JsYW5kZXQgSG9zcGl0
YWwsIEtyaXN0aWFuc2FuZCwgTm9yd2F5LiYjeEQ7RGVwYXJ0bWVudCBvZiBPYnN0ZXRyaWNzIGFu
ZCBHeW5hZWNvbG9neSwgU3QuIE9sYXZzIEhvc3BpdGFsLCBUcm9uZGhlaW0gVW5pdmVyc2l0eSBI
b3NwaXRhbCwgVHJvbmRoZWltLCBOb3J3YXkuJiN4RDtEZXBhcnRtZW50IG9mIExhYm9yYXRvcnkg
TWVkaWNpbmUgQ2hpbGRyZW4mYXBvcztzIGFuZCBXb21lbiZhcG9zO3MgSGVhbHRoLCBOb3J3ZWdp
YW4gVW5pdmVyc2l0eSBvZiBTY2llbmNlIGFuZCBUZWNobm9sb2d5LCBUcm9uZGhlaW0sIE5vcndh
eS4mI3hEO0RlcGFydG1lbnQgb2YgTWFuYWdlbWVudCBhbmQgSGVhbHRoIENhcmUsIFVuaXZlcnNp
ZGFkZSBGZWRlcmFsIGRlIFNhbyBQYXVsbywgU2FvIFBhdWxvLCBCcmF6aWwuJiN4RDtEZXBhcnRt
ZW50IG9mIEludGVybmFsIE1lZGljaW5lLCBVbml2ZXJzaXR5IG9mIE1hbml0b2JhIENvbGxlZ2Ug
b2YgTWVkaWNpbmUsIFdpbm5pcGVnLCBDYW5hZGEuJiN4RDtPYnN0ZXRyaWNzIGFuZCBHeW5hZWNv
bG9neSwgVW5pdmVyc2l0eSBvZiBNZWxib3VybmUsIFZpY3RvcmlhLCBBdXN0cmFsaWEuJiN4RDtE
ZXBhcnRtZW50IG9mIE9ic3RldHJpY3MgYW5kIEd5bmVjb2xvZ3ksIE9zbG8gVW5pdmVyc2l0eSBI
b3NwaXRhbCwgT3NsbywgTm9yd2F5LiYjeEQ7RGVwYXJ0bWVudCBvZiBQdWJsaWMgYW5kIE9jY3Vw
YXRpb25hbCBIZWFsdGgsIFZVIFVuaXZlcnNpdHkgTWVkaWNhbCBDZW50ZXIsIEFtc3RlcmRhbSwg
VGhlIE5ldGhlcmxhbmRzLiYjeEQ7RGVwYXJ0bWVudCBvZiBPYnN0ZXRyaWNzIGFuZCBHeW5lY29s
b2d5LCBPZGVuc2UgVW5pdmVyc2l0eSBIb3NwaXRhbCwgVW5pdmVyc2l0eSBvZiBTb3V0aGVybiBE
ZW5tYXJrLCBPZGVuc2UsIERlbm1hcmsuJiN4RDtTY2hvb2wgb2YgTnVyc2luZywgVW5pdmVyc2l0
eSBvZiBOb3J0aCBDYXJvbGluYSBhdCBDaGFwZWwgSGlsbCwgQ2hhcGVsIEhpbGwsIE5vcnRoIENh
cm9saW5hLCBVU0EuPC9hdXRoLWFkZHJlc3M+PHRpdGxlcz48dGl0bGU+SW1wYWN0IG9mIG1hdGVy
bmFsIGVkdWNhdGlvbiBvbiByZXNwb25zZSB0byBsaWZlc3R5bGUgaW50ZXJ2ZW50aW9ucyB0byBy
ZWR1Y2UgZ2VzdGF0aW9uYWwgd2VpZ2h0IGdhaW46IGluZGl2aWR1YWwgcGFydGljaXBhbnQgZGF0
YSBtZXRhLWFuYWx5c2lzPC90aXRsZT48c2Vjb25kYXJ5LXRpdGxlPkJNSiBPcGVuPC9zZWNvbmRh
cnktdGl0bGU+PC90aXRsZXM+PHBlcmlvZGljYWw+PGZ1bGwtdGl0bGU+Qk1KIE9wZW48L2Z1bGwt
dGl0bGU+PC9wZXJpb2RpY2FsPjxwYWdlcz5lMDI1NjIwPC9wYWdlcz48dm9sdW1lPjk8L3ZvbHVt
ZT48bnVtYmVyPjg8L251bWJlcj48ZWRpdGlvbj4yMDE5LzA4LzA0PC9lZGl0aW9uPjxrZXl3b3Jk
cz48a2V5d29yZD4qaW5lcXVhbGl0aWVzPC9rZXl3b3JkPjxrZXl3b3JkPipsaWZlc3R5bGUgaW50
ZXJ2ZW50aW9uczwva2V5d29yZD48a2V5d29yZD4qbnV0cml0aW9uPC9rZXl3b3JkPjxrZXl3b3Jk
PipwcmVnbmFuY3k8L2tleXdvcmQ+PGtleXdvcmQ+KnNvY2lvZWNvbm9taWMgc3RhdHVzPC9rZXl3
b3JkPjwva2V5d29yZHM+PGRhdGVzPjx5ZWFyPjIwMTk8L3llYXI+PHB1Yi1kYXRlcz48ZGF0ZT5B
dWcgMTwvZGF0ZT48L3B1Yi1kYXRlcz48L2RhdGVzPjxpc2JuPjIwNDQtNjA1NSAoRWxlY3Ryb25p
YykmI3hEOzIwNDQtNjA1NSAoTGlua2luZyk8L2lzYm4+PGFjY2Vzc2lvbi1udW0+MzEzNzU2MDI8
L2FjY2Vzc2lvbi1udW0+PHVybHM+PHJlbGF0ZWQtdXJscz48dXJsPmh0dHBzOi8vd3d3Lm5jYmku
bmxtLm5paC5nb3YvcHVibWVkLzMxMzc1NjAyPC91cmw+PC9yZWxhdGVkLXVybHM+PC91cmxzPjxj
dXN0b20yPlBNQzY2ODg2OTA8L2N1c3RvbTI+PGVsZWN0cm9uaWMtcmVzb3VyY2UtbnVtPjEwLjEx
MzYvYm1qb3Blbi0yMDE4LTAyNTYyMDwvZWxlY3Ryb25pYy1yZXNvdXJjZS1udW0+PC9yZWNvcmQ+
PC9DaXRlPjwvRW5kTm90ZT5=
</w:fldData>
        </w:fldChar>
      </w:r>
      <w:r w:rsidR="002747EA">
        <w:instrText xml:space="preserve"> ADDIN EN.CITE </w:instrText>
      </w:r>
      <w:r w:rsidR="002747EA">
        <w:fldChar w:fldCharType="begin">
          <w:fldData xml:space="preserve">PEVuZE5vdGU+PENpdGU+PEF1dGhvcj5PJmFwb3M7QnJpZW48L0F1dGhvcj48WWVhcj4yMDE5PC9Z
ZWFyPjxSZWNOdW0+MTkzMjwvUmVjTnVtPjxEaXNwbGF5VGV4dD48c3R5bGUgZmFjZT0ic3VwZXJz
Y3JpcHQiIGZvbnQ9IlRyZWJ1Y2hldCBNUyIgc2l6ZT0iOSI+MzUwPC9zdHlsZT48L0Rpc3BsYXlU
ZXh0PjxyZWNvcmQ+PHJlYy1udW1iZXI+MTkzMjwvcmVjLW51bWJlcj48Zm9yZWlnbi1rZXlzPjxr
ZXkgYXBwPSJFTiIgZGItaWQ9ImV4dmFzcmZ4MmR0cmFvZXNhc3hwMnN6c3hhMmRmNTAyNTkyeCIg
dGltZXN0YW1wPSIxNTg4NjU0Mzc5Ij4xOTMyPC9rZXk+PGtleSBhcHA9IkVOV2ViIiBkYi1pZD0i
Ij4wPC9rZXk+PC9mb3JlaWduLWtleXM+PHJlZi10eXBlIG5hbWU9IkpvdXJuYWwgQXJ0aWNsZSI+
MTc8L3JlZi10eXBlPjxjb250cmlidXRvcnM+PGF1dGhvcnM+PGF1dGhvcj5PJmFwb3M7QnJpZW4s
IEUuIEMuPC9hdXRob3I+PGF1dGhvcj5TZWd1cmFkbywgUi48L2F1dGhvcj48YXV0aG9yPkdlcmFn
aHR5LCBBLiBBLjwvYXV0aG9yPjxhdXRob3I+QWxiZXJkaSwgRy48L2F1dGhvcj48YXV0aG9yPlJv
Z296aW5za2EsIEUuPC9hdXRob3I+PGF1dGhvcj5Bc3RydXAsIEEuPC9hdXRob3I+PGF1dGhvcj5C
YXJha2F0IENhcmJhbGxvLCBSLjwvYXV0aG9yPjxhdXRob3I+Qm9nYWVydHMsIEEuPC9hdXRob3I+
PGF1dGhvcj5DZWNhdHRpLCBKLiBHLjwvYXV0aG9yPjxhdXRob3I+Q29vbWFyYXNhbXksIEEuPC9h
dXRob3I+PGF1dGhvcj5kZSBHcm9vdCwgQy4gSi4gTS48L2F1dGhvcj48YXV0aG9yPkRldmxpZWdl
ciwgUi48L2F1dGhvcj48YXV0aG9yPkRvZGQsIEouIE0uPC9hdXRob3I+PGF1dGhvcj5FbCBCZWx0
YWd5LCBOLjwvYXV0aG9yPjxhdXRob3I+RmFjY2hpbmV0dGksIEYuPC9hdXRob3I+PGF1dGhvcj5H
ZWlrZXIsIE4uPC9hdXRob3I+PGF1dGhvcj5HdWVsZmksIEsuPC9hdXRob3I+PGF1dGhvcj5IYWFr
c3RhZCwgTC48L2F1dGhvcj48YXV0aG9yPkhhcnJpc29uLCBDLjwvYXV0aG9yPjxhdXRob3I+SGF1
bmVyLCBILjwvYXV0aG9yPjxhdXRob3I+SmVuc2VuLCBELiBNLjwvYXV0aG9yPjxhdXRob3I+S2hh
biwgSy48L2F1dGhvcj48YXV0aG9yPktpbm51bmVuLCBULiBJLjwvYXV0aG9yPjxhdXRob3I+THVv
dG8sIFIuPC9hdXRob3I+PGF1dGhvcj5XaWxsZW0gTW9sLCBCLjwvYXV0aG9yPjxhdXRob3I+TW9y
a3ZlZCwgUy48L2F1dGhvcj48YXV0aG9yPk1vdGFoYXJpLVRhYmFyaSwgTi48L2F1dGhvcj48YXV0
aG9yPk93ZW5zLCBKLiBBLjwvYXV0aG9yPjxhdXRob3I+UGVyYWxlcywgTS48L2F1dGhvcj48YXV0
aG9yPlBldHJlbGxhLCBFLjwvYXV0aG9yPjxhdXRob3I+UGhlbGFuLCBTLjwvYXV0aG9yPjxhdXRo
b3I+UG9zdG9uLCBMLjwvYXV0aG9yPjxhdXRob3I+UmF1aCwgSy48L2F1dGhvcj48YXV0aG9yPlJh
eWFuYWdvdWRhciwgRy48L2F1dGhvcj48YXV0aG9yPlJlbmF1bHQsIEsuIE0uPC9hdXRob3I+PGF1
dGhvcj5SdWlmcm9rLCBBLiBFLjwvYXV0aG9yPjxhdXRob3I+U2FnZWRhbCwgTC48L2F1dGhvcj48
YXV0aG9yPlNhbHZlc2VuLCBLLiBBLjwvYXV0aG9yPjxhdXRob3I+U2N1ZGVsbGVyLCBULiBULjwv
YXV0aG9yPjxhdXRob3I+U2hlbiwgRy48L2F1dGhvcj48YXV0aG9yPlNodWIsIEEuPC9hdXRob3I+
PGF1dGhvcj5TdGFmbmUsIFMuIE4uPC9hdXRob3I+PGF1dGhvcj5TdXJpdGEsIEYuIEcuPC9hdXRo
b3I+PGF1dGhvcj5UaGFuZ2FyYXRpbmFtLCBTLjwvYXV0aG9yPjxhdXRob3I+VG9uc3RhZCwgUy48
L2F1dGhvcj48YXV0aG9yPnZhbiBQb3BwZWwsIE0uIE4uIE0uPC9hdXRob3I+PGF1dGhvcj5WaW50
ZXIsIEMuPC9hdXRob3I+PGF1dGhvcj5WaXN0YWQsIEkuPC9hdXRob3I+PGF1dGhvcj5ZZW8sIFMu
PC9hdXRob3I+PGF1dGhvcj5NY0F1bGlmZmUsIEYuIE0uPC9hdXRob3I+PGF1dGhvcj5pLCBXLiBJ
LiBQLiBDb2xsYWJvcmF0aXZlIEdyb3VwPC9hdXRob3I+PC9hdXRob3JzPjwvY29udHJpYnV0b3Jz
PjxhdXRoLWFkZHJlc3M+VUNEIFBlcmluYXRhbCBSZXNlYXJjaCBDZW50cmUsIE9ic3RldHJpY3Mg
YW5kIEd5bmFlY29sb2d5LCBVQ0QgU2Nob29sIG9mIE1lZGljaW5lLCBVbml2ZXJzaXR5IENvbGxl
Z2UgRHVibGluLCBEdWJsaW4sIElyZWxhbmQuJiN4RDtDZW50cmUgZm9yIFN1cHBvcnQgYW5kIFRy
YWluaW5nIGluIEFuYWx5c2lzIGFuZCBSZXNlYXJjaCAoQ1NUQVIpLCBTY2hvb2wgb2YgUHVibGlj
IEhlYWx0aCwgUGh5c2lvdGhlcmFweSBhbmQgU3BvcnRzIFNjaWVuY2UsIFVuaXZlcnNpdHkgQ29s
bGVnZSBEdWJsaW4sIER1YmxpbiwgSXJlbGFuZC4mI3hEO1dvbWVuJmFwb3M7cyBIZWFsdGggUmVz
ZWFyY2ggVW5pdCwgQmFydHMgYW5kIFRoZSBMb25kb24gU2Nob29sIG9mIE1lZGljaW5lIGFuZCBE
ZW50aXN0cnksIFF1ZWVuIE1hcnkgVW5pdmVyc2l0eSBvZiBMb25kb24sIExvbmRvbiwgVUsuJiN4
RDtNdWx0aWRpc2NpcGxpbmFyeSBFdmlkZW5jZSBTeW50aGVzaXMgSHViIChtRXNoKSwgQmFydHMg
YW5kIFRoZSBMb25kb24gU2Nob29sIG9mIE1lZGljaW5lIGFuZCBEZW50aXN0cnksIFF1ZWVuIE1h
cnkgVW5pdmVyc2l0eSBvZiBMb25kb24sIExvbmRvbiwgVUsuJiN4RDtEZXBhcnRtZW50IG9mIE51
dHJpdGlvbiwgRXhlcmNpc2UgYW5kIFNwb3J0cywgVW5pdmVzaXR5IG9mIENvcGVuaGFnZW4sIENv
cGVuaGFnZW4sIERlbm1hcmsuJiN4RDtGYWN1bHRhZCBkZSBDaWVuY2lhcyBkZSBsYSBBY3Rpdmlk
YWQgRmlzaWNhIHkgZGVsIERlcG9ydGUgKElORUYpLCBVbml2ZXJzaWRhZCBQb2xpdGVjbmljYSBk
ZSBNYWRyaWQsIE1hZHJpZCwgU3BhaW4uJiN4RDtEZXBhcnRtZW50IG9mIERldmVsb3BtZW50IGFu
ZCBSZWdlbmVyYXRpb24gS1UgTGV1dmVuLCBVbml2ZXJzaXR5IG9mIExldXZlbiwgTGV1dmVuLCBC
ZWxnaXVtLiYjeEQ7RmFjdWx0eSBvZiBIZWFsdGggYW5kIFNvY2lhbCBXb3JrLCBVQyBMZXV2ZW4t
TGltYnVyZywgTGV1dmVuLCBCZWxnaXVtLiYjeEQ7RmFjdWx0eSBvZiBNZWRpY2luZSBhbmQgSGVh
bHRoIFNjaWVuY2VzLCBDZW50cmUgZm9yIFJlc2VhcmNoIGFuZCBJbm5vdmF0aW9uIGluIENhcmUg
KENSSUMpLCBVbml2ZXJzaXR5IG9mIEFudHdlcnAsIEJlbGdpdW0uJiN4RDtPYnN0ZXRyaWNzIGFu
ZCBHeW5lY29sb2d5LCBTY2hvb2wgb2YgTWVkaWNhbCBTY2llbmNlcywgVW5pdmVyc2l0eSBvZiBD
YW1waW5hcywgQ2FtcGluYXMsIEJyYXppbC4mI3hEO1NjaG9vbCBvZiBDbGluaWNhbCBhbmQgRXhw
ZXJpbWVudGFsIE1lZGljaW5lLCBDb2xsZWdlIG9mIE1lZGljYWwgYW5kIERlbnRhbCBTY2llbmNl
cywgVW5pdmVyc2l0eSBvZiBCaXJtaW5naGFtLCBCaXJtaW5naGFtLCBVSy4mI3hEO09ic3RldHJp
Y3MgYW5kIEd5bmFlY29sb2d5LCBGYWN1bHR5IG9mIE1lZGljaW5lLCBWVSBVbml2ZXJzaXR5IE1l
ZGljYWwgQ2VudGVyLCBBbXN0ZXJkYW0sIFRoZSBOZXRoZXJsYW5kcy4mI3hEO0RlcGFydG1lbnQg
b2YgT2JzdGV0cmljcyBhbmQgR3luZWNvbG9neSwgVW5pdmVyc2l0YWlyZSBaaWVrZW5odWl6ZW4g
TGV1dmVuLCBMZXV2ZW4sIEJlbGdpdW0uJiN4RDtPYnN0ZXRyaWNzIGFuZCBHeW5hZWNvbG9neSwg
U2Nob29sIG9mIFBhZWRpYXRyaWNzIGFuZCBSZXByb2R1Y3RpdmUgSGVhbHRoLCBUaGUgVW52ZXJz
aXR5IG9mIEFkZWxhaWRlLCBBZGVsYWlkZSwgQXVzdHJhbGlhLiYjeEQ7RGVwYXJ0bWVudCBvZiBP
YnN0ZXRyaWNzIGFuZCBHeW5lY29sb2d5LCBBbGV4YW5kcmlhIFVuaXZlcnNpdHksIEFsZXhhbmRy
aWEsIEVneXB0LiYjeEQ7TW90aGVyLUluZmFudCBEZXBhcnRtZW50LCBVbml2ZXJzaXR5IG9mIE1v
ZGVuYSBhbmQgUmVnZ2lvIEVtaWxpYSwgTW9kZW5hLCBJdGFseS4mI3hEO0NsaW5pY2FsIE51dHJp
dGlvbiBSZXNlYXJjaCwgQ29wZW5oYWdlbiBVbml2ZXJzaXR5IEhvc3BpdGFsIEhlcmxldi1HZW50
b2Z0ZSwgR2VudG9mdGUsIERlbm1hcmsuJiN4RDtTY2hvb2wgb2YgSHVtYW4gU2NpZW5jZXMsIFRo
ZSBVbml2ZXJzaXR5IG9mIFdlc3Rlcm4gQXVzdHJhbGlhLCBQZXJ0aCwgQXVzdHJhbGlhLiYjeEQ7
RGVwYXJ0bWVudCBvZiBTcG9ydHMgTWVkaWNpbmUsIE5vcndlZ2lhbiBTY2hvb2wgb2YgU3BvcnQg
U2NpZW5jZXMsIE9zbG8sIE5vcndheS4mI3hEO01vbmFzaCBDZW50cmUgZm9yIEhlYWx0aCBSZXNl
YXJjaCBhbmQgSW1wbGVtZW50YXRpb24sIFNjaG9vbCBvZiBQdWJsaWMgSGVhbHRoIGFuZCBQcmV2
ZW50aXZlIE1lZGljaW5lLCBNb25hc2ggVW5pdmVyc2l0eSwgTWVsYm91cm5lLCBWaWN0b3JpYSwg
QXVzdHJhbGlhLiYjeEQ7RWxzZSBLcm9lbmVyLUZyZXNlbml1cy1DZW50ZXIgZm9yIE51dHJpdGlv
bmFsIE1lZGljaW5lLCBLbGluaWt1bSByZWNodHMgZGVyIElzYXIsIFRlY2huaXNjaGUgVW5pdmVy
c2l0YXQgTXVuY2hlbiwgTXVuaWNoLCBHZXJtYW55LiYjeEQ7RGVwYXJ0bWVudCBvZiBFbmRvY3Jp
bm9sb2d5LCBPZGVuc2UgVW5pdmVyc2l0eSBIb3NwaXRhbCwgVW5pdmVyc2l0eSBvZiBTb3V0aGVy
biBEZW5tYXJrLCBPZGVuc2UsIERlbm1hcmsuJiN4RDtIZWFsdGggU2NpZW5jZXMsIEZhY3VsdHkg
b2YgU29jaWFsIFNjaWVuY2VzLCBVbml2ZXJzaXR5IG9mIFRhbXBlcmUsIFRhbXBlcmUsIEZpbmxh
bmQuJiN4RDtSb2JpbnNvbiBJbnN0aXR1dGUsIFNjaG9vbCBvZiBQYWVkaWF0cmljcyBhbmQgUmVw
cm9kdWN0aXZlIEhlYWx0aCwgVGhlIFVuaXZlcnNpdHkgb2YgQWRlbGFpZGUsIEFkZWxhaWRlLCBB
dXN0cmFsaWEuJiN4RDtEZXBhcnRtZW50IG9mIFB1YmxpYyBIZWFsdGggYW5kIEdlbmVyYWwgUHJh
Y3RpY2UsIEZhY3VsdHkgb2YgTWVkaWNpbmUsIE5vcndlZ2lhbiBVbml2ZXJzaXR5IG9mIFNjaWVu
Y2UgYW5kIFRlY2hub2xvZ3ksIFRyb25kaGVpbSwgTm9yd2F5LiYjeEQ7Q2xpbmljYWwgU2Vydmlj
ZXMsIFN0LiBPbGF2cyBIb3NwaXRhbCwgVHJvbmRoZWltIFVuaXZlcnNpdHkgSG9zcGl0YWwsIFRy
b25kaGVpbSwgTm9yd2F5LiYjeEQ7TWlkd2lmZXJ5IERlcGFydG1lbnQsIEZhY3VsdHkgb2YgTnVy
c2luZyBhbmQgTWlkd2lmZXJ5LCBNYXphbmRhcmFuIFVuaXZlcnNpdHkgb2YgTWVkaWNhbCBTY2ll
bmNlLCBTYXJpLCBJcmFuLiYjeEQ7S2luZXNpb2xvZ3kgRGVwYXJ0bWVudCwgQ29sbGVnZSBvZiBT
Y2llbmNlIGFuZCBNYXRoZW1hdGljcywgQ2FsaWZvcm5pYSBQb2x5dGVjaG5pYyBTdGF0ZSBVbml2
ZXJzaXR5LCBTYW4gTHVpcyBPYmlzcG8sIENhbGlmb3JuaWEsIFVTQS4mI3hEO0RlcGFydG1lbnQg
b2YgV29tZW4gYW5kIENoaWxkcmVuJmFwb3M7cyBIZWFsdGgsIFNjaG9vbCBvZiBMaWZlIENvdXJz
ZSBTY2llbmNlcywgS2luZyZhcG9zO3MgQ29sbGVnZSBMb25kb24sIExvbmRvbiwgVUsuJiN4RDtO
dXRyaXRpb24gSW5mb3JtYXRpb24gYW5kIEtub3dsZWRnZSBUcmFuc2ZlciwgQ29tcGV0ZW5jZSBD
ZW50cmUgZm9yIE51dHJpdGlvbiAoS0VybiksIEZyZWlzaW5nLCBHZXJtYW55LiYjeEQ7RGVwYXJ0
bWVudCBvZiBPYnN0ZXRyaWNzIGFuZCBHeW5lY29sb2d5LCBIdmlkb3ZyZSBIb3NwaXRhbCwgVW5p
dmVyc2l0eSBvZiBDb3BlbmhhZ2VuLCBDb3BlbmhhZ2VuLCBEZW5tYXJrLiYjeEQ7T2JzdGV0cmlj
IENsaW5pYywgSnVsaWFuZSBNYXJpZSBDZW50cmV0LCBSaWdzaG9zcGl0YWxldCwgVW5pdmVyc2l0
eSBvZiBDb3BlbmhhZ2VuLCBDb3BlbmhhZ2VuLCBEZW5tYXJrLiYjeEQ7RGVwYXJ0bWVudCBvZiBP
YnN0ZXRyaWNzIGFuZCBHeW5hZWNvbG9neSwgQWNhZGVtaXNjaCBNZWRpc2NoIENlbnRydW0gVW5p
dmVyc2l0ZWl0IHZhbiBBbXN0ZXJkYW0sIEFtc3RlcmRhbSwgVGhlIE5ldGhlcmxhbmRzLiYjeEQ7
RGVwYXJ0bWVudCBvZiBPYnN0ZXRyaWNzIGFuZCBHeW5lY29sb2d5LCBTb3JsYW5kZXQgSG9zcGl0
YWwsIEtyaXN0aWFuc2FuZCwgTm9yd2F5LiYjeEQ7RGVwYXJ0bWVudCBvZiBPYnN0ZXRyaWNzIGFu
ZCBHeW5hZWNvbG9neSwgU3QuIE9sYXZzIEhvc3BpdGFsLCBUcm9uZGhlaW0gVW5pdmVyc2l0eSBI
b3NwaXRhbCwgVHJvbmRoZWltLCBOb3J3YXkuJiN4RDtEZXBhcnRtZW50IG9mIExhYm9yYXRvcnkg
TWVkaWNpbmUgQ2hpbGRyZW4mYXBvcztzIGFuZCBXb21lbiZhcG9zO3MgSGVhbHRoLCBOb3J3ZWdp
YW4gVW5pdmVyc2l0eSBvZiBTY2llbmNlIGFuZCBUZWNobm9sb2d5LCBUcm9uZGhlaW0sIE5vcndh
eS4mI3hEO0RlcGFydG1lbnQgb2YgTWFuYWdlbWVudCBhbmQgSGVhbHRoIENhcmUsIFVuaXZlcnNp
ZGFkZSBGZWRlcmFsIGRlIFNhbyBQYXVsbywgU2FvIFBhdWxvLCBCcmF6aWwuJiN4RDtEZXBhcnRt
ZW50IG9mIEludGVybmFsIE1lZGljaW5lLCBVbml2ZXJzaXR5IG9mIE1hbml0b2JhIENvbGxlZ2Ug
b2YgTWVkaWNpbmUsIFdpbm5pcGVnLCBDYW5hZGEuJiN4RDtPYnN0ZXRyaWNzIGFuZCBHeW5hZWNv
bG9neSwgVW5pdmVyc2l0eSBvZiBNZWxib3VybmUsIFZpY3RvcmlhLCBBdXN0cmFsaWEuJiN4RDtE
ZXBhcnRtZW50IG9mIE9ic3RldHJpY3MgYW5kIEd5bmVjb2xvZ3ksIE9zbG8gVW5pdmVyc2l0eSBI
b3NwaXRhbCwgT3NsbywgTm9yd2F5LiYjeEQ7RGVwYXJ0bWVudCBvZiBQdWJsaWMgYW5kIE9jY3Vw
YXRpb25hbCBIZWFsdGgsIFZVIFVuaXZlcnNpdHkgTWVkaWNhbCBDZW50ZXIsIEFtc3RlcmRhbSwg
VGhlIE5ldGhlcmxhbmRzLiYjeEQ7RGVwYXJ0bWVudCBvZiBPYnN0ZXRyaWNzIGFuZCBHeW5lY29s
b2d5LCBPZGVuc2UgVW5pdmVyc2l0eSBIb3NwaXRhbCwgVW5pdmVyc2l0eSBvZiBTb3V0aGVybiBE
ZW5tYXJrLCBPZGVuc2UsIERlbm1hcmsuJiN4RDtTY2hvb2wgb2YgTnVyc2luZywgVW5pdmVyc2l0
eSBvZiBOb3J0aCBDYXJvbGluYSBhdCBDaGFwZWwgSGlsbCwgQ2hhcGVsIEhpbGwsIE5vcnRoIENh
cm9saW5hLCBVU0EuPC9hdXRoLWFkZHJlc3M+PHRpdGxlcz48dGl0bGU+SW1wYWN0IG9mIG1hdGVy
bmFsIGVkdWNhdGlvbiBvbiByZXNwb25zZSB0byBsaWZlc3R5bGUgaW50ZXJ2ZW50aW9ucyB0byBy
ZWR1Y2UgZ2VzdGF0aW9uYWwgd2VpZ2h0IGdhaW46IGluZGl2aWR1YWwgcGFydGljaXBhbnQgZGF0
YSBtZXRhLWFuYWx5c2lzPC90aXRsZT48c2Vjb25kYXJ5LXRpdGxlPkJNSiBPcGVuPC9zZWNvbmRh
cnktdGl0bGU+PC90aXRsZXM+PHBlcmlvZGljYWw+PGZ1bGwtdGl0bGU+Qk1KIE9wZW48L2Z1bGwt
dGl0bGU+PC9wZXJpb2RpY2FsPjxwYWdlcz5lMDI1NjIwPC9wYWdlcz48dm9sdW1lPjk8L3ZvbHVt
ZT48bnVtYmVyPjg8L251bWJlcj48ZWRpdGlvbj4yMDE5LzA4LzA0PC9lZGl0aW9uPjxrZXl3b3Jk
cz48a2V5d29yZD4qaW5lcXVhbGl0aWVzPC9rZXl3b3JkPjxrZXl3b3JkPipsaWZlc3R5bGUgaW50
ZXJ2ZW50aW9uczwva2V5d29yZD48a2V5d29yZD4qbnV0cml0aW9uPC9rZXl3b3JkPjxrZXl3b3Jk
PipwcmVnbmFuY3k8L2tleXdvcmQ+PGtleXdvcmQ+KnNvY2lvZWNvbm9taWMgc3RhdHVzPC9rZXl3
b3JkPjwva2V5d29yZHM+PGRhdGVzPjx5ZWFyPjIwMTk8L3llYXI+PHB1Yi1kYXRlcz48ZGF0ZT5B
dWcgMTwvZGF0ZT48L3B1Yi1kYXRlcz48L2RhdGVzPjxpc2JuPjIwNDQtNjA1NSAoRWxlY3Ryb25p
YykmI3hEOzIwNDQtNjA1NSAoTGlua2luZyk8L2lzYm4+PGFjY2Vzc2lvbi1udW0+MzEzNzU2MDI8
L2FjY2Vzc2lvbi1udW0+PHVybHM+PHJlbGF0ZWQtdXJscz48dXJsPmh0dHBzOi8vd3d3Lm5jYmku
bmxtLm5paC5nb3YvcHVibWVkLzMxMzc1NjAyPC91cmw+PC9yZWxhdGVkLXVybHM+PC91cmxzPjxj
dXN0b20yPlBNQzY2ODg2OTA8L2N1c3RvbTI+PGVsZWN0cm9uaWMtcmVzb3VyY2UtbnVtPjEwLjEx
MzYvYm1qb3Blbi0yMDE4LTAyNTYyMDwvZWxlY3Ryb25pYy1yZXNvdXJjZS1udW0+PC9yZWNvcmQ+
PC9DaXRlPjwvRW5kTm90ZT5=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350</w:t>
      </w:r>
      <w:r w:rsidR="00D07346">
        <w:fldChar w:fldCharType="end"/>
      </w:r>
    </w:p>
    <w:p w14:paraId="4333A2CE" w14:textId="4F2656B0" w:rsidR="00526547" w:rsidRDefault="00526547" w:rsidP="00526547">
      <w:r>
        <w:t>There were no clear associations between weight gain exceeding recommendations and:</w:t>
      </w:r>
    </w:p>
    <w:p w14:paraId="7E4847D8" w14:textId="64538756" w:rsidR="001D1144" w:rsidRDefault="001D1144" w:rsidP="00526547">
      <w:pPr>
        <w:pStyle w:val="bullet"/>
      </w:pPr>
      <w:r w:rsidRPr="00C973B8">
        <w:t>anxiety,</w:t>
      </w:r>
      <w:r w:rsidR="000F3D0F">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EN.CITE.DATA </w:instrText>
      </w:r>
      <w:r w:rsidR="001A2F28">
        <w:fldChar w:fldCharType="end"/>
      </w:r>
      <w:r w:rsidR="000F3D0F">
        <w:fldChar w:fldCharType="separate"/>
      </w:r>
      <w:r w:rsidR="001A2F28" w:rsidRPr="001A2F28">
        <w:rPr>
          <w:noProof/>
          <w:vertAlign w:val="superscript"/>
        </w:rPr>
        <w:t>355,356</w:t>
      </w:r>
      <w:r w:rsidR="000F3D0F">
        <w:fldChar w:fldCharType="end"/>
      </w:r>
      <w:r w:rsidRPr="00C973B8">
        <w:t xml:space="preserve"> stress,</w:t>
      </w:r>
      <w:r w:rsidR="000F3D0F">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EN.CITE.DATA </w:instrText>
      </w:r>
      <w:r w:rsidR="001A2F28">
        <w:fldChar w:fldCharType="end"/>
      </w:r>
      <w:r w:rsidR="000F3D0F">
        <w:fldChar w:fldCharType="separate"/>
      </w:r>
      <w:r w:rsidR="001A2F28" w:rsidRPr="001A2F28">
        <w:rPr>
          <w:noProof/>
          <w:vertAlign w:val="superscript"/>
        </w:rPr>
        <w:t>355,356</w:t>
      </w:r>
      <w:r w:rsidR="000F3D0F">
        <w:fldChar w:fldCharType="end"/>
      </w:r>
      <w:r w:rsidRPr="00C973B8">
        <w:t xml:space="preserve"> self-efficacy,</w:t>
      </w:r>
      <w:r w:rsidR="000F3D0F">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EN.CITE.DATA </w:instrText>
      </w:r>
      <w:r w:rsidR="001A2F28">
        <w:fldChar w:fldCharType="end"/>
      </w:r>
      <w:r w:rsidR="000F3D0F">
        <w:fldChar w:fldCharType="separate"/>
      </w:r>
      <w:r w:rsidR="001A2F28" w:rsidRPr="001A2F28">
        <w:rPr>
          <w:noProof/>
          <w:vertAlign w:val="superscript"/>
        </w:rPr>
        <w:t>355</w:t>
      </w:r>
      <w:r w:rsidR="000F3D0F">
        <w:fldChar w:fldCharType="end"/>
      </w:r>
      <w:r w:rsidRPr="00C973B8">
        <w:t xml:space="preserve"> self-esteem</w:t>
      </w:r>
      <w:r>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EN.CITE.DATA </w:instrText>
      </w:r>
      <w:r w:rsidR="001A2F28">
        <w:fldChar w:fldCharType="end"/>
      </w:r>
      <w:r>
        <w:fldChar w:fldCharType="separate"/>
      </w:r>
      <w:r w:rsidR="001A2F28" w:rsidRPr="001A2F28">
        <w:rPr>
          <w:noProof/>
          <w:vertAlign w:val="superscript"/>
        </w:rPr>
        <w:t>355</w:t>
      </w:r>
      <w:r>
        <w:fldChar w:fldCharType="end"/>
      </w:r>
      <w:r w:rsidR="00A706DC">
        <w:t xml:space="preserve"> or social support</w:t>
      </w:r>
      <w:r w:rsidR="00D07346">
        <w:fldChar w:fldCharType="begin"/>
      </w:r>
      <w:r w:rsidR="001A2F28">
        <w:instrText xml:space="preserve"> ADDIN EN.CITE &lt;EndNote&gt;&lt;Cite&gt;&lt;Author&gt;Ratan&lt;/Author&gt;&lt;Year&gt;2020&lt;/Year&gt;&lt;RecNum&gt;1972&lt;/RecNum&gt;&lt;DisplayText&gt;&lt;style face="superscript" font="Trebuchet MS" size="9"&gt;357&lt;/style&gt;&lt;/DisplayText&gt;&lt;record&gt;&lt;rec-number&gt;1972&lt;/rec-number&gt;&lt;foreign-keys&gt;&lt;key app="EN" db-id="exvasrfx2dtraoesasxp2szsxa2df502592x" timestamp="1588904831"&gt;1972&lt;/key&gt;&lt;key app="ENWeb" db-id=""&gt;0&lt;/key&gt;&lt;/foreign-keys&gt;&lt;ref-type name="Journal Article"&gt;17&lt;/ref-type&gt;&lt;contributors&gt;&lt;authors&gt;&lt;author&gt;Ratan, B. M.&lt;/author&gt;&lt;author&gt;Garbarino, A. H.&lt;/author&gt;&lt;author&gt;Sellner, A. A.&lt;/author&gt;&lt;author&gt;Miao, D.&lt;/author&gt;&lt;author&gt;Hollier, L. M.&lt;/author&gt;&lt;/authors&gt;&lt;/contributors&gt;&lt;auth-address&gt;Department of Obstetrics and Gynecology, Baylor College of Medicine, Houston, Texas.&amp;#xD;Texas Children&amp;apos;s Health Plan, The Center for Children and Women, Houston, Texas.&lt;/auth-address&gt;&lt;titles&gt;&lt;title&gt;Social determinants of gestational weight gain in an obese, low-income population&lt;/title&gt;&lt;secondary-title&gt;Am J Perinatol&lt;/secondary-title&gt;&lt;/titles&gt;&lt;periodical&gt;&lt;full-title&gt;Am J Perinatol&lt;/full-title&gt;&lt;/periodical&gt;&lt;pages&gt;296-303&lt;/pages&gt;&lt;volume&gt;37&lt;/volume&gt;&lt;number&gt;3&lt;/number&gt;&lt;edition&gt;2019/02/12&lt;/edition&gt;&lt;dates&gt;&lt;year&gt;2020&lt;/year&gt;&lt;pub-dates&gt;&lt;date&gt;Feb&lt;/date&gt;&lt;/pub-dates&gt;&lt;/dates&gt;&lt;isbn&gt;1098-8785 (Electronic)&amp;#xD;0735-1631 (Linking)&lt;/isbn&gt;&lt;accession-num&gt;30743269&lt;/accession-num&gt;&lt;urls&gt;&lt;related-urls&gt;&lt;url&gt;https://www.ncbi.nlm.nih.gov/pubmed/30743269&lt;/url&gt;&lt;/related-urls&gt;&lt;/urls&gt;&lt;electronic-resource-num&gt;10.1055/s-0039-1678606&lt;/electronic-resource-num&gt;&lt;/record&gt;&lt;/Cite&gt;&lt;/EndNote&gt;</w:instrText>
      </w:r>
      <w:r w:rsidR="00D07346">
        <w:fldChar w:fldCharType="separate"/>
      </w:r>
      <w:r w:rsidR="001A2F28" w:rsidRPr="001A2F28">
        <w:rPr>
          <w:noProof/>
          <w:vertAlign w:val="superscript"/>
        </w:rPr>
        <w:t>357</w:t>
      </w:r>
      <w:r w:rsidR="00D07346">
        <w:fldChar w:fldCharType="end"/>
      </w:r>
    </w:p>
    <w:p w14:paraId="3FF8CE98" w14:textId="2FE34D9A" w:rsidR="00BB6058" w:rsidRDefault="00BB6058" w:rsidP="00526547">
      <w:pPr>
        <w:pStyle w:val="bullet"/>
      </w:pPr>
      <w:r>
        <w:t xml:space="preserve">parity </w:t>
      </w:r>
      <w:r w:rsidRPr="00BB6058">
        <w:t>(</w:t>
      </w:r>
      <w:r w:rsidRPr="00526547">
        <w:rPr>
          <w:rFonts w:ascii="Helvetica" w:hAnsi="Helvetica"/>
          <w:sz w:val="16"/>
          <w:szCs w:val="16"/>
        </w:rPr>
        <w:t>r</w:t>
      </w:r>
      <w:r w:rsidRPr="00526547">
        <w:rPr>
          <w:sz w:val="16"/>
          <w:szCs w:val="16"/>
        </w:rPr>
        <w:t xml:space="preserve"> 0.04, 95%CI 0.10 to 0.16, </w:t>
      </w:r>
      <w:r w:rsidRPr="00526547">
        <w:rPr>
          <w:rFonts w:ascii="Helvetica" w:hAnsi="Helvetica"/>
          <w:sz w:val="16"/>
          <w:szCs w:val="16"/>
        </w:rPr>
        <w:t>p</w:t>
      </w:r>
      <w:r w:rsidRPr="00526547">
        <w:rPr>
          <w:sz w:val="16"/>
          <w:szCs w:val="16"/>
        </w:rPr>
        <w:t>=0.61; 17 studies</w:t>
      </w:r>
      <w:r w:rsidRPr="00BB6058">
        <w:t>)</w:t>
      </w:r>
      <w:r>
        <w:t xml:space="preserve">, including after adjusting for pre-pregnancy BMI </w:t>
      </w:r>
      <w:r w:rsidRPr="00BB6058">
        <w:t>(</w:t>
      </w:r>
      <w:r w:rsidRPr="00526547">
        <w:rPr>
          <w:rFonts w:ascii="Helvetica" w:hAnsi="Helvetica"/>
          <w:sz w:val="16"/>
          <w:szCs w:val="16"/>
        </w:rPr>
        <w:t>r</w:t>
      </w:r>
      <w:r w:rsidRPr="00526547">
        <w:rPr>
          <w:sz w:val="16"/>
          <w:szCs w:val="16"/>
        </w:rPr>
        <w:t xml:space="preserve"> 0.08, 95% CI 0.19 to 0.03, </w:t>
      </w:r>
      <w:r w:rsidRPr="00526547">
        <w:rPr>
          <w:rFonts w:ascii="Helvetica" w:hAnsi="Helvetica"/>
          <w:sz w:val="16"/>
          <w:szCs w:val="16"/>
        </w:rPr>
        <w:t>p</w:t>
      </w:r>
      <w:r w:rsidRPr="00526547">
        <w:rPr>
          <w:sz w:val="16"/>
          <w:szCs w:val="16"/>
        </w:rPr>
        <w:t>=0.16; 16 studies</w:t>
      </w:r>
      <w:r w:rsidRPr="00BB6058">
        <w:t>)</w:t>
      </w:r>
      <w:r>
        <w:fldChar w:fldCharType="begin">
          <w:fldData xml:space="preserve">PEVuZE5vdGU+PENpdGU+PEF1dGhvcj5IaWxsPC9BdXRob3I+PFllYXI+MjAxNzwvWWVhcj48UmVj
TnVtPjE3NjE8L1JlY051bT48RGlzcGxheVRleHQ+PHN0eWxlIGZhY2U9InN1cGVyc2NyaXB0IiBm
b250PSJUcmVidWNoZXQgTVMiIHNpemU9IjkiPjM1ODwvc3R5bGU+PC9EaXNwbGF5VGV4dD48cmVj
b3JkPjxyZWMtbnVtYmVyPjE3NjE8L3JlYy1udW1iZXI+PGZvcmVpZ24ta2V5cz48a2V5IGFwcD0i
RU4iIGRiLWlkPSJleHZhc3JmeDJkdHJhb2VzYXN4cDJzenN4YTJkZjUwMjU5MngiIHRpbWVzdGFt
cD0iMTU4Mjg2NzE2MCI+MTc2MTwva2V5PjxrZXkgYXBwPSJFTldlYiIgZGItaWQ9IiI+MDwva2V5
PjwvZm9yZWlnbi1rZXlzPjxyZWYtdHlwZSBuYW1lPSJKb3VybmFsIEFydGljbGUiPjE3PC9yZWYt
dHlwZT48Y29udHJpYnV0b3JzPjxhdXRob3JzPjxhdXRob3I+SGlsbCwgQi48L2F1dGhvcj48YXV0
aG9yPkJlcmdtZWllciwgSC48L2F1dGhvcj48YXV0aG9yPk1jUGhpZSwgUy48L2F1dGhvcj48YXV0
aG9yPkZ1bGxlci1UeXN6a2lld2ljeiwgTS48L2F1dGhvcj48YXV0aG9yPlRlZWRlLCBILjwvYXV0
aG9yPjxhdXRob3I+Rm9yc3RlciwgRC48L2F1dGhvcj48YXV0aG9yPlNwaWxpb3RpcywgQi4gRS48
L2F1dGhvcj48YXV0aG9yPkhpbGxzLCBBLiBQLjwvYXV0aG9yPjxhdXRob3I+U2tvdXRlcmlzLCBI
LjwvYXV0aG9yPjwvYXV0aG9ycz48L2NvbnRyaWJ1dG9ycz48YXV0aC1hZGRyZXNzPlNjaG9vbCBv
ZiBQc3ljaG9sb2d5LCBEZWFraW4gVW5pdmVyc2l0eSwgR2VlbG9uZywgVmljdG9yaWEsIEF1c3Ry
YWxpYS4mI3hEO01vbmFzaCBDZW50cmUgZm9yIEhlYWx0aCBSZXNlYXJjaCBhbmQgSW1wbGVtZW50
YXRpb24sIFNjaG9vbCBvZiBQdWJsaWMgSGVhbHRoIGFuZCBQcmV2ZW50YXRpdmUgTWVkaWNpbmUs
IE1vbmFzaCBVbml2ZXJzaXR5IGluIGNvbGxhYm9yYXRpb24gd2l0aCBNb25hc2ggSGVhbHRoLCBN
ZWxib3VybmUsIFZpY3RvcmlhLCBBdXN0cmFsaWEuJiN4RDtTY2hvb2wgb2YgTnVyc2luZyBhbmQg
TWlkd2lmZXJ5LCBDb2xsZWdlIG9mIFNjaWVuY2UsIEhlYWx0aCBhbmQgRW5naW5lZXJpbmcsIEp1
ZGl0aCBMdW1sZXkgQ2VudHJlLCBNZWxib3VybmUsIFZpY3RvcmlhLCBBdXN0cmFsaWEuJiN4RDtN
aWR3aWZlcnkgUmVzZWFyY2ggVW5pdCwgTWF0ZXJuaXR5IFNlcnZpY2VzLCBSb3lhbCBXb21lbiZh
cG9zO3MgSG9zcGl0YWwsIE1lbGJvdXJuZSwgVmljdG9yaWEsIEF1c3RyYWxpYS4mI3hEO1BlZGlh
dHJpYyBFbmRvY3Jpbm9sb2d5LCBEaXZpc2lvbiBvZiBQZWRpYXRyaWMgRW5kb2NyaW5vbG9neSBh
bmQgRGlhYmV0ZXMsIERlcGFydG1lbnQgb2YgUGVkaWF0cmljcywgU2Nob29sIG9mIE1lZGljaW5l
LCBVbml2ZXJzaXR5IG9mIFBhdHJhcywgUGF0cmFzLCBHcmVlY2UuJiN4RDtTcG9ydCBhbmQgRXhl
cmNpc2UgU2NpZW5jZSwgU2Nob29sIG9mIEhlYWx0aCBTY2llbmNlcywgVW5pdmVyc2l0eSBvZiBU
YXNtYW5pYSwgTGF1bmNlc3RvbiwgVGFzbWFuaWEsIEF1c3RyYWxpYS48L2F1dGgtYWRkcmVzcz48
dGl0bGVzPjx0aXRsZT5JcyBwYXJpdHkgYSByaXNrIGZhY3RvciBmb3IgZXhjZXNzaXZlIHdlaWdo
dCBnYWluIGR1cmluZyBwcmVnbmFuY3kgYW5kIHBvc3RwYXJ0dW0gd2VpZ2h0IHJldGVudGlvbj8g
QSBzeXN0ZW1hdGljIHJldmlldyBhbmQgbWV0YS1hbmFseXNpczwvdGl0bGU+PHNlY29uZGFyeS10
aXRsZT5PYmVzIFJldjwvc2Vjb25kYXJ5LXRpdGxlPjwvdGl0bGVzPjxwZXJpb2RpY2FsPjxmdWxs
LXRpdGxlPk9iZXMgUmV2PC9mdWxsLXRpdGxlPjwvcGVyaW9kaWNhbD48cGFnZXM+NzU1LTc2NDwv
cGFnZXM+PHZvbHVtZT4xODwvdm9sdW1lPjxudW1iZXI+NzwvbnVtYmVyPjxlZGl0aW9uPjIwMTcv
MDUvMTg8L2VkaXRpb24+PGtleXdvcmRzPjxrZXl3b3JkPkJvZHkgTWFzcyBJbmRleDwva2V5d29y
ZD48a2V5d29yZD5GZW1hbGU8L2tleXdvcmQ+PGtleXdvcmQ+SHVtYW5zPC9rZXl3b3JkPjxrZXl3
b3JkPk9iZXNpdHkvZXBpZGVtaW9sb2d5PC9rZXl3b3JkPjxrZXl3b3JkPk92ZXJ3ZWlnaHQvZXBp
ZGVtaW9sb2d5PC9rZXl3b3JkPjxrZXl3b3JkPlBhcml0eS8qcGh5c2lvbG9neTwva2V5d29yZD48
a2V5d29yZD5Qb3N0cGFydHVtIFBlcmlvZC8qcGh5c2lvbG9neTwva2V5d29yZD48a2V5d29yZD5Q
cmVnbmFuY3k8L2tleXdvcmQ+PGtleXdvcmQ+UmlzayBGYWN0b3JzPC9rZXl3b3JkPjxrZXl3b3Jk
PldlaWdodCBHYWluLypwaHlzaW9sb2d5PC9rZXl3b3JkPjxrZXl3b3JkPipPYmVzaXR5PC9rZXl3
b3JkPjxrZXl3b3JkPipwYXJpdHk8L2tleXdvcmQ+PGtleXdvcmQ+KnByZWduYW5jeTwva2V5d29y
ZD48a2V5d29yZD4qd2VpZ2h0IGdhaW48L2tleXdvcmQ+PC9rZXl3b3Jkcz48ZGF0ZXM+PHllYXI+
MjAxNzwveWVhcj48cHViLWRhdGVzPjxkYXRlPkp1bDwvZGF0ZT48L3B1Yi1kYXRlcz48L2RhdGVz
Pjxpc2JuPjE0NjctNzg5WCAoRWxlY3Ryb25pYykmI3hEOzE0NjctNzg4MSAoTGlua2luZyk8L2lz
Ym4+PGFjY2Vzc2lvbi1udW0+Mjg1MTI5OTE8L2FjY2Vzc2lvbi1udW0+PHVybHM+PHJlbGF0ZWQt
dXJscz48dXJsPmh0dHBzOi8vd3d3Lm5jYmkubmxtLm5paC5nb3YvcHVibWVkLzI4NTEyOTkxPC91
cmw+PC9yZWxhdGVkLXVybHM+PC91cmxzPjxlbGVjdHJvbmljLXJlc291cmNlLW51bT4xMC4xMTEx
L29ici4xMjUzODwvZWxlY3Ryb25pYy1yZXNvdXJjZS1udW0+PC9yZWNvcmQ+PC9DaXRlPjwvRW5k
Tm90ZT4A
</w:fldData>
        </w:fldChar>
      </w:r>
      <w:r w:rsidR="001A2F28">
        <w:instrText xml:space="preserve"> ADDIN EN.CITE </w:instrText>
      </w:r>
      <w:r w:rsidR="001A2F28">
        <w:fldChar w:fldCharType="begin">
          <w:fldData xml:space="preserve">PEVuZE5vdGU+PENpdGU+PEF1dGhvcj5IaWxsPC9BdXRob3I+PFllYXI+MjAxNzwvWWVhcj48UmVj
TnVtPjE3NjE8L1JlY051bT48RGlzcGxheVRleHQ+PHN0eWxlIGZhY2U9InN1cGVyc2NyaXB0IiBm
b250PSJUcmVidWNoZXQgTVMiIHNpemU9IjkiPjM1ODwvc3R5bGU+PC9EaXNwbGF5VGV4dD48cmVj
b3JkPjxyZWMtbnVtYmVyPjE3NjE8L3JlYy1udW1iZXI+PGZvcmVpZ24ta2V5cz48a2V5IGFwcD0i
RU4iIGRiLWlkPSJleHZhc3JmeDJkdHJhb2VzYXN4cDJzenN4YTJkZjUwMjU5MngiIHRpbWVzdGFt
cD0iMTU4Mjg2NzE2MCI+MTc2MTwva2V5PjxrZXkgYXBwPSJFTldlYiIgZGItaWQ9IiI+MDwva2V5
PjwvZm9yZWlnbi1rZXlzPjxyZWYtdHlwZSBuYW1lPSJKb3VybmFsIEFydGljbGUiPjE3PC9yZWYt
dHlwZT48Y29udHJpYnV0b3JzPjxhdXRob3JzPjxhdXRob3I+SGlsbCwgQi48L2F1dGhvcj48YXV0
aG9yPkJlcmdtZWllciwgSC48L2F1dGhvcj48YXV0aG9yPk1jUGhpZSwgUy48L2F1dGhvcj48YXV0
aG9yPkZ1bGxlci1UeXN6a2lld2ljeiwgTS48L2F1dGhvcj48YXV0aG9yPlRlZWRlLCBILjwvYXV0
aG9yPjxhdXRob3I+Rm9yc3RlciwgRC48L2F1dGhvcj48YXV0aG9yPlNwaWxpb3RpcywgQi4gRS48
L2F1dGhvcj48YXV0aG9yPkhpbGxzLCBBLiBQLjwvYXV0aG9yPjxhdXRob3I+U2tvdXRlcmlzLCBI
LjwvYXV0aG9yPjwvYXV0aG9ycz48L2NvbnRyaWJ1dG9ycz48YXV0aC1hZGRyZXNzPlNjaG9vbCBv
ZiBQc3ljaG9sb2d5LCBEZWFraW4gVW5pdmVyc2l0eSwgR2VlbG9uZywgVmljdG9yaWEsIEF1c3Ry
YWxpYS4mI3hEO01vbmFzaCBDZW50cmUgZm9yIEhlYWx0aCBSZXNlYXJjaCBhbmQgSW1wbGVtZW50
YXRpb24sIFNjaG9vbCBvZiBQdWJsaWMgSGVhbHRoIGFuZCBQcmV2ZW50YXRpdmUgTWVkaWNpbmUs
IE1vbmFzaCBVbml2ZXJzaXR5IGluIGNvbGxhYm9yYXRpb24gd2l0aCBNb25hc2ggSGVhbHRoLCBN
ZWxib3VybmUsIFZpY3RvcmlhLCBBdXN0cmFsaWEuJiN4RDtTY2hvb2wgb2YgTnVyc2luZyBhbmQg
TWlkd2lmZXJ5LCBDb2xsZWdlIG9mIFNjaWVuY2UsIEhlYWx0aCBhbmQgRW5naW5lZXJpbmcsIEp1
ZGl0aCBMdW1sZXkgQ2VudHJlLCBNZWxib3VybmUsIFZpY3RvcmlhLCBBdXN0cmFsaWEuJiN4RDtN
aWR3aWZlcnkgUmVzZWFyY2ggVW5pdCwgTWF0ZXJuaXR5IFNlcnZpY2VzLCBSb3lhbCBXb21lbiZh
cG9zO3MgSG9zcGl0YWwsIE1lbGJvdXJuZSwgVmljdG9yaWEsIEF1c3RyYWxpYS4mI3hEO1BlZGlh
dHJpYyBFbmRvY3Jpbm9sb2d5LCBEaXZpc2lvbiBvZiBQZWRpYXRyaWMgRW5kb2NyaW5vbG9neSBh
bmQgRGlhYmV0ZXMsIERlcGFydG1lbnQgb2YgUGVkaWF0cmljcywgU2Nob29sIG9mIE1lZGljaW5l
LCBVbml2ZXJzaXR5IG9mIFBhdHJhcywgUGF0cmFzLCBHcmVlY2UuJiN4RDtTcG9ydCBhbmQgRXhl
cmNpc2UgU2NpZW5jZSwgU2Nob29sIG9mIEhlYWx0aCBTY2llbmNlcywgVW5pdmVyc2l0eSBvZiBU
YXNtYW5pYSwgTGF1bmNlc3RvbiwgVGFzbWFuaWEsIEF1c3RyYWxpYS48L2F1dGgtYWRkcmVzcz48
dGl0bGVzPjx0aXRsZT5JcyBwYXJpdHkgYSByaXNrIGZhY3RvciBmb3IgZXhjZXNzaXZlIHdlaWdo
dCBnYWluIGR1cmluZyBwcmVnbmFuY3kgYW5kIHBvc3RwYXJ0dW0gd2VpZ2h0IHJldGVudGlvbj8g
QSBzeXN0ZW1hdGljIHJldmlldyBhbmQgbWV0YS1hbmFseXNpczwvdGl0bGU+PHNlY29uZGFyeS10
aXRsZT5PYmVzIFJldjwvc2Vjb25kYXJ5LXRpdGxlPjwvdGl0bGVzPjxwZXJpb2RpY2FsPjxmdWxs
LXRpdGxlPk9iZXMgUmV2PC9mdWxsLXRpdGxlPjwvcGVyaW9kaWNhbD48cGFnZXM+NzU1LTc2NDwv
cGFnZXM+PHZvbHVtZT4xODwvdm9sdW1lPjxudW1iZXI+NzwvbnVtYmVyPjxlZGl0aW9uPjIwMTcv
MDUvMTg8L2VkaXRpb24+PGtleXdvcmRzPjxrZXl3b3JkPkJvZHkgTWFzcyBJbmRleDwva2V5d29y
ZD48a2V5d29yZD5GZW1hbGU8L2tleXdvcmQ+PGtleXdvcmQ+SHVtYW5zPC9rZXl3b3JkPjxrZXl3
b3JkPk9iZXNpdHkvZXBpZGVtaW9sb2d5PC9rZXl3b3JkPjxrZXl3b3JkPk92ZXJ3ZWlnaHQvZXBp
ZGVtaW9sb2d5PC9rZXl3b3JkPjxrZXl3b3JkPlBhcml0eS8qcGh5c2lvbG9neTwva2V5d29yZD48
a2V5d29yZD5Qb3N0cGFydHVtIFBlcmlvZC8qcGh5c2lvbG9neTwva2V5d29yZD48a2V5d29yZD5Q
cmVnbmFuY3k8L2tleXdvcmQ+PGtleXdvcmQ+UmlzayBGYWN0b3JzPC9rZXl3b3JkPjxrZXl3b3Jk
PldlaWdodCBHYWluLypwaHlzaW9sb2d5PC9rZXl3b3JkPjxrZXl3b3JkPipPYmVzaXR5PC9rZXl3
b3JkPjxrZXl3b3JkPipwYXJpdHk8L2tleXdvcmQ+PGtleXdvcmQ+KnByZWduYW5jeTwva2V5d29y
ZD48a2V5d29yZD4qd2VpZ2h0IGdhaW48L2tleXdvcmQ+PC9rZXl3b3Jkcz48ZGF0ZXM+PHllYXI+
MjAxNzwveWVhcj48cHViLWRhdGVzPjxkYXRlPkp1bDwvZGF0ZT48L3B1Yi1kYXRlcz48L2RhdGVz
Pjxpc2JuPjE0NjctNzg5WCAoRWxlY3Ryb25pYykmI3hEOzE0NjctNzg4MSAoTGlua2luZyk8L2lz
Ym4+PGFjY2Vzc2lvbi1udW0+Mjg1MTI5OTE8L2FjY2Vzc2lvbi1udW0+PHVybHM+PHJlbGF0ZWQt
dXJscz48dXJsPmh0dHBzOi8vd3d3Lm5jYmkubmxtLm5paC5nb3YvcHVibWVkLzI4NTEyOTkxPC91
cmw+PC9yZWxhdGVkLXVybHM+PC91cmxzPjxlbGVjdHJvbmljLXJlc291cmNlLW51bT4xMC4xMTEx
L29ici4xMjUzODwvZWxlY3Ryb25pYy1yZXNvdXJjZS1udW0+PC9yZWNvcmQ+PC9DaXRlPjwvRW5k
Tm90ZT4A
</w:fldData>
        </w:fldChar>
      </w:r>
      <w:r w:rsidR="001A2F28">
        <w:instrText xml:space="preserve"> ADDIN EN.CITE.DATA </w:instrText>
      </w:r>
      <w:r w:rsidR="001A2F28">
        <w:fldChar w:fldCharType="end"/>
      </w:r>
      <w:r>
        <w:fldChar w:fldCharType="separate"/>
      </w:r>
      <w:r w:rsidR="001A2F28" w:rsidRPr="001A2F28">
        <w:rPr>
          <w:noProof/>
          <w:vertAlign w:val="superscript"/>
        </w:rPr>
        <w:t>358</w:t>
      </w:r>
      <w:r>
        <w:fldChar w:fldCharType="end"/>
      </w:r>
    </w:p>
    <w:p w14:paraId="3D5A1202" w14:textId="5E01C448" w:rsidR="000F3D0F" w:rsidRPr="00283348" w:rsidRDefault="000F3D0F" w:rsidP="000F3D0F">
      <w:r>
        <w:t>The evidence on an association between weight gain exceeding recommendations and depression was inconsistent</w:t>
      </w:r>
      <w:r w:rsidR="00856E38">
        <w:t>.</w:t>
      </w:r>
      <w:r w:rsidR="00C641CF">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IiBmb250PSJUcmVidWNoZXQgTVMiIHNpemU9IjkiPjM1NSwzNTY8L3N0eWxlPjwvRGlzcGxheVRl
eHQ+PHJlY29yZD48cmVjLW51bWJlcj4xNzU5PC9yZWMtbnVtYmVyPjxmb3JlaWduLWtleXM+PGtl
eSBhcHA9IkVOIiBkYi1pZD0iZXh2YXNyZngyZHRyYW9lc2FzeHAyc3pzeGEyZGY1MDI1OTJ4IiB0
aW1lc3RhbXA9IjE1ODI4NjcxNDMiPjE3NTk8L2tleT48a2V5IGFwcD0iRU5XZWIiIGRiLWlkPSIi
PjA8L2tleT48L2ZvcmVpZ24ta2V5cz48cmVmLXR5cGUgbmFtZT0iSm91cm5hbCBBcnRpY2xlIj4x
NzwvcmVmLXR5cGU+PGNvbnRyaWJ1dG9ycz48YXV0aG9ycz48YXV0aG9yPkhhcnRsZXksIEUuPC9h
dXRob3I+PGF1dGhvcj5NY1BoaWUsIFMuPC9hdXRob3I+PGF1dGhvcj5Ta291dGVyaXMsIEguPC9h
dXRob3I+PGF1dGhvcj5GdWxsZXItVHlzemtpZXdpY3osIE0uPC9hdXRob3I+PGF1dGhvcj5IaWxs
LCBCLjwvYXV0aG9yPjwvYXV0aG9ycz48L2NvbnRyaWJ1dG9ycz48YXV0aC1hZGRyZXNzPlNjaG9v
bCBvZiBQc3ljaG9sb2d5LCBEZWFraW4gVW5pdmVyc2l0eSwgMjIxIEJ1cndvb2QgSGlnaHdheSwg
QnVyd29vZCwgVmljdG9yaWEgMzEyNSwgQXVzdHJhbGlhLiYjeEQ7U2Nob29sIG9mIFBzeWNob2xv
Z3ksIERlYWtpbiBVbml2ZXJzaXR5LCAyMjEgQnVyd29vZCBIaWdod2F5LCBCdXJ3b29kLCBWaWN0
b3JpYSAzMTI1LCBBdXN0cmFsaWEuIEVsZWN0cm9uaWMgYWRkcmVzczogc2t5ZS5tY3BoaWVAZGVh
a2luLmVkdS5hdS48L2F1dGgtYWRkcmVzcz48dGl0bGVzPjx0aXRsZT5Qc3ljaG9zb2NpYWwgcmlz
ayBmYWN0b3JzIGZvciBleGNlc3NpdmUgZ2VzdGF0aW9uYWwgd2VpZ2h0IGdhaW46IEEgc3lzdGVt
YXRpYyByZXZpZXc8L3RpdGxlPjxzZWNvbmRhcnktdGl0bGU+V29tZW4gQmlydGg8L3NlY29uZGFy
eS10aXRsZT48L3RpdGxlcz48cGVyaW9kaWNhbD48ZnVsbC10aXRsZT5Xb21lbiBCaXJ0aDwvZnVs
bC10aXRsZT48L3BlcmlvZGljYWw+PHBhZ2VzPmU5OS1lMTA5PC9wYWdlcz48dm9sdW1lPjI4PC92
b2x1bWU+PG51bWJlcj40PC9udW1iZXI+PGVkaXRpb24+MjAxNS8wNS8xMjwvZWRpdGlvbj48a2V5
d29yZHM+PGtleXdvcmQ+QWR1bHQ8L2tleXdvcmQ+PGtleXdvcmQ+QW54aWV0eS9wc3ljaG9sb2d5
PC9rZXl3b3JkPjxrZXl3b3JkPkJvZHkgSW1hZ2UvKnBzeWNob2xvZ3k8L2tleXdvcmQ+PGtleXdv
cmQ+KkJvZHkgTWFzcyBJbmRleDwva2V5d29yZD48a2V5d29yZD5EZXByZXNzaW9uL2V0aW9sb2d5
L3BzeWNob2xvZ3k8L2tleXdvcmQ+PGtleXdvcmQ+RmVtYWxlPC9rZXl3b3JkPjxrZXl3b3JkPkh1
bWFuczwva2V5d29yZD48a2V5d29yZD5Nb3RoZXJzLypwc3ljaG9sb2d5PC9rZXl3b3JkPjxrZXl3
b3JkPk9iZXNpdHkvKmV0aW9sb2d5L3BzeWNob2xvZ3k8L2tleXdvcmQ+PGtleXdvcmQ+UHJlZ25h
bmN5PC9rZXl3b3JkPjxrZXl3b3JkPlByZW5hdGFsIENhcmU8L2tleXdvcmQ+PGtleXdvcmQ+Umlz
ayBGYWN0b3JzPC9rZXl3b3JkPjxrZXl3b3JkPlNlbGYgQ29uY2VwdDwva2V5d29yZD48a2V5d29y
ZD5TZWxmIEVmZmljYWN5PC9rZXl3b3JkPjxrZXl3b3JkPipTb2NpYWwgU3VwcG9ydDwva2V5d29y
ZD48a2V5d29yZD4qV2VpZ2h0IEdhaW48L2tleXdvcmQ+PGtleXdvcmQ+Qm9keSBNYXNzIEluZGV4
IChCTUkpPC9rZXl3b3JkPjxrZXl3b3JkPk9iZXNpdHk8L2tleXdvcmQ+PGtleXdvcmQ+UHN5Y2hv
c29jaWFsIGZhY3RvcnM8L2tleXdvcmQ+PGtleXdvcmQ+V2VpZ2h0IGdhaW48L2tleXdvcmQ+PC9r
ZXl3b3Jkcz48ZGF0ZXM+PHllYXI+MjAxNTwveWVhcj48cHViLWRhdGVzPjxkYXRlPkRlYzwvZGF0
ZT48L3B1Yi1kYXRlcz48L2RhdGVzPjxpc2JuPjE4NzgtMTc5OSAoRWxlY3Ryb25pYykmI3hEOzE4
NzEtNTE5MiAoTGlua2luZyk8L2lzYm4+PGFjY2Vzc2lvbi1udW0+MjU5NTk4ODM8L2FjY2Vzc2lv
bi1udW0+PHVybHM+PHJlbGF0ZWQtdXJscz48dXJsPmh0dHBzOi8vd3d3Lm5jYmkubmxtLm5paC5n
b3YvcHVibWVkLzI1OTU5ODgzPC91cmw+PC9yZWxhdGVkLXVybHM+PC91cmxzPjxlbGVjdHJvbmlj
LXJlc291cmNlLW51bT4xMC4xMDE2L2oud29tYmkuMjAxNS4wNC4wMDQ8L2VsZWN0cm9uaWMtcmVz
b3VyY2UtbnVtPjwvcmVjb3JkPjwvQ2l0ZT48Q2l0ZT48QXV0aG9yPkthcGFkaWE8L0F1dGhvcj48
WWVhcj4yMDE1PC9ZZWFyPjxSZWNOdW0+MTc2NTwvUmVjTnVtPjxyZWNvcmQ+PHJlYy1udW1iZXI+
MTc2NTwvcmVjLW51bWJlcj48Zm9yZWlnbi1rZXlzPjxrZXkgYXBwPSJFTiIgZGItaWQ9ImV4dmFz
cmZ4MmR0cmFvZXNhc3hwMnN6c3hhMmRmNTAyNTkyeCIgdGltZXN0YW1wPSIxNTgyODY3MjAwIj4x
NzY1PC9rZXk+PGtleSBhcHA9IkVOV2ViIiBkYi1pZD0iIj4wPC9rZXk+PC9mb3JlaWduLWtleXM+
PHJlZi10eXBlIG5hbWU9IkpvdXJuYWwgQXJ0aWNsZSI+MTc8L3JlZi10eXBlPjxjb250cmlidXRv
cnM+PGF1dGhvcnM+PGF1dGhvcj5LYXBhZGlhLCBNLiBaLjwvYXV0aG9yPjxhdXRob3I+R2FzdG9u
LCBBLjwvYXV0aG9yPjxhdXRob3I+VmFuIEJseWRlcnZlZW4sIFMuPC9hdXRob3I+PGF1dGhvcj5T
Y2htaWR0LCBMLjwvYXV0aG9yPjxhdXRob3I+QmV5ZW5lLCBKLjwvYXV0aG9yPjxhdXRob3I+TWNE
b25hbGQsIEguPC9hdXRob3I+PGF1dGhvcj5NY0RvbmFsZCwgUy4gRC48L2F1dGhvcj48L2F1dGhv
cnM+PC9jb250cmlidXRvcnM+PGF1dGgtYWRkcmVzcz5EZXBhcnRtZW50IG9mIE9ic3RldHJpY3Mg
YW5kIEd5bmVjb2xvZ3ksIE1jTWFzdGVyIFVuaXZlcnNpdHksIEhhbWlsdG9uLCBDYW5hZGEuIG11
Zml6YS5mYXJpZEBnbWFpbC5jb20uJiN4RDtTY2hvb2wgb2YgS2luZXNpb2xvZ3ksIFVuaXZlcnNp
dHkgb2YgV2VzdGVybiBPbnRhcmlvLCBMb25kb24sIE9udGFyaW8sIENhbmFkYS4gYWdhc3RvbjJA
dXdvLmNhLiYjeEQ7TmV3IExlYWYgUHN5Y2hvbG9neSwgTWlsdG9uLCBDYW5hZGEuIGRyLnNoZXJy
eUBuZXdsZWFmcHN5Y2hvbG9neS5jYS4mI3hEO0RlcGFydG1lbnQgb2YgUHN5Y2hvbG9neSwgTmV1
cm9zY2llbmNlICZhbXA7IEJlaGF2aW9yLCBNY01hc3RlciBVbml2ZXJzaXR5LCBIYW1pbHRvbiwg
Q2FuYWRhLiBzY2htaWR0bEBtY21hc3Rlci5jYS4mI3hEO0RlcGFydG1lbnQgQ2xpbmljYWwgRXBp
ZGVtaW9sb2d5IGFuZCBCaW9zdGF0aXN0aWNzLCBNY01hc3RlciBVbml2ZXJzaXR5LCBIYW1pbHRv
biwgQ2FuYWRhLiBiZXllbmVAbWNtYXN0ZXIuY2EuJiN4RDtNaWR3aWZlcnkgRWR1Y2F0aW9uIFBy
b2dyYW0sIERlcGFydG1lbnQgb2YgRmFtaWx5IE1lZGljaW5lLCBNY01hc3RlciBVbml2ZXJzaXR5
LCBIYW1pbHRvbiwgQ2FuYWRhLiBtY2RvbmFsQG1jbWFzdGVyLmNhLiYjeEQ7RGl2aXNpb24gb2Yg
TWF0ZXJuYWwtRmV0YWwgTWVkaWNpbmUsIERlcGFydG1lbnRzIG9mIE9ic3RldHJpY3MgJmFtcDsg
R3luZWNvbG9neSwgUmFkaW9sb2d5LCBhbmQgQ2xpbmljYWwgRXBpZGVtaW9sb2d5ICZhbXA7IEJp
b3N0YXRpc3RpY3MsIE1jTWFzdGVyIFVuaXZlcnNpdHksIDEyODAgTWFpbiBTdHJlZXQgV2VzdCwg
cm9vbSAzTjUyQiwgSGFtaWx0b24sIE9udGFyaW8sIEw4UyA0SzEsIENhbmFkYS4gbWNkb25hbHNA
bWNtYXN0ZXIuY2EuPC9hdXRoLWFkZHJlc3M+PHRpdGxlcz48dGl0bGU+UHN5Y2hvbG9naWNhbCBh
bnRlY2VkZW50cyBvZiBleGNlc3MgZ2VzdGF0aW9uYWwgd2VpZ2h0IGdhaW46IGEgc3lzdGVtYXRp
YyByZXZpZXc8L3RpdGxlPjxzZWNvbmRhcnktdGl0bGU+Qk1DIFByZWduYW5jeSBDaGlsZGJpcnRo
PC9zZWNvbmRhcnktdGl0bGU+PC90aXRsZXM+PHBlcmlvZGljYWw+PGZ1bGwtdGl0bGU+Qk1DIFBy
ZWduYW5jeSBDaGlsZGJpcnRoPC9mdWxsLXRpdGxlPjwvcGVyaW9kaWNhbD48cGFnZXM+MTA3PC9w
YWdlcz48dm9sdW1lPjE1PC92b2x1bWU+PGVkaXRpb24+MjAxNS8wNS8wMzwvZWRpdGlvbj48a2V5
d29yZHM+PGtleXdvcmQ+QWR1bHQ8L2tleXdvcmQ+PGtleXdvcmQ+Qm9keSBNYXNzIEluZGV4PC9r
ZXl3b3JkPjxrZXl3b3JkPkZlbWFsZTwva2V5d29yZD48a2V5d29yZD5HZXN0YXRpb25hbCBBZ2U8
L2tleXdvcmQ+PGtleXdvcmQ+SHVtYW5zPC9rZXl3b3JkPjxrZXl3b3JkPkluY2lkZW5jZTwva2V5
d29yZD48a2V5d29yZD5JbmZhbnQsIE5ld2Jvcm48L2tleXdvcmQ+PGtleXdvcmQ+T2Jlc2l0eS9w
aHlzaW9wYXRob2xvZ3kvcHN5Y2hvbG9neTwva2V5d29yZD48a2V5d29yZD5QcmVnbmFuY3k8L2tl
eXdvcmQ+PGtleXdvcmQ+UHJlZ25hbmN5IENvbXBsaWNhdGlvbnMvZXBpZGVtaW9sb2d5Lypwc3lj
aG9sb2d5PC9rZXl3b3JkPjxrZXl3b3JkPipQcmVnbmFuY3kgT3V0Y29tZTwva2V5d29yZD48a2V5
d29yZD5QcmVnbmFudCBXb21lbi8qcHN5Y2hvbG9neTwva2V5d29yZD48a2V5d29yZD5Qc3ljaG9s
b2d5PC9rZXl3b3JkPjxrZXl3b3JkPlJpc2sgQXNzZXNzbWVudDwva2V5d29yZD48a2V5d29yZD4q
V2VpZ2h0IEdhaW48L2tleXdvcmQ+PC9rZXl3b3Jkcz48ZGF0ZXM+PHllYXI+MjAxNTwveWVhcj48
cHViLWRhdGVzPjxkYXRlPk1heSAyPC9kYXRlPjwvcHViLWRhdGVzPjwvZGF0ZXM+PGlzYm4+MTQ3
MS0yMzkzIChFbGVjdHJvbmljKSYjeEQ7MTQ3MS0yMzkzIChMaW5raW5nKTwvaXNibj48YWNjZXNz
aW9uLW51bT4yNTkzMzYwNDwvYWNjZXNzaW9uLW51bT48dXJscz48cmVsYXRlZC11cmxzPjx1cmw+
aHR0cHM6Ly93d3cubmNiaS5ubG0ubmloLmdvdi9wdWJtZWQvMjU5MzM2MDQ8L3VybD48L3JlbGF0
ZWQtdXJscz48L3VybHM+PGN1c3RvbTI+UE1DNDUxODYwOTwvY3VzdG9tMj48ZWxlY3Ryb25pYy1y
ZXNvdXJjZS1udW0+MTAuMTE4Ni9zMTI4ODQtMDE1LTA1MzUteTwvZWxlY3Ryb25pYy1yZXNvdXJj
ZS1udW0+PC9yZWNvcmQ+PC9DaXRlPjwvRW5kTm90ZT4A
</w:fldData>
        </w:fldChar>
      </w:r>
      <w:r w:rsidR="001A2F28">
        <w:instrText xml:space="preserve"> ADDIN EN.CITE.DATA </w:instrText>
      </w:r>
      <w:r w:rsidR="001A2F28">
        <w:fldChar w:fldCharType="end"/>
      </w:r>
      <w:r w:rsidR="00C641CF">
        <w:fldChar w:fldCharType="separate"/>
      </w:r>
      <w:r w:rsidR="001A2F28" w:rsidRPr="001A2F28">
        <w:rPr>
          <w:noProof/>
          <w:vertAlign w:val="superscript"/>
        </w:rPr>
        <w:t>355,356</w:t>
      </w:r>
      <w:r w:rsidR="00C641CF">
        <w:fldChar w:fldCharType="end"/>
      </w:r>
    </w:p>
    <w:p w14:paraId="1AEFE940" w14:textId="43DCC0FD" w:rsidR="000F3D0F" w:rsidRDefault="000F3D0F" w:rsidP="000F3D0F">
      <w:r w:rsidRPr="004E11A7">
        <w:t>Protective factors included an internal locus of control for weight gain, lower than recommended target weight gain and higher self-efficacy for healthy eating</w:t>
      </w:r>
      <w:r>
        <w:t>.</w:t>
      </w:r>
      <w:r>
        <w:fldChar w:fldCharType="begin">
          <w:fldData xml:space="preserve">PEVuZE5vdGU+PENpdGU+PEF1dGhvcj5LYXBhZGlhPC9BdXRob3I+PFllYXI+MjAxNTwvWWVhcj48
UmVjTnVtPjE3NjU8L1JlY051bT48RGlzcGxheVRleHQ+PHN0eWxlIGZhY2U9InN1cGVyc2NyaXB0
IiBmb250PSJUcmVidWNoZXQgTVMiIHNpemU9IjkiPjM1Njwvc3R5bGU+PC9EaXNwbGF5VGV4dD48
cmVjb3JkPjxyZWMtbnVtYmVyPjE3NjU8L3JlYy1udW1iZXI+PGZvcmVpZ24ta2V5cz48a2V5IGFw
cD0iRU4iIGRiLWlkPSJleHZhc3JmeDJkdHJhb2VzYXN4cDJzenN4YTJkZjUwMjU5MngiIHRpbWVz
dGFtcD0iMTU4Mjg2NzIwMCI+MTc2NTwva2V5PjxrZXkgYXBwPSJFTldlYiIgZGItaWQ9IiI+MDwv
a2V5PjwvZm9yZWlnbi1rZXlzPjxyZWYtdHlwZSBuYW1lPSJKb3VybmFsIEFydGljbGUiPjE3PC9y
ZWYtdHlwZT48Y29udHJpYnV0b3JzPjxhdXRob3JzPjxhdXRob3I+S2FwYWRpYSwgTS4gWi48L2F1
dGhvcj48YXV0aG9yPkdhc3RvbiwgQS48L2F1dGhvcj48YXV0aG9yPlZhbiBCbHlkZXJ2ZWVuLCBT
LjwvYXV0aG9yPjxhdXRob3I+U2NobWlkdCwgTC48L2F1dGhvcj48YXV0aG9yPkJleWVuZSwgSi48
L2F1dGhvcj48YXV0aG9yPk1jRG9uYWxkLCBILjwvYXV0aG9yPjxhdXRob3I+TWNEb25hbGQsIFMu
IEQuPC9hdXRob3I+PC9hdXRob3JzPjwvY29udHJpYnV0b3JzPjxhdXRoLWFkZHJlc3M+RGVwYXJ0
bWVudCBvZiBPYnN0ZXRyaWNzIGFuZCBHeW5lY29sb2d5LCBNY01hc3RlciBVbml2ZXJzaXR5LCBI
YW1pbHRvbiwgQ2FuYWRhLiBtdWZpemEuZmFyaWRAZ21haWwuY29tLiYjeEQ7U2Nob29sIG9mIEtp
bmVzaW9sb2d5LCBVbml2ZXJzaXR5IG9mIFdlc3Rlcm4gT250YXJpbywgTG9uZG9uLCBPbnRhcmlv
LCBDYW5hZGEuIGFnYXN0b24yQHV3by5jYS4mI3hEO05ldyBMZWFmIFBzeWNob2xvZ3ksIE1pbHRv
biwgQ2FuYWRhLiBkci5zaGVycnlAbmV3bGVhZnBzeWNob2xvZ3kuY2EuJiN4RDtEZXBhcnRtZW50
IG9mIFBzeWNob2xvZ3ksIE5ldXJvc2NpZW5jZSAmYW1wOyBCZWhhdmlvciwgTWNNYXN0ZXIgVW5p
dmVyc2l0eSwgSGFtaWx0b24sIENhbmFkYS4gc2NobWlkdGxAbWNtYXN0ZXIuY2EuJiN4RDtEZXBh
cnRtZW50IENsaW5pY2FsIEVwaWRlbWlvbG9neSBhbmQgQmlvc3RhdGlzdGljcywgTWNNYXN0ZXIg
VW5pdmVyc2l0eSwgSGFtaWx0b24sIENhbmFkYS4gYmV5ZW5lQG1jbWFzdGVyLmNhLiYjeEQ7TWlk
d2lmZXJ5IEVkdWNhdGlvbiBQcm9ncmFtLCBEZXBhcnRtZW50IG9mIEZhbWlseSBNZWRpY2luZSwg
TWNNYXN0ZXIgVW5pdmVyc2l0eSwgSGFtaWx0b24sIENhbmFkYS4gbWNkb25hbEBtY21hc3Rlci5j
YS4mI3hEO0RpdmlzaW9uIG9mIE1hdGVybmFsLUZldGFsIE1lZGljaW5lLCBEZXBhcnRtZW50cyBv
ZiBPYnN0ZXRyaWNzICZhbXA7IEd5bmVjb2xvZ3ksIFJhZGlvbG9neSwgYW5kIENsaW5pY2FsIEVw
aWRlbWlvbG9neSAmYW1wOyBCaW9zdGF0aXN0aWNzLCBNY01hc3RlciBVbml2ZXJzaXR5LCAxMjgw
IE1haW4gU3RyZWV0IFdlc3QsIHJvb20gM041MkIsIEhhbWlsdG9uLCBPbnRhcmlvLCBMOFMgNEsx
LCBDYW5hZGEuIG1jZG9uYWxzQG1jbWFzdGVyLmNhLjwvYXV0aC1hZGRyZXNzPjx0aXRsZXM+PHRp
dGxlPlBzeWNob2xvZ2ljYWwgYW50ZWNlZGVudHMgb2YgZXhjZXNzIGdlc3RhdGlvbmFsIHdlaWdo
dCBnYWluOiBhIHN5c3RlbWF0aWMgcmV2aWV3PC90aXRsZT48c2Vjb25kYXJ5LXRpdGxlPkJNQyBQ
cmVnbmFuY3kgQ2hpbGRiaXJ0aDwvc2Vjb25kYXJ5LXRpdGxlPjwvdGl0bGVzPjxwZXJpb2RpY2Fs
PjxmdWxsLXRpdGxlPkJNQyBQcmVnbmFuY3kgQ2hpbGRiaXJ0aDwvZnVsbC10aXRsZT48L3Blcmlv
ZGljYWw+PHBhZ2VzPjEwNzwvcGFnZXM+PHZvbHVtZT4xNTwvdm9sdW1lPjxlZGl0aW9uPjIwMTUv
MDUvMDM8L2VkaXRpb24+PGtleXdvcmRzPjxrZXl3b3JkPkFkdWx0PC9rZXl3b3JkPjxrZXl3b3Jk
PkJvZHkgTWFzcyBJbmRleDwva2V5d29yZD48a2V5d29yZD5GZW1hbGU8L2tleXdvcmQ+PGtleXdv
cmQ+R2VzdGF0aW9uYWwgQWdlPC9rZXl3b3JkPjxrZXl3b3JkPkh1bWFuczwva2V5d29yZD48a2V5
d29yZD5JbmNpZGVuY2U8L2tleXdvcmQ+PGtleXdvcmQ+SW5mYW50LCBOZXdib3JuPC9rZXl3b3Jk
PjxrZXl3b3JkPk9iZXNpdHkvcGh5c2lvcGF0aG9sb2d5L3BzeWNob2xvZ3k8L2tleXdvcmQ+PGtl
eXdvcmQ+UHJlZ25hbmN5PC9rZXl3b3JkPjxrZXl3b3JkPlByZWduYW5jeSBDb21wbGljYXRpb25z
L2VwaWRlbWlvbG9neS8qcHN5Y2hvbG9neTwva2V5d29yZD48a2V5d29yZD4qUHJlZ25hbmN5IE91
dGNvbWU8L2tleXdvcmQ+PGtleXdvcmQ+UHJlZ25hbnQgV29tZW4vKnBzeWNob2xvZ3k8L2tleXdv
cmQ+PGtleXdvcmQ+UHN5Y2hvbG9neTwva2V5d29yZD48a2V5d29yZD5SaXNrIEFzc2Vzc21lbnQ8
L2tleXdvcmQ+PGtleXdvcmQ+KldlaWdodCBHYWluPC9rZXl3b3JkPjwva2V5d29yZHM+PGRhdGVz
Pjx5ZWFyPjIwMTU8L3llYXI+PHB1Yi1kYXRlcz48ZGF0ZT5NYXkgMjwvZGF0ZT48L3B1Yi1kYXRl
cz48L2RhdGVzPjxpc2JuPjE0NzEtMjM5MyAoRWxlY3Ryb25pYykmI3hEOzE0NzEtMjM5MyAoTGlu
a2luZyk8L2lzYm4+PGFjY2Vzc2lvbi1udW0+MjU5MzM2MDQ8L2FjY2Vzc2lvbi1udW0+PHVybHM+
PHJlbGF0ZWQtdXJscz48dXJsPmh0dHBzOi8vd3d3Lm5jYmkubmxtLm5paC5nb3YvcHVibWVkLzI1
OTMzNjA0PC91cmw+PC9yZWxhdGVkLXVybHM+PC91cmxzPjxjdXN0b20yPlBNQzQ1MTg2MDk8L2N1
c3RvbTI+PGVsZWN0cm9uaWMtcmVzb3VyY2UtbnVtPjEwLjExODYvczEyODg0LTAxNS0wNTM1LXk8
L2VsZWN0cm9uaWMtcmVzb3VyY2UtbnVtPjwvcmVjb3JkPjwvQ2l0ZT48L0VuZE5vdGU+
</w:fldData>
        </w:fldChar>
      </w:r>
      <w:r w:rsidR="001A2F28">
        <w:instrText xml:space="preserve"> ADDIN EN.CITE </w:instrText>
      </w:r>
      <w:r w:rsidR="001A2F28">
        <w:fldChar w:fldCharType="begin">
          <w:fldData xml:space="preserve">PEVuZE5vdGU+PENpdGU+PEF1dGhvcj5LYXBhZGlhPC9BdXRob3I+PFllYXI+MjAxNTwvWWVhcj48
UmVjTnVtPjE3NjU8L1JlY051bT48RGlzcGxheVRleHQ+PHN0eWxlIGZhY2U9InN1cGVyc2NyaXB0
IiBmb250PSJUcmVidWNoZXQgTVMiIHNpemU9IjkiPjM1Njwvc3R5bGU+PC9EaXNwbGF5VGV4dD48
cmVjb3JkPjxyZWMtbnVtYmVyPjE3NjU8L3JlYy1udW1iZXI+PGZvcmVpZ24ta2V5cz48a2V5IGFw
cD0iRU4iIGRiLWlkPSJleHZhc3JmeDJkdHJhb2VzYXN4cDJzenN4YTJkZjUwMjU5MngiIHRpbWVz
dGFtcD0iMTU4Mjg2NzIwMCI+MTc2NTwva2V5PjxrZXkgYXBwPSJFTldlYiIgZGItaWQ9IiI+MDwv
a2V5PjwvZm9yZWlnbi1rZXlzPjxyZWYtdHlwZSBuYW1lPSJKb3VybmFsIEFydGljbGUiPjE3PC9y
ZWYtdHlwZT48Y29udHJpYnV0b3JzPjxhdXRob3JzPjxhdXRob3I+S2FwYWRpYSwgTS4gWi48L2F1
dGhvcj48YXV0aG9yPkdhc3RvbiwgQS48L2F1dGhvcj48YXV0aG9yPlZhbiBCbHlkZXJ2ZWVuLCBT
LjwvYXV0aG9yPjxhdXRob3I+U2NobWlkdCwgTC48L2F1dGhvcj48YXV0aG9yPkJleWVuZSwgSi48
L2F1dGhvcj48YXV0aG9yPk1jRG9uYWxkLCBILjwvYXV0aG9yPjxhdXRob3I+TWNEb25hbGQsIFMu
IEQuPC9hdXRob3I+PC9hdXRob3JzPjwvY29udHJpYnV0b3JzPjxhdXRoLWFkZHJlc3M+RGVwYXJ0
bWVudCBvZiBPYnN0ZXRyaWNzIGFuZCBHeW5lY29sb2d5LCBNY01hc3RlciBVbml2ZXJzaXR5LCBI
YW1pbHRvbiwgQ2FuYWRhLiBtdWZpemEuZmFyaWRAZ21haWwuY29tLiYjeEQ7U2Nob29sIG9mIEtp
bmVzaW9sb2d5LCBVbml2ZXJzaXR5IG9mIFdlc3Rlcm4gT250YXJpbywgTG9uZG9uLCBPbnRhcmlv
LCBDYW5hZGEuIGFnYXN0b24yQHV3by5jYS4mI3hEO05ldyBMZWFmIFBzeWNob2xvZ3ksIE1pbHRv
biwgQ2FuYWRhLiBkci5zaGVycnlAbmV3bGVhZnBzeWNob2xvZ3kuY2EuJiN4RDtEZXBhcnRtZW50
IG9mIFBzeWNob2xvZ3ksIE5ldXJvc2NpZW5jZSAmYW1wOyBCZWhhdmlvciwgTWNNYXN0ZXIgVW5p
dmVyc2l0eSwgSGFtaWx0b24sIENhbmFkYS4gc2NobWlkdGxAbWNtYXN0ZXIuY2EuJiN4RDtEZXBh
cnRtZW50IENsaW5pY2FsIEVwaWRlbWlvbG9neSBhbmQgQmlvc3RhdGlzdGljcywgTWNNYXN0ZXIg
VW5pdmVyc2l0eSwgSGFtaWx0b24sIENhbmFkYS4gYmV5ZW5lQG1jbWFzdGVyLmNhLiYjeEQ7TWlk
d2lmZXJ5IEVkdWNhdGlvbiBQcm9ncmFtLCBEZXBhcnRtZW50IG9mIEZhbWlseSBNZWRpY2luZSwg
TWNNYXN0ZXIgVW5pdmVyc2l0eSwgSGFtaWx0b24sIENhbmFkYS4gbWNkb25hbEBtY21hc3Rlci5j
YS4mI3hEO0RpdmlzaW9uIG9mIE1hdGVybmFsLUZldGFsIE1lZGljaW5lLCBEZXBhcnRtZW50cyBv
ZiBPYnN0ZXRyaWNzICZhbXA7IEd5bmVjb2xvZ3ksIFJhZGlvbG9neSwgYW5kIENsaW5pY2FsIEVw
aWRlbWlvbG9neSAmYW1wOyBCaW9zdGF0aXN0aWNzLCBNY01hc3RlciBVbml2ZXJzaXR5LCAxMjgw
IE1haW4gU3RyZWV0IFdlc3QsIHJvb20gM041MkIsIEhhbWlsdG9uLCBPbnRhcmlvLCBMOFMgNEsx
LCBDYW5hZGEuIG1jZG9uYWxzQG1jbWFzdGVyLmNhLjwvYXV0aC1hZGRyZXNzPjx0aXRsZXM+PHRp
dGxlPlBzeWNob2xvZ2ljYWwgYW50ZWNlZGVudHMgb2YgZXhjZXNzIGdlc3RhdGlvbmFsIHdlaWdo
dCBnYWluOiBhIHN5c3RlbWF0aWMgcmV2aWV3PC90aXRsZT48c2Vjb25kYXJ5LXRpdGxlPkJNQyBQ
cmVnbmFuY3kgQ2hpbGRiaXJ0aDwvc2Vjb25kYXJ5LXRpdGxlPjwvdGl0bGVzPjxwZXJpb2RpY2Fs
PjxmdWxsLXRpdGxlPkJNQyBQcmVnbmFuY3kgQ2hpbGRiaXJ0aDwvZnVsbC10aXRsZT48L3Blcmlv
ZGljYWw+PHBhZ2VzPjEwNzwvcGFnZXM+PHZvbHVtZT4xNTwvdm9sdW1lPjxlZGl0aW9uPjIwMTUv
MDUvMDM8L2VkaXRpb24+PGtleXdvcmRzPjxrZXl3b3JkPkFkdWx0PC9rZXl3b3JkPjxrZXl3b3Jk
PkJvZHkgTWFzcyBJbmRleDwva2V5d29yZD48a2V5d29yZD5GZW1hbGU8L2tleXdvcmQ+PGtleXdv
cmQ+R2VzdGF0aW9uYWwgQWdlPC9rZXl3b3JkPjxrZXl3b3JkPkh1bWFuczwva2V5d29yZD48a2V5
d29yZD5JbmNpZGVuY2U8L2tleXdvcmQ+PGtleXdvcmQ+SW5mYW50LCBOZXdib3JuPC9rZXl3b3Jk
PjxrZXl3b3JkPk9iZXNpdHkvcGh5c2lvcGF0aG9sb2d5L3BzeWNob2xvZ3k8L2tleXdvcmQ+PGtl
eXdvcmQ+UHJlZ25hbmN5PC9rZXl3b3JkPjxrZXl3b3JkPlByZWduYW5jeSBDb21wbGljYXRpb25z
L2VwaWRlbWlvbG9neS8qcHN5Y2hvbG9neTwva2V5d29yZD48a2V5d29yZD4qUHJlZ25hbmN5IE91
dGNvbWU8L2tleXdvcmQ+PGtleXdvcmQ+UHJlZ25hbnQgV29tZW4vKnBzeWNob2xvZ3k8L2tleXdv
cmQ+PGtleXdvcmQ+UHN5Y2hvbG9neTwva2V5d29yZD48a2V5d29yZD5SaXNrIEFzc2Vzc21lbnQ8
L2tleXdvcmQ+PGtleXdvcmQ+KldlaWdodCBHYWluPC9rZXl3b3JkPjwva2V5d29yZHM+PGRhdGVz
Pjx5ZWFyPjIwMTU8L3llYXI+PHB1Yi1kYXRlcz48ZGF0ZT5NYXkgMjwvZGF0ZT48L3B1Yi1kYXRl
cz48L2RhdGVzPjxpc2JuPjE0NzEtMjM5MyAoRWxlY3Ryb25pYykmI3hEOzE0NzEtMjM5MyAoTGlu
a2luZyk8L2lzYm4+PGFjY2Vzc2lvbi1udW0+MjU5MzM2MDQ8L2FjY2Vzc2lvbi1udW0+PHVybHM+
PHJlbGF0ZWQtdXJscz48dXJsPmh0dHBzOi8vd3d3Lm5jYmkubmxtLm5paC5nb3YvcHVibWVkLzI1
OTMzNjA0PC91cmw+PC9yZWxhdGVkLXVybHM+PC91cmxzPjxjdXN0b20yPlBNQzQ1MTg2MDk8L2N1
c3RvbTI+PGVsZWN0cm9uaWMtcmVzb3VyY2UtbnVtPjEwLjExODYvczEyODg0LTAxNS0wNTM1LXk8
L2VsZWN0cm9uaWMtcmVzb3VyY2UtbnVtPjwvcmVjb3JkPjwvQ2l0ZT48L0VuZE5vdGU+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356</w:t>
      </w:r>
      <w:r>
        <w:fldChar w:fldCharType="end"/>
      </w:r>
    </w:p>
    <w:p w14:paraId="26A9E2E5" w14:textId="59D583FB" w:rsidR="000F3D0F" w:rsidRDefault="000F3D0F" w:rsidP="000F3D0F">
      <w:r>
        <w:t>Cohort studies have found associations between weight gain exceeding guidelines and:</w:t>
      </w:r>
    </w:p>
    <w:p w14:paraId="3FF5F56F" w14:textId="4CE61206" w:rsidR="000F3D0F" w:rsidRDefault="007E534D" w:rsidP="000F3D0F">
      <w:pPr>
        <w:pStyle w:val="bullet"/>
      </w:pPr>
      <w:r>
        <w:t>p</w:t>
      </w:r>
      <w:r w:rsidR="000F3D0F">
        <w:t>re-pregnancy</w:t>
      </w:r>
      <w:r w:rsidR="000F3D0F" w:rsidRPr="00DF3C0D">
        <w:t xml:space="preserve"> BMI </w:t>
      </w:r>
      <w:r w:rsidR="000F3D0F">
        <w:t>(≥</w:t>
      </w:r>
      <w:r w:rsidR="000F3D0F" w:rsidRPr="00DF3C0D">
        <w:t xml:space="preserve">25 </w:t>
      </w:r>
      <w:r w:rsidR="000F3D0F">
        <w:t>vs &lt;25): OR 3.35; 95%</w:t>
      </w:r>
      <w:r w:rsidR="000F3D0F" w:rsidRPr="00DF3C0D">
        <w:t>CI 2.44</w:t>
      </w:r>
      <w:r w:rsidR="000F3D0F">
        <w:t xml:space="preserve"> to </w:t>
      </w:r>
      <w:r w:rsidR="000F3D0F" w:rsidRPr="00DF3C0D">
        <w:t>4.64</w:t>
      </w:r>
      <w:r w:rsidR="000F3D0F">
        <w:t>; p&lt;0.0001</w:t>
      </w:r>
      <w:r w:rsidR="000F3D0F">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 </w:instrText>
      </w:r>
      <w:r w:rsidR="001A2F28">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EN.CITE.DATA </w:instrText>
      </w:r>
      <w:r w:rsidR="001A2F28">
        <w:fldChar w:fldCharType="end"/>
      </w:r>
      <w:r w:rsidR="000F3D0F">
        <w:fldChar w:fldCharType="separate"/>
      </w:r>
      <w:r w:rsidR="001A2F28" w:rsidRPr="001A2F28">
        <w:rPr>
          <w:noProof/>
          <w:vertAlign w:val="superscript"/>
        </w:rPr>
        <w:t>359</w:t>
      </w:r>
      <w:r w:rsidR="000F3D0F">
        <w:fldChar w:fldCharType="end"/>
      </w:r>
    </w:p>
    <w:p w14:paraId="2762E4FD" w14:textId="1243EF9B" w:rsidR="0049642F" w:rsidRDefault="007E534D" w:rsidP="000F3D0F">
      <w:pPr>
        <w:pStyle w:val="bullet"/>
      </w:pPr>
      <w:r>
        <w:t xml:space="preserve">stopping smoking </w:t>
      </w:r>
      <w:r w:rsidR="00634ED5">
        <w:t xml:space="preserve">(weekly weight gain in second and third trimesters compared to women who never smoked MD 0.09; 95%CI </w:t>
      </w:r>
      <w:r w:rsidR="00634ED5" w:rsidRPr="007E534D">
        <w:t>0.03, 0.15</w:t>
      </w:r>
      <w:r w:rsidR="00634ED5">
        <w:t>)</w:t>
      </w:r>
      <w:r w:rsidR="00634ED5">
        <w:fldChar w:fldCharType="begin">
          <w:fldData xml:space="preserve">PEVuZE5vdGU+PENpdGU+PEF1dGhvcj5IdWxtYW48L0F1dGhvcj48WWVhcj4yMDE2PC9ZZWFyPjxS
ZWNOdW0+MTc2MzwvUmVjTnVtPjxEaXNwbGF5VGV4dD48c3R5bGUgZmFjZT0ic3VwZXJzY3JpcHQi
IGZvbnQ9IlRyZWJ1Y2hldCBNUyIgc2l6ZT0iOSI+MzYwPC9zdHlsZT48L0Rpc3BsYXlUZXh0Pjxy
ZWNvcmQ+PHJlYy1udW1iZXI+MTc2MzwvcmVjLW51bWJlcj48Zm9yZWlnbi1rZXlzPjxrZXkgYXBw
PSJFTiIgZGItaWQ9ImV4dmFzcmZ4MmR0cmFvZXNhc3hwMnN6c3hhMmRmNTAyNTkyeCIgdGltZXN0
YW1wPSIxNTgyODY3MTc4Ij4xNzYzPC9rZXk+PGtleSBhcHA9IkVOV2ViIiBkYi1pZD0iIj4wPC9r
ZXk+PC9mb3JlaWduLWtleXM+PHJlZi10eXBlIG5hbWU9IkpvdXJuYWwgQXJ0aWNsZSI+MTc8L3Jl
Zi10eXBlPjxjb250cmlidXRvcnM+PGF1dGhvcnM+PGF1dGhvcj5IdWxtYW4sIEEuPC9hdXRob3I+
PGF1dGhvcj5MdXRzaXYsIE8uPC9hdXRob3I+PGF1dGhvcj5QYXJrLCBDLiBLLjwvYXV0aG9yPjxh
dXRob3I+S3JlYnMsIEwuPC9hdXRob3I+PGF1dGhvcj5CZXllbmUsIEouPC9hdXRob3I+PGF1dGhv
cj5NY0RvbmFsZCwgUy4gRC48L2F1dGhvcj48L2F1dGhvcnM+PC9jb250cmlidXRvcnM+PGF1dGgt
YWRkcmVzcz5EZXBhcnRtZW50IG9mIE9ic3RldHJpY3MgJmFtcDsgR3luZWNvbG9neSwgTWNNYXN0
ZXIgVW5pdmVyc2l0eSwgMTI4MCBNYWluIFN0cmVldCBXZXN0LCBSb29tIDNONTIsIEhhbWlsdG9u
LCBPTiwgTDhTIDRLMSwgQ2FuYWRhLiBodWxtYW5AbWNtYXN0ZXIuY2EuJiN4RDtEZXBhcnRtZW50
IG9mIE1lZGljYWwgUGh5c2ljcyAmYW1wOyBJbmZvcm1hdGljcywgVW5pdmVyc2l0eSBvZiBTemVn
ZWQsIFN6ZWdlZCwgSHVuZ2FyeS4gaHVsbWFuQG1jbWFzdGVyLmNhLiYjeEQ7RGVwYXJ0bWVudCBv
ZiBPYnN0ZXRyaWNzICZhbXA7IEd5bmVjb2xvZ3ksIE1jTWFzdGVyIFVuaXZlcnNpdHksIDEyODAg
TWFpbiBTdHJlZXQgV2VzdCwgUm9vbSAzTjUyLCBIYW1pbHRvbiwgT04sIEw4UyA0SzEsIENhbmFk
YS4mI3hEO0RlcGFydG1lbnQgb2YgQ2xpbmljYWwgRXBpZGVtaW9sb2d5ICZhbXA7IEJpb3N0YXRp
c3RpY3MsIE1jTWFzdGVyIFVuaXZlcnNpdHksIEhhbWlsdG9uLCBPTiwgQ2FuYWRhLiYjeEQ7RGVw
YXJ0bWVudHMgb2YgT2JzdGV0cmljcyAmYW1wOyBHeW5lY29sb2d5LCBSYWRpb2xvZ3ksIENsaW5p
Y2FsIEVwaWRlbWlvbG9neSAmYW1wOyBCaW9zdGF0aXN0aWNzLCBNY01hc3RlciBVbml2ZXJzaXR5
LCBIYW1pbHRvbiwgT04sIENhbmFkYS48L2F1dGgtYWRkcmVzcz48dGl0bGVzPjx0aXRsZT5BcmUg
d29tZW4gd2hvIHF1aXQgc21va2luZyBhdCBoaWdoIHJpc2sgb2YgZXhjZXNzIHdlaWdodCBnYWlu
IHRocm91Z2hvdXQgcHJlZ25hbmN5PzwvdGl0bGU+PHNlY29uZGFyeS10aXRsZT5CTUMgUHJlZ25h
bmN5IENoaWxkYmlydGg8L3NlY29uZGFyeS10aXRsZT48L3RpdGxlcz48cGVyaW9kaWNhbD48ZnVs
bC10aXRsZT5CTUMgUHJlZ25hbmN5IENoaWxkYmlydGg8L2Z1bGwtdGl0bGU+PC9wZXJpb2RpY2Fs
PjxwYWdlcz4yNjM8L3BhZ2VzPjx2b2x1bWU+MTY8L3ZvbHVtZT48ZWRpdGlvbj4yMDE2LzA5LzA3
PC9lZGl0aW9uPjxrZXl3b3Jkcz48a2V5d29yZD5BZHVsdDwva2V5d29yZD48a2V5d29yZD5GZW1h
bGU8L2tleXdvcmQ+PGtleXdvcmQ+R2VzdGF0aW9uYWwgQWdlPC9rZXl3b3JkPjxrZXl3b3JkPkh1
bWFuczwva2V5d29yZD48a2V5d29yZD5Mb25naXR1ZGluYWwgU3R1ZGllczwva2V5d29yZD48a2V5
d29yZD5PbnRhcmlvPC9rZXl3b3JkPjxrZXl3b3JkPlByZWduYW5jeTwva2V5d29yZD48a2V5d29y
ZD5QcmVnbmFuY3kgVHJpbWVzdGVycy8qcGh5c2lvbG9neTwva2V5d29yZD48a2V5d29yZD5QcmVn
bmFuY3ksIEhpZ2gtUmlzay8qcGh5c2lvbG9neTwva2V5d29yZD48a2V5d29yZD5SaXNrIEZhY3Rv
cnM8L2tleXdvcmQ+PGtleXdvcmQ+U21va2luZy8qYWR2ZXJzZSBlZmZlY3RzPC9rZXl3b3JkPjxr
ZXl3b3JkPipTbW9raW5nIENlc3NhdGlvbjwva2V5d29yZD48a2V5d29yZD4qV2VpZ2h0IEdhaW48
L2tleXdvcmQ+PGtleXdvcmQ+WW91bmcgQWR1bHQ8L2tleXdvcmQ+PGtleXdvcmQ+Kkdlc3RhdGlv
bmFsIHdlaWdodCBnYWluPC9rZXl3b3JkPjxrZXl3b3JkPipMb25naXR1ZGluYWwgYW5hbHlzaXM8
L2tleXdvcmQ+PGtleXdvcmQ+KlBpZWNld2lzZSBtaXhlZC1lZmZlY3RzIG1vZGVsPC9rZXl3b3Jk
PjxrZXl3b3JkPipQcmVnbmFuY3k8L2tleXdvcmQ+PGtleXdvcmQ+KlNtb2tpbmc8L2tleXdvcmQ+
PC9rZXl3b3Jkcz48ZGF0ZXM+PHllYXI+MjAxNjwveWVhcj48cHViLWRhdGVzPjxkYXRlPlNlcCA2
PC9kYXRlPjwvcHViLWRhdGVzPjwvZGF0ZXM+PGlzYm4+MTQ3MS0yMzkzIChFbGVjdHJvbmljKSYj
eEQ7MTQ3MS0yMzkzIChMaW5raW5nKTwvaXNibj48YWNjZXNzaW9uLW51bT4yNzU5NTU4NDwvYWNj
ZXNzaW9uLW51bT48dXJscz48cmVsYXRlZC11cmxzPjx1cmw+aHR0cHM6Ly93d3cubmNiaS5ubG0u
bmloLmdvdi9wdWJtZWQvMjc1OTU1ODQ8L3VybD48L3JlbGF0ZWQtdXJscz48L3VybHM+PGN1c3Rv
bTI+UE1DNTAxMTkyMzwvY3VzdG9tMj48ZWxlY3Ryb25pYy1yZXNvdXJjZS1udW0+MTAuMTE4Ni9z
MTI4ODQtMDE2LTEwNTYtejwvZWxlY3Ryb25pYy1yZXNvdXJjZS1udW0+PC9yZWNvcmQ+PC9DaXRl
PjwvRW5kTm90ZT5=
</w:fldData>
        </w:fldChar>
      </w:r>
      <w:r w:rsidR="001A2F28">
        <w:instrText xml:space="preserve"> ADDIN EN.CITE </w:instrText>
      </w:r>
      <w:r w:rsidR="001A2F28">
        <w:fldChar w:fldCharType="begin">
          <w:fldData xml:space="preserve">PEVuZE5vdGU+PENpdGU+PEF1dGhvcj5IdWxtYW48L0F1dGhvcj48WWVhcj4yMDE2PC9ZZWFyPjxS
ZWNOdW0+MTc2MzwvUmVjTnVtPjxEaXNwbGF5VGV4dD48c3R5bGUgZmFjZT0ic3VwZXJzY3JpcHQi
IGZvbnQ9IlRyZWJ1Y2hldCBNUyIgc2l6ZT0iOSI+MzYwPC9zdHlsZT48L0Rpc3BsYXlUZXh0Pjxy
ZWNvcmQ+PHJlYy1udW1iZXI+MTc2MzwvcmVjLW51bWJlcj48Zm9yZWlnbi1rZXlzPjxrZXkgYXBw
PSJFTiIgZGItaWQ9ImV4dmFzcmZ4MmR0cmFvZXNhc3hwMnN6c3hhMmRmNTAyNTkyeCIgdGltZXN0
YW1wPSIxNTgyODY3MTc4Ij4xNzYzPC9rZXk+PGtleSBhcHA9IkVOV2ViIiBkYi1pZD0iIj4wPC9r
ZXk+PC9mb3JlaWduLWtleXM+PHJlZi10eXBlIG5hbWU9IkpvdXJuYWwgQXJ0aWNsZSI+MTc8L3Jl
Zi10eXBlPjxjb250cmlidXRvcnM+PGF1dGhvcnM+PGF1dGhvcj5IdWxtYW4sIEEuPC9hdXRob3I+
PGF1dGhvcj5MdXRzaXYsIE8uPC9hdXRob3I+PGF1dGhvcj5QYXJrLCBDLiBLLjwvYXV0aG9yPjxh
dXRob3I+S3JlYnMsIEwuPC9hdXRob3I+PGF1dGhvcj5CZXllbmUsIEouPC9hdXRob3I+PGF1dGhv
cj5NY0RvbmFsZCwgUy4gRC48L2F1dGhvcj48L2F1dGhvcnM+PC9jb250cmlidXRvcnM+PGF1dGgt
YWRkcmVzcz5EZXBhcnRtZW50IG9mIE9ic3RldHJpY3MgJmFtcDsgR3luZWNvbG9neSwgTWNNYXN0
ZXIgVW5pdmVyc2l0eSwgMTI4MCBNYWluIFN0cmVldCBXZXN0LCBSb29tIDNONTIsIEhhbWlsdG9u
LCBPTiwgTDhTIDRLMSwgQ2FuYWRhLiBodWxtYW5AbWNtYXN0ZXIuY2EuJiN4RDtEZXBhcnRtZW50
IG9mIE1lZGljYWwgUGh5c2ljcyAmYW1wOyBJbmZvcm1hdGljcywgVW5pdmVyc2l0eSBvZiBTemVn
ZWQsIFN6ZWdlZCwgSHVuZ2FyeS4gaHVsbWFuQG1jbWFzdGVyLmNhLiYjeEQ7RGVwYXJ0bWVudCBv
ZiBPYnN0ZXRyaWNzICZhbXA7IEd5bmVjb2xvZ3ksIE1jTWFzdGVyIFVuaXZlcnNpdHksIDEyODAg
TWFpbiBTdHJlZXQgV2VzdCwgUm9vbSAzTjUyLCBIYW1pbHRvbiwgT04sIEw4UyA0SzEsIENhbmFk
YS4mI3hEO0RlcGFydG1lbnQgb2YgQ2xpbmljYWwgRXBpZGVtaW9sb2d5ICZhbXA7IEJpb3N0YXRp
c3RpY3MsIE1jTWFzdGVyIFVuaXZlcnNpdHksIEhhbWlsdG9uLCBPTiwgQ2FuYWRhLiYjeEQ7RGVw
YXJ0bWVudHMgb2YgT2JzdGV0cmljcyAmYW1wOyBHeW5lY29sb2d5LCBSYWRpb2xvZ3ksIENsaW5p
Y2FsIEVwaWRlbWlvbG9neSAmYW1wOyBCaW9zdGF0aXN0aWNzLCBNY01hc3RlciBVbml2ZXJzaXR5
LCBIYW1pbHRvbiwgT04sIENhbmFkYS48L2F1dGgtYWRkcmVzcz48dGl0bGVzPjx0aXRsZT5BcmUg
d29tZW4gd2hvIHF1aXQgc21va2luZyBhdCBoaWdoIHJpc2sgb2YgZXhjZXNzIHdlaWdodCBnYWlu
IHRocm91Z2hvdXQgcHJlZ25hbmN5PzwvdGl0bGU+PHNlY29uZGFyeS10aXRsZT5CTUMgUHJlZ25h
bmN5IENoaWxkYmlydGg8L3NlY29uZGFyeS10aXRsZT48L3RpdGxlcz48cGVyaW9kaWNhbD48ZnVs
bC10aXRsZT5CTUMgUHJlZ25hbmN5IENoaWxkYmlydGg8L2Z1bGwtdGl0bGU+PC9wZXJpb2RpY2Fs
PjxwYWdlcz4yNjM8L3BhZ2VzPjx2b2x1bWU+MTY8L3ZvbHVtZT48ZWRpdGlvbj4yMDE2LzA5LzA3
PC9lZGl0aW9uPjxrZXl3b3Jkcz48a2V5d29yZD5BZHVsdDwva2V5d29yZD48a2V5d29yZD5GZW1h
bGU8L2tleXdvcmQ+PGtleXdvcmQ+R2VzdGF0aW9uYWwgQWdlPC9rZXl3b3JkPjxrZXl3b3JkPkh1
bWFuczwva2V5d29yZD48a2V5d29yZD5Mb25naXR1ZGluYWwgU3R1ZGllczwva2V5d29yZD48a2V5
d29yZD5PbnRhcmlvPC9rZXl3b3JkPjxrZXl3b3JkPlByZWduYW5jeTwva2V5d29yZD48a2V5d29y
ZD5QcmVnbmFuY3kgVHJpbWVzdGVycy8qcGh5c2lvbG9neTwva2V5d29yZD48a2V5d29yZD5QcmVn
bmFuY3ksIEhpZ2gtUmlzay8qcGh5c2lvbG9neTwva2V5d29yZD48a2V5d29yZD5SaXNrIEZhY3Rv
cnM8L2tleXdvcmQ+PGtleXdvcmQ+U21va2luZy8qYWR2ZXJzZSBlZmZlY3RzPC9rZXl3b3JkPjxr
ZXl3b3JkPipTbW9raW5nIENlc3NhdGlvbjwva2V5d29yZD48a2V5d29yZD4qV2VpZ2h0IEdhaW48
L2tleXdvcmQ+PGtleXdvcmQ+WW91bmcgQWR1bHQ8L2tleXdvcmQ+PGtleXdvcmQ+Kkdlc3RhdGlv
bmFsIHdlaWdodCBnYWluPC9rZXl3b3JkPjxrZXl3b3JkPipMb25naXR1ZGluYWwgYW5hbHlzaXM8
L2tleXdvcmQ+PGtleXdvcmQ+KlBpZWNld2lzZSBtaXhlZC1lZmZlY3RzIG1vZGVsPC9rZXl3b3Jk
PjxrZXl3b3JkPipQcmVnbmFuY3k8L2tleXdvcmQ+PGtleXdvcmQ+KlNtb2tpbmc8L2tleXdvcmQ+
PC9rZXl3b3Jkcz48ZGF0ZXM+PHllYXI+MjAxNjwveWVhcj48cHViLWRhdGVzPjxkYXRlPlNlcCA2
PC9kYXRlPjwvcHViLWRhdGVzPjwvZGF0ZXM+PGlzYm4+MTQ3MS0yMzkzIChFbGVjdHJvbmljKSYj
eEQ7MTQ3MS0yMzkzIChMaW5raW5nKTwvaXNibj48YWNjZXNzaW9uLW51bT4yNzU5NTU4NDwvYWNj
ZXNzaW9uLW51bT48dXJscz48cmVsYXRlZC11cmxzPjx1cmw+aHR0cHM6Ly93d3cubmNiaS5ubG0u
bmloLmdvdi9wdWJtZWQvMjc1OTU1ODQ8L3VybD48L3JlbGF0ZWQtdXJscz48L3VybHM+PGN1c3Rv
bTI+UE1DNTAxMTkyMzwvY3VzdG9tMj48ZWxlY3Ryb25pYy1yZXNvdXJjZS1udW0+MTAuMTE4Ni9z
MTI4ODQtMDE2LTEwNTYtejwvZWxlY3Ryb25pYy1yZXNvdXJjZS1udW0+PC9yZWNvcmQ+PC9DaXRl
PjwvRW5kTm90ZT5=
</w:fldData>
        </w:fldChar>
      </w:r>
      <w:r w:rsidR="001A2F28">
        <w:instrText xml:space="preserve"> ADDIN EN.CITE.DATA </w:instrText>
      </w:r>
      <w:r w:rsidR="001A2F28">
        <w:fldChar w:fldCharType="end"/>
      </w:r>
      <w:r w:rsidR="00634ED5">
        <w:fldChar w:fldCharType="separate"/>
      </w:r>
      <w:r w:rsidR="001A2F28" w:rsidRPr="001A2F28">
        <w:rPr>
          <w:noProof/>
          <w:vertAlign w:val="superscript"/>
        </w:rPr>
        <w:t>360</w:t>
      </w:r>
      <w:r w:rsidR="00634ED5">
        <w:fldChar w:fldCharType="end"/>
      </w:r>
    </w:p>
    <w:p w14:paraId="486E67B9" w14:textId="0660936A" w:rsidR="000F3D0F" w:rsidRDefault="000F3D0F" w:rsidP="00BD61CC">
      <w:pPr>
        <w:keepNext/>
      </w:pPr>
      <w:r>
        <w:t>There was no clear association between weight gain exceeding guidelines and:</w:t>
      </w:r>
    </w:p>
    <w:p w14:paraId="42040B5F" w14:textId="39342664" w:rsidR="000F3D0F" w:rsidRDefault="008C2F2A" w:rsidP="008C2F2A">
      <w:pPr>
        <w:pStyle w:val="bullet"/>
      </w:pPr>
      <w:r>
        <w:t xml:space="preserve">experiencing </w:t>
      </w:r>
      <w:r w:rsidR="000F3D0F">
        <w:t>h</w:t>
      </w:r>
      <w:r w:rsidR="000F3D0F" w:rsidRPr="002E6CED">
        <w:t>ardship in childhood</w:t>
      </w:r>
      <w:r w:rsidR="000F3D0F">
        <w:t xml:space="preserve"> (</w:t>
      </w:r>
      <w:r w:rsidR="000F3D0F" w:rsidRPr="00634ED5">
        <w:rPr>
          <w:sz w:val="16"/>
          <w:szCs w:val="16"/>
        </w:rPr>
        <w:t>OR 1.45, 95%CI 0.99 to 2.14</w:t>
      </w:r>
      <w:r w:rsidR="000F3D0F">
        <w:t>)</w:t>
      </w:r>
      <w:r>
        <w:t>, in adulthood (</w:t>
      </w:r>
      <w:r w:rsidR="000F3D0F" w:rsidRPr="00634ED5">
        <w:rPr>
          <w:sz w:val="16"/>
          <w:szCs w:val="16"/>
        </w:rPr>
        <w:t>OR 0.72; 95%CI 0.41 to 1.26</w:t>
      </w:r>
      <w:r>
        <w:t>)</w:t>
      </w:r>
      <w:r>
        <w:rPr>
          <w:rFonts w:eastAsiaTheme="minorHAnsi" w:cs="Times New Roman"/>
          <w:szCs w:val="24"/>
          <w:lang w:val="en-GB"/>
        </w:rPr>
        <w:t xml:space="preserve"> or in</w:t>
      </w:r>
      <w:r w:rsidR="000F3D0F">
        <w:t xml:space="preserve"> pregnancy</w:t>
      </w:r>
      <w:r>
        <w:t xml:space="preserve"> (</w:t>
      </w:r>
      <w:r w:rsidR="000F3D0F" w:rsidRPr="00634ED5">
        <w:rPr>
          <w:sz w:val="16"/>
          <w:szCs w:val="16"/>
        </w:rPr>
        <w:t>OR 1.09; 95%CI 0.43 to 2.76</w:t>
      </w:r>
      <w:r>
        <w:t>)</w:t>
      </w:r>
      <w:r>
        <w:fldChar w:fldCharType="begin">
          <w:fldData xml:space="preserve">PEVuZE5vdGU+PENpdGU+PEF1dGhvcj5Qcm92ZW56YW5vPC9BdXRob3I+PFllYXI+MjAxNTwvWWVh
cj48UmVjTnVtPjE3NzY8L1JlY051bT48RGlzcGxheVRleHQ+PHN0eWxlIGZhY2U9InN1cGVyc2Ny
aXB0IiBmb250PSJUcmVidWNoZXQgTVMiIHNpemU9IjkiPjM2MTwvc3R5bGU+PC9EaXNwbGF5VGV4
dD48cmVjb3JkPjxyZWMtbnVtYmVyPjE3NzY8L3JlYy1udW1iZXI+PGZvcmVpZ24ta2V5cz48a2V5
IGFwcD0iRU4iIGRiLWlkPSJleHZhc3JmeDJkdHJhb2VzYXN4cDJzenN4YTJkZjUwMjU5MngiIHRp
bWVzdGFtcD0iMTU4Mjg2NzMxMyI+MTc3Njwva2V5PjxrZXkgYXBwPSJFTldlYiIgZGItaWQ9IiI+
MDwva2V5PjwvZm9yZWlnbi1rZXlzPjxyZWYtdHlwZSBuYW1lPSJKb3VybmFsIEFydGljbGUiPjE3
PC9yZWYtdHlwZT48Y29udHJpYnV0b3JzPjxhdXRob3JzPjxhdXRob3I+UHJvdmVuemFubywgQS4g
TS48L2F1dGhvcj48YXV0aG9yPlJpZmFzLVNoaW1hbiwgUy4gTC48L2F1dGhvcj48YXV0aG9yPkhl
cnJpbmcsIFMuIEouPC9hdXRob3I+PGF1dGhvcj5SaWNoLUVkd2FyZHMsIEouIFcuPC9hdXRob3I+
PGF1dGhvcj5Pa2VuLCBFLjwvYXV0aG9yPjwvYXV0aG9ycz48L2NvbnRyaWJ1dG9ycz48YXV0aC1h
ZGRyZXNzPjEgS3JhZnQgRmVsbG93IGluIENvbW11bml0eSBIZWFsdGggTGVhZGVyc2hpcCwgS3Jh
ZnQgRmFtaWx5IE5hdGlvbmFsIENlbnRlciBmb3IgTGVhZGVyc2hpcCBhbmQgVHJhaW5pbmcgaW4g
Q29tbXVuaXR5IEhlYWx0aCwgSGFydmFyZCBNZWRpY2FsIFNjaG9vbCAsIEJvc3RvbiwgTWFzc2Fj
aHVzZXR0cy4mI3hEOzIgT2Jlc2l0eSBQcmV2ZW50aW9uIFByb2dyYW0sIERlcGFydG1lbnQgb2Yg
UG9wdWxhdGlvbiBNZWRpY2luZSwgSGFydmFyZCBNZWRpY2FsIFNjaG9vbCBhbmQgSGFydmFyZCBQ
aWxncmltIEhlYWx0aCBDYXJlIEluc3RpdHV0ZSAsIEJvc3RvbiwgTWFzc2FjaHVzZXR0cy4mI3hE
OzMgQ2VudGVyIGZvciBPYmVzaXR5IFJlc2VhcmNoIGFuZCBFZHVjYXRpb24sIERlcGFydG1lbnQg
b2YgTWVkaWNpbmUsIFRlbXBsZSBVbml2ZXJzaXR5ICwgUGhpbGFkZWxwaGlhLCBQZW5uc3lsdmFu
aWEuJiN4RDs0IENvbm5vcnMgQ2VudGVyIGZvciBXb21lbiZhcG9zO3MgSGVhbHRoIGFuZCBHZW5k
ZXIgQmlvbG9neSwgQnJpZ2hhbSBhbmQgV29tZW4mYXBvcztzIEhvc3BpdGFsICwgQm9zdG9uLCBN
YXNzYWNodXNldHRzLjwvYXV0aC1hZGRyZXNzPjx0aXRsZXM+PHRpdGxlPkFzc29jaWF0aW9ucyBv
ZiBtYXRlcm5hbCBtYXRlcmlhbCBoYXJkc2hpcHMgZHVyaW5nIGNoaWxkaG9vZCBhbmQgYWR1bHRo
b29kIHdpdGggcHJlcHJlZ25hbmN5IHdlaWdodCwgZ2VzdGF0aW9uYWwgd2VpZ2h0IGdhaW4sIGFu
ZCBwb3N0cGFydHVtIHdlaWdodCByZXRlbnRpb248L3RpdGxlPjxzZWNvbmRhcnktdGl0bGU+SiBX
b21lbnMgSGVhbHRoIChMYXJjaG10KTwvc2Vjb25kYXJ5LXRpdGxlPjwvdGl0bGVzPjxwZXJpb2Rp
Y2FsPjxmdWxsLXRpdGxlPkogV29tZW5zIEhlYWx0aCAoTGFyY2htdCk8L2Z1bGwtdGl0bGU+PC9w
ZXJpb2RpY2FsPjxwYWdlcz41NjMtNzE8L3BhZ2VzPjx2b2x1bWU+MjQ8L3ZvbHVtZT48bnVtYmVy
Pjc8L251bWJlcj48ZWRpdGlvbj4yMDE1LzA0LzIzPC9lZGl0aW9uPjxrZXl3b3Jkcz48a2V5d29y
ZD5BZHVsdDwva2V5d29yZD48a2V5d29yZD5Cb2R5IE1hc3MgSW5kZXg8L2tleXdvcmQ+PGtleXdv
cmQ+Qm9keSBXZWlnaHQ8L2tleXdvcmQ+PGtleXdvcmQ+Qm9zdG9uL2VwaWRlbWlvbG9neTwva2V5
d29yZD48a2V5d29yZD5GZW1hbGU8L2tleXdvcmQ+PGtleXdvcmQ+SHVtYW5zPC9rZXl3b3JkPjxr
ZXl3b3JkPkxvZ2lzdGljIE1vZGVsczwva2V5d29yZD48a2V5d29yZD5Mb25naXR1ZGluYWwgU3R1
ZGllczwva2V5d29yZD48a2V5d29yZD5NdWx0aXZhcmlhdGUgQW5hbHlzaXM8L2tleXdvcmQ+PGtl
eXdvcmQ+T2Jlc2l0eS8qZXBpZGVtaW9sb2d5L3BoeXNpb3BhdGhvbG9neTwva2V5d29yZD48a2V5
d29yZD5QYXJpdHk8L2tleXdvcmQ+PGtleXdvcmQ+UG9zdHBhcnR1bSBQZXJpb2Q8L2tleXdvcmQ+
PGtleXdvcmQ+UHJlZ25hbmN5LypwaHlzaW9sb2d5PC9rZXl3b3JkPjxrZXl3b3JkPlByZWduYW5j
eSBPdXRjb21lPC9rZXl3b3JkPjxrZXl3b3JkPipTb2Npb2Vjb25vbWljIEZhY3RvcnM8L2tleXdv
cmQ+PGtleXdvcmQ+KldlaWdodCBHYWluPC9rZXl3b3JkPjwva2V5d29yZHM+PGRhdGVzPjx5ZWFy
PjIwMTU8L3llYXI+PHB1Yi1kYXRlcz48ZGF0ZT5KdWw8L2RhdGU+PC9wdWItZGF0ZXM+PC9kYXRl
cz48aXNibj4xOTMxLTg0M1ggKEVsZWN0cm9uaWMpJiN4RDsxNTQwLTk5OTYgKExpbmtpbmcpPC9p
c2JuPjxhY2Nlc3Npb24tbnVtPjI1OTAyNDg2PC9hY2Nlc3Npb24tbnVtPjx1cmxzPjxyZWxhdGVk
LXVybHM+PHVybD5odHRwczovL3d3dy5uY2JpLm5sbS5uaWguZ292L3B1Ym1lZC8yNTkwMjQ4Njwv
dXJsPjwvcmVsYXRlZC11cmxzPjwvdXJscz48Y3VzdG9tMj5QTUM0NTA3MTI5PC9jdXN0b20yPjxl
bGVjdHJvbmljLXJlc291cmNlLW51bT4xMC4xMDg5L2p3aC4yMDE0LjUwMTY8L2VsZWN0cm9uaWMt
cmVzb3VyY2UtbnVtPjwvcmVjb3JkPjwvQ2l0ZT48L0VuZE5vdGU+
</w:fldData>
        </w:fldChar>
      </w:r>
      <w:r w:rsidR="001A2F28">
        <w:instrText xml:space="preserve"> ADDIN EN.CITE </w:instrText>
      </w:r>
      <w:r w:rsidR="001A2F28">
        <w:fldChar w:fldCharType="begin">
          <w:fldData xml:space="preserve">PEVuZE5vdGU+PENpdGU+PEF1dGhvcj5Qcm92ZW56YW5vPC9BdXRob3I+PFllYXI+MjAxNTwvWWVh
cj48UmVjTnVtPjE3NzY8L1JlY051bT48RGlzcGxheVRleHQ+PHN0eWxlIGZhY2U9InN1cGVyc2Ny
aXB0IiBmb250PSJUcmVidWNoZXQgTVMiIHNpemU9IjkiPjM2MTwvc3R5bGU+PC9EaXNwbGF5VGV4
dD48cmVjb3JkPjxyZWMtbnVtYmVyPjE3NzY8L3JlYy1udW1iZXI+PGZvcmVpZ24ta2V5cz48a2V5
IGFwcD0iRU4iIGRiLWlkPSJleHZhc3JmeDJkdHJhb2VzYXN4cDJzenN4YTJkZjUwMjU5MngiIHRp
bWVzdGFtcD0iMTU4Mjg2NzMxMyI+MTc3Njwva2V5PjxrZXkgYXBwPSJFTldlYiIgZGItaWQ9IiI+
MDwva2V5PjwvZm9yZWlnbi1rZXlzPjxyZWYtdHlwZSBuYW1lPSJKb3VybmFsIEFydGljbGUiPjE3
PC9yZWYtdHlwZT48Y29udHJpYnV0b3JzPjxhdXRob3JzPjxhdXRob3I+UHJvdmVuemFubywgQS4g
TS48L2F1dGhvcj48YXV0aG9yPlJpZmFzLVNoaW1hbiwgUy4gTC48L2F1dGhvcj48YXV0aG9yPkhl
cnJpbmcsIFMuIEouPC9hdXRob3I+PGF1dGhvcj5SaWNoLUVkd2FyZHMsIEouIFcuPC9hdXRob3I+
PGF1dGhvcj5Pa2VuLCBFLjwvYXV0aG9yPjwvYXV0aG9ycz48L2NvbnRyaWJ1dG9ycz48YXV0aC1h
ZGRyZXNzPjEgS3JhZnQgRmVsbG93IGluIENvbW11bml0eSBIZWFsdGggTGVhZGVyc2hpcCwgS3Jh
ZnQgRmFtaWx5IE5hdGlvbmFsIENlbnRlciBmb3IgTGVhZGVyc2hpcCBhbmQgVHJhaW5pbmcgaW4g
Q29tbXVuaXR5IEhlYWx0aCwgSGFydmFyZCBNZWRpY2FsIFNjaG9vbCAsIEJvc3RvbiwgTWFzc2Fj
aHVzZXR0cy4mI3hEOzIgT2Jlc2l0eSBQcmV2ZW50aW9uIFByb2dyYW0sIERlcGFydG1lbnQgb2Yg
UG9wdWxhdGlvbiBNZWRpY2luZSwgSGFydmFyZCBNZWRpY2FsIFNjaG9vbCBhbmQgSGFydmFyZCBQ
aWxncmltIEhlYWx0aCBDYXJlIEluc3RpdHV0ZSAsIEJvc3RvbiwgTWFzc2FjaHVzZXR0cy4mI3hE
OzMgQ2VudGVyIGZvciBPYmVzaXR5IFJlc2VhcmNoIGFuZCBFZHVjYXRpb24sIERlcGFydG1lbnQg
b2YgTWVkaWNpbmUsIFRlbXBsZSBVbml2ZXJzaXR5ICwgUGhpbGFkZWxwaGlhLCBQZW5uc3lsdmFu
aWEuJiN4RDs0IENvbm5vcnMgQ2VudGVyIGZvciBXb21lbiZhcG9zO3MgSGVhbHRoIGFuZCBHZW5k
ZXIgQmlvbG9neSwgQnJpZ2hhbSBhbmQgV29tZW4mYXBvcztzIEhvc3BpdGFsICwgQm9zdG9uLCBN
YXNzYWNodXNldHRzLjwvYXV0aC1hZGRyZXNzPjx0aXRsZXM+PHRpdGxlPkFzc29jaWF0aW9ucyBv
ZiBtYXRlcm5hbCBtYXRlcmlhbCBoYXJkc2hpcHMgZHVyaW5nIGNoaWxkaG9vZCBhbmQgYWR1bHRo
b29kIHdpdGggcHJlcHJlZ25hbmN5IHdlaWdodCwgZ2VzdGF0aW9uYWwgd2VpZ2h0IGdhaW4sIGFu
ZCBwb3N0cGFydHVtIHdlaWdodCByZXRlbnRpb248L3RpdGxlPjxzZWNvbmRhcnktdGl0bGU+SiBX
b21lbnMgSGVhbHRoIChMYXJjaG10KTwvc2Vjb25kYXJ5LXRpdGxlPjwvdGl0bGVzPjxwZXJpb2Rp
Y2FsPjxmdWxsLXRpdGxlPkogV29tZW5zIEhlYWx0aCAoTGFyY2htdCk8L2Z1bGwtdGl0bGU+PC9w
ZXJpb2RpY2FsPjxwYWdlcz41NjMtNzE8L3BhZ2VzPjx2b2x1bWU+MjQ8L3ZvbHVtZT48bnVtYmVy
Pjc8L251bWJlcj48ZWRpdGlvbj4yMDE1LzA0LzIzPC9lZGl0aW9uPjxrZXl3b3Jkcz48a2V5d29y
ZD5BZHVsdDwva2V5d29yZD48a2V5d29yZD5Cb2R5IE1hc3MgSW5kZXg8L2tleXdvcmQ+PGtleXdv
cmQ+Qm9keSBXZWlnaHQ8L2tleXdvcmQ+PGtleXdvcmQ+Qm9zdG9uL2VwaWRlbWlvbG9neTwva2V5
d29yZD48a2V5d29yZD5GZW1hbGU8L2tleXdvcmQ+PGtleXdvcmQ+SHVtYW5zPC9rZXl3b3JkPjxr
ZXl3b3JkPkxvZ2lzdGljIE1vZGVsczwva2V5d29yZD48a2V5d29yZD5Mb25naXR1ZGluYWwgU3R1
ZGllczwva2V5d29yZD48a2V5d29yZD5NdWx0aXZhcmlhdGUgQW5hbHlzaXM8L2tleXdvcmQ+PGtl
eXdvcmQ+T2Jlc2l0eS8qZXBpZGVtaW9sb2d5L3BoeXNpb3BhdGhvbG9neTwva2V5d29yZD48a2V5
d29yZD5QYXJpdHk8L2tleXdvcmQ+PGtleXdvcmQ+UG9zdHBhcnR1bSBQZXJpb2Q8L2tleXdvcmQ+
PGtleXdvcmQ+UHJlZ25hbmN5LypwaHlzaW9sb2d5PC9rZXl3b3JkPjxrZXl3b3JkPlByZWduYW5j
eSBPdXRjb21lPC9rZXl3b3JkPjxrZXl3b3JkPipTb2Npb2Vjb25vbWljIEZhY3RvcnM8L2tleXdv
cmQ+PGtleXdvcmQ+KldlaWdodCBHYWluPC9rZXl3b3JkPjwva2V5d29yZHM+PGRhdGVzPjx5ZWFy
PjIwMTU8L3llYXI+PHB1Yi1kYXRlcz48ZGF0ZT5KdWw8L2RhdGU+PC9wdWItZGF0ZXM+PC9kYXRl
cz48aXNibj4xOTMxLTg0M1ggKEVsZWN0cm9uaWMpJiN4RDsxNTQwLTk5OTYgKExpbmtpbmcpPC9p
c2JuPjxhY2Nlc3Npb24tbnVtPjI1OTAyNDg2PC9hY2Nlc3Npb24tbnVtPjx1cmxzPjxyZWxhdGVk
LXVybHM+PHVybD5odHRwczovL3d3dy5uY2JpLm5sbS5uaWguZ292L3B1Ym1lZC8yNTkwMjQ4Njwv
dXJsPjwvcmVsYXRlZC11cmxzPjwvdXJscz48Y3VzdG9tMj5QTUM0NTA3MTI5PC9jdXN0b20yPjxl
bGVjdHJvbmljLXJlc291cmNlLW51bT4xMC4xMDg5L2p3aC4yMDE0LjUwMTY8L2VsZWN0cm9uaWMt
cmVzb3VyY2UtbnVtPjwvcmVjb3JkPjwvQ2l0ZT48L0VuZE5vdGU+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361</w:t>
      </w:r>
      <w:r>
        <w:fldChar w:fldCharType="end"/>
      </w:r>
    </w:p>
    <w:p w14:paraId="34AACD45" w14:textId="5FBA902B" w:rsidR="00634ED5" w:rsidRDefault="00634ED5" w:rsidP="008C2F2A">
      <w:pPr>
        <w:pStyle w:val="bullet"/>
      </w:pPr>
      <w:r>
        <w:t>maternal age (&lt;30 vs ≥30) (</w:t>
      </w:r>
      <w:r w:rsidRPr="00634ED5">
        <w:rPr>
          <w:sz w:val="16"/>
          <w:szCs w:val="16"/>
        </w:rPr>
        <w:t>OR 1.02; 95%CI 0.98 to 1.02; p=0.89</w:t>
      </w:r>
      <w:r>
        <w:t>)</w:t>
      </w:r>
      <w:r>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 </w:instrText>
      </w:r>
      <w:r w:rsidR="001A2F28">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EN.CITE.DATA </w:instrText>
      </w:r>
      <w:r w:rsidR="001A2F28">
        <w:fldChar w:fldCharType="end"/>
      </w:r>
      <w:r>
        <w:fldChar w:fldCharType="separate"/>
      </w:r>
      <w:r w:rsidR="001A2F28" w:rsidRPr="001A2F28">
        <w:rPr>
          <w:noProof/>
          <w:vertAlign w:val="superscript"/>
        </w:rPr>
        <w:t>359</w:t>
      </w:r>
      <w:r>
        <w:fldChar w:fldCharType="end"/>
      </w:r>
    </w:p>
    <w:p w14:paraId="4CF2D29A" w14:textId="1EAEED58" w:rsidR="00634ED5" w:rsidRDefault="00634ED5" w:rsidP="008C2F2A">
      <w:pPr>
        <w:pStyle w:val="bullet"/>
      </w:pPr>
      <w:r>
        <w:t>household income (&lt;$60,000 vs ≥$60,000) (</w:t>
      </w:r>
      <w:r w:rsidRPr="00634ED5">
        <w:rPr>
          <w:sz w:val="16"/>
          <w:szCs w:val="16"/>
        </w:rPr>
        <w:t>OR 1.06; 95%CI 0.71 to 1.26; p=0.71</w:t>
      </w:r>
      <w:r>
        <w:t>)</w:t>
      </w:r>
      <w:r>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 </w:instrText>
      </w:r>
      <w:r w:rsidR="001A2F28">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EN.CITE.DATA </w:instrText>
      </w:r>
      <w:r w:rsidR="001A2F28">
        <w:fldChar w:fldCharType="end"/>
      </w:r>
      <w:r>
        <w:fldChar w:fldCharType="separate"/>
      </w:r>
      <w:r w:rsidR="001A2F28" w:rsidRPr="001A2F28">
        <w:rPr>
          <w:noProof/>
          <w:vertAlign w:val="superscript"/>
        </w:rPr>
        <w:t>359</w:t>
      </w:r>
      <w:r>
        <w:fldChar w:fldCharType="end"/>
      </w:r>
    </w:p>
    <w:p w14:paraId="5F779DD3" w14:textId="28F20BE3" w:rsidR="00634ED5" w:rsidRDefault="00634ED5" w:rsidP="008C2F2A">
      <w:pPr>
        <w:pStyle w:val="bullet"/>
      </w:pPr>
      <w:r>
        <w:t>education level (&lt;university vs ≥university degree) (</w:t>
      </w:r>
      <w:r w:rsidRPr="00634ED5">
        <w:rPr>
          <w:sz w:val="16"/>
          <w:szCs w:val="16"/>
        </w:rPr>
        <w:t>OR 1.26; 95%CI 0.93 to 1.70; p=0.14</w:t>
      </w:r>
      <w:r>
        <w:t>)</w:t>
      </w:r>
      <w:r>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 </w:instrText>
      </w:r>
      <w:r w:rsidR="001A2F28">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EN.CITE.DATA </w:instrText>
      </w:r>
      <w:r w:rsidR="001A2F28">
        <w:fldChar w:fldCharType="end"/>
      </w:r>
      <w:r>
        <w:fldChar w:fldCharType="separate"/>
      </w:r>
      <w:r w:rsidR="001A2F28" w:rsidRPr="001A2F28">
        <w:rPr>
          <w:noProof/>
          <w:vertAlign w:val="superscript"/>
        </w:rPr>
        <w:t>359</w:t>
      </w:r>
      <w:r>
        <w:fldChar w:fldCharType="end"/>
      </w:r>
    </w:p>
    <w:p w14:paraId="3627AD97" w14:textId="7726F4F4" w:rsidR="00634ED5" w:rsidRDefault="00634ED5" w:rsidP="008C2F2A">
      <w:pPr>
        <w:pStyle w:val="bullet"/>
      </w:pPr>
      <w:r>
        <w:t>country of birth (other countries vs Canada) (</w:t>
      </w:r>
      <w:r w:rsidRPr="00634ED5">
        <w:rPr>
          <w:sz w:val="16"/>
          <w:szCs w:val="16"/>
        </w:rPr>
        <w:t>OR 1.05; 95%CI 0.78 to 1.41; p=0.73</w:t>
      </w:r>
      <w:r>
        <w:t>).</w:t>
      </w:r>
      <w:r>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 </w:instrText>
      </w:r>
      <w:r w:rsidR="001A2F28">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EN.CITE.DATA </w:instrText>
      </w:r>
      <w:r w:rsidR="001A2F28">
        <w:fldChar w:fldCharType="end"/>
      </w:r>
      <w:r>
        <w:fldChar w:fldCharType="separate"/>
      </w:r>
      <w:r w:rsidR="001A2F28" w:rsidRPr="001A2F28">
        <w:rPr>
          <w:noProof/>
          <w:vertAlign w:val="superscript"/>
        </w:rPr>
        <w:t>359</w:t>
      </w:r>
      <w:r>
        <w:fldChar w:fldCharType="end"/>
      </w:r>
    </w:p>
    <w:p w14:paraId="71A2BE85" w14:textId="555A750D" w:rsidR="00FA36C3" w:rsidRDefault="00FA36C3" w:rsidP="00FA36C3">
      <w:r>
        <w:t xml:space="preserve">An </w:t>
      </w:r>
      <w:r w:rsidRPr="00FC6AC8">
        <w:t xml:space="preserve">analysis of observational data collected from a longitudinal cohort study </w:t>
      </w:r>
      <w:r w:rsidR="00275432">
        <w:t>of</w:t>
      </w:r>
      <w:r w:rsidRPr="00FC6AC8">
        <w:t xml:space="preserve"> </w:t>
      </w:r>
      <w:r w:rsidR="00275432">
        <w:t>Aboriginal</w:t>
      </w:r>
      <w:r w:rsidRPr="00FC6AC8">
        <w:t xml:space="preserve"> women </w:t>
      </w:r>
      <w:r w:rsidR="00275432">
        <w:t>during</w:t>
      </w:r>
      <w:r w:rsidRPr="00FC6AC8">
        <w:t xml:space="preserve"> pregnancy</w:t>
      </w:r>
      <w:r w:rsidR="00275432">
        <w:t xml:space="preserve"> (</w:t>
      </w:r>
      <w:r w:rsidR="00275432" w:rsidRPr="00FA36C3">
        <w:rPr>
          <w:sz w:val="16"/>
          <w:szCs w:val="16"/>
        </w:rPr>
        <w:t>n=110</w:t>
      </w:r>
      <w:r w:rsidR="00275432">
        <w:t>)</w:t>
      </w:r>
      <w:r w:rsidR="001A2F28">
        <w:fldChar w:fldCharType="begin">
          <w:fldData xml:space="preserve">PEVuZE5vdGU+PENpdGU+PEF1dGhvcj5TY2h1bWFjaGVyPC9BdXRob3I+PFllYXI+MjAxODwvWWVh
cj48UmVjTnVtPjc3MTwvUmVjTnVtPjxEaXNwbGF5VGV4dD48c3R5bGUgZmFjZT0ic3VwZXJzY3Jp
cHQiIGZvbnQ9IlRyZWJ1Y2hldCBNUyIgc2l6ZT0iOSI+MzUxPC9zdHlsZT48L0Rpc3BsYXlUZXh0
PjxyZWNvcmQ+PHJlYy1udW1iZXI+NzcxPC9yZWMtbnVtYmVyPjxmb3JlaWduLWtleXM+PGtleSBh
cHA9IkVOIiBkYi1pZD0iZXh2YXNyZngyZHRyYW9lc2FzeHAyc3pzeGEyZGY1MDI1OTJ4IiB0aW1l
c3RhbXA9IjE1NDE1NDAzNTEiPjc3MTwva2V5PjxrZXkgYXBwPSJFTldlYiIgZGItaWQ9IiI+MDwv
a2V5PjwvZm9yZWlnbi1rZXlzPjxyZWYtdHlwZSBuYW1lPSJKb3VybmFsIEFydGljbGUiPjE3PC9y
ZWYtdHlwZT48Y29udHJpYnV0b3JzPjxhdXRob3JzPjxhdXRob3I+U2NodW1hY2hlciwgVC4gTC48
L2F1dGhvcj48YXV0aG9yPldlYXRoZXJhbGwsIEwuPC9hdXRob3I+PGF1dGhvcj5LZW9naCwgTC48
L2F1dGhvcj48YXV0aG9yPlN1dGhlcmxhbmQsIEsuPC9hdXRob3I+PGF1dGhvcj5Db2xsaW5zLCBD
LiBFLjwvYXV0aG9yPjxhdXRob3I+UHJpbmdsZSwgSy4gRy48L2F1dGhvcj48YXV0aG9yPlJhZSwg
Sy4gTS48L2F1dGhvcj48L2F1dGhvcnM+PC9jb250cmlidXRvcnM+PGF1dGgtYWRkcmVzcz5Hb21l
cm9pIGdhYXluZ2FsIENlbnRyZSwgRmFjdWx0eSBvZiBIZWFsdGggYW5kIE1lZGljaW5lLCBVbml2
ZXJzaXR5IG9mIE5ld2Nhc3RsZSwgMi8xIEhpbmtsZXIgUmQsIFRhbXdvcnRoLCBOU1cgMjM0MCwg
QXVzdHJhbGlhOyBTY2hvb2wgb2YgTWVkaWNpbmUgYW5kIFB1YmxpYyBIZWFsdGgsIEZhY3VsdHkg
b2YgSGVhbHRoIGFuZCBNZWRpY2luZSwgVW5pdmVyc2l0eSBvZiBOZXdjYXN0bGUsIFVuaXZlcnNp
dHkgRHJpdmUsIENhbGxhZ2hhbiwgTlNXIDIzMDgsIEF1c3RyYWxpYTsgUHJpb3JpdHkgUmVzZWFy
Y2ggQ2VudHJlIGZvciBQaHlzaWNhbCBBY3Rpdml0eSBhbmQgTnV0cml0aW9uLCBVbml2ZXJzaXR5
IG9mIE5ld2Nhc3RsZSwgUmluZyBSZCwgQ2FsbGFnaGFuLCBOU1cgMjMwOCwgQXVzdHJhbGlhLiBF
bGVjdHJvbmljIGFkZHJlc3M6IHRyYWN5LnNjaHVtYWNoZXJAbmV3Y2FzdGxlLmVkdS5hdS4mI3hE
O0dvbWVyb2kgZ2FheW5nYWwgQ2VudHJlLCBGYWN1bHR5IG9mIEhlYWx0aCBhbmQgTWVkaWNpbmUs
IFVuaXZlcnNpdHkgb2YgTmV3Y2FzdGxlLCAyLzEgSGlua2xlciBSZCwgVGFtd29ydGgsIE5TVyAy
MzQwLCBBdXN0cmFsaWE7IFNjaG9vbCBvZiBNZWRpY2luZSBhbmQgUHVibGljIEhlYWx0aCwgRmFj
dWx0eSBvZiBIZWFsdGggYW5kIE1lZGljaW5lLCBVbml2ZXJzaXR5IG9mIE5ld2Nhc3RsZSwgVW5p
dmVyc2l0eSBEcml2ZSwgQ2FsbGFnaGFuLCBOU1cgMjMwOCwgQXVzdHJhbGlhLiBFbGVjdHJvbmlj
IGFkZHJlc3M6IGxvcmV0dGEud2VhdGhlcmFsbEBuZXdjYXN0bGUuZWR1LmF1LiYjeEQ7R29tZXJv
aSBnYWF5bmdhbCBDZW50cmUsIEZhY3VsdHkgb2YgSGVhbHRoIGFuZCBNZWRpY2luZSwgVW5pdmVy
c2l0eSBvZiBOZXdjYXN0bGUsIDIvMSBIaW5rbGVyIFJkLCBUYW13b3J0aCwgTlNXIDIzNDAsIEF1
c3RyYWxpYTsgU2Nob29sIG9mIE1lZGljaW5lIGFuZCBQdWJsaWMgSGVhbHRoLCBGYWN1bHR5IG9m
IEhlYWx0aCBhbmQgTWVkaWNpbmUsIFVuaXZlcnNpdHkgb2YgTmV3Y2FzdGxlLCBVbml2ZXJzaXR5
IERyaXZlLCBDYWxsYWdoYW4sIE5TVyAyMzA4LCBBdXN0cmFsaWEuIEVsZWN0cm9uaWMgYWRkcmVz
czogbHluaWVjZS5rZW9naEBuZXdjYXN0bGUuZWR1LmF1LiYjeEQ7R29tZXJvaSBnYWF5bmdhbCBD
ZW50cmUsIEZhY3VsdHkgb2YgSGVhbHRoIGFuZCBNZWRpY2luZSwgVW5pdmVyc2l0eSBvZiBOZXdj
YXN0bGUsIDIvMSBIaW5rbGVyIFJkLCBUYW13b3J0aCwgTlNXIDIzNDAsIEF1c3RyYWxpYTsgU2No
b29sIG9mIE1lZGljaW5lIGFuZCBQdWJsaWMgSGVhbHRoLCBGYWN1bHR5IG9mIEhlYWx0aCBhbmQg
TWVkaWNpbmUsIFVuaXZlcnNpdHkgb2YgTmV3Y2FzdGxlLCBVbml2ZXJzaXR5IERyaXZlLCBDYWxs
YWdoYW4sIE5TVyAyMzA4LCBBdXN0cmFsaWEuIEVsZWN0cm9uaWMgYWRkcmVzczoga2F0aHJ5bi5z
dXRoZXJsYW5kQG5ld2Nhc3RsZS5lZHUuYXUuJiN4RDtQcmlvcml0eSBSZXNlYXJjaCBDZW50cmUg
Zm9yIFBoeXNpY2FsIEFjdGl2aXR5IGFuZCBOdXRyaXRpb24sIFVuaXZlcnNpdHkgb2YgTmV3Y2Fz
dGxlLCBSaW5nIFJkLCBDYWxsYWdoYW4sIE5TVyAyMzA4LCBBdXN0cmFsaWE7IFNjaG9vbCBvZiBI
ZWFsdGggU2NpZW5jZXMsIEZhY3VsdHkgb2YgSGVhbHRoIGFuZCBNZWRpY2luZSwgVW5pdmVyc2l0
eSBvZiBOZXdjYXN0bGUsIFVuaXZlcnNpdHkgRHJpdmUsIENhbGxhZ2hhbiwgTlNXIDIzMDgsIEF1
c3RyYWxpYS4gRWxlY3Ryb25pYyBhZGRyZXNzOiBjbGFyZS5jb2xsaW5zQG5ld2Nhc3RsZS5lZHUu
YXUuJiN4RDtTY2hvb2wgb2YgQmlvbWVkaWNhbCBTY2llbmNlcyBhbmQgUGhhcm1hY3ksIFVuaXZl
cnNpdHkgb2YgTmV3Y2FzdGxlLCBVbml2ZXJzaXR5IERyaXZlLCBDYWxsYWdoYW4sIE5TVyAyMzA4
LCBBdXN0cmFsaWE7IFByaW9yaXR5IFJlc2VhcmNoIENlbnRyZSBvZiBSZXByb2R1Y3RpdmUgU2Np
ZW5jZXMsIFVuaXZlcnNpdHkgb2YgTmV3Y2FzdGxlLCBVbml2ZXJzaXR5IERyaXZlLCBDYWxsYWdo
YW4sIE5TVyAyMzA4LCBBdXN0cmFsaWEuIEVsZWN0cm9uaWMgYWRkcmVzczoga2lyc3R5LnByaW5n
bGVAbmV3Y2FzdGxlLmVkdS5hdS4mI3hEO0dvbWVyb2kgZ2FheW5nYWwgQ2VudHJlLCBGYWN1bHR5
IG9mIEhlYWx0aCBhbmQgTWVkaWNpbmUsIFVuaXZlcnNpdHkgb2YgTmV3Y2FzdGxlLCAyLzEgSGlu
a2xlciBSZCwgVGFtd29ydGgsIE5TVyAyMzQwLCBBdXN0cmFsaWE7IFNjaG9vbCBvZiBNZWRpY2lu
ZSBhbmQgUHVibGljIEhlYWx0aCwgRmFjdWx0eSBvZiBIZWFsdGggYW5kIE1lZGljaW5lLCBVbml2
ZXJzaXR5IG9mIE5ld2Nhc3RsZSwgVW5pdmVyc2l0eSBEcml2ZSwgQ2FsbGFnaGFuLCBOU1cgMjMw
OCwgQXVzdHJhbGlhOyBQcmlvcml0eSBSZXNlYXJjaCBDZW50cmUgb2YgUmVwcm9kdWN0aXZlIFNj
aWVuY2VzLCBVbml2ZXJzaXR5IG9mIE5ld2Nhc3RsZSwgVW5pdmVyc2l0eSBEcml2ZSwgQ2FsbGFn
aGFuLCBOU1cgMjMwOCwgQXVzdHJhbGlhOyBQcmlvcml0eSBSZXNlYXJjaCBDZW50cmUgb2YgR2Vu
ZXJhdGlvbmFsIEhlYWx0aCBhbmQgQWdlaW5nLCBVbml2ZXJzaXR5IG9mIE5ld2Nhc3RsZSwgVW5p
dmVyc2l0eSBEcml2ZSwgQ2FsbGFnaGFuLCBOU1cgMjMwOCwgQXVzdHJhbGlhOyBEZXBhcnRtZW50
IG9mIFJ1cmFsIEhlYWx0aCwgVW5pdmVyc2l0eSBvZiBOZXdjYXN0bGUsIFRhbXdvcnRoLCBOU1cg
MjM0MCwgQXVzdHJhbGlhLiBFbGVjdHJvbmljIGFkZHJlc3M6IGt5bS5yYWVAbmV3Y2FzdGxlLmVk
dS5hdS48L2F1dGgtYWRkcmVzcz48dGl0bGVzPjx0aXRsZT5DaGFyYWN0ZXJpemluZyBnZXN0YXRp
b25hbCB3ZWlnaHQgZ2FpbiBpbiBhIGNvaG9ydCBvZiBJbmRpZ2Vub3VzIEF1c3RyYWxpYW4gd29t
ZW48L3RpdGxlPjxzZWNvbmRhcnktdGl0bGU+TWlkd2lmZXJ5PC9zZWNvbmRhcnktdGl0bGU+PC90
aXRsZXM+PHBlcmlvZGljYWw+PGZ1bGwtdGl0bGU+TWlkd2lmZXJ5PC9mdWxsLXRpdGxlPjwvcGVy
aW9kaWNhbD48cGFnZXM+MTMtMTk8L3BhZ2VzPjx2b2x1bWU+NjA8L3ZvbHVtZT48ZWRpdGlvbj4y
MDE4LzAyLzIzPC9lZGl0aW9uPjxrZXl3b3Jkcz48a2V5d29yZD5BZHVsdDwva2V5d29yZD48a2V5
d29yZD5Cb2R5IE1hc3MgSW5kZXg8L2tleXdvcmQ+PGtleXdvcmQ+Q29ob3J0IFN0dWRpZXM8L2tl
eXdvcmQ+PGtleXdvcmQ+RGlhYmV0ZXMsIEdlc3RhdGlvbmFsL3BzeWNob2xvZ3k8L2tleXdvcmQ+
PGtleXdvcmQ+RXhlcmNpc2UvcHN5Y2hvbG9neTwva2V5d29yZD48a2V5d29yZD5GZWVkaW5nIEJl
aGF2aW9yL3BzeWNob2xvZ3k8L2tleXdvcmQ+PGtleXdvcmQ+RmVtYWxlPC9rZXl3b3JkPjxrZXl3
b3JkPkh1bWFuczwva2V5d29yZD48a2V5d29yZD5MaW5lYXIgTW9kZWxzPC9rZXl3b3JkPjxrZXl3
b3JkPkxvbmdpdHVkaW5hbCBTdHVkaWVzPC9rZXl3b3JkPjxrZXl3b3JkPk5ldyBTb3V0aCBXYWxl
czwva2V5d29yZD48a2V5d29yZD5PYmVzaXR5L2NvbXBsaWNhdGlvbnM8L2tleXdvcmQ+PGtleXdv
cmQ+T3ZlcndlaWdodC9jb21wbGljYXRpb25zL3ByZXZlbnRpb24gJmFtcDsgY29udHJvbDwva2V5
d29yZD48a2V5d29yZD5Qb3B1bGF0aW9uIEdyb3Vwczwva2V5d29yZD48a2V5d29yZD5QcmVnbmFu
Y3k8L2tleXdvcmQ+PGtleXdvcmQ+UHJlZ25hbmN5IENvbXBsaWNhdGlvbnMvZXRpb2xvZ3kvcHJl
dmVudGlvbiAmYW1wOyBjb250cm9sPC9rZXl3b3JkPjxrZXl3b3JkPlNtb2tpbmcvcHN5Y2hvbG9n
eTwva2V5d29yZD48a2V5d29yZD5XZWlnaHQgR2Fpbi8qcGh5c2lvbG9neTwva2V5d29yZD48a2V5
d29yZD5BYm9yaWdpbmVzLCBBdXN0cmFsaWFuPC9rZXl3b3JkPjxrZXl3b3JkPkdlc3RhdGlvbmFs
IHdlaWdodCBnYWluPC9rZXl3b3JkPjwva2V5d29yZHM+PGRhdGVzPjx5ZWFyPjIwMTg8L3llYXI+
PHB1Yi1kYXRlcz48ZGF0ZT5NYXk8L2RhdGU+PC9wdWItZGF0ZXM+PC9kYXRlcz48aXNibj4xNTMy
LTMwOTkgKEVsZWN0cm9uaWMpJiN4RDswMjY2LTYxMzggKExpbmtpbmcpPC9pc2JuPjxhY2Nlc3Np
b24tbnVtPjI5NDcxMTc0PC9hY2Nlc3Npb24tbnVtPjx1cmxzPjxyZWxhdGVkLXVybHM+PHVybD5o
dHRwczovL3d3dy5uY2JpLm5sbS5uaWguZ292L3B1Ym1lZC8yOTQ3MTE3NDwvdXJsPjwvcmVsYXRl
ZC11cmxzPjwvdXJscz48ZWxlY3Ryb25pYy1yZXNvdXJjZS1udW0+MTAuMTAxNi9qLm1pZHcuMjAx
OC4wMS4wMTc8L2VsZWN0cm9uaWMtcmVzb3VyY2UtbnVtPjwvcmVjb3JkPjwvQ2l0ZT48L0VuZE5v
dGU+AG==
</w:fldData>
        </w:fldChar>
      </w:r>
      <w:r w:rsidR="001A2F28">
        <w:instrText xml:space="preserve"> ADDIN EN.CITE </w:instrText>
      </w:r>
      <w:r w:rsidR="001A2F28">
        <w:fldChar w:fldCharType="begin">
          <w:fldData xml:space="preserve">PEVuZE5vdGU+PENpdGU+PEF1dGhvcj5TY2h1bWFjaGVyPC9BdXRob3I+PFllYXI+MjAxODwvWWVh
cj48UmVjTnVtPjc3MTwvUmVjTnVtPjxEaXNwbGF5VGV4dD48c3R5bGUgZmFjZT0ic3VwZXJzY3Jp
cHQiIGZvbnQ9IlRyZWJ1Y2hldCBNUyIgc2l6ZT0iOSI+MzUxPC9zdHlsZT48L0Rpc3BsYXlUZXh0
PjxyZWNvcmQ+PHJlYy1udW1iZXI+NzcxPC9yZWMtbnVtYmVyPjxmb3JlaWduLWtleXM+PGtleSBh
cHA9IkVOIiBkYi1pZD0iZXh2YXNyZngyZHRyYW9lc2FzeHAyc3pzeGEyZGY1MDI1OTJ4IiB0aW1l
c3RhbXA9IjE1NDE1NDAzNTEiPjc3MTwva2V5PjxrZXkgYXBwPSJFTldlYiIgZGItaWQ9IiI+MDwv
a2V5PjwvZm9yZWlnbi1rZXlzPjxyZWYtdHlwZSBuYW1lPSJKb3VybmFsIEFydGljbGUiPjE3PC9y
ZWYtdHlwZT48Y29udHJpYnV0b3JzPjxhdXRob3JzPjxhdXRob3I+U2NodW1hY2hlciwgVC4gTC48
L2F1dGhvcj48YXV0aG9yPldlYXRoZXJhbGwsIEwuPC9hdXRob3I+PGF1dGhvcj5LZW9naCwgTC48
L2F1dGhvcj48YXV0aG9yPlN1dGhlcmxhbmQsIEsuPC9hdXRob3I+PGF1dGhvcj5Db2xsaW5zLCBD
LiBFLjwvYXV0aG9yPjxhdXRob3I+UHJpbmdsZSwgSy4gRy48L2F1dGhvcj48YXV0aG9yPlJhZSwg
Sy4gTS48L2F1dGhvcj48L2F1dGhvcnM+PC9jb250cmlidXRvcnM+PGF1dGgtYWRkcmVzcz5Hb21l
cm9pIGdhYXluZ2FsIENlbnRyZSwgRmFjdWx0eSBvZiBIZWFsdGggYW5kIE1lZGljaW5lLCBVbml2
ZXJzaXR5IG9mIE5ld2Nhc3RsZSwgMi8xIEhpbmtsZXIgUmQsIFRhbXdvcnRoLCBOU1cgMjM0MCwg
QXVzdHJhbGlhOyBTY2hvb2wgb2YgTWVkaWNpbmUgYW5kIFB1YmxpYyBIZWFsdGgsIEZhY3VsdHkg
b2YgSGVhbHRoIGFuZCBNZWRpY2luZSwgVW5pdmVyc2l0eSBvZiBOZXdjYXN0bGUsIFVuaXZlcnNp
dHkgRHJpdmUsIENhbGxhZ2hhbiwgTlNXIDIzMDgsIEF1c3RyYWxpYTsgUHJpb3JpdHkgUmVzZWFy
Y2ggQ2VudHJlIGZvciBQaHlzaWNhbCBBY3Rpdml0eSBhbmQgTnV0cml0aW9uLCBVbml2ZXJzaXR5
IG9mIE5ld2Nhc3RsZSwgUmluZyBSZCwgQ2FsbGFnaGFuLCBOU1cgMjMwOCwgQXVzdHJhbGlhLiBF
bGVjdHJvbmljIGFkZHJlc3M6IHRyYWN5LnNjaHVtYWNoZXJAbmV3Y2FzdGxlLmVkdS5hdS4mI3hE
O0dvbWVyb2kgZ2FheW5nYWwgQ2VudHJlLCBGYWN1bHR5IG9mIEhlYWx0aCBhbmQgTWVkaWNpbmUs
IFVuaXZlcnNpdHkgb2YgTmV3Y2FzdGxlLCAyLzEgSGlua2xlciBSZCwgVGFtd29ydGgsIE5TVyAy
MzQwLCBBdXN0cmFsaWE7IFNjaG9vbCBvZiBNZWRpY2luZSBhbmQgUHVibGljIEhlYWx0aCwgRmFj
dWx0eSBvZiBIZWFsdGggYW5kIE1lZGljaW5lLCBVbml2ZXJzaXR5IG9mIE5ld2Nhc3RsZSwgVW5p
dmVyc2l0eSBEcml2ZSwgQ2FsbGFnaGFuLCBOU1cgMjMwOCwgQXVzdHJhbGlhLiBFbGVjdHJvbmlj
IGFkZHJlc3M6IGxvcmV0dGEud2VhdGhlcmFsbEBuZXdjYXN0bGUuZWR1LmF1LiYjeEQ7R29tZXJv
aSBnYWF5bmdhbCBDZW50cmUsIEZhY3VsdHkgb2YgSGVhbHRoIGFuZCBNZWRpY2luZSwgVW5pdmVy
c2l0eSBvZiBOZXdjYXN0bGUsIDIvMSBIaW5rbGVyIFJkLCBUYW13b3J0aCwgTlNXIDIzNDAsIEF1
c3RyYWxpYTsgU2Nob29sIG9mIE1lZGljaW5lIGFuZCBQdWJsaWMgSGVhbHRoLCBGYWN1bHR5IG9m
IEhlYWx0aCBhbmQgTWVkaWNpbmUsIFVuaXZlcnNpdHkgb2YgTmV3Y2FzdGxlLCBVbml2ZXJzaXR5
IERyaXZlLCBDYWxsYWdoYW4sIE5TVyAyMzA4LCBBdXN0cmFsaWEuIEVsZWN0cm9uaWMgYWRkcmVz
czogbHluaWVjZS5rZW9naEBuZXdjYXN0bGUuZWR1LmF1LiYjeEQ7R29tZXJvaSBnYWF5bmdhbCBD
ZW50cmUsIEZhY3VsdHkgb2YgSGVhbHRoIGFuZCBNZWRpY2luZSwgVW5pdmVyc2l0eSBvZiBOZXdj
YXN0bGUsIDIvMSBIaW5rbGVyIFJkLCBUYW13b3J0aCwgTlNXIDIzNDAsIEF1c3RyYWxpYTsgU2No
b29sIG9mIE1lZGljaW5lIGFuZCBQdWJsaWMgSGVhbHRoLCBGYWN1bHR5IG9mIEhlYWx0aCBhbmQg
TWVkaWNpbmUsIFVuaXZlcnNpdHkgb2YgTmV3Y2FzdGxlLCBVbml2ZXJzaXR5IERyaXZlLCBDYWxs
YWdoYW4sIE5TVyAyMzA4LCBBdXN0cmFsaWEuIEVsZWN0cm9uaWMgYWRkcmVzczoga2F0aHJ5bi5z
dXRoZXJsYW5kQG5ld2Nhc3RsZS5lZHUuYXUuJiN4RDtQcmlvcml0eSBSZXNlYXJjaCBDZW50cmUg
Zm9yIFBoeXNpY2FsIEFjdGl2aXR5IGFuZCBOdXRyaXRpb24sIFVuaXZlcnNpdHkgb2YgTmV3Y2Fz
dGxlLCBSaW5nIFJkLCBDYWxsYWdoYW4sIE5TVyAyMzA4LCBBdXN0cmFsaWE7IFNjaG9vbCBvZiBI
ZWFsdGggU2NpZW5jZXMsIEZhY3VsdHkgb2YgSGVhbHRoIGFuZCBNZWRpY2luZSwgVW5pdmVyc2l0
eSBvZiBOZXdjYXN0bGUsIFVuaXZlcnNpdHkgRHJpdmUsIENhbGxhZ2hhbiwgTlNXIDIzMDgsIEF1
c3RyYWxpYS4gRWxlY3Ryb25pYyBhZGRyZXNzOiBjbGFyZS5jb2xsaW5zQG5ld2Nhc3RsZS5lZHUu
YXUuJiN4RDtTY2hvb2wgb2YgQmlvbWVkaWNhbCBTY2llbmNlcyBhbmQgUGhhcm1hY3ksIFVuaXZl
cnNpdHkgb2YgTmV3Y2FzdGxlLCBVbml2ZXJzaXR5IERyaXZlLCBDYWxsYWdoYW4sIE5TVyAyMzA4
LCBBdXN0cmFsaWE7IFByaW9yaXR5IFJlc2VhcmNoIENlbnRyZSBvZiBSZXByb2R1Y3RpdmUgU2Np
ZW5jZXMsIFVuaXZlcnNpdHkgb2YgTmV3Y2FzdGxlLCBVbml2ZXJzaXR5IERyaXZlLCBDYWxsYWdo
YW4sIE5TVyAyMzA4LCBBdXN0cmFsaWEuIEVsZWN0cm9uaWMgYWRkcmVzczoga2lyc3R5LnByaW5n
bGVAbmV3Y2FzdGxlLmVkdS5hdS4mI3hEO0dvbWVyb2kgZ2FheW5nYWwgQ2VudHJlLCBGYWN1bHR5
IG9mIEhlYWx0aCBhbmQgTWVkaWNpbmUsIFVuaXZlcnNpdHkgb2YgTmV3Y2FzdGxlLCAyLzEgSGlu
a2xlciBSZCwgVGFtd29ydGgsIE5TVyAyMzQwLCBBdXN0cmFsaWE7IFNjaG9vbCBvZiBNZWRpY2lu
ZSBhbmQgUHVibGljIEhlYWx0aCwgRmFjdWx0eSBvZiBIZWFsdGggYW5kIE1lZGljaW5lLCBVbml2
ZXJzaXR5IG9mIE5ld2Nhc3RsZSwgVW5pdmVyc2l0eSBEcml2ZSwgQ2FsbGFnaGFuLCBOU1cgMjMw
OCwgQXVzdHJhbGlhOyBQcmlvcml0eSBSZXNlYXJjaCBDZW50cmUgb2YgUmVwcm9kdWN0aXZlIFNj
aWVuY2VzLCBVbml2ZXJzaXR5IG9mIE5ld2Nhc3RsZSwgVW5pdmVyc2l0eSBEcml2ZSwgQ2FsbGFn
aGFuLCBOU1cgMjMwOCwgQXVzdHJhbGlhOyBQcmlvcml0eSBSZXNlYXJjaCBDZW50cmUgb2YgR2Vu
ZXJhdGlvbmFsIEhlYWx0aCBhbmQgQWdlaW5nLCBVbml2ZXJzaXR5IG9mIE5ld2Nhc3RsZSwgVW5p
dmVyc2l0eSBEcml2ZSwgQ2FsbGFnaGFuLCBOU1cgMjMwOCwgQXVzdHJhbGlhOyBEZXBhcnRtZW50
IG9mIFJ1cmFsIEhlYWx0aCwgVW5pdmVyc2l0eSBvZiBOZXdjYXN0bGUsIFRhbXdvcnRoLCBOU1cg
MjM0MCwgQXVzdHJhbGlhLiBFbGVjdHJvbmljIGFkZHJlc3M6IGt5bS5yYWVAbmV3Y2FzdGxlLmVk
dS5hdS48L2F1dGgtYWRkcmVzcz48dGl0bGVzPjx0aXRsZT5DaGFyYWN0ZXJpemluZyBnZXN0YXRp
b25hbCB3ZWlnaHQgZ2FpbiBpbiBhIGNvaG9ydCBvZiBJbmRpZ2Vub3VzIEF1c3RyYWxpYW4gd29t
ZW48L3RpdGxlPjxzZWNvbmRhcnktdGl0bGU+TWlkd2lmZXJ5PC9zZWNvbmRhcnktdGl0bGU+PC90
aXRsZXM+PHBlcmlvZGljYWw+PGZ1bGwtdGl0bGU+TWlkd2lmZXJ5PC9mdWxsLXRpdGxlPjwvcGVy
aW9kaWNhbD48cGFnZXM+MTMtMTk8L3BhZ2VzPjx2b2x1bWU+NjA8L3ZvbHVtZT48ZWRpdGlvbj4y
MDE4LzAyLzIzPC9lZGl0aW9uPjxrZXl3b3Jkcz48a2V5d29yZD5BZHVsdDwva2V5d29yZD48a2V5
d29yZD5Cb2R5IE1hc3MgSW5kZXg8L2tleXdvcmQ+PGtleXdvcmQ+Q29ob3J0IFN0dWRpZXM8L2tl
eXdvcmQ+PGtleXdvcmQ+RGlhYmV0ZXMsIEdlc3RhdGlvbmFsL3BzeWNob2xvZ3k8L2tleXdvcmQ+
PGtleXdvcmQ+RXhlcmNpc2UvcHN5Y2hvbG9neTwva2V5d29yZD48a2V5d29yZD5GZWVkaW5nIEJl
aGF2aW9yL3BzeWNob2xvZ3k8L2tleXdvcmQ+PGtleXdvcmQ+RmVtYWxlPC9rZXl3b3JkPjxrZXl3
b3JkPkh1bWFuczwva2V5d29yZD48a2V5d29yZD5MaW5lYXIgTW9kZWxzPC9rZXl3b3JkPjxrZXl3
b3JkPkxvbmdpdHVkaW5hbCBTdHVkaWVzPC9rZXl3b3JkPjxrZXl3b3JkPk5ldyBTb3V0aCBXYWxl
czwva2V5d29yZD48a2V5d29yZD5PYmVzaXR5L2NvbXBsaWNhdGlvbnM8L2tleXdvcmQ+PGtleXdv
cmQ+T3ZlcndlaWdodC9jb21wbGljYXRpb25zL3ByZXZlbnRpb24gJmFtcDsgY29udHJvbDwva2V5
d29yZD48a2V5d29yZD5Qb3B1bGF0aW9uIEdyb3Vwczwva2V5d29yZD48a2V5d29yZD5QcmVnbmFu
Y3k8L2tleXdvcmQ+PGtleXdvcmQ+UHJlZ25hbmN5IENvbXBsaWNhdGlvbnMvZXRpb2xvZ3kvcHJl
dmVudGlvbiAmYW1wOyBjb250cm9sPC9rZXl3b3JkPjxrZXl3b3JkPlNtb2tpbmcvcHN5Y2hvbG9n
eTwva2V5d29yZD48a2V5d29yZD5XZWlnaHQgR2Fpbi8qcGh5c2lvbG9neTwva2V5d29yZD48a2V5
d29yZD5BYm9yaWdpbmVzLCBBdXN0cmFsaWFuPC9rZXl3b3JkPjxrZXl3b3JkPkdlc3RhdGlvbmFs
IHdlaWdodCBnYWluPC9rZXl3b3JkPjwva2V5d29yZHM+PGRhdGVzPjx5ZWFyPjIwMTg8L3llYXI+
PHB1Yi1kYXRlcz48ZGF0ZT5NYXk8L2RhdGU+PC9wdWItZGF0ZXM+PC9kYXRlcz48aXNibj4xNTMy
LTMwOTkgKEVsZWN0cm9uaWMpJiN4RDswMjY2LTYxMzggKExpbmtpbmcpPC9pc2JuPjxhY2Nlc3Np
b24tbnVtPjI5NDcxMTc0PC9hY2Nlc3Npb24tbnVtPjx1cmxzPjxyZWxhdGVkLXVybHM+PHVybD5o
dHRwczovL3d3dy5uY2JpLm5sbS5uaWguZ292L3B1Ym1lZC8yOTQ3MTE3NDwvdXJsPjwvcmVsYXRl
ZC11cmxzPjwvdXJscz48ZWxlY3Ryb25pYy1yZXNvdXJjZS1udW0+MTAuMTAxNi9qLm1pZHcuMjAx
OC4wMS4wMTc8L2VsZWN0cm9uaWMtcmVzb3VyY2UtbnVtPjwvcmVjb3JkPjwvQ2l0ZT48L0VuZE5v
dGU+AG==
</w:fldData>
        </w:fldChar>
      </w:r>
      <w:r w:rsidR="001A2F28">
        <w:instrText xml:space="preserve"> ADDIN EN.CITE.DATA </w:instrText>
      </w:r>
      <w:r w:rsidR="001A2F28">
        <w:fldChar w:fldCharType="end"/>
      </w:r>
      <w:r w:rsidR="001A2F28">
        <w:fldChar w:fldCharType="separate"/>
      </w:r>
      <w:r w:rsidR="001A2F28" w:rsidRPr="001A2F28">
        <w:rPr>
          <w:noProof/>
          <w:vertAlign w:val="superscript"/>
        </w:rPr>
        <w:t>351</w:t>
      </w:r>
      <w:r w:rsidR="001A2F28">
        <w:fldChar w:fldCharType="end"/>
      </w:r>
      <w:r w:rsidR="00275432">
        <w:t xml:space="preserve"> </w:t>
      </w:r>
      <w:r>
        <w:t>found that 54</w:t>
      </w:r>
      <w:r w:rsidRPr="00FC6AC8">
        <w:t>% of women had weight gain</w:t>
      </w:r>
      <w:r>
        <w:t xml:space="preserve"> exceeding recommendations.</w:t>
      </w:r>
    </w:p>
    <w:p w14:paraId="2AFB46BE" w14:textId="77777777" w:rsidR="0031360D" w:rsidRDefault="0031360D" w:rsidP="0056468B">
      <w:pPr>
        <w:pStyle w:val="Heading3"/>
      </w:pPr>
      <w:bookmarkStart w:id="172" w:name="_Toc40956532"/>
      <w:r>
        <w:t>Risks associated with low or high gestational weight gain</w:t>
      </w:r>
      <w:bookmarkEnd w:id="172"/>
    </w:p>
    <w:p w14:paraId="15D0FB1E" w14:textId="44FE32B2" w:rsidR="00CB55A1" w:rsidRDefault="00CB55A1" w:rsidP="00CB55A1">
      <w:r w:rsidRPr="00BD61CC">
        <w:t>A meta-analysis of individual participant data (</w:t>
      </w:r>
      <w:r w:rsidRPr="00BD61CC">
        <w:rPr>
          <w:sz w:val="16"/>
          <w:szCs w:val="16"/>
        </w:rPr>
        <w:t>n=265,270</w:t>
      </w:r>
      <w:r w:rsidRPr="00BD61CC">
        <w:t>)</w:t>
      </w:r>
      <w:r w:rsidRPr="00BD61CC">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Pr="00BD61CC">
        <w:fldChar w:fldCharType="separate"/>
      </w:r>
      <w:r w:rsidR="001A2F28" w:rsidRPr="001A2F28">
        <w:rPr>
          <w:noProof/>
          <w:vertAlign w:val="superscript"/>
        </w:rPr>
        <w:t>362</w:t>
      </w:r>
      <w:r w:rsidRPr="00BD61CC">
        <w:fldChar w:fldCharType="end"/>
      </w:r>
      <w:r w:rsidRPr="00BD61CC">
        <w:t xml:space="preserve"> found that low or high gestational weight gain was associated with pregnancy complications across all BMI classifications.</w:t>
      </w:r>
    </w:p>
    <w:p w14:paraId="0D3E6340" w14:textId="77777777" w:rsidR="00CB55A1" w:rsidRDefault="00CB55A1" w:rsidP="00CB55A1">
      <w:pPr>
        <w:pStyle w:val="Heading4"/>
      </w:pPr>
      <w:r>
        <w:t>Weight gain among women of any BMI</w:t>
      </w:r>
    </w:p>
    <w:p w14:paraId="2D724E51" w14:textId="77777777" w:rsidR="00CB55A1" w:rsidRDefault="00CB55A1" w:rsidP="00CB55A1">
      <w:pPr>
        <w:pStyle w:val="Heading5"/>
      </w:pPr>
      <w:r>
        <w:t>Weight gain lower than recommendations</w:t>
      </w:r>
    </w:p>
    <w:p w14:paraId="15333885" w14:textId="79309B31" w:rsidR="00CB55A1" w:rsidRPr="00CE70E1" w:rsidRDefault="00CB55A1" w:rsidP="00CB55A1">
      <w:r>
        <w:t>In a systematic review of cohort studies of pregnant women of any BMI (</w:t>
      </w:r>
      <w:r w:rsidRPr="00822C0E">
        <w:rPr>
          <w:sz w:val="16"/>
          <w:szCs w:val="16"/>
        </w:rPr>
        <w:t>23 studies; 1,309,136 women</w:t>
      </w:r>
      <w:r>
        <w:t>)</w:t>
      </w:r>
      <w:r>
        <w:fldChar w:fldCharType="begin">
          <w:fldData xml:space="preserve">PEVuZE5vdGU+PENpdGU+PEF1dGhvcj5Hb2xkc3RlaW48L0F1dGhvcj48WWVhcj4yMDE3PC9ZZWFy
PjxSZWNOdW0+MTc1NzwvUmVjTnVtPjxEaXNwbGF5VGV4dD48c3R5bGUgZmFjZT0ic3VwZXJzY3Jp
cHQiIGZvbnQ9IlRyZWJ1Y2hldCBNUyIgc2l6ZT0iOSI+MzYzPC9zdHlsZT48L0Rpc3BsYXlUZXh0
PjxyZWNvcmQ+PHJlYy1udW1iZXI+MTc1NzwvcmVjLW51bWJlcj48Zm9yZWlnbi1rZXlzPjxrZXkg
YXBwPSJFTiIgZGItaWQ9ImV4dmFzcmZ4MmR0cmFvZXNhc3hwMnN6c3hhMmRmNTAyNTkyeCIgdGlt
ZXN0YW1wPSIxNTgyODY3MTIzIj4xNzU3PC9rZXk+PGtleSBhcHA9IkVOV2ViIiBkYi1pZD0iIj4w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Uy48L2F1dGhvcj48YXV0aG9yPk1pc3NvLCBNLjwvYXV0aG9yPjxhdXRob3I+Qm95bGUsIEouIEEu
PC9hdXRob3I+PGF1dGhvcj5CbGFjaywgTS4gSC48L2F1dGhvcj48YXV0aG9yPkxpLCBOLjwvYXV0
aG9yPjxhdXRob3I+SHUsIEcuPC9hdXRob3I+PGF1dGhvcj5Db3JyYWRvLCBGLjwvYXV0aG9yPjxh
dXRob3I+Um9kZSwgTC48L2F1dGhvcj48YXV0aG9yPktpbSwgWS4gSi48L2F1dGhvcj48YXV0aG9y
PkhhdWdlbiwgTS48L2F1dGhvcj48YXV0aG9yPlNvbmcsIFcuIE8uPC9hdXRob3I+PGF1dGhvcj5L
aW0sIE0uIEguPC9hdXRob3I+PGF1dGhvcj5Cb2dhZXJ0cywgQS48L2F1dGhvcj48YXV0aG9yPkRl
dmxpZWdlciwgUi48L2F1dGhvcj48YXV0aG9yPkNodW5nLCBKLiBILjwvYXV0aG9yPjxhdXRob3I+
VGVlZGUsIEguIEouPC9hdXRob3I+PC9hdXRob3JzPjwvY29udHJpYnV0b3JzPjxhdXRoLWFkZHJl
c3M+TW9uYXNoIENlbnRyZSBmb3IgSGVhbHRoIFJlc2VhcmNoIGFuZCBJbXBsZW1lbnRhdGlvbiwg
TW9uYXNoIFVuaXZlcnNpdHksIFZpY3RvcmlhLCBBdXN0cmFsaWEyTW9uYXNoIERpYWJldGVzIGFu
ZCBFbmRvY3JpbmUgVW5pdHMsIE1vbmFzaCBIZWFsdGgsIFZpY3RvcmlhLCBBdXN0cmFsaWEuJiN4
RDtNb25hc2ggQ2VudHJlIGZvciBIZWFsdGggUmVzZWFyY2ggYW5kIEltcGxlbWVudGF0aW9uLCBN
b25hc2ggVW5pdmVyc2l0eSwgVmljdG9yaWEsIEF1c3RyYWxpYS4mI3hEO0thaXNlciBQZXJtYW5l
bnRlLCBTb3V0aGVybiBDYWxpZm9ybmlhLCBMb3MgQW5nZWxlczRBbWJyeSBHZW5ldGljcywgQWxp
c28gVmllam8sIENhbGlmb3JuaWEuJiN4RDtUaWFuamluIFdvbWVuJmFwb3M7cyBhbmQgQ2hpbGRy
ZW4mYXBvcztzIEhlYWx0aCBDZW50ZXIsIFRpYW5qaW4sIENoaW5hLiYjeEQ7UGVubmluZ3RvbiBC
aW9tZWRpY2FsIFJlc2VhcmNoIENlbnRlciwgQmF0b24gUm91Z2UsIExvdWlzaWFuYS4mI3hEO1Vu
aXZlcnNpdHkgSG9zcGl0YWwsIE1lc3NpbmEsIEl0YWx5LiYjeEQ7RGVwYXJ0bWVudCBvZiBCaW9j
aGVtaXN0cnksIENvcGVuaGFnZW4gVW5pdmVyc2l0eSBIb3NwaXRhbCwgUmlnaG9zcGl0YWxldCwg
Q29wZW5oYWdlbiwgRGVubWFyay4mI3hEO0RlcGFydG1lbnQgb2YgT2JzdGV0cmljcyBhbmQgR3lu
ZWNvbG9neSwgU2Nob29sIG9mIE1lZGljaW5lLCBFd2hhIFdvbWFucyBVbml2ZXJzaXR5LCBTZW91
bCwgUmVwdWJsaWMgb2YgS29yZWEuJiN4RDtOb3J3ZWdpYW4gSW5zdGl0dXRlIG9mIFB1YmxpYyBI
ZWFsdGgsIE9zbG8sIE5vcndheS4mI3hEO01pY2hpZ2FuIFN0YXRlIFVuaXZlcnNpdHksIEVhc3Qg
TGFuc2luZy4mI3hEO0Rhbmtvb2sgVW5pdmVyc2l0eSBDb2xsZWdlIG9mIE1lZGljaW5lLCBTZW91
bCwgUmVwdWJsaWMgb2YgS29yZWEuJiN4RDtEZXBhcnRtZW50IG9mIERldmVsb3BtZW50IGFuZCBS
ZWdlbmVyYXRpb24gS1UgTGV1dmVuLCBVbml2ZXJzaXR5IG9mIExldXZlbiwgTGV1dmVuLCBCZWxn
aXVtMTRGYWN1bHR5IG9mIE1lZGljaW5lIGFuZCBIZWFsdGggU2NpZW5jZXMsIENlbnRyZSBmb3Ig
UmVzZWFyY2ggYW5kIElubm92YXRpb24gaW4gQ2FyZSwgVW5pdmVyc2l0eSBvZiBBbnR3ZXJwLCBB
bnR3ZXJwLCBCZWxnaXVtMTVGYWN1bHR5IG9mIEhlYWx0aCBhbmQgU29jaWFsIFdvcmssIFJlc2Vh
cmNoIFVuaXQgSGVhbHRoeSBMaXZpbmcsIFVDIExldXZlbi1MaW1idXJnLCBMZXV2ZW4sIEJlbGdp
dW0uJiN4RDtEZXBhcnRtZW50IG9mIE9ic3RldHJpY3MgYW5kIEd5bmFlY29sb2d5LCBVbml2ZXJz
aXR5IEhvc3BpdGFscyBLVSBMZXV2ZW4sIExldXZlbiwgQmVsZ2l1bTE3RGVwYXJ0bWVudCBvZiBP
YnN0ZXRyaWNzLCBHeW5hZWNvbG9neSBhbmQgRmVydGlsaXR5LCBHWkEgQ2FtcHVzIFNpbnQtQXVn
dXN0aW51cywgV2lscmlqaywgQmVsZ2l1bS4mI3hEO1VuaXZlcnNpdHkgb2YgQ2FsaWZvcm5pYSwg
SXJ2aW5lLjwvYXV0aC1hZGRyZXNzPjx0aXRsZXM+PHRpdGxlPkFzc29jaWF0aW9uIG9mIGdlc3Rh
dGlvbmFsIHdlaWdodCBnYWluIHdpdGggbWF0ZXJuYWwgYW5kIGluZmFudCBvdXRjb21lczogYSBz
eXN0ZW1hdGljIHJldmlldyBhbmQgbWV0YS1hbmFseXNpczwvdGl0bGU+PHNlY29uZGFyeS10aXRs
ZT5KQU1BPC9zZWNvbmRhcnktdGl0bGU+PC90aXRsZXM+PHBlcmlvZGljYWw+PGZ1bGwtdGl0bGU+
SkFNQTwvZnVsbC10aXRsZT48L3BlcmlvZGljYWw+PHBhZ2VzPjIyMDctMjIyNTwvcGFnZXM+PHZv
bHVtZT4zMTc8L3ZvbHVtZT48bnVtYmVyPjIxPC9udW1iZXI+PGVkaXRpb24+MjAxNy8wNi8wNzwv
ZWRpdGlvbj48a2V5d29yZHM+PGtleXdvcmQ+QWR1bHQ8L2tleXdvcmQ+PGtleXdvcmQ+QmlydGgg
V2VpZ2h0PC9rZXl3b3JkPjxrZXl3b3JkPkJvZHkgTWFzcyBJbmRleDwva2V5d29yZD48a2V5d29y
ZD5Cb2R5IFdlaWdodDwva2V5d29yZD48a2V5d29yZD5DZXNhcmVhbiBTZWN0aW9uPC9rZXl3b3Jk
PjxrZXl3b3JkPkZlbWFsZTwva2V5d29yZD48a2V5d29yZD5GZXRhbCBNYWNyb3NvbWlhPC9rZXl3
b3JkPjxrZXl3b3JkPkh1bWFuczwva2V5d29yZD48a2V5d29yZD5JbmZhbnQsIFNtYWxsIGZvciBH
ZXN0YXRpb25hbCBBZ2U8L2tleXdvcmQ+PGtleXdvcmQ+UHJlZ25hbmN5LypwaHlzaW9sb2d5PC9r
ZXl3b3JkPjxrZXl3b3JkPipQcmVnbmFuY3kgT3V0Y29tZTwva2V5d29yZD48a2V5d29yZD5QcmVt
YXR1cmUgQmlydGg8L2tleXdvcmQ+PGtleXdvcmQ+KldlaWdodCBHYWluPC9rZXl3b3JkPjwva2V5
d29yZHM+PGRhdGVzPjx5ZWFyPjIwMTc8L3llYXI+PHB1Yi1kYXRlcz48ZGF0ZT5KdW4gNjwvZGF0
ZT48L3B1Yi1kYXRlcz48L2RhdGVzPjxpc2JuPjE1MzgtMzU5OCAoRWxlY3Ryb25pYykmI3hEOzAw
OTgtNzQ4NCAoTGlua2luZyk8L2lzYm4+PGFjY2Vzc2lvbi1udW0+Mjg1ODY4ODc8L2FjY2Vzc2lv
bi1udW0+PHVybHM+PHJlbGF0ZWQtdXJscz48dXJsPmh0dHBzOi8vd3d3Lm5jYmkubmxtLm5paC5n
b3YvcHVibWVkLzI4NTg2ODg3PC91cmw+PC9yZWxhdGVkLXVybHM+PC91cmxzPjxjdXN0b20yPlBN
QzU4MTUwNTY8L2N1c3RvbTI+PGVsZWN0cm9uaWMtcmVzb3VyY2UtbnVtPjEwLjEwMDEvamFtYS4y
MDE3LjM2MzU8L2VsZWN0cm9uaWMtcmVzb3VyY2UtbnVtPjwvcmVjb3JkPjwvQ2l0ZT48L0VuZE5v
dGU+AG==
</w:fldData>
        </w:fldChar>
      </w:r>
      <w:r w:rsidR="001A2F28">
        <w:instrText xml:space="preserve"> ADDIN EN.CITE </w:instrText>
      </w:r>
      <w:r w:rsidR="001A2F28">
        <w:fldChar w:fldCharType="begin">
          <w:fldData xml:space="preserve">PEVuZE5vdGU+PENpdGU+PEF1dGhvcj5Hb2xkc3RlaW48L0F1dGhvcj48WWVhcj4yMDE3PC9ZZWFy
PjxSZWNOdW0+MTc1NzwvUmVjTnVtPjxEaXNwbGF5VGV4dD48c3R5bGUgZmFjZT0ic3VwZXJzY3Jp
cHQiIGZvbnQ9IlRyZWJ1Y2hldCBNUyIgc2l6ZT0iOSI+MzYzPC9zdHlsZT48L0Rpc3BsYXlUZXh0
PjxyZWNvcmQ+PHJlYy1udW1iZXI+MTc1NzwvcmVjLW51bWJlcj48Zm9yZWlnbi1rZXlzPjxrZXkg
YXBwPSJFTiIgZGItaWQ9ImV4dmFzcmZ4MmR0cmFvZXNhc3hwMnN6c3hhMmRmNTAyNTkyeCIgdGlt
ZXN0YW1wPSIxNTgyODY3MTIzIj4xNzU3PC9rZXk+PGtleSBhcHA9IkVOV2ViIiBkYi1pZD0iIj4w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Uy48L2F1dGhvcj48YXV0aG9yPk1pc3NvLCBNLjwvYXV0aG9yPjxhdXRob3I+Qm95bGUsIEouIEEu
PC9hdXRob3I+PGF1dGhvcj5CbGFjaywgTS4gSC48L2F1dGhvcj48YXV0aG9yPkxpLCBOLjwvYXV0
aG9yPjxhdXRob3I+SHUsIEcuPC9hdXRob3I+PGF1dGhvcj5Db3JyYWRvLCBGLjwvYXV0aG9yPjxh
dXRob3I+Um9kZSwgTC48L2F1dGhvcj48YXV0aG9yPktpbSwgWS4gSi48L2F1dGhvcj48YXV0aG9y
PkhhdWdlbiwgTS48L2F1dGhvcj48YXV0aG9yPlNvbmcsIFcuIE8uPC9hdXRob3I+PGF1dGhvcj5L
aW0sIE0uIEguPC9hdXRob3I+PGF1dGhvcj5Cb2dhZXJ0cywgQS48L2F1dGhvcj48YXV0aG9yPkRl
dmxpZWdlciwgUi48L2F1dGhvcj48YXV0aG9yPkNodW5nLCBKLiBILjwvYXV0aG9yPjxhdXRob3I+
VGVlZGUsIEguIEouPC9hdXRob3I+PC9hdXRob3JzPjwvY29udHJpYnV0b3JzPjxhdXRoLWFkZHJl
c3M+TW9uYXNoIENlbnRyZSBmb3IgSGVhbHRoIFJlc2VhcmNoIGFuZCBJbXBsZW1lbnRhdGlvbiwg
TW9uYXNoIFVuaXZlcnNpdHksIFZpY3RvcmlhLCBBdXN0cmFsaWEyTW9uYXNoIERpYWJldGVzIGFu
ZCBFbmRvY3JpbmUgVW5pdHMsIE1vbmFzaCBIZWFsdGgsIFZpY3RvcmlhLCBBdXN0cmFsaWEuJiN4
RDtNb25hc2ggQ2VudHJlIGZvciBIZWFsdGggUmVzZWFyY2ggYW5kIEltcGxlbWVudGF0aW9uLCBN
b25hc2ggVW5pdmVyc2l0eSwgVmljdG9yaWEsIEF1c3RyYWxpYS4mI3hEO0thaXNlciBQZXJtYW5l
bnRlLCBTb3V0aGVybiBDYWxpZm9ybmlhLCBMb3MgQW5nZWxlczRBbWJyeSBHZW5ldGljcywgQWxp
c28gVmllam8sIENhbGlmb3JuaWEuJiN4RDtUaWFuamluIFdvbWVuJmFwb3M7cyBhbmQgQ2hpbGRy
ZW4mYXBvcztzIEhlYWx0aCBDZW50ZXIsIFRpYW5qaW4sIENoaW5hLiYjeEQ7UGVubmluZ3RvbiBC
aW9tZWRpY2FsIFJlc2VhcmNoIENlbnRlciwgQmF0b24gUm91Z2UsIExvdWlzaWFuYS4mI3hEO1Vu
aXZlcnNpdHkgSG9zcGl0YWwsIE1lc3NpbmEsIEl0YWx5LiYjeEQ7RGVwYXJ0bWVudCBvZiBCaW9j
aGVtaXN0cnksIENvcGVuaGFnZW4gVW5pdmVyc2l0eSBIb3NwaXRhbCwgUmlnaG9zcGl0YWxldCwg
Q29wZW5oYWdlbiwgRGVubWFyay4mI3hEO0RlcGFydG1lbnQgb2YgT2JzdGV0cmljcyBhbmQgR3lu
ZWNvbG9neSwgU2Nob29sIG9mIE1lZGljaW5lLCBFd2hhIFdvbWFucyBVbml2ZXJzaXR5LCBTZW91
bCwgUmVwdWJsaWMgb2YgS29yZWEuJiN4RDtOb3J3ZWdpYW4gSW5zdGl0dXRlIG9mIFB1YmxpYyBI
ZWFsdGgsIE9zbG8sIE5vcndheS4mI3hEO01pY2hpZ2FuIFN0YXRlIFVuaXZlcnNpdHksIEVhc3Qg
TGFuc2luZy4mI3hEO0Rhbmtvb2sgVW5pdmVyc2l0eSBDb2xsZWdlIG9mIE1lZGljaW5lLCBTZW91
bCwgUmVwdWJsaWMgb2YgS29yZWEuJiN4RDtEZXBhcnRtZW50IG9mIERldmVsb3BtZW50IGFuZCBS
ZWdlbmVyYXRpb24gS1UgTGV1dmVuLCBVbml2ZXJzaXR5IG9mIExldXZlbiwgTGV1dmVuLCBCZWxn
aXVtMTRGYWN1bHR5IG9mIE1lZGljaW5lIGFuZCBIZWFsdGggU2NpZW5jZXMsIENlbnRyZSBmb3Ig
UmVzZWFyY2ggYW5kIElubm92YXRpb24gaW4gQ2FyZSwgVW5pdmVyc2l0eSBvZiBBbnR3ZXJwLCBB
bnR3ZXJwLCBCZWxnaXVtMTVGYWN1bHR5IG9mIEhlYWx0aCBhbmQgU29jaWFsIFdvcmssIFJlc2Vh
cmNoIFVuaXQgSGVhbHRoeSBMaXZpbmcsIFVDIExldXZlbi1MaW1idXJnLCBMZXV2ZW4sIEJlbGdp
dW0uJiN4RDtEZXBhcnRtZW50IG9mIE9ic3RldHJpY3MgYW5kIEd5bmFlY29sb2d5LCBVbml2ZXJz
aXR5IEhvc3BpdGFscyBLVSBMZXV2ZW4sIExldXZlbiwgQmVsZ2l1bTE3RGVwYXJ0bWVudCBvZiBP
YnN0ZXRyaWNzLCBHeW5hZWNvbG9neSBhbmQgRmVydGlsaXR5LCBHWkEgQ2FtcHVzIFNpbnQtQXVn
dXN0aW51cywgV2lscmlqaywgQmVsZ2l1bS4mI3hEO1VuaXZlcnNpdHkgb2YgQ2FsaWZvcm5pYSwg
SXJ2aW5lLjwvYXV0aC1hZGRyZXNzPjx0aXRsZXM+PHRpdGxlPkFzc29jaWF0aW9uIG9mIGdlc3Rh
dGlvbmFsIHdlaWdodCBnYWluIHdpdGggbWF0ZXJuYWwgYW5kIGluZmFudCBvdXRjb21lczogYSBz
eXN0ZW1hdGljIHJldmlldyBhbmQgbWV0YS1hbmFseXNpczwvdGl0bGU+PHNlY29uZGFyeS10aXRs
ZT5KQU1BPC9zZWNvbmRhcnktdGl0bGU+PC90aXRsZXM+PHBlcmlvZGljYWw+PGZ1bGwtdGl0bGU+
SkFNQTwvZnVsbC10aXRsZT48L3BlcmlvZGljYWw+PHBhZ2VzPjIyMDctMjIyNTwvcGFnZXM+PHZv
bHVtZT4zMTc8L3ZvbHVtZT48bnVtYmVyPjIxPC9udW1iZXI+PGVkaXRpb24+MjAxNy8wNi8wNzwv
ZWRpdGlvbj48a2V5d29yZHM+PGtleXdvcmQ+QWR1bHQ8L2tleXdvcmQ+PGtleXdvcmQ+QmlydGgg
V2VpZ2h0PC9rZXl3b3JkPjxrZXl3b3JkPkJvZHkgTWFzcyBJbmRleDwva2V5d29yZD48a2V5d29y
ZD5Cb2R5IFdlaWdodDwva2V5d29yZD48a2V5d29yZD5DZXNhcmVhbiBTZWN0aW9uPC9rZXl3b3Jk
PjxrZXl3b3JkPkZlbWFsZTwva2V5d29yZD48a2V5d29yZD5GZXRhbCBNYWNyb3NvbWlhPC9rZXl3
b3JkPjxrZXl3b3JkPkh1bWFuczwva2V5d29yZD48a2V5d29yZD5JbmZhbnQsIFNtYWxsIGZvciBH
ZXN0YXRpb25hbCBBZ2U8L2tleXdvcmQ+PGtleXdvcmQ+UHJlZ25hbmN5LypwaHlzaW9sb2d5PC9r
ZXl3b3JkPjxrZXl3b3JkPipQcmVnbmFuY3kgT3V0Y29tZTwva2V5d29yZD48a2V5d29yZD5QcmVt
YXR1cmUgQmlydGg8L2tleXdvcmQ+PGtleXdvcmQ+KldlaWdodCBHYWluPC9rZXl3b3JkPjwva2V5
d29yZHM+PGRhdGVzPjx5ZWFyPjIwMTc8L3llYXI+PHB1Yi1kYXRlcz48ZGF0ZT5KdW4gNjwvZGF0
ZT48L3B1Yi1kYXRlcz48L2RhdGVzPjxpc2JuPjE1MzgtMzU5OCAoRWxlY3Ryb25pYykmI3hEOzAw
OTgtNzQ4NCAoTGlua2luZyk8L2lzYm4+PGFjY2Vzc2lvbi1udW0+Mjg1ODY4ODc8L2FjY2Vzc2lv
bi1udW0+PHVybHM+PHJlbGF0ZWQtdXJscz48dXJsPmh0dHBzOi8vd3d3Lm5jYmkubmxtLm5paC5n
b3YvcHVibWVkLzI4NTg2ODg3PC91cmw+PC9yZWxhdGVkLXVybHM+PC91cmxzPjxjdXN0b20yPlBN
QzU4MTUwNTY8L2N1c3RvbTI+PGVsZWN0cm9uaWMtcmVzb3VyY2UtbnVtPjEwLjEwMDEvamFtYS4y
MDE3LjM2MzU8L2VsZWN0cm9uaWMtcmVzb3VyY2UtbnVtPjwvcmVjb3JkPjwvQ2l0ZT48L0VuZE5v
dGU+AG==
</w:fldData>
        </w:fldChar>
      </w:r>
      <w:r w:rsidR="001A2F28">
        <w:instrText xml:space="preserve"> ADDIN EN.CITE.DATA </w:instrText>
      </w:r>
      <w:r w:rsidR="001A2F28">
        <w:fldChar w:fldCharType="end"/>
      </w:r>
      <w:r>
        <w:fldChar w:fldCharType="separate"/>
      </w:r>
      <w:r w:rsidR="001A2F28" w:rsidRPr="001A2F28">
        <w:rPr>
          <w:noProof/>
          <w:vertAlign w:val="superscript"/>
        </w:rPr>
        <w:t>363</w:t>
      </w:r>
      <w:r>
        <w:fldChar w:fldCharType="end"/>
      </w:r>
      <w:r>
        <w:t xml:space="preserve">, weight gain </w:t>
      </w:r>
      <w:r w:rsidRPr="00F93356">
        <w:rPr>
          <w:i/>
        </w:rPr>
        <w:t>lower</w:t>
      </w:r>
      <w:r>
        <w:t xml:space="preserve"> than recommendations was associated with an increased risk of:</w:t>
      </w:r>
    </w:p>
    <w:p w14:paraId="690BF78B" w14:textId="77777777" w:rsidR="00CB55A1" w:rsidRDefault="00CB55A1" w:rsidP="00CB55A1">
      <w:pPr>
        <w:pStyle w:val="bullet"/>
      </w:pPr>
      <w:r>
        <w:t>preterm birth (</w:t>
      </w:r>
      <w:r w:rsidRPr="00494D97">
        <w:rPr>
          <w:sz w:val="16"/>
          <w:szCs w:val="16"/>
        </w:rPr>
        <w:t>OR 1.70; 95%CI 1.32 to 2.20</w:t>
      </w:r>
      <w:r>
        <w:t xml:space="preserve">) </w:t>
      </w:r>
    </w:p>
    <w:p w14:paraId="0B24764D" w14:textId="77777777" w:rsidR="00CB55A1" w:rsidRPr="005C388D" w:rsidRDefault="00CB55A1" w:rsidP="00CB55A1">
      <w:pPr>
        <w:pStyle w:val="bullet"/>
      </w:pPr>
      <w:r>
        <w:t>small for gestational age babies (</w:t>
      </w:r>
      <w:r w:rsidRPr="00494D97">
        <w:rPr>
          <w:sz w:val="16"/>
          <w:szCs w:val="16"/>
        </w:rPr>
        <w:t>OR 1.53; 95% CI 1.44 to 1.64</w:t>
      </w:r>
      <w:r>
        <w:t>).</w:t>
      </w:r>
    </w:p>
    <w:p w14:paraId="10DB238B" w14:textId="77777777" w:rsidR="00CB55A1" w:rsidRDefault="00CB55A1" w:rsidP="00CB55A1">
      <w:r>
        <w:t xml:space="preserve">There was an association between weight gain </w:t>
      </w:r>
      <w:r w:rsidRPr="00E86FC6">
        <w:rPr>
          <w:i/>
          <w:iCs/>
        </w:rPr>
        <w:t>lower</w:t>
      </w:r>
      <w:r>
        <w:t xml:space="preserve"> than recommendations and a lower likelihood of:</w:t>
      </w:r>
    </w:p>
    <w:p w14:paraId="41EF4E7B" w14:textId="77777777" w:rsidR="00CB55A1" w:rsidRDefault="00CB55A1" w:rsidP="00CB55A1">
      <w:pPr>
        <w:pStyle w:val="bullet"/>
      </w:pPr>
      <w:r>
        <w:t>large-for-gestational-age babies (</w:t>
      </w:r>
      <w:r w:rsidRPr="00494D97">
        <w:rPr>
          <w:sz w:val="16"/>
          <w:szCs w:val="16"/>
        </w:rPr>
        <w:t>OR 0.59; 95%CI 0.55 to 0.64</w:t>
      </w:r>
      <w:r>
        <w:t xml:space="preserve">) </w:t>
      </w:r>
    </w:p>
    <w:p w14:paraId="14A2AD5D" w14:textId="77777777" w:rsidR="00CB55A1" w:rsidRDefault="00CB55A1" w:rsidP="00CB55A1">
      <w:pPr>
        <w:pStyle w:val="bullet"/>
      </w:pPr>
      <w:r>
        <w:t>macrosomia (</w:t>
      </w:r>
      <w:r w:rsidRPr="00494D97">
        <w:rPr>
          <w:sz w:val="16"/>
          <w:szCs w:val="16"/>
        </w:rPr>
        <w:t>OR 0.60; 95%CI 0.52 to 0.68</w:t>
      </w:r>
      <w:r>
        <w:t>).</w:t>
      </w:r>
    </w:p>
    <w:p w14:paraId="3FE172BF" w14:textId="77777777" w:rsidR="00CB55A1" w:rsidRDefault="00CB55A1" w:rsidP="00CB55A1">
      <w:r>
        <w:t xml:space="preserve">There was an association between weight gain </w:t>
      </w:r>
      <w:r w:rsidRPr="00E86FC6">
        <w:rPr>
          <w:i/>
          <w:iCs/>
        </w:rPr>
        <w:t>lower</w:t>
      </w:r>
      <w:r>
        <w:t xml:space="preserve"> than recommendations and a possible lower likelihood of caesarean section (</w:t>
      </w:r>
      <w:r w:rsidRPr="00494D97">
        <w:rPr>
          <w:sz w:val="16"/>
          <w:szCs w:val="16"/>
        </w:rPr>
        <w:t>OR 0.98; 95%CI 0.96 to 1.02</w:t>
      </w:r>
      <w:r>
        <w:t>).</w:t>
      </w:r>
    </w:p>
    <w:p w14:paraId="46FBD870" w14:textId="5A7879B5" w:rsidR="00CB55A1" w:rsidRDefault="00CB55A1" w:rsidP="00CB55A1">
      <w:r>
        <w:rPr>
          <w:shd w:val="clear" w:color="auto" w:fill="FFFFFF"/>
        </w:rPr>
        <w:t>In an analysis of</w:t>
      </w:r>
      <w:r w:rsidRPr="003A3608">
        <w:rPr>
          <w:shd w:val="clear" w:color="auto" w:fill="FFFFFF"/>
        </w:rPr>
        <w:t xml:space="preserve"> individual participant data from the control arms of </w:t>
      </w:r>
      <w:r>
        <w:rPr>
          <w:shd w:val="clear" w:color="auto" w:fill="FFFFFF"/>
        </w:rPr>
        <w:t>36 RCTs (</w:t>
      </w:r>
      <w:r w:rsidRPr="00857C61">
        <w:rPr>
          <w:sz w:val="16"/>
          <w:szCs w:val="16"/>
          <w:shd w:val="clear" w:color="auto" w:fill="FFFFFF"/>
        </w:rPr>
        <w:t>n=4,429</w:t>
      </w:r>
      <w:r>
        <w:rPr>
          <w:shd w:val="clear" w:color="auto" w:fill="FFFFFF"/>
        </w:rPr>
        <w:t>)</w:t>
      </w:r>
      <w:r>
        <w:rPr>
          <w:shd w:val="clear" w:color="auto" w:fill="FFFFFF"/>
        </w:rPr>
        <w:fldChar w:fldCharType="begin">
          <w:fldData xml:space="preserve">PEVuZE5vdGU+PENpdGU+PEF1dGhvcj5Sb2dvemluc2thPC9BdXRob3I+PFllYXI+MjAxOTwvWWVh
cj48UmVjTnVtPjE4MzA8L1JlY051bT48RGlzcGxheVRleHQ+PHN0eWxlIGZhY2U9InN1cGVyc2Ny
aXB0IiBmb250PSJUcmVidWNoZXQgTVMiIHNpemU9IjkiPjM2NDwvc3R5bGU+PC9EaXNwbGF5VGV4
dD48cmVjb3JkPjxyZWMtbnVtYmVyPjE4MzA8L3JlYy1udW1iZXI+PGZvcmVpZ24ta2V5cz48a2V5
IGFwcD0iRU4iIGRiLWlkPSJleHZhc3JmeDJkdHJhb2VzYXN4cDJzenN4YTJkZjUwMjU5MngiIHRp
bWVzdGFtcD0iMTU4NTYzMjUwMSI+MTgzMDwva2V5PjwvZm9yZWlnbi1rZXlzPjxyZWYtdHlwZSBu
YW1lPSJKb3VybmFsIEFydGljbGUiPjE3PC9yZWYtdHlwZT48Y29udHJpYnV0b3JzPjxhdXRob3Jz
PjxhdXRob3I+Um9nb3ppbnNrYSwgRS48L2F1dGhvcj48YXV0aG9yPlphbW9yYSwgSi48L2F1dGhv
cj48YXV0aG9yPk1hcmxpbiwgTi48L2F1dGhvcj48YXV0aG9yPkJldHJhbiwgQS4gUC48L2F1dGhv
cj48YXV0aG9yPkFzdHJ1cCwgQS48L2F1dGhvcj48YXV0aG9yPkJvZ2FlcnRzLCBBLjwvYXV0aG9y
PjxhdXRob3I+Q2VjYXR0aSwgSi4gRy48L2F1dGhvcj48YXV0aG9yPkRvZGQsIEouIE0uPC9hdXRo
b3I+PGF1dGhvcj5GYWNjaGluZXR0aSwgRi48L2F1dGhvcj48YXV0aG9yPkdlaWtlciwgTi4gUi4g
Vy48L2F1dGhvcj48YXV0aG9yPkhhYWtzdGFkLCBMLiBBLiBILjwvYXV0aG9yPjxhdXRob3I+SGF1
bmVyLCBILjwvYXV0aG9yPjxhdXRob3I+SmVuc2VuLCBELiBNLjwvYXV0aG9yPjxhdXRob3I+S2lu
bnVuZW4sIFQuIEkuPC9hdXRob3I+PGF1dGhvcj5Nb2wsIEIuIFcuIEouPC9hdXRob3I+PGF1dGhv
cj5Pd2VucywgSi48L2F1dGhvcj48YXV0aG9yPlBoZWxhbiwgUy48L2F1dGhvcj48YXV0aG9yPlJl
bmF1bHQsIEsuIE0uPC9hdXRob3I+PGF1dGhvcj5TYWx2ZXNlbiwgSy4gQS48L2F1dGhvcj48YXV0
aG9yPlNodWIsIEEuPC9hdXRob3I+PGF1dGhvcj5TdXJpdGEsIEYuIEcuPC9hdXRob3I+PGF1dGhv
cj5TdGFmbmUsIFMuIE4uPC9hdXRob3I+PGF1dGhvcj5UZWVkZSwgSC48L2F1dGhvcj48YXV0aG9y
PnZhbiBQb3BwZWwsIE0uIE4uIE0uPC9hdXRob3I+PGF1dGhvcj5WaW50ZXIsIEMuIEEuPC9hdXRo
b3I+PGF1dGhvcj5LaGFuLCBLLiBTLjwvYXV0aG9yPjxhdXRob3I+VGhhbmdhcmF0aW5hbSwgUy48
L2F1dGhvcj48YXV0aG9yPkludGVybmF0aW9uYWwgV2VpZ2h0IE1hbmFnZW1lbnQgaW4gUHJlZ25h
bmN5IENvbGxhYm9yYXRpdmUsIEdyb3VwPC9hdXRob3I+PC9hdXRob3JzPjwvY29udHJpYnV0b3Jz
PjxhdXRoLWFkZHJlc3M+TWV0YS1BbmFseXNpcyBHcm91cCwgTVJDIENsaW5pY2FsIFRyaWFscyBV
bml0IGF0IFVDTCwgSW5zdGl0dXRlIG9mIENsaW5pY2FsIFRyaWFscyAmYW1wOyBNZXRob2RvbG9n
eSwgOTAgSGlnaCBIb2xib3JuLCAybmQgRmxvb3IsIExvbmRvbiwgV0MxViA2TEosIFVLLiBlLnJv
Z296aW5za2FAdWNsLmFjLnVrLiYjeEQ7V29tZW4mYXBvcztzIEhlYWx0aCBSZXNlYXJjaCBVbml0
LCBCYXJ0cyBhbmQgdGhlIExvbmRvbiBTY2hvb2wgb2YgTWVkaWNpbmUgYW5kIERlbnRpc3RyeSwg
UXVlZW4gTWFyeSBVbml2ZXJzaXR5IG9mIExvbmRvbiwgTG9uZG9uLCBVSy4gZS5yb2dvemluc2th
QHVjbC5hYy51ay4mI3hEO1dvbWVuJmFwb3M7cyBIZWFsdGggUmVzZWFyY2ggVW5pdCwgQmFydHMg
YW5kIHRoZSBMb25kb24gU2Nob29sIG9mIE1lZGljaW5lIGFuZCBEZW50aXN0cnksIFF1ZWVuIE1h
cnkgVW5pdmVyc2l0eSBvZiBMb25kb24sIExvbmRvbiwgVUsuJiN4RDtDbGluaWNhbCBCaW9zdGF0
aXN0aWNzIFVuaXQsIEhvc3BpdGFsIFJhbW9uIHkgQ2FqYWwgKElSWUNJUykgQ0lCRVIgRXBpZGVt
aW9sb2d5IGFuZCBQdWJsaWMgSGVhbHRoLCBNYWRyaWQsIFNwYWluLiYjeEQ7UHJhZ21hdGljIENs
aW5pY2FsIFRyaWFscyBVbml0LCBCYXJ0cyBhbmQgdGhlIExvbmRvbiBTY2hvb2wgb2YgTWVkaWNp
bmUgYW5kIERlbnRpc3RyeSwgUXVlZW4gTWFyeSBVbml2ZXJzaXR5IG9mIExvbmRvbiwgTG9uZG9u
LCBVSy4mI3hEO0RlcGFydG1lbnQgb2YgUmVwcm9kdWN0aXZlIEhlYWx0aCBhbmQgUmVzZWFyY2gs
IFdvcmxkIEhlYWx0aCBPcmdhbml6YXRpb24sIEF2ZW51ZSBBcHBpYSAyMCwgMTIxMSwgR2VuZXZh
LCBTd2l0emVybGFuZC4mI3hEO0RlcGFydG1lbnQgb2YgTnV0cml0aW9uLCBFeGVyY2lzZSBhbmQg
U3BvcnRzLCBVbml2ZXJzaXR5IG9mIENvcGVuaGFnZW4sIE5vcnJlIEFsbGUgNTEsIERLLTIyMDAs
IENvcGVuaGFnZW4sIERlbm1hcmsuJiN4RDtEZXBhcnRtZW50IG9mIERldmVsb3BtZW50IGFuZCBS
ZWdlbmVyYXRpb24sIEtVIExldXZlbiwgSGVyZXN0cmFhdCA0OSAtIEJveCA4MDUsIEItMzAwMCwg
TGV1dmVuLCBCZWxnaXVtLiYjeEQ7RmFjdWx0eSBvZiBNZWRpY2luZSBhbmQgSGVhbHRoIFNjaWVu
Y2VzLCBDZW50cmUgZm9yIFJlc2VhcmNoIGFuZCBJbm5vdmF0aW9uIGluIENhcmUgKENSSUMpLCBV
bml2ZXJzaXR5IG9mIEFudHdlcnAsIEFudHdlcnAsIEJlbGdpdW0uJiN4RDtSdWEgVGVzc2FsaWEg
VmllaXJhIGRlIENhbWFyZ28sIDEyNiBDaWRhZGUgVW5pdmVyc2l0YXJpYSBaZWZlcmlubyBWYXos
IFNhbyBQYXVsbywgQ2FtcGluYXMsIENFUCwgMTMwODMtODg3LCBCcmF6aWwuJiN4RDtEZXBhcnRt
ZW50IG9mIE9ic3RldHJpY3MgYW5kIEd5bmVjb2xvZ3ksIFNjaG9vbCBvZiBNZWRpY2FsIFNjaWVu
Y2VzLCBVbml2ZXJzaXR5IG9mIENhbXBpbmFzLCBDYW1waW5hcywgQnJhemlsLiYjeEQ7V29tZW4m
YXBvcztzIGFuZCBDaGlsZHJlbiZhcG9zO3MgSG9zcGl0YWwsIFdvbWVuJmFwb3M7cyBhbmQgQ2hp
bGRyZW4mYXBvcztzIEhlYWx0aCBOZXR3b3JrLCBXb21lbiZhcG9zO3MgYW5kIEJhYmllcyBEaXZp
c2lvbiwgNzIgS2luZyBXaWxsaWFtIFN0LCBOb3J0aCBBZGVsYWlkZSwgU0EsIDUwMDYsIEF1c3Ry
YWxpYS4mI3hEO1RoZSBSb2JpbnNvbiBSZXNlYXJjaCBJbnN0aXR1dGUsIFNjaG9vbCBvZiBNZWRp
Y2luZSwgRGVwYXJ0bWVudCBvZiBPYnN0ZXRyaWNzIGFuZCBHeW5hZWNvbG9neSwgVW5pdmVyc2l0
eSBvZiBBZGVsYWlkZSwgTm9yd2ljaCBDZW50cmUsIDU1IEtpbmcgV2lsbGlhbSBTdCwgTm9ydGgg
QWRlbGFpZGUsIFNBLCA1MDA2LCBBdXN0cmFsaWEuJiN4RDtPYnN0ZXRyaWNzIGFuZCBHeW5lY29s
b2d5IFVuaXQsIE1vdGhlciBJbmZhbnQgRGVwYXJ0bWVudCwgVW5pdmVyc2l0eSBvZiBNb2RlbmEg
YW5kIFJlZ2dpbyBFbWlsaWEsIGxhcmdvIGRlbCBQb3p6byA3MSwgNDExMjQsIE1vZGVuYSwgSXRh
bHkuJiN4RDtDbGluaWNhbCBOdXRyaXRpb24gUmVzZWFyY2ggVW5pdCwgQ29wZW5oYWdlbiBVbml2
ZXJzaXR5IEhvc3BpdGFsIEdlbnRvZnRlLCBLaWxkZWdhcmRzdmVqIDI4LCBESy0yOTAwIEhlbGxl
cnVwLCBDb3BlbmhhZ2VuLCBEZW5tYXJrLiYjeEQ7RGVwYXJ0bWVudCBvZiBTcG9ydHMgTWVkaWNp
bmUsIE5vcndlZ2lhbiBTY2hvb2wgb2YgU3BvcnRzIFNjaWVuY2VzLCBTb2duc3ZlaWVuIDIyMCwg
MDg2MywgT3NsbywgTm9yd2F5LiYjeEQ7RWxzZSBLcm9uZXItRnJlc2VuaXVzLVplbnRydW0gZnVy
IEVybmFocnVuZ3NtZWRpemluLCBLbGluaWt1bSByZWNodHMgZGVyIElzYXIsIFRlY2huaWNhbCBV
bml2ZXJzaXR5IG9mIE11bmljaCwgR2VvcmctQnJhdWNobGUtUmluZyA2MiwgODA5OTIsIE11bmlj
aCwgR2VybWFueS4mI3hEO1N0ZW5vIERpYWJldGVzIENlbnRlciBPZGVuc2UgYW5kIERlcGFydG1l
bnQgb2YgR3luYWVjb2xvZ3kgYW5kIE9ic3RldHJpY3MsIE9kZW5zZSBVbml2ZXJzaXR5IEhvc3Bp
dGFsLCBVbml2ZXJzaXR5IG9mIFNvdXRoZXJuIERlbm1hcmssIEtsb3ZlcnZhZW5nZXQgNi80LCA1
MDAwLCBPZGVuc2UsIERlbm1hcmsuJiN4RDtEZXBhcnRtZW50IG9mIENsaW5pY2FsIFJlc2VhcmNo
LCBGYWN1bHR5IG9mIEhlYWx0aCBTY2llbmNlcywgVW5pdmVyc2l0eSBvZiBTb3V0aGVybiBEZW5t
YXJrLCBPZGVuc2UsIERlbm1hcmsuJiN4RDtVbml0IG9mIEhlYWx0aCBTY2llbmNlcywgRmFjdWx0
eSBvZiBTb2NpYWwgU2NpZW5jZXMsIFVuaXZlcnNpdHkgb2YgVGFtcGVyZSwgMzMwMTQsIFRhbXBl
cmUsIEZpbmxhbmQuJiN4RDtEZXBhcnRtZW50IG9mIE9ic3RldHJpY3MgYW5kIEd5bmFlY29sb2d5
LCBOdXJzaW5nIGFuZCBIZWFsdGggU2NpZW5jZXMsIE1vbmFzaCBVbml2ZXJzaXR5LCBNZWxib3Vy
bmUsIFZpY3RvcmlhLCAzODAwLCBBdXN0cmFsaWEuJiN4RDtEZXB1dHkgVmljZS1DaGFuY2VsbG9y
IFJlc2VhcmNoIE9mZmljZSwgRGVha2luIFVuaXZlcnNpdHksIEdlZWxvbmcsIEF1c3RyYWxpYS4m
I3hEO0tpbmVzaW9sb2d5IERlcGFydG1lbnQsIENhbGlmb3JuaWEgUG9seXRlY2huaWMgU3RhdGUg
VW5pdmVyc2l0eSwgMSBHcmFuZCBBdmVudWUsIFNhbiBMdWlzIE9iaXNwbywgQ0EsIDkzNDA3LCBV
U0EuJiN4RDtEZXBhcnRtZW50IG9mIE9ic3RldHJpY3MgYW5kIEd5bmFlY29sb2d5LCBDb3Blbmhh
Z2VuIFVuaXZlcnNpdHkgSG9zcGl0YWwgSHZpZG92cmUsIEtldHRlZ2FyZCBBbGxlIDMwLCAyNjUw
LCBIdmlkb3ZyZSwgRGVubWFyay4mI3hEO09ic3RldHJpYyBDbGluaWMsIEpNQywgQ29wZW5oYWdl
biBVbml2ZXJzaXR5IEhvc3BpdGFsIFJpZ3Nob3NwaXRhbGV0LCBDb3BlbmhhZ2VuLCBEZW5tYXJr
LiYjeEQ7RGVwYXJ0bWVudCBvZiBMYWJvcmF0b3J5IE1lZGljaW5lIENoaWxkcmVuJmFwb3M7cyBh
bmQgV29tZW4mYXBvcztzIEhlYWx0aCwgRmFjdWx0eSBvZiBNZWRpY2luZSwgTm9yd2VnaWFuIFVu
aXZlcnNpdHkgb2YgU2NpZW5jZSBhbmQgVGVjaG5vbG9neSwgT2xhdiBLeXJyZXMgZ2F0ZSAxMSwg
NzAwNiwgVHJvbmRoZWltLCBOb3J3YXkuJiN4RDtEZXBhcnRtZW50IG9mIE9ic3RldHJpY3MgYW5k
IEd5bmFlY29sb2d5LCBTdC4gT2xhdnMgSG9zcGl0YWwsIFRyb25kaGVpbSBVbml2ZXJzaXR5IEhv
c3BpdGFsLCBUcm9uZGhlaW0sIE5vcndheS4mI3hEO0RlcGFydG1lbnQgb2YgT2JzdGV0cmljcyBh
bmQgR3luYWVjb2xvZ3ksIFVuaXZlcnNpdHkgb2YgTWVsYm91cm5lLCBNZWxib3VybmUsIFZpY3Rv
cmlhLCAzMDEwLCBBdXN0cmFsaWEuJiN4RDtEZXBhcnRtZW50IG9mIFBlcmluYXRhbCBNZWRpY2lu
ZSwgTWVyY3kgSG9zcGl0YWwgZm9yIFdvbWVuLCBQb3N0Ym9rcyA4OTA1LCBOLTc0OTEsIFRyb25k
aGVpbSwgTm9yd2F5LiYjeEQ7RGVwYXJ0bWVudCBvZiBQdWJsaWMgSGVhbHRoIGFuZCBOdXJzaW5n
LCBGYWN1bHR5IG9mIE1lZGljaW5lIGFuZCBIZWFsdGggU2NpZW5jZXMsIE5vcndlZ2lhbiBVbml2
ZXJzaXR5IG9mIFNjaWVuY2UgYW5kIFRlY2hub2xvZ3ksIFRyb25kaGVpbSwgTm9yd2F5LiYjeEQ7
RGVwYXJ0bWVudCBvZiBDbGluaWNhbCBTZXJ2aWNlLCBTdC4gT2xhdnMgSG9zcGl0YWwsIFRyb25k
aGVpbSBVbml2ZXJzaXR5IEhvc3BpdGFsLCBUcm9uZGhlaW0sIE5vcndheS4mI3hEO01vbmFzaCBD
ZW50cmUgZm9yIEhlYWx0aCBSZXNlYXJjaCBhbmQgSW1wbGVtZW50YXRpb24sIFNjaG9vbCBvZiBQ
dWJsaWMgSGVhbHRoLCBNb25hc2ggVW5pdmVyc2l0eSBhbmQgTW9uYXNoIEhlYWx0aCwgMjQ2IENs
YXl0b24gUmQsIENsYXl0b24sIFZJQywgMzEyNCwgQXVzdHJhbGlhLiYjeEQ7SW5zdGl0dXRlIG9m
IFNwb3J0cyBTY2llbmNlLCBVbml2ZXJzaXR5IG9mIEdyYXosIE1vemFydGdhc3NlIDE0LCwgODAx
MCwgR3JheiwgQXVzdHJpYS4mI3hEO0RlcGFydG1lbnQgb2YgUHVibGljIGFuZCBPY2N1cGF0aW9u
YWwgSGVhbHRoLCBFTUdPIEluc3RpdHV0ZSBmb3IgSGVhbHRoIGFuZCBDYXJlIFJlc2VhcmNoLCBW
VSBVbml2ZXJzaXR5IE1lZGljYWwgQ2VudGVyLCBBbXN0ZXJkYW0sIE5ldGhlcmxhbmRzLiYjeEQ7
RGVwYXJ0bWVudCBvZiBHeW5hZWNvbG9neSBhbmQgT2JzdGV0cmljcywgT2RlbnNlIFVuaXZlcnNp
dHkgSG9zcGl0YWwsIFVuaXZlcnNpdHkgb2YgU291dGhlcm4gRGVubWFyaywgU2RyLiBCb3VsZXZh
cmQgMjksIERLLTUwMDAsIE9kZW5zZSwgRGVubWFyay4mI3hEO011bHRpZGlzY2lwbGluYXJ5IEV2
aWRlbmNlIFN5bnRoZXNpcyBIdWIsIEJhcnRzIGFuZCB0aGUgTG9uZG9uIFNjaG9vbCBvZiBNZWRp
Y2luZSBhbmQgRGVudGlzdHJ5LCBRdWVlbiBNYXJ5IFVuaXZlcnNpdHkgb2YgTG9uZG9uLCBMb25k
b24sIFVLLjwvYXV0aC1hZGRyZXNzPjx0aXRsZXM+PHRpdGxlPkdlc3RhdGlvbmFsIHdlaWdodCBn
YWluIG91dHNpZGUgdGhlIEluc3RpdHV0ZSBvZiBNZWRpY2luZSByZWNvbW1lbmRhdGlvbnMgYW5k
IGFkdmVyc2UgcHJlZ25hbmN5IG91dGNvbWVzOiBhbmFseXNpcyB1c2luZyBpbmRpdmlkdWFsIHBh
cnRpY2lwYW50IGRhdGEgZnJvbSByYW5kb21pc2VkIHRyaWFsczwvdGl0bGU+PHNlY29uZGFyeS10
aXRsZT5CTUMgUHJlZ25hbmN5IENoaWxkYmlydGg8L3NlY29uZGFyeS10aXRsZT48L3RpdGxlcz48
cGVyaW9kaWNhbD48ZnVsbC10aXRsZT5CTUMgUHJlZ25hbmN5IENoaWxkYmlydGg8L2Z1bGwtdGl0
bGU+PC9wZXJpb2RpY2FsPjxwYWdlcz4zMjI8L3BhZ2VzPjx2b2x1bWU+MTk8L3ZvbHVtZT48bnVt
YmVyPjE8L251bWJlcj48ZWRpdGlvbj4yMDE5LzA5LzA0PC9lZGl0aW9uPjxrZXl3b3Jkcz48a2V5
d29yZD5DZXNhcmVhbiBTZWN0aW9uLypzdGF0aXN0aWNzICZhbXA7IG51bWVyaWNhbCBkYXRhPC9r
ZXl3b3JkPjxrZXl3b3JkPkZlbWFsZTwva2V5d29yZD48a2V5d29yZD5GZXRhbCBHcm93dGggUmV0
YXJkYXRpb24vKmVwaWRlbWlvbG9neTwva2V5d29yZD48a2V5d29yZD5GZXRhbCBNYWNyb3NvbWlh
LyplcGlkZW1pb2xvZ3k8L2tleXdvcmQ+PGtleXdvcmQ+Kkdlc3RhdGlvbmFsIFdlaWdodCBHYWlu
PC9rZXl3b3JkPjxrZXl3b3JkPkd1aWRlbGluZXMgYXMgVG9waWM8L2tleXdvcmQ+PGtleXdvcmQ+
SHVtYW5zPC9rZXl3b3JkPjxrZXl3b3JkPkluZmFudCwgTmV3Ym9ybjwva2V5d29yZD48a2V5d29y
ZD5JbmZhbnQsIFNtYWxsIGZvciBHZXN0YXRpb25hbCBBZ2U8L2tleXdvcmQ+PGtleXdvcmQ+TmF0
aW9uYWwgQWNhZGVtaWVzIG9mIFNjaWVuY2UsIEVuZ2luZWVyaW5nLCBhbmQgTWVkaWNpbmUsIFUu
Uy4sIEhlYWx0aCBhbmQ8L2tleXdvcmQ+PGtleXdvcmQ+TWVkaWNpbmUgRGl2aXNpb248L2tleXdv
cmQ+PGtleXdvcmQ+T2Jlc2l0eSwgTWF0ZXJuYWwvKmVwaWRlbWlvbG9neTwva2V5d29yZD48a2V5
d29yZD5PZGRzIFJhdGlvPC9rZXl3b3JkPjxrZXl3b3JkPlByZWduYW5jeTwva2V5d29yZD48a2V5
d29yZD5QcmVnbmFuY3kgT3V0Y29tZS8qZXBpZGVtaW9sb2d5PC9rZXl3b3JkPjxrZXl3b3JkPlBy
ZW1hdHVyZSBCaXJ0aC8qZXBpZGVtaW9sb2d5PC9rZXl3b3JkPjxrZXl3b3JkPlJhbmRvbWl6ZWQg
Q29udHJvbGxlZCBUcmlhbHMgYXMgVG9waWM8L2tleXdvcmQ+PGtleXdvcmQ+VW5pdGVkIFN0YXRl
czwva2V5d29yZD48a2V5d29yZD5Cb2R5IG1hc3MgaW5kZXg8L2tleXdvcmQ+PGtleXdvcmQ+R2Vz
dGF0aW9uYWwgd2VpZ2h0IGdhaW48L2tleXdvcmQ+PGtleXdvcmQ+SW5kaXZpZHVhbCBwYXJ0aWNp
cGFudCBkYXRhPC9rZXl3b3JkPjxrZXl3b3JkPkluc3RpdHV0ZSBvZiBNZWRpY2luZTwva2V5d29y
ZD48L2tleXdvcmRzPjxkYXRlcz48eWVhcj4yMDE5PC95ZWFyPjxwdWItZGF0ZXM+PGRhdGU+U2Vw
IDI8L2RhdGU+PC9wdWItZGF0ZXM+PC9kYXRlcz48aXNibj4xNDcxLTIzOTMgKEVsZWN0cm9uaWMp
JiN4RDsxNDcxLTIzOTMgKExpbmtpbmcpPC9pc2JuPjxhY2Nlc3Npb24tbnVtPjMxNDc3MDc1PC9h
Y2Nlc3Npb24tbnVtPjx1cmxzPjxyZWxhdGVkLXVybHM+PHVybD5odHRwczovL3d3dy5uY2JpLm5s
bS5uaWguZ292L3B1Ym1lZC8zMTQ3NzA3NTwvdXJsPjwvcmVsYXRlZC11cmxzPjwvdXJscz48Y3Vz
dG9tMj5QTUM2NzE5MzgyPC9jdXN0b20yPjxlbGVjdHJvbmljLXJlc291cmNlLW51bT4xMC4xMTg2
L3MxMjg4NC0wMTktMjQ3Mi03PC9lbGVjdHJvbmljLXJlc291cmNlLW51bT48L3JlY29yZD48L0Np
dGU+PC9FbmROb3RlPgB=
</w:fldData>
        </w:fldChar>
      </w:r>
      <w:r w:rsidR="001A2F28">
        <w:rPr>
          <w:shd w:val="clear" w:color="auto" w:fill="FFFFFF"/>
        </w:rPr>
        <w:instrText xml:space="preserve"> ADDIN EN.CITE </w:instrText>
      </w:r>
      <w:r w:rsidR="001A2F28">
        <w:rPr>
          <w:shd w:val="clear" w:color="auto" w:fill="FFFFFF"/>
        </w:rPr>
        <w:fldChar w:fldCharType="begin">
          <w:fldData xml:space="preserve">PEVuZE5vdGU+PENpdGU+PEF1dGhvcj5Sb2dvemluc2thPC9BdXRob3I+PFllYXI+MjAxOTwvWWVh
cj48UmVjTnVtPjE4MzA8L1JlY051bT48RGlzcGxheVRleHQ+PHN0eWxlIGZhY2U9InN1cGVyc2Ny
aXB0IiBmb250PSJUcmVidWNoZXQgTVMiIHNpemU9IjkiPjM2NDwvc3R5bGU+PC9EaXNwbGF5VGV4
dD48cmVjb3JkPjxyZWMtbnVtYmVyPjE4MzA8L3JlYy1udW1iZXI+PGZvcmVpZ24ta2V5cz48a2V5
IGFwcD0iRU4iIGRiLWlkPSJleHZhc3JmeDJkdHJhb2VzYXN4cDJzenN4YTJkZjUwMjU5MngiIHRp
bWVzdGFtcD0iMTU4NTYzMjUwMSI+MTgzMDwva2V5PjwvZm9yZWlnbi1rZXlzPjxyZWYtdHlwZSBu
YW1lPSJKb3VybmFsIEFydGljbGUiPjE3PC9yZWYtdHlwZT48Y29udHJpYnV0b3JzPjxhdXRob3Jz
PjxhdXRob3I+Um9nb3ppbnNrYSwgRS48L2F1dGhvcj48YXV0aG9yPlphbW9yYSwgSi48L2F1dGhv
cj48YXV0aG9yPk1hcmxpbiwgTi48L2F1dGhvcj48YXV0aG9yPkJldHJhbiwgQS4gUC48L2F1dGhv
cj48YXV0aG9yPkFzdHJ1cCwgQS48L2F1dGhvcj48YXV0aG9yPkJvZ2FlcnRzLCBBLjwvYXV0aG9y
PjxhdXRob3I+Q2VjYXR0aSwgSi4gRy48L2F1dGhvcj48YXV0aG9yPkRvZGQsIEouIE0uPC9hdXRo
b3I+PGF1dGhvcj5GYWNjaGluZXR0aSwgRi48L2F1dGhvcj48YXV0aG9yPkdlaWtlciwgTi4gUi4g
Vy48L2F1dGhvcj48YXV0aG9yPkhhYWtzdGFkLCBMLiBBLiBILjwvYXV0aG9yPjxhdXRob3I+SGF1
bmVyLCBILjwvYXV0aG9yPjxhdXRob3I+SmVuc2VuLCBELiBNLjwvYXV0aG9yPjxhdXRob3I+S2lu
bnVuZW4sIFQuIEkuPC9hdXRob3I+PGF1dGhvcj5Nb2wsIEIuIFcuIEouPC9hdXRob3I+PGF1dGhv
cj5Pd2VucywgSi48L2F1dGhvcj48YXV0aG9yPlBoZWxhbiwgUy48L2F1dGhvcj48YXV0aG9yPlJl
bmF1bHQsIEsuIE0uPC9hdXRob3I+PGF1dGhvcj5TYWx2ZXNlbiwgSy4gQS48L2F1dGhvcj48YXV0
aG9yPlNodWIsIEEuPC9hdXRob3I+PGF1dGhvcj5TdXJpdGEsIEYuIEcuPC9hdXRob3I+PGF1dGhv
cj5TdGFmbmUsIFMuIE4uPC9hdXRob3I+PGF1dGhvcj5UZWVkZSwgSC48L2F1dGhvcj48YXV0aG9y
PnZhbiBQb3BwZWwsIE0uIE4uIE0uPC9hdXRob3I+PGF1dGhvcj5WaW50ZXIsIEMuIEEuPC9hdXRo
b3I+PGF1dGhvcj5LaGFuLCBLLiBTLjwvYXV0aG9yPjxhdXRob3I+VGhhbmdhcmF0aW5hbSwgUy48
L2F1dGhvcj48YXV0aG9yPkludGVybmF0aW9uYWwgV2VpZ2h0IE1hbmFnZW1lbnQgaW4gUHJlZ25h
bmN5IENvbGxhYm9yYXRpdmUsIEdyb3VwPC9hdXRob3I+PC9hdXRob3JzPjwvY29udHJpYnV0b3Jz
PjxhdXRoLWFkZHJlc3M+TWV0YS1BbmFseXNpcyBHcm91cCwgTVJDIENsaW5pY2FsIFRyaWFscyBV
bml0IGF0IFVDTCwgSW5zdGl0dXRlIG9mIENsaW5pY2FsIFRyaWFscyAmYW1wOyBNZXRob2RvbG9n
eSwgOTAgSGlnaCBIb2xib3JuLCAybmQgRmxvb3IsIExvbmRvbiwgV0MxViA2TEosIFVLLiBlLnJv
Z296aW5za2FAdWNsLmFjLnVrLiYjeEQ7V29tZW4mYXBvcztzIEhlYWx0aCBSZXNlYXJjaCBVbml0
LCBCYXJ0cyBhbmQgdGhlIExvbmRvbiBTY2hvb2wgb2YgTWVkaWNpbmUgYW5kIERlbnRpc3RyeSwg
UXVlZW4gTWFyeSBVbml2ZXJzaXR5IG9mIExvbmRvbiwgTG9uZG9uLCBVSy4gZS5yb2dvemluc2th
QHVjbC5hYy51ay4mI3hEO1dvbWVuJmFwb3M7cyBIZWFsdGggUmVzZWFyY2ggVW5pdCwgQmFydHMg
YW5kIHRoZSBMb25kb24gU2Nob29sIG9mIE1lZGljaW5lIGFuZCBEZW50aXN0cnksIFF1ZWVuIE1h
cnkgVW5pdmVyc2l0eSBvZiBMb25kb24sIExvbmRvbiwgVUsuJiN4RDtDbGluaWNhbCBCaW9zdGF0
aXN0aWNzIFVuaXQsIEhvc3BpdGFsIFJhbW9uIHkgQ2FqYWwgKElSWUNJUykgQ0lCRVIgRXBpZGVt
aW9sb2d5IGFuZCBQdWJsaWMgSGVhbHRoLCBNYWRyaWQsIFNwYWluLiYjeEQ7UHJhZ21hdGljIENs
aW5pY2FsIFRyaWFscyBVbml0LCBCYXJ0cyBhbmQgdGhlIExvbmRvbiBTY2hvb2wgb2YgTWVkaWNp
bmUgYW5kIERlbnRpc3RyeSwgUXVlZW4gTWFyeSBVbml2ZXJzaXR5IG9mIExvbmRvbiwgTG9uZG9u
LCBVSy4mI3hEO0RlcGFydG1lbnQgb2YgUmVwcm9kdWN0aXZlIEhlYWx0aCBhbmQgUmVzZWFyY2gs
IFdvcmxkIEhlYWx0aCBPcmdhbml6YXRpb24sIEF2ZW51ZSBBcHBpYSAyMCwgMTIxMSwgR2VuZXZh
LCBTd2l0emVybGFuZC4mI3hEO0RlcGFydG1lbnQgb2YgTnV0cml0aW9uLCBFeGVyY2lzZSBhbmQg
U3BvcnRzLCBVbml2ZXJzaXR5IG9mIENvcGVuaGFnZW4sIE5vcnJlIEFsbGUgNTEsIERLLTIyMDAs
IENvcGVuaGFnZW4sIERlbm1hcmsuJiN4RDtEZXBhcnRtZW50IG9mIERldmVsb3BtZW50IGFuZCBS
ZWdlbmVyYXRpb24sIEtVIExldXZlbiwgSGVyZXN0cmFhdCA0OSAtIEJveCA4MDUsIEItMzAwMCwg
TGV1dmVuLCBCZWxnaXVtLiYjeEQ7RmFjdWx0eSBvZiBNZWRpY2luZSBhbmQgSGVhbHRoIFNjaWVu
Y2VzLCBDZW50cmUgZm9yIFJlc2VhcmNoIGFuZCBJbm5vdmF0aW9uIGluIENhcmUgKENSSUMpLCBV
bml2ZXJzaXR5IG9mIEFudHdlcnAsIEFudHdlcnAsIEJlbGdpdW0uJiN4RDtSdWEgVGVzc2FsaWEg
VmllaXJhIGRlIENhbWFyZ28sIDEyNiBDaWRhZGUgVW5pdmVyc2l0YXJpYSBaZWZlcmlubyBWYXos
IFNhbyBQYXVsbywgQ2FtcGluYXMsIENFUCwgMTMwODMtODg3LCBCcmF6aWwuJiN4RDtEZXBhcnRt
ZW50IG9mIE9ic3RldHJpY3MgYW5kIEd5bmVjb2xvZ3ksIFNjaG9vbCBvZiBNZWRpY2FsIFNjaWVu
Y2VzLCBVbml2ZXJzaXR5IG9mIENhbXBpbmFzLCBDYW1waW5hcywgQnJhemlsLiYjeEQ7V29tZW4m
YXBvcztzIGFuZCBDaGlsZHJlbiZhcG9zO3MgSG9zcGl0YWwsIFdvbWVuJmFwb3M7cyBhbmQgQ2hp
bGRyZW4mYXBvcztzIEhlYWx0aCBOZXR3b3JrLCBXb21lbiZhcG9zO3MgYW5kIEJhYmllcyBEaXZp
c2lvbiwgNzIgS2luZyBXaWxsaWFtIFN0LCBOb3J0aCBBZGVsYWlkZSwgU0EsIDUwMDYsIEF1c3Ry
YWxpYS4mI3hEO1RoZSBSb2JpbnNvbiBSZXNlYXJjaCBJbnN0aXR1dGUsIFNjaG9vbCBvZiBNZWRp
Y2luZSwgRGVwYXJ0bWVudCBvZiBPYnN0ZXRyaWNzIGFuZCBHeW5hZWNvbG9neSwgVW5pdmVyc2l0
eSBvZiBBZGVsYWlkZSwgTm9yd2ljaCBDZW50cmUsIDU1IEtpbmcgV2lsbGlhbSBTdCwgTm9ydGgg
QWRlbGFpZGUsIFNBLCA1MDA2LCBBdXN0cmFsaWEuJiN4RDtPYnN0ZXRyaWNzIGFuZCBHeW5lY29s
b2d5IFVuaXQsIE1vdGhlciBJbmZhbnQgRGVwYXJ0bWVudCwgVW5pdmVyc2l0eSBvZiBNb2RlbmEg
YW5kIFJlZ2dpbyBFbWlsaWEsIGxhcmdvIGRlbCBQb3p6byA3MSwgNDExMjQsIE1vZGVuYSwgSXRh
bHkuJiN4RDtDbGluaWNhbCBOdXRyaXRpb24gUmVzZWFyY2ggVW5pdCwgQ29wZW5oYWdlbiBVbml2
ZXJzaXR5IEhvc3BpdGFsIEdlbnRvZnRlLCBLaWxkZWdhcmRzdmVqIDI4LCBESy0yOTAwIEhlbGxl
cnVwLCBDb3BlbmhhZ2VuLCBEZW5tYXJrLiYjeEQ7RGVwYXJ0bWVudCBvZiBTcG9ydHMgTWVkaWNp
bmUsIE5vcndlZ2lhbiBTY2hvb2wgb2YgU3BvcnRzIFNjaWVuY2VzLCBTb2duc3ZlaWVuIDIyMCwg
MDg2MywgT3NsbywgTm9yd2F5LiYjeEQ7RWxzZSBLcm9uZXItRnJlc2VuaXVzLVplbnRydW0gZnVy
IEVybmFocnVuZ3NtZWRpemluLCBLbGluaWt1bSByZWNodHMgZGVyIElzYXIsIFRlY2huaWNhbCBV
bml2ZXJzaXR5IG9mIE11bmljaCwgR2VvcmctQnJhdWNobGUtUmluZyA2MiwgODA5OTIsIE11bmlj
aCwgR2VybWFueS4mI3hEO1N0ZW5vIERpYWJldGVzIENlbnRlciBPZGVuc2UgYW5kIERlcGFydG1l
bnQgb2YgR3luYWVjb2xvZ3kgYW5kIE9ic3RldHJpY3MsIE9kZW5zZSBVbml2ZXJzaXR5IEhvc3Bp
dGFsLCBVbml2ZXJzaXR5IG9mIFNvdXRoZXJuIERlbm1hcmssIEtsb3ZlcnZhZW5nZXQgNi80LCA1
MDAwLCBPZGVuc2UsIERlbm1hcmsuJiN4RDtEZXBhcnRtZW50IG9mIENsaW5pY2FsIFJlc2VhcmNo
LCBGYWN1bHR5IG9mIEhlYWx0aCBTY2llbmNlcywgVW5pdmVyc2l0eSBvZiBTb3V0aGVybiBEZW5t
YXJrLCBPZGVuc2UsIERlbm1hcmsuJiN4RDtVbml0IG9mIEhlYWx0aCBTY2llbmNlcywgRmFjdWx0
eSBvZiBTb2NpYWwgU2NpZW5jZXMsIFVuaXZlcnNpdHkgb2YgVGFtcGVyZSwgMzMwMTQsIFRhbXBl
cmUsIEZpbmxhbmQuJiN4RDtEZXBhcnRtZW50IG9mIE9ic3RldHJpY3MgYW5kIEd5bmFlY29sb2d5
LCBOdXJzaW5nIGFuZCBIZWFsdGggU2NpZW5jZXMsIE1vbmFzaCBVbml2ZXJzaXR5LCBNZWxib3Vy
bmUsIFZpY3RvcmlhLCAzODAwLCBBdXN0cmFsaWEuJiN4RDtEZXB1dHkgVmljZS1DaGFuY2VsbG9y
IFJlc2VhcmNoIE9mZmljZSwgRGVha2luIFVuaXZlcnNpdHksIEdlZWxvbmcsIEF1c3RyYWxpYS4m
I3hEO0tpbmVzaW9sb2d5IERlcGFydG1lbnQsIENhbGlmb3JuaWEgUG9seXRlY2huaWMgU3RhdGUg
VW5pdmVyc2l0eSwgMSBHcmFuZCBBdmVudWUsIFNhbiBMdWlzIE9iaXNwbywgQ0EsIDkzNDA3LCBV
U0EuJiN4RDtEZXBhcnRtZW50IG9mIE9ic3RldHJpY3MgYW5kIEd5bmFlY29sb2d5LCBDb3Blbmhh
Z2VuIFVuaXZlcnNpdHkgSG9zcGl0YWwgSHZpZG92cmUsIEtldHRlZ2FyZCBBbGxlIDMwLCAyNjUw
LCBIdmlkb3ZyZSwgRGVubWFyay4mI3hEO09ic3RldHJpYyBDbGluaWMsIEpNQywgQ29wZW5oYWdl
biBVbml2ZXJzaXR5IEhvc3BpdGFsIFJpZ3Nob3NwaXRhbGV0LCBDb3BlbmhhZ2VuLCBEZW5tYXJr
LiYjeEQ7RGVwYXJ0bWVudCBvZiBMYWJvcmF0b3J5IE1lZGljaW5lIENoaWxkcmVuJmFwb3M7cyBh
bmQgV29tZW4mYXBvcztzIEhlYWx0aCwgRmFjdWx0eSBvZiBNZWRpY2luZSwgTm9yd2VnaWFuIFVu
aXZlcnNpdHkgb2YgU2NpZW5jZSBhbmQgVGVjaG5vbG9neSwgT2xhdiBLeXJyZXMgZ2F0ZSAxMSwg
NzAwNiwgVHJvbmRoZWltLCBOb3J3YXkuJiN4RDtEZXBhcnRtZW50IG9mIE9ic3RldHJpY3MgYW5k
IEd5bmFlY29sb2d5LCBTdC4gT2xhdnMgSG9zcGl0YWwsIFRyb25kaGVpbSBVbml2ZXJzaXR5IEhv
c3BpdGFsLCBUcm9uZGhlaW0sIE5vcndheS4mI3hEO0RlcGFydG1lbnQgb2YgT2JzdGV0cmljcyBh
bmQgR3luYWVjb2xvZ3ksIFVuaXZlcnNpdHkgb2YgTWVsYm91cm5lLCBNZWxib3VybmUsIFZpY3Rv
cmlhLCAzMDEwLCBBdXN0cmFsaWEuJiN4RDtEZXBhcnRtZW50IG9mIFBlcmluYXRhbCBNZWRpY2lu
ZSwgTWVyY3kgSG9zcGl0YWwgZm9yIFdvbWVuLCBQb3N0Ym9rcyA4OTA1LCBOLTc0OTEsIFRyb25k
aGVpbSwgTm9yd2F5LiYjeEQ7RGVwYXJ0bWVudCBvZiBQdWJsaWMgSGVhbHRoIGFuZCBOdXJzaW5n
LCBGYWN1bHR5IG9mIE1lZGljaW5lIGFuZCBIZWFsdGggU2NpZW5jZXMsIE5vcndlZ2lhbiBVbml2
ZXJzaXR5IG9mIFNjaWVuY2UgYW5kIFRlY2hub2xvZ3ksIFRyb25kaGVpbSwgTm9yd2F5LiYjeEQ7
RGVwYXJ0bWVudCBvZiBDbGluaWNhbCBTZXJ2aWNlLCBTdC4gT2xhdnMgSG9zcGl0YWwsIFRyb25k
aGVpbSBVbml2ZXJzaXR5IEhvc3BpdGFsLCBUcm9uZGhlaW0sIE5vcndheS4mI3hEO01vbmFzaCBD
ZW50cmUgZm9yIEhlYWx0aCBSZXNlYXJjaCBhbmQgSW1wbGVtZW50YXRpb24sIFNjaG9vbCBvZiBQ
dWJsaWMgSGVhbHRoLCBNb25hc2ggVW5pdmVyc2l0eSBhbmQgTW9uYXNoIEhlYWx0aCwgMjQ2IENs
YXl0b24gUmQsIENsYXl0b24sIFZJQywgMzEyNCwgQXVzdHJhbGlhLiYjeEQ7SW5zdGl0dXRlIG9m
IFNwb3J0cyBTY2llbmNlLCBVbml2ZXJzaXR5IG9mIEdyYXosIE1vemFydGdhc3NlIDE0LCwgODAx
MCwgR3JheiwgQXVzdHJpYS4mI3hEO0RlcGFydG1lbnQgb2YgUHVibGljIGFuZCBPY2N1cGF0aW9u
YWwgSGVhbHRoLCBFTUdPIEluc3RpdHV0ZSBmb3IgSGVhbHRoIGFuZCBDYXJlIFJlc2VhcmNoLCBW
VSBVbml2ZXJzaXR5IE1lZGljYWwgQ2VudGVyLCBBbXN0ZXJkYW0sIE5ldGhlcmxhbmRzLiYjeEQ7
RGVwYXJ0bWVudCBvZiBHeW5hZWNvbG9neSBhbmQgT2JzdGV0cmljcywgT2RlbnNlIFVuaXZlcnNp
dHkgSG9zcGl0YWwsIFVuaXZlcnNpdHkgb2YgU291dGhlcm4gRGVubWFyaywgU2RyLiBCb3VsZXZh
cmQgMjksIERLLTUwMDAsIE9kZW5zZSwgRGVubWFyay4mI3hEO011bHRpZGlzY2lwbGluYXJ5IEV2
aWRlbmNlIFN5bnRoZXNpcyBIdWIsIEJhcnRzIGFuZCB0aGUgTG9uZG9uIFNjaG9vbCBvZiBNZWRp
Y2luZSBhbmQgRGVudGlzdHJ5LCBRdWVlbiBNYXJ5IFVuaXZlcnNpdHkgb2YgTG9uZG9uLCBMb25k
b24sIFVLLjwvYXV0aC1hZGRyZXNzPjx0aXRsZXM+PHRpdGxlPkdlc3RhdGlvbmFsIHdlaWdodCBn
YWluIG91dHNpZGUgdGhlIEluc3RpdHV0ZSBvZiBNZWRpY2luZSByZWNvbW1lbmRhdGlvbnMgYW5k
IGFkdmVyc2UgcHJlZ25hbmN5IG91dGNvbWVzOiBhbmFseXNpcyB1c2luZyBpbmRpdmlkdWFsIHBh
cnRpY2lwYW50IGRhdGEgZnJvbSByYW5kb21pc2VkIHRyaWFsczwvdGl0bGU+PHNlY29uZGFyeS10
aXRsZT5CTUMgUHJlZ25hbmN5IENoaWxkYmlydGg8L3NlY29uZGFyeS10aXRsZT48L3RpdGxlcz48
cGVyaW9kaWNhbD48ZnVsbC10aXRsZT5CTUMgUHJlZ25hbmN5IENoaWxkYmlydGg8L2Z1bGwtdGl0
bGU+PC9wZXJpb2RpY2FsPjxwYWdlcz4zMjI8L3BhZ2VzPjx2b2x1bWU+MTk8L3ZvbHVtZT48bnVt
YmVyPjE8L251bWJlcj48ZWRpdGlvbj4yMDE5LzA5LzA0PC9lZGl0aW9uPjxrZXl3b3Jkcz48a2V5
d29yZD5DZXNhcmVhbiBTZWN0aW9uLypzdGF0aXN0aWNzICZhbXA7IG51bWVyaWNhbCBkYXRhPC9r
ZXl3b3JkPjxrZXl3b3JkPkZlbWFsZTwva2V5d29yZD48a2V5d29yZD5GZXRhbCBHcm93dGggUmV0
YXJkYXRpb24vKmVwaWRlbWlvbG9neTwva2V5d29yZD48a2V5d29yZD5GZXRhbCBNYWNyb3NvbWlh
LyplcGlkZW1pb2xvZ3k8L2tleXdvcmQ+PGtleXdvcmQ+Kkdlc3RhdGlvbmFsIFdlaWdodCBHYWlu
PC9rZXl3b3JkPjxrZXl3b3JkPkd1aWRlbGluZXMgYXMgVG9waWM8L2tleXdvcmQ+PGtleXdvcmQ+
SHVtYW5zPC9rZXl3b3JkPjxrZXl3b3JkPkluZmFudCwgTmV3Ym9ybjwva2V5d29yZD48a2V5d29y
ZD5JbmZhbnQsIFNtYWxsIGZvciBHZXN0YXRpb25hbCBBZ2U8L2tleXdvcmQ+PGtleXdvcmQ+TmF0
aW9uYWwgQWNhZGVtaWVzIG9mIFNjaWVuY2UsIEVuZ2luZWVyaW5nLCBhbmQgTWVkaWNpbmUsIFUu
Uy4sIEhlYWx0aCBhbmQ8L2tleXdvcmQ+PGtleXdvcmQ+TWVkaWNpbmUgRGl2aXNpb248L2tleXdv
cmQ+PGtleXdvcmQ+T2Jlc2l0eSwgTWF0ZXJuYWwvKmVwaWRlbWlvbG9neTwva2V5d29yZD48a2V5
d29yZD5PZGRzIFJhdGlvPC9rZXl3b3JkPjxrZXl3b3JkPlByZWduYW5jeTwva2V5d29yZD48a2V5
d29yZD5QcmVnbmFuY3kgT3V0Y29tZS8qZXBpZGVtaW9sb2d5PC9rZXl3b3JkPjxrZXl3b3JkPlBy
ZW1hdHVyZSBCaXJ0aC8qZXBpZGVtaW9sb2d5PC9rZXl3b3JkPjxrZXl3b3JkPlJhbmRvbWl6ZWQg
Q29udHJvbGxlZCBUcmlhbHMgYXMgVG9waWM8L2tleXdvcmQ+PGtleXdvcmQ+VW5pdGVkIFN0YXRl
czwva2V5d29yZD48a2V5d29yZD5Cb2R5IG1hc3MgaW5kZXg8L2tleXdvcmQ+PGtleXdvcmQ+R2Vz
dGF0aW9uYWwgd2VpZ2h0IGdhaW48L2tleXdvcmQ+PGtleXdvcmQ+SW5kaXZpZHVhbCBwYXJ0aWNp
cGFudCBkYXRhPC9rZXl3b3JkPjxrZXl3b3JkPkluc3RpdHV0ZSBvZiBNZWRpY2luZTwva2V5d29y
ZD48L2tleXdvcmRzPjxkYXRlcz48eWVhcj4yMDE5PC95ZWFyPjxwdWItZGF0ZXM+PGRhdGU+U2Vw
IDI8L2RhdGU+PC9wdWItZGF0ZXM+PC9kYXRlcz48aXNibj4xNDcxLTIzOTMgKEVsZWN0cm9uaWMp
JiN4RDsxNDcxLTIzOTMgKExpbmtpbmcpPC9pc2JuPjxhY2Nlc3Npb24tbnVtPjMxNDc3MDc1PC9h
Y2Nlc3Npb24tbnVtPjx1cmxzPjxyZWxhdGVkLXVybHM+PHVybD5odHRwczovL3d3dy5uY2JpLm5s
bS5uaWguZ292L3B1Ym1lZC8zMTQ3NzA3NTwvdXJsPjwvcmVsYXRlZC11cmxzPjwvdXJscz48Y3Vz
dG9tMj5QTUM2NzE5MzgyPC9jdXN0b20yPjxlbGVjdHJvbmljLXJlc291cmNlLW51bT4xMC4xMTg2
L3MxMjg4NC0wMTktMjQ3Mi03PC9lbGVjdHJvbmljLXJlc291cmNlLW51bT48L3JlY29yZD48L0Np
dGU+PC9FbmROb3RlPgB=
</w:fldData>
        </w:fldChar>
      </w:r>
      <w:r w:rsidR="001A2F28">
        <w:rPr>
          <w:shd w:val="clear" w:color="auto" w:fill="FFFFFF"/>
        </w:rPr>
        <w:instrText xml:space="preserve"> ADDIN EN.CITE.DATA </w:instrText>
      </w:r>
      <w:r w:rsidR="001A2F28">
        <w:rPr>
          <w:shd w:val="clear" w:color="auto" w:fill="FFFFFF"/>
        </w:rPr>
      </w:r>
      <w:r w:rsidR="001A2F28">
        <w:rPr>
          <w:shd w:val="clear" w:color="auto" w:fill="FFFFFF"/>
        </w:rPr>
        <w:fldChar w:fldCharType="end"/>
      </w:r>
      <w:r>
        <w:rPr>
          <w:shd w:val="clear" w:color="auto" w:fill="FFFFFF"/>
        </w:rPr>
      </w:r>
      <w:r>
        <w:rPr>
          <w:shd w:val="clear" w:color="auto" w:fill="FFFFFF"/>
        </w:rPr>
        <w:fldChar w:fldCharType="separate"/>
      </w:r>
      <w:r w:rsidR="001A2F28" w:rsidRPr="001A2F28">
        <w:rPr>
          <w:noProof/>
          <w:shd w:val="clear" w:color="auto" w:fill="FFFFFF"/>
          <w:vertAlign w:val="superscript"/>
        </w:rPr>
        <w:t>364</w:t>
      </w:r>
      <w:r>
        <w:rPr>
          <w:shd w:val="clear" w:color="auto" w:fill="FFFFFF"/>
        </w:rPr>
        <w:fldChar w:fldCharType="end"/>
      </w:r>
      <w:r>
        <w:rPr>
          <w:shd w:val="clear" w:color="auto" w:fill="FFFFFF"/>
        </w:rPr>
        <w:t xml:space="preserve"> the odds of preterm birth (</w:t>
      </w:r>
      <w:r w:rsidRPr="00857C61">
        <w:rPr>
          <w:sz w:val="16"/>
          <w:szCs w:val="16"/>
          <w:shd w:val="clear" w:color="auto" w:fill="FFFFFF"/>
        </w:rPr>
        <w:t>aOR 1.94; 95%CI 1.31 to 2.28</w:t>
      </w:r>
      <w:r w:rsidRPr="003A3608">
        <w:rPr>
          <w:shd w:val="clear" w:color="auto" w:fill="FFFFFF"/>
        </w:rPr>
        <w:t xml:space="preserve">) and </w:t>
      </w:r>
      <w:r>
        <w:rPr>
          <w:shd w:val="clear" w:color="auto" w:fill="FFFFFF"/>
        </w:rPr>
        <w:t>small-for-gestational-age babies</w:t>
      </w:r>
      <w:r w:rsidRPr="003A3608">
        <w:rPr>
          <w:shd w:val="clear" w:color="auto" w:fill="FFFFFF"/>
        </w:rPr>
        <w:t xml:space="preserve"> (</w:t>
      </w:r>
      <w:r w:rsidRPr="00857C61">
        <w:rPr>
          <w:sz w:val="16"/>
          <w:szCs w:val="16"/>
          <w:shd w:val="clear" w:color="auto" w:fill="FFFFFF"/>
        </w:rPr>
        <w:t>aOR 1.52; 95%CI 1.18 to 1.96</w:t>
      </w:r>
      <w:r w:rsidRPr="003A3608">
        <w:rPr>
          <w:shd w:val="clear" w:color="auto" w:fill="FFFFFF"/>
        </w:rPr>
        <w:t>)</w:t>
      </w:r>
      <w:r>
        <w:rPr>
          <w:shd w:val="clear" w:color="auto" w:fill="FFFFFF"/>
        </w:rPr>
        <w:t xml:space="preserve"> were increased with gestational weight gain</w:t>
      </w:r>
      <w:r w:rsidRPr="003A3608">
        <w:rPr>
          <w:shd w:val="clear" w:color="auto" w:fill="FFFFFF"/>
        </w:rPr>
        <w:t xml:space="preserve"> </w:t>
      </w:r>
      <w:r w:rsidRPr="00E86FC6">
        <w:rPr>
          <w:i/>
          <w:iCs/>
          <w:shd w:val="clear" w:color="auto" w:fill="FFFFFF"/>
        </w:rPr>
        <w:t>lower</w:t>
      </w:r>
      <w:r>
        <w:rPr>
          <w:shd w:val="clear" w:color="auto" w:fill="FFFFFF"/>
        </w:rPr>
        <w:t xml:space="preserve"> than</w:t>
      </w:r>
      <w:r w:rsidRPr="003A3608">
        <w:rPr>
          <w:shd w:val="clear" w:color="auto" w:fill="FFFFFF"/>
        </w:rPr>
        <w:t xml:space="preserve"> recommendation</w:t>
      </w:r>
      <w:r>
        <w:rPr>
          <w:shd w:val="clear" w:color="auto" w:fill="FFFFFF"/>
        </w:rPr>
        <w:t>s. Findings on caesarean section and large-for-gestational-age babies were</w:t>
      </w:r>
      <w:r w:rsidRPr="003A3608">
        <w:rPr>
          <w:shd w:val="clear" w:color="auto" w:fill="FFFFFF"/>
        </w:rPr>
        <w:t xml:space="preserve"> inconclusive.</w:t>
      </w:r>
    </w:p>
    <w:p w14:paraId="46AB0C5D" w14:textId="77777777" w:rsidR="00CB55A1" w:rsidRDefault="00CB55A1" w:rsidP="00CB55A1">
      <w:pPr>
        <w:pStyle w:val="Heading5"/>
      </w:pPr>
      <w:r>
        <w:t>Weight gain higher than recommendations</w:t>
      </w:r>
    </w:p>
    <w:p w14:paraId="2B063729" w14:textId="26EBB35D" w:rsidR="00CB55A1" w:rsidRDefault="00CB55A1" w:rsidP="00CB55A1">
      <w:pPr>
        <w:keepNext/>
      </w:pPr>
      <w:r>
        <w:t>The systematic review of cohort studies</w:t>
      </w:r>
      <w:r>
        <w:fldChar w:fldCharType="begin">
          <w:fldData xml:space="preserve">PEVuZE5vdGU+PENpdGU+PEF1dGhvcj5Hb2xkc3RlaW48L0F1dGhvcj48WWVhcj4yMDE3PC9ZZWFy
PjxSZWNOdW0+MTc1NzwvUmVjTnVtPjxEaXNwbGF5VGV4dD48c3R5bGUgZmFjZT0ic3VwZXJzY3Jp
cHQiIGZvbnQ9IlRyZWJ1Y2hldCBNUyIgc2l6ZT0iOSI+MzYzPC9zdHlsZT48L0Rpc3BsYXlUZXh0
PjxyZWNvcmQ+PHJlYy1udW1iZXI+MTc1NzwvcmVjLW51bWJlcj48Zm9yZWlnbi1rZXlzPjxrZXkg
YXBwPSJFTiIgZGItaWQ9ImV4dmFzcmZ4MmR0cmFvZXNhc3hwMnN6c3hhMmRmNTAyNTkyeCIgdGlt
ZXN0YW1wPSIxNTgyODY3MTIzIj4xNzU3PC9rZXk+PGtleSBhcHA9IkVOV2ViIiBkYi1pZD0iIj4w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Uy48L2F1dGhvcj48YXV0aG9yPk1pc3NvLCBNLjwvYXV0aG9yPjxhdXRob3I+Qm95bGUsIEouIEEu
PC9hdXRob3I+PGF1dGhvcj5CbGFjaywgTS4gSC48L2F1dGhvcj48YXV0aG9yPkxpLCBOLjwvYXV0
aG9yPjxhdXRob3I+SHUsIEcuPC9hdXRob3I+PGF1dGhvcj5Db3JyYWRvLCBGLjwvYXV0aG9yPjxh
dXRob3I+Um9kZSwgTC48L2F1dGhvcj48YXV0aG9yPktpbSwgWS4gSi48L2F1dGhvcj48YXV0aG9y
PkhhdWdlbiwgTS48L2F1dGhvcj48YXV0aG9yPlNvbmcsIFcuIE8uPC9hdXRob3I+PGF1dGhvcj5L
aW0sIE0uIEguPC9hdXRob3I+PGF1dGhvcj5Cb2dhZXJ0cywgQS48L2F1dGhvcj48YXV0aG9yPkRl
dmxpZWdlciwgUi48L2F1dGhvcj48YXV0aG9yPkNodW5nLCBKLiBILjwvYXV0aG9yPjxhdXRob3I+
VGVlZGUsIEguIEouPC9hdXRob3I+PC9hdXRob3JzPjwvY29udHJpYnV0b3JzPjxhdXRoLWFkZHJl
c3M+TW9uYXNoIENlbnRyZSBmb3IgSGVhbHRoIFJlc2VhcmNoIGFuZCBJbXBsZW1lbnRhdGlvbiwg
TW9uYXNoIFVuaXZlcnNpdHksIFZpY3RvcmlhLCBBdXN0cmFsaWEyTW9uYXNoIERpYWJldGVzIGFu
ZCBFbmRvY3JpbmUgVW5pdHMsIE1vbmFzaCBIZWFsdGgsIFZpY3RvcmlhLCBBdXN0cmFsaWEuJiN4
RDtNb25hc2ggQ2VudHJlIGZvciBIZWFsdGggUmVzZWFyY2ggYW5kIEltcGxlbWVudGF0aW9uLCBN
b25hc2ggVW5pdmVyc2l0eSwgVmljdG9yaWEsIEF1c3RyYWxpYS4mI3hEO0thaXNlciBQZXJtYW5l
bnRlLCBTb3V0aGVybiBDYWxpZm9ybmlhLCBMb3MgQW5nZWxlczRBbWJyeSBHZW5ldGljcywgQWxp
c28gVmllam8sIENhbGlmb3JuaWEuJiN4RDtUaWFuamluIFdvbWVuJmFwb3M7cyBhbmQgQ2hpbGRy
ZW4mYXBvcztzIEhlYWx0aCBDZW50ZXIsIFRpYW5qaW4sIENoaW5hLiYjeEQ7UGVubmluZ3RvbiBC
aW9tZWRpY2FsIFJlc2VhcmNoIENlbnRlciwgQmF0b24gUm91Z2UsIExvdWlzaWFuYS4mI3hEO1Vu
aXZlcnNpdHkgSG9zcGl0YWwsIE1lc3NpbmEsIEl0YWx5LiYjeEQ7RGVwYXJ0bWVudCBvZiBCaW9j
aGVtaXN0cnksIENvcGVuaGFnZW4gVW5pdmVyc2l0eSBIb3NwaXRhbCwgUmlnaG9zcGl0YWxldCwg
Q29wZW5oYWdlbiwgRGVubWFyay4mI3hEO0RlcGFydG1lbnQgb2YgT2JzdGV0cmljcyBhbmQgR3lu
ZWNvbG9neSwgU2Nob29sIG9mIE1lZGljaW5lLCBFd2hhIFdvbWFucyBVbml2ZXJzaXR5LCBTZW91
bCwgUmVwdWJsaWMgb2YgS29yZWEuJiN4RDtOb3J3ZWdpYW4gSW5zdGl0dXRlIG9mIFB1YmxpYyBI
ZWFsdGgsIE9zbG8sIE5vcndheS4mI3hEO01pY2hpZ2FuIFN0YXRlIFVuaXZlcnNpdHksIEVhc3Qg
TGFuc2luZy4mI3hEO0Rhbmtvb2sgVW5pdmVyc2l0eSBDb2xsZWdlIG9mIE1lZGljaW5lLCBTZW91
bCwgUmVwdWJsaWMgb2YgS29yZWEuJiN4RDtEZXBhcnRtZW50IG9mIERldmVsb3BtZW50IGFuZCBS
ZWdlbmVyYXRpb24gS1UgTGV1dmVuLCBVbml2ZXJzaXR5IG9mIExldXZlbiwgTGV1dmVuLCBCZWxn
aXVtMTRGYWN1bHR5IG9mIE1lZGljaW5lIGFuZCBIZWFsdGggU2NpZW5jZXMsIENlbnRyZSBmb3Ig
UmVzZWFyY2ggYW5kIElubm92YXRpb24gaW4gQ2FyZSwgVW5pdmVyc2l0eSBvZiBBbnR3ZXJwLCBB
bnR3ZXJwLCBCZWxnaXVtMTVGYWN1bHR5IG9mIEhlYWx0aCBhbmQgU29jaWFsIFdvcmssIFJlc2Vh
cmNoIFVuaXQgSGVhbHRoeSBMaXZpbmcsIFVDIExldXZlbi1MaW1idXJnLCBMZXV2ZW4sIEJlbGdp
dW0uJiN4RDtEZXBhcnRtZW50IG9mIE9ic3RldHJpY3MgYW5kIEd5bmFlY29sb2d5LCBVbml2ZXJz
aXR5IEhvc3BpdGFscyBLVSBMZXV2ZW4sIExldXZlbiwgQmVsZ2l1bTE3RGVwYXJ0bWVudCBvZiBP
YnN0ZXRyaWNzLCBHeW5hZWNvbG9neSBhbmQgRmVydGlsaXR5LCBHWkEgQ2FtcHVzIFNpbnQtQXVn
dXN0aW51cywgV2lscmlqaywgQmVsZ2l1bS4mI3hEO1VuaXZlcnNpdHkgb2YgQ2FsaWZvcm5pYSwg
SXJ2aW5lLjwvYXV0aC1hZGRyZXNzPjx0aXRsZXM+PHRpdGxlPkFzc29jaWF0aW9uIG9mIGdlc3Rh
dGlvbmFsIHdlaWdodCBnYWluIHdpdGggbWF0ZXJuYWwgYW5kIGluZmFudCBvdXRjb21lczogYSBz
eXN0ZW1hdGljIHJldmlldyBhbmQgbWV0YS1hbmFseXNpczwvdGl0bGU+PHNlY29uZGFyeS10aXRs
ZT5KQU1BPC9zZWNvbmRhcnktdGl0bGU+PC90aXRsZXM+PHBlcmlvZGljYWw+PGZ1bGwtdGl0bGU+
SkFNQTwvZnVsbC10aXRsZT48L3BlcmlvZGljYWw+PHBhZ2VzPjIyMDctMjIyNTwvcGFnZXM+PHZv
bHVtZT4zMTc8L3ZvbHVtZT48bnVtYmVyPjIxPC9udW1iZXI+PGVkaXRpb24+MjAxNy8wNi8wNzwv
ZWRpdGlvbj48a2V5d29yZHM+PGtleXdvcmQ+QWR1bHQ8L2tleXdvcmQ+PGtleXdvcmQ+QmlydGgg
V2VpZ2h0PC9rZXl3b3JkPjxrZXl3b3JkPkJvZHkgTWFzcyBJbmRleDwva2V5d29yZD48a2V5d29y
ZD5Cb2R5IFdlaWdodDwva2V5d29yZD48a2V5d29yZD5DZXNhcmVhbiBTZWN0aW9uPC9rZXl3b3Jk
PjxrZXl3b3JkPkZlbWFsZTwva2V5d29yZD48a2V5d29yZD5GZXRhbCBNYWNyb3NvbWlhPC9rZXl3
b3JkPjxrZXl3b3JkPkh1bWFuczwva2V5d29yZD48a2V5d29yZD5JbmZhbnQsIFNtYWxsIGZvciBH
ZXN0YXRpb25hbCBBZ2U8L2tleXdvcmQ+PGtleXdvcmQ+UHJlZ25hbmN5LypwaHlzaW9sb2d5PC9r
ZXl3b3JkPjxrZXl3b3JkPipQcmVnbmFuY3kgT3V0Y29tZTwva2V5d29yZD48a2V5d29yZD5QcmVt
YXR1cmUgQmlydGg8L2tleXdvcmQ+PGtleXdvcmQ+KldlaWdodCBHYWluPC9rZXl3b3JkPjwva2V5
d29yZHM+PGRhdGVzPjx5ZWFyPjIwMTc8L3llYXI+PHB1Yi1kYXRlcz48ZGF0ZT5KdW4gNjwvZGF0
ZT48L3B1Yi1kYXRlcz48L2RhdGVzPjxpc2JuPjE1MzgtMzU5OCAoRWxlY3Ryb25pYykmI3hEOzAw
OTgtNzQ4NCAoTGlua2luZyk8L2lzYm4+PGFjY2Vzc2lvbi1udW0+Mjg1ODY4ODc8L2FjY2Vzc2lv
bi1udW0+PHVybHM+PHJlbGF0ZWQtdXJscz48dXJsPmh0dHBzOi8vd3d3Lm5jYmkubmxtLm5paC5n
b3YvcHVibWVkLzI4NTg2ODg3PC91cmw+PC9yZWxhdGVkLXVybHM+PC91cmxzPjxjdXN0b20yPlBN
QzU4MTUwNTY8L2N1c3RvbTI+PGVsZWN0cm9uaWMtcmVzb3VyY2UtbnVtPjEwLjEwMDEvamFtYS4y
MDE3LjM2MzU8L2VsZWN0cm9uaWMtcmVzb3VyY2UtbnVtPjwvcmVjb3JkPjwvQ2l0ZT48L0VuZE5v
dGU+AG==
</w:fldData>
        </w:fldChar>
      </w:r>
      <w:r w:rsidR="001A2F28">
        <w:instrText xml:space="preserve"> ADDIN EN.CITE </w:instrText>
      </w:r>
      <w:r w:rsidR="001A2F28">
        <w:fldChar w:fldCharType="begin">
          <w:fldData xml:space="preserve">PEVuZE5vdGU+PENpdGU+PEF1dGhvcj5Hb2xkc3RlaW48L0F1dGhvcj48WWVhcj4yMDE3PC9ZZWFy
PjxSZWNOdW0+MTc1NzwvUmVjTnVtPjxEaXNwbGF5VGV4dD48c3R5bGUgZmFjZT0ic3VwZXJzY3Jp
cHQiIGZvbnQ9IlRyZWJ1Y2hldCBNUyIgc2l6ZT0iOSI+MzYzPC9zdHlsZT48L0Rpc3BsYXlUZXh0
PjxyZWNvcmQ+PHJlYy1udW1iZXI+MTc1NzwvcmVjLW51bWJlcj48Zm9yZWlnbi1rZXlzPjxrZXkg
YXBwPSJFTiIgZGItaWQ9ImV4dmFzcmZ4MmR0cmFvZXNhc3hwMnN6c3hhMmRmNTAyNTkyeCIgdGlt
ZXN0YW1wPSIxNTgyODY3MTIzIj4xNzU3PC9rZXk+PGtleSBhcHA9IkVOV2ViIiBkYi1pZD0iIj4w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Uy48L2F1dGhvcj48YXV0aG9yPk1pc3NvLCBNLjwvYXV0aG9yPjxhdXRob3I+Qm95bGUsIEouIEEu
PC9hdXRob3I+PGF1dGhvcj5CbGFjaywgTS4gSC48L2F1dGhvcj48YXV0aG9yPkxpLCBOLjwvYXV0
aG9yPjxhdXRob3I+SHUsIEcuPC9hdXRob3I+PGF1dGhvcj5Db3JyYWRvLCBGLjwvYXV0aG9yPjxh
dXRob3I+Um9kZSwgTC48L2F1dGhvcj48YXV0aG9yPktpbSwgWS4gSi48L2F1dGhvcj48YXV0aG9y
PkhhdWdlbiwgTS48L2F1dGhvcj48YXV0aG9yPlNvbmcsIFcuIE8uPC9hdXRob3I+PGF1dGhvcj5L
aW0sIE0uIEguPC9hdXRob3I+PGF1dGhvcj5Cb2dhZXJ0cywgQS48L2F1dGhvcj48YXV0aG9yPkRl
dmxpZWdlciwgUi48L2F1dGhvcj48YXV0aG9yPkNodW5nLCBKLiBILjwvYXV0aG9yPjxhdXRob3I+
VGVlZGUsIEguIEouPC9hdXRob3I+PC9hdXRob3JzPjwvY29udHJpYnV0b3JzPjxhdXRoLWFkZHJl
c3M+TW9uYXNoIENlbnRyZSBmb3IgSGVhbHRoIFJlc2VhcmNoIGFuZCBJbXBsZW1lbnRhdGlvbiwg
TW9uYXNoIFVuaXZlcnNpdHksIFZpY3RvcmlhLCBBdXN0cmFsaWEyTW9uYXNoIERpYWJldGVzIGFu
ZCBFbmRvY3JpbmUgVW5pdHMsIE1vbmFzaCBIZWFsdGgsIFZpY3RvcmlhLCBBdXN0cmFsaWEuJiN4
RDtNb25hc2ggQ2VudHJlIGZvciBIZWFsdGggUmVzZWFyY2ggYW5kIEltcGxlbWVudGF0aW9uLCBN
b25hc2ggVW5pdmVyc2l0eSwgVmljdG9yaWEsIEF1c3RyYWxpYS4mI3hEO0thaXNlciBQZXJtYW5l
bnRlLCBTb3V0aGVybiBDYWxpZm9ybmlhLCBMb3MgQW5nZWxlczRBbWJyeSBHZW5ldGljcywgQWxp
c28gVmllam8sIENhbGlmb3JuaWEuJiN4RDtUaWFuamluIFdvbWVuJmFwb3M7cyBhbmQgQ2hpbGRy
ZW4mYXBvcztzIEhlYWx0aCBDZW50ZXIsIFRpYW5qaW4sIENoaW5hLiYjeEQ7UGVubmluZ3RvbiBC
aW9tZWRpY2FsIFJlc2VhcmNoIENlbnRlciwgQmF0b24gUm91Z2UsIExvdWlzaWFuYS4mI3hEO1Vu
aXZlcnNpdHkgSG9zcGl0YWwsIE1lc3NpbmEsIEl0YWx5LiYjeEQ7RGVwYXJ0bWVudCBvZiBCaW9j
aGVtaXN0cnksIENvcGVuaGFnZW4gVW5pdmVyc2l0eSBIb3NwaXRhbCwgUmlnaG9zcGl0YWxldCwg
Q29wZW5oYWdlbiwgRGVubWFyay4mI3hEO0RlcGFydG1lbnQgb2YgT2JzdGV0cmljcyBhbmQgR3lu
ZWNvbG9neSwgU2Nob29sIG9mIE1lZGljaW5lLCBFd2hhIFdvbWFucyBVbml2ZXJzaXR5LCBTZW91
bCwgUmVwdWJsaWMgb2YgS29yZWEuJiN4RDtOb3J3ZWdpYW4gSW5zdGl0dXRlIG9mIFB1YmxpYyBI
ZWFsdGgsIE9zbG8sIE5vcndheS4mI3hEO01pY2hpZ2FuIFN0YXRlIFVuaXZlcnNpdHksIEVhc3Qg
TGFuc2luZy4mI3hEO0Rhbmtvb2sgVW5pdmVyc2l0eSBDb2xsZWdlIG9mIE1lZGljaW5lLCBTZW91
bCwgUmVwdWJsaWMgb2YgS29yZWEuJiN4RDtEZXBhcnRtZW50IG9mIERldmVsb3BtZW50IGFuZCBS
ZWdlbmVyYXRpb24gS1UgTGV1dmVuLCBVbml2ZXJzaXR5IG9mIExldXZlbiwgTGV1dmVuLCBCZWxn
aXVtMTRGYWN1bHR5IG9mIE1lZGljaW5lIGFuZCBIZWFsdGggU2NpZW5jZXMsIENlbnRyZSBmb3Ig
UmVzZWFyY2ggYW5kIElubm92YXRpb24gaW4gQ2FyZSwgVW5pdmVyc2l0eSBvZiBBbnR3ZXJwLCBB
bnR3ZXJwLCBCZWxnaXVtMTVGYWN1bHR5IG9mIEhlYWx0aCBhbmQgU29jaWFsIFdvcmssIFJlc2Vh
cmNoIFVuaXQgSGVhbHRoeSBMaXZpbmcsIFVDIExldXZlbi1MaW1idXJnLCBMZXV2ZW4sIEJlbGdp
dW0uJiN4RDtEZXBhcnRtZW50IG9mIE9ic3RldHJpY3MgYW5kIEd5bmFlY29sb2d5LCBVbml2ZXJz
aXR5IEhvc3BpdGFscyBLVSBMZXV2ZW4sIExldXZlbiwgQmVsZ2l1bTE3RGVwYXJ0bWVudCBvZiBP
YnN0ZXRyaWNzLCBHeW5hZWNvbG9neSBhbmQgRmVydGlsaXR5LCBHWkEgQ2FtcHVzIFNpbnQtQXVn
dXN0aW51cywgV2lscmlqaywgQmVsZ2l1bS4mI3hEO1VuaXZlcnNpdHkgb2YgQ2FsaWZvcm5pYSwg
SXJ2aW5lLjwvYXV0aC1hZGRyZXNzPjx0aXRsZXM+PHRpdGxlPkFzc29jaWF0aW9uIG9mIGdlc3Rh
dGlvbmFsIHdlaWdodCBnYWluIHdpdGggbWF0ZXJuYWwgYW5kIGluZmFudCBvdXRjb21lczogYSBz
eXN0ZW1hdGljIHJldmlldyBhbmQgbWV0YS1hbmFseXNpczwvdGl0bGU+PHNlY29uZGFyeS10aXRs
ZT5KQU1BPC9zZWNvbmRhcnktdGl0bGU+PC90aXRsZXM+PHBlcmlvZGljYWw+PGZ1bGwtdGl0bGU+
SkFNQTwvZnVsbC10aXRsZT48L3BlcmlvZGljYWw+PHBhZ2VzPjIyMDctMjIyNTwvcGFnZXM+PHZv
bHVtZT4zMTc8L3ZvbHVtZT48bnVtYmVyPjIxPC9udW1iZXI+PGVkaXRpb24+MjAxNy8wNi8wNzwv
ZWRpdGlvbj48a2V5d29yZHM+PGtleXdvcmQ+QWR1bHQ8L2tleXdvcmQ+PGtleXdvcmQ+QmlydGgg
V2VpZ2h0PC9rZXl3b3JkPjxrZXl3b3JkPkJvZHkgTWFzcyBJbmRleDwva2V5d29yZD48a2V5d29y
ZD5Cb2R5IFdlaWdodDwva2V5d29yZD48a2V5d29yZD5DZXNhcmVhbiBTZWN0aW9uPC9rZXl3b3Jk
PjxrZXl3b3JkPkZlbWFsZTwva2V5d29yZD48a2V5d29yZD5GZXRhbCBNYWNyb3NvbWlhPC9rZXl3
b3JkPjxrZXl3b3JkPkh1bWFuczwva2V5d29yZD48a2V5d29yZD5JbmZhbnQsIFNtYWxsIGZvciBH
ZXN0YXRpb25hbCBBZ2U8L2tleXdvcmQ+PGtleXdvcmQ+UHJlZ25hbmN5LypwaHlzaW9sb2d5PC9r
ZXl3b3JkPjxrZXl3b3JkPipQcmVnbmFuY3kgT3V0Y29tZTwva2V5d29yZD48a2V5d29yZD5QcmVt
YXR1cmUgQmlydGg8L2tleXdvcmQ+PGtleXdvcmQ+KldlaWdodCBHYWluPC9rZXl3b3JkPjwva2V5
d29yZHM+PGRhdGVzPjx5ZWFyPjIwMTc8L3llYXI+PHB1Yi1kYXRlcz48ZGF0ZT5KdW4gNjwvZGF0
ZT48L3B1Yi1kYXRlcz48L2RhdGVzPjxpc2JuPjE1MzgtMzU5OCAoRWxlY3Ryb25pYykmI3hEOzAw
OTgtNzQ4NCAoTGlua2luZyk8L2lzYm4+PGFjY2Vzc2lvbi1udW0+Mjg1ODY4ODc8L2FjY2Vzc2lv
bi1udW0+PHVybHM+PHJlbGF0ZWQtdXJscz48dXJsPmh0dHBzOi8vd3d3Lm5jYmkubmxtLm5paC5n
b3YvcHVibWVkLzI4NTg2ODg3PC91cmw+PC9yZWxhdGVkLXVybHM+PC91cmxzPjxjdXN0b20yPlBN
QzU4MTUwNTY8L2N1c3RvbTI+PGVsZWN0cm9uaWMtcmVzb3VyY2UtbnVtPjEwLjEwMDEvamFtYS4y
MDE3LjM2MzU8L2VsZWN0cm9uaWMtcmVzb3VyY2UtbnVtPjwvcmVjb3JkPjwvQ2l0ZT48L0VuZE5v
dGU+AG==
</w:fldData>
        </w:fldChar>
      </w:r>
      <w:r w:rsidR="001A2F28">
        <w:instrText xml:space="preserve"> ADDIN EN.CITE.DATA </w:instrText>
      </w:r>
      <w:r w:rsidR="001A2F28">
        <w:fldChar w:fldCharType="end"/>
      </w:r>
      <w:r>
        <w:fldChar w:fldCharType="separate"/>
      </w:r>
      <w:r w:rsidR="001A2F28" w:rsidRPr="001A2F28">
        <w:rPr>
          <w:noProof/>
          <w:vertAlign w:val="superscript"/>
        </w:rPr>
        <w:t>363</w:t>
      </w:r>
      <w:r>
        <w:fldChar w:fldCharType="end"/>
      </w:r>
      <w:r>
        <w:t xml:space="preserve"> found that weight gain </w:t>
      </w:r>
      <w:r w:rsidRPr="00F93356">
        <w:rPr>
          <w:i/>
        </w:rPr>
        <w:t>higher</w:t>
      </w:r>
      <w:r>
        <w:t xml:space="preserve"> than recommendations was associated with an increased risk of:</w:t>
      </w:r>
    </w:p>
    <w:p w14:paraId="287EDE89" w14:textId="77777777" w:rsidR="00CB55A1" w:rsidRPr="00343709" w:rsidRDefault="00CB55A1" w:rsidP="00CB55A1">
      <w:pPr>
        <w:pStyle w:val="bullet"/>
      </w:pPr>
      <w:r>
        <w:t>large-for-gestational age babies (</w:t>
      </w:r>
      <w:r w:rsidRPr="00DA46DF">
        <w:rPr>
          <w:sz w:val="16"/>
          <w:szCs w:val="16"/>
        </w:rPr>
        <w:t>OR 1.85; 95%CI 1.76 to 1.95</w:t>
      </w:r>
      <w:r>
        <w:t>)</w:t>
      </w:r>
    </w:p>
    <w:p w14:paraId="262C01EA" w14:textId="77777777" w:rsidR="00CB55A1" w:rsidRDefault="00CB55A1" w:rsidP="00CB55A1">
      <w:pPr>
        <w:pStyle w:val="bullet"/>
      </w:pPr>
      <w:r>
        <w:t>macrosomia (</w:t>
      </w:r>
      <w:r w:rsidRPr="00DA46DF">
        <w:rPr>
          <w:sz w:val="16"/>
          <w:szCs w:val="16"/>
        </w:rPr>
        <w:t>OR 1.95; 95%CI 1.79 to 2.11</w:t>
      </w:r>
      <w:r w:rsidRPr="0080586D">
        <w:t>)</w:t>
      </w:r>
    </w:p>
    <w:p w14:paraId="0152472D" w14:textId="77777777" w:rsidR="00CB55A1" w:rsidRDefault="00CB55A1" w:rsidP="00CB55A1">
      <w:pPr>
        <w:pStyle w:val="bullet"/>
      </w:pPr>
      <w:r>
        <w:t>ca</w:t>
      </w:r>
      <w:r w:rsidRPr="00182455">
        <w:t xml:space="preserve">esarean </w:t>
      </w:r>
      <w:r>
        <w:t>section (</w:t>
      </w:r>
      <w:r w:rsidRPr="00DA46DF">
        <w:rPr>
          <w:sz w:val="16"/>
          <w:szCs w:val="16"/>
        </w:rPr>
        <w:t>OR 1.30; 95%CI 1.25 to 1.35</w:t>
      </w:r>
      <w:r>
        <w:t>).</w:t>
      </w:r>
    </w:p>
    <w:p w14:paraId="4C8142AB" w14:textId="77777777" w:rsidR="00CB55A1" w:rsidRDefault="00CB55A1" w:rsidP="00CB55A1">
      <w:r>
        <w:t>There was an association between weight gain higher than recommendations and lower likelihood of small-for-ges</w:t>
      </w:r>
      <w:r w:rsidRPr="007967D4">
        <w:t>tational-age babies (</w:t>
      </w:r>
      <w:r w:rsidRPr="007967D4">
        <w:rPr>
          <w:sz w:val="16"/>
          <w:szCs w:val="16"/>
        </w:rPr>
        <w:t>OR 0.66; 95%CI 0.63 to 0.69</w:t>
      </w:r>
      <w:r w:rsidRPr="007967D4">
        <w:t xml:space="preserve">) </w:t>
      </w:r>
      <w:r w:rsidRPr="00F93356">
        <w:t>and preterm birth (</w:t>
      </w:r>
      <w:r w:rsidRPr="00F93356">
        <w:rPr>
          <w:sz w:val="16"/>
          <w:szCs w:val="16"/>
        </w:rPr>
        <w:t>OR 0.77; 95%CI 0.69 to 0.86</w:t>
      </w:r>
      <w:r w:rsidRPr="00F93356">
        <w:t>).</w:t>
      </w:r>
    </w:p>
    <w:p w14:paraId="15E7723E" w14:textId="07E274EC" w:rsidR="00CB55A1" w:rsidRPr="00857C61" w:rsidRDefault="00CB55A1" w:rsidP="00CB55A1">
      <w:pPr>
        <w:rPr>
          <w:shd w:val="clear" w:color="auto" w:fill="FFFFFF"/>
        </w:rPr>
      </w:pPr>
      <w:r>
        <w:rPr>
          <w:shd w:val="clear" w:color="auto" w:fill="FFFFFF"/>
        </w:rPr>
        <w:t>The analysis of</w:t>
      </w:r>
      <w:r w:rsidRPr="003A3608">
        <w:rPr>
          <w:shd w:val="clear" w:color="auto" w:fill="FFFFFF"/>
        </w:rPr>
        <w:t xml:space="preserve"> individual participant data </w:t>
      </w:r>
      <w:r>
        <w:rPr>
          <w:shd w:val="clear" w:color="auto" w:fill="FFFFFF"/>
        </w:rPr>
        <w:t>from the control arms of RCTs</w:t>
      </w:r>
      <w:r>
        <w:rPr>
          <w:shd w:val="clear" w:color="auto" w:fill="FFFFFF"/>
        </w:rPr>
        <w:fldChar w:fldCharType="begin">
          <w:fldData xml:space="preserve">PEVuZE5vdGU+PENpdGU+PEF1dGhvcj5Sb2dvemluc2thPC9BdXRob3I+PFllYXI+MjAxOTwvWWVh
cj48UmVjTnVtPjE4MzA8L1JlY051bT48RGlzcGxheVRleHQ+PHN0eWxlIGZhY2U9InN1cGVyc2Ny
aXB0IiBmb250PSJUcmVidWNoZXQgTVMiIHNpemU9IjkiPjM2NDwvc3R5bGU+PC9EaXNwbGF5VGV4
dD48cmVjb3JkPjxyZWMtbnVtYmVyPjE4MzA8L3JlYy1udW1iZXI+PGZvcmVpZ24ta2V5cz48a2V5
IGFwcD0iRU4iIGRiLWlkPSJleHZhc3JmeDJkdHJhb2VzYXN4cDJzenN4YTJkZjUwMjU5MngiIHRp
bWVzdGFtcD0iMTU4NTYzMjUwMSI+MTgzMDwva2V5PjwvZm9yZWlnbi1rZXlzPjxyZWYtdHlwZSBu
YW1lPSJKb3VybmFsIEFydGljbGUiPjE3PC9yZWYtdHlwZT48Y29udHJpYnV0b3JzPjxhdXRob3Jz
PjxhdXRob3I+Um9nb3ppbnNrYSwgRS48L2F1dGhvcj48YXV0aG9yPlphbW9yYSwgSi48L2F1dGhv
cj48YXV0aG9yPk1hcmxpbiwgTi48L2F1dGhvcj48YXV0aG9yPkJldHJhbiwgQS4gUC48L2F1dGhv
cj48YXV0aG9yPkFzdHJ1cCwgQS48L2F1dGhvcj48YXV0aG9yPkJvZ2FlcnRzLCBBLjwvYXV0aG9y
PjxhdXRob3I+Q2VjYXR0aSwgSi4gRy48L2F1dGhvcj48YXV0aG9yPkRvZGQsIEouIE0uPC9hdXRo
b3I+PGF1dGhvcj5GYWNjaGluZXR0aSwgRi48L2F1dGhvcj48YXV0aG9yPkdlaWtlciwgTi4gUi4g
Vy48L2F1dGhvcj48YXV0aG9yPkhhYWtzdGFkLCBMLiBBLiBILjwvYXV0aG9yPjxhdXRob3I+SGF1
bmVyLCBILjwvYXV0aG9yPjxhdXRob3I+SmVuc2VuLCBELiBNLjwvYXV0aG9yPjxhdXRob3I+S2lu
bnVuZW4sIFQuIEkuPC9hdXRob3I+PGF1dGhvcj5Nb2wsIEIuIFcuIEouPC9hdXRob3I+PGF1dGhv
cj5Pd2VucywgSi48L2F1dGhvcj48YXV0aG9yPlBoZWxhbiwgUy48L2F1dGhvcj48YXV0aG9yPlJl
bmF1bHQsIEsuIE0uPC9hdXRob3I+PGF1dGhvcj5TYWx2ZXNlbiwgSy4gQS48L2F1dGhvcj48YXV0
aG9yPlNodWIsIEEuPC9hdXRob3I+PGF1dGhvcj5TdXJpdGEsIEYuIEcuPC9hdXRob3I+PGF1dGhv
cj5TdGFmbmUsIFMuIE4uPC9hdXRob3I+PGF1dGhvcj5UZWVkZSwgSC48L2F1dGhvcj48YXV0aG9y
PnZhbiBQb3BwZWwsIE0uIE4uIE0uPC9hdXRob3I+PGF1dGhvcj5WaW50ZXIsIEMuIEEuPC9hdXRo
b3I+PGF1dGhvcj5LaGFuLCBLLiBTLjwvYXV0aG9yPjxhdXRob3I+VGhhbmdhcmF0aW5hbSwgUy48
L2F1dGhvcj48YXV0aG9yPkludGVybmF0aW9uYWwgV2VpZ2h0IE1hbmFnZW1lbnQgaW4gUHJlZ25h
bmN5IENvbGxhYm9yYXRpdmUsIEdyb3VwPC9hdXRob3I+PC9hdXRob3JzPjwvY29udHJpYnV0b3Jz
PjxhdXRoLWFkZHJlc3M+TWV0YS1BbmFseXNpcyBHcm91cCwgTVJDIENsaW5pY2FsIFRyaWFscyBV
bml0IGF0IFVDTCwgSW5zdGl0dXRlIG9mIENsaW5pY2FsIFRyaWFscyAmYW1wOyBNZXRob2RvbG9n
eSwgOTAgSGlnaCBIb2xib3JuLCAybmQgRmxvb3IsIExvbmRvbiwgV0MxViA2TEosIFVLLiBlLnJv
Z296aW5za2FAdWNsLmFjLnVrLiYjeEQ7V29tZW4mYXBvcztzIEhlYWx0aCBSZXNlYXJjaCBVbml0
LCBCYXJ0cyBhbmQgdGhlIExvbmRvbiBTY2hvb2wgb2YgTWVkaWNpbmUgYW5kIERlbnRpc3RyeSwg
UXVlZW4gTWFyeSBVbml2ZXJzaXR5IG9mIExvbmRvbiwgTG9uZG9uLCBVSy4gZS5yb2dvemluc2th
QHVjbC5hYy51ay4mI3hEO1dvbWVuJmFwb3M7cyBIZWFsdGggUmVzZWFyY2ggVW5pdCwgQmFydHMg
YW5kIHRoZSBMb25kb24gU2Nob29sIG9mIE1lZGljaW5lIGFuZCBEZW50aXN0cnksIFF1ZWVuIE1h
cnkgVW5pdmVyc2l0eSBvZiBMb25kb24sIExvbmRvbiwgVUsuJiN4RDtDbGluaWNhbCBCaW9zdGF0
aXN0aWNzIFVuaXQsIEhvc3BpdGFsIFJhbW9uIHkgQ2FqYWwgKElSWUNJUykgQ0lCRVIgRXBpZGVt
aW9sb2d5IGFuZCBQdWJsaWMgSGVhbHRoLCBNYWRyaWQsIFNwYWluLiYjeEQ7UHJhZ21hdGljIENs
aW5pY2FsIFRyaWFscyBVbml0LCBCYXJ0cyBhbmQgdGhlIExvbmRvbiBTY2hvb2wgb2YgTWVkaWNp
bmUgYW5kIERlbnRpc3RyeSwgUXVlZW4gTWFyeSBVbml2ZXJzaXR5IG9mIExvbmRvbiwgTG9uZG9u
LCBVSy4mI3hEO0RlcGFydG1lbnQgb2YgUmVwcm9kdWN0aXZlIEhlYWx0aCBhbmQgUmVzZWFyY2gs
IFdvcmxkIEhlYWx0aCBPcmdhbml6YXRpb24sIEF2ZW51ZSBBcHBpYSAyMCwgMTIxMSwgR2VuZXZh
LCBTd2l0emVybGFuZC4mI3hEO0RlcGFydG1lbnQgb2YgTnV0cml0aW9uLCBFeGVyY2lzZSBhbmQg
U3BvcnRzLCBVbml2ZXJzaXR5IG9mIENvcGVuaGFnZW4sIE5vcnJlIEFsbGUgNTEsIERLLTIyMDAs
IENvcGVuaGFnZW4sIERlbm1hcmsuJiN4RDtEZXBhcnRtZW50IG9mIERldmVsb3BtZW50IGFuZCBS
ZWdlbmVyYXRpb24sIEtVIExldXZlbiwgSGVyZXN0cmFhdCA0OSAtIEJveCA4MDUsIEItMzAwMCwg
TGV1dmVuLCBCZWxnaXVtLiYjeEQ7RmFjdWx0eSBvZiBNZWRpY2luZSBhbmQgSGVhbHRoIFNjaWVu
Y2VzLCBDZW50cmUgZm9yIFJlc2VhcmNoIGFuZCBJbm5vdmF0aW9uIGluIENhcmUgKENSSUMpLCBV
bml2ZXJzaXR5IG9mIEFudHdlcnAsIEFudHdlcnAsIEJlbGdpdW0uJiN4RDtSdWEgVGVzc2FsaWEg
VmllaXJhIGRlIENhbWFyZ28sIDEyNiBDaWRhZGUgVW5pdmVyc2l0YXJpYSBaZWZlcmlubyBWYXos
IFNhbyBQYXVsbywgQ2FtcGluYXMsIENFUCwgMTMwODMtODg3LCBCcmF6aWwuJiN4RDtEZXBhcnRt
ZW50IG9mIE9ic3RldHJpY3MgYW5kIEd5bmVjb2xvZ3ksIFNjaG9vbCBvZiBNZWRpY2FsIFNjaWVu
Y2VzLCBVbml2ZXJzaXR5IG9mIENhbXBpbmFzLCBDYW1waW5hcywgQnJhemlsLiYjeEQ7V29tZW4m
YXBvcztzIGFuZCBDaGlsZHJlbiZhcG9zO3MgSG9zcGl0YWwsIFdvbWVuJmFwb3M7cyBhbmQgQ2hp
bGRyZW4mYXBvcztzIEhlYWx0aCBOZXR3b3JrLCBXb21lbiZhcG9zO3MgYW5kIEJhYmllcyBEaXZp
c2lvbiwgNzIgS2luZyBXaWxsaWFtIFN0LCBOb3J0aCBBZGVsYWlkZSwgU0EsIDUwMDYsIEF1c3Ry
YWxpYS4mI3hEO1RoZSBSb2JpbnNvbiBSZXNlYXJjaCBJbnN0aXR1dGUsIFNjaG9vbCBvZiBNZWRp
Y2luZSwgRGVwYXJ0bWVudCBvZiBPYnN0ZXRyaWNzIGFuZCBHeW5hZWNvbG9neSwgVW5pdmVyc2l0
eSBvZiBBZGVsYWlkZSwgTm9yd2ljaCBDZW50cmUsIDU1IEtpbmcgV2lsbGlhbSBTdCwgTm9ydGgg
QWRlbGFpZGUsIFNBLCA1MDA2LCBBdXN0cmFsaWEuJiN4RDtPYnN0ZXRyaWNzIGFuZCBHeW5lY29s
b2d5IFVuaXQsIE1vdGhlciBJbmZhbnQgRGVwYXJ0bWVudCwgVW5pdmVyc2l0eSBvZiBNb2RlbmEg
YW5kIFJlZ2dpbyBFbWlsaWEsIGxhcmdvIGRlbCBQb3p6byA3MSwgNDExMjQsIE1vZGVuYSwgSXRh
bHkuJiN4RDtDbGluaWNhbCBOdXRyaXRpb24gUmVzZWFyY2ggVW5pdCwgQ29wZW5oYWdlbiBVbml2
ZXJzaXR5IEhvc3BpdGFsIEdlbnRvZnRlLCBLaWxkZWdhcmRzdmVqIDI4LCBESy0yOTAwIEhlbGxl
cnVwLCBDb3BlbmhhZ2VuLCBEZW5tYXJrLiYjeEQ7RGVwYXJ0bWVudCBvZiBTcG9ydHMgTWVkaWNp
bmUsIE5vcndlZ2lhbiBTY2hvb2wgb2YgU3BvcnRzIFNjaWVuY2VzLCBTb2duc3ZlaWVuIDIyMCwg
MDg2MywgT3NsbywgTm9yd2F5LiYjeEQ7RWxzZSBLcm9uZXItRnJlc2VuaXVzLVplbnRydW0gZnVy
IEVybmFocnVuZ3NtZWRpemluLCBLbGluaWt1bSByZWNodHMgZGVyIElzYXIsIFRlY2huaWNhbCBV
bml2ZXJzaXR5IG9mIE11bmljaCwgR2VvcmctQnJhdWNobGUtUmluZyA2MiwgODA5OTIsIE11bmlj
aCwgR2VybWFueS4mI3hEO1N0ZW5vIERpYWJldGVzIENlbnRlciBPZGVuc2UgYW5kIERlcGFydG1l
bnQgb2YgR3luYWVjb2xvZ3kgYW5kIE9ic3RldHJpY3MsIE9kZW5zZSBVbml2ZXJzaXR5IEhvc3Bp
dGFsLCBVbml2ZXJzaXR5IG9mIFNvdXRoZXJuIERlbm1hcmssIEtsb3ZlcnZhZW5nZXQgNi80LCA1
MDAwLCBPZGVuc2UsIERlbm1hcmsuJiN4RDtEZXBhcnRtZW50IG9mIENsaW5pY2FsIFJlc2VhcmNo
LCBGYWN1bHR5IG9mIEhlYWx0aCBTY2llbmNlcywgVW5pdmVyc2l0eSBvZiBTb3V0aGVybiBEZW5t
YXJrLCBPZGVuc2UsIERlbm1hcmsuJiN4RDtVbml0IG9mIEhlYWx0aCBTY2llbmNlcywgRmFjdWx0
eSBvZiBTb2NpYWwgU2NpZW5jZXMsIFVuaXZlcnNpdHkgb2YgVGFtcGVyZSwgMzMwMTQsIFRhbXBl
cmUsIEZpbmxhbmQuJiN4RDtEZXBhcnRtZW50IG9mIE9ic3RldHJpY3MgYW5kIEd5bmFlY29sb2d5
LCBOdXJzaW5nIGFuZCBIZWFsdGggU2NpZW5jZXMsIE1vbmFzaCBVbml2ZXJzaXR5LCBNZWxib3Vy
bmUsIFZpY3RvcmlhLCAzODAwLCBBdXN0cmFsaWEuJiN4RDtEZXB1dHkgVmljZS1DaGFuY2VsbG9y
IFJlc2VhcmNoIE9mZmljZSwgRGVha2luIFVuaXZlcnNpdHksIEdlZWxvbmcsIEF1c3RyYWxpYS4m
I3hEO0tpbmVzaW9sb2d5IERlcGFydG1lbnQsIENhbGlmb3JuaWEgUG9seXRlY2huaWMgU3RhdGUg
VW5pdmVyc2l0eSwgMSBHcmFuZCBBdmVudWUsIFNhbiBMdWlzIE9iaXNwbywgQ0EsIDkzNDA3LCBV
U0EuJiN4RDtEZXBhcnRtZW50IG9mIE9ic3RldHJpY3MgYW5kIEd5bmFlY29sb2d5LCBDb3Blbmhh
Z2VuIFVuaXZlcnNpdHkgSG9zcGl0YWwgSHZpZG92cmUsIEtldHRlZ2FyZCBBbGxlIDMwLCAyNjUw
LCBIdmlkb3ZyZSwgRGVubWFyay4mI3hEO09ic3RldHJpYyBDbGluaWMsIEpNQywgQ29wZW5oYWdl
biBVbml2ZXJzaXR5IEhvc3BpdGFsIFJpZ3Nob3NwaXRhbGV0LCBDb3BlbmhhZ2VuLCBEZW5tYXJr
LiYjeEQ7RGVwYXJ0bWVudCBvZiBMYWJvcmF0b3J5IE1lZGljaW5lIENoaWxkcmVuJmFwb3M7cyBh
bmQgV29tZW4mYXBvcztzIEhlYWx0aCwgRmFjdWx0eSBvZiBNZWRpY2luZSwgTm9yd2VnaWFuIFVu
aXZlcnNpdHkgb2YgU2NpZW5jZSBhbmQgVGVjaG5vbG9neSwgT2xhdiBLeXJyZXMgZ2F0ZSAxMSwg
NzAwNiwgVHJvbmRoZWltLCBOb3J3YXkuJiN4RDtEZXBhcnRtZW50IG9mIE9ic3RldHJpY3MgYW5k
IEd5bmFlY29sb2d5LCBTdC4gT2xhdnMgSG9zcGl0YWwsIFRyb25kaGVpbSBVbml2ZXJzaXR5IEhv
c3BpdGFsLCBUcm9uZGhlaW0sIE5vcndheS4mI3hEO0RlcGFydG1lbnQgb2YgT2JzdGV0cmljcyBh
bmQgR3luYWVjb2xvZ3ksIFVuaXZlcnNpdHkgb2YgTWVsYm91cm5lLCBNZWxib3VybmUsIFZpY3Rv
cmlhLCAzMDEwLCBBdXN0cmFsaWEuJiN4RDtEZXBhcnRtZW50IG9mIFBlcmluYXRhbCBNZWRpY2lu
ZSwgTWVyY3kgSG9zcGl0YWwgZm9yIFdvbWVuLCBQb3N0Ym9rcyA4OTA1LCBOLTc0OTEsIFRyb25k
aGVpbSwgTm9yd2F5LiYjeEQ7RGVwYXJ0bWVudCBvZiBQdWJsaWMgSGVhbHRoIGFuZCBOdXJzaW5n
LCBGYWN1bHR5IG9mIE1lZGljaW5lIGFuZCBIZWFsdGggU2NpZW5jZXMsIE5vcndlZ2lhbiBVbml2
ZXJzaXR5IG9mIFNjaWVuY2UgYW5kIFRlY2hub2xvZ3ksIFRyb25kaGVpbSwgTm9yd2F5LiYjeEQ7
RGVwYXJ0bWVudCBvZiBDbGluaWNhbCBTZXJ2aWNlLCBTdC4gT2xhdnMgSG9zcGl0YWwsIFRyb25k
aGVpbSBVbml2ZXJzaXR5IEhvc3BpdGFsLCBUcm9uZGhlaW0sIE5vcndheS4mI3hEO01vbmFzaCBD
ZW50cmUgZm9yIEhlYWx0aCBSZXNlYXJjaCBhbmQgSW1wbGVtZW50YXRpb24sIFNjaG9vbCBvZiBQ
dWJsaWMgSGVhbHRoLCBNb25hc2ggVW5pdmVyc2l0eSBhbmQgTW9uYXNoIEhlYWx0aCwgMjQ2IENs
YXl0b24gUmQsIENsYXl0b24sIFZJQywgMzEyNCwgQXVzdHJhbGlhLiYjeEQ7SW5zdGl0dXRlIG9m
IFNwb3J0cyBTY2llbmNlLCBVbml2ZXJzaXR5IG9mIEdyYXosIE1vemFydGdhc3NlIDE0LCwgODAx
MCwgR3JheiwgQXVzdHJpYS4mI3hEO0RlcGFydG1lbnQgb2YgUHVibGljIGFuZCBPY2N1cGF0aW9u
YWwgSGVhbHRoLCBFTUdPIEluc3RpdHV0ZSBmb3IgSGVhbHRoIGFuZCBDYXJlIFJlc2VhcmNoLCBW
VSBVbml2ZXJzaXR5IE1lZGljYWwgQ2VudGVyLCBBbXN0ZXJkYW0sIE5ldGhlcmxhbmRzLiYjeEQ7
RGVwYXJ0bWVudCBvZiBHeW5hZWNvbG9neSBhbmQgT2JzdGV0cmljcywgT2RlbnNlIFVuaXZlcnNp
dHkgSG9zcGl0YWwsIFVuaXZlcnNpdHkgb2YgU291dGhlcm4gRGVubWFyaywgU2RyLiBCb3VsZXZh
cmQgMjksIERLLTUwMDAsIE9kZW5zZSwgRGVubWFyay4mI3hEO011bHRpZGlzY2lwbGluYXJ5IEV2
aWRlbmNlIFN5bnRoZXNpcyBIdWIsIEJhcnRzIGFuZCB0aGUgTG9uZG9uIFNjaG9vbCBvZiBNZWRp
Y2luZSBhbmQgRGVudGlzdHJ5LCBRdWVlbiBNYXJ5IFVuaXZlcnNpdHkgb2YgTG9uZG9uLCBMb25k
b24sIFVLLjwvYXV0aC1hZGRyZXNzPjx0aXRsZXM+PHRpdGxlPkdlc3RhdGlvbmFsIHdlaWdodCBn
YWluIG91dHNpZGUgdGhlIEluc3RpdHV0ZSBvZiBNZWRpY2luZSByZWNvbW1lbmRhdGlvbnMgYW5k
IGFkdmVyc2UgcHJlZ25hbmN5IG91dGNvbWVzOiBhbmFseXNpcyB1c2luZyBpbmRpdmlkdWFsIHBh
cnRpY2lwYW50IGRhdGEgZnJvbSByYW5kb21pc2VkIHRyaWFsczwvdGl0bGU+PHNlY29uZGFyeS10
aXRsZT5CTUMgUHJlZ25hbmN5IENoaWxkYmlydGg8L3NlY29uZGFyeS10aXRsZT48L3RpdGxlcz48
cGVyaW9kaWNhbD48ZnVsbC10aXRsZT5CTUMgUHJlZ25hbmN5IENoaWxkYmlydGg8L2Z1bGwtdGl0
bGU+PC9wZXJpb2RpY2FsPjxwYWdlcz4zMjI8L3BhZ2VzPjx2b2x1bWU+MTk8L3ZvbHVtZT48bnVt
YmVyPjE8L251bWJlcj48ZWRpdGlvbj4yMDE5LzA5LzA0PC9lZGl0aW9uPjxrZXl3b3Jkcz48a2V5
d29yZD5DZXNhcmVhbiBTZWN0aW9uLypzdGF0aXN0aWNzICZhbXA7IG51bWVyaWNhbCBkYXRhPC9r
ZXl3b3JkPjxrZXl3b3JkPkZlbWFsZTwva2V5d29yZD48a2V5d29yZD5GZXRhbCBHcm93dGggUmV0
YXJkYXRpb24vKmVwaWRlbWlvbG9neTwva2V5d29yZD48a2V5d29yZD5GZXRhbCBNYWNyb3NvbWlh
LyplcGlkZW1pb2xvZ3k8L2tleXdvcmQ+PGtleXdvcmQ+Kkdlc3RhdGlvbmFsIFdlaWdodCBHYWlu
PC9rZXl3b3JkPjxrZXl3b3JkPkd1aWRlbGluZXMgYXMgVG9waWM8L2tleXdvcmQ+PGtleXdvcmQ+
SHVtYW5zPC9rZXl3b3JkPjxrZXl3b3JkPkluZmFudCwgTmV3Ym9ybjwva2V5d29yZD48a2V5d29y
ZD5JbmZhbnQsIFNtYWxsIGZvciBHZXN0YXRpb25hbCBBZ2U8L2tleXdvcmQ+PGtleXdvcmQ+TmF0
aW9uYWwgQWNhZGVtaWVzIG9mIFNjaWVuY2UsIEVuZ2luZWVyaW5nLCBhbmQgTWVkaWNpbmUsIFUu
Uy4sIEhlYWx0aCBhbmQ8L2tleXdvcmQ+PGtleXdvcmQ+TWVkaWNpbmUgRGl2aXNpb248L2tleXdv
cmQ+PGtleXdvcmQ+T2Jlc2l0eSwgTWF0ZXJuYWwvKmVwaWRlbWlvbG9neTwva2V5d29yZD48a2V5
d29yZD5PZGRzIFJhdGlvPC9rZXl3b3JkPjxrZXl3b3JkPlByZWduYW5jeTwva2V5d29yZD48a2V5
d29yZD5QcmVnbmFuY3kgT3V0Y29tZS8qZXBpZGVtaW9sb2d5PC9rZXl3b3JkPjxrZXl3b3JkPlBy
ZW1hdHVyZSBCaXJ0aC8qZXBpZGVtaW9sb2d5PC9rZXl3b3JkPjxrZXl3b3JkPlJhbmRvbWl6ZWQg
Q29udHJvbGxlZCBUcmlhbHMgYXMgVG9waWM8L2tleXdvcmQ+PGtleXdvcmQ+VW5pdGVkIFN0YXRl
czwva2V5d29yZD48a2V5d29yZD5Cb2R5IG1hc3MgaW5kZXg8L2tleXdvcmQ+PGtleXdvcmQ+R2Vz
dGF0aW9uYWwgd2VpZ2h0IGdhaW48L2tleXdvcmQ+PGtleXdvcmQ+SW5kaXZpZHVhbCBwYXJ0aWNp
cGFudCBkYXRhPC9rZXl3b3JkPjxrZXl3b3JkPkluc3RpdHV0ZSBvZiBNZWRpY2luZTwva2V5d29y
ZD48L2tleXdvcmRzPjxkYXRlcz48eWVhcj4yMDE5PC95ZWFyPjxwdWItZGF0ZXM+PGRhdGU+U2Vw
IDI8L2RhdGU+PC9wdWItZGF0ZXM+PC9kYXRlcz48aXNibj4xNDcxLTIzOTMgKEVsZWN0cm9uaWMp
JiN4RDsxNDcxLTIzOTMgKExpbmtpbmcpPC9pc2JuPjxhY2Nlc3Npb24tbnVtPjMxNDc3MDc1PC9h
Y2Nlc3Npb24tbnVtPjx1cmxzPjxyZWxhdGVkLXVybHM+PHVybD5odHRwczovL3d3dy5uY2JpLm5s
bS5uaWguZ292L3B1Ym1lZC8zMTQ3NzA3NTwvdXJsPjwvcmVsYXRlZC11cmxzPjwvdXJscz48Y3Vz
dG9tMj5QTUM2NzE5MzgyPC9jdXN0b20yPjxlbGVjdHJvbmljLXJlc291cmNlLW51bT4xMC4xMTg2
L3MxMjg4NC0wMTktMjQ3Mi03PC9lbGVjdHJvbmljLXJlc291cmNlLW51bT48L3JlY29yZD48L0Np
dGU+PC9FbmROb3RlPgB=
</w:fldData>
        </w:fldChar>
      </w:r>
      <w:r w:rsidR="001A2F28">
        <w:rPr>
          <w:shd w:val="clear" w:color="auto" w:fill="FFFFFF"/>
        </w:rPr>
        <w:instrText xml:space="preserve"> ADDIN EN.CITE </w:instrText>
      </w:r>
      <w:r w:rsidR="001A2F28">
        <w:rPr>
          <w:shd w:val="clear" w:color="auto" w:fill="FFFFFF"/>
        </w:rPr>
        <w:fldChar w:fldCharType="begin">
          <w:fldData xml:space="preserve">PEVuZE5vdGU+PENpdGU+PEF1dGhvcj5Sb2dvemluc2thPC9BdXRob3I+PFllYXI+MjAxOTwvWWVh
cj48UmVjTnVtPjE4MzA8L1JlY051bT48RGlzcGxheVRleHQ+PHN0eWxlIGZhY2U9InN1cGVyc2Ny
aXB0IiBmb250PSJUcmVidWNoZXQgTVMiIHNpemU9IjkiPjM2NDwvc3R5bGU+PC9EaXNwbGF5VGV4
dD48cmVjb3JkPjxyZWMtbnVtYmVyPjE4MzA8L3JlYy1udW1iZXI+PGZvcmVpZ24ta2V5cz48a2V5
IGFwcD0iRU4iIGRiLWlkPSJleHZhc3JmeDJkdHJhb2VzYXN4cDJzenN4YTJkZjUwMjU5MngiIHRp
bWVzdGFtcD0iMTU4NTYzMjUwMSI+MTgzMDwva2V5PjwvZm9yZWlnbi1rZXlzPjxyZWYtdHlwZSBu
YW1lPSJKb3VybmFsIEFydGljbGUiPjE3PC9yZWYtdHlwZT48Y29udHJpYnV0b3JzPjxhdXRob3Jz
PjxhdXRob3I+Um9nb3ppbnNrYSwgRS48L2F1dGhvcj48YXV0aG9yPlphbW9yYSwgSi48L2F1dGhv
cj48YXV0aG9yPk1hcmxpbiwgTi48L2F1dGhvcj48YXV0aG9yPkJldHJhbiwgQS4gUC48L2F1dGhv
cj48YXV0aG9yPkFzdHJ1cCwgQS48L2F1dGhvcj48YXV0aG9yPkJvZ2FlcnRzLCBBLjwvYXV0aG9y
PjxhdXRob3I+Q2VjYXR0aSwgSi4gRy48L2F1dGhvcj48YXV0aG9yPkRvZGQsIEouIE0uPC9hdXRo
b3I+PGF1dGhvcj5GYWNjaGluZXR0aSwgRi48L2F1dGhvcj48YXV0aG9yPkdlaWtlciwgTi4gUi4g
Vy48L2F1dGhvcj48YXV0aG9yPkhhYWtzdGFkLCBMLiBBLiBILjwvYXV0aG9yPjxhdXRob3I+SGF1
bmVyLCBILjwvYXV0aG9yPjxhdXRob3I+SmVuc2VuLCBELiBNLjwvYXV0aG9yPjxhdXRob3I+S2lu
bnVuZW4sIFQuIEkuPC9hdXRob3I+PGF1dGhvcj5Nb2wsIEIuIFcuIEouPC9hdXRob3I+PGF1dGhv
cj5Pd2VucywgSi48L2F1dGhvcj48YXV0aG9yPlBoZWxhbiwgUy48L2F1dGhvcj48YXV0aG9yPlJl
bmF1bHQsIEsuIE0uPC9hdXRob3I+PGF1dGhvcj5TYWx2ZXNlbiwgSy4gQS48L2F1dGhvcj48YXV0
aG9yPlNodWIsIEEuPC9hdXRob3I+PGF1dGhvcj5TdXJpdGEsIEYuIEcuPC9hdXRob3I+PGF1dGhv
cj5TdGFmbmUsIFMuIE4uPC9hdXRob3I+PGF1dGhvcj5UZWVkZSwgSC48L2F1dGhvcj48YXV0aG9y
PnZhbiBQb3BwZWwsIE0uIE4uIE0uPC9hdXRob3I+PGF1dGhvcj5WaW50ZXIsIEMuIEEuPC9hdXRo
b3I+PGF1dGhvcj5LaGFuLCBLLiBTLjwvYXV0aG9yPjxhdXRob3I+VGhhbmdhcmF0aW5hbSwgUy48
L2F1dGhvcj48YXV0aG9yPkludGVybmF0aW9uYWwgV2VpZ2h0IE1hbmFnZW1lbnQgaW4gUHJlZ25h
bmN5IENvbGxhYm9yYXRpdmUsIEdyb3VwPC9hdXRob3I+PC9hdXRob3JzPjwvY29udHJpYnV0b3Jz
PjxhdXRoLWFkZHJlc3M+TWV0YS1BbmFseXNpcyBHcm91cCwgTVJDIENsaW5pY2FsIFRyaWFscyBV
bml0IGF0IFVDTCwgSW5zdGl0dXRlIG9mIENsaW5pY2FsIFRyaWFscyAmYW1wOyBNZXRob2RvbG9n
eSwgOTAgSGlnaCBIb2xib3JuLCAybmQgRmxvb3IsIExvbmRvbiwgV0MxViA2TEosIFVLLiBlLnJv
Z296aW5za2FAdWNsLmFjLnVrLiYjeEQ7V29tZW4mYXBvcztzIEhlYWx0aCBSZXNlYXJjaCBVbml0
LCBCYXJ0cyBhbmQgdGhlIExvbmRvbiBTY2hvb2wgb2YgTWVkaWNpbmUgYW5kIERlbnRpc3RyeSwg
UXVlZW4gTWFyeSBVbml2ZXJzaXR5IG9mIExvbmRvbiwgTG9uZG9uLCBVSy4gZS5yb2dvemluc2th
QHVjbC5hYy51ay4mI3hEO1dvbWVuJmFwb3M7cyBIZWFsdGggUmVzZWFyY2ggVW5pdCwgQmFydHMg
YW5kIHRoZSBMb25kb24gU2Nob29sIG9mIE1lZGljaW5lIGFuZCBEZW50aXN0cnksIFF1ZWVuIE1h
cnkgVW5pdmVyc2l0eSBvZiBMb25kb24sIExvbmRvbiwgVUsuJiN4RDtDbGluaWNhbCBCaW9zdGF0
aXN0aWNzIFVuaXQsIEhvc3BpdGFsIFJhbW9uIHkgQ2FqYWwgKElSWUNJUykgQ0lCRVIgRXBpZGVt
aW9sb2d5IGFuZCBQdWJsaWMgSGVhbHRoLCBNYWRyaWQsIFNwYWluLiYjeEQ7UHJhZ21hdGljIENs
aW5pY2FsIFRyaWFscyBVbml0LCBCYXJ0cyBhbmQgdGhlIExvbmRvbiBTY2hvb2wgb2YgTWVkaWNp
bmUgYW5kIERlbnRpc3RyeSwgUXVlZW4gTWFyeSBVbml2ZXJzaXR5IG9mIExvbmRvbiwgTG9uZG9u
LCBVSy4mI3hEO0RlcGFydG1lbnQgb2YgUmVwcm9kdWN0aXZlIEhlYWx0aCBhbmQgUmVzZWFyY2gs
IFdvcmxkIEhlYWx0aCBPcmdhbml6YXRpb24sIEF2ZW51ZSBBcHBpYSAyMCwgMTIxMSwgR2VuZXZh
LCBTd2l0emVybGFuZC4mI3hEO0RlcGFydG1lbnQgb2YgTnV0cml0aW9uLCBFeGVyY2lzZSBhbmQg
U3BvcnRzLCBVbml2ZXJzaXR5IG9mIENvcGVuaGFnZW4sIE5vcnJlIEFsbGUgNTEsIERLLTIyMDAs
IENvcGVuaGFnZW4sIERlbm1hcmsuJiN4RDtEZXBhcnRtZW50IG9mIERldmVsb3BtZW50IGFuZCBS
ZWdlbmVyYXRpb24sIEtVIExldXZlbiwgSGVyZXN0cmFhdCA0OSAtIEJveCA4MDUsIEItMzAwMCwg
TGV1dmVuLCBCZWxnaXVtLiYjeEQ7RmFjdWx0eSBvZiBNZWRpY2luZSBhbmQgSGVhbHRoIFNjaWVu
Y2VzLCBDZW50cmUgZm9yIFJlc2VhcmNoIGFuZCBJbm5vdmF0aW9uIGluIENhcmUgKENSSUMpLCBV
bml2ZXJzaXR5IG9mIEFudHdlcnAsIEFudHdlcnAsIEJlbGdpdW0uJiN4RDtSdWEgVGVzc2FsaWEg
VmllaXJhIGRlIENhbWFyZ28sIDEyNiBDaWRhZGUgVW5pdmVyc2l0YXJpYSBaZWZlcmlubyBWYXos
IFNhbyBQYXVsbywgQ2FtcGluYXMsIENFUCwgMTMwODMtODg3LCBCcmF6aWwuJiN4RDtEZXBhcnRt
ZW50IG9mIE9ic3RldHJpY3MgYW5kIEd5bmVjb2xvZ3ksIFNjaG9vbCBvZiBNZWRpY2FsIFNjaWVu
Y2VzLCBVbml2ZXJzaXR5IG9mIENhbXBpbmFzLCBDYW1waW5hcywgQnJhemlsLiYjeEQ7V29tZW4m
YXBvcztzIGFuZCBDaGlsZHJlbiZhcG9zO3MgSG9zcGl0YWwsIFdvbWVuJmFwb3M7cyBhbmQgQ2hp
bGRyZW4mYXBvcztzIEhlYWx0aCBOZXR3b3JrLCBXb21lbiZhcG9zO3MgYW5kIEJhYmllcyBEaXZp
c2lvbiwgNzIgS2luZyBXaWxsaWFtIFN0LCBOb3J0aCBBZGVsYWlkZSwgU0EsIDUwMDYsIEF1c3Ry
YWxpYS4mI3hEO1RoZSBSb2JpbnNvbiBSZXNlYXJjaCBJbnN0aXR1dGUsIFNjaG9vbCBvZiBNZWRp
Y2luZSwgRGVwYXJ0bWVudCBvZiBPYnN0ZXRyaWNzIGFuZCBHeW5hZWNvbG9neSwgVW5pdmVyc2l0
eSBvZiBBZGVsYWlkZSwgTm9yd2ljaCBDZW50cmUsIDU1IEtpbmcgV2lsbGlhbSBTdCwgTm9ydGgg
QWRlbGFpZGUsIFNBLCA1MDA2LCBBdXN0cmFsaWEuJiN4RDtPYnN0ZXRyaWNzIGFuZCBHeW5lY29s
b2d5IFVuaXQsIE1vdGhlciBJbmZhbnQgRGVwYXJ0bWVudCwgVW5pdmVyc2l0eSBvZiBNb2RlbmEg
YW5kIFJlZ2dpbyBFbWlsaWEsIGxhcmdvIGRlbCBQb3p6byA3MSwgNDExMjQsIE1vZGVuYSwgSXRh
bHkuJiN4RDtDbGluaWNhbCBOdXRyaXRpb24gUmVzZWFyY2ggVW5pdCwgQ29wZW5oYWdlbiBVbml2
ZXJzaXR5IEhvc3BpdGFsIEdlbnRvZnRlLCBLaWxkZWdhcmRzdmVqIDI4LCBESy0yOTAwIEhlbGxl
cnVwLCBDb3BlbmhhZ2VuLCBEZW5tYXJrLiYjeEQ7RGVwYXJ0bWVudCBvZiBTcG9ydHMgTWVkaWNp
bmUsIE5vcndlZ2lhbiBTY2hvb2wgb2YgU3BvcnRzIFNjaWVuY2VzLCBTb2duc3ZlaWVuIDIyMCwg
MDg2MywgT3NsbywgTm9yd2F5LiYjeEQ7RWxzZSBLcm9uZXItRnJlc2VuaXVzLVplbnRydW0gZnVy
IEVybmFocnVuZ3NtZWRpemluLCBLbGluaWt1bSByZWNodHMgZGVyIElzYXIsIFRlY2huaWNhbCBV
bml2ZXJzaXR5IG9mIE11bmljaCwgR2VvcmctQnJhdWNobGUtUmluZyA2MiwgODA5OTIsIE11bmlj
aCwgR2VybWFueS4mI3hEO1N0ZW5vIERpYWJldGVzIENlbnRlciBPZGVuc2UgYW5kIERlcGFydG1l
bnQgb2YgR3luYWVjb2xvZ3kgYW5kIE9ic3RldHJpY3MsIE9kZW5zZSBVbml2ZXJzaXR5IEhvc3Bp
dGFsLCBVbml2ZXJzaXR5IG9mIFNvdXRoZXJuIERlbm1hcmssIEtsb3ZlcnZhZW5nZXQgNi80LCA1
MDAwLCBPZGVuc2UsIERlbm1hcmsuJiN4RDtEZXBhcnRtZW50IG9mIENsaW5pY2FsIFJlc2VhcmNo
LCBGYWN1bHR5IG9mIEhlYWx0aCBTY2llbmNlcywgVW5pdmVyc2l0eSBvZiBTb3V0aGVybiBEZW5t
YXJrLCBPZGVuc2UsIERlbm1hcmsuJiN4RDtVbml0IG9mIEhlYWx0aCBTY2llbmNlcywgRmFjdWx0
eSBvZiBTb2NpYWwgU2NpZW5jZXMsIFVuaXZlcnNpdHkgb2YgVGFtcGVyZSwgMzMwMTQsIFRhbXBl
cmUsIEZpbmxhbmQuJiN4RDtEZXBhcnRtZW50IG9mIE9ic3RldHJpY3MgYW5kIEd5bmFlY29sb2d5
LCBOdXJzaW5nIGFuZCBIZWFsdGggU2NpZW5jZXMsIE1vbmFzaCBVbml2ZXJzaXR5LCBNZWxib3Vy
bmUsIFZpY3RvcmlhLCAzODAwLCBBdXN0cmFsaWEuJiN4RDtEZXB1dHkgVmljZS1DaGFuY2VsbG9y
IFJlc2VhcmNoIE9mZmljZSwgRGVha2luIFVuaXZlcnNpdHksIEdlZWxvbmcsIEF1c3RyYWxpYS4m
I3hEO0tpbmVzaW9sb2d5IERlcGFydG1lbnQsIENhbGlmb3JuaWEgUG9seXRlY2huaWMgU3RhdGUg
VW5pdmVyc2l0eSwgMSBHcmFuZCBBdmVudWUsIFNhbiBMdWlzIE9iaXNwbywgQ0EsIDkzNDA3LCBV
U0EuJiN4RDtEZXBhcnRtZW50IG9mIE9ic3RldHJpY3MgYW5kIEd5bmFlY29sb2d5LCBDb3Blbmhh
Z2VuIFVuaXZlcnNpdHkgSG9zcGl0YWwgSHZpZG92cmUsIEtldHRlZ2FyZCBBbGxlIDMwLCAyNjUw
LCBIdmlkb3ZyZSwgRGVubWFyay4mI3hEO09ic3RldHJpYyBDbGluaWMsIEpNQywgQ29wZW5oYWdl
biBVbml2ZXJzaXR5IEhvc3BpdGFsIFJpZ3Nob3NwaXRhbGV0LCBDb3BlbmhhZ2VuLCBEZW5tYXJr
LiYjeEQ7RGVwYXJ0bWVudCBvZiBMYWJvcmF0b3J5IE1lZGljaW5lIENoaWxkcmVuJmFwb3M7cyBh
bmQgV29tZW4mYXBvcztzIEhlYWx0aCwgRmFjdWx0eSBvZiBNZWRpY2luZSwgTm9yd2VnaWFuIFVu
aXZlcnNpdHkgb2YgU2NpZW5jZSBhbmQgVGVjaG5vbG9neSwgT2xhdiBLeXJyZXMgZ2F0ZSAxMSwg
NzAwNiwgVHJvbmRoZWltLCBOb3J3YXkuJiN4RDtEZXBhcnRtZW50IG9mIE9ic3RldHJpY3MgYW5k
IEd5bmFlY29sb2d5LCBTdC4gT2xhdnMgSG9zcGl0YWwsIFRyb25kaGVpbSBVbml2ZXJzaXR5IEhv
c3BpdGFsLCBUcm9uZGhlaW0sIE5vcndheS4mI3hEO0RlcGFydG1lbnQgb2YgT2JzdGV0cmljcyBh
bmQgR3luYWVjb2xvZ3ksIFVuaXZlcnNpdHkgb2YgTWVsYm91cm5lLCBNZWxib3VybmUsIFZpY3Rv
cmlhLCAzMDEwLCBBdXN0cmFsaWEuJiN4RDtEZXBhcnRtZW50IG9mIFBlcmluYXRhbCBNZWRpY2lu
ZSwgTWVyY3kgSG9zcGl0YWwgZm9yIFdvbWVuLCBQb3N0Ym9rcyA4OTA1LCBOLTc0OTEsIFRyb25k
aGVpbSwgTm9yd2F5LiYjeEQ7RGVwYXJ0bWVudCBvZiBQdWJsaWMgSGVhbHRoIGFuZCBOdXJzaW5n
LCBGYWN1bHR5IG9mIE1lZGljaW5lIGFuZCBIZWFsdGggU2NpZW5jZXMsIE5vcndlZ2lhbiBVbml2
ZXJzaXR5IG9mIFNjaWVuY2UgYW5kIFRlY2hub2xvZ3ksIFRyb25kaGVpbSwgTm9yd2F5LiYjeEQ7
RGVwYXJ0bWVudCBvZiBDbGluaWNhbCBTZXJ2aWNlLCBTdC4gT2xhdnMgSG9zcGl0YWwsIFRyb25k
aGVpbSBVbml2ZXJzaXR5IEhvc3BpdGFsLCBUcm9uZGhlaW0sIE5vcndheS4mI3hEO01vbmFzaCBD
ZW50cmUgZm9yIEhlYWx0aCBSZXNlYXJjaCBhbmQgSW1wbGVtZW50YXRpb24sIFNjaG9vbCBvZiBQ
dWJsaWMgSGVhbHRoLCBNb25hc2ggVW5pdmVyc2l0eSBhbmQgTW9uYXNoIEhlYWx0aCwgMjQ2IENs
YXl0b24gUmQsIENsYXl0b24sIFZJQywgMzEyNCwgQXVzdHJhbGlhLiYjeEQ7SW5zdGl0dXRlIG9m
IFNwb3J0cyBTY2llbmNlLCBVbml2ZXJzaXR5IG9mIEdyYXosIE1vemFydGdhc3NlIDE0LCwgODAx
MCwgR3JheiwgQXVzdHJpYS4mI3hEO0RlcGFydG1lbnQgb2YgUHVibGljIGFuZCBPY2N1cGF0aW9u
YWwgSGVhbHRoLCBFTUdPIEluc3RpdHV0ZSBmb3IgSGVhbHRoIGFuZCBDYXJlIFJlc2VhcmNoLCBW
VSBVbml2ZXJzaXR5IE1lZGljYWwgQ2VudGVyLCBBbXN0ZXJkYW0sIE5ldGhlcmxhbmRzLiYjeEQ7
RGVwYXJ0bWVudCBvZiBHeW5hZWNvbG9neSBhbmQgT2JzdGV0cmljcywgT2RlbnNlIFVuaXZlcnNp
dHkgSG9zcGl0YWwsIFVuaXZlcnNpdHkgb2YgU291dGhlcm4gRGVubWFyaywgU2RyLiBCb3VsZXZh
cmQgMjksIERLLTUwMDAsIE9kZW5zZSwgRGVubWFyay4mI3hEO011bHRpZGlzY2lwbGluYXJ5IEV2
aWRlbmNlIFN5bnRoZXNpcyBIdWIsIEJhcnRzIGFuZCB0aGUgTG9uZG9uIFNjaG9vbCBvZiBNZWRp
Y2luZSBhbmQgRGVudGlzdHJ5LCBRdWVlbiBNYXJ5IFVuaXZlcnNpdHkgb2YgTG9uZG9uLCBMb25k
b24sIFVLLjwvYXV0aC1hZGRyZXNzPjx0aXRsZXM+PHRpdGxlPkdlc3RhdGlvbmFsIHdlaWdodCBn
YWluIG91dHNpZGUgdGhlIEluc3RpdHV0ZSBvZiBNZWRpY2luZSByZWNvbW1lbmRhdGlvbnMgYW5k
IGFkdmVyc2UgcHJlZ25hbmN5IG91dGNvbWVzOiBhbmFseXNpcyB1c2luZyBpbmRpdmlkdWFsIHBh
cnRpY2lwYW50IGRhdGEgZnJvbSByYW5kb21pc2VkIHRyaWFsczwvdGl0bGU+PHNlY29uZGFyeS10
aXRsZT5CTUMgUHJlZ25hbmN5IENoaWxkYmlydGg8L3NlY29uZGFyeS10aXRsZT48L3RpdGxlcz48
cGVyaW9kaWNhbD48ZnVsbC10aXRsZT5CTUMgUHJlZ25hbmN5IENoaWxkYmlydGg8L2Z1bGwtdGl0
bGU+PC9wZXJpb2RpY2FsPjxwYWdlcz4zMjI8L3BhZ2VzPjx2b2x1bWU+MTk8L3ZvbHVtZT48bnVt
YmVyPjE8L251bWJlcj48ZWRpdGlvbj4yMDE5LzA5LzA0PC9lZGl0aW9uPjxrZXl3b3Jkcz48a2V5
d29yZD5DZXNhcmVhbiBTZWN0aW9uLypzdGF0aXN0aWNzICZhbXA7IG51bWVyaWNhbCBkYXRhPC9r
ZXl3b3JkPjxrZXl3b3JkPkZlbWFsZTwva2V5d29yZD48a2V5d29yZD5GZXRhbCBHcm93dGggUmV0
YXJkYXRpb24vKmVwaWRlbWlvbG9neTwva2V5d29yZD48a2V5d29yZD5GZXRhbCBNYWNyb3NvbWlh
LyplcGlkZW1pb2xvZ3k8L2tleXdvcmQ+PGtleXdvcmQ+Kkdlc3RhdGlvbmFsIFdlaWdodCBHYWlu
PC9rZXl3b3JkPjxrZXl3b3JkPkd1aWRlbGluZXMgYXMgVG9waWM8L2tleXdvcmQ+PGtleXdvcmQ+
SHVtYW5zPC9rZXl3b3JkPjxrZXl3b3JkPkluZmFudCwgTmV3Ym9ybjwva2V5d29yZD48a2V5d29y
ZD5JbmZhbnQsIFNtYWxsIGZvciBHZXN0YXRpb25hbCBBZ2U8L2tleXdvcmQ+PGtleXdvcmQ+TmF0
aW9uYWwgQWNhZGVtaWVzIG9mIFNjaWVuY2UsIEVuZ2luZWVyaW5nLCBhbmQgTWVkaWNpbmUsIFUu
Uy4sIEhlYWx0aCBhbmQ8L2tleXdvcmQ+PGtleXdvcmQ+TWVkaWNpbmUgRGl2aXNpb248L2tleXdv
cmQ+PGtleXdvcmQ+T2Jlc2l0eSwgTWF0ZXJuYWwvKmVwaWRlbWlvbG9neTwva2V5d29yZD48a2V5
d29yZD5PZGRzIFJhdGlvPC9rZXl3b3JkPjxrZXl3b3JkPlByZWduYW5jeTwva2V5d29yZD48a2V5
d29yZD5QcmVnbmFuY3kgT3V0Y29tZS8qZXBpZGVtaW9sb2d5PC9rZXl3b3JkPjxrZXl3b3JkPlBy
ZW1hdHVyZSBCaXJ0aC8qZXBpZGVtaW9sb2d5PC9rZXl3b3JkPjxrZXl3b3JkPlJhbmRvbWl6ZWQg
Q29udHJvbGxlZCBUcmlhbHMgYXMgVG9waWM8L2tleXdvcmQ+PGtleXdvcmQ+VW5pdGVkIFN0YXRl
czwva2V5d29yZD48a2V5d29yZD5Cb2R5IG1hc3MgaW5kZXg8L2tleXdvcmQ+PGtleXdvcmQ+R2Vz
dGF0aW9uYWwgd2VpZ2h0IGdhaW48L2tleXdvcmQ+PGtleXdvcmQ+SW5kaXZpZHVhbCBwYXJ0aWNp
cGFudCBkYXRhPC9rZXl3b3JkPjxrZXl3b3JkPkluc3RpdHV0ZSBvZiBNZWRpY2luZTwva2V5d29y
ZD48L2tleXdvcmRzPjxkYXRlcz48eWVhcj4yMDE5PC95ZWFyPjxwdWItZGF0ZXM+PGRhdGU+U2Vw
IDI8L2RhdGU+PC9wdWItZGF0ZXM+PC9kYXRlcz48aXNibj4xNDcxLTIzOTMgKEVsZWN0cm9uaWMp
JiN4RDsxNDcxLTIzOTMgKExpbmtpbmcpPC9pc2JuPjxhY2Nlc3Npb24tbnVtPjMxNDc3MDc1PC9h
Y2Nlc3Npb24tbnVtPjx1cmxzPjxyZWxhdGVkLXVybHM+PHVybD5odHRwczovL3d3dy5uY2JpLm5s
bS5uaWguZ292L3B1Ym1lZC8zMTQ3NzA3NTwvdXJsPjwvcmVsYXRlZC11cmxzPjwvdXJscz48Y3Vz
dG9tMj5QTUM2NzE5MzgyPC9jdXN0b20yPjxlbGVjdHJvbmljLXJlc291cmNlLW51bT4xMC4xMTg2
L3MxMjg4NC0wMTktMjQ3Mi03PC9lbGVjdHJvbmljLXJlc291cmNlLW51bT48L3JlY29yZD48L0Np
dGU+PC9FbmROb3RlPgB=
</w:fldData>
        </w:fldChar>
      </w:r>
      <w:r w:rsidR="001A2F28">
        <w:rPr>
          <w:shd w:val="clear" w:color="auto" w:fill="FFFFFF"/>
        </w:rPr>
        <w:instrText xml:space="preserve"> ADDIN EN.CITE.DATA </w:instrText>
      </w:r>
      <w:r w:rsidR="001A2F28">
        <w:rPr>
          <w:shd w:val="clear" w:color="auto" w:fill="FFFFFF"/>
        </w:rPr>
      </w:r>
      <w:r w:rsidR="001A2F28">
        <w:rPr>
          <w:shd w:val="clear" w:color="auto" w:fill="FFFFFF"/>
        </w:rPr>
        <w:fldChar w:fldCharType="end"/>
      </w:r>
      <w:r>
        <w:rPr>
          <w:shd w:val="clear" w:color="auto" w:fill="FFFFFF"/>
        </w:rPr>
      </w:r>
      <w:r>
        <w:rPr>
          <w:shd w:val="clear" w:color="auto" w:fill="FFFFFF"/>
        </w:rPr>
        <w:fldChar w:fldCharType="separate"/>
      </w:r>
      <w:r w:rsidR="001A2F28" w:rsidRPr="001A2F28">
        <w:rPr>
          <w:noProof/>
          <w:shd w:val="clear" w:color="auto" w:fill="FFFFFF"/>
          <w:vertAlign w:val="superscript"/>
        </w:rPr>
        <w:t>364</w:t>
      </w:r>
      <w:r>
        <w:rPr>
          <w:shd w:val="clear" w:color="auto" w:fill="FFFFFF"/>
        </w:rPr>
        <w:fldChar w:fldCharType="end"/>
      </w:r>
      <w:r>
        <w:rPr>
          <w:shd w:val="clear" w:color="auto" w:fill="FFFFFF"/>
        </w:rPr>
        <w:t xml:space="preserve"> found that weight gain</w:t>
      </w:r>
      <w:r w:rsidRPr="003A3608">
        <w:rPr>
          <w:shd w:val="clear" w:color="auto" w:fill="FFFFFF"/>
        </w:rPr>
        <w:t xml:space="preserve"> </w:t>
      </w:r>
      <w:r>
        <w:rPr>
          <w:shd w:val="clear" w:color="auto" w:fill="FFFFFF"/>
        </w:rPr>
        <w:t>higher than</w:t>
      </w:r>
      <w:r w:rsidRPr="003A3608">
        <w:rPr>
          <w:shd w:val="clear" w:color="auto" w:fill="FFFFFF"/>
        </w:rPr>
        <w:t xml:space="preserve"> recommendations was associated with increased odds of caesarea</w:t>
      </w:r>
      <w:r>
        <w:rPr>
          <w:shd w:val="clear" w:color="auto" w:fill="FFFFFF"/>
        </w:rPr>
        <w:t>n section (</w:t>
      </w:r>
      <w:r w:rsidRPr="00857C61">
        <w:rPr>
          <w:sz w:val="16"/>
          <w:szCs w:val="16"/>
          <w:shd w:val="clear" w:color="auto" w:fill="FFFFFF"/>
        </w:rPr>
        <w:t>aOR 1.50; 95%CI 1.25 to 1.80</w:t>
      </w:r>
      <w:r w:rsidRPr="003A3608">
        <w:rPr>
          <w:shd w:val="clear" w:color="auto" w:fill="FFFFFF"/>
        </w:rPr>
        <w:t xml:space="preserve">), </w:t>
      </w:r>
      <w:r>
        <w:rPr>
          <w:shd w:val="clear" w:color="auto" w:fill="FFFFFF"/>
        </w:rPr>
        <w:t>large-for-gestational-age babies</w:t>
      </w:r>
      <w:r w:rsidRPr="003A3608">
        <w:rPr>
          <w:shd w:val="clear" w:color="auto" w:fill="FFFFFF"/>
        </w:rPr>
        <w:t xml:space="preserve"> (</w:t>
      </w:r>
      <w:r w:rsidRPr="00857C61">
        <w:rPr>
          <w:sz w:val="16"/>
          <w:szCs w:val="16"/>
          <w:shd w:val="clear" w:color="auto" w:fill="FFFFFF"/>
        </w:rPr>
        <w:t>aOR 2.00; 95%CI 1.58 to 2.54</w:t>
      </w:r>
      <w:r>
        <w:rPr>
          <w:shd w:val="clear" w:color="auto" w:fill="FFFFFF"/>
        </w:rPr>
        <w:t>),</w:t>
      </w:r>
      <w:r w:rsidRPr="003A3608">
        <w:rPr>
          <w:shd w:val="clear" w:color="auto" w:fill="FFFFFF"/>
        </w:rPr>
        <w:t xml:space="preserve"> and reduced odds of </w:t>
      </w:r>
      <w:r>
        <w:rPr>
          <w:shd w:val="clear" w:color="auto" w:fill="FFFFFF"/>
        </w:rPr>
        <w:t>small-for-gestational-age babies</w:t>
      </w:r>
      <w:r w:rsidRPr="003A3608">
        <w:rPr>
          <w:shd w:val="clear" w:color="auto" w:fill="FFFFFF"/>
        </w:rPr>
        <w:t xml:space="preserve"> (</w:t>
      </w:r>
      <w:r w:rsidRPr="00857C61">
        <w:rPr>
          <w:sz w:val="16"/>
          <w:szCs w:val="16"/>
          <w:shd w:val="clear" w:color="auto" w:fill="FFFFFF"/>
        </w:rPr>
        <w:t>aOR 0.66; 0.50 to 0.87</w:t>
      </w:r>
      <w:r>
        <w:rPr>
          <w:shd w:val="clear" w:color="auto" w:fill="FFFFFF"/>
        </w:rPr>
        <w:t>). N</w:t>
      </w:r>
      <w:r w:rsidRPr="003A3608">
        <w:rPr>
          <w:shd w:val="clear" w:color="auto" w:fill="FFFFFF"/>
        </w:rPr>
        <w:t xml:space="preserve">o significant effect on preterm birth was detected. </w:t>
      </w:r>
    </w:p>
    <w:p w14:paraId="6B16647A" w14:textId="55BA2FDA" w:rsidR="00CB55A1" w:rsidRPr="00BD4CD6" w:rsidRDefault="00CB55A1" w:rsidP="00CB55A1">
      <w:r>
        <w:t>A meta-analysis of individual participant data (</w:t>
      </w:r>
      <w:r w:rsidRPr="0069246C">
        <w:rPr>
          <w:sz w:val="16"/>
          <w:szCs w:val="16"/>
        </w:rPr>
        <w:t>37 studies, 162,129 mothers and children</w:t>
      </w:r>
      <w:r>
        <w:t>)</w:t>
      </w:r>
      <w:r>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 </w:instrText>
      </w:r>
      <w:r w:rsidR="001A2F28">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EN.CITE.DATA </w:instrText>
      </w:r>
      <w:r w:rsidR="001A2F28">
        <w:fldChar w:fldCharType="end"/>
      </w:r>
      <w:r>
        <w:fldChar w:fldCharType="separate"/>
      </w:r>
      <w:r w:rsidR="001A2F28" w:rsidRPr="001A2F28">
        <w:rPr>
          <w:noProof/>
          <w:vertAlign w:val="superscript"/>
        </w:rPr>
        <w:t>365</w:t>
      </w:r>
      <w:r>
        <w:fldChar w:fldCharType="end"/>
      </w:r>
      <w:r>
        <w:t xml:space="preserve"> found that, r</w:t>
      </w:r>
      <w:r w:rsidRPr="004C79B9">
        <w:t xml:space="preserve">elative to the effect of maternal </w:t>
      </w:r>
      <w:r>
        <w:t xml:space="preserve">pre-pregnancy </w:t>
      </w:r>
      <w:r w:rsidRPr="004C79B9">
        <w:t>BMI, excessive gestational weight gain only slightly increased the risk of childhood overweight/obesity within each clinical BMI category (</w:t>
      </w:r>
      <w:r w:rsidRPr="0069246C">
        <w:rPr>
          <w:sz w:val="16"/>
          <w:szCs w:val="16"/>
        </w:rPr>
        <w:t>p-values for interactions of maternal BMI with gestational weight gain: p=0.038, p&lt;0.001, and p=0.637 in early, mid, and late childhood, respectively</w:t>
      </w:r>
      <w:r w:rsidRPr="004C79B9">
        <w:t>).</w:t>
      </w:r>
      <w:r>
        <w:t xml:space="preserve"> </w:t>
      </w:r>
    </w:p>
    <w:p w14:paraId="55197FC0" w14:textId="77777777" w:rsidR="00CB55A1" w:rsidRDefault="00CB55A1" w:rsidP="00CB55A1">
      <w:pPr>
        <w:keepNext/>
        <w:rPr>
          <w:shd w:val="clear" w:color="auto" w:fill="FFFFFF"/>
        </w:rPr>
      </w:pPr>
      <w:r>
        <w:rPr>
          <w:shd w:val="clear" w:color="auto" w:fill="FFFFFF"/>
        </w:rPr>
        <w:t>Systematic reviews of cohort studies have found that:</w:t>
      </w:r>
    </w:p>
    <w:p w14:paraId="4E46C416" w14:textId="50D16565" w:rsidR="00CB55A1" w:rsidRPr="00BD61CC" w:rsidRDefault="00CB55A1" w:rsidP="00BD61CC">
      <w:pPr>
        <w:pStyle w:val="bullet"/>
        <w:rPr>
          <w:shd w:val="clear" w:color="auto" w:fill="FFFFFF"/>
        </w:rPr>
      </w:pPr>
      <w:r>
        <w:rPr>
          <w:shd w:val="clear" w:color="auto" w:fill="FFFFFF"/>
        </w:rPr>
        <w:t>the risk of urinary incontinence increased with each 10 kg of weight gain (</w:t>
      </w:r>
      <w:r w:rsidRPr="00BD61CC">
        <w:rPr>
          <w:sz w:val="16"/>
          <w:szCs w:val="16"/>
          <w:shd w:val="clear" w:color="auto" w:fill="FFFFFF"/>
        </w:rPr>
        <w:t>RR 1.34; 95%CI 1.11 to 1.62</w:t>
      </w:r>
      <w:r>
        <w:rPr>
          <w:shd w:val="clear" w:color="auto" w:fill="FFFFFF"/>
        </w:rPr>
        <w:t>)</w:t>
      </w:r>
      <w:r>
        <w:fldChar w:fldCharType="begin">
          <w:fldData xml:space="preserve">PEVuZE5vdGU+PENpdGU+PEF1dGhvcj5BdW5lPC9BdXRob3I+PFllYXI+MjAxOTwvWWVhcj48UmVj
TnVtPjE5Njc8L1JlY051bT48RGlzcGxheVRleHQ+PHN0eWxlIGZhY2U9InN1cGVyc2NyaXB0IiBm
b250PSJUcmVidWNoZXQgTVMiIHNpemU9IjkiPjM2Njwvc3R5bGU+PC9EaXNwbGF5VGV4dD48cmVj
b3JkPjxyZWMtbnVtYmVyPjE5Njc8L3JlYy1udW1iZXI+PGZvcmVpZ24ta2V5cz48a2V5IGFwcD0i
RU4iIGRiLWlkPSJleHZhc3JmeDJkdHJhb2VzYXN4cDJzenN4YTJkZjUwMjU5MngiIHRpbWVzdGFt
cD0iMTU4ODkwMDczMSI+MTk2Nzwva2V5PjxrZXkgYXBwPSJFTldlYiIgZGItaWQ9IiI+MDwva2V5
PjwvZm9yZWlnbi1rZXlzPjxyZWYtdHlwZSBuYW1lPSJKb3VybmFsIEFydGljbGUiPjE3PC9yZWYt
dHlwZT48Y29udHJpYnV0b3JzPjxhdXRob3JzPjxhdXRob3I+QXVuZSwgRC48L2F1dGhvcj48YXV0
aG9yPk1haGFtYXQtU2FsZWgsIFkuPC9hdXRob3I+PGF1dGhvcj5Ob3JhdCwgVC48L2F1dGhvcj48
YXV0aG9yPlJpYm9saSwgRS48L2F1dGhvcj48L2F1dGhvcnM+PC9jb250cmlidXRvcnM+PGF1dGgt
YWRkcmVzcz5EZXBhcnRtZW50IG9mIEVwaWRlbWlvbG9neSBhbmQgQmlvc3RhdGlzdGljcywgU2No
b29sIG9mIFB1YmxpYyBIZWFsdGgsIEltcGVyaWFsIENvbGxlZ2UgTG9uZG9uLCBMb25kb24sIFVL
LiYjeEQ7RGVwYXJ0bWVudCBvZiBOdXRyaXRpb24sIEJqb3JrbmVzIFVuaXZlcnNpdHkgQ29sbGVn
ZSwgT3NsbywgTm9yd2F5LiYjeEQ7RGVwYXJ0bWVudCBvZiBFbmRvY3Jpbm9sb2d5LCBNb3JiaWQg
T2Jlc2l0eSBhbmQgUHJldmVudGl2ZSBNZWRpY2luZSwgT3NsbyBVbml2ZXJzaXR5IEhvc3BpdGFs
LCBPc2xvLCBOb3J3YXkuJiN4RDtDRVNQLCBGYWMuIGRlIG1lZGVjaW5lIC0gVW5pdi4gUGFyaXMt
U3VkLCBGYWMuIGRlbWVkZWNpbmUgLSBVVlNRLCBJTlNFUk0sIFVuaXZlcnNpdGUgUGFyaXMtU2Fj
bGF5LCBWaWxsZWp1aWYsIEZyYW5jZS4mI3hEO0d1c3RhdmUgUm91c3N5LCBWaWxsZWp1aWYsIEZy
YW5jZS48L2F1dGgtYWRkcmVzcz48dGl0bGVzPjx0aXRsZT5Cb2R5IG1hc3MgaW5kZXgsIGFiZG9t
aW5hbCBmYXRuZXNzLCB3ZWlnaHQgZ2FpbiBhbmQgdGhlIHJpc2sgb2YgdXJpbmFyeSBpbmNvbnRp
bmVuY2U6IGEgc3lzdGVtYXRpYyByZXZpZXcgYW5kIGRvc2UtcmVzcG9uc2UgbWV0YS1hbmFseXNp
cyBvZiBwcm9zcGVjdGl2ZSBzdHVkaWVzPC90aXRsZT48c2Vjb25kYXJ5LXRpdGxlPkJKT0c8L3Nl
Y29uZGFyeS10aXRsZT48L3RpdGxlcz48cGVyaW9kaWNhbD48ZnVsbC10aXRsZT5CSk9HPC9mdWxs
LXRpdGxlPjwvcGVyaW9kaWNhbD48cGFnZXM+MTQyNC0xNDMzPC9wYWdlcz48dm9sdW1lPjEyNjwv
dm9sdW1lPjxudW1iZXI+MTI8L251bWJlcj48ZWRpdGlvbj4yMDE5LzA4LzA0PC9lZGl0aW9uPjxr
ZXl3b3Jkcz48a2V5d29yZD5Cb2R5IE1hc3MgSW5kZXg8L2tleXdvcmQ+PGtleXdvcmQ+RmVtYWxl
PC9rZXl3b3JkPjxrZXl3b3JkPkh1bWFuczwva2V5d29yZD48a2V5d29yZD5PYmVzaXR5LCBBYmRv
bWluYWwvKmNvbXBsaWNhdGlvbnM8L2tleXdvcmQ+PGtleXdvcmQ+UHJvc3BlY3RpdmUgU3R1ZGll
czwva2V5d29yZD48a2V5d29yZD5SaXNrIEZhY3RvcnM8L2tleXdvcmQ+PGtleXdvcmQ+VXJpbmFy
eSBJbmNvbnRpbmVuY2UvKmV0aW9sb2d5PC9rZXl3b3JkPjxrZXl3b3JkPldlaWdodCBHYWluPC9r
ZXl3b3JkPjxrZXl3b3JkPm1ldGEtYW5hbHlzaXM8L2tleXdvcmQ+PGtleXdvcmQ+b2Jlc2l0eTwv
a2V5d29yZD48a2V5d29yZD5vdmVyd2VpZ2h0PC9rZXl3b3JkPjxrZXl3b3JkPnVyaW5hcnkgaW5j
b250aW5lbmNlPC9rZXl3b3JkPjxrZXl3b3JkPndhaXN0IGNpcmN1bWZlcmVuY2U8L2tleXdvcmQ+
PC9rZXl3b3Jkcz48ZGF0ZXM+PHllYXI+MjAxOTwveWVhcj48cHViLWRhdGVzPjxkYXRlPk5vdjwv
ZGF0ZT48L3B1Yi1kYXRlcz48L2RhdGVzPjxpc2JuPjE0NzEtMDUyOCAoRWxlY3Ryb25pYykmI3hE
OzE0NzAtMDMyOCAoTGlua2luZyk8L2lzYm4+PGFjY2Vzc2lvbi1udW0+MzEzNzYyMTE8L2FjY2Vz
c2lvbi1udW0+PHVybHM+PHJlbGF0ZWQtdXJscz48dXJsPmh0dHBzOi8vd3d3Lm5jYmkubmxtLm5p
aC5nb3YvcHVibWVkLzMxMzc2MjExPC91cmw+PC9yZWxhdGVkLXVybHM+PC91cmxzPjxlbGVjdHJv
bmljLXJlc291cmNlLW51bT4xMC4xMTExLzE0NzEtMDUyOC4xNTg5NzwvZWxlY3Ryb25pYy1yZXNv
dXJjZS1udW0+PC9yZWNvcmQ+PC9DaXRlPjwvRW5kTm90ZT5=
</w:fldData>
        </w:fldChar>
      </w:r>
      <w:r w:rsidR="001A2F28">
        <w:instrText xml:space="preserve"> ADDIN EN.CITE </w:instrText>
      </w:r>
      <w:r w:rsidR="001A2F28">
        <w:fldChar w:fldCharType="begin">
          <w:fldData xml:space="preserve">PEVuZE5vdGU+PENpdGU+PEF1dGhvcj5BdW5lPC9BdXRob3I+PFllYXI+MjAxOTwvWWVhcj48UmVj
TnVtPjE5Njc8L1JlY051bT48RGlzcGxheVRleHQ+PHN0eWxlIGZhY2U9InN1cGVyc2NyaXB0IiBm
b250PSJUcmVidWNoZXQgTVMiIHNpemU9IjkiPjM2Njwvc3R5bGU+PC9EaXNwbGF5VGV4dD48cmVj
b3JkPjxyZWMtbnVtYmVyPjE5Njc8L3JlYy1udW1iZXI+PGZvcmVpZ24ta2V5cz48a2V5IGFwcD0i
RU4iIGRiLWlkPSJleHZhc3JmeDJkdHJhb2VzYXN4cDJzenN4YTJkZjUwMjU5MngiIHRpbWVzdGFt
cD0iMTU4ODkwMDczMSI+MTk2Nzwva2V5PjxrZXkgYXBwPSJFTldlYiIgZGItaWQ9IiI+MDwva2V5
PjwvZm9yZWlnbi1rZXlzPjxyZWYtdHlwZSBuYW1lPSJKb3VybmFsIEFydGljbGUiPjE3PC9yZWYt
dHlwZT48Y29udHJpYnV0b3JzPjxhdXRob3JzPjxhdXRob3I+QXVuZSwgRC48L2F1dGhvcj48YXV0
aG9yPk1haGFtYXQtU2FsZWgsIFkuPC9hdXRob3I+PGF1dGhvcj5Ob3JhdCwgVC48L2F1dGhvcj48
YXV0aG9yPlJpYm9saSwgRS48L2F1dGhvcj48L2F1dGhvcnM+PC9jb250cmlidXRvcnM+PGF1dGgt
YWRkcmVzcz5EZXBhcnRtZW50IG9mIEVwaWRlbWlvbG9neSBhbmQgQmlvc3RhdGlzdGljcywgU2No
b29sIG9mIFB1YmxpYyBIZWFsdGgsIEltcGVyaWFsIENvbGxlZ2UgTG9uZG9uLCBMb25kb24sIFVL
LiYjeEQ7RGVwYXJ0bWVudCBvZiBOdXRyaXRpb24sIEJqb3JrbmVzIFVuaXZlcnNpdHkgQ29sbGVn
ZSwgT3NsbywgTm9yd2F5LiYjeEQ7RGVwYXJ0bWVudCBvZiBFbmRvY3Jpbm9sb2d5LCBNb3JiaWQg
T2Jlc2l0eSBhbmQgUHJldmVudGl2ZSBNZWRpY2luZSwgT3NsbyBVbml2ZXJzaXR5IEhvc3BpdGFs
LCBPc2xvLCBOb3J3YXkuJiN4RDtDRVNQLCBGYWMuIGRlIG1lZGVjaW5lIC0gVW5pdi4gUGFyaXMt
U3VkLCBGYWMuIGRlbWVkZWNpbmUgLSBVVlNRLCBJTlNFUk0sIFVuaXZlcnNpdGUgUGFyaXMtU2Fj
bGF5LCBWaWxsZWp1aWYsIEZyYW5jZS4mI3hEO0d1c3RhdmUgUm91c3N5LCBWaWxsZWp1aWYsIEZy
YW5jZS48L2F1dGgtYWRkcmVzcz48dGl0bGVzPjx0aXRsZT5Cb2R5IG1hc3MgaW5kZXgsIGFiZG9t
aW5hbCBmYXRuZXNzLCB3ZWlnaHQgZ2FpbiBhbmQgdGhlIHJpc2sgb2YgdXJpbmFyeSBpbmNvbnRp
bmVuY2U6IGEgc3lzdGVtYXRpYyByZXZpZXcgYW5kIGRvc2UtcmVzcG9uc2UgbWV0YS1hbmFseXNp
cyBvZiBwcm9zcGVjdGl2ZSBzdHVkaWVzPC90aXRsZT48c2Vjb25kYXJ5LXRpdGxlPkJKT0c8L3Nl
Y29uZGFyeS10aXRsZT48L3RpdGxlcz48cGVyaW9kaWNhbD48ZnVsbC10aXRsZT5CSk9HPC9mdWxs
LXRpdGxlPjwvcGVyaW9kaWNhbD48cGFnZXM+MTQyNC0xNDMzPC9wYWdlcz48dm9sdW1lPjEyNjwv
dm9sdW1lPjxudW1iZXI+MTI8L251bWJlcj48ZWRpdGlvbj4yMDE5LzA4LzA0PC9lZGl0aW9uPjxr
ZXl3b3Jkcz48a2V5d29yZD5Cb2R5IE1hc3MgSW5kZXg8L2tleXdvcmQ+PGtleXdvcmQ+RmVtYWxl
PC9rZXl3b3JkPjxrZXl3b3JkPkh1bWFuczwva2V5d29yZD48a2V5d29yZD5PYmVzaXR5LCBBYmRv
bWluYWwvKmNvbXBsaWNhdGlvbnM8L2tleXdvcmQ+PGtleXdvcmQ+UHJvc3BlY3RpdmUgU3R1ZGll
czwva2V5d29yZD48a2V5d29yZD5SaXNrIEZhY3RvcnM8L2tleXdvcmQ+PGtleXdvcmQ+VXJpbmFy
eSBJbmNvbnRpbmVuY2UvKmV0aW9sb2d5PC9rZXl3b3JkPjxrZXl3b3JkPldlaWdodCBHYWluPC9r
ZXl3b3JkPjxrZXl3b3JkPm1ldGEtYW5hbHlzaXM8L2tleXdvcmQ+PGtleXdvcmQ+b2Jlc2l0eTwv
a2V5d29yZD48a2V5d29yZD5vdmVyd2VpZ2h0PC9rZXl3b3JkPjxrZXl3b3JkPnVyaW5hcnkgaW5j
b250aW5lbmNlPC9rZXl3b3JkPjxrZXl3b3JkPndhaXN0IGNpcmN1bWZlcmVuY2U8L2tleXdvcmQ+
PC9rZXl3b3Jkcz48ZGF0ZXM+PHllYXI+MjAxOTwveWVhcj48cHViLWRhdGVzPjxkYXRlPk5vdjwv
ZGF0ZT48L3B1Yi1kYXRlcz48L2RhdGVzPjxpc2JuPjE0NzEtMDUyOCAoRWxlY3Ryb25pYykmI3hE
OzE0NzAtMDMyOCAoTGlua2luZyk8L2lzYm4+PGFjY2Vzc2lvbi1udW0+MzEzNzYyMTE8L2FjY2Vz
c2lvbi1udW0+PHVybHM+PHJlbGF0ZWQtdXJscz48dXJsPmh0dHBzOi8vd3d3Lm5jYmkubmxtLm5p
aC5nb3YvcHVibWVkLzMxMzc2MjExPC91cmw+PC9yZWxhdGVkLXVybHM+PC91cmxzPjxlbGVjdHJv
bmljLXJlc291cmNlLW51bT4xMC4xMTExLzE0NzEtMDUyOC4xNTg5NzwvZWxlY3Ryb25pYy1yZXNv
dXJjZS1udW0+PC9yZWNvcmQ+PC9DaXRlPjwvRW5kTm90ZT5=
</w:fldData>
        </w:fldChar>
      </w:r>
      <w:r w:rsidR="001A2F28">
        <w:instrText xml:space="preserve"> ADDIN EN.CITE.DATA </w:instrText>
      </w:r>
      <w:r w:rsidR="001A2F28">
        <w:fldChar w:fldCharType="end"/>
      </w:r>
      <w:r>
        <w:fldChar w:fldCharType="separate"/>
      </w:r>
      <w:r w:rsidR="001A2F28" w:rsidRPr="001A2F28">
        <w:rPr>
          <w:noProof/>
          <w:vertAlign w:val="superscript"/>
        </w:rPr>
        <w:t>366</w:t>
      </w:r>
      <w:r>
        <w:fldChar w:fldCharType="end"/>
      </w:r>
    </w:p>
    <w:p w14:paraId="0BDD69F2" w14:textId="7228CF13" w:rsidR="00CB55A1" w:rsidRPr="00857C61" w:rsidRDefault="00CB55A1" w:rsidP="00BD61CC">
      <w:pPr>
        <w:pStyle w:val="bullet"/>
        <w:rPr>
          <w:shd w:val="clear" w:color="auto" w:fill="FFFFFF"/>
        </w:rPr>
      </w:pPr>
      <w:r>
        <w:t>weight gain exceeding recommendations may</w:t>
      </w:r>
      <w:r w:rsidRPr="00A85AD8">
        <w:t xml:space="preserve"> increase th</w:t>
      </w:r>
      <w:r>
        <w:t>e risk of autism spectrum disorder (</w:t>
      </w:r>
      <w:r w:rsidRPr="00BD61CC">
        <w:rPr>
          <w:sz w:val="16"/>
          <w:szCs w:val="16"/>
        </w:rPr>
        <w:t>OR 1.23; 95%CI 1.09 to 1.38; p=0.0008</w:t>
      </w:r>
      <w:r w:rsidRPr="00A85AD8">
        <w:t>)</w:t>
      </w:r>
      <w:r>
        <w:t xml:space="preserve"> but more studies are needed to confirm this result.</w:t>
      </w:r>
      <w:r>
        <w:fldChar w:fldCharType="begin">
          <w:fldData xml:space="preserve">PEVuZE5vdGU+PENpdGU+PEF1dGhvcj5UaWFuPC9BdXRob3I+PFllYXI+MjAxOTwvWWVhcj48UmVj
TnVtPjE5MzE8L1JlY051bT48RGlzcGxheVRleHQ+PHN0eWxlIGZhY2U9InN1cGVyc2NyaXB0IiBm
b250PSJUcmVidWNoZXQgTVMiIHNpemU9IjkiPjM2Nzwvc3R5bGU+PC9EaXNwbGF5VGV4dD48cmVj
b3JkPjxyZWMtbnVtYmVyPjE5MzE8L3JlYy1udW1iZXI+PGZvcmVpZ24ta2V5cz48a2V5IGFwcD0i
RU4iIGRiLWlkPSJleHZhc3JmeDJkdHJhb2VzYXN4cDJzenN4YTJkZjUwMjU5MngiIHRpbWVzdGFt
cD0iMTU4ODY1NDA1NCI+MTkzMTwva2V5PjxrZXkgYXBwPSJFTldlYiIgZGItaWQ9IiI+MDwva2V5
PjwvZm9yZWlnbi1rZXlzPjxyZWYtdHlwZSBuYW1lPSJKb3VybmFsIEFydGljbGUiPjE3PC9yZWYt
dHlwZT48Y29udHJpYnV0b3JzPjxhdXRob3JzPjxhdXRob3I+VGlhbiwgWi4gWC48L2F1dGhvcj48
YXV0aG9yPldhbiwgTS48L2F1dGhvcj48YXV0aG9yPkdhbywgWS4gTC48L2F1dGhvcj48YXV0aG9y
Pld1LCBCLiBGLjwvYXV0aG9yPjxhdXRob3I+WGllLCBZLjwvYXV0aG9yPjxhdXRob3I+TGl1LCBK
LjwvYXV0aG9yPjxhdXRob3I+U3UsIFIuIFouPC9hdXRob3I+PGF1dGhvcj5UaWFuLCBMLiBMLjwv
YXV0aG9yPjxhdXRob3I+SHUsIFkuIFEuPC9hdXRob3I+PC9hdXRob3JzPjwvY29udHJpYnV0b3Jz
PjxhdXRoLWFkZHJlc3M+RGVwYXJ0bWVudCBvZiBEaWdlc3RpdmUgTWVkaWNpbmUsIFhpYW1lbiBV
bml2ZXJzaXR5IEFmZmlsaWF0ZWQgWmhvbmcgU2hhbiBIb3NwaXRhbCwgWGlhbWVuIFVuaXZlcnNp
dHkgTWVkaWNhbCBTY2hvb2wsIFhpYW1lbiwgQ2hpbmEuJiN4RDtEZXBhcnRtZW50IG9mIEdhc3Ry
b2VudGVyb2xvZ3ksIFpob25nc2hhbiBIb3NwaXRhbCBBZmZpbGlhdGVkIHRvIFhpYW1lbiBVbml2
ZXJzaXR5LCBYaWFtZW4sIENoaW5hLiYjeEQ7TmludGggUGVvcGxlJmFwb3M7cyBIb3NwaXRhbCBv
ZiBDaG9uZ3FpbmcsIFNoYW5naGFpLCBDaGluYS4mI3hEO1hpYUhlIERpdmlzaW9uLCBaaG9uZ3No
YW4gSG9zcGl0YWwgQWZmaWxpYXRlZCB0byBYaWFtZW4gVW5pdmVyc2l0eSwgWGlhbWVuLCBDaGlu
YS4mI3hEO0RlcGFydG1lbnQgb2YgR3luYWVjb2xvZ3kgYW5kIE9ic3RldHJpY3MsIFpob25nc2hh
biBIb3NwaXRhbCBBZmZpbGlhdGVkIHRvIFhpYW1lbiBVbml2ZXJzaXR5LCBYaWFtZW4sIENoaW5h
LjwvYXV0aC1hZGRyZXNzPjx0aXRsZXM+PHRpdGxlPkdlc3RhdGlvbmFsIHdlaWdodCBnYWluIGFu
ZCByaXNrIG9mIGF1dGlzbSBzcGVjdHJ1bSBkaXNvcmRlcnMgaW4gb2Zmc3ByaW5nOiBhIHN5c3Rl
bWF0aWMgcmV2aWV3IGFuZCBtZXRhLWFuYWx5c2lzPC90aXRsZT48c2Vjb25kYXJ5LXRpdGxlPkog
T2JzdGV0IEd5bmFlY29sPC9zZWNvbmRhcnktdGl0bGU+PC90aXRsZXM+PHBlcmlvZGljYWw+PGZ1
bGwtdGl0bGU+SiBPYnN0ZXQgR3luYWVjb2w8L2Z1bGwtdGl0bGU+PC9wZXJpb2RpY2FsPjxwYWdl
cz4xLTg8L3BhZ2VzPjxlZGl0aW9uPjIwMTkvMTIvMDQ8L2VkaXRpb24+PGtleXdvcmRzPjxrZXl3
b3JkPkFzZDwva2V5d29yZD48a2V5d29yZD5Hd2c8L2tleXdvcmQ+PGtleXdvcmQ+R2VzdGF0aW9u
YWwgd2VpZ2h0IGdhaW48L2tleXdvcmQ+PGtleXdvcmQ+YXV0aXNtPC9rZXl3b3JkPjxrZXl3b3Jk
PmF1dGlzbSBzcGVjdHJ1bSBkaXNvcmRlcnM8L2tleXdvcmQ+PGtleXdvcmQ+bWV0YS1hbmFseXNp
czwva2V5d29yZD48a2V5d29yZD5zeXN0ZW1hdGljIHJldmlldzwva2V5d29yZD48L2tleXdvcmRz
PjxkYXRlcz48eWVhcj4yMDE5PC95ZWFyPjxwdWItZGF0ZXM+PGRhdGU+RGVjIDI8L2RhdGU+PC9w
dWItZGF0ZXM+PC9kYXRlcz48aXNibj4xMzY0LTY4OTMgKEVsZWN0cm9uaWMpJiN4RDswMTQ0LTM2
MTUgKExpbmtpbmcpPC9pc2JuPjxhY2Nlc3Npb24tbnVtPjMxNzkwMzE1PC9hY2Nlc3Npb24tbnVt
Pjx1cmxzPjxyZWxhdGVkLXVybHM+PHVybD5odHRwczovL3d3dy5uY2JpLm5sbS5uaWguZ292L3B1
Ym1lZC8zMTc5MDMxNTwvdXJsPjwvcmVsYXRlZC11cmxzPjwvdXJscz48ZWxlY3Ryb25pYy1yZXNv
dXJjZS1udW0+MTAuMTA4MC8wMTQ0MzYxNS4yMDE5LjE2NzYyMTE8L2VsZWN0cm9uaWMtcmVzb3Vy
Y2UtbnVtPjwvcmVjb3JkPjwvQ2l0ZT48L0VuZE5vdGU+
</w:fldData>
        </w:fldChar>
      </w:r>
      <w:r w:rsidR="001A2F28">
        <w:instrText xml:space="preserve"> ADDIN EN.CITE </w:instrText>
      </w:r>
      <w:r w:rsidR="001A2F28">
        <w:fldChar w:fldCharType="begin">
          <w:fldData xml:space="preserve">PEVuZE5vdGU+PENpdGU+PEF1dGhvcj5UaWFuPC9BdXRob3I+PFllYXI+MjAxOTwvWWVhcj48UmVj
TnVtPjE5MzE8L1JlY051bT48RGlzcGxheVRleHQ+PHN0eWxlIGZhY2U9InN1cGVyc2NyaXB0IiBm
b250PSJUcmVidWNoZXQgTVMiIHNpemU9IjkiPjM2Nzwvc3R5bGU+PC9EaXNwbGF5VGV4dD48cmVj
b3JkPjxyZWMtbnVtYmVyPjE5MzE8L3JlYy1udW1iZXI+PGZvcmVpZ24ta2V5cz48a2V5IGFwcD0i
RU4iIGRiLWlkPSJleHZhc3JmeDJkdHJhb2VzYXN4cDJzenN4YTJkZjUwMjU5MngiIHRpbWVzdGFt
cD0iMTU4ODY1NDA1NCI+MTkzMTwva2V5PjxrZXkgYXBwPSJFTldlYiIgZGItaWQ9IiI+MDwva2V5
PjwvZm9yZWlnbi1rZXlzPjxyZWYtdHlwZSBuYW1lPSJKb3VybmFsIEFydGljbGUiPjE3PC9yZWYt
dHlwZT48Y29udHJpYnV0b3JzPjxhdXRob3JzPjxhdXRob3I+VGlhbiwgWi4gWC48L2F1dGhvcj48
YXV0aG9yPldhbiwgTS48L2F1dGhvcj48YXV0aG9yPkdhbywgWS4gTC48L2F1dGhvcj48YXV0aG9y
Pld1LCBCLiBGLjwvYXV0aG9yPjxhdXRob3I+WGllLCBZLjwvYXV0aG9yPjxhdXRob3I+TGl1LCBK
LjwvYXV0aG9yPjxhdXRob3I+U3UsIFIuIFouPC9hdXRob3I+PGF1dGhvcj5UaWFuLCBMLiBMLjwv
YXV0aG9yPjxhdXRob3I+SHUsIFkuIFEuPC9hdXRob3I+PC9hdXRob3JzPjwvY29udHJpYnV0b3Jz
PjxhdXRoLWFkZHJlc3M+RGVwYXJ0bWVudCBvZiBEaWdlc3RpdmUgTWVkaWNpbmUsIFhpYW1lbiBV
bml2ZXJzaXR5IEFmZmlsaWF0ZWQgWmhvbmcgU2hhbiBIb3NwaXRhbCwgWGlhbWVuIFVuaXZlcnNp
dHkgTWVkaWNhbCBTY2hvb2wsIFhpYW1lbiwgQ2hpbmEuJiN4RDtEZXBhcnRtZW50IG9mIEdhc3Ry
b2VudGVyb2xvZ3ksIFpob25nc2hhbiBIb3NwaXRhbCBBZmZpbGlhdGVkIHRvIFhpYW1lbiBVbml2
ZXJzaXR5LCBYaWFtZW4sIENoaW5hLiYjeEQ7TmludGggUGVvcGxlJmFwb3M7cyBIb3NwaXRhbCBv
ZiBDaG9uZ3FpbmcsIFNoYW5naGFpLCBDaGluYS4mI3hEO1hpYUhlIERpdmlzaW9uLCBaaG9uZ3No
YW4gSG9zcGl0YWwgQWZmaWxpYXRlZCB0byBYaWFtZW4gVW5pdmVyc2l0eSwgWGlhbWVuLCBDaGlu
YS4mI3hEO0RlcGFydG1lbnQgb2YgR3luYWVjb2xvZ3kgYW5kIE9ic3RldHJpY3MsIFpob25nc2hh
biBIb3NwaXRhbCBBZmZpbGlhdGVkIHRvIFhpYW1lbiBVbml2ZXJzaXR5LCBYaWFtZW4sIENoaW5h
LjwvYXV0aC1hZGRyZXNzPjx0aXRsZXM+PHRpdGxlPkdlc3RhdGlvbmFsIHdlaWdodCBnYWluIGFu
ZCByaXNrIG9mIGF1dGlzbSBzcGVjdHJ1bSBkaXNvcmRlcnMgaW4gb2Zmc3ByaW5nOiBhIHN5c3Rl
bWF0aWMgcmV2aWV3IGFuZCBtZXRhLWFuYWx5c2lzPC90aXRsZT48c2Vjb25kYXJ5LXRpdGxlPkog
T2JzdGV0IEd5bmFlY29sPC9zZWNvbmRhcnktdGl0bGU+PC90aXRsZXM+PHBlcmlvZGljYWw+PGZ1
bGwtdGl0bGU+SiBPYnN0ZXQgR3luYWVjb2w8L2Z1bGwtdGl0bGU+PC9wZXJpb2RpY2FsPjxwYWdl
cz4xLTg8L3BhZ2VzPjxlZGl0aW9uPjIwMTkvMTIvMDQ8L2VkaXRpb24+PGtleXdvcmRzPjxrZXl3
b3JkPkFzZDwva2V5d29yZD48a2V5d29yZD5Hd2c8L2tleXdvcmQ+PGtleXdvcmQ+R2VzdGF0aW9u
YWwgd2VpZ2h0IGdhaW48L2tleXdvcmQ+PGtleXdvcmQ+YXV0aXNtPC9rZXl3b3JkPjxrZXl3b3Jk
PmF1dGlzbSBzcGVjdHJ1bSBkaXNvcmRlcnM8L2tleXdvcmQ+PGtleXdvcmQ+bWV0YS1hbmFseXNp
czwva2V5d29yZD48a2V5d29yZD5zeXN0ZW1hdGljIHJldmlldzwva2V5d29yZD48L2tleXdvcmRz
PjxkYXRlcz48eWVhcj4yMDE5PC95ZWFyPjxwdWItZGF0ZXM+PGRhdGU+RGVjIDI8L2RhdGU+PC9w
dWItZGF0ZXM+PC9kYXRlcz48aXNibj4xMzY0LTY4OTMgKEVsZWN0cm9uaWMpJiN4RDswMTQ0LTM2
MTUgKExpbmtpbmcpPC9pc2JuPjxhY2Nlc3Npb24tbnVtPjMxNzkwMzE1PC9hY2Nlc3Npb24tbnVt
Pjx1cmxzPjxyZWxhdGVkLXVybHM+PHVybD5odHRwczovL3d3dy5uY2JpLm5sbS5uaWguZ292L3B1
Ym1lZC8zMTc5MDMxNTwvdXJsPjwvcmVsYXRlZC11cmxzPjwvdXJscz48ZWxlY3Ryb25pYy1yZXNv
dXJjZS1udW0+MTAuMTA4MC8wMTQ0MzYxNS4yMDE5LjE2NzYyMTE8L2VsZWN0cm9uaWMtcmVzb3Vy
Y2UtbnVtPjwvcmVjb3JkPjwvQ2l0ZT48L0VuZE5vdGU+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367</w:t>
      </w:r>
      <w:r>
        <w:fldChar w:fldCharType="end"/>
      </w:r>
    </w:p>
    <w:p w14:paraId="4836163F" w14:textId="77777777" w:rsidR="00CB55A1" w:rsidRDefault="00CB55A1" w:rsidP="00CB55A1">
      <w:pPr>
        <w:pStyle w:val="Heading5"/>
      </w:pPr>
      <w:r>
        <w:t>High weight gain in early pregnancy</w:t>
      </w:r>
    </w:p>
    <w:p w14:paraId="5E00449A" w14:textId="3218B96F" w:rsidR="00CB55A1" w:rsidRDefault="00CB55A1" w:rsidP="00CB55A1">
      <w:r>
        <w:t>A secondary analysis of an RCT (</w:t>
      </w:r>
      <w:r w:rsidRPr="00CF4EAA">
        <w:rPr>
          <w:sz w:val="16"/>
          <w:szCs w:val="16"/>
        </w:rPr>
        <w:t>n=7,895</w:t>
      </w:r>
      <w:r>
        <w:t>)</w:t>
      </w:r>
      <w:r>
        <w:fldChar w:fldCharType="begin">
          <w:fldData xml:space="preserve">PEVuZE5vdGU+PENpdGU+PEF1dGhvcj5DYXJyZW5vPC9BdXRob3I+PFllYXI+MjAxMjwvWWVhcj48
UmVjTnVtPjE3NTU8L1JlY051bT48RGlzcGxheVRleHQ+PHN0eWxlIGZhY2U9InN1cGVyc2NyaXB0
IiBmb250PSJUcmVidWNoZXQgTVMiIHNpemU9IjkiPjM2ODwvc3R5bGU+PC9EaXNwbGF5VGV4dD48
cmVjb3JkPjxyZWMtbnVtYmVyPjE3NTU8L3JlYy1udW1iZXI+PGZvcmVpZ24ta2V5cz48a2V5IGFw
cD0iRU4iIGRiLWlkPSJleHZhc3JmeDJkdHJhb2VzYXN4cDJzenN4YTJkZjUwMjU5MngiIHRpbWVz
dGFtcD0iMTU4Mjg2NzEwNSI+MTc1NTwva2V5PjxrZXkgYXBwPSJFTldlYiIgZGItaWQ9IiI+MDwv
a2V5PjwvZm9yZWlnbi1rZXlzPjxyZWYtdHlwZSBuYW1lPSJKb3VybmFsIEFydGljbGUiPjE3PC9y
ZWYtdHlwZT48Y29udHJpYnV0b3JzPjxhdXRob3JzPjxhdXRob3I+Q2FycmVubywgQy4gQS48L2F1
dGhvcj48YXV0aG9yPkNsaWZ0b24sIFIuIEcuPC9hdXRob3I+PGF1dGhvcj5IYXV0aCwgSi4gQy48
L2F1dGhvcj48YXV0aG9yPk15YXR0LCBMLjwvYXV0aG9yPjxhdXRob3I+Um9iZXJ0cywgSi4gTS48
L2F1dGhvcj48YXV0aG9yPlNwb25nLCBDLiBZLjwvYXV0aG9yPjxhdXRob3I+VmFybmVyLCBNLiBX
LjwvYXV0aG9yPjxhdXRob3I+VGhvcnAsIEouIE0uLCBKci48L2F1dGhvcj48YXV0aG9yPk1lcmNl
ciwgQi4gTS48L2F1dGhvcj48YXV0aG9yPlBlYWNlbWFuLCBBLiBNLjwvYXV0aG9yPjxhdXRob3I+
UmFtaW4sIFMuIE0uPC9hdXRob3I+PGF1dGhvcj5DYXJwZW50ZXIsIE0uIFcuPC9hdXRob3I+PGF1
dGhvcj5TY2lzY2lvbmUsIEEuPC9hdXRob3I+PGF1dGhvcj5Ub2xvc2EsIEouIEUuPC9hdXRob3I+
PGF1dGhvcj5TYWFkZSwgRy4gUi48L2F1dGhvcj48YXV0aG9yPlNvcm9raW4sIFkuPC9hdXRob3I+
PGF1dGhvcj5FdW5pY2UgS2VubmVkeSBTaHJpdmVyIE5hdGlvbmFsIEluc3RpdHV0ZSBvZiBDaGls
ZCwgSGVhbHRoPC9hdXRob3I+PGF1dGhvcj5IdW1hbiBEZXZlbG9wbWVudCBNYXRlcm5hbC1GZXRh
bCBNZWRpY2luZSBVbml0cywgTmV0d29yazwvYXV0aG9yPjwvYXV0aG9ycz48L2NvbnRyaWJ1dG9y
cz48YXV0aC1hZGRyZXNzPkRlcGFydG1lbnQgb2YgT2JzdGV0cmljcyBhbmQgR3luZWNvbG9neSwg
VW5pdmVyc2l0eSBvZiBUZXhhcyBIZWFsdGggU2NpZW5jZSBDZW50ZXIsIEhvdXN0b24sIFRYLCBV
U0EuPC9hdXRoLWFkZHJlc3M+PHRpdGxlcz48dGl0bGU+RXhjZXNzaXZlIGVhcmx5IGdlc3RhdGlv
bmFsIHdlaWdodCBnYWluIGFuZCByaXNrIG9mIGdlc3RhdGlvbmFsIGRpYWJldGVzIG1lbGxpdHVz
IGluIG51bGxpcGFyb3VzIHdvbWVuPC90aXRsZT48c2Vjb25kYXJ5LXRpdGxlPk9ic3RldCBHeW5l
Y29sPC9zZWNvbmRhcnktdGl0bGU+PC90aXRsZXM+PHBlcmlvZGljYWw+PGZ1bGwtdGl0bGU+T2Jz
dGV0IEd5bmVjb2w8L2Z1bGwtdGl0bGU+PC9wZXJpb2RpY2FsPjxwYWdlcz4xMjI3LTMzPC9wYWdl
cz48dm9sdW1lPjExOTwvdm9sdW1lPjxudW1iZXI+NjwvbnVtYmVyPjxlZGl0aW9uPjIwMTIvMDUv
MjQ8L2VkaXRpb24+PGtleXdvcmRzPjxrZXl3b3JkPkFkb2xlc2NlbnQ8L2tleXdvcmQ+PGtleXdv
cmQ+QWR1bHQ8L2tleXdvcmQ+PGtleXdvcmQ+QmlydGggV2VpZ2h0PC9rZXl3b3JkPjxrZXl3b3Jk
PkRpYWJldGVzLCBHZXN0YXRpb25hbC8qZXBpZGVtaW9sb2d5PC9rZXl3b3JkPjxrZXl3b3JkPkZl
bWFsZTwva2V5d29yZD48a2V5d29yZD5GZXRhbCBEZXZlbG9wbWVudDwva2V5d29yZD48a2V5d29y
ZD5IdW1hbnM8L2tleXdvcmQ+PGtleXdvcmQ+UGFyaXR5PC9rZXl3b3JkPjxrZXl3b3JkPlByZWdu
YW5jeTwva2V5d29yZD48a2V5d29yZD5SYW5kb21pemVkIENvbnRyb2xsZWQgVHJpYWxzIGFzIFRv
cGljPC9rZXl3b3JkPjxrZXl3b3JkPipXZWlnaHQgR2Fpbjwva2V5d29yZD48a2V5d29yZD5Zb3Vu
ZyBBZHVsdDwva2V5d29yZD48L2tleXdvcmRzPjxkYXRlcz48eWVhcj4yMDEyPC95ZWFyPjxwdWIt
ZGF0ZXM+PGRhdGU+SnVuPC9kYXRlPjwvcHViLWRhdGVzPjwvZGF0ZXM+PGlzYm4+MTg3My0yMzNY
IChFbGVjdHJvbmljKSYjeEQ7MDAyOS03ODQ0IChMaW5raW5nKTwvaXNibj48YWNjZXNzaW9uLW51
bT4yMjYxNzU4ODwvYWNjZXNzaW9uLW51bT48dXJscz48cmVsYXRlZC11cmxzPjx1cmw+aHR0cHM6
Ly93d3cubmNiaS5ubG0ubmloLmdvdi9wdWJtZWQvMjI2MTc1ODg8L3VybD48L3JlbGF0ZWQtdXJs
cz48L3VybHM+PGN1c3RvbTI+UE1DMzM2MDQxNTwvY3VzdG9tMj48ZWxlY3Ryb25pYy1yZXNvdXJj
ZS1udW0+MTAuMTA5Ny9BT0cuMGIwMTNlMzE4MjU2Y2YxYTwvZWxlY3Ryb25pYy1yZXNvdXJjZS1u
dW0+PC9yZWNvcmQ+PC9DaXRlPjwvRW5kTm90ZT5=
</w:fldData>
        </w:fldChar>
      </w:r>
      <w:r w:rsidR="001A2F28">
        <w:instrText xml:space="preserve"> ADDIN EN.CITE </w:instrText>
      </w:r>
      <w:r w:rsidR="001A2F28">
        <w:fldChar w:fldCharType="begin">
          <w:fldData xml:space="preserve">PEVuZE5vdGU+PENpdGU+PEF1dGhvcj5DYXJyZW5vPC9BdXRob3I+PFllYXI+MjAxMjwvWWVhcj48
UmVjTnVtPjE3NTU8L1JlY051bT48RGlzcGxheVRleHQ+PHN0eWxlIGZhY2U9InN1cGVyc2NyaXB0
IiBmb250PSJUcmVidWNoZXQgTVMiIHNpemU9IjkiPjM2ODwvc3R5bGU+PC9EaXNwbGF5VGV4dD48
cmVjb3JkPjxyZWMtbnVtYmVyPjE3NTU8L3JlYy1udW1iZXI+PGZvcmVpZ24ta2V5cz48a2V5IGFw
cD0iRU4iIGRiLWlkPSJleHZhc3JmeDJkdHJhb2VzYXN4cDJzenN4YTJkZjUwMjU5MngiIHRpbWVz
dGFtcD0iMTU4Mjg2NzEwNSI+MTc1NTwva2V5PjxrZXkgYXBwPSJFTldlYiIgZGItaWQ9IiI+MDwv
a2V5PjwvZm9yZWlnbi1rZXlzPjxyZWYtdHlwZSBuYW1lPSJKb3VybmFsIEFydGljbGUiPjE3PC9y
ZWYtdHlwZT48Y29udHJpYnV0b3JzPjxhdXRob3JzPjxhdXRob3I+Q2FycmVubywgQy4gQS48L2F1
dGhvcj48YXV0aG9yPkNsaWZ0b24sIFIuIEcuPC9hdXRob3I+PGF1dGhvcj5IYXV0aCwgSi4gQy48
L2F1dGhvcj48YXV0aG9yPk15YXR0LCBMLjwvYXV0aG9yPjxhdXRob3I+Um9iZXJ0cywgSi4gTS48
L2F1dGhvcj48YXV0aG9yPlNwb25nLCBDLiBZLjwvYXV0aG9yPjxhdXRob3I+VmFybmVyLCBNLiBX
LjwvYXV0aG9yPjxhdXRob3I+VGhvcnAsIEouIE0uLCBKci48L2F1dGhvcj48YXV0aG9yPk1lcmNl
ciwgQi4gTS48L2F1dGhvcj48YXV0aG9yPlBlYWNlbWFuLCBBLiBNLjwvYXV0aG9yPjxhdXRob3I+
UmFtaW4sIFMuIE0uPC9hdXRob3I+PGF1dGhvcj5DYXJwZW50ZXIsIE0uIFcuPC9hdXRob3I+PGF1
dGhvcj5TY2lzY2lvbmUsIEEuPC9hdXRob3I+PGF1dGhvcj5Ub2xvc2EsIEouIEUuPC9hdXRob3I+
PGF1dGhvcj5TYWFkZSwgRy4gUi48L2F1dGhvcj48YXV0aG9yPlNvcm9raW4sIFkuPC9hdXRob3I+
PGF1dGhvcj5FdW5pY2UgS2VubmVkeSBTaHJpdmVyIE5hdGlvbmFsIEluc3RpdHV0ZSBvZiBDaGls
ZCwgSGVhbHRoPC9hdXRob3I+PGF1dGhvcj5IdW1hbiBEZXZlbG9wbWVudCBNYXRlcm5hbC1GZXRh
bCBNZWRpY2luZSBVbml0cywgTmV0d29yazwvYXV0aG9yPjwvYXV0aG9ycz48L2NvbnRyaWJ1dG9y
cz48YXV0aC1hZGRyZXNzPkRlcGFydG1lbnQgb2YgT2JzdGV0cmljcyBhbmQgR3luZWNvbG9neSwg
VW5pdmVyc2l0eSBvZiBUZXhhcyBIZWFsdGggU2NpZW5jZSBDZW50ZXIsIEhvdXN0b24sIFRYLCBV
U0EuPC9hdXRoLWFkZHJlc3M+PHRpdGxlcz48dGl0bGU+RXhjZXNzaXZlIGVhcmx5IGdlc3RhdGlv
bmFsIHdlaWdodCBnYWluIGFuZCByaXNrIG9mIGdlc3RhdGlvbmFsIGRpYWJldGVzIG1lbGxpdHVz
IGluIG51bGxpcGFyb3VzIHdvbWVuPC90aXRsZT48c2Vjb25kYXJ5LXRpdGxlPk9ic3RldCBHeW5l
Y29sPC9zZWNvbmRhcnktdGl0bGU+PC90aXRsZXM+PHBlcmlvZGljYWw+PGZ1bGwtdGl0bGU+T2Jz
dGV0IEd5bmVjb2w8L2Z1bGwtdGl0bGU+PC9wZXJpb2RpY2FsPjxwYWdlcz4xMjI3LTMzPC9wYWdl
cz48dm9sdW1lPjExOTwvdm9sdW1lPjxudW1iZXI+NjwvbnVtYmVyPjxlZGl0aW9uPjIwMTIvMDUv
MjQ8L2VkaXRpb24+PGtleXdvcmRzPjxrZXl3b3JkPkFkb2xlc2NlbnQ8L2tleXdvcmQ+PGtleXdv
cmQ+QWR1bHQ8L2tleXdvcmQ+PGtleXdvcmQ+QmlydGggV2VpZ2h0PC9rZXl3b3JkPjxrZXl3b3Jk
PkRpYWJldGVzLCBHZXN0YXRpb25hbC8qZXBpZGVtaW9sb2d5PC9rZXl3b3JkPjxrZXl3b3JkPkZl
bWFsZTwva2V5d29yZD48a2V5d29yZD5GZXRhbCBEZXZlbG9wbWVudDwva2V5d29yZD48a2V5d29y
ZD5IdW1hbnM8L2tleXdvcmQ+PGtleXdvcmQ+UGFyaXR5PC9rZXl3b3JkPjxrZXl3b3JkPlByZWdu
YW5jeTwva2V5d29yZD48a2V5d29yZD5SYW5kb21pemVkIENvbnRyb2xsZWQgVHJpYWxzIGFzIFRv
cGljPC9rZXl3b3JkPjxrZXl3b3JkPipXZWlnaHQgR2Fpbjwva2V5d29yZD48a2V5d29yZD5Zb3Vu
ZyBBZHVsdDwva2V5d29yZD48L2tleXdvcmRzPjxkYXRlcz48eWVhcj4yMDEyPC95ZWFyPjxwdWIt
ZGF0ZXM+PGRhdGU+SnVuPC9kYXRlPjwvcHViLWRhdGVzPjwvZGF0ZXM+PGlzYm4+MTg3My0yMzNY
IChFbGVjdHJvbmljKSYjeEQ7MDAyOS03ODQ0IChMaW5raW5nKTwvaXNibj48YWNjZXNzaW9uLW51
bT4yMjYxNzU4ODwvYWNjZXNzaW9uLW51bT48dXJscz48cmVsYXRlZC11cmxzPjx1cmw+aHR0cHM6
Ly93d3cubmNiaS5ubG0ubmloLmdvdi9wdWJtZWQvMjI2MTc1ODg8L3VybD48L3JlbGF0ZWQtdXJs
cz48L3VybHM+PGN1c3RvbTI+UE1DMzM2MDQxNTwvY3VzdG9tMj48ZWxlY3Ryb25pYy1yZXNvdXJj
ZS1udW0+MTAuMTA5Ny9BT0cuMGIwMTNlMzE4MjU2Y2YxYTwvZWxlY3Ryb25pYy1yZXNvdXJjZS1u
dW0+PC9yZWNvcmQ+PC9DaXRlPjwvRW5kTm90ZT5=
</w:fldData>
        </w:fldChar>
      </w:r>
      <w:r w:rsidR="001A2F28">
        <w:instrText xml:space="preserve"> ADDIN EN.CITE.DATA </w:instrText>
      </w:r>
      <w:r w:rsidR="001A2F28">
        <w:fldChar w:fldCharType="end"/>
      </w:r>
      <w:r>
        <w:fldChar w:fldCharType="separate"/>
      </w:r>
      <w:r w:rsidR="001A2F28" w:rsidRPr="001A2F28">
        <w:rPr>
          <w:noProof/>
          <w:vertAlign w:val="superscript"/>
        </w:rPr>
        <w:t>368</w:t>
      </w:r>
      <w:r>
        <w:fldChar w:fldCharType="end"/>
      </w:r>
      <w:r>
        <w:t xml:space="preserve"> found that among women who gained weight exceeding the IOM guidelines by week 15-18, 93% exceeded the recommended total gestational weight gain. </w:t>
      </w:r>
      <w:r w:rsidRPr="00FD0A3B">
        <w:t xml:space="preserve">In contrast, only 55% of women with early gestational weight gain </w:t>
      </w:r>
      <w:r>
        <w:t xml:space="preserve">within recommendations </w:t>
      </w:r>
      <w:r w:rsidRPr="00FD0A3B">
        <w:t xml:space="preserve">had total gestational weight gain </w:t>
      </w:r>
      <w:r>
        <w:t>higher</w:t>
      </w:r>
      <w:r w:rsidRPr="00FD0A3B">
        <w:t xml:space="preserve"> than </w:t>
      </w:r>
      <w:r>
        <w:t>recommendations (</w:t>
      </w:r>
      <w:r w:rsidRPr="00CF4EAA">
        <w:rPr>
          <w:sz w:val="16"/>
          <w:szCs w:val="16"/>
        </w:rPr>
        <w:t>p&lt;0.001</w:t>
      </w:r>
      <w:r w:rsidRPr="00FD0A3B">
        <w:t xml:space="preserve">). </w:t>
      </w:r>
      <w:r>
        <w:t>Women with excessive early gestational weight gain had higher r</w:t>
      </w:r>
      <w:r w:rsidRPr="00FD0A3B">
        <w:t xml:space="preserve">ates of </w:t>
      </w:r>
      <w:r>
        <w:t>gestational diabetes (</w:t>
      </w:r>
      <w:r w:rsidRPr="00CF4EAA">
        <w:rPr>
          <w:sz w:val="16"/>
          <w:szCs w:val="16"/>
        </w:rPr>
        <w:t>OR 1.4; 95%CI 1.1 to 1.9</w:t>
      </w:r>
      <w:r>
        <w:t>)</w:t>
      </w:r>
      <w:r w:rsidRPr="00FD0A3B">
        <w:t xml:space="preserve">, </w:t>
      </w:r>
      <w:r>
        <w:t>large-for-gestational-age babies (</w:t>
      </w:r>
      <w:r w:rsidRPr="00CF4EAA">
        <w:rPr>
          <w:sz w:val="16"/>
          <w:szCs w:val="16"/>
        </w:rPr>
        <w:t>OR 1.4; 95%CI 1.2 to 1.6</w:t>
      </w:r>
      <w:r>
        <w:t>)</w:t>
      </w:r>
      <w:r w:rsidRPr="00FD0A3B">
        <w:t xml:space="preserve">, and </w:t>
      </w:r>
      <w:r>
        <w:t>macrosomia &gt;</w:t>
      </w:r>
      <w:r w:rsidRPr="00FD0A3B">
        <w:t xml:space="preserve">4,000 g </w:t>
      </w:r>
      <w:r>
        <w:t>(</w:t>
      </w:r>
      <w:r w:rsidRPr="00CF4EAA">
        <w:rPr>
          <w:sz w:val="16"/>
          <w:szCs w:val="16"/>
        </w:rPr>
        <w:t>OR 1.5; 95%CI 1.3 to 1.8</w:t>
      </w:r>
      <w:r>
        <w:t>)</w:t>
      </w:r>
      <w:r w:rsidRPr="00FD0A3B">
        <w:t>.</w:t>
      </w:r>
    </w:p>
    <w:p w14:paraId="4B54C05B" w14:textId="77777777" w:rsidR="00CB55A1" w:rsidRDefault="00CB55A1" w:rsidP="00CB55A1">
      <w:pPr>
        <w:pStyle w:val="Heading5"/>
      </w:pPr>
      <w:r>
        <w:t>Outcomes among women from US/Europe and Asia</w:t>
      </w:r>
    </w:p>
    <w:p w14:paraId="0D6438EE" w14:textId="57C804DE" w:rsidR="00CB55A1" w:rsidRDefault="00CB55A1" w:rsidP="00CB55A1">
      <w:r>
        <w:t>Weight gain lower than recommended was associated with preterm birth among women from the USA/Europe (</w:t>
      </w:r>
      <w:r w:rsidRPr="00962214">
        <w:rPr>
          <w:sz w:val="16"/>
          <w:szCs w:val="16"/>
        </w:rPr>
        <w:t>OR 1.35; 95%CI 1.17 to 1.56</w:t>
      </w:r>
      <w:r>
        <w:t>) but not women from Asia</w:t>
      </w:r>
      <w:r w:rsidRPr="00F11CB4">
        <w:t xml:space="preserve"> </w:t>
      </w:r>
      <w:r>
        <w:t>(</w:t>
      </w:r>
      <w:r w:rsidRPr="00962214">
        <w:rPr>
          <w:sz w:val="16"/>
          <w:szCs w:val="16"/>
        </w:rPr>
        <w:t>OR 1.06; 95%CI 0.78 to 1.44</w:t>
      </w:r>
      <w:r>
        <w:t>)</w:t>
      </w:r>
      <w:r>
        <w:fldChar w:fldCharType="begin">
          <w:fldData xml:space="preserve">PEVuZE5vdGU+PENpdGU+PEF1dGhvcj5Hb2xkc3RlaW48L0F1dGhvcj48WWVhcj4yMDE4PC9ZZWFy
PjxSZWNOdW0+MTc1NjwvUmVjTnVtPjxEaXNwbGF5VGV4dD48c3R5bGUgZmFjZT0ic3VwZXJzY3Jp
cHQiIGZvbnQ9IlRyZWJ1Y2hldCBNUyIgc2l6ZT0iOSI+MzY5PC9zdHlsZT48L0Rpc3BsYXlUZXh0
PjxyZWNvcmQ+PHJlYy1udW1iZXI+MTc1NjwvcmVjLW51bWJlcj48Zm9yZWlnbi1rZXlzPjxrZXkg
YXBwPSJFTiIgZGItaWQ9ImV4dmFzcmZ4MmR0cmFvZXNhc3hwMnN6c3hhMmRmNTAyNTkyeCIgdGlt
ZXN0YW1wPSIxNTgyODY3MTE0Ij4xNzU2PC9rZXk+PGtleSBhcHA9IkVOV2ViIiBkYi1pZD0iIj4w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Uy48L2F1dGhvcj48YXV0aG9yPk1pc3NvLCBNLiBMLjwvYXV0aG9yPjxhdXRob3I+Qm95bGUsIEou
IEEuPC9hdXRob3I+PGF1dGhvcj5IYXJyaXNvbiwgQy4gTC48L2F1dGhvcj48YXV0aG9yPkJsYWNr
LCBNLiBILjwvYXV0aG9yPjxhdXRob3I+TGksIE4uPC9hdXRob3I+PGF1dGhvcj5IdSwgRy48L2F1
dGhvcj48YXV0aG9yPkNvcnJhZG8sIEYuPC9hdXRob3I+PGF1dGhvcj5IZWdhYXJkLCBILjwvYXV0
aG9yPjxhdXRob3I+S2ltLCBZLiBKLjwvYXV0aG9yPjxhdXRob3I+SGF1Z2VuLCBNLjwvYXV0aG9y
PjxhdXRob3I+U29uZywgVy4gTy48L2F1dGhvcj48YXV0aG9yPktpbSwgTS4gSC48L2F1dGhvcj48
YXV0aG9yPkJvZ2FlcnRzLCBBLjwvYXV0aG9yPjxhdXRob3I+RGV2bGllZ2VyLCBSLjwvYXV0aG9y
PjxhdXRob3I+Q2h1bmcsIEouIEguPC9hdXRob3I+PGF1dGhvcj5UZWVkZSwgSC4gSi48L2F1dGhv
cj48L2F1dGhvcnM+PC9jb250cmlidXRvcnM+PGF1dGgtYWRkcmVzcz5Nb25hc2ggQ2VudHJlIGZv
ciBIZWFsdGggUmVzZWFyY2ggYW5kIEltcGxlbWVudGF0aW9uLCBNb25hc2ggVW5pdmVyc2l0eSwg
Q2xheXRvbiwgVklDLCBBdXN0cmFsaWEuJiN4RDtNb25hc2ggRGlhYmV0ZXMgYW5kIEVuZG9jcmlu
ZSBVbml0cywgTW9uYXNoIEhlYWx0aCwgTG9ja2VkIEJhZyAyOSwgQ2xheXRvbiBSZCwgQ2xheXRv
biwgVklDLCAzMTY4LCBBdXN0cmFsaWEuJiN4RDtLYWlzZXIgUGVybWFuZW50ZSwgU291dGhlcm4g
Q2FsaWZvcm5pYSwgTG9zIEFuZ2VsZXMsIFVTQS4mI3hEO1RpYW5qaW4gV29tZW4mYXBvcztzIGFu
ZCBDaGlsZHJlbiZhcG9zO3MgSGVhbHRoIENlbnRlciwgVGlhbmppbiwgQ2hpbmEuJiN4RDtQZW5u
aW5ndG9uIEJpb21lZGljYWwgUmVzZWFyY2ggQ2VudGVyLCBCYXRvbiBSb3VnZSwgTEEsIFVTQS4m
I3hEO1VuaXZlcnNpdHkgSG9zcGl0YWwsIE1lc3NpbmEsIEl0YWx5LiYjeEQ7Q29wZW5oYWdlbiBV
bml2ZXJzaXR5IEhvc3BpdGFsLCBSaWdob3NwaXRhbGV0LCBDb3BlbmhhZ2VuLCBEZW5tYXJrLiYj
eEQ7RGVwYXJ0bWVudCBvZiBPYnN0ZXRyaWNzIGFuZCBHeW5lY29sb2d5LCBTY2hvb2wgb2YgTWVk
aWNpbmUsIEV3aGEgV29tYW5zIFVuaXZlcnNpdHksIFNlb3VsLCBSZXB1YmxpYyBvZiBLb3JlYS4m
I3hEO05vcndlZ2lhbiBJbnN0aXR1dGUgb2YgUHVibGljIEhlYWx0aCwgT3NsbywgTm9yd2F5LiYj
eEQ7TWljaGlnYW4gU3RhdGUgVW5pdmVyc2l0eSwgRWFzdCBMYW5zaW5nLCBNSSwgVVNBLiYjeEQ7
Q2hlaWwgR2VuZXRhbCBIb3NwaXRhbCBhbmQgV29tZW4mYXBvcztzIEhlYWx0aGNhcmUgQ2VudHJl
IERhbmtvb2sgVW5pdmVyc2l0eSBDb2xsZWdlIG9mIE1lZGljaW5lLCBTZW91bCwgU291dGggS29y
ZWEuJiN4RDtEZXBhcnRtZW50IG9mIERldmVsb3BtZW50IGFuZCBSZWdlbmVyYXRpb24gS1UgTGV1
dmVuLCBVbml2ZXJzaXR5IG9mIExldXZlbiwgTGV1dmVuLCBCZWxnaXVtLiYjeEQ7RmFjdWx0eSBv
ZiBNZWRpY2luZSBhbmQgSGVhbHRoIFNjaWVuY2VzLCBDZW50cmUgZm9yIFJlc2VhcmNoIGFuZCBJ
bm5vdmF0aW9uIGluIENhcmUgKENSSUMpLCBVbml2ZXJzaXR5IG9mIEFudHdlcnAsIEFudHdlcnAs
IEJlbGdpdW0uJiN4RDtGYWN1bHR5IG9mIEhlYWx0aCBhbmQgU29jaWFsIFdvcmssIFJlc2VhcmNo
IHVuaXQgSGVhbHRoeSBMaXZpbmcsIFVDIExldXZlbi1MaW1idXJnLCBMZXV2ZW4sIEJlbGdpdW0u
JiN4RDtEZXBhcnRtZW50IG9mIE9ic3RldHJpY3MgYW5kIEd5bmFlY29sb2d5LCBVbml2ZXJzaXR5
IEhvc3BpdGFscyBLVSBMZXV2ZW4sIExldXZlbiwgQmVsZ2l1bS4mI3hEO0RlcGFydG1lbnQgb2Yg
T2JzdGV0cmljcywgR3luYWVjb2xvZ3kgYW5kIEZlcnRpbGl0eSwgR1pBIENhbXB1cyBTaW50LUF1
Z3VzdGludXMsIFdpbHJpamssIEJlbGdpdW0uJiN4RDtVbml2ZXJzaXR5IG9mIENhbGlmb3JuaWEs
IElydmluZSwgQ0EsIFVTQS4mI3hEO01vbmFzaCBDZW50cmUgZm9yIEhlYWx0aCBSZXNlYXJjaCBh
bmQgSW1wbGVtZW50YXRpb24sIE1vbmFzaCBVbml2ZXJzaXR5LCBDbGF5dG9uLCBWSUMsIEF1c3Ry
YWxpYS4gaGVsZW5hLnRlZWRlQG1vbmFzaC5lZHUuJiN4RDtNb25hc2ggRGlhYmV0ZXMgYW5kIEVu
ZG9jcmluZSBVbml0cywgTW9uYXNoIEhlYWx0aCwgTG9ja2VkIEJhZyAyOSwgQ2xheXRvbiBSZCwg
Q2xheXRvbiwgVklDLCAzMTY4LCBBdXN0cmFsaWEuIGhlbGVuYS50ZWVkZUBtb25hc2guZWR1Ljwv
YXV0aC1hZGRyZXNzPjx0aXRsZXM+PHRpdGxlPkdlc3RhdGlvbmFsIHdlaWdodCBnYWluIGFjcm9z
cyBjb250aW5lbnRzIGFuZCBldGhuaWNpdHk6IHN5c3RlbWF0aWMgcmV2aWV3IGFuZCBtZXRhLWFu
YWx5c2lzIG9mIG1hdGVybmFsIGFuZCBpbmZhbnQgb3V0Y29tZXMgaW4gbW9yZSB0aGFuIG9uZSBt
aWxsaW9uIHdvbWVuPC90aXRsZT48c2Vjb25kYXJ5LXRpdGxlPkJNQyBNZWQ8L3NlY29uZGFyeS10
aXRsZT48L3RpdGxlcz48cGVyaW9kaWNhbD48ZnVsbC10aXRsZT5CTUMgTWVkPC9mdWxsLXRpdGxl
PjwvcGVyaW9kaWNhbD48cGFnZXM+MTUzPC9wYWdlcz48dm9sdW1lPjE2PC92b2x1bWU+PG51bWJl
cj4xPC9udW1iZXI+PGVkaXRpb24+MjAxOC8wOS8wMTwvZWRpdGlvbj48a2V5d29yZHM+PGtleXdv
cmQ+QWR1bHQ8L2tleXdvcmQ+PGtleXdvcmQ+RmVtYWxlPC9rZXl3b3JkPjxrZXl3b3JkPkZldGFs
IFdlaWdodC8qZXRobm9sb2d5PC9rZXl3b3JkPjxrZXl3b3JkPkh1bWFuczwva2V5d29yZD48a2V5
d29yZD5JbmZhbnQsIE5ld2Jvcm48L2tleXdvcmQ+PGtleXdvcmQ+UHJlZ25hbmN5PC9rZXl3b3Jk
PjxrZXl3b3JkPlByZWduYW5jeSBDb21wbGljYXRpb25zPC9rZXl3b3JkPjxrZXl3b3JkPlByZWdu
YW5jeSBPdXRjb21lLypldGhub2xvZ3k8L2tleXdvcmQ+PGtleXdvcmQ+V2VpZ2h0IEdhaW4vKmV0
aG5vbG9neS8qcGh5c2lvbG9neTwva2V5d29yZD48a2V5d29yZD4qQ2Flc2FyZWFuIHNlY3Rpb248
L2tleXdvcmQ+PGtleXdvcmQ+Kkdlc3RhdGlvbmFsIGRpYWJldGVzPC9rZXl3b3JkPjxrZXl3b3Jk
PipHZ2VzdGF0aW9uYWwgd2VpZ2h0IGdhaW48L2tleXdvcmQ+PGtleXdvcmQ+KkxhcmdlIGZvciBn
ZXN0YXRpb25hbCBhZ2U8L2tleXdvcmQ+PGtleXdvcmQ+Kk1hY3Jvc29taWE8L2tleXdvcmQ+PGtl
eXdvcmQ+Kk1hdGVybmFsIGFuZCBpbmZhbnQgb3V0Y29tZXM8L2tleXdvcmQ+PGtleXdvcmQ+Kk9i
ZXNpdHk8L2tleXdvcmQ+PGtleXdvcmQ+KlByZWduYW5jeTwva2V5d29yZD48a2V5d29yZD4qUHJl
dGVybSBiaXJ0aDwva2V5d29yZD48a2V5d29yZD4qU21hbGwgZm9yIGdlc3RhdGlvbmFsIGFnZTwv
a2V5d29yZD48L2tleXdvcmRzPjxkYXRlcz48eWVhcj4yMDE4PC95ZWFyPjxwdWItZGF0ZXM+PGRh
dGU+QXVnIDMxPC9kYXRlPjwvcHViLWRhdGVzPjwvZGF0ZXM+PGlzYm4+MTc0MS03MDE1IChFbGVj
dHJvbmljKSYjeEQ7MTc0MS03MDE1IChMaW5raW5nKTwvaXNibj48YWNjZXNzaW9uLW51bT4zMDE2
NTg0MjwvYWNjZXNzaW9uLW51bT48dXJscz48cmVsYXRlZC11cmxzPjx1cmw+aHR0cHM6Ly93d3cu
bmNiaS5ubG0ubmloLmdvdi9wdWJtZWQvMzAxNjU4NDI8L3VybD48L3JlbGF0ZWQtdXJscz48L3Vy
bHM+PGN1c3RvbTI+UE1DNjExNzkxNjwvY3VzdG9tMj48ZWxlY3Ryb25pYy1yZXNvdXJjZS1udW0+
MTAuMTE4Ni9zMTI5MTYtMDE4LTExMjgtMTwvZWxlY3Ryb25pYy1yZXNvdXJjZS1udW0+PC9yZWNv
cmQ+PC9DaXRlPjwvRW5kTm90ZT5=
</w:fldData>
        </w:fldChar>
      </w:r>
      <w:r w:rsidR="001A2F28">
        <w:instrText xml:space="preserve"> ADDIN EN.CITE </w:instrText>
      </w:r>
      <w:r w:rsidR="001A2F28">
        <w:fldChar w:fldCharType="begin">
          <w:fldData xml:space="preserve">PEVuZE5vdGU+PENpdGU+PEF1dGhvcj5Hb2xkc3RlaW48L0F1dGhvcj48WWVhcj4yMDE4PC9ZZWFy
PjxSZWNOdW0+MTc1NjwvUmVjTnVtPjxEaXNwbGF5VGV4dD48c3R5bGUgZmFjZT0ic3VwZXJzY3Jp
cHQiIGZvbnQ9IlRyZWJ1Y2hldCBNUyIgc2l6ZT0iOSI+MzY5PC9zdHlsZT48L0Rpc3BsYXlUZXh0
PjxyZWNvcmQ+PHJlYy1udW1iZXI+MTc1NjwvcmVjLW51bWJlcj48Zm9yZWlnbi1rZXlzPjxrZXkg
YXBwPSJFTiIgZGItaWQ9ImV4dmFzcmZ4MmR0cmFvZXNhc3hwMnN6c3hhMmRmNTAyNTkyeCIgdGlt
ZXN0YW1wPSIxNTgyODY3MTE0Ij4xNzU2PC9rZXk+PGtleSBhcHA9IkVOV2ViIiBkYi1pZD0iIj4w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Uy48L2F1dGhvcj48YXV0aG9yPk1pc3NvLCBNLiBMLjwvYXV0aG9yPjxhdXRob3I+Qm95bGUsIEou
IEEuPC9hdXRob3I+PGF1dGhvcj5IYXJyaXNvbiwgQy4gTC48L2F1dGhvcj48YXV0aG9yPkJsYWNr
LCBNLiBILjwvYXV0aG9yPjxhdXRob3I+TGksIE4uPC9hdXRob3I+PGF1dGhvcj5IdSwgRy48L2F1
dGhvcj48YXV0aG9yPkNvcnJhZG8sIEYuPC9hdXRob3I+PGF1dGhvcj5IZWdhYXJkLCBILjwvYXV0
aG9yPjxhdXRob3I+S2ltLCBZLiBKLjwvYXV0aG9yPjxhdXRob3I+SGF1Z2VuLCBNLjwvYXV0aG9y
PjxhdXRob3I+U29uZywgVy4gTy48L2F1dGhvcj48YXV0aG9yPktpbSwgTS4gSC48L2F1dGhvcj48
YXV0aG9yPkJvZ2FlcnRzLCBBLjwvYXV0aG9yPjxhdXRob3I+RGV2bGllZ2VyLCBSLjwvYXV0aG9y
PjxhdXRob3I+Q2h1bmcsIEouIEguPC9hdXRob3I+PGF1dGhvcj5UZWVkZSwgSC4gSi48L2F1dGhv
cj48L2F1dGhvcnM+PC9jb250cmlidXRvcnM+PGF1dGgtYWRkcmVzcz5Nb25hc2ggQ2VudHJlIGZv
ciBIZWFsdGggUmVzZWFyY2ggYW5kIEltcGxlbWVudGF0aW9uLCBNb25hc2ggVW5pdmVyc2l0eSwg
Q2xheXRvbiwgVklDLCBBdXN0cmFsaWEuJiN4RDtNb25hc2ggRGlhYmV0ZXMgYW5kIEVuZG9jcmlu
ZSBVbml0cywgTW9uYXNoIEhlYWx0aCwgTG9ja2VkIEJhZyAyOSwgQ2xheXRvbiBSZCwgQ2xheXRv
biwgVklDLCAzMTY4LCBBdXN0cmFsaWEuJiN4RDtLYWlzZXIgUGVybWFuZW50ZSwgU291dGhlcm4g
Q2FsaWZvcm5pYSwgTG9zIEFuZ2VsZXMsIFVTQS4mI3hEO1RpYW5qaW4gV29tZW4mYXBvcztzIGFu
ZCBDaGlsZHJlbiZhcG9zO3MgSGVhbHRoIENlbnRlciwgVGlhbmppbiwgQ2hpbmEuJiN4RDtQZW5u
aW5ndG9uIEJpb21lZGljYWwgUmVzZWFyY2ggQ2VudGVyLCBCYXRvbiBSb3VnZSwgTEEsIFVTQS4m
I3hEO1VuaXZlcnNpdHkgSG9zcGl0YWwsIE1lc3NpbmEsIEl0YWx5LiYjeEQ7Q29wZW5oYWdlbiBV
bml2ZXJzaXR5IEhvc3BpdGFsLCBSaWdob3NwaXRhbGV0LCBDb3BlbmhhZ2VuLCBEZW5tYXJrLiYj
eEQ7RGVwYXJ0bWVudCBvZiBPYnN0ZXRyaWNzIGFuZCBHeW5lY29sb2d5LCBTY2hvb2wgb2YgTWVk
aWNpbmUsIEV3aGEgV29tYW5zIFVuaXZlcnNpdHksIFNlb3VsLCBSZXB1YmxpYyBvZiBLb3JlYS4m
I3hEO05vcndlZ2lhbiBJbnN0aXR1dGUgb2YgUHVibGljIEhlYWx0aCwgT3NsbywgTm9yd2F5LiYj
eEQ7TWljaGlnYW4gU3RhdGUgVW5pdmVyc2l0eSwgRWFzdCBMYW5zaW5nLCBNSSwgVVNBLiYjeEQ7
Q2hlaWwgR2VuZXRhbCBIb3NwaXRhbCBhbmQgV29tZW4mYXBvcztzIEhlYWx0aGNhcmUgQ2VudHJl
IERhbmtvb2sgVW5pdmVyc2l0eSBDb2xsZWdlIG9mIE1lZGljaW5lLCBTZW91bCwgU291dGggS29y
ZWEuJiN4RDtEZXBhcnRtZW50IG9mIERldmVsb3BtZW50IGFuZCBSZWdlbmVyYXRpb24gS1UgTGV1
dmVuLCBVbml2ZXJzaXR5IG9mIExldXZlbiwgTGV1dmVuLCBCZWxnaXVtLiYjeEQ7RmFjdWx0eSBv
ZiBNZWRpY2luZSBhbmQgSGVhbHRoIFNjaWVuY2VzLCBDZW50cmUgZm9yIFJlc2VhcmNoIGFuZCBJ
bm5vdmF0aW9uIGluIENhcmUgKENSSUMpLCBVbml2ZXJzaXR5IG9mIEFudHdlcnAsIEFudHdlcnAs
IEJlbGdpdW0uJiN4RDtGYWN1bHR5IG9mIEhlYWx0aCBhbmQgU29jaWFsIFdvcmssIFJlc2VhcmNo
IHVuaXQgSGVhbHRoeSBMaXZpbmcsIFVDIExldXZlbi1MaW1idXJnLCBMZXV2ZW4sIEJlbGdpdW0u
JiN4RDtEZXBhcnRtZW50IG9mIE9ic3RldHJpY3MgYW5kIEd5bmFlY29sb2d5LCBVbml2ZXJzaXR5
IEhvc3BpdGFscyBLVSBMZXV2ZW4sIExldXZlbiwgQmVsZ2l1bS4mI3hEO0RlcGFydG1lbnQgb2Yg
T2JzdGV0cmljcywgR3luYWVjb2xvZ3kgYW5kIEZlcnRpbGl0eSwgR1pBIENhbXB1cyBTaW50LUF1
Z3VzdGludXMsIFdpbHJpamssIEJlbGdpdW0uJiN4RDtVbml2ZXJzaXR5IG9mIENhbGlmb3JuaWEs
IElydmluZSwgQ0EsIFVTQS4mI3hEO01vbmFzaCBDZW50cmUgZm9yIEhlYWx0aCBSZXNlYXJjaCBh
bmQgSW1wbGVtZW50YXRpb24sIE1vbmFzaCBVbml2ZXJzaXR5LCBDbGF5dG9uLCBWSUMsIEF1c3Ry
YWxpYS4gaGVsZW5hLnRlZWRlQG1vbmFzaC5lZHUuJiN4RDtNb25hc2ggRGlhYmV0ZXMgYW5kIEVu
ZG9jcmluZSBVbml0cywgTW9uYXNoIEhlYWx0aCwgTG9ja2VkIEJhZyAyOSwgQ2xheXRvbiBSZCwg
Q2xheXRvbiwgVklDLCAzMTY4LCBBdXN0cmFsaWEuIGhlbGVuYS50ZWVkZUBtb25hc2guZWR1Ljwv
YXV0aC1hZGRyZXNzPjx0aXRsZXM+PHRpdGxlPkdlc3RhdGlvbmFsIHdlaWdodCBnYWluIGFjcm9z
cyBjb250aW5lbnRzIGFuZCBldGhuaWNpdHk6IHN5c3RlbWF0aWMgcmV2aWV3IGFuZCBtZXRhLWFu
YWx5c2lzIG9mIG1hdGVybmFsIGFuZCBpbmZhbnQgb3V0Y29tZXMgaW4gbW9yZSB0aGFuIG9uZSBt
aWxsaW9uIHdvbWVuPC90aXRsZT48c2Vjb25kYXJ5LXRpdGxlPkJNQyBNZWQ8L3NlY29uZGFyeS10
aXRsZT48L3RpdGxlcz48cGVyaW9kaWNhbD48ZnVsbC10aXRsZT5CTUMgTWVkPC9mdWxsLXRpdGxl
PjwvcGVyaW9kaWNhbD48cGFnZXM+MTUzPC9wYWdlcz48dm9sdW1lPjE2PC92b2x1bWU+PG51bWJl
cj4xPC9udW1iZXI+PGVkaXRpb24+MjAxOC8wOS8wMTwvZWRpdGlvbj48a2V5d29yZHM+PGtleXdv
cmQ+QWR1bHQ8L2tleXdvcmQ+PGtleXdvcmQ+RmVtYWxlPC9rZXl3b3JkPjxrZXl3b3JkPkZldGFs
IFdlaWdodC8qZXRobm9sb2d5PC9rZXl3b3JkPjxrZXl3b3JkPkh1bWFuczwva2V5d29yZD48a2V5
d29yZD5JbmZhbnQsIE5ld2Jvcm48L2tleXdvcmQ+PGtleXdvcmQ+UHJlZ25hbmN5PC9rZXl3b3Jk
PjxrZXl3b3JkPlByZWduYW5jeSBDb21wbGljYXRpb25zPC9rZXl3b3JkPjxrZXl3b3JkPlByZWdu
YW5jeSBPdXRjb21lLypldGhub2xvZ3k8L2tleXdvcmQ+PGtleXdvcmQ+V2VpZ2h0IEdhaW4vKmV0
aG5vbG9neS8qcGh5c2lvbG9neTwva2V5d29yZD48a2V5d29yZD4qQ2Flc2FyZWFuIHNlY3Rpb248
L2tleXdvcmQ+PGtleXdvcmQ+Kkdlc3RhdGlvbmFsIGRpYWJldGVzPC9rZXl3b3JkPjxrZXl3b3Jk
PipHZ2VzdGF0aW9uYWwgd2VpZ2h0IGdhaW48L2tleXdvcmQ+PGtleXdvcmQ+KkxhcmdlIGZvciBn
ZXN0YXRpb25hbCBhZ2U8L2tleXdvcmQ+PGtleXdvcmQ+Kk1hY3Jvc29taWE8L2tleXdvcmQ+PGtl
eXdvcmQ+Kk1hdGVybmFsIGFuZCBpbmZhbnQgb3V0Y29tZXM8L2tleXdvcmQ+PGtleXdvcmQ+Kk9i
ZXNpdHk8L2tleXdvcmQ+PGtleXdvcmQ+KlByZWduYW5jeTwva2V5d29yZD48a2V5d29yZD4qUHJl
dGVybSBiaXJ0aDwva2V5d29yZD48a2V5d29yZD4qU21hbGwgZm9yIGdlc3RhdGlvbmFsIGFnZTwv
a2V5d29yZD48L2tleXdvcmRzPjxkYXRlcz48eWVhcj4yMDE4PC95ZWFyPjxwdWItZGF0ZXM+PGRh
dGU+QXVnIDMxPC9kYXRlPjwvcHViLWRhdGVzPjwvZGF0ZXM+PGlzYm4+MTc0MS03MDE1IChFbGVj
dHJvbmljKSYjeEQ7MTc0MS03MDE1IChMaW5raW5nKTwvaXNibj48YWNjZXNzaW9uLW51bT4zMDE2
NTg0MjwvYWNjZXNzaW9uLW51bT48dXJscz48cmVsYXRlZC11cmxzPjx1cmw+aHR0cHM6Ly93d3cu
bmNiaS5ubG0ubmloLmdvdi9wdWJtZWQvMzAxNjU4NDI8L3VybD48L3JlbGF0ZWQtdXJscz48L3Vy
bHM+PGN1c3RvbTI+UE1DNjExNzkxNjwvY3VzdG9tMj48ZWxlY3Ryb25pYy1yZXNvdXJjZS1udW0+
MTAuMTE4Ni9zMTI5MTYtMDE4LTExMjgtMTwvZWxlY3Ryb25pYy1yZXNvdXJjZS1udW0+PC9yZWNv
cmQ+PC9DaXRlPjwvRW5kTm90ZT5=
</w:fldData>
        </w:fldChar>
      </w:r>
      <w:r w:rsidR="001A2F28">
        <w:instrText xml:space="preserve"> ADDIN EN.CITE.DATA </w:instrText>
      </w:r>
      <w:r w:rsidR="001A2F28">
        <w:fldChar w:fldCharType="end"/>
      </w:r>
      <w:r>
        <w:fldChar w:fldCharType="separate"/>
      </w:r>
      <w:r w:rsidR="001A2F28" w:rsidRPr="001A2F28">
        <w:rPr>
          <w:noProof/>
          <w:vertAlign w:val="superscript"/>
        </w:rPr>
        <w:t>369</w:t>
      </w:r>
      <w:r>
        <w:fldChar w:fldCharType="end"/>
      </w:r>
      <w:r>
        <w:t xml:space="preserve">. It was associated with an increase in risk of small-for-gestational-age babies among </w:t>
      </w:r>
      <w:r w:rsidRPr="005C388D">
        <w:t xml:space="preserve">women from </w:t>
      </w:r>
      <w:r>
        <w:t xml:space="preserve">both groups. </w:t>
      </w:r>
    </w:p>
    <w:p w14:paraId="58E8BC14" w14:textId="77777777" w:rsidR="00CB55A1" w:rsidRPr="005C388D" w:rsidRDefault="00CB55A1" w:rsidP="00CB55A1">
      <w:r>
        <w:t>Weight gain higher than recommended was associated with large-for-gestational age babies, macrosomia and caesarean section among women from both groups.</w:t>
      </w:r>
    </w:p>
    <w:p w14:paraId="73843F40" w14:textId="77777777" w:rsidR="00CB55A1" w:rsidRPr="00BD61CC" w:rsidRDefault="00CB55A1" w:rsidP="00CB55A1">
      <w:pPr>
        <w:pStyle w:val="Heading4"/>
      </w:pPr>
      <w:r w:rsidRPr="00BD61CC">
        <w:t>Gestational weight gain among underweight women</w:t>
      </w:r>
    </w:p>
    <w:p w14:paraId="337B8159" w14:textId="64ED51D1" w:rsidR="00CB55A1" w:rsidRPr="00BD61CC" w:rsidRDefault="00CB55A1" w:rsidP="00CB55A1">
      <w:r w:rsidRPr="00BD61CC">
        <w:t>A meta-analysis of individual participant data (</w:t>
      </w:r>
      <w:r w:rsidRPr="00BD61CC">
        <w:rPr>
          <w:sz w:val="16"/>
          <w:szCs w:val="16"/>
        </w:rPr>
        <w:t>n=265,270</w:t>
      </w:r>
      <w:r w:rsidRPr="00BD61CC">
        <w:t>)</w:t>
      </w:r>
      <w:r w:rsidRPr="00BD61CC">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Pr="00BD61CC">
        <w:fldChar w:fldCharType="separate"/>
      </w:r>
      <w:r w:rsidR="001A2F28" w:rsidRPr="001A2F28">
        <w:rPr>
          <w:noProof/>
          <w:vertAlign w:val="superscript"/>
        </w:rPr>
        <w:t>362</w:t>
      </w:r>
      <w:r w:rsidRPr="00BD61CC">
        <w:fldChar w:fldCharType="end"/>
      </w:r>
      <w:r w:rsidRPr="00BD61CC">
        <w:t xml:space="preserve"> found that among underweight women:</w:t>
      </w:r>
    </w:p>
    <w:p w14:paraId="241DF9FE" w14:textId="77777777" w:rsidR="00CB55A1" w:rsidRPr="00BD61CC" w:rsidRDefault="00CB55A1" w:rsidP="00CB55A1">
      <w:pPr>
        <w:pStyle w:val="bullet"/>
      </w:pPr>
      <w:r w:rsidRPr="00BD61CC">
        <w:t>low weight gain was associated with an increased risk of preterm birth and small for gestational age (</w:t>
      </w:r>
      <w:r w:rsidRPr="00BD61CC">
        <w:rPr>
          <w:sz w:val="16"/>
          <w:szCs w:val="16"/>
        </w:rPr>
        <w:t>both p&lt;0.001</w:t>
      </w:r>
      <w:r w:rsidRPr="00BD61CC">
        <w:t>) and a reduced risk of gestational hypertension (</w:t>
      </w:r>
      <w:r w:rsidRPr="00BD61CC">
        <w:rPr>
          <w:sz w:val="16"/>
          <w:szCs w:val="16"/>
        </w:rPr>
        <w:t>p&lt;0.05</w:t>
      </w:r>
      <w:r w:rsidRPr="00BD61CC">
        <w:t>) and large for gestational age (</w:t>
      </w:r>
      <w:r w:rsidRPr="00BD61CC">
        <w:rPr>
          <w:sz w:val="16"/>
          <w:szCs w:val="16"/>
        </w:rPr>
        <w:t>p&lt;0.001</w:t>
      </w:r>
      <w:r w:rsidRPr="00BD61CC">
        <w:t>)</w:t>
      </w:r>
    </w:p>
    <w:p w14:paraId="2D0C43C4" w14:textId="77777777" w:rsidR="00CB55A1" w:rsidRPr="00BD61CC" w:rsidRDefault="00CB55A1" w:rsidP="00CB55A1">
      <w:pPr>
        <w:pStyle w:val="bullet"/>
      </w:pPr>
      <w:r w:rsidRPr="00BD61CC">
        <w:t>high weight gain was associated with a reduced risk of small for gestational age (</w:t>
      </w:r>
      <w:r w:rsidRPr="00BD61CC">
        <w:rPr>
          <w:sz w:val="16"/>
          <w:szCs w:val="16"/>
        </w:rPr>
        <w:t>p&lt;0.05</w:t>
      </w:r>
      <w:r w:rsidRPr="00BD61CC">
        <w:t>).</w:t>
      </w:r>
    </w:p>
    <w:p w14:paraId="4A907C69" w14:textId="77777777" w:rsidR="00CB55A1" w:rsidRPr="00BD61CC" w:rsidRDefault="00CB55A1" w:rsidP="00CB55A1">
      <w:pPr>
        <w:pStyle w:val="Heading4"/>
      </w:pPr>
      <w:r w:rsidRPr="00BD61CC">
        <w:t>Gestational weight gain among women with healthy pre-pregnancy weight</w:t>
      </w:r>
    </w:p>
    <w:p w14:paraId="2401A98E" w14:textId="3F128C5E" w:rsidR="00CB55A1" w:rsidRPr="00BD61CC" w:rsidRDefault="00CB55A1" w:rsidP="00CB55A1">
      <w:r w:rsidRPr="00BD61CC">
        <w:t>In the meta-analysis of individual participant data (</w:t>
      </w:r>
      <w:r w:rsidRPr="00BD61CC">
        <w:rPr>
          <w:sz w:val="16"/>
          <w:szCs w:val="16"/>
        </w:rPr>
        <w:t>n=265,270</w:t>
      </w:r>
      <w:r w:rsidRPr="00BD61CC">
        <w:t>)</w:t>
      </w:r>
      <w:r w:rsidRPr="00BD61CC">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Pr="00BD61CC">
        <w:fldChar w:fldCharType="separate"/>
      </w:r>
      <w:r w:rsidR="001A2F28" w:rsidRPr="001A2F28">
        <w:rPr>
          <w:noProof/>
          <w:vertAlign w:val="superscript"/>
        </w:rPr>
        <w:t>362</w:t>
      </w:r>
      <w:r w:rsidRPr="00BD61CC">
        <w:fldChar w:fldCharType="end"/>
      </w:r>
      <w:r w:rsidRPr="00BD61CC">
        <w:t>, among women with healthy pre-pregnancy BMI:</w:t>
      </w:r>
    </w:p>
    <w:p w14:paraId="6ED26527" w14:textId="77777777" w:rsidR="00CB55A1" w:rsidRPr="00BD61CC" w:rsidRDefault="00CB55A1" w:rsidP="00CB55A1">
      <w:pPr>
        <w:pStyle w:val="bullet"/>
      </w:pPr>
      <w:r w:rsidRPr="00BD61CC">
        <w:t>low weight gain was associated with an increased risk of preterm birth and small for gestational age and a reduced risk of large for gestational age (</w:t>
      </w:r>
      <w:r w:rsidRPr="00BD61CC">
        <w:rPr>
          <w:sz w:val="16"/>
          <w:szCs w:val="16"/>
        </w:rPr>
        <w:t>all p&lt;0.001</w:t>
      </w:r>
      <w:r w:rsidRPr="00BD61CC">
        <w:t>)</w:t>
      </w:r>
    </w:p>
    <w:p w14:paraId="187F8EB1" w14:textId="77777777" w:rsidR="00CB55A1" w:rsidRPr="00BD61CC" w:rsidRDefault="00CB55A1" w:rsidP="00CB55A1">
      <w:pPr>
        <w:pStyle w:val="bullet"/>
      </w:pPr>
      <w:r w:rsidRPr="00BD61CC">
        <w:t>high weight gain was associated with an increased risk of gestational diabetes, gestational hypertension, pre-eclampsia, preterm birth and large for gestational age and a reduced risk of small-for-gestational age (</w:t>
      </w:r>
      <w:r w:rsidRPr="00BD61CC">
        <w:rPr>
          <w:sz w:val="16"/>
          <w:szCs w:val="16"/>
        </w:rPr>
        <w:t>all p&lt;0.001</w:t>
      </w:r>
      <w:r w:rsidRPr="00BD61CC">
        <w:t>).</w:t>
      </w:r>
    </w:p>
    <w:p w14:paraId="7091EA26" w14:textId="77777777" w:rsidR="00CB55A1" w:rsidRPr="00BD61CC" w:rsidRDefault="00CB55A1" w:rsidP="00CB55A1">
      <w:pPr>
        <w:pStyle w:val="Heading4"/>
      </w:pPr>
      <w:r w:rsidRPr="00BD61CC">
        <w:t>Gestational weight gain among overweight women</w:t>
      </w:r>
    </w:p>
    <w:p w14:paraId="28D0A972" w14:textId="238EDD64" w:rsidR="00CB55A1" w:rsidRPr="00BD61CC" w:rsidRDefault="00CB55A1" w:rsidP="00CB55A1">
      <w:r w:rsidRPr="00BD61CC">
        <w:t>In the meta-analysis of individual participant data (</w:t>
      </w:r>
      <w:r w:rsidRPr="00BD61CC">
        <w:rPr>
          <w:sz w:val="16"/>
          <w:szCs w:val="16"/>
        </w:rPr>
        <w:t>n=265,270</w:t>
      </w:r>
      <w:r w:rsidRPr="00BD61CC">
        <w:t>)</w:t>
      </w:r>
      <w:r w:rsidRPr="00BD61CC">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Pr="00BD61CC">
        <w:fldChar w:fldCharType="separate"/>
      </w:r>
      <w:r w:rsidR="001A2F28" w:rsidRPr="001A2F28">
        <w:rPr>
          <w:noProof/>
          <w:vertAlign w:val="superscript"/>
        </w:rPr>
        <w:t>362</w:t>
      </w:r>
      <w:r w:rsidRPr="00BD61CC">
        <w:fldChar w:fldCharType="end"/>
      </w:r>
      <w:r w:rsidRPr="00BD61CC">
        <w:t>, among overweight women:</w:t>
      </w:r>
    </w:p>
    <w:p w14:paraId="680134C8" w14:textId="77777777" w:rsidR="00CB55A1" w:rsidRPr="00BD61CC" w:rsidRDefault="00CB55A1" w:rsidP="00CB55A1">
      <w:pPr>
        <w:pStyle w:val="bullet"/>
      </w:pPr>
      <w:r w:rsidRPr="00BD61CC">
        <w:t>low weight gain was associated gestational diabetes, gestational hypertension, pre-eclampsia, small for gestational age (</w:t>
      </w:r>
      <w:r w:rsidRPr="00BD61CC">
        <w:rPr>
          <w:sz w:val="16"/>
          <w:szCs w:val="16"/>
        </w:rPr>
        <w:t>all p&lt;0.001</w:t>
      </w:r>
      <w:r w:rsidRPr="00BD61CC">
        <w:t>) and preterm birth (</w:t>
      </w:r>
      <w:r w:rsidRPr="00BD61CC">
        <w:rPr>
          <w:sz w:val="16"/>
          <w:szCs w:val="16"/>
        </w:rPr>
        <w:t>p&lt;0.05</w:t>
      </w:r>
      <w:r w:rsidRPr="00BD61CC">
        <w:t>)</w:t>
      </w:r>
    </w:p>
    <w:p w14:paraId="1152C99B" w14:textId="77777777" w:rsidR="00CB55A1" w:rsidRPr="00BD61CC" w:rsidRDefault="00CB55A1" w:rsidP="00CB55A1">
      <w:pPr>
        <w:pStyle w:val="bullet"/>
      </w:pPr>
      <w:r w:rsidRPr="00BD61CC">
        <w:t>high weight gain was associated with gestational diabetes, gestational hypertension, pre-eclampsia, preterm birth and large for gestational age (</w:t>
      </w:r>
      <w:r w:rsidRPr="00BD61CC">
        <w:rPr>
          <w:sz w:val="16"/>
          <w:szCs w:val="16"/>
        </w:rPr>
        <w:t>all p&lt;0.001</w:t>
      </w:r>
      <w:r w:rsidRPr="00BD61CC">
        <w:t>).</w:t>
      </w:r>
    </w:p>
    <w:p w14:paraId="300CF6D5" w14:textId="77777777" w:rsidR="00CB55A1" w:rsidRPr="00BD61CC" w:rsidRDefault="00CB55A1" w:rsidP="00CB55A1">
      <w:pPr>
        <w:pStyle w:val="Heading4"/>
      </w:pPr>
      <w:r w:rsidRPr="00BD61CC">
        <w:t>Gestational weight gain among obese pregnant women</w:t>
      </w:r>
    </w:p>
    <w:p w14:paraId="7C6613B4" w14:textId="462D2056" w:rsidR="00CB55A1" w:rsidRPr="00BD61CC" w:rsidRDefault="00CB55A1" w:rsidP="00CB55A1">
      <w:r w:rsidRPr="00BD61CC">
        <w:t>In the meta-analysis of individual participant data (</w:t>
      </w:r>
      <w:r w:rsidRPr="00BD61CC">
        <w:rPr>
          <w:sz w:val="16"/>
          <w:szCs w:val="16"/>
        </w:rPr>
        <w:t>n=265,270</w:t>
      </w:r>
      <w:r w:rsidRPr="00BD61CC">
        <w:t>)</w:t>
      </w:r>
      <w:r w:rsidRPr="00BD61CC">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Pr="00BD61CC">
        <w:fldChar w:fldCharType="separate"/>
      </w:r>
      <w:r w:rsidR="001A2F28" w:rsidRPr="001A2F28">
        <w:rPr>
          <w:noProof/>
          <w:vertAlign w:val="superscript"/>
        </w:rPr>
        <w:t>362</w:t>
      </w:r>
      <w:r w:rsidRPr="00BD61CC">
        <w:fldChar w:fldCharType="end"/>
      </w:r>
      <w:r w:rsidRPr="00BD61CC">
        <w:t>, among obese women both low and high weight gain were associated with increased risk of gestational diabetes, gestational hypertension, pre-eclampsia, preterm birth and large for gestational age (</w:t>
      </w:r>
      <w:r w:rsidRPr="00BD61CC">
        <w:rPr>
          <w:sz w:val="16"/>
          <w:szCs w:val="16"/>
        </w:rPr>
        <w:t>all p&lt;0.001</w:t>
      </w:r>
      <w:r w:rsidRPr="00BD61CC">
        <w:t>).</w:t>
      </w:r>
    </w:p>
    <w:p w14:paraId="730EE7C9" w14:textId="77777777" w:rsidR="00CB55A1" w:rsidRPr="00BD61CC" w:rsidRDefault="00CB55A1" w:rsidP="00CB55A1">
      <w:pPr>
        <w:pStyle w:val="Heading5"/>
      </w:pPr>
      <w:r w:rsidRPr="00BD61CC">
        <w:t>Weight gain lower than recommendations</w:t>
      </w:r>
    </w:p>
    <w:p w14:paraId="1DDEEC8D" w14:textId="464D4BA0" w:rsidR="00CB55A1" w:rsidRDefault="00CB55A1" w:rsidP="00CB55A1">
      <w:r w:rsidRPr="00BD61CC">
        <w:t>A retrospective cohort study in the United States (</w:t>
      </w:r>
      <w:r w:rsidRPr="00BD61CC">
        <w:rPr>
          <w:sz w:val="16"/>
          <w:szCs w:val="16"/>
        </w:rPr>
        <w:t>n=~12,000,000 birth records</w:t>
      </w:r>
      <w:r w:rsidRPr="00BD61CC">
        <w:t>)</w:t>
      </w:r>
      <w:r w:rsidRPr="00BD61CC">
        <w:fldChar w:fldCharType="begin">
          <w:fldData xml:space="preserve">PEVuZE5vdGU+PENpdGU+PEF1dGhvcj5UaG9tcHNvbjwvQXV0aG9yPjxZZWFyPjIwMTk8L1llYXI+
PFJlY051bT4xOTcxPC9SZWNOdW0+PERpc3BsYXlUZXh0PjxzdHlsZSBmYWNlPSJzdXBlcnNjcmlw
dCIgZm9udD0iVHJlYnVjaGV0IE1TIiBzaXplPSI5Ij4zNDk8L3N0eWxlPjwvRGlzcGxheVRleHQ+
PHJlY29yZD48cmVjLW51bWJlcj4xOTcxPC9yZWMtbnVtYmVyPjxmb3JlaWduLWtleXM+PGtleSBh
cHA9IkVOIiBkYi1pZD0iZXh2YXNyZngyZHRyYW9lc2FzeHAyc3pzeGEyZGY1MDI1OTJ4IiB0aW1l
c3RhbXA9IjE1ODg5MDM4NjkiPjE5NzE8L2tleT48a2V5IGFwcD0iRU5XZWIiIGRiLWlkPSIiPjA8
L2tleT48L2ZvcmVpZ24ta2V5cz48cmVmLXR5cGUgbmFtZT0iSm91cm5hbCBBcnRpY2xlIj4xNzwv
cmVmLXR5cGU+PGNvbnRyaWJ1dG9ycz48YXV0aG9ycz48YXV0aG9yPlRob21wc29uLCBBLiBNLjwv
YXV0aG9yPjxhdXRob3I+VGhvbXBzb24sIEouIEEuPC9hdXRob3I+PC9hdXRob3JzPjwvY29udHJp
YnV0b3JzPjxhdXRoLWFkZHJlc3M+U2Nob29sIG9mIE1lZGljaW5lLCBVbml2ZXJzaXR5IG9mIFRl
eGFzLCBSaW8gR3JhbmRlIFZhbGxleSwgMTIwMSBXZXN0IFVuaXZlcnNpdHkgRHJpdmUsIEVkaW5i
dXJnLCBUWCwgNzg1MzksIFVTQS4mI3hEO0NvbGxlZ2Ugb2YgVmV0ZXJpbmFyeSBNZWRpY2luZSBh
bmQgQmlvbWVkaWNhbCBTY2llbmNlLCBUZXhhcyBBJmFtcDtNIFVuaXZlcnNpdHksIENvbGxlZ2Ug
U3RhdGlvbiwgVFgsIDc3ODQzLTQ0NzUsIFVTQS4ganRob21wc29uQGN2bS50YW11LmVkdS48L2F1
dGgtYWRkcmVzcz48dGl0bGVzPjx0aXRsZT5BbiBldmFsdWF0aW9uIG9mIHdoZXRoZXIgYSBnZXN0
YXRpb25hbCB3ZWlnaHQgZ2FpbiBvZiA1IHRvIDkga2cgZm9yIG9iZXNlIHdvbWVuIG9wdGltaXpl
cyBtYXRlcm5hbCBhbmQgbmVvbmF0YWwgaGVhbHRoIHJpc2tzPC90aXRsZT48c2Vjb25kYXJ5LXRp
dGxlPkJNQyBQcmVnbmFuY3kgQ2hpbGRiaXJ0aDwvc2Vjb25kYXJ5LXRpdGxlPjwvdGl0bGVzPjxw
ZXJpb2RpY2FsPjxmdWxsLXRpdGxlPkJNQyBQcmVnbmFuY3kgQ2hpbGRiaXJ0aDwvZnVsbC10aXRs
ZT48L3BlcmlvZGljYWw+PHBhZ2VzPjEyNjwvcGFnZXM+PHZvbHVtZT4xOTwvdm9sdW1lPjxudW1i
ZXI+MTwvbnVtYmVyPjxlZGl0aW9uPjIwMTkvMDQvMTM8L2VkaXRpb24+PGtleXdvcmRzPjxrZXl3
b3JkPkFkdWx0PC9rZXl3b3JkPjxrZXl3b3JkPkJheWVzIFRoZW9yZW08L2tleXdvcmQ+PGtleXdv
cmQ+Qm9keSBNYXNzIEluZGV4PC9rZXl3b3JkPjxrZXl3b3JkPkNlc2FyZWFuIFNlY3Rpb24vc3Rh
dGlzdGljcyAmYW1wOyBudW1lcmljYWwgZGF0YTwva2V5d29yZD48a2V5d29yZD5EYXRhYmFzZXMs
IEZhY3R1YWw8L2tleXdvcmQ+PGtleXdvcmQ+RmVtYWxlPC9rZXl3b3JkPjxrZXl3b3JkPkZldGFs
IE1hY3Jvc29taWEvZXBpZGVtaW9sb2d5L2V0aW9sb2d5PC9rZXl3b3JkPjxrZXl3b3JkPipHZXN0
YXRpb25hbCBXZWlnaHQgR2Fpbjwva2V5d29yZD48a2V5d29yZD5IdW1hbnM8L2tleXdvcmQ+PGtl
eXdvcmQ+SHlwZXJ0ZW5zaW9uLCBQcmVnbmFuY3ktSW5kdWNlZC9lcGlkZW1pb2xvZ3kvZXRpb2xv
Z3k8L2tleXdvcmQ+PGtleXdvcmQ+SW5mYW50IEhlYWx0aDwva2V5d29yZD48a2V5d29yZD5JbmZh
bnQsIE5ld2Jvcm48L2tleXdvcmQ+PGtleXdvcmQ+T2Jlc2l0eS9jb21wbGljYXRpb25zL2VwaWRl
bWlvbG9neS8qcGh5c2lvcGF0aG9sb2d5PC9rZXl3b3JkPjxrZXl3b3JkPlByZWduYW5jeTwva2V5
d29yZD48a2V5d29yZD5QcmVnbmFuY3kgQ29tcGxpY2F0aW9ucy9lcGlkZW1pb2xvZ3kvZXRpb2xv
Z3kvKnBoeXNpb3BhdGhvbG9neTwva2V5d29yZD48a2V5d29yZD5QcmVnbmFuY3kgT3V0Y29tZS8q
ZXBpZGVtaW9sb2d5PC9rZXl3b3JkPjxrZXl3b3JkPlJpc2sgRmFjdG9yczwva2V5d29yZD48a2V5
d29yZD5Vbml0ZWQgU3RhdGVzL2VwaWRlbWlvbG9neTwva2V5d29yZD48a2V5d29yZD5BZHZlcnNl
IG91dGNvbWVzPC9rZXl3b3JkPjxrZXl3b3JkPkdlc3RhdGlvbmFsIHdlaWdodCBnYWluPC9rZXl3
b3JkPjxrZXl3b3JkPk1hdGVybmFsPC9rZXl3b3JkPjxrZXl3b3JkPk5lb25hdGFsPC9rZXl3b3Jk
Pjwva2V5d29yZHM+PGRhdGVzPjx5ZWFyPjIwMTk8L3llYXI+PHB1Yi1kYXRlcz48ZGF0ZT5BcHIg
MTE8L2RhdGU+PC9wdWItZGF0ZXM+PC9kYXRlcz48aXNibj4xNDcxLTIzOTMgKEVsZWN0cm9uaWMp
JiN4RDsxNDcxLTIzOTMgKExpbmtpbmcpPC9pc2JuPjxhY2Nlc3Npb24tbnVtPjMwOTc1MDg2PC9h
Y2Nlc3Npb24tbnVtPjx1cmxzPjxyZWxhdGVkLXVybHM+PHVybD5odHRwczovL3d3dy5uY2JpLm5s
bS5uaWguZ292L3B1Ym1lZC8zMDk3NTA4NjwvdXJsPjwvcmVsYXRlZC11cmxzPjwvdXJscz48Y3Vz
dG9tMj5QTUM2NDYwODIwPC9jdXN0b20yPjxlbGVjdHJvbmljLXJlc291cmNlLW51bT4xMC4xMTg2
L3MxMjg4NC0wMTktMjI3My16PC9lbGVjdHJvbmljLXJlc291cmNlLW51bT48L3JlY29yZD48L0Np
dGU+PC9FbmROb3RlPgB=
</w:fldData>
        </w:fldChar>
      </w:r>
      <w:r w:rsidR="002747EA">
        <w:instrText xml:space="preserve"> ADDIN EN.CITE </w:instrText>
      </w:r>
      <w:r w:rsidR="002747EA">
        <w:fldChar w:fldCharType="begin">
          <w:fldData xml:space="preserve">PEVuZE5vdGU+PENpdGU+PEF1dGhvcj5UaG9tcHNvbjwvQXV0aG9yPjxZZWFyPjIwMTk8L1llYXI+
PFJlY051bT4xOTcxPC9SZWNOdW0+PERpc3BsYXlUZXh0PjxzdHlsZSBmYWNlPSJzdXBlcnNjcmlw
dCIgZm9udD0iVHJlYnVjaGV0IE1TIiBzaXplPSI5Ij4zNDk8L3N0eWxlPjwvRGlzcGxheVRleHQ+
PHJlY29yZD48cmVjLW51bWJlcj4xOTcxPC9yZWMtbnVtYmVyPjxmb3JlaWduLWtleXM+PGtleSBh
cHA9IkVOIiBkYi1pZD0iZXh2YXNyZngyZHRyYW9lc2FzeHAyc3pzeGEyZGY1MDI1OTJ4IiB0aW1l
c3RhbXA9IjE1ODg5MDM4NjkiPjE5NzE8L2tleT48a2V5IGFwcD0iRU5XZWIiIGRiLWlkPSIiPjA8
L2tleT48L2ZvcmVpZ24ta2V5cz48cmVmLXR5cGUgbmFtZT0iSm91cm5hbCBBcnRpY2xlIj4xNzwv
cmVmLXR5cGU+PGNvbnRyaWJ1dG9ycz48YXV0aG9ycz48YXV0aG9yPlRob21wc29uLCBBLiBNLjwv
YXV0aG9yPjxhdXRob3I+VGhvbXBzb24sIEouIEEuPC9hdXRob3I+PC9hdXRob3JzPjwvY29udHJp
YnV0b3JzPjxhdXRoLWFkZHJlc3M+U2Nob29sIG9mIE1lZGljaW5lLCBVbml2ZXJzaXR5IG9mIFRl
eGFzLCBSaW8gR3JhbmRlIFZhbGxleSwgMTIwMSBXZXN0IFVuaXZlcnNpdHkgRHJpdmUsIEVkaW5i
dXJnLCBUWCwgNzg1MzksIFVTQS4mI3hEO0NvbGxlZ2Ugb2YgVmV0ZXJpbmFyeSBNZWRpY2luZSBh
bmQgQmlvbWVkaWNhbCBTY2llbmNlLCBUZXhhcyBBJmFtcDtNIFVuaXZlcnNpdHksIENvbGxlZ2Ug
U3RhdGlvbiwgVFgsIDc3ODQzLTQ0NzUsIFVTQS4ganRob21wc29uQGN2bS50YW11LmVkdS48L2F1
dGgtYWRkcmVzcz48dGl0bGVzPjx0aXRsZT5BbiBldmFsdWF0aW9uIG9mIHdoZXRoZXIgYSBnZXN0
YXRpb25hbCB3ZWlnaHQgZ2FpbiBvZiA1IHRvIDkga2cgZm9yIG9iZXNlIHdvbWVuIG9wdGltaXpl
cyBtYXRlcm5hbCBhbmQgbmVvbmF0YWwgaGVhbHRoIHJpc2tzPC90aXRsZT48c2Vjb25kYXJ5LXRp
dGxlPkJNQyBQcmVnbmFuY3kgQ2hpbGRiaXJ0aDwvc2Vjb25kYXJ5LXRpdGxlPjwvdGl0bGVzPjxw
ZXJpb2RpY2FsPjxmdWxsLXRpdGxlPkJNQyBQcmVnbmFuY3kgQ2hpbGRiaXJ0aDwvZnVsbC10aXRs
ZT48L3BlcmlvZGljYWw+PHBhZ2VzPjEyNjwvcGFnZXM+PHZvbHVtZT4xOTwvdm9sdW1lPjxudW1i
ZXI+MTwvbnVtYmVyPjxlZGl0aW9uPjIwMTkvMDQvMTM8L2VkaXRpb24+PGtleXdvcmRzPjxrZXl3
b3JkPkFkdWx0PC9rZXl3b3JkPjxrZXl3b3JkPkJheWVzIFRoZW9yZW08L2tleXdvcmQ+PGtleXdv
cmQ+Qm9keSBNYXNzIEluZGV4PC9rZXl3b3JkPjxrZXl3b3JkPkNlc2FyZWFuIFNlY3Rpb24vc3Rh
dGlzdGljcyAmYW1wOyBudW1lcmljYWwgZGF0YTwva2V5d29yZD48a2V5d29yZD5EYXRhYmFzZXMs
IEZhY3R1YWw8L2tleXdvcmQ+PGtleXdvcmQ+RmVtYWxlPC9rZXl3b3JkPjxrZXl3b3JkPkZldGFs
IE1hY3Jvc29taWEvZXBpZGVtaW9sb2d5L2V0aW9sb2d5PC9rZXl3b3JkPjxrZXl3b3JkPipHZXN0
YXRpb25hbCBXZWlnaHQgR2Fpbjwva2V5d29yZD48a2V5d29yZD5IdW1hbnM8L2tleXdvcmQ+PGtl
eXdvcmQ+SHlwZXJ0ZW5zaW9uLCBQcmVnbmFuY3ktSW5kdWNlZC9lcGlkZW1pb2xvZ3kvZXRpb2xv
Z3k8L2tleXdvcmQ+PGtleXdvcmQ+SW5mYW50IEhlYWx0aDwva2V5d29yZD48a2V5d29yZD5JbmZh
bnQsIE5ld2Jvcm48L2tleXdvcmQ+PGtleXdvcmQ+T2Jlc2l0eS9jb21wbGljYXRpb25zL2VwaWRl
bWlvbG9neS8qcGh5c2lvcGF0aG9sb2d5PC9rZXl3b3JkPjxrZXl3b3JkPlByZWduYW5jeTwva2V5
d29yZD48a2V5d29yZD5QcmVnbmFuY3kgQ29tcGxpY2F0aW9ucy9lcGlkZW1pb2xvZ3kvZXRpb2xv
Z3kvKnBoeXNpb3BhdGhvbG9neTwva2V5d29yZD48a2V5d29yZD5QcmVnbmFuY3kgT3V0Y29tZS8q
ZXBpZGVtaW9sb2d5PC9rZXl3b3JkPjxrZXl3b3JkPlJpc2sgRmFjdG9yczwva2V5d29yZD48a2V5
d29yZD5Vbml0ZWQgU3RhdGVzL2VwaWRlbWlvbG9neTwva2V5d29yZD48a2V5d29yZD5BZHZlcnNl
IG91dGNvbWVzPC9rZXl3b3JkPjxrZXl3b3JkPkdlc3RhdGlvbmFsIHdlaWdodCBnYWluPC9rZXl3
b3JkPjxrZXl3b3JkPk1hdGVybmFsPC9rZXl3b3JkPjxrZXl3b3JkPk5lb25hdGFsPC9rZXl3b3Jk
Pjwva2V5d29yZHM+PGRhdGVzPjx5ZWFyPjIwMTk8L3llYXI+PHB1Yi1kYXRlcz48ZGF0ZT5BcHIg
MTE8L2RhdGU+PC9wdWItZGF0ZXM+PC9kYXRlcz48aXNibj4xNDcxLTIzOTMgKEVsZWN0cm9uaWMp
JiN4RDsxNDcxLTIzOTMgKExpbmtpbmcpPC9pc2JuPjxhY2Nlc3Npb24tbnVtPjMwOTc1MDg2PC9h
Y2Nlc3Npb24tbnVtPjx1cmxzPjxyZWxhdGVkLXVybHM+PHVybD5odHRwczovL3d3dy5uY2JpLm5s
bS5uaWguZ292L3B1Ym1lZC8zMDk3NTA4NjwvdXJsPjwvcmVsYXRlZC11cmxzPjwvdXJscz48Y3Vz
dG9tMj5QTUM2NDYwODIwPC9jdXN0b20yPjxlbGVjdHJvbmljLXJlc291cmNlLW51bT4xMC4xMTg2
L3MxMjg4NC0wMTktMjI3My16PC9lbGVjdHJvbmljLXJlc291cmNlLW51bT48L3JlY29yZD48L0Np
dGU+PC9FbmROb3RlPgB=
</w:fldData>
        </w:fldChar>
      </w:r>
      <w:r w:rsidR="002747EA">
        <w:instrText xml:space="preserve"> ADDIN EN.CITE.DATA </w:instrText>
      </w:r>
      <w:r w:rsidR="002747EA">
        <w:fldChar w:fldCharType="end"/>
      </w:r>
      <w:r w:rsidRPr="00BD61CC">
        <w:fldChar w:fldCharType="separate"/>
      </w:r>
      <w:r w:rsidR="002747EA" w:rsidRPr="002747EA">
        <w:rPr>
          <w:noProof/>
          <w:vertAlign w:val="superscript"/>
        </w:rPr>
        <w:t>349</w:t>
      </w:r>
      <w:r w:rsidRPr="00BD61CC">
        <w:fldChar w:fldCharType="end"/>
      </w:r>
      <w:r w:rsidRPr="00BD61CC">
        <w:t xml:space="preserve"> found that weight gain lower than the IOM guidelines among obese women reduced the risk of gestational hypertension, eclampsia, induction of labour and Caesarean section but was also associated with increased risks for multiple adverse neonatal outcomes with macrosomia the exception.</w:t>
      </w:r>
    </w:p>
    <w:p w14:paraId="0C25B1AC" w14:textId="5132F5E3" w:rsidR="00CB55A1" w:rsidRPr="00CE70E1" w:rsidRDefault="00CB55A1" w:rsidP="00CB55A1">
      <w:r>
        <w:t>A systematic review of cohort studies of obese pregnant women (</w:t>
      </w:r>
      <w:r w:rsidRPr="00CE70E1">
        <w:rPr>
          <w:sz w:val="16"/>
          <w:szCs w:val="16"/>
        </w:rPr>
        <w:t>18 cohort studies; 99,723 women</w:t>
      </w:r>
      <w:r>
        <w:t>)</w:t>
      </w:r>
      <w:r>
        <w:fldChar w:fldCharType="begin">
          <w:fldData xml:space="preserve">PEVuZE5vdGU+PENpdGU+PEF1dGhvcj5LYXBhZGlhPC9BdXRob3I+PFllYXI+MjAxNTwvWWVhcj48
UmVjTnVtPjE3NjQ8L1JlY051bT48RGlzcGxheVRleHQ+PHN0eWxlIGZhY2U9InN1cGVyc2NyaXB0
IiBmb250PSJUcmVidWNoZXQgTVMiIHNpemU9IjkiPjM3MDwvc3R5bGU+PC9EaXNwbGF5VGV4dD48
cmVjb3JkPjxyZWMtbnVtYmVyPjE3NjQ8L3JlYy1udW1iZXI+PGZvcmVpZ24ta2V5cz48a2V5IGFw
cD0iRU4iIGRiLWlkPSJleHZhc3JmeDJkdHJhb2VzYXN4cDJzenN4YTJkZjUwMjU5MngiIHRpbWVz
dGFtcD0iMTU4Mjg2NzE5MiI+MTc2NDwva2V5PjxrZXkgYXBwPSJFTldlYiIgZGItaWQ9IiI+MDwv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Y01hc3RlciBVbml2ZXJzaXR5LCBIYW1pbHRvbiwgQ2FuYWRhLjwvYXV0aC1hZGRyZXNzPjx0aXRs
ZXM+PHRpdGxlPkNhbiB3ZSBzYWZlbHkgcmVjb21tZW5kIGdlc3RhdGlvbmFsIHdlaWdodCBnYWlu
IGJlbG93IHRoZSAyMDA5IGd1aWRlbGluZXMgaW4gb2Jlc2Ugd29tZW4/IEEgc3lzdGVtYXRpYyBy
ZXZpZXcgYW5kIG1ldGEtYW5hbHlzaXM8L3RpdGxlPjxzZWNvbmRhcnktdGl0bGU+T2JlcyBSZXY8
L3NlY29uZGFyeS10aXRsZT48L3RpdGxlcz48cGVyaW9kaWNhbD48ZnVsbC10aXRsZT5PYmVzIFJl
djwvZnVsbC10aXRsZT48L3BlcmlvZGljYWw+PHBhZ2VzPjE4OS0yMDY8L3BhZ2VzPjx2b2x1bWU+
MTY8L3ZvbHVtZT48bnVtYmVyPjM8L251bWJlcj48ZWRpdGlvbj4yMDE1LzAxLzIwPC9lZGl0aW9u
PjxrZXl3b3Jkcz48a2V5d29yZD5BZHVsdDwva2V5d29yZD48a2V5d29yZD5GZW1hbGU8L2tleXdv
cmQ+PGtleXdvcmQ+SHVtYW5zPC9rZXl3b3JkPjxrZXl3b3JkPkluZmFudCwgTmV3Ym9ybjwva2V5
d29yZD48a2V5d29yZD5JbmZhbnQsIFByZW1hdHVyZTwva2V5d29yZD48a2V5d29yZD5JbmZhbnQs
IFNtYWxsIGZvciBHZXN0YXRpb25hbCBBZ2U8L2tleXdvcmQ+PGtleXdvcmQ+TW90aGVycy8qc3Rh
dGlzdGljcyAmYW1wOyBudW1lcmljYWwgZGF0YTwva2V5d29yZD48a2V5d29yZD5PYmVzaXR5L2Nv
bXBsaWNhdGlvbnMvZXBpZGVtaW9sb2d5LypwcmV2ZW50aW9uICZhbXA7IGNvbnRyb2w8L2tleXdv
cmQ+PGtleXdvcmQ+T2RkcyBSYXRpbzwva2V5d29yZD48a2V5d29yZD5QaWxvdCBQcm9qZWN0czwv
a2V5d29yZD48a2V5d29yZD5QcmFjdGljZSBHdWlkZWxpbmVzIGFzIFRvcGljPC9rZXl3b3JkPjxr
ZXl3b3JkPlByZS1FY2xhbXBzaWEvKmVwaWRlbWlvbG9neS9ldGlvbG9neS9wcmV2ZW50aW9uICZh
bXA7IGNvbnRyb2w8L2tleXdvcmQ+PGtleXdvcmQ+UHJlZ25hbmN5PC9rZXl3b3JkPjxrZXl3b3Jk
PlByZWduYW5jeSBDb21wbGljYXRpb25zLyplcGlkZW1pb2xvZ3kvZXRpb2xvZ3kvcHJldmVudGlv
biAmYW1wOyBjb250cm9sPC9rZXl3b3JkPjxrZXl3b3JkPlByZWduYW5jeSBPdXRjb21lPC9rZXl3
b3JkPjxrZXl3b3JkPlJpc2sgRmFjdG9yczwva2V5d29yZD48a2V5d29yZD4qV2VpZ2h0IEdhaW48
L2tleXdvcmQ+PGtleXdvcmQ+R2VzdGF0aW9uYWwgd2VpZ2h0IGdhaW48L2tleXdvcmQ+PGtleXdv
cmQ+SU9NIGd1aWRlbGluZTwva2V5d29yZD48a2V5d29yZD5vYmVzZSB3b21lbjwva2V5d29yZD48
a2V5d29yZD5zeXN0ZW1hdGljIHJldmlldzwva2V5d29yZD48L2tleXdvcmRzPjxkYXRlcz48eWVh
cj4yMDE1PC95ZWFyPjxwdWItZGF0ZXM+PGRhdGU+TWFyPC9kYXRlPjwvcHViLWRhdGVzPjwvZGF0
ZXM+PGlzYm4+MTQ2Ny03ODlYIChFbGVjdHJvbmljKSYjeEQ7MTQ2Ny03ODgxIChMaW5raW5nKTwv
aXNibj48YWNjZXNzaW9uLW51bT4yNTU5ODAzNzwvYWNjZXNzaW9uLW51bT48dXJscz48cmVsYXRl
ZC11cmxzPjx1cmw+aHR0cHM6Ly93d3cubmNiaS5ubG0ubmloLmdvdi9wdWJtZWQvMjU1OTgwMzc8
L3VybD48L3JlbGF0ZWQtdXJscz48L3VybHM+PGVsZWN0cm9uaWMtcmVzb3VyY2UtbnVtPjEwLjEx
MTEvb2JyLjEyMjM4PC9lbGVjdHJvbmljLXJlc291cmNlLW51bT48L3JlY29yZD48L0NpdGU+PC9F
bmROb3RlPn==
</w:fldData>
        </w:fldChar>
      </w:r>
      <w:r w:rsidR="001A2F28">
        <w:instrText xml:space="preserve"> ADDIN EN.CITE </w:instrText>
      </w:r>
      <w:r w:rsidR="001A2F28">
        <w:fldChar w:fldCharType="begin">
          <w:fldData xml:space="preserve">PEVuZE5vdGU+PENpdGU+PEF1dGhvcj5LYXBhZGlhPC9BdXRob3I+PFllYXI+MjAxNTwvWWVhcj48
UmVjTnVtPjE3NjQ8L1JlY051bT48RGlzcGxheVRleHQ+PHN0eWxlIGZhY2U9InN1cGVyc2NyaXB0
IiBmb250PSJUcmVidWNoZXQgTVMiIHNpemU9IjkiPjM3MDwvc3R5bGU+PC9EaXNwbGF5VGV4dD48
cmVjb3JkPjxyZWMtbnVtYmVyPjE3NjQ8L3JlYy1udW1iZXI+PGZvcmVpZ24ta2V5cz48a2V5IGFw
cD0iRU4iIGRiLWlkPSJleHZhc3JmeDJkdHJhb2VzYXN4cDJzenN4YTJkZjUwMjU5MngiIHRpbWVz
dGFtcD0iMTU4Mjg2NzE5MiI+MTc2NDwva2V5PjxrZXkgYXBwPSJFTldlYiIgZGItaWQ9IiI+MDwv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Y01hc3RlciBVbml2ZXJzaXR5LCBIYW1pbHRvbiwgQ2FuYWRhLjwvYXV0aC1hZGRyZXNzPjx0aXRs
ZXM+PHRpdGxlPkNhbiB3ZSBzYWZlbHkgcmVjb21tZW5kIGdlc3RhdGlvbmFsIHdlaWdodCBnYWlu
IGJlbG93IHRoZSAyMDA5IGd1aWRlbGluZXMgaW4gb2Jlc2Ugd29tZW4/IEEgc3lzdGVtYXRpYyBy
ZXZpZXcgYW5kIG1ldGEtYW5hbHlzaXM8L3RpdGxlPjxzZWNvbmRhcnktdGl0bGU+T2JlcyBSZXY8
L3NlY29uZGFyeS10aXRsZT48L3RpdGxlcz48cGVyaW9kaWNhbD48ZnVsbC10aXRsZT5PYmVzIFJl
djwvZnVsbC10aXRsZT48L3BlcmlvZGljYWw+PHBhZ2VzPjE4OS0yMDY8L3BhZ2VzPjx2b2x1bWU+
MTY8L3ZvbHVtZT48bnVtYmVyPjM8L251bWJlcj48ZWRpdGlvbj4yMDE1LzAxLzIwPC9lZGl0aW9u
PjxrZXl3b3Jkcz48a2V5d29yZD5BZHVsdDwva2V5d29yZD48a2V5d29yZD5GZW1hbGU8L2tleXdv
cmQ+PGtleXdvcmQ+SHVtYW5zPC9rZXl3b3JkPjxrZXl3b3JkPkluZmFudCwgTmV3Ym9ybjwva2V5
d29yZD48a2V5d29yZD5JbmZhbnQsIFByZW1hdHVyZTwva2V5d29yZD48a2V5d29yZD5JbmZhbnQs
IFNtYWxsIGZvciBHZXN0YXRpb25hbCBBZ2U8L2tleXdvcmQ+PGtleXdvcmQ+TW90aGVycy8qc3Rh
dGlzdGljcyAmYW1wOyBudW1lcmljYWwgZGF0YTwva2V5d29yZD48a2V5d29yZD5PYmVzaXR5L2Nv
bXBsaWNhdGlvbnMvZXBpZGVtaW9sb2d5LypwcmV2ZW50aW9uICZhbXA7IGNvbnRyb2w8L2tleXdv
cmQ+PGtleXdvcmQ+T2RkcyBSYXRpbzwva2V5d29yZD48a2V5d29yZD5QaWxvdCBQcm9qZWN0czwv
a2V5d29yZD48a2V5d29yZD5QcmFjdGljZSBHdWlkZWxpbmVzIGFzIFRvcGljPC9rZXl3b3JkPjxr
ZXl3b3JkPlByZS1FY2xhbXBzaWEvKmVwaWRlbWlvbG9neS9ldGlvbG9neS9wcmV2ZW50aW9uICZh
bXA7IGNvbnRyb2w8L2tleXdvcmQ+PGtleXdvcmQ+UHJlZ25hbmN5PC9rZXl3b3JkPjxrZXl3b3Jk
PlByZWduYW5jeSBDb21wbGljYXRpb25zLyplcGlkZW1pb2xvZ3kvZXRpb2xvZ3kvcHJldmVudGlv
biAmYW1wOyBjb250cm9sPC9rZXl3b3JkPjxrZXl3b3JkPlByZWduYW5jeSBPdXRjb21lPC9rZXl3
b3JkPjxrZXl3b3JkPlJpc2sgRmFjdG9yczwva2V5d29yZD48a2V5d29yZD4qV2VpZ2h0IEdhaW48
L2tleXdvcmQ+PGtleXdvcmQ+R2VzdGF0aW9uYWwgd2VpZ2h0IGdhaW48L2tleXdvcmQ+PGtleXdv
cmQ+SU9NIGd1aWRlbGluZTwva2V5d29yZD48a2V5d29yZD5vYmVzZSB3b21lbjwva2V5d29yZD48
a2V5d29yZD5zeXN0ZW1hdGljIHJldmlldzwva2V5d29yZD48L2tleXdvcmRzPjxkYXRlcz48eWVh
cj4yMDE1PC95ZWFyPjxwdWItZGF0ZXM+PGRhdGU+TWFyPC9kYXRlPjwvcHViLWRhdGVzPjwvZGF0
ZXM+PGlzYm4+MTQ2Ny03ODlYIChFbGVjdHJvbmljKSYjeEQ7MTQ2Ny03ODgxIChMaW5raW5nKTwv
aXNibj48YWNjZXNzaW9uLW51bT4yNTU5ODAzNzwvYWNjZXNzaW9uLW51bT48dXJscz48cmVsYXRl
ZC11cmxzPjx1cmw+aHR0cHM6Ly93d3cubmNiaS5ubG0ubmloLmdvdi9wdWJtZWQvMjU1OTgwMzc8
L3VybD48L3JlbGF0ZWQtdXJscz48L3VybHM+PGVsZWN0cm9uaWMtcmVzb3VyY2UtbnVtPjEwLjEx
MTEvb2JyLjEyMjM4PC9lbGVjdHJvbmljLXJlc291cmNlLW51bT48L3JlY29yZD48L0NpdGU+PC9F
bmROb3RlPn==
</w:fldData>
        </w:fldChar>
      </w:r>
      <w:r w:rsidR="001A2F28">
        <w:instrText xml:space="preserve"> ADDIN EN.CITE.DATA </w:instrText>
      </w:r>
      <w:r w:rsidR="001A2F28">
        <w:fldChar w:fldCharType="end"/>
      </w:r>
      <w:r>
        <w:fldChar w:fldCharType="separate"/>
      </w:r>
      <w:r w:rsidR="001A2F28" w:rsidRPr="001A2F28">
        <w:rPr>
          <w:noProof/>
          <w:vertAlign w:val="superscript"/>
        </w:rPr>
        <w:t>370</w:t>
      </w:r>
      <w:r>
        <w:fldChar w:fldCharType="end"/>
      </w:r>
      <w:r>
        <w:t xml:space="preserve"> found that weight gain </w:t>
      </w:r>
      <w:r w:rsidRPr="00F93356">
        <w:rPr>
          <w:i/>
        </w:rPr>
        <w:t>lower</w:t>
      </w:r>
      <w:r>
        <w:t xml:space="preserve"> than recommendations was associated with an increase in risk of:</w:t>
      </w:r>
    </w:p>
    <w:p w14:paraId="1D1DBBCC" w14:textId="77777777" w:rsidR="00CB55A1" w:rsidRDefault="00CB55A1" w:rsidP="00CB55A1">
      <w:pPr>
        <w:pStyle w:val="bullet"/>
      </w:pPr>
      <w:r>
        <w:t>preterm birth (</w:t>
      </w:r>
      <w:r w:rsidRPr="00494D97">
        <w:rPr>
          <w:sz w:val="16"/>
          <w:szCs w:val="16"/>
        </w:rPr>
        <w:t>aOR 1.46; 95%CI 1.07 to 2.00</w:t>
      </w:r>
      <w:r>
        <w:t>)</w:t>
      </w:r>
    </w:p>
    <w:p w14:paraId="18BA5050" w14:textId="77777777" w:rsidR="00CB55A1" w:rsidRDefault="00CB55A1" w:rsidP="00CB55A1">
      <w:pPr>
        <w:pStyle w:val="bullet"/>
      </w:pPr>
      <w:r>
        <w:t>small-for-gestational-age babies (</w:t>
      </w:r>
      <w:r w:rsidRPr="00494D97">
        <w:rPr>
          <w:sz w:val="16"/>
          <w:szCs w:val="16"/>
        </w:rPr>
        <w:t>OR</w:t>
      </w:r>
      <w:r>
        <w:rPr>
          <w:sz w:val="16"/>
          <w:szCs w:val="16"/>
        </w:rPr>
        <w:t> </w:t>
      </w:r>
      <w:r w:rsidRPr="00494D97">
        <w:rPr>
          <w:sz w:val="16"/>
          <w:szCs w:val="16"/>
        </w:rPr>
        <w:t>1.24; 95%CI 1.13 to 1.36</w:t>
      </w:r>
      <w:r>
        <w:t>).</w:t>
      </w:r>
    </w:p>
    <w:p w14:paraId="3EA7C050" w14:textId="77777777" w:rsidR="00CB55A1" w:rsidRDefault="00CB55A1" w:rsidP="00CB55A1">
      <w:r>
        <w:t>Weight gain lower than recommendations was associated with a lower likelihood of:</w:t>
      </w:r>
    </w:p>
    <w:p w14:paraId="4489A031" w14:textId="77777777" w:rsidR="00CB55A1" w:rsidRDefault="00CB55A1" w:rsidP="00CB55A1">
      <w:pPr>
        <w:pStyle w:val="bullet"/>
      </w:pPr>
      <w:r>
        <w:t>large-for-gestational-age babies (</w:t>
      </w:r>
      <w:r w:rsidRPr="00494D97">
        <w:rPr>
          <w:sz w:val="16"/>
          <w:szCs w:val="16"/>
        </w:rPr>
        <w:t>aOR 0.77; 95%CI 0.73 to 0.81</w:t>
      </w:r>
      <w:r>
        <w:t>)</w:t>
      </w:r>
    </w:p>
    <w:p w14:paraId="6ED35D8D" w14:textId="77777777" w:rsidR="00CB55A1" w:rsidRDefault="00CB55A1" w:rsidP="00CB55A1">
      <w:pPr>
        <w:pStyle w:val="bullet"/>
      </w:pPr>
      <w:r>
        <w:t>macrosomia (</w:t>
      </w:r>
      <w:r w:rsidRPr="00494D97">
        <w:rPr>
          <w:sz w:val="16"/>
          <w:szCs w:val="16"/>
        </w:rPr>
        <w:t>aOR 0.64; 95%CI 0.54 to 0.77</w:t>
      </w:r>
      <w:r>
        <w:t>)</w:t>
      </w:r>
    </w:p>
    <w:p w14:paraId="3DB8DDB0" w14:textId="77777777" w:rsidR="00CB55A1" w:rsidRDefault="00CB55A1" w:rsidP="00CB55A1">
      <w:pPr>
        <w:pStyle w:val="bullet"/>
      </w:pPr>
      <w:r>
        <w:t>gestational hypertension (</w:t>
      </w:r>
      <w:r w:rsidRPr="008E5ABA">
        <w:rPr>
          <w:sz w:val="16"/>
          <w:szCs w:val="16"/>
        </w:rPr>
        <w:t>aOR, 0.70; 95%CI 0.53 to 0.93</w:t>
      </w:r>
      <w:r>
        <w:t xml:space="preserve">) </w:t>
      </w:r>
    </w:p>
    <w:p w14:paraId="781D7F54" w14:textId="77777777" w:rsidR="00CB55A1" w:rsidRDefault="00CB55A1" w:rsidP="00CB55A1">
      <w:pPr>
        <w:pStyle w:val="bullet"/>
      </w:pPr>
      <w:r>
        <w:t>pre-eclampsia (</w:t>
      </w:r>
      <w:r w:rsidRPr="008E5ABA">
        <w:rPr>
          <w:sz w:val="16"/>
          <w:szCs w:val="16"/>
        </w:rPr>
        <w:t>aOR 0.90; 95%CI 0.82 to 0.99</w:t>
      </w:r>
      <w:r>
        <w:t xml:space="preserve">). </w:t>
      </w:r>
    </w:p>
    <w:p w14:paraId="1EAAA3EB" w14:textId="77777777" w:rsidR="00CB55A1" w:rsidRDefault="00CB55A1" w:rsidP="00CB55A1">
      <w:pPr>
        <w:pStyle w:val="bullet"/>
      </w:pPr>
      <w:r>
        <w:t>caesarean section (</w:t>
      </w:r>
      <w:r w:rsidRPr="00494D97">
        <w:rPr>
          <w:sz w:val="16"/>
          <w:szCs w:val="16"/>
        </w:rPr>
        <w:t>aOR 0.87; 95%CI 0.82 to 0.92</w:t>
      </w:r>
      <w:r>
        <w:t xml:space="preserve">). </w:t>
      </w:r>
    </w:p>
    <w:p w14:paraId="135F1F27" w14:textId="77777777" w:rsidR="00CB55A1" w:rsidRDefault="00CB55A1" w:rsidP="00CB55A1">
      <w:r>
        <w:t>There was no difference in risk of gestational diabetes (</w:t>
      </w:r>
      <w:r w:rsidRPr="008E5ABA">
        <w:rPr>
          <w:sz w:val="16"/>
          <w:szCs w:val="16"/>
        </w:rPr>
        <w:t>aOR 1.15; 95%CI 0.91 to 1.45</w:t>
      </w:r>
      <w:r>
        <w:t>), low birthweight (</w:t>
      </w:r>
      <w:r w:rsidRPr="008E5ABA">
        <w:rPr>
          <w:sz w:val="16"/>
          <w:szCs w:val="16"/>
        </w:rPr>
        <w:t>aOR1.08; 95%CI 0.76 to 1.54</w:t>
      </w:r>
      <w:r>
        <w:t>), Apgar score &lt;7 at 5 minutes (</w:t>
      </w:r>
      <w:r w:rsidRPr="008E5ABA">
        <w:rPr>
          <w:sz w:val="16"/>
          <w:szCs w:val="16"/>
        </w:rPr>
        <w:t>aOR 0.92; 95%CI 0.67 to 1.27</w:t>
      </w:r>
      <w:r>
        <w:t>) or postpartum weight retention (</w:t>
      </w:r>
      <w:r w:rsidRPr="008E5ABA">
        <w:rPr>
          <w:sz w:val="16"/>
          <w:szCs w:val="16"/>
        </w:rPr>
        <w:t>MD -5.3</w:t>
      </w:r>
      <w:r>
        <w:rPr>
          <w:sz w:val="16"/>
          <w:szCs w:val="16"/>
        </w:rPr>
        <w:t xml:space="preserve"> kg</w:t>
      </w:r>
      <w:r w:rsidRPr="008E5ABA">
        <w:rPr>
          <w:sz w:val="16"/>
          <w:szCs w:val="16"/>
        </w:rPr>
        <w:t>; 95%CI -9.0 to 1.17</w:t>
      </w:r>
      <w:r>
        <w:t>).</w:t>
      </w:r>
    </w:p>
    <w:p w14:paraId="433AD829" w14:textId="77777777" w:rsidR="00CB55A1" w:rsidRDefault="00CB55A1" w:rsidP="00CB55A1">
      <w:pPr>
        <w:pStyle w:val="Heading5"/>
      </w:pPr>
      <w:r>
        <w:t>Weight loss</w:t>
      </w:r>
    </w:p>
    <w:p w14:paraId="43837130" w14:textId="7FCED48E" w:rsidR="00CB55A1" w:rsidRDefault="00CB55A1" w:rsidP="00CB55A1">
      <w:r>
        <w:t>A systematic review of cohort studies (</w:t>
      </w:r>
      <w:r w:rsidRPr="00D34E49">
        <w:rPr>
          <w:sz w:val="16"/>
          <w:szCs w:val="16"/>
        </w:rPr>
        <w:t>n=60,913</w:t>
      </w:r>
      <w:r>
        <w:t>)</w:t>
      </w:r>
      <w:r>
        <w:fldChar w:fldCharType="begin">
          <w:fldData xml:space="preserve">PEVuZE5vdGU+PENpdGU+PEF1dGhvcj5LYXBhZGlhPC9BdXRob3I+PFllYXI+MjAxNTwvWWVhcj48
UmVjTnVtPjE3NjY8L1JlY051bT48RGlzcGxheVRleHQ+PHN0eWxlIGZhY2U9InN1cGVyc2NyaXB0
IiBmb250PSJUcmVidWNoZXQgTVMiIHNpemU9IjkiPjM3MTwvc3R5bGU+PC9EaXNwbGF5VGV4dD48
cmVjb3JkPjxyZWMtbnVtYmVyPjE3NjY8L3JlYy1udW1iZXI+PGZvcmVpZ24ta2V5cz48a2V5IGFw
cD0iRU4iIGRiLWlkPSJleHZhc3JmeDJkdHJhb2VzYXN4cDJzenN4YTJkZjUwMjU5MngiIHRpbWVz
dGFtcD0iMTU4Mjg2NzIxMiI+MTc2Njwva2V5PjxrZXkgYXBwPSJFTldlYiIgZGItaWQ9IiI+MDwv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Y01hc3RlciBVbml2ZXJzaXR5LCBIYW1pbHRvbiwgT250YXJpbywgQ2FuYWRhLiYjeEQ7RGVwYXJ0
bWVudCBvZiBDbGluaWNhbCBFcGlkZW1pb2xvZ3kgYW5kIEJpb3N0YXRpc3RpY3MsIE1jTWFzdGVy
IFVuaXZlcnNpdHksIEhhbWlsdG9uLCBPbnRhcmlvLCBDYW5hZGEuJiN4RDtEZXBhcnRtZW50IG9m
IFBlZGlhdHJpY3MsIERpdmlzaW9uIG9mIEdlbmVyYWwgUGVkaWF0cmljcywgTWNNYXN0ZXIgVW5p
dmVyc2l0eSwgSGFtaWx0b24sIE9udGFyaW8sIENhbmFkYS4mI3hEO0RlcGFydG1lbnQgb2YgT2Jz
dGV0cmljcyBhbmQgR3luYWVjb2xvZ3ksIERpdmlzaW9uIG9mIE1hdGVybmFsIEZldGFsIE1lZGlj
aW5lLCBNb3VudCBTaW5haSBIb3NwaXRhbCBhbmQgVW5pdmVyc2l0eSBIZWFsdGggTmV0d29yaywg
VW5pdmVyc2l0eSBvZiBUb3JvbnRvLCBUb3JvbnRvLCBPbnRhcmlvLCBDYW5hZGEuJiN4RDtEZXBh
cnRtZW50IG9mIENsaW5pY2FsIEVwaWRlbWlvbG9neSBhbmQgQmlvc3RhdGlzdGljcywgTWNNYXN0
ZXIgVW5pdmVyc2l0eSwgSGFtaWx0b24sIE9udGFyaW8sIENhbmFkYTsgRGVwYXJ0bWVudCBvZiBP
YnN0ZXRyaWNzIGFuZCBHeW5lY29sb2d5LCBEaXZpc2lvbiBvZiBNYXRlcm5hbCBGZXRhbCBNZWRp
Y2luZSwgTWNNYXN0ZXIgVW5pdmVyc2l0eSwgSGFtaWx0b24sIE9udGFyaW8sIENhbmFkYTsgRGVw
YXJ0bWVudCBvZiBSYWRpb2xvZ3ksIE1jTWFzdGVyIFVuaXZlcnNpdHksIEhhbWlsdG9uLCBPbnRh
cmlvLCBDYW5hZGEuPC9hdXRoLWFkZHJlc3M+PHRpdGxlcz48dGl0bGU+V2VpZ2h0IGxvc3MgaW5z
dGVhZCBvZiB3ZWlnaHQgZ2FpbiB3aXRoaW4gdGhlIGd1aWRlbGluZXMgaW4gb2Jlc2Ugd29tZW4g
ZHVyaW5nIHByZWduYW5jeTogQSBzeXN0ZW1hdGljIHJldmlldyBhbmQgbWV0YS1hbmFseXNlcyBv
ZiBtYXRlcm5hbCBhbmQgaW5mYW50IG91dGNvbWVzPC90aXRsZT48c2Vjb25kYXJ5LXRpdGxlPlBM
b1MgT25lPC9zZWNvbmRhcnktdGl0bGU+PC90aXRsZXM+PHBlcmlvZGljYWw+PGZ1bGwtdGl0bGU+
UExvUyBPbmU8L2Z1bGwtdGl0bGU+PC9wZXJpb2RpY2FsPjxwYWdlcz5lMDEzMjY1MDwvcGFnZXM+
PHZvbHVtZT4xMDwvdm9sdW1lPjxudW1iZXI+NzwvbnVtYmVyPjxlZGl0aW9uPjIwMTUvMDcvMjI8
L2VkaXRpb24+PGtleXdvcmRzPjxrZXl3b3JkPkZlbWFsZTwva2V5d29yZD48a2V5d29yZD5IdW1h
bnM8L2tleXdvcmQ+PGtleXdvcmQ+SW5mYW50LCBOZXdib3JuPC9rZXl3b3JkPjxrZXl3b3JkPklu
ZmFudCwgU21hbGwgZm9yIEdlc3RhdGlvbmFsIEFnZTwva2V5d29yZD48a2V5d29yZD5PYmVzaXR5
Lypjb21wbGljYXRpb25zLypwYXRob2xvZ3k8L2tleXdvcmQ+PGtleXdvcmQ+UHJlZ25hbmN5PC9r
ZXl3b3JkPjxrZXl3b3JkPlByZWduYW5jeSBDb21wbGljYXRpb25zL2RpYWdub3Npcy9lcGlkZW1p
b2xvZ3kvKnBhdGhvbG9neTwva2V5d29yZD48a2V5d29yZD5QcmVnbmFuY3kgT3V0Y29tZTwva2V5
d29yZD48a2V5d29yZD5QcmVtYXR1cmUgQmlydGgvZGlhZ25vc2lzL2VwaWRlbWlvbG9neS9wYXRo
b2xvZ3k8L2tleXdvcmQ+PGtleXdvcmQ+KldlaWdodCBHYWluPC9rZXl3b3JkPjxrZXl3b3JkPipX
ZWlnaHQgTG9zczwva2V5d29yZD48L2tleXdvcmRzPjxkYXRlcz48eWVhcj4yMDE1PC95ZWFyPjwv
ZGF0ZXM+PGlzYm4+MTkzMi02MjAzIChFbGVjdHJvbmljKSYjeEQ7MTkzMi02MjAzIChMaW5raW5n
KTwvaXNibj48YWNjZXNzaW9uLW51bT4yNjE5NjEzMDwvYWNjZXNzaW9uLW51bT48dXJscz48cmVs
YXRlZC11cmxzPjx1cmw+aHR0cHM6Ly93d3cubmNiaS5ubG0ubmloLmdvdi9wdWJtZWQvMjYxOTYx
MzA8L3VybD48L3JlbGF0ZWQtdXJscz48L3VybHM+PGN1c3RvbTI+UE1DNDUwOTY3MDwvY3VzdG9t
Mj48ZWxlY3Ryb25pYy1yZXNvdXJjZS1udW0+MTAuMTM3MS9qb3VybmFsLnBvbmUuMDEzMjY1MDwv
ZWxlY3Ryb25pYy1yZXNvdXJjZS1udW0+PC9yZWNvcmQ+PC9DaXRlPjwvRW5kTm90ZT5=
</w:fldData>
        </w:fldChar>
      </w:r>
      <w:r w:rsidR="001A2F28">
        <w:instrText xml:space="preserve"> ADDIN EN.CITE </w:instrText>
      </w:r>
      <w:r w:rsidR="001A2F28">
        <w:fldChar w:fldCharType="begin">
          <w:fldData xml:space="preserve">PEVuZE5vdGU+PENpdGU+PEF1dGhvcj5LYXBhZGlhPC9BdXRob3I+PFllYXI+MjAxNTwvWWVhcj48
UmVjTnVtPjE3NjY8L1JlY051bT48RGlzcGxheVRleHQ+PHN0eWxlIGZhY2U9InN1cGVyc2NyaXB0
IiBmb250PSJUcmVidWNoZXQgTVMiIHNpemU9IjkiPjM3MTwvc3R5bGU+PC9EaXNwbGF5VGV4dD48
cmVjb3JkPjxyZWMtbnVtYmVyPjE3NjY8L3JlYy1udW1iZXI+PGZvcmVpZ24ta2V5cz48a2V5IGFw
cD0iRU4iIGRiLWlkPSJleHZhc3JmeDJkdHJhb2VzYXN4cDJzenN4YTJkZjUwMjU5MngiIHRpbWVz
dGFtcD0iMTU4Mjg2NzIxMiI+MTc2Njwva2V5PjxrZXkgYXBwPSJFTldlYiIgZGItaWQ9IiI+MDwv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Y01hc3RlciBVbml2ZXJzaXR5LCBIYW1pbHRvbiwgT250YXJpbywgQ2FuYWRhLiYjeEQ7RGVwYXJ0
bWVudCBvZiBDbGluaWNhbCBFcGlkZW1pb2xvZ3kgYW5kIEJpb3N0YXRpc3RpY3MsIE1jTWFzdGVy
IFVuaXZlcnNpdHksIEhhbWlsdG9uLCBPbnRhcmlvLCBDYW5hZGEuJiN4RDtEZXBhcnRtZW50IG9m
IFBlZGlhdHJpY3MsIERpdmlzaW9uIG9mIEdlbmVyYWwgUGVkaWF0cmljcywgTWNNYXN0ZXIgVW5p
dmVyc2l0eSwgSGFtaWx0b24sIE9udGFyaW8sIENhbmFkYS4mI3hEO0RlcGFydG1lbnQgb2YgT2Jz
dGV0cmljcyBhbmQgR3luYWVjb2xvZ3ksIERpdmlzaW9uIG9mIE1hdGVybmFsIEZldGFsIE1lZGlj
aW5lLCBNb3VudCBTaW5haSBIb3NwaXRhbCBhbmQgVW5pdmVyc2l0eSBIZWFsdGggTmV0d29yaywg
VW5pdmVyc2l0eSBvZiBUb3JvbnRvLCBUb3JvbnRvLCBPbnRhcmlvLCBDYW5hZGEuJiN4RDtEZXBh
cnRtZW50IG9mIENsaW5pY2FsIEVwaWRlbWlvbG9neSBhbmQgQmlvc3RhdGlzdGljcywgTWNNYXN0
ZXIgVW5pdmVyc2l0eSwgSGFtaWx0b24sIE9udGFyaW8sIENhbmFkYTsgRGVwYXJ0bWVudCBvZiBP
YnN0ZXRyaWNzIGFuZCBHeW5lY29sb2d5LCBEaXZpc2lvbiBvZiBNYXRlcm5hbCBGZXRhbCBNZWRp
Y2luZSwgTWNNYXN0ZXIgVW5pdmVyc2l0eSwgSGFtaWx0b24sIE9udGFyaW8sIENhbmFkYTsgRGVw
YXJ0bWVudCBvZiBSYWRpb2xvZ3ksIE1jTWFzdGVyIFVuaXZlcnNpdHksIEhhbWlsdG9uLCBPbnRh
cmlvLCBDYW5hZGEuPC9hdXRoLWFkZHJlc3M+PHRpdGxlcz48dGl0bGU+V2VpZ2h0IGxvc3MgaW5z
dGVhZCBvZiB3ZWlnaHQgZ2FpbiB3aXRoaW4gdGhlIGd1aWRlbGluZXMgaW4gb2Jlc2Ugd29tZW4g
ZHVyaW5nIHByZWduYW5jeTogQSBzeXN0ZW1hdGljIHJldmlldyBhbmQgbWV0YS1hbmFseXNlcyBv
ZiBtYXRlcm5hbCBhbmQgaW5mYW50IG91dGNvbWVzPC90aXRsZT48c2Vjb25kYXJ5LXRpdGxlPlBM
b1MgT25lPC9zZWNvbmRhcnktdGl0bGU+PC90aXRsZXM+PHBlcmlvZGljYWw+PGZ1bGwtdGl0bGU+
UExvUyBPbmU8L2Z1bGwtdGl0bGU+PC9wZXJpb2RpY2FsPjxwYWdlcz5lMDEzMjY1MDwvcGFnZXM+
PHZvbHVtZT4xMDwvdm9sdW1lPjxudW1iZXI+NzwvbnVtYmVyPjxlZGl0aW9uPjIwMTUvMDcvMjI8
L2VkaXRpb24+PGtleXdvcmRzPjxrZXl3b3JkPkZlbWFsZTwva2V5d29yZD48a2V5d29yZD5IdW1h
bnM8L2tleXdvcmQ+PGtleXdvcmQ+SW5mYW50LCBOZXdib3JuPC9rZXl3b3JkPjxrZXl3b3JkPklu
ZmFudCwgU21hbGwgZm9yIEdlc3RhdGlvbmFsIEFnZTwva2V5d29yZD48a2V5d29yZD5PYmVzaXR5
Lypjb21wbGljYXRpb25zLypwYXRob2xvZ3k8L2tleXdvcmQ+PGtleXdvcmQ+UHJlZ25hbmN5PC9r
ZXl3b3JkPjxrZXl3b3JkPlByZWduYW5jeSBDb21wbGljYXRpb25zL2RpYWdub3Npcy9lcGlkZW1p
b2xvZ3kvKnBhdGhvbG9neTwva2V5d29yZD48a2V5d29yZD5QcmVnbmFuY3kgT3V0Y29tZTwva2V5
d29yZD48a2V5d29yZD5QcmVtYXR1cmUgQmlydGgvZGlhZ25vc2lzL2VwaWRlbWlvbG9neS9wYXRo
b2xvZ3k8L2tleXdvcmQ+PGtleXdvcmQ+KldlaWdodCBHYWluPC9rZXl3b3JkPjxrZXl3b3JkPipX
ZWlnaHQgTG9zczwva2V5d29yZD48L2tleXdvcmRzPjxkYXRlcz48eWVhcj4yMDE1PC95ZWFyPjwv
ZGF0ZXM+PGlzYm4+MTkzMi02MjAzIChFbGVjdHJvbmljKSYjeEQ7MTkzMi02MjAzIChMaW5raW5n
KTwvaXNibj48YWNjZXNzaW9uLW51bT4yNjE5NjEzMDwvYWNjZXNzaW9uLW51bT48dXJscz48cmVs
YXRlZC11cmxzPjx1cmw+aHR0cHM6Ly93d3cubmNiaS5ubG0ubmloLmdvdi9wdWJtZWQvMjYxOTYx
MzA8L3VybD48L3JlbGF0ZWQtdXJscz48L3VybHM+PGN1c3RvbTI+UE1DNDUwOTY3MDwvY3VzdG9t
Mj48ZWxlY3Ryb25pYy1yZXNvdXJjZS1udW0+MTAuMTM3MS9qb3VybmFsLnBvbmUuMDEzMjY1MDwv
ZWxlY3Ryb25pYy1yZXNvdXJjZS1udW0+PC9yZWNvcmQ+PC9DaXRlPjwvRW5kTm90ZT5=
</w:fldData>
        </w:fldChar>
      </w:r>
      <w:r w:rsidR="001A2F28">
        <w:instrText xml:space="preserve"> ADDIN EN.CITE.DATA </w:instrText>
      </w:r>
      <w:r w:rsidR="001A2F28">
        <w:fldChar w:fldCharType="end"/>
      </w:r>
      <w:r>
        <w:fldChar w:fldCharType="separate"/>
      </w:r>
      <w:r w:rsidR="001A2F28" w:rsidRPr="001A2F28">
        <w:rPr>
          <w:noProof/>
          <w:vertAlign w:val="superscript"/>
        </w:rPr>
        <w:t>371</w:t>
      </w:r>
      <w:r>
        <w:fldChar w:fldCharType="end"/>
      </w:r>
      <w:r>
        <w:t xml:space="preserve"> found that, among women who were obese, gestational weight loss compared to weight gain within the guidelines:</w:t>
      </w:r>
    </w:p>
    <w:p w14:paraId="249A258A" w14:textId="77777777" w:rsidR="00CB55A1" w:rsidRDefault="00CB55A1" w:rsidP="00CB55A1">
      <w:pPr>
        <w:pStyle w:val="bullet"/>
      </w:pPr>
      <w:r>
        <w:t>increased the risk of small-for-gestational-age babies (</w:t>
      </w:r>
      <w:r w:rsidRPr="00866F5D">
        <w:rPr>
          <w:sz w:val="16"/>
          <w:szCs w:val="16"/>
        </w:rPr>
        <w:t>aOR 1.76; 95%CI 1.45 to 2.14; 2 studies</w:t>
      </w:r>
      <w:r>
        <w:t>) and low birthweight (</w:t>
      </w:r>
      <w:r w:rsidRPr="00866F5D">
        <w:rPr>
          <w:sz w:val="16"/>
          <w:szCs w:val="16"/>
        </w:rPr>
        <w:t>aOR 1.68; 95%CI 1.10 to 2.57; 1 study</w:t>
      </w:r>
      <w:r>
        <w:t xml:space="preserve">) </w:t>
      </w:r>
    </w:p>
    <w:p w14:paraId="489EF693" w14:textId="77777777" w:rsidR="00CB55A1" w:rsidRDefault="00CB55A1" w:rsidP="00CB55A1">
      <w:pPr>
        <w:pStyle w:val="bullet"/>
      </w:pPr>
      <w:r>
        <w:t>was associated with a lower likelihood of large for gestational age (</w:t>
      </w:r>
      <w:r w:rsidRPr="00F93356">
        <w:rPr>
          <w:sz w:val="16"/>
          <w:szCs w:val="16"/>
        </w:rPr>
        <w:t>aOR 0.57; 95%CI 0.52 to 0.62; 2 studies</w:t>
      </w:r>
      <w:r>
        <w:t>), macrosomia (</w:t>
      </w:r>
      <w:r w:rsidRPr="00F93356">
        <w:rPr>
          <w:sz w:val="16"/>
          <w:szCs w:val="16"/>
        </w:rPr>
        <w:t>aOR 0.58; 95%CI 0.38 to 0.89; 1 study</w:t>
      </w:r>
      <w:r>
        <w:t>) and caesarean section (</w:t>
      </w:r>
      <w:r w:rsidRPr="00F93356">
        <w:rPr>
          <w:sz w:val="16"/>
          <w:szCs w:val="16"/>
        </w:rPr>
        <w:t>aOR 0.73; 95%CI 0.67 to 0.80; 2</w:t>
      </w:r>
      <w:r>
        <w:rPr>
          <w:sz w:val="16"/>
          <w:szCs w:val="16"/>
        </w:rPr>
        <w:t> </w:t>
      </w:r>
      <w:r w:rsidRPr="00F93356">
        <w:rPr>
          <w:sz w:val="16"/>
          <w:szCs w:val="16"/>
        </w:rPr>
        <w:t>studies</w:t>
      </w:r>
      <w:r w:rsidRPr="00866F5D">
        <w:t>).</w:t>
      </w:r>
      <w:r>
        <w:t xml:space="preserve"> </w:t>
      </w:r>
    </w:p>
    <w:p w14:paraId="15663E45" w14:textId="77777777" w:rsidR="00CB55A1" w:rsidRPr="00D80DAE" w:rsidRDefault="00CB55A1" w:rsidP="00CB55A1">
      <w:r>
        <w:t>There was a possible reduction in risk of pre-eclampsia (</w:t>
      </w:r>
      <w:r w:rsidRPr="00866F5D">
        <w:rPr>
          <w:sz w:val="16"/>
          <w:szCs w:val="16"/>
        </w:rPr>
        <w:t>aOR 0.82; 95%CI 0.66 to 1.02; 1 study</w:t>
      </w:r>
      <w:r>
        <w:t xml:space="preserve">) and no clear difference in risk of </w:t>
      </w:r>
      <w:r>
        <w:rPr>
          <w:rFonts w:eastAsia="MS Mincho" w:cs="Helvetica"/>
          <w:szCs w:val="26"/>
          <w:lang w:val="en-US"/>
        </w:rPr>
        <w:t>g</w:t>
      </w:r>
      <w:r>
        <w:t>estational diabetes (</w:t>
      </w:r>
      <w:r w:rsidRPr="00866F5D">
        <w:rPr>
          <w:sz w:val="16"/>
          <w:szCs w:val="16"/>
        </w:rPr>
        <w:t>aOR 0.88; 95%CI 0.62 to 1.25; 1 study</w:t>
      </w:r>
      <w:r>
        <w:t>) or Apgar score &lt;7 at 5 minutes (</w:t>
      </w:r>
      <w:r w:rsidRPr="00866F5D">
        <w:rPr>
          <w:sz w:val="16"/>
          <w:szCs w:val="16"/>
        </w:rPr>
        <w:t>aOR 1.08; 95%CI 0.81 to 1.44; 2 studies</w:t>
      </w:r>
      <w:r>
        <w:t>). No studies reported on preterm birth.</w:t>
      </w:r>
    </w:p>
    <w:p w14:paraId="025DEFBC" w14:textId="3D56C683" w:rsidR="00EE1F9C" w:rsidRDefault="00EE1F9C" w:rsidP="0056468B">
      <w:pPr>
        <w:pStyle w:val="Heading3"/>
      </w:pPr>
      <w:bookmarkStart w:id="173" w:name="_Toc40943792"/>
      <w:bookmarkStart w:id="174" w:name="_Toc40943794"/>
      <w:bookmarkStart w:id="175" w:name="_Toc40943795"/>
      <w:bookmarkStart w:id="176" w:name="_Toc40943799"/>
      <w:bookmarkStart w:id="177" w:name="_Toc40943802"/>
      <w:bookmarkStart w:id="178" w:name="_Toc40943803"/>
      <w:bookmarkStart w:id="179" w:name="_Toc40943805"/>
      <w:bookmarkStart w:id="180" w:name="_Toc40943806"/>
      <w:bookmarkStart w:id="181" w:name="_Toc40943808"/>
      <w:bookmarkStart w:id="182" w:name="_Toc40943810"/>
      <w:bookmarkStart w:id="183" w:name="_Toc40956533"/>
      <w:bookmarkEnd w:id="173"/>
      <w:bookmarkEnd w:id="174"/>
      <w:bookmarkEnd w:id="175"/>
      <w:bookmarkEnd w:id="176"/>
      <w:bookmarkEnd w:id="177"/>
      <w:bookmarkEnd w:id="178"/>
      <w:bookmarkEnd w:id="179"/>
      <w:bookmarkEnd w:id="180"/>
      <w:bookmarkEnd w:id="181"/>
      <w:bookmarkEnd w:id="182"/>
      <w:r>
        <w:t xml:space="preserve">Women’s </w:t>
      </w:r>
      <w:r w:rsidR="00A62770">
        <w:t xml:space="preserve">views on </w:t>
      </w:r>
      <w:r w:rsidR="00DE11C4">
        <w:t>weight gain during pregnancy</w:t>
      </w:r>
      <w:bookmarkEnd w:id="183"/>
      <w:r>
        <w:t xml:space="preserve"> </w:t>
      </w:r>
    </w:p>
    <w:p w14:paraId="6041363E" w14:textId="0B9BBB4A" w:rsidR="00655EFD" w:rsidRDefault="000E4BF3" w:rsidP="00655EFD">
      <w:r>
        <w:t>A systematic review</w:t>
      </w:r>
      <w:r>
        <w:fldChar w:fldCharType="begin">
          <w:fldData xml:space="preserve">PEVuZE5vdGU+PENpdGU+PEF1dGhvcj5WYW5zdG9uZTwvQXV0aG9yPjxZZWFyPjIwMTc8L1llYXI+
PFJlY051bT4xNzc4PC9SZWNOdW0+PERpc3BsYXlUZXh0PjxzdHlsZSBmYWNlPSJzdXBlcnNjcmlw
dCIgZm9udD0iVHJlYnVjaGV0IE1TIiBzaXplPSI5Ij4zNzI8L3N0eWxlPjwvRGlzcGxheVRleHQ+
PHJlY29yZD48cmVjLW51bWJlcj4xNzc4PC9yZWMtbnVtYmVyPjxmb3JlaWduLWtleXM+PGtleSBh
cHA9IkVOIiBkYi1pZD0iZXh2YXNyZngyZHRyYW9lc2FzeHAyc3pzeGEyZGY1MDI1OTJ4IiB0aW1l
c3RhbXA9IjE1ODI4NjczMjUiPjE3Nzg8L2tleT48a2V5IGFwcD0iRU5XZWIiIGRiLWlkPSIiPjA8
L2tleT48L2ZvcmVpZ24ta2V5cz48cmVmLXR5cGUgbmFtZT0iSm91cm5hbCBBcnRpY2xlIj4xNzwv
cmVmLXR5cGU+PGNvbnRyaWJ1dG9ycz48YXV0aG9ycz48YXV0aG9yPlZhbnN0b25lLCBNLjwvYXV0
aG9yPjxhdXRob3I+S2FuZGFzYW15LCBTLjwvYXV0aG9yPjxhdXRob3I+R2lhY29taW5pLCBNLjwv
YXV0aG9yPjxhdXRob3I+RGVKZWFuLCBELjwvYXV0aG9yPjxhdXRob3I+TWNEb25hbGQsIFMuIEQu
PC9hdXRob3I+PC9hdXRob3JzPjwvY29udHJpYnV0b3JzPjxhdXRoLWFkZHJlc3M+RGVwYXJ0bWVu
dCBvZiBGYW1pbHkgTWVkaWNpbmUsIE1jTWFzdGVyIFVuaXZlcnNpdHksIEhhbWlsdG9uLCBPbnRh
cmlvLCBDYW5hZGEuJiN4RDtDZW50cmUgZm9yIEhlYWx0aCBFY29ub21pY3MgYW5kIFBvbGljeSBB
bmFseXNpcywgTWNNYXN0ZXIgVW5pdmVyc2l0eSwgSGFtaWx0b24sIE9udGFyaW8sIENhbmFkYS4m
I3hEO0RlcGFydG1lbnQgb2YgQ2xpbmljYWwgRXBpZGVtaW9sb2d5IGFuZCBCaW9zdGF0aXN0aWNz
LCBNY01hc3RlciBVbml2ZXJzaXR5LCBIYW1pbHRvbiwgT250YXJpbywgQ2FuYWRhLiYjeEQ7RGVw
YXJ0bWVudHMgb2YgT2JzdGV0cmljcyBhbmQgR3luZWNvbG9neSwgUmFkaW9sb2d5LCBNY01hc3Rl
ciBVbml2ZXJzaXR5LCBIYW1pbHRvbiwgT250YXJpbywgQ2FuYWRhLjwvYXV0aC1hZGRyZXNzPjx0
aXRsZXM+PHRpdGxlPlByZWduYW50IHdvbWVuJmFwb3M7cyBwZXJjZXB0aW9ucyBvZiBnZXN0YXRp
b25hbCB3ZWlnaHQgZ2FpbjogQSBzeXN0ZW1hdGljIHJldmlldyBhbmQgbWV0YS1zeW50aGVzaXMg
b2YgcXVhbGl0YXRpdmUgcmVzZWFyY2g8L3RpdGxlPjxzZWNvbmRhcnktdGl0bGU+TWF0ZXJuIENo
aWxkIE51dHI8L3NlY29uZGFyeS10aXRsZT48L3RpdGxlcz48cGVyaW9kaWNhbD48ZnVsbC10aXRs
ZT5NYXRlcm4gQ2hpbGQgTnV0cjwvZnVsbC10aXRsZT48L3BlcmlvZGljYWw+PHZvbHVtZT4xMzwv
dm9sdW1lPjxudW1iZXI+NDwvbnVtYmVyPjxlZGl0aW9uPjIwMTYvMTEvMjM8L2VkaXRpb24+PGtl
eXdvcmRzPjxrZXl3b3JkPkJpcnRoIFdlaWdodDwva2V5d29yZD48a2V5d29yZD5EaWV0LCBIZWFs
dGh5PC9rZXl3b3JkPjxrZXl3b3JkPkV4ZXJjaXNlPC9rZXl3b3JkPjxrZXl3b3JkPkZlbWFsZTwv
a2V5d29yZD48a2V5d29yZD5IZWFsdGggQmVoYXZpb3I8L2tleXdvcmQ+PGtleXdvcmQ+SGVhbHRo
IEtub3dsZWRnZSwgQXR0aXR1ZGVzLCBQcmFjdGljZTwva2V5d29yZD48a2V5d29yZD5IdW1hbnM8
L2tleXdvcmQ+PGtleXdvcmQ+TW90aGVyczwva2V5d29yZD48a2V5d29yZD5PYmVzaXR5LyplcGlk
ZW1pb2xvZ3k8L2tleXdvcmQ+PGtleXdvcmQ+KlByZWduYW5jeTwva2V5d29yZD48a2V5d29yZD5R
dWFsaXRhdGl2ZSBSZXNlYXJjaDwva2V5d29yZD48a2V5d29yZD5Tb2NpYWwgRW52aXJvbm1lbnQ8
L2tleXdvcmQ+PGtleXdvcmQ+KldlaWdodCBHYWluPC9rZXl3b3JkPjxrZXl3b3JkPipnZXN0YXRp
b25hbCB3ZWlnaHQgZ2Fpbjwva2V5d29yZD48a2V5d29yZD4qbWF0ZXJuYWwgbnV0cml0aW9uPC9r
ZXl3b3JkPjxrZXl3b3JkPipwaHlzaWNhbCBhY3Rpdml0eTwva2V5d29yZD48a2V5d29yZD4qcXVh
bGl0YXRpdmUgbWV0YS1zeW50aGVzaXM8L2tleXdvcmQ+PGtleXdvcmQ+KnN5c3RlbWF0aWMgcmV2
aWV3PC9rZXl3b3JkPjwva2V5d29yZHM+PGRhdGVzPjx5ZWFyPjIwMTc8L3llYXI+PHB1Yi1kYXRl
cz48ZGF0ZT5PY3Q8L2RhdGU+PC9wdWItZGF0ZXM+PC9kYXRlcz48aXNibj4xNzQwLTg3MDkgKEVs
ZWN0cm9uaWMpJiN4RDsxNzQwLTg2OTUgKExpbmtpbmcpPC9pc2JuPjxhY2Nlc3Npb24tbnVtPjI3
ODczNDg0PC9hY2Nlc3Npb24tbnVtPjx1cmxzPjxyZWxhdGVkLXVybHM+PHVybD5odHRwczovL3d3
dy5uY2JpLm5sbS5uaWguZ292L3B1Ym1lZC8yNzg3MzQ4NDwvdXJsPjwvcmVsYXRlZC11cmxzPjwv
dXJscz48ZWxlY3Ryb25pYy1yZXNvdXJjZS1udW0+MTAuMTExMS9tY24uMTIzNzQ8L2VsZWN0cm9u
aWMtcmVzb3VyY2UtbnVtPjwvcmVjb3JkPjwvQ2l0ZT48L0VuZE5vdGU+AG==
</w:fldData>
        </w:fldChar>
      </w:r>
      <w:r w:rsidR="001A2F28">
        <w:instrText xml:space="preserve"> ADDIN EN.CITE </w:instrText>
      </w:r>
      <w:r w:rsidR="001A2F28">
        <w:fldChar w:fldCharType="begin">
          <w:fldData xml:space="preserve">PEVuZE5vdGU+PENpdGU+PEF1dGhvcj5WYW5zdG9uZTwvQXV0aG9yPjxZZWFyPjIwMTc8L1llYXI+
PFJlY051bT4xNzc4PC9SZWNOdW0+PERpc3BsYXlUZXh0PjxzdHlsZSBmYWNlPSJzdXBlcnNjcmlw
dCIgZm9udD0iVHJlYnVjaGV0IE1TIiBzaXplPSI5Ij4zNzI8L3N0eWxlPjwvRGlzcGxheVRleHQ+
PHJlY29yZD48cmVjLW51bWJlcj4xNzc4PC9yZWMtbnVtYmVyPjxmb3JlaWduLWtleXM+PGtleSBh
cHA9IkVOIiBkYi1pZD0iZXh2YXNyZngyZHRyYW9lc2FzeHAyc3pzeGEyZGY1MDI1OTJ4IiB0aW1l
c3RhbXA9IjE1ODI4NjczMjUiPjE3Nzg8L2tleT48a2V5IGFwcD0iRU5XZWIiIGRiLWlkPSIiPjA8
L2tleT48L2ZvcmVpZ24ta2V5cz48cmVmLXR5cGUgbmFtZT0iSm91cm5hbCBBcnRpY2xlIj4xNzwv
cmVmLXR5cGU+PGNvbnRyaWJ1dG9ycz48YXV0aG9ycz48YXV0aG9yPlZhbnN0b25lLCBNLjwvYXV0
aG9yPjxhdXRob3I+S2FuZGFzYW15LCBTLjwvYXV0aG9yPjxhdXRob3I+R2lhY29taW5pLCBNLjwv
YXV0aG9yPjxhdXRob3I+RGVKZWFuLCBELjwvYXV0aG9yPjxhdXRob3I+TWNEb25hbGQsIFMuIEQu
PC9hdXRob3I+PC9hdXRob3JzPjwvY29udHJpYnV0b3JzPjxhdXRoLWFkZHJlc3M+RGVwYXJ0bWVu
dCBvZiBGYW1pbHkgTWVkaWNpbmUsIE1jTWFzdGVyIFVuaXZlcnNpdHksIEhhbWlsdG9uLCBPbnRh
cmlvLCBDYW5hZGEuJiN4RDtDZW50cmUgZm9yIEhlYWx0aCBFY29ub21pY3MgYW5kIFBvbGljeSBB
bmFseXNpcywgTWNNYXN0ZXIgVW5pdmVyc2l0eSwgSGFtaWx0b24sIE9udGFyaW8sIENhbmFkYS4m
I3hEO0RlcGFydG1lbnQgb2YgQ2xpbmljYWwgRXBpZGVtaW9sb2d5IGFuZCBCaW9zdGF0aXN0aWNz
LCBNY01hc3RlciBVbml2ZXJzaXR5LCBIYW1pbHRvbiwgT250YXJpbywgQ2FuYWRhLiYjeEQ7RGVw
YXJ0bWVudHMgb2YgT2JzdGV0cmljcyBhbmQgR3luZWNvbG9neSwgUmFkaW9sb2d5LCBNY01hc3Rl
ciBVbml2ZXJzaXR5LCBIYW1pbHRvbiwgT250YXJpbywgQ2FuYWRhLjwvYXV0aC1hZGRyZXNzPjx0
aXRsZXM+PHRpdGxlPlByZWduYW50IHdvbWVuJmFwb3M7cyBwZXJjZXB0aW9ucyBvZiBnZXN0YXRp
b25hbCB3ZWlnaHQgZ2FpbjogQSBzeXN0ZW1hdGljIHJldmlldyBhbmQgbWV0YS1zeW50aGVzaXMg
b2YgcXVhbGl0YXRpdmUgcmVzZWFyY2g8L3RpdGxlPjxzZWNvbmRhcnktdGl0bGU+TWF0ZXJuIENo
aWxkIE51dHI8L3NlY29uZGFyeS10aXRsZT48L3RpdGxlcz48cGVyaW9kaWNhbD48ZnVsbC10aXRs
ZT5NYXRlcm4gQ2hpbGQgTnV0cjwvZnVsbC10aXRsZT48L3BlcmlvZGljYWw+PHZvbHVtZT4xMzwv
dm9sdW1lPjxudW1iZXI+NDwvbnVtYmVyPjxlZGl0aW9uPjIwMTYvMTEvMjM8L2VkaXRpb24+PGtl
eXdvcmRzPjxrZXl3b3JkPkJpcnRoIFdlaWdodDwva2V5d29yZD48a2V5d29yZD5EaWV0LCBIZWFs
dGh5PC9rZXl3b3JkPjxrZXl3b3JkPkV4ZXJjaXNlPC9rZXl3b3JkPjxrZXl3b3JkPkZlbWFsZTwv
a2V5d29yZD48a2V5d29yZD5IZWFsdGggQmVoYXZpb3I8L2tleXdvcmQ+PGtleXdvcmQ+SGVhbHRo
IEtub3dsZWRnZSwgQXR0aXR1ZGVzLCBQcmFjdGljZTwva2V5d29yZD48a2V5d29yZD5IdW1hbnM8
L2tleXdvcmQ+PGtleXdvcmQ+TW90aGVyczwva2V5d29yZD48a2V5d29yZD5PYmVzaXR5LyplcGlk
ZW1pb2xvZ3k8L2tleXdvcmQ+PGtleXdvcmQ+KlByZWduYW5jeTwva2V5d29yZD48a2V5d29yZD5R
dWFsaXRhdGl2ZSBSZXNlYXJjaDwva2V5d29yZD48a2V5d29yZD5Tb2NpYWwgRW52aXJvbm1lbnQ8
L2tleXdvcmQ+PGtleXdvcmQ+KldlaWdodCBHYWluPC9rZXl3b3JkPjxrZXl3b3JkPipnZXN0YXRp
b25hbCB3ZWlnaHQgZ2Fpbjwva2V5d29yZD48a2V5d29yZD4qbWF0ZXJuYWwgbnV0cml0aW9uPC9r
ZXl3b3JkPjxrZXl3b3JkPipwaHlzaWNhbCBhY3Rpdml0eTwva2V5d29yZD48a2V5d29yZD4qcXVh
bGl0YXRpdmUgbWV0YS1zeW50aGVzaXM8L2tleXdvcmQ+PGtleXdvcmQ+KnN5c3RlbWF0aWMgcmV2
aWV3PC9rZXl3b3JkPjwva2V5d29yZHM+PGRhdGVzPjx5ZWFyPjIwMTc8L3llYXI+PHB1Yi1kYXRl
cz48ZGF0ZT5PY3Q8L2RhdGU+PC9wdWItZGF0ZXM+PC9kYXRlcz48aXNibj4xNzQwLTg3MDkgKEVs
ZWN0cm9uaWMpJiN4RDsxNzQwLTg2OTUgKExpbmtpbmcpPC9pc2JuPjxhY2Nlc3Npb24tbnVtPjI3
ODczNDg0PC9hY2Nlc3Npb24tbnVtPjx1cmxzPjxyZWxhdGVkLXVybHM+PHVybD5odHRwczovL3d3
dy5uY2JpLm5sbS5uaWguZ292L3B1Ym1lZC8yNzg3MzQ4NDwvdXJsPjwvcmVsYXRlZC11cmxzPjwv
dXJscz48ZWxlY3Ryb25pYy1yZXNvdXJjZS1udW0+MTAuMTExMS9tY24uMTIzNzQ8L2VsZWN0cm9u
aWMtcmVzb3VyY2UtbnVtPjwvcmVjb3JkPjwvQ2l0ZT48L0VuZE5vdGU+AG==
</w:fldData>
        </w:fldChar>
      </w:r>
      <w:r w:rsidR="001A2F28">
        <w:instrText xml:space="preserve"> ADDIN EN.CITE.DATA </w:instrText>
      </w:r>
      <w:r w:rsidR="001A2F28">
        <w:fldChar w:fldCharType="end"/>
      </w:r>
      <w:r>
        <w:fldChar w:fldCharType="separate"/>
      </w:r>
      <w:r w:rsidR="001A2F28" w:rsidRPr="001A2F28">
        <w:rPr>
          <w:noProof/>
          <w:vertAlign w:val="superscript"/>
        </w:rPr>
        <w:t>372</w:t>
      </w:r>
      <w:r>
        <w:fldChar w:fldCharType="end"/>
      </w:r>
      <w:r>
        <w:t xml:space="preserve"> found that women </w:t>
      </w:r>
      <w:r w:rsidRPr="004B4FAC">
        <w:t>are highly motivated to change their behavio</w:t>
      </w:r>
      <w:r>
        <w:t>u</w:t>
      </w:r>
      <w:r w:rsidRPr="004B4FAC">
        <w:t>r to improve fe</w:t>
      </w:r>
      <w:r>
        <w:t>tal health, but may not recognis</w:t>
      </w:r>
      <w:r w:rsidRPr="004B4FAC">
        <w:t>e the link between excess</w:t>
      </w:r>
      <w:r>
        <w:t xml:space="preserve"> </w:t>
      </w:r>
      <w:r w:rsidRPr="004B4FAC">
        <w:t>gestational weight gain and negative fetal health outcomes.</w:t>
      </w:r>
      <w:r>
        <w:t xml:space="preserve"> </w:t>
      </w:r>
      <w:r w:rsidRPr="004B4FAC">
        <w:t>Regular, forthright, sensitive counselling</w:t>
      </w:r>
      <w:r>
        <w:t xml:space="preserve"> </w:t>
      </w:r>
      <w:r w:rsidRPr="004B4FAC">
        <w:t>geared to individual circumstances was frequently mentioned as a strong facilitator of healthy weight gain in pregnancy.</w:t>
      </w:r>
    </w:p>
    <w:p w14:paraId="3F31783D" w14:textId="06C5E216" w:rsidR="000E4BF3" w:rsidRDefault="000E4BF3" w:rsidP="00655EFD">
      <w:r>
        <w:t>An Australia cross-sectional study</w:t>
      </w:r>
      <w:r w:rsidR="00DE11C4">
        <w:t xml:space="preserve"> (n=536)</w:t>
      </w:r>
      <w:r>
        <w:fldChar w:fldCharType="begin"/>
      </w:r>
      <w:r w:rsidR="001A2F28">
        <w:instrText xml:space="preserve"> ADDIN EN.CITE &lt;EndNote&gt;&lt;Cite&gt;&lt;Author&gt;Hill&lt;/Author&gt;&lt;Year&gt;2019&lt;/Year&gt;&lt;RecNum&gt;1762&lt;/RecNum&gt;&lt;DisplayText&gt;&lt;style face="superscript" font="Trebuchet MS" size="9"&gt;373&lt;/style&gt;&lt;/DisplayText&gt;&lt;record&gt;&lt;rec-number&gt;1762&lt;/rec-number&gt;&lt;foreign-keys&gt;&lt;key app="EN" db-id="exvasrfx2dtraoesasxp2szsxa2df502592x" timestamp="1582867169"&gt;1762&lt;/key&gt;&lt;key app="ENWeb" db-id=""&gt;0&lt;/key&gt;&lt;/foreign-keys&gt;&lt;ref-type name="Journal Article"&gt;17&lt;/ref-type&gt;&lt;contributors&gt;&lt;authors&gt;&lt;author&gt;Hill, B.&lt;/author&gt;&lt;author&gt;Hayden, M.&lt;/author&gt;&lt;author&gt;McPhie, S.&lt;/author&gt;&lt;author&gt;Bailey, C.&lt;/author&gt;&lt;author&gt;Skouteris, H.&lt;/author&gt;&lt;/authors&gt;&lt;/contributors&gt;&lt;auth-address&gt;School of Public Health and Preventive Medicine, Monash Centre for Health Research and Implementation, Monash University, Melbourne, Victoria, Australia.&amp;#xD;School of Psychology, Centre for Social and Early Emotional Development, Deakin University, Geelong, Victoria, Australia.&lt;/auth-address&gt;&lt;titles&gt;&lt;title&gt;Preconception and antenatal knowledge and beliefs about gestational weight gain&lt;/title&gt;&lt;secondary-title&gt;Aust N Z J Obstet Gynaecol&lt;/secondary-title&gt;&lt;/titles&gt;&lt;periodical&gt;&lt;full-title&gt;Aust N Z J Obstet Gynaecol&lt;/full-title&gt;&lt;/periodical&gt;&lt;pages&gt;634-640&lt;/pages&gt;&lt;volume&gt;59&lt;/volume&gt;&lt;number&gt;5&lt;/number&gt;&lt;edition&gt;2019/01/27&lt;/edition&gt;&lt;keywords&gt;&lt;keyword&gt;*beliefs&lt;/keyword&gt;&lt;keyword&gt;*gestational weight gain&lt;/keyword&gt;&lt;keyword&gt;*knowledge&lt;/keyword&gt;&lt;keyword&gt;*parity&lt;/keyword&gt;&lt;keyword&gt;*preconception&lt;/keyword&gt;&lt;keyword&gt;*pregnancy&lt;/keyword&gt;&lt;/keywords&gt;&lt;dates&gt;&lt;year&gt;2019&lt;/year&gt;&lt;pub-dates&gt;&lt;date&gt;Oct&lt;/date&gt;&lt;/pub-dates&gt;&lt;/dates&gt;&lt;isbn&gt;1479-828X (Electronic)&amp;#xD;0004-8666 (Linking)&lt;/isbn&gt;&lt;accession-num&gt;30680719&lt;/accession-num&gt;&lt;urls&gt;&lt;related-urls&gt;&lt;url&gt;https://www.ncbi.nlm.nih.gov/pubmed/30680719&lt;/url&gt;&lt;/related-urls&gt;&lt;/urls&gt;&lt;electronic-resource-num&gt;10.1111/ajo.12942&lt;/electronic-resource-num&gt;&lt;/record&gt;&lt;/Cite&gt;&lt;/EndNote&gt;</w:instrText>
      </w:r>
      <w:r>
        <w:fldChar w:fldCharType="separate"/>
      </w:r>
      <w:r w:rsidR="001A2F28" w:rsidRPr="001A2F28">
        <w:rPr>
          <w:noProof/>
          <w:vertAlign w:val="superscript"/>
        </w:rPr>
        <w:t>373</w:t>
      </w:r>
      <w:r>
        <w:fldChar w:fldCharType="end"/>
      </w:r>
      <w:r>
        <w:t xml:space="preserve"> found that o</w:t>
      </w:r>
      <w:r w:rsidRPr="00982101">
        <w:t xml:space="preserve">nly half of pregnant women reported accurate gestational weight gain knowledge within the </w:t>
      </w:r>
      <w:r>
        <w:t>IOM</w:t>
      </w:r>
      <w:r w:rsidRPr="00982101">
        <w:t xml:space="preserve"> recommendations.</w:t>
      </w:r>
    </w:p>
    <w:p w14:paraId="7B155E86" w14:textId="60B1230C" w:rsidR="000E4BF3" w:rsidRDefault="00DE11C4" w:rsidP="00655EFD">
      <w:r>
        <w:t>Cross-sectional studies from overseas have found that:</w:t>
      </w:r>
    </w:p>
    <w:p w14:paraId="6E4874A5" w14:textId="37A9AA2D" w:rsidR="00DE11C4" w:rsidRDefault="00DE11C4" w:rsidP="00DE11C4">
      <w:pPr>
        <w:pStyle w:val="bullet"/>
      </w:pPr>
      <w:r>
        <w:t xml:space="preserve">more than half (57%) of women </w:t>
      </w:r>
      <w:r w:rsidRPr="007A1E3E">
        <w:t>reported that their healthcare provider talked to them about personal weight gain limits</w:t>
      </w:r>
      <w:r>
        <w:t xml:space="preserve"> during pregnancy and a third of these were counselled regularly; among those not counselled </w:t>
      </w:r>
      <w:r w:rsidRPr="007A1E3E">
        <w:t>over half (56%) reported that healthcare provider guidance would have been helpful to achieve their target weight</w:t>
      </w:r>
      <w:r w:rsidR="006169C9">
        <w:fldChar w:fldCharType="begin"/>
      </w:r>
      <w:r w:rsidR="001A2F28">
        <w:instrText xml:space="preserve"> ADDIN EN.CITE &lt;EndNote&gt;&lt;Cite&gt;&lt;Author&gt;Weeks&lt;/Author&gt;&lt;Year&gt;2020&lt;/Year&gt;&lt;RecNum&gt;1780&lt;/RecNum&gt;&lt;DisplayText&gt;&lt;style face="superscript" font="Trebuchet MS" size="9"&gt;374&lt;/style&gt;&lt;/DisplayText&gt;&lt;record&gt;&lt;rec-number&gt;1780&lt;/rec-number&gt;&lt;foreign-keys&gt;&lt;key app="EN" db-id="exvasrfx2dtraoesasxp2szsxa2df502592x" timestamp="1582867351"&gt;1780&lt;/key&gt;&lt;key app="ENWeb" db-id=""&gt;0&lt;/key&gt;&lt;/foreign-keys&gt;&lt;ref-type name="Journal Article"&gt;17&lt;/ref-type&gt;&lt;contributors&gt;&lt;authors&gt;&lt;author&gt;Weeks, A.&lt;/author&gt;&lt;author&gt;Halili, L.&lt;/author&gt;&lt;author&gt;Liu, R. H.&lt;/author&gt;&lt;author&gt;Deonandan, R.&lt;/author&gt;&lt;author&gt;Adamo, K. B.&lt;/author&gt;&lt;/authors&gt;&lt;/contributors&gt;&lt;auth-address&gt;Interdisciplinary School of Health Sciences, Faculty of Health Sciences, University of Ottawa, Ottawa, Ontario, Canada.&amp;#xD;School of Human Kinetics, Faculty of Health Sciences, University of Ottawa, Ottawa, Ontario, Canada.&amp;#xD;School of Human Kinetics, Faculty of Health Sciences, University of Ottawa, Ottawa, Ontario, Canada. Electronic address: kadamo@uottawa.ca.&lt;/auth-address&gt;&lt;titles&gt;&lt;title&gt;Gestational weight gain counselling gaps as perceived by pregnant women and new mothers: Findings from the electronic maternal health survey&lt;/title&gt;&lt;secondary-title&gt;Women Birth&lt;/secondary-title&gt;&lt;/titles&gt;&lt;periodical&gt;&lt;full-title&gt;Women Birth&lt;/full-title&gt;&lt;/periodical&gt;&lt;pages&gt;e88-e94&lt;/pages&gt;&lt;volume&gt;33&lt;/volume&gt;&lt;number&gt;1&lt;/number&gt;&lt;edition&gt;2019/03/11&lt;/edition&gt;&lt;keywords&gt;&lt;keyword&gt;Gestational weight gain&lt;/keyword&gt;&lt;keyword&gt;Healthcare provider communication&lt;/keyword&gt;&lt;keyword&gt;Pregnancy&lt;/keyword&gt;&lt;keyword&gt;Prenatal counselling&lt;/keyword&gt;&lt;keyword&gt;Prenatal healthcare&lt;/keyword&gt;&lt;/keywords&gt;&lt;dates&gt;&lt;year&gt;2020&lt;/year&gt;&lt;pub-dates&gt;&lt;date&gt;Feb&lt;/date&gt;&lt;/pub-dates&gt;&lt;/dates&gt;&lt;isbn&gt;1878-1799 (Electronic)&amp;#xD;1871-5192 (Linking)&lt;/isbn&gt;&lt;accession-num&gt;30852187&lt;/accession-num&gt;&lt;urls&gt;&lt;related-urls&gt;&lt;url&gt;https://www.ncbi.nlm.nih.gov/pubmed/30852187&lt;/url&gt;&lt;/related-urls&gt;&lt;/urls&gt;&lt;electronic-resource-num&gt;10.1016/j.wombi.2019.02.005&lt;/electronic-resource-num&gt;&lt;/record&gt;&lt;/Cite&gt;&lt;/EndNote&gt;</w:instrText>
      </w:r>
      <w:r w:rsidR="006169C9">
        <w:fldChar w:fldCharType="separate"/>
      </w:r>
      <w:r w:rsidR="001A2F28" w:rsidRPr="001A2F28">
        <w:rPr>
          <w:noProof/>
          <w:vertAlign w:val="superscript"/>
        </w:rPr>
        <w:t>374</w:t>
      </w:r>
      <w:r w:rsidR="006169C9">
        <w:fldChar w:fldCharType="end"/>
      </w:r>
    </w:p>
    <w:p w14:paraId="01A3547B" w14:textId="4D6AE533" w:rsidR="00DE11C4" w:rsidRDefault="00DE11C4" w:rsidP="00DE11C4">
      <w:pPr>
        <w:pStyle w:val="bullet"/>
      </w:pPr>
      <w:r>
        <w:t>two-thirds (67%) of women received advice on gestational weight gain as part of antenatal care and women who reported following this advice had lower odds of weight gain exceeding recommendations (</w:t>
      </w:r>
      <w:r w:rsidRPr="00DE11C4">
        <w:rPr>
          <w:sz w:val="16"/>
          <w:szCs w:val="16"/>
        </w:rPr>
        <w:t>OR</w:t>
      </w:r>
      <w:r>
        <w:rPr>
          <w:sz w:val="16"/>
          <w:szCs w:val="16"/>
        </w:rPr>
        <w:t> </w:t>
      </w:r>
      <w:r w:rsidRPr="00DE11C4">
        <w:rPr>
          <w:sz w:val="16"/>
          <w:szCs w:val="16"/>
        </w:rPr>
        <w:t>0.18; 95%CI 0.03 to 0.91</w:t>
      </w:r>
      <w:r>
        <w:t>)(</w:t>
      </w:r>
      <w:r w:rsidRPr="00DE11C4">
        <w:rPr>
          <w:sz w:val="16"/>
          <w:szCs w:val="16"/>
        </w:rPr>
        <w:t>n=91</w:t>
      </w:r>
      <w:r>
        <w:t>)</w:t>
      </w:r>
      <w:r>
        <w:fldChar w:fldCharType="begin">
          <w:fldData xml:space="preserve">PEVuZE5vdGU+PENpdGU+PEF1dGhvcj5Mb3Blei1DZXBlcm88L0F1dGhvcj48WWVhcj4yMDE4PC9Z
ZWFyPjxSZWNOdW0+MTc2OTwvUmVjTnVtPjxEaXNwbGF5VGV4dD48c3R5bGUgZmFjZT0ic3VwZXJz
Y3JpcHQiIGZvbnQ9IlRyZWJ1Y2hldCBNUyIgc2l6ZT0iOSI+Mzc1PC9zdHlsZT48L0Rpc3BsYXlU
ZXh0PjxyZWNvcmQ+PHJlYy1udW1iZXI+MTc2OTwvcmVjLW51bWJlcj48Zm9yZWlnbi1rZXlzPjxr
ZXkgYXBwPSJFTiIgZGItaWQ9ImV4dmFzcmZ4MmR0cmFvZXNhc3hwMnN6c3hhMmRmNTAyNTkyeCIg
dGltZXN0YW1wPSIxNTgyODY3MjMxIj4xNzY5PC9rZXk+PGtleSBhcHA9IkVOV2ViIiBkYi1pZD0i
Ij4wPC9rZXk+PC9mb3JlaWduLWtleXM+PHJlZi10eXBlIG5hbWU9IkpvdXJuYWwgQXJ0aWNsZSI+
MTc8L3JlZi10eXBlPjxjb250cmlidXRvcnM+PGF1dGhvcnM+PGF1dGhvcj5Mb3Blei1DZXBlcm8s
IEEuPC9hdXRob3I+PGF1dGhvcj5MZXVuZywgSy48L2F1dGhvcj48YXV0aG9yPk1vb3JlIFNpbWFz
LCBULjwvYXV0aG9yPjxhdXRob3I+Um9zYWwsIE0uIEMuPC9hdXRob3I+PC9hdXRob3JzPjwvY29u
dHJpYnV0b3JzPjxhdXRoLWFkZHJlc3M+Q2xpbmljYWwgYW5kIFBvcHVsYXRpb24gSGVhbHRoIFJl
c2VhcmNoIFByb2dyYW0sIERpdmlzaW9uIG9mIFByZXZlbnRpdmUgYW5kIEJlaGF2aW9yYWwgTWVk
aWNpbmUgYW5kIERlcGFydG1lbnQgb2YgUXVhbnRpdGF0aXZlIEhlYWx0aCBTY2llbmNlcywgRGVw
YXJ0bWVudCBvZiBNZWRpY2luZSwgVW5pdmVyc2l0eSBvZiBNYXNzYWNodXNldHRzIE1lZGljYWwg
U2Nob29sLCBXb3JjZXN0ZXIsIFVTQS4mI3hEO0RpdmlzaW9uIG9mIFJlc2VhcmNoLCBEZXBhcnRt
ZW50IG9mIE9ic3RldHJpY3MgJmFtcDsgR3luZWNvbG9neSwgVW5pdmVyc2l0eSBvZiBNYXNzYWNo
dXNldHRzIE1lZGljYWwgU2Nob29sLCBXb3JjZXN0ZXIsIFVTQS4mI3hEO0RpdmlzaW9uIG9mIFBy
ZXZlbnRpdmUgYW5kIEJlaGF2aW9yYWwgTWVkaWNpbmUsIERlcGFydG1lbnQgb2YgTWVkaWNpbmUs
IFVuaXZlcnNpdHkgb2YgTWFzc2FjaHVzZXR0cyBNZWRpY2FsIFNjaG9vbCwgNTUgTGFrZSBBdmVu
dWUsIFM3LTc1NSwgV29yY2VzdGVyLCBNQSwgMDE2NTUsIFVTQS4gTWlsYWdyb3MuUm9zYWxAVU1h
c3NNZWQuZWR1LjwvYXV0aC1hZGRyZXNzPjx0aXRsZXM+PHRpdGxlPkFzc29jaWF0aW9uIGJldHdl
ZW4gb2JzdGV0cmljIHByb3ZpZGVyJmFwb3M7cyBhZHZpY2UgYW5kIGdlc3RhdGlvbmFsIHdlaWdo
dCBnYWluPC90aXRsZT48c2Vjb25kYXJ5LXRpdGxlPk1hdGVybiBDaGlsZCBIZWFsdGggSjwvc2Vj
b25kYXJ5LXRpdGxlPjwvdGl0bGVzPjxwZXJpb2RpY2FsPjxmdWxsLXRpdGxlPk1hdGVybiBDaGls
ZCBIZWFsdGggSjwvZnVsbC10aXRsZT48L3BlcmlvZGljYWw+PHBhZ2VzPjExMjctMTEzNDwvcGFn
ZXM+PHZvbHVtZT4yMjwvdm9sdW1lPjxudW1iZXI+ODwvbnVtYmVyPjxlZGl0aW9uPjIwMTgvMDIv
MTc8L2VkaXRpb24+PGtleXdvcmRzPjxrZXl3b3JkPkFkdWx0PC9rZXl3b3JkPjxrZXl3b3JkPkNv
dW5zZWxpbmcvKm1ldGhvZHM8L2tleXdvcmQ+PGtleXdvcmQ+RmVtYWxlPC9rZXl3b3JkPjxrZXl3
b3JkPipHZXN0YXRpb25hbCBXZWlnaHQgR2Fpbjwva2V5d29yZD48a2V5d29yZD5IdW1hbnM8L2tl
eXdvcmQ+PGtleXdvcmQ+TWFzc2FjaHVzZXR0czwva2V5d29yZD48a2V5d29yZD5PYmVzaXR5Lypw
cmV2ZW50aW9uICZhbXA7IGNvbnRyb2w8L2tleXdvcmQ+PGtleXdvcmQ+KlBhdGllbnQgQ29tcGxp
YW5jZTwva2V5d29yZD48a2V5d29yZD5QYXRpZW50IEVkdWNhdGlvbiBhcyBUb3BpYzwva2V5d29y
ZD48a2V5d29yZD5QcmVnbmFuY3k8L2tleXdvcmQ+PGtleXdvcmQ+UHJlZ25hbnQgV29tZW4vKnBz
eWNob2xvZ3k8L2tleXdvcmQ+PGtleXdvcmQ+UHJlbmF0YWwgQ2FyZS8qbWV0aG9kczwva2V5d29y
ZD48a2V5d29yZD5Qcm9zcGVjdGl2ZSBTdHVkaWVzPC9rZXl3b3JkPjxrZXl3b3JkPipQcmVnbmFu
Y3k8L2tleXdvcmQ+PGtleXdvcmQ+KlByb3ZpZGVyIGFkdmljZTwva2V5d29yZD48L2tleXdvcmRz
PjxkYXRlcz48eWVhcj4yMDE4PC95ZWFyPjxwdWItZGF0ZXM+PGRhdGU+QXVnPC9kYXRlPjwvcHVi
LWRhdGVzPjwvZGF0ZXM+PGlzYm4+MTU3My02NjI4IChFbGVjdHJvbmljKSYjeEQ7MTA5Mi03ODc1
IChMaW5raW5nKTwvaXNibj48YWNjZXNzaW9uLW51bT4yOTQ1MDc5NDwvYWNjZXNzaW9uLW51bT48
dXJscz48cmVsYXRlZC11cmxzPjx1cmw+aHR0cHM6Ly93d3cubmNiaS5ubG0ubmloLmdvdi9wdWJt
ZWQvMjk0NTA3OTQ8L3VybD48L3JlbGF0ZWQtdXJscz48L3VybHM+PGVsZWN0cm9uaWMtcmVzb3Vy
Y2UtbnVtPjEwLjEwMDcvczEwOTk1LTAxOC0yNDk3LXk8L2VsZWN0cm9uaWMtcmVzb3VyY2UtbnVt
PjwvcmVjb3JkPjwvQ2l0ZT48L0VuZE5vdGU+AG==
</w:fldData>
        </w:fldChar>
      </w:r>
      <w:r w:rsidR="001A2F28">
        <w:instrText xml:space="preserve"> ADDIN EN.CITE </w:instrText>
      </w:r>
      <w:r w:rsidR="001A2F28">
        <w:fldChar w:fldCharType="begin">
          <w:fldData xml:space="preserve">PEVuZE5vdGU+PENpdGU+PEF1dGhvcj5Mb3Blei1DZXBlcm88L0F1dGhvcj48WWVhcj4yMDE4PC9Z
ZWFyPjxSZWNOdW0+MTc2OTwvUmVjTnVtPjxEaXNwbGF5VGV4dD48c3R5bGUgZmFjZT0ic3VwZXJz
Y3JpcHQiIGZvbnQ9IlRyZWJ1Y2hldCBNUyIgc2l6ZT0iOSI+Mzc1PC9zdHlsZT48L0Rpc3BsYXlU
ZXh0PjxyZWNvcmQ+PHJlYy1udW1iZXI+MTc2OTwvcmVjLW51bWJlcj48Zm9yZWlnbi1rZXlzPjxr
ZXkgYXBwPSJFTiIgZGItaWQ9ImV4dmFzcmZ4MmR0cmFvZXNhc3hwMnN6c3hhMmRmNTAyNTkyeCIg
dGltZXN0YW1wPSIxNTgyODY3MjMxIj4xNzY5PC9rZXk+PGtleSBhcHA9IkVOV2ViIiBkYi1pZD0i
Ij4wPC9rZXk+PC9mb3JlaWduLWtleXM+PHJlZi10eXBlIG5hbWU9IkpvdXJuYWwgQXJ0aWNsZSI+
MTc8L3JlZi10eXBlPjxjb250cmlidXRvcnM+PGF1dGhvcnM+PGF1dGhvcj5Mb3Blei1DZXBlcm8s
IEEuPC9hdXRob3I+PGF1dGhvcj5MZXVuZywgSy48L2F1dGhvcj48YXV0aG9yPk1vb3JlIFNpbWFz
LCBULjwvYXV0aG9yPjxhdXRob3I+Um9zYWwsIE0uIEMuPC9hdXRob3I+PC9hdXRob3JzPjwvY29u
dHJpYnV0b3JzPjxhdXRoLWFkZHJlc3M+Q2xpbmljYWwgYW5kIFBvcHVsYXRpb24gSGVhbHRoIFJl
c2VhcmNoIFByb2dyYW0sIERpdmlzaW9uIG9mIFByZXZlbnRpdmUgYW5kIEJlaGF2aW9yYWwgTWVk
aWNpbmUgYW5kIERlcGFydG1lbnQgb2YgUXVhbnRpdGF0aXZlIEhlYWx0aCBTY2llbmNlcywgRGVw
YXJ0bWVudCBvZiBNZWRpY2luZSwgVW5pdmVyc2l0eSBvZiBNYXNzYWNodXNldHRzIE1lZGljYWwg
U2Nob29sLCBXb3JjZXN0ZXIsIFVTQS4mI3hEO0RpdmlzaW9uIG9mIFJlc2VhcmNoLCBEZXBhcnRt
ZW50IG9mIE9ic3RldHJpY3MgJmFtcDsgR3luZWNvbG9neSwgVW5pdmVyc2l0eSBvZiBNYXNzYWNo
dXNldHRzIE1lZGljYWwgU2Nob29sLCBXb3JjZXN0ZXIsIFVTQS4mI3hEO0RpdmlzaW9uIG9mIFBy
ZXZlbnRpdmUgYW5kIEJlaGF2aW9yYWwgTWVkaWNpbmUsIERlcGFydG1lbnQgb2YgTWVkaWNpbmUs
IFVuaXZlcnNpdHkgb2YgTWFzc2FjaHVzZXR0cyBNZWRpY2FsIFNjaG9vbCwgNTUgTGFrZSBBdmVu
dWUsIFM3LTc1NSwgV29yY2VzdGVyLCBNQSwgMDE2NTUsIFVTQS4gTWlsYWdyb3MuUm9zYWxAVU1h
c3NNZWQuZWR1LjwvYXV0aC1hZGRyZXNzPjx0aXRsZXM+PHRpdGxlPkFzc29jaWF0aW9uIGJldHdl
ZW4gb2JzdGV0cmljIHByb3ZpZGVyJmFwb3M7cyBhZHZpY2UgYW5kIGdlc3RhdGlvbmFsIHdlaWdo
dCBnYWluPC90aXRsZT48c2Vjb25kYXJ5LXRpdGxlPk1hdGVybiBDaGlsZCBIZWFsdGggSjwvc2Vj
b25kYXJ5LXRpdGxlPjwvdGl0bGVzPjxwZXJpb2RpY2FsPjxmdWxsLXRpdGxlPk1hdGVybiBDaGls
ZCBIZWFsdGggSjwvZnVsbC10aXRsZT48L3BlcmlvZGljYWw+PHBhZ2VzPjExMjctMTEzNDwvcGFn
ZXM+PHZvbHVtZT4yMjwvdm9sdW1lPjxudW1iZXI+ODwvbnVtYmVyPjxlZGl0aW9uPjIwMTgvMDIv
MTc8L2VkaXRpb24+PGtleXdvcmRzPjxrZXl3b3JkPkFkdWx0PC9rZXl3b3JkPjxrZXl3b3JkPkNv
dW5zZWxpbmcvKm1ldGhvZHM8L2tleXdvcmQ+PGtleXdvcmQ+RmVtYWxlPC9rZXl3b3JkPjxrZXl3
b3JkPipHZXN0YXRpb25hbCBXZWlnaHQgR2Fpbjwva2V5d29yZD48a2V5d29yZD5IdW1hbnM8L2tl
eXdvcmQ+PGtleXdvcmQ+TWFzc2FjaHVzZXR0czwva2V5d29yZD48a2V5d29yZD5PYmVzaXR5Lypw
cmV2ZW50aW9uICZhbXA7IGNvbnRyb2w8L2tleXdvcmQ+PGtleXdvcmQ+KlBhdGllbnQgQ29tcGxp
YW5jZTwva2V5d29yZD48a2V5d29yZD5QYXRpZW50IEVkdWNhdGlvbiBhcyBUb3BpYzwva2V5d29y
ZD48a2V5d29yZD5QcmVnbmFuY3k8L2tleXdvcmQ+PGtleXdvcmQ+UHJlZ25hbnQgV29tZW4vKnBz
eWNob2xvZ3k8L2tleXdvcmQ+PGtleXdvcmQ+UHJlbmF0YWwgQ2FyZS8qbWV0aG9kczwva2V5d29y
ZD48a2V5d29yZD5Qcm9zcGVjdGl2ZSBTdHVkaWVzPC9rZXl3b3JkPjxrZXl3b3JkPipQcmVnbmFu
Y3k8L2tleXdvcmQ+PGtleXdvcmQ+KlByb3ZpZGVyIGFkdmljZTwva2V5d29yZD48L2tleXdvcmRz
PjxkYXRlcz48eWVhcj4yMDE4PC95ZWFyPjxwdWItZGF0ZXM+PGRhdGU+QXVnPC9kYXRlPjwvcHVi
LWRhdGVzPjwvZGF0ZXM+PGlzYm4+MTU3My02NjI4IChFbGVjdHJvbmljKSYjeEQ7MTA5Mi03ODc1
IChMaW5raW5nKTwvaXNibj48YWNjZXNzaW9uLW51bT4yOTQ1MDc5NDwvYWNjZXNzaW9uLW51bT48
dXJscz48cmVsYXRlZC11cmxzPjx1cmw+aHR0cHM6Ly93d3cubmNiaS5ubG0ubmloLmdvdi9wdWJt
ZWQvMjk0NTA3OTQ8L3VybD48L3JlbGF0ZWQtdXJscz48L3VybHM+PGVsZWN0cm9uaWMtcmVzb3Vy
Y2UtbnVtPjEwLjEwMDcvczEwOTk1LTAxOC0yNDk3LXk8L2VsZWN0cm9uaWMtcmVzb3VyY2UtbnVt
PjwvcmVjb3JkPjwvQ2l0ZT48L0VuZE5vdGU+AG==
</w:fldData>
        </w:fldChar>
      </w:r>
      <w:r w:rsidR="001A2F28">
        <w:instrText xml:space="preserve"> ADDIN EN.CITE.DATA </w:instrText>
      </w:r>
      <w:r w:rsidR="001A2F28">
        <w:fldChar w:fldCharType="end"/>
      </w:r>
      <w:r>
        <w:fldChar w:fldCharType="separate"/>
      </w:r>
      <w:r w:rsidR="001A2F28" w:rsidRPr="001A2F28">
        <w:rPr>
          <w:noProof/>
          <w:vertAlign w:val="superscript"/>
        </w:rPr>
        <w:t>375</w:t>
      </w:r>
      <w:r>
        <w:fldChar w:fldCharType="end"/>
      </w:r>
    </w:p>
    <w:p w14:paraId="3C3537F9" w14:textId="153D215A" w:rsidR="00DE11C4" w:rsidRPr="00655EFD" w:rsidRDefault="00DE11C4" w:rsidP="00DE11C4">
      <w:pPr>
        <w:pStyle w:val="bullet"/>
      </w:pPr>
      <w:r>
        <w:t>e</w:t>
      </w:r>
      <w:r w:rsidRPr="00C06A28">
        <w:t xml:space="preserve">xperiences of </w:t>
      </w:r>
      <w:r>
        <w:t>regular weighing were positive</w:t>
      </w:r>
      <w:r w:rsidRPr="00C06A28">
        <w:t xml:space="preserve"> and participants believed it should be part of standard antenatal care</w:t>
      </w:r>
      <w:r>
        <w:t xml:space="preserve">, </w:t>
      </w:r>
      <w:r w:rsidRPr="00C06A28">
        <w:t>that there was a lack of information provided on gestational weight gain and healthy lifestyle in pregnancy, and that healthcare professionals are ideally placed to provide this advice</w:t>
      </w:r>
      <w:r>
        <w:t xml:space="preserve"> (</w:t>
      </w:r>
      <w:r w:rsidRPr="005F447F">
        <w:rPr>
          <w:sz w:val="16"/>
          <w:szCs w:val="16"/>
        </w:rPr>
        <w:t>n=10</w:t>
      </w:r>
      <w:r>
        <w:t>)</w:t>
      </w:r>
      <w:r>
        <w:fldChar w:fldCharType="begin">
          <w:fldData xml:space="preserve">PEVuZE5vdGU+PENpdGU+PEF1dGhvcj5BbGxlbi1XYWxrZXI8L0F1dGhvcj48WWVhcj4yMDE3PC9Z
ZWFyPjxSZWNOdW0+MTY5ODwvUmVjTnVtPjxEaXNwbGF5VGV4dD48c3R5bGUgZmFjZT0ic3VwZXJz
Y3JpcHQiIGZvbnQ9IlRyZWJ1Y2hldCBNUyIgc2l6ZT0iOSI+Mzc2PC9zdHlsZT48L0Rpc3BsYXlU
ZXh0PjxyZWNvcmQ+PHJlYy1udW1iZXI+MTY5ODwvcmVjLW51bWJlcj48Zm9yZWlnbi1rZXlzPjxr
ZXkgYXBwPSJFTiIgZGItaWQ9ImV4dmFzcmZ4MmR0cmFvZXNhc3hwMnN6c3hhMmRmNTAyNTkyeCIg
dGltZXN0YW1wPSIxNTgxOTE2OTA1Ij4xNjk4PC9rZXk+PGtleSBhcHA9IkVOV2ViIiBkYi1pZD0i
Ij4wPC9rZXk+PC9mb3JlaWduLWtleXM+PHJlZi10eXBlIG5hbWU9IkpvdXJuYWwgQXJ0aWNsZSI+
MTc8L3JlZi10eXBlPjxjb250cmlidXRvcnM+PGF1dGhvcnM+PGF1dGhvcj5BbGxlbi1XYWxrZXIs
IFYuPC9hdXRob3I+PGF1dGhvcj5NdWxsYW5leSwgTC48L2F1dGhvcj48YXV0aG9yPlR1cm5lciwg
TS4gSi48L2F1dGhvcj48YXV0aG9yPldvb2RzaWRlLCBKLiBWLjwvYXV0aG9yPjxhdXRob3I+SG9s
bWVzLCBWLiBBLjwvYXV0aG9yPjxhdXRob3I+TWNDYXJ0bmV5LCBELiBNLjwvYXV0aG9yPjxhdXRo
b3I+TWNLaW5sZXksIE0uIEMuPC9hdXRob3I+PC9hdXRob3JzPjwvY29udHJpYnV0b3JzPjxhdXRo
LWFkZHJlc3M+Q2VudHJlIGZvciBQdWJsaWMgSGVhbHRoLCBTY2hvb2wgb2YgTWVkaWNpbmUsIERl
bnRpc3RyeSAmYW1wOyBCaW9tZWRpY2FsIFNjaWVuY2VzLCBRdWVlbiZhcG9zO3MgVW5pdmVyc2l0
eSBCZWxmYXN0LCBSb3lhbCBWaWN0b3JpYSBIb3NwaXRhbCwgQmVsZmFzdCBCVDEyIDZCQSwgVW5p
dGVkIEtpbmdkb20uJiN4RDtTY2hvb2wgb2YgQmlvbG9naWNhbCBTY2llbmNlcywgRHVibGluIElu
c3RpdHV0ZSBvZiBUZWNobm9sb2d5LCBLZXZpbiBTdHJlZXQsIER1YmxpbiA4LCBJcmVsYW5kLiYj
eEQ7VUNEIENlbnRyZSBmb3IgSHVtYW4gUmVwcm9kdWN0aW9uLCBDb29tYmUgV29tZW4gYW5kIElu
ZmFudHMgVW5pdmVyc2l0eSBIb3NwaXRhbCwgQ29yayBTdHJlZXQsIER1YmxpbiA4LCBJcmVsYW5k
LiYjeEQ7Q2VudHJlIGZvciBQdWJsaWMgSGVhbHRoLCBTY2hvb2wgb2YgTWVkaWNpbmUsIERlbnRp
c3RyeSAmYW1wOyBCaW9tZWRpY2FsIFNjaWVuY2VzLCBRdWVlbiZhcG9zO3MgVW5pdmVyc2l0eSBC
ZWxmYXN0LCBSb3lhbCBWaWN0b3JpYSBIb3NwaXRhbCwgQmVsZmFzdCBCVDEyIDZCQSwgVW5pdGVk
IEtpbmdkb20uIEVsZWN0cm9uaWMgYWRkcmVzczogbS5tY2tpbmxleUBxdWIuYWMudWsuPC9hdXRo
LWFkZHJlc3M+PHRpdGxlcz48dGl0bGU+SG93IGRvIHdvbWVuIGZlZWwgYWJvdXQgYmVpbmcgd2Vp
Z2hlZCBkdXJpbmcgcHJlZ25hbmN5PyBBIHF1YWxpdGF0aXZlIGV4cGxvcmF0aW9uIG9mIHRoZSBv
cGluaW9ucyBhbmQgZXhwZXJpZW5jZXMgb2YgcG9zdG5hdGFsIHdvbWVuPC90aXRsZT48c2Vjb25k
YXJ5LXRpdGxlPk1pZHdpZmVyeTwvc2Vjb25kYXJ5LXRpdGxlPjwvdGl0bGVzPjxwZXJpb2RpY2Fs
PjxmdWxsLXRpdGxlPk1pZHdpZmVyeTwvZnVsbC10aXRsZT48L3BlcmlvZGljYWw+PHBhZ2VzPjk1
LTEwMTwvcGFnZXM+PHZvbHVtZT40OTwvdm9sdW1lPjxlZGl0aW9uPjIwMTcvMDEvMDk8L2VkaXRp
b24+PGtleXdvcmRzPjxrZXl3b3JkPkFkdWx0PC9rZXl3b3JkPjxrZXl3b3JkPkJvZHkgSW1hZ2Uv
cHN5Y2hvbG9neTwva2V5d29yZD48a2V5d29yZD4qQm9keSBXZWlnaHQ8L2tleXdvcmQ+PGtleXdv
cmQ+KkJvZHkgV2VpZ2h0IE1haW50ZW5hbmNlPC9rZXl3b3JkPjxrZXl3b3JkPkZlbWFsZTwva2V5
d29yZD48a2V5d29yZD5IdW1hbnM8L2tleXdvcmQ+PGtleXdvcmQ+SXJlbGFuZDwva2V5d29yZD48
a2V5d29yZD5PYmVzaXR5L3ByZXZlbnRpb24gJmFtcDsgY29udHJvbC8qcHN5Y2hvbG9neTwva2V5
d29yZD48a2V5d29yZD5QcmVnbmFuY3k8L2tleXdvcmQ+PGtleXdvcmQ+UHJlZ25hbnQgV29tZW4v
KnBzeWNob2xvZ3k8L2tleXdvcmQ+PGtleXdvcmQ+UHJlbmF0YWwgQ2FyZS9tZXRob2RzPC9rZXl3
b3JkPjxrZXl3b3JkPlF1YWxpdGF0aXZlIFJlc2VhcmNoPC9rZXl3b3JkPjxrZXl3b3JkPlN1cnZl
eXMgYW5kIFF1ZXN0aW9ubmFpcmVzPC9rZXl3b3JkPjxrZXl3b3JkPkdlc3RhdGlvbmFsIHdlaWdo
dCBnYWluPC9rZXl3b3JkPjxrZXl3b3JkPk9waW5pb25zPC9rZXl3b3JkPjxrZXl3b3JkPlF1YWxp
dGF0aXZlPC9rZXl3b3JkPjxrZXl3b3JkPldlaWdoaW5nPC9rZXl3b3JkPjwva2V5d29yZHM+PGRh
dGVzPjx5ZWFyPjIwMTc8L3llYXI+PHB1Yi1kYXRlcz48ZGF0ZT5KdW48L2RhdGU+PC9wdWItZGF0
ZXM+PC9kYXRlcz48aXNibj4xNTMyLTMwOTkgKEVsZWN0cm9uaWMpJiN4RDswMjY2LTYxMzggKExp
bmtpbmcpPC9pc2JuPjxhY2Nlc3Npb24tbnVtPjI4MDYzNjIyPC9hY2Nlc3Npb24tbnVtPjx1cmxz
PjxyZWxhdGVkLXVybHM+PHVybD5odHRwczovL3d3dy5uY2JpLm5sbS5uaWguZ292L3B1Ym1lZC8y
ODA2MzYyMjwvdXJsPjwvcmVsYXRlZC11cmxzPjwvdXJscz48ZWxlY3Ryb25pYy1yZXNvdXJjZS1u
dW0+MTAuMTAxNi9qLm1pZHcuMjAxNi4xMi4wMDY8L2VsZWN0cm9uaWMtcmVzb3VyY2UtbnVtPjwv
cmVjb3JkPjwvQ2l0ZT48L0VuZE5vdGU+
</w:fldData>
        </w:fldChar>
      </w:r>
      <w:r w:rsidR="001A2F28">
        <w:instrText xml:space="preserve"> ADDIN EN.CITE </w:instrText>
      </w:r>
      <w:r w:rsidR="001A2F28">
        <w:fldChar w:fldCharType="begin">
          <w:fldData xml:space="preserve">PEVuZE5vdGU+PENpdGU+PEF1dGhvcj5BbGxlbi1XYWxrZXI8L0F1dGhvcj48WWVhcj4yMDE3PC9Z
ZWFyPjxSZWNOdW0+MTY5ODwvUmVjTnVtPjxEaXNwbGF5VGV4dD48c3R5bGUgZmFjZT0ic3VwZXJz
Y3JpcHQiIGZvbnQ9IlRyZWJ1Y2hldCBNUyIgc2l6ZT0iOSI+Mzc2PC9zdHlsZT48L0Rpc3BsYXlU
ZXh0PjxyZWNvcmQ+PHJlYy1udW1iZXI+MTY5ODwvcmVjLW51bWJlcj48Zm9yZWlnbi1rZXlzPjxr
ZXkgYXBwPSJFTiIgZGItaWQ9ImV4dmFzcmZ4MmR0cmFvZXNhc3hwMnN6c3hhMmRmNTAyNTkyeCIg
dGltZXN0YW1wPSIxNTgxOTE2OTA1Ij4xNjk4PC9rZXk+PGtleSBhcHA9IkVOV2ViIiBkYi1pZD0i
Ij4wPC9rZXk+PC9mb3JlaWduLWtleXM+PHJlZi10eXBlIG5hbWU9IkpvdXJuYWwgQXJ0aWNsZSI+
MTc8L3JlZi10eXBlPjxjb250cmlidXRvcnM+PGF1dGhvcnM+PGF1dGhvcj5BbGxlbi1XYWxrZXIs
IFYuPC9hdXRob3I+PGF1dGhvcj5NdWxsYW5leSwgTC48L2F1dGhvcj48YXV0aG9yPlR1cm5lciwg
TS4gSi48L2F1dGhvcj48YXV0aG9yPldvb2RzaWRlLCBKLiBWLjwvYXV0aG9yPjxhdXRob3I+SG9s
bWVzLCBWLiBBLjwvYXV0aG9yPjxhdXRob3I+TWNDYXJ0bmV5LCBELiBNLjwvYXV0aG9yPjxhdXRo
b3I+TWNLaW5sZXksIE0uIEMuPC9hdXRob3I+PC9hdXRob3JzPjwvY29udHJpYnV0b3JzPjxhdXRo
LWFkZHJlc3M+Q2VudHJlIGZvciBQdWJsaWMgSGVhbHRoLCBTY2hvb2wgb2YgTWVkaWNpbmUsIERl
bnRpc3RyeSAmYW1wOyBCaW9tZWRpY2FsIFNjaWVuY2VzLCBRdWVlbiZhcG9zO3MgVW5pdmVyc2l0
eSBCZWxmYXN0LCBSb3lhbCBWaWN0b3JpYSBIb3NwaXRhbCwgQmVsZmFzdCBCVDEyIDZCQSwgVW5p
dGVkIEtpbmdkb20uJiN4RDtTY2hvb2wgb2YgQmlvbG9naWNhbCBTY2llbmNlcywgRHVibGluIElu
c3RpdHV0ZSBvZiBUZWNobm9sb2d5LCBLZXZpbiBTdHJlZXQsIER1YmxpbiA4LCBJcmVsYW5kLiYj
eEQ7VUNEIENlbnRyZSBmb3IgSHVtYW4gUmVwcm9kdWN0aW9uLCBDb29tYmUgV29tZW4gYW5kIElu
ZmFudHMgVW5pdmVyc2l0eSBIb3NwaXRhbCwgQ29yayBTdHJlZXQsIER1YmxpbiA4LCBJcmVsYW5k
LiYjeEQ7Q2VudHJlIGZvciBQdWJsaWMgSGVhbHRoLCBTY2hvb2wgb2YgTWVkaWNpbmUsIERlbnRp
c3RyeSAmYW1wOyBCaW9tZWRpY2FsIFNjaWVuY2VzLCBRdWVlbiZhcG9zO3MgVW5pdmVyc2l0eSBC
ZWxmYXN0LCBSb3lhbCBWaWN0b3JpYSBIb3NwaXRhbCwgQmVsZmFzdCBCVDEyIDZCQSwgVW5pdGVk
IEtpbmdkb20uIEVsZWN0cm9uaWMgYWRkcmVzczogbS5tY2tpbmxleUBxdWIuYWMudWsuPC9hdXRo
LWFkZHJlc3M+PHRpdGxlcz48dGl0bGU+SG93IGRvIHdvbWVuIGZlZWwgYWJvdXQgYmVpbmcgd2Vp
Z2hlZCBkdXJpbmcgcHJlZ25hbmN5PyBBIHF1YWxpdGF0aXZlIGV4cGxvcmF0aW9uIG9mIHRoZSBv
cGluaW9ucyBhbmQgZXhwZXJpZW5jZXMgb2YgcG9zdG5hdGFsIHdvbWVuPC90aXRsZT48c2Vjb25k
YXJ5LXRpdGxlPk1pZHdpZmVyeTwvc2Vjb25kYXJ5LXRpdGxlPjwvdGl0bGVzPjxwZXJpb2RpY2Fs
PjxmdWxsLXRpdGxlPk1pZHdpZmVyeTwvZnVsbC10aXRsZT48L3BlcmlvZGljYWw+PHBhZ2VzPjk1
LTEwMTwvcGFnZXM+PHZvbHVtZT40OTwvdm9sdW1lPjxlZGl0aW9uPjIwMTcvMDEvMDk8L2VkaXRp
b24+PGtleXdvcmRzPjxrZXl3b3JkPkFkdWx0PC9rZXl3b3JkPjxrZXl3b3JkPkJvZHkgSW1hZ2Uv
cHN5Y2hvbG9neTwva2V5d29yZD48a2V5d29yZD4qQm9keSBXZWlnaHQ8L2tleXdvcmQ+PGtleXdv
cmQ+KkJvZHkgV2VpZ2h0IE1haW50ZW5hbmNlPC9rZXl3b3JkPjxrZXl3b3JkPkZlbWFsZTwva2V5
d29yZD48a2V5d29yZD5IdW1hbnM8L2tleXdvcmQ+PGtleXdvcmQ+SXJlbGFuZDwva2V5d29yZD48
a2V5d29yZD5PYmVzaXR5L3ByZXZlbnRpb24gJmFtcDsgY29udHJvbC8qcHN5Y2hvbG9neTwva2V5
d29yZD48a2V5d29yZD5QcmVnbmFuY3k8L2tleXdvcmQ+PGtleXdvcmQ+UHJlZ25hbnQgV29tZW4v
KnBzeWNob2xvZ3k8L2tleXdvcmQ+PGtleXdvcmQ+UHJlbmF0YWwgQ2FyZS9tZXRob2RzPC9rZXl3
b3JkPjxrZXl3b3JkPlF1YWxpdGF0aXZlIFJlc2VhcmNoPC9rZXl3b3JkPjxrZXl3b3JkPlN1cnZl
eXMgYW5kIFF1ZXN0aW9ubmFpcmVzPC9rZXl3b3JkPjxrZXl3b3JkPkdlc3RhdGlvbmFsIHdlaWdo
dCBnYWluPC9rZXl3b3JkPjxrZXl3b3JkPk9waW5pb25zPC9rZXl3b3JkPjxrZXl3b3JkPlF1YWxp
dGF0aXZlPC9rZXl3b3JkPjxrZXl3b3JkPldlaWdoaW5nPC9rZXl3b3JkPjwva2V5d29yZHM+PGRh
dGVzPjx5ZWFyPjIwMTc8L3llYXI+PHB1Yi1kYXRlcz48ZGF0ZT5KdW48L2RhdGU+PC9wdWItZGF0
ZXM+PC9kYXRlcz48aXNibj4xNTMyLTMwOTkgKEVsZWN0cm9uaWMpJiN4RDswMjY2LTYxMzggKExp
bmtpbmcpPC9pc2JuPjxhY2Nlc3Npb24tbnVtPjI4MDYzNjIyPC9hY2Nlc3Npb24tbnVtPjx1cmxz
PjxyZWxhdGVkLXVybHM+PHVybD5odHRwczovL3d3dy5uY2JpLm5sbS5uaWguZ292L3B1Ym1lZC8y
ODA2MzYyMjwvdXJsPjwvcmVsYXRlZC11cmxzPjwvdXJscz48ZWxlY3Ryb25pYy1yZXNvdXJjZS1u
dW0+MTAuMTAxNi9qLm1pZHcuMjAxNi4xMi4wMDY8L2VsZWN0cm9uaWMtcmVzb3VyY2UtbnVtPjwv
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376</w:t>
      </w:r>
      <w:r>
        <w:fldChar w:fldCharType="end"/>
      </w:r>
    </w:p>
    <w:p w14:paraId="0F8230EB" w14:textId="62B41507" w:rsidR="00EE1F9C" w:rsidRDefault="00EE1F9C" w:rsidP="00A41D3A">
      <w:pPr>
        <w:pStyle w:val="Heading3"/>
      </w:pPr>
      <w:bookmarkStart w:id="184" w:name="_Toc40956534"/>
      <w:r>
        <w:t xml:space="preserve">Health professional’s </w:t>
      </w:r>
      <w:r w:rsidR="007853BB">
        <w:t>views on regular weighing as part of pregnancy care</w:t>
      </w:r>
      <w:bookmarkEnd w:id="184"/>
    </w:p>
    <w:p w14:paraId="160198BF" w14:textId="6EE54266" w:rsidR="00EE1F9C" w:rsidRDefault="00EE1F9C" w:rsidP="00EE1F9C">
      <w:r>
        <w:t xml:space="preserve">An Australian focus group that </w:t>
      </w:r>
      <w:r w:rsidRPr="0095742E">
        <w:t>examine</w:t>
      </w:r>
      <w:r>
        <w:t>d</w:t>
      </w:r>
      <w:r w:rsidRPr="0095742E">
        <w:t xml:space="preserve"> barriers and enablers to the </w:t>
      </w:r>
      <w:r w:rsidR="00655EFD">
        <w:t>regular</w:t>
      </w:r>
      <w:r w:rsidRPr="0095742E">
        <w:t xml:space="preserve"> weighing of w</w:t>
      </w:r>
      <w:r>
        <w:t>omen throughout pregnancy (</w:t>
      </w:r>
      <w:r w:rsidRPr="00CC6E95">
        <w:rPr>
          <w:sz w:val="16"/>
          <w:szCs w:val="16"/>
        </w:rPr>
        <w:t>n=44</w:t>
      </w:r>
      <w:r>
        <w:t>),</w:t>
      </w:r>
      <w:r w:rsidR="00BA7CBD">
        <w:fldChar w:fldCharType="begin">
          <w:fldData xml:space="preserve">PEVuZE5vdGU+PENpdGU+PEF1dGhvcj5IYXN0ZWQ8L0F1dGhvcj48WWVhcj4yMDE2PC9ZZWFyPjxS
ZWNOdW0+MTgyNTwvUmVjTnVtPjxEaXNwbGF5VGV4dD48c3R5bGUgZmFjZT0ic3VwZXJzY3JpcHQi
IGZvbnQ9IlRyZWJ1Y2hldCBNUyIgc2l6ZT0iOSI+Mzc3PC9zdHlsZT48L0Rpc3BsYXlUZXh0Pjxy
ZWNvcmQ+PHJlYy1udW1iZXI+MTgyNTwvcmVjLW51bWJlcj48Zm9yZWlnbi1rZXlzPjxrZXkgYXBw
PSJFTiIgZGItaWQ9ImV4dmFzcmZ4MmR0cmFvZXNhc3hwMnN6c3hhMmRmNTAyNTkyeCIgdGltZXN0
YW1wPSIxNTgzODk2NDg3Ij4xODI1PC9rZXk+PGtleSBhcHA9IkVOV2ViIiBkYi1pZD0iIj4wPC9r
ZXk+PC9mb3JlaWduLWtleXM+PHJlZi10eXBlIG5hbWU9IkpvdXJuYWwgQXJ0aWNsZSI+MTc8L3Jl
Zi10eXBlPjxjb250cmlidXRvcnM+PGF1dGhvcnM+PGF1dGhvcj5IYXN0ZWQsIFQuPC9hdXRob3I+
PGF1dGhvcj5TdGFwbGV0b24sIEguPC9hdXRob3I+PGF1dGhvcj5CZWNrbWFubiwgTS4gTS48L2F1
dGhvcj48YXV0aG9yPldpbGtpbnNvbiwgUy4gQS48L2F1dGhvcj48L2F1dGhvcnM+PC9jb250cmli
dXRvcnM+PGF1dGgtYWRkcmVzcz5EZXBhcnRtZW50IG9mIE9ic3RldHJpY3MgYW5kIEd5bmFlY29s
b2d5LCBNYXRlciBIZWFsdGggU2VydmljZXMsIEJyaXNiYW5lLCBRTEQgNDEwMSwgQXVzdHJhbGlh
OyBVbml2ZXJzaXR5IG9mIFF1ZWVuc2xhbmQgU2Nob29sIG9mIE1lZGljaW5lLCBCcmlzYmFuZSwg
UUxEIDQwMDYsIEF1c3RyYWxpYS4mI3hEO01pZHdpZmVyeSBSZXNlYXJjaCBVbml0LCBVbml2ZXJz
aXR5IG9mIFF1ZWVuc2xhbmQgU2Nob29sIG9mIE51cnNpbmcgYW5kIE1pZHdpZmVyeSwgQnJpc2Jh
bmUsIFFMRCA0MDcyLCBBdXN0cmFsaWE7IE1hdGVyIFJlc2VhcmNoIEluc3RpdHV0ZSwgVW5pdmVy
c2l0eSBvZiBRdWVlbnNsYW5kLCBCcmlzYmFuZSwgUUxEIDQxMDEsIEF1c3RyYWxpYS4mI3hEO0Rl
cGFydG1lbnQgb2YgT2JzdGV0cmljcyBhbmQgR3luYWVjb2xvZ3ksIE1hdGVyIEhlYWx0aCBTZXJ2
aWNlcywgQnJpc2JhbmUsIFFMRCA0MTAxLCBBdXN0cmFsaWE7IFVuaXZlcnNpdHkgb2YgUXVlZW5z
bGFuZCBTY2hvb2wgb2YgTWVkaWNpbmUsIEJyaXNiYW5lLCBRTEQgNDAwNiwgQXVzdHJhbGlhOyBN
YXRlciBSZXNlYXJjaCBJbnN0aXR1dGUsIFVuaXZlcnNpdHkgb2YgUXVlZW5zbGFuZCwgQnJpc2Jh
bmUsIFFMRCA0MTAxLCBBdXN0cmFsaWEuJiN4RDtNYXRlciBSZXNlYXJjaCBJbnN0aXR1dGUsIFVu
aXZlcnNpdHkgb2YgUXVlZW5zbGFuZCwgQnJpc2JhbmUsIFFMRCA0MTAxLCBBdXN0cmFsaWE7IERl
cGFydG1lbnQgb2YgTnV0cml0aW9uIGFuZCBEaWV0ZXRpY3MsIE1hdGVyIEhlYWx0aCBTZXJ2aWNl
cywgQnJpc2JhbmUsIFFMRCA0MTAxLCBBdXN0cmFsaWEuPC9hdXRoLWFkZHJlc3M+PHRpdGxlcz48
dGl0bGU+Q2xpbmljaWFuJmFwb3M7cyBhdHRpdHVkZXMgdG8gdGhlIGludHJvZHVjdGlvbiBvZiBy
b3V0aW5lIHdlaWdoaW5nIGluIHByZWduYW5jeTwvdGl0bGU+PHNlY29uZGFyeS10aXRsZT5KIFBy
ZWduYW5jeTwvc2Vjb25kYXJ5LXRpdGxlPjwvdGl0bGVzPjxwZXJpb2RpY2FsPjxmdWxsLXRpdGxl
PkogUHJlZ25hbmN5PC9mdWxsLXRpdGxlPjwvcGVyaW9kaWNhbD48cGFnZXM+MjA0OTY3MzwvcGFn
ZXM+PHZvbHVtZT4yMDE2PC92b2x1bWU+PGVkaXRpb24+MjAxNi8wNy8yMzwvZWRpdGlvbj48a2V5
d29yZHM+PGtleXdvcmQ+KkFudGhyb3BvbWV0cnk8L2tleXdvcmQ+PGtleXdvcmQ+KkF0dGl0dWRl
IG9mIEhlYWx0aCBQZXJzb25uZWw8L2tleXdvcmQ+PGtleXdvcmQ+QXVzdHJhbGlhPC9rZXl3b3Jk
PjxrZXl3b3JkPipCb2R5IFdlaWdodDwva2V5d29yZD48a2V5d29yZD5GZW1hbGU8L2tleXdvcmQ+
PGtleXdvcmQ+SG9zcGl0YWxzLCBNYXRlcm5pdHk8L2tleXdvcmQ+PGtleXdvcmQ+SHVtYW5zPC9r
ZXl3b3JkPjxrZXl3b3JkPk1lZGljYWwgU3RhZmYsIEhvc3BpdGFsPC9rZXl3b3JkPjxrZXl3b3Jk
PipNaWR3aWZlcnk8L2tleXdvcmQ+PGtleXdvcmQ+Kk51dHJpdGlvbmlzdHM8L2tleXdvcmQ+PGtl
eXdvcmQ+Kk9ic3RldHJpY3M8L2tleXdvcmQ+PGtleXdvcmQ+KlBoeXNpY2lhbnM8L2tleXdvcmQ+
PGtleXdvcmQ+UHJhY3RpY2UgUGF0dGVybnMsIFBoeXNpY2lhbnMmYXBvczs8L2tleXdvcmQ+PGtl
eXdvcmQ+UHJlZ25hbmN5PC9rZXl3b3JkPjxrZXl3b3JkPlByZW5hdGFsIENhcmUvKm1ldGhvZHM8
L2tleXdvcmQ+PGtleXdvcmQ+UXVhbGl0YXRpdmUgUmVzZWFyY2g8L2tleXdvcmQ+PGtleXdvcmQ+
VGVydGlhcnkgQ2FyZSBDZW50ZXJzPC9rZXl3b3JkPjwva2V5d29yZHM+PGRhdGVzPjx5ZWFyPjIw
MTY8L3llYXI+PC9kYXRlcz48aXNibj4yMDkwLTI3MzUgKEVsZWN0cm9uaWMpJiN4RDsyMDkwLTI3
MjcgKExpbmtpbmcpPC9pc2JuPjxhY2Nlc3Npb24tbnVtPjI3NDQ2NjE0PC9hY2Nlc3Npb24tbnVt
Pjx1cmxzPjxyZWxhdGVkLXVybHM+PHVybD5odHRwczovL3d3dy5uY2JpLm5sbS5uaWguZ292L3B1
Ym1lZC8yNzQ0NjYxNDwvdXJsPjwvcmVsYXRlZC11cmxzPjwvdXJscz48Y3VzdG9tMj5QTUM0OTQ0
MDgxPC9jdXN0b20yPjxlbGVjdHJvbmljLXJlc291cmNlLW51bT4xMC4xMTU1LzIwMTYvMjA0OTY3
MzwvZWxlY3Ryb25pYy1yZXNvdXJjZS1udW0+PC9yZWNvcmQ+PC9DaXRlPjwvRW5kTm90ZT4A
</w:fldData>
        </w:fldChar>
      </w:r>
      <w:r w:rsidR="001A2F28">
        <w:instrText xml:space="preserve"> ADDIN EN.CITE </w:instrText>
      </w:r>
      <w:r w:rsidR="001A2F28">
        <w:fldChar w:fldCharType="begin">
          <w:fldData xml:space="preserve">PEVuZE5vdGU+PENpdGU+PEF1dGhvcj5IYXN0ZWQ8L0F1dGhvcj48WWVhcj4yMDE2PC9ZZWFyPjxS
ZWNOdW0+MTgyNTwvUmVjTnVtPjxEaXNwbGF5VGV4dD48c3R5bGUgZmFjZT0ic3VwZXJzY3JpcHQi
IGZvbnQ9IlRyZWJ1Y2hldCBNUyIgc2l6ZT0iOSI+Mzc3PC9zdHlsZT48L0Rpc3BsYXlUZXh0Pjxy
ZWNvcmQ+PHJlYy1udW1iZXI+MTgyNTwvcmVjLW51bWJlcj48Zm9yZWlnbi1rZXlzPjxrZXkgYXBw
PSJFTiIgZGItaWQ9ImV4dmFzcmZ4MmR0cmFvZXNhc3hwMnN6c3hhMmRmNTAyNTkyeCIgdGltZXN0
YW1wPSIxNTgzODk2NDg3Ij4xODI1PC9rZXk+PGtleSBhcHA9IkVOV2ViIiBkYi1pZD0iIj4wPC9r
ZXk+PC9mb3JlaWduLWtleXM+PHJlZi10eXBlIG5hbWU9IkpvdXJuYWwgQXJ0aWNsZSI+MTc8L3Jl
Zi10eXBlPjxjb250cmlidXRvcnM+PGF1dGhvcnM+PGF1dGhvcj5IYXN0ZWQsIFQuPC9hdXRob3I+
PGF1dGhvcj5TdGFwbGV0b24sIEguPC9hdXRob3I+PGF1dGhvcj5CZWNrbWFubiwgTS4gTS48L2F1
dGhvcj48YXV0aG9yPldpbGtpbnNvbiwgUy4gQS48L2F1dGhvcj48L2F1dGhvcnM+PC9jb250cmli
dXRvcnM+PGF1dGgtYWRkcmVzcz5EZXBhcnRtZW50IG9mIE9ic3RldHJpY3MgYW5kIEd5bmFlY29s
b2d5LCBNYXRlciBIZWFsdGggU2VydmljZXMsIEJyaXNiYW5lLCBRTEQgNDEwMSwgQXVzdHJhbGlh
OyBVbml2ZXJzaXR5IG9mIFF1ZWVuc2xhbmQgU2Nob29sIG9mIE1lZGljaW5lLCBCcmlzYmFuZSwg
UUxEIDQwMDYsIEF1c3RyYWxpYS4mI3hEO01pZHdpZmVyeSBSZXNlYXJjaCBVbml0LCBVbml2ZXJz
aXR5IG9mIFF1ZWVuc2xhbmQgU2Nob29sIG9mIE51cnNpbmcgYW5kIE1pZHdpZmVyeSwgQnJpc2Jh
bmUsIFFMRCA0MDcyLCBBdXN0cmFsaWE7IE1hdGVyIFJlc2VhcmNoIEluc3RpdHV0ZSwgVW5pdmVy
c2l0eSBvZiBRdWVlbnNsYW5kLCBCcmlzYmFuZSwgUUxEIDQxMDEsIEF1c3RyYWxpYS4mI3hEO0Rl
cGFydG1lbnQgb2YgT2JzdGV0cmljcyBhbmQgR3luYWVjb2xvZ3ksIE1hdGVyIEhlYWx0aCBTZXJ2
aWNlcywgQnJpc2JhbmUsIFFMRCA0MTAxLCBBdXN0cmFsaWE7IFVuaXZlcnNpdHkgb2YgUXVlZW5z
bGFuZCBTY2hvb2wgb2YgTWVkaWNpbmUsIEJyaXNiYW5lLCBRTEQgNDAwNiwgQXVzdHJhbGlhOyBN
YXRlciBSZXNlYXJjaCBJbnN0aXR1dGUsIFVuaXZlcnNpdHkgb2YgUXVlZW5zbGFuZCwgQnJpc2Jh
bmUsIFFMRCA0MTAxLCBBdXN0cmFsaWEuJiN4RDtNYXRlciBSZXNlYXJjaCBJbnN0aXR1dGUsIFVu
aXZlcnNpdHkgb2YgUXVlZW5zbGFuZCwgQnJpc2JhbmUsIFFMRCA0MTAxLCBBdXN0cmFsaWE7IERl
cGFydG1lbnQgb2YgTnV0cml0aW9uIGFuZCBEaWV0ZXRpY3MsIE1hdGVyIEhlYWx0aCBTZXJ2aWNl
cywgQnJpc2JhbmUsIFFMRCA0MTAxLCBBdXN0cmFsaWEuPC9hdXRoLWFkZHJlc3M+PHRpdGxlcz48
dGl0bGU+Q2xpbmljaWFuJmFwb3M7cyBhdHRpdHVkZXMgdG8gdGhlIGludHJvZHVjdGlvbiBvZiBy
b3V0aW5lIHdlaWdoaW5nIGluIHByZWduYW5jeTwvdGl0bGU+PHNlY29uZGFyeS10aXRsZT5KIFBy
ZWduYW5jeTwvc2Vjb25kYXJ5LXRpdGxlPjwvdGl0bGVzPjxwZXJpb2RpY2FsPjxmdWxsLXRpdGxl
PkogUHJlZ25hbmN5PC9mdWxsLXRpdGxlPjwvcGVyaW9kaWNhbD48cGFnZXM+MjA0OTY3MzwvcGFn
ZXM+PHZvbHVtZT4yMDE2PC92b2x1bWU+PGVkaXRpb24+MjAxNi8wNy8yMzwvZWRpdGlvbj48a2V5
d29yZHM+PGtleXdvcmQ+KkFudGhyb3BvbWV0cnk8L2tleXdvcmQ+PGtleXdvcmQ+KkF0dGl0dWRl
IG9mIEhlYWx0aCBQZXJzb25uZWw8L2tleXdvcmQ+PGtleXdvcmQ+QXVzdHJhbGlhPC9rZXl3b3Jk
PjxrZXl3b3JkPipCb2R5IFdlaWdodDwva2V5d29yZD48a2V5d29yZD5GZW1hbGU8L2tleXdvcmQ+
PGtleXdvcmQ+SG9zcGl0YWxzLCBNYXRlcm5pdHk8L2tleXdvcmQ+PGtleXdvcmQ+SHVtYW5zPC9r
ZXl3b3JkPjxrZXl3b3JkPk1lZGljYWwgU3RhZmYsIEhvc3BpdGFsPC9rZXl3b3JkPjxrZXl3b3Jk
PipNaWR3aWZlcnk8L2tleXdvcmQ+PGtleXdvcmQ+Kk51dHJpdGlvbmlzdHM8L2tleXdvcmQ+PGtl
eXdvcmQ+Kk9ic3RldHJpY3M8L2tleXdvcmQ+PGtleXdvcmQ+KlBoeXNpY2lhbnM8L2tleXdvcmQ+
PGtleXdvcmQ+UHJhY3RpY2UgUGF0dGVybnMsIFBoeXNpY2lhbnMmYXBvczs8L2tleXdvcmQ+PGtl
eXdvcmQ+UHJlZ25hbmN5PC9rZXl3b3JkPjxrZXl3b3JkPlByZW5hdGFsIENhcmUvKm1ldGhvZHM8
L2tleXdvcmQ+PGtleXdvcmQ+UXVhbGl0YXRpdmUgUmVzZWFyY2g8L2tleXdvcmQ+PGtleXdvcmQ+
VGVydGlhcnkgQ2FyZSBDZW50ZXJzPC9rZXl3b3JkPjwva2V5d29yZHM+PGRhdGVzPjx5ZWFyPjIw
MTY8L3llYXI+PC9kYXRlcz48aXNibj4yMDkwLTI3MzUgKEVsZWN0cm9uaWMpJiN4RDsyMDkwLTI3
MjcgKExpbmtpbmcpPC9pc2JuPjxhY2Nlc3Npb24tbnVtPjI3NDQ2NjE0PC9hY2Nlc3Npb24tbnVt
Pjx1cmxzPjxyZWxhdGVkLXVybHM+PHVybD5odHRwczovL3d3dy5uY2JpLm5sbS5uaWguZ292L3B1
Ym1lZC8yNzQ0NjYxNDwvdXJsPjwvcmVsYXRlZC11cmxzPjwvdXJscz48Y3VzdG9tMj5QTUM0OTQ0
MDgxPC9jdXN0b20yPjxlbGVjdHJvbmljLXJlc291cmNlLW51bT4xMC4xMTU1LzIwMTYvMjA0OTY3
MzwvZWxlY3Ryb25pYy1yZXNvdXJjZS1udW0+PC9yZWNvcmQ+PC9DaXRlPjwvRW5kTm90ZT4A
</w:fldData>
        </w:fldChar>
      </w:r>
      <w:r w:rsidR="001A2F28">
        <w:instrText xml:space="preserve"> ADDIN EN.CITE.DATA </w:instrText>
      </w:r>
      <w:r w:rsidR="001A2F28">
        <w:fldChar w:fldCharType="end"/>
      </w:r>
      <w:r w:rsidR="00BA7CBD">
        <w:fldChar w:fldCharType="separate"/>
      </w:r>
      <w:r w:rsidR="001A2F28" w:rsidRPr="001A2F28">
        <w:rPr>
          <w:noProof/>
          <w:vertAlign w:val="superscript"/>
        </w:rPr>
        <w:t>377</w:t>
      </w:r>
      <w:r w:rsidR="00BA7CBD">
        <w:fldChar w:fldCharType="end"/>
      </w:r>
      <w:r>
        <w:t xml:space="preserve"> found that, w</w:t>
      </w:r>
      <w:r w:rsidRPr="0095742E">
        <w:t xml:space="preserve">hile most </w:t>
      </w:r>
      <w:r w:rsidR="00E70A06">
        <w:t>health professionals</w:t>
      </w:r>
      <w:r w:rsidRPr="0095742E">
        <w:t xml:space="preserve"> supported </w:t>
      </w:r>
      <w:r w:rsidR="00655EFD">
        <w:t>regular</w:t>
      </w:r>
      <w:r w:rsidRPr="0095742E">
        <w:t xml:space="preserve"> weighing, various concerns were raised. Issues included access to resources and staff; the ability to provide appropriate counselling and evidence-based interventions; and the impact of weighing on </w:t>
      </w:r>
      <w:r>
        <w:t>women</w:t>
      </w:r>
      <w:r w:rsidRPr="0095742E">
        <w:t xml:space="preserve"> and the therapeutic relationship.</w:t>
      </w:r>
    </w:p>
    <w:p w14:paraId="6EB90753" w14:textId="3AF20EB2" w:rsidR="00631C10" w:rsidRDefault="008A0C13" w:rsidP="00EE1F9C">
      <w:r>
        <w:t>In an Australian study following introduction of a pregnancy weight gain chart (</w:t>
      </w:r>
      <w:r w:rsidRPr="008A0C13">
        <w:rPr>
          <w:sz w:val="16"/>
          <w:szCs w:val="16"/>
        </w:rPr>
        <w:t>n=42</w:t>
      </w:r>
      <w:r>
        <w:t>),</w:t>
      </w:r>
      <w:r>
        <w:fldChar w:fldCharType="begin">
          <w:fldData xml:space="preserve">PEVuZE5vdGU+PENpdGU+PEF1dGhvcj5kZSBKZXJzZXk8L0F1dGhvcj48WWVhcj4yMDE5PC9ZZWFy
PjxSZWNOdW0+MTcwNjwvUmVjTnVtPjxEaXNwbGF5VGV4dD48c3R5bGUgZmFjZT0ic3VwZXJzY3Jp
cHQiIGZvbnQ9IlRyZWJ1Y2hldCBNUyIgc2l6ZT0iOSI+Mzc4PC9zdHlsZT48L0Rpc3BsYXlUZXh0
PjxyZWNvcmQ+PHJlYy1udW1iZXI+MTcwNjwvcmVjLW51bWJlcj48Zm9yZWlnbi1rZXlzPjxrZXkg
YXBwPSJFTiIgZGItaWQ9ImV4dmFzcmZ4MmR0cmFvZXNhc3hwMnN6c3hhMmRmNTAyNTkyeCIgdGlt
ZXN0YW1wPSIxNTgxOTE2OTY0Ij4xNzA2PC9rZXk+PGtleSBhcHA9IkVOV2ViIiBkYi1pZD0iIj4w
PC9rZXk+PC9mb3JlaWduLWtleXM+PHJlZi10eXBlIG5hbWU9IkpvdXJuYWwgQXJ0aWNsZSI+MTc8
L3JlZi10eXBlPjxjb250cmlidXRvcnM+PGF1dGhvcnM+PGF1dGhvcj5kZSBKZXJzZXksIFMuPC9h
dXRob3I+PGF1dGhvcj5HdXRocmllLCBULjwvYXV0aG9yPjxhdXRob3I+VHlsZXIsIEouPC9hdXRo
b3I+PGF1dGhvcj5MaW5nLCBXLiBZLjwvYXV0aG9yPjxhdXRob3I+UG93bGVzbGFuZCwgSC48L2F1
dGhvcj48YXV0aG9yPkJ5cm5lLCBDLjwvYXV0aG9yPjxhdXRob3I+TmV3LCBLLjwvYXV0aG9yPjwv
YXV0aG9ycz48L2NvbnRyaWJ1dG9ycz48YXV0aC1hZGRyZXNzPkRlcGFydG1lbnQgb2YgTnV0cml0
aW9uIGFuZCBEaWV0ZXRpY3MsIFJveWFsIEJyaXNiYW5lIGFuZCBXb21lbiZhcG9zO3MgSG9zcGl0
YWwsIEJyaXNiYW5lLCBRdWVlbnNsYW5kLCBBdXN0cmFsaWEuJiN4RDtTY2hvb2wgb2YgRXhlcmNp
c2UgYW5kIE51dHJpdGlvbiBTY2llbmNlcywgSW5zdGl0dXRlIG9mIEhlYWx0aCBhbmQgQmlvbWVk
aWNhbCBJbm5vdmF0aW9uLCBRdWVlbnNsYW5kIFVuaXZlcnNpdHkgb2YgVGVjaG5vbG9neSwgQnJp
c2JhbmUsIFF1ZWVuc2xhbmQsIEF1c3RyYWxpYS4mI3hEO1dvbWVuJmFwb3M7cyBhbmQgTmV3Ym9y
biBTZXJ2aWNlcywgUm95YWwgQnJpc2JhbmUgYW5kIFdvbWVuJmFwb3M7cyBIb3NwaXRhbCwgQnJp
c2JhbmUsIFF1ZWVuc2xhbmQsIEF1c3RyYWxpYS4mI3hEO1NjaG9vbCBvZiBOdXJzaW5nLCBNaWR3
aWZlcnkgYW5kIFNvY2lhbCBXb3JrLCBUaGUgVW5pdmVyc2l0eSBvZiBRdWVlbnNsYW5kLCBTdCBM
dWNpYSwgUXVlZW5zbGFuZCwgQXVzdHJhbGlhLjwvYXV0aC1hZGRyZXNzPjx0aXRsZXM+PHRpdGxl
PkEgbWl4ZWQgbWV0aG9kIHN0dWR5IGV2YWx1YXRpbmcgdGhlIGludGVncmF0aW9uIG9mIHByZWdu
YW5jeSB3ZWlnaHQgZ2FpbiBjaGFydHMgaW50byBhbnRlbmF0YWwgY2FyZTwvdGl0bGU+PHNlY29u
ZGFyeS10aXRsZT5NYXRlcm4gQ2hpbGQgTnV0cjwvc2Vjb25kYXJ5LXRpdGxlPjwvdGl0bGVzPjxw
ZXJpb2RpY2FsPjxmdWxsLXRpdGxlPk1hdGVybiBDaGlsZCBOdXRyPC9mdWxsLXRpdGxlPjwvcGVy
aW9kaWNhbD48cGFnZXM+ZTEyNzUwPC9wYWdlcz48dm9sdW1lPjE1PC92b2x1bWU+PG51bWJlcj4z
PC9udW1iZXI+PGVkaXRpb24+MjAxOC8xMS8xNDwvZWRpdGlvbj48a2V5d29yZHM+PGtleXdvcmQ+
KmltcGxlbWVudGF0aW9uPC9rZXl3b3JkPjxrZXl3b3JkPipvYmVzaXR5PC9rZXl3b3JkPjxrZXl3
b3JkPipwcmVnbmFuY3kgd2VpZ2h0IGdhaW48L2tleXdvcmQ+PGtleXdvcmQ+KndlaWdodCBnYWlu
IGNoYXJ0PC9rZXl3b3JkPjxrZXl3b3JkPip3ZWlnaHQgbW9uaXRvcmluZzwva2V5d29yZD48L2tl
eXdvcmRzPjxkYXRlcz48eWVhcj4yMDE5PC95ZWFyPjxwdWItZGF0ZXM+PGRhdGU+SnVsPC9kYXRl
PjwvcHViLWRhdGVzPjwvZGF0ZXM+PGlzYm4+MTc0MC04NzA5IChFbGVjdHJvbmljKSYjeEQ7MTc0
MC04Njk1IChMaW5raW5nKTwvaXNibj48YWNjZXNzaW9uLW51bT4zMDQyMzYwMTwvYWNjZXNzaW9u
LW51bT48dXJscz48cmVsYXRlZC11cmxzPjx1cmw+aHR0cHM6Ly93d3cubmNiaS5ubG0ubmloLmdv
di9wdWJtZWQvMzA0MjM2MDE8L3VybD48L3JlbGF0ZWQtdXJscz48L3VybHM+PGVsZWN0cm9uaWMt
cmVzb3VyY2UtbnVtPjEwLjExMTEvbWNuLjEyNzUwPC9lbGVjdHJvbmljLXJlc291cmNlLW51bT48
L3JlY29yZD48L0NpdGU+PC9FbmROb3RlPgB=
</w:fldData>
        </w:fldChar>
      </w:r>
      <w:r w:rsidR="001A2F28">
        <w:instrText xml:space="preserve"> ADDIN EN.CITE </w:instrText>
      </w:r>
      <w:r w:rsidR="001A2F28">
        <w:fldChar w:fldCharType="begin">
          <w:fldData xml:space="preserve">PEVuZE5vdGU+PENpdGU+PEF1dGhvcj5kZSBKZXJzZXk8L0F1dGhvcj48WWVhcj4yMDE5PC9ZZWFy
PjxSZWNOdW0+MTcwNjwvUmVjTnVtPjxEaXNwbGF5VGV4dD48c3R5bGUgZmFjZT0ic3VwZXJzY3Jp
cHQiIGZvbnQ9IlRyZWJ1Y2hldCBNUyIgc2l6ZT0iOSI+Mzc4PC9zdHlsZT48L0Rpc3BsYXlUZXh0
PjxyZWNvcmQ+PHJlYy1udW1iZXI+MTcwNjwvcmVjLW51bWJlcj48Zm9yZWlnbi1rZXlzPjxrZXkg
YXBwPSJFTiIgZGItaWQ9ImV4dmFzcmZ4MmR0cmFvZXNhc3hwMnN6c3hhMmRmNTAyNTkyeCIgdGlt
ZXN0YW1wPSIxNTgxOTE2OTY0Ij4xNzA2PC9rZXk+PGtleSBhcHA9IkVOV2ViIiBkYi1pZD0iIj4w
PC9rZXk+PC9mb3JlaWduLWtleXM+PHJlZi10eXBlIG5hbWU9IkpvdXJuYWwgQXJ0aWNsZSI+MTc8
L3JlZi10eXBlPjxjb250cmlidXRvcnM+PGF1dGhvcnM+PGF1dGhvcj5kZSBKZXJzZXksIFMuPC9h
dXRob3I+PGF1dGhvcj5HdXRocmllLCBULjwvYXV0aG9yPjxhdXRob3I+VHlsZXIsIEouPC9hdXRo
b3I+PGF1dGhvcj5MaW5nLCBXLiBZLjwvYXV0aG9yPjxhdXRob3I+UG93bGVzbGFuZCwgSC48L2F1
dGhvcj48YXV0aG9yPkJ5cm5lLCBDLjwvYXV0aG9yPjxhdXRob3I+TmV3LCBLLjwvYXV0aG9yPjwv
YXV0aG9ycz48L2NvbnRyaWJ1dG9ycz48YXV0aC1hZGRyZXNzPkRlcGFydG1lbnQgb2YgTnV0cml0
aW9uIGFuZCBEaWV0ZXRpY3MsIFJveWFsIEJyaXNiYW5lIGFuZCBXb21lbiZhcG9zO3MgSG9zcGl0
YWwsIEJyaXNiYW5lLCBRdWVlbnNsYW5kLCBBdXN0cmFsaWEuJiN4RDtTY2hvb2wgb2YgRXhlcmNp
c2UgYW5kIE51dHJpdGlvbiBTY2llbmNlcywgSW5zdGl0dXRlIG9mIEhlYWx0aCBhbmQgQmlvbWVk
aWNhbCBJbm5vdmF0aW9uLCBRdWVlbnNsYW5kIFVuaXZlcnNpdHkgb2YgVGVjaG5vbG9neSwgQnJp
c2JhbmUsIFF1ZWVuc2xhbmQsIEF1c3RyYWxpYS4mI3hEO1dvbWVuJmFwb3M7cyBhbmQgTmV3Ym9y
biBTZXJ2aWNlcywgUm95YWwgQnJpc2JhbmUgYW5kIFdvbWVuJmFwb3M7cyBIb3NwaXRhbCwgQnJp
c2JhbmUsIFF1ZWVuc2xhbmQsIEF1c3RyYWxpYS4mI3hEO1NjaG9vbCBvZiBOdXJzaW5nLCBNaWR3
aWZlcnkgYW5kIFNvY2lhbCBXb3JrLCBUaGUgVW5pdmVyc2l0eSBvZiBRdWVlbnNsYW5kLCBTdCBM
dWNpYSwgUXVlZW5zbGFuZCwgQXVzdHJhbGlhLjwvYXV0aC1hZGRyZXNzPjx0aXRsZXM+PHRpdGxl
PkEgbWl4ZWQgbWV0aG9kIHN0dWR5IGV2YWx1YXRpbmcgdGhlIGludGVncmF0aW9uIG9mIHByZWdu
YW5jeSB3ZWlnaHQgZ2FpbiBjaGFydHMgaW50byBhbnRlbmF0YWwgY2FyZTwvdGl0bGU+PHNlY29u
ZGFyeS10aXRsZT5NYXRlcm4gQ2hpbGQgTnV0cjwvc2Vjb25kYXJ5LXRpdGxlPjwvdGl0bGVzPjxw
ZXJpb2RpY2FsPjxmdWxsLXRpdGxlPk1hdGVybiBDaGlsZCBOdXRyPC9mdWxsLXRpdGxlPjwvcGVy
aW9kaWNhbD48cGFnZXM+ZTEyNzUwPC9wYWdlcz48dm9sdW1lPjE1PC92b2x1bWU+PG51bWJlcj4z
PC9udW1iZXI+PGVkaXRpb24+MjAxOC8xMS8xNDwvZWRpdGlvbj48a2V5d29yZHM+PGtleXdvcmQ+
KmltcGxlbWVudGF0aW9uPC9rZXl3b3JkPjxrZXl3b3JkPipvYmVzaXR5PC9rZXl3b3JkPjxrZXl3
b3JkPipwcmVnbmFuY3kgd2VpZ2h0IGdhaW48L2tleXdvcmQ+PGtleXdvcmQ+KndlaWdodCBnYWlu
IGNoYXJ0PC9rZXl3b3JkPjxrZXl3b3JkPip3ZWlnaHQgbW9uaXRvcmluZzwva2V5d29yZD48L2tl
eXdvcmRzPjxkYXRlcz48eWVhcj4yMDE5PC95ZWFyPjxwdWItZGF0ZXM+PGRhdGU+SnVsPC9kYXRl
PjwvcHViLWRhdGVzPjwvZGF0ZXM+PGlzYm4+MTc0MC04NzA5IChFbGVjdHJvbmljKSYjeEQ7MTc0
MC04Njk1IChMaW5raW5nKTwvaXNibj48YWNjZXNzaW9uLW51bT4zMDQyMzYwMTwvYWNjZXNzaW9u
LW51bT48dXJscz48cmVsYXRlZC11cmxzPjx1cmw+aHR0cHM6Ly93d3cubmNiaS5ubG0ubmloLmdv
di9wdWJtZWQvMzA0MjM2MDE8L3VybD48L3JlbGF0ZWQtdXJscz48L3VybHM+PGVsZWN0cm9uaWMt
cmVzb3VyY2UtbnVtPjEwLjExMTEvbWNuLjEyNzUwPC9lbGVjdHJvbmljLXJlc291cmNlLW51bT48
L3JlY29yZD48L0NpdGU+PC9FbmROb3RlPgB=
</w:fldData>
        </w:fldChar>
      </w:r>
      <w:r w:rsidR="001A2F28">
        <w:instrText xml:space="preserve"> ADDIN EN.CITE.DATA </w:instrText>
      </w:r>
      <w:r w:rsidR="001A2F28">
        <w:fldChar w:fldCharType="end"/>
      </w:r>
      <w:r>
        <w:fldChar w:fldCharType="separate"/>
      </w:r>
      <w:r w:rsidR="001A2F28" w:rsidRPr="001A2F28">
        <w:rPr>
          <w:noProof/>
          <w:vertAlign w:val="superscript"/>
        </w:rPr>
        <w:t>378</w:t>
      </w:r>
      <w:r>
        <w:fldChar w:fldCharType="end"/>
      </w:r>
      <w:r>
        <w:t xml:space="preserve"> 63% of health professionals surveyed used the chart, 76% reported that they needed more training in counselling </w:t>
      </w:r>
      <w:r w:rsidRPr="00700A1C">
        <w:t>pregnant women</w:t>
      </w:r>
      <w:r>
        <w:t xml:space="preserve"> about weight gain</w:t>
      </w:r>
      <w:r w:rsidRPr="00700A1C">
        <w:t>, and insufficient time was a main barrier to weighing and conversing with women.</w:t>
      </w:r>
      <w:r>
        <w:t xml:space="preserve"> </w:t>
      </w:r>
    </w:p>
    <w:p w14:paraId="4E28CEDF" w14:textId="0145015A" w:rsidR="00631C10" w:rsidRDefault="00631C10" w:rsidP="00EE1F9C">
      <w:r>
        <w:t>An Australian cohort study found that recording of weight is improved by providing scales and in-services (18.9%) and medical record prompts (61.8%) (n=~13,000 per cohort).</w:t>
      </w:r>
      <w:r>
        <w:fldChar w:fldCharType="begin">
          <w:fldData xml:space="preserve">PEVuZE5vdGU+PENpdGU+PEF1dGhvcj5XaWxraW5zb248L0F1dGhvcj48WWVhcj4yMDE5PC9ZZWFy
PjxSZWNOdW0+MTcwNzwvUmVjTnVtPjxEaXNwbGF5VGV4dD48c3R5bGUgZmFjZT0ic3VwZXJzY3Jp
cHQiIGZvbnQ9IlRyZWJ1Y2hldCBNUyIgc2l6ZT0iOSI+Mzc5PC9zdHlsZT48L0Rpc3BsYXlUZXh0
PjxyZWNvcmQ+PHJlYy1udW1iZXI+MTcwNzwvcmVjLW51bWJlcj48Zm9yZWlnbi1rZXlzPjxrZXkg
YXBwPSJFTiIgZGItaWQ9ImV4dmFzcmZ4MmR0cmFvZXNhc3hwMnN6c3hhMmRmNTAyNTkyeCIgdGlt
ZXN0YW1wPSIxNTgxOTE2OTcxIj4xNzA3PC9rZXk+PGtleSBhcHA9IkVOV2ViIiBkYi1pZD0iIj4w
PC9rZXk+PC9mb3JlaWduLWtleXM+PHJlZi10eXBlIG5hbWU9IkpvdXJuYWwgQXJ0aWNsZSI+MTc8
L3JlZi10eXBlPjxjb250cmlidXRvcnM+PGF1dGhvcnM+PGF1dGhvcj5XaWxraW5zb24sIFMuPC9h
dXRob3I+PGF1dGhvcj5CZWNrbWFubiwgTS48L2F1dGhvcj48YXV0aG9yPkRvbmFsZHNvbiwgRS48
L2F1dGhvcj48YXV0aG9yPk1jQ3JheSwgUy48L2F1dGhvcj48L2F1dGhvcnM+PC9jb250cmlidXRv
cnM+PGF1dGgtYWRkcmVzcz5EZXBhcnRtZW50IG9mIERpZXRldGljcyBhbmQgRm9vZHNlcnZpY2Vz
LCBNYXRlciBIZWFsdGgsIEJyaXNiYW5lLCBRdWVlbnNsYW5kLCA0MTAxLCBBdXN0cmFsaWEuIFNo
ZWxsZXkud2lsa2luc29uQG1hdGVyLm9yZy5hdS4mI3hEO01hdGVyIFJlc2VhcmNoIEluc3RpdHV0
ZSAtIFVuaXZlcnNpdHkgb2YgUXVlZW5zbGFuZCwgTW90aGVycywgQmFiaWVzIGFuZCBXb21lbiZh
cG9zO3MgVGhlbWUsIEJyaXNiYW5lLCA0MTAxLCBBdXN0cmFsaWEuIFNoZWxsZXkud2lsa2luc29u
QG1hdGVyLm9yZy5hdS4mI3hEO01hdGVyIE1vdGhlcnMmYXBvczsgSG9zcGl0YWxzLCBNYXRlciBI
ZWFsdGgsIEJyaXNiYW5lLCA0MTAxLCBBdXN0cmFsaWEuIFNoZWxsZXkud2lsa2luc29uQG1hdGVy
Lm9yZy5hdS4mI3hEO01hdGVyIFJlc2VhcmNoIEluc3RpdHV0ZSAtIFVuaXZlcnNpdHkgb2YgUXVl
ZW5zbGFuZCwgTW90aGVycywgQmFiaWVzIGFuZCBXb21lbiZhcG9zO3MgVGhlbWUsIEJyaXNiYW5l
LCA0MTAxLCBBdXN0cmFsaWEuJiN4RDtNYXRlciBNb3RoZXJzJmFwb3M7IEhvc3BpdGFscywgTWF0
ZXIgSGVhbHRoLCBCcmlzYmFuZSwgNDEwMSwgQXVzdHJhbGlhLiYjeEQ7RGVwYXJ0bWVudCBvZiBE
aWV0ZXRpY3MgYW5kIEZvb2RzZXJ2aWNlcywgTWF0ZXIgSGVhbHRoLCBCcmlzYmFuZSwgUXVlZW5z
bGFuZCwgNDEwMSwgQXVzdHJhbGlhLjwvYXV0aC1hZGRyZXNzPjx0aXRsZXM+PHRpdGxlPkltcGxl
bWVudGF0aW9uIG9mIGdlc3RhdGlvbmFsIHdlaWdodCBnYWluIGd1aWRlbGluZXMgLSB3aGF0JmFw
b3M7cyBtb3JlIGVmZmVjdGl2ZSBmb3IgZW5zdXJpbmcgd2VpZ2h0IHJlY29yZGluZyBpbiBwcmVn
bmFuY3k/PC90aXRsZT48c2Vjb25kYXJ5LXRpdGxlPkJNQyBQcmVnbmFuY3kgQ2hpbGRiaXJ0aDwv
c2Vjb25kYXJ5LXRpdGxlPjwvdGl0bGVzPjxwZXJpb2RpY2FsPjxmdWxsLXRpdGxlPkJNQyBQcmVn
bmFuY3kgQ2hpbGRiaXJ0aDwvZnVsbC10aXRsZT48L3BlcmlvZGljYWw+PHBhZ2VzPjE5PC9wYWdl
cz48dm9sdW1lPjE5PC92b2x1bWU+PG51bWJlcj4xPC9udW1iZXI+PGVkaXRpb24+MjAxOS8wMi8x
MzwvZWRpdGlvbj48a2V5d29yZHM+PGtleXdvcmQ+QWR1bHQ8L2tleXdvcmQ+PGtleXdvcmQ+Qm9k
eSBNYXNzIEluZGV4PC9rZXl3b3JkPjxrZXl3b3JkPkJvZHkgV2VpZ2h0L3BoeXNpb2xvZ3k8L2tl
eXdvcmQ+PGtleXdvcmQ+RmVtYWxlPC9rZXl3b3JkPjxrZXl3b3JkPkdlc3RhdGlvbmFsIFdlaWdo
dCBHYWluLypwaHlzaW9sb2d5PC9rZXl3b3JkPjxrZXl3b3JkPkh1bWFuczwva2V5d29yZD48a2V5
d29yZD4qUHJhY3RpY2UgR3VpZGVsaW5lcyBhcyBUb3BpYzwva2V5d29yZD48a2V5d29yZD5QcmVn
bmFuY3k8L2tleXdvcmQ+PGtleXdvcmQ+UHJlZ25hbmN5IENvbXBsaWNhdGlvbnMvKnByZXZlbnRp
b24gJmFtcDsgY29udHJvbDwva2V5d29yZD48a2V5d29yZD5QcmVnbmFudCBXb21lbjwva2V5d29y
ZD48a2V5d29yZD5QcmVuYXRhbCBDYXJlL21ldGhvZHM8L2tleXdvcmQ+PGtleXdvcmQ+UmV0cm9z
cGVjdGl2ZSBTdHVkaWVzPC9rZXl3b3JkPjxrZXl3b3JkPldlaWdodCBHYWluLypwaHlzaW9sb2d5
PC9rZXl3b3JkPjxrZXl3b3JkPllvdW5nIEFkdWx0PC9rZXl3b3JkPjxrZXl3b3JkPkFudGVuYXRh
bDwva2V5d29yZD48a2V5d29yZD5HdWlkZWxpbmVzPC9rZXl3b3JkPjxrZXl3b3JkPkltcGxlbWVu
dGF0aW9uPC9rZXl3b3JkPjxrZXl3b3JkPlRyYW5zbGF0aW9uPC9rZXl3b3JkPjxrZXl3b3JkPldl
aWdodCByZWNvcmRpbmc8L2tleXdvcmQ+PC9rZXl3b3Jkcz48ZGF0ZXM+PHllYXI+MjAxOTwveWVh
cj48cHViLWRhdGVzPjxkYXRlPkZlYiAxMjwvZGF0ZT48L3B1Yi1kYXRlcz48L2RhdGVzPjxpc2Ju
PjE0NzEtMjM5MyAoRWxlY3Ryb25pYykmI3hEOzE0NzEtMjM5MyAoTGlua2luZyk8L2lzYm4+PGFj
Y2Vzc2lvbi1udW0+MzA3NDQ1ODA8L2FjY2Vzc2lvbi1udW0+PHVybHM+PHJlbGF0ZWQtdXJscz48
dXJsPmh0dHBzOi8vd3d3Lm5jYmkubmxtLm5paC5nb3YvcHVibWVkLzMwNzQ0NTgwPC91cmw+PC9y
ZWxhdGVkLXVybHM+PC91cmxzPjxjdXN0b20yPlBNQzYzNzE2MTI8L2N1c3RvbTI+PGVsZWN0cm9u
aWMtcmVzb3VyY2UtbnVtPjEwLjExODYvczEyODg0LTAxOC0yMTYyLXg8L2VsZWN0cm9uaWMtcmVz
b3VyY2UtbnVtPjwvcmVjb3JkPjwvQ2l0ZT48L0VuZE5vdGU+
</w:fldData>
        </w:fldChar>
      </w:r>
      <w:r w:rsidR="001A2F28">
        <w:instrText xml:space="preserve"> ADDIN EN.CITE </w:instrText>
      </w:r>
      <w:r w:rsidR="001A2F28">
        <w:fldChar w:fldCharType="begin">
          <w:fldData xml:space="preserve">PEVuZE5vdGU+PENpdGU+PEF1dGhvcj5XaWxraW5zb248L0F1dGhvcj48WWVhcj4yMDE5PC9ZZWFy
PjxSZWNOdW0+MTcwNzwvUmVjTnVtPjxEaXNwbGF5VGV4dD48c3R5bGUgZmFjZT0ic3VwZXJzY3Jp
cHQiIGZvbnQ9IlRyZWJ1Y2hldCBNUyIgc2l6ZT0iOSI+Mzc5PC9zdHlsZT48L0Rpc3BsYXlUZXh0
PjxyZWNvcmQ+PHJlYy1udW1iZXI+MTcwNzwvcmVjLW51bWJlcj48Zm9yZWlnbi1rZXlzPjxrZXkg
YXBwPSJFTiIgZGItaWQ9ImV4dmFzcmZ4MmR0cmFvZXNhc3hwMnN6c3hhMmRmNTAyNTkyeCIgdGlt
ZXN0YW1wPSIxNTgxOTE2OTcxIj4xNzA3PC9rZXk+PGtleSBhcHA9IkVOV2ViIiBkYi1pZD0iIj4w
PC9rZXk+PC9mb3JlaWduLWtleXM+PHJlZi10eXBlIG5hbWU9IkpvdXJuYWwgQXJ0aWNsZSI+MTc8
L3JlZi10eXBlPjxjb250cmlidXRvcnM+PGF1dGhvcnM+PGF1dGhvcj5XaWxraW5zb24sIFMuPC9h
dXRob3I+PGF1dGhvcj5CZWNrbWFubiwgTS48L2F1dGhvcj48YXV0aG9yPkRvbmFsZHNvbiwgRS48
L2F1dGhvcj48YXV0aG9yPk1jQ3JheSwgUy48L2F1dGhvcj48L2F1dGhvcnM+PC9jb250cmlidXRv
cnM+PGF1dGgtYWRkcmVzcz5EZXBhcnRtZW50IG9mIERpZXRldGljcyBhbmQgRm9vZHNlcnZpY2Vz
LCBNYXRlciBIZWFsdGgsIEJyaXNiYW5lLCBRdWVlbnNsYW5kLCA0MTAxLCBBdXN0cmFsaWEuIFNo
ZWxsZXkud2lsa2luc29uQG1hdGVyLm9yZy5hdS4mI3hEO01hdGVyIFJlc2VhcmNoIEluc3RpdHV0
ZSAtIFVuaXZlcnNpdHkgb2YgUXVlZW5zbGFuZCwgTW90aGVycywgQmFiaWVzIGFuZCBXb21lbiZh
cG9zO3MgVGhlbWUsIEJyaXNiYW5lLCA0MTAxLCBBdXN0cmFsaWEuIFNoZWxsZXkud2lsa2luc29u
QG1hdGVyLm9yZy5hdS4mI3hEO01hdGVyIE1vdGhlcnMmYXBvczsgSG9zcGl0YWxzLCBNYXRlciBI
ZWFsdGgsIEJyaXNiYW5lLCA0MTAxLCBBdXN0cmFsaWEuIFNoZWxsZXkud2lsa2luc29uQG1hdGVy
Lm9yZy5hdS4mI3hEO01hdGVyIFJlc2VhcmNoIEluc3RpdHV0ZSAtIFVuaXZlcnNpdHkgb2YgUXVl
ZW5zbGFuZCwgTW90aGVycywgQmFiaWVzIGFuZCBXb21lbiZhcG9zO3MgVGhlbWUsIEJyaXNiYW5l
LCA0MTAxLCBBdXN0cmFsaWEuJiN4RDtNYXRlciBNb3RoZXJzJmFwb3M7IEhvc3BpdGFscywgTWF0
ZXIgSGVhbHRoLCBCcmlzYmFuZSwgNDEwMSwgQXVzdHJhbGlhLiYjeEQ7RGVwYXJ0bWVudCBvZiBE
aWV0ZXRpY3MgYW5kIEZvb2RzZXJ2aWNlcywgTWF0ZXIgSGVhbHRoLCBCcmlzYmFuZSwgUXVlZW5z
bGFuZCwgNDEwMSwgQXVzdHJhbGlhLjwvYXV0aC1hZGRyZXNzPjx0aXRsZXM+PHRpdGxlPkltcGxl
bWVudGF0aW9uIG9mIGdlc3RhdGlvbmFsIHdlaWdodCBnYWluIGd1aWRlbGluZXMgLSB3aGF0JmFw
b3M7cyBtb3JlIGVmZmVjdGl2ZSBmb3IgZW5zdXJpbmcgd2VpZ2h0IHJlY29yZGluZyBpbiBwcmVn
bmFuY3k/PC90aXRsZT48c2Vjb25kYXJ5LXRpdGxlPkJNQyBQcmVnbmFuY3kgQ2hpbGRiaXJ0aDwv
c2Vjb25kYXJ5LXRpdGxlPjwvdGl0bGVzPjxwZXJpb2RpY2FsPjxmdWxsLXRpdGxlPkJNQyBQcmVn
bmFuY3kgQ2hpbGRiaXJ0aDwvZnVsbC10aXRsZT48L3BlcmlvZGljYWw+PHBhZ2VzPjE5PC9wYWdl
cz48dm9sdW1lPjE5PC92b2x1bWU+PG51bWJlcj4xPC9udW1iZXI+PGVkaXRpb24+MjAxOS8wMi8x
MzwvZWRpdGlvbj48a2V5d29yZHM+PGtleXdvcmQ+QWR1bHQ8L2tleXdvcmQ+PGtleXdvcmQ+Qm9k
eSBNYXNzIEluZGV4PC9rZXl3b3JkPjxrZXl3b3JkPkJvZHkgV2VpZ2h0L3BoeXNpb2xvZ3k8L2tl
eXdvcmQ+PGtleXdvcmQ+RmVtYWxlPC9rZXl3b3JkPjxrZXl3b3JkPkdlc3RhdGlvbmFsIFdlaWdo
dCBHYWluLypwaHlzaW9sb2d5PC9rZXl3b3JkPjxrZXl3b3JkPkh1bWFuczwva2V5d29yZD48a2V5
d29yZD4qUHJhY3RpY2UgR3VpZGVsaW5lcyBhcyBUb3BpYzwva2V5d29yZD48a2V5d29yZD5QcmVn
bmFuY3k8L2tleXdvcmQ+PGtleXdvcmQ+UHJlZ25hbmN5IENvbXBsaWNhdGlvbnMvKnByZXZlbnRp
b24gJmFtcDsgY29udHJvbDwva2V5d29yZD48a2V5d29yZD5QcmVnbmFudCBXb21lbjwva2V5d29y
ZD48a2V5d29yZD5QcmVuYXRhbCBDYXJlL21ldGhvZHM8L2tleXdvcmQ+PGtleXdvcmQ+UmV0cm9z
cGVjdGl2ZSBTdHVkaWVzPC9rZXl3b3JkPjxrZXl3b3JkPldlaWdodCBHYWluLypwaHlzaW9sb2d5
PC9rZXl3b3JkPjxrZXl3b3JkPllvdW5nIEFkdWx0PC9rZXl3b3JkPjxrZXl3b3JkPkFudGVuYXRh
bDwva2V5d29yZD48a2V5d29yZD5HdWlkZWxpbmVzPC9rZXl3b3JkPjxrZXl3b3JkPkltcGxlbWVu
dGF0aW9uPC9rZXl3b3JkPjxrZXl3b3JkPlRyYW5zbGF0aW9uPC9rZXl3b3JkPjxrZXl3b3JkPldl
aWdodCByZWNvcmRpbmc8L2tleXdvcmQ+PC9rZXl3b3Jkcz48ZGF0ZXM+PHllYXI+MjAxOTwveWVh
cj48cHViLWRhdGVzPjxkYXRlPkZlYiAxMjwvZGF0ZT48L3B1Yi1kYXRlcz48L2RhdGVzPjxpc2Ju
PjE0NzEtMjM5MyAoRWxlY3Ryb25pYykmI3hEOzE0NzEtMjM5MyAoTGlua2luZyk8L2lzYm4+PGFj
Y2Vzc2lvbi1udW0+MzA3NDQ1ODA8L2FjY2Vzc2lvbi1udW0+PHVybHM+PHJlbGF0ZWQtdXJscz48
dXJsPmh0dHBzOi8vd3d3Lm5jYmkubmxtLm5paC5nb3YvcHVibWVkLzMwNzQ0NTgwPC91cmw+PC9y
ZWxhdGVkLXVybHM+PC91cmxzPjxjdXN0b20yPlBNQzYzNzE2MTI8L2N1c3RvbTI+PGVsZWN0cm9u
aWMtcmVzb3VyY2UtbnVtPjEwLjExODYvczEyODg0LTAxOC0yMTYyLXg8L2VsZWN0cm9uaWMtcmVz
b3VyY2UtbnVtPjwvcmVjb3JkPjwvQ2l0ZT48L0VuZE5vdGU+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379</w:t>
      </w:r>
      <w:r>
        <w:fldChar w:fldCharType="end"/>
      </w:r>
    </w:p>
    <w:p w14:paraId="4767BB85" w14:textId="0B18D2DA" w:rsidR="006B45EE" w:rsidRPr="006B45EE" w:rsidRDefault="006B45EE" w:rsidP="00EE1F9C">
      <w:pPr>
        <w:rPr>
          <w:lang w:val="en"/>
        </w:rPr>
      </w:pPr>
      <w:r>
        <w:t>A cohort study in the United States (</w:t>
      </w:r>
      <w:r w:rsidRPr="00755A97">
        <w:rPr>
          <w:sz w:val="16"/>
          <w:szCs w:val="16"/>
        </w:rPr>
        <w:t>n=733</w:t>
      </w:r>
      <w:r>
        <w:t>)</w:t>
      </w:r>
      <w:r>
        <w:fldChar w:fldCharType="begin">
          <w:fldData xml:space="preserve">PEVuZE5vdGU+PENpdGU+PEF1dGhvcj5MaW5kYmVyZzwvQXV0aG9yPjxZZWFyPjIwMTQ8L1llYXI+
PFJlY051bT4xNzY4PC9SZWNOdW0+PERpc3BsYXlUZXh0PjxzdHlsZSBmYWNlPSJzdXBlcnNjcmlw
dCIgZm9udD0iVHJlYnVjaGV0IE1TIiBzaXplPSI5Ij4zODA8L3N0eWxlPjwvRGlzcGxheVRleHQ+
PHJlY29yZD48cmVjLW51bWJlcj4xNzY4PC9yZWMtbnVtYmVyPjxmb3JlaWduLWtleXM+PGtleSBh
cHA9IkVOIiBkYi1pZD0iZXh2YXNyZngyZHRyYW9lc2FzeHAyc3pzeGEyZGY1MDI1OTJ4IiB0aW1l
c3RhbXA9IjE1ODI4NjcyMjIiPjE3Njg8L2tleT48a2V5IGFwcD0iRU5XZWIiIGRiLWlkPSIiPjA8
L2tleT48L2ZvcmVpZ24ta2V5cz48cmVmLXR5cGUgbmFtZT0iSm91cm5hbCBBcnRpY2xlIj4xNzwv
cmVmLXR5cGU+PGNvbnRyaWJ1dG9ycz48YXV0aG9ycz48YXV0aG9yPkxpbmRiZXJnLCBTLiBNLjwv
YXV0aG9yPjxhdXRob3I+QW5kZXJzb24sIEMuIEsuPC9hdXRob3I+PC9hdXRob3JzPjwvY29udHJp
YnV0b3JzPjxhdXRoLWFkZHJlc3M+Q2VudGVyIGZvciBXb21lbiZhcG9zO3MgSGVhbHRoIGFuZCBI
ZWFsdGggRGlzcGFyaXRpZXMgUmVzZWFyY2gsIFVuaXZlcnNpdHkgb2YgV2lzY29uc2luIFNjaG9v
bCBvZiBNZWRpY2luZSBhbmQgUHVibGljIEhlYWx0aCwgMzEwIE5vcnRoIE1pZHZhbGUgQm91bGV2
YXJkLCBTdWl0ZSAyMDEsIE1hZGlzb24sIFdJLCA1MzcwNSwgVVNBLCBzbWxpbmRiZXJnQHdpc2Mu
ZWR1LjwvYXV0aC1hZGRyZXNzPjx0aXRsZXM+PHRpdGxlPkltcHJvdmluZyBnZXN0YXRpb25hbCB3
ZWlnaHQgZ2FpbiBjb3Vuc2VsaW5nIHRocm91Z2ggbWVhbmluZ2Z1bCB1c2Ugb2YgYW4gZWxlY3Ry
b25pYyBtZWRpY2FsIHJlY29yZDwvdGl0bGU+PHNlY29uZGFyeS10aXRsZT5NYXRlcm4gQ2hpbGQg
SGVhbHRoIEo8L3NlY29uZGFyeS10aXRsZT48L3RpdGxlcz48cGVyaW9kaWNhbD48ZnVsbC10aXRs
ZT5NYXRlcm4gQ2hpbGQgSGVhbHRoIEo8L2Z1bGwtdGl0bGU+PC9wZXJpb2RpY2FsPjxwYWdlcz4y
MTg4LTk0PC9wYWdlcz48dm9sdW1lPjE4PC92b2x1bWU+PG51bWJlcj45PC9udW1iZXI+PGVkaXRp
b24+MjAxNC8wMy8xNTwvZWRpdGlvbj48a2V5d29yZHM+PGtleXdvcmQ+QWR1bHQ8L2tleXdvcmQ+
PGtleXdvcmQ+Q291bnNlbGluZy9tZXRob2RzL3N0YW5kYXJkczwva2V5d29yZD48a2V5d29yZD5F
bGVjdHJvbmljIEhlYWx0aCBSZWNvcmRzLypvcmdhbml6YXRpb24gJmFtcDsgYWRtaW5pc3RyYXRp
b24vc3RhbmRhcmRzPC9rZXl3b3JkPjxrZXl3b3JkPkZlbWFsZTwva2V5d29yZD48a2V5d29yZD5I
dW1hbnM8L2tleXdvcmQ+PGtleXdvcmQ+TWVhbmluZ2Z1bCBVc2U8L2tleXdvcmQ+PGtleXdvcmQ+
UGF0aWVudCBFZHVjYXRpb24gYXMgVG9waWMvbWV0aG9kcy8qc3RhbmRhcmRzPC9rZXl3b3JkPjxr
ZXl3b3JkPlByYWN0aWNlIEd1aWRlbGluZXMgYXMgVG9waWMvc3RhbmRhcmRzPC9rZXl3b3JkPjxr
ZXl3b3JkPlByZWduYW5jeTwva2V5d29yZD48a2V5d29yZD5QcmVnbmFuY3kgQ29tcGxpY2F0aW9u
cy9ldGlvbG9neS8qcHJldmVudGlvbiAmYW1wOyBjb250cm9sPC9rZXl3b3JkPjxrZXl3b3JkPlBy
ZW5hdGFsIENhcmUvKm1ldGhvZHMvc3RhbmRhcmRzPC9rZXl3b3JkPjxrZXl3b3JkPlJldHJvc3Bl
Y3RpdmUgU3R1ZGllczwva2V5d29yZD48a2V5d29yZD5XZWlnaHQgR2Fpbi8qcGh5c2lvbG9neTwv
a2V5d29yZD48L2tleXdvcmRzPjxkYXRlcz48eWVhcj4yMDE0PC95ZWFyPjxwdWItZGF0ZXM+PGRh
dGU+Tm92PC9kYXRlPjwvcHViLWRhdGVzPjwvZGF0ZXM+PGlzYm4+MTU3My02NjI4IChFbGVjdHJv
bmljKSYjeEQ7MTA5Mi03ODc1IChMaW5raW5nKTwvaXNibj48YWNjZXNzaW9uLW51bT4yNDYyNzIz
MzwvYWNjZXNzaW9uLW51bT48dXJscz48cmVsYXRlZC11cmxzPjx1cmw+aHR0cHM6Ly93d3cubmNi
aS5ubG0ubmloLmdvdi9wdWJtZWQvMjQ2MjcyMzM8L3VybD48L3JlbGF0ZWQtdXJscz48L3VybHM+
PGN1c3RvbTI+UE1DNDMwNDY5NzwvY3VzdG9tMj48ZWxlY3Ryb25pYy1yZXNvdXJjZS1udW0+MTAu
MTAwNy9zMTA5OTUtMDE0LTE0NjctMjwvZWxlY3Ryb25pYy1yZXNvdXJjZS1udW0+PC9yZWNvcmQ+
PC9DaXRlPjwvRW5kTm90ZT5=
</w:fldData>
        </w:fldChar>
      </w:r>
      <w:r w:rsidR="001A2F28">
        <w:instrText xml:space="preserve"> ADDIN EN.CITE </w:instrText>
      </w:r>
      <w:r w:rsidR="001A2F28">
        <w:fldChar w:fldCharType="begin">
          <w:fldData xml:space="preserve">PEVuZE5vdGU+PENpdGU+PEF1dGhvcj5MaW5kYmVyZzwvQXV0aG9yPjxZZWFyPjIwMTQ8L1llYXI+
PFJlY051bT4xNzY4PC9SZWNOdW0+PERpc3BsYXlUZXh0PjxzdHlsZSBmYWNlPSJzdXBlcnNjcmlw
dCIgZm9udD0iVHJlYnVjaGV0IE1TIiBzaXplPSI5Ij4zODA8L3N0eWxlPjwvRGlzcGxheVRleHQ+
PHJlY29yZD48cmVjLW51bWJlcj4xNzY4PC9yZWMtbnVtYmVyPjxmb3JlaWduLWtleXM+PGtleSBh
cHA9IkVOIiBkYi1pZD0iZXh2YXNyZngyZHRyYW9lc2FzeHAyc3pzeGEyZGY1MDI1OTJ4IiB0aW1l
c3RhbXA9IjE1ODI4NjcyMjIiPjE3Njg8L2tleT48a2V5IGFwcD0iRU5XZWIiIGRiLWlkPSIiPjA8
L2tleT48L2ZvcmVpZ24ta2V5cz48cmVmLXR5cGUgbmFtZT0iSm91cm5hbCBBcnRpY2xlIj4xNzwv
cmVmLXR5cGU+PGNvbnRyaWJ1dG9ycz48YXV0aG9ycz48YXV0aG9yPkxpbmRiZXJnLCBTLiBNLjwv
YXV0aG9yPjxhdXRob3I+QW5kZXJzb24sIEMuIEsuPC9hdXRob3I+PC9hdXRob3JzPjwvY29udHJp
YnV0b3JzPjxhdXRoLWFkZHJlc3M+Q2VudGVyIGZvciBXb21lbiZhcG9zO3MgSGVhbHRoIGFuZCBI
ZWFsdGggRGlzcGFyaXRpZXMgUmVzZWFyY2gsIFVuaXZlcnNpdHkgb2YgV2lzY29uc2luIFNjaG9v
bCBvZiBNZWRpY2luZSBhbmQgUHVibGljIEhlYWx0aCwgMzEwIE5vcnRoIE1pZHZhbGUgQm91bGV2
YXJkLCBTdWl0ZSAyMDEsIE1hZGlzb24sIFdJLCA1MzcwNSwgVVNBLCBzbWxpbmRiZXJnQHdpc2Mu
ZWR1LjwvYXV0aC1hZGRyZXNzPjx0aXRsZXM+PHRpdGxlPkltcHJvdmluZyBnZXN0YXRpb25hbCB3
ZWlnaHQgZ2FpbiBjb3Vuc2VsaW5nIHRocm91Z2ggbWVhbmluZ2Z1bCB1c2Ugb2YgYW4gZWxlY3Ry
b25pYyBtZWRpY2FsIHJlY29yZDwvdGl0bGU+PHNlY29uZGFyeS10aXRsZT5NYXRlcm4gQ2hpbGQg
SGVhbHRoIEo8L3NlY29uZGFyeS10aXRsZT48L3RpdGxlcz48cGVyaW9kaWNhbD48ZnVsbC10aXRs
ZT5NYXRlcm4gQ2hpbGQgSGVhbHRoIEo8L2Z1bGwtdGl0bGU+PC9wZXJpb2RpY2FsPjxwYWdlcz4y
MTg4LTk0PC9wYWdlcz48dm9sdW1lPjE4PC92b2x1bWU+PG51bWJlcj45PC9udW1iZXI+PGVkaXRp
b24+MjAxNC8wMy8xNTwvZWRpdGlvbj48a2V5d29yZHM+PGtleXdvcmQ+QWR1bHQ8L2tleXdvcmQ+
PGtleXdvcmQ+Q291bnNlbGluZy9tZXRob2RzL3N0YW5kYXJkczwva2V5d29yZD48a2V5d29yZD5F
bGVjdHJvbmljIEhlYWx0aCBSZWNvcmRzLypvcmdhbml6YXRpb24gJmFtcDsgYWRtaW5pc3RyYXRp
b24vc3RhbmRhcmRzPC9rZXl3b3JkPjxrZXl3b3JkPkZlbWFsZTwva2V5d29yZD48a2V5d29yZD5I
dW1hbnM8L2tleXdvcmQ+PGtleXdvcmQ+TWVhbmluZ2Z1bCBVc2U8L2tleXdvcmQ+PGtleXdvcmQ+
UGF0aWVudCBFZHVjYXRpb24gYXMgVG9waWMvbWV0aG9kcy8qc3RhbmRhcmRzPC9rZXl3b3JkPjxr
ZXl3b3JkPlByYWN0aWNlIEd1aWRlbGluZXMgYXMgVG9waWMvc3RhbmRhcmRzPC9rZXl3b3JkPjxr
ZXl3b3JkPlByZWduYW5jeTwva2V5d29yZD48a2V5d29yZD5QcmVnbmFuY3kgQ29tcGxpY2F0aW9u
cy9ldGlvbG9neS8qcHJldmVudGlvbiAmYW1wOyBjb250cm9sPC9rZXl3b3JkPjxrZXl3b3JkPlBy
ZW5hdGFsIENhcmUvKm1ldGhvZHMvc3RhbmRhcmRzPC9rZXl3b3JkPjxrZXl3b3JkPlJldHJvc3Bl
Y3RpdmUgU3R1ZGllczwva2V5d29yZD48a2V5d29yZD5XZWlnaHQgR2Fpbi8qcGh5c2lvbG9neTwv
a2V5d29yZD48L2tleXdvcmRzPjxkYXRlcz48eWVhcj4yMDE0PC95ZWFyPjxwdWItZGF0ZXM+PGRh
dGU+Tm92PC9kYXRlPjwvcHViLWRhdGVzPjwvZGF0ZXM+PGlzYm4+MTU3My02NjI4IChFbGVjdHJv
bmljKSYjeEQ7MTA5Mi03ODc1IChMaW5raW5nKTwvaXNibj48YWNjZXNzaW9uLW51bT4yNDYyNzIz
MzwvYWNjZXNzaW9uLW51bT48dXJscz48cmVsYXRlZC11cmxzPjx1cmw+aHR0cHM6Ly93d3cubmNi
aS5ubG0ubmloLmdvdi9wdWJtZWQvMjQ2MjcyMzM8L3VybD48L3JlbGF0ZWQtdXJscz48L3VybHM+
PGN1c3RvbTI+UE1DNDMwNDY5NzwvY3VzdG9tMj48ZWxlY3Ryb25pYy1yZXNvdXJjZS1udW0+MTAu
MTAwNy9zMTA5OTUtMDE0LTE0NjctMjwvZWxlY3Ryb25pYy1yZXNvdXJjZS1udW0+PC9yZWNvcmQ+
PC9DaXRlPjwvRW5kTm90ZT5=
</w:fldData>
        </w:fldChar>
      </w:r>
      <w:r w:rsidR="001A2F28">
        <w:instrText xml:space="preserve"> ADDIN EN.CITE.DATA </w:instrText>
      </w:r>
      <w:r w:rsidR="001A2F28">
        <w:fldChar w:fldCharType="end"/>
      </w:r>
      <w:r>
        <w:fldChar w:fldCharType="separate"/>
      </w:r>
      <w:r w:rsidR="001A2F28" w:rsidRPr="001A2F28">
        <w:rPr>
          <w:noProof/>
          <w:vertAlign w:val="superscript"/>
        </w:rPr>
        <w:t>380</w:t>
      </w:r>
      <w:r>
        <w:fldChar w:fldCharType="end"/>
      </w:r>
      <w:r>
        <w:t xml:space="preserve"> found that introduction of a </w:t>
      </w:r>
      <w:r w:rsidRPr="00830A28">
        <w:t>"best practice alert" into an electronic medical record (EMR) system</w:t>
      </w:r>
      <w:r>
        <w:t xml:space="preserve"> improved documentation of pre-pregnancy weight (</w:t>
      </w:r>
      <w:r w:rsidRPr="00755A97">
        <w:rPr>
          <w:sz w:val="16"/>
          <w:szCs w:val="16"/>
        </w:rPr>
        <w:t>p=0.02</w:t>
      </w:r>
      <w:r>
        <w:t>) and pre-pregnancy height (</w:t>
      </w:r>
      <w:r w:rsidRPr="00755A97">
        <w:rPr>
          <w:sz w:val="16"/>
          <w:szCs w:val="16"/>
        </w:rPr>
        <w:t>p&lt;0.001</w:t>
      </w:r>
      <w:r>
        <w:t>) but not BMI (</w:t>
      </w:r>
      <w:r w:rsidRPr="00755A97">
        <w:rPr>
          <w:sz w:val="16"/>
          <w:szCs w:val="16"/>
        </w:rPr>
        <w:t>p=0.34</w:t>
      </w:r>
      <w:r>
        <w:t>). It improved the rate of gestational weight counselling (</w:t>
      </w:r>
      <w:r w:rsidRPr="00755A97">
        <w:rPr>
          <w:sz w:val="16"/>
          <w:szCs w:val="16"/>
        </w:rPr>
        <w:t>p&lt;0.001</w:t>
      </w:r>
      <w:r>
        <w:t>), documented weight gain (</w:t>
      </w:r>
      <w:r w:rsidRPr="00755A97">
        <w:rPr>
          <w:sz w:val="16"/>
          <w:szCs w:val="16"/>
        </w:rPr>
        <w:t>p&lt;0.001</w:t>
      </w:r>
      <w:r>
        <w:t>) and weight gain consistent with guidelines (</w:t>
      </w:r>
      <w:r w:rsidRPr="00755A97">
        <w:rPr>
          <w:sz w:val="16"/>
          <w:szCs w:val="16"/>
        </w:rPr>
        <w:t>p=0.003</w:t>
      </w:r>
      <w:r>
        <w:t>).</w:t>
      </w:r>
    </w:p>
    <w:p w14:paraId="793A3A1D" w14:textId="68C2AD60" w:rsidR="0056468B" w:rsidRDefault="0031360D" w:rsidP="0056468B">
      <w:pPr>
        <w:pStyle w:val="Heading3"/>
      </w:pPr>
      <w:bookmarkStart w:id="185" w:name="_Toc40956535"/>
      <w:r>
        <w:t>Regular</w:t>
      </w:r>
      <w:r w:rsidR="0056468B">
        <w:t xml:space="preserve"> weighing</w:t>
      </w:r>
      <w:bookmarkEnd w:id="185"/>
    </w:p>
    <w:p w14:paraId="57809AE1" w14:textId="70F0CE6B" w:rsidR="0056468B" w:rsidRDefault="0056468B" w:rsidP="00C06A28">
      <w:pPr>
        <w:pStyle w:val="Heading4"/>
      </w:pPr>
      <w:r>
        <w:t xml:space="preserve">Background </w:t>
      </w:r>
    </w:p>
    <w:p w14:paraId="63623EA5" w14:textId="77777777" w:rsidR="00382A58" w:rsidRDefault="0056468B" w:rsidP="00337A98">
      <w:r>
        <w:t xml:space="preserve">The Guidelines currently </w:t>
      </w:r>
      <w:r w:rsidR="00382A58">
        <w:t xml:space="preserve">include </w:t>
      </w:r>
      <w:r>
        <w:t>consensus-based recommendation</w:t>
      </w:r>
      <w:r w:rsidR="00382A58">
        <w:t>s to:</w:t>
      </w:r>
    </w:p>
    <w:p w14:paraId="2E29C16E" w14:textId="7EC6FDC4" w:rsidR="00382A58" w:rsidRDefault="00382A58" w:rsidP="00382A58">
      <w:pPr>
        <w:pStyle w:val="bullet"/>
      </w:pPr>
      <w:r>
        <w:t xml:space="preserve">at the first antenatal visit, </w:t>
      </w:r>
      <w:r w:rsidR="00F679C2">
        <w:t xml:space="preserve">calculate </w:t>
      </w:r>
      <w:r w:rsidR="00010E66">
        <w:t xml:space="preserve">women’s </w:t>
      </w:r>
      <w:r w:rsidR="00F679C2">
        <w:t xml:space="preserve">BMI </w:t>
      </w:r>
      <w:r>
        <w:t>and</w:t>
      </w:r>
      <w:r w:rsidR="00F679C2">
        <w:t xml:space="preserve"> </w:t>
      </w:r>
      <w:r>
        <w:t xml:space="preserve">give </w:t>
      </w:r>
      <w:r w:rsidR="00010E66">
        <w:t>them</w:t>
      </w:r>
      <w:r>
        <w:t xml:space="preserve"> advice about appropriate weight gain during </w:t>
      </w:r>
      <w:r w:rsidRPr="005E1D9F">
        <w:t xml:space="preserve">pregnancy in relation to their </w:t>
      </w:r>
      <w:r>
        <w:t xml:space="preserve">pre-pregnancy </w:t>
      </w:r>
      <w:r w:rsidRPr="005E1D9F">
        <w:t>BMI</w:t>
      </w:r>
    </w:p>
    <w:p w14:paraId="7138C049" w14:textId="12EE664A" w:rsidR="00382A58" w:rsidRDefault="00382A58" w:rsidP="00382A58">
      <w:pPr>
        <w:pStyle w:val="bullet"/>
      </w:pPr>
      <w:r>
        <w:t xml:space="preserve">at every antenatal visit, </w:t>
      </w:r>
      <w:r w:rsidR="0056468B">
        <w:t>offer women the opportunity to be weighed and encourage self-monitoring of weight gain</w:t>
      </w:r>
      <w:r>
        <w:t xml:space="preserve"> and discuss weight change, diet and level of physical activity with all women</w:t>
      </w:r>
      <w:r w:rsidR="0056468B">
        <w:t>.</w:t>
      </w:r>
      <w:r w:rsidR="00E86F42">
        <w:t xml:space="preserve"> </w:t>
      </w:r>
    </w:p>
    <w:p w14:paraId="048CFF6F" w14:textId="78CDA657" w:rsidR="00337A98" w:rsidRPr="00337A98" w:rsidRDefault="00035E58" w:rsidP="00337A98">
      <w:r>
        <w:t>A recent commentary noted that</w:t>
      </w:r>
      <w:r w:rsidR="00337A98" w:rsidRPr="00337A98">
        <w:t xml:space="preserve"> </w:t>
      </w:r>
      <w:r>
        <w:t xml:space="preserve">it </w:t>
      </w:r>
      <w:r w:rsidR="00337A98" w:rsidRPr="00337A98">
        <w:t xml:space="preserve">is unclear if the revised pregnancy care guidelines have recommended </w:t>
      </w:r>
      <w:r w:rsidR="00010E66">
        <w:t>regular weighing</w:t>
      </w:r>
      <w:r w:rsidR="00337A98" w:rsidRPr="00337A98">
        <w:t xml:space="preserve"> as a screening tool for adverse pregnancy outcomes </w:t>
      </w:r>
      <w:r w:rsidR="00010E66">
        <w:t>(eg low or high</w:t>
      </w:r>
      <w:r w:rsidR="00337A98" w:rsidRPr="00337A98">
        <w:t xml:space="preserve"> </w:t>
      </w:r>
      <w:r w:rsidR="00010E66">
        <w:t>birth weight)</w:t>
      </w:r>
      <w:r w:rsidR="00337A98" w:rsidRPr="00337A98">
        <w:t xml:space="preserve"> or if it is being employed as a weight management strategy.</w:t>
      </w:r>
      <w:r w:rsidR="00774750">
        <w:fldChar w:fldCharType="begin">
          <w:fldData xml:space="preserve">PEVuZE5vdGU+PENpdGU+PEF1dGhvcj5GZWFseTwvQXV0aG9yPjxZZWFyPjIwMTk8L1llYXI+PFJl
Y051bT4xNzA1PC9SZWNOdW0+PERpc3BsYXlUZXh0PjxzdHlsZSBmYWNlPSJzdXBlcnNjcmlwdCIg
Zm9udD0iVHJlYnVjaGV0IE1TIiBzaXplPSI5Ij4zODE8L3N0eWxlPjwvRGlzcGxheVRleHQ+PHJl
Y29yZD48cmVjLW51bWJlcj4xNzA1PC9yZWMtbnVtYmVyPjxmb3JlaWduLWtleXM+PGtleSBhcHA9
IkVOIiBkYi1pZD0iZXh2YXNyZngyZHRyYW9lc2FzeHAyc3pzeGEyZGY1MDI1OTJ4IiB0aW1lc3Rh
bXA9IjE1ODE5MTY5NTciPjE3MDU8L2tleT48a2V5IGFwcD0iRU5XZWIiIGRiLWlkPSIiPjA8L2tl
eT48L2ZvcmVpZ24ta2V5cz48cmVmLXR5cGUgbmFtZT0iSm91cm5hbCBBcnRpY2xlIj4xNzwvcmVm
LXR5cGU+PGNvbnRyaWJ1dG9ycz48YXV0aG9ycz48YXV0aG9yPkZlYWx5LCBTLjwvYXV0aG9yPjxh
dXRob3I+RGF2aXMsIEQuPC9hdXRob3I+PGF1dGhvcj5Gb3VyZXVyLCBNLjwvYXV0aG9yPjxhdXRo
b3I+QXR0aWEsIEouPC9hdXRob3I+PGF1dGhvcj5IYXplbHRvbiwgTS48L2F1dGhvcj48YXV0aG9y
Pkh1cmUsIEEuPC9hdXRob3I+PC9hdXRob3JzPjwvY29udHJpYnV0b3JzPjxhdXRoLWFkZHJlc3M+
VW5pdmVyc2l0eSBvZiBOZXdjYXN0bGUsIEZhY3VsdHkgb2YgSGVhbHRoIGFuZCBNZWRpY2luZSwg
U2Nob29sIG9mIE51cnNpbmcgYW5kIE1pZHdpZmVyeSwgVW5pdmVyc2l0eSBEcml2ZSwgQ2FsbGFn
aGFuLCBOU1csIDIzMDgsIEF1c3RyYWxpYTsgVW5pdmVyc2l0eSBvZiBOZXdjYXN0bGUsIEZhY3Vs
dHkgb2YgSGVhbHRoIGFuZCBNZWRpY2luZSwgU2Nob29sIG9mIE1lZGljaW5lIGFuZCBQdWJsaWMg
SGVhbHRoLCBVbml2ZXJzaXR5IERyaXZlLCBDYWxsYWdoYW4sIE5TVywgMjMwOCwgQXVzdHJhbGlh
OyBIdW50ZXIgTWVkaWNhbCBSZXNlYXJjaCBJbnN0aXR1dGUsIExvdCAxIEtvb2thYnVycmEgQ2ly
Y3VpdCwgTmV3IExhbWJ0b24gSGVpZ2h0cywgTlNXLCAyMzA1LCBBdXN0cmFsaWE7IFVuaXZlcnNp
dHkgb2YgTmV3Y2FzdGxlLCBQcmlvcml0eSBSZXNlYXJjaCBDZW50cmUgZm9yIEhlYWx0aCBCZWhh
dmlvdXIsIEF1c3RyYWxpYS4gRWxlY3Ryb25pYyBhZGRyZXNzOiBzaGFubmEuZmVhbHlAbmV3Y2Fz
dGxlLmVkdS5hdS4mI3hEO1VuaXZlcnNpdHkgb2YgQ2FuYmVycmEsIEFDVCBHb3Zlcm5tZW50IEhl
YWx0aCBEaXJlY3RvcmF0ZSwgQXVzdHJhbGlhLiYjeEQ7VW5pdmVyc2l0eSBvZiBOZXdjYXN0bGUs
IEZhY3VsdHkgb2YgSGVhbHRoIGFuZCBNZWRpY2luZSwgU2Nob29sIG9mIE51cnNpbmcgYW5kIE1p
ZHdpZmVyeSwgVW5pdmVyc2l0eSBEcml2ZSwgQ2FsbGFnaGFuLCBOU1csIDIzMDgsIEF1c3RyYWxp
YTsgSHVudGVyIE5ldyBFbmdsYW5kIEhlYWx0aCBOdXJzaW5nLCBNaWR3aWZlcnkgUmVzZWFyY2gg
Q2VudHJlLCBBdXN0cmFsaWEuJiN4RDtVbml2ZXJzaXR5IG9mIE5ld2Nhc3RsZSwgRmFjdWx0eSBv
ZiBIZWFsdGggYW5kIE1lZGljaW5lLCBTY2hvb2wgb2YgTWVkaWNpbmUgYW5kIFB1YmxpYyBIZWFs
dGgsIFVuaXZlcnNpdHkgRHJpdmUsIENhbGxhZ2hhbiwgTlNXLCAyMzA4LCBBdXN0cmFsaWE7IEh1
bnRlciBNZWRpY2FsIFJlc2VhcmNoIEluc3RpdHV0ZSwgTG90IDEgS29va2FidXJyYSBDaXJjdWl0
LCBOZXcgTGFtYnRvbiBIZWlnaHRzLCBOU1csIDIzMDUsIEF1c3RyYWxpYS4mI3hEO1VuaXZlcnNp
dHkgb2YgTmV3Y2FzdGxlLCBGYWN1bHR5IG9mIEhlYWx0aCBhbmQgTWVkaWNpbmUsIFNjaG9vbCBv
ZiBOdXJzaW5nIGFuZCBNaWR3aWZlcnksIFVuaXZlcnNpdHkgRHJpdmUsIENhbGxhZ2hhbiwgTlNX
LCAyMzA4LCBBdXN0cmFsaWE7IEh1bnRlciBNZWRpY2FsIFJlc2VhcmNoIEluc3RpdHV0ZSwgTG90
IDEgS29va2FidXJyYSBDaXJjdWl0LCBOZXcgTGFtYnRvbiBIZWlnaHRzLCBOU1csIDIzMDUsIEF1
c3RyYWxpYTsgVW5pdmVyc2l0eSBvZiBOZXdjYXN0bGUsIFByaW9yaXR5IFJlc2VhcmNoIENlbnRy
ZSBmb3IgQnJhaW4gYW5kIE1lbnRhbCBIZWFsdGgsIEF1c3RyYWxpYS48L2F1dGgtYWRkcmVzcz48
dGl0bGVzPjx0aXRsZT5UaGUgcmV0dXJuIG9mIHdlaWdoaW5nIGluIHByZWduYW5jeTogQSBkaXNj
dXNzaW9uIG9mIGV2aWRlbmNlIGFuZCBwcmFjdGljZTwvdGl0bGU+PHNlY29uZGFyeS10aXRsZT5X
b21lbiBCaXJ0aDwvc2Vjb25kYXJ5LXRpdGxlPjwvdGl0bGVzPjxwZXJpb2RpY2FsPjxmdWxsLXRp
dGxlPldvbWVuIEJpcnRoPC9mdWxsLXRpdGxlPjwvcGVyaW9kaWNhbD48ZWRpdGlvbj4yMDE5LzA2
LzE2PC9lZGl0aW9uPjxrZXl3b3Jkcz48a2V5d29yZD5HZXN0YXRpb25hbCB3ZWlnaHQgZ2Fpbjwv
a2V5d29yZD48a2V5d29yZD5QcmVnbmFuY3k8L2tleXdvcmQ+PGtleXdvcmQ+UHJlZ25hbnQgd29t
ZW48L2tleXdvcmQ+PGtleXdvcmQ+V2VpZ2hpbmc8L2tleXdvcmQ+PC9rZXl3b3Jkcz48ZGF0ZXM+
PHllYXI+MjAxOTwveWVhcj48cHViLWRhdGVzPjxkYXRlPkp1biAxMTwvZGF0ZT48L3B1Yi1kYXRl
cz48L2RhdGVzPjxpc2JuPjE4NzgtMTc5OSAoRWxlY3Ryb25pYykmI3hEOzE4NzEtNTE5MiAoTGlu
a2luZyk8L2lzYm4+PGFjY2Vzc2lvbi1udW0+MzEyMDEwNDI8L2FjY2Vzc2lvbi1udW0+PHVybHM+
PHJlbGF0ZWQtdXJscz48dXJsPmh0dHBzOi8vd3d3Lm5jYmkubmxtLm5paC5nb3YvcHVibWVkLzMx
MjAxMDQyPC91cmw+PC9yZWxhdGVkLXVybHM+PC91cmxzPjxlbGVjdHJvbmljLXJlc291cmNlLW51
bT4xMC4xMDE2L2oud29tYmkuMjAxOS4wNS4wMTQ8L2VsZWN0cm9uaWMtcmVzb3VyY2UtbnVtPjwv
cmVjb3JkPjwvQ2l0ZT48L0VuZE5vdGU+AG==
</w:fldData>
        </w:fldChar>
      </w:r>
      <w:r w:rsidR="001A2F28">
        <w:instrText xml:space="preserve"> ADDIN EN.CITE </w:instrText>
      </w:r>
      <w:r w:rsidR="001A2F28">
        <w:fldChar w:fldCharType="begin">
          <w:fldData xml:space="preserve">PEVuZE5vdGU+PENpdGU+PEF1dGhvcj5GZWFseTwvQXV0aG9yPjxZZWFyPjIwMTk8L1llYXI+PFJl
Y051bT4xNzA1PC9SZWNOdW0+PERpc3BsYXlUZXh0PjxzdHlsZSBmYWNlPSJzdXBlcnNjcmlwdCIg
Zm9udD0iVHJlYnVjaGV0IE1TIiBzaXplPSI5Ij4zODE8L3N0eWxlPjwvRGlzcGxheVRleHQ+PHJl
Y29yZD48cmVjLW51bWJlcj4xNzA1PC9yZWMtbnVtYmVyPjxmb3JlaWduLWtleXM+PGtleSBhcHA9
IkVOIiBkYi1pZD0iZXh2YXNyZngyZHRyYW9lc2FzeHAyc3pzeGEyZGY1MDI1OTJ4IiB0aW1lc3Rh
bXA9IjE1ODE5MTY5NTciPjE3MDU8L2tleT48a2V5IGFwcD0iRU5XZWIiIGRiLWlkPSIiPjA8L2tl
eT48L2ZvcmVpZ24ta2V5cz48cmVmLXR5cGUgbmFtZT0iSm91cm5hbCBBcnRpY2xlIj4xNzwvcmVm
LXR5cGU+PGNvbnRyaWJ1dG9ycz48YXV0aG9ycz48YXV0aG9yPkZlYWx5LCBTLjwvYXV0aG9yPjxh
dXRob3I+RGF2aXMsIEQuPC9hdXRob3I+PGF1dGhvcj5Gb3VyZXVyLCBNLjwvYXV0aG9yPjxhdXRo
b3I+QXR0aWEsIEouPC9hdXRob3I+PGF1dGhvcj5IYXplbHRvbiwgTS48L2F1dGhvcj48YXV0aG9y
Pkh1cmUsIEEuPC9hdXRob3I+PC9hdXRob3JzPjwvY29udHJpYnV0b3JzPjxhdXRoLWFkZHJlc3M+
VW5pdmVyc2l0eSBvZiBOZXdjYXN0bGUsIEZhY3VsdHkgb2YgSGVhbHRoIGFuZCBNZWRpY2luZSwg
U2Nob29sIG9mIE51cnNpbmcgYW5kIE1pZHdpZmVyeSwgVW5pdmVyc2l0eSBEcml2ZSwgQ2FsbGFn
aGFuLCBOU1csIDIzMDgsIEF1c3RyYWxpYTsgVW5pdmVyc2l0eSBvZiBOZXdjYXN0bGUsIEZhY3Vs
dHkgb2YgSGVhbHRoIGFuZCBNZWRpY2luZSwgU2Nob29sIG9mIE1lZGljaW5lIGFuZCBQdWJsaWMg
SGVhbHRoLCBVbml2ZXJzaXR5IERyaXZlLCBDYWxsYWdoYW4sIE5TVywgMjMwOCwgQXVzdHJhbGlh
OyBIdW50ZXIgTWVkaWNhbCBSZXNlYXJjaCBJbnN0aXR1dGUsIExvdCAxIEtvb2thYnVycmEgQ2ly
Y3VpdCwgTmV3IExhbWJ0b24gSGVpZ2h0cywgTlNXLCAyMzA1LCBBdXN0cmFsaWE7IFVuaXZlcnNp
dHkgb2YgTmV3Y2FzdGxlLCBQcmlvcml0eSBSZXNlYXJjaCBDZW50cmUgZm9yIEhlYWx0aCBCZWhh
dmlvdXIsIEF1c3RyYWxpYS4gRWxlY3Ryb25pYyBhZGRyZXNzOiBzaGFubmEuZmVhbHlAbmV3Y2Fz
dGxlLmVkdS5hdS4mI3hEO1VuaXZlcnNpdHkgb2YgQ2FuYmVycmEsIEFDVCBHb3Zlcm5tZW50IEhl
YWx0aCBEaXJlY3RvcmF0ZSwgQXVzdHJhbGlhLiYjeEQ7VW5pdmVyc2l0eSBvZiBOZXdjYXN0bGUs
IEZhY3VsdHkgb2YgSGVhbHRoIGFuZCBNZWRpY2luZSwgU2Nob29sIG9mIE51cnNpbmcgYW5kIE1p
ZHdpZmVyeSwgVW5pdmVyc2l0eSBEcml2ZSwgQ2FsbGFnaGFuLCBOU1csIDIzMDgsIEF1c3RyYWxp
YTsgSHVudGVyIE5ldyBFbmdsYW5kIEhlYWx0aCBOdXJzaW5nLCBNaWR3aWZlcnkgUmVzZWFyY2gg
Q2VudHJlLCBBdXN0cmFsaWEuJiN4RDtVbml2ZXJzaXR5IG9mIE5ld2Nhc3RsZSwgRmFjdWx0eSBv
ZiBIZWFsdGggYW5kIE1lZGljaW5lLCBTY2hvb2wgb2YgTWVkaWNpbmUgYW5kIFB1YmxpYyBIZWFs
dGgsIFVuaXZlcnNpdHkgRHJpdmUsIENhbGxhZ2hhbiwgTlNXLCAyMzA4LCBBdXN0cmFsaWE7IEh1
bnRlciBNZWRpY2FsIFJlc2VhcmNoIEluc3RpdHV0ZSwgTG90IDEgS29va2FidXJyYSBDaXJjdWl0
LCBOZXcgTGFtYnRvbiBIZWlnaHRzLCBOU1csIDIzMDUsIEF1c3RyYWxpYS4mI3hEO1VuaXZlcnNp
dHkgb2YgTmV3Y2FzdGxlLCBGYWN1bHR5IG9mIEhlYWx0aCBhbmQgTWVkaWNpbmUsIFNjaG9vbCBv
ZiBOdXJzaW5nIGFuZCBNaWR3aWZlcnksIFVuaXZlcnNpdHkgRHJpdmUsIENhbGxhZ2hhbiwgTlNX
LCAyMzA4LCBBdXN0cmFsaWE7IEh1bnRlciBNZWRpY2FsIFJlc2VhcmNoIEluc3RpdHV0ZSwgTG90
IDEgS29va2FidXJyYSBDaXJjdWl0LCBOZXcgTGFtYnRvbiBIZWlnaHRzLCBOU1csIDIzMDUsIEF1
c3RyYWxpYTsgVW5pdmVyc2l0eSBvZiBOZXdjYXN0bGUsIFByaW9yaXR5IFJlc2VhcmNoIENlbnRy
ZSBmb3IgQnJhaW4gYW5kIE1lbnRhbCBIZWFsdGgsIEF1c3RyYWxpYS48L2F1dGgtYWRkcmVzcz48
dGl0bGVzPjx0aXRsZT5UaGUgcmV0dXJuIG9mIHdlaWdoaW5nIGluIHByZWduYW5jeTogQSBkaXNj
dXNzaW9uIG9mIGV2aWRlbmNlIGFuZCBwcmFjdGljZTwvdGl0bGU+PHNlY29uZGFyeS10aXRsZT5X
b21lbiBCaXJ0aDwvc2Vjb25kYXJ5LXRpdGxlPjwvdGl0bGVzPjxwZXJpb2RpY2FsPjxmdWxsLXRp
dGxlPldvbWVuIEJpcnRoPC9mdWxsLXRpdGxlPjwvcGVyaW9kaWNhbD48ZWRpdGlvbj4yMDE5LzA2
LzE2PC9lZGl0aW9uPjxrZXl3b3Jkcz48a2V5d29yZD5HZXN0YXRpb25hbCB3ZWlnaHQgZ2Fpbjwv
a2V5d29yZD48a2V5d29yZD5QcmVnbmFuY3k8L2tleXdvcmQ+PGtleXdvcmQ+UHJlZ25hbnQgd29t
ZW48L2tleXdvcmQ+PGtleXdvcmQ+V2VpZ2hpbmc8L2tleXdvcmQ+PC9rZXl3b3Jkcz48ZGF0ZXM+
PHllYXI+MjAxOTwveWVhcj48cHViLWRhdGVzPjxkYXRlPkp1biAxMTwvZGF0ZT48L3B1Yi1kYXRl
cz48L2RhdGVzPjxpc2JuPjE4NzgtMTc5OSAoRWxlY3Ryb25pYykmI3hEOzE4NzEtNTE5MiAoTGlu
a2luZyk8L2lzYm4+PGFjY2Vzc2lvbi1udW0+MzEyMDEwNDI8L2FjY2Vzc2lvbi1udW0+PHVybHM+
PHJlbGF0ZWQtdXJscz48dXJsPmh0dHBzOi8vd3d3Lm5jYmkubmxtLm5paC5nb3YvcHVibWVkLzMx
MjAxMDQyPC91cmw+PC9yZWxhdGVkLXVybHM+PC91cmxzPjxlbGVjdHJvbmljLXJlc291cmNlLW51
bT4xMC4xMDE2L2oud29tYmkuMjAxOS4wNS4wMTQ8L2VsZWN0cm9uaWMtcmVzb3VyY2UtbnVtPjwv
cmVjb3JkPjwvQ2l0ZT48L0VuZE5vdGU+AG==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381</w:t>
      </w:r>
      <w:r w:rsidR="00774750">
        <w:fldChar w:fldCharType="end"/>
      </w:r>
      <w:r w:rsidR="00337A98" w:rsidRPr="00337A98">
        <w:t> </w:t>
      </w:r>
    </w:p>
    <w:p w14:paraId="612BC54C" w14:textId="77777777" w:rsidR="0056468B" w:rsidRDefault="0056468B" w:rsidP="00C06A28">
      <w:pPr>
        <w:pStyle w:val="Heading4"/>
        <w:rPr>
          <w:lang w:val="en-US"/>
        </w:rPr>
      </w:pPr>
      <w:r>
        <w:rPr>
          <w:lang w:val="en-US"/>
        </w:rPr>
        <w:t>Current review</w:t>
      </w:r>
    </w:p>
    <w:p w14:paraId="3EFCEE7B" w14:textId="325B2F7B" w:rsidR="00C06A28" w:rsidRDefault="00DE2BCA" w:rsidP="0056468B">
      <w:pPr>
        <w:rPr>
          <w:lang w:val="en-US"/>
        </w:rPr>
      </w:pPr>
      <w:r>
        <w:rPr>
          <w:lang w:val="en-US"/>
        </w:rPr>
        <w:t>A systematic literature review found no clear difference in weekly weight gain (</w:t>
      </w:r>
      <w:r w:rsidRPr="00966AB4">
        <w:rPr>
          <w:sz w:val="16"/>
          <w:szCs w:val="16"/>
        </w:rPr>
        <w:t>WMD -0.00; 95%CI -0.03 to 0.02</w:t>
      </w:r>
      <w:r>
        <w:t>) or weight gain exceeding the IOM guidelines for women who were underweight (</w:t>
      </w:r>
      <w:r w:rsidRPr="00966AB4">
        <w:rPr>
          <w:sz w:val="16"/>
          <w:szCs w:val="16"/>
        </w:rPr>
        <w:t>OR 1.50; 95%CI 0.14 to 16.54</w:t>
      </w:r>
      <w:r>
        <w:t>), in the healthy weight range (</w:t>
      </w:r>
      <w:r w:rsidRPr="00966AB4">
        <w:rPr>
          <w:sz w:val="16"/>
          <w:szCs w:val="16"/>
        </w:rPr>
        <w:t>OR 0.72; 95%CI 0.48 to 1.09</w:t>
      </w:r>
      <w:r>
        <w:t>), overweight (</w:t>
      </w:r>
      <w:r w:rsidRPr="00966AB4">
        <w:rPr>
          <w:sz w:val="16"/>
          <w:szCs w:val="16"/>
        </w:rPr>
        <w:t>OR 0.85; 95%CI 0.45 to 1.62</w:t>
      </w:r>
      <w:r>
        <w:t>) or obese (</w:t>
      </w:r>
      <w:r w:rsidRPr="00966AB4">
        <w:rPr>
          <w:sz w:val="16"/>
          <w:szCs w:val="16"/>
        </w:rPr>
        <w:t>OR 1.60; 95%CI 0.72 to 3.54</w:t>
      </w:r>
      <w:r>
        <w:t>).</w:t>
      </w:r>
      <w:r w:rsidR="00774750">
        <w:fldChar w:fldCharType="begin">
          <w:fldData xml:space="preserve">PEVuZE5vdGU+PENpdGU+PEF1dGhvcj5GZWFseTwvQXV0aG9yPjxZZWFyPjIwMTc8L1llYXI+PFJl
Y051bT4xNzA0PC9SZWNOdW0+PERpc3BsYXlUZXh0PjxzdHlsZSBmYWNlPSJzdXBlcnNjcmlwdCIg
Zm9udD0iVHJlYnVjaGV0IE1TIiBzaXplPSI5Ij4zODI8L3N0eWxlPjwvRGlzcGxheVRleHQ+PHJl
Y29yZD48cmVjLW51bWJlcj4xNzA0PC9yZWMtbnVtYmVyPjxmb3JlaWduLWtleXM+PGtleSBhcHA9
IkVOIiBkYi1pZD0iZXh2YXNyZngyZHRyYW9lc2FzeHAyc3pzeGEyZGY1MDI1OTJ4IiB0aW1lc3Rh
bXA9IjE1ODE5MTY5NTAiPjE3MDQ8L2tleT48a2V5IGFwcD0iRU5XZWIiIGRiLWlkPSIiPjA8L2tl
eT48L2ZvcmVpZ24ta2V5cz48cmVmLXR5cGUgbmFtZT0iSm91cm5hbCBBcnRpY2xlIj4xNzwvcmVm
LXR5cGU+PGNvbnRyaWJ1dG9ycz48YXV0aG9ycz48YXV0aG9yPkZlYWx5LCBTLiBNLjwvYXV0aG9y
PjxhdXRob3I+VGF5bG9yLCBSLiBNLjwvYXV0aG9yPjxhdXRob3I+Rm91cmV1ciwgTS48L2F1dGhv
cj48YXV0aG9yPkF0dGlhLCBKLjwvYXV0aG9yPjxhdXRob3I+RWJlcnQsIEwuPC9hdXRob3I+PGF1
dGhvcj5CaXNxdWVyYSwgQS48L2F1dGhvcj48YXV0aG9yPkh1cmUsIEEuIEouPC9hdXRob3I+PC9h
dXRob3JzPjwvY29udHJpYnV0b3JzPjxhdXRoLWFkZHJlc3M+U2Nob29sIG9mIE51cnNpbmcgJmFt
cDsgTWlkd2lmZXJ5IFVuaXZlcnNpdHkgb2YgTmV3Y2FzdGxlLCBQb3J0IE1hY3F1YXJpZSBDYW1w
dXMsIFBPIEJveCAyMTAsIFBvcnQgTWFjcXVhcmllLCAyNDQ0LCBOU1csIEF1c3RyYWxpYS4gc2hh
bm5hLmZlYWx5QG5ld2Nhc3RsZS5lZHUuYXUuJiN4RDtGYWN1bHR5IG9mIEhlYWx0aCAmYW1wOyBN
ZWRpY2luZSBTY2hvb2wgb2YgTWVkaWNpbmUgJmFtcDsgUHVibGljIEhlYWx0aCwgVW5pdmVyc2l0
eSBvZiBOZXdjYXN0bGUsIENhbGxhZ2hhbiwgTlNXLCBBdXN0cmFsaWEuIHNoYW5uYS5mZWFseUBu
ZXdjYXN0bGUuZWR1LmF1LiYjeEQ7TWF0ZXJuaXR5IENhcmUgU2VydmljZXMsIFRoZSBQb3J0IE1h
Y3F1YXJpZSBCYXNlIEhvc3BpdGFsLCBQb3J0IE1hY3F1YXJpZSwgTlNXLCBBdXN0cmFsaWEuIHNo
YW5uYS5mZWFseUBuZXdjYXN0bGUuZWR1LmF1LiYjeEQ7RmFjdWx0eSBvZiBIZWFsdGggJmFtcDsg
TWVkaWNpbmUgU2Nob29sIG9mIE1lZGljaW5lICZhbXA7IFB1YmxpYyBIZWFsdGgsIFVuaXZlcnNp
dHkgb2YgTmV3Y2FzdGxlLCBDYWxsYWdoYW4sIE5TVywgQXVzdHJhbGlhLiYjeEQ7TW90aGVycyBh
bmQgQmFiaWVzIFJlc2VhcmNoIENlbnRyZSwgVW5pdmVyc2l0eSBvZiBOZXdjYXN0bGUsIFVuaXZl
cnNpdHkgRHJpdmUsIENhbGxhZ2hhbiwgMjMwOCwgTlNXLCBBdXN0cmFsaWEuJiN4RDtIdW50ZXIg
TWVkaWNhbCBSZXNlYXJjaCBJbnN0aXR1dGUsIE5ld2Nhc3RsZSwgTlNXLCBBdXN0cmFsaWEuJiN4
RDtTY2hvb2wgb2YgTnVyc2luZyAmYW1wOyBNaWR3aWZlcnkgVW5pdmVyc2l0eSBvZiBOZXdjYXN0
bGUsIFBvcnQgTWFjcXVhcmllIENhbXB1cywgUE8gQm94IDIxMCwgUG9ydCBNYWNxdWFyaWUsIDI0
NDQsIE5TVywgQXVzdHJhbGlhLiYjeEQ7Q2VudHJlIGZvciBNaWR3aWZlcnksIENoaWxkIGFuZCBG
YW1pbHkgSGVhbHRoLCBGYWN1bHR5IG9mIEhlYWx0aCwgVW5pdmVyc2l0eSBvZiBUZWNobm9sb2d5
IFN5ZG5leSwgUE8gQm94IDEyMywgQnJvYWR3YXksIFVsdGltbywgTlNXLCAyMDA3LCBBdXN0cmFs
aWEuJiN4RDtDZW50cmUgZm9yIENsaW5pY2FsIEVwaWRlbWlvbG9neSBhbmQgQmlvc3RhdGlzdGlj
cywgU2Nob29sIG9mIE1lZGljaW5lICZhbXA7IFB1YmxpYyBIZWFsdGgsIFVuaXZlcnNpdHkgb2Yg
TmV3Y2FzdGxlLCBDYWxsYWdoYW4sIE5TVywgQXVzdHJhbGlhLiYjeEQ7RGl2aXNpb24gb2YgTWVk
aWNpbmUsIEpvaG4gSHVudGVyIEhvc3BpdGFsLCBOZXdjYXN0bGUsIE5TVywgQXVzdHJhbGlhLjwv
YXV0aC1hZGRyZXNzPjx0aXRsZXM+PHRpdGxlPldlaWdoaW5nIGFzIGEgc3RhbmQtYWxvbmUgaW50
ZXJ2ZW50aW9uIGRvZXMgbm90IHJlZHVjZSBleGNlc3NpdmUgZ2VzdGF0aW9uYWwgd2VpZ2h0IGdh
aW4gY29tcGFyZWQgdG8gcm91dGluZSBhbnRlbmF0YWwgY2FyZTogYSBzeXN0ZW1hdGljIHJldmll
dyBhbmQgbWV0YS1hbmFseXNpcyBvZiByYW5kb21pc2VkIGNvbnRyb2xsZWQgdHJpYWxzPC90aXRs
ZT48c2Vjb25kYXJ5LXRpdGxlPkJNQyBQcmVnbmFuY3kgQ2hpbGRiaXJ0aDwvc2Vjb25kYXJ5LXRp
dGxlPjwvdGl0bGVzPjxwZXJpb2RpY2FsPjxmdWxsLXRpdGxlPkJNQyBQcmVnbmFuY3kgQ2hpbGRi
aXJ0aDwvZnVsbC10aXRsZT48L3BlcmlvZGljYWw+PHBhZ2VzPjM2PC9wYWdlcz48dm9sdW1lPjE3
PC92b2x1bWU+PG51bWJlcj4xPC9udW1iZXI+PGVkaXRpb24+MjAxNy8wMS8xODwvZWRpdGlvbj48
a2V5d29yZHM+PGtleXdvcmQ+KkJvZHkgTWFzcyBJbmRleDwva2V5d29yZD48a2V5d29yZD5EaXJl
Y3RpdmUgQ291bnNlbGluZy8qbWV0aG9kczwva2V5d29yZD48a2V5d29yZD5GZW1hbGU8L2tleXdv
cmQ+PGtleXdvcmQ+SHVtYW5zPC9rZXl3b3JkPjxrZXl3b3JkPlByZWduYW5jeTwva2V5d29yZD48
a2V5d29yZD5QcmVuYXRhbCBDYXJlLyptZXRob2RzPC9rZXl3b3JkPjxrZXl3b3JkPipSYW5kb21p
emVkIENvbnRyb2xsZWQgVHJpYWxzIGFzIFRvcGljPC9rZXl3b3JkPjxrZXl3b3JkPldlaWdodCBH
YWluLypwaHlzaW9sb2d5PC9rZXl3b3JkPjxrZXl3b3JkPipBbnRlbmF0YWwgY2FyZTwva2V5d29y
ZD48a2V5d29yZD4qR2VzdGF0aW9uPC9rZXl3b3JkPjxrZXl3b3JkPipQcmVnbmFuY3k8L2tleXdv
cmQ+PGtleXdvcmQ+KldlaWdoaW5nPC9rZXl3b3JkPjxrZXl3b3JkPipXZWlnaHQgZ2Fpbjwva2V5
d29yZD48L2tleXdvcmRzPjxkYXRlcz48eWVhcj4yMDE3PC95ZWFyPjxwdWItZGF0ZXM+PGRhdGU+
SmFuIDE3PC9kYXRlPjwvcHViLWRhdGVzPjwvZGF0ZXM+PGlzYm4+MTQ3MS0yMzkzIChFbGVjdHJv
bmljKSYjeEQ7MTQ3MS0yMzkzIChMaW5raW5nKTwvaXNibj48YWNjZXNzaW9uLW51bT4yODA5NTgy
MTwvYWNjZXNzaW9uLW51bT48dXJscz48cmVsYXRlZC11cmxzPjx1cmw+aHR0cHM6Ly93d3cubmNi
aS5ubG0ubmloLmdvdi9wdWJtZWQvMjgwOTU4MjE8L3VybD48L3JlbGF0ZWQtdXJscz48L3VybHM+
PGN1c3RvbTI+UE1DNTI0MDQyMzwvY3VzdG9tMj48ZWxlY3Ryb25pYy1yZXNvdXJjZS1udW0+MTAu
MTE4Ni9zMTI4ODQtMDE2LTEyMDctMjwvZWxlY3Ryb25pYy1yZXNvdXJjZS1udW0+PC9yZWNvcmQ+
PC9DaXRlPjwvRW5kTm90ZT5=
</w:fldData>
        </w:fldChar>
      </w:r>
      <w:r w:rsidR="001A2F28">
        <w:instrText xml:space="preserve"> ADDIN EN.CITE </w:instrText>
      </w:r>
      <w:r w:rsidR="001A2F28">
        <w:fldChar w:fldCharType="begin">
          <w:fldData xml:space="preserve">PEVuZE5vdGU+PENpdGU+PEF1dGhvcj5GZWFseTwvQXV0aG9yPjxZZWFyPjIwMTc8L1llYXI+PFJl
Y051bT4xNzA0PC9SZWNOdW0+PERpc3BsYXlUZXh0PjxzdHlsZSBmYWNlPSJzdXBlcnNjcmlwdCIg
Zm9udD0iVHJlYnVjaGV0IE1TIiBzaXplPSI5Ij4zODI8L3N0eWxlPjwvRGlzcGxheVRleHQ+PHJl
Y29yZD48cmVjLW51bWJlcj4xNzA0PC9yZWMtbnVtYmVyPjxmb3JlaWduLWtleXM+PGtleSBhcHA9
IkVOIiBkYi1pZD0iZXh2YXNyZngyZHRyYW9lc2FzeHAyc3pzeGEyZGY1MDI1OTJ4IiB0aW1lc3Rh
bXA9IjE1ODE5MTY5NTAiPjE3MDQ8L2tleT48a2V5IGFwcD0iRU5XZWIiIGRiLWlkPSIiPjA8L2tl
eT48L2ZvcmVpZ24ta2V5cz48cmVmLXR5cGUgbmFtZT0iSm91cm5hbCBBcnRpY2xlIj4xNzwvcmVm
LXR5cGU+PGNvbnRyaWJ1dG9ycz48YXV0aG9ycz48YXV0aG9yPkZlYWx5LCBTLiBNLjwvYXV0aG9y
PjxhdXRob3I+VGF5bG9yLCBSLiBNLjwvYXV0aG9yPjxhdXRob3I+Rm91cmV1ciwgTS48L2F1dGhv
cj48YXV0aG9yPkF0dGlhLCBKLjwvYXV0aG9yPjxhdXRob3I+RWJlcnQsIEwuPC9hdXRob3I+PGF1
dGhvcj5CaXNxdWVyYSwgQS48L2F1dGhvcj48YXV0aG9yPkh1cmUsIEEuIEouPC9hdXRob3I+PC9h
dXRob3JzPjwvY29udHJpYnV0b3JzPjxhdXRoLWFkZHJlc3M+U2Nob29sIG9mIE51cnNpbmcgJmFt
cDsgTWlkd2lmZXJ5IFVuaXZlcnNpdHkgb2YgTmV3Y2FzdGxlLCBQb3J0IE1hY3F1YXJpZSBDYW1w
dXMsIFBPIEJveCAyMTAsIFBvcnQgTWFjcXVhcmllLCAyNDQ0LCBOU1csIEF1c3RyYWxpYS4gc2hh
bm5hLmZlYWx5QG5ld2Nhc3RsZS5lZHUuYXUuJiN4RDtGYWN1bHR5IG9mIEhlYWx0aCAmYW1wOyBN
ZWRpY2luZSBTY2hvb2wgb2YgTWVkaWNpbmUgJmFtcDsgUHVibGljIEhlYWx0aCwgVW5pdmVyc2l0
eSBvZiBOZXdjYXN0bGUsIENhbGxhZ2hhbiwgTlNXLCBBdXN0cmFsaWEuIHNoYW5uYS5mZWFseUBu
ZXdjYXN0bGUuZWR1LmF1LiYjeEQ7TWF0ZXJuaXR5IENhcmUgU2VydmljZXMsIFRoZSBQb3J0IE1h
Y3F1YXJpZSBCYXNlIEhvc3BpdGFsLCBQb3J0IE1hY3F1YXJpZSwgTlNXLCBBdXN0cmFsaWEuIHNo
YW5uYS5mZWFseUBuZXdjYXN0bGUuZWR1LmF1LiYjeEQ7RmFjdWx0eSBvZiBIZWFsdGggJmFtcDsg
TWVkaWNpbmUgU2Nob29sIG9mIE1lZGljaW5lICZhbXA7IFB1YmxpYyBIZWFsdGgsIFVuaXZlcnNp
dHkgb2YgTmV3Y2FzdGxlLCBDYWxsYWdoYW4sIE5TVywgQXVzdHJhbGlhLiYjeEQ7TW90aGVycyBh
bmQgQmFiaWVzIFJlc2VhcmNoIENlbnRyZSwgVW5pdmVyc2l0eSBvZiBOZXdjYXN0bGUsIFVuaXZl
cnNpdHkgRHJpdmUsIENhbGxhZ2hhbiwgMjMwOCwgTlNXLCBBdXN0cmFsaWEuJiN4RDtIdW50ZXIg
TWVkaWNhbCBSZXNlYXJjaCBJbnN0aXR1dGUsIE5ld2Nhc3RsZSwgTlNXLCBBdXN0cmFsaWEuJiN4
RDtTY2hvb2wgb2YgTnVyc2luZyAmYW1wOyBNaWR3aWZlcnkgVW5pdmVyc2l0eSBvZiBOZXdjYXN0
bGUsIFBvcnQgTWFjcXVhcmllIENhbXB1cywgUE8gQm94IDIxMCwgUG9ydCBNYWNxdWFyaWUsIDI0
NDQsIE5TVywgQXVzdHJhbGlhLiYjeEQ7Q2VudHJlIGZvciBNaWR3aWZlcnksIENoaWxkIGFuZCBG
YW1pbHkgSGVhbHRoLCBGYWN1bHR5IG9mIEhlYWx0aCwgVW5pdmVyc2l0eSBvZiBUZWNobm9sb2d5
IFN5ZG5leSwgUE8gQm94IDEyMywgQnJvYWR3YXksIFVsdGltbywgTlNXLCAyMDA3LCBBdXN0cmFs
aWEuJiN4RDtDZW50cmUgZm9yIENsaW5pY2FsIEVwaWRlbWlvbG9neSBhbmQgQmlvc3RhdGlzdGlj
cywgU2Nob29sIG9mIE1lZGljaW5lICZhbXA7IFB1YmxpYyBIZWFsdGgsIFVuaXZlcnNpdHkgb2Yg
TmV3Y2FzdGxlLCBDYWxsYWdoYW4sIE5TVywgQXVzdHJhbGlhLiYjeEQ7RGl2aXNpb24gb2YgTWVk
aWNpbmUsIEpvaG4gSHVudGVyIEhvc3BpdGFsLCBOZXdjYXN0bGUsIE5TVywgQXVzdHJhbGlhLjwv
YXV0aC1hZGRyZXNzPjx0aXRsZXM+PHRpdGxlPldlaWdoaW5nIGFzIGEgc3RhbmQtYWxvbmUgaW50
ZXJ2ZW50aW9uIGRvZXMgbm90IHJlZHVjZSBleGNlc3NpdmUgZ2VzdGF0aW9uYWwgd2VpZ2h0IGdh
aW4gY29tcGFyZWQgdG8gcm91dGluZSBhbnRlbmF0YWwgY2FyZTogYSBzeXN0ZW1hdGljIHJldmll
dyBhbmQgbWV0YS1hbmFseXNpcyBvZiByYW5kb21pc2VkIGNvbnRyb2xsZWQgdHJpYWxzPC90aXRs
ZT48c2Vjb25kYXJ5LXRpdGxlPkJNQyBQcmVnbmFuY3kgQ2hpbGRiaXJ0aDwvc2Vjb25kYXJ5LXRp
dGxlPjwvdGl0bGVzPjxwZXJpb2RpY2FsPjxmdWxsLXRpdGxlPkJNQyBQcmVnbmFuY3kgQ2hpbGRi
aXJ0aDwvZnVsbC10aXRsZT48L3BlcmlvZGljYWw+PHBhZ2VzPjM2PC9wYWdlcz48dm9sdW1lPjE3
PC92b2x1bWU+PG51bWJlcj4xPC9udW1iZXI+PGVkaXRpb24+MjAxNy8wMS8xODwvZWRpdGlvbj48
a2V5d29yZHM+PGtleXdvcmQ+KkJvZHkgTWFzcyBJbmRleDwva2V5d29yZD48a2V5d29yZD5EaXJl
Y3RpdmUgQ291bnNlbGluZy8qbWV0aG9kczwva2V5d29yZD48a2V5d29yZD5GZW1hbGU8L2tleXdv
cmQ+PGtleXdvcmQ+SHVtYW5zPC9rZXl3b3JkPjxrZXl3b3JkPlByZWduYW5jeTwva2V5d29yZD48
a2V5d29yZD5QcmVuYXRhbCBDYXJlLyptZXRob2RzPC9rZXl3b3JkPjxrZXl3b3JkPipSYW5kb21p
emVkIENvbnRyb2xsZWQgVHJpYWxzIGFzIFRvcGljPC9rZXl3b3JkPjxrZXl3b3JkPldlaWdodCBH
YWluLypwaHlzaW9sb2d5PC9rZXl3b3JkPjxrZXl3b3JkPipBbnRlbmF0YWwgY2FyZTwva2V5d29y
ZD48a2V5d29yZD4qR2VzdGF0aW9uPC9rZXl3b3JkPjxrZXl3b3JkPipQcmVnbmFuY3k8L2tleXdv
cmQ+PGtleXdvcmQ+KldlaWdoaW5nPC9rZXl3b3JkPjxrZXl3b3JkPipXZWlnaHQgZ2Fpbjwva2V5
d29yZD48L2tleXdvcmRzPjxkYXRlcz48eWVhcj4yMDE3PC95ZWFyPjxwdWItZGF0ZXM+PGRhdGU+
SmFuIDE3PC9kYXRlPjwvcHViLWRhdGVzPjwvZGF0ZXM+PGlzYm4+MTQ3MS0yMzkzIChFbGVjdHJv
bmljKSYjeEQ7MTQ3MS0yMzkzIChMaW5raW5nKTwvaXNibj48YWNjZXNzaW9uLW51bT4yODA5NTgy
MTwvYWNjZXNzaW9uLW51bT48dXJscz48cmVsYXRlZC11cmxzPjx1cmw+aHR0cHM6Ly93d3cubmNi
aS5ubG0ubmloLmdvdi9wdWJtZWQvMjgwOTU4MjE8L3VybD48L3JlbGF0ZWQtdXJscz48L3VybHM+
PGN1c3RvbTI+UE1DNTI0MDQyMzwvY3VzdG9tMj48ZWxlY3Ryb25pYy1yZXNvdXJjZS1udW0+MTAu
MTE4Ni9zMTI4ODQtMDE2LTEyMDctMjwvZWxlY3Ryb25pYy1yZXNvdXJjZS1udW0+PC9yZWNvcmQ+
PC9DaXRlPjwvRW5kTm90ZT5=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382</w:t>
      </w:r>
      <w:r w:rsidR="00774750">
        <w:fldChar w:fldCharType="end"/>
      </w:r>
      <w:r>
        <w:t xml:space="preserve"> The interventions assessed in the two included studies</w:t>
      </w:r>
      <w:r w:rsidR="00010E66">
        <w:t xml:space="preserve"> </w:t>
      </w:r>
      <w:r w:rsidR="00065493">
        <w:t>(</w:t>
      </w:r>
      <w:r w:rsidR="00065493" w:rsidRPr="00A912D4">
        <w:rPr>
          <w:sz w:val="16"/>
          <w:szCs w:val="16"/>
        </w:rPr>
        <w:t>n=977</w:t>
      </w:r>
      <w:r w:rsidR="00065493">
        <w:t xml:space="preserve">) </w:t>
      </w:r>
      <w:r>
        <w:t>differed in that one involved regular weighing by a health professional</w:t>
      </w:r>
      <w:r w:rsidR="00774750">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 </w:instrText>
      </w:r>
      <w:r w:rsidR="001A2F28">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383</w:t>
      </w:r>
      <w:r w:rsidR="00774750">
        <w:fldChar w:fldCharType="end"/>
      </w:r>
      <w:r>
        <w:t xml:space="preserve"> and the other involved self-weighing.</w:t>
      </w:r>
      <w:r w:rsidR="00774750">
        <w:fldChar w:fldCharType="begin"/>
      </w:r>
      <w:r w:rsidR="001A2F28">
        <w:instrText xml:space="preserve"> ADDIN EN.CITE &lt;EndNote&gt;&lt;Cite&gt;&lt;Author&gt;Jeffries&lt;/Author&gt;&lt;Year&gt;2009&lt;/Year&gt;&lt;RecNum&gt;7&lt;/RecNum&gt;&lt;DisplayText&gt;&lt;style face="superscript" font="Trebuchet MS" size="9"&gt;384&lt;/style&gt;&lt;/DisplayText&gt;&lt;record&gt;&lt;rec-number&gt;7&lt;/rec-number&gt;&lt;foreign-keys&gt;&lt;key app="EN" db-id="d9fe29a0aewersev003pr29s5z0r99sdpstf" timestamp="1582517496"&gt;7&lt;/key&gt;&lt;/foreign-keys&gt;&lt;ref-type name="Journal Article"&gt;17&lt;/ref-type&gt;&lt;contributors&gt;&lt;authors&gt;&lt;author&gt;Jeffries, K.,&lt;/author&gt;&lt;author&gt;Walker, S.P.,&lt;/author&gt;&lt;author&gt;Hiscock, R.,&lt;/author&gt;&lt;author&gt;Permezel, M.,&lt;/author&gt;&lt;/authors&gt;&lt;/contributors&gt;&lt;titles&gt;&lt;title&gt;Reducing excessive weight gain in pregnancy: a randomised controlled trial&lt;/title&gt;&lt;secondary-title&gt;MJA&lt;/secondary-title&gt;&lt;/titles&gt;&lt;pages&gt;429–33&lt;/pages&gt;&lt;volume&gt;191&lt;/volume&gt;&lt;number&gt;8&lt;/number&gt;&lt;dates&gt;&lt;year&gt;2009&lt;/year&gt;&lt;/dates&gt;&lt;urls&gt;&lt;/urls&gt;&lt;/record&gt;&lt;/Cite&gt;&lt;/EndNote&gt;</w:instrText>
      </w:r>
      <w:r w:rsidR="00774750">
        <w:fldChar w:fldCharType="separate"/>
      </w:r>
      <w:r w:rsidR="001A2F28" w:rsidRPr="001A2F28">
        <w:rPr>
          <w:noProof/>
          <w:vertAlign w:val="superscript"/>
        </w:rPr>
        <w:t>384</w:t>
      </w:r>
      <w:r w:rsidR="00774750">
        <w:fldChar w:fldCharType="end"/>
      </w:r>
      <w:r>
        <w:t xml:space="preserve"> </w:t>
      </w:r>
      <w:r w:rsidR="00D51EB3">
        <w:t>This review focuses on regular weighing as part of antenatal care.</w:t>
      </w:r>
      <w:r>
        <w:t xml:space="preserve"> </w:t>
      </w:r>
    </w:p>
    <w:p w14:paraId="50B87B73" w14:textId="2F6CEC7C" w:rsidR="00DE2BCA" w:rsidRDefault="00DE2BCA" w:rsidP="00966AB4">
      <w:pPr>
        <w:pStyle w:val="Heading5"/>
        <w:rPr>
          <w:lang w:val="en-US"/>
        </w:rPr>
      </w:pPr>
      <w:r>
        <w:rPr>
          <w:lang w:val="en-US"/>
        </w:rPr>
        <w:t>Regular weighing as part of antenatal care</w:t>
      </w:r>
    </w:p>
    <w:p w14:paraId="396FEEED" w14:textId="5343E622" w:rsidR="0056468B" w:rsidRPr="001225C8" w:rsidRDefault="00C06A28" w:rsidP="0056468B">
      <w:r>
        <w:rPr>
          <w:lang w:val="en-US"/>
        </w:rPr>
        <w:t>An</w:t>
      </w:r>
      <w:r w:rsidR="0056468B" w:rsidRPr="001225C8">
        <w:rPr>
          <w:lang w:val="en-US"/>
        </w:rPr>
        <w:t xml:space="preserve"> Australian RCT (</w:t>
      </w:r>
      <w:r w:rsidR="0056468B" w:rsidRPr="00516A3F">
        <w:rPr>
          <w:rStyle w:val="textref"/>
        </w:rPr>
        <w:t>n=782</w:t>
      </w:r>
      <w:r w:rsidR="0056468B" w:rsidRPr="001225C8">
        <w:rPr>
          <w:lang w:val="en-US"/>
        </w:rPr>
        <w:t>)</w:t>
      </w:r>
      <w:r w:rsidR="00774750">
        <w:rPr>
          <w:lang w:val="en-US"/>
        </w:rPr>
        <w:fldChar w:fldCharType="begin">
          <w:fldData xml:space="preserve">PEVuZE5vdGU+PENpdGU+PEF1dGhvcj5Ccm93bmZvb3Q8L0F1dGhvcj48WWVhcj4yMDE2PC9ZZWFy
PjxSZWNOdW0+MTcwMTwvUmVjTnVtPjxEaXNwbGF5VGV4dD48c3R5bGUgZmFjZT0ic3VwZXJzY3Jp
cHQiIGZvbnQ9IlRyZWJ1Y2hldCBNUyIgc2l6ZT0iOSI+MzgzLDM4NTwvc3R5bGU+PC9EaXNwbGF5
VGV4dD48cmVjb3JkPjxyZWMtbnVtYmVyPjE3MDE8L3JlYy1udW1iZXI+PGZvcmVpZ24ta2V5cz48
a2V5IGFwcD0iRU4iIGRiLWlkPSJleHZhc3JmeDJkdHJhb2VzYXN4cDJzenN4YTJkZjUwMjU5Mngi
IHRpbWVzdGFtcD0iMTU4MTkxNjkyMyI+MTcwMTwva2V5PjxrZXkgYXBwPSJFTldlYiIgZGItaWQ9
IiI+MDwva2V5PjwvZm9yZWlnbi1rZXlzPjxyZWYtdHlwZSBuYW1lPSJKb3VybmFsIEFydGljbGUi
PjE3PC9yZWYtdHlwZT48Y29udHJpYnV0b3JzPjxhdXRob3JzPjxhdXRob3I+QnJvd25mb290LCBG
LiBDLjwvYXV0aG9yPjxhdXRob3I+RGF2ZXksIE0uIEEuPC9hdXRob3I+PGF1dGhvcj5Lb3JubWFu
LCBMLjwvYXV0aG9yPjwvYXV0aG9ycz48L2NvbnRyaWJ1dG9ycz48YXV0aC1hZGRyZXNzPkRlcGFy
dG1lbnQgb2YgT2JzdGV0cmljcyBhbmQgR3luYWVjb2xvZ3ksIFJveWFsIFdvbWVuJmFwb3M7cyBI
b3NwaXRhbCwgVGhlIFVuaXZlcnNpdHkgb2YgTWVsYm91cm5lLCBQYXJrdmlsbGUsIFZpYy4sIEF1
c3RyYWxpYS4mI3hEO0p1ZGl0aCBMdW1sZXkgQ2VudHJlLCBTY2llbmNlIEhlYWx0aCBhbmQgRW5n
aW5lZXJpbmcgQ29sbGVnZSwgTGEgVHJvYmUgVW5pdmVyc2l0eSwgTWVsYm91cm5lLCBWaWMuLCBB
dXN0cmFsaWEuPC9hdXRoLWFkZHJlc3M+PHRpdGxlcz48dGl0bGU+V29tZW4mYXBvcztzIG9waW5p
b25zIG9uIGJlaW5nIHdlaWdoZWQgYXQgcm91dGluZSBhbnRlbmF0YWwgdmlzaXRzPC90aXRsZT48
c2Vjb25kYXJ5LXRpdGxlPkJKT0c8L3NlY29uZGFyeS10aXRsZT48L3RpdGxlcz48cGVyaW9kaWNh
bD48ZnVsbC10aXRsZT5CSk9HPC9mdWxsLXRpdGxlPjwvcGVyaW9kaWNhbD48cGFnZXM+MjYzLTcw
PC9wYWdlcz48dm9sdW1lPjEyMzwvdm9sdW1lPjxudW1iZXI+MjwvbnVtYmVyPjxlZGl0aW9uPjIw
MTYvMDIvMDQ8L2VkaXRpb24+PGtleXdvcmRzPjxrZXl3b3JkPkFkdWx0PC9rZXl3b3JkPjxrZXl3
b3JkPkFueGlldHkvKmVwaWRlbWlvbG9neTwva2V5d29yZD48a2V5d29yZD5BdXN0cmFsaWEvZXBp
ZGVtaW9sb2d5PC9rZXl3b3JkPjxrZXl3b3JkPkZlbWFsZTwva2V5d29yZD48a2V5d29yZD5IdW1h
bnM8L2tleXdvcmQ+PGtleXdvcmQ+UGF0aWVudCBTYXRpc2ZhY3Rpb24vKnN0YXRpc3RpY3MgJmFt
cDsgbnVtZXJpY2FsIGRhdGE8L2tleXdvcmQ+PGtleXdvcmQ+UHJlZ25hbmN5PC9rZXl3b3JkPjxr
ZXl3b3JkPlByZWduYW50IFdvbWVuLypwc3ljaG9sb2d5PC9rZXl3b3JkPjxrZXl3b3JkPlByZW5h
dGFsIENhcmUvKm1ldGhvZHM8L2tleXdvcmQ+PGtleXdvcmQ+U3VydmV5cyBhbmQgUXVlc3Rpb25u
YWlyZXM8L2tleXdvcmQ+PGtleXdvcmQ+V2VpZ2h0IEdhaW4vKnBoeXNpb2xvZ3k8L2tleXdvcmQ+
PGtleXdvcmQ+R2VzdGF0aW9uYWwgd2VpZ2h0IGdhaW48L2tleXdvcmQ+PGtleXdvcmQ+d2VpZ2hp
bmc8L2tleXdvcmQ+PGtleXdvcmQ+d29tZW4mYXBvcztzIG9waW5pb25zPC9rZXl3b3JkPjwva2V5
d29yZHM+PGRhdGVzPjx5ZWFyPjIwMTY8L3llYXI+PHB1Yi1kYXRlcz48ZGF0ZT5KYW48L2RhdGU+
PC9wdWItZGF0ZXM+PC9kYXRlcz48aXNibj4xNDcxLTA1MjggKEVsZWN0cm9uaWMpJiN4RDsxNDcw
LTAzMjggKExpbmtpbmcpPC9pc2JuPjxhY2Nlc3Npb24tbnVtPjI2ODQxMzQxPC9hY2Nlc3Npb24t
bnVtPjx1cmxzPjxyZWxhdGVkLXVybHM+PHVybD5odHRwczovL3d3dy5uY2JpLm5sbS5uaWguZ292
L3B1Ym1lZC8yNjg0MTM0MTwvdXJsPjwvcmVsYXRlZC11cmxzPjwvdXJscz48ZWxlY3Ryb25pYy1y
ZXNvdXJjZS1udW0+MTAuMTExMS8xNDcxLTA1MjguMTM3OTA8L2VsZWN0cm9uaWMtcmVzb3VyY2Ut
bnVtPjwvcmVjb3JkPjwvQ2l0ZT48Q2l0ZT48QXV0aG9yPkJyb3duZm9vdDwvQXV0aG9yPjxZZWFy
PjIwMTY8L1llYXI+PFJlY051bT4xNzA4PC9SZWNOdW0+PHJlY29yZD48cmVjLW51bWJlcj4xNzA4
PC9yZWMtbnVtYmVyPjxmb3JlaWduLWtleXM+PGtleSBhcHA9IkVOIiBkYi1pZD0iZXh2YXNyZngy
ZHRyYW9lc2FzeHAyc3pzeGEyZGY1MDI1OTJ4IiB0aW1lc3RhbXA9IjE1ODIwOTIxMzEiPjE3MDg8
L2tleT48L2ZvcmVpZ24ta2V5cz48cmVmLXR5cGUgbmFtZT0iSm91cm5hbCBBcnRpY2xlIj4xNzwv
cmVmLXR5cGU+PGNvbnRyaWJ1dG9ycz48YXV0aG9ycz48YXV0aG9yPkJyb3duZm9vdCwgRi4gQy48
L2F1dGhvcj48YXV0aG9yPkRhdmV5LCBNLiBBLjwvYXV0aG9yPjxhdXRob3I+S29ybm1hbiwgTC48
L2F1dGhvcj48L2F1dGhvcnM+PC9jb250cmlidXRvcnM+PGF1dGgtYWRkcmVzcz5EZXBhcnRtZW50
IG9mIE9ic3RldHJpY3MgYW5kIEd5bmFlY29sb2d5LCBSb3lhbCBXb21lbiZhcG9zO3MgSG9zcGl0
YWwsIFRoZSBVbml2ZXJzaXR5IG9mIE1lbGJvdXJuZSwgUGFya3ZpbGxlLCBWaWMuLCBBdXN0cmFs
aWEuJiN4RDtKdWRpdGggTHVtbGV5IENlbnRyZSwgTGEgVHJvYmUgVW5pdmVyc2l0eSwgTWVsYm91
cm5lLCBWaWMuLCBBdXN0cmFsaWEuPC9hdXRoLWFkZHJlc3M+PHRpdGxlcz48dGl0bGU+Um91dGlu
ZSB3ZWlnaGluZyB0byByZWR1Y2UgZXhjZXNzaXZlIGFudGVuYXRhbCB3ZWlnaHQgZ2FpbjogYSBy
YW5kb21pc2VkIGNvbnRyb2xsZWQgdHJpYWw8L3RpdGxlPjxzZWNvbmRhcnktdGl0bGU+QkpPRzwv
c2Vjb25kYXJ5LXRpdGxlPjwvdGl0bGVzPjxwZXJpb2RpY2FsPjxmdWxsLXRpdGxlPkJKT0c8L2Z1
bGwtdGl0bGU+PC9wZXJpb2RpY2FsPjxwYWdlcz4yNTQtNjE8L3BhZ2VzPjx2b2x1bWU+MTIzPC92
b2x1bWU+PG51bWJlcj4yPC9udW1iZXI+PGVkaXRpb24+MjAxNi8wMi8wNDwvZWRpdGlvbj48a2V5
d29yZHM+PGtleXdvcmQ+QWR1bHQ8L2tleXdvcmQ+PGtleXdvcmQ+QXVzdHJhbGlhL2VwaWRlbWlv
bG9neTwva2V5d29yZD48a2V5d29yZD5Cb2R5IE1hc3MgSW5kZXg8L2tleXdvcmQ+PGtleXdvcmQ+
Qm9keSBXZWlnaHQ8L2tleXdvcmQ+PGtleXdvcmQ+RGlyZWN0aXZlIENvdW5zZWxpbmc8L2tleXdv
cmQ+PGtleXdvcmQ+RmVtYWxlPC9rZXl3b3JkPjxrZXl3b3JkPkh1bWFuczwva2V5d29yZD48a2V5
d29yZD5PYmVzaXR5L2VwaWRlbWlvbG9neS8qcHJldmVudGlvbiAmYW1wOyBjb250cm9sL3BzeWNo
b2xvZ3k8L2tleXdvcmQ+PGtleXdvcmQ+UHJhY3RpY2UgR3VpZGVsaW5lcyBhcyBUb3BpYzwva2V5
d29yZD48a2V5d29yZD5QcmVnbmFuY3k8L2tleXdvcmQ+PGtleXdvcmQ+UHJlZ25hbmN5IENvbXBs
aWNhdGlvbnMvKnByZXZlbnRpb24gJmFtcDsgY29udHJvbDwva2V5d29yZD48a2V5d29yZD5QcmVu
YXRhbCBDYXJlLyptZXRob2RzPC9rZXl3b3JkPjxrZXl3b3JkPlJpc2sgRmFjdG9yczwva2V5d29y
ZD48a2V5d29yZD5XZWlnaHQgR2Fpbi8qcGh5c2lvbG9neTwva2V5d29yZD48a2V5d29yZD5BZHZl
cnNlIHByZWduYW5jeSBvdXRjb21lPC9rZXl3b3JkPjxrZXl3b3JkPmdlc3RhdGlvbmFsIHdlaWdo
dCBnYWluPC9rZXl3b3JkPjxrZXl3b3JkPm9iZXNpdHkgaW4gcHJlZ25hbmN5PC9rZXl3b3JkPjxr
ZXl3b3JkPndlaWdoaW5nPC9rZXl3b3JkPjwva2V5d29yZHM+PGRhdGVzPjx5ZWFyPjIwMTY8L3ll
YXI+PHB1Yi1kYXRlcz48ZGF0ZT5KYW48L2RhdGU+PC9wdWItZGF0ZXM+PC9kYXRlcz48aXNibj4x
NDcxLTA1MjggKEVsZWN0cm9uaWMpJiN4RDsxNDcwLTAzMjggKExpbmtpbmcpPC9pc2JuPjxhY2Nl
c3Npb24tbnVtPjI2ODQwNjM3PC9hY2Nlc3Npb24tbnVtPjx1cmxzPjxyZWxhdGVkLXVybHM+PHVy
bD5odHRwczovL3d3dy5uY2JpLm5sbS5uaWguZ292L3B1Ym1lZC8yNjg0MDYzNzwvdXJsPjwvcmVs
YXRlZC11cmxzPjwvdXJscz48ZWxlY3Ryb25pYy1yZXNvdXJjZS1udW0+MTAuMTExMS8xNDcxLTA1
MjguMTM3MzU8L2VsZWN0cm9uaWMtcmVzb3VyY2UtbnVtPjwvcmVjb3JkPjwvQ2l0ZT48L0VuZE5v
dGU+
</w:fldData>
        </w:fldChar>
      </w:r>
      <w:r w:rsidR="001A2F28">
        <w:rPr>
          <w:lang w:val="en-US"/>
        </w:rPr>
        <w:instrText xml:space="preserve"> ADDIN EN.CITE </w:instrText>
      </w:r>
      <w:r w:rsidR="001A2F28">
        <w:rPr>
          <w:lang w:val="en-US"/>
        </w:rPr>
        <w:fldChar w:fldCharType="begin">
          <w:fldData xml:space="preserve">PEVuZE5vdGU+PENpdGU+PEF1dGhvcj5Ccm93bmZvb3Q8L0F1dGhvcj48WWVhcj4yMDE2PC9ZZWFy
PjxSZWNOdW0+MTcwMTwvUmVjTnVtPjxEaXNwbGF5VGV4dD48c3R5bGUgZmFjZT0ic3VwZXJzY3Jp
cHQiIGZvbnQ9IlRyZWJ1Y2hldCBNUyIgc2l6ZT0iOSI+MzgzLDM4NTwvc3R5bGU+PC9EaXNwbGF5
VGV4dD48cmVjb3JkPjxyZWMtbnVtYmVyPjE3MDE8L3JlYy1udW1iZXI+PGZvcmVpZ24ta2V5cz48
a2V5IGFwcD0iRU4iIGRiLWlkPSJleHZhc3JmeDJkdHJhb2VzYXN4cDJzenN4YTJkZjUwMjU5Mngi
IHRpbWVzdGFtcD0iMTU4MTkxNjkyMyI+MTcwMTwva2V5PjxrZXkgYXBwPSJFTldlYiIgZGItaWQ9
IiI+MDwva2V5PjwvZm9yZWlnbi1rZXlzPjxyZWYtdHlwZSBuYW1lPSJKb3VybmFsIEFydGljbGUi
PjE3PC9yZWYtdHlwZT48Y29udHJpYnV0b3JzPjxhdXRob3JzPjxhdXRob3I+QnJvd25mb290LCBG
LiBDLjwvYXV0aG9yPjxhdXRob3I+RGF2ZXksIE0uIEEuPC9hdXRob3I+PGF1dGhvcj5Lb3JubWFu
LCBMLjwvYXV0aG9yPjwvYXV0aG9ycz48L2NvbnRyaWJ1dG9ycz48YXV0aC1hZGRyZXNzPkRlcGFy
dG1lbnQgb2YgT2JzdGV0cmljcyBhbmQgR3luYWVjb2xvZ3ksIFJveWFsIFdvbWVuJmFwb3M7cyBI
b3NwaXRhbCwgVGhlIFVuaXZlcnNpdHkgb2YgTWVsYm91cm5lLCBQYXJrdmlsbGUsIFZpYy4sIEF1
c3RyYWxpYS4mI3hEO0p1ZGl0aCBMdW1sZXkgQ2VudHJlLCBTY2llbmNlIEhlYWx0aCBhbmQgRW5n
aW5lZXJpbmcgQ29sbGVnZSwgTGEgVHJvYmUgVW5pdmVyc2l0eSwgTWVsYm91cm5lLCBWaWMuLCBB
dXN0cmFsaWEuPC9hdXRoLWFkZHJlc3M+PHRpdGxlcz48dGl0bGU+V29tZW4mYXBvcztzIG9waW5p
b25zIG9uIGJlaW5nIHdlaWdoZWQgYXQgcm91dGluZSBhbnRlbmF0YWwgdmlzaXRzPC90aXRsZT48
c2Vjb25kYXJ5LXRpdGxlPkJKT0c8L3NlY29uZGFyeS10aXRsZT48L3RpdGxlcz48cGVyaW9kaWNh
bD48ZnVsbC10aXRsZT5CSk9HPC9mdWxsLXRpdGxlPjwvcGVyaW9kaWNhbD48cGFnZXM+MjYzLTcw
PC9wYWdlcz48dm9sdW1lPjEyMzwvdm9sdW1lPjxudW1iZXI+MjwvbnVtYmVyPjxlZGl0aW9uPjIw
MTYvMDIvMDQ8L2VkaXRpb24+PGtleXdvcmRzPjxrZXl3b3JkPkFkdWx0PC9rZXl3b3JkPjxrZXl3
b3JkPkFueGlldHkvKmVwaWRlbWlvbG9neTwva2V5d29yZD48a2V5d29yZD5BdXN0cmFsaWEvZXBp
ZGVtaW9sb2d5PC9rZXl3b3JkPjxrZXl3b3JkPkZlbWFsZTwva2V5d29yZD48a2V5d29yZD5IdW1h
bnM8L2tleXdvcmQ+PGtleXdvcmQ+UGF0aWVudCBTYXRpc2ZhY3Rpb24vKnN0YXRpc3RpY3MgJmFt
cDsgbnVtZXJpY2FsIGRhdGE8L2tleXdvcmQ+PGtleXdvcmQ+UHJlZ25hbmN5PC9rZXl3b3JkPjxr
ZXl3b3JkPlByZWduYW50IFdvbWVuLypwc3ljaG9sb2d5PC9rZXl3b3JkPjxrZXl3b3JkPlByZW5h
dGFsIENhcmUvKm1ldGhvZHM8L2tleXdvcmQ+PGtleXdvcmQ+U3VydmV5cyBhbmQgUXVlc3Rpb25u
YWlyZXM8L2tleXdvcmQ+PGtleXdvcmQ+V2VpZ2h0IEdhaW4vKnBoeXNpb2xvZ3k8L2tleXdvcmQ+
PGtleXdvcmQ+R2VzdGF0aW9uYWwgd2VpZ2h0IGdhaW48L2tleXdvcmQ+PGtleXdvcmQ+d2VpZ2hp
bmc8L2tleXdvcmQ+PGtleXdvcmQ+d29tZW4mYXBvcztzIG9waW5pb25zPC9rZXl3b3JkPjwva2V5
d29yZHM+PGRhdGVzPjx5ZWFyPjIwMTY8L3llYXI+PHB1Yi1kYXRlcz48ZGF0ZT5KYW48L2RhdGU+
PC9wdWItZGF0ZXM+PC9kYXRlcz48aXNibj4xNDcxLTA1MjggKEVsZWN0cm9uaWMpJiN4RDsxNDcw
LTAzMjggKExpbmtpbmcpPC9pc2JuPjxhY2Nlc3Npb24tbnVtPjI2ODQxMzQxPC9hY2Nlc3Npb24t
bnVtPjx1cmxzPjxyZWxhdGVkLXVybHM+PHVybD5odHRwczovL3d3dy5uY2JpLm5sbS5uaWguZ292
L3B1Ym1lZC8yNjg0MTM0MTwvdXJsPjwvcmVsYXRlZC11cmxzPjwvdXJscz48ZWxlY3Ryb25pYy1y
ZXNvdXJjZS1udW0+MTAuMTExMS8xNDcxLTA1MjguMTM3OTA8L2VsZWN0cm9uaWMtcmVzb3VyY2Ut
bnVtPjwvcmVjb3JkPjwvQ2l0ZT48Q2l0ZT48QXV0aG9yPkJyb3duZm9vdDwvQXV0aG9yPjxZZWFy
PjIwMTY8L1llYXI+PFJlY051bT4xNzA4PC9SZWNOdW0+PHJlY29yZD48cmVjLW51bWJlcj4xNzA4
PC9yZWMtbnVtYmVyPjxmb3JlaWduLWtleXM+PGtleSBhcHA9IkVOIiBkYi1pZD0iZXh2YXNyZngy
ZHRyYW9lc2FzeHAyc3pzeGEyZGY1MDI1OTJ4IiB0aW1lc3RhbXA9IjE1ODIwOTIxMzEiPjE3MDg8
L2tleT48L2ZvcmVpZ24ta2V5cz48cmVmLXR5cGUgbmFtZT0iSm91cm5hbCBBcnRpY2xlIj4xNzwv
cmVmLXR5cGU+PGNvbnRyaWJ1dG9ycz48YXV0aG9ycz48YXV0aG9yPkJyb3duZm9vdCwgRi4gQy48
L2F1dGhvcj48YXV0aG9yPkRhdmV5LCBNLiBBLjwvYXV0aG9yPjxhdXRob3I+S29ybm1hbiwgTC48
L2F1dGhvcj48L2F1dGhvcnM+PC9jb250cmlidXRvcnM+PGF1dGgtYWRkcmVzcz5EZXBhcnRtZW50
IG9mIE9ic3RldHJpY3MgYW5kIEd5bmFlY29sb2d5LCBSb3lhbCBXb21lbiZhcG9zO3MgSG9zcGl0
YWwsIFRoZSBVbml2ZXJzaXR5IG9mIE1lbGJvdXJuZSwgUGFya3ZpbGxlLCBWaWMuLCBBdXN0cmFs
aWEuJiN4RDtKdWRpdGggTHVtbGV5IENlbnRyZSwgTGEgVHJvYmUgVW5pdmVyc2l0eSwgTWVsYm91
cm5lLCBWaWMuLCBBdXN0cmFsaWEuPC9hdXRoLWFkZHJlc3M+PHRpdGxlcz48dGl0bGU+Um91dGlu
ZSB3ZWlnaGluZyB0byByZWR1Y2UgZXhjZXNzaXZlIGFudGVuYXRhbCB3ZWlnaHQgZ2FpbjogYSBy
YW5kb21pc2VkIGNvbnRyb2xsZWQgdHJpYWw8L3RpdGxlPjxzZWNvbmRhcnktdGl0bGU+QkpPRzwv
c2Vjb25kYXJ5LXRpdGxlPjwvdGl0bGVzPjxwZXJpb2RpY2FsPjxmdWxsLXRpdGxlPkJKT0c8L2Z1
bGwtdGl0bGU+PC9wZXJpb2RpY2FsPjxwYWdlcz4yNTQtNjE8L3BhZ2VzPjx2b2x1bWU+MTIzPC92
b2x1bWU+PG51bWJlcj4yPC9udW1iZXI+PGVkaXRpb24+MjAxNi8wMi8wNDwvZWRpdGlvbj48a2V5
d29yZHM+PGtleXdvcmQ+QWR1bHQ8L2tleXdvcmQ+PGtleXdvcmQ+QXVzdHJhbGlhL2VwaWRlbWlv
bG9neTwva2V5d29yZD48a2V5d29yZD5Cb2R5IE1hc3MgSW5kZXg8L2tleXdvcmQ+PGtleXdvcmQ+
Qm9keSBXZWlnaHQ8L2tleXdvcmQ+PGtleXdvcmQ+RGlyZWN0aXZlIENvdW5zZWxpbmc8L2tleXdv
cmQ+PGtleXdvcmQ+RmVtYWxlPC9rZXl3b3JkPjxrZXl3b3JkPkh1bWFuczwva2V5d29yZD48a2V5
d29yZD5PYmVzaXR5L2VwaWRlbWlvbG9neS8qcHJldmVudGlvbiAmYW1wOyBjb250cm9sL3BzeWNo
b2xvZ3k8L2tleXdvcmQ+PGtleXdvcmQ+UHJhY3RpY2UgR3VpZGVsaW5lcyBhcyBUb3BpYzwva2V5
d29yZD48a2V5d29yZD5QcmVnbmFuY3k8L2tleXdvcmQ+PGtleXdvcmQ+UHJlZ25hbmN5IENvbXBs
aWNhdGlvbnMvKnByZXZlbnRpb24gJmFtcDsgY29udHJvbDwva2V5d29yZD48a2V5d29yZD5QcmVu
YXRhbCBDYXJlLyptZXRob2RzPC9rZXl3b3JkPjxrZXl3b3JkPlJpc2sgRmFjdG9yczwva2V5d29y
ZD48a2V5d29yZD5XZWlnaHQgR2Fpbi8qcGh5c2lvbG9neTwva2V5d29yZD48a2V5d29yZD5BZHZl
cnNlIHByZWduYW5jeSBvdXRjb21lPC9rZXl3b3JkPjxrZXl3b3JkPmdlc3RhdGlvbmFsIHdlaWdo
dCBnYWluPC9rZXl3b3JkPjxrZXl3b3JkPm9iZXNpdHkgaW4gcHJlZ25hbmN5PC9rZXl3b3JkPjxr
ZXl3b3JkPndlaWdoaW5nPC9rZXl3b3JkPjwva2V5d29yZHM+PGRhdGVzPjx5ZWFyPjIwMTY8L3ll
YXI+PHB1Yi1kYXRlcz48ZGF0ZT5KYW48L2RhdGU+PC9wdWItZGF0ZXM+PC9kYXRlcz48aXNibj4x
NDcxLTA1MjggKEVsZWN0cm9uaWMpJiN4RDsxNDcwLTAzMjggKExpbmtpbmcpPC9pc2JuPjxhY2Nl
c3Npb24tbnVtPjI2ODQwNjM3PC9hY2Nlc3Npb24tbnVtPjx1cmxzPjxyZWxhdGVkLXVybHM+PHVy
bD5odHRwczovL3d3dy5uY2JpLm5sbS5uaWguZ292L3B1Ym1lZC8yNjg0MDYzNzwvdXJsPjwvcmVs
YXRlZC11cmxzPjwvdXJscz48ZWxlY3Ryb25pYy1yZXNvdXJjZS1udW0+MTAuMTExMS8xNDcxLTA1
MjguMTM3MzU8L2VsZWN0cm9uaWMtcmVzb3VyY2UtbnVtPjwvcmVjb3JkPjwvQ2l0ZT48L0VuZE5v
dGU+
</w:fldData>
        </w:fldChar>
      </w:r>
      <w:r w:rsidR="001A2F28">
        <w:rPr>
          <w:lang w:val="en-US"/>
        </w:rPr>
        <w:instrText xml:space="preserve"> ADDIN EN.CITE.DATA </w:instrText>
      </w:r>
      <w:r w:rsidR="001A2F28">
        <w:rPr>
          <w:lang w:val="en-US"/>
        </w:rPr>
      </w:r>
      <w:r w:rsidR="001A2F28">
        <w:rPr>
          <w:lang w:val="en-US"/>
        </w:rPr>
        <w:fldChar w:fldCharType="end"/>
      </w:r>
      <w:r w:rsidR="00774750">
        <w:rPr>
          <w:lang w:val="en-US"/>
        </w:rPr>
      </w:r>
      <w:r w:rsidR="00774750">
        <w:rPr>
          <w:lang w:val="en-US"/>
        </w:rPr>
        <w:fldChar w:fldCharType="separate"/>
      </w:r>
      <w:r w:rsidR="001A2F28" w:rsidRPr="001A2F28">
        <w:rPr>
          <w:noProof/>
          <w:vertAlign w:val="superscript"/>
          <w:lang w:val="en-US"/>
        </w:rPr>
        <w:t>383,385</w:t>
      </w:r>
      <w:r w:rsidR="00774750">
        <w:rPr>
          <w:lang w:val="en-US"/>
        </w:rPr>
        <w:fldChar w:fldCharType="end"/>
      </w:r>
      <w:r w:rsidR="0056468B" w:rsidRPr="001225C8">
        <w:rPr>
          <w:lang w:val="en-US"/>
        </w:rPr>
        <w:t xml:space="preserve"> addressed regular weighing at antenatal care visits plus advice on weight gain versus usual care. The study found no clear difference in weight gain</w:t>
      </w:r>
      <w:r w:rsidR="0056468B" w:rsidRPr="001225C8">
        <w:t>, proportion of women gaining more weight than IOM recommended range or secondary outcomes</w:t>
      </w:r>
      <w:r w:rsidR="00B065F6">
        <w:t>.</w:t>
      </w:r>
      <w:r w:rsidR="00774750">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 </w:instrText>
      </w:r>
      <w:r w:rsidR="001A2F28">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383</w:t>
      </w:r>
      <w:r w:rsidR="00774750">
        <w:fldChar w:fldCharType="end"/>
      </w:r>
      <w:r w:rsidR="0056468B" w:rsidRPr="001225C8">
        <w:t xml:space="preserve"> Among a subset of women who provided feedback (</w:t>
      </w:r>
      <w:r w:rsidR="0056468B" w:rsidRPr="00516A3F">
        <w:rPr>
          <w:rStyle w:val="textref"/>
        </w:rPr>
        <w:t>n=586</w:t>
      </w:r>
      <w:r w:rsidR="0056468B" w:rsidRPr="001225C8">
        <w:t>), 73% were comfortable with being weighed routinely</w:t>
      </w:r>
      <w:r w:rsidR="00B065F6">
        <w:t>.</w:t>
      </w:r>
      <w:r w:rsidR="00774750">
        <w:fldChar w:fldCharType="begin"/>
      </w:r>
      <w:r w:rsidR="001A2F28">
        <w:instrText xml:space="preserve"> ADDIN EN.CITE &lt;EndNote&gt;&lt;Cite&gt;&lt;Author&gt;Brownfoot&lt;/Author&gt;&lt;Year&gt;2016&lt;/Year&gt;&lt;RecNum&gt;1701&lt;/RecNum&gt;&lt;DisplayText&gt;&lt;style face="superscript" font="Trebuchet MS" size="9"&gt;385&lt;/style&gt;&lt;/DisplayText&gt;&lt;record&gt;&lt;rec-number&gt;1701&lt;/rec-number&gt;&lt;foreign-keys&gt;&lt;key app="EN" db-id="exvasrfx2dtraoesasxp2szsxa2df502592x" timestamp="1581916923"&gt;1701&lt;/key&gt;&lt;key app="ENWeb" db-id=""&gt;0&lt;/key&gt;&lt;/foreign-keys&gt;&lt;ref-type name="Journal Article"&gt;17&lt;/ref-type&gt;&lt;contributors&gt;&lt;authors&gt;&lt;author&gt;Brownfoot, F. C.&lt;/author&gt;&lt;author&gt;Davey, M. A.&lt;/author&gt;&lt;author&gt;Kornman, L.&lt;/author&gt;&lt;/authors&gt;&lt;/contributors&gt;&lt;auth-address&gt;Department of Obstetrics and Gynaecology, Royal Women&amp;apos;s Hospital, The University of Melbourne, Parkville, Vic., Australia.&amp;#xD;Judith Lumley Centre, Science Health and Engineering College, La Trobe University, Melbourne, Vic., Australia.&lt;/auth-address&gt;&lt;titles&gt;&lt;title&gt;Women&amp;apos;s opinions on being weighed at routine antenatal visits&lt;/title&gt;&lt;secondary-title&gt;BJOG&lt;/secondary-title&gt;&lt;/titles&gt;&lt;periodical&gt;&lt;full-title&gt;BJOG&lt;/full-title&gt;&lt;/periodical&gt;&lt;pages&gt;263-70&lt;/pages&gt;&lt;volume&gt;123&lt;/volume&gt;&lt;number&gt;2&lt;/number&gt;&lt;edition&gt;2016/02/04&lt;/edition&gt;&lt;keywords&gt;&lt;keyword&gt;Adult&lt;/keyword&gt;&lt;keyword&gt;Anxiety/*epidemiology&lt;/keyword&gt;&lt;keyword&gt;Australia/epidemiology&lt;/keyword&gt;&lt;keyword&gt;Female&lt;/keyword&gt;&lt;keyword&gt;Humans&lt;/keyword&gt;&lt;keyword&gt;Patient Satisfaction/*statistics &amp;amp; numerical data&lt;/keyword&gt;&lt;keyword&gt;Pregnancy&lt;/keyword&gt;&lt;keyword&gt;Pregnant Women/*psychology&lt;/keyword&gt;&lt;keyword&gt;Prenatal Care/*methods&lt;/keyword&gt;&lt;keyword&gt;Surveys and Questionnaires&lt;/keyword&gt;&lt;keyword&gt;Weight Gain/*physiology&lt;/keyword&gt;&lt;keyword&gt;Gestational weight gain&lt;/keyword&gt;&lt;keyword&gt;weighing&lt;/keyword&gt;&lt;keyword&gt;women&amp;apos;s opinions&lt;/keyword&gt;&lt;/keywords&gt;&lt;dates&gt;&lt;year&gt;2016&lt;/year&gt;&lt;pub-dates&gt;&lt;date&gt;Jan&lt;/date&gt;&lt;/pub-dates&gt;&lt;/dates&gt;&lt;isbn&gt;1471-0528 (Electronic)&amp;#xD;1470-0328 (Linking)&lt;/isbn&gt;&lt;accession-num&gt;26841341&lt;/accession-num&gt;&lt;urls&gt;&lt;related-urls&gt;&lt;url&gt;https://www.ncbi.nlm.nih.gov/pubmed/26841341&lt;/url&gt;&lt;/related-urls&gt;&lt;/urls&gt;&lt;electronic-resource-num&gt;10.1111/1471-0528.13790&lt;/electronic-resource-num&gt;&lt;/record&gt;&lt;/Cite&gt;&lt;/EndNote&gt;</w:instrText>
      </w:r>
      <w:r w:rsidR="00774750">
        <w:fldChar w:fldCharType="separate"/>
      </w:r>
      <w:r w:rsidR="001A2F28" w:rsidRPr="001A2F28">
        <w:rPr>
          <w:noProof/>
          <w:vertAlign w:val="superscript"/>
        </w:rPr>
        <w:t>385</w:t>
      </w:r>
      <w:r w:rsidR="00774750">
        <w:fldChar w:fldCharType="end"/>
      </w:r>
      <w:r w:rsidR="00DE2BCA" w:rsidRPr="001225C8">
        <w:t xml:space="preserve"> </w:t>
      </w:r>
    </w:p>
    <w:p w14:paraId="162DD583" w14:textId="09BFF052" w:rsidR="0056468B" w:rsidRPr="001225C8" w:rsidRDefault="0056468B" w:rsidP="0056468B">
      <w:pPr>
        <w:rPr>
          <w:lang w:val="en-US"/>
        </w:rPr>
      </w:pPr>
      <w:r w:rsidRPr="001225C8">
        <w:rPr>
          <w:lang w:val="en-US"/>
        </w:rPr>
        <w:t>A pilot study</w:t>
      </w:r>
      <w:r w:rsidR="00B065F6">
        <w:rPr>
          <w:lang w:val="en-US"/>
        </w:rPr>
        <w:t xml:space="preserve"> </w:t>
      </w:r>
      <w:r w:rsidR="00C23986">
        <w:rPr>
          <w:lang w:val="en-US"/>
        </w:rPr>
        <w:t xml:space="preserve">in the United Kingdom </w:t>
      </w:r>
      <w:r w:rsidR="00B065F6">
        <w:rPr>
          <w:lang w:val="en-US"/>
        </w:rPr>
        <w:t>(</w:t>
      </w:r>
      <w:r w:rsidR="00B065F6" w:rsidRPr="0057136F">
        <w:rPr>
          <w:sz w:val="16"/>
          <w:szCs w:val="16"/>
          <w:lang w:val="en-US"/>
        </w:rPr>
        <w:t>n=76</w:t>
      </w:r>
      <w:r w:rsidR="00B065F6">
        <w:rPr>
          <w:lang w:val="en-US"/>
        </w:rPr>
        <w:t>)</w:t>
      </w:r>
      <w:r w:rsidR="00774750">
        <w:rPr>
          <w:lang w:val="en-US"/>
        </w:rPr>
        <w:fldChar w:fldCharType="begin">
          <w:fldData xml:space="preserve">PEVuZE5vdGU+PENpdGU+PEF1dGhvcj5EYWxleTwvQXV0aG9yPjxZZWFyPjIwMTU8L1llYXI+PFJl
Y051bT4xNzAyPC9SZWNOdW0+PERpc3BsYXlUZXh0PjxzdHlsZSBmYWNlPSJzdXBlcnNjcmlwdCIg
Zm9udD0iVHJlYnVjaGV0IE1TIiBzaXplPSI5Ij4zODY8L3N0eWxlPjwvRGlzcGxheVRleHQ+PHJl
Y29yZD48cmVjLW51bWJlcj4xNzAyPC9yZWMtbnVtYmVyPjxmb3JlaWduLWtleXM+PGtleSBhcHA9
IkVOIiBkYi1pZD0iZXh2YXNyZngyZHRyYW9lc2FzeHAyc3pzeGEyZGY1MDI1OTJ4IiB0aW1lc3Rh
bXA9IjE1ODE5MTY5MzAiPjE3MDI8L2tleT48a2V5IGFwcD0iRU5XZWIiIGRiLWlkPSIiPjA8L2tl
eT48L2ZvcmVpZ24ta2V5cz48cmVmLXR5cGUgbmFtZT0iSm91cm5hbCBBcnRpY2xlIj4xNzwvcmVm
LXR5cGU+PGNvbnRyaWJ1dG9ycz48YXV0aG9ycz48YXV0aG9yPkRhbGV5LCBBLiBKLjwvYXV0aG9y
PjxhdXRob3I+Sm9sbHksIEsuPC9hdXRob3I+PGF1dGhvcj5KZWJiLCBTLiBBLjwvYXV0aG9yPjxh
dXRob3I+TGV3aXMsIEEuIEwuPC9hdXRob3I+PGF1dGhvcj5DbGlmZm9yZCwgUy48L2F1dGhvcj48
YXV0aG9yPlJvYWxmZSwgQS4gSy48L2F1dGhvcj48YXV0aG9yPktlbnlvbiwgUy48L2F1dGhvcj48
YXV0aG9yPkF2ZXlhcmQsIFAuPC9hdXRob3I+PC9hdXRob3JzPjwvY29udHJpYnV0b3JzPjxhdXRo
LWFkZHJlc3M+UHJpbWFyeSBDYXJlIENsaW5pY2FsIFNjaWVuY2VzLCBTY2hvb2wgb2YgSGVhbHRo
IGFuZCBQb3B1bGF0aW9uIFNjaWVuY2VzLCBDb2xsZWdlIG9mIE1lZGljYWwgYW5kIERlbnRhbCBT
Y2llbmNlcywgVW5pdmVyc2l0eSBvZiBCaXJtaW5naGFtLCBCaXJtaW5naGFtLCBCMTUgMlRUIFdl
c3QgTWlkbGFuZHMuJiN4RDtQdWJsaWMgSGVhbHRoLCBFcGlkZW1pb2xvZ3kgYW5kIEJpb3N0YXRp
c3RpY3MsIFNjaG9vbCBvZiBIZWFsdGggYW5kIFBvcHVsYXRpb24gU2NpZW5jZXMsIFVuaXZlcnNp
dHkgb2YgQmlybWluZ2hhbSwgQmlybWluZ2hhbSwgQjE1IDJUVCBXZXN0IE1pZGxhbmRzLiYjeEQ7
TnVmZmllbGQgRGVwYXJ0bWVudCBvZiBQcmltYXJ5IENhcmUgSGVhbHRoIFNjaWVuY2VzLCBVbml2
ZXJzaXR5IG9mIE94Zm9yZCwgUmFkY2xpZmZlIE9ic2VydmF0b3J5IFF1YXJ0ZXIsIFdvb2RzdG9j
ayBSb2FkLCBPeGZvcmQsIE9YMiA2R0cgVUsuJiN4RDtTY2hvb2wgb2YgU29jaWFsIGFuZCBDb21t
dW5pdHkgTWVkaWNpbmUsIFVuaXZlcnNpdHkgb2YgQnJpc3RvbCwgQ2FueW5nZSBIYWxsLCAzOSBX
aGF0bGV5IFJvYWQsIEJyaXN0b2wsIEJTOCAyUFMgU291dGggV2VzdCBFbmdsYW5kLjwvYXV0aC1h
ZGRyZXNzPjx0aXRsZXM+PHRpdGxlPkZlYXNpYmlsaXR5IGFuZCBhY2NlcHRhYmlsaXR5IG9mIHJl
Z3VsYXIgd2VpZ2hpbmcsIHNldHRpbmcgd2VpZ2h0IGdhaW4gbGltaXRzIGFuZCBwcm92aWRpbmcg
ZmVlZGJhY2sgYnkgY29tbXVuaXR5IG1pZHdpdmVzIHRvIHByZXZlbnQgZXhjZXNzIHdlaWdodCBn
YWluIGR1cmluZyBwcmVnbmFuY3k6IHJhbmRvbWlzZWQgY29udHJvbGxlZCB0cmlhbCBhbmQgcXVh
bGl0YXRpdmUgc3R1ZHk8L3RpdGxlPjxzZWNvbmRhcnktdGl0bGU+Qk1DIE9iZXM8L3NlY29uZGFy
eS10aXRsZT48L3RpdGxlcz48cGVyaW9kaWNhbD48ZnVsbC10aXRsZT5CTUMgT2JlczwvZnVsbC10
aXRsZT48L3BlcmlvZGljYWw+PHBhZ2VzPjM1PC9wYWdlcz48dm9sdW1lPjI8L3ZvbHVtZT48ZWRp
dGlvbj4yMDE1LzA5LzI1PC9lZGl0aW9uPjxrZXl3b3Jkcz48a2V5d29yZD5Db21tdW5pdHkgbWlk
d2l2ZXM8L2tleXdvcmQ+PGtleXdvcmQ+R2VzdGF0aW9uYWwgd2VpZ2h0IGdhaW48L2tleXdvcmQ+
PGtleXdvcmQ+UmVndWxhciB3ZWlnaGluZzwva2V5d29yZD48a2V5d29yZD5XZWlnaHQgZ2FpbiBs
aW1pdHM8L2tleXdvcmQ+PC9rZXl3b3Jkcz48ZGF0ZXM+PHllYXI+MjAxNTwveWVhcj48L2RhdGVz
Pjxpc2JuPjIwNTItOTUzOCAoUHJpbnQpJiN4RDsyMDUyLTk1MzggKExpbmtpbmcpPC9pc2JuPjxh
Y2Nlc3Npb24tbnVtPjI2NDAxMzQ1PC9hY2Nlc3Npb24tbnVtPjx1cmxzPjxyZWxhdGVkLXVybHM+
PHVybD5odHRwczovL3d3dy5uY2JpLm5sbS5uaWguZ292L3B1Ym1lZC8yNjQwMTM0NTwvdXJsPjwv
cmVsYXRlZC11cmxzPjwvdXJscz48Y3VzdG9tMj5QTUM0NTcyNjQ5PC9jdXN0b20yPjxlbGVjdHJv
bmljLXJlc291cmNlLW51bT4xMC4xMTg2L3M0MDYwOC0wMTUtMDA2MS01PC9lbGVjdHJvbmljLXJl
c291cmNlLW51bT48L3JlY29yZD48L0NpdGU+PC9FbmROb3RlPn==
</w:fldData>
        </w:fldChar>
      </w:r>
      <w:r w:rsidR="001A2F28">
        <w:rPr>
          <w:lang w:val="en-US"/>
        </w:rPr>
        <w:instrText xml:space="preserve"> ADDIN EN.CITE </w:instrText>
      </w:r>
      <w:r w:rsidR="001A2F28">
        <w:rPr>
          <w:lang w:val="en-US"/>
        </w:rPr>
        <w:fldChar w:fldCharType="begin">
          <w:fldData xml:space="preserve">PEVuZE5vdGU+PENpdGU+PEF1dGhvcj5EYWxleTwvQXV0aG9yPjxZZWFyPjIwMTU8L1llYXI+PFJl
Y051bT4xNzAyPC9SZWNOdW0+PERpc3BsYXlUZXh0PjxzdHlsZSBmYWNlPSJzdXBlcnNjcmlwdCIg
Zm9udD0iVHJlYnVjaGV0IE1TIiBzaXplPSI5Ij4zODY8L3N0eWxlPjwvRGlzcGxheVRleHQ+PHJl
Y29yZD48cmVjLW51bWJlcj4xNzAyPC9yZWMtbnVtYmVyPjxmb3JlaWduLWtleXM+PGtleSBhcHA9
IkVOIiBkYi1pZD0iZXh2YXNyZngyZHRyYW9lc2FzeHAyc3pzeGEyZGY1MDI1OTJ4IiB0aW1lc3Rh
bXA9IjE1ODE5MTY5MzAiPjE3MDI8L2tleT48a2V5IGFwcD0iRU5XZWIiIGRiLWlkPSIiPjA8L2tl
eT48L2ZvcmVpZ24ta2V5cz48cmVmLXR5cGUgbmFtZT0iSm91cm5hbCBBcnRpY2xlIj4xNzwvcmVm
LXR5cGU+PGNvbnRyaWJ1dG9ycz48YXV0aG9ycz48YXV0aG9yPkRhbGV5LCBBLiBKLjwvYXV0aG9y
PjxhdXRob3I+Sm9sbHksIEsuPC9hdXRob3I+PGF1dGhvcj5KZWJiLCBTLiBBLjwvYXV0aG9yPjxh
dXRob3I+TGV3aXMsIEEuIEwuPC9hdXRob3I+PGF1dGhvcj5DbGlmZm9yZCwgUy48L2F1dGhvcj48
YXV0aG9yPlJvYWxmZSwgQS4gSy48L2F1dGhvcj48YXV0aG9yPktlbnlvbiwgUy48L2F1dGhvcj48
YXV0aG9yPkF2ZXlhcmQsIFAuPC9hdXRob3I+PC9hdXRob3JzPjwvY29udHJpYnV0b3JzPjxhdXRo
LWFkZHJlc3M+UHJpbWFyeSBDYXJlIENsaW5pY2FsIFNjaWVuY2VzLCBTY2hvb2wgb2YgSGVhbHRo
IGFuZCBQb3B1bGF0aW9uIFNjaWVuY2VzLCBDb2xsZWdlIG9mIE1lZGljYWwgYW5kIERlbnRhbCBT
Y2llbmNlcywgVW5pdmVyc2l0eSBvZiBCaXJtaW5naGFtLCBCaXJtaW5naGFtLCBCMTUgMlRUIFdl
c3QgTWlkbGFuZHMuJiN4RDtQdWJsaWMgSGVhbHRoLCBFcGlkZW1pb2xvZ3kgYW5kIEJpb3N0YXRp
c3RpY3MsIFNjaG9vbCBvZiBIZWFsdGggYW5kIFBvcHVsYXRpb24gU2NpZW5jZXMsIFVuaXZlcnNp
dHkgb2YgQmlybWluZ2hhbSwgQmlybWluZ2hhbSwgQjE1IDJUVCBXZXN0IE1pZGxhbmRzLiYjeEQ7
TnVmZmllbGQgRGVwYXJ0bWVudCBvZiBQcmltYXJ5IENhcmUgSGVhbHRoIFNjaWVuY2VzLCBVbml2
ZXJzaXR5IG9mIE94Zm9yZCwgUmFkY2xpZmZlIE9ic2VydmF0b3J5IFF1YXJ0ZXIsIFdvb2RzdG9j
ayBSb2FkLCBPeGZvcmQsIE9YMiA2R0cgVUsuJiN4RDtTY2hvb2wgb2YgU29jaWFsIGFuZCBDb21t
dW5pdHkgTWVkaWNpbmUsIFVuaXZlcnNpdHkgb2YgQnJpc3RvbCwgQ2FueW5nZSBIYWxsLCAzOSBX
aGF0bGV5IFJvYWQsIEJyaXN0b2wsIEJTOCAyUFMgU291dGggV2VzdCBFbmdsYW5kLjwvYXV0aC1h
ZGRyZXNzPjx0aXRsZXM+PHRpdGxlPkZlYXNpYmlsaXR5IGFuZCBhY2NlcHRhYmlsaXR5IG9mIHJl
Z3VsYXIgd2VpZ2hpbmcsIHNldHRpbmcgd2VpZ2h0IGdhaW4gbGltaXRzIGFuZCBwcm92aWRpbmcg
ZmVlZGJhY2sgYnkgY29tbXVuaXR5IG1pZHdpdmVzIHRvIHByZXZlbnQgZXhjZXNzIHdlaWdodCBn
YWluIGR1cmluZyBwcmVnbmFuY3k6IHJhbmRvbWlzZWQgY29udHJvbGxlZCB0cmlhbCBhbmQgcXVh
bGl0YXRpdmUgc3R1ZHk8L3RpdGxlPjxzZWNvbmRhcnktdGl0bGU+Qk1DIE9iZXM8L3NlY29uZGFy
eS10aXRsZT48L3RpdGxlcz48cGVyaW9kaWNhbD48ZnVsbC10aXRsZT5CTUMgT2JlczwvZnVsbC10
aXRsZT48L3BlcmlvZGljYWw+PHBhZ2VzPjM1PC9wYWdlcz48dm9sdW1lPjI8L3ZvbHVtZT48ZWRp
dGlvbj4yMDE1LzA5LzI1PC9lZGl0aW9uPjxrZXl3b3Jkcz48a2V5d29yZD5Db21tdW5pdHkgbWlk
d2l2ZXM8L2tleXdvcmQ+PGtleXdvcmQ+R2VzdGF0aW9uYWwgd2VpZ2h0IGdhaW48L2tleXdvcmQ+
PGtleXdvcmQ+UmVndWxhciB3ZWlnaGluZzwva2V5d29yZD48a2V5d29yZD5XZWlnaHQgZ2FpbiBs
aW1pdHM8L2tleXdvcmQ+PC9rZXl3b3Jkcz48ZGF0ZXM+PHllYXI+MjAxNTwveWVhcj48L2RhdGVz
Pjxpc2JuPjIwNTItOTUzOCAoUHJpbnQpJiN4RDsyMDUyLTk1MzggKExpbmtpbmcpPC9pc2JuPjxh
Y2Nlc3Npb24tbnVtPjI2NDAxMzQ1PC9hY2Nlc3Npb24tbnVtPjx1cmxzPjxyZWxhdGVkLXVybHM+
PHVybD5odHRwczovL3d3dy5uY2JpLm5sbS5uaWguZ292L3B1Ym1lZC8yNjQwMTM0NTwvdXJsPjwv
cmVsYXRlZC11cmxzPjwvdXJscz48Y3VzdG9tMj5QTUM0NTcyNjQ5PC9jdXN0b20yPjxlbGVjdHJv
bmljLXJlc291cmNlLW51bT4xMC4xMTg2L3M0MDYwOC0wMTUtMDA2MS01PC9lbGVjdHJvbmljLXJl
c291cmNlLW51bT48L3JlY29yZD48L0NpdGU+PC9FbmROb3RlPn==
</w:fldData>
        </w:fldChar>
      </w:r>
      <w:r w:rsidR="001A2F28">
        <w:rPr>
          <w:lang w:val="en-US"/>
        </w:rPr>
        <w:instrText xml:space="preserve"> ADDIN EN.CITE.DATA </w:instrText>
      </w:r>
      <w:r w:rsidR="001A2F28">
        <w:rPr>
          <w:lang w:val="en-US"/>
        </w:rPr>
      </w:r>
      <w:r w:rsidR="001A2F28">
        <w:rPr>
          <w:lang w:val="en-US"/>
        </w:rPr>
        <w:fldChar w:fldCharType="end"/>
      </w:r>
      <w:r w:rsidR="00774750">
        <w:rPr>
          <w:lang w:val="en-US"/>
        </w:rPr>
      </w:r>
      <w:r w:rsidR="00774750">
        <w:rPr>
          <w:lang w:val="en-US"/>
        </w:rPr>
        <w:fldChar w:fldCharType="separate"/>
      </w:r>
      <w:r w:rsidR="001A2F28" w:rsidRPr="001A2F28">
        <w:rPr>
          <w:noProof/>
          <w:vertAlign w:val="superscript"/>
          <w:lang w:val="en-US"/>
        </w:rPr>
        <w:t>386</w:t>
      </w:r>
      <w:r w:rsidR="00774750">
        <w:rPr>
          <w:lang w:val="en-US"/>
        </w:rPr>
        <w:fldChar w:fldCharType="end"/>
      </w:r>
      <w:r w:rsidRPr="001225C8">
        <w:rPr>
          <w:lang w:val="en-US"/>
        </w:rPr>
        <w:t xml:space="preserve"> combined regular weighing by midwives and advice on weight gain with self-weighing between antenatal visits. Compared to usual care, there was no clear difference in the percentage of women gaining excessive weight during pregnancy or in mean depression and anxiety scores. Feedback in a subset of participants showed support for routine weighing among participants (</w:t>
      </w:r>
      <w:r w:rsidRPr="00516A3F">
        <w:rPr>
          <w:rStyle w:val="textref"/>
        </w:rPr>
        <w:t>9/12</w:t>
      </w:r>
      <w:r w:rsidRPr="001225C8">
        <w:rPr>
          <w:lang w:val="en-US"/>
        </w:rPr>
        <w:t>) and midwives (</w:t>
      </w:r>
      <w:r w:rsidRPr="00516A3F">
        <w:rPr>
          <w:rStyle w:val="textref"/>
        </w:rPr>
        <w:t>7/7</w:t>
      </w:r>
      <w:r w:rsidRPr="001225C8">
        <w:rPr>
          <w:lang w:val="en-US"/>
        </w:rPr>
        <w:t xml:space="preserve">). </w:t>
      </w:r>
      <w:r w:rsidR="00010E66">
        <w:rPr>
          <w:lang w:val="en-US"/>
        </w:rPr>
        <w:t>The same group then conducted a larger study of the intervention (n=656),</w:t>
      </w:r>
      <w:r w:rsidR="00774750">
        <w:fldChar w:fldCharType="begin">
          <w:fldData xml:space="preserve">PEVuZE5vdGU+PENpdGU+PEF1dGhvcj5EYWxleTwvQXV0aG9yPjxZZWFyPjIwMTk8L1llYXI+PFJl
Y051bT4xNzAzPC9SZWNOdW0+PERpc3BsYXlUZXh0PjxzdHlsZSBmYWNlPSJzdXBlcnNjcmlwdCIg
Zm9udD0iVHJlYnVjaGV0IE1TIiBzaXplPSI5Ij4zODc8L3N0eWxlPjwvRGlzcGxheVRleHQ+PHJl
Y29yZD48cmVjLW51bWJlcj4xNzAzPC9yZWMtbnVtYmVyPjxmb3JlaWduLWtleXM+PGtleSBhcHA9
IkVOIiBkYi1pZD0iZXh2YXNyZngyZHRyYW9lc2FzeHAyc3pzeGEyZGY1MDI1OTJ4IiB0aW1lc3Rh
bXA9IjE1ODE5MTY5NDQiPjE3MDM8L2tleT48a2V5IGFwcD0iRU5XZWIiIGRiLWlkPSIiPjA8L2tl
eT48L2ZvcmVpZ24ta2V5cz48cmVmLXR5cGUgbmFtZT0iSm91cm5hbCBBcnRpY2xlIj4xNzwvcmVm
LXR5cGU+PGNvbnRyaWJ1dG9ycz48YXV0aG9ycz48YXV0aG9yPkRhbGV5LCBBLjwvYXV0aG9yPjxh
dXRob3I+Sm9sbHksIEsuPC9hdXRob3I+PGF1dGhvcj5KZWJiLCBTLiBBLjwvYXV0aG9yPjxhdXRo
b3I+Um9hbGZlLCBBLjwvYXV0aG9yPjxhdXRob3I+TWFja2lsbGxvcCwgTC48L2F1dGhvcj48YXV0
aG9yPkxld2lzLCBBLjwvYXV0aG9yPjxhdXRob3I+Q2xpZmZvcmQsIFMuPC9hdXRob3I+PGF1dGhv
cj5Vc21hbiwgTS48L2F1dGhvcj48YXV0aG9yPk9oYWRpa2UsIEMuPC9hdXRob3I+PGF1dGhvcj5L
ZW55b24sIFMuPC9hdXRob3I+PGF1dGhvcj5NYWNBcnRodXIsIEMuPC9hdXRob3I+PGF1dGhvcj5B
dmV5YXJkLCBQLjwvYXV0aG9yPjwvYXV0aG9ycz48L2NvbnRyaWJ1dG9ycz48YXV0aC1hZGRyZXNz
PlNjaG9vbCBvZiBTcG9ydCwgRXhlcmNpc2UgYW5kIEhlYWx0aCBTY2llbmNlcywgTG91Z2hib3Jv
dWdoIFVuaXZlcnNpdHksIExvdWdoYm9yb3VnaCwgVUsgYS5kYWxleUBsYm9yby5hYy51ay4mI3hE
O0luc3RpdHV0ZSBvZiBBcHBsaWVkIEhlYWx0aCBSZXNlYXJjaCxDb2xsZWdlIG9mIE1lZGljYWwg
YW5kIERlbnRhbCBTY2llbmNlcywgVW5pdmVyc2l0eSBvZiBCaXJtaW5naGFtLCBCaXJtaW5naGFt
LCBVSy4mI3hEO051ZmZpZWxkIERlcGFydG1lbnQgb2YgUHJpbWFyeSBDYXJlIEhlYWx0aCBTY2ll
bmNlcywgVW5pdmVyc2l0eSBvZiBPeGZvcmQsIFJhZGNsaWZmZSBPYnNlcnZhdG9yeSBRdWFydGVy
LCBPeGZvcmQsIFVLLiYjeEQ7TnVmZmllbGQgRGVwYXJ0bWVudCBvZiBXb21lbiZhcG9zO3MgYW5k
IFJlcHJvZHVjdGl2ZSBIZWFsdGgsIFVuaXZlcnNpdHkgb2YgT3hmb3JkLCBKb2huIFJhZGNsaWZm
ZSBIb3NwaXRhbCwgT3hmb3JkLCBVSy4mI3hEO1BvcHVsYXRpb24gSGVhbHRoIFNjaWVuY2VzLCBC
cmlzdG9sIE1lZGljYWwgU2Nob29sLCBVbml2ZXJzaXR5IG9mIEJyaXN0b2wsIENhbnluZ2UgSGFs
bCwgQnJpc3RvbCwgVUsuJiN4RDtTaGVyd29vZCBGb3Jlc3QgSG9zcGl0YWxzIE5IUyBGb3VuZGF0
aW9uVHJ1c3QsIE5vdHRpbmdoYW1zaGlyZSwgVUsuPC9hdXRoLWFkZHJlc3M+PHRpdGxlcz48dGl0
bGU+RWZmZWN0aXZlbmVzcyBvZiBhIGJlaGF2aW91cmFsIGludGVydmVudGlvbiBpbnZvbHZpbmcg
cmVndWxhciB3ZWlnaGluZyBhbmQgZmVlZGJhY2sgYnkgY29tbXVuaXR5IG1pZHdpdmVzIHdpdGhp
biByb3V0aW5lIGFudGVuYXRhbCBjYXJlIHRvIHByZXZlbnQgZXhjZXNzaXZlIGdlc3RhdGlvbmFs
IHdlaWdodCBnYWluOiBQT1BTMiByYW5kb21pc2VkIGNvbnRyb2xsZWQgdHJpYWw8L3RpdGxlPjxz
ZWNvbmRhcnktdGl0bGU+Qk1KIE9wZW48L3NlY29uZGFyeS10aXRsZT48L3RpdGxlcz48cGVyaW9k
aWNhbD48ZnVsbC10aXRsZT5CTUogT3BlbjwvZnVsbC10aXRsZT48L3BlcmlvZGljYWw+PHBhZ2Vz
PmUwMzAxNzQ8L3BhZ2VzPjx2b2x1bWU+OTwvdm9sdW1lPjxudW1iZXI+OTwvbnVtYmVyPjxlZGl0
aW9uPjIwMTkvMDkvMTk8L2VkaXRpb24+PGtleXdvcmRzPjxrZXl3b3JkPnByZWduYW5jeTwva2V5
d29yZD48a2V5d29yZD5wcmVnbmFuY3ksIHdlaWdoaW5nLCBtaWR3aXZlcywgd2VpZ2h0PC9rZXl3
b3JkPjxrZXl3b3JkPndlaWdoaW5nPC9rZXl3b3JkPjxrZXl3b3JkPndlaWdodDwva2V5d29yZD48
L2tleXdvcmRzPjxkYXRlcz48eWVhcj4yMDE5PC95ZWFyPjxwdWItZGF0ZXM+PGRhdGU+U2VwIDE3
PC9kYXRlPjwvcHViLWRhdGVzPjwvZGF0ZXM+PGlzYm4+MjA0NC02MDU1IChFbGVjdHJvbmljKSYj
eEQ7MjA0NC02MDU1IChMaW5raW5nKTwvaXNibj48YWNjZXNzaW9uLW51bT4zMTUzMDYwODwvYWNj
ZXNzaW9uLW51bT48dXJscz48cmVsYXRlZC11cmxzPjx1cmw+aHR0cHM6Ly93d3cubmNiaS5ubG0u
bmloLmdvdi9wdWJtZWQvMzE1MzA2MDg8L3VybD48L3JlbGF0ZWQtdXJscz48L3VybHM+PGN1c3Rv
bTI+UE1DNjc1NjQyMTwvY3VzdG9tMj48ZWxlY3Ryb25pYy1yZXNvdXJjZS1udW0+MTAuMTEzNi9i
bWpvcGVuLTIwMTktMDMwMTc0PC9lbGVjdHJvbmljLXJlc291cmNlLW51bT48L3JlY29yZD48L0Np
dGU+PC9FbmROb3RlPn==
</w:fldData>
        </w:fldChar>
      </w:r>
      <w:r w:rsidR="001A2F28">
        <w:instrText xml:space="preserve"> ADDIN EN.CITE </w:instrText>
      </w:r>
      <w:r w:rsidR="001A2F28">
        <w:fldChar w:fldCharType="begin">
          <w:fldData xml:space="preserve">PEVuZE5vdGU+PENpdGU+PEF1dGhvcj5EYWxleTwvQXV0aG9yPjxZZWFyPjIwMTk8L1llYXI+PFJl
Y051bT4xNzAzPC9SZWNOdW0+PERpc3BsYXlUZXh0PjxzdHlsZSBmYWNlPSJzdXBlcnNjcmlwdCIg
Zm9udD0iVHJlYnVjaGV0IE1TIiBzaXplPSI5Ij4zODc8L3N0eWxlPjwvRGlzcGxheVRleHQ+PHJl
Y29yZD48cmVjLW51bWJlcj4xNzAzPC9yZWMtbnVtYmVyPjxmb3JlaWduLWtleXM+PGtleSBhcHA9
IkVOIiBkYi1pZD0iZXh2YXNyZngyZHRyYW9lc2FzeHAyc3pzeGEyZGY1MDI1OTJ4IiB0aW1lc3Rh
bXA9IjE1ODE5MTY5NDQiPjE3MDM8L2tleT48a2V5IGFwcD0iRU5XZWIiIGRiLWlkPSIiPjA8L2tl
eT48L2ZvcmVpZ24ta2V5cz48cmVmLXR5cGUgbmFtZT0iSm91cm5hbCBBcnRpY2xlIj4xNzwvcmVm
LXR5cGU+PGNvbnRyaWJ1dG9ycz48YXV0aG9ycz48YXV0aG9yPkRhbGV5LCBBLjwvYXV0aG9yPjxh
dXRob3I+Sm9sbHksIEsuPC9hdXRob3I+PGF1dGhvcj5KZWJiLCBTLiBBLjwvYXV0aG9yPjxhdXRo
b3I+Um9hbGZlLCBBLjwvYXV0aG9yPjxhdXRob3I+TWFja2lsbGxvcCwgTC48L2F1dGhvcj48YXV0
aG9yPkxld2lzLCBBLjwvYXV0aG9yPjxhdXRob3I+Q2xpZmZvcmQsIFMuPC9hdXRob3I+PGF1dGhv
cj5Vc21hbiwgTS48L2F1dGhvcj48YXV0aG9yPk9oYWRpa2UsIEMuPC9hdXRob3I+PGF1dGhvcj5L
ZW55b24sIFMuPC9hdXRob3I+PGF1dGhvcj5NYWNBcnRodXIsIEMuPC9hdXRob3I+PGF1dGhvcj5B
dmV5YXJkLCBQLjwvYXV0aG9yPjwvYXV0aG9ycz48L2NvbnRyaWJ1dG9ycz48YXV0aC1hZGRyZXNz
PlNjaG9vbCBvZiBTcG9ydCwgRXhlcmNpc2UgYW5kIEhlYWx0aCBTY2llbmNlcywgTG91Z2hib3Jv
dWdoIFVuaXZlcnNpdHksIExvdWdoYm9yb3VnaCwgVUsgYS5kYWxleUBsYm9yby5hYy51ay4mI3hE
O0luc3RpdHV0ZSBvZiBBcHBsaWVkIEhlYWx0aCBSZXNlYXJjaCxDb2xsZWdlIG9mIE1lZGljYWwg
YW5kIERlbnRhbCBTY2llbmNlcywgVW5pdmVyc2l0eSBvZiBCaXJtaW5naGFtLCBCaXJtaW5naGFt
LCBVSy4mI3hEO051ZmZpZWxkIERlcGFydG1lbnQgb2YgUHJpbWFyeSBDYXJlIEhlYWx0aCBTY2ll
bmNlcywgVW5pdmVyc2l0eSBvZiBPeGZvcmQsIFJhZGNsaWZmZSBPYnNlcnZhdG9yeSBRdWFydGVy
LCBPeGZvcmQsIFVLLiYjeEQ7TnVmZmllbGQgRGVwYXJ0bWVudCBvZiBXb21lbiZhcG9zO3MgYW5k
IFJlcHJvZHVjdGl2ZSBIZWFsdGgsIFVuaXZlcnNpdHkgb2YgT3hmb3JkLCBKb2huIFJhZGNsaWZm
ZSBIb3NwaXRhbCwgT3hmb3JkLCBVSy4mI3hEO1BvcHVsYXRpb24gSGVhbHRoIFNjaWVuY2VzLCBC
cmlzdG9sIE1lZGljYWwgU2Nob29sLCBVbml2ZXJzaXR5IG9mIEJyaXN0b2wsIENhbnluZ2UgSGFs
bCwgQnJpc3RvbCwgVUsuJiN4RDtTaGVyd29vZCBGb3Jlc3QgSG9zcGl0YWxzIE5IUyBGb3VuZGF0
aW9uVHJ1c3QsIE5vdHRpbmdoYW1zaGlyZSwgVUsuPC9hdXRoLWFkZHJlc3M+PHRpdGxlcz48dGl0
bGU+RWZmZWN0aXZlbmVzcyBvZiBhIGJlaGF2aW91cmFsIGludGVydmVudGlvbiBpbnZvbHZpbmcg
cmVndWxhciB3ZWlnaGluZyBhbmQgZmVlZGJhY2sgYnkgY29tbXVuaXR5IG1pZHdpdmVzIHdpdGhp
biByb3V0aW5lIGFudGVuYXRhbCBjYXJlIHRvIHByZXZlbnQgZXhjZXNzaXZlIGdlc3RhdGlvbmFs
IHdlaWdodCBnYWluOiBQT1BTMiByYW5kb21pc2VkIGNvbnRyb2xsZWQgdHJpYWw8L3RpdGxlPjxz
ZWNvbmRhcnktdGl0bGU+Qk1KIE9wZW48L3NlY29uZGFyeS10aXRsZT48L3RpdGxlcz48cGVyaW9k
aWNhbD48ZnVsbC10aXRsZT5CTUogT3BlbjwvZnVsbC10aXRsZT48L3BlcmlvZGljYWw+PHBhZ2Vz
PmUwMzAxNzQ8L3BhZ2VzPjx2b2x1bWU+OTwvdm9sdW1lPjxudW1iZXI+OTwvbnVtYmVyPjxlZGl0
aW9uPjIwMTkvMDkvMTk8L2VkaXRpb24+PGtleXdvcmRzPjxrZXl3b3JkPnByZWduYW5jeTwva2V5
d29yZD48a2V5d29yZD5wcmVnbmFuY3ksIHdlaWdoaW5nLCBtaWR3aXZlcywgd2VpZ2h0PC9rZXl3
b3JkPjxrZXl3b3JkPndlaWdoaW5nPC9rZXl3b3JkPjxrZXl3b3JkPndlaWdodDwva2V5d29yZD48
L2tleXdvcmRzPjxkYXRlcz48eWVhcj4yMDE5PC95ZWFyPjxwdWItZGF0ZXM+PGRhdGU+U2VwIDE3
PC9kYXRlPjwvcHViLWRhdGVzPjwvZGF0ZXM+PGlzYm4+MjA0NC02MDU1IChFbGVjdHJvbmljKSYj
eEQ7MjA0NC02MDU1IChMaW5raW5nKTwvaXNibj48YWNjZXNzaW9uLW51bT4zMTUzMDYwODwvYWNj
ZXNzaW9uLW51bT48dXJscz48cmVsYXRlZC11cmxzPjx1cmw+aHR0cHM6Ly93d3cubmNiaS5ubG0u
bmloLmdvdi9wdWJtZWQvMzE1MzA2MDg8L3VybD48L3JlbGF0ZWQtdXJscz48L3VybHM+PGN1c3Rv
bTI+UE1DNjc1NjQyMTwvY3VzdG9tMj48ZWxlY3Ryb25pYy1yZXNvdXJjZS1udW0+MTAuMTEzNi9i
bWpvcGVuLTIwMTktMDMwMTc0PC9lbGVjdHJvbmljLXJlc291cmNlLW51bT48L3JlY29yZD48L0Np
dGU+PC9FbmROb3RlPn==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387</w:t>
      </w:r>
      <w:r w:rsidR="00774750">
        <w:fldChar w:fldCharType="end"/>
      </w:r>
      <w:r w:rsidR="00010E66">
        <w:rPr>
          <w:lang w:val="en-US"/>
        </w:rPr>
        <w:t xml:space="preserve"> which also found no clear difference in weight gain exceeding IOM guidelines, depression or anxiety.</w:t>
      </w:r>
    </w:p>
    <w:p w14:paraId="7764CD24" w14:textId="009E982B" w:rsidR="0056468B" w:rsidRPr="001225C8" w:rsidRDefault="0056468B" w:rsidP="0056468B">
      <w:pPr>
        <w:rPr>
          <w:lang w:val="en-US"/>
        </w:rPr>
      </w:pPr>
      <w:r w:rsidRPr="001225C8">
        <w:rPr>
          <w:lang w:val="en-US"/>
        </w:rPr>
        <w:t xml:space="preserve">When these </w:t>
      </w:r>
      <w:r w:rsidR="00DE2BCA">
        <w:rPr>
          <w:lang w:val="en-US"/>
        </w:rPr>
        <w:t>three</w:t>
      </w:r>
      <w:r w:rsidRPr="001225C8">
        <w:rPr>
          <w:lang w:val="en-US"/>
        </w:rPr>
        <w:t xml:space="preserve"> trials were pooled, there was </w:t>
      </w:r>
      <w:r w:rsidR="00767E52">
        <w:rPr>
          <w:lang w:val="en-US"/>
        </w:rPr>
        <w:t>no clear difference</w:t>
      </w:r>
      <w:r w:rsidRPr="001225C8">
        <w:rPr>
          <w:lang w:val="en-US"/>
        </w:rPr>
        <w:t xml:space="preserve"> in weight </w:t>
      </w:r>
      <w:r w:rsidR="00010E66">
        <w:rPr>
          <w:lang w:val="en-US"/>
        </w:rPr>
        <w:t xml:space="preserve">gain exceeding guidelines </w:t>
      </w:r>
      <w:r w:rsidRPr="001225C8">
        <w:rPr>
          <w:lang w:val="en-US"/>
        </w:rPr>
        <w:t>(</w:t>
      </w:r>
      <w:r w:rsidR="00C23986">
        <w:rPr>
          <w:rStyle w:val="textref"/>
        </w:rPr>
        <w:t>RR 1.01</w:t>
      </w:r>
      <w:r w:rsidRPr="00516A3F">
        <w:rPr>
          <w:rStyle w:val="textref"/>
        </w:rPr>
        <w:t xml:space="preserve"> 95% CI</w:t>
      </w:r>
      <w:r w:rsidR="00C23986">
        <w:rPr>
          <w:rStyle w:val="textref"/>
        </w:rPr>
        <w:t xml:space="preserve"> 0.92 to 1.</w:t>
      </w:r>
      <w:r w:rsidR="00065493">
        <w:rPr>
          <w:rStyle w:val="textref"/>
        </w:rPr>
        <w:t>12</w:t>
      </w:r>
      <w:r w:rsidR="00C23986">
        <w:rPr>
          <w:rStyle w:val="textref"/>
        </w:rPr>
        <w:t xml:space="preserve">; 3 RCTs; n=1,327; very low </w:t>
      </w:r>
      <w:r w:rsidR="00343BBE">
        <w:rPr>
          <w:rStyle w:val="textref"/>
        </w:rPr>
        <w:t>certainty</w:t>
      </w:r>
      <w:r w:rsidR="00BA7CBD">
        <w:rPr>
          <w:rStyle w:val="textref"/>
        </w:rPr>
        <w:t xml:space="preserve">; analysis 2.1; page </w:t>
      </w:r>
      <w:r w:rsidR="00BA7CBD">
        <w:rPr>
          <w:rStyle w:val="textref"/>
        </w:rPr>
        <w:fldChar w:fldCharType="begin"/>
      </w:r>
      <w:r w:rsidR="00BA7CBD">
        <w:rPr>
          <w:rStyle w:val="textref"/>
        </w:rPr>
        <w:instrText xml:space="preserve"> PAGEREF _Ref35261740 \h </w:instrText>
      </w:r>
      <w:r w:rsidR="00BA7CBD">
        <w:rPr>
          <w:rStyle w:val="textref"/>
        </w:rPr>
      </w:r>
      <w:r w:rsidR="00BA7CBD">
        <w:rPr>
          <w:rStyle w:val="textref"/>
        </w:rPr>
        <w:fldChar w:fldCharType="separate"/>
      </w:r>
      <w:r w:rsidR="00BA7CBD">
        <w:rPr>
          <w:rStyle w:val="textref"/>
          <w:noProof/>
        </w:rPr>
        <w:t>411</w:t>
      </w:r>
      <w:r w:rsidR="00BA7CBD">
        <w:rPr>
          <w:rStyle w:val="textref"/>
        </w:rPr>
        <w:fldChar w:fldCharType="end"/>
      </w:r>
      <w:r w:rsidRPr="001225C8">
        <w:rPr>
          <w:lang w:val="en-US"/>
        </w:rPr>
        <w:t xml:space="preserve">) </w:t>
      </w:r>
      <w:r w:rsidR="00767E52">
        <w:rPr>
          <w:lang w:val="en-US"/>
        </w:rPr>
        <w:t>or</w:t>
      </w:r>
      <w:r w:rsidRPr="001225C8">
        <w:rPr>
          <w:lang w:val="en-US"/>
        </w:rPr>
        <w:t xml:space="preserve"> mean weekly weight gain (</w:t>
      </w:r>
      <w:r w:rsidRPr="00516A3F">
        <w:rPr>
          <w:rStyle w:val="textref"/>
        </w:rPr>
        <w:t>0.01 kg per week 95%CI –0.03 to 0.05</w:t>
      </w:r>
      <w:r w:rsidR="00C23986">
        <w:rPr>
          <w:rStyle w:val="textref"/>
        </w:rPr>
        <w:t xml:space="preserve">; 2 RCTs; n=711; very low </w:t>
      </w:r>
      <w:r w:rsidR="00343BBE">
        <w:rPr>
          <w:rStyle w:val="textref"/>
        </w:rPr>
        <w:t>certainty</w:t>
      </w:r>
      <w:r w:rsidR="00BA7CBD">
        <w:rPr>
          <w:rStyle w:val="textref"/>
        </w:rPr>
        <w:t xml:space="preserve">; analysis 2.2; page </w:t>
      </w:r>
      <w:r w:rsidR="00BA7CBD">
        <w:rPr>
          <w:rStyle w:val="textref"/>
        </w:rPr>
        <w:fldChar w:fldCharType="begin"/>
      </w:r>
      <w:r w:rsidR="00BA7CBD">
        <w:rPr>
          <w:rStyle w:val="textref"/>
        </w:rPr>
        <w:instrText xml:space="preserve"> PAGEREF _Ref35261777 \h </w:instrText>
      </w:r>
      <w:r w:rsidR="00BA7CBD">
        <w:rPr>
          <w:rStyle w:val="textref"/>
        </w:rPr>
      </w:r>
      <w:r w:rsidR="00BA7CBD">
        <w:rPr>
          <w:rStyle w:val="textref"/>
        </w:rPr>
        <w:fldChar w:fldCharType="separate"/>
      </w:r>
      <w:r w:rsidR="00BA7CBD">
        <w:rPr>
          <w:rStyle w:val="textref"/>
          <w:noProof/>
        </w:rPr>
        <w:t>412</w:t>
      </w:r>
      <w:r w:rsidR="00BA7CBD">
        <w:rPr>
          <w:rStyle w:val="textref"/>
        </w:rPr>
        <w:fldChar w:fldCharType="end"/>
      </w:r>
      <w:r w:rsidRPr="001225C8">
        <w:rPr>
          <w:lang w:val="en-US"/>
        </w:rPr>
        <w:t>)</w:t>
      </w:r>
      <w:r w:rsidR="00C23986">
        <w:rPr>
          <w:lang w:val="en-US"/>
        </w:rPr>
        <w:t>. When the two United Kingdom studies were pooled, there was a small reduction in the risk of depression (</w:t>
      </w:r>
      <w:r w:rsidR="00C23986" w:rsidRPr="00C23986">
        <w:rPr>
          <w:sz w:val="16"/>
          <w:szCs w:val="16"/>
          <w:lang w:val="en-US"/>
        </w:rPr>
        <w:t xml:space="preserve">MD -0.77; 95%CI -1.44 to -0.09; low </w:t>
      </w:r>
      <w:r w:rsidR="00343BBE">
        <w:rPr>
          <w:sz w:val="16"/>
          <w:szCs w:val="16"/>
          <w:lang w:val="en-US"/>
        </w:rPr>
        <w:t>certainty</w:t>
      </w:r>
      <w:r w:rsidR="00BA7CBD">
        <w:rPr>
          <w:sz w:val="16"/>
          <w:szCs w:val="16"/>
          <w:lang w:val="en-US"/>
        </w:rPr>
        <w:t xml:space="preserve">; analysis 2.3; page </w:t>
      </w:r>
      <w:r w:rsidR="00BA7CBD">
        <w:rPr>
          <w:sz w:val="16"/>
          <w:szCs w:val="16"/>
          <w:lang w:val="en-US"/>
        </w:rPr>
        <w:fldChar w:fldCharType="begin"/>
      </w:r>
      <w:r w:rsidR="00BA7CBD">
        <w:rPr>
          <w:sz w:val="16"/>
          <w:szCs w:val="16"/>
          <w:lang w:val="en-US"/>
        </w:rPr>
        <w:instrText xml:space="preserve"> PAGEREF _Ref35261844 \h </w:instrText>
      </w:r>
      <w:r w:rsidR="00BA7CBD">
        <w:rPr>
          <w:sz w:val="16"/>
          <w:szCs w:val="16"/>
          <w:lang w:val="en-US"/>
        </w:rPr>
      </w:r>
      <w:r w:rsidR="00BA7CBD">
        <w:rPr>
          <w:sz w:val="16"/>
          <w:szCs w:val="16"/>
          <w:lang w:val="en-US"/>
        </w:rPr>
        <w:fldChar w:fldCharType="separate"/>
      </w:r>
      <w:r w:rsidR="00BA7CBD">
        <w:rPr>
          <w:noProof/>
          <w:sz w:val="16"/>
          <w:szCs w:val="16"/>
          <w:lang w:val="en-US"/>
        </w:rPr>
        <w:t>412</w:t>
      </w:r>
      <w:r w:rsidR="00BA7CBD">
        <w:rPr>
          <w:sz w:val="16"/>
          <w:szCs w:val="16"/>
          <w:lang w:val="en-US"/>
        </w:rPr>
        <w:fldChar w:fldCharType="end"/>
      </w:r>
      <w:r w:rsidR="00C23986">
        <w:rPr>
          <w:lang w:val="en-US"/>
        </w:rPr>
        <w:t>) and anxiety (</w:t>
      </w:r>
      <w:r w:rsidR="00C23986" w:rsidRPr="00C23986">
        <w:rPr>
          <w:sz w:val="16"/>
          <w:szCs w:val="16"/>
          <w:lang w:val="en-US"/>
        </w:rPr>
        <w:t xml:space="preserve">MD -0.77; 95%CI -1.48 to </w:t>
      </w:r>
      <w:r w:rsidR="005F447F">
        <w:rPr>
          <w:sz w:val="16"/>
          <w:szCs w:val="16"/>
          <w:lang w:val="en-US"/>
        </w:rPr>
        <w:noBreakHyphen/>
      </w:r>
      <w:r w:rsidR="00C23986" w:rsidRPr="00C23986">
        <w:rPr>
          <w:sz w:val="16"/>
          <w:szCs w:val="16"/>
          <w:lang w:val="en-US"/>
        </w:rPr>
        <w:t xml:space="preserve">0.06; low </w:t>
      </w:r>
      <w:r w:rsidR="00343BBE">
        <w:rPr>
          <w:sz w:val="16"/>
          <w:szCs w:val="16"/>
          <w:lang w:val="en-US"/>
        </w:rPr>
        <w:t>certainty</w:t>
      </w:r>
      <w:r w:rsidR="00BA7CBD">
        <w:rPr>
          <w:sz w:val="16"/>
          <w:szCs w:val="16"/>
          <w:lang w:val="en-US"/>
        </w:rPr>
        <w:t xml:space="preserve">; analysis 2.4; page </w:t>
      </w:r>
      <w:r w:rsidR="00BA7CBD">
        <w:rPr>
          <w:sz w:val="16"/>
          <w:szCs w:val="16"/>
          <w:lang w:val="en-US"/>
        </w:rPr>
        <w:fldChar w:fldCharType="begin"/>
      </w:r>
      <w:r w:rsidR="00BA7CBD">
        <w:rPr>
          <w:sz w:val="16"/>
          <w:szCs w:val="16"/>
          <w:lang w:val="en-US"/>
        </w:rPr>
        <w:instrText xml:space="preserve"> PAGEREF _Ref35261858 \h </w:instrText>
      </w:r>
      <w:r w:rsidR="00BA7CBD">
        <w:rPr>
          <w:sz w:val="16"/>
          <w:szCs w:val="16"/>
          <w:lang w:val="en-US"/>
        </w:rPr>
      </w:r>
      <w:r w:rsidR="00BA7CBD">
        <w:rPr>
          <w:sz w:val="16"/>
          <w:szCs w:val="16"/>
          <w:lang w:val="en-US"/>
        </w:rPr>
        <w:fldChar w:fldCharType="separate"/>
      </w:r>
      <w:r w:rsidR="00BA7CBD">
        <w:rPr>
          <w:noProof/>
          <w:sz w:val="16"/>
          <w:szCs w:val="16"/>
          <w:lang w:val="en-US"/>
        </w:rPr>
        <w:t>412</w:t>
      </w:r>
      <w:r w:rsidR="00BA7CBD">
        <w:rPr>
          <w:sz w:val="16"/>
          <w:szCs w:val="16"/>
          <w:lang w:val="en-US"/>
        </w:rPr>
        <w:fldChar w:fldCharType="end"/>
      </w:r>
      <w:r w:rsidR="00C23986">
        <w:rPr>
          <w:lang w:val="en-US"/>
        </w:rPr>
        <w:t>).</w:t>
      </w:r>
      <w:r w:rsidRPr="001225C8">
        <w:rPr>
          <w:lang w:val="en-US"/>
        </w:rPr>
        <w:t xml:space="preserve"> There was no indication in the </w:t>
      </w:r>
      <w:r w:rsidR="00010E66">
        <w:rPr>
          <w:lang w:val="en-US"/>
        </w:rPr>
        <w:t>three</w:t>
      </w:r>
      <w:r w:rsidRPr="001225C8">
        <w:rPr>
          <w:lang w:val="en-US"/>
        </w:rPr>
        <w:t xml:space="preserve"> trials that either excessive gestational weight gain or mean gestational weight gain differed in women of normal weight at the beginning of pregnancy compared with women who were overweight or obese.</w:t>
      </w:r>
    </w:p>
    <w:tbl>
      <w:tblPr>
        <w:tblW w:w="5000" w:type="pct"/>
        <w:tblCellMar>
          <w:top w:w="100" w:type="dxa"/>
          <w:left w:w="100" w:type="dxa"/>
          <w:bottom w:w="100" w:type="dxa"/>
          <w:right w:w="100" w:type="dxa"/>
        </w:tblCellMar>
        <w:tblLook w:val="04A0" w:firstRow="1" w:lastRow="0" w:firstColumn="1" w:lastColumn="0" w:noHBand="0" w:noVBand="1"/>
      </w:tblPr>
      <w:tblGrid>
        <w:gridCol w:w="1357"/>
        <w:gridCol w:w="1621"/>
        <w:gridCol w:w="1948"/>
        <w:gridCol w:w="1419"/>
        <w:gridCol w:w="1419"/>
        <w:gridCol w:w="1501"/>
      </w:tblGrid>
      <w:tr w:rsidR="00AB6A13" w14:paraId="25529E76" w14:textId="77777777" w:rsidTr="00413AC1">
        <w:trPr>
          <w:cantSplit/>
          <w:tblHeader/>
        </w:trPr>
        <w:tc>
          <w:tcPr>
            <w:tcW w:w="5000" w:type="pct"/>
            <w:gridSpan w:val="6"/>
            <w:tcBorders>
              <w:top w:val="nil"/>
              <w:left w:val="nil"/>
              <w:bottom w:val="nil"/>
              <w:right w:val="nil"/>
            </w:tcBorders>
            <w:vAlign w:val="center"/>
            <w:hideMark/>
          </w:tcPr>
          <w:p w14:paraId="16A72567" w14:textId="209094C9" w:rsidR="00AB6A13" w:rsidRDefault="005830DD" w:rsidP="00BD61CC">
            <w:pPr>
              <w:pStyle w:val="Heading4"/>
              <w:pageBreakBefore/>
              <w:spacing w:after="0"/>
            </w:pPr>
            <w:r>
              <w:t>Summary of findings</w:t>
            </w:r>
            <w:r w:rsidR="00AB6A13">
              <w:t xml:space="preserve"> </w:t>
            </w:r>
          </w:p>
        </w:tc>
      </w:tr>
      <w:tr w:rsidR="00AB6A13" w14:paraId="287E0F43" w14:textId="77777777" w:rsidTr="005830DD">
        <w:trPr>
          <w:cantSplit/>
          <w:trHeight w:val="19"/>
          <w:tblHeader/>
        </w:trPr>
        <w:tc>
          <w:tcPr>
            <w:tcW w:w="5000" w:type="pct"/>
            <w:gridSpan w:val="6"/>
            <w:tcBorders>
              <w:top w:val="single" w:sz="12" w:space="0" w:color="000000"/>
              <w:left w:val="nil"/>
              <w:bottom w:val="single" w:sz="12" w:space="0" w:color="000000"/>
              <w:right w:val="nil"/>
            </w:tcBorders>
            <w:vAlign w:val="center"/>
            <w:hideMark/>
          </w:tcPr>
          <w:p w14:paraId="6D95D7A0" w14:textId="77777777" w:rsidR="00AB6A13" w:rsidRDefault="00AB6A13" w:rsidP="005A3845">
            <w:pPr>
              <w:pStyle w:val="Heading5"/>
            </w:pPr>
            <w:r>
              <w:t>Regular weighing and advice on weight gain compared to usual care for gestational weight gain</w:t>
            </w:r>
          </w:p>
        </w:tc>
      </w:tr>
      <w:tr w:rsidR="00AB6A13" w14:paraId="69BDE716" w14:textId="77777777" w:rsidTr="005830DD">
        <w:trPr>
          <w:cantSplit/>
          <w:trHeight w:val="776"/>
          <w:tblHeader/>
        </w:trPr>
        <w:tc>
          <w:tcPr>
            <w:tcW w:w="5000" w:type="pct"/>
            <w:gridSpan w:val="6"/>
            <w:tcBorders>
              <w:top w:val="single" w:sz="12" w:space="0" w:color="000000"/>
              <w:left w:val="nil"/>
              <w:bottom w:val="single" w:sz="12" w:space="0" w:color="000000"/>
              <w:right w:val="nil"/>
            </w:tcBorders>
            <w:vAlign w:val="center"/>
            <w:hideMark/>
          </w:tcPr>
          <w:p w14:paraId="071C33D1" w14:textId="39C29A9C" w:rsidR="00AB6A13" w:rsidRDefault="00AB6A13" w:rsidP="005830DD">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Patient or population</w:t>
            </w:r>
            <w:r>
              <w:rPr>
                <w:rFonts w:ascii="Arial Narrow" w:eastAsia="Times New Roman" w:hAnsi="Arial Narrow"/>
                <w:sz w:val="16"/>
                <w:szCs w:val="16"/>
              </w:rPr>
              <w:t xml:space="preserve">: </w:t>
            </w:r>
            <w:r w:rsidR="005A3845">
              <w:rPr>
                <w:rFonts w:ascii="Arial Narrow" w:eastAsia="Times New Roman" w:hAnsi="Arial Narrow"/>
                <w:sz w:val="16"/>
                <w:szCs w:val="16"/>
              </w:rPr>
              <w:t>Pregnant women</w:t>
            </w:r>
            <w:r>
              <w:rPr>
                <w:rFonts w:ascii="Arial Narrow" w:eastAsia="Times New Roman" w:hAnsi="Arial Narrow"/>
                <w:sz w:val="16"/>
                <w:szCs w:val="16"/>
              </w:rPr>
              <w:t xml:space="preserve"> </w:t>
            </w:r>
          </w:p>
          <w:p w14:paraId="5FFC8E6C" w14:textId="77777777" w:rsidR="00AB6A13" w:rsidRDefault="00AB6A13" w:rsidP="005830DD">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Setting</w:t>
            </w:r>
            <w:r>
              <w:rPr>
                <w:rFonts w:ascii="Arial Narrow" w:eastAsia="Times New Roman" w:hAnsi="Arial Narrow"/>
                <w:sz w:val="16"/>
                <w:szCs w:val="16"/>
              </w:rPr>
              <w:t xml:space="preserve">: Australia, United Kingdom </w:t>
            </w:r>
          </w:p>
          <w:p w14:paraId="76F0B998" w14:textId="77777777" w:rsidR="00AB6A13" w:rsidRDefault="00AB6A13" w:rsidP="005830DD">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Intervention</w:t>
            </w:r>
            <w:r>
              <w:rPr>
                <w:rFonts w:ascii="Arial Narrow" w:eastAsia="Times New Roman" w:hAnsi="Arial Narrow"/>
                <w:sz w:val="16"/>
                <w:szCs w:val="16"/>
              </w:rPr>
              <w:t xml:space="preserve">: Regular weighing and advice on weight gain </w:t>
            </w:r>
          </w:p>
          <w:p w14:paraId="0C0CFFCC" w14:textId="403D9379" w:rsidR="00AB6A13" w:rsidRDefault="00AB6A13" w:rsidP="005830DD">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Comparison</w:t>
            </w:r>
            <w:r w:rsidR="005A3845">
              <w:rPr>
                <w:rFonts w:ascii="Arial Narrow" w:eastAsia="Times New Roman" w:hAnsi="Arial Narrow"/>
                <w:sz w:val="16"/>
                <w:szCs w:val="16"/>
              </w:rPr>
              <w:t>: U</w:t>
            </w:r>
            <w:r>
              <w:rPr>
                <w:rFonts w:ascii="Arial Narrow" w:eastAsia="Times New Roman" w:hAnsi="Arial Narrow"/>
                <w:sz w:val="16"/>
                <w:szCs w:val="16"/>
              </w:rPr>
              <w:t xml:space="preserve">sual care </w:t>
            </w:r>
          </w:p>
        </w:tc>
      </w:tr>
      <w:tr w:rsidR="005A3845" w14:paraId="15110940" w14:textId="77777777" w:rsidTr="00413AC1">
        <w:trPr>
          <w:cantSplit/>
          <w:tblHeader/>
        </w:trPr>
        <w:tc>
          <w:tcPr>
            <w:tcW w:w="732" w:type="pct"/>
            <w:vMerge w:val="restart"/>
            <w:tcBorders>
              <w:right w:val="single" w:sz="6" w:space="0" w:color="EFEFEF"/>
            </w:tcBorders>
            <w:shd w:val="clear" w:color="auto" w:fill="3271AA"/>
            <w:vAlign w:val="center"/>
            <w:hideMark/>
          </w:tcPr>
          <w:p w14:paraId="355716C0" w14:textId="77777777" w:rsidR="005A3845" w:rsidRDefault="005A3845" w:rsidP="005830DD">
            <w:pPr>
              <w:pStyle w:val="NormalWeb"/>
              <w:spacing w:before="0" w:beforeAutospacing="0" w:after="0" w:afterAutospacing="0" w:line="240" w:lineRule="auto"/>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926" w:type="pct"/>
            <w:gridSpan w:val="2"/>
            <w:tcBorders>
              <w:top w:val="single" w:sz="6" w:space="0" w:color="EFEFEF"/>
              <w:right w:val="single" w:sz="6" w:space="0" w:color="EFEFEF"/>
            </w:tcBorders>
            <w:shd w:val="clear" w:color="auto" w:fill="E0E0E0"/>
            <w:hideMark/>
          </w:tcPr>
          <w:p w14:paraId="6910A2D5" w14:textId="77777777" w:rsidR="005A3845" w:rsidRDefault="005A3845" w:rsidP="005830DD">
            <w:pPr>
              <w:pStyle w:val="NormalWeb"/>
              <w:spacing w:before="0" w:beforeAutospacing="0" w:after="0" w:afterAutospacing="0" w:line="240" w:lineRule="auto"/>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766" w:type="pct"/>
            <w:vMerge w:val="restart"/>
            <w:tcBorders>
              <w:right w:val="single" w:sz="6" w:space="0" w:color="EFEFEF"/>
            </w:tcBorders>
            <w:shd w:val="clear" w:color="auto" w:fill="3271AA"/>
            <w:vAlign w:val="center"/>
            <w:hideMark/>
          </w:tcPr>
          <w:p w14:paraId="3E43B27A" w14:textId="77777777" w:rsidR="005A3845" w:rsidRDefault="005A3845" w:rsidP="005830DD">
            <w:pPr>
              <w:pStyle w:val="NormalWeb"/>
              <w:spacing w:before="0" w:beforeAutospacing="0" w:after="0" w:afterAutospacing="0" w:line="240" w:lineRule="auto"/>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766" w:type="pct"/>
            <w:vMerge w:val="restart"/>
            <w:tcBorders>
              <w:right w:val="single" w:sz="6" w:space="0" w:color="EFEFEF"/>
            </w:tcBorders>
            <w:shd w:val="clear" w:color="auto" w:fill="3271AA"/>
            <w:vAlign w:val="center"/>
            <w:hideMark/>
          </w:tcPr>
          <w:p w14:paraId="4622B7C7" w14:textId="77777777" w:rsidR="005A3845" w:rsidRDefault="005A3845" w:rsidP="005830DD">
            <w:pPr>
              <w:pStyle w:val="NormalWeb"/>
              <w:spacing w:before="0" w:beforeAutospacing="0" w:after="0" w:afterAutospacing="0" w:line="240" w:lineRule="auto"/>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810" w:type="pct"/>
            <w:vMerge w:val="restart"/>
            <w:tcBorders>
              <w:right w:val="single" w:sz="6" w:space="0" w:color="EFEFEF"/>
            </w:tcBorders>
            <w:shd w:val="clear" w:color="auto" w:fill="3271AA"/>
            <w:vAlign w:val="center"/>
            <w:hideMark/>
          </w:tcPr>
          <w:p w14:paraId="3CF135BE" w14:textId="77777777" w:rsidR="005A3845" w:rsidRDefault="005A3845" w:rsidP="005830DD">
            <w:pPr>
              <w:pStyle w:val="NormalWeb"/>
              <w:spacing w:before="0" w:beforeAutospacing="0" w:after="0" w:afterAutospacing="0" w:line="240" w:lineRule="auto"/>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5A3845" w14:paraId="2A0429BA" w14:textId="77777777" w:rsidTr="00413AC1">
        <w:trPr>
          <w:cantSplit/>
          <w:tblHeader/>
        </w:trPr>
        <w:tc>
          <w:tcPr>
            <w:tcW w:w="732" w:type="pct"/>
            <w:vMerge/>
            <w:tcBorders>
              <w:right w:val="single" w:sz="6" w:space="0" w:color="EFEFEF"/>
            </w:tcBorders>
            <w:vAlign w:val="center"/>
            <w:hideMark/>
          </w:tcPr>
          <w:p w14:paraId="499CA6CE" w14:textId="77777777" w:rsidR="005A3845" w:rsidRDefault="005A3845" w:rsidP="005830DD">
            <w:pPr>
              <w:spacing w:line="240" w:lineRule="auto"/>
              <w:rPr>
                <w:rFonts w:ascii="Arial Narrow" w:eastAsiaTheme="minorEastAsia" w:hAnsi="Arial Narrow"/>
                <w:color w:val="FFFFFF"/>
                <w:sz w:val="16"/>
                <w:szCs w:val="16"/>
              </w:rPr>
            </w:pPr>
          </w:p>
        </w:tc>
        <w:tc>
          <w:tcPr>
            <w:tcW w:w="875" w:type="pct"/>
            <w:tcBorders>
              <w:top w:val="single" w:sz="6" w:space="0" w:color="EFEFEF"/>
              <w:right w:val="single" w:sz="6" w:space="0" w:color="EFEFEF"/>
            </w:tcBorders>
            <w:shd w:val="clear" w:color="auto" w:fill="E0E0E0"/>
            <w:hideMark/>
          </w:tcPr>
          <w:p w14:paraId="19B7FC6A" w14:textId="77777777" w:rsidR="005A3845" w:rsidRDefault="005A3845" w:rsidP="005830DD">
            <w:pPr>
              <w:pStyle w:val="first-letter"/>
              <w:spacing w:before="0" w:beforeAutospacing="0" w:after="0" w:afterAutospacing="0" w:line="240" w:lineRule="auto"/>
              <w:jc w:val="center"/>
              <w:rPr>
                <w:rFonts w:ascii="Arial Narrow" w:hAnsi="Arial Narrow"/>
                <w:b/>
                <w:bCs/>
                <w:sz w:val="16"/>
                <w:szCs w:val="16"/>
              </w:rPr>
            </w:pPr>
            <w:r>
              <w:rPr>
                <w:rFonts w:ascii="Arial Narrow" w:hAnsi="Arial Narrow"/>
                <w:b/>
                <w:bCs/>
                <w:sz w:val="16"/>
                <w:szCs w:val="16"/>
              </w:rPr>
              <w:t>Risk with usual care</w:t>
            </w:r>
          </w:p>
        </w:tc>
        <w:tc>
          <w:tcPr>
            <w:tcW w:w="1051" w:type="pct"/>
            <w:tcBorders>
              <w:top w:val="single" w:sz="6" w:space="0" w:color="EFEFEF"/>
              <w:right w:val="single" w:sz="6" w:space="0" w:color="EFEFEF"/>
            </w:tcBorders>
            <w:shd w:val="clear" w:color="auto" w:fill="E0E0E0"/>
            <w:hideMark/>
          </w:tcPr>
          <w:p w14:paraId="425B1E3D" w14:textId="18B6426D" w:rsidR="005A3845" w:rsidRDefault="00B543FC" w:rsidP="005830DD">
            <w:pPr>
              <w:pStyle w:val="first-letter"/>
              <w:spacing w:before="0" w:beforeAutospacing="0" w:after="0" w:afterAutospacing="0" w:line="240" w:lineRule="auto"/>
              <w:jc w:val="center"/>
              <w:rPr>
                <w:rFonts w:ascii="Arial Narrow" w:hAnsi="Arial Narrow"/>
                <w:b/>
                <w:bCs/>
                <w:sz w:val="16"/>
                <w:szCs w:val="16"/>
              </w:rPr>
            </w:pPr>
            <w:r>
              <w:rPr>
                <w:rFonts w:ascii="Arial Narrow" w:hAnsi="Arial Narrow"/>
                <w:b/>
                <w:bCs/>
                <w:sz w:val="16"/>
                <w:szCs w:val="16"/>
              </w:rPr>
              <w:t>Risk with r</w:t>
            </w:r>
            <w:r w:rsidR="005A3845">
              <w:rPr>
                <w:rFonts w:ascii="Arial Narrow" w:hAnsi="Arial Narrow"/>
                <w:b/>
                <w:bCs/>
                <w:sz w:val="16"/>
                <w:szCs w:val="16"/>
              </w:rPr>
              <w:t>egular weighing and advice on weight gain</w:t>
            </w:r>
          </w:p>
        </w:tc>
        <w:tc>
          <w:tcPr>
            <w:tcW w:w="766" w:type="pct"/>
            <w:vMerge/>
            <w:tcBorders>
              <w:right w:val="single" w:sz="6" w:space="0" w:color="EFEFEF"/>
            </w:tcBorders>
            <w:vAlign w:val="center"/>
            <w:hideMark/>
          </w:tcPr>
          <w:p w14:paraId="3CA3D8AF" w14:textId="77777777" w:rsidR="005A3845" w:rsidRDefault="005A3845" w:rsidP="005830DD">
            <w:pPr>
              <w:spacing w:line="240" w:lineRule="auto"/>
              <w:rPr>
                <w:rFonts w:ascii="Arial Narrow" w:eastAsiaTheme="minorEastAsia" w:hAnsi="Arial Narrow"/>
                <w:color w:val="FFFFFF"/>
                <w:sz w:val="16"/>
                <w:szCs w:val="16"/>
              </w:rPr>
            </w:pPr>
          </w:p>
        </w:tc>
        <w:tc>
          <w:tcPr>
            <w:tcW w:w="766" w:type="pct"/>
            <w:vMerge/>
            <w:tcBorders>
              <w:right w:val="single" w:sz="6" w:space="0" w:color="EFEFEF"/>
            </w:tcBorders>
            <w:vAlign w:val="center"/>
            <w:hideMark/>
          </w:tcPr>
          <w:p w14:paraId="74BC9932" w14:textId="77777777" w:rsidR="005A3845" w:rsidRDefault="005A3845" w:rsidP="005830DD">
            <w:pPr>
              <w:spacing w:line="240" w:lineRule="auto"/>
              <w:rPr>
                <w:rFonts w:ascii="Arial Narrow" w:eastAsiaTheme="minorEastAsia" w:hAnsi="Arial Narrow"/>
                <w:color w:val="FFFFFF"/>
                <w:sz w:val="16"/>
                <w:szCs w:val="16"/>
              </w:rPr>
            </w:pPr>
          </w:p>
        </w:tc>
        <w:tc>
          <w:tcPr>
            <w:tcW w:w="810" w:type="pct"/>
            <w:vMerge/>
            <w:tcBorders>
              <w:right w:val="single" w:sz="6" w:space="0" w:color="EFEFEF"/>
            </w:tcBorders>
            <w:vAlign w:val="center"/>
            <w:hideMark/>
          </w:tcPr>
          <w:p w14:paraId="024E1B63" w14:textId="77777777" w:rsidR="005A3845" w:rsidRDefault="005A3845" w:rsidP="005830DD">
            <w:pPr>
              <w:spacing w:line="240" w:lineRule="auto"/>
              <w:rPr>
                <w:rFonts w:ascii="Arial Narrow" w:eastAsiaTheme="minorEastAsia" w:hAnsi="Arial Narrow"/>
                <w:color w:val="FFFFFF"/>
                <w:sz w:val="16"/>
                <w:szCs w:val="16"/>
              </w:rPr>
            </w:pPr>
          </w:p>
        </w:tc>
      </w:tr>
      <w:tr w:rsidR="005A3845" w14:paraId="33CDAA53" w14:textId="77777777" w:rsidTr="00413AC1">
        <w:trPr>
          <w:cantSplit/>
        </w:trPr>
        <w:tc>
          <w:tcPr>
            <w:tcW w:w="732" w:type="pct"/>
            <w:tcBorders>
              <w:top w:val="single" w:sz="6" w:space="0" w:color="000000"/>
              <w:left w:val="nil"/>
              <w:bottom w:val="single" w:sz="6" w:space="0" w:color="000000"/>
              <w:right w:val="nil"/>
            </w:tcBorders>
            <w:vAlign w:val="center"/>
            <w:hideMark/>
          </w:tcPr>
          <w:p w14:paraId="2172D405" w14:textId="740BFFC6" w:rsidR="005A3845" w:rsidRDefault="005A3845" w:rsidP="005A3845">
            <w:pPr>
              <w:jc w:val="center"/>
              <w:rPr>
                <w:rFonts w:ascii="Arial Narrow" w:eastAsia="Times New Roman" w:hAnsi="Arial Narrow"/>
                <w:sz w:val="16"/>
                <w:szCs w:val="16"/>
              </w:rPr>
            </w:pPr>
            <w:r>
              <w:rPr>
                <w:rStyle w:val="label"/>
                <w:rFonts w:ascii="Arial Narrow" w:eastAsia="Times New Roman" w:hAnsi="Arial Narrow"/>
                <w:szCs w:val="18"/>
              </w:rPr>
              <w:t xml:space="preserve">Weight gain exceeding IOM guidelines </w:t>
            </w:r>
          </w:p>
        </w:tc>
        <w:tc>
          <w:tcPr>
            <w:tcW w:w="875" w:type="pct"/>
            <w:tcBorders>
              <w:top w:val="single" w:sz="6" w:space="0" w:color="000000"/>
              <w:left w:val="nil"/>
              <w:bottom w:val="single" w:sz="6" w:space="0" w:color="000000"/>
              <w:right w:val="nil"/>
            </w:tcBorders>
            <w:vAlign w:val="center"/>
            <w:hideMark/>
          </w:tcPr>
          <w:p w14:paraId="4D3C8767" w14:textId="77777777" w:rsidR="005A3845" w:rsidRDefault="005A3845" w:rsidP="00DE11C4">
            <w:pPr>
              <w:rPr>
                <w:rFonts w:ascii="Arial Narrow" w:eastAsia="Times New Roman" w:hAnsi="Arial Narrow"/>
                <w:sz w:val="16"/>
                <w:szCs w:val="16"/>
              </w:rPr>
            </w:pPr>
            <w:r>
              <w:rPr>
                <w:rFonts w:ascii="Arial Narrow" w:eastAsia="Times New Roman" w:hAnsi="Arial Narrow"/>
                <w:sz w:val="16"/>
                <w:szCs w:val="16"/>
              </w:rPr>
              <w:t xml:space="preserve">480 per 1,000 </w:t>
            </w:r>
          </w:p>
        </w:tc>
        <w:tc>
          <w:tcPr>
            <w:tcW w:w="1051" w:type="pct"/>
            <w:tcBorders>
              <w:top w:val="single" w:sz="6" w:space="0" w:color="000000"/>
              <w:left w:val="nil"/>
              <w:bottom w:val="single" w:sz="6" w:space="0" w:color="000000"/>
              <w:right w:val="nil"/>
            </w:tcBorders>
            <w:shd w:val="clear" w:color="auto" w:fill="EBEBEB"/>
            <w:hideMark/>
          </w:tcPr>
          <w:p w14:paraId="26234E1D" w14:textId="77777777" w:rsidR="005A3845" w:rsidRDefault="005A3845" w:rsidP="00DE11C4">
            <w:pPr>
              <w:jc w:val="center"/>
              <w:rPr>
                <w:rFonts w:ascii="Arial Narrow" w:eastAsia="Times New Roman" w:hAnsi="Arial Narrow"/>
                <w:sz w:val="16"/>
                <w:szCs w:val="16"/>
              </w:rPr>
            </w:pPr>
            <w:r>
              <w:rPr>
                <w:rStyle w:val="cell-value"/>
                <w:rFonts w:ascii="Arial Narrow" w:eastAsia="Times New Roman" w:hAnsi="Arial Narrow"/>
                <w:b/>
                <w:bCs/>
                <w:szCs w:val="18"/>
              </w:rPr>
              <w:t>485 per 1,000</w:t>
            </w:r>
            <w:r>
              <w:rPr>
                <w:rFonts w:ascii="Arial Narrow" w:eastAsia="Times New Roman" w:hAnsi="Arial Narrow"/>
                <w:szCs w:val="18"/>
              </w:rPr>
              <w:br/>
            </w:r>
            <w:r>
              <w:rPr>
                <w:rStyle w:val="cell-value"/>
                <w:rFonts w:ascii="Arial Narrow" w:eastAsia="Times New Roman" w:hAnsi="Arial Narrow"/>
                <w:szCs w:val="18"/>
              </w:rPr>
              <w:t>(442 to 538)</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33788441" w14:textId="77777777" w:rsidR="005A3845" w:rsidRDefault="005A3845" w:rsidP="00DE11C4">
            <w:pPr>
              <w:jc w:val="center"/>
              <w:rPr>
                <w:rFonts w:ascii="Arial Narrow" w:eastAsia="Times New Roman" w:hAnsi="Arial Narrow"/>
                <w:sz w:val="16"/>
                <w:szCs w:val="16"/>
              </w:rPr>
            </w:pPr>
            <w:r>
              <w:rPr>
                <w:rStyle w:val="block"/>
                <w:rFonts w:ascii="Arial Narrow" w:eastAsia="Times New Roman" w:hAnsi="Arial Narrow"/>
                <w:b/>
                <w:bCs/>
                <w:sz w:val="16"/>
                <w:szCs w:val="16"/>
              </w:rPr>
              <w:t>RR 1.01</w:t>
            </w:r>
            <w:r>
              <w:rPr>
                <w:rFonts w:ascii="Arial Narrow" w:eastAsia="Times New Roman" w:hAnsi="Arial Narrow"/>
                <w:sz w:val="16"/>
                <w:szCs w:val="16"/>
              </w:rPr>
              <w:br/>
            </w:r>
            <w:r>
              <w:rPr>
                <w:rStyle w:val="cell"/>
                <w:rFonts w:ascii="Arial Narrow" w:hAnsi="Arial Narrow"/>
                <w:sz w:val="16"/>
                <w:szCs w:val="16"/>
              </w:rPr>
              <w:t>(0.92 to 1.12)</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317683A9" w14:textId="77777777" w:rsidR="005A3845" w:rsidRDefault="005A3845" w:rsidP="00DE11C4">
            <w:pPr>
              <w:jc w:val="center"/>
              <w:rPr>
                <w:rFonts w:ascii="Arial Narrow" w:eastAsia="Times New Roman" w:hAnsi="Arial Narrow"/>
                <w:sz w:val="16"/>
                <w:szCs w:val="16"/>
              </w:rPr>
            </w:pPr>
            <w:r>
              <w:rPr>
                <w:rFonts w:ascii="Arial Narrow" w:eastAsia="Times New Roman" w:hAnsi="Arial Narrow"/>
                <w:sz w:val="16"/>
                <w:szCs w:val="16"/>
              </w:rPr>
              <w:t>1,327</w:t>
            </w:r>
            <w:r>
              <w:rPr>
                <w:rFonts w:ascii="Arial Narrow" w:eastAsia="Times New Roman" w:hAnsi="Arial Narrow"/>
                <w:sz w:val="16"/>
                <w:szCs w:val="16"/>
              </w:rPr>
              <w:br/>
              <w:t xml:space="preserve">(3 RCTs) </w:t>
            </w:r>
          </w:p>
        </w:tc>
        <w:tc>
          <w:tcPr>
            <w:tcW w:w="810" w:type="pct"/>
            <w:tcBorders>
              <w:top w:val="single" w:sz="6" w:space="0" w:color="000000"/>
              <w:left w:val="nil"/>
              <w:bottom w:val="single" w:sz="6" w:space="0" w:color="000000"/>
              <w:right w:val="nil"/>
            </w:tcBorders>
            <w:vAlign w:val="center"/>
            <w:hideMark/>
          </w:tcPr>
          <w:p w14:paraId="2AA5C044" w14:textId="4617EA4B" w:rsidR="005A3845" w:rsidRDefault="005A3845" w:rsidP="00DE11C4">
            <w:pPr>
              <w:jc w:val="center"/>
              <w:rPr>
                <w:rFonts w:ascii="Arial Narrow" w:eastAsia="Times New Roman" w:hAnsi="Arial Narrow"/>
                <w:sz w:val="16"/>
                <w:szCs w:val="16"/>
              </w:rPr>
            </w:pPr>
            <w:r>
              <w:rPr>
                <w:rStyle w:val="quality-sign"/>
                <w:rFonts w:ascii="Cambria" w:eastAsia="Cambria" w:hAnsi="Cambria" w:cs="Cambria"/>
                <w:sz w:val="21"/>
                <w:szCs w:val="21"/>
              </w:rPr>
              <w:t>⨁</w:t>
            </w:r>
            <w:r w:rsidR="00413AC1">
              <w:rPr>
                <w:rStyle w:val="quality-sign"/>
                <w:rFonts w:ascii="MS Mincho" w:eastAsia="MS Mincho" w:hAnsi="MS Mincho" w:cs="MS Mincho"/>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sidR="00413AC1">
              <w:rPr>
                <w:rStyle w:val="quality-text"/>
                <w:rFonts w:ascii="Arial Narrow" w:eastAsia="Times New Roman" w:hAnsi="Arial Narrow"/>
                <w:sz w:val="16"/>
                <w:szCs w:val="16"/>
              </w:rPr>
              <w:t xml:space="preserve">VERY </w:t>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sidR="00413AC1">
              <w:rPr>
                <w:rFonts w:ascii="Arial Narrow" w:eastAsia="Times New Roman" w:hAnsi="Arial Narrow"/>
                <w:sz w:val="16"/>
                <w:szCs w:val="16"/>
                <w:vertAlign w:val="superscript"/>
              </w:rPr>
              <w:t>,c</w:t>
            </w:r>
          </w:p>
        </w:tc>
      </w:tr>
      <w:tr w:rsidR="005A3845" w14:paraId="46C1329D" w14:textId="77777777" w:rsidTr="00413AC1">
        <w:trPr>
          <w:cantSplit/>
        </w:trPr>
        <w:tc>
          <w:tcPr>
            <w:tcW w:w="732" w:type="pct"/>
            <w:tcBorders>
              <w:top w:val="single" w:sz="6" w:space="0" w:color="000000"/>
              <w:left w:val="nil"/>
              <w:bottom w:val="single" w:sz="6" w:space="0" w:color="000000"/>
              <w:right w:val="nil"/>
            </w:tcBorders>
            <w:vAlign w:val="center"/>
            <w:hideMark/>
          </w:tcPr>
          <w:p w14:paraId="7CC17CE7" w14:textId="0B605607" w:rsidR="005A3845" w:rsidRDefault="005A3845" w:rsidP="005A3845">
            <w:pPr>
              <w:jc w:val="center"/>
              <w:rPr>
                <w:rFonts w:ascii="Arial Narrow" w:eastAsia="Times New Roman" w:hAnsi="Arial Narrow"/>
                <w:sz w:val="16"/>
                <w:szCs w:val="16"/>
              </w:rPr>
            </w:pPr>
            <w:r>
              <w:rPr>
                <w:rStyle w:val="label"/>
                <w:rFonts w:ascii="Arial Narrow" w:eastAsia="Times New Roman" w:hAnsi="Arial Narrow"/>
                <w:szCs w:val="18"/>
              </w:rPr>
              <w:t>Mean weight gain (kg per week)</w:t>
            </w:r>
            <w:r>
              <w:rPr>
                <w:rFonts w:ascii="Arial Narrow" w:eastAsia="Times New Roman" w:hAnsi="Arial Narrow"/>
                <w:sz w:val="16"/>
                <w:szCs w:val="16"/>
              </w:rPr>
              <w:t xml:space="preserve"> </w:t>
            </w:r>
          </w:p>
        </w:tc>
        <w:tc>
          <w:tcPr>
            <w:tcW w:w="875" w:type="pct"/>
            <w:tcBorders>
              <w:top w:val="single" w:sz="6" w:space="0" w:color="000000"/>
              <w:left w:val="nil"/>
              <w:bottom w:val="single" w:sz="6" w:space="0" w:color="000000"/>
              <w:right w:val="nil"/>
            </w:tcBorders>
            <w:shd w:val="clear" w:color="auto" w:fill="EBEBEB"/>
            <w:vAlign w:val="center"/>
            <w:hideMark/>
          </w:tcPr>
          <w:p w14:paraId="25E1B1A7" w14:textId="7CA6294C" w:rsidR="005A3845" w:rsidRDefault="005A3845" w:rsidP="005A3845">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weight gain (kg per week) - Overall was </w:t>
            </w:r>
            <w:r>
              <w:rPr>
                <w:rStyle w:val="cell-value"/>
                <w:rFonts w:ascii="Arial Narrow" w:eastAsia="Times New Roman" w:hAnsi="Arial Narrow"/>
                <w:b/>
                <w:bCs/>
                <w:sz w:val="16"/>
                <w:szCs w:val="16"/>
              </w:rPr>
              <w:t>0</w:t>
            </w:r>
            <w:r>
              <w:rPr>
                <w:rFonts w:ascii="Arial Narrow" w:eastAsia="Times New Roman" w:hAnsi="Arial Narrow"/>
                <w:sz w:val="16"/>
                <w:szCs w:val="16"/>
              </w:rPr>
              <w:t xml:space="preserve"> </w:t>
            </w:r>
          </w:p>
        </w:tc>
        <w:tc>
          <w:tcPr>
            <w:tcW w:w="1051" w:type="pct"/>
            <w:tcBorders>
              <w:top w:val="single" w:sz="6" w:space="0" w:color="000000"/>
              <w:left w:val="nil"/>
              <w:bottom w:val="single" w:sz="6" w:space="0" w:color="000000"/>
              <w:right w:val="nil"/>
            </w:tcBorders>
            <w:shd w:val="clear" w:color="auto" w:fill="EBEBEB"/>
            <w:hideMark/>
          </w:tcPr>
          <w:p w14:paraId="5E691BF9"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MD </w:t>
            </w:r>
            <w:r>
              <w:rPr>
                <w:rStyle w:val="cell-value"/>
                <w:rFonts w:ascii="Arial Narrow" w:eastAsia="Times New Roman" w:hAnsi="Arial Narrow"/>
                <w:b/>
                <w:bCs/>
                <w:sz w:val="16"/>
                <w:szCs w:val="16"/>
              </w:rPr>
              <w:t>0.01 higher</w:t>
            </w:r>
            <w:r>
              <w:rPr>
                <w:rFonts w:ascii="Arial Narrow" w:eastAsia="Times New Roman" w:hAnsi="Arial Narrow"/>
                <w:sz w:val="16"/>
                <w:szCs w:val="16"/>
              </w:rPr>
              <w:br/>
            </w:r>
            <w:r>
              <w:rPr>
                <w:rStyle w:val="cell-value"/>
                <w:rFonts w:ascii="Arial Narrow" w:eastAsia="Times New Roman" w:hAnsi="Arial Narrow"/>
                <w:sz w:val="16"/>
                <w:szCs w:val="16"/>
              </w:rPr>
              <w:t>(0.03 lower to 0.05 higher)</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0163042A" w14:textId="77777777" w:rsidR="005A3845" w:rsidRDefault="005A3845" w:rsidP="00AB6A13">
            <w:pPr>
              <w:jc w:val="center"/>
              <w:rPr>
                <w:rFonts w:ascii="Arial Narrow" w:eastAsia="Times New Roman" w:hAnsi="Arial Narrow"/>
                <w:sz w:val="16"/>
                <w:szCs w:val="16"/>
              </w:rPr>
            </w:pPr>
            <w:r>
              <w:rPr>
                <w:rStyle w:val="cell"/>
                <w:rFonts w:ascii="Arial Narrow" w:hAnsi="Arial Narrow"/>
                <w:sz w:val="16"/>
                <w:szCs w:val="16"/>
              </w:rPr>
              <w:t>-</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4EA37787" w14:textId="77777777" w:rsidR="005A3845" w:rsidRDefault="005A3845" w:rsidP="00AB6A13">
            <w:pPr>
              <w:jc w:val="center"/>
              <w:rPr>
                <w:rFonts w:ascii="Arial Narrow" w:eastAsia="Times New Roman" w:hAnsi="Arial Narrow"/>
                <w:sz w:val="16"/>
                <w:szCs w:val="16"/>
              </w:rPr>
            </w:pPr>
            <w:r>
              <w:rPr>
                <w:rFonts w:ascii="Arial Narrow" w:eastAsia="Times New Roman" w:hAnsi="Arial Narrow"/>
                <w:sz w:val="16"/>
                <w:szCs w:val="16"/>
              </w:rPr>
              <w:t>711</w:t>
            </w:r>
            <w:r>
              <w:rPr>
                <w:rFonts w:ascii="Arial Narrow" w:eastAsia="Times New Roman" w:hAnsi="Arial Narrow"/>
                <w:sz w:val="16"/>
                <w:szCs w:val="16"/>
              </w:rPr>
              <w:br/>
              <w:t xml:space="preserve">(2 RCTs) </w:t>
            </w:r>
          </w:p>
        </w:tc>
        <w:tc>
          <w:tcPr>
            <w:tcW w:w="810" w:type="pct"/>
            <w:tcBorders>
              <w:top w:val="single" w:sz="6" w:space="0" w:color="000000"/>
              <w:left w:val="nil"/>
              <w:bottom w:val="single" w:sz="6" w:space="0" w:color="000000"/>
              <w:right w:val="nil"/>
            </w:tcBorders>
            <w:vAlign w:val="center"/>
            <w:hideMark/>
          </w:tcPr>
          <w:p w14:paraId="702D5FB1" w14:textId="77777777" w:rsidR="005A3845" w:rsidRDefault="005A3845" w:rsidP="00AB6A13">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5A3845" w14:paraId="7F0D4F2B" w14:textId="77777777" w:rsidTr="00413AC1">
        <w:trPr>
          <w:cantSplit/>
        </w:trPr>
        <w:tc>
          <w:tcPr>
            <w:tcW w:w="732" w:type="pct"/>
            <w:tcBorders>
              <w:top w:val="single" w:sz="6" w:space="0" w:color="000000"/>
              <w:left w:val="nil"/>
              <w:bottom w:val="single" w:sz="6" w:space="0" w:color="000000"/>
              <w:right w:val="nil"/>
            </w:tcBorders>
            <w:vAlign w:val="center"/>
            <w:hideMark/>
          </w:tcPr>
          <w:p w14:paraId="10365602" w14:textId="77777777" w:rsidR="005A3845" w:rsidRDefault="005A3845" w:rsidP="00AB6A13">
            <w:pPr>
              <w:jc w:val="center"/>
              <w:rPr>
                <w:rFonts w:ascii="Arial Narrow" w:eastAsia="Times New Roman" w:hAnsi="Arial Narrow"/>
                <w:sz w:val="16"/>
                <w:szCs w:val="16"/>
              </w:rPr>
            </w:pPr>
            <w:r>
              <w:rPr>
                <w:rStyle w:val="label"/>
                <w:rFonts w:ascii="Arial Narrow" w:eastAsia="Times New Roman" w:hAnsi="Arial Narrow"/>
                <w:szCs w:val="18"/>
              </w:rPr>
              <w:t>Gestational diabetes</w:t>
            </w:r>
            <w:r>
              <w:rPr>
                <w:rFonts w:ascii="Arial Narrow" w:eastAsia="Times New Roman" w:hAnsi="Arial Narrow"/>
                <w:sz w:val="16"/>
                <w:szCs w:val="16"/>
              </w:rPr>
              <w:t xml:space="preserve"> </w:t>
            </w:r>
          </w:p>
        </w:tc>
        <w:tc>
          <w:tcPr>
            <w:tcW w:w="875" w:type="pct"/>
            <w:tcBorders>
              <w:top w:val="single" w:sz="6" w:space="0" w:color="000000"/>
              <w:left w:val="nil"/>
              <w:bottom w:val="single" w:sz="6" w:space="0" w:color="000000"/>
              <w:right w:val="nil"/>
            </w:tcBorders>
            <w:vAlign w:val="center"/>
            <w:hideMark/>
          </w:tcPr>
          <w:p w14:paraId="0F8E3870" w14:textId="77777777" w:rsidR="005A3845" w:rsidRDefault="005A3845" w:rsidP="00AB6A13">
            <w:pPr>
              <w:rPr>
                <w:rFonts w:ascii="Arial Narrow" w:eastAsia="Times New Roman" w:hAnsi="Arial Narrow"/>
                <w:sz w:val="16"/>
                <w:szCs w:val="16"/>
              </w:rPr>
            </w:pPr>
            <w:r>
              <w:rPr>
                <w:rFonts w:ascii="Arial Narrow" w:eastAsia="Times New Roman" w:hAnsi="Arial Narrow"/>
                <w:sz w:val="16"/>
                <w:szCs w:val="16"/>
              </w:rPr>
              <w:t xml:space="preserve">53 per 1,000 </w:t>
            </w:r>
          </w:p>
        </w:tc>
        <w:tc>
          <w:tcPr>
            <w:tcW w:w="1051" w:type="pct"/>
            <w:tcBorders>
              <w:top w:val="single" w:sz="6" w:space="0" w:color="000000"/>
              <w:left w:val="nil"/>
              <w:bottom w:val="single" w:sz="6" w:space="0" w:color="000000"/>
              <w:right w:val="nil"/>
            </w:tcBorders>
            <w:shd w:val="clear" w:color="auto" w:fill="EBEBEB"/>
            <w:hideMark/>
          </w:tcPr>
          <w:p w14:paraId="5E17CC85"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b/>
                <w:bCs/>
                <w:szCs w:val="18"/>
              </w:rPr>
              <w:t>55 per 1,000</w:t>
            </w:r>
            <w:r>
              <w:rPr>
                <w:rFonts w:ascii="Arial Narrow" w:eastAsia="Times New Roman" w:hAnsi="Arial Narrow"/>
                <w:szCs w:val="18"/>
              </w:rPr>
              <w:br/>
            </w:r>
            <w:r>
              <w:rPr>
                <w:rStyle w:val="cell-value"/>
                <w:rFonts w:ascii="Arial Narrow" w:eastAsia="Times New Roman" w:hAnsi="Arial Narrow"/>
                <w:szCs w:val="18"/>
              </w:rPr>
              <w:t>(30 to 98)</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520DEE1F" w14:textId="77777777" w:rsidR="005A3845" w:rsidRDefault="005A3845" w:rsidP="00AB6A13">
            <w:pPr>
              <w:jc w:val="center"/>
              <w:rPr>
                <w:rFonts w:ascii="Arial Narrow" w:eastAsia="Times New Roman" w:hAnsi="Arial Narrow"/>
                <w:sz w:val="16"/>
                <w:szCs w:val="16"/>
              </w:rPr>
            </w:pPr>
            <w:r>
              <w:rPr>
                <w:rStyle w:val="block"/>
                <w:rFonts w:ascii="Arial Narrow" w:eastAsia="Times New Roman" w:hAnsi="Arial Narrow"/>
                <w:b/>
                <w:bCs/>
                <w:sz w:val="16"/>
                <w:szCs w:val="16"/>
              </w:rPr>
              <w:t>RR 1.03</w:t>
            </w:r>
            <w:r>
              <w:rPr>
                <w:rFonts w:ascii="Arial Narrow" w:eastAsia="Times New Roman" w:hAnsi="Arial Narrow"/>
                <w:sz w:val="16"/>
                <w:szCs w:val="16"/>
              </w:rPr>
              <w:br/>
            </w:r>
            <w:r>
              <w:rPr>
                <w:rStyle w:val="cell"/>
                <w:rFonts w:ascii="Arial Narrow" w:hAnsi="Arial Narrow"/>
                <w:sz w:val="16"/>
                <w:szCs w:val="16"/>
              </w:rPr>
              <w:t>(0.57 to 1.85)</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7B74F300" w14:textId="77777777" w:rsidR="005A3845" w:rsidRDefault="005A3845" w:rsidP="00AB6A13">
            <w:pPr>
              <w:jc w:val="center"/>
              <w:rPr>
                <w:rFonts w:ascii="Arial Narrow" w:eastAsia="Times New Roman" w:hAnsi="Arial Narrow"/>
                <w:sz w:val="16"/>
                <w:szCs w:val="16"/>
              </w:rPr>
            </w:pPr>
            <w:r>
              <w:rPr>
                <w:rFonts w:ascii="Arial Narrow" w:eastAsia="Times New Roman" w:hAnsi="Arial Narrow"/>
                <w:sz w:val="16"/>
                <w:szCs w:val="16"/>
              </w:rPr>
              <w:t>782</w:t>
            </w:r>
            <w:r>
              <w:rPr>
                <w:rFonts w:ascii="Arial Narrow" w:eastAsia="Times New Roman" w:hAnsi="Arial Narrow"/>
                <w:sz w:val="16"/>
                <w:szCs w:val="16"/>
              </w:rPr>
              <w:br/>
              <w:t xml:space="preserve">(1 RCT) </w:t>
            </w:r>
          </w:p>
        </w:tc>
        <w:tc>
          <w:tcPr>
            <w:tcW w:w="810" w:type="pct"/>
            <w:tcBorders>
              <w:top w:val="single" w:sz="6" w:space="0" w:color="000000"/>
              <w:left w:val="nil"/>
              <w:bottom w:val="single" w:sz="6" w:space="0" w:color="000000"/>
              <w:right w:val="nil"/>
            </w:tcBorders>
            <w:vAlign w:val="center"/>
            <w:hideMark/>
          </w:tcPr>
          <w:p w14:paraId="509B3BBD" w14:textId="77777777" w:rsidR="005A3845" w:rsidRDefault="005A3845" w:rsidP="00AB6A13">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5A3845" w14:paraId="2F083C0C" w14:textId="77777777" w:rsidTr="00413AC1">
        <w:trPr>
          <w:cantSplit/>
        </w:trPr>
        <w:tc>
          <w:tcPr>
            <w:tcW w:w="732" w:type="pct"/>
            <w:tcBorders>
              <w:top w:val="single" w:sz="6" w:space="0" w:color="000000"/>
              <w:left w:val="nil"/>
              <w:bottom w:val="single" w:sz="6" w:space="0" w:color="000000"/>
              <w:right w:val="nil"/>
            </w:tcBorders>
            <w:vAlign w:val="center"/>
            <w:hideMark/>
          </w:tcPr>
          <w:p w14:paraId="3CA32486" w14:textId="09D11134" w:rsidR="005A3845" w:rsidRDefault="005A3845" w:rsidP="00AB6A13">
            <w:pPr>
              <w:jc w:val="center"/>
              <w:rPr>
                <w:rFonts w:ascii="Arial Narrow" w:eastAsia="Times New Roman" w:hAnsi="Arial Narrow"/>
                <w:sz w:val="16"/>
                <w:szCs w:val="16"/>
              </w:rPr>
            </w:pPr>
            <w:r>
              <w:rPr>
                <w:rStyle w:val="label"/>
                <w:rFonts w:ascii="Arial Narrow" w:eastAsia="Times New Roman" w:hAnsi="Arial Narrow"/>
                <w:szCs w:val="18"/>
              </w:rPr>
              <w:t>Gestational hypertension/</w:t>
            </w:r>
            <w:r>
              <w:rPr>
                <w:rStyle w:val="label"/>
                <w:rFonts w:ascii="Arial Narrow" w:eastAsia="Times New Roman" w:hAnsi="Arial Narrow"/>
                <w:szCs w:val="18"/>
              </w:rPr>
              <w:br/>
              <w:t>pre-eclampsia</w:t>
            </w:r>
            <w:r>
              <w:rPr>
                <w:rFonts w:ascii="Arial Narrow" w:eastAsia="Times New Roman" w:hAnsi="Arial Narrow"/>
                <w:sz w:val="16"/>
                <w:szCs w:val="16"/>
              </w:rPr>
              <w:t xml:space="preserve"> </w:t>
            </w:r>
          </w:p>
        </w:tc>
        <w:tc>
          <w:tcPr>
            <w:tcW w:w="875" w:type="pct"/>
            <w:tcBorders>
              <w:top w:val="single" w:sz="6" w:space="0" w:color="000000"/>
              <w:left w:val="nil"/>
              <w:bottom w:val="single" w:sz="6" w:space="0" w:color="000000"/>
              <w:right w:val="nil"/>
            </w:tcBorders>
            <w:vAlign w:val="center"/>
            <w:hideMark/>
          </w:tcPr>
          <w:p w14:paraId="59BD04EA" w14:textId="77777777" w:rsidR="005A3845" w:rsidRDefault="005A3845" w:rsidP="00AB6A13">
            <w:pPr>
              <w:rPr>
                <w:rFonts w:ascii="Arial Narrow" w:eastAsia="Times New Roman" w:hAnsi="Arial Narrow"/>
                <w:sz w:val="16"/>
                <w:szCs w:val="16"/>
              </w:rPr>
            </w:pPr>
            <w:r>
              <w:rPr>
                <w:rFonts w:ascii="Arial Narrow" w:eastAsia="Times New Roman" w:hAnsi="Arial Narrow"/>
                <w:sz w:val="16"/>
                <w:szCs w:val="16"/>
              </w:rPr>
              <w:t xml:space="preserve">40 per 1,000 </w:t>
            </w:r>
          </w:p>
        </w:tc>
        <w:tc>
          <w:tcPr>
            <w:tcW w:w="1051" w:type="pct"/>
            <w:tcBorders>
              <w:top w:val="single" w:sz="6" w:space="0" w:color="000000"/>
              <w:left w:val="nil"/>
              <w:bottom w:val="single" w:sz="6" w:space="0" w:color="000000"/>
              <w:right w:val="nil"/>
            </w:tcBorders>
            <w:shd w:val="clear" w:color="auto" w:fill="EBEBEB"/>
            <w:hideMark/>
          </w:tcPr>
          <w:p w14:paraId="437275DA"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b/>
                <w:bCs/>
                <w:szCs w:val="18"/>
              </w:rPr>
              <w:t>46 per 1,000</w:t>
            </w:r>
            <w:r>
              <w:rPr>
                <w:rFonts w:ascii="Arial Narrow" w:eastAsia="Times New Roman" w:hAnsi="Arial Narrow"/>
                <w:szCs w:val="18"/>
              </w:rPr>
              <w:br/>
            </w:r>
            <w:r>
              <w:rPr>
                <w:rStyle w:val="cell-value"/>
                <w:rFonts w:ascii="Arial Narrow" w:eastAsia="Times New Roman" w:hAnsi="Arial Narrow"/>
                <w:szCs w:val="18"/>
              </w:rPr>
              <w:t>(24 to 90)</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191FF4CE" w14:textId="77777777" w:rsidR="005A3845" w:rsidRDefault="005A3845" w:rsidP="00AB6A13">
            <w:pPr>
              <w:jc w:val="center"/>
              <w:rPr>
                <w:rFonts w:ascii="Arial Narrow" w:eastAsia="Times New Roman" w:hAnsi="Arial Narrow"/>
                <w:sz w:val="16"/>
                <w:szCs w:val="16"/>
              </w:rPr>
            </w:pPr>
            <w:r>
              <w:rPr>
                <w:rStyle w:val="block"/>
                <w:rFonts w:ascii="Arial Narrow" w:eastAsia="Times New Roman" w:hAnsi="Arial Narrow"/>
                <w:b/>
                <w:bCs/>
                <w:sz w:val="16"/>
                <w:szCs w:val="16"/>
              </w:rPr>
              <w:t>RR 1.15</w:t>
            </w:r>
            <w:r>
              <w:rPr>
                <w:rFonts w:ascii="Arial Narrow" w:eastAsia="Times New Roman" w:hAnsi="Arial Narrow"/>
                <w:sz w:val="16"/>
                <w:szCs w:val="16"/>
              </w:rPr>
              <w:br/>
            </w:r>
            <w:r>
              <w:rPr>
                <w:rStyle w:val="cell"/>
                <w:rFonts w:ascii="Arial Narrow" w:hAnsi="Arial Narrow"/>
                <w:sz w:val="16"/>
                <w:szCs w:val="16"/>
              </w:rPr>
              <w:t>(0.60 to 2.23)</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79FF36AF" w14:textId="77777777" w:rsidR="005A3845" w:rsidRDefault="005A3845" w:rsidP="00AB6A13">
            <w:pPr>
              <w:jc w:val="center"/>
              <w:rPr>
                <w:rFonts w:ascii="Arial Narrow" w:eastAsia="Times New Roman" w:hAnsi="Arial Narrow"/>
                <w:sz w:val="16"/>
                <w:szCs w:val="16"/>
              </w:rPr>
            </w:pPr>
            <w:r>
              <w:rPr>
                <w:rFonts w:ascii="Arial Narrow" w:eastAsia="Times New Roman" w:hAnsi="Arial Narrow"/>
                <w:sz w:val="16"/>
                <w:szCs w:val="16"/>
              </w:rPr>
              <w:t>782</w:t>
            </w:r>
            <w:r>
              <w:rPr>
                <w:rFonts w:ascii="Arial Narrow" w:eastAsia="Times New Roman" w:hAnsi="Arial Narrow"/>
                <w:sz w:val="16"/>
                <w:szCs w:val="16"/>
              </w:rPr>
              <w:br/>
              <w:t xml:space="preserve">(1 RCT) </w:t>
            </w:r>
          </w:p>
        </w:tc>
        <w:tc>
          <w:tcPr>
            <w:tcW w:w="810" w:type="pct"/>
            <w:tcBorders>
              <w:top w:val="single" w:sz="6" w:space="0" w:color="000000"/>
              <w:left w:val="nil"/>
              <w:bottom w:val="single" w:sz="6" w:space="0" w:color="000000"/>
              <w:right w:val="nil"/>
            </w:tcBorders>
            <w:vAlign w:val="center"/>
            <w:hideMark/>
          </w:tcPr>
          <w:p w14:paraId="4EE1CC16" w14:textId="77777777" w:rsidR="005A3845" w:rsidRDefault="005A3845" w:rsidP="00AB6A13">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5A3845" w14:paraId="36D03FFA" w14:textId="77777777" w:rsidTr="00413AC1">
        <w:trPr>
          <w:cantSplit/>
        </w:trPr>
        <w:tc>
          <w:tcPr>
            <w:tcW w:w="732" w:type="pct"/>
            <w:tcBorders>
              <w:top w:val="single" w:sz="6" w:space="0" w:color="000000"/>
              <w:left w:val="nil"/>
              <w:bottom w:val="single" w:sz="6" w:space="0" w:color="000000"/>
              <w:right w:val="nil"/>
            </w:tcBorders>
            <w:vAlign w:val="center"/>
            <w:hideMark/>
          </w:tcPr>
          <w:p w14:paraId="69F474BE" w14:textId="77777777" w:rsidR="005A3845" w:rsidRDefault="005A3845" w:rsidP="00AB6A13">
            <w:pPr>
              <w:jc w:val="center"/>
              <w:rPr>
                <w:rFonts w:ascii="Arial Narrow" w:eastAsia="Times New Roman" w:hAnsi="Arial Narrow"/>
                <w:sz w:val="16"/>
                <w:szCs w:val="16"/>
              </w:rPr>
            </w:pPr>
            <w:r>
              <w:rPr>
                <w:rStyle w:val="label"/>
                <w:rFonts w:ascii="Arial Narrow" w:eastAsia="Times New Roman" w:hAnsi="Arial Narrow"/>
                <w:szCs w:val="18"/>
              </w:rPr>
              <w:t>Macrosomia</w:t>
            </w:r>
            <w:r>
              <w:rPr>
                <w:rFonts w:ascii="Arial Narrow" w:eastAsia="Times New Roman" w:hAnsi="Arial Narrow"/>
                <w:sz w:val="16"/>
                <w:szCs w:val="16"/>
              </w:rPr>
              <w:t xml:space="preserve"> </w:t>
            </w:r>
          </w:p>
        </w:tc>
        <w:tc>
          <w:tcPr>
            <w:tcW w:w="875" w:type="pct"/>
            <w:tcBorders>
              <w:top w:val="single" w:sz="6" w:space="0" w:color="000000"/>
              <w:left w:val="nil"/>
              <w:bottom w:val="single" w:sz="6" w:space="0" w:color="000000"/>
              <w:right w:val="nil"/>
            </w:tcBorders>
            <w:vAlign w:val="center"/>
            <w:hideMark/>
          </w:tcPr>
          <w:p w14:paraId="622F9BCD" w14:textId="77777777" w:rsidR="005A3845" w:rsidRDefault="005A3845" w:rsidP="00AB6A13">
            <w:pPr>
              <w:rPr>
                <w:rFonts w:ascii="Arial Narrow" w:eastAsia="Times New Roman" w:hAnsi="Arial Narrow"/>
                <w:sz w:val="16"/>
                <w:szCs w:val="16"/>
              </w:rPr>
            </w:pPr>
            <w:r>
              <w:rPr>
                <w:rFonts w:ascii="Arial Narrow" w:eastAsia="Times New Roman" w:hAnsi="Arial Narrow"/>
                <w:sz w:val="16"/>
                <w:szCs w:val="16"/>
              </w:rPr>
              <w:t xml:space="preserve">71 per 1,000 </w:t>
            </w:r>
          </w:p>
        </w:tc>
        <w:tc>
          <w:tcPr>
            <w:tcW w:w="1051" w:type="pct"/>
            <w:tcBorders>
              <w:top w:val="single" w:sz="6" w:space="0" w:color="000000"/>
              <w:left w:val="nil"/>
              <w:bottom w:val="single" w:sz="6" w:space="0" w:color="000000"/>
              <w:right w:val="nil"/>
            </w:tcBorders>
            <w:shd w:val="clear" w:color="auto" w:fill="EBEBEB"/>
            <w:hideMark/>
          </w:tcPr>
          <w:p w14:paraId="5778EE33"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b/>
                <w:bCs/>
                <w:szCs w:val="18"/>
              </w:rPr>
              <w:t>70 per 1,000</w:t>
            </w:r>
            <w:r>
              <w:rPr>
                <w:rFonts w:ascii="Arial Narrow" w:eastAsia="Times New Roman" w:hAnsi="Arial Narrow"/>
                <w:szCs w:val="18"/>
              </w:rPr>
              <w:br/>
            </w:r>
            <w:r>
              <w:rPr>
                <w:rStyle w:val="cell-value"/>
                <w:rFonts w:ascii="Arial Narrow" w:eastAsia="Times New Roman" w:hAnsi="Arial Narrow"/>
                <w:szCs w:val="18"/>
              </w:rPr>
              <w:t>(42 to 117)</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5556F57D" w14:textId="77777777" w:rsidR="005A3845" w:rsidRDefault="005A3845" w:rsidP="00AB6A13">
            <w:pPr>
              <w:jc w:val="center"/>
              <w:rPr>
                <w:rFonts w:ascii="Arial Narrow" w:eastAsia="Times New Roman" w:hAnsi="Arial Narrow"/>
                <w:sz w:val="16"/>
                <w:szCs w:val="16"/>
              </w:rPr>
            </w:pPr>
            <w:r>
              <w:rPr>
                <w:rStyle w:val="block"/>
                <w:rFonts w:ascii="Arial Narrow" w:eastAsia="Times New Roman" w:hAnsi="Arial Narrow"/>
                <w:b/>
                <w:bCs/>
                <w:sz w:val="16"/>
                <w:szCs w:val="16"/>
              </w:rPr>
              <w:t>RR 0.99</w:t>
            </w:r>
            <w:r>
              <w:rPr>
                <w:rFonts w:ascii="Arial Narrow" w:eastAsia="Times New Roman" w:hAnsi="Arial Narrow"/>
                <w:sz w:val="16"/>
                <w:szCs w:val="16"/>
              </w:rPr>
              <w:br/>
            </w:r>
            <w:r>
              <w:rPr>
                <w:rStyle w:val="cell"/>
                <w:rFonts w:ascii="Arial Narrow" w:hAnsi="Arial Narrow"/>
                <w:sz w:val="16"/>
                <w:szCs w:val="16"/>
              </w:rPr>
              <w:t>(0.59 to 1.65)</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0414A9E2" w14:textId="77777777" w:rsidR="005A3845" w:rsidRDefault="005A3845" w:rsidP="00AB6A13">
            <w:pPr>
              <w:jc w:val="center"/>
              <w:rPr>
                <w:rFonts w:ascii="Arial Narrow" w:eastAsia="Times New Roman" w:hAnsi="Arial Narrow"/>
                <w:sz w:val="16"/>
                <w:szCs w:val="16"/>
              </w:rPr>
            </w:pPr>
            <w:r>
              <w:rPr>
                <w:rFonts w:ascii="Arial Narrow" w:eastAsia="Times New Roman" w:hAnsi="Arial Narrow"/>
                <w:sz w:val="16"/>
                <w:szCs w:val="16"/>
              </w:rPr>
              <w:t>782</w:t>
            </w:r>
            <w:r>
              <w:rPr>
                <w:rFonts w:ascii="Arial Narrow" w:eastAsia="Times New Roman" w:hAnsi="Arial Narrow"/>
                <w:sz w:val="16"/>
                <w:szCs w:val="16"/>
              </w:rPr>
              <w:br/>
              <w:t xml:space="preserve">(1 RCT) </w:t>
            </w:r>
          </w:p>
        </w:tc>
        <w:tc>
          <w:tcPr>
            <w:tcW w:w="810" w:type="pct"/>
            <w:tcBorders>
              <w:top w:val="single" w:sz="6" w:space="0" w:color="000000"/>
              <w:left w:val="nil"/>
              <w:bottom w:val="single" w:sz="6" w:space="0" w:color="000000"/>
              <w:right w:val="nil"/>
            </w:tcBorders>
            <w:vAlign w:val="center"/>
            <w:hideMark/>
          </w:tcPr>
          <w:p w14:paraId="27C6050A" w14:textId="77777777" w:rsidR="005A3845" w:rsidRDefault="005A3845" w:rsidP="00AB6A13">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5A3845" w14:paraId="7E65E361" w14:textId="77777777" w:rsidTr="00413AC1">
        <w:trPr>
          <w:cantSplit/>
        </w:trPr>
        <w:tc>
          <w:tcPr>
            <w:tcW w:w="732" w:type="pct"/>
            <w:tcBorders>
              <w:top w:val="single" w:sz="6" w:space="0" w:color="000000"/>
              <w:left w:val="nil"/>
              <w:bottom w:val="single" w:sz="6" w:space="0" w:color="000000"/>
              <w:right w:val="nil"/>
            </w:tcBorders>
            <w:vAlign w:val="center"/>
            <w:hideMark/>
          </w:tcPr>
          <w:p w14:paraId="6E3323C6" w14:textId="77777777" w:rsidR="005A3845" w:rsidRDefault="005A3845" w:rsidP="00AB6A13">
            <w:pPr>
              <w:jc w:val="center"/>
              <w:rPr>
                <w:rFonts w:ascii="Arial Narrow" w:eastAsia="Times New Roman" w:hAnsi="Arial Narrow"/>
                <w:sz w:val="16"/>
                <w:szCs w:val="16"/>
              </w:rPr>
            </w:pPr>
            <w:r>
              <w:rPr>
                <w:rStyle w:val="label"/>
                <w:rFonts w:ascii="Arial Narrow" w:eastAsia="Times New Roman" w:hAnsi="Arial Narrow"/>
                <w:szCs w:val="18"/>
              </w:rPr>
              <w:t>Depression (HADS score)</w:t>
            </w:r>
            <w:r>
              <w:rPr>
                <w:rFonts w:ascii="Arial Narrow" w:eastAsia="Times New Roman" w:hAnsi="Arial Narrow"/>
                <w:sz w:val="16"/>
                <w:szCs w:val="16"/>
              </w:rPr>
              <w:t xml:space="preserve"> </w:t>
            </w:r>
          </w:p>
        </w:tc>
        <w:tc>
          <w:tcPr>
            <w:tcW w:w="875" w:type="pct"/>
            <w:tcBorders>
              <w:top w:val="single" w:sz="6" w:space="0" w:color="000000"/>
              <w:left w:val="nil"/>
              <w:bottom w:val="single" w:sz="6" w:space="0" w:color="000000"/>
              <w:right w:val="nil"/>
            </w:tcBorders>
            <w:shd w:val="clear" w:color="auto" w:fill="EBEBEB"/>
            <w:vAlign w:val="center"/>
            <w:hideMark/>
          </w:tcPr>
          <w:p w14:paraId="3AF0477C"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depression (HADS score) was </w:t>
            </w:r>
            <w:r>
              <w:rPr>
                <w:rStyle w:val="cell-value"/>
                <w:rFonts w:ascii="Arial Narrow" w:eastAsia="Times New Roman" w:hAnsi="Arial Narrow"/>
                <w:b/>
                <w:bCs/>
                <w:sz w:val="16"/>
                <w:szCs w:val="16"/>
              </w:rPr>
              <w:t>0</w:t>
            </w:r>
            <w:r>
              <w:rPr>
                <w:rFonts w:ascii="Arial Narrow" w:eastAsia="Times New Roman" w:hAnsi="Arial Narrow"/>
                <w:sz w:val="16"/>
                <w:szCs w:val="16"/>
              </w:rPr>
              <w:t xml:space="preserve"> </w:t>
            </w:r>
          </w:p>
        </w:tc>
        <w:tc>
          <w:tcPr>
            <w:tcW w:w="1051" w:type="pct"/>
            <w:tcBorders>
              <w:top w:val="single" w:sz="6" w:space="0" w:color="000000"/>
              <w:left w:val="nil"/>
              <w:bottom w:val="single" w:sz="6" w:space="0" w:color="000000"/>
              <w:right w:val="nil"/>
            </w:tcBorders>
            <w:shd w:val="clear" w:color="auto" w:fill="EBEBEB"/>
            <w:hideMark/>
          </w:tcPr>
          <w:p w14:paraId="2EF330E5"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MD </w:t>
            </w:r>
            <w:r>
              <w:rPr>
                <w:rStyle w:val="cell-value"/>
                <w:rFonts w:ascii="Arial Narrow" w:eastAsia="Times New Roman" w:hAnsi="Arial Narrow"/>
                <w:b/>
                <w:bCs/>
                <w:sz w:val="16"/>
                <w:szCs w:val="16"/>
              </w:rPr>
              <w:t>0.77 lower</w:t>
            </w:r>
            <w:r>
              <w:rPr>
                <w:rFonts w:ascii="Arial Narrow" w:eastAsia="Times New Roman" w:hAnsi="Arial Narrow"/>
                <w:sz w:val="16"/>
                <w:szCs w:val="16"/>
              </w:rPr>
              <w:br/>
            </w:r>
            <w:r>
              <w:rPr>
                <w:rStyle w:val="cell-value"/>
                <w:rFonts w:ascii="Arial Narrow" w:eastAsia="Times New Roman" w:hAnsi="Arial Narrow"/>
                <w:sz w:val="16"/>
                <w:szCs w:val="16"/>
              </w:rPr>
              <w:t>(1.44 lower to 0.09 lower)</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42A79AA8" w14:textId="77777777" w:rsidR="005A3845" w:rsidRDefault="005A3845" w:rsidP="00AB6A13">
            <w:pPr>
              <w:jc w:val="center"/>
              <w:rPr>
                <w:rFonts w:ascii="Arial Narrow" w:eastAsia="Times New Roman" w:hAnsi="Arial Narrow"/>
                <w:sz w:val="16"/>
                <w:szCs w:val="16"/>
              </w:rPr>
            </w:pPr>
            <w:r>
              <w:rPr>
                <w:rStyle w:val="cell"/>
                <w:rFonts w:ascii="Arial Narrow" w:hAnsi="Arial Narrow"/>
                <w:sz w:val="16"/>
                <w:szCs w:val="16"/>
              </w:rPr>
              <w:t>-</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32E4F43A" w14:textId="77777777" w:rsidR="005A3845" w:rsidRDefault="005A3845" w:rsidP="00AB6A13">
            <w:pPr>
              <w:jc w:val="center"/>
              <w:rPr>
                <w:rFonts w:ascii="Arial Narrow" w:eastAsia="Times New Roman" w:hAnsi="Arial Narrow"/>
                <w:sz w:val="16"/>
                <w:szCs w:val="16"/>
              </w:rPr>
            </w:pPr>
            <w:r>
              <w:rPr>
                <w:rFonts w:ascii="Arial Narrow" w:eastAsia="Times New Roman" w:hAnsi="Arial Narrow"/>
                <w:sz w:val="16"/>
                <w:szCs w:val="16"/>
              </w:rPr>
              <w:t>313</w:t>
            </w:r>
            <w:r>
              <w:rPr>
                <w:rFonts w:ascii="Arial Narrow" w:eastAsia="Times New Roman" w:hAnsi="Arial Narrow"/>
                <w:sz w:val="16"/>
                <w:szCs w:val="16"/>
              </w:rPr>
              <w:br/>
              <w:t xml:space="preserve">(2 RCTs) </w:t>
            </w:r>
          </w:p>
        </w:tc>
        <w:tc>
          <w:tcPr>
            <w:tcW w:w="810" w:type="pct"/>
            <w:tcBorders>
              <w:top w:val="single" w:sz="6" w:space="0" w:color="000000"/>
              <w:left w:val="nil"/>
              <w:bottom w:val="single" w:sz="6" w:space="0" w:color="000000"/>
              <w:right w:val="nil"/>
            </w:tcBorders>
            <w:vAlign w:val="center"/>
            <w:hideMark/>
          </w:tcPr>
          <w:p w14:paraId="147A1CB4" w14:textId="77777777" w:rsidR="005A3845" w:rsidRDefault="005A3845" w:rsidP="00AB6A13">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5A3845" w14:paraId="6BF6F710" w14:textId="77777777" w:rsidTr="00413AC1">
        <w:trPr>
          <w:cantSplit/>
        </w:trPr>
        <w:tc>
          <w:tcPr>
            <w:tcW w:w="732" w:type="pct"/>
            <w:tcBorders>
              <w:top w:val="single" w:sz="6" w:space="0" w:color="000000"/>
              <w:left w:val="nil"/>
              <w:bottom w:val="single" w:sz="6" w:space="0" w:color="000000"/>
              <w:right w:val="nil"/>
            </w:tcBorders>
            <w:vAlign w:val="center"/>
            <w:hideMark/>
          </w:tcPr>
          <w:p w14:paraId="25D10CE1" w14:textId="348DB662" w:rsidR="005A3845" w:rsidRDefault="005A3845" w:rsidP="00AB6A13">
            <w:pPr>
              <w:jc w:val="center"/>
              <w:rPr>
                <w:rFonts w:ascii="Arial Narrow" w:eastAsia="Times New Roman" w:hAnsi="Arial Narrow"/>
                <w:sz w:val="16"/>
                <w:szCs w:val="16"/>
              </w:rPr>
            </w:pPr>
            <w:r>
              <w:rPr>
                <w:rStyle w:val="label"/>
                <w:rFonts w:ascii="Arial Narrow" w:eastAsia="Times New Roman" w:hAnsi="Arial Narrow"/>
                <w:szCs w:val="18"/>
              </w:rPr>
              <w:t xml:space="preserve">Anxiety </w:t>
            </w:r>
            <w:r>
              <w:rPr>
                <w:rStyle w:val="label"/>
                <w:rFonts w:ascii="Arial Narrow" w:eastAsia="Times New Roman" w:hAnsi="Arial Narrow"/>
                <w:szCs w:val="18"/>
              </w:rPr>
              <w:br/>
              <w:t>(HADS score)</w:t>
            </w:r>
            <w:r>
              <w:rPr>
                <w:rFonts w:ascii="Arial Narrow" w:eastAsia="Times New Roman" w:hAnsi="Arial Narrow"/>
                <w:sz w:val="16"/>
                <w:szCs w:val="16"/>
              </w:rPr>
              <w:t xml:space="preserve"> </w:t>
            </w:r>
          </w:p>
        </w:tc>
        <w:tc>
          <w:tcPr>
            <w:tcW w:w="875" w:type="pct"/>
            <w:tcBorders>
              <w:top w:val="single" w:sz="6" w:space="0" w:color="000000"/>
              <w:left w:val="nil"/>
              <w:bottom w:val="single" w:sz="6" w:space="0" w:color="000000"/>
              <w:right w:val="nil"/>
            </w:tcBorders>
            <w:shd w:val="clear" w:color="auto" w:fill="EBEBEB"/>
            <w:vAlign w:val="center"/>
            <w:hideMark/>
          </w:tcPr>
          <w:p w14:paraId="5FE7EB54"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anxiety (HADS score) was </w:t>
            </w:r>
            <w:r>
              <w:rPr>
                <w:rStyle w:val="cell-value"/>
                <w:rFonts w:ascii="Arial Narrow" w:eastAsia="Times New Roman" w:hAnsi="Arial Narrow"/>
                <w:b/>
                <w:bCs/>
                <w:sz w:val="16"/>
                <w:szCs w:val="16"/>
              </w:rPr>
              <w:t>0</w:t>
            </w:r>
            <w:r>
              <w:rPr>
                <w:rFonts w:ascii="Arial Narrow" w:eastAsia="Times New Roman" w:hAnsi="Arial Narrow"/>
                <w:sz w:val="16"/>
                <w:szCs w:val="16"/>
              </w:rPr>
              <w:t xml:space="preserve"> </w:t>
            </w:r>
          </w:p>
        </w:tc>
        <w:tc>
          <w:tcPr>
            <w:tcW w:w="1051" w:type="pct"/>
            <w:tcBorders>
              <w:top w:val="single" w:sz="6" w:space="0" w:color="000000"/>
              <w:left w:val="nil"/>
              <w:bottom w:val="single" w:sz="6" w:space="0" w:color="000000"/>
              <w:right w:val="nil"/>
            </w:tcBorders>
            <w:shd w:val="clear" w:color="auto" w:fill="EBEBEB"/>
            <w:hideMark/>
          </w:tcPr>
          <w:p w14:paraId="5F3BDC51" w14:textId="77777777" w:rsidR="005A3845" w:rsidRDefault="005A3845" w:rsidP="00AB6A13">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MD </w:t>
            </w:r>
            <w:r>
              <w:rPr>
                <w:rStyle w:val="cell-value"/>
                <w:rFonts w:ascii="Arial Narrow" w:eastAsia="Times New Roman" w:hAnsi="Arial Narrow"/>
                <w:b/>
                <w:bCs/>
                <w:sz w:val="16"/>
                <w:szCs w:val="16"/>
              </w:rPr>
              <w:t>0.77 lower</w:t>
            </w:r>
            <w:r>
              <w:rPr>
                <w:rFonts w:ascii="Arial Narrow" w:eastAsia="Times New Roman" w:hAnsi="Arial Narrow"/>
                <w:sz w:val="16"/>
                <w:szCs w:val="16"/>
              </w:rPr>
              <w:br/>
            </w:r>
            <w:r>
              <w:rPr>
                <w:rStyle w:val="cell-value"/>
                <w:rFonts w:ascii="Arial Narrow" w:eastAsia="Times New Roman" w:hAnsi="Arial Narrow"/>
                <w:sz w:val="16"/>
                <w:szCs w:val="16"/>
              </w:rPr>
              <w:t>(1.48 lower to 0.06 lower)</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167FF15C" w14:textId="77777777" w:rsidR="005A3845" w:rsidRDefault="005A3845" w:rsidP="00AB6A13">
            <w:pPr>
              <w:jc w:val="center"/>
              <w:rPr>
                <w:rFonts w:ascii="Arial Narrow" w:eastAsia="Times New Roman" w:hAnsi="Arial Narrow"/>
                <w:sz w:val="16"/>
                <w:szCs w:val="16"/>
              </w:rPr>
            </w:pPr>
            <w:r>
              <w:rPr>
                <w:rStyle w:val="cell"/>
                <w:rFonts w:ascii="Arial Narrow" w:hAnsi="Arial Narrow"/>
                <w:sz w:val="16"/>
                <w:szCs w:val="16"/>
              </w:rPr>
              <w:t>-</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455B1968" w14:textId="77777777" w:rsidR="005A3845" w:rsidRDefault="005A3845" w:rsidP="00AB6A13">
            <w:pPr>
              <w:jc w:val="center"/>
              <w:rPr>
                <w:rFonts w:ascii="Arial Narrow" w:eastAsia="Times New Roman" w:hAnsi="Arial Narrow"/>
                <w:sz w:val="16"/>
                <w:szCs w:val="16"/>
              </w:rPr>
            </w:pPr>
            <w:r>
              <w:rPr>
                <w:rFonts w:ascii="Arial Narrow" w:eastAsia="Times New Roman" w:hAnsi="Arial Narrow"/>
                <w:sz w:val="16"/>
                <w:szCs w:val="16"/>
              </w:rPr>
              <w:t>324</w:t>
            </w:r>
            <w:r>
              <w:rPr>
                <w:rFonts w:ascii="Arial Narrow" w:eastAsia="Times New Roman" w:hAnsi="Arial Narrow"/>
                <w:sz w:val="16"/>
                <w:szCs w:val="16"/>
              </w:rPr>
              <w:br/>
              <w:t xml:space="preserve">(2 RCTs) </w:t>
            </w:r>
          </w:p>
        </w:tc>
        <w:tc>
          <w:tcPr>
            <w:tcW w:w="810" w:type="pct"/>
            <w:tcBorders>
              <w:top w:val="single" w:sz="6" w:space="0" w:color="000000"/>
              <w:left w:val="nil"/>
              <w:bottom w:val="single" w:sz="6" w:space="0" w:color="000000"/>
              <w:right w:val="nil"/>
            </w:tcBorders>
            <w:vAlign w:val="center"/>
            <w:hideMark/>
          </w:tcPr>
          <w:p w14:paraId="52EA9375" w14:textId="77777777" w:rsidR="005A3845" w:rsidRDefault="005A3845" w:rsidP="00AB6A13">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AB6A13" w14:paraId="18ED20B8" w14:textId="77777777" w:rsidTr="00413AC1">
        <w:trPr>
          <w:cantSplit/>
        </w:trPr>
        <w:tc>
          <w:tcPr>
            <w:tcW w:w="5000" w:type="pct"/>
            <w:gridSpan w:val="6"/>
            <w:tcBorders>
              <w:top w:val="single" w:sz="6" w:space="0" w:color="000000"/>
              <w:left w:val="nil"/>
              <w:bottom w:val="single" w:sz="6" w:space="0" w:color="000000"/>
              <w:right w:val="nil"/>
            </w:tcBorders>
            <w:vAlign w:val="center"/>
            <w:hideMark/>
          </w:tcPr>
          <w:p w14:paraId="7C7112DA" w14:textId="73C073BA" w:rsidR="00AB6A13" w:rsidRDefault="00AB6A13" w:rsidP="005830DD">
            <w:pPr>
              <w:spacing w:before="40" w:after="40" w:line="240" w:lineRule="auto"/>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w:t>
            </w:r>
            <w:r w:rsidR="005A3845">
              <w:rPr>
                <w:rFonts w:ascii="Arial Narrow" w:eastAsia="Times New Roman" w:hAnsi="Arial Narrow"/>
                <w:sz w:val="16"/>
                <w:szCs w:val="16"/>
              </w:rPr>
              <w:t xml:space="preserve">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AB6A13" w14:paraId="79B27E01" w14:textId="77777777" w:rsidTr="005830DD">
        <w:trPr>
          <w:cantSplit/>
          <w:trHeight w:val="680"/>
        </w:trPr>
        <w:tc>
          <w:tcPr>
            <w:tcW w:w="5000" w:type="pct"/>
            <w:gridSpan w:val="6"/>
            <w:tcBorders>
              <w:top w:val="single" w:sz="6" w:space="0" w:color="000000"/>
              <w:left w:val="nil"/>
              <w:bottom w:val="single" w:sz="6" w:space="0" w:color="000000"/>
              <w:right w:val="nil"/>
            </w:tcBorders>
            <w:vAlign w:val="center"/>
            <w:hideMark/>
          </w:tcPr>
          <w:p w14:paraId="5C0CFF7E" w14:textId="77777777" w:rsidR="00AB6A13" w:rsidRDefault="00AB6A13" w:rsidP="005A3845">
            <w:pPr>
              <w:spacing w:line="240" w:lineRule="auto"/>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381D0F68" w14:textId="77777777" w:rsidR="00AB6A13" w:rsidRDefault="00AB6A13" w:rsidP="005830DD">
      <w:pPr>
        <w:spacing w:before="40" w:after="4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High risk of performance and detection bias </w:t>
      </w:r>
    </w:p>
    <w:p w14:paraId="4DE4E17F" w14:textId="78F90E46" w:rsidR="00AB6A13" w:rsidRDefault="00AB6A13" w:rsidP="005830DD">
      <w:pPr>
        <w:spacing w:before="40" w:after="4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w:t>
      </w:r>
      <w:r w:rsidR="005A3845">
        <w:rPr>
          <w:rFonts w:ascii="Arial Narrow" w:eastAsia="Times New Roman" w:hAnsi="Arial Narrow"/>
          <w:color w:val="000000"/>
          <w:sz w:val="16"/>
          <w:szCs w:val="16"/>
          <w:lang w:val="en"/>
        </w:rPr>
        <w:t>High risk of attrition bias</w:t>
      </w:r>
      <w:r>
        <w:rPr>
          <w:rFonts w:ascii="Arial Narrow" w:eastAsia="Times New Roman" w:hAnsi="Arial Narrow"/>
          <w:color w:val="000000"/>
          <w:sz w:val="16"/>
          <w:szCs w:val="16"/>
          <w:lang w:val="en"/>
        </w:rPr>
        <w:t xml:space="preserve"> </w:t>
      </w:r>
    </w:p>
    <w:p w14:paraId="60ABA15F" w14:textId="4FABB12B" w:rsidR="00AB6A13" w:rsidRDefault="00AB6A13" w:rsidP="005830DD">
      <w:pPr>
        <w:spacing w:before="40" w:after="4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w:t>
      </w:r>
      <w:r w:rsidR="00413AC1">
        <w:rPr>
          <w:rFonts w:ascii="Arial Narrow" w:eastAsia="Times New Roman" w:hAnsi="Arial Narrow"/>
          <w:color w:val="000000"/>
          <w:sz w:val="16"/>
          <w:szCs w:val="16"/>
          <w:lang w:val="en"/>
        </w:rPr>
        <w:t>C</w:t>
      </w:r>
      <w:r>
        <w:rPr>
          <w:rFonts w:ascii="Arial Narrow" w:eastAsia="Times New Roman" w:hAnsi="Arial Narrow"/>
          <w:color w:val="000000"/>
          <w:sz w:val="16"/>
          <w:szCs w:val="16"/>
          <w:lang w:val="en"/>
        </w:rPr>
        <w:t xml:space="preserve">onfidence interval crosses line of no effect </w:t>
      </w:r>
    </w:p>
    <w:p w14:paraId="3DDAFAE8" w14:textId="077959A2" w:rsidR="00011C59" w:rsidRDefault="00011C59" w:rsidP="00590256">
      <w:pPr>
        <w:pStyle w:val="Heading3"/>
        <w:rPr>
          <w:lang w:val="en"/>
        </w:rPr>
      </w:pPr>
      <w:bookmarkStart w:id="186" w:name="_Toc40956536"/>
      <w:r>
        <w:rPr>
          <w:lang w:val="en"/>
        </w:rPr>
        <w:t>Evidence statements</w:t>
      </w:r>
      <w:bookmarkEnd w:id="186"/>
    </w:p>
    <w:p w14:paraId="037986E0" w14:textId="77777777" w:rsidR="00D34E49" w:rsidRDefault="00D34E49" w:rsidP="00D34E49">
      <w:pPr>
        <w:pStyle w:val="Heading4"/>
        <w:rPr>
          <w:lang w:val="en"/>
        </w:rPr>
      </w:pPr>
      <w:r>
        <w:rPr>
          <w:lang w:val="en"/>
        </w:rPr>
        <w:t>Determinants of gestational weight gain</w:t>
      </w:r>
    </w:p>
    <w:p w14:paraId="5570436A" w14:textId="6837F4B9" w:rsidR="00590256" w:rsidRDefault="00B46918" w:rsidP="00590256">
      <w:pPr>
        <w:rPr>
          <w:lang w:val="en"/>
        </w:rPr>
      </w:pPr>
      <w:r>
        <w:rPr>
          <w:lang w:val="en"/>
        </w:rPr>
        <w:t>There is evidence from systematic reviews of association between weight gain exceeding guidelines and body image dissatisfaction and lack of social support but not anxiety, stress, self-efficacy, self-esteem of parity. The evidence on depression was inconsistent.</w:t>
      </w:r>
    </w:p>
    <w:p w14:paraId="743D5E8C" w14:textId="51156BA5" w:rsidR="00B46918" w:rsidRDefault="00B46918" w:rsidP="00590256">
      <w:pPr>
        <w:rPr>
          <w:lang w:val="en"/>
        </w:rPr>
      </w:pPr>
      <w:r>
        <w:rPr>
          <w:lang w:val="en"/>
        </w:rPr>
        <w:t>There is evidence from cohort studies of association between weight gain exceeding guidelines and pre-pregnancy BMI and stopping smoking but not maternal age, household income, education level or country of birth or experience of hardship in childhood, adulthood or during pregnancy.</w:t>
      </w:r>
    </w:p>
    <w:p w14:paraId="45B443A2" w14:textId="77777777" w:rsidR="00D34E49" w:rsidRDefault="00D34E49" w:rsidP="00D34E49">
      <w:pPr>
        <w:pStyle w:val="Heading4"/>
        <w:rPr>
          <w:lang w:val="en"/>
        </w:rPr>
      </w:pPr>
      <w:r>
        <w:rPr>
          <w:lang w:val="en"/>
        </w:rPr>
        <w:t>Risks associated with weight gain lower or higher than recommendations</w:t>
      </w:r>
    </w:p>
    <w:p w14:paraId="6726A85A" w14:textId="42FE3CBB" w:rsidR="00B46918" w:rsidRDefault="0033172C" w:rsidP="00590256">
      <w:r>
        <w:rPr>
          <w:lang w:val="en"/>
        </w:rPr>
        <w:t>There is high-</w:t>
      </w:r>
      <w:r w:rsidR="00343BBE">
        <w:rPr>
          <w:lang w:val="en"/>
        </w:rPr>
        <w:t>certainty</w:t>
      </w:r>
      <w:r>
        <w:rPr>
          <w:lang w:val="en"/>
        </w:rPr>
        <w:t xml:space="preserve"> evidence that gestational weight gain lower than recommendations increases the risk of preterm birth and small-for gestational-age babies and decreases the risk of large-for-gestational-age babies and macrosomia. </w:t>
      </w:r>
      <w:r w:rsidR="000204F0">
        <w:t>The</w:t>
      </w:r>
      <w:r>
        <w:t xml:space="preserve"> risk of caesarean section </w:t>
      </w:r>
      <w:r w:rsidR="000204F0">
        <w:t xml:space="preserve">was decreased </w:t>
      </w:r>
      <w:r>
        <w:t xml:space="preserve">among women who were obese and </w:t>
      </w:r>
      <w:r w:rsidR="000204F0">
        <w:t xml:space="preserve">possibly </w:t>
      </w:r>
      <w:r>
        <w:t>decreased among all women</w:t>
      </w:r>
      <w:r w:rsidR="000204F0">
        <w:t>. Among women who were obese, the risk of gestational hypertension and pre-eclampsia was decreased and there was no clear difference in risk of gestational diabetes, low birth weight, Apgar score &lt;7 at 5 minutes and postpartum weight retention.</w:t>
      </w:r>
    </w:p>
    <w:p w14:paraId="0951C248" w14:textId="18A22CA4" w:rsidR="000204F0" w:rsidRDefault="000204F0" w:rsidP="00590256">
      <w:r>
        <w:t>There is high-</w:t>
      </w:r>
      <w:r w:rsidR="00343BBE">
        <w:t>certainty</w:t>
      </w:r>
      <w:r>
        <w:t xml:space="preserve"> evidence that, compared to weight gain within recommendations, gestational weight gain higher than recommendations increased the risk of large-for-gestational-age babies, macrosomia and caesarean section and decreased the risk of small-for-gestational-age babies and preterm birth. </w:t>
      </w:r>
    </w:p>
    <w:p w14:paraId="09665D31" w14:textId="43C8A548" w:rsidR="000204F0" w:rsidRDefault="000204F0" w:rsidP="00590256">
      <w:r>
        <w:t xml:space="preserve">There is evidence from a systematic review of cohort studies </w:t>
      </w:r>
      <w:r w:rsidR="00D34E49">
        <w:t>that, while gestational weight loss among obese women decreased the risk of large-for-gestational-age babies, macrosomia and caesarean section, it increased the risk of small-for-gestational-age babies and low birth weight and no studies reported on preterm birth.</w:t>
      </w:r>
    </w:p>
    <w:p w14:paraId="0A7EF6A4" w14:textId="1E080C33" w:rsidR="00D34E49" w:rsidRDefault="005F447F" w:rsidP="00590256">
      <w:pPr>
        <w:rPr>
          <w:lang w:val="en"/>
        </w:rPr>
      </w:pPr>
      <w:r>
        <w:rPr>
          <w:lang w:val="en"/>
        </w:rPr>
        <w:t>There is RCT evidence that weight gain higher than recommendations in early pregnancy (15-18 weeks) increases the risk of total gestational weight gain exceeding recommendations, gestational diabetes, large-for-gestational-age babies and macrosomia.</w:t>
      </w:r>
    </w:p>
    <w:p w14:paraId="7FC66588" w14:textId="4FE5F42D" w:rsidR="005F447F" w:rsidRDefault="005F447F" w:rsidP="005F447F">
      <w:pPr>
        <w:pStyle w:val="Heading4"/>
        <w:rPr>
          <w:lang w:val="en"/>
        </w:rPr>
      </w:pPr>
      <w:r>
        <w:rPr>
          <w:lang w:val="en"/>
        </w:rPr>
        <w:t>Women’s and health professionals’ views on gestational weight gain</w:t>
      </w:r>
    </w:p>
    <w:p w14:paraId="2FB9E91B" w14:textId="31911DD8" w:rsidR="00F66321" w:rsidRDefault="00F66321" w:rsidP="00F66321">
      <w:r>
        <w:rPr>
          <w:lang w:val="en"/>
        </w:rPr>
        <w:t xml:space="preserve">There is evidence from a systematic review that </w:t>
      </w:r>
      <w:r>
        <w:t xml:space="preserve">women </w:t>
      </w:r>
      <w:r w:rsidRPr="004B4FAC">
        <w:t>are highly motivated to change their behavio</w:t>
      </w:r>
      <w:r>
        <w:t>u</w:t>
      </w:r>
      <w:r w:rsidRPr="004B4FAC">
        <w:t>r to improve fe</w:t>
      </w:r>
      <w:r>
        <w:t>tal health, but may not recognis</w:t>
      </w:r>
      <w:r w:rsidRPr="004B4FAC">
        <w:t>e the link between excess</w:t>
      </w:r>
      <w:r>
        <w:t xml:space="preserve"> </w:t>
      </w:r>
      <w:r w:rsidRPr="004B4FAC">
        <w:t>gestational weight gain and negative fetal health outcomes</w:t>
      </w:r>
      <w:r w:rsidR="00E70A06">
        <w:t>. There is evidence from cross-sectional studies that women lack accurate knowledge on gestational weight gain and would welcome advice from health professionals.</w:t>
      </w:r>
    </w:p>
    <w:p w14:paraId="2732B013" w14:textId="51696A53" w:rsidR="00E70A06" w:rsidRPr="00F66321" w:rsidRDefault="00E70A06" w:rsidP="00F66321">
      <w:pPr>
        <w:rPr>
          <w:lang w:val="en"/>
        </w:rPr>
      </w:pPr>
      <w:r>
        <w:t>There is evidence from cross-sectional studies that health professionals would welcome more training in providing appropriate counselling and that resources and time are other barriers to discussing weight gain.</w:t>
      </w:r>
    </w:p>
    <w:p w14:paraId="2C41E72E" w14:textId="29BE6142" w:rsidR="005F447F" w:rsidRDefault="005F447F" w:rsidP="005F447F">
      <w:pPr>
        <w:pStyle w:val="Heading4"/>
        <w:rPr>
          <w:lang w:val="en"/>
        </w:rPr>
      </w:pPr>
      <w:r>
        <w:rPr>
          <w:lang w:val="en"/>
        </w:rPr>
        <w:t>Regular weighing as part of antenatal care</w:t>
      </w:r>
    </w:p>
    <w:p w14:paraId="5F987EEE" w14:textId="1B27FAEA" w:rsidR="005F447F" w:rsidRDefault="005F447F" w:rsidP="005F447F">
      <w:pPr>
        <w:rPr>
          <w:lang w:val="en"/>
        </w:rPr>
      </w:pPr>
      <w:r>
        <w:rPr>
          <w:lang w:val="en"/>
        </w:rPr>
        <w:t xml:space="preserve">There is very low </w:t>
      </w:r>
      <w:r w:rsidR="00343BBE">
        <w:rPr>
          <w:lang w:val="en"/>
        </w:rPr>
        <w:t>certainty</w:t>
      </w:r>
      <w:r>
        <w:rPr>
          <w:lang w:val="en"/>
        </w:rPr>
        <w:t xml:space="preserve"> evidence that regular weighing as part of antenatal care has no clear effect on mean weekly weight gain, total weight gain exceeding guidelines, gestational diabetes, hypertensive disorders of pregnancy or macrosomia but </w:t>
      </w:r>
      <w:r w:rsidR="00E66D68">
        <w:rPr>
          <w:lang w:val="en"/>
        </w:rPr>
        <w:t xml:space="preserve">low </w:t>
      </w:r>
      <w:r w:rsidR="00343BBE">
        <w:rPr>
          <w:lang w:val="en"/>
        </w:rPr>
        <w:t>certainty</w:t>
      </w:r>
      <w:r w:rsidR="00E66D68">
        <w:rPr>
          <w:lang w:val="en"/>
        </w:rPr>
        <w:t xml:space="preserve"> evidence that it </w:t>
      </w:r>
      <w:r>
        <w:rPr>
          <w:lang w:val="en"/>
        </w:rPr>
        <w:t>may reduce the risk of depression and anxiety.</w:t>
      </w:r>
    </w:p>
    <w:p w14:paraId="65719CDE" w14:textId="77777777" w:rsidR="00C66347" w:rsidRDefault="00C66347" w:rsidP="00A964B5">
      <w:pPr>
        <w:sectPr w:rsidR="00C66347" w:rsidSect="008A6B17">
          <w:pgSz w:w="11901" w:h="16817"/>
          <w:pgMar w:top="1134" w:right="1418" w:bottom="1134" w:left="1418" w:header="709" w:footer="709" w:gutter="0"/>
          <w:cols w:space="708"/>
          <w:docGrid w:linePitch="360"/>
        </w:sectPr>
      </w:pPr>
    </w:p>
    <w:p w14:paraId="529BD7F9" w14:textId="77777777" w:rsidR="00C66347" w:rsidRDefault="00C66347" w:rsidP="00C66347">
      <w:pPr>
        <w:pStyle w:val="Heading3"/>
      </w:pPr>
      <w:bookmarkStart w:id="187" w:name="_Toc40956537"/>
      <w:r>
        <w:t>Evidence tables</w:t>
      </w:r>
      <w:bookmarkEnd w:id="187"/>
    </w:p>
    <w:p w14:paraId="09BFA72E" w14:textId="25672A5B" w:rsidR="00540DB1" w:rsidRDefault="00DB67D2" w:rsidP="00932C6D">
      <w:pPr>
        <w:pStyle w:val="TableName"/>
      </w:pPr>
      <w:bookmarkStart w:id="188" w:name="_Toc40956671"/>
      <w:bookmarkStart w:id="189" w:name="_Toc475274210"/>
      <w:r>
        <w:t xml:space="preserve">Q7 </w:t>
      </w:r>
      <w:r w:rsidR="00540DB1">
        <w:t>Determinants of gestational weight gain</w:t>
      </w:r>
      <w:bookmarkEnd w:id="188"/>
      <w:r w:rsidR="00540DB1">
        <w:t xml:space="preserve"> </w:t>
      </w:r>
    </w:p>
    <w:tbl>
      <w:tblPr>
        <w:tblStyle w:val="TableGrid"/>
        <w:tblW w:w="14176"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3: Q7 Determinants of gestational weight gain "/>
      </w:tblPr>
      <w:tblGrid>
        <w:gridCol w:w="1418"/>
        <w:gridCol w:w="1418"/>
        <w:gridCol w:w="4394"/>
        <w:gridCol w:w="4536"/>
        <w:gridCol w:w="2410"/>
      </w:tblGrid>
      <w:tr w:rsidR="00FA36C3" w:rsidRPr="00F350A6" w14:paraId="761B1722" w14:textId="77777777" w:rsidTr="00FA36C3">
        <w:trPr>
          <w:cantSplit/>
          <w:tblHeader/>
        </w:trPr>
        <w:tc>
          <w:tcPr>
            <w:tcW w:w="1418" w:type="dxa"/>
          </w:tcPr>
          <w:p w14:paraId="187D4117" w14:textId="77777777" w:rsidR="00540DB1" w:rsidRPr="00F350A6" w:rsidRDefault="00540DB1" w:rsidP="00F11CB4">
            <w:pPr>
              <w:keepNext/>
              <w:rPr>
                <w:b/>
              </w:rPr>
            </w:pPr>
            <w:r>
              <w:rPr>
                <w:b/>
              </w:rPr>
              <w:t>Study ref</w:t>
            </w:r>
          </w:p>
        </w:tc>
        <w:tc>
          <w:tcPr>
            <w:tcW w:w="1418" w:type="dxa"/>
          </w:tcPr>
          <w:p w14:paraId="1836DDBC" w14:textId="77777777" w:rsidR="00540DB1" w:rsidRPr="00F350A6" w:rsidRDefault="00540DB1" w:rsidP="00F11CB4">
            <w:pPr>
              <w:keepNext/>
              <w:rPr>
                <w:b/>
              </w:rPr>
            </w:pPr>
            <w:r>
              <w:rPr>
                <w:b/>
              </w:rPr>
              <w:t>N</w:t>
            </w:r>
          </w:p>
        </w:tc>
        <w:tc>
          <w:tcPr>
            <w:tcW w:w="4394" w:type="dxa"/>
          </w:tcPr>
          <w:p w14:paraId="0BE528A0" w14:textId="77777777" w:rsidR="00540DB1" w:rsidRPr="00F350A6" w:rsidRDefault="00540DB1" w:rsidP="00F11CB4">
            <w:pPr>
              <w:keepNext/>
              <w:rPr>
                <w:b/>
              </w:rPr>
            </w:pPr>
            <w:r>
              <w:rPr>
                <w:b/>
              </w:rPr>
              <w:t>Aim/methods</w:t>
            </w:r>
          </w:p>
        </w:tc>
        <w:tc>
          <w:tcPr>
            <w:tcW w:w="4536" w:type="dxa"/>
          </w:tcPr>
          <w:p w14:paraId="715445DC" w14:textId="77777777" w:rsidR="00540DB1" w:rsidRPr="00F350A6" w:rsidRDefault="00540DB1" w:rsidP="00F11CB4">
            <w:pPr>
              <w:keepNext/>
              <w:rPr>
                <w:b/>
              </w:rPr>
            </w:pPr>
            <w:r>
              <w:rPr>
                <w:b/>
              </w:rPr>
              <w:t>Outcomes</w:t>
            </w:r>
          </w:p>
        </w:tc>
        <w:tc>
          <w:tcPr>
            <w:tcW w:w="2410" w:type="dxa"/>
          </w:tcPr>
          <w:p w14:paraId="4908EA8E" w14:textId="77777777" w:rsidR="00540DB1" w:rsidRDefault="00540DB1" w:rsidP="00F11CB4">
            <w:pPr>
              <w:keepNext/>
              <w:rPr>
                <w:b/>
              </w:rPr>
            </w:pPr>
            <w:r>
              <w:rPr>
                <w:b/>
              </w:rPr>
              <w:t>Comments</w:t>
            </w:r>
          </w:p>
        </w:tc>
      </w:tr>
      <w:tr w:rsidR="00FA36C3" w:rsidRPr="00B60FFF" w14:paraId="4F40A129" w14:textId="77777777" w:rsidTr="00FA36C3">
        <w:trPr>
          <w:cantSplit/>
        </w:trPr>
        <w:tc>
          <w:tcPr>
            <w:tcW w:w="1418" w:type="dxa"/>
          </w:tcPr>
          <w:p w14:paraId="0C4FCE06" w14:textId="204CBA30" w:rsidR="00A85AD8" w:rsidRDefault="00A85AD8" w:rsidP="0049642F">
            <w:r>
              <w:t>O’Brien et al 2019</w:t>
            </w:r>
            <w:r w:rsidR="00D07346">
              <w:fldChar w:fldCharType="begin">
                <w:fldData xml:space="preserve">PEVuZE5vdGU+PENpdGU+PEF1dGhvcj5PJmFwb3M7QnJpZW48L0F1dGhvcj48WWVhcj4yMDE5PC9Z
ZWFyPjxSZWNOdW0+MTkzMjwvUmVjTnVtPjxEaXNwbGF5VGV4dD48c3R5bGUgZmFjZT0ic3VwZXJz
Y3JpcHQiIGZvbnQ9IlRyZWJ1Y2hldCBNUyIgc2l6ZT0iOSI+MzUwPC9zdHlsZT48L0Rpc3BsYXlU
ZXh0PjxyZWNvcmQ+PHJlYy1udW1iZXI+MTkzMjwvcmVjLW51bWJlcj48Zm9yZWlnbi1rZXlzPjxr
ZXkgYXBwPSJFTiIgZGItaWQ9ImV4dmFzcmZ4MmR0cmFvZXNhc3hwMnN6c3hhMmRmNTAyNTkyeCIg
dGltZXN0YW1wPSIxNTg4NjU0Mzc5Ij4xOTMyPC9rZXk+PGtleSBhcHA9IkVOV2ViIiBkYi1pZD0i
Ij4wPC9rZXk+PC9mb3JlaWduLWtleXM+PHJlZi10eXBlIG5hbWU9IkpvdXJuYWwgQXJ0aWNsZSI+
MTc8L3JlZi10eXBlPjxjb250cmlidXRvcnM+PGF1dGhvcnM+PGF1dGhvcj5PJmFwb3M7QnJpZW4s
IEUuIEMuPC9hdXRob3I+PGF1dGhvcj5TZWd1cmFkbywgUi48L2F1dGhvcj48YXV0aG9yPkdlcmFn
aHR5LCBBLiBBLjwvYXV0aG9yPjxhdXRob3I+QWxiZXJkaSwgRy48L2F1dGhvcj48YXV0aG9yPlJv
Z296aW5za2EsIEUuPC9hdXRob3I+PGF1dGhvcj5Bc3RydXAsIEEuPC9hdXRob3I+PGF1dGhvcj5C
YXJha2F0IENhcmJhbGxvLCBSLjwvYXV0aG9yPjxhdXRob3I+Qm9nYWVydHMsIEEuPC9hdXRob3I+
PGF1dGhvcj5DZWNhdHRpLCBKLiBHLjwvYXV0aG9yPjxhdXRob3I+Q29vbWFyYXNhbXksIEEuPC9h
dXRob3I+PGF1dGhvcj5kZSBHcm9vdCwgQy4gSi4gTS48L2F1dGhvcj48YXV0aG9yPkRldmxpZWdl
ciwgUi48L2F1dGhvcj48YXV0aG9yPkRvZGQsIEouIE0uPC9hdXRob3I+PGF1dGhvcj5FbCBCZWx0
YWd5LCBOLjwvYXV0aG9yPjxhdXRob3I+RmFjY2hpbmV0dGksIEYuPC9hdXRob3I+PGF1dGhvcj5H
ZWlrZXIsIE4uPC9hdXRob3I+PGF1dGhvcj5HdWVsZmksIEsuPC9hdXRob3I+PGF1dGhvcj5IYWFr
c3RhZCwgTC48L2F1dGhvcj48YXV0aG9yPkhhcnJpc29uLCBDLjwvYXV0aG9yPjxhdXRob3I+SGF1
bmVyLCBILjwvYXV0aG9yPjxhdXRob3I+SmVuc2VuLCBELiBNLjwvYXV0aG9yPjxhdXRob3I+S2hh
biwgSy48L2F1dGhvcj48YXV0aG9yPktpbm51bmVuLCBULiBJLjwvYXV0aG9yPjxhdXRob3I+THVv
dG8sIFIuPC9hdXRob3I+PGF1dGhvcj5XaWxsZW0gTW9sLCBCLjwvYXV0aG9yPjxhdXRob3I+TW9y
a3ZlZCwgUy48L2F1dGhvcj48YXV0aG9yPk1vdGFoYXJpLVRhYmFyaSwgTi48L2F1dGhvcj48YXV0
aG9yPk93ZW5zLCBKLiBBLjwvYXV0aG9yPjxhdXRob3I+UGVyYWxlcywgTS48L2F1dGhvcj48YXV0
aG9yPlBldHJlbGxhLCBFLjwvYXV0aG9yPjxhdXRob3I+UGhlbGFuLCBTLjwvYXV0aG9yPjxhdXRo
b3I+UG9zdG9uLCBMLjwvYXV0aG9yPjxhdXRob3I+UmF1aCwgSy48L2F1dGhvcj48YXV0aG9yPlJh
eWFuYWdvdWRhciwgRy48L2F1dGhvcj48YXV0aG9yPlJlbmF1bHQsIEsuIE0uPC9hdXRob3I+PGF1
dGhvcj5SdWlmcm9rLCBBLiBFLjwvYXV0aG9yPjxhdXRob3I+U2FnZWRhbCwgTC48L2F1dGhvcj48
YXV0aG9yPlNhbHZlc2VuLCBLLiBBLjwvYXV0aG9yPjxhdXRob3I+U2N1ZGVsbGVyLCBULiBULjwv
YXV0aG9yPjxhdXRob3I+U2hlbiwgRy48L2F1dGhvcj48YXV0aG9yPlNodWIsIEEuPC9hdXRob3I+
PGF1dGhvcj5TdGFmbmUsIFMuIE4uPC9hdXRob3I+PGF1dGhvcj5TdXJpdGEsIEYuIEcuPC9hdXRo
b3I+PGF1dGhvcj5UaGFuZ2FyYXRpbmFtLCBTLjwvYXV0aG9yPjxhdXRob3I+VG9uc3RhZCwgUy48
L2F1dGhvcj48YXV0aG9yPnZhbiBQb3BwZWwsIE0uIE4uIE0uPC9hdXRob3I+PGF1dGhvcj5WaW50
ZXIsIEMuPC9hdXRob3I+PGF1dGhvcj5WaXN0YWQsIEkuPC9hdXRob3I+PGF1dGhvcj5ZZW8sIFMu
PC9hdXRob3I+PGF1dGhvcj5NY0F1bGlmZmUsIEYuIE0uPC9hdXRob3I+PGF1dGhvcj5pLCBXLiBJ
LiBQLiBDb2xsYWJvcmF0aXZlIEdyb3VwPC9hdXRob3I+PC9hdXRob3JzPjwvY29udHJpYnV0b3Jz
PjxhdXRoLWFkZHJlc3M+VUNEIFBlcmluYXRhbCBSZXNlYXJjaCBDZW50cmUsIE9ic3RldHJpY3Mg
YW5kIEd5bmFlY29sb2d5LCBVQ0QgU2Nob29sIG9mIE1lZGljaW5lLCBVbml2ZXJzaXR5IENvbGxl
Z2UgRHVibGluLCBEdWJsaW4sIElyZWxhbmQuJiN4RDtDZW50cmUgZm9yIFN1cHBvcnQgYW5kIFRy
YWluaW5nIGluIEFuYWx5c2lzIGFuZCBSZXNlYXJjaCAoQ1NUQVIpLCBTY2hvb2wgb2YgUHVibGlj
IEhlYWx0aCwgUGh5c2lvdGhlcmFweSBhbmQgU3BvcnRzIFNjaWVuY2UsIFVuaXZlcnNpdHkgQ29s
bGVnZSBEdWJsaW4sIER1YmxpbiwgSXJlbGFuZC4mI3hEO1dvbWVuJmFwb3M7cyBIZWFsdGggUmVz
ZWFyY2ggVW5pdCwgQmFydHMgYW5kIFRoZSBMb25kb24gU2Nob29sIG9mIE1lZGljaW5lIGFuZCBE
ZW50aXN0cnksIFF1ZWVuIE1hcnkgVW5pdmVyc2l0eSBvZiBMb25kb24sIExvbmRvbiwgVUsuJiN4
RDtNdWx0aWRpc2NpcGxpbmFyeSBFdmlkZW5jZSBTeW50aGVzaXMgSHViIChtRXNoKSwgQmFydHMg
YW5kIFRoZSBMb25kb24gU2Nob29sIG9mIE1lZGljaW5lIGFuZCBEZW50aXN0cnksIFF1ZWVuIE1h
cnkgVW5pdmVyc2l0eSBvZiBMb25kb24sIExvbmRvbiwgVUsuJiN4RDtEZXBhcnRtZW50IG9mIE51
dHJpdGlvbiwgRXhlcmNpc2UgYW5kIFNwb3J0cywgVW5pdmVzaXR5IG9mIENvcGVuaGFnZW4sIENv
cGVuaGFnZW4sIERlbm1hcmsuJiN4RDtGYWN1bHRhZCBkZSBDaWVuY2lhcyBkZSBsYSBBY3Rpdmlk
YWQgRmlzaWNhIHkgZGVsIERlcG9ydGUgKElORUYpLCBVbml2ZXJzaWRhZCBQb2xpdGVjbmljYSBk
ZSBNYWRyaWQsIE1hZHJpZCwgU3BhaW4uJiN4RDtEZXBhcnRtZW50IG9mIERldmVsb3BtZW50IGFu
ZCBSZWdlbmVyYXRpb24gS1UgTGV1dmVuLCBVbml2ZXJzaXR5IG9mIExldXZlbiwgTGV1dmVuLCBC
ZWxnaXVtLiYjeEQ7RmFjdWx0eSBvZiBIZWFsdGggYW5kIFNvY2lhbCBXb3JrLCBVQyBMZXV2ZW4t
TGltYnVyZywgTGV1dmVuLCBCZWxnaXVtLiYjeEQ7RmFjdWx0eSBvZiBNZWRpY2luZSBhbmQgSGVh
bHRoIFNjaWVuY2VzLCBDZW50cmUgZm9yIFJlc2VhcmNoIGFuZCBJbm5vdmF0aW9uIGluIENhcmUg
KENSSUMpLCBVbml2ZXJzaXR5IG9mIEFudHdlcnAsIEJlbGdpdW0uJiN4RDtPYnN0ZXRyaWNzIGFu
ZCBHeW5lY29sb2d5LCBTY2hvb2wgb2YgTWVkaWNhbCBTY2llbmNlcywgVW5pdmVyc2l0eSBvZiBD
YW1waW5hcywgQ2FtcGluYXMsIEJyYXppbC4mI3hEO1NjaG9vbCBvZiBDbGluaWNhbCBhbmQgRXhw
ZXJpbWVudGFsIE1lZGljaW5lLCBDb2xsZWdlIG9mIE1lZGljYWwgYW5kIERlbnRhbCBTY2llbmNl
cywgVW5pdmVyc2l0eSBvZiBCaXJtaW5naGFtLCBCaXJtaW5naGFtLCBVSy4mI3hEO09ic3RldHJp
Y3MgYW5kIEd5bmFlY29sb2d5LCBGYWN1bHR5IG9mIE1lZGljaW5lLCBWVSBVbml2ZXJzaXR5IE1l
ZGljYWwgQ2VudGVyLCBBbXN0ZXJkYW0sIFRoZSBOZXRoZXJsYW5kcy4mI3hEO0RlcGFydG1lbnQg
b2YgT2JzdGV0cmljcyBhbmQgR3luZWNvbG9neSwgVW5pdmVyc2l0YWlyZSBaaWVrZW5odWl6ZW4g
TGV1dmVuLCBMZXV2ZW4sIEJlbGdpdW0uJiN4RDtPYnN0ZXRyaWNzIGFuZCBHeW5hZWNvbG9neSwg
U2Nob29sIG9mIFBhZWRpYXRyaWNzIGFuZCBSZXByb2R1Y3RpdmUgSGVhbHRoLCBUaGUgVW52ZXJz
aXR5IG9mIEFkZWxhaWRlLCBBZGVsYWlkZSwgQXVzdHJhbGlhLiYjeEQ7RGVwYXJ0bWVudCBvZiBP
YnN0ZXRyaWNzIGFuZCBHeW5lY29sb2d5LCBBbGV4YW5kcmlhIFVuaXZlcnNpdHksIEFsZXhhbmRy
aWEsIEVneXB0LiYjeEQ7TW90aGVyLUluZmFudCBEZXBhcnRtZW50LCBVbml2ZXJzaXR5IG9mIE1v
ZGVuYSBhbmQgUmVnZ2lvIEVtaWxpYSwgTW9kZW5hLCBJdGFseS4mI3hEO0NsaW5pY2FsIE51dHJp
dGlvbiBSZXNlYXJjaCwgQ29wZW5oYWdlbiBVbml2ZXJzaXR5IEhvc3BpdGFsIEhlcmxldi1HZW50
b2Z0ZSwgR2VudG9mdGUsIERlbm1hcmsuJiN4RDtTY2hvb2wgb2YgSHVtYW4gU2NpZW5jZXMsIFRo
ZSBVbml2ZXJzaXR5IG9mIFdlc3Rlcm4gQXVzdHJhbGlhLCBQZXJ0aCwgQXVzdHJhbGlhLiYjeEQ7
RGVwYXJ0bWVudCBvZiBTcG9ydHMgTWVkaWNpbmUsIE5vcndlZ2lhbiBTY2hvb2wgb2YgU3BvcnQg
U2NpZW5jZXMsIE9zbG8sIE5vcndheS4mI3hEO01vbmFzaCBDZW50cmUgZm9yIEhlYWx0aCBSZXNl
YXJjaCBhbmQgSW1wbGVtZW50YXRpb24sIFNjaG9vbCBvZiBQdWJsaWMgSGVhbHRoIGFuZCBQcmV2
ZW50aXZlIE1lZGljaW5lLCBNb25hc2ggVW5pdmVyc2l0eSwgTWVsYm91cm5lLCBWaWN0b3JpYSwg
QXVzdHJhbGlhLiYjeEQ7RWxzZSBLcm9lbmVyLUZyZXNlbml1cy1DZW50ZXIgZm9yIE51dHJpdGlv
bmFsIE1lZGljaW5lLCBLbGluaWt1bSByZWNodHMgZGVyIElzYXIsIFRlY2huaXNjaGUgVW5pdmVy
c2l0YXQgTXVuY2hlbiwgTXVuaWNoLCBHZXJtYW55LiYjeEQ7RGVwYXJ0bWVudCBvZiBFbmRvY3Jp
bm9sb2d5LCBPZGVuc2UgVW5pdmVyc2l0eSBIb3NwaXRhbCwgVW5pdmVyc2l0eSBvZiBTb3V0aGVy
biBEZW5tYXJrLCBPZGVuc2UsIERlbm1hcmsuJiN4RDtIZWFsdGggU2NpZW5jZXMsIEZhY3VsdHkg
b2YgU29jaWFsIFNjaWVuY2VzLCBVbml2ZXJzaXR5IG9mIFRhbXBlcmUsIFRhbXBlcmUsIEZpbmxh
bmQuJiN4RDtSb2JpbnNvbiBJbnN0aXR1dGUsIFNjaG9vbCBvZiBQYWVkaWF0cmljcyBhbmQgUmVw
cm9kdWN0aXZlIEhlYWx0aCwgVGhlIFVuaXZlcnNpdHkgb2YgQWRlbGFpZGUsIEFkZWxhaWRlLCBB
dXN0cmFsaWEuJiN4RDtEZXBhcnRtZW50IG9mIFB1YmxpYyBIZWFsdGggYW5kIEdlbmVyYWwgUHJh
Y3RpY2UsIEZhY3VsdHkgb2YgTWVkaWNpbmUsIE5vcndlZ2lhbiBVbml2ZXJzaXR5IG9mIFNjaWVu
Y2UgYW5kIFRlY2hub2xvZ3ksIFRyb25kaGVpbSwgTm9yd2F5LiYjeEQ7Q2xpbmljYWwgU2Vydmlj
ZXMsIFN0LiBPbGF2cyBIb3NwaXRhbCwgVHJvbmRoZWltIFVuaXZlcnNpdHkgSG9zcGl0YWwsIFRy
b25kaGVpbSwgTm9yd2F5LiYjeEQ7TWlkd2lmZXJ5IERlcGFydG1lbnQsIEZhY3VsdHkgb2YgTnVy
c2luZyBhbmQgTWlkd2lmZXJ5LCBNYXphbmRhcmFuIFVuaXZlcnNpdHkgb2YgTWVkaWNhbCBTY2ll
bmNlLCBTYXJpLCBJcmFuLiYjeEQ7S2luZXNpb2xvZ3kgRGVwYXJ0bWVudCwgQ29sbGVnZSBvZiBT
Y2llbmNlIGFuZCBNYXRoZW1hdGljcywgQ2FsaWZvcm5pYSBQb2x5dGVjaG5pYyBTdGF0ZSBVbml2
ZXJzaXR5LCBTYW4gTHVpcyBPYmlzcG8sIENhbGlmb3JuaWEsIFVTQS4mI3hEO0RlcGFydG1lbnQg
b2YgV29tZW4gYW5kIENoaWxkcmVuJmFwb3M7cyBIZWFsdGgsIFNjaG9vbCBvZiBMaWZlIENvdXJz
ZSBTY2llbmNlcywgS2luZyZhcG9zO3MgQ29sbGVnZSBMb25kb24sIExvbmRvbiwgVUsuJiN4RDtO
dXRyaXRpb24gSW5mb3JtYXRpb24gYW5kIEtub3dsZWRnZSBUcmFuc2ZlciwgQ29tcGV0ZW5jZSBD
ZW50cmUgZm9yIE51dHJpdGlvbiAoS0VybiksIEZyZWlzaW5nLCBHZXJtYW55LiYjeEQ7RGVwYXJ0
bWVudCBvZiBPYnN0ZXRyaWNzIGFuZCBHeW5lY29sb2d5LCBIdmlkb3ZyZSBIb3NwaXRhbCwgVW5p
dmVyc2l0eSBvZiBDb3BlbmhhZ2VuLCBDb3BlbmhhZ2VuLCBEZW5tYXJrLiYjeEQ7T2JzdGV0cmlj
IENsaW5pYywgSnVsaWFuZSBNYXJpZSBDZW50cmV0LCBSaWdzaG9zcGl0YWxldCwgVW5pdmVyc2l0
eSBvZiBDb3BlbmhhZ2VuLCBDb3BlbmhhZ2VuLCBEZW5tYXJrLiYjeEQ7RGVwYXJ0bWVudCBvZiBP
YnN0ZXRyaWNzIGFuZCBHeW5hZWNvbG9neSwgQWNhZGVtaXNjaCBNZWRpc2NoIENlbnRydW0gVW5p
dmVyc2l0ZWl0IHZhbiBBbXN0ZXJkYW0sIEFtc3RlcmRhbSwgVGhlIE5ldGhlcmxhbmRzLiYjeEQ7
RGVwYXJ0bWVudCBvZiBPYnN0ZXRyaWNzIGFuZCBHeW5lY29sb2d5LCBTb3JsYW5kZXQgSG9zcGl0
YWwsIEtyaXN0aWFuc2FuZCwgTm9yd2F5LiYjeEQ7RGVwYXJ0bWVudCBvZiBPYnN0ZXRyaWNzIGFu
ZCBHeW5hZWNvbG9neSwgU3QuIE9sYXZzIEhvc3BpdGFsLCBUcm9uZGhlaW0gVW5pdmVyc2l0eSBI
b3NwaXRhbCwgVHJvbmRoZWltLCBOb3J3YXkuJiN4RDtEZXBhcnRtZW50IG9mIExhYm9yYXRvcnkg
TWVkaWNpbmUgQ2hpbGRyZW4mYXBvcztzIGFuZCBXb21lbiZhcG9zO3MgSGVhbHRoLCBOb3J3ZWdp
YW4gVW5pdmVyc2l0eSBvZiBTY2llbmNlIGFuZCBUZWNobm9sb2d5LCBUcm9uZGhlaW0sIE5vcndh
eS4mI3hEO0RlcGFydG1lbnQgb2YgTWFuYWdlbWVudCBhbmQgSGVhbHRoIENhcmUsIFVuaXZlcnNp
ZGFkZSBGZWRlcmFsIGRlIFNhbyBQYXVsbywgU2FvIFBhdWxvLCBCcmF6aWwuJiN4RDtEZXBhcnRt
ZW50IG9mIEludGVybmFsIE1lZGljaW5lLCBVbml2ZXJzaXR5IG9mIE1hbml0b2JhIENvbGxlZ2Ug
b2YgTWVkaWNpbmUsIFdpbm5pcGVnLCBDYW5hZGEuJiN4RDtPYnN0ZXRyaWNzIGFuZCBHeW5hZWNv
bG9neSwgVW5pdmVyc2l0eSBvZiBNZWxib3VybmUsIFZpY3RvcmlhLCBBdXN0cmFsaWEuJiN4RDtE
ZXBhcnRtZW50IG9mIE9ic3RldHJpY3MgYW5kIEd5bmVjb2xvZ3ksIE9zbG8gVW5pdmVyc2l0eSBI
b3NwaXRhbCwgT3NsbywgTm9yd2F5LiYjeEQ7RGVwYXJ0bWVudCBvZiBQdWJsaWMgYW5kIE9jY3Vw
YXRpb25hbCBIZWFsdGgsIFZVIFVuaXZlcnNpdHkgTWVkaWNhbCBDZW50ZXIsIEFtc3RlcmRhbSwg
VGhlIE5ldGhlcmxhbmRzLiYjeEQ7RGVwYXJ0bWVudCBvZiBPYnN0ZXRyaWNzIGFuZCBHeW5lY29s
b2d5LCBPZGVuc2UgVW5pdmVyc2l0eSBIb3NwaXRhbCwgVW5pdmVyc2l0eSBvZiBTb3V0aGVybiBE
ZW5tYXJrLCBPZGVuc2UsIERlbm1hcmsuJiN4RDtTY2hvb2wgb2YgTnVyc2luZywgVW5pdmVyc2l0
eSBvZiBOb3J0aCBDYXJvbGluYSBhdCBDaGFwZWwgSGlsbCwgQ2hhcGVsIEhpbGwsIE5vcnRoIENh
cm9saW5hLCBVU0EuPC9hdXRoLWFkZHJlc3M+PHRpdGxlcz48dGl0bGU+SW1wYWN0IG9mIG1hdGVy
bmFsIGVkdWNhdGlvbiBvbiByZXNwb25zZSB0byBsaWZlc3R5bGUgaW50ZXJ2ZW50aW9ucyB0byBy
ZWR1Y2UgZ2VzdGF0aW9uYWwgd2VpZ2h0IGdhaW46IGluZGl2aWR1YWwgcGFydGljaXBhbnQgZGF0
YSBtZXRhLWFuYWx5c2lzPC90aXRsZT48c2Vjb25kYXJ5LXRpdGxlPkJNSiBPcGVuPC9zZWNvbmRh
cnktdGl0bGU+PC90aXRsZXM+PHBlcmlvZGljYWw+PGZ1bGwtdGl0bGU+Qk1KIE9wZW48L2Z1bGwt
dGl0bGU+PC9wZXJpb2RpY2FsPjxwYWdlcz5lMDI1NjIwPC9wYWdlcz48dm9sdW1lPjk8L3ZvbHVt
ZT48bnVtYmVyPjg8L251bWJlcj48ZWRpdGlvbj4yMDE5LzA4LzA0PC9lZGl0aW9uPjxrZXl3b3Jk
cz48a2V5d29yZD4qaW5lcXVhbGl0aWVzPC9rZXl3b3JkPjxrZXl3b3JkPipsaWZlc3R5bGUgaW50
ZXJ2ZW50aW9uczwva2V5d29yZD48a2V5d29yZD4qbnV0cml0aW9uPC9rZXl3b3JkPjxrZXl3b3Jk
PipwcmVnbmFuY3k8L2tleXdvcmQ+PGtleXdvcmQ+KnNvY2lvZWNvbm9taWMgc3RhdHVzPC9rZXl3
b3JkPjwva2V5d29yZHM+PGRhdGVzPjx5ZWFyPjIwMTk8L3llYXI+PHB1Yi1kYXRlcz48ZGF0ZT5B
dWcgMTwvZGF0ZT48L3B1Yi1kYXRlcz48L2RhdGVzPjxpc2JuPjIwNDQtNjA1NSAoRWxlY3Ryb25p
YykmI3hEOzIwNDQtNjA1NSAoTGlua2luZyk8L2lzYm4+PGFjY2Vzc2lvbi1udW0+MzEzNzU2MDI8
L2FjY2Vzc2lvbi1udW0+PHVybHM+PHJlbGF0ZWQtdXJscz48dXJsPmh0dHBzOi8vd3d3Lm5jYmku
bmxtLm5paC5nb3YvcHVibWVkLzMxMzc1NjAyPC91cmw+PC9yZWxhdGVkLXVybHM+PC91cmxzPjxj
dXN0b20yPlBNQzY2ODg2OTA8L2N1c3RvbTI+PGVsZWN0cm9uaWMtcmVzb3VyY2UtbnVtPjEwLjEx
MzYvYm1qb3Blbi0yMDE4LTAyNTYyMDwvZWxlY3Ryb25pYy1yZXNvdXJjZS1udW0+PC9yZWNvcmQ+
PC9DaXRlPjwvRW5kTm90ZT5=
</w:fldData>
              </w:fldChar>
            </w:r>
            <w:r w:rsidR="002747EA">
              <w:instrText xml:space="preserve"> ADDIN EN.CITE </w:instrText>
            </w:r>
            <w:r w:rsidR="002747EA">
              <w:fldChar w:fldCharType="begin">
                <w:fldData xml:space="preserve">PEVuZE5vdGU+PENpdGU+PEF1dGhvcj5PJmFwb3M7QnJpZW48L0F1dGhvcj48WWVhcj4yMDE5PC9Z
ZWFyPjxSZWNOdW0+MTkzMjwvUmVjTnVtPjxEaXNwbGF5VGV4dD48c3R5bGUgZmFjZT0ic3VwZXJz
Y3JpcHQiIGZvbnQ9IlRyZWJ1Y2hldCBNUyIgc2l6ZT0iOSI+MzUwPC9zdHlsZT48L0Rpc3BsYXlU
ZXh0PjxyZWNvcmQ+PHJlYy1udW1iZXI+MTkzMjwvcmVjLW51bWJlcj48Zm9yZWlnbi1rZXlzPjxr
ZXkgYXBwPSJFTiIgZGItaWQ9ImV4dmFzcmZ4MmR0cmFvZXNhc3hwMnN6c3hhMmRmNTAyNTkyeCIg
dGltZXN0YW1wPSIxNTg4NjU0Mzc5Ij4xOTMyPC9rZXk+PGtleSBhcHA9IkVOV2ViIiBkYi1pZD0i
Ij4wPC9rZXk+PC9mb3JlaWduLWtleXM+PHJlZi10eXBlIG5hbWU9IkpvdXJuYWwgQXJ0aWNsZSI+
MTc8L3JlZi10eXBlPjxjb250cmlidXRvcnM+PGF1dGhvcnM+PGF1dGhvcj5PJmFwb3M7QnJpZW4s
IEUuIEMuPC9hdXRob3I+PGF1dGhvcj5TZWd1cmFkbywgUi48L2F1dGhvcj48YXV0aG9yPkdlcmFn
aHR5LCBBLiBBLjwvYXV0aG9yPjxhdXRob3I+QWxiZXJkaSwgRy48L2F1dGhvcj48YXV0aG9yPlJv
Z296aW5za2EsIEUuPC9hdXRob3I+PGF1dGhvcj5Bc3RydXAsIEEuPC9hdXRob3I+PGF1dGhvcj5C
YXJha2F0IENhcmJhbGxvLCBSLjwvYXV0aG9yPjxhdXRob3I+Qm9nYWVydHMsIEEuPC9hdXRob3I+
PGF1dGhvcj5DZWNhdHRpLCBKLiBHLjwvYXV0aG9yPjxhdXRob3I+Q29vbWFyYXNhbXksIEEuPC9h
dXRob3I+PGF1dGhvcj5kZSBHcm9vdCwgQy4gSi4gTS48L2F1dGhvcj48YXV0aG9yPkRldmxpZWdl
ciwgUi48L2F1dGhvcj48YXV0aG9yPkRvZGQsIEouIE0uPC9hdXRob3I+PGF1dGhvcj5FbCBCZWx0
YWd5LCBOLjwvYXV0aG9yPjxhdXRob3I+RmFjY2hpbmV0dGksIEYuPC9hdXRob3I+PGF1dGhvcj5H
ZWlrZXIsIE4uPC9hdXRob3I+PGF1dGhvcj5HdWVsZmksIEsuPC9hdXRob3I+PGF1dGhvcj5IYWFr
c3RhZCwgTC48L2F1dGhvcj48YXV0aG9yPkhhcnJpc29uLCBDLjwvYXV0aG9yPjxhdXRob3I+SGF1
bmVyLCBILjwvYXV0aG9yPjxhdXRob3I+SmVuc2VuLCBELiBNLjwvYXV0aG9yPjxhdXRob3I+S2hh
biwgSy48L2F1dGhvcj48YXV0aG9yPktpbm51bmVuLCBULiBJLjwvYXV0aG9yPjxhdXRob3I+THVv
dG8sIFIuPC9hdXRob3I+PGF1dGhvcj5XaWxsZW0gTW9sLCBCLjwvYXV0aG9yPjxhdXRob3I+TW9y
a3ZlZCwgUy48L2F1dGhvcj48YXV0aG9yPk1vdGFoYXJpLVRhYmFyaSwgTi48L2F1dGhvcj48YXV0
aG9yPk93ZW5zLCBKLiBBLjwvYXV0aG9yPjxhdXRob3I+UGVyYWxlcywgTS48L2F1dGhvcj48YXV0
aG9yPlBldHJlbGxhLCBFLjwvYXV0aG9yPjxhdXRob3I+UGhlbGFuLCBTLjwvYXV0aG9yPjxhdXRo
b3I+UG9zdG9uLCBMLjwvYXV0aG9yPjxhdXRob3I+UmF1aCwgSy48L2F1dGhvcj48YXV0aG9yPlJh
eWFuYWdvdWRhciwgRy48L2F1dGhvcj48YXV0aG9yPlJlbmF1bHQsIEsuIE0uPC9hdXRob3I+PGF1
dGhvcj5SdWlmcm9rLCBBLiBFLjwvYXV0aG9yPjxhdXRob3I+U2FnZWRhbCwgTC48L2F1dGhvcj48
YXV0aG9yPlNhbHZlc2VuLCBLLiBBLjwvYXV0aG9yPjxhdXRob3I+U2N1ZGVsbGVyLCBULiBULjwv
YXV0aG9yPjxhdXRob3I+U2hlbiwgRy48L2F1dGhvcj48YXV0aG9yPlNodWIsIEEuPC9hdXRob3I+
PGF1dGhvcj5TdGFmbmUsIFMuIE4uPC9hdXRob3I+PGF1dGhvcj5TdXJpdGEsIEYuIEcuPC9hdXRo
b3I+PGF1dGhvcj5UaGFuZ2FyYXRpbmFtLCBTLjwvYXV0aG9yPjxhdXRob3I+VG9uc3RhZCwgUy48
L2F1dGhvcj48YXV0aG9yPnZhbiBQb3BwZWwsIE0uIE4uIE0uPC9hdXRob3I+PGF1dGhvcj5WaW50
ZXIsIEMuPC9hdXRob3I+PGF1dGhvcj5WaXN0YWQsIEkuPC9hdXRob3I+PGF1dGhvcj5ZZW8sIFMu
PC9hdXRob3I+PGF1dGhvcj5NY0F1bGlmZmUsIEYuIE0uPC9hdXRob3I+PGF1dGhvcj5pLCBXLiBJ
LiBQLiBDb2xsYWJvcmF0aXZlIEdyb3VwPC9hdXRob3I+PC9hdXRob3JzPjwvY29udHJpYnV0b3Jz
PjxhdXRoLWFkZHJlc3M+VUNEIFBlcmluYXRhbCBSZXNlYXJjaCBDZW50cmUsIE9ic3RldHJpY3Mg
YW5kIEd5bmFlY29sb2d5LCBVQ0QgU2Nob29sIG9mIE1lZGljaW5lLCBVbml2ZXJzaXR5IENvbGxl
Z2UgRHVibGluLCBEdWJsaW4sIElyZWxhbmQuJiN4RDtDZW50cmUgZm9yIFN1cHBvcnQgYW5kIFRy
YWluaW5nIGluIEFuYWx5c2lzIGFuZCBSZXNlYXJjaCAoQ1NUQVIpLCBTY2hvb2wgb2YgUHVibGlj
IEhlYWx0aCwgUGh5c2lvdGhlcmFweSBhbmQgU3BvcnRzIFNjaWVuY2UsIFVuaXZlcnNpdHkgQ29s
bGVnZSBEdWJsaW4sIER1YmxpbiwgSXJlbGFuZC4mI3hEO1dvbWVuJmFwb3M7cyBIZWFsdGggUmVz
ZWFyY2ggVW5pdCwgQmFydHMgYW5kIFRoZSBMb25kb24gU2Nob29sIG9mIE1lZGljaW5lIGFuZCBE
ZW50aXN0cnksIFF1ZWVuIE1hcnkgVW5pdmVyc2l0eSBvZiBMb25kb24sIExvbmRvbiwgVUsuJiN4
RDtNdWx0aWRpc2NpcGxpbmFyeSBFdmlkZW5jZSBTeW50aGVzaXMgSHViIChtRXNoKSwgQmFydHMg
YW5kIFRoZSBMb25kb24gU2Nob29sIG9mIE1lZGljaW5lIGFuZCBEZW50aXN0cnksIFF1ZWVuIE1h
cnkgVW5pdmVyc2l0eSBvZiBMb25kb24sIExvbmRvbiwgVUsuJiN4RDtEZXBhcnRtZW50IG9mIE51
dHJpdGlvbiwgRXhlcmNpc2UgYW5kIFNwb3J0cywgVW5pdmVzaXR5IG9mIENvcGVuaGFnZW4sIENv
cGVuaGFnZW4sIERlbm1hcmsuJiN4RDtGYWN1bHRhZCBkZSBDaWVuY2lhcyBkZSBsYSBBY3Rpdmlk
YWQgRmlzaWNhIHkgZGVsIERlcG9ydGUgKElORUYpLCBVbml2ZXJzaWRhZCBQb2xpdGVjbmljYSBk
ZSBNYWRyaWQsIE1hZHJpZCwgU3BhaW4uJiN4RDtEZXBhcnRtZW50IG9mIERldmVsb3BtZW50IGFu
ZCBSZWdlbmVyYXRpb24gS1UgTGV1dmVuLCBVbml2ZXJzaXR5IG9mIExldXZlbiwgTGV1dmVuLCBC
ZWxnaXVtLiYjeEQ7RmFjdWx0eSBvZiBIZWFsdGggYW5kIFNvY2lhbCBXb3JrLCBVQyBMZXV2ZW4t
TGltYnVyZywgTGV1dmVuLCBCZWxnaXVtLiYjeEQ7RmFjdWx0eSBvZiBNZWRpY2luZSBhbmQgSGVh
bHRoIFNjaWVuY2VzLCBDZW50cmUgZm9yIFJlc2VhcmNoIGFuZCBJbm5vdmF0aW9uIGluIENhcmUg
KENSSUMpLCBVbml2ZXJzaXR5IG9mIEFudHdlcnAsIEJlbGdpdW0uJiN4RDtPYnN0ZXRyaWNzIGFu
ZCBHeW5lY29sb2d5LCBTY2hvb2wgb2YgTWVkaWNhbCBTY2llbmNlcywgVW5pdmVyc2l0eSBvZiBD
YW1waW5hcywgQ2FtcGluYXMsIEJyYXppbC4mI3hEO1NjaG9vbCBvZiBDbGluaWNhbCBhbmQgRXhw
ZXJpbWVudGFsIE1lZGljaW5lLCBDb2xsZWdlIG9mIE1lZGljYWwgYW5kIERlbnRhbCBTY2llbmNl
cywgVW5pdmVyc2l0eSBvZiBCaXJtaW5naGFtLCBCaXJtaW5naGFtLCBVSy4mI3hEO09ic3RldHJp
Y3MgYW5kIEd5bmFlY29sb2d5LCBGYWN1bHR5IG9mIE1lZGljaW5lLCBWVSBVbml2ZXJzaXR5IE1l
ZGljYWwgQ2VudGVyLCBBbXN0ZXJkYW0sIFRoZSBOZXRoZXJsYW5kcy4mI3hEO0RlcGFydG1lbnQg
b2YgT2JzdGV0cmljcyBhbmQgR3luZWNvbG9neSwgVW5pdmVyc2l0YWlyZSBaaWVrZW5odWl6ZW4g
TGV1dmVuLCBMZXV2ZW4sIEJlbGdpdW0uJiN4RDtPYnN0ZXRyaWNzIGFuZCBHeW5hZWNvbG9neSwg
U2Nob29sIG9mIFBhZWRpYXRyaWNzIGFuZCBSZXByb2R1Y3RpdmUgSGVhbHRoLCBUaGUgVW52ZXJz
aXR5IG9mIEFkZWxhaWRlLCBBZGVsYWlkZSwgQXVzdHJhbGlhLiYjeEQ7RGVwYXJ0bWVudCBvZiBP
YnN0ZXRyaWNzIGFuZCBHeW5lY29sb2d5LCBBbGV4YW5kcmlhIFVuaXZlcnNpdHksIEFsZXhhbmRy
aWEsIEVneXB0LiYjeEQ7TW90aGVyLUluZmFudCBEZXBhcnRtZW50LCBVbml2ZXJzaXR5IG9mIE1v
ZGVuYSBhbmQgUmVnZ2lvIEVtaWxpYSwgTW9kZW5hLCBJdGFseS4mI3hEO0NsaW5pY2FsIE51dHJp
dGlvbiBSZXNlYXJjaCwgQ29wZW5oYWdlbiBVbml2ZXJzaXR5IEhvc3BpdGFsIEhlcmxldi1HZW50
b2Z0ZSwgR2VudG9mdGUsIERlbm1hcmsuJiN4RDtTY2hvb2wgb2YgSHVtYW4gU2NpZW5jZXMsIFRo
ZSBVbml2ZXJzaXR5IG9mIFdlc3Rlcm4gQXVzdHJhbGlhLCBQZXJ0aCwgQXVzdHJhbGlhLiYjeEQ7
RGVwYXJ0bWVudCBvZiBTcG9ydHMgTWVkaWNpbmUsIE5vcndlZ2lhbiBTY2hvb2wgb2YgU3BvcnQg
U2NpZW5jZXMsIE9zbG8sIE5vcndheS4mI3hEO01vbmFzaCBDZW50cmUgZm9yIEhlYWx0aCBSZXNl
YXJjaCBhbmQgSW1wbGVtZW50YXRpb24sIFNjaG9vbCBvZiBQdWJsaWMgSGVhbHRoIGFuZCBQcmV2
ZW50aXZlIE1lZGljaW5lLCBNb25hc2ggVW5pdmVyc2l0eSwgTWVsYm91cm5lLCBWaWN0b3JpYSwg
QXVzdHJhbGlhLiYjeEQ7RWxzZSBLcm9lbmVyLUZyZXNlbml1cy1DZW50ZXIgZm9yIE51dHJpdGlv
bmFsIE1lZGljaW5lLCBLbGluaWt1bSByZWNodHMgZGVyIElzYXIsIFRlY2huaXNjaGUgVW5pdmVy
c2l0YXQgTXVuY2hlbiwgTXVuaWNoLCBHZXJtYW55LiYjeEQ7RGVwYXJ0bWVudCBvZiBFbmRvY3Jp
bm9sb2d5LCBPZGVuc2UgVW5pdmVyc2l0eSBIb3NwaXRhbCwgVW5pdmVyc2l0eSBvZiBTb3V0aGVy
biBEZW5tYXJrLCBPZGVuc2UsIERlbm1hcmsuJiN4RDtIZWFsdGggU2NpZW5jZXMsIEZhY3VsdHkg
b2YgU29jaWFsIFNjaWVuY2VzLCBVbml2ZXJzaXR5IG9mIFRhbXBlcmUsIFRhbXBlcmUsIEZpbmxh
bmQuJiN4RDtSb2JpbnNvbiBJbnN0aXR1dGUsIFNjaG9vbCBvZiBQYWVkaWF0cmljcyBhbmQgUmVw
cm9kdWN0aXZlIEhlYWx0aCwgVGhlIFVuaXZlcnNpdHkgb2YgQWRlbGFpZGUsIEFkZWxhaWRlLCBB
dXN0cmFsaWEuJiN4RDtEZXBhcnRtZW50IG9mIFB1YmxpYyBIZWFsdGggYW5kIEdlbmVyYWwgUHJh
Y3RpY2UsIEZhY3VsdHkgb2YgTWVkaWNpbmUsIE5vcndlZ2lhbiBVbml2ZXJzaXR5IG9mIFNjaWVu
Y2UgYW5kIFRlY2hub2xvZ3ksIFRyb25kaGVpbSwgTm9yd2F5LiYjeEQ7Q2xpbmljYWwgU2Vydmlj
ZXMsIFN0LiBPbGF2cyBIb3NwaXRhbCwgVHJvbmRoZWltIFVuaXZlcnNpdHkgSG9zcGl0YWwsIFRy
b25kaGVpbSwgTm9yd2F5LiYjeEQ7TWlkd2lmZXJ5IERlcGFydG1lbnQsIEZhY3VsdHkgb2YgTnVy
c2luZyBhbmQgTWlkd2lmZXJ5LCBNYXphbmRhcmFuIFVuaXZlcnNpdHkgb2YgTWVkaWNhbCBTY2ll
bmNlLCBTYXJpLCBJcmFuLiYjeEQ7S2luZXNpb2xvZ3kgRGVwYXJ0bWVudCwgQ29sbGVnZSBvZiBT
Y2llbmNlIGFuZCBNYXRoZW1hdGljcywgQ2FsaWZvcm5pYSBQb2x5dGVjaG5pYyBTdGF0ZSBVbml2
ZXJzaXR5LCBTYW4gTHVpcyBPYmlzcG8sIENhbGlmb3JuaWEsIFVTQS4mI3hEO0RlcGFydG1lbnQg
b2YgV29tZW4gYW5kIENoaWxkcmVuJmFwb3M7cyBIZWFsdGgsIFNjaG9vbCBvZiBMaWZlIENvdXJz
ZSBTY2llbmNlcywgS2luZyZhcG9zO3MgQ29sbGVnZSBMb25kb24sIExvbmRvbiwgVUsuJiN4RDtO
dXRyaXRpb24gSW5mb3JtYXRpb24gYW5kIEtub3dsZWRnZSBUcmFuc2ZlciwgQ29tcGV0ZW5jZSBD
ZW50cmUgZm9yIE51dHJpdGlvbiAoS0VybiksIEZyZWlzaW5nLCBHZXJtYW55LiYjeEQ7RGVwYXJ0
bWVudCBvZiBPYnN0ZXRyaWNzIGFuZCBHeW5lY29sb2d5LCBIdmlkb3ZyZSBIb3NwaXRhbCwgVW5p
dmVyc2l0eSBvZiBDb3BlbmhhZ2VuLCBDb3BlbmhhZ2VuLCBEZW5tYXJrLiYjeEQ7T2JzdGV0cmlj
IENsaW5pYywgSnVsaWFuZSBNYXJpZSBDZW50cmV0LCBSaWdzaG9zcGl0YWxldCwgVW5pdmVyc2l0
eSBvZiBDb3BlbmhhZ2VuLCBDb3BlbmhhZ2VuLCBEZW5tYXJrLiYjeEQ7RGVwYXJ0bWVudCBvZiBP
YnN0ZXRyaWNzIGFuZCBHeW5hZWNvbG9neSwgQWNhZGVtaXNjaCBNZWRpc2NoIENlbnRydW0gVW5p
dmVyc2l0ZWl0IHZhbiBBbXN0ZXJkYW0sIEFtc3RlcmRhbSwgVGhlIE5ldGhlcmxhbmRzLiYjeEQ7
RGVwYXJ0bWVudCBvZiBPYnN0ZXRyaWNzIGFuZCBHeW5lY29sb2d5LCBTb3JsYW5kZXQgSG9zcGl0
YWwsIEtyaXN0aWFuc2FuZCwgTm9yd2F5LiYjeEQ7RGVwYXJ0bWVudCBvZiBPYnN0ZXRyaWNzIGFu
ZCBHeW5hZWNvbG9neSwgU3QuIE9sYXZzIEhvc3BpdGFsLCBUcm9uZGhlaW0gVW5pdmVyc2l0eSBI
b3NwaXRhbCwgVHJvbmRoZWltLCBOb3J3YXkuJiN4RDtEZXBhcnRtZW50IG9mIExhYm9yYXRvcnkg
TWVkaWNpbmUgQ2hpbGRyZW4mYXBvcztzIGFuZCBXb21lbiZhcG9zO3MgSGVhbHRoLCBOb3J3ZWdp
YW4gVW5pdmVyc2l0eSBvZiBTY2llbmNlIGFuZCBUZWNobm9sb2d5LCBUcm9uZGhlaW0sIE5vcndh
eS4mI3hEO0RlcGFydG1lbnQgb2YgTWFuYWdlbWVudCBhbmQgSGVhbHRoIENhcmUsIFVuaXZlcnNp
ZGFkZSBGZWRlcmFsIGRlIFNhbyBQYXVsbywgU2FvIFBhdWxvLCBCcmF6aWwuJiN4RDtEZXBhcnRt
ZW50IG9mIEludGVybmFsIE1lZGljaW5lLCBVbml2ZXJzaXR5IG9mIE1hbml0b2JhIENvbGxlZ2Ug
b2YgTWVkaWNpbmUsIFdpbm5pcGVnLCBDYW5hZGEuJiN4RDtPYnN0ZXRyaWNzIGFuZCBHeW5hZWNv
bG9neSwgVW5pdmVyc2l0eSBvZiBNZWxib3VybmUsIFZpY3RvcmlhLCBBdXN0cmFsaWEuJiN4RDtE
ZXBhcnRtZW50IG9mIE9ic3RldHJpY3MgYW5kIEd5bmVjb2xvZ3ksIE9zbG8gVW5pdmVyc2l0eSBI
b3NwaXRhbCwgT3NsbywgTm9yd2F5LiYjeEQ7RGVwYXJ0bWVudCBvZiBQdWJsaWMgYW5kIE9jY3Vw
YXRpb25hbCBIZWFsdGgsIFZVIFVuaXZlcnNpdHkgTWVkaWNhbCBDZW50ZXIsIEFtc3RlcmRhbSwg
VGhlIE5ldGhlcmxhbmRzLiYjeEQ7RGVwYXJ0bWVudCBvZiBPYnN0ZXRyaWNzIGFuZCBHeW5lY29s
b2d5LCBPZGVuc2UgVW5pdmVyc2l0eSBIb3NwaXRhbCwgVW5pdmVyc2l0eSBvZiBTb3V0aGVybiBE
ZW5tYXJrLCBPZGVuc2UsIERlbm1hcmsuJiN4RDtTY2hvb2wgb2YgTnVyc2luZywgVW5pdmVyc2l0
eSBvZiBOb3J0aCBDYXJvbGluYSBhdCBDaGFwZWwgSGlsbCwgQ2hhcGVsIEhpbGwsIE5vcnRoIENh
cm9saW5hLCBVU0EuPC9hdXRoLWFkZHJlc3M+PHRpdGxlcz48dGl0bGU+SW1wYWN0IG9mIG1hdGVy
bmFsIGVkdWNhdGlvbiBvbiByZXNwb25zZSB0byBsaWZlc3R5bGUgaW50ZXJ2ZW50aW9ucyB0byBy
ZWR1Y2UgZ2VzdGF0aW9uYWwgd2VpZ2h0IGdhaW46IGluZGl2aWR1YWwgcGFydGljaXBhbnQgZGF0
YSBtZXRhLWFuYWx5c2lzPC90aXRsZT48c2Vjb25kYXJ5LXRpdGxlPkJNSiBPcGVuPC9zZWNvbmRh
cnktdGl0bGU+PC90aXRsZXM+PHBlcmlvZGljYWw+PGZ1bGwtdGl0bGU+Qk1KIE9wZW48L2Z1bGwt
dGl0bGU+PC9wZXJpb2RpY2FsPjxwYWdlcz5lMDI1NjIwPC9wYWdlcz48dm9sdW1lPjk8L3ZvbHVt
ZT48bnVtYmVyPjg8L251bWJlcj48ZWRpdGlvbj4yMDE5LzA4LzA0PC9lZGl0aW9uPjxrZXl3b3Jk
cz48a2V5d29yZD4qaW5lcXVhbGl0aWVzPC9rZXl3b3JkPjxrZXl3b3JkPipsaWZlc3R5bGUgaW50
ZXJ2ZW50aW9uczwva2V5d29yZD48a2V5d29yZD4qbnV0cml0aW9uPC9rZXl3b3JkPjxrZXl3b3Jk
PipwcmVnbmFuY3k8L2tleXdvcmQ+PGtleXdvcmQ+KnNvY2lvZWNvbm9taWMgc3RhdHVzPC9rZXl3
b3JkPjwva2V5d29yZHM+PGRhdGVzPjx5ZWFyPjIwMTk8L3llYXI+PHB1Yi1kYXRlcz48ZGF0ZT5B
dWcgMTwvZGF0ZT48L3B1Yi1kYXRlcz48L2RhdGVzPjxpc2JuPjIwNDQtNjA1NSAoRWxlY3Ryb25p
YykmI3hEOzIwNDQtNjA1NSAoTGlua2luZyk8L2lzYm4+PGFjY2Vzc2lvbi1udW0+MzEzNzU2MDI8
L2FjY2Vzc2lvbi1udW0+PHVybHM+PHJlbGF0ZWQtdXJscz48dXJsPmh0dHBzOi8vd3d3Lm5jYmku
bmxtLm5paC5nb3YvcHVibWVkLzMxMzc1NjAyPC91cmw+PC9yZWxhdGVkLXVybHM+PC91cmxzPjxj
dXN0b20yPlBNQzY2ODg2OTA8L2N1c3RvbTI+PGVsZWN0cm9uaWMtcmVzb3VyY2UtbnVtPjEwLjEx
MzYvYm1qb3Blbi0yMDE4LTAyNTYyMDwvZWxlY3Ryb25pYy1yZXNvdXJjZS1udW0+PC9yZWNvcmQ+
PC9DaXRlPjwvRW5kTm90ZT5=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350</w:t>
            </w:r>
            <w:r w:rsidR="00D07346">
              <w:fldChar w:fldCharType="end"/>
            </w:r>
          </w:p>
          <w:p w14:paraId="373DFAE2" w14:textId="6C9F6C49" w:rsidR="00BF326E" w:rsidRDefault="00BF326E" w:rsidP="0049642F">
            <w:r>
              <w:t>SLR</w:t>
            </w:r>
          </w:p>
        </w:tc>
        <w:tc>
          <w:tcPr>
            <w:tcW w:w="1418" w:type="dxa"/>
          </w:tcPr>
          <w:p w14:paraId="01B226C5" w14:textId="77777777" w:rsidR="006F1529" w:rsidRDefault="006F1529" w:rsidP="006F1529">
            <w:r>
              <w:t xml:space="preserve">21 trials </w:t>
            </w:r>
          </w:p>
          <w:p w14:paraId="5FCE7183" w14:textId="652D8254" w:rsidR="00A85AD8" w:rsidRDefault="006F1529" w:rsidP="006F1529">
            <w:r>
              <w:t>5,183 women</w:t>
            </w:r>
          </w:p>
        </w:tc>
        <w:tc>
          <w:tcPr>
            <w:tcW w:w="4394" w:type="dxa"/>
          </w:tcPr>
          <w:p w14:paraId="2CDBA700" w14:textId="77777777" w:rsidR="006F1529" w:rsidRDefault="006F1529" w:rsidP="006F1529">
            <w:r w:rsidRPr="00BD61CC">
              <w:rPr>
                <w:b/>
              </w:rPr>
              <w:t>Aim</w:t>
            </w:r>
            <w:r>
              <w:t xml:space="preserve">: To identify if maternal educational attainment is a prognostic factor for gestational weight gain (GWG), and to determine the differential effects of lifestyle interventions (diet based, physical activity based or mixed approach) on GWG, stratified by educational attainment. </w:t>
            </w:r>
          </w:p>
          <w:p w14:paraId="0DE59E63" w14:textId="6FFE7A86" w:rsidR="00A85AD8" w:rsidRPr="00C973B8" w:rsidRDefault="006F1529" w:rsidP="006F1529">
            <w:pPr>
              <w:rPr>
                <w:b/>
              </w:rPr>
            </w:pPr>
            <w:r w:rsidRPr="00BD61CC">
              <w:rPr>
                <w:b/>
              </w:rPr>
              <w:t>Methods</w:t>
            </w:r>
            <w:r>
              <w:t xml:space="preserve">: Individual participant data meta-analysis using the previously established International Weight Management in Pregnancy (i-WIP) Collaborative Group database. Maternal educational attainment was required for inclusion and was categorised as higher education (≥tertiary) or lower education (≤secondary). </w:t>
            </w:r>
          </w:p>
        </w:tc>
        <w:tc>
          <w:tcPr>
            <w:tcW w:w="4536" w:type="dxa"/>
          </w:tcPr>
          <w:p w14:paraId="57E692D0" w14:textId="77777777" w:rsidR="00BC6034" w:rsidRDefault="006F1529" w:rsidP="00BD61CC">
            <w:r>
              <w:t xml:space="preserve">Women with lower educational attainment had an increased risk of excessive (OR 1.182; 95% CI 1.008 to 1.385, p =0.039) and inadequate weight gain (OR 1.284; 95% CI 1.045 to 1.577, p =0.017). </w:t>
            </w:r>
          </w:p>
          <w:p w14:paraId="72EAA830" w14:textId="439B2894" w:rsidR="006F1529" w:rsidRDefault="006F1529" w:rsidP="00BD61CC">
            <w:r>
              <w:t xml:space="preserve">Among women with lower education, diet-based interventions reduced risk of excessive weight gain (OR 0.515; 95% CI 0.339 to 0.785, p = 0.002) and inadequate weight gain (OR 0.504; 95% CI 0.288 to 0.884, p=0.017), and reduced kg/week gain (B -0.055; 95% CI -0.098 to -0.012, p=0.012). Mixed interventions reduced risk of excessive weight gain for women with lower education (OR 0.735; 95% CI 0.561 to 0.963, p=0.026). </w:t>
            </w:r>
          </w:p>
          <w:p w14:paraId="7ADC2B7D" w14:textId="77777777" w:rsidR="006F1529" w:rsidRDefault="006F1529" w:rsidP="0049642F">
            <w:r>
              <w:t xml:space="preserve">Among women with high education, diet-based interventions reduced risk of excessive weight gain (OR 0.609; 95% CI 0.437 to 0.849, p=0.003), and mixed interventions reduced kg/week gain (B -0.053; 95% CI -0.069 to -0.037,p&lt;0.001). </w:t>
            </w:r>
          </w:p>
          <w:p w14:paraId="3CF9EFBE" w14:textId="0F40544B" w:rsidR="00A85AD8" w:rsidRPr="00BD61CC" w:rsidRDefault="006F1529" w:rsidP="006F1529">
            <w:pPr>
              <w:rPr>
                <w:rFonts w:ascii="Helvetica" w:hAnsi="Helvetica"/>
                <w:szCs w:val="18"/>
              </w:rPr>
            </w:pPr>
            <w:r>
              <w:t xml:space="preserve">Physical activity based interventions did not impact GWG when stratified by education. </w:t>
            </w:r>
          </w:p>
        </w:tc>
        <w:tc>
          <w:tcPr>
            <w:tcW w:w="2410" w:type="dxa"/>
          </w:tcPr>
          <w:p w14:paraId="5B6F1334" w14:textId="77777777" w:rsidR="00A85AD8" w:rsidRDefault="00A85AD8" w:rsidP="0049642F"/>
        </w:tc>
      </w:tr>
      <w:tr w:rsidR="00FA36C3" w:rsidRPr="00B60FFF" w14:paraId="33DC9600" w14:textId="77777777" w:rsidTr="00FA36C3">
        <w:trPr>
          <w:cantSplit/>
        </w:trPr>
        <w:tc>
          <w:tcPr>
            <w:tcW w:w="1418" w:type="dxa"/>
          </w:tcPr>
          <w:p w14:paraId="0CACE1CA" w14:textId="317B8FE6" w:rsidR="00A706DC" w:rsidRDefault="00A706DC" w:rsidP="0049642F">
            <w:r>
              <w:t>Ratan et al 2020</w:t>
            </w:r>
            <w:r w:rsidR="00D07346">
              <w:fldChar w:fldCharType="begin"/>
            </w:r>
            <w:r w:rsidR="001A2F28">
              <w:instrText xml:space="preserve"> ADDIN EN.CITE &lt;EndNote&gt;&lt;Cite&gt;&lt;Author&gt;Ratan&lt;/Author&gt;&lt;Year&gt;2020&lt;/Year&gt;&lt;RecNum&gt;1972&lt;/RecNum&gt;&lt;DisplayText&gt;&lt;style face="superscript" font="Trebuchet MS" size="9"&gt;357&lt;/style&gt;&lt;/DisplayText&gt;&lt;record&gt;&lt;rec-number&gt;1972&lt;/rec-number&gt;&lt;foreign-keys&gt;&lt;key app="EN" db-id="exvasrfx2dtraoesasxp2szsxa2df502592x" timestamp="1588904831"&gt;1972&lt;/key&gt;&lt;key app="ENWeb" db-id=""&gt;0&lt;/key&gt;&lt;/foreign-keys&gt;&lt;ref-type name="Journal Article"&gt;17&lt;/ref-type&gt;&lt;contributors&gt;&lt;authors&gt;&lt;author&gt;Ratan, B. M.&lt;/author&gt;&lt;author&gt;Garbarino, A. H.&lt;/author&gt;&lt;author&gt;Sellner, A. A.&lt;/author&gt;&lt;author&gt;Miao, D.&lt;/author&gt;&lt;author&gt;Hollier, L. M.&lt;/author&gt;&lt;/authors&gt;&lt;/contributors&gt;&lt;auth-address&gt;Department of Obstetrics and Gynecology, Baylor College of Medicine, Houston, Texas.&amp;#xD;Texas Children&amp;apos;s Health Plan, The Center for Children and Women, Houston, Texas.&lt;/auth-address&gt;&lt;titles&gt;&lt;title&gt;Social determinants of gestational weight gain in an obese, low-income population&lt;/title&gt;&lt;secondary-title&gt;Am J Perinatol&lt;/secondary-title&gt;&lt;/titles&gt;&lt;periodical&gt;&lt;full-title&gt;Am J Perinatol&lt;/full-title&gt;&lt;/periodical&gt;&lt;pages&gt;296-303&lt;/pages&gt;&lt;volume&gt;37&lt;/volume&gt;&lt;number&gt;3&lt;/number&gt;&lt;edition&gt;2019/02/12&lt;/edition&gt;&lt;dates&gt;&lt;year&gt;2020&lt;/year&gt;&lt;pub-dates&gt;&lt;date&gt;Feb&lt;/date&gt;&lt;/pub-dates&gt;&lt;/dates&gt;&lt;isbn&gt;1098-8785 (Electronic)&amp;#xD;0735-1631 (Linking)&lt;/isbn&gt;&lt;accession-num&gt;30743269&lt;/accession-num&gt;&lt;urls&gt;&lt;related-urls&gt;&lt;url&gt;https://www.ncbi.nlm.nih.gov/pubmed/30743269&lt;/url&gt;&lt;/related-urls&gt;&lt;/urls&gt;&lt;electronic-resource-num&gt;10.1055/s-0039-1678606&lt;/electronic-resource-num&gt;&lt;/record&gt;&lt;/Cite&gt;&lt;/EndNote&gt;</w:instrText>
            </w:r>
            <w:r w:rsidR="00D07346">
              <w:fldChar w:fldCharType="separate"/>
            </w:r>
            <w:r w:rsidR="001A2F28" w:rsidRPr="001A2F28">
              <w:rPr>
                <w:noProof/>
                <w:vertAlign w:val="superscript"/>
              </w:rPr>
              <w:t>357</w:t>
            </w:r>
            <w:r w:rsidR="00D07346">
              <w:fldChar w:fldCharType="end"/>
            </w:r>
          </w:p>
          <w:p w14:paraId="52958683" w14:textId="1492CCBA" w:rsidR="00A706DC" w:rsidRDefault="00A706DC" w:rsidP="0049642F">
            <w:r>
              <w:t>United States</w:t>
            </w:r>
          </w:p>
          <w:p w14:paraId="65AC0B9D" w14:textId="5F5ECAC3" w:rsidR="00A706DC" w:rsidRDefault="00A706DC" w:rsidP="0049642F">
            <w:r>
              <w:t xml:space="preserve">Cohort </w:t>
            </w:r>
          </w:p>
        </w:tc>
        <w:tc>
          <w:tcPr>
            <w:tcW w:w="1418" w:type="dxa"/>
          </w:tcPr>
          <w:p w14:paraId="14467C33" w14:textId="2246AECE" w:rsidR="00A706DC" w:rsidRDefault="00A706DC" w:rsidP="006F1529">
            <w:r>
              <w:t>772</w:t>
            </w:r>
          </w:p>
        </w:tc>
        <w:tc>
          <w:tcPr>
            <w:tcW w:w="4394" w:type="dxa"/>
          </w:tcPr>
          <w:p w14:paraId="42F5495E" w14:textId="38DE765B" w:rsidR="00DE7773" w:rsidRDefault="00DE7773" w:rsidP="006F1529">
            <w:r w:rsidRPr="00BD61CC">
              <w:rPr>
                <w:b/>
              </w:rPr>
              <w:t>Aim</w:t>
            </w:r>
            <w:r>
              <w:t xml:space="preserve">: </w:t>
            </w:r>
            <w:r w:rsidRPr="00DE7773">
              <w:t>To examine how social support factors affect compliance with gestational weight gain (GWG) recommendations in an obese, low-income, predominantly minority population. </w:t>
            </w:r>
          </w:p>
          <w:p w14:paraId="6F177529" w14:textId="6143F429" w:rsidR="00A706DC" w:rsidRPr="00A706DC" w:rsidRDefault="00DE7773" w:rsidP="00DE7773">
            <w:pPr>
              <w:rPr>
                <w:b/>
              </w:rPr>
            </w:pPr>
            <w:r w:rsidRPr="00BD61CC">
              <w:rPr>
                <w:b/>
              </w:rPr>
              <w:t>Methods</w:t>
            </w:r>
            <w:r>
              <w:t xml:space="preserve">: </w:t>
            </w:r>
            <w:r w:rsidR="00A706DC" w:rsidRPr="00937A3F">
              <w:t xml:space="preserve">A retrospective cohort of pregnant women with </w:t>
            </w:r>
            <w:r>
              <w:t>BMI &gt;</w:t>
            </w:r>
            <w:r w:rsidR="00A706DC" w:rsidRPr="00937A3F">
              <w:t>30 was reviewed. Univariate and multinomial logistic regression analyses were used to compare GWG with pregnancy planning, relationship status, participation in group prenatal care, nutritional education, and demographic factors. Subgroup analysis was performed to determine if differences existed in en</w:t>
            </w:r>
            <w:r>
              <w:t xml:space="preserve">try into prenatal care. </w:t>
            </w:r>
          </w:p>
        </w:tc>
        <w:tc>
          <w:tcPr>
            <w:tcW w:w="4536" w:type="dxa"/>
          </w:tcPr>
          <w:p w14:paraId="71F68E6B" w14:textId="337AA75B" w:rsidR="00A706DC" w:rsidRPr="00A706DC" w:rsidRDefault="00A706DC" w:rsidP="00DE7773">
            <w:r w:rsidRPr="00937A3F">
              <w:t xml:space="preserve">Social support factors in this study did not individually affect compliance with GWG recommendations in a low-income, obese pregnant population, although some factors were associated with earlier entry to prenatal care. </w:t>
            </w:r>
          </w:p>
        </w:tc>
        <w:tc>
          <w:tcPr>
            <w:tcW w:w="2410" w:type="dxa"/>
          </w:tcPr>
          <w:p w14:paraId="1AC287B3" w14:textId="77777777" w:rsidR="00A706DC" w:rsidRDefault="00A706DC" w:rsidP="0049642F"/>
        </w:tc>
      </w:tr>
      <w:tr w:rsidR="00FA36C3" w:rsidRPr="00B60FFF" w14:paraId="7FB13549" w14:textId="77777777" w:rsidTr="00FA36C3">
        <w:trPr>
          <w:cantSplit/>
        </w:trPr>
        <w:tc>
          <w:tcPr>
            <w:tcW w:w="1418" w:type="dxa"/>
          </w:tcPr>
          <w:p w14:paraId="468707E4" w14:textId="015C3E68" w:rsidR="001D1144" w:rsidRDefault="001D1144" w:rsidP="0049642F">
            <w:r>
              <w:t>Hartley et al 2015</w:t>
            </w:r>
            <w:r>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 </w:instrText>
            </w:r>
            <w:r w:rsidR="001A2F28">
              <w:fldChar w:fldCharType="begin">
                <w:fldData xml:space="preserve">PEVuZE5vdGU+PENpdGU+PEF1dGhvcj5IYXJ0bGV5PC9BdXRob3I+PFllYXI+MjAxNTwvWWVhcj48
UmVjTnVtPjE3NTk8L1JlY051bT48RGlzcGxheVRleHQ+PHN0eWxlIGZhY2U9InN1cGVyc2NyaXB0
IiBmb250PSJUcmVidWNoZXQgTVMiIHNpemU9IjkiPjM1NTwvc3R5bGU+PC9EaXNwbGF5VGV4dD48
cmVjb3JkPjxyZWMtbnVtYmVyPjE3NTk8L3JlYy1udW1iZXI+PGZvcmVpZ24ta2V5cz48a2V5IGFw
cD0iRU4iIGRiLWlkPSJleHZhc3JmeDJkdHJhb2VzYXN4cDJzenN4YTJkZjUwMjU5MngiIHRpbWVz
dGFtcD0iMTU4Mjg2NzE0MyI+MTc1OTwva2V5PjxrZXkgYXBwPSJFTldlYiIgZGItaWQ9IiI+MDwv
a2V5PjwvZm9yZWlnbi1rZXlzPjxyZWYtdHlwZSBuYW1lPSJKb3VybmFsIEFydGljbGUiPjE3PC9y
ZWYtdHlwZT48Y29udHJpYnV0b3JzPjxhdXRob3JzPjxhdXRob3I+SGFydGxleSwgRS48L2F1dGhv
cj48YXV0aG9yPk1jUGhpZSwgUy48L2F1dGhvcj48YXV0aG9yPlNrb3V0ZXJpcywgSC48L2F1dGhv
cj48YXV0aG9yPkZ1bGxlci1UeXN6a2lld2ljeiwgTS48L2F1dGhvcj48YXV0aG9yPkhpbGwsIEIu
PC9hdXRob3I+PC9hdXRob3JzPjwvY29udHJpYnV0b3JzPjxhdXRoLWFkZHJlc3M+U2Nob29sIG9m
IFBzeWNob2xvZ3ksIERlYWtpbiBVbml2ZXJzaXR5LCAyMjEgQnVyd29vZCBIaWdod2F5LCBCdXJ3
b29kLCBWaWN0b3JpYSAzMTI1LCBBdXN0cmFsaWEuJiN4RDtTY2hvb2wgb2YgUHN5Y2hvbG9neSwg
RGVha2luIFVuaXZlcnNpdHksIDIyMSBCdXJ3b29kIEhpZ2h3YXksIEJ1cndvb2QsIFZpY3Rvcmlh
IDMxMjUsIEF1c3RyYWxpYS4gRWxlY3Ryb25pYyBhZGRyZXNzOiBza3llLm1jcGhpZUBkZWFraW4u
ZWR1LmF1LjwvYXV0aC1hZGRyZXNzPjx0aXRsZXM+PHRpdGxlPlBzeWNob3NvY2lhbCByaXNrIGZh
Y3RvcnMgZm9yIGV4Y2Vzc2l2ZSBnZXN0YXRpb25hbCB3ZWlnaHQgZ2FpbjogQSBzeXN0ZW1hdGlj
IHJldmlldzwvdGl0bGU+PHNlY29uZGFyeS10aXRsZT5Xb21lbiBCaXJ0aDwvc2Vjb25kYXJ5LXRp
dGxlPjwvdGl0bGVzPjxwZXJpb2RpY2FsPjxmdWxsLXRpdGxlPldvbWVuIEJpcnRoPC9mdWxsLXRp
dGxlPjwvcGVyaW9kaWNhbD48cGFnZXM+ZTk5LWUxMDk8L3BhZ2VzPjx2b2x1bWU+Mjg8L3ZvbHVt
ZT48bnVtYmVyPjQ8L251bWJlcj48ZWRpdGlvbj4yMDE1LzA1LzEyPC9lZGl0aW9uPjxrZXl3b3Jk
cz48a2V5d29yZD5BZHVsdDwva2V5d29yZD48a2V5d29yZD5BbnhpZXR5L3BzeWNob2xvZ3k8L2tl
eXdvcmQ+PGtleXdvcmQ+Qm9keSBJbWFnZS8qcHN5Y2hvbG9neTwva2V5d29yZD48a2V5d29yZD4q
Qm9keSBNYXNzIEluZGV4PC9rZXl3b3JkPjxrZXl3b3JkPkRlcHJlc3Npb24vZXRpb2xvZ3kvcHN5
Y2hvbG9neTwva2V5d29yZD48a2V5d29yZD5GZW1hbGU8L2tleXdvcmQ+PGtleXdvcmQ+SHVtYW5z
PC9rZXl3b3JkPjxrZXl3b3JkPk1vdGhlcnMvKnBzeWNob2xvZ3k8L2tleXdvcmQ+PGtleXdvcmQ+
T2Jlc2l0eS8qZXRpb2xvZ3kvcHN5Y2hvbG9neTwva2V5d29yZD48a2V5d29yZD5QcmVnbmFuY3k8
L2tleXdvcmQ+PGtleXdvcmQ+UHJlbmF0YWwgQ2FyZTwva2V5d29yZD48a2V5d29yZD5SaXNrIEZh
Y3RvcnM8L2tleXdvcmQ+PGtleXdvcmQ+U2VsZiBDb25jZXB0PC9rZXl3b3JkPjxrZXl3b3JkPlNl
bGYgRWZmaWNhY3k8L2tleXdvcmQ+PGtleXdvcmQ+KlNvY2lhbCBTdXBwb3J0PC9rZXl3b3JkPjxr
ZXl3b3JkPipXZWlnaHQgR2Fpbjwva2V5d29yZD48a2V5d29yZD5Cb2R5IE1hc3MgSW5kZXggKEJN
SSk8L2tleXdvcmQ+PGtleXdvcmQ+T2Jlc2l0eTwva2V5d29yZD48a2V5d29yZD5Qc3ljaG9zb2Np
YWwgZmFjdG9yczwva2V5d29yZD48a2V5d29yZD5XZWlnaHQgZ2Fpbjwva2V5d29yZD48L2tleXdv
cmRzPjxkYXRlcz48eWVhcj4yMDE1PC95ZWFyPjxwdWItZGF0ZXM+PGRhdGU+RGVjPC9kYXRlPjwv
cHViLWRhdGVzPjwvZGF0ZXM+PGlzYm4+MTg3OC0xNzk5IChFbGVjdHJvbmljKSYjeEQ7MTg3MS01
MTkyIChMaW5raW5nKTwvaXNibj48YWNjZXNzaW9uLW51bT4yNTk1OTg4MzwvYWNjZXNzaW9uLW51
bT48dXJscz48cmVsYXRlZC11cmxzPjx1cmw+aHR0cHM6Ly93d3cubmNiaS5ubG0ubmloLmdvdi9w
dWJtZWQvMjU5NTk4ODM8L3VybD48L3JlbGF0ZWQtdXJscz48L3VybHM+PGVsZWN0cm9uaWMtcmVz
b3VyY2UtbnVtPjEwLjEwMTYvai53b21iaS4yMDE1LjA0LjAwNDwvZWxlY3Ryb25pYy1yZXNvdXJj
ZS1udW0+PC9yZWNvcmQ+PC9DaXRlPjwvRW5kTm90ZT4A
</w:fldData>
              </w:fldChar>
            </w:r>
            <w:r w:rsidR="001A2F28">
              <w:instrText xml:space="preserve"> ADDIN EN.CITE.DATA </w:instrText>
            </w:r>
            <w:r w:rsidR="001A2F28">
              <w:fldChar w:fldCharType="end"/>
            </w:r>
            <w:r>
              <w:fldChar w:fldCharType="separate"/>
            </w:r>
            <w:r w:rsidR="001A2F28" w:rsidRPr="001A2F28">
              <w:rPr>
                <w:noProof/>
                <w:vertAlign w:val="superscript"/>
              </w:rPr>
              <w:t>355</w:t>
            </w:r>
            <w:r>
              <w:fldChar w:fldCharType="end"/>
            </w:r>
          </w:p>
          <w:p w14:paraId="45468A7F" w14:textId="77777777" w:rsidR="001D1144" w:rsidRDefault="001D1144" w:rsidP="0049642F">
            <w:r>
              <w:t>SLR</w:t>
            </w:r>
          </w:p>
        </w:tc>
        <w:tc>
          <w:tcPr>
            <w:tcW w:w="1418" w:type="dxa"/>
          </w:tcPr>
          <w:p w14:paraId="3E3C0DB8" w14:textId="77777777" w:rsidR="001D1144" w:rsidRDefault="001D1144" w:rsidP="0049642F">
            <w:r>
              <w:t>12 studies</w:t>
            </w:r>
          </w:p>
        </w:tc>
        <w:tc>
          <w:tcPr>
            <w:tcW w:w="4394" w:type="dxa"/>
          </w:tcPr>
          <w:p w14:paraId="20E70EAF" w14:textId="77777777" w:rsidR="001D1144" w:rsidRDefault="001D1144" w:rsidP="0049642F">
            <w:r w:rsidRPr="00C973B8">
              <w:rPr>
                <w:b/>
              </w:rPr>
              <w:t>Aim</w:t>
            </w:r>
            <w:r>
              <w:t xml:space="preserve">: </w:t>
            </w:r>
            <w:r w:rsidRPr="00C973B8">
              <w:t xml:space="preserve">To review the existing literature that explores the impact of psychosocial risk factors (psychological distress, body image dissatisfaction, social support, self-efficacy and self-esteem) on excessive gestational weight gain. </w:t>
            </w:r>
          </w:p>
          <w:p w14:paraId="5B2B03F3" w14:textId="77777777" w:rsidR="001D1144" w:rsidRPr="005629DA" w:rsidRDefault="001D1144" w:rsidP="0049642F">
            <w:pPr>
              <w:rPr>
                <w:rFonts w:ascii="Helvetica" w:hAnsi="Helvetica"/>
                <w:b/>
                <w:szCs w:val="18"/>
              </w:rPr>
            </w:pPr>
            <w:r w:rsidRPr="00FA0A34">
              <w:rPr>
                <w:b/>
              </w:rPr>
              <w:t>Methods</w:t>
            </w:r>
            <w:r w:rsidRPr="00C973B8">
              <w:t xml:space="preserve">: A systematic review of peer-reviewed English articles using Academic Search Complete, Cumulative Index to Nursing and Allied Health Literature, MEDLINE Complete, PsycINFO, Informit, Web of Science, and Scopus was conducted. Quantitative studies that investigated psychosocial factors of excessive GWG, published between 2000 and 2014 were included. Studies investigating mothers with a low risk of mental health issues and normally-developing foetuses were eligible for inclusion. </w:t>
            </w:r>
          </w:p>
        </w:tc>
        <w:tc>
          <w:tcPr>
            <w:tcW w:w="4536" w:type="dxa"/>
          </w:tcPr>
          <w:p w14:paraId="1C4359D8" w14:textId="77777777" w:rsidR="001D1144" w:rsidRPr="00C973B8" w:rsidRDefault="001D1144" w:rsidP="0049642F">
            <w:r w:rsidRPr="00C973B8">
              <w:t xml:space="preserve">Significant associations were found between depression, body image dissatisfaction, and social support with excessive gestational weight gain. No significant relationships were reported between anxiety, stress, self-efficacy, or self-esteem and excessive gestational weight gain. </w:t>
            </w:r>
          </w:p>
        </w:tc>
        <w:tc>
          <w:tcPr>
            <w:tcW w:w="2410" w:type="dxa"/>
          </w:tcPr>
          <w:p w14:paraId="5EDA81C4" w14:textId="77777777" w:rsidR="001D1144" w:rsidRDefault="001D1144" w:rsidP="0049642F"/>
        </w:tc>
      </w:tr>
      <w:tr w:rsidR="00FA36C3" w:rsidRPr="00B60FFF" w14:paraId="7EE4C130" w14:textId="77777777" w:rsidTr="00FA36C3">
        <w:trPr>
          <w:cantSplit/>
        </w:trPr>
        <w:tc>
          <w:tcPr>
            <w:tcW w:w="1418" w:type="dxa"/>
          </w:tcPr>
          <w:p w14:paraId="4E7D5F37" w14:textId="7104812E" w:rsidR="001D1144" w:rsidRDefault="001D1144" w:rsidP="0049642F">
            <w:r>
              <w:t>Hill et al 2017</w:t>
            </w:r>
            <w:r>
              <w:fldChar w:fldCharType="begin">
                <w:fldData xml:space="preserve">PEVuZE5vdGU+PENpdGU+PEF1dGhvcj5IaWxsPC9BdXRob3I+PFllYXI+MjAxNzwvWWVhcj48UmVj
TnVtPjE3NjE8L1JlY051bT48RGlzcGxheVRleHQ+PHN0eWxlIGZhY2U9InN1cGVyc2NyaXB0IiBm
b250PSJUcmVidWNoZXQgTVMiIHNpemU9IjkiPjM1ODwvc3R5bGU+PC9EaXNwbGF5VGV4dD48cmVj
b3JkPjxyZWMtbnVtYmVyPjE3NjE8L3JlYy1udW1iZXI+PGZvcmVpZ24ta2V5cz48a2V5IGFwcD0i
RU4iIGRiLWlkPSJleHZhc3JmeDJkdHJhb2VzYXN4cDJzenN4YTJkZjUwMjU5MngiIHRpbWVzdGFt
cD0iMTU4Mjg2NzE2MCI+MTc2MTwva2V5PjxrZXkgYXBwPSJFTldlYiIgZGItaWQ9IiI+MDwva2V5
PjwvZm9yZWlnbi1rZXlzPjxyZWYtdHlwZSBuYW1lPSJKb3VybmFsIEFydGljbGUiPjE3PC9yZWYt
dHlwZT48Y29udHJpYnV0b3JzPjxhdXRob3JzPjxhdXRob3I+SGlsbCwgQi48L2F1dGhvcj48YXV0
aG9yPkJlcmdtZWllciwgSC48L2F1dGhvcj48YXV0aG9yPk1jUGhpZSwgUy48L2F1dGhvcj48YXV0
aG9yPkZ1bGxlci1UeXN6a2lld2ljeiwgTS48L2F1dGhvcj48YXV0aG9yPlRlZWRlLCBILjwvYXV0
aG9yPjxhdXRob3I+Rm9yc3RlciwgRC48L2F1dGhvcj48YXV0aG9yPlNwaWxpb3RpcywgQi4gRS48
L2F1dGhvcj48YXV0aG9yPkhpbGxzLCBBLiBQLjwvYXV0aG9yPjxhdXRob3I+U2tvdXRlcmlzLCBI
LjwvYXV0aG9yPjwvYXV0aG9ycz48L2NvbnRyaWJ1dG9ycz48YXV0aC1hZGRyZXNzPlNjaG9vbCBv
ZiBQc3ljaG9sb2d5LCBEZWFraW4gVW5pdmVyc2l0eSwgR2VlbG9uZywgVmljdG9yaWEsIEF1c3Ry
YWxpYS4mI3hEO01vbmFzaCBDZW50cmUgZm9yIEhlYWx0aCBSZXNlYXJjaCBhbmQgSW1wbGVtZW50
YXRpb24sIFNjaG9vbCBvZiBQdWJsaWMgSGVhbHRoIGFuZCBQcmV2ZW50YXRpdmUgTWVkaWNpbmUs
IE1vbmFzaCBVbml2ZXJzaXR5IGluIGNvbGxhYm9yYXRpb24gd2l0aCBNb25hc2ggSGVhbHRoLCBN
ZWxib3VybmUsIFZpY3RvcmlhLCBBdXN0cmFsaWEuJiN4RDtTY2hvb2wgb2YgTnVyc2luZyBhbmQg
TWlkd2lmZXJ5LCBDb2xsZWdlIG9mIFNjaWVuY2UsIEhlYWx0aCBhbmQgRW5naW5lZXJpbmcsIEp1
ZGl0aCBMdW1sZXkgQ2VudHJlLCBNZWxib3VybmUsIFZpY3RvcmlhLCBBdXN0cmFsaWEuJiN4RDtN
aWR3aWZlcnkgUmVzZWFyY2ggVW5pdCwgTWF0ZXJuaXR5IFNlcnZpY2VzLCBSb3lhbCBXb21lbiZh
cG9zO3MgSG9zcGl0YWwsIE1lbGJvdXJuZSwgVmljdG9yaWEsIEF1c3RyYWxpYS4mI3hEO1BlZGlh
dHJpYyBFbmRvY3Jpbm9sb2d5LCBEaXZpc2lvbiBvZiBQZWRpYXRyaWMgRW5kb2NyaW5vbG9neSBh
bmQgRGlhYmV0ZXMsIERlcGFydG1lbnQgb2YgUGVkaWF0cmljcywgU2Nob29sIG9mIE1lZGljaW5l
LCBVbml2ZXJzaXR5IG9mIFBhdHJhcywgUGF0cmFzLCBHcmVlY2UuJiN4RDtTcG9ydCBhbmQgRXhl
cmNpc2UgU2NpZW5jZSwgU2Nob29sIG9mIEhlYWx0aCBTY2llbmNlcywgVW5pdmVyc2l0eSBvZiBU
YXNtYW5pYSwgTGF1bmNlc3RvbiwgVGFzbWFuaWEsIEF1c3RyYWxpYS48L2F1dGgtYWRkcmVzcz48
dGl0bGVzPjx0aXRsZT5JcyBwYXJpdHkgYSByaXNrIGZhY3RvciBmb3IgZXhjZXNzaXZlIHdlaWdo
dCBnYWluIGR1cmluZyBwcmVnbmFuY3kgYW5kIHBvc3RwYXJ0dW0gd2VpZ2h0IHJldGVudGlvbj8g
QSBzeXN0ZW1hdGljIHJldmlldyBhbmQgbWV0YS1hbmFseXNpczwvdGl0bGU+PHNlY29uZGFyeS10
aXRsZT5PYmVzIFJldjwvc2Vjb25kYXJ5LXRpdGxlPjwvdGl0bGVzPjxwZXJpb2RpY2FsPjxmdWxs
LXRpdGxlPk9iZXMgUmV2PC9mdWxsLXRpdGxlPjwvcGVyaW9kaWNhbD48cGFnZXM+NzU1LTc2NDwv
cGFnZXM+PHZvbHVtZT4xODwvdm9sdW1lPjxudW1iZXI+NzwvbnVtYmVyPjxlZGl0aW9uPjIwMTcv
MDUvMTg8L2VkaXRpb24+PGtleXdvcmRzPjxrZXl3b3JkPkJvZHkgTWFzcyBJbmRleDwva2V5d29y
ZD48a2V5d29yZD5GZW1hbGU8L2tleXdvcmQ+PGtleXdvcmQ+SHVtYW5zPC9rZXl3b3JkPjxrZXl3
b3JkPk9iZXNpdHkvZXBpZGVtaW9sb2d5PC9rZXl3b3JkPjxrZXl3b3JkPk92ZXJ3ZWlnaHQvZXBp
ZGVtaW9sb2d5PC9rZXl3b3JkPjxrZXl3b3JkPlBhcml0eS8qcGh5c2lvbG9neTwva2V5d29yZD48
a2V5d29yZD5Qb3N0cGFydHVtIFBlcmlvZC8qcGh5c2lvbG9neTwva2V5d29yZD48a2V5d29yZD5Q
cmVnbmFuY3k8L2tleXdvcmQ+PGtleXdvcmQ+UmlzayBGYWN0b3JzPC9rZXl3b3JkPjxrZXl3b3Jk
PldlaWdodCBHYWluLypwaHlzaW9sb2d5PC9rZXl3b3JkPjxrZXl3b3JkPipPYmVzaXR5PC9rZXl3
b3JkPjxrZXl3b3JkPipwYXJpdHk8L2tleXdvcmQ+PGtleXdvcmQ+KnByZWduYW5jeTwva2V5d29y
ZD48a2V5d29yZD4qd2VpZ2h0IGdhaW48L2tleXdvcmQ+PC9rZXl3b3Jkcz48ZGF0ZXM+PHllYXI+
MjAxNzwveWVhcj48cHViLWRhdGVzPjxkYXRlPkp1bDwvZGF0ZT48L3B1Yi1kYXRlcz48L2RhdGVz
Pjxpc2JuPjE0NjctNzg5WCAoRWxlY3Ryb25pYykmI3hEOzE0NjctNzg4MSAoTGlua2luZyk8L2lz
Ym4+PGFjY2Vzc2lvbi1udW0+Mjg1MTI5OTE8L2FjY2Vzc2lvbi1udW0+PHVybHM+PHJlbGF0ZWQt
dXJscz48dXJsPmh0dHBzOi8vd3d3Lm5jYmkubmxtLm5paC5nb3YvcHVibWVkLzI4NTEyOTkxPC91
cmw+PC9yZWxhdGVkLXVybHM+PC91cmxzPjxlbGVjdHJvbmljLXJlc291cmNlLW51bT4xMC4xMTEx
L29ici4xMjUzODwvZWxlY3Ryb25pYy1yZXNvdXJjZS1udW0+PC9yZWNvcmQ+PC9DaXRlPjwvRW5k
Tm90ZT4A
</w:fldData>
              </w:fldChar>
            </w:r>
            <w:r w:rsidR="001A2F28">
              <w:instrText xml:space="preserve"> ADDIN EN.CITE </w:instrText>
            </w:r>
            <w:r w:rsidR="001A2F28">
              <w:fldChar w:fldCharType="begin">
                <w:fldData xml:space="preserve">PEVuZE5vdGU+PENpdGU+PEF1dGhvcj5IaWxsPC9BdXRob3I+PFllYXI+MjAxNzwvWWVhcj48UmVj
TnVtPjE3NjE8L1JlY051bT48RGlzcGxheVRleHQ+PHN0eWxlIGZhY2U9InN1cGVyc2NyaXB0IiBm
b250PSJUcmVidWNoZXQgTVMiIHNpemU9IjkiPjM1ODwvc3R5bGU+PC9EaXNwbGF5VGV4dD48cmVj
b3JkPjxyZWMtbnVtYmVyPjE3NjE8L3JlYy1udW1iZXI+PGZvcmVpZ24ta2V5cz48a2V5IGFwcD0i
RU4iIGRiLWlkPSJleHZhc3JmeDJkdHJhb2VzYXN4cDJzenN4YTJkZjUwMjU5MngiIHRpbWVzdGFt
cD0iMTU4Mjg2NzE2MCI+MTc2MTwva2V5PjxrZXkgYXBwPSJFTldlYiIgZGItaWQ9IiI+MDwva2V5
PjwvZm9yZWlnbi1rZXlzPjxyZWYtdHlwZSBuYW1lPSJKb3VybmFsIEFydGljbGUiPjE3PC9yZWYt
dHlwZT48Y29udHJpYnV0b3JzPjxhdXRob3JzPjxhdXRob3I+SGlsbCwgQi48L2F1dGhvcj48YXV0
aG9yPkJlcmdtZWllciwgSC48L2F1dGhvcj48YXV0aG9yPk1jUGhpZSwgUy48L2F1dGhvcj48YXV0
aG9yPkZ1bGxlci1UeXN6a2lld2ljeiwgTS48L2F1dGhvcj48YXV0aG9yPlRlZWRlLCBILjwvYXV0
aG9yPjxhdXRob3I+Rm9yc3RlciwgRC48L2F1dGhvcj48YXV0aG9yPlNwaWxpb3RpcywgQi4gRS48
L2F1dGhvcj48YXV0aG9yPkhpbGxzLCBBLiBQLjwvYXV0aG9yPjxhdXRob3I+U2tvdXRlcmlzLCBI
LjwvYXV0aG9yPjwvYXV0aG9ycz48L2NvbnRyaWJ1dG9ycz48YXV0aC1hZGRyZXNzPlNjaG9vbCBv
ZiBQc3ljaG9sb2d5LCBEZWFraW4gVW5pdmVyc2l0eSwgR2VlbG9uZywgVmljdG9yaWEsIEF1c3Ry
YWxpYS4mI3hEO01vbmFzaCBDZW50cmUgZm9yIEhlYWx0aCBSZXNlYXJjaCBhbmQgSW1wbGVtZW50
YXRpb24sIFNjaG9vbCBvZiBQdWJsaWMgSGVhbHRoIGFuZCBQcmV2ZW50YXRpdmUgTWVkaWNpbmUs
IE1vbmFzaCBVbml2ZXJzaXR5IGluIGNvbGxhYm9yYXRpb24gd2l0aCBNb25hc2ggSGVhbHRoLCBN
ZWxib3VybmUsIFZpY3RvcmlhLCBBdXN0cmFsaWEuJiN4RDtTY2hvb2wgb2YgTnVyc2luZyBhbmQg
TWlkd2lmZXJ5LCBDb2xsZWdlIG9mIFNjaWVuY2UsIEhlYWx0aCBhbmQgRW5naW5lZXJpbmcsIEp1
ZGl0aCBMdW1sZXkgQ2VudHJlLCBNZWxib3VybmUsIFZpY3RvcmlhLCBBdXN0cmFsaWEuJiN4RDtN
aWR3aWZlcnkgUmVzZWFyY2ggVW5pdCwgTWF0ZXJuaXR5IFNlcnZpY2VzLCBSb3lhbCBXb21lbiZh
cG9zO3MgSG9zcGl0YWwsIE1lbGJvdXJuZSwgVmljdG9yaWEsIEF1c3RyYWxpYS4mI3hEO1BlZGlh
dHJpYyBFbmRvY3Jpbm9sb2d5LCBEaXZpc2lvbiBvZiBQZWRpYXRyaWMgRW5kb2NyaW5vbG9neSBh
bmQgRGlhYmV0ZXMsIERlcGFydG1lbnQgb2YgUGVkaWF0cmljcywgU2Nob29sIG9mIE1lZGljaW5l
LCBVbml2ZXJzaXR5IG9mIFBhdHJhcywgUGF0cmFzLCBHcmVlY2UuJiN4RDtTcG9ydCBhbmQgRXhl
cmNpc2UgU2NpZW5jZSwgU2Nob29sIG9mIEhlYWx0aCBTY2llbmNlcywgVW5pdmVyc2l0eSBvZiBU
YXNtYW5pYSwgTGF1bmNlc3RvbiwgVGFzbWFuaWEsIEF1c3RyYWxpYS48L2F1dGgtYWRkcmVzcz48
dGl0bGVzPjx0aXRsZT5JcyBwYXJpdHkgYSByaXNrIGZhY3RvciBmb3IgZXhjZXNzaXZlIHdlaWdo
dCBnYWluIGR1cmluZyBwcmVnbmFuY3kgYW5kIHBvc3RwYXJ0dW0gd2VpZ2h0IHJldGVudGlvbj8g
QSBzeXN0ZW1hdGljIHJldmlldyBhbmQgbWV0YS1hbmFseXNpczwvdGl0bGU+PHNlY29uZGFyeS10
aXRsZT5PYmVzIFJldjwvc2Vjb25kYXJ5LXRpdGxlPjwvdGl0bGVzPjxwZXJpb2RpY2FsPjxmdWxs
LXRpdGxlPk9iZXMgUmV2PC9mdWxsLXRpdGxlPjwvcGVyaW9kaWNhbD48cGFnZXM+NzU1LTc2NDwv
cGFnZXM+PHZvbHVtZT4xODwvdm9sdW1lPjxudW1iZXI+NzwvbnVtYmVyPjxlZGl0aW9uPjIwMTcv
MDUvMTg8L2VkaXRpb24+PGtleXdvcmRzPjxrZXl3b3JkPkJvZHkgTWFzcyBJbmRleDwva2V5d29y
ZD48a2V5d29yZD5GZW1hbGU8L2tleXdvcmQ+PGtleXdvcmQ+SHVtYW5zPC9rZXl3b3JkPjxrZXl3
b3JkPk9iZXNpdHkvZXBpZGVtaW9sb2d5PC9rZXl3b3JkPjxrZXl3b3JkPk92ZXJ3ZWlnaHQvZXBp
ZGVtaW9sb2d5PC9rZXl3b3JkPjxrZXl3b3JkPlBhcml0eS8qcGh5c2lvbG9neTwva2V5d29yZD48
a2V5d29yZD5Qb3N0cGFydHVtIFBlcmlvZC8qcGh5c2lvbG9neTwva2V5d29yZD48a2V5d29yZD5Q
cmVnbmFuY3k8L2tleXdvcmQ+PGtleXdvcmQ+UmlzayBGYWN0b3JzPC9rZXl3b3JkPjxrZXl3b3Jk
PldlaWdodCBHYWluLypwaHlzaW9sb2d5PC9rZXl3b3JkPjxrZXl3b3JkPipPYmVzaXR5PC9rZXl3
b3JkPjxrZXl3b3JkPipwYXJpdHk8L2tleXdvcmQ+PGtleXdvcmQ+KnByZWduYW5jeTwva2V5d29y
ZD48a2V5d29yZD4qd2VpZ2h0IGdhaW48L2tleXdvcmQ+PC9rZXl3b3Jkcz48ZGF0ZXM+PHllYXI+
MjAxNzwveWVhcj48cHViLWRhdGVzPjxkYXRlPkp1bDwvZGF0ZT48L3B1Yi1kYXRlcz48L2RhdGVz
Pjxpc2JuPjE0NjctNzg5WCAoRWxlY3Ryb25pYykmI3hEOzE0NjctNzg4MSAoTGlua2luZyk8L2lz
Ym4+PGFjY2Vzc2lvbi1udW0+Mjg1MTI5OTE8L2FjY2Vzc2lvbi1udW0+PHVybHM+PHJlbGF0ZWQt
dXJscz48dXJsPmh0dHBzOi8vd3d3Lm5jYmkubmxtLm5paC5nb3YvcHVibWVkLzI4NTEyOTkxPC91
cmw+PC9yZWxhdGVkLXVybHM+PC91cmxzPjxlbGVjdHJvbmljLXJlc291cmNlLW51bT4xMC4xMTEx
L29ici4xMjUzODwvZWxlY3Ryb25pYy1yZXNvdXJjZS1udW0+PC9yZWNvcmQ+PC9DaXRlPjwvRW5k
Tm90ZT4A
</w:fldData>
              </w:fldChar>
            </w:r>
            <w:r w:rsidR="001A2F28">
              <w:instrText xml:space="preserve"> ADDIN EN.CITE.DATA </w:instrText>
            </w:r>
            <w:r w:rsidR="001A2F28">
              <w:fldChar w:fldCharType="end"/>
            </w:r>
            <w:r>
              <w:fldChar w:fldCharType="separate"/>
            </w:r>
            <w:r w:rsidR="001A2F28" w:rsidRPr="001A2F28">
              <w:rPr>
                <w:noProof/>
                <w:vertAlign w:val="superscript"/>
              </w:rPr>
              <w:t>358</w:t>
            </w:r>
            <w:r>
              <w:fldChar w:fldCharType="end"/>
            </w:r>
          </w:p>
          <w:p w14:paraId="3ABAA7B5" w14:textId="77777777" w:rsidR="001D1144" w:rsidRDefault="001D1144" w:rsidP="0049642F">
            <w:r>
              <w:t>SLR</w:t>
            </w:r>
          </w:p>
        </w:tc>
        <w:tc>
          <w:tcPr>
            <w:tcW w:w="1418" w:type="dxa"/>
          </w:tcPr>
          <w:p w14:paraId="176A7DC7" w14:textId="77777777" w:rsidR="001D1144" w:rsidRDefault="001D1144" w:rsidP="0049642F">
            <w:r>
              <w:t>17 studies in meta-analysis</w:t>
            </w:r>
          </w:p>
          <w:p w14:paraId="25C0A5B8" w14:textId="11789C9D" w:rsidR="001D1144" w:rsidRDefault="001D1144" w:rsidP="0049642F">
            <w:r>
              <w:t>41 studies in narrative synthesis</w:t>
            </w:r>
          </w:p>
        </w:tc>
        <w:tc>
          <w:tcPr>
            <w:tcW w:w="4394" w:type="dxa"/>
          </w:tcPr>
          <w:p w14:paraId="6AA24AF3" w14:textId="77777777" w:rsidR="001D1144" w:rsidRDefault="001D1144" w:rsidP="0049642F">
            <w:r>
              <w:rPr>
                <w:b/>
              </w:rPr>
              <w:t xml:space="preserve">Aim: </w:t>
            </w:r>
            <w:r>
              <w:t>T</w:t>
            </w:r>
            <w:r w:rsidRPr="006935E2">
              <w:t xml:space="preserve">o systematically review and meta-analyse the associations between parity, pre-pregnancy body mass index (BMI), gestational weight gain (GWG) and, when included, postpartum weight retention (PPWR). </w:t>
            </w:r>
          </w:p>
          <w:p w14:paraId="6F223493" w14:textId="5B1CFD96" w:rsidR="001D1144" w:rsidRPr="00FA0A34" w:rsidRDefault="001D1144" w:rsidP="001D1144">
            <w:pPr>
              <w:rPr>
                <w:b/>
              </w:rPr>
            </w:pPr>
            <w:r w:rsidRPr="006935E2">
              <w:rPr>
                <w:b/>
              </w:rPr>
              <w:t>Methods</w:t>
            </w:r>
            <w:r>
              <w:t xml:space="preserve">: </w:t>
            </w:r>
            <w:r w:rsidRPr="006935E2">
              <w:t>Papers reporting associations between parity and BMI and/or GWG in adult women were eligible.</w:t>
            </w:r>
          </w:p>
        </w:tc>
        <w:tc>
          <w:tcPr>
            <w:tcW w:w="4536" w:type="dxa"/>
          </w:tcPr>
          <w:p w14:paraId="6ADD913C" w14:textId="769B325F" w:rsidR="00BB6058" w:rsidRPr="00BB6058" w:rsidRDefault="00BB6058" w:rsidP="00BB6058">
            <w:r>
              <w:t>T</w:t>
            </w:r>
            <w:r w:rsidRPr="00BB6058">
              <w:t xml:space="preserve">he weighted average effect </w:t>
            </w:r>
            <w:r>
              <w:t xml:space="preserve">of parity on gestational weight gain </w:t>
            </w:r>
            <w:r w:rsidRPr="00BB6058">
              <w:t>was small and non-significant</w:t>
            </w:r>
            <w:r>
              <w:t xml:space="preserve"> </w:t>
            </w:r>
            <w:r w:rsidRPr="00BB6058">
              <w:t>(</w:t>
            </w:r>
            <w:r w:rsidRPr="00BB6058">
              <w:rPr>
                <w:rFonts w:ascii="Helvetica" w:eastAsiaTheme="majorEastAsia" w:hAnsi="Helvetica"/>
              </w:rPr>
              <w:t>r</w:t>
            </w:r>
            <w:r>
              <w:t xml:space="preserve"> 0.04, 95%CI</w:t>
            </w:r>
            <w:r w:rsidRPr="00BB6058">
              <w:t xml:space="preserve"> 0.10 to 0.16, </w:t>
            </w:r>
            <w:r w:rsidRPr="00BB6058">
              <w:rPr>
                <w:rFonts w:ascii="Helvetica" w:eastAsiaTheme="majorEastAsia" w:hAnsi="Helvetica"/>
              </w:rPr>
              <w:t>p</w:t>
            </w:r>
            <w:r>
              <w:t>=</w:t>
            </w:r>
            <w:r w:rsidRPr="00BB6058">
              <w:t>0.61</w:t>
            </w:r>
            <w:r>
              <w:t>; 17 studies</w:t>
            </w:r>
            <w:r w:rsidRPr="00BB6058">
              <w:t>).</w:t>
            </w:r>
          </w:p>
          <w:p w14:paraId="0E47E59D" w14:textId="006BBB30" w:rsidR="001D1144" w:rsidRPr="00BB6058" w:rsidRDefault="00BB6058" w:rsidP="00BB6058">
            <w:r>
              <w:t>A</w:t>
            </w:r>
            <w:r w:rsidRPr="00BB6058">
              <w:t>fter adjusting for pre-pregnancy BMI, the weighted</w:t>
            </w:r>
            <w:r>
              <w:t xml:space="preserve"> </w:t>
            </w:r>
            <w:r w:rsidRPr="00BB6058">
              <w:t>average effect was small and non-significant (</w:t>
            </w:r>
            <w:r w:rsidRPr="00BB6058">
              <w:rPr>
                <w:rFonts w:ascii="Helvetica" w:eastAsiaTheme="majorEastAsia" w:hAnsi="Helvetica"/>
              </w:rPr>
              <w:t>r</w:t>
            </w:r>
            <w:r w:rsidRPr="00BB6058">
              <w:t xml:space="preserve"> 0.08,</w:t>
            </w:r>
            <w:r>
              <w:t xml:space="preserve"> 95% CI</w:t>
            </w:r>
            <w:r w:rsidRPr="00BB6058">
              <w:t xml:space="preserve"> 0.19 to 0.03, </w:t>
            </w:r>
            <w:r w:rsidRPr="00BB6058">
              <w:rPr>
                <w:rFonts w:ascii="Helvetica" w:eastAsiaTheme="majorEastAsia" w:hAnsi="Helvetica"/>
              </w:rPr>
              <w:t>p</w:t>
            </w:r>
            <w:r>
              <w:t>=</w:t>
            </w:r>
            <w:r w:rsidRPr="00BB6058">
              <w:t>0.16</w:t>
            </w:r>
            <w:r>
              <w:t>; 16 studies</w:t>
            </w:r>
            <w:r w:rsidRPr="00BB6058">
              <w:t>).</w:t>
            </w:r>
          </w:p>
        </w:tc>
        <w:tc>
          <w:tcPr>
            <w:tcW w:w="2410" w:type="dxa"/>
          </w:tcPr>
          <w:p w14:paraId="77407566" w14:textId="77777777" w:rsidR="001D1144" w:rsidRDefault="001D1144" w:rsidP="0049642F"/>
        </w:tc>
      </w:tr>
      <w:tr w:rsidR="00FA36C3" w:rsidRPr="00B60FFF" w14:paraId="06F2A406" w14:textId="77777777" w:rsidTr="00FA36C3">
        <w:trPr>
          <w:cantSplit/>
        </w:trPr>
        <w:tc>
          <w:tcPr>
            <w:tcW w:w="1418" w:type="dxa"/>
          </w:tcPr>
          <w:p w14:paraId="1D17D535" w14:textId="15F5A77A" w:rsidR="001D1144" w:rsidRDefault="001D1144" w:rsidP="0049642F">
            <w:r>
              <w:t>Kapadia et al 2015</w:t>
            </w:r>
            <w:r>
              <w:fldChar w:fldCharType="begin">
                <w:fldData xml:space="preserve">PEVuZE5vdGU+PENpdGU+PEF1dGhvcj5LYXBhZGlhPC9BdXRob3I+PFllYXI+MjAxNTwvWWVhcj48
UmVjTnVtPjE3NjU8L1JlY051bT48RGlzcGxheVRleHQ+PHN0eWxlIGZhY2U9InN1cGVyc2NyaXB0
IiBmb250PSJUcmVidWNoZXQgTVMiIHNpemU9IjkiPjM1Njwvc3R5bGU+PC9EaXNwbGF5VGV4dD48
cmVjb3JkPjxyZWMtbnVtYmVyPjE3NjU8L3JlYy1udW1iZXI+PGZvcmVpZ24ta2V5cz48a2V5IGFw
cD0iRU4iIGRiLWlkPSJleHZhc3JmeDJkdHJhb2VzYXN4cDJzenN4YTJkZjUwMjU5MngiIHRpbWVz
dGFtcD0iMTU4Mjg2NzIwMCI+MTc2NTwva2V5PjxrZXkgYXBwPSJFTldlYiIgZGItaWQ9IiI+MDwv
a2V5PjwvZm9yZWlnbi1rZXlzPjxyZWYtdHlwZSBuYW1lPSJKb3VybmFsIEFydGljbGUiPjE3PC9y
ZWYtdHlwZT48Y29udHJpYnV0b3JzPjxhdXRob3JzPjxhdXRob3I+S2FwYWRpYSwgTS4gWi48L2F1
dGhvcj48YXV0aG9yPkdhc3RvbiwgQS48L2F1dGhvcj48YXV0aG9yPlZhbiBCbHlkZXJ2ZWVuLCBT
LjwvYXV0aG9yPjxhdXRob3I+U2NobWlkdCwgTC48L2F1dGhvcj48YXV0aG9yPkJleWVuZSwgSi48
L2F1dGhvcj48YXV0aG9yPk1jRG9uYWxkLCBILjwvYXV0aG9yPjxhdXRob3I+TWNEb25hbGQsIFMu
IEQuPC9hdXRob3I+PC9hdXRob3JzPjwvY29udHJpYnV0b3JzPjxhdXRoLWFkZHJlc3M+RGVwYXJ0
bWVudCBvZiBPYnN0ZXRyaWNzIGFuZCBHeW5lY29sb2d5LCBNY01hc3RlciBVbml2ZXJzaXR5LCBI
YW1pbHRvbiwgQ2FuYWRhLiBtdWZpemEuZmFyaWRAZ21haWwuY29tLiYjeEQ7U2Nob29sIG9mIEtp
bmVzaW9sb2d5LCBVbml2ZXJzaXR5IG9mIFdlc3Rlcm4gT250YXJpbywgTG9uZG9uLCBPbnRhcmlv
LCBDYW5hZGEuIGFnYXN0b24yQHV3by5jYS4mI3hEO05ldyBMZWFmIFBzeWNob2xvZ3ksIE1pbHRv
biwgQ2FuYWRhLiBkci5zaGVycnlAbmV3bGVhZnBzeWNob2xvZ3kuY2EuJiN4RDtEZXBhcnRtZW50
IG9mIFBzeWNob2xvZ3ksIE5ldXJvc2NpZW5jZSAmYW1wOyBCZWhhdmlvciwgTWNNYXN0ZXIgVW5p
dmVyc2l0eSwgSGFtaWx0b24sIENhbmFkYS4gc2NobWlkdGxAbWNtYXN0ZXIuY2EuJiN4RDtEZXBh
cnRtZW50IENsaW5pY2FsIEVwaWRlbWlvbG9neSBhbmQgQmlvc3RhdGlzdGljcywgTWNNYXN0ZXIg
VW5pdmVyc2l0eSwgSGFtaWx0b24sIENhbmFkYS4gYmV5ZW5lQG1jbWFzdGVyLmNhLiYjeEQ7TWlk
d2lmZXJ5IEVkdWNhdGlvbiBQcm9ncmFtLCBEZXBhcnRtZW50IG9mIEZhbWlseSBNZWRpY2luZSwg
TWNNYXN0ZXIgVW5pdmVyc2l0eSwgSGFtaWx0b24sIENhbmFkYS4gbWNkb25hbEBtY21hc3Rlci5j
YS4mI3hEO0RpdmlzaW9uIG9mIE1hdGVybmFsLUZldGFsIE1lZGljaW5lLCBEZXBhcnRtZW50cyBv
ZiBPYnN0ZXRyaWNzICZhbXA7IEd5bmVjb2xvZ3ksIFJhZGlvbG9neSwgYW5kIENsaW5pY2FsIEVw
aWRlbWlvbG9neSAmYW1wOyBCaW9zdGF0aXN0aWNzLCBNY01hc3RlciBVbml2ZXJzaXR5LCAxMjgw
IE1haW4gU3RyZWV0IFdlc3QsIHJvb20gM041MkIsIEhhbWlsdG9uLCBPbnRhcmlvLCBMOFMgNEsx
LCBDYW5hZGEuIG1jZG9uYWxzQG1jbWFzdGVyLmNhLjwvYXV0aC1hZGRyZXNzPjx0aXRsZXM+PHRp
dGxlPlBzeWNob2xvZ2ljYWwgYW50ZWNlZGVudHMgb2YgZXhjZXNzIGdlc3RhdGlvbmFsIHdlaWdo
dCBnYWluOiBhIHN5c3RlbWF0aWMgcmV2aWV3PC90aXRsZT48c2Vjb25kYXJ5LXRpdGxlPkJNQyBQ
cmVnbmFuY3kgQ2hpbGRiaXJ0aDwvc2Vjb25kYXJ5LXRpdGxlPjwvdGl0bGVzPjxwZXJpb2RpY2Fs
PjxmdWxsLXRpdGxlPkJNQyBQcmVnbmFuY3kgQ2hpbGRiaXJ0aDwvZnVsbC10aXRsZT48L3Blcmlv
ZGljYWw+PHBhZ2VzPjEwNzwvcGFnZXM+PHZvbHVtZT4xNTwvdm9sdW1lPjxlZGl0aW9uPjIwMTUv
MDUvMDM8L2VkaXRpb24+PGtleXdvcmRzPjxrZXl3b3JkPkFkdWx0PC9rZXl3b3JkPjxrZXl3b3Jk
PkJvZHkgTWFzcyBJbmRleDwva2V5d29yZD48a2V5d29yZD5GZW1hbGU8L2tleXdvcmQ+PGtleXdv
cmQ+R2VzdGF0aW9uYWwgQWdlPC9rZXl3b3JkPjxrZXl3b3JkPkh1bWFuczwva2V5d29yZD48a2V5
d29yZD5JbmNpZGVuY2U8L2tleXdvcmQ+PGtleXdvcmQ+SW5mYW50LCBOZXdib3JuPC9rZXl3b3Jk
PjxrZXl3b3JkPk9iZXNpdHkvcGh5c2lvcGF0aG9sb2d5L3BzeWNob2xvZ3k8L2tleXdvcmQ+PGtl
eXdvcmQ+UHJlZ25hbmN5PC9rZXl3b3JkPjxrZXl3b3JkPlByZWduYW5jeSBDb21wbGljYXRpb25z
L2VwaWRlbWlvbG9neS8qcHN5Y2hvbG9neTwva2V5d29yZD48a2V5d29yZD4qUHJlZ25hbmN5IE91
dGNvbWU8L2tleXdvcmQ+PGtleXdvcmQ+UHJlZ25hbnQgV29tZW4vKnBzeWNob2xvZ3k8L2tleXdv
cmQ+PGtleXdvcmQ+UHN5Y2hvbG9neTwva2V5d29yZD48a2V5d29yZD5SaXNrIEFzc2Vzc21lbnQ8
L2tleXdvcmQ+PGtleXdvcmQ+KldlaWdodCBHYWluPC9rZXl3b3JkPjwva2V5d29yZHM+PGRhdGVz
Pjx5ZWFyPjIwMTU8L3llYXI+PHB1Yi1kYXRlcz48ZGF0ZT5NYXkgMjwvZGF0ZT48L3B1Yi1kYXRl
cz48L2RhdGVzPjxpc2JuPjE0NzEtMjM5MyAoRWxlY3Ryb25pYykmI3hEOzE0NzEtMjM5MyAoTGlu
a2luZyk8L2lzYm4+PGFjY2Vzc2lvbi1udW0+MjU5MzM2MDQ8L2FjY2Vzc2lvbi1udW0+PHVybHM+
PHJlbGF0ZWQtdXJscz48dXJsPmh0dHBzOi8vd3d3Lm5jYmkubmxtLm5paC5nb3YvcHVibWVkLzI1
OTMzNjA0PC91cmw+PC9yZWxhdGVkLXVybHM+PC91cmxzPjxjdXN0b20yPlBNQzQ1MTg2MDk8L2N1
c3RvbTI+PGVsZWN0cm9uaWMtcmVzb3VyY2UtbnVtPjEwLjExODYvczEyODg0LTAxNS0wNTM1LXk8
L2VsZWN0cm9uaWMtcmVzb3VyY2UtbnVtPjwvcmVjb3JkPjwvQ2l0ZT48L0VuZE5vdGU+
</w:fldData>
              </w:fldChar>
            </w:r>
            <w:r w:rsidR="001A2F28">
              <w:instrText xml:space="preserve"> ADDIN EN.CITE </w:instrText>
            </w:r>
            <w:r w:rsidR="001A2F28">
              <w:fldChar w:fldCharType="begin">
                <w:fldData xml:space="preserve">PEVuZE5vdGU+PENpdGU+PEF1dGhvcj5LYXBhZGlhPC9BdXRob3I+PFllYXI+MjAxNTwvWWVhcj48
UmVjTnVtPjE3NjU8L1JlY051bT48RGlzcGxheVRleHQ+PHN0eWxlIGZhY2U9InN1cGVyc2NyaXB0
IiBmb250PSJUcmVidWNoZXQgTVMiIHNpemU9IjkiPjM1Njwvc3R5bGU+PC9EaXNwbGF5VGV4dD48
cmVjb3JkPjxyZWMtbnVtYmVyPjE3NjU8L3JlYy1udW1iZXI+PGZvcmVpZ24ta2V5cz48a2V5IGFw
cD0iRU4iIGRiLWlkPSJleHZhc3JmeDJkdHJhb2VzYXN4cDJzenN4YTJkZjUwMjU5MngiIHRpbWVz
dGFtcD0iMTU4Mjg2NzIwMCI+MTc2NTwva2V5PjxrZXkgYXBwPSJFTldlYiIgZGItaWQ9IiI+MDwv
a2V5PjwvZm9yZWlnbi1rZXlzPjxyZWYtdHlwZSBuYW1lPSJKb3VybmFsIEFydGljbGUiPjE3PC9y
ZWYtdHlwZT48Y29udHJpYnV0b3JzPjxhdXRob3JzPjxhdXRob3I+S2FwYWRpYSwgTS4gWi48L2F1
dGhvcj48YXV0aG9yPkdhc3RvbiwgQS48L2F1dGhvcj48YXV0aG9yPlZhbiBCbHlkZXJ2ZWVuLCBT
LjwvYXV0aG9yPjxhdXRob3I+U2NobWlkdCwgTC48L2F1dGhvcj48YXV0aG9yPkJleWVuZSwgSi48
L2F1dGhvcj48YXV0aG9yPk1jRG9uYWxkLCBILjwvYXV0aG9yPjxhdXRob3I+TWNEb25hbGQsIFMu
IEQuPC9hdXRob3I+PC9hdXRob3JzPjwvY29udHJpYnV0b3JzPjxhdXRoLWFkZHJlc3M+RGVwYXJ0
bWVudCBvZiBPYnN0ZXRyaWNzIGFuZCBHeW5lY29sb2d5LCBNY01hc3RlciBVbml2ZXJzaXR5LCBI
YW1pbHRvbiwgQ2FuYWRhLiBtdWZpemEuZmFyaWRAZ21haWwuY29tLiYjeEQ7U2Nob29sIG9mIEtp
bmVzaW9sb2d5LCBVbml2ZXJzaXR5IG9mIFdlc3Rlcm4gT250YXJpbywgTG9uZG9uLCBPbnRhcmlv
LCBDYW5hZGEuIGFnYXN0b24yQHV3by5jYS4mI3hEO05ldyBMZWFmIFBzeWNob2xvZ3ksIE1pbHRv
biwgQ2FuYWRhLiBkci5zaGVycnlAbmV3bGVhZnBzeWNob2xvZ3kuY2EuJiN4RDtEZXBhcnRtZW50
IG9mIFBzeWNob2xvZ3ksIE5ldXJvc2NpZW5jZSAmYW1wOyBCZWhhdmlvciwgTWNNYXN0ZXIgVW5p
dmVyc2l0eSwgSGFtaWx0b24sIENhbmFkYS4gc2NobWlkdGxAbWNtYXN0ZXIuY2EuJiN4RDtEZXBh
cnRtZW50IENsaW5pY2FsIEVwaWRlbWlvbG9neSBhbmQgQmlvc3RhdGlzdGljcywgTWNNYXN0ZXIg
VW5pdmVyc2l0eSwgSGFtaWx0b24sIENhbmFkYS4gYmV5ZW5lQG1jbWFzdGVyLmNhLiYjeEQ7TWlk
d2lmZXJ5IEVkdWNhdGlvbiBQcm9ncmFtLCBEZXBhcnRtZW50IG9mIEZhbWlseSBNZWRpY2luZSwg
TWNNYXN0ZXIgVW5pdmVyc2l0eSwgSGFtaWx0b24sIENhbmFkYS4gbWNkb25hbEBtY21hc3Rlci5j
YS4mI3hEO0RpdmlzaW9uIG9mIE1hdGVybmFsLUZldGFsIE1lZGljaW5lLCBEZXBhcnRtZW50cyBv
ZiBPYnN0ZXRyaWNzICZhbXA7IEd5bmVjb2xvZ3ksIFJhZGlvbG9neSwgYW5kIENsaW5pY2FsIEVw
aWRlbWlvbG9neSAmYW1wOyBCaW9zdGF0aXN0aWNzLCBNY01hc3RlciBVbml2ZXJzaXR5LCAxMjgw
IE1haW4gU3RyZWV0IFdlc3QsIHJvb20gM041MkIsIEhhbWlsdG9uLCBPbnRhcmlvLCBMOFMgNEsx
LCBDYW5hZGEuIG1jZG9uYWxzQG1jbWFzdGVyLmNhLjwvYXV0aC1hZGRyZXNzPjx0aXRsZXM+PHRp
dGxlPlBzeWNob2xvZ2ljYWwgYW50ZWNlZGVudHMgb2YgZXhjZXNzIGdlc3RhdGlvbmFsIHdlaWdo
dCBnYWluOiBhIHN5c3RlbWF0aWMgcmV2aWV3PC90aXRsZT48c2Vjb25kYXJ5LXRpdGxlPkJNQyBQ
cmVnbmFuY3kgQ2hpbGRiaXJ0aDwvc2Vjb25kYXJ5LXRpdGxlPjwvdGl0bGVzPjxwZXJpb2RpY2Fs
PjxmdWxsLXRpdGxlPkJNQyBQcmVnbmFuY3kgQ2hpbGRiaXJ0aDwvZnVsbC10aXRsZT48L3Blcmlv
ZGljYWw+PHBhZ2VzPjEwNzwvcGFnZXM+PHZvbHVtZT4xNTwvdm9sdW1lPjxlZGl0aW9uPjIwMTUv
MDUvMDM8L2VkaXRpb24+PGtleXdvcmRzPjxrZXl3b3JkPkFkdWx0PC9rZXl3b3JkPjxrZXl3b3Jk
PkJvZHkgTWFzcyBJbmRleDwva2V5d29yZD48a2V5d29yZD5GZW1hbGU8L2tleXdvcmQ+PGtleXdv
cmQ+R2VzdGF0aW9uYWwgQWdlPC9rZXl3b3JkPjxrZXl3b3JkPkh1bWFuczwva2V5d29yZD48a2V5
d29yZD5JbmNpZGVuY2U8L2tleXdvcmQ+PGtleXdvcmQ+SW5mYW50LCBOZXdib3JuPC9rZXl3b3Jk
PjxrZXl3b3JkPk9iZXNpdHkvcGh5c2lvcGF0aG9sb2d5L3BzeWNob2xvZ3k8L2tleXdvcmQ+PGtl
eXdvcmQ+UHJlZ25hbmN5PC9rZXl3b3JkPjxrZXl3b3JkPlByZWduYW5jeSBDb21wbGljYXRpb25z
L2VwaWRlbWlvbG9neS8qcHN5Y2hvbG9neTwva2V5d29yZD48a2V5d29yZD4qUHJlZ25hbmN5IE91
dGNvbWU8L2tleXdvcmQ+PGtleXdvcmQ+UHJlZ25hbnQgV29tZW4vKnBzeWNob2xvZ3k8L2tleXdv
cmQ+PGtleXdvcmQ+UHN5Y2hvbG9neTwva2V5d29yZD48a2V5d29yZD5SaXNrIEFzc2Vzc21lbnQ8
L2tleXdvcmQ+PGtleXdvcmQ+KldlaWdodCBHYWluPC9rZXl3b3JkPjwva2V5d29yZHM+PGRhdGVz
Pjx5ZWFyPjIwMTU8L3llYXI+PHB1Yi1kYXRlcz48ZGF0ZT5NYXkgMjwvZGF0ZT48L3B1Yi1kYXRl
cz48L2RhdGVzPjxpc2JuPjE0NzEtMjM5MyAoRWxlY3Ryb25pYykmI3hEOzE0NzEtMjM5MyAoTGlu
a2luZyk8L2lzYm4+PGFjY2Vzc2lvbi1udW0+MjU5MzM2MDQ8L2FjY2Vzc2lvbi1udW0+PHVybHM+
PHJlbGF0ZWQtdXJscz48dXJsPmh0dHBzOi8vd3d3Lm5jYmkubmxtLm5paC5nb3YvcHVibWVkLzI1
OTMzNjA0PC91cmw+PC9yZWxhdGVkLXVybHM+PC91cmxzPjxjdXN0b20yPlBNQzQ1MTg2MDk8L2N1
c3RvbTI+PGVsZWN0cm9uaWMtcmVzb3VyY2UtbnVtPjEwLjExODYvczEyODg0LTAxNS0wNTM1LXk8
L2VsZWN0cm9uaWMtcmVzb3VyY2UtbnVtPjwvcmVjb3JkPjwvQ2l0ZT48L0VuZE5vdGU+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356</w:t>
            </w:r>
            <w:r>
              <w:fldChar w:fldCharType="end"/>
            </w:r>
          </w:p>
          <w:p w14:paraId="365B061B" w14:textId="77777777" w:rsidR="001D1144" w:rsidRDefault="001D1144" w:rsidP="0049642F">
            <w:r>
              <w:t>SLR</w:t>
            </w:r>
          </w:p>
        </w:tc>
        <w:tc>
          <w:tcPr>
            <w:tcW w:w="1418" w:type="dxa"/>
          </w:tcPr>
          <w:p w14:paraId="5D0607F5" w14:textId="77777777" w:rsidR="001D1144" w:rsidRDefault="001D1144" w:rsidP="0049642F">
            <w:r>
              <w:t>25 cohort</w:t>
            </w:r>
          </w:p>
          <w:p w14:paraId="4B6C2D27" w14:textId="77777777" w:rsidR="001D1144" w:rsidRDefault="001D1144" w:rsidP="0049642F">
            <w:r>
              <w:t>8 cross-section</w:t>
            </w:r>
          </w:p>
          <w:p w14:paraId="100D0145" w14:textId="77777777" w:rsidR="001D1144" w:rsidRDefault="001D1144" w:rsidP="0049642F">
            <w:r>
              <w:t>2 case-control</w:t>
            </w:r>
          </w:p>
        </w:tc>
        <w:tc>
          <w:tcPr>
            <w:tcW w:w="4394" w:type="dxa"/>
          </w:tcPr>
          <w:p w14:paraId="5DF66E36" w14:textId="77777777" w:rsidR="001D1144" w:rsidRDefault="001D1144" w:rsidP="0049642F">
            <w:r w:rsidRPr="004E11A7">
              <w:rPr>
                <w:b/>
              </w:rPr>
              <w:t>Aim</w:t>
            </w:r>
            <w:r>
              <w:t>: To summaris</w:t>
            </w:r>
            <w:r w:rsidRPr="004E11A7">
              <w:t xml:space="preserve">e the relation between psychological factors and GWG. </w:t>
            </w:r>
          </w:p>
          <w:p w14:paraId="51EEE5A8" w14:textId="77777777" w:rsidR="001D1144" w:rsidRDefault="001D1144" w:rsidP="0049642F">
            <w:pPr>
              <w:rPr>
                <w:b/>
              </w:rPr>
            </w:pPr>
            <w:r w:rsidRPr="004E11A7">
              <w:rPr>
                <w:b/>
              </w:rPr>
              <w:t>Methods</w:t>
            </w:r>
            <w:r w:rsidRPr="004E11A7">
              <w:t xml:space="preserve">: Eight databases were searched, and the guidelines on Preferred Reporting Items for Systematic Reviews and Meta-Analyses were followed. Methodological quality of the included studies was assessed using a modified Newcastle-Ottawa scale. Two assessors independently reviewed titles, abstracts and full articles, extracted data and assessed quality. </w:t>
            </w:r>
          </w:p>
        </w:tc>
        <w:tc>
          <w:tcPr>
            <w:tcW w:w="4536" w:type="dxa"/>
          </w:tcPr>
          <w:p w14:paraId="54ED4847" w14:textId="77777777" w:rsidR="001D1144" w:rsidRPr="004E11A7" w:rsidRDefault="001D1144" w:rsidP="0049642F">
            <w:r w:rsidRPr="004E11A7">
              <w:t xml:space="preserve">Negative affective states such as depression, anxiety and stress were not related to excess </w:t>
            </w:r>
            <w:r>
              <w:t>gestational weight gain</w:t>
            </w:r>
            <w:r w:rsidRPr="004E11A7">
              <w:t xml:space="preserve">. Among weight-related and dietary-related cognitions, risk factors for excess </w:t>
            </w:r>
            <w:r>
              <w:t>gestational weight gain</w:t>
            </w:r>
            <w:r w:rsidRPr="004E11A7">
              <w:t xml:space="preserve"> included concern about weight gain, negative body image and attitude towards weight gain, inaccurate perceptions regarding weight, higher than recommended target weight gain, less knowledge about weight gain, higher levels of cognitive dietary restraint, and perceived barriers to healthy eating. Protective factors included an internal locus of control for weight gain, lower than recommended target weight gain and higher self-efficacy for healthy eating. Only one study examined the relation between personality and excess </w:t>
            </w:r>
            <w:r>
              <w:t>gestational weight gain</w:t>
            </w:r>
            <w:r w:rsidRPr="004E11A7">
              <w:t xml:space="preserve">. </w:t>
            </w:r>
          </w:p>
        </w:tc>
        <w:tc>
          <w:tcPr>
            <w:tcW w:w="2410" w:type="dxa"/>
          </w:tcPr>
          <w:p w14:paraId="2DFABB5D" w14:textId="77777777" w:rsidR="001D1144" w:rsidRDefault="001D1144" w:rsidP="0049642F"/>
        </w:tc>
      </w:tr>
      <w:tr w:rsidR="00FA36C3" w:rsidRPr="00B60FFF" w14:paraId="652D5C92" w14:textId="77777777" w:rsidTr="00FA36C3">
        <w:trPr>
          <w:cantSplit/>
        </w:trPr>
        <w:tc>
          <w:tcPr>
            <w:tcW w:w="1418" w:type="dxa"/>
          </w:tcPr>
          <w:p w14:paraId="6D05AA24" w14:textId="0644D173" w:rsidR="002E6CED" w:rsidRDefault="002E6CED" w:rsidP="00F11CB4">
            <w:r>
              <w:t>Provenzano et al 2015</w:t>
            </w:r>
            <w:r w:rsidR="00774750">
              <w:fldChar w:fldCharType="begin">
                <w:fldData xml:space="preserve">PEVuZE5vdGU+PENpdGU+PEF1dGhvcj5Qcm92ZW56YW5vPC9BdXRob3I+PFllYXI+MjAxNTwvWWVh
cj48UmVjTnVtPjE3NzY8L1JlY051bT48RGlzcGxheVRleHQ+PHN0eWxlIGZhY2U9InN1cGVyc2Ny
aXB0IiBmb250PSJUcmVidWNoZXQgTVMiIHNpemU9IjkiPjM2MTwvc3R5bGU+PC9EaXNwbGF5VGV4
dD48cmVjb3JkPjxyZWMtbnVtYmVyPjE3NzY8L3JlYy1udW1iZXI+PGZvcmVpZ24ta2V5cz48a2V5
IGFwcD0iRU4iIGRiLWlkPSJleHZhc3JmeDJkdHJhb2VzYXN4cDJzenN4YTJkZjUwMjU5MngiIHRp
bWVzdGFtcD0iMTU4Mjg2NzMxMyI+MTc3Njwva2V5PjxrZXkgYXBwPSJFTldlYiIgZGItaWQ9IiI+
MDwva2V5PjwvZm9yZWlnbi1rZXlzPjxyZWYtdHlwZSBuYW1lPSJKb3VybmFsIEFydGljbGUiPjE3
PC9yZWYtdHlwZT48Y29udHJpYnV0b3JzPjxhdXRob3JzPjxhdXRob3I+UHJvdmVuemFubywgQS4g
TS48L2F1dGhvcj48YXV0aG9yPlJpZmFzLVNoaW1hbiwgUy4gTC48L2F1dGhvcj48YXV0aG9yPkhl
cnJpbmcsIFMuIEouPC9hdXRob3I+PGF1dGhvcj5SaWNoLUVkd2FyZHMsIEouIFcuPC9hdXRob3I+
PGF1dGhvcj5Pa2VuLCBFLjwvYXV0aG9yPjwvYXV0aG9ycz48L2NvbnRyaWJ1dG9ycz48YXV0aC1h
ZGRyZXNzPjEgS3JhZnQgRmVsbG93IGluIENvbW11bml0eSBIZWFsdGggTGVhZGVyc2hpcCwgS3Jh
ZnQgRmFtaWx5IE5hdGlvbmFsIENlbnRlciBmb3IgTGVhZGVyc2hpcCBhbmQgVHJhaW5pbmcgaW4g
Q29tbXVuaXR5IEhlYWx0aCwgSGFydmFyZCBNZWRpY2FsIFNjaG9vbCAsIEJvc3RvbiwgTWFzc2Fj
aHVzZXR0cy4mI3hEOzIgT2Jlc2l0eSBQcmV2ZW50aW9uIFByb2dyYW0sIERlcGFydG1lbnQgb2Yg
UG9wdWxhdGlvbiBNZWRpY2luZSwgSGFydmFyZCBNZWRpY2FsIFNjaG9vbCBhbmQgSGFydmFyZCBQ
aWxncmltIEhlYWx0aCBDYXJlIEluc3RpdHV0ZSAsIEJvc3RvbiwgTWFzc2FjaHVzZXR0cy4mI3hE
OzMgQ2VudGVyIGZvciBPYmVzaXR5IFJlc2VhcmNoIGFuZCBFZHVjYXRpb24sIERlcGFydG1lbnQg
b2YgTWVkaWNpbmUsIFRlbXBsZSBVbml2ZXJzaXR5ICwgUGhpbGFkZWxwaGlhLCBQZW5uc3lsdmFu
aWEuJiN4RDs0IENvbm5vcnMgQ2VudGVyIGZvciBXb21lbiZhcG9zO3MgSGVhbHRoIGFuZCBHZW5k
ZXIgQmlvbG9neSwgQnJpZ2hhbSBhbmQgV29tZW4mYXBvcztzIEhvc3BpdGFsICwgQm9zdG9uLCBN
YXNzYWNodXNldHRzLjwvYXV0aC1hZGRyZXNzPjx0aXRsZXM+PHRpdGxlPkFzc29jaWF0aW9ucyBv
ZiBtYXRlcm5hbCBtYXRlcmlhbCBoYXJkc2hpcHMgZHVyaW5nIGNoaWxkaG9vZCBhbmQgYWR1bHRo
b29kIHdpdGggcHJlcHJlZ25hbmN5IHdlaWdodCwgZ2VzdGF0aW9uYWwgd2VpZ2h0IGdhaW4sIGFu
ZCBwb3N0cGFydHVtIHdlaWdodCByZXRlbnRpb248L3RpdGxlPjxzZWNvbmRhcnktdGl0bGU+SiBX
b21lbnMgSGVhbHRoIChMYXJjaG10KTwvc2Vjb25kYXJ5LXRpdGxlPjwvdGl0bGVzPjxwZXJpb2Rp
Y2FsPjxmdWxsLXRpdGxlPkogV29tZW5zIEhlYWx0aCAoTGFyY2htdCk8L2Z1bGwtdGl0bGU+PC9w
ZXJpb2RpY2FsPjxwYWdlcz41NjMtNzE8L3BhZ2VzPjx2b2x1bWU+MjQ8L3ZvbHVtZT48bnVtYmVy
Pjc8L251bWJlcj48ZWRpdGlvbj4yMDE1LzA0LzIzPC9lZGl0aW9uPjxrZXl3b3Jkcz48a2V5d29y
ZD5BZHVsdDwva2V5d29yZD48a2V5d29yZD5Cb2R5IE1hc3MgSW5kZXg8L2tleXdvcmQ+PGtleXdv
cmQ+Qm9keSBXZWlnaHQ8L2tleXdvcmQ+PGtleXdvcmQ+Qm9zdG9uL2VwaWRlbWlvbG9neTwva2V5
d29yZD48a2V5d29yZD5GZW1hbGU8L2tleXdvcmQ+PGtleXdvcmQ+SHVtYW5zPC9rZXl3b3JkPjxr
ZXl3b3JkPkxvZ2lzdGljIE1vZGVsczwva2V5d29yZD48a2V5d29yZD5Mb25naXR1ZGluYWwgU3R1
ZGllczwva2V5d29yZD48a2V5d29yZD5NdWx0aXZhcmlhdGUgQW5hbHlzaXM8L2tleXdvcmQ+PGtl
eXdvcmQ+T2Jlc2l0eS8qZXBpZGVtaW9sb2d5L3BoeXNpb3BhdGhvbG9neTwva2V5d29yZD48a2V5
d29yZD5QYXJpdHk8L2tleXdvcmQ+PGtleXdvcmQ+UG9zdHBhcnR1bSBQZXJpb2Q8L2tleXdvcmQ+
PGtleXdvcmQ+UHJlZ25hbmN5LypwaHlzaW9sb2d5PC9rZXl3b3JkPjxrZXl3b3JkPlByZWduYW5j
eSBPdXRjb21lPC9rZXl3b3JkPjxrZXl3b3JkPipTb2Npb2Vjb25vbWljIEZhY3RvcnM8L2tleXdv
cmQ+PGtleXdvcmQ+KldlaWdodCBHYWluPC9rZXl3b3JkPjwva2V5d29yZHM+PGRhdGVzPjx5ZWFy
PjIwMTU8L3llYXI+PHB1Yi1kYXRlcz48ZGF0ZT5KdWw8L2RhdGU+PC9wdWItZGF0ZXM+PC9kYXRl
cz48aXNibj4xOTMxLTg0M1ggKEVsZWN0cm9uaWMpJiN4RDsxNTQwLTk5OTYgKExpbmtpbmcpPC9p
c2JuPjxhY2Nlc3Npb24tbnVtPjI1OTAyNDg2PC9hY2Nlc3Npb24tbnVtPjx1cmxzPjxyZWxhdGVk
LXVybHM+PHVybD5odHRwczovL3d3dy5uY2JpLm5sbS5uaWguZ292L3B1Ym1lZC8yNTkwMjQ4Njwv
dXJsPjwvcmVsYXRlZC11cmxzPjwvdXJscz48Y3VzdG9tMj5QTUM0NTA3MTI5PC9jdXN0b20yPjxl
bGVjdHJvbmljLXJlc291cmNlLW51bT4xMC4xMDg5L2p3aC4yMDE0LjUwMTY8L2VsZWN0cm9uaWMt
cmVzb3VyY2UtbnVtPjwvcmVjb3JkPjwvQ2l0ZT48L0VuZE5vdGU+
</w:fldData>
              </w:fldChar>
            </w:r>
            <w:r w:rsidR="001A2F28">
              <w:instrText xml:space="preserve"> ADDIN EN.CITE </w:instrText>
            </w:r>
            <w:r w:rsidR="001A2F28">
              <w:fldChar w:fldCharType="begin">
                <w:fldData xml:space="preserve">PEVuZE5vdGU+PENpdGU+PEF1dGhvcj5Qcm92ZW56YW5vPC9BdXRob3I+PFllYXI+MjAxNTwvWWVh
cj48UmVjTnVtPjE3NzY8L1JlY051bT48RGlzcGxheVRleHQ+PHN0eWxlIGZhY2U9InN1cGVyc2Ny
aXB0IiBmb250PSJUcmVidWNoZXQgTVMiIHNpemU9IjkiPjM2MTwvc3R5bGU+PC9EaXNwbGF5VGV4
dD48cmVjb3JkPjxyZWMtbnVtYmVyPjE3NzY8L3JlYy1udW1iZXI+PGZvcmVpZ24ta2V5cz48a2V5
IGFwcD0iRU4iIGRiLWlkPSJleHZhc3JmeDJkdHJhb2VzYXN4cDJzenN4YTJkZjUwMjU5MngiIHRp
bWVzdGFtcD0iMTU4Mjg2NzMxMyI+MTc3Njwva2V5PjxrZXkgYXBwPSJFTldlYiIgZGItaWQ9IiI+
MDwva2V5PjwvZm9yZWlnbi1rZXlzPjxyZWYtdHlwZSBuYW1lPSJKb3VybmFsIEFydGljbGUiPjE3
PC9yZWYtdHlwZT48Y29udHJpYnV0b3JzPjxhdXRob3JzPjxhdXRob3I+UHJvdmVuemFubywgQS4g
TS48L2F1dGhvcj48YXV0aG9yPlJpZmFzLVNoaW1hbiwgUy4gTC48L2F1dGhvcj48YXV0aG9yPkhl
cnJpbmcsIFMuIEouPC9hdXRob3I+PGF1dGhvcj5SaWNoLUVkd2FyZHMsIEouIFcuPC9hdXRob3I+
PGF1dGhvcj5Pa2VuLCBFLjwvYXV0aG9yPjwvYXV0aG9ycz48L2NvbnRyaWJ1dG9ycz48YXV0aC1h
ZGRyZXNzPjEgS3JhZnQgRmVsbG93IGluIENvbW11bml0eSBIZWFsdGggTGVhZGVyc2hpcCwgS3Jh
ZnQgRmFtaWx5IE5hdGlvbmFsIENlbnRlciBmb3IgTGVhZGVyc2hpcCBhbmQgVHJhaW5pbmcgaW4g
Q29tbXVuaXR5IEhlYWx0aCwgSGFydmFyZCBNZWRpY2FsIFNjaG9vbCAsIEJvc3RvbiwgTWFzc2Fj
aHVzZXR0cy4mI3hEOzIgT2Jlc2l0eSBQcmV2ZW50aW9uIFByb2dyYW0sIERlcGFydG1lbnQgb2Yg
UG9wdWxhdGlvbiBNZWRpY2luZSwgSGFydmFyZCBNZWRpY2FsIFNjaG9vbCBhbmQgSGFydmFyZCBQ
aWxncmltIEhlYWx0aCBDYXJlIEluc3RpdHV0ZSAsIEJvc3RvbiwgTWFzc2FjaHVzZXR0cy4mI3hE
OzMgQ2VudGVyIGZvciBPYmVzaXR5IFJlc2VhcmNoIGFuZCBFZHVjYXRpb24sIERlcGFydG1lbnQg
b2YgTWVkaWNpbmUsIFRlbXBsZSBVbml2ZXJzaXR5ICwgUGhpbGFkZWxwaGlhLCBQZW5uc3lsdmFu
aWEuJiN4RDs0IENvbm5vcnMgQ2VudGVyIGZvciBXb21lbiZhcG9zO3MgSGVhbHRoIGFuZCBHZW5k
ZXIgQmlvbG9neSwgQnJpZ2hhbSBhbmQgV29tZW4mYXBvcztzIEhvc3BpdGFsICwgQm9zdG9uLCBN
YXNzYWNodXNldHRzLjwvYXV0aC1hZGRyZXNzPjx0aXRsZXM+PHRpdGxlPkFzc29jaWF0aW9ucyBv
ZiBtYXRlcm5hbCBtYXRlcmlhbCBoYXJkc2hpcHMgZHVyaW5nIGNoaWxkaG9vZCBhbmQgYWR1bHRo
b29kIHdpdGggcHJlcHJlZ25hbmN5IHdlaWdodCwgZ2VzdGF0aW9uYWwgd2VpZ2h0IGdhaW4sIGFu
ZCBwb3N0cGFydHVtIHdlaWdodCByZXRlbnRpb248L3RpdGxlPjxzZWNvbmRhcnktdGl0bGU+SiBX
b21lbnMgSGVhbHRoIChMYXJjaG10KTwvc2Vjb25kYXJ5LXRpdGxlPjwvdGl0bGVzPjxwZXJpb2Rp
Y2FsPjxmdWxsLXRpdGxlPkogV29tZW5zIEhlYWx0aCAoTGFyY2htdCk8L2Z1bGwtdGl0bGU+PC9w
ZXJpb2RpY2FsPjxwYWdlcz41NjMtNzE8L3BhZ2VzPjx2b2x1bWU+MjQ8L3ZvbHVtZT48bnVtYmVy
Pjc8L251bWJlcj48ZWRpdGlvbj4yMDE1LzA0LzIzPC9lZGl0aW9uPjxrZXl3b3Jkcz48a2V5d29y
ZD5BZHVsdDwva2V5d29yZD48a2V5d29yZD5Cb2R5IE1hc3MgSW5kZXg8L2tleXdvcmQ+PGtleXdv
cmQ+Qm9keSBXZWlnaHQ8L2tleXdvcmQ+PGtleXdvcmQ+Qm9zdG9uL2VwaWRlbWlvbG9neTwva2V5
d29yZD48a2V5d29yZD5GZW1hbGU8L2tleXdvcmQ+PGtleXdvcmQ+SHVtYW5zPC9rZXl3b3JkPjxr
ZXl3b3JkPkxvZ2lzdGljIE1vZGVsczwva2V5d29yZD48a2V5d29yZD5Mb25naXR1ZGluYWwgU3R1
ZGllczwva2V5d29yZD48a2V5d29yZD5NdWx0aXZhcmlhdGUgQW5hbHlzaXM8L2tleXdvcmQ+PGtl
eXdvcmQ+T2Jlc2l0eS8qZXBpZGVtaW9sb2d5L3BoeXNpb3BhdGhvbG9neTwva2V5d29yZD48a2V5
d29yZD5QYXJpdHk8L2tleXdvcmQ+PGtleXdvcmQ+UG9zdHBhcnR1bSBQZXJpb2Q8L2tleXdvcmQ+
PGtleXdvcmQ+UHJlZ25hbmN5LypwaHlzaW9sb2d5PC9rZXl3b3JkPjxrZXl3b3JkPlByZWduYW5j
eSBPdXRjb21lPC9rZXl3b3JkPjxrZXl3b3JkPipTb2Npb2Vjb25vbWljIEZhY3RvcnM8L2tleXdv
cmQ+PGtleXdvcmQ+KldlaWdodCBHYWluPC9rZXl3b3JkPjwva2V5d29yZHM+PGRhdGVzPjx5ZWFy
PjIwMTU8L3llYXI+PHB1Yi1kYXRlcz48ZGF0ZT5KdWw8L2RhdGU+PC9wdWItZGF0ZXM+PC9kYXRl
cz48aXNibj4xOTMxLTg0M1ggKEVsZWN0cm9uaWMpJiN4RDsxNTQwLTk5OTYgKExpbmtpbmcpPC9p
c2JuPjxhY2Nlc3Npb24tbnVtPjI1OTAyNDg2PC9hY2Nlc3Npb24tbnVtPjx1cmxzPjxyZWxhdGVk
LXVybHM+PHVybD5odHRwczovL3d3dy5uY2JpLm5sbS5uaWguZ292L3B1Ym1lZC8yNTkwMjQ4Njwv
dXJsPjwvcmVsYXRlZC11cmxzPjwvdXJscz48Y3VzdG9tMj5QTUM0NTA3MTI5PC9jdXN0b20yPjxl
bGVjdHJvbmljLXJlc291cmNlLW51bT4xMC4xMDg5L2p3aC4yMDE0LjUwMTY8L2VsZWN0cm9uaWMt
cmVzb3VyY2UtbnVtPjwvcmVjb3JkPjwvQ2l0ZT48L0VuZE5vdGU+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361</w:t>
            </w:r>
            <w:r w:rsidR="00774750">
              <w:fldChar w:fldCharType="end"/>
            </w:r>
          </w:p>
          <w:p w14:paraId="44A86127" w14:textId="23D3ED10" w:rsidR="002E6CED" w:rsidRDefault="002E6CED" w:rsidP="00F11CB4">
            <w:r>
              <w:t>United States</w:t>
            </w:r>
          </w:p>
          <w:p w14:paraId="6DCA64B4" w14:textId="143A53DC" w:rsidR="002E6CED" w:rsidRDefault="002E6CED" w:rsidP="00F11CB4">
            <w:r>
              <w:t>Cohort</w:t>
            </w:r>
          </w:p>
        </w:tc>
        <w:tc>
          <w:tcPr>
            <w:tcW w:w="1418" w:type="dxa"/>
          </w:tcPr>
          <w:p w14:paraId="08864667" w14:textId="1CAFD89F" w:rsidR="002E6CED" w:rsidRDefault="002E6CED" w:rsidP="00F11CB4">
            <w:r>
              <w:t>2,128 women</w:t>
            </w:r>
          </w:p>
        </w:tc>
        <w:tc>
          <w:tcPr>
            <w:tcW w:w="4394" w:type="dxa"/>
          </w:tcPr>
          <w:p w14:paraId="259A28B8" w14:textId="339CA609" w:rsidR="002E6CED" w:rsidRDefault="002E6CED" w:rsidP="002E6CED">
            <w:r w:rsidRPr="002E6CED">
              <w:rPr>
                <w:b/>
              </w:rPr>
              <w:t>Aim</w:t>
            </w:r>
            <w:r>
              <w:t>: To examine</w:t>
            </w:r>
            <w:r w:rsidRPr="002E6CED">
              <w:t xml:space="preserve"> associations of material hardship with pre</w:t>
            </w:r>
            <w:r>
              <w:t>-</w:t>
            </w:r>
            <w:r w:rsidRPr="002E6CED">
              <w:t xml:space="preserve">pregnancy body mass index (BMI), gestational weight gain (GWG), and substantial postpartum weight retention (SPPWR; </w:t>
            </w:r>
            <w:r>
              <w:t>≥</w:t>
            </w:r>
            <w:r w:rsidRPr="002E6CED">
              <w:t xml:space="preserve">5 kg at 1 year). </w:t>
            </w:r>
          </w:p>
          <w:p w14:paraId="22479E62" w14:textId="52A9C11A" w:rsidR="002E6CED" w:rsidRPr="00C973B8" w:rsidRDefault="002E6CED" w:rsidP="002E6CED">
            <w:pPr>
              <w:rPr>
                <w:b/>
              </w:rPr>
            </w:pPr>
            <w:r w:rsidRPr="002E6CED">
              <w:rPr>
                <w:b/>
              </w:rPr>
              <w:t>Methods</w:t>
            </w:r>
            <w:r w:rsidRPr="002E6CED">
              <w:t xml:space="preserve">: At recruitment, women reported whether they experienced material hardship, defined as having ever received public assistance, welfare, or lacked basic necessities (food, rent, or medical care) during childhood, in adulthood before pregnancy, and/or in pregnancy. We used multivariable logistic models adjusted for age, race/ethnicity, and parity (and prepregnancy BMI for GWG and SPPWR) to examine associations of material hardship with the three weight-related outcomes (BMI, GWG, and SPPWR). </w:t>
            </w:r>
          </w:p>
        </w:tc>
        <w:tc>
          <w:tcPr>
            <w:tcW w:w="4536" w:type="dxa"/>
          </w:tcPr>
          <w:p w14:paraId="40A11506" w14:textId="77777777" w:rsidR="00E25154" w:rsidRDefault="00E25154" w:rsidP="00E25154">
            <w:r>
              <w:t>Weight gain exceeding guidelines:</w:t>
            </w:r>
            <w:r w:rsidR="002E6CED" w:rsidRPr="002E6CED">
              <w:t xml:space="preserve"> </w:t>
            </w:r>
          </w:p>
          <w:p w14:paraId="26E698FD" w14:textId="77777777" w:rsidR="002E6CED" w:rsidRDefault="002E6CED" w:rsidP="00E25154">
            <w:pPr>
              <w:pStyle w:val="bullet"/>
            </w:pPr>
            <w:r w:rsidRPr="002E6CED">
              <w:t>Hardship in childhood</w:t>
            </w:r>
            <w:r w:rsidR="00E25154">
              <w:t>: OR 1.45, 95%CI 0.99 to</w:t>
            </w:r>
            <w:r w:rsidRPr="002E6CED">
              <w:t xml:space="preserve"> 2.14 </w:t>
            </w:r>
          </w:p>
          <w:p w14:paraId="5DE23206" w14:textId="77777777" w:rsidR="00E25154" w:rsidRDefault="00E25154" w:rsidP="00E25154">
            <w:pPr>
              <w:pStyle w:val="bullet"/>
            </w:pPr>
            <w:r>
              <w:t xml:space="preserve">Hardship in adulthood: </w:t>
            </w:r>
            <w:r w:rsidR="007A4B09">
              <w:t>OR 0.72; 95%CI 0.41 to 1.26</w:t>
            </w:r>
          </w:p>
          <w:p w14:paraId="3093DB96" w14:textId="49A605D1" w:rsidR="007A4B09" w:rsidRPr="002E6CED" w:rsidRDefault="007A4B09" w:rsidP="00E25154">
            <w:pPr>
              <w:pStyle w:val="bullet"/>
            </w:pPr>
            <w:r>
              <w:t>Hardship in pregnancy: OR 1.09; 95%CI 0.43 to 2.76</w:t>
            </w:r>
          </w:p>
        </w:tc>
        <w:tc>
          <w:tcPr>
            <w:tcW w:w="2410" w:type="dxa"/>
          </w:tcPr>
          <w:p w14:paraId="335BD5FF" w14:textId="77777777" w:rsidR="002E6CED" w:rsidRDefault="002E6CED" w:rsidP="00F11CB4"/>
        </w:tc>
      </w:tr>
      <w:tr w:rsidR="00FA36C3" w:rsidRPr="00A42FE7" w14:paraId="53B5ABEF" w14:textId="77777777" w:rsidTr="002747EA">
        <w:trPr>
          <w:cantSplit/>
        </w:trPr>
        <w:tc>
          <w:tcPr>
            <w:tcW w:w="1418" w:type="dxa"/>
            <w:tcBorders>
              <w:bottom w:val="single" w:sz="4" w:space="0" w:color="538135" w:themeColor="accent6" w:themeShade="BF"/>
            </w:tcBorders>
          </w:tcPr>
          <w:p w14:paraId="7B91C7DD" w14:textId="31D1D6BB" w:rsidR="00FA36C3" w:rsidRDefault="00FA36C3" w:rsidP="002747EA">
            <w:pPr>
              <w:keepNext/>
            </w:pPr>
            <w:r>
              <w:t>Schumacher et al 2018</w:t>
            </w:r>
            <w:r>
              <w:fldChar w:fldCharType="begin">
                <w:fldData xml:space="preserve">PEVuZE5vdGU+PENpdGU+PEF1dGhvcj5TY2h1bWFjaGVyPC9BdXRob3I+PFllYXI+MjAxODwvWWVh
cj48UmVjTnVtPjc3MTwvUmVjTnVtPjxEaXNwbGF5VGV4dD48c3R5bGUgZmFjZT0ic3VwZXJzY3Jp
cHQiIGZvbnQ9IlRyZWJ1Y2hldCBNUyIgc2l6ZT0iOSI+MzUxPC9zdHlsZT48L0Rpc3BsYXlUZXh0
PjxyZWNvcmQ+PHJlYy1udW1iZXI+NzcxPC9yZWMtbnVtYmVyPjxmb3JlaWduLWtleXM+PGtleSBh
cHA9IkVOIiBkYi1pZD0iZXh2YXNyZngyZHRyYW9lc2FzeHAyc3pzeGEyZGY1MDI1OTJ4IiB0aW1l
c3RhbXA9IjE1NDE1NDAzNTEiPjc3MTwva2V5PjxrZXkgYXBwPSJFTldlYiIgZGItaWQ9IiI+MDwv
a2V5PjwvZm9yZWlnbi1rZXlzPjxyZWYtdHlwZSBuYW1lPSJKb3VybmFsIEFydGljbGUiPjE3PC9y
ZWYtdHlwZT48Y29udHJpYnV0b3JzPjxhdXRob3JzPjxhdXRob3I+U2NodW1hY2hlciwgVC4gTC48
L2F1dGhvcj48YXV0aG9yPldlYXRoZXJhbGwsIEwuPC9hdXRob3I+PGF1dGhvcj5LZW9naCwgTC48
L2F1dGhvcj48YXV0aG9yPlN1dGhlcmxhbmQsIEsuPC9hdXRob3I+PGF1dGhvcj5Db2xsaW5zLCBD
LiBFLjwvYXV0aG9yPjxhdXRob3I+UHJpbmdsZSwgSy4gRy48L2F1dGhvcj48YXV0aG9yPlJhZSwg
Sy4gTS48L2F1dGhvcj48L2F1dGhvcnM+PC9jb250cmlidXRvcnM+PGF1dGgtYWRkcmVzcz5Hb21l
cm9pIGdhYXluZ2FsIENlbnRyZSwgRmFjdWx0eSBvZiBIZWFsdGggYW5kIE1lZGljaW5lLCBVbml2
ZXJzaXR5IG9mIE5ld2Nhc3RsZSwgMi8xIEhpbmtsZXIgUmQsIFRhbXdvcnRoLCBOU1cgMjM0MCwg
QXVzdHJhbGlhOyBTY2hvb2wgb2YgTWVkaWNpbmUgYW5kIFB1YmxpYyBIZWFsdGgsIEZhY3VsdHkg
b2YgSGVhbHRoIGFuZCBNZWRpY2luZSwgVW5pdmVyc2l0eSBvZiBOZXdjYXN0bGUsIFVuaXZlcnNp
dHkgRHJpdmUsIENhbGxhZ2hhbiwgTlNXIDIzMDgsIEF1c3RyYWxpYTsgUHJpb3JpdHkgUmVzZWFy
Y2ggQ2VudHJlIGZvciBQaHlzaWNhbCBBY3Rpdml0eSBhbmQgTnV0cml0aW9uLCBVbml2ZXJzaXR5
IG9mIE5ld2Nhc3RsZSwgUmluZyBSZCwgQ2FsbGFnaGFuLCBOU1cgMjMwOCwgQXVzdHJhbGlhLiBF
bGVjdHJvbmljIGFkZHJlc3M6IHRyYWN5LnNjaHVtYWNoZXJAbmV3Y2FzdGxlLmVkdS5hdS4mI3hE
O0dvbWVyb2kgZ2FheW5nYWwgQ2VudHJlLCBGYWN1bHR5IG9mIEhlYWx0aCBhbmQgTWVkaWNpbmUs
IFVuaXZlcnNpdHkgb2YgTmV3Y2FzdGxlLCAyLzEgSGlua2xlciBSZCwgVGFtd29ydGgsIE5TVyAy
MzQwLCBBdXN0cmFsaWE7IFNjaG9vbCBvZiBNZWRpY2luZSBhbmQgUHVibGljIEhlYWx0aCwgRmFj
dWx0eSBvZiBIZWFsdGggYW5kIE1lZGljaW5lLCBVbml2ZXJzaXR5IG9mIE5ld2Nhc3RsZSwgVW5p
dmVyc2l0eSBEcml2ZSwgQ2FsbGFnaGFuLCBOU1cgMjMwOCwgQXVzdHJhbGlhLiBFbGVjdHJvbmlj
IGFkZHJlc3M6IGxvcmV0dGEud2VhdGhlcmFsbEBuZXdjYXN0bGUuZWR1LmF1LiYjeEQ7R29tZXJv
aSBnYWF5bmdhbCBDZW50cmUsIEZhY3VsdHkgb2YgSGVhbHRoIGFuZCBNZWRpY2luZSwgVW5pdmVy
c2l0eSBvZiBOZXdjYXN0bGUsIDIvMSBIaW5rbGVyIFJkLCBUYW13b3J0aCwgTlNXIDIzNDAsIEF1
c3RyYWxpYTsgU2Nob29sIG9mIE1lZGljaW5lIGFuZCBQdWJsaWMgSGVhbHRoLCBGYWN1bHR5IG9m
IEhlYWx0aCBhbmQgTWVkaWNpbmUsIFVuaXZlcnNpdHkgb2YgTmV3Y2FzdGxlLCBVbml2ZXJzaXR5
IERyaXZlLCBDYWxsYWdoYW4sIE5TVyAyMzA4LCBBdXN0cmFsaWEuIEVsZWN0cm9uaWMgYWRkcmVz
czogbHluaWVjZS5rZW9naEBuZXdjYXN0bGUuZWR1LmF1LiYjeEQ7R29tZXJvaSBnYWF5bmdhbCBD
ZW50cmUsIEZhY3VsdHkgb2YgSGVhbHRoIGFuZCBNZWRpY2luZSwgVW5pdmVyc2l0eSBvZiBOZXdj
YXN0bGUsIDIvMSBIaW5rbGVyIFJkLCBUYW13b3J0aCwgTlNXIDIzNDAsIEF1c3RyYWxpYTsgU2No
b29sIG9mIE1lZGljaW5lIGFuZCBQdWJsaWMgSGVhbHRoLCBGYWN1bHR5IG9mIEhlYWx0aCBhbmQg
TWVkaWNpbmUsIFVuaXZlcnNpdHkgb2YgTmV3Y2FzdGxlLCBVbml2ZXJzaXR5IERyaXZlLCBDYWxs
YWdoYW4sIE5TVyAyMzA4LCBBdXN0cmFsaWEuIEVsZWN0cm9uaWMgYWRkcmVzczoga2F0aHJ5bi5z
dXRoZXJsYW5kQG5ld2Nhc3RsZS5lZHUuYXUuJiN4RDtQcmlvcml0eSBSZXNlYXJjaCBDZW50cmUg
Zm9yIFBoeXNpY2FsIEFjdGl2aXR5IGFuZCBOdXRyaXRpb24sIFVuaXZlcnNpdHkgb2YgTmV3Y2Fz
dGxlLCBSaW5nIFJkLCBDYWxsYWdoYW4sIE5TVyAyMzA4LCBBdXN0cmFsaWE7IFNjaG9vbCBvZiBI
ZWFsdGggU2NpZW5jZXMsIEZhY3VsdHkgb2YgSGVhbHRoIGFuZCBNZWRpY2luZSwgVW5pdmVyc2l0
eSBvZiBOZXdjYXN0bGUsIFVuaXZlcnNpdHkgRHJpdmUsIENhbGxhZ2hhbiwgTlNXIDIzMDgsIEF1
c3RyYWxpYS4gRWxlY3Ryb25pYyBhZGRyZXNzOiBjbGFyZS5jb2xsaW5zQG5ld2Nhc3RsZS5lZHUu
YXUuJiN4RDtTY2hvb2wgb2YgQmlvbWVkaWNhbCBTY2llbmNlcyBhbmQgUGhhcm1hY3ksIFVuaXZl
cnNpdHkgb2YgTmV3Y2FzdGxlLCBVbml2ZXJzaXR5IERyaXZlLCBDYWxsYWdoYW4sIE5TVyAyMzA4
LCBBdXN0cmFsaWE7IFByaW9yaXR5IFJlc2VhcmNoIENlbnRyZSBvZiBSZXByb2R1Y3RpdmUgU2Np
ZW5jZXMsIFVuaXZlcnNpdHkgb2YgTmV3Y2FzdGxlLCBVbml2ZXJzaXR5IERyaXZlLCBDYWxsYWdo
YW4sIE5TVyAyMzA4LCBBdXN0cmFsaWEuIEVsZWN0cm9uaWMgYWRkcmVzczoga2lyc3R5LnByaW5n
bGVAbmV3Y2FzdGxlLmVkdS5hdS4mI3hEO0dvbWVyb2kgZ2FheW5nYWwgQ2VudHJlLCBGYWN1bHR5
IG9mIEhlYWx0aCBhbmQgTWVkaWNpbmUsIFVuaXZlcnNpdHkgb2YgTmV3Y2FzdGxlLCAyLzEgSGlu
a2xlciBSZCwgVGFtd29ydGgsIE5TVyAyMzQwLCBBdXN0cmFsaWE7IFNjaG9vbCBvZiBNZWRpY2lu
ZSBhbmQgUHVibGljIEhlYWx0aCwgRmFjdWx0eSBvZiBIZWFsdGggYW5kIE1lZGljaW5lLCBVbml2
ZXJzaXR5IG9mIE5ld2Nhc3RsZSwgVW5pdmVyc2l0eSBEcml2ZSwgQ2FsbGFnaGFuLCBOU1cgMjMw
OCwgQXVzdHJhbGlhOyBQcmlvcml0eSBSZXNlYXJjaCBDZW50cmUgb2YgUmVwcm9kdWN0aXZlIFNj
aWVuY2VzLCBVbml2ZXJzaXR5IG9mIE5ld2Nhc3RsZSwgVW5pdmVyc2l0eSBEcml2ZSwgQ2FsbGFn
aGFuLCBOU1cgMjMwOCwgQXVzdHJhbGlhOyBQcmlvcml0eSBSZXNlYXJjaCBDZW50cmUgb2YgR2Vu
ZXJhdGlvbmFsIEhlYWx0aCBhbmQgQWdlaW5nLCBVbml2ZXJzaXR5IG9mIE5ld2Nhc3RsZSwgVW5p
dmVyc2l0eSBEcml2ZSwgQ2FsbGFnaGFuLCBOU1cgMjMwOCwgQXVzdHJhbGlhOyBEZXBhcnRtZW50
IG9mIFJ1cmFsIEhlYWx0aCwgVW5pdmVyc2l0eSBvZiBOZXdjYXN0bGUsIFRhbXdvcnRoLCBOU1cg
MjM0MCwgQXVzdHJhbGlhLiBFbGVjdHJvbmljIGFkZHJlc3M6IGt5bS5yYWVAbmV3Y2FzdGxlLmVk
dS5hdS48L2F1dGgtYWRkcmVzcz48dGl0bGVzPjx0aXRsZT5DaGFyYWN0ZXJpemluZyBnZXN0YXRp
b25hbCB3ZWlnaHQgZ2FpbiBpbiBhIGNvaG9ydCBvZiBJbmRpZ2Vub3VzIEF1c3RyYWxpYW4gd29t
ZW48L3RpdGxlPjxzZWNvbmRhcnktdGl0bGU+TWlkd2lmZXJ5PC9zZWNvbmRhcnktdGl0bGU+PC90
aXRsZXM+PHBlcmlvZGljYWw+PGZ1bGwtdGl0bGU+TWlkd2lmZXJ5PC9mdWxsLXRpdGxlPjwvcGVy
aW9kaWNhbD48cGFnZXM+MTMtMTk8L3BhZ2VzPjx2b2x1bWU+NjA8L3ZvbHVtZT48ZWRpdGlvbj4y
MDE4LzAyLzIzPC9lZGl0aW9uPjxrZXl3b3Jkcz48a2V5d29yZD5BZHVsdDwva2V5d29yZD48a2V5
d29yZD5Cb2R5IE1hc3MgSW5kZXg8L2tleXdvcmQ+PGtleXdvcmQ+Q29ob3J0IFN0dWRpZXM8L2tl
eXdvcmQ+PGtleXdvcmQ+RGlhYmV0ZXMsIEdlc3RhdGlvbmFsL3BzeWNob2xvZ3k8L2tleXdvcmQ+
PGtleXdvcmQ+RXhlcmNpc2UvcHN5Y2hvbG9neTwva2V5d29yZD48a2V5d29yZD5GZWVkaW5nIEJl
aGF2aW9yL3BzeWNob2xvZ3k8L2tleXdvcmQ+PGtleXdvcmQ+RmVtYWxlPC9rZXl3b3JkPjxrZXl3
b3JkPkh1bWFuczwva2V5d29yZD48a2V5d29yZD5MaW5lYXIgTW9kZWxzPC9rZXl3b3JkPjxrZXl3
b3JkPkxvbmdpdHVkaW5hbCBTdHVkaWVzPC9rZXl3b3JkPjxrZXl3b3JkPk5ldyBTb3V0aCBXYWxl
czwva2V5d29yZD48a2V5d29yZD5PYmVzaXR5L2NvbXBsaWNhdGlvbnM8L2tleXdvcmQ+PGtleXdv
cmQ+T3ZlcndlaWdodC9jb21wbGljYXRpb25zL3ByZXZlbnRpb24gJmFtcDsgY29udHJvbDwva2V5
d29yZD48a2V5d29yZD5Qb3B1bGF0aW9uIEdyb3Vwczwva2V5d29yZD48a2V5d29yZD5QcmVnbmFu
Y3k8L2tleXdvcmQ+PGtleXdvcmQ+UHJlZ25hbmN5IENvbXBsaWNhdGlvbnMvZXRpb2xvZ3kvcHJl
dmVudGlvbiAmYW1wOyBjb250cm9sPC9rZXl3b3JkPjxrZXl3b3JkPlNtb2tpbmcvcHN5Y2hvbG9n
eTwva2V5d29yZD48a2V5d29yZD5XZWlnaHQgR2Fpbi8qcGh5c2lvbG9neTwva2V5d29yZD48a2V5
d29yZD5BYm9yaWdpbmVzLCBBdXN0cmFsaWFuPC9rZXl3b3JkPjxrZXl3b3JkPkdlc3RhdGlvbmFs
IHdlaWdodCBnYWluPC9rZXl3b3JkPjwva2V5d29yZHM+PGRhdGVzPjx5ZWFyPjIwMTg8L3llYXI+
PHB1Yi1kYXRlcz48ZGF0ZT5NYXk8L2RhdGU+PC9wdWItZGF0ZXM+PC9kYXRlcz48aXNibj4xNTMy
LTMwOTkgKEVsZWN0cm9uaWMpJiN4RDswMjY2LTYxMzggKExpbmtpbmcpPC9pc2JuPjxhY2Nlc3Np
b24tbnVtPjI5NDcxMTc0PC9hY2Nlc3Npb24tbnVtPjx1cmxzPjxyZWxhdGVkLXVybHM+PHVybD5o
dHRwczovL3d3dy5uY2JpLm5sbS5uaWguZ292L3B1Ym1lZC8yOTQ3MTE3NDwvdXJsPjwvcmVsYXRl
ZC11cmxzPjwvdXJscz48ZWxlY3Ryb25pYy1yZXNvdXJjZS1udW0+MTAuMTAxNi9qLm1pZHcuMjAx
OC4wMS4wMTc8L2VsZWN0cm9uaWMtcmVzb3VyY2UtbnVtPjwvcmVjb3JkPjwvQ2l0ZT48L0VuZE5v
dGU+AG==
</w:fldData>
              </w:fldChar>
            </w:r>
            <w:r w:rsidR="001A2F28">
              <w:instrText xml:space="preserve"> ADDIN EN.CITE </w:instrText>
            </w:r>
            <w:r w:rsidR="001A2F28">
              <w:fldChar w:fldCharType="begin">
                <w:fldData xml:space="preserve">PEVuZE5vdGU+PENpdGU+PEF1dGhvcj5TY2h1bWFjaGVyPC9BdXRob3I+PFllYXI+MjAxODwvWWVh
cj48UmVjTnVtPjc3MTwvUmVjTnVtPjxEaXNwbGF5VGV4dD48c3R5bGUgZmFjZT0ic3VwZXJzY3Jp
cHQiIGZvbnQ9IlRyZWJ1Y2hldCBNUyIgc2l6ZT0iOSI+MzUxPC9zdHlsZT48L0Rpc3BsYXlUZXh0
PjxyZWNvcmQ+PHJlYy1udW1iZXI+NzcxPC9yZWMtbnVtYmVyPjxmb3JlaWduLWtleXM+PGtleSBh
cHA9IkVOIiBkYi1pZD0iZXh2YXNyZngyZHRyYW9lc2FzeHAyc3pzeGEyZGY1MDI1OTJ4IiB0aW1l
c3RhbXA9IjE1NDE1NDAzNTEiPjc3MTwva2V5PjxrZXkgYXBwPSJFTldlYiIgZGItaWQ9IiI+MDwv
a2V5PjwvZm9yZWlnbi1rZXlzPjxyZWYtdHlwZSBuYW1lPSJKb3VybmFsIEFydGljbGUiPjE3PC9y
ZWYtdHlwZT48Y29udHJpYnV0b3JzPjxhdXRob3JzPjxhdXRob3I+U2NodW1hY2hlciwgVC4gTC48
L2F1dGhvcj48YXV0aG9yPldlYXRoZXJhbGwsIEwuPC9hdXRob3I+PGF1dGhvcj5LZW9naCwgTC48
L2F1dGhvcj48YXV0aG9yPlN1dGhlcmxhbmQsIEsuPC9hdXRob3I+PGF1dGhvcj5Db2xsaW5zLCBD
LiBFLjwvYXV0aG9yPjxhdXRob3I+UHJpbmdsZSwgSy4gRy48L2F1dGhvcj48YXV0aG9yPlJhZSwg
Sy4gTS48L2F1dGhvcj48L2F1dGhvcnM+PC9jb250cmlidXRvcnM+PGF1dGgtYWRkcmVzcz5Hb21l
cm9pIGdhYXluZ2FsIENlbnRyZSwgRmFjdWx0eSBvZiBIZWFsdGggYW5kIE1lZGljaW5lLCBVbml2
ZXJzaXR5IG9mIE5ld2Nhc3RsZSwgMi8xIEhpbmtsZXIgUmQsIFRhbXdvcnRoLCBOU1cgMjM0MCwg
QXVzdHJhbGlhOyBTY2hvb2wgb2YgTWVkaWNpbmUgYW5kIFB1YmxpYyBIZWFsdGgsIEZhY3VsdHkg
b2YgSGVhbHRoIGFuZCBNZWRpY2luZSwgVW5pdmVyc2l0eSBvZiBOZXdjYXN0bGUsIFVuaXZlcnNp
dHkgRHJpdmUsIENhbGxhZ2hhbiwgTlNXIDIzMDgsIEF1c3RyYWxpYTsgUHJpb3JpdHkgUmVzZWFy
Y2ggQ2VudHJlIGZvciBQaHlzaWNhbCBBY3Rpdml0eSBhbmQgTnV0cml0aW9uLCBVbml2ZXJzaXR5
IG9mIE5ld2Nhc3RsZSwgUmluZyBSZCwgQ2FsbGFnaGFuLCBOU1cgMjMwOCwgQXVzdHJhbGlhLiBF
bGVjdHJvbmljIGFkZHJlc3M6IHRyYWN5LnNjaHVtYWNoZXJAbmV3Y2FzdGxlLmVkdS5hdS4mI3hE
O0dvbWVyb2kgZ2FheW5nYWwgQ2VudHJlLCBGYWN1bHR5IG9mIEhlYWx0aCBhbmQgTWVkaWNpbmUs
IFVuaXZlcnNpdHkgb2YgTmV3Y2FzdGxlLCAyLzEgSGlua2xlciBSZCwgVGFtd29ydGgsIE5TVyAy
MzQwLCBBdXN0cmFsaWE7IFNjaG9vbCBvZiBNZWRpY2luZSBhbmQgUHVibGljIEhlYWx0aCwgRmFj
dWx0eSBvZiBIZWFsdGggYW5kIE1lZGljaW5lLCBVbml2ZXJzaXR5IG9mIE5ld2Nhc3RsZSwgVW5p
dmVyc2l0eSBEcml2ZSwgQ2FsbGFnaGFuLCBOU1cgMjMwOCwgQXVzdHJhbGlhLiBFbGVjdHJvbmlj
IGFkZHJlc3M6IGxvcmV0dGEud2VhdGhlcmFsbEBuZXdjYXN0bGUuZWR1LmF1LiYjeEQ7R29tZXJv
aSBnYWF5bmdhbCBDZW50cmUsIEZhY3VsdHkgb2YgSGVhbHRoIGFuZCBNZWRpY2luZSwgVW5pdmVy
c2l0eSBvZiBOZXdjYXN0bGUsIDIvMSBIaW5rbGVyIFJkLCBUYW13b3J0aCwgTlNXIDIzNDAsIEF1
c3RyYWxpYTsgU2Nob29sIG9mIE1lZGljaW5lIGFuZCBQdWJsaWMgSGVhbHRoLCBGYWN1bHR5IG9m
IEhlYWx0aCBhbmQgTWVkaWNpbmUsIFVuaXZlcnNpdHkgb2YgTmV3Y2FzdGxlLCBVbml2ZXJzaXR5
IERyaXZlLCBDYWxsYWdoYW4sIE5TVyAyMzA4LCBBdXN0cmFsaWEuIEVsZWN0cm9uaWMgYWRkcmVz
czogbHluaWVjZS5rZW9naEBuZXdjYXN0bGUuZWR1LmF1LiYjeEQ7R29tZXJvaSBnYWF5bmdhbCBD
ZW50cmUsIEZhY3VsdHkgb2YgSGVhbHRoIGFuZCBNZWRpY2luZSwgVW5pdmVyc2l0eSBvZiBOZXdj
YXN0bGUsIDIvMSBIaW5rbGVyIFJkLCBUYW13b3J0aCwgTlNXIDIzNDAsIEF1c3RyYWxpYTsgU2No
b29sIG9mIE1lZGljaW5lIGFuZCBQdWJsaWMgSGVhbHRoLCBGYWN1bHR5IG9mIEhlYWx0aCBhbmQg
TWVkaWNpbmUsIFVuaXZlcnNpdHkgb2YgTmV3Y2FzdGxlLCBVbml2ZXJzaXR5IERyaXZlLCBDYWxs
YWdoYW4sIE5TVyAyMzA4LCBBdXN0cmFsaWEuIEVsZWN0cm9uaWMgYWRkcmVzczoga2F0aHJ5bi5z
dXRoZXJsYW5kQG5ld2Nhc3RsZS5lZHUuYXUuJiN4RDtQcmlvcml0eSBSZXNlYXJjaCBDZW50cmUg
Zm9yIFBoeXNpY2FsIEFjdGl2aXR5IGFuZCBOdXRyaXRpb24sIFVuaXZlcnNpdHkgb2YgTmV3Y2Fz
dGxlLCBSaW5nIFJkLCBDYWxsYWdoYW4sIE5TVyAyMzA4LCBBdXN0cmFsaWE7IFNjaG9vbCBvZiBI
ZWFsdGggU2NpZW5jZXMsIEZhY3VsdHkgb2YgSGVhbHRoIGFuZCBNZWRpY2luZSwgVW5pdmVyc2l0
eSBvZiBOZXdjYXN0bGUsIFVuaXZlcnNpdHkgRHJpdmUsIENhbGxhZ2hhbiwgTlNXIDIzMDgsIEF1
c3RyYWxpYS4gRWxlY3Ryb25pYyBhZGRyZXNzOiBjbGFyZS5jb2xsaW5zQG5ld2Nhc3RsZS5lZHUu
YXUuJiN4RDtTY2hvb2wgb2YgQmlvbWVkaWNhbCBTY2llbmNlcyBhbmQgUGhhcm1hY3ksIFVuaXZl
cnNpdHkgb2YgTmV3Y2FzdGxlLCBVbml2ZXJzaXR5IERyaXZlLCBDYWxsYWdoYW4sIE5TVyAyMzA4
LCBBdXN0cmFsaWE7IFByaW9yaXR5IFJlc2VhcmNoIENlbnRyZSBvZiBSZXByb2R1Y3RpdmUgU2Np
ZW5jZXMsIFVuaXZlcnNpdHkgb2YgTmV3Y2FzdGxlLCBVbml2ZXJzaXR5IERyaXZlLCBDYWxsYWdo
YW4sIE5TVyAyMzA4LCBBdXN0cmFsaWEuIEVsZWN0cm9uaWMgYWRkcmVzczoga2lyc3R5LnByaW5n
bGVAbmV3Y2FzdGxlLmVkdS5hdS4mI3hEO0dvbWVyb2kgZ2FheW5nYWwgQ2VudHJlLCBGYWN1bHR5
IG9mIEhlYWx0aCBhbmQgTWVkaWNpbmUsIFVuaXZlcnNpdHkgb2YgTmV3Y2FzdGxlLCAyLzEgSGlu
a2xlciBSZCwgVGFtd29ydGgsIE5TVyAyMzQwLCBBdXN0cmFsaWE7IFNjaG9vbCBvZiBNZWRpY2lu
ZSBhbmQgUHVibGljIEhlYWx0aCwgRmFjdWx0eSBvZiBIZWFsdGggYW5kIE1lZGljaW5lLCBVbml2
ZXJzaXR5IG9mIE5ld2Nhc3RsZSwgVW5pdmVyc2l0eSBEcml2ZSwgQ2FsbGFnaGFuLCBOU1cgMjMw
OCwgQXVzdHJhbGlhOyBQcmlvcml0eSBSZXNlYXJjaCBDZW50cmUgb2YgUmVwcm9kdWN0aXZlIFNj
aWVuY2VzLCBVbml2ZXJzaXR5IG9mIE5ld2Nhc3RsZSwgVW5pdmVyc2l0eSBEcml2ZSwgQ2FsbGFn
aGFuLCBOU1cgMjMwOCwgQXVzdHJhbGlhOyBQcmlvcml0eSBSZXNlYXJjaCBDZW50cmUgb2YgR2Vu
ZXJhdGlvbmFsIEhlYWx0aCBhbmQgQWdlaW5nLCBVbml2ZXJzaXR5IG9mIE5ld2Nhc3RsZSwgVW5p
dmVyc2l0eSBEcml2ZSwgQ2FsbGFnaGFuLCBOU1cgMjMwOCwgQXVzdHJhbGlhOyBEZXBhcnRtZW50
IG9mIFJ1cmFsIEhlYWx0aCwgVW5pdmVyc2l0eSBvZiBOZXdjYXN0bGUsIFRhbXdvcnRoLCBOU1cg
MjM0MCwgQXVzdHJhbGlhLiBFbGVjdHJvbmljIGFkZHJlc3M6IGt5bS5yYWVAbmV3Y2FzdGxlLmVk
dS5hdS48L2F1dGgtYWRkcmVzcz48dGl0bGVzPjx0aXRsZT5DaGFyYWN0ZXJpemluZyBnZXN0YXRp
b25hbCB3ZWlnaHQgZ2FpbiBpbiBhIGNvaG9ydCBvZiBJbmRpZ2Vub3VzIEF1c3RyYWxpYW4gd29t
ZW48L3RpdGxlPjxzZWNvbmRhcnktdGl0bGU+TWlkd2lmZXJ5PC9zZWNvbmRhcnktdGl0bGU+PC90
aXRsZXM+PHBlcmlvZGljYWw+PGZ1bGwtdGl0bGU+TWlkd2lmZXJ5PC9mdWxsLXRpdGxlPjwvcGVy
aW9kaWNhbD48cGFnZXM+MTMtMTk8L3BhZ2VzPjx2b2x1bWU+NjA8L3ZvbHVtZT48ZWRpdGlvbj4y
MDE4LzAyLzIzPC9lZGl0aW9uPjxrZXl3b3Jkcz48a2V5d29yZD5BZHVsdDwva2V5d29yZD48a2V5
d29yZD5Cb2R5IE1hc3MgSW5kZXg8L2tleXdvcmQ+PGtleXdvcmQ+Q29ob3J0IFN0dWRpZXM8L2tl
eXdvcmQ+PGtleXdvcmQ+RGlhYmV0ZXMsIEdlc3RhdGlvbmFsL3BzeWNob2xvZ3k8L2tleXdvcmQ+
PGtleXdvcmQ+RXhlcmNpc2UvcHN5Y2hvbG9neTwva2V5d29yZD48a2V5d29yZD5GZWVkaW5nIEJl
aGF2aW9yL3BzeWNob2xvZ3k8L2tleXdvcmQ+PGtleXdvcmQ+RmVtYWxlPC9rZXl3b3JkPjxrZXl3
b3JkPkh1bWFuczwva2V5d29yZD48a2V5d29yZD5MaW5lYXIgTW9kZWxzPC9rZXl3b3JkPjxrZXl3
b3JkPkxvbmdpdHVkaW5hbCBTdHVkaWVzPC9rZXl3b3JkPjxrZXl3b3JkPk5ldyBTb3V0aCBXYWxl
czwva2V5d29yZD48a2V5d29yZD5PYmVzaXR5L2NvbXBsaWNhdGlvbnM8L2tleXdvcmQ+PGtleXdv
cmQ+T3ZlcndlaWdodC9jb21wbGljYXRpb25zL3ByZXZlbnRpb24gJmFtcDsgY29udHJvbDwva2V5
d29yZD48a2V5d29yZD5Qb3B1bGF0aW9uIEdyb3Vwczwva2V5d29yZD48a2V5d29yZD5QcmVnbmFu
Y3k8L2tleXdvcmQ+PGtleXdvcmQ+UHJlZ25hbmN5IENvbXBsaWNhdGlvbnMvZXRpb2xvZ3kvcHJl
dmVudGlvbiAmYW1wOyBjb250cm9sPC9rZXl3b3JkPjxrZXl3b3JkPlNtb2tpbmcvcHN5Y2hvbG9n
eTwva2V5d29yZD48a2V5d29yZD5XZWlnaHQgR2Fpbi8qcGh5c2lvbG9neTwva2V5d29yZD48a2V5
d29yZD5BYm9yaWdpbmVzLCBBdXN0cmFsaWFuPC9rZXl3b3JkPjxrZXl3b3JkPkdlc3RhdGlvbmFs
IHdlaWdodCBnYWluPC9rZXl3b3JkPjwva2V5d29yZHM+PGRhdGVzPjx5ZWFyPjIwMTg8L3llYXI+
PHB1Yi1kYXRlcz48ZGF0ZT5NYXk8L2RhdGU+PC9wdWItZGF0ZXM+PC9kYXRlcz48aXNibj4xNTMy
LTMwOTkgKEVsZWN0cm9uaWMpJiN4RDswMjY2LTYxMzggKExpbmtpbmcpPC9pc2JuPjxhY2Nlc3Np
b24tbnVtPjI5NDcxMTc0PC9hY2Nlc3Npb24tbnVtPjx1cmxzPjxyZWxhdGVkLXVybHM+PHVybD5o
dHRwczovL3d3dy5uY2JpLm5sbS5uaWguZ292L3B1Ym1lZC8yOTQ3MTE3NDwvdXJsPjwvcmVsYXRl
ZC11cmxzPjwvdXJscz48ZWxlY3Ryb25pYy1yZXNvdXJjZS1udW0+MTAuMTAxNi9qLm1pZHcuMjAx
OC4wMS4wMTc8L2VsZWN0cm9uaWMtcmVzb3VyY2UtbnVtPjwvcmVjb3JkPjwvQ2l0ZT48L0VuZE5v
dGU+AG==
</w:fldData>
              </w:fldChar>
            </w:r>
            <w:r w:rsidR="001A2F28">
              <w:instrText xml:space="preserve"> ADDIN EN.CITE.DATA </w:instrText>
            </w:r>
            <w:r w:rsidR="001A2F28">
              <w:fldChar w:fldCharType="end"/>
            </w:r>
            <w:r>
              <w:fldChar w:fldCharType="separate"/>
            </w:r>
            <w:r w:rsidR="001A2F28" w:rsidRPr="001A2F28">
              <w:rPr>
                <w:noProof/>
                <w:vertAlign w:val="superscript"/>
              </w:rPr>
              <w:t>351</w:t>
            </w:r>
            <w:r>
              <w:fldChar w:fldCharType="end"/>
            </w:r>
          </w:p>
          <w:p w14:paraId="22AD5389" w14:textId="77777777" w:rsidR="00FA36C3" w:rsidRDefault="00FA36C3" w:rsidP="002747EA">
            <w:pPr>
              <w:keepNext/>
            </w:pPr>
            <w:r>
              <w:t>Australia</w:t>
            </w:r>
          </w:p>
          <w:p w14:paraId="023182A5" w14:textId="058F36CD" w:rsidR="00FA36C3" w:rsidRPr="00A42FE7" w:rsidRDefault="00FA36C3" w:rsidP="002747EA">
            <w:pPr>
              <w:keepNext/>
            </w:pPr>
            <w:r>
              <w:t>Cohort</w:t>
            </w:r>
          </w:p>
        </w:tc>
        <w:tc>
          <w:tcPr>
            <w:tcW w:w="1418" w:type="dxa"/>
            <w:tcBorders>
              <w:bottom w:val="single" w:sz="4" w:space="0" w:color="538135" w:themeColor="accent6" w:themeShade="BF"/>
            </w:tcBorders>
          </w:tcPr>
          <w:p w14:paraId="406DA77E" w14:textId="77777777" w:rsidR="00FA36C3" w:rsidRPr="00A42FE7" w:rsidRDefault="00FA36C3" w:rsidP="002747EA">
            <w:pPr>
              <w:keepNext/>
            </w:pPr>
            <w:r w:rsidRPr="00A42FE7">
              <w:t>1</w:t>
            </w:r>
            <w:r>
              <w:t>10</w:t>
            </w:r>
          </w:p>
        </w:tc>
        <w:tc>
          <w:tcPr>
            <w:tcW w:w="4394" w:type="dxa"/>
            <w:tcBorders>
              <w:bottom w:val="single" w:sz="4" w:space="0" w:color="538135" w:themeColor="accent6" w:themeShade="BF"/>
            </w:tcBorders>
          </w:tcPr>
          <w:p w14:paraId="49BF656A" w14:textId="77777777" w:rsidR="00FA36C3" w:rsidRDefault="00FA36C3" w:rsidP="002747EA">
            <w:r w:rsidRPr="00A42FE7">
              <w:rPr>
                <w:b/>
              </w:rPr>
              <w:t>Aim</w:t>
            </w:r>
            <w:r w:rsidRPr="00A42FE7">
              <w:t xml:space="preserve">: </w:t>
            </w:r>
            <w:r w:rsidRPr="00FC6AC8">
              <w:t>to determine the adequacy of gestational weight gain for a cohort of Indigenous Australian women and investigate whether it is associated with pre-pregnancy body mass index</w:t>
            </w:r>
            <w:r w:rsidRPr="00A42FE7">
              <w:t xml:space="preserve">. </w:t>
            </w:r>
          </w:p>
          <w:p w14:paraId="4EA27FC7" w14:textId="77777777" w:rsidR="00FA36C3" w:rsidRDefault="00FA36C3" w:rsidP="002747EA">
            <w:r w:rsidRPr="00FC6AC8">
              <w:rPr>
                <w:b/>
              </w:rPr>
              <w:t>Methods</w:t>
            </w:r>
            <w:r>
              <w:t xml:space="preserve">: </w:t>
            </w:r>
            <w:r w:rsidRPr="00FC6AC8">
              <w:t>analysis of observational data collected from a longitudinal cohort study that follows Indigenous Australian women through pregnancy</w:t>
            </w:r>
            <w:r>
              <w:t>.</w:t>
            </w:r>
          </w:p>
          <w:p w14:paraId="4B0CE130" w14:textId="77777777" w:rsidR="00FA36C3" w:rsidRDefault="00FA36C3" w:rsidP="002747EA">
            <w:r w:rsidRPr="00A42FE7">
              <w:rPr>
                <w:b/>
              </w:rPr>
              <w:t>Population</w:t>
            </w:r>
            <w:r>
              <w:t>: W</w:t>
            </w:r>
            <w:r w:rsidRPr="00FC6AC8">
              <w:t>omen who either identified as being an Indigenous Australian or as carrying an Indigenous child recruited through antenatal clinics in regional and remote towns in NSW, Australia to the Gomeroi gaaynggal program</w:t>
            </w:r>
            <w:r>
              <w:t>.</w:t>
            </w:r>
          </w:p>
          <w:p w14:paraId="4827DDDB" w14:textId="77777777" w:rsidR="00FA36C3" w:rsidRPr="00A42FE7" w:rsidRDefault="00FA36C3" w:rsidP="002747EA">
            <w:r w:rsidRPr="00A42FE7">
              <w:rPr>
                <w:b/>
              </w:rPr>
              <w:t>Outcomes</w:t>
            </w:r>
            <w:r>
              <w:rPr>
                <w:b/>
              </w:rPr>
              <w:t xml:space="preserve"> measured</w:t>
            </w:r>
            <w:r>
              <w:t>: M</w:t>
            </w:r>
            <w:r w:rsidRPr="00FC6AC8">
              <w:t>easurements included weight and height, self-reported pre-pregnancy weight and smoking status, parity and health conditions that may contribute to gestational weight gain, such as hypertensive or diabetic disorders.</w:t>
            </w:r>
          </w:p>
        </w:tc>
        <w:tc>
          <w:tcPr>
            <w:tcW w:w="4536" w:type="dxa"/>
            <w:tcBorders>
              <w:bottom w:val="single" w:sz="4" w:space="0" w:color="538135" w:themeColor="accent6" w:themeShade="BF"/>
            </w:tcBorders>
          </w:tcPr>
          <w:p w14:paraId="3C76F838" w14:textId="77777777" w:rsidR="00FA36C3" w:rsidRDefault="00FA36C3" w:rsidP="002747EA">
            <w:r w:rsidRPr="00FC6AC8">
              <w:t xml:space="preserve">Compared to </w:t>
            </w:r>
            <w:r>
              <w:t xml:space="preserve">IOM </w:t>
            </w:r>
            <w:r w:rsidRPr="00FC6AC8">
              <w:t>recommendations for gestational weight gain and based on prepregnancy body mass index, the rate of adequate gestational weight gain in this cohort was very low (15%). 32% of women had inadequate weight gain and 54% had excessive weight gain. The highest rate of excessive gestational weight gain was found in overweight women (74%), with rates of 48% and 50% found in healthy and obese (all classes) categories, respectively. Parity (coefficient 4.5, p&lt;0.01) and hypertension (coefficient 4.8, p</w:t>
            </w:r>
            <w:r>
              <w:t>=</w:t>
            </w:r>
            <w:r w:rsidRPr="00FC6AC8">
              <w:t xml:space="preserve">0.04) were found to be significantly associated with gestational weight gain in mixed model linear regression. </w:t>
            </w:r>
          </w:p>
          <w:p w14:paraId="3B1D5822" w14:textId="77777777" w:rsidR="00FA36C3" w:rsidRPr="00FC6AC8" w:rsidRDefault="00FA36C3" w:rsidP="002747EA">
            <w:r w:rsidRPr="00FC6AC8">
              <w:t>Culturally acceptable ways of addressing this issue are needed for this group of women.</w:t>
            </w:r>
          </w:p>
        </w:tc>
        <w:tc>
          <w:tcPr>
            <w:tcW w:w="2410" w:type="dxa"/>
            <w:tcBorders>
              <w:bottom w:val="single" w:sz="4" w:space="0" w:color="538135" w:themeColor="accent6" w:themeShade="BF"/>
            </w:tcBorders>
          </w:tcPr>
          <w:p w14:paraId="6FCAD762" w14:textId="77777777" w:rsidR="00FA36C3" w:rsidRPr="00A42FE7" w:rsidRDefault="00FA36C3" w:rsidP="002747EA">
            <w:pPr>
              <w:keepNext/>
            </w:pPr>
          </w:p>
        </w:tc>
      </w:tr>
      <w:tr w:rsidR="00FA36C3" w:rsidRPr="00B60FFF" w14:paraId="45906A44" w14:textId="77777777" w:rsidTr="00FA36C3">
        <w:trPr>
          <w:cantSplit/>
        </w:trPr>
        <w:tc>
          <w:tcPr>
            <w:tcW w:w="1418" w:type="dxa"/>
          </w:tcPr>
          <w:p w14:paraId="697C0EFC" w14:textId="2243B92A" w:rsidR="00FA0A34" w:rsidRDefault="00FA0A34" w:rsidP="00F11CB4">
            <w:r>
              <w:t>Headen et al 2015</w:t>
            </w:r>
            <w:r w:rsidR="00774750">
              <w:fldChar w:fldCharType="begin">
                <w:fldData xml:space="preserve">PEVuZE5vdGU+PENpdGU+PEF1dGhvcj5IZWFkZW48L0F1dGhvcj48WWVhcj4yMDE1PC9ZZWFyPjxS
ZWNOdW0+MTc2MDwvUmVjTnVtPjxEaXNwbGF5VGV4dD48c3R5bGUgZmFjZT0ic3VwZXJzY3JpcHQi
IGZvbnQ9IlRyZWJ1Y2hldCBNUyIgc2l6ZT0iOSI+MzU0PC9zdHlsZT48L0Rpc3BsYXlUZXh0Pjxy
ZWNvcmQ+PHJlYy1udW1iZXI+MTc2MDwvcmVjLW51bWJlcj48Zm9yZWlnbi1rZXlzPjxrZXkgYXBw
PSJFTiIgZGItaWQ9ImV4dmFzcmZ4MmR0cmFvZXNhc3hwMnN6c3hhMmRmNTAyNTkyeCIgdGltZXN0
YW1wPSIxNTgyODY3MTUxIj4xNzYwPC9rZXk+PGtleSBhcHA9IkVOV2ViIiBkYi1pZD0iIj4wPC9r
ZXk+PC9mb3JlaWduLWtleXM+PHJlZi10eXBlIG5hbWU9IkpvdXJuYWwgQXJ0aWNsZSI+MTc8L3Jl
Zi10eXBlPjxjb250cmlidXRvcnM+PGF1dGhvcnM+PGF1dGhvcj5IZWFkZW4sIEkuPC9hdXRob3I+
PGF1dGhvcj5NdWphaGlkLCBNLiBTLjwvYXV0aG9yPjxhdXRob3I+Q29oZW4sIEEuIEsuPC9hdXRo
b3I+PGF1dGhvcj5SZWhrb3BmLCBELiBILjwvYXV0aG9yPjxhdXRob3I+QWJyYW1zLCBCLjwvYXV0
aG9yPjwvYXV0aG9ycz48L2NvbnRyaWJ1dG9ycz48YXV0aC1hZGRyZXNzPkRpdmlzaW9uIG9mIEVw
aWRlbWlvbG9neSwgVW5pdmVyc2l0eSBvZiBDYWxpZm9ybmlhLCBCZXJrZWxleSBTY2hvb2wgb2Yg
UHVibGljIEhlYWx0aCwgMTAxIEhhdmlsYW5kIEhhbGwsIEJlcmtlbGV5LCBDQSwgVVNBLCBpaGVh
ZGVuQGJlcmtlbGV5LmVkdS48L2F1dGgtYWRkcmVzcz48dGl0bGVzPjx0aXRsZT5SYWNpYWwvZXRo
bmljIGRpc3Bhcml0aWVzIGluIGluYWRlcXVhdGUgZ2VzdGF0aW9uYWwgd2VpZ2h0IGdhaW4gZGlm
ZmVyIGJ5IHByZS1wcmVnbmFuY3kgd2VpZ2h0PC90aXRsZT48c2Vjb25kYXJ5LXRpdGxlPk1hdGVy
biBDaGlsZCBIZWFsdGggSjwvc2Vjb25kYXJ5LXRpdGxlPjwvdGl0bGVzPjxwZXJpb2RpY2FsPjxm
dWxsLXRpdGxlPk1hdGVybiBDaGlsZCBIZWFsdGggSjwvZnVsbC10aXRsZT48L3BlcmlvZGljYWw+
PHBhZ2VzPjE2NzItODY8L3BhZ2VzPjx2b2x1bWU+MTk8L3ZvbHVtZT48bnVtYmVyPjg8L251bWJl
cj48ZWRpdGlvbj4yMDE1LzAyLzA2PC9lZGl0aW9uPjxrZXl3b3Jkcz48a2V5d29yZD5BZnJpY2Fu
IENvbnRpbmVudGFsIEFuY2VzdHJ5IEdyb3VwLypzdGF0aXN0aWNzICZhbXA7IG51bWVyaWNhbCBk
YXRhPC9rZXl3b3JkPjxrZXl3b3JkPkJvZHkgTWFzcyBJbmRleDwva2V5d29yZD48a2V5d29yZD5D
YWxpZm9ybmlhL2VwaWRlbWlvbG9neTwva2V5d29yZD48a2V5d29yZD5FdXJvcGVhbiBDb250aW5l
bnRhbCBBbmNlc3RyeSBHcm91cC8qc3RhdGlzdGljcyAmYW1wOyBudW1lcmljYWwgZGF0YTwva2V5
d29yZD48a2V5d29yZD5GZW1hbGU8L2tleXdvcmQ+PGtleXdvcmQ+KkhlYWx0aCBTdGF0dXMgRGlz
cGFyaXRpZXM8L2tleXdvcmQ+PGtleXdvcmQ+SGlzcGFuaWMgQW1lcmljYW5zLypzdGF0aXN0aWNz
ICZhbXA7IG51bWVyaWNhbCBkYXRhPC9rZXl3b3JkPjxrZXl3b3JkPkh1bWFuczwva2V5d29yZD48
a2V5d29yZD5JbmZhbnQsIE5ld2Jvcm48L2tleXdvcmQ+PGtleXdvcmQ+TG9uZ2l0dWRpbmFsIFN0
dWRpZXM8L2tleXdvcmQ+PGtleXdvcmQ+TWFsZTwva2V5d29yZD48a2V5d29yZD5NaW5vcml0eSBI
ZWFsdGg8L2tleXdvcmQ+PGtleXdvcmQ+T2Jlc2l0eS8qZXBpZGVtaW9sb2d5PC9rZXl3b3JkPjxr
ZXl3b3JkPlByZWduYW5jeTwva2V5d29yZD48a2V5d29yZD5QcmVnbmFuY3kgT3V0Y29tZS9ldGhu
b2xvZ3k8L2tleXdvcmQ+PGtleXdvcmQ+V2VpZ2h0IEdhaW4vKmV0aG5vbG9neTwva2V5d29yZD48
L2tleXdvcmRzPjxkYXRlcz48eWVhcj4yMDE1PC95ZWFyPjxwdWItZGF0ZXM+PGRhdGU+QXVnPC9k
YXRlPjwvcHViLWRhdGVzPjwvZGF0ZXM+PGlzYm4+MTU3My02NjI4IChFbGVjdHJvbmljKSYjeEQ7
MTA5Mi03ODc1IChMaW5raW5nKTwvaXNibj48YWNjZXNzaW9uLW51bT4yNTY1MjA1NzwvYWNjZXNz
aW9uLW51bT48dXJscz48cmVsYXRlZC11cmxzPjx1cmw+aHR0cHM6Ly93d3cubmNiaS5ubG0ubmlo
Lmdvdi9wdWJtZWQvMjU2NTIwNTc8L3VybD48L3JlbGF0ZWQtdXJscz48L3VybHM+PGN1c3RvbTI+
UE1DNDUwMzUwMDwvY3VzdG9tMj48ZWxlY3Ryb25pYy1yZXNvdXJjZS1udW0+MTAuMTAwNy9zMTA5
OTUtMDE1LTE2ODItNTwvZWxlY3Ryb25pYy1yZXNvdXJjZS1udW0+PC9yZWNvcmQ+PC9DaXRlPjwv
RW5kTm90ZT4A
</w:fldData>
              </w:fldChar>
            </w:r>
            <w:r w:rsidR="001A2F28">
              <w:instrText xml:space="preserve"> ADDIN EN.CITE </w:instrText>
            </w:r>
            <w:r w:rsidR="001A2F28">
              <w:fldChar w:fldCharType="begin">
                <w:fldData xml:space="preserve">PEVuZE5vdGU+PENpdGU+PEF1dGhvcj5IZWFkZW48L0F1dGhvcj48WWVhcj4yMDE1PC9ZZWFyPjxS
ZWNOdW0+MTc2MDwvUmVjTnVtPjxEaXNwbGF5VGV4dD48c3R5bGUgZmFjZT0ic3VwZXJzY3JpcHQi
IGZvbnQ9IlRyZWJ1Y2hldCBNUyIgc2l6ZT0iOSI+MzU0PC9zdHlsZT48L0Rpc3BsYXlUZXh0Pjxy
ZWNvcmQ+PHJlYy1udW1iZXI+MTc2MDwvcmVjLW51bWJlcj48Zm9yZWlnbi1rZXlzPjxrZXkgYXBw
PSJFTiIgZGItaWQ9ImV4dmFzcmZ4MmR0cmFvZXNhc3hwMnN6c3hhMmRmNTAyNTkyeCIgdGltZXN0
YW1wPSIxNTgyODY3MTUxIj4xNzYwPC9rZXk+PGtleSBhcHA9IkVOV2ViIiBkYi1pZD0iIj4wPC9r
ZXk+PC9mb3JlaWduLWtleXM+PHJlZi10eXBlIG5hbWU9IkpvdXJuYWwgQXJ0aWNsZSI+MTc8L3Jl
Zi10eXBlPjxjb250cmlidXRvcnM+PGF1dGhvcnM+PGF1dGhvcj5IZWFkZW4sIEkuPC9hdXRob3I+
PGF1dGhvcj5NdWphaGlkLCBNLiBTLjwvYXV0aG9yPjxhdXRob3I+Q29oZW4sIEEuIEsuPC9hdXRo
b3I+PGF1dGhvcj5SZWhrb3BmLCBELiBILjwvYXV0aG9yPjxhdXRob3I+QWJyYW1zLCBCLjwvYXV0
aG9yPjwvYXV0aG9ycz48L2NvbnRyaWJ1dG9ycz48YXV0aC1hZGRyZXNzPkRpdmlzaW9uIG9mIEVw
aWRlbWlvbG9neSwgVW5pdmVyc2l0eSBvZiBDYWxpZm9ybmlhLCBCZXJrZWxleSBTY2hvb2wgb2Yg
UHVibGljIEhlYWx0aCwgMTAxIEhhdmlsYW5kIEhhbGwsIEJlcmtlbGV5LCBDQSwgVVNBLCBpaGVh
ZGVuQGJlcmtlbGV5LmVkdS48L2F1dGgtYWRkcmVzcz48dGl0bGVzPjx0aXRsZT5SYWNpYWwvZXRo
bmljIGRpc3Bhcml0aWVzIGluIGluYWRlcXVhdGUgZ2VzdGF0aW9uYWwgd2VpZ2h0IGdhaW4gZGlm
ZmVyIGJ5IHByZS1wcmVnbmFuY3kgd2VpZ2h0PC90aXRsZT48c2Vjb25kYXJ5LXRpdGxlPk1hdGVy
biBDaGlsZCBIZWFsdGggSjwvc2Vjb25kYXJ5LXRpdGxlPjwvdGl0bGVzPjxwZXJpb2RpY2FsPjxm
dWxsLXRpdGxlPk1hdGVybiBDaGlsZCBIZWFsdGggSjwvZnVsbC10aXRsZT48L3BlcmlvZGljYWw+
PHBhZ2VzPjE2NzItODY8L3BhZ2VzPjx2b2x1bWU+MTk8L3ZvbHVtZT48bnVtYmVyPjg8L251bWJl
cj48ZWRpdGlvbj4yMDE1LzAyLzA2PC9lZGl0aW9uPjxrZXl3b3Jkcz48a2V5d29yZD5BZnJpY2Fu
IENvbnRpbmVudGFsIEFuY2VzdHJ5IEdyb3VwLypzdGF0aXN0aWNzICZhbXA7IG51bWVyaWNhbCBk
YXRhPC9rZXl3b3JkPjxrZXl3b3JkPkJvZHkgTWFzcyBJbmRleDwva2V5d29yZD48a2V5d29yZD5D
YWxpZm9ybmlhL2VwaWRlbWlvbG9neTwva2V5d29yZD48a2V5d29yZD5FdXJvcGVhbiBDb250aW5l
bnRhbCBBbmNlc3RyeSBHcm91cC8qc3RhdGlzdGljcyAmYW1wOyBudW1lcmljYWwgZGF0YTwva2V5
d29yZD48a2V5d29yZD5GZW1hbGU8L2tleXdvcmQ+PGtleXdvcmQ+KkhlYWx0aCBTdGF0dXMgRGlz
cGFyaXRpZXM8L2tleXdvcmQ+PGtleXdvcmQ+SGlzcGFuaWMgQW1lcmljYW5zLypzdGF0aXN0aWNz
ICZhbXA7IG51bWVyaWNhbCBkYXRhPC9rZXl3b3JkPjxrZXl3b3JkPkh1bWFuczwva2V5d29yZD48
a2V5d29yZD5JbmZhbnQsIE5ld2Jvcm48L2tleXdvcmQ+PGtleXdvcmQ+TG9uZ2l0dWRpbmFsIFN0
dWRpZXM8L2tleXdvcmQ+PGtleXdvcmQ+TWFsZTwva2V5d29yZD48a2V5d29yZD5NaW5vcml0eSBI
ZWFsdGg8L2tleXdvcmQ+PGtleXdvcmQ+T2Jlc2l0eS8qZXBpZGVtaW9sb2d5PC9rZXl3b3JkPjxr
ZXl3b3JkPlByZWduYW5jeTwva2V5d29yZD48a2V5d29yZD5QcmVnbmFuY3kgT3V0Y29tZS9ldGhu
b2xvZ3k8L2tleXdvcmQ+PGtleXdvcmQ+V2VpZ2h0IEdhaW4vKmV0aG5vbG9neTwva2V5d29yZD48
L2tleXdvcmRzPjxkYXRlcz48eWVhcj4yMDE1PC95ZWFyPjxwdWItZGF0ZXM+PGRhdGU+QXVnPC9k
YXRlPjwvcHViLWRhdGVzPjwvZGF0ZXM+PGlzYm4+MTU3My02NjI4IChFbGVjdHJvbmljKSYjeEQ7
MTA5Mi03ODc1IChMaW5raW5nKTwvaXNibj48YWNjZXNzaW9uLW51bT4yNTY1MjA1NzwvYWNjZXNz
aW9uLW51bT48dXJscz48cmVsYXRlZC11cmxzPjx1cmw+aHR0cHM6Ly93d3cubmNiaS5ubG0ubmlo
Lmdvdi9wdWJtZWQvMjU2NTIwNTc8L3VybD48L3JlbGF0ZWQtdXJscz48L3VybHM+PGN1c3RvbTI+
UE1DNDUwMzUwMDwvY3VzdG9tMj48ZWxlY3Ryb25pYy1yZXNvdXJjZS1udW0+MTAuMTAwNy9zMTA5
OTUtMDE1LTE2ODItNTwvZWxlY3Ryb25pYy1yZXNvdXJjZS1udW0+PC9yZWNvcmQ+PC9DaXRlPjwv
RW5kTm90ZT4A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354</w:t>
            </w:r>
            <w:r w:rsidR="00774750">
              <w:fldChar w:fldCharType="end"/>
            </w:r>
          </w:p>
          <w:p w14:paraId="5B334701" w14:textId="77777777" w:rsidR="00FA0A34" w:rsidRDefault="00FA0A34" w:rsidP="00F11CB4">
            <w:r>
              <w:t>United States</w:t>
            </w:r>
          </w:p>
          <w:p w14:paraId="4D670D81" w14:textId="5038907F" w:rsidR="00FA0A34" w:rsidRDefault="00FA0A34" w:rsidP="00F11CB4">
            <w:r>
              <w:t>Cohort</w:t>
            </w:r>
          </w:p>
        </w:tc>
        <w:tc>
          <w:tcPr>
            <w:tcW w:w="1418" w:type="dxa"/>
          </w:tcPr>
          <w:p w14:paraId="057DDE7D" w14:textId="61252723" w:rsidR="00FA0A34" w:rsidRDefault="00FA0A34" w:rsidP="00F11CB4">
            <w:r>
              <w:t>6,849</w:t>
            </w:r>
          </w:p>
        </w:tc>
        <w:tc>
          <w:tcPr>
            <w:tcW w:w="4394" w:type="dxa"/>
          </w:tcPr>
          <w:p w14:paraId="03CF910C" w14:textId="44195709" w:rsidR="00FA0A34" w:rsidRDefault="00FA0A34" w:rsidP="00FA0A34">
            <w:r w:rsidRPr="00FA0A34">
              <w:rPr>
                <w:b/>
              </w:rPr>
              <w:t>Aim</w:t>
            </w:r>
            <w:r>
              <w:t>: To investigate</w:t>
            </w:r>
            <w:r w:rsidRPr="00FA0A34">
              <w:t xml:space="preserve"> whether associations between race/ethnicity and GWG adequacy were modified by pre-pregnancy BMI among all births to </w:t>
            </w:r>
            <w:r>
              <w:t>African American</w:t>
            </w:r>
            <w:r w:rsidRPr="00FA0A34">
              <w:t xml:space="preserve">, Hispanic, and </w:t>
            </w:r>
            <w:r>
              <w:t>Caucasian women</w:t>
            </w:r>
            <w:r w:rsidRPr="00FA0A34">
              <w:t xml:space="preserve">. </w:t>
            </w:r>
          </w:p>
          <w:p w14:paraId="48CD25F8" w14:textId="69ACF516" w:rsidR="00FA0A34" w:rsidRPr="00C973B8" w:rsidRDefault="00FA0A34" w:rsidP="00FA0A34">
            <w:pPr>
              <w:rPr>
                <w:b/>
              </w:rPr>
            </w:pPr>
            <w:r w:rsidRPr="00FA0A34">
              <w:rPr>
                <w:b/>
              </w:rPr>
              <w:t>Methods</w:t>
            </w:r>
            <w:r>
              <w:t>: We used generalis</w:t>
            </w:r>
            <w:r w:rsidRPr="00FA0A34">
              <w:t>ed estimating equations, adjusted for marital status, parity, smoking during pregnancy, gestational age, and multiple measures of socioeconomic position.</w:t>
            </w:r>
          </w:p>
        </w:tc>
        <w:tc>
          <w:tcPr>
            <w:tcW w:w="4536" w:type="dxa"/>
          </w:tcPr>
          <w:p w14:paraId="4FBBCB6C" w14:textId="18F0D319" w:rsidR="00FA0A34" w:rsidRDefault="00FA0A34" w:rsidP="00FA0A34">
            <w:r>
              <w:t>Inadequate GWG compared to Caucasian women</w:t>
            </w:r>
          </w:p>
          <w:p w14:paraId="4E0CD7A3" w14:textId="4BABE7CF" w:rsidR="00FA0A34" w:rsidRDefault="00FA0A34" w:rsidP="00FA0A34">
            <w:pPr>
              <w:pStyle w:val="bullet"/>
            </w:pPr>
            <w:r>
              <w:t>African American (healthy weight range):</w:t>
            </w:r>
            <w:r w:rsidRPr="00FA0A34">
              <w:t xml:space="preserve"> </w:t>
            </w:r>
            <w:r>
              <w:t>RR </w:t>
            </w:r>
            <w:r w:rsidRPr="00FA0A34">
              <w:t>1.34, 95</w:t>
            </w:r>
            <w:r>
              <w:t>%CI 1.18 to</w:t>
            </w:r>
            <w:r w:rsidRPr="00FA0A34">
              <w:t xml:space="preserve"> 1.52</w:t>
            </w:r>
          </w:p>
          <w:p w14:paraId="0F52A1B2" w14:textId="2BF19868" w:rsidR="00FA0A34" w:rsidRDefault="00FA0A34" w:rsidP="00FA0A34">
            <w:pPr>
              <w:pStyle w:val="bullet"/>
            </w:pPr>
            <w:r w:rsidRPr="00FA0A34">
              <w:t>Hispanic women</w:t>
            </w:r>
            <w:r>
              <w:t xml:space="preserve"> (healthy weight range): RR 1.33, 95%CI 1.15 to</w:t>
            </w:r>
            <w:r w:rsidRPr="00FA0A34">
              <w:t xml:space="preserve"> 1.54) </w:t>
            </w:r>
          </w:p>
          <w:p w14:paraId="790C8985" w14:textId="465727A1" w:rsidR="00FA0A34" w:rsidRDefault="00FA0A34" w:rsidP="00FA0A34">
            <w:pPr>
              <w:pStyle w:val="bullet"/>
            </w:pPr>
            <w:r>
              <w:t>African American (underweight): RR 1.38, 95%CI 1.07 to</w:t>
            </w:r>
            <w:r w:rsidRPr="00FA0A34">
              <w:t xml:space="preserve"> 1.79. </w:t>
            </w:r>
          </w:p>
          <w:p w14:paraId="01367CA8" w14:textId="1DF9EEEB" w:rsidR="00FA0A34" w:rsidRPr="00C973B8" w:rsidRDefault="00FA0A34" w:rsidP="00F05522">
            <w:r w:rsidRPr="00FA0A34">
              <w:t xml:space="preserve">Differences in risk of inadequate GWG were not significant among overweight and obese women. </w:t>
            </w:r>
          </w:p>
        </w:tc>
        <w:tc>
          <w:tcPr>
            <w:tcW w:w="2410" w:type="dxa"/>
          </w:tcPr>
          <w:p w14:paraId="2258D92D" w14:textId="77777777" w:rsidR="00FA0A34" w:rsidRDefault="00FA0A34" w:rsidP="00F11CB4"/>
        </w:tc>
      </w:tr>
      <w:tr w:rsidR="00FA36C3" w:rsidRPr="00B60FFF" w14:paraId="6CC8DAFC" w14:textId="77777777" w:rsidTr="00FA36C3">
        <w:trPr>
          <w:cantSplit/>
        </w:trPr>
        <w:tc>
          <w:tcPr>
            <w:tcW w:w="1418" w:type="dxa"/>
          </w:tcPr>
          <w:p w14:paraId="0E17A5C2" w14:textId="1EFAB787" w:rsidR="00672124" w:rsidRDefault="00672124" w:rsidP="00F11CB4">
            <w:r>
              <w:t>Hulman et al 2017</w:t>
            </w:r>
            <w:r w:rsidR="00774750">
              <w:fldChar w:fldCharType="begin">
                <w:fldData xml:space="preserve">PEVuZE5vdGU+PENpdGU+PEF1dGhvcj5IdWxtYW48L0F1dGhvcj48WWVhcj4yMDE2PC9ZZWFyPjxS
ZWNOdW0+MTc2MzwvUmVjTnVtPjxEaXNwbGF5VGV4dD48c3R5bGUgZmFjZT0ic3VwZXJzY3JpcHQi
IGZvbnQ9IlRyZWJ1Y2hldCBNUyIgc2l6ZT0iOSI+MzYwPC9zdHlsZT48L0Rpc3BsYXlUZXh0Pjxy
ZWNvcmQ+PHJlYy1udW1iZXI+MTc2MzwvcmVjLW51bWJlcj48Zm9yZWlnbi1rZXlzPjxrZXkgYXBw
PSJFTiIgZGItaWQ9ImV4dmFzcmZ4MmR0cmFvZXNhc3hwMnN6c3hhMmRmNTAyNTkyeCIgdGltZXN0
YW1wPSIxNTgyODY3MTc4Ij4xNzYzPC9rZXk+PGtleSBhcHA9IkVOV2ViIiBkYi1pZD0iIj4wPC9r
ZXk+PC9mb3JlaWduLWtleXM+PHJlZi10eXBlIG5hbWU9IkpvdXJuYWwgQXJ0aWNsZSI+MTc8L3Jl
Zi10eXBlPjxjb250cmlidXRvcnM+PGF1dGhvcnM+PGF1dGhvcj5IdWxtYW4sIEEuPC9hdXRob3I+
PGF1dGhvcj5MdXRzaXYsIE8uPC9hdXRob3I+PGF1dGhvcj5QYXJrLCBDLiBLLjwvYXV0aG9yPjxh
dXRob3I+S3JlYnMsIEwuPC9hdXRob3I+PGF1dGhvcj5CZXllbmUsIEouPC9hdXRob3I+PGF1dGhv
cj5NY0RvbmFsZCwgUy4gRC48L2F1dGhvcj48L2F1dGhvcnM+PC9jb250cmlidXRvcnM+PGF1dGgt
YWRkcmVzcz5EZXBhcnRtZW50IG9mIE9ic3RldHJpY3MgJmFtcDsgR3luZWNvbG9neSwgTWNNYXN0
ZXIgVW5pdmVyc2l0eSwgMTI4MCBNYWluIFN0cmVldCBXZXN0LCBSb29tIDNONTIsIEhhbWlsdG9u
LCBPTiwgTDhTIDRLMSwgQ2FuYWRhLiBodWxtYW5AbWNtYXN0ZXIuY2EuJiN4RDtEZXBhcnRtZW50
IG9mIE1lZGljYWwgUGh5c2ljcyAmYW1wOyBJbmZvcm1hdGljcywgVW5pdmVyc2l0eSBvZiBTemVn
ZWQsIFN6ZWdlZCwgSHVuZ2FyeS4gaHVsbWFuQG1jbWFzdGVyLmNhLiYjeEQ7RGVwYXJ0bWVudCBv
ZiBPYnN0ZXRyaWNzICZhbXA7IEd5bmVjb2xvZ3ksIE1jTWFzdGVyIFVuaXZlcnNpdHksIDEyODAg
TWFpbiBTdHJlZXQgV2VzdCwgUm9vbSAzTjUyLCBIYW1pbHRvbiwgT04sIEw4UyA0SzEsIENhbmFk
YS4mI3hEO0RlcGFydG1lbnQgb2YgQ2xpbmljYWwgRXBpZGVtaW9sb2d5ICZhbXA7IEJpb3N0YXRp
c3RpY3MsIE1jTWFzdGVyIFVuaXZlcnNpdHksIEhhbWlsdG9uLCBPTiwgQ2FuYWRhLiYjeEQ7RGVw
YXJ0bWVudHMgb2YgT2JzdGV0cmljcyAmYW1wOyBHeW5lY29sb2d5LCBSYWRpb2xvZ3ksIENsaW5p
Y2FsIEVwaWRlbWlvbG9neSAmYW1wOyBCaW9zdGF0aXN0aWNzLCBNY01hc3RlciBVbml2ZXJzaXR5
LCBIYW1pbHRvbiwgT04sIENhbmFkYS48L2F1dGgtYWRkcmVzcz48dGl0bGVzPjx0aXRsZT5BcmUg
d29tZW4gd2hvIHF1aXQgc21va2luZyBhdCBoaWdoIHJpc2sgb2YgZXhjZXNzIHdlaWdodCBnYWlu
IHRocm91Z2hvdXQgcHJlZ25hbmN5PzwvdGl0bGU+PHNlY29uZGFyeS10aXRsZT5CTUMgUHJlZ25h
bmN5IENoaWxkYmlydGg8L3NlY29uZGFyeS10aXRsZT48L3RpdGxlcz48cGVyaW9kaWNhbD48ZnVs
bC10aXRsZT5CTUMgUHJlZ25hbmN5IENoaWxkYmlydGg8L2Z1bGwtdGl0bGU+PC9wZXJpb2RpY2Fs
PjxwYWdlcz4yNjM8L3BhZ2VzPjx2b2x1bWU+MTY8L3ZvbHVtZT48ZWRpdGlvbj4yMDE2LzA5LzA3
PC9lZGl0aW9uPjxrZXl3b3Jkcz48a2V5d29yZD5BZHVsdDwva2V5d29yZD48a2V5d29yZD5GZW1h
bGU8L2tleXdvcmQ+PGtleXdvcmQ+R2VzdGF0aW9uYWwgQWdlPC9rZXl3b3JkPjxrZXl3b3JkPkh1
bWFuczwva2V5d29yZD48a2V5d29yZD5Mb25naXR1ZGluYWwgU3R1ZGllczwva2V5d29yZD48a2V5
d29yZD5PbnRhcmlvPC9rZXl3b3JkPjxrZXl3b3JkPlByZWduYW5jeTwva2V5d29yZD48a2V5d29y
ZD5QcmVnbmFuY3kgVHJpbWVzdGVycy8qcGh5c2lvbG9neTwva2V5d29yZD48a2V5d29yZD5QcmVn
bmFuY3ksIEhpZ2gtUmlzay8qcGh5c2lvbG9neTwva2V5d29yZD48a2V5d29yZD5SaXNrIEZhY3Rv
cnM8L2tleXdvcmQ+PGtleXdvcmQ+U21va2luZy8qYWR2ZXJzZSBlZmZlY3RzPC9rZXl3b3JkPjxr
ZXl3b3JkPipTbW9raW5nIENlc3NhdGlvbjwva2V5d29yZD48a2V5d29yZD4qV2VpZ2h0IEdhaW48
L2tleXdvcmQ+PGtleXdvcmQ+WW91bmcgQWR1bHQ8L2tleXdvcmQ+PGtleXdvcmQ+Kkdlc3RhdGlv
bmFsIHdlaWdodCBnYWluPC9rZXl3b3JkPjxrZXl3b3JkPipMb25naXR1ZGluYWwgYW5hbHlzaXM8
L2tleXdvcmQ+PGtleXdvcmQ+KlBpZWNld2lzZSBtaXhlZC1lZmZlY3RzIG1vZGVsPC9rZXl3b3Jk
PjxrZXl3b3JkPipQcmVnbmFuY3k8L2tleXdvcmQ+PGtleXdvcmQ+KlNtb2tpbmc8L2tleXdvcmQ+
PC9rZXl3b3Jkcz48ZGF0ZXM+PHllYXI+MjAxNjwveWVhcj48cHViLWRhdGVzPjxkYXRlPlNlcCA2
PC9kYXRlPjwvcHViLWRhdGVzPjwvZGF0ZXM+PGlzYm4+MTQ3MS0yMzkzIChFbGVjdHJvbmljKSYj
eEQ7MTQ3MS0yMzkzIChMaW5raW5nKTwvaXNibj48YWNjZXNzaW9uLW51bT4yNzU5NTU4NDwvYWNj
ZXNzaW9uLW51bT48dXJscz48cmVsYXRlZC11cmxzPjx1cmw+aHR0cHM6Ly93d3cubmNiaS5ubG0u
bmloLmdvdi9wdWJtZWQvMjc1OTU1ODQ8L3VybD48L3JlbGF0ZWQtdXJscz48L3VybHM+PGN1c3Rv
bTI+UE1DNTAxMTkyMzwvY3VzdG9tMj48ZWxlY3Ryb25pYy1yZXNvdXJjZS1udW0+MTAuMTE4Ni9z
MTI4ODQtMDE2LTEwNTYtejwvZWxlY3Ryb25pYy1yZXNvdXJjZS1udW0+PC9yZWNvcmQ+PC9DaXRl
PjwvRW5kTm90ZT5=
</w:fldData>
              </w:fldChar>
            </w:r>
            <w:r w:rsidR="001A2F28">
              <w:instrText xml:space="preserve"> ADDIN EN.CITE </w:instrText>
            </w:r>
            <w:r w:rsidR="001A2F28">
              <w:fldChar w:fldCharType="begin">
                <w:fldData xml:space="preserve">PEVuZE5vdGU+PENpdGU+PEF1dGhvcj5IdWxtYW48L0F1dGhvcj48WWVhcj4yMDE2PC9ZZWFyPjxS
ZWNOdW0+MTc2MzwvUmVjTnVtPjxEaXNwbGF5VGV4dD48c3R5bGUgZmFjZT0ic3VwZXJzY3JpcHQi
IGZvbnQ9IlRyZWJ1Y2hldCBNUyIgc2l6ZT0iOSI+MzYwPC9zdHlsZT48L0Rpc3BsYXlUZXh0Pjxy
ZWNvcmQ+PHJlYy1udW1iZXI+MTc2MzwvcmVjLW51bWJlcj48Zm9yZWlnbi1rZXlzPjxrZXkgYXBw
PSJFTiIgZGItaWQ9ImV4dmFzcmZ4MmR0cmFvZXNhc3hwMnN6c3hhMmRmNTAyNTkyeCIgdGltZXN0
YW1wPSIxNTgyODY3MTc4Ij4xNzYzPC9rZXk+PGtleSBhcHA9IkVOV2ViIiBkYi1pZD0iIj4wPC9r
ZXk+PC9mb3JlaWduLWtleXM+PHJlZi10eXBlIG5hbWU9IkpvdXJuYWwgQXJ0aWNsZSI+MTc8L3Jl
Zi10eXBlPjxjb250cmlidXRvcnM+PGF1dGhvcnM+PGF1dGhvcj5IdWxtYW4sIEEuPC9hdXRob3I+
PGF1dGhvcj5MdXRzaXYsIE8uPC9hdXRob3I+PGF1dGhvcj5QYXJrLCBDLiBLLjwvYXV0aG9yPjxh
dXRob3I+S3JlYnMsIEwuPC9hdXRob3I+PGF1dGhvcj5CZXllbmUsIEouPC9hdXRob3I+PGF1dGhv
cj5NY0RvbmFsZCwgUy4gRC48L2F1dGhvcj48L2F1dGhvcnM+PC9jb250cmlidXRvcnM+PGF1dGgt
YWRkcmVzcz5EZXBhcnRtZW50IG9mIE9ic3RldHJpY3MgJmFtcDsgR3luZWNvbG9neSwgTWNNYXN0
ZXIgVW5pdmVyc2l0eSwgMTI4MCBNYWluIFN0cmVldCBXZXN0LCBSb29tIDNONTIsIEhhbWlsdG9u
LCBPTiwgTDhTIDRLMSwgQ2FuYWRhLiBodWxtYW5AbWNtYXN0ZXIuY2EuJiN4RDtEZXBhcnRtZW50
IG9mIE1lZGljYWwgUGh5c2ljcyAmYW1wOyBJbmZvcm1hdGljcywgVW5pdmVyc2l0eSBvZiBTemVn
ZWQsIFN6ZWdlZCwgSHVuZ2FyeS4gaHVsbWFuQG1jbWFzdGVyLmNhLiYjeEQ7RGVwYXJ0bWVudCBv
ZiBPYnN0ZXRyaWNzICZhbXA7IEd5bmVjb2xvZ3ksIE1jTWFzdGVyIFVuaXZlcnNpdHksIDEyODAg
TWFpbiBTdHJlZXQgV2VzdCwgUm9vbSAzTjUyLCBIYW1pbHRvbiwgT04sIEw4UyA0SzEsIENhbmFk
YS4mI3hEO0RlcGFydG1lbnQgb2YgQ2xpbmljYWwgRXBpZGVtaW9sb2d5ICZhbXA7IEJpb3N0YXRp
c3RpY3MsIE1jTWFzdGVyIFVuaXZlcnNpdHksIEhhbWlsdG9uLCBPTiwgQ2FuYWRhLiYjeEQ7RGVw
YXJ0bWVudHMgb2YgT2JzdGV0cmljcyAmYW1wOyBHeW5lY29sb2d5LCBSYWRpb2xvZ3ksIENsaW5p
Y2FsIEVwaWRlbWlvbG9neSAmYW1wOyBCaW9zdGF0aXN0aWNzLCBNY01hc3RlciBVbml2ZXJzaXR5
LCBIYW1pbHRvbiwgT04sIENhbmFkYS48L2F1dGgtYWRkcmVzcz48dGl0bGVzPjx0aXRsZT5BcmUg
d29tZW4gd2hvIHF1aXQgc21va2luZyBhdCBoaWdoIHJpc2sgb2YgZXhjZXNzIHdlaWdodCBnYWlu
IHRocm91Z2hvdXQgcHJlZ25hbmN5PzwvdGl0bGU+PHNlY29uZGFyeS10aXRsZT5CTUMgUHJlZ25h
bmN5IENoaWxkYmlydGg8L3NlY29uZGFyeS10aXRsZT48L3RpdGxlcz48cGVyaW9kaWNhbD48ZnVs
bC10aXRsZT5CTUMgUHJlZ25hbmN5IENoaWxkYmlydGg8L2Z1bGwtdGl0bGU+PC9wZXJpb2RpY2Fs
PjxwYWdlcz4yNjM8L3BhZ2VzPjx2b2x1bWU+MTY8L3ZvbHVtZT48ZWRpdGlvbj4yMDE2LzA5LzA3
PC9lZGl0aW9uPjxrZXl3b3Jkcz48a2V5d29yZD5BZHVsdDwva2V5d29yZD48a2V5d29yZD5GZW1h
bGU8L2tleXdvcmQ+PGtleXdvcmQ+R2VzdGF0aW9uYWwgQWdlPC9rZXl3b3JkPjxrZXl3b3JkPkh1
bWFuczwva2V5d29yZD48a2V5d29yZD5Mb25naXR1ZGluYWwgU3R1ZGllczwva2V5d29yZD48a2V5
d29yZD5PbnRhcmlvPC9rZXl3b3JkPjxrZXl3b3JkPlByZWduYW5jeTwva2V5d29yZD48a2V5d29y
ZD5QcmVnbmFuY3kgVHJpbWVzdGVycy8qcGh5c2lvbG9neTwva2V5d29yZD48a2V5d29yZD5QcmVn
bmFuY3ksIEhpZ2gtUmlzay8qcGh5c2lvbG9neTwva2V5d29yZD48a2V5d29yZD5SaXNrIEZhY3Rv
cnM8L2tleXdvcmQ+PGtleXdvcmQ+U21va2luZy8qYWR2ZXJzZSBlZmZlY3RzPC9rZXl3b3JkPjxr
ZXl3b3JkPipTbW9raW5nIENlc3NhdGlvbjwva2V5d29yZD48a2V5d29yZD4qV2VpZ2h0IEdhaW48
L2tleXdvcmQ+PGtleXdvcmQ+WW91bmcgQWR1bHQ8L2tleXdvcmQ+PGtleXdvcmQ+Kkdlc3RhdGlv
bmFsIHdlaWdodCBnYWluPC9rZXl3b3JkPjxrZXl3b3JkPipMb25naXR1ZGluYWwgYW5hbHlzaXM8
L2tleXdvcmQ+PGtleXdvcmQ+KlBpZWNld2lzZSBtaXhlZC1lZmZlY3RzIG1vZGVsPC9rZXl3b3Jk
PjxrZXl3b3JkPipQcmVnbmFuY3k8L2tleXdvcmQ+PGtleXdvcmQ+KlNtb2tpbmc8L2tleXdvcmQ+
PC9rZXl3b3Jkcz48ZGF0ZXM+PHllYXI+MjAxNjwveWVhcj48cHViLWRhdGVzPjxkYXRlPlNlcCA2
PC9kYXRlPjwvcHViLWRhdGVzPjwvZGF0ZXM+PGlzYm4+MTQ3MS0yMzkzIChFbGVjdHJvbmljKSYj
eEQ7MTQ3MS0yMzkzIChMaW5raW5nKTwvaXNibj48YWNjZXNzaW9uLW51bT4yNzU5NTU4NDwvYWNj
ZXNzaW9uLW51bT48dXJscz48cmVsYXRlZC11cmxzPjx1cmw+aHR0cHM6Ly93d3cubmNiaS5ubG0u
bmloLmdvdi9wdWJtZWQvMjc1OTU1ODQ8L3VybD48L3JlbGF0ZWQtdXJscz48L3VybHM+PGN1c3Rv
bTI+UE1DNTAxMTkyMzwvY3VzdG9tMj48ZWxlY3Ryb25pYy1yZXNvdXJjZS1udW0+MTAuMTE4Ni9z
MTI4ODQtMDE2LTEwNTYtejwvZWxlY3Ryb25pYy1yZXNvdXJjZS1udW0+PC9yZWNvcmQ+PC9DaXRl
PjwvRW5kTm90ZT5=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360</w:t>
            </w:r>
            <w:r w:rsidR="00774750">
              <w:fldChar w:fldCharType="end"/>
            </w:r>
          </w:p>
          <w:p w14:paraId="4DA9F88D" w14:textId="77777777" w:rsidR="00672124" w:rsidRDefault="00672124" w:rsidP="00F11CB4">
            <w:r>
              <w:t>Canada</w:t>
            </w:r>
          </w:p>
          <w:p w14:paraId="3DA5E9EB" w14:textId="3C3EBB73" w:rsidR="00672124" w:rsidRDefault="00672124" w:rsidP="00F11CB4">
            <w:r>
              <w:t>Cohort</w:t>
            </w:r>
          </w:p>
        </w:tc>
        <w:tc>
          <w:tcPr>
            <w:tcW w:w="1418" w:type="dxa"/>
          </w:tcPr>
          <w:p w14:paraId="210BB53D" w14:textId="054B76B2" w:rsidR="00672124" w:rsidRDefault="00672124" w:rsidP="00F11CB4">
            <w:r>
              <w:t>509</w:t>
            </w:r>
          </w:p>
        </w:tc>
        <w:tc>
          <w:tcPr>
            <w:tcW w:w="4394" w:type="dxa"/>
          </w:tcPr>
          <w:p w14:paraId="3693B88E" w14:textId="77777777" w:rsidR="00672124" w:rsidRDefault="00672124" w:rsidP="00672124">
            <w:r>
              <w:rPr>
                <w:b/>
              </w:rPr>
              <w:t xml:space="preserve">Aim: </w:t>
            </w:r>
            <w:r w:rsidRPr="00672124">
              <w:t xml:space="preserve"> to compare patterns of GWG based on serial antenatal weight measurements between women who: never smoked, quit during pregnancy, continued to smoke. </w:t>
            </w:r>
          </w:p>
          <w:p w14:paraId="5934A8F8" w14:textId="5CC946AB" w:rsidR="00672124" w:rsidRDefault="00672124" w:rsidP="00F26CA6">
            <w:pPr>
              <w:rPr>
                <w:b/>
              </w:rPr>
            </w:pPr>
            <w:r w:rsidRPr="00672124">
              <w:rPr>
                <w:b/>
              </w:rPr>
              <w:t>Methods</w:t>
            </w:r>
            <w:r w:rsidRPr="00672124">
              <w:t xml:space="preserve">: Participants (N = 509) of our longitudinal study were recruited from seven antenatal clinics in Southwestern Ontario. Serial GWG measurements were abstracted from medical charts, while information on smoking status was obtained from a self-administered questionnaire at a median gestational age of 32 (27-37) weeks. GWG patterns were assessed by fitting piecewise mixed-effects models. First trimester weight gains and weekly rates for the last two trimesters were compared by smoking status. </w:t>
            </w:r>
          </w:p>
        </w:tc>
        <w:tc>
          <w:tcPr>
            <w:tcW w:w="4536" w:type="dxa"/>
          </w:tcPr>
          <w:p w14:paraId="6C80CCE5" w14:textId="77777777" w:rsidR="00634ED5" w:rsidRDefault="00634ED5" w:rsidP="00672124">
            <w:r>
              <w:t>Weight gain in the first trimester:</w:t>
            </w:r>
          </w:p>
          <w:p w14:paraId="679FD928" w14:textId="6C45813E" w:rsidR="00634ED5" w:rsidRDefault="00634ED5" w:rsidP="00634ED5">
            <w:pPr>
              <w:pStyle w:val="bullet"/>
            </w:pPr>
            <w:r>
              <w:t>W</w:t>
            </w:r>
            <w:r w:rsidR="00672124" w:rsidRPr="00672124">
              <w:t>omen who never smoked</w:t>
            </w:r>
            <w:r>
              <w:t xml:space="preserve">: 1.7 kg (95%CI 1.4 to 2.1) </w:t>
            </w:r>
          </w:p>
          <w:p w14:paraId="08D002C0" w14:textId="142E057D" w:rsidR="00634ED5" w:rsidRDefault="00634ED5" w:rsidP="00634ED5">
            <w:pPr>
              <w:pStyle w:val="bullet"/>
            </w:pPr>
            <w:r>
              <w:t>Women</w:t>
            </w:r>
            <w:r w:rsidR="00672124" w:rsidRPr="00672124">
              <w:t xml:space="preserve"> who quit during pregnan</w:t>
            </w:r>
            <w:r w:rsidR="00672124">
              <w:t>cy</w:t>
            </w:r>
            <w:r>
              <w:t>:</w:t>
            </w:r>
            <w:r w:rsidR="00672124">
              <w:t xml:space="preserve"> 1.2 kg (95%CI 0.3 to </w:t>
            </w:r>
            <w:r w:rsidR="00672124" w:rsidRPr="00672124">
              <w:t>2.1)</w:t>
            </w:r>
          </w:p>
          <w:p w14:paraId="7E858212" w14:textId="2C75FC80" w:rsidR="00672124" w:rsidRDefault="00634ED5" w:rsidP="00634ED5">
            <w:pPr>
              <w:pStyle w:val="bullet"/>
            </w:pPr>
            <w:r>
              <w:t xml:space="preserve">Women who continued smoking: </w:t>
            </w:r>
            <w:r w:rsidR="00672124" w:rsidRPr="00672124">
              <w:t xml:space="preserve">3.5 kg, </w:t>
            </w:r>
            <w:r w:rsidR="00672124">
              <w:t xml:space="preserve">95%CI </w:t>
            </w:r>
            <w:r w:rsidR="00672124" w:rsidRPr="00672124">
              <w:t>2.4</w:t>
            </w:r>
            <w:r w:rsidR="00672124">
              <w:t xml:space="preserve"> to </w:t>
            </w:r>
            <w:r w:rsidR="00672124" w:rsidRPr="00672124">
              <w:t xml:space="preserve">4.6). </w:t>
            </w:r>
          </w:p>
          <w:p w14:paraId="3763B363" w14:textId="77777777" w:rsidR="00634ED5" w:rsidRDefault="00634ED5" w:rsidP="00634ED5">
            <w:r>
              <w:t>Women who quit smoking versus those who never smoked:</w:t>
            </w:r>
          </w:p>
          <w:p w14:paraId="54431AB1" w14:textId="725119DC" w:rsidR="007E534D" w:rsidRPr="00634ED5" w:rsidRDefault="00634ED5" w:rsidP="00634ED5">
            <w:pPr>
              <w:pStyle w:val="bullet"/>
            </w:pPr>
            <w:r>
              <w:t>W</w:t>
            </w:r>
            <w:r w:rsidR="007E534D">
              <w:t>eekly weight gain</w:t>
            </w:r>
            <w:r>
              <w:t xml:space="preserve"> in second and third trimesters</w:t>
            </w:r>
            <w:r w:rsidR="007E534D">
              <w:t xml:space="preserve">: MD </w:t>
            </w:r>
            <w:r>
              <w:t xml:space="preserve">0.09; 95%CI </w:t>
            </w:r>
            <w:r w:rsidR="007E534D" w:rsidRPr="007E534D">
              <w:t>0.03, 0.15</w:t>
            </w:r>
          </w:p>
        </w:tc>
        <w:tc>
          <w:tcPr>
            <w:tcW w:w="2410" w:type="dxa"/>
          </w:tcPr>
          <w:p w14:paraId="2D63E805" w14:textId="77777777" w:rsidR="00672124" w:rsidRDefault="00672124" w:rsidP="00F11CB4"/>
        </w:tc>
      </w:tr>
      <w:tr w:rsidR="00FA36C3" w:rsidRPr="00B60FFF" w14:paraId="267A5219" w14:textId="77777777" w:rsidTr="00FA36C3">
        <w:trPr>
          <w:cantSplit/>
        </w:trPr>
        <w:tc>
          <w:tcPr>
            <w:tcW w:w="1418" w:type="dxa"/>
          </w:tcPr>
          <w:p w14:paraId="62A8162A" w14:textId="51767569" w:rsidR="00C5028F" w:rsidRDefault="00C5028F" w:rsidP="00F11CB4">
            <w:r>
              <w:t>Mendez et al 2014</w:t>
            </w:r>
            <w:r w:rsidR="00774750">
              <w:fldChar w:fldCharType="begin">
                <w:fldData xml:space="preserve">PEVuZE5vdGU+PENpdGU+PEF1dGhvcj5NZW5kZXo8L0F1dGhvcj48WWVhcj4yMDE0PC9ZZWFyPjxS
ZWNOdW0+MTc3MDwvUmVjTnVtPjxEaXNwbGF5VGV4dD48c3R5bGUgZmFjZT0ic3VwZXJzY3JpcHQi
IGZvbnQ9IlRyZWJ1Y2hldCBNUyIgc2l6ZT0iOSI+MzUyPC9zdHlsZT48L0Rpc3BsYXlUZXh0Pjxy
ZWNvcmQ+PHJlYy1udW1iZXI+MTc3MDwvcmVjLW51bWJlcj48Zm9yZWlnbi1rZXlzPjxrZXkgYXBw
PSJFTiIgZGItaWQ9ImV4dmFzcmZ4MmR0cmFvZXNhc3hwMnN6c3hhMmRmNTAyNTkyeCIgdGltZXN0
YW1wPSIxNTgyODY3MjQwIj4xNzcwPC9rZXk+PGtleSBhcHA9IkVOV2ViIiBkYi1pZD0iIj4wPC9r
ZXk+PC9mb3JlaWduLWtleXM+PHJlZi10eXBlIG5hbWU9IkpvdXJuYWwgQXJ0aWNsZSI+MTc8L3Jl
Zi10eXBlPjxjb250cmlidXRvcnM+PGF1dGhvcnM+PGF1dGhvcj5NZW5kZXosIEQuIEQuPC9hdXRo
b3I+PGF1dGhvcj5Eb2VibGVyLCBELiBBLjwvYXV0aG9yPjxhdXRob3I+S2ltLCBLLiBILjwvYXV0
aG9yPjxhdXRob3I+QW11dGFoLCBOLiBOLjwvYXV0aG9yPjxhdXRob3I+RmFiaW8sIEEuPC9hdXRo
b3I+PGF1dGhvcj5Cb2RuYXIsIEwuIE0uPC9hdXRob3I+PC9hdXRob3JzPjwvY29udHJpYnV0b3Jz
PjxhdXRoLWFkZHJlc3M+RGVwYXJ0bWVudCBvZiBFcGlkZW1pb2xvZ3ksIFVuaXZlcnNpdHkgb2Yg
UGl0dHNidXJnaCBHcmFkdWF0ZSBTY2hvb2wgb2YgUHVibGljIEhlYWx0aCwgUGl0dHNidXJnaCwg
UEEsIDE1MjYxLCBVU0EsIGRkbTExQHBpdHQuZWR1LjwvYXV0aC1hZGRyZXNzPjx0aXRsZXM+PHRp
dGxlPk5laWdoYm9yaG9vZCBzb2Npb2Vjb25vbWljIGRpc2FkdmFudGFnZSBhbmQgZ2VzdGF0aW9u
YWwgd2VpZ2h0IGdhaW4gYW5kIGxvc3M8L3RpdGxlPjxzZWNvbmRhcnktdGl0bGU+TWF0ZXJuIENo
aWxkIEhlYWx0aCBKPC9zZWNvbmRhcnktdGl0bGU+PC90aXRsZXM+PHBlcmlvZGljYWw+PGZ1bGwt
dGl0bGU+TWF0ZXJuIENoaWxkIEhlYWx0aCBKPC9mdWxsLXRpdGxlPjwvcGVyaW9kaWNhbD48cGFn
ZXM+MTA5NS0xMDM8L3BhZ2VzPjx2b2x1bWU+MTg8L3ZvbHVtZT48bnVtYmVyPjU8L251bWJlcj48
ZWRpdGlvbj4yMDEzLzA5LzEzPC9lZGl0aW9uPjxrZXl3b3Jkcz48a2V5d29yZD5BZHVsdDwva2V5
d29yZD48a2V5d29yZD5BZnJpY2FuIEFtZXJpY2Fucy8qc3RhdGlzdGljcyAmYW1wOyBudW1lcmlj
YWwgZGF0YTwva2V5d29yZD48a2V5d29yZD5DZW5zdXNlczwva2V5d29yZD48a2V5d29yZD5FdXJv
cGVhbiBDb250aW5lbnRhbCBBbmNlc3RyeSBHcm91cC8qc3RhdGlzdGljcyAmYW1wOyBudW1lcmlj
YWwgZGF0YTwva2V5d29yZD48a2V5d29yZD5GZW1hbGU8L2tleXdvcmQ+PGtleXdvcmQ+SHVtYW5z
PC9rZXl3b3JkPjxrZXl3b3JkPlBlbm5zeWx2YW5pYS9lcGlkZW1pb2xvZ3k8L2tleXdvcmQ+PGtl
eXdvcmQ+UHJlZ25hbmN5PC9rZXl3b3JkPjxrZXl3b3JkPipSZXNpZGVuY2UgQ2hhcmFjdGVyaXN0
aWNzPC9rZXl3b3JkPjxrZXl3b3JkPlJpc2sgRmFjdG9yczwva2V5d29yZD48a2V5d29yZD5Tb2Np
b2Vjb25vbWljIEZhY3RvcnM8L2tleXdvcmQ+PGtleXdvcmQ+V2VpZ2h0IEdhaW4vKmV0aG5vbG9n
eTwva2V5d29yZD48a2V5d29yZD5XZWlnaHQgTG9zcy8qZXRobm9sb2d5PC9rZXl3b3JkPjwva2V5
d29yZHM+PGRhdGVzPjx5ZWFyPjIwMTQ8L3llYXI+PHB1Yi1kYXRlcz48ZGF0ZT5KdWw8L2RhdGU+
PC9wdWItZGF0ZXM+PC9kYXRlcz48aXNibj4xNTczLTY2MjggKEVsZWN0cm9uaWMpJiN4RDsxMDky
LTc4NzUgKExpbmtpbmcpPC9pc2JuPjxhY2Nlc3Npb24tbnVtPjI0MDI2Mzk3PC9hY2Nlc3Npb24t
bnVtPjx1cmxzPjxyZWxhdGVkLXVybHM+PHVybD5odHRwczovL3d3dy5uY2JpLm5sbS5uaWguZ292
L3B1Ym1lZC8yNDAyNjM5NzwvdXJsPjwvcmVsYXRlZC11cmxzPjwvdXJscz48Y3VzdG9tMj5QTUMz
OTU0NDY4PC9jdXN0b20yPjxlbGVjdHJvbmljLXJlc291cmNlLW51bT4xMC4xMDA3L3MxMDk5NS0w
MTMtMTMzOS0xPC9lbGVjdHJvbmljLXJlc291cmNlLW51bT48L3JlY29yZD48L0NpdGU+PC9FbmRO
b3RlPn==
</w:fldData>
              </w:fldChar>
            </w:r>
            <w:r w:rsidR="001A2F28">
              <w:instrText xml:space="preserve"> ADDIN EN.CITE </w:instrText>
            </w:r>
            <w:r w:rsidR="001A2F28">
              <w:fldChar w:fldCharType="begin">
                <w:fldData xml:space="preserve">PEVuZE5vdGU+PENpdGU+PEF1dGhvcj5NZW5kZXo8L0F1dGhvcj48WWVhcj4yMDE0PC9ZZWFyPjxS
ZWNOdW0+MTc3MDwvUmVjTnVtPjxEaXNwbGF5VGV4dD48c3R5bGUgZmFjZT0ic3VwZXJzY3JpcHQi
IGZvbnQ9IlRyZWJ1Y2hldCBNUyIgc2l6ZT0iOSI+MzUyPC9zdHlsZT48L0Rpc3BsYXlUZXh0Pjxy
ZWNvcmQ+PHJlYy1udW1iZXI+MTc3MDwvcmVjLW51bWJlcj48Zm9yZWlnbi1rZXlzPjxrZXkgYXBw
PSJFTiIgZGItaWQ9ImV4dmFzcmZ4MmR0cmFvZXNhc3hwMnN6c3hhMmRmNTAyNTkyeCIgdGltZXN0
YW1wPSIxNTgyODY3MjQwIj4xNzcwPC9rZXk+PGtleSBhcHA9IkVOV2ViIiBkYi1pZD0iIj4wPC9r
ZXk+PC9mb3JlaWduLWtleXM+PHJlZi10eXBlIG5hbWU9IkpvdXJuYWwgQXJ0aWNsZSI+MTc8L3Jl
Zi10eXBlPjxjb250cmlidXRvcnM+PGF1dGhvcnM+PGF1dGhvcj5NZW5kZXosIEQuIEQuPC9hdXRo
b3I+PGF1dGhvcj5Eb2VibGVyLCBELiBBLjwvYXV0aG9yPjxhdXRob3I+S2ltLCBLLiBILjwvYXV0
aG9yPjxhdXRob3I+QW11dGFoLCBOLiBOLjwvYXV0aG9yPjxhdXRob3I+RmFiaW8sIEEuPC9hdXRo
b3I+PGF1dGhvcj5Cb2RuYXIsIEwuIE0uPC9hdXRob3I+PC9hdXRob3JzPjwvY29udHJpYnV0b3Jz
PjxhdXRoLWFkZHJlc3M+RGVwYXJ0bWVudCBvZiBFcGlkZW1pb2xvZ3ksIFVuaXZlcnNpdHkgb2Yg
UGl0dHNidXJnaCBHcmFkdWF0ZSBTY2hvb2wgb2YgUHVibGljIEhlYWx0aCwgUGl0dHNidXJnaCwg
UEEsIDE1MjYxLCBVU0EsIGRkbTExQHBpdHQuZWR1LjwvYXV0aC1hZGRyZXNzPjx0aXRsZXM+PHRp
dGxlPk5laWdoYm9yaG9vZCBzb2Npb2Vjb25vbWljIGRpc2FkdmFudGFnZSBhbmQgZ2VzdGF0aW9u
YWwgd2VpZ2h0IGdhaW4gYW5kIGxvc3M8L3RpdGxlPjxzZWNvbmRhcnktdGl0bGU+TWF0ZXJuIENo
aWxkIEhlYWx0aCBKPC9zZWNvbmRhcnktdGl0bGU+PC90aXRsZXM+PHBlcmlvZGljYWw+PGZ1bGwt
dGl0bGU+TWF0ZXJuIENoaWxkIEhlYWx0aCBKPC9mdWxsLXRpdGxlPjwvcGVyaW9kaWNhbD48cGFn
ZXM+MTA5NS0xMDM8L3BhZ2VzPjx2b2x1bWU+MTg8L3ZvbHVtZT48bnVtYmVyPjU8L251bWJlcj48
ZWRpdGlvbj4yMDEzLzA5LzEzPC9lZGl0aW9uPjxrZXl3b3Jkcz48a2V5d29yZD5BZHVsdDwva2V5
d29yZD48a2V5d29yZD5BZnJpY2FuIEFtZXJpY2Fucy8qc3RhdGlzdGljcyAmYW1wOyBudW1lcmlj
YWwgZGF0YTwva2V5d29yZD48a2V5d29yZD5DZW5zdXNlczwva2V5d29yZD48a2V5d29yZD5FdXJv
cGVhbiBDb250aW5lbnRhbCBBbmNlc3RyeSBHcm91cC8qc3RhdGlzdGljcyAmYW1wOyBudW1lcmlj
YWwgZGF0YTwva2V5d29yZD48a2V5d29yZD5GZW1hbGU8L2tleXdvcmQ+PGtleXdvcmQ+SHVtYW5z
PC9rZXl3b3JkPjxrZXl3b3JkPlBlbm5zeWx2YW5pYS9lcGlkZW1pb2xvZ3k8L2tleXdvcmQ+PGtl
eXdvcmQ+UHJlZ25hbmN5PC9rZXl3b3JkPjxrZXl3b3JkPipSZXNpZGVuY2UgQ2hhcmFjdGVyaXN0
aWNzPC9rZXl3b3JkPjxrZXl3b3JkPlJpc2sgRmFjdG9yczwva2V5d29yZD48a2V5d29yZD5Tb2Np
b2Vjb25vbWljIEZhY3RvcnM8L2tleXdvcmQ+PGtleXdvcmQ+V2VpZ2h0IEdhaW4vKmV0aG5vbG9n
eTwva2V5d29yZD48a2V5d29yZD5XZWlnaHQgTG9zcy8qZXRobm9sb2d5PC9rZXl3b3JkPjwva2V5
d29yZHM+PGRhdGVzPjx5ZWFyPjIwMTQ8L3llYXI+PHB1Yi1kYXRlcz48ZGF0ZT5KdWw8L2RhdGU+
PC9wdWItZGF0ZXM+PC9kYXRlcz48aXNibj4xNTczLTY2MjggKEVsZWN0cm9uaWMpJiN4RDsxMDky
LTc4NzUgKExpbmtpbmcpPC9pc2JuPjxhY2Nlc3Npb24tbnVtPjI0MDI2Mzk3PC9hY2Nlc3Npb24t
bnVtPjx1cmxzPjxyZWxhdGVkLXVybHM+PHVybD5odHRwczovL3d3dy5uY2JpLm5sbS5uaWguZ292
L3B1Ym1lZC8yNDAyNjM5NzwvdXJsPjwvcmVsYXRlZC11cmxzPjwvdXJscz48Y3VzdG9tMj5QTUMz
OTU0NDY4PC9jdXN0b20yPjxlbGVjdHJvbmljLXJlc291cmNlLW51bT4xMC4xMDA3L3MxMDk5NS0w
MTMtMTMzOS0xPC9lbGVjdHJvbmljLXJlc291cmNlLW51bT48L3JlY29yZD48L0NpdGU+PC9FbmRO
b3RlPn==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352</w:t>
            </w:r>
            <w:r w:rsidR="00774750">
              <w:fldChar w:fldCharType="end"/>
            </w:r>
          </w:p>
          <w:p w14:paraId="21B374C0" w14:textId="7C92AC5C" w:rsidR="00C5028F" w:rsidRDefault="00C5028F" w:rsidP="00F11CB4">
            <w:r>
              <w:t>United States</w:t>
            </w:r>
          </w:p>
          <w:p w14:paraId="1F693A4B" w14:textId="47083A5A" w:rsidR="00C5028F" w:rsidRDefault="00C5028F" w:rsidP="00F11CB4">
            <w:r>
              <w:t>Cohort</w:t>
            </w:r>
          </w:p>
        </w:tc>
        <w:tc>
          <w:tcPr>
            <w:tcW w:w="1418" w:type="dxa"/>
          </w:tcPr>
          <w:p w14:paraId="22EE0AAB" w14:textId="42977249" w:rsidR="00C5028F" w:rsidRDefault="00C5028F" w:rsidP="00F11CB4">
            <w:r>
              <w:t>55,608</w:t>
            </w:r>
          </w:p>
        </w:tc>
        <w:tc>
          <w:tcPr>
            <w:tcW w:w="4394" w:type="dxa"/>
          </w:tcPr>
          <w:p w14:paraId="6F90BE61" w14:textId="77777777" w:rsidR="00C5028F" w:rsidRDefault="00C5028F" w:rsidP="004E11A7">
            <w:r w:rsidRPr="00C5028F">
              <w:rPr>
                <w:b/>
              </w:rPr>
              <w:t>Aim</w:t>
            </w:r>
            <w:r>
              <w:t>: To explore</w:t>
            </w:r>
            <w:r w:rsidRPr="00C5028F">
              <w:t xml:space="preserve"> the relationship between neighbo</w:t>
            </w:r>
            <w:r>
              <w:t>u</w:t>
            </w:r>
            <w:r w:rsidRPr="00C5028F">
              <w:t xml:space="preserve">rhood socioeconomic disadvantage (NSED) and gestational weight gain and loss and if the association differed by race. </w:t>
            </w:r>
          </w:p>
          <w:p w14:paraId="211C0E2D" w14:textId="21EB319F" w:rsidR="00C5028F" w:rsidRPr="004E11A7" w:rsidRDefault="00C5028F" w:rsidP="00C5028F">
            <w:pPr>
              <w:rPr>
                <w:b/>
              </w:rPr>
            </w:pPr>
            <w:r w:rsidRPr="00C5028F">
              <w:rPr>
                <w:b/>
              </w:rPr>
              <w:t>Methods</w:t>
            </w:r>
            <w:r>
              <w:t xml:space="preserve">: </w:t>
            </w:r>
            <w:r w:rsidRPr="00C5028F">
              <w:t>A census tract level NSED index (categorized as low, mid-low, mid-high, and high) was generated from 12 measures from the 2000 US Census data. Gestational weight gain and other individual-level characteristics were derived from vital birth records. Crude and adjusted relative risks were estimated using modified multilevel Poisson regression models to estimate the association between NSED and excessive and inadequate gestational weight gain (GWG) and weight loss (versus adequate GWG).</w:t>
            </w:r>
          </w:p>
        </w:tc>
        <w:tc>
          <w:tcPr>
            <w:tcW w:w="4536" w:type="dxa"/>
          </w:tcPr>
          <w:p w14:paraId="4C5895D6" w14:textId="08F8EC2B" w:rsidR="00C5028F" w:rsidRPr="00C5028F" w:rsidRDefault="00C5028F" w:rsidP="00C5028F">
            <w:r>
              <w:t>African American</w:t>
            </w:r>
            <w:r w:rsidRPr="00C5028F">
              <w:t xml:space="preserve"> women were more likely than </w:t>
            </w:r>
            <w:r w:rsidR="005056D2">
              <w:t>Caucasian</w:t>
            </w:r>
            <w:r w:rsidRPr="00C5028F">
              <w:t xml:space="preserve"> women to have inadequate weight gain or weight loss.</w:t>
            </w:r>
            <w:r>
              <w:t xml:space="preserve"> Mid-high (aRR 1.3, 95%CI 1.2 to 1.3) and high (aRR 1.5, 95%CI 1.5 to</w:t>
            </w:r>
            <w:r w:rsidRPr="00C5028F">
              <w:t xml:space="preserve"> 1.6) NSED compared to low NSED was associated with inadequate weight gain while NSED was not associated with excessive weight gain. Among </w:t>
            </w:r>
            <w:r>
              <w:t>African American</w:t>
            </w:r>
            <w:r w:rsidRPr="00C5028F">
              <w:t xml:space="preserve"> women, high versus low NSED was associated with we</w:t>
            </w:r>
            <w:r>
              <w:t>ight loss during pregnancy (RR 1.6, 95%CI 1.1 to</w:t>
            </w:r>
            <w:r w:rsidRPr="00C5028F">
              <w:t xml:space="preserve"> 2.5). Among </w:t>
            </w:r>
            <w:r w:rsidR="005056D2">
              <w:t>Caucasian</w:t>
            </w:r>
            <w:r w:rsidRPr="00C5028F">
              <w:t xml:space="preserve"> women, each level of NSED compared to low NSED was associated with weight loss during pregnancy. </w:t>
            </w:r>
          </w:p>
        </w:tc>
        <w:tc>
          <w:tcPr>
            <w:tcW w:w="2410" w:type="dxa"/>
          </w:tcPr>
          <w:p w14:paraId="7D790323" w14:textId="77777777" w:rsidR="00C5028F" w:rsidRDefault="00C5028F" w:rsidP="00F11CB4"/>
        </w:tc>
      </w:tr>
      <w:tr w:rsidR="00FA36C3" w:rsidRPr="00B60FFF" w14:paraId="686044C9" w14:textId="77777777" w:rsidTr="00FA36C3">
        <w:trPr>
          <w:cantSplit/>
        </w:trPr>
        <w:tc>
          <w:tcPr>
            <w:tcW w:w="1418" w:type="dxa"/>
          </w:tcPr>
          <w:p w14:paraId="295895AC" w14:textId="197CDE64" w:rsidR="00C5028F" w:rsidRDefault="00C5028F" w:rsidP="00F11CB4">
            <w:r>
              <w:t>Mendez et al 2016</w:t>
            </w:r>
            <w:r w:rsidR="00774750">
              <w:fldChar w:fldCharType="begin">
                <w:fldData xml:space="preserve">PEVuZE5vdGU+PENpdGU+PEF1dGhvcj5NZW5kZXo8L0F1dGhvcj48WWVhcj4yMDE2PC9ZZWFyPjxS
ZWNOdW0+MTc3MTwvUmVjTnVtPjxEaXNwbGF5VGV4dD48c3R5bGUgZmFjZT0ic3VwZXJzY3JpcHQi
IGZvbnQ9IlRyZWJ1Y2hldCBNUyIgc2l6ZT0iOSI+MzUzPC9zdHlsZT48L0Rpc3BsYXlUZXh0Pjxy
ZWNvcmQ+PHJlYy1udW1iZXI+MTc3MTwvcmVjLW51bWJlcj48Zm9yZWlnbi1rZXlzPjxrZXkgYXBw
PSJFTiIgZGItaWQ9ImV4dmFzcmZ4MmR0cmFvZXNhc3hwMnN6c3hhMmRmNTAyNTkyeCIgdGltZXN0
YW1wPSIxNTgyODY3MjYzIj4xNzcxPC9rZXk+PGtleSBhcHA9IkVOV2ViIiBkYi1pZD0iIj4wPC9r
ZXk+PC9mb3JlaWduLWtleXM+PHJlZi10eXBlIG5hbWU9IkpvdXJuYWwgQXJ0aWNsZSI+MTc8L3Jl
Zi10eXBlPjxjb250cmlidXRvcnM+PGF1dGhvcnM+PGF1dGhvcj5NZW5kZXosIEQuIEQuPC9hdXRo
b3I+PGF1dGhvcj5UaG9ycGUsIFIuIEouPC9hdXRob3I+PGF1dGhvcj5BbXV0YWgsIE4uPC9hdXRo
b3I+PGF1dGhvcj5EYXZpcywgRS4gTS48L2F1dGhvcj48YXV0aG9yPldhbGtlciwgUi4gRS48L2F1
dGhvcj48YXV0aG9yPkNoYXBwbGUtTWNHcnVkZXIsIFQuPC9hdXRob3I+PGF1dGhvcj5Cb2RuYXIs
IEwuPC9hdXRob3I+PC9hdXRob3JzPjwvY29udHJpYnV0b3JzPjxhdXRoLWFkZHJlc3M+VW5pdmVy
c2l0eSBvZiBQaXR0c2J1cmdoLCBHcmFkdWF0ZSBTY2hvb2wgb2YgUHVibGljIEhlYWx0aCwgRGVw
YXJ0bWVudCBvZiBFcGlkZW1pb2xvZ3ksIDEzMCBEZVNvdG8gU3RyZWV0LCBQaXR0c2J1cmdoLCBQ
QSAxNTI2MSwgVVNBLiYjeEQ7Sm9obnMgSG9wa2lucyBVbml2ZXJzaXR5IEJsb29tYmVyZyBTY2hv
b2wgb2YgUHVibGljIEhlYWx0aCBEZXBhcnRtZW50IG9mIEhlYWx0aCwgQmVoYXZpb3IsIGFuZCBT
b2NpZXR5LCA2MjQgTi4gQnJvYWR3YXksIFN1aXRlIDcwOCwgQmFsdGltb3JlLCBNRCAyMTIwNSwg
VVNBLiYjeEQ7TW9udGNsYWlyIFN0YXRlIFVuaXZlcnNpdHksIERlcGFydG1lbnQgb2YgSGVhbHRo
IGFuZCBOdXRyaXRpb24gU2NpZW5jZXMsIDEgTm9ybWFsIEF2ZW51ZSBVTi00MTkyIFVwcGVyLCBN
b250Y2xhaXIsIE5KIDA3MDQyLCBVU0EuJiN4RDtVbml2ZXJzaXR5IG9mIFBpdHRzYnVyZ2gsIE1l
ZGljYWwgQ2VudGVyIENlbnRlciBmb3IgUmVzZWFyY2ggb24gSGVhbHRoY2FyZSwgMjMwIE1jS2Vl
IFBsLCBTdWl0ZSA2MDAsIFBpdHRzYnVyZ2gsIFBBIDE1MjEzLCBVU0EuJiN4RDtVbml2ZXJzaXR5
IG9mIFdpc2NvbnNpbi1NaWx3YXVrZWUsIEpvc2VwaCBKLiBaaWxiZXIgU2Nob29sIG9mIFB1Ymxp
YyBIZWFsdGgsIEJ1aWxkaW5nIDQxNSwgTWlsd2F1a2VlLCBXSSA1MzIwMSwgVVNBLiYjeEQ7RXNz
ZW5jZSBvZiBQdWJsaWMgSGVhbHRoLCAxMzAwIENhc2NhZGUgRmFsbHMgRHJpdmUsIEF0bGFudGEs
IEdBIDMwMzExLCBVU0EuJiN4RDtVbml2ZXJzaXR5IG9mIFBpdHRzYnVyZ2gsIFNjaG9vbCBvZiBN
ZWRpY2luZSBEZXBhcnRtZW50IG9mIE9ic3RldHJpY3MsIEd5bmVjb2xvZ3ksIGFuZCBSZXByb2R1
Y3RpdmUgU2NpZW5jZXMsIFVTQS48L2F1dGgtYWRkcmVzcz48dGl0bGVzPjx0aXRsZT5OZWlnaGJv
cmhvb2QgcmFjaWFsIGNvbXBvc2l0aW9uIGFuZCBwb3ZlcnR5IGluIGFzc29jaWF0aW9uIHdpdGgg
cHJlLXByZWduYW5jeSB3ZWlnaHQgYW5kIGdlc3RhdGlvbmFsIHdlaWdodCBnYWluPC90aXRsZT48
c2Vjb25kYXJ5LXRpdGxlPlNTTSBQb3B1bCBIZWFsdGg8L3NlY29uZGFyeS10aXRsZT48L3RpdGxl
cz48cGVyaW9kaWNhbD48ZnVsbC10aXRsZT5TU00gUG9wdWwgSGVhbHRoPC9mdWxsLXRpdGxlPjwv
cGVyaW9kaWNhbD48cGFnZXM+NjkyLTY5OTwvcGFnZXM+PHZvbHVtZT4yPC92b2x1bWU+PGVkaXRp
b24+MjAxNi8wOS8yOTwvZWRpdGlvbj48a2V5d29yZHM+PGtleXdvcmQ+TmVpZ2hib3Job29kPC9r
ZXl3b3JkPjxrZXl3b3JkPlBvdmVydHk8L2tleXdvcmQ+PGtleXdvcmQ+UHJlZ25hbmN5PC9rZXl3
b3JkPjxrZXl3b3JkPlJhY2U8L2tleXdvcmQ+PGtleXdvcmQ+V2VpZ2h0PC9rZXl3b3JkPjwva2V5
d29yZHM+PGRhdGVzPjx5ZWFyPjIwMTY8L3llYXI+PHB1Yi1kYXRlcz48ZGF0ZT5EZWM8L2RhdGU+
PC9wdWItZGF0ZXM+PC9kYXRlcz48aXNibj4yMzUyLTgyNzMgKFByaW50KSYjeEQ7MjM1Mi04Mjcz
IChMaW5raW5nKTwvaXNibj48YWNjZXNzaW9uLW51bT4yOTM0OTE4MDwvYWNjZXNzaW9uLW51bT48
dXJscz48cmVsYXRlZC11cmxzPjx1cmw+aHR0cHM6Ly93d3cubmNiaS5ubG0ubmloLmdvdi9wdWJt
ZWQvMjkzNDkxODA8L3VybD48L3JlbGF0ZWQtdXJscz48L3VybHM+PGN1c3RvbTI+UE1DNTc1Nzk1
NDwvY3VzdG9tMj48ZWxlY3Ryb25pYy1yZXNvdXJjZS1udW0+MTAuMTAxNi9qLnNzbXBoLjIwMTYu
MDkuMDA4PC9lbGVjdHJvbmljLXJlc291cmNlLW51bT48L3JlY29yZD48L0NpdGU+PC9FbmROb3Rl
Pn==
</w:fldData>
              </w:fldChar>
            </w:r>
            <w:r w:rsidR="001A2F28">
              <w:instrText xml:space="preserve"> ADDIN EN.CITE </w:instrText>
            </w:r>
            <w:r w:rsidR="001A2F28">
              <w:fldChar w:fldCharType="begin">
                <w:fldData xml:space="preserve">PEVuZE5vdGU+PENpdGU+PEF1dGhvcj5NZW5kZXo8L0F1dGhvcj48WWVhcj4yMDE2PC9ZZWFyPjxS
ZWNOdW0+MTc3MTwvUmVjTnVtPjxEaXNwbGF5VGV4dD48c3R5bGUgZmFjZT0ic3VwZXJzY3JpcHQi
IGZvbnQ9IlRyZWJ1Y2hldCBNUyIgc2l6ZT0iOSI+MzUzPC9zdHlsZT48L0Rpc3BsYXlUZXh0Pjxy
ZWNvcmQ+PHJlYy1udW1iZXI+MTc3MTwvcmVjLW51bWJlcj48Zm9yZWlnbi1rZXlzPjxrZXkgYXBw
PSJFTiIgZGItaWQ9ImV4dmFzcmZ4MmR0cmFvZXNhc3hwMnN6c3hhMmRmNTAyNTkyeCIgdGltZXN0
YW1wPSIxNTgyODY3MjYzIj4xNzcxPC9rZXk+PGtleSBhcHA9IkVOV2ViIiBkYi1pZD0iIj4wPC9r
ZXk+PC9mb3JlaWduLWtleXM+PHJlZi10eXBlIG5hbWU9IkpvdXJuYWwgQXJ0aWNsZSI+MTc8L3Jl
Zi10eXBlPjxjb250cmlidXRvcnM+PGF1dGhvcnM+PGF1dGhvcj5NZW5kZXosIEQuIEQuPC9hdXRo
b3I+PGF1dGhvcj5UaG9ycGUsIFIuIEouPC9hdXRob3I+PGF1dGhvcj5BbXV0YWgsIE4uPC9hdXRo
b3I+PGF1dGhvcj5EYXZpcywgRS4gTS48L2F1dGhvcj48YXV0aG9yPldhbGtlciwgUi4gRS48L2F1
dGhvcj48YXV0aG9yPkNoYXBwbGUtTWNHcnVkZXIsIFQuPC9hdXRob3I+PGF1dGhvcj5Cb2RuYXIs
IEwuPC9hdXRob3I+PC9hdXRob3JzPjwvY29udHJpYnV0b3JzPjxhdXRoLWFkZHJlc3M+VW5pdmVy
c2l0eSBvZiBQaXR0c2J1cmdoLCBHcmFkdWF0ZSBTY2hvb2wgb2YgUHVibGljIEhlYWx0aCwgRGVw
YXJ0bWVudCBvZiBFcGlkZW1pb2xvZ3ksIDEzMCBEZVNvdG8gU3RyZWV0LCBQaXR0c2J1cmdoLCBQ
QSAxNTI2MSwgVVNBLiYjeEQ7Sm9obnMgSG9wa2lucyBVbml2ZXJzaXR5IEJsb29tYmVyZyBTY2hv
b2wgb2YgUHVibGljIEhlYWx0aCBEZXBhcnRtZW50IG9mIEhlYWx0aCwgQmVoYXZpb3IsIGFuZCBT
b2NpZXR5LCA2MjQgTi4gQnJvYWR3YXksIFN1aXRlIDcwOCwgQmFsdGltb3JlLCBNRCAyMTIwNSwg
VVNBLiYjeEQ7TW9udGNsYWlyIFN0YXRlIFVuaXZlcnNpdHksIERlcGFydG1lbnQgb2YgSGVhbHRo
IGFuZCBOdXRyaXRpb24gU2NpZW5jZXMsIDEgTm9ybWFsIEF2ZW51ZSBVTi00MTkyIFVwcGVyLCBN
b250Y2xhaXIsIE5KIDA3MDQyLCBVU0EuJiN4RDtVbml2ZXJzaXR5IG9mIFBpdHRzYnVyZ2gsIE1l
ZGljYWwgQ2VudGVyIENlbnRlciBmb3IgUmVzZWFyY2ggb24gSGVhbHRoY2FyZSwgMjMwIE1jS2Vl
IFBsLCBTdWl0ZSA2MDAsIFBpdHRzYnVyZ2gsIFBBIDE1MjEzLCBVU0EuJiN4RDtVbml2ZXJzaXR5
IG9mIFdpc2NvbnNpbi1NaWx3YXVrZWUsIEpvc2VwaCBKLiBaaWxiZXIgU2Nob29sIG9mIFB1Ymxp
YyBIZWFsdGgsIEJ1aWxkaW5nIDQxNSwgTWlsd2F1a2VlLCBXSSA1MzIwMSwgVVNBLiYjeEQ7RXNz
ZW5jZSBvZiBQdWJsaWMgSGVhbHRoLCAxMzAwIENhc2NhZGUgRmFsbHMgRHJpdmUsIEF0bGFudGEs
IEdBIDMwMzExLCBVU0EuJiN4RDtVbml2ZXJzaXR5IG9mIFBpdHRzYnVyZ2gsIFNjaG9vbCBvZiBN
ZWRpY2luZSBEZXBhcnRtZW50IG9mIE9ic3RldHJpY3MsIEd5bmVjb2xvZ3ksIGFuZCBSZXByb2R1
Y3RpdmUgU2NpZW5jZXMsIFVTQS48L2F1dGgtYWRkcmVzcz48dGl0bGVzPjx0aXRsZT5OZWlnaGJv
cmhvb2QgcmFjaWFsIGNvbXBvc2l0aW9uIGFuZCBwb3ZlcnR5IGluIGFzc29jaWF0aW9uIHdpdGgg
cHJlLXByZWduYW5jeSB3ZWlnaHQgYW5kIGdlc3RhdGlvbmFsIHdlaWdodCBnYWluPC90aXRsZT48
c2Vjb25kYXJ5LXRpdGxlPlNTTSBQb3B1bCBIZWFsdGg8L3NlY29uZGFyeS10aXRsZT48L3RpdGxl
cz48cGVyaW9kaWNhbD48ZnVsbC10aXRsZT5TU00gUG9wdWwgSGVhbHRoPC9mdWxsLXRpdGxlPjwv
cGVyaW9kaWNhbD48cGFnZXM+NjkyLTY5OTwvcGFnZXM+PHZvbHVtZT4yPC92b2x1bWU+PGVkaXRp
b24+MjAxNi8wOS8yOTwvZWRpdGlvbj48a2V5d29yZHM+PGtleXdvcmQ+TmVpZ2hib3Job29kPC9r
ZXl3b3JkPjxrZXl3b3JkPlBvdmVydHk8L2tleXdvcmQ+PGtleXdvcmQ+UHJlZ25hbmN5PC9rZXl3
b3JkPjxrZXl3b3JkPlJhY2U8L2tleXdvcmQ+PGtleXdvcmQ+V2VpZ2h0PC9rZXl3b3JkPjwva2V5
d29yZHM+PGRhdGVzPjx5ZWFyPjIwMTY8L3llYXI+PHB1Yi1kYXRlcz48ZGF0ZT5EZWM8L2RhdGU+
PC9wdWItZGF0ZXM+PC9kYXRlcz48aXNibj4yMzUyLTgyNzMgKFByaW50KSYjeEQ7MjM1Mi04Mjcz
IChMaW5raW5nKTwvaXNibj48YWNjZXNzaW9uLW51bT4yOTM0OTE4MDwvYWNjZXNzaW9uLW51bT48
dXJscz48cmVsYXRlZC11cmxzPjx1cmw+aHR0cHM6Ly93d3cubmNiaS5ubG0ubmloLmdvdi9wdWJt
ZWQvMjkzNDkxODA8L3VybD48L3JlbGF0ZWQtdXJscz48L3VybHM+PGN1c3RvbTI+UE1DNTc1Nzk1
NDwvY3VzdG9tMj48ZWxlY3Ryb25pYy1yZXNvdXJjZS1udW0+MTAuMTAxNi9qLnNzbXBoLjIwMTYu
MDkuMDA4PC9lbGVjdHJvbmljLXJlc291cmNlLW51bT48L3JlY29yZD48L0NpdGU+PC9FbmROb3Rl
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353</w:t>
            </w:r>
            <w:r w:rsidR="00774750">
              <w:fldChar w:fldCharType="end"/>
            </w:r>
          </w:p>
          <w:p w14:paraId="50904680" w14:textId="77777777" w:rsidR="00C5028F" w:rsidRDefault="00C5028F" w:rsidP="00F11CB4">
            <w:r>
              <w:t>United States</w:t>
            </w:r>
          </w:p>
          <w:p w14:paraId="68F5BCCD" w14:textId="49ED7417" w:rsidR="00C5028F" w:rsidRDefault="00C5028F" w:rsidP="00F11CB4">
            <w:r>
              <w:t>Cohort</w:t>
            </w:r>
          </w:p>
        </w:tc>
        <w:tc>
          <w:tcPr>
            <w:tcW w:w="1418" w:type="dxa"/>
          </w:tcPr>
          <w:p w14:paraId="3658FEC2" w14:textId="510F3C7C" w:rsidR="00C5028F" w:rsidRDefault="00C5028F" w:rsidP="00F11CB4">
            <w:r>
              <w:t>73,061</w:t>
            </w:r>
          </w:p>
        </w:tc>
        <w:tc>
          <w:tcPr>
            <w:tcW w:w="4394" w:type="dxa"/>
          </w:tcPr>
          <w:p w14:paraId="7B061DE8" w14:textId="77777777" w:rsidR="00C5028F" w:rsidRDefault="00C5028F" w:rsidP="004E11A7">
            <w:r w:rsidRPr="00C5028F">
              <w:rPr>
                <w:b/>
              </w:rPr>
              <w:t>Aim</w:t>
            </w:r>
            <w:r>
              <w:t>: To examine</w:t>
            </w:r>
            <w:r w:rsidRPr="00C5028F">
              <w:t xml:space="preserve"> whether neighbo</w:t>
            </w:r>
            <w:r>
              <w:t>u</w:t>
            </w:r>
            <w:r w:rsidRPr="00C5028F">
              <w:t>rhood racial composition and neighbo</w:t>
            </w:r>
            <w:r>
              <w:t>u</w:t>
            </w:r>
            <w:r w:rsidRPr="00C5028F">
              <w:t xml:space="preserve">rhood poverty was associated with weight before pregnancy and weight gain during pregnancy and if this association differed by race. </w:t>
            </w:r>
          </w:p>
          <w:p w14:paraId="0F321CBD" w14:textId="2C7E4149" w:rsidR="00C5028F" w:rsidRPr="00C5028F" w:rsidRDefault="00C5028F" w:rsidP="00C5028F">
            <w:pPr>
              <w:rPr>
                <w:b/>
              </w:rPr>
            </w:pPr>
            <w:r w:rsidRPr="00C5028F">
              <w:rPr>
                <w:b/>
              </w:rPr>
              <w:t>Methods</w:t>
            </w:r>
            <w:r w:rsidRPr="00C5028F">
              <w:t xml:space="preserve">: We used vital birth records of singleton births of 73,061 </w:t>
            </w:r>
            <w:r>
              <w:t>African American</w:t>
            </w:r>
            <w:r w:rsidRPr="00C5028F">
              <w:t xml:space="preserve"> and </w:t>
            </w:r>
            <w:r w:rsidR="005056D2">
              <w:t>Caucasian</w:t>
            </w:r>
            <w:r w:rsidRPr="00C5028F">
              <w:t xml:space="preserve"> women. Maternal race and ethnicity, pre-pregnancy body-mass-index (BMI), gestational weight gain and other individual-level characteristics were derived from vital birth record data, and measures of neighbo</w:t>
            </w:r>
            <w:r>
              <w:t>u</w:t>
            </w:r>
            <w:r w:rsidRPr="00C5028F">
              <w:t>rhood racial composition (percentage of black residents in the neighbo</w:t>
            </w:r>
            <w:r>
              <w:t>u</w:t>
            </w:r>
            <w:r w:rsidRPr="00C5028F">
              <w:t>rhood) and poverty (percentage of households in the neighbo</w:t>
            </w:r>
            <w:r>
              <w:t>u</w:t>
            </w:r>
            <w:r w:rsidRPr="00C5028F">
              <w:t>rhood below the federal poverty) were derived using US Census data. Multilevel log binomial regression models were performed to estimate neighbo</w:t>
            </w:r>
            <w:r>
              <w:t>u</w:t>
            </w:r>
            <w:r w:rsidRPr="00C5028F">
              <w:t xml:space="preserve">rhood racial composition and poverty in association </w:t>
            </w:r>
            <w:r>
              <w:t>with pre-pregnancy weight (ie</w:t>
            </w:r>
            <w:r w:rsidRPr="00C5028F">
              <w:t xml:space="preserve"> overweight/obese)</w:t>
            </w:r>
            <w:r>
              <w:t xml:space="preserve"> and gestational weight gain (ie</w:t>
            </w:r>
            <w:r w:rsidRPr="00C5028F">
              <w:t xml:space="preserve"> inadequate and excessive). </w:t>
            </w:r>
          </w:p>
        </w:tc>
        <w:tc>
          <w:tcPr>
            <w:tcW w:w="4536" w:type="dxa"/>
          </w:tcPr>
          <w:p w14:paraId="10854459" w14:textId="6E9E3591" w:rsidR="00C5028F" w:rsidRPr="00C5028F" w:rsidRDefault="00C5028F" w:rsidP="00616766">
            <w:r>
              <w:t>African American</w:t>
            </w:r>
            <w:r w:rsidRPr="00C5028F">
              <w:t xml:space="preserve"> women as compared to </w:t>
            </w:r>
            <w:r w:rsidR="005056D2">
              <w:t>Caucasian</w:t>
            </w:r>
            <w:r w:rsidRPr="00C5028F">
              <w:t xml:space="preserve"> women were more likely to be overweight/obese before pregnancy and to have inadequate gestational weight gain (53.6% vs. 38.8%; 22.5% vs. 14.75 respectively). </w:t>
            </w:r>
            <w:r w:rsidR="00616766">
              <w:t>African American</w:t>
            </w:r>
            <w:r w:rsidRPr="00C5028F">
              <w:t xml:space="preserve"> women living in predominately </w:t>
            </w:r>
            <w:r w:rsidR="00616766">
              <w:t>African American</w:t>
            </w:r>
            <w:r w:rsidRPr="00C5028F">
              <w:t xml:space="preserve"> neighbo</w:t>
            </w:r>
            <w:r w:rsidR="00616766">
              <w:t>u</w:t>
            </w:r>
            <w:r w:rsidRPr="00C5028F">
              <w:t xml:space="preserve">rhoods were slightly more likely to be obese prior to pregnancy compared to </w:t>
            </w:r>
            <w:r w:rsidR="00616766">
              <w:t>African American</w:t>
            </w:r>
            <w:r w:rsidRPr="00C5028F">
              <w:t xml:space="preserve"> women living in predominately </w:t>
            </w:r>
            <w:r w:rsidR="005056D2">
              <w:t>Caucasian</w:t>
            </w:r>
            <w:r w:rsidRPr="00C5028F">
              <w:t xml:space="preserve"> neighbo</w:t>
            </w:r>
            <w:r w:rsidR="00616766">
              <w:t>u</w:t>
            </w:r>
            <w:r w:rsidRPr="00C5028F">
              <w:t xml:space="preserve">rhoods (PR 1.10; 95% CI: 1.03, 1.16). </w:t>
            </w:r>
            <w:r w:rsidR="00616766">
              <w:t>African American</w:t>
            </w:r>
            <w:r w:rsidRPr="00C5028F">
              <w:t xml:space="preserve"> and </w:t>
            </w:r>
            <w:r w:rsidR="005056D2">
              <w:t>Caucasian</w:t>
            </w:r>
            <w:r w:rsidRPr="00C5028F">
              <w:t xml:space="preserve"> women living in high poverty areas compared with women living in lower poverty areas were more likely to be obese prior to pregnancy; while only </w:t>
            </w:r>
            <w:r w:rsidR="002A0021">
              <w:t>Caucasian</w:t>
            </w:r>
            <w:r w:rsidRPr="00C5028F">
              <w:t xml:space="preserve"> women living in high poverty areas compared to low poverty areas were more likely gain an inadequate amount of weight during pregnancy. </w:t>
            </w:r>
          </w:p>
        </w:tc>
        <w:tc>
          <w:tcPr>
            <w:tcW w:w="2410" w:type="dxa"/>
          </w:tcPr>
          <w:p w14:paraId="639BBAF5" w14:textId="77777777" w:rsidR="00C5028F" w:rsidRDefault="00C5028F" w:rsidP="00F11CB4"/>
        </w:tc>
      </w:tr>
      <w:tr w:rsidR="00FA36C3" w:rsidRPr="00B60FFF" w14:paraId="688FEDAA" w14:textId="77777777" w:rsidTr="00FA36C3">
        <w:trPr>
          <w:cantSplit/>
          <w:trHeight w:val="3590"/>
        </w:trPr>
        <w:tc>
          <w:tcPr>
            <w:tcW w:w="1418" w:type="dxa"/>
          </w:tcPr>
          <w:p w14:paraId="1C5BDA89" w14:textId="18B00FBA" w:rsidR="00DF3C0D" w:rsidRDefault="00DF3C0D" w:rsidP="00F11CB4">
            <w:r>
              <w:t>Morisset et al 2017</w:t>
            </w:r>
            <w:r w:rsidR="00774750">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 </w:instrText>
            </w:r>
            <w:r w:rsidR="001A2F28">
              <w:fldChar w:fldCharType="begin">
                <w:fldData xml:space="preserve">PEVuZE5vdGU+PENpdGU+PEF1dGhvcj5Nb3Jpc3NldDwvQXV0aG9yPjxZZWFyPjIwMTc8L1llYXI+
PFJlY051bT4xNzczPC9SZWNOdW0+PERpc3BsYXlUZXh0PjxzdHlsZSBmYWNlPSJzdXBlcnNjcmlw
dCIgZm9udD0iVHJlYnVjaGV0IE1TIiBzaXplPSI5Ij4zNTk8L3N0eWxlPjwvRGlzcGxheVRleHQ+
PHJlY29yZD48cmVjLW51bWJlcj4xNzczPC9yZWMtbnVtYmVyPjxmb3JlaWduLWtleXM+PGtleSBh
cHA9IkVOIiBkYi1pZD0iZXh2YXNyZngyZHRyYW9lc2FzeHAyc3pzeGEyZGY1MDI1OTJ4IiB0aW1l
c3RhbXA9IjE1ODI4NjcyODMiPjE3NzM8L2tleT48a2V5IGFwcD0iRU5XZWIiIGRiLWlkPSIiPjA8
L2tleT48L2ZvcmVpZ24ta2V5cz48cmVmLXR5cGUgbmFtZT0iSm91cm5hbCBBcnRpY2xlIj4xNzwv
cmVmLXR5cGU+PGNvbnRyaWJ1dG9ycz48YXV0aG9ycz48YXV0aG9yPk1vcmlzc2V0LCBBLiBTLjwv
YXV0aG9yPjxhdXRob3I+RHVib2lzLCBMLjwvYXV0aG9yPjxhdXRob3I+Q29sYXBpbnRvLCBDLiBL
LjwvYXV0aG9yPjxhdXRob3I+THVvLCBaLiBDLjwvYXV0aG9yPjxhdXRob3I+RnJhc2VyLCBXLiBE
LjwvYXV0aG9yPjwvYXV0aG9ycz48L2NvbnRyaWJ1dG9ycz48YXV0aC1hZGRyZXNzPmEgQ2VudHJl
IGRlIHJlY2hlcmNoZSBkdSBDZW50cmUgaG9zcGl0YWxpZXIgdW5pdmVyc2l0YWlyZSBkZSBTaGVy
YnJvb2tlLCBTaGVyYnJvb2tlLCBRQy4mI3hEO2IgU2FpbnRlIEp1c3RpbmUgVW5pdmVyc2l0eSBI
b3NwaXRhbCBSZXNlYXJjaCBDZW50ZXIsIFVuaXZlcnNpdHkgb2YgTW9udHJlYWwsIE1vbnRyZWFs
LCBRQy4mI3hEO2MgU2Nob29sIG9mIEVwaWRlbWlvbG9neSwgUHVibGljIEhlYWx0aCBhbmQgUHJl
dmVudGl2ZSBNZWRpY2luZSwgVW5pdmVyc2l0eSBvZiBPdHRhd2EsIE90dGF3YSwgT04uJiN4RDtk
IE1pbmlzdHJ5IG9mIEVkdWNhdGlvbi1TaGFuZ2hhaSBLZXkgTGFib3JhdG9yeSBvZiBDaGlsZHJl
biZhcG9zO3MgRW52aXJvbm1lbnRhbCBIZWFsdGgsIFhpbmh1YSBIb3NwaXRhbCwgU2hhbmdoYWkg
Smlhby1Ub25nIFVuaXZlcnNpdHkgU2Nob29sIG9mIE1lZGljaW5lLCBTaGFuZ2hhaSwgSHVhbmdw
dS48L2F1dGgtYWRkcmVzcz48dGl0bGVzPjx0aXRsZT5QcmVwcmVnbmFuY3kgYm9keSBtYXNzIGlu
ZGV4IGFzIGEgc2lnbmlmaWNhbnQgcHJlZGljdG9yIG9mIHRvdGFsIGdlc3RhdGlvbmFsIHdlaWdo
dCBnYWluIGFuZCBiaXJ0aCB3ZWlnaHQ8L3RpdGxlPjxzZWNvbmRhcnktdGl0bGU+Q2FuIEogRGll
dCBQcmFjdCBSZXM8L3NlY29uZGFyeS10aXRsZT48L3RpdGxlcz48cGVyaW9kaWNhbD48ZnVsbC10
aXRsZT5DYW4gSiBEaWV0IFByYWN0IFJlczwvZnVsbC10aXRsZT48L3BlcmlvZGljYWw+PHBhZ2Vz
PjY2LTczPC9wYWdlcz48dm9sdW1lPjc4PC92b2x1bWU+PG51bWJlcj4yPC9udW1iZXI+PGVkaXRp
b24+MjAxNy8wMi8wMjwvZWRpdGlvbj48a2V5d29yZHM+PGtleXdvcmQ+QWRvbGVzY2VudDwva2V5
d29yZD48a2V5d29yZD5BZHVsdDwva2V5d29yZD48a2V5d29yZD4qQmlydGggV2VpZ2h0PC9rZXl3
b3JkPjxrZXl3b3JkPipCb2R5IE1hc3MgSW5kZXg8L2tleXdvcmQ+PGtleXdvcmQ+Q29ob3J0IFN0
dWRpZXM8L2tleXdvcmQ+PGtleXdvcmQ+RWR1Y2F0aW9uYWwgU3RhdHVzPC9rZXl3b3JkPjxrZXl3
b3JkPkZlbWFsZTwva2V5d29yZD48a2V5d29yZD5GZXRhbCBEZXZlbG9wbWVudDwva2V5d29yZD48
a2V5d29yZD5IdW1hbnM8L2tleXdvcmQ+PGtleXdvcmQ+T2Jlc2l0eS9jb21wbGljYXRpb25zL3Bo
eXNpb3BhdGhvbG9neTwva2V5d29yZD48a2V5d29yZD5PdmVyd2VpZ2h0L2NvbXBsaWNhdGlvbnM8
L2tleXdvcmQ+PGtleXdvcmQ+UGFyaXR5PC9rZXl3b3JkPjxrZXl3b3JkPipQcmVjb25jZXB0aW9u
IENhcmU8L2tleXdvcmQ+PGtleXdvcmQ+UHJlZ25hbmN5PC9rZXl3b3JkPjxrZXl3b3JkPlByZWdu
YW5jeSBDb21wbGljYXRpb25zL3BoeXNpb3BhdGhvbG9neTwva2V5d29yZD48a2V5d29yZD5RdWVi
ZWM8L2tleXdvcmQ+PGtleXdvcmQ+VGhpbm5lc3MvY29tcGxpY2F0aW9uczwva2V5d29yZD48a2V5
d29yZD4qV2VpZ2h0IEdhaW48L2tleXdvcmQ+PGtleXdvcmQ+WW91bmcgQWR1bHQ8L2tleXdvcmQ+
PC9rZXl3b3Jkcz48ZGF0ZXM+PHllYXI+MjAxNzwveWVhcj48cHViLWRhdGVzPjxkYXRlPkp1biAx
PC9kYXRlPjwvcHViLWRhdGVzPjwvZGF0ZXM+PGlzYm4+MTQ4Ni0zODQ3IChQcmludCkmI3hEOzE0
ODYtMzg0NyAoTGlua2luZyk8L2lzYm4+PGFjY2Vzc2lvbi1udW0+MjgxNDU3MzI8L2FjY2Vzc2lv
bi1udW0+PHVybHM+PHJlbGF0ZWQtdXJscz48dXJsPmh0dHBzOi8vd3d3Lm5jYmkubmxtLm5paC5n
b3YvcHVibWVkLzI4MTQ1NzMyPC91cmw+PC9yZWxhdGVkLXVybHM+PC91cmxzPjxlbGVjdHJvbmlj
LXJlc291cmNlLW51bT4xMC4zMTQ4L2NqZHByLTIwMTYtMDM1PC9lbGVjdHJvbmljLXJlc291cmNl
LW51bT48L3JlY29yZD48L0NpdGU+PC9FbmROb3RlPn==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359</w:t>
            </w:r>
            <w:r w:rsidR="00774750">
              <w:fldChar w:fldCharType="end"/>
            </w:r>
          </w:p>
          <w:p w14:paraId="0ADB7963" w14:textId="77777777" w:rsidR="00E02C2B" w:rsidRDefault="00E02C2B" w:rsidP="00F11CB4">
            <w:r>
              <w:t>Canada</w:t>
            </w:r>
          </w:p>
          <w:p w14:paraId="64E034D7" w14:textId="279521E9" w:rsidR="00E02C2B" w:rsidRDefault="00E02C2B" w:rsidP="00F11CB4">
            <w:r>
              <w:t xml:space="preserve">Cohort </w:t>
            </w:r>
          </w:p>
        </w:tc>
        <w:tc>
          <w:tcPr>
            <w:tcW w:w="1418" w:type="dxa"/>
          </w:tcPr>
          <w:p w14:paraId="08580097" w14:textId="73C3DB81" w:rsidR="00DF3C0D" w:rsidRDefault="00DF3C0D" w:rsidP="00F11CB4">
            <w:r>
              <w:t>1,145 women</w:t>
            </w:r>
          </w:p>
        </w:tc>
        <w:tc>
          <w:tcPr>
            <w:tcW w:w="4394" w:type="dxa"/>
          </w:tcPr>
          <w:p w14:paraId="026E4239" w14:textId="77777777" w:rsidR="00DF3C0D" w:rsidRDefault="00DF3C0D" w:rsidP="00DF3C0D">
            <w:r w:rsidRPr="00DF3C0D">
              <w:rPr>
                <w:b/>
              </w:rPr>
              <w:t>Aim</w:t>
            </w:r>
            <w:r>
              <w:t>: T</w:t>
            </w:r>
            <w:r w:rsidRPr="00DF3C0D">
              <w:t xml:space="preserve">o describe adherence to gestational weight gain (GWG) recommendations and identify determinants of excessive GWG in a sample of women from Quebec, Canada. </w:t>
            </w:r>
          </w:p>
          <w:p w14:paraId="331B4439" w14:textId="65471A2B" w:rsidR="00DF3C0D" w:rsidRPr="00C5028F" w:rsidRDefault="00DF3C0D" w:rsidP="00DF3C0D">
            <w:pPr>
              <w:rPr>
                <w:b/>
              </w:rPr>
            </w:pPr>
            <w:r w:rsidRPr="00DF3C0D">
              <w:rPr>
                <w:b/>
              </w:rPr>
              <w:t>Methods</w:t>
            </w:r>
            <w:r w:rsidRPr="00DF3C0D">
              <w:t xml:space="preserve">: Data were collected from the multi-centre 3D (Design, Develop, Discover) pregnancy cohort study, which included women who delivered between May 2010 and August 2012 at 9 obstetrical hospitals in Quebec, Canada. GWG was calculated for 1145 women and compared to the 2009 Institute of Medicine (IOM) recommendations. </w:t>
            </w:r>
          </w:p>
        </w:tc>
        <w:tc>
          <w:tcPr>
            <w:tcW w:w="4536" w:type="dxa"/>
          </w:tcPr>
          <w:p w14:paraId="7576E739" w14:textId="77777777" w:rsidR="00734355" w:rsidRDefault="00734355" w:rsidP="00E02C2B">
            <w:r>
              <w:t>Risk of exceeding gestational weight gain recommendations:</w:t>
            </w:r>
          </w:p>
          <w:p w14:paraId="6D91754F" w14:textId="77777777" w:rsidR="00734355" w:rsidRDefault="00734355" w:rsidP="001D1144">
            <w:pPr>
              <w:pStyle w:val="bullet"/>
            </w:pPr>
            <w:r>
              <w:t>Maternal age (&lt;30 vs ≥30): OR 1.02; 95%CI 0.98 to 1.02; p=0.89</w:t>
            </w:r>
          </w:p>
          <w:p w14:paraId="438D127C" w14:textId="3DFAEE23" w:rsidR="00DF3C0D" w:rsidRDefault="00734355" w:rsidP="001D1144">
            <w:pPr>
              <w:pStyle w:val="bullet"/>
            </w:pPr>
            <w:r>
              <w:t>Pre-pregnancy</w:t>
            </w:r>
            <w:r w:rsidR="00DF3C0D" w:rsidRPr="00DF3C0D">
              <w:t xml:space="preserve"> BMI </w:t>
            </w:r>
            <w:r>
              <w:t>(≥</w:t>
            </w:r>
            <w:r w:rsidR="00DF3C0D" w:rsidRPr="00DF3C0D">
              <w:t xml:space="preserve">25 </w:t>
            </w:r>
            <w:r>
              <w:t>vs &lt;25): OR 3.35; 95%</w:t>
            </w:r>
            <w:r w:rsidR="00DF3C0D" w:rsidRPr="00DF3C0D">
              <w:t>CI 2.44</w:t>
            </w:r>
            <w:r>
              <w:t xml:space="preserve"> to </w:t>
            </w:r>
            <w:r w:rsidR="00DF3C0D" w:rsidRPr="00DF3C0D">
              <w:t>4.64</w:t>
            </w:r>
            <w:r>
              <w:t>; p&lt;0.0001</w:t>
            </w:r>
          </w:p>
          <w:p w14:paraId="5E8E8E1A" w14:textId="77777777" w:rsidR="00734355" w:rsidRDefault="00734355" w:rsidP="001D1144">
            <w:pPr>
              <w:pStyle w:val="bullet"/>
            </w:pPr>
            <w:r>
              <w:t>Household income (&lt;$60,000 vs ≥$60,000): OR 1.06; 95%CI 0.71 to 1.26; p=0.71</w:t>
            </w:r>
          </w:p>
          <w:p w14:paraId="5F4CD505" w14:textId="5BD25E3A" w:rsidR="00734355" w:rsidRDefault="00734355" w:rsidP="001D1144">
            <w:pPr>
              <w:pStyle w:val="bullet"/>
            </w:pPr>
            <w:r>
              <w:t>Education level</w:t>
            </w:r>
            <w:r w:rsidR="00B26ED3">
              <w:t xml:space="preserve"> (&lt;university vs ≥university deg</w:t>
            </w:r>
            <w:r>
              <w:t>ree): OR 1.26; 95%CI 0.93 to 1.70; p=0.14</w:t>
            </w:r>
          </w:p>
          <w:p w14:paraId="38150E5B" w14:textId="6F0CC669" w:rsidR="00734355" w:rsidRPr="00DF3C0D" w:rsidRDefault="00734355" w:rsidP="001D1144">
            <w:pPr>
              <w:pStyle w:val="bullet"/>
            </w:pPr>
            <w:r>
              <w:t>Country of birth (other countries vs Canada): OR 1.05; 95%CI 0.78 to 1.41; p=0.73</w:t>
            </w:r>
          </w:p>
        </w:tc>
        <w:tc>
          <w:tcPr>
            <w:tcW w:w="2410" w:type="dxa"/>
          </w:tcPr>
          <w:p w14:paraId="1AD4961F" w14:textId="77777777" w:rsidR="00DF3C0D" w:rsidRDefault="00DF3C0D" w:rsidP="00F11CB4"/>
        </w:tc>
      </w:tr>
    </w:tbl>
    <w:p w14:paraId="5A99CDFF" w14:textId="01D09FCE" w:rsidR="00B40D9A" w:rsidRDefault="00DB67D2" w:rsidP="00932C6D">
      <w:pPr>
        <w:pStyle w:val="TableName"/>
      </w:pPr>
      <w:bookmarkStart w:id="190" w:name="_Toc40956672"/>
      <w:r>
        <w:t xml:space="preserve">Q7 </w:t>
      </w:r>
      <w:r w:rsidR="00E03B51">
        <w:t xml:space="preserve">Risks associated with weight gain </w:t>
      </w:r>
      <w:r w:rsidR="00A83C0D">
        <w:t>above or below</w:t>
      </w:r>
      <w:r w:rsidR="00E03B51">
        <w:t xml:space="preserve"> the IOM guidelines</w:t>
      </w:r>
      <w:bookmarkEnd w:id="190"/>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4: Q7 Risks associated with weight gain above or below the IOM guidelines"/>
      </w:tblPr>
      <w:tblGrid>
        <w:gridCol w:w="1418"/>
        <w:gridCol w:w="1701"/>
        <w:gridCol w:w="4252"/>
        <w:gridCol w:w="4394"/>
        <w:gridCol w:w="2411"/>
      </w:tblGrid>
      <w:tr w:rsidR="00B40D9A" w:rsidRPr="00F350A6" w14:paraId="23896FA0" w14:textId="77777777" w:rsidTr="00F11CB4">
        <w:trPr>
          <w:cantSplit/>
          <w:tblHeader/>
        </w:trPr>
        <w:tc>
          <w:tcPr>
            <w:tcW w:w="1418" w:type="dxa"/>
          </w:tcPr>
          <w:p w14:paraId="59809769" w14:textId="77777777" w:rsidR="00B40D9A" w:rsidRPr="00F350A6" w:rsidRDefault="00B40D9A" w:rsidP="00F11CB4">
            <w:pPr>
              <w:keepNext/>
              <w:rPr>
                <w:b/>
              </w:rPr>
            </w:pPr>
            <w:r>
              <w:rPr>
                <w:b/>
              </w:rPr>
              <w:t>Study ref</w:t>
            </w:r>
          </w:p>
        </w:tc>
        <w:tc>
          <w:tcPr>
            <w:tcW w:w="1701" w:type="dxa"/>
          </w:tcPr>
          <w:p w14:paraId="353D86F0" w14:textId="77777777" w:rsidR="00B40D9A" w:rsidRPr="00F350A6" w:rsidRDefault="00B40D9A" w:rsidP="00F11CB4">
            <w:pPr>
              <w:keepNext/>
              <w:rPr>
                <w:b/>
              </w:rPr>
            </w:pPr>
            <w:r>
              <w:rPr>
                <w:b/>
              </w:rPr>
              <w:t>N</w:t>
            </w:r>
          </w:p>
        </w:tc>
        <w:tc>
          <w:tcPr>
            <w:tcW w:w="4252" w:type="dxa"/>
          </w:tcPr>
          <w:p w14:paraId="146E7F54" w14:textId="3C619727" w:rsidR="00B40D9A" w:rsidRPr="00F350A6" w:rsidRDefault="00B40D9A" w:rsidP="00E03B51">
            <w:pPr>
              <w:keepNext/>
              <w:rPr>
                <w:b/>
              </w:rPr>
            </w:pPr>
            <w:r>
              <w:rPr>
                <w:b/>
              </w:rPr>
              <w:t>Aim/</w:t>
            </w:r>
            <w:r w:rsidR="00E03B51">
              <w:rPr>
                <w:b/>
              </w:rPr>
              <w:t>methods</w:t>
            </w:r>
          </w:p>
        </w:tc>
        <w:tc>
          <w:tcPr>
            <w:tcW w:w="4394" w:type="dxa"/>
          </w:tcPr>
          <w:p w14:paraId="6E1780B2" w14:textId="77777777" w:rsidR="00B40D9A" w:rsidRPr="00F350A6" w:rsidRDefault="00B40D9A" w:rsidP="00F11CB4">
            <w:pPr>
              <w:keepNext/>
              <w:rPr>
                <w:b/>
              </w:rPr>
            </w:pPr>
            <w:r>
              <w:rPr>
                <w:b/>
              </w:rPr>
              <w:t>Outcomes</w:t>
            </w:r>
          </w:p>
        </w:tc>
        <w:tc>
          <w:tcPr>
            <w:tcW w:w="2411" w:type="dxa"/>
          </w:tcPr>
          <w:p w14:paraId="16B11BEF" w14:textId="77777777" w:rsidR="00B40D9A" w:rsidRDefault="00B40D9A" w:rsidP="00F11CB4">
            <w:pPr>
              <w:keepNext/>
              <w:rPr>
                <w:b/>
              </w:rPr>
            </w:pPr>
            <w:r>
              <w:rPr>
                <w:b/>
              </w:rPr>
              <w:t>Comments</w:t>
            </w:r>
          </w:p>
        </w:tc>
      </w:tr>
      <w:tr w:rsidR="00D54181" w:rsidRPr="00B60FFF" w14:paraId="381E3425" w14:textId="77777777" w:rsidTr="001E01D1">
        <w:trPr>
          <w:cantSplit/>
        </w:trPr>
        <w:tc>
          <w:tcPr>
            <w:tcW w:w="1418" w:type="dxa"/>
          </w:tcPr>
          <w:p w14:paraId="56DE1986" w14:textId="677A45C3" w:rsidR="00D54181" w:rsidRDefault="00D54181" w:rsidP="001E01D1">
            <w:r>
              <w:t>Aune et al 2019</w:t>
            </w:r>
            <w:r w:rsidR="00D07346">
              <w:fldChar w:fldCharType="begin">
                <w:fldData xml:space="preserve">PEVuZE5vdGU+PENpdGU+PEF1dGhvcj5BdW5lPC9BdXRob3I+PFllYXI+MjAxOTwvWWVhcj48UmVj
TnVtPjE5Njc8L1JlY051bT48RGlzcGxheVRleHQ+PHN0eWxlIGZhY2U9InN1cGVyc2NyaXB0IiBm
b250PSJUcmVidWNoZXQgTVMiIHNpemU9IjkiPjM2Njwvc3R5bGU+PC9EaXNwbGF5VGV4dD48cmVj
b3JkPjxyZWMtbnVtYmVyPjE5Njc8L3JlYy1udW1iZXI+PGZvcmVpZ24ta2V5cz48a2V5IGFwcD0i
RU4iIGRiLWlkPSJleHZhc3JmeDJkdHJhb2VzYXN4cDJzenN4YTJkZjUwMjU5MngiIHRpbWVzdGFt
cD0iMTU4ODkwMDczMSI+MTk2Nzwva2V5PjxrZXkgYXBwPSJFTldlYiIgZGItaWQ9IiI+MDwva2V5
PjwvZm9yZWlnbi1rZXlzPjxyZWYtdHlwZSBuYW1lPSJKb3VybmFsIEFydGljbGUiPjE3PC9yZWYt
dHlwZT48Y29udHJpYnV0b3JzPjxhdXRob3JzPjxhdXRob3I+QXVuZSwgRC48L2F1dGhvcj48YXV0
aG9yPk1haGFtYXQtU2FsZWgsIFkuPC9hdXRob3I+PGF1dGhvcj5Ob3JhdCwgVC48L2F1dGhvcj48
YXV0aG9yPlJpYm9saSwgRS48L2F1dGhvcj48L2F1dGhvcnM+PC9jb250cmlidXRvcnM+PGF1dGgt
YWRkcmVzcz5EZXBhcnRtZW50IG9mIEVwaWRlbWlvbG9neSBhbmQgQmlvc3RhdGlzdGljcywgU2No
b29sIG9mIFB1YmxpYyBIZWFsdGgsIEltcGVyaWFsIENvbGxlZ2UgTG9uZG9uLCBMb25kb24sIFVL
LiYjeEQ7RGVwYXJ0bWVudCBvZiBOdXRyaXRpb24sIEJqb3JrbmVzIFVuaXZlcnNpdHkgQ29sbGVn
ZSwgT3NsbywgTm9yd2F5LiYjeEQ7RGVwYXJ0bWVudCBvZiBFbmRvY3Jpbm9sb2d5LCBNb3JiaWQg
T2Jlc2l0eSBhbmQgUHJldmVudGl2ZSBNZWRpY2luZSwgT3NsbyBVbml2ZXJzaXR5IEhvc3BpdGFs
LCBPc2xvLCBOb3J3YXkuJiN4RDtDRVNQLCBGYWMuIGRlIG1lZGVjaW5lIC0gVW5pdi4gUGFyaXMt
U3VkLCBGYWMuIGRlbWVkZWNpbmUgLSBVVlNRLCBJTlNFUk0sIFVuaXZlcnNpdGUgUGFyaXMtU2Fj
bGF5LCBWaWxsZWp1aWYsIEZyYW5jZS4mI3hEO0d1c3RhdmUgUm91c3N5LCBWaWxsZWp1aWYsIEZy
YW5jZS48L2F1dGgtYWRkcmVzcz48dGl0bGVzPjx0aXRsZT5Cb2R5IG1hc3MgaW5kZXgsIGFiZG9t
aW5hbCBmYXRuZXNzLCB3ZWlnaHQgZ2FpbiBhbmQgdGhlIHJpc2sgb2YgdXJpbmFyeSBpbmNvbnRp
bmVuY2U6IGEgc3lzdGVtYXRpYyByZXZpZXcgYW5kIGRvc2UtcmVzcG9uc2UgbWV0YS1hbmFseXNp
cyBvZiBwcm9zcGVjdGl2ZSBzdHVkaWVzPC90aXRsZT48c2Vjb25kYXJ5LXRpdGxlPkJKT0c8L3Nl
Y29uZGFyeS10aXRsZT48L3RpdGxlcz48cGVyaW9kaWNhbD48ZnVsbC10aXRsZT5CSk9HPC9mdWxs
LXRpdGxlPjwvcGVyaW9kaWNhbD48cGFnZXM+MTQyNC0xNDMzPC9wYWdlcz48dm9sdW1lPjEyNjwv
dm9sdW1lPjxudW1iZXI+MTI8L251bWJlcj48ZWRpdGlvbj4yMDE5LzA4LzA0PC9lZGl0aW9uPjxr
ZXl3b3Jkcz48a2V5d29yZD5Cb2R5IE1hc3MgSW5kZXg8L2tleXdvcmQ+PGtleXdvcmQ+RmVtYWxl
PC9rZXl3b3JkPjxrZXl3b3JkPkh1bWFuczwva2V5d29yZD48a2V5d29yZD5PYmVzaXR5LCBBYmRv
bWluYWwvKmNvbXBsaWNhdGlvbnM8L2tleXdvcmQ+PGtleXdvcmQ+UHJvc3BlY3RpdmUgU3R1ZGll
czwva2V5d29yZD48a2V5d29yZD5SaXNrIEZhY3RvcnM8L2tleXdvcmQ+PGtleXdvcmQ+VXJpbmFy
eSBJbmNvbnRpbmVuY2UvKmV0aW9sb2d5PC9rZXl3b3JkPjxrZXl3b3JkPldlaWdodCBHYWluPC9r
ZXl3b3JkPjxrZXl3b3JkPm1ldGEtYW5hbHlzaXM8L2tleXdvcmQ+PGtleXdvcmQ+b2Jlc2l0eTwv
a2V5d29yZD48a2V5d29yZD5vdmVyd2VpZ2h0PC9rZXl3b3JkPjxrZXl3b3JkPnVyaW5hcnkgaW5j
b250aW5lbmNlPC9rZXl3b3JkPjxrZXl3b3JkPndhaXN0IGNpcmN1bWZlcmVuY2U8L2tleXdvcmQ+
PC9rZXl3b3Jkcz48ZGF0ZXM+PHllYXI+MjAxOTwveWVhcj48cHViLWRhdGVzPjxkYXRlPk5vdjwv
ZGF0ZT48L3B1Yi1kYXRlcz48L2RhdGVzPjxpc2JuPjE0NzEtMDUyOCAoRWxlY3Ryb25pYykmI3hE
OzE0NzAtMDMyOCAoTGlua2luZyk8L2lzYm4+PGFjY2Vzc2lvbi1udW0+MzEzNzYyMTE8L2FjY2Vz
c2lvbi1udW0+PHVybHM+PHJlbGF0ZWQtdXJscz48dXJsPmh0dHBzOi8vd3d3Lm5jYmkubmxtLm5p
aC5nb3YvcHVibWVkLzMxMzc2MjExPC91cmw+PC9yZWxhdGVkLXVybHM+PC91cmxzPjxlbGVjdHJv
bmljLXJlc291cmNlLW51bT4xMC4xMTExLzE0NzEtMDUyOC4xNTg5NzwvZWxlY3Ryb25pYy1yZXNv
dXJjZS1udW0+PC9yZWNvcmQ+PC9DaXRlPjwvRW5kTm90ZT5=
</w:fldData>
              </w:fldChar>
            </w:r>
            <w:r w:rsidR="001A2F28">
              <w:instrText xml:space="preserve"> ADDIN EN.CITE </w:instrText>
            </w:r>
            <w:r w:rsidR="001A2F28">
              <w:fldChar w:fldCharType="begin">
                <w:fldData xml:space="preserve">PEVuZE5vdGU+PENpdGU+PEF1dGhvcj5BdW5lPC9BdXRob3I+PFllYXI+MjAxOTwvWWVhcj48UmVj
TnVtPjE5Njc8L1JlY051bT48RGlzcGxheVRleHQ+PHN0eWxlIGZhY2U9InN1cGVyc2NyaXB0IiBm
b250PSJUcmVidWNoZXQgTVMiIHNpemU9IjkiPjM2Njwvc3R5bGU+PC9EaXNwbGF5VGV4dD48cmVj
b3JkPjxyZWMtbnVtYmVyPjE5Njc8L3JlYy1udW1iZXI+PGZvcmVpZ24ta2V5cz48a2V5IGFwcD0i
RU4iIGRiLWlkPSJleHZhc3JmeDJkdHJhb2VzYXN4cDJzenN4YTJkZjUwMjU5MngiIHRpbWVzdGFt
cD0iMTU4ODkwMDczMSI+MTk2Nzwva2V5PjxrZXkgYXBwPSJFTldlYiIgZGItaWQ9IiI+MDwva2V5
PjwvZm9yZWlnbi1rZXlzPjxyZWYtdHlwZSBuYW1lPSJKb3VybmFsIEFydGljbGUiPjE3PC9yZWYt
dHlwZT48Y29udHJpYnV0b3JzPjxhdXRob3JzPjxhdXRob3I+QXVuZSwgRC48L2F1dGhvcj48YXV0
aG9yPk1haGFtYXQtU2FsZWgsIFkuPC9hdXRob3I+PGF1dGhvcj5Ob3JhdCwgVC48L2F1dGhvcj48
YXV0aG9yPlJpYm9saSwgRS48L2F1dGhvcj48L2F1dGhvcnM+PC9jb250cmlidXRvcnM+PGF1dGgt
YWRkcmVzcz5EZXBhcnRtZW50IG9mIEVwaWRlbWlvbG9neSBhbmQgQmlvc3RhdGlzdGljcywgU2No
b29sIG9mIFB1YmxpYyBIZWFsdGgsIEltcGVyaWFsIENvbGxlZ2UgTG9uZG9uLCBMb25kb24sIFVL
LiYjeEQ7RGVwYXJ0bWVudCBvZiBOdXRyaXRpb24sIEJqb3JrbmVzIFVuaXZlcnNpdHkgQ29sbGVn
ZSwgT3NsbywgTm9yd2F5LiYjeEQ7RGVwYXJ0bWVudCBvZiBFbmRvY3Jpbm9sb2d5LCBNb3JiaWQg
T2Jlc2l0eSBhbmQgUHJldmVudGl2ZSBNZWRpY2luZSwgT3NsbyBVbml2ZXJzaXR5IEhvc3BpdGFs
LCBPc2xvLCBOb3J3YXkuJiN4RDtDRVNQLCBGYWMuIGRlIG1lZGVjaW5lIC0gVW5pdi4gUGFyaXMt
U3VkLCBGYWMuIGRlbWVkZWNpbmUgLSBVVlNRLCBJTlNFUk0sIFVuaXZlcnNpdGUgUGFyaXMtU2Fj
bGF5LCBWaWxsZWp1aWYsIEZyYW5jZS4mI3hEO0d1c3RhdmUgUm91c3N5LCBWaWxsZWp1aWYsIEZy
YW5jZS48L2F1dGgtYWRkcmVzcz48dGl0bGVzPjx0aXRsZT5Cb2R5IG1hc3MgaW5kZXgsIGFiZG9t
aW5hbCBmYXRuZXNzLCB3ZWlnaHQgZ2FpbiBhbmQgdGhlIHJpc2sgb2YgdXJpbmFyeSBpbmNvbnRp
bmVuY2U6IGEgc3lzdGVtYXRpYyByZXZpZXcgYW5kIGRvc2UtcmVzcG9uc2UgbWV0YS1hbmFseXNp
cyBvZiBwcm9zcGVjdGl2ZSBzdHVkaWVzPC90aXRsZT48c2Vjb25kYXJ5LXRpdGxlPkJKT0c8L3Nl
Y29uZGFyeS10aXRsZT48L3RpdGxlcz48cGVyaW9kaWNhbD48ZnVsbC10aXRsZT5CSk9HPC9mdWxs
LXRpdGxlPjwvcGVyaW9kaWNhbD48cGFnZXM+MTQyNC0xNDMzPC9wYWdlcz48dm9sdW1lPjEyNjwv
dm9sdW1lPjxudW1iZXI+MTI8L251bWJlcj48ZWRpdGlvbj4yMDE5LzA4LzA0PC9lZGl0aW9uPjxr
ZXl3b3Jkcz48a2V5d29yZD5Cb2R5IE1hc3MgSW5kZXg8L2tleXdvcmQ+PGtleXdvcmQ+RmVtYWxl
PC9rZXl3b3JkPjxrZXl3b3JkPkh1bWFuczwva2V5d29yZD48a2V5d29yZD5PYmVzaXR5LCBBYmRv
bWluYWwvKmNvbXBsaWNhdGlvbnM8L2tleXdvcmQ+PGtleXdvcmQ+UHJvc3BlY3RpdmUgU3R1ZGll
czwva2V5d29yZD48a2V5d29yZD5SaXNrIEZhY3RvcnM8L2tleXdvcmQ+PGtleXdvcmQ+VXJpbmFy
eSBJbmNvbnRpbmVuY2UvKmV0aW9sb2d5PC9rZXl3b3JkPjxrZXl3b3JkPldlaWdodCBHYWluPC9r
ZXl3b3JkPjxrZXl3b3JkPm1ldGEtYW5hbHlzaXM8L2tleXdvcmQ+PGtleXdvcmQ+b2Jlc2l0eTwv
a2V5d29yZD48a2V5d29yZD5vdmVyd2VpZ2h0PC9rZXl3b3JkPjxrZXl3b3JkPnVyaW5hcnkgaW5j
b250aW5lbmNlPC9rZXl3b3JkPjxrZXl3b3JkPndhaXN0IGNpcmN1bWZlcmVuY2U8L2tleXdvcmQ+
PC9rZXl3b3Jkcz48ZGF0ZXM+PHllYXI+MjAxOTwveWVhcj48cHViLWRhdGVzPjxkYXRlPk5vdjwv
ZGF0ZT48L3B1Yi1kYXRlcz48L2RhdGVzPjxpc2JuPjE0NzEtMDUyOCAoRWxlY3Ryb25pYykmI3hE
OzE0NzAtMDMyOCAoTGlua2luZyk8L2lzYm4+PGFjY2Vzc2lvbi1udW0+MzEzNzYyMTE8L2FjY2Vz
c2lvbi1udW0+PHVybHM+PHJlbGF0ZWQtdXJscz48dXJsPmh0dHBzOi8vd3d3Lm5jYmkubmxtLm5p
aC5nb3YvcHVibWVkLzMxMzc2MjExPC91cmw+PC9yZWxhdGVkLXVybHM+PC91cmxzPjxlbGVjdHJv
bmljLXJlc291cmNlLW51bT4xMC4xMTExLzE0NzEtMDUyOC4xNTg5NzwvZWxlY3Ryb25pYy1yZXNv
dXJjZS1udW0+PC9yZWNvcmQ+PC9DaXRlPjwvRW5kTm90ZT5=
</w:fldData>
              </w:fldChar>
            </w:r>
            <w:r w:rsidR="001A2F28">
              <w:instrText xml:space="preserve"> ADDIN EN.CITE.DATA </w:instrText>
            </w:r>
            <w:r w:rsidR="001A2F28">
              <w:fldChar w:fldCharType="end"/>
            </w:r>
            <w:r w:rsidR="00D07346">
              <w:fldChar w:fldCharType="separate"/>
            </w:r>
            <w:r w:rsidR="001A2F28" w:rsidRPr="001A2F28">
              <w:rPr>
                <w:noProof/>
                <w:vertAlign w:val="superscript"/>
              </w:rPr>
              <w:t>366</w:t>
            </w:r>
            <w:r w:rsidR="00D07346">
              <w:fldChar w:fldCharType="end"/>
            </w:r>
          </w:p>
          <w:p w14:paraId="7D617446" w14:textId="21861594" w:rsidR="00BC7EC6" w:rsidRDefault="00BC7EC6" w:rsidP="001E01D1">
            <w:r>
              <w:t>SLR</w:t>
            </w:r>
          </w:p>
        </w:tc>
        <w:tc>
          <w:tcPr>
            <w:tcW w:w="1701" w:type="dxa"/>
          </w:tcPr>
          <w:p w14:paraId="1EB6913A" w14:textId="2C626C36" w:rsidR="00D54181" w:rsidRDefault="00BC7EC6" w:rsidP="001E01D1">
            <w:r>
              <w:t>24 cohort studies</w:t>
            </w:r>
          </w:p>
        </w:tc>
        <w:tc>
          <w:tcPr>
            <w:tcW w:w="4252" w:type="dxa"/>
          </w:tcPr>
          <w:p w14:paraId="1AAF13A7" w14:textId="77777777" w:rsidR="00BC7EC6" w:rsidRDefault="00BC7EC6" w:rsidP="00BC7EC6">
            <w:r>
              <w:rPr>
                <w:b/>
              </w:rPr>
              <w:t xml:space="preserve">Aim: </w:t>
            </w:r>
            <w:r w:rsidRPr="00BC7EC6">
              <w:t xml:space="preserve">To conduct a systematic literature review and dose-response meta-analysis of prospective studies on adiposity and risk of urinary incontinence. </w:t>
            </w:r>
          </w:p>
          <w:p w14:paraId="5CEE11D8" w14:textId="5807555B" w:rsidR="00D54181" w:rsidRPr="00D54181" w:rsidRDefault="00BC7EC6" w:rsidP="00BC7EC6">
            <w:pPr>
              <w:rPr>
                <w:b/>
              </w:rPr>
            </w:pPr>
            <w:r w:rsidRPr="00BD61CC">
              <w:rPr>
                <w:b/>
              </w:rPr>
              <w:t>Methods</w:t>
            </w:r>
            <w:r w:rsidRPr="00BC7EC6">
              <w:t>: We searched PubMed and Embase</w:t>
            </w:r>
            <w:r>
              <w:t xml:space="preserve"> databases up to 19 July 2017.</w:t>
            </w:r>
            <w:r w:rsidRPr="00BC7EC6">
              <w:t xml:space="preserve"> Prospective cohort studies were included. Data were extracted by one reviewer and checked for accuracy by a second reviewer. Summary relative risks (RRs) and 95% confidence intervals (CIs) were calculated using random effects models. </w:t>
            </w:r>
            <w:r>
              <w:t>\</w:t>
            </w:r>
          </w:p>
        </w:tc>
        <w:tc>
          <w:tcPr>
            <w:tcW w:w="4394" w:type="dxa"/>
          </w:tcPr>
          <w:p w14:paraId="342F7904" w14:textId="2FF7CC15" w:rsidR="00D54181" w:rsidRPr="00BC7EC6" w:rsidRDefault="00BC7EC6" w:rsidP="00BC7EC6">
            <w:r w:rsidRPr="00BC7EC6">
              <w:t>Two prospective studies (6</w:t>
            </w:r>
            <w:r>
              <w:t>,015 cases and 41,</w:t>
            </w:r>
            <w:r w:rsidRPr="00BC7EC6">
              <w:t>679 participants)</w:t>
            </w:r>
            <w:r>
              <w:t xml:space="preserve"> </w:t>
            </w:r>
            <w:r w:rsidRPr="00BC7EC6">
              <w:t>were included in the analysis of weight gain and</w:t>
            </w:r>
            <w:r>
              <w:t xml:space="preserve"> </w:t>
            </w:r>
            <w:r w:rsidRPr="00BC7EC6">
              <w:t>risk of urinary incontinence. The summary RR was 1.34</w:t>
            </w:r>
            <w:r>
              <w:t xml:space="preserve"> </w:t>
            </w:r>
            <w:r w:rsidRPr="00BC7EC6">
              <w:t>per 10 kg of weight gain (95% CI 1.11</w:t>
            </w:r>
            <w:r>
              <w:rPr>
                <w:rFonts w:ascii="Helvetica" w:eastAsiaTheme="majorEastAsia" w:hAnsi="Helvetica"/>
              </w:rPr>
              <w:t xml:space="preserve"> to </w:t>
            </w:r>
            <w:r w:rsidRPr="00BC7EC6">
              <w:t>1.62).</w:t>
            </w:r>
          </w:p>
        </w:tc>
        <w:tc>
          <w:tcPr>
            <w:tcW w:w="2411" w:type="dxa"/>
          </w:tcPr>
          <w:p w14:paraId="1C42575C" w14:textId="77777777" w:rsidR="00D54181" w:rsidRDefault="00D54181" w:rsidP="001E01D1"/>
        </w:tc>
      </w:tr>
      <w:tr w:rsidR="00A85AD8" w:rsidRPr="00B60FFF" w14:paraId="76953F78" w14:textId="77777777" w:rsidTr="001E01D1">
        <w:trPr>
          <w:cantSplit/>
        </w:trPr>
        <w:tc>
          <w:tcPr>
            <w:tcW w:w="1418" w:type="dxa"/>
          </w:tcPr>
          <w:p w14:paraId="78D1D364" w14:textId="3E8886D8" w:rsidR="00A85AD8" w:rsidRDefault="00A85AD8" w:rsidP="001E01D1">
            <w:r>
              <w:t>Tian et al 2019</w:t>
            </w:r>
            <w:r w:rsidR="00D07346">
              <w:fldChar w:fldCharType="begin">
                <w:fldData xml:space="preserve">PEVuZE5vdGU+PENpdGU+PEF1dGhvcj5UaWFuPC9BdXRob3I+PFllYXI+MjAxOTwvWWVhcj48UmVj
TnVtPjE5MzE8L1JlY051bT48RGlzcGxheVRleHQ+PHN0eWxlIGZhY2U9InN1cGVyc2NyaXB0IiBm
b250PSJUcmVidWNoZXQgTVMiIHNpemU9IjkiPjM2Nzwvc3R5bGU+PC9EaXNwbGF5VGV4dD48cmVj
b3JkPjxyZWMtbnVtYmVyPjE5MzE8L3JlYy1udW1iZXI+PGZvcmVpZ24ta2V5cz48a2V5IGFwcD0i
RU4iIGRiLWlkPSJleHZhc3JmeDJkdHJhb2VzYXN4cDJzenN4YTJkZjUwMjU5MngiIHRpbWVzdGFt
cD0iMTU4ODY1NDA1NCI+MTkzMTwva2V5PjxrZXkgYXBwPSJFTldlYiIgZGItaWQ9IiI+MDwva2V5
PjwvZm9yZWlnbi1rZXlzPjxyZWYtdHlwZSBuYW1lPSJKb3VybmFsIEFydGljbGUiPjE3PC9yZWYt
dHlwZT48Y29udHJpYnV0b3JzPjxhdXRob3JzPjxhdXRob3I+VGlhbiwgWi4gWC48L2F1dGhvcj48
YXV0aG9yPldhbiwgTS48L2F1dGhvcj48YXV0aG9yPkdhbywgWS4gTC48L2F1dGhvcj48YXV0aG9y
Pld1LCBCLiBGLjwvYXV0aG9yPjxhdXRob3I+WGllLCBZLjwvYXV0aG9yPjxhdXRob3I+TGl1LCBK
LjwvYXV0aG9yPjxhdXRob3I+U3UsIFIuIFouPC9hdXRob3I+PGF1dGhvcj5UaWFuLCBMLiBMLjwv
YXV0aG9yPjxhdXRob3I+SHUsIFkuIFEuPC9hdXRob3I+PC9hdXRob3JzPjwvY29udHJpYnV0b3Jz
PjxhdXRoLWFkZHJlc3M+RGVwYXJ0bWVudCBvZiBEaWdlc3RpdmUgTWVkaWNpbmUsIFhpYW1lbiBV
bml2ZXJzaXR5IEFmZmlsaWF0ZWQgWmhvbmcgU2hhbiBIb3NwaXRhbCwgWGlhbWVuIFVuaXZlcnNp
dHkgTWVkaWNhbCBTY2hvb2wsIFhpYW1lbiwgQ2hpbmEuJiN4RDtEZXBhcnRtZW50IG9mIEdhc3Ry
b2VudGVyb2xvZ3ksIFpob25nc2hhbiBIb3NwaXRhbCBBZmZpbGlhdGVkIHRvIFhpYW1lbiBVbml2
ZXJzaXR5LCBYaWFtZW4sIENoaW5hLiYjeEQ7TmludGggUGVvcGxlJmFwb3M7cyBIb3NwaXRhbCBv
ZiBDaG9uZ3FpbmcsIFNoYW5naGFpLCBDaGluYS4mI3hEO1hpYUhlIERpdmlzaW9uLCBaaG9uZ3No
YW4gSG9zcGl0YWwgQWZmaWxpYXRlZCB0byBYaWFtZW4gVW5pdmVyc2l0eSwgWGlhbWVuLCBDaGlu
YS4mI3hEO0RlcGFydG1lbnQgb2YgR3luYWVjb2xvZ3kgYW5kIE9ic3RldHJpY3MsIFpob25nc2hh
biBIb3NwaXRhbCBBZmZpbGlhdGVkIHRvIFhpYW1lbiBVbml2ZXJzaXR5LCBYaWFtZW4sIENoaW5h
LjwvYXV0aC1hZGRyZXNzPjx0aXRsZXM+PHRpdGxlPkdlc3RhdGlvbmFsIHdlaWdodCBnYWluIGFu
ZCByaXNrIG9mIGF1dGlzbSBzcGVjdHJ1bSBkaXNvcmRlcnMgaW4gb2Zmc3ByaW5nOiBhIHN5c3Rl
bWF0aWMgcmV2aWV3IGFuZCBtZXRhLWFuYWx5c2lzPC90aXRsZT48c2Vjb25kYXJ5LXRpdGxlPkog
T2JzdGV0IEd5bmFlY29sPC9zZWNvbmRhcnktdGl0bGU+PC90aXRsZXM+PHBlcmlvZGljYWw+PGZ1
bGwtdGl0bGU+SiBPYnN0ZXQgR3luYWVjb2w8L2Z1bGwtdGl0bGU+PC9wZXJpb2RpY2FsPjxwYWdl
cz4xLTg8L3BhZ2VzPjxlZGl0aW9uPjIwMTkvMTIvMDQ8L2VkaXRpb24+PGtleXdvcmRzPjxrZXl3
b3JkPkFzZDwva2V5d29yZD48a2V5d29yZD5Hd2c8L2tleXdvcmQ+PGtleXdvcmQ+R2VzdGF0aW9u
YWwgd2VpZ2h0IGdhaW48L2tleXdvcmQ+PGtleXdvcmQ+YXV0aXNtPC9rZXl3b3JkPjxrZXl3b3Jk
PmF1dGlzbSBzcGVjdHJ1bSBkaXNvcmRlcnM8L2tleXdvcmQ+PGtleXdvcmQ+bWV0YS1hbmFseXNp
czwva2V5d29yZD48a2V5d29yZD5zeXN0ZW1hdGljIHJldmlldzwva2V5d29yZD48L2tleXdvcmRz
PjxkYXRlcz48eWVhcj4yMDE5PC95ZWFyPjxwdWItZGF0ZXM+PGRhdGU+RGVjIDI8L2RhdGU+PC9w
dWItZGF0ZXM+PC9kYXRlcz48aXNibj4xMzY0LTY4OTMgKEVsZWN0cm9uaWMpJiN4RDswMTQ0LTM2
MTUgKExpbmtpbmcpPC9pc2JuPjxhY2Nlc3Npb24tbnVtPjMxNzkwMzE1PC9hY2Nlc3Npb24tbnVt
Pjx1cmxzPjxyZWxhdGVkLXVybHM+PHVybD5odHRwczovL3d3dy5uY2JpLm5sbS5uaWguZ292L3B1
Ym1lZC8zMTc5MDMxNTwvdXJsPjwvcmVsYXRlZC11cmxzPjwvdXJscz48ZWxlY3Ryb25pYy1yZXNv
dXJjZS1udW0+MTAuMTA4MC8wMTQ0MzYxNS4yMDE5LjE2NzYyMTE8L2VsZWN0cm9uaWMtcmVzb3Vy
Y2UtbnVtPjwvcmVjb3JkPjwvQ2l0ZT48L0VuZE5vdGU+
</w:fldData>
              </w:fldChar>
            </w:r>
            <w:r w:rsidR="001A2F28">
              <w:instrText xml:space="preserve"> ADDIN EN.CITE </w:instrText>
            </w:r>
            <w:r w:rsidR="001A2F28">
              <w:fldChar w:fldCharType="begin">
                <w:fldData xml:space="preserve">PEVuZE5vdGU+PENpdGU+PEF1dGhvcj5UaWFuPC9BdXRob3I+PFllYXI+MjAxOTwvWWVhcj48UmVj
TnVtPjE5MzE8L1JlY051bT48RGlzcGxheVRleHQ+PHN0eWxlIGZhY2U9InN1cGVyc2NyaXB0IiBm
b250PSJUcmVidWNoZXQgTVMiIHNpemU9IjkiPjM2Nzwvc3R5bGU+PC9EaXNwbGF5VGV4dD48cmVj
b3JkPjxyZWMtbnVtYmVyPjE5MzE8L3JlYy1udW1iZXI+PGZvcmVpZ24ta2V5cz48a2V5IGFwcD0i
RU4iIGRiLWlkPSJleHZhc3JmeDJkdHJhb2VzYXN4cDJzenN4YTJkZjUwMjU5MngiIHRpbWVzdGFt
cD0iMTU4ODY1NDA1NCI+MTkzMTwva2V5PjxrZXkgYXBwPSJFTldlYiIgZGItaWQ9IiI+MDwva2V5
PjwvZm9yZWlnbi1rZXlzPjxyZWYtdHlwZSBuYW1lPSJKb3VybmFsIEFydGljbGUiPjE3PC9yZWYt
dHlwZT48Y29udHJpYnV0b3JzPjxhdXRob3JzPjxhdXRob3I+VGlhbiwgWi4gWC48L2F1dGhvcj48
YXV0aG9yPldhbiwgTS48L2F1dGhvcj48YXV0aG9yPkdhbywgWS4gTC48L2F1dGhvcj48YXV0aG9y
Pld1LCBCLiBGLjwvYXV0aG9yPjxhdXRob3I+WGllLCBZLjwvYXV0aG9yPjxhdXRob3I+TGl1LCBK
LjwvYXV0aG9yPjxhdXRob3I+U3UsIFIuIFouPC9hdXRob3I+PGF1dGhvcj5UaWFuLCBMLiBMLjwv
YXV0aG9yPjxhdXRob3I+SHUsIFkuIFEuPC9hdXRob3I+PC9hdXRob3JzPjwvY29udHJpYnV0b3Jz
PjxhdXRoLWFkZHJlc3M+RGVwYXJ0bWVudCBvZiBEaWdlc3RpdmUgTWVkaWNpbmUsIFhpYW1lbiBV
bml2ZXJzaXR5IEFmZmlsaWF0ZWQgWmhvbmcgU2hhbiBIb3NwaXRhbCwgWGlhbWVuIFVuaXZlcnNp
dHkgTWVkaWNhbCBTY2hvb2wsIFhpYW1lbiwgQ2hpbmEuJiN4RDtEZXBhcnRtZW50IG9mIEdhc3Ry
b2VudGVyb2xvZ3ksIFpob25nc2hhbiBIb3NwaXRhbCBBZmZpbGlhdGVkIHRvIFhpYW1lbiBVbml2
ZXJzaXR5LCBYaWFtZW4sIENoaW5hLiYjeEQ7TmludGggUGVvcGxlJmFwb3M7cyBIb3NwaXRhbCBv
ZiBDaG9uZ3FpbmcsIFNoYW5naGFpLCBDaGluYS4mI3hEO1hpYUhlIERpdmlzaW9uLCBaaG9uZ3No
YW4gSG9zcGl0YWwgQWZmaWxpYXRlZCB0byBYaWFtZW4gVW5pdmVyc2l0eSwgWGlhbWVuLCBDaGlu
YS4mI3hEO0RlcGFydG1lbnQgb2YgR3luYWVjb2xvZ3kgYW5kIE9ic3RldHJpY3MsIFpob25nc2hh
biBIb3NwaXRhbCBBZmZpbGlhdGVkIHRvIFhpYW1lbiBVbml2ZXJzaXR5LCBYaWFtZW4sIENoaW5h
LjwvYXV0aC1hZGRyZXNzPjx0aXRsZXM+PHRpdGxlPkdlc3RhdGlvbmFsIHdlaWdodCBnYWluIGFu
ZCByaXNrIG9mIGF1dGlzbSBzcGVjdHJ1bSBkaXNvcmRlcnMgaW4gb2Zmc3ByaW5nOiBhIHN5c3Rl
bWF0aWMgcmV2aWV3IGFuZCBtZXRhLWFuYWx5c2lzPC90aXRsZT48c2Vjb25kYXJ5LXRpdGxlPkog
T2JzdGV0IEd5bmFlY29sPC9zZWNvbmRhcnktdGl0bGU+PC90aXRsZXM+PHBlcmlvZGljYWw+PGZ1
bGwtdGl0bGU+SiBPYnN0ZXQgR3luYWVjb2w8L2Z1bGwtdGl0bGU+PC9wZXJpb2RpY2FsPjxwYWdl
cz4xLTg8L3BhZ2VzPjxlZGl0aW9uPjIwMTkvMTIvMDQ8L2VkaXRpb24+PGtleXdvcmRzPjxrZXl3
b3JkPkFzZDwva2V5d29yZD48a2V5d29yZD5Hd2c8L2tleXdvcmQ+PGtleXdvcmQ+R2VzdGF0aW9u
YWwgd2VpZ2h0IGdhaW48L2tleXdvcmQ+PGtleXdvcmQ+YXV0aXNtPC9rZXl3b3JkPjxrZXl3b3Jk
PmF1dGlzbSBzcGVjdHJ1bSBkaXNvcmRlcnM8L2tleXdvcmQ+PGtleXdvcmQ+bWV0YS1hbmFseXNp
czwva2V5d29yZD48a2V5d29yZD5zeXN0ZW1hdGljIHJldmlldzwva2V5d29yZD48L2tleXdvcmRz
PjxkYXRlcz48eWVhcj4yMDE5PC95ZWFyPjxwdWItZGF0ZXM+PGRhdGU+RGVjIDI8L2RhdGU+PC9w
dWItZGF0ZXM+PC9kYXRlcz48aXNibj4xMzY0LTY4OTMgKEVsZWN0cm9uaWMpJiN4RDswMTQ0LTM2
MTUgKExpbmtpbmcpPC9pc2JuPjxhY2Nlc3Npb24tbnVtPjMxNzkwMzE1PC9hY2Nlc3Npb24tbnVt
Pjx1cmxzPjxyZWxhdGVkLXVybHM+PHVybD5odHRwczovL3d3dy5uY2JpLm5sbS5uaWguZ292L3B1
Ym1lZC8zMTc5MDMxNTwvdXJsPjwvcmVsYXRlZC11cmxzPjwvdXJscz48ZWxlY3Ryb25pYy1yZXNv
dXJjZS1udW0+MTAuMTA4MC8wMTQ0MzYxNS4yMDE5LjE2NzYyMTE8L2VsZWN0cm9uaWMtcmVzb3Vy
Y2UtbnVtPjwvcmVjb3JkPjwvQ2l0ZT48L0VuZE5vdGU+
</w:fldData>
              </w:fldChar>
            </w:r>
            <w:r w:rsidR="001A2F28">
              <w:instrText xml:space="preserve"> ADDIN EN.CITE.DATA </w:instrText>
            </w:r>
            <w:r w:rsidR="001A2F28">
              <w:fldChar w:fldCharType="end"/>
            </w:r>
            <w:r w:rsidR="00D07346">
              <w:fldChar w:fldCharType="separate"/>
            </w:r>
            <w:r w:rsidR="001A2F28" w:rsidRPr="001A2F28">
              <w:rPr>
                <w:noProof/>
                <w:vertAlign w:val="superscript"/>
              </w:rPr>
              <w:t>367</w:t>
            </w:r>
            <w:r w:rsidR="00D07346">
              <w:fldChar w:fldCharType="end"/>
            </w:r>
          </w:p>
          <w:p w14:paraId="57E0CB4B" w14:textId="24A79EE3" w:rsidR="00A85AD8" w:rsidRDefault="00A85AD8" w:rsidP="001E01D1">
            <w:r>
              <w:t>SLR</w:t>
            </w:r>
          </w:p>
        </w:tc>
        <w:tc>
          <w:tcPr>
            <w:tcW w:w="1701" w:type="dxa"/>
          </w:tcPr>
          <w:p w14:paraId="6CA1A2BF" w14:textId="71335653" w:rsidR="00A85AD8" w:rsidRDefault="00A85AD8" w:rsidP="001E01D1">
            <w:r>
              <w:t xml:space="preserve">5 </w:t>
            </w:r>
            <w:r w:rsidR="00D078E1">
              <w:t xml:space="preserve">cohort </w:t>
            </w:r>
            <w:r>
              <w:t>studies</w:t>
            </w:r>
          </w:p>
          <w:p w14:paraId="65E3E658" w14:textId="2175E906" w:rsidR="00A85AD8" w:rsidRDefault="00A85AD8" w:rsidP="001E01D1">
            <w:r>
              <w:t>3,793 children</w:t>
            </w:r>
          </w:p>
        </w:tc>
        <w:tc>
          <w:tcPr>
            <w:tcW w:w="4252" w:type="dxa"/>
          </w:tcPr>
          <w:p w14:paraId="79999802" w14:textId="220E6F09" w:rsidR="00A85AD8" w:rsidRDefault="00A85AD8" w:rsidP="001E01D1">
            <w:r w:rsidRPr="00BD61CC">
              <w:rPr>
                <w:b/>
              </w:rPr>
              <w:t>Aim</w:t>
            </w:r>
            <w:r>
              <w:t>: t</w:t>
            </w:r>
            <w:r w:rsidRPr="00A85AD8">
              <w:t xml:space="preserve">o evaluate the relationship between </w:t>
            </w:r>
            <w:r>
              <w:t>gestational weight gain</w:t>
            </w:r>
            <w:r w:rsidRPr="00A85AD8">
              <w:t xml:space="preserve"> and risk of </w:t>
            </w:r>
            <w:r>
              <w:t>autism spectrum disorder (</w:t>
            </w:r>
            <w:r w:rsidRPr="00A85AD8">
              <w:t>ASD</w:t>
            </w:r>
            <w:r>
              <w:t>)</w:t>
            </w:r>
            <w:r w:rsidRPr="00A85AD8">
              <w:t xml:space="preserve"> in offspring. </w:t>
            </w:r>
          </w:p>
          <w:p w14:paraId="73089F99" w14:textId="37BB6C4D" w:rsidR="00A85AD8" w:rsidRPr="00694570" w:rsidRDefault="00A85AD8" w:rsidP="00A85AD8">
            <w:pPr>
              <w:rPr>
                <w:b/>
              </w:rPr>
            </w:pPr>
            <w:r w:rsidRPr="00BD61CC">
              <w:rPr>
                <w:b/>
              </w:rPr>
              <w:t>Methods</w:t>
            </w:r>
            <w:r>
              <w:t xml:space="preserve">: </w:t>
            </w:r>
            <w:r w:rsidRPr="00A85AD8">
              <w:t xml:space="preserve">Four electronic databases were searched up to August 28 2018 to identify observational studies reporting the association between </w:t>
            </w:r>
            <w:r>
              <w:t>gestational weight gain</w:t>
            </w:r>
            <w:r w:rsidRPr="00A85AD8">
              <w:t xml:space="preserve"> and risk of ASD in the offspring. </w:t>
            </w:r>
            <w:r>
              <w:t>F</w:t>
            </w:r>
            <w:r w:rsidRPr="00A85AD8">
              <w:t>ive studies with a total of 3793 children with ASD were included in the meta-analysis.</w:t>
            </w:r>
          </w:p>
        </w:tc>
        <w:tc>
          <w:tcPr>
            <w:tcW w:w="4394" w:type="dxa"/>
          </w:tcPr>
          <w:p w14:paraId="2CDFA46C" w14:textId="0A0B3FF7" w:rsidR="00A85AD8" w:rsidRPr="00A85AD8" w:rsidRDefault="00A85AD8" w:rsidP="00A85AD8">
            <w:r w:rsidRPr="00A85AD8">
              <w:t xml:space="preserve">The-results indicated that excessive </w:t>
            </w:r>
            <w:r>
              <w:t>gestational weight gain</w:t>
            </w:r>
            <w:r w:rsidRPr="00A85AD8">
              <w:t xml:space="preserve"> </w:t>
            </w:r>
            <w:r>
              <w:t>may</w:t>
            </w:r>
            <w:r w:rsidRPr="00A85AD8">
              <w:t xml:space="preserve"> increase th</w:t>
            </w:r>
            <w:r>
              <w:t>e risk of ASD in offspring (p=0.0008, OR</w:t>
            </w:r>
            <w:r w:rsidRPr="00A85AD8">
              <w:t xml:space="preserve"> 1.23, 95%</w:t>
            </w:r>
            <w:r>
              <w:t xml:space="preserve">CI 1.09 to </w:t>
            </w:r>
            <w:r w:rsidRPr="00A85AD8">
              <w:t xml:space="preserve">1.38). More high quality cohort studies are needed to confirm this result. </w:t>
            </w:r>
          </w:p>
        </w:tc>
        <w:tc>
          <w:tcPr>
            <w:tcW w:w="2411" w:type="dxa"/>
          </w:tcPr>
          <w:p w14:paraId="1AB3962F" w14:textId="77777777" w:rsidR="00A85AD8" w:rsidRDefault="00A85AD8" w:rsidP="001E01D1"/>
        </w:tc>
      </w:tr>
      <w:tr w:rsidR="00A85AD8" w:rsidRPr="00B60FFF" w14:paraId="67375BC2" w14:textId="77777777" w:rsidTr="001E01D1">
        <w:trPr>
          <w:cantSplit/>
        </w:trPr>
        <w:tc>
          <w:tcPr>
            <w:tcW w:w="1418" w:type="dxa"/>
          </w:tcPr>
          <w:p w14:paraId="323DA185" w14:textId="3B15598D" w:rsidR="00A85AD8" w:rsidRDefault="00A85AD8" w:rsidP="001E01D1">
            <w:r>
              <w:t>Santos et al 2019</w:t>
            </w:r>
            <w:r w:rsidR="00D07346">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00D07346">
              <w:fldChar w:fldCharType="separate"/>
            </w:r>
            <w:r w:rsidR="001A2F28" w:rsidRPr="001A2F28">
              <w:rPr>
                <w:noProof/>
                <w:vertAlign w:val="superscript"/>
              </w:rPr>
              <w:t>362</w:t>
            </w:r>
            <w:r w:rsidR="00D07346">
              <w:fldChar w:fldCharType="end"/>
            </w:r>
          </w:p>
          <w:p w14:paraId="016A47B5" w14:textId="77777777" w:rsidR="00A85AD8" w:rsidRDefault="00A85AD8" w:rsidP="001E01D1">
            <w:r>
              <w:t>Meta-analysis</w:t>
            </w:r>
          </w:p>
          <w:p w14:paraId="654D9CCE" w14:textId="77777777" w:rsidR="00A85AD8" w:rsidRDefault="00A85AD8" w:rsidP="001E01D1">
            <w:r w:rsidRPr="00694570">
              <w:t>Europe, North America, and Oceania</w:t>
            </w:r>
          </w:p>
        </w:tc>
        <w:tc>
          <w:tcPr>
            <w:tcW w:w="1701" w:type="dxa"/>
          </w:tcPr>
          <w:p w14:paraId="6D857190" w14:textId="77777777" w:rsidR="00A85AD8" w:rsidRDefault="00A85AD8" w:rsidP="001E01D1">
            <w:r>
              <w:t>39 cohorts</w:t>
            </w:r>
          </w:p>
          <w:p w14:paraId="336287BE" w14:textId="77777777" w:rsidR="00A85AD8" w:rsidRDefault="00A85AD8" w:rsidP="001E01D1">
            <w:r>
              <w:t>265,</w:t>
            </w:r>
            <w:r w:rsidRPr="00694570">
              <w:t>270 births</w:t>
            </w:r>
          </w:p>
        </w:tc>
        <w:tc>
          <w:tcPr>
            <w:tcW w:w="4252" w:type="dxa"/>
          </w:tcPr>
          <w:p w14:paraId="65FE4330" w14:textId="77777777" w:rsidR="00A85AD8" w:rsidRDefault="00A85AD8" w:rsidP="001E01D1">
            <w:r w:rsidRPr="00694570">
              <w:rPr>
                <w:b/>
              </w:rPr>
              <w:t>Aim</w:t>
            </w:r>
            <w:r>
              <w:t xml:space="preserve">: </w:t>
            </w:r>
            <w:r w:rsidRPr="00694570">
              <w:t xml:space="preserve">To assess the separate and combined associations of maternal pre-pregnancy body mass index (BMI) and gestational weight gain with the risks of pregnancy complications and their population impact. </w:t>
            </w:r>
          </w:p>
          <w:p w14:paraId="666466FF" w14:textId="77777777" w:rsidR="00A85AD8" w:rsidRPr="00B26ED3" w:rsidRDefault="00A85AD8" w:rsidP="001E01D1">
            <w:pPr>
              <w:rPr>
                <w:b/>
              </w:rPr>
            </w:pPr>
            <w:r w:rsidRPr="00694570">
              <w:rPr>
                <w:b/>
              </w:rPr>
              <w:t>Methods</w:t>
            </w:r>
            <w:r w:rsidRPr="00694570">
              <w:t xml:space="preserve">: Information on maternal pre-pregnancy BMI, gestational weight gain, and pregnancy complications was obtained. Multilevel binary logistic regression models were used. </w:t>
            </w:r>
          </w:p>
        </w:tc>
        <w:tc>
          <w:tcPr>
            <w:tcW w:w="4394" w:type="dxa"/>
          </w:tcPr>
          <w:p w14:paraId="41176E7C" w14:textId="0BE2FECD" w:rsidR="0027054E" w:rsidRPr="0027054E" w:rsidRDefault="0027054E" w:rsidP="00BD61CC">
            <w:r>
              <w:t>C</w:t>
            </w:r>
            <w:r w:rsidRPr="0027054E">
              <w:t xml:space="preserve">ompared with </w:t>
            </w:r>
            <w:r>
              <w:t>healthy</w:t>
            </w:r>
            <w:r w:rsidRPr="0027054E">
              <w:t xml:space="preserve"> weight </w:t>
            </w:r>
            <w:r>
              <w:t xml:space="preserve">women </w:t>
            </w:r>
            <w:r w:rsidRPr="0027054E">
              <w:t>with medium gestational weight gain, overweight and obese</w:t>
            </w:r>
            <w:r>
              <w:t xml:space="preserve"> women </w:t>
            </w:r>
            <w:r w:rsidRPr="0027054E">
              <w:t>had higher risks of any pregnancy complication,</w:t>
            </w:r>
            <w:r>
              <w:t xml:space="preserve"> </w:t>
            </w:r>
            <w:r w:rsidRPr="0027054E">
              <w:t>independent of their gestational weight gain (</w:t>
            </w:r>
            <w:r w:rsidRPr="0027054E">
              <w:rPr>
                <w:rFonts w:ascii="Helvetica" w:hAnsi="Helvetica"/>
              </w:rPr>
              <w:t xml:space="preserve">P &lt; </w:t>
            </w:r>
            <w:r w:rsidRPr="0027054E">
              <w:t>0.05).</w:t>
            </w:r>
          </w:p>
          <w:p w14:paraId="25BF4B24" w14:textId="77777777" w:rsidR="0027054E" w:rsidRDefault="0027054E" w:rsidP="00BD61CC">
            <w:r w:rsidRPr="0027054E">
              <w:t>The highest risk of any pregnancy complication was</w:t>
            </w:r>
            <w:r>
              <w:t xml:space="preserve"> </w:t>
            </w:r>
            <w:r w:rsidRPr="0027054E">
              <w:t xml:space="preserve">observed for obese </w:t>
            </w:r>
            <w:r>
              <w:t>women</w:t>
            </w:r>
            <w:r w:rsidRPr="0027054E">
              <w:t xml:space="preserve"> with high weight gain (OR</w:t>
            </w:r>
            <w:r>
              <w:t xml:space="preserve"> 2.51, 95%</w:t>
            </w:r>
            <w:r w:rsidRPr="0027054E">
              <w:t>CI 2.31</w:t>
            </w:r>
            <w:r>
              <w:rPr>
                <w:rFonts w:ascii="Helvetica" w:hAnsi="Helvetica"/>
              </w:rPr>
              <w:t xml:space="preserve"> to </w:t>
            </w:r>
            <w:r w:rsidRPr="0027054E">
              <w:t xml:space="preserve">2.74). </w:t>
            </w:r>
          </w:p>
          <w:p w14:paraId="34D02751" w14:textId="7E7A84DA" w:rsidR="00763349" w:rsidRPr="00BD61CC" w:rsidRDefault="0027054E" w:rsidP="0027054E">
            <w:r w:rsidRPr="0027054E">
              <w:t>Low and high gestational weight</w:t>
            </w:r>
            <w:r>
              <w:t xml:space="preserve"> </w:t>
            </w:r>
            <w:r w:rsidRPr="0027054E">
              <w:t xml:space="preserve">gain were also, among </w:t>
            </w:r>
            <w:r>
              <w:t>healthy</w:t>
            </w:r>
            <w:r w:rsidRPr="0027054E">
              <w:t xml:space="preserve"> weight </w:t>
            </w:r>
            <w:r>
              <w:t>women</w:t>
            </w:r>
            <w:r w:rsidRPr="0027054E">
              <w:t>, associated</w:t>
            </w:r>
            <w:r>
              <w:t xml:space="preserve"> </w:t>
            </w:r>
            <w:r w:rsidRPr="0027054E">
              <w:t>with a higher risk of any pregnancy complication</w:t>
            </w:r>
            <w:r>
              <w:t xml:space="preserve"> </w:t>
            </w:r>
            <w:r w:rsidRPr="0027054E">
              <w:t>(</w:t>
            </w:r>
            <w:r>
              <w:rPr>
                <w:rFonts w:ascii="Helvetica" w:hAnsi="Helvetica"/>
              </w:rPr>
              <w:t>p</w:t>
            </w:r>
            <w:r w:rsidRPr="0027054E">
              <w:rPr>
                <w:rFonts w:ascii="Helvetica" w:hAnsi="Helvetica"/>
              </w:rPr>
              <w:t>&lt;</w:t>
            </w:r>
            <w:r w:rsidRPr="0027054E">
              <w:t xml:space="preserve">0.05). Obese </w:t>
            </w:r>
            <w:r>
              <w:t>women</w:t>
            </w:r>
            <w:r w:rsidRPr="0027054E">
              <w:t xml:space="preserve"> with high gestational weight</w:t>
            </w:r>
            <w:r>
              <w:t xml:space="preserve"> </w:t>
            </w:r>
            <w:r w:rsidRPr="0027054E">
              <w:t>gain had the highest risks of gestational hypertension (OR</w:t>
            </w:r>
            <w:r>
              <w:t xml:space="preserve"> 4.52, 95%</w:t>
            </w:r>
            <w:r w:rsidRPr="0027054E">
              <w:t>CI 3.86</w:t>
            </w:r>
            <w:r>
              <w:rPr>
                <w:rFonts w:ascii="Helvetica" w:hAnsi="Helvetica"/>
              </w:rPr>
              <w:t xml:space="preserve"> to </w:t>
            </w:r>
            <w:r w:rsidRPr="0027054E">
              <w:t>5.31), pre-eclampsi</w:t>
            </w:r>
            <w:r>
              <w:t>a (OR 4.58, 95%</w:t>
            </w:r>
            <w:r w:rsidRPr="0027054E">
              <w:t>CI</w:t>
            </w:r>
            <w:r>
              <w:t xml:space="preserve"> </w:t>
            </w:r>
            <w:r w:rsidRPr="0027054E">
              <w:t>3.90</w:t>
            </w:r>
            <w:r>
              <w:rPr>
                <w:rFonts w:ascii="Helvetica" w:hAnsi="Helvetica"/>
              </w:rPr>
              <w:t xml:space="preserve"> to </w:t>
            </w:r>
            <w:r w:rsidRPr="0027054E">
              <w:t>5.37), gestational diabetes (OR 7.84, 95% CI 6.38</w:t>
            </w:r>
            <w:r>
              <w:rPr>
                <w:rFonts w:ascii="Helvetica" w:hAnsi="Helvetica"/>
              </w:rPr>
              <w:t xml:space="preserve"> to </w:t>
            </w:r>
            <w:r w:rsidRPr="0027054E">
              <w:t>9.62), preterm birth (OR 2.14, 95% CI 1.86</w:t>
            </w:r>
            <w:r w:rsidRPr="0027054E">
              <w:rPr>
                <w:rFonts w:ascii="Helvetica" w:hAnsi="Helvetica"/>
              </w:rPr>
              <w:t>–</w:t>
            </w:r>
            <w:r w:rsidRPr="0027054E">
              <w:t>2.46), and</w:t>
            </w:r>
            <w:r>
              <w:t xml:space="preserve"> </w:t>
            </w:r>
            <w:r w:rsidRPr="0027054E">
              <w:t>large for gestational age at birth (OR 4.77, 95% CI 4.35</w:t>
            </w:r>
            <w:r>
              <w:rPr>
                <w:rFonts w:ascii="Helvetica" w:hAnsi="Helvetica"/>
              </w:rPr>
              <w:t xml:space="preserve"> to </w:t>
            </w:r>
            <w:r w:rsidRPr="0027054E">
              <w:t>5.22). Underweight mothers with low gestational weight</w:t>
            </w:r>
            <w:r>
              <w:t xml:space="preserve"> </w:t>
            </w:r>
            <w:r w:rsidRPr="0027054E">
              <w:t>gain had the highest risk of small for gestational age at</w:t>
            </w:r>
            <w:r>
              <w:t xml:space="preserve"> </w:t>
            </w:r>
            <w:r w:rsidRPr="0027054E">
              <w:t>birth (OR 3.12, 95% CI 2.75</w:t>
            </w:r>
            <w:r>
              <w:rPr>
                <w:rFonts w:ascii="Helvetica" w:hAnsi="Helvetica"/>
              </w:rPr>
              <w:t xml:space="preserve"> to </w:t>
            </w:r>
            <w:r w:rsidRPr="0027054E">
              <w:t>3.54).</w:t>
            </w:r>
          </w:p>
        </w:tc>
        <w:tc>
          <w:tcPr>
            <w:tcW w:w="2411" w:type="dxa"/>
          </w:tcPr>
          <w:p w14:paraId="308130BC" w14:textId="77777777" w:rsidR="00A85AD8" w:rsidRDefault="00A85AD8" w:rsidP="001E01D1"/>
        </w:tc>
      </w:tr>
      <w:tr w:rsidR="00182455" w:rsidRPr="00B60FFF" w14:paraId="58A90D6F" w14:textId="77777777" w:rsidTr="00F11CB4">
        <w:trPr>
          <w:cantSplit/>
        </w:trPr>
        <w:tc>
          <w:tcPr>
            <w:tcW w:w="1418" w:type="dxa"/>
          </w:tcPr>
          <w:p w14:paraId="6019D5D7" w14:textId="25F62C49" w:rsidR="00182455" w:rsidRDefault="00182455" w:rsidP="00F11CB4">
            <w:r>
              <w:t>Goldstein et al 2017</w:t>
            </w:r>
            <w:r w:rsidR="00774750">
              <w:fldChar w:fldCharType="begin">
                <w:fldData xml:space="preserve">PEVuZE5vdGU+PENpdGU+PEF1dGhvcj5Hb2xkc3RlaW48L0F1dGhvcj48WWVhcj4yMDE3PC9ZZWFy
PjxSZWNOdW0+MTc1NzwvUmVjTnVtPjxEaXNwbGF5VGV4dD48c3R5bGUgZmFjZT0ic3VwZXJzY3Jp
cHQiIGZvbnQ9IlRyZWJ1Y2hldCBNUyIgc2l6ZT0iOSI+MzYzPC9zdHlsZT48L0Rpc3BsYXlUZXh0
PjxyZWNvcmQ+PHJlYy1udW1iZXI+MTc1NzwvcmVjLW51bWJlcj48Zm9yZWlnbi1rZXlzPjxrZXkg
YXBwPSJFTiIgZGItaWQ9ImV4dmFzcmZ4MmR0cmFvZXNhc3hwMnN6c3hhMmRmNTAyNTkyeCIgdGlt
ZXN0YW1wPSIxNTgyODY3MTIzIj4xNzU3PC9rZXk+PGtleSBhcHA9IkVOV2ViIiBkYi1pZD0iIj4w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Uy48L2F1dGhvcj48YXV0aG9yPk1pc3NvLCBNLjwvYXV0aG9yPjxhdXRob3I+Qm95bGUsIEouIEEu
PC9hdXRob3I+PGF1dGhvcj5CbGFjaywgTS4gSC48L2F1dGhvcj48YXV0aG9yPkxpLCBOLjwvYXV0
aG9yPjxhdXRob3I+SHUsIEcuPC9hdXRob3I+PGF1dGhvcj5Db3JyYWRvLCBGLjwvYXV0aG9yPjxh
dXRob3I+Um9kZSwgTC48L2F1dGhvcj48YXV0aG9yPktpbSwgWS4gSi48L2F1dGhvcj48YXV0aG9y
PkhhdWdlbiwgTS48L2F1dGhvcj48YXV0aG9yPlNvbmcsIFcuIE8uPC9hdXRob3I+PGF1dGhvcj5L
aW0sIE0uIEguPC9hdXRob3I+PGF1dGhvcj5Cb2dhZXJ0cywgQS48L2F1dGhvcj48YXV0aG9yPkRl
dmxpZWdlciwgUi48L2F1dGhvcj48YXV0aG9yPkNodW5nLCBKLiBILjwvYXV0aG9yPjxhdXRob3I+
VGVlZGUsIEguIEouPC9hdXRob3I+PC9hdXRob3JzPjwvY29udHJpYnV0b3JzPjxhdXRoLWFkZHJl
c3M+TW9uYXNoIENlbnRyZSBmb3IgSGVhbHRoIFJlc2VhcmNoIGFuZCBJbXBsZW1lbnRhdGlvbiwg
TW9uYXNoIFVuaXZlcnNpdHksIFZpY3RvcmlhLCBBdXN0cmFsaWEyTW9uYXNoIERpYWJldGVzIGFu
ZCBFbmRvY3JpbmUgVW5pdHMsIE1vbmFzaCBIZWFsdGgsIFZpY3RvcmlhLCBBdXN0cmFsaWEuJiN4
RDtNb25hc2ggQ2VudHJlIGZvciBIZWFsdGggUmVzZWFyY2ggYW5kIEltcGxlbWVudGF0aW9uLCBN
b25hc2ggVW5pdmVyc2l0eSwgVmljdG9yaWEsIEF1c3RyYWxpYS4mI3hEO0thaXNlciBQZXJtYW5l
bnRlLCBTb3V0aGVybiBDYWxpZm9ybmlhLCBMb3MgQW5nZWxlczRBbWJyeSBHZW5ldGljcywgQWxp
c28gVmllam8sIENhbGlmb3JuaWEuJiN4RDtUaWFuamluIFdvbWVuJmFwb3M7cyBhbmQgQ2hpbGRy
ZW4mYXBvcztzIEhlYWx0aCBDZW50ZXIsIFRpYW5qaW4sIENoaW5hLiYjeEQ7UGVubmluZ3RvbiBC
aW9tZWRpY2FsIFJlc2VhcmNoIENlbnRlciwgQmF0b24gUm91Z2UsIExvdWlzaWFuYS4mI3hEO1Vu
aXZlcnNpdHkgSG9zcGl0YWwsIE1lc3NpbmEsIEl0YWx5LiYjeEQ7RGVwYXJ0bWVudCBvZiBCaW9j
aGVtaXN0cnksIENvcGVuaGFnZW4gVW5pdmVyc2l0eSBIb3NwaXRhbCwgUmlnaG9zcGl0YWxldCwg
Q29wZW5oYWdlbiwgRGVubWFyay4mI3hEO0RlcGFydG1lbnQgb2YgT2JzdGV0cmljcyBhbmQgR3lu
ZWNvbG9neSwgU2Nob29sIG9mIE1lZGljaW5lLCBFd2hhIFdvbWFucyBVbml2ZXJzaXR5LCBTZW91
bCwgUmVwdWJsaWMgb2YgS29yZWEuJiN4RDtOb3J3ZWdpYW4gSW5zdGl0dXRlIG9mIFB1YmxpYyBI
ZWFsdGgsIE9zbG8sIE5vcndheS4mI3hEO01pY2hpZ2FuIFN0YXRlIFVuaXZlcnNpdHksIEVhc3Qg
TGFuc2luZy4mI3hEO0Rhbmtvb2sgVW5pdmVyc2l0eSBDb2xsZWdlIG9mIE1lZGljaW5lLCBTZW91
bCwgUmVwdWJsaWMgb2YgS29yZWEuJiN4RDtEZXBhcnRtZW50IG9mIERldmVsb3BtZW50IGFuZCBS
ZWdlbmVyYXRpb24gS1UgTGV1dmVuLCBVbml2ZXJzaXR5IG9mIExldXZlbiwgTGV1dmVuLCBCZWxn
aXVtMTRGYWN1bHR5IG9mIE1lZGljaW5lIGFuZCBIZWFsdGggU2NpZW5jZXMsIENlbnRyZSBmb3Ig
UmVzZWFyY2ggYW5kIElubm92YXRpb24gaW4gQ2FyZSwgVW5pdmVyc2l0eSBvZiBBbnR3ZXJwLCBB
bnR3ZXJwLCBCZWxnaXVtMTVGYWN1bHR5IG9mIEhlYWx0aCBhbmQgU29jaWFsIFdvcmssIFJlc2Vh
cmNoIFVuaXQgSGVhbHRoeSBMaXZpbmcsIFVDIExldXZlbi1MaW1idXJnLCBMZXV2ZW4sIEJlbGdp
dW0uJiN4RDtEZXBhcnRtZW50IG9mIE9ic3RldHJpY3MgYW5kIEd5bmFlY29sb2d5LCBVbml2ZXJz
aXR5IEhvc3BpdGFscyBLVSBMZXV2ZW4sIExldXZlbiwgQmVsZ2l1bTE3RGVwYXJ0bWVudCBvZiBP
YnN0ZXRyaWNzLCBHeW5hZWNvbG9neSBhbmQgRmVydGlsaXR5LCBHWkEgQ2FtcHVzIFNpbnQtQXVn
dXN0aW51cywgV2lscmlqaywgQmVsZ2l1bS4mI3hEO1VuaXZlcnNpdHkgb2YgQ2FsaWZvcm5pYSwg
SXJ2aW5lLjwvYXV0aC1hZGRyZXNzPjx0aXRsZXM+PHRpdGxlPkFzc29jaWF0aW9uIG9mIGdlc3Rh
dGlvbmFsIHdlaWdodCBnYWluIHdpdGggbWF0ZXJuYWwgYW5kIGluZmFudCBvdXRjb21lczogYSBz
eXN0ZW1hdGljIHJldmlldyBhbmQgbWV0YS1hbmFseXNpczwvdGl0bGU+PHNlY29uZGFyeS10aXRs
ZT5KQU1BPC9zZWNvbmRhcnktdGl0bGU+PC90aXRsZXM+PHBlcmlvZGljYWw+PGZ1bGwtdGl0bGU+
SkFNQTwvZnVsbC10aXRsZT48L3BlcmlvZGljYWw+PHBhZ2VzPjIyMDctMjIyNTwvcGFnZXM+PHZv
bHVtZT4zMTc8L3ZvbHVtZT48bnVtYmVyPjIxPC9udW1iZXI+PGVkaXRpb24+MjAxNy8wNi8wNzwv
ZWRpdGlvbj48a2V5d29yZHM+PGtleXdvcmQ+QWR1bHQ8L2tleXdvcmQ+PGtleXdvcmQ+QmlydGgg
V2VpZ2h0PC9rZXl3b3JkPjxrZXl3b3JkPkJvZHkgTWFzcyBJbmRleDwva2V5d29yZD48a2V5d29y
ZD5Cb2R5IFdlaWdodDwva2V5d29yZD48a2V5d29yZD5DZXNhcmVhbiBTZWN0aW9uPC9rZXl3b3Jk
PjxrZXl3b3JkPkZlbWFsZTwva2V5d29yZD48a2V5d29yZD5GZXRhbCBNYWNyb3NvbWlhPC9rZXl3
b3JkPjxrZXl3b3JkPkh1bWFuczwva2V5d29yZD48a2V5d29yZD5JbmZhbnQsIFNtYWxsIGZvciBH
ZXN0YXRpb25hbCBBZ2U8L2tleXdvcmQ+PGtleXdvcmQ+UHJlZ25hbmN5LypwaHlzaW9sb2d5PC9r
ZXl3b3JkPjxrZXl3b3JkPipQcmVnbmFuY3kgT3V0Y29tZTwva2V5d29yZD48a2V5d29yZD5QcmVt
YXR1cmUgQmlydGg8L2tleXdvcmQ+PGtleXdvcmQ+KldlaWdodCBHYWluPC9rZXl3b3JkPjwva2V5
d29yZHM+PGRhdGVzPjx5ZWFyPjIwMTc8L3llYXI+PHB1Yi1kYXRlcz48ZGF0ZT5KdW4gNjwvZGF0
ZT48L3B1Yi1kYXRlcz48L2RhdGVzPjxpc2JuPjE1MzgtMzU5OCAoRWxlY3Ryb25pYykmI3hEOzAw
OTgtNzQ4NCAoTGlua2luZyk8L2lzYm4+PGFjY2Vzc2lvbi1udW0+Mjg1ODY4ODc8L2FjY2Vzc2lv
bi1udW0+PHVybHM+PHJlbGF0ZWQtdXJscz48dXJsPmh0dHBzOi8vd3d3Lm5jYmkubmxtLm5paC5n
b3YvcHVibWVkLzI4NTg2ODg3PC91cmw+PC9yZWxhdGVkLXVybHM+PC91cmxzPjxjdXN0b20yPlBN
QzU4MTUwNTY8L2N1c3RvbTI+PGVsZWN0cm9uaWMtcmVzb3VyY2UtbnVtPjEwLjEwMDEvamFtYS4y
MDE3LjM2MzU8L2VsZWN0cm9uaWMtcmVzb3VyY2UtbnVtPjwvcmVjb3JkPjwvQ2l0ZT48L0VuZE5v
dGU+AG==
</w:fldData>
              </w:fldChar>
            </w:r>
            <w:r w:rsidR="001A2F28">
              <w:instrText xml:space="preserve"> ADDIN EN.CITE </w:instrText>
            </w:r>
            <w:r w:rsidR="001A2F28">
              <w:fldChar w:fldCharType="begin">
                <w:fldData xml:space="preserve">PEVuZE5vdGU+PENpdGU+PEF1dGhvcj5Hb2xkc3RlaW48L0F1dGhvcj48WWVhcj4yMDE3PC9ZZWFy
PjxSZWNOdW0+MTc1NzwvUmVjTnVtPjxEaXNwbGF5VGV4dD48c3R5bGUgZmFjZT0ic3VwZXJzY3Jp
cHQiIGZvbnQ9IlRyZWJ1Y2hldCBNUyIgc2l6ZT0iOSI+MzYzPC9zdHlsZT48L0Rpc3BsYXlUZXh0
PjxyZWNvcmQ+PHJlYy1udW1iZXI+MTc1NzwvcmVjLW51bWJlcj48Zm9yZWlnbi1rZXlzPjxrZXkg
YXBwPSJFTiIgZGItaWQ9ImV4dmFzcmZ4MmR0cmFvZXNhc3hwMnN6c3hhMmRmNTAyNTkyeCIgdGlt
ZXN0YW1wPSIxNTgyODY3MTIzIj4xNzU3PC9rZXk+PGtleSBhcHA9IkVOV2ViIiBkYi1pZD0iIj4w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Uy48L2F1dGhvcj48YXV0aG9yPk1pc3NvLCBNLjwvYXV0aG9yPjxhdXRob3I+Qm95bGUsIEouIEEu
PC9hdXRob3I+PGF1dGhvcj5CbGFjaywgTS4gSC48L2F1dGhvcj48YXV0aG9yPkxpLCBOLjwvYXV0
aG9yPjxhdXRob3I+SHUsIEcuPC9hdXRob3I+PGF1dGhvcj5Db3JyYWRvLCBGLjwvYXV0aG9yPjxh
dXRob3I+Um9kZSwgTC48L2F1dGhvcj48YXV0aG9yPktpbSwgWS4gSi48L2F1dGhvcj48YXV0aG9y
PkhhdWdlbiwgTS48L2F1dGhvcj48YXV0aG9yPlNvbmcsIFcuIE8uPC9hdXRob3I+PGF1dGhvcj5L
aW0sIE0uIEguPC9hdXRob3I+PGF1dGhvcj5Cb2dhZXJ0cywgQS48L2F1dGhvcj48YXV0aG9yPkRl
dmxpZWdlciwgUi48L2F1dGhvcj48YXV0aG9yPkNodW5nLCBKLiBILjwvYXV0aG9yPjxhdXRob3I+
VGVlZGUsIEguIEouPC9hdXRob3I+PC9hdXRob3JzPjwvY29udHJpYnV0b3JzPjxhdXRoLWFkZHJl
c3M+TW9uYXNoIENlbnRyZSBmb3IgSGVhbHRoIFJlc2VhcmNoIGFuZCBJbXBsZW1lbnRhdGlvbiwg
TW9uYXNoIFVuaXZlcnNpdHksIFZpY3RvcmlhLCBBdXN0cmFsaWEyTW9uYXNoIERpYWJldGVzIGFu
ZCBFbmRvY3JpbmUgVW5pdHMsIE1vbmFzaCBIZWFsdGgsIFZpY3RvcmlhLCBBdXN0cmFsaWEuJiN4
RDtNb25hc2ggQ2VudHJlIGZvciBIZWFsdGggUmVzZWFyY2ggYW5kIEltcGxlbWVudGF0aW9uLCBN
b25hc2ggVW5pdmVyc2l0eSwgVmljdG9yaWEsIEF1c3RyYWxpYS4mI3hEO0thaXNlciBQZXJtYW5l
bnRlLCBTb3V0aGVybiBDYWxpZm9ybmlhLCBMb3MgQW5nZWxlczRBbWJyeSBHZW5ldGljcywgQWxp
c28gVmllam8sIENhbGlmb3JuaWEuJiN4RDtUaWFuamluIFdvbWVuJmFwb3M7cyBhbmQgQ2hpbGRy
ZW4mYXBvcztzIEhlYWx0aCBDZW50ZXIsIFRpYW5qaW4sIENoaW5hLiYjeEQ7UGVubmluZ3RvbiBC
aW9tZWRpY2FsIFJlc2VhcmNoIENlbnRlciwgQmF0b24gUm91Z2UsIExvdWlzaWFuYS4mI3hEO1Vu
aXZlcnNpdHkgSG9zcGl0YWwsIE1lc3NpbmEsIEl0YWx5LiYjeEQ7RGVwYXJ0bWVudCBvZiBCaW9j
aGVtaXN0cnksIENvcGVuaGFnZW4gVW5pdmVyc2l0eSBIb3NwaXRhbCwgUmlnaG9zcGl0YWxldCwg
Q29wZW5oYWdlbiwgRGVubWFyay4mI3hEO0RlcGFydG1lbnQgb2YgT2JzdGV0cmljcyBhbmQgR3lu
ZWNvbG9neSwgU2Nob29sIG9mIE1lZGljaW5lLCBFd2hhIFdvbWFucyBVbml2ZXJzaXR5LCBTZW91
bCwgUmVwdWJsaWMgb2YgS29yZWEuJiN4RDtOb3J3ZWdpYW4gSW5zdGl0dXRlIG9mIFB1YmxpYyBI
ZWFsdGgsIE9zbG8sIE5vcndheS4mI3hEO01pY2hpZ2FuIFN0YXRlIFVuaXZlcnNpdHksIEVhc3Qg
TGFuc2luZy4mI3hEO0Rhbmtvb2sgVW5pdmVyc2l0eSBDb2xsZWdlIG9mIE1lZGljaW5lLCBTZW91
bCwgUmVwdWJsaWMgb2YgS29yZWEuJiN4RDtEZXBhcnRtZW50IG9mIERldmVsb3BtZW50IGFuZCBS
ZWdlbmVyYXRpb24gS1UgTGV1dmVuLCBVbml2ZXJzaXR5IG9mIExldXZlbiwgTGV1dmVuLCBCZWxn
aXVtMTRGYWN1bHR5IG9mIE1lZGljaW5lIGFuZCBIZWFsdGggU2NpZW5jZXMsIENlbnRyZSBmb3Ig
UmVzZWFyY2ggYW5kIElubm92YXRpb24gaW4gQ2FyZSwgVW5pdmVyc2l0eSBvZiBBbnR3ZXJwLCBB
bnR3ZXJwLCBCZWxnaXVtMTVGYWN1bHR5IG9mIEhlYWx0aCBhbmQgU29jaWFsIFdvcmssIFJlc2Vh
cmNoIFVuaXQgSGVhbHRoeSBMaXZpbmcsIFVDIExldXZlbi1MaW1idXJnLCBMZXV2ZW4sIEJlbGdp
dW0uJiN4RDtEZXBhcnRtZW50IG9mIE9ic3RldHJpY3MgYW5kIEd5bmFlY29sb2d5LCBVbml2ZXJz
aXR5IEhvc3BpdGFscyBLVSBMZXV2ZW4sIExldXZlbiwgQmVsZ2l1bTE3RGVwYXJ0bWVudCBvZiBP
YnN0ZXRyaWNzLCBHeW5hZWNvbG9neSBhbmQgRmVydGlsaXR5LCBHWkEgQ2FtcHVzIFNpbnQtQXVn
dXN0aW51cywgV2lscmlqaywgQmVsZ2l1bS4mI3hEO1VuaXZlcnNpdHkgb2YgQ2FsaWZvcm5pYSwg
SXJ2aW5lLjwvYXV0aC1hZGRyZXNzPjx0aXRsZXM+PHRpdGxlPkFzc29jaWF0aW9uIG9mIGdlc3Rh
dGlvbmFsIHdlaWdodCBnYWluIHdpdGggbWF0ZXJuYWwgYW5kIGluZmFudCBvdXRjb21lczogYSBz
eXN0ZW1hdGljIHJldmlldyBhbmQgbWV0YS1hbmFseXNpczwvdGl0bGU+PHNlY29uZGFyeS10aXRs
ZT5KQU1BPC9zZWNvbmRhcnktdGl0bGU+PC90aXRsZXM+PHBlcmlvZGljYWw+PGZ1bGwtdGl0bGU+
SkFNQTwvZnVsbC10aXRsZT48L3BlcmlvZGljYWw+PHBhZ2VzPjIyMDctMjIyNTwvcGFnZXM+PHZv
bHVtZT4zMTc8L3ZvbHVtZT48bnVtYmVyPjIxPC9udW1iZXI+PGVkaXRpb24+MjAxNy8wNi8wNzwv
ZWRpdGlvbj48a2V5d29yZHM+PGtleXdvcmQ+QWR1bHQ8L2tleXdvcmQ+PGtleXdvcmQ+QmlydGgg
V2VpZ2h0PC9rZXl3b3JkPjxrZXl3b3JkPkJvZHkgTWFzcyBJbmRleDwva2V5d29yZD48a2V5d29y
ZD5Cb2R5IFdlaWdodDwva2V5d29yZD48a2V5d29yZD5DZXNhcmVhbiBTZWN0aW9uPC9rZXl3b3Jk
PjxrZXl3b3JkPkZlbWFsZTwva2V5d29yZD48a2V5d29yZD5GZXRhbCBNYWNyb3NvbWlhPC9rZXl3
b3JkPjxrZXl3b3JkPkh1bWFuczwva2V5d29yZD48a2V5d29yZD5JbmZhbnQsIFNtYWxsIGZvciBH
ZXN0YXRpb25hbCBBZ2U8L2tleXdvcmQ+PGtleXdvcmQ+UHJlZ25hbmN5LypwaHlzaW9sb2d5PC9r
ZXl3b3JkPjxrZXl3b3JkPipQcmVnbmFuY3kgT3V0Y29tZTwva2V5d29yZD48a2V5d29yZD5QcmVt
YXR1cmUgQmlydGg8L2tleXdvcmQ+PGtleXdvcmQ+KldlaWdodCBHYWluPC9rZXl3b3JkPjwva2V5
d29yZHM+PGRhdGVzPjx5ZWFyPjIwMTc8L3llYXI+PHB1Yi1kYXRlcz48ZGF0ZT5KdW4gNjwvZGF0
ZT48L3B1Yi1kYXRlcz48L2RhdGVzPjxpc2JuPjE1MzgtMzU5OCAoRWxlY3Ryb25pYykmI3hEOzAw
OTgtNzQ4NCAoTGlua2luZyk8L2lzYm4+PGFjY2Vzc2lvbi1udW0+Mjg1ODY4ODc8L2FjY2Vzc2lv
bi1udW0+PHVybHM+PHJlbGF0ZWQtdXJscz48dXJsPmh0dHBzOi8vd3d3Lm5jYmkubmxtLm5paC5n
b3YvcHVibWVkLzI4NTg2ODg3PC91cmw+PC9yZWxhdGVkLXVybHM+PC91cmxzPjxjdXN0b20yPlBN
QzU4MTUwNTY8L2N1c3RvbTI+PGVsZWN0cm9uaWMtcmVzb3VyY2UtbnVtPjEwLjEwMDEvamFtYS4y
MDE3LjM2MzU8L2VsZWN0cm9uaWMtcmVzb3VyY2UtbnVtPjwvcmVjb3JkPjwvQ2l0ZT48L0VuZE5v
dGU+AG==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363</w:t>
            </w:r>
            <w:r w:rsidR="00774750">
              <w:fldChar w:fldCharType="end"/>
            </w:r>
          </w:p>
          <w:p w14:paraId="32C1A5C8" w14:textId="1C8B607E" w:rsidR="00182455" w:rsidRDefault="00182455" w:rsidP="00F11CB4">
            <w:r>
              <w:t>SLR</w:t>
            </w:r>
          </w:p>
        </w:tc>
        <w:tc>
          <w:tcPr>
            <w:tcW w:w="1701" w:type="dxa"/>
          </w:tcPr>
          <w:p w14:paraId="193D58E9" w14:textId="77777777" w:rsidR="00182455" w:rsidRDefault="00182455" w:rsidP="00F11CB4">
            <w:r>
              <w:t>23 studies</w:t>
            </w:r>
          </w:p>
          <w:p w14:paraId="4A01AC58" w14:textId="518942B3" w:rsidR="00182455" w:rsidRDefault="00182455" w:rsidP="00F11CB4">
            <w:r>
              <w:t>1,309,136 women</w:t>
            </w:r>
          </w:p>
        </w:tc>
        <w:tc>
          <w:tcPr>
            <w:tcW w:w="4252" w:type="dxa"/>
          </w:tcPr>
          <w:p w14:paraId="24655AC1" w14:textId="77777777" w:rsidR="00182455" w:rsidRDefault="00182455" w:rsidP="00182455">
            <w:r w:rsidRPr="00B26ED3">
              <w:rPr>
                <w:b/>
              </w:rPr>
              <w:t>Aim</w:t>
            </w:r>
            <w:r>
              <w:t xml:space="preserve">: </w:t>
            </w:r>
            <w:r w:rsidRPr="00182455">
              <w:t>To perform a systematic review, meta-analysis, and metaregression to evaluate associations between gestational weight gain above or below the IOM guideli</w:t>
            </w:r>
            <w:r>
              <w:t>nes</w:t>
            </w:r>
            <w:r w:rsidRPr="00182455">
              <w:t xml:space="preserve"> and maternal and infant outcomes. </w:t>
            </w:r>
          </w:p>
          <w:p w14:paraId="3D3D78C5" w14:textId="49AF2B38" w:rsidR="00182455" w:rsidRPr="00FD0A3B" w:rsidRDefault="00182455" w:rsidP="00182455">
            <w:pPr>
              <w:rPr>
                <w:b/>
              </w:rPr>
            </w:pPr>
            <w:r w:rsidRPr="00182455">
              <w:rPr>
                <w:b/>
              </w:rPr>
              <w:t>Methods</w:t>
            </w:r>
            <w:r w:rsidRPr="00182455">
              <w:t xml:space="preserve">: Search of EMBASE, Evidence-Based Medicine Reviews, MEDLINE, and MEDLINE In-Process between January 1, 1999, and February 7, 2017, for observational studies stratified by prepregnancy BMI category and total gestational weight gain. Data were extracted by 2 independent reviewers. Odds ratios (ORs) and absolute risk differences (ARDs) per live birth were calculated using a random-effects model based on a subset of studies with available data. </w:t>
            </w:r>
          </w:p>
        </w:tc>
        <w:tc>
          <w:tcPr>
            <w:tcW w:w="4394" w:type="dxa"/>
          </w:tcPr>
          <w:p w14:paraId="28ABB70E" w14:textId="44D890BD" w:rsidR="00182455" w:rsidRPr="00182455" w:rsidRDefault="00182455" w:rsidP="00182455">
            <w:pPr>
              <w:rPr>
                <w:i/>
              </w:rPr>
            </w:pPr>
            <w:r w:rsidRPr="00182455">
              <w:rPr>
                <w:i/>
              </w:rPr>
              <w:t xml:space="preserve">Gestational weight gain below the recommendations </w:t>
            </w:r>
          </w:p>
          <w:p w14:paraId="608CE76A" w14:textId="3318B0C9" w:rsidR="00182455" w:rsidRDefault="00A55FAD" w:rsidP="00A55FAD">
            <w:pPr>
              <w:pStyle w:val="bullet"/>
            </w:pPr>
            <w:r>
              <w:t>Small for gestational age: OR 1.53; 95% CI, 1.44 to 1.64</w:t>
            </w:r>
          </w:p>
          <w:p w14:paraId="5E300F5A" w14:textId="0350AD12" w:rsidR="00182455" w:rsidRDefault="00182455" w:rsidP="00A55FAD">
            <w:pPr>
              <w:pStyle w:val="bullet"/>
            </w:pPr>
            <w:r>
              <w:t>P</w:t>
            </w:r>
            <w:r w:rsidRPr="00182455">
              <w:t>rete</w:t>
            </w:r>
            <w:r w:rsidR="00A55FAD">
              <w:t>rm birth: OR 1.70; 95%CI 1.32 to 2.20</w:t>
            </w:r>
          </w:p>
          <w:p w14:paraId="7F47C766" w14:textId="64F6D831" w:rsidR="00182455" w:rsidRDefault="00A55FAD" w:rsidP="00A55FAD">
            <w:pPr>
              <w:pStyle w:val="bullet"/>
            </w:pPr>
            <w:r>
              <w:t xml:space="preserve">Large for gestational age: OR 0.59; 95%CI </w:t>
            </w:r>
            <w:r w:rsidR="00182455" w:rsidRPr="00182455">
              <w:t>0.55</w:t>
            </w:r>
            <w:r>
              <w:t xml:space="preserve"> to 0.64</w:t>
            </w:r>
          </w:p>
          <w:p w14:paraId="0B0C95A9" w14:textId="2939A970" w:rsidR="00182455" w:rsidRDefault="00A55FAD" w:rsidP="00A55FAD">
            <w:pPr>
              <w:pStyle w:val="bullet"/>
            </w:pPr>
            <w:r>
              <w:t>Macrosomia: OR 0.60; 95%CI 0.52 to 0.68</w:t>
            </w:r>
          </w:p>
          <w:p w14:paraId="40EC4EDA" w14:textId="7D658071" w:rsidR="00182455" w:rsidRDefault="00A55FAD" w:rsidP="00A55FAD">
            <w:pPr>
              <w:pStyle w:val="bullet"/>
            </w:pPr>
            <w:r>
              <w:t>Ca</w:t>
            </w:r>
            <w:r w:rsidR="00182455" w:rsidRPr="00182455">
              <w:t xml:space="preserve">esarean </w:t>
            </w:r>
            <w:r>
              <w:t>section: OR</w:t>
            </w:r>
            <w:r w:rsidR="00182455" w:rsidRPr="00182455">
              <w:t xml:space="preserve"> </w:t>
            </w:r>
            <w:r>
              <w:t>0.98; 95%CI 0.96 to 1.02</w:t>
            </w:r>
          </w:p>
          <w:p w14:paraId="4CC74603" w14:textId="77777777" w:rsidR="00A55FAD" w:rsidRPr="00A55FAD" w:rsidRDefault="00182455" w:rsidP="00A55FAD">
            <w:pPr>
              <w:rPr>
                <w:i/>
              </w:rPr>
            </w:pPr>
            <w:r w:rsidRPr="00A55FAD">
              <w:rPr>
                <w:i/>
              </w:rPr>
              <w:t xml:space="preserve">Gestational weight gain above the recommendations </w:t>
            </w:r>
          </w:p>
          <w:p w14:paraId="0B3CA414" w14:textId="3EE1B7E1" w:rsidR="00A55FAD" w:rsidRDefault="00A55FAD" w:rsidP="00A55FAD">
            <w:pPr>
              <w:pStyle w:val="bullet"/>
            </w:pPr>
            <w:r>
              <w:t>Small for gestational age: OR 0.66; 95%CI 0.63 to 0.69</w:t>
            </w:r>
          </w:p>
          <w:p w14:paraId="3FEC1B2A" w14:textId="120F3757" w:rsidR="00A55FAD" w:rsidRDefault="00A55FAD" w:rsidP="00A55FAD">
            <w:pPr>
              <w:pStyle w:val="bullet"/>
            </w:pPr>
            <w:r>
              <w:t xml:space="preserve">Preterm birth: OR, 0.77; 95%CI </w:t>
            </w:r>
            <w:r w:rsidR="00182455" w:rsidRPr="00182455">
              <w:t>0.69</w:t>
            </w:r>
            <w:r>
              <w:t xml:space="preserve"> to 0.86</w:t>
            </w:r>
          </w:p>
          <w:p w14:paraId="75D7B3EE" w14:textId="5A3F0B1D" w:rsidR="00A55FAD" w:rsidRDefault="00A55FAD" w:rsidP="00A55FAD">
            <w:pPr>
              <w:pStyle w:val="bullet"/>
            </w:pPr>
            <w:r>
              <w:t xml:space="preserve">Large for gestational age: OR 1.85; 95%CI </w:t>
            </w:r>
            <w:r w:rsidR="00182455" w:rsidRPr="00182455">
              <w:t>1.76</w:t>
            </w:r>
            <w:r>
              <w:t xml:space="preserve"> to 1.95</w:t>
            </w:r>
          </w:p>
          <w:p w14:paraId="47D3F459" w14:textId="57A291A4" w:rsidR="00A55FAD" w:rsidRDefault="00A55FAD" w:rsidP="00A55FAD">
            <w:pPr>
              <w:pStyle w:val="bullet"/>
            </w:pPr>
            <w:r>
              <w:t xml:space="preserve">Macrosomia: OR 1.95; 95%CI </w:t>
            </w:r>
            <w:r w:rsidR="00182455" w:rsidRPr="00182455">
              <w:t>1.79</w:t>
            </w:r>
            <w:r>
              <w:t xml:space="preserve"> to 2.11</w:t>
            </w:r>
          </w:p>
          <w:p w14:paraId="7A4EFE5F" w14:textId="5081898B" w:rsidR="00182455" w:rsidRPr="00182455" w:rsidRDefault="00E87365" w:rsidP="00A55FAD">
            <w:pPr>
              <w:pStyle w:val="bullet"/>
            </w:pPr>
            <w:r>
              <w:t>C</w:t>
            </w:r>
            <w:r w:rsidR="00A55FAD">
              <w:t>a</w:t>
            </w:r>
            <w:r w:rsidR="00182455" w:rsidRPr="00182455">
              <w:t xml:space="preserve">esarean </w:t>
            </w:r>
            <w:r w:rsidR="00A55FAD">
              <w:t xml:space="preserve">section: OR 1.30; 95%CI </w:t>
            </w:r>
            <w:r w:rsidR="00182455" w:rsidRPr="00182455">
              <w:t>1.25</w:t>
            </w:r>
            <w:r w:rsidR="00A55FAD">
              <w:t xml:space="preserve"> to </w:t>
            </w:r>
            <w:r w:rsidR="00182455" w:rsidRPr="00182455">
              <w:t xml:space="preserve">1.35 </w:t>
            </w:r>
          </w:p>
        </w:tc>
        <w:tc>
          <w:tcPr>
            <w:tcW w:w="2411" w:type="dxa"/>
          </w:tcPr>
          <w:p w14:paraId="4381766D" w14:textId="77777777" w:rsidR="00182455" w:rsidRDefault="00182455" w:rsidP="00F11CB4"/>
        </w:tc>
      </w:tr>
      <w:tr w:rsidR="001F10E3" w:rsidRPr="00B60FFF" w14:paraId="650EB841" w14:textId="77777777" w:rsidTr="00F11CB4">
        <w:trPr>
          <w:cantSplit/>
        </w:trPr>
        <w:tc>
          <w:tcPr>
            <w:tcW w:w="1418" w:type="dxa"/>
          </w:tcPr>
          <w:p w14:paraId="531587DF" w14:textId="3F469832" w:rsidR="001F10E3" w:rsidRDefault="001F10E3" w:rsidP="00F11CB4">
            <w:r>
              <w:t>Goldstein et al 2018</w:t>
            </w:r>
            <w:r w:rsidR="00774750">
              <w:fldChar w:fldCharType="begin">
                <w:fldData xml:space="preserve">PEVuZE5vdGU+PENpdGU+PEF1dGhvcj5Hb2xkc3RlaW48L0F1dGhvcj48WWVhcj4yMDE4PC9ZZWFy
PjxSZWNOdW0+MTc1NjwvUmVjTnVtPjxEaXNwbGF5VGV4dD48c3R5bGUgZmFjZT0ic3VwZXJzY3Jp
cHQiIGZvbnQ9IlRyZWJ1Y2hldCBNUyIgc2l6ZT0iOSI+MzY5PC9zdHlsZT48L0Rpc3BsYXlUZXh0
PjxyZWNvcmQ+PHJlYy1udW1iZXI+MTc1NjwvcmVjLW51bWJlcj48Zm9yZWlnbi1rZXlzPjxrZXkg
YXBwPSJFTiIgZGItaWQ9ImV4dmFzcmZ4MmR0cmFvZXNhc3hwMnN6c3hhMmRmNTAyNTkyeCIgdGlt
ZXN0YW1wPSIxNTgyODY3MTE0Ij4xNzU2PC9rZXk+PGtleSBhcHA9IkVOV2ViIiBkYi1pZD0iIj4w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Uy48L2F1dGhvcj48YXV0aG9yPk1pc3NvLCBNLiBMLjwvYXV0aG9yPjxhdXRob3I+Qm95bGUsIEou
IEEuPC9hdXRob3I+PGF1dGhvcj5IYXJyaXNvbiwgQy4gTC48L2F1dGhvcj48YXV0aG9yPkJsYWNr
LCBNLiBILjwvYXV0aG9yPjxhdXRob3I+TGksIE4uPC9hdXRob3I+PGF1dGhvcj5IdSwgRy48L2F1
dGhvcj48YXV0aG9yPkNvcnJhZG8sIEYuPC9hdXRob3I+PGF1dGhvcj5IZWdhYXJkLCBILjwvYXV0
aG9yPjxhdXRob3I+S2ltLCBZLiBKLjwvYXV0aG9yPjxhdXRob3I+SGF1Z2VuLCBNLjwvYXV0aG9y
PjxhdXRob3I+U29uZywgVy4gTy48L2F1dGhvcj48YXV0aG9yPktpbSwgTS4gSC48L2F1dGhvcj48
YXV0aG9yPkJvZ2FlcnRzLCBBLjwvYXV0aG9yPjxhdXRob3I+RGV2bGllZ2VyLCBSLjwvYXV0aG9y
PjxhdXRob3I+Q2h1bmcsIEouIEguPC9hdXRob3I+PGF1dGhvcj5UZWVkZSwgSC4gSi48L2F1dGhv
cj48L2F1dGhvcnM+PC9jb250cmlidXRvcnM+PGF1dGgtYWRkcmVzcz5Nb25hc2ggQ2VudHJlIGZv
ciBIZWFsdGggUmVzZWFyY2ggYW5kIEltcGxlbWVudGF0aW9uLCBNb25hc2ggVW5pdmVyc2l0eSwg
Q2xheXRvbiwgVklDLCBBdXN0cmFsaWEuJiN4RDtNb25hc2ggRGlhYmV0ZXMgYW5kIEVuZG9jcmlu
ZSBVbml0cywgTW9uYXNoIEhlYWx0aCwgTG9ja2VkIEJhZyAyOSwgQ2xheXRvbiBSZCwgQ2xheXRv
biwgVklDLCAzMTY4LCBBdXN0cmFsaWEuJiN4RDtLYWlzZXIgUGVybWFuZW50ZSwgU291dGhlcm4g
Q2FsaWZvcm5pYSwgTG9zIEFuZ2VsZXMsIFVTQS4mI3hEO1RpYW5qaW4gV29tZW4mYXBvcztzIGFu
ZCBDaGlsZHJlbiZhcG9zO3MgSGVhbHRoIENlbnRlciwgVGlhbmppbiwgQ2hpbmEuJiN4RDtQZW5u
aW5ndG9uIEJpb21lZGljYWwgUmVzZWFyY2ggQ2VudGVyLCBCYXRvbiBSb3VnZSwgTEEsIFVTQS4m
I3hEO1VuaXZlcnNpdHkgSG9zcGl0YWwsIE1lc3NpbmEsIEl0YWx5LiYjeEQ7Q29wZW5oYWdlbiBV
bml2ZXJzaXR5IEhvc3BpdGFsLCBSaWdob3NwaXRhbGV0LCBDb3BlbmhhZ2VuLCBEZW5tYXJrLiYj
eEQ7RGVwYXJ0bWVudCBvZiBPYnN0ZXRyaWNzIGFuZCBHeW5lY29sb2d5LCBTY2hvb2wgb2YgTWVk
aWNpbmUsIEV3aGEgV29tYW5zIFVuaXZlcnNpdHksIFNlb3VsLCBSZXB1YmxpYyBvZiBLb3JlYS4m
I3hEO05vcndlZ2lhbiBJbnN0aXR1dGUgb2YgUHVibGljIEhlYWx0aCwgT3NsbywgTm9yd2F5LiYj
eEQ7TWljaGlnYW4gU3RhdGUgVW5pdmVyc2l0eSwgRWFzdCBMYW5zaW5nLCBNSSwgVVNBLiYjeEQ7
Q2hlaWwgR2VuZXRhbCBIb3NwaXRhbCBhbmQgV29tZW4mYXBvcztzIEhlYWx0aGNhcmUgQ2VudHJl
IERhbmtvb2sgVW5pdmVyc2l0eSBDb2xsZWdlIG9mIE1lZGljaW5lLCBTZW91bCwgU291dGggS29y
ZWEuJiN4RDtEZXBhcnRtZW50IG9mIERldmVsb3BtZW50IGFuZCBSZWdlbmVyYXRpb24gS1UgTGV1
dmVuLCBVbml2ZXJzaXR5IG9mIExldXZlbiwgTGV1dmVuLCBCZWxnaXVtLiYjeEQ7RmFjdWx0eSBv
ZiBNZWRpY2luZSBhbmQgSGVhbHRoIFNjaWVuY2VzLCBDZW50cmUgZm9yIFJlc2VhcmNoIGFuZCBJ
bm5vdmF0aW9uIGluIENhcmUgKENSSUMpLCBVbml2ZXJzaXR5IG9mIEFudHdlcnAsIEFudHdlcnAs
IEJlbGdpdW0uJiN4RDtGYWN1bHR5IG9mIEhlYWx0aCBhbmQgU29jaWFsIFdvcmssIFJlc2VhcmNo
IHVuaXQgSGVhbHRoeSBMaXZpbmcsIFVDIExldXZlbi1MaW1idXJnLCBMZXV2ZW4sIEJlbGdpdW0u
JiN4RDtEZXBhcnRtZW50IG9mIE9ic3RldHJpY3MgYW5kIEd5bmFlY29sb2d5LCBVbml2ZXJzaXR5
IEhvc3BpdGFscyBLVSBMZXV2ZW4sIExldXZlbiwgQmVsZ2l1bS4mI3hEO0RlcGFydG1lbnQgb2Yg
T2JzdGV0cmljcywgR3luYWVjb2xvZ3kgYW5kIEZlcnRpbGl0eSwgR1pBIENhbXB1cyBTaW50LUF1
Z3VzdGludXMsIFdpbHJpamssIEJlbGdpdW0uJiN4RDtVbml2ZXJzaXR5IG9mIENhbGlmb3JuaWEs
IElydmluZSwgQ0EsIFVTQS4mI3hEO01vbmFzaCBDZW50cmUgZm9yIEhlYWx0aCBSZXNlYXJjaCBh
bmQgSW1wbGVtZW50YXRpb24sIE1vbmFzaCBVbml2ZXJzaXR5LCBDbGF5dG9uLCBWSUMsIEF1c3Ry
YWxpYS4gaGVsZW5hLnRlZWRlQG1vbmFzaC5lZHUuJiN4RDtNb25hc2ggRGlhYmV0ZXMgYW5kIEVu
ZG9jcmluZSBVbml0cywgTW9uYXNoIEhlYWx0aCwgTG9ja2VkIEJhZyAyOSwgQ2xheXRvbiBSZCwg
Q2xheXRvbiwgVklDLCAzMTY4LCBBdXN0cmFsaWEuIGhlbGVuYS50ZWVkZUBtb25hc2guZWR1Ljwv
YXV0aC1hZGRyZXNzPjx0aXRsZXM+PHRpdGxlPkdlc3RhdGlvbmFsIHdlaWdodCBnYWluIGFjcm9z
cyBjb250aW5lbnRzIGFuZCBldGhuaWNpdHk6IHN5c3RlbWF0aWMgcmV2aWV3IGFuZCBtZXRhLWFu
YWx5c2lzIG9mIG1hdGVybmFsIGFuZCBpbmZhbnQgb3V0Y29tZXMgaW4gbW9yZSB0aGFuIG9uZSBt
aWxsaW9uIHdvbWVuPC90aXRsZT48c2Vjb25kYXJ5LXRpdGxlPkJNQyBNZWQ8L3NlY29uZGFyeS10
aXRsZT48L3RpdGxlcz48cGVyaW9kaWNhbD48ZnVsbC10aXRsZT5CTUMgTWVkPC9mdWxsLXRpdGxl
PjwvcGVyaW9kaWNhbD48cGFnZXM+MTUzPC9wYWdlcz48dm9sdW1lPjE2PC92b2x1bWU+PG51bWJl
cj4xPC9udW1iZXI+PGVkaXRpb24+MjAxOC8wOS8wMTwvZWRpdGlvbj48a2V5d29yZHM+PGtleXdv
cmQ+QWR1bHQ8L2tleXdvcmQ+PGtleXdvcmQ+RmVtYWxlPC9rZXl3b3JkPjxrZXl3b3JkPkZldGFs
IFdlaWdodC8qZXRobm9sb2d5PC9rZXl3b3JkPjxrZXl3b3JkPkh1bWFuczwva2V5d29yZD48a2V5
d29yZD5JbmZhbnQsIE5ld2Jvcm48L2tleXdvcmQ+PGtleXdvcmQ+UHJlZ25hbmN5PC9rZXl3b3Jk
PjxrZXl3b3JkPlByZWduYW5jeSBDb21wbGljYXRpb25zPC9rZXl3b3JkPjxrZXl3b3JkPlByZWdu
YW5jeSBPdXRjb21lLypldGhub2xvZ3k8L2tleXdvcmQ+PGtleXdvcmQ+V2VpZ2h0IEdhaW4vKmV0
aG5vbG9neS8qcGh5c2lvbG9neTwva2V5d29yZD48a2V5d29yZD4qQ2Flc2FyZWFuIHNlY3Rpb248
L2tleXdvcmQ+PGtleXdvcmQ+Kkdlc3RhdGlvbmFsIGRpYWJldGVzPC9rZXl3b3JkPjxrZXl3b3Jk
PipHZ2VzdGF0aW9uYWwgd2VpZ2h0IGdhaW48L2tleXdvcmQ+PGtleXdvcmQ+KkxhcmdlIGZvciBn
ZXN0YXRpb25hbCBhZ2U8L2tleXdvcmQ+PGtleXdvcmQ+Kk1hY3Jvc29taWE8L2tleXdvcmQ+PGtl
eXdvcmQ+Kk1hdGVybmFsIGFuZCBpbmZhbnQgb3V0Y29tZXM8L2tleXdvcmQ+PGtleXdvcmQ+Kk9i
ZXNpdHk8L2tleXdvcmQ+PGtleXdvcmQ+KlByZWduYW5jeTwva2V5d29yZD48a2V5d29yZD4qUHJl
dGVybSBiaXJ0aDwva2V5d29yZD48a2V5d29yZD4qU21hbGwgZm9yIGdlc3RhdGlvbmFsIGFnZTwv
a2V5d29yZD48L2tleXdvcmRzPjxkYXRlcz48eWVhcj4yMDE4PC95ZWFyPjxwdWItZGF0ZXM+PGRh
dGU+QXVnIDMxPC9kYXRlPjwvcHViLWRhdGVzPjwvZGF0ZXM+PGlzYm4+MTc0MS03MDE1IChFbGVj
dHJvbmljKSYjeEQ7MTc0MS03MDE1IChMaW5raW5nKTwvaXNibj48YWNjZXNzaW9uLW51bT4zMDE2
NTg0MjwvYWNjZXNzaW9uLW51bT48dXJscz48cmVsYXRlZC11cmxzPjx1cmw+aHR0cHM6Ly93d3cu
bmNiaS5ubG0ubmloLmdvdi9wdWJtZWQvMzAxNjU4NDI8L3VybD48L3JlbGF0ZWQtdXJscz48L3Vy
bHM+PGN1c3RvbTI+UE1DNjExNzkxNjwvY3VzdG9tMj48ZWxlY3Ryb25pYy1yZXNvdXJjZS1udW0+
MTAuMTE4Ni9zMTI5MTYtMDE4LTExMjgtMTwvZWxlY3Ryb25pYy1yZXNvdXJjZS1udW0+PC9yZWNv
cmQ+PC9DaXRlPjwvRW5kTm90ZT5=
</w:fldData>
              </w:fldChar>
            </w:r>
            <w:r w:rsidR="001A2F28">
              <w:instrText xml:space="preserve"> ADDIN EN.CITE </w:instrText>
            </w:r>
            <w:r w:rsidR="001A2F28">
              <w:fldChar w:fldCharType="begin">
                <w:fldData xml:space="preserve">PEVuZE5vdGU+PENpdGU+PEF1dGhvcj5Hb2xkc3RlaW48L0F1dGhvcj48WWVhcj4yMDE4PC9ZZWFy
PjxSZWNOdW0+MTc1NjwvUmVjTnVtPjxEaXNwbGF5VGV4dD48c3R5bGUgZmFjZT0ic3VwZXJzY3Jp
cHQiIGZvbnQ9IlRyZWJ1Y2hldCBNUyIgc2l6ZT0iOSI+MzY5PC9zdHlsZT48L0Rpc3BsYXlUZXh0
PjxyZWNvcmQ+PHJlYy1udW1iZXI+MTc1NjwvcmVjLW51bWJlcj48Zm9yZWlnbi1rZXlzPjxrZXkg
YXBwPSJFTiIgZGItaWQ9ImV4dmFzcmZ4MmR0cmFvZXNhc3hwMnN6c3hhMmRmNTAyNTkyeCIgdGlt
ZXN0YW1wPSIxNTgyODY3MTE0Ij4xNzU2PC9rZXk+PGtleSBhcHA9IkVOV2ViIiBkYi1pZD0iIj4w
PC9rZXk+PC9mb3JlaWduLWtleXM+PHJlZi10eXBlIG5hbWU9IkpvdXJuYWwgQXJ0aWNsZSI+MTc8
L3JlZi10eXBlPjxjb250cmlidXRvcnM+PGF1dGhvcnM+PGF1dGhvcj5Hb2xkc3RlaW4sIFIuIEYu
PC9hdXRob3I+PGF1dGhvcj5BYmVsbCwgUy4gSy48L2F1dGhvcj48YXV0aG9yPlJhbmFzaW5oYSwg
Uy48L2F1dGhvcj48YXV0aG9yPk1pc3NvLCBNLiBMLjwvYXV0aG9yPjxhdXRob3I+Qm95bGUsIEou
IEEuPC9hdXRob3I+PGF1dGhvcj5IYXJyaXNvbiwgQy4gTC48L2F1dGhvcj48YXV0aG9yPkJsYWNr
LCBNLiBILjwvYXV0aG9yPjxhdXRob3I+TGksIE4uPC9hdXRob3I+PGF1dGhvcj5IdSwgRy48L2F1
dGhvcj48YXV0aG9yPkNvcnJhZG8sIEYuPC9hdXRob3I+PGF1dGhvcj5IZWdhYXJkLCBILjwvYXV0
aG9yPjxhdXRob3I+S2ltLCBZLiBKLjwvYXV0aG9yPjxhdXRob3I+SGF1Z2VuLCBNLjwvYXV0aG9y
PjxhdXRob3I+U29uZywgVy4gTy48L2F1dGhvcj48YXV0aG9yPktpbSwgTS4gSC48L2F1dGhvcj48
YXV0aG9yPkJvZ2FlcnRzLCBBLjwvYXV0aG9yPjxhdXRob3I+RGV2bGllZ2VyLCBSLjwvYXV0aG9y
PjxhdXRob3I+Q2h1bmcsIEouIEguPC9hdXRob3I+PGF1dGhvcj5UZWVkZSwgSC4gSi48L2F1dGhv
cj48L2F1dGhvcnM+PC9jb250cmlidXRvcnM+PGF1dGgtYWRkcmVzcz5Nb25hc2ggQ2VudHJlIGZv
ciBIZWFsdGggUmVzZWFyY2ggYW5kIEltcGxlbWVudGF0aW9uLCBNb25hc2ggVW5pdmVyc2l0eSwg
Q2xheXRvbiwgVklDLCBBdXN0cmFsaWEuJiN4RDtNb25hc2ggRGlhYmV0ZXMgYW5kIEVuZG9jcmlu
ZSBVbml0cywgTW9uYXNoIEhlYWx0aCwgTG9ja2VkIEJhZyAyOSwgQ2xheXRvbiBSZCwgQ2xheXRv
biwgVklDLCAzMTY4LCBBdXN0cmFsaWEuJiN4RDtLYWlzZXIgUGVybWFuZW50ZSwgU291dGhlcm4g
Q2FsaWZvcm5pYSwgTG9zIEFuZ2VsZXMsIFVTQS4mI3hEO1RpYW5qaW4gV29tZW4mYXBvcztzIGFu
ZCBDaGlsZHJlbiZhcG9zO3MgSGVhbHRoIENlbnRlciwgVGlhbmppbiwgQ2hpbmEuJiN4RDtQZW5u
aW5ndG9uIEJpb21lZGljYWwgUmVzZWFyY2ggQ2VudGVyLCBCYXRvbiBSb3VnZSwgTEEsIFVTQS4m
I3hEO1VuaXZlcnNpdHkgSG9zcGl0YWwsIE1lc3NpbmEsIEl0YWx5LiYjeEQ7Q29wZW5oYWdlbiBV
bml2ZXJzaXR5IEhvc3BpdGFsLCBSaWdob3NwaXRhbGV0LCBDb3BlbmhhZ2VuLCBEZW5tYXJrLiYj
eEQ7RGVwYXJ0bWVudCBvZiBPYnN0ZXRyaWNzIGFuZCBHeW5lY29sb2d5LCBTY2hvb2wgb2YgTWVk
aWNpbmUsIEV3aGEgV29tYW5zIFVuaXZlcnNpdHksIFNlb3VsLCBSZXB1YmxpYyBvZiBLb3JlYS4m
I3hEO05vcndlZ2lhbiBJbnN0aXR1dGUgb2YgUHVibGljIEhlYWx0aCwgT3NsbywgTm9yd2F5LiYj
eEQ7TWljaGlnYW4gU3RhdGUgVW5pdmVyc2l0eSwgRWFzdCBMYW5zaW5nLCBNSSwgVVNBLiYjeEQ7
Q2hlaWwgR2VuZXRhbCBIb3NwaXRhbCBhbmQgV29tZW4mYXBvcztzIEhlYWx0aGNhcmUgQ2VudHJl
IERhbmtvb2sgVW5pdmVyc2l0eSBDb2xsZWdlIG9mIE1lZGljaW5lLCBTZW91bCwgU291dGggS29y
ZWEuJiN4RDtEZXBhcnRtZW50IG9mIERldmVsb3BtZW50IGFuZCBSZWdlbmVyYXRpb24gS1UgTGV1
dmVuLCBVbml2ZXJzaXR5IG9mIExldXZlbiwgTGV1dmVuLCBCZWxnaXVtLiYjeEQ7RmFjdWx0eSBv
ZiBNZWRpY2luZSBhbmQgSGVhbHRoIFNjaWVuY2VzLCBDZW50cmUgZm9yIFJlc2VhcmNoIGFuZCBJ
bm5vdmF0aW9uIGluIENhcmUgKENSSUMpLCBVbml2ZXJzaXR5IG9mIEFudHdlcnAsIEFudHdlcnAs
IEJlbGdpdW0uJiN4RDtGYWN1bHR5IG9mIEhlYWx0aCBhbmQgU29jaWFsIFdvcmssIFJlc2VhcmNo
IHVuaXQgSGVhbHRoeSBMaXZpbmcsIFVDIExldXZlbi1MaW1idXJnLCBMZXV2ZW4sIEJlbGdpdW0u
JiN4RDtEZXBhcnRtZW50IG9mIE9ic3RldHJpY3MgYW5kIEd5bmFlY29sb2d5LCBVbml2ZXJzaXR5
IEhvc3BpdGFscyBLVSBMZXV2ZW4sIExldXZlbiwgQmVsZ2l1bS4mI3hEO0RlcGFydG1lbnQgb2Yg
T2JzdGV0cmljcywgR3luYWVjb2xvZ3kgYW5kIEZlcnRpbGl0eSwgR1pBIENhbXB1cyBTaW50LUF1
Z3VzdGludXMsIFdpbHJpamssIEJlbGdpdW0uJiN4RDtVbml2ZXJzaXR5IG9mIENhbGlmb3JuaWEs
IElydmluZSwgQ0EsIFVTQS4mI3hEO01vbmFzaCBDZW50cmUgZm9yIEhlYWx0aCBSZXNlYXJjaCBh
bmQgSW1wbGVtZW50YXRpb24sIE1vbmFzaCBVbml2ZXJzaXR5LCBDbGF5dG9uLCBWSUMsIEF1c3Ry
YWxpYS4gaGVsZW5hLnRlZWRlQG1vbmFzaC5lZHUuJiN4RDtNb25hc2ggRGlhYmV0ZXMgYW5kIEVu
ZG9jcmluZSBVbml0cywgTW9uYXNoIEhlYWx0aCwgTG9ja2VkIEJhZyAyOSwgQ2xheXRvbiBSZCwg
Q2xheXRvbiwgVklDLCAzMTY4LCBBdXN0cmFsaWEuIGhlbGVuYS50ZWVkZUBtb25hc2guZWR1Ljwv
YXV0aC1hZGRyZXNzPjx0aXRsZXM+PHRpdGxlPkdlc3RhdGlvbmFsIHdlaWdodCBnYWluIGFjcm9z
cyBjb250aW5lbnRzIGFuZCBldGhuaWNpdHk6IHN5c3RlbWF0aWMgcmV2aWV3IGFuZCBtZXRhLWFu
YWx5c2lzIG9mIG1hdGVybmFsIGFuZCBpbmZhbnQgb3V0Y29tZXMgaW4gbW9yZSB0aGFuIG9uZSBt
aWxsaW9uIHdvbWVuPC90aXRsZT48c2Vjb25kYXJ5LXRpdGxlPkJNQyBNZWQ8L3NlY29uZGFyeS10
aXRsZT48L3RpdGxlcz48cGVyaW9kaWNhbD48ZnVsbC10aXRsZT5CTUMgTWVkPC9mdWxsLXRpdGxl
PjwvcGVyaW9kaWNhbD48cGFnZXM+MTUzPC9wYWdlcz48dm9sdW1lPjE2PC92b2x1bWU+PG51bWJl
cj4xPC9udW1iZXI+PGVkaXRpb24+MjAxOC8wOS8wMTwvZWRpdGlvbj48a2V5d29yZHM+PGtleXdv
cmQ+QWR1bHQ8L2tleXdvcmQ+PGtleXdvcmQ+RmVtYWxlPC9rZXl3b3JkPjxrZXl3b3JkPkZldGFs
IFdlaWdodC8qZXRobm9sb2d5PC9rZXl3b3JkPjxrZXl3b3JkPkh1bWFuczwva2V5d29yZD48a2V5
d29yZD5JbmZhbnQsIE5ld2Jvcm48L2tleXdvcmQ+PGtleXdvcmQ+UHJlZ25hbmN5PC9rZXl3b3Jk
PjxrZXl3b3JkPlByZWduYW5jeSBDb21wbGljYXRpb25zPC9rZXl3b3JkPjxrZXl3b3JkPlByZWdu
YW5jeSBPdXRjb21lLypldGhub2xvZ3k8L2tleXdvcmQ+PGtleXdvcmQ+V2VpZ2h0IEdhaW4vKmV0
aG5vbG9neS8qcGh5c2lvbG9neTwva2V5d29yZD48a2V5d29yZD4qQ2Flc2FyZWFuIHNlY3Rpb248
L2tleXdvcmQ+PGtleXdvcmQ+Kkdlc3RhdGlvbmFsIGRpYWJldGVzPC9rZXl3b3JkPjxrZXl3b3Jk
PipHZ2VzdGF0aW9uYWwgd2VpZ2h0IGdhaW48L2tleXdvcmQ+PGtleXdvcmQ+KkxhcmdlIGZvciBn
ZXN0YXRpb25hbCBhZ2U8L2tleXdvcmQ+PGtleXdvcmQ+Kk1hY3Jvc29taWE8L2tleXdvcmQ+PGtl
eXdvcmQ+Kk1hdGVybmFsIGFuZCBpbmZhbnQgb3V0Y29tZXM8L2tleXdvcmQ+PGtleXdvcmQ+Kk9i
ZXNpdHk8L2tleXdvcmQ+PGtleXdvcmQ+KlByZWduYW5jeTwva2V5d29yZD48a2V5d29yZD4qUHJl
dGVybSBiaXJ0aDwva2V5d29yZD48a2V5d29yZD4qU21hbGwgZm9yIGdlc3RhdGlvbmFsIGFnZTwv
a2V5d29yZD48L2tleXdvcmRzPjxkYXRlcz48eWVhcj4yMDE4PC95ZWFyPjxwdWItZGF0ZXM+PGRh
dGU+QXVnIDMxPC9kYXRlPjwvcHViLWRhdGVzPjwvZGF0ZXM+PGlzYm4+MTc0MS03MDE1IChFbGVj
dHJvbmljKSYjeEQ7MTc0MS03MDE1IChMaW5raW5nKTwvaXNibj48YWNjZXNzaW9uLW51bT4zMDE2
NTg0MjwvYWNjZXNzaW9uLW51bT48dXJscz48cmVsYXRlZC11cmxzPjx1cmw+aHR0cHM6Ly93d3cu
bmNiaS5ubG0ubmloLmdvdi9wdWJtZWQvMzAxNjU4NDI8L3VybD48L3JlbGF0ZWQtdXJscz48L3Vy
bHM+PGN1c3RvbTI+UE1DNjExNzkxNjwvY3VzdG9tMj48ZWxlY3Ryb25pYy1yZXNvdXJjZS1udW0+
MTAuMTE4Ni9zMTI5MTYtMDE4LTExMjgtMTwvZWxlY3Ryb25pYy1yZXNvdXJjZS1udW0+PC9yZWNv
cmQ+PC9DaXRlPjwvRW5kTm90ZT5=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369</w:t>
            </w:r>
            <w:r w:rsidR="00774750">
              <w:fldChar w:fldCharType="end"/>
            </w:r>
          </w:p>
          <w:p w14:paraId="12D06406" w14:textId="7C0A6354" w:rsidR="00F11CB4" w:rsidRDefault="00F11CB4" w:rsidP="00F11CB4">
            <w:r>
              <w:t>SLR</w:t>
            </w:r>
          </w:p>
        </w:tc>
        <w:tc>
          <w:tcPr>
            <w:tcW w:w="1701" w:type="dxa"/>
          </w:tcPr>
          <w:p w14:paraId="2DBF3A6E" w14:textId="77777777" w:rsidR="001F10E3" w:rsidRDefault="00F11CB4" w:rsidP="00F11CB4">
            <w:r>
              <w:t>23 studies</w:t>
            </w:r>
          </w:p>
          <w:p w14:paraId="5F99F200" w14:textId="2D98FE75" w:rsidR="00F11CB4" w:rsidRDefault="00F11CB4" w:rsidP="00F11CB4">
            <w:r>
              <w:t>1,309,136 women</w:t>
            </w:r>
          </w:p>
        </w:tc>
        <w:tc>
          <w:tcPr>
            <w:tcW w:w="4252" w:type="dxa"/>
          </w:tcPr>
          <w:p w14:paraId="48F78536" w14:textId="4A308AC7" w:rsidR="00F11CB4" w:rsidRDefault="00F11CB4" w:rsidP="00F11CB4">
            <w:r w:rsidRPr="00F11CB4">
              <w:rPr>
                <w:b/>
              </w:rPr>
              <w:t>Aim</w:t>
            </w:r>
            <w:r>
              <w:t>: T</w:t>
            </w:r>
            <w:r w:rsidRPr="00F11CB4">
              <w:t xml:space="preserve">o explore ethnic differences in maternal prepregnancy body mass index (BMI), GWG and health outcomes across regions. </w:t>
            </w:r>
          </w:p>
          <w:p w14:paraId="2FE5D034" w14:textId="50DF9E0D" w:rsidR="001F10E3" w:rsidRDefault="00F11CB4" w:rsidP="00F11CB4">
            <w:r w:rsidRPr="00F11CB4">
              <w:rPr>
                <w:b/>
              </w:rPr>
              <w:t>Methods</w:t>
            </w:r>
            <w:r w:rsidRPr="00F11CB4">
              <w:t>: Systematic review, meta-analysis and meta-regression of observational studies were used for the study. MEDLINE, MEDLINE In-Process, Embase and all Evidence-Based Medicine (EBM) Reviews were searched from 1999 to 2017. Studies were stratified by prepregnancy BMI category and total pregnancy GWG. Odds ratio (ORs) 95% confidence intervals (CI) applied recommended GWG within each BMI category as the reference. Primary outcomes were small for gestational age (SGA), preterm birth and large for gestational age (LGA). Secondary outcomes were macrosomia, caesarean section and gestational diabetes.</w:t>
            </w:r>
          </w:p>
        </w:tc>
        <w:tc>
          <w:tcPr>
            <w:tcW w:w="4394" w:type="dxa"/>
          </w:tcPr>
          <w:p w14:paraId="081D51D6" w14:textId="2F1EBBBE" w:rsidR="00F11CB4" w:rsidRDefault="00F11CB4" w:rsidP="00F11CB4">
            <w:r>
              <w:t>Gestational weight gain</w:t>
            </w:r>
            <w:r w:rsidRPr="00F11CB4">
              <w:t xml:space="preserve"> below guidelines</w:t>
            </w:r>
            <w:r>
              <w:t xml:space="preserve"> versus within guidelines:</w:t>
            </w:r>
            <w:r w:rsidRPr="00F11CB4">
              <w:t xml:space="preserve"> </w:t>
            </w:r>
          </w:p>
          <w:p w14:paraId="69B03381" w14:textId="48DC9268" w:rsidR="00F11CB4" w:rsidRDefault="00F11CB4" w:rsidP="00F11CB4">
            <w:pPr>
              <w:pStyle w:val="bullet"/>
            </w:pPr>
            <w:r>
              <w:t>Small for gestational age</w:t>
            </w:r>
            <w:r w:rsidR="00DE67BA">
              <w:t xml:space="preserve">: OR </w:t>
            </w:r>
            <w:r w:rsidR="00DE67BA" w:rsidRPr="00F11CB4">
              <w:t xml:space="preserve">1.51; </w:t>
            </w:r>
            <w:r w:rsidR="00DE67BA">
              <w:t>95%CI 1.39 to</w:t>
            </w:r>
            <w:r w:rsidR="00DE67BA" w:rsidRPr="00F11CB4">
              <w:t xml:space="preserve"> 1.63 </w:t>
            </w:r>
            <w:r w:rsidRPr="00F11CB4">
              <w:t>(USA/Europe</w:t>
            </w:r>
            <w:r w:rsidR="00DE67BA">
              <w:t>)</w:t>
            </w:r>
            <w:r w:rsidRPr="00F11CB4">
              <w:t xml:space="preserve">; </w:t>
            </w:r>
            <w:r w:rsidR="00DE67BA">
              <w:t xml:space="preserve">OR </w:t>
            </w:r>
            <w:r w:rsidRPr="00F11CB4">
              <w:t xml:space="preserve">1.63; </w:t>
            </w:r>
            <w:r w:rsidR="00DE67BA">
              <w:t>95%CI 1.45 to</w:t>
            </w:r>
            <w:r w:rsidRPr="00F11CB4">
              <w:t xml:space="preserve"> 1.82</w:t>
            </w:r>
            <w:r w:rsidR="00DE67BA">
              <w:t xml:space="preserve"> (</w:t>
            </w:r>
            <w:r w:rsidR="00DE67BA" w:rsidRPr="00F11CB4">
              <w:t>Asia</w:t>
            </w:r>
            <w:r w:rsidRPr="00F11CB4">
              <w:t xml:space="preserve">) </w:t>
            </w:r>
          </w:p>
          <w:p w14:paraId="49152C35" w14:textId="5D3EC3BF" w:rsidR="00F11CB4" w:rsidRDefault="00F11CB4" w:rsidP="00F11CB4">
            <w:pPr>
              <w:pStyle w:val="bullet"/>
            </w:pPr>
            <w:r>
              <w:t>P</w:t>
            </w:r>
            <w:r w:rsidR="00DE67BA">
              <w:t xml:space="preserve">reterm birth: OR 1.35; 95%CI 1.17 to 1.56 </w:t>
            </w:r>
            <w:r w:rsidRPr="00F11CB4">
              <w:t>(USA/Europe</w:t>
            </w:r>
            <w:r w:rsidR="00DE67BA">
              <w:t>);</w:t>
            </w:r>
            <w:r w:rsidRPr="00F11CB4">
              <w:t xml:space="preserve"> </w:t>
            </w:r>
            <w:r w:rsidR="00DE67BA">
              <w:t xml:space="preserve">OR </w:t>
            </w:r>
            <w:r w:rsidR="00DE67BA" w:rsidRPr="00F11CB4">
              <w:t xml:space="preserve">1.06; </w:t>
            </w:r>
            <w:r w:rsidR="00DE67BA">
              <w:t>95%CI 0.78 to</w:t>
            </w:r>
            <w:r w:rsidR="00DE67BA" w:rsidRPr="00F11CB4">
              <w:t xml:space="preserve"> 1.44</w:t>
            </w:r>
            <w:r w:rsidR="00DE67BA">
              <w:t xml:space="preserve"> (</w:t>
            </w:r>
            <w:r w:rsidRPr="00F11CB4">
              <w:t xml:space="preserve">Asia) </w:t>
            </w:r>
          </w:p>
          <w:p w14:paraId="3EBBDD7C" w14:textId="77777777" w:rsidR="00F11CB4" w:rsidRDefault="00F11CB4" w:rsidP="00F11CB4">
            <w:r>
              <w:t>Gestational weight gain</w:t>
            </w:r>
            <w:r w:rsidRPr="00F11CB4">
              <w:t xml:space="preserve"> above guidelines </w:t>
            </w:r>
            <w:r>
              <w:t>versus within guidelines:</w:t>
            </w:r>
          </w:p>
          <w:p w14:paraId="0440E9BC" w14:textId="00109860" w:rsidR="00F11CB4" w:rsidRDefault="00F11CB4" w:rsidP="00F11CB4">
            <w:pPr>
              <w:pStyle w:val="bullet"/>
            </w:pPr>
            <w:r>
              <w:t xml:space="preserve">Large for gestational age: </w:t>
            </w:r>
            <w:r w:rsidR="00DE67BA">
              <w:t xml:space="preserve">OR </w:t>
            </w:r>
            <w:r w:rsidR="00DE67BA" w:rsidRPr="00F11CB4">
              <w:t xml:space="preserve">1.93; </w:t>
            </w:r>
            <w:r w:rsidR="00DE67BA">
              <w:t>95%CI 1.81 to</w:t>
            </w:r>
            <w:r w:rsidR="00DE67BA" w:rsidRPr="00F11CB4">
              <w:t xml:space="preserve"> 2.0</w:t>
            </w:r>
            <w:r w:rsidR="00DE67BA">
              <w:t>6</w:t>
            </w:r>
            <w:r w:rsidR="00DE67BA" w:rsidRPr="00F11CB4">
              <w:t xml:space="preserve"> </w:t>
            </w:r>
            <w:r w:rsidR="00DE67BA">
              <w:t>(USA/Europe</w:t>
            </w:r>
            <w:r w:rsidR="00426481">
              <w:t>)</w:t>
            </w:r>
            <w:r>
              <w:t xml:space="preserve">; </w:t>
            </w:r>
            <w:r w:rsidR="00DE67BA">
              <w:t>OR 1.68; 95%CI 1.51 to 1.87 (Asia</w:t>
            </w:r>
            <w:r>
              <w:t xml:space="preserve">) </w:t>
            </w:r>
          </w:p>
          <w:p w14:paraId="44717CA4" w14:textId="37AC4FF1" w:rsidR="00F11CB4" w:rsidRDefault="00F11CB4" w:rsidP="00F11CB4">
            <w:pPr>
              <w:pStyle w:val="bullet"/>
            </w:pPr>
            <w:r>
              <w:t>M</w:t>
            </w:r>
            <w:r w:rsidR="00DE67BA">
              <w:t>acrosomia: OR 1.87; 95%CI 1.70 to</w:t>
            </w:r>
            <w:r w:rsidR="00DE67BA" w:rsidRPr="00F11CB4">
              <w:t xml:space="preserve"> 2.06 </w:t>
            </w:r>
            <w:r w:rsidRPr="00F11CB4">
              <w:t>(USA/Europe</w:t>
            </w:r>
            <w:r w:rsidR="00DE67BA">
              <w:t>)</w:t>
            </w:r>
            <w:r w:rsidRPr="00F11CB4">
              <w:t xml:space="preserve">; </w:t>
            </w:r>
            <w:r w:rsidR="00DE67BA">
              <w:t xml:space="preserve">OR </w:t>
            </w:r>
            <w:r w:rsidR="00DE67BA" w:rsidRPr="00F11CB4">
              <w:t xml:space="preserve">2.18; </w:t>
            </w:r>
            <w:r w:rsidR="00DE67BA">
              <w:t>95%CI 1.91 to</w:t>
            </w:r>
            <w:r w:rsidR="00DE67BA" w:rsidRPr="00F11CB4">
              <w:t xml:space="preserve"> 2.49</w:t>
            </w:r>
            <w:r w:rsidR="00DE67BA">
              <w:t xml:space="preserve"> (Asia</w:t>
            </w:r>
            <w:r w:rsidRPr="00F11CB4">
              <w:t xml:space="preserve">) </w:t>
            </w:r>
          </w:p>
          <w:p w14:paraId="1E712B71" w14:textId="1CD67B16" w:rsidR="001F10E3" w:rsidRPr="00F11CB4" w:rsidRDefault="00F11CB4" w:rsidP="00DE67BA">
            <w:pPr>
              <w:pStyle w:val="bullet"/>
            </w:pPr>
            <w:r>
              <w:t>C</w:t>
            </w:r>
            <w:r w:rsidRPr="00F11CB4">
              <w:t>aesarean</w:t>
            </w:r>
            <w:r w:rsidR="00DE67BA">
              <w:t xml:space="preserve"> section: OR </w:t>
            </w:r>
            <w:r w:rsidR="00DE67BA" w:rsidRPr="00F11CB4">
              <w:t>1.</w:t>
            </w:r>
            <w:r w:rsidR="00DE67BA">
              <w:t>26; 95%CI 1.21 to</w:t>
            </w:r>
            <w:r w:rsidR="00DE67BA" w:rsidRPr="00F11CB4">
              <w:t xml:space="preserve"> 1.33</w:t>
            </w:r>
            <w:r w:rsidR="00DE67BA">
              <w:t xml:space="preserve"> (USA/Europe); OR </w:t>
            </w:r>
            <w:r w:rsidRPr="00F11CB4">
              <w:t xml:space="preserve">1.37; </w:t>
            </w:r>
            <w:r w:rsidR="00DE67BA">
              <w:t>95%CI 1.30 to 1.45 (Asia</w:t>
            </w:r>
            <w:r w:rsidRPr="00F11CB4">
              <w:t>)</w:t>
            </w:r>
          </w:p>
        </w:tc>
        <w:tc>
          <w:tcPr>
            <w:tcW w:w="2411" w:type="dxa"/>
          </w:tcPr>
          <w:p w14:paraId="769C4BA4" w14:textId="77777777" w:rsidR="001F10E3" w:rsidRDefault="001F10E3" w:rsidP="00F11CB4"/>
        </w:tc>
      </w:tr>
      <w:tr w:rsidR="00E03B51" w:rsidRPr="00B60FFF" w14:paraId="0714C138" w14:textId="77777777" w:rsidTr="00F11CB4">
        <w:trPr>
          <w:cantSplit/>
        </w:trPr>
        <w:tc>
          <w:tcPr>
            <w:tcW w:w="1418" w:type="dxa"/>
          </w:tcPr>
          <w:p w14:paraId="70106520" w14:textId="6B14DBEB" w:rsidR="00E03B51" w:rsidRDefault="00FD0A3B" w:rsidP="00F11CB4">
            <w:r>
              <w:t>Carreno et al 2012</w:t>
            </w:r>
            <w:r w:rsidR="00BA7CBD">
              <w:fldChar w:fldCharType="begin">
                <w:fldData xml:space="preserve">PEVuZE5vdGU+PENpdGU+PEF1dGhvcj5DYXJyZW5vPC9BdXRob3I+PFllYXI+MjAxMjwvWWVhcj48
UmVjTnVtPjE3NTU8L1JlY051bT48RGlzcGxheVRleHQ+PHN0eWxlIGZhY2U9InN1cGVyc2NyaXB0
IiBmb250PSJUcmVidWNoZXQgTVMiIHNpemU9IjkiPjM2ODwvc3R5bGU+PC9EaXNwbGF5VGV4dD48
cmVjb3JkPjxyZWMtbnVtYmVyPjE3NTU8L3JlYy1udW1iZXI+PGZvcmVpZ24ta2V5cz48a2V5IGFw
cD0iRU4iIGRiLWlkPSJleHZhc3JmeDJkdHJhb2VzYXN4cDJzenN4YTJkZjUwMjU5MngiIHRpbWVz
dGFtcD0iMTU4Mjg2NzEwNSI+MTc1NTwva2V5PjxrZXkgYXBwPSJFTldlYiIgZGItaWQ9IiI+MDwv
a2V5PjwvZm9yZWlnbi1rZXlzPjxyZWYtdHlwZSBuYW1lPSJKb3VybmFsIEFydGljbGUiPjE3PC9y
ZWYtdHlwZT48Y29udHJpYnV0b3JzPjxhdXRob3JzPjxhdXRob3I+Q2FycmVubywgQy4gQS48L2F1
dGhvcj48YXV0aG9yPkNsaWZ0b24sIFIuIEcuPC9hdXRob3I+PGF1dGhvcj5IYXV0aCwgSi4gQy48
L2F1dGhvcj48YXV0aG9yPk15YXR0LCBMLjwvYXV0aG9yPjxhdXRob3I+Um9iZXJ0cywgSi4gTS48
L2F1dGhvcj48YXV0aG9yPlNwb25nLCBDLiBZLjwvYXV0aG9yPjxhdXRob3I+VmFybmVyLCBNLiBX
LjwvYXV0aG9yPjxhdXRob3I+VGhvcnAsIEouIE0uLCBKci48L2F1dGhvcj48YXV0aG9yPk1lcmNl
ciwgQi4gTS48L2F1dGhvcj48YXV0aG9yPlBlYWNlbWFuLCBBLiBNLjwvYXV0aG9yPjxhdXRob3I+
UmFtaW4sIFMuIE0uPC9hdXRob3I+PGF1dGhvcj5DYXJwZW50ZXIsIE0uIFcuPC9hdXRob3I+PGF1
dGhvcj5TY2lzY2lvbmUsIEEuPC9hdXRob3I+PGF1dGhvcj5Ub2xvc2EsIEouIEUuPC9hdXRob3I+
PGF1dGhvcj5TYWFkZSwgRy4gUi48L2F1dGhvcj48YXV0aG9yPlNvcm9raW4sIFkuPC9hdXRob3I+
PGF1dGhvcj5FdW5pY2UgS2VubmVkeSBTaHJpdmVyIE5hdGlvbmFsIEluc3RpdHV0ZSBvZiBDaGls
ZCwgSGVhbHRoPC9hdXRob3I+PGF1dGhvcj5IdW1hbiBEZXZlbG9wbWVudCBNYXRlcm5hbC1GZXRh
bCBNZWRpY2luZSBVbml0cywgTmV0d29yazwvYXV0aG9yPjwvYXV0aG9ycz48L2NvbnRyaWJ1dG9y
cz48YXV0aC1hZGRyZXNzPkRlcGFydG1lbnQgb2YgT2JzdGV0cmljcyBhbmQgR3luZWNvbG9neSwg
VW5pdmVyc2l0eSBvZiBUZXhhcyBIZWFsdGggU2NpZW5jZSBDZW50ZXIsIEhvdXN0b24sIFRYLCBV
U0EuPC9hdXRoLWFkZHJlc3M+PHRpdGxlcz48dGl0bGU+RXhjZXNzaXZlIGVhcmx5IGdlc3RhdGlv
bmFsIHdlaWdodCBnYWluIGFuZCByaXNrIG9mIGdlc3RhdGlvbmFsIGRpYWJldGVzIG1lbGxpdHVz
IGluIG51bGxpcGFyb3VzIHdvbWVuPC90aXRsZT48c2Vjb25kYXJ5LXRpdGxlPk9ic3RldCBHeW5l
Y29sPC9zZWNvbmRhcnktdGl0bGU+PC90aXRsZXM+PHBlcmlvZGljYWw+PGZ1bGwtdGl0bGU+T2Jz
dGV0IEd5bmVjb2w8L2Z1bGwtdGl0bGU+PC9wZXJpb2RpY2FsPjxwYWdlcz4xMjI3LTMzPC9wYWdl
cz48dm9sdW1lPjExOTwvdm9sdW1lPjxudW1iZXI+NjwvbnVtYmVyPjxlZGl0aW9uPjIwMTIvMDUv
MjQ8L2VkaXRpb24+PGtleXdvcmRzPjxrZXl3b3JkPkFkb2xlc2NlbnQ8L2tleXdvcmQ+PGtleXdv
cmQ+QWR1bHQ8L2tleXdvcmQ+PGtleXdvcmQ+QmlydGggV2VpZ2h0PC9rZXl3b3JkPjxrZXl3b3Jk
PkRpYWJldGVzLCBHZXN0YXRpb25hbC8qZXBpZGVtaW9sb2d5PC9rZXl3b3JkPjxrZXl3b3JkPkZl
bWFsZTwva2V5d29yZD48a2V5d29yZD5GZXRhbCBEZXZlbG9wbWVudDwva2V5d29yZD48a2V5d29y
ZD5IdW1hbnM8L2tleXdvcmQ+PGtleXdvcmQ+UGFyaXR5PC9rZXl3b3JkPjxrZXl3b3JkPlByZWdu
YW5jeTwva2V5d29yZD48a2V5d29yZD5SYW5kb21pemVkIENvbnRyb2xsZWQgVHJpYWxzIGFzIFRv
cGljPC9rZXl3b3JkPjxrZXl3b3JkPipXZWlnaHQgR2Fpbjwva2V5d29yZD48a2V5d29yZD5Zb3Vu
ZyBBZHVsdDwva2V5d29yZD48L2tleXdvcmRzPjxkYXRlcz48eWVhcj4yMDEyPC95ZWFyPjxwdWIt
ZGF0ZXM+PGRhdGU+SnVuPC9kYXRlPjwvcHViLWRhdGVzPjwvZGF0ZXM+PGlzYm4+MTg3My0yMzNY
IChFbGVjdHJvbmljKSYjeEQ7MDAyOS03ODQ0IChMaW5raW5nKTwvaXNibj48YWNjZXNzaW9uLW51
bT4yMjYxNzU4ODwvYWNjZXNzaW9uLW51bT48dXJscz48cmVsYXRlZC11cmxzPjx1cmw+aHR0cHM6
Ly93d3cubmNiaS5ubG0ubmloLmdvdi9wdWJtZWQvMjI2MTc1ODg8L3VybD48L3JlbGF0ZWQtdXJs
cz48L3VybHM+PGN1c3RvbTI+UE1DMzM2MDQxNTwvY3VzdG9tMj48ZWxlY3Ryb25pYy1yZXNvdXJj
ZS1udW0+MTAuMTA5Ny9BT0cuMGIwMTNlMzE4MjU2Y2YxYTwvZWxlY3Ryb25pYy1yZXNvdXJjZS1u
dW0+PC9yZWNvcmQ+PC9DaXRlPjwvRW5kTm90ZT5=
</w:fldData>
              </w:fldChar>
            </w:r>
            <w:r w:rsidR="001A2F28">
              <w:instrText xml:space="preserve"> ADDIN EN.CITE </w:instrText>
            </w:r>
            <w:r w:rsidR="001A2F28">
              <w:fldChar w:fldCharType="begin">
                <w:fldData xml:space="preserve">PEVuZE5vdGU+PENpdGU+PEF1dGhvcj5DYXJyZW5vPC9BdXRob3I+PFllYXI+MjAxMjwvWWVhcj48
UmVjTnVtPjE3NTU8L1JlY051bT48RGlzcGxheVRleHQ+PHN0eWxlIGZhY2U9InN1cGVyc2NyaXB0
IiBmb250PSJUcmVidWNoZXQgTVMiIHNpemU9IjkiPjM2ODwvc3R5bGU+PC9EaXNwbGF5VGV4dD48
cmVjb3JkPjxyZWMtbnVtYmVyPjE3NTU8L3JlYy1udW1iZXI+PGZvcmVpZ24ta2V5cz48a2V5IGFw
cD0iRU4iIGRiLWlkPSJleHZhc3JmeDJkdHJhb2VzYXN4cDJzenN4YTJkZjUwMjU5MngiIHRpbWVz
dGFtcD0iMTU4Mjg2NzEwNSI+MTc1NTwva2V5PjxrZXkgYXBwPSJFTldlYiIgZGItaWQ9IiI+MDwv
a2V5PjwvZm9yZWlnbi1rZXlzPjxyZWYtdHlwZSBuYW1lPSJKb3VybmFsIEFydGljbGUiPjE3PC9y
ZWYtdHlwZT48Y29udHJpYnV0b3JzPjxhdXRob3JzPjxhdXRob3I+Q2FycmVubywgQy4gQS48L2F1
dGhvcj48YXV0aG9yPkNsaWZ0b24sIFIuIEcuPC9hdXRob3I+PGF1dGhvcj5IYXV0aCwgSi4gQy48
L2F1dGhvcj48YXV0aG9yPk15YXR0LCBMLjwvYXV0aG9yPjxhdXRob3I+Um9iZXJ0cywgSi4gTS48
L2F1dGhvcj48YXV0aG9yPlNwb25nLCBDLiBZLjwvYXV0aG9yPjxhdXRob3I+VmFybmVyLCBNLiBX
LjwvYXV0aG9yPjxhdXRob3I+VGhvcnAsIEouIE0uLCBKci48L2F1dGhvcj48YXV0aG9yPk1lcmNl
ciwgQi4gTS48L2F1dGhvcj48YXV0aG9yPlBlYWNlbWFuLCBBLiBNLjwvYXV0aG9yPjxhdXRob3I+
UmFtaW4sIFMuIE0uPC9hdXRob3I+PGF1dGhvcj5DYXJwZW50ZXIsIE0uIFcuPC9hdXRob3I+PGF1
dGhvcj5TY2lzY2lvbmUsIEEuPC9hdXRob3I+PGF1dGhvcj5Ub2xvc2EsIEouIEUuPC9hdXRob3I+
PGF1dGhvcj5TYWFkZSwgRy4gUi48L2F1dGhvcj48YXV0aG9yPlNvcm9raW4sIFkuPC9hdXRob3I+
PGF1dGhvcj5FdW5pY2UgS2VubmVkeSBTaHJpdmVyIE5hdGlvbmFsIEluc3RpdHV0ZSBvZiBDaGls
ZCwgSGVhbHRoPC9hdXRob3I+PGF1dGhvcj5IdW1hbiBEZXZlbG9wbWVudCBNYXRlcm5hbC1GZXRh
bCBNZWRpY2luZSBVbml0cywgTmV0d29yazwvYXV0aG9yPjwvYXV0aG9ycz48L2NvbnRyaWJ1dG9y
cz48YXV0aC1hZGRyZXNzPkRlcGFydG1lbnQgb2YgT2JzdGV0cmljcyBhbmQgR3luZWNvbG9neSwg
VW5pdmVyc2l0eSBvZiBUZXhhcyBIZWFsdGggU2NpZW5jZSBDZW50ZXIsIEhvdXN0b24sIFRYLCBV
U0EuPC9hdXRoLWFkZHJlc3M+PHRpdGxlcz48dGl0bGU+RXhjZXNzaXZlIGVhcmx5IGdlc3RhdGlv
bmFsIHdlaWdodCBnYWluIGFuZCByaXNrIG9mIGdlc3RhdGlvbmFsIGRpYWJldGVzIG1lbGxpdHVz
IGluIG51bGxpcGFyb3VzIHdvbWVuPC90aXRsZT48c2Vjb25kYXJ5LXRpdGxlPk9ic3RldCBHeW5l
Y29sPC9zZWNvbmRhcnktdGl0bGU+PC90aXRsZXM+PHBlcmlvZGljYWw+PGZ1bGwtdGl0bGU+T2Jz
dGV0IEd5bmVjb2w8L2Z1bGwtdGl0bGU+PC9wZXJpb2RpY2FsPjxwYWdlcz4xMjI3LTMzPC9wYWdl
cz48dm9sdW1lPjExOTwvdm9sdW1lPjxudW1iZXI+NjwvbnVtYmVyPjxlZGl0aW9uPjIwMTIvMDUv
MjQ8L2VkaXRpb24+PGtleXdvcmRzPjxrZXl3b3JkPkFkb2xlc2NlbnQ8L2tleXdvcmQ+PGtleXdv
cmQ+QWR1bHQ8L2tleXdvcmQ+PGtleXdvcmQ+QmlydGggV2VpZ2h0PC9rZXl3b3JkPjxrZXl3b3Jk
PkRpYWJldGVzLCBHZXN0YXRpb25hbC8qZXBpZGVtaW9sb2d5PC9rZXl3b3JkPjxrZXl3b3JkPkZl
bWFsZTwva2V5d29yZD48a2V5d29yZD5GZXRhbCBEZXZlbG9wbWVudDwva2V5d29yZD48a2V5d29y
ZD5IdW1hbnM8L2tleXdvcmQ+PGtleXdvcmQ+UGFyaXR5PC9rZXl3b3JkPjxrZXl3b3JkPlByZWdu
YW5jeTwva2V5d29yZD48a2V5d29yZD5SYW5kb21pemVkIENvbnRyb2xsZWQgVHJpYWxzIGFzIFRv
cGljPC9rZXl3b3JkPjxrZXl3b3JkPipXZWlnaHQgR2Fpbjwva2V5d29yZD48a2V5d29yZD5Zb3Vu
ZyBBZHVsdDwva2V5d29yZD48L2tleXdvcmRzPjxkYXRlcz48eWVhcj4yMDEyPC95ZWFyPjxwdWIt
ZGF0ZXM+PGRhdGU+SnVuPC9kYXRlPjwvcHViLWRhdGVzPjwvZGF0ZXM+PGlzYm4+MTg3My0yMzNY
IChFbGVjdHJvbmljKSYjeEQ7MDAyOS03ODQ0IChMaW5raW5nKTwvaXNibj48YWNjZXNzaW9uLW51
bT4yMjYxNzU4ODwvYWNjZXNzaW9uLW51bT48dXJscz48cmVsYXRlZC11cmxzPjx1cmw+aHR0cHM6
Ly93d3cubmNiaS5ubG0ubmloLmdvdi9wdWJtZWQvMjI2MTc1ODg8L3VybD48L3JlbGF0ZWQtdXJs
cz48L3VybHM+PGN1c3RvbTI+UE1DMzM2MDQxNTwvY3VzdG9tMj48ZWxlY3Ryb25pYy1yZXNvdXJj
ZS1udW0+MTAuMTA5Ny9BT0cuMGIwMTNlMzE4MjU2Y2YxYTwvZWxlY3Ryb25pYy1yZXNvdXJjZS1u
dW0+PC9yZWNvcmQ+PC9DaXRlPjwvRW5kTm90ZT5=
</w:fldData>
              </w:fldChar>
            </w:r>
            <w:r w:rsidR="001A2F28">
              <w:instrText xml:space="preserve"> ADDIN EN.CITE.DATA </w:instrText>
            </w:r>
            <w:r w:rsidR="001A2F28">
              <w:fldChar w:fldCharType="end"/>
            </w:r>
            <w:r w:rsidR="00BA7CBD">
              <w:fldChar w:fldCharType="separate"/>
            </w:r>
            <w:r w:rsidR="001A2F28" w:rsidRPr="001A2F28">
              <w:rPr>
                <w:noProof/>
                <w:vertAlign w:val="superscript"/>
              </w:rPr>
              <w:t>368</w:t>
            </w:r>
            <w:r w:rsidR="00BA7CBD">
              <w:fldChar w:fldCharType="end"/>
            </w:r>
          </w:p>
          <w:p w14:paraId="02E8B439" w14:textId="77777777" w:rsidR="00FD0A3B" w:rsidRDefault="00FD0A3B" w:rsidP="00F11CB4">
            <w:r>
              <w:t>Secondary analysis of RCT</w:t>
            </w:r>
          </w:p>
          <w:p w14:paraId="714E3A8D" w14:textId="79CC23D9" w:rsidR="00FD0A3B" w:rsidRDefault="00182455" w:rsidP="00F11CB4">
            <w:r>
              <w:t>United States</w:t>
            </w:r>
          </w:p>
        </w:tc>
        <w:tc>
          <w:tcPr>
            <w:tcW w:w="1701" w:type="dxa"/>
          </w:tcPr>
          <w:p w14:paraId="61291CA5" w14:textId="2C156475" w:rsidR="00E03B51" w:rsidRDefault="00FD0A3B" w:rsidP="00F11CB4">
            <w:r>
              <w:t>7,895</w:t>
            </w:r>
          </w:p>
        </w:tc>
        <w:tc>
          <w:tcPr>
            <w:tcW w:w="4252" w:type="dxa"/>
          </w:tcPr>
          <w:p w14:paraId="499790A7" w14:textId="77777777" w:rsidR="00FD0A3B" w:rsidRDefault="00FD0A3B" w:rsidP="00FD0A3B">
            <w:r w:rsidRPr="00FD0A3B">
              <w:rPr>
                <w:b/>
              </w:rPr>
              <w:t>Aim</w:t>
            </w:r>
            <w:r>
              <w:t xml:space="preserve">: </w:t>
            </w:r>
            <w:r w:rsidRPr="00FD0A3B">
              <w:t xml:space="preserve">To estimate whether there is an association between excessive early gestational weight gain and the development of gestational diabetes mellitus (GDM) and excessive fetal growth. </w:t>
            </w:r>
          </w:p>
          <w:p w14:paraId="013CD5AA" w14:textId="7FB557F5" w:rsidR="00E03B51" w:rsidRPr="005629DA" w:rsidRDefault="00FD0A3B" w:rsidP="00FD0A3B">
            <w:pPr>
              <w:rPr>
                <w:rFonts w:ascii="Helvetica" w:hAnsi="Helvetica"/>
                <w:b/>
                <w:szCs w:val="18"/>
              </w:rPr>
            </w:pPr>
            <w:r w:rsidRPr="00FD0A3B">
              <w:rPr>
                <w:b/>
              </w:rPr>
              <w:t>Methods</w:t>
            </w:r>
            <w:r w:rsidRPr="00FD0A3B">
              <w:t>: This is a secondary analysis of a randomi</w:t>
            </w:r>
            <w:r w:rsidR="0025000C">
              <w:t>s</w:t>
            </w:r>
            <w:r w:rsidRPr="00FD0A3B">
              <w:t xml:space="preserve">ed controlled trial of vitamins C and E in nulliparous low-risk women. Maternal weight gain from prepregnancy (self-reported) to 15-18 weeks of gestation was measured, and expected gestational weight gain was determined using the Institute of Medicine 2009 guidelines for each prepregnancy body mass index category. Excessive early gestational weight gain was defined as gestational weight gain greater than the upper range of the Institute of Medicine guidelines. Rates of GDM, birth weight greater than 4,000 g, and large for gestational age (LGA, birth weight 90 percentile or higher) were calculated and compared between women with excessive early gestational weight gain and early nonexcessive gestational weight gain (within or below Institute of Medicine guidelines). </w:t>
            </w:r>
          </w:p>
        </w:tc>
        <w:tc>
          <w:tcPr>
            <w:tcW w:w="4394" w:type="dxa"/>
          </w:tcPr>
          <w:p w14:paraId="15DD8791" w14:textId="502CF76E" w:rsidR="00E03B51" w:rsidRPr="00FD0A3B" w:rsidRDefault="00FD0A3B" w:rsidP="00AB31EB">
            <w:r w:rsidRPr="00FD0A3B">
              <w:t>Excessive early gestational weight gain occurred in 47.5% of women. Ninety-three percent of women with excessive early gestational weight gain had total gestational weight gain greater than Institute of Medicine guidelines. In contrast, only 55% of women with non</w:t>
            </w:r>
            <w:r>
              <w:t>-</w:t>
            </w:r>
            <w:r w:rsidRPr="00FD0A3B">
              <w:t>excessive early gestational weight gain had total gestational weight gain greater than Institute of Medicine guidelines (P&lt;.001). Rates of GDM</w:t>
            </w:r>
            <w:r w:rsidR="00AB31EB">
              <w:t xml:space="preserve"> (OR 1.4; 95%CI 1.1 to 1.9)</w:t>
            </w:r>
            <w:r w:rsidRPr="00FD0A3B">
              <w:t>, LGA</w:t>
            </w:r>
            <w:r w:rsidR="00AB31EB">
              <w:t xml:space="preserve"> (OR 1.4; 95%CI 1.2 to 1.6)</w:t>
            </w:r>
            <w:r w:rsidRPr="00FD0A3B">
              <w:t xml:space="preserve">, and </w:t>
            </w:r>
            <w:r w:rsidR="00AB31EB">
              <w:t>macrosomia &gt;</w:t>
            </w:r>
            <w:r w:rsidRPr="00FD0A3B">
              <w:t xml:space="preserve">4,000 g </w:t>
            </w:r>
            <w:r w:rsidR="00AB31EB">
              <w:t xml:space="preserve">(OR 1.5; 95%CI 1.3 to 1.8) </w:t>
            </w:r>
            <w:r w:rsidRPr="00FD0A3B">
              <w:t xml:space="preserve">were higher in women with excessive early gestational weight gain. </w:t>
            </w:r>
          </w:p>
        </w:tc>
        <w:tc>
          <w:tcPr>
            <w:tcW w:w="2411" w:type="dxa"/>
          </w:tcPr>
          <w:p w14:paraId="6EA690FA" w14:textId="77777777" w:rsidR="00E03B51" w:rsidRDefault="00E03B51" w:rsidP="00F11CB4"/>
        </w:tc>
      </w:tr>
      <w:tr w:rsidR="008C50EB" w:rsidRPr="00B60FFF" w14:paraId="75C62099" w14:textId="77777777" w:rsidTr="00F11CB4">
        <w:trPr>
          <w:cantSplit/>
        </w:trPr>
        <w:tc>
          <w:tcPr>
            <w:tcW w:w="1418" w:type="dxa"/>
          </w:tcPr>
          <w:p w14:paraId="6AA3317C" w14:textId="3539991C" w:rsidR="008C50EB" w:rsidRDefault="004A7F1A" w:rsidP="00F11CB4">
            <w:r>
              <w:t>Kapadia et al 2015</w:t>
            </w:r>
            <w:r w:rsidR="00774750">
              <w:fldChar w:fldCharType="begin">
                <w:fldData xml:space="preserve">PEVuZE5vdGU+PENpdGU+PEF1dGhvcj5LYXBhZGlhPC9BdXRob3I+PFllYXI+MjAxNTwvWWVhcj48
UmVjTnVtPjE3NjQ8L1JlY051bT48RGlzcGxheVRleHQ+PHN0eWxlIGZhY2U9InN1cGVyc2NyaXB0
IiBmb250PSJUcmVidWNoZXQgTVMiIHNpemU9IjkiPjM3MDwvc3R5bGU+PC9EaXNwbGF5VGV4dD48
cmVjb3JkPjxyZWMtbnVtYmVyPjE3NjQ8L3JlYy1udW1iZXI+PGZvcmVpZ24ta2V5cz48a2V5IGFw
cD0iRU4iIGRiLWlkPSJleHZhc3JmeDJkdHJhb2VzYXN4cDJzenN4YTJkZjUwMjU5MngiIHRpbWVz
dGFtcD0iMTU4Mjg2NzE5MiI+MTc2NDwva2V5PjxrZXkgYXBwPSJFTldlYiIgZGItaWQ9IiI+MDwv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Y01hc3RlciBVbml2ZXJzaXR5LCBIYW1pbHRvbiwgQ2FuYWRhLjwvYXV0aC1hZGRyZXNzPjx0aXRs
ZXM+PHRpdGxlPkNhbiB3ZSBzYWZlbHkgcmVjb21tZW5kIGdlc3RhdGlvbmFsIHdlaWdodCBnYWlu
IGJlbG93IHRoZSAyMDA5IGd1aWRlbGluZXMgaW4gb2Jlc2Ugd29tZW4/IEEgc3lzdGVtYXRpYyBy
ZXZpZXcgYW5kIG1ldGEtYW5hbHlzaXM8L3RpdGxlPjxzZWNvbmRhcnktdGl0bGU+T2JlcyBSZXY8
L3NlY29uZGFyeS10aXRsZT48L3RpdGxlcz48cGVyaW9kaWNhbD48ZnVsbC10aXRsZT5PYmVzIFJl
djwvZnVsbC10aXRsZT48L3BlcmlvZGljYWw+PHBhZ2VzPjE4OS0yMDY8L3BhZ2VzPjx2b2x1bWU+
MTY8L3ZvbHVtZT48bnVtYmVyPjM8L251bWJlcj48ZWRpdGlvbj4yMDE1LzAxLzIwPC9lZGl0aW9u
PjxrZXl3b3Jkcz48a2V5d29yZD5BZHVsdDwva2V5d29yZD48a2V5d29yZD5GZW1hbGU8L2tleXdv
cmQ+PGtleXdvcmQ+SHVtYW5zPC9rZXl3b3JkPjxrZXl3b3JkPkluZmFudCwgTmV3Ym9ybjwva2V5
d29yZD48a2V5d29yZD5JbmZhbnQsIFByZW1hdHVyZTwva2V5d29yZD48a2V5d29yZD5JbmZhbnQs
IFNtYWxsIGZvciBHZXN0YXRpb25hbCBBZ2U8L2tleXdvcmQ+PGtleXdvcmQ+TW90aGVycy8qc3Rh
dGlzdGljcyAmYW1wOyBudW1lcmljYWwgZGF0YTwva2V5d29yZD48a2V5d29yZD5PYmVzaXR5L2Nv
bXBsaWNhdGlvbnMvZXBpZGVtaW9sb2d5LypwcmV2ZW50aW9uICZhbXA7IGNvbnRyb2w8L2tleXdv
cmQ+PGtleXdvcmQ+T2RkcyBSYXRpbzwva2V5d29yZD48a2V5d29yZD5QaWxvdCBQcm9qZWN0czwv
a2V5d29yZD48a2V5d29yZD5QcmFjdGljZSBHdWlkZWxpbmVzIGFzIFRvcGljPC9rZXl3b3JkPjxr
ZXl3b3JkPlByZS1FY2xhbXBzaWEvKmVwaWRlbWlvbG9neS9ldGlvbG9neS9wcmV2ZW50aW9uICZh
bXA7IGNvbnRyb2w8L2tleXdvcmQ+PGtleXdvcmQ+UHJlZ25hbmN5PC9rZXl3b3JkPjxrZXl3b3Jk
PlByZWduYW5jeSBDb21wbGljYXRpb25zLyplcGlkZW1pb2xvZ3kvZXRpb2xvZ3kvcHJldmVudGlv
biAmYW1wOyBjb250cm9sPC9rZXl3b3JkPjxrZXl3b3JkPlByZWduYW5jeSBPdXRjb21lPC9rZXl3
b3JkPjxrZXl3b3JkPlJpc2sgRmFjdG9yczwva2V5d29yZD48a2V5d29yZD4qV2VpZ2h0IEdhaW48
L2tleXdvcmQ+PGtleXdvcmQ+R2VzdGF0aW9uYWwgd2VpZ2h0IGdhaW48L2tleXdvcmQ+PGtleXdv
cmQ+SU9NIGd1aWRlbGluZTwva2V5d29yZD48a2V5d29yZD5vYmVzZSB3b21lbjwva2V5d29yZD48
a2V5d29yZD5zeXN0ZW1hdGljIHJldmlldzwva2V5d29yZD48L2tleXdvcmRzPjxkYXRlcz48eWVh
cj4yMDE1PC95ZWFyPjxwdWItZGF0ZXM+PGRhdGU+TWFyPC9kYXRlPjwvcHViLWRhdGVzPjwvZGF0
ZXM+PGlzYm4+MTQ2Ny03ODlYIChFbGVjdHJvbmljKSYjeEQ7MTQ2Ny03ODgxIChMaW5raW5nKTwv
aXNibj48YWNjZXNzaW9uLW51bT4yNTU5ODAzNzwvYWNjZXNzaW9uLW51bT48dXJscz48cmVsYXRl
ZC11cmxzPjx1cmw+aHR0cHM6Ly93d3cubmNiaS5ubG0ubmloLmdvdi9wdWJtZWQvMjU1OTgwMzc8
L3VybD48L3JlbGF0ZWQtdXJscz48L3VybHM+PGVsZWN0cm9uaWMtcmVzb3VyY2UtbnVtPjEwLjEx
MTEvb2JyLjEyMjM4PC9lbGVjdHJvbmljLXJlc291cmNlLW51bT48L3JlY29yZD48L0NpdGU+PC9F
bmROb3RlPn==
</w:fldData>
              </w:fldChar>
            </w:r>
            <w:r w:rsidR="001A2F28">
              <w:instrText xml:space="preserve"> ADDIN EN.CITE </w:instrText>
            </w:r>
            <w:r w:rsidR="001A2F28">
              <w:fldChar w:fldCharType="begin">
                <w:fldData xml:space="preserve">PEVuZE5vdGU+PENpdGU+PEF1dGhvcj5LYXBhZGlhPC9BdXRob3I+PFllYXI+MjAxNTwvWWVhcj48
UmVjTnVtPjE3NjQ8L1JlY051bT48RGlzcGxheVRleHQ+PHN0eWxlIGZhY2U9InN1cGVyc2NyaXB0
IiBmb250PSJUcmVidWNoZXQgTVMiIHNpemU9IjkiPjM3MDwvc3R5bGU+PC9EaXNwbGF5VGV4dD48
cmVjb3JkPjxyZWMtbnVtYmVyPjE3NjQ8L3JlYy1udW1iZXI+PGZvcmVpZ24ta2V5cz48a2V5IGFw
cD0iRU4iIGRiLWlkPSJleHZhc3JmeDJkdHJhb2VzYXN4cDJzenN4YTJkZjUwMjU5MngiIHRpbWVz
dGFtcD0iMTU4Mjg2NzE5MiI+MTc2NDwva2V5PjxrZXkgYXBwPSJFTldlYiIgZGItaWQ9IiI+MDwv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Y01hc3RlciBVbml2ZXJzaXR5LCBIYW1pbHRvbiwgQ2FuYWRhLjwvYXV0aC1hZGRyZXNzPjx0aXRs
ZXM+PHRpdGxlPkNhbiB3ZSBzYWZlbHkgcmVjb21tZW5kIGdlc3RhdGlvbmFsIHdlaWdodCBnYWlu
IGJlbG93IHRoZSAyMDA5IGd1aWRlbGluZXMgaW4gb2Jlc2Ugd29tZW4/IEEgc3lzdGVtYXRpYyBy
ZXZpZXcgYW5kIG1ldGEtYW5hbHlzaXM8L3RpdGxlPjxzZWNvbmRhcnktdGl0bGU+T2JlcyBSZXY8
L3NlY29uZGFyeS10aXRsZT48L3RpdGxlcz48cGVyaW9kaWNhbD48ZnVsbC10aXRsZT5PYmVzIFJl
djwvZnVsbC10aXRsZT48L3BlcmlvZGljYWw+PHBhZ2VzPjE4OS0yMDY8L3BhZ2VzPjx2b2x1bWU+
MTY8L3ZvbHVtZT48bnVtYmVyPjM8L251bWJlcj48ZWRpdGlvbj4yMDE1LzAxLzIwPC9lZGl0aW9u
PjxrZXl3b3Jkcz48a2V5d29yZD5BZHVsdDwva2V5d29yZD48a2V5d29yZD5GZW1hbGU8L2tleXdv
cmQ+PGtleXdvcmQ+SHVtYW5zPC9rZXl3b3JkPjxrZXl3b3JkPkluZmFudCwgTmV3Ym9ybjwva2V5
d29yZD48a2V5d29yZD5JbmZhbnQsIFByZW1hdHVyZTwva2V5d29yZD48a2V5d29yZD5JbmZhbnQs
IFNtYWxsIGZvciBHZXN0YXRpb25hbCBBZ2U8L2tleXdvcmQ+PGtleXdvcmQ+TW90aGVycy8qc3Rh
dGlzdGljcyAmYW1wOyBudW1lcmljYWwgZGF0YTwva2V5d29yZD48a2V5d29yZD5PYmVzaXR5L2Nv
bXBsaWNhdGlvbnMvZXBpZGVtaW9sb2d5LypwcmV2ZW50aW9uICZhbXA7IGNvbnRyb2w8L2tleXdv
cmQ+PGtleXdvcmQ+T2RkcyBSYXRpbzwva2V5d29yZD48a2V5d29yZD5QaWxvdCBQcm9qZWN0czwv
a2V5d29yZD48a2V5d29yZD5QcmFjdGljZSBHdWlkZWxpbmVzIGFzIFRvcGljPC9rZXl3b3JkPjxr
ZXl3b3JkPlByZS1FY2xhbXBzaWEvKmVwaWRlbWlvbG9neS9ldGlvbG9neS9wcmV2ZW50aW9uICZh
bXA7IGNvbnRyb2w8L2tleXdvcmQ+PGtleXdvcmQ+UHJlZ25hbmN5PC9rZXl3b3JkPjxrZXl3b3Jk
PlByZWduYW5jeSBDb21wbGljYXRpb25zLyplcGlkZW1pb2xvZ3kvZXRpb2xvZ3kvcHJldmVudGlv
biAmYW1wOyBjb250cm9sPC9rZXl3b3JkPjxrZXl3b3JkPlByZWduYW5jeSBPdXRjb21lPC9rZXl3
b3JkPjxrZXl3b3JkPlJpc2sgRmFjdG9yczwva2V5d29yZD48a2V5d29yZD4qV2VpZ2h0IEdhaW48
L2tleXdvcmQ+PGtleXdvcmQ+R2VzdGF0aW9uYWwgd2VpZ2h0IGdhaW48L2tleXdvcmQ+PGtleXdv
cmQ+SU9NIGd1aWRlbGluZTwva2V5d29yZD48a2V5d29yZD5vYmVzZSB3b21lbjwva2V5d29yZD48
a2V5d29yZD5zeXN0ZW1hdGljIHJldmlldzwva2V5d29yZD48L2tleXdvcmRzPjxkYXRlcz48eWVh
cj4yMDE1PC95ZWFyPjxwdWItZGF0ZXM+PGRhdGU+TWFyPC9kYXRlPjwvcHViLWRhdGVzPjwvZGF0
ZXM+PGlzYm4+MTQ2Ny03ODlYIChFbGVjdHJvbmljKSYjeEQ7MTQ2Ny03ODgxIChMaW5raW5nKTwv
aXNibj48YWNjZXNzaW9uLW51bT4yNTU5ODAzNzwvYWNjZXNzaW9uLW51bT48dXJscz48cmVsYXRl
ZC11cmxzPjx1cmw+aHR0cHM6Ly93d3cubmNiaS5ubG0ubmloLmdvdi9wdWJtZWQvMjU1OTgwMzc8
L3VybD48L3JlbGF0ZWQtdXJscz48L3VybHM+PGVsZWN0cm9uaWMtcmVzb3VyY2UtbnVtPjEwLjEx
MTEvb2JyLjEyMjM4PC9lbGVjdHJvbmljLXJlc291cmNlLW51bT48L3JlY29yZD48L0NpdGU+PC9F
bmROb3RlPn==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370</w:t>
            </w:r>
            <w:r w:rsidR="00774750">
              <w:fldChar w:fldCharType="end"/>
            </w:r>
          </w:p>
          <w:p w14:paraId="77EDC1F5" w14:textId="656A178E" w:rsidR="004A7F1A" w:rsidRDefault="004A7F1A" w:rsidP="00F11CB4">
            <w:r>
              <w:t>SLR</w:t>
            </w:r>
          </w:p>
        </w:tc>
        <w:tc>
          <w:tcPr>
            <w:tcW w:w="1701" w:type="dxa"/>
          </w:tcPr>
          <w:p w14:paraId="3CF763A3" w14:textId="77777777" w:rsidR="008C50EB" w:rsidRDefault="004A7F1A" w:rsidP="00F11CB4">
            <w:r>
              <w:t>18 cohort studies</w:t>
            </w:r>
          </w:p>
          <w:p w14:paraId="7736DE05" w14:textId="31EE1B7D" w:rsidR="00CE70E1" w:rsidRPr="00CE70E1" w:rsidRDefault="00CE70E1" w:rsidP="00CE70E1">
            <w:r w:rsidRPr="00CE70E1">
              <w:t>99,723</w:t>
            </w:r>
            <w:r>
              <w:t xml:space="preserve"> women</w:t>
            </w:r>
          </w:p>
        </w:tc>
        <w:tc>
          <w:tcPr>
            <w:tcW w:w="4252" w:type="dxa"/>
          </w:tcPr>
          <w:p w14:paraId="30314186" w14:textId="77777777" w:rsidR="004A7F1A" w:rsidRDefault="004A7F1A" w:rsidP="00FD0A3B">
            <w:r w:rsidRPr="004A7F1A">
              <w:rPr>
                <w:b/>
              </w:rPr>
              <w:t>Aim</w:t>
            </w:r>
            <w:r>
              <w:t>: T</w:t>
            </w:r>
            <w:r w:rsidRPr="008C50EB">
              <w:t xml:space="preserve">o determine the risk of adverse pregnancy outcomes with gestational weight gain (GWG) below the 2009 Institute of Medicine guidelines compared with within the guidelines in obese women. </w:t>
            </w:r>
          </w:p>
          <w:p w14:paraId="0EF05623" w14:textId="733558E2" w:rsidR="008C50EB" w:rsidRPr="00FD0A3B" w:rsidRDefault="004A7F1A" w:rsidP="004A7F1A">
            <w:pPr>
              <w:rPr>
                <w:b/>
              </w:rPr>
            </w:pPr>
            <w:r w:rsidRPr="004A7F1A">
              <w:rPr>
                <w:b/>
              </w:rPr>
              <w:t>Methods</w:t>
            </w:r>
            <w:r>
              <w:t xml:space="preserve">: </w:t>
            </w:r>
            <w:r w:rsidRPr="008C50EB">
              <w:t xml:space="preserve">MEDLINE, Embase, Cochrane Register, CINHAL and Web of Science were searched from 1 January 2009 to 31 July 2014. Quality was assessed using a modified Newcastle-Ottawa scale. Three primary outcomes were included: preterm birth, small for gestational age (SGA) and large for gestational age (LGA). </w:t>
            </w:r>
          </w:p>
        </w:tc>
        <w:tc>
          <w:tcPr>
            <w:tcW w:w="4394" w:type="dxa"/>
          </w:tcPr>
          <w:p w14:paraId="1783DDC5" w14:textId="6F990283" w:rsidR="004A7F1A" w:rsidRPr="00954CA7" w:rsidRDefault="00954CA7" w:rsidP="008C50EB">
            <w:r>
              <w:t>Gestational weight gain</w:t>
            </w:r>
            <w:r w:rsidR="008C50EB" w:rsidRPr="00954CA7">
              <w:t xml:space="preserve"> below the guidelines</w:t>
            </w:r>
            <w:r w:rsidR="004A7F1A" w:rsidRPr="00954CA7">
              <w:t xml:space="preserve"> vs within the guidelines:</w:t>
            </w:r>
            <w:r w:rsidR="008C50EB" w:rsidRPr="00954CA7">
              <w:t xml:space="preserve"> </w:t>
            </w:r>
          </w:p>
          <w:p w14:paraId="2CD2CB0F" w14:textId="35CE1033" w:rsidR="004A7F1A" w:rsidRDefault="004A7F1A" w:rsidP="004A7F1A">
            <w:pPr>
              <w:pStyle w:val="bullet"/>
            </w:pPr>
            <w:r>
              <w:t>Preterm birth: aOR</w:t>
            </w:r>
            <w:r w:rsidR="008C50EB" w:rsidRPr="008C50EB">
              <w:t xml:space="preserve"> 1.46; 95%</w:t>
            </w:r>
            <w:r>
              <w:t>CI</w:t>
            </w:r>
            <w:r w:rsidR="008C50EB" w:rsidRPr="008C50EB">
              <w:t xml:space="preserve"> 1.07</w:t>
            </w:r>
            <w:r>
              <w:t xml:space="preserve"> to </w:t>
            </w:r>
            <w:r w:rsidR="008C50EB" w:rsidRPr="008C50EB">
              <w:t>2.00</w:t>
            </w:r>
            <w:r w:rsidR="00766940">
              <w:t>; 2</w:t>
            </w:r>
            <w:r w:rsidR="0092570B">
              <w:t> </w:t>
            </w:r>
            <w:r w:rsidR="00766940">
              <w:t>studies, n=2,660</w:t>
            </w:r>
          </w:p>
          <w:p w14:paraId="1C1D1A9B" w14:textId="3D5056AF" w:rsidR="004A7F1A" w:rsidRDefault="004A7F1A" w:rsidP="004A7F1A">
            <w:pPr>
              <w:pStyle w:val="bullet"/>
            </w:pPr>
            <w:r>
              <w:t>Small for gestational age: OR 1.24; 95%</w:t>
            </w:r>
            <w:r w:rsidR="008C50EB" w:rsidRPr="008C50EB">
              <w:t>CI 1.13</w:t>
            </w:r>
            <w:r>
              <w:t xml:space="preserve"> to </w:t>
            </w:r>
            <w:r w:rsidR="0092570B">
              <w:t>1.36; 5 studies; n=11,975</w:t>
            </w:r>
          </w:p>
          <w:p w14:paraId="4D570E4C" w14:textId="4E1A4F77" w:rsidR="004A7F1A" w:rsidRDefault="004A7F1A" w:rsidP="004A7F1A">
            <w:pPr>
              <w:pStyle w:val="bullet"/>
            </w:pPr>
            <w:r>
              <w:t>Large for gestational age: aOR 0.77; 95%</w:t>
            </w:r>
            <w:r w:rsidR="008C50EB" w:rsidRPr="008C50EB">
              <w:t>CI 0.73</w:t>
            </w:r>
            <w:r>
              <w:t xml:space="preserve"> to </w:t>
            </w:r>
            <w:r w:rsidR="008C50EB" w:rsidRPr="008C50EB">
              <w:t>0.81</w:t>
            </w:r>
            <w:r w:rsidR="0092570B">
              <w:t>; 5 studies; n=11,983</w:t>
            </w:r>
          </w:p>
          <w:p w14:paraId="70A10119" w14:textId="77777777" w:rsidR="0092570B" w:rsidRDefault="0092570B" w:rsidP="004A7F1A">
            <w:pPr>
              <w:pStyle w:val="bullet"/>
            </w:pPr>
            <w:r>
              <w:t>Low birth weight: aOR1.08; 95%CI 0.76 to 1.54; 2 studies; n=8,680</w:t>
            </w:r>
          </w:p>
          <w:p w14:paraId="5A6405E2" w14:textId="6267648A" w:rsidR="004A7F1A" w:rsidRDefault="004A7F1A" w:rsidP="004A7F1A">
            <w:pPr>
              <w:pStyle w:val="bullet"/>
            </w:pPr>
            <w:r>
              <w:t>Macrosomia: aOR 0.64; 95%CI 0.54 to 0.77</w:t>
            </w:r>
            <w:r w:rsidR="0092570B">
              <w:t>; 4 studies; n-9,994</w:t>
            </w:r>
          </w:p>
          <w:p w14:paraId="0ABE23D6" w14:textId="3388F9F2" w:rsidR="004A7F1A" w:rsidRDefault="004A7F1A" w:rsidP="004A7F1A">
            <w:pPr>
              <w:pStyle w:val="bullet"/>
            </w:pPr>
            <w:r>
              <w:t>Gestational hypertension: a</w:t>
            </w:r>
            <w:r w:rsidR="008C50EB" w:rsidRPr="008C50EB">
              <w:t>OR, 0.70; 9</w:t>
            </w:r>
            <w:r>
              <w:t>5%</w:t>
            </w:r>
            <w:r w:rsidR="008C50EB" w:rsidRPr="008C50EB">
              <w:t>CI 0.53</w:t>
            </w:r>
            <w:r>
              <w:t xml:space="preserve"> to </w:t>
            </w:r>
            <w:r w:rsidR="008C50EB" w:rsidRPr="008C50EB">
              <w:t>0.93</w:t>
            </w:r>
            <w:r w:rsidR="0092570B">
              <w:t>; 2 studies; n=2,781</w:t>
            </w:r>
          </w:p>
          <w:p w14:paraId="761000E3" w14:textId="537924E2" w:rsidR="0092570B" w:rsidRDefault="0092570B" w:rsidP="004A7F1A">
            <w:pPr>
              <w:pStyle w:val="bullet"/>
            </w:pPr>
            <w:r>
              <w:t>Gestational diabetes: aOR1</w:t>
            </w:r>
            <w:r w:rsidR="00942AF8">
              <w:t>.15; 95%CI 0.91 to 1.45; 1 study</w:t>
            </w:r>
            <w:r>
              <w:t>; n=882</w:t>
            </w:r>
          </w:p>
          <w:p w14:paraId="256B70C5" w14:textId="28E97D66" w:rsidR="004A7F1A" w:rsidRDefault="004A7F1A" w:rsidP="004A7F1A">
            <w:pPr>
              <w:pStyle w:val="bullet"/>
            </w:pPr>
            <w:r>
              <w:t>Pre-eclampsia: aOR 0.90; 95%</w:t>
            </w:r>
            <w:r w:rsidR="008C50EB" w:rsidRPr="008C50EB">
              <w:t>CI 0.82</w:t>
            </w:r>
            <w:r>
              <w:t xml:space="preserve"> to 0.99</w:t>
            </w:r>
            <w:r w:rsidR="0092570B">
              <w:t>; 4 studies; n=22,500</w:t>
            </w:r>
          </w:p>
          <w:p w14:paraId="207C8CA5" w14:textId="77777777" w:rsidR="008C50EB" w:rsidRDefault="004A7F1A" w:rsidP="004A7F1A">
            <w:pPr>
              <w:pStyle w:val="bullet"/>
            </w:pPr>
            <w:r>
              <w:t>Caesarean section: aOR 0.87; 95%</w:t>
            </w:r>
            <w:r w:rsidR="008C50EB" w:rsidRPr="008C50EB">
              <w:t>CI 0.82</w:t>
            </w:r>
            <w:r>
              <w:t xml:space="preserve"> to 0.92</w:t>
            </w:r>
            <w:r w:rsidR="0092570B">
              <w:t>; 4 studies; n=27,241</w:t>
            </w:r>
          </w:p>
          <w:p w14:paraId="7651FDA9" w14:textId="400ED081" w:rsidR="0092570B" w:rsidRDefault="00520920" w:rsidP="004A7F1A">
            <w:pPr>
              <w:pStyle w:val="bullet"/>
            </w:pPr>
            <w:r>
              <w:t>Apgar score &lt;7 at 5 min</w:t>
            </w:r>
            <w:r w:rsidR="0092570B">
              <w:t>utes: aOR 0.92; 95%CI 0.67 to 1.27; 3 studies; n=26,449</w:t>
            </w:r>
          </w:p>
          <w:p w14:paraId="35253AFB" w14:textId="7BFF2F59" w:rsidR="0092570B" w:rsidRPr="008C50EB" w:rsidRDefault="0092570B" w:rsidP="004A7F1A">
            <w:pPr>
              <w:pStyle w:val="bullet"/>
            </w:pPr>
            <w:r>
              <w:t>Postpartum weight retention: MD -5.3; 95%CI -9.0 to 1.17; 2 studies; n=31</w:t>
            </w:r>
          </w:p>
        </w:tc>
        <w:tc>
          <w:tcPr>
            <w:tcW w:w="2411" w:type="dxa"/>
          </w:tcPr>
          <w:p w14:paraId="705486D9" w14:textId="77777777" w:rsidR="008C50EB" w:rsidRDefault="008C50EB" w:rsidP="00F11CB4"/>
        </w:tc>
      </w:tr>
      <w:tr w:rsidR="002C667E" w:rsidRPr="00B60FFF" w14:paraId="188F7C1D" w14:textId="77777777" w:rsidTr="00F11CB4">
        <w:trPr>
          <w:cantSplit/>
        </w:trPr>
        <w:tc>
          <w:tcPr>
            <w:tcW w:w="1418" w:type="dxa"/>
          </w:tcPr>
          <w:p w14:paraId="18F669A5" w14:textId="4D372D13" w:rsidR="002C667E" w:rsidRDefault="002C667E" w:rsidP="00F11CB4">
            <w:r>
              <w:t>Kapadia et al 2015</w:t>
            </w:r>
            <w:r w:rsidR="00774750">
              <w:fldChar w:fldCharType="begin">
                <w:fldData xml:space="preserve">PEVuZE5vdGU+PENpdGU+PEF1dGhvcj5LYXBhZGlhPC9BdXRob3I+PFllYXI+MjAxNTwvWWVhcj48
UmVjTnVtPjE3NjY8L1JlY051bT48RGlzcGxheVRleHQ+PHN0eWxlIGZhY2U9InN1cGVyc2NyaXB0
IiBmb250PSJUcmVidWNoZXQgTVMiIHNpemU9IjkiPjM3MTwvc3R5bGU+PC9EaXNwbGF5VGV4dD48
cmVjb3JkPjxyZWMtbnVtYmVyPjE3NjY8L3JlYy1udW1iZXI+PGZvcmVpZ24ta2V5cz48a2V5IGFw
cD0iRU4iIGRiLWlkPSJleHZhc3JmeDJkdHJhb2VzYXN4cDJzenN4YTJkZjUwMjU5MngiIHRpbWVz
dGFtcD0iMTU4Mjg2NzIxMiI+MTc2Njwva2V5PjxrZXkgYXBwPSJFTldlYiIgZGItaWQ9IiI+MDwv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Y01hc3RlciBVbml2ZXJzaXR5LCBIYW1pbHRvbiwgT250YXJpbywgQ2FuYWRhLiYjeEQ7RGVwYXJ0
bWVudCBvZiBDbGluaWNhbCBFcGlkZW1pb2xvZ3kgYW5kIEJpb3N0YXRpc3RpY3MsIE1jTWFzdGVy
IFVuaXZlcnNpdHksIEhhbWlsdG9uLCBPbnRhcmlvLCBDYW5hZGEuJiN4RDtEZXBhcnRtZW50IG9m
IFBlZGlhdHJpY3MsIERpdmlzaW9uIG9mIEdlbmVyYWwgUGVkaWF0cmljcywgTWNNYXN0ZXIgVW5p
dmVyc2l0eSwgSGFtaWx0b24sIE9udGFyaW8sIENhbmFkYS4mI3hEO0RlcGFydG1lbnQgb2YgT2Jz
dGV0cmljcyBhbmQgR3luYWVjb2xvZ3ksIERpdmlzaW9uIG9mIE1hdGVybmFsIEZldGFsIE1lZGlj
aW5lLCBNb3VudCBTaW5haSBIb3NwaXRhbCBhbmQgVW5pdmVyc2l0eSBIZWFsdGggTmV0d29yaywg
VW5pdmVyc2l0eSBvZiBUb3JvbnRvLCBUb3JvbnRvLCBPbnRhcmlvLCBDYW5hZGEuJiN4RDtEZXBh
cnRtZW50IG9mIENsaW5pY2FsIEVwaWRlbWlvbG9neSBhbmQgQmlvc3RhdGlzdGljcywgTWNNYXN0
ZXIgVW5pdmVyc2l0eSwgSGFtaWx0b24sIE9udGFyaW8sIENhbmFkYTsgRGVwYXJ0bWVudCBvZiBP
YnN0ZXRyaWNzIGFuZCBHeW5lY29sb2d5LCBEaXZpc2lvbiBvZiBNYXRlcm5hbCBGZXRhbCBNZWRp
Y2luZSwgTWNNYXN0ZXIgVW5pdmVyc2l0eSwgSGFtaWx0b24sIE9udGFyaW8sIENhbmFkYTsgRGVw
YXJ0bWVudCBvZiBSYWRpb2xvZ3ksIE1jTWFzdGVyIFVuaXZlcnNpdHksIEhhbWlsdG9uLCBPbnRh
cmlvLCBDYW5hZGEuPC9hdXRoLWFkZHJlc3M+PHRpdGxlcz48dGl0bGU+V2VpZ2h0IGxvc3MgaW5z
dGVhZCBvZiB3ZWlnaHQgZ2FpbiB3aXRoaW4gdGhlIGd1aWRlbGluZXMgaW4gb2Jlc2Ugd29tZW4g
ZHVyaW5nIHByZWduYW5jeTogQSBzeXN0ZW1hdGljIHJldmlldyBhbmQgbWV0YS1hbmFseXNlcyBv
ZiBtYXRlcm5hbCBhbmQgaW5mYW50IG91dGNvbWVzPC90aXRsZT48c2Vjb25kYXJ5LXRpdGxlPlBM
b1MgT25lPC9zZWNvbmRhcnktdGl0bGU+PC90aXRsZXM+PHBlcmlvZGljYWw+PGZ1bGwtdGl0bGU+
UExvUyBPbmU8L2Z1bGwtdGl0bGU+PC9wZXJpb2RpY2FsPjxwYWdlcz5lMDEzMjY1MDwvcGFnZXM+
PHZvbHVtZT4xMDwvdm9sdW1lPjxudW1iZXI+NzwvbnVtYmVyPjxlZGl0aW9uPjIwMTUvMDcvMjI8
L2VkaXRpb24+PGtleXdvcmRzPjxrZXl3b3JkPkZlbWFsZTwva2V5d29yZD48a2V5d29yZD5IdW1h
bnM8L2tleXdvcmQ+PGtleXdvcmQ+SW5mYW50LCBOZXdib3JuPC9rZXl3b3JkPjxrZXl3b3JkPklu
ZmFudCwgU21hbGwgZm9yIEdlc3RhdGlvbmFsIEFnZTwva2V5d29yZD48a2V5d29yZD5PYmVzaXR5
Lypjb21wbGljYXRpb25zLypwYXRob2xvZ3k8L2tleXdvcmQ+PGtleXdvcmQ+UHJlZ25hbmN5PC9r
ZXl3b3JkPjxrZXl3b3JkPlByZWduYW5jeSBDb21wbGljYXRpb25zL2RpYWdub3Npcy9lcGlkZW1p
b2xvZ3kvKnBhdGhvbG9neTwva2V5d29yZD48a2V5d29yZD5QcmVnbmFuY3kgT3V0Y29tZTwva2V5
d29yZD48a2V5d29yZD5QcmVtYXR1cmUgQmlydGgvZGlhZ25vc2lzL2VwaWRlbWlvbG9neS9wYXRo
b2xvZ3k8L2tleXdvcmQ+PGtleXdvcmQ+KldlaWdodCBHYWluPC9rZXl3b3JkPjxrZXl3b3JkPipX
ZWlnaHQgTG9zczwva2V5d29yZD48L2tleXdvcmRzPjxkYXRlcz48eWVhcj4yMDE1PC95ZWFyPjwv
ZGF0ZXM+PGlzYm4+MTkzMi02MjAzIChFbGVjdHJvbmljKSYjeEQ7MTkzMi02MjAzIChMaW5raW5n
KTwvaXNibj48YWNjZXNzaW9uLW51bT4yNjE5NjEzMDwvYWNjZXNzaW9uLW51bT48dXJscz48cmVs
YXRlZC11cmxzPjx1cmw+aHR0cHM6Ly93d3cubmNiaS5ubG0ubmloLmdvdi9wdWJtZWQvMjYxOTYx
MzA8L3VybD48L3JlbGF0ZWQtdXJscz48L3VybHM+PGN1c3RvbTI+UE1DNDUwOTY3MDwvY3VzdG9t
Mj48ZWxlY3Ryb25pYy1yZXNvdXJjZS1udW0+MTAuMTM3MS9qb3VybmFsLnBvbmUuMDEzMjY1MDwv
ZWxlY3Ryb25pYy1yZXNvdXJjZS1udW0+PC9yZWNvcmQ+PC9DaXRlPjwvRW5kTm90ZT5=
</w:fldData>
              </w:fldChar>
            </w:r>
            <w:r w:rsidR="001A2F28">
              <w:instrText xml:space="preserve"> ADDIN EN.CITE </w:instrText>
            </w:r>
            <w:r w:rsidR="001A2F28">
              <w:fldChar w:fldCharType="begin">
                <w:fldData xml:space="preserve">PEVuZE5vdGU+PENpdGU+PEF1dGhvcj5LYXBhZGlhPC9BdXRob3I+PFllYXI+MjAxNTwvWWVhcj48
UmVjTnVtPjE3NjY8L1JlY051bT48RGlzcGxheVRleHQ+PHN0eWxlIGZhY2U9InN1cGVyc2NyaXB0
IiBmb250PSJUcmVidWNoZXQgTVMiIHNpemU9IjkiPjM3MTwvc3R5bGU+PC9EaXNwbGF5VGV4dD48
cmVjb3JkPjxyZWMtbnVtYmVyPjE3NjY8L3JlYy1udW1iZXI+PGZvcmVpZ24ta2V5cz48a2V5IGFw
cD0iRU4iIGRiLWlkPSJleHZhc3JmeDJkdHJhb2VzYXN4cDJzenN4YTJkZjUwMjU5MngiIHRpbWVz
dGFtcD0iMTU4Mjg2NzIxMiI+MTc2Njwva2V5PjxrZXkgYXBwPSJFTldlYiIgZGItaWQ9IiI+MDwv
a2V5PjwvZm9yZWlnbi1rZXlzPjxyZWYtdHlwZSBuYW1lPSJKb3VybmFsIEFydGljbGUiPjE3PC9y
ZWYtdHlwZT48Y29udHJpYnV0b3JzPjxhdXRob3JzPjxhdXRob3I+S2FwYWRpYSwgTS4gWi48L2F1
dGhvcj48YXV0aG9yPlBhcmssIEMuIEsuPC9hdXRob3I+PGF1dGhvcj5CZXllbmUsIEouPC9hdXRo
b3I+PGF1dGhvcj5HaWdsaWEsIEwuPC9hdXRob3I+PGF1dGhvcj5NYXh3ZWxsLCBDLjwvYXV0aG9y
PjxhdXRob3I+TWNEb25hbGQsIFMuIEQuPC9hdXRob3I+PC9hdXRob3JzPjwvY29udHJpYnV0b3Jz
PjxhdXRoLWFkZHJlc3M+RGVwYXJ0bWVudCBvZiBPYnN0ZXRyaWNzIGFuZCBHeW5lY29sb2d5LCBN
Y01hc3RlciBVbml2ZXJzaXR5LCBIYW1pbHRvbiwgT250YXJpbywgQ2FuYWRhLiYjeEQ7RGVwYXJ0
bWVudCBvZiBDbGluaWNhbCBFcGlkZW1pb2xvZ3kgYW5kIEJpb3N0YXRpc3RpY3MsIE1jTWFzdGVy
IFVuaXZlcnNpdHksIEhhbWlsdG9uLCBPbnRhcmlvLCBDYW5hZGEuJiN4RDtEZXBhcnRtZW50IG9m
IFBlZGlhdHJpY3MsIERpdmlzaW9uIG9mIEdlbmVyYWwgUGVkaWF0cmljcywgTWNNYXN0ZXIgVW5p
dmVyc2l0eSwgSGFtaWx0b24sIE9udGFyaW8sIENhbmFkYS4mI3hEO0RlcGFydG1lbnQgb2YgT2Jz
dGV0cmljcyBhbmQgR3luYWVjb2xvZ3ksIERpdmlzaW9uIG9mIE1hdGVybmFsIEZldGFsIE1lZGlj
aW5lLCBNb3VudCBTaW5haSBIb3NwaXRhbCBhbmQgVW5pdmVyc2l0eSBIZWFsdGggTmV0d29yaywg
VW5pdmVyc2l0eSBvZiBUb3JvbnRvLCBUb3JvbnRvLCBPbnRhcmlvLCBDYW5hZGEuJiN4RDtEZXBh
cnRtZW50IG9mIENsaW5pY2FsIEVwaWRlbWlvbG9neSBhbmQgQmlvc3RhdGlzdGljcywgTWNNYXN0
ZXIgVW5pdmVyc2l0eSwgSGFtaWx0b24sIE9udGFyaW8sIENhbmFkYTsgRGVwYXJ0bWVudCBvZiBP
YnN0ZXRyaWNzIGFuZCBHeW5lY29sb2d5LCBEaXZpc2lvbiBvZiBNYXRlcm5hbCBGZXRhbCBNZWRp
Y2luZSwgTWNNYXN0ZXIgVW5pdmVyc2l0eSwgSGFtaWx0b24sIE9udGFyaW8sIENhbmFkYTsgRGVw
YXJ0bWVudCBvZiBSYWRpb2xvZ3ksIE1jTWFzdGVyIFVuaXZlcnNpdHksIEhhbWlsdG9uLCBPbnRh
cmlvLCBDYW5hZGEuPC9hdXRoLWFkZHJlc3M+PHRpdGxlcz48dGl0bGU+V2VpZ2h0IGxvc3MgaW5z
dGVhZCBvZiB3ZWlnaHQgZ2FpbiB3aXRoaW4gdGhlIGd1aWRlbGluZXMgaW4gb2Jlc2Ugd29tZW4g
ZHVyaW5nIHByZWduYW5jeTogQSBzeXN0ZW1hdGljIHJldmlldyBhbmQgbWV0YS1hbmFseXNlcyBv
ZiBtYXRlcm5hbCBhbmQgaW5mYW50IG91dGNvbWVzPC90aXRsZT48c2Vjb25kYXJ5LXRpdGxlPlBM
b1MgT25lPC9zZWNvbmRhcnktdGl0bGU+PC90aXRsZXM+PHBlcmlvZGljYWw+PGZ1bGwtdGl0bGU+
UExvUyBPbmU8L2Z1bGwtdGl0bGU+PC9wZXJpb2RpY2FsPjxwYWdlcz5lMDEzMjY1MDwvcGFnZXM+
PHZvbHVtZT4xMDwvdm9sdW1lPjxudW1iZXI+NzwvbnVtYmVyPjxlZGl0aW9uPjIwMTUvMDcvMjI8
L2VkaXRpb24+PGtleXdvcmRzPjxrZXl3b3JkPkZlbWFsZTwva2V5d29yZD48a2V5d29yZD5IdW1h
bnM8L2tleXdvcmQ+PGtleXdvcmQ+SW5mYW50LCBOZXdib3JuPC9rZXl3b3JkPjxrZXl3b3JkPklu
ZmFudCwgU21hbGwgZm9yIEdlc3RhdGlvbmFsIEFnZTwva2V5d29yZD48a2V5d29yZD5PYmVzaXR5
Lypjb21wbGljYXRpb25zLypwYXRob2xvZ3k8L2tleXdvcmQ+PGtleXdvcmQ+UHJlZ25hbmN5PC9r
ZXl3b3JkPjxrZXl3b3JkPlByZWduYW5jeSBDb21wbGljYXRpb25zL2RpYWdub3Npcy9lcGlkZW1p
b2xvZ3kvKnBhdGhvbG9neTwva2V5d29yZD48a2V5d29yZD5QcmVnbmFuY3kgT3V0Y29tZTwva2V5
d29yZD48a2V5d29yZD5QcmVtYXR1cmUgQmlydGgvZGlhZ25vc2lzL2VwaWRlbWlvbG9neS9wYXRo
b2xvZ3k8L2tleXdvcmQ+PGtleXdvcmQ+KldlaWdodCBHYWluPC9rZXl3b3JkPjxrZXl3b3JkPipX
ZWlnaHQgTG9zczwva2V5d29yZD48L2tleXdvcmRzPjxkYXRlcz48eWVhcj4yMDE1PC95ZWFyPjwv
ZGF0ZXM+PGlzYm4+MTkzMi02MjAzIChFbGVjdHJvbmljKSYjeEQ7MTkzMi02MjAzIChMaW5raW5n
KTwvaXNibj48YWNjZXNzaW9uLW51bT4yNjE5NjEzMDwvYWNjZXNzaW9uLW51bT48dXJscz48cmVs
YXRlZC11cmxzPjx1cmw+aHR0cHM6Ly93d3cubmNiaS5ubG0ubmloLmdvdi9wdWJtZWQvMjYxOTYx
MzA8L3VybD48L3JlbGF0ZWQtdXJscz48L3VybHM+PGN1c3RvbTI+UE1DNDUwOTY3MDwvY3VzdG9t
Mj48ZWxlY3Ryb25pYy1yZXNvdXJjZS1udW0+MTAuMTM3MS9qb3VybmFsLnBvbmUuMDEzMjY1MDwv
ZWxlY3Ryb25pYy1yZXNvdXJjZS1udW0+PC9yZWNvcmQ+PC9DaXRlPjwvRW5kTm90ZT5=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371</w:t>
            </w:r>
            <w:r w:rsidR="00774750">
              <w:fldChar w:fldCharType="end"/>
            </w:r>
          </w:p>
          <w:p w14:paraId="2FD50A61" w14:textId="643109E6" w:rsidR="002C667E" w:rsidRDefault="002C667E" w:rsidP="00F11CB4">
            <w:r>
              <w:t>SLR</w:t>
            </w:r>
          </w:p>
        </w:tc>
        <w:tc>
          <w:tcPr>
            <w:tcW w:w="1701" w:type="dxa"/>
          </w:tcPr>
          <w:p w14:paraId="17F9F4D8" w14:textId="77777777" w:rsidR="002C667E" w:rsidRDefault="002C667E" w:rsidP="00F11CB4">
            <w:r>
              <w:t>6 cohort studies</w:t>
            </w:r>
          </w:p>
          <w:p w14:paraId="7DE02661" w14:textId="1B2D533F" w:rsidR="00D34E49" w:rsidRPr="00D34E49" w:rsidRDefault="00D34E49" w:rsidP="00D34E49">
            <w:r w:rsidRPr="00D34E49">
              <w:t>60,913</w:t>
            </w:r>
            <w:r>
              <w:t xml:space="preserve"> obese women</w:t>
            </w:r>
          </w:p>
          <w:p w14:paraId="1AFC0681" w14:textId="4855B75D" w:rsidR="00D34E49" w:rsidRDefault="00D34E49" w:rsidP="00F11CB4"/>
        </w:tc>
        <w:tc>
          <w:tcPr>
            <w:tcW w:w="4252" w:type="dxa"/>
          </w:tcPr>
          <w:p w14:paraId="7CEF024D" w14:textId="3CBE1931" w:rsidR="002C667E" w:rsidRDefault="002C667E" w:rsidP="002C667E">
            <w:r w:rsidRPr="002C667E">
              <w:rPr>
                <w:b/>
              </w:rPr>
              <w:t>Aim</w:t>
            </w:r>
            <w:r>
              <w:t>: To summaris</w:t>
            </w:r>
            <w:r w:rsidRPr="002C667E">
              <w:t xml:space="preserve">e pregnancy outcomes in obese women with </w:t>
            </w:r>
            <w:r w:rsidR="00954CA7">
              <w:t>gestational weight loss</w:t>
            </w:r>
            <w:r w:rsidRPr="002C667E">
              <w:t xml:space="preserve"> compared to </w:t>
            </w:r>
            <w:r w:rsidR="00954CA7">
              <w:t>gestational weight gain</w:t>
            </w:r>
            <w:r w:rsidRPr="002C667E">
              <w:t xml:space="preserve"> within the 2009 Institute of Medicine guidelines (5-9 kg). </w:t>
            </w:r>
          </w:p>
          <w:p w14:paraId="51923F7B" w14:textId="570D85ED" w:rsidR="002C667E" w:rsidRPr="004A7F1A" w:rsidRDefault="002C667E" w:rsidP="00974073">
            <w:pPr>
              <w:rPr>
                <w:b/>
              </w:rPr>
            </w:pPr>
            <w:r w:rsidRPr="002C667E">
              <w:rPr>
                <w:b/>
              </w:rPr>
              <w:t>Methods</w:t>
            </w:r>
            <w:r w:rsidRPr="002C667E">
              <w:t xml:space="preserve">: Five databases were searched from 1 January 2009 to 31 July 2014. The Cochrane Handbook for Systematic Reviews of Interventions and the PRISMA Statement were followed. A modified version of the Newcastle-Ottawa scale was used to assess individual study quality. Small for gestational age (SGA), large for gestational age (LGA) and preterm birth were our primary outcomes. </w:t>
            </w:r>
          </w:p>
        </w:tc>
        <w:tc>
          <w:tcPr>
            <w:tcW w:w="4394" w:type="dxa"/>
          </w:tcPr>
          <w:p w14:paraId="7086EC03" w14:textId="3CF42CF0" w:rsidR="002C667E" w:rsidRDefault="00954CA7" w:rsidP="002C667E">
            <w:r>
              <w:t xml:space="preserve">Gestational </w:t>
            </w:r>
            <w:r w:rsidR="00E8552E">
              <w:t xml:space="preserve">weight loss versus </w:t>
            </w:r>
            <w:r>
              <w:t>weight gain</w:t>
            </w:r>
            <w:r w:rsidR="002C667E" w:rsidRPr="002C667E">
              <w:t xml:space="preserve"> within the guidelines</w:t>
            </w:r>
            <w:r w:rsidR="002C667E">
              <w:t>:</w:t>
            </w:r>
          </w:p>
          <w:p w14:paraId="2A499E83" w14:textId="563A65C3" w:rsidR="002C667E" w:rsidRDefault="002C667E" w:rsidP="002C667E">
            <w:pPr>
              <w:pStyle w:val="bullet"/>
            </w:pPr>
            <w:r>
              <w:t>Small for gestational age: aOR</w:t>
            </w:r>
            <w:r w:rsidRPr="002C667E">
              <w:t xml:space="preserve"> 1.76; 95%</w:t>
            </w:r>
            <w:r>
              <w:t>CI</w:t>
            </w:r>
            <w:r w:rsidRPr="002C667E">
              <w:t xml:space="preserve"> 1.45</w:t>
            </w:r>
            <w:r>
              <w:t xml:space="preserve"> to </w:t>
            </w:r>
            <w:r w:rsidRPr="002C667E">
              <w:t>2.14</w:t>
            </w:r>
            <w:r>
              <w:t>; 2 studies</w:t>
            </w:r>
          </w:p>
          <w:p w14:paraId="242664DA" w14:textId="195ED464" w:rsidR="002C667E" w:rsidRDefault="002C667E" w:rsidP="002C667E">
            <w:pPr>
              <w:pStyle w:val="bullet"/>
            </w:pPr>
            <w:r>
              <w:t>Large for gestational age: aOR 0.57; 95%</w:t>
            </w:r>
            <w:r w:rsidRPr="002C667E">
              <w:t>CI 0.52</w:t>
            </w:r>
            <w:r>
              <w:t xml:space="preserve"> to </w:t>
            </w:r>
            <w:r w:rsidRPr="002C667E">
              <w:t>0.62</w:t>
            </w:r>
            <w:r>
              <w:t>; 2 studies</w:t>
            </w:r>
          </w:p>
          <w:p w14:paraId="0E5E3AE1" w14:textId="55FE9CAC" w:rsidR="00954CA7" w:rsidRDefault="00954CA7" w:rsidP="002C667E">
            <w:pPr>
              <w:pStyle w:val="bullet"/>
            </w:pPr>
            <w:r>
              <w:t>Low birth weight: aOR 1.68; 95%CI 1.10 to 2.57</w:t>
            </w:r>
            <w:r w:rsidR="00866F5D">
              <w:t>; 1 study</w:t>
            </w:r>
          </w:p>
          <w:p w14:paraId="6606BF0B" w14:textId="5A48AD0A" w:rsidR="002C667E" w:rsidRDefault="002C667E" w:rsidP="002C667E">
            <w:pPr>
              <w:pStyle w:val="bullet"/>
            </w:pPr>
            <w:r>
              <w:t>Macrosomia: aOR 0.58; 95%CI 0.38 to 0.89; 1 study</w:t>
            </w:r>
          </w:p>
          <w:p w14:paraId="31232D3A" w14:textId="2D8AE6AF" w:rsidR="002C667E" w:rsidRDefault="002C667E" w:rsidP="002C667E">
            <w:pPr>
              <w:pStyle w:val="bullet"/>
            </w:pPr>
            <w:r>
              <w:t>Caesarean section: aOR 0.73; 95%CI 0.67 to 0.80; 2 studies</w:t>
            </w:r>
          </w:p>
          <w:p w14:paraId="7B044EA6" w14:textId="67830656" w:rsidR="002C667E" w:rsidRDefault="002C667E" w:rsidP="002C667E">
            <w:pPr>
              <w:pStyle w:val="bullet"/>
            </w:pPr>
            <w:r>
              <w:t>Gestational diabetes: aOR 0.88; 95%CI 0.62 to 1.25</w:t>
            </w:r>
            <w:r w:rsidR="00954CA7">
              <w:t>; 1 study</w:t>
            </w:r>
          </w:p>
          <w:p w14:paraId="44C08E88" w14:textId="2A28D1C5" w:rsidR="002C667E" w:rsidRDefault="002C667E" w:rsidP="002C667E">
            <w:pPr>
              <w:pStyle w:val="bullet"/>
            </w:pPr>
            <w:r>
              <w:t>Pre-eclampsia: aOR 0.82; 95%CI 0.66 to 1.02; 1 study</w:t>
            </w:r>
          </w:p>
          <w:p w14:paraId="28970575" w14:textId="44B928C7" w:rsidR="00954CA7" w:rsidRDefault="00954CA7" w:rsidP="002C667E">
            <w:pPr>
              <w:pStyle w:val="bullet"/>
            </w:pPr>
            <w:r>
              <w:t>Apgar score &lt;7 at 5 minutes: aOR 1.08; 95%CI 0.81 to 1.44; 2 studies</w:t>
            </w:r>
          </w:p>
          <w:p w14:paraId="729A297F" w14:textId="6FF7B6F0" w:rsidR="002C667E" w:rsidRPr="004A7F1A" w:rsidRDefault="002C667E" w:rsidP="002C667E">
            <w:pPr>
              <w:rPr>
                <w:i/>
              </w:rPr>
            </w:pPr>
            <w:r>
              <w:t>No studies reported on preterm birth.</w:t>
            </w:r>
          </w:p>
        </w:tc>
        <w:tc>
          <w:tcPr>
            <w:tcW w:w="2411" w:type="dxa"/>
          </w:tcPr>
          <w:p w14:paraId="1F36E8D8" w14:textId="77777777" w:rsidR="002C667E" w:rsidRDefault="002C667E" w:rsidP="00F11CB4"/>
        </w:tc>
      </w:tr>
      <w:tr w:rsidR="004C79B9" w:rsidRPr="00B60FFF" w14:paraId="1CBF581D" w14:textId="77777777" w:rsidTr="00F11CB4">
        <w:trPr>
          <w:cantSplit/>
        </w:trPr>
        <w:tc>
          <w:tcPr>
            <w:tcW w:w="1418" w:type="dxa"/>
          </w:tcPr>
          <w:p w14:paraId="6B7C286B" w14:textId="04499351" w:rsidR="004C79B9" w:rsidRDefault="001D5295" w:rsidP="00F11CB4">
            <w:r>
              <w:t>Voerman et al 2019</w:t>
            </w:r>
            <w:r w:rsidR="00774750">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 </w:instrText>
            </w:r>
            <w:r w:rsidR="001A2F28">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365</w:t>
            </w:r>
            <w:r w:rsidR="00774750">
              <w:fldChar w:fldCharType="end"/>
            </w:r>
          </w:p>
          <w:p w14:paraId="5D94B8F6" w14:textId="265AA13D" w:rsidR="001D5295" w:rsidRDefault="001D5295" w:rsidP="00F11CB4">
            <w:r>
              <w:t>Meta-analysis</w:t>
            </w:r>
          </w:p>
        </w:tc>
        <w:tc>
          <w:tcPr>
            <w:tcW w:w="1701" w:type="dxa"/>
          </w:tcPr>
          <w:p w14:paraId="2D88A1B7" w14:textId="4F8AABF5" w:rsidR="004C79B9" w:rsidRDefault="001D5295" w:rsidP="00F11CB4">
            <w:r w:rsidRPr="004C79B9">
              <w:t>162,129 mothers and their children</w:t>
            </w:r>
          </w:p>
        </w:tc>
        <w:tc>
          <w:tcPr>
            <w:tcW w:w="4252" w:type="dxa"/>
          </w:tcPr>
          <w:p w14:paraId="38D5FD79" w14:textId="77777777" w:rsidR="004C79B9" w:rsidRDefault="004C79B9" w:rsidP="004C79B9">
            <w:r w:rsidRPr="004C79B9">
              <w:rPr>
                <w:b/>
              </w:rPr>
              <w:t>Aim</w:t>
            </w:r>
            <w:r>
              <w:t>: T</w:t>
            </w:r>
            <w:r w:rsidRPr="004C79B9">
              <w:t xml:space="preserve">o assess the separate and combined associations of maternal BMI and gestational weight gain with the risk of overweight/obesity throughout childhood, and their population impact. </w:t>
            </w:r>
          </w:p>
          <w:p w14:paraId="6DB0B5FB" w14:textId="15F3BE76" w:rsidR="004C79B9" w:rsidRPr="002C667E" w:rsidRDefault="004C79B9" w:rsidP="001D5295">
            <w:pPr>
              <w:rPr>
                <w:b/>
              </w:rPr>
            </w:pPr>
            <w:r w:rsidRPr="004C79B9">
              <w:rPr>
                <w:b/>
              </w:rPr>
              <w:t>Methods</w:t>
            </w:r>
            <w:r w:rsidRPr="004C79B9">
              <w:t>: We conducted an individual participant data meta-analysis of data from 37 pregnancy and birth cohort studies from Europe, North America, and Australia. We assessed the individual and combined associations of maternal pre-pregnancy BMI and gestational weight gain, both in clinical categories and across their full ranges, with the risks of overweight/obesity in early (2.0-5.0 years), mid (5.0-10.0 years) and late childhood (10.0-18.0 years), using multilevel binary logistic regression models with a random intercept at cohort level adjusted for maternal sociodemographic and lifestyle-related characteristics.</w:t>
            </w:r>
          </w:p>
        </w:tc>
        <w:tc>
          <w:tcPr>
            <w:tcW w:w="4394" w:type="dxa"/>
          </w:tcPr>
          <w:p w14:paraId="4C508B2B" w14:textId="77777777" w:rsidR="00A05766" w:rsidRDefault="00A05766" w:rsidP="00A05766">
            <w:r>
              <w:t>Weight gain exceeding guidelines:</w:t>
            </w:r>
          </w:p>
          <w:p w14:paraId="673A8579" w14:textId="18259F8B" w:rsidR="00A05766" w:rsidRDefault="00A05766" w:rsidP="00311895">
            <w:pPr>
              <w:pStyle w:val="bullet"/>
            </w:pPr>
            <w:r>
              <w:t xml:space="preserve">Early childhood overweight/obesity: </w:t>
            </w:r>
            <w:r w:rsidR="00311895">
              <w:t>OR 1.39; 95% CI: 1.30 to 1.49</w:t>
            </w:r>
            <w:r w:rsidR="004C79B9" w:rsidRPr="004C79B9">
              <w:t xml:space="preserve"> </w:t>
            </w:r>
          </w:p>
          <w:p w14:paraId="03D4608C" w14:textId="542EEBC2" w:rsidR="00A05766" w:rsidRDefault="00A05766" w:rsidP="00311895">
            <w:pPr>
              <w:pStyle w:val="bullet"/>
            </w:pPr>
            <w:r>
              <w:t>Mid childhood</w:t>
            </w:r>
            <w:r w:rsidR="00311895">
              <w:t xml:space="preserve"> overweight/obesity</w:t>
            </w:r>
            <w:r>
              <w:t xml:space="preserve">: </w:t>
            </w:r>
            <w:r w:rsidR="00311895">
              <w:t>OR 1.55; 95%CI 1.49 to 1.60</w:t>
            </w:r>
          </w:p>
          <w:p w14:paraId="18DC74EC" w14:textId="6B4FC944" w:rsidR="00A05766" w:rsidRDefault="00A05766" w:rsidP="00311895">
            <w:pPr>
              <w:pStyle w:val="bullet"/>
            </w:pPr>
            <w:r>
              <w:t>Late childhood</w:t>
            </w:r>
            <w:r w:rsidR="00311895">
              <w:t xml:space="preserve"> overweight/obesity</w:t>
            </w:r>
            <w:r>
              <w:t xml:space="preserve">: </w:t>
            </w:r>
            <w:r w:rsidR="00311895">
              <w:t>OR 1.72; 95%CI 1.56 to 1.91</w:t>
            </w:r>
          </w:p>
          <w:p w14:paraId="2F42497B" w14:textId="6EE93035" w:rsidR="004C79B9" w:rsidRDefault="004C79B9" w:rsidP="00A05766">
            <w:r w:rsidRPr="004C79B9">
              <w:t xml:space="preserve">Relative to the effect of maternal BMI, excessive gestational weight gain only slightly increased the risk of childhood overweight/obesity within each clinical BMI category (p-values for interactions of maternal BMI with gestational weight gain: p = 0.038, p &lt; 0.001, and p = 0.637 in early, mid, and late childhood, respectively). </w:t>
            </w:r>
          </w:p>
        </w:tc>
        <w:tc>
          <w:tcPr>
            <w:tcW w:w="2411" w:type="dxa"/>
          </w:tcPr>
          <w:p w14:paraId="1D09D1B9" w14:textId="77777777" w:rsidR="004C79B9" w:rsidRDefault="004C79B9" w:rsidP="00F11CB4"/>
        </w:tc>
      </w:tr>
    </w:tbl>
    <w:p w14:paraId="4E8296E7" w14:textId="41AEF152" w:rsidR="00F6477E" w:rsidRDefault="009C163D" w:rsidP="00932C6D">
      <w:pPr>
        <w:pStyle w:val="TableName"/>
      </w:pPr>
      <w:bookmarkStart w:id="191" w:name="_Toc40956673"/>
      <w:r>
        <w:t xml:space="preserve">Q7 </w:t>
      </w:r>
      <w:r w:rsidR="00F6477E">
        <w:t>Women’s perceptions and view</w:t>
      </w:r>
      <w:r w:rsidR="00711EDB">
        <w:t>s</w:t>
      </w:r>
      <w:r w:rsidR="00F6477E">
        <w:t xml:space="preserve"> on weight gain in pregnancy</w:t>
      </w:r>
      <w:bookmarkEnd w:id="191"/>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5: Q7 Women’s perceptions and views on weight gain in pregnancy"/>
      </w:tblPr>
      <w:tblGrid>
        <w:gridCol w:w="1417"/>
        <w:gridCol w:w="1701"/>
        <w:gridCol w:w="4251"/>
        <w:gridCol w:w="4395"/>
        <w:gridCol w:w="2412"/>
      </w:tblGrid>
      <w:tr w:rsidR="00F6477E" w:rsidRPr="00F350A6" w14:paraId="7D2DEE09" w14:textId="77777777" w:rsidTr="000E4BF3">
        <w:trPr>
          <w:cantSplit/>
          <w:tblHeader/>
        </w:trPr>
        <w:tc>
          <w:tcPr>
            <w:tcW w:w="1417" w:type="dxa"/>
          </w:tcPr>
          <w:p w14:paraId="02E3F5C3" w14:textId="77777777" w:rsidR="00F6477E" w:rsidRPr="00F350A6" w:rsidRDefault="00F6477E" w:rsidP="00F11CB4">
            <w:pPr>
              <w:keepNext/>
              <w:rPr>
                <w:b/>
              </w:rPr>
            </w:pPr>
            <w:r>
              <w:rPr>
                <w:b/>
              </w:rPr>
              <w:t>Study ref</w:t>
            </w:r>
          </w:p>
        </w:tc>
        <w:tc>
          <w:tcPr>
            <w:tcW w:w="1701" w:type="dxa"/>
          </w:tcPr>
          <w:p w14:paraId="7E57E525" w14:textId="77777777" w:rsidR="00F6477E" w:rsidRPr="00F350A6" w:rsidRDefault="00F6477E" w:rsidP="00F11CB4">
            <w:pPr>
              <w:keepNext/>
              <w:rPr>
                <w:b/>
              </w:rPr>
            </w:pPr>
            <w:r>
              <w:rPr>
                <w:b/>
              </w:rPr>
              <w:t>N</w:t>
            </w:r>
          </w:p>
        </w:tc>
        <w:tc>
          <w:tcPr>
            <w:tcW w:w="4251" w:type="dxa"/>
          </w:tcPr>
          <w:p w14:paraId="0CFEBC33" w14:textId="77777777" w:rsidR="00F6477E" w:rsidRPr="00F350A6" w:rsidRDefault="00F6477E" w:rsidP="00F11CB4">
            <w:pPr>
              <w:keepNext/>
              <w:rPr>
                <w:b/>
              </w:rPr>
            </w:pPr>
            <w:r>
              <w:rPr>
                <w:b/>
              </w:rPr>
              <w:t>Aim/methods</w:t>
            </w:r>
          </w:p>
        </w:tc>
        <w:tc>
          <w:tcPr>
            <w:tcW w:w="4395" w:type="dxa"/>
          </w:tcPr>
          <w:p w14:paraId="2386AF65" w14:textId="77777777" w:rsidR="00F6477E" w:rsidRPr="00F350A6" w:rsidRDefault="00F6477E" w:rsidP="00F11CB4">
            <w:pPr>
              <w:keepNext/>
              <w:rPr>
                <w:b/>
              </w:rPr>
            </w:pPr>
            <w:r>
              <w:rPr>
                <w:b/>
              </w:rPr>
              <w:t>Outcomes</w:t>
            </w:r>
          </w:p>
        </w:tc>
        <w:tc>
          <w:tcPr>
            <w:tcW w:w="2412" w:type="dxa"/>
          </w:tcPr>
          <w:p w14:paraId="01037862" w14:textId="77777777" w:rsidR="00F6477E" w:rsidRDefault="00F6477E" w:rsidP="00F11CB4">
            <w:pPr>
              <w:keepNext/>
              <w:rPr>
                <w:b/>
              </w:rPr>
            </w:pPr>
            <w:r>
              <w:rPr>
                <w:b/>
              </w:rPr>
              <w:t>Comments</w:t>
            </w:r>
          </w:p>
        </w:tc>
      </w:tr>
      <w:tr w:rsidR="000E4BF3" w:rsidRPr="00B60FFF" w14:paraId="386ABDE3" w14:textId="77777777" w:rsidTr="000E4BF3">
        <w:trPr>
          <w:cantSplit/>
        </w:trPr>
        <w:tc>
          <w:tcPr>
            <w:tcW w:w="1417" w:type="dxa"/>
          </w:tcPr>
          <w:p w14:paraId="71CD8F4D" w14:textId="0F7031AC" w:rsidR="000E4BF3" w:rsidRDefault="000E4BF3" w:rsidP="00DE11C4">
            <w:r>
              <w:t>Vanstone et al 2017</w:t>
            </w:r>
            <w:r>
              <w:fldChar w:fldCharType="begin">
                <w:fldData xml:space="preserve">PEVuZE5vdGU+PENpdGU+PEF1dGhvcj5WYW5zdG9uZTwvQXV0aG9yPjxZZWFyPjIwMTc8L1llYXI+
PFJlY051bT4xNzc4PC9SZWNOdW0+PERpc3BsYXlUZXh0PjxzdHlsZSBmYWNlPSJzdXBlcnNjcmlw
dCIgZm9udD0iVHJlYnVjaGV0IE1TIiBzaXplPSI5Ij4zNzI8L3N0eWxlPjwvRGlzcGxheVRleHQ+
PHJlY29yZD48cmVjLW51bWJlcj4xNzc4PC9yZWMtbnVtYmVyPjxmb3JlaWduLWtleXM+PGtleSBh
cHA9IkVOIiBkYi1pZD0iZXh2YXNyZngyZHRyYW9lc2FzeHAyc3pzeGEyZGY1MDI1OTJ4IiB0aW1l
c3RhbXA9IjE1ODI4NjczMjUiPjE3Nzg8L2tleT48a2V5IGFwcD0iRU5XZWIiIGRiLWlkPSIiPjA8
L2tleT48L2ZvcmVpZ24ta2V5cz48cmVmLXR5cGUgbmFtZT0iSm91cm5hbCBBcnRpY2xlIj4xNzwv
cmVmLXR5cGU+PGNvbnRyaWJ1dG9ycz48YXV0aG9ycz48YXV0aG9yPlZhbnN0b25lLCBNLjwvYXV0
aG9yPjxhdXRob3I+S2FuZGFzYW15LCBTLjwvYXV0aG9yPjxhdXRob3I+R2lhY29taW5pLCBNLjwv
YXV0aG9yPjxhdXRob3I+RGVKZWFuLCBELjwvYXV0aG9yPjxhdXRob3I+TWNEb25hbGQsIFMuIEQu
PC9hdXRob3I+PC9hdXRob3JzPjwvY29udHJpYnV0b3JzPjxhdXRoLWFkZHJlc3M+RGVwYXJ0bWVu
dCBvZiBGYW1pbHkgTWVkaWNpbmUsIE1jTWFzdGVyIFVuaXZlcnNpdHksIEhhbWlsdG9uLCBPbnRh
cmlvLCBDYW5hZGEuJiN4RDtDZW50cmUgZm9yIEhlYWx0aCBFY29ub21pY3MgYW5kIFBvbGljeSBB
bmFseXNpcywgTWNNYXN0ZXIgVW5pdmVyc2l0eSwgSGFtaWx0b24sIE9udGFyaW8sIENhbmFkYS4m
I3hEO0RlcGFydG1lbnQgb2YgQ2xpbmljYWwgRXBpZGVtaW9sb2d5IGFuZCBCaW9zdGF0aXN0aWNz
LCBNY01hc3RlciBVbml2ZXJzaXR5LCBIYW1pbHRvbiwgT250YXJpbywgQ2FuYWRhLiYjeEQ7RGVw
YXJ0bWVudHMgb2YgT2JzdGV0cmljcyBhbmQgR3luZWNvbG9neSwgUmFkaW9sb2d5LCBNY01hc3Rl
ciBVbml2ZXJzaXR5LCBIYW1pbHRvbiwgT250YXJpbywgQ2FuYWRhLjwvYXV0aC1hZGRyZXNzPjx0
aXRsZXM+PHRpdGxlPlByZWduYW50IHdvbWVuJmFwb3M7cyBwZXJjZXB0aW9ucyBvZiBnZXN0YXRp
b25hbCB3ZWlnaHQgZ2FpbjogQSBzeXN0ZW1hdGljIHJldmlldyBhbmQgbWV0YS1zeW50aGVzaXMg
b2YgcXVhbGl0YXRpdmUgcmVzZWFyY2g8L3RpdGxlPjxzZWNvbmRhcnktdGl0bGU+TWF0ZXJuIENo
aWxkIE51dHI8L3NlY29uZGFyeS10aXRsZT48L3RpdGxlcz48cGVyaW9kaWNhbD48ZnVsbC10aXRs
ZT5NYXRlcm4gQ2hpbGQgTnV0cjwvZnVsbC10aXRsZT48L3BlcmlvZGljYWw+PHZvbHVtZT4xMzwv
dm9sdW1lPjxudW1iZXI+NDwvbnVtYmVyPjxlZGl0aW9uPjIwMTYvMTEvMjM8L2VkaXRpb24+PGtl
eXdvcmRzPjxrZXl3b3JkPkJpcnRoIFdlaWdodDwva2V5d29yZD48a2V5d29yZD5EaWV0LCBIZWFs
dGh5PC9rZXl3b3JkPjxrZXl3b3JkPkV4ZXJjaXNlPC9rZXl3b3JkPjxrZXl3b3JkPkZlbWFsZTwv
a2V5d29yZD48a2V5d29yZD5IZWFsdGggQmVoYXZpb3I8L2tleXdvcmQ+PGtleXdvcmQ+SGVhbHRo
IEtub3dsZWRnZSwgQXR0aXR1ZGVzLCBQcmFjdGljZTwva2V5d29yZD48a2V5d29yZD5IdW1hbnM8
L2tleXdvcmQ+PGtleXdvcmQ+TW90aGVyczwva2V5d29yZD48a2V5d29yZD5PYmVzaXR5LyplcGlk
ZW1pb2xvZ3k8L2tleXdvcmQ+PGtleXdvcmQ+KlByZWduYW5jeTwva2V5d29yZD48a2V5d29yZD5R
dWFsaXRhdGl2ZSBSZXNlYXJjaDwva2V5d29yZD48a2V5d29yZD5Tb2NpYWwgRW52aXJvbm1lbnQ8
L2tleXdvcmQ+PGtleXdvcmQ+KldlaWdodCBHYWluPC9rZXl3b3JkPjxrZXl3b3JkPipnZXN0YXRp
b25hbCB3ZWlnaHQgZ2Fpbjwva2V5d29yZD48a2V5d29yZD4qbWF0ZXJuYWwgbnV0cml0aW9uPC9r
ZXl3b3JkPjxrZXl3b3JkPipwaHlzaWNhbCBhY3Rpdml0eTwva2V5d29yZD48a2V5d29yZD4qcXVh
bGl0YXRpdmUgbWV0YS1zeW50aGVzaXM8L2tleXdvcmQ+PGtleXdvcmQ+KnN5c3RlbWF0aWMgcmV2
aWV3PC9rZXl3b3JkPjwva2V5d29yZHM+PGRhdGVzPjx5ZWFyPjIwMTc8L3llYXI+PHB1Yi1kYXRl
cz48ZGF0ZT5PY3Q8L2RhdGU+PC9wdWItZGF0ZXM+PC9kYXRlcz48aXNibj4xNzQwLTg3MDkgKEVs
ZWN0cm9uaWMpJiN4RDsxNzQwLTg2OTUgKExpbmtpbmcpPC9pc2JuPjxhY2Nlc3Npb24tbnVtPjI3
ODczNDg0PC9hY2Nlc3Npb24tbnVtPjx1cmxzPjxyZWxhdGVkLXVybHM+PHVybD5odHRwczovL3d3
dy5uY2JpLm5sbS5uaWguZ292L3B1Ym1lZC8yNzg3MzQ4NDwvdXJsPjwvcmVsYXRlZC11cmxzPjwv
dXJscz48ZWxlY3Ryb25pYy1yZXNvdXJjZS1udW0+MTAuMTExMS9tY24uMTIzNzQ8L2VsZWN0cm9u
aWMtcmVzb3VyY2UtbnVtPjwvcmVjb3JkPjwvQ2l0ZT48L0VuZE5vdGU+AG==
</w:fldData>
              </w:fldChar>
            </w:r>
            <w:r w:rsidR="001A2F28">
              <w:instrText xml:space="preserve"> ADDIN EN.CITE </w:instrText>
            </w:r>
            <w:r w:rsidR="001A2F28">
              <w:fldChar w:fldCharType="begin">
                <w:fldData xml:space="preserve">PEVuZE5vdGU+PENpdGU+PEF1dGhvcj5WYW5zdG9uZTwvQXV0aG9yPjxZZWFyPjIwMTc8L1llYXI+
PFJlY051bT4xNzc4PC9SZWNOdW0+PERpc3BsYXlUZXh0PjxzdHlsZSBmYWNlPSJzdXBlcnNjcmlw
dCIgZm9udD0iVHJlYnVjaGV0IE1TIiBzaXplPSI5Ij4zNzI8L3N0eWxlPjwvRGlzcGxheVRleHQ+
PHJlY29yZD48cmVjLW51bWJlcj4xNzc4PC9yZWMtbnVtYmVyPjxmb3JlaWduLWtleXM+PGtleSBh
cHA9IkVOIiBkYi1pZD0iZXh2YXNyZngyZHRyYW9lc2FzeHAyc3pzeGEyZGY1MDI1OTJ4IiB0aW1l
c3RhbXA9IjE1ODI4NjczMjUiPjE3Nzg8L2tleT48a2V5IGFwcD0iRU5XZWIiIGRiLWlkPSIiPjA8
L2tleT48L2ZvcmVpZ24ta2V5cz48cmVmLXR5cGUgbmFtZT0iSm91cm5hbCBBcnRpY2xlIj4xNzwv
cmVmLXR5cGU+PGNvbnRyaWJ1dG9ycz48YXV0aG9ycz48YXV0aG9yPlZhbnN0b25lLCBNLjwvYXV0
aG9yPjxhdXRob3I+S2FuZGFzYW15LCBTLjwvYXV0aG9yPjxhdXRob3I+R2lhY29taW5pLCBNLjwv
YXV0aG9yPjxhdXRob3I+RGVKZWFuLCBELjwvYXV0aG9yPjxhdXRob3I+TWNEb25hbGQsIFMuIEQu
PC9hdXRob3I+PC9hdXRob3JzPjwvY29udHJpYnV0b3JzPjxhdXRoLWFkZHJlc3M+RGVwYXJ0bWVu
dCBvZiBGYW1pbHkgTWVkaWNpbmUsIE1jTWFzdGVyIFVuaXZlcnNpdHksIEhhbWlsdG9uLCBPbnRh
cmlvLCBDYW5hZGEuJiN4RDtDZW50cmUgZm9yIEhlYWx0aCBFY29ub21pY3MgYW5kIFBvbGljeSBB
bmFseXNpcywgTWNNYXN0ZXIgVW5pdmVyc2l0eSwgSGFtaWx0b24sIE9udGFyaW8sIENhbmFkYS4m
I3hEO0RlcGFydG1lbnQgb2YgQ2xpbmljYWwgRXBpZGVtaW9sb2d5IGFuZCBCaW9zdGF0aXN0aWNz
LCBNY01hc3RlciBVbml2ZXJzaXR5LCBIYW1pbHRvbiwgT250YXJpbywgQ2FuYWRhLiYjeEQ7RGVw
YXJ0bWVudHMgb2YgT2JzdGV0cmljcyBhbmQgR3luZWNvbG9neSwgUmFkaW9sb2d5LCBNY01hc3Rl
ciBVbml2ZXJzaXR5LCBIYW1pbHRvbiwgT250YXJpbywgQ2FuYWRhLjwvYXV0aC1hZGRyZXNzPjx0
aXRsZXM+PHRpdGxlPlByZWduYW50IHdvbWVuJmFwb3M7cyBwZXJjZXB0aW9ucyBvZiBnZXN0YXRp
b25hbCB3ZWlnaHQgZ2FpbjogQSBzeXN0ZW1hdGljIHJldmlldyBhbmQgbWV0YS1zeW50aGVzaXMg
b2YgcXVhbGl0YXRpdmUgcmVzZWFyY2g8L3RpdGxlPjxzZWNvbmRhcnktdGl0bGU+TWF0ZXJuIENo
aWxkIE51dHI8L3NlY29uZGFyeS10aXRsZT48L3RpdGxlcz48cGVyaW9kaWNhbD48ZnVsbC10aXRs
ZT5NYXRlcm4gQ2hpbGQgTnV0cjwvZnVsbC10aXRsZT48L3BlcmlvZGljYWw+PHZvbHVtZT4xMzwv
dm9sdW1lPjxudW1iZXI+NDwvbnVtYmVyPjxlZGl0aW9uPjIwMTYvMTEvMjM8L2VkaXRpb24+PGtl
eXdvcmRzPjxrZXl3b3JkPkJpcnRoIFdlaWdodDwva2V5d29yZD48a2V5d29yZD5EaWV0LCBIZWFs
dGh5PC9rZXl3b3JkPjxrZXl3b3JkPkV4ZXJjaXNlPC9rZXl3b3JkPjxrZXl3b3JkPkZlbWFsZTwv
a2V5d29yZD48a2V5d29yZD5IZWFsdGggQmVoYXZpb3I8L2tleXdvcmQ+PGtleXdvcmQ+SGVhbHRo
IEtub3dsZWRnZSwgQXR0aXR1ZGVzLCBQcmFjdGljZTwva2V5d29yZD48a2V5d29yZD5IdW1hbnM8
L2tleXdvcmQ+PGtleXdvcmQ+TW90aGVyczwva2V5d29yZD48a2V5d29yZD5PYmVzaXR5LyplcGlk
ZW1pb2xvZ3k8L2tleXdvcmQ+PGtleXdvcmQ+KlByZWduYW5jeTwva2V5d29yZD48a2V5d29yZD5R
dWFsaXRhdGl2ZSBSZXNlYXJjaDwva2V5d29yZD48a2V5d29yZD5Tb2NpYWwgRW52aXJvbm1lbnQ8
L2tleXdvcmQ+PGtleXdvcmQ+KldlaWdodCBHYWluPC9rZXl3b3JkPjxrZXl3b3JkPipnZXN0YXRp
b25hbCB3ZWlnaHQgZ2Fpbjwva2V5d29yZD48a2V5d29yZD4qbWF0ZXJuYWwgbnV0cml0aW9uPC9r
ZXl3b3JkPjxrZXl3b3JkPipwaHlzaWNhbCBhY3Rpdml0eTwva2V5d29yZD48a2V5d29yZD4qcXVh
bGl0YXRpdmUgbWV0YS1zeW50aGVzaXM8L2tleXdvcmQ+PGtleXdvcmQ+KnN5c3RlbWF0aWMgcmV2
aWV3PC9rZXl3b3JkPjwva2V5d29yZHM+PGRhdGVzPjx5ZWFyPjIwMTc8L3llYXI+PHB1Yi1kYXRl
cz48ZGF0ZT5PY3Q8L2RhdGU+PC9wdWItZGF0ZXM+PC9kYXRlcz48aXNibj4xNzQwLTg3MDkgKEVs
ZWN0cm9uaWMpJiN4RDsxNzQwLTg2OTUgKExpbmtpbmcpPC9pc2JuPjxhY2Nlc3Npb24tbnVtPjI3
ODczNDg0PC9hY2Nlc3Npb24tbnVtPjx1cmxzPjxyZWxhdGVkLXVybHM+PHVybD5odHRwczovL3d3
dy5uY2JpLm5sbS5uaWguZ292L3B1Ym1lZC8yNzg3MzQ4NDwvdXJsPjwvcmVsYXRlZC11cmxzPjwv
dXJscz48ZWxlY3Ryb25pYy1yZXNvdXJjZS1udW0+MTAuMTExMS9tY24uMTIzNzQ8L2VsZWN0cm9u
aWMtcmVzb3VyY2UtbnVtPjwvcmVjb3JkPjwvQ2l0ZT48L0VuZE5vdGU+AG==
</w:fldData>
              </w:fldChar>
            </w:r>
            <w:r w:rsidR="001A2F28">
              <w:instrText xml:space="preserve"> ADDIN EN.CITE.DATA </w:instrText>
            </w:r>
            <w:r w:rsidR="001A2F28">
              <w:fldChar w:fldCharType="end"/>
            </w:r>
            <w:r>
              <w:fldChar w:fldCharType="separate"/>
            </w:r>
            <w:r w:rsidR="001A2F28" w:rsidRPr="001A2F28">
              <w:rPr>
                <w:noProof/>
                <w:vertAlign w:val="superscript"/>
              </w:rPr>
              <w:t>372</w:t>
            </w:r>
            <w:r>
              <w:fldChar w:fldCharType="end"/>
            </w:r>
          </w:p>
          <w:p w14:paraId="75FF5FA6" w14:textId="77777777" w:rsidR="000E4BF3" w:rsidRDefault="000E4BF3" w:rsidP="00DE11C4">
            <w:r>
              <w:t>SLR</w:t>
            </w:r>
          </w:p>
          <w:p w14:paraId="61056C0C" w14:textId="77777777" w:rsidR="000E4BF3" w:rsidRDefault="000E4BF3" w:rsidP="00DE11C4"/>
        </w:tc>
        <w:tc>
          <w:tcPr>
            <w:tcW w:w="1701" w:type="dxa"/>
          </w:tcPr>
          <w:p w14:paraId="280EF53B" w14:textId="77777777" w:rsidR="000E4BF3" w:rsidRDefault="000E4BF3" w:rsidP="00DE11C4">
            <w:r>
              <w:t>42 studies</w:t>
            </w:r>
          </w:p>
          <w:p w14:paraId="60E2AF59" w14:textId="77777777" w:rsidR="000E4BF3" w:rsidRDefault="000E4BF3" w:rsidP="00DE11C4">
            <w:r>
              <w:t>1,339 women</w:t>
            </w:r>
          </w:p>
        </w:tc>
        <w:tc>
          <w:tcPr>
            <w:tcW w:w="4251" w:type="dxa"/>
          </w:tcPr>
          <w:p w14:paraId="736DDE24" w14:textId="77777777" w:rsidR="000E4BF3" w:rsidRDefault="000E4BF3" w:rsidP="00DE11C4">
            <w:r w:rsidRPr="00616766">
              <w:rPr>
                <w:b/>
              </w:rPr>
              <w:t>Aim</w:t>
            </w:r>
            <w:r>
              <w:t xml:space="preserve">: </w:t>
            </w:r>
            <w:r w:rsidRPr="00616766">
              <w:t>To understand the</w:t>
            </w:r>
            <w:r>
              <w:t xml:space="preserve"> continuing increase in the </w:t>
            </w:r>
            <w:r w:rsidRPr="00616766">
              <w:t xml:space="preserve">proportion of pregnant women gaining weight in excess of national guidelines continues to increase. </w:t>
            </w:r>
            <w:r>
              <w:t>.</w:t>
            </w:r>
          </w:p>
          <w:p w14:paraId="58F01219" w14:textId="77777777" w:rsidR="000E4BF3" w:rsidRPr="00A14632" w:rsidRDefault="000E4BF3" w:rsidP="00DE11C4">
            <w:pPr>
              <w:rPr>
                <w:b/>
              </w:rPr>
            </w:pPr>
            <w:r w:rsidRPr="00616766">
              <w:rPr>
                <w:b/>
              </w:rPr>
              <w:t>Methods</w:t>
            </w:r>
            <w:r>
              <w:t>: W</w:t>
            </w:r>
            <w:r w:rsidRPr="00616766">
              <w:t>e conducted a systematic review of qualitative research on pregnant women's perceptions and experiences of weight gain in pregnancy. We used the methodology of qual</w:t>
            </w:r>
            <w:r>
              <w:t>itative meta-synthesis to analys</w:t>
            </w:r>
            <w:r w:rsidRPr="00616766">
              <w:t xml:space="preserve">e empirical qualitative research studies conducted in high-income countries and published between 2005 and 2015. </w:t>
            </w:r>
          </w:p>
        </w:tc>
        <w:tc>
          <w:tcPr>
            <w:tcW w:w="4395" w:type="dxa"/>
          </w:tcPr>
          <w:p w14:paraId="0CF32F36" w14:textId="77777777" w:rsidR="000E4BF3" w:rsidRPr="004B4FAC" w:rsidRDefault="000E4BF3" w:rsidP="00DE11C4">
            <w:r w:rsidRPr="004B4FAC">
              <w:t>Women are highly motivated to change their behavio</w:t>
            </w:r>
            <w:r>
              <w:t>u</w:t>
            </w:r>
            <w:r w:rsidRPr="004B4FAC">
              <w:t>r to improve fe</w:t>
            </w:r>
            <w:r>
              <w:t>tal health, but may not recognis</w:t>
            </w:r>
            <w:r w:rsidRPr="004B4FAC">
              <w:t>e the link between excess</w:t>
            </w:r>
            <w:r>
              <w:t xml:space="preserve"> </w:t>
            </w:r>
            <w:r w:rsidRPr="004B4FAC">
              <w:t>gestational weight gain and negative fetal health outcomes.</w:t>
            </w:r>
          </w:p>
          <w:p w14:paraId="6866F432" w14:textId="77777777" w:rsidR="000E4BF3" w:rsidRPr="004B4FAC" w:rsidRDefault="000E4BF3" w:rsidP="00DE11C4">
            <w:r w:rsidRPr="004B4FAC">
              <w:t>Weight gain in pregnancy occurs within a complex social environment and is affected by intrapersonal, interpersonal, social,</w:t>
            </w:r>
            <w:r>
              <w:t xml:space="preserve"> </w:t>
            </w:r>
            <w:r w:rsidRPr="004B4FAC">
              <w:t>structural, and environmental factors. Women facing social disadvantage may face additional barriers to appropriate weight gain,</w:t>
            </w:r>
            <w:r>
              <w:t xml:space="preserve"> </w:t>
            </w:r>
            <w:r w:rsidRPr="004B4FAC">
              <w:t>and may not have access to mitigating resources.</w:t>
            </w:r>
          </w:p>
          <w:p w14:paraId="50B30A3D" w14:textId="77777777" w:rsidR="000E4BF3" w:rsidRPr="00616766" w:rsidRDefault="000E4BF3" w:rsidP="00DE11C4">
            <w:r w:rsidRPr="004B4FAC">
              <w:t>Weight gain is a sensitive topic, and thorough counselling takes significant clinician time. Regular, forthright, sensitive counselling</w:t>
            </w:r>
            <w:r>
              <w:t xml:space="preserve"> </w:t>
            </w:r>
            <w:r w:rsidRPr="004B4FAC">
              <w:t>geared to individual circumstances was frequently mentioned as a strong facilitator of healthy weight gain in pregnancy.</w:t>
            </w:r>
          </w:p>
        </w:tc>
        <w:tc>
          <w:tcPr>
            <w:tcW w:w="2412" w:type="dxa"/>
          </w:tcPr>
          <w:p w14:paraId="7F9CAB76" w14:textId="77777777" w:rsidR="000E4BF3" w:rsidRDefault="000E4BF3" w:rsidP="00DE11C4"/>
        </w:tc>
      </w:tr>
      <w:tr w:rsidR="007A1E3E" w:rsidRPr="00B60FFF" w14:paraId="39185F1E" w14:textId="77777777" w:rsidTr="000E4BF3">
        <w:trPr>
          <w:cantSplit/>
        </w:trPr>
        <w:tc>
          <w:tcPr>
            <w:tcW w:w="1417" w:type="dxa"/>
          </w:tcPr>
          <w:p w14:paraId="61FB9EBE" w14:textId="70B3748C" w:rsidR="007A1E3E" w:rsidRDefault="007A1E3E" w:rsidP="00F11CB4">
            <w:r>
              <w:t>Weeks et al 2020</w:t>
            </w:r>
            <w:r w:rsidR="00774750">
              <w:fldChar w:fldCharType="begin"/>
            </w:r>
            <w:r w:rsidR="001A2F28">
              <w:instrText xml:space="preserve"> ADDIN EN.CITE &lt;EndNote&gt;&lt;Cite&gt;&lt;Author&gt;Weeks&lt;/Author&gt;&lt;Year&gt;2020&lt;/Year&gt;&lt;RecNum&gt;1780&lt;/RecNum&gt;&lt;DisplayText&gt;&lt;style face="superscript" font="Trebuchet MS" size="9"&gt;374&lt;/style&gt;&lt;/DisplayText&gt;&lt;record&gt;&lt;rec-number&gt;1780&lt;/rec-number&gt;&lt;foreign-keys&gt;&lt;key app="EN" db-id="exvasrfx2dtraoesasxp2szsxa2df502592x" timestamp="1582867351"&gt;1780&lt;/key&gt;&lt;key app="ENWeb" db-id=""&gt;0&lt;/key&gt;&lt;/foreign-keys&gt;&lt;ref-type name="Journal Article"&gt;17&lt;/ref-type&gt;&lt;contributors&gt;&lt;authors&gt;&lt;author&gt;Weeks, A.&lt;/author&gt;&lt;author&gt;Halili, L.&lt;/author&gt;&lt;author&gt;Liu, R. H.&lt;/author&gt;&lt;author&gt;Deonandan, R.&lt;/author&gt;&lt;author&gt;Adamo, K. B.&lt;/author&gt;&lt;/authors&gt;&lt;/contributors&gt;&lt;auth-address&gt;Interdisciplinary School of Health Sciences, Faculty of Health Sciences, University of Ottawa, Ottawa, Ontario, Canada.&amp;#xD;School of Human Kinetics, Faculty of Health Sciences, University of Ottawa, Ottawa, Ontario, Canada.&amp;#xD;School of Human Kinetics, Faculty of Health Sciences, University of Ottawa, Ottawa, Ontario, Canada. Electronic address: kadamo@uottawa.ca.&lt;/auth-address&gt;&lt;titles&gt;&lt;title&gt;Gestational weight gain counselling gaps as perceived by pregnant women and new mothers: Findings from the electronic maternal health survey&lt;/title&gt;&lt;secondary-title&gt;Women Birth&lt;/secondary-title&gt;&lt;/titles&gt;&lt;periodical&gt;&lt;full-title&gt;Women Birth&lt;/full-title&gt;&lt;/periodical&gt;&lt;pages&gt;e88-e94&lt;/pages&gt;&lt;volume&gt;33&lt;/volume&gt;&lt;number&gt;1&lt;/number&gt;&lt;edition&gt;2019/03/11&lt;/edition&gt;&lt;keywords&gt;&lt;keyword&gt;Gestational weight gain&lt;/keyword&gt;&lt;keyword&gt;Healthcare provider communication&lt;/keyword&gt;&lt;keyword&gt;Pregnancy&lt;/keyword&gt;&lt;keyword&gt;Prenatal counselling&lt;/keyword&gt;&lt;keyword&gt;Prenatal healthcare&lt;/keyword&gt;&lt;/keywords&gt;&lt;dates&gt;&lt;year&gt;2020&lt;/year&gt;&lt;pub-dates&gt;&lt;date&gt;Feb&lt;/date&gt;&lt;/pub-dates&gt;&lt;/dates&gt;&lt;isbn&gt;1878-1799 (Electronic)&amp;#xD;1871-5192 (Linking)&lt;/isbn&gt;&lt;accession-num&gt;30852187&lt;/accession-num&gt;&lt;urls&gt;&lt;related-urls&gt;&lt;url&gt;https://www.ncbi.nlm.nih.gov/pubmed/30852187&lt;/url&gt;&lt;/related-urls&gt;&lt;/urls&gt;&lt;electronic-resource-num&gt;10.1016/j.wombi.2019.02.005&lt;/electronic-resource-num&gt;&lt;/record&gt;&lt;/Cite&gt;&lt;/EndNote&gt;</w:instrText>
            </w:r>
            <w:r w:rsidR="00774750">
              <w:fldChar w:fldCharType="separate"/>
            </w:r>
            <w:r w:rsidR="001A2F28" w:rsidRPr="001A2F28">
              <w:rPr>
                <w:noProof/>
                <w:vertAlign w:val="superscript"/>
              </w:rPr>
              <w:t>374</w:t>
            </w:r>
            <w:r w:rsidR="00774750">
              <w:fldChar w:fldCharType="end"/>
            </w:r>
          </w:p>
          <w:p w14:paraId="58FA32DC" w14:textId="77777777" w:rsidR="00B27DDB" w:rsidRDefault="00B27DDB" w:rsidP="00B27DDB">
            <w:r>
              <w:t xml:space="preserve">Canada, United States </w:t>
            </w:r>
          </w:p>
          <w:p w14:paraId="0A78A1D3" w14:textId="2A1ECEC8" w:rsidR="00B27DDB" w:rsidRDefault="00B27DDB" w:rsidP="00F11CB4">
            <w:r>
              <w:t>Cross-section</w:t>
            </w:r>
          </w:p>
        </w:tc>
        <w:tc>
          <w:tcPr>
            <w:tcW w:w="1701" w:type="dxa"/>
          </w:tcPr>
          <w:p w14:paraId="50E4DD70" w14:textId="04BA4A14" w:rsidR="007A1E3E" w:rsidRDefault="007A1E3E" w:rsidP="00F11CB4">
            <w:r>
              <w:t>1,507 women</w:t>
            </w:r>
          </w:p>
        </w:tc>
        <w:tc>
          <w:tcPr>
            <w:tcW w:w="4251" w:type="dxa"/>
          </w:tcPr>
          <w:p w14:paraId="5138CB9C" w14:textId="77777777" w:rsidR="007A1E3E" w:rsidRDefault="007A1E3E" w:rsidP="007A1E3E">
            <w:r w:rsidRPr="007A1E3E">
              <w:rPr>
                <w:b/>
              </w:rPr>
              <w:t>Aim</w:t>
            </w:r>
            <w:r>
              <w:t xml:space="preserve">: </w:t>
            </w:r>
            <w:r w:rsidRPr="007A1E3E">
              <w:t xml:space="preserve">To determine pregnant women and new mothers' perceptions of healthcare provider GWG and dietary counselling during the pregnancy period. </w:t>
            </w:r>
          </w:p>
          <w:p w14:paraId="770FFDF5" w14:textId="6AE91479" w:rsidR="007A1E3E" w:rsidRPr="00616766" w:rsidRDefault="007A1E3E" w:rsidP="007A1E3E">
            <w:pPr>
              <w:rPr>
                <w:b/>
              </w:rPr>
            </w:pPr>
            <w:r w:rsidRPr="007A1E3E">
              <w:rPr>
                <w:b/>
              </w:rPr>
              <w:t>Methods</w:t>
            </w:r>
            <w:r w:rsidRPr="007A1E3E">
              <w:t xml:space="preserve">: A reliable and validated cross-sectional electronic survey was administered to currently pregnant women and women who had recently given birth. The web-based questionnaire was self-administered and took 10-25min. </w:t>
            </w:r>
          </w:p>
        </w:tc>
        <w:tc>
          <w:tcPr>
            <w:tcW w:w="4395" w:type="dxa"/>
          </w:tcPr>
          <w:p w14:paraId="3B8E8BE7" w14:textId="1B418B64" w:rsidR="007A1E3E" w:rsidRPr="007A1E3E" w:rsidRDefault="007A1E3E" w:rsidP="00393FED">
            <w:r w:rsidRPr="007A1E3E">
              <w:t xml:space="preserve">More than half (57%) reported that their healthcare provider talked to them about personal weight gain limits. Of these participants, about a third (34%) of participants were counselled regularly at each or most visits. Among the women that were not counselled on personal GWG limits, over half (56%) reported that healthcare provider guidance would have been helpful to achieve their target weight. Less than half (45%) of participants reported that their healthcare providers discussed dietary requirements or changes in pregnancy. </w:t>
            </w:r>
          </w:p>
        </w:tc>
        <w:tc>
          <w:tcPr>
            <w:tcW w:w="2412" w:type="dxa"/>
          </w:tcPr>
          <w:p w14:paraId="6699E5F9" w14:textId="77777777" w:rsidR="007A1E3E" w:rsidRDefault="007A1E3E" w:rsidP="00F11CB4"/>
        </w:tc>
      </w:tr>
      <w:tr w:rsidR="00A14632" w:rsidRPr="00B60FFF" w14:paraId="693930EE" w14:textId="77777777" w:rsidTr="000E4BF3">
        <w:trPr>
          <w:cantSplit/>
        </w:trPr>
        <w:tc>
          <w:tcPr>
            <w:tcW w:w="1417" w:type="dxa"/>
          </w:tcPr>
          <w:p w14:paraId="21B14009" w14:textId="2B6E1A12" w:rsidR="00A14632" w:rsidRDefault="00326E6A" w:rsidP="00F11CB4">
            <w:r>
              <w:t>Lopez-Cepero et al 2018</w:t>
            </w:r>
            <w:r w:rsidR="00774750">
              <w:fldChar w:fldCharType="begin">
                <w:fldData xml:space="preserve">PEVuZE5vdGU+PENpdGU+PEF1dGhvcj5Mb3Blei1DZXBlcm88L0F1dGhvcj48WWVhcj4yMDE4PC9Z
ZWFyPjxSZWNOdW0+MTc2OTwvUmVjTnVtPjxEaXNwbGF5VGV4dD48c3R5bGUgZmFjZT0ic3VwZXJz
Y3JpcHQiIGZvbnQ9IlRyZWJ1Y2hldCBNUyIgc2l6ZT0iOSI+Mzc1PC9zdHlsZT48L0Rpc3BsYXlU
ZXh0PjxyZWNvcmQ+PHJlYy1udW1iZXI+MTc2OTwvcmVjLW51bWJlcj48Zm9yZWlnbi1rZXlzPjxr
ZXkgYXBwPSJFTiIgZGItaWQ9ImV4dmFzcmZ4MmR0cmFvZXNhc3hwMnN6c3hhMmRmNTAyNTkyeCIg
dGltZXN0YW1wPSIxNTgyODY3MjMxIj4xNzY5PC9rZXk+PGtleSBhcHA9IkVOV2ViIiBkYi1pZD0i
Ij4wPC9rZXk+PC9mb3JlaWduLWtleXM+PHJlZi10eXBlIG5hbWU9IkpvdXJuYWwgQXJ0aWNsZSI+
MTc8L3JlZi10eXBlPjxjb250cmlidXRvcnM+PGF1dGhvcnM+PGF1dGhvcj5Mb3Blei1DZXBlcm8s
IEEuPC9hdXRob3I+PGF1dGhvcj5MZXVuZywgSy48L2F1dGhvcj48YXV0aG9yPk1vb3JlIFNpbWFz
LCBULjwvYXV0aG9yPjxhdXRob3I+Um9zYWwsIE0uIEMuPC9hdXRob3I+PC9hdXRob3JzPjwvY29u
dHJpYnV0b3JzPjxhdXRoLWFkZHJlc3M+Q2xpbmljYWwgYW5kIFBvcHVsYXRpb24gSGVhbHRoIFJl
c2VhcmNoIFByb2dyYW0sIERpdmlzaW9uIG9mIFByZXZlbnRpdmUgYW5kIEJlaGF2aW9yYWwgTWVk
aWNpbmUgYW5kIERlcGFydG1lbnQgb2YgUXVhbnRpdGF0aXZlIEhlYWx0aCBTY2llbmNlcywgRGVw
YXJ0bWVudCBvZiBNZWRpY2luZSwgVW5pdmVyc2l0eSBvZiBNYXNzYWNodXNldHRzIE1lZGljYWwg
U2Nob29sLCBXb3JjZXN0ZXIsIFVTQS4mI3hEO0RpdmlzaW9uIG9mIFJlc2VhcmNoLCBEZXBhcnRt
ZW50IG9mIE9ic3RldHJpY3MgJmFtcDsgR3luZWNvbG9neSwgVW5pdmVyc2l0eSBvZiBNYXNzYWNo
dXNldHRzIE1lZGljYWwgU2Nob29sLCBXb3JjZXN0ZXIsIFVTQS4mI3hEO0RpdmlzaW9uIG9mIFBy
ZXZlbnRpdmUgYW5kIEJlaGF2aW9yYWwgTWVkaWNpbmUsIERlcGFydG1lbnQgb2YgTWVkaWNpbmUs
IFVuaXZlcnNpdHkgb2YgTWFzc2FjaHVzZXR0cyBNZWRpY2FsIFNjaG9vbCwgNTUgTGFrZSBBdmVu
dWUsIFM3LTc1NSwgV29yY2VzdGVyLCBNQSwgMDE2NTUsIFVTQS4gTWlsYWdyb3MuUm9zYWxAVU1h
c3NNZWQuZWR1LjwvYXV0aC1hZGRyZXNzPjx0aXRsZXM+PHRpdGxlPkFzc29jaWF0aW9uIGJldHdl
ZW4gb2JzdGV0cmljIHByb3ZpZGVyJmFwb3M7cyBhZHZpY2UgYW5kIGdlc3RhdGlvbmFsIHdlaWdo
dCBnYWluPC90aXRsZT48c2Vjb25kYXJ5LXRpdGxlPk1hdGVybiBDaGlsZCBIZWFsdGggSjwvc2Vj
b25kYXJ5LXRpdGxlPjwvdGl0bGVzPjxwZXJpb2RpY2FsPjxmdWxsLXRpdGxlPk1hdGVybiBDaGls
ZCBIZWFsdGggSjwvZnVsbC10aXRsZT48L3BlcmlvZGljYWw+PHBhZ2VzPjExMjctMTEzNDwvcGFn
ZXM+PHZvbHVtZT4yMjwvdm9sdW1lPjxudW1iZXI+ODwvbnVtYmVyPjxlZGl0aW9uPjIwMTgvMDIv
MTc8L2VkaXRpb24+PGtleXdvcmRzPjxrZXl3b3JkPkFkdWx0PC9rZXl3b3JkPjxrZXl3b3JkPkNv
dW5zZWxpbmcvKm1ldGhvZHM8L2tleXdvcmQ+PGtleXdvcmQ+RmVtYWxlPC9rZXl3b3JkPjxrZXl3
b3JkPipHZXN0YXRpb25hbCBXZWlnaHQgR2Fpbjwva2V5d29yZD48a2V5d29yZD5IdW1hbnM8L2tl
eXdvcmQ+PGtleXdvcmQ+TWFzc2FjaHVzZXR0czwva2V5d29yZD48a2V5d29yZD5PYmVzaXR5Lypw
cmV2ZW50aW9uICZhbXA7IGNvbnRyb2w8L2tleXdvcmQ+PGtleXdvcmQ+KlBhdGllbnQgQ29tcGxp
YW5jZTwva2V5d29yZD48a2V5d29yZD5QYXRpZW50IEVkdWNhdGlvbiBhcyBUb3BpYzwva2V5d29y
ZD48a2V5d29yZD5QcmVnbmFuY3k8L2tleXdvcmQ+PGtleXdvcmQ+UHJlZ25hbnQgV29tZW4vKnBz
eWNob2xvZ3k8L2tleXdvcmQ+PGtleXdvcmQ+UHJlbmF0YWwgQ2FyZS8qbWV0aG9kczwva2V5d29y
ZD48a2V5d29yZD5Qcm9zcGVjdGl2ZSBTdHVkaWVzPC9rZXl3b3JkPjxrZXl3b3JkPipQcmVnbmFu
Y3k8L2tleXdvcmQ+PGtleXdvcmQ+KlByb3ZpZGVyIGFkdmljZTwva2V5d29yZD48L2tleXdvcmRz
PjxkYXRlcz48eWVhcj4yMDE4PC95ZWFyPjxwdWItZGF0ZXM+PGRhdGU+QXVnPC9kYXRlPjwvcHVi
LWRhdGVzPjwvZGF0ZXM+PGlzYm4+MTU3My02NjI4IChFbGVjdHJvbmljKSYjeEQ7MTA5Mi03ODc1
IChMaW5raW5nKTwvaXNibj48YWNjZXNzaW9uLW51bT4yOTQ1MDc5NDwvYWNjZXNzaW9uLW51bT48
dXJscz48cmVsYXRlZC11cmxzPjx1cmw+aHR0cHM6Ly93d3cubmNiaS5ubG0ubmloLmdvdi9wdWJt
ZWQvMjk0NTA3OTQ8L3VybD48L3JlbGF0ZWQtdXJscz48L3VybHM+PGVsZWN0cm9uaWMtcmVzb3Vy
Y2UtbnVtPjEwLjEwMDcvczEwOTk1LTAxOC0yNDk3LXk8L2VsZWN0cm9uaWMtcmVzb3VyY2UtbnVt
PjwvcmVjb3JkPjwvQ2l0ZT48L0VuZE5vdGU+AG==
</w:fldData>
              </w:fldChar>
            </w:r>
            <w:r w:rsidR="001A2F28">
              <w:instrText xml:space="preserve"> ADDIN EN.CITE </w:instrText>
            </w:r>
            <w:r w:rsidR="001A2F28">
              <w:fldChar w:fldCharType="begin">
                <w:fldData xml:space="preserve">PEVuZE5vdGU+PENpdGU+PEF1dGhvcj5Mb3Blei1DZXBlcm88L0F1dGhvcj48WWVhcj4yMDE4PC9Z
ZWFyPjxSZWNOdW0+MTc2OTwvUmVjTnVtPjxEaXNwbGF5VGV4dD48c3R5bGUgZmFjZT0ic3VwZXJz
Y3JpcHQiIGZvbnQ9IlRyZWJ1Y2hldCBNUyIgc2l6ZT0iOSI+Mzc1PC9zdHlsZT48L0Rpc3BsYXlU
ZXh0PjxyZWNvcmQ+PHJlYy1udW1iZXI+MTc2OTwvcmVjLW51bWJlcj48Zm9yZWlnbi1rZXlzPjxr
ZXkgYXBwPSJFTiIgZGItaWQ9ImV4dmFzcmZ4MmR0cmFvZXNhc3hwMnN6c3hhMmRmNTAyNTkyeCIg
dGltZXN0YW1wPSIxNTgyODY3MjMxIj4xNzY5PC9rZXk+PGtleSBhcHA9IkVOV2ViIiBkYi1pZD0i
Ij4wPC9rZXk+PC9mb3JlaWduLWtleXM+PHJlZi10eXBlIG5hbWU9IkpvdXJuYWwgQXJ0aWNsZSI+
MTc8L3JlZi10eXBlPjxjb250cmlidXRvcnM+PGF1dGhvcnM+PGF1dGhvcj5Mb3Blei1DZXBlcm8s
IEEuPC9hdXRob3I+PGF1dGhvcj5MZXVuZywgSy48L2F1dGhvcj48YXV0aG9yPk1vb3JlIFNpbWFz
LCBULjwvYXV0aG9yPjxhdXRob3I+Um9zYWwsIE0uIEMuPC9hdXRob3I+PC9hdXRob3JzPjwvY29u
dHJpYnV0b3JzPjxhdXRoLWFkZHJlc3M+Q2xpbmljYWwgYW5kIFBvcHVsYXRpb24gSGVhbHRoIFJl
c2VhcmNoIFByb2dyYW0sIERpdmlzaW9uIG9mIFByZXZlbnRpdmUgYW5kIEJlaGF2aW9yYWwgTWVk
aWNpbmUgYW5kIERlcGFydG1lbnQgb2YgUXVhbnRpdGF0aXZlIEhlYWx0aCBTY2llbmNlcywgRGVw
YXJ0bWVudCBvZiBNZWRpY2luZSwgVW5pdmVyc2l0eSBvZiBNYXNzYWNodXNldHRzIE1lZGljYWwg
U2Nob29sLCBXb3JjZXN0ZXIsIFVTQS4mI3hEO0RpdmlzaW9uIG9mIFJlc2VhcmNoLCBEZXBhcnRt
ZW50IG9mIE9ic3RldHJpY3MgJmFtcDsgR3luZWNvbG9neSwgVW5pdmVyc2l0eSBvZiBNYXNzYWNo
dXNldHRzIE1lZGljYWwgU2Nob29sLCBXb3JjZXN0ZXIsIFVTQS4mI3hEO0RpdmlzaW9uIG9mIFBy
ZXZlbnRpdmUgYW5kIEJlaGF2aW9yYWwgTWVkaWNpbmUsIERlcGFydG1lbnQgb2YgTWVkaWNpbmUs
IFVuaXZlcnNpdHkgb2YgTWFzc2FjaHVzZXR0cyBNZWRpY2FsIFNjaG9vbCwgNTUgTGFrZSBBdmVu
dWUsIFM3LTc1NSwgV29yY2VzdGVyLCBNQSwgMDE2NTUsIFVTQS4gTWlsYWdyb3MuUm9zYWxAVU1h
c3NNZWQuZWR1LjwvYXV0aC1hZGRyZXNzPjx0aXRsZXM+PHRpdGxlPkFzc29jaWF0aW9uIGJldHdl
ZW4gb2JzdGV0cmljIHByb3ZpZGVyJmFwb3M7cyBhZHZpY2UgYW5kIGdlc3RhdGlvbmFsIHdlaWdo
dCBnYWluPC90aXRsZT48c2Vjb25kYXJ5LXRpdGxlPk1hdGVybiBDaGlsZCBIZWFsdGggSjwvc2Vj
b25kYXJ5LXRpdGxlPjwvdGl0bGVzPjxwZXJpb2RpY2FsPjxmdWxsLXRpdGxlPk1hdGVybiBDaGls
ZCBIZWFsdGggSjwvZnVsbC10aXRsZT48L3BlcmlvZGljYWw+PHBhZ2VzPjExMjctMTEzNDwvcGFn
ZXM+PHZvbHVtZT4yMjwvdm9sdW1lPjxudW1iZXI+ODwvbnVtYmVyPjxlZGl0aW9uPjIwMTgvMDIv
MTc8L2VkaXRpb24+PGtleXdvcmRzPjxrZXl3b3JkPkFkdWx0PC9rZXl3b3JkPjxrZXl3b3JkPkNv
dW5zZWxpbmcvKm1ldGhvZHM8L2tleXdvcmQ+PGtleXdvcmQ+RmVtYWxlPC9rZXl3b3JkPjxrZXl3
b3JkPipHZXN0YXRpb25hbCBXZWlnaHQgR2Fpbjwva2V5d29yZD48a2V5d29yZD5IdW1hbnM8L2tl
eXdvcmQ+PGtleXdvcmQ+TWFzc2FjaHVzZXR0czwva2V5d29yZD48a2V5d29yZD5PYmVzaXR5Lypw
cmV2ZW50aW9uICZhbXA7IGNvbnRyb2w8L2tleXdvcmQ+PGtleXdvcmQ+KlBhdGllbnQgQ29tcGxp
YW5jZTwva2V5d29yZD48a2V5d29yZD5QYXRpZW50IEVkdWNhdGlvbiBhcyBUb3BpYzwva2V5d29y
ZD48a2V5d29yZD5QcmVnbmFuY3k8L2tleXdvcmQ+PGtleXdvcmQ+UHJlZ25hbnQgV29tZW4vKnBz
eWNob2xvZ3k8L2tleXdvcmQ+PGtleXdvcmQ+UHJlbmF0YWwgQ2FyZS8qbWV0aG9kczwva2V5d29y
ZD48a2V5d29yZD5Qcm9zcGVjdGl2ZSBTdHVkaWVzPC9rZXl3b3JkPjxrZXl3b3JkPipQcmVnbmFu
Y3k8L2tleXdvcmQ+PGtleXdvcmQ+KlByb3ZpZGVyIGFkdmljZTwva2V5d29yZD48L2tleXdvcmRz
PjxkYXRlcz48eWVhcj4yMDE4PC95ZWFyPjxwdWItZGF0ZXM+PGRhdGU+QXVnPC9kYXRlPjwvcHVi
LWRhdGVzPjwvZGF0ZXM+PGlzYm4+MTU3My02NjI4IChFbGVjdHJvbmljKSYjeEQ7MTA5Mi03ODc1
IChMaW5raW5nKTwvaXNibj48YWNjZXNzaW9uLW51bT4yOTQ1MDc5NDwvYWNjZXNzaW9uLW51bT48
dXJscz48cmVsYXRlZC11cmxzPjx1cmw+aHR0cHM6Ly93d3cubmNiaS5ubG0ubmloLmdvdi9wdWJt
ZWQvMjk0NTA3OTQ8L3VybD48L3JlbGF0ZWQtdXJscz48L3VybHM+PGVsZWN0cm9uaWMtcmVzb3Vy
Y2UtbnVtPjEwLjEwMDcvczEwOTk1LTAxOC0yNDk3LXk8L2VsZWN0cm9uaWMtcmVzb3VyY2UtbnVt
PjwvcmVjb3JkPjwvQ2l0ZT48L0VuZE5vdGU+AG==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375</w:t>
            </w:r>
            <w:r w:rsidR="00774750">
              <w:fldChar w:fldCharType="end"/>
            </w:r>
          </w:p>
          <w:p w14:paraId="4D52D729" w14:textId="4D7D56DB" w:rsidR="000E4BF3" w:rsidRDefault="000E4BF3" w:rsidP="00F11CB4">
            <w:r>
              <w:t xml:space="preserve">United States </w:t>
            </w:r>
          </w:p>
          <w:p w14:paraId="0A172261" w14:textId="1B12C4CE" w:rsidR="00326E6A" w:rsidRDefault="00326E6A" w:rsidP="00F11CB4">
            <w:r>
              <w:t>Cross-section</w:t>
            </w:r>
          </w:p>
        </w:tc>
        <w:tc>
          <w:tcPr>
            <w:tcW w:w="1701" w:type="dxa"/>
          </w:tcPr>
          <w:p w14:paraId="348EA9F9" w14:textId="2F38B33A" w:rsidR="00A14632" w:rsidRDefault="00326E6A" w:rsidP="00F11CB4">
            <w:r>
              <w:t>91</w:t>
            </w:r>
          </w:p>
        </w:tc>
        <w:tc>
          <w:tcPr>
            <w:tcW w:w="4251" w:type="dxa"/>
          </w:tcPr>
          <w:p w14:paraId="069C5664" w14:textId="77777777" w:rsidR="00326E6A" w:rsidRDefault="00A14632" w:rsidP="00326E6A">
            <w:r w:rsidRPr="00A14632">
              <w:rPr>
                <w:b/>
              </w:rPr>
              <w:t>Aim</w:t>
            </w:r>
            <w:r>
              <w:t>: To examine</w:t>
            </w:r>
            <w:r w:rsidRPr="00A14632">
              <w:t xml:space="preserve"> associations between pregnant women's report of obstetric provider GWG advice, self-reported adherence to such advice, and GWG. </w:t>
            </w:r>
          </w:p>
          <w:p w14:paraId="601B7AEA" w14:textId="1D9292B4" w:rsidR="00A14632" w:rsidRPr="00982101" w:rsidRDefault="00326E6A" w:rsidP="00326E6A">
            <w:pPr>
              <w:rPr>
                <w:b/>
              </w:rPr>
            </w:pPr>
            <w:r w:rsidRPr="00326E6A">
              <w:rPr>
                <w:b/>
              </w:rPr>
              <w:t>Methods</w:t>
            </w:r>
            <w:r>
              <w:t xml:space="preserve">: </w:t>
            </w:r>
            <w:r w:rsidR="00A14632" w:rsidRPr="00A14632">
              <w:t xml:space="preserve">Healthy pregnant women who started obstetric care prior to 17 weeks of gestation completed assessments between 30 and 34 weeks of gestation. These included survey (questions on receipt of and adherence to provider GWG advice, and demographics) and anthropometric measures. GWG data were abstracted from electronic health records. Analyses included Chi square and Mann-Whitney tests, and binary and multivariate logistic regressions. </w:t>
            </w:r>
          </w:p>
        </w:tc>
        <w:tc>
          <w:tcPr>
            <w:tcW w:w="4395" w:type="dxa"/>
          </w:tcPr>
          <w:p w14:paraId="19474B76" w14:textId="7565B8BE" w:rsidR="00A14632" w:rsidRPr="00A14632" w:rsidRDefault="00A14632" w:rsidP="00326E6A">
            <w:r w:rsidRPr="00A14632">
              <w:t xml:space="preserve">Sixty-seven percent of women reported having received GWG advice from their obstetric providers and, of those, 54.1% reported that they followed their provider's advice. Controlling for race, education and pre-pregnancy BMI, receipt of GWG advice was marginally associated with increased odds of excessive weight gain (OR 2.52, </w:t>
            </w:r>
            <w:r w:rsidR="00DE11C4">
              <w:t xml:space="preserve">95%CI 0.89 to </w:t>
            </w:r>
            <w:r w:rsidRPr="00A14632">
              <w:t xml:space="preserve">7.16). However, women </w:t>
            </w:r>
            <w:r w:rsidR="00326E6A">
              <w:t>who</w:t>
            </w:r>
            <w:r w:rsidRPr="00A14632">
              <w:t xml:space="preserve"> reported following the advice had lower odds of excessive GWG (OR 0.18, </w:t>
            </w:r>
            <w:r w:rsidR="00DE11C4">
              <w:t xml:space="preserve">95%CI 0.03 to </w:t>
            </w:r>
            <w:r w:rsidRPr="00A14632">
              <w:t xml:space="preserve">0.91) and, on average, gained 11.3 pounds less than those who reported following the advice somewhat or not at all. </w:t>
            </w:r>
          </w:p>
        </w:tc>
        <w:tc>
          <w:tcPr>
            <w:tcW w:w="2412" w:type="dxa"/>
          </w:tcPr>
          <w:p w14:paraId="5F26A949" w14:textId="77777777" w:rsidR="00A14632" w:rsidRDefault="00A14632" w:rsidP="00F11CB4"/>
        </w:tc>
      </w:tr>
      <w:tr w:rsidR="00655EFD" w:rsidRPr="00B60FFF" w14:paraId="732586FB" w14:textId="77777777" w:rsidTr="000E4BF3">
        <w:trPr>
          <w:cantSplit/>
        </w:trPr>
        <w:tc>
          <w:tcPr>
            <w:tcW w:w="1417" w:type="dxa"/>
          </w:tcPr>
          <w:p w14:paraId="4FA725BF" w14:textId="361611C3" w:rsidR="00655EFD" w:rsidRDefault="00655EFD" w:rsidP="00DE11C4">
            <w:r>
              <w:t>Allen-Walker et al 2017</w:t>
            </w:r>
            <w:r>
              <w:fldChar w:fldCharType="begin">
                <w:fldData xml:space="preserve">PEVuZE5vdGU+PENpdGU+PEF1dGhvcj5BbGxlbi1XYWxrZXI8L0F1dGhvcj48WWVhcj4yMDE3PC9Z
ZWFyPjxSZWNOdW0+MTY5ODwvUmVjTnVtPjxEaXNwbGF5VGV4dD48c3R5bGUgZmFjZT0ic3VwZXJz
Y3JpcHQiIGZvbnQ9IlRyZWJ1Y2hldCBNUyIgc2l6ZT0iOSI+Mzc2PC9zdHlsZT48L0Rpc3BsYXlU
ZXh0PjxyZWNvcmQ+PHJlYy1udW1iZXI+MTY5ODwvcmVjLW51bWJlcj48Zm9yZWlnbi1rZXlzPjxr
ZXkgYXBwPSJFTiIgZGItaWQ9ImV4dmFzcmZ4MmR0cmFvZXNhc3hwMnN6c3hhMmRmNTAyNTkyeCIg
dGltZXN0YW1wPSIxNTgxOTE2OTA1Ij4xNjk4PC9rZXk+PGtleSBhcHA9IkVOV2ViIiBkYi1pZD0i
Ij4wPC9rZXk+PC9mb3JlaWduLWtleXM+PHJlZi10eXBlIG5hbWU9IkpvdXJuYWwgQXJ0aWNsZSI+
MTc8L3JlZi10eXBlPjxjb250cmlidXRvcnM+PGF1dGhvcnM+PGF1dGhvcj5BbGxlbi1XYWxrZXIs
IFYuPC9hdXRob3I+PGF1dGhvcj5NdWxsYW5leSwgTC48L2F1dGhvcj48YXV0aG9yPlR1cm5lciwg
TS4gSi48L2F1dGhvcj48YXV0aG9yPldvb2RzaWRlLCBKLiBWLjwvYXV0aG9yPjxhdXRob3I+SG9s
bWVzLCBWLiBBLjwvYXV0aG9yPjxhdXRob3I+TWNDYXJ0bmV5LCBELiBNLjwvYXV0aG9yPjxhdXRo
b3I+TWNLaW5sZXksIE0uIEMuPC9hdXRob3I+PC9hdXRob3JzPjwvY29udHJpYnV0b3JzPjxhdXRo
LWFkZHJlc3M+Q2VudHJlIGZvciBQdWJsaWMgSGVhbHRoLCBTY2hvb2wgb2YgTWVkaWNpbmUsIERl
bnRpc3RyeSAmYW1wOyBCaW9tZWRpY2FsIFNjaWVuY2VzLCBRdWVlbiZhcG9zO3MgVW5pdmVyc2l0
eSBCZWxmYXN0LCBSb3lhbCBWaWN0b3JpYSBIb3NwaXRhbCwgQmVsZmFzdCBCVDEyIDZCQSwgVW5p
dGVkIEtpbmdkb20uJiN4RDtTY2hvb2wgb2YgQmlvbG9naWNhbCBTY2llbmNlcywgRHVibGluIElu
c3RpdHV0ZSBvZiBUZWNobm9sb2d5LCBLZXZpbiBTdHJlZXQsIER1YmxpbiA4LCBJcmVsYW5kLiYj
eEQ7VUNEIENlbnRyZSBmb3IgSHVtYW4gUmVwcm9kdWN0aW9uLCBDb29tYmUgV29tZW4gYW5kIElu
ZmFudHMgVW5pdmVyc2l0eSBIb3NwaXRhbCwgQ29yayBTdHJlZXQsIER1YmxpbiA4LCBJcmVsYW5k
LiYjeEQ7Q2VudHJlIGZvciBQdWJsaWMgSGVhbHRoLCBTY2hvb2wgb2YgTWVkaWNpbmUsIERlbnRp
c3RyeSAmYW1wOyBCaW9tZWRpY2FsIFNjaWVuY2VzLCBRdWVlbiZhcG9zO3MgVW5pdmVyc2l0eSBC
ZWxmYXN0LCBSb3lhbCBWaWN0b3JpYSBIb3NwaXRhbCwgQmVsZmFzdCBCVDEyIDZCQSwgVW5pdGVk
IEtpbmdkb20uIEVsZWN0cm9uaWMgYWRkcmVzczogbS5tY2tpbmxleUBxdWIuYWMudWsuPC9hdXRo
LWFkZHJlc3M+PHRpdGxlcz48dGl0bGU+SG93IGRvIHdvbWVuIGZlZWwgYWJvdXQgYmVpbmcgd2Vp
Z2hlZCBkdXJpbmcgcHJlZ25hbmN5PyBBIHF1YWxpdGF0aXZlIGV4cGxvcmF0aW9uIG9mIHRoZSBv
cGluaW9ucyBhbmQgZXhwZXJpZW5jZXMgb2YgcG9zdG5hdGFsIHdvbWVuPC90aXRsZT48c2Vjb25k
YXJ5LXRpdGxlPk1pZHdpZmVyeTwvc2Vjb25kYXJ5LXRpdGxlPjwvdGl0bGVzPjxwZXJpb2RpY2Fs
PjxmdWxsLXRpdGxlPk1pZHdpZmVyeTwvZnVsbC10aXRsZT48L3BlcmlvZGljYWw+PHBhZ2VzPjk1
LTEwMTwvcGFnZXM+PHZvbHVtZT40OTwvdm9sdW1lPjxlZGl0aW9uPjIwMTcvMDEvMDk8L2VkaXRp
b24+PGtleXdvcmRzPjxrZXl3b3JkPkFkdWx0PC9rZXl3b3JkPjxrZXl3b3JkPkJvZHkgSW1hZ2Uv
cHN5Y2hvbG9neTwva2V5d29yZD48a2V5d29yZD4qQm9keSBXZWlnaHQ8L2tleXdvcmQ+PGtleXdv
cmQ+KkJvZHkgV2VpZ2h0IE1haW50ZW5hbmNlPC9rZXl3b3JkPjxrZXl3b3JkPkZlbWFsZTwva2V5
d29yZD48a2V5d29yZD5IdW1hbnM8L2tleXdvcmQ+PGtleXdvcmQ+SXJlbGFuZDwva2V5d29yZD48
a2V5d29yZD5PYmVzaXR5L3ByZXZlbnRpb24gJmFtcDsgY29udHJvbC8qcHN5Y2hvbG9neTwva2V5
d29yZD48a2V5d29yZD5QcmVnbmFuY3k8L2tleXdvcmQ+PGtleXdvcmQ+UHJlZ25hbnQgV29tZW4v
KnBzeWNob2xvZ3k8L2tleXdvcmQ+PGtleXdvcmQ+UHJlbmF0YWwgQ2FyZS9tZXRob2RzPC9rZXl3
b3JkPjxrZXl3b3JkPlF1YWxpdGF0aXZlIFJlc2VhcmNoPC9rZXl3b3JkPjxrZXl3b3JkPlN1cnZl
eXMgYW5kIFF1ZXN0aW9ubmFpcmVzPC9rZXl3b3JkPjxrZXl3b3JkPkdlc3RhdGlvbmFsIHdlaWdo
dCBnYWluPC9rZXl3b3JkPjxrZXl3b3JkPk9waW5pb25zPC9rZXl3b3JkPjxrZXl3b3JkPlF1YWxp
dGF0aXZlPC9rZXl3b3JkPjxrZXl3b3JkPldlaWdoaW5nPC9rZXl3b3JkPjwva2V5d29yZHM+PGRh
dGVzPjx5ZWFyPjIwMTc8L3llYXI+PHB1Yi1kYXRlcz48ZGF0ZT5KdW48L2RhdGU+PC9wdWItZGF0
ZXM+PC9kYXRlcz48aXNibj4xNTMyLTMwOTkgKEVsZWN0cm9uaWMpJiN4RDswMjY2LTYxMzggKExp
bmtpbmcpPC9pc2JuPjxhY2Nlc3Npb24tbnVtPjI4MDYzNjIyPC9hY2Nlc3Npb24tbnVtPjx1cmxz
PjxyZWxhdGVkLXVybHM+PHVybD5odHRwczovL3d3dy5uY2JpLm5sbS5uaWguZ292L3B1Ym1lZC8y
ODA2MzYyMjwvdXJsPjwvcmVsYXRlZC11cmxzPjwvdXJscz48ZWxlY3Ryb25pYy1yZXNvdXJjZS1u
dW0+MTAuMTAxNi9qLm1pZHcuMjAxNi4xMi4wMDY8L2VsZWN0cm9uaWMtcmVzb3VyY2UtbnVtPjwv
cmVjb3JkPjwvQ2l0ZT48L0VuZE5vdGU+
</w:fldData>
              </w:fldChar>
            </w:r>
            <w:r w:rsidR="001A2F28">
              <w:instrText xml:space="preserve"> ADDIN EN.CITE </w:instrText>
            </w:r>
            <w:r w:rsidR="001A2F28">
              <w:fldChar w:fldCharType="begin">
                <w:fldData xml:space="preserve">PEVuZE5vdGU+PENpdGU+PEF1dGhvcj5BbGxlbi1XYWxrZXI8L0F1dGhvcj48WWVhcj4yMDE3PC9Z
ZWFyPjxSZWNOdW0+MTY5ODwvUmVjTnVtPjxEaXNwbGF5VGV4dD48c3R5bGUgZmFjZT0ic3VwZXJz
Y3JpcHQiIGZvbnQ9IlRyZWJ1Y2hldCBNUyIgc2l6ZT0iOSI+Mzc2PC9zdHlsZT48L0Rpc3BsYXlU
ZXh0PjxyZWNvcmQ+PHJlYy1udW1iZXI+MTY5ODwvcmVjLW51bWJlcj48Zm9yZWlnbi1rZXlzPjxr
ZXkgYXBwPSJFTiIgZGItaWQ9ImV4dmFzcmZ4MmR0cmFvZXNhc3hwMnN6c3hhMmRmNTAyNTkyeCIg
dGltZXN0YW1wPSIxNTgxOTE2OTA1Ij4xNjk4PC9rZXk+PGtleSBhcHA9IkVOV2ViIiBkYi1pZD0i
Ij4wPC9rZXk+PC9mb3JlaWduLWtleXM+PHJlZi10eXBlIG5hbWU9IkpvdXJuYWwgQXJ0aWNsZSI+
MTc8L3JlZi10eXBlPjxjb250cmlidXRvcnM+PGF1dGhvcnM+PGF1dGhvcj5BbGxlbi1XYWxrZXIs
IFYuPC9hdXRob3I+PGF1dGhvcj5NdWxsYW5leSwgTC48L2F1dGhvcj48YXV0aG9yPlR1cm5lciwg
TS4gSi48L2F1dGhvcj48YXV0aG9yPldvb2RzaWRlLCBKLiBWLjwvYXV0aG9yPjxhdXRob3I+SG9s
bWVzLCBWLiBBLjwvYXV0aG9yPjxhdXRob3I+TWNDYXJ0bmV5LCBELiBNLjwvYXV0aG9yPjxhdXRo
b3I+TWNLaW5sZXksIE0uIEMuPC9hdXRob3I+PC9hdXRob3JzPjwvY29udHJpYnV0b3JzPjxhdXRo
LWFkZHJlc3M+Q2VudHJlIGZvciBQdWJsaWMgSGVhbHRoLCBTY2hvb2wgb2YgTWVkaWNpbmUsIERl
bnRpc3RyeSAmYW1wOyBCaW9tZWRpY2FsIFNjaWVuY2VzLCBRdWVlbiZhcG9zO3MgVW5pdmVyc2l0
eSBCZWxmYXN0LCBSb3lhbCBWaWN0b3JpYSBIb3NwaXRhbCwgQmVsZmFzdCBCVDEyIDZCQSwgVW5p
dGVkIEtpbmdkb20uJiN4RDtTY2hvb2wgb2YgQmlvbG9naWNhbCBTY2llbmNlcywgRHVibGluIElu
c3RpdHV0ZSBvZiBUZWNobm9sb2d5LCBLZXZpbiBTdHJlZXQsIER1YmxpbiA4LCBJcmVsYW5kLiYj
eEQ7VUNEIENlbnRyZSBmb3IgSHVtYW4gUmVwcm9kdWN0aW9uLCBDb29tYmUgV29tZW4gYW5kIElu
ZmFudHMgVW5pdmVyc2l0eSBIb3NwaXRhbCwgQ29yayBTdHJlZXQsIER1YmxpbiA4LCBJcmVsYW5k
LiYjeEQ7Q2VudHJlIGZvciBQdWJsaWMgSGVhbHRoLCBTY2hvb2wgb2YgTWVkaWNpbmUsIERlbnRp
c3RyeSAmYW1wOyBCaW9tZWRpY2FsIFNjaWVuY2VzLCBRdWVlbiZhcG9zO3MgVW5pdmVyc2l0eSBC
ZWxmYXN0LCBSb3lhbCBWaWN0b3JpYSBIb3NwaXRhbCwgQmVsZmFzdCBCVDEyIDZCQSwgVW5pdGVk
IEtpbmdkb20uIEVsZWN0cm9uaWMgYWRkcmVzczogbS5tY2tpbmxleUBxdWIuYWMudWsuPC9hdXRo
LWFkZHJlc3M+PHRpdGxlcz48dGl0bGU+SG93IGRvIHdvbWVuIGZlZWwgYWJvdXQgYmVpbmcgd2Vp
Z2hlZCBkdXJpbmcgcHJlZ25hbmN5PyBBIHF1YWxpdGF0aXZlIGV4cGxvcmF0aW9uIG9mIHRoZSBv
cGluaW9ucyBhbmQgZXhwZXJpZW5jZXMgb2YgcG9zdG5hdGFsIHdvbWVuPC90aXRsZT48c2Vjb25k
YXJ5LXRpdGxlPk1pZHdpZmVyeTwvc2Vjb25kYXJ5LXRpdGxlPjwvdGl0bGVzPjxwZXJpb2RpY2Fs
PjxmdWxsLXRpdGxlPk1pZHdpZmVyeTwvZnVsbC10aXRsZT48L3BlcmlvZGljYWw+PHBhZ2VzPjk1
LTEwMTwvcGFnZXM+PHZvbHVtZT40OTwvdm9sdW1lPjxlZGl0aW9uPjIwMTcvMDEvMDk8L2VkaXRp
b24+PGtleXdvcmRzPjxrZXl3b3JkPkFkdWx0PC9rZXl3b3JkPjxrZXl3b3JkPkJvZHkgSW1hZ2Uv
cHN5Y2hvbG9neTwva2V5d29yZD48a2V5d29yZD4qQm9keSBXZWlnaHQ8L2tleXdvcmQ+PGtleXdv
cmQ+KkJvZHkgV2VpZ2h0IE1haW50ZW5hbmNlPC9rZXl3b3JkPjxrZXl3b3JkPkZlbWFsZTwva2V5
d29yZD48a2V5d29yZD5IdW1hbnM8L2tleXdvcmQ+PGtleXdvcmQ+SXJlbGFuZDwva2V5d29yZD48
a2V5d29yZD5PYmVzaXR5L3ByZXZlbnRpb24gJmFtcDsgY29udHJvbC8qcHN5Y2hvbG9neTwva2V5
d29yZD48a2V5d29yZD5QcmVnbmFuY3k8L2tleXdvcmQ+PGtleXdvcmQ+UHJlZ25hbnQgV29tZW4v
KnBzeWNob2xvZ3k8L2tleXdvcmQ+PGtleXdvcmQ+UHJlbmF0YWwgQ2FyZS9tZXRob2RzPC9rZXl3
b3JkPjxrZXl3b3JkPlF1YWxpdGF0aXZlIFJlc2VhcmNoPC9rZXl3b3JkPjxrZXl3b3JkPlN1cnZl
eXMgYW5kIFF1ZXN0aW9ubmFpcmVzPC9rZXl3b3JkPjxrZXl3b3JkPkdlc3RhdGlvbmFsIHdlaWdo
dCBnYWluPC9rZXl3b3JkPjxrZXl3b3JkPk9waW5pb25zPC9rZXl3b3JkPjxrZXl3b3JkPlF1YWxp
dGF0aXZlPC9rZXl3b3JkPjxrZXl3b3JkPldlaWdoaW5nPC9rZXl3b3JkPjwva2V5d29yZHM+PGRh
dGVzPjx5ZWFyPjIwMTc8L3llYXI+PHB1Yi1kYXRlcz48ZGF0ZT5KdW48L2RhdGU+PC9wdWItZGF0
ZXM+PC9kYXRlcz48aXNibj4xNTMyLTMwOTkgKEVsZWN0cm9uaWMpJiN4RDswMjY2LTYxMzggKExp
bmtpbmcpPC9pc2JuPjxhY2Nlc3Npb24tbnVtPjI4MDYzNjIyPC9hY2Nlc3Npb24tbnVtPjx1cmxz
PjxyZWxhdGVkLXVybHM+PHVybD5odHRwczovL3d3dy5uY2JpLm5sbS5uaWguZ292L3B1Ym1lZC8y
ODA2MzYyMjwvdXJsPjwvcmVsYXRlZC11cmxzPjwvdXJscz48ZWxlY3Ryb25pYy1yZXNvdXJjZS1u
dW0+MTAuMTAxNi9qLm1pZHcuMjAxNi4xMi4wMDY8L2VsZWN0cm9uaWMtcmVzb3VyY2UtbnVtPjwv
cmVjb3JkPjwvQ2l0ZT48L0VuZE5vdGU+
</w:fldData>
              </w:fldChar>
            </w:r>
            <w:r w:rsidR="001A2F28">
              <w:instrText xml:space="preserve"> ADDIN EN.CITE.DATA </w:instrText>
            </w:r>
            <w:r w:rsidR="001A2F28">
              <w:fldChar w:fldCharType="end"/>
            </w:r>
            <w:r>
              <w:fldChar w:fldCharType="separate"/>
            </w:r>
            <w:r w:rsidR="001A2F28" w:rsidRPr="001A2F28">
              <w:rPr>
                <w:noProof/>
                <w:vertAlign w:val="superscript"/>
              </w:rPr>
              <w:t>376</w:t>
            </w:r>
            <w:r>
              <w:fldChar w:fldCharType="end"/>
            </w:r>
          </w:p>
          <w:p w14:paraId="40CACE5A" w14:textId="77777777" w:rsidR="00655EFD" w:rsidRDefault="00655EFD" w:rsidP="00DE11C4">
            <w:r>
              <w:t>Ireland</w:t>
            </w:r>
          </w:p>
          <w:p w14:paraId="5A5FE9C6" w14:textId="3F5B26C4" w:rsidR="00655EFD" w:rsidRDefault="00655EFD" w:rsidP="00DE11C4">
            <w:r>
              <w:t>Cross-section</w:t>
            </w:r>
          </w:p>
        </w:tc>
        <w:tc>
          <w:tcPr>
            <w:tcW w:w="1701" w:type="dxa"/>
          </w:tcPr>
          <w:p w14:paraId="2C984585" w14:textId="77777777" w:rsidR="00655EFD" w:rsidRDefault="00655EFD" w:rsidP="00DE11C4">
            <w:r>
              <w:t>10</w:t>
            </w:r>
          </w:p>
        </w:tc>
        <w:tc>
          <w:tcPr>
            <w:tcW w:w="4251" w:type="dxa"/>
          </w:tcPr>
          <w:p w14:paraId="68AFCB11" w14:textId="77777777" w:rsidR="00655EFD" w:rsidRDefault="00655EFD" w:rsidP="00DE11C4">
            <w:r>
              <w:rPr>
                <w:b/>
              </w:rPr>
              <w:t xml:space="preserve">Aim: </w:t>
            </w:r>
            <w:r>
              <w:t>T</w:t>
            </w:r>
            <w:r w:rsidRPr="00C06A28">
              <w:t xml:space="preserve">o explore routine weighing in antenatal care and weight management in pregnancy with women who have been weighed during pregnancy. </w:t>
            </w:r>
          </w:p>
          <w:p w14:paraId="3B0E3D84" w14:textId="77777777" w:rsidR="00655EFD" w:rsidRDefault="00655EFD" w:rsidP="00DE11C4">
            <w:r w:rsidRPr="00C06A28">
              <w:rPr>
                <w:b/>
              </w:rPr>
              <w:t>Population</w:t>
            </w:r>
            <w:r>
              <w:t>: Women who gave birth 9 months previously and had been weighed during pregnancy.</w:t>
            </w:r>
          </w:p>
          <w:p w14:paraId="2C5AD1D6" w14:textId="77777777" w:rsidR="00655EFD" w:rsidRPr="00D54FD8" w:rsidRDefault="00655EFD" w:rsidP="00DE11C4">
            <w:pPr>
              <w:rPr>
                <w:b/>
              </w:rPr>
            </w:pPr>
            <w:r w:rsidRPr="00C06A28">
              <w:rPr>
                <w:b/>
              </w:rPr>
              <w:t>Methods</w:t>
            </w:r>
            <w:r w:rsidRPr="00C06A28">
              <w:t>: a qualitative study utilising semi-structured telephone interviews, and thematic analysis.</w:t>
            </w:r>
          </w:p>
        </w:tc>
        <w:tc>
          <w:tcPr>
            <w:tcW w:w="4395" w:type="dxa"/>
          </w:tcPr>
          <w:p w14:paraId="7D7A84AF" w14:textId="77777777" w:rsidR="00655EFD" w:rsidRPr="00C06A28" w:rsidRDefault="00655EFD" w:rsidP="00DE11C4">
            <w:r>
              <w:t>E</w:t>
            </w:r>
            <w:r w:rsidRPr="00C06A28">
              <w:t xml:space="preserve">xperiences of routine weighing were positive, and participants believed it should be part of standard antenatal care. Several benefits to routine weighing were cited, including providing reassurance and minimising postpartum weight retention. It was felt that there was a lack of information provided on gestational weight gain and healthy lifestyle in pregnancy, and that healthcare professionals are ideally placed to provide this advice. Increased information provision was seen as a method to improve healthy lifestyle behaviours in pregnancy. </w:t>
            </w:r>
          </w:p>
        </w:tc>
        <w:tc>
          <w:tcPr>
            <w:tcW w:w="2412" w:type="dxa"/>
          </w:tcPr>
          <w:p w14:paraId="3330D343" w14:textId="6189C5EA" w:rsidR="00655EFD" w:rsidRPr="00C06A28" w:rsidRDefault="00655EFD" w:rsidP="00DE11C4"/>
        </w:tc>
      </w:tr>
      <w:tr w:rsidR="00C973B8" w:rsidRPr="00B60FFF" w14:paraId="66A5A3DD" w14:textId="77777777" w:rsidTr="000E4BF3">
        <w:trPr>
          <w:cantSplit/>
        </w:trPr>
        <w:tc>
          <w:tcPr>
            <w:tcW w:w="1417" w:type="dxa"/>
          </w:tcPr>
          <w:p w14:paraId="2B471647" w14:textId="7262BDB4" w:rsidR="00C973B8" w:rsidRDefault="00982101" w:rsidP="00F11CB4">
            <w:r>
              <w:t>Hill et al 2019</w:t>
            </w:r>
            <w:r w:rsidR="00774750">
              <w:fldChar w:fldCharType="begin"/>
            </w:r>
            <w:r w:rsidR="001A2F28">
              <w:instrText xml:space="preserve"> ADDIN EN.CITE &lt;EndNote&gt;&lt;Cite&gt;&lt;Author&gt;Hill&lt;/Author&gt;&lt;Year&gt;2019&lt;/Year&gt;&lt;RecNum&gt;1762&lt;/RecNum&gt;&lt;DisplayText&gt;&lt;style face="superscript" font="Trebuchet MS" size="9"&gt;373&lt;/style&gt;&lt;/DisplayText&gt;&lt;record&gt;&lt;rec-number&gt;1762&lt;/rec-number&gt;&lt;foreign-keys&gt;&lt;key app="EN" db-id="exvasrfx2dtraoesasxp2szsxa2df502592x" timestamp="1582867169"&gt;1762&lt;/key&gt;&lt;key app="ENWeb" db-id=""&gt;0&lt;/key&gt;&lt;/foreign-keys&gt;&lt;ref-type name="Journal Article"&gt;17&lt;/ref-type&gt;&lt;contributors&gt;&lt;authors&gt;&lt;author&gt;Hill, B.&lt;/author&gt;&lt;author&gt;Hayden, M.&lt;/author&gt;&lt;author&gt;McPhie, S.&lt;/author&gt;&lt;author&gt;Bailey, C.&lt;/author&gt;&lt;author&gt;Skouteris, H.&lt;/author&gt;&lt;/authors&gt;&lt;/contributors&gt;&lt;auth-address&gt;School of Public Health and Preventive Medicine, Monash Centre for Health Research and Implementation, Monash University, Melbourne, Victoria, Australia.&amp;#xD;School of Psychology, Centre for Social and Early Emotional Development, Deakin University, Geelong, Victoria, Australia.&lt;/auth-address&gt;&lt;titles&gt;&lt;title&gt;Preconception and antenatal knowledge and beliefs about gestational weight gain&lt;/title&gt;&lt;secondary-title&gt;Aust N Z J Obstet Gynaecol&lt;/secondary-title&gt;&lt;/titles&gt;&lt;periodical&gt;&lt;full-title&gt;Aust N Z J Obstet Gynaecol&lt;/full-title&gt;&lt;/periodical&gt;&lt;pages&gt;634-640&lt;/pages&gt;&lt;volume&gt;59&lt;/volume&gt;&lt;number&gt;5&lt;/number&gt;&lt;edition&gt;2019/01/27&lt;/edition&gt;&lt;keywords&gt;&lt;keyword&gt;*beliefs&lt;/keyword&gt;&lt;keyword&gt;*gestational weight gain&lt;/keyword&gt;&lt;keyword&gt;*knowledge&lt;/keyword&gt;&lt;keyword&gt;*parity&lt;/keyword&gt;&lt;keyword&gt;*preconception&lt;/keyword&gt;&lt;keyword&gt;*pregnancy&lt;/keyword&gt;&lt;/keywords&gt;&lt;dates&gt;&lt;year&gt;2019&lt;/year&gt;&lt;pub-dates&gt;&lt;date&gt;Oct&lt;/date&gt;&lt;/pub-dates&gt;&lt;/dates&gt;&lt;isbn&gt;1479-828X (Electronic)&amp;#xD;0004-8666 (Linking)&lt;/isbn&gt;&lt;accession-num&gt;30680719&lt;/accession-num&gt;&lt;urls&gt;&lt;related-urls&gt;&lt;url&gt;https://www.ncbi.nlm.nih.gov/pubmed/30680719&lt;/url&gt;&lt;/related-urls&gt;&lt;/urls&gt;&lt;electronic-resource-num&gt;10.1111/ajo.12942&lt;/electronic-resource-num&gt;&lt;/record&gt;&lt;/Cite&gt;&lt;/EndNote&gt;</w:instrText>
            </w:r>
            <w:r w:rsidR="00774750">
              <w:fldChar w:fldCharType="separate"/>
            </w:r>
            <w:r w:rsidR="001A2F28" w:rsidRPr="001A2F28">
              <w:rPr>
                <w:noProof/>
                <w:vertAlign w:val="superscript"/>
              </w:rPr>
              <w:t>373</w:t>
            </w:r>
            <w:r w:rsidR="00774750">
              <w:fldChar w:fldCharType="end"/>
            </w:r>
          </w:p>
          <w:p w14:paraId="6B6BE104" w14:textId="24A4475F" w:rsidR="000E4BF3" w:rsidRDefault="000E4BF3" w:rsidP="00F11CB4">
            <w:r>
              <w:t>Australia</w:t>
            </w:r>
          </w:p>
          <w:p w14:paraId="11E17C57" w14:textId="612E7ACE" w:rsidR="00982101" w:rsidRDefault="00982101" w:rsidP="00F11CB4">
            <w:r>
              <w:t>Cross-section</w:t>
            </w:r>
          </w:p>
        </w:tc>
        <w:tc>
          <w:tcPr>
            <w:tcW w:w="1701" w:type="dxa"/>
          </w:tcPr>
          <w:p w14:paraId="2D960504" w14:textId="77777777" w:rsidR="00F73147" w:rsidRDefault="00F73147" w:rsidP="00F11CB4">
            <w:r>
              <w:t>265 preconception women</w:t>
            </w:r>
          </w:p>
          <w:p w14:paraId="126BDDFD" w14:textId="34B24D12" w:rsidR="00C973B8" w:rsidRDefault="00982101" w:rsidP="00F11CB4">
            <w:r>
              <w:t>271 pregnant women</w:t>
            </w:r>
          </w:p>
        </w:tc>
        <w:tc>
          <w:tcPr>
            <w:tcW w:w="4251" w:type="dxa"/>
          </w:tcPr>
          <w:p w14:paraId="40264CFC" w14:textId="5028F3BC" w:rsidR="00982101" w:rsidRDefault="00982101" w:rsidP="00982101">
            <w:r w:rsidRPr="00982101">
              <w:rPr>
                <w:b/>
              </w:rPr>
              <w:t>Aim</w:t>
            </w:r>
            <w:r>
              <w:t>: T</w:t>
            </w:r>
            <w:r w:rsidRPr="00982101">
              <w:t xml:space="preserve">o explore knowledge and belief formation regarding gestational weight gain for preconception and pregnant women. </w:t>
            </w:r>
          </w:p>
          <w:p w14:paraId="4F2FF838" w14:textId="5E14DDEE" w:rsidR="00C973B8" w:rsidRPr="00C973B8" w:rsidRDefault="00982101" w:rsidP="00F73147">
            <w:r w:rsidRPr="00982101">
              <w:rPr>
                <w:b/>
              </w:rPr>
              <w:t>Methods</w:t>
            </w:r>
            <w:r w:rsidRPr="00982101">
              <w:t xml:space="preserve">: Women </w:t>
            </w:r>
            <w:r>
              <w:t>≥</w:t>
            </w:r>
            <w:r w:rsidRPr="00982101">
              <w:t>18 years (preconception; pregnant women at 16 weeks gestatio</w:t>
            </w:r>
            <w:r w:rsidR="00F73147">
              <w:t>n</w:t>
            </w:r>
            <w:r w:rsidRPr="00982101">
              <w:t xml:space="preserve">) completed questionnaires assessing knowledge and beliefs about gestational weight gain. Responses were categorised according to the 2009 Institute of Medicine gestational weight gain recommendations. </w:t>
            </w:r>
          </w:p>
        </w:tc>
        <w:tc>
          <w:tcPr>
            <w:tcW w:w="4395" w:type="dxa"/>
          </w:tcPr>
          <w:p w14:paraId="7E5256DB" w14:textId="66EAC388" w:rsidR="00C973B8" w:rsidRPr="00982101" w:rsidRDefault="00982101" w:rsidP="00982101">
            <w:r>
              <w:t>O</w:t>
            </w:r>
            <w:r w:rsidRPr="00982101">
              <w:t xml:space="preserve">nly half of pregnant women reported accurate gestational weight gain knowledge within the Institute of Medicine recommendations. Beliefs about gestational weight gain were also inaccurate for both preconception and pregnant women, with 34.1% of pregnant and 44.6% of preconception women expecting to gain less than recommendations. </w:t>
            </w:r>
          </w:p>
        </w:tc>
        <w:tc>
          <w:tcPr>
            <w:tcW w:w="2412" w:type="dxa"/>
          </w:tcPr>
          <w:p w14:paraId="37DAF995" w14:textId="77777777" w:rsidR="00C973B8" w:rsidRDefault="00C973B8" w:rsidP="00F11CB4"/>
        </w:tc>
      </w:tr>
    </w:tbl>
    <w:p w14:paraId="0D0AD8DE" w14:textId="6F6CACE1" w:rsidR="00EB6D7D" w:rsidRDefault="009C163D" w:rsidP="00932C6D">
      <w:pPr>
        <w:pStyle w:val="TableName"/>
      </w:pPr>
      <w:bookmarkStart w:id="192" w:name="_Toc40956674"/>
      <w:r>
        <w:t xml:space="preserve">Q7 </w:t>
      </w:r>
      <w:r w:rsidR="00EB6D7D">
        <w:t>Health professionals’ views on regular weighing in pregnancy</w:t>
      </w:r>
      <w:bookmarkEnd w:id="192"/>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6: Q7 Health professionals’ views on regular weighing in pregnancy"/>
      </w:tblPr>
      <w:tblGrid>
        <w:gridCol w:w="1418"/>
        <w:gridCol w:w="1701"/>
        <w:gridCol w:w="4252"/>
        <w:gridCol w:w="4394"/>
        <w:gridCol w:w="2411"/>
      </w:tblGrid>
      <w:tr w:rsidR="00EB6D7D" w:rsidRPr="00F350A6" w14:paraId="7EF28EC7" w14:textId="77777777" w:rsidTr="00AB6A13">
        <w:trPr>
          <w:cantSplit/>
          <w:tblHeader/>
        </w:trPr>
        <w:tc>
          <w:tcPr>
            <w:tcW w:w="1418" w:type="dxa"/>
          </w:tcPr>
          <w:p w14:paraId="742E6196" w14:textId="77777777" w:rsidR="00EB6D7D" w:rsidRPr="00F350A6" w:rsidRDefault="00EB6D7D" w:rsidP="00AB6A13">
            <w:pPr>
              <w:keepNext/>
              <w:rPr>
                <w:b/>
              </w:rPr>
            </w:pPr>
            <w:r>
              <w:rPr>
                <w:b/>
              </w:rPr>
              <w:t>Study ref</w:t>
            </w:r>
          </w:p>
        </w:tc>
        <w:tc>
          <w:tcPr>
            <w:tcW w:w="1701" w:type="dxa"/>
          </w:tcPr>
          <w:p w14:paraId="3262A663" w14:textId="77777777" w:rsidR="00EB6D7D" w:rsidRPr="00F350A6" w:rsidRDefault="00EB6D7D" w:rsidP="00AB6A13">
            <w:pPr>
              <w:keepNext/>
              <w:rPr>
                <w:b/>
              </w:rPr>
            </w:pPr>
            <w:r>
              <w:rPr>
                <w:b/>
              </w:rPr>
              <w:t>N</w:t>
            </w:r>
          </w:p>
        </w:tc>
        <w:tc>
          <w:tcPr>
            <w:tcW w:w="4252" w:type="dxa"/>
          </w:tcPr>
          <w:p w14:paraId="0D95F737" w14:textId="77777777" w:rsidR="00EB6D7D" w:rsidRPr="00F350A6" w:rsidRDefault="00EB6D7D" w:rsidP="00AB6A13">
            <w:pPr>
              <w:keepNext/>
              <w:rPr>
                <w:b/>
              </w:rPr>
            </w:pPr>
            <w:r>
              <w:rPr>
                <w:b/>
              </w:rPr>
              <w:t>Aim/methods</w:t>
            </w:r>
          </w:p>
        </w:tc>
        <w:tc>
          <w:tcPr>
            <w:tcW w:w="4394" w:type="dxa"/>
          </w:tcPr>
          <w:p w14:paraId="4D39A4E3" w14:textId="77777777" w:rsidR="00EB6D7D" w:rsidRPr="00F350A6" w:rsidRDefault="00EB6D7D" w:rsidP="00AB6A13">
            <w:pPr>
              <w:keepNext/>
              <w:rPr>
                <w:b/>
              </w:rPr>
            </w:pPr>
            <w:r>
              <w:rPr>
                <w:b/>
              </w:rPr>
              <w:t>Outcomes</w:t>
            </w:r>
          </w:p>
        </w:tc>
        <w:tc>
          <w:tcPr>
            <w:tcW w:w="2411" w:type="dxa"/>
          </w:tcPr>
          <w:p w14:paraId="3777833D" w14:textId="77777777" w:rsidR="00EB6D7D" w:rsidRDefault="00EB6D7D" w:rsidP="00AB6A13">
            <w:pPr>
              <w:keepNext/>
              <w:rPr>
                <w:b/>
              </w:rPr>
            </w:pPr>
            <w:r>
              <w:rPr>
                <w:b/>
              </w:rPr>
              <w:t>Comments</w:t>
            </w:r>
          </w:p>
        </w:tc>
      </w:tr>
      <w:tr w:rsidR="00EB6D7D" w:rsidRPr="00B60FFF" w14:paraId="25C33496" w14:textId="77777777" w:rsidTr="00AB6A13">
        <w:trPr>
          <w:cantSplit/>
        </w:trPr>
        <w:tc>
          <w:tcPr>
            <w:tcW w:w="1418" w:type="dxa"/>
          </w:tcPr>
          <w:p w14:paraId="6F1037D8" w14:textId="7946E5F3" w:rsidR="00EB6D7D" w:rsidRDefault="0095742E" w:rsidP="00AB6A13">
            <w:r>
              <w:t>Hasted et al 2016</w:t>
            </w:r>
            <w:r w:rsidR="00BA7CBD">
              <w:fldChar w:fldCharType="begin">
                <w:fldData xml:space="preserve">PEVuZE5vdGU+PENpdGU+PEF1dGhvcj5IYXN0ZWQ8L0F1dGhvcj48WWVhcj4yMDE2PC9ZZWFyPjxS
ZWNOdW0+MTgyNTwvUmVjTnVtPjxEaXNwbGF5VGV4dD48c3R5bGUgZmFjZT0ic3VwZXJzY3JpcHQi
IGZvbnQ9IlRyZWJ1Y2hldCBNUyIgc2l6ZT0iOSI+Mzc3PC9zdHlsZT48L0Rpc3BsYXlUZXh0Pjxy
ZWNvcmQ+PHJlYy1udW1iZXI+MTgyNTwvcmVjLW51bWJlcj48Zm9yZWlnbi1rZXlzPjxrZXkgYXBw
PSJFTiIgZGItaWQ9ImV4dmFzcmZ4MmR0cmFvZXNhc3hwMnN6c3hhMmRmNTAyNTkyeCIgdGltZXN0
YW1wPSIxNTgzODk2NDg3Ij4xODI1PC9rZXk+PGtleSBhcHA9IkVOV2ViIiBkYi1pZD0iIj4wPC9r
ZXk+PC9mb3JlaWduLWtleXM+PHJlZi10eXBlIG5hbWU9IkpvdXJuYWwgQXJ0aWNsZSI+MTc8L3Jl
Zi10eXBlPjxjb250cmlidXRvcnM+PGF1dGhvcnM+PGF1dGhvcj5IYXN0ZWQsIFQuPC9hdXRob3I+
PGF1dGhvcj5TdGFwbGV0b24sIEguPC9hdXRob3I+PGF1dGhvcj5CZWNrbWFubiwgTS4gTS48L2F1
dGhvcj48YXV0aG9yPldpbGtpbnNvbiwgUy4gQS48L2F1dGhvcj48L2F1dGhvcnM+PC9jb250cmli
dXRvcnM+PGF1dGgtYWRkcmVzcz5EZXBhcnRtZW50IG9mIE9ic3RldHJpY3MgYW5kIEd5bmFlY29s
b2d5LCBNYXRlciBIZWFsdGggU2VydmljZXMsIEJyaXNiYW5lLCBRTEQgNDEwMSwgQXVzdHJhbGlh
OyBVbml2ZXJzaXR5IG9mIFF1ZWVuc2xhbmQgU2Nob29sIG9mIE1lZGljaW5lLCBCcmlzYmFuZSwg
UUxEIDQwMDYsIEF1c3RyYWxpYS4mI3hEO01pZHdpZmVyeSBSZXNlYXJjaCBVbml0LCBVbml2ZXJz
aXR5IG9mIFF1ZWVuc2xhbmQgU2Nob29sIG9mIE51cnNpbmcgYW5kIE1pZHdpZmVyeSwgQnJpc2Jh
bmUsIFFMRCA0MDcyLCBBdXN0cmFsaWE7IE1hdGVyIFJlc2VhcmNoIEluc3RpdHV0ZSwgVW5pdmVy
c2l0eSBvZiBRdWVlbnNsYW5kLCBCcmlzYmFuZSwgUUxEIDQxMDEsIEF1c3RyYWxpYS4mI3hEO0Rl
cGFydG1lbnQgb2YgT2JzdGV0cmljcyBhbmQgR3luYWVjb2xvZ3ksIE1hdGVyIEhlYWx0aCBTZXJ2
aWNlcywgQnJpc2JhbmUsIFFMRCA0MTAxLCBBdXN0cmFsaWE7IFVuaXZlcnNpdHkgb2YgUXVlZW5z
bGFuZCBTY2hvb2wgb2YgTWVkaWNpbmUsIEJyaXNiYW5lLCBRTEQgNDAwNiwgQXVzdHJhbGlhOyBN
YXRlciBSZXNlYXJjaCBJbnN0aXR1dGUsIFVuaXZlcnNpdHkgb2YgUXVlZW5zbGFuZCwgQnJpc2Jh
bmUsIFFMRCA0MTAxLCBBdXN0cmFsaWEuJiN4RDtNYXRlciBSZXNlYXJjaCBJbnN0aXR1dGUsIFVu
aXZlcnNpdHkgb2YgUXVlZW5zbGFuZCwgQnJpc2JhbmUsIFFMRCA0MTAxLCBBdXN0cmFsaWE7IERl
cGFydG1lbnQgb2YgTnV0cml0aW9uIGFuZCBEaWV0ZXRpY3MsIE1hdGVyIEhlYWx0aCBTZXJ2aWNl
cywgQnJpc2JhbmUsIFFMRCA0MTAxLCBBdXN0cmFsaWEuPC9hdXRoLWFkZHJlc3M+PHRpdGxlcz48
dGl0bGU+Q2xpbmljaWFuJmFwb3M7cyBhdHRpdHVkZXMgdG8gdGhlIGludHJvZHVjdGlvbiBvZiBy
b3V0aW5lIHdlaWdoaW5nIGluIHByZWduYW5jeTwvdGl0bGU+PHNlY29uZGFyeS10aXRsZT5KIFBy
ZWduYW5jeTwvc2Vjb25kYXJ5LXRpdGxlPjwvdGl0bGVzPjxwZXJpb2RpY2FsPjxmdWxsLXRpdGxl
PkogUHJlZ25hbmN5PC9mdWxsLXRpdGxlPjwvcGVyaW9kaWNhbD48cGFnZXM+MjA0OTY3MzwvcGFn
ZXM+PHZvbHVtZT4yMDE2PC92b2x1bWU+PGVkaXRpb24+MjAxNi8wNy8yMzwvZWRpdGlvbj48a2V5
d29yZHM+PGtleXdvcmQ+KkFudGhyb3BvbWV0cnk8L2tleXdvcmQ+PGtleXdvcmQ+KkF0dGl0dWRl
IG9mIEhlYWx0aCBQZXJzb25uZWw8L2tleXdvcmQ+PGtleXdvcmQ+QXVzdHJhbGlhPC9rZXl3b3Jk
PjxrZXl3b3JkPipCb2R5IFdlaWdodDwva2V5d29yZD48a2V5d29yZD5GZW1hbGU8L2tleXdvcmQ+
PGtleXdvcmQ+SG9zcGl0YWxzLCBNYXRlcm5pdHk8L2tleXdvcmQ+PGtleXdvcmQ+SHVtYW5zPC9r
ZXl3b3JkPjxrZXl3b3JkPk1lZGljYWwgU3RhZmYsIEhvc3BpdGFsPC9rZXl3b3JkPjxrZXl3b3Jk
PipNaWR3aWZlcnk8L2tleXdvcmQ+PGtleXdvcmQ+Kk51dHJpdGlvbmlzdHM8L2tleXdvcmQ+PGtl
eXdvcmQ+Kk9ic3RldHJpY3M8L2tleXdvcmQ+PGtleXdvcmQ+KlBoeXNpY2lhbnM8L2tleXdvcmQ+
PGtleXdvcmQ+UHJhY3RpY2UgUGF0dGVybnMsIFBoeXNpY2lhbnMmYXBvczs8L2tleXdvcmQ+PGtl
eXdvcmQ+UHJlZ25hbmN5PC9rZXl3b3JkPjxrZXl3b3JkPlByZW5hdGFsIENhcmUvKm1ldGhvZHM8
L2tleXdvcmQ+PGtleXdvcmQ+UXVhbGl0YXRpdmUgUmVzZWFyY2g8L2tleXdvcmQ+PGtleXdvcmQ+
VGVydGlhcnkgQ2FyZSBDZW50ZXJzPC9rZXl3b3JkPjwva2V5d29yZHM+PGRhdGVzPjx5ZWFyPjIw
MTY8L3llYXI+PC9kYXRlcz48aXNibj4yMDkwLTI3MzUgKEVsZWN0cm9uaWMpJiN4RDsyMDkwLTI3
MjcgKExpbmtpbmcpPC9pc2JuPjxhY2Nlc3Npb24tbnVtPjI3NDQ2NjE0PC9hY2Nlc3Npb24tbnVt
Pjx1cmxzPjxyZWxhdGVkLXVybHM+PHVybD5odHRwczovL3d3dy5uY2JpLm5sbS5uaWguZ292L3B1
Ym1lZC8yNzQ0NjYxNDwvdXJsPjwvcmVsYXRlZC11cmxzPjwvdXJscz48Y3VzdG9tMj5QTUM0OTQ0
MDgxPC9jdXN0b20yPjxlbGVjdHJvbmljLXJlc291cmNlLW51bT4xMC4xMTU1LzIwMTYvMjA0OTY3
MzwvZWxlY3Ryb25pYy1yZXNvdXJjZS1udW0+PC9yZWNvcmQ+PC9DaXRlPjwvRW5kTm90ZT4A
</w:fldData>
              </w:fldChar>
            </w:r>
            <w:r w:rsidR="001A2F28">
              <w:instrText xml:space="preserve"> ADDIN EN.CITE </w:instrText>
            </w:r>
            <w:r w:rsidR="001A2F28">
              <w:fldChar w:fldCharType="begin">
                <w:fldData xml:space="preserve">PEVuZE5vdGU+PENpdGU+PEF1dGhvcj5IYXN0ZWQ8L0F1dGhvcj48WWVhcj4yMDE2PC9ZZWFyPjxS
ZWNOdW0+MTgyNTwvUmVjTnVtPjxEaXNwbGF5VGV4dD48c3R5bGUgZmFjZT0ic3VwZXJzY3JpcHQi
IGZvbnQ9IlRyZWJ1Y2hldCBNUyIgc2l6ZT0iOSI+Mzc3PC9zdHlsZT48L0Rpc3BsYXlUZXh0Pjxy
ZWNvcmQ+PHJlYy1udW1iZXI+MTgyNTwvcmVjLW51bWJlcj48Zm9yZWlnbi1rZXlzPjxrZXkgYXBw
PSJFTiIgZGItaWQ9ImV4dmFzcmZ4MmR0cmFvZXNhc3hwMnN6c3hhMmRmNTAyNTkyeCIgdGltZXN0
YW1wPSIxNTgzODk2NDg3Ij4xODI1PC9rZXk+PGtleSBhcHA9IkVOV2ViIiBkYi1pZD0iIj4wPC9r
ZXk+PC9mb3JlaWduLWtleXM+PHJlZi10eXBlIG5hbWU9IkpvdXJuYWwgQXJ0aWNsZSI+MTc8L3Jl
Zi10eXBlPjxjb250cmlidXRvcnM+PGF1dGhvcnM+PGF1dGhvcj5IYXN0ZWQsIFQuPC9hdXRob3I+
PGF1dGhvcj5TdGFwbGV0b24sIEguPC9hdXRob3I+PGF1dGhvcj5CZWNrbWFubiwgTS4gTS48L2F1
dGhvcj48YXV0aG9yPldpbGtpbnNvbiwgUy4gQS48L2F1dGhvcj48L2F1dGhvcnM+PC9jb250cmli
dXRvcnM+PGF1dGgtYWRkcmVzcz5EZXBhcnRtZW50IG9mIE9ic3RldHJpY3MgYW5kIEd5bmFlY29s
b2d5LCBNYXRlciBIZWFsdGggU2VydmljZXMsIEJyaXNiYW5lLCBRTEQgNDEwMSwgQXVzdHJhbGlh
OyBVbml2ZXJzaXR5IG9mIFF1ZWVuc2xhbmQgU2Nob29sIG9mIE1lZGljaW5lLCBCcmlzYmFuZSwg
UUxEIDQwMDYsIEF1c3RyYWxpYS4mI3hEO01pZHdpZmVyeSBSZXNlYXJjaCBVbml0LCBVbml2ZXJz
aXR5IG9mIFF1ZWVuc2xhbmQgU2Nob29sIG9mIE51cnNpbmcgYW5kIE1pZHdpZmVyeSwgQnJpc2Jh
bmUsIFFMRCA0MDcyLCBBdXN0cmFsaWE7IE1hdGVyIFJlc2VhcmNoIEluc3RpdHV0ZSwgVW5pdmVy
c2l0eSBvZiBRdWVlbnNsYW5kLCBCcmlzYmFuZSwgUUxEIDQxMDEsIEF1c3RyYWxpYS4mI3hEO0Rl
cGFydG1lbnQgb2YgT2JzdGV0cmljcyBhbmQgR3luYWVjb2xvZ3ksIE1hdGVyIEhlYWx0aCBTZXJ2
aWNlcywgQnJpc2JhbmUsIFFMRCA0MTAxLCBBdXN0cmFsaWE7IFVuaXZlcnNpdHkgb2YgUXVlZW5z
bGFuZCBTY2hvb2wgb2YgTWVkaWNpbmUsIEJyaXNiYW5lLCBRTEQgNDAwNiwgQXVzdHJhbGlhOyBN
YXRlciBSZXNlYXJjaCBJbnN0aXR1dGUsIFVuaXZlcnNpdHkgb2YgUXVlZW5zbGFuZCwgQnJpc2Jh
bmUsIFFMRCA0MTAxLCBBdXN0cmFsaWEuJiN4RDtNYXRlciBSZXNlYXJjaCBJbnN0aXR1dGUsIFVu
aXZlcnNpdHkgb2YgUXVlZW5zbGFuZCwgQnJpc2JhbmUsIFFMRCA0MTAxLCBBdXN0cmFsaWE7IERl
cGFydG1lbnQgb2YgTnV0cml0aW9uIGFuZCBEaWV0ZXRpY3MsIE1hdGVyIEhlYWx0aCBTZXJ2aWNl
cywgQnJpc2JhbmUsIFFMRCA0MTAxLCBBdXN0cmFsaWEuPC9hdXRoLWFkZHJlc3M+PHRpdGxlcz48
dGl0bGU+Q2xpbmljaWFuJmFwb3M7cyBhdHRpdHVkZXMgdG8gdGhlIGludHJvZHVjdGlvbiBvZiBy
b3V0aW5lIHdlaWdoaW5nIGluIHByZWduYW5jeTwvdGl0bGU+PHNlY29uZGFyeS10aXRsZT5KIFBy
ZWduYW5jeTwvc2Vjb25kYXJ5LXRpdGxlPjwvdGl0bGVzPjxwZXJpb2RpY2FsPjxmdWxsLXRpdGxl
PkogUHJlZ25hbmN5PC9mdWxsLXRpdGxlPjwvcGVyaW9kaWNhbD48cGFnZXM+MjA0OTY3MzwvcGFn
ZXM+PHZvbHVtZT4yMDE2PC92b2x1bWU+PGVkaXRpb24+MjAxNi8wNy8yMzwvZWRpdGlvbj48a2V5
d29yZHM+PGtleXdvcmQ+KkFudGhyb3BvbWV0cnk8L2tleXdvcmQ+PGtleXdvcmQ+KkF0dGl0dWRl
IG9mIEhlYWx0aCBQZXJzb25uZWw8L2tleXdvcmQ+PGtleXdvcmQ+QXVzdHJhbGlhPC9rZXl3b3Jk
PjxrZXl3b3JkPipCb2R5IFdlaWdodDwva2V5d29yZD48a2V5d29yZD5GZW1hbGU8L2tleXdvcmQ+
PGtleXdvcmQ+SG9zcGl0YWxzLCBNYXRlcm5pdHk8L2tleXdvcmQ+PGtleXdvcmQ+SHVtYW5zPC9r
ZXl3b3JkPjxrZXl3b3JkPk1lZGljYWwgU3RhZmYsIEhvc3BpdGFsPC9rZXl3b3JkPjxrZXl3b3Jk
PipNaWR3aWZlcnk8L2tleXdvcmQ+PGtleXdvcmQ+Kk51dHJpdGlvbmlzdHM8L2tleXdvcmQ+PGtl
eXdvcmQ+Kk9ic3RldHJpY3M8L2tleXdvcmQ+PGtleXdvcmQ+KlBoeXNpY2lhbnM8L2tleXdvcmQ+
PGtleXdvcmQ+UHJhY3RpY2UgUGF0dGVybnMsIFBoeXNpY2lhbnMmYXBvczs8L2tleXdvcmQ+PGtl
eXdvcmQ+UHJlZ25hbmN5PC9rZXl3b3JkPjxrZXl3b3JkPlByZW5hdGFsIENhcmUvKm1ldGhvZHM8
L2tleXdvcmQ+PGtleXdvcmQ+UXVhbGl0YXRpdmUgUmVzZWFyY2g8L2tleXdvcmQ+PGtleXdvcmQ+
VGVydGlhcnkgQ2FyZSBDZW50ZXJzPC9rZXl3b3JkPjwva2V5d29yZHM+PGRhdGVzPjx5ZWFyPjIw
MTY8L3llYXI+PC9kYXRlcz48aXNibj4yMDkwLTI3MzUgKEVsZWN0cm9uaWMpJiN4RDsyMDkwLTI3
MjcgKExpbmtpbmcpPC9pc2JuPjxhY2Nlc3Npb24tbnVtPjI3NDQ2NjE0PC9hY2Nlc3Npb24tbnVt
Pjx1cmxzPjxyZWxhdGVkLXVybHM+PHVybD5odHRwczovL3d3dy5uY2JpLm5sbS5uaWguZ292L3B1
Ym1lZC8yNzQ0NjYxNDwvdXJsPjwvcmVsYXRlZC11cmxzPjwvdXJscz48Y3VzdG9tMj5QTUM0OTQ0
MDgxPC9jdXN0b20yPjxlbGVjdHJvbmljLXJlc291cmNlLW51bT4xMC4xMTU1LzIwMTYvMjA0OTY3
MzwvZWxlY3Ryb25pYy1yZXNvdXJjZS1udW0+PC9yZWNvcmQ+PC9DaXRlPjwvRW5kTm90ZT4A
</w:fldData>
              </w:fldChar>
            </w:r>
            <w:r w:rsidR="001A2F28">
              <w:instrText xml:space="preserve"> ADDIN EN.CITE.DATA </w:instrText>
            </w:r>
            <w:r w:rsidR="001A2F28">
              <w:fldChar w:fldCharType="end"/>
            </w:r>
            <w:r w:rsidR="00BA7CBD">
              <w:fldChar w:fldCharType="separate"/>
            </w:r>
            <w:r w:rsidR="001A2F28" w:rsidRPr="001A2F28">
              <w:rPr>
                <w:noProof/>
                <w:vertAlign w:val="superscript"/>
              </w:rPr>
              <w:t>377</w:t>
            </w:r>
            <w:r w:rsidR="00BA7CBD">
              <w:fldChar w:fldCharType="end"/>
            </w:r>
          </w:p>
          <w:p w14:paraId="5420D2A9" w14:textId="77777777" w:rsidR="0095742E" w:rsidRDefault="0095742E" w:rsidP="00AB6A13">
            <w:r>
              <w:t>Australia</w:t>
            </w:r>
          </w:p>
          <w:p w14:paraId="152C394C" w14:textId="0A3E7570" w:rsidR="00E70A06" w:rsidRDefault="00E70A06" w:rsidP="00AB6A13">
            <w:r>
              <w:t>Cross-section</w:t>
            </w:r>
          </w:p>
        </w:tc>
        <w:tc>
          <w:tcPr>
            <w:tcW w:w="1701" w:type="dxa"/>
          </w:tcPr>
          <w:p w14:paraId="5C9ED021" w14:textId="7481F7A5" w:rsidR="00EB6D7D" w:rsidRDefault="0095742E" w:rsidP="00AB6A13">
            <w:r>
              <w:t>44</w:t>
            </w:r>
          </w:p>
        </w:tc>
        <w:tc>
          <w:tcPr>
            <w:tcW w:w="4252" w:type="dxa"/>
          </w:tcPr>
          <w:p w14:paraId="00A50776" w14:textId="77777777" w:rsidR="0095742E" w:rsidRDefault="0095742E" w:rsidP="00AB6A13">
            <w:r>
              <w:rPr>
                <w:b/>
              </w:rPr>
              <w:t xml:space="preserve">Aim: </w:t>
            </w:r>
            <w:r w:rsidRPr="0095742E">
              <w:t xml:space="preserve">To identify clinicians' perspectives of barriers and enablers to routinely weighing pregnant women and variations in current practice, knowledge, and attitudes between different staff groups. </w:t>
            </w:r>
          </w:p>
          <w:p w14:paraId="53A372AE" w14:textId="0CDAAF3C" w:rsidR="00EB6D7D" w:rsidRPr="007A1E3E" w:rsidRDefault="0095742E" w:rsidP="00AB6A13">
            <w:pPr>
              <w:rPr>
                <w:b/>
              </w:rPr>
            </w:pPr>
            <w:r w:rsidRPr="0095742E">
              <w:rPr>
                <w:b/>
              </w:rPr>
              <w:t>Methods</w:t>
            </w:r>
            <w:r>
              <w:t>:</w:t>
            </w:r>
            <w:r w:rsidRPr="0095742E">
              <w:t xml:space="preserve"> Forty-four maternity staff from three professional groups were interviewed in four focus groups. Staff included midwives; medical staff; and dietitians. Transcripts underwent qualitative content analysis to identify and examine barriers and enablers to the routine weighing of w</w:t>
            </w:r>
            <w:r>
              <w:t xml:space="preserve">omen throughout pregnancy. </w:t>
            </w:r>
          </w:p>
        </w:tc>
        <w:tc>
          <w:tcPr>
            <w:tcW w:w="4394" w:type="dxa"/>
          </w:tcPr>
          <w:p w14:paraId="40735E3E" w14:textId="3C815AD4" w:rsidR="00EB6D7D" w:rsidRPr="0095742E" w:rsidRDefault="0095742E" w:rsidP="0095742E">
            <w:r w:rsidRPr="0095742E">
              <w:t xml:space="preserve">While most staff supported routine weighing, various concerns were raised. Issues included access to resources and staff; the ability to provide appropriate counselling and evidence-based interventions; and the impact of weighing on patients and the therapeutic relationship. </w:t>
            </w:r>
          </w:p>
        </w:tc>
        <w:tc>
          <w:tcPr>
            <w:tcW w:w="2411" w:type="dxa"/>
          </w:tcPr>
          <w:p w14:paraId="24F352FB" w14:textId="77777777" w:rsidR="00EB6D7D" w:rsidRDefault="00EB6D7D" w:rsidP="00AB6A13"/>
        </w:tc>
      </w:tr>
    </w:tbl>
    <w:p w14:paraId="3FB957CE" w14:textId="3F176407" w:rsidR="00C66347" w:rsidRDefault="009C163D" w:rsidP="00932C6D">
      <w:pPr>
        <w:pStyle w:val="TableName"/>
      </w:pPr>
      <w:bookmarkStart w:id="193" w:name="_Toc40956675"/>
      <w:r>
        <w:t xml:space="preserve">Q7 </w:t>
      </w:r>
      <w:r w:rsidR="00380A05">
        <w:t>W</w:t>
      </w:r>
      <w:r w:rsidR="00B60FFF">
        <w:t xml:space="preserve">eighing </w:t>
      </w:r>
      <w:bookmarkEnd w:id="189"/>
      <w:r w:rsidR="00380A05">
        <w:t>as a stand-alone intervention to reduce weight gain</w:t>
      </w:r>
      <w:r w:rsidR="00B60FFF">
        <w:t xml:space="preserve"> — </w:t>
      </w:r>
      <w:r w:rsidR="005629DA">
        <w:t>SLR</w:t>
      </w:r>
      <w:r w:rsidR="00B60FFF">
        <w:t>s</w:t>
      </w:r>
      <w:bookmarkEnd w:id="193"/>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7: Q7 Weighing as a stand-alone intervention to reduce weight gain — SLRs"/>
      </w:tblPr>
      <w:tblGrid>
        <w:gridCol w:w="1418"/>
        <w:gridCol w:w="1701"/>
        <w:gridCol w:w="4252"/>
        <w:gridCol w:w="4394"/>
        <w:gridCol w:w="2411"/>
      </w:tblGrid>
      <w:tr w:rsidR="005629DA" w:rsidRPr="00F350A6" w14:paraId="2B177A42" w14:textId="1D75CFBF" w:rsidTr="005629DA">
        <w:trPr>
          <w:cantSplit/>
          <w:tblHeader/>
        </w:trPr>
        <w:tc>
          <w:tcPr>
            <w:tcW w:w="1418" w:type="dxa"/>
          </w:tcPr>
          <w:p w14:paraId="446A4656" w14:textId="77777777" w:rsidR="005629DA" w:rsidRPr="00F350A6" w:rsidRDefault="005629DA" w:rsidP="00555C38">
            <w:pPr>
              <w:keepNext/>
              <w:rPr>
                <w:b/>
              </w:rPr>
            </w:pPr>
            <w:r>
              <w:rPr>
                <w:b/>
              </w:rPr>
              <w:t>Study ref</w:t>
            </w:r>
          </w:p>
        </w:tc>
        <w:tc>
          <w:tcPr>
            <w:tcW w:w="1701" w:type="dxa"/>
          </w:tcPr>
          <w:p w14:paraId="3C193C8A" w14:textId="77777777" w:rsidR="005629DA" w:rsidRPr="00F350A6" w:rsidRDefault="005629DA" w:rsidP="00555C38">
            <w:pPr>
              <w:keepNext/>
              <w:rPr>
                <w:b/>
              </w:rPr>
            </w:pPr>
            <w:r>
              <w:rPr>
                <w:b/>
              </w:rPr>
              <w:t>N</w:t>
            </w:r>
          </w:p>
        </w:tc>
        <w:tc>
          <w:tcPr>
            <w:tcW w:w="4252" w:type="dxa"/>
          </w:tcPr>
          <w:p w14:paraId="2F34582B" w14:textId="04EF5424" w:rsidR="005629DA" w:rsidRPr="00F350A6" w:rsidRDefault="005629DA" w:rsidP="00DD788F">
            <w:pPr>
              <w:keepNext/>
              <w:rPr>
                <w:b/>
              </w:rPr>
            </w:pPr>
            <w:r>
              <w:rPr>
                <w:b/>
              </w:rPr>
              <w:t>Aim/</w:t>
            </w:r>
            <w:r w:rsidR="00DD788F">
              <w:rPr>
                <w:b/>
              </w:rPr>
              <w:t>methods</w:t>
            </w:r>
          </w:p>
        </w:tc>
        <w:tc>
          <w:tcPr>
            <w:tcW w:w="4394" w:type="dxa"/>
          </w:tcPr>
          <w:p w14:paraId="062741E4" w14:textId="77777777" w:rsidR="005629DA" w:rsidRPr="00F350A6" w:rsidRDefault="005629DA" w:rsidP="00555C38">
            <w:pPr>
              <w:keepNext/>
              <w:rPr>
                <w:b/>
              </w:rPr>
            </w:pPr>
            <w:r>
              <w:rPr>
                <w:b/>
              </w:rPr>
              <w:t>Outcomes</w:t>
            </w:r>
          </w:p>
        </w:tc>
        <w:tc>
          <w:tcPr>
            <w:tcW w:w="2411" w:type="dxa"/>
          </w:tcPr>
          <w:p w14:paraId="4BAF9AC4" w14:textId="3A81E97D" w:rsidR="005629DA" w:rsidRDefault="005629DA" w:rsidP="00555C38">
            <w:pPr>
              <w:keepNext/>
              <w:rPr>
                <w:b/>
              </w:rPr>
            </w:pPr>
            <w:r>
              <w:rPr>
                <w:b/>
              </w:rPr>
              <w:t>Comments</w:t>
            </w:r>
          </w:p>
        </w:tc>
      </w:tr>
      <w:tr w:rsidR="005629DA" w:rsidRPr="00B60FFF" w14:paraId="31CC5000" w14:textId="2AD13CE0" w:rsidTr="005629DA">
        <w:trPr>
          <w:cantSplit/>
        </w:trPr>
        <w:tc>
          <w:tcPr>
            <w:tcW w:w="1418" w:type="dxa"/>
          </w:tcPr>
          <w:p w14:paraId="235734AA" w14:textId="0584BED9" w:rsidR="005629DA" w:rsidRDefault="005629DA" w:rsidP="00C159F9">
            <w:r>
              <w:t>Fealy et al 2017</w:t>
            </w:r>
            <w:r w:rsidR="00774750">
              <w:fldChar w:fldCharType="begin">
                <w:fldData xml:space="preserve">PEVuZE5vdGU+PENpdGU+PEF1dGhvcj5GZWFseTwvQXV0aG9yPjxZZWFyPjIwMTc8L1llYXI+PFJl
Y051bT4xNzA0PC9SZWNOdW0+PERpc3BsYXlUZXh0PjxzdHlsZSBmYWNlPSJzdXBlcnNjcmlwdCIg
Zm9udD0iVHJlYnVjaGV0IE1TIiBzaXplPSI5Ij4zODI8L3N0eWxlPjwvRGlzcGxheVRleHQ+PHJl
Y29yZD48cmVjLW51bWJlcj4xNzA0PC9yZWMtbnVtYmVyPjxmb3JlaWduLWtleXM+PGtleSBhcHA9
IkVOIiBkYi1pZD0iZXh2YXNyZngyZHRyYW9lc2FzeHAyc3pzeGEyZGY1MDI1OTJ4IiB0aW1lc3Rh
bXA9IjE1ODE5MTY5NTAiPjE3MDQ8L2tleT48a2V5IGFwcD0iRU5XZWIiIGRiLWlkPSIiPjA8L2tl
eT48L2ZvcmVpZ24ta2V5cz48cmVmLXR5cGUgbmFtZT0iSm91cm5hbCBBcnRpY2xlIj4xNzwvcmVm
LXR5cGU+PGNvbnRyaWJ1dG9ycz48YXV0aG9ycz48YXV0aG9yPkZlYWx5LCBTLiBNLjwvYXV0aG9y
PjxhdXRob3I+VGF5bG9yLCBSLiBNLjwvYXV0aG9yPjxhdXRob3I+Rm91cmV1ciwgTS48L2F1dGhv
cj48YXV0aG9yPkF0dGlhLCBKLjwvYXV0aG9yPjxhdXRob3I+RWJlcnQsIEwuPC9hdXRob3I+PGF1
dGhvcj5CaXNxdWVyYSwgQS48L2F1dGhvcj48YXV0aG9yPkh1cmUsIEEuIEouPC9hdXRob3I+PC9h
dXRob3JzPjwvY29udHJpYnV0b3JzPjxhdXRoLWFkZHJlc3M+U2Nob29sIG9mIE51cnNpbmcgJmFt
cDsgTWlkd2lmZXJ5IFVuaXZlcnNpdHkgb2YgTmV3Y2FzdGxlLCBQb3J0IE1hY3F1YXJpZSBDYW1w
dXMsIFBPIEJveCAyMTAsIFBvcnQgTWFjcXVhcmllLCAyNDQ0LCBOU1csIEF1c3RyYWxpYS4gc2hh
bm5hLmZlYWx5QG5ld2Nhc3RsZS5lZHUuYXUuJiN4RDtGYWN1bHR5IG9mIEhlYWx0aCAmYW1wOyBN
ZWRpY2luZSBTY2hvb2wgb2YgTWVkaWNpbmUgJmFtcDsgUHVibGljIEhlYWx0aCwgVW5pdmVyc2l0
eSBvZiBOZXdjYXN0bGUsIENhbGxhZ2hhbiwgTlNXLCBBdXN0cmFsaWEuIHNoYW5uYS5mZWFseUBu
ZXdjYXN0bGUuZWR1LmF1LiYjeEQ7TWF0ZXJuaXR5IENhcmUgU2VydmljZXMsIFRoZSBQb3J0IE1h
Y3F1YXJpZSBCYXNlIEhvc3BpdGFsLCBQb3J0IE1hY3F1YXJpZSwgTlNXLCBBdXN0cmFsaWEuIHNo
YW5uYS5mZWFseUBuZXdjYXN0bGUuZWR1LmF1LiYjeEQ7RmFjdWx0eSBvZiBIZWFsdGggJmFtcDsg
TWVkaWNpbmUgU2Nob29sIG9mIE1lZGljaW5lICZhbXA7IFB1YmxpYyBIZWFsdGgsIFVuaXZlcnNp
dHkgb2YgTmV3Y2FzdGxlLCBDYWxsYWdoYW4sIE5TVywgQXVzdHJhbGlhLiYjeEQ7TW90aGVycyBh
bmQgQmFiaWVzIFJlc2VhcmNoIENlbnRyZSwgVW5pdmVyc2l0eSBvZiBOZXdjYXN0bGUsIFVuaXZl
cnNpdHkgRHJpdmUsIENhbGxhZ2hhbiwgMjMwOCwgTlNXLCBBdXN0cmFsaWEuJiN4RDtIdW50ZXIg
TWVkaWNhbCBSZXNlYXJjaCBJbnN0aXR1dGUsIE5ld2Nhc3RsZSwgTlNXLCBBdXN0cmFsaWEuJiN4
RDtTY2hvb2wgb2YgTnVyc2luZyAmYW1wOyBNaWR3aWZlcnkgVW5pdmVyc2l0eSBvZiBOZXdjYXN0
bGUsIFBvcnQgTWFjcXVhcmllIENhbXB1cywgUE8gQm94IDIxMCwgUG9ydCBNYWNxdWFyaWUsIDI0
NDQsIE5TVywgQXVzdHJhbGlhLiYjeEQ7Q2VudHJlIGZvciBNaWR3aWZlcnksIENoaWxkIGFuZCBG
YW1pbHkgSGVhbHRoLCBGYWN1bHR5IG9mIEhlYWx0aCwgVW5pdmVyc2l0eSBvZiBUZWNobm9sb2d5
IFN5ZG5leSwgUE8gQm94IDEyMywgQnJvYWR3YXksIFVsdGltbywgTlNXLCAyMDA3LCBBdXN0cmFs
aWEuJiN4RDtDZW50cmUgZm9yIENsaW5pY2FsIEVwaWRlbWlvbG9neSBhbmQgQmlvc3RhdGlzdGlj
cywgU2Nob29sIG9mIE1lZGljaW5lICZhbXA7IFB1YmxpYyBIZWFsdGgsIFVuaXZlcnNpdHkgb2Yg
TmV3Y2FzdGxlLCBDYWxsYWdoYW4sIE5TVywgQXVzdHJhbGlhLiYjeEQ7RGl2aXNpb24gb2YgTWVk
aWNpbmUsIEpvaG4gSHVudGVyIEhvc3BpdGFsLCBOZXdjYXN0bGUsIE5TVywgQXVzdHJhbGlhLjwv
YXV0aC1hZGRyZXNzPjx0aXRsZXM+PHRpdGxlPldlaWdoaW5nIGFzIGEgc3RhbmQtYWxvbmUgaW50
ZXJ2ZW50aW9uIGRvZXMgbm90IHJlZHVjZSBleGNlc3NpdmUgZ2VzdGF0aW9uYWwgd2VpZ2h0IGdh
aW4gY29tcGFyZWQgdG8gcm91dGluZSBhbnRlbmF0YWwgY2FyZTogYSBzeXN0ZW1hdGljIHJldmll
dyBhbmQgbWV0YS1hbmFseXNpcyBvZiByYW5kb21pc2VkIGNvbnRyb2xsZWQgdHJpYWxzPC90aXRs
ZT48c2Vjb25kYXJ5LXRpdGxlPkJNQyBQcmVnbmFuY3kgQ2hpbGRiaXJ0aDwvc2Vjb25kYXJ5LXRp
dGxlPjwvdGl0bGVzPjxwZXJpb2RpY2FsPjxmdWxsLXRpdGxlPkJNQyBQcmVnbmFuY3kgQ2hpbGRi
aXJ0aDwvZnVsbC10aXRsZT48L3BlcmlvZGljYWw+PHBhZ2VzPjM2PC9wYWdlcz48dm9sdW1lPjE3
PC92b2x1bWU+PG51bWJlcj4xPC9udW1iZXI+PGVkaXRpb24+MjAxNy8wMS8xODwvZWRpdGlvbj48
a2V5d29yZHM+PGtleXdvcmQ+KkJvZHkgTWFzcyBJbmRleDwva2V5d29yZD48a2V5d29yZD5EaXJl
Y3RpdmUgQ291bnNlbGluZy8qbWV0aG9kczwva2V5d29yZD48a2V5d29yZD5GZW1hbGU8L2tleXdv
cmQ+PGtleXdvcmQ+SHVtYW5zPC9rZXl3b3JkPjxrZXl3b3JkPlByZWduYW5jeTwva2V5d29yZD48
a2V5d29yZD5QcmVuYXRhbCBDYXJlLyptZXRob2RzPC9rZXl3b3JkPjxrZXl3b3JkPipSYW5kb21p
emVkIENvbnRyb2xsZWQgVHJpYWxzIGFzIFRvcGljPC9rZXl3b3JkPjxrZXl3b3JkPldlaWdodCBH
YWluLypwaHlzaW9sb2d5PC9rZXl3b3JkPjxrZXl3b3JkPipBbnRlbmF0YWwgY2FyZTwva2V5d29y
ZD48a2V5d29yZD4qR2VzdGF0aW9uPC9rZXl3b3JkPjxrZXl3b3JkPipQcmVnbmFuY3k8L2tleXdv
cmQ+PGtleXdvcmQ+KldlaWdoaW5nPC9rZXl3b3JkPjxrZXl3b3JkPipXZWlnaHQgZ2Fpbjwva2V5
d29yZD48L2tleXdvcmRzPjxkYXRlcz48eWVhcj4yMDE3PC95ZWFyPjxwdWItZGF0ZXM+PGRhdGU+
SmFuIDE3PC9kYXRlPjwvcHViLWRhdGVzPjwvZGF0ZXM+PGlzYm4+MTQ3MS0yMzkzIChFbGVjdHJv
bmljKSYjeEQ7MTQ3MS0yMzkzIChMaW5raW5nKTwvaXNibj48YWNjZXNzaW9uLW51bT4yODA5NTgy
MTwvYWNjZXNzaW9uLW51bT48dXJscz48cmVsYXRlZC11cmxzPjx1cmw+aHR0cHM6Ly93d3cubmNi
aS5ubG0ubmloLmdvdi9wdWJtZWQvMjgwOTU4MjE8L3VybD48L3JlbGF0ZWQtdXJscz48L3VybHM+
PGN1c3RvbTI+UE1DNTI0MDQyMzwvY3VzdG9tMj48ZWxlY3Ryb25pYy1yZXNvdXJjZS1udW0+MTAu
MTE4Ni9zMTI4ODQtMDE2LTEyMDctMjwvZWxlY3Ryb25pYy1yZXNvdXJjZS1udW0+PC9yZWNvcmQ+
PC9DaXRlPjwvRW5kTm90ZT5=
</w:fldData>
              </w:fldChar>
            </w:r>
            <w:r w:rsidR="001A2F28">
              <w:instrText xml:space="preserve"> ADDIN EN.CITE </w:instrText>
            </w:r>
            <w:r w:rsidR="001A2F28">
              <w:fldChar w:fldCharType="begin">
                <w:fldData xml:space="preserve">PEVuZE5vdGU+PENpdGU+PEF1dGhvcj5GZWFseTwvQXV0aG9yPjxZZWFyPjIwMTc8L1llYXI+PFJl
Y051bT4xNzA0PC9SZWNOdW0+PERpc3BsYXlUZXh0PjxzdHlsZSBmYWNlPSJzdXBlcnNjcmlwdCIg
Zm9udD0iVHJlYnVjaGV0IE1TIiBzaXplPSI5Ij4zODI8L3N0eWxlPjwvRGlzcGxheVRleHQ+PHJl
Y29yZD48cmVjLW51bWJlcj4xNzA0PC9yZWMtbnVtYmVyPjxmb3JlaWduLWtleXM+PGtleSBhcHA9
IkVOIiBkYi1pZD0iZXh2YXNyZngyZHRyYW9lc2FzeHAyc3pzeGEyZGY1MDI1OTJ4IiB0aW1lc3Rh
bXA9IjE1ODE5MTY5NTAiPjE3MDQ8L2tleT48a2V5IGFwcD0iRU5XZWIiIGRiLWlkPSIiPjA8L2tl
eT48L2ZvcmVpZ24ta2V5cz48cmVmLXR5cGUgbmFtZT0iSm91cm5hbCBBcnRpY2xlIj4xNzwvcmVm
LXR5cGU+PGNvbnRyaWJ1dG9ycz48YXV0aG9ycz48YXV0aG9yPkZlYWx5LCBTLiBNLjwvYXV0aG9y
PjxhdXRob3I+VGF5bG9yLCBSLiBNLjwvYXV0aG9yPjxhdXRob3I+Rm91cmV1ciwgTS48L2F1dGhv
cj48YXV0aG9yPkF0dGlhLCBKLjwvYXV0aG9yPjxhdXRob3I+RWJlcnQsIEwuPC9hdXRob3I+PGF1
dGhvcj5CaXNxdWVyYSwgQS48L2F1dGhvcj48YXV0aG9yPkh1cmUsIEEuIEouPC9hdXRob3I+PC9h
dXRob3JzPjwvY29udHJpYnV0b3JzPjxhdXRoLWFkZHJlc3M+U2Nob29sIG9mIE51cnNpbmcgJmFt
cDsgTWlkd2lmZXJ5IFVuaXZlcnNpdHkgb2YgTmV3Y2FzdGxlLCBQb3J0IE1hY3F1YXJpZSBDYW1w
dXMsIFBPIEJveCAyMTAsIFBvcnQgTWFjcXVhcmllLCAyNDQ0LCBOU1csIEF1c3RyYWxpYS4gc2hh
bm5hLmZlYWx5QG5ld2Nhc3RsZS5lZHUuYXUuJiN4RDtGYWN1bHR5IG9mIEhlYWx0aCAmYW1wOyBN
ZWRpY2luZSBTY2hvb2wgb2YgTWVkaWNpbmUgJmFtcDsgUHVibGljIEhlYWx0aCwgVW5pdmVyc2l0
eSBvZiBOZXdjYXN0bGUsIENhbGxhZ2hhbiwgTlNXLCBBdXN0cmFsaWEuIHNoYW5uYS5mZWFseUBu
ZXdjYXN0bGUuZWR1LmF1LiYjeEQ7TWF0ZXJuaXR5IENhcmUgU2VydmljZXMsIFRoZSBQb3J0IE1h
Y3F1YXJpZSBCYXNlIEhvc3BpdGFsLCBQb3J0IE1hY3F1YXJpZSwgTlNXLCBBdXN0cmFsaWEuIHNo
YW5uYS5mZWFseUBuZXdjYXN0bGUuZWR1LmF1LiYjeEQ7RmFjdWx0eSBvZiBIZWFsdGggJmFtcDsg
TWVkaWNpbmUgU2Nob29sIG9mIE1lZGljaW5lICZhbXA7IFB1YmxpYyBIZWFsdGgsIFVuaXZlcnNp
dHkgb2YgTmV3Y2FzdGxlLCBDYWxsYWdoYW4sIE5TVywgQXVzdHJhbGlhLiYjeEQ7TW90aGVycyBh
bmQgQmFiaWVzIFJlc2VhcmNoIENlbnRyZSwgVW5pdmVyc2l0eSBvZiBOZXdjYXN0bGUsIFVuaXZl
cnNpdHkgRHJpdmUsIENhbGxhZ2hhbiwgMjMwOCwgTlNXLCBBdXN0cmFsaWEuJiN4RDtIdW50ZXIg
TWVkaWNhbCBSZXNlYXJjaCBJbnN0aXR1dGUsIE5ld2Nhc3RsZSwgTlNXLCBBdXN0cmFsaWEuJiN4
RDtTY2hvb2wgb2YgTnVyc2luZyAmYW1wOyBNaWR3aWZlcnkgVW5pdmVyc2l0eSBvZiBOZXdjYXN0
bGUsIFBvcnQgTWFjcXVhcmllIENhbXB1cywgUE8gQm94IDIxMCwgUG9ydCBNYWNxdWFyaWUsIDI0
NDQsIE5TVywgQXVzdHJhbGlhLiYjeEQ7Q2VudHJlIGZvciBNaWR3aWZlcnksIENoaWxkIGFuZCBG
YW1pbHkgSGVhbHRoLCBGYWN1bHR5IG9mIEhlYWx0aCwgVW5pdmVyc2l0eSBvZiBUZWNobm9sb2d5
IFN5ZG5leSwgUE8gQm94IDEyMywgQnJvYWR3YXksIFVsdGltbywgTlNXLCAyMDA3LCBBdXN0cmFs
aWEuJiN4RDtDZW50cmUgZm9yIENsaW5pY2FsIEVwaWRlbWlvbG9neSBhbmQgQmlvc3RhdGlzdGlj
cywgU2Nob29sIG9mIE1lZGljaW5lICZhbXA7IFB1YmxpYyBIZWFsdGgsIFVuaXZlcnNpdHkgb2Yg
TmV3Y2FzdGxlLCBDYWxsYWdoYW4sIE5TVywgQXVzdHJhbGlhLiYjeEQ7RGl2aXNpb24gb2YgTWVk
aWNpbmUsIEpvaG4gSHVudGVyIEhvc3BpdGFsLCBOZXdjYXN0bGUsIE5TVywgQXVzdHJhbGlhLjwv
YXV0aC1hZGRyZXNzPjx0aXRsZXM+PHRpdGxlPldlaWdoaW5nIGFzIGEgc3RhbmQtYWxvbmUgaW50
ZXJ2ZW50aW9uIGRvZXMgbm90IHJlZHVjZSBleGNlc3NpdmUgZ2VzdGF0aW9uYWwgd2VpZ2h0IGdh
aW4gY29tcGFyZWQgdG8gcm91dGluZSBhbnRlbmF0YWwgY2FyZTogYSBzeXN0ZW1hdGljIHJldmll
dyBhbmQgbWV0YS1hbmFseXNpcyBvZiByYW5kb21pc2VkIGNvbnRyb2xsZWQgdHJpYWxzPC90aXRs
ZT48c2Vjb25kYXJ5LXRpdGxlPkJNQyBQcmVnbmFuY3kgQ2hpbGRiaXJ0aDwvc2Vjb25kYXJ5LXRp
dGxlPjwvdGl0bGVzPjxwZXJpb2RpY2FsPjxmdWxsLXRpdGxlPkJNQyBQcmVnbmFuY3kgQ2hpbGRi
aXJ0aDwvZnVsbC10aXRsZT48L3BlcmlvZGljYWw+PHBhZ2VzPjM2PC9wYWdlcz48dm9sdW1lPjE3
PC92b2x1bWU+PG51bWJlcj4xPC9udW1iZXI+PGVkaXRpb24+MjAxNy8wMS8xODwvZWRpdGlvbj48
a2V5d29yZHM+PGtleXdvcmQ+KkJvZHkgTWFzcyBJbmRleDwva2V5d29yZD48a2V5d29yZD5EaXJl
Y3RpdmUgQ291bnNlbGluZy8qbWV0aG9kczwva2V5d29yZD48a2V5d29yZD5GZW1hbGU8L2tleXdv
cmQ+PGtleXdvcmQ+SHVtYW5zPC9rZXl3b3JkPjxrZXl3b3JkPlByZWduYW5jeTwva2V5d29yZD48
a2V5d29yZD5QcmVuYXRhbCBDYXJlLyptZXRob2RzPC9rZXl3b3JkPjxrZXl3b3JkPipSYW5kb21p
emVkIENvbnRyb2xsZWQgVHJpYWxzIGFzIFRvcGljPC9rZXl3b3JkPjxrZXl3b3JkPldlaWdodCBH
YWluLypwaHlzaW9sb2d5PC9rZXl3b3JkPjxrZXl3b3JkPipBbnRlbmF0YWwgY2FyZTwva2V5d29y
ZD48a2V5d29yZD4qR2VzdGF0aW9uPC9rZXl3b3JkPjxrZXl3b3JkPipQcmVnbmFuY3k8L2tleXdv
cmQ+PGtleXdvcmQ+KldlaWdoaW5nPC9rZXl3b3JkPjxrZXl3b3JkPipXZWlnaHQgZ2Fpbjwva2V5
d29yZD48L2tleXdvcmRzPjxkYXRlcz48eWVhcj4yMDE3PC95ZWFyPjxwdWItZGF0ZXM+PGRhdGU+
SmFuIDE3PC9kYXRlPjwvcHViLWRhdGVzPjwvZGF0ZXM+PGlzYm4+MTQ3MS0yMzkzIChFbGVjdHJv
bmljKSYjeEQ7MTQ3MS0yMzkzIChMaW5raW5nKTwvaXNibj48YWNjZXNzaW9uLW51bT4yODA5NTgy
MTwvYWNjZXNzaW9uLW51bT48dXJscz48cmVsYXRlZC11cmxzPjx1cmw+aHR0cHM6Ly93d3cubmNi
aS5ubG0ubmloLmdvdi9wdWJtZWQvMjgwOTU4MjE8L3VybD48L3JlbGF0ZWQtdXJscz48L3VybHM+
PGN1c3RvbTI+UE1DNTI0MDQyMzwvY3VzdG9tMj48ZWxlY3Ryb25pYy1yZXNvdXJjZS1udW0+MTAu
MTE4Ni9zMTI4ODQtMDE2LTEyMDctMjwvZWxlY3Ryb25pYy1yZXNvdXJjZS1udW0+PC9yZWNvcmQ+
PC9DaXRlPjwvRW5kTm90ZT5=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382</w:t>
            </w:r>
            <w:r w:rsidR="00774750">
              <w:fldChar w:fldCharType="end"/>
            </w:r>
          </w:p>
          <w:p w14:paraId="277EF346" w14:textId="13BF6B75" w:rsidR="005629DA" w:rsidRDefault="005629DA" w:rsidP="00C159F9">
            <w:r>
              <w:t>SLR</w:t>
            </w:r>
          </w:p>
        </w:tc>
        <w:tc>
          <w:tcPr>
            <w:tcW w:w="1701" w:type="dxa"/>
          </w:tcPr>
          <w:p w14:paraId="4C47828B" w14:textId="25C2BE0A" w:rsidR="005629DA" w:rsidRDefault="005629DA" w:rsidP="00B60FFF">
            <w:r>
              <w:t>2 RCTs</w:t>
            </w:r>
          </w:p>
        </w:tc>
        <w:tc>
          <w:tcPr>
            <w:tcW w:w="4252" w:type="dxa"/>
          </w:tcPr>
          <w:p w14:paraId="54B7ED4B" w14:textId="77777777" w:rsidR="005629DA" w:rsidRDefault="005629DA" w:rsidP="00CE3FD0">
            <w:r w:rsidRPr="005629DA">
              <w:rPr>
                <w:b/>
              </w:rPr>
              <w:t>Aim</w:t>
            </w:r>
            <w:r>
              <w:t>: T</w:t>
            </w:r>
            <w:r w:rsidRPr="005629DA">
              <w:t xml:space="preserve">o test if routine weighing as a stand-alone intervention can reduce total pregnancy weight gain and, in particular, excessive gestational weight gain. </w:t>
            </w:r>
          </w:p>
          <w:p w14:paraId="6E67FE96" w14:textId="02F901B2" w:rsidR="005629DA" w:rsidRPr="00D54FD8" w:rsidRDefault="005629DA" w:rsidP="00CE3FD0">
            <w:pPr>
              <w:rPr>
                <w:b/>
              </w:rPr>
            </w:pPr>
            <w:r w:rsidRPr="005629DA">
              <w:rPr>
                <w:b/>
              </w:rPr>
              <w:t>Methods</w:t>
            </w:r>
            <w:r w:rsidRPr="005629DA">
              <w:t xml:space="preserve">: A systematic review and meta-analysis of randomised controlled trials (RCTs) was conducted between November 2014 and January 2016, and reported using the Preferred Reporting Items for Systematic Reviews and Meta-Analyses. Seven databases were searched. A priori eligibility criteria were applied to published literature by at least two independent reviewers. Studies considered methodologically rigorous, as per the Academy of Nutrition and Dietetics Quality Criteria Checklist for Primary Research, were included. Meta-analysis was conducted using fixed-effects models. </w:t>
            </w:r>
          </w:p>
        </w:tc>
        <w:tc>
          <w:tcPr>
            <w:tcW w:w="4394" w:type="dxa"/>
          </w:tcPr>
          <w:p w14:paraId="2EBF46F2" w14:textId="77777777" w:rsidR="005629DA" w:rsidRDefault="00C1369C" w:rsidP="005629DA">
            <w:r>
              <w:t>Intervention versus control:</w:t>
            </w:r>
          </w:p>
          <w:p w14:paraId="5ED00931" w14:textId="77777777" w:rsidR="00C1369C" w:rsidRDefault="00C1369C" w:rsidP="005629DA">
            <w:r>
              <w:t>Gestational weight gain (kg/week): WMD -0.00; 95%CI -0.03 to 0.02</w:t>
            </w:r>
          </w:p>
          <w:p w14:paraId="6DFD78E3" w14:textId="77777777" w:rsidR="00C1369C" w:rsidRDefault="00C1369C" w:rsidP="005629DA">
            <w:r>
              <w:t>Weight gain exceeding IOM guidelines:</w:t>
            </w:r>
          </w:p>
          <w:p w14:paraId="770A305B" w14:textId="77777777" w:rsidR="00C1369C" w:rsidRDefault="00C1369C" w:rsidP="00C1369C">
            <w:pPr>
              <w:pStyle w:val="bullet"/>
            </w:pPr>
            <w:r>
              <w:t>BMI &lt;18.5: OR 1.50; 95%CI 0.14 to 16.54</w:t>
            </w:r>
          </w:p>
          <w:p w14:paraId="179CD1C5" w14:textId="77777777" w:rsidR="00C1369C" w:rsidRDefault="00C1369C" w:rsidP="00C1369C">
            <w:pPr>
              <w:pStyle w:val="bullet"/>
            </w:pPr>
            <w:r>
              <w:t>BMI 18.5 to 24.9: OR 0.72; 95%CI 0.48 to 1.09</w:t>
            </w:r>
          </w:p>
          <w:p w14:paraId="7FC668F4" w14:textId="77777777" w:rsidR="00C1369C" w:rsidRDefault="00C1369C" w:rsidP="00C1369C">
            <w:pPr>
              <w:pStyle w:val="bullet"/>
            </w:pPr>
            <w:r>
              <w:t>BMI 25 to 29.9: OR 0.85; 95%CI 0.45 to 1.62</w:t>
            </w:r>
          </w:p>
          <w:p w14:paraId="269EB682" w14:textId="3DED1EE8" w:rsidR="00C1369C" w:rsidRPr="005629DA" w:rsidRDefault="00C1369C" w:rsidP="00C1369C">
            <w:pPr>
              <w:pStyle w:val="bullet"/>
            </w:pPr>
            <w:r>
              <w:t>BMI &gt;30: OR 1.60; 95%CI 0.72 to 3.54</w:t>
            </w:r>
          </w:p>
        </w:tc>
        <w:tc>
          <w:tcPr>
            <w:tcW w:w="2411" w:type="dxa"/>
          </w:tcPr>
          <w:p w14:paraId="381937E4" w14:textId="75249A86" w:rsidR="005629DA" w:rsidRPr="005629DA" w:rsidRDefault="00D637F5" w:rsidP="00C1369C">
            <w:r>
              <w:t xml:space="preserve">The RCTs </w:t>
            </w:r>
            <w:r w:rsidR="00C1369C">
              <w:t>assessed different interventions (clinician weighing versus self-weighing).</w:t>
            </w:r>
          </w:p>
        </w:tc>
      </w:tr>
    </w:tbl>
    <w:p w14:paraId="482FB044" w14:textId="1E1A8D14" w:rsidR="005629DA" w:rsidRDefault="009C163D" w:rsidP="00932C6D">
      <w:pPr>
        <w:pStyle w:val="TableName"/>
      </w:pPr>
      <w:bookmarkStart w:id="194" w:name="_Toc40956676"/>
      <w:r>
        <w:t xml:space="preserve">Q7 </w:t>
      </w:r>
      <w:r w:rsidR="005629DA">
        <w:t>Regular weighing and advice on weight gain versus usual care — RCTs</w:t>
      </w:r>
      <w:bookmarkEnd w:id="194"/>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8: Q7 Regular weighing and advice on weight gain versus usual care — RCTs"/>
      </w:tblPr>
      <w:tblGrid>
        <w:gridCol w:w="1418"/>
        <w:gridCol w:w="1701"/>
        <w:gridCol w:w="5393"/>
        <w:gridCol w:w="5664"/>
      </w:tblGrid>
      <w:tr w:rsidR="005629DA" w:rsidRPr="00F350A6" w14:paraId="76B060BC" w14:textId="77777777" w:rsidTr="00555C38">
        <w:trPr>
          <w:cantSplit/>
          <w:tblHeader/>
        </w:trPr>
        <w:tc>
          <w:tcPr>
            <w:tcW w:w="1418" w:type="dxa"/>
          </w:tcPr>
          <w:p w14:paraId="6889EA35" w14:textId="77777777" w:rsidR="005629DA" w:rsidRPr="00F350A6" w:rsidRDefault="005629DA" w:rsidP="00555C38">
            <w:pPr>
              <w:keepNext/>
              <w:rPr>
                <w:b/>
              </w:rPr>
            </w:pPr>
            <w:r>
              <w:rPr>
                <w:b/>
              </w:rPr>
              <w:t>Study ref</w:t>
            </w:r>
          </w:p>
        </w:tc>
        <w:tc>
          <w:tcPr>
            <w:tcW w:w="1701" w:type="dxa"/>
          </w:tcPr>
          <w:p w14:paraId="0DEAD45D" w14:textId="77777777" w:rsidR="005629DA" w:rsidRPr="00F350A6" w:rsidRDefault="005629DA" w:rsidP="00555C38">
            <w:pPr>
              <w:keepNext/>
              <w:rPr>
                <w:b/>
              </w:rPr>
            </w:pPr>
            <w:r>
              <w:rPr>
                <w:b/>
              </w:rPr>
              <w:t>N</w:t>
            </w:r>
          </w:p>
        </w:tc>
        <w:tc>
          <w:tcPr>
            <w:tcW w:w="5393" w:type="dxa"/>
          </w:tcPr>
          <w:p w14:paraId="04E1B6DA" w14:textId="77777777" w:rsidR="005629DA" w:rsidRPr="00F350A6" w:rsidRDefault="005629DA" w:rsidP="00555C38">
            <w:pPr>
              <w:keepNext/>
              <w:rPr>
                <w:b/>
              </w:rPr>
            </w:pPr>
            <w:r>
              <w:rPr>
                <w:b/>
              </w:rPr>
              <w:t>Aim/</w:t>
            </w:r>
            <w:r w:rsidRPr="00F350A6">
              <w:rPr>
                <w:b/>
              </w:rPr>
              <w:t>population</w:t>
            </w:r>
            <w:r>
              <w:rPr>
                <w:b/>
              </w:rPr>
              <w:t>/intervention</w:t>
            </w:r>
          </w:p>
        </w:tc>
        <w:tc>
          <w:tcPr>
            <w:tcW w:w="5664" w:type="dxa"/>
          </w:tcPr>
          <w:p w14:paraId="62306C1C" w14:textId="77777777" w:rsidR="005629DA" w:rsidRPr="00F350A6" w:rsidRDefault="005629DA" w:rsidP="00555C38">
            <w:pPr>
              <w:keepNext/>
              <w:rPr>
                <w:b/>
              </w:rPr>
            </w:pPr>
            <w:r>
              <w:rPr>
                <w:b/>
              </w:rPr>
              <w:t>Outcomes</w:t>
            </w:r>
          </w:p>
        </w:tc>
      </w:tr>
      <w:tr w:rsidR="00B60FFF" w:rsidRPr="00B60FFF" w14:paraId="4A3E443D" w14:textId="77777777" w:rsidTr="001B0BEC">
        <w:trPr>
          <w:cantSplit/>
        </w:trPr>
        <w:tc>
          <w:tcPr>
            <w:tcW w:w="1418" w:type="dxa"/>
          </w:tcPr>
          <w:p w14:paraId="4B32EB75" w14:textId="73992F95" w:rsidR="00B60FFF" w:rsidRDefault="00B60FFF" w:rsidP="00C159F9">
            <w:r>
              <w:t xml:space="preserve">Brownfoot et al </w:t>
            </w:r>
            <w:r w:rsidR="00CC0E34">
              <w:t>2016</w:t>
            </w:r>
            <w:r w:rsidR="00774750">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 </w:instrText>
            </w:r>
            <w:r w:rsidR="001A2F28">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383</w:t>
            </w:r>
            <w:r w:rsidR="00774750">
              <w:fldChar w:fldCharType="end"/>
            </w:r>
          </w:p>
          <w:p w14:paraId="4850667E" w14:textId="7B7FB906" w:rsidR="00987F8B" w:rsidRPr="00B60FFF" w:rsidRDefault="00987F8B" w:rsidP="00C159F9">
            <w:r>
              <w:t>Australia</w:t>
            </w:r>
          </w:p>
        </w:tc>
        <w:tc>
          <w:tcPr>
            <w:tcW w:w="1701" w:type="dxa"/>
          </w:tcPr>
          <w:p w14:paraId="19E2FA8B" w14:textId="51FD3ABB" w:rsidR="00B60FFF" w:rsidRDefault="00B60FFF" w:rsidP="00B60FFF">
            <w:r>
              <w:t xml:space="preserve">Intervention </w:t>
            </w:r>
            <w:r w:rsidR="00C159F9">
              <w:t>355</w:t>
            </w:r>
          </w:p>
          <w:p w14:paraId="4F78BDFF" w14:textId="25CA5EA9" w:rsidR="00B60FFF" w:rsidRPr="00B60FFF" w:rsidRDefault="00B60FFF" w:rsidP="00C159F9">
            <w:r>
              <w:t xml:space="preserve">Control </w:t>
            </w:r>
            <w:r w:rsidR="00C159F9">
              <w:t>288</w:t>
            </w:r>
          </w:p>
        </w:tc>
        <w:tc>
          <w:tcPr>
            <w:tcW w:w="5393" w:type="dxa"/>
          </w:tcPr>
          <w:p w14:paraId="354D0C4F" w14:textId="77777777" w:rsidR="00B60FFF" w:rsidRPr="00403334" w:rsidRDefault="00B60FFF" w:rsidP="00555C38">
            <w:pPr>
              <w:rPr>
                <w:rFonts w:eastAsiaTheme="minorHAnsi"/>
              </w:rPr>
            </w:pPr>
            <w:r w:rsidRPr="00D54FD8">
              <w:rPr>
                <w:rFonts w:eastAsiaTheme="minorHAnsi"/>
                <w:b/>
              </w:rPr>
              <w:t>Aim</w:t>
            </w:r>
            <w:r w:rsidRPr="00403334">
              <w:rPr>
                <w:rFonts w:eastAsiaTheme="minorHAnsi"/>
              </w:rPr>
              <w:t xml:space="preserve">: To assess whether routinely weighing women at each antenatal visit leads to a difference in gestational weight gain and weight gain within the </w:t>
            </w:r>
            <w:r>
              <w:rPr>
                <w:rFonts w:eastAsiaTheme="minorHAnsi"/>
              </w:rPr>
              <w:t>IOM</w:t>
            </w:r>
            <w:r w:rsidRPr="00403334">
              <w:rPr>
                <w:rFonts w:eastAsiaTheme="minorHAnsi"/>
              </w:rPr>
              <w:t xml:space="preserve"> recommendation</w:t>
            </w:r>
            <w:r>
              <w:rPr>
                <w:rFonts w:eastAsiaTheme="minorHAnsi"/>
              </w:rPr>
              <w:t>s</w:t>
            </w:r>
            <w:r w:rsidRPr="00403334">
              <w:rPr>
                <w:rFonts w:eastAsiaTheme="minorHAnsi"/>
              </w:rPr>
              <w:t>.</w:t>
            </w:r>
          </w:p>
          <w:p w14:paraId="48834A9F" w14:textId="77777777" w:rsidR="00B60FFF" w:rsidRPr="00403334" w:rsidRDefault="00B60FFF" w:rsidP="00555C38">
            <w:pPr>
              <w:rPr>
                <w:rFonts w:eastAsiaTheme="minorHAnsi"/>
              </w:rPr>
            </w:pPr>
            <w:r w:rsidRPr="00D54FD8">
              <w:rPr>
                <w:rFonts w:eastAsiaTheme="minorHAnsi"/>
                <w:b/>
              </w:rPr>
              <w:t>Population</w:t>
            </w:r>
            <w:r>
              <w:rPr>
                <w:rFonts w:eastAsiaTheme="minorHAnsi"/>
              </w:rPr>
              <w:t>:</w:t>
            </w:r>
            <w:r w:rsidRPr="00403334">
              <w:rPr>
                <w:rFonts w:eastAsiaTheme="minorHAnsi"/>
              </w:rPr>
              <w:t xml:space="preserve"> Healthy women were enrolled during their antenatal booking visit if they were between 18 and 45 years of age, were &lt;21 weeks’ gestation with a singleton pregnancy.</w:t>
            </w:r>
          </w:p>
          <w:p w14:paraId="661DD1C0" w14:textId="7FB9D5A6" w:rsidR="00B60FFF" w:rsidRPr="00710F2C" w:rsidRDefault="00B60FFF" w:rsidP="002C3739">
            <w:pPr>
              <w:rPr>
                <w:rFonts w:eastAsiaTheme="minorHAnsi"/>
              </w:rPr>
            </w:pPr>
            <w:r w:rsidRPr="00D54FD8">
              <w:rPr>
                <w:rFonts w:eastAsiaTheme="minorHAnsi"/>
                <w:b/>
              </w:rPr>
              <w:t>Intervention</w:t>
            </w:r>
            <w:r>
              <w:rPr>
                <w:rFonts w:eastAsiaTheme="minorHAnsi"/>
              </w:rPr>
              <w:t>:</w:t>
            </w:r>
            <w:r w:rsidRPr="00403334">
              <w:rPr>
                <w:rFonts w:eastAsiaTheme="minorHAnsi"/>
              </w:rPr>
              <w:t xml:space="preserve"> The intervention was weighing at each antenatal clinic appointment followed by counselling by their treating clinician according to IOM gestational weight gain guidelines. The control group</w:t>
            </w:r>
            <w:r>
              <w:rPr>
                <w:rFonts w:eastAsiaTheme="minorHAnsi"/>
              </w:rPr>
              <w:t xml:space="preserve"> </w:t>
            </w:r>
            <w:r w:rsidRPr="00403334">
              <w:rPr>
                <w:rFonts w:eastAsiaTheme="minorHAnsi"/>
              </w:rPr>
              <w:t>had standard antenatal care comprising recording weight at booking and then at 36 weeks. Primary analysis was by intention</w:t>
            </w:r>
            <w:r>
              <w:rPr>
                <w:rFonts w:eastAsiaTheme="minorHAnsi"/>
              </w:rPr>
              <w:t>-to-</w:t>
            </w:r>
            <w:r w:rsidRPr="00403334">
              <w:rPr>
                <w:rFonts w:eastAsiaTheme="minorHAnsi"/>
              </w:rPr>
              <w:t>treat.</w:t>
            </w:r>
          </w:p>
        </w:tc>
        <w:tc>
          <w:tcPr>
            <w:tcW w:w="5664" w:type="dxa"/>
          </w:tcPr>
          <w:p w14:paraId="57C2E9CC" w14:textId="54E8DC12" w:rsidR="00531391" w:rsidRPr="00CB3A67" w:rsidRDefault="00CB3A67" w:rsidP="00555C38">
            <w:pPr>
              <w:rPr>
                <w:rFonts w:eastAsiaTheme="minorHAnsi"/>
                <w:i/>
              </w:rPr>
            </w:pPr>
            <w:r w:rsidRPr="00CB3A67">
              <w:rPr>
                <w:rFonts w:eastAsiaTheme="minorHAnsi"/>
                <w:i/>
              </w:rPr>
              <w:t>Intervention versus control</w:t>
            </w:r>
          </w:p>
          <w:p w14:paraId="0DAB566C" w14:textId="3EB18D36" w:rsidR="0067088A" w:rsidRDefault="0067088A" w:rsidP="00CB3A67">
            <w:r>
              <w:rPr>
                <w:rFonts w:eastAsiaTheme="minorHAnsi"/>
              </w:rPr>
              <w:t>Weekly</w:t>
            </w:r>
            <w:r w:rsidR="00B60FFF" w:rsidRPr="00EC383E">
              <w:rPr>
                <w:rFonts w:eastAsiaTheme="minorHAnsi"/>
              </w:rPr>
              <w:t xml:space="preserve"> weight gain</w:t>
            </w:r>
            <w:r w:rsidR="00CB3A67">
              <w:rPr>
                <w:rFonts w:eastAsiaTheme="minorHAnsi"/>
              </w:rPr>
              <w:t xml:space="preserve"> (kg per week)</w:t>
            </w:r>
            <w:r w:rsidR="00CB3A67">
              <w:t>:</w:t>
            </w:r>
          </w:p>
          <w:p w14:paraId="7859AC71" w14:textId="6AA107B5" w:rsidR="00CB3A67" w:rsidRDefault="00CB3A67" w:rsidP="00793030">
            <w:pPr>
              <w:pStyle w:val="bullet"/>
            </w:pPr>
            <w:r>
              <w:t>Overall: 0.54±0.28 (n=355) vs 0.53±0.24 (n=288)</w:t>
            </w:r>
          </w:p>
          <w:p w14:paraId="3C831E05" w14:textId="77777777" w:rsidR="00CB3A67" w:rsidRDefault="00CB3A67" w:rsidP="00793030">
            <w:pPr>
              <w:pStyle w:val="bullet"/>
            </w:pPr>
            <w:r>
              <w:t>BMI &lt;18.5: 0.68±0.22 (n=5) vs 0.71±0.21 (n=6)</w:t>
            </w:r>
          </w:p>
          <w:p w14:paraId="23CB99E4" w14:textId="77777777" w:rsidR="00CB3A67" w:rsidRDefault="00CB3A67" w:rsidP="00793030">
            <w:pPr>
              <w:pStyle w:val="bullet"/>
            </w:pPr>
            <w:r>
              <w:t>BMI 18.5 to 24.9: 0.56±0.26 (n=192) vs 0.54±0.22 (n=152)</w:t>
            </w:r>
          </w:p>
          <w:p w14:paraId="025363F8" w14:textId="6993CDD8" w:rsidR="00CB3A67" w:rsidRDefault="00CB3A67" w:rsidP="00793030">
            <w:pPr>
              <w:pStyle w:val="bullet"/>
            </w:pPr>
            <w:r>
              <w:t>BMI 25 to 19.9: 0.53±0.3 (n=1</w:t>
            </w:r>
            <w:r w:rsidR="00553604">
              <w:t>04</w:t>
            </w:r>
            <w:r>
              <w:t>) vs 0,53±0,24 (n=</w:t>
            </w:r>
            <w:r w:rsidR="00CC1C23">
              <w:t>93</w:t>
            </w:r>
            <w:r>
              <w:t>)</w:t>
            </w:r>
          </w:p>
          <w:p w14:paraId="1622B9C6" w14:textId="05523B10" w:rsidR="00CB3A67" w:rsidRDefault="00CB3A67" w:rsidP="00793030">
            <w:pPr>
              <w:pStyle w:val="bullet"/>
            </w:pPr>
            <w:r>
              <w:t>BMI &gt;30: 0.48±0.26 (n=</w:t>
            </w:r>
            <w:r w:rsidR="0065000D">
              <w:t>56</w:t>
            </w:r>
            <w:r>
              <w:t>) vs 0.42±0.28 (n=</w:t>
            </w:r>
            <w:r w:rsidR="0065000D">
              <w:t>37</w:t>
            </w:r>
            <w:r>
              <w:t>)</w:t>
            </w:r>
          </w:p>
          <w:p w14:paraId="624B5962" w14:textId="77777777" w:rsidR="0067088A" w:rsidRDefault="0067088A" w:rsidP="00555C38">
            <w:pPr>
              <w:rPr>
                <w:rFonts w:eastAsiaTheme="minorHAnsi"/>
              </w:rPr>
            </w:pPr>
            <w:r>
              <w:rPr>
                <w:rFonts w:eastAsiaTheme="minorHAnsi"/>
              </w:rPr>
              <w:t>Weight gain exceeding IOM guidelines:</w:t>
            </w:r>
            <w:r w:rsidR="00B60FFF">
              <w:rPr>
                <w:rFonts w:eastAsiaTheme="minorHAnsi"/>
              </w:rPr>
              <w:t xml:space="preserve"> </w:t>
            </w:r>
          </w:p>
          <w:p w14:paraId="2A7785F0" w14:textId="5FAF410E" w:rsidR="00B60FFF" w:rsidRDefault="00F57426" w:rsidP="0067088A">
            <w:pPr>
              <w:pStyle w:val="bullet"/>
            </w:pPr>
            <w:r>
              <w:t>Overall</w:t>
            </w:r>
            <w:r w:rsidR="00B60FFF" w:rsidRPr="00EC383E">
              <w:t xml:space="preserve">: </w:t>
            </w:r>
            <w:r w:rsidR="00DC148F">
              <w:t>267/355 vs 204/288</w:t>
            </w:r>
          </w:p>
          <w:p w14:paraId="465A0C72" w14:textId="2C1B3202" w:rsidR="00B60FFF" w:rsidRDefault="0067088A" w:rsidP="00555C38">
            <w:pPr>
              <w:pStyle w:val="bullet"/>
            </w:pPr>
            <w:r>
              <w:t xml:space="preserve">BMI </w:t>
            </w:r>
            <w:r w:rsidR="00B60FFF">
              <w:t xml:space="preserve">&lt;18.5: </w:t>
            </w:r>
            <w:r w:rsidR="00DC148F">
              <w:t>3/5 vs 3/6</w:t>
            </w:r>
          </w:p>
          <w:p w14:paraId="079C5D77" w14:textId="664A56EA" w:rsidR="00B60FFF" w:rsidRDefault="0067088A" w:rsidP="00555C38">
            <w:pPr>
              <w:pStyle w:val="bullet"/>
            </w:pPr>
            <w:r>
              <w:t xml:space="preserve">BMI </w:t>
            </w:r>
            <w:r w:rsidR="00B60FFF">
              <w:t xml:space="preserve">18.5–24.9: </w:t>
            </w:r>
            <w:r w:rsidR="00DC148F">
              <w:t>131/190 vs 96/152</w:t>
            </w:r>
          </w:p>
          <w:p w14:paraId="14BA4EDD" w14:textId="76EA3EF2" w:rsidR="00B60FFF" w:rsidRDefault="0067088A" w:rsidP="00555C38">
            <w:pPr>
              <w:pStyle w:val="bullet"/>
            </w:pPr>
            <w:r>
              <w:t xml:space="preserve">BMI </w:t>
            </w:r>
            <w:r w:rsidR="00B60FFF">
              <w:t xml:space="preserve">24.9–30: </w:t>
            </w:r>
            <w:r w:rsidR="00DC148F">
              <w:t>87/104 vs 77/93</w:t>
            </w:r>
          </w:p>
          <w:p w14:paraId="2650F8F5" w14:textId="77777777" w:rsidR="00B60FFF" w:rsidRDefault="0067088A" w:rsidP="00B60FFF">
            <w:pPr>
              <w:pStyle w:val="bullet"/>
            </w:pPr>
            <w:r>
              <w:t xml:space="preserve">BMI </w:t>
            </w:r>
            <w:r w:rsidR="00B60FFF">
              <w:t xml:space="preserve">&gt;30: </w:t>
            </w:r>
            <w:r w:rsidR="00DC148F">
              <w:t>4</w:t>
            </w:r>
            <w:r w:rsidR="0065000D">
              <w:t>6</w:t>
            </w:r>
            <w:r w:rsidR="00DC148F">
              <w:t xml:space="preserve">/56 vs </w:t>
            </w:r>
            <w:r w:rsidR="0065000D">
              <w:t>28/3</w:t>
            </w:r>
            <w:r w:rsidR="00DC148F">
              <w:t>7</w:t>
            </w:r>
          </w:p>
          <w:p w14:paraId="66F1CFDA" w14:textId="77777777" w:rsidR="00865B7F" w:rsidRDefault="00865B7F" w:rsidP="00865B7F">
            <w:r>
              <w:t>Intervention vs control:</w:t>
            </w:r>
          </w:p>
          <w:p w14:paraId="2104A518" w14:textId="646B13CE" w:rsidR="00865B7F" w:rsidRPr="0065000D" w:rsidRDefault="00865B7F" w:rsidP="00B60FFF">
            <w:pPr>
              <w:pStyle w:val="bullet"/>
            </w:pPr>
            <w:r>
              <w:t>Gestational hy</w:t>
            </w:r>
            <w:r w:rsidR="00194A25">
              <w:t>pertension/pre-eclampsia: 18/386</w:t>
            </w:r>
            <w:r>
              <w:t xml:space="preserve"> vs 16/288</w:t>
            </w:r>
          </w:p>
        </w:tc>
      </w:tr>
      <w:tr w:rsidR="00B60FFF" w:rsidRPr="00B60FFF" w14:paraId="58ECCFDC" w14:textId="77777777" w:rsidTr="001B0BEC">
        <w:trPr>
          <w:cantSplit/>
        </w:trPr>
        <w:tc>
          <w:tcPr>
            <w:tcW w:w="1418" w:type="dxa"/>
          </w:tcPr>
          <w:p w14:paraId="64A79B63" w14:textId="459F4A60" w:rsidR="00B60FFF" w:rsidRDefault="00B60FFF" w:rsidP="00B60FFF">
            <w:r>
              <w:t>Brownfoot et al 2016</w:t>
            </w:r>
            <w:r w:rsidR="00774750">
              <w:fldChar w:fldCharType="begin"/>
            </w:r>
            <w:r w:rsidR="001A2F28">
              <w:instrText xml:space="preserve"> ADDIN EN.CITE &lt;EndNote&gt;&lt;Cite&gt;&lt;Author&gt;Brownfoot&lt;/Author&gt;&lt;Year&gt;2016&lt;/Year&gt;&lt;RecNum&gt;1701&lt;/RecNum&gt;&lt;DisplayText&gt;&lt;style face="superscript" font="Trebuchet MS" size="9"&gt;385&lt;/style&gt;&lt;/DisplayText&gt;&lt;record&gt;&lt;rec-number&gt;1701&lt;/rec-number&gt;&lt;foreign-keys&gt;&lt;key app="EN" db-id="exvasrfx2dtraoesasxp2szsxa2df502592x" timestamp="1581916923"&gt;1701&lt;/key&gt;&lt;key app="ENWeb" db-id=""&gt;0&lt;/key&gt;&lt;/foreign-keys&gt;&lt;ref-type name="Journal Article"&gt;17&lt;/ref-type&gt;&lt;contributors&gt;&lt;authors&gt;&lt;author&gt;Brownfoot, F. C.&lt;/author&gt;&lt;author&gt;Davey, M. A.&lt;/author&gt;&lt;author&gt;Kornman, L.&lt;/author&gt;&lt;/authors&gt;&lt;/contributors&gt;&lt;auth-address&gt;Department of Obstetrics and Gynaecology, Royal Women&amp;apos;s Hospital, The University of Melbourne, Parkville, Vic., Australia.&amp;#xD;Judith Lumley Centre, Science Health and Engineering College, La Trobe University, Melbourne, Vic., Australia.&lt;/auth-address&gt;&lt;titles&gt;&lt;title&gt;Women&amp;apos;s opinions on being weighed at routine antenatal visits&lt;/title&gt;&lt;secondary-title&gt;BJOG&lt;/secondary-title&gt;&lt;/titles&gt;&lt;periodical&gt;&lt;full-title&gt;BJOG&lt;/full-title&gt;&lt;/periodical&gt;&lt;pages&gt;263-70&lt;/pages&gt;&lt;volume&gt;123&lt;/volume&gt;&lt;number&gt;2&lt;/number&gt;&lt;edition&gt;2016/02/04&lt;/edition&gt;&lt;keywords&gt;&lt;keyword&gt;Adult&lt;/keyword&gt;&lt;keyword&gt;Anxiety/*epidemiology&lt;/keyword&gt;&lt;keyword&gt;Australia/epidemiology&lt;/keyword&gt;&lt;keyword&gt;Female&lt;/keyword&gt;&lt;keyword&gt;Humans&lt;/keyword&gt;&lt;keyword&gt;Patient Satisfaction/*statistics &amp;amp; numerical data&lt;/keyword&gt;&lt;keyword&gt;Pregnancy&lt;/keyword&gt;&lt;keyword&gt;Pregnant Women/*psychology&lt;/keyword&gt;&lt;keyword&gt;Prenatal Care/*methods&lt;/keyword&gt;&lt;keyword&gt;Surveys and Questionnaires&lt;/keyword&gt;&lt;keyword&gt;Weight Gain/*physiology&lt;/keyword&gt;&lt;keyword&gt;Gestational weight gain&lt;/keyword&gt;&lt;keyword&gt;weighing&lt;/keyword&gt;&lt;keyword&gt;women&amp;apos;s opinions&lt;/keyword&gt;&lt;/keywords&gt;&lt;dates&gt;&lt;year&gt;2016&lt;/year&gt;&lt;pub-dates&gt;&lt;date&gt;Jan&lt;/date&gt;&lt;/pub-dates&gt;&lt;/dates&gt;&lt;isbn&gt;1471-0528 (Electronic)&amp;#xD;1470-0328 (Linking)&lt;/isbn&gt;&lt;accession-num&gt;26841341&lt;/accession-num&gt;&lt;urls&gt;&lt;related-urls&gt;&lt;url&gt;https://www.ncbi.nlm.nih.gov/pubmed/26841341&lt;/url&gt;&lt;/related-urls&gt;&lt;/urls&gt;&lt;electronic-resource-num&gt;10.1111/1471-0528.13790&lt;/electronic-resource-num&gt;&lt;/record&gt;&lt;/Cite&gt;&lt;/EndNote&gt;</w:instrText>
            </w:r>
            <w:r w:rsidR="00774750">
              <w:fldChar w:fldCharType="separate"/>
            </w:r>
            <w:r w:rsidR="001A2F28" w:rsidRPr="001A2F28">
              <w:rPr>
                <w:noProof/>
                <w:vertAlign w:val="superscript"/>
              </w:rPr>
              <w:t>385</w:t>
            </w:r>
            <w:r w:rsidR="00774750">
              <w:fldChar w:fldCharType="end"/>
            </w:r>
          </w:p>
          <w:p w14:paraId="3F9C112D" w14:textId="0D011CA1" w:rsidR="001B0BEC" w:rsidRDefault="001B0BEC" w:rsidP="00B60FFF">
            <w:r>
              <w:t>Australia</w:t>
            </w:r>
          </w:p>
        </w:tc>
        <w:tc>
          <w:tcPr>
            <w:tcW w:w="1701" w:type="dxa"/>
          </w:tcPr>
          <w:p w14:paraId="614BC316" w14:textId="6DEA0CFE" w:rsidR="00B60FFF" w:rsidRDefault="00987F8B" w:rsidP="00B60FFF">
            <w:r>
              <w:t>586</w:t>
            </w:r>
          </w:p>
        </w:tc>
        <w:tc>
          <w:tcPr>
            <w:tcW w:w="5393" w:type="dxa"/>
          </w:tcPr>
          <w:p w14:paraId="4BC5FF5A" w14:textId="77777777" w:rsidR="00B60FFF" w:rsidRPr="00403334" w:rsidRDefault="00B60FFF" w:rsidP="00B60FFF">
            <w:pPr>
              <w:rPr>
                <w:rFonts w:eastAsiaTheme="minorHAnsi"/>
              </w:rPr>
            </w:pPr>
            <w:r w:rsidRPr="00D54FD8">
              <w:rPr>
                <w:rFonts w:eastAsiaTheme="minorHAnsi"/>
                <w:b/>
              </w:rPr>
              <w:t>Aim</w:t>
            </w:r>
            <w:r w:rsidRPr="00403334">
              <w:rPr>
                <w:rFonts w:eastAsiaTheme="minorHAnsi"/>
              </w:rPr>
              <w:t xml:space="preserve">: To assess the opinions of pregnant women regarding their weight gain and to assess the level of satisfaction and anxiety provoked by being weighed in clinic. </w:t>
            </w:r>
          </w:p>
          <w:p w14:paraId="49E9A609" w14:textId="77777777" w:rsidR="00B60FFF" w:rsidRPr="00403334" w:rsidRDefault="00B60FFF" w:rsidP="00B60FFF">
            <w:pPr>
              <w:rPr>
                <w:rFonts w:eastAsiaTheme="minorHAnsi"/>
              </w:rPr>
            </w:pPr>
            <w:r w:rsidRPr="00D54FD8">
              <w:rPr>
                <w:rFonts w:eastAsiaTheme="minorHAnsi"/>
                <w:b/>
              </w:rPr>
              <w:t>Population</w:t>
            </w:r>
            <w:r w:rsidRPr="00403334">
              <w:rPr>
                <w:rFonts w:eastAsiaTheme="minorHAnsi"/>
              </w:rPr>
              <w:t>: In all, 782 healthy pregnant women participated in the randomised controlled trial and 586 responded to the questionnaire.</w:t>
            </w:r>
          </w:p>
          <w:p w14:paraId="23938156" w14:textId="77777777" w:rsidR="00B60FFF" w:rsidRPr="00403334" w:rsidRDefault="00B60FFF" w:rsidP="00B60FFF">
            <w:pPr>
              <w:rPr>
                <w:rFonts w:eastAsiaTheme="minorHAnsi"/>
              </w:rPr>
            </w:pPr>
            <w:r w:rsidRPr="00D54FD8">
              <w:rPr>
                <w:rFonts w:eastAsiaTheme="minorHAnsi"/>
                <w:b/>
              </w:rPr>
              <w:t>Intervention</w:t>
            </w:r>
            <w:r w:rsidRPr="00403334">
              <w:rPr>
                <w:rFonts w:eastAsiaTheme="minorHAnsi"/>
              </w:rPr>
              <w:t>: Questionnaires were given to women participating in a randomised controlled trial comparing routine weighing in the antenatal clinic with standard care.</w:t>
            </w:r>
          </w:p>
          <w:p w14:paraId="328817BB" w14:textId="6CD58074" w:rsidR="00B60FFF" w:rsidRPr="00D54FD8" w:rsidRDefault="00B60FFF" w:rsidP="00B60FFF">
            <w:pPr>
              <w:rPr>
                <w:b/>
              </w:rPr>
            </w:pPr>
            <w:r w:rsidRPr="00403334">
              <w:rPr>
                <w:rFonts w:eastAsiaTheme="minorHAnsi"/>
              </w:rPr>
              <w:t>A questionnaire was offered to all participants at 36 weeks of gestation gauging their satisfaction with their weight gain during pregnancy. The intervention group was asked about their level of satisfaction and anxiety provoked by being weighed in clinic. The control group was asked whether they would have liked to be weighed in clinic. Both groups were questioned about the influences on their weight gain.</w:t>
            </w:r>
          </w:p>
        </w:tc>
        <w:tc>
          <w:tcPr>
            <w:tcW w:w="5664" w:type="dxa"/>
          </w:tcPr>
          <w:p w14:paraId="55F5D4A5" w14:textId="77777777" w:rsidR="00B60FFF" w:rsidRPr="00403334" w:rsidRDefault="00B60FFF" w:rsidP="00B60FFF">
            <w:pPr>
              <w:rPr>
                <w:rFonts w:eastAsiaTheme="minorHAnsi"/>
              </w:rPr>
            </w:pPr>
            <w:r w:rsidRPr="00403334">
              <w:rPr>
                <w:rFonts w:eastAsiaTheme="minorHAnsi"/>
              </w:rPr>
              <w:t xml:space="preserve">Women in both groups were satisfied with their weight gain during pregnancy. </w:t>
            </w:r>
            <w:r>
              <w:rPr>
                <w:rFonts w:eastAsiaTheme="minorHAnsi"/>
              </w:rPr>
              <w:t>O</w:t>
            </w:r>
            <w:r w:rsidRPr="00403334">
              <w:rPr>
                <w:rFonts w:eastAsiaTheme="minorHAnsi"/>
              </w:rPr>
              <w:t>f women in the intervention group</w:t>
            </w:r>
            <w:r>
              <w:rPr>
                <w:rFonts w:eastAsiaTheme="minorHAnsi"/>
              </w:rPr>
              <w:t>. 73%</w:t>
            </w:r>
            <w:r w:rsidRPr="00403334">
              <w:rPr>
                <w:rFonts w:eastAsiaTheme="minorHAnsi"/>
              </w:rPr>
              <w:t xml:space="preserve"> were very comfortable with being weighed in clinic. Approximately half of those in the control group would have favoured being weighed. Twenty-one percent of women said other people influenced their weight gain; mostly family members and two-thirds of them encouraged weight gain. Less than half of the women in the study used weighing scales at home.</w:t>
            </w:r>
          </w:p>
          <w:p w14:paraId="2A033AA0" w14:textId="52EBA471" w:rsidR="00B60FFF" w:rsidRPr="00EC383E" w:rsidRDefault="00B60FFF" w:rsidP="00B60FFF">
            <w:r w:rsidRPr="00403334">
              <w:rPr>
                <w:rFonts w:eastAsiaTheme="minorHAnsi"/>
              </w:rPr>
              <w:t>Women were satisfied with being weighed antenatally and it did not cause anxiety. Pregnant women accepted the re-introduction of weighing in the antenatal clinic.</w:t>
            </w:r>
          </w:p>
        </w:tc>
      </w:tr>
      <w:tr w:rsidR="00B60FFF" w:rsidRPr="00B60FFF" w14:paraId="23B9BB7B" w14:textId="77777777" w:rsidTr="00364DD2">
        <w:trPr>
          <w:cantSplit/>
        </w:trPr>
        <w:tc>
          <w:tcPr>
            <w:tcW w:w="1418" w:type="dxa"/>
          </w:tcPr>
          <w:p w14:paraId="11484E33" w14:textId="362D2472" w:rsidR="00B60FFF" w:rsidRDefault="00B60FFF" w:rsidP="00555C38">
            <w:r>
              <w:t>Daley et al 2015</w:t>
            </w:r>
            <w:r w:rsidR="00774750">
              <w:fldChar w:fldCharType="begin">
                <w:fldData xml:space="preserve">PEVuZE5vdGU+PENpdGU+PEF1dGhvcj5EYWxleTwvQXV0aG9yPjxZZWFyPjIwMTU8L1llYXI+PFJl
Y051bT4xNzAyPC9SZWNOdW0+PERpc3BsYXlUZXh0PjxzdHlsZSBmYWNlPSJzdXBlcnNjcmlwdCIg
Zm9udD0iVHJlYnVjaGV0IE1TIiBzaXplPSI5Ij4zODY8L3N0eWxlPjwvRGlzcGxheVRleHQ+PHJl
Y29yZD48cmVjLW51bWJlcj4xNzAyPC9yZWMtbnVtYmVyPjxmb3JlaWduLWtleXM+PGtleSBhcHA9
IkVOIiBkYi1pZD0iZXh2YXNyZngyZHRyYW9lc2FzeHAyc3pzeGEyZGY1MDI1OTJ4IiB0aW1lc3Rh
bXA9IjE1ODE5MTY5MzAiPjE3MDI8L2tleT48a2V5IGFwcD0iRU5XZWIiIGRiLWlkPSIiPjA8L2tl
eT48L2ZvcmVpZ24ta2V5cz48cmVmLXR5cGUgbmFtZT0iSm91cm5hbCBBcnRpY2xlIj4xNzwvcmVm
LXR5cGU+PGNvbnRyaWJ1dG9ycz48YXV0aG9ycz48YXV0aG9yPkRhbGV5LCBBLiBKLjwvYXV0aG9y
PjxhdXRob3I+Sm9sbHksIEsuPC9hdXRob3I+PGF1dGhvcj5KZWJiLCBTLiBBLjwvYXV0aG9yPjxh
dXRob3I+TGV3aXMsIEEuIEwuPC9hdXRob3I+PGF1dGhvcj5DbGlmZm9yZCwgUy48L2F1dGhvcj48
YXV0aG9yPlJvYWxmZSwgQS4gSy48L2F1dGhvcj48YXV0aG9yPktlbnlvbiwgUy48L2F1dGhvcj48
YXV0aG9yPkF2ZXlhcmQsIFAuPC9hdXRob3I+PC9hdXRob3JzPjwvY29udHJpYnV0b3JzPjxhdXRo
LWFkZHJlc3M+UHJpbWFyeSBDYXJlIENsaW5pY2FsIFNjaWVuY2VzLCBTY2hvb2wgb2YgSGVhbHRo
IGFuZCBQb3B1bGF0aW9uIFNjaWVuY2VzLCBDb2xsZWdlIG9mIE1lZGljYWwgYW5kIERlbnRhbCBT
Y2llbmNlcywgVW5pdmVyc2l0eSBvZiBCaXJtaW5naGFtLCBCaXJtaW5naGFtLCBCMTUgMlRUIFdl
c3QgTWlkbGFuZHMuJiN4RDtQdWJsaWMgSGVhbHRoLCBFcGlkZW1pb2xvZ3kgYW5kIEJpb3N0YXRp
c3RpY3MsIFNjaG9vbCBvZiBIZWFsdGggYW5kIFBvcHVsYXRpb24gU2NpZW5jZXMsIFVuaXZlcnNp
dHkgb2YgQmlybWluZ2hhbSwgQmlybWluZ2hhbSwgQjE1IDJUVCBXZXN0IE1pZGxhbmRzLiYjeEQ7
TnVmZmllbGQgRGVwYXJ0bWVudCBvZiBQcmltYXJ5IENhcmUgSGVhbHRoIFNjaWVuY2VzLCBVbml2
ZXJzaXR5IG9mIE94Zm9yZCwgUmFkY2xpZmZlIE9ic2VydmF0b3J5IFF1YXJ0ZXIsIFdvb2RzdG9j
ayBSb2FkLCBPeGZvcmQsIE9YMiA2R0cgVUsuJiN4RDtTY2hvb2wgb2YgU29jaWFsIGFuZCBDb21t
dW5pdHkgTWVkaWNpbmUsIFVuaXZlcnNpdHkgb2YgQnJpc3RvbCwgQ2FueW5nZSBIYWxsLCAzOSBX
aGF0bGV5IFJvYWQsIEJyaXN0b2wsIEJTOCAyUFMgU291dGggV2VzdCBFbmdsYW5kLjwvYXV0aC1h
ZGRyZXNzPjx0aXRsZXM+PHRpdGxlPkZlYXNpYmlsaXR5IGFuZCBhY2NlcHRhYmlsaXR5IG9mIHJl
Z3VsYXIgd2VpZ2hpbmcsIHNldHRpbmcgd2VpZ2h0IGdhaW4gbGltaXRzIGFuZCBwcm92aWRpbmcg
ZmVlZGJhY2sgYnkgY29tbXVuaXR5IG1pZHdpdmVzIHRvIHByZXZlbnQgZXhjZXNzIHdlaWdodCBn
YWluIGR1cmluZyBwcmVnbmFuY3k6IHJhbmRvbWlzZWQgY29udHJvbGxlZCB0cmlhbCBhbmQgcXVh
bGl0YXRpdmUgc3R1ZHk8L3RpdGxlPjxzZWNvbmRhcnktdGl0bGU+Qk1DIE9iZXM8L3NlY29uZGFy
eS10aXRsZT48L3RpdGxlcz48cGVyaW9kaWNhbD48ZnVsbC10aXRsZT5CTUMgT2JlczwvZnVsbC10
aXRsZT48L3BlcmlvZGljYWw+PHBhZ2VzPjM1PC9wYWdlcz48dm9sdW1lPjI8L3ZvbHVtZT48ZWRp
dGlvbj4yMDE1LzA5LzI1PC9lZGl0aW9uPjxrZXl3b3Jkcz48a2V5d29yZD5Db21tdW5pdHkgbWlk
d2l2ZXM8L2tleXdvcmQ+PGtleXdvcmQ+R2VzdGF0aW9uYWwgd2VpZ2h0IGdhaW48L2tleXdvcmQ+
PGtleXdvcmQ+UmVndWxhciB3ZWlnaGluZzwva2V5d29yZD48a2V5d29yZD5XZWlnaHQgZ2FpbiBs
aW1pdHM8L2tleXdvcmQ+PC9rZXl3b3Jkcz48ZGF0ZXM+PHllYXI+MjAxNTwveWVhcj48L2RhdGVz
Pjxpc2JuPjIwNTItOTUzOCAoUHJpbnQpJiN4RDsyMDUyLTk1MzggKExpbmtpbmcpPC9pc2JuPjxh
Y2Nlc3Npb24tbnVtPjI2NDAxMzQ1PC9hY2Nlc3Npb24tbnVtPjx1cmxzPjxyZWxhdGVkLXVybHM+
PHVybD5odHRwczovL3d3dy5uY2JpLm5sbS5uaWguZ292L3B1Ym1lZC8yNjQwMTM0NTwvdXJsPjwv
cmVsYXRlZC11cmxzPjwvdXJscz48Y3VzdG9tMj5QTUM0NTcyNjQ5PC9jdXN0b20yPjxlbGVjdHJv
bmljLXJlc291cmNlLW51bT4xMC4xMTg2L3M0MDYwOC0wMTUtMDA2MS01PC9lbGVjdHJvbmljLXJl
c291cmNlLW51bT48L3JlY29yZD48L0NpdGU+PC9FbmROb3RlPn==
</w:fldData>
              </w:fldChar>
            </w:r>
            <w:r w:rsidR="001A2F28">
              <w:instrText xml:space="preserve"> ADDIN EN.CITE </w:instrText>
            </w:r>
            <w:r w:rsidR="001A2F28">
              <w:fldChar w:fldCharType="begin">
                <w:fldData xml:space="preserve">PEVuZE5vdGU+PENpdGU+PEF1dGhvcj5EYWxleTwvQXV0aG9yPjxZZWFyPjIwMTU8L1llYXI+PFJl
Y051bT4xNzAyPC9SZWNOdW0+PERpc3BsYXlUZXh0PjxzdHlsZSBmYWNlPSJzdXBlcnNjcmlwdCIg
Zm9udD0iVHJlYnVjaGV0IE1TIiBzaXplPSI5Ij4zODY8L3N0eWxlPjwvRGlzcGxheVRleHQ+PHJl
Y29yZD48cmVjLW51bWJlcj4xNzAyPC9yZWMtbnVtYmVyPjxmb3JlaWduLWtleXM+PGtleSBhcHA9
IkVOIiBkYi1pZD0iZXh2YXNyZngyZHRyYW9lc2FzeHAyc3pzeGEyZGY1MDI1OTJ4IiB0aW1lc3Rh
bXA9IjE1ODE5MTY5MzAiPjE3MDI8L2tleT48a2V5IGFwcD0iRU5XZWIiIGRiLWlkPSIiPjA8L2tl
eT48L2ZvcmVpZ24ta2V5cz48cmVmLXR5cGUgbmFtZT0iSm91cm5hbCBBcnRpY2xlIj4xNzwvcmVm
LXR5cGU+PGNvbnRyaWJ1dG9ycz48YXV0aG9ycz48YXV0aG9yPkRhbGV5LCBBLiBKLjwvYXV0aG9y
PjxhdXRob3I+Sm9sbHksIEsuPC9hdXRob3I+PGF1dGhvcj5KZWJiLCBTLiBBLjwvYXV0aG9yPjxh
dXRob3I+TGV3aXMsIEEuIEwuPC9hdXRob3I+PGF1dGhvcj5DbGlmZm9yZCwgUy48L2F1dGhvcj48
YXV0aG9yPlJvYWxmZSwgQS4gSy48L2F1dGhvcj48YXV0aG9yPktlbnlvbiwgUy48L2F1dGhvcj48
YXV0aG9yPkF2ZXlhcmQsIFAuPC9hdXRob3I+PC9hdXRob3JzPjwvY29udHJpYnV0b3JzPjxhdXRo
LWFkZHJlc3M+UHJpbWFyeSBDYXJlIENsaW5pY2FsIFNjaWVuY2VzLCBTY2hvb2wgb2YgSGVhbHRo
IGFuZCBQb3B1bGF0aW9uIFNjaWVuY2VzLCBDb2xsZWdlIG9mIE1lZGljYWwgYW5kIERlbnRhbCBT
Y2llbmNlcywgVW5pdmVyc2l0eSBvZiBCaXJtaW5naGFtLCBCaXJtaW5naGFtLCBCMTUgMlRUIFdl
c3QgTWlkbGFuZHMuJiN4RDtQdWJsaWMgSGVhbHRoLCBFcGlkZW1pb2xvZ3kgYW5kIEJpb3N0YXRp
c3RpY3MsIFNjaG9vbCBvZiBIZWFsdGggYW5kIFBvcHVsYXRpb24gU2NpZW5jZXMsIFVuaXZlcnNp
dHkgb2YgQmlybWluZ2hhbSwgQmlybWluZ2hhbSwgQjE1IDJUVCBXZXN0IE1pZGxhbmRzLiYjeEQ7
TnVmZmllbGQgRGVwYXJ0bWVudCBvZiBQcmltYXJ5IENhcmUgSGVhbHRoIFNjaWVuY2VzLCBVbml2
ZXJzaXR5IG9mIE94Zm9yZCwgUmFkY2xpZmZlIE9ic2VydmF0b3J5IFF1YXJ0ZXIsIFdvb2RzdG9j
ayBSb2FkLCBPeGZvcmQsIE9YMiA2R0cgVUsuJiN4RDtTY2hvb2wgb2YgU29jaWFsIGFuZCBDb21t
dW5pdHkgTWVkaWNpbmUsIFVuaXZlcnNpdHkgb2YgQnJpc3RvbCwgQ2FueW5nZSBIYWxsLCAzOSBX
aGF0bGV5IFJvYWQsIEJyaXN0b2wsIEJTOCAyUFMgU291dGggV2VzdCBFbmdsYW5kLjwvYXV0aC1h
ZGRyZXNzPjx0aXRsZXM+PHRpdGxlPkZlYXNpYmlsaXR5IGFuZCBhY2NlcHRhYmlsaXR5IG9mIHJl
Z3VsYXIgd2VpZ2hpbmcsIHNldHRpbmcgd2VpZ2h0IGdhaW4gbGltaXRzIGFuZCBwcm92aWRpbmcg
ZmVlZGJhY2sgYnkgY29tbXVuaXR5IG1pZHdpdmVzIHRvIHByZXZlbnQgZXhjZXNzIHdlaWdodCBn
YWluIGR1cmluZyBwcmVnbmFuY3k6IHJhbmRvbWlzZWQgY29udHJvbGxlZCB0cmlhbCBhbmQgcXVh
bGl0YXRpdmUgc3R1ZHk8L3RpdGxlPjxzZWNvbmRhcnktdGl0bGU+Qk1DIE9iZXM8L3NlY29uZGFy
eS10aXRsZT48L3RpdGxlcz48cGVyaW9kaWNhbD48ZnVsbC10aXRsZT5CTUMgT2JlczwvZnVsbC10
aXRsZT48L3BlcmlvZGljYWw+PHBhZ2VzPjM1PC9wYWdlcz48dm9sdW1lPjI8L3ZvbHVtZT48ZWRp
dGlvbj4yMDE1LzA5LzI1PC9lZGl0aW9uPjxrZXl3b3Jkcz48a2V5d29yZD5Db21tdW5pdHkgbWlk
d2l2ZXM8L2tleXdvcmQ+PGtleXdvcmQ+R2VzdGF0aW9uYWwgd2VpZ2h0IGdhaW48L2tleXdvcmQ+
PGtleXdvcmQ+UmVndWxhciB3ZWlnaGluZzwva2V5d29yZD48a2V5d29yZD5XZWlnaHQgZ2FpbiBs
aW1pdHM8L2tleXdvcmQ+PC9rZXl3b3Jkcz48ZGF0ZXM+PHllYXI+MjAxNTwveWVhcj48L2RhdGVz
Pjxpc2JuPjIwNTItOTUzOCAoUHJpbnQpJiN4RDsyMDUyLTk1MzggKExpbmtpbmcpPC9pc2JuPjxh
Y2Nlc3Npb24tbnVtPjI2NDAxMzQ1PC9hY2Nlc3Npb24tbnVtPjx1cmxzPjxyZWxhdGVkLXVybHM+
PHVybD5odHRwczovL3d3dy5uY2JpLm5sbS5uaWguZ292L3B1Ym1lZC8yNjQwMTM0NTwvdXJsPjwv
cmVsYXRlZC11cmxzPjwvdXJscz48Y3VzdG9tMj5QTUM0NTcyNjQ5PC9jdXN0b20yPjxlbGVjdHJv
bmljLXJlc291cmNlLW51bT4xMC4xMTg2L3M0MDYwOC0wMTUtMDA2MS01PC9lbGVjdHJvbmljLXJl
c291cmNlLW51bT48L3JlY29yZD48L0NpdGU+PC9FbmROb3RlPn==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386</w:t>
            </w:r>
            <w:r w:rsidR="00774750">
              <w:fldChar w:fldCharType="end"/>
            </w:r>
          </w:p>
          <w:p w14:paraId="6520CEDA" w14:textId="1DECA4A4" w:rsidR="001B0BEC" w:rsidRDefault="001B0BEC" w:rsidP="00555C38">
            <w:r>
              <w:t>United Kingdom</w:t>
            </w:r>
          </w:p>
        </w:tc>
        <w:tc>
          <w:tcPr>
            <w:tcW w:w="1701" w:type="dxa"/>
          </w:tcPr>
          <w:p w14:paraId="6E2F402A" w14:textId="77777777" w:rsidR="00B60FFF" w:rsidRDefault="00B60FFF" w:rsidP="00555C38">
            <w:r>
              <w:t>Intervention 34</w:t>
            </w:r>
          </w:p>
          <w:p w14:paraId="36AC78DB" w14:textId="72AA8A79" w:rsidR="00B60FFF" w:rsidRDefault="00B60FFF" w:rsidP="00555C38">
            <w:r>
              <w:t>Control 34</w:t>
            </w:r>
          </w:p>
        </w:tc>
        <w:tc>
          <w:tcPr>
            <w:tcW w:w="5393" w:type="dxa"/>
          </w:tcPr>
          <w:p w14:paraId="2E2F02ED" w14:textId="77777777" w:rsidR="00B60FFF" w:rsidRDefault="00B60FFF" w:rsidP="00B60FFF">
            <w:pPr>
              <w:rPr>
                <w:rFonts w:eastAsiaTheme="minorHAnsi"/>
              </w:rPr>
            </w:pPr>
            <w:r w:rsidRPr="00403334">
              <w:rPr>
                <w:rFonts w:eastAsiaTheme="minorHAnsi"/>
                <w:b/>
              </w:rPr>
              <w:t>Aim</w:t>
            </w:r>
            <w:r w:rsidRPr="00403334">
              <w:rPr>
                <w:rFonts w:eastAsiaTheme="minorHAnsi"/>
              </w:rPr>
              <w:t>: to establish the feasibility and acceptability of incorporating regular weighing, setting maximum weight gain targets and feedback by community midwives.</w:t>
            </w:r>
          </w:p>
          <w:p w14:paraId="1CB9FD78" w14:textId="27372E9F" w:rsidR="00B60FFF" w:rsidRPr="00403334" w:rsidRDefault="00B60FFF" w:rsidP="00B60FFF">
            <w:pPr>
              <w:rPr>
                <w:rFonts w:eastAsiaTheme="minorHAnsi"/>
              </w:rPr>
            </w:pPr>
            <w:r w:rsidRPr="005A46E0">
              <w:rPr>
                <w:rFonts w:eastAsiaTheme="minorHAnsi"/>
                <w:b/>
              </w:rPr>
              <w:t>Population</w:t>
            </w:r>
            <w:r>
              <w:rPr>
                <w:rFonts w:eastAsiaTheme="minorHAnsi"/>
              </w:rPr>
              <w:t xml:space="preserve">: </w:t>
            </w:r>
            <w:r w:rsidRPr="00403334">
              <w:rPr>
                <w:rFonts w:eastAsiaTheme="minorHAnsi"/>
              </w:rPr>
              <w:t>Low risk pregnant women at 10–14 weeks</w:t>
            </w:r>
            <w:r w:rsidR="00F036B6">
              <w:rPr>
                <w:rFonts w:eastAsiaTheme="minorHAnsi"/>
              </w:rPr>
              <w:t>.</w:t>
            </w:r>
          </w:p>
          <w:p w14:paraId="11A54679" w14:textId="107D3454" w:rsidR="00B60FFF" w:rsidRPr="001B0BEC" w:rsidRDefault="00B60FFF" w:rsidP="00B60FFF">
            <w:pPr>
              <w:rPr>
                <w:rFonts w:eastAsiaTheme="minorHAnsi"/>
              </w:rPr>
            </w:pPr>
            <w:r w:rsidRPr="00403334">
              <w:rPr>
                <w:rFonts w:eastAsiaTheme="minorHAnsi"/>
                <w:b/>
              </w:rPr>
              <w:t>Intervention</w:t>
            </w:r>
            <w:r w:rsidRPr="00403334">
              <w:rPr>
                <w:rFonts w:eastAsiaTheme="minorHAnsi"/>
              </w:rPr>
              <w:t xml:space="preserve">: </w:t>
            </w:r>
            <w:r>
              <w:rPr>
                <w:rFonts w:eastAsiaTheme="minorHAnsi"/>
              </w:rPr>
              <w:t>C</w:t>
            </w:r>
            <w:r w:rsidRPr="00403334">
              <w:rPr>
                <w:rFonts w:eastAsiaTheme="minorHAnsi"/>
              </w:rPr>
              <w:t xml:space="preserve">ommunity midwives </w:t>
            </w:r>
            <w:r>
              <w:rPr>
                <w:rFonts w:eastAsiaTheme="minorHAnsi"/>
              </w:rPr>
              <w:t>weighed</w:t>
            </w:r>
            <w:r w:rsidRPr="00403334">
              <w:rPr>
                <w:rFonts w:eastAsiaTheme="minorHAnsi"/>
              </w:rPr>
              <w:t xml:space="preserve"> and </w:t>
            </w:r>
            <w:r>
              <w:rPr>
                <w:rFonts w:eastAsiaTheme="minorHAnsi"/>
              </w:rPr>
              <w:t>plotted</w:t>
            </w:r>
            <w:r w:rsidRPr="00403334">
              <w:rPr>
                <w:rFonts w:eastAsiaTheme="minorHAnsi"/>
              </w:rPr>
              <w:t xml:space="preserve"> weight on a weight gain chart, setting weight gain limit targets, giving brief feedback at each antenatal appointment and encouraging women to weigh themselves weekly between antenatal appointments. Women and midwives were interviewed about their views of the intervention. </w:t>
            </w:r>
          </w:p>
        </w:tc>
        <w:tc>
          <w:tcPr>
            <w:tcW w:w="5664" w:type="dxa"/>
          </w:tcPr>
          <w:p w14:paraId="65C22ACB" w14:textId="6C3D9C34" w:rsidR="009A5AB5" w:rsidRPr="002635FE" w:rsidRDefault="009A5AB5" w:rsidP="00B60FFF">
            <w:pPr>
              <w:rPr>
                <w:rFonts w:eastAsiaTheme="minorHAnsi"/>
                <w:i/>
              </w:rPr>
            </w:pPr>
            <w:r w:rsidRPr="002635FE">
              <w:rPr>
                <w:rFonts w:eastAsiaTheme="minorHAnsi"/>
                <w:i/>
              </w:rPr>
              <w:t>Intervention versus control</w:t>
            </w:r>
          </w:p>
          <w:p w14:paraId="367027EF" w14:textId="77777777" w:rsidR="009A5AB5" w:rsidRDefault="009A5AB5" w:rsidP="00B60FFF">
            <w:pPr>
              <w:rPr>
                <w:rFonts w:eastAsiaTheme="minorHAnsi"/>
              </w:rPr>
            </w:pPr>
            <w:r>
              <w:rPr>
                <w:rFonts w:eastAsiaTheme="minorHAnsi"/>
              </w:rPr>
              <w:t>Gestational weight gain:</w:t>
            </w:r>
          </w:p>
          <w:p w14:paraId="59D841B2" w14:textId="77777777" w:rsidR="009A5AB5" w:rsidRDefault="009A5AB5" w:rsidP="002635FE">
            <w:pPr>
              <w:pStyle w:val="bullet"/>
            </w:pPr>
            <w:r>
              <w:t>Overall: 12.0±4.5 (n=34) vs 12.1±5.9 (n=34)</w:t>
            </w:r>
          </w:p>
          <w:p w14:paraId="089238C1" w14:textId="77777777" w:rsidR="009A5AB5" w:rsidRDefault="009A5AB5" w:rsidP="002635FE">
            <w:pPr>
              <w:pStyle w:val="bullet"/>
            </w:pPr>
            <w:r>
              <w:t>BMI 18.5 to 24.9: 12.3±4.0 (n=18) vs 12.6±5.1 (n=19)</w:t>
            </w:r>
          </w:p>
          <w:p w14:paraId="1D164CA0" w14:textId="700F7F72" w:rsidR="009A5AB5" w:rsidRDefault="009A5AB5" w:rsidP="002635FE">
            <w:pPr>
              <w:pStyle w:val="bullet"/>
            </w:pPr>
            <w:r>
              <w:t>BMI 25 to 29.9: 11.6±5.1 (n=16) vs 11.6±7.0 (n=15)</w:t>
            </w:r>
          </w:p>
          <w:p w14:paraId="7D825526" w14:textId="3B012834" w:rsidR="009A5AB5" w:rsidRDefault="009A5AB5" w:rsidP="00B60FFF">
            <w:pPr>
              <w:rPr>
                <w:rFonts w:eastAsiaTheme="minorHAnsi"/>
              </w:rPr>
            </w:pPr>
            <w:r>
              <w:rPr>
                <w:rFonts w:eastAsiaTheme="minorHAnsi"/>
              </w:rPr>
              <w:t>Weight gain exceeding IOM guidelines:</w:t>
            </w:r>
          </w:p>
          <w:p w14:paraId="129E5F45" w14:textId="77777777" w:rsidR="009A5AB5" w:rsidRDefault="009A5AB5" w:rsidP="002635FE">
            <w:pPr>
              <w:pStyle w:val="bullet"/>
            </w:pPr>
            <w:r>
              <w:t>Overall: 8/34 vs 10/34</w:t>
            </w:r>
          </w:p>
          <w:p w14:paraId="49A01D5B" w14:textId="77777777" w:rsidR="009A5AB5" w:rsidRDefault="009A5AB5" w:rsidP="002635FE">
            <w:pPr>
              <w:pStyle w:val="bullet"/>
            </w:pPr>
            <w:r>
              <w:t>BMI 18.5 to 24.9: 2/18 vs 2/19</w:t>
            </w:r>
          </w:p>
          <w:p w14:paraId="0C1EFA28" w14:textId="2227BB61" w:rsidR="009A5AB5" w:rsidRDefault="009A5AB5" w:rsidP="002635FE">
            <w:pPr>
              <w:pStyle w:val="bullet"/>
            </w:pPr>
            <w:r>
              <w:t>BMI 25 to 29.9: 6/16 vs 8/15</w:t>
            </w:r>
          </w:p>
          <w:p w14:paraId="1143BE95" w14:textId="12B28FF7" w:rsidR="002635FE" w:rsidRDefault="002635FE" w:rsidP="00B60FFF">
            <w:pPr>
              <w:rPr>
                <w:rFonts w:eastAsiaTheme="minorHAnsi"/>
              </w:rPr>
            </w:pPr>
            <w:r>
              <w:rPr>
                <w:rFonts w:eastAsiaTheme="minorHAnsi"/>
              </w:rPr>
              <w:t>Depression (HADS score): 3.8±2.7 (n=20) vs 5.4±3.4 (n=24)</w:t>
            </w:r>
          </w:p>
          <w:p w14:paraId="1E6260FB" w14:textId="36A9202A" w:rsidR="002635FE" w:rsidRDefault="002635FE" w:rsidP="00B60FFF">
            <w:pPr>
              <w:rPr>
                <w:rFonts w:eastAsiaTheme="minorHAnsi"/>
              </w:rPr>
            </w:pPr>
            <w:r>
              <w:rPr>
                <w:rFonts w:eastAsiaTheme="minorHAnsi"/>
              </w:rPr>
              <w:t>Anxiety (HADS score): 4.7±2.7 (n=31) vs 5.7±3.0 (n=24)</w:t>
            </w:r>
          </w:p>
          <w:p w14:paraId="39E2AF42" w14:textId="77777777" w:rsidR="00B60FFF" w:rsidRPr="00403334" w:rsidRDefault="00B60FFF" w:rsidP="00B60FFF">
            <w:pPr>
              <w:rPr>
                <w:rFonts w:eastAsiaTheme="minorHAnsi"/>
              </w:rPr>
            </w:pPr>
            <w:r w:rsidRPr="00403334">
              <w:rPr>
                <w:rFonts w:eastAsiaTheme="minorHAnsi"/>
              </w:rPr>
              <w:t xml:space="preserve">Most women </w:t>
            </w:r>
            <w:r>
              <w:rPr>
                <w:rFonts w:eastAsiaTheme="minorHAnsi"/>
              </w:rPr>
              <w:t xml:space="preserve">in a subset (9/12) </w:t>
            </w:r>
            <w:r w:rsidRPr="00403334">
              <w:rPr>
                <w:rFonts w:eastAsiaTheme="minorHAnsi"/>
              </w:rPr>
              <w:t>commented the intervention was useful in encouraging them to think about their weight and believed it should be part of routine antenatal care.</w:t>
            </w:r>
          </w:p>
          <w:p w14:paraId="0C8D4C6D" w14:textId="6749C39B" w:rsidR="00B60FFF" w:rsidRPr="00EC383E" w:rsidRDefault="00B60FFF" w:rsidP="002635FE">
            <w:r>
              <w:rPr>
                <w:rFonts w:eastAsiaTheme="minorHAnsi"/>
              </w:rPr>
              <w:t>A subset of c</w:t>
            </w:r>
            <w:r w:rsidRPr="00403334">
              <w:rPr>
                <w:rFonts w:eastAsiaTheme="minorHAnsi"/>
              </w:rPr>
              <w:t xml:space="preserve">ommunity midwives </w:t>
            </w:r>
            <w:r>
              <w:rPr>
                <w:rFonts w:eastAsiaTheme="minorHAnsi"/>
              </w:rPr>
              <w:t xml:space="preserve">(7/7) </w:t>
            </w:r>
            <w:r w:rsidRPr="00403334">
              <w:rPr>
                <w:rFonts w:eastAsiaTheme="minorHAnsi"/>
              </w:rPr>
              <w:t>felt the intervention could be implemented within routine care without adding substantially to consultation length</w:t>
            </w:r>
            <w:r>
              <w:rPr>
                <w:rFonts w:eastAsiaTheme="minorHAnsi"/>
              </w:rPr>
              <w:t>.</w:t>
            </w:r>
          </w:p>
        </w:tc>
      </w:tr>
      <w:tr w:rsidR="001B0BEC" w:rsidRPr="00B60FFF" w14:paraId="450BB4A1" w14:textId="77777777" w:rsidTr="00364DD2">
        <w:trPr>
          <w:cantSplit/>
        </w:trPr>
        <w:tc>
          <w:tcPr>
            <w:tcW w:w="1418" w:type="dxa"/>
          </w:tcPr>
          <w:p w14:paraId="6E58C581" w14:textId="4D7891C4" w:rsidR="001B0BEC" w:rsidRDefault="001B0BEC" w:rsidP="00555C38">
            <w:r>
              <w:t xml:space="preserve">Daley et al </w:t>
            </w:r>
            <w:r w:rsidR="00364DD2">
              <w:t>2019</w:t>
            </w:r>
            <w:r w:rsidR="00774750">
              <w:fldChar w:fldCharType="begin">
                <w:fldData xml:space="preserve">PEVuZE5vdGU+PENpdGU+PEF1dGhvcj5EYWxleTwvQXV0aG9yPjxZZWFyPjIwMTk8L1llYXI+PFJl
Y051bT4xNzAzPC9SZWNOdW0+PERpc3BsYXlUZXh0PjxzdHlsZSBmYWNlPSJzdXBlcnNjcmlwdCIg
Zm9udD0iVHJlYnVjaGV0IE1TIiBzaXplPSI5Ij4zODc8L3N0eWxlPjwvRGlzcGxheVRleHQ+PHJl
Y29yZD48cmVjLW51bWJlcj4xNzAzPC9yZWMtbnVtYmVyPjxmb3JlaWduLWtleXM+PGtleSBhcHA9
IkVOIiBkYi1pZD0iZXh2YXNyZngyZHRyYW9lc2FzeHAyc3pzeGEyZGY1MDI1OTJ4IiB0aW1lc3Rh
bXA9IjE1ODE5MTY5NDQiPjE3MDM8L2tleT48a2V5IGFwcD0iRU5XZWIiIGRiLWlkPSIiPjA8L2tl
eT48L2ZvcmVpZ24ta2V5cz48cmVmLXR5cGUgbmFtZT0iSm91cm5hbCBBcnRpY2xlIj4xNzwvcmVm
LXR5cGU+PGNvbnRyaWJ1dG9ycz48YXV0aG9ycz48YXV0aG9yPkRhbGV5LCBBLjwvYXV0aG9yPjxh
dXRob3I+Sm9sbHksIEsuPC9hdXRob3I+PGF1dGhvcj5KZWJiLCBTLiBBLjwvYXV0aG9yPjxhdXRo
b3I+Um9hbGZlLCBBLjwvYXV0aG9yPjxhdXRob3I+TWFja2lsbGxvcCwgTC48L2F1dGhvcj48YXV0
aG9yPkxld2lzLCBBLjwvYXV0aG9yPjxhdXRob3I+Q2xpZmZvcmQsIFMuPC9hdXRob3I+PGF1dGhv
cj5Vc21hbiwgTS48L2F1dGhvcj48YXV0aG9yPk9oYWRpa2UsIEMuPC9hdXRob3I+PGF1dGhvcj5L
ZW55b24sIFMuPC9hdXRob3I+PGF1dGhvcj5NYWNBcnRodXIsIEMuPC9hdXRob3I+PGF1dGhvcj5B
dmV5YXJkLCBQLjwvYXV0aG9yPjwvYXV0aG9ycz48L2NvbnRyaWJ1dG9ycz48YXV0aC1hZGRyZXNz
PlNjaG9vbCBvZiBTcG9ydCwgRXhlcmNpc2UgYW5kIEhlYWx0aCBTY2llbmNlcywgTG91Z2hib3Jv
dWdoIFVuaXZlcnNpdHksIExvdWdoYm9yb3VnaCwgVUsgYS5kYWxleUBsYm9yby5hYy51ay4mI3hE
O0luc3RpdHV0ZSBvZiBBcHBsaWVkIEhlYWx0aCBSZXNlYXJjaCxDb2xsZWdlIG9mIE1lZGljYWwg
YW5kIERlbnRhbCBTY2llbmNlcywgVW5pdmVyc2l0eSBvZiBCaXJtaW5naGFtLCBCaXJtaW5naGFt
LCBVSy4mI3hEO051ZmZpZWxkIERlcGFydG1lbnQgb2YgUHJpbWFyeSBDYXJlIEhlYWx0aCBTY2ll
bmNlcywgVW5pdmVyc2l0eSBvZiBPeGZvcmQsIFJhZGNsaWZmZSBPYnNlcnZhdG9yeSBRdWFydGVy
LCBPeGZvcmQsIFVLLiYjeEQ7TnVmZmllbGQgRGVwYXJ0bWVudCBvZiBXb21lbiZhcG9zO3MgYW5k
IFJlcHJvZHVjdGl2ZSBIZWFsdGgsIFVuaXZlcnNpdHkgb2YgT3hmb3JkLCBKb2huIFJhZGNsaWZm
ZSBIb3NwaXRhbCwgT3hmb3JkLCBVSy4mI3hEO1BvcHVsYXRpb24gSGVhbHRoIFNjaWVuY2VzLCBC
cmlzdG9sIE1lZGljYWwgU2Nob29sLCBVbml2ZXJzaXR5IG9mIEJyaXN0b2wsIENhbnluZ2UgSGFs
bCwgQnJpc3RvbCwgVUsuJiN4RDtTaGVyd29vZCBGb3Jlc3QgSG9zcGl0YWxzIE5IUyBGb3VuZGF0
aW9uVHJ1c3QsIE5vdHRpbmdoYW1zaGlyZSwgVUsuPC9hdXRoLWFkZHJlc3M+PHRpdGxlcz48dGl0
bGU+RWZmZWN0aXZlbmVzcyBvZiBhIGJlaGF2aW91cmFsIGludGVydmVudGlvbiBpbnZvbHZpbmcg
cmVndWxhciB3ZWlnaGluZyBhbmQgZmVlZGJhY2sgYnkgY29tbXVuaXR5IG1pZHdpdmVzIHdpdGhp
biByb3V0aW5lIGFudGVuYXRhbCBjYXJlIHRvIHByZXZlbnQgZXhjZXNzaXZlIGdlc3RhdGlvbmFs
IHdlaWdodCBnYWluOiBQT1BTMiByYW5kb21pc2VkIGNvbnRyb2xsZWQgdHJpYWw8L3RpdGxlPjxz
ZWNvbmRhcnktdGl0bGU+Qk1KIE9wZW48L3NlY29uZGFyeS10aXRsZT48L3RpdGxlcz48cGVyaW9k
aWNhbD48ZnVsbC10aXRsZT5CTUogT3BlbjwvZnVsbC10aXRsZT48L3BlcmlvZGljYWw+PHBhZ2Vz
PmUwMzAxNzQ8L3BhZ2VzPjx2b2x1bWU+OTwvdm9sdW1lPjxudW1iZXI+OTwvbnVtYmVyPjxlZGl0
aW9uPjIwMTkvMDkvMTk8L2VkaXRpb24+PGtleXdvcmRzPjxrZXl3b3JkPnByZWduYW5jeTwva2V5
d29yZD48a2V5d29yZD5wcmVnbmFuY3ksIHdlaWdoaW5nLCBtaWR3aXZlcywgd2VpZ2h0PC9rZXl3
b3JkPjxrZXl3b3JkPndlaWdoaW5nPC9rZXl3b3JkPjxrZXl3b3JkPndlaWdodDwva2V5d29yZD48
L2tleXdvcmRzPjxkYXRlcz48eWVhcj4yMDE5PC95ZWFyPjxwdWItZGF0ZXM+PGRhdGU+U2VwIDE3
PC9kYXRlPjwvcHViLWRhdGVzPjwvZGF0ZXM+PGlzYm4+MjA0NC02MDU1IChFbGVjdHJvbmljKSYj
eEQ7MjA0NC02MDU1IChMaW5raW5nKTwvaXNibj48YWNjZXNzaW9uLW51bT4zMTUzMDYwODwvYWNj
ZXNzaW9uLW51bT48dXJscz48cmVsYXRlZC11cmxzPjx1cmw+aHR0cHM6Ly93d3cubmNiaS5ubG0u
bmloLmdvdi9wdWJtZWQvMzE1MzA2MDg8L3VybD48L3JlbGF0ZWQtdXJscz48L3VybHM+PGN1c3Rv
bTI+UE1DNjc1NjQyMTwvY3VzdG9tMj48ZWxlY3Ryb25pYy1yZXNvdXJjZS1udW0+MTAuMTEzNi9i
bWpvcGVuLTIwMTktMDMwMTc0PC9lbGVjdHJvbmljLXJlc291cmNlLW51bT48L3JlY29yZD48L0Np
dGU+PC9FbmROb3RlPn==
</w:fldData>
              </w:fldChar>
            </w:r>
            <w:r w:rsidR="001A2F28">
              <w:instrText xml:space="preserve"> ADDIN EN.CITE </w:instrText>
            </w:r>
            <w:r w:rsidR="001A2F28">
              <w:fldChar w:fldCharType="begin">
                <w:fldData xml:space="preserve">PEVuZE5vdGU+PENpdGU+PEF1dGhvcj5EYWxleTwvQXV0aG9yPjxZZWFyPjIwMTk8L1llYXI+PFJl
Y051bT4xNzAzPC9SZWNOdW0+PERpc3BsYXlUZXh0PjxzdHlsZSBmYWNlPSJzdXBlcnNjcmlwdCIg
Zm9udD0iVHJlYnVjaGV0IE1TIiBzaXplPSI5Ij4zODc8L3N0eWxlPjwvRGlzcGxheVRleHQ+PHJl
Y29yZD48cmVjLW51bWJlcj4xNzAzPC9yZWMtbnVtYmVyPjxmb3JlaWduLWtleXM+PGtleSBhcHA9
IkVOIiBkYi1pZD0iZXh2YXNyZngyZHRyYW9lc2FzeHAyc3pzeGEyZGY1MDI1OTJ4IiB0aW1lc3Rh
bXA9IjE1ODE5MTY5NDQiPjE3MDM8L2tleT48a2V5IGFwcD0iRU5XZWIiIGRiLWlkPSIiPjA8L2tl
eT48L2ZvcmVpZ24ta2V5cz48cmVmLXR5cGUgbmFtZT0iSm91cm5hbCBBcnRpY2xlIj4xNzwvcmVm
LXR5cGU+PGNvbnRyaWJ1dG9ycz48YXV0aG9ycz48YXV0aG9yPkRhbGV5LCBBLjwvYXV0aG9yPjxh
dXRob3I+Sm9sbHksIEsuPC9hdXRob3I+PGF1dGhvcj5KZWJiLCBTLiBBLjwvYXV0aG9yPjxhdXRo
b3I+Um9hbGZlLCBBLjwvYXV0aG9yPjxhdXRob3I+TWFja2lsbGxvcCwgTC48L2F1dGhvcj48YXV0
aG9yPkxld2lzLCBBLjwvYXV0aG9yPjxhdXRob3I+Q2xpZmZvcmQsIFMuPC9hdXRob3I+PGF1dGhv
cj5Vc21hbiwgTS48L2F1dGhvcj48YXV0aG9yPk9oYWRpa2UsIEMuPC9hdXRob3I+PGF1dGhvcj5L
ZW55b24sIFMuPC9hdXRob3I+PGF1dGhvcj5NYWNBcnRodXIsIEMuPC9hdXRob3I+PGF1dGhvcj5B
dmV5YXJkLCBQLjwvYXV0aG9yPjwvYXV0aG9ycz48L2NvbnRyaWJ1dG9ycz48YXV0aC1hZGRyZXNz
PlNjaG9vbCBvZiBTcG9ydCwgRXhlcmNpc2UgYW5kIEhlYWx0aCBTY2llbmNlcywgTG91Z2hib3Jv
dWdoIFVuaXZlcnNpdHksIExvdWdoYm9yb3VnaCwgVUsgYS5kYWxleUBsYm9yby5hYy51ay4mI3hE
O0luc3RpdHV0ZSBvZiBBcHBsaWVkIEhlYWx0aCBSZXNlYXJjaCxDb2xsZWdlIG9mIE1lZGljYWwg
YW5kIERlbnRhbCBTY2llbmNlcywgVW5pdmVyc2l0eSBvZiBCaXJtaW5naGFtLCBCaXJtaW5naGFt
LCBVSy4mI3hEO051ZmZpZWxkIERlcGFydG1lbnQgb2YgUHJpbWFyeSBDYXJlIEhlYWx0aCBTY2ll
bmNlcywgVW5pdmVyc2l0eSBvZiBPeGZvcmQsIFJhZGNsaWZmZSBPYnNlcnZhdG9yeSBRdWFydGVy
LCBPeGZvcmQsIFVLLiYjeEQ7TnVmZmllbGQgRGVwYXJ0bWVudCBvZiBXb21lbiZhcG9zO3MgYW5k
IFJlcHJvZHVjdGl2ZSBIZWFsdGgsIFVuaXZlcnNpdHkgb2YgT3hmb3JkLCBKb2huIFJhZGNsaWZm
ZSBIb3NwaXRhbCwgT3hmb3JkLCBVSy4mI3hEO1BvcHVsYXRpb24gSGVhbHRoIFNjaWVuY2VzLCBC
cmlzdG9sIE1lZGljYWwgU2Nob29sLCBVbml2ZXJzaXR5IG9mIEJyaXN0b2wsIENhbnluZ2UgSGFs
bCwgQnJpc3RvbCwgVUsuJiN4RDtTaGVyd29vZCBGb3Jlc3QgSG9zcGl0YWxzIE5IUyBGb3VuZGF0
aW9uVHJ1c3QsIE5vdHRpbmdoYW1zaGlyZSwgVUsuPC9hdXRoLWFkZHJlc3M+PHRpdGxlcz48dGl0
bGU+RWZmZWN0aXZlbmVzcyBvZiBhIGJlaGF2aW91cmFsIGludGVydmVudGlvbiBpbnZvbHZpbmcg
cmVndWxhciB3ZWlnaGluZyBhbmQgZmVlZGJhY2sgYnkgY29tbXVuaXR5IG1pZHdpdmVzIHdpdGhp
biByb3V0aW5lIGFudGVuYXRhbCBjYXJlIHRvIHByZXZlbnQgZXhjZXNzaXZlIGdlc3RhdGlvbmFs
IHdlaWdodCBnYWluOiBQT1BTMiByYW5kb21pc2VkIGNvbnRyb2xsZWQgdHJpYWw8L3RpdGxlPjxz
ZWNvbmRhcnktdGl0bGU+Qk1KIE9wZW48L3NlY29uZGFyeS10aXRsZT48L3RpdGxlcz48cGVyaW9k
aWNhbD48ZnVsbC10aXRsZT5CTUogT3BlbjwvZnVsbC10aXRsZT48L3BlcmlvZGljYWw+PHBhZ2Vz
PmUwMzAxNzQ8L3BhZ2VzPjx2b2x1bWU+OTwvdm9sdW1lPjxudW1iZXI+OTwvbnVtYmVyPjxlZGl0
aW9uPjIwMTkvMDkvMTk8L2VkaXRpb24+PGtleXdvcmRzPjxrZXl3b3JkPnByZWduYW5jeTwva2V5
d29yZD48a2V5d29yZD5wcmVnbmFuY3ksIHdlaWdoaW5nLCBtaWR3aXZlcywgd2VpZ2h0PC9rZXl3
b3JkPjxrZXl3b3JkPndlaWdoaW5nPC9rZXl3b3JkPjxrZXl3b3JkPndlaWdodDwva2V5d29yZD48
L2tleXdvcmRzPjxkYXRlcz48eWVhcj4yMDE5PC95ZWFyPjxwdWItZGF0ZXM+PGRhdGU+U2VwIDE3
PC9kYXRlPjwvcHViLWRhdGVzPjwvZGF0ZXM+PGlzYm4+MjA0NC02MDU1IChFbGVjdHJvbmljKSYj
eEQ7MjA0NC02MDU1IChMaW5raW5nKTwvaXNibj48YWNjZXNzaW9uLW51bT4zMTUzMDYwODwvYWNj
ZXNzaW9uLW51bT48dXJscz48cmVsYXRlZC11cmxzPjx1cmw+aHR0cHM6Ly93d3cubmNiaS5ubG0u
bmloLmdvdi9wdWJtZWQvMzE1MzA2MDg8L3VybD48L3JlbGF0ZWQtdXJscz48L3VybHM+PGN1c3Rv
bTI+UE1DNjc1NjQyMTwvY3VzdG9tMj48ZWxlY3Ryb25pYy1yZXNvdXJjZS1udW0+MTAuMTEzNi9i
bWpvcGVuLTIwMTktMDMwMTc0PC9lbGVjdHJvbmljLXJlc291cmNlLW51bT48L3JlY29yZD48L0Np
dGU+PC9FbmROb3RlPn==
</w:fldData>
              </w:fldChar>
            </w:r>
            <w:r w:rsidR="001A2F28">
              <w:instrText xml:space="preserve"> ADDIN EN.CITE.DATA </w:instrText>
            </w:r>
            <w:r w:rsidR="001A2F28">
              <w:fldChar w:fldCharType="end"/>
            </w:r>
            <w:r w:rsidR="00774750">
              <w:fldChar w:fldCharType="separate"/>
            </w:r>
            <w:r w:rsidR="001A2F28" w:rsidRPr="001A2F28">
              <w:rPr>
                <w:noProof/>
                <w:vertAlign w:val="superscript"/>
              </w:rPr>
              <w:t>387</w:t>
            </w:r>
            <w:r w:rsidR="00774750">
              <w:fldChar w:fldCharType="end"/>
            </w:r>
          </w:p>
          <w:p w14:paraId="1DAD905F" w14:textId="5E9DDB59" w:rsidR="00364DD2" w:rsidRDefault="00364DD2" w:rsidP="00555C38">
            <w:r>
              <w:t>United Kingdom</w:t>
            </w:r>
          </w:p>
        </w:tc>
        <w:tc>
          <w:tcPr>
            <w:tcW w:w="1701" w:type="dxa"/>
          </w:tcPr>
          <w:p w14:paraId="7CA5A29D" w14:textId="77777777" w:rsidR="001B0BEC" w:rsidRDefault="00364DD2" w:rsidP="00555C38">
            <w:r>
              <w:t>Intervention 329</w:t>
            </w:r>
          </w:p>
          <w:p w14:paraId="2688580B" w14:textId="69A6407C" w:rsidR="00364DD2" w:rsidRDefault="00364DD2" w:rsidP="00555C38">
            <w:r>
              <w:t>Control 327</w:t>
            </w:r>
          </w:p>
        </w:tc>
        <w:tc>
          <w:tcPr>
            <w:tcW w:w="5393" w:type="dxa"/>
          </w:tcPr>
          <w:p w14:paraId="150296DC" w14:textId="77777777" w:rsidR="00364DD2" w:rsidRDefault="001B0BEC" w:rsidP="00364DD2">
            <w:r w:rsidRPr="00364DD2">
              <w:rPr>
                <w:b/>
              </w:rPr>
              <w:t>Aim</w:t>
            </w:r>
            <w:r>
              <w:t xml:space="preserve">: </w:t>
            </w:r>
            <w:r w:rsidRPr="001B0BEC">
              <w:t xml:space="preserve">To assess the effectiveness of a brief behavioural intervention based on routine antenatal weighing to prevent excessive gestational weight gain (defined by US Institute of Medicine). </w:t>
            </w:r>
          </w:p>
          <w:p w14:paraId="0669F9D2" w14:textId="77777777" w:rsidR="00364DD2" w:rsidRDefault="00364DD2" w:rsidP="00364DD2">
            <w:r w:rsidRPr="00364DD2">
              <w:rPr>
                <w:b/>
              </w:rPr>
              <w:t>Population</w:t>
            </w:r>
            <w:r w:rsidR="001B0BEC" w:rsidRPr="001B0BEC">
              <w:t xml:space="preserve">: Women between 10(+0) and 14(+6) weeks gestation, not requiring specialist obstetric care. </w:t>
            </w:r>
          </w:p>
          <w:p w14:paraId="57A65511" w14:textId="52858AFE" w:rsidR="001B0BEC" w:rsidRPr="00403334" w:rsidRDefault="00364DD2" w:rsidP="00364DD2">
            <w:pPr>
              <w:rPr>
                <w:b/>
              </w:rPr>
            </w:pPr>
            <w:r w:rsidRPr="00364DD2">
              <w:rPr>
                <w:b/>
              </w:rPr>
              <w:t>Intervention</w:t>
            </w:r>
            <w:r w:rsidR="001B0BEC" w:rsidRPr="001B0BEC">
              <w:t xml:space="preserve">: Participants were randomised to usual antenatal care or usual care (UC) plus the intervention. The intervention involved community midwives weighing women at antenatal appointments, setting maximum weight gain limits between appointments and providing brief feedback. Women were encouraged to monitor and record their own weight weekly to assess their progress against the maximum limits set by their midwife. The comparator was usual maternity care. </w:t>
            </w:r>
          </w:p>
        </w:tc>
        <w:tc>
          <w:tcPr>
            <w:tcW w:w="5664" w:type="dxa"/>
          </w:tcPr>
          <w:p w14:paraId="62508D0C" w14:textId="656CD538" w:rsidR="00662785" w:rsidRPr="00E51C31" w:rsidRDefault="002635FE" w:rsidP="001B0BEC">
            <w:pPr>
              <w:rPr>
                <w:i/>
              </w:rPr>
            </w:pPr>
            <w:r w:rsidRPr="00E51C31">
              <w:rPr>
                <w:i/>
              </w:rPr>
              <w:t>Intervention versus control</w:t>
            </w:r>
          </w:p>
          <w:p w14:paraId="1B3CADB9" w14:textId="518456C8" w:rsidR="002635FE" w:rsidRDefault="005E2B0A" w:rsidP="002635FE">
            <w:r>
              <w:t>W</w:t>
            </w:r>
            <w:r w:rsidR="001B0BEC" w:rsidRPr="001B0BEC">
              <w:t>eight gain</w:t>
            </w:r>
            <w:r>
              <w:t xml:space="preserve"> exceeding IOM guidelines</w:t>
            </w:r>
            <w:r w:rsidR="009A5AB5">
              <w:t xml:space="preserve"> </w:t>
            </w:r>
          </w:p>
          <w:p w14:paraId="04DAC981" w14:textId="224AD6DC" w:rsidR="00F66F66" w:rsidRDefault="002635FE" w:rsidP="0036032A">
            <w:pPr>
              <w:pStyle w:val="bullet"/>
            </w:pPr>
            <w:r>
              <w:t>O</w:t>
            </w:r>
            <w:r w:rsidR="009A5AB5">
              <w:t>verall</w:t>
            </w:r>
            <w:r w:rsidR="00F66F66">
              <w:t>: 81/305 (</w:t>
            </w:r>
            <w:r w:rsidR="001B0BEC" w:rsidRPr="001B0BEC">
              <w:t xml:space="preserve">27.6%) versus </w:t>
            </w:r>
            <w:r w:rsidR="00F66F66" w:rsidRPr="001B0BEC">
              <w:t>90/311</w:t>
            </w:r>
            <w:r w:rsidR="00F66F66">
              <w:t xml:space="preserve"> (28.9%</w:t>
            </w:r>
            <w:r w:rsidR="001B0BEC" w:rsidRPr="001B0BEC">
              <w:t xml:space="preserve">) </w:t>
            </w:r>
          </w:p>
          <w:p w14:paraId="4F177C83" w14:textId="3FEDF698" w:rsidR="0036032A" w:rsidRDefault="00F66F66" w:rsidP="002635FE">
            <w:r>
              <w:t>A</w:t>
            </w:r>
            <w:r w:rsidR="0036032A">
              <w:t>nxiety</w:t>
            </w:r>
            <w:r w:rsidR="001B0BEC" w:rsidRPr="001B0BEC">
              <w:t xml:space="preserve">: </w:t>
            </w:r>
            <w:r w:rsidR="002635FE">
              <w:t>5.18±3.09 (n=136) vs 5.89±3.58 (n=133)</w:t>
            </w:r>
            <w:r w:rsidR="001B0BEC" w:rsidRPr="001B0BEC">
              <w:t xml:space="preserve"> </w:t>
            </w:r>
          </w:p>
          <w:p w14:paraId="1BBCC02A" w14:textId="1B4503AA" w:rsidR="0036032A" w:rsidRDefault="0036032A" w:rsidP="002635FE">
            <w:r>
              <w:t>D</w:t>
            </w:r>
            <w:r w:rsidR="001B0BEC" w:rsidRPr="001B0BEC">
              <w:t xml:space="preserve">epression: </w:t>
            </w:r>
            <w:r w:rsidR="002635FE">
              <w:t>3.93±3.04 (n=136) vs 4.56±3.04 (n=133)</w:t>
            </w:r>
            <w:r w:rsidR="001B0BEC" w:rsidRPr="001B0BEC">
              <w:t xml:space="preserve"> </w:t>
            </w:r>
          </w:p>
          <w:p w14:paraId="231A5A6C" w14:textId="49072DFD" w:rsidR="001B0BEC" w:rsidRPr="001B0BEC" w:rsidRDefault="001B0BEC" w:rsidP="005140E1"/>
        </w:tc>
      </w:tr>
    </w:tbl>
    <w:p w14:paraId="7BED884A" w14:textId="7CD25070" w:rsidR="00700A1C" w:rsidRPr="00A964B5" w:rsidRDefault="00700A1C" w:rsidP="00A964B5"/>
    <w:p w14:paraId="4948573C" w14:textId="77777777" w:rsidR="00767B02" w:rsidRDefault="00767B02" w:rsidP="00823E0B">
      <w:pPr>
        <w:pStyle w:val="Heading2"/>
        <w:rPr>
          <w:b/>
        </w:rPr>
        <w:sectPr w:rsidR="00767B02" w:rsidSect="00B60FFF">
          <w:pgSz w:w="16820" w:h="11900" w:orient="landscape"/>
          <w:pgMar w:top="1418" w:right="1134" w:bottom="1418" w:left="1134" w:header="709" w:footer="709" w:gutter="0"/>
          <w:cols w:space="708"/>
          <w:docGrid w:linePitch="360"/>
        </w:sectPr>
      </w:pPr>
    </w:p>
    <w:p w14:paraId="17C81C8C" w14:textId="5F39D90B" w:rsidR="00823E0B" w:rsidRPr="00F43F44" w:rsidRDefault="00823E0B" w:rsidP="00823E0B">
      <w:pPr>
        <w:pStyle w:val="Heading2"/>
      </w:pPr>
      <w:bookmarkStart w:id="195" w:name="_Toc40956538"/>
      <w:r w:rsidRPr="00F43F44">
        <w:rPr>
          <w:b/>
        </w:rPr>
        <w:t>Q</w:t>
      </w:r>
      <w:r w:rsidR="007D30D7">
        <w:rPr>
          <w:b/>
        </w:rPr>
        <w:t>8</w:t>
      </w:r>
      <w:r>
        <w:t>: What specific risk assessments are required for pregnant women with high or low BMI at the first antenatal visit?</w:t>
      </w:r>
      <w:bookmarkEnd w:id="195"/>
    </w:p>
    <w:p w14:paraId="41FBA919" w14:textId="1E2EC363" w:rsidR="00823E0B" w:rsidRDefault="001D6AA5" w:rsidP="00BD61CC">
      <w:pPr>
        <w:pStyle w:val="Heading3"/>
      </w:pPr>
      <w:bookmarkStart w:id="196" w:name="_Toc40956539"/>
      <w:r>
        <w:t>Risks associated with pre-</w:t>
      </w:r>
      <w:r w:rsidR="002A0021">
        <w:t>pregnancy</w:t>
      </w:r>
      <w:r>
        <w:t xml:space="preserve"> </w:t>
      </w:r>
      <w:r w:rsidR="00DE138C">
        <w:t>underweight</w:t>
      </w:r>
      <w:bookmarkEnd w:id="196"/>
    </w:p>
    <w:p w14:paraId="7DB287AE" w14:textId="3129DF38" w:rsidR="00642F88" w:rsidRDefault="001D6AA5" w:rsidP="00973A0B">
      <w:r>
        <w:t xml:space="preserve">Systematic reviews are consistent in finding that low pre-pregnancy BMI is associated with </w:t>
      </w:r>
      <w:r w:rsidR="00973A0B">
        <w:t xml:space="preserve">an increased risk of </w:t>
      </w:r>
      <w:r>
        <w:t>preterm birth</w:t>
      </w:r>
      <w:r w:rsidR="00D07346">
        <w:fldChar w:fldCharType="begin">
          <w:fldData xml:space="preserve">PEVuZE5vdGU+PENpdGU+PEF1dGhvcj5IYW48L0F1dGhvcj48WWVhcj4yMDExPC9ZZWFyPjxSZWNO
dW0+MTg3NTwvUmVjTnVtPjxEaXNwbGF5VGV4dD48c3R5bGUgZmFjZT0ic3VwZXJzY3JpcHQiIGZv
bnQ9IlRyZWJ1Y2hldCBNUyIgc2l6ZT0iOSI+Mzg4LDM4OTwvc3R5bGU+PC9EaXNwbGF5VGV4dD48
cmVjb3JkPjxyZWMtbnVtYmVyPjE4NzU8L3JlYy1udW1iZXI+PGZvcmVpZ24ta2V5cz48a2V5IGFw
cD0iRU4iIGRiLWlkPSJleHZhc3JmeDJkdHJhb2VzYXN4cDJzenN4YTJkZjUwMjU5MngiIHRpbWVz
dGFtcD0iMTU4ODIwMjk4NSI+MTg3NTwva2V5PjxrZXkgYXBwPSJFTldlYiIgZGItaWQ9IiI+MDwv
a2V5PjwvZm9yZWlnbi1rZXlzPjxyZWYtdHlwZSBuYW1lPSJKb3VybmFsIEFydGljbGUiPjE3PC9y
ZWYtdHlwZT48Y29udHJpYnV0b3JzPjxhdXRob3JzPjxhdXRob3I+SGFuLCBaLjwvYXV0aG9yPjxh
dXRob3I+TXVsbGEsIFMuPC9hdXRob3I+PGF1dGhvcj5CZXllbmUsIEouPC9hdXRob3I+PGF1dGhv
cj5MaWFvLCBHLjwvYXV0aG9yPjxhdXRob3I+TWNEb25hbGQsIFMuIEQuPC9hdXRob3I+PGF1dGhv
cj5Lbm93bGVkZ2UgU3ludGhlc2lzLCBHcm91cDwvYXV0aG9yPjwvYXV0aG9ycz48L2NvbnRyaWJ1
dG9ycz48YXV0aC1hZGRyZXNzPkRlcGFydG1lbnQgb2YgT2JzdGV0cmljcyBhbmQgR3luZWNvbG9n
eSwgRmlyc3QgQWZmaWxpYXRlZCBIb3NwaXRhbCBvZiBYaSZhcG9zO2FuIEppYW8gVG9uZyBVbml2
ZXJzaXR5LCBTaGFhbnhpIFByb3ZpbmNlLCBQUiBDaGluYS48L2F1dGgtYWRkcmVzcz48dGl0bGVz
Pjx0aXRsZT5NYXRlcm5hbCB1bmRlcndlaWdodCBhbmQgdGhlIHJpc2sgb2YgcHJldGVybSBiaXJ0
aCBhbmQgbG93IGJpcnRoIHdlaWdodDogYSBzeXN0ZW1hdGljIHJldmlldyBhbmQgbWV0YS1hbmFs
eXNlczwvdGl0bGU+PHNlY29uZGFyeS10aXRsZT5JbnQgSiBFcGlkZW1pb2w8L3NlY29uZGFyeS10
aXRsZT48L3RpdGxlcz48cGVyaW9kaWNhbD48ZnVsbC10aXRsZT5JbnQgSiBFcGlkZW1pb2w8L2Z1
bGwtdGl0bGU+PC9wZXJpb2RpY2FsPjxwYWdlcz42NS0xMDE8L3BhZ2VzPjx2b2x1bWU+NDA8L3Zv
bHVtZT48bnVtYmVyPjE8L251bWJlcj48ZWRpdGlvbj4yMDEwLzExLzI2PC9lZGl0aW9uPjxrZXl3
b3Jkcz48a2V5d29yZD5Cb2R5IE1hc3MgSW5kZXg8L2tleXdvcmQ+PGtleXdvcmQ+RmVtYWxlPC9r
ZXl3b3JkPjxrZXl3b3JkPkh1bWFuczwva2V5d29yZD48a2V5d29yZD4qSW5mYW50LCBMb3cgQmly
dGggV2VpZ2h0PC9rZXl3b3JkPjxrZXl3b3JkPkluZmFudCwgTmV3Ym9ybjwva2V5d29yZD48a2V5
d29yZD4qTW90aGVyczwva2V5d29yZD48a2V5d29yZD5QcmVnbmFuY3k8L2tleXdvcmQ+PGtleXdv
cmQ+UHJlZ25hbmN5IE91dGNvbWU8L2tleXdvcmQ+PGtleXdvcmQ+UHJlbWF0dXJlIEJpcnRoLypl
cGlkZW1pb2xvZ3k8L2tleXdvcmQ+PGtleXdvcmQ+UmlzayBGYWN0b3JzPC9rZXl3b3JkPjxrZXl3
b3JkPipUaGlubmVzczwva2V5d29yZD48L2tleXdvcmRzPjxkYXRlcz48eWVhcj4yMDExPC95ZWFy
PjxwdWItZGF0ZXM+PGRhdGU+RmViPC9kYXRlPjwvcHViLWRhdGVzPjwvZGF0ZXM+PGlzYm4+MTQ2
NC0zNjg1IChFbGVjdHJvbmljKSYjeEQ7MDMwMC01NzcxIChMaW5raW5nKTwvaXNibj48YWNjZXNz
aW9uLW51bT4yMTA5Nzk1NDwvYWNjZXNzaW9uLW51bT48dXJscz48cmVsYXRlZC11cmxzPjx1cmw+
aHR0cHM6Ly93d3cubmNiaS5ubG0ubmloLmdvdi9wdWJtZWQvMjEwOTc5NTQ8L3VybD48L3JlbGF0
ZWQtdXJscz48L3VybHM+PGVsZWN0cm9uaWMtcmVzb3VyY2UtbnVtPjEwLjEwOTMvaWplL2R5cTE5
NTwvZWxlY3Ryb25pYy1yZXNvdXJjZS1udW0+PC9yZWNvcmQ+PC9DaXRlPjxDaXRlPjxBdXRob3I+
TGl1PC9BdXRob3I+PFllYXI+MjAxNjwvWWVhcj48UmVjTnVtPjE4NjM8L1JlY051bT48cmVjb3Jk
PjxyZWMtbnVtYmVyPjE4NjM8L3JlYy1udW1iZXI+PGZvcmVpZ24ta2V5cz48a2V5IGFwcD0iRU4i
IGRiLWlkPSJleHZhc3JmeDJkdHJhb2VzYXN4cDJzenN4YTJkZjUwMjU5MngiIHRpbWVzdGFtcD0i
MTU4Nzc5NDE1OCI+MTg2Mzwva2V5PjxrZXkgYXBwPSJFTldlYiIgZGItaWQ9IiI+MDwva2V5Pjwv
Zm9yZWlnbi1rZXlzPjxyZWYtdHlwZSBuYW1lPSJKb3VybmFsIEFydGljbGUiPjE3PC9yZWYtdHlw
ZT48Y29udHJpYnV0b3JzPjxhdXRob3JzPjxhdXRob3I+TGl1LCBQLjwvYXV0aG9yPjxhdXRob3I+
WHUsIEwuPC9hdXRob3I+PGF1dGhvcj5XYW5nLCBZLjwvYXV0aG9yPjxhdXRob3I+WmhhbmcsIFku
PC9hdXRob3I+PGF1dGhvcj5EdSwgWS48L2F1dGhvcj48YXV0aG9yPlN1biwgWS48L2F1dGhvcj48
YXV0aG9yPldhbmcsIFouPC9hdXRob3I+PC9hdXRob3JzPjwvY29udHJpYnV0b3JzPjxhdXRoLWFk
ZHJlc3M+RGVwYXJ0bWVudCBvZiBFcGlkZW1pb2xvZ3kgYW5kIEhlYWx0aCBTdGF0aXN0aWNzLCBT
Y2hvb2wgb2YgUHVibGljIEhlYWx0aCwgU2hhbmRvbmcgVW5pdmVyc2l0eSwgU2hhbmRvbmcsIENo
aW5hLiYjeEQ7RGl2aXNpb24gb2YgRXBpZGVtaW9sb2d5IFN1cnZleSwgQ2hpbmEgQW5pbWFsIEhl
YWx0aCBhbmQgRXBpZGVtaW9sb2d5IENlbnRlciwgTWluaXN0cnkgb2YgQWdyaWN1bHR1cmUsIEJl
aWppbmcsIENoaW5hLiYjeEQ7RGVwYXJ0bWVudCBvZiBIZWFsdGgsIEppbmFuIE1hdGVybmFsIGFu
ZCBDaGlsZCBDYXJlIFNlcnZpY2UgQ2VudHJlLCBTaGFuZG9uZywgQ2hpbmEuJiN4RDtEZXBhcnRt
ZW50IG9mIEVwaWRlbWlvbG9neSBhbmQgSGVhbHRoIFN0YXRpc3RpY3MsIFNjaG9vbCBvZiBQdWJs
aWMgSGVhbHRoLCBTaGFuZG9uZyBVbml2ZXJzaXR5LCBTaGFuZG9uZywgQ2hpbmEuIHpoaXBpbmd3
QHNkdS5lZHUuY24uPC9hdXRoLWFkZHJlc3M+PHRpdGxlcz48dGl0bGU+QXNzb2NpYXRpb24gYmV0
d2VlbiBwZXJpbmF0YWwgb3V0Y29tZXMgYW5kIG1hdGVybmFsIHByZS1wcmVnbmFuY3kgYm9keSBt
YXNzIGluZGV4PC90aXRsZT48c2Vjb25kYXJ5LXRpdGxlPk9iZXMgUmV2PC9zZWNvbmRhcnktdGl0
bGU+PC90aXRsZXM+PHBlcmlvZGljYWw+PGZ1bGwtdGl0bGU+T2JlcyBSZXY8L2Z1bGwtdGl0bGU+
PC9wZXJpb2RpY2FsPjxwYWdlcz4xMDkxLTExMDI8L3BhZ2VzPjx2b2x1bWU+MTc8L3ZvbHVtZT48
bnVtYmVyPjExPC9udW1iZXI+PGVkaXRpb24+MjAxNi8wOC8xOTwvZWRpdGlvbj48a2V5d29yZHM+
PGtleXdvcmQ+KkJvZHkgTWFzcyBJbmRleDwva2V5d29yZD48a2V5d29yZD5GZW1hbGU8L2tleXdv
cmQ+PGtleXdvcmQ+SHVtYW5zPC9rZXl3b3JkPjxrZXl3b3JkPipNb3RoZXJzPC9rZXl3b3JkPjxr
ZXl3b3JkPk92ZXJ3ZWlnaHQvKmVwaWRlbWlvbG9neTwva2V5d29yZD48a2V5d29yZD5QcmVnbmFu
Y3k8L2tleXdvcmQ+PGtleXdvcmQ+UHJlZ25hbmN5IENvbXBsaWNhdGlvbnMvKmVwaWRlbWlvbG9n
eTwva2V5d29yZD48a2V5d29yZD4qUHJlZ25hbmN5IE91dGNvbWU8L2tleXdvcmQ+PGtleXdvcmQ+
UmlzayBGYWN0b3JzPC9rZXl3b3JkPjxrZXl3b3JkPlRoaW5uZXNzLyplcGlkZW1pb2xvZ3k8L2tl
eXdvcmQ+PGtleXdvcmQ+V2VpZ2h0IEdhaW48L2tleXdvcmQ+PGtleXdvcmQ+KmJtaTwva2V5d29y
ZD48a2V5d29yZD4qb2Jlc2l0eTwva2V5d29yZD48a2V5d29yZD4qcGVyaW5hdGFsIG91dGNvbWVz
PC9rZXl3b3JkPjxrZXl3b3JkPipwcmVnbmFuY3k8L2tleXdvcmQ+PC9rZXl3b3Jkcz48ZGF0ZXM+
PHllYXI+MjAxNjwveWVhcj48cHViLWRhdGVzPjxkYXRlPk5vdjwvZGF0ZT48L3B1Yi1kYXRlcz48
L2RhdGVzPjxpc2JuPjE0NjctNzg5WCAoRWxlY3Ryb25pYykmI3hEOzE0NjctNzg4MSAoTGlua2lu
Zyk8L2lzYm4+PGFjY2Vzc2lvbi1udW0+Mjc1MzY4Nzk8L2FjY2Vzc2lvbi1udW0+PHVybHM+PHJl
bGF0ZWQtdXJscz48dXJsPmh0dHBzOi8vd3d3Lm5jYmkubmxtLm5paC5nb3YvcHVibWVkLzI3NTM2
ODc5PC91cmw+PC9yZWxhdGVkLXVybHM+PC91cmxzPjxlbGVjdHJvbmljLXJlc291cmNlLW51bT4x
MC4xMTExL29ici4xMjQ1NTwvZWxlY3Ryb25pYy1yZXNvdXJjZS1udW0+PC9yZWNvcmQ+PC9DaXRl
PjwvRW5kTm90ZT5=
</w:fldData>
        </w:fldChar>
      </w:r>
      <w:r w:rsidR="002747EA">
        <w:instrText xml:space="preserve"> ADDIN EN.CITE </w:instrText>
      </w:r>
      <w:r w:rsidR="002747EA">
        <w:fldChar w:fldCharType="begin">
          <w:fldData xml:space="preserve">PEVuZE5vdGU+PENpdGU+PEF1dGhvcj5IYW48L0F1dGhvcj48WWVhcj4yMDExPC9ZZWFyPjxSZWNO
dW0+MTg3NTwvUmVjTnVtPjxEaXNwbGF5VGV4dD48c3R5bGUgZmFjZT0ic3VwZXJzY3JpcHQiIGZv
bnQ9IlRyZWJ1Y2hldCBNUyIgc2l6ZT0iOSI+Mzg4LDM4OTwvc3R5bGU+PC9EaXNwbGF5VGV4dD48
cmVjb3JkPjxyZWMtbnVtYmVyPjE4NzU8L3JlYy1udW1iZXI+PGZvcmVpZ24ta2V5cz48a2V5IGFw
cD0iRU4iIGRiLWlkPSJleHZhc3JmeDJkdHJhb2VzYXN4cDJzenN4YTJkZjUwMjU5MngiIHRpbWVz
dGFtcD0iMTU4ODIwMjk4NSI+MTg3NTwva2V5PjxrZXkgYXBwPSJFTldlYiIgZGItaWQ9IiI+MDwv
a2V5PjwvZm9yZWlnbi1rZXlzPjxyZWYtdHlwZSBuYW1lPSJKb3VybmFsIEFydGljbGUiPjE3PC9y
ZWYtdHlwZT48Y29udHJpYnV0b3JzPjxhdXRob3JzPjxhdXRob3I+SGFuLCBaLjwvYXV0aG9yPjxh
dXRob3I+TXVsbGEsIFMuPC9hdXRob3I+PGF1dGhvcj5CZXllbmUsIEouPC9hdXRob3I+PGF1dGhv
cj5MaWFvLCBHLjwvYXV0aG9yPjxhdXRob3I+TWNEb25hbGQsIFMuIEQuPC9hdXRob3I+PGF1dGhv
cj5Lbm93bGVkZ2UgU3ludGhlc2lzLCBHcm91cDwvYXV0aG9yPjwvYXV0aG9ycz48L2NvbnRyaWJ1
dG9ycz48YXV0aC1hZGRyZXNzPkRlcGFydG1lbnQgb2YgT2JzdGV0cmljcyBhbmQgR3luZWNvbG9n
eSwgRmlyc3QgQWZmaWxpYXRlZCBIb3NwaXRhbCBvZiBYaSZhcG9zO2FuIEppYW8gVG9uZyBVbml2
ZXJzaXR5LCBTaGFhbnhpIFByb3ZpbmNlLCBQUiBDaGluYS48L2F1dGgtYWRkcmVzcz48dGl0bGVz
Pjx0aXRsZT5NYXRlcm5hbCB1bmRlcndlaWdodCBhbmQgdGhlIHJpc2sgb2YgcHJldGVybSBiaXJ0
aCBhbmQgbG93IGJpcnRoIHdlaWdodDogYSBzeXN0ZW1hdGljIHJldmlldyBhbmQgbWV0YS1hbmFs
eXNlczwvdGl0bGU+PHNlY29uZGFyeS10aXRsZT5JbnQgSiBFcGlkZW1pb2w8L3NlY29uZGFyeS10
aXRsZT48L3RpdGxlcz48cGVyaW9kaWNhbD48ZnVsbC10aXRsZT5JbnQgSiBFcGlkZW1pb2w8L2Z1
bGwtdGl0bGU+PC9wZXJpb2RpY2FsPjxwYWdlcz42NS0xMDE8L3BhZ2VzPjx2b2x1bWU+NDA8L3Zv
bHVtZT48bnVtYmVyPjE8L251bWJlcj48ZWRpdGlvbj4yMDEwLzExLzI2PC9lZGl0aW9uPjxrZXl3
b3Jkcz48a2V5d29yZD5Cb2R5IE1hc3MgSW5kZXg8L2tleXdvcmQ+PGtleXdvcmQ+RmVtYWxlPC9r
ZXl3b3JkPjxrZXl3b3JkPkh1bWFuczwva2V5d29yZD48a2V5d29yZD4qSW5mYW50LCBMb3cgQmly
dGggV2VpZ2h0PC9rZXl3b3JkPjxrZXl3b3JkPkluZmFudCwgTmV3Ym9ybjwva2V5d29yZD48a2V5
d29yZD4qTW90aGVyczwva2V5d29yZD48a2V5d29yZD5QcmVnbmFuY3k8L2tleXdvcmQ+PGtleXdv
cmQ+UHJlZ25hbmN5IE91dGNvbWU8L2tleXdvcmQ+PGtleXdvcmQ+UHJlbWF0dXJlIEJpcnRoLypl
cGlkZW1pb2xvZ3k8L2tleXdvcmQ+PGtleXdvcmQ+UmlzayBGYWN0b3JzPC9rZXl3b3JkPjxrZXl3
b3JkPipUaGlubmVzczwva2V5d29yZD48L2tleXdvcmRzPjxkYXRlcz48eWVhcj4yMDExPC95ZWFy
PjxwdWItZGF0ZXM+PGRhdGU+RmViPC9kYXRlPjwvcHViLWRhdGVzPjwvZGF0ZXM+PGlzYm4+MTQ2
NC0zNjg1IChFbGVjdHJvbmljKSYjeEQ7MDMwMC01NzcxIChMaW5raW5nKTwvaXNibj48YWNjZXNz
aW9uLW51bT4yMTA5Nzk1NDwvYWNjZXNzaW9uLW51bT48dXJscz48cmVsYXRlZC11cmxzPjx1cmw+
aHR0cHM6Ly93d3cubmNiaS5ubG0ubmloLmdvdi9wdWJtZWQvMjEwOTc5NTQ8L3VybD48L3JlbGF0
ZWQtdXJscz48L3VybHM+PGVsZWN0cm9uaWMtcmVzb3VyY2UtbnVtPjEwLjEwOTMvaWplL2R5cTE5
NTwvZWxlY3Ryb25pYy1yZXNvdXJjZS1udW0+PC9yZWNvcmQ+PC9DaXRlPjxDaXRlPjxBdXRob3I+
TGl1PC9BdXRob3I+PFllYXI+MjAxNjwvWWVhcj48UmVjTnVtPjE4NjM8L1JlY051bT48cmVjb3Jk
PjxyZWMtbnVtYmVyPjE4NjM8L3JlYy1udW1iZXI+PGZvcmVpZ24ta2V5cz48a2V5IGFwcD0iRU4i
IGRiLWlkPSJleHZhc3JmeDJkdHJhb2VzYXN4cDJzenN4YTJkZjUwMjU5MngiIHRpbWVzdGFtcD0i
MTU4Nzc5NDE1OCI+MTg2Mzwva2V5PjxrZXkgYXBwPSJFTldlYiIgZGItaWQ9IiI+MDwva2V5Pjwv
Zm9yZWlnbi1rZXlzPjxyZWYtdHlwZSBuYW1lPSJKb3VybmFsIEFydGljbGUiPjE3PC9yZWYtdHlw
ZT48Y29udHJpYnV0b3JzPjxhdXRob3JzPjxhdXRob3I+TGl1LCBQLjwvYXV0aG9yPjxhdXRob3I+
WHUsIEwuPC9hdXRob3I+PGF1dGhvcj5XYW5nLCBZLjwvYXV0aG9yPjxhdXRob3I+WmhhbmcsIFku
PC9hdXRob3I+PGF1dGhvcj5EdSwgWS48L2F1dGhvcj48YXV0aG9yPlN1biwgWS48L2F1dGhvcj48
YXV0aG9yPldhbmcsIFouPC9hdXRob3I+PC9hdXRob3JzPjwvY29udHJpYnV0b3JzPjxhdXRoLWFk
ZHJlc3M+RGVwYXJ0bWVudCBvZiBFcGlkZW1pb2xvZ3kgYW5kIEhlYWx0aCBTdGF0aXN0aWNzLCBT
Y2hvb2wgb2YgUHVibGljIEhlYWx0aCwgU2hhbmRvbmcgVW5pdmVyc2l0eSwgU2hhbmRvbmcsIENo
aW5hLiYjeEQ7RGl2aXNpb24gb2YgRXBpZGVtaW9sb2d5IFN1cnZleSwgQ2hpbmEgQW5pbWFsIEhl
YWx0aCBhbmQgRXBpZGVtaW9sb2d5IENlbnRlciwgTWluaXN0cnkgb2YgQWdyaWN1bHR1cmUsIEJl
aWppbmcsIENoaW5hLiYjeEQ7RGVwYXJ0bWVudCBvZiBIZWFsdGgsIEppbmFuIE1hdGVybmFsIGFu
ZCBDaGlsZCBDYXJlIFNlcnZpY2UgQ2VudHJlLCBTaGFuZG9uZywgQ2hpbmEuJiN4RDtEZXBhcnRt
ZW50IG9mIEVwaWRlbWlvbG9neSBhbmQgSGVhbHRoIFN0YXRpc3RpY3MsIFNjaG9vbCBvZiBQdWJs
aWMgSGVhbHRoLCBTaGFuZG9uZyBVbml2ZXJzaXR5LCBTaGFuZG9uZywgQ2hpbmEuIHpoaXBpbmd3
QHNkdS5lZHUuY24uPC9hdXRoLWFkZHJlc3M+PHRpdGxlcz48dGl0bGU+QXNzb2NpYXRpb24gYmV0
d2VlbiBwZXJpbmF0YWwgb3V0Y29tZXMgYW5kIG1hdGVybmFsIHByZS1wcmVnbmFuY3kgYm9keSBt
YXNzIGluZGV4PC90aXRsZT48c2Vjb25kYXJ5LXRpdGxlPk9iZXMgUmV2PC9zZWNvbmRhcnktdGl0
bGU+PC90aXRsZXM+PHBlcmlvZGljYWw+PGZ1bGwtdGl0bGU+T2JlcyBSZXY8L2Z1bGwtdGl0bGU+
PC9wZXJpb2RpY2FsPjxwYWdlcz4xMDkxLTExMDI8L3BhZ2VzPjx2b2x1bWU+MTc8L3ZvbHVtZT48
bnVtYmVyPjExPC9udW1iZXI+PGVkaXRpb24+MjAxNi8wOC8xOTwvZWRpdGlvbj48a2V5d29yZHM+
PGtleXdvcmQ+KkJvZHkgTWFzcyBJbmRleDwva2V5d29yZD48a2V5d29yZD5GZW1hbGU8L2tleXdv
cmQ+PGtleXdvcmQ+SHVtYW5zPC9rZXl3b3JkPjxrZXl3b3JkPipNb3RoZXJzPC9rZXl3b3JkPjxr
ZXl3b3JkPk92ZXJ3ZWlnaHQvKmVwaWRlbWlvbG9neTwva2V5d29yZD48a2V5d29yZD5QcmVnbmFu
Y3k8L2tleXdvcmQ+PGtleXdvcmQ+UHJlZ25hbmN5IENvbXBsaWNhdGlvbnMvKmVwaWRlbWlvbG9n
eTwva2V5d29yZD48a2V5d29yZD4qUHJlZ25hbmN5IE91dGNvbWU8L2tleXdvcmQ+PGtleXdvcmQ+
UmlzayBGYWN0b3JzPC9rZXl3b3JkPjxrZXl3b3JkPlRoaW5uZXNzLyplcGlkZW1pb2xvZ3k8L2tl
eXdvcmQ+PGtleXdvcmQ+V2VpZ2h0IEdhaW48L2tleXdvcmQ+PGtleXdvcmQ+KmJtaTwva2V5d29y
ZD48a2V5d29yZD4qb2Jlc2l0eTwva2V5d29yZD48a2V5d29yZD4qcGVyaW5hdGFsIG91dGNvbWVz
PC9rZXl3b3JkPjxrZXl3b3JkPipwcmVnbmFuY3k8L2tleXdvcmQ+PC9rZXl3b3Jkcz48ZGF0ZXM+
PHllYXI+MjAxNjwveWVhcj48cHViLWRhdGVzPjxkYXRlPk5vdjwvZGF0ZT48L3B1Yi1kYXRlcz48
L2RhdGVzPjxpc2JuPjE0NjctNzg5WCAoRWxlY3Ryb25pYykmI3hEOzE0NjctNzg4MSAoTGlua2lu
Zyk8L2lzYm4+PGFjY2Vzc2lvbi1udW0+Mjc1MzY4Nzk8L2FjY2Vzc2lvbi1udW0+PHVybHM+PHJl
bGF0ZWQtdXJscz48dXJsPmh0dHBzOi8vd3d3Lm5jYmkubmxtLm5paC5nb3YvcHVibWVkLzI3NTM2
ODc5PC91cmw+PC9yZWxhdGVkLXVybHM+PC91cmxzPjxlbGVjdHJvbmljLXJlc291cmNlLW51bT4x
MC4xMTExL29ici4xMjQ1NTwvZWxlY3Ryb25pYy1yZXNvdXJjZS1udW0+PC9yZWNvcmQ+PC9DaXRl
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388,389</w:t>
      </w:r>
      <w:r w:rsidR="00D07346">
        <w:fldChar w:fldCharType="end"/>
      </w:r>
      <w:r>
        <w:t>, small for gestational age</w:t>
      </w:r>
      <w:r w:rsidR="00D07346">
        <w:fldChar w:fldCharType="begin">
          <w:fldData xml:space="preserve">PEVuZE5vdGU+PENpdGU+PEF1dGhvcj5MaXU8L0F1dGhvcj48WWVhcj4yMDE2PC9ZZWFyPjxSZWNO
dW0+MTg2MzwvUmVjTnVtPjxEaXNwbGF5VGV4dD48c3R5bGUgZmFjZT0ic3VwZXJzY3JpcHQiIGZv
bnQ9IlRyZWJ1Y2hldCBNUyIgc2l6ZT0iOSI+Mzg5LTM5Mjwvc3R5bGU+PC9EaXNwbGF5VGV4dD48
cmVjb3JkPjxyZWMtbnVtYmVyPjE4NjM8L3JlYy1udW1iZXI+PGZvcmVpZ24ta2V5cz48a2V5IGFw
cD0iRU4iIGRiLWlkPSJleHZhc3JmeDJkdHJhb2VzYXN4cDJzenN4YTJkZjUwMjU5MngiIHRpbWVz
dGFtcD0iMTU4Nzc5NDE1OCI+MTg2Mzwva2V5PjxrZXkgYXBwPSJFTldlYiIgZGItaWQ9IiI+MDwv
a2V5PjwvZm9yZWlnbi1rZXlzPjxyZWYtdHlwZSBuYW1lPSJKb3VybmFsIEFydGljbGUiPjE3PC9y
ZWYtdHlwZT48Y29udHJpYnV0b3JzPjxhdXRob3JzPjxhdXRob3I+TGl1LCBQLjwvYXV0aG9yPjxh
dXRob3I+WHUsIEwuPC9hdXRob3I+PGF1dGhvcj5XYW5nLCBZLjwvYXV0aG9yPjxhdXRob3I+Wmhh
bmcsIFkuPC9hdXRob3I+PGF1dGhvcj5EdSwgWS48L2F1dGhvcj48YXV0aG9yPlN1biwgWS48L2F1
dGhvcj48YXV0aG9yPldhbmcsIFouPC9hdXRob3I+PC9hdXRob3JzPjwvY29udHJpYnV0b3JzPjxh
dXRoLWFkZHJlc3M+RGVwYXJ0bWVudCBvZiBFcGlkZW1pb2xvZ3kgYW5kIEhlYWx0aCBTdGF0aXN0
aWNzLCBTY2hvb2wgb2YgUHVibGljIEhlYWx0aCwgU2hhbmRvbmcgVW5pdmVyc2l0eSwgU2hhbmRv
bmcsIENoaW5hLiYjeEQ7RGl2aXNpb24gb2YgRXBpZGVtaW9sb2d5IFN1cnZleSwgQ2hpbmEgQW5p
bWFsIEhlYWx0aCBhbmQgRXBpZGVtaW9sb2d5IENlbnRlciwgTWluaXN0cnkgb2YgQWdyaWN1bHR1
cmUsIEJlaWppbmcsIENoaW5hLiYjeEQ7RGVwYXJ0bWVudCBvZiBIZWFsdGgsIEppbmFuIE1hdGVy
bmFsIGFuZCBDaGlsZCBDYXJlIFNlcnZpY2UgQ2VudHJlLCBTaGFuZG9uZywgQ2hpbmEuJiN4RDtE
ZXBhcnRtZW50IG9mIEVwaWRlbWlvbG9neSBhbmQgSGVhbHRoIFN0YXRpc3RpY3MsIFNjaG9vbCBv
ZiBQdWJsaWMgSGVhbHRoLCBTaGFuZG9uZyBVbml2ZXJzaXR5LCBTaGFuZG9uZywgQ2hpbmEuIHpo
aXBpbmd3QHNkdS5lZHUuY24uPC9hdXRoLWFkZHJlc3M+PHRpdGxlcz48dGl0bGU+QXNzb2NpYXRp
b24gYmV0d2VlbiBwZXJpbmF0YWwgb3V0Y29tZXMgYW5kIG1hdGVybmFsIHByZS1wcmVnbmFuY3kg
Ym9keSBtYXNzIGluZGV4PC90aXRsZT48c2Vjb25kYXJ5LXRpdGxlPk9iZXMgUmV2PC9zZWNvbmRh
cnktdGl0bGU+PC90aXRsZXM+PHBlcmlvZGljYWw+PGZ1bGwtdGl0bGU+T2JlcyBSZXY8L2Z1bGwt
dGl0bGU+PC9wZXJpb2RpY2FsPjxwYWdlcz4xMDkxLTExMDI8L3BhZ2VzPjx2b2x1bWU+MTc8L3Zv
bHVtZT48bnVtYmVyPjExPC9udW1iZXI+PGVkaXRpb24+MjAxNi8wOC8xOTwvZWRpdGlvbj48a2V5
d29yZHM+PGtleXdvcmQ+KkJvZHkgTWFzcyBJbmRleDwva2V5d29yZD48a2V5d29yZD5GZW1hbGU8
L2tleXdvcmQ+PGtleXdvcmQ+SHVtYW5zPC9rZXl3b3JkPjxrZXl3b3JkPipNb3RoZXJzPC9rZXl3
b3JkPjxrZXl3b3JkPk92ZXJ3ZWlnaHQvKmVwaWRlbWlvbG9neTwva2V5d29yZD48a2V5d29yZD5Q
cmVnbmFuY3k8L2tleXdvcmQ+PGtleXdvcmQ+UHJlZ25hbmN5IENvbXBsaWNhdGlvbnMvKmVwaWRl
bWlvbG9neTwva2V5d29yZD48a2V5d29yZD4qUHJlZ25hbmN5IE91dGNvbWU8L2tleXdvcmQ+PGtl
eXdvcmQ+UmlzayBGYWN0b3JzPC9rZXl3b3JkPjxrZXl3b3JkPlRoaW5uZXNzLyplcGlkZW1pb2xv
Z3k8L2tleXdvcmQ+PGtleXdvcmQ+V2VpZ2h0IEdhaW48L2tleXdvcmQ+PGtleXdvcmQ+KmJtaTwv
a2V5d29yZD48a2V5d29yZD4qb2Jlc2l0eTwva2V5d29yZD48a2V5d29yZD4qcGVyaW5hdGFsIG91
dGNvbWVzPC9rZXl3b3JkPjxrZXl3b3JkPipwcmVnbmFuY3k8L2tleXdvcmQ+PC9rZXl3b3Jkcz48
ZGF0ZXM+PHllYXI+MjAxNjwveWVhcj48cHViLWRhdGVzPjxkYXRlPk5vdjwvZGF0ZT48L3B1Yi1k
YXRlcz48L2RhdGVzPjxpc2JuPjE0NjctNzg5WCAoRWxlY3Ryb25pYykmI3hEOzE0NjctNzg4MSAo
TGlua2luZyk8L2lzYm4+PGFjY2Vzc2lvbi1udW0+Mjc1MzY4Nzk8L2FjY2Vzc2lvbi1udW0+PHVy
bHM+PHJlbGF0ZWQtdXJscz48dXJsPmh0dHBzOi8vd3d3Lm5jYmkubmxtLm5paC5nb3YvcHVibWVk
LzI3NTM2ODc5PC91cmw+PC9yZWxhdGVkLXVybHM+PC91cmxzPjxlbGVjdHJvbmljLXJlc291cmNl
LW51bT4xMC4xMTExL29ici4xMjQ1NTwvZWxlY3Ryb25pYy1yZXNvdXJjZS1udW0+PC9yZWNvcmQ+
PC9DaXRlPjxDaXRlPjxBdXRob3I+TGl1PC9BdXRob3I+PFllYXI+MjAxOTwvWWVhcj48UmVjTnVt
PjE4NjQ8L1JlY051bT48cmVjb3JkPjxyZWMtbnVtYmVyPjE4NjQ8L3JlYy1udW1iZXI+PGZvcmVp
Z24ta2V5cz48a2V5IGFwcD0iRU4iIGRiLWlkPSJleHZhc3JmeDJkdHJhb2VzYXN4cDJzenN4YTJk
ZjUwMjU5MngiIHRpbWVzdGFtcD0iMTU4Nzc5NDE2NCI+MTg2NDwva2V5PjxrZXkgYXBwPSJFTldl
YiIgZGItaWQ9IiI+MDwva2V5PjwvZm9yZWlnbi1rZXlzPjxyZWYtdHlwZSBuYW1lPSJKb3VybmFs
IEFydGljbGUiPjE3PC9yZWYtdHlwZT48Y29udHJpYnV0b3JzPjxhdXRob3JzPjxhdXRob3I+TGl1
LCBMLjwvYXV0aG9yPjxhdXRob3I+TWEsIFkuPC9hdXRob3I+PGF1dGhvcj5XYW5nLCBOLjwvYXV0
aG9yPjxhdXRob3I+TGluLCBXLjwvYXV0aG9yPjxhdXRob3I+TGl1LCBZLjwvYXV0aG9yPjxhdXRo
b3I+V2VuLCBELjwvYXV0aG9yPjwvYXV0aG9ycz48L2NvbnRyaWJ1dG9ycz48YXV0aC1hZGRyZXNz
PlNjaG9vbCBvZiBQdWJsaWMgSGVhbHRoLCBEYWxpYW4gTWVkaWNhbCBVbml2ZXJzaXR5LCBEYWxp
YW4sIExpYW9uaW5nIFByb3ZpbmNlLCAxMTYwNDQsIFBlb3BsZSZhcG9zO3MgUmVwdWJsaWMgb2Yg
Q2hpbmEuJiN4RDtTY2hvb2wgb2YgUHVibGljIEhlYWx0aCwgQ2hpbmEgTWVkaWNhbCBVbml2ZXJz
aXR5LCBOby43NyBQdWhlIFJvYWQsIFNoZW55YW5nIE5vcnRoIE5ldyBBcmVhLCBTaGVueWFuZywg
TGlhb25pbmcgUHJvdmluY2UsIDExMDEyMiwgUGVvcGxlJmFwb3M7cyBSZXB1YmxpYyBvZiBDaGlu
YS4mI3hEO1NjaG9vbCBvZiBQdWJsaWMgSGVhbHRoLCBDaGluYSBNZWRpY2FsIFVuaXZlcnNpdHks
IE5vLjc3IFB1aGUgUm9hZCwgU2hlbnlhbmcgTm9ydGggTmV3IEFyZWEsIFNoZW55YW5nLCBMaWFv
bmluZyBQcm92aW5jZSwgMTEwMTIyLCBQZW9wbGUmYXBvcztzIFJlcHVibGljIG9mIENoaW5hLiBk
bHdlbkBjbXUuZWR1LmNuLjwvYXV0aC1hZGRyZXNzPjx0aXRsZXM+PHRpdGxlPk1hdGVybmFsIGJv
ZHkgbWFzcyBpbmRleCBhbmQgcmlzayBvZiBuZW9uYXRhbCBhZHZlcnNlIG91dGNvbWVzIGluIENo
aW5hOiBhIHN5c3RlbWF0aWMgcmV2aWV3IGFuZCBtZXRhLWFuYWx5c2lzPC90aXRsZT48c2Vjb25k
YXJ5LXRpdGxlPkJNQyBQcmVnbmFuY3kgQ2hpbGRiaXJ0aDwvc2Vjb25kYXJ5LXRpdGxlPjwvdGl0
bGVzPjxwZXJpb2RpY2FsPjxmdWxsLXRpdGxlPkJNQyBQcmVnbmFuY3kgQ2hpbGRiaXJ0aDwvZnVs
bC10aXRsZT48L3BlcmlvZGljYWw+PHBhZ2VzPjEwNTwvcGFnZXM+PHZvbHVtZT4xOTwvdm9sdW1l
PjxudW1iZXI+MTwvbnVtYmVyPjxlZGl0aW9uPjIwMTkvMDMvMzA8L2VkaXRpb24+PGtleXdvcmRz
PjxrZXl3b3JkPkFkdWx0PC9rZXl3b3JkPjxrZXl3b3JkPkJpcnRoIFdlaWdodDwva2V5d29yZD48
a2V5d29yZD4qQm9keSBNYXNzIEluZGV4PC9rZXl3b3JkPjxrZXl3b3JkPkNoaW5hL2VwaWRlbWlv
bG9neTwva2V5d29yZD48a2V5d29yZD5GZW1hbGU8L2tleXdvcmQ+PGtleXdvcmQ+RmV0YWwgTWFj
cm9zb21pYS9ldGlvbG9neTwva2V5d29yZD48a2V5d29yZD5HZXN0YXRpb25hbCBXZWlnaHQgR2Fp
bjwva2V5d29yZD48a2V5d29yZD5IdW1hbnM8L2tleXdvcmQ+PGtleXdvcmQ+SW5mYW50LCBMb3cg
QmlydGggV2VpZ2h0PC9rZXl3b3JkPjxrZXl3b3JkPkluZmFudCwgTmV3Ym9ybjwva2V5d29yZD48
a2V5d29yZD5JbmZhbnQsIFNtYWxsIGZvciBHZXN0YXRpb25hbCBBZ2U8L2tleXdvcmQ+PGtleXdv
cmQ+T2Jlc2l0eS9jb21wbGljYXRpb25zLypwaHlzaW9wYXRob2xvZ3k8L2tleXdvcmQ+PGtleXdv
cmQ+UHJlZ25hbmN5PC9rZXl3b3JkPjxrZXl3b3JkPlByZWduYW5jeSBDb21wbGljYXRpb25zL2V0
aW9sb2d5LypwaHlzaW9wYXRob2xvZ3k8L2tleXdvcmQ+PGtleXdvcmQ+UHJlZ25hbmN5IE91dGNv
bWUvKmVwaWRlbWlvbG9neTwva2V5d29yZD48a2V5d29yZD5SaXNrIEZhY3RvcnM8L2tleXdvcmQ+
PGtleXdvcmQ+Q29ob3J0IHN0dWR5PC9rZXl3b3JkPjxrZXl3b3JkPk1hdGVybmFsIEJNSTwva2V5
d29yZD48a2V5d29yZD5NZXRhLWFuYWx5c2lzPC9rZXl3b3JkPjxrZXl3b3JkPk5lb25hdGFsIG91
dGNvbWVzPC9rZXl3b3JkPjwva2V5d29yZHM+PGRhdGVzPjx5ZWFyPjIwMTk8L3llYXI+PHB1Yi1k
YXRlcz48ZGF0ZT5NYXIgMjk8L2RhdGU+PC9wdWItZGF0ZXM+PC9kYXRlcz48aXNibj4xNDcxLTIz
OTMgKEVsZWN0cm9uaWMpJiN4RDsxNDcxLTIzOTMgKExpbmtpbmcpPC9pc2JuPjxhY2Nlc3Npb24t
bnVtPjMwOTIyMjQ0PC9hY2Nlc3Npb24tbnVtPjx1cmxzPjxyZWxhdGVkLXVybHM+PHVybD5odHRw
czovL3d3dy5uY2JpLm5sbS5uaWguZ292L3B1Ym1lZC8zMDkyMjI0NDwvdXJsPjwvcmVsYXRlZC11
cmxzPjwvdXJscz48Y3VzdG9tMj5QTUM2NDQwMTIxPC9jdXN0b20yPjxlbGVjdHJvbmljLXJlc291
cmNlLW51bT4xMC4xMTg2L3MxMjg4NC0wMTktMjI0OS16PC9lbGVjdHJvbmljLXJlc291cmNlLW51
bT48L3JlY29yZD48L0NpdGU+PENpdGU+PEF1dGhvcj5Hb3RvPC9BdXRob3I+PFllYXI+MjAxNzwv
WWVhcj48UmVjTnVtPjE4NjI8L1JlY051bT48cmVjb3JkPjxyZWMtbnVtYmVyPjE4NjI8L3JlYy1u
dW1iZXI+PGZvcmVpZ24ta2V5cz48a2V5IGFwcD0iRU4iIGRiLWlkPSJleHZhc3JmeDJkdHJhb2Vz
YXN4cDJzenN4YTJkZjUwMjU5MngiIHRpbWVzdGFtcD0iMTU4Nzc5NDE0NSI+MTg2Mjwva2V5Pjxr
ZXkgYXBwPSJFTldlYiIgZGItaWQ9IiI+MDwva2V5PjwvZm9yZWlnbi1rZXlzPjxyZWYtdHlwZSBu
YW1lPSJKb3VybmFsIEFydGljbGUiPjE3PC9yZWYtdHlwZT48Y29udHJpYnV0b3JzPjxhdXRob3Jz
PjxhdXRob3I+R290bywgRS48L2F1dGhvcj48L2F1dGhvcnM+PC9jb250cmlidXRvcnM+PGF1dGgt
YWRkcmVzcz5hIERlcGFydG1lbnQgb2YgTWVkaWNpbmUgYW5kIFB1YmxpYyBIZWFsdGggLCBOYWdv
eWEgTWVkaWNhbCBTY2llbmNlIFJlc2VhcmNoIEluc3RpdHV0ZSAsIE5hZ295YSAsIEphcGFuLjwv
YXV0aC1hZGRyZXNzPjx0aXRsZXM+PHRpdGxlPkRvc2UtcmVzcG9uc2UgYXNzb2NpYXRpb24gYmV0
d2VlbiBtYXRlcm5hbCBib2R5IG1hc3MgaW5kZXggYW5kIHNtYWxsIGZvciBnZXN0YXRpb25hbCBh
Z2U6IGEgbWV0YS1hbmFseXNpczwvdGl0bGU+PHNlY29uZGFyeS10aXRsZT5KIE1hdGVybiBGZXRh
bCBOZW9uYXRhbCBNZWQ8L3NlY29uZGFyeS10aXRsZT48L3RpdGxlcz48cGVyaW9kaWNhbD48ZnVs
bC10aXRsZT5KIE1hdGVybiBGZXRhbCBOZW9uYXRhbCBNZWQ8L2Z1bGwtdGl0bGU+PC9wZXJpb2Rp
Y2FsPjxwYWdlcz4yMTMtMjE4PC9wYWdlcz48dm9sdW1lPjMwPC92b2x1bWU+PG51bWJlcj4yPC9u
dW1iZXI+PGVkaXRpb24+MjAxNi8wMy8yNDwvZWRpdGlvbj48a2V5d29yZHM+PGtleXdvcmQ+KkJv
ZHkgTWFzcyBJbmRleDwva2V5d29yZD48a2V5d29yZD5Cb2R5IFdlaWdodC8qcGh5c2lvbG9neTwv
a2V5d29yZD48a2V5d29yZD5GZW1hbGU8L2tleXdvcmQ+PGtleXdvcmQ+SHVtYW5zPC9rZXl3b3Jk
PjxrZXl3b3JkPkluZmFudCwgTmV3Ym9ybjwva2V5d29yZD48a2V5d29yZD4qSW5mYW50LCBTbWFs
bCBmb3IgR2VzdGF0aW9uYWwgQWdlPC9rZXl3b3JkPjxrZXl3b3JkPlByZWduYW5jeTwva2V5d29y
ZD48a2V5d29yZD5QcmVnbmFuY3kgQ29tcGxpY2F0aW9uczwva2V5d29yZD48a2V5d29yZD5SaXNr
IEZhY3RvcnM8L2tleXdvcmQ+PGtleXdvcmQ+KkFudGhyb3BvbWV0cnk8L2tleXdvcmQ+PGtleXdv
cmQ+Km1ldGEtYW5hbHlzaXM8L2tleXdvcmQ+PGtleXdvcmQ+KnJpc2s8L2tleXdvcmQ+PGtleXdv
cmQ+KnNtYWxsIGZvciBnZXN0YXRpb25hbCBhZ2U8L2tleXdvcmQ+PC9rZXl3b3Jkcz48ZGF0ZXM+
PHllYXI+MjAxNzwveWVhcj48cHViLWRhdGVzPjxkYXRlPkphbjwvZGF0ZT48L3B1Yi1kYXRlcz48
L2RhdGVzPjxpc2JuPjE0NzYtNDk1NCAoRWxlY3Ryb25pYykmI3hEOzE0NzYtNDk1NCAoTGlua2lu
Zyk8L2lzYm4+PGFjY2Vzc2lvbi1udW0+MjcwMDIzNjM8L2FjY2Vzc2lvbi1udW0+PHVybHM+PHJl
bGF0ZWQtdXJscz48dXJsPmh0dHBzOi8vd3d3Lm5jYmkubmxtLm5paC5nb3YvcHVibWVkLzI3MDAy
MzYzPC91cmw+PC9yZWxhdGVkLXVybHM+PC91cmxzPjxlbGVjdHJvbmljLXJlc291cmNlLW51bT4x
MC4zMTA5LzE0NzY3MDU4LjIwMTYuMTE2OTUxOTwvZWxlY3Ryb25pYy1yZXNvdXJjZS1udW0+PC9y
ZWNvcmQ+PC9DaXRlPjxDaXRlPjxBdXRob3I+WXU8L0F1dGhvcj48WWVhcj4yMDEzPC9ZZWFyPjxS
ZWNOdW0+MTg2NzwvUmVjTnVtPjxyZWNvcmQ+PHJlYy1udW1iZXI+MTg2NzwvcmVjLW51bWJlcj48
Zm9yZWlnbi1rZXlzPjxrZXkgYXBwPSJFTiIgZGItaWQ9ImV4dmFzcmZ4MmR0cmFvZXNhc3hwMnN6
c3hhMmRmNTAyNTkyeCIgdGltZXN0YW1wPSIxNTg3ODc1NDAwIj4xODY3PC9rZXk+PC9mb3JlaWdu
LWtleXM+PHJlZi10eXBlIG5hbWU9IkpvdXJuYWwgQXJ0aWNsZSI+MTc8L3JlZi10eXBlPjxjb250
cmlidXRvcnM+PGF1dGhvcnM+PGF1dGhvcj5ZdSwgWi48L2F1dGhvcj48YXV0aG9yPkhhbiwgUy48
L2F1dGhvcj48YXV0aG9yPlpodSwgSi48L2F1dGhvcj48YXV0aG9yPlN1biwgWC48L2F1dGhvcj48
YXV0aG9yPkppLCBDLjwvYXV0aG9yPjxhdXRob3I+R3VvLCBYLjwvYXV0aG9yPjwvYXV0aG9ycz48
L2NvbnRyaWJ1dG9ycz48YXV0aC1hZGRyZXNzPlN0YXRlIEtleSBMYWJvcmF0b3J5IG9mIFJlcHJv
ZHVjdGl2ZSBNZWRpY2luZSwgRGVwYXJ0bWVudCBvZiBQZWRpYXRyaWNzLCBOYW5qaW5nIE1hdGVy
bml0eSBhbmQgQ2hpbGQgSGVhbHRoIENhcmUgSG9zcGl0YWwsIE5hbmppbmcgTWVkaWNhbCBVbml2
ZXJzaXR5LCBOYW5qaW5nLCBDaGluYS48L2F1dGgtYWRkcmVzcz48dGl0bGVzPjx0aXRsZT5QcmUt
cHJlZ25hbmN5IGJvZHkgbWFzcyBpbmRleCBpbiByZWxhdGlvbiB0byBpbmZhbnQgYmlydGggd2Vp
Z2h0IGFuZCBvZmZzcHJpbmcgb3ZlcndlaWdodC9vYmVzaXR5OiBhIHN5c3RlbWF0aWMgcmV2aWV3
IGFuZCBtZXRhLWFuYWx5c2lzPC90aXRsZT48c2Vjb25kYXJ5LXRpdGxlPlBMb1MgT25lPC9zZWNv
bmRhcnktdGl0bGU+PC90aXRsZXM+PHBlcmlvZGljYWw+PGZ1bGwtdGl0bGU+UExvUyBPbmU8L2Z1
bGwtdGl0bGU+PC9wZXJpb2RpY2FsPjxwYWdlcz5lNjE2Mjc8L3BhZ2VzPjx2b2x1bWU+ODwvdm9s
dW1lPjxudW1iZXI+NDwvbnVtYmVyPjxlZGl0aW9uPjIwMTMvMDQvMjU8L2VkaXRpb24+PGtleXdv
cmRzPjxrZXl3b3JkPkJpcnRoIFdlaWdodC8qcGh5c2lvbG9neTwva2V5d29yZD48a2V5d29yZD4q
Qm9keSBNYXNzIEluZGV4PC9rZXl3b3JkPjxrZXl3b3JkPkZlbWFsZTwva2V5d29yZD48a2V5d29y
ZD5IdW1hbnM8L2tleXdvcmQ+PGtleXdvcmQ+SW5mYW50LCBOZXdib3JuPC9rZXl3b3JkPjxrZXl3
b3JkPk9iZXNpdHkvKmVwaWRlbWlvbG9neTwva2V5d29yZD48a2V5d29yZD5PdmVyd2VpZ2h0Lypl
cGlkZW1pb2xvZ3k8L2tleXdvcmQ+PGtleXdvcmQ+UHJlZ25hbmN5PC9rZXl3b3JkPjwva2V5d29y
ZHM+PGRhdGVzPjx5ZWFyPjIwMTM8L3llYXI+PC9kYXRlcz48aXNibj4xOTMyLTYyMDMgKEVsZWN0
cm9uaWMpJiN4RDsxOTMyLTYyMDMgKExpbmtpbmcpPC9pc2JuPjxhY2Nlc3Npb24tbnVtPjIzNjEz
ODg4PC9hY2Nlc3Npb24tbnVtPjx1cmxzPjxyZWxhdGVkLXVybHM+PHVybD5odHRwczovL3d3dy5u
Y2JpLm5sbS5uaWguZ292L3B1Ym1lZC8yMzYxMzg4ODwvdXJsPjwvcmVsYXRlZC11cmxzPjwvdXJs
cz48Y3VzdG9tMj5QTUMzNjI4Nzg4PC9jdXN0b20yPjxlbGVjdHJvbmljLXJlc291cmNlLW51bT4x
MC4xMzcxL2pvdXJuYWwucG9uZS4wMDYxNjI3PC9lbGVjdHJvbmljLXJlc291cmNlLW51bT48L3Jl
Y29yZD48L0NpdGU+PC9FbmROb3RlPgB=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bnQ9IlRyZWJ1Y2hldCBNUyIgc2l6ZT0iOSI+Mzg5LTM5Mjwvc3R5bGU+PC9EaXNwbGF5VGV4dD48
cmVjb3JkPjxyZWMtbnVtYmVyPjE4NjM8L3JlYy1udW1iZXI+PGZvcmVpZ24ta2V5cz48a2V5IGFw
cD0iRU4iIGRiLWlkPSJleHZhc3JmeDJkdHJhb2VzYXN4cDJzenN4YTJkZjUwMjU5MngiIHRpbWVz
dGFtcD0iMTU4Nzc5NDE1OCI+MTg2Mzwva2V5PjxrZXkgYXBwPSJFTldlYiIgZGItaWQ9IiI+MDwv
a2V5PjwvZm9yZWlnbi1rZXlzPjxyZWYtdHlwZSBuYW1lPSJKb3VybmFsIEFydGljbGUiPjE3PC9y
ZWYtdHlwZT48Y29udHJpYnV0b3JzPjxhdXRob3JzPjxhdXRob3I+TGl1LCBQLjwvYXV0aG9yPjxh
dXRob3I+WHUsIEwuPC9hdXRob3I+PGF1dGhvcj5XYW5nLCBZLjwvYXV0aG9yPjxhdXRob3I+Wmhh
bmcsIFkuPC9hdXRob3I+PGF1dGhvcj5EdSwgWS48L2F1dGhvcj48YXV0aG9yPlN1biwgWS48L2F1
dGhvcj48YXV0aG9yPldhbmcsIFouPC9hdXRob3I+PC9hdXRob3JzPjwvY29udHJpYnV0b3JzPjxh
dXRoLWFkZHJlc3M+RGVwYXJ0bWVudCBvZiBFcGlkZW1pb2xvZ3kgYW5kIEhlYWx0aCBTdGF0aXN0
aWNzLCBTY2hvb2wgb2YgUHVibGljIEhlYWx0aCwgU2hhbmRvbmcgVW5pdmVyc2l0eSwgU2hhbmRv
bmcsIENoaW5hLiYjeEQ7RGl2aXNpb24gb2YgRXBpZGVtaW9sb2d5IFN1cnZleSwgQ2hpbmEgQW5p
bWFsIEhlYWx0aCBhbmQgRXBpZGVtaW9sb2d5IENlbnRlciwgTWluaXN0cnkgb2YgQWdyaWN1bHR1
cmUsIEJlaWppbmcsIENoaW5hLiYjeEQ7RGVwYXJ0bWVudCBvZiBIZWFsdGgsIEppbmFuIE1hdGVy
bmFsIGFuZCBDaGlsZCBDYXJlIFNlcnZpY2UgQ2VudHJlLCBTaGFuZG9uZywgQ2hpbmEuJiN4RDtE
ZXBhcnRtZW50IG9mIEVwaWRlbWlvbG9neSBhbmQgSGVhbHRoIFN0YXRpc3RpY3MsIFNjaG9vbCBv
ZiBQdWJsaWMgSGVhbHRoLCBTaGFuZG9uZyBVbml2ZXJzaXR5LCBTaGFuZG9uZywgQ2hpbmEuIHpo
aXBpbmd3QHNkdS5lZHUuY24uPC9hdXRoLWFkZHJlc3M+PHRpdGxlcz48dGl0bGU+QXNzb2NpYXRp
b24gYmV0d2VlbiBwZXJpbmF0YWwgb3V0Y29tZXMgYW5kIG1hdGVybmFsIHByZS1wcmVnbmFuY3kg
Ym9keSBtYXNzIGluZGV4PC90aXRsZT48c2Vjb25kYXJ5LXRpdGxlPk9iZXMgUmV2PC9zZWNvbmRh
cnktdGl0bGU+PC90aXRsZXM+PHBlcmlvZGljYWw+PGZ1bGwtdGl0bGU+T2JlcyBSZXY8L2Z1bGwt
dGl0bGU+PC9wZXJpb2RpY2FsPjxwYWdlcz4xMDkxLTExMDI8L3BhZ2VzPjx2b2x1bWU+MTc8L3Zv
bHVtZT48bnVtYmVyPjExPC9udW1iZXI+PGVkaXRpb24+MjAxNi8wOC8xOTwvZWRpdGlvbj48a2V5
d29yZHM+PGtleXdvcmQ+KkJvZHkgTWFzcyBJbmRleDwva2V5d29yZD48a2V5d29yZD5GZW1hbGU8
L2tleXdvcmQ+PGtleXdvcmQ+SHVtYW5zPC9rZXl3b3JkPjxrZXl3b3JkPipNb3RoZXJzPC9rZXl3
b3JkPjxrZXl3b3JkPk92ZXJ3ZWlnaHQvKmVwaWRlbWlvbG9neTwva2V5d29yZD48a2V5d29yZD5Q
cmVnbmFuY3k8L2tleXdvcmQ+PGtleXdvcmQ+UHJlZ25hbmN5IENvbXBsaWNhdGlvbnMvKmVwaWRl
bWlvbG9neTwva2V5d29yZD48a2V5d29yZD4qUHJlZ25hbmN5IE91dGNvbWU8L2tleXdvcmQ+PGtl
eXdvcmQ+UmlzayBGYWN0b3JzPC9rZXl3b3JkPjxrZXl3b3JkPlRoaW5uZXNzLyplcGlkZW1pb2xv
Z3k8L2tleXdvcmQ+PGtleXdvcmQ+V2VpZ2h0IEdhaW48L2tleXdvcmQ+PGtleXdvcmQ+KmJtaTwv
a2V5d29yZD48a2V5d29yZD4qb2Jlc2l0eTwva2V5d29yZD48a2V5d29yZD4qcGVyaW5hdGFsIG91
dGNvbWVzPC9rZXl3b3JkPjxrZXl3b3JkPipwcmVnbmFuY3k8L2tleXdvcmQ+PC9rZXl3b3Jkcz48
ZGF0ZXM+PHllYXI+MjAxNjwveWVhcj48cHViLWRhdGVzPjxkYXRlPk5vdjwvZGF0ZT48L3B1Yi1k
YXRlcz48L2RhdGVzPjxpc2JuPjE0NjctNzg5WCAoRWxlY3Ryb25pYykmI3hEOzE0NjctNzg4MSAo
TGlua2luZyk8L2lzYm4+PGFjY2Vzc2lvbi1udW0+Mjc1MzY4Nzk8L2FjY2Vzc2lvbi1udW0+PHVy
bHM+PHJlbGF0ZWQtdXJscz48dXJsPmh0dHBzOi8vd3d3Lm5jYmkubmxtLm5paC5nb3YvcHVibWVk
LzI3NTM2ODc5PC91cmw+PC9yZWxhdGVkLXVybHM+PC91cmxzPjxlbGVjdHJvbmljLXJlc291cmNl
LW51bT4xMC4xMTExL29ici4xMjQ1NTwvZWxlY3Ryb25pYy1yZXNvdXJjZS1udW0+PC9yZWNvcmQ+
PC9DaXRlPjxDaXRlPjxBdXRob3I+TGl1PC9BdXRob3I+PFllYXI+MjAxOTwvWWVhcj48UmVjTnVt
PjE4NjQ8L1JlY051bT48cmVjb3JkPjxyZWMtbnVtYmVyPjE4NjQ8L3JlYy1udW1iZXI+PGZvcmVp
Z24ta2V5cz48a2V5IGFwcD0iRU4iIGRiLWlkPSJleHZhc3JmeDJkdHJhb2VzYXN4cDJzenN4YTJk
ZjUwMjU5MngiIHRpbWVzdGFtcD0iMTU4Nzc5NDE2NCI+MTg2NDwva2V5PjxrZXkgYXBwPSJFTldl
YiIgZGItaWQ9IiI+MDwva2V5PjwvZm9yZWlnbi1rZXlzPjxyZWYtdHlwZSBuYW1lPSJKb3VybmFs
IEFydGljbGUiPjE3PC9yZWYtdHlwZT48Y29udHJpYnV0b3JzPjxhdXRob3JzPjxhdXRob3I+TGl1
LCBMLjwvYXV0aG9yPjxhdXRob3I+TWEsIFkuPC9hdXRob3I+PGF1dGhvcj5XYW5nLCBOLjwvYXV0
aG9yPjxhdXRob3I+TGluLCBXLjwvYXV0aG9yPjxhdXRob3I+TGl1LCBZLjwvYXV0aG9yPjxhdXRo
b3I+V2VuLCBELjwvYXV0aG9yPjwvYXV0aG9ycz48L2NvbnRyaWJ1dG9ycz48YXV0aC1hZGRyZXNz
PlNjaG9vbCBvZiBQdWJsaWMgSGVhbHRoLCBEYWxpYW4gTWVkaWNhbCBVbml2ZXJzaXR5LCBEYWxp
YW4sIExpYW9uaW5nIFByb3ZpbmNlLCAxMTYwNDQsIFBlb3BsZSZhcG9zO3MgUmVwdWJsaWMgb2Yg
Q2hpbmEuJiN4RDtTY2hvb2wgb2YgUHVibGljIEhlYWx0aCwgQ2hpbmEgTWVkaWNhbCBVbml2ZXJz
aXR5LCBOby43NyBQdWhlIFJvYWQsIFNoZW55YW5nIE5vcnRoIE5ldyBBcmVhLCBTaGVueWFuZywg
TGlhb25pbmcgUHJvdmluY2UsIDExMDEyMiwgUGVvcGxlJmFwb3M7cyBSZXB1YmxpYyBvZiBDaGlu
YS4mI3hEO1NjaG9vbCBvZiBQdWJsaWMgSGVhbHRoLCBDaGluYSBNZWRpY2FsIFVuaXZlcnNpdHks
IE5vLjc3IFB1aGUgUm9hZCwgU2hlbnlhbmcgTm9ydGggTmV3IEFyZWEsIFNoZW55YW5nLCBMaWFv
bmluZyBQcm92aW5jZSwgMTEwMTIyLCBQZW9wbGUmYXBvcztzIFJlcHVibGljIG9mIENoaW5hLiBk
bHdlbkBjbXUuZWR1LmNuLjwvYXV0aC1hZGRyZXNzPjx0aXRsZXM+PHRpdGxlPk1hdGVybmFsIGJv
ZHkgbWFzcyBpbmRleCBhbmQgcmlzayBvZiBuZW9uYXRhbCBhZHZlcnNlIG91dGNvbWVzIGluIENo
aW5hOiBhIHN5c3RlbWF0aWMgcmV2aWV3IGFuZCBtZXRhLWFuYWx5c2lzPC90aXRsZT48c2Vjb25k
YXJ5LXRpdGxlPkJNQyBQcmVnbmFuY3kgQ2hpbGRiaXJ0aDwvc2Vjb25kYXJ5LXRpdGxlPjwvdGl0
bGVzPjxwZXJpb2RpY2FsPjxmdWxsLXRpdGxlPkJNQyBQcmVnbmFuY3kgQ2hpbGRiaXJ0aDwvZnVs
bC10aXRsZT48L3BlcmlvZGljYWw+PHBhZ2VzPjEwNTwvcGFnZXM+PHZvbHVtZT4xOTwvdm9sdW1l
PjxudW1iZXI+MTwvbnVtYmVyPjxlZGl0aW9uPjIwMTkvMDMvMzA8L2VkaXRpb24+PGtleXdvcmRz
PjxrZXl3b3JkPkFkdWx0PC9rZXl3b3JkPjxrZXl3b3JkPkJpcnRoIFdlaWdodDwva2V5d29yZD48
a2V5d29yZD4qQm9keSBNYXNzIEluZGV4PC9rZXl3b3JkPjxrZXl3b3JkPkNoaW5hL2VwaWRlbWlv
bG9neTwva2V5d29yZD48a2V5d29yZD5GZW1hbGU8L2tleXdvcmQ+PGtleXdvcmQ+RmV0YWwgTWFj
cm9zb21pYS9ldGlvbG9neTwva2V5d29yZD48a2V5d29yZD5HZXN0YXRpb25hbCBXZWlnaHQgR2Fp
bjwva2V5d29yZD48a2V5d29yZD5IdW1hbnM8L2tleXdvcmQ+PGtleXdvcmQ+SW5mYW50LCBMb3cg
QmlydGggV2VpZ2h0PC9rZXl3b3JkPjxrZXl3b3JkPkluZmFudCwgTmV3Ym9ybjwva2V5d29yZD48
a2V5d29yZD5JbmZhbnQsIFNtYWxsIGZvciBHZXN0YXRpb25hbCBBZ2U8L2tleXdvcmQ+PGtleXdv
cmQ+T2Jlc2l0eS9jb21wbGljYXRpb25zLypwaHlzaW9wYXRob2xvZ3k8L2tleXdvcmQ+PGtleXdv
cmQ+UHJlZ25hbmN5PC9rZXl3b3JkPjxrZXl3b3JkPlByZWduYW5jeSBDb21wbGljYXRpb25zL2V0
aW9sb2d5LypwaHlzaW9wYXRob2xvZ3k8L2tleXdvcmQ+PGtleXdvcmQ+UHJlZ25hbmN5IE91dGNv
bWUvKmVwaWRlbWlvbG9neTwva2V5d29yZD48a2V5d29yZD5SaXNrIEZhY3RvcnM8L2tleXdvcmQ+
PGtleXdvcmQ+Q29ob3J0IHN0dWR5PC9rZXl3b3JkPjxrZXl3b3JkPk1hdGVybmFsIEJNSTwva2V5
d29yZD48a2V5d29yZD5NZXRhLWFuYWx5c2lzPC9rZXl3b3JkPjxrZXl3b3JkPk5lb25hdGFsIG91
dGNvbWVzPC9rZXl3b3JkPjwva2V5d29yZHM+PGRhdGVzPjx5ZWFyPjIwMTk8L3llYXI+PHB1Yi1k
YXRlcz48ZGF0ZT5NYXIgMjk8L2RhdGU+PC9wdWItZGF0ZXM+PC9kYXRlcz48aXNibj4xNDcxLTIz
OTMgKEVsZWN0cm9uaWMpJiN4RDsxNDcxLTIzOTMgKExpbmtpbmcpPC9pc2JuPjxhY2Nlc3Npb24t
bnVtPjMwOTIyMjQ0PC9hY2Nlc3Npb24tbnVtPjx1cmxzPjxyZWxhdGVkLXVybHM+PHVybD5odHRw
czovL3d3dy5uY2JpLm5sbS5uaWguZ292L3B1Ym1lZC8zMDkyMjI0NDwvdXJsPjwvcmVsYXRlZC11
cmxzPjwvdXJscz48Y3VzdG9tMj5QTUM2NDQwMTIxPC9jdXN0b20yPjxlbGVjdHJvbmljLXJlc291
cmNlLW51bT4xMC4xMTg2L3MxMjg4NC0wMTktMjI0OS16PC9lbGVjdHJvbmljLXJlc291cmNlLW51
bT48L3JlY29yZD48L0NpdGU+PENpdGU+PEF1dGhvcj5Hb3RvPC9BdXRob3I+PFllYXI+MjAxNzwv
WWVhcj48UmVjTnVtPjE4NjI8L1JlY051bT48cmVjb3JkPjxyZWMtbnVtYmVyPjE4NjI8L3JlYy1u
dW1iZXI+PGZvcmVpZ24ta2V5cz48a2V5IGFwcD0iRU4iIGRiLWlkPSJleHZhc3JmeDJkdHJhb2Vz
YXN4cDJzenN4YTJkZjUwMjU5MngiIHRpbWVzdGFtcD0iMTU4Nzc5NDE0NSI+MTg2Mjwva2V5Pjxr
ZXkgYXBwPSJFTldlYiIgZGItaWQ9IiI+MDwva2V5PjwvZm9yZWlnbi1rZXlzPjxyZWYtdHlwZSBu
YW1lPSJKb3VybmFsIEFydGljbGUiPjE3PC9yZWYtdHlwZT48Y29udHJpYnV0b3JzPjxhdXRob3Jz
PjxhdXRob3I+R290bywgRS48L2F1dGhvcj48L2F1dGhvcnM+PC9jb250cmlidXRvcnM+PGF1dGgt
YWRkcmVzcz5hIERlcGFydG1lbnQgb2YgTWVkaWNpbmUgYW5kIFB1YmxpYyBIZWFsdGggLCBOYWdv
eWEgTWVkaWNhbCBTY2llbmNlIFJlc2VhcmNoIEluc3RpdHV0ZSAsIE5hZ295YSAsIEphcGFuLjwv
YXV0aC1hZGRyZXNzPjx0aXRsZXM+PHRpdGxlPkRvc2UtcmVzcG9uc2UgYXNzb2NpYXRpb24gYmV0
d2VlbiBtYXRlcm5hbCBib2R5IG1hc3MgaW5kZXggYW5kIHNtYWxsIGZvciBnZXN0YXRpb25hbCBh
Z2U6IGEgbWV0YS1hbmFseXNpczwvdGl0bGU+PHNlY29uZGFyeS10aXRsZT5KIE1hdGVybiBGZXRh
bCBOZW9uYXRhbCBNZWQ8L3NlY29uZGFyeS10aXRsZT48L3RpdGxlcz48cGVyaW9kaWNhbD48ZnVs
bC10aXRsZT5KIE1hdGVybiBGZXRhbCBOZW9uYXRhbCBNZWQ8L2Z1bGwtdGl0bGU+PC9wZXJpb2Rp
Y2FsPjxwYWdlcz4yMTMtMjE4PC9wYWdlcz48dm9sdW1lPjMwPC92b2x1bWU+PG51bWJlcj4yPC9u
dW1iZXI+PGVkaXRpb24+MjAxNi8wMy8yNDwvZWRpdGlvbj48a2V5d29yZHM+PGtleXdvcmQ+KkJv
ZHkgTWFzcyBJbmRleDwva2V5d29yZD48a2V5d29yZD5Cb2R5IFdlaWdodC8qcGh5c2lvbG9neTwv
a2V5d29yZD48a2V5d29yZD5GZW1hbGU8L2tleXdvcmQ+PGtleXdvcmQ+SHVtYW5zPC9rZXl3b3Jk
PjxrZXl3b3JkPkluZmFudCwgTmV3Ym9ybjwva2V5d29yZD48a2V5d29yZD4qSW5mYW50LCBTbWFs
bCBmb3IgR2VzdGF0aW9uYWwgQWdlPC9rZXl3b3JkPjxrZXl3b3JkPlByZWduYW5jeTwva2V5d29y
ZD48a2V5d29yZD5QcmVnbmFuY3kgQ29tcGxpY2F0aW9uczwva2V5d29yZD48a2V5d29yZD5SaXNr
IEZhY3RvcnM8L2tleXdvcmQ+PGtleXdvcmQ+KkFudGhyb3BvbWV0cnk8L2tleXdvcmQ+PGtleXdv
cmQ+Km1ldGEtYW5hbHlzaXM8L2tleXdvcmQ+PGtleXdvcmQ+KnJpc2s8L2tleXdvcmQ+PGtleXdv
cmQ+KnNtYWxsIGZvciBnZXN0YXRpb25hbCBhZ2U8L2tleXdvcmQ+PC9rZXl3b3Jkcz48ZGF0ZXM+
PHllYXI+MjAxNzwveWVhcj48cHViLWRhdGVzPjxkYXRlPkphbjwvZGF0ZT48L3B1Yi1kYXRlcz48
L2RhdGVzPjxpc2JuPjE0NzYtNDk1NCAoRWxlY3Ryb25pYykmI3hEOzE0NzYtNDk1NCAoTGlua2lu
Zyk8L2lzYm4+PGFjY2Vzc2lvbi1udW0+MjcwMDIzNjM8L2FjY2Vzc2lvbi1udW0+PHVybHM+PHJl
bGF0ZWQtdXJscz48dXJsPmh0dHBzOi8vd3d3Lm5jYmkubmxtLm5paC5nb3YvcHVibWVkLzI3MDAy
MzYzPC91cmw+PC9yZWxhdGVkLXVybHM+PC91cmxzPjxlbGVjdHJvbmljLXJlc291cmNlLW51bT4x
MC4zMTA5LzE0NzY3MDU4LjIwMTYuMTE2OTUxOTwvZWxlY3Ryb25pYy1yZXNvdXJjZS1udW0+PC9y
ZWNvcmQ+PC9DaXRlPjxDaXRlPjxBdXRob3I+WXU8L0F1dGhvcj48WWVhcj4yMDEzPC9ZZWFyPjxS
ZWNOdW0+MTg2NzwvUmVjTnVtPjxyZWNvcmQ+PHJlYy1udW1iZXI+MTg2NzwvcmVjLW51bWJlcj48
Zm9yZWlnbi1rZXlzPjxrZXkgYXBwPSJFTiIgZGItaWQ9ImV4dmFzcmZ4MmR0cmFvZXNhc3hwMnN6
c3hhMmRmNTAyNTkyeCIgdGltZXN0YW1wPSIxNTg3ODc1NDAwIj4xODY3PC9rZXk+PC9mb3JlaWdu
LWtleXM+PHJlZi10eXBlIG5hbWU9IkpvdXJuYWwgQXJ0aWNsZSI+MTc8L3JlZi10eXBlPjxjb250
cmlidXRvcnM+PGF1dGhvcnM+PGF1dGhvcj5ZdSwgWi48L2F1dGhvcj48YXV0aG9yPkhhbiwgUy48
L2F1dGhvcj48YXV0aG9yPlpodSwgSi48L2F1dGhvcj48YXV0aG9yPlN1biwgWC48L2F1dGhvcj48
YXV0aG9yPkppLCBDLjwvYXV0aG9yPjxhdXRob3I+R3VvLCBYLjwvYXV0aG9yPjwvYXV0aG9ycz48
L2NvbnRyaWJ1dG9ycz48YXV0aC1hZGRyZXNzPlN0YXRlIEtleSBMYWJvcmF0b3J5IG9mIFJlcHJv
ZHVjdGl2ZSBNZWRpY2luZSwgRGVwYXJ0bWVudCBvZiBQZWRpYXRyaWNzLCBOYW5qaW5nIE1hdGVy
bml0eSBhbmQgQ2hpbGQgSGVhbHRoIENhcmUgSG9zcGl0YWwsIE5hbmppbmcgTWVkaWNhbCBVbml2
ZXJzaXR5LCBOYW5qaW5nLCBDaGluYS48L2F1dGgtYWRkcmVzcz48dGl0bGVzPjx0aXRsZT5QcmUt
cHJlZ25hbmN5IGJvZHkgbWFzcyBpbmRleCBpbiByZWxhdGlvbiB0byBpbmZhbnQgYmlydGggd2Vp
Z2h0IGFuZCBvZmZzcHJpbmcgb3ZlcndlaWdodC9vYmVzaXR5OiBhIHN5c3RlbWF0aWMgcmV2aWV3
IGFuZCBtZXRhLWFuYWx5c2lzPC90aXRsZT48c2Vjb25kYXJ5LXRpdGxlPlBMb1MgT25lPC9zZWNv
bmRhcnktdGl0bGU+PC90aXRsZXM+PHBlcmlvZGljYWw+PGZ1bGwtdGl0bGU+UExvUyBPbmU8L2Z1
bGwtdGl0bGU+PC9wZXJpb2RpY2FsPjxwYWdlcz5lNjE2Mjc8L3BhZ2VzPjx2b2x1bWU+ODwvdm9s
dW1lPjxudW1iZXI+NDwvbnVtYmVyPjxlZGl0aW9uPjIwMTMvMDQvMjU8L2VkaXRpb24+PGtleXdv
cmRzPjxrZXl3b3JkPkJpcnRoIFdlaWdodC8qcGh5c2lvbG9neTwva2V5d29yZD48a2V5d29yZD4q
Qm9keSBNYXNzIEluZGV4PC9rZXl3b3JkPjxrZXl3b3JkPkZlbWFsZTwva2V5d29yZD48a2V5d29y
ZD5IdW1hbnM8L2tleXdvcmQ+PGtleXdvcmQ+SW5mYW50LCBOZXdib3JuPC9rZXl3b3JkPjxrZXl3
b3JkPk9iZXNpdHkvKmVwaWRlbWlvbG9neTwva2V5d29yZD48a2V5d29yZD5PdmVyd2VpZ2h0Lypl
cGlkZW1pb2xvZ3k8L2tleXdvcmQ+PGtleXdvcmQ+UHJlZ25hbmN5PC9rZXl3b3JkPjwva2V5d29y
ZHM+PGRhdGVzPjx5ZWFyPjIwMTM8L3llYXI+PC9kYXRlcz48aXNibj4xOTMyLTYyMDMgKEVsZWN0
cm9uaWMpJiN4RDsxOTMyLTYyMDMgKExpbmtpbmcpPC9pc2JuPjxhY2Nlc3Npb24tbnVtPjIzNjEz
ODg4PC9hY2Nlc3Npb24tbnVtPjx1cmxzPjxyZWxhdGVkLXVybHM+PHVybD5odHRwczovL3d3dy5u
Y2JpLm5sbS5uaWguZ292L3B1Ym1lZC8yMzYxMzg4ODwvdXJsPjwvcmVsYXRlZC11cmxzPjwvdXJs
cz48Y3VzdG9tMj5QTUMzNjI4Nzg4PC9jdXN0b20yPjxlbGVjdHJvbmljLXJlc291cmNlLW51bT4x
MC4xMzcxL2pvdXJuYWwucG9uZS4wMDYxNjI3PC9lbGVjdHJvbmljLXJlc291cmNlLW51bT48L3Jl
Y29yZD48L0NpdGU+PC9FbmROb3RlPgB=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389-392</w:t>
      </w:r>
      <w:r w:rsidR="00D07346">
        <w:fldChar w:fldCharType="end"/>
      </w:r>
      <w:r w:rsidR="00973A0B">
        <w:t xml:space="preserve"> and</w:t>
      </w:r>
      <w:r>
        <w:t xml:space="preserve"> low birthweight</w:t>
      </w:r>
      <w:r w:rsidR="00D07346">
        <w:fldChar w:fldCharType="begin">
          <w:fldData xml:space="preserve">PEVuZE5vdGU+PENpdGU+PEF1dGhvcj5MaXU8L0F1dGhvcj48WWVhcj4yMDE2PC9ZZWFyPjxSZWNO
dW0+MTg2MzwvUmVjTnVtPjxEaXNwbGF5VGV4dD48c3R5bGUgZmFjZT0ic3VwZXJzY3JpcHQiIGZv
bnQ9IlRyZWJ1Y2hldCBNUyIgc2l6ZT0iOSI+Mzg4LTM5MCwzOTI8L3N0eWxlPjwvRGlzcGxheVRl
eHQ+PHJlY29yZD48cmVjLW51bWJlcj4xODYzPC9yZWMtbnVtYmVyPjxmb3JlaWduLWtleXM+PGtl
eSBhcHA9IkVOIiBkYi1pZD0iZXh2YXNyZngyZHRyYW9lc2FzeHAyc3pzeGEyZGY1MDI1OTJ4IiB0
aW1lc3RhbXA9IjE1ODc3OTQxNTgiPjE4NjM8L2tleT48a2V5IGFwcD0iRU5XZWIiIGRiLWlkPSIi
PjA8L2tleT48L2ZvcmVpZ24ta2V5cz48cmVmLXR5cGUgbmFtZT0iSm91cm5hbCBBcnRpY2xlIj4x
NzwvcmVmLXR5cGU+PGNvbnRyaWJ1dG9ycz48YXV0aG9ycz48YXV0aG9yPkxpdSwgUC48L2F1dGhv
cj48YXV0aG9yPlh1LCBMLjwvYXV0aG9yPjxhdXRob3I+V2FuZywgWS48L2F1dGhvcj48YXV0aG9y
PlpoYW5nLCBZLjwvYXV0aG9yPjxhdXRob3I+RHUsIFkuPC9hdXRob3I+PGF1dGhvcj5TdW4sIFku
PC9hdXRob3I+PGF1dGhvcj5XYW5nLCBaLjwvYXV0aG9yPjwvYXV0aG9ycz48L2NvbnRyaWJ1dG9y
cz48YXV0aC1hZGRyZXNzPkRlcGFydG1lbnQgb2YgRXBpZGVtaW9sb2d5IGFuZCBIZWFsdGggU3Rh
dGlzdGljcywgU2Nob29sIG9mIFB1YmxpYyBIZWFsdGgsIFNoYW5kb25nIFVuaXZlcnNpdHksIFNo
YW5kb25nLCBDaGluYS4mI3hEO0RpdmlzaW9uIG9mIEVwaWRlbWlvbG9neSBTdXJ2ZXksIENoaW5h
IEFuaW1hbCBIZWFsdGggYW5kIEVwaWRlbWlvbG9neSBDZW50ZXIsIE1pbmlzdHJ5IG9mIEFncmlj
dWx0dXJlLCBCZWlqaW5nLCBDaGluYS4mI3hEO0RlcGFydG1lbnQgb2YgSGVhbHRoLCBKaW5hbiBN
YXRlcm5hbCBhbmQgQ2hpbGQgQ2FyZSBTZXJ2aWNlIENlbnRyZSwgU2hhbmRvbmcsIENoaW5hLiYj
eEQ7RGVwYXJ0bWVudCBvZiBFcGlkZW1pb2xvZ3kgYW5kIEhlYWx0aCBTdGF0aXN0aWNzLCBTY2hv
b2wgb2YgUHVibGljIEhlYWx0aCwgU2hhbmRvbmcgVW5pdmVyc2l0eSwgU2hhbmRvbmcsIENoaW5h
LiB6aGlwaW5nd0BzZHUuZWR1LmNuLjwvYXV0aC1hZGRyZXNzPjx0aXRsZXM+PHRpdGxlPkFzc29j
aWF0aW9uIGJldHdlZW4gcGVyaW5hdGFsIG91dGNvbWVzIGFuZCBtYXRlcm5hbCBwcmUtcHJlZ25h
bmN5IGJvZHkgbWFzcyBpbmRleDwvdGl0bGU+PHNlY29uZGFyeS10aXRsZT5PYmVzIFJldjwvc2Vj
b25kYXJ5LXRpdGxlPjwvdGl0bGVzPjxwZXJpb2RpY2FsPjxmdWxsLXRpdGxlPk9iZXMgUmV2PC9m
dWxsLXRpdGxlPjwvcGVyaW9kaWNhbD48cGFnZXM+MTA5MS0xMTAyPC9wYWdlcz48dm9sdW1lPjE3
PC92b2x1bWU+PG51bWJlcj4xMTwvbnVtYmVyPjxlZGl0aW9uPjIwMTYvMDgvMTk8L2VkaXRpb24+
PGtleXdvcmRzPjxrZXl3b3JkPipCb2R5IE1hc3MgSW5kZXg8L2tleXdvcmQ+PGtleXdvcmQ+RmVt
YWxlPC9rZXl3b3JkPjxrZXl3b3JkPkh1bWFuczwva2V5d29yZD48a2V5d29yZD4qTW90aGVyczwv
a2V5d29yZD48a2V5d29yZD5PdmVyd2VpZ2h0LyplcGlkZW1pb2xvZ3k8L2tleXdvcmQ+PGtleXdv
cmQ+UHJlZ25hbmN5PC9rZXl3b3JkPjxrZXl3b3JkPlByZWduYW5jeSBDb21wbGljYXRpb25zLypl
cGlkZW1pb2xvZ3k8L2tleXdvcmQ+PGtleXdvcmQ+KlByZWduYW5jeSBPdXRjb21lPC9rZXl3b3Jk
PjxrZXl3b3JkPlJpc2sgRmFjdG9yczwva2V5d29yZD48a2V5d29yZD5UaGlubmVzcy8qZXBpZGVt
aW9sb2d5PC9rZXl3b3JkPjxrZXl3b3JkPldlaWdodCBHYWluPC9rZXl3b3JkPjxrZXl3b3JkPipi
bWk8L2tleXdvcmQ+PGtleXdvcmQ+Km9iZXNpdHk8L2tleXdvcmQ+PGtleXdvcmQ+KnBlcmluYXRh
bCBvdXRjb21lczwva2V5d29yZD48a2V5d29yZD4qcHJlZ25hbmN5PC9rZXl3b3JkPjwva2V5d29y
ZHM+PGRhdGVzPjx5ZWFyPjIwMTY8L3llYXI+PHB1Yi1kYXRlcz48ZGF0ZT5Ob3Y8L2RhdGU+PC9w
dWItZGF0ZXM+PC9kYXRlcz48aXNibj4xNDY3LTc4OVggKEVsZWN0cm9uaWMpJiN4RDsxNDY3LTc4
ODEgKExpbmtpbmcpPC9pc2JuPjxhY2Nlc3Npb24tbnVtPjI3NTM2ODc5PC9hY2Nlc3Npb24tbnVt
Pjx1cmxzPjxyZWxhdGVkLXVybHM+PHVybD5odHRwczovL3d3dy5uY2JpLm5sbS5uaWguZ292L3B1
Ym1lZC8yNzUzNjg3OTwvdXJsPjwvcmVsYXRlZC11cmxzPjwvdXJscz48ZWxlY3Ryb25pYy1yZXNv
dXJjZS1udW0+MTAuMTExMS9vYnIuMTI0NTU8L2VsZWN0cm9uaWMtcmVzb3VyY2UtbnVtPjwvcmVj
b3JkPjwvQ2l0ZT48Q2l0ZT48QXV0aG9yPkxpdTwvQXV0aG9yPjxZZWFyPjIwMTk8L1llYXI+PFJl
Y051bT4xODY0PC9SZWNOdW0+PHJlY29yZD48cmVjLW51bWJlcj4xODY0PC9yZWMtbnVtYmVyPjxm
b3JlaWduLWtleXM+PGtleSBhcHA9IkVOIiBkYi1pZD0iZXh2YXNyZngyZHRyYW9lc2FzeHAyc3pz
eGEyZGY1MDI1OTJ4IiB0aW1lc3RhbXA9IjE1ODc3OTQxNjQiPjE4NjQ8L2tleT48a2V5IGFwcD0i
RU5XZWIiIGRiLWlkPSIiPjA8L2tleT48L2ZvcmVpZ24ta2V5cz48cmVmLXR5cGUgbmFtZT0iSm91
cm5hbCBBcnRpY2xlIj4xNzwvcmVmLXR5cGU+PGNvbnRyaWJ1dG9ycz48YXV0aG9ycz48YXV0aG9y
PkxpdSwgTC48L2F1dGhvcj48YXV0aG9yPk1hLCBZLjwvYXV0aG9yPjxhdXRob3I+V2FuZywgTi48
L2F1dGhvcj48YXV0aG9yPkxpbiwgVy48L2F1dGhvcj48YXV0aG9yPkxpdSwgWS48L2F1dGhvcj48
YXV0aG9yPldlbiwgRC48L2F1dGhvcj48L2F1dGhvcnM+PC9jb250cmlidXRvcnM+PGF1dGgtYWRk
cmVzcz5TY2hvb2wgb2YgUHVibGljIEhlYWx0aCwgRGFsaWFuIE1lZGljYWwgVW5pdmVyc2l0eSwg
RGFsaWFuLCBMaWFvbmluZyBQcm92aW5jZSwgMTE2MDQ0LCBQZW9wbGUmYXBvcztzIFJlcHVibGlj
IG9mIENoaW5hLiYjeEQ7U2Nob29sIG9mIFB1YmxpYyBIZWFsdGgsIENoaW5hIE1lZGljYWwgVW5p
dmVyc2l0eSwgTm8uNzcgUHVoZSBSb2FkLCBTaGVueWFuZyBOb3J0aCBOZXcgQXJlYSwgU2hlbnlh
bmcsIExpYW9uaW5nIFByb3ZpbmNlLCAxMTAxMjIsIFBlb3BsZSZhcG9zO3MgUmVwdWJsaWMgb2Yg
Q2hpbmEuJiN4RDtTY2hvb2wgb2YgUHVibGljIEhlYWx0aCwgQ2hpbmEgTWVkaWNhbCBVbml2ZXJz
aXR5LCBOby43NyBQdWhlIFJvYWQsIFNoZW55YW5nIE5vcnRoIE5ldyBBcmVhLCBTaGVueWFuZywg
TGlhb25pbmcgUHJvdmluY2UsIDExMDEyMiwgUGVvcGxlJmFwb3M7cyBSZXB1YmxpYyBvZiBDaGlu
YS4gZGx3ZW5AY211LmVkdS5jbi48L2F1dGgtYWRkcmVzcz48dGl0bGVzPjx0aXRsZT5NYXRlcm5h
bCBib2R5IG1hc3MgaW5kZXggYW5kIHJpc2sgb2YgbmVvbmF0YWwgYWR2ZXJzZSBvdXRjb21lcyBp
biBDaGluYTogYSBzeXN0ZW1hdGljIHJldmlldyBhbmQgbWV0YS1hbmFseXNpczwvdGl0bGU+PHNl
Y29uZGFyeS10aXRsZT5CTUMgUHJlZ25hbmN5IENoaWxkYmlydGg8L3NlY29uZGFyeS10aXRsZT48
L3RpdGxlcz48cGVyaW9kaWNhbD48ZnVsbC10aXRsZT5CTUMgUHJlZ25hbmN5IENoaWxkYmlydGg8
L2Z1bGwtdGl0bGU+PC9wZXJpb2RpY2FsPjxwYWdlcz4xMDU8L3BhZ2VzPjx2b2x1bWU+MTk8L3Zv
bHVtZT48bnVtYmVyPjE8L251bWJlcj48ZWRpdGlvbj4yMDE5LzAzLzMwPC9lZGl0aW9uPjxrZXl3
b3Jkcz48a2V5d29yZD5BZHVsdDwva2V5d29yZD48a2V5d29yZD5CaXJ0aCBXZWlnaHQ8L2tleXdv
cmQ+PGtleXdvcmQ+KkJvZHkgTWFzcyBJbmRleDwva2V5d29yZD48a2V5d29yZD5DaGluYS9lcGlk
ZW1pb2xvZ3k8L2tleXdvcmQ+PGtleXdvcmQ+RmVtYWxlPC9rZXl3b3JkPjxrZXl3b3JkPkZldGFs
IE1hY3Jvc29taWEvZXRpb2xvZ3k8L2tleXdvcmQ+PGtleXdvcmQ+R2VzdGF0aW9uYWwgV2VpZ2h0
IEdhaW48L2tleXdvcmQ+PGtleXdvcmQ+SHVtYW5zPC9rZXl3b3JkPjxrZXl3b3JkPkluZmFudCwg
TG93IEJpcnRoIFdlaWdodDwva2V5d29yZD48a2V5d29yZD5JbmZhbnQsIE5ld2Jvcm48L2tleXdv
cmQ+PGtleXdvcmQ+SW5mYW50LCBTbWFsbCBmb3IgR2VzdGF0aW9uYWwgQWdlPC9rZXl3b3JkPjxr
ZXl3b3JkPk9iZXNpdHkvY29tcGxpY2F0aW9ucy8qcGh5c2lvcGF0aG9sb2d5PC9rZXl3b3JkPjxr
ZXl3b3JkPlByZWduYW5jeTwva2V5d29yZD48a2V5d29yZD5QcmVnbmFuY3kgQ29tcGxpY2F0aW9u
cy9ldGlvbG9neS8qcGh5c2lvcGF0aG9sb2d5PC9rZXl3b3JkPjxrZXl3b3JkPlByZWduYW5jeSBP
dXRjb21lLyplcGlkZW1pb2xvZ3k8L2tleXdvcmQ+PGtleXdvcmQ+UmlzayBGYWN0b3JzPC9rZXl3
b3JkPjxrZXl3b3JkPkNvaG9ydCBzdHVkeTwva2V5d29yZD48a2V5d29yZD5NYXRlcm5hbCBCTUk8
L2tleXdvcmQ+PGtleXdvcmQ+TWV0YS1hbmFseXNpczwva2V5d29yZD48a2V5d29yZD5OZW9uYXRh
bCBvdXRjb21lczwva2V5d29yZD48L2tleXdvcmRzPjxkYXRlcz48eWVhcj4yMDE5PC95ZWFyPjxw
dWItZGF0ZXM+PGRhdGU+TWFyIDI5PC9kYXRlPjwvcHViLWRhdGVzPjwvZGF0ZXM+PGlzYm4+MTQ3
MS0yMzkzIChFbGVjdHJvbmljKSYjeEQ7MTQ3MS0yMzkzIChMaW5raW5nKTwvaXNibj48YWNjZXNz
aW9uLW51bT4zMDkyMjI0NDwvYWNjZXNzaW9uLW51bT48dXJscz48cmVsYXRlZC11cmxzPjx1cmw+
aHR0cHM6Ly93d3cubmNiaS5ubG0ubmloLmdvdi9wdWJtZWQvMzA5MjIyNDQ8L3VybD48L3JlbGF0
ZWQtdXJscz48L3VybHM+PGN1c3RvbTI+UE1DNjQ0MDEyMTwvY3VzdG9tMj48ZWxlY3Ryb25pYy1y
ZXNvdXJjZS1udW0+MTAuMTE4Ni9zMTI4ODQtMDE5LTIyNDktejwvZWxlY3Ryb25pYy1yZXNvdXJj
ZS1udW0+PC9yZWNvcmQ+PC9DaXRlPjxDaXRlPjxBdXRob3I+WXU8L0F1dGhvcj48WWVhcj4yMDEz
PC9ZZWFyPjxSZWNOdW0+MTg2NzwvUmVjTnVtPjxyZWNvcmQ+PHJlYy1udW1iZXI+MTg2NzwvcmVj
LW51bWJlcj48Zm9yZWlnbi1rZXlzPjxrZXkgYXBwPSJFTiIgZGItaWQ9ImV4dmFzcmZ4MmR0cmFv
ZXNhc3hwMnN6c3hhMmRmNTAyNTkyeCIgdGltZXN0YW1wPSIxNTg3ODc1NDAwIj4xODY3PC9rZXk+
PC9mb3JlaWduLWtleXM+PHJlZi10eXBlIG5hbWU9IkpvdXJuYWwgQXJ0aWNsZSI+MTc8L3JlZi10
eXBlPjxjb250cmlidXRvcnM+PGF1dGhvcnM+PGF1dGhvcj5ZdSwgWi48L2F1dGhvcj48YXV0aG9y
PkhhbiwgUy48L2F1dGhvcj48YXV0aG9yPlpodSwgSi48L2F1dGhvcj48YXV0aG9yPlN1biwgWC48
L2F1dGhvcj48YXV0aG9yPkppLCBDLjwvYXV0aG9yPjxhdXRob3I+R3VvLCBYLjwvYXV0aG9yPjwv
YXV0aG9ycz48L2NvbnRyaWJ1dG9ycz48YXV0aC1hZGRyZXNzPlN0YXRlIEtleSBMYWJvcmF0b3J5
IG9mIFJlcHJvZHVjdGl2ZSBNZWRpY2luZSwgRGVwYXJ0bWVudCBvZiBQZWRpYXRyaWNzLCBOYW5q
aW5nIE1hdGVybml0eSBhbmQgQ2hpbGQgSGVhbHRoIENhcmUgSG9zcGl0YWwsIE5hbmppbmcgTWVk
aWNhbCBVbml2ZXJzaXR5LCBOYW5qaW5nLCBDaGluYS48L2F1dGgtYWRkcmVzcz48dGl0bGVzPjx0
aXRsZT5QcmUtcHJlZ25hbmN5IGJvZHkgbWFzcyBpbmRleCBpbiByZWxhdGlvbiB0byBpbmZhbnQg
YmlydGggd2VpZ2h0IGFuZCBvZmZzcHJpbmcgb3ZlcndlaWdodC9vYmVzaXR5OiBhIHN5c3RlbWF0
aWMgcmV2aWV3IGFuZCBtZXRhLWFuYWx5c2lzPC90aXRsZT48c2Vjb25kYXJ5LXRpdGxlPlBMb1Mg
T25lPC9zZWNvbmRhcnktdGl0bGU+PC90aXRsZXM+PHBlcmlvZGljYWw+PGZ1bGwtdGl0bGU+UExv
UyBPbmU8L2Z1bGwtdGl0bGU+PC9wZXJpb2RpY2FsPjxwYWdlcz5lNjE2Mjc8L3BhZ2VzPjx2b2x1
bWU+ODwvdm9sdW1lPjxudW1iZXI+NDwvbnVtYmVyPjxlZGl0aW9uPjIwMTMvMDQvMjU8L2VkaXRp
b24+PGtleXdvcmRzPjxrZXl3b3JkPkJpcnRoIFdlaWdodC8qcGh5c2lvbG9neTwva2V5d29yZD48
a2V5d29yZD4qQm9keSBNYXNzIEluZGV4PC9rZXl3b3JkPjxrZXl3b3JkPkZlbWFsZTwva2V5d29y
ZD48a2V5d29yZD5IdW1hbnM8L2tleXdvcmQ+PGtleXdvcmQ+SW5mYW50LCBOZXdib3JuPC9rZXl3
b3JkPjxrZXl3b3JkPk9iZXNpdHkvKmVwaWRlbWlvbG9neTwva2V5d29yZD48a2V5d29yZD5PdmVy
d2VpZ2h0LyplcGlkZW1pb2xvZ3k8L2tleXdvcmQ+PGtleXdvcmQ+UHJlZ25hbmN5PC9rZXl3b3Jk
Pjwva2V5d29yZHM+PGRhdGVzPjx5ZWFyPjIwMTM8L3llYXI+PC9kYXRlcz48aXNibj4xOTMyLTYy
MDMgKEVsZWN0cm9uaWMpJiN4RDsxOTMyLTYyMDMgKExpbmtpbmcpPC9pc2JuPjxhY2Nlc3Npb24t
bnVtPjIzNjEzODg4PC9hY2Nlc3Npb24tbnVtPjx1cmxzPjxyZWxhdGVkLXVybHM+PHVybD5odHRw
czovL3d3dy5uY2JpLm5sbS5uaWguZ292L3B1Ym1lZC8yMzYxMzg4ODwvdXJsPjwvcmVsYXRlZC11
cmxzPjwvdXJscz48Y3VzdG9tMj5QTUMzNjI4Nzg4PC9jdXN0b20yPjxlbGVjdHJvbmljLXJlc291
cmNlLW51bT4xMC4xMzcxL2pvdXJuYWwucG9uZS4wMDYxNjI3PC9lbGVjdHJvbmljLXJlc291cmNl
LW51bT48L3JlY29yZD48L0NpdGU+PENpdGU+PEF1dGhvcj5IYW48L0F1dGhvcj48WWVhcj4yMDEx
PC9ZZWFyPjxSZWNOdW0+MTg3NTwvUmVjTnVtPjxyZWNvcmQ+PHJlYy1udW1iZXI+MTg3NTwvcmVj
LW51bWJlcj48Zm9yZWlnbi1rZXlzPjxrZXkgYXBwPSJFTiIgZGItaWQ9ImV4dmFzcmZ4MmR0cmFv
ZXNhc3hwMnN6c3hhMmRmNTAyNTkyeCIgdGltZXN0YW1wPSIxNTg4MjAyOTg1Ij4xODc1PC9rZXk+
PGtleSBhcHA9IkVOV2ViIiBkYi1pZD0iIj4wPC9rZXk+PC9mb3JlaWduLWtleXM+PHJlZi10eXBl
IG5hbWU9IkpvdXJuYWwgQXJ0aWNsZSI+MTc8L3JlZi10eXBlPjxjb250cmlidXRvcnM+PGF1dGhv
cnM+PGF1dGhvcj5IYW4sIFouPC9hdXRob3I+PGF1dGhvcj5NdWxsYSwgUy48L2F1dGhvcj48YXV0
aG9yPkJleWVuZSwgSi48L2F1dGhvcj48YXV0aG9yPkxpYW8sIEcuPC9hdXRob3I+PGF1dGhvcj5N
Y0RvbmFsZCwgUy4gRC48L2F1dGhvcj48YXV0aG9yPktub3dsZWRnZSBTeW50aGVzaXMsIEdyb3Vw
PC9hdXRob3I+PC9hdXRob3JzPjwvY29udHJpYnV0b3JzPjxhdXRoLWFkZHJlc3M+RGVwYXJ0bWVu
dCBvZiBPYnN0ZXRyaWNzIGFuZCBHeW5lY29sb2d5LCBGaXJzdCBBZmZpbGlhdGVkIEhvc3BpdGFs
IG9mIFhpJmFwb3M7YW4gSmlhbyBUb25nIFVuaXZlcnNpdHksIFNoYWFueGkgUHJvdmluY2UsIFBS
IENoaW5hLjwvYXV0aC1hZGRyZXNzPjx0aXRsZXM+PHRpdGxlPk1hdGVybmFsIHVuZGVyd2VpZ2h0
IGFuZCB0aGUgcmlzayBvZiBwcmV0ZXJtIGJpcnRoIGFuZCBsb3cgYmlydGggd2VpZ2h0OiBhIHN5
c3RlbWF0aWMgcmV2aWV3IGFuZCBtZXRhLWFuYWx5c2VzPC90aXRsZT48c2Vjb25kYXJ5LXRpdGxl
PkludCBKIEVwaWRlbWlvbDwvc2Vjb25kYXJ5LXRpdGxlPjwvdGl0bGVzPjxwZXJpb2RpY2FsPjxm
dWxsLXRpdGxlPkludCBKIEVwaWRlbWlvbDwvZnVsbC10aXRsZT48L3BlcmlvZGljYWw+PHBhZ2Vz
PjY1LTEwMTwvcGFnZXM+PHZvbHVtZT40MDwvdm9sdW1lPjxudW1iZXI+MTwvbnVtYmVyPjxlZGl0
aW9uPjIwMTAvMTEvMjY8L2VkaXRpb24+PGtleXdvcmRzPjxrZXl3b3JkPkJvZHkgTWFzcyBJbmRl
eDwva2V5d29yZD48a2V5d29yZD5GZW1hbGU8L2tleXdvcmQ+PGtleXdvcmQ+SHVtYW5zPC9rZXl3
b3JkPjxrZXl3b3JkPipJbmZhbnQsIExvdyBCaXJ0aCBXZWlnaHQ8L2tleXdvcmQ+PGtleXdvcmQ+
SW5mYW50LCBOZXdib3JuPC9rZXl3b3JkPjxrZXl3b3JkPipNb3RoZXJzPC9rZXl3b3JkPjxrZXl3
b3JkPlByZWduYW5jeTwva2V5d29yZD48a2V5d29yZD5QcmVnbmFuY3kgT3V0Y29tZTwva2V5d29y
ZD48a2V5d29yZD5QcmVtYXR1cmUgQmlydGgvKmVwaWRlbWlvbG9neTwva2V5d29yZD48a2V5d29y
ZD5SaXNrIEZhY3RvcnM8L2tleXdvcmQ+PGtleXdvcmQ+KlRoaW5uZXNzPC9rZXl3b3JkPjwva2V5
d29yZHM+PGRhdGVzPjx5ZWFyPjIwMTE8L3llYXI+PHB1Yi1kYXRlcz48ZGF0ZT5GZWI8L2RhdGU+
PC9wdWItZGF0ZXM+PC9kYXRlcz48aXNibj4xNDY0LTM2ODUgKEVsZWN0cm9uaWMpJiN4RDswMzAw
LTU3NzEgKExpbmtpbmcpPC9pc2JuPjxhY2Nlc3Npb24tbnVtPjIxMDk3OTU0PC9hY2Nlc3Npb24t
bnVtPjx1cmxzPjxyZWxhdGVkLXVybHM+PHVybD5odHRwczovL3d3dy5uY2JpLm5sbS5uaWguZ292
L3B1Ym1lZC8yMTA5Nzk1NDwvdXJsPjwvcmVsYXRlZC11cmxzPjwvdXJscz48ZWxlY3Ryb25pYy1y
ZXNvdXJjZS1udW0+MTAuMTA5My9pamUvZHlxMTk1PC9lbGVjdHJvbmljLXJlc291cmNlLW51bT48
L3JlY29yZD48L0NpdGU+PC9FbmROb3RlPgB=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bnQ9IlRyZWJ1Y2hldCBNUyIgc2l6ZT0iOSI+Mzg4LTM5MCwzOTI8L3N0eWxlPjwvRGlzcGxheVRl
eHQ+PHJlY29yZD48cmVjLW51bWJlcj4xODYzPC9yZWMtbnVtYmVyPjxmb3JlaWduLWtleXM+PGtl
eSBhcHA9IkVOIiBkYi1pZD0iZXh2YXNyZngyZHRyYW9lc2FzeHAyc3pzeGEyZGY1MDI1OTJ4IiB0
aW1lc3RhbXA9IjE1ODc3OTQxNTgiPjE4NjM8L2tleT48a2V5IGFwcD0iRU5XZWIiIGRiLWlkPSIi
PjA8L2tleT48L2ZvcmVpZ24ta2V5cz48cmVmLXR5cGUgbmFtZT0iSm91cm5hbCBBcnRpY2xlIj4x
NzwvcmVmLXR5cGU+PGNvbnRyaWJ1dG9ycz48YXV0aG9ycz48YXV0aG9yPkxpdSwgUC48L2F1dGhv
cj48YXV0aG9yPlh1LCBMLjwvYXV0aG9yPjxhdXRob3I+V2FuZywgWS48L2F1dGhvcj48YXV0aG9y
PlpoYW5nLCBZLjwvYXV0aG9yPjxhdXRob3I+RHUsIFkuPC9hdXRob3I+PGF1dGhvcj5TdW4sIFku
PC9hdXRob3I+PGF1dGhvcj5XYW5nLCBaLjwvYXV0aG9yPjwvYXV0aG9ycz48L2NvbnRyaWJ1dG9y
cz48YXV0aC1hZGRyZXNzPkRlcGFydG1lbnQgb2YgRXBpZGVtaW9sb2d5IGFuZCBIZWFsdGggU3Rh
dGlzdGljcywgU2Nob29sIG9mIFB1YmxpYyBIZWFsdGgsIFNoYW5kb25nIFVuaXZlcnNpdHksIFNo
YW5kb25nLCBDaGluYS4mI3hEO0RpdmlzaW9uIG9mIEVwaWRlbWlvbG9neSBTdXJ2ZXksIENoaW5h
IEFuaW1hbCBIZWFsdGggYW5kIEVwaWRlbWlvbG9neSBDZW50ZXIsIE1pbmlzdHJ5IG9mIEFncmlj
dWx0dXJlLCBCZWlqaW5nLCBDaGluYS4mI3hEO0RlcGFydG1lbnQgb2YgSGVhbHRoLCBKaW5hbiBN
YXRlcm5hbCBhbmQgQ2hpbGQgQ2FyZSBTZXJ2aWNlIENlbnRyZSwgU2hhbmRvbmcsIENoaW5hLiYj
eEQ7RGVwYXJ0bWVudCBvZiBFcGlkZW1pb2xvZ3kgYW5kIEhlYWx0aCBTdGF0aXN0aWNzLCBTY2hv
b2wgb2YgUHVibGljIEhlYWx0aCwgU2hhbmRvbmcgVW5pdmVyc2l0eSwgU2hhbmRvbmcsIENoaW5h
LiB6aGlwaW5nd0BzZHUuZWR1LmNuLjwvYXV0aC1hZGRyZXNzPjx0aXRsZXM+PHRpdGxlPkFzc29j
aWF0aW9uIGJldHdlZW4gcGVyaW5hdGFsIG91dGNvbWVzIGFuZCBtYXRlcm5hbCBwcmUtcHJlZ25h
bmN5IGJvZHkgbWFzcyBpbmRleDwvdGl0bGU+PHNlY29uZGFyeS10aXRsZT5PYmVzIFJldjwvc2Vj
b25kYXJ5LXRpdGxlPjwvdGl0bGVzPjxwZXJpb2RpY2FsPjxmdWxsLXRpdGxlPk9iZXMgUmV2PC9m
dWxsLXRpdGxlPjwvcGVyaW9kaWNhbD48cGFnZXM+MTA5MS0xMTAyPC9wYWdlcz48dm9sdW1lPjE3
PC92b2x1bWU+PG51bWJlcj4xMTwvbnVtYmVyPjxlZGl0aW9uPjIwMTYvMDgvMTk8L2VkaXRpb24+
PGtleXdvcmRzPjxrZXl3b3JkPipCb2R5IE1hc3MgSW5kZXg8L2tleXdvcmQ+PGtleXdvcmQ+RmVt
YWxlPC9rZXl3b3JkPjxrZXl3b3JkPkh1bWFuczwva2V5d29yZD48a2V5d29yZD4qTW90aGVyczwv
a2V5d29yZD48a2V5d29yZD5PdmVyd2VpZ2h0LyplcGlkZW1pb2xvZ3k8L2tleXdvcmQ+PGtleXdv
cmQ+UHJlZ25hbmN5PC9rZXl3b3JkPjxrZXl3b3JkPlByZWduYW5jeSBDb21wbGljYXRpb25zLypl
cGlkZW1pb2xvZ3k8L2tleXdvcmQ+PGtleXdvcmQ+KlByZWduYW5jeSBPdXRjb21lPC9rZXl3b3Jk
PjxrZXl3b3JkPlJpc2sgRmFjdG9yczwva2V5d29yZD48a2V5d29yZD5UaGlubmVzcy8qZXBpZGVt
aW9sb2d5PC9rZXl3b3JkPjxrZXl3b3JkPldlaWdodCBHYWluPC9rZXl3b3JkPjxrZXl3b3JkPipi
bWk8L2tleXdvcmQ+PGtleXdvcmQ+Km9iZXNpdHk8L2tleXdvcmQ+PGtleXdvcmQ+KnBlcmluYXRh
bCBvdXRjb21lczwva2V5d29yZD48a2V5d29yZD4qcHJlZ25hbmN5PC9rZXl3b3JkPjwva2V5d29y
ZHM+PGRhdGVzPjx5ZWFyPjIwMTY8L3llYXI+PHB1Yi1kYXRlcz48ZGF0ZT5Ob3Y8L2RhdGU+PC9w
dWItZGF0ZXM+PC9kYXRlcz48aXNibj4xNDY3LTc4OVggKEVsZWN0cm9uaWMpJiN4RDsxNDY3LTc4
ODEgKExpbmtpbmcpPC9pc2JuPjxhY2Nlc3Npb24tbnVtPjI3NTM2ODc5PC9hY2Nlc3Npb24tbnVt
Pjx1cmxzPjxyZWxhdGVkLXVybHM+PHVybD5odHRwczovL3d3dy5uY2JpLm5sbS5uaWguZ292L3B1
Ym1lZC8yNzUzNjg3OTwvdXJsPjwvcmVsYXRlZC11cmxzPjwvdXJscz48ZWxlY3Ryb25pYy1yZXNv
dXJjZS1udW0+MTAuMTExMS9vYnIuMTI0NTU8L2VsZWN0cm9uaWMtcmVzb3VyY2UtbnVtPjwvcmVj
b3JkPjwvQ2l0ZT48Q2l0ZT48QXV0aG9yPkxpdTwvQXV0aG9yPjxZZWFyPjIwMTk8L1llYXI+PFJl
Y051bT4xODY0PC9SZWNOdW0+PHJlY29yZD48cmVjLW51bWJlcj4xODY0PC9yZWMtbnVtYmVyPjxm
b3JlaWduLWtleXM+PGtleSBhcHA9IkVOIiBkYi1pZD0iZXh2YXNyZngyZHRyYW9lc2FzeHAyc3pz
eGEyZGY1MDI1OTJ4IiB0aW1lc3RhbXA9IjE1ODc3OTQxNjQiPjE4NjQ8L2tleT48a2V5IGFwcD0i
RU5XZWIiIGRiLWlkPSIiPjA8L2tleT48L2ZvcmVpZ24ta2V5cz48cmVmLXR5cGUgbmFtZT0iSm91
cm5hbCBBcnRpY2xlIj4xNzwvcmVmLXR5cGU+PGNvbnRyaWJ1dG9ycz48YXV0aG9ycz48YXV0aG9y
PkxpdSwgTC48L2F1dGhvcj48YXV0aG9yPk1hLCBZLjwvYXV0aG9yPjxhdXRob3I+V2FuZywgTi48
L2F1dGhvcj48YXV0aG9yPkxpbiwgVy48L2F1dGhvcj48YXV0aG9yPkxpdSwgWS48L2F1dGhvcj48
YXV0aG9yPldlbiwgRC48L2F1dGhvcj48L2F1dGhvcnM+PC9jb250cmlidXRvcnM+PGF1dGgtYWRk
cmVzcz5TY2hvb2wgb2YgUHVibGljIEhlYWx0aCwgRGFsaWFuIE1lZGljYWwgVW5pdmVyc2l0eSwg
RGFsaWFuLCBMaWFvbmluZyBQcm92aW5jZSwgMTE2MDQ0LCBQZW9wbGUmYXBvcztzIFJlcHVibGlj
IG9mIENoaW5hLiYjeEQ7U2Nob29sIG9mIFB1YmxpYyBIZWFsdGgsIENoaW5hIE1lZGljYWwgVW5p
dmVyc2l0eSwgTm8uNzcgUHVoZSBSb2FkLCBTaGVueWFuZyBOb3J0aCBOZXcgQXJlYSwgU2hlbnlh
bmcsIExpYW9uaW5nIFByb3ZpbmNlLCAxMTAxMjIsIFBlb3BsZSZhcG9zO3MgUmVwdWJsaWMgb2Yg
Q2hpbmEuJiN4RDtTY2hvb2wgb2YgUHVibGljIEhlYWx0aCwgQ2hpbmEgTWVkaWNhbCBVbml2ZXJz
aXR5LCBOby43NyBQdWhlIFJvYWQsIFNoZW55YW5nIE5vcnRoIE5ldyBBcmVhLCBTaGVueWFuZywg
TGlhb25pbmcgUHJvdmluY2UsIDExMDEyMiwgUGVvcGxlJmFwb3M7cyBSZXB1YmxpYyBvZiBDaGlu
YS4gZGx3ZW5AY211LmVkdS5jbi48L2F1dGgtYWRkcmVzcz48dGl0bGVzPjx0aXRsZT5NYXRlcm5h
bCBib2R5IG1hc3MgaW5kZXggYW5kIHJpc2sgb2YgbmVvbmF0YWwgYWR2ZXJzZSBvdXRjb21lcyBp
biBDaGluYTogYSBzeXN0ZW1hdGljIHJldmlldyBhbmQgbWV0YS1hbmFseXNpczwvdGl0bGU+PHNl
Y29uZGFyeS10aXRsZT5CTUMgUHJlZ25hbmN5IENoaWxkYmlydGg8L3NlY29uZGFyeS10aXRsZT48
L3RpdGxlcz48cGVyaW9kaWNhbD48ZnVsbC10aXRsZT5CTUMgUHJlZ25hbmN5IENoaWxkYmlydGg8
L2Z1bGwtdGl0bGU+PC9wZXJpb2RpY2FsPjxwYWdlcz4xMDU8L3BhZ2VzPjx2b2x1bWU+MTk8L3Zv
bHVtZT48bnVtYmVyPjE8L251bWJlcj48ZWRpdGlvbj4yMDE5LzAzLzMwPC9lZGl0aW9uPjxrZXl3
b3Jkcz48a2V5d29yZD5BZHVsdDwva2V5d29yZD48a2V5d29yZD5CaXJ0aCBXZWlnaHQ8L2tleXdv
cmQ+PGtleXdvcmQ+KkJvZHkgTWFzcyBJbmRleDwva2V5d29yZD48a2V5d29yZD5DaGluYS9lcGlk
ZW1pb2xvZ3k8L2tleXdvcmQ+PGtleXdvcmQ+RmVtYWxlPC9rZXl3b3JkPjxrZXl3b3JkPkZldGFs
IE1hY3Jvc29taWEvZXRpb2xvZ3k8L2tleXdvcmQ+PGtleXdvcmQ+R2VzdGF0aW9uYWwgV2VpZ2h0
IEdhaW48L2tleXdvcmQ+PGtleXdvcmQ+SHVtYW5zPC9rZXl3b3JkPjxrZXl3b3JkPkluZmFudCwg
TG93IEJpcnRoIFdlaWdodDwva2V5d29yZD48a2V5d29yZD5JbmZhbnQsIE5ld2Jvcm48L2tleXdv
cmQ+PGtleXdvcmQ+SW5mYW50LCBTbWFsbCBmb3IgR2VzdGF0aW9uYWwgQWdlPC9rZXl3b3JkPjxr
ZXl3b3JkPk9iZXNpdHkvY29tcGxpY2F0aW9ucy8qcGh5c2lvcGF0aG9sb2d5PC9rZXl3b3JkPjxr
ZXl3b3JkPlByZWduYW5jeTwva2V5d29yZD48a2V5d29yZD5QcmVnbmFuY3kgQ29tcGxpY2F0aW9u
cy9ldGlvbG9neS8qcGh5c2lvcGF0aG9sb2d5PC9rZXl3b3JkPjxrZXl3b3JkPlByZWduYW5jeSBP
dXRjb21lLyplcGlkZW1pb2xvZ3k8L2tleXdvcmQ+PGtleXdvcmQ+UmlzayBGYWN0b3JzPC9rZXl3
b3JkPjxrZXl3b3JkPkNvaG9ydCBzdHVkeTwva2V5d29yZD48a2V5d29yZD5NYXRlcm5hbCBCTUk8
L2tleXdvcmQ+PGtleXdvcmQ+TWV0YS1hbmFseXNpczwva2V5d29yZD48a2V5d29yZD5OZW9uYXRh
bCBvdXRjb21lczwva2V5d29yZD48L2tleXdvcmRzPjxkYXRlcz48eWVhcj4yMDE5PC95ZWFyPjxw
dWItZGF0ZXM+PGRhdGU+TWFyIDI5PC9kYXRlPjwvcHViLWRhdGVzPjwvZGF0ZXM+PGlzYm4+MTQ3
MS0yMzkzIChFbGVjdHJvbmljKSYjeEQ7MTQ3MS0yMzkzIChMaW5raW5nKTwvaXNibj48YWNjZXNz
aW9uLW51bT4zMDkyMjI0NDwvYWNjZXNzaW9uLW51bT48dXJscz48cmVsYXRlZC11cmxzPjx1cmw+
aHR0cHM6Ly93d3cubmNiaS5ubG0ubmloLmdvdi9wdWJtZWQvMzA5MjIyNDQ8L3VybD48L3JlbGF0
ZWQtdXJscz48L3VybHM+PGN1c3RvbTI+UE1DNjQ0MDEyMTwvY3VzdG9tMj48ZWxlY3Ryb25pYy1y
ZXNvdXJjZS1udW0+MTAuMTE4Ni9zMTI4ODQtMDE5LTIyNDktejwvZWxlY3Ryb25pYy1yZXNvdXJj
ZS1udW0+PC9yZWNvcmQ+PC9DaXRlPjxDaXRlPjxBdXRob3I+WXU8L0F1dGhvcj48WWVhcj4yMDEz
PC9ZZWFyPjxSZWNOdW0+MTg2NzwvUmVjTnVtPjxyZWNvcmQ+PHJlYy1udW1iZXI+MTg2NzwvcmVj
LW51bWJlcj48Zm9yZWlnbi1rZXlzPjxrZXkgYXBwPSJFTiIgZGItaWQ9ImV4dmFzcmZ4MmR0cmFv
ZXNhc3hwMnN6c3hhMmRmNTAyNTkyeCIgdGltZXN0YW1wPSIxNTg3ODc1NDAwIj4xODY3PC9rZXk+
PC9mb3JlaWduLWtleXM+PHJlZi10eXBlIG5hbWU9IkpvdXJuYWwgQXJ0aWNsZSI+MTc8L3JlZi10
eXBlPjxjb250cmlidXRvcnM+PGF1dGhvcnM+PGF1dGhvcj5ZdSwgWi48L2F1dGhvcj48YXV0aG9y
PkhhbiwgUy48L2F1dGhvcj48YXV0aG9yPlpodSwgSi48L2F1dGhvcj48YXV0aG9yPlN1biwgWC48
L2F1dGhvcj48YXV0aG9yPkppLCBDLjwvYXV0aG9yPjxhdXRob3I+R3VvLCBYLjwvYXV0aG9yPjwv
YXV0aG9ycz48L2NvbnRyaWJ1dG9ycz48YXV0aC1hZGRyZXNzPlN0YXRlIEtleSBMYWJvcmF0b3J5
IG9mIFJlcHJvZHVjdGl2ZSBNZWRpY2luZSwgRGVwYXJ0bWVudCBvZiBQZWRpYXRyaWNzLCBOYW5q
aW5nIE1hdGVybml0eSBhbmQgQ2hpbGQgSGVhbHRoIENhcmUgSG9zcGl0YWwsIE5hbmppbmcgTWVk
aWNhbCBVbml2ZXJzaXR5LCBOYW5qaW5nLCBDaGluYS48L2F1dGgtYWRkcmVzcz48dGl0bGVzPjx0
aXRsZT5QcmUtcHJlZ25hbmN5IGJvZHkgbWFzcyBpbmRleCBpbiByZWxhdGlvbiB0byBpbmZhbnQg
YmlydGggd2VpZ2h0IGFuZCBvZmZzcHJpbmcgb3ZlcndlaWdodC9vYmVzaXR5OiBhIHN5c3RlbWF0
aWMgcmV2aWV3IGFuZCBtZXRhLWFuYWx5c2lzPC90aXRsZT48c2Vjb25kYXJ5LXRpdGxlPlBMb1Mg
T25lPC9zZWNvbmRhcnktdGl0bGU+PC90aXRsZXM+PHBlcmlvZGljYWw+PGZ1bGwtdGl0bGU+UExv
UyBPbmU8L2Z1bGwtdGl0bGU+PC9wZXJpb2RpY2FsPjxwYWdlcz5lNjE2Mjc8L3BhZ2VzPjx2b2x1
bWU+ODwvdm9sdW1lPjxudW1iZXI+NDwvbnVtYmVyPjxlZGl0aW9uPjIwMTMvMDQvMjU8L2VkaXRp
b24+PGtleXdvcmRzPjxrZXl3b3JkPkJpcnRoIFdlaWdodC8qcGh5c2lvbG9neTwva2V5d29yZD48
a2V5d29yZD4qQm9keSBNYXNzIEluZGV4PC9rZXl3b3JkPjxrZXl3b3JkPkZlbWFsZTwva2V5d29y
ZD48a2V5d29yZD5IdW1hbnM8L2tleXdvcmQ+PGtleXdvcmQ+SW5mYW50LCBOZXdib3JuPC9rZXl3
b3JkPjxrZXl3b3JkPk9iZXNpdHkvKmVwaWRlbWlvbG9neTwva2V5d29yZD48a2V5d29yZD5PdmVy
d2VpZ2h0LyplcGlkZW1pb2xvZ3k8L2tleXdvcmQ+PGtleXdvcmQ+UHJlZ25hbmN5PC9rZXl3b3Jk
Pjwva2V5d29yZHM+PGRhdGVzPjx5ZWFyPjIwMTM8L3llYXI+PC9kYXRlcz48aXNibj4xOTMyLTYy
MDMgKEVsZWN0cm9uaWMpJiN4RDsxOTMyLTYyMDMgKExpbmtpbmcpPC9pc2JuPjxhY2Nlc3Npb24t
bnVtPjIzNjEzODg4PC9hY2Nlc3Npb24tbnVtPjx1cmxzPjxyZWxhdGVkLXVybHM+PHVybD5odHRw
czovL3d3dy5uY2JpLm5sbS5uaWguZ292L3B1Ym1lZC8yMzYxMzg4ODwvdXJsPjwvcmVsYXRlZC11
cmxzPjwvdXJscz48Y3VzdG9tMj5QTUMzNjI4Nzg4PC9jdXN0b20yPjxlbGVjdHJvbmljLXJlc291
cmNlLW51bT4xMC4xMzcxL2pvdXJuYWwucG9uZS4wMDYxNjI3PC9lbGVjdHJvbmljLXJlc291cmNl
LW51bT48L3JlY29yZD48L0NpdGU+PENpdGU+PEF1dGhvcj5IYW48L0F1dGhvcj48WWVhcj4yMDEx
PC9ZZWFyPjxSZWNOdW0+MTg3NTwvUmVjTnVtPjxyZWNvcmQ+PHJlYy1udW1iZXI+MTg3NTwvcmVj
LW51bWJlcj48Zm9yZWlnbi1rZXlzPjxrZXkgYXBwPSJFTiIgZGItaWQ9ImV4dmFzcmZ4MmR0cmFv
ZXNhc3hwMnN6c3hhMmRmNTAyNTkyeCIgdGltZXN0YW1wPSIxNTg4MjAyOTg1Ij4xODc1PC9rZXk+
PGtleSBhcHA9IkVOV2ViIiBkYi1pZD0iIj4wPC9rZXk+PC9mb3JlaWduLWtleXM+PHJlZi10eXBl
IG5hbWU9IkpvdXJuYWwgQXJ0aWNsZSI+MTc8L3JlZi10eXBlPjxjb250cmlidXRvcnM+PGF1dGhv
cnM+PGF1dGhvcj5IYW4sIFouPC9hdXRob3I+PGF1dGhvcj5NdWxsYSwgUy48L2F1dGhvcj48YXV0
aG9yPkJleWVuZSwgSi48L2F1dGhvcj48YXV0aG9yPkxpYW8sIEcuPC9hdXRob3I+PGF1dGhvcj5N
Y0RvbmFsZCwgUy4gRC48L2F1dGhvcj48YXV0aG9yPktub3dsZWRnZSBTeW50aGVzaXMsIEdyb3Vw
PC9hdXRob3I+PC9hdXRob3JzPjwvY29udHJpYnV0b3JzPjxhdXRoLWFkZHJlc3M+RGVwYXJ0bWVu
dCBvZiBPYnN0ZXRyaWNzIGFuZCBHeW5lY29sb2d5LCBGaXJzdCBBZmZpbGlhdGVkIEhvc3BpdGFs
IG9mIFhpJmFwb3M7YW4gSmlhbyBUb25nIFVuaXZlcnNpdHksIFNoYWFueGkgUHJvdmluY2UsIFBS
IENoaW5hLjwvYXV0aC1hZGRyZXNzPjx0aXRsZXM+PHRpdGxlPk1hdGVybmFsIHVuZGVyd2VpZ2h0
IGFuZCB0aGUgcmlzayBvZiBwcmV0ZXJtIGJpcnRoIGFuZCBsb3cgYmlydGggd2VpZ2h0OiBhIHN5
c3RlbWF0aWMgcmV2aWV3IGFuZCBtZXRhLWFuYWx5c2VzPC90aXRsZT48c2Vjb25kYXJ5LXRpdGxl
PkludCBKIEVwaWRlbWlvbDwvc2Vjb25kYXJ5LXRpdGxlPjwvdGl0bGVzPjxwZXJpb2RpY2FsPjxm
dWxsLXRpdGxlPkludCBKIEVwaWRlbWlvbDwvZnVsbC10aXRsZT48L3BlcmlvZGljYWw+PHBhZ2Vz
PjY1LTEwMTwvcGFnZXM+PHZvbHVtZT40MDwvdm9sdW1lPjxudW1iZXI+MTwvbnVtYmVyPjxlZGl0
aW9uPjIwMTAvMTEvMjY8L2VkaXRpb24+PGtleXdvcmRzPjxrZXl3b3JkPkJvZHkgTWFzcyBJbmRl
eDwva2V5d29yZD48a2V5d29yZD5GZW1hbGU8L2tleXdvcmQ+PGtleXdvcmQ+SHVtYW5zPC9rZXl3
b3JkPjxrZXl3b3JkPipJbmZhbnQsIExvdyBCaXJ0aCBXZWlnaHQ8L2tleXdvcmQ+PGtleXdvcmQ+
SW5mYW50LCBOZXdib3JuPC9rZXl3b3JkPjxrZXl3b3JkPipNb3RoZXJzPC9rZXl3b3JkPjxrZXl3
b3JkPlByZWduYW5jeTwva2V5d29yZD48a2V5d29yZD5QcmVnbmFuY3kgT3V0Y29tZTwva2V5d29y
ZD48a2V5d29yZD5QcmVtYXR1cmUgQmlydGgvKmVwaWRlbWlvbG9neTwva2V5d29yZD48a2V5d29y
ZD5SaXNrIEZhY3RvcnM8L2tleXdvcmQ+PGtleXdvcmQ+KlRoaW5uZXNzPC9rZXl3b3JkPjwva2V5
d29yZHM+PGRhdGVzPjx5ZWFyPjIwMTE8L3llYXI+PHB1Yi1kYXRlcz48ZGF0ZT5GZWI8L2RhdGU+
PC9wdWItZGF0ZXM+PC9kYXRlcz48aXNibj4xNDY0LTM2ODUgKEVsZWN0cm9uaWMpJiN4RDswMzAw
LTU3NzEgKExpbmtpbmcpPC9pc2JuPjxhY2Nlc3Npb24tbnVtPjIxMDk3OTU0PC9hY2Nlc3Npb24t
bnVtPjx1cmxzPjxyZWxhdGVkLXVybHM+PHVybD5odHRwczovL3d3dy5uY2JpLm5sbS5uaWguZ292
L3B1Ym1lZC8yMTA5Nzk1NDwvdXJsPjwvcmVsYXRlZC11cmxzPjwvdXJscz48ZWxlY3Ryb25pYy1y
ZXNvdXJjZS1udW0+MTAuMTA5My9pamUvZHlxMTk1PC9lbGVjdHJvbmljLXJlc291cmNlLW51bT48
L3JlY29yZD48L0NpdGU+PC9FbmROb3RlPgB=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388-390,392</w:t>
      </w:r>
      <w:r w:rsidR="00D07346">
        <w:fldChar w:fldCharType="end"/>
      </w:r>
      <w:r w:rsidR="00973A0B">
        <w:t>. Systematic reviews have also found a possible increase in risk of miscarriage</w:t>
      </w:r>
      <w:r w:rsidR="00D07346">
        <w:fldChar w:fldCharType="begin">
          <w:fldData xml:space="preserve">PEVuZE5vdGU+PENpdGU+PEF1dGhvcj5CYWxzZWxsczwvQXV0aG9yPjxZZWFyPjIwMTY8L1llYXI+
PFJlY051bT4xODU5PC9SZWNOdW0+PERpc3BsYXlUZXh0PjxzdHlsZSBmYWNlPSJzdXBlcnNjcmlw
dCIgZm9udD0iVHJlYnVjaGV0IE1TIiBzaXplPSI5Ij4zOTM8L3N0eWxlPjwvRGlzcGxheVRleHQ+
PHJlY29yZD48cmVjLW51bWJlcj4xODU5PC9yZWMtbnVtYmVyPjxmb3JlaWduLWtleXM+PGtleSBh
cHA9IkVOIiBkYi1pZD0iZXh2YXNyZngyZHRyYW9lc2FzeHAyc3pzeGEyZGY1MDI1OTJ4IiB0aW1l
c3RhbXA9IjE1ODc3OTQxMTkiPjE4NTk8L2tleT48a2V5IGFwcD0iRU5XZWIiIGRiLWlkPSIiPjA8
L2tleT48L2ZvcmVpZ24ta2V5cz48cmVmLXR5cGUgbmFtZT0iSm91cm5hbCBBcnRpY2xlIj4xNzwv
cmVmLXR5cGU+PGNvbnRyaWJ1dG9ycz48YXV0aG9ycz48YXV0aG9yPkJhbHNlbGxzLCBNLjwvYXV0
aG9yPjxhdXRob3I+R2FyY2lhLVBhdHRlcnNvbiwgQS48L2F1dGhvcj48YXV0aG9yPkNvcmNveSwg
Ui48L2F1dGhvcj48L2F1dGhvcnM+PC9jb250cmlidXRvcnM+PGF1dGgtYWRkcmVzcz5EZXBhcnRt
ZW50IG9mIEVuZG9jcmlub2xvZ3kgYW5kIE51dHJpdGlvbiwgSG9zcGl0YWwgTXV0dWEgZGUgVGVy
cmFzc2EsIFBsYWNhIERyIFJvYmVydCA1LCBUZXJyYXNzYSAwODIyMSBCYXJjZWxvbmEsIFNwYWlu
LiBFbGVjdHJvbmljIGFkZHJlc3M6IDIzNTkxbWJjQGNvbWIuY2F0LiYjeEQ7RGVwYXJ0bWVudCBv
ZiBFbmRvY3Jpbm9sb2d5IGFuZCBOdXRyaXRpb24sIEhvc3BpdGFsIGRlIGxhIFNhbnRhIENyZXUg
aSBTYW50IFBhdSwgUyBBbnRvbmkgTSBmZW1pbmluZSBDbGFyZXQgMTY3LCBCYXJjZWxvbmEgMDgw
MjUsIFNwYWluLiBFbGVjdHJvbmljIGFkZHJlc3M6IDMxMTc4YWdwQGNvbWIuY2F0LiYjeEQ7RGVw
YXJ0bWVudCBvZiBFbmRvY3Jpbm9sb2d5IGFuZCBOdXRyaXRpb24sIEhvc3BpdGFsIGRlIGxhIFNh
bnRhIENyZXUgaSBTYW50IFBhdSwgUyBBbnRvbmkgTSBmZW1pbmluZSBDbGFyZXQgMTY3LCBCYXJj
ZWxvbmEgMDgwMjUsIFNwYWluOyBEZXBhcnRtZW50IG9mIE1lZGljaW5lLCBVbml2ZXJzaXRhdCBB
dXRvbm9tYSBkZSBCYXJjZWxvbmEsIEJlbGxhdGVycmEsIFNwYWluOyBDSUJFUiBCaW9lbmdpbmVl
cmluZywgQmlvbWF0ZXJpYWxzIGFuZCBOYW5vdGVjaG5vbG9neSwgSW5zdGl0dXRvIGRlIFNhbHVk
IENhcmxvcyBJSUksIFphcmFnb3phLCBTcGFpbi4gRWxlY3Ryb25pYyBhZGRyZXNzOiByY29yY295
QHNhbnRwYXUuY2F0LjwvYXV0aC1hZGRyZXNzPjx0aXRsZXM+PHRpdGxlPlN5c3RlbWF0aWMgcmV2
aWV3IGFuZCBtZXRhLWFuYWx5c2lzIG9uIHRoZSBhc3NvY2lhdGlvbiBvZiBwcmVwcmVnbmFuY3kg
dW5kZXJ3ZWlnaHQgYW5kIG1pc2NhcnJpYWdlPC90aXRsZT48c2Vjb25kYXJ5LXRpdGxlPkV1ciBK
IE9ic3RldCBHeW5lY29sIFJlcHJvZCBCaW9sPC9zZWNvbmRhcnktdGl0bGU+PC90aXRsZXM+PHBl
cmlvZGljYWw+PGZ1bGwtdGl0bGU+RXVyIEogT2JzdGV0IEd5bmVjb2wgUmVwcm9kIEJpb2w8L2Z1
bGwtdGl0bGU+PC9wZXJpb2RpY2FsPjxwYWdlcz43My03OTwvcGFnZXM+PHZvbHVtZT4yMDc8L3Zv
bHVtZT48ZWRpdGlvbj4yMDE2LzExLzA5PC9lZGl0aW9uPjxrZXl3b3Jkcz48a2V5d29yZD5BYm9y
dGlvbiwgU3BvbnRhbmVvdXMvZXBpZGVtaW9sb2d5LypldGlvbG9neTwva2V5d29yZD48a2V5d29y
ZD5BZHVsdDwva2V5d29yZD48a2V5d29yZD5DYXNlLUNvbnRyb2wgU3R1ZGllczwva2V5d29yZD48
a2V5d29yZD5Db2hvcnQgU3R1ZGllczwva2V5d29yZD48a2V5d29yZD5GZW1hbGU8L2tleXdvcmQ+
PGtleXdvcmQ+SHVtYW5zPC9rZXl3b3JkPjxrZXl3b3JkPipNYXRlcm5hbCBOdXRyaXRpb25hbCBQ
aHlzaW9sb2dpY2FsIFBoZW5vbWVuYTwva2V5d29yZD48a2V5d29yZD5PYmVzaXR5L3BoeXNpb3Bh
dGhvbG9neTwva2V5d29yZD48a2V5d29yZD5PYmVzaXR5LCBNb3JiaWQvcGh5c2lvcGF0aG9sb2d5
PC9rZXl3b3JkPjxrZXl3b3JkPk92ZXJ3ZWlnaHQvcGh5c2lvcGF0aG9sb2d5PC9rZXl3b3JkPjxr
ZXl3b3JkPlByZWduYW5jeTwva2V5d29yZD48a2V5d29yZD5QcmVnbmFuY3kgQ29tcGxpY2F0aW9u
cy8qcGh5c2lvcGF0aG9sb2d5PC9rZXl3b3JkPjxrZXl3b3JkPlJlcHJvZHVjaWJpbGl0eSBvZiBS
ZXN1bHRzPC9rZXl3b3JkPjxrZXl3b3JkPlJlcHJvZHVjdGl2ZSBUZWNobmlxdWVzLCBBc3Npc3Rl
ZDwva2V5d29yZD48a2V5d29yZD5SaXNrPC9rZXl3b3JkPjxrZXl3b3JkPlRoaW5uZXNzLypwaHlz
aW9wYXRob2xvZ3k8L2tleXdvcmQ+PGtleXdvcmQ+QXNzaXN0ZWQgcmVwcm9kdWN0aW9uIHRlY2hu
aXF1ZXM8L2tleXdvcmQ+PGtleXdvcmQ+Qm9keSBtYXNzIGluZGV4PC9rZXl3b3JkPjxrZXl3b3Jk
PkNsaW5pY2FsIG1pc2NhcnJpYWdlPC9rZXl3b3JkPjxrZXl3b3JkPlNwb250YW5lb3VzIHByZWdu
YW5jeTwva2V5d29yZD48a2V5d29yZD5VbmRlcndlaWdodDwva2V5d29yZD48L2tleXdvcmRzPjxk
YXRlcz48eWVhcj4yMDE2PC95ZWFyPjxwdWItZGF0ZXM+PGRhdGU+RGVjPC9kYXRlPjwvcHViLWRh
dGVzPjwvZGF0ZXM+PGlzYm4+MTg3Mi03NjU0IChFbGVjdHJvbmljKSYjeEQ7MDMwMS0yMTE1IChM
aW5raW5nKTwvaXNibj48YWNjZXNzaW9uLW51bT4yNzgyNTAzMTwvYWNjZXNzaW9uLW51bT48dXJs
cz48cmVsYXRlZC11cmxzPjx1cmw+aHR0cHM6Ly93d3cubmNiaS5ubG0ubmloLmdvdi9wdWJtZWQv
Mjc4MjUwMzE8L3VybD48L3JlbGF0ZWQtdXJscz48L3VybHM+PGVsZWN0cm9uaWMtcmVzb3VyY2Ut
bnVtPjEwLjEwMTYvai5lam9ncmIuMjAxNi4xMC4wMTI8L2VsZWN0cm9uaWMtcmVzb3VyY2UtbnVt
PjwvcmVjb3JkPjwvQ2l0ZT48L0VuZE5vdGU+AG==
</w:fldData>
        </w:fldChar>
      </w:r>
      <w:r w:rsidR="002747EA">
        <w:instrText xml:space="preserve"> ADDIN EN.CITE </w:instrText>
      </w:r>
      <w:r w:rsidR="002747EA">
        <w:fldChar w:fldCharType="begin">
          <w:fldData xml:space="preserve">PEVuZE5vdGU+PENpdGU+PEF1dGhvcj5CYWxzZWxsczwvQXV0aG9yPjxZZWFyPjIwMTY8L1llYXI+
PFJlY051bT4xODU5PC9SZWNOdW0+PERpc3BsYXlUZXh0PjxzdHlsZSBmYWNlPSJzdXBlcnNjcmlw
dCIgZm9udD0iVHJlYnVjaGV0IE1TIiBzaXplPSI5Ij4zOTM8L3N0eWxlPjwvRGlzcGxheVRleHQ+
PHJlY29yZD48cmVjLW51bWJlcj4xODU5PC9yZWMtbnVtYmVyPjxmb3JlaWduLWtleXM+PGtleSBh
cHA9IkVOIiBkYi1pZD0iZXh2YXNyZngyZHRyYW9lc2FzeHAyc3pzeGEyZGY1MDI1OTJ4IiB0aW1l
c3RhbXA9IjE1ODc3OTQxMTkiPjE4NTk8L2tleT48a2V5IGFwcD0iRU5XZWIiIGRiLWlkPSIiPjA8
L2tleT48L2ZvcmVpZ24ta2V5cz48cmVmLXR5cGUgbmFtZT0iSm91cm5hbCBBcnRpY2xlIj4xNzwv
cmVmLXR5cGU+PGNvbnRyaWJ1dG9ycz48YXV0aG9ycz48YXV0aG9yPkJhbHNlbGxzLCBNLjwvYXV0
aG9yPjxhdXRob3I+R2FyY2lhLVBhdHRlcnNvbiwgQS48L2F1dGhvcj48YXV0aG9yPkNvcmNveSwg
Ui48L2F1dGhvcj48L2F1dGhvcnM+PC9jb250cmlidXRvcnM+PGF1dGgtYWRkcmVzcz5EZXBhcnRt
ZW50IG9mIEVuZG9jcmlub2xvZ3kgYW5kIE51dHJpdGlvbiwgSG9zcGl0YWwgTXV0dWEgZGUgVGVy
cmFzc2EsIFBsYWNhIERyIFJvYmVydCA1LCBUZXJyYXNzYSAwODIyMSBCYXJjZWxvbmEsIFNwYWlu
LiBFbGVjdHJvbmljIGFkZHJlc3M6IDIzNTkxbWJjQGNvbWIuY2F0LiYjeEQ7RGVwYXJ0bWVudCBv
ZiBFbmRvY3Jpbm9sb2d5IGFuZCBOdXRyaXRpb24sIEhvc3BpdGFsIGRlIGxhIFNhbnRhIENyZXUg
aSBTYW50IFBhdSwgUyBBbnRvbmkgTSBmZW1pbmluZSBDbGFyZXQgMTY3LCBCYXJjZWxvbmEgMDgw
MjUsIFNwYWluLiBFbGVjdHJvbmljIGFkZHJlc3M6IDMxMTc4YWdwQGNvbWIuY2F0LiYjeEQ7RGVw
YXJ0bWVudCBvZiBFbmRvY3Jpbm9sb2d5IGFuZCBOdXRyaXRpb24sIEhvc3BpdGFsIGRlIGxhIFNh
bnRhIENyZXUgaSBTYW50IFBhdSwgUyBBbnRvbmkgTSBmZW1pbmluZSBDbGFyZXQgMTY3LCBCYXJj
ZWxvbmEgMDgwMjUsIFNwYWluOyBEZXBhcnRtZW50IG9mIE1lZGljaW5lLCBVbml2ZXJzaXRhdCBB
dXRvbm9tYSBkZSBCYXJjZWxvbmEsIEJlbGxhdGVycmEsIFNwYWluOyBDSUJFUiBCaW9lbmdpbmVl
cmluZywgQmlvbWF0ZXJpYWxzIGFuZCBOYW5vdGVjaG5vbG9neSwgSW5zdGl0dXRvIGRlIFNhbHVk
IENhcmxvcyBJSUksIFphcmFnb3phLCBTcGFpbi4gRWxlY3Ryb25pYyBhZGRyZXNzOiByY29yY295
QHNhbnRwYXUuY2F0LjwvYXV0aC1hZGRyZXNzPjx0aXRsZXM+PHRpdGxlPlN5c3RlbWF0aWMgcmV2
aWV3IGFuZCBtZXRhLWFuYWx5c2lzIG9uIHRoZSBhc3NvY2lhdGlvbiBvZiBwcmVwcmVnbmFuY3kg
dW5kZXJ3ZWlnaHQgYW5kIG1pc2NhcnJpYWdlPC90aXRsZT48c2Vjb25kYXJ5LXRpdGxlPkV1ciBK
IE9ic3RldCBHeW5lY29sIFJlcHJvZCBCaW9sPC9zZWNvbmRhcnktdGl0bGU+PC90aXRsZXM+PHBl
cmlvZGljYWw+PGZ1bGwtdGl0bGU+RXVyIEogT2JzdGV0IEd5bmVjb2wgUmVwcm9kIEJpb2w8L2Z1
bGwtdGl0bGU+PC9wZXJpb2RpY2FsPjxwYWdlcz43My03OTwvcGFnZXM+PHZvbHVtZT4yMDc8L3Zv
bHVtZT48ZWRpdGlvbj4yMDE2LzExLzA5PC9lZGl0aW9uPjxrZXl3b3Jkcz48a2V5d29yZD5BYm9y
dGlvbiwgU3BvbnRhbmVvdXMvZXBpZGVtaW9sb2d5LypldGlvbG9neTwva2V5d29yZD48a2V5d29y
ZD5BZHVsdDwva2V5d29yZD48a2V5d29yZD5DYXNlLUNvbnRyb2wgU3R1ZGllczwva2V5d29yZD48
a2V5d29yZD5Db2hvcnQgU3R1ZGllczwva2V5d29yZD48a2V5d29yZD5GZW1hbGU8L2tleXdvcmQ+
PGtleXdvcmQ+SHVtYW5zPC9rZXl3b3JkPjxrZXl3b3JkPipNYXRlcm5hbCBOdXRyaXRpb25hbCBQ
aHlzaW9sb2dpY2FsIFBoZW5vbWVuYTwva2V5d29yZD48a2V5d29yZD5PYmVzaXR5L3BoeXNpb3Bh
dGhvbG9neTwva2V5d29yZD48a2V5d29yZD5PYmVzaXR5LCBNb3JiaWQvcGh5c2lvcGF0aG9sb2d5
PC9rZXl3b3JkPjxrZXl3b3JkPk92ZXJ3ZWlnaHQvcGh5c2lvcGF0aG9sb2d5PC9rZXl3b3JkPjxr
ZXl3b3JkPlByZWduYW5jeTwva2V5d29yZD48a2V5d29yZD5QcmVnbmFuY3kgQ29tcGxpY2F0aW9u
cy8qcGh5c2lvcGF0aG9sb2d5PC9rZXl3b3JkPjxrZXl3b3JkPlJlcHJvZHVjaWJpbGl0eSBvZiBS
ZXN1bHRzPC9rZXl3b3JkPjxrZXl3b3JkPlJlcHJvZHVjdGl2ZSBUZWNobmlxdWVzLCBBc3Npc3Rl
ZDwva2V5d29yZD48a2V5d29yZD5SaXNrPC9rZXl3b3JkPjxrZXl3b3JkPlRoaW5uZXNzLypwaHlz
aW9wYXRob2xvZ3k8L2tleXdvcmQ+PGtleXdvcmQ+QXNzaXN0ZWQgcmVwcm9kdWN0aW9uIHRlY2hu
aXF1ZXM8L2tleXdvcmQ+PGtleXdvcmQ+Qm9keSBtYXNzIGluZGV4PC9rZXl3b3JkPjxrZXl3b3Jk
PkNsaW5pY2FsIG1pc2NhcnJpYWdlPC9rZXl3b3JkPjxrZXl3b3JkPlNwb250YW5lb3VzIHByZWdu
YW5jeTwva2V5d29yZD48a2V5d29yZD5VbmRlcndlaWdodDwva2V5d29yZD48L2tleXdvcmRzPjxk
YXRlcz48eWVhcj4yMDE2PC95ZWFyPjxwdWItZGF0ZXM+PGRhdGU+RGVjPC9kYXRlPjwvcHViLWRh
dGVzPjwvZGF0ZXM+PGlzYm4+MTg3Mi03NjU0IChFbGVjdHJvbmljKSYjeEQ7MDMwMS0yMTE1IChM
aW5raW5nKTwvaXNibj48YWNjZXNzaW9uLW51bT4yNzgyNTAzMTwvYWNjZXNzaW9uLW51bT48dXJs
cz48cmVsYXRlZC11cmxzPjx1cmw+aHR0cHM6Ly93d3cubmNiaS5ubG0ubmloLmdvdi9wdWJtZWQv
Mjc4MjUwMzE8L3VybD48L3JlbGF0ZWQtdXJscz48L3VybHM+PGVsZWN0cm9uaWMtcmVzb3VyY2Ut
bnVtPjEwLjEwMTYvai5lam9ncmIuMjAxNi4xMC4wMTI8L2VsZWN0cm9uaWMtcmVzb3VyY2UtbnVt
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393</w:t>
      </w:r>
      <w:r w:rsidR="00D07346">
        <w:fldChar w:fldCharType="end"/>
      </w:r>
      <w:r w:rsidR="00973A0B">
        <w:t xml:space="preserve"> and placental abruption</w:t>
      </w:r>
      <w:r w:rsidR="00D07346">
        <w:fldChar w:fldCharType="begin"/>
      </w:r>
      <w:r w:rsidR="002747EA">
        <w:instrText xml:space="preserve"> ADDIN EN.CITE &lt;EndNote&gt;&lt;Cite&gt;&lt;Author&gt;Adane&lt;/Author&gt;&lt;Year&gt;2019&lt;/Year&gt;&lt;RecNum&gt;1858&lt;/RecNum&gt;&lt;DisplayText&gt;&lt;style face="superscript" font="Trebuchet MS" size="9"&gt;394&lt;/style&gt;&lt;/DisplayText&gt;&lt;record&gt;&lt;rec-number&gt;1858&lt;/rec-number&gt;&lt;foreign-keys&gt;&lt;key app="EN" db-id="exvasrfx2dtraoesasxp2szsxa2df502592x" timestamp="1587794110"&gt;1858&lt;/key&gt;&lt;key app="ENWeb" db-id=""&gt;0&lt;/key&gt;&lt;/foreign-keys&gt;&lt;ref-type name="Journal Article"&gt;17&lt;/ref-type&gt;&lt;contributors&gt;&lt;authors&gt;&lt;author&gt;Adane, A.A.,&lt;/author&gt;&lt;author&gt;Shepherd, C.C.J.&lt;/author&gt;&lt;author&gt;Lim, F.J.&lt;/author&gt;&lt;author&gt;White, S.W.&lt;/author&gt;&lt;author&gt;Farrant, B.M.&lt;/author&gt;&lt;author&gt;Bailey, H.D.&lt;/author&gt;&lt;/authors&gt;&lt;/contributors&gt;&lt;titles&gt;&lt;title&gt;The impact of pre-pregnancy body mass index and gestational weight gain on placental abruption risk: a systematic review and meta-analysis&lt;/title&gt;&lt;secondary-title&gt;Arch Gynecol Obstet&lt;/secondary-title&gt;&lt;/titles&gt;&lt;periodical&gt;&lt;full-title&gt;Arch Gynecol Obstet&lt;/full-title&gt;&lt;/periodical&gt;&lt;pages&gt;1201-1210&lt;/pages&gt;&lt;volume&gt;300&lt;/volume&gt;&lt;number&gt;5&lt;/number&gt;&lt;section&gt;1201&lt;/section&gt;&lt;dates&gt;&lt;year&gt;2019&lt;/year&gt;&lt;/dates&gt;&lt;isbn&gt;0932-0067&amp;#xD;1432-0711&lt;/isbn&gt;&lt;urls&gt;&lt;/urls&gt;&lt;electronic-resource-num&gt;10.1007/s00404-019-05320-8&lt;/electronic-resource-num&gt;&lt;/record&gt;&lt;/Cite&gt;&lt;/EndNote&gt;</w:instrText>
      </w:r>
      <w:r w:rsidR="00D07346">
        <w:fldChar w:fldCharType="separate"/>
      </w:r>
      <w:r w:rsidR="002747EA" w:rsidRPr="002747EA">
        <w:rPr>
          <w:noProof/>
          <w:vertAlign w:val="superscript"/>
        </w:rPr>
        <w:t>394</w:t>
      </w:r>
      <w:r w:rsidR="00D07346">
        <w:fldChar w:fldCharType="end"/>
      </w:r>
      <w:r w:rsidR="00973A0B">
        <w:t xml:space="preserve"> and a decreased risk of gestational diabetes.</w:t>
      </w:r>
      <w:r w:rsidR="00D07346">
        <w:fldChar w:fldCharType="begin"/>
      </w:r>
      <w:r w:rsidR="002747EA">
        <w:instrText xml:space="preserve"> ADDIN EN.CITE &lt;EndNote&gt;&lt;Cite&gt;&lt;Author&gt;Torloni&lt;/Author&gt;&lt;Year&gt;2009&lt;/Year&gt;&lt;RecNum&gt;1865&lt;/RecNum&gt;&lt;DisplayText&gt;&lt;style face="superscript" font="Trebuchet MS" size="9"&gt;395&lt;/style&gt;&lt;/DisplayText&gt;&lt;record&gt;&lt;rec-number&gt;1865&lt;/rec-number&gt;&lt;foreign-keys&gt;&lt;key app="EN" db-id="exvasrfx2dtraoesasxp2szsxa2df502592x" timestamp="1587794175"&gt;1865&lt;/key&gt;&lt;key app="ENWeb" db-id=""&gt;0&lt;/key&gt;&lt;/foreign-keys&gt;&lt;ref-type name="Journal Article"&gt;17&lt;/ref-type&gt;&lt;contributors&gt;&lt;authors&gt;&lt;author&gt;Torloni, M. R.&lt;/author&gt;&lt;author&gt;Betran, A. P.&lt;/author&gt;&lt;author&gt;Horta, B. L.&lt;/author&gt;&lt;author&gt;Nakamura, M. U.&lt;/author&gt;&lt;author&gt;Atallah, A. N.&lt;/author&gt;&lt;author&gt;Moron, A. F.&lt;/author&gt;&lt;author&gt;Valente, O.&lt;/author&gt;&lt;/authors&gt;&lt;/contributors&gt;&lt;auth-address&gt;Department of Emergency and Evidence Based Medicine, Sao Paulo Federal University, Sao Paulo, Brazil.&lt;/auth-address&gt;&lt;titles&gt;&lt;title&gt;Prepregnancy BMI and the risk of gestational diabetes: a systematic review of the literature with meta-analysis&lt;/title&gt;&lt;secondary-title&gt;Obes Rev&lt;/secondary-title&gt;&lt;/titles&gt;&lt;periodical&gt;&lt;full-title&gt;Obes Rev&lt;/full-title&gt;&lt;/periodical&gt;&lt;pages&gt;194-203&lt;/pages&gt;&lt;volume&gt;10&lt;/volume&gt;&lt;number&gt;2&lt;/number&gt;&lt;edition&gt;2008/12/06&lt;/edition&gt;&lt;keywords&gt;&lt;keyword&gt;*Body Mass Index&lt;/keyword&gt;&lt;keyword&gt;Diabetes, Gestational/*epidemiology&lt;/keyword&gt;&lt;keyword&gt;Female&lt;/keyword&gt;&lt;keyword&gt;Humans&lt;/keyword&gt;&lt;keyword&gt;Pregnancy&lt;/keyword&gt;&lt;keyword&gt;Risk Factors&lt;/keyword&gt;&lt;/keywords&gt;&lt;dates&gt;&lt;year&gt;2009&lt;/year&gt;&lt;pub-dates&gt;&lt;date&gt;Mar&lt;/date&gt;&lt;/pub-dates&gt;&lt;/dates&gt;&lt;isbn&gt;1467-789X (Electronic)&amp;#xD;1467-7881 (Linking)&lt;/isbn&gt;&lt;accession-num&gt;19055539&lt;/accession-num&gt;&lt;urls&gt;&lt;related-urls&gt;&lt;url&gt;https://www.ncbi.nlm.nih.gov/pubmed/19055539&lt;/url&gt;&lt;/related-urls&gt;&lt;/urls&gt;&lt;electronic-resource-num&gt;10.1111/j.1467-789X.2008.00541.x&lt;/electronic-resource-num&gt;&lt;/record&gt;&lt;/Cite&gt;&lt;/EndNote&gt;</w:instrText>
      </w:r>
      <w:r w:rsidR="00D07346">
        <w:fldChar w:fldCharType="separate"/>
      </w:r>
      <w:r w:rsidR="002747EA" w:rsidRPr="002747EA">
        <w:rPr>
          <w:noProof/>
          <w:vertAlign w:val="superscript"/>
        </w:rPr>
        <w:t>395</w:t>
      </w:r>
      <w:r w:rsidR="00D07346">
        <w:fldChar w:fldCharType="end"/>
      </w:r>
      <w:r w:rsidR="003B1359">
        <w:t xml:space="preserve"> </w:t>
      </w:r>
      <w:r w:rsidR="00642F88">
        <w:t>There was no clear effect on risk of congenital heart defects.</w:t>
      </w:r>
      <w:r w:rsidR="00D07346">
        <w:fldChar w:fldCharType="begin"/>
      </w:r>
      <w:r w:rsidR="002747EA">
        <w:instrText xml:space="preserve"> ADDIN EN.CITE &lt;EndNote&gt;&lt;Cite&gt;&lt;Author&gt;Zhu&lt;/Author&gt;&lt;Year&gt;2018&lt;/Year&gt;&lt;RecNum&gt;1908&lt;/RecNum&gt;&lt;DisplayText&gt;&lt;style face="superscript" font="Trebuchet MS" size="9"&gt;396&lt;/style&gt;&lt;/DisplayText&gt;&lt;record&gt;&lt;rec-number&gt;1908&lt;/rec-number&gt;&lt;foreign-keys&gt;&lt;key app="EN" db-id="exvasrfx2dtraoesasxp2szsxa2df502592x" timestamp="1588208212"&gt;1908&lt;/key&gt;&lt;key app="ENWeb" db-id=""&gt;0&lt;/key&gt;&lt;/foreign-keys&gt;&lt;ref-type name="Journal Article"&gt;17&lt;/ref-type&gt;&lt;contributors&gt;&lt;authors&gt;&lt;author&gt;Zhu, Y.&lt;/author&gt;&lt;author&gt;Chen, Y.&lt;/author&gt;&lt;author&gt;Feng, Y.&lt;/author&gt;&lt;author&gt;Yu, D.&lt;/author&gt;&lt;author&gt;Mo, X.&lt;/author&gt;&lt;/authors&gt;&lt;/contributors&gt;&lt;auth-address&gt;Department of Cardiothoracic Surgery, Children&amp;apos;s Hospital of Nanjing Medical University, Nanjing, China.&amp;#xD;Department of Thoracic Surgery, The First Affiliated Hospital of Soochow University, Soochow, China.&lt;/auth-address&gt;&lt;titles&gt;&lt;title&gt;Association between maternal body mass index and congenital heart defects in infants: A meta-analysis&lt;/title&gt;&lt;secondary-title&gt;Congenit Heart Dis&lt;/secondary-title&gt;&lt;/titles&gt;&lt;periodical&gt;&lt;full-title&gt;Congenit Heart Dis&lt;/full-title&gt;&lt;/periodical&gt;&lt;pages&gt;271-281&lt;/pages&gt;&lt;volume&gt;13&lt;/volume&gt;&lt;number&gt;2&lt;/number&gt;&lt;edition&gt;2018/01/25&lt;/edition&gt;&lt;keywords&gt;&lt;keyword&gt;*Body Mass Index&lt;/keyword&gt;&lt;keyword&gt;Female&lt;/keyword&gt;&lt;keyword&gt;Global Health&lt;/keyword&gt;&lt;keyword&gt;Heart Defects, Congenital/epidemiology/*etiology&lt;/keyword&gt;&lt;keyword&gt;Humans&lt;/keyword&gt;&lt;keyword&gt;Infant&lt;/keyword&gt;&lt;keyword&gt;Maternal Exposure/*adverse effects&lt;/keyword&gt;&lt;keyword&gt;Obesity/*complications&lt;/keyword&gt;&lt;keyword&gt;Odds Ratio&lt;/keyword&gt;&lt;keyword&gt;Pregnancy&lt;/keyword&gt;&lt;keyword&gt;Risk Factors&lt;/keyword&gt;&lt;keyword&gt;congenital heart defects&lt;/keyword&gt;&lt;keyword&gt;maternal body mass index&lt;/keyword&gt;&lt;keyword&gt;meta-analysis&lt;/keyword&gt;&lt;/keywords&gt;&lt;dates&gt;&lt;year&gt;2018&lt;/year&gt;&lt;pub-dates&gt;&lt;date&gt;Mar&lt;/date&gt;&lt;/pub-dates&gt;&lt;/dates&gt;&lt;isbn&gt;1747-0803 (Electronic)&amp;#xD;1747-079X (Linking)&lt;/isbn&gt;&lt;accession-num&gt;29363266&lt;/accession-num&gt;&lt;urls&gt;&lt;related-urls&gt;&lt;url&gt;https://www.ncbi.nlm.nih.gov/pubmed/29363266&lt;/url&gt;&lt;/related-urls&gt;&lt;/urls&gt;&lt;electronic-resource-num&gt;10.1111/chd.12567&lt;/electronic-resource-num&gt;&lt;/record&gt;&lt;/Cite&gt;&lt;/EndNote&gt;</w:instrText>
      </w:r>
      <w:r w:rsidR="00D07346">
        <w:fldChar w:fldCharType="separate"/>
      </w:r>
      <w:r w:rsidR="002747EA" w:rsidRPr="002747EA">
        <w:rPr>
          <w:noProof/>
          <w:vertAlign w:val="superscript"/>
        </w:rPr>
        <w:t>396</w:t>
      </w:r>
      <w:r w:rsidR="00D07346">
        <w:fldChar w:fldCharType="end"/>
      </w:r>
    </w:p>
    <w:p w14:paraId="295C8E33" w14:textId="122730BB" w:rsidR="001D6AA5" w:rsidRDefault="0022656D" w:rsidP="00BD61CC">
      <w:pPr>
        <w:pStyle w:val="Heading3"/>
      </w:pPr>
      <w:bookmarkStart w:id="197" w:name="_Toc40956540"/>
      <w:r>
        <w:t xml:space="preserve">Risks associated with </w:t>
      </w:r>
      <w:r w:rsidR="000F59CA">
        <w:t xml:space="preserve">pre-pregnancy </w:t>
      </w:r>
      <w:r w:rsidR="00DE138C">
        <w:t>healthy weight</w:t>
      </w:r>
      <w:bookmarkEnd w:id="197"/>
    </w:p>
    <w:p w14:paraId="16B6AC3C" w14:textId="69DC8BA5" w:rsidR="00EF6186" w:rsidRDefault="00EF6186" w:rsidP="00EF6186">
      <w:r>
        <w:t>A meta-analysis of individual participant data (n=265,270)</w:t>
      </w:r>
      <w:r w:rsidR="00D07346">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 </w:instrText>
      </w:r>
      <w:r w:rsidR="001A2F28">
        <w:fldChar w:fldCharType="begin">
          <w:fldData xml:space="preserve">PEVuZE5vdGU+PENpdGU+PEF1dGhvcj5TYW50b3M8L0F1dGhvcj48WWVhcj4yMDE5PC9ZZWFyPjxS
ZWNOdW0+MTkzMDwvUmVjTnVtPjxEaXNwbGF5VGV4dD48c3R5bGUgZmFjZT0ic3VwZXJzY3JpcHQi
IGZvbnQ9IlRyZWJ1Y2hldCBNUyIgc2l6ZT0iOSI+MzYyPC9zdHlsZT48L0Rpc3BsYXlUZXh0Pjxy
ZWNvcmQ+PHJlYy1udW1iZXI+MTkzMDwvcmVjLW51bWJlcj48Zm9yZWlnbi1rZXlzPjxrZXkgYXBw
PSJFTiIgZGItaWQ9ImV4dmFzcmZ4MmR0cmFvZXNhc3hwMnN6c3hhMmRmNTAyNTkyeCIgdGltZXN0
YW1wPSIxNTg4NjUzNDQ0Ij4xOTMwPC9rZXk+PGtleSBhcHA9IkVOV2ViIiBkYi1pZD0iIj4wPC9r
ZXk+PC9mb3JlaWduLWtleXM+PHJlZi10eXBlIG5hbWU9IkpvdXJuYWwgQXJ0aWNsZSI+MTc8L3Jl
Zi10eXBlPjxjb250cmlidXRvcnM+PGF1dGhvcnM+PGF1dGhvcj5TYW50b3MsIFMuPC9hdXRob3I+
PGF1dGhvcj5Wb2VybWFuLCBFLjwvYXV0aG9yPjxhdXRob3I+QW1pYW5vLCBQLjwvYXV0aG9yPjxh
dXRob3I+QmFycm9zLCBILjwvYXV0aG9yPjxhdXRob3I+QmVpbGluLCBMLiBKLjwvYXV0aG9yPjxh
dXRob3I+QmVyZ3N0cm9tLCBBLjwvYXV0aG9yPjxhdXRob3I+Q2hhcmxlcywgTS4gQS48L2F1dGhv
cj48YXV0aG9yPkNoYXR6aSwgTC48L2F1dGhvcj48YXV0aG9yPkNoZXZyaWVyLCBDLjwvYXV0aG9y
PjxhdXRob3I+Q2hyb3Vzb3MsIEcuIFAuPC9hdXRob3I+PGF1dGhvcj5Db3JwZWxlaWpuLCBFLjwv
YXV0aG9yPjxhdXRob3I+Q29zdGEsIE8uPC9hdXRob3I+PGF1dGhvcj5Db3N0ZXQsIE4uPC9hdXRo
b3I+PGF1dGhvcj5Dcm96aWVyLCBTLjwvYXV0aG9yPjxhdXRob3I+RGV2ZXJldXgsIEcuPC9hdXRo
b3I+PGF1dGhvcj5Eb3lvbiwgTS48L2F1dGhvcj48YXV0aG9yPkVnZ2VzYm8sIE0uPC9hdXRob3I+
PGF1dGhvcj5GYW50aW5pLCBNLiBQLjwvYXV0aG9yPjxhdXRob3I+RmFyY2hpLCBTLjwvYXV0aG9y
PjxhdXRob3I+Rm9yYXN0aWVyZSwgRi48L2F1dGhvcj48YXV0aG9yPkdlb3JnaXUsIFYuPC9hdXRo
b3I+PGF1dGhvcj5Hb2RmcmV5LCBLLiBNLjwvYXV0aG9yPjxhdXRob3I+R29yaSwgRC48L2F1dGhv
cj48YXV0aG9yPkdyb3RlLCBWLjwvYXV0aG9yPjxhdXRob3I+SGFua2UsIFcuPC9hdXRob3I+PGF1
dGhvcj5IZXJ0ei1QaWNjaW90dG8sIEkuPC9hdXRob3I+PGF1dGhvcj5IZXVkZSwgQi48L2F1dGhv
cj48YXV0aG9yPkhpdmVydCwgTS4gRi48L2F1dGhvcj48YXV0aG9yPkhyeWhvcmN6dWssIEQuPC9h
dXRob3I+PGF1dGhvcj5IdWFuZywgUi4gQy48L2F1dGhvcj48YXV0aG9yPkluc2tpcCwgSC48L2F1
dGhvcj48YXV0aG9yPkthcnZvbmVuLCBBLiBNLjwvYXV0aG9yPjxhdXRob3I+S2VubnksIEwuIEMu
PC9hdXRob3I+PGF1dGhvcj5Lb2xldHprbywgQi48L2F1dGhvcj48YXV0aG9yPkt1cGVycywgTC4g
Sy48L2F1dGhvcj48YXV0aG9yPkxhZ3N0cm9tLCBILjwvYXV0aG9yPjxhdXRob3I+TGVobWFubiwg
SS48L2F1dGhvcj48YXV0aG9yPk1hZ251cywgUC48L2F1dGhvcj48YXV0aG9yPk1hamV3c2thLCBS
LjwvYXV0aG9yPjxhdXRob3I+TWFrZWxhLCBKLjwvYXV0aG9yPjxhdXRob3I+TWFuaW9zLCBZLjwv
YXV0aG9yPjxhdXRob3I+TWNBdWxpZmZlLCBGLiBNLjwvYXV0aG9yPjxhdXRob3I+TWNEb25hbGQs
IFMuIFcuPC9hdXRob3I+PGF1dGhvcj5NZWhlZ2FuLCBKLjwvYXV0aG9yPjxhdXRob3I+TWVsZW4s
IEUuPC9hdXRob3I+PGF1dGhvcj5Nb21tZXJzLCBNLjwvYXV0aG9yPjxhdXRob3I+TW9yZ2VuLCBD
LiBTLjwvYXV0aG9yPjxhdXRob3I+TW9zY2hvbmlzLCBHLjwvYXV0aG9yPjxhdXRob3I+TXVycmF5
LCBELjwvYXV0aG9yPjxhdXRob3I+TmkgQ2hhb2ltaCwgQy48L2F1dGhvcj48YXV0aG9yPk5vaHIs
IEUuIEEuPC9hdXRob3I+PGF1dGhvcj5OeWJvIEFuZGVyc2VuLCBBLiBNLjwvYXV0aG9yPjxhdXRo
b3I+T2tlbiwgRS48L2F1dGhvcj48YXV0aG9yPk9vc3R2b2dlbHMsIEEuPC9hdXRob3I+PGF1dGhv
cj5QYWMsIEEuPC9hdXRob3I+PGF1dGhvcj5QYXBhZG9wb3Vsb3UsIEUuPC9hdXRob3I+PGF1dGhv
cj5QZWtrYW5lbiwgSi48L2F1dGhvcj48YXV0aG9yPlBpenppLCBDLjwvYXV0aG9yPjxhdXRob3I+
UG9sYW5za2EsIEsuPC9hdXRob3I+PGF1dGhvcj5Qb3J0YSwgRC48L2F1dGhvcj48YXV0aG9yPlJp
Y2hpYXJkaSwgTC48L2F1dGhvcj48YXV0aG9yPlJpZmFzLVNoaW1hbiwgUy4gTC48L2F1dGhvcj48
YXV0aG9yPlJvZWxldmVsZCwgTi48L2F1dGhvcj48YXV0aG9yPlJvbmZhbmksIEwuPC9hdXRob3I+
PGF1dGhvcj5TYW50b3MsIEEuIEMuPC9hdXRob3I+PGF1dGhvcj5TdGFuZGwsIE0uPC9hdXRob3I+
PGF1dGhvcj5TdGlndW0sIEguPC9hdXRob3I+PGF1dGhvcj5TdG9sdGVuYmVyZywgQy48L2F1dGhv
cj48YXV0aG9yPlRoaWVyaW5nLCBFLjwvYXV0aG9yPjxhdXRob3I+VGhpanMsIEMuPC9hdXRob3I+
PGF1dGhvcj5Ub3JyZW50LCBNLjwvYXV0aG9yPjxhdXRob3I+VG91Z2gsIFMuIEMuPC9hdXRob3I+
PGF1dGhvcj5Ucm5vdmVjLCBULjwvYXV0aG9yPjxhdXRob3I+VHVybmVyLCBTLjwvYXV0aG9yPjxh
dXRob3I+dmFuIEdlbGRlciwgTS48L2F1dGhvcj48YXV0aG9yPnZhbiBSb3NzZW0sIEwuPC9hdXRo
b3I+PGF1dGhvcj52b24gQmVyZywgQS48L2F1dGhvcj48YXV0aG9yPlZyaWpoZWlkLCBNLjwvYXV0
aG9yPjxhdXRob3I+VnJpamtvdHRlLCBULjwvYXV0aG9yPjxhdXRob3I+V2VzdCwgSi48L2F1dGhv
cj48YXV0aG9yPldpamdhLCBBLiBILjwvYXV0aG9yPjxhdXRob3I+V3JpZ2h0LCBKLjwvYXV0aG9y
PjxhdXRob3I+WnZpbmNodWssIE8uPC9hdXRob3I+PGF1dGhvcj5Tb3JlbnNlbiwgVC48L2F1dGhv
cj48YXV0aG9yPkxhd2xvciwgRC4gQS48L2F1dGhvcj48YXV0aG9yPkdhaWxsYXJkLCBSLjwvYXV0
aG9yPjxhdXRob3I+SmFkZG9lLCBWLjwvYXV0aG9yPjwvYXV0aG9ycz48L2NvbnRyaWJ1dG9ycz48
YXV0aC1hZGRyZXNzPlRoZSBHZW5lcmF0aW9uIFIgU3R1ZHkgR3JvdXAsIEVyYXNtdXMgTUMsIFVu
aXZlcnNpdHkgTWVkaWNhbCBDZW50ZXIsIFJvdHRlcmRhbSwgdGhlIE5ldGhlcmxhbmRzLiYjeEQ7
RGVwYXJ0bWVudCBvZiBQZWRpYXRyaWNzLCBFcmFzbXVzIE1DLCBVbml2ZXJzaXR5IE1lZGljYWwg
Q2VudGVyLCBSb3R0ZXJkYW0sIHRoZSBOZXRoZXJsYW5kcy4mI3hEO1B1YmxpYyBIZWFsdGggRGl2
aXNpb24gb2YgR2lwdXprb2EsIFNhbiBTZWJhc3RpYW4sIFNwYWluLiYjeEQ7QmlvRG9ub3N0aWEg
UmVzZWFyY2ggSW5zdGl0dXRlLCBTYW4gU2ViYXN0aWFuLCBTcGFpbi4mI3hEO0NJQkVSIEVwaWRl
bWlvbG9naWEgeSBTYWx1ZCBQdWJsaWNhIChDSUJFUkVTUCksIE1hZHJpZCwgU3BhaW4uJiN4RDtF
UElVbml0IC0gSW5zdGl0dXRvIGRlIFNhdWRlIFB1YmxpY2EsIFVuaXZlcnNpZGFkZSBkbyBQb3J0
bywgUG9ydG8sIFBvcnR1Z2FsLiYjeEQ7RGVwYXJ0bWVudCBvZiBQdWJsaWMgSGVhbHRoIGFuZCBG
b3JlbnNpYyBTY2llbmNlcyBhbmQgTWVkaWNhbCBFZHVjYXRpb24sIFVuaXQgb2YgQ2xpbmljYWwg
RXBpZGVtaW9sb2d5LCBQcmVkaWN0aXZlIE1lZGljaW5lIGFuZCBQdWJsaWMgSGVhbHRoLCBVbml2
ZXJzaXR5IG9mIFBvcnRvIE1lZGljYWwgU2Nob29sLCBQb3J0bywgUG9ydHVnYWwuJiN4RDtNZWRp
Y2FsIFNjaG9vbCwgUm95YWwgUGVydGggSG9zcGl0YWwgVW5pdCwgVGhlIFVuaXZlcnNpdHkgb2Yg
V2VzdGVybiBBdXN0cmFsaWEsIFBlcnRoLCBXQSwgQXVzdHJhbGlhLiYjeEQ7SW5zdGl0dXRlIG9m
IEVudmlyb25tZW50YWwgTWVkaWNpbmUsIEthcm9saW5za2EgSW5zdGl0dXRldCwgU3RvY2tob2xt
LCBTd2VkZW4uJiN4RDtDZW50cmUgZm9yIE9jY3VwYXRpb25hbCBhbmQgRW52aXJvbm1lbnRhbCBN
ZWRpY2luZSwgU3RvY2tob2xtIENvdW50eSBDb3VuY2lsLCBTdG9ja2hvbG0sIFN3ZWRlbi4mI3hE
O0lOU0VSTSwgVU1SMTE1MyBFcGlkZW1pb2xvZ3kgYW5kIEJpb3N0YXRpc3RpY3MgU29yYm9ubmUg
UGFyaXMgQ2l0ZSBDZW50ZXIgKENSRVNTKSwgT1JDSEFEIFRlYW0sIFZpbGxlanVpZiwgRnJhbmNl
LiYjeEQ7UGFyaXMgRGVzY2FydGVzIFVuaXZlcnNpdHksIFZpbGxlanVpZiwgRnJhbmNlLiYjeEQ7
RGVwYXJ0bWVudCBvZiBQcmV2ZW50aXZlIE1lZGljaW5lLCBLZWNrIFNjaG9vbCBvZiBNZWRpY2lu
ZSwgVW5pdmVyc2l0eSBvZiBTb3V0aGVybiBDYWxpZm9ybmlhLCBMb3MgQW5nZWxlcywgQ0EsIFVT
QS4mI3hEO0ZhY3VsdHkgb2YgTWVkaWNpbmUsIERlcGFydG1lbnQgb2YgU29jaWFsIE1lZGljaW5l
LCBVbml2ZXJzaXR5IG9mIENyZXRlLCBIZXJha2xpb24sIEdyZWVjZS4mI3hEO0RlcGFydG1lbnQg
b2YgR2VuZXRpY3MgYW5kIENlbGwgQmlvbG9neSwgTWFhc3RyaWNodCBVbml2ZXJzaXR5LCBNYWFz
dHJpY2h0LCB0aGUgTmV0aGVybGFuZHMuJiN4RDtJbnNlcm0gVU1SIDEwODUsIElyc2V0IC0gUmVz
ZWFyY2ggSW5zdGl0dXRlIGZvciBFbnZpcm9ubWVudGFsIGFuZCBPY2N1cGF0aW9uYWwgSGVhbHRo
LCBSZW5uZXMsIEZyYW5jZS4mI3hEO0ZpcnN0IERlcGFydG1lbnQgb2YgUGVkaWF0cmljcywgQXRo
ZW5zIFVuaXZlcnNpdHkgTWVkaWNhbCBTY2hvb2wsICZhcG9zO0FnaGlhIFNvcGhpYSZhcG9zOyBD
aGlsZHJlbiZhcG9zO3MgSG9zcGl0YWwsIE5hdGlvbmFsIGFuZCBLYXBvZGlzdHJpYW4gVW5pdmVy
c2l0eSBvZiBBdGhlbnMsIEF0aGVucywgR3JlZWNlLiYjeEQ7RGVwYXJ0bWVudCBvZiBFcGlkZW1p
b2xvZ3ksIFVuaXZlcnNpdHkgTWVkaWNhbCBDZW50ZXIgR3JvbmluZ2VuLCBVbml2ZXJzaXR5IG9m
IEdyb25pbmdlbiwgR3JvbmluZ2VuLCB0aGUgTmV0aGVybGFuZHMuJiN4RDtFcGlkZW1pb2xvZ3kg
YW5kIEVudmlyb25tZW50YWwgSGVhbHRoIEpvaW50IFJlc2VhcmNoIFVuaXQsIEZJU0FCSU8tVW5p
dmVyc2l0YXQgSmF1bWUgSS1Vbml2ZXJzaXRhdCBkZSBWYWxlbmNpYSwgVmFsZW5jaWEsIFNwYWlu
LiYjeEQ7TVJDIExpZmVjb3Vyc2UgRXBpZGVtaW9sb2d5IFVuaXQsIFVuaXZlcnNpdHkgb2YgU291
dGhhbXB0b24sIFNvdXRoYW1wdG9uLCBVSy4mI3hEO0xpdmVycG9vbCBTY2hvb2wgb2YgVHJvcGlj
YWwgTWVkaWNpbmUsIExpdmVycG9vbCwgVUsuJiN4RDtDZW50cmUgZGUgUmVjaGVyY2hlIGR1IENl
bnRyZSBIb3NwaXRhbGllciBkZSBsJmFwb3M7VW5pdmVyc2l0ZSBkZSBTaGVyYnJvb2tlLCBTaGVy
YnJvb2tlLCBRQywgQ2FuYWRhLiYjeEQ7RGVwYXJ0bWVudCBvZiBFeHBvc3VyZSBhbmQgRW52aXJv
bm1lbnRhbCBFcGlkZW1pb2xvZ3ksIE5vcndlZ2lhbiBJbnN0aXR1dGUgb2YgUHVibGljIEhlYWx0
aCwgT3NsbywgTm9yd2F5LiYjeEQ7VGhlIERlcGFydG1lbnQgb2YgQmlvbWVkaWNhbCBhbmQgTmV1
cm9tb3RvciBTY2llbmNlcywgVW5pdmVyc2l0eSBvZiBCb2xvZ25hLCBCb2xvZ25hLCBJdGFseS4m
I3hEO0RlcGFydG1lbnQgb2YgRXBpZGVtaW9sb2d5LCBMYXppbyBSZWdpb25hbCBIZWFsdGggU2Vy
dmljZSwgUm9tZSwgSXRhbHkuJiN4RDtOSUhSIFNvdXRoYW1wdG9uIEJpb21lZGljYWwgUmVzZWFy
Y2ggQ2VudHJlLCBVbml2ZXJzaXR5IG9mIFNvdXRoYW1wdG9uIGFuZCBVbml2ZXJzaXR5IEhvc3Bp
dGFsIFNvdXRoYW1wdG9uIE5IUyBGb3VuZGF0aW9uIFRydXN0LCBTb3V0aGFtcHRvbiwgVUsuJiN4
RDtEaXZpc2lvbiBvZiBNZXRhYm9saWMgYW5kIE51dHJpdGlvbmFsIE1lZGljaW5lLCBEci4gdm9u
IEhhdW5lciBDaGlsZHJlbiZhcG9zO3MgSG9zcGl0YWwsIEx1ZHdpZy1NYXhpbWlsaWFuLVVuaXZl
cnNpdGF0IE11bmljaCwgTXVuaWNoLCBHZXJtYW55LiYjeEQ7RGVwYXJ0bWVudCBvZiBFbnZpcm9u
bWVudGFsIEVwaWRlbWlvbG9neSwgTm9mZXIgSW5zdGl0dXRlIG9mIE9jY3VwYXRpb25hbCBNZWRp
Y2luZSwgTG9keiwgUG9sYW5kLiYjeEQ7RGVwYXJ0bWVudCBvZiBQdWJsaWMgSGVhbHRoIFNjaWVu
Y2VzLCBTY2hvb2wgb2YgTWVkaWNpbmUsIFVuaXZlcnNpdHkgb2YgQ2FsaWZvcm5pYSBEYXZpcywg
RGF2aXMsIENBLCBVU0EuJiN4RDtEZXBhcnRtZW50IG9mIFBvcHVsYXRpb24gTWVkaWNpbmUsIEhh
cnZhcmQgTWVkaWNhbCBTY2hvb2wsIEhhcnZhcmQgUGlsZ3JpbSBIZWFsdGggQ2FyZSBJbnN0aXR1
dGUsIEJvc3RvbiwgTUEsIFVTQS4mI3hEO0RpYWJldGVzIFVuaXQsIE1hc3NhY2h1c2V0dHMgR2Vu
ZXJhbCBIb3NwaXRhbCwgQm9zdG9uLCBNQSwgVVNBLiYjeEQ7Q2VudGVyIGZvciBHbG9iYWwgSGVh
bHRoLCBVbml2ZXJzaXR5IG9mIElsbGlub2lzIENvbGxlZ2Ugb2YgTWVkaWNpbmUsIENoaWNhZ28s
IElMLCBVU0EuJiN4RDtUZWxldGhvbiBLaWRzIEluc3RpdHV0ZSwgVGhlIFVuaXZlcnNpdHkgb2Yg
V2VzdGVybiBBdXN0cmFsaWEsIFBlcnRoLCBXQSwgQXVzdHJhbGlhLiYjeEQ7RGVwYXJ0bWVudCBv
ZiBIZWFsdGggU2VjdXJpdHksIE5hdGlvbmFsIEluc3RpdHV0ZSBmb3IgSGVhbHRoIGFuZCBXZWxm
YXJlLCBLdW9waW8sIEZpbmxhbmQuJiN4RDtJcmlzaCBDZW50cmUgZm9yIEZldGFsIGFuZCBOZW9u
YXRhbCBUcmFuc2xhdGlvbmFsIFJlc2VhcmNoLCBDb3JrIFVuaXZlcnNpdHkgTWF0ZXJuaXR5IEhv
c3BpdGFsLCBVbml2ZXJzaXR5IENvbGxlZ2UgQ29yaywgQ29yaywgSXJlbGFuZC4mI3hEO0RlcGFy
dG1lbnQgb2YgT2JzdGV0cmljcyBhbmQgR3luYWVjb2xvZ3ksIENvcmsgVW5pdmVyc2l0eSBNYXRl
cm5pdHkgSG9zcGl0YWwsIENvcmssIElyZWxhbmQuJiN4RDtNUkMgSW50ZWdyYXRpdmUgRXBpZGVt
aW9sb2d5IFVuaXQsIE9ha2ZpZWxkIEhvdXNlLCBPYWtmaWVsZCBHcm92ZSwgVW5pdmVyc2l0eSBv
ZiBCcmlzdG9sLCBCcmlzdG9sLCBVSy4mI3hEO1BvcHVsYXRpb24gSGVhbHRoIFNjaWVuY2UsIEJy
aXN0b2wgTWVkaWNhbCBTY2hvb2wsIFVuaXZlcnNpdHkgb2YgQnJpc3RvbCwgQnJpc3RvbCwgVUsu
JiN4RDtEaXZpc2lvbiBvZiBIdW1hbiBOdXRyaXRpb24gYW5kIEhlYWx0aCwgV2FnZW5pbmdlbiBV
bml2ZXJzaXR5ICZhbXA7IFJlc2VhcmNoLCBXYWdlbmluZ2VuLCB0aGUgTmV0aGVybGFuZHMuJiN4
RDtEZXBhcnRtZW50IG9mIFB1YmxpYyBIZWFsdGgsIFVuaXZlcnNpdHkgb2YgVHVya3UsIFR1cmt1
LCBGaW5sYW5kLiYjeEQ7RGVwYXJ0bWVudCBvZiBFbnZpcm9ubWVudGFsIEltbXVub2xvZ3kvQ29y
ZSBGYWNpbGl0eSBTdHVkaWVzLCBIZWxtaG9sdHogQ2VudHJlIGZvciBFbnZpcm9ubWVudGFsIFJl
c2VhcmNoIC0gVUZaLCBMZWlwemlnLCBHZXJtYW55LiYjeEQ7RGl2aXNpb24gb2YgSGVhbHRoIERh
dGEgYW5kIERpZ2l0YWxpemF0aW9uLCBOb3J3ZWdpYW4gSW5zdGl0dXRlIG9mIFB1YmxpYyBIZWFs
dGgsIE9zbG8sIE5vcndheS4mI3hEO0RlcGFydG1lbnQgb2YgRXBpZGVtaW9sb2d5LCBDaGFpciBv
ZiBFcGlkZW1pb2xvZ3kgYW5kIFByZXZlbnRpdmUgTWVkaWNpbmUsIEphZ2llbGxvbmlhbiBVbml2
ZXJzaXR5IE1lZGljYWwgQ29sbGVnZSwgS3Jha293LCBQb2xhbmQuJiN4RDtUdXJrdSBDZW50cmUg
Zm9yIEJpb3RlY2hub2xvZ3ksIFVuaXZlcnNpdHkgb2YgVHVya3UgYW5kIEFibyBBa2FkZW1pIFVu
aXZlcnNpdHksIFR1cmt1LCBGaW5sYW5kLiYjeEQ7RGVwYXJ0bWVudCBvZiBOdXRyaXRpb24gYW5k
IERpZXRldGljcywgU2Nob29sIG9mIEhlYWx0aCBTY2llbmNlIGFuZCBFZHVjYXRpb24sIEhhcm9r
b3BpbyBVbml2ZXJzaXR5LCBBdGhlbnMsIEdyZWVjZS4mI3hEO1VDRCBQZXJpbmF0YWwgUmVzZWFy
Y2ggQ2VudHJlLCBPYnN0ZXRyaWNzJmFtcDsgR3luYWVjb2xvZ3ksIFNjaG9vbCBvZiBNZWRpY2lu
ZSwgTmF0aW9uYWwgTWF0ZXJuaXR5IEhvc3BpdGFsLCBVbml2ZXJzaXR5IENvbGxlZ2UgRHVibGlu
LCBEdWJsaW4sIElyZWxhbmQuJiN4RDtEZXBhcnRtZW50IG9mIFBlZGlhdHJpY3MsIEN1bW1pbmcg
U2Nob29sIG9mIE1lZGljaW5lLCBVbml2ZXJzaXR5IG9mIENhbGdhcnksIENhbGdhcnksIEFCLCBD
YW5hZGEuJiN4RDtVQ0QgUGVyaW5hdGFsIFJlc2VhcmNoIENlbnRyZSwgU2Nob29sIG9mIFB1Ymxp
YyBIZWFsdGggYW5kIFBoeXNpb3RoZXJhcHkgYW5kIFNwb3J0cyBTY2llbmNlLCBVbml2ZXJzaXR5
IENvbGxlZ2UgRHVibGluLCBEdWJsaW4sIElyZWxhbmQuJiN4RDtTYWNoJmFwb3M7cyBDaGlsZHJl
biBIb3NwaXRhbCwgU3RvY2tob2xtLCBTd2VkZW4uJiN4RDtEZXBhcnRtZW50IG9mIEVwaWRlbWlv
bG9neSwgQ2FyZSBhbmQgUHVibGljIEhlYWx0aCBSZXNlYXJjaCBJbnN0aXR1dGUsIE1hYXN0cmlj
aHQgVW5pdmVyc2l0eSwgTWFhc3RyaWNodCwgdGhlIE5ldGhlcmxhbmRzLiYjeEQ7TmF0aW9uYWwg
SW5zdGl0dXRlIG9mIFB1YmxpYyBIZWFsdGgsIFVuaXZlcnNpdHkgb2YgU291dGhlcm4gRGVubWFy
aywgQ29wZW5oYWdlbiwgRGVubWFyay4mI3hEO0RlcGFydG1lbnQgb2YgUHVibGljIEhlYWx0aCwg
U2VjdGlvbiBvZiBFcGlkZW1pb2xvZ3ksIFVuaXZlcnNpdHkgb2YgQ29wZW5oYWdlbiwgQ29wZW5o
YWdlbiwgRGVubWFyay4mI3hEO0RlcGFydG1lbnQgb2YgUmVoYWJpbGl0YXRpb24sIE51dHJpdGlv
biBhbmQgU3BvcnQsIExhIFRyb2JlIFVuaXZlcnNpdHksIE1lbGJvdXJuZSwgVmljLCBBdXN0cmFs
aWEuJiN4RDtQYWVkaWF0cmljcyAmYW1wOyBDaGlsZCBIZWFsdGgsIFVuaXZlcnNpdHkgQ29sbGVn
ZSBDb3JrLCBDb3JrLCBJcmVsYW5kLiYjeEQ7Q29yayBDZW50cmUgZm9yIFZpdGFtaW4gRCBhbmQg
TnV0cml0aW9uIFJlc2VhcmNoLCBTY2hvb2wgb2YgRm9vZCBhbmQgTnV0cml0aW9uYWwgU2NpZW5j
ZXMsIFVuaXZlcnNpdHkgQ29sbGVnZSBDb3JrLCBDb3JrLCBJcmVsYW5kLiYjeEQ7UmVzZWFyY2gg
VW5pdCBmb3IgR3luYWVjb2xvZ3kgYW5kIE9ic3RldHJpY3MsIEluc3RpdHV0ZSBmb3IgQ2xpbmlj
YWwgUmVzZWFyY2gsIFVuaXZlcnNpdHkgb2YgU291dGhlcm4gRGVubWFyaywgT2RlbnNlLCBEZW5t
YXJrLiYjeEQ7RGVwYXJ0bWVudCBvZiBQdWJsaWMgSGVhbHRoLCBBbXN0ZXJkYW0gUHVibGljIEhl
YWx0aCBSZXNlYXJjaCBJbnN0aXR1dGUsIEFjYWRlbWljIE1lZGljYWwgQ2VudGVyLCBBbXN0ZXJk
YW0sIHRoZSBOZXRoZXJsYW5kcy4mI3hEO0RlcGFydG1lbnQgb2YgRW52aXJvbm1lbnRhbCBFeHBv
c3VyZXMgYW5kIEVwaWRlbWlvbG9neSwgRG9tYWluIG9mIEluZmVjdGlvbiBDb250cm9sIGFuZCBF
bnZpcm9ubWVudGFsIEhlYWx0aCwgTm9yd2VnaWFuIEluc3RpdHV0ZSBvZiBQdWJsaWMgSGVhbHRo
LCBPc2xvLCBOb3J3YXkuJiN4RDtEZXBhcnRtZW50IG9mIFB1YmxpYyBIZWFsdGgsIFVuaXZlcnNp
dHkgb2YgSGVsc2lua2ksIEhlbHNpbmtpLCBGaW5sYW5kLiYjeEQ7RGVwYXJ0bWVudCBvZiBNZWRp
Y2FsIFNjaWVuY2VzLCBVbml2ZXJzaXR5IG9mIFR1cmluLCBUdXJpbiwgSXRhbHkuJiN4RDtEZXBh
cnRtZW50IGZvciBIZWFsdGggRXZpZGVuY2UsIFJhZGJvdWQgSW5zdGl0dXRlIGZvciBIZWFsdGgg
U2NpZW5jZXMsIFJhZGJvdWQgVW5pdmVyc2l0eSBNZWRpY2FsIENlbnRlciwgTmlqbWVnZW4sIHRo
ZSBOZXRoZXJsYW5kcy4mI3hEO0luc3RpdHV0ZSBmb3IgTWF0ZXJuYWwgYW5kIENoaWxkIEhlYWx0
aCAtIElSQ0NTICZhcG9zO0J1cmxvIEdhcm9mb2xvJmFwb3M7LCBUcmllc3RlLCBJdGFseS4mI3hE
O0luc3RpdHV0ZSBvZiBFcGlkZW1pb2xvZ3ksIEhlbG1ob2x0eiBaZW50cnVtIE11bmNoZW4tR2Vy
bWFuIFJlc2VhcmNoIENlbnRlciBmb3IgRW52aXJvbm1lbnRhbCBIZWFsdGgsIE5ldWhlcmJlcmcs
IEdlcm1hbnkuJiN4RDtEZXBhcnRtZW50IG9mIE5vbi1jb21tdW5pY2FibGUgRGlzZWFzZXMsIE5v
cndlZ2lhbiBJbnN0aXR1dGUgb2YgUHVibGljIEhlYWx0aCwgT3NsbywgTm9yd2F5LiYjeEQ7Tm9y
d2VnaWFuIEluc3RpdHV0ZSBvZiBQdWJsaWMgSGVhbHRoLCBPc2xvLCBOb3J3YXkuJiN4RDtEZXBh
cnRtZW50IG9mIEdsb2JhbCBQdWJsaWMgSGVhbHRoIGFuZCBQcmltYXJ5IENhcmUsIFVuaXZlcnNp
dHkgb2YgQmVyZ2VuLCBCZXJnZW4sIE5vcndheS4mI3hEO0RyLiB2b24gSGF1bmVyIENoaWxkcmVu
JmFwb3M7cyBIb3NwaXRhbCwgTHVkd2lnLU1heGltaWxpYW5zLVVuaXZlcnNpdHkgTXVuaWNoLCBN
dW5pY2gsIEdlcm1hbnkuJiN4RDtJYi1zYWx1dCwgQXJlYSBkZSBTYWx1dCBkZSBNZW5vcmNhLCBN
ZW5vcmNhLCBTcGFpbi4mI3hEO0RlcGFydG1lbnQgb2YgQ29tbXVuaXR5IEhlYWx0aCBTY2llbmNl
cywgQ3VtbWluZyBTY2hvb2wgb2YgTWVkaWNpbmUsIFVuaXZlcnNpdHkgb2YgQ2FsZ2FyeSwgQ2Fs
Z2FyeSwgQUIsIENhbmFkYS4mI3hEO0RlcGFydG1lbnQgb2YgRW52aXJvbm1lbnRhbCBNZWRpY2lu
ZSwgU2xvdmFrIE1lZGljYWwgVW5pdmVyc2l0eSwgQnJhdGlzbGF2YSwgU2xvdmFrIFJlcHVibGlj
LiYjeEQ7Q2hpbGQgSGVhbHRoLCBSb3lhbCBBYmVyZGVlbiBDaGlsZHJlbiZhcG9zO3MgSG9zcGl0
YWwsIEFiZXJkZWVuLCBVSy4mI3hEO1JhZGJvdWQgUkVzaGFwZSBJbm5vdmF0aW9uIENlbnRlciwg
UmFkYm91ZCBVbml2ZXJzaXR5IE1lZGljYWwgQ2VudGVyLCBOaWptZWdlbiwgdGhlIE5ldGhlcmxh
bmRzLiYjeEQ7SnVsaXVzIENlbnRlciBmb3IgSGVhbHRoIFNjaWVuY2VzIGFuZCBQcmltYXJ5IENh
cmUsIFVuaXZlcnNpdHkgTWVkaWNhbCBDZW50ZXIgVXRyZWNodCwgVXRyZWNodCBVbml2ZXJzaXR5
LCBVdHJlY2h0LCB0aGUgTmV0aGVybGFuZHMuJiN4RDtEZXBhcnRtZW50IG9mIFBlZGlhdHJpY3Ms
IFJlc2VhcmNoIEluc3RpdHV0ZSwgTWFyaWVuLUhvc3BpdGFsIFdlc2VsLCBXZXNlbCwgR2VybWFu
eS4mI3hEO0lTR2xvYmFsLCBJbnN0aXR1dGUgZm9yIEdsb2JhbCBIZWFsdGgsIEJhcmNlbG9uYSwg
U3BhaW4uJiN4RDtVbml2ZXJzaXRhdCBQb21wZXUgRmFicmEgKFVQRiksIEJhcmNlbG9uYSwgU3Bh
aW4uJiN4RDtCcmFkZm9yZCBJbnN0aXR1dGUgZm9yIEhlYWx0aCBSZXNlYXJjaCwgQnJhZGZvcmQg
Um95YWwgSW5maXJtYXJ5LCBCcmFkZm9yZCwgVUsuJiN4RDtOYXRpb25hbCBJbnN0aXR1dGUgZm9y
IFB1YmxpYyBIZWFsdGggYW5kIHRoZSBFbnZpcm9ubWVudCwgQmlsdGhvdmVuLCB0aGUgTmV0aGVy
bGFuZHMuJiN4RDtEZXBhcnRtZW50IG9mIE1lZGljYWwgYW5kIFNvY2lhbCBQcm9ibGVtcyBvZiBG
YW1pbHkgSGVhbHRoLCBJbnN0aXR1dGUgb2YgUGVkaWF0cmljcywgT2JzdGV0cmljcyBhbmQgR3lu
ZWNvbG9neSwgS3lpdiwgVWtyYWluZS4mI3hEO1NlY3Rpb24gb2YgTWV0YWJvbGljIEdlbmV0aWNz
LCBGYWN1bHR5IG9mIEhlYWx0aCBhbmQgTWVkaWNhbCBTY2llbmNlcywgVGhlIE5vdm8gTm9yZGlz
ayBGb3VuZGF0aW9uIENlbnRlciBmb3IgQmFzaWMgTWV0YWJvbGljIFJlc2VhcmNoLCBVbml2ZXJz
aXR5IG9mIENvcGVuaGFnZW4sIENvcGVuaGFnZW4sIERlbm1hcmsuJiN4RDtEZXBhcnRtZW50IG9m
IEVwaWRlbWlvbG9neSwgRXJhc211cyBNQywgVW5pdmVyc2l0eSBNZWRpY2FsIENlbnRlciwgUm90
dGVyZGFtLCB0aGUgTmV0aGVybGFuZHMuPC9hdXRoLWFkZHJlc3M+PHRpdGxlcz48dGl0bGU+SW1w
YWN0IG9mIG1hdGVybmFsIGJvZHkgbWFzcyBpbmRleCBhbmQgZ2VzdGF0aW9uYWwgd2VpZ2h0IGdh
aW4gb24gcHJlZ25hbmN5IGNvbXBsaWNhdGlvbnM6IGFuIGluZGl2aWR1YWwgcGFydGljaXBhbnQg
ZGF0YSBtZXRhLWFuYWx5c2lzIG9mIEV1cm9wZWFuLCBOb3J0aCBBbWVyaWNhbiBhbmQgQXVzdHJh
bGlhbiBjb2hvcnRzPC90aXRsZT48c2Vjb25kYXJ5LXRpdGxlPkJKT0c8L3NlY29uZGFyeS10aXRs
ZT48L3RpdGxlcz48cGVyaW9kaWNhbD48ZnVsbC10aXRsZT5CSk9HPC9mdWxsLXRpdGxlPjwvcGVy
aW9kaWNhbD48cGFnZXM+OTg0LTk5NTwvcGFnZXM+PHZvbHVtZT4xMjY8L3ZvbHVtZT48bnVtYmVy
Pjg8L251bWJlcj48ZWRpdGlvbj4yMDE5LzAyLzIxPC9lZGl0aW9uPjxrZXl3b3Jkcz48a2V5d29y
ZD5BZHVsdDwva2V5d29yZD48a2V5d29yZD5BdXN0cmFsaWEvZXBpZGVtaW9sb2d5PC9rZXl3b3Jk
PjxrZXl3b3JkPkJpcnRoIFdlaWdodDwva2V5d29yZD48a2V5d29yZD4qQm9keSBNYXNzIEluZGV4
PC9rZXl3b3JkPjxrZXl3b3JkPkNvaG9ydCBTdHVkaWVzPC9rZXl3b3JkPjxrZXl3b3JkPkV1cm9w
ZS9lcGlkZW1pb2xvZ3k8L2tleXdvcmQ+PGtleXdvcmQ+RmVtYWxlPC9rZXl3b3JkPjxrZXl3b3Jk
Pkdlc3RhdGlvbmFsIEFnZTwva2V5d29yZD48a2V5d29yZD5HZXN0YXRpb25hbCBXZWlnaHQgR2Fp
bi8qcGh5c2lvbG9neTwva2V5d29yZD48a2V5d29yZD5IdW1hbnM8L2tleXdvcmQ+PGtleXdvcmQ+
SW5mYW50LCBOZXdib3JuPC9rZXl3b3JkPjxrZXl3b3JkPk5vcnRoIEFtZXJpY2EvZXBpZGVtaW9s
b2d5PC9rZXl3b3JkPjxrZXl3b3JkPk9kZHMgUmF0aW88L2tleXdvcmQ+PGtleXdvcmQ+T3Zlcndl
aWdodC8qY29tcGxpY2F0aW9uczwva2V5d29yZD48a2V5d29yZD5QcmVnbmFuY3k8L2tleXdvcmQ+
PGtleXdvcmQ+UHJlZ25hbmN5IENvbXBsaWNhdGlvbnMvZXBpZGVtaW9sb2d5LypldGlvbG9neTwv
a2V5d29yZD48a2V5d29yZD5SaXNrIEZhY3RvcnM8L2tleXdvcmQ+PGtleXdvcmQ+QmlydGh3ZWln
aHQ8L2tleXdvcmQ+PGtleXdvcmQ+Ym9keSBtYXNzIGluZGV4PC9rZXl3b3JkPjxrZXl3b3JkPnBy
ZWduYW5jeSBjb21wbGljYXRpb25zPC9rZXl3b3JkPjxrZXl3b3JkPnByZXRlcm0gYmlydGg8L2tl
eXdvcmQ+PGtleXdvcmQ+d2VpZ2h0IGdhaW48L2tleXdvcmQ+PC9rZXl3b3Jkcz48ZGF0ZXM+PHll
YXI+MjAxOTwveWVhcj48cHViLWRhdGVzPjxkYXRlPkp1bDwvZGF0ZT48L3B1Yi1kYXRlcz48L2Rh
dGVzPjxpc2JuPjE0NzEtMDUyOCAoRWxlY3Ryb25pYykmI3hEOzE0NzAtMDMyOCAoTGlua2luZyk8
L2lzYm4+PGFjY2Vzc2lvbi1udW0+MzA3ODYxMzg8L2FjY2Vzc2lvbi1udW0+PHVybHM+PHJlbGF0
ZWQtdXJscz48dXJsPmh0dHBzOi8vd3d3Lm5jYmkubmxtLm5paC5nb3YvcHVibWVkLzMwNzg2MTM4
PC91cmw+PC9yZWxhdGVkLXVybHM+PC91cmxzPjxjdXN0b20yPlBNQzY1NTQwNjk8L2N1c3RvbTI+
PGVsZWN0cm9uaWMtcmVzb3VyY2UtbnVtPjEwLjExMTEvMTQ3MS0wNTI4LjE1NjYxPC9lbGVjdHJv
bmljLXJlc291cmNlLW51bT48L3JlY29yZD48L0NpdGU+PC9FbmROb3RlPgB=
</w:fldData>
        </w:fldChar>
      </w:r>
      <w:r w:rsidR="001A2F28">
        <w:instrText xml:space="preserve"> ADDIN EN.CITE.DATA </w:instrText>
      </w:r>
      <w:r w:rsidR="001A2F28">
        <w:fldChar w:fldCharType="end"/>
      </w:r>
      <w:r w:rsidR="00D07346">
        <w:fldChar w:fldCharType="separate"/>
      </w:r>
      <w:r w:rsidR="001A2F28" w:rsidRPr="001A2F28">
        <w:rPr>
          <w:noProof/>
          <w:vertAlign w:val="superscript"/>
        </w:rPr>
        <w:t>362</w:t>
      </w:r>
      <w:r w:rsidR="00D07346">
        <w:fldChar w:fldCharType="end"/>
      </w:r>
      <w:r>
        <w:t xml:space="preserve"> found that among women with healthy pre-pregnancy BMI:</w:t>
      </w:r>
    </w:p>
    <w:p w14:paraId="78FA28EC" w14:textId="77777777" w:rsidR="00EF6186" w:rsidRDefault="00EF6186" w:rsidP="00EF6186">
      <w:pPr>
        <w:pStyle w:val="bullet"/>
      </w:pPr>
      <w:r>
        <w:t>low weight gain was associated with an increased risk of ‘any pregnancy complication’ (</w:t>
      </w:r>
      <w:r w:rsidRPr="00A96FD5">
        <w:rPr>
          <w:sz w:val="16"/>
          <w:szCs w:val="16"/>
        </w:rPr>
        <w:t>p&lt;0.05</w:t>
      </w:r>
      <w:r>
        <w:t>), preterm birth (</w:t>
      </w:r>
      <w:r w:rsidRPr="00A96FD5">
        <w:rPr>
          <w:sz w:val="16"/>
          <w:szCs w:val="16"/>
        </w:rPr>
        <w:t>p&lt;0.001</w:t>
      </w:r>
      <w:r>
        <w:t>) and small for gestational age (</w:t>
      </w:r>
      <w:r w:rsidRPr="00A96FD5">
        <w:rPr>
          <w:sz w:val="16"/>
          <w:szCs w:val="16"/>
        </w:rPr>
        <w:t>p&lt;0.001</w:t>
      </w:r>
      <w:r>
        <w:t>) and a reduced risk of large for gestational age (</w:t>
      </w:r>
      <w:r w:rsidRPr="00A96FD5">
        <w:rPr>
          <w:sz w:val="16"/>
          <w:szCs w:val="16"/>
        </w:rPr>
        <w:t>p&lt;0.001</w:t>
      </w:r>
      <w:r>
        <w:t>)</w:t>
      </w:r>
    </w:p>
    <w:p w14:paraId="6E8DF35B" w14:textId="2193C2A0" w:rsidR="00F043BE" w:rsidRDefault="00EF6186" w:rsidP="00BD61CC">
      <w:pPr>
        <w:pStyle w:val="bullet"/>
      </w:pPr>
      <w:r>
        <w:t>high weight gain was associated with an increased risk of ‘any pregnancy complication’, gestational diabetes, gestational hypertension, pre-eclampsia, preterm birth and large for gestational age and a reduced risk of small-for-gestational age (</w:t>
      </w:r>
      <w:r w:rsidRPr="00A96FD5">
        <w:rPr>
          <w:sz w:val="16"/>
          <w:szCs w:val="16"/>
        </w:rPr>
        <w:t>all p&lt;0.001</w:t>
      </w:r>
      <w:r>
        <w:t>).</w:t>
      </w:r>
    </w:p>
    <w:p w14:paraId="6086E6BC" w14:textId="7A1BD886" w:rsidR="000F59CA" w:rsidRDefault="000F59CA" w:rsidP="00BD61CC">
      <w:pPr>
        <w:pStyle w:val="Heading3"/>
      </w:pPr>
      <w:bookmarkStart w:id="198" w:name="_Toc40956541"/>
      <w:r>
        <w:t xml:space="preserve">Risk associated with pre-pregnancy </w:t>
      </w:r>
      <w:r w:rsidR="00DE138C">
        <w:t>overweight</w:t>
      </w:r>
      <w:r w:rsidR="00642F88">
        <w:t xml:space="preserve"> and obesity</w:t>
      </w:r>
      <w:bookmarkEnd w:id="198"/>
    </w:p>
    <w:p w14:paraId="7A6CFE91" w14:textId="6559EE8B" w:rsidR="00EF6186" w:rsidRDefault="00EF6186" w:rsidP="00EF6186">
      <w:r>
        <w:t xml:space="preserve">Systematic reviews were consistent in finding that </w:t>
      </w:r>
      <w:r w:rsidR="00DE138C">
        <w:t xml:space="preserve">pre-pregnancy overweight </w:t>
      </w:r>
      <w:r w:rsidR="00642F88">
        <w:t xml:space="preserve">and obesity </w:t>
      </w:r>
      <w:r w:rsidR="00DE138C">
        <w:t>was associated with large for gestational age</w:t>
      </w:r>
      <w:r w:rsidR="00D07346">
        <w:fldChar w:fldCharType="begin">
          <w:fldData xml:space="preserve">PEVuZE5vdGU+PENpdGU+PEF1dGhvcj5MaXU8L0F1dGhvcj48WWVhcj4yMDE2PC9ZZWFyPjxSZWNO
dW0+MTg2MzwvUmVjTnVtPjxEaXNwbGF5VGV4dD48c3R5bGUgZmFjZT0ic3VwZXJzY3JpcHQiIGZv
bnQ9IlRyZWJ1Y2hldCBNUyIgc2l6ZT0iOSI+Mzg5LDM5MCwzOTI8L3N0eWxlPjwvRGlzcGxheVRl
eHQ+PHJlY29yZD48cmVjLW51bWJlcj4xODYzPC9yZWMtbnVtYmVyPjxmb3JlaWduLWtleXM+PGtl
eSBhcHA9IkVOIiBkYi1pZD0iZXh2YXNyZngyZHRyYW9lc2FzeHAyc3pzeGEyZGY1MDI1OTJ4IiB0
aW1lc3RhbXA9IjE1ODc3OTQxNTgiPjE4NjM8L2tleT48a2V5IGFwcD0iRU5XZWIiIGRiLWlkPSIi
PjA8L2tleT48L2ZvcmVpZ24ta2V5cz48cmVmLXR5cGUgbmFtZT0iSm91cm5hbCBBcnRpY2xlIj4x
NzwvcmVmLXR5cGU+PGNvbnRyaWJ1dG9ycz48YXV0aG9ycz48YXV0aG9yPkxpdSwgUC48L2F1dGhv
cj48YXV0aG9yPlh1LCBMLjwvYXV0aG9yPjxhdXRob3I+V2FuZywgWS48L2F1dGhvcj48YXV0aG9y
PlpoYW5nLCBZLjwvYXV0aG9yPjxhdXRob3I+RHUsIFkuPC9hdXRob3I+PGF1dGhvcj5TdW4sIFku
PC9hdXRob3I+PGF1dGhvcj5XYW5nLCBaLjwvYXV0aG9yPjwvYXV0aG9ycz48L2NvbnRyaWJ1dG9y
cz48YXV0aC1hZGRyZXNzPkRlcGFydG1lbnQgb2YgRXBpZGVtaW9sb2d5IGFuZCBIZWFsdGggU3Rh
dGlzdGljcywgU2Nob29sIG9mIFB1YmxpYyBIZWFsdGgsIFNoYW5kb25nIFVuaXZlcnNpdHksIFNo
YW5kb25nLCBDaGluYS4mI3hEO0RpdmlzaW9uIG9mIEVwaWRlbWlvbG9neSBTdXJ2ZXksIENoaW5h
IEFuaW1hbCBIZWFsdGggYW5kIEVwaWRlbWlvbG9neSBDZW50ZXIsIE1pbmlzdHJ5IG9mIEFncmlj
dWx0dXJlLCBCZWlqaW5nLCBDaGluYS4mI3hEO0RlcGFydG1lbnQgb2YgSGVhbHRoLCBKaW5hbiBN
YXRlcm5hbCBhbmQgQ2hpbGQgQ2FyZSBTZXJ2aWNlIENlbnRyZSwgU2hhbmRvbmcsIENoaW5hLiYj
eEQ7RGVwYXJ0bWVudCBvZiBFcGlkZW1pb2xvZ3kgYW5kIEhlYWx0aCBTdGF0aXN0aWNzLCBTY2hv
b2wgb2YgUHVibGljIEhlYWx0aCwgU2hhbmRvbmcgVW5pdmVyc2l0eSwgU2hhbmRvbmcsIENoaW5h
LiB6aGlwaW5nd0BzZHUuZWR1LmNuLjwvYXV0aC1hZGRyZXNzPjx0aXRsZXM+PHRpdGxlPkFzc29j
aWF0aW9uIGJldHdlZW4gcGVyaW5hdGFsIG91dGNvbWVzIGFuZCBtYXRlcm5hbCBwcmUtcHJlZ25h
bmN5IGJvZHkgbWFzcyBpbmRleDwvdGl0bGU+PHNlY29uZGFyeS10aXRsZT5PYmVzIFJldjwvc2Vj
b25kYXJ5LXRpdGxlPjwvdGl0bGVzPjxwZXJpb2RpY2FsPjxmdWxsLXRpdGxlPk9iZXMgUmV2PC9m
dWxsLXRpdGxlPjwvcGVyaW9kaWNhbD48cGFnZXM+MTA5MS0xMTAyPC9wYWdlcz48dm9sdW1lPjE3
PC92b2x1bWU+PG51bWJlcj4xMTwvbnVtYmVyPjxlZGl0aW9uPjIwMTYvMDgvMTk8L2VkaXRpb24+
PGtleXdvcmRzPjxrZXl3b3JkPipCb2R5IE1hc3MgSW5kZXg8L2tleXdvcmQ+PGtleXdvcmQ+RmVt
YWxlPC9rZXl3b3JkPjxrZXl3b3JkPkh1bWFuczwva2V5d29yZD48a2V5d29yZD4qTW90aGVyczwv
a2V5d29yZD48a2V5d29yZD5PdmVyd2VpZ2h0LyplcGlkZW1pb2xvZ3k8L2tleXdvcmQ+PGtleXdv
cmQ+UHJlZ25hbmN5PC9rZXl3b3JkPjxrZXl3b3JkPlByZWduYW5jeSBDb21wbGljYXRpb25zLypl
cGlkZW1pb2xvZ3k8L2tleXdvcmQ+PGtleXdvcmQ+KlByZWduYW5jeSBPdXRjb21lPC9rZXl3b3Jk
PjxrZXl3b3JkPlJpc2sgRmFjdG9yczwva2V5d29yZD48a2V5d29yZD5UaGlubmVzcy8qZXBpZGVt
aW9sb2d5PC9rZXl3b3JkPjxrZXl3b3JkPldlaWdodCBHYWluPC9rZXl3b3JkPjxrZXl3b3JkPipi
bWk8L2tleXdvcmQ+PGtleXdvcmQ+Km9iZXNpdHk8L2tleXdvcmQ+PGtleXdvcmQ+KnBlcmluYXRh
bCBvdXRjb21lczwva2V5d29yZD48a2V5d29yZD4qcHJlZ25hbmN5PC9rZXl3b3JkPjwva2V5d29y
ZHM+PGRhdGVzPjx5ZWFyPjIwMTY8L3llYXI+PHB1Yi1kYXRlcz48ZGF0ZT5Ob3Y8L2RhdGU+PC9w
dWItZGF0ZXM+PC9kYXRlcz48aXNibj4xNDY3LTc4OVggKEVsZWN0cm9uaWMpJiN4RDsxNDY3LTc4
ODEgKExpbmtpbmcpPC9pc2JuPjxhY2Nlc3Npb24tbnVtPjI3NTM2ODc5PC9hY2Nlc3Npb24tbnVt
Pjx1cmxzPjxyZWxhdGVkLXVybHM+PHVybD5odHRwczovL3d3dy5uY2JpLm5sbS5uaWguZ292L3B1
Ym1lZC8yNzUzNjg3OTwvdXJsPjwvcmVsYXRlZC11cmxzPjwvdXJscz48ZWxlY3Ryb25pYy1yZXNv
dXJjZS1udW0+MTAuMTExMS9vYnIuMTI0NTU8L2VsZWN0cm9uaWMtcmVzb3VyY2UtbnVtPjwvcmVj
b3JkPjwvQ2l0ZT48Q2l0ZT48QXV0aG9yPll1PC9BdXRob3I+PFllYXI+MjAxMzwvWWVhcj48UmVj
TnVtPjE4Njc8L1JlY051bT48cmVjb3JkPjxyZWMtbnVtYmVyPjE4Njc8L3JlYy1udW1iZXI+PGZv
cmVpZ24ta2V5cz48a2V5IGFwcD0iRU4iIGRiLWlkPSJleHZhc3JmeDJkdHJhb2VzYXN4cDJzenN4
YTJkZjUwMjU5MngiIHRpbWVzdGFtcD0iMTU4Nzg3NTQwMCI+MTg2Nzwva2V5PjwvZm9yZWlnbi1r
ZXlzPjxyZWYtdHlwZSBuYW1lPSJKb3VybmFsIEFydGljbGUiPjE3PC9yZWYtdHlwZT48Y29udHJp
YnV0b3JzPjxhdXRob3JzPjxhdXRob3I+WXUsIFouPC9hdXRob3I+PGF1dGhvcj5IYW4sIFMuPC9h
dXRob3I+PGF1dGhvcj5aaHUsIEouPC9hdXRob3I+PGF1dGhvcj5TdW4sIFguPC9hdXRob3I+PGF1
dGhvcj5KaSwgQy48L2F1dGhvcj48YXV0aG9yPkd1bywgWC48L2F1dGhvcj48L2F1dGhvcnM+PC9j
b250cmlidXRvcnM+PGF1dGgtYWRkcmVzcz5TdGF0ZSBLZXkgTGFib3JhdG9yeSBvZiBSZXByb2R1
Y3RpdmUgTWVkaWNpbmUsIERlcGFydG1lbnQgb2YgUGVkaWF0cmljcywgTmFuamluZyBNYXRlcm5p
dHkgYW5kIENoaWxkIEhlYWx0aCBDYXJlIEhvc3BpdGFsLCBOYW5qaW5nIE1lZGljYWwgVW5pdmVy
c2l0eSwgTmFuamluZywgQ2hpbmEuPC9hdXRoLWFkZHJlc3M+PHRpdGxlcz48dGl0bGU+UHJlLXBy
ZWduYW5jeSBib2R5IG1hc3MgaW5kZXggaW4gcmVsYXRpb24gdG8gaW5mYW50IGJpcnRoIHdlaWdo
dCBhbmQgb2Zmc3ByaW5nIG92ZXJ3ZWlnaHQvb2Jlc2l0eTogYSBzeXN0ZW1hdGljIHJldmlldyBh
bmQgbWV0YS1hbmFseXNpczwvdGl0bGU+PHNlY29uZGFyeS10aXRsZT5QTG9TIE9uZTwvc2Vjb25k
YXJ5LXRpdGxlPjwvdGl0bGVzPjxwZXJpb2RpY2FsPjxmdWxsLXRpdGxlPlBMb1MgT25lPC9mdWxs
LXRpdGxlPjwvcGVyaW9kaWNhbD48cGFnZXM+ZTYxNjI3PC9wYWdlcz48dm9sdW1lPjg8L3ZvbHVt
ZT48bnVtYmVyPjQ8L251bWJlcj48ZWRpdGlvbj4yMDEzLzA0LzI1PC9lZGl0aW9uPjxrZXl3b3Jk
cz48a2V5d29yZD5CaXJ0aCBXZWlnaHQvKnBoeXNpb2xvZ3k8L2tleXdvcmQ+PGtleXdvcmQ+KkJv
ZHkgTWFzcyBJbmRleDwva2V5d29yZD48a2V5d29yZD5GZW1hbGU8L2tleXdvcmQ+PGtleXdvcmQ+
SHVtYW5zPC9rZXl3b3JkPjxrZXl3b3JkPkluZmFudCwgTmV3Ym9ybjwva2V5d29yZD48a2V5d29y
ZD5PYmVzaXR5LyplcGlkZW1pb2xvZ3k8L2tleXdvcmQ+PGtleXdvcmQ+T3ZlcndlaWdodC8qZXBp
ZGVtaW9sb2d5PC9rZXl3b3JkPjxrZXl3b3JkPlByZWduYW5jeTwva2V5d29yZD48L2tleXdvcmRz
PjxkYXRlcz48eWVhcj4yMDEzPC95ZWFyPjwvZGF0ZXM+PGlzYm4+MTkzMi02MjAzIChFbGVjdHJv
bmljKSYjeEQ7MTkzMi02MjAzIChMaW5raW5nKTwvaXNibj48YWNjZXNzaW9uLW51bT4yMzYxMzg4
ODwvYWNjZXNzaW9uLW51bT48dXJscz48cmVsYXRlZC11cmxzPjx1cmw+aHR0cHM6Ly93d3cubmNi
aS5ubG0ubmloLmdvdi9wdWJtZWQvMjM2MTM4ODg8L3VybD48L3JlbGF0ZWQtdXJscz48L3VybHM+
PGN1c3RvbTI+UE1DMzYyODc4ODwvY3VzdG9tMj48ZWxlY3Ryb25pYy1yZXNvdXJjZS1udW0+MTAu
MTM3MS9qb3VybmFsLnBvbmUuMDA2MTYyNzwvZWxlY3Ryb25pYy1yZXNvdXJjZS1udW0+PC9yZWNv
cmQ+PC9DaXRlPjxDaXRlPjxBdXRob3I+TGl1PC9BdXRob3I+PFllYXI+MjAxOTwvWWVhcj48UmVj
TnVtPjE4NjQ8L1JlY051bT48cmVjb3JkPjxyZWMtbnVtYmVyPjE4NjQ8L3JlYy1udW1iZXI+PGZv
cmVpZ24ta2V5cz48a2V5IGFwcD0iRU4iIGRiLWlkPSJleHZhc3JmeDJkdHJhb2VzYXN4cDJzenN4
YTJkZjUwMjU5MngiIHRpbWVzdGFtcD0iMTU4Nzc5NDE2NCI+MTg2NDwva2V5PjxrZXkgYXBwPSJF
TldlYiIgZGItaWQ9IiI+MDwva2V5PjwvZm9yZWlnbi1rZXlzPjxyZWYtdHlwZSBuYW1lPSJKb3Vy
bmFsIEFydGljbGUiPjE3PC9yZWYtdHlwZT48Y29udHJpYnV0b3JzPjxhdXRob3JzPjxhdXRob3I+
TGl1LCBMLjwvYXV0aG9yPjxhdXRob3I+TWEsIFkuPC9hdXRob3I+PGF1dGhvcj5XYW5nLCBOLjwv
YXV0aG9yPjxhdXRob3I+TGluLCBXLjwvYXV0aG9yPjxhdXRob3I+TGl1LCBZLjwvYXV0aG9yPjxh
dXRob3I+V2VuLCBELjwvYXV0aG9yPjwvYXV0aG9ycz48L2NvbnRyaWJ1dG9ycz48YXV0aC1hZGRy
ZXNzPlNjaG9vbCBvZiBQdWJsaWMgSGVhbHRoLCBEYWxpYW4gTWVkaWNhbCBVbml2ZXJzaXR5LCBE
YWxpYW4sIExpYW9uaW5nIFByb3ZpbmNlLCAxMTYwNDQsIFBlb3BsZSZhcG9zO3MgUmVwdWJsaWMg
b2YgQ2hpbmEuJiN4RDtTY2hvb2wgb2YgUHVibGljIEhlYWx0aCwgQ2hpbmEgTWVkaWNhbCBVbml2
ZXJzaXR5LCBOby43NyBQdWhlIFJvYWQsIFNoZW55YW5nIE5vcnRoIE5ldyBBcmVhLCBTaGVueWFu
ZywgTGlhb25pbmcgUHJvdmluY2UsIDExMDEyMiwgUGVvcGxlJmFwb3M7cyBSZXB1YmxpYyBvZiBD
aGluYS4mI3hEO1NjaG9vbCBvZiBQdWJsaWMgSGVhbHRoLCBDaGluYSBNZWRpY2FsIFVuaXZlcnNp
dHksIE5vLjc3IFB1aGUgUm9hZCwgU2hlbnlhbmcgTm9ydGggTmV3IEFyZWEsIFNoZW55YW5nLCBM
aWFvbmluZyBQcm92aW5jZSwgMTEwMTIyLCBQZW9wbGUmYXBvcztzIFJlcHVibGljIG9mIENoaW5h
LiBkbHdlbkBjbXUuZWR1LmNuLjwvYXV0aC1hZGRyZXNzPjx0aXRsZXM+PHRpdGxlPk1hdGVybmFs
IGJvZHkgbWFzcyBpbmRleCBhbmQgcmlzayBvZiBuZW9uYXRhbCBhZHZlcnNlIG91dGNvbWVzIGlu
IENoaW5hOiBhIHN5c3RlbWF0aWMgcmV2aWV3IGFuZCBtZXRhLWFuYWx5c2lzPC90aXRsZT48c2Vj
b25kYXJ5LXRpdGxlPkJNQyBQcmVnbmFuY3kgQ2hpbGRiaXJ0aDwvc2Vjb25kYXJ5LXRpdGxlPjwv
dGl0bGVzPjxwZXJpb2RpY2FsPjxmdWxsLXRpdGxlPkJNQyBQcmVnbmFuY3kgQ2hpbGRiaXJ0aDwv
ZnVsbC10aXRsZT48L3BlcmlvZGljYWw+PHBhZ2VzPjEwNTwvcGFnZXM+PHZvbHVtZT4xOTwvdm9s
dW1lPjxudW1iZXI+MTwvbnVtYmVyPjxlZGl0aW9uPjIwMTkvMDMvMzA8L2VkaXRpb24+PGtleXdv
cmRzPjxrZXl3b3JkPkFkdWx0PC9rZXl3b3JkPjxrZXl3b3JkPkJpcnRoIFdlaWdodDwva2V5d29y
ZD48a2V5d29yZD4qQm9keSBNYXNzIEluZGV4PC9rZXl3b3JkPjxrZXl3b3JkPkNoaW5hL2VwaWRl
bWlvbG9neTwva2V5d29yZD48a2V5d29yZD5GZW1hbGU8L2tleXdvcmQ+PGtleXdvcmQ+RmV0YWwg
TWFjcm9zb21pYS9ldGlvbG9neTwva2V5d29yZD48a2V5d29yZD5HZXN0YXRpb25hbCBXZWlnaHQg
R2Fpbjwva2V5d29yZD48a2V5d29yZD5IdW1hbnM8L2tleXdvcmQ+PGtleXdvcmQ+SW5mYW50LCBM
b3cgQmlydGggV2VpZ2h0PC9rZXl3b3JkPjxrZXl3b3JkPkluZmFudCwgTmV3Ym9ybjwva2V5d29y
ZD48a2V5d29yZD5JbmZhbnQsIFNtYWxsIGZvciBHZXN0YXRpb25hbCBBZ2U8L2tleXdvcmQ+PGtl
eXdvcmQ+T2Jlc2l0eS9jb21wbGljYXRpb25zLypwaHlzaW9wYXRob2xvZ3k8L2tleXdvcmQ+PGtl
eXdvcmQ+UHJlZ25hbmN5PC9rZXl3b3JkPjxrZXl3b3JkPlByZWduYW5jeSBDb21wbGljYXRpb25z
L2V0aW9sb2d5LypwaHlzaW9wYXRob2xvZ3k8L2tleXdvcmQ+PGtleXdvcmQ+UHJlZ25hbmN5IE91
dGNvbWUvKmVwaWRlbWlvbG9neTwva2V5d29yZD48a2V5d29yZD5SaXNrIEZhY3RvcnM8L2tleXdv
cmQ+PGtleXdvcmQ+Q29ob3J0IHN0dWR5PC9rZXl3b3JkPjxrZXl3b3JkPk1hdGVybmFsIEJNSTwv
a2V5d29yZD48a2V5d29yZD5NZXRhLWFuYWx5c2lzPC9rZXl3b3JkPjxrZXl3b3JkPk5lb25hdGFs
IG91dGNvbWVzPC9rZXl3b3JkPjwva2V5d29yZHM+PGRhdGVzPjx5ZWFyPjIwMTk8L3llYXI+PHB1
Yi1kYXRlcz48ZGF0ZT5NYXIgMjk8L2RhdGU+PC9wdWItZGF0ZXM+PC9kYXRlcz48aXNibj4xNDcx
LTIzOTMgKEVsZWN0cm9uaWMpJiN4RDsxNDcxLTIzOTMgKExpbmtpbmcpPC9pc2JuPjxhY2Nlc3Np
b24tbnVtPjMwOTIyMjQ0PC9hY2Nlc3Npb24tbnVtPjx1cmxzPjxyZWxhdGVkLXVybHM+PHVybD5o
dHRwczovL3d3dy5uY2JpLm5sbS5uaWguZ292L3B1Ym1lZC8zMDkyMjI0NDwvdXJsPjwvcmVsYXRl
ZC11cmxzPjwvdXJscz48Y3VzdG9tMj5QTUM2NDQwMTIxPC9jdXN0b20yPjxlbGVjdHJvbmljLXJl
c291cmNlLW51bT4xMC4xMTg2L3MxMjg4NC0wMTktMjI0OS16PC9lbGVjdHJvbmljLXJlc291cmNl
LW51bT48L3JlY29yZD48L0NpdGU+PC9FbmROb3RlPn==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bnQ9IlRyZWJ1Y2hldCBNUyIgc2l6ZT0iOSI+Mzg5LDM5MCwzOTI8L3N0eWxlPjwvRGlzcGxheVRl
eHQ+PHJlY29yZD48cmVjLW51bWJlcj4xODYzPC9yZWMtbnVtYmVyPjxmb3JlaWduLWtleXM+PGtl
eSBhcHA9IkVOIiBkYi1pZD0iZXh2YXNyZngyZHRyYW9lc2FzeHAyc3pzeGEyZGY1MDI1OTJ4IiB0
aW1lc3RhbXA9IjE1ODc3OTQxNTgiPjE4NjM8L2tleT48a2V5IGFwcD0iRU5XZWIiIGRiLWlkPSIi
PjA8L2tleT48L2ZvcmVpZ24ta2V5cz48cmVmLXR5cGUgbmFtZT0iSm91cm5hbCBBcnRpY2xlIj4x
NzwvcmVmLXR5cGU+PGNvbnRyaWJ1dG9ycz48YXV0aG9ycz48YXV0aG9yPkxpdSwgUC48L2F1dGhv
cj48YXV0aG9yPlh1LCBMLjwvYXV0aG9yPjxhdXRob3I+V2FuZywgWS48L2F1dGhvcj48YXV0aG9y
PlpoYW5nLCBZLjwvYXV0aG9yPjxhdXRob3I+RHUsIFkuPC9hdXRob3I+PGF1dGhvcj5TdW4sIFku
PC9hdXRob3I+PGF1dGhvcj5XYW5nLCBaLjwvYXV0aG9yPjwvYXV0aG9ycz48L2NvbnRyaWJ1dG9y
cz48YXV0aC1hZGRyZXNzPkRlcGFydG1lbnQgb2YgRXBpZGVtaW9sb2d5IGFuZCBIZWFsdGggU3Rh
dGlzdGljcywgU2Nob29sIG9mIFB1YmxpYyBIZWFsdGgsIFNoYW5kb25nIFVuaXZlcnNpdHksIFNo
YW5kb25nLCBDaGluYS4mI3hEO0RpdmlzaW9uIG9mIEVwaWRlbWlvbG9neSBTdXJ2ZXksIENoaW5h
IEFuaW1hbCBIZWFsdGggYW5kIEVwaWRlbWlvbG9neSBDZW50ZXIsIE1pbmlzdHJ5IG9mIEFncmlj
dWx0dXJlLCBCZWlqaW5nLCBDaGluYS4mI3hEO0RlcGFydG1lbnQgb2YgSGVhbHRoLCBKaW5hbiBN
YXRlcm5hbCBhbmQgQ2hpbGQgQ2FyZSBTZXJ2aWNlIENlbnRyZSwgU2hhbmRvbmcsIENoaW5hLiYj
eEQ7RGVwYXJ0bWVudCBvZiBFcGlkZW1pb2xvZ3kgYW5kIEhlYWx0aCBTdGF0aXN0aWNzLCBTY2hv
b2wgb2YgUHVibGljIEhlYWx0aCwgU2hhbmRvbmcgVW5pdmVyc2l0eSwgU2hhbmRvbmcsIENoaW5h
LiB6aGlwaW5nd0BzZHUuZWR1LmNuLjwvYXV0aC1hZGRyZXNzPjx0aXRsZXM+PHRpdGxlPkFzc29j
aWF0aW9uIGJldHdlZW4gcGVyaW5hdGFsIG91dGNvbWVzIGFuZCBtYXRlcm5hbCBwcmUtcHJlZ25h
bmN5IGJvZHkgbWFzcyBpbmRleDwvdGl0bGU+PHNlY29uZGFyeS10aXRsZT5PYmVzIFJldjwvc2Vj
b25kYXJ5LXRpdGxlPjwvdGl0bGVzPjxwZXJpb2RpY2FsPjxmdWxsLXRpdGxlPk9iZXMgUmV2PC9m
dWxsLXRpdGxlPjwvcGVyaW9kaWNhbD48cGFnZXM+MTA5MS0xMTAyPC9wYWdlcz48dm9sdW1lPjE3
PC92b2x1bWU+PG51bWJlcj4xMTwvbnVtYmVyPjxlZGl0aW9uPjIwMTYvMDgvMTk8L2VkaXRpb24+
PGtleXdvcmRzPjxrZXl3b3JkPipCb2R5IE1hc3MgSW5kZXg8L2tleXdvcmQ+PGtleXdvcmQ+RmVt
YWxlPC9rZXl3b3JkPjxrZXl3b3JkPkh1bWFuczwva2V5d29yZD48a2V5d29yZD4qTW90aGVyczwv
a2V5d29yZD48a2V5d29yZD5PdmVyd2VpZ2h0LyplcGlkZW1pb2xvZ3k8L2tleXdvcmQ+PGtleXdv
cmQ+UHJlZ25hbmN5PC9rZXl3b3JkPjxrZXl3b3JkPlByZWduYW5jeSBDb21wbGljYXRpb25zLypl
cGlkZW1pb2xvZ3k8L2tleXdvcmQ+PGtleXdvcmQ+KlByZWduYW5jeSBPdXRjb21lPC9rZXl3b3Jk
PjxrZXl3b3JkPlJpc2sgRmFjdG9yczwva2V5d29yZD48a2V5d29yZD5UaGlubmVzcy8qZXBpZGVt
aW9sb2d5PC9rZXl3b3JkPjxrZXl3b3JkPldlaWdodCBHYWluPC9rZXl3b3JkPjxrZXl3b3JkPipi
bWk8L2tleXdvcmQ+PGtleXdvcmQ+Km9iZXNpdHk8L2tleXdvcmQ+PGtleXdvcmQ+KnBlcmluYXRh
bCBvdXRjb21lczwva2V5d29yZD48a2V5d29yZD4qcHJlZ25hbmN5PC9rZXl3b3JkPjwva2V5d29y
ZHM+PGRhdGVzPjx5ZWFyPjIwMTY8L3llYXI+PHB1Yi1kYXRlcz48ZGF0ZT5Ob3Y8L2RhdGU+PC9w
dWItZGF0ZXM+PC9kYXRlcz48aXNibj4xNDY3LTc4OVggKEVsZWN0cm9uaWMpJiN4RDsxNDY3LTc4
ODEgKExpbmtpbmcpPC9pc2JuPjxhY2Nlc3Npb24tbnVtPjI3NTM2ODc5PC9hY2Nlc3Npb24tbnVt
Pjx1cmxzPjxyZWxhdGVkLXVybHM+PHVybD5odHRwczovL3d3dy5uY2JpLm5sbS5uaWguZ292L3B1
Ym1lZC8yNzUzNjg3OTwvdXJsPjwvcmVsYXRlZC11cmxzPjwvdXJscz48ZWxlY3Ryb25pYy1yZXNv
dXJjZS1udW0+MTAuMTExMS9vYnIuMTI0NTU8L2VsZWN0cm9uaWMtcmVzb3VyY2UtbnVtPjwvcmVj
b3JkPjwvQ2l0ZT48Q2l0ZT48QXV0aG9yPll1PC9BdXRob3I+PFllYXI+MjAxMzwvWWVhcj48UmVj
TnVtPjE4Njc8L1JlY051bT48cmVjb3JkPjxyZWMtbnVtYmVyPjE4Njc8L3JlYy1udW1iZXI+PGZv
cmVpZ24ta2V5cz48a2V5IGFwcD0iRU4iIGRiLWlkPSJleHZhc3JmeDJkdHJhb2VzYXN4cDJzenN4
YTJkZjUwMjU5MngiIHRpbWVzdGFtcD0iMTU4Nzg3NTQwMCI+MTg2Nzwva2V5PjwvZm9yZWlnbi1r
ZXlzPjxyZWYtdHlwZSBuYW1lPSJKb3VybmFsIEFydGljbGUiPjE3PC9yZWYtdHlwZT48Y29udHJp
YnV0b3JzPjxhdXRob3JzPjxhdXRob3I+WXUsIFouPC9hdXRob3I+PGF1dGhvcj5IYW4sIFMuPC9h
dXRob3I+PGF1dGhvcj5aaHUsIEouPC9hdXRob3I+PGF1dGhvcj5TdW4sIFguPC9hdXRob3I+PGF1
dGhvcj5KaSwgQy48L2F1dGhvcj48YXV0aG9yPkd1bywgWC48L2F1dGhvcj48L2F1dGhvcnM+PC9j
b250cmlidXRvcnM+PGF1dGgtYWRkcmVzcz5TdGF0ZSBLZXkgTGFib3JhdG9yeSBvZiBSZXByb2R1
Y3RpdmUgTWVkaWNpbmUsIERlcGFydG1lbnQgb2YgUGVkaWF0cmljcywgTmFuamluZyBNYXRlcm5p
dHkgYW5kIENoaWxkIEhlYWx0aCBDYXJlIEhvc3BpdGFsLCBOYW5qaW5nIE1lZGljYWwgVW5pdmVy
c2l0eSwgTmFuamluZywgQ2hpbmEuPC9hdXRoLWFkZHJlc3M+PHRpdGxlcz48dGl0bGU+UHJlLXBy
ZWduYW5jeSBib2R5IG1hc3MgaW5kZXggaW4gcmVsYXRpb24gdG8gaW5mYW50IGJpcnRoIHdlaWdo
dCBhbmQgb2Zmc3ByaW5nIG92ZXJ3ZWlnaHQvb2Jlc2l0eTogYSBzeXN0ZW1hdGljIHJldmlldyBh
bmQgbWV0YS1hbmFseXNpczwvdGl0bGU+PHNlY29uZGFyeS10aXRsZT5QTG9TIE9uZTwvc2Vjb25k
YXJ5LXRpdGxlPjwvdGl0bGVzPjxwZXJpb2RpY2FsPjxmdWxsLXRpdGxlPlBMb1MgT25lPC9mdWxs
LXRpdGxlPjwvcGVyaW9kaWNhbD48cGFnZXM+ZTYxNjI3PC9wYWdlcz48dm9sdW1lPjg8L3ZvbHVt
ZT48bnVtYmVyPjQ8L251bWJlcj48ZWRpdGlvbj4yMDEzLzA0LzI1PC9lZGl0aW9uPjxrZXl3b3Jk
cz48a2V5d29yZD5CaXJ0aCBXZWlnaHQvKnBoeXNpb2xvZ3k8L2tleXdvcmQ+PGtleXdvcmQ+KkJv
ZHkgTWFzcyBJbmRleDwva2V5d29yZD48a2V5d29yZD5GZW1hbGU8L2tleXdvcmQ+PGtleXdvcmQ+
SHVtYW5zPC9rZXl3b3JkPjxrZXl3b3JkPkluZmFudCwgTmV3Ym9ybjwva2V5d29yZD48a2V5d29y
ZD5PYmVzaXR5LyplcGlkZW1pb2xvZ3k8L2tleXdvcmQ+PGtleXdvcmQ+T3ZlcndlaWdodC8qZXBp
ZGVtaW9sb2d5PC9rZXl3b3JkPjxrZXl3b3JkPlByZWduYW5jeTwva2V5d29yZD48L2tleXdvcmRz
PjxkYXRlcz48eWVhcj4yMDEzPC95ZWFyPjwvZGF0ZXM+PGlzYm4+MTkzMi02MjAzIChFbGVjdHJv
bmljKSYjeEQ7MTkzMi02MjAzIChMaW5raW5nKTwvaXNibj48YWNjZXNzaW9uLW51bT4yMzYxMzg4
ODwvYWNjZXNzaW9uLW51bT48dXJscz48cmVsYXRlZC11cmxzPjx1cmw+aHR0cHM6Ly93d3cubmNi
aS5ubG0ubmloLmdvdi9wdWJtZWQvMjM2MTM4ODg8L3VybD48L3JlbGF0ZWQtdXJscz48L3VybHM+
PGN1c3RvbTI+UE1DMzYyODc4ODwvY3VzdG9tMj48ZWxlY3Ryb25pYy1yZXNvdXJjZS1udW0+MTAu
MTM3MS9qb3VybmFsLnBvbmUuMDA2MTYyNzwvZWxlY3Ryb25pYy1yZXNvdXJjZS1udW0+PC9yZWNv
cmQ+PC9DaXRlPjxDaXRlPjxBdXRob3I+TGl1PC9BdXRob3I+PFllYXI+MjAxOTwvWWVhcj48UmVj
TnVtPjE4NjQ8L1JlY051bT48cmVjb3JkPjxyZWMtbnVtYmVyPjE4NjQ8L3JlYy1udW1iZXI+PGZv
cmVpZ24ta2V5cz48a2V5IGFwcD0iRU4iIGRiLWlkPSJleHZhc3JmeDJkdHJhb2VzYXN4cDJzenN4
YTJkZjUwMjU5MngiIHRpbWVzdGFtcD0iMTU4Nzc5NDE2NCI+MTg2NDwva2V5PjxrZXkgYXBwPSJF
TldlYiIgZGItaWQ9IiI+MDwva2V5PjwvZm9yZWlnbi1rZXlzPjxyZWYtdHlwZSBuYW1lPSJKb3Vy
bmFsIEFydGljbGUiPjE3PC9yZWYtdHlwZT48Y29udHJpYnV0b3JzPjxhdXRob3JzPjxhdXRob3I+
TGl1LCBMLjwvYXV0aG9yPjxhdXRob3I+TWEsIFkuPC9hdXRob3I+PGF1dGhvcj5XYW5nLCBOLjwv
YXV0aG9yPjxhdXRob3I+TGluLCBXLjwvYXV0aG9yPjxhdXRob3I+TGl1LCBZLjwvYXV0aG9yPjxh
dXRob3I+V2VuLCBELjwvYXV0aG9yPjwvYXV0aG9ycz48L2NvbnRyaWJ1dG9ycz48YXV0aC1hZGRy
ZXNzPlNjaG9vbCBvZiBQdWJsaWMgSGVhbHRoLCBEYWxpYW4gTWVkaWNhbCBVbml2ZXJzaXR5LCBE
YWxpYW4sIExpYW9uaW5nIFByb3ZpbmNlLCAxMTYwNDQsIFBlb3BsZSZhcG9zO3MgUmVwdWJsaWMg
b2YgQ2hpbmEuJiN4RDtTY2hvb2wgb2YgUHVibGljIEhlYWx0aCwgQ2hpbmEgTWVkaWNhbCBVbml2
ZXJzaXR5LCBOby43NyBQdWhlIFJvYWQsIFNoZW55YW5nIE5vcnRoIE5ldyBBcmVhLCBTaGVueWFu
ZywgTGlhb25pbmcgUHJvdmluY2UsIDExMDEyMiwgUGVvcGxlJmFwb3M7cyBSZXB1YmxpYyBvZiBD
aGluYS4mI3hEO1NjaG9vbCBvZiBQdWJsaWMgSGVhbHRoLCBDaGluYSBNZWRpY2FsIFVuaXZlcnNp
dHksIE5vLjc3IFB1aGUgUm9hZCwgU2hlbnlhbmcgTm9ydGggTmV3IEFyZWEsIFNoZW55YW5nLCBM
aWFvbmluZyBQcm92aW5jZSwgMTEwMTIyLCBQZW9wbGUmYXBvcztzIFJlcHVibGljIG9mIENoaW5h
LiBkbHdlbkBjbXUuZWR1LmNuLjwvYXV0aC1hZGRyZXNzPjx0aXRsZXM+PHRpdGxlPk1hdGVybmFs
IGJvZHkgbWFzcyBpbmRleCBhbmQgcmlzayBvZiBuZW9uYXRhbCBhZHZlcnNlIG91dGNvbWVzIGlu
IENoaW5hOiBhIHN5c3RlbWF0aWMgcmV2aWV3IGFuZCBtZXRhLWFuYWx5c2lzPC90aXRsZT48c2Vj
b25kYXJ5LXRpdGxlPkJNQyBQcmVnbmFuY3kgQ2hpbGRiaXJ0aDwvc2Vjb25kYXJ5LXRpdGxlPjwv
dGl0bGVzPjxwZXJpb2RpY2FsPjxmdWxsLXRpdGxlPkJNQyBQcmVnbmFuY3kgQ2hpbGRiaXJ0aDwv
ZnVsbC10aXRsZT48L3BlcmlvZGljYWw+PHBhZ2VzPjEwNTwvcGFnZXM+PHZvbHVtZT4xOTwvdm9s
dW1lPjxudW1iZXI+MTwvbnVtYmVyPjxlZGl0aW9uPjIwMTkvMDMvMzA8L2VkaXRpb24+PGtleXdv
cmRzPjxrZXl3b3JkPkFkdWx0PC9rZXl3b3JkPjxrZXl3b3JkPkJpcnRoIFdlaWdodDwva2V5d29y
ZD48a2V5d29yZD4qQm9keSBNYXNzIEluZGV4PC9rZXl3b3JkPjxrZXl3b3JkPkNoaW5hL2VwaWRl
bWlvbG9neTwva2V5d29yZD48a2V5d29yZD5GZW1hbGU8L2tleXdvcmQ+PGtleXdvcmQ+RmV0YWwg
TWFjcm9zb21pYS9ldGlvbG9neTwva2V5d29yZD48a2V5d29yZD5HZXN0YXRpb25hbCBXZWlnaHQg
R2Fpbjwva2V5d29yZD48a2V5d29yZD5IdW1hbnM8L2tleXdvcmQ+PGtleXdvcmQ+SW5mYW50LCBM
b3cgQmlydGggV2VpZ2h0PC9rZXl3b3JkPjxrZXl3b3JkPkluZmFudCwgTmV3Ym9ybjwva2V5d29y
ZD48a2V5d29yZD5JbmZhbnQsIFNtYWxsIGZvciBHZXN0YXRpb25hbCBBZ2U8L2tleXdvcmQ+PGtl
eXdvcmQ+T2Jlc2l0eS9jb21wbGljYXRpb25zLypwaHlzaW9wYXRob2xvZ3k8L2tleXdvcmQ+PGtl
eXdvcmQ+UHJlZ25hbmN5PC9rZXl3b3JkPjxrZXl3b3JkPlByZWduYW5jeSBDb21wbGljYXRpb25z
L2V0aW9sb2d5LypwaHlzaW9wYXRob2xvZ3k8L2tleXdvcmQ+PGtleXdvcmQ+UHJlZ25hbmN5IE91
dGNvbWUvKmVwaWRlbWlvbG9neTwva2V5d29yZD48a2V5d29yZD5SaXNrIEZhY3RvcnM8L2tleXdv
cmQ+PGtleXdvcmQ+Q29ob3J0IHN0dWR5PC9rZXl3b3JkPjxrZXl3b3JkPk1hdGVybmFsIEJNSTwv
a2V5d29yZD48a2V5d29yZD5NZXRhLWFuYWx5c2lzPC9rZXl3b3JkPjxrZXl3b3JkPk5lb25hdGFs
IG91dGNvbWVzPC9rZXl3b3JkPjwva2V5d29yZHM+PGRhdGVzPjx5ZWFyPjIwMTk8L3llYXI+PHB1
Yi1kYXRlcz48ZGF0ZT5NYXIgMjk8L2RhdGU+PC9wdWItZGF0ZXM+PC9kYXRlcz48aXNibj4xNDcx
LTIzOTMgKEVsZWN0cm9uaWMpJiN4RDsxNDcxLTIzOTMgKExpbmtpbmcpPC9pc2JuPjxhY2Nlc3Np
b24tbnVtPjMwOTIyMjQ0PC9hY2Nlc3Npb24tbnVtPjx1cmxzPjxyZWxhdGVkLXVybHM+PHVybD5o
dHRwczovL3d3dy5uY2JpLm5sbS5uaWguZ292L3B1Ym1lZC8zMDkyMjI0NDwvdXJsPjwvcmVsYXRl
ZC11cmxzPjwvdXJscz48Y3VzdG9tMj5QTUM2NDQwMTIxPC9jdXN0b20yPjxlbGVjdHJvbmljLXJl
c291cmNlLW51bT4xMC4xMTg2L3MxMjg4NC0wMTktMjI0OS16PC9lbGVjdHJvbmljLXJlc291cmNl
LW51bT48L3JlY29yZD48L0NpdGU+PC9FbmROb3RlPn==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389,390,392</w:t>
      </w:r>
      <w:r w:rsidR="00D07346">
        <w:fldChar w:fldCharType="end"/>
      </w:r>
      <w:r w:rsidR="00DE138C">
        <w:t>, macrosomia,</w:t>
      </w:r>
      <w:r w:rsidR="00D07346">
        <w:fldChar w:fldCharType="begin">
          <w:fldData xml:space="preserve">PEVuZE5vdGU+PENpdGU+PEF1dGhvcj5MaXU8L0F1dGhvcj48WWVhcj4yMDE2PC9ZZWFyPjxSZWNO
dW0+MTg2MzwvUmVjTnVtPjxEaXNwbGF5VGV4dD48c3R5bGUgZmFjZT0ic3VwZXJzY3JpcHQiIGZv
bnQ9IlRyZWJ1Y2hldCBNUyIgc2l6ZT0iOSI+Mzg5LDM5MCwzOTI8L3N0eWxlPjwvRGlzcGxheVRl
eHQ+PHJlY29yZD48cmVjLW51bWJlcj4xODYzPC9yZWMtbnVtYmVyPjxmb3JlaWduLWtleXM+PGtl
eSBhcHA9IkVOIiBkYi1pZD0iZXh2YXNyZngyZHRyYW9lc2FzeHAyc3pzeGEyZGY1MDI1OTJ4IiB0
aW1lc3RhbXA9IjE1ODc3OTQxNTgiPjE4NjM8L2tleT48a2V5IGFwcD0iRU5XZWIiIGRiLWlkPSIi
PjA8L2tleT48L2ZvcmVpZ24ta2V5cz48cmVmLXR5cGUgbmFtZT0iSm91cm5hbCBBcnRpY2xlIj4x
NzwvcmVmLXR5cGU+PGNvbnRyaWJ1dG9ycz48YXV0aG9ycz48YXV0aG9yPkxpdSwgUC48L2F1dGhv
cj48YXV0aG9yPlh1LCBMLjwvYXV0aG9yPjxhdXRob3I+V2FuZywgWS48L2F1dGhvcj48YXV0aG9y
PlpoYW5nLCBZLjwvYXV0aG9yPjxhdXRob3I+RHUsIFkuPC9hdXRob3I+PGF1dGhvcj5TdW4sIFku
PC9hdXRob3I+PGF1dGhvcj5XYW5nLCBaLjwvYXV0aG9yPjwvYXV0aG9ycz48L2NvbnRyaWJ1dG9y
cz48YXV0aC1hZGRyZXNzPkRlcGFydG1lbnQgb2YgRXBpZGVtaW9sb2d5IGFuZCBIZWFsdGggU3Rh
dGlzdGljcywgU2Nob29sIG9mIFB1YmxpYyBIZWFsdGgsIFNoYW5kb25nIFVuaXZlcnNpdHksIFNo
YW5kb25nLCBDaGluYS4mI3hEO0RpdmlzaW9uIG9mIEVwaWRlbWlvbG9neSBTdXJ2ZXksIENoaW5h
IEFuaW1hbCBIZWFsdGggYW5kIEVwaWRlbWlvbG9neSBDZW50ZXIsIE1pbmlzdHJ5IG9mIEFncmlj
dWx0dXJlLCBCZWlqaW5nLCBDaGluYS4mI3hEO0RlcGFydG1lbnQgb2YgSGVhbHRoLCBKaW5hbiBN
YXRlcm5hbCBhbmQgQ2hpbGQgQ2FyZSBTZXJ2aWNlIENlbnRyZSwgU2hhbmRvbmcsIENoaW5hLiYj
eEQ7RGVwYXJ0bWVudCBvZiBFcGlkZW1pb2xvZ3kgYW5kIEhlYWx0aCBTdGF0aXN0aWNzLCBTY2hv
b2wgb2YgUHVibGljIEhlYWx0aCwgU2hhbmRvbmcgVW5pdmVyc2l0eSwgU2hhbmRvbmcsIENoaW5h
LiB6aGlwaW5nd0BzZHUuZWR1LmNuLjwvYXV0aC1hZGRyZXNzPjx0aXRsZXM+PHRpdGxlPkFzc29j
aWF0aW9uIGJldHdlZW4gcGVyaW5hdGFsIG91dGNvbWVzIGFuZCBtYXRlcm5hbCBwcmUtcHJlZ25h
bmN5IGJvZHkgbWFzcyBpbmRleDwvdGl0bGU+PHNlY29uZGFyeS10aXRsZT5PYmVzIFJldjwvc2Vj
b25kYXJ5LXRpdGxlPjwvdGl0bGVzPjxwZXJpb2RpY2FsPjxmdWxsLXRpdGxlPk9iZXMgUmV2PC9m
dWxsLXRpdGxlPjwvcGVyaW9kaWNhbD48cGFnZXM+MTA5MS0xMTAyPC9wYWdlcz48dm9sdW1lPjE3
PC92b2x1bWU+PG51bWJlcj4xMTwvbnVtYmVyPjxlZGl0aW9uPjIwMTYvMDgvMTk8L2VkaXRpb24+
PGtleXdvcmRzPjxrZXl3b3JkPipCb2R5IE1hc3MgSW5kZXg8L2tleXdvcmQ+PGtleXdvcmQ+RmVt
YWxlPC9rZXl3b3JkPjxrZXl3b3JkPkh1bWFuczwva2V5d29yZD48a2V5d29yZD4qTW90aGVyczwv
a2V5d29yZD48a2V5d29yZD5PdmVyd2VpZ2h0LyplcGlkZW1pb2xvZ3k8L2tleXdvcmQ+PGtleXdv
cmQ+UHJlZ25hbmN5PC9rZXl3b3JkPjxrZXl3b3JkPlByZWduYW5jeSBDb21wbGljYXRpb25zLypl
cGlkZW1pb2xvZ3k8L2tleXdvcmQ+PGtleXdvcmQ+KlByZWduYW5jeSBPdXRjb21lPC9rZXl3b3Jk
PjxrZXl3b3JkPlJpc2sgRmFjdG9yczwva2V5d29yZD48a2V5d29yZD5UaGlubmVzcy8qZXBpZGVt
aW9sb2d5PC9rZXl3b3JkPjxrZXl3b3JkPldlaWdodCBHYWluPC9rZXl3b3JkPjxrZXl3b3JkPipi
bWk8L2tleXdvcmQ+PGtleXdvcmQ+Km9iZXNpdHk8L2tleXdvcmQ+PGtleXdvcmQ+KnBlcmluYXRh
bCBvdXRjb21lczwva2V5d29yZD48a2V5d29yZD4qcHJlZ25hbmN5PC9rZXl3b3JkPjwva2V5d29y
ZHM+PGRhdGVzPjx5ZWFyPjIwMTY8L3llYXI+PHB1Yi1kYXRlcz48ZGF0ZT5Ob3Y8L2RhdGU+PC9w
dWItZGF0ZXM+PC9kYXRlcz48aXNibj4xNDY3LTc4OVggKEVsZWN0cm9uaWMpJiN4RDsxNDY3LTc4
ODEgKExpbmtpbmcpPC9pc2JuPjxhY2Nlc3Npb24tbnVtPjI3NTM2ODc5PC9hY2Nlc3Npb24tbnVt
Pjx1cmxzPjxyZWxhdGVkLXVybHM+PHVybD5odHRwczovL3d3dy5uY2JpLm5sbS5uaWguZ292L3B1
Ym1lZC8yNzUzNjg3OTwvdXJsPjwvcmVsYXRlZC11cmxzPjwvdXJscz48ZWxlY3Ryb25pYy1yZXNv
dXJjZS1udW0+MTAuMTExMS9vYnIuMTI0NTU8L2VsZWN0cm9uaWMtcmVzb3VyY2UtbnVtPjwvcmVj
b3JkPjwvQ2l0ZT48Q2l0ZT48QXV0aG9yPll1PC9BdXRob3I+PFllYXI+MjAxMzwvWWVhcj48UmVj
TnVtPjE4Njc8L1JlY051bT48cmVjb3JkPjxyZWMtbnVtYmVyPjE4Njc8L3JlYy1udW1iZXI+PGZv
cmVpZ24ta2V5cz48a2V5IGFwcD0iRU4iIGRiLWlkPSJleHZhc3JmeDJkdHJhb2VzYXN4cDJzenN4
YTJkZjUwMjU5MngiIHRpbWVzdGFtcD0iMTU4Nzg3NTQwMCI+MTg2Nzwva2V5PjwvZm9yZWlnbi1r
ZXlzPjxyZWYtdHlwZSBuYW1lPSJKb3VybmFsIEFydGljbGUiPjE3PC9yZWYtdHlwZT48Y29udHJp
YnV0b3JzPjxhdXRob3JzPjxhdXRob3I+WXUsIFouPC9hdXRob3I+PGF1dGhvcj5IYW4sIFMuPC9h
dXRob3I+PGF1dGhvcj5aaHUsIEouPC9hdXRob3I+PGF1dGhvcj5TdW4sIFguPC9hdXRob3I+PGF1
dGhvcj5KaSwgQy48L2F1dGhvcj48YXV0aG9yPkd1bywgWC48L2F1dGhvcj48L2F1dGhvcnM+PC9j
b250cmlidXRvcnM+PGF1dGgtYWRkcmVzcz5TdGF0ZSBLZXkgTGFib3JhdG9yeSBvZiBSZXByb2R1
Y3RpdmUgTWVkaWNpbmUsIERlcGFydG1lbnQgb2YgUGVkaWF0cmljcywgTmFuamluZyBNYXRlcm5p
dHkgYW5kIENoaWxkIEhlYWx0aCBDYXJlIEhvc3BpdGFsLCBOYW5qaW5nIE1lZGljYWwgVW5pdmVy
c2l0eSwgTmFuamluZywgQ2hpbmEuPC9hdXRoLWFkZHJlc3M+PHRpdGxlcz48dGl0bGU+UHJlLXBy
ZWduYW5jeSBib2R5IG1hc3MgaW5kZXggaW4gcmVsYXRpb24gdG8gaW5mYW50IGJpcnRoIHdlaWdo
dCBhbmQgb2Zmc3ByaW5nIG92ZXJ3ZWlnaHQvb2Jlc2l0eTogYSBzeXN0ZW1hdGljIHJldmlldyBh
bmQgbWV0YS1hbmFseXNpczwvdGl0bGU+PHNlY29uZGFyeS10aXRsZT5QTG9TIE9uZTwvc2Vjb25k
YXJ5LXRpdGxlPjwvdGl0bGVzPjxwZXJpb2RpY2FsPjxmdWxsLXRpdGxlPlBMb1MgT25lPC9mdWxs
LXRpdGxlPjwvcGVyaW9kaWNhbD48cGFnZXM+ZTYxNjI3PC9wYWdlcz48dm9sdW1lPjg8L3ZvbHVt
ZT48bnVtYmVyPjQ8L251bWJlcj48ZWRpdGlvbj4yMDEzLzA0LzI1PC9lZGl0aW9uPjxrZXl3b3Jk
cz48a2V5d29yZD5CaXJ0aCBXZWlnaHQvKnBoeXNpb2xvZ3k8L2tleXdvcmQ+PGtleXdvcmQ+KkJv
ZHkgTWFzcyBJbmRleDwva2V5d29yZD48a2V5d29yZD5GZW1hbGU8L2tleXdvcmQ+PGtleXdvcmQ+
SHVtYW5zPC9rZXl3b3JkPjxrZXl3b3JkPkluZmFudCwgTmV3Ym9ybjwva2V5d29yZD48a2V5d29y
ZD5PYmVzaXR5LyplcGlkZW1pb2xvZ3k8L2tleXdvcmQ+PGtleXdvcmQ+T3ZlcndlaWdodC8qZXBp
ZGVtaW9sb2d5PC9rZXl3b3JkPjxrZXl3b3JkPlByZWduYW5jeTwva2V5d29yZD48L2tleXdvcmRz
PjxkYXRlcz48eWVhcj4yMDEzPC95ZWFyPjwvZGF0ZXM+PGlzYm4+MTkzMi02MjAzIChFbGVjdHJv
bmljKSYjeEQ7MTkzMi02MjAzIChMaW5raW5nKTwvaXNibj48YWNjZXNzaW9uLW51bT4yMzYxMzg4
ODwvYWNjZXNzaW9uLW51bT48dXJscz48cmVsYXRlZC11cmxzPjx1cmw+aHR0cHM6Ly93d3cubmNi
aS5ubG0ubmloLmdvdi9wdWJtZWQvMjM2MTM4ODg8L3VybD48L3JlbGF0ZWQtdXJscz48L3VybHM+
PGN1c3RvbTI+UE1DMzYyODc4ODwvY3VzdG9tMj48ZWxlY3Ryb25pYy1yZXNvdXJjZS1udW0+MTAu
MTM3MS9qb3VybmFsLnBvbmUuMDA2MTYyNzwvZWxlY3Ryb25pYy1yZXNvdXJjZS1udW0+PC9yZWNv
cmQ+PC9DaXRlPjxDaXRlPjxBdXRob3I+TGl1PC9BdXRob3I+PFllYXI+MjAxOTwvWWVhcj48UmVj
TnVtPjE4NjQ8L1JlY051bT48cmVjb3JkPjxyZWMtbnVtYmVyPjE4NjQ8L3JlYy1udW1iZXI+PGZv
cmVpZ24ta2V5cz48a2V5IGFwcD0iRU4iIGRiLWlkPSJleHZhc3JmeDJkdHJhb2VzYXN4cDJzenN4
YTJkZjUwMjU5MngiIHRpbWVzdGFtcD0iMTU4Nzc5NDE2NCI+MTg2NDwva2V5PjxrZXkgYXBwPSJF
TldlYiIgZGItaWQ9IiI+MDwva2V5PjwvZm9yZWlnbi1rZXlzPjxyZWYtdHlwZSBuYW1lPSJKb3Vy
bmFsIEFydGljbGUiPjE3PC9yZWYtdHlwZT48Y29udHJpYnV0b3JzPjxhdXRob3JzPjxhdXRob3I+
TGl1LCBMLjwvYXV0aG9yPjxhdXRob3I+TWEsIFkuPC9hdXRob3I+PGF1dGhvcj5XYW5nLCBOLjwv
YXV0aG9yPjxhdXRob3I+TGluLCBXLjwvYXV0aG9yPjxhdXRob3I+TGl1LCBZLjwvYXV0aG9yPjxh
dXRob3I+V2VuLCBELjwvYXV0aG9yPjwvYXV0aG9ycz48L2NvbnRyaWJ1dG9ycz48YXV0aC1hZGRy
ZXNzPlNjaG9vbCBvZiBQdWJsaWMgSGVhbHRoLCBEYWxpYW4gTWVkaWNhbCBVbml2ZXJzaXR5LCBE
YWxpYW4sIExpYW9uaW5nIFByb3ZpbmNlLCAxMTYwNDQsIFBlb3BsZSZhcG9zO3MgUmVwdWJsaWMg
b2YgQ2hpbmEuJiN4RDtTY2hvb2wgb2YgUHVibGljIEhlYWx0aCwgQ2hpbmEgTWVkaWNhbCBVbml2
ZXJzaXR5LCBOby43NyBQdWhlIFJvYWQsIFNoZW55YW5nIE5vcnRoIE5ldyBBcmVhLCBTaGVueWFu
ZywgTGlhb25pbmcgUHJvdmluY2UsIDExMDEyMiwgUGVvcGxlJmFwb3M7cyBSZXB1YmxpYyBvZiBD
aGluYS4mI3hEO1NjaG9vbCBvZiBQdWJsaWMgSGVhbHRoLCBDaGluYSBNZWRpY2FsIFVuaXZlcnNp
dHksIE5vLjc3IFB1aGUgUm9hZCwgU2hlbnlhbmcgTm9ydGggTmV3IEFyZWEsIFNoZW55YW5nLCBM
aWFvbmluZyBQcm92aW5jZSwgMTEwMTIyLCBQZW9wbGUmYXBvcztzIFJlcHVibGljIG9mIENoaW5h
LiBkbHdlbkBjbXUuZWR1LmNuLjwvYXV0aC1hZGRyZXNzPjx0aXRsZXM+PHRpdGxlPk1hdGVybmFs
IGJvZHkgbWFzcyBpbmRleCBhbmQgcmlzayBvZiBuZW9uYXRhbCBhZHZlcnNlIG91dGNvbWVzIGlu
IENoaW5hOiBhIHN5c3RlbWF0aWMgcmV2aWV3IGFuZCBtZXRhLWFuYWx5c2lzPC90aXRsZT48c2Vj
b25kYXJ5LXRpdGxlPkJNQyBQcmVnbmFuY3kgQ2hpbGRiaXJ0aDwvc2Vjb25kYXJ5LXRpdGxlPjwv
dGl0bGVzPjxwZXJpb2RpY2FsPjxmdWxsLXRpdGxlPkJNQyBQcmVnbmFuY3kgQ2hpbGRiaXJ0aDwv
ZnVsbC10aXRsZT48L3BlcmlvZGljYWw+PHBhZ2VzPjEwNTwvcGFnZXM+PHZvbHVtZT4xOTwvdm9s
dW1lPjxudW1iZXI+MTwvbnVtYmVyPjxlZGl0aW9uPjIwMTkvMDMvMzA8L2VkaXRpb24+PGtleXdv
cmRzPjxrZXl3b3JkPkFkdWx0PC9rZXl3b3JkPjxrZXl3b3JkPkJpcnRoIFdlaWdodDwva2V5d29y
ZD48a2V5d29yZD4qQm9keSBNYXNzIEluZGV4PC9rZXl3b3JkPjxrZXl3b3JkPkNoaW5hL2VwaWRl
bWlvbG9neTwva2V5d29yZD48a2V5d29yZD5GZW1hbGU8L2tleXdvcmQ+PGtleXdvcmQ+RmV0YWwg
TWFjcm9zb21pYS9ldGlvbG9neTwva2V5d29yZD48a2V5d29yZD5HZXN0YXRpb25hbCBXZWlnaHQg
R2Fpbjwva2V5d29yZD48a2V5d29yZD5IdW1hbnM8L2tleXdvcmQ+PGtleXdvcmQ+SW5mYW50LCBM
b3cgQmlydGggV2VpZ2h0PC9rZXl3b3JkPjxrZXl3b3JkPkluZmFudCwgTmV3Ym9ybjwva2V5d29y
ZD48a2V5d29yZD5JbmZhbnQsIFNtYWxsIGZvciBHZXN0YXRpb25hbCBBZ2U8L2tleXdvcmQ+PGtl
eXdvcmQ+T2Jlc2l0eS9jb21wbGljYXRpb25zLypwaHlzaW9wYXRob2xvZ3k8L2tleXdvcmQ+PGtl
eXdvcmQ+UHJlZ25hbmN5PC9rZXl3b3JkPjxrZXl3b3JkPlByZWduYW5jeSBDb21wbGljYXRpb25z
L2V0aW9sb2d5LypwaHlzaW9wYXRob2xvZ3k8L2tleXdvcmQ+PGtleXdvcmQ+UHJlZ25hbmN5IE91
dGNvbWUvKmVwaWRlbWlvbG9neTwva2V5d29yZD48a2V5d29yZD5SaXNrIEZhY3RvcnM8L2tleXdv
cmQ+PGtleXdvcmQ+Q29ob3J0IHN0dWR5PC9rZXl3b3JkPjxrZXl3b3JkPk1hdGVybmFsIEJNSTwv
a2V5d29yZD48a2V5d29yZD5NZXRhLWFuYWx5c2lzPC9rZXl3b3JkPjxrZXl3b3JkPk5lb25hdGFs
IG91dGNvbWVzPC9rZXl3b3JkPjwva2V5d29yZHM+PGRhdGVzPjx5ZWFyPjIwMTk8L3llYXI+PHB1
Yi1kYXRlcz48ZGF0ZT5NYXIgMjk8L2RhdGU+PC9wdWItZGF0ZXM+PC9kYXRlcz48aXNibj4xNDcx
LTIzOTMgKEVsZWN0cm9uaWMpJiN4RDsxNDcxLTIzOTMgKExpbmtpbmcpPC9pc2JuPjxhY2Nlc3Np
b24tbnVtPjMwOTIyMjQ0PC9hY2Nlc3Npb24tbnVtPjx1cmxzPjxyZWxhdGVkLXVybHM+PHVybD5o
dHRwczovL3d3dy5uY2JpLm5sbS5uaWguZ292L3B1Ym1lZC8zMDkyMjI0NDwvdXJsPjwvcmVsYXRl
ZC11cmxzPjwvdXJscz48Y3VzdG9tMj5QTUM2NDQwMTIxPC9jdXN0b20yPjxlbGVjdHJvbmljLXJl
c291cmNlLW51bT4xMC4xMTg2L3MxMjg4NC0wMTktMjI0OS16PC9lbGVjdHJvbmljLXJlc291cmNl
LW51bT48L3JlY29yZD48L0NpdGU+PC9FbmROb3RlPn==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bnQ9IlRyZWJ1Y2hldCBNUyIgc2l6ZT0iOSI+Mzg5LDM5MCwzOTI8L3N0eWxlPjwvRGlzcGxheVRl
eHQ+PHJlY29yZD48cmVjLW51bWJlcj4xODYzPC9yZWMtbnVtYmVyPjxmb3JlaWduLWtleXM+PGtl
eSBhcHA9IkVOIiBkYi1pZD0iZXh2YXNyZngyZHRyYW9lc2FzeHAyc3pzeGEyZGY1MDI1OTJ4IiB0
aW1lc3RhbXA9IjE1ODc3OTQxNTgiPjE4NjM8L2tleT48a2V5IGFwcD0iRU5XZWIiIGRiLWlkPSIi
PjA8L2tleT48L2ZvcmVpZ24ta2V5cz48cmVmLXR5cGUgbmFtZT0iSm91cm5hbCBBcnRpY2xlIj4x
NzwvcmVmLXR5cGU+PGNvbnRyaWJ1dG9ycz48YXV0aG9ycz48YXV0aG9yPkxpdSwgUC48L2F1dGhv
cj48YXV0aG9yPlh1LCBMLjwvYXV0aG9yPjxhdXRob3I+V2FuZywgWS48L2F1dGhvcj48YXV0aG9y
PlpoYW5nLCBZLjwvYXV0aG9yPjxhdXRob3I+RHUsIFkuPC9hdXRob3I+PGF1dGhvcj5TdW4sIFku
PC9hdXRob3I+PGF1dGhvcj5XYW5nLCBaLjwvYXV0aG9yPjwvYXV0aG9ycz48L2NvbnRyaWJ1dG9y
cz48YXV0aC1hZGRyZXNzPkRlcGFydG1lbnQgb2YgRXBpZGVtaW9sb2d5IGFuZCBIZWFsdGggU3Rh
dGlzdGljcywgU2Nob29sIG9mIFB1YmxpYyBIZWFsdGgsIFNoYW5kb25nIFVuaXZlcnNpdHksIFNo
YW5kb25nLCBDaGluYS4mI3hEO0RpdmlzaW9uIG9mIEVwaWRlbWlvbG9neSBTdXJ2ZXksIENoaW5h
IEFuaW1hbCBIZWFsdGggYW5kIEVwaWRlbWlvbG9neSBDZW50ZXIsIE1pbmlzdHJ5IG9mIEFncmlj
dWx0dXJlLCBCZWlqaW5nLCBDaGluYS4mI3hEO0RlcGFydG1lbnQgb2YgSGVhbHRoLCBKaW5hbiBN
YXRlcm5hbCBhbmQgQ2hpbGQgQ2FyZSBTZXJ2aWNlIENlbnRyZSwgU2hhbmRvbmcsIENoaW5hLiYj
eEQ7RGVwYXJ0bWVudCBvZiBFcGlkZW1pb2xvZ3kgYW5kIEhlYWx0aCBTdGF0aXN0aWNzLCBTY2hv
b2wgb2YgUHVibGljIEhlYWx0aCwgU2hhbmRvbmcgVW5pdmVyc2l0eSwgU2hhbmRvbmcsIENoaW5h
LiB6aGlwaW5nd0BzZHUuZWR1LmNuLjwvYXV0aC1hZGRyZXNzPjx0aXRsZXM+PHRpdGxlPkFzc29j
aWF0aW9uIGJldHdlZW4gcGVyaW5hdGFsIG91dGNvbWVzIGFuZCBtYXRlcm5hbCBwcmUtcHJlZ25h
bmN5IGJvZHkgbWFzcyBpbmRleDwvdGl0bGU+PHNlY29uZGFyeS10aXRsZT5PYmVzIFJldjwvc2Vj
b25kYXJ5LXRpdGxlPjwvdGl0bGVzPjxwZXJpb2RpY2FsPjxmdWxsLXRpdGxlPk9iZXMgUmV2PC9m
dWxsLXRpdGxlPjwvcGVyaW9kaWNhbD48cGFnZXM+MTA5MS0xMTAyPC9wYWdlcz48dm9sdW1lPjE3
PC92b2x1bWU+PG51bWJlcj4xMTwvbnVtYmVyPjxlZGl0aW9uPjIwMTYvMDgvMTk8L2VkaXRpb24+
PGtleXdvcmRzPjxrZXl3b3JkPipCb2R5IE1hc3MgSW5kZXg8L2tleXdvcmQ+PGtleXdvcmQ+RmVt
YWxlPC9rZXl3b3JkPjxrZXl3b3JkPkh1bWFuczwva2V5d29yZD48a2V5d29yZD4qTW90aGVyczwv
a2V5d29yZD48a2V5d29yZD5PdmVyd2VpZ2h0LyplcGlkZW1pb2xvZ3k8L2tleXdvcmQ+PGtleXdv
cmQ+UHJlZ25hbmN5PC9rZXl3b3JkPjxrZXl3b3JkPlByZWduYW5jeSBDb21wbGljYXRpb25zLypl
cGlkZW1pb2xvZ3k8L2tleXdvcmQ+PGtleXdvcmQ+KlByZWduYW5jeSBPdXRjb21lPC9rZXl3b3Jk
PjxrZXl3b3JkPlJpc2sgRmFjdG9yczwva2V5d29yZD48a2V5d29yZD5UaGlubmVzcy8qZXBpZGVt
aW9sb2d5PC9rZXl3b3JkPjxrZXl3b3JkPldlaWdodCBHYWluPC9rZXl3b3JkPjxrZXl3b3JkPipi
bWk8L2tleXdvcmQ+PGtleXdvcmQ+Km9iZXNpdHk8L2tleXdvcmQ+PGtleXdvcmQ+KnBlcmluYXRh
bCBvdXRjb21lczwva2V5d29yZD48a2V5d29yZD4qcHJlZ25hbmN5PC9rZXl3b3JkPjwva2V5d29y
ZHM+PGRhdGVzPjx5ZWFyPjIwMTY8L3llYXI+PHB1Yi1kYXRlcz48ZGF0ZT5Ob3Y8L2RhdGU+PC9w
dWItZGF0ZXM+PC9kYXRlcz48aXNibj4xNDY3LTc4OVggKEVsZWN0cm9uaWMpJiN4RDsxNDY3LTc4
ODEgKExpbmtpbmcpPC9pc2JuPjxhY2Nlc3Npb24tbnVtPjI3NTM2ODc5PC9hY2Nlc3Npb24tbnVt
Pjx1cmxzPjxyZWxhdGVkLXVybHM+PHVybD5odHRwczovL3d3dy5uY2JpLm5sbS5uaWguZ292L3B1
Ym1lZC8yNzUzNjg3OTwvdXJsPjwvcmVsYXRlZC11cmxzPjwvdXJscz48ZWxlY3Ryb25pYy1yZXNv
dXJjZS1udW0+MTAuMTExMS9vYnIuMTI0NTU8L2VsZWN0cm9uaWMtcmVzb3VyY2UtbnVtPjwvcmVj
b3JkPjwvQ2l0ZT48Q2l0ZT48QXV0aG9yPll1PC9BdXRob3I+PFllYXI+MjAxMzwvWWVhcj48UmVj
TnVtPjE4Njc8L1JlY051bT48cmVjb3JkPjxyZWMtbnVtYmVyPjE4Njc8L3JlYy1udW1iZXI+PGZv
cmVpZ24ta2V5cz48a2V5IGFwcD0iRU4iIGRiLWlkPSJleHZhc3JmeDJkdHJhb2VzYXN4cDJzenN4
YTJkZjUwMjU5MngiIHRpbWVzdGFtcD0iMTU4Nzg3NTQwMCI+MTg2Nzwva2V5PjwvZm9yZWlnbi1r
ZXlzPjxyZWYtdHlwZSBuYW1lPSJKb3VybmFsIEFydGljbGUiPjE3PC9yZWYtdHlwZT48Y29udHJp
YnV0b3JzPjxhdXRob3JzPjxhdXRob3I+WXUsIFouPC9hdXRob3I+PGF1dGhvcj5IYW4sIFMuPC9h
dXRob3I+PGF1dGhvcj5aaHUsIEouPC9hdXRob3I+PGF1dGhvcj5TdW4sIFguPC9hdXRob3I+PGF1
dGhvcj5KaSwgQy48L2F1dGhvcj48YXV0aG9yPkd1bywgWC48L2F1dGhvcj48L2F1dGhvcnM+PC9j
b250cmlidXRvcnM+PGF1dGgtYWRkcmVzcz5TdGF0ZSBLZXkgTGFib3JhdG9yeSBvZiBSZXByb2R1
Y3RpdmUgTWVkaWNpbmUsIERlcGFydG1lbnQgb2YgUGVkaWF0cmljcywgTmFuamluZyBNYXRlcm5p
dHkgYW5kIENoaWxkIEhlYWx0aCBDYXJlIEhvc3BpdGFsLCBOYW5qaW5nIE1lZGljYWwgVW5pdmVy
c2l0eSwgTmFuamluZywgQ2hpbmEuPC9hdXRoLWFkZHJlc3M+PHRpdGxlcz48dGl0bGU+UHJlLXBy
ZWduYW5jeSBib2R5IG1hc3MgaW5kZXggaW4gcmVsYXRpb24gdG8gaW5mYW50IGJpcnRoIHdlaWdo
dCBhbmQgb2Zmc3ByaW5nIG92ZXJ3ZWlnaHQvb2Jlc2l0eTogYSBzeXN0ZW1hdGljIHJldmlldyBh
bmQgbWV0YS1hbmFseXNpczwvdGl0bGU+PHNlY29uZGFyeS10aXRsZT5QTG9TIE9uZTwvc2Vjb25k
YXJ5LXRpdGxlPjwvdGl0bGVzPjxwZXJpb2RpY2FsPjxmdWxsLXRpdGxlPlBMb1MgT25lPC9mdWxs
LXRpdGxlPjwvcGVyaW9kaWNhbD48cGFnZXM+ZTYxNjI3PC9wYWdlcz48dm9sdW1lPjg8L3ZvbHVt
ZT48bnVtYmVyPjQ8L251bWJlcj48ZWRpdGlvbj4yMDEzLzA0LzI1PC9lZGl0aW9uPjxrZXl3b3Jk
cz48a2V5d29yZD5CaXJ0aCBXZWlnaHQvKnBoeXNpb2xvZ3k8L2tleXdvcmQ+PGtleXdvcmQ+KkJv
ZHkgTWFzcyBJbmRleDwva2V5d29yZD48a2V5d29yZD5GZW1hbGU8L2tleXdvcmQ+PGtleXdvcmQ+
SHVtYW5zPC9rZXl3b3JkPjxrZXl3b3JkPkluZmFudCwgTmV3Ym9ybjwva2V5d29yZD48a2V5d29y
ZD5PYmVzaXR5LyplcGlkZW1pb2xvZ3k8L2tleXdvcmQ+PGtleXdvcmQ+T3ZlcndlaWdodC8qZXBp
ZGVtaW9sb2d5PC9rZXl3b3JkPjxrZXl3b3JkPlByZWduYW5jeTwva2V5d29yZD48L2tleXdvcmRz
PjxkYXRlcz48eWVhcj4yMDEzPC95ZWFyPjwvZGF0ZXM+PGlzYm4+MTkzMi02MjAzIChFbGVjdHJv
bmljKSYjeEQ7MTkzMi02MjAzIChMaW5raW5nKTwvaXNibj48YWNjZXNzaW9uLW51bT4yMzYxMzg4
ODwvYWNjZXNzaW9uLW51bT48dXJscz48cmVsYXRlZC11cmxzPjx1cmw+aHR0cHM6Ly93d3cubmNi
aS5ubG0ubmloLmdvdi9wdWJtZWQvMjM2MTM4ODg8L3VybD48L3JlbGF0ZWQtdXJscz48L3VybHM+
PGN1c3RvbTI+UE1DMzYyODc4ODwvY3VzdG9tMj48ZWxlY3Ryb25pYy1yZXNvdXJjZS1udW0+MTAu
MTM3MS9qb3VybmFsLnBvbmUuMDA2MTYyNzwvZWxlY3Ryb25pYy1yZXNvdXJjZS1udW0+PC9yZWNv
cmQ+PC9DaXRlPjxDaXRlPjxBdXRob3I+TGl1PC9BdXRob3I+PFllYXI+MjAxOTwvWWVhcj48UmVj
TnVtPjE4NjQ8L1JlY051bT48cmVjb3JkPjxyZWMtbnVtYmVyPjE4NjQ8L3JlYy1udW1iZXI+PGZv
cmVpZ24ta2V5cz48a2V5IGFwcD0iRU4iIGRiLWlkPSJleHZhc3JmeDJkdHJhb2VzYXN4cDJzenN4
YTJkZjUwMjU5MngiIHRpbWVzdGFtcD0iMTU4Nzc5NDE2NCI+MTg2NDwva2V5PjxrZXkgYXBwPSJF
TldlYiIgZGItaWQ9IiI+MDwva2V5PjwvZm9yZWlnbi1rZXlzPjxyZWYtdHlwZSBuYW1lPSJKb3Vy
bmFsIEFydGljbGUiPjE3PC9yZWYtdHlwZT48Y29udHJpYnV0b3JzPjxhdXRob3JzPjxhdXRob3I+
TGl1LCBMLjwvYXV0aG9yPjxhdXRob3I+TWEsIFkuPC9hdXRob3I+PGF1dGhvcj5XYW5nLCBOLjwv
YXV0aG9yPjxhdXRob3I+TGluLCBXLjwvYXV0aG9yPjxhdXRob3I+TGl1LCBZLjwvYXV0aG9yPjxh
dXRob3I+V2VuLCBELjwvYXV0aG9yPjwvYXV0aG9ycz48L2NvbnRyaWJ1dG9ycz48YXV0aC1hZGRy
ZXNzPlNjaG9vbCBvZiBQdWJsaWMgSGVhbHRoLCBEYWxpYW4gTWVkaWNhbCBVbml2ZXJzaXR5LCBE
YWxpYW4sIExpYW9uaW5nIFByb3ZpbmNlLCAxMTYwNDQsIFBlb3BsZSZhcG9zO3MgUmVwdWJsaWMg
b2YgQ2hpbmEuJiN4RDtTY2hvb2wgb2YgUHVibGljIEhlYWx0aCwgQ2hpbmEgTWVkaWNhbCBVbml2
ZXJzaXR5LCBOby43NyBQdWhlIFJvYWQsIFNoZW55YW5nIE5vcnRoIE5ldyBBcmVhLCBTaGVueWFu
ZywgTGlhb25pbmcgUHJvdmluY2UsIDExMDEyMiwgUGVvcGxlJmFwb3M7cyBSZXB1YmxpYyBvZiBD
aGluYS4mI3hEO1NjaG9vbCBvZiBQdWJsaWMgSGVhbHRoLCBDaGluYSBNZWRpY2FsIFVuaXZlcnNp
dHksIE5vLjc3IFB1aGUgUm9hZCwgU2hlbnlhbmcgTm9ydGggTmV3IEFyZWEsIFNoZW55YW5nLCBM
aWFvbmluZyBQcm92aW5jZSwgMTEwMTIyLCBQZW9wbGUmYXBvcztzIFJlcHVibGljIG9mIENoaW5h
LiBkbHdlbkBjbXUuZWR1LmNuLjwvYXV0aC1hZGRyZXNzPjx0aXRsZXM+PHRpdGxlPk1hdGVybmFs
IGJvZHkgbWFzcyBpbmRleCBhbmQgcmlzayBvZiBuZW9uYXRhbCBhZHZlcnNlIG91dGNvbWVzIGlu
IENoaW5hOiBhIHN5c3RlbWF0aWMgcmV2aWV3IGFuZCBtZXRhLWFuYWx5c2lzPC90aXRsZT48c2Vj
b25kYXJ5LXRpdGxlPkJNQyBQcmVnbmFuY3kgQ2hpbGRiaXJ0aDwvc2Vjb25kYXJ5LXRpdGxlPjwv
dGl0bGVzPjxwZXJpb2RpY2FsPjxmdWxsLXRpdGxlPkJNQyBQcmVnbmFuY3kgQ2hpbGRiaXJ0aDwv
ZnVsbC10aXRsZT48L3BlcmlvZGljYWw+PHBhZ2VzPjEwNTwvcGFnZXM+PHZvbHVtZT4xOTwvdm9s
dW1lPjxudW1iZXI+MTwvbnVtYmVyPjxlZGl0aW9uPjIwMTkvMDMvMzA8L2VkaXRpb24+PGtleXdv
cmRzPjxrZXl3b3JkPkFkdWx0PC9rZXl3b3JkPjxrZXl3b3JkPkJpcnRoIFdlaWdodDwva2V5d29y
ZD48a2V5d29yZD4qQm9keSBNYXNzIEluZGV4PC9rZXl3b3JkPjxrZXl3b3JkPkNoaW5hL2VwaWRl
bWlvbG9neTwva2V5d29yZD48a2V5d29yZD5GZW1hbGU8L2tleXdvcmQ+PGtleXdvcmQ+RmV0YWwg
TWFjcm9zb21pYS9ldGlvbG9neTwva2V5d29yZD48a2V5d29yZD5HZXN0YXRpb25hbCBXZWlnaHQg
R2Fpbjwva2V5d29yZD48a2V5d29yZD5IdW1hbnM8L2tleXdvcmQ+PGtleXdvcmQ+SW5mYW50LCBM
b3cgQmlydGggV2VpZ2h0PC9rZXl3b3JkPjxrZXl3b3JkPkluZmFudCwgTmV3Ym9ybjwva2V5d29y
ZD48a2V5d29yZD5JbmZhbnQsIFNtYWxsIGZvciBHZXN0YXRpb25hbCBBZ2U8L2tleXdvcmQ+PGtl
eXdvcmQ+T2Jlc2l0eS9jb21wbGljYXRpb25zLypwaHlzaW9wYXRob2xvZ3k8L2tleXdvcmQ+PGtl
eXdvcmQ+UHJlZ25hbmN5PC9rZXl3b3JkPjxrZXl3b3JkPlByZWduYW5jeSBDb21wbGljYXRpb25z
L2V0aW9sb2d5LypwaHlzaW9wYXRob2xvZ3k8L2tleXdvcmQ+PGtleXdvcmQ+UHJlZ25hbmN5IE91
dGNvbWUvKmVwaWRlbWlvbG9neTwva2V5d29yZD48a2V5d29yZD5SaXNrIEZhY3RvcnM8L2tleXdv
cmQ+PGtleXdvcmQ+Q29ob3J0IHN0dWR5PC9rZXl3b3JkPjxrZXl3b3JkPk1hdGVybmFsIEJNSTwv
a2V5d29yZD48a2V5d29yZD5NZXRhLWFuYWx5c2lzPC9rZXl3b3JkPjxrZXl3b3JkPk5lb25hdGFs
IG91dGNvbWVzPC9rZXl3b3JkPjwva2V5d29yZHM+PGRhdGVzPjx5ZWFyPjIwMTk8L3llYXI+PHB1
Yi1kYXRlcz48ZGF0ZT5NYXIgMjk8L2RhdGU+PC9wdWItZGF0ZXM+PC9kYXRlcz48aXNibj4xNDcx
LTIzOTMgKEVsZWN0cm9uaWMpJiN4RDsxNDcxLTIzOTMgKExpbmtpbmcpPC9pc2JuPjxhY2Nlc3Np
b24tbnVtPjMwOTIyMjQ0PC9hY2Nlc3Npb24tbnVtPjx1cmxzPjxyZWxhdGVkLXVybHM+PHVybD5o
dHRwczovL3d3dy5uY2JpLm5sbS5uaWguZ292L3B1Ym1lZC8zMDkyMjI0NDwvdXJsPjwvcmVsYXRl
ZC11cmxzPjwvdXJscz48Y3VzdG9tMj5QTUM2NDQwMTIxPC9jdXN0b20yPjxlbGVjdHJvbmljLXJl
c291cmNlLW51bT4xMC4xMTg2L3MxMjg4NC0wMTktMjI0OS16PC9lbGVjdHJvbmljLXJlc291cmNl
LW51bT48L3JlY29yZD48L0NpdGU+PC9FbmROb3RlPn==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389,390,392</w:t>
      </w:r>
      <w:r w:rsidR="00D07346">
        <w:fldChar w:fldCharType="end"/>
      </w:r>
      <w:r w:rsidR="00DE138C">
        <w:t xml:space="preserve"> </w:t>
      </w:r>
      <w:r w:rsidR="00A848C9">
        <w:t>and childhood overweight/obesity</w:t>
      </w:r>
      <w:r w:rsidR="00D07346">
        <w:fldChar w:fldCharType="begin"/>
      </w:r>
      <w:r w:rsidR="002747EA">
        <w:instrText xml:space="preserve"> ADDIN EN.CITE &lt;EndNote&gt;&lt;Cite&gt;&lt;Author&gt;Yu&lt;/Author&gt;&lt;Year&gt;2013&lt;/Year&gt;&lt;RecNum&gt;1867&lt;/RecNum&gt;&lt;DisplayText&gt;&lt;style face="superscript" font="Trebuchet MS" size="9"&gt;392&lt;/style&gt;&lt;/DisplayText&gt;&lt;record&gt;&lt;rec-number&gt;1867&lt;/rec-number&gt;&lt;foreign-keys&gt;&lt;key app="EN" db-id="exvasrfx2dtraoesasxp2szsxa2df502592x" timestamp="1587875400"&gt;1867&lt;/key&gt;&lt;/foreign-keys&gt;&lt;ref-type name="Journal Article"&gt;17&lt;/ref-type&gt;&lt;contributors&gt;&lt;authors&gt;&lt;author&gt;Yu, Z.&lt;/author&gt;&lt;author&gt;Han, S.&lt;/author&gt;&lt;author&gt;Zhu, J.&lt;/author&gt;&lt;author&gt;Sun, X.&lt;/author&gt;&lt;author&gt;Ji, C.&lt;/author&gt;&lt;author&gt;Guo, X.&lt;/author&gt;&lt;/authors&gt;&lt;/contributors&gt;&lt;auth-address&gt;State Key Laboratory of Reproductive Medicine, Department of Pediatrics, Nanjing Maternity and Child Health Care Hospital, Nanjing Medical University, Nanjing, China.&lt;/auth-address&gt;&lt;titles&gt;&lt;title&gt;Pre-pregnancy body mass index in relation to infant birth weight and offspring overweight/obesity: a systematic review and meta-analysis&lt;/title&gt;&lt;secondary-title&gt;PLoS One&lt;/secondary-title&gt;&lt;/titles&gt;&lt;periodical&gt;&lt;full-title&gt;PLoS One&lt;/full-title&gt;&lt;/periodical&gt;&lt;pages&gt;e61627&lt;/pages&gt;&lt;volume&gt;8&lt;/volume&gt;&lt;number&gt;4&lt;/number&gt;&lt;edition&gt;2013/04/25&lt;/edition&gt;&lt;keywords&gt;&lt;keyword&gt;Birth Weight/*physiology&lt;/keyword&gt;&lt;keyword&gt;*Body Mass Index&lt;/keyword&gt;&lt;keyword&gt;Female&lt;/keyword&gt;&lt;keyword&gt;Humans&lt;/keyword&gt;&lt;keyword&gt;Infant, Newborn&lt;/keyword&gt;&lt;keyword&gt;Obesity/*epidemiology&lt;/keyword&gt;&lt;keyword&gt;Overweight/*epidemiology&lt;/keyword&gt;&lt;keyword&gt;Pregnancy&lt;/keyword&gt;&lt;/keywords&gt;&lt;dates&gt;&lt;year&gt;2013&lt;/year&gt;&lt;/dates&gt;&lt;isbn&gt;1932-6203 (Electronic)&amp;#xD;1932-6203 (Linking)&lt;/isbn&gt;&lt;accession-num&gt;23613888&lt;/accession-num&gt;&lt;urls&gt;&lt;related-urls&gt;&lt;url&gt;https://www.ncbi.nlm.nih.gov/pubmed/23613888&lt;/url&gt;&lt;/related-urls&gt;&lt;/urls&gt;&lt;custom2&gt;PMC3628788&lt;/custom2&gt;&lt;electronic-resource-num&gt;10.1371/journal.pone.0061627&lt;/electronic-resource-num&gt;&lt;/record&gt;&lt;/Cite&gt;&lt;/EndNote&gt;</w:instrText>
      </w:r>
      <w:r w:rsidR="00D07346">
        <w:fldChar w:fldCharType="separate"/>
      </w:r>
      <w:r w:rsidR="002747EA" w:rsidRPr="002747EA">
        <w:rPr>
          <w:noProof/>
          <w:vertAlign w:val="superscript"/>
        </w:rPr>
        <w:t>392</w:t>
      </w:r>
      <w:r w:rsidR="00D07346">
        <w:fldChar w:fldCharType="end"/>
      </w:r>
      <w:r w:rsidR="00B84491">
        <w:t>.</w:t>
      </w:r>
      <w:r w:rsidR="00A848C9">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 </w:instrText>
      </w:r>
      <w:r w:rsidR="001A2F28">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EN.CITE.DATA </w:instrText>
      </w:r>
      <w:r w:rsidR="001A2F28">
        <w:fldChar w:fldCharType="end"/>
      </w:r>
      <w:r w:rsidR="00A848C9">
        <w:fldChar w:fldCharType="separate"/>
      </w:r>
      <w:r w:rsidR="001A2F28" w:rsidRPr="001A2F28">
        <w:rPr>
          <w:noProof/>
          <w:vertAlign w:val="superscript"/>
        </w:rPr>
        <w:t>365</w:t>
      </w:r>
      <w:r w:rsidR="00A848C9">
        <w:fldChar w:fldCharType="end"/>
      </w:r>
      <w:r w:rsidR="00A848C9">
        <w:t xml:space="preserve"> </w:t>
      </w:r>
    </w:p>
    <w:p w14:paraId="3FFB6245" w14:textId="6BDE2BEE" w:rsidR="00B84491" w:rsidRDefault="00B84491" w:rsidP="00EF6186">
      <w:r>
        <w:t>Systematic reviews have also found associations between high pre-pregnancy BMI and:</w:t>
      </w:r>
    </w:p>
    <w:p w14:paraId="27F2FC6F" w14:textId="2E1FABE5" w:rsidR="00642F88" w:rsidRDefault="00B84491" w:rsidP="00BD61CC">
      <w:pPr>
        <w:pStyle w:val="bullet"/>
      </w:pPr>
      <w:r>
        <w:t>increased risk of gestational diabetes,</w:t>
      </w:r>
      <w:r w:rsidR="00D07346">
        <w:fldChar w:fldCharType="begin"/>
      </w:r>
      <w:r w:rsidR="002747EA">
        <w:instrText xml:space="preserve"> ADDIN EN.CITE &lt;EndNote&gt;&lt;Cite&gt;&lt;Author&gt;Torloni&lt;/Author&gt;&lt;Year&gt;2009&lt;/Year&gt;&lt;RecNum&gt;1865&lt;/RecNum&gt;&lt;DisplayText&gt;&lt;style face="superscript" font="Trebuchet MS" size="9"&gt;395&lt;/style&gt;&lt;/DisplayText&gt;&lt;record&gt;&lt;rec-number&gt;1865&lt;/rec-number&gt;&lt;foreign-keys&gt;&lt;key app="EN" db-id="exvasrfx2dtraoesasxp2szsxa2df502592x" timestamp="1587794175"&gt;1865&lt;/key&gt;&lt;key app="ENWeb" db-id=""&gt;0&lt;/key&gt;&lt;/foreign-keys&gt;&lt;ref-type name="Journal Article"&gt;17&lt;/ref-type&gt;&lt;contributors&gt;&lt;authors&gt;&lt;author&gt;Torloni, M. R.&lt;/author&gt;&lt;author&gt;Betran, A. P.&lt;/author&gt;&lt;author&gt;Horta, B. L.&lt;/author&gt;&lt;author&gt;Nakamura, M. U.&lt;/author&gt;&lt;author&gt;Atallah, A. N.&lt;/author&gt;&lt;author&gt;Moron, A. F.&lt;/author&gt;&lt;author&gt;Valente, O.&lt;/author&gt;&lt;/authors&gt;&lt;/contributors&gt;&lt;auth-address&gt;Department of Emergency and Evidence Based Medicine, Sao Paulo Federal University, Sao Paulo, Brazil.&lt;/auth-address&gt;&lt;titles&gt;&lt;title&gt;Prepregnancy BMI and the risk of gestational diabetes: a systematic review of the literature with meta-analysis&lt;/title&gt;&lt;secondary-title&gt;Obes Rev&lt;/secondary-title&gt;&lt;/titles&gt;&lt;periodical&gt;&lt;full-title&gt;Obes Rev&lt;/full-title&gt;&lt;/periodical&gt;&lt;pages&gt;194-203&lt;/pages&gt;&lt;volume&gt;10&lt;/volume&gt;&lt;number&gt;2&lt;/number&gt;&lt;edition&gt;2008/12/06&lt;/edition&gt;&lt;keywords&gt;&lt;keyword&gt;*Body Mass Index&lt;/keyword&gt;&lt;keyword&gt;Diabetes, Gestational/*epidemiology&lt;/keyword&gt;&lt;keyword&gt;Female&lt;/keyword&gt;&lt;keyword&gt;Humans&lt;/keyword&gt;&lt;keyword&gt;Pregnancy&lt;/keyword&gt;&lt;keyword&gt;Risk Factors&lt;/keyword&gt;&lt;/keywords&gt;&lt;dates&gt;&lt;year&gt;2009&lt;/year&gt;&lt;pub-dates&gt;&lt;date&gt;Mar&lt;/date&gt;&lt;/pub-dates&gt;&lt;/dates&gt;&lt;isbn&gt;1467-789X (Electronic)&amp;#xD;1467-7881 (Linking)&lt;/isbn&gt;&lt;accession-num&gt;19055539&lt;/accession-num&gt;&lt;urls&gt;&lt;related-urls&gt;&lt;url&gt;https://www.ncbi.nlm.nih.gov/pubmed/19055539&lt;/url&gt;&lt;/related-urls&gt;&lt;/urls&gt;&lt;electronic-resource-num&gt;10.1111/j.1467-789X.2008.00541.x&lt;/electronic-resource-num&gt;&lt;/record&gt;&lt;/Cite&gt;&lt;/EndNote&gt;</w:instrText>
      </w:r>
      <w:r w:rsidR="00D07346">
        <w:fldChar w:fldCharType="separate"/>
      </w:r>
      <w:r w:rsidR="002747EA" w:rsidRPr="002747EA">
        <w:rPr>
          <w:noProof/>
          <w:vertAlign w:val="superscript"/>
        </w:rPr>
        <w:t>395</w:t>
      </w:r>
      <w:r w:rsidR="00D07346">
        <w:fldChar w:fldCharType="end"/>
      </w:r>
      <w:r>
        <w:t xml:space="preserve"> </w:t>
      </w:r>
      <w:r w:rsidR="00642F88">
        <w:t>preterm birth</w:t>
      </w:r>
      <w:r>
        <w:t>,</w:t>
      </w:r>
      <w:r w:rsidR="00642F88">
        <w:t xml:space="preserve"> neonatal asphyxia</w:t>
      </w:r>
      <w:r>
        <w:t>,</w:t>
      </w:r>
      <w:r w:rsidR="00D07346">
        <w:fldChar w:fldCharType="begin">
          <w:fldData xml:space="preserve">PEVuZE5vdGU+PENpdGU+PEF1dGhvcj5MaXU8L0F1dGhvcj48WWVhcj4yMDE5PC9ZZWFyPjxSZWNO
dW0+MTg2NDwvUmVjTnVtPjxEaXNwbGF5VGV4dD48c3R5bGUgZmFjZT0ic3VwZXJzY3JpcHQiIGZv
bnQ9IlRyZWJ1Y2hldCBNUyIgc2l6ZT0iOSI+MzkwPC9zdHlsZT48L0Rpc3BsYXlUZXh0PjxyZWNv
cmQ+PHJlYy1udW1iZXI+MTg2NDwvcmVjLW51bWJlcj48Zm9yZWlnbi1rZXlzPjxrZXkgYXBwPSJF
TiIgZGItaWQ9ImV4dmFzcmZ4MmR0cmFvZXNhc3hwMnN6c3hhMmRmNTAyNTkyeCIgdGltZXN0YW1w
PSIxNTg3Nzk0MTY0Ij4xODY0PC9rZXk+PGtleSBhcHA9IkVOV2ViIiBkYi1pZD0iIj4wPC9rZXk+
PC9mb3JlaWduLWtleXM+PHJlZi10eXBlIG5hbWU9IkpvdXJuYWwgQXJ0aWNsZSI+MTc8L3JlZi10
eXBlPjxjb250cmlidXRvcnM+PGF1dGhvcnM+PGF1dGhvcj5MaXUsIEwuPC9hdXRob3I+PGF1dGhv
cj5NYSwgWS48L2F1dGhvcj48YXV0aG9yPldhbmcsIE4uPC9hdXRob3I+PGF1dGhvcj5MaW4sIFcu
PC9hdXRob3I+PGF1dGhvcj5MaXUsIFkuPC9hdXRob3I+PGF1dGhvcj5XZW4sIEQuPC9hdXRob3I+
PC9hdXRob3JzPjwvY29udHJpYnV0b3JzPjxhdXRoLWFkZHJlc3M+U2Nob29sIG9mIFB1YmxpYyBI
ZWFsdGgsIERhbGlhbiBNZWRpY2FsIFVuaXZlcnNpdHksIERhbGlhbiwgTGlhb25pbmcgUHJvdmlu
Y2UsIDExNjA0NCwgUGVvcGxlJmFwb3M7cyBSZXB1YmxpYyBvZiBDaGluYS4mI3hEO1NjaG9vbCBv
ZiBQdWJsaWMgSGVhbHRoLCBDaGluYSBNZWRpY2FsIFVuaXZlcnNpdHksIE5vLjc3IFB1aGUgUm9h
ZCwgU2hlbnlhbmcgTm9ydGggTmV3IEFyZWEsIFNoZW55YW5nLCBMaWFvbmluZyBQcm92aW5jZSwg
MTEwMTIyLCBQZW9wbGUmYXBvcztzIFJlcHVibGljIG9mIENoaW5hLiYjeEQ7U2Nob29sIG9mIFB1
YmxpYyBIZWFsdGgsIENoaW5hIE1lZGljYWwgVW5pdmVyc2l0eSwgTm8uNzcgUHVoZSBSb2FkLCBT
aGVueWFuZyBOb3J0aCBOZXcgQXJlYSwgU2hlbnlhbmcsIExpYW9uaW5nIFByb3ZpbmNlLCAxMTAx
MjIsIFBlb3BsZSZhcG9zO3MgUmVwdWJsaWMgb2YgQ2hpbmEuIGRsd2VuQGNtdS5lZHUuY24uPC9h
dXRoLWFkZHJlc3M+PHRpdGxlcz48dGl0bGU+TWF0ZXJuYWwgYm9keSBtYXNzIGluZGV4IGFuZCBy
aXNrIG9mIG5lb25hdGFsIGFkdmVyc2Ugb3V0Y29tZXMgaW4gQ2hpbmE6IGEgc3lzdGVtYXRpYyBy
ZXZpZXcgYW5kIG1ldGEtYW5hbHlzaXM8L3RpdGxlPjxzZWNvbmRhcnktdGl0bGU+Qk1DIFByZWdu
YW5jeSBDaGlsZGJpcnRoPC9zZWNvbmRhcnktdGl0bGU+PC90aXRsZXM+PHBlcmlvZGljYWw+PGZ1
bGwtdGl0bGU+Qk1DIFByZWduYW5jeSBDaGlsZGJpcnRoPC9mdWxsLXRpdGxlPjwvcGVyaW9kaWNh
bD48cGFnZXM+MTA1PC9wYWdlcz48dm9sdW1lPjE5PC92b2x1bWU+PG51bWJlcj4xPC9udW1iZXI+
PGVkaXRpb24+MjAxOS8wMy8zMDwvZWRpdGlvbj48a2V5d29yZHM+PGtleXdvcmQ+QWR1bHQ8L2tl
eXdvcmQ+PGtleXdvcmQ+QmlydGggV2VpZ2h0PC9rZXl3b3JkPjxrZXl3b3JkPipCb2R5IE1hc3Mg
SW5kZXg8L2tleXdvcmQ+PGtleXdvcmQ+Q2hpbmEvZXBpZGVtaW9sb2d5PC9rZXl3b3JkPjxrZXl3
b3JkPkZlbWFsZTwva2V5d29yZD48a2V5d29yZD5GZXRhbCBNYWNyb3NvbWlhL2V0aW9sb2d5PC9r
ZXl3b3JkPjxrZXl3b3JkPkdlc3RhdGlvbmFsIFdlaWdodCBHYWluPC9rZXl3b3JkPjxrZXl3b3Jk
Pkh1bWFuczwva2V5d29yZD48a2V5d29yZD5JbmZhbnQsIExvdyBCaXJ0aCBXZWlnaHQ8L2tleXdv
cmQ+PGtleXdvcmQ+SW5mYW50LCBOZXdib3JuPC9rZXl3b3JkPjxrZXl3b3JkPkluZmFudCwgU21h
bGwgZm9yIEdlc3RhdGlvbmFsIEFnZTwva2V5d29yZD48a2V5d29yZD5PYmVzaXR5L2NvbXBsaWNh
dGlvbnMvKnBoeXNpb3BhdGhvbG9neTwva2V5d29yZD48a2V5d29yZD5QcmVnbmFuY3k8L2tleXdv
cmQ+PGtleXdvcmQ+UHJlZ25hbmN5IENvbXBsaWNhdGlvbnMvZXRpb2xvZ3kvKnBoeXNpb3BhdGhv
bG9neTwva2V5d29yZD48a2V5d29yZD5QcmVnbmFuY3kgT3V0Y29tZS8qZXBpZGVtaW9sb2d5PC9r
ZXl3b3JkPjxrZXl3b3JkPlJpc2sgRmFjdG9yczwva2V5d29yZD48a2V5d29yZD5Db2hvcnQgc3R1
ZHk8L2tleXdvcmQ+PGtleXdvcmQ+TWF0ZXJuYWwgQk1JPC9rZXl3b3JkPjxrZXl3b3JkPk1ldGEt
YW5hbHlzaXM8L2tleXdvcmQ+PGtleXdvcmQ+TmVvbmF0YWwgb3V0Y29tZXM8L2tleXdvcmQ+PC9r
ZXl3b3Jkcz48ZGF0ZXM+PHllYXI+MjAxOTwveWVhcj48cHViLWRhdGVzPjxkYXRlPk1hciAyOTwv
ZGF0ZT48L3B1Yi1kYXRlcz48L2RhdGVzPjxpc2JuPjE0NzEtMjM5MyAoRWxlY3Ryb25pYykmI3hE
OzE0NzEtMjM5MyAoTGlua2luZyk8L2lzYm4+PGFjY2Vzc2lvbi1udW0+MzA5MjIyNDQ8L2FjY2Vz
c2lvbi1udW0+PHVybHM+PHJlbGF0ZWQtdXJscz48dXJsPmh0dHBzOi8vd3d3Lm5jYmkubmxtLm5p
aC5nb3YvcHVibWVkLzMwOTIyMjQ0PC91cmw+PC9yZWxhdGVkLXVybHM+PC91cmxzPjxjdXN0b20y
PlBNQzY0NDAxMjE8L2N1c3RvbTI+PGVsZWN0cm9uaWMtcmVzb3VyY2UtbnVtPjEwLjExODYvczEy
ODg0LTAxOS0yMjQ5LXo8L2VsZWN0cm9uaWMtcmVzb3VyY2UtbnVtPjwvcmVjb3JkPjwvQ2l0ZT48
L0VuZE5vdGU+AG==
</w:fldData>
        </w:fldChar>
      </w:r>
      <w:r w:rsidR="002747EA">
        <w:instrText xml:space="preserve"> ADDIN EN.CITE </w:instrText>
      </w:r>
      <w:r w:rsidR="002747EA">
        <w:fldChar w:fldCharType="begin">
          <w:fldData xml:space="preserve">PEVuZE5vdGU+PENpdGU+PEF1dGhvcj5MaXU8L0F1dGhvcj48WWVhcj4yMDE5PC9ZZWFyPjxSZWNO
dW0+MTg2NDwvUmVjTnVtPjxEaXNwbGF5VGV4dD48c3R5bGUgZmFjZT0ic3VwZXJzY3JpcHQiIGZv
bnQ9IlRyZWJ1Y2hldCBNUyIgc2l6ZT0iOSI+MzkwPC9zdHlsZT48L0Rpc3BsYXlUZXh0PjxyZWNv
cmQ+PHJlYy1udW1iZXI+MTg2NDwvcmVjLW51bWJlcj48Zm9yZWlnbi1rZXlzPjxrZXkgYXBwPSJF
TiIgZGItaWQ9ImV4dmFzcmZ4MmR0cmFvZXNhc3hwMnN6c3hhMmRmNTAyNTkyeCIgdGltZXN0YW1w
PSIxNTg3Nzk0MTY0Ij4xODY0PC9rZXk+PGtleSBhcHA9IkVOV2ViIiBkYi1pZD0iIj4wPC9rZXk+
PC9mb3JlaWduLWtleXM+PHJlZi10eXBlIG5hbWU9IkpvdXJuYWwgQXJ0aWNsZSI+MTc8L3JlZi10
eXBlPjxjb250cmlidXRvcnM+PGF1dGhvcnM+PGF1dGhvcj5MaXUsIEwuPC9hdXRob3I+PGF1dGhv
cj5NYSwgWS48L2F1dGhvcj48YXV0aG9yPldhbmcsIE4uPC9hdXRob3I+PGF1dGhvcj5MaW4sIFcu
PC9hdXRob3I+PGF1dGhvcj5MaXUsIFkuPC9hdXRob3I+PGF1dGhvcj5XZW4sIEQuPC9hdXRob3I+
PC9hdXRob3JzPjwvY29udHJpYnV0b3JzPjxhdXRoLWFkZHJlc3M+U2Nob29sIG9mIFB1YmxpYyBI
ZWFsdGgsIERhbGlhbiBNZWRpY2FsIFVuaXZlcnNpdHksIERhbGlhbiwgTGlhb25pbmcgUHJvdmlu
Y2UsIDExNjA0NCwgUGVvcGxlJmFwb3M7cyBSZXB1YmxpYyBvZiBDaGluYS4mI3hEO1NjaG9vbCBv
ZiBQdWJsaWMgSGVhbHRoLCBDaGluYSBNZWRpY2FsIFVuaXZlcnNpdHksIE5vLjc3IFB1aGUgUm9h
ZCwgU2hlbnlhbmcgTm9ydGggTmV3IEFyZWEsIFNoZW55YW5nLCBMaWFvbmluZyBQcm92aW5jZSwg
MTEwMTIyLCBQZW9wbGUmYXBvcztzIFJlcHVibGljIG9mIENoaW5hLiYjeEQ7U2Nob29sIG9mIFB1
YmxpYyBIZWFsdGgsIENoaW5hIE1lZGljYWwgVW5pdmVyc2l0eSwgTm8uNzcgUHVoZSBSb2FkLCBT
aGVueWFuZyBOb3J0aCBOZXcgQXJlYSwgU2hlbnlhbmcsIExpYW9uaW5nIFByb3ZpbmNlLCAxMTAx
MjIsIFBlb3BsZSZhcG9zO3MgUmVwdWJsaWMgb2YgQ2hpbmEuIGRsd2VuQGNtdS5lZHUuY24uPC9h
dXRoLWFkZHJlc3M+PHRpdGxlcz48dGl0bGU+TWF0ZXJuYWwgYm9keSBtYXNzIGluZGV4IGFuZCBy
aXNrIG9mIG5lb25hdGFsIGFkdmVyc2Ugb3V0Y29tZXMgaW4gQ2hpbmE6IGEgc3lzdGVtYXRpYyBy
ZXZpZXcgYW5kIG1ldGEtYW5hbHlzaXM8L3RpdGxlPjxzZWNvbmRhcnktdGl0bGU+Qk1DIFByZWdu
YW5jeSBDaGlsZGJpcnRoPC9zZWNvbmRhcnktdGl0bGU+PC90aXRsZXM+PHBlcmlvZGljYWw+PGZ1
bGwtdGl0bGU+Qk1DIFByZWduYW5jeSBDaGlsZGJpcnRoPC9mdWxsLXRpdGxlPjwvcGVyaW9kaWNh
bD48cGFnZXM+MTA1PC9wYWdlcz48dm9sdW1lPjE5PC92b2x1bWU+PG51bWJlcj4xPC9udW1iZXI+
PGVkaXRpb24+MjAxOS8wMy8zMDwvZWRpdGlvbj48a2V5d29yZHM+PGtleXdvcmQ+QWR1bHQ8L2tl
eXdvcmQ+PGtleXdvcmQ+QmlydGggV2VpZ2h0PC9rZXl3b3JkPjxrZXl3b3JkPipCb2R5IE1hc3Mg
SW5kZXg8L2tleXdvcmQ+PGtleXdvcmQ+Q2hpbmEvZXBpZGVtaW9sb2d5PC9rZXl3b3JkPjxrZXl3
b3JkPkZlbWFsZTwva2V5d29yZD48a2V5d29yZD5GZXRhbCBNYWNyb3NvbWlhL2V0aW9sb2d5PC9r
ZXl3b3JkPjxrZXl3b3JkPkdlc3RhdGlvbmFsIFdlaWdodCBHYWluPC9rZXl3b3JkPjxrZXl3b3Jk
Pkh1bWFuczwva2V5d29yZD48a2V5d29yZD5JbmZhbnQsIExvdyBCaXJ0aCBXZWlnaHQ8L2tleXdv
cmQ+PGtleXdvcmQ+SW5mYW50LCBOZXdib3JuPC9rZXl3b3JkPjxrZXl3b3JkPkluZmFudCwgU21h
bGwgZm9yIEdlc3RhdGlvbmFsIEFnZTwva2V5d29yZD48a2V5d29yZD5PYmVzaXR5L2NvbXBsaWNh
dGlvbnMvKnBoeXNpb3BhdGhvbG9neTwva2V5d29yZD48a2V5d29yZD5QcmVnbmFuY3k8L2tleXdv
cmQ+PGtleXdvcmQ+UHJlZ25hbmN5IENvbXBsaWNhdGlvbnMvZXRpb2xvZ3kvKnBoeXNpb3BhdGhv
bG9neTwva2V5d29yZD48a2V5d29yZD5QcmVnbmFuY3kgT3V0Y29tZS8qZXBpZGVtaW9sb2d5PC9r
ZXl3b3JkPjxrZXl3b3JkPlJpc2sgRmFjdG9yczwva2V5d29yZD48a2V5d29yZD5Db2hvcnQgc3R1
ZHk8L2tleXdvcmQ+PGtleXdvcmQ+TWF0ZXJuYWwgQk1JPC9rZXl3b3JkPjxrZXl3b3JkPk1ldGEt
YW5hbHlzaXM8L2tleXdvcmQ+PGtleXdvcmQ+TmVvbmF0YWwgb3V0Y29tZXM8L2tleXdvcmQ+PC9r
ZXl3b3Jkcz48ZGF0ZXM+PHllYXI+MjAxOTwveWVhcj48cHViLWRhdGVzPjxkYXRlPk1hciAyOTwv
ZGF0ZT48L3B1Yi1kYXRlcz48L2RhdGVzPjxpc2JuPjE0NzEtMjM5MyAoRWxlY3Ryb25pYykmI3hE
OzE0NzEtMjM5MyAoTGlua2luZyk8L2lzYm4+PGFjY2Vzc2lvbi1udW0+MzA5MjIyNDQ8L2FjY2Vz
c2lvbi1udW0+PHVybHM+PHJlbGF0ZWQtdXJscz48dXJsPmh0dHBzOi8vd3d3Lm5jYmkubmxtLm5p
aC5nb3YvcHVibWVkLzMwOTIyMjQ0PC91cmw+PC9yZWxhdGVkLXVybHM+PC91cmxzPjxjdXN0b20y
PlBNQzY0NDAxMjE8L2N1c3RvbTI+PGVsZWN0cm9uaWMtcmVzb3VyY2UtbnVtPjEwLjExODYvczEy
ODg0LTAxOS0yMjQ5LXo8L2VsZWN0cm9uaWMtcmVzb3VyY2UtbnVtPjwvcmVjb3JkPjwvQ2l0ZT48
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390</w:t>
      </w:r>
      <w:r w:rsidR="00D07346">
        <w:fldChar w:fldCharType="end"/>
      </w:r>
      <w:r>
        <w:t xml:space="preserve"> </w:t>
      </w:r>
      <w:r w:rsidR="00642F88">
        <w:t>admission to neonatal intensive care</w:t>
      </w:r>
      <w:r>
        <w:t>,</w:t>
      </w:r>
      <w:r w:rsidR="00642F88">
        <w:t xml:space="preserve"> stillbirth</w:t>
      </w:r>
      <w:r>
        <w:t>,</w:t>
      </w:r>
      <w:r w:rsidR="00D07346">
        <w:fldChar w:fldCharType="begin">
          <w:fldData xml:space="preserve">PEVuZE5vdGU+PENpdGU+PEF1dGhvcj5MaXU8L0F1dGhvcj48WWVhcj4yMDE2PC9ZZWFyPjxSZWNO
dW0+MTg2MzwvUmVjTnVtPjxEaXNwbGF5VGV4dD48c3R5bGUgZmFjZT0ic3VwZXJzY3JpcHQiIGZv
bnQ9IlRyZWJ1Y2hldCBNUyIgc2l6ZT0iOSI+Mzg5PC9zdHlsZT48L0Rpc3BsYXlUZXh0PjxyZWNv
cmQ+PHJlYy1udW1iZXI+MTg2MzwvcmVjLW51bWJlcj48Zm9yZWlnbi1rZXlzPjxrZXkgYXBwPSJF
TiIgZGItaWQ9ImV4dmFzcmZ4MmR0cmFvZXNhc3hwMnN6c3hhMmRmNTAyNTkyeCIgdGltZXN0YW1w
PSIxNTg3Nzk0MTU4Ij4xODYzPC9rZXk+PGtleSBhcHA9IkVOV2ViIiBkYi1pZD0iIj4wPC9rZXk+
PC9mb3JlaWduLWtleXM+PHJlZi10eXBlIG5hbWU9IkpvdXJuYWwgQXJ0aWNsZSI+MTc8L3JlZi10
eXBlPjxjb250cmlidXRvcnM+PGF1dGhvcnM+PGF1dGhvcj5MaXUsIFAuPC9hdXRob3I+PGF1dGhv
cj5YdSwgTC48L2F1dGhvcj48YXV0aG9yPldhbmcsIFkuPC9hdXRob3I+PGF1dGhvcj5aaGFuZywg
WS48L2F1dGhvcj48YXV0aG9yPkR1LCBZLjwvYXV0aG9yPjxhdXRob3I+U3VuLCBZLjwvYXV0aG9y
PjxhdXRob3I+V2FuZywgWi48L2F1dGhvcj48L2F1dGhvcnM+PC9jb250cmlidXRvcnM+PGF1dGgt
YWRkcmVzcz5EZXBhcnRtZW50IG9mIEVwaWRlbWlvbG9neSBhbmQgSGVhbHRoIFN0YXRpc3RpY3Ms
IFNjaG9vbCBvZiBQdWJsaWMgSGVhbHRoLCBTaGFuZG9uZyBVbml2ZXJzaXR5LCBTaGFuZG9uZywg
Q2hpbmEuJiN4RDtEaXZpc2lvbiBvZiBFcGlkZW1pb2xvZ3kgU3VydmV5LCBDaGluYSBBbmltYWwg
SGVhbHRoIGFuZCBFcGlkZW1pb2xvZ3kgQ2VudGVyLCBNaW5pc3RyeSBvZiBBZ3JpY3VsdHVyZSwg
QmVpamluZywgQ2hpbmEuJiN4RDtEZXBhcnRtZW50IG9mIEhlYWx0aCwgSmluYW4gTWF0ZXJuYWwg
YW5kIENoaWxkIENhcmUgU2VydmljZSBDZW50cmUsIFNoYW5kb25nLCBDaGluYS4mI3hEO0RlcGFy
dG1lbnQgb2YgRXBpZGVtaW9sb2d5IGFuZCBIZWFsdGggU3RhdGlzdGljcywgU2Nob29sIG9mIFB1
YmxpYyBIZWFsdGgsIFNoYW5kb25nIFVuaXZlcnNpdHksIFNoYW5kb25nLCBDaGluYS4gemhpcGlu
Z3dAc2R1LmVkdS5jbi48L2F1dGgtYWRkcmVzcz48dGl0bGVzPjx0aXRsZT5Bc3NvY2lhdGlvbiBi
ZXR3ZWVuIHBlcmluYXRhbCBvdXRjb21lcyBhbmQgbWF0ZXJuYWwgcHJlLXByZWduYW5jeSBib2R5
IG1hc3MgaW5kZXg8L3RpdGxlPjxzZWNvbmRhcnktdGl0bGU+T2JlcyBSZXY8L3NlY29uZGFyeS10
aXRsZT48L3RpdGxlcz48cGVyaW9kaWNhbD48ZnVsbC10aXRsZT5PYmVzIFJldjwvZnVsbC10aXRs
ZT48L3BlcmlvZGljYWw+PHBhZ2VzPjEwOTEtMTEwMjwvcGFnZXM+PHZvbHVtZT4xNzwvdm9sdW1l
PjxudW1iZXI+MTE8L251bWJlcj48ZWRpdGlvbj4yMDE2LzA4LzE5PC9lZGl0aW9uPjxrZXl3b3Jk
cz48a2V5d29yZD4qQm9keSBNYXNzIEluZGV4PC9rZXl3b3JkPjxrZXl3b3JkPkZlbWFsZTwva2V5
d29yZD48a2V5d29yZD5IdW1hbnM8L2tleXdvcmQ+PGtleXdvcmQ+Kk1vdGhlcnM8L2tleXdvcmQ+
PGtleXdvcmQ+T3ZlcndlaWdodC8qZXBpZGVtaW9sb2d5PC9rZXl3b3JkPjxrZXl3b3JkPlByZWdu
YW5jeTwva2V5d29yZD48a2V5d29yZD5QcmVnbmFuY3kgQ29tcGxpY2F0aW9ucy8qZXBpZGVtaW9s
b2d5PC9rZXl3b3JkPjxrZXl3b3JkPipQcmVnbmFuY3kgT3V0Y29tZTwva2V5d29yZD48a2V5d29y
ZD5SaXNrIEZhY3RvcnM8L2tleXdvcmQ+PGtleXdvcmQ+VGhpbm5lc3MvKmVwaWRlbWlvbG9neTwv
a2V5d29yZD48a2V5d29yZD5XZWlnaHQgR2Fpbjwva2V5d29yZD48a2V5d29yZD4qYm1pPC9rZXl3
b3JkPjxrZXl3b3JkPipvYmVzaXR5PC9rZXl3b3JkPjxrZXl3b3JkPipwZXJpbmF0YWwgb3V0Y29t
ZXM8L2tleXdvcmQ+PGtleXdvcmQ+KnByZWduYW5jeTwva2V5d29yZD48L2tleXdvcmRzPjxkYXRl
cz48eWVhcj4yMDE2PC95ZWFyPjxwdWItZGF0ZXM+PGRhdGU+Tm92PC9kYXRlPjwvcHViLWRhdGVz
PjwvZGF0ZXM+PGlzYm4+MTQ2Ny03ODlYIChFbGVjdHJvbmljKSYjeEQ7MTQ2Ny03ODgxIChMaW5r
aW5nKTwvaXNibj48YWNjZXNzaW9uLW51bT4yNzUzNjg3OTwvYWNjZXNzaW9uLW51bT48dXJscz48
cmVsYXRlZC11cmxzPjx1cmw+aHR0cHM6Ly93d3cubmNiaS5ubG0ubmloLmdvdi9wdWJtZWQvMjc1
MzY4Nzk8L3VybD48L3JlbGF0ZWQtdXJscz48L3VybHM+PGVsZWN0cm9uaWMtcmVzb3VyY2UtbnVt
PjEwLjExMTEvb2JyLjEyNDU1PC9lbGVjdHJvbmljLXJlc291cmNlLW51bT48L3JlY29yZD48L0Np
dGU+PC9FbmROb3RlPgB=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bnQ9IlRyZWJ1Y2hldCBNUyIgc2l6ZT0iOSI+Mzg5PC9zdHlsZT48L0Rpc3BsYXlUZXh0PjxyZWNv
cmQ+PHJlYy1udW1iZXI+MTg2MzwvcmVjLW51bWJlcj48Zm9yZWlnbi1rZXlzPjxrZXkgYXBwPSJF
TiIgZGItaWQ9ImV4dmFzcmZ4MmR0cmFvZXNhc3hwMnN6c3hhMmRmNTAyNTkyeCIgdGltZXN0YW1w
PSIxNTg3Nzk0MTU4Ij4xODYzPC9rZXk+PGtleSBhcHA9IkVOV2ViIiBkYi1pZD0iIj4wPC9rZXk+
PC9mb3JlaWduLWtleXM+PHJlZi10eXBlIG5hbWU9IkpvdXJuYWwgQXJ0aWNsZSI+MTc8L3JlZi10
eXBlPjxjb250cmlidXRvcnM+PGF1dGhvcnM+PGF1dGhvcj5MaXUsIFAuPC9hdXRob3I+PGF1dGhv
cj5YdSwgTC48L2F1dGhvcj48YXV0aG9yPldhbmcsIFkuPC9hdXRob3I+PGF1dGhvcj5aaGFuZywg
WS48L2F1dGhvcj48YXV0aG9yPkR1LCBZLjwvYXV0aG9yPjxhdXRob3I+U3VuLCBZLjwvYXV0aG9y
PjxhdXRob3I+V2FuZywgWi48L2F1dGhvcj48L2F1dGhvcnM+PC9jb250cmlidXRvcnM+PGF1dGgt
YWRkcmVzcz5EZXBhcnRtZW50IG9mIEVwaWRlbWlvbG9neSBhbmQgSGVhbHRoIFN0YXRpc3RpY3Ms
IFNjaG9vbCBvZiBQdWJsaWMgSGVhbHRoLCBTaGFuZG9uZyBVbml2ZXJzaXR5LCBTaGFuZG9uZywg
Q2hpbmEuJiN4RDtEaXZpc2lvbiBvZiBFcGlkZW1pb2xvZ3kgU3VydmV5LCBDaGluYSBBbmltYWwg
SGVhbHRoIGFuZCBFcGlkZW1pb2xvZ3kgQ2VudGVyLCBNaW5pc3RyeSBvZiBBZ3JpY3VsdHVyZSwg
QmVpamluZywgQ2hpbmEuJiN4RDtEZXBhcnRtZW50IG9mIEhlYWx0aCwgSmluYW4gTWF0ZXJuYWwg
YW5kIENoaWxkIENhcmUgU2VydmljZSBDZW50cmUsIFNoYW5kb25nLCBDaGluYS4mI3hEO0RlcGFy
dG1lbnQgb2YgRXBpZGVtaW9sb2d5IGFuZCBIZWFsdGggU3RhdGlzdGljcywgU2Nob29sIG9mIFB1
YmxpYyBIZWFsdGgsIFNoYW5kb25nIFVuaXZlcnNpdHksIFNoYW5kb25nLCBDaGluYS4gemhpcGlu
Z3dAc2R1LmVkdS5jbi48L2F1dGgtYWRkcmVzcz48dGl0bGVzPjx0aXRsZT5Bc3NvY2lhdGlvbiBi
ZXR3ZWVuIHBlcmluYXRhbCBvdXRjb21lcyBhbmQgbWF0ZXJuYWwgcHJlLXByZWduYW5jeSBib2R5
IG1hc3MgaW5kZXg8L3RpdGxlPjxzZWNvbmRhcnktdGl0bGU+T2JlcyBSZXY8L3NlY29uZGFyeS10
aXRsZT48L3RpdGxlcz48cGVyaW9kaWNhbD48ZnVsbC10aXRsZT5PYmVzIFJldjwvZnVsbC10aXRs
ZT48L3BlcmlvZGljYWw+PHBhZ2VzPjEwOTEtMTEwMjwvcGFnZXM+PHZvbHVtZT4xNzwvdm9sdW1l
PjxudW1iZXI+MTE8L251bWJlcj48ZWRpdGlvbj4yMDE2LzA4LzE5PC9lZGl0aW9uPjxrZXl3b3Jk
cz48a2V5d29yZD4qQm9keSBNYXNzIEluZGV4PC9rZXl3b3JkPjxrZXl3b3JkPkZlbWFsZTwva2V5
d29yZD48a2V5d29yZD5IdW1hbnM8L2tleXdvcmQ+PGtleXdvcmQ+Kk1vdGhlcnM8L2tleXdvcmQ+
PGtleXdvcmQ+T3ZlcndlaWdodC8qZXBpZGVtaW9sb2d5PC9rZXl3b3JkPjxrZXl3b3JkPlByZWdu
YW5jeTwva2V5d29yZD48a2V5d29yZD5QcmVnbmFuY3kgQ29tcGxpY2F0aW9ucy8qZXBpZGVtaW9s
b2d5PC9rZXl3b3JkPjxrZXl3b3JkPipQcmVnbmFuY3kgT3V0Y29tZTwva2V5d29yZD48a2V5d29y
ZD5SaXNrIEZhY3RvcnM8L2tleXdvcmQ+PGtleXdvcmQ+VGhpbm5lc3MvKmVwaWRlbWlvbG9neTwv
a2V5d29yZD48a2V5d29yZD5XZWlnaHQgR2Fpbjwva2V5d29yZD48a2V5d29yZD4qYm1pPC9rZXl3
b3JkPjxrZXl3b3JkPipvYmVzaXR5PC9rZXl3b3JkPjxrZXl3b3JkPipwZXJpbmF0YWwgb3V0Y29t
ZXM8L2tleXdvcmQ+PGtleXdvcmQ+KnByZWduYW5jeTwva2V5d29yZD48L2tleXdvcmRzPjxkYXRl
cz48eWVhcj4yMDE2PC95ZWFyPjxwdWItZGF0ZXM+PGRhdGU+Tm92PC9kYXRlPjwvcHViLWRhdGVz
PjwvZGF0ZXM+PGlzYm4+MTQ2Ny03ODlYIChFbGVjdHJvbmljKSYjeEQ7MTQ2Ny03ODgxIChMaW5r
aW5nKTwvaXNibj48YWNjZXNzaW9uLW51bT4yNzUzNjg3OTwvYWNjZXNzaW9uLW51bT48dXJscz48
cmVsYXRlZC11cmxzPjx1cmw+aHR0cHM6Ly93d3cubmNiaS5ubG0ubmloLmdvdi9wdWJtZWQvMjc1
MzY4Nzk8L3VybD48L3JlbGF0ZWQtdXJscz48L3VybHM+PGVsZWN0cm9uaWMtcmVzb3VyY2UtbnVt
PjEwLjExMTEvb2JyLjEyNDU1PC9lbGVjdHJvbmljLXJlc291cmNlLW51bT48L3JlY29yZD48L0Np
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389</w:t>
      </w:r>
      <w:r w:rsidR="00D07346">
        <w:fldChar w:fldCharType="end"/>
      </w:r>
      <w:r>
        <w:t xml:space="preserve"> and congenital heart defects</w:t>
      </w:r>
      <w:r w:rsidR="00D07346">
        <w:fldChar w:fldCharType="begin">
          <w:fldData xml:space="preserve">PEVuZE5vdGU+PENpdGU+PEF1dGhvcj5aaHU8L0F1dGhvcj48WWVhcj4yMDE4PC9ZZWFyPjxSZWNO
dW0+MTkwODwvUmVjTnVtPjxEaXNwbGF5VGV4dD48c3R5bGUgZmFjZT0ic3VwZXJzY3JpcHQiIGZv
bnQ9IlRyZWJ1Y2hldCBNUyIgc2l6ZT0iOSI+Mzk2LDM5Nzwvc3R5bGU+PC9EaXNwbGF5VGV4dD48
cmVjb3JkPjxyZWMtbnVtYmVyPjE5MDg8L3JlYy1udW1iZXI+PGZvcmVpZ24ta2V5cz48a2V5IGFw
cD0iRU4iIGRiLWlkPSJleHZhc3JmeDJkdHJhb2VzYXN4cDJzenN4YTJkZjUwMjU5MngiIHRpbWVz
dGFtcD0iMTU4ODIwODIxMiI+MTkwODwva2V5PjxrZXkgYXBwPSJFTldlYiIgZGItaWQ9IiI+MDwv
a2V5PjwvZm9yZWlnbi1rZXlzPjxyZWYtdHlwZSBuYW1lPSJKb3VybmFsIEFydGljbGUiPjE3PC9y
ZWYtdHlwZT48Y29udHJpYnV0b3JzPjxhdXRob3JzPjxhdXRob3I+Wmh1LCBZLjwvYXV0aG9yPjxh
dXRob3I+Q2hlbiwgWS48L2F1dGhvcj48YXV0aG9yPkZlbmcsIFkuPC9hdXRob3I+PGF1dGhvcj5Z
dSwgRC48L2F1dGhvcj48YXV0aG9yPk1vLCBYLjwvYXV0aG9yPjwvYXV0aG9ycz48L2NvbnRyaWJ1
dG9ycz48YXV0aC1hZGRyZXNzPkRlcGFydG1lbnQgb2YgQ2FyZGlvdGhvcmFjaWMgU3VyZ2VyeSwg
Q2hpbGRyZW4mYXBvcztzIEhvc3BpdGFsIG9mIE5hbmppbmcgTWVkaWNhbCBVbml2ZXJzaXR5LCBO
YW5qaW5nLCBDaGluYS4mI3hEO0RlcGFydG1lbnQgb2YgVGhvcmFjaWMgU3VyZ2VyeSwgVGhlIEZp
cnN0IEFmZmlsaWF0ZWQgSG9zcGl0YWwgb2YgU29vY2hvdyBVbml2ZXJzaXR5LCBTb29jaG93LCBD
aGluYS48L2F1dGgtYWRkcmVzcz48dGl0bGVzPjx0aXRsZT5Bc3NvY2lhdGlvbiBiZXR3ZWVuIG1h
dGVybmFsIGJvZHkgbWFzcyBpbmRleCBhbmQgY29uZ2VuaXRhbCBoZWFydCBkZWZlY3RzIGluIGlu
ZmFudHM6IEEgbWV0YS1hbmFseXNpczwvdGl0bGU+PHNlY29uZGFyeS10aXRsZT5Db25nZW5pdCBI
ZWFydCBEaXM8L3NlY29uZGFyeS10aXRsZT48L3RpdGxlcz48cGVyaW9kaWNhbD48ZnVsbC10aXRs
ZT5Db25nZW5pdCBIZWFydCBEaXM8L2Z1bGwtdGl0bGU+PC9wZXJpb2RpY2FsPjxwYWdlcz4yNzEt
MjgxPC9wYWdlcz48dm9sdW1lPjEzPC92b2x1bWU+PG51bWJlcj4yPC9udW1iZXI+PGVkaXRpb24+
MjAxOC8wMS8yNTwvZWRpdGlvbj48a2V5d29yZHM+PGtleXdvcmQ+KkJvZHkgTWFzcyBJbmRleDwv
a2V5d29yZD48a2V5d29yZD5GZW1hbGU8L2tleXdvcmQ+PGtleXdvcmQ+R2xvYmFsIEhlYWx0aDwv
a2V5d29yZD48a2V5d29yZD5IZWFydCBEZWZlY3RzLCBDb25nZW5pdGFsL2VwaWRlbWlvbG9neS8q
ZXRpb2xvZ3k8L2tleXdvcmQ+PGtleXdvcmQ+SHVtYW5zPC9rZXl3b3JkPjxrZXl3b3JkPkluZmFu
dDwva2V5d29yZD48a2V5d29yZD5NYXRlcm5hbCBFeHBvc3VyZS8qYWR2ZXJzZSBlZmZlY3RzPC9r
ZXl3b3JkPjxrZXl3b3JkPk9iZXNpdHkvKmNvbXBsaWNhdGlvbnM8L2tleXdvcmQ+PGtleXdvcmQ+
T2RkcyBSYXRpbzwva2V5d29yZD48a2V5d29yZD5QcmVnbmFuY3k8L2tleXdvcmQ+PGtleXdvcmQ+
UmlzayBGYWN0b3JzPC9rZXl3b3JkPjxrZXl3b3JkPmNvbmdlbml0YWwgaGVhcnQgZGVmZWN0czwv
a2V5d29yZD48a2V5d29yZD5tYXRlcm5hbCBib2R5IG1hc3MgaW5kZXg8L2tleXdvcmQ+PGtleXdv
cmQ+bWV0YS1hbmFseXNpczwva2V5d29yZD48L2tleXdvcmRzPjxkYXRlcz48eWVhcj4yMDE4PC95
ZWFyPjxwdWItZGF0ZXM+PGRhdGU+TWFyPC9kYXRlPjwvcHViLWRhdGVzPjwvZGF0ZXM+PGlzYm4+
MTc0Ny0wODAzIChFbGVjdHJvbmljKSYjeEQ7MTc0Ny0wNzlYIChMaW5raW5nKTwvaXNibj48YWNj
ZXNzaW9uLW51bT4yOTM2MzI2NjwvYWNjZXNzaW9uLW51bT48dXJscz48cmVsYXRlZC11cmxzPjx1
cmw+aHR0cHM6Ly93d3cubmNiaS5ubG0ubmloLmdvdi9wdWJtZWQvMjkzNjMyNjY8L3VybD48L3Jl
bGF0ZWQtdXJscz48L3VybHM+PGVsZWN0cm9uaWMtcmVzb3VyY2UtbnVtPjEwLjExMTEvY2hkLjEy
NTY3PC9lbGVjdHJvbmljLXJlc291cmNlLW51bT48L3JlY29yZD48L0NpdGU+PENpdGU+PEF1dGhv
cj5DYWk8L0F1dGhvcj48WWVhcj4yMDE0PC9ZZWFyPjxSZWNOdW0+MTg2MDwvUmVjTnVtPjxyZWNv
cmQ+PHJlYy1udW1iZXI+MTg2MDwvcmVjLW51bWJlcj48Zm9yZWlnbi1rZXlzPjxrZXkgYXBwPSJF
TiIgZGItaWQ9ImV4dmFzcmZ4MmR0cmFvZXNhc3hwMnN6c3hhMmRmNTAyNTkyeCIgdGltZXN0YW1w
PSIxNTg3Nzk0MTI3Ij4xODYwPC9rZXk+PGtleSBhcHA9IkVOV2ViIiBkYi1pZD0iIj4wPC9rZXk+
PC9mb3JlaWduLWtleXM+PHJlZi10eXBlIG5hbWU9IkpvdXJuYWwgQXJ0aWNsZSI+MTc8L3JlZi10
eXBlPjxjb250cmlidXRvcnM+PGF1dGhvcnM+PGF1dGhvcj5DYWksIEcuIEouPC9hdXRob3I+PGF1
dGhvcj5TdW4sIFguIFguPC9hdXRob3I+PGF1dGhvcj5aaGFuZywgTC48L2F1dGhvcj48YXV0aG9y
PkhvbmcsIFEuPC9hdXRob3I+PC9hdXRob3JzPjwvY29udHJpYnV0b3JzPjxhdXRoLWFkZHJlc3M+
U2Nob29sIG9mIEhlYWx0aCBTZXJ2aWNlcyBNYW5hZ2VtZW50LCBBbmh1aSBNZWRpY2FsIFVuaXZl
cnNpdHksIEhlZmVpLCBDaGluYS4mI3hEO1NjaG9vbCBvZiBIZWFsdGggU2VydmljZXMgTWFuYWdl
bWVudCwgQW5odWkgTWVkaWNhbCBVbml2ZXJzaXR5LCBIZWZlaSwgQ2hpbmEuIEVsZWN0cm9uaWMg
YWRkcmVzczogc2hleWlocUAxNjMuY29tLjwvYXV0aC1hZGRyZXNzPjx0aXRsZXM+PHRpdGxlPkFz
c29jaWF0aW9uIGJldHdlZW4gbWF0ZXJuYWwgYm9keSBtYXNzIGluZGV4IGFuZCBjb25nZW5pdGFs
IGhlYXJ0IGRlZmVjdHMgaW4gb2Zmc3ByaW5nOiBhIHN5c3RlbWF0aWMgcmV2aWV3PC90aXRsZT48
c2Vjb25kYXJ5LXRpdGxlPkFtIEogT2JzdGV0IEd5bmVjb2w8L3NlY29uZGFyeS10aXRsZT48L3Rp
dGxlcz48cGVyaW9kaWNhbD48ZnVsbC10aXRsZT5BbSBKIE9ic3RldCBHeW5lY29sPC9mdWxsLXRp
dGxlPjwvcGVyaW9kaWNhbD48cGFnZXM+OTEtMTE3PC9wYWdlcz48dm9sdW1lPjIxMTwvdm9sdW1l
PjxudW1iZXI+MjwvbnVtYmVyPjxlZGl0aW9uPjIwMTQvMDMvMTk8L2VkaXRpb24+PGtleXdvcmRz
PjxrZXl3b3JkPkFvcnRpYyBWYWx2ZSBTdGVub3Npcy9lcGlkZW1pb2xvZ3k8L2tleXdvcmQ+PGtl
eXdvcmQ+KkJvZHkgTWFzcyBJbmRleDwva2V5d29yZD48a2V5d29yZD5GZW1hbGU8L2tleXdvcmQ+
PGtleXdvcmQ+SGVhcnQgRGVmZWN0cywgQ29uZ2VuaXRhbC8qZXBpZGVtaW9sb2d5PC9rZXl3b3Jk
PjxrZXl3b3JkPkh1bWFuczwva2V5d29yZD48a2V5d29yZD5JbmZhbnQ8L2tleXdvcmQ+PGtleXdv
cmQ+T3ZlcndlaWdodC9lcGlkZW1pb2xvZ3k8L2tleXdvcmQ+PGtleXdvcmQ+UHJlZ25hbmN5PC9r
ZXl3b3JkPjxrZXl3b3JkPlB1bG1vbmFyeSBWYWx2ZSBTdGVub3Npcy9lcGlkZW1pb2xvZ3k8L2tl
eXdvcmQ+PGtleXdvcmQ+UmlzayBGYWN0b3JzPC9rZXl3b3JkPjxrZXl3b3JkPlRoaW5uZXNzL2Vw
aWRlbWlvbG9neTwva2V5d29yZD48a2V5d29yZD5WZW50cmljdWxhciBPdXRmbG93IE9ic3RydWN0
aW9uL2VwaWRlbWlvbG9neTwva2V5d29yZD48a2V5d29yZD5ib2R5IG1hc3MgaW5kZXg8L2tleXdv
cmQ+PGtleXdvcmQ+Y29uZ2VuaXRhbCBoZWFydCBkZWZlY3Q8L2tleXdvcmQ+PGtleXdvcmQ+bWV0
YWFuYWx5c2lzPC9rZXl3b3JkPjxrZXl3b3JkPm9iZXNlPC9rZXl3b3JkPjxrZXl3b3JkPnN5c3Rl
bWF0aWMgcmV2aWV3PC9rZXl3b3JkPjwva2V5d29yZHM+PGRhdGVzPjx5ZWFyPjIwMTQ8L3llYXI+
PHB1Yi1kYXRlcz48ZGF0ZT5BdWc8L2RhdGU+PC9wdWItZGF0ZXM+PC9kYXRlcz48aXNibj4xMDk3
LTY4NjggKEVsZWN0cm9uaWMpJiN4RDswMDAyLTkzNzggKExpbmtpbmcpPC9pc2JuPjxhY2Nlc3Np
b24tbnVtPjI0NjMxNzA4PC9hY2Nlc3Npb24tbnVtPjx1cmxzPjxyZWxhdGVkLXVybHM+PHVybD5o
dHRwczovL3d3dy5uY2JpLm5sbS5uaWguZ292L3B1Ym1lZC8yNDYzMTcwODwvdXJsPjwvcmVsYXRl
ZC11cmxzPjwvdXJscz48ZWxlY3Ryb25pYy1yZXNvdXJjZS1udW0+MTAuMTAxNi9qLmFqb2cuMjAx
NC4wMy4wMjg8L2VsZWN0cm9uaWMtcmVzb3VyY2UtbnVtPjwvcmVjb3JkPjwvQ2l0ZT48L0VuZE5v
dGU+AG==
</w:fldData>
        </w:fldChar>
      </w:r>
      <w:r w:rsidR="002747EA">
        <w:instrText xml:space="preserve"> ADDIN EN.CITE </w:instrText>
      </w:r>
      <w:r w:rsidR="002747EA">
        <w:fldChar w:fldCharType="begin">
          <w:fldData xml:space="preserve">PEVuZE5vdGU+PENpdGU+PEF1dGhvcj5aaHU8L0F1dGhvcj48WWVhcj4yMDE4PC9ZZWFyPjxSZWNO
dW0+MTkwODwvUmVjTnVtPjxEaXNwbGF5VGV4dD48c3R5bGUgZmFjZT0ic3VwZXJzY3JpcHQiIGZv
bnQ9IlRyZWJ1Y2hldCBNUyIgc2l6ZT0iOSI+Mzk2LDM5Nzwvc3R5bGU+PC9EaXNwbGF5VGV4dD48
cmVjb3JkPjxyZWMtbnVtYmVyPjE5MDg8L3JlYy1udW1iZXI+PGZvcmVpZ24ta2V5cz48a2V5IGFw
cD0iRU4iIGRiLWlkPSJleHZhc3JmeDJkdHJhb2VzYXN4cDJzenN4YTJkZjUwMjU5MngiIHRpbWVz
dGFtcD0iMTU4ODIwODIxMiI+MTkwODwva2V5PjxrZXkgYXBwPSJFTldlYiIgZGItaWQ9IiI+MDwv
a2V5PjwvZm9yZWlnbi1rZXlzPjxyZWYtdHlwZSBuYW1lPSJKb3VybmFsIEFydGljbGUiPjE3PC9y
ZWYtdHlwZT48Y29udHJpYnV0b3JzPjxhdXRob3JzPjxhdXRob3I+Wmh1LCBZLjwvYXV0aG9yPjxh
dXRob3I+Q2hlbiwgWS48L2F1dGhvcj48YXV0aG9yPkZlbmcsIFkuPC9hdXRob3I+PGF1dGhvcj5Z
dSwgRC48L2F1dGhvcj48YXV0aG9yPk1vLCBYLjwvYXV0aG9yPjwvYXV0aG9ycz48L2NvbnRyaWJ1
dG9ycz48YXV0aC1hZGRyZXNzPkRlcGFydG1lbnQgb2YgQ2FyZGlvdGhvcmFjaWMgU3VyZ2VyeSwg
Q2hpbGRyZW4mYXBvcztzIEhvc3BpdGFsIG9mIE5hbmppbmcgTWVkaWNhbCBVbml2ZXJzaXR5LCBO
YW5qaW5nLCBDaGluYS4mI3hEO0RlcGFydG1lbnQgb2YgVGhvcmFjaWMgU3VyZ2VyeSwgVGhlIEZp
cnN0IEFmZmlsaWF0ZWQgSG9zcGl0YWwgb2YgU29vY2hvdyBVbml2ZXJzaXR5LCBTb29jaG93LCBD
aGluYS48L2F1dGgtYWRkcmVzcz48dGl0bGVzPjx0aXRsZT5Bc3NvY2lhdGlvbiBiZXR3ZWVuIG1h
dGVybmFsIGJvZHkgbWFzcyBpbmRleCBhbmQgY29uZ2VuaXRhbCBoZWFydCBkZWZlY3RzIGluIGlu
ZmFudHM6IEEgbWV0YS1hbmFseXNpczwvdGl0bGU+PHNlY29uZGFyeS10aXRsZT5Db25nZW5pdCBI
ZWFydCBEaXM8L3NlY29uZGFyeS10aXRsZT48L3RpdGxlcz48cGVyaW9kaWNhbD48ZnVsbC10aXRs
ZT5Db25nZW5pdCBIZWFydCBEaXM8L2Z1bGwtdGl0bGU+PC9wZXJpb2RpY2FsPjxwYWdlcz4yNzEt
MjgxPC9wYWdlcz48dm9sdW1lPjEzPC92b2x1bWU+PG51bWJlcj4yPC9udW1iZXI+PGVkaXRpb24+
MjAxOC8wMS8yNTwvZWRpdGlvbj48a2V5d29yZHM+PGtleXdvcmQ+KkJvZHkgTWFzcyBJbmRleDwv
a2V5d29yZD48a2V5d29yZD5GZW1hbGU8L2tleXdvcmQ+PGtleXdvcmQ+R2xvYmFsIEhlYWx0aDwv
a2V5d29yZD48a2V5d29yZD5IZWFydCBEZWZlY3RzLCBDb25nZW5pdGFsL2VwaWRlbWlvbG9neS8q
ZXRpb2xvZ3k8L2tleXdvcmQ+PGtleXdvcmQ+SHVtYW5zPC9rZXl3b3JkPjxrZXl3b3JkPkluZmFu
dDwva2V5d29yZD48a2V5d29yZD5NYXRlcm5hbCBFeHBvc3VyZS8qYWR2ZXJzZSBlZmZlY3RzPC9r
ZXl3b3JkPjxrZXl3b3JkPk9iZXNpdHkvKmNvbXBsaWNhdGlvbnM8L2tleXdvcmQ+PGtleXdvcmQ+
T2RkcyBSYXRpbzwva2V5d29yZD48a2V5d29yZD5QcmVnbmFuY3k8L2tleXdvcmQ+PGtleXdvcmQ+
UmlzayBGYWN0b3JzPC9rZXl3b3JkPjxrZXl3b3JkPmNvbmdlbml0YWwgaGVhcnQgZGVmZWN0czwv
a2V5d29yZD48a2V5d29yZD5tYXRlcm5hbCBib2R5IG1hc3MgaW5kZXg8L2tleXdvcmQ+PGtleXdv
cmQ+bWV0YS1hbmFseXNpczwva2V5d29yZD48L2tleXdvcmRzPjxkYXRlcz48eWVhcj4yMDE4PC95
ZWFyPjxwdWItZGF0ZXM+PGRhdGU+TWFyPC9kYXRlPjwvcHViLWRhdGVzPjwvZGF0ZXM+PGlzYm4+
MTc0Ny0wODAzIChFbGVjdHJvbmljKSYjeEQ7MTc0Ny0wNzlYIChMaW5raW5nKTwvaXNibj48YWNj
ZXNzaW9uLW51bT4yOTM2MzI2NjwvYWNjZXNzaW9uLW51bT48dXJscz48cmVsYXRlZC11cmxzPjx1
cmw+aHR0cHM6Ly93d3cubmNiaS5ubG0ubmloLmdvdi9wdWJtZWQvMjkzNjMyNjY8L3VybD48L3Jl
bGF0ZWQtdXJscz48L3VybHM+PGVsZWN0cm9uaWMtcmVzb3VyY2UtbnVtPjEwLjExMTEvY2hkLjEy
NTY3PC9lbGVjdHJvbmljLXJlc291cmNlLW51bT48L3JlY29yZD48L0NpdGU+PENpdGU+PEF1dGhv
cj5DYWk8L0F1dGhvcj48WWVhcj4yMDE0PC9ZZWFyPjxSZWNOdW0+MTg2MDwvUmVjTnVtPjxyZWNv
cmQ+PHJlYy1udW1iZXI+MTg2MDwvcmVjLW51bWJlcj48Zm9yZWlnbi1rZXlzPjxrZXkgYXBwPSJF
TiIgZGItaWQ9ImV4dmFzcmZ4MmR0cmFvZXNhc3hwMnN6c3hhMmRmNTAyNTkyeCIgdGltZXN0YW1w
PSIxNTg3Nzk0MTI3Ij4xODYwPC9rZXk+PGtleSBhcHA9IkVOV2ViIiBkYi1pZD0iIj4wPC9rZXk+
PC9mb3JlaWduLWtleXM+PHJlZi10eXBlIG5hbWU9IkpvdXJuYWwgQXJ0aWNsZSI+MTc8L3JlZi10
eXBlPjxjb250cmlidXRvcnM+PGF1dGhvcnM+PGF1dGhvcj5DYWksIEcuIEouPC9hdXRob3I+PGF1
dGhvcj5TdW4sIFguIFguPC9hdXRob3I+PGF1dGhvcj5aaGFuZywgTC48L2F1dGhvcj48YXV0aG9y
PkhvbmcsIFEuPC9hdXRob3I+PC9hdXRob3JzPjwvY29udHJpYnV0b3JzPjxhdXRoLWFkZHJlc3M+
U2Nob29sIG9mIEhlYWx0aCBTZXJ2aWNlcyBNYW5hZ2VtZW50LCBBbmh1aSBNZWRpY2FsIFVuaXZl
cnNpdHksIEhlZmVpLCBDaGluYS4mI3hEO1NjaG9vbCBvZiBIZWFsdGggU2VydmljZXMgTWFuYWdl
bWVudCwgQW5odWkgTWVkaWNhbCBVbml2ZXJzaXR5LCBIZWZlaSwgQ2hpbmEuIEVsZWN0cm9uaWMg
YWRkcmVzczogc2hleWlocUAxNjMuY29tLjwvYXV0aC1hZGRyZXNzPjx0aXRsZXM+PHRpdGxlPkFz
c29jaWF0aW9uIGJldHdlZW4gbWF0ZXJuYWwgYm9keSBtYXNzIGluZGV4IGFuZCBjb25nZW5pdGFs
IGhlYXJ0IGRlZmVjdHMgaW4gb2Zmc3ByaW5nOiBhIHN5c3RlbWF0aWMgcmV2aWV3PC90aXRsZT48
c2Vjb25kYXJ5LXRpdGxlPkFtIEogT2JzdGV0IEd5bmVjb2w8L3NlY29uZGFyeS10aXRsZT48L3Rp
dGxlcz48cGVyaW9kaWNhbD48ZnVsbC10aXRsZT5BbSBKIE9ic3RldCBHeW5lY29sPC9mdWxsLXRp
dGxlPjwvcGVyaW9kaWNhbD48cGFnZXM+OTEtMTE3PC9wYWdlcz48dm9sdW1lPjIxMTwvdm9sdW1l
PjxudW1iZXI+MjwvbnVtYmVyPjxlZGl0aW9uPjIwMTQvMDMvMTk8L2VkaXRpb24+PGtleXdvcmRz
PjxrZXl3b3JkPkFvcnRpYyBWYWx2ZSBTdGVub3Npcy9lcGlkZW1pb2xvZ3k8L2tleXdvcmQ+PGtl
eXdvcmQ+KkJvZHkgTWFzcyBJbmRleDwva2V5d29yZD48a2V5d29yZD5GZW1hbGU8L2tleXdvcmQ+
PGtleXdvcmQ+SGVhcnQgRGVmZWN0cywgQ29uZ2VuaXRhbC8qZXBpZGVtaW9sb2d5PC9rZXl3b3Jk
PjxrZXl3b3JkPkh1bWFuczwva2V5d29yZD48a2V5d29yZD5JbmZhbnQ8L2tleXdvcmQ+PGtleXdv
cmQ+T3ZlcndlaWdodC9lcGlkZW1pb2xvZ3k8L2tleXdvcmQ+PGtleXdvcmQ+UHJlZ25hbmN5PC9r
ZXl3b3JkPjxrZXl3b3JkPlB1bG1vbmFyeSBWYWx2ZSBTdGVub3Npcy9lcGlkZW1pb2xvZ3k8L2tl
eXdvcmQ+PGtleXdvcmQ+UmlzayBGYWN0b3JzPC9rZXl3b3JkPjxrZXl3b3JkPlRoaW5uZXNzL2Vw
aWRlbWlvbG9neTwva2V5d29yZD48a2V5d29yZD5WZW50cmljdWxhciBPdXRmbG93IE9ic3RydWN0
aW9uL2VwaWRlbWlvbG9neTwva2V5d29yZD48a2V5d29yZD5ib2R5IG1hc3MgaW5kZXg8L2tleXdv
cmQ+PGtleXdvcmQ+Y29uZ2VuaXRhbCBoZWFydCBkZWZlY3Q8L2tleXdvcmQ+PGtleXdvcmQ+bWV0
YWFuYWx5c2lzPC9rZXl3b3JkPjxrZXl3b3JkPm9iZXNlPC9rZXl3b3JkPjxrZXl3b3JkPnN5c3Rl
bWF0aWMgcmV2aWV3PC9rZXl3b3JkPjwva2V5d29yZHM+PGRhdGVzPjx5ZWFyPjIwMTQ8L3llYXI+
PHB1Yi1kYXRlcz48ZGF0ZT5BdWc8L2RhdGU+PC9wdWItZGF0ZXM+PC9kYXRlcz48aXNibj4xMDk3
LTY4NjggKEVsZWN0cm9uaWMpJiN4RDswMDAyLTkzNzggKExpbmtpbmcpPC9pc2JuPjxhY2Nlc3Np
b24tbnVtPjI0NjMxNzA4PC9hY2Nlc3Npb24tbnVtPjx1cmxzPjxyZWxhdGVkLXVybHM+PHVybD5o
dHRwczovL3d3dy5uY2JpLm5sbS5uaWguZ292L3B1Ym1lZC8yNDYzMTcwODwvdXJsPjwvcmVsYXRl
ZC11cmxzPjwvdXJscz48ZWxlY3Ryb25pYy1yZXNvdXJjZS1udW0+MTAuMTAxNi9qLmFqb2cuMjAx
NC4wMy4wMjg8L2VsZWN0cm9uaWMtcmVzb3VyY2UtbnVtPjwvcmVjb3JkPjwvQ2l0ZT48L0VuZE5v
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396,397</w:t>
      </w:r>
      <w:r w:rsidR="00D07346">
        <w:fldChar w:fldCharType="end"/>
      </w:r>
      <w:r>
        <w:t xml:space="preserve"> </w:t>
      </w:r>
    </w:p>
    <w:p w14:paraId="706DDFC4" w14:textId="186DBA07" w:rsidR="00DE138C" w:rsidRDefault="00B84491" w:rsidP="00BD61CC">
      <w:pPr>
        <w:pStyle w:val="bullet"/>
      </w:pPr>
      <w:r>
        <w:t>reduced risk of small for gestational age</w:t>
      </w:r>
      <w:r w:rsidR="00D07346">
        <w:fldChar w:fldCharType="begin"/>
      </w:r>
      <w:r w:rsidR="002747EA">
        <w:instrText xml:space="preserve"> ADDIN EN.CITE &lt;EndNote&gt;&lt;Cite&gt;&lt;Author&gt;Goto&lt;/Author&gt;&lt;Year&gt;2017&lt;/Year&gt;&lt;RecNum&gt;1862&lt;/RecNum&gt;&lt;DisplayText&gt;&lt;style face="superscript" font="Trebuchet MS" size="9"&gt;391&lt;/style&gt;&lt;/DisplayText&gt;&lt;record&gt;&lt;rec-number&gt;1862&lt;/rec-number&gt;&lt;foreign-keys&gt;&lt;key app="EN" db-id="exvasrfx2dtraoesasxp2szsxa2df502592x" timestamp="1587794145"&gt;1862&lt;/key&gt;&lt;key app="ENWeb" db-id=""&gt;0&lt;/key&gt;&lt;/foreign-keys&gt;&lt;ref-type name="Journal Article"&gt;17&lt;/ref-type&gt;&lt;contributors&gt;&lt;authors&gt;&lt;author&gt;Goto, E.&lt;/author&gt;&lt;/authors&gt;&lt;/contributors&gt;&lt;auth-address&gt;a Department of Medicine and Public Health , Nagoya Medical Science Research Institute , Nagoya , Japan.&lt;/auth-address&gt;&lt;titles&gt;&lt;title&gt;Dose-response association between maternal body mass index and small for gestational age: a meta-analysis&lt;/title&gt;&lt;secondary-title&gt;J Matern Fetal Neonatal Med&lt;/secondary-title&gt;&lt;/titles&gt;&lt;periodical&gt;&lt;full-title&gt;J Matern Fetal Neonatal Med&lt;/full-title&gt;&lt;/periodical&gt;&lt;pages&gt;213-218&lt;/pages&gt;&lt;volume&gt;30&lt;/volume&gt;&lt;number&gt;2&lt;/number&gt;&lt;edition&gt;2016/03/24&lt;/edition&gt;&lt;keywords&gt;&lt;keyword&gt;*Body Mass Index&lt;/keyword&gt;&lt;keyword&gt;Body Weight/*physiology&lt;/keyword&gt;&lt;keyword&gt;Female&lt;/keyword&gt;&lt;keyword&gt;Humans&lt;/keyword&gt;&lt;keyword&gt;Infant, Newborn&lt;/keyword&gt;&lt;keyword&gt;*Infant, Small for Gestational Age&lt;/keyword&gt;&lt;keyword&gt;Pregnancy&lt;/keyword&gt;&lt;keyword&gt;Pregnancy Complications&lt;/keyword&gt;&lt;keyword&gt;Risk Factors&lt;/keyword&gt;&lt;keyword&gt;*Anthropometry&lt;/keyword&gt;&lt;keyword&gt;*meta-analysis&lt;/keyword&gt;&lt;keyword&gt;*risk&lt;/keyword&gt;&lt;keyword&gt;*small for gestational age&lt;/keyword&gt;&lt;/keywords&gt;&lt;dates&gt;&lt;year&gt;2017&lt;/year&gt;&lt;pub-dates&gt;&lt;date&gt;Jan&lt;/date&gt;&lt;/pub-dates&gt;&lt;/dates&gt;&lt;isbn&gt;1476-4954 (Electronic)&amp;#xD;1476-4954 (Linking)&lt;/isbn&gt;&lt;accession-num&gt;27002363&lt;/accession-num&gt;&lt;urls&gt;&lt;related-urls&gt;&lt;url&gt;https://www.ncbi.nlm.nih.gov/pubmed/27002363&lt;/url&gt;&lt;/related-urls&gt;&lt;/urls&gt;&lt;electronic-resource-num&gt;10.3109/14767058.2016.1169519&lt;/electronic-resource-num&gt;&lt;/record&gt;&lt;/Cite&gt;&lt;/EndNote&gt;</w:instrText>
      </w:r>
      <w:r w:rsidR="00D07346">
        <w:fldChar w:fldCharType="separate"/>
      </w:r>
      <w:r w:rsidR="002747EA" w:rsidRPr="002747EA">
        <w:rPr>
          <w:noProof/>
          <w:vertAlign w:val="superscript"/>
        </w:rPr>
        <w:t>391</w:t>
      </w:r>
      <w:r w:rsidR="00D07346">
        <w:fldChar w:fldCharType="end"/>
      </w:r>
      <w:r w:rsidR="00DE138C">
        <w:t xml:space="preserve"> </w:t>
      </w:r>
      <w:r>
        <w:t>and</w:t>
      </w:r>
      <w:r w:rsidR="00DE138C">
        <w:t xml:space="preserve"> placental abruption.</w:t>
      </w:r>
      <w:r w:rsidR="00D07346">
        <w:fldChar w:fldCharType="begin"/>
      </w:r>
      <w:r w:rsidR="002747EA">
        <w:instrText xml:space="preserve"> ADDIN EN.CITE &lt;EndNote&gt;&lt;Cite&gt;&lt;Author&gt;Adane&lt;/Author&gt;&lt;Year&gt;2019&lt;/Year&gt;&lt;RecNum&gt;1858&lt;/RecNum&gt;&lt;DisplayText&gt;&lt;style face="superscript" font="Trebuchet MS" size="9"&gt;394&lt;/style&gt;&lt;/DisplayText&gt;&lt;record&gt;&lt;rec-number&gt;1858&lt;/rec-number&gt;&lt;foreign-keys&gt;&lt;key app="EN" db-id="exvasrfx2dtraoesasxp2szsxa2df502592x" timestamp="1587794110"&gt;1858&lt;/key&gt;&lt;key app="ENWeb" db-id=""&gt;0&lt;/key&gt;&lt;/foreign-keys&gt;&lt;ref-type name="Journal Article"&gt;17&lt;/ref-type&gt;&lt;contributors&gt;&lt;authors&gt;&lt;author&gt;Adane, A.A.,&lt;/author&gt;&lt;author&gt;Shepherd, C.C.J.&lt;/author&gt;&lt;author&gt;Lim, F.J.&lt;/author&gt;&lt;author&gt;White, S.W.&lt;/author&gt;&lt;author&gt;Farrant, B.M.&lt;/author&gt;&lt;author&gt;Bailey, H.D.&lt;/author&gt;&lt;/authors&gt;&lt;/contributors&gt;&lt;titles&gt;&lt;title&gt;The impact of pre-pregnancy body mass index and gestational weight gain on placental abruption risk: a systematic review and meta-analysis&lt;/title&gt;&lt;secondary-title&gt;Arch Gynecol Obstet&lt;/secondary-title&gt;&lt;/titles&gt;&lt;periodical&gt;&lt;full-title&gt;Arch Gynecol Obstet&lt;/full-title&gt;&lt;/periodical&gt;&lt;pages&gt;1201-1210&lt;/pages&gt;&lt;volume&gt;300&lt;/volume&gt;&lt;number&gt;5&lt;/number&gt;&lt;section&gt;1201&lt;/section&gt;&lt;dates&gt;&lt;year&gt;2019&lt;/year&gt;&lt;/dates&gt;&lt;isbn&gt;0932-0067&amp;#xD;1432-0711&lt;/isbn&gt;&lt;urls&gt;&lt;/urls&gt;&lt;electronic-resource-num&gt;10.1007/s00404-019-05320-8&lt;/electronic-resource-num&gt;&lt;/record&gt;&lt;/Cite&gt;&lt;/EndNote&gt;</w:instrText>
      </w:r>
      <w:r w:rsidR="00D07346">
        <w:fldChar w:fldCharType="separate"/>
      </w:r>
      <w:r w:rsidR="002747EA" w:rsidRPr="002747EA">
        <w:rPr>
          <w:noProof/>
          <w:vertAlign w:val="superscript"/>
        </w:rPr>
        <w:t>394</w:t>
      </w:r>
      <w:r w:rsidR="00D07346">
        <w:fldChar w:fldCharType="end"/>
      </w:r>
    </w:p>
    <w:p w14:paraId="29A44B3F" w14:textId="71158109" w:rsidR="00DE138C" w:rsidRDefault="00DE138C" w:rsidP="00DE138C">
      <w:r>
        <w:t xml:space="preserve">Systematic reviews also found </w:t>
      </w:r>
      <w:r w:rsidR="00B84491">
        <w:t>a</w:t>
      </w:r>
      <w:r>
        <w:t xml:space="preserve"> decreased likelihood of initiating breastfeeding among obese women</w:t>
      </w:r>
      <w:r w:rsidR="00E02662">
        <w:t>.</w:t>
      </w:r>
      <w:r w:rsidR="00D07346">
        <w:fldChar w:fldCharType="begin">
          <w:fldData xml:space="preserve">PEVuZE5vdGU+PENpdGU+PEF1dGhvcj5IdWFuZzwvQXV0aG9yPjxZZWFyPjIwMTk8L1llYXI+PFJl
Y051bT4xOTI5PC9SZWNOdW0+PERpc3BsYXlUZXh0PjxzdHlsZSBmYWNlPSJzdXBlcnNjcmlwdCIg
Zm9udD0iVHJlYnVjaGV0IE1TIiBzaXplPSI5Ij4zOTgsMzk5PC9zdHlsZT48L0Rpc3BsYXlUZXh0
PjxyZWNvcmQ+PHJlYy1udW1iZXI+MTkyOTwvcmVjLW51bWJlcj48Zm9yZWlnbi1rZXlzPjxrZXkg
YXBwPSJFTiIgZGItaWQ9ImV4dmFzcmZ4MmR0cmFvZXNhc3hwMnN6c3hhMmRmNTAyNTkyeCIgdGlt
ZXN0YW1wPSIxNTg4NjQ1MjIzIj4xOTI5PC9rZXk+PGtleSBhcHA9IkVOV2ViIiBkYi1pZD0iIj4w
PC9rZXk+PC9mb3JlaWduLWtleXM+PHJlZi10eXBlIG5hbWU9IkpvdXJuYWwgQXJ0aWNsZSI+MTc8
L3JlZi10eXBlPjxjb250cmlidXRvcnM+PGF1dGhvcnM+PGF1dGhvcj5IdWFuZywgWS48L2F1dGhv
cj48YXV0aG9yPk91eWFuZywgWS4gUS48L2F1dGhvcj48YXV0aG9yPlJlZGRpbmcsIFMuIFIuPC9h
dXRob3I+PC9hdXRob3JzPjwvY29udHJpYnV0b3JzPjxhdXRoLWFkZHJlc3M+U2Nob29sIG9mIEhl
YWx0aCBTY2llbmNlcywgV3VoYW4gVW5pdmVyc2l0eSwgV3VoYW4sIENoaW5hLjwvYXV0aC1hZGRy
ZXNzPjx0aXRsZXM+PHRpdGxlPk1hdGVybmFsIHByZXByZWduYW5jeSBib2R5IG1hc3MgaW5kZXgs
IGdlc3RhdGlvbmFsIHdlaWdodCBnYWluLCBhbmQgY2Vzc2F0aW9uIG9mIGJyZWFzdGZlZWRpbmc6
IEEgc3lzdGVtYXRpYyByZXZpZXcgYW5kIG1ldGEtYW5hbHlzaXM8L3RpdGxlPjxzZWNvbmRhcnkt
dGl0bGU+QnJlYXN0ZmVlZCBNZWQ8L3NlY29uZGFyeS10aXRsZT48L3RpdGxlcz48cGVyaW9kaWNh
bD48ZnVsbC10aXRsZT5CcmVhc3RmZWVkIE1lZDwvZnVsbC10aXRsZT48L3BlcmlvZGljYWw+PHBh
Z2VzPjM2Ni0zNzQ8L3BhZ2VzPjx2b2x1bWU+MTQ8L3ZvbHVtZT48bnVtYmVyPjY8L251bWJlcj48
ZWRpdGlvbj4yMDE5LzA1LzE0PC9lZGl0aW9uPjxrZXl3b3Jkcz48a2V5d29yZD4qQm9keSBNYXNz
IEluZGV4PC9rZXl3b3JkPjxrZXl3b3JkPkJyZWFzdCBGZWVkaW5nLypzdGF0aXN0aWNzICZhbXA7
IG51bWVyaWNhbCBkYXRhPC9rZXl3b3JkPjxrZXl3b3JkPkZlbWFsZTwva2V5d29yZD48a2V5d29y
ZD4qR2VzdGF0aW9uYWwgV2VpZ2h0IEdhaW48L2tleXdvcmQ+PGtleXdvcmQ+SHVtYW5zPC9rZXl3
b3JkPjxrZXl3b3JkPk9iZXNpdHkvKnBzeWNob2xvZ3k8L2tleXdvcmQ+PGtleXdvcmQ+UHJlZ25h
bmN5PC9rZXl3b3JkPjxrZXl3b3JkPlByZWduYW5jeSBDb21wbGljYXRpb25zLypwc3ljaG9sb2d5
PC9rZXl3b3JkPjxrZXl3b3JkPipicmVhc3RmZWVkaW5nPC9rZXl3b3JkPjxrZXl3b3JkPipwcmVw
cmVnbmFuY3kgQk1JPC9rZXl3b3JkPjwva2V5d29yZHM+PGRhdGVzPjx5ZWFyPjIwMTk8L3llYXI+
PHB1Yi1kYXRlcz48ZGF0ZT5KdWwvQXVnPC9kYXRlPjwvcHViLWRhdGVzPjwvZGF0ZXM+PGlzYm4+
MTU1Ni04MzQyIChFbGVjdHJvbmljKSYjeEQ7MTU1Ni04MjUzIChMaW5raW5nKTwvaXNibj48YWNj
ZXNzaW9uLW51bT4zMTA4MTY4NDwvYWNjZXNzaW9uLW51bT48dXJscz48cmVsYXRlZC11cmxzPjx1
cmw+aHR0cHM6Ly93d3cubmNiaS5ubG0ubmloLmdvdi9wdWJtZWQvMzEwODE2ODQ8L3VybD48L3Jl
bGF0ZWQtdXJscz48L3VybHM+PGVsZWN0cm9uaWMtcmVzb3VyY2UtbnVtPjEwLjEwODkvYmZtLjIw
MTguMDEzODwvZWxlY3Ryb25pYy1yZXNvdXJjZS1udW0+PC9yZWNvcmQ+PC9DaXRlPjxDaXRlPjxB
dXRob3I+R2FyY2lhPC9BdXRob3I+PFllYXI+MjAxNjwvWWVhcj48UmVjTnVtPjE4NjE8L1JlY051
bT48cmVjb3JkPjxyZWMtbnVtYmVyPjE4NjE8L3JlYy1udW1iZXI+PGZvcmVpZ24ta2V5cz48a2V5
IGFwcD0iRU4iIGRiLWlkPSJleHZhc3JmeDJkdHJhb2VzYXN4cDJzenN4YTJkZjUwMjU5MngiIHRp
bWVzdGFtcD0iMTU4Nzc5NDEzOCI+MTg2MTwva2V5PjxrZXkgYXBwPSJFTldlYiIgZGItaWQ9IiI+
MDwva2V5PjwvZm9yZWlnbi1rZXlzPjxyZWYtdHlwZSBuYW1lPSJKb3VybmFsIEFydGljbGUiPjE3
PC9yZWYtdHlwZT48Y29udHJpYnV0b3JzPjxhdXRob3JzPjxhdXRob3I+R2FyY2lhLCBBLiBILjwv
YXV0aG9yPjxhdXRob3I+Vm9vcnRtYW4sIFQuPC9hdXRob3I+PGF1dGhvcj5CYWVuYSwgQy4gUC48
L2F1dGhvcj48YXV0aG9yPkNob3dkaHVycnksIFIuPC9hdXRob3I+PGF1dGhvcj5NdWthLCBULjwv
YXV0aG9yPjxhdXRob3I+SmFzcGVycywgTC48L2F1dGhvcj48YXV0aG9yPldhcm5ha3VsYSwgUy48
L2F1dGhvcj48YXV0aG9yPlRpZWxlbWFucywgTS4gSi48L2F1dGhvcj48YXV0aG9yPlRyb3VwLCBK
LjwvYXV0aG9yPjxhdXRob3I+QnJhbWVyLCBXLiBNLjwvYXV0aG9yPjxhdXRob3I+RnJhbmNvLCBP
LiBILjwvYXV0aG9yPjxhdXRob3I+dmFuIGRlbiBIb292ZW4sIEUuIEguPC9hdXRob3I+PC9hdXRo
b3JzPjwvY29udHJpYnV0b3JzPjxhdXRoLWFkZHJlc3M+QS5ILiBHYXJjaWEsIFQuIFZvb3J0bWFu
LCBDLlAuIEJhZW5hLCBULiBNdWthLCBMLiBKYXNwZXJzLCBNLkouIFRpZWxlbWFucywgSi4gVHJv
dXAsIE8uSC4gRnJhbmNvLCBhbmQgRS5ILiB2YW4gZGVuIEhvb3ZlbiBhcmUgd2l0aCB0aGUgRGVw
YXJ0bWVudCBvZiBFcGlkZW1pb2xvZ3ksIEVyYXNtdXMgTUMsIFVuaXZlcnNpdHkgTWVkaWNhbCBD
ZW50ZXIgUm90dGVyZGFtLCB0aGUgTmV0aGVybGFuZHMuIEMuUC4gQmFlbmEgaXMgd2l0aCB0aGUg
UG9udGlmaWNhbCBDYXRob2xpYyBVbml2ZXJzaXR5IG9mIFBhcmFuYSwgQ3VyaXRpYmEsIEJyYXpp
bC4gUi4gQ2hvd2RodXJyeSBhbmQgUy4gV2FybmFrdWxhIGFyZSB3aXRoIHRoZSBEZXBhcnRtZW50
IG9mIFB1YmxpYyBIZWFsdGggYW5kIFByaW1hcnkgQ2FyZSwgVW5pdmVyc2l0eSBvZiBDYW1icmlk
Z2UsIENhbWJyaWRnZSwgVW5pdGVkIEtpbmdkb20uIFcuTS4gQnJhbWVyIGlzIHdpdGggdGhlIE1l
ZGljYWwgTGlicmFyeSwgRXJhc211cyBNQywgVW5pdmVyc2l0eSBNZWRpY2FsIENlbnRlciBSb3R0
ZXJkYW0sIHRoZSBOZXRoZXJsYW5kcy4mI3hEO0EuSC4gR2FyY2lhLCBULiBWb29ydG1hbiwgQy5Q
LiBCYWVuYSwgVC4gTXVrYSwgTC4gSmFzcGVycywgTS5KLiBUaWVsZW1hbnMsIEouIFRyb3VwLCBP
LkguIEZyYW5jbywgYW5kIEUuSC4gdmFuIGRlbiBIb292ZW4gYXJlIHdpdGggdGhlIERlcGFydG1l
bnQgb2YgRXBpZGVtaW9sb2d5LCBFcmFzbXVzIE1DLCBVbml2ZXJzaXR5IE1lZGljYWwgQ2VudGVy
IFJvdHRlcmRhbSwgdGhlIE5ldGhlcmxhbmRzLiBDLlAuIEJhZW5hIGlzIHdpdGggdGhlIFBvbnRp
ZmljYWwgQ2F0aG9saWMgVW5pdmVyc2l0eSBvZiBQYXJhbmEsIEN1cml0aWJhLCBCcmF6aWwuIFIu
IENob3dkaHVycnkgYW5kIFMuIFdhcm5ha3VsYSBhcmUgd2l0aCB0aGUgRGVwYXJ0bWVudCBvZiBQ
dWJsaWMgSGVhbHRoIGFuZCBQcmltYXJ5IENhcmUsIFVuaXZlcnNpdHkgb2YgQ2FtYnJpZGdlLCBD
YW1icmlkZ2UsIFVuaXRlZCBLaW5nZG9tLiBXLk0uIEJyYW1lciBpcyB3aXRoIHRoZSBNZWRpY2Fs
IExpYnJhcnksIEVyYXNtdXMgTUMsIFVuaXZlcnNpdHkgTWVkaWNhbCBDZW50ZXIgUm90dGVyZGFt
LCB0aGUgTmV0aGVybGFuZHMuIHRydWR5LnZvb3J0bWFuQGVyYXNtdXNtYy5ubC48L2F1dGgtYWRk
cmVzcz48dGl0bGVzPjx0aXRsZT5NYXRlcm5hbCB3ZWlnaHQgc3RhdHVzLCBkaWV0LCBhbmQgc3Vw
cGxlbWVudCB1c2UgYXMgZGV0ZXJtaW5hbnRzIG9mIGJyZWFzdGZlZWRpbmcgYW5kIGNvbXBsZW1l
bnRhcnkgZmVlZGluZzogYSBzeXN0ZW1hdGljIHJldmlldyBhbmQgbWV0YS1hbmFseXNpczwvdGl0
bGU+PHNlY29uZGFyeS10aXRsZT5OdXRyIFJldjwvc2Vjb25kYXJ5LXRpdGxlPjwvdGl0bGVzPjxw
ZXJpb2RpY2FsPjxmdWxsLXRpdGxlPk51dHIgUmV2PC9mdWxsLXRpdGxlPjwvcGVyaW9kaWNhbD48
cGFnZXM+NDkwLTUxNjwvcGFnZXM+PHZvbHVtZT43NDwvdm9sdW1lPjxudW1iZXI+ODwvbnVtYmVy
PjxlZGl0aW9uPjIwMTYvMDYvMjM8L2VkaXRpb24+PGtleXdvcmRzPjxrZXl3b3JkPkJvZHkgTWFz
cyBJbmRleDwva2V5d29yZD48a2V5d29yZD4qQm9keSBXZWlnaHQ8L2tleXdvcmQ+PGtleXdvcmQ+
QnJlYXN0IEZlZWRpbmcvKnN0YXRpc3RpY3MgJmFtcDsgbnVtZXJpY2FsIGRhdGE8L2tleXdvcmQ+
PGtleXdvcmQ+Q29ob3J0IFN0dWRpZXM8L2tleXdvcmQ+PGtleXdvcmQ+KkRpZXQ8L2tleXdvcmQ+
PGtleXdvcmQ+KkRpZXRhcnkgU3VwcGxlbWVudHM8L2tleXdvcmQ+PGtleXdvcmQ+RmVtYWxlPC9r
ZXl3b3JkPjxrZXl3b3JkPkh1bWFuczwva2V5d29yZD48a2V5d29yZD5JbmZhbnQ8L2tleXdvcmQ+
PGtleXdvcmQ+KkluZmFudCBOdXRyaXRpb25hbCBQaHlzaW9sb2dpY2FsIFBoZW5vbWVuYTwva2V5
d29yZD48a2V5d29yZD5MYWN0YXRpb248L2tleXdvcmQ+PGtleXdvcmQ+TWVkbGluZTwva2V5d29y
ZD48a2V5d29yZD5PYmVzaXR5L2NvbXBsaWNhdGlvbnM8L2tleXdvcmQ+PGtleXdvcmQ+T2RkcyBS
YXRpbzwva2V5d29yZD48a2V5d29yZD5QcmVnbmFuY3k8L2tleXdvcmQ+PGtleXdvcmQ+KmJyZWFz
dGZlZWRpbmc8L2tleXdvcmQ+PGtleXdvcmQ+KmNvbXBsZW1lbnRhcnkgZmVlZGluZzwva2V5d29y
ZD48a2V5d29yZD4qbWV0YS1hbmFseXNpczwva2V5d29yZD48a2V5d29yZD4qc3lzdGVtYXRpYyBy
ZXZpZXc8L2tleXdvcmQ+PGtleXdvcmQ+KndlaWdodCBzdGF0dXMuPC9rZXl3b3JkPjwva2V5d29y
ZHM+PGRhdGVzPjx5ZWFyPjIwMTY8L3llYXI+PHB1Yi1kYXRlcz48ZGF0ZT5BdWc8L2RhdGU+PC9w
dWItZGF0ZXM+PC9kYXRlcz48aXNibj4xNzUzLTQ4ODcgKEVsZWN0cm9uaWMpJiN4RDswMDI5LTY2
NDMgKExpbmtpbmcpPC9pc2JuPjxhY2Nlc3Npb24tbnVtPjI3MzMwMTQzPC9hY2Nlc3Npb24tbnVt
Pjx1cmxzPjxyZWxhdGVkLXVybHM+PHVybD5odHRwczovL3d3dy5uY2JpLm5sbS5uaWguZ292L3B1
Ym1lZC8yNzMzMDE0MzwvdXJsPjwvcmVsYXRlZC11cmxzPjwvdXJscz48ZWxlY3Ryb25pYy1yZXNv
dXJjZS1udW0+MTAuMTA5My9udXRyaXQvbnV3MDE2PC9lbGVjdHJvbmljLXJlc291cmNlLW51bT48
L3JlY29yZD48L0NpdGU+PC9FbmROb3RlPn==
</w:fldData>
        </w:fldChar>
      </w:r>
      <w:r w:rsidR="002747EA">
        <w:instrText xml:space="preserve"> ADDIN EN.CITE </w:instrText>
      </w:r>
      <w:r w:rsidR="002747EA">
        <w:fldChar w:fldCharType="begin">
          <w:fldData xml:space="preserve">PEVuZE5vdGU+PENpdGU+PEF1dGhvcj5IdWFuZzwvQXV0aG9yPjxZZWFyPjIwMTk8L1llYXI+PFJl
Y051bT4xOTI5PC9SZWNOdW0+PERpc3BsYXlUZXh0PjxzdHlsZSBmYWNlPSJzdXBlcnNjcmlwdCIg
Zm9udD0iVHJlYnVjaGV0IE1TIiBzaXplPSI5Ij4zOTgsMzk5PC9zdHlsZT48L0Rpc3BsYXlUZXh0
PjxyZWNvcmQ+PHJlYy1udW1iZXI+MTkyOTwvcmVjLW51bWJlcj48Zm9yZWlnbi1rZXlzPjxrZXkg
YXBwPSJFTiIgZGItaWQ9ImV4dmFzcmZ4MmR0cmFvZXNhc3hwMnN6c3hhMmRmNTAyNTkyeCIgdGlt
ZXN0YW1wPSIxNTg4NjQ1MjIzIj4xOTI5PC9rZXk+PGtleSBhcHA9IkVOV2ViIiBkYi1pZD0iIj4w
PC9rZXk+PC9mb3JlaWduLWtleXM+PHJlZi10eXBlIG5hbWU9IkpvdXJuYWwgQXJ0aWNsZSI+MTc8
L3JlZi10eXBlPjxjb250cmlidXRvcnM+PGF1dGhvcnM+PGF1dGhvcj5IdWFuZywgWS48L2F1dGhv
cj48YXV0aG9yPk91eWFuZywgWS4gUS48L2F1dGhvcj48YXV0aG9yPlJlZGRpbmcsIFMuIFIuPC9h
dXRob3I+PC9hdXRob3JzPjwvY29udHJpYnV0b3JzPjxhdXRoLWFkZHJlc3M+U2Nob29sIG9mIEhl
YWx0aCBTY2llbmNlcywgV3VoYW4gVW5pdmVyc2l0eSwgV3VoYW4sIENoaW5hLjwvYXV0aC1hZGRy
ZXNzPjx0aXRsZXM+PHRpdGxlPk1hdGVybmFsIHByZXByZWduYW5jeSBib2R5IG1hc3MgaW5kZXgs
IGdlc3RhdGlvbmFsIHdlaWdodCBnYWluLCBhbmQgY2Vzc2F0aW9uIG9mIGJyZWFzdGZlZWRpbmc6
IEEgc3lzdGVtYXRpYyByZXZpZXcgYW5kIG1ldGEtYW5hbHlzaXM8L3RpdGxlPjxzZWNvbmRhcnkt
dGl0bGU+QnJlYXN0ZmVlZCBNZWQ8L3NlY29uZGFyeS10aXRsZT48L3RpdGxlcz48cGVyaW9kaWNh
bD48ZnVsbC10aXRsZT5CcmVhc3RmZWVkIE1lZDwvZnVsbC10aXRsZT48L3BlcmlvZGljYWw+PHBh
Z2VzPjM2Ni0zNzQ8L3BhZ2VzPjx2b2x1bWU+MTQ8L3ZvbHVtZT48bnVtYmVyPjY8L251bWJlcj48
ZWRpdGlvbj4yMDE5LzA1LzE0PC9lZGl0aW9uPjxrZXl3b3Jkcz48a2V5d29yZD4qQm9keSBNYXNz
IEluZGV4PC9rZXl3b3JkPjxrZXl3b3JkPkJyZWFzdCBGZWVkaW5nLypzdGF0aXN0aWNzICZhbXA7
IG51bWVyaWNhbCBkYXRhPC9rZXl3b3JkPjxrZXl3b3JkPkZlbWFsZTwva2V5d29yZD48a2V5d29y
ZD4qR2VzdGF0aW9uYWwgV2VpZ2h0IEdhaW48L2tleXdvcmQ+PGtleXdvcmQ+SHVtYW5zPC9rZXl3
b3JkPjxrZXl3b3JkPk9iZXNpdHkvKnBzeWNob2xvZ3k8L2tleXdvcmQ+PGtleXdvcmQ+UHJlZ25h
bmN5PC9rZXl3b3JkPjxrZXl3b3JkPlByZWduYW5jeSBDb21wbGljYXRpb25zLypwc3ljaG9sb2d5
PC9rZXl3b3JkPjxrZXl3b3JkPipicmVhc3RmZWVkaW5nPC9rZXl3b3JkPjxrZXl3b3JkPipwcmVw
cmVnbmFuY3kgQk1JPC9rZXl3b3JkPjwva2V5d29yZHM+PGRhdGVzPjx5ZWFyPjIwMTk8L3llYXI+
PHB1Yi1kYXRlcz48ZGF0ZT5KdWwvQXVnPC9kYXRlPjwvcHViLWRhdGVzPjwvZGF0ZXM+PGlzYm4+
MTU1Ni04MzQyIChFbGVjdHJvbmljKSYjeEQ7MTU1Ni04MjUzIChMaW5raW5nKTwvaXNibj48YWNj
ZXNzaW9uLW51bT4zMTA4MTY4NDwvYWNjZXNzaW9uLW51bT48dXJscz48cmVsYXRlZC11cmxzPjx1
cmw+aHR0cHM6Ly93d3cubmNiaS5ubG0ubmloLmdvdi9wdWJtZWQvMzEwODE2ODQ8L3VybD48L3Jl
bGF0ZWQtdXJscz48L3VybHM+PGVsZWN0cm9uaWMtcmVzb3VyY2UtbnVtPjEwLjEwODkvYmZtLjIw
MTguMDEzODwvZWxlY3Ryb25pYy1yZXNvdXJjZS1udW0+PC9yZWNvcmQ+PC9DaXRlPjxDaXRlPjxB
dXRob3I+R2FyY2lhPC9BdXRob3I+PFllYXI+MjAxNjwvWWVhcj48UmVjTnVtPjE4NjE8L1JlY051
bT48cmVjb3JkPjxyZWMtbnVtYmVyPjE4NjE8L3JlYy1udW1iZXI+PGZvcmVpZ24ta2V5cz48a2V5
IGFwcD0iRU4iIGRiLWlkPSJleHZhc3JmeDJkdHJhb2VzYXN4cDJzenN4YTJkZjUwMjU5MngiIHRp
bWVzdGFtcD0iMTU4Nzc5NDEzOCI+MTg2MTwva2V5PjxrZXkgYXBwPSJFTldlYiIgZGItaWQ9IiI+
MDwva2V5PjwvZm9yZWlnbi1rZXlzPjxyZWYtdHlwZSBuYW1lPSJKb3VybmFsIEFydGljbGUiPjE3
PC9yZWYtdHlwZT48Y29udHJpYnV0b3JzPjxhdXRob3JzPjxhdXRob3I+R2FyY2lhLCBBLiBILjwv
YXV0aG9yPjxhdXRob3I+Vm9vcnRtYW4sIFQuPC9hdXRob3I+PGF1dGhvcj5CYWVuYSwgQy4gUC48
L2F1dGhvcj48YXV0aG9yPkNob3dkaHVycnksIFIuPC9hdXRob3I+PGF1dGhvcj5NdWthLCBULjwv
YXV0aG9yPjxhdXRob3I+SmFzcGVycywgTC48L2F1dGhvcj48YXV0aG9yPldhcm5ha3VsYSwgUy48
L2F1dGhvcj48YXV0aG9yPlRpZWxlbWFucywgTS4gSi48L2F1dGhvcj48YXV0aG9yPlRyb3VwLCBK
LjwvYXV0aG9yPjxhdXRob3I+QnJhbWVyLCBXLiBNLjwvYXV0aG9yPjxhdXRob3I+RnJhbmNvLCBP
LiBILjwvYXV0aG9yPjxhdXRob3I+dmFuIGRlbiBIb292ZW4sIEUuIEguPC9hdXRob3I+PC9hdXRo
b3JzPjwvY29udHJpYnV0b3JzPjxhdXRoLWFkZHJlc3M+QS5ILiBHYXJjaWEsIFQuIFZvb3J0bWFu
LCBDLlAuIEJhZW5hLCBULiBNdWthLCBMLiBKYXNwZXJzLCBNLkouIFRpZWxlbWFucywgSi4gVHJv
dXAsIE8uSC4gRnJhbmNvLCBhbmQgRS5ILiB2YW4gZGVuIEhvb3ZlbiBhcmUgd2l0aCB0aGUgRGVw
YXJ0bWVudCBvZiBFcGlkZW1pb2xvZ3ksIEVyYXNtdXMgTUMsIFVuaXZlcnNpdHkgTWVkaWNhbCBD
ZW50ZXIgUm90dGVyZGFtLCB0aGUgTmV0aGVybGFuZHMuIEMuUC4gQmFlbmEgaXMgd2l0aCB0aGUg
UG9udGlmaWNhbCBDYXRob2xpYyBVbml2ZXJzaXR5IG9mIFBhcmFuYSwgQ3VyaXRpYmEsIEJyYXpp
bC4gUi4gQ2hvd2RodXJyeSBhbmQgUy4gV2FybmFrdWxhIGFyZSB3aXRoIHRoZSBEZXBhcnRtZW50
IG9mIFB1YmxpYyBIZWFsdGggYW5kIFByaW1hcnkgQ2FyZSwgVW5pdmVyc2l0eSBvZiBDYW1icmlk
Z2UsIENhbWJyaWRnZSwgVW5pdGVkIEtpbmdkb20uIFcuTS4gQnJhbWVyIGlzIHdpdGggdGhlIE1l
ZGljYWwgTGlicmFyeSwgRXJhc211cyBNQywgVW5pdmVyc2l0eSBNZWRpY2FsIENlbnRlciBSb3R0
ZXJkYW0sIHRoZSBOZXRoZXJsYW5kcy4mI3hEO0EuSC4gR2FyY2lhLCBULiBWb29ydG1hbiwgQy5Q
LiBCYWVuYSwgVC4gTXVrYSwgTC4gSmFzcGVycywgTS5KLiBUaWVsZW1hbnMsIEouIFRyb3VwLCBP
LkguIEZyYW5jbywgYW5kIEUuSC4gdmFuIGRlbiBIb292ZW4gYXJlIHdpdGggdGhlIERlcGFydG1l
bnQgb2YgRXBpZGVtaW9sb2d5LCBFcmFzbXVzIE1DLCBVbml2ZXJzaXR5IE1lZGljYWwgQ2VudGVy
IFJvdHRlcmRhbSwgdGhlIE5ldGhlcmxhbmRzLiBDLlAuIEJhZW5hIGlzIHdpdGggdGhlIFBvbnRp
ZmljYWwgQ2F0aG9saWMgVW5pdmVyc2l0eSBvZiBQYXJhbmEsIEN1cml0aWJhLCBCcmF6aWwuIFIu
IENob3dkaHVycnkgYW5kIFMuIFdhcm5ha3VsYSBhcmUgd2l0aCB0aGUgRGVwYXJ0bWVudCBvZiBQ
dWJsaWMgSGVhbHRoIGFuZCBQcmltYXJ5IENhcmUsIFVuaXZlcnNpdHkgb2YgQ2FtYnJpZGdlLCBD
YW1icmlkZ2UsIFVuaXRlZCBLaW5nZG9tLiBXLk0uIEJyYW1lciBpcyB3aXRoIHRoZSBNZWRpY2Fs
IExpYnJhcnksIEVyYXNtdXMgTUMsIFVuaXZlcnNpdHkgTWVkaWNhbCBDZW50ZXIgUm90dGVyZGFt
LCB0aGUgTmV0aGVybGFuZHMuIHRydWR5LnZvb3J0bWFuQGVyYXNtdXNtYy5ubC48L2F1dGgtYWRk
cmVzcz48dGl0bGVzPjx0aXRsZT5NYXRlcm5hbCB3ZWlnaHQgc3RhdHVzLCBkaWV0LCBhbmQgc3Vw
cGxlbWVudCB1c2UgYXMgZGV0ZXJtaW5hbnRzIG9mIGJyZWFzdGZlZWRpbmcgYW5kIGNvbXBsZW1l
bnRhcnkgZmVlZGluZzogYSBzeXN0ZW1hdGljIHJldmlldyBhbmQgbWV0YS1hbmFseXNpczwvdGl0
bGU+PHNlY29uZGFyeS10aXRsZT5OdXRyIFJldjwvc2Vjb25kYXJ5LXRpdGxlPjwvdGl0bGVzPjxw
ZXJpb2RpY2FsPjxmdWxsLXRpdGxlPk51dHIgUmV2PC9mdWxsLXRpdGxlPjwvcGVyaW9kaWNhbD48
cGFnZXM+NDkwLTUxNjwvcGFnZXM+PHZvbHVtZT43NDwvdm9sdW1lPjxudW1iZXI+ODwvbnVtYmVy
PjxlZGl0aW9uPjIwMTYvMDYvMjM8L2VkaXRpb24+PGtleXdvcmRzPjxrZXl3b3JkPkJvZHkgTWFz
cyBJbmRleDwva2V5d29yZD48a2V5d29yZD4qQm9keSBXZWlnaHQ8L2tleXdvcmQ+PGtleXdvcmQ+
QnJlYXN0IEZlZWRpbmcvKnN0YXRpc3RpY3MgJmFtcDsgbnVtZXJpY2FsIGRhdGE8L2tleXdvcmQ+
PGtleXdvcmQ+Q29ob3J0IFN0dWRpZXM8L2tleXdvcmQ+PGtleXdvcmQ+KkRpZXQ8L2tleXdvcmQ+
PGtleXdvcmQ+KkRpZXRhcnkgU3VwcGxlbWVudHM8L2tleXdvcmQ+PGtleXdvcmQ+RmVtYWxlPC9r
ZXl3b3JkPjxrZXl3b3JkPkh1bWFuczwva2V5d29yZD48a2V5d29yZD5JbmZhbnQ8L2tleXdvcmQ+
PGtleXdvcmQ+KkluZmFudCBOdXRyaXRpb25hbCBQaHlzaW9sb2dpY2FsIFBoZW5vbWVuYTwva2V5
d29yZD48a2V5d29yZD5MYWN0YXRpb248L2tleXdvcmQ+PGtleXdvcmQ+TWVkbGluZTwva2V5d29y
ZD48a2V5d29yZD5PYmVzaXR5L2NvbXBsaWNhdGlvbnM8L2tleXdvcmQ+PGtleXdvcmQ+T2RkcyBS
YXRpbzwva2V5d29yZD48a2V5d29yZD5QcmVnbmFuY3k8L2tleXdvcmQ+PGtleXdvcmQ+KmJyZWFz
dGZlZWRpbmc8L2tleXdvcmQ+PGtleXdvcmQ+KmNvbXBsZW1lbnRhcnkgZmVlZGluZzwva2V5d29y
ZD48a2V5d29yZD4qbWV0YS1hbmFseXNpczwva2V5d29yZD48a2V5d29yZD4qc3lzdGVtYXRpYyBy
ZXZpZXc8L2tleXdvcmQ+PGtleXdvcmQ+KndlaWdodCBzdGF0dXMuPC9rZXl3b3JkPjwva2V5d29y
ZHM+PGRhdGVzPjx5ZWFyPjIwMTY8L3llYXI+PHB1Yi1kYXRlcz48ZGF0ZT5BdWc8L2RhdGU+PC9w
dWItZGF0ZXM+PC9kYXRlcz48aXNibj4xNzUzLTQ4ODcgKEVsZWN0cm9uaWMpJiN4RDswMDI5LTY2
NDMgKExpbmtpbmcpPC9pc2JuPjxhY2Nlc3Npb24tbnVtPjI3MzMwMTQzPC9hY2Nlc3Npb24tbnVt
Pjx1cmxzPjxyZWxhdGVkLXVybHM+PHVybD5odHRwczovL3d3dy5uY2JpLm5sbS5uaWguZ292L3B1
Ym1lZC8yNzMzMDE0MzwvdXJsPjwvcmVsYXRlZC11cmxzPjwvdXJscz48ZWxlY3Ryb25pYy1yZXNv
dXJjZS1udW0+MTAuMTA5My9udXRyaXQvbnV3MDE2PC9lbGVjdHJvbmljLXJlc291cmNlLW51bT48
L3JlY29yZD48L0NpdGU+PC9FbmROb3RlPn==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398,399</w:t>
      </w:r>
      <w:r w:rsidR="00D07346">
        <w:fldChar w:fldCharType="end"/>
      </w:r>
    </w:p>
    <w:p w14:paraId="18EA275A" w14:textId="77777777" w:rsidR="00DE138C" w:rsidRPr="00EF6186" w:rsidRDefault="00DE138C" w:rsidP="00EF6186"/>
    <w:p w14:paraId="6A9C9649" w14:textId="77777777" w:rsidR="00EF6186" w:rsidRPr="00EF6186" w:rsidRDefault="00EF6186" w:rsidP="00EF6186">
      <w:pPr>
        <w:sectPr w:rsidR="00EF6186" w:rsidRPr="00EF6186" w:rsidSect="008A6B17">
          <w:pgSz w:w="11901" w:h="16817"/>
          <w:pgMar w:top="1134" w:right="1418" w:bottom="1134" w:left="1418" w:header="709" w:footer="709" w:gutter="0"/>
          <w:cols w:space="708"/>
          <w:docGrid w:linePitch="360"/>
        </w:sectPr>
      </w:pPr>
    </w:p>
    <w:p w14:paraId="3821FCE0" w14:textId="7BA2F135" w:rsidR="00DD788F" w:rsidRDefault="009C163D" w:rsidP="00932C6D">
      <w:pPr>
        <w:pStyle w:val="TableName"/>
      </w:pPr>
      <w:bookmarkStart w:id="199" w:name="_Toc40956677"/>
      <w:r>
        <w:t xml:space="preserve">Q8 </w:t>
      </w:r>
      <w:r w:rsidR="00DD788F">
        <w:t>Risks associated with low pre-pregnancy BMI — SLRs</w:t>
      </w:r>
      <w:bookmarkEnd w:id="199"/>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99: Q8 Risks associated with low pre-pregnancy BMI — SLRs"/>
      </w:tblPr>
      <w:tblGrid>
        <w:gridCol w:w="1418"/>
        <w:gridCol w:w="1701"/>
        <w:gridCol w:w="4252"/>
        <w:gridCol w:w="4394"/>
        <w:gridCol w:w="2411"/>
      </w:tblGrid>
      <w:tr w:rsidR="00DD788F" w:rsidRPr="00F350A6" w14:paraId="1ADA2523" w14:textId="77777777" w:rsidTr="00150085">
        <w:trPr>
          <w:cantSplit/>
          <w:tblHeader/>
        </w:trPr>
        <w:tc>
          <w:tcPr>
            <w:tcW w:w="1418" w:type="dxa"/>
          </w:tcPr>
          <w:p w14:paraId="0AEF00A9" w14:textId="77777777" w:rsidR="00DD788F" w:rsidRPr="00F350A6" w:rsidRDefault="00DD788F" w:rsidP="00150085">
            <w:pPr>
              <w:keepNext/>
              <w:rPr>
                <w:b/>
              </w:rPr>
            </w:pPr>
            <w:r>
              <w:rPr>
                <w:b/>
              </w:rPr>
              <w:t>Study ref</w:t>
            </w:r>
          </w:p>
        </w:tc>
        <w:tc>
          <w:tcPr>
            <w:tcW w:w="1701" w:type="dxa"/>
          </w:tcPr>
          <w:p w14:paraId="0DF8FA5C" w14:textId="77777777" w:rsidR="00DD788F" w:rsidRPr="00F350A6" w:rsidRDefault="00DD788F" w:rsidP="00150085">
            <w:pPr>
              <w:keepNext/>
              <w:rPr>
                <w:b/>
              </w:rPr>
            </w:pPr>
            <w:r>
              <w:rPr>
                <w:b/>
              </w:rPr>
              <w:t>N</w:t>
            </w:r>
          </w:p>
        </w:tc>
        <w:tc>
          <w:tcPr>
            <w:tcW w:w="4252" w:type="dxa"/>
          </w:tcPr>
          <w:p w14:paraId="23A96048" w14:textId="77777777" w:rsidR="00DD788F" w:rsidRPr="00F350A6" w:rsidRDefault="00DD788F" w:rsidP="00150085">
            <w:pPr>
              <w:keepNext/>
              <w:rPr>
                <w:b/>
              </w:rPr>
            </w:pPr>
            <w:r>
              <w:rPr>
                <w:b/>
              </w:rPr>
              <w:t>Aim/methods</w:t>
            </w:r>
          </w:p>
        </w:tc>
        <w:tc>
          <w:tcPr>
            <w:tcW w:w="4394" w:type="dxa"/>
          </w:tcPr>
          <w:p w14:paraId="33DF8139" w14:textId="77777777" w:rsidR="00DD788F" w:rsidRPr="00F350A6" w:rsidRDefault="00DD788F" w:rsidP="00150085">
            <w:pPr>
              <w:keepNext/>
              <w:rPr>
                <w:b/>
              </w:rPr>
            </w:pPr>
            <w:r>
              <w:rPr>
                <w:b/>
              </w:rPr>
              <w:t>Outcomes</w:t>
            </w:r>
          </w:p>
        </w:tc>
        <w:tc>
          <w:tcPr>
            <w:tcW w:w="2411" w:type="dxa"/>
          </w:tcPr>
          <w:p w14:paraId="206D4419" w14:textId="77777777" w:rsidR="00DD788F" w:rsidRDefault="00DD788F" w:rsidP="00150085">
            <w:pPr>
              <w:keepNext/>
              <w:rPr>
                <w:b/>
              </w:rPr>
            </w:pPr>
            <w:r>
              <w:rPr>
                <w:b/>
              </w:rPr>
              <w:t>Comments</w:t>
            </w:r>
          </w:p>
        </w:tc>
      </w:tr>
      <w:tr w:rsidR="001C6BA4" w:rsidRPr="00B60FFF" w14:paraId="7F1D72DB" w14:textId="77777777" w:rsidTr="00EA0BF0">
        <w:trPr>
          <w:cantSplit/>
        </w:trPr>
        <w:tc>
          <w:tcPr>
            <w:tcW w:w="1418" w:type="dxa"/>
            <w:tcBorders>
              <w:top w:val="single" w:sz="4" w:space="0" w:color="auto"/>
              <w:left w:val="single" w:sz="4" w:space="0" w:color="auto"/>
              <w:bottom w:val="single" w:sz="4" w:space="0" w:color="auto"/>
              <w:right w:val="single" w:sz="4" w:space="0" w:color="auto"/>
            </w:tcBorders>
          </w:tcPr>
          <w:p w14:paraId="5A44169F" w14:textId="20D4FC1E" w:rsidR="001C6BA4" w:rsidRDefault="001C6BA4" w:rsidP="002747EA">
            <w:r>
              <w:t>Zhu et al 2018</w:t>
            </w:r>
            <w:r w:rsidR="00D07346">
              <w:fldChar w:fldCharType="begin"/>
            </w:r>
            <w:r w:rsidR="002747EA">
              <w:instrText xml:space="preserve"> ADDIN EN.CITE &lt;EndNote&gt;&lt;Cite&gt;&lt;Author&gt;Zhu&lt;/Author&gt;&lt;Year&gt;2018&lt;/Year&gt;&lt;RecNum&gt;1908&lt;/RecNum&gt;&lt;DisplayText&gt;&lt;style face="superscript" font="Trebuchet MS" size="9"&gt;396&lt;/style&gt;&lt;/DisplayText&gt;&lt;record&gt;&lt;rec-number&gt;1908&lt;/rec-number&gt;&lt;foreign-keys&gt;&lt;key app="EN" db-id="exvasrfx2dtraoesasxp2szsxa2df502592x" timestamp="1588208212"&gt;1908&lt;/key&gt;&lt;key app="ENWeb" db-id=""&gt;0&lt;/key&gt;&lt;/foreign-keys&gt;&lt;ref-type name="Journal Article"&gt;17&lt;/ref-type&gt;&lt;contributors&gt;&lt;authors&gt;&lt;author&gt;Zhu, Y.&lt;/author&gt;&lt;author&gt;Chen, Y.&lt;/author&gt;&lt;author&gt;Feng, Y.&lt;/author&gt;&lt;author&gt;Yu, D.&lt;/author&gt;&lt;author&gt;Mo, X.&lt;/author&gt;&lt;/authors&gt;&lt;/contributors&gt;&lt;auth-address&gt;Department of Cardiothoracic Surgery, Children&amp;apos;s Hospital of Nanjing Medical University, Nanjing, China.&amp;#xD;Department of Thoracic Surgery, The First Affiliated Hospital of Soochow University, Soochow, China.&lt;/auth-address&gt;&lt;titles&gt;&lt;title&gt;Association between maternal body mass index and congenital heart defects in infants: A meta-analysis&lt;/title&gt;&lt;secondary-title&gt;Congenit Heart Dis&lt;/secondary-title&gt;&lt;/titles&gt;&lt;periodical&gt;&lt;full-title&gt;Congenit Heart Dis&lt;/full-title&gt;&lt;/periodical&gt;&lt;pages&gt;271-281&lt;/pages&gt;&lt;volume&gt;13&lt;/volume&gt;&lt;number&gt;2&lt;/number&gt;&lt;edition&gt;2018/01/25&lt;/edition&gt;&lt;keywords&gt;&lt;keyword&gt;*Body Mass Index&lt;/keyword&gt;&lt;keyword&gt;Female&lt;/keyword&gt;&lt;keyword&gt;Global Health&lt;/keyword&gt;&lt;keyword&gt;Heart Defects, Congenital/epidemiology/*etiology&lt;/keyword&gt;&lt;keyword&gt;Humans&lt;/keyword&gt;&lt;keyword&gt;Infant&lt;/keyword&gt;&lt;keyword&gt;Maternal Exposure/*adverse effects&lt;/keyword&gt;&lt;keyword&gt;Obesity/*complications&lt;/keyword&gt;&lt;keyword&gt;Odds Ratio&lt;/keyword&gt;&lt;keyword&gt;Pregnancy&lt;/keyword&gt;&lt;keyword&gt;Risk Factors&lt;/keyword&gt;&lt;keyword&gt;congenital heart defects&lt;/keyword&gt;&lt;keyword&gt;maternal body mass index&lt;/keyword&gt;&lt;keyword&gt;meta-analysis&lt;/keyword&gt;&lt;/keywords&gt;&lt;dates&gt;&lt;year&gt;2018&lt;/year&gt;&lt;pub-dates&gt;&lt;date&gt;Mar&lt;/date&gt;&lt;/pub-dates&gt;&lt;/dates&gt;&lt;isbn&gt;1747-0803 (Electronic)&amp;#xD;1747-079X (Linking)&lt;/isbn&gt;&lt;accession-num&gt;29363266&lt;/accession-num&gt;&lt;urls&gt;&lt;related-urls&gt;&lt;url&gt;https://www.ncbi.nlm.nih.gov/pubmed/29363266&lt;/url&gt;&lt;/related-urls&gt;&lt;/urls&gt;&lt;electronic-resource-num&gt;10.1111/chd.12567&lt;/electronic-resource-num&gt;&lt;/record&gt;&lt;/Cite&gt;&lt;/EndNote&gt;</w:instrText>
            </w:r>
            <w:r w:rsidR="00D07346">
              <w:fldChar w:fldCharType="separate"/>
            </w:r>
            <w:r w:rsidR="002747EA" w:rsidRPr="002747EA">
              <w:rPr>
                <w:noProof/>
                <w:vertAlign w:val="superscript"/>
              </w:rPr>
              <w:t>396</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0124A9CE" w14:textId="77777777" w:rsidR="001C6BA4" w:rsidRDefault="001C6BA4" w:rsidP="00EA0BF0">
            <w:r>
              <w:t>13 case-control studies</w:t>
            </w:r>
          </w:p>
          <w:p w14:paraId="769307B8" w14:textId="77777777" w:rsidR="001C6BA4" w:rsidRPr="004C79B9" w:rsidRDefault="001C6BA4" w:rsidP="00EA0BF0">
            <w:r>
              <w:t>4 cohort studies</w:t>
            </w:r>
          </w:p>
        </w:tc>
        <w:tc>
          <w:tcPr>
            <w:tcW w:w="4252" w:type="dxa"/>
            <w:tcBorders>
              <w:top w:val="single" w:sz="4" w:space="0" w:color="auto"/>
              <w:left w:val="single" w:sz="4" w:space="0" w:color="auto"/>
              <w:bottom w:val="single" w:sz="4" w:space="0" w:color="auto"/>
              <w:right w:val="single" w:sz="4" w:space="0" w:color="auto"/>
            </w:tcBorders>
          </w:tcPr>
          <w:p w14:paraId="019C0D6B" w14:textId="77777777" w:rsidR="001C6BA4" w:rsidRDefault="001C6BA4" w:rsidP="00EA0BF0">
            <w:r w:rsidRPr="00785971">
              <w:rPr>
                <w:b/>
              </w:rPr>
              <w:t>Aim</w:t>
            </w:r>
            <w:r>
              <w:t>: T</w:t>
            </w:r>
            <w:r w:rsidRPr="00C2339B">
              <w:t xml:space="preserve">o address the open question of a possible association between maternal body mass index (BMI) and congenital heart defects (CHDs) in infants. </w:t>
            </w:r>
          </w:p>
          <w:p w14:paraId="5ABB6C5B" w14:textId="77777777" w:rsidR="001C6BA4" w:rsidRPr="004C79B9" w:rsidRDefault="001C6BA4" w:rsidP="00EA0BF0">
            <w:pPr>
              <w:rPr>
                <w:b/>
              </w:rPr>
            </w:pPr>
            <w:r w:rsidRPr="00785971">
              <w:rPr>
                <w:b/>
              </w:rPr>
              <w:t>Methods</w:t>
            </w:r>
            <w:r>
              <w:t xml:space="preserve">: </w:t>
            </w:r>
            <w:r w:rsidRPr="00C2339B">
              <w:t>We cond</w:t>
            </w:r>
            <w:r>
              <w:t>ucted a comprehensive computeris</w:t>
            </w:r>
            <w:r w:rsidRPr="00C2339B">
              <w:t>ed search of PubMed, Web of Science, Medline, and Embase databased (January 1980 through August 2017). We assessed the association between maternal BMI and the risk for congenital heart defects in their offspring. Study-specific relative risk estimates were polled according to random-effect or fixed-effect models.</w:t>
            </w:r>
          </w:p>
        </w:tc>
        <w:tc>
          <w:tcPr>
            <w:tcW w:w="4394" w:type="dxa"/>
            <w:tcBorders>
              <w:top w:val="single" w:sz="4" w:space="0" w:color="auto"/>
              <w:left w:val="single" w:sz="4" w:space="0" w:color="auto"/>
              <w:bottom w:val="single" w:sz="4" w:space="0" w:color="auto"/>
              <w:right w:val="single" w:sz="4" w:space="0" w:color="auto"/>
            </w:tcBorders>
          </w:tcPr>
          <w:p w14:paraId="6338B886" w14:textId="77777777" w:rsidR="001C6BA4" w:rsidRDefault="001C6BA4" w:rsidP="00EA0BF0">
            <w:r>
              <w:t>Risk of congenital heart defects relative to healthy weight:</w:t>
            </w:r>
          </w:p>
          <w:p w14:paraId="1BE6405A" w14:textId="3CAF2A67" w:rsidR="001C6BA4" w:rsidRPr="00C2339B" w:rsidRDefault="001C6BA4" w:rsidP="001C6BA4">
            <w:pPr>
              <w:pStyle w:val="bullet"/>
            </w:pPr>
            <w:r>
              <w:t>U</w:t>
            </w:r>
            <w:r w:rsidRPr="00C2339B">
              <w:t>nderweight</w:t>
            </w:r>
            <w:r w:rsidR="00642F88">
              <w:t xml:space="preserve"> OR 1.0 (95%CI 0.98 to 1.05</w:t>
            </w:r>
            <w:r>
              <w:t>; P=</w:t>
            </w:r>
            <w:r w:rsidRPr="00C2339B">
              <w:t>0.085</w:t>
            </w:r>
          </w:p>
        </w:tc>
        <w:tc>
          <w:tcPr>
            <w:tcW w:w="2411" w:type="dxa"/>
            <w:tcBorders>
              <w:top w:val="single" w:sz="4" w:space="0" w:color="auto"/>
              <w:left w:val="single" w:sz="4" w:space="0" w:color="auto"/>
              <w:bottom w:val="single" w:sz="4" w:space="0" w:color="auto"/>
              <w:right w:val="single" w:sz="4" w:space="0" w:color="auto"/>
            </w:tcBorders>
          </w:tcPr>
          <w:p w14:paraId="6B3F86A6" w14:textId="77777777" w:rsidR="001C6BA4" w:rsidRDefault="001C6BA4" w:rsidP="00EA0BF0"/>
        </w:tc>
      </w:tr>
      <w:tr w:rsidR="00721AAD" w:rsidRPr="00B60FFF" w14:paraId="0184C29D" w14:textId="77777777" w:rsidTr="00150085">
        <w:trPr>
          <w:cantSplit/>
        </w:trPr>
        <w:tc>
          <w:tcPr>
            <w:tcW w:w="1418" w:type="dxa"/>
          </w:tcPr>
          <w:p w14:paraId="039BD6B4" w14:textId="5BA599EB" w:rsidR="00721AAD" w:rsidRDefault="00197191" w:rsidP="002747EA">
            <w:r>
              <w:t>Han et al 2011</w:t>
            </w:r>
            <w:r w:rsidR="00D07346">
              <w:fldChar w:fldCharType="begin"/>
            </w:r>
            <w:r w:rsidR="002747EA">
              <w:instrText xml:space="preserve"> ADDIN EN.CITE &lt;EndNote&gt;&lt;Cite&gt;&lt;Author&gt;Han&lt;/Author&gt;&lt;Year&gt;2011&lt;/Year&gt;&lt;RecNum&gt;1875&lt;/RecNum&gt;&lt;DisplayText&gt;&lt;style face="superscript" font="Trebuchet MS" size="9"&gt;388&lt;/style&gt;&lt;/DisplayText&gt;&lt;record&gt;&lt;rec-number&gt;1875&lt;/rec-number&gt;&lt;foreign-keys&gt;&lt;key app="EN" db-id="exvasrfx2dtraoesasxp2szsxa2df502592x" timestamp="1588202985"&gt;1875&lt;/key&gt;&lt;key app="ENWeb" db-id=""&gt;0&lt;/key&gt;&lt;/foreign-keys&gt;&lt;ref-type name="Journal Article"&gt;17&lt;/ref-type&gt;&lt;contributors&gt;&lt;authors&gt;&lt;author&gt;Han, Z.&lt;/author&gt;&lt;author&gt;Mulla, S.&lt;/author&gt;&lt;author&gt;Beyene, J.&lt;/author&gt;&lt;author&gt;Liao, G.&lt;/author&gt;&lt;author&gt;McDonald, S. D.&lt;/author&gt;&lt;author&gt;Knowledge Synthesis, Group&lt;/author&gt;&lt;/authors&gt;&lt;/contributors&gt;&lt;auth-address&gt;Department of Obstetrics and Gynecology, First Affiliated Hospital of Xi&amp;apos;an Jiao Tong University, Shaanxi Province, PR China.&lt;/auth-address&gt;&lt;titles&gt;&lt;title&gt;Maternal underweight and the risk of preterm birth and low birth weight: a systematic review and meta-analyses&lt;/title&gt;&lt;secondary-title&gt;Int J Epidemiol&lt;/secondary-title&gt;&lt;/titles&gt;&lt;periodical&gt;&lt;full-title&gt;Int J Epidemiol&lt;/full-title&gt;&lt;/periodical&gt;&lt;pages&gt;65-101&lt;/pages&gt;&lt;volume&gt;40&lt;/volume&gt;&lt;number&gt;1&lt;/number&gt;&lt;edition&gt;2010/11/26&lt;/edition&gt;&lt;keywords&gt;&lt;keyword&gt;Body Mass Index&lt;/keyword&gt;&lt;keyword&gt;Female&lt;/keyword&gt;&lt;keyword&gt;Humans&lt;/keyword&gt;&lt;keyword&gt;*Infant, Low Birth Weight&lt;/keyword&gt;&lt;keyword&gt;Infant, Newborn&lt;/keyword&gt;&lt;keyword&gt;*Mothers&lt;/keyword&gt;&lt;keyword&gt;Pregnancy&lt;/keyword&gt;&lt;keyword&gt;Pregnancy Outcome&lt;/keyword&gt;&lt;keyword&gt;Premature Birth/*epidemiology&lt;/keyword&gt;&lt;keyword&gt;Risk Factors&lt;/keyword&gt;&lt;keyword&gt;*Thinness&lt;/keyword&gt;&lt;/keywords&gt;&lt;dates&gt;&lt;year&gt;2011&lt;/year&gt;&lt;pub-dates&gt;&lt;date&gt;Feb&lt;/date&gt;&lt;/pub-dates&gt;&lt;/dates&gt;&lt;isbn&gt;1464-3685 (Electronic)&amp;#xD;0300-5771 (Linking)&lt;/isbn&gt;&lt;accession-num&gt;21097954&lt;/accession-num&gt;&lt;urls&gt;&lt;related-urls&gt;&lt;url&gt;https://www.ncbi.nlm.nih.gov/pubmed/21097954&lt;/url&gt;&lt;/related-urls&gt;&lt;/urls&gt;&lt;electronic-resource-num&gt;10.1093/ije/dyq195&lt;/electronic-resource-num&gt;&lt;/record&gt;&lt;/Cite&gt;&lt;/EndNote&gt;</w:instrText>
            </w:r>
            <w:r w:rsidR="00D07346">
              <w:fldChar w:fldCharType="separate"/>
            </w:r>
            <w:r w:rsidR="002747EA" w:rsidRPr="002747EA">
              <w:rPr>
                <w:noProof/>
                <w:vertAlign w:val="superscript"/>
              </w:rPr>
              <w:t>388</w:t>
            </w:r>
            <w:r w:rsidR="00D07346">
              <w:fldChar w:fldCharType="end"/>
            </w:r>
          </w:p>
        </w:tc>
        <w:tc>
          <w:tcPr>
            <w:tcW w:w="1701" w:type="dxa"/>
          </w:tcPr>
          <w:p w14:paraId="6A95ECB7" w14:textId="47FF250D" w:rsidR="00721AAD" w:rsidRDefault="00197191" w:rsidP="00150085">
            <w:r>
              <w:t>78 cohort studies</w:t>
            </w:r>
          </w:p>
          <w:p w14:paraId="0C885883" w14:textId="68443C1C" w:rsidR="00197191" w:rsidRDefault="00197191" w:rsidP="00150085">
            <w:r>
              <w:t>1,025,794 women</w:t>
            </w:r>
          </w:p>
        </w:tc>
        <w:tc>
          <w:tcPr>
            <w:tcW w:w="4252" w:type="dxa"/>
          </w:tcPr>
          <w:p w14:paraId="1B6A51A3" w14:textId="77777777" w:rsidR="00197191" w:rsidRDefault="00197191" w:rsidP="00197191">
            <w:r w:rsidRPr="008E1F6E">
              <w:rPr>
                <w:b/>
              </w:rPr>
              <w:t>Aim</w:t>
            </w:r>
            <w:r>
              <w:t>: T</w:t>
            </w:r>
            <w:r w:rsidRPr="00721AAD">
              <w:t xml:space="preserve">o determine the relationship between maternal underweight and preterm birth (PTB) and low birth weight (LBW) in singleton pregnancies in developing and developed countries. </w:t>
            </w:r>
          </w:p>
          <w:p w14:paraId="65B85801" w14:textId="76EEF377" w:rsidR="00721AAD" w:rsidRPr="00721AAD" w:rsidRDefault="00197191" w:rsidP="00197191">
            <w:pPr>
              <w:rPr>
                <w:b/>
              </w:rPr>
            </w:pPr>
            <w:r w:rsidRPr="008E1F6E">
              <w:rPr>
                <w:b/>
              </w:rPr>
              <w:t>Methods</w:t>
            </w:r>
            <w:r w:rsidRPr="00721AAD">
              <w:t>: We searched MEDLINE and EMBASE from their inceptions. We included studies that assessed the effect of maternal underweight compared with normal weight according to body mass index in singleton gestations on our two primary outcomes: PTB (&lt;37 weeks) and LBW (&lt;2500 g). Two assessors independently reviewed citations, extracted data and assessed quality</w:t>
            </w:r>
            <w:r>
              <w:t xml:space="preserve">. </w:t>
            </w:r>
          </w:p>
        </w:tc>
        <w:tc>
          <w:tcPr>
            <w:tcW w:w="4394" w:type="dxa"/>
          </w:tcPr>
          <w:p w14:paraId="24106ABE" w14:textId="2FC947FE" w:rsidR="009E5127" w:rsidRDefault="009E5127" w:rsidP="00197191">
            <w:r>
              <w:t>U</w:t>
            </w:r>
            <w:r w:rsidR="00721AAD" w:rsidRPr="00721AAD">
              <w:t>nderweight women</w:t>
            </w:r>
            <w:r>
              <w:t xml:space="preserve"> had a higher risk of:</w:t>
            </w:r>
          </w:p>
          <w:p w14:paraId="4ED4ED51" w14:textId="214FFBC3" w:rsidR="009E5127" w:rsidRDefault="009E5127" w:rsidP="008E1F6E">
            <w:pPr>
              <w:pStyle w:val="bullet"/>
            </w:pPr>
            <w:r>
              <w:t xml:space="preserve">preterm birth: RR </w:t>
            </w:r>
            <w:r w:rsidR="00721AAD" w:rsidRPr="00721AAD">
              <w:t>1.29, 95%</w:t>
            </w:r>
            <w:r>
              <w:t xml:space="preserve">CI 1.15 to </w:t>
            </w:r>
            <w:r w:rsidR="00721AAD" w:rsidRPr="00721AAD">
              <w:t>1.46</w:t>
            </w:r>
          </w:p>
          <w:p w14:paraId="09274170" w14:textId="73B9AEF3" w:rsidR="009E5127" w:rsidRDefault="009E5127" w:rsidP="008E1F6E">
            <w:pPr>
              <w:pStyle w:val="bullet"/>
            </w:pPr>
            <w:r>
              <w:t>s</w:t>
            </w:r>
            <w:r w:rsidR="00721AAD" w:rsidRPr="00721AAD">
              <w:t xml:space="preserve">pontaneous </w:t>
            </w:r>
            <w:r>
              <w:t>preterm birth:</w:t>
            </w:r>
            <w:r w:rsidR="00E669EC">
              <w:t xml:space="preserve"> RR 1.32, 95%</w:t>
            </w:r>
            <w:r w:rsidR="00721AAD" w:rsidRPr="00721AAD">
              <w:t>CI 1.10</w:t>
            </w:r>
            <w:r>
              <w:t xml:space="preserve"> to </w:t>
            </w:r>
            <w:r w:rsidR="00721AAD" w:rsidRPr="00721AAD">
              <w:t>1.57</w:t>
            </w:r>
          </w:p>
          <w:p w14:paraId="2DF1AFD1" w14:textId="44DC8DB3" w:rsidR="009E5127" w:rsidRDefault="009E5127" w:rsidP="008E1F6E">
            <w:pPr>
              <w:pStyle w:val="bullet"/>
            </w:pPr>
            <w:r>
              <w:t>i</w:t>
            </w:r>
            <w:r w:rsidR="00721AAD" w:rsidRPr="00721AAD">
              <w:t xml:space="preserve">nduced </w:t>
            </w:r>
            <w:r>
              <w:t>preterm birth:</w:t>
            </w:r>
            <w:r w:rsidR="00E669EC">
              <w:t xml:space="preserve"> RR 1.21, 95%</w:t>
            </w:r>
            <w:r>
              <w:t>CI 1.07 to 1.36</w:t>
            </w:r>
          </w:p>
          <w:p w14:paraId="7F43BEF1" w14:textId="078385A2" w:rsidR="00197191" w:rsidRDefault="009E5127" w:rsidP="008E1F6E">
            <w:pPr>
              <w:pStyle w:val="bullet"/>
            </w:pPr>
            <w:r>
              <w:t>low birthweight: RR 1.64, 95%CI 1.38 to 1.94</w:t>
            </w:r>
            <w:r w:rsidR="00721AAD" w:rsidRPr="00721AAD">
              <w:t xml:space="preserve">. </w:t>
            </w:r>
          </w:p>
          <w:p w14:paraId="6231FA11" w14:textId="77777777" w:rsidR="00E669EC" w:rsidRDefault="00E669EC" w:rsidP="00197191">
            <w:r>
              <w:t>Risk of preterm birth among underweight women:</w:t>
            </w:r>
          </w:p>
          <w:p w14:paraId="18693C13" w14:textId="78240322" w:rsidR="00E669EC" w:rsidRDefault="00721AAD" w:rsidP="008E1F6E">
            <w:pPr>
              <w:pStyle w:val="bullet"/>
            </w:pPr>
            <w:r w:rsidRPr="00721AAD">
              <w:t>developed countries</w:t>
            </w:r>
            <w:r w:rsidR="00E669EC">
              <w:t>: RR 1.22, 95%CI 1.15 to 1.30</w:t>
            </w:r>
          </w:p>
          <w:p w14:paraId="62B9A1C4" w14:textId="4054BF19" w:rsidR="00E669EC" w:rsidRDefault="00721AAD" w:rsidP="008E1F6E">
            <w:pPr>
              <w:pStyle w:val="bullet"/>
            </w:pPr>
            <w:r w:rsidRPr="00721AAD">
              <w:t>dev</w:t>
            </w:r>
            <w:r w:rsidR="00E669EC">
              <w:t>eloping countries (RR 0.99, 95%</w:t>
            </w:r>
            <w:r w:rsidRPr="00721AAD">
              <w:t>CI 0.67</w:t>
            </w:r>
            <w:r w:rsidR="00E669EC">
              <w:t xml:space="preserve"> to </w:t>
            </w:r>
            <w:r w:rsidRPr="00721AAD">
              <w:t xml:space="preserve">1.45). </w:t>
            </w:r>
          </w:p>
          <w:p w14:paraId="6D6ECA8B" w14:textId="77777777" w:rsidR="00E669EC" w:rsidRDefault="00E669EC" w:rsidP="00E669EC">
            <w:r>
              <w:t>Risk of low birthweight:</w:t>
            </w:r>
          </w:p>
          <w:p w14:paraId="2AA8F9CD" w14:textId="2384005D" w:rsidR="00E669EC" w:rsidRDefault="00E669EC" w:rsidP="008E1F6E">
            <w:pPr>
              <w:pStyle w:val="bullet"/>
            </w:pPr>
            <w:r>
              <w:t>Developed countries: RR 1.48, 95%</w:t>
            </w:r>
            <w:r w:rsidR="00721AAD" w:rsidRPr="00721AAD">
              <w:t>CI 1.29</w:t>
            </w:r>
            <w:r>
              <w:t xml:space="preserve"> to </w:t>
            </w:r>
            <w:r w:rsidR="00721AAD" w:rsidRPr="00721AAD">
              <w:t xml:space="preserve">1.68, </w:t>
            </w:r>
          </w:p>
          <w:p w14:paraId="6C1503F7" w14:textId="0525A554" w:rsidR="00721AAD" w:rsidRPr="00197191" w:rsidRDefault="00E669EC" w:rsidP="008E1F6E">
            <w:pPr>
              <w:pStyle w:val="bullet"/>
            </w:pPr>
            <w:r>
              <w:t>Developing countries: RR 1.52, 95%CI 1.25 to 1.85.</w:t>
            </w:r>
            <w:r w:rsidR="00721AAD" w:rsidRPr="00721AAD">
              <w:t xml:space="preserve"> </w:t>
            </w:r>
          </w:p>
        </w:tc>
        <w:tc>
          <w:tcPr>
            <w:tcW w:w="2411" w:type="dxa"/>
          </w:tcPr>
          <w:p w14:paraId="7D460041" w14:textId="77777777" w:rsidR="00721AAD" w:rsidRDefault="00721AAD" w:rsidP="00150085"/>
        </w:tc>
      </w:tr>
      <w:tr w:rsidR="00106C4B" w:rsidRPr="00B60FFF" w14:paraId="45310AD0" w14:textId="77777777" w:rsidTr="00150085">
        <w:trPr>
          <w:cantSplit/>
        </w:trPr>
        <w:tc>
          <w:tcPr>
            <w:tcW w:w="1418" w:type="dxa"/>
          </w:tcPr>
          <w:p w14:paraId="18721B40" w14:textId="10A3B2C1" w:rsidR="00106C4B" w:rsidRDefault="00106C4B" w:rsidP="002747EA">
            <w:r>
              <w:t>Liu et al 2016</w:t>
            </w:r>
            <w:r w:rsidR="00D07346">
              <w:fldChar w:fldCharType="begin">
                <w:fldData xml:space="preserve">PEVuZE5vdGU+PENpdGU+PEF1dGhvcj5MaXU8L0F1dGhvcj48WWVhcj4yMDE2PC9ZZWFyPjxSZWNO
dW0+MTg2MzwvUmVjTnVtPjxEaXNwbGF5VGV4dD48c3R5bGUgZmFjZT0ic3VwZXJzY3JpcHQiIGZv
bnQ9IlRyZWJ1Y2hldCBNUyIgc2l6ZT0iOSI+Mzg5PC9zdHlsZT48L0Rpc3BsYXlUZXh0PjxyZWNv
cmQ+PHJlYy1udW1iZXI+MTg2MzwvcmVjLW51bWJlcj48Zm9yZWlnbi1rZXlzPjxrZXkgYXBwPSJF
TiIgZGItaWQ9ImV4dmFzcmZ4MmR0cmFvZXNhc3hwMnN6c3hhMmRmNTAyNTkyeCIgdGltZXN0YW1w
PSIxNTg3Nzk0MTU4Ij4xODYzPC9rZXk+PGtleSBhcHA9IkVOV2ViIiBkYi1pZD0iIj4wPC9rZXk+
PC9mb3JlaWduLWtleXM+PHJlZi10eXBlIG5hbWU9IkpvdXJuYWwgQXJ0aWNsZSI+MTc8L3JlZi10
eXBlPjxjb250cmlidXRvcnM+PGF1dGhvcnM+PGF1dGhvcj5MaXUsIFAuPC9hdXRob3I+PGF1dGhv
cj5YdSwgTC48L2F1dGhvcj48YXV0aG9yPldhbmcsIFkuPC9hdXRob3I+PGF1dGhvcj5aaGFuZywg
WS48L2F1dGhvcj48YXV0aG9yPkR1LCBZLjwvYXV0aG9yPjxhdXRob3I+U3VuLCBZLjwvYXV0aG9y
PjxhdXRob3I+V2FuZywgWi48L2F1dGhvcj48L2F1dGhvcnM+PC9jb250cmlidXRvcnM+PGF1dGgt
YWRkcmVzcz5EZXBhcnRtZW50IG9mIEVwaWRlbWlvbG9neSBhbmQgSGVhbHRoIFN0YXRpc3RpY3Ms
IFNjaG9vbCBvZiBQdWJsaWMgSGVhbHRoLCBTaGFuZG9uZyBVbml2ZXJzaXR5LCBTaGFuZG9uZywg
Q2hpbmEuJiN4RDtEaXZpc2lvbiBvZiBFcGlkZW1pb2xvZ3kgU3VydmV5LCBDaGluYSBBbmltYWwg
SGVhbHRoIGFuZCBFcGlkZW1pb2xvZ3kgQ2VudGVyLCBNaW5pc3RyeSBvZiBBZ3JpY3VsdHVyZSwg
QmVpamluZywgQ2hpbmEuJiN4RDtEZXBhcnRtZW50IG9mIEhlYWx0aCwgSmluYW4gTWF0ZXJuYWwg
YW5kIENoaWxkIENhcmUgU2VydmljZSBDZW50cmUsIFNoYW5kb25nLCBDaGluYS4mI3hEO0RlcGFy
dG1lbnQgb2YgRXBpZGVtaW9sb2d5IGFuZCBIZWFsdGggU3RhdGlzdGljcywgU2Nob29sIG9mIFB1
YmxpYyBIZWFsdGgsIFNoYW5kb25nIFVuaXZlcnNpdHksIFNoYW5kb25nLCBDaGluYS4gemhpcGlu
Z3dAc2R1LmVkdS5jbi48L2F1dGgtYWRkcmVzcz48dGl0bGVzPjx0aXRsZT5Bc3NvY2lhdGlvbiBi
ZXR3ZWVuIHBlcmluYXRhbCBvdXRjb21lcyBhbmQgbWF0ZXJuYWwgcHJlLXByZWduYW5jeSBib2R5
IG1hc3MgaW5kZXg8L3RpdGxlPjxzZWNvbmRhcnktdGl0bGU+T2JlcyBSZXY8L3NlY29uZGFyeS10
aXRsZT48L3RpdGxlcz48cGVyaW9kaWNhbD48ZnVsbC10aXRsZT5PYmVzIFJldjwvZnVsbC10aXRs
ZT48L3BlcmlvZGljYWw+PHBhZ2VzPjEwOTEtMTEwMjwvcGFnZXM+PHZvbHVtZT4xNzwvdm9sdW1l
PjxudW1iZXI+MTE8L251bWJlcj48ZWRpdGlvbj4yMDE2LzA4LzE5PC9lZGl0aW9uPjxrZXl3b3Jk
cz48a2V5d29yZD4qQm9keSBNYXNzIEluZGV4PC9rZXl3b3JkPjxrZXl3b3JkPkZlbWFsZTwva2V5
d29yZD48a2V5d29yZD5IdW1hbnM8L2tleXdvcmQ+PGtleXdvcmQ+Kk1vdGhlcnM8L2tleXdvcmQ+
PGtleXdvcmQ+T3ZlcndlaWdodC8qZXBpZGVtaW9sb2d5PC9rZXl3b3JkPjxrZXl3b3JkPlByZWdu
YW5jeTwva2V5d29yZD48a2V5d29yZD5QcmVnbmFuY3kgQ29tcGxpY2F0aW9ucy8qZXBpZGVtaW9s
b2d5PC9rZXl3b3JkPjxrZXl3b3JkPipQcmVnbmFuY3kgT3V0Y29tZTwva2V5d29yZD48a2V5d29y
ZD5SaXNrIEZhY3RvcnM8L2tleXdvcmQ+PGtleXdvcmQ+VGhpbm5lc3MvKmVwaWRlbWlvbG9neTwv
a2V5d29yZD48a2V5d29yZD5XZWlnaHQgR2Fpbjwva2V5d29yZD48a2V5d29yZD4qYm1pPC9rZXl3
b3JkPjxrZXl3b3JkPipvYmVzaXR5PC9rZXl3b3JkPjxrZXl3b3JkPipwZXJpbmF0YWwgb3V0Y29t
ZXM8L2tleXdvcmQ+PGtleXdvcmQ+KnByZWduYW5jeTwva2V5d29yZD48L2tleXdvcmRzPjxkYXRl
cz48eWVhcj4yMDE2PC95ZWFyPjxwdWItZGF0ZXM+PGRhdGU+Tm92PC9kYXRlPjwvcHViLWRhdGVz
PjwvZGF0ZXM+PGlzYm4+MTQ2Ny03ODlYIChFbGVjdHJvbmljKSYjeEQ7MTQ2Ny03ODgxIChMaW5r
aW5nKTwvaXNibj48YWNjZXNzaW9uLW51bT4yNzUzNjg3OTwvYWNjZXNzaW9uLW51bT48dXJscz48
cmVsYXRlZC11cmxzPjx1cmw+aHR0cHM6Ly93d3cubmNiaS5ubG0ubmloLmdvdi9wdWJtZWQvMjc1
MzY4Nzk8L3VybD48L3JlbGF0ZWQtdXJscz48L3VybHM+PGVsZWN0cm9uaWMtcmVzb3VyY2UtbnVt
PjEwLjExMTEvb2JyLjEyNDU1PC9lbGVjdHJvbmljLXJlc291cmNlLW51bT48L3JlY29yZD48L0Np
dGU+PC9FbmROb3RlPgB=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bnQ9IlRyZWJ1Y2hldCBNUyIgc2l6ZT0iOSI+Mzg5PC9zdHlsZT48L0Rpc3BsYXlUZXh0PjxyZWNv
cmQ+PHJlYy1udW1iZXI+MTg2MzwvcmVjLW51bWJlcj48Zm9yZWlnbi1rZXlzPjxrZXkgYXBwPSJF
TiIgZGItaWQ9ImV4dmFzcmZ4MmR0cmFvZXNhc3hwMnN6c3hhMmRmNTAyNTkyeCIgdGltZXN0YW1w
PSIxNTg3Nzk0MTU4Ij4xODYzPC9rZXk+PGtleSBhcHA9IkVOV2ViIiBkYi1pZD0iIj4wPC9rZXk+
PC9mb3JlaWduLWtleXM+PHJlZi10eXBlIG5hbWU9IkpvdXJuYWwgQXJ0aWNsZSI+MTc8L3JlZi10
eXBlPjxjb250cmlidXRvcnM+PGF1dGhvcnM+PGF1dGhvcj5MaXUsIFAuPC9hdXRob3I+PGF1dGhv
cj5YdSwgTC48L2F1dGhvcj48YXV0aG9yPldhbmcsIFkuPC9hdXRob3I+PGF1dGhvcj5aaGFuZywg
WS48L2F1dGhvcj48YXV0aG9yPkR1LCBZLjwvYXV0aG9yPjxhdXRob3I+U3VuLCBZLjwvYXV0aG9y
PjxhdXRob3I+V2FuZywgWi48L2F1dGhvcj48L2F1dGhvcnM+PC9jb250cmlidXRvcnM+PGF1dGgt
YWRkcmVzcz5EZXBhcnRtZW50IG9mIEVwaWRlbWlvbG9neSBhbmQgSGVhbHRoIFN0YXRpc3RpY3Ms
IFNjaG9vbCBvZiBQdWJsaWMgSGVhbHRoLCBTaGFuZG9uZyBVbml2ZXJzaXR5LCBTaGFuZG9uZywg
Q2hpbmEuJiN4RDtEaXZpc2lvbiBvZiBFcGlkZW1pb2xvZ3kgU3VydmV5LCBDaGluYSBBbmltYWwg
SGVhbHRoIGFuZCBFcGlkZW1pb2xvZ3kgQ2VudGVyLCBNaW5pc3RyeSBvZiBBZ3JpY3VsdHVyZSwg
QmVpamluZywgQ2hpbmEuJiN4RDtEZXBhcnRtZW50IG9mIEhlYWx0aCwgSmluYW4gTWF0ZXJuYWwg
YW5kIENoaWxkIENhcmUgU2VydmljZSBDZW50cmUsIFNoYW5kb25nLCBDaGluYS4mI3hEO0RlcGFy
dG1lbnQgb2YgRXBpZGVtaW9sb2d5IGFuZCBIZWFsdGggU3RhdGlzdGljcywgU2Nob29sIG9mIFB1
YmxpYyBIZWFsdGgsIFNoYW5kb25nIFVuaXZlcnNpdHksIFNoYW5kb25nLCBDaGluYS4gemhpcGlu
Z3dAc2R1LmVkdS5jbi48L2F1dGgtYWRkcmVzcz48dGl0bGVzPjx0aXRsZT5Bc3NvY2lhdGlvbiBi
ZXR3ZWVuIHBlcmluYXRhbCBvdXRjb21lcyBhbmQgbWF0ZXJuYWwgcHJlLXByZWduYW5jeSBib2R5
IG1hc3MgaW5kZXg8L3RpdGxlPjxzZWNvbmRhcnktdGl0bGU+T2JlcyBSZXY8L3NlY29uZGFyeS10
aXRsZT48L3RpdGxlcz48cGVyaW9kaWNhbD48ZnVsbC10aXRsZT5PYmVzIFJldjwvZnVsbC10aXRs
ZT48L3BlcmlvZGljYWw+PHBhZ2VzPjEwOTEtMTEwMjwvcGFnZXM+PHZvbHVtZT4xNzwvdm9sdW1l
PjxudW1iZXI+MTE8L251bWJlcj48ZWRpdGlvbj4yMDE2LzA4LzE5PC9lZGl0aW9uPjxrZXl3b3Jk
cz48a2V5d29yZD4qQm9keSBNYXNzIEluZGV4PC9rZXl3b3JkPjxrZXl3b3JkPkZlbWFsZTwva2V5
d29yZD48a2V5d29yZD5IdW1hbnM8L2tleXdvcmQ+PGtleXdvcmQ+Kk1vdGhlcnM8L2tleXdvcmQ+
PGtleXdvcmQ+T3ZlcndlaWdodC8qZXBpZGVtaW9sb2d5PC9rZXl3b3JkPjxrZXl3b3JkPlByZWdu
YW5jeTwva2V5d29yZD48a2V5d29yZD5QcmVnbmFuY3kgQ29tcGxpY2F0aW9ucy8qZXBpZGVtaW9s
b2d5PC9rZXl3b3JkPjxrZXl3b3JkPipQcmVnbmFuY3kgT3V0Y29tZTwva2V5d29yZD48a2V5d29y
ZD5SaXNrIEZhY3RvcnM8L2tleXdvcmQ+PGtleXdvcmQ+VGhpbm5lc3MvKmVwaWRlbWlvbG9neTwv
a2V5d29yZD48a2V5d29yZD5XZWlnaHQgR2Fpbjwva2V5d29yZD48a2V5d29yZD4qYm1pPC9rZXl3
b3JkPjxrZXl3b3JkPipvYmVzaXR5PC9rZXl3b3JkPjxrZXl3b3JkPipwZXJpbmF0YWwgb3V0Y29t
ZXM8L2tleXdvcmQ+PGtleXdvcmQ+KnByZWduYW5jeTwva2V5d29yZD48L2tleXdvcmRzPjxkYXRl
cz48eWVhcj4yMDE2PC95ZWFyPjxwdWItZGF0ZXM+PGRhdGU+Tm92PC9kYXRlPjwvcHViLWRhdGVz
PjwvZGF0ZXM+PGlzYm4+MTQ2Ny03ODlYIChFbGVjdHJvbmljKSYjeEQ7MTQ2Ny03ODgxIChMaW5r
aW5nKTwvaXNibj48YWNjZXNzaW9uLW51bT4yNzUzNjg3OTwvYWNjZXNzaW9uLW51bT48dXJscz48
cmVsYXRlZC11cmxzPjx1cmw+aHR0cHM6Ly93d3cubmNiaS5ubG0ubmloLmdvdi9wdWJtZWQvMjc1
MzY4Nzk8L3VybD48L3JlbGF0ZWQtdXJscz48L3VybHM+PGVsZWN0cm9uaWMtcmVzb3VyY2UtbnVt
PjEwLjExMTEvb2JyLjEyNDU1PC9lbGVjdHJvbmljLXJlc291cmNlLW51bT48L3JlY29yZD48L0Np
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389</w:t>
            </w:r>
            <w:r w:rsidR="00D07346">
              <w:fldChar w:fldCharType="end"/>
            </w:r>
          </w:p>
        </w:tc>
        <w:tc>
          <w:tcPr>
            <w:tcW w:w="1701" w:type="dxa"/>
          </w:tcPr>
          <w:p w14:paraId="3CDE8CEB" w14:textId="13A475B2" w:rsidR="00106C4B" w:rsidRDefault="00106C4B" w:rsidP="00150085">
            <w:r>
              <w:t xml:space="preserve">60 </w:t>
            </w:r>
            <w:r w:rsidR="009E5127">
              <w:t xml:space="preserve">cohort </w:t>
            </w:r>
            <w:r>
              <w:t>studies</w:t>
            </w:r>
          </w:p>
          <w:p w14:paraId="6C8C35D2" w14:textId="464A6D2D" w:rsidR="00106C4B" w:rsidRDefault="00106C4B" w:rsidP="00150085">
            <w:r w:rsidRPr="00106C4B">
              <w:t>1,392,799 women</w:t>
            </w:r>
          </w:p>
        </w:tc>
        <w:tc>
          <w:tcPr>
            <w:tcW w:w="4252" w:type="dxa"/>
          </w:tcPr>
          <w:p w14:paraId="119D531A" w14:textId="77777777" w:rsidR="00106C4B" w:rsidRDefault="00106C4B" w:rsidP="00106C4B">
            <w:r w:rsidRPr="008E1F6E">
              <w:rPr>
                <w:b/>
              </w:rPr>
              <w:t>Aim</w:t>
            </w:r>
            <w:r>
              <w:t xml:space="preserve">: </w:t>
            </w:r>
            <w:r w:rsidRPr="00106C4B">
              <w:t xml:space="preserve">To quantify the association between maternal pre-pregnancy body mass index (BMI) and perinatal outcomes. </w:t>
            </w:r>
          </w:p>
          <w:p w14:paraId="59F9B5BE" w14:textId="5A1B8974" w:rsidR="00106C4B" w:rsidRDefault="00106C4B" w:rsidP="00106C4B">
            <w:r w:rsidRPr="008E1F6E">
              <w:rPr>
                <w:b/>
              </w:rPr>
              <w:t>Methods</w:t>
            </w:r>
            <w:r w:rsidRPr="00106C4B">
              <w:t xml:space="preserve">: We systematically reviewed and collected studies on maternal pre-pregnancy BMI and perinatal outcomes published up to 31 August 2015. For each study, we constructed separate two-by-two tables to calculate the odds ratios (ORs) and 95% confidence intervals (CI). </w:t>
            </w:r>
          </w:p>
        </w:tc>
        <w:tc>
          <w:tcPr>
            <w:tcW w:w="4394" w:type="dxa"/>
          </w:tcPr>
          <w:p w14:paraId="0991E926" w14:textId="77777777" w:rsidR="00251D3C" w:rsidRDefault="00106C4B" w:rsidP="00495D1E">
            <w:r w:rsidRPr="00106C4B">
              <w:t xml:space="preserve">When mothers were underweight, their infants had a </w:t>
            </w:r>
            <w:r w:rsidR="00251D3C">
              <w:t>higher</w:t>
            </w:r>
            <w:r w:rsidRPr="00106C4B">
              <w:t xml:space="preserve"> risk of</w:t>
            </w:r>
            <w:r w:rsidR="00251D3C">
              <w:t>:</w:t>
            </w:r>
          </w:p>
          <w:p w14:paraId="267303E8" w14:textId="0FCF5486" w:rsidR="00251D3C" w:rsidRDefault="00251D3C" w:rsidP="008E1F6E">
            <w:pPr>
              <w:pStyle w:val="bullet"/>
            </w:pPr>
            <w:r>
              <w:t>preterm birth: OR</w:t>
            </w:r>
            <w:r w:rsidR="00106C4B" w:rsidRPr="00106C4B">
              <w:t xml:space="preserve"> 1.30, 95%CI, 1.13</w:t>
            </w:r>
            <w:r>
              <w:t xml:space="preserve"> to 1.49</w:t>
            </w:r>
          </w:p>
          <w:p w14:paraId="250CB6AB" w14:textId="42F1BE6C" w:rsidR="00251D3C" w:rsidRDefault="00251D3C" w:rsidP="008E1F6E">
            <w:pPr>
              <w:pStyle w:val="bullet"/>
            </w:pPr>
            <w:r>
              <w:t>small for gestational age: OR 1.67, 95%CI</w:t>
            </w:r>
            <w:r w:rsidR="00106C4B" w:rsidRPr="00106C4B">
              <w:t xml:space="preserve"> 1.49</w:t>
            </w:r>
            <w:r>
              <w:t xml:space="preserve"> to </w:t>
            </w:r>
            <w:r w:rsidR="00106C4B" w:rsidRPr="00106C4B">
              <w:t>1.87)</w:t>
            </w:r>
          </w:p>
          <w:p w14:paraId="5BBE2EFC" w14:textId="6C192C3A" w:rsidR="00106C4B" w:rsidRDefault="00106C4B" w:rsidP="008E1F6E">
            <w:pPr>
              <w:pStyle w:val="bullet"/>
            </w:pPr>
            <w:r w:rsidRPr="00106C4B">
              <w:t>low birth weight</w:t>
            </w:r>
            <w:r w:rsidR="00251D3C">
              <w:t>: OR</w:t>
            </w:r>
            <w:r w:rsidRPr="00106C4B">
              <w:t xml:space="preserve"> 1.67, 95%CI, 1.39</w:t>
            </w:r>
            <w:r w:rsidR="00251D3C">
              <w:t xml:space="preserve"> to </w:t>
            </w:r>
            <w:r w:rsidRPr="00106C4B">
              <w:t xml:space="preserve">2.02 </w:t>
            </w:r>
          </w:p>
        </w:tc>
        <w:tc>
          <w:tcPr>
            <w:tcW w:w="2411" w:type="dxa"/>
          </w:tcPr>
          <w:p w14:paraId="2A1D6825" w14:textId="77777777" w:rsidR="00106C4B" w:rsidRDefault="00106C4B" w:rsidP="00150085"/>
        </w:tc>
      </w:tr>
      <w:tr w:rsidR="00DD788F" w:rsidRPr="00B60FFF" w14:paraId="3083ED25" w14:textId="77777777" w:rsidTr="00150085">
        <w:trPr>
          <w:cantSplit/>
        </w:trPr>
        <w:tc>
          <w:tcPr>
            <w:tcW w:w="1418" w:type="dxa"/>
          </w:tcPr>
          <w:p w14:paraId="43AFE476" w14:textId="7EF10E29" w:rsidR="00DD788F" w:rsidRDefault="00986BFF" w:rsidP="002747EA">
            <w:r>
              <w:t>Liu et al 2019</w:t>
            </w:r>
            <w:r w:rsidR="00D07346">
              <w:fldChar w:fldCharType="begin">
                <w:fldData xml:space="preserve">PEVuZE5vdGU+PENpdGU+PEF1dGhvcj5MaXU8L0F1dGhvcj48WWVhcj4yMDE5PC9ZZWFyPjxSZWNO
dW0+MTg2NDwvUmVjTnVtPjxEaXNwbGF5VGV4dD48c3R5bGUgZmFjZT0ic3VwZXJzY3JpcHQiIGZv
bnQ9IlRyZWJ1Y2hldCBNUyIgc2l6ZT0iOSI+MzkwPC9zdHlsZT48L0Rpc3BsYXlUZXh0PjxyZWNv
cmQ+PHJlYy1udW1iZXI+MTg2NDwvcmVjLW51bWJlcj48Zm9yZWlnbi1rZXlzPjxrZXkgYXBwPSJF
TiIgZGItaWQ9ImV4dmFzcmZ4MmR0cmFvZXNhc3hwMnN6c3hhMmRmNTAyNTkyeCIgdGltZXN0YW1w
PSIxNTg3Nzk0MTY0Ij4xODY0PC9rZXk+PGtleSBhcHA9IkVOV2ViIiBkYi1pZD0iIj4wPC9rZXk+
PC9mb3JlaWduLWtleXM+PHJlZi10eXBlIG5hbWU9IkpvdXJuYWwgQXJ0aWNsZSI+MTc8L3JlZi10
eXBlPjxjb250cmlidXRvcnM+PGF1dGhvcnM+PGF1dGhvcj5MaXUsIEwuPC9hdXRob3I+PGF1dGhv
cj5NYSwgWS48L2F1dGhvcj48YXV0aG9yPldhbmcsIE4uPC9hdXRob3I+PGF1dGhvcj5MaW4sIFcu
PC9hdXRob3I+PGF1dGhvcj5MaXUsIFkuPC9hdXRob3I+PGF1dGhvcj5XZW4sIEQuPC9hdXRob3I+
PC9hdXRob3JzPjwvY29udHJpYnV0b3JzPjxhdXRoLWFkZHJlc3M+U2Nob29sIG9mIFB1YmxpYyBI
ZWFsdGgsIERhbGlhbiBNZWRpY2FsIFVuaXZlcnNpdHksIERhbGlhbiwgTGlhb25pbmcgUHJvdmlu
Y2UsIDExNjA0NCwgUGVvcGxlJmFwb3M7cyBSZXB1YmxpYyBvZiBDaGluYS4mI3hEO1NjaG9vbCBv
ZiBQdWJsaWMgSGVhbHRoLCBDaGluYSBNZWRpY2FsIFVuaXZlcnNpdHksIE5vLjc3IFB1aGUgUm9h
ZCwgU2hlbnlhbmcgTm9ydGggTmV3IEFyZWEsIFNoZW55YW5nLCBMaWFvbmluZyBQcm92aW5jZSwg
MTEwMTIyLCBQZW9wbGUmYXBvcztzIFJlcHVibGljIG9mIENoaW5hLiYjeEQ7U2Nob29sIG9mIFB1
YmxpYyBIZWFsdGgsIENoaW5hIE1lZGljYWwgVW5pdmVyc2l0eSwgTm8uNzcgUHVoZSBSb2FkLCBT
aGVueWFuZyBOb3J0aCBOZXcgQXJlYSwgU2hlbnlhbmcsIExpYW9uaW5nIFByb3ZpbmNlLCAxMTAx
MjIsIFBlb3BsZSZhcG9zO3MgUmVwdWJsaWMgb2YgQ2hpbmEuIGRsd2VuQGNtdS5lZHUuY24uPC9h
dXRoLWFkZHJlc3M+PHRpdGxlcz48dGl0bGU+TWF0ZXJuYWwgYm9keSBtYXNzIGluZGV4IGFuZCBy
aXNrIG9mIG5lb25hdGFsIGFkdmVyc2Ugb3V0Y29tZXMgaW4gQ2hpbmE6IGEgc3lzdGVtYXRpYyBy
ZXZpZXcgYW5kIG1ldGEtYW5hbHlzaXM8L3RpdGxlPjxzZWNvbmRhcnktdGl0bGU+Qk1DIFByZWdu
YW5jeSBDaGlsZGJpcnRoPC9zZWNvbmRhcnktdGl0bGU+PC90aXRsZXM+PHBlcmlvZGljYWw+PGZ1
bGwtdGl0bGU+Qk1DIFByZWduYW5jeSBDaGlsZGJpcnRoPC9mdWxsLXRpdGxlPjwvcGVyaW9kaWNh
bD48cGFnZXM+MTA1PC9wYWdlcz48dm9sdW1lPjE5PC92b2x1bWU+PG51bWJlcj4xPC9udW1iZXI+
PGVkaXRpb24+MjAxOS8wMy8zMDwvZWRpdGlvbj48a2V5d29yZHM+PGtleXdvcmQ+QWR1bHQ8L2tl
eXdvcmQ+PGtleXdvcmQ+QmlydGggV2VpZ2h0PC9rZXl3b3JkPjxrZXl3b3JkPipCb2R5IE1hc3Mg
SW5kZXg8L2tleXdvcmQ+PGtleXdvcmQ+Q2hpbmEvZXBpZGVtaW9sb2d5PC9rZXl3b3JkPjxrZXl3
b3JkPkZlbWFsZTwva2V5d29yZD48a2V5d29yZD5GZXRhbCBNYWNyb3NvbWlhL2V0aW9sb2d5PC9r
ZXl3b3JkPjxrZXl3b3JkPkdlc3RhdGlvbmFsIFdlaWdodCBHYWluPC9rZXl3b3JkPjxrZXl3b3Jk
Pkh1bWFuczwva2V5d29yZD48a2V5d29yZD5JbmZhbnQsIExvdyBCaXJ0aCBXZWlnaHQ8L2tleXdv
cmQ+PGtleXdvcmQ+SW5mYW50LCBOZXdib3JuPC9rZXl3b3JkPjxrZXl3b3JkPkluZmFudCwgU21h
bGwgZm9yIEdlc3RhdGlvbmFsIEFnZTwva2V5d29yZD48a2V5d29yZD5PYmVzaXR5L2NvbXBsaWNh
dGlvbnMvKnBoeXNpb3BhdGhvbG9neTwva2V5d29yZD48a2V5d29yZD5QcmVnbmFuY3k8L2tleXdv
cmQ+PGtleXdvcmQ+UHJlZ25hbmN5IENvbXBsaWNhdGlvbnMvZXRpb2xvZ3kvKnBoeXNpb3BhdGhv
bG9neTwva2V5d29yZD48a2V5d29yZD5QcmVnbmFuY3kgT3V0Y29tZS8qZXBpZGVtaW9sb2d5PC9r
ZXl3b3JkPjxrZXl3b3JkPlJpc2sgRmFjdG9yczwva2V5d29yZD48a2V5d29yZD5Db2hvcnQgc3R1
ZHk8L2tleXdvcmQ+PGtleXdvcmQ+TWF0ZXJuYWwgQk1JPC9rZXl3b3JkPjxrZXl3b3JkPk1ldGEt
YW5hbHlzaXM8L2tleXdvcmQ+PGtleXdvcmQ+TmVvbmF0YWwgb3V0Y29tZXM8L2tleXdvcmQ+PC9r
ZXl3b3Jkcz48ZGF0ZXM+PHllYXI+MjAxOTwveWVhcj48cHViLWRhdGVzPjxkYXRlPk1hciAyOTwv
ZGF0ZT48L3B1Yi1kYXRlcz48L2RhdGVzPjxpc2JuPjE0NzEtMjM5MyAoRWxlY3Ryb25pYykmI3hE
OzE0NzEtMjM5MyAoTGlua2luZyk8L2lzYm4+PGFjY2Vzc2lvbi1udW0+MzA5MjIyNDQ8L2FjY2Vz
c2lvbi1udW0+PHVybHM+PHJlbGF0ZWQtdXJscz48dXJsPmh0dHBzOi8vd3d3Lm5jYmkubmxtLm5p
aC5nb3YvcHVibWVkLzMwOTIyMjQ0PC91cmw+PC9yZWxhdGVkLXVybHM+PC91cmxzPjxjdXN0b20y
PlBNQzY0NDAxMjE8L2N1c3RvbTI+PGVsZWN0cm9uaWMtcmVzb3VyY2UtbnVtPjEwLjExODYvczEy
ODg0LTAxOS0yMjQ5LXo8L2VsZWN0cm9uaWMtcmVzb3VyY2UtbnVtPjwvcmVjb3JkPjwvQ2l0ZT48
L0VuZE5vdGU+AG==
</w:fldData>
              </w:fldChar>
            </w:r>
            <w:r w:rsidR="002747EA">
              <w:instrText xml:space="preserve"> ADDIN EN.CITE </w:instrText>
            </w:r>
            <w:r w:rsidR="002747EA">
              <w:fldChar w:fldCharType="begin">
                <w:fldData xml:space="preserve">PEVuZE5vdGU+PENpdGU+PEF1dGhvcj5MaXU8L0F1dGhvcj48WWVhcj4yMDE5PC9ZZWFyPjxSZWNO
dW0+MTg2NDwvUmVjTnVtPjxEaXNwbGF5VGV4dD48c3R5bGUgZmFjZT0ic3VwZXJzY3JpcHQiIGZv
bnQ9IlRyZWJ1Y2hldCBNUyIgc2l6ZT0iOSI+MzkwPC9zdHlsZT48L0Rpc3BsYXlUZXh0PjxyZWNv
cmQ+PHJlYy1udW1iZXI+MTg2NDwvcmVjLW51bWJlcj48Zm9yZWlnbi1rZXlzPjxrZXkgYXBwPSJF
TiIgZGItaWQ9ImV4dmFzcmZ4MmR0cmFvZXNhc3hwMnN6c3hhMmRmNTAyNTkyeCIgdGltZXN0YW1w
PSIxNTg3Nzk0MTY0Ij4xODY0PC9rZXk+PGtleSBhcHA9IkVOV2ViIiBkYi1pZD0iIj4wPC9rZXk+
PC9mb3JlaWduLWtleXM+PHJlZi10eXBlIG5hbWU9IkpvdXJuYWwgQXJ0aWNsZSI+MTc8L3JlZi10
eXBlPjxjb250cmlidXRvcnM+PGF1dGhvcnM+PGF1dGhvcj5MaXUsIEwuPC9hdXRob3I+PGF1dGhv
cj5NYSwgWS48L2F1dGhvcj48YXV0aG9yPldhbmcsIE4uPC9hdXRob3I+PGF1dGhvcj5MaW4sIFcu
PC9hdXRob3I+PGF1dGhvcj5MaXUsIFkuPC9hdXRob3I+PGF1dGhvcj5XZW4sIEQuPC9hdXRob3I+
PC9hdXRob3JzPjwvY29udHJpYnV0b3JzPjxhdXRoLWFkZHJlc3M+U2Nob29sIG9mIFB1YmxpYyBI
ZWFsdGgsIERhbGlhbiBNZWRpY2FsIFVuaXZlcnNpdHksIERhbGlhbiwgTGlhb25pbmcgUHJvdmlu
Y2UsIDExNjA0NCwgUGVvcGxlJmFwb3M7cyBSZXB1YmxpYyBvZiBDaGluYS4mI3hEO1NjaG9vbCBv
ZiBQdWJsaWMgSGVhbHRoLCBDaGluYSBNZWRpY2FsIFVuaXZlcnNpdHksIE5vLjc3IFB1aGUgUm9h
ZCwgU2hlbnlhbmcgTm9ydGggTmV3IEFyZWEsIFNoZW55YW5nLCBMaWFvbmluZyBQcm92aW5jZSwg
MTEwMTIyLCBQZW9wbGUmYXBvcztzIFJlcHVibGljIG9mIENoaW5hLiYjeEQ7U2Nob29sIG9mIFB1
YmxpYyBIZWFsdGgsIENoaW5hIE1lZGljYWwgVW5pdmVyc2l0eSwgTm8uNzcgUHVoZSBSb2FkLCBT
aGVueWFuZyBOb3J0aCBOZXcgQXJlYSwgU2hlbnlhbmcsIExpYW9uaW5nIFByb3ZpbmNlLCAxMTAx
MjIsIFBlb3BsZSZhcG9zO3MgUmVwdWJsaWMgb2YgQ2hpbmEuIGRsd2VuQGNtdS5lZHUuY24uPC9h
dXRoLWFkZHJlc3M+PHRpdGxlcz48dGl0bGU+TWF0ZXJuYWwgYm9keSBtYXNzIGluZGV4IGFuZCBy
aXNrIG9mIG5lb25hdGFsIGFkdmVyc2Ugb3V0Y29tZXMgaW4gQ2hpbmE6IGEgc3lzdGVtYXRpYyBy
ZXZpZXcgYW5kIG1ldGEtYW5hbHlzaXM8L3RpdGxlPjxzZWNvbmRhcnktdGl0bGU+Qk1DIFByZWdu
YW5jeSBDaGlsZGJpcnRoPC9zZWNvbmRhcnktdGl0bGU+PC90aXRsZXM+PHBlcmlvZGljYWw+PGZ1
bGwtdGl0bGU+Qk1DIFByZWduYW5jeSBDaGlsZGJpcnRoPC9mdWxsLXRpdGxlPjwvcGVyaW9kaWNh
bD48cGFnZXM+MTA1PC9wYWdlcz48dm9sdW1lPjE5PC92b2x1bWU+PG51bWJlcj4xPC9udW1iZXI+
PGVkaXRpb24+MjAxOS8wMy8zMDwvZWRpdGlvbj48a2V5d29yZHM+PGtleXdvcmQ+QWR1bHQ8L2tl
eXdvcmQ+PGtleXdvcmQ+QmlydGggV2VpZ2h0PC9rZXl3b3JkPjxrZXl3b3JkPipCb2R5IE1hc3Mg
SW5kZXg8L2tleXdvcmQ+PGtleXdvcmQ+Q2hpbmEvZXBpZGVtaW9sb2d5PC9rZXl3b3JkPjxrZXl3
b3JkPkZlbWFsZTwva2V5d29yZD48a2V5d29yZD5GZXRhbCBNYWNyb3NvbWlhL2V0aW9sb2d5PC9r
ZXl3b3JkPjxrZXl3b3JkPkdlc3RhdGlvbmFsIFdlaWdodCBHYWluPC9rZXl3b3JkPjxrZXl3b3Jk
Pkh1bWFuczwva2V5d29yZD48a2V5d29yZD5JbmZhbnQsIExvdyBCaXJ0aCBXZWlnaHQ8L2tleXdv
cmQ+PGtleXdvcmQ+SW5mYW50LCBOZXdib3JuPC9rZXl3b3JkPjxrZXl3b3JkPkluZmFudCwgU21h
bGwgZm9yIEdlc3RhdGlvbmFsIEFnZTwva2V5d29yZD48a2V5d29yZD5PYmVzaXR5L2NvbXBsaWNh
dGlvbnMvKnBoeXNpb3BhdGhvbG9neTwva2V5d29yZD48a2V5d29yZD5QcmVnbmFuY3k8L2tleXdv
cmQ+PGtleXdvcmQ+UHJlZ25hbmN5IENvbXBsaWNhdGlvbnMvZXRpb2xvZ3kvKnBoeXNpb3BhdGhv
bG9neTwva2V5d29yZD48a2V5d29yZD5QcmVnbmFuY3kgT3V0Y29tZS8qZXBpZGVtaW9sb2d5PC9r
ZXl3b3JkPjxrZXl3b3JkPlJpc2sgRmFjdG9yczwva2V5d29yZD48a2V5d29yZD5Db2hvcnQgc3R1
ZHk8L2tleXdvcmQ+PGtleXdvcmQ+TWF0ZXJuYWwgQk1JPC9rZXl3b3JkPjxrZXl3b3JkPk1ldGEt
YW5hbHlzaXM8L2tleXdvcmQ+PGtleXdvcmQ+TmVvbmF0YWwgb3V0Y29tZXM8L2tleXdvcmQ+PC9r
ZXl3b3Jkcz48ZGF0ZXM+PHllYXI+MjAxOTwveWVhcj48cHViLWRhdGVzPjxkYXRlPk1hciAyOTwv
ZGF0ZT48L3B1Yi1kYXRlcz48L2RhdGVzPjxpc2JuPjE0NzEtMjM5MyAoRWxlY3Ryb25pYykmI3hE
OzE0NzEtMjM5MyAoTGlua2luZyk8L2lzYm4+PGFjY2Vzc2lvbi1udW0+MzA5MjIyNDQ8L2FjY2Vz
c2lvbi1udW0+PHVybHM+PHJlbGF0ZWQtdXJscz48dXJsPmh0dHBzOi8vd3d3Lm5jYmkubmxtLm5p
aC5nb3YvcHVibWVkLzMwOTIyMjQ0PC91cmw+PC9yZWxhdGVkLXVybHM+PC91cmxzPjxjdXN0b20y
PlBNQzY0NDAxMjE8L2N1c3RvbTI+PGVsZWN0cm9uaWMtcmVzb3VyY2UtbnVtPjEwLjExODYvczEy
ODg0LTAxOS0yMjQ5LXo8L2VsZWN0cm9uaWMtcmVzb3VyY2UtbnVtPjwvcmVjb3JkPjwvQ2l0ZT48
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390</w:t>
            </w:r>
            <w:r w:rsidR="00D07346">
              <w:fldChar w:fldCharType="end"/>
            </w:r>
          </w:p>
        </w:tc>
        <w:tc>
          <w:tcPr>
            <w:tcW w:w="1701" w:type="dxa"/>
          </w:tcPr>
          <w:p w14:paraId="4DDC4E05" w14:textId="5BF15AAD" w:rsidR="00DD788F" w:rsidRDefault="00986BFF" w:rsidP="00150085">
            <w:r>
              <w:t>46 cohort studies</w:t>
            </w:r>
          </w:p>
        </w:tc>
        <w:tc>
          <w:tcPr>
            <w:tcW w:w="4252" w:type="dxa"/>
          </w:tcPr>
          <w:p w14:paraId="3F8796FA" w14:textId="77777777" w:rsidR="00986BFF" w:rsidRDefault="00986BFF" w:rsidP="00986BFF">
            <w:r w:rsidRPr="008E1F6E">
              <w:rPr>
                <w:b/>
              </w:rPr>
              <w:t>Aim</w:t>
            </w:r>
            <w:r>
              <w:t>: T</w:t>
            </w:r>
            <w:r w:rsidRPr="00986BFF">
              <w:t xml:space="preserve">o evaluate maternal BMI and the risk of harmful neonatal outcomes in China. </w:t>
            </w:r>
          </w:p>
          <w:p w14:paraId="17A9F6C7" w14:textId="02368C46" w:rsidR="00DD788F" w:rsidRPr="005629DA" w:rsidRDefault="00986BFF" w:rsidP="00986BFF">
            <w:pPr>
              <w:rPr>
                <w:b/>
              </w:rPr>
            </w:pPr>
            <w:r w:rsidRPr="008E1F6E">
              <w:rPr>
                <w:b/>
              </w:rPr>
              <w:t>Methods</w:t>
            </w:r>
            <w:r w:rsidRPr="00986BFF">
              <w:t>: Six databases identified 2454 articles; 46 met the inclusion criteria for this study. The dichotomous data on maternal BMI and harmful neonatal outcomes were extracted. Pooled statistics (odds ratios, ORs) were derived from Stata/SE, ver. 12.0. Sensitivity analyses assessed the robustness of the results. Meta-regression and subgroup meta-analyses explored heterogeneity.</w:t>
            </w:r>
          </w:p>
        </w:tc>
        <w:tc>
          <w:tcPr>
            <w:tcW w:w="4394" w:type="dxa"/>
          </w:tcPr>
          <w:p w14:paraId="11BB4987" w14:textId="74881812" w:rsidR="00986BFF" w:rsidRDefault="00986BFF" w:rsidP="00986BFF">
            <w:r>
              <w:t>C</w:t>
            </w:r>
            <w:r w:rsidRPr="00986BFF">
              <w:t xml:space="preserve">ompared with </w:t>
            </w:r>
            <w:r w:rsidR="009E5127">
              <w:t>healthy</w:t>
            </w:r>
            <w:r w:rsidRPr="00986BFF">
              <w:t xml:space="preserve"> BMI</w:t>
            </w:r>
            <w:r>
              <w:t>, m</w:t>
            </w:r>
            <w:r w:rsidRPr="00986BFF">
              <w:t xml:space="preserve">aternal underweight increased the risk of </w:t>
            </w:r>
          </w:p>
          <w:p w14:paraId="5D4F018E" w14:textId="6ECE31A6" w:rsidR="00986BFF" w:rsidRDefault="00986BFF" w:rsidP="008E1F6E">
            <w:pPr>
              <w:pStyle w:val="bullet"/>
            </w:pPr>
            <w:r>
              <w:t>low birth weight: OR 1.61, 95% CI 1.33 to 1.93</w:t>
            </w:r>
            <w:r w:rsidRPr="00986BFF">
              <w:t xml:space="preserve"> </w:t>
            </w:r>
          </w:p>
          <w:p w14:paraId="6E6CE56A" w14:textId="2E84DDAF" w:rsidR="00DD788F" w:rsidRDefault="00986BFF" w:rsidP="008E1F6E">
            <w:pPr>
              <w:pStyle w:val="bullet"/>
            </w:pPr>
            <w:r w:rsidRPr="00986BFF">
              <w:t>sma</w:t>
            </w:r>
            <w:r>
              <w:t xml:space="preserve">ll for gestational age: OR 1.75, 95% CI 1.51 to </w:t>
            </w:r>
            <w:r w:rsidRPr="00986BFF">
              <w:t>2.02</w:t>
            </w:r>
          </w:p>
        </w:tc>
        <w:tc>
          <w:tcPr>
            <w:tcW w:w="2411" w:type="dxa"/>
          </w:tcPr>
          <w:p w14:paraId="62AA0B64" w14:textId="77777777" w:rsidR="00DD788F" w:rsidRDefault="00DD788F" w:rsidP="00150085"/>
        </w:tc>
      </w:tr>
      <w:tr w:rsidR="0044218C" w:rsidRPr="00B60FFF" w14:paraId="4D9EC9BA" w14:textId="77777777" w:rsidTr="008E1F6E">
        <w:trPr>
          <w:cantSplit/>
        </w:trPr>
        <w:tc>
          <w:tcPr>
            <w:tcW w:w="1418" w:type="dxa"/>
            <w:tcBorders>
              <w:top w:val="single" w:sz="4" w:space="0" w:color="auto"/>
              <w:left w:val="single" w:sz="4" w:space="0" w:color="auto"/>
              <w:bottom w:val="single" w:sz="4" w:space="0" w:color="auto"/>
              <w:right w:val="single" w:sz="4" w:space="0" w:color="auto"/>
            </w:tcBorders>
          </w:tcPr>
          <w:p w14:paraId="2BB15C20" w14:textId="2704BB09" w:rsidR="0044218C" w:rsidRDefault="0044218C" w:rsidP="002747EA">
            <w:r>
              <w:t>Torloni et al 2009</w:t>
            </w:r>
            <w:r w:rsidR="00D07346">
              <w:fldChar w:fldCharType="begin"/>
            </w:r>
            <w:r w:rsidR="002747EA">
              <w:instrText xml:space="preserve"> ADDIN EN.CITE &lt;EndNote&gt;&lt;Cite&gt;&lt;Author&gt;Torloni&lt;/Author&gt;&lt;Year&gt;2009&lt;/Year&gt;&lt;RecNum&gt;1865&lt;/RecNum&gt;&lt;DisplayText&gt;&lt;style face="superscript" font="Trebuchet MS" size="9"&gt;395&lt;/style&gt;&lt;/DisplayText&gt;&lt;record&gt;&lt;rec-number&gt;1865&lt;/rec-number&gt;&lt;foreign-keys&gt;&lt;key app="EN" db-id="exvasrfx2dtraoesasxp2szsxa2df502592x" timestamp="1587794175"&gt;1865&lt;/key&gt;&lt;key app="ENWeb" db-id=""&gt;0&lt;/key&gt;&lt;/foreign-keys&gt;&lt;ref-type name="Journal Article"&gt;17&lt;/ref-type&gt;&lt;contributors&gt;&lt;authors&gt;&lt;author&gt;Torloni, M. R.&lt;/author&gt;&lt;author&gt;Betran, A. P.&lt;/author&gt;&lt;author&gt;Horta, B. L.&lt;/author&gt;&lt;author&gt;Nakamura, M. U.&lt;/author&gt;&lt;author&gt;Atallah, A. N.&lt;/author&gt;&lt;author&gt;Moron, A. F.&lt;/author&gt;&lt;author&gt;Valente, O.&lt;/author&gt;&lt;/authors&gt;&lt;/contributors&gt;&lt;auth-address&gt;Department of Emergency and Evidence Based Medicine, Sao Paulo Federal University, Sao Paulo, Brazil.&lt;/auth-address&gt;&lt;titles&gt;&lt;title&gt;Prepregnancy BMI and the risk of gestational diabetes: a systematic review of the literature with meta-analysis&lt;/title&gt;&lt;secondary-title&gt;Obes Rev&lt;/secondary-title&gt;&lt;/titles&gt;&lt;periodical&gt;&lt;full-title&gt;Obes Rev&lt;/full-title&gt;&lt;/periodical&gt;&lt;pages&gt;194-203&lt;/pages&gt;&lt;volume&gt;10&lt;/volume&gt;&lt;number&gt;2&lt;/number&gt;&lt;edition&gt;2008/12/06&lt;/edition&gt;&lt;keywords&gt;&lt;keyword&gt;*Body Mass Index&lt;/keyword&gt;&lt;keyword&gt;Diabetes, Gestational/*epidemiology&lt;/keyword&gt;&lt;keyword&gt;Female&lt;/keyword&gt;&lt;keyword&gt;Humans&lt;/keyword&gt;&lt;keyword&gt;Pregnancy&lt;/keyword&gt;&lt;keyword&gt;Risk Factors&lt;/keyword&gt;&lt;/keywords&gt;&lt;dates&gt;&lt;year&gt;2009&lt;/year&gt;&lt;pub-dates&gt;&lt;date&gt;Mar&lt;/date&gt;&lt;/pub-dates&gt;&lt;/dates&gt;&lt;isbn&gt;1467-789X (Electronic)&amp;#xD;1467-7881 (Linking)&lt;/isbn&gt;&lt;accession-num&gt;19055539&lt;/accession-num&gt;&lt;urls&gt;&lt;related-urls&gt;&lt;url&gt;https://www.ncbi.nlm.nih.gov/pubmed/19055539&lt;/url&gt;&lt;/related-urls&gt;&lt;/urls&gt;&lt;electronic-resource-num&gt;10.1111/j.1467-789X.2008.00541.x&lt;/electronic-resource-num&gt;&lt;/record&gt;&lt;/Cite&gt;&lt;/EndNote&gt;</w:instrText>
            </w:r>
            <w:r w:rsidR="00D07346">
              <w:fldChar w:fldCharType="separate"/>
            </w:r>
            <w:r w:rsidR="002747EA" w:rsidRPr="002747EA">
              <w:rPr>
                <w:noProof/>
                <w:vertAlign w:val="superscript"/>
              </w:rPr>
              <w:t>395</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4E280C12" w14:textId="77777777" w:rsidR="0044218C" w:rsidRDefault="0044218C" w:rsidP="00150085">
            <w:r>
              <w:t xml:space="preserve">70 studies </w:t>
            </w:r>
            <w:r w:rsidRPr="0044218C">
              <w:t>(59 cohorts and 11 case-controls)</w:t>
            </w:r>
          </w:p>
          <w:p w14:paraId="7163DD36" w14:textId="77777777" w:rsidR="0044218C" w:rsidRDefault="0044218C" w:rsidP="00150085">
            <w:r w:rsidRPr="0044218C">
              <w:t>671 945 women</w:t>
            </w:r>
          </w:p>
          <w:p w14:paraId="1F2A562F" w14:textId="77777777" w:rsidR="0044218C" w:rsidRDefault="0044218C" w:rsidP="00150085"/>
        </w:tc>
        <w:tc>
          <w:tcPr>
            <w:tcW w:w="4252" w:type="dxa"/>
            <w:tcBorders>
              <w:top w:val="single" w:sz="4" w:space="0" w:color="auto"/>
              <w:left w:val="single" w:sz="4" w:space="0" w:color="auto"/>
              <w:bottom w:val="single" w:sz="4" w:space="0" w:color="auto"/>
              <w:right w:val="single" w:sz="4" w:space="0" w:color="auto"/>
            </w:tcBorders>
          </w:tcPr>
          <w:p w14:paraId="3638FC67" w14:textId="77777777" w:rsidR="0044218C" w:rsidRDefault="0044218C" w:rsidP="00150085">
            <w:r w:rsidRPr="00EC2135">
              <w:rPr>
                <w:b/>
              </w:rPr>
              <w:t>Aim</w:t>
            </w:r>
            <w:r>
              <w:t>: T</w:t>
            </w:r>
            <w:r w:rsidRPr="0044218C">
              <w:t xml:space="preserve">o assess and quantify the risk for gestational diabetes mellitus (GDM) according to prepregnancy maternal body mass index (BMI). </w:t>
            </w:r>
          </w:p>
          <w:p w14:paraId="4337BF27" w14:textId="77777777" w:rsidR="0044218C" w:rsidRPr="001365D7" w:rsidRDefault="0044218C" w:rsidP="00150085">
            <w:pPr>
              <w:rPr>
                <w:b/>
              </w:rPr>
            </w:pPr>
            <w:r w:rsidRPr="00EC2135">
              <w:rPr>
                <w:b/>
              </w:rPr>
              <w:t>Methods</w:t>
            </w:r>
            <w:r>
              <w:t>:</w:t>
            </w:r>
            <w:r w:rsidRPr="0044218C">
              <w:t xml:space="preserve"> Four electronic databases were searched for publications (1977-2007). BMI was elected as the only measure of obesity, and all diagnostic criteria for GDM were accepted. Studies with selective screening for GDM were excluded. There were no language restrictions. The methodological quality of primary studies was assessed. Most studies were of high or medium quality.</w:t>
            </w:r>
          </w:p>
        </w:tc>
        <w:tc>
          <w:tcPr>
            <w:tcW w:w="4394" w:type="dxa"/>
            <w:tcBorders>
              <w:top w:val="single" w:sz="4" w:space="0" w:color="auto"/>
              <w:left w:val="single" w:sz="4" w:space="0" w:color="auto"/>
              <w:bottom w:val="single" w:sz="4" w:space="0" w:color="auto"/>
              <w:right w:val="single" w:sz="4" w:space="0" w:color="auto"/>
            </w:tcBorders>
          </w:tcPr>
          <w:p w14:paraId="4CAD1CCD" w14:textId="3B201BF6" w:rsidR="0044218C" w:rsidRDefault="00982488" w:rsidP="00150085">
            <w:r>
              <w:t>Risk in underweight women c</w:t>
            </w:r>
            <w:r w:rsidR="0044218C" w:rsidRPr="0044218C">
              <w:t xml:space="preserve">ompared with women with a </w:t>
            </w:r>
            <w:r w:rsidR="0044218C">
              <w:t xml:space="preserve">healthy </w:t>
            </w:r>
            <w:r w:rsidR="0044218C" w:rsidRPr="0044218C">
              <w:t>BMI</w:t>
            </w:r>
            <w:r w:rsidR="0044218C">
              <w:t>:</w:t>
            </w:r>
          </w:p>
          <w:p w14:paraId="2836B1F3" w14:textId="77777777" w:rsidR="0044218C" w:rsidRPr="0044218C" w:rsidRDefault="0044218C" w:rsidP="00150085">
            <w:pPr>
              <w:pStyle w:val="bullet"/>
            </w:pPr>
            <w:r>
              <w:t>gestational diabetes: OR</w:t>
            </w:r>
            <w:r w:rsidRPr="0044218C">
              <w:t xml:space="preserve"> 0.75</w:t>
            </w:r>
            <w:r>
              <w:t xml:space="preserve">; </w:t>
            </w:r>
            <w:r w:rsidRPr="0044218C">
              <w:t>95%</w:t>
            </w:r>
            <w:r>
              <w:t>CI 0.69 to 0.82)</w:t>
            </w:r>
            <w:r w:rsidRPr="0044218C">
              <w:t xml:space="preserve"> </w:t>
            </w:r>
          </w:p>
        </w:tc>
        <w:tc>
          <w:tcPr>
            <w:tcW w:w="2411" w:type="dxa"/>
            <w:tcBorders>
              <w:top w:val="single" w:sz="4" w:space="0" w:color="auto"/>
              <w:left w:val="single" w:sz="4" w:space="0" w:color="auto"/>
              <w:bottom w:val="single" w:sz="4" w:space="0" w:color="auto"/>
              <w:right w:val="single" w:sz="4" w:space="0" w:color="auto"/>
            </w:tcBorders>
          </w:tcPr>
          <w:p w14:paraId="55558A12" w14:textId="77777777" w:rsidR="0044218C" w:rsidRDefault="0044218C" w:rsidP="00150085"/>
        </w:tc>
      </w:tr>
      <w:tr w:rsidR="00D71665" w:rsidRPr="00B60FFF" w14:paraId="568EAEB3" w14:textId="77777777" w:rsidTr="004421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7E8E1585" w14:textId="2AC335D4" w:rsidR="00D71665" w:rsidRDefault="00D71665" w:rsidP="002747EA">
            <w:r>
              <w:t>Goto et al 2017</w:t>
            </w:r>
            <w:r w:rsidR="00D07346">
              <w:fldChar w:fldCharType="begin"/>
            </w:r>
            <w:r w:rsidR="002747EA">
              <w:instrText xml:space="preserve"> ADDIN EN.CITE &lt;EndNote&gt;&lt;Cite&gt;&lt;Author&gt;Goto&lt;/Author&gt;&lt;Year&gt;2017&lt;/Year&gt;&lt;RecNum&gt;1862&lt;/RecNum&gt;&lt;DisplayText&gt;&lt;style face="superscript" font="Trebuchet MS" size="9"&gt;391&lt;/style&gt;&lt;/DisplayText&gt;&lt;record&gt;&lt;rec-number&gt;1862&lt;/rec-number&gt;&lt;foreign-keys&gt;&lt;key app="EN" db-id="exvasrfx2dtraoesasxp2szsxa2df502592x" timestamp="1587794145"&gt;1862&lt;/key&gt;&lt;key app="ENWeb" db-id=""&gt;0&lt;/key&gt;&lt;/foreign-keys&gt;&lt;ref-type name="Journal Article"&gt;17&lt;/ref-type&gt;&lt;contributors&gt;&lt;authors&gt;&lt;author&gt;Goto, E.&lt;/author&gt;&lt;/authors&gt;&lt;/contributors&gt;&lt;auth-address&gt;a Department of Medicine and Public Health , Nagoya Medical Science Research Institute , Nagoya , Japan.&lt;/auth-address&gt;&lt;titles&gt;&lt;title&gt;Dose-response association between maternal body mass index and small for gestational age: a meta-analysis&lt;/title&gt;&lt;secondary-title&gt;J Matern Fetal Neonatal Med&lt;/secondary-title&gt;&lt;/titles&gt;&lt;periodical&gt;&lt;full-title&gt;J Matern Fetal Neonatal Med&lt;/full-title&gt;&lt;/periodical&gt;&lt;pages&gt;213-218&lt;/pages&gt;&lt;volume&gt;30&lt;/volume&gt;&lt;number&gt;2&lt;/number&gt;&lt;edition&gt;2016/03/24&lt;/edition&gt;&lt;keywords&gt;&lt;keyword&gt;*Body Mass Index&lt;/keyword&gt;&lt;keyword&gt;Body Weight/*physiology&lt;/keyword&gt;&lt;keyword&gt;Female&lt;/keyword&gt;&lt;keyword&gt;Humans&lt;/keyword&gt;&lt;keyword&gt;Infant, Newborn&lt;/keyword&gt;&lt;keyword&gt;*Infant, Small for Gestational Age&lt;/keyword&gt;&lt;keyword&gt;Pregnancy&lt;/keyword&gt;&lt;keyword&gt;Pregnancy Complications&lt;/keyword&gt;&lt;keyword&gt;Risk Factors&lt;/keyword&gt;&lt;keyword&gt;*Anthropometry&lt;/keyword&gt;&lt;keyword&gt;*meta-analysis&lt;/keyword&gt;&lt;keyword&gt;*risk&lt;/keyword&gt;&lt;keyword&gt;*small for gestational age&lt;/keyword&gt;&lt;/keywords&gt;&lt;dates&gt;&lt;year&gt;2017&lt;/year&gt;&lt;pub-dates&gt;&lt;date&gt;Jan&lt;/date&gt;&lt;/pub-dates&gt;&lt;/dates&gt;&lt;isbn&gt;1476-4954 (Electronic)&amp;#xD;1476-4954 (Linking)&lt;/isbn&gt;&lt;accession-num&gt;27002363&lt;/accession-num&gt;&lt;urls&gt;&lt;related-urls&gt;&lt;url&gt;https://www.ncbi.nlm.nih.gov/pubmed/27002363&lt;/url&gt;&lt;/related-urls&gt;&lt;/urls&gt;&lt;electronic-resource-num&gt;10.3109/14767058.2016.1169519&lt;/electronic-resource-num&gt;&lt;/record&gt;&lt;/Cite&gt;&lt;/EndNote&gt;</w:instrText>
            </w:r>
            <w:r w:rsidR="00D07346">
              <w:fldChar w:fldCharType="separate"/>
            </w:r>
            <w:r w:rsidR="002747EA" w:rsidRPr="002747EA">
              <w:rPr>
                <w:noProof/>
                <w:vertAlign w:val="superscript"/>
              </w:rPr>
              <w:t>391</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2BDC89AD" w14:textId="4BB068C7" w:rsidR="00D71665" w:rsidRDefault="00D71665" w:rsidP="00150085">
            <w:r>
              <w:t>323,</w:t>
            </w:r>
            <w:r w:rsidRPr="00D71665">
              <w:t>243</w:t>
            </w:r>
            <w:r>
              <w:t xml:space="preserve"> women</w:t>
            </w:r>
          </w:p>
        </w:tc>
        <w:tc>
          <w:tcPr>
            <w:tcW w:w="4252" w:type="dxa"/>
            <w:tcBorders>
              <w:top w:val="single" w:sz="4" w:space="0" w:color="auto"/>
              <w:left w:val="single" w:sz="4" w:space="0" w:color="auto"/>
              <w:bottom w:val="single" w:sz="4" w:space="0" w:color="auto"/>
              <w:right w:val="single" w:sz="4" w:space="0" w:color="auto"/>
            </w:tcBorders>
          </w:tcPr>
          <w:p w14:paraId="71AC0A46" w14:textId="77777777" w:rsidR="00D71665" w:rsidRDefault="00D71665" w:rsidP="00D71665">
            <w:r w:rsidRPr="008E1F6E">
              <w:rPr>
                <w:b/>
              </w:rPr>
              <w:t>Aim</w:t>
            </w:r>
            <w:r>
              <w:t>: T</w:t>
            </w:r>
            <w:r w:rsidRPr="00D71665">
              <w:t xml:space="preserve">o determine the dose-response relationships between maternal anthropometric variables and risk of small for gestational age (SGA). </w:t>
            </w:r>
          </w:p>
          <w:p w14:paraId="469A7D27" w14:textId="01C7FD95" w:rsidR="00D71665" w:rsidRPr="00EC2135" w:rsidRDefault="00D71665" w:rsidP="00D71665">
            <w:pPr>
              <w:rPr>
                <w:b/>
              </w:rPr>
            </w:pPr>
            <w:r w:rsidRPr="008E1F6E">
              <w:rPr>
                <w:b/>
              </w:rPr>
              <w:t>Methods</w:t>
            </w:r>
            <w:r w:rsidRPr="00D71665">
              <w:t xml:space="preserve">: Linear and nonlinear dose-response meta-analyses were performed to summarize the adjusted relative risks of SGA. Ten databases, including PubMed (MEDLINE), were searched. Study quality was assessed using the Newcastle-Ottawa scale. </w:t>
            </w:r>
          </w:p>
        </w:tc>
        <w:tc>
          <w:tcPr>
            <w:tcW w:w="4394" w:type="dxa"/>
            <w:tcBorders>
              <w:top w:val="single" w:sz="4" w:space="0" w:color="auto"/>
              <w:left w:val="single" w:sz="4" w:space="0" w:color="auto"/>
              <w:bottom w:val="single" w:sz="4" w:space="0" w:color="auto"/>
              <w:right w:val="single" w:sz="4" w:space="0" w:color="auto"/>
            </w:tcBorders>
          </w:tcPr>
          <w:p w14:paraId="03ADE776" w14:textId="343847A1" w:rsidR="00A16B99" w:rsidRPr="00A16B99" w:rsidRDefault="00A16B99" w:rsidP="008E1F6E">
            <w:r>
              <w:t>R</w:t>
            </w:r>
            <w:r w:rsidRPr="00A16B99">
              <w:t>isk of SGA relative to the mean</w:t>
            </w:r>
            <w:r>
              <w:t xml:space="preserve"> (</w:t>
            </w:r>
            <w:r w:rsidRPr="00B77F42">
              <w:t>21.5 kg/m</w:t>
            </w:r>
            <w:r w:rsidRPr="008E1F6E">
              <w:rPr>
                <w:vertAlign w:val="superscript"/>
              </w:rPr>
              <w:t>2</w:t>
            </w:r>
            <w:r>
              <w:t>):</w:t>
            </w:r>
          </w:p>
          <w:p w14:paraId="17609EB0" w14:textId="497C7A84" w:rsidR="00A16B99" w:rsidRDefault="00A16B99" w:rsidP="008E1F6E">
            <w:pPr>
              <w:pStyle w:val="bullet"/>
            </w:pPr>
            <w:r w:rsidRPr="00B77F42">
              <w:t xml:space="preserve">12.5 kg/m: </w:t>
            </w:r>
            <w:r>
              <w:t xml:space="preserve">RR </w:t>
            </w:r>
            <w:r w:rsidRPr="00B77F42">
              <w:t xml:space="preserve">1.907 (1.477 </w:t>
            </w:r>
            <w:r>
              <w:t>to</w:t>
            </w:r>
            <w:r w:rsidRPr="00B77F42">
              <w:t xml:space="preserve"> 2.461)</w:t>
            </w:r>
          </w:p>
          <w:p w14:paraId="70B482A0" w14:textId="33CD6B33" w:rsidR="00A16B99" w:rsidRDefault="00A16B99" w:rsidP="008E1F6E">
            <w:pPr>
              <w:pStyle w:val="bullet"/>
            </w:pPr>
            <w:r w:rsidRPr="00B77F42">
              <w:t>15.5 kg/m</w:t>
            </w:r>
            <w:r>
              <w:t xml:space="preserve">2: RR </w:t>
            </w:r>
            <w:r w:rsidRPr="00B77F42">
              <w:t xml:space="preserve">1.514 (1.282 </w:t>
            </w:r>
            <w:r>
              <w:t>to</w:t>
            </w:r>
            <w:r w:rsidRPr="00B77F42">
              <w:t xml:space="preserve"> 1.786)</w:t>
            </w:r>
          </w:p>
          <w:p w14:paraId="2FC009B3" w14:textId="001A7737" w:rsidR="00D71665" w:rsidRPr="00A16B99" w:rsidRDefault="00A16B99" w:rsidP="008E1F6E">
            <w:pPr>
              <w:pStyle w:val="bullet"/>
            </w:pPr>
            <w:r w:rsidRPr="00B77F42">
              <w:t>18.5 kg/m</w:t>
            </w:r>
            <w:r>
              <w:t xml:space="preserve">2: RR </w:t>
            </w:r>
            <w:r w:rsidRPr="00B77F42">
              <w:t xml:space="preserve">1.210 (1.119 </w:t>
            </w:r>
            <w:r>
              <w:t>to</w:t>
            </w:r>
            <w:r w:rsidRPr="00B77F42">
              <w:t xml:space="preserve"> 1.309)</w:t>
            </w:r>
          </w:p>
        </w:tc>
        <w:tc>
          <w:tcPr>
            <w:tcW w:w="2411" w:type="dxa"/>
            <w:tcBorders>
              <w:top w:val="single" w:sz="4" w:space="0" w:color="auto"/>
              <w:left w:val="single" w:sz="4" w:space="0" w:color="auto"/>
              <w:bottom w:val="single" w:sz="4" w:space="0" w:color="auto"/>
              <w:right w:val="single" w:sz="4" w:space="0" w:color="auto"/>
            </w:tcBorders>
          </w:tcPr>
          <w:p w14:paraId="7540EB45" w14:textId="77777777" w:rsidR="00D71665" w:rsidRDefault="00D71665" w:rsidP="00150085"/>
        </w:tc>
      </w:tr>
      <w:tr w:rsidR="009C7703" w:rsidRPr="00B60FFF" w14:paraId="68301C9A" w14:textId="77777777" w:rsidTr="004421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078EDC7B" w14:textId="2AAD636F" w:rsidR="009C7703" w:rsidRDefault="009C7703" w:rsidP="002747EA">
            <w:r>
              <w:t>Yu et al 2013</w:t>
            </w:r>
            <w:r w:rsidR="00D07346">
              <w:fldChar w:fldCharType="begin"/>
            </w:r>
            <w:r w:rsidR="002747EA">
              <w:instrText xml:space="preserve"> ADDIN EN.CITE &lt;EndNote&gt;&lt;Cite&gt;&lt;Author&gt;Yu&lt;/Author&gt;&lt;Year&gt;2013&lt;/Year&gt;&lt;RecNum&gt;1867&lt;/RecNum&gt;&lt;DisplayText&gt;&lt;style face="superscript" font="Trebuchet MS" size="9"&gt;392&lt;/style&gt;&lt;/DisplayText&gt;&lt;record&gt;&lt;rec-number&gt;1867&lt;/rec-number&gt;&lt;foreign-keys&gt;&lt;key app="EN" db-id="exvasrfx2dtraoesasxp2szsxa2df502592x" timestamp="1587875400"&gt;1867&lt;/key&gt;&lt;/foreign-keys&gt;&lt;ref-type name="Journal Article"&gt;17&lt;/ref-type&gt;&lt;contributors&gt;&lt;authors&gt;&lt;author&gt;Yu, Z.&lt;/author&gt;&lt;author&gt;Han, S.&lt;/author&gt;&lt;author&gt;Zhu, J.&lt;/author&gt;&lt;author&gt;Sun, X.&lt;/author&gt;&lt;author&gt;Ji, C.&lt;/author&gt;&lt;author&gt;Guo, X.&lt;/author&gt;&lt;/authors&gt;&lt;/contributors&gt;&lt;auth-address&gt;State Key Laboratory of Reproductive Medicine, Department of Pediatrics, Nanjing Maternity and Child Health Care Hospital, Nanjing Medical University, Nanjing, China.&lt;/auth-address&gt;&lt;titles&gt;&lt;title&gt;Pre-pregnancy body mass index in relation to infant birth weight and offspring overweight/obesity: a systematic review and meta-analysis&lt;/title&gt;&lt;secondary-title&gt;PLoS One&lt;/secondary-title&gt;&lt;/titles&gt;&lt;periodical&gt;&lt;full-title&gt;PLoS One&lt;/full-title&gt;&lt;/periodical&gt;&lt;pages&gt;e61627&lt;/pages&gt;&lt;volume&gt;8&lt;/volume&gt;&lt;number&gt;4&lt;/number&gt;&lt;edition&gt;2013/04/25&lt;/edition&gt;&lt;keywords&gt;&lt;keyword&gt;Birth Weight/*physiology&lt;/keyword&gt;&lt;keyword&gt;*Body Mass Index&lt;/keyword&gt;&lt;keyword&gt;Female&lt;/keyword&gt;&lt;keyword&gt;Humans&lt;/keyword&gt;&lt;keyword&gt;Infant, Newborn&lt;/keyword&gt;&lt;keyword&gt;Obesity/*epidemiology&lt;/keyword&gt;&lt;keyword&gt;Overweight/*epidemiology&lt;/keyword&gt;&lt;keyword&gt;Pregnancy&lt;/keyword&gt;&lt;/keywords&gt;&lt;dates&gt;&lt;year&gt;2013&lt;/year&gt;&lt;/dates&gt;&lt;isbn&gt;1932-6203 (Electronic)&amp;#xD;1932-6203 (Linking)&lt;/isbn&gt;&lt;accession-num&gt;23613888&lt;/accession-num&gt;&lt;urls&gt;&lt;related-urls&gt;&lt;url&gt;https://www.ncbi.nlm.nih.gov/pubmed/23613888&lt;/url&gt;&lt;/related-urls&gt;&lt;/urls&gt;&lt;custom2&gt;PMC3628788&lt;/custom2&gt;&lt;electronic-resource-num&gt;10.1371/journal.pone.0061627&lt;/electronic-resource-num&gt;&lt;/record&gt;&lt;/Cite&gt;&lt;/EndNote&gt;</w:instrText>
            </w:r>
            <w:r w:rsidR="00D07346">
              <w:fldChar w:fldCharType="separate"/>
            </w:r>
            <w:r w:rsidR="002747EA" w:rsidRPr="002747EA">
              <w:rPr>
                <w:noProof/>
                <w:vertAlign w:val="superscript"/>
              </w:rPr>
              <w:t>392</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0EAD16C8" w14:textId="6F84FAFF" w:rsidR="009C7703" w:rsidRDefault="001A36A7" w:rsidP="00150085">
            <w:r>
              <w:t>45 studies</w:t>
            </w:r>
          </w:p>
        </w:tc>
        <w:tc>
          <w:tcPr>
            <w:tcW w:w="4252" w:type="dxa"/>
            <w:tcBorders>
              <w:top w:val="single" w:sz="4" w:space="0" w:color="auto"/>
              <w:left w:val="single" w:sz="4" w:space="0" w:color="auto"/>
              <w:bottom w:val="single" w:sz="4" w:space="0" w:color="auto"/>
              <w:right w:val="single" w:sz="4" w:space="0" w:color="auto"/>
            </w:tcBorders>
          </w:tcPr>
          <w:p w14:paraId="70D1D324" w14:textId="77777777" w:rsidR="009C7703" w:rsidRDefault="009C7703" w:rsidP="009C7703">
            <w:r w:rsidRPr="008E1F6E">
              <w:rPr>
                <w:b/>
              </w:rPr>
              <w:t>Aim</w:t>
            </w:r>
            <w:r>
              <w:t>: T</w:t>
            </w:r>
            <w:r w:rsidRPr="009C7703">
              <w:t xml:space="preserve">o determine if pre-pregnancy body mass index (BMI) is related to infant birth weight (BW) and offspring overweight/obesity. </w:t>
            </w:r>
          </w:p>
          <w:p w14:paraId="214F9DB2" w14:textId="1B58D931" w:rsidR="009C7703" w:rsidRPr="009C7703" w:rsidRDefault="009C7703" w:rsidP="009C7703">
            <w:pPr>
              <w:rPr>
                <w:b/>
              </w:rPr>
            </w:pPr>
            <w:r w:rsidRPr="008E1F6E">
              <w:rPr>
                <w:b/>
              </w:rPr>
              <w:t>Methods</w:t>
            </w:r>
            <w:r w:rsidRPr="009C7703">
              <w:t xml:space="preserve">: Three electronic bibliographic databases (MEDLINE, EMBASE and CINAHL) were searched systematically from January 1970 to November 2012. The dichotomous data on pre-pregnancy overweight/obesity and BW or offspring overweight/obesity were extracted. Summary statistics (odds ratios, ORs) were used by Review Manager, version 5.1.7. </w:t>
            </w:r>
          </w:p>
        </w:tc>
        <w:tc>
          <w:tcPr>
            <w:tcW w:w="4394" w:type="dxa"/>
            <w:tcBorders>
              <w:top w:val="single" w:sz="4" w:space="0" w:color="auto"/>
              <w:left w:val="single" w:sz="4" w:space="0" w:color="auto"/>
              <w:bottom w:val="single" w:sz="4" w:space="0" w:color="auto"/>
              <w:right w:val="single" w:sz="4" w:space="0" w:color="auto"/>
            </w:tcBorders>
          </w:tcPr>
          <w:p w14:paraId="7A02C328" w14:textId="77777777" w:rsidR="001A36A7" w:rsidRDefault="009C7703" w:rsidP="001A36A7">
            <w:r w:rsidRPr="009C7703">
              <w:t xml:space="preserve">Compared with </w:t>
            </w:r>
            <w:r w:rsidR="001A36A7">
              <w:t>healthy</w:t>
            </w:r>
            <w:r w:rsidRPr="009C7703">
              <w:t xml:space="preserve">-weight </w:t>
            </w:r>
            <w:r w:rsidR="001A36A7">
              <w:t>women</w:t>
            </w:r>
            <w:r w:rsidRPr="009C7703">
              <w:t>, pre-pregnancy un</w:t>
            </w:r>
            <w:r w:rsidR="001A36A7">
              <w:t>derweight increased the risk of:</w:t>
            </w:r>
          </w:p>
          <w:p w14:paraId="153EA68C" w14:textId="468F3813" w:rsidR="001A36A7" w:rsidRDefault="001A36A7" w:rsidP="008E1F6E">
            <w:pPr>
              <w:pStyle w:val="bullet"/>
            </w:pPr>
            <w:r>
              <w:t xml:space="preserve">small for gestational age: OR </w:t>
            </w:r>
            <w:r w:rsidR="009C7703" w:rsidRPr="009C7703">
              <w:t>1.81; 95%</w:t>
            </w:r>
            <w:r>
              <w:t>CI</w:t>
            </w:r>
            <w:r w:rsidR="009C7703" w:rsidRPr="009C7703">
              <w:t xml:space="preserve"> 1.76</w:t>
            </w:r>
            <w:r>
              <w:t xml:space="preserve"> to 1.87</w:t>
            </w:r>
          </w:p>
          <w:p w14:paraId="0661817F" w14:textId="22CFA6C1" w:rsidR="001A36A7" w:rsidRPr="001A36A7" w:rsidRDefault="001A36A7" w:rsidP="008E1F6E">
            <w:pPr>
              <w:pStyle w:val="bullet"/>
            </w:pPr>
            <w:r>
              <w:t xml:space="preserve">low birthweight: </w:t>
            </w:r>
            <w:r w:rsidR="00BE3F0E">
              <w:t>OR</w:t>
            </w:r>
            <w:r>
              <w:t xml:space="preserve"> 1.47; 95%CI 1.27 to 1.71</w:t>
            </w:r>
            <w:r w:rsidR="009C7703" w:rsidRPr="009C7703">
              <w:t xml:space="preserve">. </w:t>
            </w:r>
            <w:r w:rsidRPr="009C7703">
              <w:t xml:space="preserve"> </w:t>
            </w:r>
          </w:p>
        </w:tc>
        <w:tc>
          <w:tcPr>
            <w:tcW w:w="2411" w:type="dxa"/>
            <w:tcBorders>
              <w:top w:val="single" w:sz="4" w:space="0" w:color="auto"/>
              <w:left w:val="single" w:sz="4" w:space="0" w:color="auto"/>
              <w:bottom w:val="single" w:sz="4" w:space="0" w:color="auto"/>
              <w:right w:val="single" w:sz="4" w:space="0" w:color="auto"/>
            </w:tcBorders>
          </w:tcPr>
          <w:p w14:paraId="65B191B8" w14:textId="283F9E21" w:rsidR="009C7703" w:rsidRDefault="009C7703" w:rsidP="001A36A7"/>
        </w:tc>
      </w:tr>
      <w:tr w:rsidR="00A01AC6" w:rsidRPr="00B60FFF" w14:paraId="249926D0" w14:textId="77777777" w:rsidTr="004421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632C53ED" w14:textId="0111B744" w:rsidR="00A01AC6" w:rsidRDefault="00A01AC6" w:rsidP="002747EA">
            <w:r>
              <w:t>Balsells et al 2016</w:t>
            </w:r>
            <w:r w:rsidR="00D07346">
              <w:fldChar w:fldCharType="begin">
                <w:fldData xml:space="preserve">PEVuZE5vdGU+PENpdGU+PEF1dGhvcj5CYWxzZWxsczwvQXV0aG9yPjxZZWFyPjIwMTY8L1llYXI+
PFJlY051bT4xODU5PC9SZWNOdW0+PERpc3BsYXlUZXh0PjxzdHlsZSBmYWNlPSJzdXBlcnNjcmlw
dCIgZm9udD0iVHJlYnVjaGV0IE1TIiBzaXplPSI5Ij4zOTM8L3N0eWxlPjwvRGlzcGxheVRleHQ+
PHJlY29yZD48cmVjLW51bWJlcj4xODU5PC9yZWMtbnVtYmVyPjxmb3JlaWduLWtleXM+PGtleSBh
cHA9IkVOIiBkYi1pZD0iZXh2YXNyZngyZHRyYW9lc2FzeHAyc3pzeGEyZGY1MDI1OTJ4IiB0aW1l
c3RhbXA9IjE1ODc3OTQxMTkiPjE4NTk8L2tleT48a2V5IGFwcD0iRU5XZWIiIGRiLWlkPSIiPjA8
L2tleT48L2ZvcmVpZ24ta2V5cz48cmVmLXR5cGUgbmFtZT0iSm91cm5hbCBBcnRpY2xlIj4xNzwv
cmVmLXR5cGU+PGNvbnRyaWJ1dG9ycz48YXV0aG9ycz48YXV0aG9yPkJhbHNlbGxzLCBNLjwvYXV0
aG9yPjxhdXRob3I+R2FyY2lhLVBhdHRlcnNvbiwgQS48L2F1dGhvcj48YXV0aG9yPkNvcmNveSwg
Ui48L2F1dGhvcj48L2F1dGhvcnM+PC9jb250cmlidXRvcnM+PGF1dGgtYWRkcmVzcz5EZXBhcnRt
ZW50IG9mIEVuZG9jcmlub2xvZ3kgYW5kIE51dHJpdGlvbiwgSG9zcGl0YWwgTXV0dWEgZGUgVGVy
cmFzc2EsIFBsYWNhIERyIFJvYmVydCA1LCBUZXJyYXNzYSAwODIyMSBCYXJjZWxvbmEsIFNwYWlu
LiBFbGVjdHJvbmljIGFkZHJlc3M6IDIzNTkxbWJjQGNvbWIuY2F0LiYjeEQ7RGVwYXJ0bWVudCBv
ZiBFbmRvY3Jpbm9sb2d5IGFuZCBOdXRyaXRpb24sIEhvc3BpdGFsIGRlIGxhIFNhbnRhIENyZXUg
aSBTYW50IFBhdSwgUyBBbnRvbmkgTSBmZW1pbmluZSBDbGFyZXQgMTY3LCBCYXJjZWxvbmEgMDgw
MjUsIFNwYWluLiBFbGVjdHJvbmljIGFkZHJlc3M6IDMxMTc4YWdwQGNvbWIuY2F0LiYjeEQ7RGVw
YXJ0bWVudCBvZiBFbmRvY3Jpbm9sb2d5IGFuZCBOdXRyaXRpb24sIEhvc3BpdGFsIGRlIGxhIFNh
bnRhIENyZXUgaSBTYW50IFBhdSwgUyBBbnRvbmkgTSBmZW1pbmluZSBDbGFyZXQgMTY3LCBCYXJj
ZWxvbmEgMDgwMjUsIFNwYWluOyBEZXBhcnRtZW50IG9mIE1lZGljaW5lLCBVbml2ZXJzaXRhdCBB
dXRvbm9tYSBkZSBCYXJjZWxvbmEsIEJlbGxhdGVycmEsIFNwYWluOyBDSUJFUiBCaW9lbmdpbmVl
cmluZywgQmlvbWF0ZXJpYWxzIGFuZCBOYW5vdGVjaG5vbG9neSwgSW5zdGl0dXRvIGRlIFNhbHVk
IENhcmxvcyBJSUksIFphcmFnb3phLCBTcGFpbi4gRWxlY3Ryb25pYyBhZGRyZXNzOiByY29yY295
QHNhbnRwYXUuY2F0LjwvYXV0aC1hZGRyZXNzPjx0aXRsZXM+PHRpdGxlPlN5c3RlbWF0aWMgcmV2
aWV3IGFuZCBtZXRhLWFuYWx5c2lzIG9uIHRoZSBhc3NvY2lhdGlvbiBvZiBwcmVwcmVnbmFuY3kg
dW5kZXJ3ZWlnaHQgYW5kIG1pc2NhcnJpYWdlPC90aXRsZT48c2Vjb25kYXJ5LXRpdGxlPkV1ciBK
IE9ic3RldCBHeW5lY29sIFJlcHJvZCBCaW9sPC9zZWNvbmRhcnktdGl0bGU+PC90aXRsZXM+PHBl
cmlvZGljYWw+PGZ1bGwtdGl0bGU+RXVyIEogT2JzdGV0IEd5bmVjb2wgUmVwcm9kIEJpb2w8L2Z1
bGwtdGl0bGU+PC9wZXJpb2RpY2FsPjxwYWdlcz43My03OTwvcGFnZXM+PHZvbHVtZT4yMDc8L3Zv
bHVtZT48ZWRpdGlvbj4yMDE2LzExLzA5PC9lZGl0aW9uPjxrZXl3b3Jkcz48a2V5d29yZD5BYm9y
dGlvbiwgU3BvbnRhbmVvdXMvZXBpZGVtaW9sb2d5LypldGlvbG9neTwva2V5d29yZD48a2V5d29y
ZD5BZHVsdDwva2V5d29yZD48a2V5d29yZD5DYXNlLUNvbnRyb2wgU3R1ZGllczwva2V5d29yZD48
a2V5d29yZD5Db2hvcnQgU3R1ZGllczwva2V5d29yZD48a2V5d29yZD5GZW1hbGU8L2tleXdvcmQ+
PGtleXdvcmQ+SHVtYW5zPC9rZXl3b3JkPjxrZXl3b3JkPipNYXRlcm5hbCBOdXRyaXRpb25hbCBQ
aHlzaW9sb2dpY2FsIFBoZW5vbWVuYTwva2V5d29yZD48a2V5d29yZD5PYmVzaXR5L3BoeXNpb3Bh
dGhvbG9neTwva2V5d29yZD48a2V5d29yZD5PYmVzaXR5LCBNb3JiaWQvcGh5c2lvcGF0aG9sb2d5
PC9rZXl3b3JkPjxrZXl3b3JkPk92ZXJ3ZWlnaHQvcGh5c2lvcGF0aG9sb2d5PC9rZXl3b3JkPjxr
ZXl3b3JkPlByZWduYW5jeTwva2V5d29yZD48a2V5d29yZD5QcmVnbmFuY3kgQ29tcGxpY2F0aW9u
cy8qcGh5c2lvcGF0aG9sb2d5PC9rZXl3b3JkPjxrZXl3b3JkPlJlcHJvZHVjaWJpbGl0eSBvZiBS
ZXN1bHRzPC9rZXl3b3JkPjxrZXl3b3JkPlJlcHJvZHVjdGl2ZSBUZWNobmlxdWVzLCBBc3Npc3Rl
ZDwva2V5d29yZD48a2V5d29yZD5SaXNrPC9rZXl3b3JkPjxrZXl3b3JkPlRoaW5uZXNzLypwaHlz
aW9wYXRob2xvZ3k8L2tleXdvcmQ+PGtleXdvcmQ+QXNzaXN0ZWQgcmVwcm9kdWN0aW9uIHRlY2hu
aXF1ZXM8L2tleXdvcmQ+PGtleXdvcmQ+Qm9keSBtYXNzIGluZGV4PC9rZXl3b3JkPjxrZXl3b3Jk
PkNsaW5pY2FsIG1pc2NhcnJpYWdlPC9rZXl3b3JkPjxrZXl3b3JkPlNwb250YW5lb3VzIHByZWdu
YW5jeTwva2V5d29yZD48a2V5d29yZD5VbmRlcndlaWdodDwva2V5d29yZD48L2tleXdvcmRzPjxk
YXRlcz48eWVhcj4yMDE2PC95ZWFyPjxwdWItZGF0ZXM+PGRhdGU+RGVjPC9kYXRlPjwvcHViLWRh
dGVzPjwvZGF0ZXM+PGlzYm4+MTg3Mi03NjU0IChFbGVjdHJvbmljKSYjeEQ7MDMwMS0yMTE1IChM
aW5raW5nKTwvaXNibj48YWNjZXNzaW9uLW51bT4yNzgyNTAzMTwvYWNjZXNzaW9uLW51bT48dXJs
cz48cmVsYXRlZC11cmxzPjx1cmw+aHR0cHM6Ly93d3cubmNiaS5ubG0ubmloLmdvdi9wdWJtZWQv
Mjc4MjUwMzE8L3VybD48L3JlbGF0ZWQtdXJscz48L3VybHM+PGVsZWN0cm9uaWMtcmVzb3VyY2Ut
bnVtPjEwLjEwMTYvai5lam9ncmIuMjAxNi4xMC4wMTI8L2VsZWN0cm9uaWMtcmVzb3VyY2UtbnVt
PjwvcmVjb3JkPjwvQ2l0ZT48L0VuZE5vdGU+AG==
</w:fldData>
              </w:fldChar>
            </w:r>
            <w:r w:rsidR="002747EA">
              <w:instrText xml:space="preserve"> ADDIN EN.CITE </w:instrText>
            </w:r>
            <w:r w:rsidR="002747EA">
              <w:fldChar w:fldCharType="begin">
                <w:fldData xml:space="preserve">PEVuZE5vdGU+PENpdGU+PEF1dGhvcj5CYWxzZWxsczwvQXV0aG9yPjxZZWFyPjIwMTY8L1llYXI+
PFJlY051bT4xODU5PC9SZWNOdW0+PERpc3BsYXlUZXh0PjxzdHlsZSBmYWNlPSJzdXBlcnNjcmlw
dCIgZm9udD0iVHJlYnVjaGV0IE1TIiBzaXplPSI5Ij4zOTM8L3N0eWxlPjwvRGlzcGxheVRleHQ+
PHJlY29yZD48cmVjLW51bWJlcj4xODU5PC9yZWMtbnVtYmVyPjxmb3JlaWduLWtleXM+PGtleSBh
cHA9IkVOIiBkYi1pZD0iZXh2YXNyZngyZHRyYW9lc2FzeHAyc3pzeGEyZGY1MDI1OTJ4IiB0aW1l
c3RhbXA9IjE1ODc3OTQxMTkiPjE4NTk8L2tleT48a2V5IGFwcD0iRU5XZWIiIGRiLWlkPSIiPjA8
L2tleT48L2ZvcmVpZ24ta2V5cz48cmVmLXR5cGUgbmFtZT0iSm91cm5hbCBBcnRpY2xlIj4xNzwv
cmVmLXR5cGU+PGNvbnRyaWJ1dG9ycz48YXV0aG9ycz48YXV0aG9yPkJhbHNlbGxzLCBNLjwvYXV0
aG9yPjxhdXRob3I+R2FyY2lhLVBhdHRlcnNvbiwgQS48L2F1dGhvcj48YXV0aG9yPkNvcmNveSwg
Ui48L2F1dGhvcj48L2F1dGhvcnM+PC9jb250cmlidXRvcnM+PGF1dGgtYWRkcmVzcz5EZXBhcnRt
ZW50IG9mIEVuZG9jcmlub2xvZ3kgYW5kIE51dHJpdGlvbiwgSG9zcGl0YWwgTXV0dWEgZGUgVGVy
cmFzc2EsIFBsYWNhIERyIFJvYmVydCA1LCBUZXJyYXNzYSAwODIyMSBCYXJjZWxvbmEsIFNwYWlu
LiBFbGVjdHJvbmljIGFkZHJlc3M6IDIzNTkxbWJjQGNvbWIuY2F0LiYjeEQ7RGVwYXJ0bWVudCBv
ZiBFbmRvY3Jpbm9sb2d5IGFuZCBOdXRyaXRpb24sIEhvc3BpdGFsIGRlIGxhIFNhbnRhIENyZXUg
aSBTYW50IFBhdSwgUyBBbnRvbmkgTSBmZW1pbmluZSBDbGFyZXQgMTY3LCBCYXJjZWxvbmEgMDgw
MjUsIFNwYWluLiBFbGVjdHJvbmljIGFkZHJlc3M6IDMxMTc4YWdwQGNvbWIuY2F0LiYjeEQ7RGVw
YXJ0bWVudCBvZiBFbmRvY3Jpbm9sb2d5IGFuZCBOdXRyaXRpb24sIEhvc3BpdGFsIGRlIGxhIFNh
bnRhIENyZXUgaSBTYW50IFBhdSwgUyBBbnRvbmkgTSBmZW1pbmluZSBDbGFyZXQgMTY3LCBCYXJj
ZWxvbmEgMDgwMjUsIFNwYWluOyBEZXBhcnRtZW50IG9mIE1lZGljaW5lLCBVbml2ZXJzaXRhdCBB
dXRvbm9tYSBkZSBCYXJjZWxvbmEsIEJlbGxhdGVycmEsIFNwYWluOyBDSUJFUiBCaW9lbmdpbmVl
cmluZywgQmlvbWF0ZXJpYWxzIGFuZCBOYW5vdGVjaG5vbG9neSwgSW5zdGl0dXRvIGRlIFNhbHVk
IENhcmxvcyBJSUksIFphcmFnb3phLCBTcGFpbi4gRWxlY3Ryb25pYyBhZGRyZXNzOiByY29yY295
QHNhbnRwYXUuY2F0LjwvYXV0aC1hZGRyZXNzPjx0aXRsZXM+PHRpdGxlPlN5c3RlbWF0aWMgcmV2
aWV3IGFuZCBtZXRhLWFuYWx5c2lzIG9uIHRoZSBhc3NvY2lhdGlvbiBvZiBwcmVwcmVnbmFuY3kg
dW5kZXJ3ZWlnaHQgYW5kIG1pc2NhcnJpYWdlPC90aXRsZT48c2Vjb25kYXJ5LXRpdGxlPkV1ciBK
IE9ic3RldCBHeW5lY29sIFJlcHJvZCBCaW9sPC9zZWNvbmRhcnktdGl0bGU+PC90aXRsZXM+PHBl
cmlvZGljYWw+PGZ1bGwtdGl0bGU+RXVyIEogT2JzdGV0IEd5bmVjb2wgUmVwcm9kIEJpb2w8L2Z1
bGwtdGl0bGU+PC9wZXJpb2RpY2FsPjxwYWdlcz43My03OTwvcGFnZXM+PHZvbHVtZT4yMDc8L3Zv
bHVtZT48ZWRpdGlvbj4yMDE2LzExLzA5PC9lZGl0aW9uPjxrZXl3b3Jkcz48a2V5d29yZD5BYm9y
dGlvbiwgU3BvbnRhbmVvdXMvZXBpZGVtaW9sb2d5LypldGlvbG9neTwva2V5d29yZD48a2V5d29y
ZD5BZHVsdDwva2V5d29yZD48a2V5d29yZD5DYXNlLUNvbnRyb2wgU3R1ZGllczwva2V5d29yZD48
a2V5d29yZD5Db2hvcnQgU3R1ZGllczwva2V5d29yZD48a2V5d29yZD5GZW1hbGU8L2tleXdvcmQ+
PGtleXdvcmQ+SHVtYW5zPC9rZXl3b3JkPjxrZXl3b3JkPipNYXRlcm5hbCBOdXRyaXRpb25hbCBQ
aHlzaW9sb2dpY2FsIFBoZW5vbWVuYTwva2V5d29yZD48a2V5d29yZD5PYmVzaXR5L3BoeXNpb3Bh
dGhvbG9neTwva2V5d29yZD48a2V5d29yZD5PYmVzaXR5LCBNb3JiaWQvcGh5c2lvcGF0aG9sb2d5
PC9rZXl3b3JkPjxrZXl3b3JkPk92ZXJ3ZWlnaHQvcGh5c2lvcGF0aG9sb2d5PC9rZXl3b3JkPjxr
ZXl3b3JkPlByZWduYW5jeTwva2V5d29yZD48a2V5d29yZD5QcmVnbmFuY3kgQ29tcGxpY2F0aW9u
cy8qcGh5c2lvcGF0aG9sb2d5PC9rZXl3b3JkPjxrZXl3b3JkPlJlcHJvZHVjaWJpbGl0eSBvZiBS
ZXN1bHRzPC9rZXl3b3JkPjxrZXl3b3JkPlJlcHJvZHVjdGl2ZSBUZWNobmlxdWVzLCBBc3Npc3Rl
ZDwva2V5d29yZD48a2V5d29yZD5SaXNrPC9rZXl3b3JkPjxrZXl3b3JkPlRoaW5uZXNzLypwaHlz
aW9wYXRob2xvZ3k8L2tleXdvcmQ+PGtleXdvcmQ+QXNzaXN0ZWQgcmVwcm9kdWN0aW9uIHRlY2hu
aXF1ZXM8L2tleXdvcmQ+PGtleXdvcmQ+Qm9keSBtYXNzIGluZGV4PC9rZXl3b3JkPjxrZXl3b3Jk
PkNsaW5pY2FsIG1pc2NhcnJpYWdlPC9rZXl3b3JkPjxrZXl3b3JkPlNwb250YW5lb3VzIHByZWdu
YW5jeTwva2V5d29yZD48a2V5d29yZD5VbmRlcndlaWdodDwva2V5d29yZD48L2tleXdvcmRzPjxk
YXRlcz48eWVhcj4yMDE2PC95ZWFyPjxwdWItZGF0ZXM+PGRhdGU+RGVjPC9kYXRlPjwvcHViLWRh
dGVzPjwvZGF0ZXM+PGlzYm4+MTg3Mi03NjU0IChFbGVjdHJvbmljKSYjeEQ7MDMwMS0yMTE1IChM
aW5raW5nKTwvaXNibj48YWNjZXNzaW9uLW51bT4yNzgyNTAzMTwvYWNjZXNzaW9uLW51bT48dXJs
cz48cmVsYXRlZC11cmxzPjx1cmw+aHR0cHM6Ly93d3cubmNiaS5ubG0ubmloLmdvdi9wdWJtZWQv
Mjc4MjUwMzE8L3VybD48L3JlbGF0ZWQtdXJscz48L3VybHM+PGVsZWN0cm9uaWMtcmVzb3VyY2Ut
bnVtPjEwLjEwMTYvai5lam9ncmIuMjAxNi4xMC4wMTI8L2VsZWN0cm9uaWMtcmVzb3VyY2UtbnVt
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393</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7B96ADFD" w14:textId="77777777" w:rsidR="00A01AC6" w:rsidRDefault="00A01AC6" w:rsidP="00A01AC6">
            <w:r w:rsidRPr="00A01AC6">
              <w:t xml:space="preserve">32 studies (30 cohort, 2 case control) </w:t>
            </w:r>
          </w:p>
          <w:p w14:paraId="369C9BB7" w14:textId="5E9DCD00" w:rsidR="00A01AC6" w:rsidRDefault="00A01AC6" w:rsidP="00A01AC6">
            <w:r w:rsidRPr="00A01AC6">
              <w:t>265,760 women</w:t>
            </w:r>
          </w:p>
        </w:tc>
        <w:tc>
          <w:tcPr>
            <w:tcW w:w="4252" w:type="dxa"/>
            <w:tcBorders>
              <w:top w:val="single" w:sz="4" w:space="0" w:color="auto"/>
              <w:left w:val="single" w:sz="4" w:space="0" w:color="auto"/>
              <w:bottom w:val="single" w:sz="4" w:space="0" w:color="auto"/>
              <w:right w:val="single" w:sz="4" w:space="0" w:color="auto"/>
            </w:tcBorders>
          </w:tcPr>
          <w:p w14:paraId="0BC7FA78" w14:textId="5FF6B3B5" w:rsidR="00A01AC6" w:rsidRDefault="00A01AC6" w:rsidP="00A01AC6">
            <w:r>
              <w:rPr>
                <w:b/>
              </w:rPr>
              <w:t xml:space="preserve">Aim: </w:t>
            </w:r>
            <w:r w:rsidRPr="00A01AC6">
              <w:t>To re</w:t>
            </w:r>
            <w:r w:rsidR="00CB574D">
              <w:t>view the literature and summaris</w:t>
            </w:r>
            <w:r w:rsidRPr="00A01AC6">
              <w:t xml:space="preserve">e the risk of miscarriage in underweight women vs those with </w:t>
            </w:r>
            <w:r>
              <w:t>healthy</w:t>
            </w:r>
            <w:r w:rsidRPr="00A01AC6">
              <w:t xml:space="preserve"> weight. </w:t>
            </w:r>
          </w:p>
          <w:p w14:paraId="310E958C" w14:textId="02361221" w:rsidR="00A01AC6" w:rsidRPr="00A01AC6" w:rsidRDefault="00A01AC6" w:rsidP="00A01AC6">
            <w:pPr>
              <w:rPr>
                <w:b/>
              </w:rPr>
            </w:pPr>
            <w:r w:rsidRPr="008E1F6E">
              <w:rPr>
                <w:b/>
              </w:rPr>
              <w:t>Methods</w:t>
            </w:r>
            <w:r w:rsidRPr="00A01AC6">
              <w:t xml:space="preserve">: A Medline Search (1st January 1990-20th November 2015, human, in English, French, Italian, Spanish or Portuguese) was conducted. Both spontaneous pregnancies and pregnancies after assisted reproduction techniques were considered. Cohort and case control studies were included if they reported data on the outcome of interest (clinical miscarriage), in underweight and normal weight women. Information on clinical miscarriage in other body mass index categories was collected when available. Two investigators reviewed the abstracts, full text papers and extracted data. Review Manager 5.1 software was used to summarize the results. </w:t>
            </w:r>
          </w:p>
        </w:tc>
        <w:tc>
          <w:tcPr>
            <w:tcW w:w="4394" w:type="dxa"/>
            <w:tcBorders>
              <w:top w:val="single" w:sz="4" w:space="0" w:color="auto"/>
              <w:left w:val="single" w:sz="4" w:space="0" w:color="auto"/>
              <w:bottom w:val="single" w:sz="4" w:space="0" w:color="auto"/>
              <w:right w:val="single" w:sz="4" w:space="0" w:color="auto"/>
            </w:tcBorders>
          </w:tcPr>
          <w:p w14:paraId="6BD9DA1A" w14:textId="4C38726F" w:rsidR="00CB574D" w:rsidRDefault="00A77524" w:rsidP="00A01AC6">
            <w:r>
              <w:t xml:space="preserve">Risk of miscarriage </w:t>
            </w:r>
            <w:r w:rsidR="00CB574D">
              <w:t>among underweight women:</w:t>
            </w:r>
          </w:p>
          <w:p w14:paraId="2D3485CB" w14:textId="3074A2B3" w:rsidR="00A01AC6" w:rsidRDefault="00A01AC6" w:rsidP="008E1F6E">
            <w:pPr>
              <w:pStyle w:val="bullet"/>
            </w:pPr>
            <w:r w:rsidRPr="00A01AC6">
              <w:t>cohort studies</w:t>
            </w:r>
            <w:r w:rsidR="00CB574D">
              <w:t>: RR</w:t>
            </w:r>
            <w:r w:rsidRPr="00A01AC6">
              <w:t xml:space="preserve"> 1.08, 95% CI 1.05</w:t>
            </w:r>
            <w:r w:rsidR="00CB574D">
              <w:t xml:space="preserve"> to 1.11; p&lt;0.0001</w:t>
            </w:r>
          </w:p>
          <w:p w14:paraId="178BDC13" w14:textId="10A4900B" w:rsidR="00A01AC6" w:rsidRPr="00A01AC6" w:rsidRDefault="00A01AC6" w:rsidP="008E1F6E">
            <w:pPr>
              <w:pStyle w:val="bullet"/>
            </w:pPr>
            <w:r w:rsidRPr="00A01AC6">
              <w:t>case control studies</w:t>
            </w:r>
            <w:r w:rsidR="00CB574D">
              <w:t>: OR</w:t>
            </w:r>
            <w:r w:rsidRPr="00A01AC6">
              <w:t xml:space="preserve"> 1.02, 95% CI 0.46</w:t>
            </w:r>
            <w:r w:rsidR="00CB574D">
              <w:t xml:space="preserve"> to </w:t>
            </w:r>
            <w:r w:rsidRPr="00A01AC6">
              <w:t xml:space="preserve">2.30; p=0.95. </w:t>
            </w:r>
          </w:p>
        </w:tc>
        <w:tc>
          <w:tcPr>
            <w:tcW w:w="2411" w:type="dxa"/>
            <w:tcBorders>
              <w:top w:val="single" w:sz="4" w:space="0" w:color="auto"/>
              <w:left w:val="single" w:sz="4" w:space="0" w:color="auto"/>
              <w:bottom w:val="single" w:sz="4" w:space="0" w:color="auto"/>
              <w:right w:val="single" w:sz="4" w:space="0" w:color="auto"/>
            </w:tcBorders>
          </w:tcPr>
          <w:p w14:paraId="6B8691ED" w14:textId="77777777" w:rsidR="00A01AC6" w:rsidRDefault="00A01AC6" w:rsidP="001A36A7"/>
        </w:tc>
      </w:tr>
      <w:tr w:rsidR="00013666" w:rsidRPr="00B60FFF" w14:paraId="6EB77C41" w14:textId="77777777" w:rsidTr="0044218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56E9E76C" w14:textId="0FF6E589" w:rsidR="00013666" w:rsidRDefault="00013666" w:rsidP="002747EA">
            <w:r>
              <w:t>Adane et al 2019</w:t>
            </w:r>
            <w:r w:rsidR="00D07346">
              <w:fldChar w:fldCharType="begin"/>
            </w:r>
            <w:r w:rsidR="002747EA">
              <w:instrText xml:space="preserve"> ADDIN EN.CITE &lt;EndNote&gt;&lt;Cite&gt;&lt;Author&gt;Adane&lt;/Author&gt;&lt;Year&gt;2019&lt;/Year&gt;&lt;RecNum&gt;1858&lt;/RecNum&gt;&lt;DisplayText&gt;&lt;style face="superscript" font="Trebuchet MS" size="9"&gt;394&lt;/style&gt;&lt;/DisplayText&gt;&lt;record&gt;&lt;rec-number&gt;1858&lt;/rec-number&gt;&lt;foreign-keys&gt;&lt;key app="EN" db-id="exvasrfx2dtraoesasxp2szsxa2df502592x" timestamp="1587794110"&gt;1858&lt;/key&gt;&lt;key app="ENWeb" db-id=""&gt;0&lt;/key&gt;&lt;/foreign-keys&gt;&lt;ref-type name="Journal Article"&gt;17&lt;/ref-type&gt;&lt;contributors&gt;&lt;authors&gt;&lt;author&gt;Adane, A.A.,&lt;/author&gt;&lt;author&gt;Shepherd, C.C.J.&lt;/author&gt;&lt;author&gt;Lim, F.J.&lt;/author&gt;&lt;author&gt;White, S.W.&lt;/author&gt;&lt;author&gt;Farrant, B.M.&lt;/author&gt;&lt;author&gt;Bailey, H.D.&lt;/author&gt;&lt;/authors&gt;&lt;/contributors&gt;&lt;titles&gt;&lt;title&gt;The impact of pre-pregnancy body mass index and gestational weight gain on placental abruption risk: a systematic review and meta-analysis&lt;/title&gt;&lt;secondary-title&gt;Arch Gynecol Obstet&lt;/secondary-title&gt;&lt;/titles&gt;&lt;periodical&gt;&lt;full-title&gt;Arch Gynecol Obstet&lt;/full-title&gt;&lt;/periodical&gt;&lt;pages&gt;1201-1210&lt;/pages&gt;&lt;volume&gt;300&lt;/volume&gt;&lt;number&gt;5&lt;/number&gt;&lt;section&gt;1201&lt;/section&gt;&lt;dates&gt;&lt;year&gt;2019&lt;/year&gt;&lt;/dates&gt;&lt;isbn&gt;0932-0067&amp;#xD;1432-0711&lt;/isbn&gt;&lt;urls&gt;&lt;/urls&gt;&lt;electronic-resource-num&gt;10.1007/s00404-019-05320-8&lt;/electronic-resource-num&gt;&lt;/record&gt;&lt;/Cite&gt;&lt;/EndNote&gt;</w:instrText>
            </w:r>
            <w:r w:rsidR="00D07346">
              <w:fldChar w:fldCharType="separate"/>
            </w:r>
            <w:r w:rsidR="002747EA" w:rsidRPr="002747EA">
              <w:rPr>
                <w:noProof/>
                <w:vertAlign w:val="superscript"/>
              </w:rPr>
              <w:t>394</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665FF379" w14:textId="4896C121" w:rsidR="00013666" w:rsidRPr="00A01AC6" w:rsidRDefault="00E6794A" w:rsidP="00A01AC6">
            <w:r>
              <w:t xml:space="preserve">15 </w:t>
            </w:r>
            <w:r w:rsidR="00BA340B">
              <w:t xml:space="preserve">observational </w:t>
            </w:r>
            <w:r>
              <w:t>studies</w:t>
            </w:r>
          </w:p>
        </w:tc>
        <w:tc>
          <w:tcPr>
            <w:tcW w:w="4252" w:type="dxa"/>
            <w:tcBorders>
              <w:top w:val="single" w:sz="4" w:space="0" w:color="auto"/>
              <w:left w:val="single" w:sz="4" w:space="0" w:color="auto"/>
              <w:bottom w:val="single" w:sz="4" w:space="0" w:color="auto"/>
              <w:right w:val="single" w:sz="4" w:space="0" w:color="auto"/>
            </w:tcBorders>
          </w:tcPr>
          <w:p w14:paraId="0D3716A9" w14:textId="77777777" w:rsidR="00E6794A" w:rsidRPr="00E6794A" w:rsidRDefault="00E6794A" w:rsidP="00E6794A">
            <w:r w:rsidRPr="008E1F6E">
              <w:rPr>
                <w:b/>
              </w:rPr>
              <w:t>Aim</w:t>
            </w:r>
            <w:r>
              <w:t>: T</w:t>
            </w:r>
            <w:r w:rsidRPr="00E6794A">
              <w:t>o evaluate the associations between pre-pregnancy body mass index and</w:t>
            </w:r>
            <w:r>
              <w:t xml:space="preserve"> </w:t>
            </w:r>
            <w:r w:rsidRPr="00E6794A">
              <w:t>gestational weight gain and placental abruption.</w:t>
            </w:r>
          </w:p>
          <w:p w14:paraId="0A0C4F9D" w14:textId="55ACE13A" w:rsidR="00013666" w:rsidRPr="008E1F6E" w:rsidRDefault="00E6794A" w:rsidP="00A01AC6">
            <w:r w:rsidRPr="008E1F6E">
              <w:rPr>
                <w:rFonts w:ascii="Helvetica" w:hAnsi="Helvetica"/>
                <w:b/>
              </w:rPr>
              <w:t>Methods</w:t>
            </w:r>
            <w:r>
              <w:rPr>
                <w:rFonts w:ascii="Helvetica" w:hAnsi="Helvetica"/>
              </w:rPr>
              <w:t>:</w:t>
            </w:r>
            <w:r w:rsidRPr="00E6794A">
              <w:rPr>
                <w:rFonts w:ascii="Helvetica" w:hAnsi="Helvetica"/>
              </w:rPr>
              <w:t xml:space="preserve"> </w:t>
            </w:r>
            <w:r w:rsidRPr="00E6794A">
              <w:t>Relevant studies were identified from PubMed, EMBASE, Scopus and CINAHL. Unpublished findings from</w:t>
            </w:r>
            <w:r>
              <w:t xml:space="preserve"> </w:t>
            </w:r>
            <w:r w:rsidRPr="00E6794A">
              <w:t>analyses of linked population-based data sets from Western Australia (2012–2015, n = 114,792) were also included. Studies</w:t>
            </w:r>
            <w:r>
              <w:t xml:space="preserve"> </w:t>
            </w:r>
            <w:r w:rsidRPr="00E6794A">
              <w:t>evaluating pre-pregnancy body mass index and/or gestational weight gain and placental abruption were included. Two</w:t>
            </w:r>
            <w:r>
              <w:t xml:space="preserve"> </w:t>
            </w:r>
            <w:r w:rsidRPr="00E6794A">
              <w:t>independent reviewers evaluated studies for inclusion and quality. Data including odds ratios (ORs) and 95% confidence</w:t>
            </w:r>
            <w:r>
              <w:t xml:space="preserve"> </w:t>
            </w:r>
            <w:r w:rsidRPr="00E6794A">
              <w:t>intervals (CIs) were extracted and analysed by random effects meta-analysis.</w:t>
            </w:r>
          </w:p>
        </w:tc>
        <w:tc>
          <w:tcPr>
            <w:tcW w:w="4394" w:type="dxa"/>
            <w:tcBorders>
              <w:top w:val="single" w:sz="4" w:space="0" w:color="auto"/>
              <w:left w:val="single" w:sz="4" w:space="0" w:color="auto"/>
              <w:bottom w:val="single" w:sz="4" w:space="0" w:color="auto"/>
              <w:right w:val="single" w:sz="4" w:space="0" w:color="auto"/>
            </w:tcBorders>
          </w:tcPr>
          <w:p w14:paraId="761B4235" w14:textId="67AF3BD1" w:rsidR="00E6794A" w:rsidRDefault="00E6794A" w:rsidP="008E1F6E">
            <w:r>
              <w:t xml:space="preserve">Risk of placental abruption </w:t>
            </w:r>
            <w:r w:rsidRPr="00E6794A">
              <w:t xml:space="preserve">compared to </w:t>
            </w:r>
            <w:r w:rsidR="00BA340B">
              <w:t>healthy</w:t>
            </w:r>
            <w:r w:rsidRPr="00E6794A">
              <w:t xml:space="preserve"> weight women</w:t>
            </w:r>
            <w:r>
              <w:t>:</w:t>
            </w:r>
          </w:p>
          <w:p w14:paraId="1556E7AB" w14:textId="2A244F23" w:rsidR="00013666" w:rsidRPr="00BA340B" w:rsidRDefault="00E6794A" w:rsidP="008E1F6E">
            <w:pPr>
              <w:pStyle w:val="bullet"/>
            </w:pPr>
            <w:r>
              <w:t xml:space="preserve">Underweight: OR 1.4; </w:t>
            </w:r>
            <w:r w:rsidRPr="00E6794A">
              <w:t>95% CI</w:t>
            </w:r>
            <w:r>
              <w:t xml:space="preserve"> 1.1 to 1.7</w:t>
            </w:r>
          </w:p>
        </w:tc>
        <w:tc>
          <w:tcPr>
            <w:tcW w:w="2411" w:type="dxa"/>
            <w:tcBorders>
              <w:top w:val="single" w:sz="4" w:space="0" w:color="auto"/>
              <w:left w:val="single" w:sz="4" w:space="0" w:color="auto"/>
              <w:bottom w:val="single" w:sz="4" w:space="0" w:color="auto"/>
              <w:right w:val="single" w:sz="4" w:space="0" w:color="auto"/>
            </w:tcBorders>
          </w:tcPr>
          <w:p w14:paraId="42025659" w14:textId="77777777" w:rsidR="00013666" w:rsidRDefault="00013666" w:rsidP="001A36A7"/>
        </w:tc>
      </w:tr>
    </w:tbl>
    <w:p w14:paraId="09230886" w14:textId="3E440795" w:rsidR="00986BFF" w:rsidRDefault="009C163D" w:rsidP="00932C6D">
      <w:pPr>
        <w:pStyle w:val="TableName"/>
      </w:pPr>
      <w:bookmarkStart w:id="200" w:name="_Toc40956678"/>
      <w:r>
        <w:t xml:space="preserve">Q8 </w:t>
      </w:r>
      <w:r w:rsidR="00986BFF">
        <w:t>Risks associated with high pre-pregnancy BMI — SLRs</w:t>
      </w:r>
      <w:bookmarkEnd w:id="200"/>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00: Q8 Risks associated with high pre-pregnancy BMI — SLRs"/>
      </w:tblPr>
      <w:tblGrid>
        <w:gridCol w:w="1418"/>
        <w:gridCol w:w="1701"/>
        <w:gridCol w:w="4252"/>
        <w:gridCol w:w="4394"/>
        <w:gridCol w:w="2411"/>
      </w:tblGrid>
      <w:tr w:rsidR="00986BFF" w:rsidRPr="00F350A6" w14:paraId="416E6457" w14:textId="77777777" w:rsidTr="005B079C">
        <w:trPr>
          <w:cantSplit/>
          <w:tblHeader/>
        </w:trPr>
        <w:tc>
          <w:tcPr>
            <w:tcW w:w="1418" w:type="dxa"/>
          </w:tcPr>
          <w:p w14:paraId="200AACB6" w14:textId="77777777" w:rsidR="00986BFF" w:rsidRPr="00F350A6" w:rsidRDefault="00986BFF" w:rsidP="00150085">
            <w:pPr>
              <w:keepNext/>
              <w:rPr>
                <w:b/>
              </w:rPr>
            </w:pPr>
            <w:r>
              <w:rPr>
                <w:b/>
              </w:rPr>
              <w:t>Study ref</w:t>
            </w:r>
          </w:p>
        </w:tc>
        <w:tc>
          <w:tcPr>
            <w:tcW w:w="1701" w:type="dxa"/>
          </w:tcPr>
          <w:p w14:paraId="54908627" w14:textId="77777777" w:rsidR="00986BFF" w:rsidRPr="00F350A6" w:rsidRDefault="00986BFF" w:rsidP="00150085">
            <w:pPr>
              <w:keepNext/>
              <w:rPr>
                <w:b/>
              </w:rPr>
            </w:pPr>
            <w:r>
              <w:rPr>
                <w:b/>
              </w:rPr>
              <w:t>N</w:t>
            </w:r>
          </w:p>
        </w:tc>
        <w:tc>
          <w:tcPr>
            <w:tcW w:w="4252" w:type="dxa"/>
          </w:tcPr>
          <w:p w14:paraId="47775D4F" w14:textId="77777777" w:rsidR="00986BFF" w:rsidRPr="00F350A6" w:rsidRDefault="00986BFF" w:rsidP="00150085">
            <w:pPr>
              <w:keepNext/>
              <w:rPr>
                <w:b/>
              </w:rPr>
            </w:pPr>
            <w:r>
              <w:rPr>
                <w:b/>
              </w:rPr>
              <w:t>Aim/methods</w:t>
            </w:r>
          </w:p>
        </w:tc>
        <w:tc>
          <w:tcPr>
            <w:tcW w:w="4394" w:type="dxa"/>
          </w:tcPr>
          <w:p w14:paraId="4943830E" w14:textId="77777777" w:rsidR="00986BFF" w:rsidRPr="00F350A6" w:rsidRDefault="00986BFF" w:rsidP="00150085">
            <w:pPr>
              <w:keepNext/>
              <w:rPr>
                <w:b/>
              </w:rPr>
            </w:pPr>
            <w:r>
              <w:rPr>
                <w:b/>
              </w:rPr>
              <w:t>Outcomes</w:t>
            </w:r>
          </w:p>
        </w:tc>
        <w:tc>
          <w:tcPr>
            <w:tcW w:w="2411" w:type="dxa"/>
          </w:tcPr>
          <w:p w14:paraId="3E078461" w14:textId="77777777" w:rsidR="00986BFF" w:rsidRDefault="00986BFF" w:rsidP="00150085">
            <w:pPr>
              <w:keepNext/>
              <w:rPr>
                <w:b/>
              </w:rPr>
            </w:pPr>
            <w:r>
              <w:rPr>
                <w:b/>
              </w:rPr>
              <w:t>Comments</w:t>
            </w:r>
          </w:p>
        </w:tc>
      </w:tr>
      <w:tr w:rsidR="001D6AA5" w:rsidRPr="00B60FFF" w14:paraId="41653437" w14:textId="77777777" w:rsidTr="000F59CA">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52C118E3" w14:textId="30847120" w:rsidR="001D6AA5" w:rsidRDefault="001D6AA5" w:rsidP="002747EA">
            <w:r>
              <w:t>Adane et al 2019</w:t>
            </w:r>
            <w:r w:rsidR="00D07346">
              <w:fldChar w:fldCharType="begin"/>
            </w:r>
            <w:r w:rsidR="002747EA">
              <w:instrText xml:space="preserve"> ADDIN EN.CITE &lt;EndNote&gt;&lt;Cite&gt;&lt;Author&gt;Adane&lt;/Author&gt;&lt;Year&gt;2019&lt;/Year&gt;&lt;RecNum&gt;1858&lt;/RecNum&gt;&lt;DisplayText&gt;&lt;style face="superscript" font="Trebuchet MS" size="9"&gt;394&lt;/style&gt;&lt;/DisplayText&gt;&lt;record&gt;&lt;rec-number&gt;1858&lt;/rec-number&gt;&lt;foreign-keys&gt;&lt;key app="EN" db-id="exvasrfx2dtraoesasxp2szsxa2df502592x" timestamp="1587794110"&gt;1858&lt;/key&gt;&lt;key app="ENWeb" db-id=""&gt;0&lt;/key&gt;&lt;/foreign-keys&gt;&lt;ref-type name="Journal Article"&gt;17&lt;/ref-type&gt;&lt;contributors&gt;&lt;authors&gt;&lt;author&gt;Adane, A.A.,&lt;/author&gt;&lt;author&gt;Shepherd, C.C.J.&lt;/author&gt;&lt;author&gt;Lim, F.J.&lt;/author&gt;&lt;author&gt;White, S.W.&lt;/author&gt;&lt;author&gt;Farrant, B.M.&lt;/author&gt;&lt;author&gt;Bailey, H.D.&lt;/author&gt;&lt;/authors&gt;&lt;/contributors&gt;&lt;titles&gt;&lt;title&gt;The impact of pre-pregnancy body mass index and gestational weight gain on placental abruption risk: a systematic review and meta-analysis&lt;/title&gt;&lt;secondary-title&gt;Arch Gynecol Obstet&lt;/secondary-title&gt;&lt;/titles&gt;&lt;periodical&gt;&lt;full-title&gt;Arch Gynecol Obstet&lt;/full-title&gt;&lt;/periodical&gt;&lt;pages&gt;1201-1210&lt;/pages&gt;&lt;volume&gt;300&lt;/volume&gt;&lt;number&gt;5&lt;/number&gt;&lt;section&gt;1201&lt;/section&gt;&lt;dates&gt;&lt;year&gt;2019&lt;/year&gt;&lt;/dates&gt;&lt;isbn&gt;0932-0067&amp;#xD;1432-0711&lt;/isbn&gt;&lt;urls&gt;&lt;/urls&gt;&lt;electronic-resource-num&gt;10.1007/s00404-019-05320-8&lt;/electronic-resource-num&gt;&lt;/record&gt;&lt;/Cite&gt;&lt;/EndNote&gt;</w:instrText>
            </w:r>
            <w:r w:rsidR="00D07346">
              <w:fldChar w:fldCharType="separate"/>
            </w:r>
            <w:r w:rsidR="002747EA" w:rsidRPr="002747EA">
              <w:rPr>
                <w:noProof/>
                <w:vertAlign w:val="superscript"/>
              </w:rPr>
              <w:t>394</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54E4A656" w14:textId="77777777" w:rsidR="001D6AA5" w:rsidRPr="00A01AC6" w:rsidRDefault="001D6AA5" w:rsidP="000F59CA">
            <w:r>
              <w:t>15 observational studies</w:t>
            </w:r>
          </w:p>
        </w:tc>
        <w:tc>
          <w:tcPr>
            <w:tcW w:w="4252" w:type="dxa"/>
            <w:tcBorders>
              <w:top w:val="single" w:sz="4" w:space="0" w:color="auto"/>
              <w:left w:val="single" w:sz="4" w:space="0" w:color="auto"/>
              <w:bottom w:val="single" w:sz="4" w:space="0" w:color="auto"/>
              <w:right w:val="single" w:sz="4" w:space="0" w:color="auto"/>
            </w:tcBorders>
          </w:tcPr>
          <w:p w14:paraId="62CE2455" w14:textId="77777777" w:rsidR="001D6AA5" w:rsidRPr="00E6794A" w:rsidRDefault="001D6AA5" w:rsidP="000F59CA">
            <w:r w:rsidRPr="00A96FD5">
              <w:rPr>
                <w:b/>
              </w:rPr>
              <w:t>Aim</w:t>
            </w:r>
            <w:r>
              <w:t>: T</w:t>
            </w:r>
            <w:r w:rsidRPr="00E6794A">
              <w:t>o evaluate the associations between pre-pregnancy body mass index and</w:t>
            </w:r>
            <w:r>
              <w:t xml:space="preserve"> </w:t>
            </w:r>
            <w:r w:rsidRPr="00E6794A">
              <w:t>gestational weight gain and placental abruption.</w:t>
            </w:r>
          </w:p>
          <w:p w14:paraId="1954AAB8" w14:textId="77777777" w:rsidR="001D6AA5" w:rsidRPr="00A96FD5" w:rsidRDefault="001D6AA5" w:rsidP="000F59CA">
            <w:r w:rsidRPr="00A96FD5">
              <w:rPr>
                <w:rFonts w:ascii="Helvetica" w:hAnsi="Helvetica"/>
                <w:b/>
              </w:rPr>
              <w:t>Methods</w:t>
            </w:r>
            <w:r>
              <w:rPr>
                <w:rFonts w:ascii="Helvetica" w:hAnsi="Helvetica"/>
              </w:rPr>
              <w:t>:</w:t>
            </w:r>
            <w:r w:rsidRPr="00E6794A">
              <w:rPr>
                <w:rFonts w:ascii="Helvetica" w:hAnsi="Helvetica"/>
              </w:rPr>
              <w:t xml:space="preserve"> </w:t>
            </w:r>
            <w:r w:rsidRPr="00E6794A">
              <w:t>Relevant studies were identified from PubMed, EMBASE, Scopus and CINAHL. Unpublished findings from</w:t>
            </w:r>
            <w:r>
              <w:t xml:space="preserve"> </w:t>
            </w:r>
            <w:r w:rsidRPr="00E6794A">
              <w:t>analyses of linked population-based data sets from Western Australia (2012–2015, n = 114,792) were also included. Studies</w:t>
            </w:r>
            <w:r>
              <w:t xml:space="preserve"> </w:t>
            </w:r>
            <w:r w:rsidRPr="00E6794A">
              <w:t>evaluating pre-pregnancy body mass index and/or gestational weight gain and placental abruption were included. Two</w:t>
            </w:r>
            <w:r>
              <w:t xml:space="preserve"> </w:t>
            </w:r>
            <w:r w:rsidRPr="00E6794A">
              <w:t>independent reviewers evaluated studies for inclusion and quality. Data including odds ratios (ORs) and 95% confidence</w:t>
            </w:r>
            <w:r>
              <w:t xml:space="preserve"> </w:t>
            </w:r>
            <w:r w:rsidRPr="00E6794A">
              <w:t>intervals (CIs) were extracted and analysed by random effects meta-analysis.</w:t>
            </w:r>
          </w:p>
        </w:tc>
        <w:tc>
          <w:tcPr>
            <w:tcW w:w="4394" w:type="dxa"/>
            <w:tcBorders>
              <w:top w:val="single" w:sz="4" w:space="0" w:color="auto"/>
              <w:left w:val="single" w:sz="4" w:space="0" w:color="auto"/>
              <w:bottom w:val="single" w:sz="4" w:space="0" w:color="auto"/>
              <w:right w:val="single" w:sz="4" w:space="0" w:color="auto"/>
            </w:tcBorders>
          </w:tcPr>
          <w:p w14:paraId="60262684" w14:textId="77777777" w:rsidR="001D6AA5" w:rsidRDefault="001D6AA5" w:rsidP="000F59CA">
            <w:r>
              <w:t xml:space="preserve">Risk of placental abruption </w:t>
            </w:r>
            <w:r w:rsidRPr="00E6794A">
              <w:t xml:space="preserve">compared to </w:t>
            </w:r>
            <w:r>
              <w:t>healthy</w:t>
            </w:r>
            <w:r w:rsidRPr="00E6794A">
              <w:t xml:space="preserve"> weight women</w:t>
            </w:r>
            <w:r>
              <w:t>:</w:t>
            </w:r>
          </w:p>
          <w:p w14:paraId="4FDC5131" w14:textId="77777777" w:rsidR="001D6AA5" w:rsidRDefault="001D6AA5" w:rsidP="000F59CA">
            <w:pPr>
              <w:pStyle w:val="bullet"/>
            </w:pPr>
            <w:r>
              <w:t>Overweight: OR 0.8; 95% CI 0.8 to 0.9</w:t>
            </w:r>
          </w:p>
          <w:p w14:paraId="5223B6EA" w14:textId="77777777" w:rsidR="001D6AA5" w:rsidRPr="00BA340B" w:rsidRDefault="001D6AA5" w:rsidP="000F59CA">
            <w:pPr>
              <w:pStyle w:val="bullet"/>
            </w:pPr>
            <w:r w:rsidRPr="00E6794A">
              <w:t>Obese</w:t>
            </w:r>
            <w:r>
              <w:t>:</w:t>
            </w:r>
            <w:r w:rsidRPr="00E6794A">
              <w:t xml:space="preserve"> </w:t>
            </w:r>
            <w:r>
              <w:t>OR 0.8; 95% CI 0.7 to</w:t>
            </w:r>
            <w:r w:rsidRPr="00E6794A">
              <w:t xml:space="preserve"> 0.9</w:t>
            </w:r>
          </w:p>
        </w:tc>
        <w:tc>
          <w:tcPr>
            <w:tcW w:w="2411" w:type="dxa"/>
            <w:tcBorders>
              <w:top w:val="single" w:sz="4" w:space="0" w:color="auto"/>
              <w:left w:val="single" w:sz="4" w:space="0" w:color="auto"/>
              <w:bottom w:val="single" w:sz="4" w:space="0" w:color="auto"/>
              <w:right w:val="single" w:sz="4" w:space="0" w:color="auto"/>
            </w:tcBorders>
          </w:tcPr>
          <w:p w14:paraId="3F2D2159" w14:textId="77777777" w:rsidR="001D6AA5" w:rsidRDefault="001D6AA5" w:rsidP="000F59CA"/>
        </w:tc>
      </w:tr>
      <w:tr w:rsidR="00AB7873" w:rsidRPr="00B60FFF" w14:paraId="3366ADDB" w14:textId="77777777" w:rsidTr="00BC6349">
        <w:trPr>
          <w:cantSplit/>
        </w:trPr>
        <w:tc>
          <w:tcPr>
            <w:tcW w:w="1418" w:type="dxa"/>
            <w:tcBorders>
              <w:top w:val="single" w:sz="4" w:space="0" w:color="auto"/>
              <w:left w:val="single" w:sz="4" w:space="0" w:color="auto"/>
              <w:bottom w:val="single" w:sz="4" w:space="0" w:color="auto"/>
              <w:right w:val="single" w:sz="4" w:space="0" w:color="auto"/>
            </w:tcBorders>
          </w:tcPr>
          <w:p w14:paraId="60920A9A" w14:textId="4D5F5D00" w:rsidR="00AB7873" w:rsidRDefault="00AB7873" w:rsidP="002747EA">
            <w:r>
              <w:t>Huang et al 2019</w:t>
            </w:r>
            <w:r w:rsidR="00D07346">
              <w:fldChar w:fldCharType="begin"/>
            </w:r>
            <w:r w:rsidR="002747EA">
              <w:instrText xml:space="preserve"> ADDIN EN.CITE &lt;EndNote&gt;&lt;Cite&gt;&lt;Author&gt;Huang&lt;/Author&gt;&lt;Year&gt;2019&lt;/Year&gt;&lt;RecNum&gt;1929&lt;/RecNum&gt;&lt;DisplayText&gt;&lt;style face="superscript" font="Trebuchet MS" size="9"&gt;398&lt;/style&gt;&lt;/DisplayText&gt;&lt;record&gt;&lt;rec-number&gt;1929&lt;/rec-number&gt;&lt;foreign-keys&gt;&lt;key app="EN" db-id="exvasrfx2dtraoesasxp2szsxa2df502592x" timestamp="1588645223"&gt;1929&lt;/key&gt;&lt;key app="ENWeb" db-id=""&gt;0&lt;/key&gt;&lt;/foreign-keys&gt;&lt;ref-type name="Journal Article"&gt;17&lt;/ref-type&gt;&lt;contributors&gt;&lt;authors&gt;&lt;author&gt;Huang, Y.&lt;/author&gt;&lt;author&gt;Ouyang, Y. Q.&lt;/author&gt;&lt;author&gt;Redding, S. R.&lt;/author&gt;&lt;/authors&gt;&lt;/contributors&gt;&lt;auth-address&gt;School of Health Sciences, Wuhan University, Wuhan, China.&lt;/auth-address&gt;&lt;titles&gt;&lt;title&gt;Maternal prepregnancy body mass index, gestational weight gain, and cessation of breastfeeding: A systematic review and meta-analysis&lt;/title&gt;&lt;secondary-title&gt;Breastfeed Med&lt;/secondary-title&gt;&lt;/titles&gt;&lt;periodical&gt;&lt;full-title&gt;Breastfeed Med&lt;/full-title&gt;&lt;/periodical&gt;&lt;pages&gt;366-374&lt;/pages&gt;&lt;volume&gt;14&lt;/volume&gt;&lt;number&gt;6&lt;/number&gt;&lt;edition&gt;2019/05/14&lt;/edition&gt;&lt;keywords&gt;&lt;keyword&gt;*Body Mass Index&lt;/keyword&gt;&lt;keyword&gt;Breast Feeding/*statistics &amp;amp; numerical data&lt;/keyword&gt;&lt;keyword&gt;Female&lt;/keyword&gt;&lt;keyword&gt;*Gestational Weight Gain&lt;/keyword&gt;&lt;keyword&gt;Humans&lt;/keyword&gt;&lt;keyword&gt;Obesity/*psychology&lt;/keyword&gt;&lt;keyword&gt;Pregnancy&lt;/keyword&gt;&lt;keyword&gt;Pregnancy Complications/*psychology&lt;/keyword&gt;&lt;keyword&gt;*breastfeeding&lt;/keyword&gt;&lt;keyword&gt;*prepregnancy BMI&lt;/keyword&gt;&lt;/keywords&gt;&lt;dates&gt;&lt;year&gt;2019&lt;/year&gt;&lt;pub-dates&gt;&lt;date&gt;Jul/Aug&lt;/date&gt;&lt;/pub-dates&gt;&lt;/dates&gt;&lt;isbn&gt;1556-8342 (Electronic)&amp;#xD;1556-8253 (Linking)&lt;/isbn&gt;&lt;accession-num&gt;31081684&lt;/accession-num&gt;&lt;urls&gt;&lt;related-urls&gt;&lt;url&gt;https://www.ncbi.nlm.nih.gov/pubmed/31081684&lt;/url&gt;&lt;/related-urls&gt;&lt;/urls&gt;&lt;electronic-resource-num&gt;10.1089/bfm.2018.0138&lt;/electronic-resource-num&gt;&lt;/record&gt;&lt;/Cite&gt;&lt;/EndNote&gt;</w:instrText>
            </w:r>
            <w:r w:rsidR="00D07346">
              <w:fldChar w:fldCharType="separate"/>
            </w:r>
            <w:r w:rsidR="002747EA" w:rsidRPr="002747EA">
              <w:rPr>
                <w:noProof/>
                <w:vertAlign w:val="superscript"/>
              </w:rPr>
              <w:t>398</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5DAD9660" w14:textId="77777777" w:rsidR="00AB7873" w:rsidRDefault="00AB7873" w:rsidP="00BC6349">
            <w:r>
              <w:t>30 cohort studies</w:t>
            </w:r>
          </w:p>
        </w:tc>
        <w:tc>
          <w:tcPr>
            <w:tcW w:w="4252" w:type="dxa"/>
            <w:tcBorders>
              <w:top w:val="single" w:sz="4" w:space="0" w:color="auto"/>
              <w:left w:val="single" w:sz="4" w:space="0" w:color="auto"/>
              <w:bottom w:val="single" w:sz="4" w:space="0" w:color="auto"/>
              <w:right w:val="single" w:sz="4" w:space="0" w:color="auto"/>
            </w:tcBorders>
          </w:tcPr>
          <w:p w14:paraId="676ED84F" w14:textId="77777777" w:rsidR="00AB7873" w:rsidRDefault="00AB7873" w:rsidP="00BC6349">
            <w:r w:rsidRPr="00A96FD5">
              <w:rPr>
                <w:b/>
              </w:rPr>
              <w:t>Aim</w:t>
            </w:r>
            <w:r>
              <w:t>: T</w:t>
            </w:r>
            <w:r w:rsidRPr="00AB7873">
              <w:t xml:space="preserve">o explore the effect of different prepregnancy BMI and gestational weight gain (GWG) categories on breastfeeding initiation and cessation. </w:t>
            </w:r>
          </w:p>
          <w:p w14:paraId="226D3D12" w14:textId="77777777" w:rsidR="00AB7873" w:rsidRPr="00785971" w:rsidRDefault="00AB7873" w:rsidP="00BC6349">
            <w:pPr>
              <w:rPr>
                <w:b/>
              </w:rPr>
            </w:pPr>
            <w:r w:rsidRPr="00A96FD5">
              <w:rPr>
                <w:b/>
              </w:rPr>
              <w:t>Methods</w:t>
            </w:r>
            <w:r w:rsidRPr="00AB7873">
              <w:t xml:space="preserve">: Cohort studies were systematically searched in Embase, Web of Science, PubMed, and CINAHL databases from database establishment to February 2019. Summary risk ratio (RR) on breastfeeding initiation and cessation was estimated with the use of a random-effects model. </w:t>
            </w:r>
          </w:p>
        </w:tc>
        <w:tc>
          <w:tcPr>
            <w:tcW w:w="4394" w:type="dxa"/>
            <w:tcBorders>
              <w:top w:val="single" w:sz="4" w:space="0" w:color="auto"/>
              <w:left w:val="single" w:sz="4" w:space="0" w:color="auto"/>
              <w:bottom w:val="single" w:sz="4" w:space="0" w:color="auto"/>
              <w:right w:val="single" w:sz="4" w:space="0" w:color="auto"/>
            </w:tcBorders>
          </w:tcPr>
          <w:p w14:paraId="7B7530DE" w14:textId="4C337EE3" w:rsidR="00AB7873" w:rsidRDefault="00AB7873" w:rsidP="00BC6349">
            <w:r w:rsidRPr="00AB7873">
              <w:t>Prepregnanc</w:t>
            </w:r>
            <w:r>
              <w:t xml:space="preserve">y obesity was </w:t>
            </w:r>
            <w:r w:rsidR="00B33774">
              <w:t xml:space="preserve">associated with </w:t>
            </w:r>
            <w:r w:rsidR="00010C73">
              <w:t>increased likelihood of</w:t>
            </w:r>
            <w:r>
              <w:t>:</w:t>
            </w:r>
          </w:p>
          <w:p w14:paraId="1D92366E" w14:textId="4B86EA7F" w:rsidR="00AB7873" w:rsidRDefault="00010C73" w:rsidP="008E1F6E">
            <w:pPr>
              <w:pStyle w:val="bullet"/>
            </w:pPr>
            <w:r>
              <w:t xml:space="preserve">not initiating </w:t>
            </w:r>
            <w:r w:rsidR="00AB7873">
              <w:t xml:space="preserve">breastfeeding: RR 1.49, 95%CI </w:t>
            </w:r>
            <w:r w:rsidR="00AB7873" w:rsidRPr="00AB7873">
              <w:t>1.33</w:t>
            </w:r>
            <w:r w:rsidR="00AB7873">
              <w:t xml:space="preserve"> to 1.67</w:t>
            </w:r>
          </w:p>
          <w:p w14:paraId="3F3EFDA2" w14:textId="3155230B" w:rsidR="00AB7873" w:rsidRDefault="00010C73" w:rsidP="008E1F6E">
            <w:pPr>
              <w:pStyle w:val="bullet"/>
            </w:pPr>
            <w:r>
              <w:t xml:space="preserve">not initiating </w:t>
            </w:r>
            <w:r w:rsidR="00AB7873" w:rsidRPr="00AB7873">
              <w:t xml:space="preserve">exclusive </w:t>
            </w:r>
            <w:r w:rsidR="00AB7873">
              <w:t xml:space="preserve">breastfeeding: </w:t>
            </w:r>
            <w:r w:rsidR="00AB7873" w:rsidRPr="00AB7873">
              <w:t>RR</w:t>
            </w:r>
            <w:r w:rsidR="001B7FEA">
              <w:t xml:space="preserve"> 1.26, 95%</w:t>
            </w:r>
            <w:r w:rsidR="00AB7873">
              <w:t xml:space="preserve">CI </w:t>
            </w:r>
            <w:r w:rsidR="00AB7873" w:rsidRPr="00AB7873">
              <w:t>1.17</w:t>
            </w:r>
            <w:r w:rsidR="00AB7873">
              <w:t xml:space="preserve"> to </w:t>
            </w:r>
            <w:r w:rsidR="00AB7873" w:rsidRPr="00AB7873">
              <w:t>1.36</w:t>
            </w:r>
          </w:p>
          <w:p w14:paraId="53CCA45E" w14:textId="72898DA3" w:rsidR="00AB7873" w:rsidRPr="00F97659" w:rsidRDefault="00010C73" w:rsidP="008E1F6E">
            <w:pPr>
              <w:pStyle w:val="bullet"/>
            </w:pPr>
            <w:r>
              <w:t xml:space="preserve">lower duration of </w:t>
            </w:r>
            <w:r w:rsidR="00AB7873" w:rsidRPr="00AB7873">
              <w:t>any breastfeeding</w:t>
            </w:r>
            <w:r>
              <w:t>:</w:t>
            </w:r>
            <w:r w:rsidR="00897FD0">
              <w:t xml:space="preserve"> RR 1.34 95%</w:t>
            </w:r>
            <w:r w:rsidR="00AB7873">
              <w:t xml:space="preserve">CI </w:t>
            </w:r>
            <w:r w:rsidR="00897FD0">
              <w:t xml:space="preserve">1.16 to </w:t>
            </w:r>
            <w:r w:rsidR="00AB7873">
              <w:t>1.56</w:t>
            </w:r>
            <w:r w:rsidR="00AB7873" w:rsidRPr="00AB7873">
              <w:t xml:space="preserve">. </w:t>
            </w:r>
          </w:p>
        </w:tc>
        <w:tc>
          <w:tcPr>
            <w:tcW w:w="2411" w:type="dxa"/>
            <w:tcBorders>
              <w:top w:val="single" w:sz="4" w:space="0" w:color="auto"/>
              <w:left w:val="single" w:sz="4" w:space="0" w:color="auto"/>
              <w:bottom w:val="single" w:sz="4" w:space="0" w:color="auto"/>
              <w:right w:val="single" w:sz="4" w:space="0" w:color="auto"/>
            </w:tcBorders>
          </w:tcPr>
          <w:p w14:paraId="6CCA9944" w14:textId="77777777" w:rsidR="00AB7873" w:rsidRDefault="00AB7873" w:rsidP="00BC6349"/>
        </w:tc>
      </w:tr>
      <w:tr w:rsidR="0065605C" w:rsidRPr="00B60FFF" w14:paraId="33BE20FA" w14:textId="77777777" w:rsidTr="005B079C">
        <w:trPr>
          <w:cantSplit/>
        </w:trPr>
        <w:tc>
          <w:tcPr>
            <w:tcW w:w="1418" w:type="dxa"/>
          </w:tcPr>
          <w:p w14:paraId="57E51891" w14:textId="539E3731" w:rsidR="0065605C" w:rsidRDefault="0065605C" w:rsidP="002747EA">
            <w:r>
              <w:t>Liu et al 2016</w:t>
            </w:r>
            <w:r w:rsidR="00D07346">
              <w:fldChar w:fldCharType="begin">
                <w:fldData xml:space="preserve">PEVuZE5vdGU+PENpdGU+PEF1dGhvcj5MaXU8L0F1dGhvcj48WWVhcj4yMDE2PC9ZZWFyPjxSZWNO
dW0+MTg2MzwvUmVjTnVtPjxEaXNwbGF5VGV4dD48c3R5bGUgZmFjZT0ic3VwZXJzY3JpcHQiIGZv
bnQ9IlRyZWJ1Y2hldCBNUyIgc2l6ZT0iOSI+Mzg5PC9zdHlsZT48L0Rpc3BsYXlUZXh0PjxyZWNv
cmQ+PHJlYy1udW1iZXI+MTg2MzwvcmVjLW51bWJlcj48Zm9yZWlnbi1rZXlzPjxrZXkgYXBwPSJF
TiIgZGItaWQ9ImV4dmFzcmZ4MmR0cmFvZXNhc3hwMnN6c3hhMmRmNTAyNTkyeCIgdGltZXN0YW1w
PSIxNTg3Nzk0MTU4Ij4xODYzPC9rZXk+PGtleSBhcHA9IkVOV2ViIiBkYi1pZD0iIj4wPC9rZXk+
PC9mb3JlaWduLWtleXM+PHJlZi10eXBlIG5hbWU9IkpvdXJuYWwgQXJ0aWNsZSI+MTc8L3JlZi10
eXBlPjxjb250cmlidXRvcnM+PGF1dGhvcnM+PGF1dGhvcj5MaXUsIFAuPC9hdXRob3I+PGF1dGhv
cj5YdSwgTC48L2F1dGhvcj48YXV0aG9yPldhbmcsIFkuPC9hdXRob3I+PGF1dGhvcj5aaGFuZywg
WS48L2F1dGhvcj48YXV0aG9yPkR1LCBZLjwvYXV0aG9yPjxhdXRob3I+U3VuLCBZLjwvYXV0aG9y
PjxhdXRob3I+V2FuZywgWi48L2F1dGhvcj48L2F1dGhvcnM+PC9jb250cmlidXRvcnM+PGF1dGgt
YWRkcmVzcz5EZXBhcnRtZW50IG9mIEVwaWRlbWlvbG9neSBhbmQgSGVhbHRoIFN0YXRpc3RpY3Ms
IFNjaG9vbCBvZiBQdWJsaWMgSGVhbHRoLCBTaGFuZG9uZyBVbml2ZXJzaXR5LCBTaGFuZG9uZywg
Q2hpbmEuJiN4RDtEaXZpc2lvbiBvZiBFcGlkZW1pb2xvZ3kgU3VydmV5LCBDaGluYSBBbmltYWwg
SGVhbHRoIGFuZCBFcGlkZW1pb2xvZ3kgQ2VudGVyLCBNaW5pc3RyeSBvZiBBZ3JpY3VsdHVyZSwg
QmVpamluZywgQ2hpbmEuJiN4RDtEZXBhcnRtZW50IG9mIEhlYWx0aCwgSmluYW4gTWF0ZXJuYWwg
YW5kIENoaWxkIENhcmUgU2VydmljZSBDZW50cmUsIFNoYW5kb25nLCBDaGluYS4mI3hEO0RlcGFy
dG1lbnQgb2YgRXBpZGVtaW9sb2d5IGFuZCBIZWFsdGggU3RhdGlzdGljcywgU2Nob29sIG9mIFB1
YmxpYyBIZWFsdGgsIFNoYW5kb25nIFVuaXZlcnNpdHksIFNoYW5kb25nLCBDaGluYS4gemhpcGlu
Z3dAc2R1LmVkdS5jbi48L2F1dGgtYWRkcmVzcz48dGl0bGVzPjx0aXRsZT5Bc3NvY2lhdGlvbiBi
ZXR3ZWVuIHBlcmluYXRhbCBvdXRjb21lcyBhbmQgbWF0ZXJuYWwgcHJlLXByZWduYW5jeSBib2R5
IG1hc3MgaW5kZXg8L3RpdGxlPjxzZWNvbmRhcnktdGl0bGU+T2JlcyBSZXY8L3NlY29uZGFyeS10
aXRsZT48L3RpdGxlcz48cGVyaW9kaWNhbD48ZnVsbC10aXRsZT5PYmVzIFJldjwvZnVsbC10aXRs
ZT48L3BlcmlvZGljYWw+PHBhZ2VzPjEwOTEtMTEwMjwvcGFnZXM+PHZvbHVtZT4xNzwvdm9sdW1l
PjxudW1iZXI+MTE8L251bWJlcj48ZWRpdGlvbj4yMDE2LzA4LzE5PC9lZGl0aW9uPjxrZXl3b3Jk
cz48a2V5d29yZD4qQm9keSBNYXNzIEluZGV4PC9rZXl3b3JkPjxrZXl3b3JkPkZlbWFsZTwva2V5
d29yZD48a2V5d29yZD5IdW1hbnM8L2tleXdvcmQ+PGtleXdvcmQ+Kk1vdGhlcnM8L2tleXdvcmQ+
PGtleXdvcmQ+T3ZlcndlaWdodC8qZXBpZGVtaW9sb2d5PC9rZXl3b3JkPjxrZXl3b3JkPlByZWdu
YW5jeTwva2V5d29yZD48a2V5d29yZD5QcmVnbmFuY3kgQ29tcGxpY2F0aW9ucy8qZXBpZGVtaW9s
b2d5PC9rZXl3b3JkPjxrZXl3b3JkPipQcmVnbmFuY3kgT3V0Y29tZTwva2V5d29yZD48a2V5d29y
ZD5SaXNrIEZhY3RvcnM8L2tleXdvcmQ+PGtleXdvcmQ+VGhpbm5lc3MvKmVwaWRlbWlvbG9neTwv
a2V5d29yZD48a2V5d29yZD5XZWlnaHQgR2Fpbjwva2V5d29yZD48a2V5d29yZD4qYm1pPC9rZXl3
b3JkPjxrZXl3b3JkPipvYmVzaXR5PC9rZXl3b3JkPjxrZXl3b3JkPipwZXJpbmF0YWwgb3V0Y29t
ZXM8L2tleXdvcmQ+PGtleXdvcmQ+KnByZWduYW5jeTwva2V5d29yZD48L2tleXdvcmRzPjxkYXRl
cz48eWVhcj4yMDE2PC95ZWFyPjxwdWItZGF0ZXM+PGRhdGU+Tm92PC9kYXRlPjwvcHViLWRhdGVz
PjwvZGF0ZXM+PGlzYm4+MTQ2Ny03ODlYIChFbGVjdHJvbmljKSYjeEQ7MTQ2Ny03ODgxIChMaW5r
aW5nKTwvaXNibj48YWNjZXNzaW9uLW51bT4yNzUzNjg3OTwvYWNjZXNzaW9uLW51bT48dXJscz48
cmVsYXRlZC11cmxzPjx1cmw+aHR0cHM6Ly93d3cubmNiaS5ubG0ubmloLmdvdi9wdWJtZWQvMjc1
MzY4Nzk8L3VybD48L3JlbGF0ZWQtdXJscz48L3VybHM+PGVsZWN0cm9uaWMtcmVzb3VyY2UtbnVt
PjEwLjExMTEvb2JyLjEyNDU1PC9lbGVjdHJvbmljLXJlc291cmNlLW51bT48L3JlY29yZD48L0Np
dGU+PC9FbmROb3RlPgB=
</w:fldData>
              </w:fldChar>
            </w:r>
            <w:r w:rsidR="002747EA">
              <w:instrText xml:space="preserve"> ADDIN EN.CITE </w:instrText>
            </w:r>
            <w:r w:rsidR="002747EA">
              <w:fldChar w:fldCharType="begin">
                <w:fldData xml:space="preserve">PEVuZE5vdGU+PENpdGU+PEF1dGhvcj5MaXU8L0F1dGhvcj48WWVhcj4yMDE2PC9ZZWFyPjxSZWNO
dW0+MTg2MzwvUmVjTnVtPjxEaXNwbGF5VGV4dD48c3R5bGUgZmFjZT0ic3VwZXJzY3JpcHQiIGZv
bnQ9IlRyZWJ1Y2hldCBNUyIgc2l6ZT0iOSI+Mzg5PC9zdHlsZT48L0Rpc3BsYXlUZXh0PjxyZWNv
cmQ+PHJlYy1udW1iZXI+MTg2MzwvcmVjLW51bWJlcj48Zm9yZWlnbi1rZXlzPjxrZXkgYXBwPSJF
TiIgZGItaWQ9ImV4dmFzcmZ4MmR0cmFvZXNhc3hwMnN6c3hhMmRmNTAyNTkyeCIgdGltZXN0YW1w
PSIxNTg3Nzk0MTU4Ij4xODYzPC9rZXk+PGtleSBhcHA9IkVOV2ViIiBkYi1pZD0iIj4wPC9rZXk+
PC9mb3JlaWduLWtleXM+PHJlZi10eXBlIG5hbWU9IkpvdXJuYWwgQXJ0aWNsZSI+MTc8L3JlZi10
eXBlPjxjb250cmlidXRvcnM+PGF1dGhvcnM+PGF1dGhvcj5MaXUsIFAuPC9hdXRob3I+PGF1dGhv
cj5YdSwgTC48L2F1dGhvcj48YXV0aG9yPldhbmcsIFkuPC9hdXRob3I+PGF1dGhvcj5aaGFuZywg
WS48L2F1dGhvcj48YXV0aG9yPkR1LCBZLjwvYXV0aG9yPjxhdXRob3I+U3VuLCBZLjwvYXV0aG9y
PjxhdXRob3I+V2FuZywgWi48L2F1dGhvcj48L2F1dGhvcnM+PC9jb250cmlidXRvcnM+PGF1dGgt
YWRkcmVzcz5EZXBhcnRtZW50IG9mIEVwaWRlbWlvbG9neSBhbmQgSGVhbHRoIFN0YXRpc3RpY3Ms
IFNjaG9vbCBvZiBQdWJsaWMgSGVhbHRoLCBTaGFuZG9uZyBVbml2ZXJzaXR5LCBTaGFuZG9uZywg
Q2hpbmEuJiN4RDtEaXZpc2lvbiBvZiBFcGlkZW1pb2xvZ3kgU3VydmV5LCBDaGluYSBBbmltYWwg
SGVhbHRoIGFuZCBFcGlkZW1pb2xvZ3kgQ2VudGVyLCBNaW5pc3RyeSBvZiBBZ3JpY3VsdHVyZSwg
QmVpamluZywgQ2hpbmEuJiN4RDtEZXBhcnRtZW50IG9mIEhlYWx0aCwgSmluYW4gTWF0ZXJuYWwg
YW5kIENoaWxkIENhcmUgU2VydmljZSBDZW50cmUsIFNoYW5kb25nLCBDaGluYS4mI3hEO0RlcGFy
dG1lbnQgb2YgRXBpZGVtaW9sb2d5IGFuZCBIZWFsdGggU3RhdGlzdGljcywgU2Nob29sIG9mIFB1
YmxpYyBIZWFsdGgsIFNoYW5kb25nIFVuaXZlcnNpdHksIFNoYW5kb25nLCBDaGluYS4gemhpcGlu
Z3dAc2R1LmVkdS5jbi48L2F1dGgtYWRkcmVzcz48dGl0bGVzPjx0aXRsZT5Bc3NvY2lhdGlvbiBi
ZXR3ZWVuIHBlcmluYXRhbCBvdXRjb21lcyBhbmQgbWF0ZXJuYWwgcHJlLXByZWduYW5jeSBib2R5
IG1hc3MgaW5kZXg8L3RpdGxlPjxzZWNvbmRhcnktdGl0bGU+T2JlcyBSZXY8L3NlY29uZGFyeS10
aXRsZT48L3RpdGxlcz48cGVyaW9kaWNhbD48ZnVsbC10aXRsZT5PYmVzIFJldjwvZnVsbC10aXRs
ZT48L3BlcmlvZGljYWw+PHBhZ2VzPjEwOTEtMTEwMjwvcGFnZXM+PHZvbHVtZT4xNzwvdm9sdW1l
PjxudW1iZXI+MTE8L251bWJlcj48ZWRpdGlvbj4yMDE2LzA4LzE5PC9lZGl0aW9uPjxrZXl3b3Jk
cz48a2V5d29yZD4qQm9keSBNYXNzIEluZGV4PC9rZXl3b3JkPjxrZXl3b3JkPkZlbWFsZTwva2V5
d29yZD48a2V5d29yZD5IdW1hbnM8L2tleXdvcmQ+PGtleXdvcmQ+Kk1vdGhlcnM8L2tleXdvcmQ+
PGtleXdvcmQ+T3ZlcndlaWdodC8qZXBpZGVtaW9sb2d5PC9rZXl3b3JkPjxrZXl3b3JkPlByZWdu
YW5jeTwva2V5d29yZD48a2V5d29yZD5QcmVnbmFuY3kgQ29tcGxpY2F0aW9ucy8qZXBpZGVtaW9s
b2d5PC9rZXl3b3JkPjxrZXl3b3JkPipQcmVnbmFuY3kgT3V0Y29tZTwva2V5d29yZD48a2V5d29y
ZD5SaXNrIEZhY3RvcnM8L2tleXdvcmQ+PGtleXdvcmQ+VGhpbm5lc3MvKmVwaWRlbWlvbG9neTwv
a2V5d29yZD48a2V5d29yZD5XZWlnaHQgR2Fpbjwva2V5d29yZD48a2V5d29yZD4qYm1pPC9rZXl3
b3JkPjxrZXl3b3JkPipvYmVzaXR5PC9rZXl3b3JkPjxrZXl3b3JkPipwZXJpbmF0YWwgb3V0Y29t
ZXM8L2tleXdvcmQ+PGtleXdvcmQ+KnByZWduYW5jeTwva2V5d29yZD48L2tleXdvcmRzPjxkYXRl
cz48eWVhcj4yMDE2PC95ZWFyPjxwdWItZGF0ZXM+PGRhdGU+Tm92PC9kYXRlPjwvcHViLWRhdGVz
PjwvZGF0ZXM+PGlzYm4+MTQ2Ny03ODlYIChFbGVjdHJvbmljKSYjeEQ7MTQ2Ny03ODgxIChMaW5r
aW5nKTwvaXNibj48YWNjZXNzaW9uLW51bT4yNzUzNjg3OTwvYWNjZXNzaW9uLW51bT48dXJscz48
cmVsYXRlZC11cmxzPjx1cmw+aHR0cHM6Ly93d3cubmNiaS5ubG0ubmloLmdvdi9wdWJtZWQvMjc1
MzY4Nzk8L3VybD48L3JlbGF0ZWQtdXJscz48L3VybHM+PGVsZWN0cm9uaWMtcmVzb3VyY2UtbnVt
PjEwLjExMTEvb2JyLjEyNDU1PC9lbGVjdHJvbmljLXJlc291cmNlLW51bT48L3JlY29yZD48L0Np
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389</w:t>
            </w:r>
            <w:r w:rsidR="00D07346">
              <w:fldChar w:fldCharType="end"/>
            </w:r>
          </w:p>
        </w:tc>
        <w:tc>
          <w:tcPr>
            <w:tcW w:w="1701" w:type="dxa"/>
          </w:tcPr>
          <w:p w14:paraId="0AEC494C" w14:textId="77777777" w:rsidR="0065605C" w:rsidRDefault="0065605C" w:rsidP="00150085">
            <w:r>
              <w:t>60 studies</w:t>
            </w:r>
          </w:p>
          <w:p w14:paraId="25C49B30" w14:textId="77777777" w:rsidR="0065605C" w:rsidRDefault="0065605C" w:rsidP="00150085">
            <w:r w:rsidRPr="00106C4B">
              <w:t>1,392,799 women</w:t>
            </w:r>
          </w:p>
        </w:tc>
        <w:tc>
          <w:tcPr>
            <w:tcW w:w="4252" w:type="dxa"/>
          </w:tcPr>
          <w:p w14:paraId="02824B38" w14:textId="77777777" w:rsidR="0065605C" w:rsidRDefault="0065605C" w:rsidP="00150085">
            <w:r w:rsidRPr="008E1F6E">
              <w:rPr>
                <w:b/>
              </w:rPr>
              <w:t>Aim</w:t>
            </w:r>
            <w:r>
              <w:t xml:space="preserve">: </w:t>
            </w:r>
            <w:r w:rsidRPr="00106C4B">
              <w:t xml:space="preserve">To quantify the association between maternal pre-pregnancy body mass index (BMI) and perinatal outcomes. </w:t>
            </w:r>
          </w:p>
          <w:p w14:paraId="5B8C6175" w14:textId="77777777" w:rsidR="0065605C" w:rsidRDefault="0065605C" w:rsidP="00150085">
            <w:r w:rsidRPr="008E1F6E">
              <w:rPr>
                <w:b/>
              </w:rPr>
              <w:t>Methods</w:t>
            </w:r>
            <w:r w:rsidRPr="00106C4B">
              <w:t xml:space="preserve">: We systematically reviewed and collected studies on maternal pre-pregnancy BMI and perinatal outcomes published up to 31 August 2015. For each study, we constructed separate two-by-two tables to calculate the odds ratios (ORs) and 95% confidence intervals (CI). </w:t>
            </w:r>
          </w:p>
        </w:tc>
        <w:tc>
          <w:tcPr>
            <w:tcW w:w="4394" w:type="dxa"/>
          </w:tcPr>
          <w:p w14:paraId="3FEAE2FC" w14:textId="02B06ED9" w:rsidR="0065605C" w:rsidRDefault="0065605C" w:rsidP="00495D1E">
            <w:r w:rsidRPr="00106C4B">
              <w:t>When mothers were overweight, their infants had</w:t>
            </w:r>
            <w:r>
              <w:t xml:space="preserve"> a significantly higher risk of:</w:t>
            </w:r>
          </w:p>
          <w:p w14:paraId="3693E115" w14:textId="5717A7F0" w:rsidR="0065605C" w:rsidRDefault="0065605C" w:rsidP="008E1F6E">
            <w:pPr>
              <w:pStyle w:val="bullet"/>
            </w:pPr>
            <w:r>
              <w:t xml:space="preserve">large for gestational age: OR, 1.45, 95%CI 1.29 to </w:t>
            </w:r>
            <w:r w:rsidRPr="00106C4B">
              <w:t>1.63</w:t>
            </w:r>
          </w:p>
          <w:p w14:paraId="1D18D8E0" w14:textId="53FA029D" w:rsidR="0065605C" w:rsidRDefault="0065605C" w:rsidP="008E1F6E">
            <w:pPr>
              <w:pStyle w:val="bullet"/>
            </w:pPr>
            <w:r>
              <w:t>macrosomia: OR, 1.70, 95%CI</w:t>
            </w:r>
            <w:r w:rsidRPr="00106C4B">
              <w:t xml:space="preserve"> 1.55</w:t>
            </w:r>
            <w:r>
              <w:t xml:space="preserve"> to </w:t>
            </w:r>
            <w:r w:rsidRPr="00106C4B">
              <w:t xml:space="preserve">1.87 </w:t>
            </w:r>
          </w:p>
          <w:p w14:paraId="5506BA52" w14:textId="0042B1C2" w:rsidR="0065605C" w:rsidRDefault="0065605C" w:rsidP="008E1F6E">
            <w:pPr>
              <w:pStyle w:val="bullet"/>
            </w:pPr>
            <w:r w:rsidRPr="00106C4B">
              <w:t>admi</w:t>
            </w:r>
            <w:r>
              <w:t xml:space="preserve">ssion </w:t>
            </w:r>
            <w:r w:rsidRPr="00106C4B">
              <w:t>to th</w:t>
            </w:r>
            <w:r>
              <w:t>e neonatal intensive care unit: OR, 1.29, 95%CI</w:t>
            </w:r>
            <w:r w:rsidRPr="00106C4B">
              <w:t xml:space="preserve"> 1.12</w:t>
            </w:r>
            <w:r>
              <w:t xml:space="preserve"> to </w:t>
            </w:r>
            <w:r w:rsidRPr="00106C4B">
              <w:t>1.48</w:t>
            </w:r>
          </w:p>
          <w:p w14:paraId="23EE3E51" w14:textId="2C836DDE" w:rsidR="0065605C" w:rsidRDefault="0065605C" w:rsidP="008E1F6E">
            <w:pPr>
              <w:pStyle w:val="bullet"/>
            </w:pPr>
            <w:r>
              <w:t>stillbirth: OR, 1.27, 95%CI</w:t>
            </w:r>
            <w:r w:rsidRPr="00106C4B">
              <w:t xml:space="preserve"> 1.18</w:t>
            </w:r>
            <w:r>
              <w:t xml:space="preserve"> to </w:t>
            </w:r>
            <w:r w:rsidRPr="00106C4B">
              <w:t xml:space="preserve">1.36 </w:t>
            </w:r>
          </w:p>
          <w:p w14:paraId="08ED44F8" w14:textId="70E4BFBC" w:rsidR="0065605C" w:rsidRDefault="0065605C">
            <w:r w:rsidRPr="00106C4B">
              <w:t>When mothers were obese, their infants had</w:t>
            </w:r>
            <w:r>
              <w:t xml:space="preserve"> a significantly higher risk of:</w:t>
            </w:r>
          </w:p>
          <w:p w14:paraId="0851DA70" w14:textId="6CE13E30" w:rsidR="00251D3C" w:rsidRDefault="00251D3C" w:rsidP="008E1F6E">
            <w:pPr>
              <w:pStyle w:val="bullet"/>
            </w:pPr>
            <w:r>
              <w:t>low birth weight: OR, 1.24, 95%CI 1.09 to 1.41</w:t>
            </w:r>
          </w:p>
          <w:p w14:paraId="756A6620" w14:textId="4735BBF3" w:rsidR="0065605C" w:rsidRDefault="0065605C" w:rsidP="008E1F6E">
            <w:pPr>
              <w:pStyle w:val="bullet"/>
            </w:pPr>
            <w:r>
              <w:t>large for gestational age: OR 1.88, 95%CI</w:t>
            </w:r>
            <w:r w:rsidRPr="00106C4B">
              <w:t xml:space="preserve"> 1.67</w:t>
            </w:r>
            <w:r>
              <w:t xml:space="preserve"> to </w:t>
            </w:r>
            <w:r w:rsidRPr="00106C4B">
              <w:t>2.11</w:t>
            </w:r>
          </w:p>
          <w:p w14:paraId="63CFB348" w14:textId="3641BF7F" w:rsidR="0065605C" w:rsidRDefault="0065605C" w:rsidP="008E1F6E">
            <w:pPr>
              <w:pStyle w:val="bullet"/>
            </w:pPr>
            <w:r>
              <w:t xml:space="preserve">macrosomia: </w:t>
            </w:r>
            <w:r w:rsidRPr="00106C4B">
              <w:t>OR</w:t>
            </w:r>
            <w:r>
              <w:t xml:space="preserve"> 2.92, 95%CI</w:t>
            </w:r>
            <w:r w:rsidRPr="00106C4B">
              <w:t xml:space="preserve"> 2.67</w:t>
            </w:r>
            <w:r>
              <w:t xml:space="preserve"> to 3.20</w:t>
            </w:r>
          </w:p>
          <w:p w14:paraId="159F7DF4" w14:textId="1EFDA728" w:rsidR="0065605C" w:rsidRDefault="0065605C" w:rsidP="008E1F6E">
            <w:pPr>
              <w:pStyle w:val="bullet"/>
            </w:pPr>
            <w:r>
              <w:t>admission</w:t>
            </w:r>
            <w:r w:rsidRPr="00106C4B">
              <w:t xml:space="preserve"> to </w:t>
            </w:r>
            <w:r>
              <w:t xml:space="preserve">neonatal intensive care unit: </w:t>
            </w:r>
            <w:r w:rsidRPr="00106C4B">
              <w:t>OR</w:t>
            </w:r>
            <w:r>
              <w:t xml:space="preserve"> 1.91, 95%CI</w:t>
            </w:r>
            <w:r w:rsidRPr="00106C4B">
              <w:t xml:space="preserve"> 1.60</w:t>
            </w:r>
            <w:r>
              <w:t xml:space="preserve"> to </w:t>
            </w:r>
            <w:r w:rsidRPr="00106C4B">
              <w:t>2.29</w:t>
            </w:r>
          </w:p>
          <w:p w14:paraId="5EDA953B" w14:textId="565BD627" w:rsidR="0065605C" w:rsidRDefault="0065605C" w:rsidP="008E1F6E">
            <w:pPr>
              <w:pStyle w:val="bullet"/>
            </w:pPr>
            <w:r>
              <w:t xml:space="preserve">stillbirth: </w:t>
            </w:r>
            <w:r w:rsidRPr="00106C4B">
              <w:t>OR</w:t>
            </w:r>
            <w:r>
              <w:t xml:space="preserve"> 1.81, 95%CI</w:t>
            </w:r>
            <w:r w:rsidRPr="00106C4B">
              <w:t xml:space="preserve"> 1.69-1.93, </w:t>
            </w:r>
          </w:p>
        </w:tc>
        <w:tc>
          <w:tcPr>
            <w:tcW w:w="2411" w:type="dxa"/>
          </w:tcPr>
          <w:p w14:paraId="029BF2CC" w14:textId="77777777" w:rsidR="0065605C" w:rsidRDefault="0065605C" w:rsidP="00150085"/>
        </w:tc>
      </w:tr>
      <w:tr w:rsidR="00986BFF" w:rsidRPr="00B60FFF" w14:paraId="7BD86EAC" w14:textId="77777777" w:rsidTr="008E1F6E">
        <w:trPr>
          <w:cantSplit/>
        </w:trPr>
        <w:tc>
          <w:tcPr>
            <w:tcW w:w="1418" w:type="dxa"/>
            <w:tcBorders>
              <w:bottom w:val="single" w:sz="4" w:space="0" w:color="auto"/>
            </w:tcBorders>
          </w:tcPr>
          <w:p w14:paraId="430C350C" w14:textId="75429E9D" w:rsidR="00986BFF" w:rsidRDefault="00986BFF" w:rsidP="002747EA">
            <w:r>
              <w:t>Liu et al 2019</w:t>
            </w:r>
            <w:r w:rsidR="00D07346">
              <w:fldChar w:fldCharType="begin">
                <w:fldData xml:space="preserve">PEVuZE5vdGU+PENpdGU+PEF1dGhvcj5MaXU8L0F1dGhvcj48WWVhcj4yMDE5PC9ZZWFyPjxSZWNO
dW0+MTg2NDwvUmVjTnVtPjxEaXNwbGF5VGV4dD48c3R5bGUgZmFjZT0ic3VwZXJzY3JpcHQiIGZv
bnQ9IlRyZWJ1Y2hldCBNUyIgc2l6ZT0iOSI+MzkwPC9zdHlsZT48L0Rpc3BsYXlUZXh0PjxyZWNv
cmQ+PHJlYy1udW1iZXI+MTg2NDwvcmVjLW51bWJlcj48Zm9yZWlnbi1rZXlzPjxrZXkgYXBwPSJF
TiIgZGItaWQ9ImV4dmFzcmZ4MmR0cmFvZXNhc3hwMnN6c3hhMmRmNTAyNTkyeCIgdGltZXN0YW1w
PSIxNTg3Nzk0MTY0Ij4xODY0PC9rZXk+PGtleSBhcHA9IkVOV2ViIiBkYi1pZD0iIj4wPC9rZXk+
PC9mb3JlaWduLWtleXM+PHJlZi10eXBlIG5hbWU9IkpvdXJuYWwgQXJ0aWNsZSI+MTc8L3JlZi10
eXBlPjxjb250cmlidXRvcnM+PGF1dGhvcnM+PGF1dGhvcj5MaXUsIEwuPC9hdXRob3I+PGF1dGhv
cj5NYSwgWS48L2F1dGhvcj48YXV0aG9yPldhbmcsIE4uPC9hdXRob3I+PGF1dGhvcj5MaW4sIFcu
PC9hdXRob3I+PGF1dGhvcj5MaXUsIFkuPC9hdXRob3I+PGF1dGhvcj5XZW4sIEQuPC9hdXRob3I+
PC9hdXRob3JzPjwvY29udHJpYnV0b3JzPjxhdXRoLWFkZHJlc3M+U2Nob29sIG9mIFB1YmxpYyBI
ZWFsdGgsIERhbGlhbiBNZWRpY2FsIFVuaXZlcnNpdHksIERhbGlhbiwgTGlhb25pbmcgUHJvdmlu
Y2UsIDExNjA0NCwgUGVvcGxlJmFwb3M7cyBSZXB1YmxpYyBvZiBDaGluYS4mI3hEO1NjaG9vbCBv
ZiBQdWJsaWMgSGVhbHRoLCBDaGluYSBNZWRpY2FsIFVuaXZlcnNpdHksIE5vLjc3IFB1aGUgUm9h
ZCwgU2hlbnlhbmcgTm9ydGggTmV3IEFyZWEsIFNoZW55YW5nLCBMaWFvbmluZyBQcm92aW5jZSwg
MTEwMTIyLCBQZW9wbGUmYXBvcztzIFJlcHVibGljIG9mIENoaW5hLiYjeEQ7U2Nob29sIG9mIFB1
YmxpYyBIZWFsdGgsIENoaW5hIE1lZGljYWwgVW5pdmVyc2l0eSwgTm8uNzcgUHVoZSBSb2FkLCBT
aGVueWFuZyBOb3J0aCBOZXcgQXJlYSwgU2hlbnlhbmcsIExpYW9uaW5nIFByb3ZpbmNlLCAxMTAx
MjIsIFBlb3BsZSZhcG9zO3MgUmVwdWJsaWMgb2YgQ2hpbmEuIGRsd2VuQGNtdS5lZHUuY24uPC9h
dXRoLWFkZHJlc3M+PHRpdGxlcz48dGl0bGU+TWF0ZXJuYWwgYm9keSBtYXNzIGluZGV4IGFuZCBy
aXNrIG9mIG5lb25hdGFsIGFkdmVyc2Ugb3V0Y29tZXMgaW4gQ2hpbmE6IGEgc3lzdGVtYXRpYyBy
ZXZpZXcgYW5kIG1ldGEtYW5hbHlzaXM8L3RpdGxlPjxzZWNvbmRhcnktdGl0bGU+Qk1DIFByZWdu
YW5jeSBDaGlsZGJpcnRoPC9zZWNvbmRhcnktdGl0bGU+PC90aXRsZXM+PHBlcmlvZGljYWw+PGZ1
bGwtdGl0bGU+Qk1DIFByZWduYW5jeSBDaGlsZGJpcnRoPC9mdWxsLXRpdGxlPjwvcGVyaW9kaWNh
bD48cGFnZXM+MTA1PC9wYWdlcz48dm9sdW1lPjE5PC92b2x1bWU+PG51bWJlcj4xPC9udW1iZXI+
PGVkaXRpb24+MjAxOS8wMy8zMDwvZWRpdGlvbj48a2V5d29yZHM+PGtleXdvcmQ+QWR1bHQ8L2tl
eXdvcmQ+PGtleXdvcmQ+QmlydGggV2VpZ2h0PC9rZXl3b3JkPjxrZXl3b3JkPipCb2R5IE1hc3Mg
SW5kZXg8L2tleXdvcmQ+PGtleXdvcmQ+Q2hpbmEvZXBpZGVtaW9sb2d5PC9rZXl3b3JkPjxrZXl3
b3JkPkZlbWFsZTwva2V5d29yZD48a2V5d29yZD5GZXRhbCBNYWNyb3NvbWlhL2V0aW9sb2d5PC9r
ZXl3b3JkPjxrZXl3b3JkPkdlc3RhdGlvbmFsIFdlaWdodCBHYWluPC9rZXl3b3JkPjxrZXl3b3Jk
Pkh1bWFuczwva2V5d29yZD48a2V5d29yZD5JbmZhbnQsIExvdyBCaXJ0aCBXZWlnaHQ8L2tleXdv
cmQ+PGtleXdvcmQ+SW5mYW50LCBOZXdib3JuPC9rZXl3b3JkPjxrZXl3b3JkPkluZmFudCwgU21h
bGwgZm9yIEdlc3RhdGlvbmFsIEFnZTwva2V5d29yZD48a2V5d29yZD5PYmVzaXR5L2NvbXBsaWNh
dGlvbnMvKnBoeXNpb3BhdGhvbG9neTwva2V5d29yZD48a2V5d29yZD5QcmVnbmFuY3k8L2tleXdv
cmQ+PGtleXdvcmQ+UHJlZ25hbmN5IENvbXBsaWNhdGlvbnMvZXRpb2xvZ3kvKnBoeXNpb3BhdGhv
bG9neTwva2V5d29yZD48a2V5d29yZD5QcmVnbmFuY3kgT3V0Y29tZS8qZXBpZGVtaW9sb2d5PC9r
ZXl3b3JkPjxrZXl3b3JkPlJpc2sgRmFjdG9yczwva2V5d29yZD48a2V5d29yZD5Db2hvcnQgc3R1
ZHk8L2tleXdvcmQ+PGtleXdvcmQ+TWF0ZXJuYWwgQk1JPC9rZXl3b3JkPjxrZXl3b3JkPk1ldGEt
YW5hbHlzaXM8L2tleXdvcmQ+PGtleXdvcmQ+TmVvbmF0YWwgb3V0Y29tZXM8L2tleXdvcmQ+PC9r
ZXl3b3Jkcz48ZGF0ZXM+PHllYXI+MjAxOTwveWVhcj48cHViLWRhdGVzPjxkYXRlPk1hciAyOTwv
ZGF0ZT48L3B1Yi1kYXRlcz48L2RhdGVzPjxpc2JuPjE0NzEtMjM5MyAoRWxlY3Ryb25pYykmI3hE
OzE0NzEtMjM5MyAoTGlua2luZyk8L2lzYm4+PGFjY2Vzc2lvbi1udW0+MzA5MjIyNDQ8L2FjY2Vz
c2lvbi1udW0+PHVybHM+PHJlbGF0ZWQtdXJscz48dXJsPmh0dHBzOi8vd3d3Lm5jYmkubmxtLm5p
aC5nb3YvcHVibWVkLzMwOTIyMjQ0PC91cmw+PC9yZWxhdGVkLXVybHM+PC91cmxzPjxjdXN0b20y
PlBNQzY0NDAxMjE8L2N1c3RvbTI+PGVsZWN0cm9uaWMtcmVzb3VyY2UtbnVtPjEwLjExODYvczEy
ODg0LTAxOS0yMjQ5LXo8L2VsZWN0cm9uaWMtcmVzb3VyY2UtbnVtPjwvcmVjb3JkPjwvQ2l0ZT48
L0VuZE5vdGU+AG==
</w:fldData>
              </w:fldChar>
            </w:r>
            <w:r w:rsidR="002747EA">
              <w:instrText xml:space="preserve"> ADDIN EN.CITE </w:instrText>
            </w:r>
            <w:r w:rsidR="002747EA">
              <w:fldChar w:fldCharType="begin">
                <w:fldData xml:space="preserve">PEVuZE5vdGU+PENpdGU+PEF1dGhvcj5MaXU8L0F1dGhvcj48WWVhcj4yMDE5PC9ZZWFyPjxSZWNO
dW0+MTg2NDwvUmVjTnVtPjxEaXNwbGF5VGV4dD48c3R5bGUgZmFjZT0ic3VwZXJzY3JpcHQiIGZv
bnQ9IlRyZWJ1Y2hldCBNUyIgc2l6ZT0iOSI+MzkwPC9zdHlsZT48L0Rpc3BsYXlUZXh0PjxyZWNv
cmQ+PHJlYy1udW1iZXI+MTg2NDwvcmVjLW51bWJlcj48Zm9yZWlnbi1rZXlzPjxrZXkgYXBwPSJF
TiIgZGItaWQ9ImV4dmFzcmZ4MmR0cmFvZXNhc3hwMnN6c3hhMmRmNTAyNTkyeCIgdGltZXN0YW1w
PSIxNTg3Nzk0MTY0Ij4xODY0PC9rZXk+PGtleSBhcHA9IkVOV2ViIiBkYi1pZD0iIj4wPC9rZXk+
PC9mb3JlaWduLWtleXM+PHJlZi10eXBlIG5hbWU9IkpvdXJuYWwgQXJ0aWNsZSI+MTc8L3JlZi10
eXBlPjxjb250cmlidXRvcnM+PGF1dGhvcnM+PGF1dGhvcj5MaXUsIEwuPC9hdXRob3I+PGF1dGhv
cj5NYSwgWS48L2F1dGhvcj48YXV0aG9yPldhbmcsIE4uPC9hdXRob3I+PGF1dGhvcj5MaW4sIFcu
PC9hdXRob3I+PGF1dGhvcj5MaXUsIFkuPC9hdXRob3I+PGF1dGhvcj5XZW4sIEQuPC9hdXRob3I+
PC9hdXRob3JzPjwvY29udHJpYnV0b3JzPjxhdXRoLWFkZHJlc3M+U2Nob29sIG9mIFB1YmxpYyBI
ZWFsdGgsIERhbGlhbiBNZWRpY2FsIFVuaXZlcnNpdHksIERhbGlhbiwgTGlhb25pbmcgUHJvdmlu
Y2UsIDExNjA0NCwgUGVvcGxlJmFwb3M7cyBSZXB1YmxpYyBvZiBDaGluYS4mI3hEO1NjaG9vbCBv
ZiBQdWJsaWMgSGVhbHRoLCBDaGluYSBNZWRpY2FsIFVuaXZlcnNpdHksIE5vLjc3IFB1aGUgUm9h
ZCwgU2hlbnlhbmcgTm9ydGggTmV3IEFyZWEsIFNoZW55YW5nLCBMaWFvbmluZyBQcm92aW5jZSwg
MTEwMTIyLCBQZW9wbGUmYXBvcztzIFJlcHVibGljIG9mIENoaW5hLiYjeEQ7U2Nob29sIG9mIFB1
YmxpYyBIZWFsdGgsIENoaW5hIE1lZGljYWwgVW5pdmVyc2l0eSwgTm8uNzcgUHVoZSBSb2FkLCBT
aGVueWFuZyBOb3J0aCBOZXcgQXJlYSwgU2hlbnlhbmcsIExpYW9uaW5nIFByb3ZpbmNlLCAxMTAx
MjIsIFBlb3BsZSZhcG9zO3MgUmVwdWJsaWMgb2YgQ2hpbmEuIGRsd2VuQGNtdS5lZHUuY24uPC9h
dXRoLWFkZHJlc3M+PHRpdGxlcz48dGl0bGU+TWF0ZXJuYWwgYm9keSBtYXNzIGluZGV4IGFuZCBy
aXNrIG9mIG5lb25hdGFsIGFkdmVyc2Ugb3V0Y29tZXMgaW4gQ2hpbmE6IGEgc3lzdGVtYXRpYyBy
ZXZpZXcgYW5kIG1ldGEtYW5hbHlzaXM8L3RpdGxlPjxzZWNvbmRhcnktdGl0bGU+Qk1DIFByZWdu
YW5jeSBDaGlsZGJpcnRoPC9zZWNvbmRhcnktdGl0bGU+PC90aXRsZXM+PHBlcmlvZGljYWw+PGZ1
bGwtdGl0bGU+Qk1DIFByZWduYW5jeSBDaGlsZGJpcnRoPC9mdWxsLXRpdGxlPjwvcGVyaW9kaWNh
bD48cGFnZXM+MTA1PC9wYWdlcz48dm9sdW1lPjE5PC92b2x1bWU+PG51bWJlcj4xPC9udW1iZXI+
PGVkaXRpb24+MjAxOS8wMy8zMDwvZWRpdGlvbj48a2V5d29yZHM+PGtleXdvcmQ+QWR1bHQ8L2tl
eXdvcmQ+PGtleXdvcmQ+QmlydGggV2VpZ2h0PC9rZXl3b3JkPjxrZXl3b3JkPipCb2R5IE1hc3Mg
SW5kZXg8L2tleXdvcmQ+PGtleXdvcmQ+Q2hpbmEvZXBpZGVtaW9sb2d5PC9rZXl3b3JkPjxrZXl3
b3JkPkZlbWFsZTwva2V5d29yZD48a2V5d29yZD5GZXRhbCBNYWNyb3NvbWlhL2V0aW9sb2d5PC9r
ZXl3b3JkPjxrZXl3b3JkPkdlc3RhdGlvbmFsIFdlaWdodCBHYWluPC9rZXl3b3JkPjxrZXl3b3Jk
Pkh1bWFuczwva2V5d29yZD48a2V5d29yZD5JbmZhbnQsIExvdyBCaXJ0aCBXZWlnaHQ8L2tleXdv
cmQ+PGtleXdvcmQ+SW5mYW50LCBOZXdib3JuPC9rZXl3b3JkPjxrZXl3b3JkPkluZmFudCwgU21h
bGwgZm9yIEdlc3RhdGlvbmFsIEFnZTwva2V5d29yZD48a2V5d29yZD5PYmVzaXR5L2NvbXBsaWNh
dGlvbnMvKnBoeXNpb3BhdGhvbG9neTwva2V5d29yZD48a2V5d29yZD5QcmVnbmFuY3k8L2tleXdv
cmQ+PGtleXdvcmQ+UHJlZ25hbmN5IENvbXBsaWNhdGlvbnMvZXRpb2xvZ3kvKnBoeXNpb3BhdGhv
bG9neTwva2V5d29yZD48a2V5d29yZD5QcmVnbmFuY3kgT3V0Y29tZS8qZXBpZGVtaW9sb2d5PC9r
ZXl3b3JkPjxrZXl3b3JkPlJpc2sgRmFjdG9yczwva2V5d29yZD48a2V5d29yZD5Db2hvcnQgc3R1
ZHk8L2tleXdvcmQ+PGtleXdvcmQ+TWF0ZXJuYWwgQk1JPC9rZXl3b3JkPjxrZXl3b3JkPk1ldGEt
YW5hbHlzaXM8L2tleXdvcmQ+PGtleXdvcmQ+TmVvbmF0YWwgb3V0Y29tZXM8L2tleXdvcmQ+PC9r
ZXl3b3Jkcz48ZGF0ZXM+PHllYXI+MjAxOTwveWVhcj48cHViLWRhdGVzPjxkYXRlPk1hciAyOTwv
ZGF0ZT48L3B1Yi1kYXRlcz48L2RhdGVzPjxpc2JuPjE0NzEtMjM5MyAoRWxlY3Ryb25pYykmI3hE
OzE0NzEtMjM5MyAoTGlua2luZyk8L2lzYm4+PGFjY2Vzc2lvbi1udW0+MzA5MjIyNDQ8L2FjY2Vz
c2lvbi1udW0+PHVybHM+PHJlbGF0ZWQtdXJscz48dXJsPmh0dHBzOi8vd3d3Lm5jYmkubmxtLm5p
aC5nb3YvcHVibWVkLzMwOTIyMjQ0PC91cmw+PC9yZWxhdGVkLXVybHM+PC91cmxzPjxjdXN0b20y
PlBNQzY0NDAxMjE8L2N1c3RvbTI+PGVsZWN0cm9uaWMtcmVzb3VyY2UtbnVtPjEwLjExODYvczEy
ODg0LTAxOS0yMjQ5LXo8L2VsZWN0cm9uaWMtcmVzb3VyY2UtbnVtPjwvcmVjb3JkPjwvQ2l0ZT48
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390</w:t>
            </w:r>
            <w:r w:rsidR="00D07346">
              <w:fldChar w:fldCharType="end"/>
            </w:r>
          </w:p>
        </w:tc>
        <w:tc>
          <w:tcPr>
            <w:tcW w:w="1701" w:type="dxa"/>
            <w:tcBorders>
              <w:bottom w:val="single" w:sz="4" w:space="0" w:color="auto"/>
            </w:tcBorders>
          </w:tcPr>
          <w:p w14:paraId="465BE639" w14:textId="77777777" w:rsidR="00986BFF" w:rsidRDefault="00986BFF" w:rsidP="00150085">
            <w:r>
              <w:t>46 cohort studies</w:t>
            </w:r>
          </w:p>
        </w:tc>
        <w:tc>
          <w:tcPr>
            <w:tcW w:w="4252" w:type="dxa"/>
            <w:tcBorders>
              <w:bottom w:val="single" w:sz="4" w:space="0" w:color="auto"/>
            </w:tcBorders>
          </w:tcPr>
          <w:p w14:paraId="4E9C02E1" w14:textId="77777777" w:rsidR="00986BFF" w:rsidRDefault="00986BFF" w:rsidP="00150085">
            <w:r>
              <w:t>Aim: T</w:t>
            </w:r>
            <w:r w:rsidRPr="00986BFF">
              <w:t xml:space="preserve">o evaluate maternal BMI and the risk of harmful neonatal outcomes in China. </w:t>
            </w:r>
          </w:p>
          <w:p w14:paraId="52275A56" w14:textId="77777777" w:rsidR="00986BFF" w:rsidRPr="005629DA" w:rsidRDefault="00986BFF" w:rsidP="00150085">
            <w:pPr>
              <w:rPr>
                <w:b/>
              </w:rPr>
            </w:pPr>
            <w:r w:rsidRPr="00EC2135">
              <w:rPr>
                <w:b/>
              </w:rPr>
              <w:t>Methods</w:t>
            </w:r>
            <w:r w:rsidRPr="00986BFF">
              <w:t>: Six databases identified 2454 articles; 46 met the inclusion criteria for this study. The dichotomous data on maternal BMI and harmful neonatal outcomes were extracted. Pooled statistics (odds ratios, ORs) were derived from Stata/SE, ver. 12.0. Sensitivity analyses assessed the robustness of the results. Meta-regression and subgroup meta-analyses explored heterogeneity.</w:t>
            </w:r>
          </w:p>
        </w:tc>
        <w:tc>
          <w:tcPr>
            <w:tcW w:w="4394" w:type="dxa"/>
            <w:tcBorders>
              <w:bottom w:val="single" w:sz="4" w:space="0" w:color="auto"/>
            </w:tcBorders>
          </w:tcPr>
          <w:p w14:paraId="4AC184F6" w14:textId="77777777" w:rsidR="00986BFF" w:rsidRDefault="00986BFF" w:rsidP="00150085">
            <w:r>
              <w:t>C</w:t>
            </w:r>
            <w:r w:rsidRPr="00986BFF">
              <w:t>ompared with normal BMI, high maternal BMI is associated with</w:t>
            </w:r>
            <w:r>
              <w:t>:</w:t>
            </w:r>
          </w:p>
          <w:p w14:paraId="7D16A489" w14:textId="4159B132" w:rsidR="00986BFF" w:rsidRDefault="00986BFF" w:rsidP="00150085">
            <w:pPr>
              <w:pStyle w:val="bullet"/>
            </w:pPr>
            <w:r w:rsidRPr="00986BFF">
              <w:t xml:space="preserve">macrosomia </w:t>
            </w:r>
            <w:r>
              <w:t xml:space="preserve">≥4000 g: </w:t>
            </w:r>
            <w:r w:rsidRPr="00986BFF">
              <w:t>OR 1.91, 95% CI 1.75</w:t>
            </w:r>
            <w:r>
              <w:t xml:space="preserve"> to </w:t>
            </w:r>
            <w:r w:rsidRPr="00986BFF">
              <w:t>2.09</w:t>
            </w:r>
          </w:p>
          <w:p w14:paraId="68B30D6F" w14:textId="0AE21CD3" w:rsidR="00986BFF" w:rsidRDefault="00986BFF" w:rsidP="00150085">
            <w:pPr>
              <w:pStyle w:val="bullet"/>
            </w:pPr>
            <w:r>
              <w:t>large</w:t>
            </w:r>
            <w:r w:rsidRPr="00986BFF">
              <w:t xml:space="preserve"> for g</w:t>
            </w:r>
            <w:r>
              <w:t>estational age: OR 1.88, 95% CI 1.64 to 2.15</w:t>
            </w:r>
          </w:p>
          <w:p w14:paraId="62F47665" w14:textId="73423F1E" w:rsidR="00986BFF" w:rsidRDefault="00986BFF" w:rsidP="00986BFF">
            <w:pPr>
              <w:pStyle w:val="bullet"/>
            </w:pPr>
            <w:r>
              <w:t xml:space="preserve">preterm birth: </w:t>
            </w:r>
            <w:r w:rsidRPr="00986BFF">
              <w:t>OR 1.38, 95% CI 1.25</w:t>
            </w:r>
            <w:r>
              <w:t xml:space="preserve"> to 2.52</w:t>
            </w:r>
            <w:r w:rsidRPr="00986BFF">
              <w:t xml:space="preserve"> </w:t>
            </w:r>
          </w:p>
          <w:p w14:paraId="7089F975" w14:textId="3CA03FD4" w:rsidR="00986BFF" w:rsidRDefault="00986BFF" w:rsidP="00986BFF">
            <w:pPr>
              <w:pStyle w:val="bullet"/>
            </w:pPr>
            <w:r>
              <w:t>neonatal asphyxia: OR 1.74, 95% CI 1.39 to 2.17</w:t>
            </w:r>
          </w:p>
        </w:tc>
        <w:tc>
          <w:tcPr>
            <w:tcW w:w="2411" w:type="dxa"/>
            <w:tcBorders>
              <w:bottom w:val="single" w:sz="4" w:space="0" w:color="auto"/>
            </w:tcBorders>
          </w:tcPr>
          <w:p w14:paraId="7833F204" w14:textId="77777777" w:rsidR="00986BFF" w:rsidRDefault="00986BFF" w:rsidP="00150085"/>
        </w:tc>
      </w:tr>
      <w:tr w:rsidR="0044218C" w:rsidRPr="00B60FFF" w14:paraId="5EE3675F" w14:textId="77777777" w:rsidTr="008E1F6E">
        <w:trPr>
          <w:cantSplit/>
        </w:trPr>
        <w:tc>
          <w:tcPr>
            <w:tcW w:w="1418" w:type="dxa"/>
            <w:tcBorders>
              <w:top w:val="single" w:sz="4" w:space="0" w:color="auto"/>
              <w:left w:val="single" w:sz="4" w:space="0" w:color="auto"/>
              <w:bottom w:val="single" w:sz="4" w:space="0" w:color="auto"/>
              <w:right w:val="single" w:sz="4" w:space="0" w:color="auto"/>
            </w:tcBorders>
          </w:tcPr>
          <w:p w14:paraId="1FC5DC96" w14:textId="27CDF713" w:rsidR="0044218C" w:rsidRDefault="0044218C" w:rsidP="002747EA">
            <w:r>
              <w:t>Torloni et al 2009</w:t>
            </w:r>
            <w:r w:rsidR="00D07346">
              <w:fldChar w:fldCharType="begin"/>
            </w:r>
            <w:r w:rsidR="002747EA">
              <w:instrText xml:space="preserve"> ADDIN EN.CITE &lt;EndNote&gt;&lt;Cite&gt;&lt;Author&gt;Torloni&lt;/Author&gt;&lt;Year&gt;2009&lt;/Year&gt;&lt;RecNum&gt;1865&lt;/RecNum&gt;&lt;DisplayText&gt;&lt;style face="superscript" font="Trebuchet MS" size="9"&gt;395&lt;/style&gt;&lt;/DisplayText&gt;&lt;record&gt;&lt;rec-number&gt;1865&lt;/rec-number&gt;&lt;foreign-keys&gt;&lt;key app="EN" db-id="exvasrfx2dtraoesasxp2szsxa2df502592x" timestamp="1587794175"&gt;1865&lt;/key&gt;&lt;key app="ENWeb" db-id=""&gt;0&lt;/key&gt;&lt;/foreign-keys&gt;&lt;ref-type name="Journal Article"&gt;17&lt;/ref-type&gt;&lt;contributors&gt;&lt;authors&gt;&lt;author&gt;Torloni, M. R.&lt;/author&gt;&lt;author&gt;Betran, A. P.&lt;/author&gt;&lt;author&gt;Horta, B. L.&lt;/author&gt;&lt;author&gt;Nakamura, M. U.&lt;/author&gt;&lt;author&gt;Atallah, A. N.&lt;/author&gt;&lt;author&gt;Moron, A. F.&lt;/author&gt;&lt;author&gt;Valente, O.&lt;/author&gt;&lt;/authors&gt;&lt;/contributors&gt;&lt;auth-address&gt;Department of Emergency and Evidence Based Medicine, Sao Paulo Federal University, Sao Paulo, Brazil.&lt;/auth-address&gt;&lt;titles&gt;&lt;title&gt;Prepregnancy BMI and the risk of gestational diabetes: a systematic review of the literature with meta-analysis&lt;/title&gt;&lt;secondary-title&gt;Obes Rev&lt;/secondary-title&gt;&lt;/titles&gt;&lt;periodical&gt;&lt;full-title&gt;Obes Rev&lt;/full-title&gt;&lt;/periodical&gt;&lt;pages&gt;194-203&lt;/pages&gt;&lt;volume&gt;10&lt;/volume&gt;&lt;number&gt;2&lt;/number&gt;&lt;edition&gt;2008/12/06&lt;/edition&gt;&lt;keywords&gt;&lt;keyword&gt;*Body Mass Index&lt;/keyword&gt;&lt;keyword&gt;Diabetes, Gestational/*epidemiology&lt;/keyword&gt;&lt;keyword&gt;Female&lt;/keyword&gt;&lt;keyword&gt;Humans&lt;/keyword&gt;&lt;keyword&gt;Pregnancy&lt;/keyword&gt;&lt;keyword&gt;Risk Factors&lt;/keyword&gt;&lt;/keywords&gt;&lt;dates&gt;&lt;year&gt;2009&lt;/year&gt;&lt;pub-dates&gt;&lt;date&gt;Mar&lt;/date&gt;&lt;/pub-dates&gt;&lt;/dates&gt;&lt;isbn&gt;1467-789X (Electronic)&amp;#xD;1467-7881 (Linking)&lt;/isbn&gt;&lt;accession-num&gt;19055539&lt;/accession-num&gt;&lt;urls&gt;&lt;related-urls&gt;&lt;url&gt;https://www.ncbi.nlm.nih.gov/pubmed/19055539&lt;/url&gt;&lt;/related-urls&gt;&lt;/urls&gt;&lt;electronic-resource-num&gt;10.1111/j.1467-789X.2008.00541.x&lt;/electronic-resource-num&gt;&lt;/record&gt;&lt;/Cite&gt;&lt;/EndNote&gt;</w:instrText>
            </w:r>
            <w:r w:rsidR="00D07346">
              <w:fldChar w:fldCharType="separate"/>
            </w:r>
            <w:r w:rsidR="002747EA" w:rsidRPr="002747EA">
              <w:rPr>
                <w:noProof/>
                <w:vertAlign w:val="superscript"/>
              </w:rPr>
              <w:t>395</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04AC2FC7" w14:textId="77777777" w:rsidR="0044218C" w:rsidRDefault="0044218C" w:rsidP="00150085">
            <w:r>
              <w:t xml:space="preserve">70 studies </w:t>
            </w:r>
            <w:r w:rsidRPr="0044218C">
              <w:t>(59 cohorts and 11 case-controls)</w:t>
            </w:r>
          </w:p>
          <w:p w14:paraId="5CB18B21" w14:textId="77777777" w:rsidR="0044218C" w:rsidRDefault="0044218C" w:rsidP="00150085">
            <w:r w:rsidRPr="0044218C">
              <w:t>671 945 women</w:t>
            </w:r>
          </w:p>
          <w:p w14:paraId="223366C7" w14:textId="77777777" w:rsidR="0044218C" w:rsidRDefault="0044218C" w:rsidP="00150085"/>
        </w:tc>
        <w:tc>
          <w:tcPr>
            <w:tcW w:w="4252" w:type="dxa"/>
            <w:tcBorders>
              <w:top w:val="single" w:sz="4" w:space="0" w:color="auto"/>
              <w:left w:val="single" w:sz="4" w:space="0" w:color="auto"/>
              <w:bottom w:val="single" w:sz="4" w:space="0" w:color="auto"/>
              <w:right w:val="single" w:sz="4" w:space="0" w:color="auto"/>
            </w:tcBorders>
          </w:tcPr>
          <w:p w14:paraId="28FAA873" w14:textId="77777777" w:rsidR="0044218C" w:rsidRDefault="0044218C" w:rsidP="00150085">
            <w:r w:rsidRPr="00EC2135">
              <w:rPr>
                <w:b/>
              </w:rPr>
              <w:t>Aim</w:t>
            </w:r>
            <w:r>
              <w:t>: T</w:t>
            </w:r>
            <w:r w:rsidRPr="0044218C">
              <w:t xml:space="preserve">o assess and quantify the risk for gestational diabetes mellitus (GDM) according to prepregnancy maternal body mass index (BMI). </w:t>
            </w:r>
          </w:p>
          <w:p w14:paraId="331D1A8C" w14:textId="77777777" w:rsidR="0044218C" w:rsidRPr="001365D7" w:rsidRDefault="0044218C" w:rsidP="00150085">
            <w:pPr>
              <w:rPr>
                <w:b/>
              </w:rPr>
            </w:pPr>
            <w:r w:rsidRPr="00EC2135">
              <w:rPr>
                <w:b/>
              </w:rPr>
              <w:t>Methods</w:t>
            </w:r>
            <w:r>
              <w:t>:</w:t>
            </w:r>
            <w:r w:rsidRPr="0044218C">
              <w:t xml:space="preserve"> Four electronic databases were searched for publications (1977-2007). BMI was elected as the only measure of obesity, and all diagnostic criteria for GDM were accepted. Studies with selective screening for GDM were excluded. There were no language restrictions. The methodological quality of primary studies was assessed. Most studies were of high or medium quality.</w:t>
            </w:r>
          </w:p>
        </w:tc>
        <w:tc>
          <w:tcPr>
            <w:tcW w:w="4394" w:type="dxa"/>
            <w:tcBorders>
              <w:top w:val="single" w:sz="4" w:space="0" w:color="auto"/>
              <w:left w:val="single" w:sz="4" w:space="0" w:color="auto"/>
              <w:bottom w:val="single" w:sz="4" w:space="0" w:color="auto"/>
              <w:right w:val="single" w:sz="4" w:space="0" w:color="auto"/>
            </w:tcBorders>
          </w:tcPr>
          <w:p w14:paraId="15DF651A" w14:textId="77777777" w:rsidR="00150085" w:rsidRDefault="0044218C" w:rsidP="00150085">
            <w:r w:rsidRPr="0044218C">
              <w:t xml:space="preserve">Compared with women with a </w:t>
            </w:r>
            <w:r>
              <w:t xml:space="preserve">healthy </w:t>
            </w:r>
            <w:r w:rsidRPr="0044218C">
              <w:t xml:space="preserve">BMI, </w:t>
            </w:r>
            <w:r>
              <w:t>risk of gestational diabetes:</w:t>
            </w:r>
          </w:p>
          <w:p w14:paraId="6DE21CCF" w14:textId="363648F3" w:rsidR="0044218C" w:rsidRDefault="0044218C" w:rsidP="008E1F6E">
            <w:pPr>
              <w:pStyle w:val="bullet"/>
            </w:pPr>
            <w:r>
              <w:t>overweight: 1.97; 95% CI 1.77 to 2.19</w:t>
            </w:r>
          </w:p>
          <w:p w14:paraId="17CA9F1B" w14:textId="4AFBEDFA" w:rsidR="0044218C" w:rsidRDefault="0044218C" w:rsidP="008E1F6E">
            <w:pPr>
              <w:pStyle w:val="bullet"/>
            </w:pPr>
            <w:r>
              <w:t xml:space="preserve">moderately obese: 3.01; </w:t>
            </w:r>
            <w:r w:rsidRPr="0044218C">
              <w:t>95% CI 2.34 to 3.87</w:t>
            </w:r>
          </w:p>
          <w:p w14:paraId="1F81F693" w14:textId="115A1F01" w:rsidR="0044218C" w:rsidRDefault="0044218C" w:rsidP="008E1F6E">
            <w:pPr>
              <w:pStyle w:val="bullet"/>
            </w:pPr>
            <w:r w:rsidRPr="0044218C">
              <w:t>morbidly obese</w:t>
            </w:r>
            <w:r>
              <w:t>: 5.55; 95% CI 4.27 to 7.21</w:t>
            </w:r>
            <w:r w:rsidRPr="0044218C">
              <w:t xml:space="preserve">. </w:t>
            </w:r>
          </w:p>
          <w:p w14:paraId="7E902D5F" w14:textId="57DD277D" w:rsidR="0044218C" w:rsidRPr="0044218C" w:rsidRDefault="0044218C">
            <w:r w:rsidRPr="0044218C">
              <w:t>For every 1 kg m(-2) increase in BMI, the prevalence of GDM increased by 0.92% (95% CI 0.73 to 1.10).</w:t>
            </w:r>
          </w:p>
        </w:tc>
        <w:tc>
          <w:tcPr>
            <w:tcW w:w="2411" w:type="dxa"/>
            <w:tcBorders>
              <w:top w:val="single" w:sz="4" w:space="0" w:color="auto"/>
              <w:left w:val="single" w:sz="4" w:space="0" w:color="auto"/>
              <w:bottom w:val="single" w:sz="4" w:space="0" w:color="auto"/>
              <w:right w:val="single" w:sz="4" w:space="0" w:color="auto"/>
            </w:tcBorders>
          </w:tcPr>
          <w:p w14:paraId="7C297E68" w14:textId="77777777" w:rsidR="0044218C" w:rsidRDefault="0044218C" w:rsidP="00150085"/>
        </w:tc>
      </w:tr>
      <w:tr w:rsidR="00A16B99" w:rsidRPr="00B60FFF" w14:paraId="7F8EA296" w14:textId="77777777" w:rsidTr="008E1F6E">
        <w:tc>
          <w:tcPr>
            <w:tcW w:w="1418" w:type="dxa"/>
            <w:tcBorders>
              <w:top w:val="single" w:sz="4" w:space="0" w:color="auto"/>
              <w:left w:val="single" w:sz="4" w:space="0" w:color="auto"/>
              <w:bottom w:val="single" w:sz="4" w:space="0" w:color="auto"/>
              <w:right w:val="single" w:sz="4" w:space="0" w:color="auto"/>
            </w:tcBorders>
          </w:tcPr>
          <w:p w14:paraId="2FE1A0C7" w14:textId="18CB16A8" w:rsidR="00A16B99" w:rsidRDefault="00A16B99" w:rsidP="002747EA">
            <w:r>
              <w:t>Goto et al 2017</w:t>
            </w:r>
            <w:r w:rsidR="00D07346">
              <w:fldChar w:fldCharType="begin"/>
            </w:r>
            <w:r w:rsidR="002747EA">
              <w:instrText xml:space="preserve"> ADDIN EN.CITE &lt;EndNote&gt;&lt;Cite&gt;&lt;Author&gt;Goto&lt;/Author&gt;&lt;Year&gt;2017&lt;/Year&gt;&lt;RecNum&gt;1862&lt;/RecNum&gt;&lt;DisplayText&gt;&lt;style face="superscript" font="Trebuchet MS" size="9"&gt;391&lt;/style&gt;&lt;/DisplayText&gt;&lt;record&gt;&lt;rec-number&gt;1862&lt;/rec-number&gt;&lt;foreign-keys&gt;&lt;key app="EN" db-id="exvasrfx2dtraoesasxp2szsxa2df502592x" timestamp="1587794145"&gt;1862&lt;/key&gt;&lt;key app="ENWeb" db-id=""&gt;0&lt;/key&gt;&lt;/foreign-keys&gt;&lt;ref-type name="Journal Article"&gt;17&lt;/ref-type&gt;&lt;contributors&gt;&lt;authors&gt;&lt;author&gt;Goto, E.&lt;/author&gt;&lt;/authors&gt;&lt;/contributors&gt;&lt;auth-address&gt;a Department of Medicine and Public Health , Nagoya Medical Science Research Institute , Nagoya , Japan.&lt;/auth-address&gt;&lt;titles&gt;&lt;title&gt;Dose-response association between maternal body mass index and small for gestational age: a meta-analysis&lt;/title&gt;&lt;secondary-title&gt;J Matern Fetal Neonatal Med&lt;/secondary-title&gt;&lt;/titles&gt;&lt;periodical&gt;&lt;full-title&gt;J Matern Fetal Neonatal Med&lt;/full-title&gt;&lt;/periodical&gt;&lt;pages&gt;213-218&lt;/pages&gt;&lt;volume&gt;30&lt;/volume&gt;&lt;number&gt;2&lt;/number&gt;&lt;edition&gt;2016/03/24&lt;/edition&gt;&lt;keywords&gt;&lt;keyword&gt;*Body Mass Index&lt;/keyword&gt;&lt;keyword&gt;Body Weight/*physiology&lt;/keyword&gt;&lt;keyword&gt;Female&lt;/keyword&gt;&lt;keyword&gt;Humans&lt;/keyword&gt;&lt;keyword&gt;Infant, Newborn&lt;/keyword&gt;&lt;keyword&gt;*Infant, Small for Gestational Age&lt;/keyword&gt;&lt;keyword&gt;Pregnancy&lt;/keyword&gt;&lt;keyword&gt;Pregnancy Complications&lt;/keyword&gt;&lt;keyword&gt;Risk Factors&lt;/keyword&gt;&lt;keyword&gt;*Anthropometry&lt;/keyword&gt;&lt;keyword&gt;*meta-analysis&lt;/keyword&gt;&lt;keyword&gt;*risk&lt;/keyword&gt;&lt;keyword&gt;*small for gestational age&lt;/keyword&gt;&lt;/keywords&gt;&lt;dates&gt;&lt;year&gt;2017&lt;/year&gt;&lt;pub-dates&gt;&lt;date&gt;Jan&lt;/date&gt;&lt;/pub-dates&gt;&lt;/dates&gt;&lt;isbn&gt;1476-4954 (Electronic)&amp;#xD;1476-4954 (Linking)&lt;/isbn&gt;&lt;accession-num&gt;27002363&lt;/accession-num&gt;&lt;urls&gt;&lt;related-urls&gt;&lt;url&gt;https://www.ncbi.nlm.nih.gov/pubmed/27002363&lt;/url&gt;&lt;/related-urls&gt;&lt;/urls&gt;&lt;electronic-resource-num&gt;10.3109/14767058.2016.1169519&lt;/electronic-resource-num&gt;&lt;/record&gt;&lt;/Cite&gt;&lt;/EndNote&gt;</w:instrText>
            </w:r>
            <w:r w:rsidR="00D07346">
              <w:fldChar w:fldCharType="separate"/>
            </w:r>
            <w:r w:rsidR="002747EA" w:rsidRPr="002747EA">
              <w:rPr>
                <w:noProof/>
                <w:vertAlign w:val="superscript"/>
              </w:rPr>
              <w:t>391</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7DE1C3BD" w14:textId="77777777" w:rsidR="00A16B99" w:rsidRDefault="00A16B99" w:rsidP="009F491F">
            <w:r>
              <w:t>323,</w:t>
            </w:r>
            <w:r w:rsidRPr="00D71665">
              <w:t>243</w:t>
            </w:r>
            <w:r>
              <w:t xml:space="preserve"> women</w:t>
            </w:r>
          </w:p>
        </w:tc>
        <w:tc>
          <w:tcPr>
            <w:tcW w:w="4252" w:type="dxa"/>
            <w:tcBorders>
              <w:top w:val="single" w:sz="4" w:space="0" w:color="auto"/>
              <w:left w:val="single" w:sz="4" w:space="0" w:color="auto"/>
              <w:bottom w:val="single" w:sz="4" w:space="0" w:color="auto"/>
              <w:right w:val="single" w:sz="4" w:space="0" w:color="auto"/>
            </w:tcBorders>
          </w:tcPr>
          <w:p w14:paraId="591F1482" w14:textId="77777777" w:rsidR="00A16B99" w:rsidRDefault="00A16B99" w:rsidP="009F491F">
            <w:r w:rsidRPr="00EC2135">
              <w:rPr>
                <w:b/>
              </w:rPr>
              <w:t>Aim</w:t>
            </w:r>
            <w:r>
              <w:t>: T</w:t>
            </w:r>
            <w:r w:rsidRPr="00D71665">
              <w:t xml:space="preserve">o determine the dose-response relationships between maternal anthropometric variables and risk of small for gestational age (SGA). </w:t>
            </w:r>
          </w:p>
          <w:p w14:paraId="186299F8" w14:textId="77777777" w:rsidR="00A16B99" w:rsidRPr="00EC2135" w:rsidRDefault="00A16B99" w:rsidP="009F491F">
            <w:pPr>
              <w:rPr>
                <w:b/>
              </w:rPr>
            </w:pPr>
            <w:r w:rsidRPr="00EC2135">
              <w:rPr>
                <w:b/>
              </w:rPr>
              <w:t>Methods</w:t>
            </w:r>
            <w:r w:rsidRPr="00D71665">
              <w:t xml:space="preserve">: Linear and nonlinear dose-response meta-analyses were performed to summarize the adjusted relative risks of SGA. Ten databases, including PubMed (MEDLINE), were searched. Study quality was assessed using the Newcastle-Ottawa scale. </w:t>
            </w:r>
          </w:p>
        </w:tc>
        <w:tc>
          <w:tcPr>
            <w:tcW w:w="4394" w:type="dxa"/>
            <w:tcBorders>
              <w:top w:val="single" w:sz="4" w:space="0" w:color="auto"/>
              <w:left w:val="single" w:sz="4" w:space="0" w:color="auto"/>
              <w:bottom w:val="single" w:sz="4" w:space="0" w:color="auto"/>
              <w:right w:val="single" w:sz="4" w:space="0" w:color="auto"/>
            </w:tcBorders>
          </w:tcPr>
          <w:p w14:paraId="19B9714C" w14:textId="77777777" w:rsidR="00A16B99" w:rsidRPr="00A16B99" w:rsidRDefault="00A16B99" w:rsidP="009F491F">
            <w:r>
              <w:t>R</w:t>
            </w:r>
            <w:r w:rsidRPr="00A16B99">
              <w:t>isk of SGA relative to the mean</w:t>
            </w:r>
            <w:r>
              <w:t xml:space="preserve"> (</w:t>
            </w:r>
            <w:r w:rsidRPr="00B77F42">
              <w:t>21.5 kg/m</w:t>
            </w:r>
            <w:r w:rsidRPr="00EC2135">
              <w:rPr>
                <w:vertAlign w:val="superscript"/>
              </w:rPr>
              <w:t>2</w:t>
            </w:r>
            <w:r>
              <w:t>):</w:t>
            </w:r>
          </w:p>
          <w:p w14:paraId="186548B3" w14:textId="420FDA42" w:rsidR="00A16B99" w:rsidRDefault="00A16B99" w:rsidP="009F491F">
            <w:pPr>
              <w:pStyle w:val="bullet"/>
            </w:pPr>
            <w:r w:rsidRPr="00B77F42">
              <w:t>24.5 kg/m</w:t>
            </w:r>
            <w:r>
              <w:t xml:space="preserve">2: RR </w:t>
            </w:r>
            <w:r w:rsidRPr="00B77F42">
              <w:t xml:space="preserve">0.876 (0.814 </w:t>
            </w:r>
            <w:r>
              <w:t>to</w:t>
            </w:r>
            <w:r w:rsidRPr="00B77F42">
              <w:t xml:space="preserve"> 0.942)</w:t>
            </w:r>
          </w:p>
          <w:p w14:paraId="00A2ACA2" w14:textId="07D319C7" w:rsidR="00A16B99" w:rsidRDefault="00A16B99" w:rsidP="009F491F">
            <w:pPr>
              <w:pStyle w:val="bullet"/>
            </w:pPr>
            <w:r w:rsidRPr="00B77F42">
              <w:t>27.5 kg/m</w:t>
            </w:r>
            <w:r>
              <w:t xml:space="preserve">2: RR </w:t>
            </w:r>
            <w:r w:rsidRPr="00B77F42">
              <w:t xml:space="preserve">0.805 (0.693 </w:t>
            </w:r>
            <w:r>
              <w:t>to</w:t>
            </w:r>
            <w:r w:rsidRPr="00B77F42">
              <w:t xml:space="preserve"> 0.936)</w:t>
            </w:r>
          </w:p>
          <w:p w14:paraId="7BC57FC4" w14:textId="6FC4BB45" w:rsidR="00A16B99" w:rsidRPr="00A16B99" w:rsidRDefault="00A16B99" w:rsidP="00A16B99">
            <w:pPr>
              <w:pStyle w:val="bullet"/>
            </w:pPr>
            <w:r w:rsidRPr="00B77F42">
              <w:t>30.5 kg/m2</w:t>
            </w:r>
            <w:r>
              <w:t xml:space="preserve">: RR </w:t>
            </w:r>
            <w:r w:rsidRPr="00B77F42">
              <w:t xml:space="preserve">0.763 (0.603 </w:t>
            </w:r>
            <w:r>
              <w:t>to</w:t>
            </w:r>
            <w:r w:rsidRPr="00B77F42">
              <w:t xml:space="preserve"> 0.964)</w:t>
            </w:r>
          </w:p>
        </w:tc>
        <w:tc>
          <w:tcPr>
            <w:tcW w:w="2411" w:type="dxa"/>
            <w:tcBorders>
              <w:top w:val="single" w:sz="4" w:space="0" w:color="auto"/>
              <w:left w:val="single" w:sz="4" w:space="0" w:color="auto"/>
              <w:bottom w:val="single" w:sz="4" w:space="0" w:color="auto"/>
              <w:right w:val="single" w:sz="4" w:space="0" w:color="auto"/>
            </w:tcBorders>
          </w:tcPr>
          <w:p w14:paraId="62C375E4" w14:textId="77777777" w:rsidR="00A16B99" w:rsidRDefault="00A16B99" w:rsidP="009F491F"/>
        </w:tc>
      </w:tr>
      <w:tr w:rsidR="00965FB4" w:rsidRPr="00B60FFF" w14:paraId="6DAA45F7" w14:textId="77777777" w:rsidTr="008E1F6E">
        <w:trPr>
          <w:cantSplit/>
        </w:trPr>
        <w:tc>
          <w:tcPr>
            <w:tcW w:w="1418" w:type="dxa"/>
            <w:tcBorders>
              <w:top w:val="single" w:sz="4" w:space="0" w:color="auto"/>
              <w:left w:val="single" w:sz="4" w:space="0" w:color="auto"/>
              <w:bottom w:val="single" w:sz="4" w:space="0" w:color="auto"/>
              <w:right w:val="single" w:sz="4" w:space="0" w:color="auto"/>
            </w:tcBorders>
          </w:tcPr>
          <w:p w14:paraId="120BAD8E" w14:textId="01B45C39" w:rsidR="00965FB4" w:rsidRDefault="00965FB4" w:rsidP="002747EA">
            <w:r>
              <w:t>Yu et al 2013</w:t>
            </w:r>
            <w:r w:rsidR="00D07346">
              <w:fldChar w:fldCharType="begin"/>
            </w:r>
            <w:r w:rsidR="002747EA">
              <w:instrText xml:space="preserve"> ADDIN EN.CITE &lt;EndNote&gt;&lt;Cite&gt;&lt;Author&gt;Yu&lt;/Author&gt;&lt;Year&gt;2013&lt;/Year&gt;&lt;RecNum&gt;1867&lt;/RecNum&gt;&lt;DisplayText&gt;&lt;style face="superscript" font="Trebuchet MS" size="9"&gt;392&lt;/style&gt;&lt;/DisplayText&gt;&lt;record&gt;&lt;rec-number&gt;1867&lt;/rec-number&gt;&lt;foreign-keys&gt;&lt;key app="EN" db-id="exvasrfx2dtraoesasxp2szsxa2df502592x" timestamp="1587875400"&gt;1867&lt;/key&gt;&lt;/foreign-keys&gt;&lt;ref-type name="Journal Article"&gt;17&lt;/ref-type&gt;&lt;contributors&gt;&lt;authors&gt;&lt;author&gt;Yu, Z.&lt;/author&gt;&lt;author&gt;Han, S.&lt;/author&gt;&lt;author&gt;Zhu, J.&lt;/author&gt;&lt;author&gt;Sun, X.&lt;/author&gt;&lt;author&gt;Ji, C.&lt;/author&gt;&lt;author&gt;Guo, X.&lt;/author&gt;&lt;/authors&gt;&lt;/contributors&gt;&lt;auth-address&gt;State Key Laboratory of Reproductive Medicine, Department of Pediatrics, Nanjing Maternity and Child Health Care Hospital, Nanjing Medical University, Nanjing, China.&lt;/auth-address&gt;&lt;titles&gt;&lt;title&gt;Pre-pregnancy body mass index in relation to infant birth weight and offspring overweight/obesity: a systematic review and meta-analysis&lt;/title&gt;&lt;secondary-title&gt;PLoS One&lt;/secondary-title&gt;&lt;/titles&gt;&lt;periodical&gt;&lt;full-title&gt;PLoS One&lt;/full-title&gt;&lt;/periodical&gt;&lt;pages&gt;e61627&lt;/pages&gt;&lt;volume&gt;8&lt;/volume&gt;&lt;number&gt;4&lt;/number&gt;&lt;edition&gt;2013/04/25&lt;/edition&gt;&lt;keywords&gt;&lt;keyword&gt;Birth Weight/*physiology&lt;/keyword&gt;&lt;keyword&gt;*Body Mass Index&lt;/keyword&gt;&lt;keyword&gt;Female&lt;/keyword&gt;&lt;keyword&gt;Humans&lt;/keyword&gt;&lt;keyword&gt;Infant, Newborn&lt;/keyword&gt;&lt;keyword&gt;Obesity/*epidemiology&lt;/keyword&gt;&lt;keyword&gt;Overweight/*epidemiology&lt;/keyword&gt;&lt;keyword&gt;Pregnancy&lt;/keyword&gt;&lt;/keywords&gt;&lt;dates&gt;&lt;year&gt;2013&lt;/year&gt;&lt;/dates&gt;&lt;isbn&gt;1932-6203 (Electronic)&amp;#xD;1932-6203 (Linking)&lt;/isbn&gt;&lt;accession-num&gt;23613888&lt;/accession-num&gt;&lt;urls&gt;&lt;related-urls&gt;&lt;url&gt;https://www.ncbi.nlm.nih.gov/pubmed/23613888&lt;/url&gt;&lt;/related-urls&gt;&lt;/urls&gt;&lt;custom2&gt;PMC3628788&lt;/custom2&gt;&lt;electronic-resource-num&gt;10.1371/journal.pone.0061627&lt;/electronic-resource-num&gt;&lt;/record&gt;&lt;/Cite&gt;&lt;/EndNote&gt;</w:instrText>
            </w:r>
            <w:r w:rsidR="00D07346">
              <w:fldChar w:fldCharType="separate"/>
            </w:r>
            <w:r w:rsidR="002747EA" w:rsidRPr="002747EA">
              <w:rPr>
                <w:noProof/>
                <w:vertAlign w:val="superscript"/>
              </w:rPr>
              <w:t>392</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650DD3D6" w14:textId="77777777" w:rsidR="00965FB4" w:rsidRDefault="00965FB4" w:rsidP="009F491F">
            <w:r>
              <w:t>45 studies</w:t>
            </w:r>
          </w:p>
        </w:tc>
        <w:tc>
          <w:tcPr>
            <w:tcW w:w="4252" w:type="dxa"/>
            <w:tcBorders>
              <w:top w:val="single" w:sz="4" w:space="0" w:color="auto"/>
              <w:left w:val="single" w:sz="4" w:space="0" w:color="auto"/>
              <w:bottom w:val="single" w:sz="4" w:space="0" w:color="auto"/>
              <w:right w:val="single" w:sz="4" w:space="0" w:color="auto"/>
            </w:tcBorders>
          </w:tcPr>
          <w:p w14:paraId="5E84B2E0" w14:textId="77777777" w:rsidR="00965FB4" w:rsidRDefault="00965FB4" w:rsidP="009F491F">
            <w:r w:rsidRPr="00EC2135">
              <w:rPr>
                <w:b/>
              </w:rPr>
              <w:t>Aim</w:t>
            </w:r>
            <w:r>
              <w:t>: T</w:t>
            </w:r>
            <w:r w:rsidRPr="009C7703">
              <w:t xml:space="preserve">o determine if pre-pregnancy body mass index (BMI) is related to infant birth weight (BW) and offspring overweight/obesity. </w:t>
            </w:r>
          </w:p>
          <w:p w14:paraId="23CF1810" w14:textId="77777777" w:rsidR="00965FB4" w:rsidRPr="009C7703" w:rsidRDefault="00965FB4" w:rsidP="009F491F">
            <w:pPr>
              <w:rPr>
                <w:b/>
              </w:rPr>
            </w:pPr>
            <w:r w:rsidRPr="00EC2135">
              <w:rPr>
                <w:b/>
              </w:rPr>
              <w:t>Methods</w:t>
            </w:r>
            <w:r w:rsidRPr="009C7703">
              <w:t xml:space="preserve">: Three electronic bibliographic databases (MEDLINE, EMBASE and CINAHL) were searched systematically from January 1970 to November 2012. The dichotomous data on pre-pregnancy overweight/obesity and BW or offspring overweight/obesity were extracted. Summary statistics (odds ratios, ORs) were used by Review Manager, version 5.1.7. </w:t>
            </w:r>
          </w:p>
        </w:tc>
        <w:tc>
          <w:tcPr>
            <w:tcW w:w="4394" w:type="dxa"/>
            <w:tcBorders>
              <w:top w:val="single" w:sz="4" w:space="0" w:color="auto"/>
              <w:left w:val="single" w:sz="4" w:space="0" w:color="auto"/>
              <w:bottom w:val="single" w:sz="4" w:space="0" w:color="auto"/>
              <w:right w:val="single" w:sz="4" w:space="0" w:color="auto"/>
            </w:tcBorders>
          </w:tcPr>
          <w:p w14:paraId="142DB9A0" w14:textId="5CDD066B" w:rsidR="00965FB4" w:rsidRDefault="00965FB4" w:rsidP="009F491F">
            <w:r w:rsidRPr="009C7703">
              <w:t>Pre-p</w:t>
            </w:r>
            <w:r w:rsidR="00A848C9">
              <w:t>regnancy overweight</w:t>
            </w:r>
            <w:r w:rsidRPr="009C7703">
              <w:t xml:space="preserve"> increased the risk of</w:t>
            </w:r>
            <w:r>
              <w:t>:</w:t>
            </w:r>
          </w:p>
          <w:p w14:paraId="3936EB5E" w14:textId="77777777" w:rsidR="00965FB4" w:rsidRDefault="00965FB4" w:rsidP="009F491F">
            <w:pPr>
              <w:pStyle w:val="bullet"/>
            </w:pPr>
            <w:r w:rsidRPr="009C7703">
              <w:t>large for gestational age</w:t>
            </w:r>
            <w:r>
              <w:t>: OR</w:t>
            </w:r>
            <w:r w:rsidRPr="009C7703">
              <w:t xml:space="preserve"> 1.53; 95% CI, 1.44</w:t>
            </w:r>
            <w:r>
              <w:t xml:space="preserve"> to </w:t>
            </w:r>
            <w:r w:rsidRPr="009C7703">
              <w:t xml:space="preserve">1.63 </w:t>
            </w:r>
          </w:p>
          <w:p w14:paraId="0AF0507D" w14:textId="77777777" w:rsidR="00965FB4" w:rsidRDefault="00965FB4" w:rsidP="009F491F">
            <w:pPr>
              <w:pStyle w:val="bullet"/>
            </w:pPr>
            <w:r w:rsidRPr="009C7703">
              <w:t xml:space="preserve">high </w:t>
            </w:r>
            <w:r>
              <w:t>birthweight: OR 1.53; 95% CI</w:t>
            </w:r>
            <w:r w:rsidRPr="009C7703">
              <w:t xml:space="preserve"> 1.44</w:t>
            </w:r>
            <w:r>
              <w:t xml:space="preserve"> to </w:t>
            </w:r>
            <w:r w:rsidRPr="009C7703">
              <w:t xml:space="preserve">1.63 </w:t>
            </w:r>
          </w:p>
          <w:p w14:paraId="404C8EFF" w14:textId="77777777" w:rsidR="00965FB4" w:rsidRDefault="00965FB4" w:rsidP="009F491F">
            <w:pPr>
              <w:pStyle w:val="bullet"/>
            </w:pPr>
            <w:r>
              <w:t>macrosomia: OR 1.67; 95% CI</w:t>
            </w:r>
            <w:r w:rsidRPr="009C7703">
              <w:t xml:space="preserve"> 1.42</w:t>
            </w:r>
            <w:r>
              <w:t xml:space="preserve"> to </w:t>
            </w:r>
            <w:r w:rsidRPr="009C7703">
              <w:t>1</w:t>
            </w:r>
            <w:r>
              <w:t>.97</w:t>
            </w:r>
          </w:p>
          <w:p w14:paraId="5416A055" w14:textId="77777777" w:rsidR="00965FB4" w:rsidRDefault="00965FB4" w:rsidP="009F491F">
            <w:pPr>
              <w:pStyle w:val="bullet"/>
            </w:pPr>
            <w:r w:rsidRPr="009C7703">
              <w:t>subsequen</w:t>
            </w:r>
            <w:r>
              <w:t>t offspring overweight/obesity: OR 1.95; 95% CI</w:t>
            </w:r>
            <w:r w:rsidRPr="009C7703">
              <w:t xml:space="preserve"> 1.77</w:t>
            </w:r>
            <w:r>
              <w:t xml:space="preserve"> to </w:t>
            </w:r>
            <w:r w:rsidRPr="009C7703">
              <w:t xml:space="preserve">2.13. </w:t>
            </w:r>
          </w:p>
          <w:p w14:paraId="0311B29A" w14:textId="77777777" w:rsidR="00965FB4" w:rsidRDefault="00965FB4" w:rsidP="009F491F">
            <w:r w:rsidRPr="009C7703">
              <w:t>Pre-pregnancy obesity increased the risk of</w:t>
            </w:r>
            <w:r>
              <w:t>:</w:t>
            </w:r>
          </w:p>
          <w:p w14:paraId="58FD69A1" w14:textId="77777777" w:rsidR="00965FB4" w:rsidRDefault="00965FB4" w:rsidP="009F491F">
            <w:pPr>
              <w:pStyle w:val="bullet"/>
            </w:pPr>
            <w:r w:rsidRPr="009C7703">
              <w:t>large for gestational age</w:t>
            </w:r>
            <w:r>
              <w:t>: OR 2.08; 95% CI</w:t>
            </w:r>
            <w:r w:rsidRPr="009C7703">
              <w:t xml:space="preserve"> 1.95</w:t>
            </w:r>
            <w:r>
              <w:t xml:space="preserve"> to 2.23</w:t>
            </w:r>
          </w:p>
          <w:p w14:paraId="0CCA1B5D" w14:textId="77777777" w:rsidR="00965FB4" w:rsidRDefault="00965FB4" w:rsidP="009F491F">
            <w:pPr>
              <w:pStyle w:val="bullet"/>
            </w:pPr>
            <w:r w:rsidRPr="009C7703">
              <w:t xml:space="preserve">high </w:t>
            </w:r>
            <w:r>
              <w:t>birthweight: OR 2.00; 95% CI</w:t>
            </w:r>
            <w:r w:rsidRPr="009C7703">
              <w:t xml:space="preserve"> 1.84</w:t>
            </w:r>
            <w:r>
              <w:t xml:space="preserve"> to 2.18</w:t>
            </w:r>
          </w:p>
          <w:p w14:paraId="4088690C" w14:textId="77777777" w:rsidR="00965FB4" w:rsidRDefault="00965FB4" w:rsidP="009F491F">
            <w:pPr>
              <w:pStyle w:val="bullet"/>
            </w:pPr>
            <w:r w:rsidRPr="009C7703">
              <w:t>macrosomia</w:t>
            </w:r>
            <w:r>
              <w:t>: OR 3.23; 95% CI</w:t>
            </w:r>
            <w:r w:rsidRPr="009C7703">
              <w:t xml:space="preserve"> 2.39</w:t>
            </w:r>
            <w:r>
              <w:t xml:space="preserve"> to 4.37</w:t>
            </w:r>
            <w:r w:rsidRPr="009C7703">
              <w:t xml:space="preserve"> </w:t>
            </w:r>
          </w:p>
          <w:p w14:paraId="4C32B5EB" w14:textId="77777777" w:rsidR="00965FB4" w:rsidRPr="001A36A7" w:rsidRDefault="00965FB4" w:rsidP="009F491F">
            <w:pPr>
              <w:pStyle w:val="bullet"/>
            </w:pPr>
            <w:r w:rsidRPr="009C7703">
              <w:t>subsequen</w:t>
            </w:r>
            <w:r>
              <w:t xml:space="preserve">t offspring overweight/obesity: </w:t>
            </w:r>
            <w:r w:rsidRPr="009C7703">
              <w:t>OR</w:t>
            </w:r>
            <w:r>
              <w:t> 3.06; 95% CI</w:t>
            </w:r>
            <w:r w:rsidRPr="009C7703">
              <w:t xml:space="preserve"> 2.68</w:t>
            </w:r>
            <w:r>
              <w:t xml:space="preserve"> to </w:t>
            </w:r>
            <w:r w:rsidRPr="009C7703">
              <w:t xml:space="preserve">3.49. </w:t>
            </w:r>
          </w:p>
        </w:tc>
        <w:tc>
          <w:tcPr>
            <w:tcW w:w="2411" w:type="dxa"/>
            <w:tcBorders>
              <w:top w:val="single" w:sz="4" w:space="0" w:color="auto"/>
              <w:left w:val="single" w:sz="4" w:space="0" w:color="auto"/>
              <w:bottom w:val="single" w:sz="4" w:space="0" w:color="auto"/>
              <w:right w:val="single" w:sz="4" w:space="0" w:color="auto"/>
            </w:tcBorders>
          </w:tcPr>
          <w:p w14:paraId="5079D9ED" w14:textId="77777777" w:rsidR="00965FB4" w:rsidRDefault="00965FB4" w:rsidP="009F491F">
            <w:r w:rsidRPr="009C7703">
              <w:t xml:space="preserve">Sensitivity analyses revealed that sample size, study method, quality grade of study, source of pre-pregnancy BMI or </w:t>
            </w:r>
            <w:r>
              <w:t>birthweight</w:t>
            </w:r>
            <w:r w:rsidRPr="009C7703">
              <w:t xml:space="preserve"> had a strong impact on the association between pre-pregnancy obesity and </w:t>
            </w:r>
            <w:r>
              <w:t>large for gestational age</w:t>
            </w:r>
            <w:r w:rsidRPr="009C7703">
              <w:t xml:space="preserve">. </w:t>
            </w:r>
          </w:p>
        </w:tc>
      </w:tr>
      <w:tr w:rsidR="005B079C" w:rsidRPr="00B60FFF" w14:paraId="310B430E" w14:textId="77777777" w:rsidTr="008E1F6E">
        <w:trPr>
          <w:cantSplit/>
        </w:trPr>
        <w:tc>
          <w:tcPr>
            <w:tcW w:w="1418" w:type="dxa"/>
            <w:tcBorders>
              <w:top w:val="single" w:sz="4" w:space="0" w:color="auto"/>
              <w:left w:val="single" w:sz="4" w:space="0" w:color="auto"/>
              <w:bottom w:val="single" w:sz="4" w:space="0" w:color="auto"/>
              <w:right w:val="single" w:sz="4" w:space="0" w:color="auto"/>
            </w:tcBorders>
          </w:tcPr>
          <w:p w14:paraId="5A99A309" w14:textId="2A7B1D89" w:rsidR="005B079C" w:rsidRDefault="005B079C" w:rsidP="009F491F">
            <w:r>
              <w:t>Voerman et al 2019</w:t>
            </w:r>
            <w:r>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 </w:instrText>
            </w:r>
            <w:r w:rsidR="001A2F28">
              <w:fldChar w:fldCharType="begin">
                <w:fldData xml:space="preserve">PEVuZE5vdGU+PENpdGU+PEF1dGhvcj5Wb2VybWFuPC9BdXRob3I+PFllYXI+MjAxOTwvWWVhcj48
UmVjTnVtPjE3Nzk8L1JlY051bT48RGlzcGxheVRleHQ+PHN0eWxlIGZhY2U9InN1cGVyc2NyaXB0
IiBmb250PSJUcmVidWNoZXQgTVMiIHNpemU9IjkiPjM2NTwvc3R5bGU+PC9EaXNwbGF5VGV4dD48
cmVjb3JkPjxyZWMtbnVtYmVyPjE3Nzk8L3JlYy1udW1iZXI+PGZvcmVpZ24ta2V5cz48a2V5IGFw
cD0iRU4iIGRiLWlkPSJleHZhc3JmeDJkdHJhb2VzYXN4cDJzenN4YTJkZjUwMjU5MngiIHRpbWVz
dGFtcD0iMTU4Mjg2NzMzOCI+MTc3OTwva2V5PjxrZXkgYXBwPSJFTldlYiIgZGItaWQ9IiI+MDwv
a2V5PjwvZm9yZWlnbi1rZXlzPjxyZWYtdHlwZSBuYW1lPSJKb3VybmFsIEFydGljbGUiPjE3PC9y
ZWYtdHlwZT48Y29udHJpYnV0b3JzPjxhdXRob3JzPjxhdXRob3I+Vm9lcm1hbiwgRS48L2F1dGhv
cj48YXV0aG9yPlNhbnRvcywgUy48L2F1dGhvcj48YXV0aG9yPlBhdHJvIEdvbGFiLCBCLjwvYXV0
aG9yPjxhdXRob3I+QW1pYW5vLCBQLjwvYXV0aG9yPjxhdXRob3I+QmFsbGVzdGVyLCBGLjwvYXV0
aG9yPjxhdXRob3I+QmFycm9zLCBILjwvYXV0aG9yPjxhdXRob3I+QmVyZ3N0cm9tLCBBLjwvYXV0
aG9yPjxhdXRob3I+Q2hhcmxlcywgTS4gQS48L2F1dGhvcj48YXV0aG9yPkNoYXR6aSwgTC48L2F1
dGhvcj48YXV0aG9yPkNoZXZyaWVyLCBDLjwvYXV0aG9yPjxhdXRob3I+Q2hyb3Vzb3MsIEcuIFAu
PC9hdXRob3I+PGF1dGhvcj5Db3JwZWxlaWpuLCBFLjwvYXV0aG9yPjxhdXRob3I+Q29zdGV0LCBO
LjwvYXV0aG9yPjxhdXRob3I+Q3JvemllciwgUy48L2F1dGhvcj48YXV0aG9yPkRldmVyZXV4LCBH
LjwvYXV0aG9yPjxhdXRob3I+RWdnZXNibywgTS48L2F1dGhvcj48YXV0aG9yPkVrc3Ryb20sIFMu
PC9hdXRob3I+PGF1dGhvcj5GYW50aW5pLCBNLiBQLjwvYXV0aG9yPjxhdXRob3I+RmFyY2hpLCBT
LjwvYXV0aG9yPjxhdXRob3I+Rm9yYXN0aWVyZSwgRi48L2F1dGhvcj48YXV0aG9yPkdlb3JnaXUs
IFYuPC9hdXRob3I+PGF1dGhvcj5Hb2RmcmV5LCBLLiBNLjwvYXV0aG9yPjxhdXRob3I+R29yaSwg
RC48L2F1dGhvcj48YXV0aG9yPkdyb3RlLCBWLjwvYXV0aG9yPjxhdXRob3I+SGFua2UsIFcuPC9h
dXRob3I+PGF1dGhvcj5IZXJ0ei1QaWNjaW90dG8sIEkuPC9hdXRob3I+PGF1dGhvcj5IZXVkZSwg
Qi48L2F1dGhvcj48YXV0aG9yPkhyeWhvcmN6dWssIEQuPC9hdXRob3I+PGF1dGhvcj5IdWFuZywg
Ui4gQy48L2F1dGhvcj48YXV0aG9yPkluc2tpcCwgSC48L2F1dGhvcj48YXV0aG9yPklzemF0dCwg
Ti48L2F1dGhvcj48YXV0aG9yPkthcnZvbmVuLCBBLiBNLjwvYXV0aG9yPjxhdXRob3I+S2Vubnks
IEwuIEMuPC9hdXRob3I+PGF1dGhvcj5Lb2xldHprbywgQi48L2F1dGhvcj48YXV0aG9yPkt1cGVy
cywgTC4gSy48L2F1dGhvcj48YXV0aG9yPkxhZ3N0cm9tLCBILjwvYXV0aG9yPjxhdXRob3I+TGVo
bWFubiwgSS48L2F1dGhvcj48YXV0aG9yPk1hZ251cywgUC48L2F1dGhvcj48YXV0aG9yPk1hamV3
c2thLCBSLjwvYXV0aG9yPjxhdXRob3I+TWFrZWxhLCBKLjwvYXV0aG9yPjxhdXRob3I+TWFuaW9z
LCBZLjwvYXV0aG9yPjxhdXRob3I+TWNBdWxpZmZlLCBGLiBNLjwvYXV0aG9yPjxhdXRob3I+TWNE
b25hbGQsIFMuIFcuPC9hdXRob3I+PGF1dGhvcj5NZWhlZ2FuLCBKLjwvYXV0aG9yPjxhdXRob3I+
TW9tbWVycywgTS48L2F1dGhvcj48YXV0aG9yPk1vcmdlbiwgQy4gUy48L2F1dGhvcj48YXV0aG9y
Pk1vcmksIFQuIEEuPC9hdXRob3I+PGF1dGhvcj5Nb3NjaG9uaXMsIEcuPC9hdXRob3I+PGF1dGhv
cj5NdXJyYXksIEQuPC9hdXRob3I+PGF1dGhvcj5DaGFvaW1oLCBDLiBOLjwvYXV0aG9yPjxhdXRo
b3I+Tm9ociwgRS4gQS48L2F1dGhvcj48YXV0aG9yPk55Ym8gQW5kZXJzZW4sIEEuIE0uPC9hdXRo
b3I+PGF1dGhvcj5Pa2VuLCBFLjwvYXV0aG9yPjxhdXRob3I+T29zdHZvZ2VscywgQWpqbTwvYXV0
aG9yPjxhdXRob3I+UGFjLCBBLjwvYXV0aG9yPjxhdXRob3I+UGFwYWRvcG91bG91LCBFLjwvYXV0
aG9yPjxhdXRob3I+UGVra2FuZW4sIEouPC9hdXRob3I+PGF1dGhvcj5QaXp6aSwgQy48L2F1dGhv
cj48YXV0aG9yPlBvbGFuc2thLCBLLjwvYXV0aG9yPjxhdXRob3I+UG9ydGEsIEQuPC9hdXRob3I+
PGF1dGhvcj5SaWNoaWFyZGksIEwuPC9hdXRob3I+PGF1dGhvcj5SaWZhcy1TaGltYW4sIFMuIEwu
PC9hdXRob3I+PGF1dGhvcj5Sb25mYW5pLCBMLjwvYXV0aG9yPjxhdXRob3I+U2FudG9zLCBBLiBD
LjwvYXV0aG9yPjxhdXRob3I+U3RhbmRsLCBNLjwvYXV0aG9yPjxhdXRob3I+U3RvbHRlbmJlcmcs
IEMuPC9hdXRob3I+PGF1dGhvcj5UaGllcmluZywgRS48L2F1dGhvcj48YXV0aG9yPlRoaWpzLCBD
LjwvYXV0aG9yPjxhdXRob3I+VG9ycmVudCwgTS48L2F1dGhvcj48YXV0aG9yPlRvdWdoLCBTLiBD
LjwvYXV0aG9yPjxhdXRob3I+VHJub3ZlYywgVC48L2F1dGhvcj48YXV0aG9yPlR1cm5lciwgUy48
L2F1dGhvcj48YXV0aG9yPnZhbiBSb3NzZW0sIEwuPC9hdXRob3I+PGF1dGhvcj52b24gQmVyZywg
QS48L2F1dGhvcj48YXV0aG9yPlZyaWpoZWlkLCBNLjwvYXV0aG9yPjxhdXRob3I+VnJpamtvdHRl
LCBULiBHLiBNLjwvYXV0aG9yPjxhdXRob3I+V2VzdCwgSi48L2F1dGhvcj48YXV0aG9yPldpamdh
LCBBLjwvYXV0aG9yPjxhdXRob3I+V3JpZ2h0LCBKLjwvYXV0aG9yPjxhdXRob3I+WnZpbmNodWss
IE8uPC9hdXRob3I+PGF1dGhvcj5Tb3JlbnNlbiwgVC4gSS4gQS48L2F1dGhvcj48YXV0aG9yPkxh
d2xvciwgRC4gQS48L2F1dGhvcj48YXV0aG9yPkdhaWxsYXJkLCBSLjwvYXV0aG9yPjxhdXRob3I+
SmFkZG9lLCBWLiBXLiBWLjwvYXV0aG9yPjwvYXV0aG9ycz48L2NvbnRyaWJ1dG9ycz48YXV0aC1h
ZGRyZXNzPlRoZSBHZW5lcmF0aW9uIFIgU3R1ZHkgR3JvdXAsIEVyYXNtdXMgVW5pdmVyc2l0eSBN
ZWRpY2FsIENlbnRlciwgUm90dGVyZGFtLCB0aGUgTmV0aGVybGFuZHMuJiN4RDtEZXBhcnRtZW50
IG9mIFBlZGlhdHJpY3MsIEVyYXNtdXMgVW5pdmVyc2l0eSBNZWRpY2FsIENlbnRlciwgUm90dGVy
ZGFtLCB0aGUgTmV0aGVybGFuZHMuJiN4RDtEZXBhcnRtZW50IG9mIFBlZGlhdHJpY3MsIE1lZGlj
YWwgVW5pdmVyc2l0eSBvZiBXYXJzYXcsIFdhcnNhdywgUG9sYW5kLiYjeEQ7UHVibGljIEhlYWx0
aCBEaXZpc2lvbiBvZiBHaXB1emtvYSwgU2FuIFNlYmFzdGlhbiwgU3BhaW4uJiN4RDtCaW9Eb25v
c3RpYSBSZXNlYXJjaCBJbnN0aXR1dGUsIFNhbiBTZWJhc3RpYW4sIFNwYWluLiYjeEQ7Q0lCRVIg
RXBpZGVtaW9sb2dpYSB5IFNhbHVkIFB1YmxpY2EgKENJQkVSRVNQKSwgTWFkcmlkLCBTcGFpbi4m
I3hEO0VwaWRlbWlvbG9neSBhbmQgRW52aXJvbm1lbnRhbCBIZWFsdGggSm9pbnQgUmVzZWFyY2gg
VW5pdCwgRklTQUJJTy1Vbml2ZXJzaXRhdCBKYXVtZSBJLVVuaXZlcnNpdGF0IGRlIFZhbGVuY2lh
LCBWYWxlbmNpYSwgU3BhaW4uJiN4RDtFUElVbml0LCBJbnN0aXR1dG8gZGUgU2F1ZGUgUHVibGlj
YSwgVW5pdmVyc2lkYWRlIGRvIFBvcnRvLCBQb3J0bywgUG9ydHVnYWwuJiN4RDtEZXBhcnRtZW50
IG9mIFB1YmxpYyBIZWFsdGggYW5kIEZvcmVuc2ljIFNjaWVuY2VzIGFuZCBNZWRpY2FsIEVkdWNh
dGlvbiwgVW5pdCBvZiBDbGluaWNhbCBFcGlkZW1pb2xvZ3ksIFByZWRpY3RpdmUgTWVkaWNpbmUg
YW5kIFB1YmxpYyBIZWFsdGgsIFVuaXZlcnNpdHkgb2YgUG9ydG8gTWVkaWNhbCBTY2hvb2wsIFBv
cnRvLCBQb3J0dWdhbC4mI3hEO0luc3RpdHV0ZSBvZiBFbnZpcm9ubWVudGFsIE1lZGljaW5lLCBL
YXJvbGluc2thIEluc3RpdHV0ZXQsIFN0b2NraG9sbSwgU3dlZGVuLiYjeEQ7Q2VudHJlIGZvciBP
Y2N1cGF0aW9uYWwgYW5kIEVudmlyb25tZW50YWwgTWVkaWNpbmUsIFN0b2NraG9sbSBDb3VudHkg
Q291bmNpbCwgU3RvY2tob2xtLCBTd2VkZW4uJiN4RDtJTlNFUk0sIFVNUjExNTMgRXBpZGVtaW9s
b2d5IGFuZCBCaW9zdGF0aXN0aWNzIFNvcmJvbm5lIFBhcmlzIENpdGUgQ2VudGVyIChDUkVTUyks
IE9SQ0hBRCBUZWFtLCBWaWxsZWp1aWYsIEZyYW5jZS4mI3hEO1BhcmlzIERlc2NhcnRlcyBVbml2
ZXJzaXR5LCBWaWxsZWp1aWYsIEZyYW5jZS4mI3hEO0RlcGFydG1lbnQgb2YgUHJldmVudGl2ZSBN
ZWRpY2luZSwgS2VjayBTY2hvb2wgb2YgTWVkaWNpbmUsIFVuaXZlcnNpdHkgb2YgU291dGhlcm4g
Q2FsaWZvcm5pYSwgTG9zIEFuZ2VsZXMsIENhbGlmb3JuaWEsIFVuaXRlZCBTdGF0ZXMgb2YgQW1l
cmljYS4mI3hEO0RlcGFydG1lbnQgb2YgU29jaWFsIE1lZGljaW5lLCBGYWN1bHR5IG9mIE1lZGlj
aW5lLCBVbml2ZXJzaXR5IG9mIENyZXRlLCBIZXJha2xpb24sIEdyZWVjZS4mI3hEO0RlcGFydG1l
bnQgb2YgR2VuZXRpY3MgYW5kIENlbGwgQmlvbG9neSwgTWFhc3RyaWNodCBVbml2ZXJzaXR5LCBN
YWFzdHJpY2h0LCB0aGUgTmV0aGVybGFuZHMuJiN4RDtJTlNFUk0sIFVNUjEwODUsIElyc2V0LVJl
c2VhcmNoIEluc3RpdHV0ZSBmb3IgRW52aXJvbm1lbnRhbCBhbmQgT2NjdXBhdGlvbmFsIEhlYWx0
aCwgUmVubmVzLCBGcmFuY2UuJiN4RDtGaXJzdCBEZXBhcnRtZW50IG9mIFBlZGlhdHJpY3MsIE5h
dGlvbmFsIGFuZCBLYXBvZGlzdHJpYW4gVW5pdmVyc2l0eSBvZiBBdGhlbnMgTWVkaWNhbCBTY2hv
b2wsICZxdW90O0FnaGlhIFNvcGhpYSZxdW90OyBDaGlsZHJlbiZhcG9zO3MgSG9zcGl0YWwsIEF0
aGVucywgR3JlZWNlLiYjeEQ7RGVwYXJ0bWVudCBvZiBFcGlkZW1pb2xvZ3ksIFVuaXZlcnNpdHkg
b2YgR3JvbmluZ2VuLCBVbml2ZXJzaXR5IE1lZGljYWwgQ2VudGVyIEdyb25pbmdlbiwgR3Jvbmlu
Z2VuLCB0aGUgTmV0aGVybGFuZHMuJiN4RDtNUkMgTGlmZWNvdXJzZSBFcGlkZW1pb2xvZ3kgVW5p
dCwgVW5pdmVyc2l0eSBvZiBTb3V0aGFtcHRvbiwgU291dGhhbXB0b24sIFVuaXRlZCBLaW5nZG9t
LiYjeEQ7TGl2ZXJwb29sIFNjaG9vbCBvZiBUcm9waWNhbCBNZWRpY2luZSwgTGl2ZXJwb29sLCBV
bml0ZWQgS2luZ2RvbS4mI3hEO0RlcGFydG1lbnQgb2YgRXhwb3N1cmUgYW5kIEVudmlyb25tZW50
YWwgRXBpZGVtaW9sb2d5LCBOb3J3ZWdpYW4gSW5zdGl0dXRlIG9mIFB1YmxpYyBIZWFsdGgsIE9z
bG8sIE5vcndheS4mI3hEO1RoZSBEZXBhcnRtZW50IG9mIEJpb21lZGljYWwgYW5kIE5ldXJvbW90
b3IgU2NpZW5jZXMsIFVuaXZlcnNpdHkgb2YgQm9sb2duYSwgQm9sb2duYSwgSXRhbHkuJiN4RDtE
ZXBhcnRtZW50IG9mIEVwaWRlbWlvbG9neSwgTGF6aW8gUmVnaW9uYWwgSGVhbHRoIFNlcnZpY2Us
IFJvbWUsIEl0YWx5LiYjeEQ7TklIUiBTb3V0aGFtcHRvbiBCaW9tZWRpY2FsIFJlc2VhcmNoIENl
bnRyZSwgVW5pdmVyc2l0eSBvZiBTb3V0aGFtcHRvbiBhbmQgVW5pdmVyc2l0eSBIb3NwaXRhbCBT
b3V0aGFtcHRvbiBOSFMgRm91bmRhdGlvbiBUcnVzdCwgU291dGhhbXB0b24sIFVuaXRlZCBLaW5n
ZG9tLiYjeEQ7RGl2aXNpb24gb2YgTWV0YWJvbGljIGFuZCBOdXRyaXRpb25hbCBNZWRpY2luZSwg
RHIuIHZvbiBIYXVuZXIgQ2hpbGRyZW4mYXBvcztzIEhvc3BpdGFsLCBMdWR3aWctTWF4aW1pbGlh
bnMtVW5pdmVyc2l0YXQgTXVuY2hlbiwgTXVuaWNoLCBHZXJtYW55LiYjeEQ7RGVwYXJ0bWVudCBv
ZiBFbnZpcm9ubWVudGFsIEVwaWRlbWlvbG9neSwgTm9mZXIgSW5zdGl0dXRlIG9mIE9jY3VwYXRp
b25hbCBNZWRpY2luZSwgTG9keiwgUG9sYW5kLiYjeEQ7RGVwYXJ0bWVudCBvZiBQdWJsaWMgSGVh
bHRoIFNjaWVuY2VzLCBTY2hvb2wgb2YgTWVkaWNpbmUsIFVuaXZlcnNpdHkgb2YgQ2FsaWZvcm5p
YSwgRGF2aXMsIERhdmlzLCBDYWxpZm9ybmlhLCBVbml0ZWQgU3RhdGVzIG9mIEFtZXJpY2EuJiN4
RDtDZW50ZXIgZm9yIEdsb2JhbCBIZWFsdGgsIFVuaXZlcnNpdHkgb2YgSWxsaW5vaXMgQ29sbGVn
ZSBvZiBNZWRpY2luZSwgQ2hpY2FnbywgSWxsaW5vaXMsIFVuaXRlZCBTdGF0ZXMgb2YgQW1lcmlj
YS4mI3hEO1RlbGV0aG9uIEtpZHMgSW5zdGl0dXRlLCBUaGUgVW5pdmVyc2l0eSBvZiBXZXN0ZXJu
IEF1c3RyYWxpYSwgUGVydGgsIFdlc3Rlcm4gQXVzdHJhbGlhLCBBdXN0cmFsaWEuJiN4RDtEZXBh
cnRtZW50IG9mIEhlYWx0aCBTZWN1cml0eSwgTmF0aW9uYWwgSW5zdGl0dXRlIGZvciBIZWFsdGgg
YW5kIFdlbGZhcmUsIEt1b3BpbywgRmlubGFuZC4mI3hEO0lyaXNoIENlbnRyZSBmb3IgRmV0YWwg
YW5kIE5lb25hdGFsIFRyYW5zbGF0aW9uYWwgUmVzZWFyY2gsIENvcmsgVW5pdmVyc2l0eSBNYXRl
cm5pdHkgSG9zcGl0YWwsIFVuaXZlcnNpdHkgQ29sbGVnZSBDb3JrLCBDb3JrLCBJcmVsYW5kLiYj
eEQ7RGVwYXJ0bWVudCBvZiBPYnN0ZXRyaWNzIGFuZCBHeW5hZWNvbG9neSwgQ29yayBVbml2ZXJz
aXR5IE1hdGVybml0eSBIb3NwaXRhbCwgQ29yaywgSXJlbGFuZC4mI3hEO0RpdmlzaW9uIG9mIEh1
bWFuIE51dHJpdGlvbiBhbmQgSGVhbHRoLCBXYWdlbmluZ2VuIFVuaXZlcnNpdHkgJmFtcDsgUmVz
ZWFyY2gsIFdhZ2VuaW5nZW4sIHRoZSBOZXRoZXJsYW5kcy4mI3hEO01SQyBJbnRlZ3JhdGl2ZSBF
cGlkZW1pb2xvZ3kgVW5pdCBhdCB0aGUgVW5pdmVyc2l0eSBvZiBCcmlzdG9sLCBCcmlzdG9sLCBV
bml0ZWQgS2luZ2RvbS4mI3hEO1BvcHVsYXRpb24gSGVhbHRoIFNjaWVuY2UsIEJyaXN0b2wgTWVk
aWNhbCBTY2hvb2wsIFVuaXZlcnNpdHkgb2YgQnJpc3RvbCwgQnJpc3RvbCwgVW5pdGVkIEtpbmdk
b20uJiN4RDtEZXBhcnRtZW50IG9mIFB1YmxpYyBIZWFsdGgsIFVuaXZlcnNpdHkgb2YgVHVya3Us
IFR1cmt1LCBGaW5sYW5kLiYjeEQ7RGVwYXJ0bWVudCBvZiBFbnZpcm9ubWVudGFsIEltbXVub2xv
Z3kvQ29yZSBGYWNpbGl0eSBTdHVkaWVzLCBIZWxtaG9sdHogQ2VudHJlIGZvciBFbnZpcm9ubWVu
dGFsIFJlc2VhcmNoLVVGWiwgTGVpcHppZywgR2VybWFueS4mI3hEO0RpdmlzaW9uIG9mIEhlYWx0
aCBEYXRhIGFuZCBEaWdpdGFsaXphdGlvbiwgTm9yd2VnaWFuIEluc3RpdHV0ZSBvZiBQdWJsaWMg
SGVhbHRoLCBPc2xvLCBOb3J3YXkuJiN4RDtEZXBhcnRtZW50IG9mIEVwaWRlbWlvbG9neSwgQ2hh
aXIgb2YgRXBpZGVtaW9sb2d5IGFuZCBQcmV2ZW50aXZlIE1lZGljaW5lLCBKYWdpZWxsb25pYW4g
VW5pdmVyc2l0eSBNZWRpY2FsIENvbGxlZ2UsIEtyYWtvdywgUG9sYW5kLiYjeEQ7VHVya3UgQ2Vu
dHJlIGZvciBCaW90ZWNobm9sb2d5LCBVbml2ZXJzaXR5IG9mIFR1cmt1IGFuZCBBYm8gQWthZGVt
aSBVbml2ZXJzaXR5LCBUdXJrdSwgRmlubGFuZC4mI3hEO0RlcGFydG1lbnQgb2YgTnV0cml0aW9u
IGFuZCBEaWV0ZXRpY3MsIFNjaG9vbCBvZiBIZWFsdGggU2NpZW5jZSBhbmQgRWR1Y2F0aW9uLCBI
YXJva29waW8gVW5pdmVyc2l0eSwgQXRoZW5zLCBHcmVlY2UuJiN4RDtVQ0QgUGVyaW5hdGFsIFJl
c2VhcmNoIENlbnRyZSwgT2JzdGV0cmljcyAmYW1wOyBHeW5hZWNvbG9neSwgU2Nob29sIG9mIE1l
ZGljaW5lLCBVbml2ZXJzaXR5IENvbGxlZ2UgRHVibGluLCBOYXRpb25hbCBNYXRlcm5pdHkgSG9z
cGl0YWwsIER1YmxpbiwgSXJlbGFuZC4mI3hEO0RlcGFydG1lbnQgb2YgUGVkaWF0cmljcywgQ3Vt
bWluZyBTY2hvb2wgb2YgTWVkaWNpbmUsIFVuaXZlcnNpdHkgb2YgQ2FsZ2FyeSwgQ2FsZ2FyeSwg
QWxiZXJ0YSwgQ2FuYWRhLiYjeEQ7VUNEIFBlcmluYXRhbCBSZXNlYXJjaCBDZW50cmUsIFNjaG9v
bCBvZiBQdWJsaWMgSGVhbHRoIGFuZCBQaHlzaW90aGVyYXB5IGFuZCBTcG9ydHMgU2NpZW5jZSwg
VW5pdmVyc2l0eSBDb2xsZWdlIER1YmxpbiwgRHVibGluLCBJcmVsYW5kLiYjeEQ7RGVwYXJ0bWVu
dCBvZiBFcGlkZW1pb2xvZ3ksIENhcmUgYW5kIFB1YmxpYyBIZWFsdGggUmVzZWFyY2ggSW5zdGl0
dXRlLCBNYWFzdHJpY2h0IFVuaXZlcnNpdHksIE1hYXN0cmljaHQsIHRoZSBOZXRoZXJsYW5kcy4m
I3hEO05hdGlvbmFsIEluc3RpdHV0ZSBvZiBQdWJsaWMgSGVhbHRoLCBVbml2ZXJzaXR5IG9mIFNv
dXRoZXJuIERlbm1hcmssIENvcGVuaGFnZW4sIERlbm1hcmsuJiN4RDtEZXBhcnRtZW50IG9mIFB1
YmxpYyBIZWFsdGgsIFNlY3Rpb24gb2YgRXBpZGVtaW9sb2d5LCBVbml2ZXJzaXR5IG9mIENvcGVu
aGFnZW4sIENvcGVuaGFnZW4sIERlbm1hcmsuJiN4RDtNZWRpY2FsIFNjaG9vbCwgVGhlIFVuaXZl
cnNpdHkgb2YgV2VzdGVybiBBdXN0cmFsaWEsIFBlcnRoLCBXZXN0ZXJuIEF1c3RyYWxpYSwgQXVz
dHJhbGlhLiYjeEQ7RGVwYXJ0bWVudCBvZiBSZWhhYmlsaXRhdGlvbiwgTnV0cml0aW9uIGFuZCBT
cG9ydCwgTGEgVHJvYmUgVW5pdmVyc2l0eSwgTWVsYm91cm5lLCBWaWN0b3JpYSwgQXVzdHJhbGlh
LiYjeEQ7UGFlZGlhdHJpY3MgJmFtcDsgQ2hpbGQgSGVhbHRoLCBVbml2ZXJzaXR5IENvbGxlZ2Ug
Q29yaywgQ29yaywgSXJlbGFuZC4mI3hEO0NvcmsgQ2VudHJlIGZvciBWaXRhbWluIEQgYW5kIE51
dHJpdGlvbiBSZXNlYXJjaCwgU2Nob29sIG9mIEZvb2QgYW5kIE51dHJpdGlvbmFsIFNjaWVuY2Vz
LCBVbml2ZXJzaXR5IENvbGxlZ2UgQ29yaywgQ29yaywgSXJlbGFuZC4mI3hEO1Jlc2VhcmNoIFVu
aXQgZm9yIEd5bmFlY29sb2d5IGFuZCBPYnN0ZXRyaWNzLCBJbnN0aXR1dGUgZm9yIENsaW5pY2Fs
IFJlc2VhcmNoLCBVbml2ZXJzaXR5IG9mIFNvdXRoZXJuIERlbm1hcmssIE9kZW5zZSwgRGVubWFy
ay4mI3hEO0RlcGFydG1lbnQgb2YgUG9wdWxhdGlvbiBNZWRpY2luZSwgSGFydmFyZCBNZWRpY2Fs
IFNjaG9vbCwgSGFydmFyZCBQaWxncmltIEhlYWx0aCBDYXJlIEluc3RpdHV0ZSwgQm9zdG9uLCBN
YXNzYWNodXNldHRzLCBVbml0ZWQgU3RhdGVzIG9mIEFtZXJpY2EuJiN4RDtEZXBhcnRtZW50IG9m
IFB1YmxpYyBIZWFsdGgsIEFtc3RlcmRhbSBQdWJsaWMgSGVhbHRoIFJlc2VhcmNoIEluc3RpdHV0
ZSwgQWNhZGVtaWMgTWVkaWNhbCBDZW50ZXIsIEFtc3RlcmRhbSwgdGhlIE5ldGhlcmxhbmRzLiYj
eEQ7RGVwYXJ0bWVudCBvZiBFbnZpcm9ubWVudGFsIEV4cG9zdXJlcyBhbmQgRXBpZGVtaW9sb2d5
LCBEb21haW4gb2YgSW5mZWN0aW9uIENvbnRyb2wgYW5kIEVudmlyb25tZW50YWwgSGVhbHRoLCBO
b3J3ZWdpYW4gSW5zdGl0dXRlIG9mIFB1YmxpYyBIZWFsdGgsIE9zbG8sIE5vcndheS4mI3hEO0Rl
cGFydG1lbnQgb2YgUHVibGljIEhlYWx0aCwgVW5pdmVyc2l0eSBvZiBIZWxzaW5raSwgSGVsc2lu
a2ksIEZpbmxhbmQuJiN4RDtEZXBhcnRtZW50IG9mIE1lZGljYWwgU2NpZW5jZXMsIFVuaXZlcnNp
dHkgb2YgVHVyaW4sIFR1cmluLCBJdGFseS4mI3hEO0luc3RpdHV0ZSBmb3IgTWF0ZXJuYWwgYW5k
IENoaWxkIEhlYWx0aC1JUkNDUyAmcXVvdDtCdXJsbyBHYXJvZm9sbyZxdW90OywgVHJpZXN0ZSwg
SXRhbHkuJiN4RDtJbnN0aXR1dGUgb2YgRXBpZGVtaW9sb2d5LCBIZWxtaG9sdHogWmVudHJ1bSBN
dW5jaGVuLUdlcm1hbiBSZXNlYXJjaCBDZW50ZXIgZm9yIEVudmlyb25tZW50YWwgSGVhbHRoLCBO
ZXVoZXJiZXJnLCBHZXJtYW55LiYjeEQ7Tm9yd2VnaWFuIEluc3RpdHV0ZSBvZiBQdWJsaWMgSGVh
bHRoLCBPc2xvLCBOb3J3YXkuJiN4RDtEZXBhcnRtZW50IG9mIEdsb2JhbCBQdWJsaWMgSGVhbHRo
IGFuZCBQcmltYXJ5IENhcmUsIFVuaXZlcnNpdHkgb2YgQmVyZ2VuLCBCZXJnZW4sIE5vcndheS4m
I3hEO0RyLiB2b24gSGF1bmVyIENoaWxkcmVuJmFwb3M7cyBIb3NwaXRhbCwgTHVkd2lnLU1heGlt
aWxpYW5zLVVuaXZlcnNpdGF0IE11bmNoZW4sIE11bmljaCwgR2VybWFueS4mI3hEO0lCLVNhbHV0
LCBBcmVhIGRlIFNhbHV0IGRlIE1lbm9yY2EsIFBhbG1hLCBTcGFpbi4mI3hEO0RlcGFydG1lbnQg
b2YgQ29tbXVuaXR5IEhlYWx0aCBTY2llbmNlcywgQ3VtbWluZyBTY2hvb2wgb2YgTWVkaWNpbmUs
IFVuaXZlcnNpdHkgb2YgQ2FsZ2FyeSwgQ2FsZ2FyeSwgQWxiZXJ0YSwgQ2FuYWRhLiYjeEQ7RGVw
YXJ0bWVudCBvZiBFbnZpcm9ubWVudGFsIE1lZGljaW5lLCBTbG92YWsgTWVkaWNhbCBVbml2ZXJz
aXR5LCBCcmF0aXNsYXZhLCBTbG92YWsgUmVwdWJsaWMuJiN4RDtDaGlsZCBIZWFsdGgsIFJveWFs
IEFiZXJkZWVuIENoaWxkcmVuJmFwb3M7cyBIb3NwaXRhbCwgQWJlcmRlZW4sIFVuaXRlZCBLaW5n
ZG9tLiYjeEQ7SnVsaXVzIENlbnRlciBmb3IgSGVhbHRoIFNjaWVuY2VzIGFuZCBQcmltYXJ5IENh
cmUsIFVuaXZlcnNpdHkgTWVkaWNhbCBDZW50ZXIgVXRyZWNodCwgVXRyZWNodCBVbml2ZXJzaXR5
LCBVdHJlY2h0LCB0aGUgTmV0aGVybGFuZHMuJiN4RDtSZXNlYXJjaCBJbnN0aXR1dGUsIERlcGFy
dG1lbnQgb2YgUGVkaWF0cmljcywgTWFyaWVuLUhvc3BpdGFsIFdlc2VsLCBXZXNlbCwgR2VybWFu
eS4mI3hEO0lTR2xvYmFsLCBCYXJjZWxvbmEsIFNwYWluLiYjeEQ7VW5pdmVyc2l0YXQgUG9tcGV1
IEZhYnJhIChVUEYpLCBCYXJjZWxvbmEsIFNwYWluLiYjeEQ7QnJhZGZvcmQgSW5zdGl0dXRlIGZv
ciBIZWFsdGggUmVzZWFyY2gsIEJyYWRmb3JkIFJveWFsIEluZmlybWFyeSwgQnJhZGZvcmQsIFVu
aXRlZCBLaW5nZG9tLiYjeEQ7TmF0aW9uYWwgSW5zdGl0dXRlIGZvciBQdWJsaWMgSGVhbHRoIGFu
ZCB0aGUgRW52aXJvbm1lbnQsIEJpbHRob3ZlbiwgdGhlIE5ldGhlcmxhbmRzLiYjeEQ7RGVwYXJ0
bWVudCBvZiBNZWRpY2FsIGFuZCBTb2NpYWwgUHJvYmxlbXMgb2YgRmFtaWx5IEhlYWx0aCwgSW5z
dGl0dXRlIG9mIFBlZGlhdHJpY3MsIE9ic3RldHJpY3MgYW5kIEd5bmVjb2xvZ3ksIEt5aXYsIFVr
cmFpbmUuJiN4RDtUaGUgTm92byBOb3JkaXNrIEZvdW5kYXRpb24gQ2VudGVyIGZvciBCYXNpYyBN
ZXRhYm9saWMgUmVzZWFyY2gsIFNlY3Rpb24gb2YgTWV0YWJvbGljIEdlbmV0aWNzLCBGYWN1bHR5
IG9mIEhlYWx0aCBhbmQgTWVkaWNhbCBTY2llbmNlcywgVW5pdmVyc2l0eSBvZiBDb3BlbmhhZ2Vu
LCBDb3BlbmhhZ2VuLCBEZW5tYXJrLiYjeEQ7RGVwYXJ0bWVudCBvZiBFcGlkZW1pb2xvZ3ksIEVy
YXNtdXMgVW5pdmVyc2l0eSBNZWRpY2FsIENlbnRlciwgUm90dGVyZGFtLCB0aGUgTmV0aGVybGFu
ZHMuPC9hdXRoLWFkZHJlc3M+PHRpdGxlcz48dGl0bGU+TWF0ZXJuYWwgYm9keSBtYXNzIGluZGV4
LCBnZXN0YXRpb25hbCB3ZWlnaHQgZ2FpbiwgYW5kIHRoZSByaXNrIG9mIG92ZXJ3ZWlnaHQgYW5k
IG9iZXNpdHkgYWNyb3NzIGNoaWxkaG9vZDogQW4gaW5kaXZpZHVhbCBwYXJ0aWNpcGFudCBkYXRh
IG1ldGEtYW5hbHlzaXM8L3RpdGxlPjxzZWNvbmRhcnktdGl0bGU+UExvUyBNZWQ8L3NlY29uZGFy
eS10aXRsZT48L3RpdGxlcz48cGVyaW9kaWNhbD48ZnVsbC10aXRsZT5QTG9TIE1lZDwvZnVsbC10
aXRsZT48L3BlcmlvZGljYWw+PHBhZ2VzPmUxMDAyNzQ0PC9wYWdlcz48dm9sdW1lPjE2PC92b2x1
bWU+PG51bWJlcj4yPC9udW1iZXI+PGVkaXRpb24+MjAxOS8wMi8xMjwvZWRpdGlvbj48a2V5d29y
ZHM+PGtleXdvcmQ+QXVzdHJhbGlhL2VwaWRlbWlvbG9neTwva2V5d29yZD48a2V5d29yZD4qQm9k
eSBNYXNzIEluZGV4PC9rZXl3b3JkPjxrZXl3b3JkPkNvaG9ydCBTdHVkaWVzPC9rZXl3b3JkPjxr
ZXl3b3JkPipEYXRhIEFuYWx5c2lzPC9rZXl3b3JkPjxrZXl3b3JkPkV1cm9wZS9lcGlkZW1pb2xv
Z3k8L2tleXdvcmQ+PGtleXdvcmQ+RmVtYWxlPC9rZXl3b3JkPjxrZXl3b3JkPkdlc3RhdGlvbmFs
IFdlaWdodCBHYWluLypwaHlzaW9sb2d5PC9rZXl3b3JkPjxrZXl3b3JkPkh1bWFuczwva2V5d29y
ZD48a2V5d29yZD5Ob3J0aCBBbWVyaWNhL2VwaWRlbWlvbG9neTwva2V5d29yZD48a2V5d29yZD5P
dmVyd2VpZ2h0L2RpYWdub3Npcy9lcGlkZW1pb2xvZ3k8L2tleXdvcmQ+PGtleXdvcmQ+UGVkaWF0
cmljIE9iZXNpdHkvZGlhZ25vc2lzLyplcGlkZW1pb2xvZ3k8L2tleXdvcmQ+PGtleXdvcmQ+UHJl
Z25hbmN5PC9rZXl3b3JkPjxrZXl3b3JkPlJpc2sgRmFjdG9yczwva2V5d29yZD48L2tleXdvcmRz
PjxkYXRlcz48eWVhcj4yMDE5PC95ZWFyPjxwdWItZGF0ZXM+PGRhdGU+RmViPC9kYXRlPjwvcHVi
LWRhdGVzPjwvZGF0ZXM+PGlzYm4+MTU0OS0xNjc2IChFbGVjdHJvbmljKSYjeEQ7MTU0OS0xMjc3
IChMaW5raW5nKTwvaXNibj48YWNjZXNzaW9uLW51bT4zMDc0MjYyNDwvYWNjZXNzaW9uLW51bT48
dXJscz48cmVsYXRlZC11cmxzPjx1cmw+aHR0cHM6Ly93d3cubmNiaS5ubG0ubmloLmdvdi9wdWJt
ZWQvMzA3NDI2MjQ8L3VybD48L3JlbGF0ZWQtdXJscz48L3VybHM+PGN1c3RvbTI+UE1DNjM3MDE4
NCBmb2xsb3dpbmcgY29tcGV0aW5nIGludGVyZXN0czogS01HIGhhcyByZWNlaXZlZCByZWltYnVy
c2VtZW50IGZvciBzcGVha2luZyBhdCBjb25mZXJlbmNlcyBzcG9uc29yZWQgYnkgY29tcGFuaWVz
IHNlbGxpbmcgbnV0cml0aW9uYWwgcHJvZHVjdHMsIGFuZCBpcyBwYXJ0IG9mIGFuIGFjYWRlbWlj
IGNvbnNvcnRpdW0gdGhhdCBoYXMgcmVjZWl2ZWQgcmVzZWFyY2ggZnVuZGluZyBmcm9tIEFiYm90
dCBOdXRyaXRpb24sIE5lc3RlYyBhbmQgRGFub25lLiBITCBoYXMgcGFydGljaXBhdGVkIGFzIGFu
IGFkdmlzb3J5IGJvYXJkIG1lbWJlciwgY29uc3VsdGFudCBhbmQgc3BlYWtlciBmb3IgTmVzdGxl
IE51dHJpdGlvbiBJbnN0aXR1dGUgYW5kIE5lc3RsZSBGaW5sYW5kLiBEQUwgaGFzIHJlY2VpdmVk
IHN1cHBvcnQgZnJvbSBzZXZlcmFsIE5hdGlvbmFsIGFuZCBJbnRlcm5hdGlvbmFsIEdvdmVybm1l
bnQgYW5kIENoYXJpdHkgRnVuZGVycyBhbmQgZnJvbSBSb2NoZSBEaWFnbm9zdGljcyBhbmQgTWVk
dHJvbmljIGZvciByZXNlYXJjaCB1bnJlbGF0ZWQgdG8gdGhhdCBwcmVzZW50ZWQgaGVyZS4gQWxs
IHN1cHBvcnQgaGFkIGJlZW4gYWRtaW5pc3RlcmVkIHZpYSBEQUwmYXBvcztzIGluc3RpdHV0aW9u
OyBub3QgZGlyZWN0bHkgdG8gaGVyLiBUaGUgb3RoZXIgYXV0aG9ycyBoYXZlIGRlY2xhcmVkIHRo
YXQgbm8gY29tcGV0aW5nIGludGVyZXN0cyBleGlzdC48L2N1c3RvbTI+PGVsZWN0cm9uaWMtcmVz
b3VyY2UtbnVtPjEwLjEzNzEvam91cm5hbC5wbWVkLjEwMDI3NDQ8L2VsZWN0cm9uaWMtcmVzb3Vy
Y2UtbnVtPjwvcmVjb3JkPjwvQ2l0ZT48L0VuZE5vdGU+AG==
</w:fldData>
              </w:fldChar>
            </w:r>
            <w:r w:rsidR="001A2F28">
              <w:instrText xml:space="preserve"> ADDIN EN.CITE.DATA </w:instrText>
            </w:r>
            <w:r w:rsidR="001A2F28">
              <w:fldChar w:fldCharType="end"/>
            </w:r>
            <w:r>
              <w:fldChar w:fldCharType="separate"/>
            </w:r>
            <w:r w:rsidR="001A2F28" w:rsidRPr="001A2F28">
              <w:rPr>
                <w:noProof/>
                <w:vertAlign w:val="superscript"/>
              </w:rPr>
              <w:t>365</w:t>
            </w:r>
            <w:r>
              <w:fldChar w:fldCharType="end"/>
            </w:r>
          </w:p>
          <w:p w14:paraId="53107CFD" w14:textId="77777777" w:rsidR="005B079C" w:rsidRDefault="005B079C" w:rsidP="009F491F">
            <w:r>
              <w:t>Meta-analysis</w:t>
            </w:r>
          </w:p>
        </w:tc>
        <w:tc>
          <w:tcPr>
            <w:tcW w:w="1701" w:type="dxa"/>
            <w:tcBorders>
              <w:top w:val="single" w:sz="4" w:space="0" w:color="auto"/>
              <w:left w:val="single" w:sz="4" w:space="0" w:color="auto"/>
              <w:bottom w:val="single" w:sz="4" w:space="0" w:color="auto"/>
              <w:right w:val="single" w:sz="4" w:space="0" w:color="auto"/>
            </w:tcBorders>
          </w:tcPr>
          <w:p w14:paraId="3A97E541" w14:textId="77777777" w:rsidR="005B079C" w:rsidRDefault="005B079C" w:rsidP="009F491F">
            <w:r w:rsidRPr="004C79B9">
              <w:t>162,129 mothers and their children</w:t>
            </w:r>
          </w:p>
        </w:tc>
        <w:tc>
          <w:tcPr>
            <w:tcW w:w="4252" w:type="dxa"/>
            <w:tcBorders>
              <w:top w:val="single" w:sz="4" w:space="0" w:color="auto"/>
              <w:left w:val="single" w:sz="4" w:space="0" w:color="auto"/>
              <w:bottom w:val="single" w:sz="4" w:space="0" w:color="auto"/>
              <w:right w:val="single" w:sz="4" w:space="0" w:color="auto"/>
            </w:tcBorders>
          </w:tcPr>
          <w:p w14:paraId="7042C54D" w14:textId="77777777" w:rsidR="005B079C" w:rsidRDefault="005B079C" w:rsidP="009F491F">
            <w:r w:rsidRPr="004C79B9">
              <w:rPr>
                <w:b/>
              </w:rPr>
              <w:t>Aim</w:t>
            </w:r>
            <w:r>
              <w:t>: T</w:t>
            </w:r>
            <w:r w:rsidRPr="004C79B9">
              <w:t xml:space="preserve">o assess the separate and combined associations of maternal BMI and gestational weight gain with the risk of overweight/obesity throughout childhood, and their population impact. </w:t>
            </w:r>
          </w:p>
          <w:p w14:paraId="4C98213E" w14:textId="77777777" w:rsidR="005B079C" w:rsidRPr="002C667E" w:rsidRDefault="005B079C" w:rsidP="009F491F">
            <w:pPr>
              <w:rPr>
                <w:b/>
              </w:rPr>
            </w:pPr>
            <w:r w:rsidRPr="004C79B9">
              <w:rPr>
                <w:b/>
              </w:rPr>
              <w:t>Methods</w:t>
            </w:r>
            <w:r w:rsidRPr="004C79B9">
              <w:t>: We conducted an individual participant data meta-analysis of data from 37 pregnancy and birth cohort studies from Europe, North America, and Australia. We assessed the individual and combined associations of maternal pre-pregnancy BMI and gestational weight gain, both in clinical categories and across their full ranges, with the risks of overweight/obesity in early (2.0-5.0 years), mid (5.0-10.0 years) and late childhood (10.0-18.0 years), using multilevel binary logistic regression models with a random intercept at cohort level adjusted for maternal sociodemographic and lifestyle-related characteristics.</w:t>
            </w:r>
          </w:p>
        </w:tc>
        <w:tc>
          <w:tcPr>
            <w:tcW w:w="4394" w:type="dxa"/>
            <w:tcBorders>
              <w:top w:val="single" w:sz="4" w:space="0" w:color="auto"/>
              <w:left w:val="single" w:sz="4" w:space="0" w:color="auto"/>
              <w:bottom w:val="single" w:sz="4" w:space="0" w:color="auto"/>
              <w:right w:val="single" w:sz="4" w:space="0" w:color="auto"/>
            </w:tcBorders>
          </w:tcPr>
          <w:p w14:paraId="0340348C" w14:textId="77777777" w:rsidR="005B079C" w:rsidRDefault="005B079C" w:rsidP="009F491F">
            <w:r>
              <w:t>Maternal overweight pre-pregnancy:</w:t>
            </w:r>
          </w:p>
          <w:p w14:paraId="512C9D59" w14:textId="77777777" w:rsidR="005B079C" w:rsidRDefault="005B079C" w:rsidP="009F491F">
            <w:pPr>
              <w:pStyle w:val="bullet"/>
            </w:pPr>
            <w:r>
              <w:t>Early childhood overweight/obesity: OR 1.66; 95%CI 1.56 to 1.78</w:t>
            </w:r>
            <w:r w:rsidRPr="004C79B9">
              <w:t xml:space="preserve"> </w:t>
            </w:r>
          </w:p>
          <w:p w14:paraId="379D4BE8" w14:textId="77777777" w:rsidR="005B079C" w:rsidRDefault="005B079C" w:rsidP="009F491F">
            <w:pPr>
              <w:pStyle w:val="bullet"/>
            </w:pPr>
            <w:r>
              <w:t>Mid childhood overweight/obesity: OR 1.91; 95%CI 1.85 to 1.98</w:t>
            </w:r>
          </w:p>
          <w:p w14:paraId="2875D554" w14:textId="77777777" w:rsidR="005B079C" w:rsidRDefault="005B079C" w:rsidP="009F491F">
            <w:pPr>
              <w:pStyle w:val="bullet"/>
            </w:pPr>
            <w:r>
              <w:t>Late childhood overweight/obesity: OR 2.28; 95%CI 2.08 to 2.50</w:t>
            </w:r>
          </w:p>
          <w:p w14:paraId="4B85CD62" w14:textId="77777777" w:rsidR="005B079C" w:rsidRDefault="005B079C" w:rsidP="009F491F">
            <w:r>
              <w:t>Maternal obesity pre-pregnancy:</w:t>
            </w:r>
          </w:p>
          <w:p w14:paraId="67250895" w14:textId="77777777" w:rsidR="005B079C" w:rsidRDefault="005B079C" w:rsidP="009F491F">
            <w:pPr>
              <w:pStyle w:val="bullet"/>
            </w:pPr>
            <w:r>
              <w:t>Early childhood overweight/obesity: OR 2.43; 95%CI 2.24 to 2.64</w:t>
            </w:r>
          </w:p>
          <w:p w14:paraId="12C7301F" w14:textId="77777777" w:rsidR="005B079C" w:rsidRDefault="005B079C" w:rsidP="009F491F">
            <w:pPr>
              <w:pStyle w:val="bullet"/>
            </w:pPr>
            <w:r>
              <w:t>Mid childhood overweight/obesity: OR 3.12; 95%CI 2.98 to 3.27</w:t>
            </w:r>
          </w:p>
          <w:p w14:paraId="1EDE0385" w14:textId="0EDBAFB9" w:rsidR="005B079C" w:rsidRPr="005B079C" w:rsidRDefault="005B079C" w:rsidP="008E1F6E">
            <w:pPr>
              <w:pStyle w:val="bullet"/>
            </w:pPr>
            <w:r>
              <w:t>Late childhood overweight/obesity: OR 4.47; 95%CI 3.99 to 5.23</w:t>
            </w:r>
            <w:r w:rsidRPr="008E1F6E">
              <w:rPr>
                <w:rFonts w:eastAsia="Times New Roman"/>
                <w:lang w:val="en-AU"/>
              </w:rPr>
              <w:t xml:space="preserve"> </w:t>
            </w:r>
          </w:p>
        </w:tc>
        <w:tc>
          <w:tcPr>
            <w:tcW w:w="2411" w:type="dxa"/>
            <w:tcBorders>
              <w:top w:val="single" w:sz="4" w:space="0" w:color="auto"/>
              <w:left w:val="single" w:sz="4" w:space="0" w:color="auto"/>
              <w:bottom w:val="single" w:sz="4" w:space="0" w:color="auto"/>
              <w:right w:val="single" w:sz="4" w:space="0" w:color="auto"/>
            </w:tcBorders>
          </w:tcPr>
          <w:p w14:paraId="4639C36F" w14:textId="77777777" w:rsidR="005B079C" w:rsidRDefault="005B079C" w:rsidP="009F491F"/>
        </w:tc>
      </w:tr>
      <w:tr w:rsidR="009D7BEB" w:rsidRPr="00B60FFF" w14:paraId="0955279A" w14:textId="77777777" w:rsidTr="005B079C">
        <w:trPr>
          <w:cantSplit/>
        </w:trPr>
        <w:tc>
          <w:tcPr>
            <w:tcW w:w="1418" w:type="dxa"/>
            <w:tcBorders>
              <w:top w:val="single" w:sz="4" w:space="0" w:color="auto"/>
              <w:left w:val="single" w:sz="4" w:space="0" w:color="auto"/>
              <w:bottom w:val="single" w:sz="4" w:space="0" w:color="auto"/>
              <w:right w:val="single" w:sz="4" w:space="0" w:color="auto"/>
            </w:tcBorders>
          </w:tcPr>
          <w:p w14:paraId="6460E123" w14:textId="3A9658FD" w:rsidR="009D7BEB" w:rsidRDefault="009D7BEB" w:rsidP="002747EA">
            <w:r>
              <w:t xml:space="preserve">Zhu et al </w:t>
            </w:r>
            <w:r w:rsidR="00C2339B">
              <w:t>201</w:t>
            </w:r>
            <w:r w:rsidR="001C6BA4">
              <w:t>8</w:t>
            </w:r>
            <w:r w:rsidR="00D07346">
              <w:fldChar w:fldCharType="begin"/>
            </w:r>
            <w:r w:rsidR="002747EA">
              <w:instrText xml:space="preserve"> ADDIN EN.CITE &lt;EndNote&gt;&lt;Cite&gt;&lt;Author&gt;Zhu&lt;/Author&gt;&lt;Year&gt;2018&lt;/Year&gt;&lt;RecNum&gt;1908&lt;/RecNum&gt;&lt;DisplayText&gt;&lt;style face="superscript" font="Trebuchet MS" size="9"&gt;396&lt;/style&gt;&lt;/DisplayText&gt;&lt;record&gt;&lt;rec-number&gt;1908&lt;/rec-number&gt;&lt;foreign-keys&gt;&lt;key app="EN" db-id="exvasrfx2dtraoesasxp2szsxa2df502592x" timestamp="1588208212"&gt;1908&lt;/key&gt;&lt;key app="ENWeb" db-id=""&gt;0&lt;/key&gt;&lt;/foreign-keys&gt;&lt;ref-type name="Journal Article"&gt;17&lt;/ref-type&gt;&lt;contributors&gt;&lt;authors&gt;&lt;author&gt;Zhu, Y.&lt;/author&gt;&lt;author&gt;Chen, Y.&lt;/author&gt;&lt;author&gt;Feng, Y.&lt;/author&gt;&lt;author&gt;Yu, D.&lt;/author&gt;&lt;author&gt;Mo, X.&lt;/author&gt;&lt;/authors&gt;&lt;/contributors&gt;&lt;auth-address&gt;Department of Cardiothoracic Surgery, Children&amp;apos;s Hospital of Nanjing Medical University, Nanjing, China.&amp;#xD;Department of Thoracic Surgery, The First Affiliated Hospital of Soochow University, Soochow, China.&lt;/auth-address&gt;&lt;titles&gt;&lt;title&gt;Association between maternal body mass index and congenital heart defects in infants: A meta-analysis&lt;/title&gt;&lt;secondary-title&gt;Congenit Heart Dis&lt;/secondary-title&gt;&lt;/titles&gt;&lt;periodical&gt;&lt;full-title&gt;Congenit Heart Dis&lt;/full-title&gt;&lt;/periodical&gt;&lt;pages&gt;271-281&lt;/pages&gt;&lt;volume&gt;13&lt;/volume&gt;&lt;number&gt;2&lt;/number&gt;&lt;edition&gt;2018/01/25&lt;/edition&gt;&lt;keywords&gt;&lt;keyword&gt;*Body Mass Index&lt;/keyword&gt;&lt;keyword&gt;Female&lt;/keyword&gt;&lt;keyword&gt;Global Health&lt;/keyword&gt;&lt;keyword&gt;Heart Defects, Congenital/epidemiology/*etiology&lt;/keyword&gt;&lt;keyword&gt;Humans&lt;/keyword&gt;&lt;keyword&gt;Infant&lt;/keyword&gt;&lt;keyword&gt;Maternal Exposure/*adverse effects&lt;/keyword&gt;&lt;keyword&gt;Obesity/*complications&lt;/keyword&gt;&lt;keyword&gt;Odds Ratio&lt;/keyword&gt;&lt;keyword&gt;Pregnancy&lt;/keyword&gt;&lt;keyword&gt;Risk Factors&lt;/keyword&gt;&lt;keyword&gt;congenital heart defects&lt;/keyword&gt;&lt;keyword&gt;maternal body mass index&lt;/keyword&gt;&lt;keyword&gt;meta-analysis&lt;/keyword&gt;&lt;/keywords&gt;&lt;dates&gt;&lt;year&gt;2018&lt;/year&gt;&lt;pub-dates&gt;&lt;date&gt;Mar&lt;/date&gt;&lt;/pub-dates&gt;&lt;/dates&gt;&lt;isbn&gt;1747-0803 (Electronic)&amp;#xD;1747-079X (Linking)&lt;/isbn&gt;&lt;accession-num&gt;29363266&lt;/accession-num&gt;&lt;urls&gt;&lt;related-urls&gt;&lt;url&gt;https://www.ncbi.nlm.nih.gov/pubmed/29363266&lt;/url&gt;&lt;/related-urls&gt;&lt;/urls&gt;&lt;electronic-resource-num&gt;10.1111/chd.12567&lt;/electronic-resource-num&gt;&lt;/record&gt;&lt;/Cite&gt;&lt;/EndNote&gt;</w:instrText>
            </w:r>
            <w:r w:rsidR="00D07346">
              <w:fldChar w:fldCharType="separate"/>
            </w:r>
            <w:r w:rsidR="002747EA" w:rsidRPr="002747EA">
              <w:rPr>
                <w:noProof/>
                <w:vertAlign w:val="superscript"/>
              </w:rPr>
              <w:t>396</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7E630898" w14:textId="77777777" w:rsidR="009D7BEB" w:rsidRDefault="00C2339B" w:rsidP="009F491F">
            <w:r>
              <w:t>13 case-control studies</w:t>
            </w:r>
          </w:p>
          <w:p w14:paraId="73A9DF4B" w14:textId="0FF58FCD" w:rsidR="00C2339B" w:rsidRPr="004C79B9" w:rsidRDefault="00C2339B" w:rsidP="009F491F">
            <w:r>
              <w:t>4 cohort studies</w:t>
            </w:r>
          </w:p>
        </w:tc>
        <w:tc>
          <w:tcPr>
            <w:tcW w:w="4252" w:type="dxa"/>
            <w:tcBorders>
              <w:top w:val="single" w:sz="4" w:space="0" w:color="auto"/>
              <w:left w:val="single" w:sz="4" w:space="0" w:color="auto"/>
              <w:bottom w:val="single" w:sz="4" w:space="0" w:color="auto"/>
              <w:right w:val="single" w:sz="4" w:space="0" w:color="auto"/>
            </w:tcBorders>
          </w:tcPr>
          <w:p w14:paraId="7174F230" w14:textId="77777777" w:rsidR="00C2339B" w:rsidRDefault="00C2339B" w:rsidP="009F491F">
            <w:r w:rsidRPr="008E1F6E">
              <w:rPr>
                <w:b/>
              </w:rPr>
              <w:t>Aim</w:t>
            </w:r>
            <w:r>
              <w:t>: T</w:t>
            </w:r>
            <w:r w:rsidRPr="00C2339B">
              <w:t xml:space="preserve">o address the open question of a possible association between maternal body mass index (BMI) and congenital heart defects (CHDs) in infants. </w:t>
            </w:r>
          </w:p>
          <w:p w14:paraId="56E82972" w14:textId="5A9A6F35" w:rsidR="009D7BEB" w:rsidRPr="004C79B9" w:rsidRDefault="00C2339B" w:rsidP="00C2339B">
            <w:pPr>
              <w:rPr>
                <w:b/>
              </w:rPr>
            </w:pPr>
            <w:r w:rsidRPr="008E1F6E">
              <w:rPr>
                <w:b/>
              </w:rPr>
              <w:t>Methods</w:t>
            </w:r>
            <w:r>
              <w:t xml:space="preserve">: </w:t>
            </w:r>
            <w:r w:rsidRPr="00C2339B">
              <w:t>We cond</w:t>
            </w:r>
            <w:r>
              <w:t>ucted a comprehensive computeris</w:t>
            </w:r>
            <w:r w:rsidRPr="00C2339B">
              <w:t>ed search of PubMed, Web of Science, Medline, and Embase databased (January 1980 through August 2017). We assessed the association between maternal BMI and the risk for congenital heart defects in their offspring. Study-specific relative risk estimates were polled according to random-effect or fixed-effect models.</w:t>
            </w:r>
          </w:p>
        </w:tc>
        <w:tc>
          <w:tcPr>
            <w:tcW w:w="4394" w:type="dxa"/>
            <w:tcBorders>
              <w:top w:val="single" w:sz="4" w:space="0" w:color="auto"/>
              <w:left w:val="single" w:sz="4" w:space="0" w:color="auto"/>
              <w:bottom w:val="single" w:sz="4" w:space="0" w:color="auto"/>
              <w:right w:val="single" w:sz="4" w:space="0" w:color="auto"/>
            </w:tcBorders>
          </w:tcPr>
          <w:p w14:paraId="71A925E2" w14:textId="1EB59559" w:rsidR="00C2339B" w:rsidRDefault="00C2339B" w:rsidP="00C2339B">
            <w:r>
              <w:t>Risk of congenital heart defects</w:t>
            </w:r>
            <w:r w:rsidR="001C6BA4">
              <w:t xml:space="preserve"> relative to healthy weight</w:t>
            </w:r>
            <w:r w:rsidR="00CA533E">
              <w:t>:</w:t>
            </w:r>
          </w:p>
          <w:p w14:paraId="0BAB6FD5" w14:textId="36B98E68" w:rsidR="00CA533E" w:rsidRDefault="00CA533E" w:rsidP="008E1F6E">
            <w:pPr>
              <w:pStyle w:val="bullet"/>
            </w:pPr>
            <w:r>
              <w:t>Overweight:</w:t>
            </w:r>
            <w:r w:rsidR="00642F88">
              <w:t xml:space="preserve"> 1.06</w:t>
            </w:r>
            <w:r>
              <w:t xml:space="preserve">; 95%CI </w:t>
            </w:r>
            <w:r w:rsidR="00642F88">
              <w:t>1.02</w:t>
            </w:r>
            <w:r>
              <w:t xml:space="preserve"> to 1.1</w:t>
            </w:r>
            <w:r w:rsidR="00642F88">
              <w:t>0</w:t>
            </w:r>
            <w:r>
              <w:t>; P=0</w:t>
            </w:r>
            <w:r w:rsidR="00C2339B" w:rsidRPr="00C2339B">
              <w:t>.001)</w:t>
            </w:r>
          </w:p>
          <w:p w14:paraId="238AD527" w14:textId="4F3A8D2D" w:rsidR="009D7BEB" w:rsidRPr="00C2339B" w:rsidRDefault="00CA533E" w:rsidP="008E1F6E">
            <w:pPr>
              <w:pStyle w:val="bullet"/>
            </w:pPr>
            <w:r>
              <w:t>O</w:t>
            </w:r>
            <w:r w:rsidR="00C2339B" w:rsidRPr="00C2339B">
              <w:t>besity</w:t>
            </w:r>
            <w:r>
              <w:t xml:space="preserve">: </w:t>
            </w:r>
            <w:r w:rsidR="00642F88">
              <w:t>OR: 1.174; 95%CI 1.15 to 1.2</w:t>
            </w:r>
            <w:r>
              <w:t>, P=</w:t>
            </w:r>
            <w:r w:rsidR="00C2339B" w:rsidRPr="00C2339B">
              <w:t>0.161</w:t>
            </w:r>
          </w:p>
        </w:tc>
        <w:tc>
          <w:tcPr>
            <w:tcW w:w="2411" w:type="dxa"/>
            <w:tcBorders>
              <w:top w:val="single" w:sz="4" w:space="0" w:color="auto"/>
              <w:left w:val="single" w:sz="4" w:space="0" w:color="auto"/>
              <w:bottom w:val="single" w:sz="4" w:space="0" w:color="auto"/>
              <w:right w:val="single" w:sz="4" w:space="0" w:color="auto"/>
            </w:tcBorders>
          </w:tcPr>
          <w:p w14:paraId="202011BC" w14:textId="77777777" w:rsidR="009D7BEB" w:rsidRDefault="009D7BEB" w:rsidP="009F491F"/>
        </w:tc>
      </w:tr>
      <w:tr w:rsidR="00BA340B" w:rsidRPr="00B60FFF" w14:paraId="371DD75C" w14:textId="77777777" w:rsidTr="005B079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619BB477" w14:textId="16045669" w:rsidR="00BA340B" w:rsidRDefault="008050D3" w:rsidP="002747EA">
            <w:r>
              <w:t>Cai et al 2014</w:t>
            </w:r>
            <w:r w:rsidR="00D07346">
              <w:fldChar w:fldCharType="begin">
                <w:fldData xml:space="preserve">PEVuZE5vdGU+PENpdGU+PEF1dGhvcj5DYWk8L0F1dGhvcj48WWVhcj4yMDE0PC9ZZWFyPjxSZWNO
dW0+MTg2MDwvUmVjTnVtPjxEaXNwbGF5VGV4dD48c3R5bGUgZmFjZT0ic3VwZXJzY3JpcHQiIGZv
bnQ9IlRyZWJ1Y2hldCBNUyIgc2l6ZT0iOSI+Mzk3PC9zdHlsZT48L0Rpc3BsYXlUZXh0PjxyZWNv
cmQ+PHJlYy1udW1iZXI+MTg2MDwvcmVjLW51bWJlcj48Zm9yZWlnbi1rZXlzPjxrZXkgYXBwPSJF
TiIgZGItaWQ9ImV4dmFzcmZ4MmR0cmFvZXNhc3hwMnN6c3hhMmRmNTAyNTkyeCIgdGltZXN0YW1w
PSIxNTg3Nzk0MTI3Ij4xODYwPC9rZXk+PGtleSBhcHA9IkVOV2ViIiBkYi1pZD0iIj4wPC9rZXk+
PC9mb3JlaWduLWtleXM+PHJlZi10eXBlIG5hbWU9IkpvdXJuYWwgQXJ0aWNsZSI+MTc8L3JlZi10
eXBlPjxjb250cmlidXRvcnM+PGF1dGhvcnM+PGF1dGhvcj5DYWksIEcuIEouPC9hdXRob3I+PGF1
dGhvcj5TdW4sIFguIFguPC9hdXRob3I+PGF1dGhvcj5aaGFuZywgTC48L2F1dGhvcj48YXV0aG9y
PkhvbmcsIFEuPC9hdXRob3I+PC9hdXRob3JzPjwvY29udHJpYnV0b3JzPjxhdXRoLWFkZHJlc3M+
U2Nob29sIG9mIEhlYWx0aCBTZXJ2aWNlcyBNYW5hZ2VtZW50LCBBbmh1aSBNZWRpY2FsIFVuaXZl
cnNpdHksIEhlZmVpLCBDaGluYS4mI3hEO1NjaG9vbCBvZiBIZWFsdGggU2VydmljZXMgTWFuYWdl
bWVudCwgQW5odWkgTWVkaWNhbCBVbml2ZXJzaXR5LCBIZWZlaSwgQ2hpbmEuIEVsZWN0cm9uaWMg
YWRkcmVzczogc2hleWlocUAxNjMuY29tLjwvYXV0aC1hZGRyZXNzPjx0aXRsZXM+PHRpdGxlPkFz
c29jaWF0aW9uIGJldHdlZW4gbWF0ZXJuYWwgYm9keSBtYXNzIGluZGV4IGFuZCBjb25nZW5pdGFs
IGhlYXJ0IGRlZmVjdHMgaW4gb2Zmc3ByaW5nOiBhIHN5c3RlbWF0aWMgcmV2aWV3PC90aXRsZT48
c2Vjb25kYXJ5LXRpdGxlPkFtIEogT2JzdGV0IEd5bmVjb2w8L3NlY29uZGFyeS10aXRsZT48L3Rp
dGxlcz48cGVyaW9kaWNhbD48ZnVsbC10aXRsZT5BbSBKIE9ic3RldCBHeW5lY29sPC9mdWxsLXRp
dGxlPjwvcGVyaW9kaWNhbD48cGFnZXM+OTEtMTE3PC9wYWdlcz48dm9sdW1lPjIxMTwvdm9sdW1l
PjxudW1iZXI+MjwvbnVtYmVyPjxlZGl0aW9uPjIwMTQvMDMvMTk8L2VkaXRpb24+PGtleXdvcmRz
PjxrZXl3b3JkPkFvcnRpYyBWYWx2ZSBTdGVub3Npcy9lcGlkZW1pb2xvZ3k8L2tleXdvcmQ+PGtl
eXdvcmQ+KkJvZHkgTWFzcyBJbmRleDwva2V5d29yZD48a2V5d29yZD5GZW1hbGU8L2tleXdvcmQ+
PGtleXdvcmQ+SGVhcnQgRGVmZWN0cywgQ29uZ2VuaXRhbC8qZXBpZGVtaW9sb2d5PC9rZXl3b3Jk
PjxrZXl3b3JkPkh1bWFuczwva2V5d29yZD48a2V5d29yZD5JbmZhbnQ8L2tleXdvcmQ+PGtleXdv
cmQ+T3ZlcndlaWdodC9lcGlkZW1pb2xvZ3k8L2tleXdvcmQ+PGtleXdvcmQ+UHJlZ25hbmN5PC9r
ZXl3b3JkPjxrZXl3b3JkPlB1bG1vbmFyeSBWYWx2ZSBTdGVub3Npcy9lcGlkZW1pb2xvZ3k8L2tl
eXdvcmQ+PGtleXdvcmQ+UmlzayBGYWN0b3JzPC9rZXl3b3JkPjxrZXl3b3JkPlRoaW5uZXNzL2Vw
aWRlbWlvbG9neTwva2V5d29yZD48a2V5d29yZD5WZW50cmljdWxhciBPdXRmbG93IE9ic3RydWN0
aW9uL2VwaWRlbWlvbG9neTwva2V5d29yZD48a2V5d29yZD5ib2R5IG1hc3MgaW5kZXg8L2tleXdv
cmQ+PGtleXdvcmQ+Y29uZ2VuaXRhbCBoZWFydCBkZWZlY3Q8L2tleXdvcmQ+PGtleXdvcmQ+bWV0
YWFuYWx5c2lzPC9rZXl3b3JkPjxrZXl3b3JkPm9iZXNlPC9rZXl3b3JkPjxrZXl3b3JkPnN5c3Rl
bWF0aWMgcmV2aWV3PC9rZXl3b3JkPjwva2V5d29yZHM+PGRhdGVzPjx5ZWFyPjIwMTQ8L3llYXI+
PHB1Yi1kYXRlcz48ZGF0ZT5BdWc8L2RhdGU+PC9wdWItZGF0ZXM+PC9kYXRlcz48aXNibj4xMDk3
LTY4NjggKEVsZWN0cm9uaWMpJiN4RDswMDAyLTkzNzggKExpbmtpbmcpPC9pc2JuPjxhY2Nlc3Np
b24tbnVtPjI0NjMxNzA4PC9hY2Nlc3Npb24tbnVtPjx1cmxzPjxyZWxhdGVkLXVybHM+PHVybD5o
dHRwczovL3d3dy5uY2JpLm5sbS5uaWguZ292L3B1Ym1lZC8yNDYzMTcwODwvdXJsPjwvcmVsYXRl
ZC11cmxzPjwvdXJscz48ZWxlY3Ryb25pYy1yZXNvdXJjZS1udW0+MTAuMTAxNi9qLmFqb2cuMjAx
NC4wMy4wMjg8L2VsZWN0cm9uaWMtcmVzb3VyY2UtbnVtPjwvcmVjb3JkPjwvQ2l0ZT48L0VuZE5v
dGU+AG==
</w:fldData>
              </w:fldChar>
            </w:r>
            <w:r w:rsidR="002747EA">
              <w:instrText xml:space="preserve"> ADDIN EN.CITE </w:instrText>
            </w:r>
            <w:r w:rsidR="002747EA">
              <w:fldChar w:fldCharType="begin">
                <w:fldData xml:space="preserve">PEVuZE5vdGU+PENpdGU+PEF1dGhvcj5DYWk8L0F1dGhvcj48WWVhcj4yMDE0PC9ZZWFyPjxSZWNO
dW0+MTg2MDwvUmVjTnVtPjxEaXNwbGF5VGV4dD48c3R5bGUgZmFjZT0ic3VwZXJzY3JpcHQiIGZv
bnQ9IlRyZWJ1Y2hldCBNUyIgc2l6ZT0iOSI+Mzk3PC9zdHlsZT48L0Rpc3BsYXlUZXh0PjxyZWNv
cmQ+PHJlYy1udW1iZXI+MTg2MDwvcmVjLW51bWJlcj48Zm9yZWlnbi1rZXlzPjxrZXkgYXBwPSJF
TiIgZGItaWQ9ImV4dmFzcmZ4MmR0cmFvZXNhc3hwMnN6c3hhMmRmNTAyNTkyeCIgdGltZXN0YW1w
PSIxNTg3Nzk0MTI3Ij4xODYwPC9rZXk+PGtleSBhcHA9IkVOV2ViIiBkYi1pZD0iIj4wPC9rZXk+
PC9mb3JlaWduLWtleXM+PHJlZi10eXBlIG5hbWU9IkpvdXJuYWwgQXJ0aWNsZSI+MTc8L3JlZi10
eXBlPjxjb250cmlidXRvcnM+PGF1dGhvcnM+PGF1dGhvcj5DYWksIEcuIEouPC9hdXRob3I+PGF1
dGhvcj5TdW4sIFguIFguPC9hdXRob3I+PGF1dGhvcj5aaGFuZywgTC48L2F1dGhvcj48YXV0aG9y
PkhvbmcsIFEuPC9hdXRob3I+PC9hdXRob3JzPjwvY29udHJpYnV0b3JzPjxhdXRoLWFkZHJlc3M+
U2Nob29sIG9mIEhlYWx0aCBTZXJ2aWNlcyBNYW5hZ2VtZW50LCBBbmh1aSBNZWRpY2FsIFVuaXZl
cnNpdHksIEhlZmVpLCBDaGluYS4mI3hEO1NjaG9vbCBvZiBIZWFsdGggU2VydmljZXMgTWFuYWdl
bWVudCwgQW5odWkgTWVkaWNhbCBVbml2ZXJzaXR5LCBIZWZlaSwgQ2hpbmEuIEVsZWN0cm9uaWMg
YWRkcmVzczogc2hleWlocUAxNjMuY29tLjwvYXV0aC1hZGRyZXNzPjx0aXRsZXM+PHRpdGxlPkFz
c29jaWF0aW9uIGJldHdlZW4gbWF0ZXJuYWwgYm9keSBtYXNzIGluZGV4IGFuZCBjb25nZW5pdGFs
IGhlYXJ0IGRlZmVjdHMgaW4gb2Zmc3ByaW5nOiBhIHN5c3RlbWF0aWMgcmV2aWV3PC90aXRsZT48
c2Vjb25kYXJ5LXRpdGxlPkFtIEogT2JzdGV0IEd5bmVjb2w8L3NlY29uZGFyeS10aXRsZT48L3Rp
dGxlcz48cGVyaW9kaWNhbD48ZnVsbC10aXRsZT5BbSBKIE9ic3RldCBHeW5lY29sPC9mdWxsLXRp
dGxlPjwvcGVyaW9kaWNhbD48cGFnZXM+OTEtMTE3PC9wYWdlcz48dm9sdW1lPjIxMTwvdm9sdW1l
PjxudW1iZXI+MjwvbnVtYmVyPjxlZGl0aW9uPjIwMTQvMDMvMTk8L2VkaXRpb24+PGtleXdvcmRz
PjxrZXl3b3JkPkFvcnRpYyBWYWx2ZSBTdGVub3Npcy9lcGlkZW1pb2xvZ3k8L2tleXdvcmQ+PGtl
eXdvcmQ+KkJvZHkgTWFzcyBJbmRleDwva2V5d29yZD48a2V5d29yZD5GZW1hbGU8L2tleXdvcmQ+
PGtleXdvcmQ+SGVhcnQgRGVmZWN0cywgQ29uZ2VuaXRhbC8qZXBpZGVtaW9sb2d5PC9rZXl3b3Jk
PjxrZXl3b3JkPkh1bWFuczwva2V5d29yZD48a2V5d29yZD5JbmZhbnQ8L2tleXdvcmQ+PGtleXdv
cmQ+T3ZlcndlaWdodC9lcGlkZW1pb2xvZ3k8L2tleXdvcmQ+PGtleXdvcmQ+UHJlZ25hbmN5PC9r
ZXl3b3JkPjxrZXl3b3JkPlB1bG1vbmFyeSBWYWx2ZSBTdGVub3Npcy9lcGlkZW1pb2xvZ3k8L2tl
eXdvcmQ+PGtleXdvcmQ+UmlzayBGYWN0b3JzPC9rZXl3b3JkPjxrZXl3b3JkPlRoaW5uZXNzL2Vw
aWRlbWlvbG9neTwva2V5d29yZD48a2V5d29yZD5WZW50cmljdWxhciBPdXRmbG93IE9ic3RydWN0
aW9uL2VwaWRlbWlvbG9neTwva2V5d29yZD48a2V5d29yZD5ib2R5IG1hc3MgaW5kZXg8L2tleXdv
cmQ+PGtleXdvcmQ+Y29uZ2VuaXRhbCBoZWFydCBkZWZlY3Q8L2tleXdvcmQ+PGtleXdvcmQ+bWV0
YWFuYWx5c2lzPC9rZXl3b3JkPjxrZXl3b3JkPm9iZXNlPC9rZXl3b3JkPjxrZXl3b3JkPnN5c3Rl
bWF0aWMgcmV2aWV3PC9rZXl3b3JkPjwva2V5d29yZHM+PGRhdGVzPjx5ZWFyPjIwMTQ8L3llYXI+
PHB1Yi1kYXRlcz48ZGF0ZT5BdWc8L2RhdGU+PC9wdWItZGF0ZXM+PC9kYXRlcz48aXNibj4xMDk3
LTY4NjggKEVsZWN0cm9uaWMpJiN4RDswMDAyLTkzNzggKExpbmtpbmcpPC9pc2JuPjxhY2Nlc3Np
b24tbnVtPjI0NjMxNzA4PC9hY2Nlc3Npb24tbnVtPjx1cmxzPjxyZWxhdGVkLXVybHM+PHVybD5o
dHRwczovL3d3dy5uY2JpLm5sbS5uaWguZ292L3B1Ym1lZC8yNDYzMTcwODwvdXJsPjwvcmVsYXRl
ZC11cmxzPjwvdXJscz48ZWxlY3Ryb25pYy1yZXNvdXJjZS1udW0+MTAuMTAxNi9qLmFqb2cuMjAx
NC4wMy4wMjg8L2VsZWN0cm9uaWMtcmVzb3VyY2UtbnVtPjwvcmVjb3JkPjwvQ2l0ZT48L0VuZE5v
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397</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2D673430" w14:textId="351856A2" w:rsidR="00BA340B" w:rsidRPr="004C79B9" w:rsidRDefault="008050D3" w:rsidP="009F491F">
            <w:r>
              <w:t>14 observational studies</w:t>
            </w:r>
          </w:p>
        </w:tc>
        <w:tc>
          <w:tcPr>
            <w:tcW w:w="4252" w:type="dxa"/>
            <w:tcBorders>
              <w:top w:val="single" w:sz="4" w:space="0" w:color="auto"/>
              <w:left w:val="single" w:sz="4" w:space="0" w:color="auto"/>
              <w:bottom w:val="single" w:sz="4" w:space="0" w:color="auto"/>
              <w:right w:val="single" w:sz="4" w:space="0" w:color="auto"/>
            </w:tcBorders>
          </w:tcPr>
          <w:p w14:paraId="11ACC195" w14:textId="77777777" w:rsidR="00BA340B" w:rsidRDefault="00BA340B" w:rsidP="009F491F">
            <w:r w:rsidRPr="008E1F6E">
              <w:rPr>
                <w:b/>
              </w:rPr>
              <w:t>Aim</w:t>
            </w:r>
            <w:r>
              <w:t>: T</w:t>
            </w:r>
            <w:r w:rsidRPr="00BA340B">
              <w:t xml:space="preserve">o investigate the relationship between maternal body mass index and all congenital heart defects (CHDs) combined and 11 individual defects. </w:t>
            </w:r>
          </w:p>
          <w:p w14:paraId="6B49F20C" w14:textId="61BDAFDF" w:rsidR="00BA340B" w:rsidRPr="004C79B9" w:rsidRDefault="00BA340B" w:rsidP="008050D3">
            <w:pPr>
              <w:rPr>
                <w:b/>
              </w:rPr>
            </w:pPr>
            <w:r w:rsidRPr="008E1F6E">
              <w:rPr>
                <w:b/>
              </w:rPr>
              <w:t>Methods</w:t>
            </w:r>
            <w:r>
              <w:t xml:space="preserve">: </w:t>
            </w:r>
            <w:r w:rsidRPr="00BA340B">
              <w:t>PubMed, ELSEVIER ScienceDirect, and Springer Link (up to February 2013) were searched, and the reference list of retrieved articles was reviewed. Three authors independently extracted the data. Statistical software was used to perform all statistical analyses. Fixed-effects or random-effects model was used to pool the results of individual study (expressed as odds ratios [ORs] with 95% confidence intervals [CIs]).</w:t>
            </w:r>
          </w:p>
        </w:tc>
        <w:tc>
          <w:tcPr>
            <w:tcW w:w="4394" w:type="dxa"/>
            <w:tcBorders>
              <w:top w:val="single" w:sz="4" w:space="0" w:color="auto"/>
              <w:left w:val="single" w:sz="4" w:space="0" w:color="auto"/>
              <w:bottom w:val="single" w:sz="4" w:space="0" w:color="auto"/>
              <w:right w:val="single" w:sz="4" w:space="0" w:color="auto"/>
            </w:tcBorders>
          </w:tcPr>
          <w:p w14:paraId="0732527E" w14:textId="5CE5E25D" w:rsidR="007C50EE" w:rsidRDefault="007C50EE" w:rsidP="008050D3">
            <w:r>
              <w:t>Risk of CHD compared to women of healthy weight:</w:t>
            </w:r>
            <w:r w:rsidR="00BA340B" w:rsidRPr="00BA340B">
              <w:t xml:space="preserve"> </w:t>
            </w:r>
          </w:p>
          <w:p w14:paraId="4ECF599F" w14:textId="3CE7FCF4" w:rsidR="007C50EE" w:rsidRDefault="007C50EE" w:rsidP="008E1F6E">
            <w:pPr>
              <w:pStyle w:val="bullet"/>
            </w:pPr>
            <w:r>
              <w:t xml:space="preserve">Overweight: </w:t>
            </w:r>
            <w:r w:rsidR="008922D0">
              <w:t>OR 1.08; 95% CI, 1.02 to 1.15</w:t>
            </w:r>
          </w:p>
          <w:p w14:paraId="4E76201E" w14:textId="08D63B04" w:rsidR="007C50EE" w:rsidRPr="008050D3" w:rsidRDefault="008922D0" w:rsidP="008E1F6E">
            <w:pPr>
              <w:pStyle w:val="bullet"/>
            </w:pPr>
            <w:r>
              <w:t>M</w:t>
            </w:r>
            <w:r w:rsidR="00BA340B" w:rsidRPr="00BA340B">
              <w:t>oderate obesity</w:t>
            </w:r>
            <w:r>
              <w:t xml:space="preserve"> (B</w:t>
            </w:r>
            <w:r w:rsidRPr="008050D3">
              <w:t xml:space="preserve">MI </w:t>
            </w:r>
            <w:r w:rsidRPr="008E1F6E">
              <w:t>30.1-34.9)</w:t>
            </w:r>
            <w:r w:rsidR="007C50EE" w:rsidRPr="008050D3">
              <w:t xml:space="preserve">: </w:t>
            </w:r>
            <w:r w:rsidRPr="008050D3">
              <w:t>OR</w:t>
            </w:r>
            <w:r w:rsidR="007C50EE" w:rsidRPr="008050D3">
              <w:t xml:space="preserve"> </w:t>
            </w:r>
            <w:r w:rsidR="007C50EE" w:rsidRPr="00BA340B">
              <w:t>1.1</w:t>
            </w:r>
            <w:r>
              <w:t xml:space="preserve">5; </w:t>
            </w:r>
            <w:r w:rsidRPr="008050D3">
              <w:t>95% CI</w:t>
            </w:r>
            <w:r w:rsidR="007C50EE" w:rsidRPr="008050D3">
              <w:t xml:space="preserve"> 1.11</w:t>
            </w:r>
            <w:r w:rsidRPr="008050D3">
              <w:t xml:space="preserve"> to </w:t>
            </w:r>
            <w:r w:rsidR="007C50EE" w:rsidRPr="008050D3">
              <w:t>1.20</w:t>
            </w:r>
          </w:p>
          <w:p w14:paraId="0ED7A3AF" w14:textId="1055B63D" w:rsidR="00BA340B" w:rsidRPr="008050D3" w:rsidRDefault="008922D0" w:rsidP="008E1F6E">
            <w:pPr>
              <w:pStyle w:val="bullet"/>
            </w:pPr>
            <w:r>
              <w:t>S</w:t>
            </w:r>
            <w:r w:rsidR="00BA340B" w:rsidRPr="00BA340B">
              <w:t>evere obesity</w:t>
            </w:r>
            <w:r>
              <w:t xml:space="preserve"> (BMI ≥35)</w:t>
            </w:r>
            <w:r w:rsidR="007C50EE">
              <w:t xml:space="preserve">: </w:t>
            </w:r>
            <w:r>
              <w:t>OR 1.39; 95% CI 1.31 to 1.47</w:t>
            </w:r>
          </w:p>
        </w:tc>
        <w:tc>
          <w:tcPr>
            <w:tcW w:w="2411" w:type="dxa"/>
            <w:tcBorders>
              <w:top w:val="single" w:sz="4" w:space="0" w:color="auto"/>
              <w:left w:val="single" w:sz="4" w:space="0" w:color="auto"/>
              <w:bottom w:val="single" w:sz="4" w:space="0" w:color="auto"/>
              <w:right w:val="single" w:sz="4" w:space="0" w:color="auto"/>
            </w:tcBorders>
          </w:tcPr>
          <w:p w14:paraId="01AF24A7" w14:textId="77777777" w:rsidR="00BA340B" w:rsidRDefault="00BA340B" w:rsidP="009F491F"/>
        </w:tc>
      </w:tr>
      <w:tr w:rsidR="00987DDA" w:rsidRPr="00B60FFF" w14:paraId="719BFD8E" w14:textId="77777777" w:rsidTr="005B079C">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418" w:type="dxa"/>
            <w:tcBorders>
              <w:top w:val="single" w:sz="4" w:space="0" w:color="auto"/>
              <w:left w:val="single" w:sz="4" w:space="0" w:color="auto"/>
              <w:bottom w:val="single" w:sz="4" w:space="0" w:color="auto"/>
              <w:right w:val="single" w:sz="4" w:space="0" w:color="auto"/>
            </w:tcBorders>
          </w:tcPr>
          <w:p w14:paraId="1C552980" w14:textId="544FA98C" w:rsidR="00987DDA" w:rsidRDefault="00987DDA" w:rsidP="002747EA">
            <w:r>
              <w:t xml:space="preserve">Garcia et al </w:t>
            </w:r>
            <w:r w:rsidR="005A7CAB">
              <w:t>2016</w:t>
            </w:r>
            <w:r w:rsidR="00D07346">
              <w:fldChar w:fldCharType="begin">
                <w:fldData xml:space="preserve">PEVuZE5vdGU+PENpdGU+PEF1dGhvcj5HYXJjaWE8L0F1dGhvcj48WWVhcj4yMDE2PC9ZZWFyPjxS
ZWNOdW0+MTg2MTwvUmVjTnVtPjxEaXNwbGF5VGV4dD48c3R5bGUgZmFjZT0ic3VwZXJzY3JpcHQi
IGZvbnQ9IlRyZWJ1Y2hldCBNUyIgc2l6ZT0iOSI+Mzk5PC9zdHlsZT48L0Rpc3BsYXlUZXh0Pjxy
ZWNvcmQ+PHJlYy1udW1iZXI+MTg2MTwvcmVjLW51bWJlcj48Zm9yZWlnbi1rZXlzPjxrZXkgYXBw
PSJFTiIgZGItaWQ9ImV4dmFzcmZ4MmR0cmFvZXNhc3hwMnN6c3hhMmRmNTAyNTkyeCIgdGltZXN0
YW1wPSIxNTg3Nzk0MTM4Ij4xODYxPC9rZXk+PGtleSBhcHA9IkVOV2ViIiBkYi1pZD0iIj4wPC9r
ZXk+PC9mb3JlaWduLWtleXM+PHJlZi10eXBlIG5hbWU9IkpvdXJuYWwgQXJ0aWNsZSI+MTc8L3Jl
Zi10eXBlPjxjb250cmlidXRvcnM+PGF1dGhvcnM+PGF1dGhvcj5HYXJjaWEsIEEuIEguPC9hdXRo
b3I+PGF1dGhvcj5Wb29ydG1hbiwgVC48L2F1dGhvcj48YXV0aG9yPkJhZW5hLCBDLiBQLjwvYXV0
aG9yPjxhdXRob3I+Q2hvd2RodXJyeSwgUi48L2F1dGhvcj48YXV0aG9yPk11a2EsIFQuPC9hdXRo
b3I+PGF1dGhvcj5KYXNwZXJzLCBMLjwvYXV0aG9yPjxhdXRob3I+V2FybmFrdWxhLCBTLjwvYXV0
aG9yPjxhdXRob3I+VGllbGVtYW5zLCBNLiBKLjwvYXV0aG9yPjxhdXRob3I+VHJvdXAsIEouPC9h
dXRob3I+PGF1dGhvcj5CcmFtZXIsIFcuIE0uPC9hdXRob3I+PGF1dGhvcj5GcmFuY28sIE8uIEgu
PC9hdXRob3I+PGF1dGhvcj52YW4gZGVuIEhvb3ZlbiwgRS4gSC48L2F1dGhvcj48L2F1dGhvcnM+
PC9jb250cmlidXRvcnM+PGF1dGgtYWRkcmVzcz5BLkguIEdhcmNpYSwgVC4gVm9vcnRtYW4sIEMu
UC4gQmFlbmEsIFQuIE11a2EsIEwuIEphc3BlcnMsIE0uSi4gVGllbGVtYW5zLCBKLiBUcm91cCwg
Ty5ILiBGcmFuY28sIGFuZCBFLkguIHZhbiBkZW4gSG9vdmVuIGFyZSB3aXRoIHRoZSBEZXBhcnRt
ZW50IG9mIEVwaWRlbWlvbG9neSwgRXJhc211cyBNQywgVW5pdmVyc2l0eSBNZWRpY2FsIENlbnRl
ciBSb3R0ZXJkYW0sIHRoZSBOZXRoZXJsYW5kcy4gQy5QLiBCYWVuYSBpcyB3aXRoIHRoZSBQb250
aWZpY2FsIENhdGhvbGljIFVuaXZlcnNpdHkgb2YgUGFyYW5hLCBDdXJpdGliYSwgQnJhemlsLiBS
LiBDaG93ZGh1cnJ5IGFuZCBTLiBXYXJuYWt1bGEgYXJlIHdpdGggdGhlIERlcGFydG1lbnQgb2Yg
UHVibGljIEhlYWx0aCBhbmQgUHJpbWFyeSBDYXJlLCBVbml2ZXJzaXR5IG9mIENhbWJyaWRnZSwg
Q2FtYnJpZGdlLCBVbml0ZWQgS2luZ2RvbS4gVy5NLiBCcmFtZXIgaXMgd2l0aCB0aGUgTWVkaWNh
bCBMaWJyYXJ5LCBFcmFzbXVzIE1DLCBVbml2ZXJzaXR5IE1lZGljYWwgQ2VudGVyIFJvdHRlcmRh
bSwgdGhlIE5ldGhlcmxhbmRzLiYjeEQ7QS5ILiBHYXJjaWEsIFQuIFZvb3J0bWFuLCBDLlAuIEJh
ZW5hLCBULiBNdWthLCBMLiBKYXNwZXJzLCBNLkouIFRpZWxlbWFucywgSi4gVHJvdXAsIE8uSC4g
RnJhbmNvLCBhbmQgRS5ILiB2YW4gZGVuIEhvb3ZlbiBhcmUgd2l0aCB0aGUgRGVwYXJ0bWVudCBv
ZiBFcGlkZW1pb2xvZ3ksIEVyYXNtdXMgTUMsIFVuaXZlcnNpdHkgTWVkaWNhbCBDZW50ZXIgUm90
dGVyZGFtLCB0aGUgTmV0aGVybGFuZHMuIEMuUC4gQmFlbmEgaXMgd2l0aCB0aGUgUG9udGlmaWNh
bCBDYXRob2xpYyBVbml2ZXJzaXR5IG9mIFBhcmFuYSwgQ3VyaXRpYmEsIEJyYXppbC4gUi4gQ2hv
d2RodXJyeSBhbmQgUy4gV2FybmFrdWxhIGFyZSB3aXRoIHRoZSBEZXBhcnRtZW50IG9mIFB1Ymxp
YyBIZWFsdGggYW5kIFByaW1hcnkgQ2FyZSwgVW5pdmVyc2l0eSBvZiBDYW1icmlkZ2UsIENhbWJy
aWRnZSwgVW5pdGVkIEtpbmdkb20uIFcuTS4gQnJhbWVyIGlzIHdpdGggdGhlIE1lZGljYWwgTGli
cmFyeSwgRXJhc211cyBNQywgVW5pdmVyc2l0eSBNZWRpY2FsIENlbnRlciBSb3R0ZXJkYW0sIHRo
ZSBOZXRoZXJsYW5kcy4gdHJ1ZHkudm9vcnRtYW5AZXJhc211c21jLm5sLjwvYXV0aC1hZGRyZXNz
Pjx0aXRsZXM+PHRpdGxlPk1hdGVybmFsIHdlaWdodCBzdGF0dXMsIGRpZXQsIGFuZCBzdXBwbGVt
ZW50IHVzZSBhcyBkZXRlcm1pbmFudHMgb2YgYnJlYXN0ZmVlZGluZyBhbmQgY29tcGxlbWVudGFy
eSBmZWVkaW5nOiBhIHN5c3RlbWF0aWMgcmV2aWV3IGFuZCBtZXRhLWFuYWx5c2lzPC90aXRsZT48
c2Vjb25kYXJ5LXRpdGxlPk51dHIgUmV2PC9zZWNvbmRhcnktdGl0bGU+PC90aXRsZXM+PHBlcmlv
ZGljYWw+PGZ1bGwtdGl0bGU+TnV0ciBSZXY8L2Z1bGwtdGl0bGU+PC9wZXJpb2RpY2FsPjxwYWdl
cz40OTAtNTE2PC9wYWdlcz48dm9sdW1lPjc0PC92b2x1bWU+PG51bWJlcj44PC9udW1iZXI+PGVk
aXRpb24+MjAxNi8wNi8yMzwvZWRpdGlvbj48a2V5d29yZHM+PGtleXdvcmQ+Qm9keSBNYXNzIElu
ZGV4PC9rZXl3b3JkPjxrZXl3b3JkPipCb2R5IFdlaWdodDwva2V5d29yZD48a2V5d29yZD5CcmVh
c3QgRmVlZGluZy8qc3RhdGlzdGljcyAmYW1wOyBudW1lcmljYWwgZGF0YTwva2V5d29yZD48a2V5
d29yZD5Db2hvcnQgU3R1ZGllczwva2V5d29yZD48a2V5d29yZD4qRGlldDwva2V5d29yZD48a2V5
d29yZD4qRGlldGFyeSBTdXBwbGVtZW50czwva2V5d29yZD48a2V5d29yZD5GZW1hbGU8L2tleXdv
cmQ+PGtleXdvcmQ+SHVtYW5zPC9rZXl3b3JkPjxrZXl3b3JkPkluZmFudDwva2V5d29yZD48a2V5
d29yZD4qSW5mYW50IE51dHJpdGlvbmFsIFBoeXNpb2xvZ2ljYWwgUGhlbm9tZW5hPC9rZXl3b3Jk
PjxrZXl3b3JkPkxhY3RhdGlvbjwva2V5d29yZD48a2V5d29yZD5NZWRsaW5lPC9rZXl3b3JkPjxr
ZXl3b3JkPk9iZXNpdHkvY29tcGxpY2F0aW9uczwva2V5d29yZD48a2V5d29yZD5PZGRzIFJhdGlv
PC9rZXl3b3JkPjxrZXl3b3JkPlByZWduYW5jeTwva2V5d29yZD48a2V5d29yZD4qYnJlYXN0ZmVl
ZGluZzwva2V5d29yZD48a2V5d29yZD4qY29tcGxlbWVudGFyeSBmZWVkaW5nPC9rZXl3b3JkPjxr
ZXl3b3JkPiptZXRhLWFuYWx5c2lzPC9rZXl3b3JkPjxrZXl3b3JkPipzeXN0ZW1hdGljIHJldmll
dzwva2V5d29yZD48a2V5d29yZD4qd2VpZ2h0IHN0YXR1cy48L2tleXdvcmQ+PC9rZXl3b3Jkcz48
ZGF0ZXM+PHllYXI+MjAxNjwveWVhcj48cHViLWRhdGVzPjxkYXRlPkF1ZzwvZGF0ZT48L3B1Yi1k
YXRlcz48L2RhdGVzPjxpc2JuPjE3NTMtNDg4NyAoRWxlY3Ryb25pYykmI3hEOzAwMjktNjY0MyAo
TGlua2luZyk8L2lzYm4+PGFjY2Vzc2lvbi1udW0+MjczMzAxNDM8L2FjY2Vzc2lvbi1udW0+PHVy
bHM+PHJlbGF0ZWQtdXJscz48dXJsPmh0dHBzOi8vd3d3Lm5jYmkubmxtLm5paC5nb3YvcHVibWVk
LzI3MzMwMTQzPC91cmw+PC9yZWxhdGVkLXVybHM+PC91cmxzPjxlbGVjdHJvbmljLXJlc291cmNl
LW51bT4xMC4xMDkzL251dHJpdC9udXcwMTY8L2VsZWN0cm9uaWMtcmVzb3VyY2UtbnVtPjwvcmVj
b3JkPjwvQ2l0ZT48L0VuZE5vdGU+AG==
</w:fldData>
              </w:fldChar>
            </w:r>
            <w:r w:rsidR="002747EA">
              <w:instrText xml:space="preserve"> ADDIN EN.CITE </w:instrText>
            </w:r>
            <w:r w:rsidR="002747EA">
              <w:fldChar w:fldCharType="begin">
                <w:fldData xml:space="preserve">PEVuZE5vdGU+PENpdGU+PEF1dGhvcj5HYXJjaWE8L0F1dGhvcj48WWVhcj4yMDE2PC9ZZWFyPjxS
ZWNOdW0+MTg2MTwvUmVjTnVtPjxEaXNwbGF5VGV4dD48c3R5bGUgZmFjZT0ic3VwZXJzY3JpcHQi
IGZvbnQ9IlRyZWJ1Y2hldCBNUyIgc2l6ZT0iOSI+Mzk5PC9zdHlsZT48L0Rpc3BsYXlUZXh0Pjxy
ZWNvcmQ+PHJlYy1udW1iZXI+MTg2MTwvcmVjLW51bWJlcj48Zm9yZWlnbi1rZXlzPjxrZXkgYXBw
PSJFTiIgZGItaWQ9ImV4dmFzcmZ4MmR0cmFvZXNhc3hwMnN6c3hhMmRmNTAyNTkyeCIgdGltZXN0
YW1wPSIxNTg3Nzk0MTM4Ij4xODYxPC9rZXk+PGtleSBhcHA9IkVOV2ViIiBkYi1pZD0iIj4wPC9r
ZXk+PC9mb3JlaWduLWtleXM+PHJlZi10eXBlIG5hbWU9IkpvdXJuYWwgQXJ0aWNsZSI+MTc8L3Jl
Zi10eXBlPjxjb250cmlidXRvcnM+PGF1dGhvcnM+PGF1dGhvcj5HYXJjaWEsIEEuIEguPC9hdXRo
b3I+PGF1dGhvcj5Wb29ydG1hbiwgVC48L2F1dGhvcj48YXV0aG9yPkJhZW5hLCBDLiBQLjwvYXV0
aG9yPjxhdXRob3I+Q2hvd2RodXJyeSwgUi48L2F1dGhvcj48YXV0aG9yPk11a2EsIFQuPC9hdXRo
b3I+PGF1dGhvcj5KYXNwZXJzLCBMLjwvYXV0aG9yPjxhdXRob3I+V2FybmFrdWxhLCBTLjwvYXV0
aG9yPjxhdXRob3I+VGllbGVtYW5zLCBNLiBKLjwvYXV0aG9yPjxhdXRob3I+VHJvdXAsIEouPC9h
dXRob3I+PGF1dGhvcj5CcmFtZXIsIFcuIE0uPC9hdXRob3I+PGF1dGhvcj5GcmFuY28sIE8uIEgu
PC9hdXRob3I+PGF1dGhvcj52YW4gZGVuIEhvb3ZlbiwgRS4gSC48L2F1dGhvcj48L2F1dGhvcnM+
PC9jb250cmlidXRvcnM+PGF1dGgtYWRkcmVzcz5BLkguIEdhcmNpYSwgVC4gVm9vcnRtYW4sIEMu
UC4gQmFlbmEsIFQuIE11a2EsIEwuIEphc3BlcnMsIE0uSi4gVGllbGVtYW5zLCBKLiBUcm91cCwg
Ty5ILiBGcmFuY28sIGFuZCBFLkguIHZhbiBkZW4gSG9vdmVuIGFyZSB3aXRoIHRoZSBEZXBhcnRt
ZW50IG9mIEVwaWRlbWlvbG9neSwgRXJhc211cyBNQywgVW5pdmVyc2l0eSBNZWRpY2FsIENlbnRl
ciBSb3R0ZXJkYW0sIHRoZSBOZXRoZXJsYW5kcy4gQy5QLiBCYWVuYSBpcyB3aXRoIHRoZSBQb250
aWZpY2FsIENhdGhvbGljIFVuaXZlcnNpdHkgb2YgUGFyYW5hLCBDdXJpdGliYSwgQnJhemlsLiBS
LiBDaG93ZGh1cnJ5IGFuZCBTLiBXYXJuYWt1bGEgYXJlIHdpdGggdGhlIERlcGFydG1lbnQgb2Yg
UHVibGljIEhlYWx0aCBhbmQgUHJpbWFyeSBDYXJlLCBVbml2ZXJzaXR5IG9mIENhbWJyaWRnZSwg
Q2FtYnJpZGdlLCBVbml0ZWQgS2luZ2RvbS4gVy5NLiBCcmFtZXIgaXMgd2l0aCB0aGUgTWVkaWNh
bCBMaWJyYXJ5LCBFcmFzbXVzIE1DLCBVbml2ZXJzaXR5IE1lZGljYWwgQ2VudGVyIFJvdHRlcmRh
bSwgdGhlIE5ldGhlcmxhbmRzLiYjeEQ7QS5ILiBHYXJjaWEsIFQuIFZvb3J0bWFuLCBDLlAuIEJh
ZW5hLCBULiBNdWthLCBMLiBKYXNwZXJzLCBNLkouIFRpZWxlbWFucywgSi4gVHJvdXAsIE8uSC4g
RnJhbmNvLCBhbmQgRS5ILiB2YW4gZGVuIEhvb3ZlbiBhcmUgd2l0aCB0aGUgRGVwYXJ0bWVudCBv
ZiBFcGlkZW1pb2xvZ3ksIEVyYXNtdXMgTUMsIFVuaXZlcnNpdHkgTWVkaWNhbCBDZW50ZXIgUm90
dGVyZGFtLCB0aGUgTmV0aGVybGFuZHMuIEMuUC4gQmFlbmEgaXMgd2l0aCB0aGUgUG9udGlmaWNh
bCBDYXRob2xpYyBVbml2ZXJzaXR5IG9mIFBhcmFuYSwgQ3VyaXRpYmEsIEJyYXppbC4gUi4gQ2hv
d2RodXJyeSBhbmQgUy4gV2FybmFrdWxhIGFyZSB3aXRoIHRoZSBEZXBhcnRtZW50IG9mIFB1Ymxp
YyBIZWFsdGggYW5kIFByaW1hcnkgQ2FyZSwgVW5pdmVyc2l0eSBvZiBDYW1icmlkZ2UsIENhbWJy
aWRnZSwgVW5pdGVkIEtpbmdkb20uIFcuTS4gQnJhbWVyIGlzIHdpdGggdGhlIE1lZGljYWwgTGli
cmFyeSwgRXJhc211cyBNQywgVW5pdmVyc2l0eSBNZWRpY2FsIENlbnRlciBSb3R0ZXJkYW0sIHRo
ZSBOZXRoZXJsYW5kcy4gdHJ1ZHkudm9vcnRtYW5AZXJhc211c21jLm5sLjwvYXV0aC1hZGRyZXNz
Pjx0aXRsZXM+PHRpdGxlPk1hdGVybmFsIHdlaWdodCBzdGF0dXMsIGRpZXQsIGFuZCBzdXBwbGVt
ZW50IHVzZSBhcyBkZXRlcm1pbmFudHMgb2YgYnJlYXN0ZmVlZGluZyBhbmQgY29tcGxlbWVudGFy
eSBmZWVkaW5nOiBhIHN5c3RlbWF0aWMgcmV2aWV3IGFuZCBtZXRhLWFuYWx5c2lzPC90aXRsZT48
c2Vjb25kYXJ5LXRpdGxlPk51dHIgUmV2PC9zZWNvbmRhcnktdGl0bGU+PC90aXRsZXM+PHBlcmlv
ZGljYWw+PGZ1bGwtdGl0bGU+TnV0ciBSZXY8L2Z1bGwtdGl0bGU+PC9wZXJpb2RpY2FsPjxwYWdl
cz40OTAtNTE2PC9wYWdlcz48dm9sdW1lPjc0PC92b2x1bWU+PG51bWJlcj44PC9udW1iZXI+PGVk
aXRpb24+MjAxNi8wNi8yMzwvZWRpdGlvbj48a2V5d29yZHM+PGtleXdvcmQ+Qm9keSBNYXNzIElu
ZGV4PC9rZXl3b3JkPjxrZXl3b3JkPipCb2R5IFdlaWdodDwva2V5d29yZD48a2V5d29yZD5CcmVh
c3QgRmVlZGluZy8qc3RhdGlzdGljcyAmYW1wOyBudW1lcmljYWwgZGF0YTwva2V5d29yZD48a2V5
d29yZD5Db2hvcnQgU3R1ZGllczwva2V5d29yZD48a2V5d29yZD4qRGlldDwva2V5d29yZD48a2V5
d29yZD4qRGlldGFyeSBTdXBwbGVtZW50czwva2V5d29yZD48a2V5d29yZD5GZW1hbGU8L2tleXdv
cmQ+PGtleXdvcmQ+SHVtYW5zPC9rZXl3b3JkPjxrZXl3b3JkPkluZmFudDwva2V5d29yZD48a2V5
d29yZD4qSW5mYW50IE51dHJpdGlvbmFsIFBoeXNpb2xvZ2ljYWwgUGhlbm9tZW5hPC9rZXl3b3Jk
PjxrZXl3b3JkPkxhY3RhdGlvbjwva2V5d29yZD48a2V5d29yZD5NZWRsaW5lPC9rZXl3b3JkPjxr
ZXl3b3JkPk9iZXNpdHkvY29tcGxpY2F0aW9uczwva2V5d29yZD48a2V5d29yZD5PZGRzIFJhdGlv
PC9rZXl3b3JkPjxrZXl3b3JkPlByZWduYW5jeTwva2V5d29yZD48a2V5d29yZD4qYnJlYXN0ZmVl
ZGluZzwva2V5d29yZD48a2V5d29yZD4qY29tcGxlbWVudGFyeSBmZWVkaW5nPC9rZXl3b3JkPjxr
ZXl3b3JkPiptZXRhLWFuYWx5c2lzPC9rZXl3b3JkPjxrZXl3b3JkPipzeXN0ZW1hdGljIHJldmll
dzwva2V5d29yZD48a2V5d29yZD4qd2VpZ2h0IHN0YXR1cy48L2tleXdvcmQ+PC9rZXl3b3Jkcz48
ZGF0ZXM+PHllYXI+MjAxNjwveWVhcj48cHViLWRhdGVzPjxkYXRlPkF1ZzwvZGF0ZT48L3B1Yi1k
YXRlcz48L2RhdGVzPjxpc2JuPjE3NTMtNDg4NyAoRWxlY3Ryb25pYykmI3hEOzAwMjktNjY0MyAo
TGlua2luZyk8L2lzYm4+PGFjY2Vzc2lvbi1udW0+MjczMzAxNDM8L2FjY2Vzc2lvbi1udW0+PHVy
bHM+PHJlbGF0ZWQtdXJscz48dXJsPmh0dHBzOi8vd3d3Lm5jYmkubmxtLm5paC5nb3YvcHVibWVk
LzI3MzMwMTQzPC91cmw+PC9yZWxhdGVkLXVybHM+PC91cmxzPjxlbGVjdHJvbmljLXJlc291cmNl
LW51bT4xMC4xMDkzL251dHJpdC9udXcwMTY8L2VsZWN0cm9uaWMtcmVzb3VyY2UtbnVtPjwvcmVj
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399</w:t>
            </w:r>
            <w:r w:rsidR="00D07346">
              <w:fldChar w:fldCharType="end"/>
            </w:r>
          </w:p>
        </w:tc>
        <w:tc>
          <w:tcPr>
            <w:tcW w:w="1701" w:type="dxa"/>
            <w:tcBorders>
              <w:top w:val="single" w:sz="4" w:space="0" w:color="auto"/>
              <w:left w:val="single" w:sz="4" w:space="0" w:color="auto"/>
              <w:bottom w:val="single" w:sz="4" w:space="0" w:color="auto"/>
              <w:right w:val="single" w:sz="4" w:space="0" w:color="auto"/>
            </w:tcBorders>
          </w:tcPr>
          <w:p w14:paraId="0A25C9FA" w14:textId="521C63BA" w:rsidR="00987DDA" w:rsidRDefault="005A7CAB" w:rsidP="009F491F">
            <w:r>
              <w:t>81 studies</w:t>
            </w:r>
          </w:p>
        </w:tc>
        <w:tc>
          <w:tcPr>
            <w:tcW w:w="4252" w:type="dxa"/>
            <w:tcBorders>
              <w:top w:val="single" w:sz="4" w:space="0" w:color="auto"/>
              <w:left w:val="single" w:sz="4" w:space="0" w:color="auto"/>
              <w:bottom w:val="single" w:sz="4" w:space="0" w:color="auto"/>
              <w:right w:val="single" w:sz="4" w:space="0" w:color="auto"/>
            </w:tcBorders>
          </w:tcPr>
          <w:p w14:paraId="3AEA78DE" w14:textId="77777777" w:rsidR="005A7CAB" w:rsidRDefault="005A7CAB" w:rsidP="005A7CAB">
            <w:r w:rsidRPr="008E1F6E">
              <w:rPr>
                <w:b/>
              </w:rPr>
              <w:t>Aim</w:t>
            </w:r>
            <w:r>
              <w:t>: T</w:t>
            </w:r>
            <w:r w:rsidRPr="00987DDA">
              <w:t xml:space="preserve">o examine the associations between maternal weight status or dietary characteristics and breastfeeding or complementary feeding. </w:t>
            </w:r>
          </w:p>
          <w:p w14:paraId="66C23151" w14:textId="5E0071D8" w:rsidR="00987DDA" w:rsidRPr="00987DDA" w:rsidRDefault="005A7CAB" w:rsidP="005A7CAB">
            <w:pPr>
              <w:rPr>
                <w:b/>
              </w:rPr>
            </w:pPr>
            <w:r w:rsidRPr="008E1F6E">
              <w:rPr>
                <w:b/>
              </w:rPr>
              <w:t>Methods</w:t>
            </w:r>
            <w:r w:rsidRPr="00987DDA">
              <w:t xml:space="preserve">: A systematic literature search of the Embase, Cochrane Library, Google Scholar, MEDLINE, PubMed, and Web of Science databases was performed. Interventional and cohort studies in healthy mothers and infants that reported on maternal weight status, diet, or supplement use were selected. Outcomes assessed included delayed onset of lactogenesis; initiation, exclusivity, duration, and cessation of breastfeeding; and timing of complementary feeding. </w:t>
            </w:r>
          </w:p>
        </w:tc>
        <w:tc>
          <w:tcPr>
            <w:tcW w:w="4394" w:type="dxa"/>
            <w:tcBorders>
              <w:top w:val="single" w:sz="4" w:space="0" w:color="auto"/>
              <w:left w:val="single" w:sz="4" w:space="0" w:color="auto"/>
              <w:bottom w:val="single" w:sz="4" w:space="0" w:color="auto"/>
              <w:right w:val="single" w:sz="4" w:space="0" w:color="auto"/>
            </w:tcBorders>
          </w:tcPr>
          <w:p w14:paraId="7A4E5D43" w14:textId="0B046504" w:rsidR="005A7CAB" w:rsidRDefault="005A7CAB" w:rsidP="005A7CAB">
            <w:r>
              <w:t>Compared to women of healthy weight, o</w:t>
            </w:r>
            <w:r w:rsidR="00987DDA" w:rsidRPr="00987DDA">
              <w:t>bese women had</w:t>
            </w:r>
            <w:r>
              <w:t xml:space="preserve"> increased risk of:</w:t>
            </w:r>
            <w:r w:rsidR="00987DDA" w:rsidRPr="00987DDA">
              <w:t xml:space="preserve"> </w:t>
            </w:r>
          </w:p>
          <w:p w14:paraId="42A3FAC8" w14:textId="23B95208" w:rsidR="005A7CAB" w:rsidRDefault="00A848C9" w:rsidP="008E1F6E">
            <w:pPr>
              <w:pStyle w:val="bullet"/>
            </w:pPr>
            <w:r>
              <w:t>not initiating</w:t>
            </w:r>
            <w:r w:rsidR="00987DDA" w:rsidRPr="00987DDA">
              <w:t xml:space="preserve"> breastfeeding</w:t>
            </w:r>
            <w:r w:rsidR="005A7CAB">
              <w:t>: RR 1.23; 95%CI</w:t>
            </w:r>
            <w:r w:rsidR="00987DDA" w:rsidRPr="00987DDA">
              <w:t xml:space="preserve"> 1.03</w:t>
            </w:r>
            <w:r w:rsidR="005A7CAB">
              <w:t xml:space="preserve"> to </w:t>
            </w:r>
            <w:r w:rsidR="00987DDA" w:rsidRPr="00987DDA">
              <w:t xml:space="preserve">1.47 </w:t>
            </w:r>
          </w:p>
          <w:p w14:paraId="16048078" w14:textId="344A796D" w:rsidR="005A7CAB" w:rsidRDefault="00987DDA" w:rsidP="008E1F6E">
            <w:pPr>
              <w:pStyle w:val="bullet"/>
            </w:pPr>
            <w:r w:rsidRPr="00987DDA">
              <w:t>delayed onset of lact</w:t>
            </w:r>
            <w:r w:rsidR="005A7CAB">
              <w:t>ogenesis: RR 2.06; 95%CI</w:t>
            </w:r>
            <w:r w:rsidRPr="00987DDA">
              <w:t xml:space="preserve"> 1.18</w:t>
            </w:r>
            <w:r w:rsidR="005A7CAB">
              <w:t xml:space="preserve"> to 3.61</w:t>
            </w:r>
            <w:r w:rsidRPr="00987DDA">
              <w:t xml:space="preserve"> </w:t>
            </w:r>
          </w:p>
          <w:p w14:paraId="42EAE4CA" w14:textId="51D9BBAB" w:rsidR="00987DDA" w:rsidRPr="005A7CAB" w:rsidRDefault="00987DDA" w:rsidP="005A7CAB">
            <w:r w:rsidRPr="00987DDA">
              <w:t xml:space="preserve">The RR for breastfeeding cessation was 1.11 (95%CI, 1.07-1.15) per increase in category of body mass index. </w:t>
            </w:r>
          </w:p>
        </w:tc>
        <w:tc>
          <w:tcPr>
            <w:tcW w:w="2411" w:type="dxa"/>
            <w:tcBorders>
              <w:top w:val="single" w:sz="4" w:space="0" w:color="auto"/>
              <w:left w:val="single" w:sz="4" w:space="0" w:color="auto"/>
              <w:bottom w:val="single" w:sz="4" w:space="0" w:color="auto"/>
              <w:right w:val="single" w:sz="4" w:space="0" w:color="auto"/>
            </w:tcBorders>
          </w:tcPr>
          <w:p w14:paraId="4857F698" w14:textId="77777777" w:rsidR="00987DDA" w:rsidRDefault="00987DDA" w:rsidP="009F491F"/>
        </w:tc>
      </w:tr>
    </w:tbl>
    <w:p w14:paraId="192C0D93" w14:textId="035FF485" w:rsidR="00E70A06" w:rsidRPr="00823E0B" w:rsidRDefault="00E70A06" w:rsidP="00823E0B"/>
    <w:p w14:paraId="652FBF86" w14:textId="77777777" w:rsidR="00547B63" w:rsidRDefault="00547B63" w:rsidP="00EB5EA9">
      <w:pPr>
        <w:pStyle w:val="Heading3"/>
        <w:rPr>
          <w:lang w:val="en"/>
        </w:rPr>
        <w:sectPr w:rsidR="00547B63" w:rsidSect="00BD61CC">
          <w:pgSz w:w="16820" w:h="11900" w:orient="landscape"/>
          <w:pgMar w:top="1418" w:right="1134" w:bottom="1418" w:left="1134" w:header="709" w:footer="709" w:gutter="0"/>
          <w:cols w:space="708"/>
          <w:docGrid w:linePitch="360"/>
        </w:sectPr>
      </w:pPr>
      <w:bookmarkStart w:id="201" w:name="_Toc523732036"/>
      <w:bookmarkEnd w:id="201"/>
    </w:p>
    <w:p w14:paraId="322F276A" w14:textId="5BAFE9CB" w:rsidR="008364A7" w:rsidRDefault="008364A7" w:rsidP="002D04CE">
      <w:pPr>
        <w:pStyle w:val="Heading1"/>
      </w:pPr>
      <w:bookmarkStart w:id="202" w:name="_Toc40956542"/>
      <w:r>
        <w:t>Interventions</w:t>
      </w:r>
      <w:r w:rsidR="00CB0370">
        <w:t xml:space="preserve"> to prevent excessive weight gain in pregnancy</w:t>
      </w:r>
      <w:bookmarkEnd w:id="202"/>
    </w:p>
    <w:p w14:paraId="1419C30F" w14:textId="224FC8CE" w:rsidR="00823E0B" w:rsidRDefault="00823E0B" w:rsidP="00823E0B">
      <w:pPr>
        <w:pStyle w:val="Heading2"/>
      </w:pPr>
      <w:bookmarkStart w:id="203" w:name="_Toc40956543"/>
      <w:r w:rsidRPr="00EB5EA9">
        <w:rPr>
          <w:b/>
        </w:rPr>
        <w:t>Q</w:t>
      </w:r>
      <w:r w:rsidR="007D30D7">
        <w:rPr>
          <w:b/>
        </w:rPr>
        <w:t>9</w:t>
      </w:r>
      <w:r>
        <w:t>: What lifestyle interventions are effective in preventing excessive weight gain</w:t>
      </w:r>
      <w:r w:rsidR="00180846">
        <w:t xml:space="preserve"> and other adverse outcomes</w:t>
      </w:r>
      <w:r>
        <w:t xml:space="preserve"> in pregnant women</w:t>
      </w:r>
      <w:r w:rsidRPr="00B432DA">
        <w:t>?</w:t>
      </w:r>
      <w:bookmarkEnd w:id="203"/>
    </w:p>
    <w:p w14:paraId="63570485" w14:textId="4638AAA9" w:rsidR="00281A5B" w:rsidRDefault="00281A5B" w:rsidP="007D30D7">
      <w:pPr>
        <w:pStyle w:val="Heading3"/>
      </w:pPr>
      <w:bookmarkStart w:id="204" w:name="_Toc40956544"/>
      <w:bookmarkStart w:id="205" w:name="_Ref528570849"/>
      <w:r>
        <w:t>Diet</w:t>
      </w:r>
      <w:r w:rsidR="00FD4EBE">
        <w:t>ary</w:t>
      </w:r>
      <w:r>
        <w:t xml:space="preserve"> interventions</w:t>
      </w:r>
      <w:bookmarkEnd w:id="204"/>
      <w:r w:rsidR="005920D0">
        <w:t xml:space="preserve"> </w:t>
      </w:r>
      <w:bookmarkEnd w:id="205"/>
    </w:p>
    <w:p w14:paraId="6854C67D" w14:textId="63C9591F" w:rsidR="00FD4EBE" w:rsidRDefault="00FD4EBE" w:rsidP="00FD4EBE">
      <w:pPr>
        <w:pStyle w:val="Heading4"/>
      </w:pPr>
      <w:r>
        <w:t>Types of study</w:t>
      </w:r>
    </w:p>
    <w:p w14:paraId="70C8D700" w14:textId="6776BEAB" w:rsidR="005132AA" w:rsidRDefault="005132AA" w:rsidP="005132AA">
      <w:r>
        <w:t xml:space="preserve">The review included 7 studies reported in </w:t>
      </w:r>
      <w:r w:rsidR="0091411D">
        <w:t>9</w:t>
      </w:r>
      <w:r w:rsidR="00CF44AD">
        <w:t xml:space="preserve"> papers and including </w:t>
      </w:r>
      <w:r w:rsidR="001048CC">
        <w:t>1,664 women. Study populations were heterogeneous and included women of mixed risk,</w:t>
      </w:r>
      <w:r w:rsidR="001048CC">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EN.CITE.DATA </w:instrText>
      </w:r>
      <w:r w:rsidR="002747EA">
        <w:fldChar w:fldCharType="end"/>
      </w:r>
      <w:r w:rsidR="001048CC">
        <w:fldChar w:fldCharType="separate"/>
      </w:r>
      <w:r w:rsidR="002747EA" w:rsidRPr="002747EA">
        <w:rPr>
          <w:noProof/>
          <w:vertAlign w:val="superscript"/>
        </w:rPr>
        <w:t>400</w:t>
      </w:r>
      <w:r w:rsidR="001048CC">
        <w:fldChar w:fldCharType="end"/>
      </w:r>
      <w:r w:rsidR="001048CC">
        <w:t xml:space="preserve"> women at low risk,</w:t>
      </w:r>
      <w:r w:rsidR="001048CC">
        <w:fldChar w:fldCharType="begin">
          <w:fldData xml:space="preserve">PEVuZE5vdGU+PENpdGU+PEF1dGhvcj5EaSBDYXJsbzwvQXV0aG9yPjxZZWFyPjIwMTQ8L1llYXI+
PFJlY051bT4xMzg3PC9SZWNOdW0+PERpc3BsYXlUZXh0PjxzdHlsZSBmYWNlPSJzdXBlcnNjcmlw
dCIgZm9udD0iVHJlYnVjaGV0IE1TIiBzaXplPSI5Ij4yNDAsNDAxPC9zdHlsZT48L0Rpc3BsYXlU
ZXh0PjxyZWNvcmQ+PHJlYy1udW1iZXI+MTM4NzwvcmVjLW51bWJlcj48Zm9yZWlnbi1rZXlzPjxr
ZXkgYXBwPSJFTiIgZGItaWQ9ImV4dmFzcmZ4MmR0cmFvZXNhc3hwMnN6c3hhMmRmNTAyNTkyeCIg
dGltZXN0YW1wPSIxNTY3NjYxNTY4Ij4xMzg3PC9rZXk+PGtleSBhcHA9IkVOV2ViIiBkYi1pZD0i
Ij4wPC9rZXk+PC9mb3JlaWduLWtleXM+PHJlZi10eXBlIG5hbWU9IkpvdXJuYWwgQXJ0aWNsZSI+
MTc8L3JlZi10eXBlPjxjb250cmlidXRvcnM+PGF1dGhvcnM+PGF1dGhvcj5EaSBDYXJsbywgQy4s
PC9hdXRob3I+PGF1dGhvcj5JYW5ub3R0aSwgRy4sPC9hdXRob3I+PGF1dGhvcj5TcGFyaWNlLCBT
Liw8L2F1dGhvcj48YXV0aG9yPkNoaWFjY2hpbywgTS5QLiw8L2F1dGhvcj48YXV0aG9yPkdyZWNv
LCBFLiw8L2F1dGhvcj48YXV0aG9yPlRvbW1hc2VsbGksIEcuQS4sPC9hdXRob3I+PGF1dGhvcj5O
YXBwaSwgQy4sPC9hdXRob3I+PC9hdXRob3JzPjwvY29udHJpYnV0b3JzPjx0aXRsZXM+PHRpdGxl
PlRoZSByb2xlIG9mIGEgcGVyc29uYWxpemVkIGRpZXRhcnkgaW50ZXJ2ZW50aW9uIGluIG1hbmFn
aW5nIGdlc3RhdGlvbmFsIHdlaWdodCBnYWluOiBhIHByb3NwZWN0aXZlLCBjb250cm9sbGVkIHN0
dWR5IGluIGEgbG93LXJpc2sgYW50ZW5hdGFsIHBvcHVsYXRpb248L3RpdGxlPjxzZWNvbmRhcnkt
dGl0bGU+QXJjaCBHeW5lY29sIE9ic3RldDwvc2Vjb25kYXJ5LXRpdGxlPjwvdGl0bGVzPjxwZXJp
b2RpY2FsPjxmdWxsLXRpdGxlPkFyY2ggR3luZWNvbCBPYnN0ZXQ8L2Z1bGwtdGl0bGU+PC9wZXJp
b2RpY2FsPjxwYWdlcz43NjUtNzA8L3BhZ2VzPjx2b2x1bWU+Mjg5PC92b2x1bWU+PG51bWJlcj40
PC9udW1iZXI+PHNlY3Rpb24+NzY1PC9zZWN0aW9uPjxkYXRlcz48eWVhcj4yMDE0PC95ZWFyPjwv
ZGF0ZXM+PGlzYm4+MDkzMi0wMDY3JiN4RDsxNDMyLTA3MTE8L2lzYm4+PHVybHM+PC91cmxzPjxl
bGVjdHJvbmljLXJlc291cmNlLW51bT4xMC4xMDA3L3MwMDQwNC0wMTMtMzA1NC15PC9lbGVjdHJv
bmljLXJlc291cmNlLW51bT48L3JlY29yZD48L0NpdGU+PENpdGU+PEF1dGhvcj5MYWl0aW5lbjwv
QXV0aG9yPjxZZWFyPjIwMDk8L1llYXI+PFJlY051bT4xMTQ4PC9SZWNOdW0+PHJlY29yZD48cmVj
LW51bWJlcj4xMTQ4PC9yZWMtbnVtYmVyPjxmb3JlaWduLWtleXM+PGtleSBhcHA9IkVOIiBkYi1p
ZD0iZXh2YXNyZngyZHRyYW9lc2FzeHAyc3pzeGEyZGY1MDI1OTJ4IiB0aW1lc3RhbXA9IjE1NTU1
NjY4MTYiPjExNDg8L2tleT48a2V5IGFwcD0iRU5XZWIiIGRiLWlkPSIiPjA8L2tleT48L2ZvcmVp
Z24ta2V5cz48cmVmLXR5cGUgbmFtZT0iSm91cm5hbCBBcnRpY2xlIj4xNzwvcmVmLXR5cGU+PGNv
bnRyaWJ1dG9ycz48YXV0aG9ycz48YXV0aG9yPkxhaXRpbmVuLCBLLjwvYXV0aG9yPjxhdXRob3I+
UG91c3NhLCBULjwvYXV0aG9yPjxhdXRob3I+SXNvbGF1cmksIEUuPC9hdXRob3I+PGF1dGhvcj5O
dXRyaXRpb24sIEFsbGVyZ3kgTXVjb3NhbCBJbW11bm9sb2d5PC9hdXRob3I+PGF1dGhvcj5JbnRl
c3RpbmFsIE1pY3JvYmlvdGEsIEdyb3VwPC9hdXRob3I+PC9hdXRob3JzPjwvY29udHJpYnV0b3Jz
PjxhdXRoLWFkZHJlc3M+RGVwYXJ0bWVudCBvZiBCaW9jaGVtaXN0cnkgYW5kIEZvb2QgQ2hlbWlz
dHJ5LCBVbml2ZXJzaXR5IG9mIFR1cmt1LCAyMDAxNCBUdXJrdSwgRmlubGFuZC4ga2lyc2kubGFp
dGluZW5AdXR1LmZpPC9hdXRoLWFkZHJlc3M+PHRpdGxlcz48dGl0bGU+UHJvYmlvdGljcyBhbmQg
ZGlldGFyeSBjb3Vuc2VsbGluZyBjb250cmlidXRlIHRvIGdsdWNvc2UgcmVndWxhdGlvbiBkdXJp
bmcgYW5kIGFmdGVyIHByZWduYW5jeTogYSByYW5kb21pc2VkIGNvbnRyb2xsZWQgdHJpYWw8L3Rp
dGxlPjxzZWNvbmRhcnktdGl0bGU+QnIgSiBOdXRyPC9zZWNvbmRhcnktdGl0bGU+PC90aXRsZXM+
PHBlcmlvZGljYWw+PGZ1bGwtdGl0bGU+QnIgSiBOdXRyPC9mdWxsLXRpdGxlPjwvcGVyaW9kaWNh
bD48cGFnZXM+MTY3OS04NzwvcGFnZXM+PHZvbHVtZT4xMDE8L3ZvbHVtZT48bnVtYmVyPjExPC9u
dW1iZXI+PGVkaXRpb24+MjAwOC8xMS8yMDwvZWRpdGlvbj48a2V5d29yZHM+PGtleXdvcmQ+QWR1
bHQ8L2tleXdvcmQ+PGtleXdvcmQ+Qmxvb2QgR2x1Y29zZS8qbWV0YWJvbGlzbTwva2V5d29yZD48
a2V5d29yZD5Db3Vuc2VsaW5nPC9rZXl3b3JkPjxrZXl3b3JkPipEaWV0PC9rZXl3b3JkPjxrZXl3
b3JkPkVuZXJneSBJbnRha2UvcGh5c2lvbG9neTwva2V5d29yZD48a2V5d29yZD5GZW1hbGU8L2tl
eXdvcmQ+PGtleXdvcmQ+SHVtYW5zPC9rZXl3b3JkPjxrZXl3b3JkPkluc3VsaW4vYmxvb2Q8L2tl
eXdvcmQ+PGtleXdvcmQ+SW5zdWxpbiBSZXNpc3RhbmNlL3BoeXNpb2xvZ3k8L2tleXdvcmQ+PGtl
eXdvcmQ+TWF0ZXJuYWwgTnV0cml0aW9uYWwgUGh5c2lvbG9naWNhbCBQaGVub21lbmEvKnBoeXNp
b2xvZ3k8L2tleXdvcmQ+PGtleXdvcmQ+UG9zdHBhcnR1bSBQZXJpb2QvYmxvb2Q8L2tleXdvcmQ+
PGtleXdvcmQ+UHJlZ25hbmN5LypibG9vZDwva2V5d29yZD48a2V5d29yZD4qUHJvYmlvdGljczwv
a2V5d29yZD48a2V5d29yZD5Qcm9zcGVjdGl2ZSBTdHVkaWVzPC9rZXl3b3JkPjxrZXl3b3JkPllv
dW5nIEFkdWx0PC9rZXl3b3JkPjwva2V5d29yZHM+PGRhdGVzPjx5ZWFyPjIwMDk8L3llYXI+PHB1
Yi1kYXRlcz48ZGF0ZT5KdW48L2RhdGU+PC9wdWItZGF0ZXM+PC9kYXRlcz48aXNibj4xNDc1LTI2
NjIgKEVsZWN0cm9uaWMpJiN4RDswMDA3LTExNDUgKExpbmtpbmcpPC9pc2JuPjxhY2Nlc3Npb24t
bnVtPjE5MDE3NDE4PC9hY2Nlc3Npb24tbnVtPjx1cmxzPjxyZWxhdGVkLXVybHM+PHVybD5odHRw
czovL3d3dy5uY2JpLm5sbS5uaWguZ292L3B1Ym1lZC8xOTAxNzQxODwvdXJsPjwvcmVsYXRlZC11
cmxzPjwvdXJscz48ZWxlY3Ryb25pYy1yZXNvdXJjZS1udW0+MTAuMTAxNy9TMDAwNzExNDUwODEx
MTQ2MTwvZWxlY3Ryb25pYy1yZXNvdXJjZS1udW0+PC9yZWNvcmQ+PC9DaXRlPjwvRW5kTm90ZT4A
</w:fldData>
        </w:fldChar>
      </w:r>
      <w:r w:rsidR="002747EA">
        <w:instrText xml:space="preserve"> ADDIN EN.CITE </w:instrText>
      </w:r>
      <w:r w:rsidR="002747EA">
        <w:fldChar w:fldCharType="begin">
          <w:fldData xml:space="preserve">PEVuZE5vdGU+PENpdGU+PEF1dGhvcj5EaSBDYXJsbzwvQXV0aG9yPjxZZWFyPjIwMTQ8L1llYXI+
PFJlY051bT4xMzg3PC9SZWNOdW0+PERpc3BsYXlUZXh0PjxzdHlsZSBmYWNlPSJzdXBlcnNjcmlw
dCIgZm9udD0iVHJlYnVjaGV0IE1TIiBzaXplPSI5Ij4yNDAsNDAxPC9zdHlsZT48L0Rpc3BsYXlU
ZXh0PjxyZWNvcmQ+PHJlYy1udW1iZXI+MTM4NzwvcmVjLW51bWJlcj48Zm9yZWlnbi1rZXlzPjxr
ZXkgYXBwPSJFTiIgZGItaWQ9ImV4dmFzcmZ4MmR0cmFvZXNhc3hwMnN6c3hhMmRmNTAyNTkyeCIg
dGltZXN0YW1wPSIxNTY3NjYxNTY4Ij4xMzg3PC9rZXk+PGtleSBhcHA9IkVOV2ViIiBkYi1pZD0i
Ij4wPC9rZXk+PC9mb3JlaWduLWtleXM+PHJlZi10eXBlIG5hbWU9IkpvdXJuYWwgQXJ0aWNsZSI+
MTc8L3JlZi10eXBlPjxjb250cmlidXRvcnM+PGF1dGhvcnM+PGF1dGhvcj5EaSBDYXJsbywgQy4s
PC9hdXRob3I+PGF1dGhvcj5JYW5ub3R0aSwgRy4sPC9hdXRob3I+PGF1dGhvcj5TcGFyaWNlLCBT
Liw8L2F1dGhvcj48YXV0aG9yPkNoaWFjY2hpbywgTS5QLiw8L2F1dGhvcj48YXV0aG9yPkdyZWNv
LCBFLiw8L2F1dGhvcj48YXV0aG9yPlRvbW1hc2VsbGksIEcuQS4sPC9hdXRob3I+PGF1dGhvcj5O
YXBwaSwgQy4sPC9hdXRob3I+PC9hdXRob3JzPjwvY29udHJpYnV0b3JzPjx0aXRsZXM+PHRpdGxl
PlRoZSByb2xlIG9mIGEgcGVyc29uYWxpemVkIGRpZXRhcnkgaW50ZXJ2ZW50aW9uIGluIG1hbmFn
aW5nIGdlc3RhdGlvbmFsIHdlaWdodCBnYWluOiBhIHByb3NwZWN0aXZlLCBjb250cm9sbGVkIHN0
dWR5IGluIGEgbG93LXJpc2sgYW50ZW5hdGFsIHBvcHVsYXRpb248L3RpdGxlPjxzZWNvbmRhcnkt
dGl0bGU+QXJjaCBHeW5lY29sIE9ic3RldDwvc2Vjb25kYXJ5LXRpdGxlPjwvdGl0bGVzPjxwZXJp
b2RpY2FsPjxmdWxsLXRpdGxlPkFyY2ggR3luZWNvbCBPYnN0ZXQ8L2Z1bGwtdGl0bGU+PC9wZXJp
b2RpY2FsPjxwYWdlcz43NjUtNzA8L3BhZ2VzPjx2b2x1bWU+Mjg5PC92b2x1bWU+PG51bWJlcj40
PC9udW1iZXI+PHNlY3Rpb24+NzY1PC9zZWN0aW9uPjxkYXRlcz48eWVhcj4yMDE0PC95ZWFyPjwv
ZGF0ZXM+PGlzYm4+MDkzMi0wMDY3JiN4RDsxNDMyLTA3MTE8L2lzYm4+PHVybHM+PC91cmxzPjxl
bGVjdHJvbmljLXJlc291cmNlLW51bT4xMC4xMDA3L3MwMDQwNC0wMTMtMzA1NC15PC9lbGVjdHJv
bmljLXJlc291cmNlLW51bT48L3JlY29yZD48L0NpdGU+PENpdGU+PEF1dGhvcj5MYWl0aW5lbjwv
QXV0aG9yPjxZZWFyPjIwMDk8L1llYXI+PFJlY051bT4xMTQ4PC9SZWNOdW0+PHJlY29yZD48cmVj
LW51bWJlcj4xMTQ4PC9yZWMtbnVtYmVyPjxmb3JlaWduLWtleXM+PGtleSBhcHA9IkVOIiBkYi1p
ZD0iZXh2YXNyZngyZHRyYW9lc2FzeHAyc3pzeGEyZGY1MDI1OTJ4IiB0aW1lc3RhbXA9IjE1NTU1
NjY4MTYiPjExNDg8L2tleT48a2V5IGFwcD0iRU5XZWIiIGRiLWlkPSIiPjA8L2tleT48L2ZvcmVp
Z24ta2V5cz48cmVmLXR5cGUgbmFtZT0iSm91cm5hbCBBcnRpY2xlIj4xNzwvcmVmLXR5cGU+PGNv
bnRyaWJ1dG9ycz48YXV0aG9ycz48YXV0aG9yPkxhaXRpbmVuLCBLLjwvYXV0aG9yPjxhdXRob3I+
UG91c3NhLCBULjwvYXV0aG9yPjxhdXRob3I+SXNvbGF1cmksIEUuPC9hdXRob3I+PGF1dGhvcj5O
dXRyaXRpb24sIEFsbGVyZ3kgTXVjb3NhbCBJbW11bm9sb2d5PC9hdXRob3I+PGF1dGhvcj5JbnRl
c3RpbmFsIE1pY3JvYmlvdGEsIEdyb3VwPC9hdXRob3I+PC9hdXRob3JzPjwvY29udHJpYnV0b3Jz
PjxhdXRoLWFkZHJlc3M+RGVwYXJ0bWVudCBvZiBCaW9jaGVtaXN0cnkgYW5kIEZvb2QgQ2hlbWlz
dHJ5LCBVbml2ZXJzaXR5IG9mIFR1cmt1LCAyMDAxNCBUdXJrdSwgRmlubGFuZC4ga2lyc2kubGFp
dGluZW5AdXR1LmZpPC9hdXRoLWFkZHJlc3M+PHRpdGxlcz48dGl0bGU+UHJvYmlvdGljcyBhbmQg
ZGlldGFyeSBjb3Vuc2VsbGluZyBjb250cmlidXRlIHRvIGdsdWNvc2UgcmVndWxhdGlvbiBkdXJp
bmcgYW5kIGFmdGVyIHByZWduYW5jeTogYSByYW5kb21pc2VkIGNvbnRyb2xsZWQgdHJpYWw8L3Rp
dGxlPjxzZWNvbmRhcnktdGl0bGU+QnIgSiBOdXRyPC9zZWNvbmRhcnktdGl0bGU+PC90aXRsZXM+
PHBlcmlvZGljYWw+PGZ1bGwtdGl0bGU+QnIgSiBOdXRyPC9mdWxsLXRpdGxlPjwvcGVyaW9kaWNh
bD48cGFnZXM+MTY3OS04NzwvcGFnZXM+PHZvbHVtZT4xMDE8L3ZvbHVtZT48bnVtYmVyPjExPC9u
dW1iZXI+PGVkaXRpb24+MjAwOC8xMS8yMDwvZWRpdGlvbj48a2V5d29yZHM+PGtleXdvcmQ+QWR1
bHQ8L2tleXdvcmQ+PGtleXdvcmQ+Qmxvb2QgR2x1Y29zZS8qbWV0YWJvbGlzbTwva2V5d29yZD48
a2V5d29yZD5Db3Vuc2VsaW5nPC9rZXl3b3JkPjxrZXl3b3JkPipEaWV0PC9rZXl3b3JkPjxrZXl3
b3JkPkVuZXJneSBJbnRha2UvcGh5c2lvbG9neTwva2V5d29yZD48a2V5d29yZD5GZW1hbGU8L2tl
eXdvcmQ+PGtleXdvcmQ+SHVtYW5zPC9rZXl3b3JkPjxrZXl3b3JkPkluc3VsaW4vYmxvb2Q8L2tl
eXdvcmQ+PGtleXdvcmQ+SW5zdWxpbiBSZXNpc3RhbmNlL3BoeXNpb2xvZ3k8L2tleXdvcmQ+PGtl
eXdvcmQ+TWF0ZXJuYWwgTnV0cml0aW9uYWwgUGh5c2lvbG9naWNhbCBQaGVub21lbmEvKnBoeXNp
b2xvZ3k8L2tleXdvcmQ+PGtleXdvcmQ+UG9zdHBhcnR1bSBQZXJpb2QvYmxvb2Q8L2tleXdvcmQ+
PGtleXdvcmQ+UHJlZ25hbmN5LypibG9vZDwva2V5d29yZD48a2V5d29yZD4qUHJvYmlvdGljczwv
a2V5d29yZD48a2V5d29yZD5Qcm9zcGVjdGl2ZSBTdHVkaWVzPC9rZXl3b3JkPjxrZXl3b3JkPllv
dW5nIEFkdWx0PC9rZXl3b3JkPjwva2V5d29yZHM+PGRhdGVzPjx5ZWFyPjIwMDk8L3llYXI+PHB1
Yi1kYXRlcz48ZGF0ZT5KdW48L2RhdGU+PC9wdWItZGF0ZXM+PC9kYXRlcz48aXNibj4xNDc1LTI2
NjIgKEVsZWN0cm9uaWMpJiN4RDswMDA3LTExNDUgKExpbmtpbmcpPC9pc2JuPjxhY2Nlc3Npb24t
bnVtPjE5MDE3NDE4PC9hY2Nlc3Npb24tbnVtPjx1cmxzPjxyZWxhdGVkLXVybHM+PHVybD5odHRw
czovL3d3dy5uY2JpLm5sbS5uaWguZ292L3B1Ym1lZC8xOTAxNzQxODwvdXJsPjwvcmVsYXRlZC11
cmxzPjwvdXJscz48ZWxlY3Ryb25pYy1yZXNvdXJjZS1udW0+MTAuMTAxNy9TMDAwNzExNDUwODEx
MTQ2MTwvZWxlY3Ryb25pYy1yZXNvdXJjZS1udW0+PC9yZWNvcmQ+PC9DaXRlPjwvRW5kTm90ZT4A
</w:fldData>
        </w:fldChar>
      </w:r>
      <w:r w:rsidR="002747EA">
        <w:instrText xml:space="preserve"> ADDIN EN.CITE.DATA </w:instrText>
      </w:r>
      <w:r w:rsidR="002747EA">
        <w:fldChar w:fldCharType="end"/>
      </w:r>
      <w:r w:rsidR="001048CC">
        <w:fldChar w:fldCharType="separate"/>
      </w:r>
      <w:r w:rsidR="002747EA" w:rsidRPr="002747EA">
        <w:rPr>
          <w:noProof/>
          <w:vertAlign w:val="superscript"/>
        </w:rPr>
        <w:t>240,401</w:t>
      </w:r>
      <w:r w:rsidR="001048CC">
        <w:fldChar w:fldCharType="end"/>
      </w:r>
      <w:r w:rsidR="001048CC">
        <w:t xml:space="preserve"> women with </w:t>
      </w:r>
      <w:r w:rsidR="005007D4">
        <w:t xml:space="preserve">uncomplicated pregnancies and </w:t>
      </w:r>
      <w:r w:rsidR="001048CC">
        <w:t xml:space="preserve">BMI </w:t>
      </w:r>
      <w:r w:rsidR="001048CC">
        <w:rPr>
          <w:rFonts w:ascii="Helvetica" w:hAnsi="Helvetica"/>
        </w:rPr>
        <w:t>≥</w:t>
      </w:r>
      <w:r w:rsidR="001048CC" w:rsidRPr="00CF7049">
        <w:rPr>
          <w:rFonts w:ascii="Helvetica" w:hAnsi="Helvetica"/>
        </w:rPr>
        <w:t>29</w:t>
      </w:r>
      <w:r w:rsidR="001048CC">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rsidR="001048CC">
        <w:fldChar w:fldCharType="separate"/>
      </w:r>
      <w:r w:rsidR="002747EA" w:rsidRPr="002747EA">
        <w:rPr>
          <w:noProof/>
          <w:vertAlign w:val="superscript"/>
        </w:rPr>
        <w:t>402</w:t>
      </w:r>
      <w:r w:rsidR="001048CC">
        <w:fldChar w:fldCharType="end"/>
      </w:r>
      <w:r w:rsidR="001048CC">
        <w:t xml:space="preserve"> or </w:t>
      </w:r>
      <w:r w:rsidR="001048CC" w:rsidRPr="00362C86">
        <w:t>≥30</w:t>
      </w:r>
      <w:r w:rsidR="001048CC">
        <w:t> </w:t>
      </w:r>
      <w:r w:rsidR="001048CC" w:rsidRPr="00362C86">
        <w:t>kg</w:t>
      </w:r>
      <w:r w:rsidR="001048CC">
        <w:t>,</w:t>
      </w:r>
      <w:r w:rsidR="001048CC">
        <w:fldChar w:fldCharType="begin">
          <w:fldData xml:space="preserve">PEVuZE5vdGU+PENpdGU+PEF1dGhvcj5UaG9ybnRvbjwvQXV0aG9yPjxZZWFyPjIwMDk8L1llYXI+
PFJlY051bT4xMTM4PC9SZWNOdW0+PERpc3BsYXlUZXh0PjxzdHlsZSBmYWNlPSJzdXBlcnNjcmlw
dCIgZm9udD0iVHJlYnVjaGV0IE1TIiBzaXplPSI5Ij40MDMsNDA0PC9zdHlsZT48L0Rpc3BsYXlU
ZXh0PjxyZWNvcmQ+PHJlYy1udW1iZXI+MTEzODwvcmVjLW51bWJlcj48Zm9yZWlnbi1rZXlzPjxr
ZXkgYXBwPSJFTiIgZGItaWQ9ImV4dmFzcmZ4MmR0cmFvZXNhc3hwMnN6c3hhMmRmNTAyNTkyeCIg
dGltZXN0YW1wPSIxNTU1NDczNjQ0Ij4xMTM4PC9rZXk+PC9mb3JlaWduLWtleXM+PHJlZi10eXBl
IG5hbWU9IkpvdXJuYWwgQXJ0aWNsZSI+MTc8L3JlZi10eXBlPjxjb250cmlidXRvcnM+PGF1dGhv
cnM+PGF1dGhvcj5UaG9ybnRvbiwgWS4gUy48L2F1dGhvcj48YXV0aG9yPlNtYXJrb2xhLCBDLjwv
YXV0aG9yPjxhdXRob3I+S29wYWN6LCBTLiBNLjwvYXV0aG9yPjxhdXRob3I+SXNob29mLCBTLiBC
LjwvYXV0aG9yPjwvYXV0aG9ycz48L2NvbnRyaWJ1dG9ycz48YXV0aC1hZGRyZXNzPkRlcGFydG1l
bnQgb2YgT2JzdGV0cmljcywgRGl2aXNpb25zIG9mIE1hdGVybmFsLUZldGFsIE1lZGljaW5lLCBN
b3JyaXN0b3duIE1lbW9yaWFsIEhvc3BpdGFsLCBNb3JyaXN0b3duLCBOZXcgSmVyc2V5LCBVU0Eu
IHl2b25uZV90aG9ybnRvbkBueW1jLmVkdTwvYXV0aC1hZGRyZXNzPjx0aXRsZXM+PHRpdGxlPlBl
cmluYXRhbCBvdXRjb21lcyBpbiBudXRyaXRpb25hbGx5IG1vbml0b3JlZCBvYmVzZSBwcmVnbmFu
dCB3b21lbjogYSByYW5kb21pemVkIGNsaW5pY2FsIHRyaWFsPC90aXRsZT48c2Vjb25kYXJ5LXRp
dGxlPkogTmF0bCBNZWQgQXNzb2M8L3NlY29uZGFyeS10aXRsZT48L3RpdGxlcz48cGVyaW9kaWNh
bD48ZnVsbC10aXRsZT5KIE5hdGwgTWVkIEFzc29jPC9mdWxsLXRpdGxlPjwvcGVyaW9kaWNhbD48
cGFnZXM+NTY5LTc3PC9wYWdlcz48dm9sdW1lPjEwMTwvdm9sdW1lPjxudW1iZXI+NjwvbnVtYmVy
PjxlZGl0aW9uPjIwMDkvMDcvMTA8L2VkaXRpb24+PGtleXdvcmRzPjxrZXl3b3JkPkFkdWx0PC9r
ZXl3b3JkPjxrZXl3b3JkPkFuYWx5c2lzIG9mIFZhcmlhbmNlPC9rZXl3b3JkPjxrZXl3b3JkPkJv
ZHkgTWFzcyBJbmRleDwva2V5d29yZD48a2V5d29yZD5GZW1hbGU8L2tleXdvcmQ+PGtleXdvcmQ+
SGVhbHRoIFN0YXR1czwva2V5d29yZD48a2V5d29yZD5IdW1hbnM8L2tleXdvcmQ+PGtleXdvcmQ+
TWF0ZXJuYWwgTnV0cml0aW9uYWwgUGh5c2lvbG9naWNhbCBQaGVub21lbmEvKnBoeXNpb2xvZ3k8
L2tleXdvcmQ+PGtleXdvcmQ+Kk1hdGVybmFsIFdlbGZhcmU8L2tleXdvcmQ+PGtleXdvcmQ+TXVs
dGl2YXJpYXRlIEFuYWx5c2lzPC9rZXl3b3JkPjxrZXl3b3JkPk51dHJpdGlvbiBBc3Nlc3NtZW50
PC9rZXl3b3JkPjxrZXl3b3JkPk51dHJpdGlvbmFsIFN0YXR1czwva2V5d29yZD48a2V5d29yZD5P
YmVzaXR5Lypjb21wbGljYXRpb25zPC9rZXl3b3JkPjxrZXl3b3JkPlByZWduYW5jeTwva2V5d29y
ZD48a2V5d29yZD5QcmVnbmFuY3kgQ29tcGxpY2F0aW9ucy8qZXBpZGVtaW9sb2d5L3ByZXZlbnRp
b24gJmFtcDsgY29udHJvbDwva2V5d29yZD48a2V5d29yZD4qUHJlZ25hbmN5IE91dGNvbWU8L2tl
eXdvcmQ+PGtleXdvcmQ+VW5pdGVkIFN0YXRlcy9lcGlkZW1pb2xvZ3k8L2tleXdvcmQ+PGtleXdv
cmQ+V2VpZ2h0IEdhaW48L2tleXdvcmQ+PC9rZXl3b3Jkcz48ZGF0ZXM+PHllYXI+MjAwOTwveWVh
cj48cHViLWRhdGVzPjxkYXRlPkp1bjwvZGF0ZT48L3B1Yi1kYXRlcz48L2RhdGVzPjxpc2JuPjAw
MjctOTY4NCAoUHJpbnQpJiN4RDswMDI3LTk2ODQgKExpbmtpbmcpPC9pc2JuPjxhY2Nlc3Npb24t
bnVtPjE5NTg1OTI1PC9hY2Nlc3Npb24tbnVtPjx1cmxzPjxyZWxhdGVkLXVybHM+PHVybD5odHRw
czovL3d3dy5uY2JpLm5sbS5uaWguZ292L3B1Ym1lZC8xOTU4NTkyNTwvdXJsPjwvcmVsYXRlZC11
cmxzPjwvdXJscz48L3JlY29yZD48L0NpdGU+PENpdGU+PEF1dGhvcj5Xb2xmZjwvQXV0aG9yPjxZ
ZWFyPjIwMDg8L1llYXI+PFJlY051bT4xMTQ2PC9SZWNOdW0+PHJlY29yZD48cmVjLW51bWJlcj4x
MTQ2PC9yZWMtbnVtYmVyPjxmb3JlaWduLWtleXM+PGtleSBhcHA9IkVOIiBkYi1pZD0iZXh2YXNy
ZngyZHRyYW9lc2FzeHAyc3pzeGEyZGY1MDI1OTJ4IiB0aW1lc3RhbXA9IjE1NTU0NzY4OTUiPjEx
NDY8L2tleT48L2ZvcmVpZ24ta2V5cz48cmVmLXR5cGUgbmFtZT0iSm91cm5hbCBBcnRpY2xlIj4x
NzwvcmVmLXR5cGU+PGNvbnRyaWJ1dG9ycz48YXV0aG9ycz48YXV0aG9yPldvbGZmLCBTLjwvYXV0
aG9yPjxhdXRob3I+TGVnYXJ0aCwgSi48L2F1dGhvcj48YXV0aG9yPlZhbmdzZ2FhcmQsIEsuPC9h
dXRob3I+PGF1dGhvcj5Ub3Vicm8sIFMuPC9hdXRob3I+PGF1dGhvcj5Bc3RydXAsIEEuPC9hdXRo
b3I+PC9hdXRob3JzPjwvY29udHJpYnV0b3JzPjxhdXRoLWFkZHJlc3M+RGVwYXJ0bWVudCBvZiBI
dW1hbiBOdXRyaXRpb24sIEZhY3VsdHkgb2YgTGlmZSBTY2llbmNlLCBDb3BlbmhhZ2VuIFVuaXZl
cnNpdHksIENvcGVuaGFnZW4sIERlbm1hcmsuIHN3b0Bzc3QuZGs8L2F1dGgtYWRkcmVzcz48dGl0
bGVzPjx0aXRsZT5BIHJhbmRvbWl6ZWQgdHJpYWwgb2YgdGhlIGVmZmVjdHMgb2YgZGlldGFyeSBj
b3Vuc2VsaW5nIG9uIGdlc3RhdGlvbmFsIHdlaWdodCBnYWluIGFuZCBnbHVjb3NlIG1ldGFib2xp
c20gaW4gb2Jlc2UgcHJlZ25hbnQgd29tZW48L3RpdGxlPjxzZWNvbmRhcnktdGl0bGU+SW50IEog
T2JlcyAoTG9uZCk8L3NlY29uZGFyeS10aXRsZT48L3RpdGxlcz48cGVyaW9kaWNhbD48ZnVsbC10
aXRsZT5JbnQgSiBPYmVzIChMb25kKTwvZnVsbC10aXRsZT48L3BlcmlvZGljYWw+PHBhZ2VzPjQ5
NS01MDE8L3BhZ2VzPjx2b2x1bWU+MzI8L3ZvbHVtZT48bnVtYmVyPjM8L251bWJlcj48ZWRpdGlv
bj4yMDA4LzAxLzMwPC9lZGl0aW9uPjxrZXl3b3Jkcz48a2V5d29yZD5BZHVsdDwva2V5d29yZD48
a2V5d29yZD5CbG9vZCBHbHVjb3NlLyptZXRhYm9saXNtPC9rZXl3b3JkPjxrZXl3b3JkPkJvZHkg
TWFzcyBJbmRleDwva2V5d29yZD48a2V5d29yZD5Db3Vuc2VsaW5nLyptZXRob2RzPC9rZXl3b3Jk
PjxrZXl3b3JkPipEaWV0PC9rZXl3b3JkPjxrZXl3b3JkPkRpZXQgUmVjb3Jkczwva2V5d29yZD48
a2V5d29yZD5FbmVyZ3kgSW50YWtlL3BoeXNpb2xvZ3k8L2tleXdvcmQ+PGtleXdvcmQ+RmVtYWxl
PC9rZXl3b3JkPjxrZXl3b3JkPkdsdWNvc2UgVG9sZXJhbmNlIFRlc3Q8L2tleXdvcmQ+PGtleXdv
cmQ+SHVtYW5zPC9rZXl3b3JkPjxrZXl3b3JkPkluc3VsaW4vbWV0YWJvbGlzbTwva2V5d29yZD48
a2V5d29yZD5MZXB0aW4vbWV0YWJvbGlzbTwva2V5d29yZD48a2V5d29yZD5PYmVzaXR5LypkaWV0
IHRoZXJhcHkvbWV0YWJvbGlzbTwva2V5d29yZD48a2V5d29yZD5QcmVnbmFuY3k8L2tleXdvcmQ+
PGtleXdvcmQ+KldlaWdodCBHYWluPC9rZXl3b3JkPjwva2V5d29yZHM+PGRhdGVzPjx5ZWFyPjIw
MDg8L3llYXI+PHB1Yi1kYXRlcz48ZGF0ZT5NYXI8L2RhdGU+PC9wdWItZGF0ZXM+PC9kYXRlcz48
aXNibj4xNDc2LTU0OTcgKEVsZWN0cm9uaWMpJiN4RDswMzA3LTA1NjUgKExpbmtpbmcpPC9pc2Ju
PjxhY2Nlc3Npb24tbnVtPjE4MjI3ODQ3PC9hY2Nlc3Npb24tbnVtPjx1cmxzPjxyZWxhdGVkLXVy
bHM+PHVybD5odHRwczovL3d3dy5uY2JpLm5sbS5uaWguZ292L3B1Ym1lZC8xODIyNzg0NzwvdXJs
PjwvcmVsYXRlZC11cmxzPjwvdXJscz48ZWxlY3Ryb25pYy1yZXNvdXJjZS1udW0+MTAuMTAzOC9z
ai5pam8uMDgwMzcxMDwvZWxlY3Ryb25pYy1yZXNvdXJjZS1udW0+PC9yZWNvcmQ+PC9DaXRlPjwv
RW5kTm90ZT5=
</w:fldData>
        </w:fldChar>
      </w:r>
      <w:r w:rsidR="002747EA">
        <w:instrText xml:space="preserve"> ADDIN EN.CITE </w:instrText>
      </w:r>
      <w:r w:rsidR="002747EA">
        <w:fldChar w:fldCharType="begin">
          <w:fldData xml:space="preserve">PEVuZE5vdGU+PENpdGU+PEF1dGhvcj5UaG9ybnRvbjwvQXV0aG9yPjxZZWFyPjIwMDk8L1llYXI+
PFJlY051bT4xMTM4PC9SZWNOdW0+PERpc3BsYXlUZXh0PjxzdHlsZSBmYWNlPSJzdXBlcnNjcmlw
dCIgZm9udD0iVHJlYnVjaGV0IE1TIiBzaXplPSI5Ij40MDMsNDA0PC9zdHlsZT48L0Rpc3BsYXlU
ZXh0PjxyZWNvcmQ+PHJlYy1udW1iZXI+MTEzODwvcmVjLW51bWJlcj48Zm9yZWlnbi1rZXlzPjxr
ZXkgYXBwPSJFTiIgZGItaWQ9ImV4dmFzcmZ4MmR0cmFvZXNhc3hwMnN6c3hhMmRmNTAyNTkyeCIg
dGltZXN0YW1wPSIxNTU1NDczNjQ0Ij4xMTM4PC9rZXk+PC9mb3JlaWduLWtleXM+PHJlZi10eXBl
IG5hbWU9IkpvdXJuYWwgQXJ0aWNsZSI+MTc8L3JlZi10eXBlPjxjb250cmlidXRvcnM+PGF1dGhv
cnM+PGF1dGhvcj5UaG9ybnRvbiwgWS4gUy48L2F1dGhvcj48YXV0aG9yPlNtYXJrb2xhLCBDLjwv
YXV0aG9yPjxhdXRob3I+S29wYWN6LCBTLiBNLjwvYXV0aG9yPjxhdXRob3I+SXNob29mLCBTLiBC
LjwvYXV0aG9yPjwvYXV0aG9ycz48L2NvbnRyaWJ1dG9ycz48YXV0aC1hZGRyZXNzPkRlcGFydG1l
bnQgb2YgT2JzdGV0cmljcywgRGl2aXNpb25zIG9mIE1hdGVybmFsLUZldGFsIE1lZGljaW5lLCBN
b3JyaXN0b3duIE1lbW9yaWFsIEhvc3BpdGFsLCBNb3JyaXN0b3duLCBOZXcgSmVyc2V5LCBVU0Eu
IHl2b25uZV90aG9ybnRvbkBueW1jLmVkdTwvYXV0aC1hZGRyZXNzPjx0aXRsZXM+PHRpdGxlPlBl
cmluYXRhbCBvdXRjb21lcyBpbiBudXRyaXRpb25hbGx5IG1vbml0b3JlZCBvYmVzZSBwcmVnbmFu
dCB3b21lbjogYSByYW5kb21pemVkIGNsaW5pY2FsIHRyaWFsPC90aXRsZT48c2Vjb25kYXJ5LXRp
dGxlPkogTmF0bCBNZWQgQXNzb2M8L3NlY29uZGFyeS10aXRsZT48L3RpdGxlcz48cGVyaW9kaWNh
bD48ZnVsbC10aXRsZT5KIE5hdGwgTWVkIEFzc29jPC9mdWxsLXRpdGxlPjwvcGVyaW9kaWNhbD48
cGFnZXM+NTY5LTc3PC9wYWdlcz48dm9sdW1lPjEwMTwvdm9sdW1lPjxudW1iZXI+NjwvbnVtYmVy
PjxlZGl0aW9uPjIwMDkvMDcvMTA8L2VkaXRpb24+PGtleXdvcmRzPjxrZXl3b3JkPkFkdWx0PC9r
ZXl3b3JkPjxrZXl3b3JkPkFuYWx5c2lzIG9mIFZhcmlhbmNlPC9rZXl3b3JkPjxrZXl3b3JkPkJv
ZHkgTWFzcyBJbmRleDwva2V5d29yZD48a2V5d29yZD5GZW1hbGU8L2tleXdvcmQ+PGtleXdvcmQ+
SGVhbHRoIFN0YXR1czwva2V5d29yZD48a2V5d29yZD5IdW1hbnM8L2tleXdvcmQ+PGtleXdvcmQ+
TWF0ZXJuYWwgTnV0cml0aW9uYWwgUGh5c2lvbG9naWNhbCBQaGVub21lbmEvKnBoeXNpb2xvZ3k8
L2tleXdvcmQ+PGtleXdvcmQ+Kk1hdGVybmFsIFdlbGZhcmU8L2tleXdvcmQ+PGtleXdvcmQ+TXVs
dGl2YXJpYXRlIEFuYWx5c2lzPC9rZXl3b3JkPjxrZXl3b3JkPk51dHJpdGlvbiBBc3Nlc3NtZW50
PC9rZXl3b3JkPjxrZXl3b3JkPk51dHJpdGlvbmFsIFN0YXR1czwva2V5d29yZD48a2V5d29yZD5P
YmVzaXR5Lypjb21wbGljYXRpb25zPC9rZXl3b3JkPjxrZXl3b3JkPlByZWduYW5jeTwva2V5d29y
ZD48a2V5d29yZD5QcmVnbmFuY3kgQ29tcGxpY2F0aW9ucy8qZXBpZGVtaW9sb2d5L3ByZXZlbnRp
b24gJmFtcDsgY29udHJvbDwva2V5d29yZD48a2V5d29yZD4qUHJlZ25hbmN5IE91dGNvbWU8L2tl
eXdvcmQ+PGtleXdvcmQ+VW5pdGVkIFN0YXRlcy9lcGlkZW1pb2xvZ3k8L2tleXdvcmQ+PGtleXdv
cmQ+V2VpZ2h0IEdhaW48L2tleXdvcmQ+PC9rZXl3b3Jkcz48ZGF0ZXM+PHllYXI+MjAwOTwveWVh
cj48cHViLWRhdGVzPjxkYXRlPkp1bjwvZGF0ZT48L3B1Yi1kYXRlcz48L2RhdGVzPjxpc2JuPjAw
MjctOTY4NCAoUHJpbnQpJiN4RDswMDI3LTk2ODQgKExpbmtpbmcpPC9pc2JuPjxhY2Nlc3Npb24t
bnVtPjE5NTg1OTI1PC9hY2Nlc3Npb24tbnVtPjx1cmxzPjxyZWxhdGVkLXVybHM+PHVybD5odHRw
czovL3d3dy5uY2JpLm5sbS5uaWguZ292L3B1Ym1lZC8xOTU4NTkyNTwvdXJsPjwvcmVsYXRlZC11
cmxzPjwvdXJscz48L3JlY29yZD48L0NpdGU+PENpdGU+PEF1dGhvcj5Xb2xmZjwvQXV0aG9yPjxZ
ZWFyPjIwMDg8L1llYXI+PFJlY051bT4xMTQ2PC9SZWNOdW0+PHJlY29yZD48cmVjLW51bWJlcj4x
MTQ2PC9yZWMtbnVtYmVyPjxmb3JlaWduLWtleXM+PGtleSBhcHA9IkVOIiBkYi1pZD0iZXh2YXNy
ZngyZHRyYW9lc2FzeHAyc3pzeGEyZGY1MDI1OTJ4IiB0aW1lc3RhbXA9IjE1NTU0NzY4OTUiPjEx
NDY8L2tleT48L2ZvcmVpZ24ta2V5cz48cmVmLXR5cGUgbmFtZT0iSm91cm5hbCBBcnRpY2xlIj4x
NzwvcmVmLXR5cGU+PGNvbnRyaWJ1dG9ycz48YXV0aG9ycz48YXV0aG9yPldvbGZmLCBTLjwvYXV0
aG9yPjxhdXRob3I+TGVnYXJ0aCwgSi48L2F1dGhvcj48YXV0aG9yPlZhbmdzZ2FhcmQsIEsuPC9h
dXRob3I+PGF1dGhvcj5Ub3Vicm8sIFMuPC9hdXRob3I+PGF1dGhvcj5Bc3RydXAsIEEuPC9hdXRo
b3I+PC9hdXRob3JzPjwvY29udHJpYnV0b3JzPjxhdXRoLWFkZHJlc3M+RGVwYXJ0bWVudCBvZiBI
dW1hbiBOdXRyaXRpb24sIEZhY3VsdHkgb2YgTGlmZSBTY2llbmNlLCBDb3BlbmhhZ2VuIFVuaXZl
cnNpdHksIENvcGVuaGFnZW4sIERlbm1hcmsuIHN3b0Bzc3QuZGs8L2F1dGgtYWRkcmVzcz48dGl0
bGVzPjx0aXRsZT5BIHJhbmRvbWl6ZWQgdHJpYWwgb2YgdGhlIGVmZmVjdHMgb2YgZGlldGFyeSBj
b3Vuc2VsaW5nIG9uIGdlc3RhdGlvbmFsIHdlaWdodCBnYWluIGFuZCBnbHVjb3NlIG1ldGFib2xp
c20gaW4gb2Jlc2UgcHJlZ25hbnQgd29tZW48L3RpdGxlPjxzZWNvbmRhcnktdGl0bGU+SW50IEog
T2JlcyAoTG9uZCk8L3NlY29uZGFyeS10aXRsZT48L3RpdGxlcz48cGVyaW9kaWNhbD48ZnVsbC10
aXRsZT5JbnQgSiBPYmVzIChMb25kKTwvZnVsbC10aXRsZT48L3BlcmlvZGljYWw+PHBhZ2VzPjQ5
NS01MDE8L3BhZ2VzPjx2b2x1bWU+MzI8L3ZvbHVtZT48bnVtYmVyPjM8L251bWJlcj48ZWRpdGlv
bj4yMDA4LzAxLzMwPC9lZGl0aW9uPjxrZXl3b3Jkcz48a2V5d29yZD5BZHVsdDwva2V5d29yZD48
a2V5d29yZD5CbG9vZCBHbHVjb3NlLyptZXRhYm9saXNtPC9rZXl3b3JkPjxrZXl3b3JkPkJvZHkg
TWFzcyBJbmRleDwva2V5d29yZD48a2V5d29yZD5Db3Vuc2VsaW5nLyptZXRob2RzPC9rZXl3b3Jk
PjxrZXl3b3JkPipEaWV0PC9rZXl3b3JkPjxrZXl3b3JkPkRpZXQgUmVjb3Jkczwva2V5d29yZD48
a2V5d29yZD5FbmVyZ3kgSW50YWtlL3BoeXNpb2xvZ3k8L2tleXdvcmQ+PGtleXdvcmQ+RmVtYWxl
PC9rZXl3b3JkPjxrZXl3b3JkPkdsdWNvc2UgVG9sZXJhbmNlIFRlc3Q8L2tleXdvcmQ+PGtleXdv
cmQ+SHVtYW5zPC9rZXl3b3JkPjxrZXl3b3JkPkluc3VsaW4vbWV0YWJvbGlzbTwva2V5d29yZD48
a2V5d29yZD5MZXB0aW4vbWV0YWJvbGlzbTwva2V5d29yZD48a2V5d29yZD5PYmVzaXR5LypkaWV0
IHRoZXJhcHkvbWV0YWJvbGlzbTwva2V5d29yZD48a2V5d29yZD5QcmVnbmFuY3k8L2tleXdvcmQ+
PGtleXdvcmQ+KldlaWdodCBHYWluPC9rZXl3b3JkPjwva2V5d29yZHM+PGRhdGVzPjx5ZWFyPjIw
MDg8L3llYXI+PHB1Yi1kYXRlcz48ZGF0ZT5NYXI8L2RhdGU+PC9wdWItZGF0ZXM+PC9kYXRlcz48
aXNibj4xNDc2LTU0OTcgKEVsZWN0cm9uaWMpJiN4RDswMzA3LTA1NjUgKExpbmtpbmcpPC9pc2Ju
PjxhY2Nlc3Npb24tbnVtPjE4MjI3ODQ3PC9hY2Nlc3Npb24tbnVtPjx1cmxzPjxyZWxhdGVkLXVy
bHM+PHVybD5odHRwczovL3d3dy5uY2JpLm5sbS5uaWguZ292L3B1Ym1lZC8xODIyNzg0NzwvdXJs
PjwvcmVsYXRlZC11cmxzPjwvdXJscz48ZWxlY3Ryb25pYy1yZXNvdXJjZS1udW0+MTAuMTAzOC9z
ai5pam8uMDgwMzcxMDwvZWxlY3Ryb25pYy1yZXNvdXJjZS1udW0+PC9yZWNvcmQ+PC9DaXRlPjwv
RW5kTm90ZT5=
</w:fldData>
        </w:fldChar>
      </w:r>
      <w:r w:rsidR="002747EA">
        <w:instrText xml:space="preserve"> ADDIN EN.CITE.DATA </w:instrText>
      </w:r>
      <w:r w:rsidR="002747EA">
        <w:fldChar w:fldCharType="end"/>
      </w:r>
      <w:r w:rsidR="001048CC">
        <w:fldChar w:fldCharType="separate"/>
      </w:r>
      <w:r w:rsidR="002747EA" w:rsidRPr="002747EA">
        <w:rPr>
          <w:noProof/>
          <w:vertAlign w:val="superscript"/>
        </w:rPr>
        <w:t>403,404</w:t>
      </w:r>
      <w:r w:rsidR="001048CC">
        <w:fldChar w:fldCharType="end"/>
      </w:r>
      <w:r w:rsidR="001048CC">
        <w:t xml:space="preserve"> and women </w:t>
      </w:r>
      <w:r w:rsidR="005007D4">
        <w:t xml:space="preserve">without gestational diabetes </w:t>
      </w:r>
      <w:r w:rsidR="001048CC">
        <w:t>who had previously had a baby weighing &gt;4,000 g</w:t>
      </w:r>
      <w:r w:rsidR="005007D4">
        <w:t>.</w:t>
      </w:r>
      <w:r w:rsidR="001048CC">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 </w:instrText>
      </w:r>
      <w:r w:rsidR="002747EA">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EN.CITE.DATA </w:instrText>
      </w:r>
      <w:r w:rsidR="002747EA">
        <w:fldChar w:fldCharType="end"/>
      </w:r>
      <w:r w:rsidR="001048CC">
        <w:fldChar w:fldCharType="separate"/>
      </w:r>
      <w:r w:rsidR="002747EA" w:rsidRPr="002747EA">
        <w:rPr>
          <w:noProof/>
          <w:vertAlign w:val="superscript"/>
        </w:rPr>
        <w:t>405,406</w:t>
      </w:r>
      <w:r w:rsidR="001048CC">
        <w:fldChar w:fldCharType="end"/>
      </w:r>
      <w:r w:rsidR="005007D4">
        <w:t xml:space="preserve"> </w:t>
      </w:r>
    </w:p>
    <w:p w14:paraId="35DF0058" w14:textId="2EB42BA4" w:rsidR="005007D4" w:rsidRDefault="001048CC" w:rsidP="001048CC">
      <w:r>
        <w:t>Most studies were small with betwee</w:t>
      </w:r>
      <w:r w:rsidR="005007D4">
        <w:t>n 100 and 200 participants (n=4</w:t>
      </w:r>
      <w:r>
        <w:t>)</w:t>
      </w:r>
      <w:r w:rsidR="005007D4">
        <w:t>. One study had fewer than 100 participants</w:t>
      </w:r>
      <w:r w:rsidR="005007D4">
        <w:fldChar w:fldCharType="begin"/>
      </w:r>
      <w:r w:rsidR="002747EA">
        <w:instrText xml:space="preserve"> ADDIN EN.CITE &lt;EndNote&gt;&lt;Cite&gt;&lt;Author&gt;Wolff&lt;/Author&gt;&lt;Year&gt;2008&lt;/Year&gt;&lt;RecNum&gt;1146&lt;/RecNum&gt;&lt;DisplayText&gt;&lt;style face="superscript" font="Trebuchet MS" size="9"&gt;404&lt;/style&gt;&lt;/DisplayText&gt;&lt;record&gt;&lt;rec-number&gt;1146&lt;/rec-number&gt;&lt;foreign-keys&gt;&lt;key app="EN" db-id="exvasrfx2dtraoesasxp2szsxa2df502592x" timestamp="1555476895"&gt;1146&lt;/key&gt;&lt;/foreign-keys&gt;&lt;ref-type name="Journal Article"&gt;17&lt;/ref-type&gt;&lt;contributors&gt;&lt;authors&gt;&lt;author&gt;Wolff, S.&lt;/author&gt;&lt;author&gt;Legarth, J.&lt;/author&gt;&lt;author&gt;Vangsgaard, K.&lt;/author&gt;&lt;author&gt;Toubro, S.&lt;/author&gt;&lt;author&gt;Astrup, A.&lt;/author&gt;&lt;/authors&gt;&lt;/contributors&gt;&lt;auth-address&gt;Department of Human Nutrition, Faculty of Life Science, Copenhagen University, Copenhagen, Denmark. swo@sst.dk&lt;/auth-address&gt;&lt;titles&gt;&lt;title&gt;A randomized trial of the effects of dietary counseling on gestational weight gain and glucose metabolism in obese pregnant women&lt;/title&gt;&lt;secondary-title&gt;Int J Obes (Lond)&lt;/secondary-title&gt;&lt;/titles&gt;&lt;periodical&gt;&lt;full-title&gt;Int J Obes (Lond)&lt;/full-title&gt;&lt;/periodical&gt;&lt;pages&gt;495-501&lt;/pages&gt;&lt;volume&gt;32&lt;/volume&gt;&lt;number&gt;3&lt;/number&gt;&lt;edition&gt;2008/01/30&lt;/edition&gt;&lt;keywords&gt;&lt;keyword&gt;Adult&lt;/keyword&gt;&lt;keyword&gt;Blood Glucose/*metabolism&lt;/keyword&gt;&lt;keyword&gt;Body Mass Index&lt;/keyword&gt;&lt;keyword&gt;Counseling/*methods&lt;/keyword&gt;&lt;keyword&gt;*Diet&lt;/keyword&gt;&lt;keyword&gt;Diet Records&lt;/keyword&gt;&lt;keyword&gt;Energy Intake/physiology&lt;/keyword&gt;&lt;keyword&gt;Female&lt;/keyword&gt;&lt;keyword&gt;Glucose Tolerance Test&lt;/keyword&gt;&lt;keyword&gt;Humans&lt;/keyword&gt;&lt;keyword&gt;Insulin/metabolism&lt;/keyword&gt;&lt;keyword&gt;Leptin/metabolism&lt;/keyword&gt;&lt;keyword&gt;Obesity/*diet therapy/metabolism&lt;/keyword&gt;&lt;keyword&gt;Pregnancy&lt;/keyword&gt;&lt;keyword&gt;*Weight Gain&lt;/keyword&gt;&lt;/keywords&gt;&lt;dates&gt;&lt;year&gt;2008&lt;/year&gt;&lt;pub-dates&gt;&lt;date&gt;Mar&lt;/date&gt;&lt;/pub-dates&gt;&lt;/dates&gt;&lt;isbn&gt;1476-5497 (Electronic)&amp;#xD;0307-0565 (Linking)&lt;/isbn&gt;&lt;accession-num&gt;18227847&lt;/accession-num&gt;&lt;urls&gt;&lt;related-urls&gt;&lt;url&gt;https://www.ncbi.nlm.nih.gov/pubmed/18227847&lt;/url&gt;&lt;/related-urls&gt;&lt;/urls&gt;&lt;electronic-resource-num&gt;10.1038/sj.ijo.0803710&lt;/electronic-resource-num&gt;&lt;/record&gt;&lt;/Cite&gt;&lt;/EndNote&gt;</w:instrText>
      </w:r>
      <w:r w:rsidR="005007D4">
        <w:fldChar w:fldCharType="separate"/>
      </w:r>
      <w:r w:rsidR="002747EA" w:rsidRPr="002747EA">
        <w:rPr>
          <w:noProof/>
          <w:vertAlign w:val="superscript"/>
        </w:rPr>
        <w:t>404</w:t>
      </w:r>
      <w:r w:rsidR="005007D4">
        <w:fldChar w:fldCharType="end"/>
      </w:r>
      <w:r w:rsidR="005007D4">
        <w:t xml:space="preserve"> and the Walsh et al study had 759 participants.</w:t>
      </w:r>
      <w:r w:rsidR="005007D4">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 </w:instrText>
      </w:r>
      <w:r w:rsidR="002747EA">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EN.CITE.DATA </w:instrText>
      </w:r>
      <w:r w:rsidR="002747EA">
        <w:fldChar w:fldCharType="end"/>
      </w:r>
      <w:r w:rsidR="005007D4">
        <w:fldChar w:fldCharType="separate"/>
      </w:r>
      <w:r w:rsidR="002747EA" w:rsidRPr="002747EA">
        <w:rPr>
          <w:noProof/>
          <w:vertAlign w:val="superscript"/>
        </w:rPr>
        <w:t>405,406</w:t>
      </w:r>
      <w:r w:rsidR="005007D4">
        <w:fldChar w:fldCharType="end"/>
      </w:r>
      <w:r w:rsidR="005007D4">
        <w:t xml:space="preserve"> </w:t>
      </w:r>
    </w:p>
    <w:p w14:paraId="4EF86A55" w14:textId="7F821096" w:rsidR="001048CC" w:rsidRPr="005132AA" w:rsidRDefault="001048CC" w:rsidP="001048CC">
      <w:r w:rsidRPr="00B04565">
        <w:rPr>
          <w:lang w:val="en-AU"/>
        </w:rPr>
        <w:t>Studies were conducted in</w:t>
      </w:r>
      <w:r w:rsidRPr="00B04565">
        <w:t xml:space="preserve"> </w:t>
      </w:r>
      <w:r w:rsidR="005007D4">
        <w:t>Egypt</w:t>
      </w:r>
      <w:r w:rsidRPr="00B04565">
        <w:t>,</w:t>
      </w:r>
      <w:r w:rsidR="005007D4">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EN.CITE.DATA </w:instrText>
      </w:r>
      <w:r w:rsidR="002747EA">
        <w:fldChar w:fldCharType="end"/>
      </w:r>
      <w:r w:rsidR="005007D4">
        <w:fldChar w:fldCharType="separate"/>
      </w:r>
      <w:r w:rsidR="002747EA" w:rsidRPr="002747EA">
        <w:rPr>
          <w:noProof/>
          <w:vertAlign w:val="superscript"/>
        </w:rPr>
        <w:t>400</w:t>
      </w:r>
      <w:r w:rsidR="005007D4">
        <w:fldChar w:fldCharType="end"/>
      </w:r>
      <w:r w:rsidRPr="00B04565">
        <w:t xml:space="preserve"> </w:t>
      </w:r>
      <w:r w:rsidR="005007D4">
        <w:t>Ireland</w:t>
      </w:r>
      <w:r w:rsidRPr="00B04565">
        <w:t>,</w:t>
      </w:r>
      <w:r w:rsidR="005007D4">
        <w:fldChar w:fldCharType="begin">
          <w:fldData xml:space="preserve">PEVuZE5vdGU+PENpdGU+PEF1dGhvcj5XYWxzaDwvQXV0aG9yPjxZZWFyPjIwMTI8L1llYXI+PFJl
Y051bT4xMTQxPC9SZWNOdW0+PERpc3BsYXlUZXh0PjxzdHlsZSBmYWNlPSJzdXBlcnNjcmlwdCIg
Zm9udD0iVHJlYnVjaGV0IE1TIiBzaXplPSI5Ij40MDUtNDA3PC9zdHlsZT48L0Rpc3BsYXlUZXh0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PENpdGU+PEF1dGhvcj5PJmFwb3M7QnJpZW48L0F1dGhvcj48WWVhcj4yMDE4PC9ZZWFyPjxSZWNO
dW0+MTQ2NzwvUmVjTnVtPjxyZWNvcmQ+PHJlYy1udW1iZXI+MTQ2NzwvcmVjLW51bWJlcj48Zm9y
ZWlnbi1rZXlzPjxrZXkgYXBwPSJFTiIgZGItaWQ9ImV4dmFzcmZ4MmR0cmFvZXNhc3hwMnN6c3hh
MmRmNTAyNTkyeCIgdGltZXN0YW1wPSIxNTc0MDM5NjI0Ij4xNDY3PC9rZXk+PGtleSBhcHA9IkVO
V2ViIiBkYi1pZD0iIj4wPC9rZXk+PC9mb3JlaWduLWtleXM+PHJlZi10eXBlIG5hbWU9IkpvdXJu
YWwgQXJ0aWNsZSI+MTc8L3JlZi10eXBlPjxjb250cmlidXRvcnM+PGF1dGhvcnM+PGF1dGhvcj5P
JmFwb3M7QnJpZW4sIEUuIEMuPC9hdXRob3I+PGF1dGhvcj5HZXJhZ2h0eSwgQS4gQS48L2F1dGhv
cj48YXV0aG9yPk8mYXBvcztTdWxsaXZhbiwgRS4gSi48L2F1dGhvcj48YXV0aG9yPlJpb3JkYW4s
IEouIEEuPC9hdXRob3I+PGF1dGhvcj5Ib3JhbiwgTS4gSy48L2F1dGhvcj48YXV0aG9yPkxhcmtp
biwgRS48L2F1dGhvcj48YXV0aG9yPkRvbm5lbGx5LCBKLjwvYXV0aG9yPjxhdXRob3I+TWVoZWdh
biwgSi48L2F1dGhvcj48YXV0aG9yPlR3b21leSwgUC4gSi48L2F1dGhvcj48YXV0aG9yPk1jQXVs
aWZmZSwgRi4gTS48L2F1dGhvcj48L2F1dGhvcnM+PC9jb250cmlidXRvcnM+PHRpdGxlcz48dGl0
bGU+Rml2ZeKAkHllYXIgZm9sbG93IHVwIG9mIGEgbG93IGdseWNhZW1pYyBpbmRleCBkaWV0YXJ5
IHJhbmRvbWlzZWQgY29udHJvbGxlZCB0cmlhbCBpbiBwcmVnbmFuY3nigJRubyBsb25n4oCQdGVy
bSBtYXRlcm5hbCBlZmZlY3RzIG9mIGEgZGlldGFyeSBpbnRlcnZlbnRpb248L3RpdGxlPjxzZWNv
bmRhcnktdGl0bGU+QkpPRzogQW4gSW50ZXJuYXRpb25hbCBKb3VybmFsIG9mIE9ic3RldHJpY3Mg
JmFtcDsgR3luYWVjb2xvZ3k8L3NlY29uZGFyeS10aXRsZT48L3RpdGxlcz48cGVyaW9kaWNhbD48
ZnVsbC10aXRsZT5CSk9HOiBBbiBJbnRlcm5hdGlvbmFsIEpvdXJuYWwgb2YgT2JzdGV0cmljcyAm
YW1wOyBHeW5hZWNvbG9neTwvZnVsbC10aXRsZT48L3BlcmlvZGljYWw+PHBhZ2VzPjUxNC01MjQ8
L3BhZ2VzPjx2b2x1bWU+MTI2PC92b2x1bWU+PG51bWJlcj40PC9udW1iZXI+PHNlY3Rpb24+NTE0
PC9zZWN0aW9uPjxkYXRlcz48eWVhcj4yMDE4PC95ZWFyPjwvZGF0ZXM+PGlzYm4+MTQ3MC0wMzI4
JiN4RDsxNDcxLTA1Mjg8L2lzYm4+PHVybHM+PC91cmxzPjxlbGVjdHJvbmljLXJlc291cmNlLW51
bT4xMC4xMTExLzE0NzEtMDUyOC4xNTUwMDwvZWxlY3Ryb25pYy1yZXNvdXJjZS1udW0+PC9yZWNv
cmQ+PC9DaXRlPjwvRW5kTm90ZT4A
</w:fldData>
        </w:fldChar>
      </w:r>
      <w:r w:rsidR="002747EA">
        <w:instrText xml:space="preserve"> ADDIN EN.CITE </w:instrText>
      </w:r>
      <w:r w:rsidR="002747EA">
        <w:fldChar w:fldCharType="begin">
          <w:fldData xml:space="preserve">PEVuZE5vdGU+PENpdGU+PEF1dGhvcj5XYWxzaDwvQXV0aG9yPjxZZWFyPjIwMTI8L1llYXI+PFJl
Y051bT4xMTQxPC9SZWNOdW0+PERpc3BsYXlUZXh0PjxzdHlsZSBmYWNlPSJzdXBlcnNjcmlwdCIg
Zm9udD0iVHJlYnVjaGV0IE1TIiBzaXplPSI5Ij40MDUtNDA3PC9zdHlsZT48L0Rpc3BsYXlUZXh0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PENpdGU+PEF1dGhvcj5PJmFwb3M7QnJpZW48L0F1dGhvcj48WWVhcj4yMDE4PC9ZZWFyPjxSZWNO
dW0+MTQ2NzwvUmVjTnVtPjxyZWNvcmQ+PHJlYy1udW1iZXI+MTQ2NzwvcmVjLW51bWJlcj48Zm9y
ZWlnbi1rZXlzPjxrZXkgYXBwPSJFTiIgZGItaWQ9ImV4dmFzcmZ4MmR0cmFvZXNhc3hwMnN6c3hh
MmRmNTAyNTkyeCIgdGltZXN0YW1wPSIxNTc0MDM5NjI0Ij4xNDY3PC9rZXk+PGtleSBhcHA9IkVO
V2ViIiBkYi1pZD0iIj4wPC9rZXk+PC9mb3JlaWduLWtleXM+PHJlZi10eXBlIG5hbWU9IkpvdXJu
YWwgQXJ0aWNsZSI+MTc8L3JlZi10eXBlPjxjb250cmlidXRvcnM+PGF1dGhvcnM+PGF1dGhvcj5P
JmFwb3M7QnJpZW4sIEUuIEMuPC9hdXRob3I+PGF1dGhvcj5HZXJhZ2h0eSwgQS4gQS48L2F1dGhv
cj48YXV0aG9yPk8mYXBvcztTdWxsaXZhbiwgRS4gSi48L2F1dGhvcj48YXV0aG9yPlJpb3JkYW4s
IEouIEEuPC9hdXRob3I+PGF1dGhvcj5Ib3JhbiwgTS4gSy48L2F1dGhvcj48YXV0aG9yPkxhcmtp
biwgRS48L2F1dGhvcj48YXV0aG9yPkRvbm5lbGx5LCBKLjwvYXV0aG9yPjxhdXRob3I+TWVoZWdh
biwgSi48L2F1dGhvcj48YXV0aG9yPlR3b21leSwgUC4gSi48L2F1dGhvcj48YXV0aG9yPk1jQXVs
aWZmZSwgRi4gTS48L2F1dGhvcj48L2F1dGhvcnM+PC9jb250cmlidXRvcnM+PHRpdGxlcz48dGl0
bGU+Rml2ZeKAkHllYXIgZm9sbG93IHVwIG9mIGEgbG93IGdseWNhZW1pYyBpbmRleCBkaWV0YXJ5
IHJhbmRvbWlzZWQgY29udHJvbGxlZCB0cmlhbCBpbiBwcmVnbmFuY3nigJRubyBsb25n4oCQdGVy
bSBtYXRlcm5hbCBlZmZlY3RzIG9mIGEgZGlldGFyeSBpbnRlcnZlbnRpb248L3RpdGxlPjxzZWNv
bmRhcnktdGl0bGU+QkpPRzogQW4gSW50ZXJuYXRpb25hbCBKb3VybmFsIG9mIE9ic3RldHJpY3Mg
JmFtcDsgR3luYWVjb2xvZ3k8L3NlY29uZGFyeS10aXRsZT48L3RpdGxlcz48cGVyaW9kaWNhbD48
ZnVsbC10aXRsZT5CSk9HOiBBbiBJbnRlcm5hdGlvbmFsIEpvdXJuYWwgb2YgT2JzdGV0cmljcyAm
YW1wOyBHeW5hZWNvbG9neTwvZnVsbC10aXRsZT48L3BlcmlvZGljYWw+PHBhZ2VzPjUxNC01MjQ8
L3BhZ2VzPjx2b2x1bWU+MTI2PC92b2x1bWU+PG51bWJlcj40PC9udW1iZXI+PHNlY3Rpb24+NTE0
PC9zZWN0aW9uPjxkYXRlcz48eWVhcj4yMDE4PC95ZWFyPjwvZGF0ZXM+PGlzYm4+MTQ3MC0wMzI4
JiN4RDsxNDcxLTA1Mjg8L2lzYm4+PHVybHM+PC91cmxzPjxlbGVjdHJvbmljLXJlc291cmNlLW51
bT4xMC4xMTExLzE0NzEtMDUyOC4xNTUwMDwvZWxlY3Ryb25pYy1yZXNvdXJjZS1udW0+PC9yZWNv
cmQ+PC9DaXRlPjwvRW5kTm90ZT4A
</w:fldData>
        </w:fldChar>
      </w:r>
      <w:r w:rsidR="002747EA">
        <w:instrText xml:space="preserve"> ADDIN EN.CITE.DATA </w:instrText>
      </w:r>
      <w:r w:rsidR="002747EA">
        <w:fldChar w:fldCharType="end"/>
      </w:r>
      <w:r w:rsidR="005007D4">
        <w:fldChar w:fldCharType="separate"/>
      </w:r>
      <w:r w:rsidR="002747EA" w:rsidRPr="002747EA">
        <w:rPr>
          <w:noProof/>
          <w:vertAlign w:val="superscript"/>
        </w:rPr>
        <w:t>405-407</w:t>
      </w:r>
      <w:r w:rsidR="005007D4">
        <w:fldChar w:fldCharType="end"/>
      </w:r>
      <w:r w:rsidRPr="00B04565">
        <w:t xml:space="preserve"> </w:t>
      </w:r>
      <w:r w:rsidR="005007D4">
        <w:t>Italy</w:t>
      </w:r>
      <w:r w:rsidRPr="00B04565">
        <w:t>,</w:t>
      </w:r>
      <w:r w:rsidR="005007D4">
        <w:fldChar w:fldCharType="begin"/>
      </w:r>
      <w:r w:rsidR="002747EA">
        <w:instrText xml:space="preserve"> ADDIN EN.CITE &lt;EndNote&gt;&lt;Cite&gt;&lt;Author&gt;Di Carlo&lt;/Author&gt;&lt;Year&gt;2014&lt;/Year&gt;&lt;RecNum&gt;1387&lt;/RecNum&gt;&lt;DisplayText&gt;&lt;style face="superscript" font="Trebuchet MS" size="9"&gt;401&lt;/style&gt;&lt;/DisplayText&gt;&lt;record&gt;&lt;rec-number&gt;1387&lt;/rec-number&gt;&lt;foreign-keys&gt;&lt;key app="EN" db-id="exvasrfx2dtraoesasxp2szsxa2df502592x" timestamp="1567661568"&gt;1387&lt;/key&gt;&lt;key app="ENWeb" db-id=""&gt;0&lt;/key&gt;&lt;/foreign-keys&gt;&lt;ref-type name="Journal Article"&gt;17&lt;/ref-type&gt;&lt;contributors&gt;&lt;authors&gt;&lt;author&gt;Di Carlo, C.,&lt;/author&gt;&lt;author&gt;Iannotti, G.,&lt;/author&gt;&lt;author&gt;Sparice, S.,&lt;/author&gt;&lt;author&gt;Chiacchio, M.P.,&lt;/author&gt;&lt;author&gt;Greco, E.,&lt;/author&gt;&lt;author&gt;Tommaselli, G.A.,&lt;/author&gt;&lt;author&gt;Nappi, C.,&lt;/author&gt;&lt;/authors&gt;&lt;/contributors&gt;&lt;titles&gt;&lt;title&gt;The role of a personalized dietary intervention in managing gestational weight gain: a prospective, controlled study in a low-risk antenatal population&lt;/title&gt;&lt;secondary-title&gt;Arch Gynecol Obstet&lt;/secondary-title&gt;&lt;/titles&gt;&lt;periodical&gt;&lt;full-title&gt;Arch Gynecol Obstet&lt;/full-title&gt;&lt;/periodical&gt;&lt;pages&gt;765-70&lt;/pages&gt;&lt;volume&gt;289&lt;/volume&gt;&lt;number&gt;4&lt;/number&gt;&lt;section&gt;765&lt;/section&gt;&lt;dates&gt;&lt;year&gt;2014&lt;/year&gt;&lt;/dates&gt;&lt;isbn&gt;0932-0067&amp;#xD;1432-0711&lt;/isbn&gt;&lt;urls&gt;&lt;/urls&gt;&lt;electronic-resource-num&gt;10.1007/s00404-013-3054-y&lt;/electronic-resource-num&gt;&lt;/record&gt;&lt;/Cite&gt;&lt;/EndNote&gt;</w:instrText>
      </w:r>
      <w:r w:rsidR="005007D4">
        <w:fldChar w:fldCharType="separate"/>
      </w:r>
      <w:r w:rsidR="002747EA" w:rsidRPr="002747EA">
        <w:rPr>
          <w:noProof/>
          <w:vertAlign w:val="superscript"/>
        </w:rPr>
        <w:t>401</w:t>
      </w:r>
      <w:r w:rsidR="005007D4">
        <w:fldChar w:fldCharType="end"/>
      </w:r>
      <w:r w:rsidRPr="00B04565">
        <w:t xml:space="preserve"> </w:t>
      </w:r>
      <w:r w:rsidR="005007D4">
        <w:t>Finland</w:t>
      </w:r>
      <w:r w:rsidR="005007D4">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 </w:instrText>
      </w:r>
      <w:r w:rsidR="002747EA">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EN.CITE.DATA </w:instrText>
      </w:r>
      <w:r w:rsidR="002747EA">
        <w:fldChar w:fldCharType="end"/>
      </w:r>
      <w:r w:rsidR="005007D4">
        <w:fldChar w:fldCharType="separate"/>
      </w:r>
      <w:r w:rsidR="002747EA" w:rsidRPr="002747EA">
        <w:rPr>
          <w:noProof/>
          <w:vertAlign w:val="superscript"/>
        </w:rPr>
        <w:t>240</w:t>
      </w:r>
      <w:r w:rsidR="005007D4">
        <w:fldChar w:fldCharType="end"/>
      </w:r>
      <w:r w:rsidR="005007D4">
        <w:t xml:space="preserve"> and the United States</w:t>
      </w:r>
      <w:r w:rsidRPr="00B04565">
        <w:t>.</w:t>
      </w:r>
      <w:r w:rsidR="005007D4">
        <w:fldChar w:fldCharType="begin"/>
      </w:r>
      <w:r w:rsidR="002747EA">
        <w:instrText xml:space="preserve"> ADDIN EN.CITE &lt;EndNote&gt;&lt;Cite&gt;&lt;Author&gt;Thornton&lt;/Author&gt;&lt;Year&gt;2009&lt;/Year&gt;&lt;RecNum&gt;1138&lt;/RecNum&gt;&lt;DisplayText&gt;&lt;style face="superscript" font="Trebuchet MS" size="9"&gt;403&lt;/style&gt;&lt;/DisplayText&gt;&lt;record&gt;&lt;rec-number&gt;1138&lt;/rec-number&gt;&lt;foreign-keys&gt;&lt;key app="EN" db-id="exvasrfx2dtraoesasxp2szsxa2df502592x" timestamp="1555473644"&gt;1138&lt;/key&gt;&lt;/foreign-keys&gt;&lt;ref-type name="Journal Article"&gt;17&lt;/ref-type&gt;&lt;contributors&gt;&lt;authors&gt;&lt;author&gt;Thornton, Y. S.&lt;/author&gt;&lt;author&gt;Smarkola, C.&lt;/author&gt;&lt;author&gt;Kopacz, S. M.&lt;/author&gt;&lt;author&gt;Ishoof, S. B.&lt;/author&gt;&lt;/authors&gt;&lt;/contributors&gt;&lt;auth-address&gt;Department of Obstetrics, Divisions of Maternal-Fetal Medicine, Morristown Memorial Hospital, Morristown, New Jersey, USA. yvonne_thornton@nymc.edu&lt;/auth-address&gt;&lt;titles&gt;&lt;title&gt;Perinatal outcomes in nutritionally monitored obese pregnant women: a randomized clinical trial&lt;/title&gt;&lt;secondary-title&gt;J Natl Med Assoc&lt;/secondary-title&gt;&lt;/titles&gt;&lt;periodical&gt;&lt;full-title&gt;J Natl Med Assoc&lt;/full-title&gt;&lt;/periodical&gt;&lt;pages&gt;569-77&lt;/pages&gt;&lt;volume&gt;101&lt;/volume&gt;&lt;number&gt;6&lt;/number&gt;&lt;edition&gt;2009/07/10&lt;/edition&gt;&lt;keywords&gt;&lt;keyword&gt;Adult&lt;/keyword&gt;&lt;keyword&gt;Analysis of Variance&lt;/keyword&gt;&lt;keyword&gt;Body Mass Index&lt;/keyword&gt;&lt;keyword&gt;Female&lt;/keyword&gt;&lt;keyword&gt;Health Status&lt;/keyword&gt;&lt;keyword&gt;Humans&lt;/keyword&gt;&lt;keyword&gt;Maternal Nutritional Physiological Phenomena/*physiology&lt;/keyword&gt;&lt;keyword&gt;*Maternal Welfare&lt;/keyword&gt;&lt;keyword&gt;Multivariate Analysis&lt;/keyword&gt;&lt;keyword&gt;Nutrition Assessment&lt;/keyword&gt;&lt;keyword&gt;Nutritional Status&lt;/keyword&gt;&lt;keyword&gt;Obesity/*complications&lt;/keyword&gt;&lt;keyword&gt;Pregnancy&lt;/keyword&gt;&lt;keyword&gt;Pregnancy Complications/*epidemiology/prevention &amp;amp; control&lt;/keyword&gt;&lt;keyword&gt;*Pregnancy Outcome&lt;/keyword&gt;&lt;keyword&gt;United States/epidemiology&lt;/keyword&gt;&lt;keyword&gt;Weight Gain&lt;/keyword&gt;&lt;/keywords&gt;&lt;dates&gt;&lt;year&gt;2009&lt;/year&gt;&lt;pub-dates&gt;&lt;date&gt;Jun&lt;/date&gt;&lt;/pub-dates&gt;&lt;/dates&gt;&lt;isbn&gt;0027-9684 (Print)&amp;#xD;0027-9684 (Linking)&lt;/isbn&gt;&lt;accession-num&gt;19585925&lt;/accession-num&gt;&lt;urls&gt;&lt;related-urls&gt;&lt;url&gt;https://www.ncbi.nlm.nih.gov/pubmed/19585925&lt;/url&gt;&lt;/related-urls&gt;&lt;/urls&gt;&lt;/record&gt;&lt;/Cite&gt;&lt;/EndNote&gt;</w:instrText>
      </w:r>
      <w:r w:rsidR="005007D4">
        <w:fldChar w:fldCharType="separate"/>
      </w:r>
      <w:r w:rsidR="002747EA" w:rsidRPr="002747EA">
        <w:rPr>
          <w:noProof/>
          <w:vertAlign w:val="superscript"/>
        </w:rPr>
        <w:t>403</w:t>
      </w:r>
      <w:r w:rsidR="005007D4">
        <w:fldChar w:fldCharType="end"/>
      </w:r>
      <w:r w:rsidRPr="00B04565">
        <w:t xml:space="preserve"> One multicentre study</w:t>
      </w:r>
      <w:r>
        <w:rPr>
          <w:sz w:val="16"/>
          <w:szCs w:val="16"/>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402</w:t>
      </w:r>
      <w:r>
        <w:rPr>
          <w:sz w:val="16"/>
          <w:szCs w:val="16"/>
        </w:rPr>
        <w:fldChar w:fldCharType="end"/>
      </w:r>
      <w:r w:rsidRPr="00B04565">
        <w:t xml:space="preserve"> was</w:t>
      </w:r>
      <w:r w:rsidRPr="00C12274">
        <w:t xml:space="preserve"> conducted in the United Kingdom, Ireland, Netherlands, Austria, Poland, Italy, Spain, Denmark and Belgium.</w:t>
      </w:r>
    </w:p>
    <w:p w14:paraId="174F99BB" w14:textId="7472C8AD" w:rsidR="00FD4EBE" w:rsidRDefault="00FD4EBE" w:rsidP="00FD4EBE">
      <w:pPr>
        <w:pStyle w:val="Heading4"/>
      </w:pPr>
      <w:r>
        <w:t>Types of intervention</w:t>
      </w:r>
    </w:p>
    <w:p w14:paraId="65B05B14" w14:textId="1A87D205" w:rsidR="00175D0C" w:rsidRDefault="00175D0C" w:rsidP="00175D0C">
      <w:r>
        <w:t xml:space="preserve">Interventions included </w:t>
      </w:r>
      <w:r w:rsidR="00884CDB">
        <w:t>dietary counselling</w:t>
      </w:r>
      <w:r>
        <w:fldChar w:fldCharType="begin">
          <w:fldData xml:space="preserve">PEVuZE5vdGU+PENpdGU+PEF1dGhvcj5BYmRlbC1Beml6PC9BdXRob3I+PFllYXI+MjAxODwvWWVh
cj48UmVjTnVtPjEzODk8L1JlY051bT48RGlzcGxheVRleHQ+PHN0eWxlIGZhY2U9InN1cGVyc2Ny
aXB0IiBmb250PSJUcmVidWNoZXQgTVMiIHNpemU9IjkiPjI0MCw0MDAsNDAyLDQwNC00MDY8L3N0
eWxlPjwvRGlzcGxheVRleHQ+PHJlY29yZD48cmVjLW51bWJlcj4xMzg5PC9yZWMtbnVtYmVyPjxm
b3JlaWduLWtleXM+PGtleSBhcHA9IkVOIiBkYi1pZD0iZXh2YXNyZngyZHRyYW9lc2FzeHAyc3pz
eGEyZGY1MDI1OTJ4IiB0aW1lc3RhbXA9IjE1Njc3NDI2NzEiPjEzODk8L2tleT48a2V5IGFwcD0i
RU5XZWIiIGRiLWlkPSIiPjA8L2tleT48L2ZvcmVpZ24ta2V5cz48cmVmLXR5cGUgbmFtZT0iSm91
cm5hbCBBcnRpY2xlIj4xNzwvcmVmLXR5cGU+PGNvbnRyaWJ1dG9ycz48YXV0aG9ycz48YXV0aG9y
PkFiZGVsLUF6aXosIFMuQi4sPC9hdXRob3I+PGF1dGhvcj5IZWdhenksIEkuUy4sPC9hdXRob3I+
PGF1dGhvcj5Nb2hhbWVkLCBELkEuLDwvYXV0aG9yPjxhdXRob3I+QWJ1IEVsIEthc2VtLCBNLk0u
QS4sPC9hdXRob3I+PGF1dGhvcj5IYWdhZywgUy5TLiw8L2F1dGhvcj48L2F1dGhvcnM+PC9jb250
cmlidXRvcnM+PGF1dGgtYWRkcmVzcz5QdWJsaWMgSGVhbHRoIGFuZCBDb21tdW5pdHkgTWVkaWNp
bmUgRGVwYXJ0bWVudCwgQWwgS2FzciBFTCBBaW5pLCBDYWlybyBVbml2ZXJzaXR5LCBFZ3lwdC4g
RWxlY3Ryb25pYyBhZGRyZXNzOiBTaGFpbWFhYmFoZXJAeWFob28uY29tLiYjeEQ7UHVibGljIEhl
YWx0aCBhbmQgQ29tbXVuaXR5IE1lZGljaW5lIERlcGFydG1lbnQsIEFsIEthc3IgRUwgQWluaSwg
Q2Fpcm8gVW5pdmVyc2l0eSwgRWd5cHQuJiN4RDtPYnN0ZXRyaWNzIGFuZCBHeW5lY29sb2d5IERl
cGFydG1lbnQsIEFsIEthc3IgRUwgQWluaSwgQ2Fpcm8gVW5pdmVyc2l0eSwgRWd5cHQuPC9hdXRo
LWFkZHJlc3M+PHRpdGxlcz48dGl0bGU+RWZmZWN0IG9mIGRpZXRhcnkgY291bnNlbGluZyBvbiBw
cmV2ZW50aW5nIGV4Y2Vzc2l2ZSB3ZWlnaHQgZ2FpbiBkdXJpbmcgcHJlZ25hbmN5PC90aXRsZT48
c2Vjb25kYXJ5LXRpdGxlPlB1YmxpYyBIZWFsdGg8L3NlY29uZGFyeS10aXRsZT48L3RpdGxlcz48
cGVyaW9kaWNhbD48ZnVsbC10aXRsZT5QdWJsaWMgSGVhbHRoPC9mdWxsLXRpdGxlPjwvcGVyaW9k
aWNhbD48cGFnZXM+MTcyLTE4MTwvcGFnZXM+PHZvbHVtZT4xNTQ8L3ZvbHVtZT48ZWRpdGlvbj4y
MDE3LzEyLzE5PC9lZGl0aW9uPjxrZXl3b3Jkcz48a2V5d29yZD5BZHVsdDwva2V5d29yZD48a2V5
d29yZD4qQ291bnNlbGluZzwva2V5d29yZD48a2V5d29yZD4qRGlldC9wc3ljaG9sb2d5PC9rZXl3
b3JkPjxrZXl3b3JkPkZlbWFsZTwva2V5d29yZD48a2V5d29yZD4qSGVhbHRoIEVkdWNhdGlvbjwv
a2V5d29yZD48a2V5d29yZD5IdW1hbnM8L2tleXdvcmQ+PGtleXdvcmQ+T2Jlc2l0eS8qcHJldmVu
dGlvbiAmYW1wOyBjb250cm9sPC9rZXl3b3JkPjxrZXl3b3JkPlByZWduYW5jeTwva2V5d29yZD48
a2V5d29yZD5Qcm9ncmFtIEV2YWx1YXRpb248L2tleXdvcmQ+PGtleXdvcmQ+WW91bmcgQWR1bHQ8
L2tleXdvcmQ+PGtleXdvcmQ+QmVoYXZpb3JhbCBpbnRlcnZlbnRpb248L2tleXdvcmQ+PGtleXdv
cmQ+RGlldGFyeSBjb3Vuc2VsaW5nPC9rZXl3b3JkPjxrZXl3b3JkPkV4Y2Vzc2l2ZSBnZXN0YXRp
b25hbCB3ZWlnaHQgZ2Fpbjwva2V5d29yZD48a2V5d29yZD5QcmVnbmFuY3kgb3V0Y29tZXM8L2tl
eXdvcmQ+PC9rZXl3b3Jkcz48ZGF0ZXM+PHllYXI+MjAxODwveWVhcj48cHViLWRhdGVzPjxkYXRl
PkphbjwvZGF0ZT48L3B1Yi1kYXRlcz48L2RhdGVzPjxpc2JuPjE0NzYtNTYxNiAoRWxlY3Ryb25p
YykmI3hEOzAwMzMtMzUwNiAoTGlua2luZyk8L2lzYm4+PGFjY2Vzc2lvbi1udW0+MjkyNDg4Mjc8
L2FjY2Vzc2lvbi1udW0+PHVybHM+PHJlbGF0ZWQtdXJscz48dXJsPmh0dHBzOi8vd3d3Lm5jYmku
bmxtLm5paC5nb3YvcHVibWVkLzI5MjQ4ODI3PC91cmw+PC9yZWxhdGVkLXVybHM+PC91cmxzPjxl
bGVjdHJvbmljLXJlc291cmNlLW51bT4xMC4xMDE2L2oucHVoZS4yMDE3LjEwLjAxNDwvZWxlY3Ry
b25pYy1yZXNvdXJjZS1udW0+PC9yZWNvcmQ+PC9DaXRlPjxDaXRlPjxBdXRob3I+TGFpdGluZW48
L0F1dGhvcj48WWVhcj4yMDA5PC9ZZWFyPjxSZWNOdW0+MTE0ODwvUmVjTnVtPjxyZWNvcmQ+PHJl
Yy1udW1iZXI+MTE0ODwvcmVjLW51bWJlcj48Zm9yZWlnbi1rZXlzPjxrZXkgYXBwPSJFTiIgZGIt
aWQ9ImV4dmFzcmZ4MmR0cmFvZXNhc3hwMnN6c3hhMmRmNTAyNTkyeCIgdGltZXN0YW1wPSIxNTU1
NTY2ODE2Ij4xMTQ4PC9rZXk+PGtleSBhcHA9IkVOV2ViIiBkYi1pZD0iIj4wPC9rZXk+PC9mb3Jl
aWduLWtleXM+PHJlZi10eXBlIG5hbWU9IkpvdXJuYWwgQXJ0aWNsZSI+MTc8L3JlZi10eXBlPjxj
b250cmlidXRvcnM+PGF1dGhvcnM+PGF1dGhvcj5MYWl0aW5lbiwgSy48L2F1dGhvcj48YXV0aG9y
PlBvdXNzYSwgVC48L2F1dGhvcj48YXV0aG9yPklzb2xhdXJpLCBFLjwvYXV0aG9yPjxhdXRob3I+
TnV0cml0aW9uLCBBbGxlcmd5IE11Y29zYWwgSW1tdW5vbG9neTwvYXV0aG9yPjxhdXRob3I+SW50
ZXN0aW5hbCBNaWNyb2Jpb3RhLCBHcm91cDwvYXV0aG9yPjwvYXV0aG9ycz48L2NvbnRyaWJ1dG9y
cz48YXV0aC1hZGRyZXNzPkRlcGFydG1lbnQgb2YgQmlvY2hlbWlzdHJ5IGFuZCBGb29kIENoZW1p
c3RyeSwgVW5pdmVyc2l0eSBvZiBUdXJrdSwgMjAwMTQgVHVya3UsIEZpbmxhbmQuIGtpcnNpLmxh
aXRpbmVuQHV0dS5maTwvYXV0aC1hZGRyZXNzPjx0aXRsZXM+PHRpdGxlPlByb2Jpb3RpY3MgYW5k
IGRpZXRhcnkgY291bnNlbGxpbmcgY29udHJpYnV0ZSB0byBnbHVjb3NlIHJlZ3VsYXRpb24gZHVy
aW5nIGFuZCBhZnRlciBwcmVnbmFuY3k6IGEgcmFuZG9taXNlZCBjb250cm9sbGVkIHRyaWFsPC90
aXRsZT48c2Vjb25kYXJ5LXRpdGxlPkJyIEogTnV0cjwvc2Vjb25kYXJ5LXRpdGxlPjwvdGl0bGVz
PjxwZXJpb2RpY2FsPjxmdWxsLXRpdGxlPkJyIEogTnV0cjwvZnVsbC10aXRsZT48L3BlcmlvZGlj
YWw+PHBhZ2VzPjE2NzktODc8L3BhZ2VzPjx2b2x1bWU+MTAxPC92b2x1bWU+PG51bWJlcj4xMTwv
bnVtYmVyPjxlZGl0aW9uPjIwMDgvMTEvMjA8L2VkaXRpb24+PGtleXdvcmRzPjxrZXl3b3JkPkFk
dWx0PC9rZXl3b3JkPjxrZXl3b3JkPkJsb29kIEdsdWNvc2UvKm1ldGFib2xpc208L2tleXdvcmQ+
PGtleXdvcmQ+Q291bnNlbGluZzwva2V5d29yZD48a2V5d29yZD4qRGlldDwva2V5d29yZD48a2V5
d29yZD5FbmVyZ3kgSW50YWtlL3BoeXNpb2xvZ3k8L2tleXdvcmQ+PGtleXdvcmQ+RmVtYWxlPC9r
ZXl3b3JkPjxrZXl3b3JkPkh1bWFuczwva2V5d29yZD48a2V5d29yZD5JbnN1bGluL2Jsb29kPC9r
ZXl3b3JkPjxrZXl3b3JkPkluc3VsaW4gUmVzaXN0YW5jZS9waHlzaW9sb2d5PC9rZXl3b3JkPjxr
ZXl3b3JkPk1hdGVybmFsIE51dHJpdGlvbmFsIFBoeXNpb2xvZ2ljYWwgUGhlbm9tZW5hLypwaHlz
aW9sb2d5PC9rZXl3b3JkPjxrZXl3b3JkPlBvc3RwYXJ0dW0gUGVyaW9kL2Jsb29kPC9rZXl3b3Jk
PjxrZXl3b3JkPlByZWduYW5jeS8qYmxvb2Q8L2tleXdvcmQ+PGtleXdvcmQ+KlByb2Jpb3RpY3M8
L2tleXdvcmQ+PGtleXdvcmQ+UHJvc3BlY3RpdmUgU3R1ZGllczwva2V5d29yZD48a2V5d29yZD5Z
b3VuZyBBZHVsdDwva2V5d29yZD48L2tleXdvcmRzPjxkYXRlcz48eWVhcj4yMDA5PC95ZWFyPjxw
dWItZGF0ZXM+PGRhdGU+SnVuPC9kYXRlPjwvcHViLWRhdGVzPjwvZGF0ZXM+PGlzYm4+MTQ3NS0y
NjYyIChFbGVjdHJvbmljKSYjeEQ7MDAwNy0xMTQ1IChMaW5raW5nKTwvaXNibj48YWNjZXNzaW9u
LW51bT4xOTAxNzQxODwvYWNjZXNzaW9uLW51bT48dXJscz48cmVsYXRlZC11cmxzPjx1cmw+aHR0
cHM6Ly93d3cubmNiaS5ubG0ubmloLmdvdi9wdWJtZWQvMTkwMTc0MTg8L3VybD48L3JlbGF0ZWQt
dXJscz48L3VybHM+PGVsZWN0cm9uaWMtcmVzb3VyY2UtbnVtPjEwLjEwMTcvUzAwMDcxMTQ1MDgx
MTE0NjE8L2VsZWN0cm9uaWMtcmVzb3VyY2UtbnVtPjwvcmVjb3JkPjwvQ2l0ZT48Q2l0ZT48QXV0
aG9yPlNpbW1vbnM8L0F1dGhvcj48WWVhcj4yMDE3PC9ZZWFyPjxSZWNOdW0+MTA1NzwvUmVjTnVt
PjxyZWNvcmQ+PHJlYy1udW1iZXI+MTA1NzwvcmVjLW51bWJlcj48Zm9yZWlnbi1rZXlzPjxrZXkg
YXBwPSJFTiIgZGItaWQ9ImV4dmFzcmZ4MmR0cmFvZXNhc3hwMnN6c3hhMmRmNTAyNTkyeCIgdGlt
ZXN0YW1wPSIxNTQ4OTgzNDc2Ij4xMDU3PC9rZXk+PC9mb3JlaWduLWtleXM+PHJlZi10eXBlIG5h
bWU9IkpvdXJuYWwgQXJ0aWNsZSI+MTc8L3JlZi10eXBlPjxjb250cmlidXRvcnM+PGF1dGhvcnM+
PGF1dGhvcj5TaW1tb25zLCBELjwvYXV0aG9yPjxhdXRob3I+RGV2bGllZ2VyLCBSLjwvYXV0aG9y
PjxhdXRob3I+dmFuIEFzc2NoZSwgQS48L2F1dGhvcj48YXV0aG9yPkphbnMsIEcuPC9hdXRob3I+
PGF1dGhvcj5HYWxqYWFyZCwgUy48L2F1dGhvcj48YXV0aG9yPkNvcmNveSwgUi48L2F1dGhvcj48
YXV0aG9yPkFkZWxhbnRhZG8sIEouIE0uPC9hdXRob3I+PGF1dGhvcj5EdW5uZSwgRi48L2F1dGhv
cj48YXV0aG9yPkRlc295ZSwgRy48L2F1dGhvcj48YXV0aG9yPkhhcnJlaXRlciwgSi48L2F1dGhv
cj48YXV0aG9yPkthdXR6a3ktV2lsbGVyLCBBLjwvYXV0aG9yPjxhdXRob3I+RGFtbSwgUC48L2F1
dGhvcj48YXV0aG9yPk1hdGhpZXNlbiwgRS4gUi48L2F1dGhvcj48YXV0aG9yPkplbnNlbiwgRC4g
TS48L2F1dGhvcj48YXV0aG9yPkFuZGVyc2VuLCBMLjwvYXV0aG9yPjxhdXRob3I+TGFwb2xsYSwg
QS48L2F1dGhvcj48YXV0aG9yPkRhbGZyYSwgTS4gRy48L2F1dGhvcj48YXV0aG9yPkJlcnRvbG90
dG8sIEEuPC9hdXRob3I+PGF1dGhvcj5XZW5kZXItT3plZ293c2thLCBFLjwvYXV0aG9yPjxhdXRo
b3I+WmF3aWVqc2thLCBBLjwvYXV0aG9yPjxhdXRob3I+SGlsbCwgRC48L2F1dGhvcj48YXV0aG9y
PlNub2VrLCBGLiBKLjwvYXV0aG9yPjxhdXRob3I+SmVsc21hLCBKLiBHLjwvYXV0aG9yPjxhdXRo
b3I+dmFuIFBvcHBlbCwgTS4gTi48L2F1dGhvcj48L2F1dGhvcnM+PC9jb250cmlidXRvcnM+PGF1
dGgtYWRkcmVzcz5XZXN0ZXJuIFN5ZG5leSBVbml2ZXJzaXR5LCBDYW1wYmVsbHRvd24sIE5ldyBT
b3V0aCBXYWxlcyAyNTYwLCBBdXN0cmFsaWEuJiN4RDtJbnN0aXR1dGUgb2YgTWV0YWJvbGljIFNj
aWVuY2UsIEFkZGVuYnJvb2tlJmFwb3M7cyBIb3NwaXRhbCwgQ2FtYnJpZGdlLCBDQjIgMFFRIEVu
Z2xhbmQuJiN4RDtEZXBhcnRtZW50IG9mIERldmVsb3BtZW50IGFuZCBSZWdlbmVyYXRpb246IFBy
ZWduYW5jeSwgRmV0dXMgYW5kIE5lb25hdGUsIEd5bmFlY29sb2d5IGFuZCBPYnN0ZXRyaWNzLCBV
bml2ZXJzaXR5IEhvc3BpdGFscywgS2F0aG9saWVrZSBVbml2ZXJzaXRlaXQgTGV1dmVuLCBMZXV2
ZW4sIEJlbGdpdW0uJiN4RDtEaXZpc2lvbiBvZiBPYnN0ZXRyaWNzIGFuZCBQcmVuYXRhbCBNZWRp
Y2luZSwgRGVwYXJ0bWVudCBvZiBPYnN0ZXRyaWNzIGFuZCBHeW5hZWNvbG9neSwgRXJhc211cyBV
bml2ZXJzaXR5IE1lZGljYWwgQ2VudGVyIFJvdHRlcmRhbSwgUm90dGVyZGFtLCBUaGUgTmV0aGVy
bGFuZHMuJiN4RDtJbnN0aXR1dCBkZSBSZWNlcmNhIGRlIGwgSG9zcGl0YWwgZGUgbGEgU2FudGEg
Q3JldSBpIFNhbnQgUGF1LCBCYXJjZWxvbmEsIFNwYWluLiYjeEQ7Q0lCRVIgQmlvZW5naW5lZXJp
bmcsIEJpb21hdGVyaWFscyBhbmQgTmFub3RlY2hub2xvZ3ksIEluc3RpdHV0byBkZSBTYWx1ZCBD
YXJsb3MgSUlJLCBaYXJhZ296YSwgU3BhaW4uJiN4RDtHYWx3YXkgRGlhYmV0ZXMgUmVzZWFyY2gg
Q2VudHJlIGFuZCBDb2xsZWdlIG9mIE1lZGljaW5lIE51cnNpbmcgYW5kIEhlYWx0aCBTY2llbmNl
cywgTmF0aW9uYWwgVW5pdmVyc2l0eSBvZiBJcmVsYW5kLCBHYWx3YXksIElyZWxhbmQuJiN4RDtE
ZXBhcnRtZW50IG9mIE9ic3RldHJpY3MgYW5kIEd5bmVjb2xvZ3ksIE1lZGl6aW5pc2NoZSBVbml2
ZXJzaXRhZXQgR3JheiwgR3JheiwgQXVzdHJpYS4mI3hEO0dlbmRlciBNZWRpY2luZSBVbml0LCBF
bmRvY3Jpbm9sb2d5IGFuZCBNZXRhYm9saXNtLCBEZXBhcnRtZW50IG9mIEludGVybmFsIE1lZGlj
aW5lIElJSSwgTWVkaWNhbCBVbml2ZXJzaXR5IG9mIFZpZW5uYSwgVmllbm5hLCBBdXN0cmlhLiYj
eEQ7Q2VudGVyIGZvciBQcmVnbmFudCBXb21lbiB3aXRoIERpYWJldGVzLCBEZXBhcnRtZW50cyBv
ZiBFbmRvY3Jpbm9sb2d5IGFuZCBPYnN0ZXRyaWNzLCBSaWdzaG9zcGl0YWxldCwgSW5zdGl0dXRl
IG9mIENsaW5pY2FsIE1lZGljaW5lLCBGYWN1bHR5IG9mIEhlYWx0aCBhbmQgTWVkaWNhbCBTY2ll
bmNlcywgVW5pdmVyc2l0eSBvZiBDb3BlbmhhZ2VuLCBDb3BlbmhhZ2VuLCBEZW5tYXJrLiYjeEQ7
RGVwYXJ0bWVudCBvZiBFbmRvY3Jpbm9sb2d5IGFuZCBEZXBhcnRtZW50IG9mIEd5bmVjb2xvZ3kg
YW5kIE9ic3RldHJpY3MsIE9kZW5zZSBVbml2ZXJzaXR5IEhvc3BpdGFsLCBPZGVuc2UsIERlbm1h
cmsuJiN4RDtEZXBhcnRtZW50IG9mIENsaW5pY2FsIFJlc2VhcmNoLCBGYWN1bHR5IG9mIEhlYWx0
aCBTY2llbmNlcywgVW5pdmVyc2l0eSBvZiBTb3V0aGVybiBEZW5tYXJrLCBPZGVuc2UsIERlbm1h
cmsuJiN4RDtVbml2ZXJzaXRhIERlZ2xpIFN0dWRpIGRpIFBhZG92YSwgUGFkdWEsIEl0YWx5LiYj
eEQ7QXppZW5kYSBPc3BlZGFsaWVybyBVbml2ZXJzaXRhcmlhLVBpc2EsIFBpc2EgSXRhbHkuJiN4
RDtNZWRpY2FsIEZhY3VsdHkgSSwgUG96bmFuIFVuaXZlcnNpdHkgb2YgTWVkaWNhbCBTY2llbmNl
cywgUG96bmFuLCBQb2xhbmQuJiN4RDtSZWNoZXJjaGUgZW4gU2FudGUgTGF3c29uIFNBLCBCcm9u
c2NoaG9mZW4sIFN3aXR6ZXJsYW5kLiYjeEQ7RGVwYXJ0bWVudCBvZiBNZWRpY2FsIFBzeWNob2xv
Z3ksIEVNR08rIEluc3RpdHV0ZSBmb3IgSGVhbHRoIGFuZCBDYXJlIFJlc2VhcmNoLCBWVSBVbml2
ZXJzaXR5IE1lZGljYWwgQ2VudHJlLCBBbXN0ZXJkYW0sIFRoZSBOZXRoZXJsYW5kcy4mI3hEO0Rl
cGFydG1lbnQgb2YgTWVkaWNhbCBQc3ljaG9sb2d5LCBBY2FkZW1pYyBNZWRpY2FsIENlbnRyZSwg
QW1zdGVyZGFtLCBUaGUgTmV0aGVybGFuZHMuJiN4RDtEZXBhcnRtZW50IG9mIFB1YmxpYyBhbmQg
T2NjdXBhdGlvbmFsIEhlYWx0aCwgRU1HTysgSW5zdGl0dXRlIGZvciBIZWFsdGggYW5kIENhcmUg
UmVzZWFyY2gsIFZVIFVuaXZlcnNpdHkgTWVkaWNhbCBDZW50cmUsIEFtc3RlcmRhbSwgVGhlIE5l
dGhlcmxhbmRzOyBhbmQuJiN4RDtJbnN0aXR1dGUgb2YgU3BvcnQgU2NpZW5jZSwgVW5pdmVyc2l0
eSBvZiBHcmF6LCBHcmF6LCBBdXN0cmlhLjwvYXV0aC1hZGRyZXNzPjx0aXRsZXM+PHRpdGxlPkVm
ZmVjdCBvZiBQaHlzaWNhbCBBY3Rpdml0eSBhbmQvb3IgSGVhbHRoeSBFYXRpbmcgb24gR0RNIFJp
c2s6IFRoZSBEQUxJIExpZmVzdHlsZSBTdHVkeTwvdGl0bGU+PHNlY29uZGFyeS10aXRsZT5KIENs
aW4gRW5kb2NyaW5vbCBNZXRhYjwvc2Vjb25kYXJ5LXRpdGxlPjwvdGl0bGVzPjxwZXJpb2RpY2Fs
PjxmdWxsLXRpdGxlPkogQ2xpbiBFbmRvY3Jpbm9sIE1ldGFiPC9mdWxsLXRpdGxlPjwvcGVyaW9k
aWNhbD48cGFnZXM+OTAzLTkxMzwvcGFnZXM+PHZvbHVtZT4xMDI8L3ZvbHVtZT48bnVtYmVyPjM8
L251bWJlcj48ZWRpdGlvbj4yMDE2LzEyLzEwPC9lZGl0aW9uPjxkYXRlcz48eWVhcj4yMDE3PC95
ZWFyPjxwdWItZGF0ZXM+PGRhdGU+TWFyIDE8L2RhdGU+PC9wdWItZGF0ZXM+PC9kYXRlcz48aXNi
bj4xOTQ1LTcxOTcgKEVsZWN0cm9uaWMpJiN4RDswMDIxLTk3MlggKExpbmtpbmcpPC9pc2JuPjxh
Y2Nlc3Npb24tbnVtPjI3OTM1NzY3PC9hY2Nlc3Npb24tbnVtPjx1cmxzPjxyZWxhdGVkLXVybHM+
PHVybD5odHRwczovL3d3dy5uY2JpLm5sbS5uaWguZ292L3B1Ym1lZC8yNzkzNTc2NzwvdXJsPjwv
cmVsYXRlZC11cmxzPjwvdXJscz48Y3VzdG9tMj5QTUM1NDYwNjg4PC9jdXN0b20yPjxlbGVjdHJv
bmljLXJlc291cmNlLW51bT4xMC4xMjEwL2pjLjIwMTYtMzQ1NTwvZWxlY3Ryb25pYy1yZXNvdXJj
ZS1udW0+PC9yZWNvcmQ+PC9DaXRlPjxDaXRlPjxBdXRob3I+V2Fsc2g8L0F1dGhvcj48WWVhcj4y
MDEyPC9ZZWFyPjxSZWNOdW0+MTE0MTwvUmVjTnVtPjxyZWNvcmQ+PHJlYy1udW1iZXI+MTE0MTwv
cmVjLW51bWJlcj48Zm9yZWlnbi1rZXlzPjxrZXkgYXBwPSJFTiIgZGItaWQ9ImV4dmFzcmZ4MmR0
cmFvZXNhc3hwMnN6c3hhMmRmNTAyNTkyeCIgdGltZXN0YW1wPSIxNTU1NDc1NzQ3Ij4xMTQxPC9r
ZXk+PC9mb3JlaWduLWtleXM+PHJlZi10eXBlIG5hbWU9IkpvdXJuYWwgQXJ0aWNsZSI+MTc8L3Jl
Zi10eXBlPjxjb250cmlidXRvcnM+PGF1dGhvcnM+PGF1dGhvcj5XYWxzaCwgSi4gTS48L2F1dGhv
cj48YXV0aG9yPk1jR293YW4sIEMuIEEuPC9hdXRob3I+PGF1dGhvcj5NYWhvbnksIFIuPC9hdXRo
b3I+PGF1dGhvcj5Gb2xleSwgTS4gRS48L2F1dGhvcj48YXV0aG9yPk1jQXVsaWZmZSwgRi4gTS48
L2F1dGhvcj48L2F1dGhvcnM+PC9jb250cmlidXRvcnM+PGF1dGgtYWRkcmVzcz5VQ0QgT2JzdGV0
cmljcyBhbmQgR3luYWVjb2xvZ3ksIFNjaG9vbCBvZiBNZWRpY2luZSBhbmQgTWVkaWNhbCBTY2ll
bmNlLCBVbml2ZXJzaXR5IENvbGxlZ2UgRHVibGluLCBOYXRpb25hbCBNYXRlcm5pdHkgSG9zcGl0
YWwsIER1YmxpbiwgSXJlbGFuZC48L2F1dGgtYWRkcmVzcz48dGl0bGVzPjx0aXRsZT5Mb3cgZ2x5
Y2FlbWljIGluZGV4IGRpZXQgaW4gcHJlZ25hbmN5IHRvIHByZXZlbnQgbWFjcm9zb21pYSAoUk9M
TyBzdHVkeSk6IHJhbmRvbWlzZWQgY29udHJvbCB0cmlhbDwvdGl0bGU+PHNlY29uZGFyeS10aXRs
ZT5CTUo8L3NlY29uZGFyeS10aXRsZT48L3RpdGxlcz48cGVyaW9kaWNhbD48ZnVsbC10aXRsZT5C
TUo8L2Z1bGwtdGl0bGU+PC9wZXJpb2RpY2FsPjxwYWdlcz5lNTYwNTwvcGFnZXM+PHZvbHVtZT4z
NDU8L3ZvbHVtZT48ZWRpdGlvbj4yMDEyLzA5LzAxPC9lZGl0aW9uPjxrZXl3b3Jkcz48a2V5d29y
ZD5BZHVsdDwva2V5d29yZD48a2V5d29yZD5BbnRocm9wb21ldHJ5PC9rZXl3b3JkPjxrZXl3b3Jk
PkJvZHkgTWFzcyBJbmRleDwva2V5d29yZD48a2V5d29yZD4qRGlldCwgQ2FyYm9oeWRyYXRlLVJl
c3RyaWN0ZWQ8L2tleXdvcmQ+PGtleXdvcmQ+RGlldGFyeSBDYXJib2h5ZHJhdGVzL2FkbWluaXN0
cmF0aW9uICZhbXA7IGRvc2FnZS9hZHZlcnNlIGVmZmVjdHM8L2tleXdvcmQ+PGtleXdvcmQ+RmVt
YWxlPC9rZXl3b3JkPjxrZXl3b3JkPkZldGFsIE1hY3Jvc29taWEvKmVwaWRlbWlvbG9neS9wcmV2
ZW50aW9uICZhbXA7IGNvbnRyb2w8L2tleXdvcmQ+PGtleXdvcmQ+R2VzdGF0aW9uYWwgQWdlPC9r
ZXl3b3JkPjxrZXl3b3JkPkdsdWNvc2UgVG9sZXJhbmNlIFRlc3Q8L2tleXdvcmQ+PGtleXdvcmQ+
R2x5Y2VtaWMgSW5kZXg8L2tleXdvcmQ+PGtleXdvcmQ+SHVtYW5zPC9rZXl3b3JkPjxrZXl3b3Jk
PkluY2lkZW5jZTwva2V5d29yZD48a2V5d29yZD5NYXRlcm5hbCBOdXRyaXRpb25hbCBQaHlzaW9s
b2dpY2FsIFBoZW5vbWVuYTwva2V5d29yZD48a2V5d29yZD5QcmVnbmFuY3k8L2tleXdvcmQ+PGtl
eXdvcmQ+UHJlZ25hbmN5IENvbXBsaWNhdGlvbnMvKmVwaWRlbWlvbG9neS9wcmV2ZW50aW9uICZh
bXA7IGNvbnRyb2w8L2tleXdvcmQ+PGtleXdvcmQ+UmlzayBGYWN0b3JzPC9rZXl3b3JkPjxrZXl3
b3JkPlNlY29uZGFyeSBQcmV2ZW50aW9uPC9rZXl3b3JkPjxrZXl3b3JkPlRyZWF0bWVudCBPdXRj
b21lPC9rZXl3b3JkPjxrZXl3b3JkPldlaWdodCBHYWluL3BoeXNpb2xvZ3k8L2tleXdvcmQ+PC9r
ZXl3b3Jkcz48ZGF0ZXM+PHllYXI+MjAxMjwveWVhcj48cHViLWRhdGVzPjxkYXRlPkF1ZyAzMDwv
ZGF0ZT48L3B1Yi1kYXRlcz48L2RhdGVzPjxpc2JuPjE3NTYtMTgzMyAoRWxlY3Ryb25pYykmI3hE
OzA5NTktODEzOCAoTGlua2luZyk8L2lzYm4+PGFjY2Vzc2lvbi1udW0+MjI5MzY3OTU8L2FjY2Vz
c2lvbi1udW0+PHVybHM+PHJlbGF0ZWQtdXJscz48dXJsPmh0dHBzOi8vd3d3Lm5jYmkubmxtLm5p
aC5nb3YvcHVibWVkLzIyOTM2Nzk1PC91cmw+PC9yZWxhdGVkLXVybHM+PC91cmxzPjxjdXN0b20y
PlBNQzM0MzEyODU8L2N1c3RvbTI+PGVsZWN0cm9uaWMtcmVzb3VyY2UtbnVtPjEwLjExMzYvYm1q
LmU1NjA1PC9lbGVjdHJvbmljLXJlc291cmNlLW51bT48L3JlY29yZD48L0NpdGU+PENpdGU+PEF1
dGhvcj5Ib3JhbjwvQXV0aG9yPjxZZWFyPjIwMTQ8L1llYXI+PFJlY051bT45MDU8L1JlY051bT48
cmVjb3JkPjxyZWMtbnVtYmVyPjkwNTwvcmVjLW51bWJlcj48Zm9yZWlnbi1rZXlzPjxrZXkgYXBw
PSJFTiIgZGItaWQ9ImV4dmFzcmZ4MmR0cmFvZXNhc3hwMnN6c3hhMmRmNTAyNTkyeCIgdGltZXN0
YW1wPSIxNTQxNTQwODM5Ij45MDU8L2tleT48a2V5IGFwcD0iRU5XZWIiIGRiLWlkPSIiPjA8L2tl
eT48L2ZvcmVpZ24ta2V5cz48cmVmLXR5cGUgbmFtZT0iSm91cm5hbCBBcnRpY2xlIj4xNzwvcmVm
LXR5cGU+PGNvbnRyaWJ1dG9ycz48YXV0aG9ycz48YXV0aG9yPkhvcmFuLCBNLiBLLjwvYXV0aG9y
PjxhdXRob3I+TWNHb3dhbiwgQy4gQS48L2F1dGhvcj48YXV0aG9yPkdpYm5leSwgRS4gUi48L2F1
dGhvcj48YXV0aG9yPkRvbm5lbGx5LCBKLiBNLjwvYXV0aG9yPjxhdXRob3I+TWNBdWxpZmZlLCBG
LiBNLjwvYXV0aG9yPjwvYXV0aG9ycz48L2NvbnRyaWJ1dG9ycz48YXV0aC1hZGRyZXNzPlVDRCBP
YnN0ZXRyaWNzIGFuZCBHeW5hZWNvbG9neSwgU2Nob29sIG9mIE1lZGljaW5lIGFuZCBNZWRpY2Fs
IFNjaWVuY2UsIFVuaXZlcnNpdHkgQ29sbGVnZSBEdWJsaW4sIE5hdGlvbmFsIE1hdGVybml0eSBI
b3NwaXRhbCwgRHVibGluIDIsIElyZWxhbmQuIG1hcnkuaG9yYW5AdWNkY29ubmVjdC5pZS4mI3hE
O1VDRCBPYnN0ZXRyaWNzIGFuZCBHeW5hZWNvbG9neSwgU2Nob29sIG9mIE1lZGljaW5lIGFuZCBN
ZWRpY2FsIFNjaWVuY2UsIFVuaXZlcnNpdHkgQ29sbGVnZSBEdWJsaW4sIE5hdGlvbmFsIE1hdGVy
bml0eSBIb3NwaXRhbCwgRHVibGluIDIsIElyZWxhbmQuIGNtY2dvd2FAZ21haWwuY29tLiYjeEQ7
VUNEIEluc3RpdHV0ZSBvZiBGb29kIGFuZCBIZWFsdGgsIFVuaXZlcnNpdHkgQ29sbGVnZSBEdWJs
aW4sIER1YmxpbiA0LCBJcmVsYW5kLiBlaWxlZW4uZ2libmV5QHVjZC5pZS4mI3hEO1VDRCBPYnN0
ZXRyaWNzIGFuZCBHeW5hZWNvbG9neSwgU2Nob29sIG9mIE1lZGljaW5lIGFuZCBNZWRpY2FsIFNj
aWVuY2UsIFVuaXZlcnNpdHkgQ29sbGVnZSBEdWJsaW4sIE5hdGlvbmFsIE1hdGVybml0eSBIb3Nw
aXRhbCwgRHVibGluIDIsIElyZWxhbmQuIGplYW5kb25uZWxseTgwQHlhaG9vLmNvLnVrLiYjeEQ7
VUNEIE9ic3RldHJpY3MgYW5kIEd5bmFlY29sb2d5LCBTY2hvb2wgb2YgTWVkaWNpbmUgYW5kIE1l
ZGljYWwgU2NpZW5jZSwgVW5pdmVyc2l0eSBDb2xsZWdlIER1YmxpbiwgTmF0aW9uYWwgTWF0ZXJu
aXR5IEhvc3BpdGFsLCBEdWJsaW4gMiwgSXJlbGFuZC4gZmlvbm51YWxhLm1jYXVsaWZmZUB1Y2Qu
aWUuPC9hdXRoLWFkZHJlc3M+PHRpdGxlcz48dGl0bGU+TWF0ZXJuYWwgZGlldCBhbmQgd2VpZ2h0
IGF0IDMgbW9udGhzIHBvc3RwYXJ0dW0gZm9sbG93aW5nIGEgcHJlZ25hbmN5IGludGVydmVudGlv
biB3aXRoIGEgbG93IGdseWNhZW1pYyBpbmRleCBkaWV0OiByZXN1bHRzIGZyb20gdGhlIFJPTE8g
cmFuZG9taXNlZCBjb250cm9sIHRyaWFsPC90aXRsZT48c2Vjb25kYXJ5LXRpdGxlPk51dHJpZW50
czwvc2Vjb25kYXJ5LXRpdGxlPjwvdGl0bGVzPjxwZXJpb2RpY2FsPjxmdWxsLXRpdGxlPk51dHJp
ZW50czwvZnVsbC10aXRsZT48L3BlcmlvZGljYWw+PHBhZ2VzPjI5NDYtNTU8L3BhZ2VzPjx2b2x1
bWU+Njwvdm9sdW1lPjxudW1iZXI+NzwvbnVtYmVyPjxlZGl0aW9uPjIwMTQvMDcvMjU8L2VkaXRp
b24+PGtleXdvcmRzPjxrZXl3b3JkPkFkdWx0PC9rZXl3b3JkPjxrZXl3b3JkPkJvZHkgTWFzcyBJ
bmRleDwva2V5d29yZD48a2V5d29yZD5CcmVhc3QgRmVlZGluZzwva2V5d29yZD48a2V5d29yZD4q
RGlldCwgQ2FyYm9oeWRyYXRlLVJlc3RyaWN0ZWQ8L2tleXdvcmQ+PGtleXdvcmQ+RW5lcmd5IElu
dGFrZTwva2V5d29yZD48a2V5d29yZD4qRmVlZGluZyBCZWhhdmlvcjwva2V5d29yZD48a2V5d29y
ZD5GZW1hbGU8L2tleXdvcmQ+PGtleXdvcmQ+KkdseWNlbWljIEluZGV4PC9rZXl3b3JkPjxrZXl3
b3JkPkhlYWx0aCBCZWhhdmlvcjwva2V5d29yZD48a2V5d29yZD5IdW1hbnM8L2tleXdvcmQ+PGtl
eXdvcmQ+TGlmZSBTdHlsZTwva2V5d29yZD48a2V5d29yZD4qTWF0ZXJuYWwgTnV0cml0aW9uYWwg
UGh5c2lvbG9naWNhbCBQaGVub21lbmE8L2tleXdvcmQ+PGtleXdvcmQ+TW90b3IgQWN0aXZpdHk8
L2tleXdvcmQ+PGtleXdvcmQ+T2Jlc2l0eS9wcmV2ZW50aW9uICZhbXA7IGNvbnRyb2w8L2tleXdv
cmQ+PGtleXdvcmQ+T3ZlcndlaWdodC9wcmV2ZW50aW9uICZhbXA7IGNvbnRyb2w8L2tleXdvcmQ+
PGtleXdvcmQ+KlBvc3RwYXJ0dW0gUGVyaW9kPC9rZXl3b3JkPjxrZXl3b3JkPlByZWduYW5jeTwv
a2V5d29yZD48a2V5d29yZD5QcmVnbmFuY3kgT3V0Y29tZTwva2V5d29yZD48a2V5d29yZD5TdXJ2
ZXlzIGFuZCBRdWVzdGlvbm5haXJlczwva2V5d29yZD48a2V5d29yZD4qV2VpZ2h0IEdhaW48L2tl
eXdvcmQ+PGtleXdvcmQ+V2VpZ2h0IExvc3M8L2tleXdvcmQ+PC9rZXl3b3Jkcz48ZGF0ZXM+PHll
YXI+MjAxNDwveWVhcj48cHViLWRhdGVzPjxkYXRlPkp1bCAyMzwvZGF0ZT48L3B1Yi1kYXRlcz48
L2RhdGVzPjxpc2JuPjIwNzItNjY0MyAoRWxlY3Ryb25pYykmI3hEOzIwNzItNjY0MyAoTGlua2lu
Zyk8L2lzYm4+PGFjY2Vzc2lvbi1udW0+MjUwNTcxMDM8L2FjY2Vzc2lvbi1udW0+PHVybHM+PHJl
bGF0ZWQtdXJscz48dXJsPmh0dHBzOi8vd3d3Lm5jYmkubmxtLm5paC5nb3YvcHVibWVkLzI1MDU3
MTAzPC91cmw+PC9yZWxhdGVkLXVybHM+PC91cmxzPjxjdXN0b20yPlBNQzQxMTM3NzE8L2N1c3Rv
bTI+PGVsZWN0cm9uaWMtcmVzb3VyY2UtbnVtPjEwLjMzOTAvbnU2MDcyOTQ2PC9lbGVjdHJvbmlj
LXJlc291cmNlLW51bT48L3JlY29yZD48L0NpdGU+PENpdGU+PEF1dGhvcj5Xb2xmZjwvQXV0aG9y
PjxZZWFyPjIwMDg8L1llYXI+PFJlY051bT4xMTQ2PC9SZWNOdW0+PHJlY29yZD48cmVjLW51bWJl
cj4xMTQ2PC9yZWMtbnVtYmVyPjxmb3JlaWduLWtleXM+PGtleSBhcHA9IkVOIiBkYi1pZD0iZXh2
YXNyZngyZHRyYW9lc2FzeHAyc3pzeGEyZGY1MDI1OTJ4IiB0aW1lc3RhbXA9IjE1NTU0NzY4OTUi
PjExNDY8L2tleT48L2ZvcmVpZ24ta2V5cz48cmVmLXR5cGUgbmFtZT0iSm91cm5hbCBBcnRpY2xl
Ij4xNzwvcmVmLXR5cGU+PGNvbnRyaWJ1dG9ycz48YXV0aG9ycz48YXV0aG9yPldvbGZmLCBTLjwv
YXV0aG9yPjxhdXRob3I+TGVnYXJ0aCwgSi48L2F1dGhvcj48YXV0aG9yPlZhbmdzZ2FhcmQsIEsu
PC9hdXRob3I+PGF1dGhvcj5Ub3Vicm8sIFMuPC9hdXRob3I+PGF1dGhvcj5Bc3RydXAsIEEuPC9h
dXRob3I+PC9hdXRob3JzPjwvY29udHJpYnV0b3JzPjxhdXRoLWFkZHJlc3M+RGVwYXJ0bWVudCBv
ZiBIdW1hbiBOdXRyaXRpb24sIEZhY3VsdHkgb2YgTGlmZSBTY2llbmNlLCBDb3BlbmhhZ2VuIFVu
aXZlcnNpdHksIENvcGVuaGFnZW4sIERlbm1hcmsuIHN3b0Bzc3QuZGs8L2F1dGgtYWRkcmVzcz48
dGl0bGVzPjx0aXRsZT5BIHJhbmRvbWl6ZWQgdHJpYWwgb2YgdGhlIGVmZmVjdHMgb2YgZGlldGFy
eSBjb3Vuc2VsaW5nIG9uIGdlc3RhdGlvbmFsIHdlaWdodCBnYWluIGFuZCBnbHVjb3NlIG1ldGFi
b2xpc20gaW4gb2Jlc2UgcHJlZ25hbnQgd29tZW48L3RpdGxlPjxzZWNvbmRhcnktdGl0bGU+SW50
IEogT2JlcyAoTG9uZCk8L3NlY29uZGFyeS10aXRsZT48L3RpdGxlcz48cGVyaW9kaWNhbD48ZnVs
bC10aXRsZT5JbnQgSiBPYmVzIChMb25kKTwvZnVsbC10aXRsZT48L3BlcmlvZGljYWw+PHBhZ2Vz
PjQ5NS01MDE8L3BhZ2VzPjx2b2x1bWU+MzI8L3ZvbHVtZT48bnVtYmVyPjM8L251bWJlcj48ZWRp
dGlvbj4yMDA4LzAxLzMwPC9lZGl0aW9uPjxrZXl3b3Jkcz48a2V5d29yZD5BZHVsdDwva2V5d29y
ZD48a2V5d29yZD5CbG9vZCBHbHVjb3NlLyptZXRhYm9saXNtPC9rZXl3b3JkPjxrZXl3b3JkPkJv
ZHkgTWFzcyBJbmRleDwva2V5d29yZD48a2V5d29yZD5Db3Vuc2VsaW5nLyptZXRob2RzPC9rZXl3
b3JkPjxrZXl3b3JkPipEaWV0PC9rZXl3b3JkPjxrZXl3b3JkPkRpZXQgUmVjb3Jkczwva2V5d29y
ZD48a2V5d29yZD5FbmVyZ3kgSW50YWtlL3BoeXNpb2xvZ3k8L2tleXdvcmQ+PGtleXdvcmQ+RmVt
YWxlPC9rZXl3b3JkPjxrZXl3b3JkPkdsdWNvc2UgVG9sZXJhbmNlIFRlc3Q8L2tleXdvcmQ+PGtl
eXdvcmQ+SHVtYW5zPC9rZXl3b3JkPjxrZXl3b3JkPkluc3VsaW4vbWV0YWJvbGlzbTwva2V5d29y
ZD48a2V5d29yZD5MZXB0aW4vbWV0YWJvbGlzbTwva2V5d29yZD48a2V5d29yZD5PYmVzaXR5Lypk
aWV0IHRoZXJhcHkvbWV0YWJvbGlzbTwva2V5d29yZD48a2V5d29yZD5QcmVnbmFuY3k8L2tleXdv
cmQ+PGtleXdvcmQ+KldlaWdodCBHYWluPC9rZXl3b3JkPjwva2V5d29yZHM+PGRhdGVzPjx5ZWFy
PjIwMDg8L3llYXI+PHB1Yi1kYXRlcz48ZGF0ZT5NYXI8L2RhdGU+PC9wdWItZGF0ZXM+PC9kYXRl
cz48aXNibj4xNDc2LTU0OTcgKEVsZWN0cm9uaWMpJiN4RDswMzA3LTA1NjUgKExpbmtpbmcpPC9p
c2JuPjxhY2Nlc3Npb24tbnVtPjE4MjI3ODQ3PC9hY2Nlc3Npb24tbnVtPjx1cmxzPjxyZWxhdGVk
LXVybHM+PHVybD5odHRwczovL3d3dy5uY2JpLm5sbS5uaWguZ292L3B1Ym1lZC8xODIyNzg0Nzwv
dXJsPjwvcmVsYXRlZC11cmxzPjwvdXJscz48ZWxlY3Ryb25pYy1yZXNvdXJjZS1udW0+MTAuMTAz
OC9zai5pam8uMDgwMzcxMDwvZWxlY3Ryb25pYy1yZXNvdXJjZS1udW0+PC9yZWNvcmQ+PC9DaXRl
PjwvRW5kTm90ZT5=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aXB0IiBmb250PSJUcmVidWNoZXQgTVMiIHNpemU9IjkiPjI0MCw0MDAsNDAyLDQwNC00MDY8L3N0
eWxlPjwvRGlzcGxheVRleHQ+PHJlY29yZD48cmVjLW51bWJlcj4xMzg5PC9yZWMtbnVtYmVyPjxm
b3JlaWduLWtleXM+PGtleSBhcHA9IkVOIiBkYi1pZD0iZXh2YXNyZngyZHRyYW9lc2FzeHAyc3pz
eGEyZGY1MDI1OTJ4IiB0aW1lc3RhbXA9IjE1Njc3NDI2NzEiPjEzODk8L2tleT48a2V5IGFwcD0i
RU5XZWIiIGRiLWlkPSIiPjA8L2tleT48L2ZvcmVpZ24ta2V5cz48cmVmLXR5cGUgbmFtZT0iSm91
cm5hbCBBcnRpY2xlIj4xNzwvcmVmLXR5cGU+PGNvbnRyaWJ1dG9ycz48YXV0aG9ycz48YXV0aG9y
PkFiZGVsLUF6aXosIFMuQi4sPC9hdXRob3I+PGF1dGhvcj5IZWdhenksIEkuUy4sPC9hdXRob3I+
PGF1dGhvcj5Nb2hhbWVkLCBELkEuLDwvYXV0aG9yPjxhdXRob3I+QWJ1IEVsIEthc2VtLCBNLk0u
QS4sPC9hdXRob3I+PGF1dGhvcj5IYWdhZywgUy5TLiw8L2F1dGhvcj48L2F1dGhvcnM+PC9jb250
cmlidXRvcnM+PGF1dGgtYWRkcmVzcz5QdWJsaWMgSGVhbHRoIGFuZCBDb21tdW5pdHkgTWVkaWNp
bmUgRGVwYXJ0bWVudCwgQWwgS2FzciBFTCBBaW5pLCBDYWlybyBVbml2ZXJzaXR5LCBFZ3lwdC4g
RWxlY3Ryb25pYyBhZGRyZXNzOiBTaGFpbWFhYmFoZXJAeWFob28uY29tLiYjeEQ7UHVibGljIEhl
YWx0aCBhbmQgQ29tbXVuaXR5IE1lZGljaW5lIERlcGFydG1lbnQsIEFsIEthc3IgRUwgQWluaSwg
Q2Fpcm8gVW5pdmVyc2l0eSwgRWd5cHQuJiN4RDtPYnN0ZXRyaWNzIGFuZCBHeW5lY29sb2d5IERl
cGFydG1lbnQsIEFsIEthc3IgRUwgQWluaSwgQ2Fpcm8gVW5pdmVyc2l0eSwgRWd5cHQuPC9hdXRo
LWFkZHJlc3M+PHRpdGxlcz48dGl0bGU+RWZmZWN0IG9mIGRpZXRhcnkgY291bnNlbGluZyBvbiBw
cmV2ZW50aW5nIGV4Y2Vzc2l2ZSB3ZWlnaHQgZ2FpbiBkdXJpbmcgcHJlZ25hbmN5PC90aXRsZT48
c2Vjb25kYXJ5LXRpdGxlPlB1YmxpYyBIZWFsdGg8L3NlY29uZGFyeS10aXRsZT48L3RpdGxlcz48
cGVyaW9kaWNhbD48ZnVsbC10aXRsZT5QdWJsaWMgSGVhbHRoPC9mdWxsLXRpdGxlPjwvcGVyaW9k
aWNhbD48cGFnZXM+MTcyLTE4MTwvcGFnZXM+PHZvbHVtZT4xNTQ8L3ZvbHVtZT48ZWRpdGlvbj4y
MDE3LzEyLzE5PC9lZGl0aW9uPjxrZXl3b3Jkcz48a2V5d29yZD5BZHVsdDwva2V5d29yZD48a2V5
d29yZD4qQ291bnNlbGluZzwva2V5d29yZD48a2V5d29yZD4qRGlldC9wc3ljaG9sb2d5PC9rZXl3
b3JkPjxrZXl3b3JkPkZlbWFsZTwva2V5d29yZD48a2V5d29yZD4qSGVhbHRoIEVkdWNhdGlvbjwv
a2V5d29yZD48a2V5d29yZD5IdW1hbnM8L2tleXdvcmQ+PGtleXdvcmQ+T2Jlc2l0eS8qcHJldmVu
dGlvbiAmYW1wOyBjb250cm9sPC9rZXl3b3JkPjxrZXl3b3JkPlByZWduYW5jeTwva2V5d29yZD48
a2V5d29yZD5Qcm9ncmFtIEV2YWx1YXRpb248L2tleXdvcmQ+PGtleXdvcmQ+WW91bmcgQWR1bHQ8
L2tleXdvcmQ+PGtleXdvcmQ+QmVoYXZpb3JhbCBpbnRlcnZlbnRpb248L2tleXdvcmQ+PGtleXdv
cmQ+RGlldGFyeSBjb3Vuc2VsaW5nPC9rZXl3b3JkPjxrZXl3b3JkPkV4Y2Vzc2l2ZSBnZXN0YXRp
b25hbCB3ZWlnaHQgZ2Fpbjwva2V5d29yZD48a2V5d29yZD5QcmVnbmFuY3kgb3V0Y29tZXM8L2tl
eXdvcmQ+PC9rZXl3b3Jkcz48ZGF0ZXM+PHllYXI+MjAxODwveWVhcj48cHViLWRhdGVzPjxkYXRl
PkphbjwvZGF0ZT48L3B1Yi1kYXRlcz48L2RhdGVzPjxpc2JuPjE0NzYtNTYxNiAoRWxlY3Ryb25p
YykmI3hEOzAwMzMtMzUwNiAoTGlua2luZyk8L2lzYm4+PGFjY2Vzc2lvbi1udW0+MjkyNDg4Mjc8
L2FjY2Vzc2lvbi1udW0+PHVybHM+PHJlbGF0ZWQtdXJscz48dXJsPmh0dHBzOi8vd3d3Lm5jYmku
bmxtLm5paC5nb3YvcHVibWVkLzI5MjQ4ODI3PC91cmw+PC9yZWxhdGVkLXVybHM+PC91cmxzPjxl
bGVjdHJvbmljLXJlc291cmNlLW51bT4xMC4xMDE2L2oucHVoZS4yMDE3LjEwLjAxNDwvZWxlY3Ry
b25pYy1yZXNvdXJjZS1udW0+PC9yZWNvcmQ+PC9DaXRlPjxDaXRlPjxBdXRob3I+TGFpdGluZW48
L0F1dGhvcj48WWVhcj4yMDA5PC9ZZWFyPjxSZWNOdW0+MTE0ODwvUmVjTnVtPjxyZWNvcmQ+PHJl
Yy1udW1iZXI+MTE0ODwvcmVjLW51bWJlcj48Zm9yZWlnbi1rZXlzPjxrZXkgYXBwPSJFTiIgZGIt
aWQ9ImV4dmFzcmZ4MmR0cmFvZXNhc3hwMnN6c3hhMmRmNTAyNTkyeCIgdGltZXN0YW1wPSIxNTU1
NTY2ODE2Ij4xMTQ4PC9rZXk+PGtleSBhcHA9IkVOV2ViIiBkYi1pZD0iIj4wPC9rZXk+PC9mb3Jl
aWduLWtleXM+PHJlZi10eXBlIG5hbWU9IkpvdXJuYWwgQXJ0aWNsZSI+MTc8L3JlZi10eXBlPjxj
b250cmlidXRvcnM+PGF1dGhvcnM+PGF1dGhvcj5MYWl0aW5lbiwgSy48L2F1dGhvcj48YXV0aG9y
PlBvdXNzYSwgVC48L2F1dGhvcj48YXV0aG9yPklzb2xhdXJpLCBFLjwvYXV0aG9yPjxhdXRob3I+
TnV0cml0aW9uLCBBbGxlcmd5IE11Y29zYWwgSW1tdW5vbG9neTwvYXV0aG9yPjxhdXRob3I+SW50
ZXN0aW5hbCBNaWNyb2Jpb3RhLCBHcm91cDwvYXV0aG9yPjwvYXV0aG9ycz48L2NvbnRyaWJ1dG9y
cz48YXV0aC1hZGRyZXNzPkRlcGFydG1lbnQgb2YgQmlvY2hlbWlzdHJ5IGFuZCBGb29kIENoZW1p
c3RyeSwgVW5pdmVyc2l0eSBvZiBUdXJrdSwgMjAwMTQgVHVya3UsIEZpbmxhbmQuIGtpcnNpLmxh
aXRpbmVuQHV0dS5maTwvYXV0aC1hZGRyZXNzPjx0aXRsZXM+PHRpdGxlPlByb2Jpb3RpY3MgYW5k
IGRpZXRhcnkgY291bnNlbGxpbmcgY29udHJpYnV0ZSB0byBnbHVjb3NlIHJlZ3VsYXRpb24gZHVy
aW5nIGFuZCBhZnRlciBwcmVnbmFuY3k6IGEgcmFuZG9taXNlZCBjb250cm9sbGVkIHRyaWFsPC90
aXRsZT48c2Vjb25kYXJ5LXRpdGxlPkJyIEogTnV0cjwvc2Vjb25kYXJ5LXRpdGxlPjwvdGl0bGVz
PjxwZXJpb2RpY2FsPjxmdWxsLXRpdGxlPkJyIEogTnV0cjwvZnVsbC10aXRsZT48L3BlcmlvZGlj
YWw+PHBhZ2VzPjE2NzktODc8L3BhZ2VzPjx2b2x1bWU+MTAxPC92b2x1bWU+PG51bWJlcj4xMTwv
bnVtYmVyPjxlZGl0aW9uPjIwMDgvMTEvMjA8L2VkaXRpb24+PGtleXdvcmRzPjxrZXl3b3JkPkFk
dWx0PC9rZXl3b3JkPjxrZXl3b3JkPkJsb29kIEdsdWNvc2UvKm1ldGFib2xpc208L2tleXdvcmQ+
PGtleXdvcmQ+Q291bnNlbGluZzwva2V5d29yZD48a2V5d29yZD4qRGlldDwva2V5d29yZD48a2V5
d29yZD5FbmVyZ3kgSW50YWtlL3BoeXNpb2xvZ3k8L2tleXdvcmQ+PGtleXdvcmQ+RmVtYWxlPC9r
ZXl3b3JkPjxrZXl3b3JkPkh1bWFuczwva2V5d29yZD48a2V5d29yZD5JbnN1bGluL2Jsb29kPC9r
ZXl3b3JkPjxrZXl3b3JkPkluc3VsaW4gUmVzaXN0YW5jZS9waHlzaW9sb2d5PC9rZXl3b3JkPjxr
ZXl3b3JkPk1hdGVybmFsIE51dHJpdGlvbmFsIFBoeXNpb2xvZ2ljYWwgUGhlbm9tZW5hLypwaHlz
aW9sb2d5PC9rZXl3b3JkPjxrZXl3b3JkPlBvc3RwYXJ0dW0gUGVyaW9kL2Jsb29kPC9rZXl3b3Jk
PjxrZXl3b3JkPlByZWduYW5jeS8qYmxvb2Q8L2tleXdvcmQ+PGtleXdvcmQ+KlByb2Jpb3RpY3M8
L2tleXdvcmQ+PGtleXdvcmQ+UHJvc3BlY3RpdmUgU3R1ZGllczwva2V5d29yZD48a2V5d29yZD5Z
b3VuZyBBZHVsdDwva2V5d29yZD48L2tleXdvcmRzPjxkYXRlcz48eWVhcj4yMDA5PC95ZWFyPjxw
dWItZGF0ZXM+PGRhdGU+SnVuPC9kYXRlPjwvcHViLWRhdGVzPjwvZGF0ZXM+PGlzYm4+MTQ3NS0y
NjYyIChFbGVjdHJvbmljKSYjeEQ7MDAwNy0xMTQ1IChMaW5raW5nKTwvaXNibj48YWNjZXNzaW9u
LW51bT4xOTAxNzQxODwvYWNjZXNzaW9uLW51bT48dXJscz48cmVsYXRlZC11cmxzPjx1cmw+aHR0
cHM6Ly93d3cubmNiaS5ubG0ubmloLmdvdi9wdWJtZWQvMTkwMTc0MTg8L3VybD48L3JlbGF0ZWQt
dXJscz48L3VybHM+PGVsZWN0cm9uaWMtcmVzb3VyY2UtbnVtPjEwLjEwMTcvUzAwMDcxMTQ1MDgx
MTE0NjE8L2VsZWN0cm9uaWMtcmVzb3VyY2UtbnVtPjwvcmVjb3JkPjwvQ2l0ZT48Q2l0ZT48QXV0
aG9yPlNpbW1vbnM8L0F1dGhvcj48WWVhcj4yMDE3PC9ZZWFyPjxSZWNOdW0+MTA1NzwvUmVjTnVt
PjxyZWNvcmQ+PHJlYy1udW1iZXI+MTA1NzwvcmVjLW51bWJlcj48Zm9yZWlnbi1rZXlzPjxrZXkg
YXBwPSJFTiIgZGItaWQ9ImV4dmFzcmZ4MmR0cmFvZXNhc3hwMnN6c3hhMmRmNTAyNTkyeCIgdGlt
ZXN0YW1wPSIxNTQ4OTgzNDc2Ij4xMDU3PC9rZXk+PC9mb3JlaWduLWtleXM+PHJlZi10eXBlIG5h
bWU9IkpvdXJuYWwgQXJ0aWNsZSI+MTc8L3JlZi10eXBlPjxjb250cmlidXRvcnM+PGF1dGhvcnM+
PGF1dGhvcj5TaW1tb25zLCBELjwvYXV0aG9yPjxhdXRob3I+RGV2bGllZ2VyLCBSLjwvYXV0aG9y
PjxhdXRob3I+dmFuIEFzc2NoZSwgQS48L2F1dGhvcj48YXV0aG9yPkphbnMsIEcuPC9hdXRob3I+
PGF1dGhvcj5HYWxqYWFyZCwgUy48L2F1dGhvcj48YXV0aG9yPkNvcmNveSwgUi48L2F1dGhvcj48
YXV0aG9yPkFkZWxhbnRhZG8sIEouIE0uPC9hdXRob3I+PGF1dGhvcj5EdW5uZSwgRi48L2F1dGhv
cj48YXV0aG9yPkRlc295ZSwgRy48L2F1dGhvcj48YXV0aG9yPkhhcnJlaXRlciwgSi48L2F1dGhv
cj48YXV0aG9yPkthdXR6a3ktV2lsbGVyLCBBLjwvYXV0aG9yPjxhdXRob3I+RGFtbSwgUC48L2F1
dGhvcj48YXV0aG9yPk1hdGhpZXNlbiwgRS4gUi48L2F1dGhvcj48YXV0aG9yPkplbnNlbiwgRC4g
TS48L2F1dGhvcj48YXV0aG9yPkFuZGVyc2VuLCBMLjwvYXV0aG9yPjxhdXRob3I+TGFwb2xsYSwg
QS48L2F1dGhvcj48YXV0aG9yPkRhbGZyYSwgTS4gRy48L2F1dGhvcj48YXV0aG9yPkJlcnRvbG90
dG8sIEEuPC9hdXRob3I+PGF1dGhvcj5XZW5kZXItT3plZ293c2thLCBFLjwvYXV0aG9yPjxhdXRo
b3I+WmF3aWVqc2thLCBBLjwvYXV0aG9yPjxhdXRob3I+SGlsbCwgRC48L2F1dGhvcj48YXV0aG9y
PlNub2VrLCBGLiBKLjwvYXV0aG9yPjxhdXRob3I+SmVsc21hLCBKLiBHLjwvYXV0aG9yPjxhdXRo
b3I+dmFuIFBvcHBlbCwgTS4gTi48L2F1dGhvcj48L2F1dGhvcnM+PC9jb250cmlidXRvcnM+PGF1
dGgtYWRkcmVzcz5XZXN0ZXJuIFN5ZG5leSBVbml2ZXJzaXR5LCBDYW1wYmVsbHRvd24sIE5ldyBT
b3V0aCBXYWxlcyAyNTYwLCBBdXN0cmFsaWEuJiN4RDtJbnN0aXR1dGUgb2YgTWV0YWJvbGljIFNj
aWVuY2UsIEFkZGVuYnJvb2tlJmFwb3M7cyBIb3NwaXRhbCwgQ2FtYnJpZGdlLCBDQjIgMFFRIEVu
Z2xhbmQuJiN4RDtEZXBhcnRtZW50IG9mIERldmVsb3BtZW50IGFuZCBSZWdlbmVyYXRpb246IFBy
ZWduYW5jeSwgRmV0dXMgYW5kIE5lb25hdGUsIEd5bmFlY29sb2d5IGFuZCBPYnN0ZXRyaWNzLCBV
bml2ZXJzaXR5IEhvc3BpdGFscywgS2F0aG9saWVrZSBVbml2ZXJzaXRlaXQgTGV1dmVuLCBMZXV2
ZW4sIEJlbGdpdW0uJiN4RDtEaXZpc2lvbiBvZiBPYnN0ZXRyaWNzIGFuZCBQcmVuYXRhbCBNZWRp
Y2luZSwgRGVwYXJ0bWVudCBvZiBPYnN0ZXRyaWNzIGFuZCBHeW5hZWNvbG9neSwgRXJhc211cyBV
bml2ZXJzaXR5IE1lZGljYWwgQ2VudGVyIFJvdHRlcmRhbSwgUm90dGVyZGFtLCBUaGUgTmV0aGVy
bGFuZHMuJiN4RDtJbnN0aXR1dCBkZSBSZWNlcmNhIGRlIGwgSG9zcGl0YWwgZGUgbGEgU2FudGEg
Q3JldSBpIFNhbnQgUGF1LCBCYXJjZWxvbmEsIFNwYWluLiYjeEQ7Q0lCRVIgQmlvZW5naW5lZXJp
bmcsIEJpb21hdGVyaWFscyBhbmQgTmFub3RlY2hub2xvZ3ksIEluc3RpdHV0byBkZSBTYWx1ZCBD
YXJsb3MgSUlJLCBaYXJhZ296YSwgU3BhaW4uJiN4RDtHYWx3YXkgRGlhYmV0ZXMgUmVzZWFyY2gg
Q2VudHJlIGFuZCBDb2xsZWdlIG9mIE1lZGljaW5lIE51cnNpbmcgYW5kIEhlYWx0aCBTY2llbmNl
cywgTmF0aW9uYWwgVW5pdmVyc2l0eSBvZiBJcmVsYW5kLCBHYWx3YXksIElyZWxhbmQuJiN4RDtE
ZXBhcnRtZW50IG9mIE9ic3RldHJpY3MgYW5kIEd5bmVjb2xvZ3ksIE1lZGl6aW5pc2NoZSBVbml2
ZXJzaXRhZXQgR3JheiwgR3JheiwgQXVzdHJpYS4mI3hEO0dlbmRlciBNZWRpY2luZSBVbml0LCBF
bmRvY3Jpbm9sb2d5IGFuZCBNZXRhYm9saXNtLCBEZXBhcnRtZW50IG9mIEludGVybmFsIE1lZGlj
aW5lIElJSSwgTWVkaWNhbCBVbml2ZXJzaXR5IG9mIFZpZW5uYSwgVmllbm5hLCBBdXN0cmlhLiYj
eEQ7Q2VudGVyIGZvciBQcmVnbmFudCBXb21lbiB3aXRoIERpYWJldGVzLCBEZXBhcnRtZW50cyBv
ZiBFbmRvY3Jpbm9sb2d5IGFuZCBPYnN0ZXRyaWNzLCBSaWdzaG9zcGl0YWxldCwgSW5zdGl0dXRl
IG9mIENsaW5pY2FsIE1lZGljaW5lLCBGYWN1bHR5IG9mIEhlYWx0aCBhbmQgTWVkaWNhbCBTY2ll
bmNlcywgVW5pdmVyc2l0eSBvZiBDb3BlbmhhZ2VuLCBDb3BlbmhhZ2VuLCBEZW5tYXJrLiYjeEQ7
RGVwYXJ0bWVudCBvZiBFbmRvY3Jpbm9sb2d5IGFuZCBEZXBhcnRtZW50IG9mIEd5bmVjb2xvZ3kg
YW5kIE9ic3RldHJpY3MsIE9kZW5zZSBVbml2ZXJzaXR5IEhvc3BpdGFsLCBPZGVuc2UsIERlbm1h
cmsuJiN4RDtEZXBhcnRtZW50IG9mIENsaW5pY2FsIFJlc2VhcmNoLCBGYWN1bHR5IG9mIEhlYWx0
aCBTY2llbmNlcywgVW5pdmVyc2l0eSBvZiBTb3V0aGVybiBEZW5tYXJrLCBPZGVuc2UsIERlbm1h
cmsuJiN4RDtVbml2ZXJzaXRhIERlZ2xpIFN0dWRpIGRpIFBhZG92YSwgUGFkdWEsIEl0YWx5LiYj
eEQ7QXppZW5kYSBPc3BlZGFsaWVybyBVbml2ZXJzaXRhcmlhLVBpc2EsIFBpc2EgSXRhbHkuJiN4
RDtNZWRpY2FsIEZhY3VsdHkgSSwgUG96bmFuIFVuaXZlcnNpdHkgb2YgTWVkaWNhbCBTY2llbmNl
cywgUG96bmFuLCBQb2xhbmQuJiN4RDtSZWNoZXJjaGUgZW4gU2FudGUgTGF3c29uIFNBLCBCcm9u
c2NoaG9mZW4sIFN3aXR6ZXJsYW5kLiYjeEQ7RGVwYXJ0bWVudCBvZiBNZWRpY2FsIFBzeWNob2xv
Z3ksIEVNR08rIEluc3RpdHV0ZSBmb3IgSGVhbHRoIGFuZCBDYXJlIFJlc2VhcmNoLCBWVSBVbml2
ZXJzaXR5IE1lZGljYWwgQ2VudHJlLCBBbXN0ZXJkYW0sIFRoZSBOZXRoZXJsYW5kcy4mI3hEO0Rl
cGFydG1lbnQgb2YgTWVkaWNhbCBQc3ljaG9sb2d5LCBBY2FkZW1pYyBNZWRpY2FsIENlbnRyZSwg
QW1zdGVyZGFtLCBUaGUgTmV0aGVybGFuZHMuJiN4RDtEZXBhcnRtZW50IG9mIFB1YmxpYyBhbmQg
T2NjdXBhdGlvbmFsIEhlYWx0aCwgRU1HTysgSW5zdGl0dXRlIGZvciBIZWFsdGggYW5kIENhcmUg
UmVzZWFyY2gsIFZVIFVuaXZlcnNpdHkgTWVkaWNhbCBDZW50cmUsIEFtc3RlcmRhbSwgVGhlIE5l
dGhlcmxhbmRzOyBhbmQuJiN4RDtJbnN0aXR1dGUgb2YgU3BvcnQgU2NpZW5jZSwgVW5pdmVyc2l0
eSBvZiBHcmF6LCBHcmF6LCBBdXN0cmlhLjwvYXV0aC1hZGRyZXNzPjx0aXRsZXM+PHRpdGxlPkVm
ZmVjdCBvZiBQaHlzaWNhbCBBY3Rpdml0eSBhbmQvb3IgSGVhbHRoeSBFYXRpbmcgb24gR0RNIFJp
c2s6IFRoZSBEQUxJIExpZmVzdHlsZSBTdHVkeTwvdGl0bGU+PHNlY29uZGFyeS10aXRsZT5KIENs
aW4gRW5kb2NyaW5vbCBNZXRhYjwvc2Vjb25kYXJ5LXRpdGxlPjwvdGl0bGVzPjxwZXJpb2RpY2Fs
PjxmdWxsLXRpdGxlPkogQ2xpbiBFbmRvY3Jpbm9sIE1ldGFiPC9mdWxsLXRpdGxlPjwvcGVyaW9k
aWNhbD48cGFnZXM+OTAzLTkxMzwvcGFnZXM+PHZvbHVtZT4xMDI8L3ZvbHVtZT48bnVtYmVyPjM8
L251bWJlcj48ZWRpdGlvbj4yMDE2LzEyLzEwPC9lZGl0aW9uPjxkYXRlcz48eWVhcj4yMDE3PC95
ZWFyPjxwdWItZGF0ZXM+PGRhdGU+TWFyIDE8L2RhdGU+PC9wdWItZGF0ZXM+PC9kYXRlcz48aXNi
bj4xOTQ1LTcxOTcgKEVsZWN0cm9uaWMpJiN4RDswMDIxLTk3MlggKExpbmtpbmcpPC9pc2JuPjxh
Y2Nlc3Npb24tbnVtPjI3OTM1NzY3PC9hY2Nlc3Npb24tbnVtPjx1cmxzPjxyZWxhdGVkLXVybHM+
PHVybD5odHRwczovL3d3dy5uY2JpLm5sbS5uaWguZ292L3B1Ym1lZC8yNzkzNTc2NzwvdXJsPjwv
cmVsYXRlZC11cmxzPjwvdXJscz48Y3VzdG9tMj5QTUM1NDYwNjg4PC9jdXN0b20yPjxlbGVjdHJv
bmljLXJlc291cmNlLW51bT4xMC4xMjEwL2pjLjIwMTYtMzQ1NTwvZWxlY3Ryb25pYy1yZXNvdXJj
ZS1udW0+PC9yZWNvcmQ+PC9DaXRlPjxDaXRlPjxBdXRob3I+V2Fsc2g8L0F1dGhvcj48WWVhcj4y
MDEyPC9ZZWFyPjxSZWNOdW0+MTE0MTwvUmVjTnVtPjxyZWNvcmQ+PHJlYy1udW1iZXI+MTE0MTwv
cmVjLW51bWJlcj48Zm9yZWlnbi1rZXlzPjxrZXkgYXBwPSJFTiIgZGItaWQ9ImV4dmFzcmZ4MmR0
cmFvZXNhc3hwMnN6c3hhMmRmNTAyNTkyeCIgdGltZXN0YW1wPSIxNTU1NDc1NzQ3Ij4xMTQxPC9r
ZXk+PC9mb3JlaWduLWtleXM+PHJlZi10eXBlIG5hbWU9IkpvdXJuYWwgQXJ0aWNsZSI+MTc8L3Jl
Zi10eXBlPjxjb250cmlidXRvcnM+PGF1dGhvcnM+PGF1dGhvcj5XYWxzaCwgSi4gTS48L2F1dGhv
cj48YXV0aG9yPk1jR293YW4sIEMuIEEuPC9hdXRob3I+PGF1dGhvcj5NYWhvbnksIFIuPC9hdXRo
b3I+PGF1dGhvcj5Gb2xleSwgTS4gRS48L2F1dGhvcj48YXV0aG9yPk1jQXVsaWZmZSwgRi4gTS48
L2F1dGhvcj48L2F1dGhvcnM+PC9jb250cmlidXRvcnM+PGF1dGgtYWRkcmVzcz5VQ0QgT2JzdGV0
cmljcyBhbmQgR3luYWVjb2xvZ3ksIFNjaG9vbCBvZiBNZWRpY2luZSBhbmQgTWVkaWNhbCBTY2ll
bmNlLCBVbml2ZXJzaXR5IENvbGxlZ2UgRHVibGluLCBOYXRpb25hbCBNYXRlcm5pdHkgSG9zcGl0
YWwsIER1YmxpbiwgSXJlbGFuZC48L2F1dGgtYWRkcmVzcz48dGl0bGVzPjx0aXRsZT5Mb3cgZ2x5
Y2FlbWljIGluZGV4IGRpZXQgaW4gcHJlZ25hbmN5IHRvIHByZXZlbnQgbWFjcm9zb21pYSAoUk9M
TyBzdHVkeSk6IHJhbmRvbWlzZWQgY29udHJvbCB0cmlhbDwvdGl0bGU+PHNlY29uZGFyeS10aXRs
ZT5CTUo8L3NlY29uZGFyeS10aXRsZT48L3RpdGxlcz48cGVyaW9kaWNhbD48ZnVsbC10aXRsZT5C
TUo8L2Z1bGwtdGl0bGU+PC9wZXJpb2RpY2FsPjxwYWdlcz5lNTYwNTwvcGFnZXM+PHZvbHVtZT4z
NDU8L3ZvbHVtZT48ZWRpdGlvbj4yMDEyLzA5LzAxPC9lZGl0aW9uPjxrZXl3b3Jkcz48a2V5d29y
ZD5BZHVsdDwva2V5d29yZD48a2V5d29yZD5BbnRocm9wb21ldHJ5PC9rZXl3b3JkPjxrZXl3b3Jk
PkJvZHkgTWFzcyBJbmRleDwva2V5d29yZD48a2V5d29yZD4qRGlldCwgQ2FyYm9oeWRyYXRlLVJl
c3RyaWN0ZWQ8L2tleXdvcmQ+PGtleXdvcmQ+RGlldGFyeSBDYXJib2h5ZHJhdGVzL2FkbWluaXN0
cmF0aW9uICZhbXA7IGRvc2FnZS9hZHZlcnNlIGVmZmVjdHM8L2tleXdvcmQ+PGtleXdvcmQ+RmVt
YWxlPC9rZXl3b3JkPjxrZXl3b3JkPkZldGFsIE1hY3Jvc29taWEvKmVwaWRlbWlvbG9neS9wcmV2
ZW50aW9uICZhbXA7IGNvbnRyb2w8L2tleXdvcmQ+PGtleXdvcmQ+R2VzdGF0aW9uYWwgQWdlPC9r
ZXl3b3JkPjxrZXl3b3JkPkdsdWNvc2UgVG9sZXJhbmNlIFRlc3Q8L2tleXdvcmQ+PGtleXdvcmQ+
R2x5Y2VtaWMgSW5kZXg8L2tleXdvcmQ+PGtleXdvcmQ+SHVtYW5zPC9rZXl3b3JkPjxrZXl3b3Jk
PkluY2lkZW5jZTwva2V5d29yZD48a2V5d29yZD5NYXRlcm5hbCBOdXRyaXRpb25hbCBQaHlzaW9s
b2dpY2FsIFBoZW5vbWVuYTwva2V5d29yZD48a2V5d29yZD5QcmVnbmFuY3k8L2tleXdvcmQ+PGtl
eXdvcmQ+UHJlZ25hbmN5IENvbXBsaWNhdGlvbnMvKmVwaWRlbWlvbG9neS9wcmV2ZW50aW9uICZh
bXA7IGNvbnRyb2w8L2tleXdvcmQ+PGtleXdvcmQ+UmlzayBGYWN0b3JzPC9rZXl3b3JkPjxrZXl3
b3JkPlNlY29uZGFyeSBQcmV2ZW50aW9uPC9rZXl3b3JkPjxrZXl3b3JkPlRyZWF0bWVudCBPdXRj
b21lPC9rZXl3b3JkPjxrZXl3b3JkPldlaWdodCBHYWluL3BoeXNpb2xvZ3k8L2tleXdvcmQ+PC9r
ZXl3b3Jkcz48ZGF0ZXM+PHllYXI+MjAxMjwveWVhcj48cHViLWRhdGVzPjxkYXRlPkF1ZyAzMDwv
ZGF0ZT48L3B1Yi1kYXRlcz48L2RhdGVzPjxpc2JuPjE3NTYtMTgzMyAoRWxlY3Ryb25pYykmI3hE
OzA5NTktODEzOCAoTGlua2luZyk8L2lzYm4+PGFjY2Vzc2lvbi1udW0+MjI5MzY3OTU8L2FjY2Vz
c2lvbi1udW0+PHVybHM+PHJlbGF0ZWQtdXJscz48dXJsPmh0dHBzOi8vd3d3Lm5jYmkubmxtLm5p
aC5nb3YvcHVibWVkLzIyOTM2Nzk1PC91cmw+PC9yZWxhdGVkLXVybHM+PC91cmxzPjxjdXN0b20y
PlBNQzM0MzEyODU8L2N1c3RvbTI+PGVsZWN0cm9uaWMtcmVzb3VyY2UtbnVtPjEwLjExMzYvYm1q
LmU1NjA1PC9lbGVjdHJvbmljLXJlc291cmNlLW51bT48L3JlY29yZD48L0NpdGU+PENpdGU+PEF1
dGhvcj5Ib3JhbjwvQXV0aG9yPjxZZWFyPjIwMTQ8L1llYXI+PFJlY051bT45MDU8L1JlY051bT48
cmVjb3JkPjxyZWMtbnVtYmVyPjkwNTwvcmVjLW51bWJlcj48Zm9yZWlnbi1rZXlzPjxrZXkgYXBw
PSJFTiIgZGItaWQ9ImV4dmFzcmZ4MmR0cmFvZXNhc3hwMnN6c3hhMmRmNTAyNTkyeCIgdGltZXN0
YW1wPSIxNTQxNTQwODM5Ij45MDU8L2tleT48a2V5IGFwcD0iRU5XZWIiIGRiLWlkPSIiPjA8L2tl
eT48L2ZvcmVpZ24ta2V5cz48cmVmLXR5cGUgbmFtZT0iSm91cm5hbCBBcnRpY2xlIj4xNzwvcmVm
LXR5cGU+PGNvbnRyaWJ1dG9ycz48YXV0aG9ycz48YXV0aG9yPkhvcmFuLCBNLiBLLjwvYXV0aG9y
PjxhdXRob3I+TWNHb3dhbiwgQy4gQS48L2F1dGhvcj48YXV0aG9yPkdpYm5leSwgRS4gUi48L2F1
dGhvcj48YXV0aG9yPkRvbm5lbGx5LCBKLiBNLjwvYXV0aG9yPjxhdXRob3I+TWNBdWxpZmZlLCBG
LiBNLjwvYXV0aG9yPjwvYXV0aG9ycz48L2NvbnRyaWJ1dG9ycz48YXV0aC1hZGRyZXNzPlVDRCBP
YnN0ZXRyaWNzIGFuZCBHeW5hZWNvbG9neSwgU2Nob29sIG9mIE1lZGljaW5lIGFuZCBNZWRpY2Fs
IFNjaWVuY2UsIFVuaXZlcnNpdHkgQ29sbGVnZSBEdWJsaW4sIE5hdGlvbmFsIE1hdGVybml0eSBI
b3NwaXRhbCwgRHVibGluIDIsIElyZWxhbmQuIG1hcnkuaG9yYW5AdWNkY29ubmVjdC5pZS4mI3hE
O1VDRCBPYnN0ZXRyaWNzIGFuZCBHeW5hZWNvbG9neSwgU2Nob29sIG9mIE1lZGljaW5lIGFuZCBN
ZWRpY2FsIFNjaWVuY2UsIFVuaXZlcnNpdHkgQ29sbGVnZSBEdWJsaW4sIE5hdGlvbmFsIE1hdGVy
bml0eSBIb3NwaXRhbCwgRHVibGluIDIsIElyZWxhbmQuIGNtY2dvd2FAZ21haWwuY29tLiYjeEQ7
VUNEIEluc3RpdHV0ZSBvZiBGb29kIGFuZCBIZWFsdGgsIFVuaXZlcnNpdHkgQ29sbGVnZSBEdWJs
aW4sIER1YmxpbiA0LCBJcmVsYW5kLiBlaWxlZW4uZ2libmV5QHVjZC5pZS4mI3hEO1VDRCBPYnN0
ZXRyaWNzIGFuZCBHeW5hZWNvbG9neSwgU2Nob29sIG9mIE1lZGljaW5lIGFuZCBNZWRpY2FsIFNj
aWVuY2UsIFVuaXZlcnNpdHkgQ29sbGVnZSBEdWJsaW4sIE5hdGlvbmFsIE1hdGVybml0eSBIb3Nw
aXRhbCwgRHVibGluIDIsIElyZWxhbmQuIGplYW5kb25uZWxseTgwQHlhaG9vLmNvLnVrLiYjeEQ7
VUNEIE9ic3RldHJpY3MgYW5kIEd5bmFlY29sb2d5LCBTY2hvb2wgb2YgTWVkaWNpbmUgYW5kIE1l
ZGljYWwgU2NpZW5jZSwgVW5pdmVyc2l0eSBDb2xsZWdlIER1YmxpbiwgTmF0aW9uYWwgTWF0ZXJu
aXR5IEhvc3BpdGFsLCBEdWJsaW4gMiwgSXJlbGFuZC4gZmlvbm51YWxhLm1jYXVsaWZmZUB1Y2Qu
aWUuPC9hdXRoLWFkZHJlc3M+PHRpdGxlcz48dGl0bGU+TWF0ZXJuYWwgZGlldCBhbmQgd2VpZ2h0
IGF0IDMgbW9udGhzIHBvc3RwYXJ0dW0gZm9sbG93aW5nIGEgcHJlZ25hbmN5IGludGVydmVudGlv
biB3aXRoIGEgbG93IGdseWNhZW1pYyBpbmRleCBkaWV0OiByZXN1bHRzIGZyb20gdGhlIFJPTE8g
cmFuZG9taXNlZCBjb250cm9sIHRyaWFsPC90aXRsZT48c2Vjb25kYXJ5LXRpdGxlPk51dHJpZW50
czwvc2Vjb25kYXJ5LXRpdGxlPjwvdGl0bGVzPjxwZXJpb2RpY2FsPjxmdWxsLXRpdGxlPk51dHJp
ZW50czwvZnVsbC10aXRsZT48L3BlcmlvZGljYWw+PHBhZ2VzPjI5NDYtNTU8L3BhZ2VzPjx2b2x1
bWU+Njwvdm9sdW1lPjxudW1iZXI+NzwvbnVtYmVyPjxlZGl0aW9uPjIwMTQvMDcvMjU8L2VkaXRp
b24+PGtleXdvcmRzPjxrZXl3b3JkPkFkdWx0PC9rZXl3b3JkPjxrZXl3b3JkPkJvZHkgTWFzcyBJ
bmRleDwva2V5d29yZD48a2V5d29yZD5CcmVhc3QgRmVlZGluZzwva2V5d29yZD48a2V5d29yZD4q
RGlldCwgQ2FyYm9oeWRyYXRlLVJlc3RyaWN0ZWQ8L2tleXdvcmQ+PGtleXdvcmQ+RW5lcmd5IElu
dGFrZTwva2V5d29yZD48a2V5d29yZD4qRmVlZGluZyBCZWhhdmlvcjwva2V5d29yZD48a2V5d29y
ZD5GZW1hbGU8L2tleXdvcmQ+PGtleXdvcmQ+KkdseWNlbWljIEluZGV4PC9rZXl3b3JkPjxrZXl3
b3JkPkhlYWx0aCBCZWhhdmlvcjwva2V5d29yZD48a2V5d29yZD5IdW1hbnM8L2tleXdvcmQ+PGtl
eXdvcmQ+TGlmZSBTdHlsZTwva2V5d29yZD48a2V5d29yZD4qTWF0ZXJuYWwgTnV0cml0aW9uYWwg
UGh5c2lvbG9naWNhbCBQaGVub21lbmE8L2tleXdvcmQ+PGtleXdvcmQ+TW90b3IgQWN0aXZpdHk8
L2tleXdvcmQ+PGtleXdvcmQ+T2Jlc2l0eS9wcmV2ZW50aW9uICZhbXA7IGNvbnRyb2w8L2tleXdv
cmQ+PGtleXdvcmQ+T3ZlcndlaWdodC9wcmV2ZW50aW9uICZhbXA7IGNvbnRyb2w8L2tleXdvcmQ+
PGtleXdvcmQ+KlBvc3RwYXJ0dW0gUGVyaW9kPC9rZXl3b3JkPjxrZXl3b3JkPlByZWduYW5jeTwv
a2V5d29yZD48a2V5d29yZD5QcmVnbmFuY3kgT3V0Y29tZTwva2V5d29yZD48a2V5d29yZD5TdXJ2
ZXlzIGFuZCBRdWVzdGlvbm5haXJlczwva2V5d29yZD48a2V5d29yZD4qV2VpZ2h0IEdhaW48L2tl
eXdvcmQ+PGtleXdvcmQ+V2VpZ2h0IExvc3M8L2tleXdvcmQ+PC9rZXl3b3Jkcz48ZGF0ZXM+PHll
YXI+MjAxNDwveWVhcj48cHViLWRhdGVzPjxkYXRlPkp1bCAyMzwvZGF0ZT48L3B1Yi1kYXRlcz48
L2RhdGVzPjxpc2JuPjIwNzItNjY0MyAoRWxlY3Ryb25pYykmI3hEOzIwNzItNjY0MyAoTGlua2lu
Zyk8L2lzYm4+PGFjY2Vzc2lvbi1udW0+MjUwNTcxMDM8L2FjY2Vzc2lvbi1udW0+PHVybHM+PHJl
bGF0ZWQtdXJscz48dXJsPmh0dHBzOi8vd3d3Lm5jYmkubmxtLm5paC5nb3YvcHVibWVkLzI1MDU3
MTAzPC91cmw+PC9yZWxhdGVkLXVybHM+PC91cmxzPjxjdXN0b20yPlBNQzQxMTM3NzE8L2N1c3Rv
bTI+PGVsZWN0cm9uaWMtcmVzb3VyY2UtbnVtPjEwLjMzOTAvbnU2MDcyOTQ2PC9lbGVjdHJvbmlj
LXJlc291cmNlLW51bT48L3JlY29yZD48L0NpdGU+PENpdGU+PEF1dGhvcj5Xb2xmZjwvQXV0aG9y
PjxZZWFyPjIwMDg8L1llYXI+PFJlY051bT4xMTQ2PC9SZWNOdW0+PHJlY29yZD48cmVjLW51bWJl
cj4xMTQ2PC9yZWMtbnVtYmVyPjxmb3JlaWduLWtleXM+PGtleSBhcHA9IkVOIiBkYi1pZD0iZXh2
YXNyZngyZHRyYW9lc2FzeHAyc3pzeGEyZGY1MDI1OTJ4IiB0aW1lc3RhbXA9IjE1NTU0NzY4OTUi
PjExNDY8L2tleT48L2ZvcmVpZ24ta2V5cz48cmVmLXR5cGUgbmFtZT0iSm91cm5hbCBBcnRpY2xl
Ij4xNzwvcmVmLXR5cGU+PGNvbnRyaWJ1dG9ycz48YXV0aG9ycz48YXV0aG9yPldvbGZmLCBTLjwv
YXV0aG9yPjxhdXRob3I+TGVnYXJ0aCwgSi48L2F1dGhvcj48YXV0aG9yPlZhbmdzZ2FhcmQsIEsu
PC9hdXRob3I+PGF1dGhvcj5Ub3Vicm8sIFMuPC9hdXRob3I+PGF1dGhvcj5Bc3RydXAsIEEuPC9h
dXRob3I+PC9hdXRob3JzPjwvY29udHJpYnV0b3JzPjxhdXRoLWFkZHJlc3M+RGVwYXJ0bWVudCBv
ZiBIdW1hbiBOdXRyaXRpb24sIEZhY3VsdHkgb2YgTGlmZSBTY2llbmNlLCBDb3BlbmhhZ2VuIFVu
aXZlcnNpdHksIENvcGVuaGFnZW4sIERlbm1hcmsuIHN3b0Bzc3QuZGs8L2F1dGgtYWRkcmVzcz48
dGl0bGVzPjx0aXRsZT5BIHJhbmRvbWl6ZWQgdHJpYWwgb2YgdGhlIGVmZmVjdHMgb2YgZGlldGFy
eSBjb3Vuc2VsaW5nIG9uIGdlc3RhdGlvbmFsIHdlaWdodCBnYWluIGFuZCBnbHVjb3NlIG1ldGFi
b2xpc20gaW4gb2Jlc2UgcHJlZ25hbnQgd29tZW48L3RpdGxlPjxzZWNvbmRhcnktdGl0bGU+SW50
IEogT2JlcyAoTG9uZCk8L3NlY29uZGFyeS10aXRsZT48L3RpdGxlcz48cGVyaW9kaWNhbD48ZnVs
bC10aXRsZT5JbnQgSiBPYmVzIChMb25kKTwvZnVsbC10aXRsZT48L3BlcmlvZGljYWw+PHBhZ2Vz
PjQ5NS01MDE8L3BhZ2VzPjx2b2x1bWU+MzI8L3ZvbHVtZT48bnVtYmVyPjM8L251bWJlcj48ZWRp
dGlvbj4yMDA4LzAxLzMwPC9lZGl0aW9uPjxrZXl3b3Jkcz48a2V5d29yZD5BZHVsdDwva2V5d29y
ZD48a2V5d29yZD5CbG9vZCBHbHVjb3NlLyptZXRhYm9saXNtPC9rZXl3b3JkPjxrZXl3b3JkPkJv
ZHkgTWFzcyBJbmRleDwva2V5d29yZD48a2V5d29yZD5Db3Vuc2VsaW5nLyptZXRob2RzPC9rZXl3
b3JkPjxrZXl3b3JkPipEaWV0PC9rZXl3b3JkPjxrZXl3b3JkPkRpZXQgUmVjb3Jkczwva2V5d29y
ZD48a2V5d29yZD5FbmVyZ3kgSW50YWtlL3BoeXNpb2xvZ3k8L2tleXdvcmQ+PGtleXdvcmQ+RmVt
YWxlPC9rZXl3b3JkPjxrZXl3b3JkPkdsdWNvc2UgVG9sZXJhbmNlIFRlc3Q8L2tleXdvcmQ+PGtl
eXdvcmQ+SHVtYW5zPC9rZXl3b3JkPjxrZXl3b3JkPkluc3VsaW4vbWV0YWJvbGlzbTwva2V5d29y
ZD48a2V5d29yZD5MZXB0aW4vbWV0YWJvbGlzbTwva2V5d29yZD48a2V5d29yZD5PYmVzaXR5Lypk
aWV0IHRoZXJhcHkvbWV0YWJvbGlzbTwva2V5d29yZD48a2V5d29yZD5QcmVnbmFuY3k8L2tleXdv
cmQ+PGtleXdvcmQ+KldlaWdodCBHYWluPC9rZXl3b3JkPjwva2V5d29yZHM+PGRhdGVzPjx5ZWFy
PjIwMDg8L3llYXI+PHB1Yi1kYXRlcz48ZGF0ZT5NYXI8L2RhdGU+PC9wdWItZGF0ZXM+PC9kYXRl
cz48aXNibj4xNDc2LTU0OTcgKEVsZWN0cm9uaWMpJiN4RDswMzA3LTA1NjUgKExpbmtpbmcpPC9p
c2JuPjxhY2Nlc3Npb24tbnVtPjE4MjI3ODQ3PC9hY2Nlc3Npb24tbnVtPjx1cmxzPjxyZWxhdGVk
LXVybHM+PHVybD5odHRwczovL3d3dy5uY2JpLm5sbS5uaWguZ292L3B1Ym1lZC8xODIyNzg0Nzwv
dXJsPjwvcmVsYXRlZC11cmxzPjwvdXJscz48ZWxlY3Ryb25pYy1yZXNvdXJjZS1udW0+MTAuMTAz
OC9zai5pam8uMDgwMzcxMDwvZWxlY3Ryb25pYy1yZXNvdXJjZS1udW0+PC9yZWNvcmQ+PC9DaXRl
PjwvRW5kTm90ZT5=
</w:fldData>
        </w:fldChar>
      </w:r>
      <w:r w:rsidR="002747EA">
        <w:instrText xml:space="preserve"> ADDIN EN.CITE.DATA </w:instrText>
      </w:r>
      <w:r w:rsidR="002747EA">
        <w:fldChar w:fldCharType="end"/>
      </w:r>
      <w:r>
        <w:fldChar w:fldCharType="separate"/>
      </w:r>
      <w:r w:rsidR="002747EA" w:rsidRPr="002747EA">
        <w:rPr>
          <w:noProof/>
          <w:vertAlign w:val="superscript"/>
        </w:rPr>
        <w:t>240,400,402,404-406</w:t>
      </w:r>
      <w:r>
        <w:fldChar w:fldCharType="end"/>
      </w:r>
      <w:r>
        <w:t xml:space="preserve"> </w:t>
      </w:r>
      <w:r w:rsidR="00884CDB">
        <w:t xml:space="preserve">or </w:t>
      </w:r>
      <w:r>
        <w:t>a personalised diet plan</w:t>
      </w:r>
      <w:r w:rsidR="00884CDB">
        <w:t xml:space="preserve"> with dietician follow-up.</w:t>
      </w:r>
      <w:r w:rsidR="00884CDB">
        <w:fldChar w:fldCharType="begin">
          <w:fldData xml:space="preserve">PEVuZE5vdGU+PENpdGU+PEF1dGhvcj5EaSBDYXJsbzwvQXV0aG9yPjxZZWFyPjIwMTQ8L1llYXI+
PFJlY051bT4xMzg3PC9SZWNOdW0+PERpc3BsYXlUZXh0PjxzdHlsZSBmYWNlPSJzdXBlcnNjcmlw
dCIgZm9udD0iVHJlYnVjaGV0IE1TIiBzaXplPSI5Ij40MDEsNDAzPC9zdHlsZT48L0Rpc3BsYXlU
ZXh0PjxyZWNvcmQ+PHJlYy1udW1iZXI+MTM4NzwvcmVjLW51bWJlcj48Zm9yZWlnbi1rZXlzPjxr
ZXkgYXBwPSJFTiIgZGItaWQ9ImV4dmFzcmZ4MmR0cmFvZXNhc3hwMnN6c3hhMmRmNTAyNTkyeCIg
dGltZXN0YW1wPSIxNTY3NjYxNTY4Ij4xMzg3PC9rZXk+PGtleSBhcHA9IkVOV2ViIiBkYi1pZD0i
Ij4wPC9rZXk+PC9mb3JlaWduLWtleXM+PHJlZi10eXBlIG5hbWU9IkpvdXJuYWwgQXJ0aWNsZSI+
MTc8L3JlZi10eXBlPjxjb250cmlidXRvcnM+PGF1dGhvcnM+PGF1dGhvcj5EaSBDYXJsbywgQy4s
PC9hdXRob3I+PGF1dGhvcj5JYW5ub3R0aSwgRy4sPC9hdXRob3I+PGF1dGhvcj5TcGFyaWNlLCBT
Liw8L2F1dGhvcj48YXV0aG9yPkNoaWFjY2hpbywgTS5QLiw8L2F1dGhvcj48YXV0aG9yPkdyZWNv
LCBFLiw8L2F1dGhvcj48YXV0aG9yPlRvbW1hc2VsbGksIEcuQS4sPC9hdXRob3I+PGF1dGhvcj5O
YXBwaSwgQy4sPC9hdXRob3I+PC9hdXRob3JzPjwvY29udHJpYnV0b3JzPjx0aXRsZXM+PHRpdGxl
PlRoZSByb2xlIG9mIGEgcGVyc29uYWxpemVkIGRpZXRhcnkgaW50ZXJ2ZW50aW9uIGluIG1hbmFn
aW5nIGdlc3RhdGlvbmFsIHdlaWdodCBnYWluOiBhIHByb3NwZWN0aXZlLCBjb250cm9sbGVkIHN0
dWR5IGluIGEgbG93LXJpc2sgYW50ZW5hdGFsIHBvcHVsYXRpb248L3RpdGxlPjxzZWNvbmRhcnkt
dGl0bGU+QXJjaCBHeW5lY29sIE9ic3RldDwvc2Vjb25kYXJ5LXRpdGxlPjwvdGl0bGVzPjxwZXJp
b2RpY2FsPjxmdWxsLXRpdGxlPkFyY2ggR3luZWNvbCBPYnN0ZXQ8L2Z1bGwtdGl0bGU+PC9wZXJp
b2RpY2FsPjxwYWdlcz43NjUtNzA8L3BhZ2VzPjx2b2x1bWU+Mjg5PC92b2x1bWU+PG51bWJlcj40
PC9udW1iZXI+PHNlY3Rpb24+NzY1PC9zZWN0aW9uPjxkYXRlcz48eWVhcj4yMDE0PC95ZWFyPjwv
ZGF0ZXM+PGlzYm4+MDkzMi0wMDY3JiN4RDsxNDMyLTA3MTE8L2lzYm4+PHVybHM+PC91cmxzPjxl
bGVjdHJvbmljLXJlc291cmNlLW51bT4xMC4xMDA3L3MwMDQwNC0wMTMtMzA1NC15PC9lbGVjdHJv
bmljLXJlc291cmNlLW51bT48L3JlY29yZD48L0NpdGU+PENpdGU+PEF1dGhvcj5UaG9ybnRvbjwv
QXV0aG9yPjxZZWFyPjIwMDk8L1llYXI+PFJlY051bT4xMTM4PC9SZWNOdW0+PHJlY29yZD48cmVj
LW51bWJlcj4xMTM4PC9yZWMtbnVtYmVyPjxmb3JlaWduLWtleXM+PGtleSBhcHA9IkVOIiBkYi1p
ZD0iZXh2YXNyZngyZHRyYW9lc2FzeHAyc3pzeGEyZGY1MDI1OTJ4IiB0aW1lc3RhbXA9IjE1NTU0
NzM2NDQiPjExMzg8L2tleT48L2ZvcmVpZ24ta2V5cz48cmVmLXR5cGUgbmFtZT0iSm91cm5hbCBB
cnRpY2xlIj4xNzwvcmVmLXR5cGU+PGNvbnRyaWJ1dG9ycz48YXV0aG9ycz48YXV0aG9yPlRob3Ju
dG9uLCBZLiBTLjwvYXV0aG9yPjxhdXRob3I+U21hcmtvbGEsIEMuPC9hdXRob3I+PGF1dGhvcj5L
b3BhY3osIFMuIE0uPC9hdXRob3I+PGF1dGhvcj5Jc2hvb2YsIFMuIEIuPC9hdXRob3I+PC9hdXRo
b3JzPjwvY29udHJpYnV0b3JzPjxhdXRoLWFkZHJlc3M+RGVwYXJ0bWVudCBvZiBPYnN0ZXRyaWNz
LCBEaXZpc2lvbnMgb2YgTWF0ZXJuYWwtRmV0YWwgTWVkaWNpbmUsIE1vcnJpc3Rvd24gTWVtb3Jp
YWwgSG9zcGl0YWwsIE1vcnJpc3Rvd24sIE5ldyBKZXJzZXksIFVTQS4geXZvbm5lX3Rob3JudG9u
QG55bWMuZWR1PC9hdXRoLWFkZHJlc3M+PHRpdGxlcz48dGl0bGU+UGVyaW5hdGFsIG91dGNvbWVz
IGluIG51dHJpdGlvbmFsbHkgbW9uaXRvcmVkIG9iZXNlIHByZWduYW50IHdvbWVuOiBhIHJhbmRv
bWl6ZWQgY2xpbmljYWwgdHJpYWw8L3RpdGxlPjxzZWNvbmRhcnktdGl0bGU+SiBOYXRsIE1lZCBB
c3NvYzwvc2Vjb25kYXJ5LXRpdGxlPjwvdGl0bGVzPjxwZXJpb2RpY2FsPjxmdWxsLXRpdGxlPkog
TmF0bCBNZWQgQXNzb2M8L2Z1bGwtdGl0bGU+PC9wZXJpb2RpY2FsPjxwYWdlcz41NjktNzc8L3Bh
Z2VzPjx2b2x1bWU+MTAxPC92b2x1bWU+PG51bWJlcj42PC9udW1iZXI+PGVkaXRpb24+MjAwOS8w
Ny8xMDwvZWRpdGlvbj48a2V5d29yZHM+PGtleXdvcmQ+QWR1bHQ8L2tleXdvcmQ+PGtleXdvcmQ+
QW5hbHlzaXMgb2YgVmFyaWFuY2U8L2tleXdvcmQ+PGtleXdvcmQ+Qm9keSBNYXNzIEluZGV4PC9r
ZXl3b3JkPjxrZXl3b3JkPkZlbWFsZTwva2V5d29yZD48a2V5d29yZD5IZWFsdGggU3RhdHVzPC9r
ZXl3b3JkPjxrZXl3b3JkPkh1bWFuczwva2V5d29yZD48a2V5d29yZD5NYXRlcm5hbCBOdXRyaXRp
b25hbCBQaHlzaW9sb2dpY2FsIFBoZW5vbWVuYS8qcGh5c2lvbG9neTwva2V5d29yZD48a2V5d29y
ZD4qTWF0ZXJuYWwgV2VsZmFyZTwva2V5d29yZD48a2V5d29yZD5NdWx0aXZhcmlhdGUgQW5hbHlz
aXM8L2tleXdvcmQ+PGtleXdvcmQ+TnV0cml0aW9uIEFzc2Vzc21lbnQ8L2tleXdvcmQ+PGtleXdv
cmQ+TnV0cml0aW9uYWwgU3RhdHVzPC9rZXl3b3JkPjxrZXl3b3JkPk9iZXNpdHkvKmNvbXBsaWNh
dGlvbnM8L2tleXdvcmQ+PGtleXdvcmQ+UHJlZ25hbmN5PC9rZXl3b3JkPjxrZXl3b3JkPlByZWdu
YW5jeSBDb21wbGljYXRpb25zLyplcGlkZW1pb2xvZ3kvcHJldmVudGlvbiAmYW1wOyBjb250cm9s
PC9rZXl3b3JkPjxrZXl3b3JkPipQcmVnbmFuY3kgT3V0Y29tZTwva2V5d29yZD48a2V5d29yZD5V
bml0ZWQgU3RhdGVzL2VwaWRlbWlvbG9neTwva2V5d29yZD48a2V5d29yZD5XZWlnaHQgR2Fpbjwv
a2V5d29yZD48L2tleXdvcmRzPjxkYXRlcz48eWVhcj4yMDA5PC95ZWFyPjxwdWItZGF0ZXM+PGRh
dGU+SnVuPC9kYXRlPjwvcHViLWRhdGVzPjwvZGF0ZXM+PGlzYm4+MDAyNy05Njg0IChQcmludCkm
I3hEOzAwMjctOTY4NCAoTGlua2luZyk8L2lzYm4+PGFjY2Vzc2lvbi1udW0+MTk1ODU5MjU8L2Fj
Y2Vzc2lvbi1udW0+PHVybHM+PHJlbGF0ZWQtdXJscz48dXJsPmh0dHBzOi8vd3d3Lm5jYmkubmxt
Lm5paC5nb3YvcHVibWVkLzE5NTg1OTI1PC91cmw+PC9yZWxhdGVkLXVybHM+PC91cmxzPjwvcmVj
b3JkPjwvQ2l0ZT48L0VuZE5vdGU+
</w:fldData>
        </w:fldChar>
      </w:r>
      <w:r w:rsidR="002747EA">
        <w:instrText xml:space="preserve"> ADDIN EN.CITE </w:instrText>
      </w:r>
      <w:r w:rsidR="002747EA">
        <w:fldChar w:fldCharType="begin">
          <w:fldData xml:space="preserve">PEVuZE5vdGU+PENpdGU+PEF1dGhvcj5EaSBDYXJsbzwvQXV0aG9yPjxZZWFyPjIwMTQ8L1llYXI+
PFJlY051bT4xMzg3PC9SZWNOdW0+PERpc3BsYXlUZXh0PjxzdHlsZSBmYWNlPSJzdXBlcnNjcmlw
dCIgZm9udD0iVHJlYnVjaGV0IE1TIiBzaXplPSI5Ij40MDEsNDAzPC9zdHlsZT48L0Rpc3BsYXlU
ZXh0PjxyZWNvcmQ+PHJlYy1udW1iZXI+MTM4NzwvcmVjLW51bWJlcj48Zm9yZWlnbi1rZXlzPjxr
ZXkgYXBwPSJFTiIgZGItaWQ9ImV4dmFzcmZ4MmR0cmFvZXNhc3hwMnN6c3hhMmRmNTAyNTkyeCIg
dGltZXN0YW1wPSIxNTY3NjYxNTY4Ij4xMzg3PC9rZXk+PGtleSBhcHA9IkVOV2ViIiBkYi1pZD0i
Ij4wPC9rZXk+PC9mb3JlaWduLWtleXM+PHJlZi10eXBlIG5hbWU9IkpvdXJuYWwgQXJ0aWNsZSI+
MTc8L3JlZi10eXBlPjxjb250cmlidXRvcnM+PGF1dGhvcnM+PGF1dGhvcj5EaSBDYXJsbywgQy4s
PC9hdXRob3I+PGF1dGhvcj5JYW5ub3R0aSwgRy4sPC9hdXRob3I+PGF1dGhvcj5TcGFyaWNlLCBT
Liw8L2F1dGhvcj48YXV0aG9yPkNoaWFjY2hpbywgTS5QLiw8L2F1dGhvcj48YXV0aG9yPkdyZWNv
LCBFLiw8L2F1dGhvcj48YXV0aG9yPlRvbW1hc2VsbGksIEcuQS4sPC9hdXRob3I+PGF1dGhvcj5O
YXBwaSwgQy4sPC9hdXRob3I+PC9hdXRob3JzPjwvY29udHJpYnV0b3JzPjx0aXRsZXM+PHRpdGxl
PlRoZSByb2xlIG9mIGEgcGVyc29uYWxpemVkIGRpZXRhcnkgaW50ZXJ2ZW50aW9uIGluIG1hbmFn
aW5nIGdlc3RhdGlvbmFsIHdlaWdodCBnYWluOiBhIHByb3NwZWN0aXZlLCBjb250cm9sbGVkIHN0
dWR5IGluIGEgbG93LXJpc2sgYW50ZW5hdGFsIHBvcHVsYXRpb248L3RpdGxlPjxzZWNvbmRhcnkt
dGl0bGU+QXJjaCBHeW5lY29sIE9ic3RldDwvc2Vjb25kYXJ5LXRpdGxlPjwvdGl0bGVzPjxwZXJp
b2RpY2FsPjxmdWxsLXRpdGxlPkFyY2ggR3luZWNvbCBPYnN0ZXQ8L2Z1bGwtdGl0bGU+PC9wZXJp
b2RpY2FsPjxwYWdlcz43NjUtNzA8L3BhZ2VzPjx2b2x1bWU+Mjg5PC92b2x1bWU+PG51bWJlcj40
PC9udW1iZXI+PHNlY3Rpb24+NzY1PC9zZWN0aW9uPjxkYXRlcz48eWVhcj4yMDE0PC95ZWFyPjwv
ZGF0ZXM+PGlzYm4+MDkzMi0wMDY3JiN4RDsxNDMyLTA3MTE8L2lzYm4+PHVybHM+PC91cmxzPjxl
bGVjdHJvbmljLXJlc291cmNlLW51bT4xMC4xMDA3L3MwMDQwNC0wMTMtMzA1NC15PC9lbGVjdHJv
bmljLXJlc291cmNlLW51bT48L3JlY29yZD48L0NpdGU+PENpdGU+PEF1dGhvcj5UaG9ybnRvbjwv
QXV0aG9yPjxZZWFyPjIwMDk8L1llYXI+PFJlY051bT4xMTM4PC9SZWNOdW0+PHJlY29yZD48cmVj
LW51bWJlcj4xMTM4PC9yZWMtbnVtYmVyPjxmb3JlaWduLWtleXM+PGtleSBhcHA9IkVOIiBkYi1p
ZD0iZXh2YXNyZngyZHRyYW9lc2FzeHAyc3pzeGEyZGY1MDI1OTJ4IiB0aW1lc3RhbXA9IjE1NTU0
NzM2NDQiPjExMzg8L2tleT48L2ZvcmVpZ24ta2V5cz48cmVmLXR5cGUgbmFtZT0iSm91cm5hbCBB
cnRpY2xlIj4xNzwvcmVmLXR5cGU+PGNvbnRyaWJ1dG9ycz48YXV0aG9ycz48YXV0aG9yPlRob3Ju
dG9uLCBZLiBTLjwvYXV0aG9yPjxhdXRob3I+U21hcmtvbGEsIEMuPC9hdXRob3I+PGF1dGhvcj5L
b3BhY3osIFMuIE0uPC9hdXRob3I+PGF1dGhvcj5Jc2hvb2YsIFMuIEIuPC9hdXRob3I+PC9hdXRo
b3JzPjwvY29udHJpYnV0b3JzPjxhdXRoLWFkZHJlc3M+RGVwYXJ0bWVudCBvZiBPYnN0ZXRyaWNz
LCBEaXZpc2lvbnMgb2YgTWF0ZXJuYWwtRmV0YWwgTWVkaWNpbmUsIE1vcnJpc3Rvd24gTWVtb3Jp
YWwgSG9zcGl0YWwsIE1vcnJpc3Rvd24sIE5ldyBKZXJzZXksIFVTQS4geXZvbm5lX3Rob3JudG9u
QG55bWMuZWR1PC9hdXRoLWFkZHJlc3M+PHRpdGxlcz48dGl0bGU+UGVyaW5hdGFsIG91dGNvbWVz
IGluIG51dHJpdGlvbmFsbHkgbW9uaXRvcmVkIG9iZXNlIHByZWduYW50IHdvbWVuOiBhIHJhbmRv
bWl6ZWQgY2xpbmljYWwgdHJpYWw8L3RpdGxlPjxzZWNvbmRhcnktdGl0bGU+SiBOYXRsIE1lZCBB
c3NvYzwvc2Vjb25kYXJ5LXRpdGxlPjwvdGl0bGVzPjxwZXJpb2RpY2FsPjxmdWxsLXRpdGxlPkog
TmF0bCBNZWQgQXNzb2M8L2Z1bGwtdGl0bGU+PC9wZXJpb2RpY2FsPjxwYWdlcz41NjktNzc8L3Bh
Z2VzPjx2b2x1bWU+MTAxPC92b2x1bWU+PG51bWJlcj42PC9udW1iZXI+PGVkaXRpb24+MjAwOS8w
Ny8xMDwvZWRpdGlvbj48a2V5d29yZHM+PGtleXdvcmQ+QWR1bHQ8L2tleXdvcmQ+PGtleXdvcmQ+
QW5hbHlzaXMgb2YgVmFyaWFuY2U8L2tleXdvcmQ+PGtleXdvcmQ+Qm9keSBNYXNzIEluZGV4PC9r
ZXl3b3JkPjxrZXl3b3JkPkZlbWFsZTwva2V5d29yZD48a2V5d29yZD5IZWFsdGggU3RhdHVzPC9r
ZXl3b3JkPjxrZXl3b3JkPkh1bWFuczwva2V5d29yZD48a2V5d29yZD5NYXRlcm5hbCBOdXRyaXRp
b25hbCBQaHlzaW9sb2dpY2FsIFBoZW5vbWVuYS8qcGh5c2lvbG9neTwva2V5d29yZD48a2V5d29y
ZD4qTWF0ZXJuYWwgV2VsZmFyZTwva2V5d29yZD48a2V5d29yZD5NdWx0aXZhcmlhdGUgQW5hbHlz
aXM8L2tleXdvcmQ+PGtleXdvcmQ+TnV0cml0aW9uIEFzc2Vzc21lbnQ8L2tleXdvcmQ+PGtleXdv
cmQ+TnV0cml0aW9uYWwgU3RhdHVzPC9rZXl3b3JkPjxrZXl3b3JkPk9iZXNpdHkvKmNvbXBsaWNh
dGlvbnM8L2tleXdvcmQ+PGtleXdvcmQ+UHJlZ25hbmN5PC9rZXl3b3JkPjxrZXl3b3JkPlByZWdu
YW5jeSBDb21wbGljYXRpb25zLyplcGlkZW1pb2xvZ3kvcHJldmVudGlvbiAmYW1wOyBjb250cm9s
PC9rZXl3b3JkPjxrZXl3b3JkPipQcmVnbmFuY3kgT3V0Y29tZTwva2V5d29yZD48a2V5d29yZD5V
bml0ZWQgU3RhdGVzL2VwaWRlbWlvbG9neTwva2V5d29yZD48a2V5d29yZD5XZWlnaHQgR2Fpbjwv
a2V5d29yZD48L2tleXdvcmRzPjxkYXRlcz48eWVhcj4yMDA5PC95ZWFyPjxwdWItZGF0ZXM+PGRh
dGU+SnVuPC9kYXRlPjwvcHViLWRhdGVzPjwvZGF0ZXM+PGlzYm4+MDAyNy05Njg0IChQcmludCkm
I3hEOzAwMjctOTY4NCAoTGlua2luZyk8L2lzYm4+PGFjY2Vzc2lvbi1udW0+MTk1ODU5MjU8L2Fj
Y2Vzc2lvbi1udW0+PHVybHM+PHJlbGF0ZWQtdXJscz48dXJsPmh0dHBzOi8vd3d3Lm5jYmkubmxt
Lm5paC5nb3YvcHVibWVkLzE5NTg1OTI1PC91cmw+PC9yZWxhdGVkLXVybHM+PC91cmxzPjwvcmVj
b3JkPjwvQ2l0ZT48L0VuZE5vdGU+
</w:fldData>
        </w:fldChar>
      </w:r>
      <w:r w:rsidR="002747EA">
        <w:instrText xml:space="preserve"> ADDIN EN.CITE.DATA </w:instrText>
      </w:r>
      <w:r w:rsidR="002747EA">
        <w:fldChar w:fldCharType="end"/>
      </w:r>
      <w:r w:rsidR="00884CDB">
        <w:fldChar w:fldCharType="separate"/>
      </w:r>
      <w:r w:rsidR="002747EA" w:rsidRPr="002747EA">
        <w:rPr>
          <w:noProof/>
          <w:vertAlign w:val="superscript"/>
        </w:rPr>
        <w:t>401,403</w:t>
      </w:r>
      <w:r w:rsidR="00884CDB">
        <w:fldChar w:fldCharType="end"/>
      </w:r>
      <w:r w:rsidR="00884CDB">
        <w:t xml:space="preserve"> </w:t>
      </w:r>
    </w:p>
    <w:p w14:paraId="6F5D9CF5" w14:textId="7BB2DB80" w:rsidR="00AA01EB" w:rsidRDefault="00B5235D" w:rsidP="00AA01EB">
      <w:r>
        <w:t>One study</w:t>
      </w:r>
      <w:r w:rsidR="00AA01EB">
        <w:t xml:space="preserve"> </w:t>
      </w:r>
      <w:r>
        <w:t>used current dietary recommendations for pregnancy,</w:t>
      </w:r>
      <w:r>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 </w:instrText>
      </w:r>
      <w:r w:rsidR="002747EA">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240</w:t>
      </w:r>
      <w:r>
        <w:fldChar w:fldCharType="end"/>
      </w:r>
      <w:r>
        <w:t xml:space="preserve"> one based advice on a nutrition regimen used for gestational diabetes</w:t>
      </w:r>
      <w:r>
        <w:fldChar w:fldCharType="begin"/>
      </w:r>
      <w:r w:rsidR="002747EA">
        <w:instrText xml:space="preserve"> ADDIN EN.CITE &lt;EndNote&gt;&lt;Cite&gt;&lt;Author&gt;Thornton&lt;/Author&gt;&lt;Year&gt;2009&lt;/Year&gt;&lt;RecNum&gt;1138&lt;/RecNum&gt;&lt;DisplayText&gt;&lt;style face="superscript" font="Trebuchet MS" size="9"&gt;403&lt;/style&gt;&lt;/DisplayText&gt;&lt;record&gt;&lt;rec-number&gt;1138&lt;/rec-number&gt;&lt;foreign-keys&gt;&lt;key app="EN" db-id="exvasrfx2dtraoesasxp2szsxa2df502592x" timestamp="1555473644"&gt;1138&lt;/key&gt;&lt;/foreign-keys&gt;&lt;ref-type name="Journal Article"&gt;17&lt;/ref-type&gt;&lt;contributors&gt;&lt;authors&gt;&lt;author&gt;Thornton, Y. S.&lt;/author&gt;&lt;author&gt;Smarkola, C.&lt;/author&gt;&lt;author&gt;Kopacz, S. M.&lt;/author&gt;&lt;author&gt;Ishoof, S. B.&lt;/author&gt;&lt;/authors&gt;&lt;/contributors&gt;&lt;auth-address&gt;Department of Obstetrics, Divisions of Maternal-Fetal Medicine, Morristown Memorial Hospital, Morristown, New Jersey, USA. yvonne_thornton@nymc.edu&lt;/auth-address&gt;&lt;titles&gt;&lt;title&gt;Perinatal outcomes in nutritionally monitored obese pregnant women: a randomized clinical trial&lt;/title&gt;&lt;secondary-title&gt;J Natl Med Assoc&lt;/secondary-title&gt;&lt;/titles&gt;&lt;periodical&gt;&lt;full-title&gt;J Natl Med Assoc&lt;/full-title&gt;&lt;/periodical&gt;&lt;pages&gt;569-77&lt;/pages&gt;&lt;volume&gt;101&lt;/volume&gt;&lt;number&gt;6&lt;/number&gt;&lt;edition&gt;2009/07/10&lt;/edition&gt;&lt;keywords&gt;&lt;keyword&gt;Adult&lt;/keyword&gt;&lt;keyword&gt;Analysis of Variance&lt;/keyword&gt;&lt;keyword&gt;Body Mass Index&lt;/keyword&gt;&lt;keyword&gt;Female&lt;/keyword&gt;&lt;keyword&gt;Health Status&lt;/keyword&gt;&lt;keyword&gt;Humans&lt;/keyword&gt;&lt;keyword&gt;Maternal Nutritional Physiological Phenomena/*physiology&lt;/keyword&gt;&lt;keyword&gt;*Maternal Welfare&lt;/keyword&gt;&lt;keyword&gt;Multivariate Analysis&lt;/keyword&gt;&lt;keyword&gt;Nutrition Assessment&lt;/keyword&gt;&lt;keyword&gt;Nutritional Status&lt;/keyword&gt;&lt;keyword&gt;Obesity/*complications&lt;/keyword&gt;&lt;keyword&gt;Pregnancy&lt;/keyword&gt;&lt;keyword&gt;Pregnancy Complications/*epidemiology/prevention &amp;amp; control&lt;/keyword&gt;&lt;keyword&gt;*Pregnancy Outcome&lt;/keyword&gt;&lt;keyword&gt;United States/epidemiology&lt;/keyword&gt;&lt;keyword&gt;Weight Gain&lt;/keyword&gt;&lt;/keywords&gt;&lt;dates&gt;&lt;year&gt;2009&lt;/year&gt;&lt;pub-dates&gt;&lt;date&gt;Jun&lt;/date&gt;&lt;/pub-dates&gt;&lt;/dates&gt;&lt;isbn&gt;0027-9684 (Print)&amp;#xD;0027-9684 (Linking)&lt;/isbn&gt;&lt;accession-num&gt;19585925&lt;/accession-num&gt;&lt;urls&gt;&lt;related-urls&gt;&lt;url&gt;https://www.ncbi.nlm.nih.gov/pubmed/19585925&lt;/url&gt;&lt;/related-urls&gt;&lt;/urls&gt;&lt;/record&gt;&lt;/Cite&gt;&lt;/EndNote&gt;</w:instrText>
      </w:r>
      <w:r>
        <w:fldChar w:fldCharType="separate"/>
      </w:r>
      <w:r w:rsidR="002747EA" w:rsidRPr="002747EA">
        <w:rPr>
          <w:noProof/>
          <w:vertAlign w:val="superscript"/>
        </w:rPr>
        <w:t>403</w:t>
      </w:r>
      <w:r>
        <w:fldChar w:fldCharType="end"/>
      </w:r>
      <w:r>
        <w:t xml:space="preserve"> </w:t>
      </w:r>
      <w:r w:rsidR="00AA01EB">
        <w:t xml:space="preserve">and </w:t>
      </w:r>
      <w:r>
        <w:t>three</w:t>
      </w:r>
      <w:r w:rsidR="00AA01EB">
        <w:t xml:space="preserve"> </w:t>
      </w:r>
      <w:r>
        <w:t xml:space="preserve">had a focus </w:t>
      </w:r>
      <w:r w:rsidR="00AA01EB">
        <w:t>on kilocalorie intake.</w:t>
      </w:r>
      <w:r>
        <w:fldChar w:fldCharType="begin">
          <w:fldData xml:space="preserve">PEVuZE5vdGU+PENpdGU+PEF1dGhvcj5EaSBDYXJsbzwvQXV0aG9yPjxZZWFyPjIwMTQ8L1llYXI+
PFJlY051bT4xMzg3PC9SZWNOdW0+PERpc3BsYXlUZXh0PjxzdHlsZSBmYWNlPSJzdXBlcnNjcmlw
dCIgZm9udD0iVHJlYnVjaGV0IE1TIiBzaXplPSI5Ij40MDEtNDAzPC9zdHlsZT48L0Rpc3BsYXlU
ZXh0PjxyZWNvcmQ+PHJlYy1udW1iZXI+MTM4NzwvcmVjLW51bWJlcj48Zm9yZWlnbi1rZXlzPjxr
ZXkgYXBwPSJFTiIgZGItaWQ9ImV4dmFzcmZ4MmR0cmFvZXNhc3hwMnN6c3hhMmRmNTAyNTkyeCIg
dGltZXN0YW1wPSIxNTY3NjYxNTY4Ij4xMzg3PC9rZXk+PGtleSBhcHA9IkVOV2ViIiBkYi1pZD0i
Ij4wPC9rZXk+PC9mb3JlaWduLWtleXM+PHJlZi10eXBlIG5hbWU9IkpvdXJuYWwgQXJ0aWNsZSI+
MTc8L3JlZi10eXBlPjxjb250cmlidXRvcnM+PGF1dGhvcnM+PGF1dGhvcj5EaSBDYXJsbywgQy4s
PC9hdXRob3I+PGF1dGhvcj5JYW5ub3R0aSwgRy4sPC9hdXRob3I+PGF1dGhvcj5TcGFyaWNlLCBT
Liw8L2F1dGhvcj48YXV0aG9yPkNoaWFjY2hpbywgTS5QLiw8L2F1dGhvcj48YXV0aG9yPkdyZWNv
LCBFLiw8L2F1dGhvcj48YXV0aG9yPlRvbW1hc2VsbGksIEcuQS4sPC9hdXRob3I+PGF1dGhvcj5O
YXBwaSwgQy4sPC9hdXRob3I+PC9hdXRob3JzPjwvY29udHJpYnV0b3JzPjx0aXRsZXM+PHRpdGxl
PlRoZSByb2xlIG9mIGEgcGVyc29uYWxpemVkIGRpZXRhcnkgaW50ZXJ2ZW50aW9uIGluIG1hbmFn
aW5nIGdlc3RhdGlvbmFsIHdlaWdodCBnYWluOiBhIHByb3NwZWN0aXZlLCBjb250cm9sbGVkIHN0
dWR5IGluIGEgbG93LXJpc2sgYW50ZW5hdGFsIHBvcHVsYXRpb248L3RpdGxlPjxzZWNvbmRhcnkt
dGl0bGU+QXJjaCBHeW5lY29sIE9ic3RldDwvc2Vjb25kYXJ5LXRpdGxlPjwvdGl0bGVzPjxwZXJp
b2RpY2FsPjxmdWxsLXRpdGxlPkFyY2ggR3luZWNvbCBPYnN0ZXQ8L2Z1bGwtdGl0bGU+PC9wZXJp
b2RpY2FsPjxwYWdlcz43NjUtNzA8L3BhZ2VzPjx2b2x1bWU+Mjg5PC92b2x1bWU+PG51bWJlcj40
PC9udW1iZXI+PHNlY3Rpb24+NzY1PC9zZWN0aW9uPjxkYXRlcz48eWVhcj4yMDE0PC95ZWFyPjwv
ZGF0ZXM+PGlzYm4+MDkzMi0wMDY3JiN4RDsxNDMyLTA3MTE8L2lzYm4+PHVybHM+PC91cmxzPjxl
bGVjdHJvbmljLXJlc291cmNlLW51bT4xMC4xMDA3L3MwMDQwNC0wMTMtMzA1NC15PC9lbGVjdHJv
bmljLXJlc291cmNlLW51bT48L3JlY29yZD48L0NpdGU+PENpdGU+PEF1dGhvcj5TaW1tb25zPC9B
dXRob3I+PFllYXI+MjAxNzwvWWVhcj48UmVjTnVtPjEwNTc8L1JlY051bT48cmVjb3JkPjxyZWMt
bnVtYmVyPjEwNTc8L3JlYy1udW1iZXI+PGZvcmVpZ24ta2V5cz48a2V5IGFwcD0iRU4iIGRiLWlk
PSJleHZhc3JmeDJkdHJhb2VzYXN4cDJzenN4YTJkZjUwMjU5MngiIHRpbWVzdGFtcD0iMTU0ODk4
MzQ3NiI+MTA1Nzwva2V5PjwvZm9yZWlnbi1rZXlzPjxyZWYtdHlwZSBuYW1lPSJKb3VybmFsIEFy
dGljbGUiPjE3PC9yZWYtdHlwZT48Y29udHJpYnV0b3JzPjxhdXRob3JzPjxhdXRob3I+U2ltbW9u
cywgRC48L2F1dGhvcj48YXV0aG9yPkRldmxpZWdlciwgUi48L2F1dGhvcj48YXV0aG9yPnZhbiBB
c3NjaGUsIEEuPC9hdXRob3I+PGF1dGhvcj5KYW5zLCBHLjwvYXV0aG9yPjxhdXRob3I+R2FsamFh
cmQsIFMuPC9hdXRob3I+PGF1dGhvcj5Db3Jjb3ksIFIuPC9hdXRob3I+PGF1dGhvcj5BZGVsYW50
YWRvLCBKLiBNLjwvYXV0aG9yPjxhdXRob3I+RHVubmUsIEYuPC9hdXRob3I+PGF1dGhvcj5EZXNv
eWUsIEcuPC9hdXRob3I+PGF1dGhvcj5IYXJyZWl0ZXIsIEouPC9hdXRob3I+PGF1dGhvcj5LYXV0
emt5LVdpbGxlciwgQS48L2F1dGhvcj48YXV0aG9yPkRhbW0sIFAuPC9hdXRob3I+PGF1dGhvcj5N
YXRoaWVzZW4sIEUuIFIuPC9hdXRob3I+PGF1dGhvcj5KZW5zZW4sIEQuIE0uPC9hdXRob3I+PGF1
dGhvcj5BbmRlcnNlbiwgTC48L2F1dGhvcj48YXV0aG9yPkxhcG9sbGEsIEEuPC9hdXRob3I+PGF1
dGhvcj5EYWxmcmEsIE0uIEcuPC9hdXRob3I+PGF1dGhvcj5CZXJ0b2xvdHRvLCBBLjwvYXV0aG9y
PjxhdXRob3I+V2VuZGVyLU96ZWdvd3NrYSwgRS48L2F1dGhvcj48YXV0aG9yPlphd2llanNrYSwg
QS48L2F1dGhvcj48YXV0aG9yPkhpbGwsIEQuPC9hdXRob3I+PGF1dGhvcj5Tbm9laywgRi4gSi48
L2F1dGhvcj48YXV0aG9yPkplbHNtYSwgSi4gRy48L2F1dGhvcj48YXV0aG9yPnZhbiBQb3BwZWws
IE0uIE4uPC9hdXRob3I+PC9hdXRob3JzPjwvY29udHJpYnV0b3JzPjxhdXRoLWFkZHJlc3M+V2Vz
dGVybiBTeWRuZXkgVW5pdmVyc2l0eSwgQ2FtcGJlbGx0b3duLCBOZXcgU291dGggV2FsZXMgMjU2
MCwgQXVzdHJhbGlhLiYjeEQ7SW5zdGl0dXRlIG9mIE1ldGFib2xpYyBTY2llbmNlLCBBZGRlbmJy
b29rZSZhcG9zO3MgSG9zcGl0YWwsIENhbWJyaWRnZSwgQ0IyIDBRUSBFbmdsYW5kLiYjeEQ7RGVw
YXJ0bWVudCBvZiBEZXZlbG9wbWVudCBhbmQgUmVnZW5lcmF0aW9uOiBQcmVnbmFuY3ksIEZldHVz
IGFuZCBOZW9uYXRlLCBHeW5hZWNvbG9neSBhbmQgT2JzdGV0cmljcywgVW5pdmVyc2l0eSBIb3Nw
aXRhbHMsIEthdGhvbGlla2UgVW5pdmVyc2l0ZWl0IExldXZlbiwgTGV1dmVuLCBCZWxnaXVtLiYj
eEQ7RGl2aXNpb24gb2YgT2JzdGV0cmljcyBhbmQgUHJlbmF0YWwgTWVkaWNpbmUsIERlcGFydG1l
bnQgb2YgT2JzdGV0cmljcyBhbmQgR3luYWVjb2xvZ3ksIEVyYXNtdXMgVW5pdmVyc2l0eSBNZWRp
Y2FsIENlbnRlciBSb3R0ZXJkYW0sIFJvdHRlcmRhbSwgVGhlIE5ldGhlcmxhbmRzLiYjeEQ7SW5z
dGl0dXQgZGUgUmVjZXJjYSBkZSBsIEhvc3BpdGFsIGRlIGxhIFNhbnRhIENyZXUgaSBTYW50IFBh
dSwgQmFyY2Vsb25hLCBTcGFpbi4mI3hEO0NJQkVSIEJpb2VuZ2luZWVyaW5nLCBCaW9tYXRlcmlh
bHMgYW5kIE5hbm90ZWNobm9sb2d5LCBJbnN0aXR1dG8gZGUgU2FsdWQgQ2FybG9zIElJSSwgWmFy
YWdvemEsIFNwYWluLiYjeEQ7R2Fsd2F5IERpYWJldGVzIFJlc2VhcmNoIENlbnRyZSBhbmQgQ29s
bGVnZSBvZiBNZWRpY2luZSBOdXJzaW5nIGFuZCBIZWFsdGggU2NpZW5jZXMsIE5hdGlvbmFsIFVu
aXZlcnNpdHkgb2YgSXJlbGFuZCwgR2Fsd2F5LCBJcmVsYW5kLiYjeEQ7RGVwYXJ0bWVudCBvZiBP
YnN0ZXRyaWNzIGFuZCBHeW5lY29sb2d5LCBNZWRpemluaXNjaGUgVW5pdmVyc2l0YWV0IEdyYXos
IEdyYXosIEF1c3RyaWEuJiN4RDtHZW5kZXIgTWVkaWNpbmUgVW5pdCwgRW5kb2NyaW5vbG9neSBh
bmQgTWV0YWJvbGlzbSwgRGVwYXJ0bWVudCBvZiBJbnRlcm5hbCBNZWRpY2luZSBJSUksIE1lZGlj
YWwgVW5pdmVyc2l0eSBvZiBWaWVubmEsIFZpZW5uYSwgQXVzdHJpYS4mI3hEO0NlbnRlciBmb3Ig
UHJlZ25hbnQgV29tZW4gd2l0aCBEaWFiZXRlcywgRGVwYXJ0bWVudHMgb2YgRW5kb2NyaW5vbG9n
eSBhbmQgT2JzdGV0cmljcywgUmlnc2hvc3BpdGFsZXQsIEluc3RpdHV0ZSBvZiBDbGluaWNhbCBN
ZWRpY2luZSwgRmFjdWx0eSBvZiBIZWFsdGggYW5kIE1lZGljYWwgU2NpZW5jZXMsIFVuaXZlcnNp
dHkgb2YgQ29wZW5oYWdlbiwgQ29wZW5oYWdlbiwgRGVubWFyay4mI3hEO0RlcGFydG1lbnQgb2Yg
RW5kb2NyaW5vbG9neSBhbmQgRGVwYXJ0bWVudCBvZiBHeW5lY29sb2d5IGFuZCBPYnN0ZXRyaWNz
LCBPZGVuc2UgVW5pdmVyc2l0eSBIb3NwaXRhbCwgT2RlbnNlLCBEZW5tYXJrLiYjeEQ7RGVwYXJ0
bWVudCBvZiBDbGluaWNhbCBSZXNlYXJjaCwgRmFjdWx0eSBvZiBIZWFsdGggU2NpZW5jZXMsIFVu
aXZlcnNpdHkgb2YgU291dGhlcm4gRGVubWFyaywgT2RlbnNlLCBEZW5tYXJrLiYjeEQ7VW5pdmVy
c2l0YSBEZWdsaSBTdHVkaSBkaSBQYWRvdmEsIFBhZHVhLCBJdGFseS4mI3hEO0F6aWVuZGEgT3Nw
ZWRhbGllcm8gVW5pdmVyc2l0YXJpYS1QaXNhLCBQaXNhIEl0YWx5LiYjeEQ7TWVkaWNhbCBGYWN1
bHR5IEksIFBvem5hbiBVbml2ZXJzaXR5IG9mIE1lZGljYWwgU2NpZW5jZXMsIFBvem5hbiwgUG9s
YW5kLiYjeEQ7UmVjaGVyY2hlIGVuIFNhbnRlIExhd3NvbiBTQSwgQnJvbnNjaGhvZmVuLCBTd2l0
emVybGFuZC4mI3hEO0RlcGFydG1lbnQgb2YgTWVkaWNhbCBQc3ljaG9sb2d5LCBFTUdPKyBJbnN0
aXR1dGUgZm9yIEhlYWx0aCBhbmQgQ2FyZSBSZXNlYXJjaCwgVlUgVW5pdmVyc2l0eSBNZWRpY2Fs
IENlbnRyZSwgQW1zdGVyZGFtLCBUaGUgTmV0aGVybGFuZHMuJiN4RDtEZXBhcnRtZW50IG9mIE1l
ZGljYWwgUHN5Y2hvbG9neSwgQWNhZGVtaWMgTWVkaWNhbCBDZW50cmUsIEFtc3RlcmRhbSwgVGhl
IE5ldGhlcmxhbmRzLiYjeEQ7RGVwYXJ0bWVudCBvZiBQdWJsaWMgYW5kIE9jY3VwYXRpb25hbCBI
ZWFsdGgsIEVNR08rIEluc3RpdHV0ZSBmb3IgSGVhbHRoIGFuZCBDYXJlIFJlc2VhcmNoLCBWVSBV
bml2ZXJzaXR5IE1lZGljYWwgQ2VudHJlLCBBbXN0ZXJkYW0sIFRoZSBOZXRoZXJsYW5kczsgYW5k
LiYjeEQ7SW5zdGl0dXRlIG9mIFNwb3J0IFNjaWVuY2UsIFVuaXZlcnNpdHkgb2YgR3JheiwgR3Jh
eiwgQXVzdHJpYS48L2F1dGgtYWRkcmVzcz48dGl0bGVzPjx0aXRsZT5FZmZlY3Qgb2YgUGh5c2lj
YWwgQWN0aXZpdHkgYW5kL29yIEhlYWx0aHkgRWF0aW5nIG9uIEdETSBSaXNrOiBUaGUgREFMSSBM
aWZlc3R5bGUgU3R1ZHk8L3RpdGxlPjxzZWNvbmRhcnktdGl0bGU+SiBDbGluIEVuZG9jcmlub2wg
TWV0YWI8L3NlY29uZGFyeS10aXRsZT48L3RpdGxlcz48cGVyaW9kaWNhbD48ZnVsbC10aXRsZT5K
IENsaW4gRW5kb2NyaW5vbCBNZXRhYjwvZnVsbC10aXRsZT48L3BlcmlvZGljYWw+PHBhZ2VzPjkw
My05MTM8L3BhZ2VzPjx2b2x1bWU+MTAyPC92b2x1bWU+PG51bWJlcj4zPC9udW1iZXI+PGVkaXRp
b24+MjAxNi8xMi8xMDwvZWRpdGlvbj48ZGF0ZXM+PHllYXI+MjAxNzwveWVhcj48cHViLWRhdGVz
PjxkYXRlPk1hciAxPC9kYXRlPjwvcHViLWRhdGVzPjwvZGF0ZXM+PGlzYm4+MTk0NS03MTk3IChF
bGVjdHJvbmljKSYjeEQ7MDAyMS05NzJYIChMaW5raW5nKTwvaXNibj48YWNjZXNzaW9uLW51bT4y
NzkzNTc2NzwvYWNjZXNzaW9uLW51bT48dXJscz48cmVsYXRlZC11cmxzPjx1cmw+aHR0cHM6Ly93
d3cubmNiaS5ubG0ubmloLmdvdi9wdWJtZWQvMjc5MzU3Njc8L3VybD48L3JlbGF0ZWQtdXJscz48
L3VybHM+PGN1c3RvbTI+UE1DNTQ2MDY4ODwvY3VzdG9tMj48ZWxlY3Ryb25pYy1yZXNvdXJjZS1u
dW0+MTAuMTIxMC9qYy4yMDE2LTM0NTU8L2VsZWN0cm9uaWMtcmVzb3VyY2UtbnVtPjwvcmVjb3Jk
PjwvQ2l0ZT48Q2l0ZT48QXV0aG9yPlRob3JudG9uPC9BdXRob3I+PFllYXI+MjAwOTwvWWVhcj48
UmVjTnVtPjExMzg8L1JlY051bT48cmVjb3JkPjxyZWMtbnVtYmVyPjExMzg8L3JlYy1udW1iZXI+
PGZvcmVpZ24ta2V5cz48a2V5IGFwcD0iRU4iIGRiLWlkPSJleHZhc3JmeDJkdHJhb2VzYXN4cDJz
enN4YTJkZjUwMjU5MngiIHRpbWVzdGFtcD0iMTU1NTQ3MzY0NCI+MTEzODwva2V5PjwvZm9yZWln
bi1rZXlzPjxyZWYtdHlwZSBuYW1lPSJKb3VybmFsIEFydGljbGUiPjE3PC9yZWYtdHlwZT48Y29u
dHJpYnV0b3JzPjxhdXRob3JzPjxhdXRob3I+VGhvcm50b24sIFkuIFMuPC9hdXRob3I+PGF1dGhv
cj5TbWFya29sYSwgQy48L2F1dGhvcj48YXV0aG9yPktvcGFjeiwgUy4gTS48L2F1dGhvcj48YXV0
aG9yPklzaG9vZiwgUy4gQi48L2F1dGhvcj48L2F1dGhvcnM+PC9jb250cmlidXRvcnM+PGF1dGgt
YWRkcmVzcz5EZXBhcnRtZW50IG9mIE9ic3RldHJpY3MsIERpdmlzaW9ucyBvZiBNYXRlcm5hbC1G
ZXRhbCBNZWRpY2luZSwgTW9ycmlzdG93biBNZW1vcmlhbCBIb3NwaXRhbCwgTW9ycmlzdG93biwg
TmV3IEplcnNleSwgVVNBLiB5dm9ubmVfdGhvcm50b25AbnltYy5lZHU8L2F1dGgtYWRkcmVzcz48
dGl0bGVzPjx0aXRsZT5QZXJpbmF0YWwgb3V0Y29tZXMgaW4gbnV0cml0aW9uYWxseSBtb25pdG9y
ZWQgb2Jlc2UgcHJlZ25hbnQgd29tZW46IGEgcmFuZG9taXplZCBjbGluaWNhbCB0cmlhbDwvdGl0
bGU+PHNlY29uZGFyeS10aXRsZT5KIE5hdGwgTWVkIEFzc29jPC9zZWNvbmRhcnktdGl0bGU+PC90
aXRsZXM+PHBlcmlvZGljYWw+PGZ1bGwtdGl0bGU+SiBOYXRsIE1lZCBBc3NvYzwvZnVsbC10aXRs
ZT48L3BlcmlvZGljYWw+PHBhZ2VzPjU2OS03NzwvcGFnZXM+PHZvbHVtZT4xMDE8L3ZvbHVtZT48
bnVtYmVyPjY8L251bWJlcj48ZWRpdGlvbj4yMDA5LzA3LzEwPC9lZGl0aW9uPjxrZXl3b3Jkcz48
a2V5d29yZD5BZHVsdDwva2V5d29yZD48a2V5d29yZD5BbmFseXNpcyBvZiBWYXJpYW5jZTwva2V5
d29yZD48a2V5d29yZD5Cb2R5IE1hc3MgSW5kZXg8L2tleXdvcmQ+PGtleXdvcmQ+RmVtYWxlPC9r
ZXl3b3JkPjxrZXl3b3JkPkhlYWx0aCBTdGF0dXM8L2tleXdvcmQ+PGtleXdvcmQ+SHVtYW5zPC9r
ZXl3b3JkPjxrZXl3b3JkPk1hdGVybmFsIE51dHJpdGlvbmFsIFBoeXNpb2xvZ2ljYWwgUGhlbm9t
ZW5hLypwaHlzaW9sb2d5PC9rZXl3b3JkPjxrZXl3b3JkPipNYXRlcm5hbCBXZWxmYXJlPC9rZXl3
b3JkPjxrZXl3b3JkPk11bHRpdmFyaWF0ZSBBbmFseXNpczwva2V5d29yZD48a2V5d29yZD5OdXRy
aXRpb24gQXNzZXNzbWVudDwva2V5d29yZD48a2V5d29yZD5OdXRyaXRpb25hbCBTdGF0dXM8L2tl
eXdvcmQ+PGtleXdvcmQ+T2Jlc2l0eS8qY29tcGxpY2F0aW9uczwva2V5d29yZD48a2V5d29yZD5Q
cmVnbmFuY3k8L2tleXdvcmQ+PGtleXdvcmQ+UHJlZ25hbmN5IENvbXBsaWNhdGlvbnMvKmVwaWRl
bWlvbG9neS9wcmV2ZW50aW9uICZhbXA7IGNvbnRyb2w8L2tleXdvcmQ+PGtleXdvcmQ+KlByZWdu
YW5jeSBPdXRjb21lPC9rZXl3b3JkPjxrZXl3b3JkPlVuaXRlZCBTdGF0ZXMvZXBpZGVtaW9sb2d5
PC9rZXl3b3JkPjxrZXl3b3JkPldlaWdodCBHYWluPC9rZXl3b3JkPjwva2V5d29yZHM+PGRhdGVz
Pjx5ZWFyPjIwMDk8L3llYXI+PHB1Yi1kYXRlcz48ZGF0ZT5KdW48L2RhdGU+PC9wdWItZGF0ZXM+
PC9kYXRlcz48aXNibj4wMDI3LTk2ODQgKFByaW50KSYjeEQ7MDAyNy05Njg0IChMaW5raW5nKTwv
aXNibj48YWNjZXNzaW9uLW51bT4xOTU4NTkyNTwvYWNjZXNzaW9uLW51bT48dXJscz48cmVsYXRl
ZC11cmxzPjx1cmw+aHR0cHM6Ly93d3cubmNiaS5ubG0ubmloLmdvdi9wdWJtZWQvMTk1ODU5MjU8
L3VybD48L3JlbGF0ZWQtdXJscz48L3VybHM+PC9yZWNvcmQ+PC9DaXRlPjwvRW5kTm90ZT5=
</w:fldData>
        </w:fldChar>
      </w:r>
      <w:r w:rsidR="002747EA">
        <w:instrText xml:space="preserve"> ADDIN EN.CITE </w:instrText>
      </w:r>
      <w:r w:rsidR="002747EA">
        <w:fldChar w:fldCharType="begin">
          <w:fldData xml:space="preserve">PEVuZE5vdGU+PENpdGU+PEF1dGhvcj5EaSBDYXJsbzwvQXV0aG9yPjxZZWFyPjIwMTQ8L1llYXI+
PFJlY051bT4xMzg3PC9SZWNOdW0+PERpc3BsYXlUZXh0PjxzdHlsZSBmYWNlPSJzdXBlcnNjcmlw
dCIgZm9udD0iVHJlYnVjaGV0IE1TIiBzaXplPSI5Ij40MDEtNDAzPC9zdHlsZT48L0Rpc3BsYXlU
ZXh0PjxyZWNvcmQ+PHJlYy1udW1iZXI+MTM4NzwvcmVjLW51bWJlcj48Zm9yZWlnbi1rZXlzPjxr
ZXkgYXBwPSJFTiIgZGItaWQ9ImV4dmFzcmZ4MmR0cmFvZXNhc3hwMnN6c3hhMmRmNTAyNTkyeCIg
dGltZXN0YW1wPSIxNTY3NjYxNTY4Ij4xMzg3PC9rZXk+PGtleSBhcHA9IkVOV2ViIiBkYi1pZD0i
Ij4wPC9rZXk+PC9mb3JlaWduLWtleXM+PHJlZi10eXBlIG5hbWU9IkpvdXJuYWwgQXJ0aWNsZSI+
MTc8L3JlZi10eXBlPjxjb250cmlidXRvcnM+PGF1dGhvcnM+PGF1dGhvcj5EaSBDYXJsbywgQy4s
PC9hdXRob3I+PGF1dGhvcj5JYW5ub3R0aSwgRy4sPC9hdXRob3I+PGF1dGhvcj5TcGFyaWNlLCBT
Liw8L2F1dGhvcj48YXV0aG9yPkNoaWFjY2hpbywgTS5QLiw8L2F1dGhvcj48YXV0aG9yPkdyZWNv
LCBFLiw8L2F1dGhvcj48YXV0aG9yPlRvbW1hc2VsbGksIEcuQS4sPC9hdXRob3I+PGF1dGhvcj5O
YXBwaSwgQy4sPC9hdXRob3I+PC9hdXRob3JzPjwvY29udHJpYnV0b3JzPjx0aXRsZXM+PHRpdGxl
PlRoZSByb2xlIG9mIGEgcGVyc29uYWxpemVkIGRpZXRhcnkgaW50ZXJ2ZW50aW9uIGluIG1hbmFn
aW5nIGdlc3RhdGlvbmFsIHdlaWdodCBnYWluOiBhIHByb3NwZWN0aXZlLCBjb250cm9sbGVkIHN0
dWR5IGluIGEgbG93LXJpc2sgYW50ZW5hdGFsIHBvcHVsYXRpb248L3RpdGxlPjxzZWNvbmRhcnkt
dGl0bGU+QXJjaCBHeW5lY29sIE9ic3RldDwvc2Vjb25kYXJ5LXRpdGxlPjwvdGl0bGVzPjxwZXJp
b2RpY2FsPjxmdWxsLXRpdGxlPkFyY2ggR3luZWNvbCBPYnN0ZXQ8L2Z1bGwtdGl0bGU+PC9wZXJp
b2RpY2FsPjxwYWdlcz43NjUtNzA8L3BhZ2VzPjx2b2x1bWU+Mjg5PC92b2x1bWU+PG51bWJlcj40
PC9udW1iZXI+PHNlY3Rpb24+NzY1PC9zZWN0aW9uPjxkYXRlcz48eWVhcj4yMDE0PC95ZWFyPjwv
ZGF0ZXM+PGlzYm4+MDkzMi0wMDY3JiN4RDsxNDMyLTA3MTE8L2lzYm4+PHVybHM+PC91cmxzPjxl
bGVjdHJvbmljLXJlc291cmNlLW51bT4xMC4xMDA3L3MwMDQwNC0wMTMtMzA1NC15PC9lbGVjdHJv
bmljLXJlc291cmNlLW51bT48L3JlY29yZD48L0NpdGU+PENpdGU+PEF1dGhvcj5TaW1tb25zPC9B
dXRob3I+PFllYXI+MjAxNzwvWWVhcj48UmVjTnVtPjEwNTc8L1JlY051bT48cmVjb3JkPjxyZWMt
bnVtYmVyPjEwNTc8L3JlYy1udW1iZXI+PGZvcmVpZ24ta2V5cz48a2V5IGFwcD0iRU4iIGRiLWlk
PSJleHZhc3JmeDJkdHJhb2VzYXN4cDJzenN4YTJkZjUwMjU5MngiIHRpbWVzdGFtcD0iMTU0ODk4
MzQ3NiI+MTA1Nzwva2V5PjwvZm9yZWlnbi1rZXlzPjxyZWYtdHlwZSBuYW1lPSJKb3VybmFsIEFy
dGljbGUiPjE3PC9yZWYtdHlwZT48Y29udHJpYnV0b3JzPjxhdXRob3JzPjxhdXRob3I+U2ltbW9u
cywgRC48L2F1dGhvcj48YXV0aG9yPkRldmxpZWdlciwgUi48L2F1dGhvcj48YXV0aG9yPnZhbiBB
c3NjaGUsIEEuPC9hdXRob3I+PGF1dGhvcj5KYW5zLCBHLjwvYXV0aG9yPjxhdXRob3I+R2FsamFh
cmQsIFMuPC9hdXRob3I+PGF1dGhvcj5Db3Jjb3ksIFIuPC9hdXRob3I+PGF1dGhvcj5BZGVsYW50
YWRvLCBKLiBNLjwvYXV0aG9yPjxhdXRob3I+RHVubmUsIEYuPC9hdXRob3I+PGF1dGhvcj5EZXNv
eWUsIEcuPC9hdXRob3I+PGF1dGhvcj5IYXJyZWl0ZXIsIEouPC9hdXRob3I+PGF1dGhvcj5LYXV0
emt5LVdpbGxlciwgQS48L2F1dGhvcj48YXV0aG9yPkRhbW0sIFAuPC9hdXRob3I+PGF1dGhvcj5N
YXRoaWVzZW4sIEUuIFIuPC9hdXRob3I+PGF1dGhvcj5KZW5zZW4sIEQuIE0uPC9hdXRob3I+PGF1
dGhvcj5BbmRlcnNlbiwgTC48L2F1dGhvcj48YXV0aG9yPkxhcG9sbGEsIEEuPC9hdXRob3I+PGF1
dGhvcj5EYWxmcmEsIE0uIEcuPC9hdXRob3I+PGF1dGhvcj5CZXJ0b2xvdHRvLCBBLjwvYXV0aG9y
PjxhdXRob3I+V2VuZGVyLU96ZWdvd3NrYSwgRS48L2F1dGhvcj48YXV0aG9yPlphd2llanNrYSwg
QS48L2F1dGhvcj48YXV0aG9yPkhpbGwsIEQuPC9hdXRob3I+PGF1dGhvcj5Tbm9laywgRi4gSi48
L2F1dGhvcj48YXV0aG9yPkplbHNtYSwgSi4gRy48L2F1dGhvcj48YXV0aG9yPnZhbiBQb3BwZWws
IE0uIE4uPC9hdXRob3I+PC9hdXRob3JzPjwvY29udHJpYnV0b3JzPjxhdXRoLWFkZHJlc3M+V2Vz
dGVybiBTeWRuZXkgVW5pdmVyc2l0eSwgQ2FtcGJlbGx0b3duLCBOZXcgU291dGggV2FsZXMgMjU2
MCwgQXVzdHJhbGlhLiYjeEQ7SW5zdGl0dXRlIG9mIE1ldGFib2xpYyBTY2llbmNlLCBBZGRlbmJy
b29rZSZhcG9zO3MgSG9zcGl0YWwsIENhbWJyaWRnZSwgQ0IyIDBRUSBFbmdsYW5kLiYjeEQ7RGVw
YXJ0bWVudCBvZiBEZXZlbG9wbWVudCBhbmQgUmVnZW5lcmF0aW9uOiBQcmVnbmFuY3ksIEZldHVz
IGFuZCBOZW9uYXRlLCBHeW5hZWNvbG9neSBhbmQgT2JzdGV0cmljcywgVW5pdmVyc2l0eSBIb3Nw
aXRhbHMsIEthdGhvbGlla2UgVW5pdmVyc2l0ZWl0IExldXZlbiwgTGV1dmVuLCBCZWxnaXVtLiYj
eEQ7RGl2aXNpb24gb2YgT2JzdGV0cmljcyBhbmQgUHJlbmF0YWwgTWVkaWNpbmUsIERlcGFydG1l
bnQgb2YgT2JzdGV0cmljcyBhbmQgR3luYWVjb2xvZ3ksIEVyYXNtdXMgVW5pdmVyc2l0eSBNZWRp
Y2FsIENlbnRlciBSb3R0ZXJkYW0sIFJvdHRlcmRhbSwgVGhlIE5ldGhlcmxhbmRzLiYjeEQ7SW5z
dGl0dXQgZGUgUmVjZXJjYSBkZSBsIEhvc3BpdGFsIGRlIGxhIFNhbnRhIENyZXUgaSBTYW50IFBh
dSwgQmFyY2Vsb25hLCBTcGFpbi4mI3hEO0NJQkVSIEJpb2VuZ2luZWVyaW5nLCBCaW9tYXRlcmlh
bHMgYW5kIE5hbm90ZWNobm9sb2d5LCBJbnN0aXR1dG8gZGUgU2FsdWQgQ2FybG9zIElJSSwgWmFy
YWdvemEsIFNwYWluLiYjeEQ7R2Fsd2F5IERpYWJldGVzIFJlc2VhcmNoIENlbnRyZSBhbmQgQ29s
bGVnZSBvZiBNZWRpY2luZSBOdXJzaW5nIGFuZCBIZWFsdGggU2NpZW5jZXMsIE5hdGlvbmFsIFVu
aXZlcnNpdHkgb2YgSXJlbGFuZCwgR2Fsd2F5LCBJcmVsYW5kLiYjeEQ7RGVwYXJ0bWVudCBvZiBP
YnN0ZXRyaWNzIGFuZCBHeW5lY29sb2d5LCBNZWRpemluaXNjaGUgVW5pdmVyc2l0YWV0IEdyYXos
IEdyYXosIEF1c3RyaWEuJiN4RDtHZW5kZXIgTWVkaWNpbmUgVW5pdCwgRW5kb2NyaW5vbG9neSBh
bmQgTWV0YWJvbGlzbSwgRGVwYXJ0bWVudCBvZiBJbnRlcm5hbCBNZWRpY2luZSBJSUksIE1lZGlj
YWwgVW5pdmVyc2l0eSBvZiBWaWVubmEsIFZpZW5uYSwgQXVzdHJpYS4mI3hEO0NlbnRlciBmb3Ig
UHJlZ25hbnQgV29tZW4gd2l0aCBEaWFiZXRlcywgRGVwYXJ0bWVudHMgb2YgRW5kb2NyaW5vbG9n
eSBhbmQgT2JzdGV0cmljcywgUmlnc2hvc3BpdGFsZXQsIEluc3RpdHV0ZSBvZiBDbGluaWNhbCBN
ZWRpY2luZSwgRmFjdWx0eSBvZiBIZWFsdGggYW5kIE1lZGljYWwgU2NpZW5jZXMsIFVuaXZlcnNp
dHkgb2YgQ29wZW5oYWdlbiwgQ29wZW5oYWdlbiwgRGVubWFyay4mI3hEO0RlcGFydG1lbnQgb2Yg
RW5kb2NyaW5vbG9neSBhbmQgRGVwYXJ0bWVudCBvZiBHeW5lY29sb2d5IGFuZCBPYnN0ZXRyaWNz
LCBPZGVuc2UgVW5pdmVyc2l0eSBIb3NwaXRhbCwgT2RlbnNlLCBEZW5tYXJrLiYjeEQ7RGVwYXJ0
bWVudCBvZiBDbGluaWNhbCBSZXNlYXJjaCwgRmFjdWx0eSBvZiBIZWFsdGggU2NpZW5jZXMsIFVu
aXZlcnNpdHkgb2YgU291dGhlcm4gRGVubWFyaywgT2RlbnNlLCBEZW5tYXJrLiYjeEQ7VW5pdmVy
c2l0YSBEZWdsaSBTdHVkaSBkaSBQYWRvdmEsIFBhZHVhLCBJdGFseS4mI3hEO0F6aWVuZGEgT3Nw
ZWRhbGllcm8gVW5pdmVyc2l0YXJpYS1QaXNhLCBQaXNhIEl0YWx5LiYjeEQ7TWVkaWNhbCBGYWN1
bHR5IEksIFBvem5hbiBVbml2ZXJzaXR5IG9mIE1lZGljYWwgU2NpZW5jZXMsIFBvem5hbiwgUG9s
YW5kLiYjeEQ7UmVjaGVyY2hlIGVuIFNhbnRlIExhd3NvbiBTQSwgQnJvbnNjaGhvZmVuLCBTd2l0
emVybGFuZC4mI3hEO0RlcGFydG1lbnQgb2YgTWVkaWNhbCBQc3ljaG9sb2d5LCBFTUdPKyBJbnN0
aXR1dGUgZm9yIEhlYWx0aCBhbmQgQ2FyZSBSZXNlYXJjaCwgVlUgVW5pdmVyc2l0eSBNZWRpY2Fs
IENlbnRyZSwgQW1zdGVyZGFtLCBUaGUgTmV0aGVybGFuZHMuJiN4RDtEZXBhcnRtZW50IG9mIE1l
ZGljYWwgUHN5Y2hvbG9neSwgQWNhZGVtaWMgTWVkaWNhbCBDZW50cmUsIEFtc3RlcmRhbSwgVGhl
IE5ldGhlcmxhbmRzLiYjeEQ7RGVwYXJ0bWVudCBvZiBQdWJsaWMgYW5kIE9jY3VwYXRpb25hbCBI
ZWFsdGgsIEVNR08rIEluc3RpdHV0ZSBmb3IgSGVhbHRoIGFuZCBDYXJlIFJlc2VhcmNoLCBWVSBV
bml2ZXJzaXR5IE1lZGljYWwgQ2VudHJlLCBBbXN0ZXJkYW0sIFRoZSBOZXRoZXJsYW5kczsgYW5k
LiYjeEQ7SW5zdGl0dXRlIG9mIFNwb3J0IFNjaWVuY2UsIFVuaXZlcnNpdHkgb2YgR3JheiwgR3Jh
eiwgQXVzdHJpYS48L2F1dGgtYWRkcmVzcz48dGl0bGVzPjx0aXRsZT5FZmZlY3Qgb2YgUGh5c2lj
YWwgQWN0aXZpdHkgYW5kL29yIEhlYWx0aHkgRWF0aW5nIG9uIEdETSBSaXNrOiBUaGUgREFMSSBM
aWZlc3R5bGUgU3R1ZHk8L3RpdGxlPjxzZWNvbmRhcnktdGl0bGU+SiBDbGluIEVuZG9jcmlub2wg
TWV0YWI8L3NlY29uZGFyeS10aXRsZT48L3RpdGxlcz48cGVyaW9kaWNhbD48ZnVsbC10aXRsZT5K
IENsaW4gRW5kb2NyaW5vbCBNZXRhYjwvZnVsbC10aXRsZT48L3BlcmlvZGljYWw+PHBhZ2VzPjkw
My05MTM8L3BhZ2VzPjx2b2x1bWU+MTAyPC92b2x1bWU+PG51bWJlcj4zPC9udW1iZXI+PGVkaXRp
b24+MjAxNi8xMi8xMDwvZWRpdGlvbj48ZGF0ZXM+PHllYXI+MjAxNzwveWVhcj48cHViLWRhdGVz
PjxkYXRlPk1hciAxPC9kYXRlPjwvcHViLWRhdGVzPjwvZGF0ZXM+PGlzYm4+MTk0NS03MTk3IChF
bGVjdHJvbmljKSYjeEQ7MDAyMS05NzJYIChMaW5raW5nKTwvaXNibj48YWNjZXNzaW9uLW51bT4y
NzkzNTc2NzwvYWNjZXNzaW9uLW51bT48dXJscz48cmVsYXRlZC11cmxzPjx1cmw+aHR0cHM6Ly93
d3cubmNiaS5ubG0ubmloLmdvdi9wdWJtZWQvMjc5MzU3Njc8L3VybD48L3JlbGF0ZWQtdXJscz48
L3VybHM+PGN1c3RvbTI+UE1DNTQ2MDY4ODwvY3VzdG9tMj48ZWxlY3Ryb25pYy1yZXNvdXJjZS1u
dW0+MTAuMTIxMC9qYy4yMDE2LTM0NTU8L2VsZWN0cm9uaWMtcmVzb3VyY2UtbnVtPjwvcmVjb3Jk
PjwvQ2l0ZT48Q2l0ZT48QXV0aG9yPlRob3JudG9uPC9BdXRob3I+PFllYXI+MjAwOTwvWWVhcj48
UmVjTnVtPjExMzg8L1JlY051bT48cmVjb3JkPjxyZWMtbnVtYmVyPjExMzg8L3JlYy1udW1iZXI+
PGZvcmVpZ24ta2V5cz48a2V5IGFwcD0iRU4iIGRiLWlkPSJleHZhc3JmeDJkdHJhb2VzYXN4cDJz
enN4YTJkZjUwMjU5MngiIHRpbWVzdGFtcD0iMTU1NTQ3MzY0NCI+MTEzODwva2V5PjwvZm9yZWln
bi1rZXlzPjxyZWYtdHlwZSBuYW1lPSJKb3VybmFsIEFydGljbGUiPjE3PC9yZWYtdHlwZT48Y29u
dHJpYnV0b3JzPjxhdXRob3JzPjxhdXRob3I+VGhvcm50b24sIFkuIFMuPC9hdXRob3I+PGF1dGhv
cj5TbWFya29sYSwgQy48L2F1dGhvcj48YXV0aG9yPktvcGFjeiwgUy4gTS48L2F1dGhvcj48YXV0
aG9yPklzaG9vZiwgUy4gQi48L2F1dGhvcj48L2F1dGhvcnM+PC9jb250cmlidXRvcnM+PGF1dGgt
YWRkcmVzcz5EZXBhcnRtZW50IG9mIE9ic3RldHJpY3MsIERpdmlzaW9ucyBvZiBNYXRlcm5hbC1G
ZXRhbCBNZWRpY2luZSwgTW9ycmlzdG93biBNZW1vcmlhbCBIb3NwaXRhbCwgTW9ycmlzdG93biwg
TmV3IEplcnNleSwgVVNBLiB5dm9ubmVfdGhvcm50b25AbnltYy5lZHU8L2F1dGgtYWRkcmVzcz48
dGl0bGVzPjx0aXRsZT5QZXJpbmF0YWwgb3V0Y29tZXMgaW4gbnV0cml0aW9uYWxseSBtb25pdG9y
ZWQgb2Jlc2UgcHJlZ25hbnQgd29tZW46IGEgcmFuZG9taXplZCBjbGluaWNhbCB0cmlhbDwvdGl0
bGU+PHNlY29uZGFyeS10aXRsZT5KIE5hdGwgTWVkIEFzc29jPC9zZWNvbmRhcnktdGl0bGU+PC90
aXRsZXM+PHBlcmlvZGljYWw+PGZ1bGwtdGl0bGU+SiBOYXRsIE1lZCBBc3NvYzwvZnVsbC10aXRs
ZT48L3BlcmlvZGljYWw+PHBhZ2VzPjU2OS03NzwvcGFnZXM+PHZvbHVtZT4xMDE8L3ZvbHVtZT48
bnVtYmVyPjY8L251bWJlcj48ZWRpdGlvbj4yMDA5LzA3LzEwPC9lZGl0aW9uPjxrZXl3b3Jkcz48
a2V5d29yZD5BZHVsdDwva2V5d29yZD48a2V5d29yZD5BbmFseXNpcyBvZiBWYXJpYW5jZTwva2V5
d29yZD48a2V5d29yZD5Cb2R5IE1hc3MgSW5kZXg8L2tleXdvcmQ+PGtleXdvcmQ+RmVtYWxlPC9r
ZXl3b3JkPjxrZXl3b3JkPkhlYWx0aCBTdGF0dXM8L2tleXdvcmQ+PGtleXdvcmQ+SHVtYW5zPC9r
ZXl3b3JkPjxrZXl3b3JkPk1hdGVybmFsIE51dHJpdGlvbmFsIFBoeXNpb2xvZ2ljYWwgUGhlbm9t
ZW5hLypwaHlzaW9sb2d5PC9rZXl3b3JkPjxrZXl3b3JkPipNYXRlcm5hbCBXZWxmYXJlPC9rZXl3
b3JkPjxrZXl3b3JkPk11bHRpdmFyaWF0ZSBBbmFseXNpczwva2V5d29yZD48a2V5d29yZD5OdXRy
aXRpb24gQXNzZXNzbWVudDwva2V5d29yZD48a2V5d29yZD5OdXRyaXRpb25hbCBTdGF0dXM8L2tl
eXdvcmQ+PGtleXdvcmQ+T2Jlc2l0eS8qY29tcGxpY2F0aW9uczwva2V5d29yZD48a2V5d29yZD5Q
cmVnbmFuY3k8L2tleXdvcmQ+PGtleXdvcmQ+UHJlZ25hbmN5IENvbXBsaWNhdGlvbnMvKmVwaWRl
bWlvbG9neS9wcmV2ZW50aW9uICZhbXA7IGNvbnRyb2w8L2tleXdvcmQ+PGtleXdvcmQ+KlByZWdu
YW5jeSBPdXRjb21lPC9rZXl3b3JkPjxrZXl3b3JkPlVuaXRlZCBTdGF0ZXMvZXBpZGVtaW9sb2d5
PC9rZXl3b3JkPjxrZXl3b3JkPldlaWdodCBHYWluPC9rZXl3b3JkPjwva2V5d29yZHM+PGRhdGVz
Pjx5ZWFyPjIwMDk8L3llYXI+PHB1Yi1kYXRlcz48ZGF0ZT5KdW48L2RhdGU+PC9wdWItZGF0ZXM+
PC9kYXRlcz48aXNibj4wMDI3LTk2ODQgKFByaW50KSYjeEQ7MDAyNy05Njg0IChMaW5raW5nKTwv
aXNibj48YWNjZXNzaW9uLW51bT4xOTU4NTkyNTwvYWNjZXNzaW9uLW51bT48dXJscz48cmVsYXRl
ZC11cmxzPjx1cmw+aHR0cHM6Ly93d3cubmNiaS5ubG0ubmloLmdvdi9wdWJtZWQvMTk1ODU5MjU8
L3VybD48L3JlbGF0ZWQtdXJscz48L3VybHM+PC9yZWNvcmQ+PC9DaXRlPjwvRW5kTm90ZT5=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401-403</w:t>
      </w:r>
      <w:r>
        <w:fldChar w:fldCharType="end"/>
      </w:r>
      <w:r w:rsidR="00AA01EB">
        <w:t xml:space="preserve"> </w:t>
      </w:r>
      <w:r w:rsidR="00087E01">
        <w:t xml:space="preserve">One </w:t>
      </w:r>
      <w:r>
        <w:t xml:space="preserve">study </w:t>
      </w:r>
      <w:r w:rsidR="00087E01">
        <w:t>a</w:t>
      </w:r>
      <w:r>
        <w:t>dvised a low glycaemic index diet from early pregnancy.</w:t>
      </w:r>
      <w:r>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 </w:instrText>
      </w:r>
      <w:r w:rsidR="002747EA">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EN.CITE.DATA </w:instrText>
      </w:r>
      <w:r w:rsidR="002747EA">
        <w:fldChar w:fldCharType="end"/>
      </w:r>
      <w:r>
        <w:fldChar w:fldCharType="separate"/>
      </w:r>
      <w:r w:rsidR="002747EA" w:rsidRPr="002747EA">
        <w:rPr>
          <w:noProof/>
          <w:vertAlign w:val="superscript"/>
        </w:rPr>
        <w:t>405,406</w:t>
      </w:r>
      <w:r>
        <w:fldChar w:fldCharType="end"/>
      </w:r>
    </w:p>
    <w:p w14:paraId="755B4D19" w14:textId="34E614EC" w:rsidR="00AA01EB" w:rsidRDefault="00AA01EB" w:rsidP="00AA01EB">
      <w:r>
        <w:rPr>
          <w:shd w:val="clear" w:color="auto" w:fill="FFFFFF"/>
        </w:rPr>
        <w:t>Common themes in dietary advice provided included reducing intake of saturated fats</w:t>
      </w:r>
      <w:r w:rsidR="00B5235D">
        <w:rPr>
          <w:shd w:val="clear" w:color="auto" w:fill="FFFFFF"/>
        </w:rPr>
        <w:t>,</w:t>
      </w:r>
      <w:r>
        <w:fldChar w:fldCharType="begin">
          <w:fldData xml:space="preserve">PEVuZE5vdGU+PENpdGU+PEF1dGhvcj5BYmRlbC1Beml6PC9BdXRob3I+PFllYXI+MjAxODwvWWVh
cj48UmVjTnVtPjEzODk8L1JlY051bT48RGlzcGxheVRleHQ+PHN0eWxlIGZhY2U9InN1cGVyc2Ny
aXB0IiBmb250PSJUcmVidWNoZXQgTVMiIHNpemU9IjkiPjI0MCw0MDAtNDAyPC9zdHlsZT48L0Rp
c3BsYXlUZXh0PjxyZWNvcmQ+PHJlYy1udW1iZXI+MTM4OTwvcmVjLW51bWJlcj48Zm9yZWlnbi1r
ZXlzPjxrZXkgYXBwPSJFTiIgZGItaWQ9ImV4dmFzcmZ4MmR0cmFvZXNhc3hwMnN6c3hhMmRmNTAy
NTkyeCIgdGltZXN0YW1wPSIxNTY3NzQyNjcxIj4xMzg5PC9rZXk+PGtleSBhcHA9IkVOV2ViIiBk
Yi1pZD0iIj4wPC9rZXk+PC9mb3JlaWduLWtleXM+PHJlZi10eXBlIG5hbWU9IkpvdXJuYWwgQXJ0
aWNsZSI+MTc8L3JlZi10eXBlPjxjb250cmlidXRvcnM+PGF1dGhvcnM+PGF1dGhvcj5BYmRlbC1B
eml6LCBTLkIuLDwvYXV0aG9yPjxhdXRob3I+SGVnYXp5LCBJLlMuLDwvYXV0aG9yPjxhdXRob3I+
TW9oYW1lZCwgRC5BLiw8L2F1dGhvcj48YXV0aG9yPkFidSBFbCBLYXNlbSwgTS5NLkEuLDwvYXV0
aG9yPjxhdXRob3I+SGFnYWcsIFMuUy4sPC9hdXRob3I+PC9hdXRob3JzPjwvY29udHJpYnV0b3Jz
PjxhdXRoLWFkZHJlc3M+UHVibGljIEhlYWx0aCBhbmQgQ29tbXVuaXR5IE1lZGljaW5lIERlcGFy
dG1lbnQsIEFsIEthc3IgRUwgQWluaSwgQ2Fpcm8gVW5pdmVyc2l0eSwgRWd5cHQuIEVsZWN0cm9u
aWMgYWRkcmVzczogU2hhaW1hYWJhaGVyQHlhaG9vLmNvbS4mI3hEO1B1YmxpYyBIZWFsdGggYW5k
IENvbW11bml0eSBNZWRpY2luZSBEZXBhcnRtZW50LCBBbCBLYXNyIEVMIEFpbmksIENhaXJvIFVu
aXZlcnNpdHksIEVneXB0LiYjeEQ7T2JzdGV0cmljcyBhbmQgR3luZWNvbG9neSBEZXBhcnRtZW50
LCBBbCBLYXNyIEVMIEFpbmksIENhaXJvIFVuaXZlcnNpdHksIEVneXB0LjwvYXV0aC1hZGRyZXNz
Pjx0aXRsZXM+PHRpdGxlPkVmZmVjdCBvZiBkaWV0YXJ5IGNvdW5zZWxpbmcgb24gcHJldmVudGlu
ZyBleGNlc3NpdmUgd2VpZ2h0IGdhaW4gZHVyaW5nIHByZWduYW5jeTwvdGl0bGU+PHNlY29uZGFy
eS10aXRsZT5QdWJsaWMgSGVhbHRoPC9zZWNvbmRhcnktdGl0bGU+PC90aXRsZXM+PHBlcmlvZGlj
YWw+PGZ1bGwtdGl0bGU+UHVibGljIEhlYWx0aDwvZnVsbC10aXRsZT48L3BlcmlvZGljYWw+PHBh
Z2VzPjE3Mi0xODE8L3BhZ2VzPjx2b2x1bWU+MTU0PC92b2x1bWU+PGVkaXRpb24+MjAxNy8xMi8x
OTwvZWRpdGlvbj48a2V5d29yZHM+PGtleXdvcmQ+QWR1bHQ8L2tleXdvcmQ+PGtleXdvcmQ+KkNv
dW5zZWxpbmc8L2tleXdvcmQ+PGtleXdvcmQ+KkRpZXQvcHN5Y2hvbG9neTwva2V5d29yZD48a2V5
d29yZD5GZW1hbGU8L2tleXdvcmQ+PGtleXdvcmQ+KkhlYWx0aCBFZHVjYXRpb248L2tleXdvcmQ+
PGtleXdvcmQ+SHVtYW5zPC9rZXl3b3JkPjxrZXl3b3JkPk9iZXNpdHkvKnByZXZlbnRpb24gJmFt
cDsgY29udHJvbDwva2V5d29yZD48a2V5d29yZD5QcmVnbmFuY3k8L2tleXdvcmQ+PGtleXdvcmQ+
UHJvZ3JhbSBFdmFsdWF0aW9uPC9rZXl3b3JkPjxrZXl3b3JkPllvdW5nIEFkdWx0PC9rZXl3b3Jk
PjxrZXl3b3JkPkJlaGF2aW9yYWwgaW50ZXJ2ZW50aW9uPC9rZXl3b3JkPjxrZXl3b3JkPkRpZXRh
cnkgY291bnNlbGluZzwva2V5d29yZD48a2V5d29yZD5FeGNlc3NpdmUgZ2VzdGF0aW9uYWwgd2Vp
Z2h0IGdhaW48L2tleXdvcmQ+PGtleXdvcmQ+UHJlZ25hbmN5IG91dGNvbWVzPC9rZXl3b3JkPjwv
a2V5d29yZHM+PGRhdGVzPjx5ZWFyPjIwMTg8L3llYXI+PHB1Yi1kYXRlcz48ZGF0ZT5KYW48L2Rh
dGU+PC9wdWItZGF0ZXM+PC9kYXRlcz48aXNibj4xNDc2LTU2MTYgKEVsZWN0cm9uaWMpJiN4RDsw
MDMzLTM1MDYgKExpbmtpbmcpPC9pc2JuPjxhY2Nlc3Npb24tbnVtPjI5MjQ4ODI3PC9hY2Nlc3Np
b24tbnVtPjx1cmxzPjxyZWxhdGVkLXVybHM+PHVybD5odHRwczovL3d3dy5uY2JpLm5sbS5uaWgu
Z292L3B1Ym1lZC8yOTI0ODgyNzwvdXJsPjwvcmVsYXRlZC11cmxzPjwvdXJscz48ZWxlY3Ryb25p
Yy1yZXNvdXJjZS1udW0+MTAuMTAxNi9qLnB1aGUuMjAxNy4xMC4wMTQ8L2VsZWN0cm9uaWMtcmVz
b3VyY2UtbnVtPjwvcmVjb3JkPjwvQ2l0ZT48Q2l0ZT48QXV0aG9yPkRpIENhcmxvPC9BdXRob3I+
PFllYXI+MjAxNDwvWWVhcj48UmVjTnVtPjEzODc8L1JlY051bT48cmVjb3JkPjxyZWMtbnVtYmVy
PjEzODc8L3JlYy1udW1iZXI+PGZvcmVpZ24ta2V5cz48a2V5IGFwcD0iRU4iIGRiLWlkPSJleHZh
c3JmeDJkdHJhb2VzYXN4cDJzenN4YTJkZjUwMjU5MngiIHRpbWVzdGFtcD0iMTU2NzY2MTU2OCI+
MTM4Nzwva2V5PjxrZXkgYXBwPSJFTldlYiIgZGItaWQ9IiI+MDwva2V5PjwvZm9yZWlnbi1rZXlz
PjxyZWYtdHlwZSBuYW1lPSJKb3VybmFsIEFydGljbGUiPjE3PC9yZWYtdHlwZT48Y29udHJpYnV0
b3JzPjxhdXRob3JzPjxhdXRob3I+RGkgQ2FybG8sIEMuLDwvYXV0aG9yPjxhdXRob3I+SWFubm90
dGksIEcuLDwvYXV0aG9yPjxhdXRob3I+U3BhcmljZSwgUy4sPC9hdXRob3I+PGF1dGhvcj5DaGlh
Y2NoaW8sIE0uUC4sPC9hdXRob3I+PGF1dGhvcj5HcmVjbywgRS4sPC9hdXRob3I+PGF1dGhvcj5U
b21tYXNlbGxpLCBHLkEuLDwvYXV0aG9yPjxhdXRob3I+TmFwcGksIEMuLDwvYXV0aG9yPjwvYXV0
aG9ycz48L2NvbnRyaWJ1dG9ycz48dGl0bGVzPjx0aXRsZT5UaGUgcm9sZSBvZiBhIHBlcnNvbmFs
aXplZCBkaWV0YXJ5IGludGVydmVudGlvbiBpbiBtYW5hZ2luZyBnZXN0YXRpb25hbCB3ZWlnaHQg
Z2FpbjogYSBwcm9zcGVjdGl2ZSwgY29udHJvbGxlZCBzdHVkeSBpbiBhIGxvdy1yaXNrIGFudGVu
YXRhbCBwb3B1bGF0aW9uPC90aXRsZT48c2Vjb25kYXJ5LXRpdGxlPkFyY2ggR3luZWNvbCBPYnN0
ZXQ8L3NlY29uZGFyeS10aXRsZT48L3RpdGxlcz48cGVyaW9kaWNhbD48ZnVsbC10aXRsZT5BcmNo
IEd5bmVjb2wgT2JzdGV0PC9mdWxsLXRpdGxlPjwvcGVyaW9kaWNhbD48cGFnZXM+NzY1LTcwPC9w
YWdlcz48dm9sdW1lPjI4OTwvdm9sdW1lPjxudW1iZXI+NDwvbnVtYmVyPjxzZWN0aW9uPjc2NTwv
c2VjdGlvbj48ZGF0ZXM+PHllYXI+MjAxNDwveWVhcj48L2RhdGVzPjxpc2JuPjA5MzItMDA2NyYj
eEQ7MTQzMi0wNzExPC9pc2JuPjx1cmxzPjwvdXJscz48ZWxlY3Ryb25pYy1yZXNvdXJjZS1udW0+
MTAuMTAwNy9zMDA0MDQtMDEzLTMwNTQteTwvZWxlY3Ryb25pYy1yZXNvdXJjZS1udW0+PC9yZWNv
cmQ+PC9DaXRlPjxDaXRlPjxBdXRob3I+TGFpdGluZW48L0F1dGhvcj48WWVhcj4yMDA5PC9ZZWFy
PjxSZWNOdW0+MTE0ODwvUmVjTnVtPjxyZWNvcmQ+PHJlYy1udW1iZXI+MTE0ODwvcmVjLW51bWJl
cj48Zm9yZWlnbi1rZXlzPjxrZXkgYXBwPSJFTiIgZGItaWQ9ImV4dmFzcmZ4MmR0cmFvZXNhc3hw
MnN6c3hhMmRmNTAyNTkyeCIgdGltZXN0YW1wPSIxNTU1NTY2ODE2Ij4xMTQ4PC9rZXk+PGtleSBh
cHA9IkVOV2ViIiBkYi1pZD0iIj4wPC9rZXk+PC9mb3JlaWduLWtleXM+PHJlZi10eXBlIG5hbWU9
IkpvdXJuYWwgQXJ0aWNsZSI+MTc8L3JlZi10eXBlPjxjb250cmlidXRvcnM+PGF1dGhvcnM+PGF1
dGhvcj5MYWl0aW5lbiwgSy48L2F1dGhvcj48YXV0aG9yPlBvdXNzYSwgVC48L2F1dGhvcj48YXV0
aG9yPklzb2xhdXJpLCBFLjwvYXV0aG9yPjxhdXRob3I+TnV0cml0aW9uLCBBbGxlcmd5IE11Y29z
YWwgSW1tdW5vbG9neTwvYXV0aG9yPjxhdXRob3I+SW50ZXN0aW5hbCBNaWNyb2Jpb3RhLCBHcm91
cDwvYXV0aG9yPjwvYXV0aG9ycz48L2NvbnRyaWJ1dG9ycz48YXV0aC1hZGRyZXNzPkRlcGFydG1l
bnQgb2YgQmlvY2hlbWlzdHJ5IGFuZCBGb29kIENoZW1pc3RyeSwgVW5pdmVyc2l0eSBvZiBUdXJr
dSwgMjAwMTQgVHVya3UsIEZpbmxhbmQuIGtpcnNpLmxhaXRpbmVuQHV0dS5maTwvYXV0aC1hZGRy
ZXNzPjx0aXRsZXM+PHRpdGxlPlByb2Jpb3RpY3MgYW5kIGRpZXRhcnkgY291bnNlbGxpbmcgY29u
dHJpYnV0ZSB0byBnbHVjb3NlIHJlZ3VsYXRpb24gZHVyaW5nIGFuZCBhZnRlciBwcmVnbmFuY3k6
IGEgcmFuZG9taXNlZCBjb250cm9sbGVkIHRyaWFsPC90aXRsZT48c2Vjb25kYXJ5LXRpdGxlPkJy
IEogTnV0cjwvc2Vjb25kYXJ5LXRpdGxlPjwvdGl0bGVzPjxwZXJpb2RpY2FsPjxmdWxsLXRpdGxl
PkJyIEogTnV0cjwvZnVsbC10aXRsZT48L3BlcmlvZGljYWw+PHBhZ2VzPjE2NzktODc8L3BhZ2Vz
Pjx2b2x1bWU+MTAxPC92b2x1bWU+PG51bWJlcj4xMTwvbnVtYmVyPjxlZGl0aW9uPjIwMDgvMTEv
MjA8L2VkaXRpb24+PGtleXdvcmRzPjxrZXl3b3JkPkFkdWx0PC9rZXl3b3JkPjxrZXl3b3JkPkJs
b29kIEdsdWNvc2UvKm1ldGFib2xpc208L2tleXdvcmQ+PGtleXdvcmQ+Q291bnNlbGluZzwva2V5
d29yZD48a2V5d29yZD4qRGlldDwva2V5d29yZD48a2V5d29yZD5FbmVyZ3kgSW50YWtlL3BoeXNp
b2xvZ3k8L2tleXdvcmQ+PGtleXdvcmQ+RmVtYWxlPC9rZXl3b3JkPjxrZXl3b3JkPkh1bWFuczwv
a2V5d29yZD48a2V5d29yZD5JbnN1bGluL2Jsb29kPC9rZXl3b3JkPjxrZXl3b3JkPkluc3VsaW4g
UmVzaXN0YW5jZS9waHlzaW9sb2d5PC9rZXl3b3JkPjxrZXl3b3JkPk1hdGVybmFsIE51dHJpdGlv
bmFsIFBoeXNpb2xvZ2ljYWwgUGhlbm9tZW5hLypwaHlzaW9sb2d5PC9rZXl3b3JkPjxrZXl3b3Jk
PlBvc3RwYXJ0dW0gUGVyaW9kL2Jsb29kPC9rZXl3b3JkPjxrZXl3b3JkPlByZWduYW5jeS8qYmxv
b2Q8L2tleXdvcmQ+PGtleXdvcmQ+KlByb2Jpb3RpY3M8L2tleXdvcmQ+PGtleXdvcmQ+UHJvc3Bl
Y3RpdmUgU3R1ZGllczwva2V5d29yZD48a2V5d29yZD5Zb3VuZyBBZHVsdDwva2V5d29yZD48L2tl
eXdvcmRzPjxkYXRlcz48eWVhcj4yMDA5PC95ZWFyPjxwdWItZGF0ZXM+PGRhdGU+SnVuPC9kYXRl
PjwvcHViLWRhdGVzPjwvZGF0ZXM+PGlzYm4+MTQ3NS0yNjYyIChFbGVjdHJvbmljKSYjeEQ7MDAw
Ny0xMTQ1IChMaW5raW5nKTwvaXNibj48YWNjZXNzaW9uLW51bT4xOTAxNzQxODwvYWNjZXNzaW9u
LW51bT48dXJscz48cmVsYXRlZC11cmxzPjx1cmw+aHR0cHM6Ly93d3cubmNiaS5ubG0ubmloLmdv
di9wdWJtZWQvMTkwMTc0MTg8L3VybD48L3JlbGF0ZWQtdXJscz48L3VybHM+PGVsZWN0cm9uaWMt
cmVzb3VyY2UtbnVtPjEwLjEwMTcvUzAwMDcxMTQ1MDgxMTE0NjE8L2VsZWN0cm9uaWMtcmVzb3Vy
Y2UtbnVtPjwvcmVjb3JkPjwvQ2l0ZT48Q2l0ZT48QXV0aG9yPlNpbW1vbnM8L0F1dGhvcj48WWVh
cj4yMDE3PC9ZZWFyPjxSZWNOdW0+MTA1NzwvUmVjTnVtPjxyZWNvcmQ+PHJlYy1udW1iZXI+MTA1
NzwvcmVjLW51bWJlcj48Zm9yZWlnbi1rZXlzPjxrZXkgYXBwPSJFTiIgZGItaWQ9ImV4dmFzcmZ4
MmR0cmFvZXNhc3hwMnN6c3hhMmRmNTAyNTkyeCIgdGltZXN0YW1wPSIxNTQ4OTgzNDc2Ij4xMDU3
PC9rZXk+PC9mb3JlaWduLWtleXM+PHJlZi10eXBlIG5hbWU9IkpvdXJuYWwgQXJ0aWNsZSI+MTc8
L3JlZi10eXBlPjxjb250cmlidXRvcnM+PGF1dGhvcnM+PGF1dGhvcj5TaW1tb25zLCBELjwvYXV0
aG9yPjxhdXRob3I+RGV2bGllZ2VyLCBSLjwvYXV0aG9yPjxhdXRob3I+dmFuIEFzc2NoZSwgQS48
L2F1dGhvcj48YXV0aG9yPkphbnMsIEcuPC9hdXRob3I+PGF1dGhvcj5HYWxqYWFyZCwgUy48L2F1
dGhvcj48YXV0aG9yPkNvcmNveSwgUi48L2F1dGhvcj48YXV0aG9yPkFkZWxhbnRhZG8sIEouIE0u
PC9hdXRob3I+PGF1dGhvcj5EdW5uZSwgRi48L2F1dGhvcj48YXV0aG9yPkRlc295ZSwgRy48L2F1
dGhvcj48YXV0aG9yPkhhcnJlaXRlciwgSi48L2F1dGhvcj48YXV0aG9yPkthdXR6a3ktV2lsbGVy
LCBBLjwvYXV0aG9yPjxhdXRob3I+RGFtbSwgUC48L2F1dGhvcj48YXV0aG9yPk1hdGhpZXNlbiwg
RS4gUi48L2F1dGhvcj48YXV0aG9yPkplbnNlbiwgRC4gTS48L2F1dGhvcj48YXV0aG9yPkFuZGVy
c2VuLCBMLjwvYXV0aG9yPjxhdXRob3I+TGFwb2xsYSwgQS48L2F1dGhvcj48YXV0aG9yPkRhbGZy
YSwgTS4gRy48L2F1dGhvcj48YXV0aG9yPkJlcnRvbG90dG8sIEEuPC9hdXRob3I+PGF1dGhvcj5X
ZW5kZXItT3plZ293c2thLCBFLjwvYXV0aG9yPjxhdXRob3I+WmF3aWVqc2thLCBBLjwvYXV0aG9y
PjxhdXRob3I+SGlsbCwgRC48L2F1dGhvcj48YXV0aG9yPlNub2VrLCBGLiBKLjwvYXV0aG9yPjxh
dXRob3I+SmVsc21hLCBKLiBHLjwvYXV0aG9yPjxhdXRob3I+dmFuIFBvcHBlbCwgTS4gTi48L2F1
dGhvcj48L2F1dGhvcnM+PC9jb250cmlidXRvcnM+PGF1dGgtYWRkcmVzcz5XZXN0ZXJuIFN5ZG5l
eSBVbml2ZXJzaXR5LCBDYW1wYmVsbHRvd24sIE5ldyBTb3V0aCBXYWxlcyAyNTYwLCBBdXN0cmFs
aWEuJiN4RDtJbnN0aXR1dGUgb2YgTWV0YWJvbGljIFNjaWVuY2UsIEFkZGVuYnJvb2tlJmFwb3M7
cyBIb3NwaXRhbCwgQ2FtYnJpZGdlLCBDQjIgMFFRIEVuZ2xhbmQuJiN4RDtEZXBhcnRtZW50IG9m
IERldmVsb3BtZW50IGFuZCBSZWdlbmVyYXRpb246IFByZWduYW5jeSwgRmV0dXMgYW5kIE5lb25h
dGUsIEd5bmFlY29sb2d5IGFuZCBPYnN0ZXRyaWNzLCBVbml2ZXJzaXR5IEhvc3BpdGFscywgS2F0
aG9saWVrZSBVbml2ZXJzaXRlaXQgTGV1dmVuLCBMZXV2ZW4sIEJlbGdpdW0uJiN4RDtEaXZpc2lv
biBvZiBPYnN0ZXRyaWNzIGFuZCBQcmVuYXRhbCBNZWRpY2luZSwgRGVwYXJ0bWVudCBvZiBPYnN0
ZXRyaWNzIGFuZCBHeW5hZWNvbG9neSwgRXJhc211cyBVbml2ZXJzaXR5IE1lZGljYWwgQ2VudGVy
IFJvdHRlcmRhbSwgUm90dGVyZGFtLCBUaGUgTmV0aGVybGFuZHMuJiN4RDtJbnN0aXR1dCBkZSBS
ZWNlcmNhIGRlIGwgSG9zcGl0YWwgZGUgbGEgU2FudGEgQ3JldSBpIFNhbnQgUGF1LCBCYXJjZWxv
bmEsIFNwYWluLiYjeEQ7Q0lCRVIgQmlvZW5naW5lZXJpbmcsIEJpb21hdGVyaWFscyBhbmQgTmFu
b3RlY2hub2xvZ3ksIEluc3RpdHV0byBkZSBTYWx1ZCBDYXJsb3MgSUlJLCBaYXJhZ296YSwgU3Bh
aW4uJiN4RDtHYWx3YXkgRGlhYmV0ZXMgUmVzZWFyY2ggQ2VudHJlIGFuZCBDb2xsZWdlIG9mIE1l
ZGljaW5lIE51cnNpbmcgYW5kIEhlYWx0aCBTY2llbmNlcywgTmF0aW9uYWwgVW5pdmVyc2l0eSBv
ZiBJcmVsYW5kLCBHYWx3YXksIElyZWxhbmQuJiN4RDtEZXBhcnRtZW50IG9mIE9ic3RldHJpY3Mg
YW5kIEd5bmVjb2xvZ3ksIE1lZGl6aW5pc2NoZSBVbml2ZXJzaXRhZXQgR3JheiwgR3JheiwgQXVz
dHJpYS4mI3hEO0dlbmRlciBNZWRpY2luZSBVbml0LCBFbmRvY3Jpbm9sb2d5IGFuZCBNZXRhYm9s
aXNtLCBEZXBhcnRtZW50IG9mIEludGVybmFsIE1lZGljaW5lIElJSSwgTWVkaWNhbCBVbml2ZXJz
aXR5IG9mIFZpZW5uYSwgVmllbm5hLCBBdXN0cmlhLiYjeEQ7Q2VudGVyIGZvciBQcmVnbmFudCBX
b21lbiB3aXRoIERpYWJldGVzLCBEZXBhcnRtZW50cyBvZiBFbmRvY3Jpbm9sb2d5IGFuZCBPYnN0
ZXRyaWNzLCBSaWdzaG9zcGl0YWxldCwgSW5zdGl0dXRlIG9mIENsaW5pY2FsIE1lZGljaW5lLCBG
YWN1bHR5IG9mIEhlYWx0aCBhbmQgTWVkaWNhbCBTY2llbmNlcywgVW5pdmVyc2l0eSBvZiBDb3Bl
bmhhZ2VuLCBDb3BlbmhhZ2VuLCBEZW5tYXJrLiYjeEQ7RGVwYXJ0bWVudCBvZiBFbmRvY3Jpbm9s
b2d5IGFuZCBEZXBhcnRtZW50IG9mIEd5bmVjb2xvZ3kgYW5kIE9ic3RldHJpY3MsIE9kZW5zZSBV
bml2ZXJzaXR5IEhvc3BpdGFsLCBPZGVuc2UsIERlbm1hcmsuJiN4RDtEZXBhcnRtZW50IG9mIENs
aW5pY2FsIFJlc2VhcmNoLCBGYWN1bHR5IG9mIEhlYWx0aCBTY2llbmNlcywgVW5pdmVyc2l0eSBv
ZiBTb3V0aGVybiBEZW5tYXJrLCBPZGVuc2UsIERlbm1hcmsuJiN4RDtVbml2ZXJzaXRhIERlZ2xp
IFN0dWRpIGRpIFBhZG92YSwgUGFkdWEsIEl0YWx5LiYjeEQ7QXppZW5kYSBPc3BlZGFsaWVybyBV
bml2ZXJzaXRhcmlhLVBpc2EsIFBpc2EgSXRhbHkuJiN4RDtNZWRpY2FsIEZhY3VsdHkgSSwgUG96
bmFuIFVuaXZlcnNpdHkgb2YgTWVkaWNhbCBTY2llbmNlcywgUG96bmFuLCBQb2xhbmQuJiN4RDtS
ZWNoZXJjaGUgZW4gU2FudGUgTGF3c29uIFNBLCBCcm9uc2NoaG9mZW4sIFN3aXR6ZXJsYW5kLiYj
eEQ7RGVwYXJ0bWVudCBvZiBNZWRpY2FsIFBzeWNob2xvZ3ksIEVNR08rIEluc3RpdHV0ZSBmb3Ig
SGVhbHRoIGFuZCBDYXJlIFJlc2VhcmNoLCBWVSBVbml2ZXJzaXR5IE1lZGljYWwgQ2VudHJlLCBB
bXN0ZXJkYW0sIFRoZSBOZXRoZXJsYW5kcy4mI3hEO0RlcGFydG1lbnQgb2YgTWVkaWNhbCBQc3lj
aG9sb2d5LCBBY2FkZW1pYyBNZWRpY2FsIENlbnRyZSwgQW1zdGVyZGFtLCBUaGUgTmV0aGVybGFu
ZHMuJiN4RDtEZXBhcnRtZW50IG9mIFB1YmxpYyBhbmQgT2NjdXBhdGlvbmFsIEhlYWx0aCwgRU1H
TysgSW5zdGl0dXRlIGZvciBIZWFsdGggYW5kIENhcmUgUmVzZWFyY2gsIFZVIFVuaXZlcnNpdHkg
TWVkaWNhbCBDZW50cmUsIEFtc3RlcmRhbSwgVGhlIE5ldGhlcmxhbmRzOyBhbmQuJiN4RDtJbnN0
aXR1dGUgb2YgU3BvcnQgU2NpZW5jZSwgVW5pdmVyc2l0eSBvZiBHcmF6LCBHcmF6LCBBdXN0cmlh
LjwvYXV0aC1hZGRyZXNzPjx0aXRsZXM+PHRpdGxlPkVmZmVjdCBvZiBQaHlzaWNhbCBBY3Rpdml0
eSBhbmQvb3IgSGVhbHRoeSBFYXRpbmcgb24gR0RNIFJpc2s6IFRoZSBEQUxJIExpZmVzdHlsZSBT
dHVkeTwvdGl0bGU+PHNlY29uZGFyeS10aXRsZT5KIENsaW4gRW5kb2NyaW5vbCBNZXRhYjwvc2Vj
b25kYXJ5LXRpdGxlPjwvdGl0bGVzPjxwZXJpb2RpY2FsPjxmdWxsLXRpdGxlPkogQ2xpbiBFbmRv
Y3Jpbm9sIE1ldGFiPC9mdWxsLXRpdGxlPjwvcGVyaW9kaWNhbD48cGFnZXM+OTAzLTkxMzwvcGFn
ZXM+PHZvbHVtZT4xMDI8L3ZvbHVtZT48bnVtYmVyPjM8L251bWJlcj48ZWRpdGlvbj4yMDE2LzEy
LzEwPC9lZGl0aW9uPjxkYXRlcz48eWVhcj4yMDE3PC95ZWFyPjxwdWItZGF0ZXM+PGRhdGU+TWFy
IDE8L2RhdGU+PC9wdWItZGF0ZXM+PC9kYXRlcz48aXNibj4xOTQ1LTcxOTcgKEVsZWN0cm9uaWMp
JiN4RDswMDIxLTk3MlggKExpbmtpbmcpPC9pc2JuPjxhY2Nlc3Npb24tbnVtPjI3OTM1NzY3PC9h
Y2Nlc3Npb24tbnVtPjx1cmxzPjxyZWxhdGVkLXVybHM+PHVybD5odHRwczovL3d3dy5uY2JpLm5s
bS5uaWguZ292L3B1Ym1lZC8yNzkzNTc2NzwvdXJsPjwvcmVsYXRlZC11cmxzPjwvdXJscz48Y3Vz
dG9tMj5QTUM1NDYwNjg4PC9jdXN0b20yPjxlbGVjdHJvbmljLXJlc291cmNlLW51bT4xMC4xMjEw
L2pjLjIwMTYtMzQ1NTwvZWxlY3Ryb25pYy1yZXNvdXJjZS1udW0+PC9yZWNvcmQ+PC9DaXRlPjwv
RW5kTm90ZT5=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aXB0IiBmb250PSJUcmVidWNoZXQgTVMiIHNpemU9IjkiPjI0MCw0MDAtNDAyPC9zdHlsZT48L0Rp
c3BsYXlUZXh0PjxyZWNvcmQ+PHJlYy1udW1iZXI+MTM4OTwvcmVjLW51bWJlcj48Zm9yZWlnbi1r
ZXlzPjxrZXkgYXBwPSJFTiIgZGItaWQ9ImV4dmFzcmZ4MmR0cmFvZXNhc3hwMnN6c3hhMmRmNTAy
NTkyeCIgdGltZXN0YW1wPSIxNTY3NzQyNjcxIj4xMzg5PC9rZXk+PGtleSBhcHA9IkVOV2ViIiBk
Yi1pZD0iIj4wPC9rZXk+PC9mb3JlaWduLWtleXM+PHJlZi10eXBlIG5hbWU9IkpvdXJuYWwgQXJ0
aWNsZSI+MTc8L3JlZi10eXBlPjxjb250cmlidXRvcnM+PGF1dGhvcnM+PGF1dGhvcj5BYmRlbC1B
eml6LCBTLkIuLDwvYXV0aG9yPjxhdXRob3I+SGVnYXp5LCBJLlMuLDwvYXV0aG9yPjxhdXRob3I+
TW9oYW1lZCwgRC5BLiw8L2F1dGhvcj48YXV0aG9yPkFidSBFbCBLYXNlbSwgTS5NLkEuLDwvYXV0
aG9yPjxhdXRob3I+SGFnYWcsIFMuUy4sPC9hdXRob3I+PC9hdXRob3JzPjwvY29udHJpYnV0b3Jz
PjxhdXRoLWFkZHJlc3M+UHVibGljIEhlYWx0aCBhbmQgQ29tbXVuaXR5IE1lZGljaW5lIERlcGFy
dG1lbnQsIEFsIEthc3IgRUwgQWluaSwgQ2Fpcm8gVW5pdmVyc2l0eSwgRWd5cHQuIEVsZWN0cm9u
aWMgYWRkcmVzczogU2hhaW1hYWJhaGVyQHlhaG9vLmNvbS4mI3hEO1B1YmxpYyBIZWFsdGggYW5k
IENvbW11bml0eSBNZWRpY2luZSBEZXBhcnRtZW50LCBBbCBLYXNyIEVMIEFpbmksIENhaXJvIFVu
aXZlcnNpdHksIEVneXB0LiYjeEQ7T2JzdGV0cmljcyBhbmQgR3luZWNvbG9neSBEZXBhcnRtZW50
LCBBbCBLYXNyIEVMIEFpbmksIENhaXJvIFVuaXZlcnNpdHksIEVneXB0LjwvYXV0aC1hZGRyZXNz
Pjx0aXRsZXM+PHRpdGxlPkVmZmVjdCBvZiBkaWV0YXJ5IGNvdW5zZWxpbmcgb24gcHJldmVudGlu
ZyBleGNlc3NpdmUgd2VpZ2h0IGdhaW4gZHVyaW5nIHByZWduYW5jeTwvdGl0bGU+PHNlY29uZGFy
eS10aXRsZT5QdWJsaWMgSGVhbHRoPC9zZWNvbmRhcnktdGl0bGU+PC90aXRsZXM+PHBlcmlvZGlj
YWw+PGZ1bGwtdGl0bGU+UHVibGljIEhlYWx0aDwvZnVsbC10aXRsZT48L3BlcmlvZGljYWw+PHBh
Z2VzPjE3Mi0xODE8L3BhZ2VzPjx2b2x1bWU+MTU0PC92b2x1bWU+PGVkaXRpb24+MjAxNy8xMi8x
OTwvZWRpdGlvbj48a2V5d29yZHM+PGtleXdvcmQ+QWR1bHQ8L2tleXdvcmQ+PGtleXdvcmQ+KkNv
dW5zZWxpbmc8L2tleXdvcmQ+PGtleXdvcmQ+KkRpZXQvcHN5Y2hvbG9neTwva2V5d29yZD48a2V5
d29yZD5GZW1hbGU8L2tleXdvcmQ+PGtleXdvcmQ+KkhlYWx0aCBFZHVjYXRpb248L2tleXdvcmQ+
PGtleXdvcmQ+SHVtYW5zPC9rZXl3b3JkPjxrZXl3b3JkPk9iZXNpdHkvKnByZXZlbnRpb24gJmFt
cDsgY29udHJvbDwva2V5d29yZD48a2V5d29yZD5QcmVnbmFuY3k8L2tleXdvcmQ+PGtleXdvcmQ+
UHJvZ3JhbSBFdmFsdWF0aW9uPC9rZXl3b3JkPjxrZXl3b3JkPllvdW5nIEFkdWx0PC9rZXl3b3Jk
PjxrZXl3b3JkPkJlaGF2aW9yYWwgaW50ZXJ2ZW50aW9uPC9rZXl3b3JkPjxrZXl3b3JkPkRpZXRh
cnkgY291bnNlbGluZzwva2V5d29yZD48a2V5d29yZD5FeGNlc3NpdmUgZ2VzdGF0aW9uYWwgd2Vp
Z2h0IGdhaW48L2tleXdvcmQ+PGtleXdvcmQ+UHJlZ25hbmN5IG91dGNvbWVzPC9rZXl3b3JkPjwv
a2V5d29yZHM+PGRhdGVzPjx5ZWFyPjIwMTg8L3llYXI+PHB1Yi1kYXRlcz48ZGF0ZT5KYW48L2Rh
dGU+PC9wdWItZGF0ZXM+PC9kYXRlcz48aXNibj4xNDc2LTU2MTYgKEVsZWN0cm9uaWMpJiN4RDsw
MDMzLTM1MDYgKExpbmtpbmcpPC9pc2JuPjxhY2Nlc3Npb24tbnVtPjI5MjQ4ODI3PC9hY2Nlc3Np
b24tbnVtPjx1cmxzPjxyZWxhdGVkLXVybHM+PHVybD5odHRwczovL3d3dy5uY2JpLm5sbS5uaWgu
Z292L3B1Ym1lZC8yOTI0ODgyNzwvdXJsPjwvcmVsYXRlZC11cmxzPjwvdXJscz48ZWxlY3Ryb25p
Yy1yZXNvdXJjZS1udW0+MTAuMTAxNi9qLnB1aGUuMjAxNy4xMC4wMTQ8L2VsZWN0cm9uaWMtcmVz
b3VyY2UtbnVtPjwvcmVjb3JkPjwvQ2l0ZT48Q2l0ZT48QXV0aG9yPkRpIENhcmxvPC9BdXRob3I+
PFllYXI+MjAxNDwvWWVhcj48UmVjTnVtPjEzODc8L1JlY051bT48cmVjb3JkPjxyZWMtbnVtYmVy
PjEzODc8L3JlYy1udW1iZXI+PGZvcmVpZ24ta2V5cz48a2V5IGFwcD0iRU4iIGRiLWlkPSJleHZh
c3JmeDJkdHJhb2VzYXN4cDJzenN4YTJkZjUwMjU5MngiIHRpbWVzdGFtcD0iMTU2NzY2MTU2OCI+
MTM4Nzwva2V5PjxrZXkgYXBwPSJFTldlYiIgZGItaWQ9IiI+MDwva2V5PjwvZm9yZWlnbi1rZXlz
PjxyZWYtdHlwZSBuYW1lPSJKb3VybmFsIEFydGljbGUiPjE3PC9yZWYtdHlwZT48Y29udHJpYnV0
b3JzPjxhdXRob3JzPjxhdXRob3I+RGkgQ2FybG8sIEMuLDwvYXV0aG9yPjxhdXRob3I+SWFubm90
dGksIEcuLDwvYXV0aG9yPjxhdXRob3I+U3BhcmljZSwgUy4sPC9hdXRob3I+PGF1dGhvcj5DaGlh
Y2NoaW8sIE0uUC4sPC9hdXRob3I+PGF1dGhvcj5HcmVjbywgRS4sPC9hdXRob3I+PGF1dGhvcj5U
b21tYXNlbGxpLCBHLkEuLDwvYXV0aG9yPjxhdXRob3I+TmFwcGksIEMuLDwvYXV0aG9yPjwvYXV0
aG9ycz48L2NvbnRyaWJ1dG9ycz48dGl0bGVzPjx0aXRsZT5UaGUgcm9sZSBvZiBhIHBlcnNvbmFs
aXplZCBkaWV0YXJ5IGludGVydmVudGlvbiBpbiBtYW5hZ2luZyBnZXN0YXRpb25hbCB3ZWlnaHQg
Z2FpbjogYSBwcm9zcGVjdGl2ZSwgY29udHJvbGxlZCBzdHVkeSBpbiBhIGxvdy1yaXNrIGFudGVu
YXRhbCBwb3B1bGF0aW9uPC90aXRsZT48c2Vjb25kYXJ5LXRpdGxlPkFyY2ggR3luZWNvbCBPYnN0
ZXQ8L3NlY29uZGFyeS10aXRsZT48L3RpdGxlcz48cGVyaW9kaWNhbD48ZnVsbC10aXRsZT5BcmNo
IEd5bmVjb2wgT2JzdGV0PC9mdWxsLXRpdGxlPjwvcGVyaW9kaWNhbD48cGFnZXM+NzY1LTcwPC9w
YWdlcz48dm9sdW1lPjI4OTwvdm9sdW1lPjxudW1iZXI+NDwvbnVtYmVyPjxzZWN0aW9uPjc2NTwv
c2VjdGlvbj48ZGF0ZXM+PHllYXI+MjAxNDwveWVhcj48L2RhdGVzPjxpc2JuPjA5MzItMDA2NyYj
eEQ7MTQzMi0wNzExPC9pc2JuPjx1cmxzPjwvdXJscz48ZWxlY3Ryb25pYy1yZXNvdXJjZS1udW0+
MTAuMTAwNy9zMDA0MDQtMDEzLTMwNTQteTwvZWxlY3Ryb25pYy1yZXNvdXJjZS1udW0+PC9yZWNv
cmQ+PC9DaXRlPjxDaXRlPjxBdXRob3I+TGFpdGluZW48L0F1dGhvcj48WWVhcj4yMDA5PC9ZZWFy
PjxSZWNOdW0+MTE0ODwvUmVjTnVtPjxyZWNvcmQ+PHJlYy1udW1iZXI+MTE0ODwvcmVjLW51bWJl
cj48Zm9yZWlnbi1rZXlzPjxrZXkgYXBwPSJFTiIgZGItaWQ9ImV4dmFzcmZ4MmR0cmFvZXNhc3hw
MnN6c3hhMmRmNTAyNTkyeCIgdGltZXN0YW1wPSIxNTU1NTY2ODE2Ij4xMTQ4PC9rZXk+PGtleSBh
cHA9IkVOV2ViIiBkYi1pZD0iIj4wPC9rZXk+PC9mb3JlaWduLWtleXM+PHJlZi10eXBlIG5hbWU9
IkpvdXJuYWwgQXJ0aWNsZSI+MTc8L3JlZi10eXBlPjxjb250cmlidXRvcnM+PGF1dGhvcnM+PGF1
dGhvcj5MYWl0aW5lbiwgSy48L2F1dGhvcj48YXV0aG9yPlBvdXNzYSwgVC48L2F1dGhvcj48YXV0
aG9yPklzb2xhdXJpLCBFLjwvYXV0aG9yPjxhdXRob3I+TnV0cml0aW9uLCBBbGxlcmd5IE11Y29z
YWwgSW1tdW5vbG9neTwvYXV0aG9yPjxhdXRob3I+SW50ZXN0aW5hbCBNaWNyb2Jpb3RhLCBHcm91
cDwvYXV0aG9yPjwvYXV0aG9ycz48L2NvbnRyaWJ1dG9ycz48YXV0aC1hZGRyZXNzPkRlcGFydG1l
bnQgb2YgQmlvY2hlbWlzdHJ5IGFuZCBGb29kIENoZW1pc3RyeSwgVW5pdmVyc2l0eSBvZiBUdXJr
dSwgMjAwMTQgVHVya3UsIEZpbmxhbmQuIGtpcnNpLmxhaXRpbmVuQHV0dS5maTwvYXV0aC1hZGRy
ZXNzPjx0aXRsZXM+PHRpdGxlPlByb2Jpb3RpY3MgYW5kIGRpZXRhcnkgY291bnNlbGxpbmcgY29u
dHJpYnV0ZSB0byBnbHVjb3NlIHJlZ3VsYXRpb24gZHVyaW5nIGFuZCBhZnRlciBwcmVnbmFuY3k6
IGEgcmFuZG9taXNlZCBjb250cm9sbGVkIHRyaWFsPC90aXRsZT48c2Vjb25kYXJ5LXRpdGxlPkJy
IEogTnV0cjwvc2Vjb25kYXJ5LXRpdGxlPjwvdGl0bGVzPjxwZXJpb2RpY2FsPjxmdWxsLXRpdGxl
PkJyIEogTnV0cjwvZnVsbC10aXRsZT48L3BlcmlvZGljYWw+PHBhZ2VzPjE2NzktODc8L3BhZ2Vz
Pjx2b2x1bWU+MTAxPC92b2x1bWU+PG51bWJlcj4xMTwvbnVtYmVyPjxlZGl0aW9uPjIwMDgvMTEv
MjA8L2VkaXRpb24+PGtleXdvcmRzPjxrZXl3b3JkPkFkdWx0PC9rZXl3b3JkPjxrZXl3b3JkPkJs
b29kIEdsdWNvc2UvKm1ldGFib2xpc208L2tleXdvcmQ+PGtleXdvcmQ+Q291bnNlbGluZzwva2V5
d29yZD48a2V5d29yZD4qRGlldDwva2V5d29yZD48a2V5d29yZD5FbmVyZ3kgSW50YWtlL3BoeXNp
b2xvZ3k8L2tleXdvcmQ+PGtleXdvcmQ+RmVtYWxlPC9rZXl3b3JkPjxrZXl3b3JkPkh1bWFuczwv
a2V5d29yZD48a2V5d29yZD5JbnN1bGluL2Jsb29kPC9rZXl3b3JkPjxrZXl3b3JkPkluc3VsaW4g
UmVzaXN0YW5jZS9waHlzaW9sb2d5PC9rZXl3b3JkPjxrZXl3b3JkPk1hdGVybmFsIE51dHJpdGlv
bmFsIFBoeXNpb2xvZ2ljYWwgUGhlbm9tZW5hLypwaHlzaW9sb2d5PC9rZXl3b3JkPjxrZXl3b3Jk
PlBvc3RwYXJ0dW0gUGVyaW9kL2Jsb29kPC9rZXl3b3JkPjxrZXl3b3JkPlByZWduYW5jeS8qYmxv
b2Q8L2tleXdvcmQ+PGtleXdvcmQ+KlByb2Jpb3RpY3M8L2tleXdvcmQ+PGtleXdvcmQ+UHJvc3Bl
Y3RpdmUgU3R1ZGllczwva2V5d29yZD48a2V5d29yZD5Zb3VuZyBBZHVsdDwva2V5d29yZD48L2tl
eXdvcmRzPjxkYXRlcz48eWVhcj4yMDA5PC95ZWFyPjxwdWItZGF0ZXM+PGRhdGU+SnVuPC9kYXRl
PjwvcHViLWRhdGVzPjwvZGF0ZXM+PGlzYm4+MTQ3NS0yNjYyIChFbGVjdHJvbmljKSYjeEQ7MDAw
Ny0xMTQ1IChMaW5raW5nKTwvaXNibj48YWNjZXNzaW9uLW51bT4xOTAxNzQxODwvYWNjZXNzaW9u
LW51bT48dXJscz48cmVsYXRlZC11cmxzPjx1cmw+aHR0cHM6Ly93d3cubmNiaS5ubG0ubmloLmdv
di9wdWJtZWQvMTkwMTc0MTg8L3VybD48L3JlbGF0ZWQtdXJscz48L3VybHM+PGVsZWN0cm9uaWMt
cmVzb3VyY2UtbnVtPjEwLjEwMTcvUzAwMDcxMTQ1MDgxMTE0NjE8L2VsZWN0cm9uaWMtcmVzb3Vy
Y2UtbnVtPjwvcmVjb3JkPjwvQ2l0ZT48Q2l0ZT48QXV0aG9yPlNpbW1vbnM8L0F1dGhvcj48WWVh
cj4yMDE3PC9ZZWFyPjxSZWNOdW0+MTA1NzwvUmVjTnVtPjxyZWNvcmQ+PHJlYy1udW1iZXI+MTA1
NzwvcmVjLW51bWJlcj48Zm9yZWlnbi1rZXlzPjxrZXkgYXBwPSJFTiIgZGItaWQ9ImV4dmFzcmZ4
MmR0cmFvZXNhc3hwMnN6c3hhMmRmNTAyNTkyeCIgdGltZXN0YW1wPSIxNTQ4OTgzNDc2Ij4xMDU3
PC9rZXk+PC9mb3JlaWduLWtleXM+PHJlZi10eXBlIG5hbWU9IkpvdXJuYWwgQXJ0aWNsZSI+MTc8
L3JlZi10eXBlPjxjb250cmlidXRvcnM+PGF1dGhvcnM+PGF1dGhvcj5TaW1tb25zLCBELjwvYXV0
aG9yPjxhdXRob3I+RGV2bGllZ2VyLCBSLjwvYXV0aG9yPjxhdXRob3I+dmFuIEFzc2NoZSwgQS48
L2F1dGhvcj48YXV0aG9yPkphbnMsIEcuPC9hdXRob3I+PGF1dGhvcj5HYWxqYWFyZCwgUy48L2F1
dGhvcj48YXV0aG9yPkNvcmNveSwgUi48L2F1dGhvcj48YXV0aG9yPkFkZWxhbnRhZG8sIEouIE0u
PC9hdXRob3I+PGF1dGhvcj5EdW5uZSwgRi48L2F1dGhvcj48YXV0aG9yPkRlc295ZSwgRy48L2F1
dGhvcj48YXV0aG9yPkhhcnJlaXRlciwgSi48L2F1dGhvcj48YXV0aG9yPkthdXR6a3ktV2lsbGVy
LCBBLjwvYXV0aG9yPjxhdXRob3I+RGFtbSwgUC48L2F1dGhvcj48YXV0aG9yPk1hdGhpZXNlbiwg
RS4gUi48L2F1dGhvcj48YXV0aG9yPkplbnNlbiwgRC4gTS48L2F1dGhvcj48YXV0aG9yPkFuZGVy
c2VuLCBMLjwvYXV0aG9yPjxhdXRob3I+TGFwb2xsYSwgQS48L2F1dGhvcj48YXV0aG9yPkRhbGZy
YSwgTS4gRy48L2F1dGhvcj48YXV0aG9yPkJlcnRvbG90dG8sIEEuPC9hdXRob3I+PGF1dGhvcj5X
ZW5kZXItT3plZ293c2thLCBFLjwvYXV0aG9yPjxhdXRob3I+WmF3aWVqc2thLCBBLjwvYXV0aG9y
PjxhdXRob3I+SGlsbCwgRC48L2F1dGhvcj48YXV0aG9yPlNub2VrLCBGLiBKLjwvYXV0aG9yPjxh
dXRob3I+SmVsc21hLCBKLiBHLjwvYXV0aG9yPjxhdXRob3I+dmFuIFBvcHBlbCwgTS4gTi48L2F1
dGhvcj48L2F1dGhvcnM+PC9jb250cmlidXRvcnM+PGF1dGgtYWRkcmVzcz5XZXN0ZXJuIFN5ZG5l
eSBVbml2ZXJzaXR5LCBDYW1wYmVsbHRvd24sIE5ldyBTb3V0aCBXYWxlcyAyNTYwLCBBdXN0cmFs
aWEuJiN4RDtJbnN0aXR1dGUgb2YgTWV0YWJvbGljIFNjaWVuY2UsIEFkZGVuYnJvb2tlJmFwb3M7
cyBIb3NwaXRhbCwgQ2FtYnJpZGdlLCBDQjIgMFFRIEVuZ2xhbmQuJiN4RDtEZXBhcnRtZW50IG9m
IERldmVsb3BtZW50IGFuZCBSZWdlbmVyYXRpb246IFByZWduYW5jeSwgRmV0dXMgYW5kIE5lb25h
dGUsIEd5bmFlY29sb2d5IGFuZCBPYnN0ZXRyaWNzLCBVbml2ZXJzaXR5IEhvc3BpdGFscywgS2F0
aG9saWVrZSBVbml2ZXJzaXRlaXQgTGV1dmVuLCBMZXV2ZW4sIEJlbGdpdW0uJiN4RDtEaXZpc2lv
biBvZiBPYnN0ZXRyaWNzIGFuZCBQcmVuYXRhbCBNZWRpY2luZSwgRGVwYXJ0bWVudCBvZiBPYnN0
ZXRyaWNzIGFuZCBHeW5hZWNvbG9neSwgRXJhc211cyBVbml2ZXJzaXR5IE1lZGljYWwgQ2VudGVy
IFJvdHRlcmRhbSwgUm90dGVyZGFtLCBUaGUgTmV0aGVybGFuZHMuJiN4RDtJbnN0aXR1dCBkZSBS
ZWNlcmNhIGRlIGwgSG9zcGl0YWwgZGUgbGEgU2FudGEgQ3JldSBpIFNhbnQgUGF1LCBCYXJjZWxv
bmEsIFNwYWluLiYjeEQ7Q0lCRVIgQmlvZW5naW5lZXJpbmcsIEJpb21hdGVyaWFscyBhbmQgTmFu
b3RlY2hub2xvZ3ksIEluc3RpdHV0byBkZSBTYWx1ZCBDYXJsb3MgSUlJLCBaYXJhZ296YSwgU3Bh
aW4uJiN4RDtHYWx3YXkgRGlhYmV0ZXMgUmVzZWFyY2ggQ2VudHJlIGFuZCBDb2xsZWdlIG9mIE1l
ZGljaW5lIE51cnNpbmcgYW5kIEhlYWx0aCBTY2llbmNlcywgTmF0aW9uYWwgVW5pdmVyc2l0eSBv
ZiBJcmVsYW5kLCBHYWx3YXksIElyZWxhbmQuJiN4RDtEZXBhcnRtZW50IG9mIE9ic3RldHJpY3Mg
YW5kIEd5bmVjb2xvZ3ksIE1lZGl6aW5pc2NoZSBVbml2ZXJzaXRhZXQgR3JheiwgR3JheiwgQXVz
dHJpYS4mI3hEO0dlbmRlciBNZWRpY2luZSBVbml0LCBFbmRvY3Jpbm9sb2d5IGFuZCBNZXRhYm9s
aXNtLCBEZXBhcnRtZW50IG9mIEludGVybmFsIE1lZGljaW5lIElJSSwgTWVkaWNhbCBVbml2ZXJz
aXR5IG9mIFZpZW5uYSwgVmllbm5hLCBBdXN0cmlhLiYjeEQ7Q2VudGVyIGZvciBQcmVnbmFudCBX
b21lbiB3aXRoIERpYWJldGVzLCBEZXBhcnRtZW50cyBvZiBFbmRvY3Jpbm9sb2d5IGFuZCBPYnN0
ZXRyaWNzLCBSaWdzaG9zcGl0YWxldCwgSW5zdGl0dXRlIG9mIENsaW5pY2FsIE1lZGljaW5lLCBG
YWN1bHR5IG9mIEhlYWx0aCBhbmQgTWVkaWNhbCBTY2llbmNlcywgVW5pdmVyc2l0eSBvZiBDb3Bl
bmhhZ2VuLCBDb3BlbmhhZ2VuLCBEZW5tYXJrLiYjeEQ7RGVwYXJ0bWVudCBvZiBFbmRvY3Jpbm9s
b2d5IGFuZCBEZXBhcnRtZW50IG9mIEd5bmVjb2xvZ3kgYW5kIE9ic3RldHJpY3MsIE9kZW5zZSBV
bml2ZXJzaXR5IEhvc3BpdGFsLCBPZGVuc2UsIERlbm1hcmsuJiN4RDtEZXBhcnRtZW50IG9mIENs
aW5pY2FsIFJlc2VhcmNoLCBGYWN1bHR5IG9mIEhlYWx0aCBTY2llbmNlcywgVW5pdmVyc2l0eSBv
ZiBTb3V0aGVybiBEZW5tYXJrLCBPZGVuc2UsIERlbm1hcmsuJiN4RDtVbml2ZXJzaXRhIERlZ2xp
IFN0dWRpIGRpIFBhZG92YSwgUGFkdWEsIEl0YWx5LiYjeEQ7QXppZW5kYSBPc3BlZGFsaWVybyBV
bml2ZXJzaXRhcmlhLVBpc2EsIFBpc2EgSXRhbHkuJiN4RDtNZWRpY2FsIEZhY3VsdHkgSSwgUG96
bmFuIFVuaXZlcnNpdHkgb2YgTWVkaWNhbCBTY2llbmNlcywgUG96bmFuLCBQb2xhbmQuJiN4RDtS
ZWNoZXJjaGUgZW4gU2FudGUgTGF3c29uIFNBLCBCcm9uc2NoaG9mZW4sIFN3aXR6ZXJsYW5kLiYj
eEQ7RGVwYXJ0bWVudCBvZiBNZWRpY2FsIFBzeWNob2xvZ3ksIEVNR08rIEluc3RpdHV0ZSBmb3Ig
SGVhbHRoIGFuZCBDYXJlIFJlc2VhcmNoLCBWVSBVbml2ZXJzaXR5IE1lZGljYWwgQ2VudHJlLCBB
bXN0ZXJkYW0sIFRoZSBOZXRoZXJsYW5kcy4mI3hEO0RlcGFydG1lbnQgb2YgTWVkaWNhbCBQc3lj
aG9sb2d5LCBBY2FkZW1pYyBNZWRpY2FsIENlbnRyZSwgQW1zdGVyZGFtLCBUaGUgTmV0aGVybGFu
ZHMuJiN4RDtEZXBhcnRtZW50IG9mIFB1YmxpYyBhbmQgT2NjdXBhdGlvbmFsIEhlYWx0aCwgRU1H
TysgSW5zdGl0dXRlIGZvciBIZWFsdGggYW5kIENhcmUgUmVzZWFyY2gsIFZVIFVuaXZlcnNpdHkg
TWVkaWNhbCBDZW50cmUsIEFtc3RlcmRhbSwgVGhlIE5ldGhlcmxhbmRzOyBhbmQuJiN4RDtJbnN0
aXR1dGUgb2YgU3BvcnQgU2NpZW5jZSwgVW5pdmVyc2l0eSBvZiBHcmF6LCBHcmF6LCBBdXN0cmlh
LjwvYXV0aC1hZGRyZXNzPjx0aXRsZXM+PHRpdGxlPkVmZmVjdCBvZiBQaHlzaWNhbCBBY3Rpdml0
eSBhbmQvb3IgSGVhbHRoeSBFYXRpbmcgb24gR0RNIFJpc2s6IFRoZSBEQUxJIExpZmVzdHlsZSBT
dHVkeTwvdGl0bGU+PHNlY29uZGFyeS10aXRsZT5KIENsaW4gRW5kb2NyaW5vbCBNZXRhYjwvc2Vj
b25kYXJ5LXRpdGxlPjwvdGl0bGVzPjxwZXJpb2RpY2FsPjxmdWxsLXRpdGxlPkogQ2xpbiBFbmRv
Y3Jpbm9sIE1ldGFiPC9mdWxsLXRpdGxlPjwvcGVyaW9kaWNhbD48cGFnZXM+OTAzLTkxMzwvcGFn
ZXM+PHZvbHVtZT4xMDI8L3ZvbHVtZT48bnVtYmVyPjM8L251bWJlcj48ZWRpdGlvbj4yMDE2LzEy
LzEwPC9lZGl0aW9uPjxkYXRlcz48eWVhcj4yMDE3PC95ZWFyPjxwdWItZGF0ZXM+PGRhdGU+TWFy
IDE8L2RhdGU+PC9wdWItZGF0ZXM+PC9kYXRlcz48aXNibj4xOTQ1LTcxOTcgKEVsZWN0cm9uaWMp
JiN4RDswMDIxLTk3MlggKExpbmtpbmcpPC9pc2JuPjxhY2Nlc3Npb24tbnVtPjI3OTM1NzY3PC9h
Y2Nlc3Npb24tbnVtPjx1cmxzPjxyZWxhdGVkLXVybHM+PHVybD5odHRwczovL3d3dy5uY2JpLm5s
bS5uaWguZ292L3B1Ym1lZC8yNzkzNTc2NzwvdXJsPjwvcmVsYXRlZC11cmxzPjwvdXJscz48Y3Vz
dG9tMj5QTUM1NDYwNjg4PC9jdXN0b20yPjxlbGVjdHJvbmljLXJlc291cmNlLW51bT4xMC4xMjEw
L2pjLjIwMTYtMzQ1NTwvZWxlY3Ryb25pYy1yZXNvdXJjZS1udW0+PC9yZWNvcmQ+PC9DaXRlPjwv
RW5kTm90ZT5=
</w:fldData>
        </w:fldChar>
      </w:r>
      <w:r w:rsidR="002747EA">
        <w:instrText xml:space="preserve"> ADDIN EN.CITE.DATA </w:instrText>
      </w:r>
      <w:r w:rsidR="002747EA">
        <w:fldChar w:fldCharType="end"/>
      </w:r>
      <w:r>
        <w:fldChar w:fldCharType="separate"/>
      </w:r>
      <w:r w:rsidR="002747EA" w:rsidRPr="002747EA">
        <w:rPr>
          <w:noProof/>
          <w:vertAlign w:val="superscript"/>
        </w:rPr>
        <w:t>240,400-402</w:t>
      </w:r>
      <w:r>
        <w:fldChar w:fldCharType="end"/>
      </w:r>
      <w:r>
        <w:t xml:space="preserve"> </w:t>
      </w:r>
      <w:r w:rsidR="00B5235D">
        <w:t>carbohydrates</w:t>
      </w:r>
      <w:r w:rsidR="00B5235D">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rsidR="00B5235D">
        <w:fldChar w:fldCharType="separate"/>
      </w:r>
      <w:r w:rsidR="002747EA" w:rsidRPr="002747EA">
        <w:rPr>
          <w:noProof/>
          <w:vertAlign w:val="superscript"/>
        </w:rPr>
        <w:t>402</w:t>
      </w:r>
      <w:r w:rsidR="00B5235D">
        <w:fldChar w:fldCharType="end"/>
      </w:r>
      <w:r w:rsidR="00B5235D">
        <w:t xml:space="preserve"> </w:t>
      </w:r>
      <w:r>
        <w:rPr>
          <w:shd w:val="clear" w:color="auto" w:fill="FFFFFF"/>
        </w:rPr>
        <w:t>and sugar (eg in soft drinks)</w:t>
      </w:r>
      <w:r>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400</w:t>
      </w:r>
      <w:r>
        <w:fldChar w:fldCharType="end"/>
      </w:r>
      <w:r>
        <w:t xml:space="preserve"> and increasing consumption of fruit and vegetables</w:t>
      </w:r>
      <w:r w:rsidR="00B5235D">
        <w:t>,</w:t>
      </w:r>
      <w:r>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400</w:t>
      </w:r>
      <w:r>
        <w:fldChar w:fldCharType="end"/>
      </w:r>
      <w:r>
        <w:t xml:space="preserve"> </w:t>
      </w:r>
      <w:r w:rsidR="00B5235D">
        <w:t>protein</w:t>
      </w:r>
      <w:r w:rsidR="00B5235D">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rsidR="00B5235D">
        <w:fldChar w:fldCharType="separate"/>
      </w:r>
      <w:r w:rsidR="002747EA" w:rsidRPr="002747EA">
        <w:rPr>
          <w:noProof/>
          <w:vertAlign w:val="superscript"/>
        </w:rPr>
        <w:t>402</w:t>
      </w:r>
      <w:r w:rsidR="00B5235D">
        <w:fldChar w:fldCharType="end"/>
      </w:r>
      <w:r>
        <w:t xml:space="preserve"> </w:t>
      </w:r>
      <w:r w:rsidR="00B5235D">
        <w:t xml:space="preserve">and </w:t>
      </w:r>
      <w:r>
        <w:t>fibre.</w:t>
      </w:r>
      <w:r>
        <w:fldChar w:fldCharType="begin">
          <w:fldData xml:space="preserve">PEVuZE5vdGU+PENpdGU+PEF1dGhvcj5BYmRlbC1Beml6PC9BdXRob3I+PFllYXI+MjAxODwvWWVh
cj48UmVjTnVtPjEzODk8L1JlY051bT48RGlzcGxheVRleHQ+PHN0eWxlIGZhY2U9InN1cGVyc2Ny
aXB0IiBmb250PSJUcmVidWNoZXQgTVMiIHNpemU9IjkiPjQwMCw0MDI8L3N0eWxlPjwvRGlzcGxh
eVRleHQ+PHJlY29yZD48cmVjLW51bWJlcj4xMzg5PC9yZWMtbnVtYmVyPjxmb3JlaWduLWtleXM+
PGtleSBhcHA9IkVOIiBkYi1pZD0iZXh2YXNyZngyZHRyYW9lc2FzeHAyc3pzeGEyZGY1MDI1OTJ4
IiB0aW1lc3RhbXA9IjE1Njc3NDI2NzEiPjEzODk8L2tleT48a2V5IGFwcD0iRU5XZWIiIGRiLWlk
PSIiPjA8L2tleT48L2ZvcmVpZ24ta2V5cz48cmVmLXR5cGUgbmFtZT0iSm91cm5hbCBBcnRpY2xl
Ij4xNzwvcmVmLXR5cGU+PGNvbnRyaWJ1dG9ycz48YXV0aG9ycz48YXV0aG9yPkFiZGVsLUF6aXos
IFMuQi4sPC9hdXRob3I+PGF1dGhvcj5IZWdhenksIEkuUy4sPC9hdXRob3I+PGF1dGhvcj5Nb2hh
bWVkLCBELkEuLDwvYXV0aG9yPjxhdXRob3I+QWJ1IEVsIEthc2VtLCBNLk0uQS4sPC9hdXRob3I+
PGF1dGhvcj5IYWdhZywgUy5TLiw8L2F1dGhvcj48L2F1dGhvcnM+PC9jb250cmlidXRvcnM+PGF1
dGgtYWRkcmVzcz5QdWJsaWMgSGVhbHRoIGFuZCBDb21tdW5pdHkgTWVkaWNpbmUgRGVwYXJ0bWVu
dCwgQWwgS2FzciBFTCBBaW5pLCBDYWlybyBVbml2ZXJzaXR5LCBFZ3lwdC4gRWxlY3Ryb25pYyBh
ZGRyZXNzOiBTaGFpbWFhYmFoZXJAeWFob28uY29tLiYjeEQ7UHVibGljIEhlYWx0aCBhbmQgQ29t
bXVuaXR5IE1lZGljaW5lIERlcGFydG1lbnQsIEFsIEthc3IgRUwgQWluaSwgQ2Fpcm8gVW5pdmVy
c2l0eSwgRWd5cHQuJiN4RDtPYnN0ZXRyaWNzIGFuZCBHeW5lY29sb2d5IERlcGFydG1lbnQsIEFs
IEthc3IgRUwgQWluaSwgQ2Fpcm8gVW5pdmVyc2l0eSwgRWd5cHQuPC9hdXRoLWFkZHJlc3M+PHRp
dGxlcz48dGl0bGU+RWZmZWN0IG9mIGRpZXRhcnkgY291bnNlbGluZyBvbiBwcmV2ZW50aW5nIGV4
Y2Vzc2l2ZSB3ZWlnaHQgZ2FpbiBkdXJpbmcgcHJlZ25hbmN5PC90aXRsZT48c2Vjb25kYXJ5LXRp
dGxlPlB1YmxpYyBIZWFsdGg8L3NlY29uZGFyeS10aXRsZT48L3RpdGxlcz48cGVyaW9kaWNhbD48
ZnVsbC10aXRsZT5QdWJsaWMgSGVhbHRoPC9mdWxsLXRpdGxlPjwvcGVyaW9kaWNhbD48cGFnZXM+
MTcyLTE4MTwvcGFnZXM+PHZvbHVtZT4xNTQ8L3ZvbHVtZT48ZWRpdGlvbj4yMDE3LzEyLzE5PC9l
ZGl0aW9uPjxrZXl3b3Jkcz48a2V5d29yZD5BZHVsdDwva2V5d29yZD48a2V5d29yZD4qQ291bnNl
bGluZzwva2V5d29yZD48a2V5d29yZD4qRGlldC9wc3ljaG9sb2d5PC9rZXl3b3JkPjxrZXl3b3Jk
PkZlbWFsZTwva2V5d29yZD48a2V5d29yZD4qSGVhbHRoIEVkdWNhdGlvbjwva2V5d29yZD48a2V5
d29yZD5IdW1hbnM8L2tleXdvcmQ+PGtleXdvcmQ+T2Jlc2l0eS8qcHJldmVudGlvbiAmYW1wOyBj
b250cm9sPC9rZXl3b3JkPjxrZXl3b3JkPlByZWduYW5jeTwva2V5d29yZD48a2V5d29yZD5Qcm9n
cmFtIEV2YWx1YXRpb248L2tleXdvcmQ+PGtleXdvcmQ+WW91bmcgQWR1bHQ8L2tleXdvcmQ+PGtl
eXdvcmQ+QmVoYXZpb3JhbCBpbnRlcnZlbnRpb248L2tleXdvcmQ+PGtleXdvcmQ+RGlldGFyeSBj
b3Vuc2VsaW5nPC9rZXl3b3JkPjxrZXl3b3JkPkV4Y2Vzc2l2ZSBnZXN0YXRpb25hbCB3ZWlnaHQg
Z2Fpbjwva2V5d29yZD48a2V5d29yZD5QcmVnbmFuY3kgb3V0Y29tZXM8L2tleXdvcmQ+PC9rZXl3
b3Jkcz48ZGF0ZXM+PHllYXI+MjAxODwveWVhcj48cHViLWRhdGVzPjxkYXRlPkphbjwvZGF0ZT48
L3B1Yi1kYXRlcz48L2RhdGVzPjxpc2JuPjE0NzYtNTYxNiAoRWxlY3Ryb25pYykmI3hEOzAwMzMt
MzUwNiAoTGlua2luZyk8L2lzYm4+PGFjY2Vzc2lvbi1udW0+MjkyNDg4Mjc8L2FjY2Vzc2lvbi1u
dW0+PHVybHM+PHJlbGF0ZWQtdXJscz48dXJsPmh0dHBzOi8vd3d3Lm5jYmkubmxtLm5paC5nb3Yv
cHVibWVkLzI5MjQ4ODI3PC91cmw+PC9yZWxhdGVkLXVybHM+PC91cmxzPjxlbGVjdHJvbmljLXJl
c291cmNlLW51bT4xMC4xMDE2L2oucHVoZS4yMDE3LjEwLjAxNDwvZWxlY3Ryb25pYy1yZXNvdXJj
ZS1udW0+PC9yZWNvcmQ+PC9DaXRlPjxDaXRlPjxBdXRob3I+U2ltbW9uczwvQXV0aG9yPjxZZWFy
PjIwMTc8L1llYXI+PFJlY051bT4xMDU3PC9SZWNOdW0+PHJlY29yZD48cmVjLW51bWJlcj4xMDU3
PC9yZWMtbnVtYmVyPjxmb3JlaWduLWtleXM+PGtleSBhcHA9IkVOIiBkYi1pZD0iZXh2YXNyZngy
ZHRyYW9lc2FzeHAyc3pzeGEyZGY1MDI1OTJ4IiB0aW1lc3RhbXA9IjE1NDg5ODM0NzYiPjEwNTc8
L2tleT48L2ZvcmVpZ24ta2V5cz48cmVmLXR5cGUgbmFtZT0iSm91cm5hbCBBcnRpY2xlIj4xNzwv
cmVmLXR5cGU+PGNvbnRyaWJ1dG9ycz48YXV0aG9ycz48YXV0aG9yPlNpbW1vbnMsIEQuPC9hdXRo
b3I+PGF1dGhvcj5EZXZsaWVnZXIsIFIuPC9hdXRob3I+PGF1dGhvcj52YW4gQXNzY2hlLCBBLjwv
YXV0aG9yPjxhdXRob3I+SmFucywgRy48L2F1dGhvcj48YXV0aG9yPkdhbGphYXJkLCBTLjwvYXV0
aG9yPjxhdXRob3I+Q29yY295LCBSLjwvYXV0aG9yPjxhdXRob3I+QWRlbGFudGFkbywgSi4gTS48
L2F1dGhvcj48YXV0aG9yPkR1bm5lLCBGLjwvYXV0aG9yPjxhdXRob3I+RGVzb3llLCBHLjwvYXV0
aG9yPjxhdXRob3I+SGFycmVpdGVyLCBKLjwvYXV0aG9yPjxhdXRob3I+S2F1dHpreS1XaWxsZXIs
IEEuPC9hdXRob3I+PGF1dGhvcj5EYW1tLCBQLjwvYXV0aG9yPjxhdXRob3I+TWF0aGllc2VuLCBF
LiBSLjwvYXV0aG9yPjxhdXRob3I+SmVuc2VuLCBELiBNLjwvYXV0aG9yPjxhdXRob3I+QW5kZXJz
ZW4sIEwuPC9hdXRob3I+PGF1dGhvcj5MYXBvbGxhLCBBLjwvYXV0aG9yPjxhdXRob3I+RGFsZnJh
LCBNLiBHLjwvYXV0aG9yPjxhdXRob3I+QmVydG9sb3R0bywgQS48L2F1dGhvcj48YXV0aG9yPldl
bmRlci1PemVnb3dza2EsIEUuPC9hdXRob3I+PGF1dGhvcj5aYXdpZWpza2EsIEEuPC9hdXRob3I+
PGF1dGhvcj5IaWxsLCBELjwvYXV0aG9yPjxhdXRob3I+U25vZWssIEYuIEouPC9hdXRob3I+PGF1
dGhvcj5KZWxzbWEsIEouIEcuPC9hdXRob3I+PGF1dGhvcj52YW4gUG9wcGVsLCBNLiBOLjwvYXV0
aG9yPjwvYXV0aG9ycz48L2NvbnRyaWJ1dG9ycz48YXV0aC1hZGRyZXNzPldlc3Rlcm4gU3lkbmV5
IFVuaXZlcnNpdHksIENhbXBiZWxsdG93biwgTmV3IFNvdXRoIFdhbGVzIDI1NjAsIEF1c3RyYWxp
YS4mI3hEO0luc3RpdHV0ZSBvZiBNZXRhYm9saWMgU2NpZW5jZSwgQWRkZW5icm9va2UmYXBvcztz
IEhvc3BpdGFsLCBDYW1icmlkZ2UsIENCMiAwUVEgRW5nbGFuZC4mI3hEO0RlcGFydG1lbnQgb2Yg
RGV2ZWxvcG1lbnQgYW5kIFJlZ2VuZXJhdGlvbjogUHJlZ25hbmN5LCBGZXR1cyBhbmQgTmVvbmF0
ZSwgR3luYWVjb2xvZ3kgYW5kIE9ic3RldHJpY3MsIFVuaXZlcnNpdHkgSG9zcGl0YWxzLCBLYXRo
b2xpZWtlIFVuaXZlcnNpdGVpdCBMZXV2ZW4sIExldXZlbiwgQmVsZ2l1bS4mI3hEO0RpdmlzaW9u
IG9mIE9ic3RldHJpY3MgYW5kIFByZW5hdGFsIE1lZGljaW5lLCBEZXBhcnRtZW50IG9mIE9ic3Rl
dHJpY3MgYW5kIEd5bmFlY29sb2d5LCBFcmFzbXVzIFVuaXZlcnNpdHkgTWVkaWNhbCBDZW50ZXIg
Um90dGVyZGFtLCBSb3R0ZXJkYW0sIFRoZSBOZXRoZXJsYW5kcy4mI3hEO0luc3RpdHV0IGRlIFJl
Y2VyY2EgZGUgbCBIb3NwaXRhbCBkZSBsYSBTYW50YSBDcmV1IGkgU2FudCBQYXUsIEJhcmNlbG9u
YSwgU3BhaW4uJiN4RDtDSUJFUiBCaW9lbmdpbmVlcmluZywgQmlvbWF0ZXJpYWxzIGFuZCBOYW5v
dGVjaG5vbG9neSwgSW5zdGl0dXRvIGRlIFNhbHVkIENhcmxvcyBJSUksIFphcmFnb3phLCBTcGFp
bi4mI3hEO0dhbHdheSBEaWFiZXRlcyBSZXNlYXJjaCBDZW50cmUgYW5kIENvbGxlZ2Ugb2YgTWVk
aWNpbmUgTnVyc2luZyBhbmQgSGVhbHRoIFNjaWVuY2VzLCBOYXRpb25hbCBVbml2ZXJzaXR5IG9m
IElyZWxhbmQsIEdhbHdheSwgSXJlbGFuZC4mI3hEO0RlcGFydG1lbnQgb2YgT2JzdGV0cmljcyBh
bmQgR3luZWNvbG9neSwgTWVkaXppbmlzY2hlIFVuaXZlcnNpdGFldCBHcmF6LCBHcmF6LCBBdXN0
cmlhLiYjeEQ7R2VuZGVyIE1lZGljaW5lIFVuaXQsIEVuZG9jcmlub2xvZ3kgYW5kIE1ldGFib2xp
c20sIERlcGFydG1lbnQgb2YgSW50ZXJuYWwgTWVkaWNpbmUgSUlJLCBNZWRpY2FsIFVuaXZlcnNp
dHkgb2YgVmllbm5hLCBWaWVubmEsIEF1c3RyaWEuJiN4RDtDZW50ZXIgZm9yIFByZWduYW50IFdv
bWVuIHdpdGggRGlhYmV0ZXMsIERlcGFydG1lbnRzIG9mIEVuZG9jcmlub2xvZ3kgYW5kIE9ic3Rl
dHJpY3MsIFJpZ3Nob3NwaXRhbGV0LCBJbnN0aXR1dGUgb2YgQ2xpbmljYWwgTWVkaWNpbmUsIEZh
Y3VsdHkgb2YgSGVhbHRoIGFuZCBNZWRpY2FsIFNjaWVuY2VzLCBVbml2ZXJzaXR5IG9mIENvcGVu
aGFnZW4sIENvcGVuaGFnZW4sIERlbm1hcmsuJiN4RDtEZXBhcnRtZW50IG9mIEVuZG9jcmlub2xv
Z3kgYW5kIERlcGFydG1lbnQgb2YgR3luZWNvbG9neSBhbmQgT2JzdGV0cmljcywgT2RlbnNlIFVu
aXZlcnNpdHkgSG9zcGl0YWwsIE9kZW5zZSwgRGVubWFyay4mI3hEO0RlcGFydG1lbnQgb2YgQ2xp
bmljYWwgUmVzZWFyY2gsIEZhY3VsdHkgb2YgSGVhbHRoIFNjaWVuY2VzLCBVbml2ZXJzaXR5IG9m
IFNvdXRoZXJuIERlbm1hcmssIE9kZW5zZSwgRGVubWFyay4mI3hEO1VuaXZlcnNpdGEgRGVnbGkg
U3R1ZGkgZGkgUGFkb3ZhLCBQYWR1YSwgSXRhbHkuJiN4RDtBemllbmRhIE9zcGVkYWxpZXJvIFVu
aXZlcnNpdGFyaWEtUGlzYSwgUGlzYSBJdGFseS4mI3hEO01lZGljYWwgRmFjdWx0eSBJLCBQb3pu
YW4gVW5pdmVyc2l0eSBvZiBNZWRpY2FsIFNjaWVuY2VzLCBQb3puYW4sIFBvbGFuZC4mI3hEO1Jl
Y2hlcmNoZSBlbiBTYW50ZSBMYXdzb24gU0EsIEJyb25zY2hob2ZlbiwgU3dpdHplcmxhbmQuJiN4
RDtEZXBhcnRtZW50IG9mIE1lZGljYWwgUHN5Y2hvbG9neSwgRU1HTysgSW5zdGl0dXRlIGZvciBI
ZWFsdGggYW5kIENhcmUgUmVzZWFyY2gsIFZVIFVuaXZlcnNpdHkgTWVkaWNhbCBDZW50cmUsIEFt
c3RlcmRhbSwgVGhlIE5ldGhlcmxhbmRzLiYjeEQ7RGVwYXJ0bWVudCBvZiBNZWRpY2FsIFBzeWNo
b2xvZ3ksIEFjYWRlbWljIE1lZGljYWwgQ2VudHJlLCBBbXN0ZXJkYW0sIFRoZSBOZXRoZXJsYW5k
cy4mI3hEO0RlcGFydG1lbnQgb2YgUHVibGljIGFuZCBPY2N1cGF0aW9uYWwgSGVhbHRoLCBFTUdP
KyBJbnN0aXR1dGUgZm9yIEhlYWx0aCBhbmQgQ2FyZSBSZXNlYXJjaCwgVlUgVW5pdmVyc2l0eSBN
ZWRpY2FsIENlbnRyZSwgQW1zdGVyZGFtLCBUaGUgTmV0aGVybGFuZHM7IGFuZC4mI3hEO0luc3Rp
dHV0ZSBvZiBTcG9ydCBTY2llbmNlLCBVbml2ZXJzaXR5IG9mIEdyYXosIEdyYXosIEF1c3RyaWEu
PC9hdXRoLWFkZHJlc3M+PHRpdGxlcz48dGl0bGU+RWZmZWN0IG9mIFBoeXNpY2FsIEFjdGl2aXR5
IGFuZC9vciBIZWFsdGh5IEVhdGluZyBvbiBHRE0gUmlzazogVGhlIERBTEkgTGlmZXN0eWxlIFN0
dWR5PC90aXRsZT48c2Vjb25kYXJ5LXRpdGxlPkogQ2xpbiBFbmRvY3Jpbm9sIE1ldGFiPC9zZWNv
bmRhcnktdGl0bGU+PC90aXRsZXM+PHBlcmlvZGljYWw+PGZ1bGwtdGl0bGU+SiBDbGluIEVuZG9j
cmlub2wgTWV0YWI8L2Z1bGwtdGl0bGU+PC9wZXJpb2RpY2FsPjxwYWdlcz45MDMtOTEzPC9wYWdl
cz48dm9sdW1lPjEwMjwvdm9sdW1lPjxudW1iZXI+MzwvbnVtYmVyPjxlZGl0aW9uPjIwMTYvMTIv
MTA8L2VkaXRpb24+PGRhdGVzPjx5ZWFyPjIwMTc8L3llYXI+PHB1Yi1kYXRlcz48ZGF0ZT5NYXIg
MTwvZGF0ZT48L3B1Yi1kYXRlcz48L2RhdGVzPjxpc2JuPjE5NDUtNzE5NyAoRWxlY3Ryb25pYykm
I3hEOzAwMjEtOTcyWCAoTGlua2luZyk8L2lzYm4+PGFjY2Vzc2lvbi1udW0+Mjc5MzU3Njc8L2Fj
Y2Vzc2lvbi1udW0+PHVybHM+PHJlbGF0ZWQtdXJscz48dXJsPmh0dHBzOi8vd3d3Lm5jYmkubmxt
Lm5paC5nb3YvcHVibWVkLzI3OTM1NzY3PC91cmw+PC9yZWxhdGVkLXVybHM+PC91cmxzPjxjdXN0
b20yPlBNQzU0NjA2ODg8L2N1c3RvbTI+PGVsZWN0cm9uaWMtcmVzb3VyY2UtbnVtPjEwLjEyMTAv
amMuMjAxNi0zNDU1PC9lbGVjdHJvbmljLXJlc291cmNlLW51bT48L3JlY29yZD48L0NpdGU+PC9F
bmROb3RlPgB=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aXB0IiBmb250PSJUcmVidWNoZXQgTVMiIHNpemU9IjkiPjQwMCw0MDI8L3N0eWxlPjwvRGlzcGxh
eVRleHQ+PHJlY29yZD48cmVjLW51bWJlcj4xMzg5PC9yZWMtbnVtYmVyPjxmb3JlaWduLWtleXM+
PGtleSBhcHA9IkVOIiBkYi1pZD0iZXh2YXNyZngyZHRyYW9lc2FzeHAyc3pzeGEyZGY1MDI1OTJ4
IiB0aW1lc3RhbXA9IjE1Njc3NDI2NzEiPjEzODk8L2tleT48a2V5IGFwcD0iRU5XZWIiIGRiLWlk
PSIiPjA8L2tleT48L2ZvcmVpZ24ta2V5cz48cmVmLXR5cGUgbmFtZT0iSm91cm5hbCBBcnRpY2xl
Ij4xNzwvcmVmLXR5cGU+PGNvbnRyaWJ1dG9ycz48YXV0aG9ycz48YXV0aG9yPkFiZGVsLUF6aXos
IFMuQi4sPC9hdXRob3I+PGF1dGhvcj5IZWdhenksIEkuUy4sPC9hdXRob3I+PGF1dGhvcj5Nb2hh
bWVkLCBELkEuLDwvYXV0aG9yPjxhdXRob3I+QWJ1IEVsIEthc2VtLCBNLk0uQS4sPC9hdXRob3I+
PGF1dGhvcj5IYWdhZywgUy5TLiw8L2F1dGhvcj48L2F1dGhvcnM+PC9jb250cmlidXRvcnM+PGF1
dGgtYWRkcmVzcz5QdWJsaWMgSGVhbHRoIGFuZCBDb21tdW5pdHkgTWVkaWNpbmUgRGVwYXJ0bWVu
dCwgQWwgS2FzciBFTCBBaW5pLCBDYWlybyBVbml2ZXJzaXR5LCBFZ3lwdC4gRWxlY3Ryb25pYyBh
ZGRyZXNzOiBTaGFpbWFhYmFoZXJAeWFob28uY29tLiYjeEQ7UHVibGljIEhlYWx0aCBhbmQgQ29t
bXVuaXR5IE1lZGljaW5lIERlcGFydG1lbnQsIEFsIEthc3IgRUwgQWluaSwgQ2Fpcm8gVW5pdmVy
c2l0eSwgRWd5cHQuJiN4RDtPYnN0ZXRyaWNzIGFuZCBHeW5lY29sb2d5IERlcGFydG1lbnQsIEFs
IEthc3IgRUwgQWluaSwgQ2Fpcm8gVW5pdmVyc2l0eSwgRWd5cHQuPC9hdXRoLWFkZHJlc3M+PHRp
dGxlcz48dGl0bGU+RWZmZWN0IG9mIGRpZXRhcnkgY291bnNlbGluZyBvbiBwcmV2ZW50aW5nIGV4
Y2Vzc2l2ZSB3ZWlnaHQgZ2FpbiBkdXJpbmcgcHJlZ25hbmN5PC90aXRsZT48c2Vjb25kYXJ5LXRp
dGxlPlB1YmxpYyBIZWFsdGg8L3NlY29uZGFyeS10aXRsZT48L3RpdGxlcz48cGVyaW9kaWNhbD48
ZnVsbC10aXRsZT5QdWJsaWMgSGVhbHRoPC9mdWxsLXRpdGxlPjwvcGVyaW9kaWNhbD48cGFnZXM+
MTcyLTE4MTwvcGFnZXM+PHZvbHVtZT4xNTQ8L3ZvbHVtZT48ZWRpdGlvbj4yMDE3LzEyLzE5PC9l
ZGl0aW9uPjxrZXl3b3Jkcz48a2V5d29yZD5BZHVsdDwva2V5d29yZD48a2V5d29yZD4qQ291bnNl
bGluZzwva2V5d29yZD48a2V5d29yZD4qRGlldC9wc3ljaG9sb2d5PC9rZXl3b3JkPjxrZXl3b3Jk
PkZlbWFsZTwva2V5d29yZD48a2V5d29yZD4qSGVhbHRoIEVkdWNhdGlvbjwva2V5d29yZD48a2V5
d29yZD5IdW1hbnM8L2tleXdvcmQ+PGtleXdvcmQ+T2Jlc2l0eS8qcHJldmVudGlvbiAmYW1wOyBj
b250cm9sPC9rZXl3b3JkPjxrZXl3b3JkPlByZWduYW5jeTwva2V5d29yZD48a2V5d29yZD5Qcm9n
cmFtIEV2YWx1YXRpb248L2tleXdvcmQ+PGtleXdvcmQ+WW91bmcgQWR1bHQ8L2tleXdvcmQ+PGtl
eXdvcmQ+QmVoYXZpb3JhbCBpbnRlcnZlbnRpb248L2tleXdvcmQ+PGtleXdvcmQ+RGlldGFyeSBj
b3Vuc2VsaW5nPC9rZXl3b3JkPjxrZXl3b3JkPkV4Y2Vzc2l2ZSBnZXN0YXRpb25hbCB3ZWlnaHQg
Z2Fpbjwva2V5d29yZD48a2V5d29yZD5QcmVnbmFuY3kgb3V0Y29tZXM8L2tleXdvcmQ+PC9rZXl3
b3Jkcz48ZGF0ZXM+PHllYXI+MjAxODwveWVhcj48cHViLWRhdGVzPjxkYXRlPkphbjwvZGF0ZT48
L3B1Yi1kYXRlcz48L2RhdGVzPjxpc2JuPjE0NzYtNTYxNiAoRWxlY3Ryb25pYykmI3hEOzAwMzMt
MzUwNiAoTGlua2luZyk8L2lzYm4+PGFjY2Vzc2lvbi1udW0+MjkyNDg4Mjc8L2FjY2Vzc2lvbi1u
dW0+PHVybHM+PHJlbGF0ZWQtdXJscz48dXJsPmh0dHBzOi8vd3d3Lm5jYmkubmxtLm5paC5nb3Yv
cHVibWVkLzI5MjQ4ODI3PC91cmw+PC9yZWxhdGVkLXVybHM+PC91cmxzPjxlbGVjdHJvbmljLXJl
c291cmNlLW51bT4xMC4xMDE2L2oucHVoZS4yMDE3LjEwLjAxNDwvZWxlY3Ryb25pYy1yZXNvdXJj
ZS1udW0+PC9yZWNvcmQ+PC9DaXRlPjxDaXRlPjxBdXRob3I+U2ltbW9uczwvQXV0aG9yPjxZZWFy
PjIwMTc8L1llYXI+PFJlY051bT4xMDU3PC9SZWNOdW0+PHJlY29yZD48cmVjLW51bWJlcj4xMDU3
PC9yZWMtbnVtYmVyPjxmb3JlaWduLWtleXM+PGtleSBhcHA9IkVOIiBkYi1pZD0iZXh2YXNyZngy
ZHRyYW9lc2FzeHAyc3pzeGEyZGY1MDI1OTJ4IiB0aW1lc3RhbXA9IjE1NDg5ODM0NzYiPjEwNTc8
L2tleT48L2ZvcmVpZ24ta2V5cz48cmVmLXR5cGUgbmFtZT0iSm91cm5hbCBBcnRpY2xlIj4xNzwv
cmVmLXR5cGU+PGNvbnRyaWJ1dG9ycz48YXV0aG9ycz48YXV0aG9yPlNpbW1vbnMsIEQuPC9hdXRo
b3I+PGF1dGhvcj5EZXZsaWVnZXIsIFIuPC9hdXRob3I+PGF1dGhvcj52YW4gQXNzY2hlLCBBLjwv
YXV0aG9yPjxhdXRob3I+SmFucywgRy48L2F1dGhvcj48YXV0aG9yPkdhbGphYXJkLCBTLjwvYXV0
aG9yPjxhdXRob3I+Q29yY295LCBSLjwvYXV0aG9yPjxhdXRob3I+QWRlbGFudGFkbywgSi4gTS48
L2F1dGhvcj48YXV0aG9yPkR1bm5lLCBGLjwvYXV0aG9yPjxhdXRob3I+RGVzb3llLCBHLjwvYXV0
aG9yPjxhdXRob3I+SGFycmVpdGVyLCBKLjwvYXV0aG9yPjxhdXRob3I+S2F1dHpreS1XaWxsZXIs
IEEuPC9hdXRob3I+PGF1dGhvcj5EYW1tLCBQLjwvYXV0aG9yPjxhdXRob3I+TWF0aGllc2VuLCBF
LiBSLjwvYXV0aG9yPjxhdXRob3I+SmVuc2VuLCBELiBNLjwvYXV0aG9yPjxhdXRob3I+QW5kZXJz
ZW4sIEwuPC9hdXRob3I+PGF1dGhvcj5MYXBvbGxhLCBBLjwvYXV0aG9yPjxhdXRob3I+RGFsZnJh
LCBNLiBHLjwvYXV0aG9yPjxhdXRob3I+QmVydG9sb3R0bywgQS48L2F1dGhvcj48YXV0aG9yPldl
bmRlci1PemVnb3dza2EsIEUuPC9hdXRob3I+PGF1dGhvcj5aYXdpZWpza2EsIEEuPC9hdXRob3I+
PGF1dGhvcj5IaWxsLCBELjwvYXV0aG9yPjxhdXRob3I+U25vZWssIEYuIEouPC9hdXRob3I+PGF1
dGhvcj5KZWxzbWEsIEouIEcuPC9hdXRob3I+PGF1dGhvcj52YW4gUG9wcGVsLCBNLiBOLjwvYXV0
aG9yPjwvYXV0aG9ycz48L2NvbnRyaWJ1dG9ycz48YXV0aC1hZGRyZXNzPldlc3Rlcm4gU3lkbmV5
IFVuaXZlcnNpdHksIENhbXBiZWxsdG93biwgTmV3IFNvdXRoIFdhbGVzIDI1NjAsIEF1c3RyYWxp
YS4mI3hEO0luc3RpdHV0ZSBvZiBNZXRhYm9saWMgU2NpZW5jZSwgQWRkZW5icm9va2UmYXBvcztz
IEhvc3BpdGFsLCBDYW1icmlkZ2UsIENCMiAwUVEgRW5nbGFuZC4mI3hEO0RlcGFydG1lbnQgb2Yg
RGV2ZWxvcG1lbnQgYW5kIFJlZ2VuZXJhdGlvbjogUHJlZ25hbmN5LCBGZXR1cyBhbmQgTmVvbmF0
ZSwgR3luYWVjb2xvZ3kgYW5kIE9ic3RldHJpY3MsIFVuaXZlcnNpdHkgSG9zcGl0YWxzLCBLYXRo
b2xpZWtlIFVuaXZlcnNpdGVpdCBMZXV2ZW4sIExldXZlbiwgQmVsZ2l1bS4mI3hEO0RpdmlzaW9u
IG9mIE9ic3RldHJpY3MgYW5kIFByZW5hdGFsIE1lZGljaW5lLCBEZXBhcnRtZW50IG9mIE9ic3Rl
dHJpY3MgYW5kIEd5bmFlY29sb2d5LCBFcmFzbXVzIFVuaXZlcnNpdHkgTWVkaWNhbCBDZW50ZXIg
Um90dGVyZGFtLCBSb3R0ZXJkYW0sIFRoZSBOZXRoZXJsYW5kcy4mI3hEO0luc3RpdHV0IGRlIFJl
Y2VyY2EgZGUgbCBIb3NwaXRhbCBkZSBsYSBTYW50YSBDcmV1IGkgU2FudCBQYXUsIEJhcmNlbG9u
YSwgU3BhaW4uJiN4RDtDSUJFUiBCaW9lbmdpbmVlcmluZywgQmlvbWF0ZXJpYWxzIGFuZCBOYW5v
dGVjaG5vbG9neSwgSW5zdGl0dXRvIGRlIFNhbHVkIENhcmxvcyBJSUksIFphcmFnb3phLCBTcGFp
bi4mI3hEO0dhbHdheSBEaWFiZXRlcyBSZXNlYXJjaCBDZW50cmUgYW5kIENvbGxlZ2Ugb2YgTWVk
aWNpbmUgTnVyc2luZyBhbmQgSGVhbHRoIFNjaWVuY2VzLCBOYXRpb25hbCBVbml2ZXJzaXR5IG9m
IElyZWxhbmQsIEdhbHdheSwgSXJlbGFuZC4mI3hEO0RlcGFydG1lbnQgb2YgT2JzdGV0cmljcyBh
bmQgR3luZWNvbG9neSwgTWVkaXppbmlzY2hlIFVuaXZlcnNpdGFldCBHcmF6LCBHcmF6LCBBdXN0
cmlhLiYjeEQ7R2VuZGVyIE1lZGljaW5lIFVuaXQsIEVuZG9jcmlub2xvZ3kgYW5kIE1ldGFib2xp
c20sIERlcGFydG1lbnQgb2YgSW50ZXJuYWwgTWVkaWNpbmUgSUlJLCBNZWRpY2FsIFVuaXZlcnNp
dHkgb2YgVmllbm5hLCBWaWVubmEsIEF1c3RyaWEuJiN4RDtDZW50ZXIgZm9yIFByZWduYW50IFdv
bWVuIHdpdGggRGlhYmV0ZXMsIERlcGFydG1lbnRzIG9mIEVuZG9jcmlub2xvZ3kgYW5kIE9ic3Rl
dHJpY3MsIFJpZ3Nob3NwaXRhbGV0LCBJbnN0aXR1dGUgb2YgQ2xpbmljYWwgTWVkaWNpbmUsIEZh
Y3VsdHkgb2YgSGVhbHRoIGFuZCBNZWRpY2FsIFNjaWVuY2VzLCBVbml2ZXJzaXR5IG9mIENvcGVu
aGFnZW4sIENvcGVuaGFnZW4sIERlbm1hcmsuJiN4RDtEZXBhcnRtZW50IG9mIEVuZG9jcmlub2xv
Z3kgYW5kIERlcGFydG1lbnQgb2YgR3luZWNvbG9neSBhbmQgT2JzdGV0cmljcywgT2RlbnNlIFVu
aXZlcnNpdHkgSG9zcGl0YWwsIE9kZW5zZSwgRGVubWFyay4mI3hEO0RlcGFydG1lbnQgb2YgQ2xp
bmljYWwgUmVzZWFyY2gsIEZhY3VsdHkgb2YgSGVhbHRoIFNjaWVuY2VzLCBVbml2ZXJzaXR5IG9m
IFNvdXRoZXJuIERlbm1hcmssIE9kZW5zZSwgRGVubWFyay4mI3hEO1VuaXZlcnNpdGEgRGVnbGkg
U3R1ZGkgZGkgUGFkb3ZhLCBQYWR1YSwgSXRhbHkuJiN4RDtBemllbmRhIE9zcGVkYWxpZXJvIFVu
aXZlcnNpdGFyaWEtUGlzYSwgUGlzYSBJdGFseS4mI3hEO01lZGljYWwgRmFjdWx0eSBJLCBQb3pu
YW4gVW5pdmVyc2l0eSBvZiBNZWRpY2FsIFNjaWVuY2VzLCBQb3puYW4sIFBvbGFuZC4mI3hEO1Jl
Y2hlcmNoZSBlbiBTYW50ZSBMYXdzb24gU0EsIEJyb25zY2hob2ZlbiwgU3dpdHplcmxhbmQuJiN4
RDtEZXBhcnRtZW50IG9mIE1lZGljYWwgUHN5Y2hvbG9neSwgRU1HTysgSW5zdGl0dXRlIGZvciBI
ZWFsdGggYW5kIENhcmUgUmVzZWFyY2gsIFZVIFVuaXZlcnNpdHkgTWVkaWNhbCBDZW50cmUsIEFt
c3RlcmRhbSwgVGhlIE5ldGhlcmxhbmRzLiYjeEQ7RGVwYXJ0bWVudCBvZiBNZWRpY2FsIFBzeWNo
b2xvZ3ksIEFjYWRlbWljIE1lZGljYWwgQ2VudHJlLCBBbXN0ZXJkYW0sIFRoZSBOZXRoZXJsYW5k
cy4mI3hEO0RlcGFydG1lbnQgb2YgUHVibGljIGFuZCBPY2N1cGF0aW9uYWwgSGVhbHRoLCBFTUdP
KyBJbnN0aXR1dGUgZm9yIEhlYWx0aCBhbmQgQ2FyZSBSZXNlYXJjaCwgVlUgVW5pdmVyc2l0eSBN
ZWRpY2FsIENlbnRyZSwgQW1zdGVyZGFtLCBUaGUgTmV0aGVybGFuZHM7IGFuZC4mI3hEO0luc3Rp
dHV0ZSBvZiBTcG9ydCBTY2llbmNlLCBVbml2ZXJzaXR5IG9mIEdyYXosIEdyYXosIEF1c3RyaWEu
PC9hdXRoLWFkZHJlc3M+PHRpdGxlcz48dGl0bGU+RWZmZWN0IG9mIFBoeXNpY2FsIEFjdGl2aXR5
IGFuZC9vciBIZWFsdGh5IEVhdGluZyBvbiBHRE0gUmlzazogVGhlIERBTEkgTGlmZXN0eWxlIFN0
dWR5PC90aXRsZT48c2Vjb25kYXJ5LXRpdGxlPkogQ2xpbiBFbmRvY3Jpbm9sIE1ldGFiPC9zZWNv
bmRhcnktdGl0bGU+PC90aXRsZXM+PHBlcmlvZGljYWw+PGZ1bGwtdGl0bGU+SiBDbGluIEVuZG9j
cmlub2wgTWV0YWI8L2Z1bGwtdGl0bGU+PC9wZXJpb2RpY2FsPjxwYWdlcz45MDMtOTEzPC9wYWdl
cz48dm9sdW1lPjEwMjwvdm9sdW1lPjxudW1iZXI+MzwvbnVtYmVyPjxlZGl0aW9uPjIwMTYvMTIv
MTA8L2VkaXRpb24+PGRhdGVzPjx5ZWFyPjIwMTc8L3llYXI+PHB1Yi1kYXRlcz48ZGF0ZT5NYXIg
MTwvZGF0ZT48L3B1Yi1kYXRlcz48L2RhdGVzPjxpc2JuPjE5NDUtNzE5NyAoRWxlY3Ryb25pYykm
I3hEOzAwMjEtOTcyWCAoTGlua2luZyk8L2lzYm4+PGFjY2Vzc2lvbi1udW0+Mjc5MzU3Njc8L2Fj
Y2Vzc2lvbi1udW0+PHVybHM+PHJlbGF0ZWQtdXJscz48dXJsPmh0dHBzOi8vd3d3Lm5jYmkubmxt
Lm5paC5nb3YvcHVibWVkLzI3OTM1NzY3PC91cmw+PC9yZWxhdGVkLXVybHM+PC91cmxzPjxjdXN0
b20yPlBNQzU0NjA2ODg8L2N1c3RvbTI+PGVsZWN0cm9uaWMtcmVzb3VyY2UtbnVtPjEwLjEyMTAv
amMuMjAxNi0zNDU1PC9lbGVjdHJvbmljLXJlc291cmNlLW51bT48L3JlY29yZD48L0NpdGU+PC9F
bmROb3RlPgB=
</w:fldData>
        </w:fldChar>
      </w:r>
      <w:r w:rsidR="002747EA">
        <w:instrText xml:space="preserve"> ADDIN EN.CITE.DATA </w:instrText>
      </w:r>
      <w:r w:rsidR="002747EA">
        <w:fldChar w:fldCharType="end"/>
      </w:r>
      <w:r>
        <w:fldChar w:fldCharType="separate"/>
      </w:r>
      <w:r w:rsidR="002747EA" w:rsidRPr="002747EA">
        <w:rPr>
          <w:noProof/>
          <w:vertAlign w:val="superscript"/>
        </w:rPr>
        <w:t>400,402</w:t>
      </w:r>
      <w:r>
        <w:fldChar w:fldCharType="end"/>
      </w:r>
      <w:r>
        <w:t xml:space="preserve"> </w:t>
      </w:r>
    </w:p>
    <w:p w14:paraId="3E6CF153" w14:textId="23B1DF44" w:rsidR="00FD4EBE" w:rsidRDefault="00FD4EBE" w:rsidP="00FD4EBE">
      <w:pPr>
        <w:pStyle w:val="Heading4"/>
      </w:pPr>
      <w:r>
        <w:t>Maternal outcomes</w:t>
      </w:r>
    </w:p>
    <w:p w14:paraId="13929C0C" w14:textId="6F4A5BEC" w:rsidR="00D83201" w:rsidRPr="00C12274" w:rsidRDefault="00D83201" w:rsidP="00D83201">
      <w:r w:rsidRPr="00C12274">
        <w:t>Mean gestational weight gain was significantly lower in the intervention groups than in the standard care groups (</w:t>
      </w:r>
      <w:r w:rsidRPr="00C12274">
        <w:rPr>
          <w:sz w:val="16"/>
          <w:szCs w:val="16"/>
        </w:rPr>
        <w:t>MD -</w:t>
      </w:r>
      <w:r>
        <w:rPr>
          <w:sz w:val="16"/>
          <w:szCs w:val="16"/>
        </w:rPr>
        <w:t>3.76</w:t>
      </w:r>
      <w:r w:rsidRPr="00C12274">
        <w:rPr>
          <w:sz w:val="16"/>
          <w:szCs w:val="16"/>
        </w:rPr>
        <w:t xml:space="preserve"> kg; 95%CI -</w:t>
      </w:r>
      <w:r>
        <w:rPr>
          <w:sz w:val="16"/>
          <w:szCs w:val="16"/>
        </w:rPr>
        <w:t>6.38</w:t>
      </w:r>
      <w:r w:rsidRPr="00C12274">
        <w:rPr>
          <w:sz w:val="16"/>
          <w:szCs w:val="16"/>
        </w:rPr>
        <w:t xml:space="preserve"> to -</w:t>
      </w:r>
      <w:r>
        <w:rPr>
          <w:sz w:val="16"/>
          <w:szCs w:val="16"/>
        </w:rPr>
        <w:t>1.13</w:t>
      </w:r>
      <w:r w:rsidRPr="00C12274">
        <w:rPr>
          <w:sz w:val="16"/>
          <w:szCs w:val="16"/>
        </w:rPr>
        <w:t xml:space="preserve">; </w:t>
      </w:r>
      <w:r>
        <w:rPr>
          <w:sz w:val="16"/>
          <w:szCs w:val="16"/>
        </w:rPr>
        <w:t>6</w:t>
      </w:r>
      <w:r w:rsidRPr="00C12274">
        <w:rPr>
          <w:sz w:val="16"/>
          <w:szCs w:val="16"/>
        </w:rPr>
        <w:t xml:space="preserve"> RCTs; n=</w:t>
      </w:r>
      <w:r w:rsidR="00847379">
        <w:rPr>
          <w:sz w:val="16"/>
          <w:szCs w:val="16"/>
        </w:rPr>
        <w:t>1,43</w:t>
      </w:r>
      <w:r>
        <w:rPr>
          <w:sz w:val="16"/>
          <w:szCs w:val="16"/>
        </w:rPr>
        <w:t>2</w:t>
      </w:r>
      <w:r w:rsidRPr="00C12274">
        <w:rPr>
          <w:sz w:val="16"/>
          <w:szCs w:val="16"/>
        </w:rPr>
        <w:t xml:space="preserve">; </w:t>
      </w:r>
      <w:r w:rsidR="00BD0086">
        <w:rPr>
          <w:sz w:val="16"/>
          <w:szCs w:val="16"/>
        </w:rPr>
        <w:t>very 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sidRPr="00C12274">
        <w:rPr>
          <w:sz w:val="16"/>
          <w:szCs w:val="16"/>
        </w:rPr>
        <w:t>.1; page</w:t>
      </w:r>
      <w:r>
        <w:rPr>
          <w:sz w:val="16"/>
          <w:szCs w:val="16"/>
        </w:rPr>
        <w:t xml:space="preserve"> </w:t>
      </w:r>
      <w:r>
        <w:rPr>
          <w:sz w:val="16"/>
          <w:szCs w:val="16"/>
        </w:rPr>
        <w:fldChar w:fldCharType="begin"/>
      </w:r>
      <w:r>
        <w:rPr>
          <w:sz w:val="16"/>
          <w:szCs w:val="16"/>
        </w:rPr>
        <w:instrText xml:space="preserve"> PAGEREF _Ref24815270 \h </w:instrText>
      </w:r>
      <w:r>
        <w:rPr>
          <w:sz w:val="16"/>
          <w:szCs w:val="16"/>
        </w:rPr>
      </w:r>
      <w:r>
        <w:rPr>
          <w:sz w:val="16"/>
          <w:szCs w:val="16"/>
        </w:rPr>
        <w:fldChar w:fldCharType="separate"/>
      </w:r>
      <w:r w:rsidR="00BA7CBD">
        <w:rPr>
          <w:noProof/>
          <w:sz w:val="16"/>
          <w:szCs w:val="16"/>
        </w:rPr>
        <w:t>412</w:t>
      </w:r>
      <w:r>
        <w:rPr>
          <w:sz w:val="16"/>
          <w:szCs w:val="16"/>
        </w:rPr>
        <w:fldChar w:fldCharType="end"/>
      </w:r>
      <w:r w:rsidRPr="00C12274">
        <w:t>).</w:t>
      </w:r>
    </w:p>
    <w:p w14:paraId="7A79222B" w14:textId="77777777" w:rsidR="00D83201" w:rsidRPr="00C12274" w:rsidRDefault="00D83201" w:rsidP="00D83201">
      <w:r w:rsidRPr="00C12274">
        <w:t>Compared to women in the control groups, among women in the intervention groups, there was a clear reduction in risk of:</w:t>
      </w:r>
    </w:p>
    <w:p w14:paraId="1420B31A" w14:textId="534F59E2" w:rsidR="00D83201" w:rsidRPr="00C12274" w:rsidRDefault="00D83201" w:rsidP="00D83201">
      <w:pPr>
        <w:pStyle w:val="bullet"/>
      </w:pPr>
      <w:r w:rsidRPr="00C12274">
        <w:t>weight gain exceeding IOM guidelines (</w:t>
      </w:r>
      <w:r>
        <w:rPr>
          <w:sz w:val="16"/>
          <w:szCs w:val="16"/>
        </w:rPr>
        <w:t>RR 0.65</w:t>
      </w:r>
      <w:r w:rsidRPr="00C12274">
        <w:rPr>
          <w:sz w:val="16"/>
          <w:szCs w:val="16"/>
        </w:rPr>
        <w:t>; 95%CI 0.</w:t>
      </w:r>
      <w:r w:rsidR="00847379">
        <w:rPr>
          <w:sz w:val="16"/>
          <w:szCs w:val="16"/>
        </w:rPr>
        <w:t>54 to 0.7</w:t>
      </w:r>
      <w:r>
        <w:rPr>
          <w:sz w:val="16"/>
          <w:szCs w:val="16"/>
        </w:rPr>
        <w:t>7</w:t>
      </w:r>
      <w:r w:rsidRPr="00C12274">
        <w:rPr>
          <w:sz w:val="16"/>
          <w:szCs w:val="16"/>
        </w:rPr>
        <w:t xml:space="preserve">; </w:t>
      </w:r>
      <w:r w:rsidR="00847379">
        <w:rPr>
          <w:sz w:val="16"/>
          <w:szCs w:val="16"/>
        </w:rPr>
        <w:t>4</w:t>
      </w:r>
      <w:r w:rsidRPr="00C12274">
        <w:rPr>
          <w:sz w:val="16"/>
          <w:szCs w:val="16"/>
        </w:rPr>
        <w:t xml:space="preserve"> RCTs; n=</w:t>
      </w:r>
      <w:r w:rsidR="00847379">
        <w:rPr>
          <w:sz w:val="16"/>
          <w:szCs w:val="16"/>
        </w:rPr>
        <w:t>538</w:t>
      </w:r>
      <w:r w:rsidRPr="00C12274">
        <w:rPr>
          <w:sz w:val="16"/>
          <w:szCs w:val="16"/>
        </w:rPr>
        <w:t xml:space="preserve">; </w:t>
      </w:r>
      <w:r w:rsidR="00BD0086">
        <w:rPr>
          <w:sz w:val="16"/>
          <w:szCs w:val="16"/>
        </w:rPr>
        <w:t>very 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sidRPr="00C12274">
        <w:rPr>
          <w:sz w:val="16"/>
          <w:szCs w:val="16"/>
        </w:rPr>
        <w:t>.2; page</w:t>
      </w:r>
      <w:r w:rsidR="00847379">
        <w:rPr>
          <w:sz w:val="16"/>
          <w:szCs w:val="16"/>
        </w:rPr>
        <w:t xml:space="preserve"> </w:t>
      </w:r>
      <w:r w:rsidR="00847379">
        <w:rPr>
          <w:sz w:val="16"/>
          <w:szCs w:val="16"/>
        </w:rPr>
        <w:fldChar w:fldCharType="begin"/>
      </w:r>
      <w:r w:rsidR="00847379">
        <w:rPr>
          <w:sz w:val="16"/>
          <w:szCs w:val="16"/>
        </w:rPr>
        <w:instrText xml:space="preserve"> PAGEREF _Ref24815382 \h </w:instrText>
      </w:r>
      <w:r w:rsidR="00847379">
        <w:rPr>
          <w:sz w:val="16"/>
          <w:szCs w:val="16"/>
        </w:rPr>
      </w:r>
      <w:r w:rsidR="00847379">
        <w:rPr>
          <w:sz w:val="16"/>
          <w:szCs w:val="16"/>
        </w:rPr>
        <w:fldChar w:fldCharType="separate"/>
      </w:r>
      <w:r w:rsidR="00BA7CBD">
        <w:rPr>
          <w:noProof/>
          <w:sz w:val="16"/>
          <w:szCs w:val="16"/>
        </w:rPr>
        <w:t>413</w:t>
      </w:r>
      <w:r w:rsidR="00847379">
        <w:rPr>
          <w:sz w:val="16"/>
          <w:szCs w:val="16"/>
        </w:rPr>
        <w:fldChar w:fldCharType="end"/>
      </w:r>
      <w:r w:rsidR="004A3335">
        <w:t>)</w:t>
      </w:r>
    </w:p>
    <w:p w14:paraId="64BABC7E" w14:textId="529F8554" w:rsidR="00D83201" w:rsidRPr="00C12274" w:rsidRDefault="00D83201" w:rsidP="00D83201">
      <w:pPr>
        <w:pStyle w:val="bullet"/>
      </w:pPr>
      <w:r w:rsidRPr="00C12274">
        <w:t>gestational hypertension (</w:t>
      </w:r>
      <w:r w:rsidRPr="00C12274">
        <w:rPr>
          <w:sz w:val="16"/>
          <w:szCs w:val="16"/>
        </w:rPr>
        <w:t>RR 0.</w:t>
      </w:r>
      <w:r w:rsidR="00847379">
        <w:rPr>
          <w:sz w:val="16"/>
          <w:szCs w:val="16"/>
        </w:rPr>
        <w:t>29</w:t>
      </w:r>
      <w:r w:rsidRPr="00C12274">
        <w:rPr>
          <w:sz w:val="16"/>
          <w:szCs w:val="16"/>
        </w:rPr>
        <w:t>; 95%CI 0.</w:t>
      </w:r>
      <w:r w:rsidR="00847379">
        <w:rPr>
          <w:sz w:val="16"/>
          <w:szCs w:val="16"/>
        </w:rPr>
        <w:t>13 to 0.6</w:t>
      </w:r>
      <w:r>
        <w:rPr>
          <w:sz w:val="16"/>
          <w:szCs w:val="16"/>
        </w:rPr>
        <w:t>1</w:t>
      </w:r>
      <w:r w:rsidR="00847379">
        <w:rPr>
          <w:sz w:val="16"/>
          <w:szCs w:val="16"/>
        </w:rPr>
        <w:t>; 3</w:t>
      </w:r>
      <w:r w:rsidRPr="00C12274">
        <w:rPr>
          <w:sz w:val="16"/>
          <w:szCs w:val="16"/>
        </w:rPr>
        <w:t xml:space="preserve"> RCTs; n=</w:t>
      </w:r>
      <w:r w:rsidR="00847379">
        <w:rPr>
          <w:sz w:val="16"/>
          <w:szCs w:val="16"/>
        </w:rPr>
        <w:t>429</w:t>
      </w:r>
      <w:r w:rsidRPr="00C12274">
        <w:rPr>
          <w:sz w:val="16"/>
          <w:szCs w:val="16"/>
        </w:rPr>
        <w:t xml:space="preserve">; </w:t>
      </w:r>
      <w:r w:rsidRPr="00BD0086">
        <w:rPr>
          <w:sz w:val="16"/>
          <w:szCs w:val="16"/>
        </w:rPr>
        <w:t>moderate</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sidRPr="00C12274">
        <w:rPr>
          <w:sz w:val="16"/>
          <w:szCs w:val="16"/>
        </w:rPr>
        <w:t>.4; page</w:t>
      </w:r>
      <w:r>
        <w:rPr>
          <w:sz w:val="16"/>
          <w:szCs w:val="16"/>
        </w:rPr>
        <w:t xml:space="preserve"> </w:t>
      </w:r>
      <w:r w:rsidR="00847379">
        <w:rPr>
          <w:sz w:val="16"/>
          <w:szCs w:val="16"/>
        </w:rPr>
        <w:fldChar w:fldCharType="begin"/>
      </w:r>
      <w:r w:rsidR="00847379">
        <w:rPr>
          <w:sz w:val="16"/>
          <w:szCs w:val="16"/>
        </w:rPr>
        <w:instrText xml:space="preserve"> PAGEREF _Ref24815513 \h </w:instrText>
      </w:r>
      <w:r w:rsidR="00847379">
        <w:rPr>
          <w:sz w:val="16"/>
          <w:szCs w:val="16"/>
        </w:rPr>
      </w:r>
      <w:r w:rsidR="00847379">
        <w:rPr>
          <w:sz w:val="16"/>
          <w:szCs w:val="16"/>
        </w:rPr>
        <w:fldChar w:fldCharType="separate"/>
      </w:r>
      <w:r w:rsidR="00BA7CBD">
        <w:rPr>
          <w:noProof/>
          <w:sz w:val="16"/>
          <w:szCs w:val="16"/>
        </w:rPr>
        <w:t>413</w:t>
      </w:r>
      <w:r w:rsidR="00847379">
        <w:rPr>
          <w:sz w:val="16"/>
          <w:szCs w:val="16"/>
        </w:rPr>
        <w:fldChar w:fldCharType="end"/>
      </w:r>
      <w:r w:rsidRPr="00C12274">
        <w:t>).</w:t>
      </w:r>
    </w:p>
    <w:p w14:paraId="64A033BC" w14:textId="77777777" w:rsidR="00D83201" w:rsidRDefault="00D83201" w:rsidP="00D83201">
      <w:r w:rsidRPr="00C12274">
        <w:t>There was no clear difference in</w:t>
      </w:r>
      <w:r>
        <w:t>:</w:t>
      </w:r>
      <w:r w:rsidRPr="00C12274">
        <w:t xml:space="preserve"> </w:t>
      </w:r>
    </w:p>
    <w:p w14:paraId="60AA7FAC" w14:textId="1C5C8FB8" w:rsidR="00847379" w:rsidRDefault="00847379" w:rsidP="00847379">
      <w:pPr>
        <w:pStyle w:val="bullet"/>
      </w:pPr>
      <w:r w:rsidRPr="00C12274">
        <w:t>gestational diabetes (</w:t>
      </w:r>
      <w:r w:rsidRPr="00C12274">
        <w:rPr>
          <w:sz w:val="16"/>
          <w:szCs w:val="16"/>
        </w:rPr>
        <w:t>RR 0.</w:t>
      </w:r>
      <w:r>
        <w:rPr>
          <w:sz w:val="16"/>
          <w:szCs w:val="16"/>
        </w:rPr>
        <w:t>86</w:t>
      </w:r>
      <w:r w:rsidRPr="00C12274">
        <w:rPr>
          <w:sz w:val="16"/>
          <w:szCs w:val="16"/>
        </w:rPr>
        <w:t>; 95%CI 0.</w:t>
      </w:r>
      <w:r>
        <w:rPr>
          <w:sz w:val="16"/>
          <w:szCs w:val="16"/>
        </w:rPr>
        <w:t>64</w:t>
      </w:r>
      <w:r w:rsidRPr="00C12274">
        <w:rPr>
          <w:sz w:val="16"/>
          <w:szCs w:val="16"/>
        </w:rPr>
        <w:t xml:space="preserve"> to </w:t>
      </w:r>
      <w:r>
        <w:rPr>
          <w:sz w:val="16"/>
          <w:szCs w:val="16"/>
        </w:rPr>
        <w:t>1.17</w:t>
      </w:r>
      <w:r w:rsidRPr="00C12274">
        <w:rPr>
          <w:sz w:val="16"/>
          <w:szCs w:val="16"/>
        </w:rPr>
        <w:t xml:space="preserve">; </w:t>
      </w:r>
      <w:r>
        <w:rPr>
          <w:sz w:val="16"/>
          <w:szCs w:val="16"/>
        </w:rPr>
        <w:t>6</w:t>
      </w:r>
      <w:r w:rsidRPr="00C12274">
        <w:rPr>
          <w:sz w:val="16"/>
          <w:szCs w:val="16"/>
        </w:rPr>
        <w:t xml:space="preserve"> RCTs; n=</w:t>
      </w:r>
      <w:r>
        <w:rPr>
          <w:sz w:val="16"/>
          <w:szCs w:val="16"/>
        </w:rPr>
        <w:t>1,424</w:t>
      </w:r>
      <w:r w:rsidRPr="00C12274">
        <w:rPr>
          <w:sz w:val="16"/>
          <w:szCs w:val="16"/>
        </w:rPr>
        <w:t xml:space="preserve">; </w:t>
      </w:r>
      <w:r w:rsidR="00BD0086">
        <w:rPr>
          <w:sz w:val="16"/>
          <w:szCs w:val="16"/>
        </w:rPr>
        <w:t>very 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sidRPr="00C12274">
        <w:rPr>
          <w:sz w:val="16"/>
          <w:szCs w:val="16"/>
        </w:rPr>
        <w:t>.3; page</w:t>
      </w:r>
      <w:r>
        <w:rPr>
          <w:sz w:val="16"/>
          <w:szCs w:val="16"/>
        </w:rPr>
        <w:t xml:space="preserve"> </w:t>
      </w:r>
      <w:r>
        <w:rPr>
          <w:sz w:val="16"/>
          <w:szCs w:val="16"/>
        </w:rPr>
        <w:fldChar w:fldCharType="begin"/>
      </w:r>
      <w:r>
        <w:rPr>
          <w:sz w:val="16"/>
          <w:szCs w:val="16"/>
        </w:rPr>
        <w:instrText xml:space="preserve"> PAGEREF _Ref24815449 \h </w:instrText>
      </w:r>
      <w:r>
        <w:rPr>
          <w:sz w:val="16"/>
          <w:szCs w:val="16"/>
        </w:rPr>
      </w:r>
      <w:r>
        <w:rPr>
          <w:sz w:val="16"/>
          <w:szCs w:val="16"/>
        </w:rPr>
        <w:fldChar w:fldCharType="separate"/>
      </w:r>
      <w:r w:rsidR="00BA7CBD">
        <w:rPr>
          <w:noProof/>
          <w:sz w:val="16"/>
          <w:szCs w:val="16"/>
        </w:rPr>
        <w:t>413</w:t>
      </w:r>
      <w:r>
        <w:rPr>
          <w:sz w:val="16"/>
          <w:szCs w:val="16"/>
        </w:rPr>
        <w:fldChar w:fldCharType="end"/>
      </w:r>
      <w:r>
        <w:t>)</w:t>
      </w:r>
    </w:p>
    <w:p w14:paraId="717FD1F1" w14:textId="42997FB5" w:rsidR="00847379" w:rsidRPr="00C12274" w:rsidRDefault="00847379" w:rsidP="00847379">
      <w:pPr>
        <w:pStyle w:val="bullet"/>
      </w:pPr>
      <w:r>
        <w:t>pre-eclampsia</w:t>
      </w:r>
      <w:r w:rsidRPr="00C12274">
        <w:t xml:space="preserve"> (</w:t>
      </w:r>
      <w:r w:rsidRPr="00C12274">
        <w:rPr>
          <w:sz w:val="16"/>
          <w:szCs w:val="16"/>
        </w:rPr>
        <w:t>RR 0.</w:t>
      </w:r>
      <w:r>
        <w:rPr>
          <w:sz w:val="16"/>
          <w:szCs w:val="16"/>
        </w:rPr>
        <w:t>61</w:t>
      </w:r>
      <w:r w:rsidRPr="00C12274">
        <w:rPr>
          <w:sz w:val="16"/>
          <w:szCs w:val="16"/>
        </w:rPr>
        <w:t>; 95%CI 0.</w:t>
      </w:r>
      <w:r>
        <w:rPr>
          <w:sz w:val="16"/>
          <w:szCs w:val="16"/>
        </w:rPr>
        <w:t>25</w:t>
      </w:r>
      <w:r w:rsidRPr="00C12274">
        <w:rPr>
          <w:sz w:val="16"/>
          <w:szCs w:val="16"/>
        </w:rPr>
        <w:t xml:space="preserve"> to </w:t>
      </w:r>
      <w:r>
        <w:rPr>
          <w:sz w:val="16"/>
          <w:szCs w:val="16"/>
        </w:rPr>
        <w:t>1.46</w:t>
      </w:r>
      <w:r w:rsidRPr="00C12274">
        <w:rPr>
          <w:sz w:val="16"/>
          <w:szCs w:val="16"/>
        </w:rPr>
        <w:t xml:space="preserve">; </w:t>
      </w:r>
      <w:r>
        <w:rPr>
          <w:sz w:val="16"/>
          <w:szCs w:val="16"/>
        </w:rPr>
        <w:t>2</w:t>
      </w:r>
      <w:r w:rsidRPr="00C12274">
        <w:rPr>
          <w:sz w:val="16"/>
          <w:szCs w:val="16"/>
        </w:rPr>
        <w:t xml:space="preserve"> RCTs; n=</w:t>
      </w:r>
      <w:r>
        <w:rPr>
          <w:sz w:val="16"/>
          <w:szCs w:val="16"/>
        </w:rPr>
        <w:t>282</w:t>
      </w:r>
      <w:r w:rsidRPr="00C12274">
        <w:rPr>
          <w:sz w:val="16"/>
          <w:szCs w:val="16"/>
        </w:rPr>
        <w:t xml:space="preserve">; </w:t>
      </w:r>
      <w:r w:rsidRPr="00BD0086">
        <w:rPr>
          <w:sz w:val="16"/>
          <w:szCs w:val="16"/>
        </w:rPr>
        <w:t>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Pr>
          <w:sz w:val="16"/>
          <w:szCs w:val="16"/>
        </w:rPr>
        <w:t>.5</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_Ref24815590 \h </w:instrText>
      </w:r>
      <w:r>
        <w:rPr>
          <w:sz w:val="16"/>
          <w:szCs w:val="16"/>
        </w:rPr>
      </w:r>
      <w:r>
        <w:rPr>
          <w:sz w:val="16"/>
          <w:szCs w:val="16"/>
        </w:rPr>
        <w:fldChar w:fldCharType="separate"/>
      </w:r>
      <w:r w:rsidR="00BA7CBD">
        <w:rPr>
          <w:noProof/>
          <w:sz w:val="16"/>
          <w:szCs w:val="16"/>
        </w:rPr>
        <w:t>414</w:t>
      </w:r>
      <w:r>
        <w:rPr>
          <w:sz w:val="16"/>
          <w:szCs w:val="16"/>
        </w:rPr>
        <w:fldChar w:fldCharType="end"/>
      </w:r>
      <w:r>
        <w:t>)</w:t>
      </w:r>
    </w:p>
    <w:p w14:paraId="5F9FA7EF" w14:textId="42F886A5" w:rsidR="00847379" w:rsidRDefault="00847379" w:rsidP="00847379">
      <w:pPr>
        <w:pStyle w:val="bullet"/>
      </w:pPr>
      <w:r w:rsidRPr="00C12274">
        <w:t>caesarean section (</w:t>
      </w:r>
      <w:r w:rsidRPr="00C12274">
        <w:rPr>
          <w:sz w:val="16"/>
          <w:szCs w:val="16"/>
        </w:rPr>
        <w:t>RR 0.8</w:t>
      </w:r>
      <w:r>
        <w:rPr>
          <w:sz w:val="16"/>
          <w:szCs w:val="16"/>
        </w:rPr>
        <w:t>5</w:t>
      </w:r>
      <w:r w:rsidRPr="00C12274">
        <w:rPr>
          <w:sz w:val="16"/>
          <w:szCs w:val="16"/>
        </w:rPr>
        <w:t>; 95%CI 0.</w:t>
      </w:r>
      <w:r>
        <w:rPr>
          <w:sz w:val="16"/>
          <w:szCs w:val="16"/>
        </w:rPr>
        <w:t>64</w:t>
      </w:r>
      <w:r w:rsidRPr="00C12274">
        <w:rPr>
          <w:sz w:val="16"/>
          <w:szCs w:val="16"/>
        </w:rPr>
        <w:t xml:space="preserve"> to </w:t>
      </w:r>
      <w:r>
        <w:rPr>
          <w:sz w:val="16"/>
          <w:szCs w:val="16"/>
        </w:rPr>
        <w:t>1.11</w:t>
      </w:r>
      <w:r w:rsidRPr="00C12274">
        <w:rPr>
          <w:sz w:val="16"/>
          <w:szCs w:val="16"/>
        </w:rPr>
        <w:t xml:space="preserve">; </w:t>
      </w:r>
      <w:r>
        <w:rPr>
          <w:sz w:val="16"/>
          <w:szCs w:val="16"/>
        </w:rPr>
        <w:t>6</w:t>
      </w:r>
      <w:r w:rsidRPr="00C12274">
        <w:rPr>
          <w:sz w:val="16"/>
          <w:szCs w:val="16"/>
        </w:rPr>
        <w:t xml:space="preserve"> RCTs; n=</w:t>
      </w:r>
      <w:r>
        <w:rPr>
          <w:sz w:val="16"/>
          <w:szCs w:val="16"/>
        </w:rPr>
        <w:t>1,461</w:t>
      </w:r>
      <w:r w:rsidRPr="00C12274">
        <w:rPr>
          <w:sz w:val="16"/>
          <w:szCs w:val="16"/>
        </w:rPr>
        <w:t xml:space="preserve">; </w:t>
      </w:r>
      <w:r w:rsidR="00BD0086">
        <w:rPr>
          <w:sz w:val="16"/>
          <w:szCs w:val="16"/>
        </w:rPr>
        <w:t>very 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Pr>
          <w:sz w:val="16"/>
          <w:szCs w:val="16"/>
        </w:rPr>
        <w:t>.6</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_Ref24815656 \h </w:instrText>
      </w:r>
      <w:r>
        <w:rPr>
          <w:sz w:val="16"/>
          <w:szCs w:val="16"/>
        </w:rPr>
      </w:r>
      <w:r>
        <w:rPr>
          <w:sz w:val="16"/>
          <w:szCs w:val="16"/>
        </w:rPr>
        <w:fldChar w:fldCharType="separate"/>
      </w:r>
      <w:r w:rsidR="00BA7CBD">
        <w:rPr>
          <w:noProof/>
          <w:sz w:val="16"/>
          <w:szCs w:val="16"/>
        </w:rPr>
        <w:t>414</w:t>
      </w:r>
      <w:r>
        <w:rPr>
          <w:sz w:val="16"/>
          <w:szCs w:val="16"/>
        </w:rPr>
        <w:fldChar w:fldCharType="end"/>
      </w:r>
      <w:r>
        <w:t>)</w:t>
      </w:r>
    </w:p>
    <w:p w14:paraId="2F40FFD2" w14:textId="15D7C5A6" w:rsidR="00D83201" w:rsidRPr="00D83201" w:rsidRDefault="00847379" w:rsidP="00D83201">
      <w:pPr>
        <w:pStyle w:val="bullet"/>
      </w:pPr>
      <w:r>
        <w:t xml:space="preserve">postnatal weight retention </w:t>
      </w:r>
      <w:r w:rsidRPr="00C12274">
        <w:t>(</w:t>
      </w:r>
      <w:r w:rsidR="0091411D">
        <w:rPr>
          <w:sz w:val="16"/>
          <w:szCs w:val="16"/>
        </w:rPr>
        <w:t>MD -0.22</w:t>
      </w:r>
      <w:r w:rsidRPr="00C12274">
        <w:rPr>
          <w:sz w:val="16"/>
          <w:szCs w:val="16"/>
        </w:rPr>
        <w:t xml:space="preserve">; 95%CI </w:t>
      </w:r>
      <w:r>
        <w:rPr>
          <w:sz w:val="16"/>
          <w:szCs w:val="16"/>
        </w:rPr>
        <w:t>-</w:t>
      </w:r>
      <w:r w:rsidR="00F641B8">
        <w:rPr>
          <w:sz w:val="16"/>
          <w:szCs w:val="16"/>
        </w:rPr>
        <w:t>1.17</w:t>
      </w:r>
      <w:r w:rsidRPr="00C12274">
        <w:rPr>
          <w:sz w:val="16"/>
          <w:szCs w:val="16"/>
        </w:rPr>
        <w:t xml:space="preserve"> to </w:t>
      </w:r>
      <w:r w:rsidR="00F641B8">
        <w:rPr>
          <w:sz w:val="16"/>
          <w:szCs w:val="16"/>
        </w:rPr>
        <w:t>0.7</w:t>
      </w:r>
      <w:r>
        <w:rPr>
          <w:sz w:val="16"/>
          <w:szCs w:val="16"/>
        </w:rPr>
        <w:t>2</w:t>
      </w:r>
      <w:r w:rsidRPr="00C12274">
        <w:rPr>
          <w:sz w:val="16"/>
          <w:szCs w:val="16"/>
        </w:rPr>
        <w:t xml:space="preserve">; </w:t>
      </w:r>
      <w:r>
        <w:rPr>
          <w:sz w:val="16"/>
          <w:szCs w:val="16"/>
        </w:rPr>
        <w:t>2</w:t>
      </w:r>
      <w:r w:rsidRPr="00C12274">
        <w:rPr>
          <w:sz w:val="16"/>
          <w:szCs w:val="16"/>
        </w:rPr>
        <w:t xml:space="preserve"> RCTs; n=</w:t>
      </w:r>
      <w:r w:rsidR="002F19ED">
        <w:rPr>
          <w:sz w:val="16"/>
          <w:szCs w:val="16"/>
        </w:rPr>
        <w:t>556</w:t>
      </w:r>
      <w:r w:rsidRPr="00C12274">
        <w:rPr>
          <w:sz w:val="16"/>
          <w:szCs w:val="16"/>
        </w:rPr>
        <w:t xml:space="preserve">; </w:t>
      </w:r>
      <w:r w:rsidR="00BD0086">
        <w:rPr>
          <w:sz w:val="16"/>
          <w:szCs w:val="16"/>
        </w:rPr>
        <w:t>very 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Pr>
          <w:sz w:val="16"/>
          <w:szCs w:val="16"/>
        </w:rPr>
        <w:t>.7</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_Ref24815745 \h </w:instrText>
      </w:r>
      <w:r>
        <w:rPr>
          <w:sz w:val="16"/>
          <w:szCs w:val="16"/>
        </w:rPr>
      </w:r>
      <w:r>
        <w:rPr>
          <w:sz w:val="16"/>
          <w:szCs w:val="16"/>
        </w:rPr>
        <w:fldChar w:fldCharType="separate"/>
      </w:r>
      <w:r w:rsidR="00BA7CBD">
        <w:rPr>
          <w:noProof/>
          <w:sz w:val="16"/>
          <w:szCs w:val="16"/>
        </w:rPr>
        <w:t>414</w:t>
      </w:r>
      <w:r>
        <w:rPr>
          <w:sz w:val="16"/>
          <w:szCs w:val="16"/>
        </w:rPr>
        <w:fldChar w:fldCharType="end"/>
      </w:r>
      <w:r>
        <w:t>)</w:t>
      </w:r>
      <w:r w:rsidR="004A3335">
        <w:t>.</w:t>
      </w:r>
    </w:p>
    <w:p w14:paraId="728998A5" w14:textId="119EA05A" w:rsidR="00FD4EBE" w:rsidRDefault="00FD4EBE" w:rsidP="00FD4EBE">
      <w:pPr>
        <w:pStyle w:val="Heading4"/>
      </w:pPr>
      <w:r>
        <w:t>Infant outcomes</w:t>
      </w:r>
    </w:p>
    <w:p w14:paraId="5A64F3AB" w14:textId="7CE4D724" w:rsidR="00E320BD" w:rsidRPr="00C12274" w:rsidRDefault="00E320BD" w:rsidP="00E320BD">
      <w:r w:rsidRPr="00C12274">
        <w:t xml:space="preserve">The risk of </w:t>
      </w:r>
      <w:r>
        <w:t>preterm birth</w:t>
      </w:r>
      <w:r w:rsidRPr="00C12274">
        <w:t xml:space="preserve"> was lower in the intervention group than in the </w:t>
      </w:r>
      <w:r w:rsidR="00AB606F">
        <w:t>usual</w:t>
      </w:r>
      <w:r w:rsidRPr="00C12274">
        <w:t xml:space="preserve"> care group (</w:t>
      </w:r>
      <w:r w:rsidRPr="00C12274">
        <w:rPr>
          <w:sz w:val="16"/>
          <w:szCs w:val="16"/>
        </w:rPr>
        <w:t>RR 0.</w:t>
      </w:r>
      <w:r>
        <w:rPr>
          <w:sz w:val="16"/>
          <w:szCs w:val="16"/>
        </w:rPr>
        <w:t>43</w:t>
      </w:r>
      <w:r w:rsidRPr="00C12274">
        <w:rPr>
          <w:sz w:val="16"/>
          <w:szCs w:val="16"/>
        </w:rPr>
        <w:t>; 95%CI 0.</w:t>
      </w:r>
      <w:r>
        <w:rPr>
          <w:sz w:val="16"/>
          <w:szCs w:val="16"/>
        </w:rPr>
        <w:t>24</w:t>
      </w:r>
      <w:r w:rsidRPr="00C12274">
        <w:rPr>
          <w:sz w:val="16"/>
          <w:szCs w:val="16"/>
        </w:rPr>
        <w:t xml:space="preserve"> to 0.</w:t>
      </w:r>
      <w:r>
        <w:rPr>
          <w:sz w:val="16"/>
          <w:szCs w:val="16"/>
        </w:rPr>
        <w:t>79; 4</w:t>
      </w:r>
      <w:r w:rsidRPr="00C12274">
        <w:rPr>
          <w:sz w:val="16"/>
          <w:szCs w:val="16"/>
        </w:rPr>
        <w:t xml:space="preserve"> RCTs; n=</w:t>
      </w:r>
      <w:r>
        <w:rPr>
          <w:sz w:val="16"/>
          <w:szCs w:val="16"/>
        </w:rPr>
        <w:t>1,296</w:t>
      </w:r>
      <w:r w:rsidRPr="00C12274">
        <w:rPr>
          <w:sz w:val="16"/>
          <w:szCs w:val="16"/>
        </w:rPr>
        <w:t xml:space="preserve">; </w:t>
      </w:r>
      <w:r w:rsidRPr="00C33DBF">
        <w:rPr>
          <w:sz w:val="16"/>
          <w:szCs w:val="16"/>
        </w:rPr>
        <w:t>moderate</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3</w:t>
      </w:r>
      <w:r>
        <w:rPr>
          <w:sz w:val="16"/>
          <w:szCs w:val="16"/>
        </w:rPr>
        <w:t>.8</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_Ref24816204 \h </w:instrText>
      </w:r>
      <w:r>
        <w:rPr>
          <w:sz w:val="16"/>
          <w:szCs w:val="16"/>
        </w:rPr>
      </w:r>
      <w:r>
        <w:rPr>
          <w:sz w:val="16"/>
          <w:szCs w:val="16"/>
        </w:rPr>
        <w:fldChar w:fldCharType="separate"/>
      </w:r>
      <w:r w:rsidR="00BA7CBD">
        <w:rPr>
          <w:noProof/>
          <w:sz w:val="16"/>
          <w:szCs w:val="16"/>
        </w:rPr>
        <w:t>415</w:t>
      </w:r>
      <w:r>
        <w:rPr>
          <w:sz w:val="16"/>
          <w:szCs w:val="16"/>
        </w:rPr>
        <w:fldChar w:fldCharType="end"/>
      </w:r>
      <w:r w:rsidRPr="00C12274">
        <w:t>).</w:t>
      </w:r>
    </w:p>
    <w:p w14:paraId="6DE4D723" w14:textId="77777777" w:rsidR="00E320BD" w:rsidRPr="00C12274" w:rsidRDefault="00E320BD" w:rsidP="00E320BD">
      <w:r w:rsidRPr="00C12274">
        <w:t>There was no clear difference in risk of:</w:t>
      </w:r>
    </w:p>
    <w:p w14:paraId="47DA1BCF" w14:textId="13F320F3" w:rsidR="00E320BD" w:rsidRDefault="00CD7246" w:rsidP="00CD7246">
      <w:pPr>
        <w:pStyle w:val="bullet"/>
      </w:pPr>
      <w:r>
        <w:t>macrosomia</w:t>
      </w:r>
      <w:r w:rsidR="00817D95">
        <w:t xml:space="preserve"> &gt;4,000 g</w:t>
      </w:r>
      <w:r w:rsidR="00E320BD" w:rsidRPr="00C12274">
        <w:t xml:space="preserve"> (</w:t>
      </w:r>
      <w:r w:rsidR="00E320BD" w:rsidRPr="00C12274">
        <w:rPr>
          <w:sz w:val="16"/>
          <w:szCs w:val="16"/>
        </w:rPr>
        <w:t>RR 0.9</w:t>
      </w:r>
      <w:r w:rsidR="00060764">
        <w:rPr>
          <w:sz w:val="16"/>
          <w:szCs w:val="16"/>
        </w:rPr>
        <w:t>7</w:t>
      </w:r>
      <w:r w:rsidR="00E320BD" w:rsidRPr="00C12274">
        <w:rPr>
          <w:sz w:val="16"/>
          <w:szCs w:val="16"/>
        </w:rPr>
        <w:t>; 95%CI 0.</w:t>
      </w:r>
      <w:r w:rsidR="00060764">
        <w:rPr>
          <w:sz w:val="16"/>
          <w:szCs w:val="16"/>
        </w:rPr>
        <w:t>84</w:t>
      </w:r>
      <w:r>
        <w:rPr>
          <w:sz w:val="16"/>
          <w:szCs w:val="16"/>
        </w:rPr>
        <w:t xml:space="preserve"> to 1.11</w:t>
      </w:r>
      <w:r w:rsidR="00E320BD" w:rsidRPr="00C12274">
        <w:rPr>
          <w:sz w:val="16"/>
          <w:szCs w:val="16"/>
        </w:rPr>
        <w:t xml:space="preserve">; </w:t>
      </w:r>
      <w:r>
        <w:rPr>
          <w:sz w:val="16"/>
          <w:szCs w:val="16"/>
        </w:rPr>
        <w:t>3</w:t>
      </w:r>
      <w:r w:rsidR="00E320BD" w:rsidRPr="00C12274">
        <w:rPr>
          <w:sz w:val="16"/>
          <w:szCs w:val="16"/>
        </w:rPr>
        <w:t> RCTs; n=</w:t>
      </w:r>
      <w:r>
        <w:rPr>
          <w:sz w:val="16"/>
          <w:szCs w:val="16"/>
        </w:rPr>
        <w:t>1,13</w:t>
      </w:r>
      <w:r w:rsidR="00E320BD">
        <w:rPr>
          <w:sz w:val="16"/>
          <w:szCs w:val="16"/>
        </w:rPr>
        <w:t>8</w:t>
      </w:r>
      <w:r w:rsidR="00E320BD" w:rsidRPr="00C12274">
        <w:rPr>
          <w:sz w:val="16"/>
          <w:szCs w:val="16"/>
        </w:rPr>
        <w:t xml:space="preserve">; </w:t>
      </w:r>
      <w:r w:rsidR="00C33DBF">
        <w:rPr>
          <w:sz w:val="16"/>
          <w:szCs w:val="16"/>
        </w:rPr>
        <w:t>very low</w:t>
      </w:r>
      <w:r w:rsidR="00E320BD" w:rsidRPr="00C12274">
        <w:rPr>
          <w:sz w:val="16"/>
          <w:szCs w:val="16"/>
        </w:rPr>
        <w:t xml:space="preserve"> </w:t>
      </w:r>
      <w:r w:rsidR="00343BBE">
        <w:rPr>
          <w:sz w:val="16"/>
          <w:szCs w:val="16"/>
        </w:rPr>
        <w:t>certainty</w:t>
      </w:r>
      <w:r w:rsidR="00E320BD" w:rsidRPr="00C12274">
        <w:rPr>
          <w:sz w:val="16"/>
          <w:szCs w:val="16"/>
        </w:rPr>
        <w:t xml:space="preserve">; analysis </w:t>
      </w:r>
      <w:r w:rsidR="00BA7CBD">
        <w:rPr>
          <w:sz w:val="16"/>
          <w:szCs w:val="16"/>
        </w:rPr>
        <w:t>3</w:t>
      </w:r>
      <w:r>
        <w:rPr>
          <w:sz w:val="16"/>
          <w:szCs w:val="16"/>
        </w:rPr>
        <w:t>.9</w:t>
      </w:r>
      <w:r w:rsidR="00E320BD" w:rsidRPr="00C12274">
        <w:rPr>
          <w:sz w:val="16"/>
          <w:szCs w:val="16"/>
        </w:rPr>
        <w:t>; page</w:t>
      </w:r>
      <w:r w:rsidR="00E320BD">
        <w:rPr>
          <w:sz w:val="16"/>
          <w:szCs w:val="16"/>
        </w:rPr>
        <w:t xml:space="preserve"> </w:t>
      </w:r>
      <w:r>
        <w:rPr>
          <w:sz w:val="16"/>
          <w:szCs w:val="16"/>
        </w:rPr>
        <w:fldChar w:fldCharType="begin"/>
      </w:r>
      <w:r>
        <w:rPr>
          <w:sz w:val="16"/>
          <w:szCs w:val="16"/>
        </w:rPr>
        <w:instrText xml:space="preserve"> PAGEREF _Ref24816846 \h </w:instrText>
      </w:r>
      <w:r>
        <w:rPr>
          <w:sz w:val="16"/>
          <w:szCs w:val="16"/>
        </w:rPr>
      </w:r>
      <w:r>
        <w:rPr>
          <w:sz w:val="16"/>
          <w:szCs w:val="16"/>
        </w:rPr>
        <w:fldChar w:fldCharType="separate"/>
      </w:r>
      <w:r w:rsidR="00BA7CBD">
        <w:rPr>
          <w:noProof/>
          <w:sz w:val="16"/>
          <w:szCs w:val="16"/>
        </w:rPr>
        <w:t>415</w:t>
      </w:r>
      <w:r>
        <w:rPr>
          <w:sz w:val="16"/>
          <w:szCs w:val="16"/>
        </w:rPr>
        <w:fldChar w:fldCharType="end"/>
      </w:r>
      <w:r w:rsidR="00E320BD" w:rsidRPr="00C12274">
        <w:t>)</w:t>
      </w:r>
    </w:p>
    <w:p w14:paraId="7628937B" w14:textId="4DCAF2AF" w:rsidR="00A67139" w:rsidRDefault="00087E01" w:rsidP="00CD7246">
      <w:pPr>
        <w:pStyle w:val="bullet"/>
      </w:pPr>
      <w:r>
        <w:t xml:space="preserve">early </w:t>
      </w:r>
      <w:r w:rsidR="00A67139">
        <w:t xml:space="preserve">childhood weight </w:t>
      </w:r>
      <w:r w:rsidR="00A67139" w:rsidRPr="00C12274">
        <w:t>(</w:t>
      </w:r>
      <w:r w:rsidR="00A67139">
        <w:rPr>
          <w:sz w:val="16"/>
          <w:szCs w:val="16"/>
        </w:rPr>
        <w:t>MD -0.03</w:t>
      </w:r>
      <w:r w:rsidR="00A67139" w:rsidRPr="00C12274">
        <w:rPr>
          <w:sz w:val="16"/>
          <w:szCs w:val="16"/>
        </w:rPr>
        <w:t xml:space="preserve">; 95%CI </w:t>
      </w:r>
      <w:r w:rsidR="00A67139">
        <w:rPr>
          <w:sz w:val="16"/>
          <w:szCs w:val="16"/>
        </w:rPr>
        <w:t>-0.26</w:t>
      </w:r>
      <w:r w:rsidR="00A67139" w:rsidRPr="00C12274">
        <w:rPr>
          <w:sz w:val="16"/>
          <w:szCs w:val="16"/>
        </w:rPr>
        <w:t xml:space="preserve"> to </w:t>
      </w:r>
      <w:r w:rsidR="00A67139">
        <w:rPr>
          <w:sz w:val="16"/>
          <w:szCs w:val="16"/>
        </w:rPr>
        <w:t>0.31</w:t>
      </w:r>
      <w:r w:rsidR="00A67139" w:rsidRPr="00C12274">
        <w:rPr>
          <w:sz w:val="16"/>
          <w:szCs w:val="16"/>
        </w:rPr>
        <w:t xml:space="preserve">; </w:t>
      </w:r>
      <w:r w:rsidR="00A67139">
        <w:rPr>
          <w:sz w:val="16"/>
          <w:szCs w:val="16"/>
        </w:rPr>
        <w:t>2</w:t>
      </w:r>
      <w:r w:rsidR="00A67139" w:rsidRPr="00C12274">
        <w:rPr>
          <w:sz w:val="16"/>
          <w:szCs w:val="16"/>
        </w:rPr>
        <w:t xml:space="preserve"> RCTs; n=</w:t>
      </w:r>
      <w:r w:rsidR="00A67139">
        <w:rPr>
          <w:sz w:val="16"/>
          <w:szCs w:val="16"/>
        </w:rPr>
        <w:t>565</w:t>
      </w:r>
      <w:r w:rsidR="00A67139" w:rsidRPr="00C12274">
        <w:rPr>
          <w:sz w:val="16"/>
          <w:szCs w:val="16"/>
        </w:rPr>
        <w:t xml:space="preserve">; </w:t>
      </w:r>
      <w:r w:rsidR="00C33DBF">
        <w:rPr>
          <w:sz w:val="16"/>
          <w:szCs w:val="16"/>
        </w:rPr>
        <w:t>low</w:t>
      </w:r>
      <w:r w:rsidR="00A67139" w:rsidRPr="00C12274">
        <w:rPr>
          <w:sz w:val="16"/>
          <w:szCs w:val="16"/>
        </w:rPr>
        <w:t xml:space="preserve"> </w:t>
      </w:r>
      <w:r w:rsidR="00343BBE">
        <w:rPr>
          <w:sz w:val="16"/>
          <w:szCs w:val="16"/>
        </w:rPr>
        <w:t>certainty</w:t>
      </w:r>
      <w:r w:rsidR="00A67139" w:rsidRPr="00C12274">
        <w:rPr>
          <w:sz w:val="16"/>
          <w:szCs w:val="16"/>
        </w:rPr>
        <w:t xml:space="preserve">; analysis </w:t>
      </w:r>
      <w:r w:rsidR="00BA7CBD">
        <w:rPr>
          <w:sz w:val="16"/>
          <w:szCs w:val="16"/>
        </w:rPr>
        <w:t>3</w:t>
      </w:r>
      <w:r w:rsidR="00A67139">
        <w:rPr>
          <w:sz w:val="16"/>
          <w:szCs w:val="16"/>
        </w:rPr>
        <w:t>.10</w:t>
      </w:r>
      <w:r w:rsidR="00A67139" w:rsidRPr="00C12274">
        <w:rPr>
          <w:sz w:val="16"/>
          <w:szCs w:val="16"/>
        </w:rPr>
        <w:t>; page</w:t>
      </w:r>
      <w:r w:rsidR="00A67139">
        <w:rPr>
          <w:sz w:val="16"/>
          <w:szCs w:val="16"/>
        </w:rPr>
        <w:t xml:space="preserve"> </w:t>
      </w:r>
      <w:r w:rsidR="00A67139">
        <w:rPr>
          <w:sz w:val="16"/>
          <w:szCs w:val="16"/>
        </w:rPr>
        <w:fldChar w:fldCharType="begin"/>
      </w:r>
      <w:r w:rsidR="00A67139">
        <w:rPr>
          <w:sz w:val="16"/>
          <w:szCs w:val="16"/>
        </w:rPr>
        <w:instrText xml:space="preserve"> PAGEREF _Ref24816985 \h </w:instrText>
      </w:r>
      <w:r w:rsidR="00A67139">
        <w:rPr>
          <w:sz w:val="16"/>
          <w:szCs w:val="16"/>
        </w:rPr>
      </w:r>
      <w:r w:rsidR="00A67139">
        <w:rPr>
          <w:sz w:val="16"/>
          <w:szCs w:val="16"/>
        </w:rPr>
        <w:fldChar w:fldCharType="separate"/>
      </w:r>
      <w:r w:rsidR="00BA7CBD">
        <w:rPr>
          <w:noProof/>
          <w:sz w:val="16"/>
          <w:szCs w:val="16"/>
        </w:rPr>
        <w:t>415</w:t>
      </w:r>
      <w:r w:rsidR="00A67139">
        <w:rPr>
          <w:sz w:val="16"/>
          <w:szCs w:val="16"/>
        </w:rPr>
        <w:fldChar w:fldCharType="end"/>
      </w:r>
      <w:r w:rsidR="00A67139">
        <w:t>).</w:t>
      </w:r>
    </w:p>
    <w:p w14:paraId="370056BF" w14:textId="3577B3F5" w:rsidR="00A67139" w:rsidRPr="00C12274" w:rsidRDefault="00A67139" w:rsidP="00A67139">
      <w:r>
        <w:t>A single study found no clear difference in rates of small for gestational age (</w:t>
      </w:r>
      <w:r w:rsidRPr="00A67139">
        <w:rPr>
          <w:sz w:val="16"/>
          <w:szCs w:val="16"/>
        </w:rPr>
        <w:t>RR 0.59; 95%CI 0.22 to 1.69; n=131</w:t>
      </w:r>
      <w:r>
        <w:t>) or large for gestational age (</w:t>
      </w:r>
      <w:r w:rsidRPr="00A67139">
        <w:rPr>
          <w:sz w:val="16"/>
          <w:szCs w:val="16"/>
        </w:rPr>
        <w:t>RR 0.89; 95%CI 0.35 to 2.25; n=131</w:t>
      </w:r>
      <w:r>
        <w:t>).</w:t>
      </w:r>
    </w:p>
    <w:p w14:paraId="7C71D17D" w14:textId="77777777" w:rsidR="00BD0086" w:rsidRDefault="00BD0086">
      <w:pPr>
        <w:spacing w:before="0" w:after="0" w:line="240" w:lineRule="auto"/>
        <w:rPr>
          <w:rFonts w:asciiTheme="majorHAnsi" w:eastAsiaTheme="majorEastAsia" w:hAnsiTheme="majorHAnsi" w:cstheme="majorBidi"/>
          <w:b/>
          <w:i/>
          <w:iCs/>
          <w:color w:val="2F5496" w:themeColor="accent1" w:themeShade="BF"/>
          <w:sz w:val="21"/>
          <w:szCs w:val="21"/>
        </w:rPr>
      </w:pPr>
      <w:r>
        <w:br w:type="page"/>
      </w:r>
    </w:p>
    <w:p w14:paraId="79CEE7C6" w14:textId="21740F0B" w:rsidR="00FD4EBE" w:rsidRDefault="00FD4EBE" w:rsidP="00FD4EBE">
      <w:pPr>
        <w:pStyle w:val="Heading4"/>
      </w:pPr>
      <w:r>
        <w:t>Summary of findings</w:t>
      </w:r>
    </w:p>
    <w:tbl>
      <w:tblPr>
        <w:tblW w:w="5000" w:type="pct"/>
        <w:tblCellMar>
          <w:top w:w="100" w:type="dxa"/>
          <w:left w:w="100" w:type="dxa"/>
          <w:bottom w:w="100" w:type="dxa"/>
          <w:right w:w="100" w:type="dxa"/>
        </w:tblCellMar>
        <w:tblLook w:val="04A0" w:firstRow="1" w:lastRow="0" w:firstColumn="1" w:lastColumn="0" w:noHBand="0" w:noVBand="1"/>
      </w:tblPr>
      <w:tblGrid>
        <w:gridCol w:w="1455"/>
        <w:gridCol w:w="1473"/>
        <w:gridCol w:w="1853"/>
        <w:gridCol w:w="1566"/>
        <w:gridCol w:w="1419"/>
        <w:gridCol w:w="1499"/>
      </w:tblGrid>
      <w:tr w:rsidR="00BD0086" w:rsidRPr="00BD0086" w14:paraId="1A3328B2" w14:textId="77777777" w:rsidTr="001048CC">
        <w:trPr>
          <w:cantSplit/>
          <w:tblHeader/>
        </w:trPr>
        <w:tc>
          <w:tcPr>
            <w:tcW w:w="5000" w:type="pct"/>
            <w:gridSpan w:val="6"/>
            <w:tcBorders>
              <w:top w:val="single" w:sz="12" w:space="0" w:color="000000"/>
              <w:left w:val="nil"/>
              <w:bottom w:val="single" w:sz="12" w:space="0" w:color="000000"/>
              <w:right w:val="nil"/>
            </w:tcBorders>
            <w:vAlign w:val="center"/>
            <w:hideMark/>
          </w:tcPr>
          <w:p w14:paraId="3D0F977B" w14:textId="3F8D3793" w:rsidR="00BD0086" w:rsidRPr="00BD0086" w:rsidRDefault="00BD0086" w:rsidP="00BD0086">
            <w:pPr>
              <w:pStyle w:val="Heading5"/>
            </w:pPr>
            <w:r w:rsidRPr="00BD0086">
              <w:t>Dietary intervention</w:t>
            </w:r>
            <w:r>
              <w:t>s</w:t>
            </w:r>
            <w:r w:rsidRPr="00BD0086">
              <w:t xml:space="preserve"> compared to </w:t>
            </w:r>
            <w:r>
              <w:t>usual</w:t>
            </w:r>
            <w:r w:rsidRPr="00BD0086">
              <w:t xml:space="preserve"> care in pregnan</w:t>
            </w:r>
            <w:r>
              <w:t>cy — maternal outcomes</w:t>
            </w:r>
          </w:p>
        </w:tc>
      </w:tr>
      <w:tr w:rsidR="00BD0086" w14:paraId="5B6E5411" w14:textId="77777777" w:rsidTr="001048CC">
        <w:trPr>
          <w:cantSplit/>
          <w:trHeight w:val="897"/>
          <w:tblHeader/>
        </w:trPr>
        <w:tc>
          <w:tcPr>
            <w:tcW w:w="5000" w:type="pct"/>
            <w:gridSpan w:val="6"/>
            <w:tcBorders>
              <w:top w:val="single" w:sz="12" w:space="0" w:color="000000"/>
              <w:left w:val="nil"/>
              <w:bottom w:val="single" w:sz="12" w:space="0" w:color="000000"/>
              <w:right w:val="nil"/>
            </w:tcBorders>
            <w:vAlign w:val="center"/>
            <w:hideMark/>
          </w:tcPr>
          <w:p w14:paraId="37ACF46E" w14:textId="6AD9435A" w:rsidR="00BD0086" w:rsidRDefault="00BD0086" w:rsidP="001048CC">
            <w:pPr>
              <w:rPr>
                <w:rFonts w:ascii="Arial Narrow" w:eastAsia="Times New Roman" w:hAnsi="Arial Narrow"/>
                <w:sz w:val="16"/>
                <w:szCs w:val="16"/>
              </w:rPr>
            </w:pPr>
            <w:r>
              <w:rPr>
                <w:rFonts w:ascii="Arial Narrow" w:eastAsia="Times New Roman" w:hAnsi="Arial Narrow"/>
                <w:b/>
                <w:bCs/>
                <w:sz w:val="16"/>
                <w:szCs w:val="16"/>
              </w:rPr>
              <w:t>Patient or population</w:t>
            </w:r>
            <w:r>
              <w:rPr>
                <w:rFonts w:ascii="Arial Narrow" w:eastAsia="Times New Roman" w:hAnsi="Arial Narrow"/>
                <w:sz w:val="16"/>
                <w:szCs w:val="16"/>
              </w:rPr>
              <w:t xml:space="preserve">: </w:t>
            </w:r>
            <w:r w:rsidRPr="00C12274">
              <w:rPr>
                <w:rFonts w:ascii="Arial Narrow" w:eastAsia="Times New Roman" w:hAnsi="Arial Narrow"/>
                <w:sz w:val="16"/>
                <w:szCs w:val="16"/>
              </w:rPr>
              <w:t>Pregnant women with low or high risk pregnancies</w:t>
            </w:r>
          </w:p>
          <w:p w14:paraId="0129E98B" w14:textId="77777777" w:rsidR="00BD0086" w:rsidRDefault="00BD0086" w:rsidP="001048CC">
            <w:pPr>
              <w:rPr>
                <w:rFonts w:ascii="Arial Narrow" w:eastAsia="Times New Roman" w:hAnsi="Arial Narrow"/>
                <w:sz w:val="16"/>
                <w:szCs w:val="16"/>
              </w:rPr>
            </w:pPr>
            <w:r>
              <w:rPr>
                <w:rFonts w:ascii="Arial Narrow" w:eastAsia="Times New Roman" w:hAnsi="Arial Narrow"/>
                <w:b/>
                <w:bCs/>
                <w:sz w:val="16"/>
                <w:szCs w:val="16"/>
              </w:rPr>
              <w:t>Setting</w:t>
            </w:r>
            <w:r>
              <w:rPr>
                <w:rFonts w:ascii="Arial Narrow" w:eastAsia="Times New Roman" w:hAnsi="Arial Narrow"/>
                <w:sz w:val="16"/>
                <w:szCs w:val="16"/>
              </w:rPr>
              <w:t xml:space="preserve">: Austria, Belgium, Denmark, Egypt, Finland, Ireland, Italy, Netherlands, Poland, Spain, United Kingdom, United States </w:t>
            </w:r>
          </w:p>
          <w:p w14:paraId="3FF13B35" w14:textId="2973F99D" w:rsidR="00BD0086" w:rsidRDefault="00BD0086" w:rsidP="001048CC">
            <w:pPr>
              <w:rPr>
                <w:rFonts w:ascii="Arial Narrow" w:eastAsia="Times New Roman" w:hAnsi="Arial Narrow"/>
                <w:sz w:val="16"/>
                <w:szCs w:val="16"/>
              </w:rPr>
            </w:pPr>
            <w:r>
              <w:rPr>
                <w:rFonts w:ascii="Arial Narrow" w:eastAsia="Times New Roman" w:hAnsi="Arial Narrow"/>
                <w:b/>
                <w:bCs/>
                <w:sz w:val="16"/>
                <w:szCs w:val="16"/>
              </w:rPr>
              <w:t>Intervention</w:t>
            </w:r>
            <w:r>
              <w:rPr>
                <w:rFonts w:ascii="Arial Narrow" w:eastAsia="Times New Roman" w:hAnsi="Arial Narrow"/>
                <w:sz w:val="16"/>
                <w:szCs w:val="16"/>
              </w:rPr>
              <w:t>: Dietary intervention</w:t>
            </w:r>
          </w:p>
          <w:p w14:paraId="2479458F" w14:textId="4EFBEA62" w:rsidR="00BD0086" w:rsidRDefault="00BD0086" w:rsidP="00BD0086">
            <w:pPr>
              <w:rPr>
                <w:rFonts w:ascii="Arial Narrow" w:eastAsia="Times New Roman" w:hAnsi="Arial Narrow"/>
                <w:sz w:val="16"/>
                <w:szCs w:val="16"/>
              </w:rPr>
            </w:pPr>
            <w:r>
              <w:rPr>
                <w:rFonts w:ascii="Arial Narrow" w:eastAsia="Times New Roman" w:hAnsi="Arial Narrow"/>
                <w:b/>
                <w:bCs/>
                <w:sz w:val="16"/>
                <w:szCs w:val="16"/>
              </w:rPr>
              <w:t>Comparison</w:t>
            </w:r>
            <w:r>
              <w:rPr>
                <w:rFonts w:ascii="Arial Narrow" w:eastAsia="Times New Roman" w:hAnsi="Arial Narrow"/>
                <w:sz w:val="16"/>
                <w:szCs w:val="16"/>
              </w:rPr>
              <w:t xml:space="preserve">: Usual care </w:t>
            </w:r>
          </w:p>
        </w:tc>
      </w:tr>
      <w:tr w:rsidR="001048CC" w14:paraId="10948A52" w14:textId="77777777" w:rsidTr="00BD0086">
        <w:trPr>
          <w:cantSplit/>
          <w:tblHeader/>
        </w:trPr>
        <w:tc>
          <w:tcPr>
            <w:tcW w:w="785" w:type="pct"/>
            <w:vMerge w:val="restart"/>
            <w:tcBorders>
              <w:right w:val="single" w:sz="6" w:space="0" w:color="EFEFEF"/>
            </w:tcBorders>
            <w:shd w:val="clear" w:color="auto" w:fill="3271AA"/>
            <w:vAlign w:val="center"/>
            <w:hideMark/>
          </w:tcPr>
          <w:p w14:paraId="329BF734" w14:textId="77777777" w:rsidR="00BD0086" w:rsidRDefault="00BD0086" w:rsidP="001048CC">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795" w:type="pct"/>
            <w:gridSpan w:val="2"/>
            <w:tcBorders>
              <w:top w:val="single" w:sz="6" w:space="0" w:color="EFEFEF"/>
              <w:right w:val="single" w:sz="6" w:space="0" w:color="EFEFEF"/>
            </w:tcBorders>
            <w:shd w:val="clear" w:color="auto" w:fill="E0E0E0"/>
            <w:hideMark/>
          </w:tcPr>
          <w:p w14:paraId="2467565E" w14:textId="77777777" w:rsidR="00BD0086" w:rsidRDefault="00BD0086" w:rsidP="001048CC">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845" w:type="pct"/>
            <w:vMerge w:val="restart"/>
            <w:tcBorders>
              <w:right w:val="single" w:sz="6" w:space="0" w:color="EFEFEF"/>
            </w:tcBorders>
            <w:shd w:val="clear" w:color="auto" w:fill="3271AA"/>
            <w:vAlign w:val="center"/>
            <w:hideMark/>
          </w:tcPr>
          <w:p w14:paraId="2B690AC6" w14:textId="77777777" w:rsidR="00BD0086" w:rsidRDefault="00BD0086" w:rsidP="001048C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766" w:type="pct"/>
            <w:vMerge w:val="restart"/>
            <w:tcBorders>
              <w:right w:val="single" w:sz="6" w:space="0" w:color="EFEFEF"/>
            </w:tcBorders>
            <w:shd w:val="clear" w:color="auto" w:fill="3271AA"/>
            <w:vAlign w:val="center"/>
            <w:hideMark/>
          </w:tcPr>
          <w:p w14:paraId="77CF115D" w14:textId="77777777" w:rsidR="00BD0086" w:rsidRDefault="00BD0086" w:rsidP="001048C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809" w:type="pct"/>
            <w:vMerge w:val="restart"/>
            <w:tcBorders>
              <w:right w:val="single" w:sz="6" w:space="0" w:color="EFEFEF"/>
            </w:tcBorders>
            <w:shd w:val="clear" w:color="auto" w:fill="3271AA"/>
            <w:vAlign w:val="center"/>
            <w:hideMark/>
          </w:tcPr>
          <w:p w14:paraId="5DDA08E8" w14:textId="77777777" w:rsidR="00BD0086" w:rsidRDefault="00BD0086" w:rsidP="001048C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BD0086" w14:paraId="7D7092A4" w14:textId="77777777" w:rsidTr="00C33DBF">
        <w:trPr>
          <w:cantSplit/>
          <w:tblHeader/>
        </w:trPr>
        <w:tc>
          <w:tcPr>
            <w:tcW w:w="785" w:type="pct"/>
            <w:vMerge/>
            <w:tcBorders>
              <w:right w:val="single" w:sz="6" w:space="0" w:color="EFEFEF"/>
            </w:tcBorders>
            <w:vAlign w:val="center"/>
            <w:hideMark/>
          </w:tcPr>
          <w:p w14:paraId="2D8B1DB1" w14:textId="77777777" w:rsidR="00BD0086" w:rsidRDefault="00BD0086" w:rsidP="001048CC">
            <w:pPr>
              <w:rPr>
                <w:rFonts w:ascii="Arial Narrow" w:eastAsiaTheme="minorEastAsia" w:hAnsi="Arial Narrow"/>
                <w:color w:val="FFFFFF"/>
                <w:sz w:val="16"/>
                <w:szCs w:val="16"/>
              </w:rPr>
            </w:pPr>
          </w:p>
        </w:tc>
        <w:tc>
          <w:tcPr>
            <w:tcW w:w="795" w:type="pct"/>
            <w:tcBorders>
              <w:top w:val="single" w:sz="6" w:space="0" w:color="EFEFEF"/>
              <w:right w:val="single" w:sz="6" w:space="0" w:color="EFEFEF"/>
            </w:tcBorders>
            <w:shd w:val="clear" w:color="auto" w:fill="E0E0E0"/>
            <w:hideMark/>
          </w:tcPr>
          <w:p w14:paraId="4CFEE817" w14:textId="77777777" w:rsidR="00BD0086" w:rsidRDefault="00BD0086" w:rsidP="001048C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standard care</w:t>
            </w:r>
          </w:p>
        </w:tc>
        <w:tc>
          <w:tcPr>
            <w:tcW w:w="1000" w:type="pct"/>
            <w:tcBorders>
              <w:top w:val="single" w:sz="6" w:space="0" w:color="EFEFEF"/>
              <w:right w:val="single" w:sz="6" w:space="0" w:color="EFEFEF"/>
            </w:tcBorders>
            <w:shd w:val="clear" w:color="auto" w:fill="E0E0E0"/>
            <w:hideMark/>
          </w:tcPr>
          <w:p w14:paraId="6A1A9D8F" w14:textId="77777777" w:rsidR="00BD0086" w:rsidRDefault="00BD0086" w:rsidP="001048C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Diet</w:t>
            </w:r>
          </w:p>
        </w:tc>
        <w:tc>
          <w:tcPr>
            <w:tcW w:w="845" w:type="pct"/>
            <w:vMerge/>
            <w:tcBorders>
              <w:right w:val="single" w:sz="6" w:space="0" w:color="EFEFEF"/>
            </w:tcBorders>
            <w:vAlign w:val="center"/>
            <w:hideMark/>
          </w:tcPr>
          <w:p w14:paraId="1A1B63AC" w14:textId="77777777" w:rsidR="00BD0086" w:rsidRDefault="00BD0086" w:rsidP="001048CC">
            <w:pPr>
              <w:rPr>
                <w:rFonts w:ascii="Arial Narrow" w:eastAsiaTheme="minorEastAsia" w:hAnsi="Arial Narrow"/>
                <w:color w:val="FFFFFF"/>
                <w:sz w:val="16"/>
                <w:szCs w:val="16"/>
              </w:rPr>
            </w:pPr>
          </w:p>
        </w:tc>
        <w:tc>
          <w:tcPr>
            <w:tcW w:w="766" w:type="pct"/>
            <w:vMerge/>
            <w:tcBorders>
              <w:right w:val="single" w:sz="6" w:space="0" w:color="EFEFEF"/>
            </w:tcBorders>
            <w:vAlign w:val="center"/>
            <w:hideMark/>
          </w:tcPr>
          <w:p w14:paraId="27CB8677" w14:textId="77777777" w:rsidR="00BD0086" w:rsidRDefault="00BD0086" w:rsidP="001048CC">
            <w:pPr>
              <w:rPr>
                <w:rFonts w:ascii="Arial Narrow" w:eastAsiaTheme="minorEastAsia" w:hAnsi="Arial Narrow"/>
                <w:color w:val="FFFFFF"/>
                <w:sz w:val="16"/>
                <w:szCs w:val="16"/>
              </w:rPr>
            </w:pPr>
          </w:p>
        </w:tc>
        <w:tc>
          <w:tcPr>
            <w:tcW w:w="809" w:type="pct"/>
            <w:vMerge/>
            <w:tcBorders>
              <w:right w:val="single" w:sz="6" w:space="0" w:color="EFEFEF"/>
            </w:tcBorders>
            <w:vAlign w:val="center"/>
            <w:hideMark/>
          </w:tcPr>
          <w:p w14:paraId="45F259EC" w14:textId="77777777" w:rsidR="00BD0086" w:rsidRDefault="00BD0086" w:rsidP="001048CC">
            <w:pPr>
              <w:rPr>
                <w:rFonts w:ascii="Arial Narrow" w:eastAsiaTheme="minorEastAsia" w:hAnsi="Arial Narrow"/>
                <w:color w:val="FFFFFF"/>
                <w:sz w:val="16"/>
                <w:szCs w:val="16"/>
              </w:rPr>
            </w:pPr>
          </w:p>
        </w:tc>
      </w:tr>
      <w:tr w:rsidR="00BD0086" w14:paraId="3C690C38" w14:textId="77777777" w:rsidTr="00C33DBF">
        <w:trPr>
          <w:cantSplit/>
        </w:trPr>
        <w:tc>
          <w:tcPr>
            <w:tcW w:w="785" w:type="pct"/>
            <w:tcBorders>
              <w:top w:val="single" w:sz="6" w:space="0" w:color="000000"/>
              <w:left w:val="nil"/>
              <w:bottom w:val="single" w:sz="6" w:space="0" w:color="000000"/>
              <w:right w:val="nil"/>
            </w:tcBorders>
            <w:vAlign w:val="center"/>
            <w:hideMark/>
          </w:tcPr>
          <w:p w14:paraId="62B68A99" w14:textId="77777777"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Mean gestational weight gain</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shd w:val="clear" w:color="auto" w:fill="EBEBEB"/>
            <w:vAlign w:val="center"/>
            <w:hideMark/>
          </w:tcPr>
          <w:p w14:paraId="0FEFF484" w14:textId="315B951C" w:rsidR="00BD0086" w:rsidRDefault="00BD0086" w:rsidP="00BD0086">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gestational weight gain was </w:t>
            </w:r>
            <w:r>
              <w:rPr>
                <w:rStyle w:val="cell-value"/>
                <w:rFonts w:ascii="Arial Narrow" w:eastAsia="Times New Roman" w:hAnsi="Arial Narrow"/>
                <w:b/>
                <w:bCs/>
                <w:sz w:val="16"/>
                <w:szCs w:val="16"/>
              </w:rPr>
              <w:t>0</w:t>
            </w:r>
            <w:r>
              <w:rPr>
                <w:rFonts w:ascii="Arial Narrow" w:eastAsia="Times New Roman" w:hAnsi="Arial Narrow"/>
                <w:sz w:val="16"/>
                <w:szCs w:val="16"/>
              </w:rPr>
              <w:t xml:space="preserve"> </w:t>
            </w:r>
          </w:p>
        </w:tc>
        <w:tc>
          <w:tcPr>
            <w:tcW w:w="1000" w:type="pct"/>
            <w:tcBorders>
              <w:top w:val="single" w:sz="6" w:space="0" w:color="000000"/>
              <w:left w:val="nil"/>
              <w:bottom w:val="single" w:sz="6" w:space="0" w:color="000000"/>
              <w:right w:val="nil"/>
            </w:tcBorders>
            <w:shd w:val="clear" w:color="auto" w:fill="EBEBEB"/>
            <w:hideMark/>
          </w:tcPr>
          <w:p w14:paraId="038412C5"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MD </w:t>
            </w:r>
            <w:r>
              <w:rPr>
                <w:rStyle w:val="cell-value"/>
                <w:rFonts w:ascii="Arial Narrow" w:eastAsia="Times New Roman" w:hAnsi="Arial Narrow"/>
                <w:b/>
                <w:bCs/>
                <w:sz w:val="16"/>
                <w:szCs w:val="16"/>
              </w:rPr>
              <w:t>3.76 lower</w:t>
            </w:r>
            <w:r>
              <w:rPr>
                <w:rFonts w:ascii="Arial Narrow" w:eastAsia="Times New Roman" w:hAnsi="Arial Narrow"/>
                <w:sz w:val="16"/>
                <w:szCs w:val="16"/>
              </w:rPr>
              <w:br/>
            </w:r>
            <w:r>
              <w:rPr>
                <w:rStyle w:val="cell-value"/>
                <w:rFonts w:ascii="Arial Narrow" w:eastAsia="Times New Roman" w:hAnsi="Arial Narrow"/>
                <w:sz w:val="16"/>
                <w:szCs w:val="16"/>
              </w:rPr>
              <w:t>(6.38 lower to 1.13 lower)</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7CD0C67C" w14:textId="77777777" w:rsidR="00BD0086" w:rsidRDefault="00BD0086" w:rsidP="001048CC">
            <w:pPr>
              <w:jc w:val="center"/>
              <w:rPr>
                <w:rFonts w:ascii="Arial Narrow" w:eastAsia="Times New Roman" w:hAnsi="Arial Narrow"/>
                <w:sz w:val="16"/>
                <w:szCs w:val="16"/>
              </w:rPr>
            </w:pPr>
            <w:r>
              <w:rPr>
                <w:rStyle w:val="cell"/>
                <w:rFonts w:ascii="Arial Narrow" w:hAnsi="Arial Narrow"/>
                <w:sz w:val="16"/>
                <w:szCs w:val="16"/>
              </w:rPr>
              <w:t>-</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705B88B7" w14:textId="32563E01" w:rsidR="00BD0086" w:rsidRDefault="00BD0086" w:rsidP="001048CC">
            <w:pPr>
              <w:jc w:val="center"/>
              <w:rPr>
                <w:rFonts w:ascii="Arial Narrow" w:eastAsia="Times New Roman" w:hAnsi="Arial Narrow"/>
                <w:sz w:val="16"/>
                <w:szCs w:val="16"/>
              </w:rPr>
            </w:pPr>
            <w:r>
              <w:rPr>
                <w:rFonts w:ascii="Arial Narrow" w:eastAsia="Times New Roman" w:hAnsi="Arial Narrow"/>
                <w:sz w:val="16"/>
                <w:szCs w:val="16"/>
              </w:rPr>
              <w:t>1</w:t>
            </w:r>
            <w:r w:rsidR="003718D1">
              <w:rPr>
                <w:rFonts w:ascii="Arial Narrow" w:eastAsia="Times New Roman" w:hAnsi="Arial Narrow"/>
                <w:sz w:val="16"/>
                <w:szCs w:val="16"/>
              </w:rPr>
              <w:t>,</w:t>
            </w:r>
            <w:r>
              <w:rPr>
                <w:rFonts w:ascii="Arial Narrow" w:eastAsia="Times New Roman" w:hAnsi="Arial Narrow"/>
                <w:sz w:val="16"/>
                <w:szCs w:val="16"/>
              </w:rPr>
              <w:t>432</w:t>
            </w:r>
            <w:r>
              <w:rPr>
                <w:rFonts w:ascii="Arial Narrow" w:eastAsia="Times New Roman" w:hAnsi="Arial Narrow"/>
                <w:sz w:val="16"/>
                <w:szCs w:val="16"/>
              </w:rPr>
              <w:br/>
              <w:t xml:space="preserve">(6 RCTs) </w:t>
            </w:r>
          </w:p>
        </w:tc>
        <w:tc>
          <w:tcPr>
            <w:tcW w:w="809" w:type="pct"/>
            <w:tcBorders>
              <w:top w:val="single" w:sz="6" w:space="0" w:color="000000"/>
              <w:left w:val="nil"/>
              <w:bottom w:val="single" w:sz="6" w:space="0" w:color="000000"/>
              <w:right w:val="nil"/>
            </w:tcBorders>
            <w:vAlign w:val="center"/>
            <w:hideMark/>
          </w:tcPr>
          <w:p w14:paraId="0298D67C" w14:textId="77777777"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BD0086" w14:paraId="0BDAA2D6" w14:textId="77777777" w:rsidTr="00C33DBF">
        <w:trPr>
          <w:cantSplit/>
        </w:trPr>
        <w:tc>
          <w:tcPr>
            <w:tcW w:w="785" w:type="pct"/>
            <w:tcBorders>
              <w:top w:val="single" w:sz="6" w:space="0" w:color="000000"/>
              <w:left w:val="nil"/>
              <w:bottom w:val="single" w:sz="6" w:space="0" w:color="000000"/>
              <w:right w:val="nil"/>
            </w:tcBorders>
            <w:vAlign w:val="center"/>
            <w:hideMark/>
          </w:tcPr>
          <w:p w14:paraId="25068A87" w14:textId="77777777"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Weight gain exceeding IOM guidelines</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06FD20C8" w14:textId="77777777" w:rsidR="00BD0086" w:rsidRDefault="00BD0086" w:rsidP="001048CC">
            <w:pPr>
              <w:rPr>
                <w:rFonts w:ascii="Arial Narrow" w:eastAsia="Times New Roman" w:hAnsi="Arial Narrow"/>
                <w:sz w:val="16"/>
                <w:szCs w:val="16"/>
              </w:rPr>
            </w:pPr>
            <w:r>
              <w:rPr>
                <w:rFonts w:ascii="Arial Narrow" w:eastAsia="Times New Roman" w:hAnsi="Arial Narrow"/>
                <w:sz w:val="16"/>
                <w:szCs w:val="16"/>
              </w:rPr>
              <w:t xml:space="preserve">607 per 1,000 </w:t>
            </w:r>
          </w:p>
        </w:tc>
        <w:tc>
          <w:tcPr>
            <w:tcW w:w="1000" w:type="pct"/>
            <w:tcBorders>
              <w:top w:val="single" w:sz="6" w:space="0" w:color="000000"/>
              <w:left w:val="nil"/>
              <w:bottom w:val="single" w:sz="6" w:space="0" w:color="000000"/>
              <w:right w:val="nil"/>
            </w:tcBorders>
            <w:shd w:val="clear" w:color="auto" w:fill="EBEBEB"/>
            <w:hideMark/>
          </w:tcPr>
          <w:p w14:paraId="37DF53ED"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b/>
                <w:bCs/>
                <w:szCs w:val="18"/>
              </w:rPr>
              <w:t>395 per 1,000</w:t>
            </w:r>
            <w:r>
              <w:rPr>
                <w:rFonts w:ascii="Arial Narrow" w:eastAsia="Times New Roman" w:hAnsi="Arial Narrow"/>
                <w:szCs w:val="18"/>
              </w:rPr>
              <w:br/>
            </w:r>
            <w:r>
              <w:rPr>
                <w:rStyle w:val="cell-value"/>
                <w:rFonts w:ascii="Arial Narrow" w:eastAsia="Times New Roman" w:hAnsi="Arial Narrow"/>
                <w:szCs w:val="18"/>
              </w:rPr>
              <w:t>(328 to 468)</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0DA37894" w14:textId="77777777" w:rsidR="00BD0086" w:rsidRDefault="00BD0086"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0.65</w:t>
            </w:r>
            <w:r>
              <w:rPr>
                <w:rFonts w:ascii="Arial Narrow" w:eastAsia="Times New Roman" w:hAnsi="Arial Narrow"/>
                <w:sz w:val="16"/>
                <w:szCs w:val="16"/>
              </w:rPr>
              <w:br/>
            </w:r>
            <w:r>
              <w:rPr>
                <w:rStyle w:val="cell"/>
                <w:rFonts w:ascii="Arial Narrow" w:hAnsi="Arial Narrow"/>
                <w:sz w:val="16"/>
                <w:szCs w:val="16"/>
              </w:rPr>
              <w:t>(0.54 to 0.77)</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53557232" w14:textId="77777777" w:rsidR="00BD0086" w:rsidRDefault="00BD0086" w:rsidP="001048CC">
            <w:pPr>
              <w:jc w:val="center"/>
              <w:rPr>
                <w:rFonts w:ascii="Arial Narrow" w:eastAsia="Times New Roman" w:hAnsi="Arial Narrow"/>
                <w:sz w:val="16"/>
                <w:szCs w:val="16"/>
              </w:rPr>
            </w:pPr>
            <w:r>
              <w:rPr>
                <w:rFonts w:ascii="Arial Narrow" w:eastAsia="Times New Roman" w:hAnsi="Arial Narrow"/>
                <w:sz w:val="16"/>
                <w:szCs w:val="16"/>
              </w:rPr>
              <w:t>538</w:t>
            </w:r>
            <w:r>
              <w:rPr>
                <w:rFonts w:ascii="Arial Narrow" w:eastAsia="Times New Roman" w:hAnsi="Arial Narrow"/>
                <w:sz w:val="16"/>
                <w:szCs w:val="16"/>
              </w:rPr>
              <w:br/>
              <w:t xml:space="preserve">(4 RCTs) </w:t>
            </w:r>
          </w:p>
        </w:tc>
        <w:tc>
          <w:tcPr>
            <w:tcW w:w="809" w:type="pct"/>
            <w:tcBorders>
              <w:top w:val="single" w:sz="6" w:space="0" w:color="000000"/>
              <w:left w:val="nil"/>
              <w:bottom w:val="single" w:sz="6" w:space="0" w:color="000000"/>
              <w:right w:val="nil"/>
            </w:tcBorders>
            <w:vAlign w:val="center"/>
            <w:hideMark/>
          </w:tcPr>
          <w:p w14:paraId="100ADD5B" w14:textId="77777777"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BD0086" w14:paraId="66520300" w14:textId="77777777" w:rsidTr="00C33DBF">
        <w:trPr>
          <w:cantSplit/>
        </w:trPr>
        <w:tc>
          <w:tcPr>
            <w:tcW w:w="785" w:type="pct"/>
            <w:tcBorders>
              <w:top w:val="single" w:sz="6" w:space="0" w:color="000000"/>
              <w:left w:val="nil"/>
              <w:bottom w:val="single" w:sz="6" w:space="0" w:color="000000"/>
              <w:right w:val="nil"/>
            </w:tcBorders>
            <w:vAlign w:val="center"/>
            <w:hideMark/>
          </w:tcPr>
          <w:p w14:paraId="5DA596C0" w14:textId="77777777"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Gestational diabetes</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349527A1" w14:textId="77777777" w:rsidR="00BD0086" w:rsidRDefault="00BD0086" w:rsidP="001048CC">
            <w:pPr>
              <w:rPr>
                <w:rFonts w:ascii="Arial Narrow" w:eastAsia="Times New Roman" w:hAnsi="Arial Narrow"/>
                <w:sz w:val="16"/>
                <w:szCs w:val="16"/>
              </w:rPr>
            </w:pPr>
            <w:r>
              <w:rPr>
                <w:rFonts w:ascii="Arial Narrow" w:eastAsia="Times New Roman" w:hAnsi="Arial Narrow"/>
                <w:sz w:val="16"/>
                <w:szCs w:val="16"/>
              </w:rPr>
              <w:t xml:space="preserve">118 per 1,000 </w:t>
            </w:r>
          </w:p>
        </w:tc>
        <w:tc>
          <w:tcPr>
            <w:tcW w:w="1000" w:type="pct"/>
            <w:tcBorders>
              <w:top w:val="single" w:sz="6" w:space="0" w:color="000000"/>
              <w:left w:val="nil"/>
              <w:bottom w:val="single" w:sz="6" w:space="0" w:color="000000"/>
              <w:right w:val="nil"/>
            </w:tcBorders>
            <w:shd w:val="clear" w:color="auto" w:fill="EBEBEB"/>
            <w:hideMark/>
          </w:tcPr>
          <w:p w14:paraId="591E2A32"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b/>
                <w:bCs/>
                <w:szCs w:val="18"/>
              </w:rPr>
              <w:t>102 per 1,000</w:t>
            </w:r>
            <w:r>
              <w:rPr>
                <w:rFonts w:ascii="Arial Narrow" w:eastAsia="Times New Roman" w:hAnsi="Arial Narrow"/>
                <w:szCs w:val="18"/>
              </w:rPr>
              <w:br/>
            </w:r>
            <w:r>
              <w:rPr>
                <w:rStyle w:val="cell-value"/>
                <w:rFonts w:ascii="Arial Narrow" w:eastAsia="Times New Roman" w:hAnsi="Arial Narrow"/>
                <w:szCs w:val="18"/>
              </w:rPr>
              <w:t>(76 to 138)</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7545B0C7" w14:textId="77777777" w:rsidR="00BD0086" w:rsidRDefault="00BD0086"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0.86</w:t>
            </w:r>
            <w:r>
              <w:rPr>
                <w:rFonts w:ascii="Arial Narrow" w:eastAsia="Times New Roman" w:hAnsi="Arial Narrow"/>
                <w:sz w:val="16"/>
                <w:szCs w:val="16"/>
              </w:rPr>
              <w:br/>
            </w:r>
            <w:r>
              <w:rPr>
                <w:rStyle w:val="cell"/>
                <w:rFonts w:ascii="Arial Narrow" w:hAnsi="Arial Narrow"/>
                <w:sz w:val="16"/>
                <w:szCs w:val="16"/>
              </w:rPr>
              <w:t>(0.64 to 1.17)</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0D9BC2B9" w14:textId="31958A79" w:rsidR="00BD0086" w:rsidRDefault="00BD0086" w:rsidP="001048CC">
            <w:pPr>
              <w:jc w:val="center"/>
              <w:rPr>
                <w:rFonts w:ascii="Arial Narrow" w:eastAsia="Times New Roman" w:hAnsi="Arial Narrow"/>
                <w:sz w:val="16"/>
                <w:szCs w:val="16"/>
              </w:rPr>
            </w:pPr>
            <w:r>
              <w:rPr>
                <w:rFonts w:ascii="Arial Narrow" w:eastAsia="Times New Roman" w:hAnsi="Arial Narrow"/>
                <w:sz w:val="16"/>
                <w:szCs w:val="16"/>
              </w:rPr>
              <w:t>1</w:t>
            </w:r>
            <w:r w:rsidR="003718D1">
              <w:rPr>
                <w:rFonts w:ascii="Arial Narrow" w:eastAsia="Times New Roman" w:hAnsi="Arial Narrow"/>
                <w:sz w:val="16"/>
                <w:szCs w:val="16"/>
              </w:rPr>
              <w:t>,</w:t>
            </w:r>
            <w:r>
              <w:rPr>
                <w:rFonts w:ascii="Arial Narrow" w:eastAsia="Times New Roman" w:hAnsi="Arial Narrow"/>
                <w:sz w:val="16"/>
                <w:szCs w:val="16"/>
              </w:rPr>
              <w:t>424</w:t>
            </w:r>
            <w:r>
              <w:rPr>
                <w:rFonts w:ascii="Arial Narrow" w:eastAsia="Times New Roman" w:hAnsi="Arial Narrow"/>
                <w:sz w:val="16"/>
                <w:szCs w:val="16"/>
              </w:rPr>
              <w:br/>
              <w:t xml:space="preserve">(6 RCTs) </w:t>
            </w:r>
          </w:p>
        </w:tc>
        <w:tc>
          <w:tcPr>
            <w:tcW w:w="809" w:type="pct"/>
            <w:tcBorders>
              <w:top w:val="single" w:sz="6" w:space="0" w:color="000000"/>
              <w:left w:val="nil"/>
              <w:bottom w:val="single" w:sz="6" w:space="0" w:color="000000"/>
              <w:right w:val="nil"/>
            </w:tcBorders>
            <w:vAlign w:val="center"/>
            <w:hideMark/>
          </w:tcPr>
          <w:p w14:paraId="2B89F392" w14:textId="6FDCC5A9"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BD0086" w14:paraId="6FF635FC" w14:textId="77777777" w:rsidTr="00C33DBF">
        <w:trPr>
          <w:cantSplit/>
        </w:trPr>
        <w:tc>
          <w:tcPr>
            <w:tcW w:w="785" w:type="pct"/>
            <w:tcBorders>
              <w:top w:val="single" w:sz="6" w:space="0" w:color="000000"/>
              <w:left w:val="nil"/>
              <w:bottom w:val="single" w:sz="6" w:space="0" w:color="000000"/>
              <w:right w:val="nil"/>
            </w:tcBorders>
            <w:vAlign w:val="center"/>
            <w:hideMark/>
          </w:tcPr>
          <w:p w14:paraId="734A0478" w14:textId="5C9FEB93"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Gestational hypertension</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799A57E4" w14:textId="77777777" w:rsidR="00BD0086" w:rsidRDefault="00BD0086" w:rsidP="001048CC">
            <w:pPr>
              <w:rPr>
                <w:rFonts w:ascii="Arial Narrow" w:eastAsia="Times New Roman" w:hAnsi="Arial Narrow"/>
                <w:sz w:val="16"/>
                <w:szCs w:val="16"/>
              </w:rPr>
            </w:pPr>
            <w:r>
              <w:rPr>
                <w:rFonts w:ascii="Arial Narrow" w:eastAsia="Times New Roman" w:hAnsi="Arial Narrow"/>
                <w:sz w:val="16"/>
                <w:szCs w:val="16"/>
              </w:rPr>
              <w:t xml:space="preserve">130 per 1,000 </w:t>
            </w:r>
          </w:p>
        </w:tc>
        <w:tc>
          <w:tcPr>
            <w:tcW w:w="1000" w:type="pct"/>
            <w:tcBorders>
              <w:top w:val="single" w:sz="6" w:space="0" w:color="000000"/>
              <w:left w:val="nil"/>
              <w:bottom w:val="single" w:sz="6" w:space="0" w:color="000000"/>
              <w:right w:val="nil"/>
            </w:tcBorders>
            <w:shd w:val="clear" w:color="auto" w:fill="EBEBEB"/>
            <w:hideMark/>
          </w:tcPr>
          <w:p w14:paraId="312AC00A"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b/>
                <w:bCs/>
                <w:szCs w:val="18"/>
              </w:rPr>
              <w:t>38 per 1,000</w:t>
            </w:r>
            <w:r>
              <w:rPr>
                <w:rFonts w:ascii="Arial Narrow" w:eastAsia="Times New Roman" w:hAnsi="Arial Narrow"/>
                <w:szCs w:val="18"/>
              </w:rPr>
              <w:br/>
            </w:r>
            <w:r>
              <w:rPr>
                <w:rStyle w:val="cell-value"/>
                <w:rFonts w:ascii="Arial Narrow" w:eastAsia="Times New Roman" w:hAnsi="Arial Narrow"/>
                <w:szCs w:val="18"/>
              </w:rPr>
              <w:t>(17 to 79)</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5015FD00" w14:textId="77777777" w:rsidR="00BD0086" w:rsidRDefault="00BD0086"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0.29</w:t>
            </w:r>
            <w:r>
              <w:rPr>
                <w:rFonts w:ascii="Arial Narrow" w:eastAsia="Times New Roman" w:hAnsi="Arial Narrow"/>
                <w:sz w:val="16"/>
                <w:szCs w:val="16"/>
              </w:rPr>
              <w:br/>
            </w:r>
            <w:r>
              <w:rPr>
                <w:rStyle w:val="cell"/>
                <w:rFonts w:ascii="Arial Narrow" w:hAnsi="Arial Narrow"/>
                <w:sz w:val="16"/>
                <w:szCs w:val="16"/>
              </w:rPr>
              <w:t>(0.13 to 0.61)</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7697B9C5" w14:textId="77777777" w:rsidR="00BD0086" w:rsidRDefault="00BD0086" w:rsidP="001048CC">
            <w:pPr>
              <w:jc w:val="center"/>
              <w:rPr>
                <w:rFonts w:ascii="Arial Narrow" w:eastAsia="Times New Roman" w:hAnsi="Arial Narrow"/>
                <w:sz w:val="16"/>
                <w:szCs w:val="16"/>
              </w:rPr>
            </w:pPr>
            <w:r>
              <w:rPr>
                <w:rFonts w:ascii="Arial Narrow" w:eastAsia="Times New Roman" w:hAnsi="Arial Narrow"/>
                <w:sz w:val="16"/>
                <w:szCs w:val="16"/>
              </w:rPr>
              <w:t>429</w:t>
            </w:r>
            <w:r>
              <w:rPr>
                <w:rFonts w:ascii="Arial Narrow" w:eastAsia="Times New Roman" w:hAnsi="Arial Narrow"/>
                <w:sz w:val="16"/>
                <w:szCs w:val="16"/>
              </w:rPr>
              <w:br/>
              <w:t xml:space="preserve">(3 RCTs) </w:t>
            </w:r>
          </w:p>
        </w:tc>
        <w:tc>
          <w:tcPr>
            <w:tcW w:w="809" w:type="pct"/>
            <w:tcBorders>
              <w:top w:val="single" w:sz="6" w:space="0" w:color="000000"/>
              <w:left w:val="nil"/>
              <w:bottom w:val="single" w:sz="6" w:space="0" w:color="000000"/>
              <w:right w:val="nil"/>
            </w:tcBorders>
            <w:vAlign w:val="center"/>
            <w:hideMark/>
          </w:tcPr>
          <w:p w14:paraId="35BEB36D" w14:textId="754EF192"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p>
        </w:tc>
      </w:tr>
      <w:tr w:rsidR="00BD0086" w14:paraId="57DA70D1" w14:textId="77777777" w:rsidTr="00C33DBF">
        <w:trPr>
          <w:cantSplit/>
        </w:trPr>
        <w:tc>
          <w:tcPr>
            <w:tcW w:w="785" w:type="pct"/>
            <w:tcBorders>
              <w:top w:val="single" w:sz="6" w:space="0" w:color="000000"/>
              <w:left w:val="nil"/>
              <w:bottom w:val="single" w:sz="6" w:space="0" w:color="000000"/>
              <w:right w:val="nil"/>
            </w:tcBorders>
            <w:vAlign w:val="center"/>
            <w:hideMark/>
          </w:tcPr>
          <w:p w14:paraId="5381F922" w14:textId="77777777"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Pre-eclampsia</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3C3F7F78" w14:textId="77777777" w:rsidR="00BD0086" w:rsidRDefault="00BD0086" w:rsidP="001048CC">
            <w:pPr>
              <w:rPr>
                <w:rFonts w:ascii="Arial Narrow" w:eastAsia="Times New Roman" w:hAnsi="Arial Narrow"/>
                <w:sz w:val="16"/>
                <w:szCs w:val="16"/>
              </w:rPr>
            </w:pPr>
            <w:r>
              <w:rPr>
                <w:rFonts w:ascii="Arial Narrow" w:eastAsia="Times New Roman" w:hAnsi="Arial Narrow"/>
                <w:sz w:val="16"/>
                <w:szCs w:val="16"/>
              </w:rPr>
              <w:t xml:space="preserve">84 per 1,000 </w:t>
            </w:r>
          </w:p>
        </w:tc>
        <w:tc>
          <w:tcPr>
            <w:tcW w:w="1000" w:type="pct"/>
            <w:tcBorders>
              <w:top w:val="single" w:sz="6" w:space="0" w:color="000000"/>
              <w:left w:val="nil"/>
              <w:bottom w:val="single" w:sz="6" w:space="0" w:color="000000"/>
              <w:right w:val="nil"/>
            </w:tcBorders>
            <w:shd w:val="clear" w:color="auto" w:fill="EBEBEB"/>
            <w:hideMark/>
          </w:tcPr>
          <w:p w14:paraId="6B09EA92"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b/>
                <w:bCs/>
                <w:szCs w:val="18"/>
              </w:rPr>
              <w:t>51 per 1,000</w:t>
            </w:r>
            <w:r>
              <w:rPr>
                <w:rFonts w:ascii="Arial Narrow" w:eastAsia="Times New Roman" w:hAnsi="Arial Narrow"/>
                <w:szCs w:val="18"/>
              </w:rPr>
              <w:br/>
            </w:r>
            <w:r>
              <w:rPr>
                <w:rStyle w:val="cell-value"/>
                <w:rFonts w:ascii="Arial Narrow" w:eastAsia="Times New Roman" w:hAnsi="Arial Narrow"/>
                <w:szCs w:val="18"/>
              </w:rPr>
              <w:t>(21 to 123)</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7678C3EB" w14:textId="77777777" w:rsidR="00BD0086" w:rsidRDefault="00BD0086"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0.61</w:t>
            </w:r>
            <w:r>
              <w:rPr>
                <w:rFonts w:ascii="Arial Narrow" w:eastAsia="Times New Roman" w:hAnsi="Arial Narrow"/>
                <w:sz w:val="16"/>
                <w:szCs w:val="16"/>
              </w:rPr>
              <w:br/>
            </w:r>
            <w:r>
              <w:rPr>
                <w:rStyle w:val="cell"/>
                <w:rFonts w:ascii="Arial Narrow" w:hAnsi="Arial Narrow"/>
                <w:sz w:val="16"/>
                <w:szCs w:val="16"/>
              </w:rPr>
              <w:t>(0.25 to 1.46)</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12010955" w14:textId="77777777" w:rsidR="00BD0086" w:rsidRDefault="00BD0086" w:rsidP="001048CC">
            <w:pPr>
              <w:jc w:val="center"/>
              <w:rPr>
                <w:rFonts w:ascii="Arial Narrow" w:eastAsia="Times New Roman" w:hAnsi="Arial Narrow"/>
                <w:sz w:val="16"/>
                <w:szCs w:val="16"/>
              </w:rPr>
            </w:pPr>
            <w:r>
              <w:rPr>
                <w:rFonts w:ascii="Arial Narrow" w:eastAsia="Times New Roman" w:hAnsi="Arial Narrow"/>
                <w:sz w:val="16"/>
                <w:szCs w:val="16"/>
              </w:rPr>
              <w:t>282</w:t>
            </w:r>
            <w:r>
              <w:rPr>
                <w:rFonts w:ascii="Arial Narrow" w:eastAsia="Times New Roman" w:hAnsi="Arial Narrow"/>
                <w:sz w:val="16"/>
                <w:szCs w:val="16"/>
              </w:rPr>
              <w:br/>
              <w:t xml:space="preserve">(2 RCTs) </w:t>
            </w:r>
          </w:p>
        </w:tc>
        <w:tc>
          <w:tcPr>
            <w:tcW w:w="809" w:type="pct"/>
            <w:tcBorders>
              <w:top w:val="single" w:sz="6" w:space="0" w:color="000000"/>
              <w:left w:val="nil"/>
              <w:bottom w:val="single" w:sz="6" w:space="0" w:color="000000"/>
              <w:right w:val="nil"/>
            </w:tcBorders>
            <w:vAlign w:val="center"/>
            <w:hideMark/>
          </w:tcPr>
          <w:p w14:paraId="4CCFB834" w14:textId="53B74D60"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BD0086" w14:paraId="3A5F65B6" w14:textId="77777777" w:rsidTr="00C33DBF">
        <w:trPr>
          <w:cantSplit/>
        </w:trPr>
        <w:tc>
          <w:tcPr>
            <w:tcW w:w="785" w:type="pct"/>
            <w:tcBorders>
              <w:top w:val="single" w:sz="6" w:space="0" w:color="000000"/>
              <w:left w:val="nil"/>
              <w:bottom w:val="single" w:sz="6" w:space="0" w:color="000000"/>
              <w:right w:val="nil"/>
            </w:tcBorders>
            <w:vAlign w:val="center"/>
            <w:hideMark/>
          </w:tcPr>
          <w:p w14:paraId="7226D82A" w14:textId="77777777"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Caesarean section</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vAlign w:val="center"/>
            <w:hideMark/>
          </w:tcPr>
          <w:p w14:paraId="573FC615" w14:textId="77777777" w:rsidR="00BD0086" w:rsidRDefault="00BD0086" w:rsidP="001048CC">
            <w:pPr>
              <w:rPr>
                <w:rFonts w:ascii="Arial Narrow" w:eastAsia="Times New Roman" w:hAnsi="Arial Narrow"/>
                <w:sz w:val="16"/>
                <w:szCs w:val="16"/>
              </w:rPr>
            </w:pPr>
            <w:r>
              <w:rPr>
                <w:rFonts w:ascii="Arial Narrow" w:eastAsia="Times New Roman" w:hAnsi="Arial Narrow"/>
                <w:sz w:val="16"/>
                <w:szCs w:val="16"/>
              </w:rPr>
              <w:t xml:space="preserve">320 per 1,000 </w:t>
            </w:r>
          </w:p>
        </w:tc>
        <w:tc>
          <w:tcPr>
            <w:tcW w:w="1000" w:type="pct"/>
            <w:tcBorders>
              <w:top w:val="single" w:sz="6" w:space="0" w:color="000000"/>
              <w:left w:val="nil"/>
              <w:bottom w:val="single" w:sz="6" w:space="0" w:color="000000"/>
              <w:right w:val="nil"/>
            </w:tcBorders>
            <w:shd w:val="clear" w:color="auto" w:fill="EBEBEB"/>
            <w:hideMark/>
          </w:tcPr>
          <w:p w14:paraId="449EF32A"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b/>
                <w:bCs/>
                <w:szCs w:val="18"/>
              </w:rPr>
              <w:t>272 per 1,000</w:t>
            </w:r>
            <w:r>
              <w:rPr>
                <w:rFonts w:ascii="Arial Narrow" w:eastAsia="Times New Roman" w:hAnsi="Arial Narrow"/>
                <w:szCs w:val="18"/>
              </w:rPr>
              <w:br/>
            </w:r>
            <w:r>
              <w:rPr>
                <w:rStyle w:val="cell-value"/>
                <w:rFonts w:ascii="Arial Narrow" w:eastAsia="Times New Roman" w:hAnsi="Arial Narrow"/>
                <w:szCs w:val="18"/>
              </w:rPr>
              <w:t>(205 to 355)</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20E35C70" w14:textId="77777777" w:rsidR="00BD0086" w:rsidRDefault="00BD0086"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0.85</w:t>
            </w:r>
            <w:r>
              <w:rPr>
                <w:rFonts w:ascii="Arial Narrow" w:eastAsia="Times New Roman" w:hAnsi="Arial Narrow"/>
                <w:sz w:val="16"/>
                <w:szCs w:val="16"/>
              </w:rPr>
              <w:br/>
            </w:r>
            <w:r>
              <w:rPr>
                <w:rStyle w:val="cell"/>
                <w:rFonts w:ascii="Arial Narrow" w:hAnsi="Arial Narrow"/>
                <w:sz w:val="16"/>
                <w:szCs w:val="16"/>
              </w:rPr>
              <w:t>(0.64 to 1.11)</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4D5E07C8" w14:textId="50EE2331" w:rsidR="00BD0086" w:rsidRDefault="00BD0086" w:rsidP="001048CC">
            <w:pPr>
              <w:jc w:val="center"/>
              <w:rPr>
                <w:rFonts w:ascii="Arial Narrow" w:eastAsia="Times New Roman" w:hAnsi="Arial Narrow"/>
                <w:sz w:val="16"/>
                <w:szCs w:val="16"/>
              </w:rPr>
            </w:pPr>
            <w:r>
              <w:rPr>
                <w:rFonts w:ascii="Arial Narrow" w:eastAsia="Times New Roman" w:hAnsi="Arial Narrow"/>
                <w:sz w:val="16"/>
                <w:szCs w:val="16"/>
              </w:rPr>
              <w:t>1</w:t>
            </w:r>
            <w:r w:rsidR="003718D1">
              <w:rPr>
                <w:rFonts w:ascii="Arial Narrow" w:eastAsia="Times New Roman" w:hAnsi="Arial Narrow"/>
                <w:sz w:val="16"/>
                <w:szCs w:val="16"/>
              </w:rPr>
              <w:t>,</w:t>
            </w:r>
            <w:r>
              <w:rPr>
                <w:rFonts w:ascii="Arial Narrow" w:eastAsia="Times New Roman" w:hAnsi="Arial Narrow"/>
                <w:sz w:val="16"/>
                <w:szCs w:val="16"/>
              </w:rPr>
              <w:t>461</w:t>
            </w:r>
            <w:r>
              <w:rPr>
                <w:rFonts w:ascii="Arial Narrow" w:eastAsia="Times New Roman" w:hAnsi="Arial Narrow"/>
                <w:sz w:val="16"/>
                <w:szCs w:val="16"/>
              </w:rPr>
              <w:br/>
              <w:t xml:space="preserve">(6 RCTs) </w:t>
            </w:r>
          </w:p>
        </w:tc>
        <w:tc>
          <w:tcPr>
            <w:tcW w:w="809" w:type="pct"/>
            <w:tcBorders>
              <w:top w:val="single" w:sz="6" w:space="0" w:color="000000"/>
              <w:left w:val="nil"/>
              <w:bottom w:val="single" w:sz="6" w:space="0" w:color="000000"/>
              <w:right w:val="nil"/>
            </w:tcBorders>
            <w:vAlign w:val="center"/>
            <w:hideMark/>
          </w:tcPr>
          <w:p w14:paraId="2B5D6E5B" w14:textId="7F9A0C15"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p>
        </w:tc>
      </w:tr>
      <w:tr w:rsidR="00BD0086" w14:paraId="4D1394AD" w14:textId="77777777" w:rsidTr="00C33DBF">
        <w:trPr>
          <w:cantSplit/>
        </w:trPr>
        <w:tc>
          <w:tcPr>
            <w:tcW w:w="785" w:type="pct"/>
            <w:tcBorders>
              <w:top w:val="single" w:sz="6" w:space="0" w:color="000000"/>
              <w:left w:val="nil"/>
              <w:bottom w:val="single" w:sz="6" w:space="0" w:color="000000"/>
              <w:right w:val="nil"/>
            </w:tcBorders>
            <w:vAlign w:val="center"/>
            <w:hideMark/>
          </w:tcPr>
          <w:p w14:paraId="78CDC9FC" w14:textId="52F0777D" w:rsidR="00BD0086" w:rsidRDefault="00BD0086" w:rsidP="001048CC">
            <w:pPr>
              <w:jc w:val="center"/>
              <w:rPr>
                <w:rFonts w:ascii="Arial Narrow" w:eastAsia="Times New Roman" w:hAnsi="Arial Narrow"/>
                <w:sz w:val="16"/>
                <w:szCs w:val="16"/>
              </w:rPr>
            </w:pPr>
            <w:r>
              <w:rPr>
                <w:rStyle w:val="label"/>
                <w:rFonts w:ascii="Arial Narrow" w:eastAsia="Times New Roman" w:hAnsi="Arial Narrow"/>
                <w:szCs w:val="18"/>
              </w:rPr>
              <w:t>Postnatal weight retention</w:t>
            </w:r>
            <w:r>
              <w:rPr>
                <w:rFonts w:ascii="Arial Narrow" w:eastAsia="Times New Roman" w:hAnsi="Arial Narrow"/>
                <w:sz w:val="16"/>
                <w:szCs w:val="16"/>
              </w:rPr>
              <w:t xml:space="preserve"> </w:t>
            </w:r>
          </w:p>
        </w:tc>
        <w:tc>
          <w:tcPr>
            <w:tcW w:w="795" w:type="pct"/>
            <w:tcBorders>
              <w:top w:val="single" w:sz="6" w:space="0" w:color="000000"/>
              <w:left w:val="nil"/>
              <w:bottom w:val="single" w:sz="6" w:space="0" w:color="000000"/>
              <w:right w:val="nil"/>
            </w:tcBorders>
            <w:shd w:val="clear" w:color="auto" w:fill="EBEBEB"/>
            <w:vAlign w:val="center"/>
            <w:hideMark/>
          </w:tcPr>
          <w:p w14:paraId="09CAC4B5" w14:textId="77777777" w:rsidR="00BD0086" w:rsidRDefault="00BD0086" w:rsidP="001048C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postpartum weight retention was </w:t>
            </w:r>
            <w:r>
              <w:rPr>
                <w:rStyle w:val="cell-value"/>
                <w:rFonts w:ascii="Arial Narrow" w:eastAsia="Times New Roman" w:hAnsi="Arial Narrow"/>
                <w:b/>
                <w:bCs/>
                <w:sz w:val="16"/>
                <w:szCs w:val="16"/>
              </w:rPr>
              <w:t>0</w:t>
            </w:r>
            <w:r>
              <w:rPr>
                <w:rFonts w:ascii="Arial Narrow" w:eastAsia="Times New Roman" w:hAnsi="Arial Narrow"/>
                <w:sz w:val="16"/>
                <w:szCs w:val="16"/>
              </w:rPr>
              <w:t xml:space="preserve"> </w:t>
            </w:r>
          </w:p>
        </w:tc>
        <w:tc>
          <w:tcPr>
            <w:tcW w:w="1000" w:type="pct"/>
            <w:tcBorders>
              <w:top w:val="single" w:sz="6" w:space="0" w:color="000000"/>
              <w:left w:val="nil"/>
              <w:bottom w:val="single" w:sz="6" w:space="0" w:color="000000"/>
              <w:right w:val="nil"/>
            </w:tcBorders>
            <w:shd w:val="clear" w:color="auto" w:fill="EBEBEB"/>
            <w:hideMark/>
          </w:tcPr>
          <w:p w14:paraId="42E9067B" w14:textId="690FE739" w:rsidR="00BD0086" w:rsidRDefault="00BD0086" w:rsidP="002F19ED">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MD </w:t>
            </w:r>
            <w:r>
              <w:rPr>
                <w:rStyle w:val="cell-value"/>
                <w:rFonts w:ascii="Arial Narrow" w:eastAsia="Times New Roman" w:hAnsi="Arial Narrow"/>
                <w:b/>
                <w:bCs/>
                <w:sz w:val="16"/>
                <w:szCs w:val="16"/>
              </w:rPr>
              <w:t>0.</w:t>
            </w:r>
            <w:r w:rsidR="002F19ED">
              <w:rPr>
                <w:rStyle w:val="cell-value"/>
                <w:rFonts w:ascii="Arial Narrow" w:eastAsia="Times New Roman" w:hAnsi="Arial Narrow"/>
                <w:b/>
                <w:bCs/>
                <w:sz w:val="16"/>
                <w:szCs w:val="16"/>
              </w:rPr>
              <w:t>22</w:t>
            </w:r>
            <w:r>
              <w:rPr>
                <w:rStyle w:val="cell-value"/>
                <w:rFonts w:ascii="Arial Narrow" w:eastAsia="Times New Roman" w:hAnsi="Arial Narrow"/>
                <w:b/>
                <w:bCs/>
                <w:sz w:val="16"/>
                <w:szCs w:val="16"/>
              </w:rPr>
              <w:t xml:space="preserve"> lower</w:t>
            </w:r>
            <w:r>
              <w:rPr>
                <w:rFonts w:ascii="Arial Narrow" w:eastAsia="Times New Roman" w:hAnsi="Arial Narrow"/>
                <w:sz w:val="16"/>
                <w:szCs w:val="16"/>
              </w:rPr>
              <w:br/>
            </w:r>
            <w:r>
              <w:rPr>
                <w:rStyle w:val="cell-value"/>
                <w:rFonts w:ascii="Arial Narrow" w:eastAsia="Times New Roman" w:hAnsi="Arial Narrow"/>
                <w:sz w:val="16"/>
                <w:szCs w:val="16"/>
              </w:rPr>
              <w:t>(</w:t>
            </w:r>
            <w:r w:rsidR="002F19ED">
              <w:rPr>
                <w:rStyle w:val="cell-value"/>
                <w:rFonts w:ascii="Arial Narrow" w:eastAsia="Times New Roman" w:hAnsi="Arial Narrow"/>
                <w:sz w:val="16"/>
                <w:szCs w:val="16"/>
              </w:rPr>
              <w:t>1.17 lower to 0.7</w:t>
            </w:r>
            <w:r>
              <w:rPr>
                <w:rStyle w:val="cell-value"/>
                <w:rFonts w:ascii="Arial Narrow" w:eastAsia="Times New Roman" w:hAnsi="Arial Narrow"/>
                <w:sz w:val="16"/>
                <w:szCs w:val="16"/>
              </w:rPr>
              <w:t>2 higher)</w:t>
            </w:r>
            <w:r>
              <w:rPr>
                <w:rFonts w:ascii="Arial Narrow" w:eastAsia="Times New Roman" w:hAnsi="Arial Narrow"/>
                <w:sz w:val="16"/>
                <w:szCs w:val="16"/>
              </w:rPr>
              <w:t xml:space="preserve"> </w:t>
            </w:r>
          </w:p>
        </w:tc>
        <w:tc>
          <w:tcPr>
            <w:tcW w:w="845" w:type="pct"/>
            <w:tcBorders>
              <w:top w:val="single" w:sz="6" w:space="0" w:color="000000"/>
              <w:left w:val="nil"/>
              <w:bottom w:val="single" w:sz="6" w:space="0" w:color="000000"/>
              <w:right w:val="nil"/>
            </w:tcBorders>
            <w:vAlign w:val="center"/>
            <w:hideMark/>
          </w:tcPr>
          <w:p w14:paraId="00AA7567" w14:textId="77777777" w:rsidR="00BD0086" w:rsidRDefault="00BD0086" w:rsidP="001048CC">
            <w:pPr>
              <w:jc w:val="center"/>
              <w:rPr>
                <w:rFonts w:ascii="Arial Narrow" w:eastAsia="Times New Roman" w:hAnsi="Arial Narrow"/>
                <w:sz w:val="16"/>
                <w:szCs w:val="16"/>
              </w:rPr>
            </w:pPr>
            <w:r>
              <w:rPr>
                <w:rStyle w:val="cell"/>
                <w:rFonts w:ascii="Arial Narrow" w:hAnsi="Arial Narrow"/>
                <w:sz w:val="16"/>
                <w:szCs w:val="16"/>
              </w:rPr>
              <w:t>-</w:t>
            </w:r>
            <w:r>
              <w:rPr>
                <w:rFonts w:ascii="Arial Narrow" w:eastAsia="Times New Roman" w:hAnsi="Arial Narrow"/>
                <w:sz w:val="16"/>
                <w:szCs w:val="16"/>
              </w:rPr>
              <w:t xml:space="preserve"> </w:t>
            </w:r>
          </w:p>
        </w:tc>
        <w:tc>
          <w:tcPr>
            <w:tcW w:w="766" w:type="pct"/>
            <w:tcBorders>
              <w:top w:val="single" w:sz="6" w:space="0" w:color="000000"/>
              <w:left w:val="nil"/>
              <w:bottom w:val="single" w:sz="6" w:space="0" w:color="000000"/>
              <w:right w:val="nil"/>
            </w:tcBorders>
            <w:vAlign w:val="center"/>
            <w:hideMark/>
          </w:tcPr>
          <w:p w14:paraId="2666A64B" w14:textId="5FE3D728" w:rsidR="00BD0086" w:rsidRDefault="002F19ED" w:rsidP="001048CC">
            <w:pPr>
              <w:jc w:val="center"/>
              <w:rPr>
                <w:rFonts w:ascii="Arial Narrow" w:eastAsia="Times New Roman" w:hAnsi="Arial Narrow"/>
                <w:sz w:val="16"/>
                <w:szCs w:val="16"/>
              </w:rPr>
            </w:pPr>
            <w:r>
              <w:rPr>
                <w:rFonts w:ascii="Arial Narrow" w:eastAsia="Times New Roman" w:hAnsi="Arial Narrow"/>
                <w:sz w:val="16"/>
                <w:szCs w:val="16"/>
              </w:rPr>
              <w:t>556</w:t>
            </w:r>
            <w:r w:rsidR="00BD0086">
              <w:rPr>
                <w:rFonts w:ascii="Arial Narrow" w:eastAsia="Times New Roman" w:hAnsi="Arial Narrow"/>
                <w:sz w:val="16"/>
                <w:szCs w:val="16"/>
              </w:rPr>
              <w:br/>
              <w:t xml:space="preserve">(2 RCTs) </w:t>
            </w:r>
          </w:p>
        </w:tc>
        <w:tc>
          <w:tcPr>
            <w:tcW w:w="809" w:type="pct"/>
            <w:tcBorders>
              <w:top w:val="single" w:sz="6" w:space="0" w:color="000000"/>
              <w:left w:val="nil"/>
              <w:bottom w:val="single" w:sz="6" w:space="0" w:color="000000"/>
              <w:right w:val="nil"/>
            </w:tcBorders>
            <w:vAlign w:val="center"/>
            <w:hideMark/>
          </w:tcPr>
          <w:p w14:paraId="4B0655BA" w14:textId="32CAEBF9" w:rsidR="00BD0086" w:rsidRDefault="00BD0086"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d</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e</w:t>
            </w:r>
          </w:p>
        </w:tc>
      </w:tr>
      <w:tr w:rsidR="00BD0086" w14:paraId="2086199E" w14:textId="77777777" w:rsidTr="001048CC">
        <w:trPr>
          <w:cantSplit/>
        </w:trPr>
        <w:tc>
          <w:tcPr>
            <w:tcW w:w="5000" w:type="pct"/>
            <w:gridSpan w:val="6"/>
            <w:tcBorders>
              <w:top w:val="single" w:sz="6" w:space="0" w:color="000000"/>
              <w:left w:val="nil"/>
              <w:bottom w:val="single" w:sz="6" w:space="0" w:color="000000"/>
              <w:right w:val="nil"/>
            </w:tcBorders>
            <w:vAlign w:val="center"/>
            <w:hideMark/>
          </w:tcPr>
          <w:p w14:paraId="033B99C0" w14:textId="28E3A886" w:rsidR="00BD0086" w:rsidRDefault="00BD0086" w:rsidP="001048CC">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BD0086" w14:paraId="10AB80CD" w14:textId="77777777" w:rsidTr="001048CC">
        <w:trPr>
          <w:cantSplit/>
        </w:trPr>
        <w:tc>
          <w:tcPr>
            <w:tcW w:w="5000" w:type="pct"/>
            <w:gridSpan w:val="6"/>
            <w:tcBorders>
              <w:top w:val="single" w:sz="6" w:space="0" w:color="000000"/>
              <w:left w:val="nil"/>
              <w:bottom w:val="single" w:sz="6" w:space="0" w:color="000000"/>
              <w:right w:val="nil"/>
            </w:tcBorders>
            <w:vAlign w:val="center"/>
            <w:hideMark/>
          </w:tcPr>
          <w:p w14:paraId="53918516" w14:textId="77777777" w:rsidR="00BD0086" w:rsidRDefault="00BD0086" w:rsidP="00BD0086">
            <w:pPr>
              <w:spacing w:before="0" w:after="0" w:line="240" w:lineRule="auto"/>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1FB01E93" w14:textId="7445281B" w:rsidR="00BD0086" w:rsidRDefault="00BD0086" w:rsidP="00BD0086">
      <w:pPr>
        <w:spacing w:before="0" w:after="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High or unclear risk of performance bias in all studies </w:t>
      </w:r>
    </w:p>
    <w:p w14:paraId="4291A0BA" w14:textId="1C20943D" w:rsidR="00BD0086" w:rsidRDefault="00BD0086" w:rsidP="00BD0086">
      <w:pPr>
        <w:spacing w:before="0" w:after="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b. Considerable heterogeneity</w:t>
      </w:r>
    </w:p>
    <w:p w14:paraId="67CFE9AB" w14:textId="77777777" w:rsidR="00BD0086" w:rsidRDefault="00BD0086" w:rsidP="00BD0086">
      <w:pPr>
        <w:spacing w:before="0" w:after="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Confidence interval crosses line of no effect </w:t>
      </w:r>
    </w:p>
    <w:p w14:paraId="2E4426C1" w14:textId="77777777" w:rsidR="00BD0086" w:rsidRDefault="00BD0086" w:rsidP="00BD0086">
      <w:pPr>
        <w:spacing w:before="0" w:after="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d. Substantial heterogeneity </w:t>
      </w:r>
    </w:p>
    <w:p w14:paraId="078F8798" w14:textId="77777777" w:rsidR="00BD0086" w:rsidRDefault="00BD0086" w:rsidP="00BD0086">
      <w:pPr>
        <w:spacing w:before="0" w:after="0"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e. Weight measured at different time points </w:t>
      </w:r>
    </w:p>
    <w:tbl>
      <w:tblPr>
        <w:tblW w:w="5000" w:type="pct"/>
        <w:tblCellMar>
          <w:top w:w="100" w:type="dxa"/>
          <w:left w:w="100" w:type="dxa"/>
          <w:bottom w:w="100" w:type="dxa"/>
          <w:right w:w="100" w:type="dxa"/>
        </w:tblCellMar>
        <w:tblLook w:val="04A0" w:firstRow="1" w:lastRow="0" w:firstColumn="1" w:lastColumn="0" w:noHBand="0" w:noVBand="1"/>
      </w:tblPr>
      <w:tblGrid>
        <w:gridCol w:w="1281"/>
        <w:gridCol w:w="1648"/>
        <w:gridCol w:w="1847"/>
        <w:gridCol w:w="1560"/>
        <w:gridCol w:w="1560"/>
        <w:gridCol w:w="1369"/>
      </w:tblGrid>
      <w:tr w:rsidR="009750ED" w:rsidRPr="00C33DBF" w14:paraId="4A2E301C" w14:textId="77777777" w:rsidTr="00C33DBF">
        <w:trPr>
          <w:cantSplit/>
          <w:tblHeader/>
        </w:trPr>
        <w:tc>
          <w:tcPr>
            <w:tcW w:w="5000" w:type="pct"/>
            <w:gridSpan w:val="6"/>
            <w:tcBorders>
              <w:top w:val="single" w:sz="12" w:space="0" w:color="000000"/>
              <w:left w:val="nil"/>
              <w:bottom w:val="single" w:sz="12" w:space="0" w:color="000000"/>
              <w:right w:val="nil"/>
            </w:tcBorders>
            <w:vAlign w:val="center"/>
            <w:hideMark/>
          </w:tcPr>
          <w:p w14:paraId="6264A581" w14:textId="08FAC1A4" w:rsidR="009750ED" w:rsidRPr="00C33DBF" w:rsidRDefault="00C33DBF" w:rsidP="00C33DBF">
            <w:pPr>
              <w:pStyle w:val="Heading5"/>
            </w:pPr>
            <w:r>
              <w:t xml:space="preserve">Dietary intervention </w:t>
            </w:r>
            <w:r w:rsidR="009750ED" w:rsidRPr="00C33DBF">
              <w:t xml:space="preserve">compared to </w:t>
            </w:r>
            <w:r>
              <w:t>usual</w:t>
            </w:r>
            <w:r w:rsidR="009750ED" w:rsidRPr="00C33DBF">
              <w:t xml:space="preserve"> care in pregnan</w:t>
            </w:r>
            <w:r>
              <w:t>cy — infant outcomes</w:t>
            </w:r>
          </w:p>
        </w:tc>
      </w:tr>
      <w:tr w:rsidR="009750ED" w14:paraId="192ABB29" w14:textId="77777777" w:rsidTr="00C33DBF">
        <w:trPr>
          <w:cantSplit/>
          <w:tblHeader/>
        </w:trPr>
        <w:tc>
          <w:tcPr>
            <w:tcW w:w="5000" w:type="pct"/>
            <w:gridSpan w:val="6"/>
            <w:tcBorders>
              <w:top w:val="single" w:sz="12" w:space="0" w:color="000000"/>
              <w:left w:val="nil"/>
              <w:bottom w:val="single" w:sz="12" w:space="0" w:color="000000"/>
              <w:right w:val="nil"/>
            </w:tcBorders>
            <w:vAlign w:val="center"/>
            <w:hideMark/>
          </w:tcPr>
          <w:p w14:paraId="68F891BD" w14:textId="77777777" w:rsidR="009750ED" w:rsidRDefault="009750ED" w:rsidP="001048CC">
            <w:pPr>
              <w:rPr>
                <w:rFonts w:ascii="Arial Narrow" w:eastAsia="Times New Roman" w:hAnsi="Arial Narrow"/>
                <w:sz w:val="16"/>
                <w:szCs w:val="16"/>
              </w:rPr>
            </w:pPr>
            <w:r>
              <w:rPr>
                <w:rFonts w:ascii="Arial Narrow" w:eastAsia="Times New Roman" w:hAnsi="Arial Narrow"/>
                <w:b/>
                <w:bCs/>
                <w:sz w:val="16"/>
                <w:szCs w:val="16"/>
              </w:rPr>
              <w:t>Patient or population</w:t>
            </w:r>
            <w:r>
              <w:rPr>
                <w:rFonts w:ascii="Arial Narrow" w:eastAsia="Times New Roman" w:hAnsi="Arial Narrow"/>
                <w:sz w:val="16"/>
                <w:szCs w:val="16"/>
              </w:rPr>
              <w:t xml:space="preserve">: pregnant women </w:t>
            </w:r>
          </w:p>
          <w:p w14:paraId="22FBEB42" w14:textId="77777777" w:rsidR="009750ED" w:rsidRDefault="009750ED" w:rsidP="001048CC">
            <w:pPr>
              <w:rPr>
                <w:rFonts w:ascii="Arial Narrow" w:eastAsia="Times New Roman" w:hAnsi="Arial Narrow"/>
                <w:sz w:val="16"/>
                <w:szCs w:val="16"/>
              </w:rPr>
            </w:pPr>
            <w:r>
              <w:rPr>
                <w:rFonts w:ascii="Arial Narrow" w:eastAsia="Times New Roman" w:hAnsi="Arial Narrow"/>
                <w:b/>
                <w:bCs/>
                <w:sz w:val="16"/>
                <w:szCs w:val="16"/>
              </w:rPr>
              <w:t>Setting</w:t>
            </w:r>
            <w:r>
              <w:rPr>
                <w:rFonts w:ascii="Arial Narrow" w:eastAsia="Times New Roman" w:hAnsi="Arial Narrow"/>
                <w:sz w:val="16"/>
                <w:szCs w:val="16"/>
              </w:rPr>
              <w:t xml:space="preserve">: Austria, Belgium, Denmark, Egypt, Finland, Ireland, Italy, Netherlands, Poland, Spain, United Kingdom, United States </w:t>
            </w:r>
          </w:p>
          <w:p w14:paraId="357D1686" w14:textId="2F3F9F34" w:rsidR="009750ED" w:rsidRDefault="009750ED" w:rsidP="001048CC">
            <w:pPr>
              <w:rPr>
                <w:rFonts w:ascii="Arial Narrow" w:eastAsia="Times New Roman" w:hAnsi="Arial Narrow"/>
                <w:sz w:val="16"/>
                <w:szCs w:val="16"/>
              </w:rPr>
            </w:pPr>
            <w:r>
              <w:rPr>
                <w:rFonts w:ascii="Arial Narrow" w:eastAsia="Times New Roman" w:hAnsi="Arial Narrow"/>
                <w:b/>
                <w:bCs/>
                <w:sz w:val="16"/>
                <w:szCs w:val="16"/>
              </w:rPr>
              <w:t>Intervention</w:t>
            </w:r>
            <w:r>
              <w:rPr>
                <w:rFonts w:ascii="Arial Narrow" w:eastAsia="Times New Roman" w:hAnsi="Arial Narrow"/>
                <w:sz w:val="16"/>
                <w:szCs w:val="16"/>
              </w:rPr>
              <w:t>: Diet</w:t>
            </w:r>
            <w:r w:rsidR="00C33DBF">
              <w:rPr>
                <w:rFonts w:ascii="Arial Narrow" w:eastAsia="Times New Roman" w:hAnsi="Arial Narrow"/>
                <w:sz w:val="16"/>
                <w:szCs w:val="16"/>
              </w:rPr>
              <w:t>ary intervention</w:t>
            </w:r>
          </w:p>
          <w:p w14:paraId="1AD5DA77" w14:textId="330F915A" w:rsidR="009750ED" w:rsidRDefault="009750ED" w:rsidP="00C33DBF">
            <w:pPr>
              <w:rPr>
                <w:rFonts w:ascii="Arial Narrow" w:eastAsia="Times New Roman" w:hAnsi="Arial Narrow"/>
                <w:sz w:val="16"/>
                <w:szCs w:val="16"/>
              </w:rPr>
            </w:pPr>
            <w:r>
              <w:rPr>
                <w:rFonts w:ascii="Arial Narrow" w:eastAsia="Times New Roman" w:hAnsi="Arial Narrow"/>
                <w:b/>
                <w:bCs/>
                <w:sz w:val="16"/>
                <w:szCs w:val="16"/>
              </w:rPr>
              <w:t>Comparison</w:t>
            </w:r>
            <w:r>
              <w:rPr>
                <w:rFonts w:ascii="Arial Narrow" w:eastAsia="Times New Roman" w:hAnsi="Arial Narrow"/>
                <w:sz w:val="16"/>
                <w:szCs w:val="16"/>
              </w:rPr>
              <w:t xml:space="preserve">: </w:t>
            </w:r>
            <w:r w:rsidR="00C33DBF">
              <w:rPr>
                <w:rFonts w:ascii="Arial Narrow" w:eastAsia="Times New Roman" w:hAnsi="Arial Narrow"/>
                <w:sz w:val="16"/>
                <w:szCs w:val="16"/>
              </w:rPr>
              <w:t>Usual</w:t>
            </w:r>
            <w:r>
              <w:rPr>
                <w:rFonts w:ascii="Arial Narrow" w:eastAsia="Times New Roman" w:hAnsi="Arial Narrow"/>
                <w:sz w:val="16"/>
                <w:szCs w:val="16"/>
              </w:rPr>
              <w:t xml:space="preserve"> care </w:t>
            </w:r>
          </w:p>
        </w:tc>
      </w:tr>
      <w:tr w:rsidR="001048CC" w14:paraId="7737D4D8" w14:textId="77777777" w:rsidTr="00C33DBF">
        <w:trPr>
          <w:cantSplit/>
          <w:tblHeader/>
        </w:trPr>
        <w:tc>
          <w:tcPr>
            <w:tcW w:w="691" w:type="pct"/>
            <w:vMerge w:val="restart"/>
            <w:tcBorders>
              <w:right w:val="single" w:sz="6" w:space="0" w:color="EFEFEF"/>
            </w:tcBorders>
            <w:shd w:val="clear" w:color="auto" w:fill="3271AA"/>
            <w:vAlign w:val="center"/>
            <w:hideMark/>
          </w:tcPr>
          <w:p w14:paraId="175AC2A7" w14:textId="77777777" w:rsidR="009750ED" w:rsidRDefault="009750ED" w:rsidP="001048CC">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1886" w:type="pct"/>
            <w:gridSpan w:val="2"/>
            <w:tcBorders>
              <w:top w:val="single" w:sz="6" w:space="0" w:color="EFEFEF"/>
              <w:right w:val="single" w:sz="6" w:space="0" w:color="EFEFEF"/>
            </w:tcBorders>
            <w:shd w:val="clear" w:color="auto" w:fill="E0E0E0"/>
            <w:hideMark/>
          </w:tcPr>
          <w:p w14:paraId="0FEA4156" w14:textId="77777777" w:rsidR="009750ED" w:rsidRDefault="009750ED" w:rsidP="001048CC">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842" w:type="pct"/>
            <w:vMerge w:val="restart"/>
            <w:tcBorders>
              <w:right w:val="single" w:sz="6" w:space="0" w:color="EFEFEF"/>
            </w:tcBorders>
            <w:shd w:val="clear" w:color="auto" w:fill="3271AA"/>
            <w:vAlign w:val="center"/>
            <w:hideMark/>
          </w:tcPr>
          <w:p w14:paraId="28D92A5B" w14:textId="77777777" w:rsidR="009750ED" w:rsidRDefault="009750ED" w:rsidP="001048C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842" w:type="pct"/>
            <w:vMerge w:val="restart"/>
            <w:tcBorders>
              <w:right w:val="single" w:sz="6" w:space="0" w:color="EFEFEF"/>
            </w:tcBorders>
            <w:shd w:val="clear" w:color="auto" w:fill="3271AA"/>
            <w:vAlign w:val="center"/>
            <w:hideMark/>
          </w:tcPr>
          <w:p w14:paraId="2E3A9BAF" w14:textId="77777777" w:rsidR="009750ED" w:rsidRDefault="009750ED" w:rsidP="001048C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739" w:type="pct"/>
            <w:vMerge w:val="restart"/>
            <w:tcBorders>
              <w:right w:val="single" w:sz="6" w:space="0" w:color="EFEFEF"/>
            </w:tcBorders>
            <w:shd w:val="clear" w:color="auto" w:fill="3271AA"/>
            <w:vAlign w:val="center"/>
            <w:hideMark/>
          </w:tcPr>
          <w:p w14:paraId="19734C03" w14:textId="77777777" w:rsidR="009750ED" w:rsidRDefault="009750ED" w:rsidP="001048CC">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1048CC" w14:paraId="73CB3959" w14:textId="77777777" w:rsidTr="00C33DBF">
        <w:trPr>
          <w:cantSplit/>
          <w:tblHeader/>
        </w:trPr>
        <w:tc>
          <w:tcPr>
            <w:tcW w:w="691" w:type="pct"/>
            <w:vMerge/>
            <w:tcBorders>
              <w:right w:val="single" w:sz="6" w:space="0" w:color="EFEFEF"/>
            </w:tcBorders>
            <w:vAlign w:val="center"/>
            <w:hideMark/>
          </w:tcPr>
          <w:p w14:paraId="33ED66CB" w14:textId="77777777" w:rsidR="009750ED" w:rsidRDefault="009750ED" w:rsidP="001048CC">
            <w:pPr>
              <w:rPr>
                <w:rFonts w:ascii="Arial Narrow" w:eastAsiaTheme="minorEastAsia" w:hAnsi="Arial Narrow"/>
                <w:color w:val="FFFFFF"/>
                <w:sz w:val="16"/>
                <w:szCs w:val="16"/>
              </w:rPr>
            </w:pPr>
          </w:p>
        </w:tc>
        <w:tc>
          <w:tcPr>
            <w:tcW w:w="889" w:type="pct"/>
            <w:tcBorders>
              <w:top w:val="single" w:sz="6" w:space="0" w:color="EFEFEF"/>
              <w:right w:val="single" w:sz="6" w:space="0" w:color="EFEFEF"/>
            </w:tcBorders>
            <w:shd w:val="clear" w:color="auto" w:fill="E0E0E0"/>
            <w:hideMark/>
          </w:tcPr>
          <w:p w14:paraId="358D4B32" w14:textId="77777777" w:rsidR="009750ED" w:rsidRDefault="009750ED" w:rsidP="001048C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standard care</w:t>
            </w:r>
          </w:p>
        </w:tc>
        <w:tc>
          <w:tcPr>
            <w:tcW w:w="997" w:type="pct"/>
            <w:tcBorders>
              <w:top w:val="single" w:sz="6" w:space="0" w:color="EFEFEF"/>
              <w:right w:val="single" w:sz="6" w:space="0" w:color="EFEFEF"/>
            </w:tcBorders>
            <w:shd w:val="clear" w:color="auto" w:fill="E0E0E0"/>
            <w:hideMark/>
          </w:tcPr>
          <w:p w14:paraId="088A81A7" w14:textId="77777777" w:rsidR="009750ED" w:rsidRDefault="009750ED" w:rsidP="001048CC">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Diet</w:t>
            </w:r>
          </w:p>
        </w:tc>
        <w:tc>
          <w:tcPr>
            <w:tcW w:w="842" w:type="pct"/>
            <w:vMerge/>
            <w:tcBorders>
              <w:right w:val="single" w:sz="6" w:space="0" w:color="EFEFEF"/>
            </w:tcBorders>
            <w:vAlign w:val="center"/>
            <w:hideMark/>
          </w:tcPr>
          <w:p w14:paraId="449C97E5" w14:textId="77777777" w:rsidR="009750ED" w:rsidRDefault="009750ED" w:rsidP="001048CC">
            <w:pPr>
              <w:rPr>
                <w:rFonts w:ascii="Arial Narrow" w:eastAsiaTheme="minorEastAsia" w:hAnsi="Arial Narrow"/>
                <w:color w:val="FFFFFF"/>
                <w:sz w:val="16"/>
                <w:szCs w:val="16"/>
              </w:rPr>
            </w:pPr>
          </w:p>
        </w:tc>
        <w:tc>
          <w:tcPr>
            <w:tcW w:w="842" w:type="pct"/>
            <w:vMerge/>
            <w:tcBorders>
              <w:right w:val="single" w:sz="6" w:space="0" w:color="EFEFEF"/>
            </w:tcBorders>
            <w:vAlign w:val="center"/>
            <w:hideMark/>
          </w:tcPr>
          <w:p w14:paraId="467BF6D2" w14:textId="77777777" w:rsidR="009750ED" w:rsidRDefault="009750ED" w:rsidP="001048CC">
            <w:pPr>
              <w:rPr>
                <w:rFonts w:ascii="Arial Narrow" w:eastAsiaTheme="minorEastAsia" w:hAnsi="Arial Narrow"/>
                <w:color w:val="FFFFFF"/>
                <w:sz w:val="16"/>
                <w:szCs w:val="16"/>
              </w:rPr>
            </w:pPr>
          </w:p>
        </w:tc>
        <w:tc>
          <w:tcPr>
            <w:tcW w:w="739" w:type="pct"/>
            <w:vMerge/>
            <w:tcBorders>
              <w:right w:val="single" w:sz="6" w:space="0" w:color="EFEFEF"/>
            </w:tcBorders>
            <w:vAlign w:val="center"/>
            <w:hideMark/>
          </w:tcPr>
          <w:p w14:paraId="1CB8ACD5" w14:textId="77777777" w:rsidR="009750ED" w:rsidRDefault="009750ED" w:rsidP="001048CC">
            <w:pPr>
              <w:rPr>
                <w:rFonts w:ascii="Arial Narrow" w:eastAsiaTheme="minorEastAsia" w:hAnsi="Arial Narrow"/>
                <w:color w:val="FFFFFF"/>
                <w:sz w:val="16"/>
                <w:szCs w:val="16"/>
              </w:rPr>
            </w:pPr>
          </w:p>
        </w:tc>
      </w:tr>
      <w:tr w:rsidR="001048CC" w14:paraId="13FB8EE0" w14:textId="77777777" w:rsidTr="00C33DBF">
        <w:trPr>
          <w:cantSplit/>
        </w:trPr>
        <w:tc>
          <w:tcPr>
            <w:tcW w:w="691" w:type="pct"/>
            <w:tcBorders>
              <w:top w:val="single" w:sz="6" w:space="0" w:color="000000"/>
              <w:left w:val="nil"/>
              <w:bottom w:val="single" w:sz="6" w:space="0" w:color="000000"/>
              <w:right w:val="nil"/>
            </w:tcBorders>
            <w:vAlign w:val="center"/>
            <w:hideMark/>
          </w:tcPr>
          <w:p w14:paraId="56640098" w14:textId="77777777" w:rsidR="009750ED" w:rsidRDefault="009750ED" w:rsidP="001048CC">
            <w:pPr>
              <w:jc w:val="center"/>
              <w:rPr>
                <w:rFonts w:ascii="Arial Narrow" w:eastAsia="Times New Roman" w:hAnsi="Arial Narrow"/>
                <w:sz w:val="16"/>
                <w:szCs w:val="16"/>
              </w:rPr>
            </w:pPr>
            <w:r>
              <w:rPr>
                <w:rStyle w:val="label"/>
                <w:rFonts w:ascii="Arial Narrow" w:eastAsia="Times New Roman" w:hAnsi="Arial Narrow"/>
                <w:szCs w:val="18"/>
              </w:rPr>
              <w:t>Preterm birth</w:t>
            </w:r>
            <w:r>
              <w:rPr>
                <w:rFonts w:ascii="Arial Narrow" w:eastAsia="Times New Roman" w:hAnsi="Arial Narrow"/>
                <w:sz w:val="16"/>
                <w:szCs w:val="16"/>
              </w:rPr>
              <w:t xml:space="preserve"> </w:t>
            </w:r>
          </w:p>
        </w:tc>
        <w:tc>
          <w:tcPr>
            <w:tcW w:w="889" w:type="pct"/>
            <w:tcBorders>
              <w:top w:val="single" w:sz="6" w:space="0" w:color="000000"/>
              <w:left w:val="nil"/>
              <w:bottom w:val="single" w:sz="6" w:space="0" w:color="000000"/>
              <w:right w:val="nil"/>
            </w:tcBorders>
            <w:vAlign w:val="center"/>
            <w:hideMark/>
          </w:tcPr>
          <w:p w14:paraId="5577AB66" w14:textId="77777777" w:rsidR="009750ED" w:rsidRDefault="009750ED" w:rsidP="001048CC">
            <w:pPr>
              <w:rPr>
                <w:rFonts w:ascii="Arial Narrow" w:eastAsia="Times New Roman" w:hAnsi="Arial Narrow"/>
                <w:sz w:val="16"/>
                <w:szCs w:val="16"/>
              </w:rPr>
            </w:pPr>
            <w:r>
              <w:rPr>
                <w:rFonts w:ascii="Arial Narrow" w:eastAsia="Times New Roman" w:hAnsi="Arial Narrow"/>
                <w:sz w:val="16"/>
                <w:szCs w:val="16"/>
              </w:rPr>
              <w:t xml:space="preserve">49 per 1,000 </w:t>
            </w:r>
          </w:p>
        </w:tc>
        <w:tc>
          <w:tcPr>
            <w:tcW w:w="997" w:type="pct"/>
            <w:tcBorders>
              <w:top w:val="single" w:sz="6" w:space="0" w:color="000000"/>
              <w:left w:val="nil"/>
              <w:bottom w:val="single" w:sz="6" w:space="0" w:color="000000"/>
              <w:right w:val="nil"/>
            </w:tcBorders>
            <w:shd w:val="clear" w:color="auto" w:fill="EBEBEB"/>
            <w:hideMark/>
          </w:tcPr>
          <w:p w14:paraId="6AF73C46" w14:textId="77777777" w:rsidR="009750ED" w:rsidRDefault="009750ED" w:rsidP="001048CC">
            <w:pPr>
              <w:jc w:val="center"/>
              <w:rPr>
                <w:rFonts w:ascii="Arial Narrow" w:eastAsia="Times New Roman" w:hAnsi="Arial Narrow"/>
                <w:sz w:val="16"/>
                <w:szCs w:val="16"/>
              </w:rPr>
            </w:pPr>
            <w:r>
              <w:rPr>
                <w:rStyle w:val="cell-value"/>
                <w:rFonts w:ascii="Arial Narrow" w:eastAsia="Times New Roman" w:hAnsi="Arial Narrow"/>
                <w:b/>
                <w:bCs/>
                <w:szCs w:val="18"/>
              </w:rPr>
              <w:t>21 per 1,000</w:t>
            </w:r>
            <w:r>
              <w:rPr>
                <w:rFonts w:ascii="Arial Narrow" w:eastAsia="Times New Roman" w:hAnsi="Arial Narrow"/>
                <w:szCs w:val="18"/>
              </w:rPr>
              <w:br/>
            </w:r>
            <w:r>
              <w:rPr>
                <w:rStyle w:val="cell-value"/>
                <w:rFonts w:ascii="Arial Narrow" w:eastAsia="Times New Roman" w:hAnsi="Arial Narrow"/>
                <w:szCs w:val="18"/>
              </w:rPr>
              <w:t>(12 to 39)</w:t>
            </w:r>
            <w:r>
              <w:rPr>
                <w:rFonts w:ascii="Arial Narrow" w:eastAsia="Times New Roman" w:hAnsi="Arial Narrow"/>
                <w:sz w:val="16"/>
                <w:szCs w:val="16"/>
              </w:rPr>
              <w:t xml:space="preserve"> </w:t>
            </w:r>
          </w:p>
        </w:tc>
        <w:tc>
          <w:tcPr>
            <w:tcW w:w="842" w:type="pct"/>
            <w:tcBorders>
              <w:top w:val="single" w:sz="6" w:space="0" w:color="000000"/>
              <w:left w:val="nil"/>
              <w:bottom w:val="single" w:sz="6" w:space="0" w:color="000000"/>
              <w:right w:val="nil"/>
            </w:tcBorders>
            <w:vAlign w:val="center"/>
            <w:hideMark/>
          </w:tcPr>
          <w:p w14:paraId="29D02990" w14:textId="77777777" w:rsidR="009750ED" w:rsidRDefault="009750ED"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0.43</w:t>
            </w:r>
            <w:r>
              <w:rPr>
                <w:rFonts w:ascii="Arial Narrow" w:eastAsia="Times New Roman" w:hAnsi="Arial Narrow"/>
                <w:sz w:val="16"/>
                <w:szCs w:val="16"/>
              </w:rPr>
              <w:br/>
            </w:r>
            <w:r>
              <w:rPr>
                <w:rStyle w:val="cell"/>
                <w:rFonts w:ascii="Arial Narrow" w:hAnsi="Arial Narrow"/>
                <w:sz w:val="16"/>
                <w:szCs w:val="16"/>
              </w:rPr>
              <w:t>(0.24 to 0.79)</w:t>
            </w:r>
            <w:r>
              <w:rPr>
                <w:rFonts w:ascii="Arial Narrow" w:eastAsia="Times New Roman" w:hAnsi="Arial Narrow"/>
                <w:sz w:val="16"/>
                <w:szCs w:val="16"/>
              </w:rPr>
              <w:t xml:space="preserve"> </w:t>
            </w:r>
          </w:p>
        </w:tc>
        <w:tc>
          <w:tcPr>
            <w:tcW w:w="842" w:type="pct"/>
            <w:tcBorders>
              <w:top w:val="single" w:sz="6" w:space="0" w:color="000000"/>
              <w:left w:val="nil"/>
              <w:bottom w:val="single" w:sz="6" w:space="0" w:color="000000"/>
              <w:right w:val="nil"/>
            </w:tcBorders>
            <w:vAlign w:val="center"/>
            <w:hideMark/>
          </w:tcPr>
          <w:p w14:paraId="31D754F3" w14:textId="5AC8E378" w:rsidR="009750ED" w:rsidRDefault="009750ED" w:rsidP="001048CC">
            <w:pPr>
              <w:jc w:val="center"/>
              <w:rPr>
                <w:rFonts w:ascii="Arial Narrow" w:eastAsia="Times New Roman" w:hAnsi="Arial Narrow"/>
                <w:sz w:val="16"/>
                <w:szCs w:val="16"/>
              </w:rPr>
            </w:pPr>
            <w:r>
              <w:rPr>
                <w:rFonts w:ascii="Arial Narrow" w:eastAsia="Times New Roman" w:hAnsi="Arial Narrow"/>
                <w:sz w:val="16"/>
                <w:szCs w:val="16"/>
              </w:rPr>
              <w:t>1</w:t>
            </w:r>
            <w:r w:rsidR="003718D1">
              <w:rPr>
                <w:rFonts w:ascii="Arial Narrow" w:eastAsia="Times New Roman" w:hAnsi="Arial Narrow"/>
                <w:sz w:val="16"/>
                <w:szCs w:val="16"/>
              </w:rPr>
              <w:t>,</w:t>
            </w:r>
            <w:r>
              <w:rPr>
                <w:rFonts w:ascii="Arial Narrow" w:eastAsia="Times New Roman" w:hAnsi="Arial Narrow"/>
                <w:sz w:val="16"/>
                <w:szCs w:val="16"/>
              </w:rPr>
              <w:t>296</w:t>
            </w:r>
            <w:r>
              <w:rPr>
                <w:rFonts w:ascii="Arial Narrow" w:eastAsia="Times New Roman" w:hAnsi="Arial Narrow"/>
                <w:sz w:val="16"/>
                <w:szCs w:val="16"/>
              </w:rPr>
              <w:br/>
              <w:t xml:space="preserve">(4 RCTs) </w:t>
            </w:r>
          </w:p>
        </w:tc>
        <w:tc>
          <w:tcPr>
            <w:tcW w:w="739" w:type="pct"/>
            <w:tcBorders>
              <w:top w:val="single" w:sz="6" w:space="0" w:color="000000"/>
              <w:left w:val="nil"/>
              <w:bottom w:val="single" w:sz="6" w:space="0" w:color="000000"/>
              <w:right w:val="nil"/>
            </w:tcBorders>
            <w:vAlign w:val="center"/>
            <w:hideMark/>
          </w:tcPr>
          <w:p w14:paraId="2CE2CDBD" w14:textId="77777777" w:rsidR="009750ED" w:rsidRDefault="009750ED"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p>
        </w:tc>
      </w:tr>
      <w:tr w:rsidR="001048CC" w14:paraId="59294221" w14:textId="77777777" w:rsidTr="00C33DBF">
        <w:trPr>
          <w:cantSplit/>
        </w:trPr>
        <w:tc>
          <w:tcPr>
            <w:tcW w:w="691" w:type="pct"/>
            <w:tcBorders>
              <w:top w:val="single" w:sz="6" w:space="0" w:color="000000"/>
              <w:left w:val="nil"/>
              <w:bottom w:val="single" w:sz="6" w:space="0" w:color="000000"/>
              <w:right w:val="nil"/>
            </w:tcBorders>
            <w:vAlign w:val="center"/>
            <w:hideMark/>
          </w:tcPr>
          <w:p w14:paraId="34A4D83B" w14:textId="77777777" w:rsidR="009750ED" w:rsidRDefault="009750ED" w:rsidP="001048CC">
            <w:pPr>
              <w:jc w:val="center"/>
              <w:rPr>
                <w:rFonts w:ascii="Arial Narrow" w:eastAsia="Times New Roman" w:hAnsi="Arial Narrow"/>
                <w:sz w:val="16"/>
                <w:szCs w:val="16"/>
              </w:rPr>
            </w:pPr>
            <w:r>
              <w:rPr>
                <w:rStyle w:val="label"/>
                <w:rFonts w:ascii="Arial Narrow" w:eastAsia="Times New Roman" w:hAnsi="Arial Narrow"/>
                <w:szCs w:val="18"/>
              </w:rPr>
              <w:t>Macrosomia</w:t>
            </w:r>
            <w:r>
              <w:rPr>
                <w:rFonts w:ascii="Arial Narrow" w:eastAsia="Times New Roman" w:hAnsi="Arial Narrow"/>
                <w:sz w:val="16"/>
                <w:szCs w:val="16"/>
              </w:rPr>
              <w:t xml:space="preserve"> </w:t>
            </w:r>
          </w:p>
        </w:tc>
        <w:tc>
          <w:tcPr>
            <w:tcW w:w="889" w:type="pct"/>
            <w:tcBorders>
              <w:top w:val="single" w:sz="6" w:space="0" w:color="000000"/>
              <w:left w:val="nil"/>
              <w:bottom w:val="single" w:sz="6" w:space="0" w:color="000000"/>
              <w:right w:val="nil"/>
            </w:tcBorders>
            <w:vAlign w:val="center"/>
            <w:hideMark/>
          </w:tcPr>
          <w:p w14:paraId="33081365" w14:textId="77777777" w:rsidR="009750ED" w:rsidRDefault="009750ED" w:rsidP="001048CC">
            <w:pPr>
              <w:rPr>
                <w:rFonts w:ascii="Arial Narrow" w:eastAsia="Times New Roman" w:hAnsi="Arial Narrow"/>
                <w:sz w:val="16"/>
                <w:szCs w:val="16"/>
              </w:rPr>
            </w:pPr>
            <w:r>
              <w:rPr>
                <w:rFonts w:ascii="Arial Narrow" w:eastAsia="Times New Roman" w:hAnsi="Arial Narrow"/>
                <w:sz w:val="16"/>
                <w:szCs w:val="16"/>
              </w:rPr>
              <w:t xml:space="preserve">377 per 1,000 </w:t>
            </w:r>
          </w:p>
        </w:tc>
        <w:tc>
          <w:tcPr>
            <w:tcW w:w="997" w:type="pct"/>
            <w:tcBorders>
              <w:top w:val="single" w:sz="6" w:space="0" w:color="000000"/>
              <w:left w:val="nil"/>
              <w:bottom w:val="single" w:sz="6" w:space="0" w:color="000000"/>
              <w:right w:val="nil"/>
            </w:tcBorders>
            <w:shd w:val="clear" w:color="auto" w:fill="EBEBEB"/>
            <w:hideMark/>
          </w:tcPr>
          <w:p w14:paraId="57DCD9DD" w14:textId="77777777" w:rsidR="009750ED" w:rsidRDefault="009750ED" w:rsidP="001048CC">
            <w:pPr>
              <w:jc w:val="center"/>
              <w:rPr>
                <w:rFonts w:ascii="Arial Narrow" w:eastAsia="Times New Roman" w:hAnsi="Arial Narrow"/>
                <w:sz w:val="16"/>
                <w:szCs w:val="16"/>
              </w:rPr>
            </w:pPr>
            <w:r>
              <w:rPr>
                <w:rStyle w:val="cell-value"/>
                <w:rFonts w:ascii="Arial Narrow" w:eastAsia="Times New Roman" w:hAnsi="Arial Narrow"/>
                <w:b/>
                <w:bCs/>
                <w:szCs w:val="18"/>
              </w:rPr>
              <w:t>366 per 1,000</w:t>
            </w:r>
            <w:r>
              <w:rPr>
                <w:rFonts w:ascii="Arial Narrow" w:eastAsia="Times New Roman" w:hAnsi="Arial Narrow"/>
                <w:szCs w:val="18"/>
              </w:rPr>
              <w:br/>
            </w:r>
            <w:r>
              <w:rPr>
                <w:rStyle w:val="cell-value"/>
                <w:rFonts w:ascii="Arial Narrow" w:eastAsia="Times New Roman" w:hAnsi="Arial Narrow"/>
                <w:szCs w:val="18"/>
              </w:rPr>
              <w:t>(317 to 419)</w:t>
            </w:r>
            <w:r>
              <w:rPr>
                <w:rFonts w:ascii="Arial Narrow" w:eastAsia="Times New Roman" w:hAnsi="Arial Narrow"/>
                <w:sz w:val="16"/>
                <w:szCs w:val="16"/>
              </w:rPr>
              <w:t xml:space="preserve"> </w:t>
            </w:r>
          </w:p>
        </w:tc>
        <w:tc>
          <w:tcPr>
            <w:tcW w:w="842" w:type="pct"/>
            <w:tcBorders>
              <w:top w:val="single" w:sz="6" w:space="0" w:color="000000"/>
              <w:left w:val="nil"/>
              <w:bottom w:val="single" w:sz="6" w:space="0" w:color="000000"/>
              <w:right w:val="nil"/>
            </w:tcBorders>
            <w:vAlign w:val="center"/>
            <w:hideMark/>
          </w:tcPr>
          <w:p w14:paraId="4E9EDAC3" w14:textId="77777777" w:rsidR="009750ED" w:rsidRDefault="009750ED" w:rsidP="001048CC">
            <w:pPr>
              <w:jc w:val="center"/>
              <w:rPr>
                <w:rFonts w:ascii="Arial Narrow" w:eastAsia="Times New Roman" w:hAnsi="Arial Narrow"/>
                <w:sz w:val="16"/>
                <w:szCs w:val="16"/>
              </w:rPr>
            </w:pPr>
            <w:r>
              <w:rPr>
                <w:rStyle w:val="block"/>
                <w:rFonts w:ascii="Arial Narrow" w:eastAsia="Times New Roman" w:hAnsi="Arial Narrow"/>
                <w:b/>
                <w:bCs/>
                <w:sz w:val="16"/>
                <w:szCs w:val="16"/>
              </w:rPr>
              <w:t>RR 0.97</w:t>
            </w:r>
            <w:r>
              <w:rPr>
                <w:rFonts w:ascii="Arial Narrow" w:eastAsia="Times New Roman" w:hAnsi="Arial Narrow"/>
                <w:sz w:val="16"/>
                <w:szCs w:val="16"/>
              </w:rPr>
              <w:br/>
            </w:r>
            <w:r>
              <w:rPr>
                <w:rStyle w:val="cell"/>
                <w:rFonts w:ascii="Arial Narrow" w:hAnsi="Arial Narrow"/>
                <w:sz w:val="16"/>
                <w:szCs w:val="16"/>
              </w:rPr>
              <w:t>(0.84 to 1.11)</w:t>
            </w:r>
            <w:r>
              <w:rPr>
                <w:rFonts w:ascii="Arial Narrow" w:eastAsia="Times New Roman" w:hAnsi="Arial Narrow"/>
                <w:sz w:val="16"/>
                <w:szCs w:val="16"/>
              </w:rPr>
              <w:t xml:space="preserve"> </w:t>
            </w:r>
          </w:p>
        </w:tc>
        <w:tc>
          <w:tcPr>
            <w:tcW w:w="842" w:type="pct"/>
            <w:tcBorders>
              <w:top w:val="single" w:sz="6" w:space="0" w:color="000000"/>
              <w:left w:val="nil"/>
              <w:bottom w:val="single" w:sz="6" w:space="0" w:color="000000"/>
              <w:right w:val="nil"/>
            </w:tcBorders>
            <w:vAlign w:val="center"/>
            <w:hideMark/>
          </w:tcPr>
          <w:p w14:paraId="3F3B3EC3" w14:textId="67CB562C" w:rsidR="009750ED" w:rsidRDefault="009750ED" w:rsidP="001048CC">
            <w:pPr>
              <w:jc w:val="center"/>
              <w:rPr>
                <w:rFonts w:ascii="Arial Narrow" w:eastAsia="Times New Roman" w:hAnsi="Arial Narrow"/>
                <w:sz w:val="16"/>
                <w:szCs w:val="16"/>
              </w:rPr>
            </w:pPr>
            <w:r>
              <w:rPr>
                <w:rFonts w:ascii="Arial Narrow" w:eastAsia="Times New Roman" w:hAnsi="Arial Narrow"/>
                <w:sz w:val="16"/>
                <w:szCs w:val="16"/>
              </w:rPr>
              <w:t>1</w:t>
            </w:r>
            <w:r w:rsidR="003718D1">
              <w:rPr>
                <w:rFonts w:ascii="Arial Narrow" w:eastAsia="Times New Roman" w:hAnsi="Arial Narrow"/>
                <w:sz w:val="16"/>
                <w:szCs w:val="16"/>
              </w:rPr>
              <w:t>,</w:t>
            </w:r>
            <w:r>
              <w:rPr>
                <w:rFonts w:ascii="Arial Narrow" w:eastAsia="Times New Roman" w:hAnsi="Arial Narrow"/>
                <w:sz w:val="16"/>
                <w:szCs w:val="16"/>
              </w:rPr>
              <w:t>138</w:t>
            </w:r>
            <w:r>
              <w:rPr>
                <w:rFonts w:ascii="Arial Narrow" w:eastAsia="Times New Roman" w:hAnsi="Arial Narrow"/>
                <w:sz w:val="16"/>
                <w:szCs w:val="16"/>
              </w:rPr>
              <w:br/>
              <w:t xml:space="preserve">(3 RCTs) </w:t>
            </w:r>
          </w:p>
        </w:tc>
        <w:tc>
          <w:tcPr>
            <w:tcW w:w="739" w:type="pct"/>
            <w:tcBorders>
              <w:top w:val="single" w:sz="6" w:space="0" w:color="000000"/>
              <w:left w:val="nil"/>
              <w:bottom w:val="single" w:sz="6" w:space="0" w:color="000000"/>
              <w:right w:val="nil"/>
            </w:tcBorders>
            <w:vAlign w:val="center"/>
            <w:hideMark/>
          </w:tcPr>
          <w:p w14:paraId="5EE38319" w14:textId="77777777" w:rsidR="009750ED" w:rsidRDefault="009750ED"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VERY 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1048CC" w14:paraId="3E88E7DC" w14:textId="77777777" w:rsidTr="00C33DBF">
        <w:trPr>
          <w:cantSplit/>
        </w:trPr>
        <w:tc>
          <w:tcPr>
            <w:tcW w:w="691" w:type="pct"/>
            <w:tcBorders>
              <w:top w:val="single" w:sz="6" w:space="0" w:color="000000"/>
              <w:left w:val="nil"/>
              <w:bottom w:val="single" w:sz="6" w:space="0" w:color="000000"/>
              <w:right w:val="nil"/>
            </w:tcBorders>
            <w:vAlign w:val="center"/>
            <w:hideMark/>
          </w:tcPr>
          <w:p w14:paraId="1EDAC2FB" w14:textId="77777777" w:rsidR="009750ED" w:rsidRDefault="009750ED" w:rsidP="001048CC">
            <w:pPr>
              <w:jc w:val="center"/>
              <w:rPr>
                <w:rFonts w:ascii="Arial Narrow" w:eastAsia="Times New Roman" w:hAnsi="Arial Narrow"/>
                <w:sz w:val="16"/>
                <w:szCs w:val="16"/>
              </w:rPr>
            </w:pPr>
            <w:r>
              <w:rPr>
                <w:rStyle w:val="label"/>
                <w:rFonts w:ascii="Arial Narrow" w:eastAsia="Times New Roman" w:hAnsi="Arial Narrow"/>
                <w:szCs w:val="18"/>
              </w:rPr>
              <w:t>Childhood weight</w:t>
            </w:r>
            <w:r>
              <w:rPr>
                <w:rFonts w:ascii="Arial Narrow" w:eastAsia="Times New Roman" w:hAnsi="Arial Narrow"/>
                <w:sz w:val="16"/>
                <w:szCs w:val="16"/>
              </w:rPr>
              <w:t xml:space="preserve"> </w:t>
            </w:r>
          </w:p>
        </w:tc>
        <w:tc>
          <w:tcPr>
            <w:tcW w:w="889" w:type="pct"/>
            <w:tcBorders>
              <w:top w:val="single" w:sz="6" w:space="0" w:color="000000"/>
              <w:left w:val="nil"/>
              <w:bottom w:val="single" w:sz="6" w:space="0" w:color="000000"/>
              <w:right w:val="nil"/>
            </w:tcBorders>
            <w:shd w:val="clear" w:color="auto" w:fill="EBEBEB"/>
            <w:vAlign w:val="center"/>
            <w:hideMark/>
          </w:tcPr>
          <w:p w14:paraId="4976EC9A" w14:textId="77777777" w:rsidR="009750ED" w:rsidRDefault="009750ED" w:rsidP="001048C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childhood weight was </w:t>
            </w:r>
            <w:r>
              <w:rPr>
                <w:rStyle w:val="cell-value"/>
                <w:rFonts w:ascii="Arial Narrow" w:eastAsia="Times New Roman" w:hAnsi="Arial Narrow"/>
                <w:b/>
                <w:bCs/>
                <w:sz w:val="16"/>
                <w:szCs w:val="16"/>
              </w:rPr>
              <w:t>0</w:t>
            </w:r>
            <w:r>
              <w:rPr>
                <w:rFonts w:ascii="Arial Narrow" w:eastAsia="Times New Roman" w:hAnsi="Arial Narrow"/>
                <w:sz w:val="16"/>
                <w:szCs w:val="16"/>
              </w:rPr>
              <w:t xml:space="preserve"> </w:t>
            </w:r>
          </w:p>
        </w:tc>
        <w:tc>
          <w:tcPr>
            <w:tcW w:w="997" w:type="pct"/>
            <w:tcBorders>
              <w:top w:val="single" w:sz="6" w:space="0" w:color="000000"/>
              <w:left w:val="nil"/>
              <w:bottom w:val="single" w:sz="6" w:space="0" w:color="000000"/>
              <w:right w:val="nil"/>
            </w:tcBorders>
            <w:shd w:val="clear" w:color="auto" w:fill="EBEBEB"/>
            <w:hideMark/>
          </w:tcPr>
          <w:p w14:paraId="725FAC7B" w14:textId="77777777" w:rsidR="009750ED" w:rsidRDefault="009750ED" w:rsidP="001048CC">
            <w:pPr>
              <w:jc w:val="center"/>
              <w:rPr>
                <w:rFonts w:ascii="Arial Narrow" w:eastAsia="Times New Roman" w:hAnsi="Arial Narrow"/>
                <w:sz w:val="16"/>
                <w:szCs w:val="16"/>
              </w:rPr>
            </w:pPr>
            <w:r>
              <w:rPr>
                <w:rStyle w:val="cell-value"/>
                <w:rFonts w:ascii="Arial Narrow" w:eastAsia="Times New Roman" w:hAnsi="Arial Narrow"/>
                <w:sz w:val="16"/>
                <w:szCs w:val="16"/>
              </w:rPr>
              <w:t xml:space="preserve">MD </w:t>
            </w:r>
            <w:r>
              <w:rPr>
                <w:rStyle w:val="cell-value"/>
                <w:rFonts w:ascii="Arial Narrow" w:eastAsia="Times New Roman" w:hAnsi="Arial Narrow"/>
                <w:b/>
                <w:bCs/>
                <w:sz w:val="16"/>
                <w:szCs w:val="16"/>
              </w:rPr>
              <w:t>0.03 higher</w:t>
            </w:r>
            <w:r>
              <w:rPr>
                <w:rFonts w:ascii="Arial Narrow" w:eastAsia="Times New Roman" w:hAnsi="Arial Narrow"/>
                <w:sz w:val="16"/>
                <w:szCs w:val="16"/>
              </w:rPr>
              <w:br/>
            </w:r>
            <w:r>
              <w:rPr>
                <w:rStyle w:val="cell-value"/>
                <w:rFonts w:ascii="Arial Narrow" w:eastAsia="Times New Roman" w:hAnsi="Arial Narrow"/>
                <w:sz w:val="16"/>
                <w:szCs w:val="16"/>
              </w:rPr>
              <w:t>(0.26 lower to 0.31 higher)</w:t>
            </w:r>
            <w:r>
              <w:rPr>
                <w:rFonts w:ascii="Arial Narrow" w:eastAsia="Times New Roman" w:hAnsi="Arial Narrow"/>
                <w:sz w:val="16"/>
                <w:szCs w:val="16"/>
              </w:rPr>
              <w:t xml:space="preserve"> </w:t>
            </w:r>
          </w:p>
        </w:tc>
        <w:tc>
          <w:tcPr>
            <w:tcW w:w="842" w:type="pct"/>
            <w:tcBorders>
              <w:top w:val="single" w:sz="6" w:space="0" w:color="000000"/>
              <w:left w:val="nil"/>
              <w:bottom w:val="single" w:sz="6" w:space="0" w:color="000000"/>
              <w:right w:val="nil"/>
            </w:tcBorders>
            <w:vAlign w:val="center"/>
            <w:hideMark/>
          </w:tcPr>
          <w:p w14:paraId="5B68D109" w14:textId="77777777" w:rsidR="009750ED" w:rsidRDefault="009750ED" w:rsidP="001048CC">
            <w:pPr>
              <w:jc w:val="center"/>
              <w:rPr>
                <w:rFonts w:ascii="Arial Narrow" w:eastAsia="Times New Roman" w:hAnsi="Arial Narrow"/>
                <w:sz w:val="16"/>
                <w:szCs w:val="16"/>
              </w:rPr>
            </w:pPr>
            <w:r>
              <w:rPr>
                <w:rStyle w:val="cell"/>
                <w:rFonts w:ascii="Arial Narrow" w:hAnsi="Arial Narrow"/>
                <w:sz w:val="16"/>
                <w:szCs w:val="16"/>
              </w:rPr>
              <w:t>-</w:t>
            </w:r>
            <w:r>
              <w:rPr>
                <w:rFonts w:ascii="Arial Narrow" w:eastAsia="Times New Roman" w:hAnsi="Arial Narrow"/>
                <w:sz w:val="16"/>
                <w:szCs w:val="16"/>
              </w:rPr>
              <w:t xml:space="preserve"> </w:t>
            </w:r>
          </w:p>
        </w:tc>
        <w:tc>
          <w:tcPr>
            <w:tcW w:w="842" w:type="pct"/>
            <w:tcBorders>
              <w:top w:val="single" w:sz="6" w:space="0" w:color="000000"/>
              <w:left w:val="nil"/>
              <w:bottom w:val="single" w:sz="6" w:space="0" w:color="000000"/>
              <w:right w:val="nil"/>
            </w:tcBorders>
            <w:vAlign w:val="center"/>
            <w:hideMark/>
          </w:tcPr>
          <w:p w14:paraId="5F2824E7" w14:textId="77777777" w:rsidR="009750ED" w:rsidRDefault="009750ED" w:rsidP="001048CC">
            <w:pPr>
              <w:jc w:val="center"/>
              <w:rPr>
                <w:rFonts w:ascii="Arial Narrow" w:eastAsia="Times New Roman" w:hAnsi="Arial Narrow"/>
                <w:sz w:val="16"/>
                <w:szCs w:val="16"/>
              </w:rPr>
            </w:pPr>
            <w:r>
              <w:rPr>
                <w:rFonts w:ascii="Arial Narrow" w:eastAsia="Times New Roman" w:hAnsi="Arial Narrow"/>
                <w:sz w:val="16"/>
                <w:szCs w:val="16"/>
              </w:rPr>
              <w:t>565</w:t>
            </w:r>
            <w:r>
              <w:rPr>
                <w:rFonts w:ascii="Arial Narrow" w:eastAsia="Times New Roman" w:hAnsi="Arial Narrow"/>
                <w:sz w:val="16"/>
                <w:szCs w:val="16"/>
              </w:rPr>
              <w:br/>
              <w:t xml:space="preserve">(2 RCTs) </w:t>
            </w:r>
          </w:p>
        </w:tc>
        <w:tc>
          <w:tcPr>
            <w:tcW w:w="739" w:type="pct"/>
            <w:tcBorders>
              <w:top w:val="single" w:sz="6" w:space="0" w:color="000000"/>
              <w:left w:val="nil"/>
              <w:bottom w:val="single" w:sz="6" w:space="0" w:color="000000"/>
              <w:right w:val="nil"/>
            </w:tcBorders>
            <w:vAlign w:val="center"/>
            <w:hideMark/>
          </w:tcPr>
          <w:p w14:paraId="221C9B92" w14:textId="77777777" w:rsidR="009750ED" w:rsidRDefault="009750ED" w:rsidP="001048CC">
            <w:pPr>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9750ED" w14:paraId="4EB7A12C" w14:textId="77777777" w:rsidTr="00C33DBF">
        <w:trPr>
          <w:cantSplit/>
        </w:trPr>
        <w:tc>
          <w:tcPr>
            <w:tcW w:w="5000" w:type="pct"/>
            <w:gridSpan w:val="6"/>
            <w:tcBorders>
              <w:top w:val="single" w:sz="6" w:space="0" w:color="000000"/>
              <w:left w:val="nil"/>
              <w:bottom w:val="single" w:sz="6" w:space="0" w:color="000000"/>
              <w:right w:val="nil"/>
            </w:tcBorders>
            <w:vAlign w:val="center"/>
            <w:hideMark/>
          </w:tcPr>
          <w:p w14:paraId="2533C920" w14:textId="2388831C" w:rsidR="009750ED" w:rsidRDefault="009750ED" w:rsidP="001048CC">
            <w:pPr>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9750ED" w14:paraId="5490F4DD" w14:textId="77777777" w:rsidTr="00C33DBF">
        <w:trPr>
          <w:cantSplit/>
        </w:trPr>
        <w:tc>
          <w:tcPr>
            <w:tcW w:w="5000" w:type="pct"/>
            <w:gridSpan w:val="6"/>
            <w:tcBorders>
              <w:top w:val="single" w:sz="6" w:space="0" w:color="000000"/>
              <w:left w:val="nil"/>
              <w:bottom w:val="single" w:sz="6" w:space="0" w:color="000000"/>
              <w:right w:val="nil"/>
            </w:tcBorders>
            <w:vAlign w:val="center"/>
            <w:hideMark/>
          </w:tcPr>
          <w:p w14:paraId="75AEF8F0" w14:textId="77777777" w:rsidR="009750ED" w:rsidRDefault="009750ED" w:rsidP="00C33DBF">
            <w:pPr>
              <w:spacing w:line="240" w:lineRule="auto"/>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4656E8F7" w14:textId="77777777" w:rsidR="009750ED" w:rsidRDefault="009750ED" w:rsidP="00C33DBF">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a. High or unclear risk of performance bias in all studies </w:t>
      </w:r>
    </w:p>
    <w:p w14:paraId="0F342AAB" w14:textId="77777777" w:rsidR="009750ED" w:rsidRDefault="009750ED" w:rsidP="00C33DBF">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b. Confidence interval crosses line of no effect </w:t>
      </w:r>
    </w:p>
    <w:p w14:paraId="5F559AEA" w14:textId="77777777" w:rsidR="009750ED" w:rsidRDefault="009750ED" w:rsidP="00C33DBF">
      <w:pPr>
        <w:spacing w:line="240" w:lineRule="auto"/>
        <w:rPr>
          <w:rFonts w:ascii="Arial Narrow" w:eastAsia="Times New Roman" w:hAnsi="Arial Narrow"/>
          <w:color w:val="000000"/>
          <w:sz w:val="16"/>
          <w:szCs w:val="16"/>
          <w:lang w:val="en"/>
        </w:rPr>
      </w:pPr>
      <w:r>
        <w:rPr>
          <w:rFonts w:ascii="Arial Narrow" w:eastAsia="Times New Roman" w:hAnsi="Arial Narrow"/>
          <w:color w:val="000000"/>
          <w:sz w:val="16"/>
          <w:szCs w:val="16"/>
          <w:lang w:val="en"/>
        </w:rPr>
        <w:t xml:space="preserve">c. Substantial heterogeneity </w:t>
      </w:r>
    </w:p>
    <w:p w14:paraId="6BCDB715" w14:textId="77777777" w:rsidR="00427578" w:rsidRPr="00427578" w:rsidRDefault="00427578" w:rsidP="00427578"/>
    <w:p w14:paraId="04D29F56" w14:textId="77777777" w:rsidR="002B4AA3" w:rsidRDefault="002B4AA3">
      <w:pPr>
        <w:spacing w:before="0" w:after="0" w:line="240" w:lineRule="auto"/>
        <w:rPr>
          <w:rFonts w:asciiTheme="majorHAnsi" w:eastAsiaTheme="majorEastAsia" w:hAnsiTheme="majorHAnsi" w:cstheme="majorBidi"/>
          <w:b/>
          <w:i/>
          <w:iCs/>
          <w:color w:val="2F5496" w:themeColor="accent1" w:themeShade="BF"/>
          <w:sz w:val="21"/>
          <w:szCs w:val="21"/>
        </w:rPr>
      </w:pPr>
      <w:r>
        <w:br w:type="page"/>
      </w:r>
    </w:p>
    <w:p w14:paraId="0D7A5545" w14:textId="03C70334" w:rsidR="00FD4EBE" w:rsidRDefault="00FD4EBE" w:rsidP="00FD4EBE">
      <w:pPr>
        <w:pStyle w:val="Heading4"/>
      </w:pPr>
      <w:r w:rsidRPr="00C12274">
        <w:t>Comparability of results with other reviews  </w:t>
      </w:r>
    </w:p>
    <w:p w14:paraId="65C66F27" w14:textId="5B5FC2F4" w:rsidR="002B4AA3" w:rsidRPr="002B4AA3" w:rsidRDefault="002B4AA3" w:rsidP="002B4AA3">
      <w:r w:rsidRPr="00C12274">
        <w:t>Other systematic reviews have included some RCTs that were excluded from this review due to wrong study population (eg women with high risk pregnancies for reasons other than BMI) or wrong comparator (eg not standard care). However, the results are largely comparable</w:t>
      </w:r>
      <w:r>
        <w:t xml:space="preserve"> with those of this review</w:t>
      </w:r>
      <w:r w:rsidRPr="00C12274">
        <w:t>, with most reviews finding a lower wei</w:t>
      </w:r>
      <w:r>
        <w:t xml:space="preserve">ght gain among women with </w:t>
      </w:r>
      <w:r w:rsidRPr="00C12274">
        <w:t xml:space="preserve">mixed </w:t>
      </w:r>
      <w:r>
        <w:t>BMIs</w:t>
      </w:r>
      <w:r w:rsidRPr="00C12274">
        <w:t>.</w:t>
      </w:r>
      <w:r>
        <w:t xml:space="preserve"> </w:t>
      </w:r>
    </w:p>
    <w:p w14:paraId="0C183606" w14:textId="43BC12E4" w:rsidR="00263570" w:rsidRPr="00C12274" w:rsidRDefault="00932C6D" w:rsidP="00932C6D">
      <w:pPr>
        <w:pStyle w:val="TableName"/>
      </w:pPr>
      <w:bookmarkStart w:id="206" w:name="_Toc40956679"/>
      <w:r>
        <w:t xml:space="preserve">Q9 </w:t>
      </w:r>
      <w:r w:rsidR="00DF108B">
        <w:t>Findings</w:t>
      </w:r>
      <w:r w:rsidR="00263570" w:rsidRPr="00C12274">
        <w:t xml:space="preserve"> of </w:t>
      </w:r>
      <w:r w:rsidR="00DF108B">
        <w:t xml:space="preserve">systematic </w:t>
      </w:r>
      <w:r w:rsidR="00263570" w:rsidRPr="00C12274">
        <w:t xml:space="preserve">reviews </w:t>
      </w:r>
      <w:r w:rsidR="00263570">
        <w:t xml:space="preserve">of dietary interventions </w:t>
      </w:r>
      <w:r w:rsidR="00DF108B">
        <w:t>—</w:t>
      </w:r>
      <w:r w:rsidR="00263570" w:rsidRPr="00C12274">
        <w:t xml:space="preserve"> </w:t>
      </w:r>
      <w:r w:rsidR="00263570">
        <w:t>maternal</w:t>
      </w:r>
      <w:r w:rsidR="00263570" w:rsidRPr="00C12274">
        <w:t xml:space="preserve"> outcome</w:t>
      </w:r>
      <w:r w:rsidR="00263570">
        <w:t>s</w:t>
      </w:r>
      <w:bookmarkEnd w:id="206"/>
    </w:p>
    <w:tbl>
      <w:tblPr>
        <w:tblStyle w:val="TableGrid"/>
        <w:tblW w:w="9504" w:type="dxa"/>
        <w:tblLook w:val="04A0" w:firstRow="1" w:lastRow="0" w:firstColumn="1" w:lastColumn="0" w:noHBand="0" w:noVBand="1"/>
        <w:tblCaption w:val="Table 101: Q9 Findings of systematic reviews of dietary interventions — maternal outcomes"/>
      </w:tblPr>
      <w:tblGrid>
        <w:gridCol w:w="2841"/>
        <w:gridCol w:w="2547"/>
        <w:gridCol w:w="2982"/>
        <w:gridCol w:w="1134"/>
      </w:tblGrid>
      <w:tr w:rsidR="00263570" w:rsidRPr="00B87066" w14:paraId="1433FE5B" w14:textId="77777777" w:rsidTr="00FA5BCA">
        <w:trPr>
          <w:tblHeader/>
        </w:trPr>
        <w:tc>
          <w:tcPr>
            <w:tcW w:w="2841" w:type="dxa"/>
            <w:tcBorders>
              <w:bottom w:val="single" w:sz="4" w:space="0" w:color="3B3474"/>
            </w:tcBorders>
          </w:tcPr>
          <w:p w14:paraId="17DD48D1" w14:textId="77777777" w:rsidR="00263570" w:rsidRPr="00B87066" w:rsidRDefault="00263570" w:rsidP="00263570">
            <w:pPr>
              <w:spacing w:before="40" w:after="40" w:line="240" w:lineRule="auto"/>
              <w:rPr>
                <w:b/>
                <w:sz w:val="16"/>
                <w:szCs w:val="16"/>
              </w:rPr>
            </w:pPr>
            <w:r w:rsidRPr="00B87066">
              <w:rPr>
                <w:b/>
                <w:sz w:val="16"/>
                <w:szCs w:val="16"/>
              </w:rPr>
              <w:t>Ref</w:t>
            </w:r>
          </w:p>
        </w:tc>
        <w:tc>
          <w:tcPr>
            <w:tcW w:w="2547" w:type="dxa"/>
            <w:tcBorders>
              <w:bottom w:val="single" w:sz="4" w:space="0" w:color="3B3474"/>
            </w:tcBorders>
          </w:tcPr>
          <w:p w14:paraId="1F3F3C17" w14:textId="77777777" w:rsidR="00263570" w:rsidRPr="00B87066" w:rsidRDefault="00263570" w:rsidP="00263570">
            <w:pPr>
              <w:spacing w:before="40" w:after="40" w:line="240" w:lineRule="auto"/>
              <w:rPr>
                <w:b/>
                <w:sz w:val="16"/>
                <w:szCs w:val="16"/>
              </w:rPr>
            </w:pPr>
            <w:r w:rsidRPr="00B87066">
              <w:rPr>
                <w:b/>
                <w:sz w:val="16"/>
                <w:szCs w:val="16"/>
              </w:rPr>
              <w:t>Population</w:t>
            </w:r>
          </w:p>
        </w:tc>
        <w:tc>
          <w:tcPr>
            <w:tcW w:w="2982" w:type="dxa"/>
            <w:tcBorders>
              <w:bottom w:val="single" w:sz="4" w:space="0" w:color="3B3474"/>
            </w:tcBorders>
          </w:tcPr>
          <w:p w14:paraId="57F100BE" w14:textId="556E5F74" w:rsidR="00263570" w:rsidRPr="00B87066" w:rsidRDefault="008E1F6E" w:rsidP="00103A07">
            <w:pPr>
              <w:spacing w:before="40" w:after="40" w:line="240" w:lineRule="auto"/>
              <w:jc w:val="center"/>
              <w:rPr>
                <w:b/>
                <w:sz w:val="16"/>
                <w:szCs w:val="16"/>
              </w:rPr>
            </w:pPr>
            <w:r>
              <w:rPr>
                <w:b/>
                <w:sz w:val="16"/>
                <w:szCs w:val="16"/>
              </w:rPr>
              <w:t>Effect</w:t>
            </w:r>
            <w:r w:rsidR="00263570" w:rsidRPr="00B87066">
              <w:rPr>
                <w:b/>
                <w:sz w:val="16"/>
                <w:szCs w:val="16"/>
              </w:rPr>
              <w:t xml:space="preserve"> (95% CI)</w:t>
            </w:r>
          </w:p>
        </w:tc>
        <w:tc>
          <w:tcPr>
            <w:tcW w:w="1134" w:type="dxa"/>
            <w:tcBorders>
              <w:bottom w:val="single" w:sz="4" w:space="0" w:color="3B3474"/>
            </w:tcBorders>
          </w:tcPr>
          <w:p w14:paraId="53B65050" w14:textId="5688B009" w:rsidR="00263570" w:rsidRPr="00B87066" w:rsidRDefault="006B797C" w:rsidP="00103A07">
            <w:pPr>
              <w:spacing w:before="40" w:after="40" w:line="240" w:lineRule="auto"/>
              <w:jc w:val="center"/>
              <w:rPr>
                <w:b/>
                <w:sz w:val="16"/>
                <w:szCs w:val="16"/>
              </w:rPr>
            </w:pPr>
            <w:r>
              <w:rPr>
                <w:b/>
                <w:sz w:val="16"/>
                <w:szCs w:val="16"/>
              </w:rPr>
              <w:t>#</w:t>
            </w:r>
            <w:r w:rsidR="00263570" w:rsidRPr="00B87066">
              <w:rPr>
                <w:b/>
                <w:sz w:val="16"/>
                <w:szCs w:val="16"/>
              </w:rPr>
              <w:t xml:space="preserve"> studies</w:t>
            </w:r>
          </w:p>
        </w:tc>
      </w:tr>
      <w:tr w:rsidR="00DF108B" w:rsidRPr="00B87066" w14:paraId="5E228D8A" w14:textId="77777777" w:rsidTr="004A0E1A">
        <w:tc>
          <w:tcPr>
            <w:tcW w:w="9504" w:type="dxa"/>
            <w:gridSpan w:val="4"/>
            <w:shd w:val="clear" w:color="auto" w:fill="D9E2F3" w:themeFill="accent1" w:themeFillTint="33"/>
          </w:tcPr>
          <w:p w14:paraId="5966F71A" w14:textId="06E8C554" w:rsidR="00DF108B" w:rsidRPr="00B87066" w:rsidRDefault="00DF108B" w:rsidP="004A0E1A">
            <w:pPr>
              <w:pStyle w:val="RCTstable"/>
              <w:rPr>
                <w:i/>
              </w:rPr>
            </w:pPr>
            <w:r>
              <w:rPr>
                <w:i/>
              </w:rPr>
              <w:t>Mean gestational weight gain</w:t>
            </w:r>
          </w:p>
        </w:tc>
      </w:tr>
      <w:tr w:rsidR="00DF108B" w:rsidRPr="00C12274" w14:paraId="0A285BFE" w14:textId="77777777" w:rsidTr="004A0E1A">
        <w:trPr>
          <w:trHeight w:val="170"/>
        </w:trPr>
        <w:tc>
          <w:tcPr>
            <w:tcW w:w="2841" w:type="dxa"/>
            <w:shd w:val="clear" w:color="auto" w:fill="E7E6E6" w:themeFill="background2"/>
          </w:tcPr>
          <w:p w14:paraId="331C4BB3" w14:textId="77777777" w:rsidR="00DF108B" w:rsidRPr="00C12274" w:rsidRDefault="00DF108B" w:rsidP="004A0E1A">
            <w:pPr>
              <w:pStyle w:val="RCTstable"/>
              <w:rPr>
                <w:noProof/>
              </w:rPr>
            </w:pPr>
            <w:r>
              <w:rPr>
                <w:noProof/>
              </w:rPr>
              <w:t>Current review</w:t>
            </w:r>
          </w:p>
        </w:tc>
        <w:tc>
          <w:tcPr>
            <w:tcW w:w="2547" w:type="dxa"/>
            <w:shd w:val="clear" w:color="auto" w:fill="E7E6E6" w:themeFill="background2"/>
          </w:tcPr>
          <w:p w14:paraId="5F90E7D2" w14:textId="361B963F" w:rsidR="00DF108B" w:rsidRDefault="002B4AA3" w:rsidP="004A0E1A">
            <w:pPr>
              <w:pStyle w:val="RCTstable"/>
            </w:pPr>
            <w:r>
              <w:t>Mixed BMIs</w:t>
            </w:r>
          </w:p>
        </w:tc>
        <w:tc>
          <w:tcPr>
            <w:tcW w:w="2982" w:type="dxa"/>
            <w:shd w:val="clear" w:color="auto" w:fill="E7E6E6" w:themeFill="background2"/>
          </w:tcPr>
          <w:p w14:paraId="551A3C4E" w14:textId="097CC7DD" w:rsidR="00DF108B" w:rsidRPr="00BE0624" w:rsidRDefault="008E1F6E" w:rsidP="00A67139">
            <w:pPr>
              <w:pStyle w:val="RCTstable"/>
              <w:jc w:val="center"/>
              <w:rPr>
                <w:rFonts w:eastAsiaTheme="majorEastAsia"/>
              </w:rPr>
            </w:pPr>
            <w:r>
              <w:t xml:space="preserve">MD </w:t>
            </w:r>
            <w:r w:rsidR="00A67139" w:rsidRPr="00C12274">
              <w:t>-</w:t>
            </w:r>
            <w:r w:rsidR="00A67139">
              <w:t>3.76 (</w:t>
            </w:r>
            <w:r w:rsidR="00A67139" w:rsidRPr="00C12274">
              <w:t>-</w:t>
            </w:r>
            <w:r w:rsidR="00A67139">
              <w:t>6.38</w:t>
            </w:r>
            <w:r w:rsidR="00A67139" w:rsidRPr="00C12274">
              <w:t xml:space="preserve"> to -</w:t>
            </w:r>
            <w:r w:rsidR="00A67139">
              <w:t>1.13)</w:t>
            </w:r>
          </w:p>
        </w:tc>
        <w:tc>
          <w:tcPr>
            <w:tcW w:w="1134" w:type="dxa"/>
            <w:shd w:val="clear" w:color="auto" w:fill="E7E6E6" w:themeFill="background2"/>
          </w:tcPr>
          <w:p w14:paraId="6A884E15" w14:textId="12387B84" w:rsidR="00DF108B" w:rsidRPr="00BE0624" w:rsidRDefault="00A67139" w:rsidP="004A0E1A">
            <w:pPr>
              <w:pStyle w:val="RCTstable"/>
              <w:jc w:val="center"/>
            </w:pPr>
            <w:r>
              <w:t>6</w:t>
            </w:r>
          </w:p>
        </w:tc>
      </w:tr>
      <w:tr w:rsidR="004402A5" w:rsidRPr="00C12274" w14:paraId="160B0798" w14:textId="77777777" w:rsidTr="004A0E1A">
        <w:trPr>
          <w:trHeight w:val="72"/>
        </w:trPr>
        <w:tc>
          <w:tcPr>
            <w:tcW w:w="2841" w:type="dxa"/>
          </w:tcPr>
          <w:p w14:paraId="22DAD96A" w14:textId="5B46756B" w:rsidR="004402A5" w:rsidRPr="00C12274" w:rsidRDefault="00593C65" w:rsidP="002747EA">
            <w:pPr>
              <w:pStyle w:val="RCTstable"/>
              <w:rPr>
                <w:noProof/>
              </w:rPr>
            </w:pPr>
            <w:r>
              <w:t>*</w:t>
            </w:r>
            <w:r w:rsidR="004402A5">
              <w:t>Zhang et al 2018</w:t>
            </w:r>
            <w:r w:rsidR="004402A5">
              <w:fldChar w:fldCharType="begin">
                <w:fldData xml:space="preserve">PEVuZE5vdGU+PENpdGU+PEF1dGhvcj5aaGFuZzwvQXV0aG9yPjxZZWFyPjIwMTg8L1llYXI+PFJl
Y051bT4xNDg1PC9SZWNOdW0+PERpc3BsYXlUZXh0PjxzdHlsZSBmYWNlPSJzdXBlcnNjcmlwdCIg
Zm9udD0iVHJlYnVjaGV0IE1TIiBzaXplPSI5Ij40MDg8L3N0eWxlPjwvRGlzcGxheVRleHQ+PHJl
Y29yZD48cmVjLW51bWJlcj4xNDg1PC9yZWMtbnVtYmVyPjxmb3JlaWduLWtleXM+PGtleSBhcHA9
IkVOIiBkYi1pZD0iZXh2YXNyZngyZHRyYW9lc2FzeHAyc3pzeGEyZGY1MDI1OTJ4IiB0aW1lc3Rh
bXA9IjE1NzQwMzk3MTYiPjE0ODU8L2tleT48a2V5IGFwcD0iRU5XZWIiIGRiLWlkPSIiPjA8L2tl
eT48L2ZvcmVpZ24ta2V5cz48cmVmLXR5cGUgbmFtZT0iSm91cm5hbCBBcnRpY2xlIj4xNzwvcmVm
LXR5cGU+PGNvbnRyaWJ1dG9ycz48YXV0aG9ycz48YXV0aG9yPlpoYW5nLCBSLjwvYXV0aG9yPjxh
dXRob3I+SGFuLCBTLjwvYXV0aG9yPjxhdXRob3I+Q2hlbiwgRy4gQy48L2F1dGhvcj48YXV0aG9y
PkxpLCBaLiBOLjwvYXV0aG9yPjxhdXRob3I+U2lsdmEtWm9sZXp6aSwgSS48L2F1dGhvcj48YXV0
aG9yPlBhcmVzLCBHLiBWLjwvYXV0aG9yPjxhdXRob3I+V2FuZywgWS48L2F1dGhvcj48YXV0aG9y
PlFpbiwgTC4gUS48L2F1dGhvcj48L2F1dGhvcnM+PC9jb250cmlidXRvcnM+PGF1dGgtYWRkcmVz
cz5EZXBhcnRtZW50IG9mIE51dHJpdGlvbiBhbmQgRm9vZCBIeWdpZW5lLCBTY2hvb2wgb2YgUHVi
bGljIEhlYWx0aCwgU29vY2hvdyBVbml2ZXJzaXR5LCAxOTkgUmVuYWkgUm9hZCwgRHVzaHUgTGFr
ZSBIaWdoZXIgRWR1Y2F0aW9uIFRvd24sIFN1emhvdSwgMjE1MTIzLCBDaGluYS4mI3hEO0RlcGFy
dG1lbnQgb2YgTnV0cml0aW9uLCBGaXJzdCBIb3NwaXRhbCBvZiBIZWJlaSBNZWRpY2FsIFVuaXZl
cnNpdHksIFNoaWppYXpodWFuZywgMDUwMDMxLCBDaGluYS4mI3hEO051dHJpdGlvbiBhbmQgSGVh
bHRoIFJlc2VhcmNoLCBOZXN0bGUgUmVzZWFyY2ggQ2VudGVyLCBMYXVzYW5uZSwgU3dpdHplcmxh
bmQuJiN4RDtOZXN0bGUgUmVzZWFyY2ggQ2VudGVyLCBCZWlqaW5nLCAxMDAwOTUsIENoaW5hLiYj
eEQ7TmVzdGxlIFJlc2VhcmNoIENlbnRlciwgQmVpamluZywgMTAwMDk1LCBDaGluYS4geWkud2Fu
Z0ByZC5uZXN0bGUuY29tLiYjeEQ7RGVwYXJ0bWVudCBvZiBOdXRyaXRpb24gYW5kIEZvb2QgSHln
aWVuZSwgU2Nob29sIG9mIFB1YmxpYyBIZWFsdGgsIFNvb2Nob3cgVW5pdmVyc2l0eSwgMTk5IFJl
bmFpIFJvYWQsIER1c2h1IExha2UgSGlnaGVyIEVkdWNhdGlvbiBUb3duLCBTdXpob3UsIDIxNTEy
MywgQ2hpbmEuIHFpbmxpcWlhbmdAc3VkYS5lZHUuY24uPC9hdXRoLWFkZHJlc3M+PHRpdGxlcz48
dGl0bGU+RWZmZWN0cyBvZiBsb3ctZ2x5Y2VtaWMtaW5kZXggZGlldHMgaW4gcHJlZ25hbmN5IG9u
IG1hdGVybmFsIGFuZCBuZXdib3JuIG91dGNvbWVzIGluIHByZWduYW50IHdvbWVuOiBhIG1ldGEt
YW5hbHlzaXMgb2YgcmFuZG9taXplZCBjb250cm9sbGVkIHRyaWFsczwvdGl0bGU+PHNlY29uZGFy
eS10aXRsZT5FdXIgSiBOdXRyPC9zZWNvbmRhcnktdGl0bGU+PC90aXRsZXM+PHBlcmlvZGljYWw+
PGZ1bGwtdGl0bGU+RXVyIEogTnV0cjwvZnVsbC10aXRsZT48L3BlcmlvZGljYWw+PHBhZ2VzPjE2
Ny0xNzc8L3BhZ2VzPjx2b2x1bWU+NTc8L3ZvbHVtZT48bnVtYmVyPjE8L251bWJlcj48ZWRpdGlv
bj4yMDE2LzA5LzExPC9lZGl0aW9uPjxrZXl3b3Jkcz48a2V5d29yZD5BZG9sZXNjZW50PC9rZXl3
b3JkPjxrZXl3b3JkPkFkdWx0PC9rZXl3b3JkPjxrZXl3b3JkPkJpcnRoIFdlaWdodDwva2V5d29y
ZD48a2V5d29yZD5CbG9vZCBHbHVjb3NlL2FuYWx5c2lzPC9rZXl3b3JkPjxrZXl3b3JkPipEaWV0
PC9rZXl3b3JkPjxrZXl3b3JkPkZhc3Rpbmc8L2tleXdvcmQ+PGtleXdvcmQ+RmVtYWxlPC9rZXl3
b3JkPjxrZXl3b3JkPkZldGFsIERldmVsb3BtZW50PC9rZXl3b3JkPjxrZXl3b3JkPkZldGFsIE1h
Y3Jvc29taWEvZXBpZGVtaW9sb2d5PC9rZXl3b3JkPjxrZXl3b3JkPkdlc3RhdGlvbmFsIEFnZTwv
a2V5d29yZD48a2V5d29yZD4qR2x5Y2VtaWMgSW5kZXg8L2tleXdvcmQ+PGtleXdvcmQ+SHVtYW5z
PC9rZXl3b3JkPjxrZXl3b3JkPkluZmFudCwgTmV3Ym9ybjwva2V5d29yZD48a2V5d29yZD5NYXRl
cm5hbCBOdXRyaXRpb25hbCBQaHlzaW9sb2dpY2FsIFBoZW5vbWVuYTwva2V5d29yZD48a2V5d29y
ZD5NYXRlcm5hbC1GZXRhbCBFeGNoYW5nZTwva2V5d29yZD48a2V5d29yZD5NaWRkbGUgQWdlZDwv
a2V5d29yZD48a2V5d29yZD5QcmVnbmFuY3k8L2tleXdvcmQ+PGtleXdvcmQ+KlByZWduYW5jeSBP
dXRjb21lPC9rZXl3b3JkPjxrZXl3b3JkPipSYW5kb21pemVkIENvbnRyb2xsZWQgVHJpYWxzIGFz
IFRvcGljPC9rZXl3b3JkPjxrZXl3b3JkPldlaWdodCBHYWluPC9rZXl3b3JkPjxrZXl3b3JkPllv
dW5nIEFkdWx0PC9rZXl3b3JkPjxrZXl3b3JkPkxvdyBnbHljZW1pYyBpbmRleDwva2V5d29yZD48
a2V5d29yZD5NZXRhLWFuYWx5c2lzPC9rZXl3b3JkPjxrZXl3b3JkPlByZWduYW5jeSBvdXRjb21l
czwva2V5d29yZD48a2V5d29yZD5SYW5kb21pemVkIGNvbnRyb2xsZWQgdHJpYWxzPC9rZXl3b3Jk
Pjwva2V5d29yZHM+PGRhdGVzPjx5ZWFyPjIwMTg8L3llYXI+PHB1Yi1kYXRlcz48ZGF0ZT5GZWI8
L2RhdGU+PC9wdWItZGF0ZXM+PC9kYXRlcz48aXNibj4xNDM2LTYyMTUgKEVsZWN0cm9uaWMpJiN4
RDsxNDM2LTYyMDcgKExpbmtpbmcpPC9pc2JuPjxhY2Nlc3Npb24tbnVtPjI3NjEyODc2PC9hY2Nl
c3Npb24tbnVtPjx1cmxzPjxyZWxhdGVkLXVybHM+PHVybD5odHRwczovL3d3dy5uY2JpLm5sbS5u
aWguZ292L3B1Ym1lZC8yNzYxMjg3NjwvdXJsPjwvcmVsYXRlZC11cmxzPjwvdXJscz48ZWxlY3Ry
b25pYy1yZXNvdXJjZS1udW0+MTAuMTAwNy9zMDAzOTQtMDE2LTEzMDYteDwvZWxlY3Ryb25pYy1y
ZXNvdXJjZS1udW0+PC9yZWNvcmQ+PC9DaXRlPjwvRW5kTm90ZT5=
</w:fldData>
              </w:fldChar>
            </w:r>
            <w:r w:rsidR="002747EA">
              <w:instrText xml:space="preserve"> ADDIN EN.CITE </w:instrText>
            </w:r>
            <w:r w:rsidR="002747EA">
              <w:fldChar w:fldCharType="begin">
                <w:fldData xml:space="preserve">PEVuZE5vdGU+PENpdGU+PEF1dGhvcj5aaGFuZzwvQXV0aG9yPjxZZWFyPjIwMTg8L1llYXI+PFJl
Y051bT4xNDg1PC9SZWNOdW0+PERpc3BsYXlUZXh0PjxzdHlsZSBmYWNlPSJzdXBlcnNjcmlwdCIg
Zm9udD0iVHJlYnVjaGV0IE1TIiBzaXplPSI5Ij40MDg8L3N0eWxlPjwvRGlzcGxheVRleHQ+PHJl
Y29yZD48cmVjLW51bWJlcj4xNDg1PC9yZWMtbnVtYmVyPjxmb3JlaWduLWtleXM+PGtleSBhcHA9
IkVOIiBkYi1pZD0iZXh2YXNyZngyZHRyYW9lc2FzeHAyc3pzeGEyZGY1MDI1OTJ4IiB0aW1lc3Rh
bXA9IjE1NzQwMzk3MTYiPjE0ODU8L2tleT48a2V5IGFwcD0iRU5XZWIiIGRiLWlkPSIiPjA8L2tl
eT48L2ZvcmVpZ24ta2V5cz48cmVmLXR5cGUgbmFtZT0iSm91cm5hbCBBcnRpY2xlIj4xNzwvcmVm
LXR5cGU+PGNvbnRyaWJ1dG9ycz48YXV0aG9ycz48YXV0aG9yPlpoYW5nLCBSLjwvYXV0aG9yPjxh
dXRob3I+SGFuLCBTLjwvYXV0aG9yPjxhdXRob3I+Q2hlbiwgRy4gQy48L2F1dGhvcj48YXV0aG9y
PkxpLCBaLiBOLjwvYXV0aG9yPjxhdXRob3I+U2lsdmEtWm9sZXp6aSwgSS48L2F1dGhvcj48YXV0
aG9yPlBhcmVzLCBHLiBWLjwvYXV0aG9yPjxhdXRob3I+V2FuZywgWS48L2F1dGhvcj48YXV0aG9y
PlFpbiwgTC4gUS48L2F1dGhvcj48L2F1dGhvcnM+PC9jb250cmlidXRvcnM+PGF1dGgtYWRkcmVz
cz5EZXBhcnRtZW50IG9mIE51dHJpdGlvbiBhbmQgRm9vZCBIeWdpZW5lLCBTY2hvb2wgb2YgUHVi
bGljIEhlYWx0aCwgU29vY2hvdyBVbml2ZXJzaXR5LCAxOTkgUmVuYWkgUm9hZCwgRHVzaHUgTGFr
ZSBIaWdoZXIgRWR1Y2F0aW9uIFRvd24sIFN1emhvdSwgMjE1MTIzLCBDaGluYS4mI3hEO0RlcGFy
dG1lbnQgb2YgTnV0cml0aW9uLCBGaXJzdCBIb3NwaXRhbCBvZiBIZWJlaSBNZWRpY2FsIFVuaXZl
cnNpdHksIFNoaWppYXpodWFuZywgMDUwMDMxLCBDaGluYS4mI3hEO051dHJpdGlvbiBhbmQgSGVh
bHRoIFJlc2VhcmNoLCBOZXN0bGUgUmVzZWFyY2ggQ2VudGVyLCBMYXVzYW5uZSwgU3dpdHplcmxh
bmQuJiN4RDtOZXN0bGUgUmVzZWFyY2ggQ2VudGVyLCBCZWlqaW5nLCAxMDAwOTUsIENoaW5hLiYj
eEQ7TmVzdGxlIFJlc2VhcmNoIENlbnRlciwgQmVpamluZywgMTAwMDk1LCBDaGluYS4geWkud2Fu
Z0ByZC5uZXN0bGUuY29tLiYjeEQ7RGVwYXJ0bWVudCBvZiBOdXRyaXRpb24gYW5kIEZvb2QgSHln
aWVuZSwgU2Nob29sIG9mIFB1YmxpYyBIZWFsdGgsIFNvb2Nob3cgVW5pdmVyc2l0eSwgMTk5IFJl
bmFpIFJvYWQsIER1c2h1IExha2UgSGlnaGVyIEVkdWNhdGlvbiBUb3duLCBTdXpob3UsIDIxNTEy
MywgQ2hpbmEuIHFpbmxpcWlhbmdAc3VkYS5lZHUuY24uPC9hdXRoLWFkZHJlc3M+PHRpdGxlcz48
dGl0bGU+RWZmZWN0cyBvZiBsb3ctZ2x5Y2VtaWMtaW5kZXggZGlldHMgaW4gcHJlZ25hbmN5IG9u
IG1hdGVybmFsIGFuZCBuZXdib3JuIG91dGNvbWVzIGluIHByZWduYW50IHdvbWVuOiBhIG1ldGEt
YW5hbHlzaXMgb2YgcmFuZG9taXplZCBjb250cm9sbGVkIHRyaWFsczwvdGl0bGU+PHNlY29uZGFy
eS10aXRsZT5FdXIgSiBOdXRyPC9zZWNvbmRhcnktdGl0bGU+PC90aXRsZXM+PHBlcmlvZGljYWw+
PGZ1bGwtdGl0bGU+RXVyIEogTnV0cjwvZnVsbC10aXRsZT48L3BlcmlvZGljYWw+PHBhZ2VzPjE2
Ny0xNzc8L3BhZ2VzPjx2b2x1bWU+NTc8L3ZvbHVtZT48bnVtYmVyPjE8L251bWJlcj48ZWRpdGlv
bj4yMDE2LzA5LzExPC9lZGl0aW9uPjxrZXl3b3Jkcz48a2V5d29yZD5BZG9sZXNjZW50PC9rZXl3
b3JkPjxrZXl3b3JkPkFkdWx0PC9rZXl3b3JkPjxrZXl3b3JkPkJpcnRoIFdlaWdodDwva2V5d29y
ZD48a2V5d29yZD5CbG9vZCBHbHVjb3NlL2FuYWx5c2lzPC9rZXl3b3JkPjxrZXl3b3JkPipEaWV0
PC9rZXl3b3JkPjxrZXl3b3JkPkZhc3Rpbmc8L2tleXdvcmQ+PGtleXdvcmQ+RmVtYWxlPC9rZXl3
b3JkPjxrZXl3b3JkPkZldGFsIERldmVsb3BtZW50PC9rZXl3b3JkPjxrZXl3b3JkPkZldGFsIE1h
Y3Jvc29taWEvZXBpZGVtaW9sb2d5PC9rZXl3b3JkPjxrZXl3b3JkPkdlc3RhdGlvbmFsIEFnZTwv
a2V5d29yZD48a2V5d29yZD4qR2x5Y2VtaWMgSW5kZXg8L2tleXdvcmQ+PGtleXdvcmQ+SHVtYW5z
PC9rZXl3b3JkPjxrZXl3b3JkPkluZmFudCwgTmV3Ym9ybjwva2V5d29yZD48a2V5d29yZD5NYXRl
cm5hbCBOdXRyaXRpb25hbCBQaHlzaW9sb2dpY2FsIFBoZW5vbWVuYTwva2V5d29yZD48a2V5d29y
ZD5NYXRlcm5hbC1GZXRhbCBFeGNoYW5nZTwva2V5d29yZD48a2V5d29yZD5NaWRkbGUgQWdlZDwv
a2V5d29yZD48a2V5d29yZD5QcmVnbmFuY3k8L2tleXdvcmQ+PGtleXdvcmQ+KlByZWduYW5jeSBP
dXRjb21lPC9rZXl3b3JkPjxrZXl3b3JkPipSYW5kb21pemVkIENvbnRyb2xsZWQgVHJpYWxzIGFz
IFRvcGljPC9rZXl3b3JkPjxrZXl3b3JkPldlaWdodCBHYWluPC9rZXl3b3JkPjxrZXl3b3JkPllv
dW5nIEFkdWx0PC9rZXl3b3JkPjxrZXl3b3JkPkxvdyBnbHljZW1pYyBpbmRleDwva2V5d29yZD48
a2V5d29yZD5NZXRhLWFuYWx5c2lzPC9rZXl3b3JkPjxrZXl3b3JkPlByZWduYW5jeSBvdXRjb21l
czwva2V5d29yZD48a2V5d29yZD5SYW5kb21pemVkIGNvbnRyb2xsZWQgdHJpYWxzPC9rZXl3b3Jk
Pjwva2V5d29yZHM+PGRhdGVzPjx5ZWFyPjIwMTg8L3llYXI+PHB1Yi1kYXRlcz48ZGF0ZT5GZWI8
L2RhdGU+PC9wdWItZGF0ZXM+PC9kYXRlcz48aXNibj4xNDM2LTYyMTUgKEVsZWN0cm9uaWMpJiN4
RDsxNDM2LTYyMDcgKExpbmtpbmcpPC9pc2JuPjxhY2Nlc3Npb24tbnVtPjI3NjEyODc2PC9hY2Nl
c3Npb24tbnVtPjx1cmxzPjxyZWxhdGVkLXVybHM+PHVybD5odHRwczovL3d3dy5uY2JpLm5sbS5u
aWguZ292L3B1Ym1lZC8yNzYxMjg3NjwvdXJsPjwvcmVsYXRlZC11cmxzPjwvdXJscz48ZWxlY3Ry
b25pYy1yZXNvdXJjZS1udW0+MTAuMTAwNy9zMDAzOTQtMDE2LTEzMDYteDwvZWxlY3Ryb25pYy1y
ZXNvdXJjZS1udW0+PC9yZWNvcmQ+PC9DaXRlPjwvRW5kTm90ZT5=
</w:fldData>
              </w:fldChar>
            </w:r>
            <w:r w:rsidR="002747EA">
              <w:instrText xml:space="preserve"> ADDIN EN.CITE.DATA </w:instrText>
            </w:r>
            <w:r w:rsidR="002747EA">
              <w:fldChar w:fldCharType="end"/>
            </w:r>
            <w:r w:rsidR="004402A5">
              <w:fldChar w:fldCharType="separate"/>
            </w:r>
            <w:r w:rsidR="002747EA" w:rsidRPr="002747EA">
              <w:rPr>
                <w:noProof/>
                <w:sz w:val="18"/>
                <w:vertAlign w:val="superscript"/>
              </w:rPr>
              <w:t>408</w:t>
            </w:r>
            <w:r w:rsidR="004402A5">
              <w:fldChar w:fldCharType="end"/>
            </w:r>
          </w:p>
        </w:tc>
        <w:tc>
          <w:tcPr>
            <w:tcW w:w="2547" w:type="dxa"/>
          </w:tcPr>
          <w:p w14:paraId="40D36CDB" w14:textId="17D39B28" w:rsidR="004402A5" w:rsidRPr="00C12274" w:rsidRDefault="004402A5" w:rsidP="004A0E1A">
            <w:pPr>
              <w:pStyle w:val="RCTstable"/>
            </w:pPr>
            <w:r>
              <w:t>Mixed BMis</w:t>
            </w:r>
          </w:p>
        </w:tc>
        <w:tc>
          <w:tcPr>
            <w:tcW w:w="2982" w:type="dxa"/>
          </w:tcPr>
          <w:p w14:paraId="0A03F3FD" w14:textId="5835D9A1" w:rsidR="004402A5" w:rsidRPr="00BE0624" w:rsidRDefault="008E1F6E" w:rsidP="004A0E1A">
            <w:pPr>
              <w:pStyle w:val="RCTstable"/>
              <w:jc w:val="center"/>
              <w:rPr>
                <w:rFonts w:eastAsiaTheme="majorEastAsia"/>
              </w:rPr>
            </w:pPr>
            <w:r>
              <w:t xml:space="preserve">MD </w:t>
            </w:r>
            <w:r w:rsidR="004402A5">
              <w:rPr>
                <w:rFonts w:eastAsiaTheme="majorEastAsia"/>
              </w:rPr>
              <w:t>-0.69 (-1.74 to 0.36)</w:t>
            </w:r>
          </w:p>
        </w:tc>
        <w:tc>
          <w:tcPr>
            <w:tcW w:w="1134" w:type="dxa"/>
          </w:tcPr>
          <w:p w14:paraId="54B3F000" w14:textId="4F062D34" w:rsidR="004402A5" w:rsidRDefault="00593C65" w:rsidP="004A0E1A">
            <w:pPr>
              <w:pStyle w:val="RCTstable"/>
              <w:jc w:val="center"/>
            </w:pPr>
            <w:r>
              <w:t>9</w:t>
            </w:r>
          </w:p>
        </w:tc>
      </w:tr>
      <w:tr w:rsidR="00DF108B" w:rsidRPr="00C12274" w14:paraId="0DC7F1F6" w14:textId="77777777" w:rsidTr="004A0E1A">
        <w:trPr>
          <w:trHeight w:val="72"/>
        </w:trPr>
        <w:tc>
          <w:tcPr>
            <w:tcW w:w="2841" w:type="dxa"/>
          </w:tcPr>
          <w:p w14:paraId="495DC304" w14:textId="3CCED36A" w:rsidR="00DF108B" w:rsidRPr="00C12274" w:rsidRDefault="00DF108B" w:rsidP="002747EA">
            <w:pPr>
              <w:pStyle w:val="RCTstable"/>
            </w:pPr>
            <w:r w:rsidRPr="00C12274">
              <w:rPr>
                <w:noProof/>
              </w:rPr>
              <w:t>Rogozińska et al 2017</w:t>
            </w:r>
            <w:r>
              <w:fldChar w:fldCharType="begin">
                <w:fldData xml:space="preserve">PEVuZE5vdGU+PENpdGU+PEF1dGhvcj5Sb2dvemnFhHNrYTwvQXV0aG9yPjxZZWFyPjIwMTc8L1ll
YXI+PFJlY051bT41Nzk8L1JlY051bT48RGlzcGxheVRleHQ+PHN0eWxlIGZhY2U9InN1cGVyc2Ny
aXB0IiBmb250PSJUcmVidWNoZXQgTVMiIHNpemU9IjkiPjQwOTwvc3R5bGU+PC9EaXNwbGF5VGV4
dD48cmVjb3JkPjxyZWMtbnVtYmVyPjU3OTwvcmVjLW51bWJlcj48Zm9yZWlnbi1rZXlzPjxrZXkg
YXBwPSJFTiIgZGItaWQ9ImV4dmFzcmZ4MmR0cmFvZXNhc3hwMnN6c3hhMmRmNTAyNTkyeCIgdGlt
ZXN0YW1wPSIxNTM2MTkyNDQzIj41Nzk8L2tleT48a2V5IGFwcD0iRU5XZWIiIGRiLWlkPSIiPjA8
L2tleT48L2ZvcmVpZ24ta2V5cz48cmVmLXR5cGUgbmFtZT0iSm91cm5hbCBBcnRpY2xlIj4xNzwv
cmVmLXR5cGU+PGNvbnRyaWJ1dG9ycz48YXV0aG9ycz48YXV0aG9yPlJvZ296acWEc2thLCBFd2Vs
aW5hPC9hdXRob3I+PGF1dGhvcj5NYXJsaW4sIE5hZGluZTwvYXV0aG9yPjxhdXRob3I+SmFja3Nv
biwgTG91aXNlPC9hdXRob3I+PGF1dGhvcj5SYXlhbmFnb3VkYXIsIEdpcmlzaDwvYXV0aG9yPjxh
dXRob3I+UnVpZnJvaywgQW5uZWxvZXMgRS48L2F1dGhvcj48YXV0aG9yPkRvZGRzLCBKdWxpZTwv
YXV0aG9yPjxhdXRob3I+TW9seW5lYXV4LCBFbW1hPC9hdXRob3I+PGF1dGhvcj52YW4gUG9wcGVs
LCBNaXJlaWxsZSBOLiBNLjwvYXV0aG9yPjxhdXRob3I+UG9zdG9uLCBMdWNpbGxhPC9hdXRob3I+
PGF1dGhvcj5WaW50ZXIsIENocmlzdGluYSBBLjwvYXV0aG9yPjxhdXRob3I+TWNBdWxpZmZlLCBG
aW9ubnVhbGE8L2F1dGhvcj48YXV0aG9yPkRvZGQsIEpvZGllIE0uPC9hdXRob3I+PGF1dGhvcj5P
d2VucywgSnVsaWU8L2F1dGhvcj48YXV0aG9yPkJhcmFrYXQsIFJ1YmVuPC9hdXRob3I+PGF1dGhv
cj5QZXJhbGVzLCBNYXJpYTwvYXV0aG9yPjxhdXRob3I+Q2VjYXR0aSwgSm9zZSBHLjwvYXV0aG9y
PjxhdXRob3I+U3VyaXRhLCBGZXJuYW5kYTwvYXV0aG9yPjxhdXRob3I+WWVvLCBTZW9uQWU8L2F1
dGhvcj48YXV0aG9yPkJvZ2FlcnRzLCBBbm5pY2s8L2F1dGhvcj48YXV0aG9yPkRldmxpZWdlciwg
Um9sYW5kPC9hdXRob3I+PGF1dGhvcj5UZWVkZSwgSGVsZW5hPC9hdXRob3I+PGF1dGhvcj5IYXJy
aXNvbiwgQ2hlcnljZTwvYXV0aG9yPjxhdXRob3I+SGFha3N0YWQsIExlbmU8L2F1dGhvcj48YXV0
aG9yPlNoZW4sIEdhcnJ5IFguPC9hdXRob3I+PGF1dGhvcj5TaHViLCBBbGV4aXM8L2F1dGhvcj48
YXV0aG9yPkJlbHRhZ3ksIE5lcm1lZW4gRWw8L2F1dGhvcj48YXV0aG9yPk1vdGFoYXJpLCBOYXJn
ZXM8L2F1dGhvcj48YXV0aG9yPktob3VyeSwgSmFuZXR0ZTwvYXV0aG9yPjxhdXRob3I+VG9uc3Rh
ZCwgU2VyZW5hPC9hdXRob3I+PGF1dGhvcj5MdW90bywgUmlpdHRhPC9hdXRob3I+PGF1dGhvcj5L
aW5udW5lbiwgVGFyamEgSS48L2F1dGhvcj48YXV0aG9yPkd1ZWxmaSwgS3ltPC9hdXRob3I+PGF1
dGhvcj5GYWNjaGluZXR0aSwgRmFiaW88L2F1dGhvcj48YXV0aG9yPlBldHJlbGxhLCBFbGlzYWJl
dHRhPC9hdXRob3I+PGF1dGhvcj5QaGVsYW4sIFN1emFubmU8L2F1dGhvcj48YXV0aG9yPlNjdWRl
bGxlciwgVMOibmlhIFQuPC9hdXRob3I+PGF1dGhvcj5SYXVoLCBLYXRocmluPC9hdXRob3I+PGF1
dGhvcj5IYXVuZXIsIEhhbnM8L2F1dGhvcj48YXV0aG9yPlJlbmF1bHQsIEtyaXN0aW5hPC9hdXRo
b3I+PGF1dGhvcj5kZSBHcm9vdCwgQ2hyaXN0aWFubmUgSi4gTS48L2F1dGhvcj48YXV0aG9yPlNh
Z2VkYWwsIExpbmRhIFIuPC9hdXRob3I+PGF1dGhvcj5WaXN0YWQsIEluZ3ZpbGQ8L2F1dGhvcj48
YXV0aG9yPlN0YWZuZSwgU2lnbmUgTmlsc3NlbjwvYXV0aG9yPjxhdXRob3I+TcO4cmt2ZWQsIFNp
djwvYXV0aG9yPjxhdXRob3I+U2FsdmVzZW4sIEtqZWxsIMOFPC9hdXRob3I+PGF1dGhvcj5KZW5z
ZW4sIERvcnRlIE0uPC9hdXRob3I+PGF1dGhvcj5WaXRvbG8sIE3DoXJjaWE8L2F1dGhvcj48YXV0
aG9yPkFzdHJ1cCwgQXJuZTwvYXV0aG9yPjxhdXRob3I+R2Vpa2VyLCBOaW5hIFIuIFcuPC9hdXRo
b3I+PGF1dGhvcj5LZXJyeSwgU2FsbHk8L2F1dGhvcj48YXV0aG9yPkJhcnRvbiwgUGVsaGFtPC9h
dXRob3I+PGF1dGhvcj5Sb2JlcnRzLCBUcmFjeTwvYXV0aG9yPjxhdXRob3I+UmlsZXksIFJpY2hh
cmQgRC48L2F1dGhvcj48YXV0aG9yPkNvb21hcmFzYW15LCBBcnJpPC9hdXRob3I+PGF1dGhvcj5N
b2wsIEJlbiBXaWxsZW08L2F1dGhvcj48YXV0aG9yPktoYW4sIEtoYWxpZCBTLjwvYXV0aG9yPjxh
dXRob3I+VGhhbmdhcmF0aW5hbSwgU2hha2lsYTwvYXV0aG9yPjwvYXV0aG9ycz48L2NvbnRyaWJ1
dG9ycz48dGl0bGVzPjx0aXRsZT5FZmZlY3RzIG9mIGFudGVuYXRhbCBkaWV0IGFuZCBwaHlzaWNh
bCBhY3Rpdml0eSBvbiBtYXRlcm5hbCBhbmQgZmV0YWwgb3V0Y29tZXM6IGluZGl2aWR1YWwgcGF0
aWVudCBkYXRhIG1ldGEtYW5hbHlzaXMgYW5kIGhlYWx0aCBlY29ub21pYyBldmFsdWF0aW9uPC90
aXRsZT48c2Vjb25kYXJ5LXRpdGxlPkhlYWx0aCBUZWNobm9sb2d5IEFzc2Vzc21lbnQ8L3NlY29u
ZGFyeS10aXRsZT48L3RpdGxlcz48cGVyaW9kaWNhbD48ZnVsbC10aXRsZT5IZWFsdGggVGVjaG5v
bG9neSBBc3Nlc3NtZW50PC9mdWxsLXRpdGxlPjwvcGVyaW9kaWNhbD48cGFnZXM+MS0xNTg8L3Bh
Z2VzPjx2b2x1bWU+MjE8L3ZvbHVtZT48bnVtYmVyPjQxPC9udW1iZXI+PHNlY3Rpb24+MTwvc2Vj
dGlvbj48ZGF0ZXM+PHllYXI+MjAxNzwveWVhcj48L2RhdGVzPjxpc2JuPjEzNjYtNTI3OCYjeEQ7
MjA0Ni00OTI0PC9pc2JuPjx1cmxzPjwvdXJscz48ZWxlY3Ryb25pYy1yZXNvdXJjZS1udW0+MTAu
MzMxMC9odGEyMTQxMDwvZWxlY3Ryb25pYy1yZXNvdXJjZS1udW0+PC9yZWNvcmQ+PC9DaXRlPjwv
RW5kTm90ZT4A
</w:fldData>
              </w:fldChar>
            </w:r>
            <w:r w:rsidR="002747EA">
              <w:instrText xml:space="preserve"> ADDIN EN.CITE </w:instrText>
            </w:r>
            <w:r w:rsidR="002747EA">
              <w:fldChar w:fldCharType="begin">
                <w:fldData xml:space="preserve">PEVuZE5vdGU+PENpdGU+PEF1dGhvcj5Sb2dvemnFhHNrYTwvQXV0aG9yPjxZZWFyPjIwMTc8L1ll
YXI+PFJlY051bT41Nzk8L1JlY051bT48RGlzcGxheVRleHQ+PHN0eWxlIGZhY2U9InN1cGVyc2Ny
aXB0IiBmb250PSJUcmVidWNoZXQgTVMiIHNpemU9IjkiPjQwOTwvc3R5bGU+PC9EaXNwbGF5VGV4
dD48cmVjb3JkPjxyZWMtbnVtYmVyPjU3OTwvcmVjLW51bWJlcj48Zm9yZWlnbi1rZXlzPjxrZXkg
YXBwPSJFTiIgZGItaWQ9ImV4dmFzcmZ4MmR0cmFvZXNhc3hwMnN6c3hhMmRmNTAyNTkyeCIgdGlt
ZXN0YW1wPSIxNTM2MTkyNDQzIj41Nzk8L2tleT48a2V5IGFwcD0iRU5XZWIiIGRiLWlkPSIiPjA8
L2tleT48L2ZvcmVpZ24ta2V5cz48cmVmLXR5cGUgbmFtZT0iSm91cm5hbCBBcnRpY2xlIj4xNzwv
cmVmLXR5cGU+PGNvbnRyaWJ1dG9ycz48YXV0aG9ycz48YXV0aG9yPlJvZ296acWEc2thLCBFd2Vs
aW5hPC9hdXRob3I+PGF1dGhvcj5NYXJsaW4sIE5hZGluZTwvYXV0aG9yPjxhdXRob3I+SmFja3Nv
biwgTG91aXNlPC9hdXRob3I+PGF1dGhvcj5SYXlhbmFnb3VkYXIsIEdpcmlzaDwvYXV0aG9yPjxh
dXRob3I+UnVpZnJvaywgQW5uZWxvZXMgRS48L2F1dGhvcj48YXV0aG9yPkRvZGRzLCBKdWxpZTwv
YXV0aG9yPjxhdXRob3I+TW9seW5lYXV4LCBFbW1hPC9hdXRob3I+PGF1dGhvcj52YW4gUG9wcGVs
LCBNaXJlaWxsZSBOLiBNLjwvYXV0aG9yPjxhdXRob3I+UG9zdG9uLCBMdWNpbGxhPC9hdXRob3I+
PGF1dGhvcj5WaW50ZXIsIENocmlzdGluYSBBLjwvYXV0aG9yPjxhdXRob3I+TWNBdWxpZmZlLCBG
aW9ubnVhbGE8L2F1dGhvcj48YXV0aG9yPkRvZGQsIEpvZGllIE0uPC9hdXRob3I+PGF1dGhvcj5P
d2VucywgSnVsaWU8L2F1dGhvcj48YXV0aG9yPkJhcmFrYXQsIFJ1YmVuPC9hdXRob3I+PGF1dGhv
cj5QZXJhbGVzLCBNYXJpYTwvYXV0aG9yPjxhdXRob3I+Q2VjYXR0aSwgSm9zZSBHLjwvYXV0aG9y
PjxhdXRob3I+U3VyaXRhLCBGZXJuYW5kYTwvYXV0aG9yPjxhdXRob3I+WWVvLCBTZW9uQWU8L2F1
dGhvcj48YXV0aG9yPkJvZ2FlcnRzLCBBbm5pY2s8L2F1dGhvcj48YXV0aG9yPkRldmxpZWdlciwg
Um9sYW5kPC9hdXRob3I+PGF1dGhvcj5UZWVkZSwgSGVsZW5hPC9hdXRob3I+PGF1dGhvcj5IYXJy
aXNvbiwgQ2hlcnljZTwvYXV0aG9yPjxhdXRob3I+SGFha3N0YWQsIExlbmU8L2F1dGhvcj48YXV0
aG9yPlNoZW4sIEdhcnJ5IFguPC9hdXRob3I+PGF1dGhvcj5TaHViLCBBbGV4aXM8L2F1dGhvcj48
YXV0aG9yPkJlbHRhZ3ksIE5lcm1lZW4gRWw8L2F1dGhvcj48YXV0aG9yPk1vdGFoYXJpLCBOYXJn
ZXM8L2F1dGhvcj48YXV0aG9yPktob3VyeSwgSmFuZXR0ZTwvYXV0aG9yPjxhdXRob3I+VG9uc3Rh
ZCwgU2VyZW5hPC9hdXRob3I+PGF1dGhvcj5MdW90bywgUmlpdHRhPC9hdXRob3I+PGF1dGhvcj5L
aW5udW5lbiwgVGFyamEgSS48L2F1dGhvcj48YXV0aG9yPkd1ZWxmaSwgS3ltPC9hdXRob3I+PGF1
dGhvcj5GYWNjaGluZXR0aSwgRmFiaW88L2F1dGhvcj48YXV0aG9yPlBldHJlbGxhLCBFbGlzYWJl
dHRhPC9hdXRob3I+PGF1dGhvcj5QaGVsYW4sIFN1emFubmU8L2F1dGhvcj48YXV0aG9yPlNjdWRl
bGxlciwgVMOibmlhIFQuPC9hdXRob3I+PGF1dGhvcj5SYXVoLCBLYXRocmluPC9hdXRob3I+PGF1
dGhvcj5IYXVuZXIsIEhhbnM8L2F1dGhvcj48YXV0aG9yPlJlbmF1bHQsIEtyaXN0aW5hPC9hdXRo
b3I+PGF1dGhvcj5kZSBHcm9vdCwgQ2hyaXN0aWFubmUgSi4gTS48L2F1dGhvcj48YXV0aG9yPlNh
Z2VkYWwsIExpbmRhIFIuPC9hdXRob3I+PGF1dGhvcj5WaXN0YWQsIEluZ3ZpbGQ8L2F1dGhvcj48
YXV0aG9yPlN0YWZuZSwgU2lnbmUgTmlsc3NlbjwvYXV0aG9yPjxhdXRob3I+TcO4cmt2ZWQsIFNp
djwvYXV0aG9yPjxhdXRob3I+U2FsdmVzZW4sIEtqZWxsIMOFPC9hdXRob3I+PGF1dGhvcj5KZW5z
ZW4sIERvcnRlIE0uPC9hdXRob3I+PGF1dGhvcj5WaXRvbG8sIE3DoXJjaWE8L2F1dGhvcj48YXV0
aG9yPkFzdHJ1cCwgQXJuZTwvYXV0aG9yPjxhdXRob3I+R2Vpa2VyLCBOaW5hIFIuIFcuPC9hdXRo
b3I+PGF1dGhvcj5LZXJyeSwgU2FsbHk8L2F1dGhvcj48YXV0aG9yPkJhcnRvbiwgUGVsaGFtPC9h
dXRob3I+PGF1dGhvcj5Sb2JlcnRzLCBUcmFjeTwvYXV0aG9yPjxhdXRob3I+UmlsZXksIFJpY2hh
cmQgRC48L2F1dGhvcj48YXV0aG9yPkNvb21hcmFzYW15LCBBcnJpPC9hdXRob3I+PGF1dGhvcj5N
b2wsIEJlbiBXaWxsZW08L2F1dGhvcj48YXV0aG9yPktoYW4sIEtoYWxpZCBTLjwvYXV0aG9yPjxh
dXRob3I+VGhhbmdhcmF0aW5hbSwgU2hha2lsYTwvYXV0aG9yPjwvYXV0aG9ycz48L2NvbnRyaWJ1
dG9ycz48dGl0bGVzPjx0aXRsZT5FZmZlY3RzIG9mIGFudGVuYXRhbCBkaWV0IGFuZCBwaHlzaWNh
bCBhY3Rpdml0eSBvbiBtYXRlcm5hbCBhbmQgZmV0YWwgb3V0Y29tZXM6IGluZGl2aWR1YWwgcGF0
aWVudCBkYXRhIG1ldGEtYW5hbHlzaXMgYW5kIGhlYWx0aCBlY29ub21pYyBldmFsdWF0aW9uPC90
aXRsZT48c2Vjb25kYXJ5LXRpdGxlPkhlYWx0aCBUZWNobm9sb2d5IEFzc2Vzc21lbnQ8L3NlY29u
ZGFyeS10aXRsZT48L3RpdGxlcz48cGVyaW9kaWNhbD48ZnVsbC10aXRsZT5IZWFsdGggVGVjaG5v
bG9neSBBc3Nlc3NtZW50PC9mdWxsLXRpdGxlPjwvcGVyaW9kaWNhbD48cGFnZXM+MS0xNTg8L3Bh
Z2VzPjx2b2x1bWU+MjE8L3ZvbHVtZT48bnVtYmVyPjQxPC9udW1iZXI+PHNlY3Rpb24+MTwvc2Vj
dGlvbj48ZGF0ZXM+PHllYXI+MjAxNzwveWVhcj48L2RhdGVzPjxpc2JuPjEzNjYtNTI3OCYjeEQ7
MjA0Ni00OTI0PC9pc2JuPjx1cmxzPjwvdXJscz48ZWxlY3Ryb25pYy1yZXNvdXJjZS1udW0+MTAu
MzMxMC9odGEyMTQxMDwvZWxlY3Ryb25pYy1yZXNvdXJjZS1udW0+PC9yZWNvcmQ+PC9DaXRlPjwv
RW5kTm90ZT4A
</w:fldData>
              </w:fldChar>
            </w:r>
            <w:r w:rsidR="002747EA">
              <w:instrText xml:space="preserve"> ADDIN EN.CITE.DATA </w:instrText>
            </w:r>
            <w:r w:rsidR="002747EA">
              <w:fldChar w:fldCharType="end"/>
            </w:r>
            <w:r>
              <w:fldChar w:fldCharType="separate"/>
            </w:r>
            <w:r w:rsidR="002747EA" w:rsidRPr="002747EA">
              <w:rPr>
                <w:noProof/>
                <w:sz w:val="18"/>
                <w:vertAlign w:val="superscript"/>
              </w:rPr>
              <w:t>409</w:t>
            </w:r>
            <w:r>
              <w:fldChar w:fldCharType="end"/>
            </w:r>
          </w:p>
        </w:tc>
        <w:tc>
          <w:tcPr>
            <w:tcW w:w="2547" w:type="dxa"/>
          </w:tcPr>
          <w:p w14:paraId="2D0F3C95" w14:textId="77777777" w:rsidR="00DF108B" w:rsidRPr="00C12274" w:rsidRDefault="00DF108B" w:rsidP="004A0E1A">
            <w:pPr>
              <w:pStyle w:val="RCTstable"/>
            </w:pPr>
            <w:r w:rsidRPr="00C12274">
              <w:t>Mixed</w:t>
            </w:r>
            <w:r>
              <w:t xml:space="preserve"> BMIs</w:t>
            </w:r>
          </w:p>
        </w:tc>
        <w:tc>
          <w:tcPr>
            <w:tcW w:w="2982" w:type="dxa"/>
          </w:tcPr>
          <w:p w14:paraId="3C93E896" w14:textId="6804DE23" w:rsidR="00DF108B" w:rsidRPr="00BE0624" w:rsidRDefault="008E1F6E" w:rsidP="004A0E1A">
            <w:pPr>
              <w:pStyle w:val="RCTstable"/>
              <w:jc w:val="center"/>
            </w:pPr>
            <w:r>
              <w:t xml:space="preserve">MD </w:t>
            </w:r>
            <w:r w:rsidR="00DF108B" w:rsidRPr="00BE0624">
              <w:rPr>
                <w:rFonts w:eastAsiaTheme="majorEastAsia"/>
              </w:rPr>
              <w:t>−</w:t>
            </w:r>
            <w:r w:rsidR="00DF108B">
              <w:t>0.72</w:t>
            </w:r>
            <w:r w:rsidR="00DF108B" w:rsidRPr="00BE0624">
              <w:t xml:space="preserve"> (</w:t>
            </w:r>
            <w:r w:rsidR="00DF108B" w:rsidRPr="00BE0624">
              <w:rPr>
                <w:rFonts w:eastAsiaTheme="majorEastAsia"/>
              </w:rPr>
              <w:t>−</w:t>
            </w:r>
            <w:r w:rsidR="00DF108B" w:rsidRPr="00BE0624">
              <w:t>1.</w:t>
            </w:r>
            <w:r w:rsidR="00DF108B">
              <w:t>48</w:t>
            </w:r>
            <w:r w:rsidR="00DF108B" w:rsidRPr="00BE0624">
              <w:t xml:space="preserve"> to 0.</w:t>
            </w:r>
            <w:r w:rsidR="00DF108B">
              <w:t>0</w:t>
            </w:r>
            <w:r w:rsidR="00DF108B" w:rsidRPr="00BE0624">
              <w:t>4)</w:t>
            </w:r>
          </w:p>
        </w:tc>
        <w:tc>
          <w:tcPr>
            <w:tcW w:w="1134" w:type="dxa"/>
          </w:tcPr>
          <w:p w14:paraId="114E8EC6" w14:textId="77777777" w:rsidR="00DF108B" w:rsidRPr="00BE0624" w:rsidRDefault="00DF108B" w:rsidP="004A0E1A">
            <w:pPr>
              <w:pStyle w:val="RCTstable"/>
              <w:jc w:val="center"/>
            </w:pPr>
            <w:r>
              <w:t>4</w:t>
            </w:r>
          </w:p>
        </w:tc>
      </w:tr>
      <w:tr w:rsidR="00DF108B" w:rsidRPr="00C12274" w14:paraId="2A028097" w14:textId="77777777" w:rsidTr="004A0E1A">
        <w:tc>
          <w:tcPr>
            <w:tcW w:w="2841" w:type="dxa"/>
          </w:tcPr>
          <w:p w14:paraId="4A9A2E67" w14:textId="404756F3" w:rsidR="00DF108B" w:rsidRPr="00C12274" w:rsidRDefault="00DF108B" w:rsidP="002747EA">
            <w:pPr>
              <w:pStyle w:val="RCTstable"/>
              <w:rPr>
                <w:noProof/>
              </w:rPr>
            </w:pPr>
            <w:r>
              <w:rPr>
                <w:noProof/>
              </w:rPr>
              <w:t>Shieh et al 2018</w:t>
            </w:r>
            <w:r>
              <w:rPr>
                <w:noProof/>
              </w:rPr>
              <w:fldChar w:fldCharType="begin"/>
            </w:r>
            <w:r w:rsidR="002747EA">
              <w:rPr>
                <w:noProof/>
              </w:rPr>
              <w:instrText xml:space="preserve"> ADDIN EN.CITE &lt;EndNote&gt;&lt;Cite&gt;&lt;Author&gt;Shieh&lt;/Author&gt;&lt;Year&gt;2018&lt;/Year&gt;&lt;RecNum&gt;1075&lt;/RecNum&gt;&lt;DisplayText&gt;&lt;style face="superscript" font="Trebuchet MS" size="9"&gt;410&lt;/style&gt;&lt;/DisplayText&gt;&lt;record&gt;&lt;rec-number&gt;1075&lt;/rec-number&gt;&lt;foreign-keys&gt;&lt;key app="EN" db-id="exvasrfx2dtraoesasxp2szsxa2df502592x" timestamp="1551246740"&gt;1075&lt;/key&gt;&lt;key app="ENWeb" db-id=""&gt;0&lt;/key&gt;&lt;/foreign-keys&gt;&lt;ref-type name="Journal Article"&gt;17&lt;/ref-type&gt;&lt;contributors&gt;&lt;authors&gt;&lt;author&gt;Shieh, C.&lt;/author&gt;&lt;author&gt;Cullen, D. L.&lt;/author&gt;&lt;author&gt;Pike, C.&lt;/author&gt;&lt;author&gt;Pressler, S. J.&lt;/author&gt;&lt;/authors&gt;&lt;/contributors&gt;&lt;titles&gt;&lt;title&gt;Intervention strategies for preventing excessive gestational weight gain: systematic review and meta-analysis&lt;/title&gt;&lt;secondary-title&gt;Obesity Reviews&lt;/secondary-title&gt;&lt;/titles&gt;&lt;periodical&gt;&lt;full-title&gt;Obesity Reviews&lt;/full-title&gt;&lt;/periodical&gt;&lt;pages&gt;1093-1109&lt;/pages&gt;&lt;volume&gt;19&lt;/volume&gt;&lt;number&gt;8&lt;/number&gt;&lt;section&gt;1093&lt;/section&gt;&lt;dates&gt;&lt;year&gt;2018&lt;/year&gt;&lt;/dates&gt;&lt;isbn&gt;14677881&lt;/isbn&gt;&lt;urls&gt;&lt;/urls&gt;&lt;electronic-resource-num&gt;10.1111/obr.12691&lt;/electronic-resource-num&gt;&lt;/record&gt;&lt;/Cite&gt;&lt;/EndNote&gt;</w:instrText>
            </w:r>
            <w:r>
              <w:rPr>
                <w:noProof/>
              </w:rPr>
              <w:fldChar w:fldCharType="separate"/>
            </w:r>
            <w:r w:rsidR="002747EA" w:rsidRPr="002747EA">
              <w:rPr>
                <w:noProof/>
                <w:sz w:val="18"/>
                <w:vertAlign w:val="superscript"/>
              </w:rPr>
              <w:t>410</w:t>
            </w:r>
            <w:r>
              <w:rPr>
                <w:noProof/>
              </w:rPr>
              <w:fldChar w:fldCharType="end"/>
            </w:r>
          </w:p>
        </w:tc>
        <w:tc>
          <w:tcPr>
            <w:tcW w:w="2547" w:type="dxa"/>
          </w:tcPr>
          <w:p w14:paraId="17F2FC90" w14:textId="77777777" w:rsidR="00DF108B" w:rsidRPr="00C12274" w:rsidRDefault="00DF108B" w:rsidP="004A0E1A">
            <w:pPr>
              <w:pStyle w:val="RCTstable"/>
              <w:rPr>
                <w:rFonts w:ascii="Helvetica" w:hAnsi="Helvetica"/>
              </w:rPr>
            </w:pPr>
            <w:r>
              <w:rPr>
                <w:rFonts w:ascii="Helvetica" w:hAnsi="Helvetica"/>
              </w:rPr>
              <w:t>Mixed BMIs</w:t>
            </w:r>
          </w:p>
        </w:tc>
        <w:tc>
          <w:tcPr>
            <w:tcW w:w="2982" w:type="dxa"/>
          </w:tcPr>
          <w:p w14:paraId="5FCFDD4D" w14:textId="63717C30" w:rsidR="00DF108B" w:rsidRPr="00BE0624" w:rsidRDefault="008E1F6E" w:rsidP="004A0E1A">
            <w:pPr>
              <w:pStyle w:val="RCTstable"/>
              <w:jc w:val="center"/>
            </w:pPr>
            <w:r>
              <w:t xml:space="preserve">MD </w:t>
            </w:r>
            <w:r w:rsidR="00DF108B">
              <w:t>-5.77 (-9.34 to -2.21)</w:t>
            </w:r>
          </w:p>
        </w:tc>
        <w:tc>
          <w:tcPr>
            <w:tcW w:w="1134" w:type="dxa"/>
          </w:tcPr>
          <w:p w14:paraId="4469CDA1" w14:textId="29E2C4A0" w:rsidR="00DF108B" w:rsidRPr="00BE0624" w:rsidRDefault="00065BA8" w:rsidP="004A0E1A">
            <w:pPr>
              <w:pStyle w:val="RCTstable"/>
              <w:jc w:val="center"/>
            </w:pPr>
            <w:r>
              <w:t>4</w:t>
            </w:r>
          </w:p>
        </w:tc>
      </w:tr>
      <w:tr w:rsidR="00DF108B" w:rsidRPr="00C12274" w14:paraId="541EAC36" w14:textId="77777777" w:rsidTr="004A0E1A">
        <w:tc>
          <w:tcPr>
            <w:tcW w:w="2841" w:type="dxa"/>
          </w:tcPr>
          <w:p w14:paraId="3D0BF84C" w14:textId="754CAB3A" w:rsidR="00DF108B" w:rsidRPr="00C12274" w:rsidRDefault="00DF108B" w:rsidP="002747EA">
            <w:pPr>
              <w:pStyle w:val="RCTstable"/>
              <w:rPr>
                <w:noProof/>
              </w:rPr>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0F41547A" w14:textId="77777777" w:rsidR="00DF108B" w:rsidRPr="00C12274" w:rsidRDefault="00DF108B" w:rsidP="004A0E1A">
            <w:pPr>
              <w:pStyle w:val="RCTstable"/>
              <w:rPr>
                <w:rFonts w:ascii="Helvetica" w:hAnsi="Helvetica"/>
              </w:rPr>
            </w:pPr>
            <w:r>
              <w:rPr>
                <w:rFonts w:ascii="Helvetica" w:hAnsi="Helvetica"/>
              </w:rPr>
              <w:t>Mixed BMIs</w:t>
            </w:r>
          </w:p>
        </w:tc>
        <w:tc>
          <w:tcPr>
            <w:tcW w:w="2982" w:type="dxa"/>
          </w:tcPr>
          <w:p w14:paraId="58529021" w14:textId="12CA78A4" w:rsidR="00DF108B" w:rsidRPr="00BE0624" w:rsidRDefault="008E1F6E" w:rsidP="004A0E1A">
            <w:pPr>
              <w:pStyle w:val="RCTstable"/>
              <w:jc w:val="center"/>
            </w:pPr>
            <w:r>
              <w:t xml:space="preserve">MD </w:t>
            </w:r>
            <w:r w:rsidR="00DF108B">
              <w:t>-3.36 (-4.73 to -1.99)</w:t>
            </w:r>
          </w:p>
        </w:tc>
        <w:tc>
          <w:tcPr>
            <w:tcW w:w="1134" w:type="dxa"/>
          </w:tcPr>
          <w:p w14:paraId="72702A96" w14:textId="77777777" w:rsidR="00DF108B" w:rsidRPr="00BE0624" w:rsidRDefault="00DF108B" w:rsidP="004A0E1A">
            <w:pPr>
              <w:pStyle w:val="RCTstable"/>
              <w:jc w:val="center"/>
            </w:pPr>
            <w:r>
              <w:t>9</w:t>
            </w:r>
          </w:p>
        </w:tc>
      </w:tr>
      <w:tr w:rsidR="00DF108B" w:rsidRPr="00B87066" w14:paraId="121EB5C0" w14:textId="77777777" w:rsidTr="004A0E1A">
        <w:tc>
          <w:tcPr>
            <w:tcW w:w="2841" w:type="dxa"/>
            <w:shd w:val="clear" w:color="auto" w:fill="auto"/>
          </w:tcPr>
          <w:p w14:paraId="37C166DD" w14:textId="64CF1C96" w:rsidR="00DF108B" w:rsidRPr="00C12274" w:rsidRDefault="00DF108B"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1193FE8F" w14:textId="77777777" w:rsidR="00DF108B" w:rsidRPr="00C12274" w:rsidRDefault="00DF108B" w:rsidP="004A0E1A">
            <w:pPr>
              <w:pStyle w:val="RCTstable"/>
            </w:pPr>
            <w:r>
              <w:t>Mixed BMIs</w:t>
            </w:r>
          </w:p>
        </w:tc>
        <w:tc>
          <w:tcPr>
            <w:tcW w:w="2982" w:type="dxa"/>
            <w:shd w:val="clear" w:color="auto" w:fill="auto"/>
          </w:tcPr>
          <w:p w14:paraId="7599785B" w14:textId="73BD09FA" w:rsidR="00DF108B" w:rsidRDefault="008E1F6E" w:rsidP="004A0E1A">
            <w:pPr>
              <w:pStyle w:val="RCTstable"/>
              <w:jc w:val="center"/>
            </w:pPr>
            <w:r>
              <w:t xml:space="preserve">MD </w:t>
            </w:r>
            <w:r w:rsidR="00DF108B">
              <w:t>-3.84 (-5.22 to -2.45)</w:t>
            </w:r>
          </w:p>
        </w:tc>
        <w:tc>
          <w:tcPr>
            <w:tcW w:w="1134" w:type="dxa"/>
            <w:shd w:val="clear" w:color="auto" w:fill="auto"/>
          </w:tcPr>
          <w:p w14:paraId="1BAB350B" w14:textId="77777777" w:rsidR="00DF108B" w:rsidRDefault="00DF108B" w:rsidP="004A0E1A">
            <w:pPr>
              <w:pStyle w:val="RCTstable"/>
              <w:jc w:val="center"/>
            </w:pPr>
            <w:r>
              <w:t>10</w:t>
            </w:r>
          </w:p>
        </w:tc>
      </w:tr>
      <w:tr w:rsidR="00DF108B" w:rsidRPr="00C12274" w14:paraId="45C6F4F8" w14:textId="77777777" w:rsidTr="004A0E1A">
        <w:tc>
          <w:tcPr>
            <w:tcW w:w="2841" w:type="dxa"/>
          </w:tcPr>
          <w:p w14:paraId="3F2F368E" w14:textId="12AEC313" w:rsidR="00DF108B" w:rsidRDefault="00DF108B" w:rsidP="002747EA">
            <w:pPr>
              <w:pStyle w:val="RCTstable"/>
              <w:rPr>
                <w:noProof/>
              </w:rPr>
            </w:pPr>
            <w:r>
              <w:rPr>
                <w:noProof/>
              </w:rPr>
              <w:t>Tieu et al 2017</w:t>
            </w:r>
            <w:r>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413</w:t>
            </w:r>
            <w:r>
              <w:rPr>
                <w:noProof/>
              </w:rPr>
              <w:fldChar w:fldCharType="end"/>
            </w:r>
          </w:p>
        </w:tc>
        <w:tc>
          <w:tcPr>
            <w:tcW w:w="2547" w:type="dxa"/>
          </w:tcPr>
          <w:p w14:paraId="114CBB15" w14:textId="77777777" w:rsidR="00DF108B" w:rsidRDefault="00DF108B" w:rsidP="004A0E1A">
            <w:pPr>
              <w:pStyle w:val="RCTstable"/>
              <w:rPr>
                <w:rFonts w:ascii="Helvetica" w:hAnsi="Helvetica"/>
              </w:rPr>
            </w:pPr>
            <w:r>
              <w:rPr>
                <w:rFonts w:ascii="Helvetica" w:hAnsi="Helvetica"/>
              </w:rPr>
              <w:t>Mixed BMIs</w:t>
            </w:r>
          </w:p>
        </w:tc>
        <w:tc>
          <w:tcPr>
            <w:tcW w:w="2982" w:type="dxa"/>
          </w:tcPr>
          <w:p w14:paraId="47B1D1C5" w14:textId="2F736774" w:rsidR="00DF108B" w:rsidRDefault="008E1F6E" w:rsidP="004A0E1A">
            <w:pPr>
              <w:pStyle w:val="RCTstable"/>
              <w:jc w:val="center"/>
            </w:pPr>
            <w:r>
              <w:t xml:space="preserve">MD </w:t>
            </w:r>
            <w:r w:rsidR="00DF108B">
              <w:t>-4.70 (-8.07 to -1.34)</w:t>
            </w:r>
          </w:p>
        </w:tc>
        <w:tc>
          <w:tcPr>
            <w:tcW w:w="1134" w:type="dxa"/>
          </w:tcPr>
          <w:p w14:paraId="0BC954CD" w14:textId="77777777" w:rsidR="00DF108B" w:rsidRDefault="00DF108B" w:rsidP="004A0E1A">
            <w:pPr>
              <w:pStyle w:val="RCTstable"/>
              <w:jc w:val="center"/>
            </w:pPr>
            <w:r>
              <w:t>5</w:t>
            </w:r>
          </w:p>
        </w:tc>
      </w:tr>
      <w:tr w:rsidR="00DF108B" w:rsidRPr="00C12274" w14:paraId="4BAC0FB3" w14:textId="77777777" w:rsidTr="004A0E1A">
        <w:tc>
          <w:tcPr>
            <w:tcW w:w="2841" w:type="dxa"/>
          </w:tcPr>
          <w:p w14:paraId="7CB0A648" w14:textId="59B29F0B" w:rsidR="00DF108B" w:rsidRDefault="00DF108B" w:rsidP="002747EA">
            <w:pPr>
              <w:pStyle w:val="RCTstable"/>
              <w:rPr>
                <w:noProof/>
              </w:rPr>
            </w:pPr>
            <w:r>
              <w:rPr>
                <w:noProof/>
              </w:rPr>
              <w:t>*Tieu et al 2017</w:t>
            </w:r>
            <w:r>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413</w:t>
            </w:r>
            <w:r>
              <w:rPr>
                <w:noProof/>
              </w:rPr>
              <w:fldChar w:fldCharType="end"/>
            </w:r>
          </w:p>
        </w:tc>
        <w:tc>
          <w:tcPr>
            <w:tcW w:w="2547" w:type="dxa"/>
          </w:tcPr>
          <w:p w14:paraId="1FE81058" w14:textId="77777777" w:rsidR="00DF108B" w:rsidRDefault="00DF108B" w:rsidP="004A0E1A">
            <w:pPr>
              <w:pStyle w:val="RCTstable"/>
              <w:rPr>
                <w:rFonts w:ascii="Helvetica" w:hAnsi="Helvetica"/>
              </w:rPr>
            </w:pPr>
            <w:r>
              <w:rPr>
                <w:rFonts w:ascii="Helvetica" w:hAnsi="Helvetica"/>
              </w:rPr>
              <w:t>Mixed BMIs</w:t>
            </w:r>
          </w:p>
        </w:tc>
        <w:tc>
          <w:tcPr>
            <w:tcW w:w="2982" w:type="dxa"/>
          </w:tcPr>
          <w:p w14:paraId="24C7C0EF" w14:textId="44B2CC1A" w:rsidR="00DF108B" w:rsidRDefault="008E1F6E" w:rsidP="004A0E1A">
            <w:pPr>
              <w:pStyle w:val="RCTstable"/>
              <w:jc w:val="center"/>
            </w:pPr>
            <w:r>
              <w:t xml:space="preserve">MD </w:t>
            </w:r>
            <w:r w:rsidR="00DF108B">
              <w:t>-1.23 (-4.08 to 1.61)</w:t>
            </w:r>
          </w:p>
        </w:tc>
        <w:tc>
          <w:tcPr>
            <w:tcW w:w="1134" w:type="dxa"/>
          </w:tcPr>
          <w:p w14:paraId="1E4156CF" w14:textId="77777777" w:rsidR="00DF108B" w:rsidRDefault="00DF108B" w:rsidP="004A0E1A">
            <w:pPr>
              <w:pStyle w:val="RCTstable"/>
              <w:jc w:val="center"/>
            </w:pPr>
            <w:r>
              <w:t>4</w:t>
            </w:r>
          </w:p>
        </w:tc>
      </w:tr>
      <w:tr w:rsidR="00DF108B" w:rsidRPr="00C12274" w14:paraId="40B7B561" w14:textId="77777777" w:rsidTr="004A0E1A">
        <w:tc>
          <w:tcPr>
            <w:tcW w:w="2841" w:type="dxa"/>
          </w:tcPr>
          <w:p w14:paraId="22E33154" w14:textId="77777777" w:rsidR="00DF108B" w:rsidRPr="00C12274" w:rsidRDefault="00DF108B" w:rsidP="004A0E1A">
            <w:pPr>
              <w:pStyle w:val="RCTstable"/>
              <w:rPr>
                <w:noProof/>
              </w:rPr>
            </w:pPr>
            <w:r>
              <w:rPr>
                <w:noProof/>
              </w:rPr>
              <w:t>Walker et al 2018</w:t>
            </w:r>
          </w:p>
        </w:tc>
        <w:tc>
          <w:tcPr>
            <w:tcW w:w="2547" w:type="dxa"/>
          </w:tcPr>
          <w:p w14:paraId="00E81B31" w14:textId="77777777" w:rsidR="00DF108B" w:rsidRPr="00C12274" w:rsidRDefault="00DF108B" w:rsidP="004A0E1A">
            <w:pPr>
              <w:pStyle w:val="RCTstable"/>
              <w:rPr>
                <w:rFonts w:ascii="Helvetica" w:hAnsi="Helvetica"/>
              </w:rPr>
            </w:pPr>
            <w:r>
              <w:rPr>
                <w:rFonts w:ascii="Helvetica" w:hAnsi="Helvetica"/>
              </w:rPr>
              <w:t>Mixed BMIs</w:t>
            </w:r>
          </w:p>
        </w:tc>
        <w:tc>
          <w:tcPr>
            <w:tcW w:w="2982" w:type="dxa"/>
          </w:tcPr>
          <w:p w14:paraId="6367D8B4" w14:textId="0A39226A" w:rsidR="00DF108B" w:rsidRPr="00BE0624" w:rsidRDefault="008E1F6E" w:rsidP="004A0E1A">
            <w:pPr>
              <w:pStyle w:val="RCTstable"/>
              <w:jc w:val="center"/>
            </w:pPr>
            <w:r>
              <w:t xml:space="preserve">MD </w:t>
            </w:r>
            <w:r w:rsidR="00DF108B">
              <w:t>-3.27 (-4.96 to -1.58)</w:t>
            </w:r>
          </w:p>
        </w:tc>
        <w:tc>
          <w:tcPr>
            <w:tcW w:w="1134" w:type="dxa"/>
          </w:tcPr>
          <w:p w14:paraId="21F14A2F" w14:textId="77777777" w:rsidR="00DF108B" w:rsidRPr="00BE0624" w:rsidRDefault="00DF108B" w:rsidP="004A0E1A">
            <w:pPr>
              <w:pStyle w:val="RCTstable"/>
              <w:jc w:val="center"/>
            </w:pPr>
            <w:r>
              <w:t>9</w:t>
            </w:r>
          </w:p>
        </w:tc>
      </w:tr>
      <w:tr w:rsidR="00266B21" w:rsidRPr="00C12274" w14:paraId="4ABD5B4B" w14:textId="77777777" w:rsidTr="00465384">
        <w:tc>
          <w:tcPr>
            <w:tcW w:w="2841" w:type="dxa"/>
          </w:tcPr>
          <w:p w14:paraId="63072615" w14:textId="7C91B9FE" w:rsidR="00266B21" w:rsidRDefault="00266B21" w:rsidP="002747EA">
            <w:pPr>
              <w:pStyle w:val="RCTstable"/>
            </w:pPr>
            <w:r>
              <w:t>Craemer et al 2019</w:t>
            </w:r>
            <w:r w:rsidR="00E37D04">
              <w:fldChar w:fldCharType="begin">
                <w:fldData xml:space="preserve">PEVuZE5vdGU+PENpdGU+PEF1dGhvcj5DcmFlbWVyPC9BdXRob3I+PFllYXI+MjAxOTwvWWVhcj48
UmVjTnVtPjEzODI8L1JlY051bT48RGlzcGxheVRleHQ+PHN0eWxlIGZhY2U9InN1cGVyc2NyaXB0
IiBmb250PSJUcmVidWNoZXQgTVMiIHNpemU9IjkiPjQxNDwvc3R5bGU+PC9EaXNwbGF5VGV4dD48
cmVjb3JkPjxyZWMtbnVtYmVyPjEzODI8L3JlYy1udW1iZXI+PGZvcmVpZ24ta2V5cz48a2V5IGFw
cD0iRU4iIGRiLWlkPSJleHZhc3JmeDJkdHJhb2VzYXN4cDJzenN4YTJkZjUwMjU5MngiIHRpbWVz
dGFtcD0iMTU2NzEzODY4MSI+MTM4Mjwva2V5PjxrZXkgYXBwPSJFTldlYiIgZGItaWQ9IiI+MDwv
a2V5PjwvZm9yZWlnbi1rZXlzPjxyZWYtdHlwZSBuYW1lPSJKb3VybmFsIEFydGljbGUiPjE3PC9y
ZWYtdHlwZT48Y29udHJpYnV0b3JzPjxhdXRob3JzPjxhdXRob3I+Q3JhZW1lciwgSy4gQS48L2F1
dGhvcj48YXV0aG9yPlNhbXBlbmUsIEUuPC9hdXRob3I+PGF1dGhvcj5TYWZkYXIsIE4uPC9hdXRo
b3I+PGF1dGhvcj5BbnRvbnksIEsuIE0uPC9hdXRob3I+PGF1dGhvcj5XYXV0bGV0LCBDLiBLLjwv
YXV0aG9yPjwvYXV0aG9ycz48L2NvbnRyaWJ1dG9ycz48YXV0aC1hZGRyZXNzPkRlcGFydG1lbnQg
b2YgSW50ZWdyYXRlZCBCaW9sb2d5LCBVbml2ZXJzaXR5IG9mIFdpc2NvbnNpbiAtIE1hZGlzb24s
IE1hZGlzb24sIFdpc2NvbnNpbi4mI3hEO0RlcGFydG1lbnQgb2YgT2JzdGV0cmljcyBhbmQgR3lu
ZWNvbG9neSwgVW5pdmVyc2l0eSBvZiBXaXNjb25zaW4gLSBNYWRpc29uLCBNYWRpc29uLCBXaXNj
b25zaW4uJiN4RDtEZXBhcnRtZW50IG9mIEJpb3N0YXRpc3RpY3MgYW5kIE1lZGljYWwgSW5mb3Jt
YXRpY3MsIFVuaXZlcnNpdHkgb2YgV2lzY29uc2luIC0gTWFkaXNvbiwgTWFkaXNvbiwgV2lzY29u
c2luLiYjeEQ7RGl2aXNpb24gb2YgSW5mZWN0aW91cyBEaXNlYXNlLCBEZXBhcnRtZW50IG9mIE1l
ZGljaW5lLCBVbml2ZXJzaXR5IG9mIFdpc2NvbnNpbi1NYWRpc29uIFNjaG9vbCBvZiBNZWRpY2lu
ZSBhbmQgUHVibGljIEhlYWx0aCwgTWFkaXNvbiwgV2lzY29uc2luLiYjeEQ7RGVwYXJ0bWVudCBv
ZiBNZWRpY2luZSwgV2lsbGlhbSBTLiBNaWRkbGV0b24gTWVtb3JpYWwgVmV0ZXJhbnMgSG9zcGl0
YWwsIE1hZGlzb24sIFdpc2NvbnNpbi48L2F1dGgtYWRkcmVzcz48dGl0bGVzPjx0aXRsZT5OdXRy
aXRpb24gYW5kIEV4ZXJjaXNlIFN0cmF0ZWdpZXMgdG8gUHJldmVudCBFeGNlc3NpdmUgUHJlZ25h
bmN5IFdlaWdodCBHYWluOiBBIE1ldGEtYW5hbHlzaXM8L3RpdGxlPjxzZWNvbmRhcnktdGl0bGU+
QUpQIFJlcDwvc2Vjb25kYXJ5LXRpdGxlPjwvdGl0bGVzPjxwZXJpb2RpY2FsPjxmdWxsLXRpdGxl
PkFKUCBSZXA8L2Z1bGwtdGl0bGU+PC9wZXJpb2RpY2FsPjxwYWdlcz5lOTItZTEyMDwvcGFnZXM+
PHZvbHVtZT45PC92b2x1bWU+PG51bWJlcj4xPC9udW1iZXI+PGVkaXRpb24+MjAxOS8wNS8wMjwv
ZWRpdGlvbj48a2V5d29yZHM+PGtleXdvcmQ+ZXhlcmNpc2UgaW50ZXJ2ZW50aW9uPC9rZXl3b3Jk
PjxrZXl3b3JkPm51dHJpdGlvbiBpbnRlcnZlbnRpb248L2tleXdvcmQ+PGtleXdvcmQ+b2Jlc2l0
eTwva2V5d29yZD48a2V5d29yZD5wcmVnbmFuY3k8L2tleXdvcmQ+PGtleXdvcmQ+d2VpZ2h0IGdh
aW48L2tleXdvcmQ+PC9rZXl3b3Jkcz48ZGF0ZXM+PHllYXI+MjAxOTwveWVhcj48cHViLWRhdGVz
PjxkYXRlPkphbjwvZGF0ZT48L3B1Yi1kYXRlcz48L2RhdGVzPjxpc2JuPjIxNTctNjk5OCAoUHJp
bnQpJiN4RDsyMTU3LTcwMDUgKExpbmtpbmcpPC9pc2JuPjxhY2Nlc3Npb24tbnVtPjMxMDQxMTE4
PC9hY2Nlc3Npb24tbnVtPjx1cmxzPjxyZWxhdGVkLXVybHM+PHVybD5odHRwczovL3d3dy5uY2Jp
Lm5sbS5uaWguZ292L3B1Ym1lZC8zMTA0MTExODwvdXJsPjwvcmVsYXRlZC11cmxzPjwvdXJscz48
Y3VzdG9tMj5QTUM2NDI0ODE3PC9jdXN0b20yPjxlbGVjdHJvbmljLXJlc291cmNlLW51bT4xMC4x
MDU1L3MtMDAzOS0xNjgzMzc3PC9lbGVjdHJvbmljLXJlc291cmNlLW51bT48L3JlY29yZD48L0Np
dGU+PC9FbmROb3RlPgB=
</w:fldData>
              </w:fldChar>
            </w:r>
            <w:r w:rsidR="002747EA">
              <w:instrText xml:space="preserve"> ADDIN EN.CITE </w:instrText>
            </w:r>
            <w:r w:rsidR="002747EA">
              <w:fldChar w:fldCharType="begin">
                <w:fldData xml:space="preserve">PEVuZE5vdGU+PENpdGU+PEF1dGhvcj5DcmFlbWVyPC9BdXRob3I+PFllYXI+MjAxOTwvWWVhcj48
UmVjTnVtPjEzODI8L1JlY051bT48RGlzcGxheVRleHQ+PHN0eWxlIGZhY2U9InN1cGVyc2NyaXB0
IiBmb250PSJUcmVidWNoZXQgTVMiIHNpemU9IjkiPjQxNDwvc3R5bGU+PC9EaXNwbGF5VGV4dD48
cmVjb3JkPjxyZWMtbnVtYmVyPjEzODI8L3JlYy1udW1iZXI+PGZvcmVpZ24ta2V5cz48a2V5IGFw
cD0iRU4iIGRiLWlkPSJleHZhc3JmeDJkdHJhb2VzYXN4cDJzenN4YTJkZjUwMjU5MngiIHRpbWVz
dGFtcD0iMTU2NzEzODY4MSI+MTM4Mjwva2V5PjxrZXkgYXBwPSJFTldlYiIgZGItaWQ9IiI+MDwv
a2V5PjwvZm9yZWlnbi1rZXlzPjxyZWYtdHlwZSBuYW1lPSJKb3VybmFsIEFydGljbGUiPjE3PC9y
ZWYtdHlwZT48Y29udHJpYnV0b3JzPjxhdXRob3JzPjxhdXRob3I+Q3JhZW1lciwgSy4gQS48L2F1
dGhvcj48YXV0aG9yPlNhbXBlbmUsIEUuPC9hdXRob3I+PGF1dGhvcj5TYWZkYXIsIE4uPC9hdXRo
b3I+PGF1dGhvcj5BbnRvbnksIEsuIE0uPC9hdXRob3I+PGF1dGhvcj5XYXV0bGV0LCBDLiBLLjwv
YXV0aG9yPjwvYXV0aG9ycz48L2NvbnRyaWJ1dG9ycz48YXV0aC1hZGRyZXNzPkRlcGFydG1lbnQg
b2YgSW50ZWdyYXRlZCBCaW9sb2d5LCBVbml2ZXJzaXR5IG9mIFdpc2NvbnNpbiAtIE1hZGlzb24s
IE1hZGlzb24sIFdpc2NvbnNpbi4mI3hEO0RlcGFydG1lbnQgb2YgT2JzdGV0cmljcyBhbmQgR3lu
ZWNvbG9neSwgVW5pdmVyc2l0eSBvZiBXaXNjb25zaW4gLSBNYWRpc29uLCBNYWRpc29uLCBXaXNj
b25zaW4uJiN4RDtEZXBhcnRtZW50IG9mIEJpb3N0YXRpc3RpY3MgYW5kIE1lZGljYWwgSW5mb3Jt
YXRpY3MsIFVuaXZlcnNpdHkgb2YgV2lzY29uc2luIC0gTWFkaXNvbiwgTWFkaXNvbiwgV2lzY29u
c2luLiYjeEQ7RGl2aXNpb24gb2YgSW5mZWN0aW91cyBEaXNlYXNlLCBEZXBhcnRtZW50IG9mIE1l
ZGljaW5lLCBVbml2ZXJzaXR5IG9mIFdpc2NvbnNpbi1NYWRpc29uIFNjaG9vbCBvZiBNZWRpY2lu
ZSBhbmQgUHVibGljIEhlYWx0aCwgTWFkaXNvbiwgV2lzY29uc2luLiYjeEQ7RGVwYXJ0bWVudCBv
ZiBNZWRpY2luZSwgV2lsbGlhbSBTLiBNaWRkbGV0b24gTWVtb3JpYWwgVmV0ZXJhbnMgSG9zcGl0
YWwsIE1hZGlzb24sIFdpc2NvbnNpbi48L2F1dGgtYWRkcmVzcz48dGl0bGVzPjx0aXRsZT5OdXRy
aXRpb24gYW5kIEV4ZXJjaXNlIFN0cmF0ZWdpZXMgdG8gUHJldmVudCBFeGNlc3NpdmUgUHJlZ25h
bmN5IFdlaWdodCBHYWluOiBBIE1ldGEtYW5hbHlzaXM8L3RpdGxlPjxzZWNvbmRhcnktdGl0bGU+
QUpQIFJlcDwvc2Vjb25kYXJ5LXRpdGxlPjwvdGl0bGVzPjxwZXJpb2RpY2FsPjxmdWxsLXRpdGxl
PkFKUCBSZXA8L2Z1bGwtdGl0bGU+PC9wZXJpb2RpY2FsPjxwYWdlcz5lOTItZTEyMDwvcGFnZXM+
PHZvbHVtZT45PC92b2x1bWU+PG51bWJlcj4xPC9udW1iZXI+PGVkaXRpb24+MjAxOS8wNS8wMjwv
ZWRpdGlvbj48a2V5d29yZHM+PGtleXdvcmQ+ZXhlcmNpc2UgaW50ZXJ2ZW50aW9uPC9rZXl3b3Jk
PjxrZXl3b3JkPm51dHJpdGlvbiBpbnRlcnZlbnRpb248L2tleXdvcmQ+PGtleXdvcmQ+b2Jlc2l0
eTwva2V5d29yZD48a2V5d29yZD5wcmVnbmFuY3k8L2tleXdvcmQ+PGtleXdvcmQ+d2VpZ2h0IGdh
aW48L2tleXdvcmQ+PC9rZXl3b3Jkcz48ZGF0ZXM+PHllYXI+MjAxOTwveWVhcj48cHViLWRhdGVz
PjxkYXRlPkphbjwvZGF0ZT48L3B1Yi1kYXRlcz48L2RhdGVzPjxpc2JuPjIxNTctNjk5OCAoUHJp
bnQpJiN4RDsyMTU3LTcwMDUgKExpbmtpbmcpPC9pc2JuPjxhY2Nlc3Npb24tbnVtPjMxMDQxMTE4
PC9hY2Nlc3Npb24tbnVtPjx1cmxzPjxyZWxhdGVkLXVybHM+PHVybD5odHRwczovL3d3dy5uY2Jp
Lm5sbS5uaWguZ292L3B1Ym1lZC8zMTA0MTExODwvdXJsPjwvcmVsYXRlZC11cmxzPjwvdXJscz48
Y3VzdG9tMj5QTUM2NDI0ODE3PC9jdXN0b20yPjxlbGVjdHJvbmljLXJlc291cmNlLW51bT4xMC4x
MDU1L3MtMDAzOS0xNjgzMzc3PC9lbGVjdHJvbmljLXJlc291cmNlLW51bT48L3JlY29yZD48L0Np
dGU+PC9FbmROb3RlPgB=
</w:fldData>
              </w:fldChar>
            </w:r>
            <w:r w:rsidR="002747EA">
              <w:instrText xml:space="preserve"> ADDIN EN.CITE.DATA </w:instrText>
            </w:r>
            <w:r w:rsidR="002747EA">
              <w:fldChar w:fldCharType="end"/>
            </w:r>
            <w:r w:rsidR="00E37D04">
              <w:fldChar w:fldCharType="separate"/>
            </w:r>
            <w:r w:rsidR="002747EA" w:rsidRPr="002747EA">
              <w:rPr>
                <w:noProof/>
                <w:sz w:val="18"/>
                <w:vertAlign w:val="superscript"/>
              </w:rPr>
              <w:t>414</w:t>
            </w:r>
            <w:r w:rsidR="00E37D04">
              <w:fldChar w:fldCharType="end"/>
            </w:r>
          </w:p>
        </w:tc>
        <w:tc>
          <w:tcPr>
            <w:tcW w:w="2547" w:type="dxa"/>
          </w:tcPr>
          <w:p w14:paraId="244CCC1F" w14:textId="77777777" w:rsidR="00266B21" w:rsidRDefault="00266B21" w:rsidP="00465384">
            <w:pPr>
              <w:pStyle w:val="RCTstable"/>
            </w:pPr>
            <w:r>
              <w:t>Mixed BMIs</w:t>
            </w:r>
          </w:p>
        </w:tc>
        <w:tc>
          <w:tcPr>
            <w:tcW w:w="2982" w:type="dxa"/>
          </w:tcPr>
          <w:p w14:paraId="313F8898" w14:textId="728E44CF" w:rsidR="00266B21" w:rsidRDefault="008E1F6E" w:rsidP="00266B21">
            <w:pPr>
              <w:pStyle w:val="RCTstable"/>
              <w:jc w:val="center"/>
            </w:pPr>
            <w:r>
              <w:t xml:space="preserve">MD </w:t>
            </w:r>
            <w:r w:rsidR="00266B21">
              <w:t>−1.81 (−2.61 to −1.02)</w:t>
            </w:r>
          </w:p>
        </w:tc>
        <w:tc>
          <w:tcPr>
            <w:tcW w:w="1134" w:type="dxa"/>
          </w:tcPr>
          <w:p w14:paraId="6D68060F" w14:textId="67BF5886" w:rsidR="00266B21" w:rsidRDefault="00266B21" w:rsidP="00465384">
            <w:pPr>
              <w:pStyle w:val="RCTstable"/>
              <w:jc w:val="center"/>
            </w:pPr>
            <w:r>
              <w:t>6</w:t>
            </w:r>
          </w:p>
        </w:tc>
      </w:tr>
      <w:tr w:rsidR="00DF108B" w:rsidRPr="00C12274" w14:paraId="2D25E289" w14:textId="77777777" w:rsidTr="004A0E1A">
        <w:tc>
          <w:tcPr>
            <w:tcW w:w="2841" w:type="dxa"/>
            <w:vMerge w:val="restart"/>
          </w:tcPr>
          <w:p w14:paraId="62B62EF1" w14:textId="43852828" w:rsidR="00DF108B" w:rsidRPr="00C12274" w:rsidRDefault="00DF108B"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tcPr>
          <w:p w14:paraId="0233B230" w14:textId="77777777" w:rsidR="00DF108B" w:rsidRPr="00C12274" w:rsidRDefault="00DF108B" w:rsidP="004A0E1A">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tcPr>
          <w:p w14:paraId="14479EBA" w14:textId="4A36985F" w:rsidR="00DF108B" w:rsidRPr="00BE0624" w:rsidRDefault="008E1F6E" w:rsidP="004A0E1A">
            <w:pPr>
              <w:pStyle w:val="RCTstable"/>
              <w:jc w:val="center"/>
            </w:pPr>
            <w:r>
              <w:t xml:space="preserve">MD </w:t>
            </w:r>
            <w:r w:rsidR="00DF108B" w:rsidRPr="00BE0624">
              <w:t>−0.7</w:t>
            </w:r>
            <w:r w:rsidR="00DF108B">
              <w:t>2</w:t>
            </w:r>
            <w:r w:rsidR="00DF108B" w:rsidRPr="00BE0624">
              <w:t xml:space="preserve"> (−1.</w:t>
            </w:r>
            <w:r w:rsidR="00DF108B">
              <w:t xml:space="preserve">48 to </w:t>
            </w:r>
            <w:r w:rsidR="00DF108B" w:rsidRPr="00BE0624">
              <w:t>0.</w:t>
            </w:r>
            <w:r w:rsidR="00DF108B">
              <w:t>0</w:t>
            </w:r>
            <w:r w:rsidR="00DF108B" w:rsidRPr="00BE0624">
              <w:t>4)</w:t>
            </w:r>
          </w:p>
        </w:tc>
        <w:tc>
          <w:tcPr>
            <w:tcW w:w="1134" w:type="dxa"/>
          </w:tcPr>
          <w:p w14:paraId="1AA0FD66" w14:textId="77777777" w:rsidR="00DF108B" w:rsidRPr="00BE0624" w:rsidRDefault="00DF108B" w:rsidP="004A0E1A">
            <w:pPr>
              <w:pStyle w:val="RCTstable"/>
              <w:jc w:val="center"/>
            </w:pPr>
            <w:r>
              <w:t>4</w:t>
            </w:r>
          </w:p>
        </w:tc>
      </w:tr>
      <w:tr w:rsidR="00DF108B" w:rsidRPr="00C12274" w14:paraId="3876DFA7" w14:textId="77777777" w:rsidTr="004A0E1A">
        <w:tc>
          <w:tcPr>
            <w:tcW w:w="2841" w:type="dxa"/>
            <w:vMerge/>
          </w:tcPr>
          <w:p w14:paraId="21706941" w14:textId="77777777" w:rsidR="00DF108B" w:rsidRPr="00C12274" w:rsidRDefault="00DF108B" w:rsidP="004A0E1A">
            <w:pPr>
              <w:pStyle w:val="RCTstable"/>
              <w:rPr>
                <w:noProof/>
              </w:rPr>
            </w:pPr>
          </w:p>
        </w:tc>
        <w:tc>
          <w:tcPr>
            <w:tcW w:w="2547" w:type="dxa"/>
          </w:tcPr>
          <w:p w14:paraId="7082A107" w14:textId="77777777" w:rsidR="00DF108B" w:rsidRPr="00C12274" w:rsidRDefault="00DF108B" w:rsidP="004A0E1A">
            <w:pPr>
              <w:pStyle w:val="RCTstable"/>
              <w:rPr>
                <w:rFonts w:ascii="Helvetica" w:hAnsi="Helvetica"/>
              </w:rPr>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tcPr>
          <w:p w14:paraId="5E686F25" w14:textId="0931D104" w:rsidR="00DF108B" w:rsidRPr="00BE0624" w:rsidRDefault="008E1F6E" w:rsidP="004A0E1A">
            <w:pPr>
              <w:pStyle w:val="RCTstable"/>
              <w:jc w:val="center"/>
            </w:pPr>
            <w:r>
              <w:t xml:space="preserve">MD </w:t>
            </w:r>
            <w:r w:rsidR="00DF108B" w:rsidRPr="00BE0624">
              <w:rPr>
                <w:rFonts w:eastAsiaTheme="majorEastAsia"/>
              </w:rPr>
              <w:t>−</w:t>
            </w:r>
            <w:r w:rsidR="00DF108B">
              <w:t>2.84</w:t>
            </w:r>
            <w:r w:rsidR="00DF108B" w:rsidRPr="00BE0624">
              <w:t xml:space="preserve"> (</w:t>
            </w:r>
            <w:r w:rsidR="00DF108B" w:rsidRPr="00BE0624">
              <w:rPr>
                <w:rFonts w:eastAsiaTheme="majorEastAsia"/>
              </w:rPr>
              <w:t>−</w:t>
            </w:r>
            <w:r w:rsidR="00DF108B">
              <w:t>4.77</w:t>
            </w:r>
            <w:r w:rsidR="00DF108B" w:rsidRPr="00BE0624">
              <w:t xml:space="preserve"> to </w:t>
            </w:r>
            <w:r w:rsidR="00DF108B" w:rsidRPr="00BE0624">
              <w:rPr>
                <w:rFonts w:eastAsiaTheme="majorEastAsia"/>
              </w:rPr>
              <w:t>−</w:t>
            </w:r>
            <w:r w:rsidR="00DF108B" w:rsidRPr="00BE0624">
              <w:t>0.4</w:t>
            </w:r>
            <w:r w:rsidR="00DF108B">
              <w:t>9</w:t>
            </w:r>
            <w:r w:rsidR="00DF108B" w:rsidRPr="00BE0624">
              <w:t>1)</w:t>
            </w:r>
          </w:p>
        </w:tc>
        <w:tc>
          <w:tcPr>
            <w:tcW w:w="1134" w:type="dxa"/>
          </w:tcPr>
          <w:p w14:paraId="677CC3F8" w14:textId="77777777" w:rsidR="00DF108B" w:rsidRPr="00BE0624" w:rsidRDefault="00DF108B" w:rsidP="004A0E1A">
            <w:pPr>
              <w:pStyle w:val="RCTstable"/>
              <w:jc w:val="center"/>
            </w:pPr>
            <w:r>
              <w:t>12</w:t>
            </w:r>
          </w:p>
        </w:tc>
      </w:tr>
      <w:tr w:rsidR="00DF108B" w:rsidRPr="00C12274" w14:paraId="3AC89F5F" w14:textId="77777777" w:rsidTr="004A0E1A">
        <w:trPr>
          <w:trHeight w:val="72"/>
        </w:trPr>
        <w:tc>
          <w:tcPr>
            <w:tcW w:w="2841" w:type="dxa"/>
          </w:tcPr>
          <w:p w14:paraId="436EEC59" w14:textId="620D2F47" w:rsidR="00DF108B" w:rsidRPr="00C12274" w:rsidRDefault="00DF108B"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116DF4A4" w14:textId="77777777" w:rsidR="00DF108B" w:rsidRPr="00C12274" w:rsidRDefault="00DF108B" w:rsidP="004A0E1A">
            <w:pPr>
              <w:pStyle w:val="RCTstable"/>
            </w:pPr>
            <w:r>
              <w:t>Overweight and obese</w:t>
            </w:r>
          </w:p>
        </w:tc>
        <w:tc>
          <w:tcPr>
            <w:tcW w:w="2982" w:type="dxa"/>
          </w:tcPr>
          <w:p w14:paraId="424EF70B" w14:textId="27E76665" w:rsidR="00DF108B" w:rsidRPr="00BE0624" w:rsidRDefault="008E1F6E" w:rsidP="004A0E1A">
            <w:pPr>
              <w:pStyle w:val="RCTstable"/>
              <w:jc w:val="center"/>
              <w:rPr>
                <w:rFonts w:eastAsiaTheme="majorEastAsia"/>
              </w:rPr>
            </w:pPr>
            <w:r>
              <w:t xml:space="preserve">MD </w:t>
            </w:r>
            <w:r w:rsidR="00DF108B">
              <w:t>-3.10 (-8.32 to</w:t>
            </w:r>
            <w:r w:rsidR="00DF108B" w:rsidRPr="00482D06">
              <w:t xml:space="preserve"> 2.13</w:t>
            </w:r>
            <w:r w:rsidR="00DF108B">
              <w:t>)</w:t>
            </w:r>
          </w:p>
        </w:tc>
        <w:tc>
          <w:tcPr>
            <w:tcW w:w="1134" w:type="dxa"/>
          </w:tcPr>
          <w:p w14:paraId="6A683510" w14:textId="77777777" w:rsidR="00DF108B" w:rsidRDefault="00DF108B" w:rsidP="004A0E1A">
            <w:pPr>
              <w:pStyle w:val="RCTstable"/>
              <w:jc w:val="center"/>
            </w:pPr>
            <w:r>
              <w:t>4</w:t>
            </w:r>
          </w:p>
        </w:tc>
      </w:tr>
      <w:tr w:rsidR="00263570" w:rsidRPr="00B87066" w14:paraId="217DDB06" w14:textId="77777777" w:rsidTr="00FA5BCA">
        <w:tc>
          <w:tcPr>
            <w:tcW w:w="9504" w:type="dxa"/>
            <w:gridSpan w:val="4"/>
            <w:shd w:val="clear" w:color="auto" w:fill="D9E2F3" w:themeFill="accent1" w:themeFillTint="33"/>
          </w:tcPr>
          <w:p w14:paraId="29B1B51D" w14:textId="77777777" w:rsidR="00263570" w:rsidRPr="00B87066" w:rsidRDefault="00263570" w:rsidP="00103A07">
            <w:pPr>
              <w:pStyle w:val="RCTstable"/>
              <w:rPr>
                <w:i/>
              </w:rPr>
            </w:pPr>
            <w:r w:rsidRPr="00B87066">
              <w:rPr>
                <w:i/>
              </w:rPr>
              <w:t>Weight gain exceeding IOM guidelines</w:t>
            </w:r>
          </w:p>
        </w:tc>
      </w:tr>
      <w:tr w:rsidR="00263570" w:rsidRPr="00B87066" w14:paraId="3F1DD449" w14:textId="77777777" w:rsidTr="00263570">
        <w:tc>
          <w:tcPr>
            <w:tcW w:w="2841" w:type="dxa"/>
            <w:tcBorders>
              <w:bottom w:val="single" w:sz="4" w:space="0" w:color="3B3474"/>
            </w:tcBorders>
            <w:shd w:val="clear" w:color="auto" w:fill="F2F2F2" w:themeFill="background1" w:themeFillShade="F2"/>
          </w:tcPr>
          <w:p w14:paraId="74484593" w14:textId="77777777" w:rsidR="00263570" w:rsidRPr="00B87066" w:rsidRDefault="00263570" w:rsidP="00263570">
            <w:pPr>
              <w:pStyle w:val="RCTstable"/>
            </w:pPr>
            <w:r w:rsidRPr="00B87066">
              <w:t>Current review</w:t>
            </w:r>
          </w:p>
        </w:tc>
        <w:tc>
          <w:tcPr>
            <w:tcW w:w="2547" w:type="dxa"/>
            <w:tcBorders>
              <w:bottom w:val="single" w:sz="4" w:space="0" w:color="3B3474"/>
            </w:tcBorders>
            <w:shd w:val="clear" w:color="auto" w:fill="F2F2F2" w:themeFill="background1" w:themeFillShade="F2"/>
          </w:tcPr>
          <w:p w14:paraId="13A214C9" w14:textId="77777777" w:rsidR="00263570" w:rsidRPr="00B87066" w:rsidRDefault="00263570" w:rsidP="00263570">
            <w:pPr>
              <w:pStyle w:val="RCTstable"/>
            </w:pPr>
            <w:r w:rsidRPr="00B87066">
              <w:t>Mixed BMIs</w:t>
            </w:r>
          </w:p>
        </w:tc>
        <w:tc>
          <w:tcPr>
            <w:tcW w:w="2982" w:type="dxa"/>
            <w:tcBorders>
              <w:bottom w:val="single" w:sz="4" w:space="0" w:color="3B3474"/>
            </w:tcBorders>
            <w:shd w:val="clear" w:color="auto" w:fill="F2F2F2" w:themeFill="background1" w:themeFillShade="F2"/>
          </w:tcPr>
          <w:p w14:paraId="4C042A93" w14:textId="1BE7409C" w:rsidR="00263570" w:rsidRPr="00A33D96" w:rsidRDefault="00A67139" w:rsidP="00103A07">
            <w:pPr>
              <w:pStyle w:val="RCTstable"/>
              <w:jc w:val="center"/>
            </w:pPr>
            <w:r>
              <w:t>RR 0.65 (0.54 to 0.77)</w:t>
            </w:r>
          </w:p>
        </w:tc>
        <w:tc>
          <w:tcPr>
            <w:tcW w:w="1134" w:type="dxa"/>
            <w:tcBorders>
              <w:bottom w:val="single" w:sz="4" w:space="0" w:color="3B3474"/>
            </w:tcBorders>
            <w:shd w:val="clear" w:color="auto" w:fill="F2F2F2" w:themeFill="background1" w:themeFillShade="F2"/>
          </w:tcPr>
          <w:p w14:paraId="56E23526" w14:textId="11A6695B" w:rsidR="00263570" w:rsidRPr="00B87066" w:rsidRDefault="00A67139" w:rsidP="00103A07">
            <w:pPr>
              <w:pStyle w:val="RCTstable"/>
              <w:jc w:val="center"/>
            </w:pPr>
            <w:r>
              <w:t>4</w:t>
            </w:r>
          </w:p>
        </w:tc>
      </w:tr>
      <w:tr w:rsidR="00A3266B" w:rsidRPr="00B87066" w14:paraId="48B2D4E9" w14:textId="77777777" w:rsidTr="006B3B11">
        <w:tc>
          <w:tcPr>
            <w:tcW w:w="2841" w:type="dxa"/>
            <w:tcBorders>
              <w:bottom w:val="single" w:sz="4" w:space="0" w:color="3B3474"/>
            </w:tcBorders>
            <w:shd w:val="clear" w:color="auto" w:fill="auto"/>
          </w:tcPr>
          <w:p w14:paraId="18DAD000" w14:textId="613D0F65" w:rsidR="00A3266B" w:rsidRPr="00B87066" w:rsidRDefault="00372779"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Borders>
              <w:bottom w:val="single" w:sz="4" w:space="0" w:color="3B3474"/>
            </w:tcBorders>
            <w:shd w:val="clear" w:color="auto" w:fill="auto"/>
          </w:tcPr>
          <w:p w14:paraId="1D6A4C52" w14:textId="02A19544" w:rsidR="00A3266B" w:rsidRPr="00B87066" w:rsidRDefault="00B46124" w:rsidP="006A3F9A">
            <w:pPr>
              <w:pStyle w:val="RCTstable"/>
            </w:pPr>
            <w:r>
              <w:t>Mixed BMIs</w:t>
            </w:r>
          </w:p>
        </w:tc>
        <w:tc>
          <w:tcPr>
            <w:tcW w:w="2982" w:type="dxa"/>
            <w:tcBorders>
              <w:bottom w:val="single" w:sz="4" w:space="0" w:color="3B3474"/>
            </w:tcBorders>
            <w:shd w:val="clear" w:color="auto" w:fill="auto"/>
          </w:tcPr>
          <w:p w14:paraId="11FEA1BC" w14:textId="0BE7F9DF" w:rsidR="00A3266B" w:rsidRPr="00B87066" w:rsidRDefault="00B46124" w:rsidP="006A3F9A">
            <w:pPr>
              <w:pStyle w:val="RCTstable"/>
              <w:jc w:val="center"/>
            </w:pPr>
            <w:r>
              <w:t>RR 0.74 (0.55 to 0.99)</w:t>
            </w:r>
          </w:p>
        </w:tc>
        <w:tc>
          <w:tcPr>
            <w:tcW w:w="1134" w:type="dxa"/>
            <w:tcBorders>
              <w:bottom w:val="single" w:sz="4" w:space="0" w:color="3B3474"/>
            </w:tcBorders>
            <w:shd w:val="clear" w:color="auto" w:fill="auto"/>
          </w:tcPr>
          <w:p w14:paraId="708F68C2" w14:textId="5D698949" w:rsidR="00A3266B" w:rsidRPr="00B87066" w:rsidRDefault="00B46124" w:rsidP="006A3F9A">
            <w:pPr>
              <w:pStyle w:val="RCTstable"/>
              <w:jc w:val="center"/>
            </w:pPr>
            <w:r>
              <w:t>2</w:t>
            </w:r>
          </w:p>
        </w:tc>
      </w:tr>
      <w:tr w:rsidR="00103A07" w:rsidRPr="00B87066" w14:paraId="21481DAB" w14:textId="77777777" w:rsidTr="006B3B11">
        <w:tc>
          <w:tcPr>
            <w:tcW w:w="9504" w:type="dxa"/>
            <w:gridSpan w:val="4"/>
            <w:shd w:val="clear" w:color="auto" w:fill="D9E2F3" w:themeFill="accent1" w:themeFillTint="33"/>
          </w:tcPr>
          <w:p w14:paraId="00D5B331" w14:textId="602A5E13" w:rsidR="00103A07" w:rsidRPr="00B87066" w:rsidRDefault="00103A07" w:rsidP="00103A07">
            <w:pPr>
              <w:pStyle w:val="RCTstable"/>
              <w:rPr>
                <w:i/>
              </w:rPr>
            </w:pPr>
            <w:r>
              <w:rPr>
                <w:i/>
              </w:rPr>
              <w:t>Gestational diabetes</w:t>
            </w:r>
          </w:p>
        </w:tc>
      </w:tr>
      <w:tr w:rsidR="00103A07" w:rsidRPr="00B87066" w14:paraId="7BE00A95" w14:textId="77777777" w:rsidTr="00103A07">
        <w:tc>
          <w:tcPr>
            <w:tcW w:w="2841" w:type="dxa"/>
            <w:tcBorders>
              <w:bottom w:val="single" w:sz="4" w:space="0" w:color="3B3474"/>
            </w:tcBorders>
            <w:shd w:val="clear" w:color="auto" w:fill="F2F2F2" w:themeFill="background1" w:themeFillShade="F2"/>
          </w:tcPr>
          <w:p w14:paraId="66A6EBCE" w14:textId="77777777" w:rsidR="00103A07" w:rsidRPr="00B87066" w:rsidRDefault="00103A07" w:rsidP="00103A07">
            <w:pPr>
              <w:pStyle w:val="RCTstable"/>
            </w:pPr>
            <w:r w:rsidRPr="00B87066">
              <w:t>Current review</w:t>
            </w:r>
          </w:p>
        </w:tc>
        <w:tc>
          <w:tcPr>
            <w:tcW w:w="2547" w:type="dxa"/>
            <w:tcBorders>
              <w:bottom w:val="single" w:sz="4" w:space="0" w:color="3B3474"/>
            </w:tcBorders>
            <w:shd w:val="clear" w:color="auto" w:fill="F2F2F2" w:themeFill="background1" w:themeFillShade="F2"/>
          </w:tcPr>
          <w:p w14:paraId="2CB13C81" w14:textId="77777777" w:rsidR="00103A07" w:rsidRPr="00B87066" w:rsidRDefault="00103A07" w:rsidP="00103A07">
            <w:pPr>
              <w:pStyle w:val="RCTstable"/>
            </w:pPr>
            <w:r w:rsidRPr="00B87066">
              <w:t>Mixed BMIs</w:t>
            </w:r>
          </w:p>
        </w:tc>
        <w:tc>
          <w:tcPr>
            <w:tcW w:w="2982" w:type="dxa"/>
            <w:tcBorders>
              <w:bottom w:val="single" w:sz="4" w:space="0" w:color="3B3474"/>
            </w:tcBorders>
            <w:shd w:val="clear" w:color="auto" w:fill="F2F2F2" w:themeFill="background1" w:themeFillShade="F2"/>
          </w:tcPr>
          <w:p w14:paraId="266AE9FF" w14:textId="382482E1" w:rsidR="00103A07" w:rsidRPr="00A33D96" w:rsidRDefault="00A67139" w:rsidP="00103A07">
            <w:pPr>
              <w:pStyle w:val="RCTstable"/>
              <w:jc w:val="center"/>
            </w:pPr>
            <w:r>
              <w:t>RR 0.86 (0.64 to 1.17)</w:t>
            </w:r>
          </w:p>
        </w:tc>
        <w:tc>
          <w:tcPr>
            <w:tcW w:w="1134" w:type="dxa"/>
            <w:tcBorders>
              <w:bottom w:val="single" w:sz="4" w:space="0" w:color="3B3474"/>
            </w:tcBorders>
            <w:shd w:val="clear" w:color="auto" w:fill="F2F2F2" w:themeFill="background1" w:themeFillShade="F2"/>
          </w:tcPr>
          <w:p w14:paraId="6E9F99E6" w14:textId="6BBDBBC4" w:rsidR="00103A07" w:rsidRPr="00B87066" w:rsidRDefault="00A67139" w:rsidP="00103A07">
            <w:pPr>
              <w:pStyle w:val="RCTstable"/>
              <w:jc w:val="center"/>
            </w:pPr>
            <w:r>
              <w:t>6</w:t>
            </w:r>
          </w:p>
        </w:tc>
      </w:tr>
      <w:tr w:rsidR="00A3266B" w:rsidRPr="00B87066" w14:paraId="2E1CADB0" w14:textId="77777777" w:rsidTr="006A3F9A">
        <w:tc>
          <w:tcPr>
            <w:tcW w:w="2841" w:type="dxa"/>
            <w:shd w:val="clear" w:color="auto" w:fill="auto"/>
          </w:tcPr>
          <w:p w14:paraId="7C431000" w14:textId="64BEDF36" w:rsidR="00A3266B" w:rsidRPr="00B87066" w:rsidRDefault="00A3266B" w:rsidP="002747EA">
            <w:pPr>
              <w:pStyle w:val="RCTstable"/>
            </w:pPr>
            <w:r>
              <w:t>Bennett et al 2018</w:t>
            </w:r>
            <w:r w:rsidR="006A3F9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rsidR="006A3F9A">
              <w:fldChar w:fldCharType="separate"/>
            </w:r>
            <w:r w:rsidR="002747EA" w:rsidRPr="002747EA">
              <w:rPr>
                <w:noProof/>
                <w:sz w:val="18"/>
                <w:vertAlign w:val="superscript"/>
              </w:rPr>
              <w:t>418</w:t>
            </w:r>
            <w:r w:rsidR="006A3F9A">
              <w:fldChar w:fldCharType="end"/>
            </w:r>
          </w:p>
        </w:tc>
        <w:tc>
          <w:tcPr>
            <w:tcW w:w="2547" w:type="dxa"/>
            <w:shd w:val="clear" w:color="auto" w:fill="auto"/>
          </w:tcPr>
          <w:p w14:paraId="33C9B78D" w14:textId="77777777" w:rsidR="00A3266B" w:rsidRPr="00B87066" w:rsidRDefault="00A3266B" w:rsidP="006A3F9A">
            <w:pPr>
              <w:pStyle w:val="RCTstable"/>
            </w:pPr>
            <w:r>
              <w:t>Mixed BMIs</w:t>
            </w:r>
          </w:p>
        </w:tc>
        <w:tc>
          <w:tcPr>
            <w:tcW w:w="2982" w:type="dxa"/>
            <w:shd w:val="clear" w:color="auto" w:fill="auto"/>
          </w:tcPr>
          <w:p w14:paraId="5C937742" w14:textId="77777777" w:rsidR="00A3266B" w:rsidRPr="00B87066" w:rsidRDefault="00A3266B" w:rsidP="006A3F9A">
            <w:pPr>
              <w:pStyle w:val="RCTstable"/>
              <w:jc w:val="center"/>
            </w:pPr>
            <w:r>
              <w:t>RR 0.56 (0.32 to 0.96)</w:t>
            </w:r>
          </w:p>
        </w:tc>
        <w:tc>
          <w:tcPr>
            <w:tcW w:w="1134" w:type="dxa"/>
            <w:shd w:val="clear" w:color="auto" w:fill="auto"/>
          </w:tcPr>
          <w:p w14:paraId="2053136B" w14:textId="77777777" w:rsidR="00A3266B" w:rsidRPr="00B87066" w:rsidRDefault="00A3266B" w:rsidP="006A3F9A">
            <w:pPr>
              <w:pStyle w:val="RCTstable"/>
              <w:jc w:val="center"/>
            </w:pPr>
            <w:r>
              <w:t>6</w:t>
            </w:r>
          </w:p>
        </w:tc>
      </w:tr>
      <w:tr w:rsidR="00A729FA" w:rsidRPr="00B87066" w14:paraId="682C57CA" w14:textId="77777777" w:rsidTr="006A3F9A">
        <w:tc>
          <w:tcPr>
            <w:tcW w:w="2841" w:type="dxa"/>
            <w:shd w:val="clear" w:color="auto" w:fill="auto"/>
          </w:tcPr>
          <w:p w14:paraId="311C0690" w14:textId="5BB6ED09" w:rsidR="00A729FA" w:rsidRDefault="00A729FA" w:rsidP="002747EA">
            <w:pPr>
              <w:pStyle w:val="RCTstable"/>
            </w:pPr>
            <w:r>
              <w:t>Guo et al 2019</w:t>
            </w:r>
            <w:r w:rsidR="00767EBF">
              <w:fldChar w:fldCharType="begin">
                <w:fldData xml:space="preserve">PEVuZE5vdGU+PENpdGU+PEF1dGhvcj5HdW88L0F1dGhvcj48WWVhcj4yMDE5PC9ZZWFyPjxSZWNO
dW0+MTQyMDwvUmVjTnVtPjxEaXNwbGF5VGV4dD48c3R5bGUgZmFjZT0ic3VwZXJzY3JpcHQiIGZv
bnQ9IlRyZWJ1Y2hldCBNUyIgc2l6ZT0iOSI+NDE5PC9zdHlsZT48L0Rpc3BsYXlUZXh0PjxyZWNv
cmQ+PHJlYy1udW1iZXI+MTQyMDwvcmVjLW51bWJlcj48Zm9yZWlnbi1rZXlzPjxrZXkgYXBwPSJF
TiIgZGItaWQ9ImV4dmFzcmZ4MmR0cmFvZXNhc3hwMnN6c3hhMmRmNTAyNTkyeCIgdGltZXN0YW1w
PSIxNTY4MzUxOTY0Ij4xNDIwPC9rZXk+PC9mb3JlaWduLWtleXM+PHJlZi10eXBlIG5hbWU9Ikpv
dXJuYWwgQXJ0aWNsZSI+MTc8L3JlZi10eXBlPjxjb250cmlidXRvcnM+PGF1dGhvcnM+PGF1dGhv
cj5HdW8sIFguIFkuPC9hdXRob3I+PGF1dGhvcj5TaHUsIEouPC9hdXRob3I+PGF1dGhvcj5GdSwg
WC4gSC48L2F1dGhvcj48YXV0aG9yPkNoZW4sIFguIFAuPC9hdXRob3I+PGF1dGhvcj5aaGFuZywg
TC48L2F1dGhvcj48YXV0aG9yPkppLCBNLiBYLjwvYXV0aG9yPjxhdXRob3I+TGl1LCBYLiBNLjwv
YXV0aG9yPjxhdXRob3I+WXUsIFQuIFQuPC9hdXRob3I+PGF1dGhvcj5TaGVuZywgSi4gWi48L2F1
dGhvcj48YXV0aG9yPkh1YW5nLCBILiBGLjwvYXV0aG9yPjwvYXV0aG9ycz48L2NvbnRyaWJ1dG9y
cz48YXV0aC1hZGRyZXNzPkRlcGFydG1lbnQgb2YgUmVwcm9kdWN0aXZlIEVuZG9jcmlub2xvZ3ks
IFpoZWppYW5nIFByb3ZpbmNpYWwgUGVvcGxlJmFwb3M7cyBIb3NwaXRhbCwgUGVvcGxlJmFwb3M7
cyBIb3NwaXRhbCBvZiBIYW5nemhvdSBNZWRpY2FsIENvbGxlZ2UsIEhhbmd6aG91LCBDaGluYS4m
I3hEO0ludGVybmF0aW9uYWwgUGVhY2UgTWF0ZXJuaXR5IGFuZCBDaGlsZCBIZWFsdGggSG9zcGl0
YWwsIFNjaG9vbCBvZiBNZWRpY2luZSwgU2hhbmdoYWkgSmlhbyBUb25nIFVuaXZlcnNpdHksIFNo
YW5naGFpLCBDaGluYS4mI3hEO0luc3RpdHV0ZSBvZiBFbWJyeW8tRmV0YWwgT3JpZ2luYWwgQWR1
bHQgRGlzZWFzZSwgU2Nob29sIG9mIE1lZGljaW5lLCBTaGFuZ2hhaSBKaWFvIFRvbmcgVW5pdmVy
c2l0eSwgU2hhbmdoYWksIENoaW5hLiYjeEQ7RGVwYXJ0bWVudCBvZiBQYXRob3BoeXNpb2xvZ3ks
IFNjaG9vbCBvZiBNZWRpY2luZSwgWmhlamlhbmcgVW5pdmVyc2l0eSwgSGFuZ3pob3UsIENoaW5h
LjwvYXV0aC1hZGRyZXNzPjx0aXRsZXM+PHRpdGxlPkltcHJvdmluZyB0aGUgZWZmZWN0aXZlbmVz
cyBvZiBsaWZlc3R5bGUgaW50ZXJ2ZW50aW9ucyBmb3IgZ2VzdGF0aW9uYWwgZGlhYmV0ZXMgcHJl
dmVudGlvbjogYSBtZXRhLWFuYWx5c2lzIGFuZCBtZXRhLXJlZ3Jlc3Npb248L3RpdGxlPjxzZWNv
bmRhcnktdGl0bGU+QkpPRzwvc2Vjb25kYXJ5LXRpdGxlPjwvdGl0bGVzPjxwZXJpb2RpY2FsPjxm
dWxsLXRpdGxlPkJKT0c8L2Z1bGwtdGl0bGU+PC9wZXJpb2RpY2FsPjxwYWdlcz4zMTEtMzIwPC9w
YWdlcz48dm9sdW1lPjEyNjwvdm9sdW1lPjxudW1iZXI+MzwvbnVtYmVyPjxlZGl0aW9uPjIwMTgv
MDkvMTU8L2VkaXRpb24+PGtleXdvcmRzPjxrZXl3b3JkPkRpYWJldGVzLCBHZXN0YXRpb25hbC8q
cHJldmVudGlvbiAmYW1wOyBjb250cm9sPC9rZXl3b3JkPjxrZXl3b3JkPipEaWV0IFRoZXJhcHk8
L2tleXdvcmQ+PGtleXdvcmQ+KkV4ZXJjaXNlIFRoZXJhcHk8L2tleXdvcmQ+PGtleXdvcmQ+RmVt
YWxlPC9rZXl3b3JkPjxrZXl3b3JkPkh1bWFuczwva2V5d29yZD48a2V5d29yZD5PYmVzaXR5Lyp0
aGVyYXB5PC9rZXl3b3JkPjxrZXl3b3JkPk92ZXJ3ZWlnaHQvdGhlcmFweTwva2V5d29yZD48a2V5
d29yZD5QcmVnbmFuY3k8L2tleXdvcmQ+PGtleXdvcmQ+UHJlZ25hbmN5IENvbXBsaWNhdGlvbnMv
KnRoZXJhcHk8L2tleXdvcmQ+PGtleXdvcmQ+UmVncmVzc2lvbiBBbmFseXNpczwva2V5d29yZD48
a2V5d29yZD5FZmZlY3RpdmVuZXNzPC9rZXl3b3JkPjxrZXl3b3JkPmdlc3RhdGlvbmFsIGRpYWJl
dGVzIG1lbGxpdHVzPC9rZXl3b3JkPjxrZXl3b3JkPmxpZmVzdHlsZSBpbnRlcnZlbnRpb248L2tl
eXdvcmQ+PGtleXdvcmQ+bWV0YS1hbmFseXNpczwva2V5d29yZD48a2V5d29yZD5tZXRhLXJlZ3Jl
c3Npb248L2tleXdvcmQ+PGtleXdvcmQ+cHJldmVudGlvbjwva2V5d29yZD48L2tleXdvcmRzPjxk
YXRlcz48eWVhcj4yMDE5PC95ZWFyPjxwdWItZGF0ZXM+PGRhdGU+RmViPC9kYXRlPjwvcHViLWRh
dGVzPjwvZGF0ZXM+PGlzYm4+MTQ3MS0wNTI4IChFbGVjdHJvbmljKSYjeEQ7MTQ3MC0wMzI4IChM
aW5raW5nKTwvaXNibj48YWNjZXNzaW9uLW51bT4zMDIxNjYzNTwvYWNjZXNzaW9uLW51bT48dXJs
cz48cmVsYXRlZC11cmxzPjx1cmw+aHR0cHM6Ly93d3cubmNiaS5ubG0ubmloLmdvdi9wdWJtZWQv
MzAyMTY2MzU8L3VybD48L3JlbGF0ZWQtdXJscz48L3VybHM+PGVsZWN0cm9uaWMtcmVzb3VyY2Ut
bnVtPjEwLjExMTEvMTQ3MS0wNTI4LjE1NDY3PC9lbGVjdHJvbmljLXJlc291cmNlLW51bT48L3Jl
Y29yZD48L0NpdGU+PC9FbmROb3RlPn==
</w:fldData>
              </w:fldChar>
            </w:r>
            <w:r w:rsidR="002747EA">
              <w:instrText xml:space="preserve"> ADDIN EN.CITE </w:instrText>
            </w:r>
            <w:r w:rsidR="002747EA">
              <w:fldChar w:fldCharType="begin">
                <w:fldData xml:space="preserve">PEVuZE5vdGU+PENpdGU+PEF1dGhvcj5HdW88L0F1dGhvcj48WWVhcj4yMDE5PC9ZZWFyPjxSZWNO
dW0+MTQyMDwvUmVjTnVtPjxEaXNwbGF5VGV4dD48c3R5bGUgZmFjZT0ic3VwZXJzY3JpcHQiIGZv
bnQ9IlRyZWJ1Y2hldCBNUyIgc2l6ZT0iOSI+NDE5PC9zdHlsZT48L0Rpc3BsYXlUZXh0PjxyZWNv
cmQ+PHJlYy1udW1iZXI+MTQyMDwvcmVjLW51bWJlcj48Zm9yZWlnbi1rZXlzPjxrZXkgYXBwPSJF
TiIgZGItaWQ9ImV4dmFzcmZ4MmR0cmFvZXNhc3hwMnN6c3hhMmRmNTAyNTkyeCIgdGltZXN0YW1w
PSIxNTY4MzUxOTY0Ij4xNDIwPC9rZXk+PC9mb3JlaWduLWtleXM+PHJlZi10eXBlIG5hbWU9Ikpv
dXJuYWwgQXJ0aWNsZSI+MTc8L3JlZi10eXBlPjxjb250cmlidXRvcnM+PGF1dGhvcnM+PGF1dGhv
cj5HdW8sIFguIFkuPC9hdXRob3I+PGF1dGhvcj5TaHUsIEouPC9hdXRob3I+PGF1dGhvcj5GdSwg
WC4gSC48L2F1dGhvcj48YXV0aG9yPkNoZW4sIFguIFAuPC9hdXRob3I+PGF1dGhvcj5aaGFuZywg
TC48L2F1dGhvcj48YXV0aG9yPkppLCBNLiBYLjwvYXV0aG9yPjxhdXRob3I+TGl1LCBYLiBNLjwv
YXV0aG9yPjxhdXRob3I+WXUsIFQuIFQuPC9hdXRob3I+PGF1dGhvcj5TaGVuZywgSi4gWi48L2F1
dGhvcj48YXV0aG9yPkh1YW5nLCBILiBGLjwvYXV0aG9yPjwvYXV0aG9ycz48L2NvbnRyaWJ1dG9y
cz48YXV0aC1hZGRyZXNzPkRlcGFydG1lbnQgb2YgUmVwcm9kdWN0aXZlIEVuZG9jcmlub2xvZ3ks
IFpoZWppYW5nIFByb3ZpbmNpYWwgUGVvcGxlJmFwb3M7cyBIb3NwaXRhbCwgUGVvcGxlJmFwb3M7
cyBIb3NwaXRhbCBvZiBIYW5nemhvdSBNZWRpY2FsIENvbGxlZ2UsIEhhbmd6aG91LCBDaGluYS4m
I3hEO0ludGVybmF0aW9uYWwgUGVhY2UgTWF0ZXJuaXR5IGFuZCBDaGlsZCBIZWFsdGggSG9zcGl0
YWwsIFNjaG9vbCBvZiBNZWRpY2luZSwgU2hhbmdoYWkgSmlhbyBUb25nIFVuaXZlcnNpdHksIFNo
YW5naGFpLCBDaGluYS4mI3hEO0luc3RpdHV0ZSBvZiBFbWJyeW8tRmV0YWwgT3JpZ2luYWwgQWR1
bHQgRGlzZWFzZSwgU2Nob29sIG9mIE1lZGljaW5lLCBTaGFuZ2hhaSBKaWFvIFRvbmcgVW5pdmVy
c2l0eSwgU2hhbmdoYWksIENoaW5hLiYjeEQ7RGVwYXJ0bWVudCBvZiBQYXRob3BoeXNpb2xvZ3ks
IFNjaG9vbCBvZiBNZWRpY2luZSwgWmhlamlhbmcgVW5pdmVyc2l0eSwgSGFuZ3pob3UsIENoaW5h
LjwvYXV0aC1hZGRyZXNzPjx0aXRsZXM+PHRpdGxlPkltcHJvdmluZyB0aGUgZWZmZWN0aXZlbmVz
cyBvZiBsaWZlc3R5bGUgaW50ZXJ2ZW50aW9ucyBmb3IgZ2VzdGF0aW9uYWwgZGlhYmV0ZXMgcHJl
dmVudGlvbjogYSBtZXRhLWFuYWx5c2lzIGFuZCBtZXRhLXJlZ3Jlc3Npb248L3RpdGxlPjxzZWNv
bmRhcnktdGl0bGU+QkpPRzwvc2Vjb25kYXJ5LXRpdGxlPjwvdGl0bGVzPjxwZXJpb2RpY2FsPjxm
dWxsLXRpdGxlPkJKT0c8L2Z1bGwtdGl0bGU+PC9wZXJpb2RpY2FsPjxwYWdlcz4zMTEtMzIwPC9w
YWdlcz48dm9sdW1lPjEyNjwvdm9sdW1lPjxudW1iZXI+MzwvbnVtYmVyPjxlZGl0aW9uPjIwMTgv
MDkvMTU8L2VkaXRpb24+PGtleXdvcmRzPjxrZXl3b3JkPkRpYWJldGVzLCBHZXN0YXRpb25hbC8q
cHJldmVudGlvbiAmYW1wOyBjb250cm9sPC9rZXl3b3JkPjxrZXl3b3JkPipEaWV0IFRoZXJhcHk8
L2tleXdvcmQ+PGtleXdvcmQ+KkV4ZXJjaXNlIFRoZXJhcHk8L2tleXdvcmQ+PGtleXdvcmQ+RmVt
YWxlPC9rZXl3b3JkPjxrZXl3b3JkPkh1bWFuczwva2V5d29yZD48a2V5d29yZD5PYmVzaXR5Lyp0
aGVyYXB5PC9rZXl3b3JkPjxrZXl3b3JkPk92ZXJ3ZWlnaHQvdGhlcmFweTwva2V5d29yZD48a2V5
d29yZD5QcmVnbmFuY3k8L2tleXdvcmQ+PGtleXdvcmQ+UHJlZ25hbmN5IENvbXBsaWNhdGlvbnMv
KnRoZXJhcHk8L2tleXdvcmQ+PGtleXdvcmQ+UmVncmVzc2lvbiBBbmFseXNpczwva2V5d29yZD48
a2V5d29yZD5FZmZlY3RpdmVuZXNzPC9rZXl3b3JkPjxrZXl3b3JkPmdlc3RhdGlvbmFsIGRpYWJl
dGVzIG1lbGxpdHVzPC9rZXl3b3JkPjxrZXl3b3JkPmxpZmVzdHlsZSBpbnRlcnZlbnRpb248L2tl
eXdvcmQ+PGtleXdvcmQ+bWV0YS1hbmFseXNpczwva2V5d29yZD48a2V5d29yZD5tZXRhLXJlZ3Jl
c3Npb248L2tleXdvcmQ+PGtleXdvcmQ+cHJldmVudGlvbjwva2V5d29yZD48L2tleXdvcmRzPjxk
YXRlcz48eWVhcj4yMDE5PC95ZWFyPjxwdWItZGF0ZXM+PGRhdGU+RmViPC9kYXRlPjwvcHViLWRh
dGVzPjwvZGF0ZXM+PGlzYm4+MTQ3MS0wNTI4IChFbGVjdHJvbmljKSYjeEQ7MTQ3MC0wMzI4IChM
aW5raW5nKTwvaXNibj48YWNjZXNzaW9uLW51bT4zMDIxNjYzNTwvYWNjZXNzaW9uLW51bT48dXJs
cz48cmVsYXRlZC11cmxzPjx1cmw+aHR0cHM6Ly93d3cubmNiaS5ubG0ubmloLmdvdi9wdWJtZWQv
MzAyMTY2MzU8L3VybD48L3JlbGF0ZWQtdXJscz48L3VybHM+PGVsZWN0cm9uaWMtcmVzb3VyY2Ut
bnVtPjEwLjExMTEvMTQ3MS0wNTI4LjE1NDY3PC9lbGVjdHJvbmljLXJlc291cmNlLW51bT48L3Jl
Y29yZD48L0NpdGU+PC9FbmROb3RlPn==
</w:fldData>
              </w:fldChar>
            </w:r>
            <w:r w:rsidR="002747EA">
              <w:instrText xml:space="preserve"> ADDIN EN.CITE.DATA </w:instrText>
            </w:r>
            <w:r w:rsidR="002747EA">
              <w:fldChar w:fldCharType="end"/>
            </w:r>
            <w:r w:rsidR="00767EBF">
              <w:fldChar w:fldCharType="separate"/>
            </w:r>
            <w:r w:rsidR="002747EA" w:rsidRPr="002747EA">
              <w:rPr>
                <w:noProof/>
                <w:sz w:val="18"/>
                <w:vertAlign w:val="superscript"/>
              </w:rPr>
              <w:t>419</w:t>
            </w:r>
            <w:r w:rsidR="00767EBF">
              <w:fldChar w:fldCharType="end"/>
            </w:r>
          </w:p>
        </w:tc>
        <w:tc>
          <w:tcPr>
            <w:tcW w:w="2547" w:type="dxa"/>
            <w:shd w:val="clear" w:color="auto" w:fill="auto"/>
          </w:tcPr>
          <w:p w14:paraId="1B348740" w14:textId="2870ED1C" w:rsidR="00A729FA" w:rsidRDefault="004F111C" w:rsidP="006A3F9A">
            <w:pPr>
              <w:pStyle w:val="RCTstable"/>
            </w:pPr>
            <w:r>
              <w:t>Mixed BMIs</w:t>
            </w:r>
          </w:p>
        </w:tc>
        <w:tc>
          <w:tcPr>
            <w:tcW w:w="2982" w:type="dxa"/>
            <w:shd w:val="clear" w:color="auto" w:fill="auto"/>
          </w:tcPr>
          <w:p w14:paraId="493559EC" w14:textId="66E9A0F4" w:rsidR="00A729FA" w:rsidRDefault="004F111C" w:rsidP="006A3F9A">
            <w:pPr>
              <w:pStyle w:val="RCTstable"/>
              <w:jc w:val="center"/>
            </w:pPr>
            <w:r>
              <w:t>RR 0.75 (0.59 to 0.95)</w:t>
            </w:r>
          </w:p>
        </w:tc>
        <w:tc>
          <w:tcPr>
            <w:tcW w:w="1134" w:type="dxa"/>
            <w:shd w:val="clear" w:color="auto" w:fill="auto"/>
          </w:tcPr>
          <w:p w14:paraId="1EC78B01" w14:textId="48AEC327" w:rsidR="00A729FA" w:rsidRDefault="004F111C" w:rsidP="006A3F9A">
            <w:pPr>
              <w:pStyle w:val="RCTstable"/>
              <w:jc w:val="center"/>
            </w:pPr>
            <w:r>
              <w:t>11</w:t>
            </w:r>
          </w:p>
        </w:tc>
      </w:tr>
      <w:tr w:rsidR="00A3266B" w:rsidRPr="00B87066" w14:paraId="3C729B7D" w14:textId="77777777" w:rsidTr="006A3F9A">
        <w:tc>
          <w:tcPr>
            <w:tcW w:w="2841" w:type="dxa"/>
            <w:shd w:val="clear" w:color="auto" w:fill="auto"/>
          </w:tcPr>
          <w:p w14:paraId="1D400D29" w14:textId="1699D48C" w:rsidR="00A3266B" w:rsidRDefault="00A3266B" w:rsidP="002747EA">
            <w:pPr>
              <w:pStyle w:val="RCTstable"/>
            </w:pPr>
            <w:r>
              <w:t>Bennett et al 2018</w:t>
            </w:r>
            <w:r w:rsidR="006A3F9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rsidR="006A3F9A">
              <w:fldChar w:fldCharType="separate"/>
            </w:r>
            <w:r w:rsidR="002747EA" w:rsidRPr="002747EA">
              <w:rPr>
                <w:noProof/>
                <w:sz w:val="18"/>
                <w:vertAlign w:val="superscript"/>
              </w:rPr>
              <w:t>418</w:t>
            </w:r>
            <w:r w:rsidR="006A3F9A">
              <w:fldChar w:fldCharType="end"/>
            </w:r>
          </w:p>
        </w:tc>
        <w:tc>
          <w:tcPr>
            <w:tcW w:w="2547" w:type="dxa"/>
            <w:shd w:val="clear" w:color="auto" w:fill="auto"/>
          </w:tcPr>
          <w:p w14:paraId="3D4597AA" w14:textId="77777777" w:rsidR="00A3266B" w:rsidRDefault="00A3266B" w:rsidP="006A3F9A">
            <w:pPr>
              <w:pStyle w:val="RCTstable"/>
            </w:pPr>
            <w:r>
              <w:t>Overweight and obese</w:t>
            </w:r>
          </w:p>
        </w:tc>
        <w:tc>
          <w:tcPr>
            <w:tcW w:w="2982" w:type="dxa"/>
            <w:shd w:val="clear" w:color="auto" w:fill="auto"/>
          </w:tcPr>
          <w:p w14:paraId="31D83052" w14:textId="77777777" w:rsidR="00A3266B" w:rsidRDefault="00A3266B" w:rsidP="006A3F9A">
            <w:pPr>
              <w:pStyle w:val="RCTstable"/>
              <w:jc w:val="center"/>
            </w:pPr>
            <w:r>
              <w:t>RR 0.54 (0.27 to 1.07)</w:t>
            </w:r>
          </w:p>
        </w:tc>
        <w:tc>
          <w:tcPr>
            <w:tcW w:w="1134" w:type="dxa"/>
            <w:shd w:val="clear" w:color="auto" w:fill="auto"/>
          </w:tcPr>
          <w:p w14:paraId="4DC29247" w14:textId="77777777" w:rsidR="00A3266B" w:rsidRDefault="00A3266B" w:rsidP="006A3F9A">
            <w:pPr>
              <w:pStyle w:val="RCTstable"/>
              <w:jc w:val="center"/>
            </w:pPr>
            <w:r>
              <w:t>2</w:t>
            </w:r>
          </w:p>
        </w:tc>
      </w:tr>
      <w:tr w:rsidR="00A3266B" w:rsidRPr="00B87066" w14:paraId="35B0951D" w14:textId="77777777" w:rsidTr="006A3F9A">
        <w:tc>
          <w:tcPr>
            <w:tcW w:w="2841" w:type="dxa"/>
            <w:shd w:val="clear" w:color="auto" w:fill="auto"/>
          </w:tcPr>
          <w:p w14:paraId="6969104D" w14:textId="03396C8F" w:rsidR="00A3266B" w:rsidRDefault="00A3266B" w:rsidP="002747EA">
            <w:pPr>
              <w:pStyle w:val="RCTstable"/>
            </w:pPr>
            <w:r>
              <w:t>Madhurvata et al 2015</w:t>
            </w:r>
            <w:r w:rsidR="006A3F9A">
              <w:fldChar w:fldCharType="begin"/>
            </w:r>
            <w:r w:rsidR="002747EA">
              <w:instrText xml:space="preserve"> ADDIN EN.CITE &lt;EndNote&gt;&lt;Cite&gt;&lt;Author&gt;Madhuvrata&lt;/Author&gt;&lt;Year&gt;2015&lt;/Year&gt;&lt;RecNum&gt;1184&lt;/RecNum&gt;&lt;DisplayText&gt;&lt;style face="superscript" font="Trebuchet MS" size="9"&gt;420&lt;/style&gt;&lt;/DisplayText&gt;&lt;record&gt;&lt;rec-number&gt;1184&lt;/rec-number&gt;&lt;foreign-keys&gt;&lt;key app="EN" db-id="exvasrfx2dtraoesasxp2szsxa2df502592x" timestamp="1558928434"&gt;1184&lt;/key&gt;&lt;key app="ENWeb" db-id=""&gt;0&lt;/key&gt;&lt;/foreign-keys&gt;&lt;ref-type name="Journal Article"&gt;17&lt;/ref-type&gt;&lt;contributors&gt;&lt;authors&gt;&lt;author&gt;Madhuvrata, P.&lt;/author&gt;&lt;author&gt;Govinden, G.&lt;/author&gt;&lt;author&gt;Bustani, R.&lt;/author&gt;&lt;author&gt;Song, S.&lt;/author&gt;&lt;author&gt;Farrell, T. A.&lt;/author&gt;&lt;/authors&gt;&lt;/contributors&gt;&lt;auth-address&gt;Department of Obstetrics and Gynaecology, Jessop Wing, Sheffield Teaching Hospitals NHS Trust, Sheffield, UK.&amp;#xD;Department of Diabetes and Endocrinology, Sheffield Teaching Hospitals NHS Trust, Sheffield, UK.&lt;/auth-address&gt;&lt;titles&gt;&lt;title&gt;Prevention of gestational diabetes in pregnant women with risk factors for gestational diabetes: a systematic review and meta-analysis of randomised trials&lt;/title&gt;&lt;secondary-title&gt;Obstet Med&lt;/secondary-title&gt;&lt;/titles&gt;&lt;periodical&gt;&lt;full-title&gt;Obstet Med&lt;/full-title&gt;&lt;/periodical&gt;&lt;pages&gt;68-85&lt;/pages&gt;&lt;volume&gt;8&lt;/volume&gt;&lt;number&gt;2&lt;/number&gt;&lt;edition&gt;2015/06/01&lt;/edition&gt;&lt;keywords&gt;&lt;keyword&gt;Gestational diabetes&lt;/keyword&gt;&lt;keyword&gt;diet&lt;/keyword&gt;&lt;keyword&gt;exercise&lt;/keyword&gt;&lt;keyword&gt;lifestyle and pharmacological intervention&lt;/keyword&gt;&lt;keyword&gt;prevention&lt;/keyword&gt;&lt;/keywords&gt;&lt;dates&gt;&lt;year&gt;2015&lt;/year&gt;&lt;pub-dates&gt;&lt;date&gt;Jun&lt;/date&gt;&lt;/pub-dates&gt;&lt;/dates&gt;&lt;isbn&gt;1753-495X (Print)&amp;#xD;1753-495X (Linking)&lt;/isbn&gt;&lt;accession-num&gt;27512459&lt;/accession-num&gt;&lt;urls&gt;&lt;related-urls&gt;&lt;url&gt;https://www.ncbi.nlm.nih.gov/pubmed/27512459&lt;/url&gt;&lt;/related-urls&gt;&lt;/urls&gt;&lt;custom2&gt;PMC4935009&lt;/custom2&gt;&lt;electronic-resource-num&gt;10.1177/1753495X15576673&lt;/electronic-resource-num&gt;&lt;/record&gt;&lt;/Cite&gt;&lt;/EndNote&gt;</w:instrText>
            </w:r>
            <w:r w:rsidR="006A3F9A">
              <w:fldChar w:fldCharType="separate"/>
            </w:r>
            <w:r w:rsidR="002747EA" w:rsidRPr="002747EA">
              <w:rPr>
                <w:noProof/>
                <w:sz w:val="18"/>
                <w:vertAlign w:val="superscript"/>
              </w:rPr>
              <w:t>420</w:t>
            </w:r>
            <w:r w:rsidR="006A3F9A">
              <w:fldChar w:fldCharType="end"/>
            </w:r>
          </w:p>
        </w:tc>
        <w:tc>
          <w:tcPr>
            <w:tcW w:w="2547" w:type="dxa"/>
            <w:shd w:val="clear" w:color="auto" w:fill="auto"/>
          </w:tcPr>
          <w:p w14:paraId="7EA33C33" w14:textId="77777777" w:rsidR="00A3266B" w:rsidRDefault="00A3266B" w:rsidP="006A3F9A">
            <w:pPr>
              <w:pStyle w:val="RCTstable"/>
            </w:pPr>
            <w:r>
              <w:t>Overweight and obese</w:t>
            </w:r>
          </w:p>
        </w:tc>
        <w:tc>
          <w:tcPr>
            <w:tcW w:w="2982" w:type="dxa"/>
            <w:shd w:val="clear" w:color="auto" w:fill="auto"/>
          </w:tcPr>
          <w:p w14:paraId="574975C0" w14:textId="77777777" w:rsidR="00A3266B" w:rsidRDefault="00A3266B" w:rsidP="006A3F9A">
            <w:pPr>
              <w:pStyle w:val="RCTstable"/>
              <w:jc w:val="center"/>
            </w:pPr>
            <w:r>
              <w:t>OR 0.33 (0.14 to 0.76)</w:t>
            </w:r>
          </w:p>
        </w:tc>
        <w:tc>
          <w:tcPr>
            <w:tcW w:w="1134" w:type="dxa"/>
            <w:shd w:val="clear" w:color="auto" w:fill="auto"/>
          </w:tcPr>
          <w:p w14:paraId="38371F17" w14:textId="77777777" w:rsidR="00A3266B" w:rsidRDefault="00A3266B" w:rsidP="006A3F9A">
            <w:pPr>
              <w:pStyle w:val="RCTstable"/>
              <w:jc w:val="center"/>
            </w:pPr>
            <w:r>
              <w:t>3</w:t>
            </w:r>
          </w:p>
        </w:tc>
      </w:tr>
      <w:tr w:rsidR="00384A02" w:rsidRPr="00B87066" w14:paraId="34557C77" w14:textId="77777777" w:rsidTr="006A3F9A">
        <w:tc>
          <w:tcPr>
            <w:tcW w:w="2841" w:type="dxa"/>
            <w:shd w:val="clear" w:color="auto" w:fill="auto"/>
          </w:tcPr>
          <w:p w14:paraId="31ED9910" w14:textId="7DA6D301" w:rsidR="00384A02" w:rsidRDefault="00384A02" w:rsidP="002747EA">
            <w:pPr>
              <w:pStyle w:val="RCTstable"/>
            </w:pPr>
            <w:r>
              <w:rPr>
                <w:noProof/>
              </w:rPr>
              <w:t>Song et al 2016</w:t>
            </w:r>
            <w:r>
              <w:rPr>
                <w:noProof/>
              </w:rPr>
              <w:fldChar w:fldCharType="begin">
                <w:fldData xml:space="preserve">PEVuZE5vdGU+PENpdGU+PEF1dGhvcj5Tb25nPC9BdXRob3I+PFllYXI+MjAxNjwvWWVhcj48UmVj
TnVtPjU4MTwvUmVjTnVtPjxEaXNwbGF5VGV4dD48c3R5bGUgZmFjZT0ic3VwZXJzY3JpcHQiIGZv
bnQ9IlRyZWJ1Y2hldCBNUyIgc2l6ZT0iOSI+NDIxPC9zdHlsZT48L0Rpc3BsYXlUZXh0PjxyZWNv
cmQ+PHJlYy1udW1iZXI+NTgxPC9yZWMtbnVtYmVyPjxmb3JlaWduLWtleXM+PGtleSBhcHA9IkVO
IiBkYi1pZD0iZXh2YXNyZngyZHRyYW9lc2FzeHAyc3pzeGEyZGY1MDI1OTJ4IiB0aW1lc3RhbXA9
IjE1MzYyMDk4NDUiPjU4MTwva2V5PjwvZm9yZWlnbi1rZXlzPjxyZWYtdHlwZSBuYW1lPSJKb3Vy
bmFsIEFydGljbGUiPjE3PC9yZWYtdHlwZT48Y29udHJpYnV0b3JzPjxhdXRob3JzPjxhdXRob3I+
U29uZywgQy48L2F1dGhvcj48YXV0aG9yPkxpLCBKLjwvYXV0aG9yPjxhdXRob3I+TGVuZywgSi48
L2F1dGhvcj48YXV0aG9yPk1hLCBSLiBDLjwvYXV0aG9yPjxhdXRob3I+WWFuZywgWC48L2F1dGhv
cj48L2F1dGhvcnM+PC9jb250cmlidXRvcnM+PGF1dGgtYWRkcmVzcz5EZXBhcnRtZW50IG9mIEVw
aWRlbWlvbG9neSBhbmQgQmlvc3RhdGlzdGljcywgU2Nob29sIG9mIFB1YmxpYyBIZWFsdGgsIFRp
YW5qaW4gTWVkaWNhbCBVbml2ZXJzaXR5LCBUaWFuamluLCBDaGluYS4mI3hEO0NlbnRlciBmb3Ig
RGlzZWFzZSBDb250cm9sIGFuZCBQcmV2ZW50aW9uIG9mIFRpYW5qaW4gRWNvbm9taWMtVGVjaG5v
bG9naWNhbCBEZXZlbG9wbWVudCBBcmVhLCBURURBLCBUaWFuamluLCBDaGluYS4mI3hEO1RpYW5q
aW4gV29tZW4gYW5kIENoaWxkcmVuJmFwb3M7cyBIZWFsdGggQ2VudHJlLCBUaWFuamluLCBDaGlu
YS4mI3hEO0RlcGFydG1lbnQgb2YgTWVkaWNpbmUgYW5kIFRoZXJhcGV1dGljcywgUHJpbmNlIG9m
IFdhbGVzIEhvc3BpdGFsLCBhbmQgdGhlIEhvbmcgS29uZyBJbnN0aXR1dGUgb2YgRGlhYmV0ZXMg
YW5kIE9iZXNpdHksIFRoZSBDaGluZXNlIFVuaXZlcnNpdHkgb2YgSG9uZyBLb25nLCBIb25nIEtv
bmcsIENoaW5hLiYjeEQ7RGVwYXJ0bWVudCBvZiBFcGlkZW1pb2xvZ3kgYW5kIEJpb3N0YXRpc3Rp
Y3MsIFNjaG9vbCBvZiBQdWJsaWMgSGVhbHRoLCBUaWFuamluIE1lZGljYWwgVW5pdmVyc2l0eSwg
VGlhbmppbiwgQ2hpbmEuIHlhbmd4aWxpbkB0bXUuZWR1LmNuLCB5eGxAaG90bWFpbC5jb20uPC9h
dXRoLWFkZHJlc3M+PHRpdGxlcz48dGl0bGU+TGlmZXN0eWxlIGludGVydmVudGlvbiBjYW4gcmVk
dWNlIHRoZSByaXNrIG9mIGdlc3RhdGlvbmFsIGRpYWJldGVzOiBhIG1ldGEtYW5hbHlzaXMgb2Yg
cmFuZG9taXplZCBjb250cm9sbGVkIHRyaWFsczwvdGl0bGU+PHNlY29uZGFyeS10aXRsZT5PYmVz
IFJldjwvc2Vjb25kYXJ5LXRpdGxlPjwvdGl0bGVzPjxwZXJpb2RpY2FsPjxmdWxsLXRpdGxlPk9i
ZXMgUmV2PC9mdWxsLXRpdGxlPjwvcGVyaW9kaWNhbD48cGFnZXM+OTYwLTk8L3BhZ2VzPjx2b2x1
bWU+MTc8L3ZvbHVtZT48bnVtYmVyPjEwPC9udW1iZXI+PGVkaXRpb24+MjAxNi8wNy8xNjwvZWRp
dGlvbj48a2V5d29yZHM+PGtleXdvcmQ+RGlhYmV0ZXMsIEdlc3RhdGlvbmFsL2V0aW9sb2d5Lypw
cmV2ZW50aW9uICZhbXA7IGNvbnRyb2wvdGhlcmFweTwva2V5d29yZD48a2V5d29yZD5EaWV0PC9r
ZXl3b3JkPjxrZXl3b3JkPkV4ZXJjaXNlPC9rZXl3b3JkPjxrZXl3b3JkPkZlbWFsZTwva2V5d29y
ZD48a2V5d29yZD5IZWFsdGggRWR1Y2F0aW9uPC9rZXl3b3JkPjxrZXl3b3JkPkh1bWFuczwva2V5
d29yZD48a2V5d29yZD5PYmVzaXR5Lypjb21wbGljYXRpb25zL3RoZXJhcHk8L2tleXdvcmQ+PGtl
eXdvcmQ+UGF0aWVudCBDb21wbGlhbmNlPC9rZXl3b3JkPjxrZXl3b3JkPlByZWduYW5jeTwva2V5
d29yZD48a2V5d29yZD5QcmVuYXRhbCBDYXJlL21ldGhvZHM8L2tleXdvcmQ+PGtleXdvcmQ+UHJp
bWFyeSBQcmV2ZW50aW9uLyptZXRob2RzPC9rZXl3b3JkPjxrZXl3b3JkPlJhbmRvbWl6ZWQgQ29u
dHJvbGxlZCBUcmlhbHMgYXMgVG9waWM8L2tleXdvcmQ+PGtleXdvcmQ+KlJpc2sgUmVkdWN0aW9u
IEJlaGF2aW9yPC9rZXl3b3JkPjxrZXl3b3JkPipnZXN0YXRpb25hbCBkaWFiZXRlczwva2V5d29y
ZD48a2V5d29yZD4qbGlmZXN0eWxlIGludGVydmVudGlvbjwva2V5d29yZD48a2V5d29yZD4qb2Jl
c2l0eTwva2V5d29yZD48a2V5d29yZD4qb3ZlcndlaWdodDwva2V5d29yZD48L2tleXdvcmRzPjxk
YXRlcz48eWVhcj4yMDE2PC95ZWFyPjxwdWItZGF0ZXM+PGRhdGU+T2N0PC9kYXRlPjwvcHViLWRh
dGVzPjwvZGF0ZXM+PGlzYm4+MTQ2Ny03ODlYIChFbGVjdHJvbmljKSYjeEQ7MTQ2Ny03ODgxIChM
aW5raW5nKTwvaXNibj48YWNjZXNzaW9uLW51bT4yNzQxNzY4MDwvYWNjZXNzaW9uLW51bT48dXJs
cz48cmVsYXRlZC11cmxzPjx1cmw+aHR0cHM6Ly93d3cubmNiaS5ubG0ubmloLmdvdi9wdWJtZWQv
Mjc0MTc2ODA8L3VybD48L3JlbGF0ZWQtdXJscz48L3VybHM+PGVsZWN0cm9uaWMtcmVzb3VyY2Ut
bnVtPjEwLjExMTEvb2JyLjEyNDQyPC9lbGVjdHJvbmljLXJlc291cmNlLW51bT48L3JlY29yZD48
L0NpdGU+PC9FbmROb3RlPgB=
</w:fldData>
              </w:fldChar>
            </w:r>
            <w:r w:rsidR="002747EA">
              <w:rPr>
                <w:noProof/>
              </w:rPr>
              <w:instrText xml:space="preserve"> ADDIN EN.CITE </w:instrText>
            </w:r>
            <w:r w:rsidR="002747EA">
              <w:rPr>
                <w:noProof/>
              </w:rPr>
              <w:fldChar w:fldCharType="begin">
                <w:fldData xml:space="preserve">PEVuZE5vdGU+PENpdGU+PEF1dGhvcj5Tb25nPC9BdXRob3I+PFllYXI+MjAxNjwvWWVhcj48UmVj
TnVtPjU4MTwvUmVjTnVtPjxEaXNwbGF5VGV4dD48c3R5bGUgZmFjZT0ic3VwZXJzY3JpcHQiIGZv
bnQ9IlRyZWJ1Y2hldCBNUyIgc2l6ZT0iOSI+NDIxPC9zdHlsZT48L0Rpc3BsYXlUZXh0PjxyZWNv
cmQ+PHJlYy1udW1iZXI+NTgxPC9yZWMtbnVtYmVyPjxmb3JlaWduLWtleXM+PGtleSBhcHA9IkVO
IiBkYi1pZD0iZXh2YXNyZngyZHRyYW9lc2FzeHAyc3pzeGEyZGY1MDI1OTJ4IiB0aW1lc3RhbXA9
IjE1MzYyMDk4NDUiPjU4MTwva2V5PjwvZm9yZWlnbi1rZXlzPjxyZWYtdHlwZSBuYW1lPSJKb3Vy
bmFsIEFydGljbGUiPjE3PC9yZWYtdHlwZT48Y29udHJpYnV0b3JzPjxhdXRob3JzPjxhdXRob3I+
U29uZywgQy48L2F1dGhvcj48YXV0aG9yPkxpLCBKLjwvYXV0aG9yPjxhdXRob3I+TGVuZywgSi48
L2F1dGhvcj48YXV0aG9yPk1hLCBSLiBDLjwvYXV0aG9yPjxhdXRob3I+WWFuZywgWC48L2F1dGhv
cj48L2F1dGhvcnM+PC9jb250cmlidXRvcnM+PGF1dGgtYWRkcmVzcz5EZXBhcnRtZW50IG9mIEVw
aWRlbWlvbG9neSBhbmQgQmlvc3RhdGlzdGljcywgU2Nob29sIG9mIFB1YmxpYyBIZWFsdGgsIFRp
YW5qaW4gTWVkaWNhbCBVbml2ZXJzaXR5LCBUaWFuamluLCBDaGluYS4mI3hEO0NlbnRlciBmb3Ig
RGlzZWFzZSBDb250cm9sIGFuZCBQcmV2ZW50aW9uIG9mIFRpYW5qaW4gRWNvbm9taWMtVGVjaG5v
bG9naWNhbCBEZXZlbG9wbWVudCBBcmVhLCBURURBLCBUaWFuamluLCBDaGluYS4mI3hEO1RpYW5q
aW4gV29tZW4gYW5kIENoaWxkcmVuJmFwb3M7cyBIZWFsdGggQ2VudHJlLCBUaWFuamluLCBDaGlu
YS4mI3hEO0RlcGFydG1lbnQgb2YgTWVkaWNpbmUgYW5kIFRoZXJhcGV1dGljcywgUHJpbmNlIG9m
IFdhbGVzIEhvc3BpdGFsLCBhbmQgdGhlIEhvbmcgS29uZyBJbnN0aXR1dGUgb2YgRGlhYmV0ZXMg
YW5kIE9iZXNpdHksIFRoZSBDaGluZXNlIFVuaXZlcnNpdHkgb2YgSG9uZyBLb25nLCBIb25nIEtv
bmcsIENoaW5hLiYjeEQ7RGVwYXJ0bWVudCBvZiBFcGlkZW1pb2xvZ3kgYW5kIEJpb3N0YXRpc3Rp
Y3MsIFNjaG9vbCBvZiBQdWJsaWMgSGVhbHRoLCBUaWFuamluIE1lZGljYWwgVW5pdmVyc2l0eSwg
VGlhbmppbiwgQ2hpbmEuIHlhbmd4aWxpbkB0bXUuZWR1LmNuLCB5eGxAaG90bWFpbC5jb20uPC9h
dXRoLWFkZHJlc3M+PHRpdGxlcz48dGl0bGU+TGlmZXN0eWxlIGludGVydmVudGlvbiBjYW4gcmVk
dWNlIHRoZSByaXNrIG9mIGdlc3RhdGlvbmFsIGRpYWJldGVzOiBhIG1ldGEtYW5hbHlzaXMgb2Yg
cmFuZG9taXplZCBjb250cm9sbGVkIHRyaWFsczwvdGl0bGU+PHNlY29uZGFyeS10aXRsZT5PYmVz
IFJldjwvc2Vjb25kYXJ5LXRpdGxlPjwvdGl0bGVzPjxwZXJpb2RpY2FsPjxmdWxsLXRpdGxlPk9i
ZXMgUmV2PC9mdWxsLXRpdGxlPjwvcGVyaW9kaWNhbD48cGFnZXM+OTYwLTk8L3BhZ2VzPjx2b2x1
bWU+MTc8L3ZvbHVtZT48bnVtYmVyPjEwPC9udW1iZXI+PGVkaXRpb24+MjAxNi8wNy8xNjwvZWRp
dGlvbj48a2V5d29yZHM+PGtleXdvcmQ+RGlhYmV0ZXMsIEdlc3RhdGlvbmFsL2V0aW9sb2d5Lypw
cmV2ZW50aW9uICZhbXA7IGNvbnRyb2wvdGhlcmFweTwva2V5d29yZD48a2V5d29yZD5EaWV0PC9r
ZXl3b3JkPjxrZXl3b3JkPkV4ZXJjaXNlPC9rZXl3b3JkPjxrZXl3b3JkPkZlbWFsZTwva2V5d29y
ZD48a2V5d29yZD5IZWFsdGggRWR1Y2F0aW9uPC9rZXl3b3JkPjxrZXl3b3JkPkh1bWFuczwva2V5
d29yZD48a2V5d29yZD5PYmVzaXR5Lypjb21wbGljYXRpb25zL3RoZXJhcHk8L2tleXdvcmQ+PGtl
eXdvcmQ+UGF0aWVudCBDb21wbGlhbmNlPC9rZXl3b3JkPjxrZXl3b3JkPlByZWduYW5jeTwva2V5
d29yZD48a2V5d29yZD5QcmVuYXRhbCBDYXJlL21ldGhvZHM8L2tleXdvcmQ+PGtleXdvcmQ+UHJp
bWFyeSBQcmV2ZW50aW9uLyptZXRob2RzPC9rZXl3b3JkPjxrZXl3b3JkPlJhbmRvbWl6ZWQgQ29u
dHJvbGxlZCBUcmlhbHMgYXMgVG9waWM8L2tleXdvcmQ+PGtleXdvcmQ+KlJpc2sgUmVkdWN0aW9u
IEJlaGF2aW9yPC9rZXl3b3JkPjxrZXl3b3JkPipnZXN0YXRpb25hbCBkaWFiZXRlczwva2V5d29y
ZD48a2V5d29yZD4qbGlmZXN0eWxlIGludGVydmVudGlvbjwva2V5d29yZD48a2V5d29yZD4qb2Jl
c2l0eTwva2V5d29yZD48a2V5d29yZD4qb3ZlcndlaWdodDwva2V5d29yZD48L2tleXdvcmRzPjxk
YXRlcz48eWVhcj4yMDE2PC95ZWFyPjxwdWItZGF0ZXM+PGRhdGU+T2N0PC9kYXRlPjwvcHViLWRh
dGVzPjwvZGF0ZXM+PGlzYm4+MTQ2Ny03ODlYIChFbGVjdHJvbmljKSYjeEQ7MTQ2Ny03ODgxIChM
aW5raW5nKTwvaXNibj48YWNjZXNzaW9uLW51bT4yNzQxNzY4MDwvYWNjZXNzaW9uLW51bT48dXJs
cz48cmVsYXRlZC11cmxzPjx1cmw+aHR0cHM6Ly93d3cubmNiaS5ubG0ubmloLmdvdi9wdWJtZWQv
Mjc0MTc2ODA8L3VybD48L3JlbGF0ZWQtdXJscz48L3VybHM+PGVsZWN0cm9uaWMtcmVzb3VyY2Ut
bnVtPjEwLjExMTEvb2JyLjEyNDQyPC9lbGVjdHJvbmljLXJlc291cmNlLW51bT48L3JlY29yZD48
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421</w:t>
            </w:r>
            <w:r>
              <w:rPr>
                <w:noProof/>
              </w:rPr>
              <w:fldChar w:fldCharType="end"/>
            </w:r>
          </w:p>
        </w:tc>
        <w:tc>
          <w:tcPr>
            <w:tcW w:w="2547" w:type="dxa"/>
            <w:shd w:val="clear" w:color="auto" w:fill="auto"/>
          </w:tcPr>
          <w:p w14:paraId="0315D2A2" w14:textId="726C73A3" w:rsidR="00384A02" w:rsidRDefault="00384A02" w:rsidP="006A3F9A">
            <w:pPr>
              <w:pStyle w:val="RCTstable"/>
            </w:pPr>
            <w:r>
              <w:t>Mixed BMIs</w:t>
            </w:r>
          </w:p>
        </w:tc>
        <w:tc>
          <w:tcPr>
            <w:tcW w:w="2982" w:type="dxa"/>
            <w:shd w:val="clear" w:color="auto" w:fill="auto"/>
          </w:tcPr>
          <w:p w14:paraId="773E3FD4" w14:textId="459D2222" w:rsidR="00384A02" w:rsidRDefault="00384A02" w:rsidP="006A3F9A">
            <w:pPr>
              <w:pStyle w:val="RCTstable"/>
              <w:jc w:val="center"/>
            </w:pPr>
            <w:r>
              <w:t>RR 0.80 (0.58 to 1.10)</w:t>
            </w:r>
          </w:p>
        </w:tc>
        <w:tc>
          <w:tcPr>
            <w:tcW w:w="1134" w:type="dxa"/>
            <w:shd w:val="clear" w:color="auto" w:fill="auto"/>
          </w:tcPr>
          <w:p w14:paraId="2A23A3F3" w14:textId="38335E2D" w:rsidR="00384A02" w:rsidRDefault="00384A02" w:rsidP="006A3F9A">
            <w:pPr>
              <w:pStyle w:val="RCTstable"/>
              <w:jc w:val="center"/>
            </w:pPr>
            <w:r>
              <w:t>5</w:t>
            </w:r>
          </w:p>
        </w:tc>
      </w:tr>
      <w:tr w:rsidR="00A3266B" w:rsidRPr="00B87066" w14:paraId="3F7A0CC6" w14:textId="77777777" w:rsidTr="006A3F9A">
        <w:tc>
          <w:tcPr>
            <w:tcW w:w="2841" w:type="dxa"/>
            <w:vMerge w:val="restart"/>
            <w:shd w:val="clear" w:color="auto" w:fill="auto"/>
          </w:tcPr>
          <w:p w14:paraId="7A7DAC17" w14:textId="06FBCE3F" w:rsidR="00A3266B" w:rsidRDefault="00A3266B"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shd w:val="clear" w:color="auto" w:fill="auto"/>
          </w:tcPr>
          <w:p w14:paraId="423FF0F5" w14:textId="15B60562" w:rsidR="00A3266B" w:rsidRDefault="00A3266B"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2A0BB18F" w14:textId="70398C5F" w:rsidR="00A3266B" w:rsidRDefault="00A3266B" w:rsidP="006A3F9A">
            <w:pPr>
              <w:pStyle w:val="RCTstable"/>
              <w:jc w:val="center"/>
            </w:pPr>
            <w:r>
              <w:t>OR 1.03 (0.30 to 3.61)</w:t>
            </w:r>
          </w:p>
        </w:tc>
        <w:tc>
          <w:tcPr>
            <w:tcW w:w="1134" w:type="dxa"/>
            <w:shd w:val="clear" w:color="auto" w:fill="auto"/>
          </w:tcPr>
          <w:p w14:paraId="1DA78A87" w14:textId="0B8BA14C" w:rsidR="00A3266B" w:rsidRDefault="00A3266B" w:rsidP="006A3F9A">
            <w:pPr>
              <w:pStyle w:val="RCTstable"/>
              <w:jc w:val="center"/>
            </w:pPr>
            <w:r>
              <w:t>4</w:t>
            </w:r>
          </w:p>
        </w:tc>
      </w:tr>
      <w:tr w:rsidR="00A3266B" w:rsidRPr="00B87066" w14:paraId="5C106DD8" w14:textId="77777777" w:rsidTr="006A3F9A">
        <w:tc>
          <w:tcPr>
            <w:tcW w:w="2841" w:type="dxa"/>
            <w:vMerge/>
            <w:shd w:val="clear" w:color="auto" w:fill="auto"/>
          </w:tcPr>
          <w:p w14:paraId="20EBDAD0" w14:textId="77777777" w:rsidR="00A3266B" w:rsidRDefault="00A3266B" w:rsidP="006A3F9A">
            <w:pPr>
              <w:pStyle w:val="RCTstable"/>
            </w:pPr>
          </w:p>
        </w:tc>
        <w:tc>
          <w:tcPr>
            <w:tcW w:w="2547" w:type="dxa"/>
            <w:shd w:val="clear" w:color="auto" w:fill="auto"/>
          </w:tcPr>
          <w:p w14:paraId="13362D84" w14:textId="45BB5C10" w:rsidR="00A3266B" w:rsidRDefault="00A3266B"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207CCD2A" w14:textId="4E81C197" w:rsidR="00A3266B" w:rsidRDefault="00A3266B" w:rsidP="006A3F9A">
            <w:pPr>
              <w:pStyle w:val="RCTstable"/>
              <w:jc w:val="center"/>
            </w:pPr>
            <w:r>
              <w:rPr>
                <w:rFonts w:eastAsiaTheme="majorEastAsia"/>
              </w:rPr>
              <w:t>OR 0.79 (0.37 to 1.69)</w:t>
            </w:r>
          </w:p>
        </w:tc>
        <w:tc>
          <w:tcPr>
            <w:tcW w:w="1134" w:type="dxa"/>
            <w:shd w:val="clear" w:color="auto" w:fill="auto"/>
          </w:tcPr>
          <w:p w14:paraId="6ED77E2D" w14:textId="2B840251" w:rsidR="00A3266B" w:rsidRDefault="00A3266B" w:rsidP="006A3F9A">
            <w:pPr>
              <w:pStyle w:val="RCTstable"/>
              <w:jc w:val="center"/>
            </w:pPr>
            <w:r>
              <w:t>8</w:t>
            </w:r>
          </w:p>
        </w:tc>
      </w:tr>
      <w:tr w:rsidR="00FF7AFA" w:rsidRPr="00C12274" w14:paraId="0A608207" w14:textId="77777777" w:rsidTr="006A3F9A">
        <w:tc>
          <w:tcPr>
            <w:tcW w:w="2841" w:type="dxa"/>
          </w:tcPr>
          <w:p w14:paraId="070F591E" w14:textId="460DCCB6" w:rsidR="00FF7AFA" w:rsidRPr="00C12274" w:rsidRDefault="00FF7AFA" w:rsidP="002747EA">
            <w:pPr>
              <w:pStyle w:val="RCTstable"/>
              <w:rPr>
                <w:noProof/>
              </w:rPr>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72DA99BB" w14:textId="77777777" w:rsidR="00FF7AFA" w:rsidRPr="00C12274" w:rsidRDefault="00FF7AFA" w:rsidP="006A3F9A">
            <w:pPr>
              <w:pStyle w:val="RCTstable"/>
              <w:rPr>
                <w:rFonts w:ascii="Helvetica" w:hAnsi="Helvetica"/>
              </w:rPr>
            </w:pPr>
            <w:r>
              <w:rPr>
                <w:rFonts w:ascii="Helvetica" w:hAnsi="Helvetica"/>
              </w:rPr>
              <w:t>Mixed BMIs</w:t>
            </w:r>
          </w:p>
        </w:tc>
        <w:tc>
          <w:tcPr>
            <w:tcW w:w="2982" w:type="dxa"/>
          </w:tcPr>
          <w:p w14:paraId="47487FDD" w14:textId="5D802129" w:rsidR="00FF7AFA" w:rsidRPr="00BE0624" w:rsidRDefault="00FF7AFA" w:rsidP="006A3F9A">
            <w:pPr>
              <w:pStyle w:val="RCTstable"/>
              <w:jc w:val="center"/>
            </w:pPr>
            <w:r>
              <w:t>RR 0.52 (0.27 to 1.03)</w:t>
            </w:r>
          </w:p>
        </w:tc>
        <w:tc>
          <w:tcPr>
            <w:tcW w:w="1134" w:type="dxa"/>
          </w:tcPr>
          <w:p w14:paraId="435E0E89" w14:textId="640AA959" w:rsidR="00FF7AFA" w:rsidRPr="00BE0624" w:rsidRDefault="00FF7AFA" w:rsidP="006A3F9A">
            <w:pPr>
              <w:pStyle w:val="RCTstable"/>
              <w:jc w:val="center"/>
            </w:pPr>
            <w:r>
              <w:t>2</w:t>
            </w:r>
          </w:p>
        </w:tc>
      </w:tr>
      <w:tr w:rsidR="00935DF8" w:rsidRPr="00B87066" w14:paraId="08A02746" w14:textId="77777777" w:rsidTr="006A3F9A">
        <w:tc>
          <w:tcPr>
            <w:tcW w:w="2841" w:type="dxa"/>
            <w:shd w:val="clear" w:color="auto" w:fill="auto"/>
          </w:tcPr>
          <w:p w14:paraId="07419FD5" w14:textId="13E7A71C" w:rsidR="00935DF8" w:rsidRPr="00C12274" w:rsidRDefault="00935DF8"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7B9D666C" w14:textId="77777777" w:rsidR="00935DF8" w:rsidRPr="00C12274" w:rsidRDefault="00935DF8" w:rsidP="006A3F9A">
            <w:pPr>
              <w:pStyle w:val="RCTstable"/>
            </w:pPr>
            <w:r>
              <w:t>Mixed BMIs</w:t>
            </w:r>
          </w:p>
        </w:tc>
        <w:tc>
          <w:tcPr>
            <w:tcW w:w="2982" w:type="dxa"/>
            <w:shd w:val="clear" w:color="auto" w:fill="auto"/>
          </w:tcPr>
          <w:p w14:paraId="606F43D7" w14:textId="6DD62764" w:rsidR="00935DF8" w:rsidRDefault="00935DF8" w:rsidP="00935DF8">
            <w:pPr>
              <w:pStyle w:val="RCTstable"/>
              <w:jc w:val="center"/>
            </w:pPr>
            <w:r>
              <w:t>RR 0.39 (0.23 to 0.69)</w:t>
            </w:r>
          </w:p>
        </w:tc>
        <w:tc>
          <w:tcPr>
            <w:tcW w:w="1134" w:type="dxa"/>
            <w:shd w:val="clear" w:color="auto" w:fill="auto"/>
          </w:tcPr>
          <w:p w14:paraId="278A886B" w14:textId="0C6700F2" w:rsidR="00935DF8" w:rsidRDefault="00935DF8" w:rsidP="006A3F9A">
            <w:pPr>
              <w:pStyle w:val="RCTstable"/>
              <w:jc w:val="center"/>
            </w:pPr>
            <w:r>
              <w:t>3</w:t>
            </w:r>
          </w:p>
        </w:tc>
      </w:tr>
      <w:tr w:rsidR="001975F2" w:rsidRPr="00C12274" w14:paraId="59039CBD" w14:textId="77777777" w:rsidTr="006A3F9A">
        <w:tc>
          <w:tcPr>
            <w:tcW w:w="2841" w:type="dxa"/>
          </w:tcPr>
          <w:p w14:paraId="24C04D7E" w14:textId="2F213F88"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Pr>
          <w:p w14:paraId="0069AA20" w14:textId="77777777" w:rsidR="001975F2" w:rsidRDefault="001975F2" w:rsidP="006A3F9A">
            <w:pPr>
              <w:pStyle w:val="RCTstable"/>
              <w:rPr>
                <w:rFonts w:ascii="Helvetica" w:hAnsi="Helvetica"/>
              </w:rPr>
            </w:pPr>
            <w:r>
              <w:rPr>
                <w:rFonts w:ascii="Helvetica" w:hAnsi="Helvetica"/>
              </w:rPr>
              <w:t>Mixed BMIs</w:t>
            </w:r>
          </w:p>
        </w:tc>
        <w:tc>
          <w:tcPr>
            <w:tcW w:w="2982" w:type="dxa"/>
          </w:tcPr>
          <w:p w14:paraId="70B04ECF" w14:textId="0ABAB45A" w:rsidR="001975F2" w:rsidRDefault="001975F2" w:rsidP="006A3F9A">
            <w:pPr>
              <w:pStyle w:val="RCTstable"/>
              <w:jc w:val="center"/>
            </w:pPr>
            <w:r>
              <w:t>RR 0.93 (0.64 to 1.36)</w:t>
            </w:r>
          </w:p>
        </w:tc>
        <w:tc>
          <w:tcPr>
            <w:tcW w:w="1134" w:type="dxa"/>
          </w:tcPr>
          <w:p w14:paraId="36CC5C74" w14:textId="678B1E23" w:rsidR="001975F2" w:rsidRDefault="001975F2" w:rsidP="006A3F9A">
            <w:pPr>
              <w:pStyle w:val="RCTstable"/>
              <w:jc w:val="center"/>
            </w:pPr>
            <w:r>
              <w:t>2</w:t>
            </w:r>
          </w:p>
        </w:tc>
      </w:tr>
      <w:tr w:rsidR="001975F2" w:rsidRPr="00C12274" w14:paraId="4881C117" w14:textId="77777777" w:rsidTr="006A3F9A">
        <w:tc>
          <w:tcPr>
            <w:tcW w:w="2841" w:type="dxa"/>
          </w:tcPr>
          <w:p w14:paraId="572ADF62" w14:textId="2A3D0DBC"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Pr>
          <w:p w14:paraId="22C8A9BD" w14:textId="1227260A" w:rsidR="001975F2" w:rsidRDefault="001975F2" w:rsidP="006A3F9A">
            <w:pPr>
              <w:pStyle w:val="RCTstable"/>
              <w:rPr>
                <w:rFonts w:ascii="Helvetica" w:hAnsi="Helvetica"/>
              </w:rPr>
            </w:pPr>
            <w:r>
              <w:rPr>
                <w:rFonts w:ascii="Helvetica" w:hAnsi="Helvetica"/>
              </w:rPr>
              <w:t>BMI ≥25</w:t>
            </w:r>
          </w:p>
        </w:tc>
        <w:tc>
          <w:tcPr>
            <w:tcW w:w="2982" w:type="dxa"/>
          </w:tcPr>
          <w:p w14:paraId="07248A29" w14:textId="0E2BAE9D" w:rsidR="001975F2" w:rsidRDefault="001975F2" w:rsidP="006A3F9A">
            <w:pPr>
              <w:pStyle w:val="RCTstable"/>
              <w:jc w:val="center"/>
            </w:pPr>
            <w:r>
              <w:t>RR 0.39 (0.19 to 0.79)</w:t>
            </w:r>
          </w:p>
        </w:tc>
        <w:tc>
          <w:tcPr>
            <w:tcW w:w="1134" w:type="dxa"/>
          </w:tcPr>
          <w:p w14:paraId="1FD4F9D9" w14:textId="08BE64BE" w:rsidR="001975F2" w:rsidRDefault="001975F2" w:rsidP="006A3F9A">
            <w:pPr>
              <w:pStyle w:val="RCTstable"/>
              <w:jc w:val="center"/>
            </w:pPr>
            <w:r>
              <w:t>3</w:t>
            </w:r>
          </w:p>
        </w:tc>
      </w:tr>
      <w:tr w:rsidR="001975F2" w:rsidRPr="00C12274" w14:paraId="5FF85313" w14:textId="77777777" w:rsidTr="006B3B11">
        <w:tc>
          <w:tcPr>
            <w:tcW w:w="2841" w:type="dxa"/>
            <w:tcBorders>
              <w:bottom w:val="single" w:sz="4" w:space="0" w:color="3B3474"/>
            </w:tcBorders>
          </w:tcPr>
          <w:p w14:paraId="5F10024C" w14:textId="714E504E"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Borders>
              <w:bottom w:val="single" w:sz="4" w:space="0" w:color="3B3474"/>
            </w:tcBorders>
          </w:tcPr>
          <w:p w14:paraId="043518CC" w14:textId="77777777" w:rsidR="001975F2" w:rsidRDefault="001975F2" w:rsidP="006A3F9A">
            <w:pPr>
              <w:pStyle w:val="RCTstable"/>
              <w:rPr>
                <w:rFonts w:ascii="Helvetica" w:hAnsi="Helvetica"/>
              </w:rPr>
            </w:pPr>
            <w:r>
              <w:rPr>
                <w:rFonts w:ascii="Helvetica" w:hAnsi="Helvetica"/>
              </w:rPr>
              <w:t>Mixed BMIs</w:t>
            </w:r>
          </w:p>
        </w:tc>
        <w:tc>
          <w:tcPr>
            <w:tcW w:w="2982" w:type="dxa"/>
            <w:tcBorders>
              <w:bottom w:val="single" w:sz="4" w:space="0" w:color="3B3474"/>
            </w:tcBorders>
          </w:tcPr>
          <w:p w14:paraId="0404EEE7" w14:textId="43DDA736" w:rsidR="001975F2" w:rsidRDefault="001975F2" w:rsidP="006A3F9A">
            <w:pPr>
              <w:pStyle w:val="RCTstable"/>
              <w:jc w:val="center"/>
            </w:pPr>
            <w:r>
              <w:t>RR 0.91 (0.63 to 1.31)</w:t>
            </w:r>
          </w:p>
        </w:tc>
        <w:tc>
          <w:tcPr>
            <w:tcW w:w="1134" w:type="dxa"/>
            <w:tcBorders>
              <w:bottom w:val="single" w:sz="4" w:space="0" w:color="3B3474"/>
            </w:tcBorders>
          </w:tcPr>
          <w:p w14:paraId="4C4DCE83" w14:textId="1199DFC9" w:rsidR="001975F2" w:rsidRDefault="001975F2" w:rsidP="006A3F9A">
            <w:pPr>
              <w:pStyle w:val="RCTstable"/>
              <w:jc w:val="center"/>
            </w:pPr>
            <w:r>
              <w:t>4</w:t>
            </w:r>
          </w:p>
        </w:tc>
      </w:tr>
      <w:tr w:rsidR="007E430B" w:rsidRPr="00C12274" w14:paraId="444DCC64" w14:textId="77777777" w:rsidTr="00570C28">
        <w:trPr>
          <w:trHeight w:val="72"/>
        </w:trPr>
        <w:tc>
          <w:tcPr>
            <w:tcW w:w="2841" w:type="dxa"/>
          </w:tcPr>
          <w:p w14:paraId="3B86D42B" w14:textId="5222925D" w:rsidR="007E430B" w:rsidRPr="00C12274" w:rsidRDefault="007E430B"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3E865C93" w14:textId="77777777" w:rsidR="007E430B" w:rsidRPr="00C12274" w:rsidRDefault="007E430B" w:rsidP="00570C28">
            <w:pPr>
              <w:pStyle w:val="RCTstable"/>
            </w:pPr>
            <w:r>
              <w:t>Overweight and obese</w:t>
            </w:r>
          </w:p>
        </w:tc>
        <w:tc>
          <w:tcPr>
            <w:tcW w:w="2982" w:type="dxa"/>
          </w:tcPr>
          <w:p w14:paraId="439A3CE8" w14:textId="5829E9DF" w:rsidR="007E430B" w:rsidRPr="00BE0624" w:rsidRDefault="007E430B" w:rsidP="00570C28">
            <w:pPr>
              <w:pStyle w:val="RCTstable"/>
              <w:jc w:val="center"/>
              <w:rPr>
                <w:rFonts w:eastAsiaTheme="majorEastAsia"/>
              </w:rPr>
            </w:pPr>
            <w:r>
              <w:t>RR 0.57 (0.30 to 1.08)</w:t>
            </w:r>
          </w:p>
        </w:tc>
        <w:tc>
          <w:tcPr>
            <w:tcW w:w="1134" w:type="dxa"/>
          </w:tcPr>
          <w:p w14:paraId="0F1F7164" w14:textId="5E34317F" w:rsidR="007E430B" w:rsidRDefault="007E430B" w:rsidP="00570C28">
            <w:pPr>
              <w:pStyle w:val="RCTstable"/>
              <w:jc w:val="center"/>
            </w:pPr>
            <w:r>
              <w:t>3</w:t>
            </w:r>
          </w:p>
        </w:tc>
      </w:tr>
      <w:tr w:rsidR="00A3266B" w:rsidRPr="00B87066" w14:paraId="580A43C4" w14:textId="77777777" w:rsidTr="006B3B11">
        <w:tc>
          <w:tcPr>
            <w:tcW w:w="9504" w:type="dxa"/>
            <w:gridSpan w:val="4"/>
            <w:shd w:val="clear" w:color="auto" w:fill="D9E2F3" w:themeFill="accent1" w:themeFillTint="33"/>
          </w:tcPr>
          <w:p w14:paraId="2DEF7FE5" w14:textId="331A52D9" w:rsidR="00A3266B" w:rsidRPr="00B87066" w:rsidRDefault="00A3266B" w:rsidP="00103A07">
            <w:pPr>
              <w:pStyle w:val="RCTstable"/>
              <w:rPr>
                <w:i/>
              </w:rPr>
            </w:pPr>
            <w:r>
              <w:rPr>
                <w:i/>
              </w:rPr>
              <w:t>Gestational hypertension</w:t>
            </w:r>
          </w:p>
        </w:tc>
      </w:tr>
      <w:tr w:rsidR="00A3266B" w:rsidRPr="00B87066" w14:paraId="42ED2419" w14:textId="77777777" w:rsidTr="00103A07">
        <w:tc>
          <w:tcPr>
            <w:tcW w:w="2841" w:type="dxa"/>
            <w:tcBorders>
              <w:bottom w:val="single" w:sz="4" w:space="0" w:color="3B3474"/>
            </w:tcBorders>
            <w:shd w:val="clear" w:color="auto" w:fill="F2F2F2" w:themeFill="background1" w:themeFillShade="F2"/>
          </w:tcPr>
          <w:p w14:paraId="1CD68C4C" w14:textId="77777777" w:rsidR="00A3266B" w:rsidRPr="00B87066" w:rsidRDefault="00A3266B" w:rsidP="00103A07">
            <w:pPr>
              <w:pStyle w:val="RCTstable"/>
            </w:pPr>
            <w:r w:rsidRPr="00B87066">
              <w:t>Current review</w:t>
            </w:r>
          </w:p>
        </w:tc>
        <w:tc>
          <w:tcPr>
            <w:tcW w:w="2547" w:type="dxa"/>
            <w:tcBorders>
              <w:bottom w:val="single" w:sz="4" w:space="0" w:color="3B3474"/>
            </w:tcBorders>
            <w:shd w:val="clear" w:color="auto" w:fill="F2F2F2" w:themeFill="background1" w:themeFillShade="F2"/>
          </w:tcPr>
          <w:p w14:paraId="6DD10E22" w14:textId="77777777" w:rsidR="00A3266B" w:rsidRPr="00B87066" w:rsidRDefault="00A3266B" w:rsidP="00103A07">
            <w:pPr>
              <w:pStyle w:val="RCTstable"/>
            </w:pPr>
            <w:r w:rsidRPr="00B87066">
              <w:t>Mixed BMIs</w:t>
            </w:r>
          </w:p>
        </w:tc>
        <w:tc>
          <w:tcPr>
            <w:tcW w:w="2982" w:type="dxa"/>
            <w:tcBorders>
              <w:bottom w:val="single" w:sz="4" w:space="0" w:color="3B3474"/>
            </w:tcBorders>
            <w:shd w:val="clear" w:color="auto" w:fill="F2F2F2" w:themeFill="background1" w:themeFillShade="F2"/>
          </w:tcPr>
          <w:p w14:paraId="081815FB" w14:textId="68D939B9" w:rsidR="00A3266B" w:rsidRPr="00A33D96" w:rsidRDefault="00A67139" w:rsidP="00103A07">
            <w:pPr>
              <w:pStyle w:val="RCTstable"/>
              <w:jc w:val="center"/>
            </w:pPr>
            <w:r>
              <w:t>RR 0.29 (0.13 to 0.61)</w:t>
            </w:r>
          </w:p>
        </w:tc>
        <w:tc>
          <w:tcPr>
            <w:tcW w:w="1134" w:type="dxa"/>
            <w:tcBorders>
              <w:bottom w:val="single" w:sz="4" w:space="0" w:color="3B3474"/>
            </w:tcBorders>
            <w:shd w:val="clear" w:color="auto" w:fill="F2F2F2" w:themeFill="background1" w:themeFillShade="F2"/>
          </w:tcPr>
          <w:p w14:paraId="1F0FF9C1" w14:textId="70886138" w:rsidR="00A3266B" w:rsidRPr="00B87066" w:rsidRDefault="00A67139" w:rsidP="00103A07">
            <w:pPr>
              <w:pStyle w:val="RCTstable"/>
              <w:jc w:val="center"/>
            </w:pPr>
            <w:r>
              <w:t>3</w:t>
            </w:r>
          </w:p>
        </w:tc>
      </w:tr>
      <w:tr w:rsidR="00B6710D" w:rsidRPr="00B87066" w14:paraId="3DF0C44D" w14:textId="77777777" w:rsidTr="006A3F9A">
        <w:tc>
          <w:tcPr>
            <w:tcW w:w="2841" w:type="dxa"/>
            <w:vMerge w:val="restart"/>
            <w:shd w:val="clear" w:color="auto" w:fill="auto"/>
          </w:tcPr>
          <w:p w14:paraId="6FC9DBFA" w14:textId="371EC6A1" w:rsidR="00B6710D" w:rsidRDefault="00B6710D"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shd w:val="clear" w:color="auto" w:fill="auto"/>
          </w:tcPr>
          <w:p w14:paraId="2E08EAFA" w14:textId="77777777" w:rsidR="00B6710D" w:rsidRDefault="00B6710D"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272B34B1" w14:textId="2CED8B08" w:rsidR="00B6710D" w:rsidRDefault="00B6710D" w:rsidP="00B6710D">
            <w:pPr>
              <w:pStyle w:val="RCTstable"/>
              <w:jc w:val="center"/>
            </w:pPr>
            <w:r>
              <w:t>OR 0.59 (0.07 to 4.65)</w:t>
            </w:r>
          </w:p>
        </w:tc>
        <w:tc>
          <w:tcPr>
            <w:tcW w:w="1134" w:type="dxa"/>
            <w:shd w:val="clear" w:color="auto" w:fill="auto"/>
          </w:tcPr>
          <w:p w14:paraId="3F9122CC" w14:textId="6004B1DE" w:rsidR="00B6710D" w:rsidRDefault="00B6710D" w:rsidP="006A3F9A">
            <w:pPr>
              <w:pStyle w:val="RCTstable"/>
              <w:jc w:val="center"/>
            </w:pPr>
            <w:r>
              <w:t>3</w:t>
            </w:r>
          </w:p>
        </w:tc>
      </w:tr>
      <w:tr w:rsidR="00B6710D" w:rsidRPr="00B87066" w14:paraId="0C01EB08" w14:textId="77777777" w:rsidTr="006A3F9A">
        <w:tc>
          <w:tcPr>
            <w:tcW w:w="2841" w:type="dxa"/>
            <w:vMerge/>
            <w:shd w:val="clear" w:color="auto" w:fill="auto"/>
          </w:tcPr>
          <w:p w14:paraId="58A78FCB" w14:textId="77777777" w:rsidR="00B6710D" w:rsidRDefault="00B6710D" w:rsidP="006A3F9A">
            <w:pPr>
              <w:pStyle w:val="RCTstable"/>
            </w:pPr>
          </w:p>
        </w:tc>
        <w:tc>
          <w:tcPr>
            <w:tcW w:w="2547" w:type="dxa"/>
            <w:shd w:val="clear" w:color="auto" w:fill="auto"/>
          </w:tcPr>
          <w:p w14:paraId="2F444613" w14:textId="77777777" w:rsidR="00B6710D" w:rsidRDefault="00B6710D"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69410CE2" w14:textId="3F84CB7E" w:rsidR="00B6710D" w:rsidRDefault="00B6710D" w:rsidP="00B6710D">
            <w:pPr>
              <w:pStyle w:val="RCTstable"/>
              <w:jc w:val="center"/>
            </w:pPr>
            <w:r>
              <w:rPr>
                <w:rFonts w:eastAsiaTheme="majorEastAsia"/>
              </w:rPr>
              <w:t>OR 0.57 (0.18 to 1.79)</w:t>
            </w:r>
          </w:p>
        </w:tc>
        <w:tc>
          <w:tcPr>
            <w:tcW w:w="1134" w:type="dxa"/>
            <w:shd w:val="clear" w:color="auto" w:fill="auto"/>
          </w:tcPr>
          <w:p w14:paraId="7F982CF7" w14:textId="0916F024" w:rsidR="00B6710D" w:rsidRDefault="00B6710D" w:rsidP="006A3F9A">
            <w:pPr>
              <w:pStyle w:val="RCTstable"/>
              <w:jc w:val="center"/>
            </w:pPr>
            <w:r>
              <w:t>5</w:t>
            </w:r>
          </w:p>
        </w:tc>
      </w:tr>
      <w:tr w:rsidR="00FF7AFA" w:rsidRPr="00C12274" w14:paraId="6F4EC7AC" w14:textId="77777777" w:rsidTr="006A3F9A">
        <w:tc>
          <w:tcPr>
            <w:tcW w:w="2841" w:type="dxa"/>
          </w:tcPr>
          <w:p w14:paraId="0F521A9F" w14:textId="46A9E386" w:rsidR="00FF7AFA" w:rsidRPr="00C12274" w:rsidRDefault="00FF7AFA" w:rsidP="002747EA">
            <w:pPr>
              <w:pStyle w:val="RCTstable"/>
              <w:rPr>
                <w:noProof/>
              </w:rPr>
            </w:pPr>
            <w:r w:rsidRPr="00C12274">
              <w:rPr>
                <w:noProof/>
              </w:rPr>
              <w:t>Thangaratinam et al 2012</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411,412</w:t>
            </w:r>
            <w:r>
              <w:rPr>
                <w:noProof/>
              </w:rPr>
              <w:fldChar w:fldCharType="end"/>
            </w:r>
          </w:p>
        </w:tc>
        <w:tc>
          <w:tcPr>
            <w:tcW w:w="2547" w:type="dxa"/>
          </w:tcPr>
          <w:p w14:paraId="5BD40D18" w14:textId="77777777" w:rsidR="00FF7AFA" w:rsidRPr="00C12274" w:rsidRDefault="00FF7AFA" w:rsidP="006A3F9A">
            <w:pPr>
              <w:pStyle w:val="RCTstable"/>
              <w:rPr>
                <w:rFonts w:ascii="Helvetica" w:hAnsi="Helvetica"/>
              </w:rPr>
            </w:pPr>
            <w:r>
              <w:rPr>
                <w:rFonts w:ascii="Helvetica" w:hAnsi="Helvetica"/>
              </w:rPr>
              <w:t>Mixed BMIs</w:t>
            </w:r>
          </w:p>
        </w:tc>
        <w:tc>
          <w:tcPr>
            <w:tcW w:w="2982" w:type="dxa"/>
          </w:tcPr>
          <w:p w14:paraId="7107288F" w14:textId="3E80949E" w:rsidR="00FF7AFA" w:rsidRPr="00BE0624" w:rsidRDefault="00FF7AFA" w:rsidP="006A3F9A">
            <w:pPr>
              <w:pStyle w:val="RCTstable"/>
              <w:jc w:val="center"/>
            </w:pPr>
            <w:r>
              <w:t>RR 0.30 (0.10 to 0.88)</w:t>
            </w:r>
          </w:p>
        </w:tc>
        <w:tc>
          <w:tcPr>
            <w:tcW w:w="1134" w:type="dxa"/>
          </w:tcPr>
          <w:p w14:paraId="3AABE3CB" w14:textId="4CC5F58D" w:rsidR="00FF7AFA" w:rsidRPr="00BE0624" w:rsidRDefault="00FF7AFA" w:rsidP="006A3F9A">
            <w:pPr>
              <w:pStyle w:val="RCTstable"/>
              <w:jc w:val="center"/>
            </w:pPr>
            <w:r>
              <w:t>2</w:t>
            </w:r>
          </w:p>
        </w:tc>
      </w:tr>
      <w:tr w:rsidR="001975F2" w:rsidRPr="00C12274" w14:paraId="61FA38D7" w14:textId="77777777" w:rsidTr="006B3B11">
        <w:tc>
          <w:tcPr>
            <w:tcW w:w="2841" w:type="dxa"/>
            <w:tcBorders>
              <w:bottom w:val="single" w:sz="4" w:space="0" w:color="3B3474"/>
            </w:tcBorders>
          </w:tcPr>
          <w:p w14:paraId="1AAC8DE0" w14:textId="3E4CCB99"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Borders>
              <w:bottom w:val="single" w:sz="4" w:space="0" w:color="3B3474"/>
            </w:tcBorders>
          </w:tcPr>
          <w:p w14:paraId="68CB9873" w14:textId="77777777" w:rsidR="001975F2" w:rsidRDefault="001975F2" w:rsidP="006A3F9A">
            <w:pPr>
              <w:pStyle w:val="RCTstable"/>
              <w:rPr>
                <w:rFonts w:ascii="Helvetica" w:hAnsi="Helvetica"/>
              </w:rPr>
            </w:pPr>
            <w:r>
              <w:rPr>
                <w:rFonts w:ascii="Helvetica" w:hAnsi="Helvetica"/>
              </w:rPr>
              <w:t>Mixed BMIs</w:t>
            </w:r>
          </w:p>
        </w:tc>
        <w:tc>
          <w:tcPr>
            <w:tcW w:w="2982" w:type="dxa"/>
            <w:tcBorders>
              <w:bottom w:val="single" w:sz="4" w:space="0" w:color="3B3474"/>
            </w:tcBorders>
          </w:tcPr>
          <w:p w14:paraId="65A457F4" w14:textId="1C29377C" w:rsidR="001975F2" w:rsidRDefault="001975F2" w:rsidP="001975F2">
            <w:pPr>
              <w:pStyle w:val="RCTstable"/>
              <w:jc w:val="center"/>
            </w:pPr>
            <w:r>
              <w:t>RR 0.30 (0.10 to 0.88)</w:t>
            </w:r>
          </w:p>
        </w:tc>
        <w:tc>
          <w:tcPr>
            <w:tcW w:w="1134" w:type="dxa"/>
            <w:tcBorders>
              <w:bottom w:val="single" w:sz="4" w:space="0" w:color="3B3474"/>
            </w:tcBorders>
          </w:tcPr>
          <w:p w14:paraId="6CCF2639" w14:textId="2F80E232" w:rsidR="001975F2" w:rsidRDefault="001975F2" w:rsidP="006A3F9A">
            <w:pPr>
              <w:pStyle w:val="RCTstable"/>
              <w:jc w:val="center"/>
            </w:pPr>
            <w:r>
              <w:t>2</w:t>
            </w:r>
          </w:p>
        </w:tc>
      </w:tr>
      <w:tr w:rsidR="007E430B" w:rsidRPr="00C12274" w14:paraId="32A842B8" w14:textId="77777777" w:rsidTr="00570C28">
        <w:trPr>
          <w:trHeight w:val="72"/>
        </w:trPr>
        <w:tc>
          <w:tcPr>
            <w:tcW w:w="2841" w:type="dxa"/>
          </w:tcPr>
          <w:p w14:paraId="0537E672" w14:textId="76F2DEAE" w:rsidR="007E430B" w:rsidRPr="00C12274" w:rsidRDefault="007E430B"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4C90589D" w14:textId="77777777" w:rsidR="007E430B" w:rsidRPr="00C12274" w:rsidRDefault="007E430B" w:rsidP="00570C28">
            <w:pPr>
              <w:pStyle w:val="RCTstable"/>
            </w:pPr>
            <w:r>
              <w:t>Overweight and obese</w:t>
            </w:r>
          </w:p>
        </w:tc>
        <w:tc>
          <w:tcPr>
            <w:tcW w:w="2982" w:type="dxa"/>
          </w:tcPr>
          <w:p w14:paraId="58A45786" w14:textId="2B07D125" w:rsidR="007E430B" w:rsidRPr="00BE0624" w:rsidRDefault="007E430B" w:rsidP="007E430B">
            <w:pPr>
              <w:pStyle w:val="RCTstable"/>
              <w:jc w:val="center"/>
              <w:rPr>
                <w:rFonts w:eastAsiaTheme="majorEastAsia"/>
              </w:rPr>
            </w:pPr>
            <w:r>
              <w:t>RR 0.70 (0.30 to 1.61)</w:t>
            </w:r>
          </w:p>
        </w:tc>
        <w:tc>
          <w:tcPr>
            <w:tcW w:w="1134" w:type="dxa"/>
          </w:tcPr>
          <w:p w14:paraId="33BE9D60" w14:textId="24325F82" w:rsidR="007E430B" w:rsidRDefault="007E430B" w:rsidP="00570C28">
            <w:pPr>
              <w:pStyle w:val="RCTstable"/>
              <w:jc w:val="center"/>
            </w:pPr>
            <w:r>
              <w:t>4</w:t>
            </w:r>
          </w:p>
        </w:tc>
      </w:tr>
      <w:tr w:rsidR="00A3266B" w:rsidRPr="00B87066" w14:paraId="2CEA49E0" w14:textId="77777777" w:rsidTr="006B3B11">
        <w:tc>
          <w:tcPr>
            <w:tcW w:w="9504" w:type="dxa"/>
            <w:gridSpan w:val="4"/>
            <w:shd w:val="clear" w:color="auto" w:fill="D9E2F3" w:themeFill="accent1" w:themeFillTint="33"/>
          </w:tcPr>
          <w:p w14:paraId="61EF1AF6" w14:textId="6E6ED255" w:rsidR="00A3266B" w:rsidRPr="00B87066" w:rsidRDefault="00A3266B" w:rsidP="002B4AA3">
            <w:pPr>
              <w:pStyle w:val="RCTstable"/>
              <w:keepNext/>
              <w:rPr>
                <w:i/>
              </w:rPr>
            </w:pPr>
            <w:r>
              <w:rPr>
                <w:i/>
              </w:rPr>
              <w:t>Pre-eclampsia</w:t>
            </w:r>
          </w:p>
        </w:tc>
      </w:tr>
      <w:tr w:rsidR="00A3266B" w:rsidRPr="00B87066" w14:paraId="2D96FA48" w14:textId="77777777" w:rsidTr="00103A07">
        <w:tc>
          <w:tcPr>
            <w:tcW w:w="2841" w:type="dxa"/>
            <w:tcBorders>
              <w:bottom w:val="single" w:sz="4" w:space="0" w:color="3B3474"/>
            </w:tcBorders>
            <w:shd w:val="clear" w:color="auto" w:fill="F2F2F2" w:themeFill="background1" w:themeFillShade="F2"/>
          </w:tcPr>
          <w:p w14:paraId="3320EF8A" w14:textId="77777777" w:rsidR="00A3266B" w:rsidRPr="00B87066" w:rsidRDefault="00A3266B" w:rsidP="00103A07">
            <w:pPr>
              <w:pStyle w:val="RCTstable"/>
            </w:pPr>
            <w:r w:rsidRPr="00B87066">
              <w:t>Current review</w:t>
            </w:r>
          </w:p>
        </w:tc>
        <w:tc>
          <w:tcPr>
            <w:tcW w:w="2547" w:type="dxa"/>
            <w:tcBorders>
              <w:bottom w:val="single" w:sz="4" w:space="0" w:color="3B3474"/>
            </w:tcBorders>
            <w:shd w:val="clear" w:color="auto" w:fill="F2F2F2" w:themeFill="background1" w:themeFillShade="F2"/>
          </w:tcPr>
          <w:p w14:paraId="119260D2" w14:textId="77777777" w:rsidR="00A3266B" w:rsidRPr="00B87066" w:rsidRDefault="00A3266B" w:rsidP="00103A07">
            <w:pPr>
              <w:pStyle w:val="RCTstable"/>
            </w:pPr>
            <w:r w:rsidRPr="00B87066">
              <w:t>Mixed BMIs</w:t>
            </w:r>
          </w:p>
        </w:tc>
        <w:tc>
          <w:tcPr>
            <w:tcW w:w="2982" w:type="dxa"/>
            <w:tcBorders>
              <w:bottom w:val="single" w:sz="4" w:space="0" w:color="3B3474"/>
            </w:tcBorders>
            <w:shd w:val="clear" w:color="auto" w:fill="F2F2F2" w:themeFill="background1" w:themeFillShade="F2"/>
          </w:tcPr>
          <w:p w14:paraId="37990A0B" w14:textId="473307B5" w:rsidR="00A3266B" w:rsidRPr="00A33D96" w:rsidRDefault="00060764" w:rsidP="00103A07">
            <w:pPr>
              <w:pStyle w:val="RCTstable"/>
              <w:jc w:val="center"/>
            </w:pPr>
            <w:r>
              <w:t>RR 0.61 (0.25 to 1.46)</w:t>
            </w:r>
          </w:p>
        </w:tc>
        <w:tc>
          <w:tcPr>
            <w:tcW w:w="1134" w:type="dxa"/>
            <w:tcBorders>
              <w:bottom w:val="single" w:sz="4" w:space="0" w:color="3B3474"/>
            </w:tcBorders>
            <w:shd w:val="clear" w:color="auto" w:fill="F2F2F2" w:themeFill="background1" w:themeFillShade="F2"/>
          </w:tcPr>
          <w:p w14:paraId="052312DA" w14:textId="0BBB7443" w:rsidR="00A3266B" w:rsidRPr="00B87066" w:rsidRDefault="00060764" w:rsidP="00103A07">
            <w:pPr>
              <w:pStyle w:val="RCTstable"/>
              <w:jc w:val="center"/>
            </w:pPr>
            <w:r>
              <w:t>2</w:t>
            </w:r>
          </w:p>
        </w:tc>
      </w:tr>
      <w:tr w:rsidR="001E5605" w:rsidRPr="00C12274" w14:paraId="132EA57D" w14:textId="77777777" w:rsidTr="006A3F9A">
        <w:tc>
          <w:tcPr>
            <w:tcW w:w="2841" w:type="dxa"/>
          </w:tcPr>
          <w:p w14:paraId="66B09EC0" w14:textId="534AB10D" w:rsidR="001E5605" w:rsidRPr="00C12274" w:rsidRDefault="001E5605" w:rsidP="002747EA">
            <w:pPr>
              <w:pStyle w:val="RCTstable"/>
              <w:rPr>
                <w:noProof/>
              </w:rPr>
            </w:pPr>
            <w:r>
              <w:t>Allen et al 2014</w:t>
            </w:r>
            <w:r>
              <w:fldChar w:fldCharType="begin">
                <w:fldData xml:space="preserve">PEVuZE5vdGU+PENpdGU+PEF1dGhvcj5BbGxlbjwvQXV0aG9yPjxZZWFyPjIwMTQ8L1llYXI+PFJl
Y051bT41NjQ8L1JlY051bT48RGlzcGxheVRleHQ+PHN0eWxlIGZhY2U9InN1cGVyc2NyaXB0IiBm
b250PSJUcmVidWNoZXQgTVMiIHNpemU9IjkiPjQyMjwvc3R5bGU+PC9EaXNwbGF5VGV4dD48cmVj
b3JkPjxyZWMtbnVtYmVyPjU2NDwvcmVjLW51bWJlcj48Zm9yZWlnbi1rZXlzPjxrZXkgYXBwPSJF
TiIgZGItaWQ9ImV4dmFzcmZ4MmR0cmFvZXNhc3hwMnN6c3hhMmRmNTAyNTkyeCIgdGltZXN0YW1w
PSIxNTM1OTMzNzc1Ij41NjQ8L2tleT48a2V5IGFwcD0iRU5XZWIiIGRiLWlkPSIiPjA8L2tleT48
L2ZvcmVpZ24ta2V5cz48cmVmLXR5cGUgbmFtZT0iSm91cm5hbCBBcnRpY2xlIj4xNzwvcmVmLXR5
cGU+PGNvbnRyaWJ1dG9ycz48YXV0aG9ycz48YXV0aG9yPkFsbGVuLCBSLjwvYXV0aG9yPjxhdXRo
b3I+Um9nb3ppbnNrYSwgRS48L2F1dGhvcj48YXV0aG9yPlNpdmFyYWphc2luZ2FtLCBQLjwvYXV0
aG9yPjxhdXRob3I+S2hhbiwgSy4gUy48L2F1dGhvcj48YXV0aG9yPlRoYW5nYXJhdGluYW0sIFMu
PC9hdXRob3I+PC9hdXRob3JzPjwvY29udHJpYnV0b3JzPjxhdXRoLWFkZHJlc3M+QmFydHMgSGVh
bHRoIE5IUyBUcnVzdCwgTG9uZG9uLCBVSy48L2F1dGgtYWRkcmVzcz48dGl0bGVzPjx0aXRsZT5F
ZmZlY3Qgb2YgZGlldC0gYW5kIGxpZmVzdHlsZS1iYXNlZCBtZXRhYm9saWMgcmlzay1tb2RpZnlp
bmcgaW50ZXJ2ZW50aW9ucyBvbiBwcmVlY2xhbXBzaWE6IGEgbWV0YS1hbmFseXNpczwvdGl0bGU+
PHNlY29uZGFyeS10aXRsZT5BY3RhIE9ic3RldCBHeW5lY29sIFNjYW5kPC9zZWNvbmRhcnktdGl0
bGU+PC90aXRsZXM+PHBlcmlvZGljYWw+PGZ1bGwtdGl0bGU+QWN0YSBPYnN0ZXQgR3luZWNvbCBT
Y2FuZDwvZnVsbC10aXRsZT48L3BlcmlvZGljYWw+PHBhZ2VzPjk3My04NTwvcGFnZXM+PHZvbHVt
ZT45Mzwvdm9sdW1lPjxudW1iZXI+MTA8L251bWJlcj48ZWRpdGlvbj4yMDE0LzA4LzIxPC9lZGl0
aW9uPjxrZXl3b3Jkcz48a2V5d29yZD5FZmZlY3QgTW9kaWZpZXIsIEVwaWRlbWlvbG9naWM8L2tl
eXdvcmQ+PGtleXdvcmQ+KkZlZWRpbmcgQmVoYXZpb3IvcGh5c2lvbG9neS9wc3ljaG9sb2d5PC9r
ZXl3b3JkPjxrZXl3b3JkPkZlbWFsZTwva2V5d29yZD48a2V5d29yZD5IdW1hbnM8L2tleXdvcmQ+
PGtleXdvcmQ+KkxpZmUgU3R5bGU8L2tleXdvcmQ+PGtleXdvcmQ+Kk1ldGFib2xpYyBTeW5kcm9t
ZS9jb21wbGljYXRpb25zL2RpZXQgdGhlcmFweS9lcGlkZW1pb2xvZ3k8L2tleXdvcmQ+PGtleXdv
cmQ+KlByZS1FY2xhbXBzaWEvZXBpZGVtaW9sb2d5L2V0aW9sb2d5L21ldGFib2xpc20vcHJldmVu
dGlvbiAmYW1wOyBjb250cm9sPC9rZXl3b3JkPjxrZXl3b3JkPlByZWduYW5jeTwva2V5d29yZD48
a2V5d29yZD5SYW5kb21pemVkIENvbnRyb2xsZWQgVHJpYWxzIGFzIFRvcGljPC9rZXl3b3JkPjxr
ZXl3b3JkPlJpc2sgRmFjdG9yczwva2V5d29yZD48a2V5d29yZD5SaXNrIFJlZHVjdGlvbiBCZWhh
dmlvcjwva2V5d29yZD48a2V5d29yZD5EaWV0PC9rZXl3b3JkPjxrZXl3b3JkPmVzc2VudGlhbCBm
YXR0eSBhY2lkczwva2V5d29yZD48a2V5d29yZD5saWZlc3R5bGU8L2tleXdvcmQ+PGtleXdvcmQ+
bGlwaWRzPC9rZXl3b3JkPjxrZXl3b3JkPnByZWVjbGFtcHNpYTwva2V5d29yZD48L2tleXdvcmRz
PjxkYXRlcz48eWVhcj4yMDE0PC95ZWFyPjxwdWItZGF0ZXM+PGRhdGU+T2N0PC9kYXRlPjwvcHVi
LWRhdGVzPjwvZGF0ZXM+PGlzYm4+MTYwMC0wNDEyIChFbGVjdHJvbmljKSYjeEQ7MDAwMS02MzQ5
IChMaW5raW5nKTwvaXNibj48YWNjZXNzaW9uLW51bT4yNTEzODY1MTwvYWNjZXNzaW9uLW51bT48
dXJscz48cmVsYXRlZC11cmxzPjx1cmw+aHR0cHM6Ly93d3cubmNiaS5ubG0ubmloLmdvdi9wdWJt
ZWQvMjUxMzg2NTE8L3VybD48L3JlbGF0ZWQtdXJscz48L3VybHM+PGVsZWN0cm9uaWMtcmVzb3Vy
Y2UtbnVtPjEwLjExMTEvYW9ncy4xMjQ2NzwvZWxlY3Ryb25pYy1yZXNvdXJjZS1udW0+PC9yZWNv
cmQ+PC9DaXRlPjwvRW5kTm90ZT5=
</w:fldData>
              </w:fldChar>
            </w:r>
            <w:r w:rsidR="002747EA">
              <w:instrText xml:space="preserve"> ADDIN EN.CITE </w:instrText>
            </w:r>
            <w:r w:rsidR="002747EA">
              <w:fldChar w:fldCharType="begin">
                <w:fldData xml:space="preserve">PEVuZE5vdGU+PENpdGU+PEF1dGhvcj5BbGxlbjwvQXV0aG9yPjxZZWFyPjIwMTQ8L1llYXI+PFJl
Y051bT41NjQ8L1JlY051bT48RGlzcGxheVRleHQ+PHN0eWxlIGZhY2U9InN1cGVyc2NyaXB0IiBm
b250PSJUcmVidWNoZXQgTVMiIHNpemU9IjkiPjQyMjwvc3R5bGU+PC9EaXNwbGF5VGV4dD48cmVj
b3JkPjxyZWMtbnVtYmVyPjU2NDwvcmVjLW51bWJlcj48Zm9yZWlnbi1rZXlzPjxrZXkgYXBwPSJF
TiIgZGItaWQ9ImV4dmFzcmZ4MmR0cmFvZXNhc3hwMnN6c3hhMmRmNTAyNTkyeCIgdGltZXN0YW1w
PSIxNTM1OTMzNzc1Ij41NjQ8L2tleT48a2V5IGFwcD0iRU5XZWIiIGRiLWlkPSIiPjA8L2tleT48
L2ZvcmVpZ24ta2V5cz48cmVmLXR5cGUgbmFtZT0iSm91cm5hbCBBcnRpY2xlIj4xNzwvcmVmLXR5
cGU+PGNvbnRyaWJ1dG9ycz48YXV0aG9ycz48YXV0aG9yPkFsbGVuLCBSLjwvYXV0aG9yPjxhdXRo
b3I+Um9nb3ppbnNrYSwgRS48L2F1dGhvcj48YXV0aG9yPlNpdmFyYWphc2luZ2FtLCBQLjwvYXV0
aG9yPjxhdXRob3I+S2hhbiwgSy4gUy48L2F1dGhvcj48YXV0aG9yPlRoYW5nYXJhdGluYW0sIFMu
PC9hdXRob3I+PC9hdXRob3JzPjwvY29udHJpYnV0b3JzPjxhdXRoLWFkZHJlc3M+QmFydHMgSGVh
bHRoIE5IUyBUcnVzdCwgTG9uZG9uLCBVSy48L2F1dGgtYWRkcmVzcz48dGl0bGVzPjx0aXRsZT5F
ZmZlY3Qgb2YgZGlldC0gYW5kIGxpZmVzdHlsZS1iYXNlZCBtZXRhYm9saWMgcmlzay1tb2RpZnlp
bmcgaW50ZXJ2ZW50aW9ucyBvbiBwcmVlY2xhbXBzaWE6IGEgbWV0YS1hbmFseXNpczwvdGl0bGU+
PHNlY29uZGFyeS10aXRsZT5BY3RhIE9ic3RldCBHeW5lY29sIFNjYW5kPC9zZWNvbmRhcnktdGl0
bGU+PC90aXRsZXM+PHBlcmlvZGljYWw+PGZ1bGwtdGl0bGU+QWN0YSBPYnN0ZXQgR3luZWNvbCBT
Y2FuZDwvZnVsbC10aXRsZT48L3BlcmlvZGljYWw+PHBhZ2VzPjk3My04NTwvcGFnZXM+PHZvbHVt
ZT45Mzwvdm9sdW1lPjxudW1iZXI+MTA8L251bWJlcj48ZWRpdGlvbj4yMDE0LzA4LzIxPC9lZGl0
aW9uPjxrZXl3b3Jkcz48a2V5d29yZD5FZmZlY3QgTW9kaWZpZXIsIEVwaWRlbWlvbG9naWM8L2tl
eXdvcmQ+PGtleXdvcmQ+KkZlZWRpbmcgQmVoYXZpb3IvcGh5c2lvbG9neS9wc3ljaG9sb2d5PC9r
ZXl3b3JkPjxrZXl3b3JkPkZlbWFsZTwva2V5d29yZD48a2V5d29yZD5IdW1hbnM8L2tleXdvcmQ+
PGtleXdvcmQ+KkxpZmUgU3R5bGU8L2tleXdvcmQ+PGtleXdvcmQ+Kk1ldGFib2xpYyBTeW5kcm9t
ZS9jb21wbGljYXRpb25zL2RpZXQgdGhlcmFweS9lcGlkZW1pb2xvZ3k8L2tleXdvcmQ+PGtleXdv
cmQ+KlByZS1FY2xhbXBzaWEvZXBpZGVtaW9sb2d5L2V0aW9sb2d5L21ldGFib2xpc20vcHJldmVu
dGlvbiAmYW1wOyBjb250cm9sPC9rZXl3b3JkPjxrZXl3b3JkPlByZWduYW5jeTwva2V5d29yZD48
a2V5d29yZD5SYW5kb21pemVkIENvbnRyb2xsZWQgVHJpYWxzIGFzIFRvcGljPC9rZXl3b3JkPjxr
ZXl3b3JkPlJpc2sgRmFjdG9yczwva2V5d29yZD48a2V5d29yZD5SaXNrIFJlZHVjdGlvbiBCZWhh
dmlvcjwva2V5d29yZD48a2V5d29yZD5EaWV0PC9rZXl3b3JkPjxrZXl3b3JkPmVzc2VudGlhbCBm
YXR0eSBhY2lkczwva2V5d29yZD48a2V5d29yZD5saWZlc3R5bGU8L2tleXdvcmQ+PGtleXdvcmQ+
bGlwaWRzPC9rZXl3b3JkPjxrZXl3b3JkPnByZWVjbGFtcHNpYTwva2V5d29yZD48L2tleXdvcmRz
PjxkYXRlcz48eWVhcj4yMDE0PC95ZWFyPjxwdWItZGF0ZXM+PGRhdGU+T2N0PC9kYXRlPjwvcHVi
LWRhdGVzPjwvZGF0ZXM+PGlzYm4+MTYwMC0wNDEyIChFbGVjdHJvbmljKSYjeEQ7MDAwMS02MzQ5
IChMaW5raW5nKTwvaXNibj48YWNjZXNzaW9uLW51bT4yNTEzODY1MTwvYWNjZXNzaW9uLW51bT48
dXJscz48cmVsYXRlZC11cmxzPjx1cmw+aHR0cHM6Ly93d3cubmNiaS5ubG0ubmloLmdvdi9wdWJt
ZWQvMjUxMzg2NTE8L3VybD48L3JlbGF0ZWQtdXJscz48L3VybHM+PGVsZWN0cm9uaWMtcmVzb3Vy
Y2UtbnVtPjEwLjExMTEvYW9ncy4xMjQ2NzwvZWxlY3Ryb25pYy1yZXNvdXJjZS1udW0+PC9yZWNv
cmQ+PC9DaXRlPjwvRW5kTm90ZT5=
</w:fldData>
              </w:fldChar>
            </w:r>
            <w:r w:rsidR="002747EA">
              <w:instrText xml:space="preserve"> ADDIN EN.CITE.DATA </w:instrText>
            </w:r>
            <w:r w:rsidR="002747EA">
              <w:fldChar w:fldCharType="end"/>
            </w:r>
            <w:r>
              <w:fldChar w:fldCharType="separate"/>
            </w:r>
            <w:r w:rsidR="002747EA" w:rsidRPr="002747EA">
              <w:rPr>
                <w:noProof/>
                <w:sz w:val="18"/>
                <w:vertAlign w:val="superscript"/>
              </w:rPr>
              <w:t>422</w:t>
            </w:r>
            <w:r>
              <w:fldChar w:fldCharType="end"/>
            </w:r>
          </w:p>
        </w:tc>
        <w:tc>
          <w:tcPr>
            <w:tcW w:w="2547" w:type="dxa"/>
          </w:tcPr>
          <w:p w14:paraId="20C71986" w14:textId="0ACCE677" w:rsidR="001E5605" w:rsidRDefault="00BC3697" w:rsidP="006A3F9A">
            <w:pPr>
              <w:pStyle w:val="RCTstable"/>
              <w:rPr>
                <w:rFonts w:ascii="Helvetica" w:hAnsi="Helvetica"/>
              </w:rPr>
            </w:pPr>
            <w:r>
              <w:rPr>
                <w:rFonts w:ascii="Helvetica" w:hAnsi="Helvetica"/>
              </w:rPr>
              <w:t>Mixed BMIs</w:t>
            </w:r>
          </w:p>
        </w:tc>
        <w:tc>
          <w:tcPr>
            <w:tcW w:w="2982" w:type="dxa"/>
          </w:tcPr>
          <w:p w14:paraId="112AE121" w14:textId="6DC6E956" w:rsidR="001E5605" w:rsidRDefault="001E5605" w:rsidP="006A3F9A">
            <w:pPr>
              <w:pStyle w:val="RCTstable"/>
              <w:jc w:val="center"/>
            </w:pPr>
            <w:r>
              <w:t>RR 0.67 (0.53 to 0.85)</w:t>
            </w:r>
          </w:p>
        </w:tc>
        <w:tc>
          <w:tcPr>
            <w:tcW w:w="1134" w:type="dxa"/>
          </w:tcPr>
          <w:p w14:paraId="350B725A" w14:textId="02F2769E" w:rsidR="001E5605" w:rsidRDefault="001E5605" w:rsidP="006A3F9A">
            <w:pPr>
              <w:pStyle w:val="RCTstable"/>
              <w:jc w:val="center"/>
            </w:pPr>
            <w:r>
              <w:t>6</w:t>
            </w:r>
          </w:p>
        </w:tc>
      </w:tr>
      <w:tr w:rsidR="00026EDE" w:rsidRPr="00B87066" w14:paraId="147C41FB" w14:textId="77777777" w:rsidTr="001E01D1">
        <w:tc>
          <w:tcPr>
            <w:tcW w:w="2841" w:type="dxa"/>
            <w:shd w:val="clear" w:color="auto" w:fill="auto"/>
          </w:tcPr>
          <w:p w14:paraId="11EE98F8" w14:textId="0E08488E" w:rsidR="00026EDE" w:rsidRPr="00C12274" w:rsidRDefault="00026EDE" w:rsidP="002747EA">
            <w:pPr>
              <w:pStyle w:val="RCTstable"/>
              <w:rPr>
                <w:noProof/>
              </w:rPr>
            </w:pPr>
            <w:r>
              <w:rPr>
                <w:noProof/>
              </w:rPr>
              <w:t>Syngelaki et al 2019</w:t>
            </w:r>
            <w:r w:rsidR="00D07346">
              <w:rPr>
                <w:noProof/>
              </w:rPr>
              <w:fldChar w:fldCharType="begin">
                <w:fldData xml:space="preserve">PEVuZE5vdGU+PENpdGU+PEF1dGhvcj5TeW5nZWxha2k8L0F1dGhvcj48WWVhcj4yMDE5PC9ZZWFy
PjxSZWNOdW0+MTk1MDwvUmVjTnVtPjxEaXNwbGF5VGV4dD48c3R5bGUgZmFjZT0ic3VwZXJzY3Jp
cHQiIGZvbnQ9IlRyZWJ1Y2hldCBNUyIgc2l6ZT0iOSI+NDIzPC9zdHlsZT48L0Rpc3BsYXlUZXh0
PjxyZWNvcmQ+PHJlYy1udW1iZXI+MTk1MDwvcmVjLW51bWJlcj48Zm9yZWlnbi1rZXlzPjxrZXkg
YXBwPSJFTiIgZGItaWQ9ImV4dmFzcmZ4MmR0cmFvZXNhc3hwMnN6c3hhMmRmNTAyNTkyeCIgdGlt
ZXN0YW1wPSIxNTg4NzI4NDgxIj4xOTUwPC9rZXk+PGtleSBhcHA9IkVOV2ViIiBkYi1pZD0iIj4w
PC9rZXk+PC9mb3JlaWduLWtleXM+PHJlZi10eXBlIG5hbWU9IkpvdXJuYWwgQXJ0aWNsZSI+MTc8
L3JlZi10eXBlPjxjb250cmlidXRvcnM+PGF1dGhvcnM+PGF1dGhvcj5TeW5nZWxha2ksIEEuPC9h
dXRob3I+PGF1dGhvcj5TZXF1ZWlyYSBDYW1wb3MsIE0uPC9hdXRob3I+PGF1dGhvcj5Sb2Jlcmdl
LCBTLjwvYXV0aG9yPjxhdXRob3I+QW5kcmFkZSwgVy48L2F1dGhvcj48YXV0aG9yPk5pY29sYWlk
ZXMsIEsuIEguPC9hdXRob3I+PC9hdXRob3JzPjwvY29udHJpYnV0b3JzPjxhdXRoLWFkZHJlc3M+
YSBIYXJyaXMgQmlydGhyaWdodCBSZXNlYXJjaCBDZW50cmUgZm9yIEZldGFsIE1lZGljaW5lICwg
RmV0YWwgTWVkaWNpbmUgUmVzZWFyY2ggSW5zdGl0dXRlLCBLaW5nJmFwb3M7cyBDb2xsZWdlIEhv
c3BpdGFsICwgTG9uZG9uICwgVUsuJiN4RDtiIFNjaG9vbCBvZiBNZWRpY2luZSwgS2luZyZhcG9z
O3MgQ29sbGVnZSBMb25kb24gLCBMb25kb24gLCBVSy48L2F1dGgtYWRkcmVzcz48dGl0bGVzPjx0
aXRsZT5EaWV0IGFuZCBleGVyY2lzZSBmb3IgcHJlZWNsYW1wc2lhIHByZXZlbnRpb24gaW4gb3Zl
cndlaWdodCBhbmQgb2Jlc2UgcHJlZ25hbnQgd29tZW46IHN5c3RlbWF0aWMgcmV2aWV3IGFuZCBt
ZXRhLWFuYWx5c2lzPC90aXRsZT48c2Vjb25kYXJ5LXRpdGxlPkogTWF0ZXJuIEZldGFsIE5lb25h
dGFsIE1lZDwvc2Vjb25kYXJ5LXRpdGxlPjwvdGl0bGVzPjxwZXJpb2RpY2FsPjxmdWxsLXRpdGxl
PkogTWF0ZXJuIEZldGFsIE5lb25hdGFsIE1lZDwvZnVsbC10aXRsZT48L3BlcmlvZGljYWw+PHBh
Z2VzPjM0OTUtMzUwMTwvcGFnZXM+PHZvbHVtZT4zMjwvdm9sdW1lPjxudW1iZXI+MjA8L251bWJl
cj48ZWRpdGlvbj4yMDE4LzA1LzI1PC9lZGl0aW9uPjxrZXl3b3Jkcz48a2V5d29yZD5BZHVsdDwv
a2V5d29yZD48a2V5d29yZD4qRGlldDwva2V5d29yZD48a2V5d29yZD5EaWV0IFRoZXJhcHkvbWV0
aG9kczwva2V5d29yZD48a2V5d29yZD5FeGVyY2lzZS8qcGh5c2lvbG9neTwva2V5d29yZD48a2V5
d29yZD5FeGVyY2lzZSBUaGVyYXB5L21ldGhvZHM8L2tleXdvcmQ+PGtleXdvcmQ+RmVtYWxlPC9r
ZXl3b3JkPjxrZXl3b3JkPkh1bWFuczwva2V5d29yZD48a2V5d29yZD5PYmVzaXR5L2NvbXBsaWNh
dGlvbnMvZXBpZGVtaW9sb2d5Lyp0aGVyYXB5PC9rZXl3b3JkPjxrZXl3b3JkPk92ZXJ3ZWlnaHQv
Y29tcGxpY2F0aW9ucy9lcGlkZW1pb2xvZ3kvKnRoZXJhcHk8L2tleXdvcmQ+PGtleXdvcmQ+UHJl
LUVjbGFtcHNpYS9lcGlkZW1pb2xvZ3kvKnByZXZlbnRpb24gJmFtcDsgY29udHJvbDwva2V5d29y
ZD48a2V5d29yZD5QcmVnbmFuY3k8L2tleXdvcmQ+PGtleXdvcmQ+UHJlZ25hbmN5IENvbXBsaWNh
dGlvbnMvZXBpZGVtaW9sb2d5Lyp0aGVyYXB5PC9rZXl3b3JkPjxrZXl3b3JkPkRpZXQ8L2tleXdv
cmQ+PGtleXdvcmQ+UmN0PC9rZXl3b3JkPjxrZXl3b3JkPmV4ZXJjaXNlPC9rZXl3b3JkPjxrZXl3
b3JkPm1ldGEtYW5hbHlzaXM8L2tleXdvcmQ+PGtleXdvcmQ+b2Jlc2U8L2tleXdvcmQ+PGtleXdv
cmQ+cHJlZWNsYW1wc2lhPC9rZXl3b3JkPjwva2V5d29yZHM+PGRhdGVzPjx5ZWFyPjIwMTk8L3ll
YXI+PHB1Yi1kYXRlcz48ZGF0ZT5PY3Q8L2RhdGU+PC9wdWItZGF0ZXM+PC9kYXRlcz48aXNibj4x
NDc2LTQ5NTQgKEVsZWN0cm9uaWMpJiN4RDsxNDc2LTQ5NTQgKExpbmtpbmcpPC9pc2JuPjxhY2Nl
c3Npb24tbnVtPjI5NzkyMDYxPC9hY2Nlc3Npb24tbnVtPjx1cmxzPjxyZWxhdGVkLXVybHM+PHVy
bD5odHRwczovL3d3dy5uY2JpLm5sbS5uaWguZ292L3B1Ym1lZC8yOTc5MjA2MTwvdXJsPjwvcmVs
YXRlZC11cmxzPjwvdXJscz48ZWxlY3Ryb25pYy1yZXNvdXJjZS1udW0+MTAuMTA4MC8xNDc2NzA1
OC4yMDE4LjE0ODEwMzc8L2VsZWN0cm9uaWMtcmVzb3VyY2UtbnVtPjwvcmVjb3JkPjwvQ2l0ZT48
L0VuZE5vdGU+AG==
</w:fldData>
              </w:fldChar>
            </w:r>
            <w:r w:rsidR="002747EA">
              <w:rPr>
                <w:noProof/>
              </w:rPr>
              <w:instrText xml:space="preserve"> ADDIN EN.CITE </w:instrText>
            </w:r>
            <w:r w:rsidR="002747EA">
              <w:rPr>
                <w:noProof/>
              </w:rPr>
              <w:fldChar w:fldCharType="begin">
                <w:fldData xml:space="preserve">PEVuZE5vdGU+PENpdGU+PEF1dGhvcj5TeW5nZWxha2k8L0F1dGhvcj48WWVhcj4yMDE5PC9ZZWFy
PjxSZWNOdW0+MTk1MDwvUmVjTnVtPjxEaXNwbGF5VGV4dD48c3R5bGUgZmFjZT0ic3VwZXJzY3Jp
cHQiIGZvbnQ9IlRyZWJ1Y2hldCBNUyIgc2l6ZT0iOSI+NDIzPC9zdHlsZT48L0Rpc3BsYXlUZXh0
PjxyZWNvcmQ+PHJlYy1udW1iZXI+MTk1MDwvcmVjLW51bWJlcj48Zm9yZWlnbi1rZXlzPjxrZXkg
YXBwPSJFTiIgZGItaWQ9ImV4dmFzcmZ4MmR0cmFvZXNhc3hwMnN6c3hhMmRmNTAyNTkyeCIgdGlt
ZXN0YW1wPSIxNTg4NzI4NDgxIj4xOTUwPC9rZXk+PGtleSBhcHA9IkVOV2ViIiBkYi1pZD0iIj4w
PC9rZXk+PC9mb3JlaWduLWtleXM+PHJlZi10eXBlIG5hbWU9IkpvdXJuYWwgQXJ0aWNsZSI+MTc8
L3JlZi10eXBlPjxjb250cmlidXRvcnM+PGF1dGhvcnM+PGF1dGhvcj5TeW5nZWxha2ksIEEuPC9h
dXRob3I+PGF1dGhvcj5TZXF1ZWlyYSBDYW1wb3MsIE0uPC9hdXRob3I+PGF1dGhvcj5Sb2Jlcmdl
LCBTLjwvYXV0aG9yPjxhdXRob3I+QW5kcmFkZSwgVy48L2F1dGhvcj48YXV0aG9yPk5pY29sYWlk
ZXMsIEsuIEguPC9hdXRob3I+PC9hdXRob3JzPjwvY29udHJpYnV0b3JzPjxhdXRoLWFkZHJlc3M+
YSBIYXJyaXMgQmlydGhyaWdodCBSZXNlYXJjaCBDZW50cmUgZm9yIEZldGFsIE1lZGljaW5lICwg
RmV0YWwgTWVkaWNpbmUgUmVzZWFyY2ggSW5zdGl0dXRlLCBLaW5nJmFwb3M7cyBDb2xsZWdlIEhv
c3BpdGFsICwgTG9uZG9uICwgVUsuJiN4RDtiIFNjaG9vbCBvZiBNZWRpY2luZSwgS2luZyZhcG9z
O3MgQ29sbGVnZSBMb25kb24gLCBMb25kb24gLCBVSy48L2F1dGgtYWRkcmVzcz48dGl0bGVzPjx0
aXRsZT5EaWV0IGFuZCBleGVyY2lzZSBmb3IgcHJlZWNsYW1wc2lhIHByZXZlbnRpb24gaW4gb3Zl
cndlaWdodCBhbmQgb2Jlc2UgcHJlZ25hbnQgd29tZW46IHN5c3RlbWF0aWMgcmV2aWV3IGFuZCBt
ZXRhLWFuYWx5c2lzPC90aXRsZT48c2Vjb25kYXJ5LXRpdGxlPkogTWF0ZXJuIEZldGFsIE5lb25h
dGFsIE1lZDwvc2Vjb25kYXJ5LXRpdGxlPjwvdGl0bGVzPjxwZXJpb2RpY2FsPjxmdWxsLXRpdGxl
PkogTWF0ZXJuIEZldGFsIE5lb25hdGFsIE1lZDwvZnVsbC10aXRsZT48L3BlcmlvZGljYWw+PHBh
Z2VzPjM0OTUtMzUwMTwvcGFnZXM+PHZvbHVtZT4zMjwvdm9sdW1lPjxudW1iZXI+MjA8L251bWJl
cj48ZWRpdGlvbj4yMDE4LzA1LzI1PC9lZGl0aW9uPjxrZXl3b3Jkcz48a2V5d29yZD5BZHVsdDwv
a2V5d29yZD48a2V5d29yZD4qRGlldDwva2V5d29yZD48a2V5d29yZD5EaWV0IFRoZXJhcHkvbWV0
aG9kczwva2V5d29yZD48a2V5d29yZD5FeGVyY2lzZS8qcGh5c2lvbG9neTwva2V5d29yZD48a2V5
d29yZD5FeGVyY2lzZSBUaGVyYXB5L21ldGhvZHM8L2tleXdvcmQ+PGtleXdvcmQ+RmVtYWxlPC9r
ZXl3b3JkPjxrZXl3b3JkPkh1bWFuczwva2V5d29yZD48a2V5d29yZD5PYmVzaXR5L2NvbXBsaWNh
dGlvbnMvZXBpZGVtaW9sb2d5Lyp0aGVyYXB5PC9rZXl3b3JkPjxrZXl3b3JkPk92ZXJ3ZWlnaHQv
Y29tcGxpY2F0aW9ucy9lcGlkZW1pb2xvZ3kvKnRoZXJhcHk8L2tleXdvcmQ+PGtleXdvcmQ+UHJl
LUVjbGFtcHNpYS9lcGlkZW1pb2xvZ3kvKnByZXZlbnRpb24gJmFtcDsgY29udHJvbDwva2V5d29y
ZD48a2V5d29yZD5QcmVnbmFuY3k8L2tleXdvcmQ+PGtleXdvcmQ+UHJlZ25hbmN5IENvbXBsaWNh
dGlvbnMvZXBpZGVtaW9sb2d5Lyp0aGVyYXB5PC9rZXl3b3JkPjxrZXl3b3JkPkRpZXQ8L2tleXdv
cmQ+PGtleXdvcmQ+UmN0PC9rZXl3b3JkPjxrZXl3b3JkPmV4ZXJjaXNlPC9rZXl3b3JkPjxrZXl3
b3JkPm1ldGEtYW5hbHlzaXM8L2tleXdvcmQ+PGtleXdvcmQ+b2Jlc2U8L2tleXdvcmQ+PGtleXdv
cmQ+cHJlZWNsYW1wc2lhPC9rZXl3b3JkPjwva2V5d29yZHM+PGRhdGVzPjx5ZWFyPjIwMTk8L3ll
YXI+PHB1Yi1kYXRlcz48ZGF0ZT5PY3Q8L2RhdGU+PC9wdWItZGF0ZXM+PC9kYXRlcz48aXNibj4x
NDc2LTQ5NTQgKEVsZWN0cm9uaWMpJiN4RDsxNDc2LTQ5NTQgKExpbmtpbmcpPC9pc2JuPjxhY2Nl
c3Npb24tbnVtPjI5NzkyMDYxPC9hY2Nlc3Npb24tbnVtPjx1cmxzPjxyZWxhdGVkLXVybHM+PHVy
bD5odHRwczovL3d3dy5uY2JpLm5sbS5uaWguZ292L3B1Ym1lZC8yOTc5MjA2MTwvdXJsPjwvcmVs
YXRlZC11cmxzPjwvdXJscz48ZWxlY3Ryb25pYy1yZXNvdXJjZS1udW0+MTAuMTA4MC8xNDc2NzA1
OC4yMDE4LjE0ODEwMzc8L2VsZWN0cm9uaWMtcmVzb3VyY2UtbnVtPjwvcmVjb3JkPjwvQ2l0ZT48
L0VuZE5vdGU+AG==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423</w:t>
            </w:r>
            <w:r w:rsidR="00D07346">
              <w:rPr>
                <w:noProof/>
              </w:rPr>
              <w:fldChar w:fldCharType="end"/>
            </w:r>
          </w:p>
        </w:tc>
        <w:tc>
          <w:tcPr>
            <w:tcW w:w="2547" w:type="dxa"/>
            <w:shd w:val="clear" w:color="auto" w:fill="auto"/>
          </w:tcPr>
          <w:p w14:paraId="096F138D" w14:textId="77777777" w:rsidR="00026EDE" w:rsidRDefault="00026EDE" w:rsidP="001E01D1">
            <w:pPr>
              <w:pStyle w:val="RCTstable"/>
            </w:pPr>
            <w:r>
              <w:t>Mixed BMIs</w:t>
            </w:r>
          </w:p>
        </w:tc>
        <w:tc>
          <w:tcPr>
            <w:tcW w:w="2982" w:type="dxa"/>
            <w:shd w:val="clear" w:color="auto" w:fill="auto"/>
          </w:tcPr>
          <w:p w14:paraId="054DB735" w14:textId="16140C13" w:rsidR="00026EDE" w:rsidRDefault="00026EDE" w:rsidP="00026EDE">
            <w:pPr>
              <w:pStyle w:val="RCTstable"/>
              <w:jc w:val="center"/>
            </w:pPr>
            <w:r>
              <w:t>RR 1.00 (0.79 to 1.27)</w:t>
            </w:r>
          </w:p>
        </w:tc>
        <w:tc>
          <w:tcPr>
            <w:tcW w:w="1134" w:type="dxa"/>
            <w:shd w:val="clear" w:color="auto" w:fill="auto"/>
          </w:tcPr>
          <w:p w14:paraId="117A1B76" w14:textId="58EE3732" w:rsidR="00026EDE" w:rsidRDefault="00026EDE" w:rsidP="001E01D1">
            <w:pPr>
              <w:pStyle w:val="RCTstable"/>
              <w:jc w:val="center"/>
            </w:pPr>
            <w:r>
              <w:t>11</w:t>
            </w:r>
          </w:p>
        </w:tc>
      </w:tr>
      <w:tr w:rsidR="00FF7AFA" w:rsidRPr="00C12274" w14:paraId="134961EF" w14:textId="77777777" w:rsidTr="006A3F9A">
        <w:tc>
          <w:tcPr>
            <w:tcW w:w="2841" w:type="dxa"/>
          </w:tcPr>
          <w:p w14:paraId="080F946D" w14:textId="41390183" w:rsidR="00FF7AFA" w:rsidRPr="00C12274" w:rsidRDefault="00FF7AFA" w:rsidP="002747EA">
            <w:pPr>
              <w:pStyle w:val="RCTstable"/>
              <w:rPr>
                <w:noProof/>
              </w:rPr>
            </w:pPr>
            <w:r w:rsidRPr="00C12274">
              <w:rPr>
                <w:noProof/>
              </w:rPr>
              <w:t>Thangaratinam et al 2012</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411,412</w:t>
            </w:r>
            <w:r>
              <w:rPr>
                <w:noProof/>
              </w:rPr>
              <w:fldChar w:fldCharType="end"/>
            </w:r>
          </w:p>
        </w:tc>
        <w:tc>
          <w:tcPr>
            <w:tcW w:w="2547" w:type="dxa"/>
          </w:tcPr>
          <w:p w14:paraId="58BDCBF3" w14:textId="77777777" w:rsidR="00FF7AFA" w:rsidRPr="00C12274" w:rsidRDefault="00FF7AFA" w:rsidP="006A3F9A">
            <w:pPr>
              <w:pStyle w:val="RCTstable"/>
              <w:rPr>
                <w:rFonts w:ascii="Helvetica" w:hAnsi="Helvetica"/>
              </w:rPr>
            </w:pPr>
            <w:r>
              <w:rPr>
                <w:rFonts w:ascii="Helvetica" w:hAnsi="Helvetica"/>
              </w:rPr>
              <w:t>Mixed BMIs</w:t>
            </w:r>
          </w:p>
        </w:tc>
        <w:tc>
          <w:tcPr>
            <w:tcW w:w="2982" w:type="dxa"/>
          </w:tcPr>
          <w:p w14:paraId="04460585" w14:textId="5F98D7FF" w:rsidR="00FF7AFA" w:rsidRPr="00BE0624" w:rsidRDefault="00FF7AFA" w:rsidP="006A3F9A">
            <w:pPr>
              <w:pStyle w:val="RCTstable"/>
              <w:jc w:val="center"/>
            </w:pPr>
            <w:r>
              <w:t>RR 0.67 (0.53 to 0.85)</w:t>
            </w:r>
          </w:p>
        </w:tc>
        <w:tc>
          <w:tcPr>
            <w:tcW w:w="1134" w:type="dxa"/>
          </w:tcPr>
          <w:p w14:paraId="0D4E636F" w14:textId="625FC695" w:rsidR="00FF7AFA" w:rsidRPr="00BE0624" w:rsidRDefault="00FF7AFA" w:rsidP="006A3F9A">
            <w:pPr>
              <w:pStyle w:val="RCTstable"/>
              <w:jc w:val="center"/>
            </w:pPr>
            <w:r>
              <w:t>6</w:t>
            </w:r>
          </w:p>
        </w:tc>
      </w:tr>
      <w:tr w:rsidR="001975F2" w:rsidRPr="00C12274" w14:paraId="0D58F48D" w14:textId="77777777" w:rsidTr="006B3B11">
        <w:tc>
          <w:tcPr>
            <w:tcW w:w="2841" w:type="dxa"/>
            <w:tcBorders>
              <w:bottom w:val="single" w:sz="4" w:space="0" w:color="3B3474"/>
            </w:tcBorders>
          </w:tcPr>
          <w:p w14:paraId="7E725C1F" w14:textId="44479562"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Borders>
              <w:bottom w:val="single" w:sz="4" w:space="0" w:color="3B3474"/>
            </w:tcBorders>
          </w:tcPr>
          <w:p w14:paraId="044507CD" w14:textId="77777777" w:rsidR="001975F2" w:rsidRDefault="001975F2" w:rsidP="006A3F9A">
            <w:pPr>
              <w:pStyle w:val="RCTstable"/>
              <w:rPr>
                <w:rFonts w:ascii="Helvetica" w:hAnsi="Helvetica"/>
              </w:rPr>
            </w:pPr>
            <w:r>
              <w:rPr>
                <w:rFonts w:ascii="Helvetica" w:hAnsi="Helvetica"/>
              </w:rPr>
              <w:t>Mixed BMIs</w:t>
            </w:r>
          </w:p>
        </w:tc>
        <w:tc>
          <w:tcPr>
            <w:tcW w:w="2982" w:type="dxa"/>
            <w:tcBorders>
              <w:bottom w:val="single" w:sz="4" w:space="0" w:color="3B3474"/>
            </w:tcBorders>
          </w:tcPr>
          <w:p w14:paraId="674904BC" w14:textId="31BF5BDA" w:rsidR="001975F2" w:rsidRDefault="001975F2" w:rsidP="001975F2">
            <w:pPr>
              <w:pStyle w:val="RCTstable"/>
              <w:jc w:val="center"/>
            </w:pPr>
            <w:r>
              <w:t>RR 0.61 (0.25 to 1.46)</w:t>
            </w:r>
          </w:p>
        </w:tc>
        <w:tc>
          <w:tcPr>
            <w:tcW w:w="1134" w:type="dxa"/>
            <w:tcBorders>
              <w:bottom w:val="single" w:sz="4" w:space="0" w:color="3B3474"/>
            </w:tcBorders>
          </w:tcPr>
          <w:p w14:paraId="77478226" w14:textId="750E0299" w:rsidR="001975F2" w:rsidRDefault="001975F2" w:rsidP="006A3F9A">
            <w:pPr>
              <w:pStyle w:val="RCTstable"/>
              <w:jc w:val="center"/>
            </w:pPr>
            <w:r>
              <w:t>2</w:t>
            </w:r>
          </w:p>
        </w:tc>
      </w:tr>
      <w:tr w:rsidR="007E430B" w:rsidRPr="00C12274" w14:paraId="6A9C2C3E" w14:textId="77777777" w:rsidTr="00570C28">
        <w:trPr>
          <w:trHeight w:val="72"/>
        </w:trPr>
        <w:tc>
          <w:tcPr>
            <w:tcW w:w="2841" w:type="dxa"/>
          </w:tcPr>
          <w:p w14:paraId="01D039D8" w14:textId="10A34244" w:rsidR="007E430B" w:rsidRPr="00C12274" w:rsidRDefault="007E430B"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2C47B749" w14:textId="77777777" w:rsidR="007E430B" w:rsidRPr="00C12274" w:rsidRDefault="007E430B" w:rsidP="00570C28">
            <w:pPr>
              <w:pStyle w:val="RCTstable"/>
            </w:pPr>
            <w:r>
              <w:t>Overweight and obese</w:t>
            </w:r>
          </w:p>
        </w:tc>
        <w:tc>
          <w:tcPr>
            <w:tcW w:w="2982" w:type="dxa"/>
          </w:tcPr>
          <w:p w14:paraId="564F3E9E" w14:textId="156C69DA" w:rsidR="007E430B" w:rsidRPr="00BE0624" w:rsidRDefault="007E430B" w:rsidP="00570C28">
            <w:pPr>
              <w:pStyle w:val="RCTstable"/>
              <w:jc w:val="center"/>
              <w:rPr>
                <w:rFonts w:eastAsiaTheme="majorEastAsia"/>
              </w:rPr>
            </w:pPr>
            <w:r>
              <w:t>RR 0.80 (0.49 to 1.31)</w:t>
            </w:r>
          </w:p>
        </w:tc>
        <w:tc>
          <w:tcPr>
            <w:tcW w:w="1134" w:type="dxa"/>
          </w:tcPr>
          <w:p w14:paraId="39220EBD" w14:textId="680E3C9B" w:rsidR="007E430B" w:rsidRDefault="007E430B" w:rsidP="00570C28">
            <w:pPr>
              <w:pStyle w:val="RCTstable"/>
              <w:jc w:val="center"/>
            </w:pPr>
            <w:r>
              <w:t>5</w:t>
            </w:r>
          </w:p>
        </w:tc>
      </w:tr>
      <w:tr w:rsidR="009A4588" w:rsidRPr="00B87066" w14:paraId="588963F5" w14:textId="77777777" w:rsidTr="006B3B11">
        <w:tc>
          <w:tcPr>
            <w:tcW w:w="9504" w:type="dxa"/>
            <w:gridSpan w:val="4"/>
            <w:shd w:val="clear" w:color="auto" w:fill="D9E2F3" w:themeFill="accent1" w:themeFillTint="33"/>
          </w:tcPr>
          <w:p w14:paraId="19E09A3A" w14:textId="57BC3FCC" w:rsidR="009A4588" w:rsidRPr="00B87066" w:rsidRDefault="009A4588" w:rsidP="006A3F9A">
            <w:pPr>
              <w:pStyle w:val="RCTstable"/>
              <w:rPr>
                <w:i/>
              </w:rPr>
            </w:pPr>
            <w:r>
              <w:rPr>
                <w:i/>
              </w:rPr>
              <w:t>Caesarean section</w:t>
            </w:r>
          </w:p>
        </w:tc>
      </w:tr>
      <w:tr w:rsidR="009A4588" w:rsidRPr="00B87066" w14:paraId="2EB8ACDE" w14:textId="77777777" w:rsidTr="006A3F9A">
        <w:tc>
          <w:tcPr>
            <w:tcW w:w="2841" w:type="dxa"/>
            <w:tcBorders>
              <w:bottom w:val="single" w:sz="4" w:space="0" w:color="3B3474"/>
            </w:tcBorders>
            <w:shd w:val="clear" w:color="auto" w:fill="F2F2F2" w:themeFill="background1" w:themeFillShade="F2"/>
          </w:tcPr>
          <w:p w14:paraId="29CC9362" w14:textId="77777777" w:rsidR="009A4588" w:rsidRPr="00B87066" w:rsidRDefault="009A4588" w:rsidP="006A3F9A">
            <w:pPr>
              <w:pStyle w:val="RCTstable"/>
            </w:pPr>
            <w:r w:rsidRPr="00B87066">
              <w:t>Current review</w:t>
            </w:r>
          </w:p>
        </w:tc>
        <w:tc>
          <w:tcPr>
            <w:tcW w:w="2547" w:type="dxa"/>
            <w:tcBorders>
              <w:bottom w:val="single" w:sz="4" w:space="0" w:color="3B3474"/>
            </w:tcBorders>
            <w:shd w:val="clear" w:color="auto" w:fill="F2F2F2" w:themeFill="background1" w:themeFillShade="F2"/>
          </w:tcPr>
          <w:p w14:paraId="283EE73A" w14:textId="77777777" w:rsidR="009A4588" w:rsidRPr="00B87066" w:rsidRDefault="009A4588" w:rsidP="006A3F9A">
            <w:pPr>
              <w:pStyle w:val="RCTstable"/>
            </w:pPr>
            <w:r w:rsidRPr="00B87066">
              <w:t>Mixed BMIs</w:t>
            </w:r>
          </w:p>
        </w:tc>
        <w:tc>
          <w:tcPr>
            <w:tcW w:w="2982" w:type="dxa"/>
            <w:tcBorders>
              <w:bottom w:val="single" w:sz="4" w:space="0" w:color="3B3474"/>
            </w:tcBorders>
            <w:shd w:val="clear" w:color="auto" w:fill="F2F2F2" w:themeFill="background1" w:themeFillShade="F2"/>
          </w:tcPr>
          <w:p w14:paraId="103960A2" w14:textId="3167E916" w:rsidR="009A4588" w:rsidRPr="00A33D96" w:rsidRDefault="00060764" w:rsidP="006A3F9A">
            <w:pPr>
              <w:pStyle w:val="RCTstable"/>
              <w:jc w:val="center"/>
            </w:pPr>
            <w:r>
              <w:t>RR 0.85 (0.64 to 1.11)</w:t>
            </w:r>
          </w:p>
        </w:tc>
        <w:tc>
          <w:tcPr>
            <w:tcW w:w="1134" w:type="dxa"/>
            <w:tcBorders>
              <w:bottom w:val="single" w:sz="4" w:space="0" w:color="3B3474"/>
            </w:tcBorders>
            <w:shd w:val="clear" w:color="auto" w:fill="F2F2F2" w:themeFill="background1" w:themeFillShade="F2"/>
          </w:tcPr>
          <w:p w14:paraId="043CE20D" w14:textId="7A65B40D" w:rsidR="009A4588" w:rsidRPr="00B87066" w:rsidRDefault="00060764" w:rsidP="006A3F9A">
            <w:pPr>
              <w:pStyle w:val="RCTstable"/>
              <w:jc w:val="center"/>
            </w:pPr>
            <w:r>
              <w:t>6</w:t>
            </w:r>
          </w:p>
        </w:tc>
      </w:tr>
      <w:tr w:rsidR="00B46124" w:rsidRPr="00B87066" w14:paraId="0260B267" w14:textId="77777777" w:rsidTr="006A3F9A">
        <w:tc>
          <w:tcPr>
            <w:tcW w:w="2841" w:type="dxa"/>
            <w:shd w:val="clear" w:color="auto" w:fill="auto"/>
          </w:tcPr>
          <w:p w14:paraId="6B5B6FEC" w14:textId="5EB95A87" w:rsidR="00B46124" w:rsidRPr="00B87066" w:rsidRDefault="00B46124"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2DE1966A" w14:textId="52A8D236" w:rsidR="00B46124" w:rsidRPr="00B87066" w:rsidRDefault="00B46124" w:rsidP="006A3F9A">
            <w:pPr>
              <w:pStyle w:val="RCTstable"/>
            </w:pPr>
            <w:r>
              <w:t>Mixed BMIs</w:t>
            </w:r>
          </w:p>
        </w:tc>
        <w:tc>
          <w:tcPr>
            <w:tcW w:w="2982" w:type="dxa"/>
            <w:shd w:val="clear" w:color="auto" w:fill="auto"/>
          </w:tcPr>
          <w:p w14:paraId="425426B7" w14:textId="319555AF" w:rsidR="00B46124" w:rsidRPr="00B87066" w:rsidRDefault="00B46124" w:rsidP="006A3F9A">
            <w:pPr>
              <w:pStyle w:val="RCTstable"/>
              <w:jc w:val="center"/>
            </w:pPr>
            <w:r>
              <w:t>RR 0.99 (0.33 to 3.01)</w:t>
            </w:r>
          </w:p>
        </w:tc>
        <w:tc>
          <w:tcPr>
            <w:tcW w:w="1134" w:type="dxa"/>
            <w:shd w:val="clear" w:color="auto" w:fill="auto"/>
          </w:tcPr>
          <w:p w14:paraId="315E1BE3" w14:textId="4904F2EA" w:rsidR="00B46124" w:rsidRPr="00B87066" w:rsidRDefault="00B46124" w:rsidP="006A3F9A">
            <w:pPr>
              <w:pStyle w:val="RCTstable"/>
              <w:jc w:val="center"/>
            </w:pPr>
            <w:r>
              <w:t>2</w:t>
            </w:r>
          </w:p>
        </w:tc>
      </w:tr>
      <w:tr w:rsidR="009A4588" w:rsidRPr="00B87066" w14:paraId="19E010BA" w14:textId="77777777" w:rsidTr="006A3F9A">
        <w:tc>
          <w:tcPr>
            <w:tcW w:w="2841" w:type="dxa"/>
            <w:vMerge w:val="restart"/>
            <w:shd w:val="clear" w:color="auto" w:fill="auto"/>
          </w:tcPr>
          <w:p w14:paraId="6B923702" w14:textId="209B5017" w:rsidR="009A4588" w:rsidRDefault="009A4588"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shd w:val="clear" w:color="auto" w:fill="auto"/>
          </w:tcPr>
          <w:p w14:paraId="6355296E" w14:textId="77777777" w:rsidR="009A4588" w:rsidRDefault="009A4588"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55235BC4" w14:textId="1604AC67" w:rsidR="009A4588" w:rsidRDefault="009A4588" w:rsidP="009A4588">
            <w:pPr>
              <w:pStyle w:val="RCTstable"/>
              <w:jc w:val="center"/>
            </w:pPr>
            <w:r>
              <w:t>OR 0.78 (0.50 to 1.22)</w:t>
            </w:r>
          </w:p>
        </w:tc>
        <w:tc>
          <w:tcPr>
            <w:tcW w:w="1134" w:type="dxa"/>
            <w:shd w:val="clear" w:color="auto" w:fill="auto"/>
          </w:tcPr>
          <w:p w14:paraId="4884633E" w14:textId="35AF7F9C" w:rsidR="009A4588" w:rsidRDefault="009A4588" w:rsidP="006A3F9A">
            <w:pPr>
              <w:pStyle w:val="RCTstable"/>
              <w:jc w:val="center"/>
            </w:pPr>
            <w:r>
              <w:t>4</w:t>
            </w:r>
          </w:p>
        </w:tc>
      </w:tr>
      <w:tr w:rsidR="009A4588" w:rsidRPr="00B87066" w14:paraId="736A7963" w14:textId="77777777" w:rsidTr="006A3F9A">
        <w:tc>
          <w:tcPr>
            <w:tcW w:w="2841" w:type="dxa"/>
            <w:vMerge/>
            <w:shd w:val="clear" w:color="auto" w:fill="auto"/>
          </w:tcPr>
          <w:p w14:paraId="43EE62D2" w14:textId="77777777" w:rsidR="009A4588" w:rsidRDefault="009A4588" w:rsidP="006A3F9A">
            <w:pPr>
              <w:pStyle w:val="RCTstable"/>
            </w:pPr>
          </w:p>
        </w:tc>
        <w:tc>
          <w:tcPr>
            <w:tcW w:w="2547" w:type="dxa"/>
            <w:shd w:val="clear" w:color="auto" w:fill="auto"/>
          </w:tcPr>
          <w:p w14:paraId="2B51F56C" w14:textId="77777777" w:rsidR="009A4588" w:rsidRDefault="009A4588"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0240EFA1" w14:textId="4ED82EC1" w:rsidR="009A4588" w:rsidRDefault="009A4588" w:rsidP="009A4588">
            <w:pPr>
              <w:pStyle w:val="RCTstable"/>
              <w:jc w:val="center"/>
            </w:pPr>
            <w:r>
              <w:rPr>
                <w:rFonts w:eastAsiaTheme="majorEastAsia"/>
              </w:rPr>
              <w:t>OR 0.88 (0.65 to 1.17)</w:t>
            </w:r>
          </w:p>
        </w:tc>
        <w:tc>
          <w:tcPr>
            <w:tcW w:w="1134" w:type="dxa"/>
            <w:shd w:val="clear" w:color="auto" w:fill="auto"/>
          </w:tcPr>
          <w:p w14:paraId="10359A3B" w14:textId="02509A2B" w:rsidR="009A4588" w:rsidRDefault="009A4588" w:rsidP="006A3F9A">
            <w:pPr>
              <w:pStyle w:val="RCTstable"/>
              <w:jc w:val="center"/>
            </w:pPr>
            <w:r>
              <w:t>7</w:t>
            </w:r>
          </w:p>
        </w:tc>
      </w:tr>
      <w:tr w:rsidR="002D2371" w:rsidRPr="00C12274" w14:paraId="71F9A10C" w14:textId="77777777" w:rsidTr="006A3F9A">
        <w:tc>
          <w:tcPr>
            <w:tcW w:w="2841" w:type="dxa"/>
          </w:tcPr>
          <w:p w14:paraId="105D1873" w14:textId="136FB212" w:rsidR="002D2371" w:rsidRPr="00C12274" w:rsidRDefault="002D2371" w:rsidP="002747EA">
            <w:pPr>
              <w:pStyle w:val="RCTstable"/>
              <w:rPr>
                <w:noProof/>
              </w:rPr>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5E7FBC62" w14:textId="77777777" w:rsidR="002D2371" w:rsidRPr="00C12274" w:rsidRDefault="002D2371" w:rsidP="006A3F9A">
            <w:pPr>
              <w:pStyle w:val="RCTstable"/>
              <w:rPr>
                <w:rFonts w:ascii="Helvetica" w:hAnsi="Helvetica"/>
              </w:rPr>
            </w:pPr>
            <w:r>
              <w:rPr>
                <w:rFonts w:ascii="Helvetica" w:hAnsi="Helvetica"/>
              </w:rPr>
              <w:t>Mixed BMIs</w:t>
            </w:r>
          </w:p>
        </w:tc>
        <w:tc>
          <w:tcPr>
            <w:tcW w:w="2982" w:type="dxa"/>
          </w:tcPr>
          <w:p w14:paraId="656AD5D0" w14:textId="08313BE0" w:rsidR="002D2371" w:rsidRPr="00BE0624" w:rsidRDefault="002D2371" w:rsidP="006A3F9A">
            <w:pPr>
              <w:pStyle w:val="RCTstable"/>
              <w:jc w:val="center"/>
            </w:pPr>
            <w:r>
              <w:t>RR 0.093 (0.84 to 1.04)</w:t>
            </w:r>
          </w:p>
        </w:tc>
        <w:tc>
          <w:tcPr>
            <w:tcW w:w="1134" w:type="dxa"/>
          </w:tcPr>
          <w:p w14:paraId="4E998113" w14:textId="2610DAF2" w:rsidR="002D2371" w:rsidRPr="00BE0624" w:rsidRDefault="002D2371" w:rsidP="006A3F9A">
            <w:pPr>
              <w:pStyle w:val="RCTstable"/>
              <w:jc w:val="center"/>
            </w:pPr>
            <w:r>
              <w:t>5</w:t>
            </w:r>
          </w:p>
        </w:tc>
      </w:tr>
      <w:tr w:rsidR="001975F2" w:rsidRPr="00C12274" w14:paraId="29CB05DA" w14:textId="77777777" w:rsidTr="006A3F9A">
        <w:tc>
          <w:tcPr>
            <w:tcW w:w="2841" w:type="dxa"/>
          </w:tcPr>
          <w:p w14:paraId="35868D8F" w14:textId="49426A79"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Pr>
          <w:p w14:paraId="05F18909" w14:textId="77777777" w:rsidR="001975F2" w:rsidRDefault="001975F2" w:rsidP="006A3F9A">
            <w:pPr>
              <w:pStyle w:val="RCTstable"/>
              <w:rPr>
                <w:rFonts w:ascii="Helvetica" w:hAnsi="Helvetica"/>
              </w:rPr>
            </w:pPr>
            <w:r>
              <w:rPr>
                <w:rFonts w:ascii="Helvetica" w:hAnsi="Helvetica"/>
              </w:rPr>
              <w:t>Mixed BMIs</w:t>
            </w:r>
          </w:p>
        </w:tc>
        <w:tc>
          <w:tcPr>
            <w:tcW w:w="2982" w:type="dxa"/>
          </w:tcPr>
          <w:p w14:paraId="1E22C8D5" w14:textId="27C147B9" w:rsidR="001975F2" w:rsidRDefault="001975F2" w:rsidP="006A3F9A">
            <w:pPr>
              <w:pStyle w:val="RCTstable"/>
              <w:jc w:val="center"/>
            </w:pPr>
            <w:r>
              <w:t>RR 0.98 (0.78 to 1.24)</w:t>
            </w:r>
          </w:p>
        </w:tc>
        <w:tc>
          <w:tcPr>
            <w:tcW w:w="1134" w:type="dxa"/>
          </w:tcPr>
          <w:p w14:paraId="377F4D73" w14:textId="5D3A6184" w:rsidR="001975F2" w:rsidRDefault="001975F2" w:rsidP="006A3F9A">
            <w:pPr>
              <w:pStyle w:val="RCTstable"/>
              <w:jc w:val="center"/>
            </w:pPr>
            <w:r>
              <w:t>4</w:t>
            </w:r>
          </w:p>
        </w:tc>
      </w:tr>
      <w:tr w:rsidR="001975F2" w:rsidRPr="00C12274" w14:paraId="4D0D972A" w14:textId="77777777" w:rsidTr="006A3F9A">
        <w:tc>
          <w:tcPr>
            <w:tcW w:w="2841" w:type="dxa"/>
          </w:tcPr>
          <w:p w14:paraId="71D06DA1" w14:textId="42F29B35"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Pr>
          <w:p w14:paraId="640AA7EF" w14:textId="77777777" w:rsidR="001975F2" w:rsidRDefault="001975F2" w:rsidP="006A3F9A">
            <w:pPr>
              <w:pStyle w:val="RCTstable"/>
              <w:rPr>
                <w:rFonts w:ascii="Helvetica" w:hAnsi="Helvetica"/>
              </w:rPr>
            </w:pPr>
            <w:r>
              <w:rPr>
                <w:rFonts w:ascii="Helvetica" w:hAnsi="Helvetica"/>
              </w:rPr>
              <w:t>Mixed BMIs</w:t>
            </w:r>
          </w:p>
        </w:tc>
        <w:tc>
          <w:tcPr>
            <w:tcW w:w="2982" w:type="dxa"/>
          </w:tcPr>
          <w:p w14:paraId="07D9572A" w14:textId="790B77DD" w:rsidR="001975F2" w:rsidRDefault="001975F2" w:rsidP="001975F2">
            <w:pPr>
              <w:pStyle w:val="RCTstable"/>
              <w:jc w:val="center"/>
            </w:pPr>
            <w:r>
              <w:t>RR 1.27 (0.79 to 2.04)</w:t>
            </w:r>
          </w:p>
        </w:tc>
        <w:tc>
          <w:tcPr>
            <w:tcW w:w="1134" w:type="dxa"/>
          </w:tcPr>
          <w:p w14:paraId="37F1A9D8" w14:textId="1C978917" w:rsidR="001975F2" w:rsidRDefault="001975F2" w:rsidP="006A3F9A">
            <w:pPr>
              <w:pStyle w:val="RCTstable"/>
              <w:jc w:val="center"/>
            </w:pPr>
            <w:r>
              <w:t>2</w:t>
            </w:r>
          </w:p>
        </w:tc>
      </w:tr>
      <w:tr w:rsidR="007E430B" w:rsidRPr="00C12274" w14:paraId="6332B84D" w14:textId="77777777" w:rsidTr="007E430B">
        <w:trPr>
          <w:trHeight w:val="72"/>
        </w:trPr>
        <w:tc>
          <w:tcPr>
            <w:tcW w:w="2841" w:type="dxa"/>
          </w:tcPr>
          <w:p w14:paraId="135BCE26" w14:textId="5385FEF1" w:rsidR="007E430B" w:rsidRPr="00C12274" w:rsidRDefault="007E430B"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440048B1" w14:textId="77777777" w:rsidR="007E430B" w:rsidRPr="00C12274" w:rsidRDefault="007E430B" w:rsidP="00570C28">
            <w:pPr>
              <w:pStyle w:val="RCTstable"/>
            </w:pPr>
            <w:r>
              <w:t>Overweight and obese</w:t>
            </w:r>
          </w:p>
        </w:tc>
        <w:tc>
          <w:tcPr>
            <w:tcW w:w="2982" w:type="dxa"/>
          </w:tcPr>
          <w:p w14:paraId="59F193AD" w14:textId="2F8C7EEA" w:rsidR="007E430B" w:rsidRPr="00BE0624" w:rsidRDefault="007E430B" w:rsidP="00570C28">
            <w:pPr>
              <w:pStyle w:val="RCTstable"/>
              <w:jc w:val="center"/>
              <w:rPr>
                <w:rFonts w:eastAsiaTheme="majorEastAsia"/>
              </w:rPr>
            </w:pPr>
            <w:r>
              <w:t>RR 1.09 (0.93 to 1.28)</w:t>
            </w:r>
          </w:p>
        </w:tc>
        <w:tc>
          <w:tcPr>
            <w:tcW w:w="1134" w:type="dxa"/>
          </w:tcPr>
          <w:p w14:paraId="23BB4AD6" w14:textId="28362B8D" w:rsidR="007E430B" w:rsidRDefault="007E430B" w:rsidP="00570C28">
            <w:pPr>
              <w:pStyle w:val="RCTstable"/>
              <w:jc w:val="center"/>
            </w:pPr>
            <w:r>
              <w:t>3</w:t>
            </w:r>
          </w:p>
        </w:tc>
      </w:tr>
    </w:tbl>
    <w:p w14:paraId="3F9B9232" w14:textId="6B3BA8E9" w:rsidR="00263570" w:rsidRPr="00C12274" w:rsidRDefault="00932C6D" w:rsidP="008E1F6E">
      <w:pPr>
        <w:pStyle w:val="TableName"/>
        <w:spacing w:before="120" w:after="0"/>
        <w:ind w:left="1134" w:hanging="1134"/>
      </w:pPr>
      <w:bookmarkStart w:id="207" w:name="_Toc40956680"/>
      <w:r>
        <w:t xml:space="preserve">Q9 </w:t>
      </w:r>
      <w:r w:rsidR="00DF108B">
        <w:t>Findings</w:t>
      </w:r>
      <w:r w:rsidR="00263570" w:rsidRPr="00C12274">
        <w:t xml:space="preserve"> of </w:t>
      </w:r>
      <w:r w:rsidR="00DF108B">
        <w:t xml:space="preserve">systematic </w:t>
      </w:r>
      <w:r w:rsidR="00263570" w:rsidRPr="00C12274">
        <w:t xml:space="preserve">reviews </w:t>
      </w:r>
      <w:r w:rsidR="00263570">
        <w:t xml:space="preserve">of dietary interventions </w:t>
      </w:r>
      <w:r w:rsidR="00DF108B">
        <w:t>—</w:t>
      </w:r>
      <w:r w:rsidR="00263570" w:rsidRPr="00C12274">
        <w:t xml:space="preserve"> </w:t>
      </w:r>
      <w:r w:rsidR="00263570">
        <w:t>infant</w:t>
      </w:r>
      <w:r w:rsidR="00263570" w:rsidRPr="00C12274">
        <w:t xml:space="preserve"> outcome</w:t>
      </w:r>
      <w:r w:rsidR="00263570">
        <w:t>s</w:t>
      </w:r>
      <w:bookmarkEnd w:id="207"/>
    </w:p>
    <w:tbl>
      <w:tblPr>
        <w:tblStyle w:val="TableGrid"/>
        <w:tblW w:w="9504" w:type="dxa"/>
        <w:tblLook w:val="04A0" w:firstRow="1" w:lastRow="0" w:firstColumn="1" w:lastColumn="0" w:noHBand="0" w:noVBand="1"/>
        <w:tblCaption w:val="Table 102: Q9 Findings of systematic reviews of dietary interventions — infant outcomes"/>
      </w:tblPr>
      <w:tblGrid>
        <w:gridCol w:w="2841"/>
        <w:gridCol w:w="2547"/>
        <w:gridCol w:w="2982"/>
        <w:gridCol w:w="1134"/>
      </w:tblGrid>
      <w:tr w:rsidR="00263570" w:rsidRPr="00B87066" w14:paraId="27BD9361" w14:textId="77777777" w:rsidTr="006B3B11">
        <w:trPr>
          <w:tblHeader/>
        </w:trPr>
        <w:tc>
          <w:tcPr>
            <w:tcW w:w="2841" w:type="dxa"/>
            <w:tcBorders>
              <w:bottom w:val="single" w:sz="4" w:space="0" w:color="3B3474"/>
            </w:tcBorders>
          </w:tcPr>
          <w:p w14:paraId="4E445736" w14:textId="77777777" w:rsidR="00263570" w:rsidRPr="00B87066" w:rsidRDefault="00263570" w:rsidP="00263570">
            <w:pPr>
              <w:spacing w:before="40" w:after="40" w:line="240" w:lineRule="auto"/>
              <w:rPr>
                <w:b/>
                <w:sz w:val="16"/>
                <w:szCs w:val="16"/>
              </w:rPr>
            </w:pPr>
            <w:r w:rsidRPr="00B87066">
              <w:rPr>
                <w:b/>
                <w:sz w:val="16"/>
                <w:szCs w:val="16"/>
              </w:rPr>
              <w:t>Ref</w:t>
            </w:r>
          </w:p>
        </w:tc>
        <w:tc>
          <w:tcPr>
            <w:tcW w:w="2547" w:type="dxa"/>
            <w:tcBorders>
              <w:bottom w:val="single" w:sz="4" w:space="0" w:color="3B3474"/>
            </w:tcBorders>
          </w:tcPr>
          <w:p w14:paraId="2ED2A4A9" w14:textId="77777777" w:rsidR="00263570" w:rsidRPr="00B87066" w:rsidRDefault="00263570" w:rsidP="00263570">
            <w:pPr>
              <w:spacing w:before="40" w:after="40" w:line="240" w:lineRule="auto"/>
              <w:rPr>
                <w:b/>
                <w:sz w:val="16"/>
                <w:szCs w:val="16"/>
              </w:rPr>
            </w:pPr>
            <w:r w:rsidRPr="00B87066">
              <w:rPr>
                <w:b/>
                <w:sz w:val="16"/>
                <w:szCs w:val="16"/>
              </w:rPr>
              <w:t>Population</w:t>
            </w:r>
          </w:p>
        </w:tc>
        <w:tc>
          <w:tcPr>
            <w:tcW w:w="2982" w:type="dxa"/>
            <w:tcBorders>
              <w:bottom w:val="single" w:sz="4" w:space="0" w:color="3B3474"/>
            </w:tcBorders>
          </w:tcPr>
          <w:p w14:paraId="6203AC67" w14:textId="59180F96" w:rsidR="00263570" w:rsidRPr="00B87066" w:rsidRDefault="008E1F6E" w:rsidP="00103A07">
            <w:pPr>
              <w:spacing w:before="40" w:after="40" w:line="240" w:lineRule="auto"/>
              <w:jc w:val="center"/>
              <w:rPr>
                <w:b/>
                <w:sz w:val="16"/>
                <w:szCs w:val="16"/>
              </w:rPr>
            </w:pPr>
            <w:r>
              <w:rPr>
                <w:b/>
                <w:sz w:val="16"/>
                <w:szCs w:val="16"/>
              </w:rPr>
              <w:t>Effect</w:t>
            </w:r>
            <w:r w:rsidR="00263570" w:rsidRPr="00B87066">
              <w:rPr>
                <w:b/>
                <w:sz w:val="16"/>
                <w:szCs w:val="16"/>
              </w:rPr>
              <w:t xml:space="preserve"> (95% CI)</w:t>
            </w:r>
          </w:p>
        </w:tc>
        <w:tc>
          <w:tcPr>
            <w:tcW w:w="1134" w:type="dxa"/>
            <w:tcBorders>
              <w:bottom w:val="single" w:sz="4" w:space="0" w:color="3B3474"/>
            </w:tcBorders>
          </w:tcPr>
          <w:p w14:paraId="41F9D06C" w14:textId="098759D3" w:rsidR="00263570" w:rsidRPr="00B87066" w:rsidRDefault="00D53A68" w:rsidP="00103A07">
            <w:pPr>
              <w:spacing w:before="40" w:after="40" w:line="240" w:lineRule="auto"/>
              <w:jc w:val="center"/>
              <w:rPr>
                <w:b/>
                <w:sz w:val="16"/>
                <w:szCs w:val="16"/>
              </w:rPr>
            </w:pPr>
            <w:r>
              <w:rPr>
                <w:b/>
                <w:sz w:val="16"/>
                <w:szCs w:val="16"/>
              </w:rPr>
              <w:t>#</w:t>
            </w:r>
            <w:r w:rsidR="00263570" w:rsidRPr="00B87066">
              <w:rPr>
                <w:b/>
                <w:sz w:val="16"/>
                <w:szCs w:val="16"/>
              </w:rPr>
              <w:t xml:space="preserve"> studies</w:t>
            </w:r>
          </w:p>
        </w:tc>
      </w:tr>
      <w:tr w:rsidR="00263570" w:rsidRPr="00B87066" w14:paraId="5AFA541A" w14:textId="77777777" w:rsidTr="006B3B11">
        <w:tc>
          <w:tcPr>
            <w:tcW w:w="9504" w:type="dxa"/>
            <w:gridSpan w:val="4"/>
            <w:shd w:val="clear" w:color="auto" w:fill="D9E2F3" w:themeFill="accent1" w:themeFillTint="33"/>
          </w:tcPr>
          <w:p w14:paraId="2ECBC968" w14:textId="77777777" w:rsidR="00263570" w:rsidRPr="00B87066" w:rsidRDefault="00263570" w:rsidP="00103A07">
            <w:pPr>
              <w:pStyle w:val="RCTstable"/>
              <w:rPr>
                <w:i/>
              </w:rPr>
            </w:pPr>
            <w:r>
              <w:rPr>
                <w:i/>
              </w:rPr>
              <w:t>Preterm birth</w:t>
            </w:r>
          </w:p>
        </w:tc>
      </w:tr>
      <w:tr w:rsidR="00263570" w:rsidRPr="00B87066" w14:paraId="6A9342CE" w14:textId="77777777" w:rsidTr="001975F2">
        <w:tc>
          <w:tcPr>
            <w:tcW w:w="2841" w:type="dxa"/>
            <w:tcBorders>
              <w:bottom w:val="single" w:sz="4" w:space="0" w:color="3B3474"/>
            </w:tcBorders>
            <w:shd w:val="clear" w:color="auto" w:fill="F2F2F2" w:themeFill="background1" w:themeFillShade="F2"/>
          </w:tcPr>
          <w:p w14:paraId="5079418F" w14:textId="77777777" w:rsidR="00263570" w:rsidRPr="00B87066" w:rsidRDefault="00263570" w:rsidP="00263570">
            <w:pPr>
              <w:pStyle w:val="RCTstable"/>
            </w:pPr>
            <w:r w:rsidRPr="00B87066">
              <w:t>Current review</w:t>
            </w:r>
          </w:p>
        </w:tc>
        <w:tc>
          <w:tcPr>
            <w:tcW w:w="2547" w:type="dxa"/>
            <w:tcBorders>
              <w:bottom w:val="single" w:sz="4" w:space="0" w:color="3B3474"/>
            </w:tcBorders>
            <w:shd w:val="clear" w:color="auto" w:fill="F2F2F2" w:themeFill="background1" w:themeFillShade="F2"/>
          </w:tcPr>
          <w:p w14:paraId="56D4FC2A" w14:textId="77777777" w:rsidR="00263570" w:rsidRPr="00B87066" w:rsidRDefault="00263570" w:rsidP="00263570">
            <w:pPr>
              <w:pStyle w:val="RCTstable"/>
            </w:pPr>
            <w:r w:rsidRPr="00B87066">
              <w:t>Mixed BMIs</w:t>
            </w:r>
          </w:p>
        </w:tc>
        <w:tc>
          <w:tcPr>
            <w:tcW w:w="2982" w:type="dxa"/>
            <w:tcBorders>
              <w:bottom w:val="single" w:sz="4" w:space="0" w:color="3B3474"/>
            </w:tcBorders>
            <w:shd w:val="clear" w:color="auto" w:fill="F2F2F2" w:themeFill="background1" w:themeFillShade="F2"/>
          </w:tcPr>
          <w:p w14:paraId="43DAC2B4" w14:textId="2AB9465E" w:rsidR="00263570" w:rsidRPr="0016710A" w:rsidRDefault="00060764" w:rsidP="00103A07">
            <w:pPr>
              <w:pStyle w:val="RCTstable"/>
              <w:jc w:val="center"/>
            </w:pPr>
            <w:r>
              <w:t>RR 0.43 (0.24 to 0.79)</w:t>
            </w:r>
          </w:p>
        </w:tc>
        <w:tc>
          <w:tcPr>
            <w:tcW w:w="1134" w:type="dxa"/>
            <w:tcBorders>
              <w:bottom w:val="single" w:sz="4" w:space="0" w:color="3B3474"/>
            </w:tcBorders>
            <w:shd w:val="clear" w:color="auto" w:fill="F2F2F2" w:themeFill="background1" w:themeFillShade="F2"/>
          </w:tcPr>
          <w:p w14:paraId="3A6C5F5D" w14:textId="20CD5081" w:rsidR="00263570" w:rsidRPr="00B87066" w:rsidRDefault="00060764" w:rsidP="00103A07">
            <w:pPr>
              <w:pStyle w:val="RCTstable"/>
              <w:jc w:val="center"/>
            </w:pPr>
            <w:r>
              <w:t>4</w:t>
            </w:r>
          </w:p>
        </w:tc>
      </w:tr>
      <w:tr w:rsidR="00B46124" w:rsidRPr="00B87066" w14:paraId="304A7B42" w14:textId="77777777" w:rsidTr="001975F2">
        <w:tc>
          <w:tcPr>
            <w:tcW w:w="2841" w:type="dxa"/>
            <w:shd w:val="clear" w:color="auto" w:fill="auto"/>
          </w:tcPr>
          <w:p w14:paraId="5DE0DCB8" w14:textId="2814413D" w:rsidR="00B46124" w:rsidRPr="00B87066" w:rsidRDefault="00B46124"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168074DC" w14:textId="34677150" w:rsidR="00B46124" w:rsidRPr="00B87066" w:rsidRDefault="00B46124" w:rsidP="006A3F9A">
            <w:pPr>
              <w:pStyle w:val="RCTstable"/>
            </w:pPr>
            <w:r>
              <w:t>Mixed BMIs</w:t>
            </w:r>
          </w:p>
        </w:tc>
        <w:tc>
          <w:tcPr>
            <w:tcW w:w="2982" w:type="dxa"/>
            <w:shd w:val="clear" w:color="auto" w:fill="auto"/>
          </w:tcPr>
          <w:p w14:paraId="590FD29E" w14:textId="3CB7AD33" w:rsidR="00B46124" w:rsidRPr="00B87066" w:rsidRDefault="00060764" w:rsidP="006A3F9A">
            <w:pPr>
              <w:pStyle w:val="RCTstable"/>
              <w:jc w:val="center"/>
            </w:pPr>
            <w:r>
              <w:t>RR 0.33 (</w:t>
            </w:r>
            <w:r w:rsidR="00B46124">
              <w:t>0.11 to 1.02)</w:t>
            </w:r>
          </w:p>
        </w:tc>
        <w:tc>
          <w:tcPr>
            <w:tcW w:w="1134" w:type="dxa"/>
            <w:shd w:val="clear" w:color="auto" w:fill="auto"/>
          </w:tcPr>
          <w:p w14:paraId="4F0FE82A" w14:textId="73CF1B69" w:rsidR="00B46124" w:rsidRPr="00B87066" w:rsidRDefault="00B46124" w:rsidP="006A3F9A">
            <w:pPr>
              <w:pStyle w:val="RCTstable"/>
              <w:jc w:val="center"/>
            </w:pPr>
            <w:r>
              <w:t>2</w:t>
            </w:r>
          </w:p>
        </w:tc>
      </w:tr>
      <w:tr w:rsidR="00FF7AFA" w:rsidRPr="00C12274" w14:paraId="09AD0A21" w14:textId="77777777" w:rsidTr="001975F2">
        <w:tc>
          <w:tcPr>
            <w:tcW w:w="2841" w:type="dxa"/>
          </w:tcPr>
          <w:p w14:paraId="616A026E" w14:textId="45461ABF" w:rsidR="00FF7AFA" w:rsidRPr="00C12274" w:rsidRDefault="00FF7AFA" w:rsidP="002747EA">
            <w:pPr>
              <w:pStyle w:val="RCTstable"/>
              <w:rPr>
                <w:noProof/>
              </w:rPr>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411,412</w:t>
            </w:r>
            <w:r>
              <w:rPr>
                <w:noProof/>
              </w:rPr>
              <w:fldChar w:fldCharType="end"/>
            </w:r>
          </w:p>
        </w:tc>
        <w:tc>
          <w:tcPr>
            <w:tcW w:w="2547" w:type="dxa"/>
          </w:tcPr>
          <w:p w14:paraId="3AEC187E" w14:textId="77777777" w:rsidR="00FF7AFA" w:rsidRPr="00C12274" w:rsidRDefault="00FF7AFA" w:rsidP="006A3F9A">
            <w:pPr>
              <w:pStyle w:val="RCTstable"/>
              <w:rPr>
                <w:rFonts w:ascii="Helvetica" w:hAnsi="Helvetica"/>
              </w:rPr>
            </w:pPr>
            <w:r>
              <w:rPr>
                <w:rFonts w:ascii="Helvetica" w:hAnsi="Helvetica"/>
              </w:rPr>
              <w:t>Mixed BMIs</w:t>
            </w:r>
          </w:p>
        </w:tc>
        <w:tc>
          <w:tcPr>
            <w:tcW w:w="2982" w:type="dxa"/>
          </w:tcPr>
          <w:p w14:paraId="0E746E25" w14:textId="5E2D72EF" w:rsidR="00FF7AFA" w:rsidRPr="00BE0624" w:rsidRDefault="00FF7AFA" w:rsidP="006A3F9A">
            <w:pPr>
              <w:pStyle w:val="RCTstable"/>
              <w:jc w:val="center"/>
            </w:pPr>
            <w:r>
              <w:t>RR 0.68 (0.48 to 0.96)</w:t>
            </w:r>
          </w:p>
        </w:tc>
        <w:tc>
          <w:tcPr>
            <w:tcW w:w="1134" w:type="dxa"/>
          </w:tcPr>
          <w:p w14:paraId="23B24926" w14:textId="0821B659" w:rsidR="00FF7AFA" w:rsidRPr="00BE0624" w:rsidRDefault="002D2371" w:rsidP="006A3F9A">
            <w:pPr>
              <w:pStyle w:val="RCTstable"/>
              <w:jc w:val="center"/>
            </w:pPr>
            <w:r>
              <w:t>4</w:t>
            </w:r>
          </w:p>
        </w:tc>
      </w:tr>
      <w:tr w:rsidR="001975F2" w:rsidRPr="00C12274" w14:paraId="08CAB413" w14:textId="77777777" w:rsidTr="006B3B11">
        <w:tc>
          <w:tcPr>
            <w:tcW w:w="2841" w:type="dxa"/>
            <w:tcBorders>
              <w:bottom w:val="single" w:sz="4" w:space="0" w:color="3B3474"/>
            </w:tcBorders>
          </w:tcPr>
          <w:p w14:paraId="23BBF13A" w14:textId="55DA4248"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Borders>
              <w:bottom w:val="single" w:sz="4" w:space="0" w:color="3B3474"/>
            </w:tcBorders>
          </w:tcPr>
          <w:p w14:paraId="7C22039A" w14:textId="77777777" w:rsidR="001975F2" w:rsidRDefault="001975F2" w:rsidP="006A3F9A">
            <w:pPr>
              <w:pStyle w:val="RCTstable"/>
              <w:rPr>
                <w:rFonts w:ascii="Helvetica" w:hAnsi="Helvetica"/>
              </w:rPr>
            </w:pPr>
            <w:r>
              <w:rPr>
                <w:rFonts w:ascii="Helvetica" w:hAnsi="Helvetica"/>
              </w:rPr>
              <w:t>Mixed BMIs</w:t>
            </w:r>
          </w:p>
        </w:tc>
        <w:tc>
          <w:tcPr>
            <w:tcW w:w="2982" w:type="dxa"/>
            <w:tcBorders>
              <w:bottom w:val="single" w:sz="4" w:space="0" w:color="3B3474"/>
            </w:tcBorders>
          </w:tcPr>
          <w:p w14:paraId="3FF11A5D" w14:textId="1AE4B046" w:rsidR="001975F2" w:rsidRDefault="001975F2" w:rsidP="001975F2">
            <w:pPr>
              <w:pStyle w:val="RCTstable"/>
              <w:jc w:val="center"/>
            </w:pPr>
            <w:r>
              <w:t>RR 0.51 (0.21 to 1.25)</w:t>
            </w:r>
          </w:p>
        </w:tc>
        <w:tc>
          <w:tcPr>
            <w:tcW w:w="1134" w:type="dxa"/>
            <w:tcBorders>
              <w:bottom w:val="single" w:sz="4" w:space="0" w:color="3B3474"/>
            </w:tcBorders>
          </w:tcPr>
          <w:p w14:paraId="1F8D3F86" w14:textId="266B3F44" w:rsidR="001975F2" w:rsidRDefault="001975F2" w:rsidP="006A3F9A">
            <w:pPr>
              <w:pStyle w:val="RCTstable"/>
              <w:jc w:val="center"/>
            </w:pPr>
            <w:r>
              <w:t>3</w:t>
            </w:r>
          </w:p>
        </w:tc>
      </w:tr>
      <w:tr w:rsidR="007E430B" w:rsidRPr="00C12274" w14:paraId="3222B49F" w14:textId="77777777" w:rsidTr="00570C28">
        <w:trPr>
          <w:trHeight w:val="72"/>
        </w:trPr>
        <w:tc>
          <w:tcPr>
            <w:tcW w:w="2841" w:type="dxa"/>
          </w:tcPr>
          <w:p w14:paraId="0B2767D9" w14:textId="62E04FF3" w:rsidR="007E430B" w:rsidRPr="00C12274" w:rsidRDefault="007E430B"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01C79513" w14:textId="77777777" w:rsidR="007E430B" w:rsidRPr="00C12274" w:rsidRDefault="007E430B" w:rsidP="00570C28">
            <w:pPr>
              <w:pStyle w:val="RCTstable"/>
            </w:pPr>
            <w:r>
              <w:t>Overweight and obese</w:t>
            </w:r>
          </w:p>
        </w:tc>
        <w:tc>
          <w:tcPr>
            <w:tcW w:w="2982" w:type="dxa"/>
          </w:tcPr>
          <w:p w14:paraId="60AEB7F1" w14:textId="30597D5A" w:rsidR="007E430B" w:rsidRPr="00BE0624" w:rsidRDefault="007E430B" w:rsidP="00570C28">
            <w:pPr>
              <w:pStyle w:val="RCTstable"/>
              <w:jc w:val="center"/>
              <w:rPr>
                <w:rFonts w:eastAsiaTheme="majorEastAsia"/>
              </w:rPr>
            </w:pPr>
            <w:r>
              <w:t>RR 0.58 (0.19 to 1.70)</w:t>
            </w:r>
          </w:p>
        </w:tc>
        <w:tc>
          <w:tcPr>
            <w:tcW w:w="1134" w:type="dxa"/>
          </w:tcPr>
          <w:p w14:paraId="29D381AE" w14:textId="2678C2A7" w:rsidR="007E430B" w:rsidRDefault="007E430B" w:rsidP="00570C28">
            <w:pPr>
              <w:pStyle w:val="RCTstable"/>
              <w:jc w:val="center"/>
            </w:pPr>
            <w:r>
              <w:t>2</w:t>
            </w:r>
          </w:p>
        </w:tc>
      </w:tr>
      <w:tr w:rsidR="0087779A" w:rsidRPr="00B87066" w14:paraId="2578C6F3" w14:textId="77777777" w:rsidTr="006B3B11">
        <w:tc>
          <w:tcPr>
            <w:tcW w:w="9504" w:type="dxa"/>
            <w:gridSpan w:val="4"/>
            <w:shd w:val="clear" w:color="auto" w:fill="D9E2F3" w:themeFill="accent1" w:themeFillTint="33"/>
          </w:tcPr>
          <w:p w14:paraId="79FACC33" w14:textId="797CD74F" w:rsidR="0087779A" w:rsidRPr="00B87066" w:rsidRDefault="0087779A" w:rsidP="00060764">
            <w:pPr>
              <w:pStyle w:val="RCTstable"/>
              <w:rPr>
                <w:i/>
              </w:rPr>
            </w:pPr>
            <w:r>
              <w:rPr>
                <w:i/>
              </w:rPr>
              <w:t xml:space="preserve">Macrosomia </w:t>
            </w:r>
          </w:p>
        </w:tc>
      </w:tr>
      <w:tr w:rsidR="0087779A" w:rsidRPr="00B87066" w14:paraId="3C331619" w14:textId="77777777" w:rsidTr="001975F2">
        <w:tc>
          <w:tcPr>
            <w:tcW w:w="2841" w:type="dxa"/>
            <w:tcBorders>
              <w:bottom w:val="single" w:sz="4" w:space="0" w:color="3B3474"/>
            </w:tcBorders>
            <w:shd w:val="clear" w:color="auto" w:fill="F2F2F2" w:themeFill="background1" w:themeFillShade="F2"/>
          </w:tcPr>
          <w:p w14:paraId="25752D06" w14:textId="77777777" w:rsidR="0087779A" w:rsidRPr="00B87066" w:rsidRDefault="0087779A" w:rsidP="006A3F9A">
            <w:pPr>
              <w:pStyle w:val="RCTstable"/>
            </w:pPr>
            <w:r w:rsidRPr="00B87066">
              <w:t>Current review</w:t>
            </w:r>
          </w:p>
        </w:tc>
        <w:tc>
          <w:tcPr>
            <w:tcW w:w="2547" w:type="dxa"/>
            <w:tcBorders>
              <w:bottom w:val="single" w:sz="4" w:space="0" w:color="3B3474"/>
            </w:tcBorders>
            <w:shd w:val="clear" w:color="auto" w:fill="F2F2F2" w:themeFill="background1" w:themeFillShade="F2"/>
          </w:tcPr>
          <w:p w14:paraId="1B4D035E" w14:textId="77777777" w:rsidR="0087779A" w:rsidRPr="00B87066" w:rsidRDefault="0087779A" w:rsidP="006A3F9A">
            <w:pPr>
              <w:pStyle w:val="RCTstable"/>
            </w:pPr>
            <w:r w:rsidRPr="00B87066">
              <w:t>Mixed BMIs</w:t>
            </w:r>
          </w:p>
        </w:tc>
        <w:tc>
          <w:tcPr>
            <w:tcW w:w="2982" w:type="dxa"/>
            <w:tcBorders>
              <w:bottom w:val="single" w:sz="4" w:space="0" w:color="3B3474"/>
            </w:tcBorders>
            <w:shd w:val="clear" w:color="auto" w:fill="F2F2F2" w:themeFill="background1" w:themeFillShade="F2"/>
          </w:tcPr>
          <w:p w14:paraId="7486EBDC" w14:textId="19C0189C" w:rsidR="0087779A" w:rsidRPr="0016710A" w:rsidRDefault="00060764" w:rsidP="006A3F9A">
            <w:pPr>
              <w:pStyle w:val="RCTstable"/>
              <w:jc w:val="center"/>
            </w:pPr>
            <w:r>
              <w:t>RR 0.97 (0.84 to 1.11)</w:t>
            </w:r>
          </w:p>
        </w:tc>
        <w:tc>
          <w:tcPr>
            <w:tcW w:w="1134" w:type="dxa"/>
            <w:tcBorders>
              <w:bottom w:val="single" w:sz="4" w:space="0" w:color="3B3474"/>
            </w:tcBorders>
            <w:shd w:val="clear" w:color="auto" w:fill="F2F2F2" w:themeFill="background1" w:themeFillShade="F2"/>
          </w:tcPr>
          <w:p w14:paraId="77135865" w14:textId="7EB5BF2E" w:rsidR="0087779A" w:rsidRPr="00B87066" w:rsidRDefault="003718D1" w:rsidP="006A3F9A">
            <w:pPr>
              <w:pStyle w:val="RCTstable"/>
              <w:jc w:val="center"/>
            </w:pPr>
            <w:r>
              <w:t>3</w:t>
            </w:r>
          </w:p>
        </w:tc>
      </w:tr>
      <w:tr w:rsidR="00321A32" w:rsidRPr="00B87066" w14:paraId="3199FCDD" w14:textId="77777777" w:rsidTr="001975F2">
        <w:tc>
          <w:tcPr>
            <w:tcW w:w="2841" w:type="dxa"/>
            <w:shd w:val="clear" w:color="auto" w:fill="auto"/>
          </w:tcPr>
          <w:p w14:paraId="34D26376" w14:textId="6DEE77B9" w:rsidR="00321A32" w:rsidRPr="00B87066" w:rsidRDefault="00321A32"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063E7DC3" w14:textId="4955FF44" w:rsidR="00321A32" w:rsidRPr="00B87066" w:rsidRDefault="00321A32" w:rsidP="006A3F9A">
            <w:pPr>
              <w:pStyle w:val="RCTstable"/>
            </w:pPr>
            <w:r>
              <w:t>Mixed risk</w:t>
            </w:r>
          </w:p>
        </w:tc>
        <w:tc>
          <w:tcPr>
            <w:tcW w:w="2982" w:type="dxa"/>
            <w:shd w:val="clear" w:color="auto" w:fill="auto"/>
          </w:tcPr>
          <w:p w14:paraId="266B57CA" w14:textId="032EBC62" w:rsidR="00321A32" w:rsidRPr="00B87066" w:rsidRDefault="00321A32" w:rsidP="006A3F9A">
            <w:pPr>
              <w:pStyle w:val="RCTstable"/>
              <w:jc w:val="center"/>
            </w:pPr>
            <w:r>
              <w:t>RR 0.93 (0.75 to 1.17)</w:t>
            </w:r>
          </w:p>
        </w:tc>
        <w:tc>
          <w:tcPr>
            <w:tcW w:w="1134" w:type="dxa"/>
            <w:shd w:val="clear" w:color="auto" w:fill="auto"/>
          </w:tcPr>
          <w:p w14:paraId="7F13B1D4" w14:textId="14076E9A" w:rsidR="00321A32" w:rsidRPr="00B87066" w:rsidRDefault="00321A32" w:rsidP="006A3F9A">
            <w:pPr>
              <w:pStyle w:val="RCTstable"/>
              <w:jc w:val="center"/>
            </w:pPr>
            <w:r>
              <w:t>2</w:t>
            </w:r>
          </w:p>
        </w:tc>
      </w:tr>
      <w:tr w:rsidR="00321A32" w:rsidRPr="00B87066" w14:paraId="5868D8E7" w14:textId="77777777" w:rsidTr="001975F2">
        <w:tc>
          <w:tcPr>
            <w:tcW w:w="2841" w:type="dxa"/>
            <w:shd w:val="clear" w:color="auto" w:fill="auto"/>
          </w:tcPr>
          <w:p w14:paraId="7B868505" w14:textId="2F0E00E9" w:rsidR="00321A32" w:rsidRPr="00B87066" w:rsidRDefault="00321A32"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72AA0FBE" w14:textId="7C2AB7A6" w:rsidR="00321A32" w:rsidRPr="00B87066" w:rsidRDefault="00321A32" w:rsidP="006A3F9A">
            <w:pPr>
              <w:pStyle w:val="RCTstable"/>
            </w:pPr>
            <w:r>
              <w:t>High risk</w:t>
            </w:r>
          </w:p>
        </w:tc>
        <w:tc>
          <w:tcPr>
            <w:tcW w:w="2982" w:type="dxa"/>
            <w:shd w:val="clear" w:color="auto" w:fill="auto"/>
          </w:tcPr>
          <w:p w14:paraId="012AE0D7" w14:textId="0DD453DE" w:rsidR="00321A32" w:rsidRPr="00B87066" w:rsidRDefault="00321A32" w:rsidP="006A3F9A">
            <w:pPr>
              <w:pStyle w:val="RCTstable"/>
              <w:jc w:val="center"/>
            </w:pPr>
            <w:r>
              <w:t>RR 2.47 (0.68 to 8.95)</w:t>
            </w:r>
          </w:p>
        </w:tc>
        <w:tc>
          <w:tcPr>
            <w:tcW w:w="1134" w:type="dxa"/>
            <w:shd w:val="clear" w:color="auto" w:fill="auto"/>
          </w:tcPr>
          <w:p w14:paraId="65005279" w14:textId="25A2292B" w:rsidR="00321A32" w:rsidRPr="00B87066" w:rsidRDefault="00321A32" w:rsidP="006A3F9A">
            <w:pPr>
              <w:pStyle w:val="RCTstable"/>
              <w:jc w:val="center"/>
            </w:pPr>
            <w:r>
              <w:t>2</w:t>
            </w:r>
          </w:p>
        </w:tc>
      </w:tr>
      <w:tr w:rsidR="001975F2" w:rsidRPr="00C12274" w14:paraId="77678008" w14:textId="77777777" w:rsidTr="006B3B11">
        <w:tc>
          <w:tcPr>
            <w:tcW w:w="2841" w:type="dxa"/>
            <w:tcBorders>
              <w:bottom w:val="single" w:sz="4" w:space="0" w:color="3B3474"/>
            </w:tcBorders>
          </w:tcPr>
          <w:p w14:paraId="4C1FB023" w14:textId="5DD061B0"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Borders>
              <w:bottom w:val="single" w:sz="4" w:space="0" w:color="3B3474"/>
            </w:tcBorders>
          </w:tcPr>
          <w:p w14:paraId="76B51DE8" w14:textId="77777777" w:rsidR="001975F2" w:rsidRDefault="001975F2" w:rsidP="006A3F9A">
            <w:pPr>
              <w:pStyle w:val="RCTstable"/>
              <w:rPr>
                <w:rFonts w:ascii="Helvetica" w:hAnsi="Helvetica"/>
              </w:rPr>
            </w:pPr>
            <w:r>
              <w:rPr>
                <w:rFonts w:ascii="Helvetica" w:hAnsi="Helvetica"/>
              </w:rPr>
              <w:t>Mixed BMIs</w:t>
            </w:r>
          </w:p>
        </w:tc>
        <w:tc>
          <w:tcPr>
            <w:tcW w:w="2982" w:type="dxa"/>
            <w:tcBorders>
              <w:bottom w:val="single" w:sz="4" w:space="0" w:color="3B3474"/>
            </w:tcBorders>
          </w:tcPr>
          <w:p w14:paraId="1D493C67" w14:textId="30E5F515" w:rsidR="001975F2" w:rsidRDefault="001975F2" w:rsidP="001975F2">
            <w:pPr>
              <w:pStyle w:val="RCTstable"/>
              <w:jc w:val="center"/>
            </w:pPr>
            <w:r>
              <w:t>RR 0.73 (0.49 to 1.09)</w:t>
            </w:r>
          </w:p>
        </w:tc>
        <w:tc>
          <w:tcPr>
            <w:tcW w:w="1134" w:type="dxa"/>
            <w:tcBorders>
              <w:bottom w:val="single" w:sz="4" w:space="0" w:color="3B3474"/>
            </w:tcBorders>
          </w:tcPr>
          <w:p w14:paraId="1D9EFD48" w14:textId="408DE2F0" w:rsidR="001975F2" w:rsidRDefault="001975F2" w:rsidP="006A3F9A">
            <w:pPr>
              <w:pStyle w:val="RCTstable"/>
              <w:jc w:val="center"/>
            </w:pPr>
            <w:r>
              <w:t>2</w:t>
            </w:r>
          </w:p>
        </w:tc>
      </w:tr>
      <w:tr w:rsidR="009A4588" w:rsidRPr="00B87066" w14:paraId="27930FF9" w14:textId="77777777" w:rsidTr="006B3B11">
        <w:tc>
          <w:tcPr>
            <w:tcW w:w="9504" w:type="dxa"/>
            <w:gridSpan w:val="4"/>
            <w:shd w:val="clear" w:color="auto" w:fill="D9E2F3" w:themeFill="accent1" w:themeFillTint="33"/>
          </w:tcPr>
          <w:p w14:paraId="74C79459" w14:textId="5A0BCA3C" w:rsidR="009A4588" w:rsidRPr="00B87066" w:rsidRDefault="009A4588" w:rsidP="006A3F9A">
            <w:pPr>
              <w:pStyle w:val="RCTstable"/>
              <w:rPr>
                <w:i/>
              </w:rPr>
            </w:pPr>
            <w:r>
              <w:rPr>
                <w:i/>
              </w:rPr>
              <w:t>Small for gestational age</w:t>
            </w:r>
          </w:p>
        </w:tc>
      </w:tr>
      <w:tr w:rsidR="009A4588" w:rsidRPr="00B87066" w14:paraId="0714F6C5" w14:textId="77777777" w:rsidTr="001975F2">
        <w:tc>
          <w:tcPr>
            <w:tcW w:w="2841" w:type="dxa"/>
            <w:tcBorders>
              <w:bottom w:val="single" w:sz="4" w:space="0" w:color="3B3474"/>
            </w:tcBorders>
            <w:shd w:val="clear" w:color="auto" w:fill="F2F2F2" w:themeFill="background1" w:themeFillShade="F2"/>
          </w:tcPr>
          <w:p w14:paraId="4FD87DD3" w14:textId="77777777" w:rsidR="009A4588" w:rsidRPr="00B87066" w:rsidRDefault="009A4588" w:rsidP="006A3F9A">
            <w:pPr>
              <w:pStyle w:val="RCTstable"/>
            </w:pPr>
            <w:r w:rsidRPr="00B87066">
              <w:t>Current review</w:t>
            </w:r>
          </w:p>
        </w:tc>
        <w:tc>
          <w:tcPr>
            <w:tcW w:w="2547" w:type="dxa"/>
            <w:tcBorders>
              <w:bottom w:val="single" w:sz="4" w:space="0" w:color="3B3474"/>
            </w:tcBorders>
            <w:shd w:val="clear" w:color="auto" w:fill="F2F2F2" w:themeFill="background1" w:themeFillShade="F2"/>
          </w:tcPr>
          <w:p w14:paraId="3F5FF499" w14:textId="77777777" w:rsidR="009A4588" w:rsidRPr="00B87066" w:rsidRDefault="009A4588" w:rsidP="006A3F9A">
            <w:pPr>
              <w:pStyle w:val="RCTstable"/>
            </w:pPr>
            <w:r w:rsidRPr="00B87066">
              <w:t>Mixed BMIs</w:t>
            </w:r>
          </w:p>
        </w:tc>
        <w:tc>
          <w:tcPr>
            <w:tcW w:w="2982" w:type="dxa"/>
            <w:tcBorders>
              <w:bottom w:val="single" w:sz="4" w:space="0" w:color="3B3474"/>
            </w:tcBorders>
            <w:shd w:val="clear" w:color="auto" w:fill="F2F2F2" w:themeFill="background1" w:themeFillShade="F2"/>
          </w:tcPr>
          <w:p w14:paraId="5F376F77" w14:textId="2BDA766D" w:rsidR="009A4588" w:rsidRPr="0016710A" w:rsidRDefault="00060764" w:rsidP="006A3F9A">
            <w:pPr>
              <w:pStyle w:val="RCTstable"/>
              <w:jc w:val="center"/>
            </w:pPr>
            <w:r>
              <w:t>RR 0.89 (0.35 to 2.25)</w:t>
            </w:r>
          </w:p>
        </w:tc>
        <w:tc>
          <w:tcPr>
            <w:tcW w:w="1134" w:type="dxa"/>
            <w:tcBorders>
              <w:bottom w:val="single" w:sz="4" w:space="0" w:color="3B3474"/>
            </w:tcBorders>
            <w:shd w:val="clear" w:color="auto" w:fill="F2F2F2" w:themeFill="background1" w:themeFillShade="F2"/>
          </w:tcPr>
          <w:p w14:paraId="6CBC18EC" w14:textId="76FE0797" w:rsidR="009A4588" w:rsidRPr="00B87066" w:rsidRDefault="00060764" w:rsidP="006A3F9A">
            <w:pPr>
              <w:pStyle w:val="RCTstable"/>
              <w:jc w:val="center"/>
            </w:pPr>
            <w:r>
              <w:t>1</w:t>
            </w:r>
          </w:p>
        </w:tc>
      </w:tr>
      <w:tr w:rsidR="009A4588" w:rsidRPr="00B87066" w14:paraId="69DB716A" w14:textId="77777777" w:rsidTr="001975F2">
        <w:tc>
          <w:tcPr>
            <w:tcW w:w="2841" w:type="dxa"/>
            <w:vMerge w:val="restart"/>
            <w:shd w:val="clear" w:color="auto" w:fill="auto"/>
          </w:tcPr>
          <w:p w14:paraId="0EEB37A7" w14:textId="2E7349FA" w:rsidR="009A4588" w:rsidRDefault="009A4588"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shd w:val="clear" w:color="auto" w:fill="auto"/>
          </w:tcPr>
          <w:p w14:paraId="70C2AACD" w14:textId="77777777" w:rsidR="009A4588" w:rsidRDefault="009A4588"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771F6FF5" w14:textId="3A820CDA" w:rsidR="009A4588" w:rsidRDefault="009A4588" w:rsidP="009A4588">
            <w:pPr>
              <w:pStyle w:val="RCTstable"/>
              <w:jc w:val="center"/>
            </w:pPr>
            <w:r>
              <w:t>OR 0.92 (0.45 to 1.88)</w:t>
            </w:r>
          </w:p>
        </w:tc>
        <w:tc>
          <w:tcPr>
            <w:tcW w:w="1134" w:type="dxa"/>
            <w:shd w:val="clear" w:color="auto" w:fill="auto"/>
          </w:tcPr>
          <w:p w14:paraId="0C170304" w14:textId="0FE46BB3" w:rsidR="009A4588" w:rsidRDefault="009A4588" w:rsidP="006A3F9A">
            <w:pPr>
              <w:pStyle w:val="RCTstable"/>
              <w:jc w:val="center"/>
            </w:pPr>
            <w:r>
              <w:t>4</w:t>
            </w:r>
          </w:p>
        </w:tc>
      </w:tr>
      <w:tr w:rsidR="009A4588" w:rsidRPr="00B87066" w14:paraId="3C854B80" w14:textId="77777777" w:rsidTr="001975F2">
        <w:tc>
          <w:tcPr>
            <w:tcW w:w="2841" w:type="dxa"/>
            <w:vMerge/>
            <w:shd w:val="clear" w:color="auto" w:fill="auto"/>
          </w:tcPr>
          <w:p w14:paraId="229ADBDB" w14:textId="77777777" w:rsidR="009A4588" w:rsidRDefault="009A4588" w:rsidP="006A3F9A">
            <w:pPr>
              <w:pStyle w:val="RCTstable"/>
            </w:pPr>
          </w:p>
        </w:tc>
        <w:tc>
          <w:tcPr>
            <w:tcW w:w="2547" w:type="dxa"/>
            <w:shd w:val="clear" w:color="auto" w:fill="auto"/>
          </w:tcPr>
          <w:p w14:paraId="29F12D10" w14:textId="77777777" w:rsidR="009A4588" w:rsidRDefault="009A4588"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245A83C0" w14:textId="24247E3E" w:rsidR="009A4588" w:rsidRDefault="009A4588" w:rsidP="009A4588">
            <w:pPr>
              <w:pStyle w:val="RCTstable"/>
              <w:jc w:val="center"/>
            </w:pPr>
            <w:r>
              <w:rPr>
                <w:rFonts w:eastAsiaTheme="majorEastAsia"/>
              </w:rPr>
              <w:t>OR 1.05 (0.62 to 1.77)</w:t>
            </w:r>
          </w:p>
        </w:tc>
        <w:tc>
          <w:tcPr>
            <w:tcW w:w="1134" w:type="dxa"/>
            <w:shd w:val="clear" w:color="auto" w:fill="auto"/>
          </w:tcPr>
          <w:p w14:paraId="3F7D146C" w14:textId="0EC627FD" w:rsidR="009A4588" w:rsidRDefault="009A4588" w:rsidP="006A3F9A">
            <w:pPr>
              <w:pStyle w:val="RCTstable"/>
              <w:jc w:val="center"/>
            </w:pPr>
            <w:r>
              <w:t>6</w:t>
            </w:r>
          </w:p>
        </w:tc>
      </w:tr>
      <w:tr w:rsidR="00FF7AFA" w:rsidRPr="00C12274" w14:paraId="78B62069" w14:textId="77777777" w:rsidTr="001975F2">
        <w:tc>
          <w:tcPr>
            <w:tcW w:w="2841" w:type="dxa"/>
          </w:tcPr>
          <w:p w14:paraId="42B29916" w14:textId="3B38AFFA" w:rsidR="00FF7AFA" w:rsidRPr="00C12274" w:rsidRDefault="00FF7AFA" w:rsidP="002747EA">
            <w:pPr>
              <w:pStyle w:val="RCTstable"/>
              <w:rPr>
                <w:noProof/>
              </w:rPr>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58A7B177" w14:textId="77777777" w:rsidR="00FF7AFA" w:rsidRPr="00C12274" w:rsidRDefault="00FF7AFA" w:rsidP="006A3F9A">
            <w:pPr>
              <w:pStyle w:val="RCTstable"/>
              <w:rPr>
                <w:rFonts w:ascii="Helvetica" w:hAnsi="Helvetica"/>
              </w:rPr>
            </w:pPr>
            <w:r>
              <w:rPr>
                <w:rFonts w:ascii="Helvetica" w:hAnsi="Helvetica"/>
              </w:rPr>
              <w:t>Mixed BMIs</w:t>
            </w:r>
          </w:p>
        </w:tc>
        <w:tc>
          <w:tcPr>
            <w:tcW w:w="2982" w:type="dxa"/>
          </w:tcPr>
          <w:p w14:paraId="344FFF38" w14:textId="55B28CD6" w:rsidR="00FF7AFA" w:rsidRPr="00BE0624" w:rsidRDefault="00FF7AFA" w:rsidP="006A3F9A">
            <w:pPr>
              <w:pStyle w:val="RCTstable"/>
              <w:jc w:val="center"/>
            </w:pPr>
            <w:r>
              <w:t>RR 1.02 (0.75 to 1.37)</w:t>
            </w:r>
          </w:p>
        </w:tc>
        <w:tc>
          <w:tcPr>
            <w:tcW w:w="1134" w:type="dxa"/>
          </w:tcPr>
          <w:p w14:paraId="7BFECAC7" w14:textId="34C86675" w:rsidR="00FF7AFA" w:rsidRPr="00BE0624" w:rsidRDefault="00FF7AFA" w:rsidP="006A3F9A">
            <w:pPr>
              <w:pStyle w:val="RCTstable"/>
              <w:jc w:val="center"/>
            </w:pPr>
            <w:r>
              <w:t>3</w:t>
            </w:r>
          </w:p>
        </w:tc>
      </w:tr>
      <w:tr w:rsidR="00384A02" w:rsidRPr="00B87066" w14:paraId="64A65446" w14:textId="77777777" w:rsidTr="001975F2">
        <w:tc>
          <w:tcPr>
            <w:tcW w:w="2841" w:type="dxa"/>
            <w:shd w:val="clear" w:color="auto" w:fill="auto"/>
          </w:tcPr>
          <w:p w14:paraId="5921D3DC" w14:textId="166EB877" w:rsidR="00384A02" w:rsidRPr="00C12274" w:rsidRDefault="00384A02"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01C9958A" w14:textId="77777777" w:rsidR="00384A02" w:rsidRPr="00C12274" w:rsidRDefault="00384A02" w:rsidP="006A3F9A">
            <w:pPr>
              <w:pStyle w:val="RCTstable"/>
            </w:pPr>
            <w:r>
              <w:t>Mixed BMIs</w:t>
            </w:r>
          </w:p>
        </w:tc>
        <w:tc>
          <w:tcPr>
            <w:tcW w:w="2982" w:type="dxa"/>
            <w:shd w:val="clear" w:color="auto" w:fill="auto"/>
          </w:tcPr>
          <w:p w14:paraId="2D7A70DA" w14:textId="68EF4E09" w:rsidR="00384A02" w:rsidRDefault="00384A02" w:rsidP="00384A02">
            <w:pPr>
              <w:pStyle w:val="RCTstable"/>
              <w:jc w:val="center"/>
            </w:pPr>
            <w:r>
              <w:t>RR 1.02 (0.75 to 1.37)</w:t>
            </w:r>
          </w:p>
        </w:tc>
        <w:tc>
          <w:tcPr>
            <w:tcW w:w="1134" w:type="dxa"/>
            <w:shd w:val="clear" w:color="auto" w:fill="auto"/>
          </w:tcPr>
          <w:p w14:paraId="4D482AFF" w14:textId="52A0EB28" w:rsidR="00384A02" w:rsidRDefault="00384A02" w:rsidP="006A3F9A">
            <w:pPr>
              <w:pStyle w:val="RCTstable"/>
              <w:jc w:val="center"/>
            </w:pPr>
            <w:r>
              <w:t>3</w:t>
            </w:r>
          </w:p>
        </w:tc>
      </w:tr>
      <w:tr w:rsidR="001975F2" w:rsidRPr="00C12274" w14:paraId="3E4F8DD2" w14:textId="77777777" w:rsidTr="006A3F9A">
        <w:tc>
          <w:tcPr>
            <w:tcW w:w="2841" w:type="dxa"/>
          </w:tcPr>
          <w:p w14:paraId="54D176E0" w14:textId="53279F15"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Pr>
          <w:p w14:paraId="02CA62C5" w14:textId="77777777" w:rsidR="001975F2" w:rsidRDefault="001975F2" w:rsidP="006A3F9A">
            <w:pPr>
              <w:pStyle w:val="RCTstable"/>
              <w:rPr>
                <w:rFonts w:ascii="Helvetica" w:hAnsi="Helvetica"/>
              </w:rPr>
            </w:pPr>
            <w:r>
              <w:rPr>
                <w:rFonts w:ascii="Helvetica" w:hAnsi="Helvetica"/>
              </w:rPr>
              <w:t>Mixed BMIs</w:t>
            </w:r>
          </w:p>
        </w:tc>
        <w:tc>
          <w:tcPr>
            <w:tcW w:w="2982" w:type="dxa"/>
          </w:tcPr>
          <w:p w14:paraId="293BC88E" w14:textId="69703C73" w:rsidR="001975F2" w:rsidRDefault="001975F2" w:rsidP="001975F2">
            <w:pPr>
              <w:pStyle w:val="RCTstable"/>
              <w:jc w:val="center"/>
            </w:pPr>
            <w:r>
              <w:t>RR 0.88 (0.53 to 1.45)</w:t>
            </w:r>
          </w:p>
        </w:tc>
        <w:tc>
          <w:tcPr>
            <w:tcW w:w="1134" w:type="dxa"/>
          </w:tcPr>
          <w:p w14:paraId="7589B0C6" w14:textId="53FE0304" w:rsidR="001975F2" w:rsidRDefault="006A3F9A" w:rsidP="006A3F9A">
            <w:pPr>
              <w:pStyle w:val="RCTstable"/>
              <w:jc w:val="center"/>
            </w:pPr>
            <w:r>
              <w:t>3</w:t>
            </w:r>
          </w:p>
        </w:tc>
      </w:tr>
      <w:tr w:rsidR="009A4588" w:rsidRPr="00B87066" w14:paraId="6F2DBC3C" w14:textId="77777777" w:rsidTr="006B3B11">
        <w:tc>
          <w:tcPr>
            <w:tcW w:w="9504" w:type="dxa"/>
            <w:gridSpan w:val="4"/>
            <w:shd w:val="clear" w:color="auto" w:fill="D9E2F3" w:themeFill="accent1" w:themeFillTint="33"/>
          </w:tcPr>
          <w:p w14:paraId="7BB523DC" w14:textId="18FAB387" w:rsidR="009A4588" w:rsidRPr="00B87066" w:rsidRDefault="009A4588" w:rsidP="006A3F9A">
            <w:pPr>
              <w:pStyle w:val="RCTstable"/>
              <w:rPr>
                <w:i/>
              </w:rPr>
            </w:pPr>
            <w:r>
              <w:rPr>
                <w:i/>
              </w:rPr>
              <w:t>Large for gestational age</w:t>
            </w:r>
          </w:p>
        </w:tc>
      </w:tr>
      <w:tr w:rsidR="00060764" w:rsidRPr="00B87066" w14:paraId="0738E777" w14:textId="77777777" w:rsidTr="001048CC">
        <w:tc>
          <w:tcPr>
            <w:tcW w:w="2841" w:type="dxa"/>
            <w:tcBorders>
              <w:bottom w:val="single" w:sz="4" w:space="0" w:color="3B3474"/>
            </w:tcBorders>
            <w:shd w:val="clear" w:color="auto" w:fill="F2F2F2" w:themeFill="background1" w:themeFillShade="F2"/>
          </w:tcPr>
          <w:p w14:paraId="13FD0997" w14:textId="77777777" w:rsidR="00060764" w:rsidRPr="00B87066" w:rsidRDefault="00060764" w:rsidP="001048CC">
            <w:pPr>
              <w:pStyle w:val="RCTstable"/>
            </w:pPr>
            <w:r w:rsidRPr="00B87066">
              <w:t>Current review</w:t>
            </w:r>
          </w:p>
        </w:tc>
        <w:tc>
          <w:tcPr>
            <w:tcW w:w="2547" w:type="dxa"/>
            <w:tcBorders>
              <w:bottom w:val="single" w:sz="4" w:space="0" w:color="3B3474"/>
            </w:tcBorders>
            <w:shd w:val="clear" w:color="auto" w:fill="F2F2F2" w:themeFill="background1" w:themeFillShade="F2"/>
          </w:tcPr>
          <w:p w14:paraId="6D65955C" w14:textId="77777777" w:rsidR="00060764" w:rsidRPr="00B87066" w:rsidRDefault="00060764" w:rsidP="001048CC">
            <w:pPr>
              <w:pStyle w:val="RCTstable"/>
            </w:pPr>
            <w:r w:rsidRPr="00B87066">
              <w:t>Mixed BMIs</w:t>
            </w:r>
          </w:p>
        </w:tc>
        <w:tc>
          <w:tcPr>
            <w:tcW w:w="2982" w:type="dxa"/>
            <w:tcBorders>
              <w:bottom w:val="single" w:sz="4" w:space="0" w:color="3B3474"/>
            </w:tcBorders>
            <w:shd w:val="clear" w:color="auto" w:fill="F2F2F2" w:themeFill="background1" w:themeFillShade="F2"/>
          </w:tcPr>
          <w:p w14:paraId="6D1FCA67" w14:textId="77777777" w:rsidR="00060764" w:rsidRPr="0016710A" w:rsidRDefault="00060764" w:rsidP="001048CC">
            <w:pPr>
              <w:pStyle w:val="RCTstable"/>
              <w:jc w:val="center"/>
            </w:pPr>
            <w:r>
              <w:t>RR 0.89 (0.35 to 2.25)</w:t>
            </w:r>
          </w:p>
        </w:tc>
        <w:tc>
          <w:tcPr>
            <w:tcW w:w="1134" w:type="dxa"/>
            <w:tcBorders>
              <w:bottom w:val="single" w:sz="4" w:space="0" w:color="3B3474"/>
            </w:tcBorders>
            <w:shd w:val="clear" w:color="auto" w:fill="F2F2F2" w:themeFill="background1" w:themeFillShade="F2"/>
          </w:tcPr>
          <w:p w14:paraId="77A4C57B" w14:textId="77777777" w:rsidR="00060764" w:rsidRPr="00B87066" w:rsidRDefault="00060764" w:rsidP="001048CC">
            <w:pPr>
              <w:pStyle w:val="RCTstable"/>
              <w:jc w:val="center"/>
            </w:pPr>
            <w:r>
              <w:t>1</w:t>
            </w:r>
          </w:p>
        </w:tc>
      </w:tr>
      <w:tr w:rsidR="003A4866" w:rsidRPr="00B87066" w14:paraId="5459F03A" w14:textId="77777777" w:rsidTr="001048CC">
        <w:tc>
          <w:tcPr>
            <w:tcW w:w="2841" w:type="dxa"/>
            <w:tcBorders>
              <w:bottom w:val="single" w:sz="4" w:space="0" w:color="3B3474"/>
            </w:tcBorders>
            <w:shd w:val="clear" w:color="auto" w:fill="auto"/>
          </w:tcPr>
          <w:p w14:paraId="4F5C9369" w14:textId="7BE94C86" w:rsidR="003A4866" w:rsidRDefault="003A4866" w:rsidP="002747EA">
            <w:pPr>
              <w:pStyle w:val="RCTstable"/>
            </w:pPr>
            <w:r>
              <w:t>*Zhang et al 2018</w:t>
            </w:r>
            <w:r>
              <w:fldChar w:fldCharType="begin">
                <w:fldData xml:space="preserve">PEVuZE5vdGU+PENpdGU+PEF1dGhvcj5aaGFuZzwvQXV0aG9yPjxZZWFyPjIwMTg8L1llYXI+PFJl
Y051bT4xNDg1PC9SZWNOdW0+PERpc3BsYXlUZXh0PjxzdHlsZSBmYWNlPSJzdXBlcnNjcmlwdCIg
Zm9udD0iVHJlYnVjaGV0IE1TIiBzaXplPSI5Ij40MDg8L3N0eWxlPjwvRGlzcGxheVRleHQ+PHJl
Y29yZD48cmVjLW51bWJlcj4xNDg1PC9yZWMtbnVtYmVyPjxmb3JlaWduLWtleXM+PGtleSBhcHA9
IkVOIiBkYi1pZD0iZXh2YXNyZngyZHRyYW9lc2FzeHAyc3pzeGEyZGY1MDI1OTJ4IiB0aW1lc3Rh
bXA9IjE1NzQwMzk3MTYiPjE0ODU8L2tleT48a2V5IGFwcD0iRU5XZWIiIGRiLWlkPSIiPjA8L2tl
eT48L2ZvcmVpZ24ta2V5cz48cmVmLXR5cGUgbmFtZT0iSm91cm5hbCBBcnRpY2xlIj4xNzwvcmVm
LXR5cGU+PGNvbnRyaWJ1dG9ycz48YXV0aG9ycz48YXV0aG9yPlpoYW5nLCBSLjwvYXV0aG9yPjxh
dXRob3I+SGFuLCBTLjwvYXV0aG9yPjxhdXRob3I+Q2hlbiwgRy4gQy48L2F1dGhvcj48YXV0aG9y
PkxpLCBaLiBOLjwvYXV0aG9yPjxhdXRob3I+U2lsdmEtWm9sZXp6aSwgSS48L2F1dGhvcj48YXV0
aG9yPlBhcmVzLCBHLiBWLjwvYXV0aG9yPjxhdXRob3I+V2FuZywgWS48L2F1dGhvcj48YXV0aG9y
PlFpbiwgTC4gUS48L2F1dGhvcj48L2F1dGhvcnM+PC9jb250cmlidXRvcnM+PGF1dGgtYWRkcmVz
cz5EZXBhcnRtZW50IG9mIE51dHJpdGlvbiBhbmQgRm9vZCBIeWdpZW5lLCBTY2hvb2wgb2YgUHVi
bGljIEhlYWx0aCwgU29vY2hvdyBVbml2ZXJzaXR5LCAxOTkgUmVuYWkgUm9hZCwgRHVzaHUgTGFr
ZSBIaWdoZXIgRWR1Y2F0aW9uIFRvd24sIFN1emhvdSwgMjE1MTIzLCBDaGluYS4mI3hEO0RlcGFy
dG1lbnQgb2YgTnV0cml0aW9uLCBGaXJzdCBIb3NwaXRhbCBvZiBIZWJlaSBNZWRpY2FsIFVuaXZl
cnNpdHksIFNoaWppYXpodWFuZywgMDUwMDMxLCBDaGluYS4mI3hEO051dHJpdGlvbiBhbmQgSGVh
bHRoIFJlc2VhcmNoLCBOZXN0bGUgUmVzZWFyY2ggQ2VudGVyLCBMYXVzYW5uZSwgU3dpdHplcmxh
bmQuJiN4RDtOZXN0bGUgUmVzZWFyY2ggQ2VudGVyLCBCZWlqaW5nLCAxMDAwOTUsIENoaW5hLiYj
eEQ7TmVzdGxlIFJlc2VhcmNoIENlbnRlciwgQmVpamluZywgMTAwMDk1LCBDaGluYS4geWkud2Fu
Z0ByZC5uZXN0bGUuY29tLiYjeEQ7RGVwYXJ0bWVudCBvZiBOdXRyaXRpb24gYW5kIEZvb2QgSHln
aWVuZSwgU2Nob29sIG9mIFB1YmxpYyBIZWFsdGgsIFNvb2Nob3cgVW5pdmVyc2l0eSwgMTk5IFJl
bmFpIFJvYWQsIER1c2h1IExha2UgSGlnaGVyIEVkdWNhdGlvbiBUb3duLCBTdXpob3UsIDIxNTEy
MywgQ2hpbmEuIHFpbmxpcWlhbmdAc3VkYS5lZHUuY24uPC9hdXRoLWFkZHJlc3M+PHRpdGxlcz48
dGl0bGU+RWZmZWN0cyBvZiBsb3ctZ2x5Y2VtaWMtaW5kZXggZGlldHMgaW4gcHJlZ25hbmN5IG9u
IG1hdGVybmFsIGFuZCBuZXdib3JuIG91dGNvbWVzIGluIHByZWduYW50IHdvbWVuOiBhIG1ldGEt
YW5hbHlzaXMgb2YgcmFuZG9taXplZCBjb250cm9sbGVkIHRyaWFsczwvdGl0bGU+PHNlY29uZGFy
eS10aXRsZT5FdXIgSiBOdXRyPC9zZWNvbmRhcnktdGl0bGU+PC90aXRsZXM+PHBlcmlvZGljYWw+
PGZ1bGwtdGl0bGU+RXVyIEogTnV0cjwvZnVsbC10aXRsZT48L3BlcmlvZGljYWw+PHBhZ2VzPjE2
Ny0xNzc8L3BhZ2VzPjx2b2x1bWU+NTc8L3ZvbHVtZT48bnVtYmVyPjE8L251bWJlcj48ZWRpdGlv
bj4yMDE2LzA5LzExPC9lZGl0aW9uPjxrZXl3b3Jkcz48a2V5d29yZD5BZG9sZXNjZW50PC9rZXl3
b3JkPjxrZXl3b3JkPkFkdWx0PC9rZXl3b3JkPjxrZXl3b3JkPkJpcnRoIFdlaWdodDwva2V5d29y
ZD48a2V5d29yZD5CbG9vZCBHbHVjb3NlL2FuYWx5c2lzPC9rZXl3b3JkPjxrZXl3b3JkPipEaWV0
PC9rZXl3b3JkPjxrZXl3b3JkPkZhc3Rpbmc8L2tleXdvcmQ+PGtleXdvcmQ+RmVtYWxlPC9rZXl3
b3JkPjxrZXl3b3JkPkZldGFsIERldmVsb3BtZW50PC9rZXl3b3JkPjxrZXl3b3JkPkZldGFsIE1h
Y3Jvc29taWEvZXBpZGVtaW9sb2d5PC9rZXl3b3JkPjxrZXl3b3JkPkdlc3RhdGlvbmFsIEFnZTwv
a2V5d29yZD48a2V5d29yZD4qR2x5Y2VtaWMgSW5kZXg8L2tleXdvcmQ+PGtleXdvcmQ+SHVtYW5z
PC9rZXl3b3JkPjxrZXl3b3JkPkluZmFudCwgTmV3Ym9ybjwva2V5d29yZD48a2V5d29yZD5NYXRl
cm5hbCBOdXRyaXRpb25hbCBQaHlzaW9sb2dpY2FsIFBoZW5vbWVuYTwva2V5d29yZD48a2V5d29y
ZD5NYXRlcm5hbC1GZXRhbCBFeGNoYW5nZTwva2V5d29yZD48a2V5d29yZD5NaWRkbGUgQWdlZDwv
a2V5d29yZD48a2V5d29yZD5QcmVnbmFuY3k8L2tleXdvcmQ+PGtleXdvcmQ+KlByZWduYW5jeSBP
dXRjb21lPC9rZXl3b3JkPjxrZXl3b3JkPipSYW5kb21pemVkIENvbnRyb2xsZWQgVHJpYWxzIGFz
IFRvcGljPC9rZXl3b3JkPjxrZXl3b3JkPldlaWdodCBHYWluPC9rZXl3b3JkPjxrZXl3b3JkPllv
dW5nIEFkdWx0PC9rZXl3b3JkPjxrZXl3b3JkPkxvdyBnbHljZW1pYyBpbmRleDwva2V5d29yZD48
a2V5d29yZD5NZXRhLWFuYWx5c2lzPC9rZXl3b3JkPjxrZXl3b3JkPlByZWduYW5jeSBvdXRjb21l
czwva2V5d29yZD48a2V5d29yZD5SYW5kb21pemVkIGNvbnRyb2xsZWQgdHJpYWxzPC9rZXl3b3Jk
Pjwva2V5d29yZHM+PGRhdGVzPjx5ZWFyPjIwMTg8L3llYXI+PHB1Yi1kYXRlcz48ZGF0ZT5GZWI8
L2RhdGU+PC9wdWItZGF0ZXM+PC9kYXRlcz48aXNibj4xNDM2LTYyMTUgKEVsZWN0cm9uaWMpJiN4
RDsxNDM2LTYyMDcgKExpbmtpbmcpPC9pc2JuPjxhY2Nlc3Npb24tbnVtPjI3NjEyODc2PC9hY2Nl
c3Npb24tbnVtPjx1cmxzPjxyZWxhdGVkLXVybHM+PHVybD5odHRwczovL3d3dy5uY2JpLm5sbS5u
aWguZ292L3B1Ym1lZC8yNzYxMjg3NjwvdXJsPjwvcmVsYXRlZC11cmxzPjwvdXJscz48ZWxlY3Ry
b25pYy1yZXNvdXJjZS1udW0+MTAuMTAwNy9zMDAzOTQtMDE2LTEzMDYteDwvZWxlY3Ryb25pYy1y
ZXNvdXJjZS1udW0+PC9yZWNvcmQ+PC9DaXRlPjwvRW5kTm90ZT5=
</w:fldData>
              </w:fldChar>
            </w:r>
            <w:r w:rsidR="002747EA">
              <w:instrText xml:space="preserve"> ADDIN EN.CITE </w:instrText>
            </w:r>
            <w:r w:rsidR="002747EA">
              <w:fldChar w:fldCharType="begin">
                <w:fldData xml:space="preserve">PEVuZE5vdGU+PENpdGU+PEF1dGhvcj5aaGFuZzwvQXV0aG9yPjxZZWFyPjIwMTg8L1llYXI+PFJl
Y051bT4xNDg1PC9SZWNOdW0+PERpc3BsYXlUZXh0PjxzdHlsZSBmYWNlPSJzdXBlcnNjcmlwdCIg
Zm9udD0iVHJlYnVjaGV0IE1TIiBzaXplPSI5Ij40MDg8L3N0eWxlPjwvRGlzcGxheVRleHQ+PHJl
Y29yZD48cmVjLW51bWJlcj4xNDg1PC9yZWMtbnVtYmVyPjxmb3JlaWduLWtleXM+PGtleSBhcHA9
IkVOIiBkYi1pZD0iZXh2YXNyZngyZHRyYW9lc2FzeHAyc3pzeGEyZGY1MDI1OTJ4IiB0aW1lc3Rh
bXA9IjE1NzQwMzk3MTYiPjE0ODU8L2tleT48a2V5IGFwcD0iRU5XZWIiIGRiLWlkPSIiPjA8L2tl
eT48L2ZvcmVpZ24ta2V5cz48cmVmLXR5cGUgbmFtZT0iSm91cm5hbCBBcnRpY2xlIj4xNzwvcmVm
LXR5cGU+PGNvbnRyaWJ1dG9ycz48YXV0aG9ycz48YXV0aG9yPlpoYW5nLCBSLjwvYXV0aG9yPjxh
dXRob3I+SGFuLCBTLjwvYXV0aG9yPjxhdXRob3I+Q2hlbiwgRy4gQy48L2F1dGhvcj48YXV0aG9y
PkxpLCBaLiBOLjwvYXV0aG9yPjxhdXRob3I+U2lsdmEtWm9sZXp6aSwgSS48L2F1dGhvcj48YXV0
aG9yPlBhcmVzLCBHLiBWLjwvYXV0aG9yPjxhdXRob3I+V2FuZywgWS48L2F1dGhvcj48YXV0aG9y
PlFpbiwgTC4gUS48L2F1dGhvcj48L2F1dGhvcnM+PC9jb250cmlidXRvcnM+PGF1dGgtYWRkcmVz
cz5EZXBhcnRtZW50IG9mIE51dHJpdGlvbiBhbmQgRm9vZCBIeWdpZW5lLCBTY2hvb2wgb2YgUHVi
bGljIEhlYWx0aCwgU29vY2hvdyBVbml2ZXJzaXR5LCAxOTkgUmVuYWkgUm9hZCwgRHVzaHUgTGFr
ZSBIaWdoZXIgRWR1Y2F0aW9uIFRvd24sIFN1emhvdSwgMjE1MTIzLCBDaGluYS4mI3hEO0RlcGFy
dG1lbnQgb2YgTnV0cml0aW9uLCBGaXJzdCBIb3NwaXRhbCBvZiBIZWJlaSBNZWRpY2FsIFVuaXZl
cnNpdHksIFNoaWppYXpodWFuZywgMDUwMDMxLCBDaGluYS4mI3hEO051dHJpdGlvbiBhbmQgSGVh
bHRoIFJlc2VhcmNoLCBOZXN0bGUgUmVzZWFyY2ggQ2VudGVyLCBMYXVzYW5uZSwgU3dpdHplcmxh
bmQuJiN4RDtOZXN0bGUgUmVzZWFyY2ggQ2VudGVyLCBCZWlqaW5nLCAxMDAwOTUsIENoaW5hLiYj
eEQ7TmVzdGxlIFJlc2VhcmNoIENlbnRlciwgQmVpamluZywgMTAwMDk1LCBDaGluYS4geWkud2Fu
Z0ByZC5uZXN0bGUuY29tLiYjeEQ7RGVwYXJ0bWVudCBvZiBOdXRyaXRpb24gYW5kIEZvb2QgSHln
aWVuZSwgU2Nob29sIG9mIFB1YmxpYyBIZWFsdGgsIFNvb2Nob3cgVW5pdmVyc2l0eSwgMTk5IFJl
bmFpIFJvYWQsIER1c2h1IExha2UgSGlnaGVyIEVkdWNhdGlvbiBUb3duLCBTdXpob3UsIDIxNTEy
MywgQ2hpbmEuIHFpbmxpcWlhbmdAc3VkYS5lZHUuY24uPC9hdXRoLWFkZHJlc3M+PHRpdGxlcz48
dGl0bGU+RWZmZWN0cyBvZiBsb3ctZ2x5Y2VtaWMtaW5kZXggZGlldHMgaW4gcHJlZ25hbmN5IG9u
IG1hdGVybmFsIGFuZCBuZXdib3JuIG91dGNvbWVzIGluIHByZWduYW50IHdvbWVuOiBhIG1ldGEt
YW5hbHlzaXMgb2YgcmFuZG9taXplZCBjb250cm9sbGVkIHRyaWFsczwvdGl0bGU+PHNlY29uZGFy
eS10aXRsZT5FdXIgSiBOdXRyPC9zZWNvbmRhcnktdGl0bGU+PC90aXRsZXM+PHBlcmlvZGljYWw+
PGZ1bGwtdGl0bGU+RXVyIEogTnV0cjwvZnVsbC10aXRsZT48L3BlcmlvZGljYWw+PHBhZ2VzPjE2
Ny0xNzc8L3BhZ2VzPjx2b2x1bWU+NTc8L3ZvbHVtZT48bnVtYmVyPjE8L251bWJlcj48ZWRpdGlv
bj4yMDE2LzA5LzExPC9lZGl0aW9uPjxrZXl3b3Jkcz48a2V5d29yZD5BZG9sZXNjZW50PC9rZXl3
b3JkPjxrZXl3b3JkPkFkdWx0PC9rZXl3b3JkPjxrZXl3b3JkPkJpcnRoIFdlaWdodDwva2V5d29y
ZD48a2V5d29yZD5CbG9vZCBHbHVjb3NlL2FuYWx5c2lzPC9rZXl3b3JkPjxrZXl3b3JkPipEaWV0
PC9rZXl3b3JkPjxrZXl3b3JkPkZhc3Rpbmc8L2tleXdvcmQ+PGtleXdvcmQ+RmVtYWxlPC9rZXl3
b3JkPjxrZXl3b3JkPkZldGFsIERldmVsb3BtZW50PC9rZXl3b3JkPjxrZXl3b3JkPkZldGFsIE1h
Y3Jvc29taWEvZXBpZGVtaW9sb2d5PC9rZXl3b3JkPjxrZXl3b3JkPkdlc3RhdGlvbmFsIEFnZTwv
a2V5d29yZD48a2V5d29yZD4qR2x5Y2VtaWMgSW5kZXg8L2tleXdvcmQ+PGtleXdvcmQ+SHVtYW5z
PC9rZXl3b3JkPjxrZXl3b3JkPkluZmFudCwgTmV3Ym9ybjwva2V5d29yZD48a2V5d29yZD5NYXRl
cm5hbCBOdXRyaXRpb25hbCBQaHlzaW9sb2dpY2FsIFBoZW5vbWVuYTwva2V5d29yZD48a2V5d29y
ZD5NYXRlcm5hbC1GZXRhbCBFeGNoYW5nZTwva2V5d29yZD48a2V5d29yZD5NaWRkbGUgQWdlZDwv
a2V5d29yZD48a2V5d29yZD5QcmVnbmFuY3k8L2tleXdvcmQ+PGtleXdvcmQ+KlByZWduYW5jeSBP
dXRjb21lPC9rZXl3b3JkPjxrZXl3b3JkPipSYW5kb21pemVkIENvbnRyb2xsZWQgVHJpYWxzIGFz
IFRvcGljPC9rZXl3b3JkPjxrZXl3b3JkPldlaWdodCBHYWluPC9rZXl3b3JkPjxrZXl3b3JkPllv
dW5nIEFkdWx0PC9rZXl3b3JkPjxrZXl3b3JkPkxvdyBnbHljZW1pYyBpbmRleDwva2V5d29yZD48
a2V5d29yZD5NZXRhLWFuYWx5c2lzPC9rZXl3b3JkPjxrZXl3b3JkPlByZWduYW5jeSBvdXRjb21l
czwva2V5d29yZD48a2V5d29yZD5SYW5kb21pemVkIGNvbnRyb2xsZWQgdHJpYWxzPC9rZXl3b3Jk
Pjwva2V5d29yZHM+PGRhdGVzPjx5ZWFyPjIwMTg8L3llYXI+PHB1Yi1kYXRlcz48ZGF0ZT5GZWI8
L2RhdGU+PC9wdWItZGF0ZXM+PC9kYXRlcz48aXNibj4xNDM2LTYyMTUgKEVsZWN0cm9uaWMpJiN4
RDsxNDM2LTYyMDcgKExpbmtpbmcpPC9pc2JuPjxhY2Nlc3Npb24tbnVtPjI3NjEyODc2PC9hY2Nl
c3Npb24tbnVtPjx1cmxzPjxyZWxhdGVkLXVybHM+PHVybD5odHRwczovL3d3dy5uY2JpLm5sbS5u
aWguZ292L3B1Ym1lZC8yNzYxMjg3NjwvdXJsPjwvcmVsYXRlZC11cmxzPjwvdXJscz48ZWxlY3Ry
b25pYy1yZXNvdXJjZS1udW0+MTAuMTAwNy9zMDAzOTQtMDE2LTEzMDYteDwvZWxlY3Ryb25pYy1y
ZXNvdXJjZS1udW0+PC9yZWNvcmQ+PC9DaXRlPjwvRW5kTm90ZT5=
</w:fldData>
              </w:fldChar>
            </w:r>
            <w:r w:rsidR="002747EA">
              <w:instrText xml:space="preserve"> ADDIN EN.CITE.DATA </w:instrText>
            </w:r>
            <w:r w:rsidR="002747EA">
              <w:fldChar w:fldCharType="end"/>
            </w:r>
            <w:r>
              <w:fldChar w:fldCharType="separate"/>
            </w:r>
            <w:r w:rsidR="002747EA" w:rsidRPr="002747EA">
              <w:rPr>
                <w:noProof/>
                <w:sz w:val="18"/>
                <w:vertAlign w:val="superscript"/>
              </w:rPr>
              <w:t>408</w:t>
            </w:r>
            <w:r>
              <w:fldChar w:fldCharType="end"/>
            </w:r>
          </w:p>
        </w:tc>
        <w:tc>
          <w:tcPr>
            <w:tcW w:w="2547" w:type="dxa"/>
            <w:tcBorders>
              <w:bottom w:val="single" w:sz="4" w:space="0" w:color="3B3474"/>
            </w:tcBorders>
            <w:shd w:val="clear" w:color="auto" w:fill="auto"/>
          </w:tcPr>
          <w:p w14:paraId="2D901017" w14:textId="03CCDC6A" w:rsidR="003A4866" w:rsidRDefault="004402A5" w:rsidP="001048CC">
            <w:pPr>
              <w:pStyle w:val="RCTstable"/>
            </w:pPr>
            <w:r>
              <w:t>Mixed BMIs</w:t>
            </w:r>
          </w:p>
        </w:tc>
        <w:tc>
          <w:tcPr>
            <w:tcW w:w="2982" w:type="dxa"/>
            <w:tcBorders>
              <w:bottom w:val="single" w:sz="4" w:space="0" w:color="3B3474"/>
            </w:tcBorders>
            <w:shd w:val="clear" w:color="auto" w:fill="auto"/>
          </w:tcPr>
          <w:p w14:paraId="0AC6203F" w14:textId="55D33CB9" w:rsidR="003A4866" w:rsidRDefault="003A4866" w:rsidP="001048CC">
            <w:pPr>
              <w:pStyle w:val="RCTstable"/>
              <w:jc w:val="center"/>
            </w:pPr>
            <w:r>
              <w:t>RR 0.52 (0.31 to 0.89)</w:t>
            </w:r>
          </w:p>
        </w:tc>
        <w:tc>
          <w:tcPr>
            <w:tcW w:w="1134" w:type="dxa"/>
            <w:tcBorders>
              <w:bottom w:val="single" w:sz="4" w:space="0" w:color="3B3474"/>
            </w:tcBorders>
            <w:shd w:val="clear" w:color="auto" w:fill="auto"/>
          </w:tcPr>
          <w:p w14:paraId="6DCFB4DA" w14:textId="5AEE5201" w:rsidR="003A4866" w:rsidRDefault="004402A5" w:rsidP="001048CC">
            <w:pPr>
              <w:pStyle w:val="RCTstable"/>
              <w:jc w:val="center"/>
            </w:pPr>
            <w:r>
              <w:t>8</w:t>
            </w:r>
          </w:p>
        </w:tc>
      </w:tr>
      <w:tr w:rsidR="00060764" w:rsidRPr="00B87066" w14:paraId="4CBD4907" w14:textId="77777777" w:rsidTr="001048CC">
        <w:tc>
          <w:tcPr>
            <w:tcW w:w="2841" w:type="dxa"/>
            <w:tcBorders>
              <w:bottom w:val="single" w:sz="4" w:space="0" w:color="3B3474"/>
            </w:tcBorders>
            <w:shd w:val="clear" w:color="auto" w:fill="auto"/>
          </w:tcPr>
          <w:p w14:paraId="2D146360" w14:textId="4CCA2EED" w:rsidR="00060764" w:rsidRPr="00B87066" w:rsidRDefault="00060764" w:rsidP="002747EA">
            <w:pPr>
              <w:pStyle w:val="RCTstable"/>
            </w:pPr>
            <w:r>
              <w:t>*Oostdam et al 2011</w:t>
            </w:r>
            <w:r>
              <w:fldChar w:fldCharType="begin"/>
            </w:r>
            <w:r w:rsidR="002747EA">
              <w:instrText xml:space="preserve"> ADDIN EN.CITE &lt;EndNote&gt;&lt;Cite&gt;&lt;Author&gt;Oostdam&lt;/Author&gt;&lt;Year&gt;2011&lt;/Year&gt;&lt;RecNum&gt;1187&lt;/RecNum&gt;&lt;DisplayText&gt;&lt;style face="superscript" font="Trebuchet MS" size="9"&gt;424&lt;/style&gt;&lt;/DisplayText&gt;&lt;record&gt;&lt;rec-number&gt;1187&lt;/rec-number&gt;&lt;foreign-keys&gt;&lt;key app="EN" db-id="exvasrfx2dtraoesasxp2szsxa2df502592x" timestamp="1559008180"&gt;1187&lt;/key&gt;&lt;key app="ENWeb" db-id=""&gt;0&lt;/key&gt;&lt;/foreign-keys&gt;&lt;ref-type name="Journal Article"&gt;17&lt;/ref-type&gt;&lt;contributors&gt;&lt;authors&gt;&lt;author&gt;Oostdam, N.&lt;/author&gt;&lt;author&gt;van Poppel, M. N.&lt;/author&gt;&lt;author&gt;Wouters, M. G.&lt;/author&gt;&lt;author&gt;van Mechelen, W.&lt;/author&gt;&lt;/authors&gt;&lt;/contributors&gt;&lt;auth-address&gt;Department of Public and Occupational Health, EMGO+ Institute for Health and Care Research, VU University Medical Centre, Amsterdam, The Netherlands.&lt;/auth-address&gt;&lt;titles&gt;&lt;title&gt;Interventions for preventing gestational diabetes mellitus: a systematic review and meta-analysis&lt;/title&gt;&lt;secondary-title&gt;J Womens Health (Larchmt)&lt;/secondary-title&gt;&lt;/titles&gt;&lt;periodical&gt;&lt;full-title&gt;J Womens Health (Larchmt)&lt;/full-title&gt;&lt;/periodical&gt;&lt;pages&gt;1551-63&lt;/pages&gt;&lt;volume&gt;20&lt;/volume&gt;&lt;number&gt;10&lt;/number&gt;&lt;edition&gt;2011/08/16&lt;/edition&gt;&lt;keywords&gt;&lt;keyword&gt;Diabetes, Gestational/*prevention &amp;amp; control&lt;/keyword&gt;&lt;keyword&gt;Female&lt;/keyword&gt;&lt;keyword&gt;Humans&lt;/keyword&gt;&lt;keyword&gt;Pregnancy&lt;/keyword&gt;&lt;keyword&gt;Primary Prevention/*methods/*standards&lt;/keyword&gt;&lt;/keywords&gt;&lt;dates&gt;&lt;year&gt;2011&lt;/year&gt;&lt;pub-dates&gt;&lt;date&gt;Oct&lt;/date&gt;&lt;/pub-dates&gt;&lt;/dates&gt;&lt;isbn&gt;1931-843X (Electronic)&amp;#xD;1540-9996 (Linking)&lt;/isbn&gt;&lt;accession-num&gt;21838525&lt;/accession-num&gt;&lt;urls&gt;&lt;related-urls&gt;&lt;url&gt;https://www.ncbi.nlm.nih.gov/pubmed/21838525&lt;/url&gt;&lt;/related-urls&gt;&lt;/urls&gt;&lt;electronic-resource-num&gt;10.1089/jwh.2010.2703&lt;/electronic-resource-num&gt;&lt;/record&gt;&lt;/Cite&gt;&lt;/EndNote&gt;</w:instrText>
            </w:r>
            <w:r>
              <w:fldChar w:fldCharType="separate"/>
            </w:r>
            <w:r w:rsidR="002747EA" w:rsidRPr="002747EA">
              <w:rPr>
                <w:noProof/>
                <w:sz w:val="18"/>
                <w:vertAlign w:val="superscript"/>
              </w:rPr>
              <w:t>424</w:t>
            </w:r>
            <w:r>
              <w:fldChar w:fldCharType="end"/>
            </w:r>
          </w:p>
        </w:tc>
        <w:tc>
          <w:tcPr>
            <w:tcW w:w="2547" w:type="dxa"/>
            <w:tcBorders>
              <w:bottom w:val="single" w:sz="4" w:space="0" w:color="3B3474"/>
            </w:tcBorders>
            <w:shd w:val="clear" w:color="auto" w:fill="auto"/>
          </w:tcPr>
          <w:p w14:paraId="0235149F" w14:textId="77777777" w:rsidR="00060764" w:rsidRPr="00B87066" w:rsidRDefault="00060764" w:rsidP="001048CC">
            <w:pPr>
              <w:pStyle w:val="RCTstable"/>
            </w:pPr>
            <w:r>
              <w:t>Mixed BMIs</w:t>
            </w:r>
          </w:p>
        </w:tc>
        <w:tc>
          <w:tcPr>
            <w:tcW w:w="2982" w:type="dxa"/>
            <w:tcBorders>
              <w:bottom w:val="single" w:sz="4" w:space="0" w:color="3B3474"/>
            </w:tcBorders>
            <w:shd w:val="clear" w:color="auto" w:fill="auto"/>
          </w:tcPr>
          <w:p w14:paraId="4964DAD3" w14:textId="77777777" w:rsidR="00060764" w:rsidRPr="00B87066" w:rsidRDefault="00060764" w:rsidP="001048CC">
            <w:pPr>
              <w:pStyle w:val="RCTstable"/>
              <w:jc w:val="center"/>
            </w:pPr>
            <w:r>
              <w:t>RR 0.14 (0.05 to 0.41)</w:t>
            </w:r>
          </w:p>
        </w:tc>
        <w:tc>
          <w:tcPr>
            <w:tcW w:w="1134" w:type="dxa"/>
            <w:tcBorders>
              <w:bottom w:val="single" w:sz="4" w:space="0" w:color="3B3474"/>
            </w:tcBorders>
            <w:shd w:val="clear" w:color="auto" w:fill="auto"/>
          </w:tcPr>
          <w:p w14:paraId="3D2B99EF" w14:textId="77777777" w:rsidR="00060764" w:rsidRPr="00B87066" w:rsidRDefault="00060764" w:rsidP="001048CC">
            <w:pPr>
              <w:pStyle w:val="RCTstable"/>
              <w:jc w:val="center"/>
            </w:pPr>
            <w:r>
              <w:t>3</w:t>
            </w:r>
          </w:p>
        </w:tc>
      </w:tr>
      <w:tr w:rsidR="00060764" w:rsidRPr="00C12274" w14:paraId="2CCE4891" w14:textId="77777777" w:rsidTr="001048CC">
        <w:trPr>
          <w:trHeight w:val="72"/>
        </w:trPr>
        <w:tc>
          <w:tcPr>
            <w:tcW w:w="2841" w:type="dxa"/>
          </w:tcPr>
          <w:p w14:paraId="14A77E44" w14:textId="38CD5A05" w:rsidR="00060764" w:rsidRPr="00C12274" w:rsidRDefault="00060764" w:rsidP="002747EA">
            <w:pPr>
              <w:pStyle w:val="RCTstable"/>
              <w:rPr>
                <w:noProof/>
              </w:rPr>
            </w:pPr>
            <w:r>
              <w:t>Dodd et al 2010</w:t>
            </w:r>
            <w:r>
              <w:fldChar w:fldCharType="begin"/>
            </w:r>
            <w:r w:rsidR="002747EA">
              <w:instrText xml:space="preserve"> ADDIN EN.CITE &lt;EndNote&gt;&lt;Cite&gt;&lt;Author&gt;Dodd&lt;/Author&gt;&lt;Year&gt;2010&lt;/Year&gt;&lt;RecNum&gt;572&lt;/RecNum&gt;&lt;DisplayText&gt;&lt;style face="superscript" font="Trebuchet MS" size="9"&gt;416&lt;/style&gt;&lt;/DisplayText&gt;&lt;record&gt;&lt;rec-number&gt;572&lt;/rec-number&gt;&lt;foreign-keys&gt;&lt;key app="EN" db-id="exvasrfx2dtraoesasxp2szsxa2df502592x" timestamp="1535933863"&gt;572&lt;/key&gt;&lt;key app="ENWeb" db-id=""&gt;0&lt;/key&gt;&lt;/foreign-keys&gt;&lt;ref-type name="Journal Article"&gt;17&lt;/ref-type&gt;&lt;contributors&gt;&lt;authors&gt;&lt;author&gt;Dodd, J. M.&lt;/author&gt;&lt;author&gt;Grivell, R. M.&lt;/author&gt;&lt;author&gt;Crowther, C. A.&lt;/author&gt;&lt;author&gt;Robinson, J. S.&lt;/author&gt;&lt;/authors&gt;&lt;/contributors&gt;&lt;auth-address&gt;The University of Adelaide, Women&amp;apos;s and Children&amp;apos;s Hospital, North Adelaide, SA, Australia. jodie.dodd@adelaide.edu.au&lt;/auth-address&gt;&lt;titles&gt;&lt;title&gt;Antenatal interventions for overweight or obese pregnant women: a systematic review of randomised trials&lt;/title&gt;&lt;secondary-title&gt;BJOG&lt;/secondary-title&gt;&lt;/titles&gt;&lt;periodical&gt;&lt;full-title&gt;BJOG&lt;/full-title&gt;&lt;/periodical&gt;&lt;pages&gt;1316-26&lt;/pages&gt;&lt;volume&gt;117&lt;/volume&gt;&lt;number&gt;11&lt;/number&gt;&lt;edition&gt;2010/04/01&lt;/edition&gt;&lt;keywords&gt;&lt;keyword&gt;Birth Weight&lt;/keyword&gt;&lt;keyword&gt;Exercise Therapy/methods&lt;/keyword&gt;&lt;keyword&gt;Female&lt;/keyword&gt;&lt;keyword&gt;Humans&lt;/keyword&gt;&lt;keyword&gt;Infant, Newborn&lt;/keyword&gt;&lt;keyword&gt;Life Style&lt;/keyword&gt;&lt;keyword&gt;Obesity/diet therapy/prevention &amp;amp; control&lt;/keyword&gt;&lt;keyword&gt;Overweight/diet therapy/*prevention &amp;amp; control&lt;/keyword&gt;&lt;keyword&gt;Pregnancy&lt;/keyword&gt;&lt;keyword&gt;Pregnancy Complications/diet therapy/*prevention &amp;amp; control&lt;/keyword&gt;&lt;keyword&gt;Pregnancy Outcome&lt;/keyword&gt;&lt;keyword&gt;Prenatal Care/*methods&lt;/keyword&gt;&lt;keyword&gt;Randomized Controlled Trials as Topic&lt;/keyword&gt;&lt;/keywords&gt;&lt;dates&gt;&lt;year&gt;2010&lt;/year&gt;&lt;pub-dates&gt;&lt;date&gt;Oct&lt;/date&gt;&lt;/pub-dates&gt;&lt;/dates&gt;&lt;isbn&gt;1471-0528 (Electronic)&amp;#xD;1470-0328 (Linking)&lt;/isbn&gt;&lt;accession-num&gt;20353459&lt;/accession-num&gt;&lt;urls&gt;&lt;related-urls&gt;&lt;url&gt;https://www.ncbi.nlm.nih.gov/pubmed/20353459&lt;/url&gt;&lt;/related-urls&gt;&lt;/urls&gt;&lt;electronic-resource-num&gt;10.1111/j.1471-0528.2010.02540.x&lt;/electronic-resource-num&gt;&lt;/record&gt;&lt;/Cite&gt;&lt;/EndNote&gt;</w:instrText>
            </w:r>
            <w:r>
              <w:fldChar w:fldCharType="separate"/>
            </w:r>
            <w:r w:rsidR="002747EA" w:rsidRPr="002747EA">
              <w:rPr>
                <w:noProof/>
                <w:sz w:val="18"/>
                <w:vertAlign w:val="superscript"/>
              </w:rPr>
              <w:t>416</w:t>
            </w:r>
            <w:r>
              <w:fldChar w:fldCharType="end"/>
            </w:r>
          </w:p>
        </w:tc>
        <w:tc>
          <w:tcPr>
            <w:tcW w:w="2547" w:type="dxa"/>
          </w:tcPr>
          <w:p w14:paraId="78A3BFAE" w14:textId="77777777" w:rsidR="00060764" w:rsidRPr="00C12274" w:rsidRDefault="00060764" w:rsidP="001048CC">
            <w:pPr>
              <w:pStyle w:val="RCTstable"/>
            </w:pPr>
            <w:r>
              <w:t>Overweight and obese</w:t>
            </w:r>
          </w:p>
        </w:tc>
        <w:tc>
          <w:tcPr>
            <w:tcW w:w="2982" w:type="dxa"/>
          </w:tcPr>
          <w:p w14:paraId="3CFD7344" w14:textId="77777777" w:rsidR="00060764" w:rsidRPr="00297E0C" w:rsidRDefault="00060764" w:rsidP="001048CC">
            <w:pPr>
              <w:pStyle w:val="RCTstable"/>
              <w:jc w:val="center"/>
              <w:rPr>
                <w:rFonts w:eastAsiaTheme="majorEastAsia"/>
              </w:rPr>
            </w:pPr>
            <w:r w:rsidRPr="00297E0C">
              <w:t xml:space="preserve">RR </w:t>
            </w:r>
            <w:r>
              <w:t>2.02 (</w:t>
            </w:r>
            <w:r w:rsidRPr="00297E0C">
              <w:t>0.84, 4.86</w:t>
            </w:r>
            <w:r>
              <w:t>)</w:t>
            </w:r>
          </w:p>
        </w:tc>
        <w:tc>
          <w:tcPr>
            <w:tcW w:w="1134" w:type="dxa"/>
          </w:tcPr>
          <w:p w14:paraId="623BD7AF" w14:textId="77777777" w:rsidR="00060764" w:rsidRDefault="00060764" w:rsidP="001048CC">
            <w:pPr>
              <w:pStyle w:val="RCTstable"/>
              <w:jc w:val="center"/>
            </w:pPr>
            <w:r>
              <w:t>3</w:t>
            </w:r>
          </w:p>
        </w:tc>
      </w:tr>
      <w:tr w:rsidR="009A4588" w:rsidRPr="00B87066" w14:paraId="5AC9D5C9" w14:textId="77777777" w:rsidTr="001975F2">
        <w:tc>
          <w:tcPr>
            <w:tcW w:w="2841" w:type="dxa"/>
            <w:vMerge w:val="restart"/>
            <w:shd w:val="clear" w:color="auto" w:fill="auto"/>
          </w:tcPr>
          <w:p w14:paraId="5BCFDA95" w14:textId="10C40B2C" w:rsidR="009A4588" w:rsidRDefault="009A4588"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shd w:val="clear" w:color="auto" w:fill="auto"/>
          </w:tcPr>
          <w:p w14:paraId="500163CA" w14:textId="77777777" w:rsidR="009A4588" w:rsidRDefault="009A4588"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605E182B" w14:textId="1B6F23F3" w:rsidR="009A4588" w:rsidRDefault="009A4588" w:rsidP="009A4588">
            <w:pPr>
              <w:pStyle w:val="RCTstable"/>
              <w:jc w:val="center"/>
            </w:pPr>
            <w:r>
              <w:t>OR 0.91 (0.60 to 1.37)</w:t>
            </w:r>
          </w:p>
        </w:tc>
        <w:tc>
          <w:tcPr>
            <w:tcW w:w="1134" w:type="dxa"/>
            <w:shd w:val="clear" w:color="auto" w:fill="auto"/>
          </w:tcPr>
          <w:p w14:paraId="14D21705" w14:textId="77777777" w:rsidR="009A4588" w:rsidRDefault="009A4588" w:rsidP="006A3F9A">
            <w:pPr>
              <w:pStyle w:val="RCTstable"/>
              <w:jc w:val="center"/>
            </w:pPr>
            <w:r>
              <w:t>4</w:t>
            </w:r>
          </w:p>
        </w:tc>
      </w:tr>
      <w:tr w:rsidR="009A4588" w:rsidRPr="00B87066" w14:paraId="279B2716" w14:textId="77777777" w:rsidTr="001975F2">
        <w:tc>
          <w:tcPr>
            <w:tcW w:w="2841" w:type="dxa"/>
            <w:vMerge/>
            <w:shd w:val="clear" w:color="auto" w:fill="auto"/>
          </w:tcPr>
          <w:p w14:paraId="0C1B57FD" w14:textId="77777777" w:rsidR="009A4588" w:rsidRDefault="009A4588" w:rsidP="006A3F9A">
            <w:pPr>
              <w:pStyle w:val="RCTstable"/>
            </w:pPr>
          </w:p>
        </w:tc>
        <w:tc>
          <w:tcPr>
            <w:tcW w:w="2547" w:type="dxa"/>
            <w:shd w:val="clear" w:color="auto" w:fill="auto"/>
          </w:tcPr>
          <w:p w14:paraId="100B41D5" w14:textId="77777777" w:rsidR="009A4588" w:rsidRDefault="009A4588" w:rsidP="006A3F9A">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1AE92F58" w14:textId="30FD19FC" w:rsidR="009A4588" w:rsidRDefault="009A4588" w:rsidP="009A4588">
            <w:pPr>
              <w:pStyle w:val="RCTstable"/>
              <w:jc w:val="center"/>
            </w:pPr>
            <w:r>
              <w:rPr>
                <w:rFonts w:eastAsiaTheme="majorEastAsia"/>
              </w:rPr>
              <w:t>OR 0.82 (0.54 to 1.22)</w:t>
            </w:r>
          </w:p>
        </w:tc>
        <w:tc>
          <w:tcPr>
            <w:tcW w:w="1134" w:type="dxa"/>
            <w:shd w:val="clear" w:color="auto" w:fill="auto"/>
          </w:tcPr>
          <w:p w14:paraId="7ECA07D3" w14:textId="77777777" w:rsidR="009A4588" w:rsidRDefault="009A4588" w:rsidP="006A3F9A">
            <w:pPr>
              <w:pStyle w:val="RCTstable"/>
              <w:jc w:val="center"/>
            </w:pPr>
            <w:r>
              <w:t>6</w:t>
            </w:r>
          </w:p>
        </w:tc>
      </w:tr>
      <w:tr w:rsidR="00FF7AFA" w:rsidRPr="00C12274" w14:paraId="2EE3DD71" w14:textId="77777777" w:rsidTr="001975F2">
        <w:tc>
          <w:tcPr>
            <w:tcW w:w="2841" w:type="dxa"/>
          </w:tcPr>
          <w:p w14:paraId="25D44F32" w14:textId="794C0CE5" w:rsidR="00FF7AFA" w:rsidRPr="00C12274" w:rsidRDefault="00FF7AFA" w:rsidP="002747EA">
            <w:pPr>
              <w:pStyle w:val="RCTstable"/>
              <w:rPr>
                <w:noProof/>
              </w:rPr>
            </w:pPr>
            <w:r w:rsidRPr="00C12274">
              <w:rPr>
                <w:noProof/>
              </w:rPr>
              <w:t>Thangaratinam et al 2012</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Y3JpcHQiIGZvbnQ9IlRyZWJ1Y2hldCBNUyIgc2l6ZT0iOSI+NDExLDQxMjwvc3R5bGU+PC9EaXNw
bGF5VGV4dD48cmVjb3JkPjxyZWMtbnVtYmVyPjYzMDwvcmVjLW51bWJlcj48Zm9yZWlnbi1rZXlz
PjxrZXkgYXBwPSJFTiIgZGItaWQ9ImV4dmFzcmZ4MmR0cmFvZXNhc3hwMnN6c3hhMmRmNTAyNTky
eCIgdGltZXN0YW1wPSIxNTQwNDI1MzQ0Ij42MzA8L2tleT48a2V5IGFwcD0iRU5XZWIiIGRiLWlk
PSIiPjA8L2tleT48L2ZvcmVpZ24ta2V5cz48cmVmLXR5cGUgbmFtZT0iSm91cm5hbCBBcnRpY2xl
Ij4xNzwvcmVmLXR5cGU+PGNvbnRyaWJ1dG9ycz48YXV0aG9ycz48YXV0aG9yPlRoYW5nYXJhdGlu
YW0sIFMuPC9hdXRob3I+PGF1dGhvcj5Sb2dvemluc2thLCBFLjwvYXV0aG9yPjxhdXRob3I+Sm9s
bHksIEsuPC9hdXRob3I+PGF1dGhvcj5HbGlua293c2tpLCBTLjwvYXV0aG9yPjxhdXRob3I+RHVk
YSwgVy48L2F1dGhvcj48YXV0aG9yPkJvcm93aWFjaywgRS48L2F1dGhvcj48YXV0aG9yPlJvc2Vi
b29tLCBULjwvYXV0aG9yPjxhdXRob3I+VG9tbGluc29uLCBKLjwvYXV0aG9yPjxhdXRob3I+V2Fs
Y3phaywgSi48L2F1dGhvcj48YXV0aG9yPkt1bnosIFIuPC9hdXRob3I+PGF1dGhvcj5Nb2wsIEIu
IFcuPC9hdXRob3I+PGF1dGhvcj5Db29tYXJhc2FteSwgQS48L2F1dGhvcj48YXV0aG9yPktoYW4s
IEsuIFMuPC9hdXRob3I+PC9hdXRob3JzPjwvY29udHJpYnV0b3JzPjxhdXRoLWFkZHJlc3M+V29t
ZW4mYXBvcztzIEhlYWx0aCBSZXNlYXJjaCBVbml0LCBDZW50cmUgZm9yIFByaW1hcnkgQ2FyZSBh
bmQgUHVibGljIEhlYWx0aCwgUXVlZW4gTWFyeSBVbml2ZXJzaXR5IG9mIExvbmRvbiwgTG9uZG9u
LCBVSy48L2F1dGgtYWRkcmVzcz48dGl0bGVzPjx0aXRsZT5JbnRlcnZlbnRpb25zIHRvIHJlZHVj
ZSBvciBwcmV2ZW50IG9iZXNpdHkgaW4gcHJlZ25hbnQgd29tZW46IGEgc3lzdGVtYXRpYyByZXZp
ZXc8L3RpdGxlPjxzZWNvbmRhcnktdGl0bGU+SGVhbHRoIFRlY2hub2wgQXNzZXNzPC9zZWNvbmRh
cnktdGl0bGU+PC90aXRsZXM+PHBlcmlvZGljYWw+PGZ1bGwtdGl0bGU+SGVhbHRoIFRlY2hub2wg
QXNzZXNzPC9mdWxsLXRpdGxlPjwvcGVyaW9kaWNhbD48cGFnZXM+aWlpLWl2LCAxLTE5MTwvcGFn
ZXM+PHZvbHVtZT4xNjwvdm9sdW1lPjxudW1iZXI+MzE8L251bWJlcj48ZWRpdGlvbj4yMDEyLzA3
LzIxPC9lZGl0aW9uPjxrZXl3b3Jkcz48a2V5d29yZD5EYXRhYmFzZXMsIEJpYmxpb2dyYXBoaWM8
L2tleXdvcmQ+PGtleXdvcmQ+RmVlZGluZyBCZWhhdmlvci8qcGh5c2lvbG9neS9wc3ljaG9sb2d5
PC9rZXl3b3JkPjxrZXl3b3JkPkZlbWFsZTwva2V5d29yZD48a2V5d29yZD5IdW1hbnM8L2tleXdv
cmQ+PGtleXdvcmQ+KkxpZmUgU3R5bGU8L2tleXdvcmQ+PGtleXdvcmQ+Kk1vdG9yIEFjdGl2aXR5
PC9rZXl3b3JkPjxrZXl3b3JkPk9iZXNpdHkvY29tcGxpY2F0aW9ucy9lcGlkZW1pb2xvZ3kvKnBy
ZXZlbnRpb24gJmFtcDsgY29udHJvbDwva2V5d29yZD48a2V5d29yZD5PdXRjb21lIEFzc2Vzc21l
bnQgKEhlYWx0aCBDYXJlKTwva2V5d29yZD48a2V5d29yZD5QcmVnbmFuY3k8L2tleXdvcmQ+PGtl
eXdvcmQ+UHJlZ25hbmN5IENvbXBsaWNhdGlvbnMvZXBpZGVtaW9sb2d5L2V0aW9sb2d5LypwcmV2
ZW50aW9uICZhbXA7IGNvbnRyb2w8L2tleXdvcmQ+PGtleXdvcmQ+KlByZWduYW5jeSBPdXRjb21l
L2VwaWRlbWlvbG9neTwva2V5d29yZD48L2tleXdvcmRzPjxkYXRlcz48eWVhcj4yMDEyPC95ZWFy
PjxwdWItZGF0ZXM+PGRhdGU+SnVsPC9kYXRlPjwvcHViLWRhdGVzPjwvZGF0ZXM+PGlzYm4+MjA0
Ni00OTI0IChFbGVjdHJvbmljKSYjeEQ7MTM2Ni01Mjc4IChMaW5raW5nKTwvaXNibj48YWNjZXNz
aW9uLW51bT4yMjgxNDMwMTwvYWNjZXNzaW9uLW51bT48dXJscz48cmVsYXRlZC11cmxzPjx1cmw+
aHR0cHM6Ly93d3cubmNiaS5ubG0ubmloLmdvdi9wdWJtZWQvMjI4MTQzMDE8L3VybD48L3JlbGF0
ZWQtdXJscz48L3VybHM+PGN1c3RvbTI+UE1DNDc4MTI4MTwvY3VzdG9tMj48ZWxlY3Ryb25pYy1y
ZXNvdXJjZS1udW0+MTAuMzMxMC9odGExNjMxMDwvZWxlY3Ryb25pYy1yZXNvdXJjZS1udW0+PC9y
ZWNvcmQ+PC9DaXRlPjxDaXRlPjxBdXRob3I+VGhhbmdhcmF0aW5hbTwvQXV0aG9yPjxZZWFyPjIw
MTI8L1llYXI+PFJlY051bT42MzE8L1JlY051bT48cmVjb3JkPjxyZWMtbnVtYmVyPjYzMTwvcmVj
LW51bWJlcj48Zm9yZWlnbi1rZXlzPjxrZXkgYXBwPSJFTiIgZGItaWQ9ImV4dmFzcmZ4MmR0cmFv
ZXNhc3hwMnN6c3hhMmRmNTAyNTkyeCIgdGltZXN0YW1wPSIxNTQwNDI1MzQ0Ij42MzE8L2tleT48
a2V5IGFwcD0iRU5XZWIiIGRiLWlkPSIiPjA8L2tleT48L2ZvcmVpZ24ta2V5cz48cmVmLXR5cGUg
bmFtZT0iSm91cm5hbCBBcnRpY2xlIj4xNzwvcmVmLXR5cGU+PGNvbnRyaWJ1dG9ycz48YXV0aG9y
cz48YXV0aG9yPlRoYW5nYXJhdGluYW0sIFMuPC9hdXRob3I+PGF1dGhvcj5Sb2dvemluc2thLCBF
LjwvYXV0aG9yPjxhdXRob3I+Sm9sbHksIEsuPC9hdXRob3I+PGF1dGhvcj5HbGlua293c2tpLCBT
LjwvYXV0aG9yPjxhdXRob3I+Um9zZWJvb20sIFQuPC9hdXRob3I+PGF1dGhvcj5Ub21saW5zb24s
IEouIFcuPC9hdXRob3I+PGF1dGhvcj5LdW56LCBSLjwvYXV0aG9yPjxhdXRob3I+TW9sLCBCLiBX
LjwvYXV0aG9yPjxhdXRob3I+Q29vbWFyYXNhbXksIEEuPC9hdXRob3I+PGF1dGhvcj5LaGFuLCBL
LiBTLjwvYXV0aG9yPjwvYXV0aG9ycz48L2NvbnRyaWJ1dG9ycz48YXV0aC1hZGRyZXNzPldvbWVu
JmFwb3M7cyBIZWFsdGggUmVzZWFyY2ggVW5pdCwgQ2VudHJlIGZvciBQcmltYXJ5IENhcmUgYW5k
IFB1YmxpYyBIZWFsdGgsIEJhcnRzIGFuZCB0aGUgTG9uZG9uIFNjaG9vbCBvZiBNZWRpY2luZSBh
bmQgRGVudGlzdHJ5LCBRdWVlbiBNYXJ5IFVuaXZlcnNpdHkgb2YgTG9uZG9uLCBMb25kb24sIFVL
LiBzLnRoYW5nYXJhdGluYW1AcW11bC5hYy51azwvYXV0aC1hZGRyZXNzPjx0aXRsZXM+PHRpdGxl
PkVmZmVjdHMgb2YgaW50ZXJ2ZW50aW9ucyBpbiBwcmVnbmFuY3kgb24gbWF0ZXJuYWwgd2VpZ2h0
IGFuZCBvYnN0ZXRyaWMgb3V0Y29tZXM6IG1ldGEtYW5hbHlzaXMgb2YgcmFuZG9taXNlZCBldmlk
ZW5jZTwvdGl0bGU+PHNlY29uZGFyeS10aXRsZT5CTUo8L3NlY29uZGFyeS10aXRsZT48L3RpdGxl
cz48cGVyaW9kaWNhbD48ZnVsbC10aXRsZT5CTUo8L2Z1bGwtdGl0bGU+PC9wZXJpb2RpY2FsPjxw
YWdlcz5lMjA4ODwvcGFnZXM+PHZvbHVtZT4zNDQ8L3ZvbHVtZT48ZWRpdGlvbj4yMDEyLzA1LzE5
PC9lZGl0aW9uPjxrZXl3b3Jkcz48a2V5d29yZD5Cb2R5IE1hc3MgSW5kZXg8L2tleXdvcmQ+PGtl
eXdvcmQ+Qm9keSBXZWlnaHQ8L2tleXdvcmQ+PGtleXdvcmQ+Q29uZmlkZW5jZSBJbnRlcnZhbHM8
L2tleXdvcmQ+PGtleXdvcmQ+KkRpZXQsIFJlZHVjaW5nPC9rZXl3b3JkPjxrZXl3b3JkPkZlbWFs
ZTwva2V5d29yZD48a2V5d29yZD5IdW1hbnM8L2tleXdvcmQ+PGtleXdvcmQ+SW5mYW50LCBOZXdi
b3JuPC9rZXl3b3JkPjxrZXl3b3JkPipNb3RvciBBY3Rpdml0eTwva2V5d29yZD48a2V5d29yZD5P
YmVzaXR5L3ByZXZlbnRpb24gJmFtcDsgY29udHJvbC8qdGhlcmFweTwva2V5d29yZD48a2V5d29y
ZD5QcmVnbmFuY3k8L2tleXdvcmQ+PGtleXdvcmQ+UHJlZ25hbmN5IENvbXBsaWNhdGlvbnMvcHJl
dmVudGlvbiAmYW1wOyBjb250cm9sLyp0aGVyYXB5PC9rZXl3b3JkPjxrZXl3b3JkPlByZWduYW5j
eSBPdXRjb21lPC9rZXl3b3JkPjxrZXl3b3JkPlByZW1hdHVyZSBCaXJ0aC8qcHJldmVudGlvbiAm
YW1wOyBjb250cm9sPC9rZXl3b3JkPjxrZXl3b3JkPlJhbmRvbWl6ZWQgQ29udHJvbGxlZCBUcmlh
bHMgYXMgVG9waWM8L2tleXdvcmQ+PGtleXdvcmQ+UmlzayBGYWN0b3JzPC9rZXl3b3JkPjxrZXl3
b3JkPipSaXNrIFJlZHVjdGlvbiBCZWhhdmlvcjwva2V5d29yZD48a2V5d29yZD4qV2VpZ2h0IExv
c3M8L2tleXdvcmQ+PC9rZXl3b3Jkcz48ZGF0ZXM+PHllYXI+MjAxMjwveWVhcj48cHViLWRhdGVz
PjxkYXRlPk1heSAxNjwvZGF0ZT48L3B1Yi1kYXRlcz48L2RhdGVzPjxpc2JuPjE3NTYtMTgzMyAo
RWxlY3Ryb25pYykmI3hEOzA5NTktODEzOCAoTGlua2luZyk8L2lzYm4+PGFjY2Vzc2lvbi1udW0+
MjI1OTYzODM8L2FjY2Vzc2lvbi1udW0+PHVybHM+PHJlbGF0ZWQtdXJscz48dXJsPmh0dHBzOi8v
d3d3Lm5jYmkubmxtLm5paC5nb3YvcHVibWVkLzIyNTk2MzgzPC91cmw+PC9yZWxhdGVkLXVybHM+
PC91cmxzPjxjdXN0b20yPlBNQzMzNTUxOTE8L2N1c3RvbTI+PGVsZWN0cm9uaWMtcmVzb3VyY2Ut
bnVtPjEwLjExMzYvYm1qLmUyMDg4PC9lbGVjdHJvbmljLXJlc291cmNlLW51bT48L3JlY29yZD48
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411,412</w:t>
            </w:r>
            <w:r>
              <w:rPr>
                <w:noProof/>
              </w:rPr>
              <w:fldChar w:fldCharType="end"/>
            </w:r>
          </w:p>
        </w:tc>
        <w:tc>
          <w:tcPr>
            <w:tcW w:w="2547" w:type="dxa"/>
          </w:tcPr>
          <w:p w14:paraId="5CEF0622" w14:textId="77777777" w:rsidR="00FF7AFA" w:rsidRPr="00C12274" w:rsidRDefault="00FF7AFA" w:rsidP="006A3F9A">
            <w:pPr>
              <w:pStyle w:val="RCTstable"/>
              <w:rPr>
                <w:rFonts w:ascii="Helvetica" w:hAnsi="Helvetica"/>
              </w:rPr>
            </w:pPr>
            <w:r>
              <w:rPr>
                <w:rFonts w:ascii="Helvetica" w:hAnsi="Helvetica"/>
              </w:rPr>
              <w:t>Mixed BMIs</w:t>
            </w:r>
          </w:p>
        </w:tc>
        <w:tc>
          <w:tcPr>
            <w:tcW w:w="2982" w:type="dxa"/>
          </w:tcPr>
          <w:p w14:paraId="58CB1F71" w14:textId="4C74E403" w:rsidR="00FF7AFA" w:rsidRPr="00BE0624" w:rsidRDefault="00FF7AFA" w:rsidP="006A3F9A">
            <w:pPr>
              <w:pStyle w:val="RCTstable"/>
              <w:jc w:val="center"/>
            </w:pPr>
            <w:r>
              <w:t>RR 0.78 (0.51 to 1.19)</w:t>
            </w:r>
          </w:p>
        </w:tc>
        <w:tc>
          <w:tcPr>
            <w:tcW w:w="1134" w:type="dxa"/>
          </w:tcPr>
          <w:p w14:paraId="03820AC5" w14:textId="58795B5B" w:rsidR="00FF7AFA" w:rsidRPr="00BE0624" w:rsidRDefault="00FF7AFA" w:rsidP="006A3F9A">
            <w:pPr>
              <w:pStyle w:val="RCTstable"/>
              <w:jc w:val="center"/>
            </w:pPr>
            <w:r>
              <w:t>5</w:t>
            </w:r>
          </w:p>
        </w:tc>
      </w:tr>
      <w:tr w:rsidR="001975F2" w:rsidRPr="00C12274" w14:paraId="59FEF09F" w14:textId="77777777" w:rsidTr="006A3F9A">
        <w:tc>
          <w:tcPr>
            <w:tcW w:w="2841" w:type="dxa"/>
          </w:tcPr>
          <w:p w14:paraId="2EB1A344" w14:textId="1B19162A" w:rsidR="001975F2" w:rsidRDefault="001975F2" w:rsidP="002747EA">
            <w:pPr>
              <w:pStyle w:val="RCTstable"/>
              <w:rPr>
                <w:noProof/>
              </w:rPr>
            </w:pPr>
            <w:r>
              <w:rPr>
                <w:noProof/>
              </w:rPr>
              <w:t>*Tieu et al 2017</w:t>
            </w:r>
            <w:r w:rsidR="006A3F9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PEVuZE5vdGU+PENpdGU+PEF1dGhvcj5UaWV1PC9BdXRob3I+PFllYXI+MjAxNzwvWWVhcj48UmVj
TnVtPjYzODwvUmVjTnVtPjxEaXNwbGF5VGV4dD48c3R5bGUgZmFjZT0ic3VwZXJzY3JpcHQiIGZv
bnQ9IlRyZWJ1Y2hldCBNUyIgc2l6ZT0iOSI+NDEzPC9zdHlsZT48L0Rpc3BsYXlUZXh0PjxyZWNv
cmQ+PHJlYy1udW1iZXI+NjM4PC9yZWMtbnVtYmVyPjxmb3JlaWduLWtleXM+PGtleSBhcHA9IkVO
IiBkYi1pZD0iZXh2YXNyZngyZHRyYW9lc2FzeHAyc3pzeGEyZGY1MDI1OTJ4IiB0aW1lc3RhbXA9
IjE1NDA0MjkwMzIiPjYzODwva2V5PjxrZXkgYXBwPSJFTldlYiIgZGItaWQ9IiI+MDwva2V5Pjwv
Zm9yZWlnbi1rZXlzPjxyZWYtdHlwZSBuYW1lPSJKb3VybmFsIEFydGljbGUiPjE3PC9yZWYtdHlw
ZT48Y29udHJpYnV0b3JzPjxhdXRob3JzPjxhdXRob3I+VGlldSwgSi48L2F1dGhvcj48YXV0aG9y
PlNoZXBoZXJkLCBFLjwvYXV0aG9yPjxhdXRob3I+TWlkZGxldG9uLCBQLjwvYXV0aG9yPjxhdXRo
b3I+Q3Jvd3RoZXIsIEMuIEEuPC9hdXRob3I+PC9hdXRob3JzPjwvY29udHJpYnV0b3JzPjxhdXRo
LWFkZHJlc3M+QVJDSDogQXVzdHJhbGlhbiBSZXNlYXJjaCBDZW50cmUgZm9yIEhlYWx0aCBvZiBX
b21lbiBhbmQgQmFiaWVzLCBSb2JpbnNvbiBSZXNlYXJjaCBJbnN0aXR1dGUsIERpc2NpcGxpbmUg
b2YgT2JzdGV0cmljcyBhbmQgR3luYWVjb2xvZ3ksIFRoZSBVbml2ZXJzaXR5IG9mIEFkZWxhaWRl
LCBXb21lbiZhcG9zO3MgYW5kIENoaWxkcmVuJmFwb3M7cyBIb3NwaXRhbCwgMXN0IGZsb29yLCBR
dWVlbiBWaWN0b3JpYSBCdWlsZGluZywgNzIgS2luZyBXaWxsaWFtIFJvYWQsIEFkZWxhaWRlLCBT
b3V0aCBBdXN0cmFsaWEsIEF1c3RyYWxpYSwgNTAwNi4mI3hEO0hlYWx0aHkgTW90aGVycywgQmFi
aWVzIGFuZCBDaGlsZHJlbiwgU291dGggQXVzdHJhbGlhbiBIZWFsdGggYW5kIE1lZGljYWwgUmVz
ZWFyY2ggSW5zdGl0dXRlLCBXb21lbiZhcG9zO3MgYW5kIENoaWxkcmVuJmFwb3M7cyBIb3NwaXRh
bCwgNzIgS2luZyBXaWxsaWFtIFJvYWQsIEFkZWxhaWRlLCBTb3V0aCBBdXN0cmFsaWEsIEF1c3Ry
YWxpYSwgNTAwNi4mI3hEO0xpZ2dpbnMgSW5zdGl0dXRlLCBUaGUgVW5pdmVyc2l0eSBvZiBBdWNr
bGFuZCwgUHJpdmF0ZSBCYWcgOTIwMTksIDg1IFBhcmsgUm9hZCwgQXVja2xhbmQsIE5ldyBaZWFs
YW5kLjwvYXV0aC1hZGRyZXNzPjx0aXRsZXM+PHRpdGxlPkRpZXRhcnkgYWR2aWNlIGludGVydmVu
dGlvbnMgaW4gcHJlZ25hbmN5IGZvciBwcmV2ZW50aW5nIGdlc3RhdGlvbmFsIGRpYWJldGVzIG1l
bGxpdHVzPC90aXRsZT48c2Vjb25kYXJ5LXRpdGxlPkNvY2hyYW5lIERhdGFiYXNlIFN5c3QgUmV2
PC9zZWNvbmRhcnktdGl0bGU+PC90aXRsZXM+PHBlcmlvZGljYWw+PGZ1bGwtdGl0bGU+Q29jaHJh
bmUgRGF0YWJhc2UgU3lzdCBSZXY8L2Z1bGwtdGl0bGU+PC9wZXJpb2RpY2FsPjxwYWdlcz5DRDAw
NjY3NDwvcGFnZXM+PHZvbHVtZT4xPC92b2x1bWU+PGVkaXRpb24+MjAxNy8wMS8wNDwvZWRpdGlv
bj48a2V5d29yZHM+PGtleXdvcmQ+QWRpcG9zaXR5PC9rZXl3b3JkPjxrZXl3b3JkPkJpcnRoIFdl
aWdodDwva2V5d29yZD48a2V5d29yZD5DZXNhcmVhbiBTZWN0aW9uL3N0YXRpc3RpY3MgJmFtcDsg
bnVtZXJpY2FsIGRhdGE8L2tleXdvcmQ+PGtleXdvcmQ+RGlhYmV0ZXMsIEdlc3RhdGlvbmFsLypw
cmV2ZW50aW9uICZhbXA7IGNvbnRyb2w8L2tleXdvcmQ+PGtleXdvcmQ+KkRpZXQ8L2tleXdvcmQ+
PGtleXdvcmQ+RGlldGFyeSBGaWJlci8qYWRtaW5pc3RyYXRpb24gJmFtcDsgZG9zYWdlPC9rZXl3
b3JkPjxrZXl3b3JkPkZlbWFsZTwva2V5d29yZD48a2V5d29yZD4qR2x5Y2VtaWMgSW5kZXg8L2tl
eXdvcmQ+PGtleXdvcmQ+SHVtYW5zPC9rZXl3b3JkPjxrZXl3b3JkPkluZmFudCwgTmV3Ym9ybjwv
a2V5d29yZD48a2V5d29yZD5QcmVnbmFuY3k8L2tleXdvcmQ+PGtleXdvcmQ+UmFuZG9taXplZCBD
b250cm9sbGVkIFRyaWFscyBhcyBUb3BpYzwva2V5d29yZD48L2tleXdvcmRzPjxkYXRlcz48eWVh
cj4yMDE3PC95ZWFyPjxwdWItZGF0ZXM+PGRhdGU+SmFuIDM8L2RhdGU+PC9wdWItZGF0ZXM+PC9k
YXRlcz48aXNibj4xNDY5LTQ5M1ggKEVsZWN0cm9uaWMpJiN4RDsxMzYxLTYxMzcgKExpbmtpbmcp
PC9pc2JuPjxhY2Nlc3Npb24tbnVtPjI4MDQ2MjA1PC9hY2Nlc3Npb24tbnVtPjx1cmxzPjxyZWxh
dGVkLXVybHM+PHVybD5odHRwczovL3d3dy5uY2JpLm5sbS5uaWguZ292L3B1Ym1lZC8yODA0NjIw
NTwvdXJsPjwvcmVsYXRlZC11cmxzPjwvdXJscz48ZWxlY3Ryb25pYy1yZXNvdXJjZS1udW0+MTAu
MTAwMi8xNDY1MTg1OC5DRDAwNjY3NC5wdWIzPC9lbGVjdHJvbmljLXJlc291cmNlLW51bT48L3Jl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6A3F9A">
              <w:rPr>
                <w:noProof/>
              </w:rPr>
            </w:r>
            <w:r w:rsidR="006A3F9A">
              <w:rPr>
                <w:noProof/>
              </w:rPr>
              <w:fldChar w:fldCharType="separate"/>
            </w:r>
            <w:r w:rsidR="002747EA" w:rsidRPr="002747EA">
              <w:rPr>
                <w:noProof/>
                <w:sz w:val="18"/>
                <w:vertAlign w:val="superscript"/>
              </w:rPr>
              <w:t>413</w:t>
            </w:r>
            <w:r w:rsidR="006A3F9A">
              <w:rPr>
                <w:noProof/>
              </w:rPr>
              <w:fldChar w:fldCharType="end"/>
            </w:r>
          </w:p>
        </w:tc>
        <w:tc>
          <w:tcPr>
            <w:tcW w:w="2547" w:type="dxa"/>
          </w:tcPr>
          <w:p w14:paraId="6FD137B9" w14:textId="77777777" w:rsidR="001975F2" w:rsidRDefault="001975F2" w:rsidP="006A3F9A">
            <w:pPr>
              <w:pStyle w:val="RCTstable"/>
              <w:rPr>
                <w:rFonts w:ascii="Helvetica" w:hAnsi="Helvetica"/>
              </w:rPr>
            </w:pPr>
            <w:r>
              <w:rPr>
                <w:rFonts w:ascii="Helvetica" w:hAnsi="Helvetica"/>
              </w:rPr>
              <w:t>Mixed BMIs</w:t>
            </w:r>
          </w:p>
        </w:tc>
        <w:tc>
          <w:tcPr>
            <w:tcW w:w="2982" w:type="dxa"/>
          </w:tcPr>
          <w:p w14:paraId="4853B41C" w14:textId="5CA9CA25" w:rsidR="001975F2" w:rsidRDefault="001975F2" w:rsidP="001975F2">
            <w:pPr>
              <w:pStyle w:val="RCTstable"/>
              <w:jc w:val="center"/>
            </w:pPr>
            <w:r>
              <w:t>RR 0.60 (0.19 to 1.86)</w:t>
            </w:r>
          </w:p>
        </w:tc>
        <w:tc>
          <w:tcPr>
            <w:tcW w:w="1134" w:type="dxa"/>
          </w:tcPr>
          <w:p w14:paraId="4E317268" w14:textId="013538CB" w:rsidR="001975F2" w:rsidRDefault="001975F2" w:rsidP="006A3F9A">
            <w:pPr>
              <w:pStyle w:val="RCTstable"/>
              <w:jc w:val="center"/>
            </w:pPr>
            <w:r>
              <w:t>3</w:t>
            </w:r>
          </w:p>
        </w:tc>
      </w:tr>
    </w:tbl>
    <w:p w14:paraId="0B08B6AD" w14:textId="78DAAD23" w:rsidR="00FD4EBE" w:rsidRPr="00D53A68" w:rsidRDefault="00A3266B" w:rsidP="007472C2">
      <w:pPr>
        <w:spacing w:before="0" w:after="0"/>
        <w:ind w:left="425" w:hanging="425"/>
        <w:rPr>
          <w:sz w:val="16"/>
          <w:szCs w:val="16"/>
        </w:rPr>
      </w:pPr>
      <w:r w:rsidRPr="00D53A68">
        <w:rPr>
          <w:sz w:val="16"/>
          <w:szCs w:val="16"/>
        </w:rPr>
        <w:t>*</w:t>
      </w:r>
      <w:r w:rsidRPr="00D53A68">
        <w:rPr>
          <w:sz w:val="16"/>
          <w:szCs w:val="16"/>
        </w:rPr>
        <w:tab/>
        <w:t>Low glycaemic index diet</w:t>
      </w:r>
    </w:p>
    <w:p w14:paraId="03C33CBB" w14:textId="77777777" w:rsidR="00A5540F" w:rsidRDefault="00A5540F" w:rsidP="00A5540F">
      <w:pPr>
        <w:pStyle w:val="Heading3"/>
        <w:pageBreakBefore/>
      </w:pPr>
      <w:bookmarkStart w:id="208" w:name="_Ref528570890"/>
      <w:bookmarkStart w:id="209" w:name="_Toc40956545"/>
      <w:r>
        <w:t>Exercise interventions</w:t>
      </w:r>
      <w:bookmarkEnd w:id="208"/>
      <w:bookmarkEnd w:id="209"/>
    </w:p>
    <w:p w14:paraId="73FD8016" w14:textId="77777777" w:rsidR="00A5540F" w:rsidRDefault="00A5540F" w:rsidP="00A5540F">
      <w:pPr>
        <w:pStyle w:val="Heading4"/>
        <w:rPr>
          <w:lang w:val="en-AU"/>
        </w:rPr>
      </w:pPr>
      <w:r w:rsidRPr="00355C0F">
        <w:rPr>
          <w:lang w:val="en-AU"/>
        </w:rPr>
        <w:t>Types of study</w:t>
      </w:r>
    </w:p>
    <w:p w14:paraId="5F27C7FF" w14:textId="07B9C768" w:rsidR="00A5540F" w:rsidRDefault="00A5540F" w:rsidP="00A5540F">
      <w:pPr>
        <w:rPr>
          <w:noProof/>
          <w:sz w:val="16"/>
          <w:szCs w:val="16"/>
        </w:rPr>
      </w:pPr>
      <w:r>
        <w:rPr>
          <w:lang w:val="en-AU"/>
        </w:rPr>
        <w:t>The review in</w:t>
      </w:r>
      <w:r w:rsidR="004056EF">
        <w:rPr>
          <w:lang w:val="en-AU"/>
        </w:rPr>
        <w:t>cluded 4</w:t>
      </w:r>
      <w:r w:rsidR="00501738">
        <w:rPr>
          <w:lang w:val="en-AU"/>
        </w:rPr>
        <w:t>2</w:t>
      </w:r>
      <w:r w:rsidR="004056EF">
        <w:rPr>
          <w:lang w:val="en-AU"/>
        </w:rPr>
        <w:t xml:space="preserve"> studies reported in 5</w:t>
      </w:r>
      <w:r w:rsidR="00501738">
        <w:rPr>
          <w:lang w:val="en-AU"/>
        </w:rPr>
        <w:t>9</w:t>
      </w:r>
      <w:r>
        <w:rPr>
          <w:lang w:val="en-AU"/>
        </w:rPr>
        <w:t xml:space="preserve"> papers and including </w:t>
      </w:r>
      <w:r w:rsidR="00CD562F">
        <w:rPr>
          <w:lang w:val="en-AU"/>
        </w:rPr>
        <w:t>9,057</w:t>
      </w:r>
      <w:r>
        <w:rPr>
          <w:lang w:val="en-AU"/>
        </w:rPr>
        <w:t xml:space="preserve"> women. Among the</w:t>
      </w:r>
      <w:r w:rsidRPr="00C12274">
        <w:rPr>
          <w:lang w:val="en-AU"/>
        </w:rPr>
        <w:t xml:space="preserve"> studies, 27</w:t>
      </w:r>
      <w:r>
        <w:rPr>
          <w:lang w:val="en-AU"/>
        </w:rPr>
        <w:t> </w:t>
      </w:r>
      <w:r w:rsidRPr="00C12274">
        <w:rPr>
          <w:lang w:val="en-AU"/>
        </w:rPr>
        <w:t>included an aerobic and resistance exercise intervention,</w:t>
      </w:r>
      <w:r>
        <w:rPr>
          <w:noProof/>
          <w:sz w:val="16"/>
          <w:szCs w:val="16"/>
        </w:rPr>
        <w:fldChar w:fldCharType="begin">
          <w:fldData xml:space="preserve">c291cmNlLW51bT48L3JlY29yZD48L0NpdGU+PENpdGU+PEF1dGhvcj5Pb3N0ZGFtPC9BdXRob3I+
PFllYXI+MjAxMjwvWWVhcj48UmVjTnVtPjYxMDwvUmVjTnVtPjxyZWNvcmQ+PHJlYy1udW1iZXI+
NjEwPC9yZWMtbnVtYmVyPjxmb3JlaWduLWtleXM+PGtleSBhcHA9IkVOIiBkYi1pZD0iZXh2YXNy
ZngyZHRyYW9lc2FzeHAyc3pzeGEyZGY1MDI1OTJ4IiB0aW1lc3RhbXA9IjE1MzkwNDgzNDUiPjYx
MDwva2V5PjxrZXkgYXBwPSJFTldlYiIgZGItaWQ9IiI+MDwva2V5PjwvZm9yZWlnbi1rZXlzPjxy
ZWYtdHlwZSBuYW1lPSJKb3VybmFsIEFydGljbGUiPjE3PC9yZWYtdHlwZT48Y29udHJpYnV0b3Jz
PjxhdXRob3JzPjxhdXRob3I+T29zdGRhbSwgTi48L2F1dGhvcj48YXV0aG9yPnZhbiBQb3BwZWws
IE0uIE4uPC9hdXRob3I+PGF1dGhvcj5Xb3V0ZXJzLCBNLiBHLjwvYXV0aG9yPjxhdXRob3I+RWVr
aG9mZiwgRS4gTS48L2F1dGhvcj48YXV0aG9yPkJla2VkYW0sIEQuIEouPC9hdXRob3I+PGF1dGhv
cj5LdWNoZW5iZWNrZXIsIFcuIEsuPC9hdXRob3I+PGF1dGhvcj5RdWFydGVybywgSC4gVy48L2F1
dGhvcj48YXV0aG9yPkhlcmVzLCBNLiBILjwvYXV0aG9yPjxhdXRob3I+dmFuIE1lY2hlbGVuLCBX
LjwvYXV0aG9yPjwvYXV0aG9ycz48L2NvbnRyaWJ1dG9ycz48YXV0aC1hZGRyZXNzPkRlcGFydG1l
bnQgb2YgUHVibGljIGFuZCBPY2N1cGF0aW9uYWwgSGVhbHRoLCBFTUdPKyBJbnN0aXR1dGUgZm9y
IEhlYWx0aCBhbmQgQ2FyZSBSZXNlYXJjaCwgVlUgVW5pdmVyc2l0eSBNZWRpY2FsIENlbnRlciwg
QW1zdGVyZGFtLCBUaGUgTmV0aGVybGFuZHMuPC9hdXRoLWFkZHJlc3M+PHRpdGxlcz48dGl0bGU+
Tm8gZWZmZWN0IG9mIHRoZSBGaXRGb3IyIGV4ZXJjaXNlIHByb2dyYW1tZSBvbiBibG9vZCBnbHVj
b3NlLCBpbnN1bGluIHNlbnNpdGl2aXR5LCBhbmQgYmlydGh3ZWlnaHQgaW4gcHJlZ25hbnQgd29t
ZW4gd2hvIHdlcmUgb3ZlcndlaWdodCBhbmQgYXQgcmlzayBmb3IgZ2VzdGF0aW9uYWwgZGlhYmV0
ZXM6IHJlc3VsdHMgb2YgYSByYW5kb21pc2VkIGNvbnRyb2xsZWQgdHJpYWw8L3RpdGxlPjxzZWNv
bmRhcnktdGl0bGU+QkpPRzwvc2Vjb25kYXJ5LXRpdGxlPjwvdGl0bGVzPjxwZXJpb2RpY2FsPjxm
dWxsLXRpdGxlPkJKT0c8L2Z1bGwtdGl0bGU+PC9wZXJpb2RpY2FsPjxwYWdlcz4xMDk4LTEwNzwv
cGFnZXM+PHZvbHVtZT4xMTk8L3ZvbHVtZT48bnVtYmVyPjk8L251bWJlcj48ZWRpdGlvbj4yMDEy
LzA1LzI0PC9lZGl0aW9uPjxrZXl3b3Jkcz48a2V5d29yZD5BZHVsdDwva2V5d29yZD48a2V5d29y
ZD5CaXJ0aCBXZWlnaHQvKnBoeXNpb2xvZ3k8L2tleXdvcmQ+PGtleXdvcmQ+Qmxvb2QgR2x1Y29z
ZS8qbWV0YWJvbGlzbTwva2V5d29yZD48a2V5d29yZD5EaWFiZXRlcyBNZWxsaXR1cywgVHlwZSAy
L2dlbmV0aWNzPC9rZXl3b3JkPjxrZXl3b3JkPkRpYWJldGVzLCBHZXN0YXRpb25hbC9ibG9vZC9w
aHlzaW9wYXRob2xvZ3kvKnByZXZlbnRpb24gJmFtcDsgY29udHJvbDwva2V5d29yZD48a2V5d29y
ZD5FeGVyY2lzZSBUaGVyYXB5LyptZXRob2RzPC9rZXl3b3JkPjxrZXl3b3JkPkZhc3RpbmcvYmxv
b2Q8L2tleXdvcmQ+PGtleXdvcmQ+RmVtYWxlPC9rZXl3b3JkPjxrZXl3b3JkPkdlc3RhdGlvbmFs
IEFnZTwva2V5d29yZD48a2V5d29yZD5HbHljYXRlZCBIZW1vZ2xvYmluIEEvbWV0YWJvbGlzbTwv
a2V5d29yZD48a2V5d29yZD5IdW1hbnM8L2tleXdvcmQ+PGtleXdvcmQ+SW5zdWxpbiBSZXNpc3Rh
bmNlLypwaHlzaW9sb2d5PC9rZXl3b3JkPjxrZXl3b3JkPk92ZXJ3ZWlnaHQvYmxvb2QvcGh5c2lv
cGF0aG9sb2d5Lyp0aGVyYXB5PC9rZXl3b3JkPjxrZXl3b3JkPlBhdGllbnQgQ29tcGxpYW5jZTwv
a2V5d29yZD48a2V5d29yZD5QZWRpZ3JlZTwva2V5d29yZD48a2V5d29yZD5QcmVnbmFuY3k8L2tl
eXdvcmQ+PGtleXdvcmQ+UHJlZ25hbmN5IE91dGNvbWU8L2tleXdvcmQ+PGtleXdvcmQ+UHJlZ25h
bmN5IFRyaW1lc3RlciwgU2Vjb25kPC9rZXl3b3JkPjxrZXl3b3JkPlByZWduYW5jeSBUcmltZXN0
ZXIsIFRoaXJkPC9rZXl3b3JkPjwva2V5d29yZHM+PGRhdGVzPjx5ZWFyPjIwMTI8L3llYXI+PHB1
Yi1kYXRlcz48ZGF0ZT5BdWc8L2RhdGU+PC9wdWItZGF0ZXM+PC9kYXRlcz48aXNibj4xNDcxLTA1
MjggKEVsZWN0cm9uaWMpJiN4RDsxNDcwLTAzMjggKExpbmtpbmcpPC9pc2JuPjxhY2Nlc3Npb24t
bnVtPjIyNjE2OTEzPC9hY2Nlc3Npb24tbnVtPjx1cmxzPjxyZWxhdGVkLXVybHM+PHVybD5odHRw
czovL3d3dy5uY2JpLm5sbS5uaWguZ292L3B1Ym1lZC8yMjYxNjkxMzwvdXJsPjwvcmVsYXRlZC11
cmxzPjwvdXJscz48ZWxlY3Ryb25pYy1yZXNvdXJjZS1udW0+MTAuMTExMS9qLjE0NzEtMDUyOC4y
MDEyLjAzMzY2Lng8L2VsZWN0cm9uaWMtcmVzb3VyY2UtbnVtPjwvcmVjb3JkPjwvQ2l0ZT48Q2l0
ZT48QXV0aG9yPlBlcmFsZXM8L0F1dGhvcj48WWVhcj4yMDE1PC9ZZWFyPjxSZWNOdW0+MTA3MTwv
UmVjTnVtPjxyZWNvcmQ+PHJlYy1udW1iZXI+MTA3MTwvcmVjLW51bWJlcj48Zm9yZWlnbi1rZXlz
PjxrZXkgYXBwPSJFTiIgZGItaWQ9ImV4dmFzcmZ4MmR0cmFvZXNhc3hwMnN6c3hhMmRmNTAyNTky
eCIgdGltZXN0YW1wPSIxNTQ4OTkxMzczIj4xMDcxPC9rZXk+PC9mb3JlaWduLWtleXM+PHJlZi10
eXBlIG5hbWU9IkpvdXJuYWwgQXJ0aWNsZSI+MTc8L3JlZi10eXBlPjxjb250cmlidXRvcnM+PGF1
dGhvcnM+PGF1dGhvcj5QZXJhbGVzLCBNLiw8L2F1dGhvcj48YXV0aG9yPkNvcmRlcm8sIFkuLDwv
YXV0aG9yPjxhdXRob3I+VmFyZ2FzLCBNLiw8L2F1dGhvcj48YXV0aG9yPkx1Y2lhLCBBLiw8L2F1
dGhvcj48YXV0aG9yPkJhcmFrYXQsIFIuLDwvYXV0aG9yPjwvYXV0aG9ycz48L2NvbnRyaWJ1dG9y
cz48dGl0bGVzPjx0aXRsZT5FeGVyY2lzZSBhbmQgZGVwcmVzc2lvbiBpbiBvdmVyd2VpZ2h0IGFu
ZCBvYmVzZSBwcmVnbmFudCB3b21lbjogQSByYW5kb21pc2VkIGNvbnRyb2xsZWQgdHJpYWw8L3Rp
dGxlPjxzZWNvbmRhcnktdGl0bGU+QXJjaCBNZWQgRGVwb3J0ZTwvc2Vjb25kYXJ5LXRpdGxlPjwv
dGl0bGVzPjxwZXJpb2RpY2FsPjxmdWxsLXRpdGxlPkFyY2ggTWVkIERlcG9ydGU8L2Z1bGwtdGl0
bGU+PC9wZXJpb2RpY2FsPjxwYWdlcz4xNTYtMTYzPC9wYWdlcz48dm9sdW1lPjMyPC92b2x1bWU+
PGRhdGVzPjx5ZWFyPjIwMTU8L3llYXI+PC9kYXRlcz48dXJscz48L3VybHM+PC9yZWNvcmQ+PC9D
aXRlPjxDaXRlPjxBdXRob3I+UGVyYWxlczwvQXV0aG9yPjxZZWFyPjIwMTU8L1llYXI+PFJlY051
bT43MDQ8L1JlY051bT48cmVjb3JkPjxyZWMtbnVtYmVyPjcwNDwvcmVjLW51bWJlcj48Zm9yZWln
bi1rZXlzPjxrZXkgYXBwPSJFTiIgZGItaWQ9ImV4dmFzcmZ4MmR0cmFvZXNhc3hwMnN6c3hhMmRm
NTAyNTkyeCIgdGltZXN0YW1wPSIxNTQwNTMwNTY0Ij43MDQ8L2tleT48L2ZvcmVpZ24ta2V5cz48
cmVmLXR5cGUgbmFtZT0iSm91cm5hbCBBcnRpY2xlIj4xNzwvcmVmLXR5cGU+PGNvbnRyaWJ1dG9y
cz48YXV0aG9ycz48YXV0aG9yPlBlcmFsZXMsIE0uPC9hdXRob3I+PGF1dGhvcj5SZWZveW8sIEku
PC9hdXRob3I+PGF1dGhvcj5Db3Rlcm9uLCBKLjwvYXV0aG9yPjxhdXRob3I+QmFjY2hpLCBNLjwv
YXV0aG9yPjxhdXRob3I+QmFyYWthdCwgUi48L2F1dGhvcj48L2F1dGhvcnM+PC9jb250cmlidXRv
cnM+PGF1dGgtYWRkcmVzcz5EZXBhcnRtZW50IG9mIFNvY2lhbCBTY2llbmNlcywgUGh5c2ljYWwg
QWN0aXZpdHkgYW5kIFNwb3J0IFNjaWVuY2VzIEZhY3VsdHktSU5FRiwgVGVjaG5pY2FsIFVuaXZl
cnNpdHkgb2YgTWFkcmlkLCBNYWRyaWQsIFNwYWluLiYjeEQ7RmFjdWx0eSBvZiBQaHlzaWNhbCBB
Y3Rpdml0eSBhbmQgU3BvcnRzLCBVbml2ZXJzaXR5IG9mIEZsb3JlcywgQnVlbm9zIEFpcmVzLCBB
cmdlbnRpbmEuJiN4RDtEZXBhcnRtZW50IG9mIFNvY2lhbCBTY2llbmNlcywgUGh5c2ljYWwgQWN0
aXZpdHkgYW5kIFNwb3J0IFNjaWVuY2VzIEZhY3VsdHktSU5FRiwgVGVjaG5pY2FsIFVuaXZlcnNp
dHkgb2YgTWFkcmlkLCBNYWRyaWQsIFNwYWluIGJhcmFrYXRydWJlbkBnbWFpbC5jb20uPC9hdXRo
LWFkZHJlc3M+PHRpdGxlcz48dGl0bGU+RXhlcmNpc2UgZHVyaW5nIHByZWduYW5jeSBhdHRlbnVh
dGVzIHByZW5hdGFsIGRlcHJlc3Npb246IGEgcmFuZG9taXplZCBjb250cm9sbGVkIHRyaWFsPC90
aXRsZT48c2Vjb25kYXJ5LXRpdGxlPkV2YWwgSGVhbHRoIFByb2Y8L3NlY29uZGFyeS10aXRsZT48
L3RpdGxlcz48cGVyaW9kaWNhbD48ZnVsbC10aXRsZT5FdmFsIEhlYWx0aCBQcm9mPC9mdWxsLXRp
dGxlPjwvcGVyaW9kaWNhbD48cGFnZXM+NTktNzI8L3BhZ2VzPjx2b2x1bWU+Mzg8L3ZvbHVtZT48
bnVtYmVyPjE8L251bWJlcj48ZWRpdGlvbj4yMDE0LzA1LzMwPC9lZGl0aW9uPjxrZXl3b3Jkcz48
a2V5d29yZD5BZHVsdDwva2V5d29yZD48a2V5d29yZD5BcGdhciBTY29yZTwva2V5d29yZD48a2V5
d29yZD5Cb2R5IE1hc3MgSW5kZXg8L2tleXdvcmQ+PGtleXdvcmQ+RGVwcmVzc2lvbi8qdGhlcmFw
eTwva2V5d29yZD48a2V5d29yZD5FeGVyY2lzZSBUaGVyYXB5LyptZXRob2RzPC9rZXl3b3JkPjxr
ZXl3b3JkPkZlbWFsZTwva2V5d29yZD48a2V5d29yZD5IdW1hbnM8L2tleXdvcmQ+PGtleXdvcmQ+
UHJlZ25hbmN5PC9rZXl3b3JkPjxrZXl3b3JkPlByZWduYW5jeSBDb21wbGljYXRpb25zLyp0aGVy
YXB5PC9rZXl3b3JkPjxrZXl3b3JkPlByZWduYW5jeSBPdXRjb21lPC9rZXl3b3JkPjxrZXl3b3Jk
PlNwYWluPC9rZXl3b3JkPjxrZXl3b3JkPldlaWdodCBHYWluPC9rZXl3b3JkPjxrZXl3b3JkPmRl
cHJlc3Npb248L2tleXdvcmQ+PGtleXdvcmQ+ZXhlcmNpc2U8L2tleXdvcmQ+PGtleXdvcmQ+cHJl
bmF0YWw8L2tleXdvcmQ+PGtleXdvcmQ+d2VsbC1iZWluZzwva2V5d29yZD48L2tleXdvcmRzPjxk
YXRlcz48eWVhcj4yMDE1PC95ZWFyPjxwdWItZGF0ZXM+PGRhdGU+TWFyPC9kYXRlPjwvcHViLWRh
dGVzPjwvZGF0ZXM+PGlzYm4+MTU1Mi0zOTE4IChFbGVjdHJvbmljKSYjeEQ7MDE2My0yNzg3IChM
aW5raW5nKTwvaXNibj48YWNjZXNzaW9uLW51bT4yNDg3MjQ0MjwvYWNjZXNzaW9uLW51bT48dXJs
cz48cmVsYXRlZC11cmxzPjx1cmw+aHR0cHM6Ly93d3cubmNiaS5ubG0ubmloLmdvdi9wdWJtZWQv
MjQ4NzI0NDI8L3VybD48L3JlbGF0ZWQtdXJscz48L3VybHM+PGVsZWN0cm9uaWMtcmVzb3VyY2Ut
bnVtPjEwLjExNzcvMDE2MzI3ODcxNDUzMzU2NjwvZWxlY3Ryb25pYy1yZXNvdXJjZS1udW0+PC9y
ZWNvcmQ+PC9DaXRlPjxDaXRlPjxBdXRob3I+UGVyYWxlczwvQXV0aG9yPjxZZWFyPjIwMTY8L1ll
YXI+PFJlY051bT45MjQ8L1JlY051bT48cmVjb3JkPjxyZWMtbnVtYmVyPjkyNDwvcmVjLW51bWJl
cj48Zm9yZWlnbi1rZXlzPjxrZXkgYXBwPSJFTiIgZGItaWQ9ImV4dmFzcmZ4MmR0cmFvZXNhc3hw
MnN6c3hhMmRmNTAyNTkyeCIgdGltZXN0YW1wPSIxNTQxNTQwOTI1Ij45MjQ8L2tleT48a2V5IGFw
cD0iRU5XZWIiIGRiLWlkPSIiPjA8L2tleT48L2ZvcmVpZ24ta2V5cz48cmVmLXR5cGUgbmFtZT0i
Sm91cm5hbCBBcnRpY2xlIj4xNzwvcmVmLXR5cGU+PGNvbnRyaWJ1dG9ycz48YXV0aG9ycz48YXV0
aG9yPlBlcmFsZXMsIE1hcmlhPC9hdXRob3I+PGF1dGhvcj5DYWxhYnJpYSwgSXJlbmU8L2F1dGhv
cj48YXV0aG9yPkxvcGV6LCBDYXJtaW5hPC9hdXRob3I+PGF1dGhvcj5GcmFuY28sIEV2ZWxpYTwv
YXV0aG9yPjxhdXRob3I+Q290ZXJvbiwgSmF2aWVyPC9hdXRob3I+PGF1dGhvcj5CYXJha2F0LCBS
dWJlbjwvYXV0aG9yPjwvYXV0aG9ycz48L2NvbnRyaWJ1dG9ycz48dGl0bGVzPjx0aXRsZT5SZWd1
bGFyIEV4ZXJjaXNlIFRocm91Z2hvdXQgUHJlZ25hbmN5IGlzIEFzc29jaWF0ZWQgd2l0aCBhIFNo
b3J0ZXIgRmlyc3QgU3RhZ2Ugb2YgTGFib3I8L3RpdGxlPjxzZWNvbmRhcnktdGl0bGU+QW1lcmlj
YW4gSm91cm5hbCBvZiBIZWFsdGggUHJvbW90aW9uPC9zZWNvbmRhcnktdGl0bGU+PC90aXRsZXM+
PHBlcmlvZGljYWw+PGZ1bGwtdGl0bGU+QW1lcmljYW4gSm91cm5hbCBvZiBIZWFsdGggUHJvbW90
aW9uPC9mdWxsLXRpdGxlPjwvcGVyaW9kaWNhbD48cGFnZXM+MTQ5LTE1NzwvcGFnZXM+PHZvbHVt
ZT4zMDwvdm9sdW1lPjxudW1iZXI+MzwvbnVtYmVyPjxzZWN0aW9uPjE0OTwvc2VjdGlvbj48ZGF0
ZXM+PHllYXI+MjAxNjwveWVhcj48L2RhdGVzPjxpc2JuPjA4OTAtMTE3MSYjeEQ7MjE2OC02NjAy
PC9pc2JuPjx1cmxzPjwvdXJscz48ZWxlY3Ryb25pYy1yZXNvdXJjZS1udW0+MTAuNDI3OC9hamhw
LjE0MDIyMS1RVUFOLTc5PC9lbGVjdHJvbmljLXJlc291cmNlLW51bT48L3JlY29yZD48L0NpdGU+
PENpdGU+PEF1dGhvcj5QZXJhbGVzPC9BdXRob3I+PFllYXI+MjAxNjwvWWVhcj48UmVjTnVtPjEw
NjY8L1JlY051bT48cmVjb3JkPjxyZWMtbnVtYmVyPjEwNjY8L3JlYy1udW1iZXI+PGZvcmVpZ24t
a2V5cz48a2V5IGFwcD0iRU4iIGRiLWlkPSJleHZhc3JmeDJkdHJhb2VzYXN4cDJzenN4YTJkZjUw
MjU5MngiIHRpbWVzdGFtcD0iMTU0ODk5MDI5NiI+MTA2Njwva2V5PjwvZm9yZWlnbi1rZXlzPjxy
ZWYtdHlwZSBuYW1lPSJKb3VybmFsIEFydGljbGUiPjE3PC9yZWYtdHlwZT48Y29udHJpYnV0b3Jz
PjxhdXRob3JzPjxhdXRob3I+UGVyYWxlcywgTS48L2F1dGhvcj48YXV0aG9yPlNhbnRvcy1Mb3ph
bm8sIEEuPC9hdXRob3I+PGF1dGhvcj5TYW5jaGlzLUdvbWFyLCBGLjwvYXV0aG9yPjxhdXRob3I+
THVhY2VzLCBNLjwvYXV0aG9yPjxhdXRob3I+UGFyZWphLUdhbGVhbm8sIEguPC9hdXRob3I+PGF1
dGhvcj5HYXJhdGFjaGVhLCBOLjwvYXV0aG9yPjxhdXRob3I+QmFyYWthdCwgUi48L2F1dGhvcj48
YXV0aG9yPkx1Y2lhLCBBLjwvYXV0aG9yPjwvYXV0aG9ycz48L2NvbnRyaWJ1dG9ycz48YXV0aC1h
ZGRyZXNzPjFSZXNlYXJjaCBJbnN0aXR1dGUgSG9zcGl0YWwgMTIgZGUgT2N0dWJyZSAoJmFwb3M7
aSsxMiZhcG9zOyksIE1hZHJpZCwgU1BBSU47IDJBRklQRSBSZXNlYXJjaCBHcm91cCwgRmFjdWx0
eSBvZiBQaHlzaWNhbCBBY3Rpdml0eSBhbmQgU3BvcnRzIFNjaWVuY2VzIElORUYsIFRlY2huaWNh
bCBVbml2ZXJzaXR5IG9mIE1hZHJpZCwgU1BBSU47IDNHSURGWVMsIERlcGFydG1lbnQgb2YgSGVh
bHRoIFNjaWVuY2VzLCBFdXJvcGVhbiBVbml2ZXJzaXR5IE1pZ3VlbCBkZSBDZXJ2YW50ZXMsIFZh
bGxhZG9saWQsIFNQQUlOOyA0RGVwYXJ0bWVudCBvZiBDYXJkaW9sb2d5LCBDYXJkaW92YXNjdWxh
ciBJbnN0aXR1dGUsIEhvc3BpdGFsIENsaW5pY28gU2FuIENhcmxvcywgTWFkcmlkLCBTUEFJTjsg
NVNjaG9vbCBvZiBEb2N0b3JhdGUgU3R1ZGllcyBhbmQgUmVzZWFyY2gsIEV1cm9wZWFuIFVuaXZl
cnNpdHksIE1hZHJpZCwgU1BBSU47IGFuZCA2RGVwYXJ0YW1lbnRvIGRlIEZpc2lhdHJpYSB5IEVu
ZmVybWVyaWEuIEZhY3VsdGFkIGRlIENpZW5jaWFzIGRlIGxhIFNhbHVkIHkgZGVsIERlcG9ydGUu
IEluc3RpdHV0byBBZ3JvYWxpbWVudGFyaW8gZGUgQXJhZ29uLUlBMiwgVW5pdmVyc2lkYWQgZGUg
WmFyYWdvemEtQ0lUQSwgWmFyYWdvemEsIFNQQUlOLjwvYXV0aC1hZGRyZXNzPjx0aXRsZXM+PHRp
dGxlPk1hdGVybmFsIENhcmRpYWMgQWRhcHRhdGlvbnMgdG8gYSBQaHlzaWNhbCBFeGVyY2lzZSBQ
cm9ncmFtIGR1cmluZyBQcmVnbmFuY3k8L3RpdGxlPjxzZWNvbmRhcnktdGl0bGU+TWVkIFNjaSBT
cG9ydHMgRXhlcmM8L3NlY29uZGFyeS10aXRsZT48L3RpdGxlcz48cGVyaW9kaWNhbD48ZnVsbC10
aXRsZT5NZWQgU2NpIFNwb3J0cyBFeGVyYzwvZnVsbC10aXRsZT48L3BlcmlvZGljYWw+PHBhZ2Vz
Pjg5Ni05MDY8L3BhZ2VzPjx2b2x1bWU+NDg8L3ZvbHVtZT48bnVtYmVyPjU8L251bWJlcj48ZWRp
dGlvbj4yMDE1LzEyLzI0PC9lZGl0aW9uPjxrZXl3b3Jkcz48a2V5d29yZD5BZHVsdDwva2V5d29y
ZD48a2V5d29yZD5BdHJpYWwgUmVtb2RlbGluZzwva2V5d29yZD48a2V5d29yZD5DYXJkaW92YXNj
dWxhciBEaXNlYXNlcy9wcmV2ZW50aW9uICZhbXA7IGNvbnRyb2w8L2tleXdvcmQ+PGtleXdvcmQ+
KkNhcmRpb3Zhc2N1bGFyIFBoeXNpb2xvZ2ljYWwgUGhlbm9tZW5hPC9rZXl3b3JkPjxrZXl3b3Jk
PkRlcHJlc3Npb24vcHJldmVudGlvbiAmYW1wOyBjb250cm9sPC9rZXl3b3JkPjxrZXl3b3JkPkVj
aG9jYXJkaW9ncmFwaHk8L2tleXdvcmQ+PGtleXdvcmQ+KkV4ZXJjaXNlPC9rZXl3b3JkPjxrZXl3
b3JkPkZlbWFsZTwva2V5d29yZD48a2V5d29yZD5IZW1vZHluYW1pY3M8L2tleXdvcmQ+PGtleXdv
cmQ+SHVtYW5zPC9rZXl3b3JkPjxrZXl3b3JkPlByZWduYW5jeS8qcGh5c2lvbG9neTwva2V5d29y
ZD48a2V5d29yZD5QcmVnbmFuY3kgT3V0Y29tZTwva2V5d29yZD48a2V5d29yZD5SaXNrIEZhY3Rv
cnM8L2tleXdvcmQ+PGtleXdvcmQ+VmVudHJpY3VsYXIgRnVuY3Rpb24sIExlZnQ8L2tleXdvcmQ+
PGtleXdvcmQ+VmVudHJpY3VsYXIgUmVtb2RlbGluZzwva2V5d29yZD48a2V5d29yZD5XZWlnaHQg
R2Fpbjwva2V5d29yZD48L2tleXdvcmRzPjxkYXRlcz48eWVhcj4yMDE2PC95ZWFyPjxwdWItZGF0
ZXM+PGRhdGU+TWF5PC9kYXRlPjwvcHViLWRhdGVzPjwvZGF0ZXM+PGlzYm4+MTUzMC0wMzE1IChF
bGVjdHJvbmljKSYjeEQ7MDE5NS05MTMxIChMaW5raW5nKTwvaXNibj48YWNjZXNzaW9uLW51bT4y
NjY5NDg0ODwvYWNjZXNzaW9uLW51bT48dXJscz48cmVsYXRlZC11cmxzPjx1cmw+aHR0cHM6Ly93
d3cubmNiaS5ubG0ubmloLmdvdi9wdWJtZWQvMjY2OTQ4NDg8L3VybD48L3JlbGF0ZWQtdXJscz48
L3VybHM+PGVsZWN0cm9uaWMtcmVzb3VyY2UtbnVtPjEwLjEyNDkvTVNTLjAwMDAwMDAwMDAwMDA4
Mzc8L2VsZWN0cm9uaWMtcmVzb3VyY2UtbnVtPjwvcmVjb3JkPjwvQ2l0ZT48Q2l0ZT48QXV0aG9y
PlBpbnpvbjwvQXV0aG9yPjxZZWFyPjIwMTI8L1llYXI+PFJlY051bT4xMDQ3PC9SZWNOdW0+PHJl
Y29yZD48cmVjLW51bWJlcj4xMDQ3PC9yZWMtbnVtYmVyPjxmb3JlaWduLWtleXM+PGtleSBhcHA9
IkVOIiBkYi1pZD0iZXh2YXNyZngyZHRyYW9lc2FzeHAyc3pzeGEyZGY1MDI1OTJ4IiB0aW1lc3Rh
bXA9IjE1NDg5ODM0NzYiPjEwNDc8L2tleT48L2ZvcmVpZ24ta2V5cz48cmVmLXR5cGUgbmFtZT0i
Sm91cm5hbCBBcnRpY2xlIj4xNzwvcmVmLXR5cGU+PGNvbnRyaWJ1dG9ycz48YXV0aG9ycz48YXV0
aG9yPlBpbnpvbiwgRC4gQy48L2F1dGhvcj48YXV0aG9yPlphbW9yYSwgSy48L2F1dGhvcj48YXV0
aG9yPk1hcnRpbmV6LCBKLiBILjwvYXV0aG9yPjxhdXRob3I+RmxvcmV6LUxvcGV6LCBNLiBFLjwv
YXV0aG9yPjxhdXRob3I+ZGUgUGxhdGEsIEEuIEMuPC9hdXRob3I+PGF1dGhvcj5Nb3NxdWVyYSwg
TS48L2F1dGhvcj48YXV0aG9yPlJhbWlyZXotVmVsZXosIFIuPC9hdXRob3I+PC9hdXRob3JzPjwv
Y29udHJpYnV0b3JzPjxhdXRoLWFkZHJlc3M+UHJvZ3JhbWEgZGUgRmlzaW90ZXJhcGlhLCBGdW5k
YWNpb24gVW5pdmVyc2l0YXJpYSBNYXJpYSBDYW5vLCBDYWxpLCBDb2xvbWJpYS4mI3hEO0ZhY3Vs
dGFkIGRlIEVuZmVybWVyaWEgeSBSZWhhYmlsaXRhY2lvbiwgVW5pdmVyc2lkYWQgZGUgbGEgU2Fi
YW5hLCBDaGlhLCBDb2xvbWJpYS4mI3hEO0dydXBvIGRlIE51dHJpY2lvbiwgRGVwYXJ0YW1lbnRv
IGRlIENpZW5jaWFzIEZpc2lvbG9naWNhcywgRXNjdWVsYSBkZSBDaWVuY2lhcyBCYXNpY2FzLCBV
bml2ZXJzaWRhZCBkZWwgVmFsbGUsIENhbGksIENvbG9tYmlhLiYjeEQ7R3J1cG8gR0lDQUVEUywg
RmFjdWx0YWQgZGUgQ3VsdHVyYSBGaXNpY2EsIERlcG9ydGUgeSBSZWNyZWFjaW9uLCBVbml2ZXJz
aWRhZCBTYW50b28gVG9tYXMuPC9hdXRoLWFkZHJlc3M+PHRpdGxlcz48dGl0bGU+VHlwZSBvZiBk
ZWxpdmVyeSBhbmQgZ2VzdGF0aW9uYWwgYWdlIGlzIG5vdCBhZmZlY3RlZCBieSBwcmVnbmFudCBM
YXRpbi1BbWVyaWNhbiB3b21lbiBlbmdhZ2luZyBpbiB2aWdvcm91cyBleGVyY2lzZTogYSBzZWNv
bmRhcnkgYW5hbHlzaXMgb2YgZGF0YSBmcm9tIGEgY29udHJvbGxlZCByYW5kb21pemVkIHRyaWFs
PC90aXRsZT48c2Vjb25kYXJ5LXRpdGxlPlJldiBTYWx1ZCBQdWJsaWNhIChCb2dvdGEpPC9zZWNv
bmRhcnktdGl0bGU+PC90aXRsZXM+PHBlcmlvZGljYWw+PGZ1bGwtdGl0bGU+UmV2IFNhbHVkIFB1
YmxpY2EgKEJvZ290YSk8L2Z1bGwtdGl0bGU+PC9wZXJpb2RpY2FsPjxwYWdlcz43MzEtNDM8L3Bh
Z2VzPjx2b2x1bWU+MTQ8L3ZvbHVtZT48bnVtYmVyPjU8L251bWJlcj48ZWRpdGlvbj4yMDEyLzEw
LzAxPC9lZGl0aW9uPjxrZXl3b3Jkcz48a2V5d29yZD5BZHVsdDwva2V5d29yZD48a2V5d29yZD5B
bnRocm9wb21ldHJ5PC9rZXl3b3JkPjxrZXl3b3JkPkFwZ2FyIFNjb3JlPC9rZXl3b3JkPjxrZXl3
b3JkPkJpcnRoIFdlaWdodDwva2V5d29yZD48a2V5d29yZD5CbG9vZCBQcmVzc3VyZTwva2V5d29y
ZD48a2V5d29yZD5Cb2R5IFdlaWdodDwva2V5d29yZD48a2V5d29yZD5Db2xvbWJpYTwva2V5d29y
ZD48a2V5d29yZD5EZWxpdmVyeSwgT2JzdGV0cmljLypzdGF0aXN0aWNzICZhbXA7IG51bWVyaWNh
bCBkYXRhPC9rZXl3b3JkPjxrZXl3b3JkPipFeGVyY2lzZTwva2V5d29yZD48a2V5d29yZD5GZW1h
bGU8L2tleXdvcmQ+PGtleXdvcmQ+Kkdlc3RhdGlvbmFsIEFnZTwva2V5d29yZD48a2V5d29yZD5I
b3NwaXRhbHMsIE1hdGVybml0eTwva2V5d29yZD48a2V5d29yZD5IdW1hbnM8L2tleXdvcmQ+PGtl
eXdvcmQ+SW5mYW50LCBOZXdib3JuPC9rZXl3b3JkPjxrZXl3b3JkPlByZWduYW5jeS8qcGh5c2lv
bG9neTwva2V5d29yZD48a2V5d29yZD5QcmVnbmFuY3kgT3V0Y29tZTwva2V5d29yZD48a2V5d29y
ZD5QcmVuYXRhbCBDYXJlPC9rZXl3b3JkPjxrZXl3b3JkPlJhbmRvbWl6ZWQgQ29udHJvbGxlZCBU
cmlhbHMgYXMgVG9waWM8L2tleXdvcmQ+PGtleXdvcmQ+U29jaW9lY29ub21pYyBGYWN0b3JzPC9r
ZXl3b3JkPjxrZXl3b3JkPlRlcnRpYXJ5IENhcmUgQ2VudGVyczwva2V5d29yZD48a2V5d29yZD5X
ZWlnaHQgR2Fpbjwva2V5d29yZD48a2V5d29yZD5Zb3VuZyBBZHVsdDwva2V5d29yZD48L2tleXdv
cmRzPjxkYXRlcz48eWVhcj4yMDEyPC95ZWFyPjxwdWItZGF0ZXM+PGRhdGU+T2N0PC9kYXRlPjwv
cHViLWRhdGVzPjwvZGF0ZXM+PGlzYm4+MDEyNC0wMDY0IChQcmludCkmI3hEOzAxMjQtMDA2NCAo
TGlua2luZyk8L2lzYm4+PGFjY2Vzc2lvbi1udW0+MjQ2NTIzNTM8L2FjY2Vzc2lvbi1udW0+PHVy
bHM+PHJlbGF0ZWQtdXJscz48dXJsPmh0dHBzOi8vd3d3Lm5jYmkubmxtLm5paC5nb3YvcHVibWVk
LzI0NjUyMzUzPC91cmw+PC9yZWxhdGVkLXVybHM+PC91cmxzPjwvcmVjb3JkPjwvQ2l0ZT48Q2l0
ZT48QXV0aG9yPlByaWNlPC9BdXRob3I+PFllYXI+MjAxMjwvWWVhcj48UmVjTnVtPjcwNzwvUmVj
TnVtPjxyZWNvcmQ+PHJlYy1udW1iZXI+NzA3PC9yZWMtbnVtYmVyPjxmb3JlaWduLWtleXM+PGtl
eSBhcHA9IkVOIiBkYi1pZD0iZXh2YXNyZngyZHRyYW9lc2FzeHAyc3pzeGEyZGY1MDI1OTJ4IiB0
aW1lc3RhbXA9IjE1NDA1MzIyMjIiPjcwNzwva2V5PjwvZm9yZWlnbi1rZXlzPjxyZWYtdHlwZSBu
YW1lPSJKb3VybmFsIEFydGljbGUiPjE3PC9yZWYtdHlwZT48Y29udHJpYnV0b3JzPjxhdXRob3Jz
PjxhdXRob3I+UHJpY2UsIEIuIEIuPC9hdXRob3I+PGF1dGhvcj5BbWluaSwgUy4gQi48L2F1dGhv
cj48YXV0aG9yPkthcHBlbGVyLCBLLjwvYXV0aG9yPjwvYXV0aG9ycz48L2NvbnRyaWJ1dG9ycz48
YXV0aC1hZGRyZXNzPlByb2Zlc3Npb25hbCBBc3NvY2lhdGlvbiwgQXVzdGluLCBUWCwgVVNBLiBi
ZWVwcmljZUBncmFuZGVjb20ubmV0PC9hdXRoLWFkZHJlc3M+PHRpdGxlcz48dGl0bGU+RXhlcmNp
c2UgaW4gcHJlZ25hbmN5OiBlZmZlY3Qgb24gZml0bmVzcyBhbmQgb2JzdGV0cmljIG91dGNvbWVz
LWEgcmFuZG9taXplZCB0cmlhbDwvdGl0bGU+PHNlY29uZGFyeS10aXRsZT5NZWQgU2NpIFNwb3J0
cyBFeGVyYzwvc2Vjb25kYXJ5LXRpdGxlPjwvdGl0bGVzPjxwZXJpb2RpY2FsPjxmdWxsLXRpdGxl
Pk1lZCBTY2kgU3BvcnRzIEV4ZXJjPC9mdWxsLXRpdGxlPjwvcGVyaW9kaWNhbD48cGFnZXM+MjI2
My05PC9wYWdlcz48dm9sdW1lPjQ0PC92b2x1bWU+PG51bWJlcj4xMjwvbnVtYmVyPjxlZGl0aW9u
PjIwMTIvMDcvMzE8L2VkaXRpb24+PGtleXdvcmRzPjxrZXl3b3JkPkFkb2xlc2NlbnQ8L2tleXdv
cmQ+PGtleXdvcmQ+QWR1bHQ8L2tleXdvcmQ+PGtleXdvcmQ+RXhlcmNpc2UvKnBoeXNpb2xvZ3k8
L2tleXdvcmQ+PGtleXdvcmQ+RmVtYWxlPC9rZXl3b3JkPjxrZXl3b3JkPkdlc3RhdGlvbmFsIEFn
ZTwva2V5d29yZD48a2V5d29yZD5IdW1hbnM8L2tleXdvcmQ+PGtleXdvcmQ+TXVzY2xlIFN0cmVu
Z3RoL3BoeXNpb2xvZ3k8L2tleXdvcmQ+PGtleXdvcmQ+T3V0Y29tZSBBc3Nlc3NtZW50IChIZWFs
dGggQ2FyZSk8L2tleXdvcmQ+PGtleXdvcmQ+UGh5c2ljYWwgRml0bmVzcy8qcGh5c2lvbG9neTwv
a2V5d29yZD48a2V5d29yZD5QcmVnbmFuY3k8L2tleXdvcmQ+PGtleXdvcmQ+KlByZWduYW5jeSBP
dXRjb21lPC9rZXl3b3JkPjxrZXl3b3JkPlByb3NwZWN0aXZlIFN0dWRpZXM8L2tleXdvcmQ+PGtl
eXdvcmQ+VGV4YXM8L2tleXdvcmQ+PGtleXdvcmQ+WW91bmcgQWR1bHQ8L2tleXdvcmQ+PC9rZXl3
b3Jkcz48ZGF0ZXM+PHllYXI+MjAxMjwveWVhcj48cHViLWRhdGVzPjxkYXRlPkRlYzwvZGF0ZT48
L3B1Yi1kYXRlcz48L2RhdGVzPjxpc2JuPjE1MzAtMDMxNSAoRWxlY3Ryb25pYykmI3hEOzAxOTUt
OTEzMSAoTGlua2luZyk8L2lzYm4+PGFjY2Vzc2lvbi1udW0+MjI4NDMxMTQ8L2FjY2Vzc2lvbi1u
dW0+PHVybHM+PHJlbGF0ZWQtdXJscz48dXJsPmh0dHBzOi8vd3d3Lm5jYmkubmxtLm5paC5nb3Yv
cHVibWVkLzIyODQzMTE0PC91cmw+PC9yZWxhdGVkLXVybHM+PC91cmxzPjxlbGVjdHJvbmljLXJl
c291cmNlLW51bT4xMC4xMjQ5L01TUy4wYjAxM2UzMTgyNjdhZDY3PC9lbGVjdHJvbmljLXJlc291
cmNlLW51bT48L3JlY29yZD48L0NpdGU+PENpdGU+PEF1dGhvcj5SdWl6PC9BdXRob3I+PFllYXI+
MjAxMzwvWWVhcj48UmVjTnVtPjY3MzwvUmVjTnVtPjxyZWNvcmQ+PHJlYy1udW1iZXI+NjczPC9y
ZWMtbnVtYmVyPjxmb3JlaWduLWtleXM+PGtleSBhcHA9IkVOIiBkYi1pZD0iZXh2YXNyZngyZHRy
YW9lc2FzeHAyc3pzeGEyZGY1MDI1OTJ4IiB0aW1lc3RhbXA9IjE1NDA1MjY3NDkiPjY3Mzwva2V5
PjwvZm9yZWlnbi1rZXlzPjxyZWYtdHlwZSBuYW1lPSJKb3VybmFsIEFydGljbGUiPjE3PC9yZWYt
dHlwZT48Y29udHJpYnV0b3JzPjxhdXRob3JzPjxhdXRob3I+UnVpeiwgSi4gUi48L2F1dGhvcj48
YXV0aG9yPlBlcmFsZXMsIE0uPC9hdXRob3I+PGF1dGhvcj5QZWxhZXosIE0uPC9hdXRob3I+PGF1
dGhvcj5Mb3BleiwgQy48L2F1dGhvcj48YXV0aG9yPkx1Y2lhLCBBLjwvYXV0aG9yPjxhdXRob3I+
QmFyYWthdCwgUi48L2F1dGhvcj48L2F1dGhvcnM+PC9jb250cmlidXRvcnM+PGF1dGgtYWRkcmVz
cz5Qcm9tb3RpbmcgRml0bmVzcyBhbmQgSGVhbHRoIFRocm91Z2ggUGh5c2ljYWwgQWN0aXZpdHkg
UmVzZWFyY2ggR3JvdXAsIERlcGFydG1lbnQgb2YgUGh5c2ljYWwgRWR1Y2F0aW9uIGFuZCBTcG9y
dHMsIFNjaG9vbCBvZiBTcG9ydCBTY2llbmNlcywgVW5pdmVyc2l0eSBvZiBHcmFuYWRhLCBHcmFu
YWRhLCBTcGFpbi4gRWxlY3Ryb25pYyBhZGRyZXNzOiBydWl6akB1Z3IuZXMuPC9hdXRoLWFkZHJl
c3M+PHRpdGxlcz48dGl0bGU+U3VwZXJ2aXNlZCBleGVyY2lzZS1iYXNlZCBpbnRlcnZlbnRpb24g
dG8gcHJldmVudCBleGNlc3NpdmUgZ2VzdGF0aW9uYWwgd2VpZ2h0IGdhaW46IGEgcmFuZG9taXpl
ZCBjb250cm9sbGVkIHRyaWFsPC90aXRsZT48c2Vjb25kYXJ5LXRpdGxlPk1heW8gQ2xpbiBQcm9j
PC9zZWNvbmRhcnktdGl0bGU+PC90aXRsZXM+PHBlcmlvZGljYWw+PGZ1bGwtdGl0bGU+TWF5byBD
bGluIFByb2M8L2Z1bGwtdGl0bGU+PC9wZXJpb2RpY2FsPjxwYWdlcz4xMzg4LTk3PC9wYWdlcz48
dm9sdW1lPjg4PC92b2x1bWU+PG51bWJlcj4xMjwvbnVtYmVyPjxlZGl0aW9uPjIwMTMvMTIvMDM8
L2VkaXRpb24+PGtleXdvcmRzPjxrZXl3b3JkPkFkdWx0PC9rZXl3b3JkPjxrZXl3b3JkPkJvZHkg
TWFzcyBJbmRleDwva2V5d29yZD48a2V5d29yZD4qRXhlcmNpc2U8L2tleXdvcmQ+PGtleXdvcmQ+
RmVtYWxlPC9rZXl3b3JkPjxrZXl3b3JkPkh1bWFuczwva2V5d29yZD48a2V5d29yZD5OYXRpb25h
bCBBY2FkZW1pZXMgb2YgU2NpZW5jZSwgRW5naW5lZXJpbmcsIGFuZCBNZWRpY2luZSAoVS5TLikg
SGVhbHRoIGFuZDwva2V5d29yZD48a2V5d29yZD5NZWRpY2luZSBEaXZpc2lvbjwva2V5d29yZD48
a2V5d29yZD5PYmVzaXR5L2V0aW9sb2d5LypwcmV2ZW50aW9uICZhbXA7IGNvbnRyb2w8L2tleXdv
cmQ+PGtleXdvcmQ+T2RkcyBSYXRpbzwva2V5d29yZD48a2V5d29yZD5QcmFjdGljZSBHdWlkZWxp
bmVzIGFzIFRvcGljPC9rZXl3b3JkPjxrZXl3b3JkPlByZWduYW5jeTwva2V5d29yZD48a2V5d29y
ZD5QcmVnbmFuY3kgQ29tcGxpY2F0aW9ucy8qcHJldmVudGlvbiAmYW1wOyBjb250cm9sPC9rZXl3
b3JkPjxrZXl3b3JkPlJpc2sgRmFjdG9yczwva2V5d29yZD48a2V5d29yZD5UcmVhdG1lbnQgT3V0
Y29tZTwva2V5d29yZD48a2V5d29yZD5Vbml0ZWQgU3RhdGVzPC9rZXl3b3JkPjxrZXl3b3JkPipX
ZWlnaHQgR2Fpbjwva2V5d29yZD48a2V5d29yZD5CbWk8L2tleXdvcmQ+PGtleXdvcmQ+SW9tPC9r
ZXl3b3JkPjxrZXl3b3JkPkluc3RpdHV0ZSBvZiBNZWRpY2luZTwva2V5d29yZD48a2V5d29yZD5P
cjwva2V5d29yZD48a2V5d29yZD5SY3Q8L2tleXdvcmQ+PGtleXdvcmQ+cmFuZG9taXplZCBjb250
cm9sbGVkIHRyaWFsPC9rZXl3b3JkPjwva2V5d29yZHM+PGRhdGVzPjx5ZWFyPjIwMTM8L3llYXI+
PHB1Yi1kYXRlcz48ZGF0ZT5EZWM8L2RhdGU+PC9wdWItZGF0ZXM+PC9kYXRlcz48aXNibj4xOTQy
LTU1NDYgKEVsZWN0cm9uaWMpJiN4RDswMDI1LTYxOTYgKExpbmtpbmcpPC9pc2JuPjxhY2Nlc3Np
b24tbnVtPjI0MjkwMTEyPC9hY2Nlc3Npb24tbnVtPjx1cmxzPjxyZWxhdGVkLXVybHM+PHVybD5o
dHRwczovL3d3dy5uY2JpLm5sbS5uaWguZ292L3B1Ym1lZC8yNDI5MDExMjwvdXJsPjwvcmVsYXRl
ZC11cmxzPjwvdXJscz48ZWxlY3Ryb25pYy1yZXNvdXJjZS1udW0+MTAuMTAxNi9qLm1heW9jcC4y
MDEzLjA3LjAyMDwvZWxlY3Ryb25pYy1yZXNvdXJjZS1udW0+PC9yZWNvcmQ+PC9DaXRlPjxDaXRl
PjxBdXRob3I+U2ltbW9uczwvQXV0aG9yPjxZZWFyPjIwMTc8L1llYXI+PFJlY051bT4xMDU3PC9S
ZWNOdW0+PHJlY29yZD48cmVjLW51bWJlcj4xMDU3PC9yZWMtbnVtYmVyPjxmb3JlaWduLWtleXM+
PGtleSBhcHA9IkVOIiBkYi1pZD0iZXh2YXNyZngyZHRyYW9lc2FzeHAyc3pzeGEyZGY1MDI1OTJ4
IiB0aW1lc3RhbXA9IjE1NDg5ODM0NzYiPjEwNTc8L2tleT48L2ZvcmVpZ24ta2V5cz48cmVmLXR5
cGUgbmFtZT0iSm91cm5hbCBBcnRpY2xlIj4xNzwvcmVmLXR5cGU+PGNvbnRyaWJ1dG9ycz48YXV0
aG9ycz48YXV0aG9yPlNpbW1vbnMsIEQuPC9hdXRob3I+PGF1dGhvcj5EZXZsaWVnZXIsIFIuPC9h
dXRob3I+PGF1dGhvcj52YW4gQXNzY2hlLCBBLjwvYXV0aG9yPjxhdXRob3I+SmFucywgRy48L2F1
dGhvcj48YXV0aG9yPkdhbGphYXJkLCBTLjwvYXV0aG9yPjxhdXRob3I+Q29yY295LCBSLjwvYXV0
aG9yPjxhdXRob3I+QWRlbGFudGFkbywgSi4gTS48L2F1dGhvcj48YXV0aG9yPkR1bm5lLCBGLjwv
YXV0aG9yPjxhdXRob3I+RGVzb3llLCBHLjwvYXV0aG9yPjxhdXRob3I+SGFycmVpdGVyLCBKLjwv
YXV0aG9yPjxhdXRob3I+S2F1dHpreS1XaWxsZXIsIEEuPC9hdXRob3I+PGF1dGhvcj5EYW1tLCBQ
LjwvYXV0aG9yPjxhdXRob3I+TWF0aGllc2VuLCBFLiBSLjwvYXV0aG9yPjxhdXRob3I+SmVuc2Vu
LCBELiBNLjwvYXV0aG9yPjxhdXRob3I+QW5kZXJzZW4sIEwuPC9hdXRob3I+PGF1dGhvcj5MYXBv
bGxhLCBBLjwvYXV0aG9yPjxhdXRob3I+RGFsZnJhLCBNLiBHLjwvYXV0aG9yPjxhdXRob3I+QmVy
dG9sb3R0bywgQS48L2F1dGhvcj48YXV0aG9yPldlbmRlci1PemVnb3dza2EsIEUuPC9hdXRob3I+
PGF1dGhvcj5aYXdpZWpza2EsIEEuPC9hdXRob3I+PGF1dGhvcj5IaWxsLCBELjwvYXV0aG9yPjxh
dXRob3I+U25vZWssIEYuIEouPC9hdXRob3I+PGF1dGhvcj5KZWxzbWEsIEouIEcuPC9hdXRob3I+
PGF1dGhvcj52YW4gUG9wcGVsLCBNLiBOLjwvYXV0aG9yPjwvYXV0aG9ycz48L2NvbnRyaWJ1dG9y
cz48YXV0aC1hZGRyZXNzPldlc3Rlcm4gU3lkbmV5IFVuaXZlcnNpdHksIENhbXBiZWxsdG93biwg
TmV3IFNvdXRoIFdhbGVzIDI1NjAsIEF1c3RyYWxpYS4mI3hEO0luc3RpdHV0ZSBvZiBNZXRhYm9s
aWMgU2NpZW5jZSwgQWRkZW5icm9va2UmYXBvcztzIEhvc3BpdGFsLCBDYW1icmlkZ2UsIENCMiAw
UVEgRW5nbGFuZC4mI3hEO0RlcGFydG1lbnQgb2YgRGV2ZWxvcG1lbnQgYW5kIFJlZ2VuZXJhdGlv
bjogUHJlZ25hbmN5LCBGZXR1cyBhbmQgTmVvbmF0ZSwgR3luYWVjb2xvZ3kgYW5kIE9ic3RldHJp
Y3MsIFVuaXZlcnNpdHkgSG9zcGl0YWxzLCBLYXRob2xpZWtlIFVuaXZlcnNpdGVpdCBMZXV2ZW4s
IExldXZlbiwgQmVsZ2l1bS4mI3hEO0RpdmlzaW9uIG9mIE9ic3RldHJpY3MgYW5kIFByZW5hdGFs
IE1lZGljaW5lLCBEZXBhcnRtZW50IG9mIE9ic3RldHJpY3MgYW5kIEd5bmFlY29sb2d5LCBFcmFz
bXVzIFVuaXZlcnNpdHkgTWVkaWNhbCBDZW50ZXIgUm90dGVyZGFtLCBSb3R0ZXJkYW0sIFRoZSBO
ZXRoZXJsYW5kcy4mI3hEO0luc3RpdHV0IGRlIFJlY2VyY2EgZGUgbCBIb3NwaXRhbCBkZSBsYSBT
YW50YSBDcmV1IGkgU2FudCBQYXUsIEJhcmNlbG9uYSwgU3BhaW4uJiN4RDtDSUJFUiBCaW9lbmdp
bmVlcmluZywgQmlvbWF0ZXJpYWxzIGFuZCBOYW5vdGVjaG5vbG9neSwgSW5zdGl0dXRvIGRlIFNh
bHVkIENhcmxvcyBJSUksIFphcmFnb3phLCBTcGFpbi4mI3hEO0dhbHdheSBEaWFiZXRlcyBSZXNl
YXJjaCBDZW50cmUgYW5kIENvbGxlZ2Ugb2YgTWVkaWNpbmUgTnVyc2luZyBhbmQgSGVhbHRoIFNj
aWVuY2VzLCBOYXRpb25hbCBVbml2ZXJzaXR5IG9mIElyZWxhbmQsIEdhbHdheSwgSXJlbGFuZC4m
I3hEO0RlcGFydG1lbnQgb2YgT2JzdGV0cmljcyBhbmQgR3luZWNvbG9neSwgTWVkaXppbmlzY2hl
IFVuaXZlcnNpdGFldCBHcmF6LCBHcmF6LCBBdXN0cmlhLiYjeEQ7R2VuZGVyIE1lZGljaW5lIFVu
aXQsIEVuZG9jcmlub2xvZ3kgYW5kIE1ldGFib2xpc20sIERlcGFydG1lbnQgb2YgSW50ZXJuYWwg
TWVkaWNpbmUgSUlJLCBNZWRpY2FsIFVuaXZlcnNpdHkgb2YgVmllbm5hLCBWaWVubmEsIEF1c3Ry
aWEuJiN4RDtDZW50ZXIgZm9yIFByZWduYW50IFdvbWVuIHdpdGggRGlhYmV0ZXMsIERlcGFydG1l
bnRzIG9mIEVuZG9jcmlub2xvZ3kgYW5kIE9ic3RldHJpY3MsIFJpZ3Nob3NwaXRhbGV0LCBJbnN0
aXR1dGUgb2YgQ2xpbmljYWwgTWVkaWNpbmUsIEZhY3VsdHkgb2YgSGVhbHRoIGFuZCBNZWRpY2Fs
IFNjaWVuY2VzLCBVbml2ZXJzaXR5IG9mIENvcGVuaGFnZW4sIENvcGVuaGFnZW4sIERlbm1hcmsu
JiN4RDtEZXBhcnRtZW50IG9mIEVuZG9jcmlub2xvZ3kgYW5kIERlcGFydG1lbnQgb2YgR3luZWNv
bG9neSBhbmQgT2JzdGV0cmljcywgT2RlbnNlIFVuaXZlcnNpdHkgSG9zcGl0YWwsIE9kZW5zZSwg
RGVubWFyay4mI3hEO0RlcGFydG1lbnQgb2YgQ2xpbmljYWwgUmVzZWFyY2gsIEZhY3VsdHkgb2Yg
SGVhbHRoIFNjaWVuY2VzLCBVbml2ZXJzaXR5IG9mIFNvdXRoZXJuIERlbm1hcmssIE9kZW5zZSwg
RGVubWFyay4mI3hEO1VuaXZlcnNpdGEgRGVnbGkgU3R1ZGkgZGkgUGFkb3ZhLCBQYWR1YSwgSXRh
bHkuJiN4RDtBemllbmRhIE9zcGVkYWxpZXJvIFVuaXZlcnNpdGFyaWEtUGlzYSwgUGlzYSBJdGFs
eS4mI3hEO01lZGljYWwgRmFjdWx0eSBJLCBQb3puYW4gVW5pdmVyc2l0eSBvZiBNZWRpY2FsIFNj
aWVuY2VzLCBQb3puYW4sIFBvbGFuZC4mI3hEO1JlY2hlcmNoZSBlbiBTYW50ZSBMYXdzb24gU0Es
IEJyb25zY2hob2ZlbiwgU3dpdHplcmxhbmQuJiN4RDtEZXBhcnRtZW50IG9mIE1lZGljYWwgUHN5
Y2hvbG9neSwgRU1HTysgSW5zdGl0dXRlIGZvciBIZWFsdGggYW5kIENhcmUgUmVzZWFyY2gsIFZV
IFVuaXZlcnNpdHkgTWVkaWNhbCBDZW50cmUsIEFtc3RlcmRhbSwgVGhlIE5ldGhlcmxhbmRzLiYj
eEQ7RGVwYXJ0bWVudCBvZiBNZWRpY2FsIFBzeWNob2xvZ3ksIEFjYWRlbWljIE1lZGljYWwgQ2Vu
dHJlLCBBbXN0ZXJkYW0sIFRoZSBOZXRoZXJsYW5kcy4mI3hEO0RlcGFydG1lbnQgb2YgUHVibGlj
IGFuZCBPY2N1cGF0aW9uYWwgSGVhbHRoLCBFTUdPKyBJbnN0aXR1dGUgZm9yIEhlYWx0aCBhbmQg
Q2FyZSBSZXNlYXJjaCwgVlUgVW5pdmVyc2l0eSBNZWRpY2FsIENlbnRyZSwgQW1zdGVyZGFtLCBU
aGUgTmV0aGVybGFuZHM7IGFuZC4mI3hEO0luc3RpdHV0ZSBvZiBTcG9ydCBTY2llbmNlLCBVbml2
ZXJzaXR5IG9mIEdyYXosIEdyYXosIEF1c3RyaWEuPC9hdXRoLWFkZHJlc3M+PHRpdGxlcz48dGl0
bGU+RWZmZWN0IG9mIFBoeXNpY2FsIEFjdGl2aXR5IGFuZC9vciBIZWFsdGh5IEVhdGluZyBvbiBH
RE0gUmlzazogVGhlIERBTEkgTGlmZXN0eWxlIFN0dWR5PC90aXRsZT48c2Vjb25kYXJ5LXRpdGxl
PkogQ2xpbiBFbmRvY3Jpbm9sIE1ldGFiPC9zZWNvbmRhcnktdGl0bGU+PC90aXRsZXM+PHBlcmlv
ZGljYWw+PGZ1bGwtdGl0bGU+SiBDbGluIEVuZG9jcmlub2wgTWV0YWI8L2Z1bGwtdGl0bGU+PC9w
ZXJpb2RpY2FsPjxwYWdlcz45MDMtOTEzPC9wYWdlcz48dm9sdW1lPjEwMjwvdm9sdW1lPjxudW1i
ZXI+MzwvbnVtYmVyPjxlZGl0aW9uPjIwMTYvMTIvMTA8L2VkaXRpb24+PGRhdGVzPjx5ZWFyPjIw
MTc8L3llYXI+PHB1Yi1kYXRlcz48ZGF0ZT5NYXIgMTwvZGF0ZT48L3B1Yi1kYXRlcz48L2RhdGVz
Pjxpc2JuPjE5NDUtNzE5NyAoRWxlY3Ryb25pYykmI3hEOzAwMjEtOTcyWCAoTGlua2luZyk8L2lz
Ym4+PGFjY2Vzc2lvbi1udW0+Mjc5MzU3Njc8L2FjY2Vzc2lvbi1udW0+PHVybHM+PHJlbGF0ZWQt
dXJscz48dXJsPmh0dHBzOi8vd3d3Lm5jYmkubmxtLm5paC5nb3YvcHVibWVkLzI3OTM1NzY3PC91
cmw+PC9yZWxhdGVkLXVybHM+PC91cmxzPjxjdXN0b20yPlBNQzU0NjA2ODg8L2N1c3RvbTI+PGVs
ZWN0cm9uaWMtcmVzb3VyY2UtbnVtPjEwLjEyMTAvamMuMjAxNi0zNDU1PC9lbGVjdHJvbmljLXJl
c291cmNlLW51bT48L3JlY29yZD48L0NpdGU+PENpdGU+PEF1dGhvcj5Tb25nw5hZZ2FyZDwvQXV0
aG9yPjxZZWFyPjIwMTI8L1llYXI+PFJlY051bT44NjY8L1JlY051bT48cmVjb3JkPjxyZWMtbnVt
YmVyPjg2NjwvcmVjLW51bWJlcj48Zm9yZWlnbi1rZXlzPjxrZXkgYXBwPSJFTiIgZGItaWQ9ImV4
dmFzcmZ4MmR0cmFvZXNhc3hwMnN6c3hhMmRmNTAyNTkyeCIgdGltZXN0YW1wPSIxNTQxNTQwNjkz
Ij44NjY8L2tleT48a2V5IGFwcD0iRU5XZWIiIGRiLWlkPSIiPjA8L2tleT48L2ZvcmVpZ24ta2V5
cz48cmVmLXR5cGUgbmFtZT0iSm91cm5hbCBBcnRpY2xlIj4xNzwvcmVmLXR5cGU+PGNvbnRyaWJ1
dG9ycz48YXV0aG9ycz48YXV0aG9yPlNvbmfDmFlnYXJkLCBLcmlzdGlhbiBNLjwvYXV0aG9yPjxh
dXRob3I+U3RhZm5lLCBTaWduZSBOLjwvYXV0aG9yPjxhdXRob3I+RXZlbnNlbiwgS2FyaSBBbm5l
IEkuPC9hdXRob3I+PGF1dGhvcj5TYWx2ZXNlbiwgS2plbGwgw4U8L2F1dGhvcj48YXV0aG9yPlZp
aywgVG9yc3RlaW48L2F1dGhvcj48YXV0aG9yPk3DmFJrdmVkLCBTLiBJLiBWLjwvYXV0aG9yPjwv
YXV0aG9ycz48L2NvbnRyaWJ1dG9ycz48dGl0bGVzPjx0aXRsZT5Eb2VzIGV4ZXJjaXNlIGR1cmlu
ZyBwcmVnbmFuY3kgcHJldmVudCBwb3N0bmF0YWwgZGVwcmVzc2lvbj88L3RpdGxlPjxzZWNvbmRh
cnktdGl0bGU+QWN0YSBPYnN0ZXRyaWNpYSBldCBHeW5lY29sb2dpY2EgU2NhbmRpbmF2aWNhPC9z
ZWNvbmRhcnktdGl0bGU+PC90aXRsZXM+PHBlcmlvZGljYWw+PGZ1bGwtdGl0bGU+QWN0YSBPYnN0
ZXRyaWNpYSBldCBHeW5lY29sb2dpY2EgU2NhbmRpbmF2aWNhPC9mdWxsLXRpdGxlPjwvcGVyaW9k
aWNhbD48cGFnZXM+NjItNjc8L3BhZ2VzPjx2b2x1bWU+OTE8L3ZvbHVtZT48bnVtYmVyPjE8L251
bWJlcj48c2VjdGlvbj42Mjwvc2VjdGlvbj48ZGF0ZXM+PHllYXI+MjAxMjwveWVhcj48L2RhdGVz
Pjxpc2JuPjAwMDE2MzQ5PC9pc2JuPjx1cmxzPjwvdXJscz48ZWxlY3Ryb25pYy1yZXNvdXJjZS1u
dW0+MTAuMTExMS9qLjE2MDAtMDQxMi4yMDExLjAxMjYyLng8L2VsZWN0cm9uaWMtcmVzb3VyY2Ut
bnVtPjwvcmVjb3JkPjwvQ2l0ZT48Q2l0ZT48QXV0aG9yPlN0YWZuZTwvQXV0aG9yPjxZZWFyPjIw
MTI8L1llYXI+PFJlY051bT4xMDYwPC9SZWNOdW0+PHJlY29yZD48cmVjLW51bWJlcj4xMDYwPC9y
ZWMtbnVtYmVyPjxmb3JlaWduLWtleXM+PGtleSBhcHA9IkVOIiBkYi1pZD0iZXh2YXNyZngyZHRy
YW9lc2FzeHAyc3pzeGEyZGY1MDI1OTJ4IiB0aW1lc3RhbXA9IjE1NDg5ODM0NzYiPjEwNjA8L2tl
eT48L2ZvcmVpZ24ta2V5cz48cmVmLXR5cGUgbmFtZT0iSm91cm5hbCBBcnRpY2xlIj4xNzwvcmVm
LXR5cGU+PGNvbnRyaWJ1dG9ycz48YXV0aG9ycz48YXV0aG9yPlN0YWZuZSwgU2lnbmUgTi48L2F1
dGhvcj48YXV0aG9yPlNhbHZlc2VuLCBLamVsbCDihKs8L2F1dGhvcj48YXV0aG9yPlJvbXVuZHN0
YWQsIFDDpWwgUi48L2F1dGhvcj48YXV0aG9yPkVnZ2Viw7gsIFRvcmJqw7hybiBNLjwvYXV0aG9y
PjxhdXRob3I+Q2FybHNlbiwgU3ZlbiBNLjwvYXV0aG9yPjxhdXRob3I+TcO4cmt2ZWQsIFNpdjwv
YXV0aG9yPjwvYXV0aG9ycz48L2NvbnRyaWJ1dG9ycz48dGl0bGVzPjx0aXRsZT5SZWd1bGFyIEV4
ZXJjaXNlIER1cmluZyBQcmVnbmFuY3kgdG8gUHJldmVudCBHZXN0YXRpb25hbCBEaWFiZXRlczwv
dGl0bGU+PHNlY29uZGFyeS10aXRsZT5PYnN0ZXRyaWNzICZhbXA7IEd5bmVjb2xvZ3k8L3NlY29u
ZGFyeS10aXRsZT48L3RpdGxlcz48cGVyaW9kaWNhbD48ZnVsbC10aXRsZT5PYnN0ZXRyaWNzICZh
bXA7IEd5bmVjb2xvZ3k8L2Z1bGwtdGl0bGU+PC9wZXJpb2RpY2FsPjxwYWdlcz4yOS0zNjwvcGFn
ZXM+PHZvbHVtZT4xMTk8L3ZvbHVtZT48bnVtYmVyPjE8L251bWJlcj48c2VjdGlvbj4yOTwvc2Vj
dGlvbj48ZGF0ZXM+PHllYXI+MjAxMjwveWVhcj48L2RhdGVzPjxpc2JuPjAwMjktNzg0NDwvaXNi
bj48dXJscz48L3VybHM+PGVsZWN0cm9uaWMtcmVzb3VyY2UtbnVtPjEwLjEwOTcvQU9HLjBiMDEz
ZTMxODIzOTNmODY8L2VsZWN0cm9uaWMtcmVzb3VyY2UtbnVtPjwvcmVjb3JkPjwvQ2l0ZT48Q2l0
ZT48QXV0aG9yPlZhcmdhcy1UZXJyb25lczwvQXV0aG9yPjxZZWFyPjIwMTk8L1llYXI+PFJlY051
bT4xOTIwPC9SZWNOdW0+PHJlY29yZD48cmVjLW51bWJlcj4xOTIwPC9yZWMtbnVtYmVyPjxmb3Jl
aWduLWtleXM+PGtleSBhcHA9IkVOIiBkYi1pZD0iZXh2YXNyZngyZHRyYW9lc2FzeHAyc3pzeGEy
ZGY1MDI1OTJ4IiB0aW1lc3RhbXA9IjE1ODg0ODY4NzUiPjE5MjA8L2tleT48a2V5IGFwcD0iRU5X
ZWIiIGRiLWlkPSIiPjA8L2tleT48L2ZvcmVpZ24ta2V5cz48cmVmLXR5cGUgbmFtZT0iSm91cm5h
bCBBcnRpY2xlIj4xNzwvcmVmLXR5cGU+PGNvbnRyaWJ1dG9ycz48YXV0aG9ycz48YXV0aG9yPlZh
cmdhcy1UZXJyb25lcywgTS48L2F1dGhvcj48YXV0aG9yPkJhcmFrYXQsIFIuPC9hdXRob3I+PGF1
dGhvcj5TYW50YWNydXosIEIuPC9hdXRob3I+PGF1dGhvcj5GZXJuYW5kZXotQnVoaWdhcywgSS48
L2F1dGhvcj48YXV0aG9yPk1vdHRvbGEsIE0uIEYuPC9hdXRob3I+PC9hdXRob3JzPjwvY29udHJp
YnV0b3JzPjxhdXRoLWFkZHJlc3M+RGVwYXJ0bWVudCBvZiBTb2NpYWwgU2NpZW5jZXMgb2YgUGh5
c2ljYWwgQWN0aXZpdHksIFNwb3J0cyBhbmQgTGVpc3VyZSwgRmFjdWx0eSBvZiBTY2llbmNlcyBm
b3IgUGh5c2ljYWwgQWN0aXZpdHkgYW5kIFNwb3J0LCBJTkVGLCBUZWNobmljYWwgVW5pdmVyc2l0
eSBvZiBNYWRyaWQgKFVQTSksIE1hZHJpZCwgU3BhaW4uJiN4RDtEZXBhcnRtZW50IG9mIE9ic3Rl
dHJpY3MgYW5kIEd5bmVjb2xvZ3ksIFVuaXZlcnNpdHkgSG9zcGl0YWwgb2YgVG9ycmVqb24sIE1h
ZHJpZCwgU3BhaW4uJiN4RDtSIFNhbXVlbCBNY0xhdWdobGluIEZvdW5kYXRpb24gLSBFeGVyY2lz
ZSBhbmQgUHJlZ25hbmN5IExhYm9yYXRvcnksIFNjaG9vbCBvZiBLaW5lc2lvbG9neSwgVGhlIFVu
aXZlcnNpdHkgb2YgV2VzdGVybiBPbnRhcmlvLCBMb25kb24sIE9udGFyaW8sIENhbmFkYS48L2F1
dGgtYWRkcmVzcz48dGl0bGVzPjx0aXRsZT5QaHlzaWNhbCBleGVyY2lzZSBwcm9ncmFtbWUgZHVy
aW5nIHByZWduYW5jeSBkZWNyZWFzZXMgcGVyaW5hdGFsIGRlcHJlc3Npb24gcmlzazogYSByYW5k
b21pc2VkIGNvbnRyb2xsZWQgdHJpYWw8L3RpdGxlPjxzZWNvbmRhcnktdGl0bGU+QnIgSiBTcG9y
dHMgTWVkPC9zZWNvbmRhcnktdGl0bGU+PC90aXRsZXM+PHBlcmlvZGljYWw+PGZ1bGwtdGl0bGU+
QnIgSiBTcG9ydHMgTWVkPC9mdWxsLXRpdGxlPjwvcGVyaW9kaWNhbD48cGFnZXM+MzQ4LTM1Mzwv
cGFnZXM+PHZvbHVtZT41Mzwvdm9sdW1lPjxudW1iZXI+NjwvbnVtYmVyPjxlZGl0aW9uPjIwMTgv
MDYvMTU8L2VkaXRpb24+PGtleXdvcmRzPjxrZXl3b3JkPkFkdWx0PC9rZXl3b3JkPjxrZXl3b3Jk
PkRlcHJlc3Npb24vKnByZXZlbnRpb24gJmFtcDsgY29udHJvbDwva2V5d29yZD48a2V5d29yZD4q
RXhlcmNpc2U8L2tleXdvcmQ+PGtleXdvcmQ+RmVtYWxlPC9rZXl3b3JkPjxrZXl3b3JkPkh1bWFu
czwva2V5d29yZD48a2V5d29yZD5Qb3N0cGFydHVtIFBlcmlvZDwva2V5d29yZD48a2V5d29yZD5Q
cmVnbmFuY3k8L2tleXdvcmQ+PGtleXdvcmQ+UHJlZ25hbmN5IENvbXBsaWNhdGlvbnMvKnBzeWNo
b2xvZ3k8L2tleXdvcmQ+PGtleXdvcmQ+ZGVwcmVzc2lvbjwva2V5d29yZD48a2V5d29yZD5leGVy
Y2lzZSBwaHlzaWNhbCBhY3Rpdml0eTwva2V5d29yZD48a2V5d29yZD5wc3ljaG9sb2d5PC9rZXl3
b3JkPjwva2V5d29yZHM+PGRhdGVzPjx5ZWFyPjIwMTk8L3llYXI+PHB1Yi1kYXRlcz48ZGF0ZT5N
YXI8L2RhdGU+PC9wdWItZGF0ZXM+PC9kYXRlcz48aXNibj4xNDczLTA0ODAgKEVsZWN0cm9uaWMp
JiN4RDswMzA2LTM2NzQgKExpbmtpbmcpPC9pc2JuPjxhY2Nlc3Npb24tbnVtPjI5ODk5MDUwPC9h
Y2Nlc3Npb24tbnVtPjx1cmxzPjxyZWxhdGVkLXVybHM+PHVybD5odHRwczovL3d3dy5uY2JpLm5s
bS5uaWguZ292L3B1Ym1lZC8yOTg5OTA1MDwvdXJsPjwvcmVsYXRlZC11cmxzPjwvdXJscz48ZWxl
Y3Ryb25pYy1yZXNvdXJjZS1udW0+MTAuMTEzNi9ianNwb3J0cy0yMDE3LTA5ODkyNjwvZWxlY3Ry
b25pYy1yZXNvdXJjZS1udW0+PC9yZWNvcmQ+PC9DaXRlPjxDaXRlPjxBdXRob3I+QWd1aWxhci1D
b3JkZXJvPC9BdXRob3I+PFllYXI+MjAxOTwvWWVhcj48UmVjTnVtPjE5MTc8L1JlY051bT48cmVj
b3JkPjxyZWMtbnVtYmVyPjE5MTc8L3JlYy1udW1iZXI+PGZvcmVpZ24ta2V5cz48a2V5IGFwcD0i
RU4iIGRiLWlkPSJleHZhc3JmeDJkdHJhb2VzYXN4cDJzenN4YTJkZjUwMjU5MngiIHRpbWVzdGFt
cD0iMTU4ODQ4MTAwNiI+MTkxNzwva2V5PjwvZm9yZWlnbi1rZXlzPjxyZWYtdHlwZSBuYW1lPSJK
b3VybmFsIEFydGljbGUiPjE3PC9yZWYtdHlwZT48Y29udHJpYnV0b3JzPjxhdXRob3JzPjxhdXRo
b3I+QWd1aWxhci1Db3JkZXJvLCBNLiBKLjwvYXV0aG9yPjxhdXRob3I+U2FuY2hlei1HYXJjaWEs
IEouIEMuPC9hdXRob3I+PGF1dGhvcj5Sb2RyaWd1ZXotQmxhbnF1ZSwgUi48L2F1dGhvcj48YXV0
aG9yPlNhbmNoZXotTG9wZXosIEEuIE0uPC9hdXRob3I+PGF1dGhvcj5NdXItVmlsbGFyLCBOLjwv
YXV0aG9yPjwvYXV0aG9ycz48L2NvbnRyaWJ1dG9ycz48YXV0aC1hZGRyZXNzPjEgTWFyaWEgSm9z
ZSBBZ3VpbGFyLUNvcmRlcm8sIFBoRCwgVW5pdmVyc2l0eSBvZiBHcmFuYWRhLCBTYW4gQ2VjaWxp
byBDbGluaWNhbCBIb3NwaXRhbCwgR3JhbmFkYSwgU3BhaW4uJiN4RDsyIEp1YW4gQ2FybG9zIFNh
bmNoZXotR2FyY2lhLCBQaEQsIFVuaXZlcnNpdHkgb2YgR3JhbmFkYSwgR3JhbmFkYSwgU3BhaW4u
JiN4RDszIFJhcXVlbCBSb2RyaWd1ZXotQmxhbnF1ZSwgUGhELCBVbml2ZXJzaXR5IG9mIEdyYW5h
ZGEsIEdyYW5hZGEsIFNwYWluLiYjeEQ7NCBBbnRvbmlvIE1hbnVlbCBTYW5jaGV6LUxvcGV6LCBQ
aEQsIFVuaXZlcnNpdHkgb2YgR3JhbmFkYSwgR3JhbmFkYSwgU3BhaW4uJiN4RDs1IE5vcm1hIE11
ci1WaWxsYXIsIFBoRCwgVW5pdmVyc2l0eSBvZiBHcmFuYWRhLCBHcmFuYWRhLCBTcGFpbjsgQ2ll
bmZ1ZWdvcyBTY2hvb2wgb2YgTWVkaWNhbCBTY2llbmNlcywgQ2llbmZ1ZWdvcywgQ3ViYS48L2F1
dGgtYWRkcmVzcz48dGl0bGVzPjx0aXRsZT5Nb2RlcmF0ZSBwaHlzaWNhbCBhY3Rpdml0eSBpbiBh
biBhcXVhdGljIGVudmlyb25tZW50IGR1cmluZyBwcmVnbmFuY3kgKFNXRVAgU3R1ZHkpIGFuZCBp
dHMgaW5mbHVlbmNlIGluIHByZXZlbnRpbmcgcG9zdHBhcnR1bSBkZXByZXNzaW9uPC90aXRsZT48
c2Vjb25kYXJ5LXRpdGxlPkogQW0gUHN5Y2hpYXRyIE51cnNlcyBBc3NvYzwvc2Vjb25kYXJ5LXRp
dGxlPjwvdGl0bGVzPjxwZXJpb2RpY2FsPjxmdWxsLXRpdGxlPkogQW0gUHN5Y2hpYXRyIE51cnNl
cyBBc3NvYzwvZnVsbC10aXRsZT48L3BlcmlvZGljYWw+PHBhZ2VzPjExMi0xMjE8L3BhZ2VzPjx2
b2x1bWU+MjU8L3ZvbHVtZT48bnVtYmVyPjI8L251bWJlcj48ZWRpdGlvbj4yMDE4LzAzLzAyPC9l
ZGl0aW9uPjxrZXl3b3Jkcz48a2V5d29yZD4qYm9keSBtYXNzIGluZGV4PC9rZXl3b3JkPjxrZXl3
b3JkPipwaHlzaWNhbCBhY3Rpdml0eTwva2V5d29yZD48a2V5d29yZD4qcG9zdHBhcnR1bSBkZXBy
ZXNzaW9uPC9rZXl3b3JkPjxrZXl3b3JkPipwcmVnbmFuY3k8L2tleXdvcmQ+PC9rZXl3b3Jkcz48
ZGF0ZXM+PHllYXI+MjAxOTwveWVhcj48cHViLWRhdGVzPjxkYXRlPk1hci9BcHI8L2RhdGU+PC9w
dWItZGF0ZXM+PC9kYXRlcz48aXNibj4xNTMyLTU3MjUgKEVsZWN0cm9uaWMpJiN4RDsxMDc4LTM5
MDMgKExpbmtpbmcpPC9pc2JuPjxhY2Nlc3Npb24tbnVtPjI5NDkwNTYwPC9hY2Nlc3Npb24tbnVt
Pjx1cmxzPjxyZWxhdGVkLXVybHM+PHVybD5odHRwczovL3d3dy5uY2JpLm5sbS5uaWguZ292L3B1
Ym1lZC8yOTQ5MDU2MDwvdXJsPjwvcmVsYXRlZC11cmxzPjwvdXJscz48ZWxlY3Ryb25pYy1yZXNv
dXJjZS1udW0+MTAuMTE3Ny8xMDc4MzkwMzE3NzUzNjc1PC9lbGVjdHJvbmljLXJlc291cmNlLW51
bT48L3JlY29yZD48L0NpdGU+PC9FbmROb3RlPn==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PEVuZE5vdGU+PENpdGU+PEF1dGhvcj5CYWNjaGk8L0F1dGhvcj48WWVhcj4yMDE4PC9ZZWFyPjxS
ZWNOdW0+NzEwPC9SZWNOdW0+PERpc3BsYXlUZXh0PjxzdHlsZSBmYWNlPSJzdXBlcnNjcmlwdCIg
Zm9udD0iVHJlYnVjaGV0IE1TIiBzaXplPSI5Ij4yNjksMjk0LTI5NiwzMDQsNDAyLDQyNS00NDc8
L3N0eWxlPjwvRGlzcGxheVRleHQ+PHJlY29yZD48cmVjLW51bWJlcj43MTA8L3JlYy1udW1iZXI+
PGZvcmVpZ24ta2V5cz48a2V5IGFwcD0iRU4iIGRiLWlkPSJleHZhc3JmeDJkdHJhb2VzYXN4cDJz
enN4YTJkZjUwMjU5MngiIHRpbWVzdGFtcD0iMTU0MTQ2MjI0NiI+NzEwPC9rZXk+PC9mb3JlaWdu
LWtleXM+PHJlZi10eXBlIG5hbWU9IkpvdXJuYWwgQXJ0aWNsZSI+MTc8L3JlZi10eXBlPjxjb250
cmlidXRvcnM+PGF1dGhvcnM+PGF1dGhvcj5CYWNjaGksIE0uPC9hdXRob3I+PGF1dGhvcj5Nb3R0
b2xhLCBNLiBGLjwvYXV0aG9yPjxhdXRob3I+UGVyYWxlcywgTS48L2F1dGhvcj48YXV0aG9yPlJl
Zm95bywgSS48L2F1dGhvcj48YXV0aG9yPkJhcmFrYXQsIFIuPC9hdXRob3I+PC9hdXRob3JzPjwv
Y29udHJpYnV0b3JzPjxhdXRoLWFkZHJlc3M+MSBGYWN1bHR5IG9mIFBoeXNpY2FsIEFjdGl2aXR5
IGFuZCBTcG9ydCwgRmxvcmVzIFVuaXZlcnNpdHksIEFyZ2VudGluZS4mI3hEOzIgUi4gU2FtdWVs
IE1jTGF1Z2hsaW4gRm91bmRhdGlvbi1FeGVyY2lzZSAmYW1wOyBQcmVnbmFuY3kgTGFib3JhdG9y
eSwgU2Nob29sIG9mIEtpbmVzaW9sb2d5LCBGYWN1bHR5IG9mIEhlYWx0aCBTY2llbmNlcywgVW5p
dmVyc2l0eSBvZiBXZXN0ZXJuIE9udGFyaW8sIExvbmRvbiwgQ2FuYWRhLiYjeEQ7MyBEZXBhcnRt
ZW50IG9mIEFuYXRvbXkgJmFtcDsgQ2VsbCBCaW9sb2d5LCBTY2h1bGljaCBTY2hvb2wgb2YgTWVk
aWNpbmUgJmFtcDsgRGVudGlzdHJ5LCBDaGlsZHJlbiZhcG9zO3MgSGVhbHRoIFJlc2VhcmNoIElu
c3RpdHV0ZSwgVW5pdmVyc2l0eSBvZiBXZXN0ZXJuIE9udGFyaW8sIExvbmRvbiwgQ2FuYWRhLiYj
eEQ7NCBSZXNlYXJjaCBJbnN0aXR1dGUgb2YgSG9zcGl0YWwgMTIgZGUgT2N0dWJyZSAoJnF1b3Q7
aSsxMiZxdW90OyksIE1hZHJpZCwgU3BhaW4uJiN4RDs1IENhbWlsbyBKb3NlIENlbGEgVW5pdmVy
c2l0eSwgTWFkcmlkLCBTcGFpbi4mI3hEOzYgQUZJUEUgUmVzZWFyY2ggR3JvdXAsIFRlY2huaWNh
bCBVbml2ZXJzaXR5IG9mIE1hZHJpZCwgU3BhaW4uPC9hdXRoLWFkZHJlc3M+PHRpdGxlcz48dGl0
bGU+QXF1YXRpYyBBY3Rpdml0aWVzIER1cmluZyBQcmVnbmFuY3kgUHJldmVudCBFeGNlc3NpdmUg
TWF0ZXJuYWwgV2VpZ2h0IEdhaW4gYW5kIFByZXNlcnZlIEJpcnRoIFdlaWdodDogQSBSYW5kb21p
emVkIENsaW5pY2FsIFRyaWFsPC90aXRsZT48c2Vjb25kYXJ5LXRpdGxlPkFtIEogSGVhbHRoIFBy
b21vdDwvc2Vjb25kYXJ5LXRpdGxlPjwvdGl0bGVzPjxwZXJpb2RpY2FsPjxmdWxsLXRpdGxlPkFt
IEogSGVhbHRoIFByb21vdDwvZnVsbC10aXRsZT48L3BlcmlvZGljYWw+PHBhZ2VzPjcyOS03MzU8
L3BhZ2VzPjx2b2x1bWU+MzI8L3ZvbHVtZT48bnVtYmVyPjM8L251bWJlcj48ZWRpdGlvbj4yMDE3
LzAzLzExPC9lZGl0aW9uPjxrZXl3b3Jkcz48a2V5d29yZD5hcXVhdGljIGV4ZXJjaXNlPC9rZXl3
b3JkPjxrZXl3b3JkPmJpcnRoIHdlaWdodDwva2V5d29yZD48a2V5d29yZD5tYXRlcm5hbCB3ZWln
aHQgZ2Fpbjwva2V5d29yZD48a2V5d29yZD5wcmVnbmFuY3k8L2tleXdvcmQ+PC9rZXl3b3Jkcz48
ZGF0ZXM+PHllYXI+MjAxODwveWVhcj48cHViLWRhdGVzPjxkYXRlPk1hcjwvZGF0ZT48L3B1Yi1k
YXRlcz48L2RhdGVzPjxpc2JuPjIxNjgtNjYwMiAoRWxlY3Ryb25pYykmI3hEOzA4OTAtMTE3MSAo
TGlua2luZyk8L2lzYm4+PGFjY2Vzc2lvbi1udW0+MjgyNzkwODU8L2FjY2Vzc2lvbi1udW0+PHVy
bHM+PHJlbGF0ZWQtdXJscz48dXJsPmh0dHBzOi8vd3d3Lm5jYmkubmxtLm5paC5nb3YvcHVibWVk
LzI4Mjc5MDg1PC91cmw+PC9yZWxhdGVkLXVybHM+PC91cmxzPjxlbGVjdHJvbmljLXJlc291cmNl
LW51bT4xMC4xMTc3LzA4OTAxMTcxMTc2OTc1MjA8L2VsZWN0cm9uaWMtcmVzb3VyY2UtbnVtPjwv
cmVjb3JkPjwvQ2l0ZT48Q2l0ZT48QXV0aG9yPkJhcmFrYXQ8L0F1dGhvcj48WWVhcj4yMDExPC9Z
ZWFyPjxSZWNOdW0+NjY5PC9SZWNOdW0+PHJlY29yZD48cmVjLW51bWJlcj42Njk8L3JlYy1udW1i
ZXI+PGZvcmVpZ24ta2V5cz48a2V5IGFwcD0iRU4iIGRiLWlkPSJleHZhc3JmeDJkdHJhb2VzYXN4
cDJzenN4YTJkZjUwMjU5MngiIHRpbWVzdGFtcD0iMTU0MDUyNjYyNCI+NjY5PC9rZXk+PC9mb3Jl
aWduLWtleXM+PHJlZi10eXBlIG5hbWU9IkpvdXJuYWwgQXJ0aWNsZSI+MTc8L3JlZi10eXBlPjxj
b250cmlidXRvcnM+PGF1dGhvcnM+PGF1dGhvcj5CYXJha2F0LCBSLjwvYXV0aG9yPjxhdXRob3I+
UGVsYWV6LCBNLjwvYXV0aG9yPjxhdXRob3I+TW9udGVqbywgUi48L2F1dGhvcj48YXV0aG9yPkx1
YWNlcywgTS48L2F1dGhvcj48YXV0aG9yPlpha3ludGhpbmFraSwgTS48L2F1dGhvcj48L2F1dGhv
cnM+PC9jb250cmlidXRvcnM+PGF1dGgtYWRkcmVzcz5GYWN1bHRhZCBkZSBDaWVuY2lhcyBkZSBs
YSBBY3RpdmlkYWQgRmlzaWNhIHkgZGVsIERlcG9ydGUgLSBJTkVGLCBVbml2ZXJzaWRhZCBQb2xp
dGVjbmljYSBkZSBNYWRyaWQsIFNwYWluLjwvYXV0aC1hZGRyZXNzPjx0aXRsZXM+PHRpdGxlPkV4
ZXJjaXNlIGR1cmluZyBwcmVnbmFuY3kgaW1wcm92ZXMgbWF0ZXJuYWwgaGVhbHRoIHBlcmNlcHRp
b246IGEgcmFuZG9taXplZCBjb250cm9sbGVkIHRyaWFsPC90aXRsZT48c2Vjb25kYXJ5LXRpdGxl
PkFtIEogT2JzdGV0IEd5bmVjb2w8L3NlY29uZGFyeS10aXRsZT48L3RpdGxlcz48cGVyaW9kaWNh
bD48ZnVsbC10aXRsZT5BbSBKIE9ic3RldCBHeW5lY29sPC9mdWxsLXRpdGxlPjwvcGVyaW9kaWNh
bD48cGFnZXM+NDAyIGUxLTc8L3BhZ2VzPjx2b2x1bWU+MjA0PC92b2x1bWU+PG51bWJlcj41PC9u
dW1iZXI+PGVkaXRpb24+MjAxMS8wMy8wMTwvZWRpdGlvbj48a2V5d29yZHM+PGtleXdvcmQ+QWR1
bHQ8L2tleXdvcmQ+PGtleXdvcmQ+RXhlcmNpc2UvKnBzeWNob2xvZ3k8L2tleXdvcmQ+PGtleXdv
cmQ+RmVtYWxlPC9rZXl3b3JkPjxrZXl3b3JkPipIZWFsdGggU3RhdHVzPC9rZXl3b3JkPjxrZXl3
b3JkPkh1bWFuczwva2V5d29yZD48a2V5d29yZD5NYXRlcm5hbCBXZWxmYXJlLypwc3ljaG9sb2d5
PC9rZXl3b3JkPjxrZXl3b3JkPipQZXJjZXB0aW9uPC9rZXl3b3JkPjxrZXl3b3JkPlByZWduYW5j
eTwva2V5d29yZD48a2V5d29yZD5QcmVnbmFuY3kgT3V0Y29tZTwva2V5d29yZD48a2V5d29yZD5T
ZWRlbnRhcnkgTGlmZXN0eWxlPC9rZXl3b3JkPjxrZXl3b3JkPldvbWVuJmFwb3M7cyBIZWFsdGg8
L2tleXdvcmQ+PC9rZXl3b3Jkcz48ZGF0ZXM+PHllYXI+MjAxMTwveWVhcj48cHViLWRhdGVzPjxk
YXRlPk1heTwvZGF0ZT48L3B1Yi1kYXRlcz48L2RhdGVzPjxpc2JuPjEwOTctNjg2OCAoRWxlY3Ry
b25pYykmI3hEOzAwMDItOTM3OCAoTGlua2luZyk8L2lzYm4+PGFjY2Vzc2lvbi1udW0+MjEzNTQ1
NDc8L2FjY2Vzc2lvbi1udW0+PHVybHM+PHJlbGF0ZWQtdXJscz48dXJsPmh0dHBzOi8vd3d3Lm5j
YmkubmxtLm5paC5nb3YvcHVibWVkLzIxMzU0NTQ3PC91cmw+PC9yZWxhdGVkLXVybHM+PC91cmxz
PjxlbGVjdHJvbmljLXJlc291cmNlLW51bT4xMC4xMDE2L2ouYWpvZy4yMDExLjAxLjA0MzwvZWxl
Y3Ryb25pYy1yZXNvdXJjZS1udW0+PC9yZWNvcmQ+PC9DaXRlPjxDaXRlPjxBdXRob3I+QmFyYWth
dDwvQXV0aG9yPjxZZWFyPjIwMTI8L1llYXI+PFJlY051bT42NzE8L1JlY051bT48cmVjb3JkPjxy
ZWMtbnVtYmVyPjY3MTwvcmVjLW51bWJlcj48Zm9yZWlnbi1rZXlzPjxrZXkgYXBwPSJFTiIgZGIt
aWQ9ImV4dmFzcmZ4MmR0cmFvZXNhc3hwMnN6c3hhMmRmNTAyNTkyeCIgdGltZXN0YW1wPSIxNTQw
NTI2Njc0Ij42NzE8L2tleT48L2ZvcmVpZ24ta2V5cz48cmVmLXR5cGUgbmFtZT0iSm91cm5hbCBB
cnRpY2xlIj4xNzwvcmVmLXR5cGU+PGNvbnRyaWJ1dG9ycz48YXV0aG9ycz48YXV0aG9yPkJhcmFr
YXQsIFIuPC9hdXRob3I+PGF1dGhvcj5QZWxhZXosIE0uPC9hdXRob3I+PGF1dGhvcj5Mb3Bleiwg
Qy48L2F1dGhvcj48YXV0aG9yPk1vbnRlam8sIFIuPC9hdXRob3I+PGF1dGhvcj5Db3Rlcm9uLCBK
LjwvYXV0aG9yPjwvYXV0aG9ycz48L2NvbnRyaWJ1dG9ycz48YXV0aC1hZGRyZXNzPlRlY2huaWNh
bCBVbml2ZXJzaXR5IG9mIE1hZHJpZCAoVVBNKSwgTWFkcmlkLCBTcGFpbi4gYmFyYWthdHJ1YmVu
QGdtYWlsLmNvbTwvYXV0aC1hZGRyZXNzPjx0aXRsZXM+PHRpdGxlPkV4ZXJjaXNlIGR1cmluZyBw
cmVnbmFuY3kgcmVkdWNlcyB0aGUgcmF0ZSBvZiBjZXNhcmVhbiBhbmQgaW5zdHJ1bWVudGFsIGRl
bGl2ZXJpZXM6IHJlc3VsdHMgb2YgYSByYW5kb21pemVkIGNvbnRyb2xsZWQgdHJpYWw8L3RpdGxl
PjxzZWNvbmRhcnktdGl0bGU+SiBNYXRlcm4gRmV0YWwgTmVvbmF0YWwgTWVkPC9zZWNvbmRhcnkt
dGl0bGU+PC90aXRsZXM+PHBlcmlvZGljYWw+PGZ1bGwtdGl0bGU+SiBNYXRlcm4gRmV0YWwgTmVv
bmF0YWwgTWVkPC9mdWxsLXRpdGxlPjwvcGVyaW9kaWNhbD48cGFnZXM+MjM3Mi02PC9wYWdlcz48
dm9sdW1lPjI1PC92b2x1bWU+PG51bWJlcj4xMTwvbnVtYmVyPjxlZGl0aW9uPjIwMTIvMDYvMjI8
L2VkaXRpb24+PGtleXdvcmRzPjxrZXl3b3JkPkFkdWx0PC9rZXl3b3JkPjxrZXl3b3JkPkNlc2Fy
ZWFuIFNlY3Rpb24vKnN0YXRpc3RpY3MgJmFtcDsgbnVtZXJpY2FsIGRhdGE8L2tleXdvcmQ+PGtl
eXdvcmQ+RGVsaXZlcnksIE9ic3RldHJpYy9pbnN0cnVtZW50YXRpb24vKm1ldGhvZHMvKnN0YXRp
c3RpY3MgJmFtcDsgbnVtZXJpY2FsIGRhdGE8L2tleXdvcmQ+PGtleXdvcmQ+RXhlcmNpc2UvKnBo
eXNpb2xvZ3k8L2tleXdvcmQ+PGtleXdvcmQ+RXhlcmNpc2UgVGhlcmFweS9hZHZlcnNlIGVmZmVj
dHMvbWV0aG9kczwva2V5d29yZD48a2V5d29yZD5GZW1hbGU8L2tleXdvcmQ+PGtleXdvcmQ+Rm9s
bG93LVVwIFN0dWRpZXM8L2tleXdvcmQ+PGtleXdvcmQ+SHVtYW5zPC9rZXl3b3JkPjxrZXl3b3Jk
PkluZmFudCwgTmV3Ym9ybjwva2V5d29yZD48a2V5d29yZD5QYXRpZW50IENvbXBsaWFuY2Uvc3Rh
dGlzdGljcyAmYW1wOyBudW1lcmljYWwgZGF0YTwva2V5d29yZD48a2V5d29yZD5QaHlzaWNhbCBG
aXRuZXNzL3BoeXNpb2xvZ3k8L2tleXdvcmQ+PGtleXdvcmQ+UHJlZ25hbmN5PC9rZXl3b3JkPjxr
ZXl3b3JkPlByZWduYW5jeSBPdXRjb21lLyplcGlkZW1pb2xvZ3k8L2tleXdvcmQ+PGtleXdvcmQ+
U3VyZ2ljYWwgSW5zdHJ1bWVudHMvKnN0YXRpc3RpY3MgJmFtcDsgbnVtZXJpY2FsIGRhdGE8L2tl
eXdvcmQ+PC9rZXl3b3Jkcz48ZGF0ZXM+PHllYXI+MjAxMjwveWVhcj48cHViLWRhdGVzPjxkYXRl
Pk5vdjwvZGF0ZT48L3B1Yi1kYXRlcz48L2RhdGVzPjxpc2JuPjE0NzYtNDk1NCAoRWxlY3Ryb25p
YykmI3hEOzE0NzYtNDk1NCAoTGlua2luZyk8L2lzYm4+PGFjY2Vzc2lvbi1udW0+MjI3MTU5ODE8
L2FjY2Vzc2lvbi1udW0+PHVybHM+PHJlbGF0ZWQtdXJscz48dXJsPmh0dHBzOi8vd3d3Lm5jYmku
bmxtLm5paC5nb3YvcHVibWVkLzIyNzE1OTgxPC91cmw+PC9yZWxhdGVkLXVybHM+PC91cmxzPjxl
bGVjdHJvbmljLXJlc291cmNlLW51bT4xMC4zMTA5LzE0NzY3MDU4LjIwMTIuNjk2MTY1PC9lbGVj
dHJvbmljLXJlc291cmNlLW51bT48L3JlY29yZD48L0NpdGU+PENpdGU+PEF1dGhvcj5CYXJha2F0
PC9BdXRob3I+PFllYXI+MjAxMzwvWWVhcj48UmVjTnVtPjcxMjwvUmVjTnVtPjxyZWNvcmQ+PHJl
Yy1udW1iZXI+NzEyPC9yZWMtbnVtYmVyPjxmb3JlaWduLWtleXM+PGtleSBhcHA9IkVOIiBkYi1p
ZD0iZXh2YXNyZngyZHRyYW9lc2FzeHAyc3pzeGEyZGY1MDI1OTJ4IiB0aW1lc3RhbXA9IjE1NDE0
NjIzMzEiPjcxMjwva2V5PjwvZm9yZWlnbi1rZXlzPjxyZWYtdHlwZSBuYW1lPSJKb3VybmFsIEFy
dGljbGUiPjE3PC9yZWYtdHlwZT48Y29udHJpYnV0b3JzPjxhdXRob3JzPjxhdXRob3I+QmFyYWth
dCwgUi48L2F1dGhvcj48YXV0aG9yPlBlbGFleiwgTS48L2F1dGhvcj48YXV0aG9yPkxvcGV6LCBD
LjwvYXV0aG9yPjxhdXRob3I+THVjaWEsIEEuPC9hdXRob3I+PGF1dGhvcj5SdWl6LCBKLiBSLjwv
YXV0aG9yPjwvYXV0aG9ycz48L2NvbnRyaWJ1dG9ycz48YXV0aC1hZGRyZXNzPkZhY3VsdGFkIGRl
IENpZW5jaWFzIGRlIGxhIEFjdGl2aWRhZCBGaXNpY2EgeSBkZWwgRGVwb3J0ZS1JTkVGLCBVbml2
ZXJzaWRhZCBQb2xpdGVjbmljYSBkZSBNYWRyaWQsIE1hZHJpZCwgU3BhaW4uPC9hdXRoLWFkZHJl
c3M+PHRpdGxlcz48dGl0bGU+RXhlcmNpc2UgZHVyaW5nIHByZWduYW5jeSBhbmQgZ2VzdGF0aW9u
YWwgZGlhYmV0ZXMtcmVsYXRlZCBhZHZlcnNlIGVmZmVjdHM6IGEgcmFuZG9taXNlZCBjb250cm9s
bGVkIHRyaWFsPC90aXRsZT48c2Vjb25kYXJ5LXRpdGxlPkJyIEogU3BvcnRzIE1lZDwvc2Vjb25k
YXJ5LXRpdGxlPjwvdGl0bGVzPjxwZXJpb2RpY2FsPjxmdWxsLXRpdGxlPkJyIEogU3BvcnRzIE1l
ZDwvZnVsbC10aXRsZT48L3BlcmlvZGljYWw+PHBhZ2VzPjYzMC02PC9wYWdlcz48dm9sdW1lPjQ3
PC92b2x1bWU+PG51bWJlcj4xMDwvbnVtYmVyPjxlZGl0aW9uPjIwMTMvMDIvMDE8L2VkaXRpb24+
PGtleXdvcmRzPjxrZXl3b3JkPkFkdWx0PC9rZXl3b3JkPjxrZXl3b3JkPkJpcnRoIFdlaWdodDwv
a2V5d29yZD48a2V5d29yZD5EaWFiZXRlcywgR2VzdGF0aW9uYWwvKnByZXZlbnRpb24gJmFtcDsg
Y29udHJvbDwva2V5d29yZD48a2V5d29yZD5FeGVyY2lzZSBUaGVyYXB5LyptZXRob2RzPC9rZXl3
b3JkPjxrZXl3b3JkPkZlbWFsZTwva2V5d29yZD48a2V5d29yZD5GZXRhbCBNYWNyb3NvbWlhL3By
ZXZlbnRpb24gJmFtcDsgY29udHJvbDwva2V5d29yZD48a2V5d29yZD5IdW1hbnM8L2tleXdvcmQ+
PGtleXdvcmQ+UHJlZ25hbmN5PC9rZXl3b3JkPjxrZXl3b3JkPlByZWduYW5jeSBPdXRjb21lPC9r
ZXl3b3JkPjxrZXl3b3JkPlByZWduYW5jeSBUcmltZXN0ZXIsIFNlY29uZDwva2V5d29yZD48a2V5
d29yZD5QcmVnbmFuY3kgVHJpbWVzdGVyLCBUaGlyZDwva2V5d29yZD48a2V5d29yZD5QcmVuYXRh
bCBDYXJlL21ldGhvZHM8L2tleXdvcmQ+PGtleXdvcmQ+V2VpZ2h0IEdhaW48L2tleXdvcmQ+PGtl
eXdvcmQ+RGlhYmV0ZXM8L2tleXdvcmQ+PGtleXdvcmQ+V29tZW4gaW4gc3BvcnQ8L2tleXdvcmQ+
PC9rZXl3b3Jkcz48ZGF0ZXM+PHllYXI+MjAxMzwveWVhcj48cHViLWRhdGVzPjxkYXRlPkp1bDwv
ZGF0ZT48L3B1Yi1kYXRlcz48L2RhdGVzPjxpc2JuPjE0NzMtMDQ4MCAoRWxlY3Ryb25pYykmI3hE
OzAzMDYtMzY3NCAoTGlua2luZyk8L2lzYm4+PGFjY2Vzc2lvbi1udW0+MjMzNjU0MTg8L2FjY2Vz
c2lvbi1udW0+PHVybHM+PHJlbGF0ZWQtdXJscz48dXJsPmh0dHBzOi8vd3d3Lm5jYmkubmxtLm5p
aC5nb3YvcHVibWVkLzIzMzY1NDE4PC91cmw+PC9yZWxhdGVkLXVybHM+PC91cmxzPjxlbGVjdHJv
bmljLXJlc291cmNlLW51bT4xMC4xMTM2L2Jqc3BvcnRzLTIwMTItMDkxNzg4PC9lbGVjdHJvbmlj
LXJlc291cmNlLW51bT48L3JlY29yZD48L0NpdGU+PENpdGU+PEF1dGhvcj5CYXJha2F0PC9BdXRo
b3I+PFllYXI+MjAxNDwvWWVhcj48UmVjTnVtPjY3NDwvUmVjTnVtPjxyZWNvcmQ+PHJlYy1udW1i
ZXI+Njc0PC9yZWMtbnVtYmVyPjxmb3JlaWduLWtleXM+PGtleSBhcHA9IkVOIiBkYi1pZD0iZXh2
YXNyZngyZHRyYW9lc2FzeHAyc3pzeGEyZGY1MDI1OTJ4IiB0aW1lc3RhbXA9IjE1NDA1MjY3NDki
PjY3NDwva2V5PjwvZm9yZWlnbi1rZXlzPjxyZWYtdHlwZSBuYW1lPSJKb3VybmFsIEFydGljbGUi
PjE3PC9yZWYtdHlwZT48Y29udHJpYnV0b3JzPjxhdXRob3JzPjxhdXRob3I+QmFyYWthdCwgUi48
L2F1dGhvcj48YXV0aG9yPlBlcmFsZXMsIE0uPC9hdXRob3I+PGF1dGhvcj5CYWNjaGksIE0uPC9h
dXRob3I+PGF1dGhvcj5Db3Rlcm9uLCBKLjwvYXV0aG9yPjxhdXRob3I+UmVmb3lvLCBJLjwvYXV0
aG9yPjwvYXV0aG9ycz48L2NvbnRyaWJ1dG9ycz48dGl0bGVzPjx0aXRsZT5BIHByb2dyYW0gb2Yg
ZXhlcmNpc2UgdGhyb3VnaG91dCBwcmVnbmFuY3kuIElzIGl0IHNhZmUgdG8gbW90aGVyIGFuZCBu
ZXdib3JuPzwvdGl0bGU+PHNlY29uZGFyeS10aXRsZT5BbSBKIEhlYWx0aCBQcm9tb3Q8L3NlY29u
ZGFyeS10aXRsZT48L3RpdGxlcz48cGVyaW9kaWNhbD48ZnVsbC10aXRsZT5BbSBKIEhlYWx0aCBQ
cm9tb3Q8L2Z1bGwtdGl0bGU+PC9wZXJpb2RpY2FsPjxwYWdlcz4yLTg8L3BhZ2VzPjx2b2x1bWU+
Mjk8L3ZvbHVtZT48bnVtYmVyPjE8L251bWJlcj48ZWRpdGlvbj4yMDEzLzExLzEwPC9lZGl0aW9u
PjxrZXl3b3Jkcz48a2V5d29yZD5BZHVsdDwva2V5d29yZD48a2V5d29yZD5BcGdhciBTY29yZTwv
a2V5d29yZD48a2V5d29yZD5CaXJ0aCBXZWlnaHQvcGh5c2lvbG9neTwva2V5d29yZD48a2V5d29y
ZD5Cb2R5IE1hc3MgSW5kZXg8L2tleXdvcmQ+PGtleXdvcmQ+RGlhYmV0ZXMsIEdlc3RhdGlvbmFs
L2VwaWRlbWlvbG9neTwva2V5d29yZD48a2V5d29yZD5GZW1hbGU8L2tleXdvcmQ+PGtleXdvcmQ+
R2VzdGF0aW9uYWwgQWdlPC9rZXl3b3JkPjxrZXl3b3JkPkh1bWFuczwva2V5d29yZD48a2V5d29y
ZD5JbmZhbnQsIE5ld2Jvcm48L2tleXdvcmQ+PGtleXdvcmQ+KlBoeXNpY2FsIENvbmRpdGlvbmlu
ZywgSHVtYW4vYWR2ZXJzZSBlZmZlY3RzL21ldGhvZHM8L2tleXdvcmQ+PGtleXdvcmQ+KlByZWdu
YW5jeS9waHlzaW9sb2d5PC9rZXl3b3JkPjxrZXl3b3JkPlByZWduYW5jeSBPdXRjb21lPC9rZXl3
b3JkPjxrZXl3b3JkPldlaWdodCBHYWluL3BoeXNpb2xvZ3k8L2tleXdvcmQ+PGtleXdvcmQ+SGVh
bHRoIGZvY3VzOiBwaHlzaWNhbCBhY3Rpdml0eTwva2V5d29yZD48a2V5d29yZD5NYW51c2NyaXB0
IGZvcm1hdDogcmVzZWFyY2g8L2tleXdvcmQ+PGtleXdvcmQ+TWF0ZXJuYWw8L2tleXdvcmQ+PGtl
eXdvcmQ+T3V0Y29tZSBtZWFzdXJlOiBiZWhhdmlvcmFsPC9rZXl3b3JkPjxrZXl3b3JkPlBoeXNp
Y2FsIEV4ZXJjaXNlPC9rZXl3b3JkPjxrZXl3b3JkPlByZWduYW5jeSBPdXRjb21lczwva2V5d29y
ZD48a2V5d29yZD5QcmV2ZW50aW9uIFJlc2VhcmNoPC9rZXl3b3JkPjxrZXl3b3JkPlJlc2VhcmNo
IHB1cnBvc2U6IGludGVydmVudGlvbiB0ZXN0aW5nPC9rZXl3b3JkPjxrZXl3b3JkPlNldHRpbmc6
IGhlYWx0aCBjYXJlPC9rZXl3b3JkPjxrZXl3b3JkPlN0cmF0ZWd5OiBiZWhhdmlvciBjaGFuZ2Us
IGN1bHR1cmUgY2hhbmdlPC9rZXl3b3JkPjxrZXl3b3JkPlN0dWR5IGRlc2lnbjogcmFuZG9taXpl
ZCB0cmlhbDwva2V5d29yZD48a2V5d29yZD5UYXJnZXQgcG9wdWxhdGlvbiBhZ2U6IGFkdWx0czwv
a2V5d29yZD48a2V5d29yZD5UYXJnZXQgcG9wdWxhdGlvbiBjaXJjdW1zdGFuY2VzOiBlZHVjYXRp
b248L2tleXdvcmQ+PGtleXdvcmQ+V2VpZ2h0IEdhaW48L2tleXdvcmQ+PC9rZXl3b3Jkcz48ZGF0
ZXM+PHllYXI+MjAxNDwveWVhcj48cHViLWRhdGVzPjxkYXRlPlNlcC1PY3Q8L2RhdGU+PC9wdWIt
ZGF0ZXM+PC9kYXRlcz48aXNibj4yMTY4LTY2MDIgKEVsZWN0cm9uaWMpJiN4RDswODkwLTExNzEg
KExpbmtpbmcpPC9pc2JuPjxhY2Nlc3Npb24tbnVtPjI0MjAwMzM1PC9hY2Nlc3Npb24tbnVtPjx1
cmxzPjxyZWxhdGVkLXVybHM+PHVybD5odHRwczovL3d3dy5uY2JpLm5sbS5uaWguZ292L3B1Ym1l
ZC8yNDIwMDMzNTwvdXJsPjwvcmVsYXRlZC11cmxzPjwvdXJscz48ZWxlY3Ryb25pYy1yZXNvdXJj
ZS1udW0+MTAuNDI3OC9hamhwLjEzMDEzMS1RVUFOLTU2PC9lbGVjdHJvbmljLXJlc291cmNlLW51
bT48L3JlY29yZD48L0NpdGU+PENpdGU+PEF1dGhvcj5CYXJha2F0PC9BdXRob3I+PFllYXI+MjAx
NjwvWWVhcj48UmVjTnVtPjY3NjwvUmVjTnVtPjxyZWNvcmQ+PHJlYy1udW1iZXI+Njc2PC9yZWMt
bnVtYmVyPjxmb3JlaWduLWtleXM+PGtleSBhcHA9IkVOIiBkYi1pZD0iZXh2YXNyZngyZHRyYW9l
c2FzeHAyc3pzeGEyZGY1MDI1OTJ4IiB0aW1lc3RhbXA9IjE1NDA1MjY3ODMiPjY3Njwva2V5Pjwv
Zm9yZWlnbi1rZXlzPjxyZWYtdHlwZSBuYW1lPSJKb3VybmFsIEFydGljbGUiPjE3PC9yZWYtdHlw
ZT48Y29udHJpYnV0b3JzPjxhdXRob3JzPjxhdXRob3I+QmFyYWthdCwgUi48L2F1dGhvcj48YXV0
aG9yPlBlbGFleiwgTS48L2F1dGhvcj48YXV0aG9yPkNvcmRlcm8sIFkuPC9hdXRob3I+PGF1dGhv
cj5QZXJhbGVzLCBNLjwvYXV0aG9yPjxhdXRob3I+TG9wZXosIEMuPC9hdXRob3I+PGF1dGhvcj5D
b3Rlcm9uLCBKLjwvYXV0aG9yPjxhdXRob3I+TW90dG9sYSwgTS4gRi48L2F1dGhvcj48L2F1dGhv
cnM+PC9jb250cmlidXRvcnM+PGF1dGgtYWRkcmVzcz5QaHlzaWNhbCBBY3Rpdml0eSBhbmQgU3Bv
cnRzIGluIFNwZWNpZmljIFBvcHVsYXRpb25zIChBRklQRSkgUmVzZWFyY2ggR3JvdXAsIEZhY3Vs
dHkgb2YgUGh5c2ljYWwgQWN0aXZpdHkgYW5kIFNwb3J0cyBTY2llbmNlcy1GYWN1bHRhZCBkZSBD
aWVuY2lhcyBkZSBsYSBBY3RpdmlkYWQgRmlzaWNhIHkgZWwgRGVwb3J0ZSwgVGVjaG5pY2FsIFVu
aXZlcnNpdHkgb2YgTWFkcmlkLCBNYWRyaWQsIFNwYWluLiYjeEQ7Q2F0aG9saWMgVW5pdmVyc2l0
eSBvZiBNdXJjaWEsIE11cmNpYSwgU3BhaW4uJiN4RDtSLiBTYW11ZWwgTWNMYXVnaGxpbiBGb3Vu
ZGF0aW9uLUV4ZXJjaXNlIGFuZCBQcmVnbmFuY3kgTGFib3JhdG9yeSwgU2Nob29sIG9mIEtpbmVz
aW9sb2d5LCBGYWN1bHR5IG9mIEhlYWx0aCBTY2llbmNlcywgRGVwYXJ0bWVudCBvZiBBbmF0b215
IGFuZCBDZWxsIEJpb2xvZ3ksIFNjaHVsaWNoIFNjaG9vbCBvZiBNZWRpY2luZSBhbmQgRGVudGlz
dHJ5LCBDaGlsZHJlbiZhcG9zO3MgSGVhbHRoIFJlc2VhcmNoIEluc3RpdHV0ZSwgVW5pdmVyc2l0
eSBvZiBXZXN0ZXJuIE9udGFyaW8sIExvbmRvbiwgT250YXJpbywgQ2FuYWRhLiBFbGVjdHJvbmlj
IGFkZHJlc3M6IG1tb3R0b2xhQHV3by5jYS48L2F1dGgtYWRkcmVzcz48dGl0bGVzPjx0aXRsZT5F
eGVyY2lzZSBkdXJpbmcgcHJlZ25hbmN5IHByb3RlY3RzIGFnYWluc3QgaHlwZXJ0ZW5zaW9uIGFu
ZCBtYWNyb3NvbWlhOiByYW5kb21pemVkIGNsaW5pY2FsIHRyaWFsPC90aXRsZT48c2Vjb25kYXJ5
LXRpdGxlPkFtIEogT2JzdGV0IEd5bmVjb2w8L3NlY29uZGFyeS10aXRsZT48L3RpdGxlcz48cGVy
aW9kaWNhbD48ZnVsbC10aXRsZT5BbSBKIE9ic3RldCBHeW5lY29sPC9mdWxsLXRpdGxlPjwvcGVy
aW9kaWNhbD48cGFnZXM+NjQ5IGUxLTg8L3BhZ2VzPjx2b2x1bWU+MjE0PC92b2x1bWU+PG51bWJl
cj41PC9udW1iZXI+PGVkaXRpb24+MjAxNS8xMi8yNjwvZWRpdGlvbj48a2V5d29yZHM+PGtleXdv
cmQ+QWR1bHQ8L2tleXdvcmQ+PGtleXdvcmQ+QmlydGggV2VpZ2h0PC9rZXl3b3JkPjxrZXl3b3Jk
PkRpYWJldGVzLCBHZXN0YXRpb25hbC9wcmV2ZW50aW9uICZhbXA7IGNvbnRyb2w8L2tleXdvcmQ+
PGtleXdvcmQ+KkV4ZXJjaXNlPC9rZXl3b3JkPjxrZXl3b3JkPkZlbWFsZTwva2V5d29yZD48a2V5
d29yZD5GZXRhbCBNYWNyb3NvbWlhLypwcmV2ZW50aW9uICZhbXA7IGNvbnRyb2w8L2tleXdvcmQ+
PGtleXdvcmQ+SHVtYW5zPC9rZXl3b3JkPjxrZXl3b3JkPkh5cGVydGVuc2lvbiwgUHJlZ25hbmN5
LUluZHVjZWQvKnByZXZlbnRpb24gJmFtcDsgY29udHJvbDwva2V5d29yZD48a2V5d29yZD5JbmZh
bnQsIE5ld2Jvcm48L2tleXdvcmQ+PGtleXdvcmQ+UHJlZ25hbmN5PC9rZXl3b3JkPjxrZXl3b3Jk
PldlaWdodCBHYWluPC9rZXl3b3JkPjxrZXl3b3JkPipnZXN0YXRpb25hbCB3ZWlnaHQgZ2Fpbjwv
a2V5d29yZD48a2V5d29yZD4qaHlwZXJ0ZW5zaW9uPC9rZXl3b3JkPjxrZXl3b3JkPippbnRlcnZl
bnRpb248L2tleXdvcmQ+PGtleXdvcmQ+Km91dGNvbWU8L2tleXdvcmQ+PGtleXdvcmQ+KnByZWdu
YW5jeTwva2V5d29yZD48L2tleXdvcmRzPjxkYXRlcz48eWVhcj4yMDE2PC95ZWFyPjxwdWItZGF0
ZXM+PGRhdGU+TWF5PC9kYXRlPjwvcHViLWRhdGVzPjwvZGF0ZXM+PGlzYm4+MTA5Ny02ODY4IChF
bGVjdHJvbmljKSYjeEQ7MDAwMi05Mzc4IChMaW5raW5nKTwvaXNibj48YWNjZXNzaW9uLW51bT4y
NjcwNDg5NDwvYWNjZXNzaW9uLW51bT48dXJscz48cmVsYXRlZC11cmxzPjx1cmw+aHR0cHM6Ly93
d3cubmNiaS5ubG0ubmloLmdvdi9wdWJtZWQvMjY3MDQ4OTQ8L3VybD48L3JlbGF0ZWQtdXJscz48
L3VybHM+PGVsZWN0cm9uaWMtcmVzb3VyY2UtbnVtPjEwLjEwMTYvai5ham9nLjIwMTUuMTEuMDM5
PC9lbGVjdHJvbmljLXJlc291cmNlLW51bT48L3JlY29yZD48L0NpdGU+PENpdGU+PEF1dGhvcj5C
YXJha2F0PC9BdXRob3I+PFllYXI+MjAxODwvWWVhcj48UmVjTnVtPjcxMTwvUmVjTnVtPjxyZWNv
cmQ+PHJlYy1udW1iZXI+NzExPC9yZWMtbnVtYmVyPjxmb3JlaWduLWtleXM+PGtleSBhcHA9IkVO
IiBkYi1pZD0iZXh2YXNyZngyZHRyYW9lc2FzeHAyc3pzeGEyZGY1MDI1OTJ4IiB0aW1lc3RhbXA9
IjE1NDE0NjIyODUiPjcxMTwva2V5PjwvZm9yZWlnbi1rZXlzPjxyZWYtdHlwZSBuYW1lPSJKb3Vy
bmFsIEFydGljbGUiPjE3PC9yZWYtdHlwZT48Y29udHJpYnV0b3JzPjxhdXRob3JzPjxhdXRob3I+
QmFyYWthdCwgUi48L2F1dGhvcj48YXV0aG9yPkZyYW5jbywgRS48L2F1dGhvcj48YXV0aG9yPlBl
cmFsZXMsIE0uPC9hdXRob3I+PGF1dGhvcj5Mb3BleiwgQy48L2F1dGhvcj48YXV0aG9yPk1vdHRv
bGEsIE0uIEYuPC9hdXRob3I+PC9hdXRob3JzPjwvY29udHJpYnV0b3JzPjxhdXRoLWFkZHJlc3M+
QUZJUEUgUmVzZWFyY2ggR3JvdXAsIFRlY2huaWNhbCBVbml2ZXJzaXR5IG9mIE1hZHJpZCwgU3Bh
aW4uIEVsZWN0cm9uaWMgYWRkcmVzczogYmFyYWthdHJ1YmVuQGdtYWlsLmNvbS4mI3hEO0FGSVBF
IFJlc2VhcmNoIEdyb3VwLCBUZWNobmljYWwgVW5pdmVyc2l0eSBvZiBNYWRyaWQsIFNwYWluLiYj
eEQ7Q2FtaWxvIEpvc2UgQ2VsYSBVbml2ZXJzaXR5LCBNYWRyaWQsIFNwYWluOyBSZXNlYXJjaCBJ
bnN0aXR1dGUgb2YgSG9zcGl0YWwgMTIgZGUgT2N0dWJyZSAoJmFwb3M7aSsxMiZhcG9zOyksIE1h
ZHJpZCwgU3BhaW4uJiN4RDtSIFNhbXVlbCBNY0xhdWdobGluIEZvdW5kYXRpb24tRXhlcmNpc2Ug
JmFtcDsgUHJlZ25hbmN5IExhYm9yYXRvcnksIFNjaG9vbCBvZiBLaW5lc2lvbG9neSwgRmFjdWx0
eSBvZiBIZWFsdGggU2NpZW5jZXMsIENhbmFkYTsgRGVwdCBvZiBBbmF0b215ICZhbXA7IENlbGwg
QmlvbG9neSwgU2NodWxpY2ggU2Nob29sIG9mIE1lZGljaW5lICZhbXA7IERlbnRpc3RyeSwgQ2hp
bGRyZW4mYXBvcztzIEhlYWx0aCBSZXNlYXJjaCBJbnN0aXR1dGUsIFVuaXZlcnNpdHkgb2YgV2Vz
dGVybiBPbnRhcmlvLCBMb25kb24sIENhbmFkYS48L2F1dGgtYWRkcmVzcz48dGl0bGVzPjx0aXRs
ZT5FeGVyY2lzZSBkdXJpbmcgcHJlZ25hbmN5IGlzIGFzc29jaWF0ZWQgd2l0aCBhIHNob3J0ZXIg
ZHVyYXRpb24gb2YgbGFib3IuIEEgcmFuZG9taXplZCBjbGluaWNhbCB0cmlhbDwvdGl0bGU+PHNl
Y29uZGFyeS10aXRsZT5FdXIgSiBPYnN0ZXQgR3luZWNvbCBSZXByb2QgQmlvbDwvc2Vjb25kYXJ5
LXRpdGxlPjwvdGl0bGVzPjxwZXJpb2RpY2FsPjxmdWxsLXRpdGxlPkV1ciBKIE9ic3RldCBHeW5l
Y29sIFJlcHJvZCBCaW9sPC9mdWxsLXRpdGxlPjwvcGVyaW9kaWNhbD48cGFnZXM+MzMtNDA8L3Bh
Z2VzPjx2b2x1bWU+MjI0PC92b2x1bWU+PGVkaXRpb24+MjAxOC8wMy8xMzwvZWRpdGlvbj48a2V5
d29yZHM+PGtleXdvcmQ+QWR1bHQ8L2tleXdvcmQ+PGtleXdvcmQ+KkV4ZXJjaXNlPC9rZXl3b3Jk
PjxrZXl3b3JkPkZlbWFsZTwva2V5d29yZD48a2V5d29yZD5IdW1hbnM8L2tleXdvcmQ+PGtleXdv
cmQ+KkxhYm9yIFN0YWdlLCBGaXJzdDwva2V5d29yZD48a2V5d29yZD5QcmVnbmFuY3k8L2tleXdv
cmQ+PGtleXdvcmQ+KkR1cmF0aW9uPC9rZXl3b3JkPjxrZXl3b3JkPipMYWJvcjwva2V5d29yZD48
a2V5d29yZD4qUHJlZ25hbmN5PC9rZXl3b3JkPjwva2V5d29yZHM+PGRhdGVzPjx5ZWFyPjIwMTg8
L3llYXI+PHB1Yi1kYXRlcz48ZGF0ZT5NYXk8L2RhdGU+PC9wdWItZGF0ZXM+PC9kYXRlcz48aXNi
bj4xODcyLTc2NTQgKEVsZWN0cm9uaWMpJiN4RDswMzAxLTIxMTUgKExpbmtpbmcpPC9pc2JuPjxh
Y2Nlc3Npb24tbnVtPjI5NTI5NDc1PC9hY2Nlc3Npb24tbnVtPjx1cmxzPjxyZWxhdGVkLXVybHM+
PHVybD5odHRwczovL3d3dy5uY2JpLm5sbS5uaWguZ292L3B1Ym1lZC8yOTUyOTQ3NTwvdXJsPjwv
cmVsYXRlZC11cmxzPjwvdXJscz48ZWxlY3Ryb25pYy1yZXNvdXJjZS1udW0+MTAuMTAxNi9qLmVq
b2dyYi4yMDE4LjAzLjAwOTwvZWxlY3Ryb25pYy1yZXNvdXJjZS1udW0+PC9yZWNvcmQ+PC9DaXRl
PjxDaXRlPjxBdXRob3I+Qmlzc29uPC9BdXRob3I+PFllYXI+MjAxNTwvWWVhcj48UmVjTnVtPjY3
NzwvUmVjTnVtPjxyZWNvcmQ+PHJlYy1udW1iZXI+Njc3PC9yZWMtbnVtYmVyPjxmb3JlaWduLWtl
eXM+PGtleSBhcHA9IkVOIiBkYi1pZD0iZXh2YXNyZngyZHRyYW9lc2FzeHAyc3pzeGEyZGY1MDI1
OTJ4IiB0aW1lc3RhbXA9IjE1NDA1MjY4MTQiPjY3Nzwva2V5PjwvZm9yZWlnbi1rZXlzPjxyZWYt
dHlwZSBuYW1lPSJKb3VybmFsIEFydGljbGUiPjE3PC9yZWYtdHlwZT48Y29udHJpYnV0b3JzPjxh
dXRob3JzPjxhdXRob3I+Qmlzc29uLCBNLjwvYXV0aG9yPjxhdXRob3I+QWxtZXJhcywgTi48L2F1
dGhvcj48YXV0aG9yPkR1ZnJlc25lLCBTLiBTLjwvYXV0aG9yPjxhdXRob3I+Um9iaXRhaWxsZSwg
Si48L2F1dGhvcj48YXV0aG9yPlJoZWF1bWUsIEMuPC9hdXRob3I+PGF1dGhvcj5CdWpvbGQsIEUu
PC9hdXRob3I+PGF1dGhvcj5GcmVuZXR0ZSwgSi48L2F1dGhvcj48YXV0aG9yPlRyZW1ibGF5LCBB
LjwvYXV0aG9yPjxhdXRob3I+TWFyYywgSS48L2F1dGhvcj48L2F1dGhvcnM+PC9jb250cmlidXRv
cnM+PGF1dGgtYWRkcmVzcz5EZXBhcnRtZW50IG9mIFBlZGlhdHJpY3MsIENlbnRyZSBob3NwaXRh
bGllciB1bml2ZXJzaXRhaXJlIChDSFUpIGRlIFF1ZWJlYywgTGF2YWwgVW5pdmVyc2l0eSwgUXVl
YmVjIENpdHksIFByb3ZpbmNlIG9mIFF1ZWJlYywgQ2FuYWRhOyBEZXBhcnRtZW50IG9mIEtpbmVz
aW9sb2d5LCBMYXZhbCBVbml2ZXJzaXR5LCBRdWViZWMgQ2l0eSwgUHJvdmluY2Ugb2YgUXVlYmVj
LCBDYW5hZGEuJiN4RDtEZXBhcnRtZW50IG9mIEtpbmVzaW9sb2d5LCBMYXZhbCBVbml2ZXJzaXR5
LCBRdWViZWMgQ2l0eSwgUHJvdmluY2Ugb2YgUXVlYmVjLCBDYW5hZGEuJiN4RDtEZXBhcnRtZW50
IG9mIFJlaGFiaWxpdGF0aW9uLCBDSFUgZGUgUXVlYmVjLCBMYXZhbCBVbml2ZXJzaXR5LCBRdWVi
ZWMgQ2l0eSwgUHJvdmluY2Ugb2YgUXVlYmVjLCBDYW5hZGEuJiN4RDtEZXBhcnRtZW50IG9mIEZv
b2QgU2NpZW5jZSBhbmQgTnV0cml0aW9uLCBMYXZhbCBVbml2ZXJzaXR5LCBRdWViZWMgQ2l0eSwg
UHJvdmluY2Ugb2YgUXVlYmVjLCBDYW5hZGEuJiN4RDtEZXBhcnRtZW50IG9mIEZhbWlseSBNZWRp
Y2luZSBhbmQgRW1lcmdlbmN5IE1lZGljaW5lLCBMYXZhbCBVbml2ZXJzaXR5LCBRdWViZWMgQ2l0
eSwgUHJvdmluY2Ugb2YgUXVlYmVjLiYjeEQ7RGVwYXJ0bWVudCBvZiBPYnN0ZXRyaWNzIGFuZCBH
eW5lY29sb2d5LCBDSFUgZGUgUXVlYmVjLCBMYXZhbCBVbml2ZXJzaXR5LCBRdWViZWMgQ2l0eSwg
UHJvdmluY2Ugb2YgUXVlYmVjLCBDYW5hZGEuJiN4RDtEZXBhcnRtZW50IG9mIFBlZGlhdHJpY3Ms
IENlbnRyZSBob3NwaXRhbGllciB1bml2ZXJzaXRhaXJlIChDSFUpIGRlIFF1ZWJlYywgTGF2YWwg
VW5pdmVyc2l0eSwgUXVlYmVjIENpdHksIFByb3ZpbmNlIG9mIFF1ZWJlYywgQ2FuYWRhLjwvYXV0
aC1hZGRyZXNzPjx0aXRsZXM+PHRpdGxlPkEgMTItV2VlayBFeGVyY2lzZSBQcm9ncmFtIGZvciBQ
cmVnbmFudCBXb21lbiB3aXRoIE9iZXNpdHkgdG8gSW1wcm92ZSBQaHlzaWNhbCBBY3Rpdml0eSBM
ZXZlbHM6IEFuIE9wZW4gUmFuZG9taXNlZCBQcmVsaW1pbmFyeSBTdHVkeTwvdGl0bGU+PHNlY29u
ZGFyeS10aXRsZT5QTG9TIE9uZTwvc2Vjb25kYXJ5LXRpdGxlPjwvdGl0bGVzPjxwZXJpb2RpY2Fs
PjxmdWxsLXRpdGxlPlBMb1MgT25lPC9mdWxsLXRpdGxlPjwvcGVyaW9kaWNhbD48cGFnZXM+ZTAx
Mzc3NDI8L3BhZ2VzPjx2b2x1bWU+MTA8L3ZvbHVtZT48bnVtYmVyPjk8L251bWJlcj48ZWRpdGlv
bj4yMDE1LzA5LzE3PC9lZGl0aW9uPjxrZXl3b3Jkcz48a2V5d29yZD5BZHVsdDwva2V5d29yZD48
a2V5d29yZD4qQm9keSBNYXNzIEluZGV4PC9rZXl3b3JkPjxrZXl3b3JkPkJvZHkgV2VpZ2h0PC9r
ZXl3b3JkPjxrZXl3b3JkPkNhc2UtQ29udHJvbCBTdHVkaWVzPC9rZXl3b3JkPjxrZXl3b3JkPkVu
ZXJneSBJbnRha2U8L2tleXdvcmQ+PGtleXdvcmQ+RXhlcmNpc2UgVGhlcmFweS8qbWV0aG9kczwv
a2V5d29yZD48a2V5d29yZD5GZW1hbGU8L2tleXdvcmQ+PGtleXdvcmQ+SHVtYW5zPC9rZXl3b3Jk
PjxrZXl3b3JkPipMaWZlIFN0eWxlPC9rZXl3b3JkPjxrZXl3b3JkPk9iZXNpdHkvcHJldmVudGlv
biAmYW1wOyBjb250cm9sLyp0aGVyYXB5PC9rZXl3b3JkPjxrZXl3b3JkPk94eWdlbiBDb25zdW1w
dGlvbjwva2V5d29yZD48a2V5d29yZD5QcmVnbmFuY3k8L2tleXdvcmQ+PGtleXdvcmQ+UHJlZ25h
bmN5IE91dGNvbWU8L2tleXdvcmQ+PGtleXdvcmQ+UHJlZ25hbnQgV29tZW48L2tleXdvcmQ+PGtl
eXdvcmQ+V2VpZ2h0IEdhaW48L2tleXdvcmQ+PC9rZXl3b3Jkcz48ZGF0ZXM+PHllYXI+MjAxNTwv
eWVhcj48L2RhdGVzPjxpc2JuPjE5MzItNjIwMyAoRWxlY3Ryb25pYykmI3hEOzE5MzItNjIwMyAo
TGlua2luZyk8L2lzYm4+PGFjY2Vzc2lvbi1udW0+MjYzNzU0NzE8L2FjY2Vzc2lvbi1udW0+PHVy
bHM+PHJlbGF0ZWQtdXJscz48dXJsPmh0dHBzOi8vd3d3Lm5jYmkubmxtLm5paC5nb3YvcHVibWVk
LzI2Mzc1NDcxPC91cmw+PC9yZWxhdGVkLXVybHM+PC91cmxzPjxjdXN0b20yPlBNQzQ1NzM3NTc8
L2N1c3RvbTI+PGVsZWN0cm9uaWMtcmVzb3VyY2UtbnVtPjEwLjEzNzEvam91cm5hbC5wb25lLjAx
Mzc3NDI8L2VsZWN0cm9uaWMtcmVzb3VyY2UtbnVtPjwvcmVjb3JkPjwvQ2l0ZT48Q2l0ZT48QXV0
aG9yPkNvcmRlcm88L0F1dGhvcj48WWVhcj4yMDE1PC9ZZWFyPjxSZWNOdW0+MTAxNjwvUmVjTnVt
PjxyZWNvcmQ+PHJlYy1udW1iZXI+MTAxNjwvcmVjLW51bWJlcj48Zm9yZWlnbi1rZXlzPjxrZXkg
YXBwPSJFTiIgZGItaWQ9ImV4dmFzcmZ4MmR0cmFvZXNhc3hwMnN6c3hhMmRmNTAyNTkyeCIgdGlt
ZXN0YW1wPSIxNTQ4OTgzNDc2Ij4xMDE2PC9rZXk+PC9mb3JlaWduLWtleXM+PHJlZi10eXBlIG5h
bWU9IkpvdXJuYWwgQXJ0aWNsZSI+MTc8L3JlZi10eXBlPjxjb250cmlidXRvcnM+PGF1dGhvcnM+
PGF1dGhvcj5Db3JkZXJvLCBZLiw8L2F1dGhvcj48YXV0aG9yPk1vdHRvbGEsIE0uRi48L2F1dGhv
cj48YXV0aG9yPlZhcmdhcywgSi4sPC9hdXRob3I+PGF1dGhvcj5CbGFuY28sIE0uLDwvYXV0aG9y
PjxhdXRob3I+QmFyYWthdCwgUi4sPC9hdXRob3I+PC9hdXRob3JzPjwvY29udHJpYnV0b3JzPjx0
aXRsZXM+PHRpdGxlPkV4ZXJjaXNlIElzIGFzc29jaWF0ZWQgd2l0aCBhIHJlZHVjdGlvbiBpbiBn
ZXN0YXRpb25hbCBkaWFiZXRlcyBtZWxsaXR1czwvdGl0bGU+PHNlY29uZGFyeS10aXRsZT5NZWRp
Y2luZSAmYW1wOyBTY2llbmNlIGluIFNwb3J0cyAmYW1wOyBFeGVyY2lzZTwvc2Vjb25kYXJ5LXRp
dGxlPjwvdGl0bGVzPjxwZXJpb2RpY2FsPjxmdWxsLXRpdGxlPk1lZGljaW5lICZhbXA7IFNjaWVu
Y2UgaW4gU3BvcnRzICZhbXA7IEV4ZXJjaXNlPC9mdWxsLXRpdGxlPjwvcGVyaW9kaWNhbD48cGFn
ZXM+MTMyOC0xMzMzPC9wYWdlcz48dm9sdW1lPjQ3PC92b2x1bWU+PG51bWJlcj43PC9udW1iZXI+
PHNlY3Rpb24+MTMyODwvc2VjdGlvbj48ZGF0ZXM+PHllYXI+MjAxNTwveWVhcj48L2RhdGVzPjxp
c2JuPjAxOTUtOTEzMTwvaXNibj48dXJscz48L3VybHM+PGVsZWN0cm9uaWMtcmVzb3VyY2UtbnVt
PjEwLjEyNDkvbXNzLjAwMDAwMDAwMDAwMDA1NDc8L2VsZWN0cm9uaWMtcmVzb3VyY2UtbnVtPjwv
cmVjb3JkPjwvQ2l0ZT48Q2l0ZT48QXV0aG9yPmRhIFNpbHZhPC9BdXRob3I+PFllYXI+MjAxNzwv
WWVhcj48UmVjTnVtPjY4NDwvUmVjTnVtPjxyZWNvcmQ+PHJlYy1udW1iZXI+Njg0PC9yZWMtbnVt
YmVyPjxmb3JlaWduLWtleXM+PGtleSBhcHA9IkVOIiBkYi1pZD0iZXh2YXNyZngyZHRyYW9lc2Fz
eHAyc3pzeGEyZGY1MDI1OTJ4IiB0aW1lc3RhbXA9IjE1NDA1MjcxMzUiPjY4NDwva2V5PjwvZm9y
ZWlnbi1rZXlzPjxyZWYtdHlwZSBuYW1lPSJKb3VybmFsIEFydGljbGUiPjE3PC9yZWYtdHlwZT48
Y29udHJpYnV0b3JzPjxhdXRob3JzPjxhdXRob3I+ZGEgU2lsdmEsIFMuIEcuPC9hdXRob3I+PGF1
dGhvcj5IYWxsYWwsIFAuIEMuPC9hdXRob3I+PGF1dGhvcj5Eb21pbmd1ZXMsIE0uIFIuPC9hdXRo
b3I+PGF1dGhvcj5CZXJ0b2xkaSwgQS4gRC48L2F1dGhvcj48YXV0aG9yPlNpbHZlaXJhLCBNLiBG
LiBELjwvYXV0aG9yPjxhdXRob3I+QmFzc2FuaSwgRC48L2F1dGhvcj48YXV0aG9yPmRhIFNpbHZh
LCBJLiBDLiBNLjwvYXV0aG9yPjxhdXRob3I+ZGEgU2lsdmEsIEIuIEcuIEMuPC9hdXRob3I+PGF1
dGhvcj5Db2xsLCBDLiBWLiBOLjwvYXV0aG9yPjxhdXRob3I+RXZlbnNvbiwgSy48L2F1dGhvcj48
L2F1dGhvcnM+PC9jb250cmlidXRvcnM+PGF1dGgtYWRkcmVzcz5Qb3N0Z3JhZHVhdGUgUHJvZ3Jh
bSBpbiBFcGlkZW1pb2xvZ3ksIEZlZGVyYWwgVW5pdmVyc2l0eSBvZiBQZWxvdGFzLCBSdWEgTWFy
ZWNoYWwgRGVvZG9ybywgMTE2MC0zIGRlZ3JlZXMgcGlzbywgQ0VQOiA5NjAyMC0yMjAsIEJhaXJy
byBDZW50cm8sIFBlbG90YXMsIFJpbyBHcmFuZGUgZG8gU3VsLCBCcmF6aWwuIHNnaW5hckBnbWFp
bC5jb20uJiN4RDtEZXBhcnRtZW50IG9mIEVwaWRlbWlvbG9neSwgR2lsbGluZ3MgU2Nob29sIG9m
IEdsb2JhbCBQdWJsaWMgSGVhbHRoLCBVbml2ZXJzaXR5IG9mIE5vcnRoIENhcm9saW5hIC0gQ2hh
cGVsIEhpbGwsIENoYXBlbCBIaWxsLCBOQywgVVNBLiBzZ2luYXJAZ21haWwuY29tLiYjeEQ7UG9z
dGdyYWR1YXRlIFByb2dyYW0gaW4gRXBpZGVtaW9sb2d5LCBGZWRlcmFsIFVuaXZlcnNpdHkgb2Yg
UGVsb3RhcywgUnVhIE1hcmVjaGFsIERlb2Rvcm8sIDExNjAtMyBkZWdyZWVzIHBpc28sIENFUDog
OTYwMjAtMjIwLCBCYWlycm8gQ2VudHJvLCBQZWxvdGFzLCBSaW8gR3JhbmRlIGRvIFN1bCwgQnJh
emlsLiYjeEQ7UG9zdGdyYWR1YXRlIFByb2dyYW0gaW4gUGh5c2ljYWwgRWR1Y2F0aW9uLCBGZWRl
cmFsIFVuaXZlcnNpdHkgb2YgUGVsb3RhcywgUGVsb3RhcywgQnJhemlsLiYjeEQ7RGVwYXJ0bWVu
dCBvZiBQYWVkaWF0cmljcywgRmFjdWx0eSBvZiBNZWRpY2luZSwgQ2VudHJlIGZvciBHbG9iYWwg
Q2hpbGQgSGVhbHRoLCBVbml2ZXJzaXR5IG9mIFRvcm9udG87IEtpbmcmYXBvcztzIENvbGxlZ2Ug
Q2lyY2xlLCBUaGUgSG9zcGl0YWwgZm9yIFNpY2sgQ2hpbGRyZW4sIFRvcm9udG8sIENhbmFkYS4m
I3hEO0RlcGFydG1lbnQgb2YgRXBpZGVtaW9sb2d5LCBHaWxsaW5ncyBTY2hvb2wgb2YgR2xvYmFs
IFB1YmxpYyBIZWFsdGgsIFVuaXZlcnNpdHkgb2YgTm9ydGggQ2Fyb2xpbmEgLSBDaGFwZWwgSGls
bCwgQ2hhcGVsIEhpbGwsIE5DLCBVU0EuPC9hdXRoLWFkZHJlc3M+PHRpdGxlcz48dGl0bGU+QSBy
YW5kb21pemVkIGNvbnRyb2xsZWQgdHJpYWwgb2YgZXhlcmNpc2UgZHVyaW5nIHByZWduYW5jeSBv
biBtYXRlcm5hbCBhbmQgbmVvbmF0YWwgb3V0Y29tZXM6IHJlc3VsdHMgZnJvbSB0aGUgUEFNRUxB
IHN0dWR5PC90aXRsZT48c2Vjb25kYXJ5LXRpdGxlPkludCBKIEJlaGF2IE51dHIgUGh5cyBBY3Q8
L3NlY29uZGFyeS10aXRsZT48L3RpdGxlcz48cGVyaW9kaWNhbD48ZnVsbC10aXRsZT5JbnQgSiBC
ZWhhdiBOdXRyIFBoeXMgQWN0PC9mdWxsLXRpdGxlPjwvcGVyaW9kaWNhbD48cGFnZXM+MTc1PC9w
YWdlcz48dm9sdW1lPjE0PC92b2x1bWU+PG51bWJlcj4xPC9udW1iZXI+PGVkaXRpb24+MjAxNy8x
Mi8yNDwvZWRpdGlvbj48a2V5d29yZHM+PGtleXdvcmQ+QWR1bHQ8L2tleXdvcmQ+PGtleXdvcmQ+
QmlydGggV2VpZ2h0PC9rZXl3b3JkPjxrZXl3b3JkPkJvZHkgTWFzcyBJbmRleDwva2V5d29yZD48
a2V5d29yZD5CcmF6aWw8L2tleXdvcmQ+PGtleXdvcmQ+Q29ob3J0IFN0dWRpZXM8L2tleXdvcmQ+
PGtleXdvcmQ+RGlhYmV0ZXMsIEdlc3RhdGlvbmFsL2VwaWRlbWlvbG9neS9wcmV2ZW50aW9uICZh
bXA7IGNvbnRyb2w8L2tleXdvcmQ+PGtleXdvcmQ+KkV4ZXJjaXNlPC9rZXl3b3JkPjxrZXl3b3Jk
PkZlbWFsZTwva2V5d29yZD48a2V5d29yZD5HZXN0YXRpb25hbCBBZ2U8L2tleXdvcmQ+PGtleXdv
cmQ+SHVtYW5zPC9rZXl3b3JkPjxrZXl3b3JkPkluY2lkZW5jZTwva2V5d29yZD48a2V5d29yZD5J
bmZhbnQ8L2tleXdvcmQ+PGtleXdvcmQ+UGF0aWVudCBDb21wbGlhbmNlPC9rZXl3b3JkPjxrZXl3
b3JkPlByZS1FY2xhbXBzaWEvKmVwaWRlbWlvbG9neS9wcmV2ZW50aW9uICZhbXA7IGNvbnRyb2w8
L2tleXdvcmQ+PGtleXdvcmQ+UHJlZ25hbmN5PC9rZXl3b3JkPjxrZXl3b3JkPipQcmVnbmFuY3kg
T3V0Y29tZTwva2V5d29yZD48a2V5d29yZD5QcmVtYXR1cmUgQmlydGgvKmVwaWRlbWlvbG9neS9w
cmV2ZW50aW9uICZhbXA7IGNvbnRyb2w8L2tleXdvcmQ+PGtleXdvcmQ+UHJlbmF0YWwgQ2FyZTwv
a2V5d29yZD48a2V5d29yZD5TYW1wbGUgU2l6ZTwva2V5d29yZD48a2V5d29yZD5XZWlnaHQgR2Fp
bjwva2V5d29yZD48a2V5d29yZD5Zb3VuZyBBZHVsdDwva2V5d29yZD48a2V5d29yZD4qSW50ZXJ2
ZW50aW9uIHN0dWRpZXM8L2tleXdvcmQ+PGtleXdvcmQ+Kk1hdGVybmFsLWNoaWxkIGhlYWx0aDwv
a2V5d29yZD48a2V5d29yZD4qUGh5c2ljYWwgYWN0aXZpdHk8L2tleXdvcmQ+PGtleXdvcmQ+KlBy
ZWduYW50IHdvbWFuPC9rZXl3b3JkPjxrZXl3b3JkPipSYW5kb21pemVkIGNvbnRyb2xsZWQgdHJp
YWw8L2tleXdvcmQ+PC9rZXl3b3Jkcz48ZGF0ZXM+PHllYXI+MjAxNzwveWVhcj48cHViLWRhdGVz
PjxkYXRlPkRlYyAyMjwvZGF0ZT48L3B1Yi1kYXRlcz48L2RhdGVzPjxpc2JuPjE0NzktNTg2OCAo
RWxlY3Ryb25pYykmI3hEOzE0NzktNTg2OCAoTGlua2luZyk8L2lzYm4+PGFjY2Vzc2lvbi1udW0+
MjkyNzMwNDQ8L2FjY2Vzc2lvbi1udW0+PHVybHM+PHJlbGF0ZWQtdXJscz48dXJsPmh0dHBzOi8v
d3d3Lm5jYmkubmxtLm5paC5nb3YvcHVibWVkLzI5MjczMDQ0PC91cmw+PC9yZWxhdGVkLXVybHM+
PC91cmxzPjxjdXN0b20yPlBNQzU3NDE5MjQ8L2N1c3RvbTI+PGVsZWN0cm9uaWMtcmVzb3VyY2Ut
bnVtPjEwLjExODYvczEyOTY2LTAxNy0wNjMyLTY8L2VsZWN0cm9uaWMtcmVzb3VyY2UtbnVtPjwv
cmVjb3JkPjwvQ2l0ZT48Q2l0ZT48QXV0aG9yPkRhbHk8L0F1dGhvcj48WWVhcj4yMDE3PC9ZZWFy
PjxSZWNOdW0+Njg1PC9SZWNOdW0+PHJlY29yZD48cmVjLW51bWJlcj42ODU8L3JlYy1udW1iZXI+
PGZvcmVpZ24ta2V5cz48a2V5IGFwcD0iRU4iIGRiLWlkPSJleHZhc3JmeDJkdHJhb2VzYXN4cDJz
enN4YTJkZjUwMjU5MngiIHRpbWVzdGFtcD0iMTU0MDUyNzE3MSI+Njg1PC9rZXk+PC9mb3JlaWdu
LWtleXM+PHJlZi10eXBlIG5hbWU9IkpvdXJuYWwgQXJ0aWNsZSI+MTc8L3JlZi10eXBlPjxjb250
cmlidXRvcnM+PGF1dGhvcnM+PGF1dGhvcj5EYWx5LCBOLjwvYXV0aG9yPjxhdXRob3I+RmFycmVu
LCBNLjwvYXV0aG9yPjxhdXRob3I+TWNLZWF0aW5nLCBBLjwvYXV0aG9yPjxhdXRob3I+TyZhcG9z
O0tlbGx5LCBSLjwvYXV0aG9yPjxhdXRob3I+U3RhcGxldG9uLCBNLjwvYXV0aG9yPjxhdXRob3I+
VHVybmVyLCBNLiBKLjwvYXV0aG9yPjwvYXV0aG9ycz48L2NvbnRyaWJ1dG9ycz48YXV0aC1hZGRy
ZXNzPlVDRCBDZW50cmUgZm9yIEh1bWFuIFJlcHJvZHVjdGlvbiwgQ29vbWJlIFdvbWVuIGFuZCBJ
bmZhbnRzIFVuaXZlcnNpdHkgSG9zcGl0YWwsIER1YmxpbiwgSXJlbGFuZC48L2F1dGgtYWRkcmVz
cz48dGl0bGVzPjx0aXRsZT5BIE1lZGljYWxseSBTdXBlcnZpc2VkIFByZWduYW5jeSBFeGVyY2lz
ZSBJbnRlcnZlbnRpb24gaW4gT2Jlc2UgV29tZW46IEEgUmFuZG9taXplZCBDb250cm9sbGVkIFRy
aWFsPC90aXRsZT48c2Vjb25kYXJ5LXRpdGxlPk9ic3RldCBHeW5lY29sPC9zZWNvbmRhcnktdGl0
bGU+PC90aXRsZXM+PHBlcmlvZGljYWw+PGZ1bGwtdGl0bGU+T2JzdGV0IEd5bmVjb2w8L2Z1bGwt
dGl0bGU+PC9wZXJpb2RpY2FsPjxwYWdlcz4xMDAxLTEwMTA8L3BhZ2VzPjx2b2x1bWU+MTMwPC92
b2x1bWU+PG51bWJlcj41PC9udW1iZXI+PGVkaXRpb24+MjAxNy8xMC8xMTwvZWRpdGlvbj48a2V5
d29yZHM+PGtleXdvcmQ+QWR1bHQ8L2tleXdvcmQ+PGtleXdvcmQ+Qmxvb2QgR2x1Y29zZS9hbmFs
eXNpczwva2V5d29yZD48a2V5d29yZD5FeGVyY2lzZSBUaGVyYXB5LyptZXRob2RzPC9rZXl3b3Jk
PjxrZXl3b3JkPkZhc3RpbmcvYmxvb2Q8L2tleXdvcmQ+PGtleXdvcmQ+RmVtYWxlPC9rZXl3b3Jk
PjxrZXl3b3JkPkh1bWFuczwva2V5d29yZD48a2V5d29yZD5PYmVzaXR5L2Jsb29kL2NvbXBsaWNh
dGlvbnMvKnRoZXJhcHk8L2tleXdvcmQ+PGtleXdvcmQ+UHJlZ25hbmN5PC9rZXl3b3JkPjxrZXl3
b3JkPlByZWduYW5jeSBDb21wbGljYXRpb25zL2Jsb29kL2V0aW9sb2d5Lyp0aGVyYXB5PC9rZXl3
b3JkPjxrZXl3b3JkPlByZW5hdGFsIENhcmUvKm1ldGhvZHM8L2tleXdvcmQ+PGtleXdvcmQ+VHJl
YXRtZW50IE91dGNvbWU8L2tleXdvcmQ+PGtleXdvcmQ+V2VpZ2h0IEdhaW48L2tleXdvcmQ+PC9r
ZXl3b3Jkcz48ZGF0ZXM+PHllYXI+MjAxNzwveWVhcj48cHViLWRhdGVzPjxkYXRlPk5vdjwvZGF0
ZT48L3B1Yi1kYXRlcz48L2RhdGVzPjxpc2JuPjE4NzMtMjMzWCAoRWxlY3Ryb25pYykmI3hEOzAw
MjktNzg0NCAoTGlua2luZyk8L2lzYm4+PGFjY2Vzc2lvbi1udW0+MjkwMTY0ODU8L2FjY2Vzc2lv
bi1udW0+PHVybHM+PHJlbGF0ZWQtdXJscz48dXJsPmh0dHBzOi8vd3d3Lm5jYmkubmxtLm5paC5n
b3YvcHVibWVkLzI5MDE2NDg1PC91cmw+PC9yZWxhdGVkLXVybHM+PC91cmxzPjxlbGVjdHJvbmlj
LXJlc291cmNlLW51bT4xMC4xMDk3L0FPRy4wMDAwMDAwMDAwMDAyMjY3PC9lbGVjdHJvbmljLXJl
c291cmNlLW51bT48L3JlY29yZD48L0NpdGU+PENpdGU+PEF1dGhvcj5HYXJuYWVzPC9BdXRob3I+
PFllYXI+MjAxNjwvWWVhcj48UmVjTnVtPjY4ODwvUmVjTnVtPjxyZWNvcmQ+PHJlYy1udW1iZXI+
Njg4PC9yZWMtbnVtYmVyPjxmb3JlaWduLWtleXM+PGtleSBhcHA9IkVOIiBkYi1pZD0iZXh2YXNy
ZngyZHRyYW9lc2FzeHAyc3pzeGEyZGY1MDI1OTJ4IiB0aW1lc3RhbXA9IjE1NDA1MjczOTMiPjY4
ODwva2V5PjwvZm9yZWlnbi1rZXlzPjxyZWYtdHlwZSBuYW1lPSJKb3VybmFsIEFydGljbGUiPjE3
PC9yZWYtdHlwZT48Y29udHJpYnV0b3JzPjxhdXRob3JzPjxhdXRob3I+R2FybmFlcywgSy4gSy48
L2F1dGhvcj48YXV0aG9yPk1vcmt2ZWQsIFMuPC9hdXRob3I+PGF1dGhvcj5TYWx2ZXNlbiwgTy48
L2F1dGhvcj48YXV0aG9yPk1vaG9sZHQsIFQuPC9hdXRob3I+PC9hdXRob3JzPjwvY29udHJpYnV0
b3JzPjxhdXRoLWFkZHJlc3M+RGVwYXJ0bWVudCBvZiBDaXJjdWxhdGlvbiBhbmQgTWVkaWNhbCBJ
bWFnaW5nLCBNZWRpY2FsIEZhY3VsdHksIE5vcndlZ2lhbiBVbml2ZXJzaXR5IG9mIFNjaWVuY2Ug
YW5kIFRlY2hub2xvZ3kgKE5UTlUpLCBUcm9uZGhlaW0sIE5vcndheS4mI3hEO0RlcGFydG1lbnQg
b2YgUHVibGljIEhlYWx0aCBhbmQgR2VuZXJhbCBQcmFjdGljZSwgTWVkaWNhbCBGYWN1bHR5LCBO
b3J3ZWdpYW4gVW5pdmVyc2l0eSBvZiBTY2llbmNlIGFuZCBUZWNobm9sb2d5IChOVE5VKSwgVHJv
bmRoZWltLCBOb3J3YXkuJiN4RDtDbGluaWNhbCBTZXJ2aWNlLCBTdC4gT2xhdnMgSG9zcGl0YWws
IFRyb25kaGVpbSBVbml2ZXJzaXR5IEhvc3BpdGFsLCBUcm9uZGhlaW0sIE5vcndheS4mI3hEO0Rl
cGFydG1lbnQgb2YgV29tZW4mYXBvcztzIEhlYWx0aCwgU3QuIE9sYXZzIEhvc3BpdGFsLCBUcm9u
ZGhlaW0gVW5pdmVyc2l0eSBIb3NwaXRhbCwgVHJvbmRoZWltLCBOb3J3YXkuPC9hdXRoLWFkZHJl
c3M+PHRpdGxlcz48dGl0bGU+RXhlcmNpc2UgVHJhaW5pbmcgYW5kIFdlaWdodCBHYWluIGluIE9i
ZXNlIFByZWduYW50IFdvbWVuOiBBIFJhbmRvbWl6ZWQgQ29udHJvbGxlZCBUcmlhbCAoRVRJUCBU
cmlhbCk8L3RpdGxlPjxzZWNvbmRhcnktdGl0bGU+UExvUyBNZWQ8L3NlY29uZGFyeS10aXRsZT48
L3RpdGxlcz48cGVyaW9kaWNhbD48ZnVsbC10aXRsZT5QTG9TIE1lZDwvZnVsbC10aXRsZT48L3Bl
cmlvZGljYWw+PHBhZ2VzPmUxMDAyMDc5PC9wYWdlcz48dm9sdW1lPjEzPC92b2x1bWU+PG51bWJl
cj43PC9udW1iZXI+PGVkaXRpb24+MjAxNi8wNy8yODwvZWRpdGlvbj48a2V5d29yZHM+PGtleXdv
cmQ+QWR1bHQ8L2tleXdvcmQ+PGtleXdvcmQ+Qmxvb2QgUHJlc3N1cmU8L2tleXdvcmQ+PGtleXdv
cmQ+RGlhYmV0ZXMsIEdlc3RhdGlvbmFsL3ByZXZlbnRpb24gJmFtcDsgY29udHJvbDwva2V5d29y
ZD48a2V5d29yZD5FeGVyY2lzZS9waHlzaW9sb2d5PC9rZXl3b3JkPjxrZXl3b3JkPkV4ZXJjaXNl
IFRoZXJhcHkvYWR2ZXJzZSBlZmZlY3RzLyptZXRob2RzPC9rZXl3b3JkPjxrZXl3b3JkPkZlbWFs
ZTwva2V5d29yZD48a2V5d29yZD5IdW1hbnM8L2tleXdvcmQ+PGtleXdvcmQ+T2Jlc2l0eS8qY29t
cGxpY2F0aW9ucy9wcmV2ZW50aW9uICZhbXA7IGNvbnRyb2wvdGhlcmFweTwva2V5d29yZD48a2V5
d29yZD5PdmVyd2VpZ2h0L2NvbXBsaWNhdGlvbnMvcHJldmVudGlvbiAmYW1wOyBjb250cm9sL3Ro
ZXJhcHk8L2tleXdvcmQ+PGtleXdvcmQ+UHJlZ25hbmN5PC9rZXl3b3JkPjxrZXl3b3JkPlByZWdu
YW5jeSBDb21wbGljYXRpb25zL3ByZXZlbnRpb24gJmFtcDsgY29udHJvbC8qdGhlcmFweTwva2V5
d29yZD48a2V5d29yZD5UcmVhdG1lbnQgT3V0Y29tZTwva2V5d29yZD48a2V5d29yZD5XZWlnaHQg
R2Fpbjwva2V5d29yZD48L2tleXdvcmRzPjxkYXRlcz48eWVhcj4yMDE2PC95ZWFyPjxwdWItZGF0
ZXM+PGRhdGU+SnVsPC9kYXRlPjwvcHViLWRhdGVzPjwvZGF0ZXM+PGlzYm4+MTU0OS0xNjc2IChF
bGVjdHJvbmljKSYjeEQ7MTU0OS0xMjc3IChMaW5raW5nKTwvaXNibj48YWNjZXNzaW9uLW51bT4y
NzQ1OTM3NTwvYWNjZXNzaW9uLW51bT48dXJscz48cmVsYXRlZC11cmxzPjx1cmw+aHR0cHM6Ly93
d3cubmNiaS5ubG0ubmloLmdvdi9wdWJtZWQvMjc0NTkzNzU8L3VybD48L3JlbGF0ZWQtdXJscz48
L3VybHM+PGN1c3RvbTI+UE1DNDk2MTM5MjwvY3VzdG9tMj48ZWxlY3Ryb25pYy1yZXNvdXJjZS1u
dW0+MTAuMTM3MS9qb3VybmFsLnBtZWQuMTAwMjA3OTwvZWxlY3Ryb25pYy1yZXNvdXJjZS1udW0+
PC9yZWNvcmQ+PC9DaXRlPjxDaXRlPjxBdXRob3I+R2Fyc2hhc2JpPC9BdXRob3I+PFllYXI+MjAw
NTwvWWVhcj48UmVjTnVtPjY4OTwvUmVjTnVtPjxyZWNvcmQ+PHJlYy1udW1iZXI+Njg5PC9yZWMt
bnVtYmVyPjxmb3JlaWduLWtleXM+PGtleSBhcHA9IkVOIiBkYi1pZD0iZXh2YXNyZngyZHRyYW9l
c2FzeHAyc3pzeGEyZGY1MDI1OTJ4IiB0aW1lc3RhbXA9IjE1NDA1Mjc0MjAiPjY4OTwva2V5Pjwv
Zm9yZWlnbi1rZXlzPjxyZWYtdHlwZSBuYW1lPSJKb3VybmFsIEFydGljbGUiPjE3PC9yZWYtdHlw
ZT48Y29udHJpYnV0b3JzPjxhdXRob3JzPjxhdXRob3I+R2Fyc2hhc2JpLCBBLjwvYXV0aG9yPjxh
dXRob3I+RmFnaGloIFphZGVoLCBTLjwvYXV0aG9yPjwvYXV0aG9ycz48L2NvbnRyaWJ1dG9ycz48
YXV0aC1hZGRyZXNzPkRlcGFydG1lbnQgb2YgT2JzdGV0cmljcyBhbmQgR3luZWNvbG9neSwgU2hh
aGVkIFVuaXZlcnNpdHksIEZhY3VsdHkgb2YgTWVkaWNpbmUsIDE0ODE5NzM0MTEgVGVocmFuLCBJ
cmFuLiBhZ2Fyc2hhc2JpQG9iZ3luLm5ldDwvYXV0aC1hZGRyZXNzPjx0aXRsZXM+PHRpdGxlPlRo
ZSBlZmZlY3Qgb2YgZXhlcmNpc2Ugb24gdGhlIGludGVuc2l0eSBvZiBsb3cgYmFjayBwYWluIGlu
IHByZWduYW50IHdvbWVuPC90aXRsZT48c2Vjb25kYXJ5LXRpdGxlPkludCBKIEd5bmFlY29sIE9i
c3RldDwvc2Vjb25kYXJ5LXRpdGxlPjwvdGl0bGVzPjxwZXJpb2RpY2FsPjxmdWxsLXRpdGxlPklu
dCBKIEd5bmFlY29sIE9ic3RldDwvZnVsbC10aXRsZT48L3BlcmlvZGljYWw+PHBhZ2VzPjI3MS01
PC9wYWdlcz48dm9sdW1lPjg4PC92b2x1bWU+PG51bWJlcj4zPC9udW1iZXI+PGVkaXRpb24+MjAw
NS8wMy8wMTwvZWRpdGlvbj48a2V5d29yZHM+PGtleXdvcmQ+QmlvbWVjaGFuaWNhbCBQaGVub21l
bmE8L2tleXdvcmQ+PGtleXdvcmQ+KkV4ZXJjaXNlIFRoZXJhcHk8L2tleXdvcmQ+PGtleXdvcmQ+
RmVtYWxlPC9rZXl3b3JkPjxrZXl3b3JkPkh1bWFuczwva2V5d29yZD48a2V5d29yZD5Mb3cgQmFj
ayBQYWluL3BoeXNpb3BhdGhvbG9neS8qcHJldmVudGlvbiAmYW1wOyBjb250cm9sPC9rZXl3b3Jk
PjxrZXl3b3JkPlByZWduYW5jeTwva2V5d29yZD48a2V5d29yZD5QcmVnbmFuY3kgQ29tcGxpY2F0
aW9ucy8qcHJldmVudGlvbiAmYW1wOyBjb250cm9sPC9rZXl3b3JkPjxrZXl3b3JkPlByZWduYW5j
eSBUcmltZXN0ZXIsIFNlY29uZDwva2V5d29yZD48a2V5d29yZD5QcmVnbmFuY3kgVHJpbWVzdGVy
LCBUaGlyZDwva2V5d29yZD48a2V5d29yZD5Qcm9zcGVjdGl2ZSBTdHVkaWVzPC9rZXl3b3JkPjxr
ZXl3b3JkPlNwaW5lL3BoeXNpb3BhdGhvbG9neTwva2V5d29yZD48L2tleXdvcmRzPjxkYXRlcz48
eWVhcj4yMDA1PC95ZWFyPjxwdWItZGF0ZXM+PGRhdGU+TWFyPC9kYXRlPjwvcHViLWRhdGVzPjwv
ZGF0ZXM+PGlzYm4+MDAyMC03MjkyIChQcmludCkmI3hEOzAwMjAtNzI5MiAoTGlua2luZyk8L2lz
Ym4+PGFjY2Vzc2lvbi1udW0+MTU3MzM4ODA8L2FjY2Vzc2lvbi1udW0+PHVybHM+PHJlbGF0ZWQt
dXJscz48dXJsPmh0dHBzOi8vd3d3Lm5jYmkubmxtLm5paC5nb3YvcHVibWVkLzE1NzMzODgwPC91
cmw+PC9yZWxhdGVkLXVybHM+PC91cmxzPjxlbGVjdHJvbmljLXJlc291cmNlLW51bT4xMC4xMDE2
L2ouaWpnby4yMDA0LjEyLjAwMTwvZWxlY3Ryb25pYy1yZXNvdXJjZS1udW0+PC9yZWNvcmQ+PC9D
aXRlPjxDaXRlPjxBdXRob3I+SGFha3N0YWQ8L0F1dGhvcj48WWVhcj4yMDExPC9ZZWFyPjxSZWNO
dW0+NjkyPC9SZWNOdW0+PHJlY29yZD48cmVjLW51bWJlcj42OTI8L3JlYy1udW1iZXI+PGZvcmVp
Z24ta2V5cz48a2V5IGFwcD0iRU4iIGRiLWlkPSJleHZhc3JmeDJkdHJhb2VzYXN4cDJzenN4YTJk
ZjUwMjU5MngiIHRpbWVzdGFtcD0iMTU0MDUyNzUyMSI+NjkyPC9rZXk+PC9mb3JlaWduLWtleXM+
PHJlZi10eXBlIG5hbWU9IkpvdXJuYWwgQXJ0aWNsZSI+MTc8L3JlZi10eXBlPjxjb250cmlidXRv
cnM+PGF1dGhvcnM+PGF1dGhvcj5IYWFrc3RhZCwgTC4gQS48L2F1dGhvcj48YXV0aG9yPkJvLCBL
LjwvYXV0aG9yPjwvYXV0aG9ycz48L2NvbnRyaWJ1dG9ycz48YXV0aC1hZGRyZXNzPk5vcndlZ2lh
biBTY2hvb2wgb2YgU3BvcnQgU2NpZW5jZXMsIERlcGFydG1lbnQgb2YgU3BvcnRzIE1lZGljaW5l
LCBVbGxldmFsIFN0YWRpb24sIE9zbG8sIE5vcndheS4gbGVuZS5oYWFrc3RhZEBuaWgubm88L2F1
dGgtYWRkcmVzcz48dGl0bGVzPjx0aXRsZT5FZmZlY3Qgb2YgcmVndWxhciBleGVyY2lzZSBvbiBw
cmV2ZW50aW9uIG9mIGV4Y2Vzc2l2ZSB3ZWlnaHQgZ2FpbiBpbiBwcmVnbmFuY3k6IGEgcmFuZG9t
aXNlZCBjb250cm9sbGVkIHRyaWFsPC90aXRsZT48c2Vjb25kYXJ5LXRpdGxlPkV1ciBKIENvbnRy
YWNlcHQgUmVwcm9kIEhlYWx0aCBDYXJlPC9zZWNvbmRhcnktdGl0bGU+PC90aXRsZXM+PHBlcmlv
ZGljYWw+PGZ1bGwtdGl0bGU+RXVyIEogQ29udHJhY2VwdCBSZXByb2QgSGVhbHRoIENhcmU8L2Z1
bGwtdGl0bGU+PC9wZXJpb2RpY2FsPjxwYWdlcz4xMTYtMjU8L3BhZ2VzPjx2b2x1bWU+MTY8L3Zv
bHVtZT48bnVtYmVyPjI8L251bWJlcj48ZWRpdGlvbj4yMDExLzAzLzIzPC9lZGl0aW9uPjxrZXl3
b3Jkcz48a2V5d29yZD5BZHVsdDwva2V5d29yZD48a2V5d29yZD4qRXhlcmNpc2U8L2tleXdvcmQ+
PGtleXdvcmQ+RmVtYWxlPC9rZXl3b3JkPjxrZXl3b3JkPipIZWFsdGggQmVoYXZpb3I8L2tleXdv
cmQ+PGtleXdvcmQ+SGVhbHRoIFByb21vdGlvbi8qbWV0aG9kczwva2V5d29yZD48a2V5d29yZD5I
dW1hbnM8L2tleXdvcmQ+PGtleXdvcmQ+UG9zdHBhcnR1bSBQZXJpb2Q8L2tleXdvcmQ+PGtleXdv
cmQ+UHJlZ25hbmN5LypwaHlzaW9sb2d5PC9rZXl3b3JkPjxrZXl3b3JkPlByZW5hdGFsIENhcmUv
Km1ldGhvZHM8L2tleXdvcmQ+PGtleXdvcmQ+V2VpZ2h0IEdhaW4vKnBoeXNpb2xvZ3k8L2tleXdv
cmQ+PGtleXdvcmQ+WW91bmcgQWR1bHQ8L2tleXdvcmQ+PC9rZXl3b3Jkcz48ZGF0ZXM+PHllYXI+
MjAxMTwveWVhcj48cHViLWRhdGVzPjxkYXRlPkFwcjwvZGF0ZT48L3B1Yi1kYXRlcz48L2RhdGVz
Pjxpc2JuPjE0NzMtMDc4MiAoRWxlY3Ryb25pYykmI3hEOzEzNjItNTE4NyAoTGlua2luZyk8L2lz
Ym4+PGFjY2Vzc2lvbi1udW0+MjE0MTc1NjE8L2FjY2Vzc2lvbi1udW0+PHVybHM+PHJlbGF0ZWQt
dXJscz48dXJsPmh0dHBzOi8vd3d3Lm5jYmkubmxtLm5paC5nb3YvcHVibWVkLzIxNDE3NTYxPC91
cmw+PC9yZWxhdGVkLXVybHM+PC91cmxzPjxlbGVjdHJvbmljLXJlc291cmNlLW51bT4xMC4zMTA5
LzEzNjI1MTg3LjIwMTEuNTYwMzA3PC9lbGVjdHJvbmljLXJlc291cmNlLW51bT48L3JlY29yZD48
L0NpdGU+PENpdGU+PEF1dGhvcj5NdXJ0ZXphbmk8L0F1dGhvcj48WWVhcj4yMDE0PC9ZZWFyPjxS
ZWNOdW0+Njk5PC9SZWNOdW0+PHJlY29yZD48cmVjLW51bWJlcj42OTk8L3JlYy1udW1iZXI+PGZv
cmVpZ24ta2V5cz48a2V5IGFwcD0iRU4iIGRiLWlkPSJleHZhc3JmeDJkdHJhb2VzYXN4cDJzenN4
YTJkZjUwMjU5MngiIHRpbWVzdGFtcD0iMTU0MDUzMDM2MSI+Njk5PC9rZXk+PC9mb3JlaWduLWtl
eXM+PHJlZi10eXBlIG5hbWU9IkpvdXJuYWwgQXJ0aWNsZSI+MTc8L3JlZi10eXBlPjxjb250cmli
dXRvcnM+PGF1dGhvcnM+PGF1dGhvcj5NdXJ0ZXphbmksIEEuPC9hdXRob3I+PGF1dGhvcj5QYWNh
cmFkYSwgTS48L2F1dGhvcj48YXV0aG9yPklicmFpbWksIFouPC9hdXRob3I+PGF1dGhvcj5OZXZ6
YXRpLCBBLjwvYXV0aG9yPjxhdXRob3I+QWJhemksIE4uPC9hdXRob3I+PC9hdXRob3JzPjwvY29u
dHJpYnV0b3JzPjxhdXRoLWFkZHJlc3M+UGh5c2ljYWwgTWVkaWNpbmUgYW5kIFJlaGFiaWxpdGF0
aW9uIENsaW5pYyBVbml2ZXJzaXR5IENsaW5pY2FsIENlbnRlciBvZiBLb3Nvdm8gUHJpc2h0aW5h
LCBSZXB1YmxpYyBvZiBLb3Nvdm8gLSBhcmRpYW5hYUB5YWhvby5jb20uPC9hdXRoLWFkZHJlc3M+
PHRpdGxlcz48dGl0bGU+VGhlIGltcGFjdCBvZiBleGVyY2lzZSBkdXJpbmcgcHJlZ25hbmN5IG9u
IG5lb25hdGFsIG91dGNvbWVzOiBhIHJhbmRvbWl6ZWQgY29udHJvbGxlZCB0cmlhbDwvdGl0bGU+
PHNlY29uZGFyeS10aXRsZT5KIFNwb3J0cyBNZWQgUGh5cyBGaXRuZXNzPC9zZWNvbmRhcnktdGl0
bGU+PC90aXRsZXM+PHBlcmlvZGljYWw+PGZ1bGwtdGl0bGU+SiBTcG9ydHMgTWVkIFBoeXMgRml0
bmVzczwvZnVsbC10aXRsZT48L3BlcmlvZGljYWw+PHBhZ2VzPjgwMi04PC9wYWdlcz48dm9sdW1l
PjU0PC92b2x1bWU+PG51bWJlcj42PC9udW1iZXI+PGVkaXRpb24+MjAxNC8xMC8yOTwvZWRpdGlv
bj48a2V5d29yZHM+PGtleXdvcmQ+QWR1bHQ8L2tleXdvcmQ+PGtleXdvcmQ+QXBnYXIgU2NvcmU8
L2tleXdvcmQ+PGtleXdvcmQ+QmlydGggV2VpZ2h0PC9rZXl3b3JkPjxrZXl3b3JkPkV4ZXJjaXNl
LypwaHlzaW9sb2d5PC9rZXl3b3JkPjxrZXl3b3JkPkZlbWFsZTwva2V5d29yZD48a2V5d29yZD5H
ZXN0YXRpb25hbCBBZ2U8L2tleXdvcmQ+PGtleXdvcmQ+SHVtYW5zPC9rZXl3b3JkPjxrZXl3b3Jk
PkluZmFudCwgTmV3Ym9ybi8qZ3Jvd3RoICZhbXA7IGRldmVsb3BtZW50PC9rZXl3b3JkPjxrZXl3
b3JkPk1hbGU8L2tleXdvcmQ+PGtleXdvcmQ+UHJlZ25hbmN5LypwaHlzaW9sb2d5PC9rZXl3b3Jk
PjxrZXl3b3JkPlJlc2lzdGFuY2UgVHJhaW5pbmc8L2tleXdvcmQ+PGtleXdvcmQ+WW91bmcgQWR1
bHQ8L2tleXdvcmQ+PC9rZXl3b3Jkcz48ZGF0ZXM+PHllYXI+MjAxNDwveWVhcj48cHViLWRhdGVz
PjxkYXRlPkRlYzwvZGF0ZT48L3B1Yi1kYXRlcz48L2RhdGVzPjxpc2JuPjAwMjItNDcwNyAoUHJp
bnQpJiN4RDswMDIyLTQ3MDcgKExpbmtpbmcpPC9pc2JuPjxhY2Nlc3Npb24tbnVtPjI1MzUwMDM3
PC9hY2Nlc3Npb24tbnVtPjx1cmxzPjxyZWxhdGVkLXVybHM+PHVybD5odHRwczovL3d3dy5uY2Jp
Lm5sbS5uaWguZ292L3B1Ym1lZC8yNTM1MDAzNzwvdXJsPjwvcmVsYXRlZC11cmxzPjwvdXJscz48
L3JlY29yZD48L0NpdGU+PENpdGU+PEF1dGhvcj5OYXNjaW1lbnRvPC9BdXRob3I+PFllYXI+MjAx
MTwvWWVhcj48UmVjTnVtPjEwNDA8L1JlY051bT48cmVjb3JkPjxyZWMtbnVtYmVyPjEwNDA8L3Jl
Yy1udW1iZXI+PGZvcmVpZ24ta2V5cz48a2V5IGFwcD0iRU4iIGRiLWlkPSJleHZhc3JmeDJkdHJh
b2VzYXN4cDJzenN4YTJkZjUwMjU5MngiIHRpbWVzdGFtcD0iMTU0ODk4MzQ3NiI+MTA0MDwva2V5
PjwvZm9yZWlnbi1rZXlzPjxyZWYtdHlwZSBuYW1lPSJKb3VybmFsIEFydGljbGUiPjE3PC9yZWYt
dHlwZT48Y29udHJpYnV0b3JzPjxhdXRob3JzPjxhdXRob3I+TmFzY2ltZW50bywgUy4gTC48L2F1
dGhvcj48YXV0aG9yPlN1cml0YSwgRi4gRy48L2F1dGhvcj48YXV0aG9yPlBhcnBpbmVsbGksIE3D
gjwvYXV0aG9yPjxhdXRob3I+U2lhbmksIFMuPC9hdXRob3I+PGF1dGhvcj5QaW50byBlIFNpbHZh
LCBKLiBMLjwvYXV0aG9yPjwvYXV0aG9ycz48L2NvbnRyaWJ1dG9ycz48dGl0bGVzPjx0aXRsZT5U
aGUgZWZmZWN0IG9mIGFuIGFudGVuYXRhbCBwaHlzaWNhbCBleGVyY2lzZSBwcm9ncmFtbWUgb24g
bWF0ZXJuYWwvcGVyaW5hdGFsIG91dGNvbWVzIGFuZCBxdWFsaXR5IG9mIGxpZmUgaW4gb3Zlcndl
aWdodCBhbmQgb2Jlc2UgcHJlZ25hbnQgd29tZW46IGEgcmFuZG9taXNlZCBjbGluaWNhbCB0cmlh
bDwvdGl0bGU+PHNlY29uZGFyeS10aXRsZT5CSk9HOiBBbiBJbnRlcm5hdGlvbmFsIEpvdXJuYWwg
b2YgT2JzdGV0cmljcyAmYW1wOyBHeW5hZWNvbG9neTwvc2Vjb25kYXJ5LXRpdGxlPjwvdGl0bGVz
PjxwZXJpb2RpY2FsPjxmdWxsLXRpdGxlPkJKT0c6IEFuIEludGVybmF0aW9uYWwgSm91cm5hbCBv
ZiBPYnN0ZXRyaWNzICZhbXA7IEd5bmFlY29sb2d5PC9mdWxsLXRpdGxlPjwvcGVyaW9kaWNhbD48
cGFnZXM+MTQ1NS0xNDYzPC9wYWdlcz48dm9sdW1lPjExODwvdm9sdW1lPjxudW1iZXI+MTI8L251
bWJlcj48c2VjdGlvbj4xNDU1PC9zZWN0aW9uPjxkYXRlcz48eWVhcj4yMDExPC95ZWFyPjwvZGF0
ZXM+PGlzYm4+MTQ3MDAzMjg8L2lzYm4+PHVybHM+PC91cmxzPjxlbGVjdHJvbmljLXJlc291cmNl
LW51bT4xMC4xMTExL2ouMTQ3MS0wNTI4LjIwMTEuMDMwODQueDwvZWxlY3Ryb25pYy1yZS==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002747EA">
        <w:rPr>
          <w:noProof/>
          <w:sz w:val="16"/>
          <w:szCs w:val="16"/>
        </w:rPr>
        <w:fldChar w:fldCharType="begin">
          <w:fldData xml:space="preserve">c291cmNlLW51bT48L3JlY29yZD48L0NpdGU+PENpdGU+PEF1dGhvcj5Pb3N0ZGFtPC9BdXRob3I+
PFllYXI+MjAxMjwvWWVhcj48UmVjTnVtPjYxMDwvUmVjTnVtPjxyZWNvcmQ+PHJlYy1udW1iZXI+
NjEwPC9yZWMtbnVtYmVyPjxmb3JlaWduLWtleXM+PGtleSBhcHA9IkVOIiBkYi1pZD0iZXh2YXNy
ZngyZHRyYW9lc2FzeHAyc3pzeGEyZGY1MDI1OTJ4IiB0aW1lc3RhbXA9IjE1MzkwNDgzNDUiPjYx
MDwva2V5PjxrZXkgYXBwPSJFTldlYiIgZGItaWQ9IiI+MDwva2V5PjwvZm9yZWlnbi1rZXlzPjxy
ZWYtdHlwZSBuYW1lPSJKb3VybmFsIEFydGljbGUiPjE3PC9yZWYtdHlwZT48Y29udHJpYnV0b3Jz
PjxhdXRob3JzPjxhdXRob3I+T29zdGRhbSwgTi48L2F1dGhvcj48YXV0aG9yPnZhbiBQb3BwZWws
IE0uIE4uPC9hdXRob3I+PGF1dGhvcj5Xb3V0ZXJzLCBNLiBHLjwvYXV0aG9yPjxhdXRob3I+RWVr
aG9mZiwgRS4gTS48L2F1dGhvcj48YXV0aG9yPkJla2VkYW0sIEQuIEouPC9hdXRob3I+PGF1dGhv
cj5LdWNoZW5iZWNrZXIsIFcuIEsuPC9hdXRob3I+PGF1dGhvcj5RdWFydGVybywgSC4gVy48L2F1
dGhvcj48YXV0aG9yPkhlcmVzLCBNLiBILjwvYXV0aG9yPjxhdXRob3I+dmFuIE1lY2hlbGVuLCBX
LjwvYXV0aG9yPjwvYXV0aG9ycz48L2NvbnRyaWJ1dG9ycz48YXV0aC1hZGRyZXNzPkRlcGFydG1l
bnQgb2YgUHVibGljIGFuZCBPY2N1cGF0aW9uYWwgSGVhbHRoLCBFTUdPKyBJbnN0aXR1dGUgZm9y
IEhlYWx0aCBhbmQgQ2FyZSBSZXNlYXJjaCwgVlUgVW5pdmVyc2l0eSBNZWRpY2FsIENlbnRlciwg
QW1zdGVyZGFtLCBUaGUgTmV0aGVybGFuZHMuPC9hdXRoLWFkZHJlc3M+PHRpdGxlcz48dGl0bGU+
Tm8gZWZmZWN0IG9mIHRoZSBGaXRGb3IyIGV4ZXJjaXNlIHByb2dyYW1tZSBvbiBibG9vZCBnbHVj
b3NlLCBpbnN1bGluIHNlbnNpdGl2aXR5LCBhbmQgYmlydGh3ZWlnaHQgaW4gcHJlZ25hbnQgd29t
ZW4gd2hvIHdlcmUgb3ZlcndlaWdodCBhbmQgYXQgcmlzayBmb3IgZ2VzdGF0aW9uYWwgZGlhYmV0
ZXM6IHJlc3VsdHMgb2YgYSByYW5kb21pc2VkIGNvbnRyb2xsZWQgdHJpYWw8L3RpdGxlPjxzZWNv
bmRhcnktdGl0bGU+QkpPRzwvc2Vjb25kYXJ5LXRpdGxlPjwvdGl0bGVzPjxwZXJpb2RpY2FsPjxm
dWxsLXRpdGxlPkJKT0c8L2Z1bGwtdGl0bGU+PC9wZXJpb2RpY2FsPjxwYWdlcz4xMDk4LTEwNzwv
cGFnZXM+PHZvbHVtZT4xMTk8L3ZvbHVtZT48bnVtYmVyPjk8L251bWJlcj48ZWRpdGlvbj4yMDEy
LzA1LzI0PC9lZGl0aW9uPjxrZXl3b3Jkcz48a2V5d29yZD5BZHVsdDwva2V5d29yZD48a2V5d29y
ZD5CaXJ0aCBXZWlnaHQvKnBoeXNpb2xvZ3k8L2tleXdvcmQ+PGtleXdvcmQ+Qmxvb2QgR2x1Y29z
ZS8qbWV0YWJvbGlzbTwva2V5d29yZD48a2V5d29yZD5EaWFiZXRlcyBNZWxsaXR1cywgVHlwZSAy
L2dlbmV0aWNzPC9rZXl3b3JkPjxrZXl3b3JkPkRpYWJldGVzLCBHZXN0YXRpb25hbC9ibG9vZC9w
aHlzaW9wYXRob2xvZ3kvKnByZXZlbnRpb24gJmFtcDsgY29udHJvbDwva2V5d29yZD48a2V5d29y
ZD5FeGVyY2lzZSBUaGVyYXB5LyptZXRob2RzPC9rZXl3b3JkPjxrZXl3b3JkPkZhc3RpbmcvYmxv
b2Q8L2tleXdvcmQ+PGtleXdvcmQ+RmVtYWxlPC9rZXl3b3JkPjxrZXl3b3JkPkdlc3RhdGlvbmFs
IEFnZTwva2V5d29yZD48a2V5d29yZD5HbHljYXRlZCBIZW1vZ2xvYmluIEEvbWV0YWJvbGlzbTwv
a2V5d29yZD48a2V5d29yZD5IdW1hbnM8L2tleXdvcmQ+PGtleXdvcmQ+SW5zdWxpbiBSZXNpc3Rh
bmNlLypwaHlzaW9sb2d5PC9rZXl3b3JkPjxrZXl3b3JkPk92ZXJ3ZWlnaHQvYmxvb2QvcGh5c2lv
cGF0aG9sb2d5Lyp0aGVyYXB5PC9rZXl3b3JkPjxrZXl3b3JkPlBhdGllbnQgQ29tcGxpYW5jZTwv
a2V5d29yZD48a2V5d29yZD5QZWRpZ3JlZTwva2V5d29yZD48a2V5d29yZD5QcmVnbmFuY3k8L2tl
eXdvcmQ+PGtleXdvcmQ+UHJlZ25hbmN5IE91dGNvbWU8L2tleXdvcmQ+PGtleXdvcmQ+UHJlZ25h
bmN5IFRyaW1lc3RlciwgU2Vjb25kPC9rZXl3b3JkPjxrZXl3b3JkPlByZWduYW5jeSBUcmltZXN0
ZXIsIFRoaXJkPC9rZXl3b3JkPjwva2V5d29yZHM+PGRhdGVzPjx5ZWFyPjIwMTI8L3llYXI+PHB1
Yi1kYXRlcz48ZGF0ZT5BdWc8L2RhdGU+PC9wdWItZGF0ZXM+PC9kYXRlcz48aXNibj4xNDcxLTA1
MjggKEVsZWN0cm9uaWMpJiN4RDsxNDcwLTAzMjggKExpbmtpbmcpPC9pc2JuPjxhY2Nlc3Npb24t
bnVtPjIyNjE2OTEzPC9hY2Nlc3Npb24tbnVtPjx1cmxzPjxyZWxhdGVkLXVybHM+PHVybD5odHRw
czovL3d3dy5uY2JpLm5sbS5uaWguZ292L3B1Ym1lZC8yMjYxNjkxMzwvdXJsPjwvcmVsYXRlZC11
cmxzPjwvdXJscz48ZWxlY3Ryb25pYy1yZXNvdXJjZS1udW0+MTAuMTExMS9qLjE0NzEtMDUyOC4y
MDEyLjAzMzY2Lng8L2VsZWN0cm9uaWMtcmVzb3VyY2UtbnVtPjwvcmVjb3JkPjwvQ2l0ZT48Q2l0
ZT48QXV0aG9yPlBlcmFsZXM8L0F1dGhvcj48WWVhcj4yMDE1PC9ZZWFyPjxSZWNOdW0+MTA3MTwv
UmVjTnVtPjxyZWNvcmQ+PHJlYy1udW1iZXI+MTA3MTwvcmVjLW51bWJlcj48Zm9yZWlnbi1rZXlz
PjxrZXkgYXBwPSJFTiIgZGItaWQ9ImV4dmFzcmZ4MmR0cmFvZXNhc3hwMnN6c3hhMmRmNTAyNTky
eCIgdGltZXN0YW1wPSIxNTQ4OTkxMzczIj4xMDcxPC9rZXk+PC9mb3JlaWduLWtleXM+PHJlZi10
eXBlIG5hbWU9IkpvdXJuYWwgQXJ0aWNsZSI+MTc8L3JlZi10eXBlPjxjb250cmlidXRvcnM+PGF1
dGhvcnM+PGF1dGhvcj5QZXJhbGVzLCBNLiw8L2F1dGhvcj48YXV0aG9yPkNvcmRlcm8sIFkuLDwv
YXV0aG9yPjxhdXRob3I+VmFyZ2FzLCBNLiw8L2F1dGhvcj48YXV0aG9yPkx1Y2lhLCBBLiw8L2F1
dGhvcj48YXV0aG9yPkJhcmFrYXQsIFIuLDwvYXV0aG9yPjwvYXV0aG9ycz48L2NvbnRyaWJ1dG9y
cz48dGl0bGVzPjx0aXRsZT5FeGVyY2lzZSBhbmQgZGVwcmVzc2lvbiBpbiBvdmVyd2VpZ2h0IGFu
ZCBvYmVzZSBwcmVnbmFudCB3b21lbjogQSByYW5kb21pc2VkIGNvbnRyb2xsZWQgdHJpYWw8L3Rp
dGxlPjxzZWNvbmRhcnktdGl0bGU+QXJjaCBNZWQgRGVwb3J0ZTwvc2Vjb25kYXJ5LXRpdGxlPjwv
dGl0bGVzPjxwZXJpb2RpY2FsPjxmdWxsLXRpdGxlPkFyY2ggTWVkIERlcG9ydGU8L2Z1bGwtdGl0
bGU+PC9wZXJpb2RpY2FsPjxwYWdlcz4xNTYtMTYzPC9wYWdlcz48dm9sdW1lPjMyPC92b2x1bWU+
PGRhdGVzPjx5ZWFyPjIwMTU8L3llYXI+PC9kYXRlcz48dXJscz48L3VybHM+PC9yZWNvcmQ+PC9D
aXRlPjxDaXRlPjxBdXRob3I+UGVyYWxlczwvQXV0aG9yPjxZZWFyPjIwMTU8L1llYXI+PFJlY051
bT43MDQ8L1JlY051bT48cmVjb3JkPjxyZWMtbnVtYmVyPjcwNDwvcmVjLW51bWJlcj48Zm9yZWln
bi1rZXlzPjxrZXkgYXBwPSJFTiIgZGItaWQ9ImV4dmFzcmZ4MmR0cmFvZXNhc3hwMnN6c3hhMmRm
NTAyNTkyeCIgdGltZXN0YW1wPSIxNTQwNTMwNTY0Ij43MDQ8L2tleT48L2ZvcmVpZ24ta2V5cz48
cmVmLXR5cGUgbmFtZT0iSm91cm5hbCBBcnRpY2xlIj4xNzwvcmVmLXR5cGU+PGNvbnRyaWJ1dG9y
cz48YXV0aG9ycz48YXV0aG9yPlBlcmFsZXMsIE0uPC9hdXRob3I+PGF1dGhvcj5SZWZveW8sIEku
PC9hdXRob3I+PGF1dGhvcj5Db3Rlcm9uLCBKLjwvYXV0aG9yPjxhdXRob3I+QmFjY2hpLCBNLjwv
YXV0aG9yPjxhdXRob3I+QmFyYWthdCwgUi48L2F1dGhvcj48L2F1dGhvcnM+PC9jb250cmlidXRv
cnM+PGF1dGgtYWRkcmVzcz5EZXBhcnRtZW50IG9mIFNvY2lhbCBTY2llbmNlcywgUGh5c2ljYWwg
QWN0aXZpdHkgYW5kIFNwb3J0IFNjaWVuY2VzIEZhY3VsdHktSU5FRiwgVGVjaG5pY2FsIFVuaXZl
cnNpdHkgb2YgTWFkcmlkLCBNYWRyaWQsIFNwYWluLiYjeEQ7RmFjdWx0eSBvZiBQaHlzaWNhbCBB
Y3Rpdml0eSBhbmQgU3BvcnRzLCBVbml2ZXJzaXR5IG9mIEZsb3JlcywgQnVlbm9zIEFpcmVzLCBB
cmdlbnRpbmEuJiN4RDtEZXBhcnRtZW50IG9mIFNvY2lhbCBTY2llbmNlcywgUGh5c2ljYWwgQWN0
aXZpdHkgYW5kIFNwb3J0IFNjaWVuY2VzIEZhY3VsdHktSU5FRiwgVGVjaG5pY2FsIFVuaXZlcnNp
dHkgb2YgTWFkcmlkLCBNYWRyaWQsIFNwYWluIGJhcmFrYXRydWJlbkBnbWFpbC5jb20uPC9hdXRo
LWFkZHJlc3M+PHRpdGxlcz48dGl0bGU+RXhlcmNpc2UgZHVyaW5nIHByZWduYW5jeSBhdHRlbnVh
dGVzIHByZW5hdGFsIGRlcHJlc3Npb246IGEgcmFuZG9taXplZCBjb250cm9sbGVkIHRyaWFsPC90
aXRsZT48c2Vjb25kYXJ5LXRpdGxlPkV2YWwgSGVhbHRoIFByb2Y8L3NlY29uZGFyeS10aXRsZT48
L3RpdGxlcz48cGVyaW9kaWNhbD48ZnVsbC10aXRsZT5FdmFsIEhlYWx0aCBQcm9mPC9mdWxsLXRp
dGxlPjwvcGVyaW9kaWNhbD48cGFnZXM+NTktNzI8L3BhZ2VzPjx2b2x1bWU+Mzg8L3ZvbHVtZT48
bnVtYmVyPjE8L251bWJlcj48ZWRpdGlvbj4yMDE0LzA1LzMwPC9lZGl0aW9uPjxrZXl3b3Jkcz48
a2V5d29yZD5BZHVsdDwva2V5d29yZD48a2V5d29yZD5BcGdhciBTY29yZTwva2V5d29yZD48a2V5
d29yZD5Cb2R5IE1hc3MgSW5kZXg8L2tleXdvcmQ+PGtleXdvcmQ+RGVwcmVzc2lvbi8qdGhlcmFw
eTwva2V5d29yZD48a2V5d29yZD5FeGVyY2lzZSBUaGVyYXB5LyptZXRob2RzPC9rZXl3b3JkPjxr
ZXl3b3JkPkZlbWFsZTwva2V5d29yZD48a2V5d29yZD5IdW1hbnM8L2tleXdvcmQ+PGtleXdvcmQ+
UHJlZ25hbmN5PC9rZXl3b3JkPjxrZXl3b3JkPlByZWduYW5jeSBDb21wbGljYXRpb25zLyp0aGVy
YXB5PC9rZXl3b3JkPjxrZXl3b3JkPlByZWduYW5jeSBPdXRjb21lPC9rZXl3b3JkPjxrZXl3b3Jk
PlNwYWluPC9rZXl3b3JkPjxrZXl3b3JkPldlaWdodCBHYWluPC9rZXl3b3JkPjxrZXl3b3JkPmRl
cHJlc3Npb248L2tleXdvcmQ+PGtleXdvcmQ+ZXhlcmNpc2U8L2tleXdvcmQ+PGtleXdvcmQ+cHJl
bmF0YWw8L2tleXdvcmQ+PGtleXdvcmQ+d2VsbC1iZWluZzwva2V5d29yZD48L2tleXdvcmRzPjxk
YXRlcz48eWVhcj4yMDE1PC95ZWFyPjxwdWItZGF0ZXM+PGRhdGU+TWFyPC9kYXRlPjwvcHViLWRh
dGVzPjwvZGF0ZXM+PGlzYm4+MTU1Mi0zOTE4IChFbGVjdHJvbmljKSYjeEQ7MDE2My0yNzg3IChM
aW5raW5nKTwvaXNibj48YWNjZXNzaW9uLW51bT4yNDg3MjQ0MjwvYWNjZXNzaW9uLW51bT48dXJs
cz48cmVsYXRlZC11cmxzPjx1cmw+aHR0cHM6Ly93d3cubmNiaS5ubG0ubmloLmdvdi9wdWJtZWQv
MjQ4NzI0NDI8L3VybD48L3JlbGF0ZWQtdXJscz48L3VybHM+PGVsZWN0cm9uaWMtcmVzb3VyY2Ut
bnVtPjEwLjExNzcvMDE2MzI3ODcxNDUzMzU2NjwvZWxlY3Ryb25pYy1yZXNvdXJjZS1udW0+PC9y
ZWNvcmQ+PC9DaXRlPjxDaXRlPjxBdXRob3I+UGVyYWxlczwvQXV0aG9yPjxZZWFyPjIwMTY8L1ll
YXI+PFJlY051bT45MjQ8L1JlY051bT48cmVjb3JkPjxyZWMtbnVtYmVyPjkyNDwvcmVjLW51bWJl
cj48Zm9yZWlnbi1rZXlzPjxrZXkgYXBwPSJFTiIgZGItaWQ9ImV4dmFzcmZ4MmR0cmFvZXNhc3hw
MnN6c3hhMmRmNTAyNTkyeCIgdGltZXN0YW1wPSIxNTQxNTQwOTI1Ij45MjQ8L2tleT48a2V5IGFw
cD0iRU5XZWIiIGRiLWlkPSIiPjA8L2tleT48L2ZvcmVpZ24ta2V5cz48cmVmLXR5cGUgbmFtZT0i
Sm91cm5hbCBBcnRpY2xlIj4xNzwvcmVmLXR5cGU+PGNvbnRyaWJ1dG9ycz48YXV0aG9ycz48YXV0
aG9yPlBlcmFsZXMsIE1hcmlhPC9hdXRob3I+PGF1dGhvcj5DYWxhYnJpYSwgSXJlbmU8L2F1dGhv
cj48YXV0aG9yPkxvcGV6LCBDYXJtaW5hPC9hdXRob3I+PGF1dGhvcj5GcmFuY28sIEV2ZWxpYTwv
YXV0aG9yPjxhdXRob3I+Q290ZXJvbiwgSmF2aWVyPC9hdXRob3I+PGF1dGhvcj5CYXJha2F0LCBS
dWJlbjwvYXV0aG9yPjwvYXV0aG9ycz48L2NvbnRyaWJ1dG9ycz48dGl0bGVzPjx0aXRsZT5SZWd1
bGFyIEV4ZXJjaXNlIFRocm91Z2hvdXQgUHJlZ25hbmN5IGlzIEFzc29jaWF0ZWQgd2l0aCBhIFNo
b3J0ZXIgRmlyc3QgU3RhZ2Ugb2YgTGFib3I8L3RpdGxlPjxzZWNvbmRhcnktdGl0bGU+QW1lcmlj
YW4gSm91cm5hbCBvZiBIZWFsdGggUHJvbW90aW9uPC9zZWNvbmRhcnktdGl0bGU+PC90aXRsZXM+
PHBlcmlvZGljYWw+PGZ1bGwtdGl0bGU+QW1lcmljYW4gSm91cm5hbCBvZiBIZWFsdGggUHJvbW90
aW9uPC9mdWxsLXRpdGxlPjwvcGVyaW9kaWNhbD48cGFnZXM+MTQ5LTE1NzwvcGFnZXM+PHZvbHVt
ZT4zMDwvdm9sdW1lPjxudW1iZXI+MzwvbnVtYmVyPjxzZWN0aW9uPjE0OTwvc2VjdGlvbj48ZGF0
ZXM+PHllYXI+MjAxNjwveWVhcj48L2RhdGVzPjxpc2JuPjA4OTAtMTE3MSYjeEQ7MjE2OC02NjAy
PC9pc2JuPjx1cmxzPjwvdXJscz48ZWxlY3Ryb25pYy1yZXNvdXJjZS1udW0+MTAuNDI3OC9hamhw
LjE0MDIyMS1RVUFOLTc5PC9lbGVjdHJvbmljLXJlc291cmNlLW51bT48L3JlY29yZD48L0NpdGU+
PENpdGU+PEF1dGhvcj5QZXJhbGVzPC9BdXRob3I+PFllYXI+MjAxNjwvWWVhcj48UmVjTnVtPjEw
NjY8L1JlY051bT48cmVjb3JkPjxyZWMtbnVtYmVyPjEwNjY8L3JlYy1udW1iZXI+PGZvcmVpZ24t
a2V5cz48a2V5IGFwcD0iRU4iIGRiLWlkPSJleHZhc3JmeDJkdHJhb2VzYXN4cDJzenN4YTJkZjUw
MjU5MngiIHRpbWVzdGFtcD0iMTU0ODk5MDI5NiI+MTA2Njwva2V5PjwvZm9yZWlnbi1rZXlzPjxy
ZWYtdHlwZSBuYW1lPSJKb3VybmFsIEFydGljbGUiPjE3PC9yZWYtdHlwZT48Y29udHJpYnV0b3Jz
PjxhdXRob3JzPjxhdXRob3I+UGVyYWxlcywgTS48L2F1dGhvcj48YXV0aG9yPlNhbnRvcy1Mb3ph
bm8sIEEuPC9hdXRob3I+PGF1dGhvcj5TYW5jaGlzLUdvbWFyLCBGLjwvYXV0aG9yPjxhdXRob3I+
THVhY2VzLCBNLjwvYXV0aG9yPjxhdXRob3I+UGFyZWphLUdhbGVhbm8sIEguPC9hdXRob3I+PGF1
dGhvcj5HYXJhdGFjaGVhLCBOLjwvYXV0aG9yPjxhdXRob3I+QmFyYWthdCwgUi48L2F1dGhvcj48
YXV0aG9yPkx1Y2lhLCBBLjwvYXV0aG9yPjwvYXV0aG9ycz48L2NvbnRyaWJ1dG9ycz48YXV0aC1h
ZGRyZXNzPjFSZXNlYXJjaCBJbnN0aXR1dGUgSG9zcGl0YWwgMTIgZGUgT2N0dWJyZSAoJmFwb3M7
aSsxMiZhcG9zOyksIE1hZHJpZCwgU1BBSU47IDJBRklQRSBSZXNlYXJjaCBHcm91cCwgRmFjdWx0
eSBvZiBQaHlzaWNhbCBBY3Rpdml0eSBhbmQgU3BvcnRzIFNjaWVuY2VzIElORUYsIFRlY2huaWNh
bCBVbml2ZXJzaXR5IG9mIE1hZHJpZCwgU1BBSU47IDNHSURGWVMsIERlcGFydG1lbnQgb2YgSGVh
bHRoIFNjaWVuY2VzLCBFdXJvcGVhbiBVbml2ZXJzaXR5IE1pZ3VlbCBkZSBDZXJ2YW50ZXMsIFZh
bGxhZG9saWQsIFNQQUlOOyA0RGVwYXJ0bWVudCBvZiBDYXJkaW9sb2d5LCBDYXJkaW92YXNjdWxh
ciBJbnN0aXR1dGUsIEhvc3BpdGFsIENsaW5pY28gU2FuIENhcmxvcywgTWFkcmlkLCBTUEFJTjsg
NVNjaG9vbCBvZiBEb2N0b3JhdGUgU3R1ZGllcyBhbmQgUmVzZWFyY2gsIEV1cm9wZWFuIFVuaXZl
cnNpdHksIE1hZHJpZCwgU1BBSU47IGFuZCA2RGVwYXJ0YW1lbnRvIGRlIEZpc2lhdHJpYSB5IEVu
ZmVybWVyaWEuIEZhY3VsdGFkIGRlIENpZW5jaWFzIGRlIGxhIFNhbHVkIHkgZGVsIERlcG9ydGUu
IEluc3RpdHV0byBBZ3JvYWxpbWVudGFyaW8gZGUgQXJhZ29uLUlBMiwgVW5pdmVyc2lkYWQgZGUg
WmFyYWdvemEtQ0lUQSwgWmFyYWdvemEsIFNQQUlOLjwvYXV0aC1hZGRyZXNzPjx0aXRsZXM+PHRp
dGxlPk1hdGVybmFsIENhcmRpYWMgQWRhcHRhdGlvbnMgdG8gYSBQaHlzaWNhbCBFeGVyY2lzZSBQ
cm9ncmFtIGR1cmluZyBQcmVnbmFuY3k8L3RpdGxlPjxzZWNvbmRhcnktdGl0bGU+TWVkIFNjaSBT
cG9ydHMgRXhlcmM8L3NlY29uZGFyeS10aXRsZT48L3RpdGxlcz48cGVyaW9kaWNhbD48ZnVsbC10
aXRsZT5NZWQgU2NpIFNwb3J0cyBFeGVyYzwvZnVsbC10aXRsZT48L3BlcmlvZGljYWw+PHBhZ2Vz
Pjg5Ni05MDY8L3BhZ2VzPjx2b2x1bWU+NDg8L3ZvbHVtZT48bnVtYmVyPjU8L251bWJlcj48ZWRp
dGlvbj4yMDE1LzEyLzI0PC9lZGl0aW9uPjxrZXl3b3Jkcz48a2V5d29yZD5BZHVsdDwva2V5d29y
ZD48a2V5d29yZD5BdHJpYWwgUmVtb2RlbGluZzwva2V5d29yZD48a2V5d29yZD5DYXJkaW92YXNj
dWxhciBEaXNlYXNlcy9wcmV2ZW50aW9uICZhbXA7IGNvbnRyb2w8L2tleXdvcmQ+PGtleXdvcmQ+
KkNhcmRpb3Zhc2N1bGFyIFBoeXNpb2xvZ2ljYWwgUGhlbm9tZW5hPC9rZXl3b3JkPjxrZXl3b3Jk
PkRlcHJlc3Npb24vcHJldmVudGlvbiAmYW1wOyBjb250cm9sPC9rZXl3b3JkPjxrZXl3b3JkPkVj
aG9jYXJkaW9ncmFwaHk8L2tleXdvcmQ+PGtleXdvcmQ+KkV4ZXJjaXNlPC9rZXl3b3JkPjxrZXl3
b3JkPkZlbWFsZTwva2V5d29yZD48a2V5d29yZD5IZW1vZHluYW1pY3M8L2tleXdvcmQ+PGtleXdv
cmQ+SHVtYW5zPC9rZXl3b3JkPjxrZXl3b3JkPlByZWduYW5jeS8qcGh5c2lvbG9neTwva2V5d29y
ZD48a2V5d29yZD5QcmVnbmFuY3kgT3V0Y29tZTwva2V5d29yZD48a2V5d29yZD5SaXNrIEZhY3Rv
cnM8L2tleXdvcmQ+PGtleXdvcmQ+VmVudHJpY3VsYXIgRnVuY3Rpb24sIExlZnQ8L2tleXdvcmQ+
PGtleXdvcmQ+VmVudHJpY3VsYXIgUmVtb2RlbGluZzwva2V5d29yZD48a2V5d29yZD5XZWlnaHQg
R2Fpbjwva2V5d29yZD48L2tleXdvcmRzPjxkYXRlcz48eWVhcj4yMDE2PC95ZWFyPjxwdWItZGF0
ZXM+PGRhdGU+TWF5PC9kYXRlPjwvcHViLWRhdGVzPjwvZGF0ZXM+PGlzYm4+MTUzMC0wMzE1IChF
bGVjdHJvbmljKSYjeEQ7MDE5NS05MTMxIChMaW5raW5nKTwvaXNibj48YWNjZXNzaW9uLW51bT4y
NjY5NDg0ODwvYWNjZXNzaW9uLW51bT48dXJscz48cmVsYXRlZC11cmxzPjx1cmw+aHR0cHM6Ly93
d3cubmNiaS5ubG0ubmloLmdvdi9wdWJtZWQvMjY2OTQ4NDg8L3VybD48L3JlbGF0ZWQtdXJscz48
L3VybHM+PGVsZWN0cm9uaWMtcmVzb3VyY2UtbnVtPjEwLjEyNDkvTVNTLjAwMDAwMDAwMDAwMDA4
Mzc8L2VsZWN0cm9uaWMtcmVzb3VyY2UtbnVtPjwvcmVjb3JkPjwvQ2l0ZT48Q2l0ZT48QXV0aG9y
PlBpbnpvbjwvQXV0aG9yPjxZZWFyPjIwMTI8L1llYXI+PFJlY051bT4xMDQ3PC9SZWNOdW0+PHJl
Y29yZD48cmVjLW51bWJlcj4xMDQ3PC9yZWMtbnVtYmVyPjxmb3JlaWduLWtleXM+PGtleSBhcHA9
IkVOIiBkYi1pZD0iZXh2YXNyZngyZHRyYW9lc2FzeHAyc3pzeGEyZGY1MDI1OTJ4IiB0aW1lc3Rh
bXA9IjE1NDg5ODM0NzYiPjEwNDc8L2tleT48L2ZvcmVpZ24ta2V5cz48cmVmLXR5cGUgbmFtZT0i
Sm91cm5hbCBBcnRpY2xlIj4xNzwvcmVmLXR5cGU+PGNvbnRyaWJ1dG9ycz48YXV0aG9ycz48YXV0
aG9yPlBpbnpvbiwgRC4gQy48L2F1dGhvcj48YXV0aG9yPlphbW9yYSwgSy48L2F1dGhvcj48YXV0
aG9yPk1hcnRpbmV6LCBKLiBILjwvYXV0aG9yPjxhdXRob3I+RmxvcmV6LUxvcGV6LCBNLiBFLjwv
YXV0aG9yPjxhdXRob3I+ZGUgUGxhdGEsIEEuIEMuPC9hdXRob3I+PGF1dGhvcj5Nb3NxdWVyYSwg
TS48L2F1dGhvcj48YXV0aG9yPlJhbWlyZXotVmVsZXosIFIuPC9hdXRob3I+PC9hdXRob3JzPjwv
Y29udHJpYnV0b3JzPjxhdXRoLWFkZHJlc3M+UHJvZ3JhbWEgZGUgRmlzaW90ZXJhcGlhLCBGdW5k
YWNpb24gVW5pdmVyc2l0YXJpYSBNYXJpYSBDYW5vLCBDYWxpLCBDb2xvbWJpYS4mI3hEO0ZhY3Vs
dGFkIGRlIEVuZmVybWVyaWEgeSBSZWhhYmlsaXRhY2lvbiwgVW5pdmVyc2lkYWQgZGUgbGEgU2Fi
YW5hLCBDaGlhLCBDb2xvbWJpYS4mI3hEO0dydXBvIGRlIE51dHJpY2lvbiwgRGVwYXJ0YW1lbnRv
IGRlIENpZW5jaWFzIEZpc2lvbG9naWNhcywgRXNjdWVsYSBkZSBDaWVuY2lhcyBCYXNpY2FzLCBV
bml2ZXJzaWRhZCBkZWwgVmFsbGUsIENhbGksIENvbG9tYmlhLiYjeEQ7R3J1cG8gR0lDQUVEUywg
RmFjdWx0YWQgZGUgQ3VsdHVyYSBGaXNpY2EsIERlcG9ydGUgeSBSZWNyZWFjaW9uLCBVbml2ZXJz
aWRhZCBTYW50b28gVG9tYXMuPC9hdXRoLWFkZHJlc3M+PHRpdGxlcz48dGl0bGU+VHlwZSBvZiBk
ZWxpdmVyeSBhbmQgZ2VzdGF0aW9uYWwgYWdlIGlzIG5vdCBhZmZlY3RlZCBieSBwcmVnbmFudCBM
YXRpbi1BbWVyaWNhbiB3b21lbiBlbmdhZ2luZyBpbiB2aWdvcm91cyBleGVyY2lzZTogYSBzZWNv
bmRhcnkgYW5hbHlzaXMgb2YgZGF0YSBmcm9tIGEgY29udHJvbGxlZCByYW5kb21pemVkIHRyaWFs
PC90aXRsZT48c2Vjb25kYXJ5LXRpdGxlPlJldiBTYWx1ZCBQdWJsaWNhIChCb2dvdGEpPC9zZWNv
bmRhcnktdGl0bGU+PC90aXRsZXM+PHBlcmlvZGljYWw+PGZ1bGwtdGl0bGU+UmV2IFNhbHVkIFB1
YmxpY2EgKEJvZ290YSk8L2Z1bGwtdGl0bGU+PC9wZXJpb2RpY2FsPjxwYWdlcz43MzEtNDM8L3Bh
Z2VzPjx2b2x1bWU+MTQ8L3ZvbHVtZT48bnVtYmVyPjU8L251bWJlcj48ZWRpdGlvbj4yMDEyLzEw
LzAxPC9lZGl0aW9uPjxrZXl3b3Jkcz48a2V5d29yZD5BZHVsdDwva2V5d29yZD48a2V5d29yZD5B
bnRocm9wb21ldHJ5PC9rZXl3b3JkPjxrZXl3b3JkPkFwZ2FyIFNjb3JlPC9rZXl3b3JkPjxrZXl3
b3JkPkJpcnRoIFdlaWdodDwva2V5d29yZD48a2V5d29yZD5CbG9vZCBQcmVzc3VyZTwva2V5d29y
ZD48a2V5d29yZD5Cb2R5IFdlaWdodDwva2V5d29yZD48a2V5d29yZD5Db2xvbWJpYTwva2V5d29y
ZD48a2V5d29yZD5EZWxpdmVyeSwgT2JzdGV0cmljLypzdGF0aXN0aWNzICZhbXA7IG51bWVyaWNh
bCBkYXRhPC9rZXl3b3JkPjxrZXl3b3JkPipFeGVyY2lzZTwva2V5d29yZD48a2V5d29yZD5GZW1h
bGU8L2tleXdvcmQ+PGtleXdvcmQ+Kkdlc3RhdGlvbmFsIEFnZTwva2V5d29yZD48a2V5d29yZD5I
b3NwaXRhbHMsIE1hdGVybml0eTwva2V5d29yZD48a2V5d29yZD5IdW1hbnM8L2tleXdvcmQ+PGtl
eXdvcmQ+SW5mYW50LCBOZXdib3JuPC9rZXl3b3JkPjxrZXl3b3JkPlByZWduYW5jeS8qcGh5c2lv
bG9neTwva2V5d29yZD48a2V5d29yZD5QcmVnbmFuY3kgT3V0Y29tZTwva2V5d29yZD48a2V5d29y
ZD5QcmVuYXRhbCBDYXJlPC9rZXl3b3JkPjxrZXl3b3JkPlJhbmRvbWl6ZWQgQ29udHJvbGxlZCBU
cmlhbHMgYXMgVG9waWM8L2tleXdvcmQ+PGtleXdvcmQ+U29jaW9lY29ub21pYyBGYWN0b3JzPC9r
ZXl3b3JkPjxrZXl3b3JkPlRlcnRpYXJ5IENhcmUgQ2VudGVyczwva2V5d29yZD48a2V5d29yZD5X
ZWlnaHQgR2Fpbjwva2V5d29yZD48a2V5d29yZD5Zb3VuZyBBZHVsdDwva2V5d29yZD48L2tleXdv
cmRzPjxkYXRlcz48eWVhcj4yMDEyPC95ZWFyPjxwdWItZGF0ZXM+PGRhdGU+T2N0PC9kYXRlPjwv
cHViLWRhdGVzPjwvZGF0ZXM+PGlzYm4+MDEyNC0wMDY0IChQcmludCkmI3hEOzAxMjQtMDA2NCAo
TGlua2luZyk8L2lzYm4+PGFjY2Vzc2lvbi1udW0+MjQ2NTIzNTM8L2FjY2Vzc2lvbi1udW0+PHVy
bHM+PHJlbGF0ZWQtdXJscz48dXJsPmh0dHBzOi8vd3d3Lm5jYmkubmxtLm5paC5nb3YvcHVibWVk
LzI0NjUyMzUzPC91cmw+PC9yZWxhdGVkLXVybHM+PC91cmxzPjwvcmVjb3JkPjwvQ2l0ZT48Q2l0
ZT48QXV0aG9yPlByaWNlPC9BdXRob3I+PFllYXI+MjAxMjwvWWVhcj48UmVjTnVtPjcwNzwvUmVj
TnVtPjxyZWNvcmQ+PHJlYy1udW1iZXI+NzA3PC9yZWMtbnVtYmVyPjxmb3JlaWduLWtleXM+PGtl
eSBhcHA9IkVOIiBkYi1pZD0iZXh2YXNyZngyZHRyYW9lc2FzeHAyc3pzeGEyZGY1MDI1OTJ4IiB0
aW1lc3RhbXA9IjE1NDA1MzIyMjIiPjcwNzwva2V5PjwvZm9yZWlnbi1rZXlzPjxyZWYtdHlwZSBu
YW1lPSJKb3VybmFsIEFydGljbGUiPjE3PC9yZWYtdHlwZT48Y29udHJpYnV0b3JzPjxhdXRob3Jz
PjxhdXRob3I+UHJpY2UsIEIuIEIuPC9hdXRob3I+PGF1dGhvcj5BbWluaSwgUy4gQi48L2F1dGhv
cj48YXV0aG9yPkthcHBlbGVyLCBLLjwvYXV0aG9yPjwvYXV0aG9ycz48L2NvbnRyaWJ1dG9ycz48
YXV0aC1hZGRyZXNzPlByb2Zlc3Npb25hbCBBc3NvY2lhdGlvbiwgQXVzdGluLCBUWCwgVVNBLiBi
ZWVwcmljZUBncmFuZGVjb20ubmV0PC9hdXRoLWFkZHJlc3M+PHRpdGxlcz48dGl0bGU+RXhlcmNp
c2UgaW4gcHJlZ25hbmN5OiBlZmZlY3Qgb24gZml0bmVzcyBhbmQgb2JzdGV0cmljIG91dGNvbWVz
LWEgcmFuZG9taXplZCB0cmlhbDwvdGl0bGU+PHNlY29uZGFyeS10aXRsZT5NZWQgU2NpIFNwb3J0
cyBFeGVyYzwvc2Vjb25kYXJ5LXRpdGxlPjwvdGl0bGVzPjxwZXJpb2RpY2FsPjxmdWxsLXRpdGxl
Pk1lZCBTY2kgU3BvcnRzIEV4ZXJjPC9mdWxsLXRpdGxlPjwvcGVyaW9kaWNhbD48cGFnZXM+MjI2
My05PC9wYWdlcz48dm9sdW1lPjQ0PC92b2x1bWU+PG51bWJlcj4xMjwvbnVtYmVyPjxlZGl0aW9u
PjIwMTIvMDcvMzE8L2VkaXRpb24+PGtleXdvcmRzPjxrZXl3b3JkPkFkb2xlc2NlbnQ8L2tleXdv
cmQ+PGtleXdvcmQ+QWR1bHQ8L2tleXdvcmQ+PGtleXdvcmQ+RXhlcmNpc2UvKnBoeXNpb2xvZ3k8
L2tleXdvcmQ+PGtleXdvcmQ+RmVtYWxlPC9rZXl3b3JkPjxrZXl3b3JkPkdlc3RhdGlvbmFsIEFn
ZTwva2V5d29yZD48a2V5d29yZD5IdW1hbnM8L2tleXdvcmQ+PGtleXdvcmQ+TXVzY2xlIFN0cmVu
Z3RoL3BoeXNpb2xvZ3k8L2tleXdvcmQ+PGtleXdvcmQ+T3V0Y29tZSBBc3Nlc3NtZW50IChIZWFs
dGggQ2FyZSk8L2tleXdvcmQ+PGtleXdvcmQ+UGh5c2ljYWwgRml0bmVzcy8qcGh5c2lvbG9neTwv
a2V5d29yZD48a2V5d29yZD5QcmVnbmFuY3k8L2tleXdvcmQ+PGtleXdvcmQ+KlByZWduYW5jeSBP
dXRjb21lPC9rZXl3b3JkPjxrZXl3b3JkPlByb3NwZWN0aXZlIFN0dWRpZXM8L2tleXdvcmQ+PGtl
eXdvcmQ+VGV4YXM8L2tleXdvcmQ+PGtleXdvcmQ+WW91bmcgQWR1bHQ8L2tleXdvcmQ+PC9rZXl3
b3Jkcz48ZGF0ZXM+PHllYXI+MjAxMjwveWVhcj48cHViLWRhdGVzPjxkYXRlPkRlYzwvZGF0ZT48
L3B1Yi1kYXRlcz48L2RhdGVzPjxpc2JuPjE1MzAtMDMxNSAoRWxlY3Ryb25pYykmI3hEOzAxOTUt
OTEzMSAoTGlua2luZyk8L2lzYm4+PGFjY2Vzc2lvbi1udW0+MjI4NDMxMTQ8L2FjY2Vzc2lvbi1u
dW0+PHVybHM+PHJlbGF0ZWQtdXJscz48dXJsPmh0dHBzOi8vd3d3Lm5jYmkubmxtLm5paC5nb3Yv
cHVibWVkLzIyODQzMTE0PC91cmw+PC9yZWxhdGVkLXVybHM+PC91cmxzPjxlbGVjdHJvbmljLXJl
c291cmNlLW51bT4xMC4xMjQ5L01TUy4wYjAxM2UzMTgyNjdhZDY3PC9lbGVjdHJvbmljLXJlc291
cmNlLW51bT48L3JlY29yZD48L0NpdGU+PENpdGU+PEF1dGhvcj5SdWl6PC9BdXRob3I+PFllYXI+
MjAxMzwvWWVhcj48UmVjTnVtPjY3MzwvUmVjTnVtPjxyZWNvcmQ+PHJlYy1udW1iZXI+NjczPC9y
ZWMtbnVtYmVyPjxmb3JlaWduLWtleXM+PGtleSBhcHA9IkVOIiBkYi1pZD0iZXh2YXNyZngyZHRy
YW9lc2FzeHAyc3pzeGEyZGY1MDI1OTJ4IiB0aW1lc3RhbXA9IjE1NDA1MjY3NDkiPjY3Mzwva2V5
PjwvZm9yZWlnbi1rZXlzPjxyZWYtdHlwZSBuYW1lPSJKb3VybmFsIEFydGljbGUiPjE3PC9yZWYt
dHlwZT48Y29udHJpYnV0b3JzPjxhdXRob3JzPjxhdXRob3I+UnVpeiwgSi4gUi48L2F1dGhvcj48
YXV0aG9yPlBlcmFsZXMsIE0uPC9hdXRob3I+PGF1dGhvcj5QZWxhZXosIE0uPC9hdXRob3I+PGF1
dGhvcj5Mb3BleiwgQy48L2F1dGhvcj48YXV0aG9yPkx1Y2lhLCBBLjwvYXV0aG9yPjxhdXRob3I+
QmFyYWthdCwgUi48L2F1dGhvcj48L2F1dGhvcnM+PC9jb250cmlidXRvcnM+PGF1dGgtYWRkcmVz
cz5Qcm9tb3RpbmcgRml0bmVzcyBhbmQgSGVhbHRoIFRocm91Z2ggUGh5c2ljYWwgQWN0aXZpdHkg
UmVzZWFyY2ggR3JvdXAsIERlcGFydG1lbnQgb2YgUGh5c2ljYWwgRWR1Y2F0aW9uIGFuZCBTcG9y
dHMsIFNjaG9vbCBvZiBTcG9ydCBTY2llbmNlcywgVW5pdmVyc2l0eSBvZiBHcmFuYWRhLCBHcmFu
YWRhLCBTcGFpbi4gRWxlY3Ryb25pYyBhZGRyZXNzOiBydWl6akB1Z3IuZXMuPC9hdXRoLWFkZHJl
c3M+PHRpdGxlcz48dGl0bGU+U3VwZXJ2aXNlZCBleGVyY2lzZS1iYXNlZCBpbnRlcnZlbnRpb24g
dG8gcHJldmVudCBleGNlc3NpdmUgZ2VzdGF0aW9uYWwgd2VpZ2h0IGdhaW46IGEgcmFuZG9taXpl
ZCBjb250cm9sbGVkIHRyaWFsPC90aXRsZT48c2Vjb25kYXJ5LXRpdGxlPk1heW8gQ2xpbiBQcm9j
PC9zZWNvbmRhcnktdGl0bGU+PC90aXRsZXM+PHBlcmlvZGljYWw+PGZ1bGwtdGl0bGU+TWF5byBD
bGluIFByb2M8L2Z1bGwtdGl0bGU+PC9wZXJpb2RpY2FsPjxwYWdlcz4xMzg4LTk3PC9wYWdlcz48
dm9sdW1lPjg4PC92b2x1bWU+PG51bWJlcj4xMjwvbnVtYmVyPjxlZGl0aW9uPjIwMTMvMTIvMDM8
L2VkaXRpb24+PGtleXdvcmRzPjxrZXl3b3JkPkFkdWx0PC9rZXl3b3JkPjxrZXl3b3JkPkJvZHkg
TWFzcyBJbmRleDwva2V5d29yZD48a2V5d29yZD4qRXhlcmNpc2U8L2tleXdvcmQ+PGtleXdvcmQ+
RmVtYWxlPC9rZXl3b3JkPjxrZXl3b3JkPkh1bWFuczwva2V5d29yZD48a2V5d29yZD5OYXRpb25h
bCBBY2FkZW1pZXMgb2YgU2NpZW5jZSwgRW5naW5lZXJpbmcsIGFuZCBNZWRpY2luZSAoVS5TLikg
SGVhbHRoIGFuZDwva2V5d29yZD48a2V5d29yZD5NZWRpY2luZSBEaXZpc2lvbjwva2V5d29yZD48
a2V5d29yZD5PYmVzaXR5L2V0aW9sb2d5LypwcmV2ZW50aW9uICZhbXA7IGNvbnRyb2w8L2tleXdv
cmQ+PGtleXdvcmQ+T2RkcyBSYXRpbzwva2V5d29yZD48a2V5d29yZD5QcmFjdGljZSBHdWlkZWxp
bmVzIGFzIFRvcGljPC9rZXl3b3JkPjxrZXl3b3JkPlByZWduYW5jeTwva2V5d29yZD48a2V5d29y
ZD5QcmVnbmFuY3kgQ29tcGxpY2F0aW9ucy8qcHJldmVudGlvbiAmYW1wOyBjb250cm9sPC9rZXl3
b3JkPjxrZXl3b3JkPlJpc2sgRmFjdG9yczwva2V5d29yZD48a2V5d29yZD5UcmVhdG1lbnQgT3V0
Y29tZTwva2V5d29yZD48a2V5d29yZD5Vbml0ZWQgU3RhdGVzPC9rZXl3b3JkPjxrZXl3b3JkPipX
ZWlnaHQgR2Fpbjwva2V5d29yZD48a2V5d29yZD5CbWk8L2tleXdvcmQ+PGtleXdvcmQ+SW9tPC9r
ZXl3b3JkPjxrZXl3b3JkPkluc3RpdHV0ZSBvZiBNZWRpY2luZTwva2V5d29yZD48a2V5d29yZD5P
cjwva2V5d29yZD48a2V5d29yZD5SY3Q8L2tleXdvcmQ+PGtleXdvcmQ+cmFuZG9taXplZCBjb250
cm9sbGVkIHRyaWFsPC9rZXl3b3JkPjwva2V5d29yZHM+PGRhdGVzPjx5ZWFyPjIwMTM8L3llYXI+
PHB1Yi1kYXRlcz48ZGF0ZT5EZWM8L2RhdGU+PC9wdWItZGF0ZXM+PC9kYXRlcz48aXNibj4xOTQy
LTU1NDYgKEVsZWN0cm9uaWMpJiN4RDswMDI1LTYxOTYgKExpbmtpbmcpPC9pc2JuPjxhY2Nlc3Np
b24tbnVtPjI0MjkwMTEyPC9hY2Nlc3Npb24tbnVtPjx1cmxzPjxyZWxhdGVkLXVybHM+PHVybD5o
dHRwczovL3d3dy5uY2JpLm5sbS5uaWguZ292L3B1Ym1lZC8yNDI5MDExMjwvdXJsPjwvcmVsYXRl
ZC11cmxzPjwvdXJscz48ZWxlY3Ryb25pYy1yZXNvdXJjZS1udW0+MTAuMTAxNi9qLm1heW9jcC4y
MDEzLjA3LjAyMDwvZWxlY3Ryb25pYy1yZXNvdXJjZS1udW0+PC9yZWNvcmQ+PC9DaXRlPjxDaXRl
PjxBdXRob3I+U2ltbW9uczwvQXV0aG9yPjxZZWFyPjIwMTc8L1llYXI+PFJlY051bT4xMDU3PC9S
ZWNOdW0+PHJlY29yZD48cmVjLW51bWJlcj4xMDU3PC9yZWMtbnVtYmVyPjxmb3JlaWduLWtleXM+
PGtleSBhcHA9IkVOIiBkYi1pZD0iZXh2YXNyZngyZHRyYW9lc2FzeHAyc3pzeGEyZGY1MDI1OTJ4
IiB0aW1lc3RhbXA9IjE1NDg5ODM0NzYiPjEwNTc8L2tleT48L2ZvcmVpZ24ta2V5cz48cmVmLXR5
cGUgbmFtZT0iSm91cm5hbCBBcnRpY2xlIj4xNzwvcmVmLXR5cGU+PGNvbnRyaWJ1dG9ycz48YXV0
aG9ycz48YXV0aG9yPlNpbW1vbnMsIEQuPC9hdXRob3I+PGF1dGhvcj5EZXZsaWVnZXIsIFIuPC9h
dXRob3I+PGF1dGhvcj52YW4gQXNzY2hlLCBBLjwvYXV0aG9yPjxhdXRob3I+SmFucywgRy48L2F1
dGhvcj48YXV0aG9yPkdhbGphYXJkLCBTLjwvYXV0aG9yPjxhdXRob3I+Q29yY295LCBSLjwvYXV0
aG9yPjxhdXRob3I+QWRlbGFudGFkbywgSi4gTS48L2F1dGhvcj48YXV0aG9yPkR1bm5lLCBGLjwv
YXV0aG9yPjxhdXRob3I+RGVzb3llLCBHLjwvYXV0aG9yPjxhdXRob3I+SGFycmVpdGVyLCBKLjwv
YXV0aG9yPjxhdXRob3I+S2F1dHpreS1XaWxsZXIsIEEuPC9hdXRob3I+PGF1dGhvcj5EYW1tLCBQ
LjwvYXV0aG9yPjxhdXRob3I+TWF0aGllc2VuLCBFLiBSLjwvYXV0aG9yPjxhdXRob3I+SmVuc2Vu
LCBELiBNLjwvYXV0aG9yPjxhdXRob3I+QW5kZXJzZW4sIEwuPC9hdXRob3I+PGF1dGhvcj5MYXBv
bGxhLCBBLjwvYXV0aG9yPjxhdXRob3I+RGFsZnJhLCBNLiBHLjwvYXV0aG9yPjxhdXRob3I+QmVy
dG9sb3R0bywgQS48L2F1dGhvcj48YXV0aG9yPldlbmRlci1PemVnb3dza2EsIEUuPC9hdXRob3I+
PGF1dGhvcj5aYXdpZWpza2EsIEEuPC9hdXRob3I+PGF1dGhvcj5IaWxsLCBELjwvYXV0aG9yPjxh
dXRob3I+U25vZWssIEYuIEouPC9hdXRob3I+PGF1dGhvcj5KZWxzbWEsIEouIEcuPC9hdXRob3I+
PGF1dGhvcj52YW4gUG9wcGVsLCBNLiBOLjwvYXV0aG9yPjwvYXV0aG9ycz48L2NvbnRyaWJ1dG9y
cz48YXV0aC1hZGRyZXNzPldlc3Rlcm4gU3lkbmV5IFVuaXZlcnNpdHksIENhbXBiZWxsdG93biwg
TmV3IFNvdXRoIFdhbGVzIDI1NjAsIEF1c3RyYWxpYS4mI3hEO0luc3RpdHV0ZSBvZiBNZXRhYm9s
aWMgU2NpZW5jZSwgQWRkZW5icm9va2UmYXBvcztzIEhvc3BpdGFsLCBDYW1icmlkZ2UsIENCMiAw
UVEgRW5nbGFuZC4mI3hEO0RlcGFydG1lbnQgb2YgRGV2ZWxvcG1lbnQgYW5kIFJlZ2VuZXJhdGlv
bjogUHJlZ25hbmN5LCBGZXR1cyBhbmQgTmVvbmF0ZSwgR3luYWVjb2xvZ3kgYW5kIE9ic3RldHJp
Y3MsIFVuaXZlcnNpdHkgSG9zcGl0YWxzLCBLYXRob2xpZWtlIFVuaXZlcnNpdGVpdCBMZXV2ZW4s
IExldXZlbiwgQmVsZ2l1bS4mI3hEO0RpdmlzaW9uIG9mIE9ic3RldHJpY3MgYW5kIFByZW5hdGFs
IE1lZGljaW5lLCBEZXBhcnRtZW50IG9mIE9ic3RldHJpY3MgYW5kIEd5bmFlY29sb2d5LCBFcmFz
bXVzIFVuaXZlcnNpdHkgTWVkaWNhbCBDZW50ZXIgUm90dGVyZGFtLCBSb3R0ZXJkYW0sIFRoZSBO
ZXRoZXJsYW5kcy4mI3hEO0luc3RpdHV0IGRlIFJlY2VyY2EgZGUgbCBIb3NwaXRhbCBkZSBsYSBT
YW50YSBDcmV1IGkgU2FudCBQYXUsIEJhcmNlbG9uYSwgU3BhaW4uJiN4RDtDSUJFUiBCaW9lbmdp
bmVlcmluZywgQmlvbWF0ZXJpYWxzIGFuZCBOYW5vdGVjaG5vbG9neSwgSW5zdGl0dXRvIGRlIFNh
bHVkIENhcmxvcyBJSUksIFphcmFnb3phLCBTcGFpbi4mI3hEO0dhbHdheSBEaWFiZXRlcyBSZXNl
YXJjaCBDZW50cmUgYW5kIENvbGxlZ2Ugb2YgTWVkaWNpbmUgTnVyc2luZyBhbmQgSGVhbHRoIFNj
aWVuY2VzLCBOYXRpb25hbCBVbml2ZXJzaXR5IG9mIElyZWxhbmQsIEdhbHdheSwgSXJlbGFuZC4m
I3hEO0RlcGFydG1lbnQgb2YgT2JzdGV0cmljcyBhbmQgR3luZWNvbG9neSwgTWVkaXppbmlzY2hl
IFVuaXZlcnNpdGFldCBHcmF6LCBHcmF6LCBBdXN0cmlhLiYjeEQ7R2VuZGVyIE1lZGljaW5lIFVu
aXQsIEVuZG9jcmlub2xvZ3kgYW5kIE1ldGFib2xpc20sIERlcGFydG1lbnQgb2YgSW50ZXJuYWwg
TWVkaWNpbmUgSUlJLCBNZWRpY2FsIFVuaXZlcnNpdHkgb2YgVmllbm5hLCBWaWVubmEsIEF1c3Ry
aWEuJiN4RDtDZW50ZXIgZm9yIFByZWduYW50IFdvbWVuIHdpdGggRGlhYmV0ZXMsIERlcGFydG1l
bnRzIG9mIEVuZG9jcmlub2xvZ3kgYW5kIE9ic3RldHJpY3MsIFJpZ3Nob3NwaXRhbGV0LCBJbnN0
aXR1dGUgb2YgQ2xpbmljYWwgTWVkaWNpbmUsIEZhY3VsdHkgb2YgSGVhbHRoIGFuZCBNZWRpY2Fs
IFNjaWVuY2VzLCBVbml2ZXJzaXR5IG9mIENvcGVuaGFnZW4sIENvcGVuaGFnZW4sIERlbm1hcmsu
JiN4RDtEZXBhcnRtZW50IG9mIEVuZG9jcmlub2xvZ3kgYW5kIERlcGFydG1lbnQgb2YgR3luZWNv
bG9neSBhbmQgT2JzdGV0cmljcywgT2RlbnNlIFVuaXZlcnNpdHkgSG9zcGl0YWwsIE9kZW5zZSwg
RGVubWFyay4mI3hEO0RlcGFydG1lbnQgb2YgQ2xpbmljYWwgUmVzZWFyY2gsIEZhY3VsdHkgb2Yg
SGVhbHRoIFNjaWVuY2VzLCBVbml2ZXJzaXR5IG9mIFNvdXRoZXJuIERlbm1hcmssIE9kZW5zZSwg
RGVubWFyay4mI3hEO1VuaXZlcnNpdGEgRGVnbGkgU3R1ZGkgZGkgUGFkb3ZhLCBQYWR1YSwgSXRh
bHkuJiN4RDtBemllbmRhIE9zcGVkYWxpZXJvIFVuaXZlcnNpdGFyaWEtUGlzYSwgUGlzYSBJdGFs
eS4mI3hEO01lZGljYWwgRmFjdWx0eSBJLCBQb3puYW4gVW5pdmVyc2l0eSBvZiBNZWRpY2FsIFNj
aWVuY2VzLCBQb3puYW4sIFBvbGFuZC4mI3hEO1JlY2hlcmNoZSBlbiBTYW50ZSBMYXdzb24gU0Es
IEJyb25zY2hob2ZlbiwgU3dpdHplcmxhbmQuJiN4RDtEZXBhcnRtZW50IG9mIE1lZGljYWwgUHN5
Y2hvbG9neSwgRU1HTysgSW5zdGl0dXRlIGZvciBIZWFsdGggYW5kIENhcmUgUmVzZWFyY2gsIFZV
IFVuaXZlcnNpdHkgTWVkaWNhbCBDZW50cmUsIEFtc3RlcmRhbSwgVGhlIE5ldGhlcmxhbmRzLiYj
eEQ7RGVwYXJ0bWVudCBvZiBNZWRpY2FsIFBzeWNob2xvZ3ksIEFjYWRlbWljIE1lZGljYWwgQ2Vu
dHJlLCBBbXN0ZXJkYW0sIFRoZSBOZXRoZXJsYW5kcy4mI3hEO0RlcGFydG1lbnQgb2YgUHVibGlj
IGFuZCBPY2N1cGF0aW9uYWwgSGVhbHRoLCBFTUdPKyBJbnN0aXR1dGUgZm9yIEhlYWx0aCBhbmQg
Q2FyZSBSZXNlYXJjaCwgVlUgVW5pdmVyc2l0eSBNZWRpY2FsIENlbnRyZSwgQW1zdGVyZGFtLCBU
aGUgTmV0aGVybGFuZHM7IGFuZC4mI3hEO0luc3RpdHV0ZSBvZiBTcG9ydCBTY2llbmNlLCBVbml2
ZXJzaXR5IG9mIEdyYXosIEdyYXosIEF1c3RyaWEuPC9hdXRoLWFkZHJlc3M+PHRpdGxlcz48dGl0
bGU+RWZmZWN0IG9mIFBoeXNpY2FsIEFjdGl2aXR5IGFuZC9vciBIZWFsdGh5IEVhdGluZyBvbiBH
RE0gUmlzazogVGhlIERBTEkgTGlmZXN0eWxlIFN0dWR5PC90aXRsZT48c2Vjb25kYXJ5LXRpdGxl
PkogQ2xpbiBFbmRvY3Jpbm9sIE1ldGFiPC9zZWNvbmRhcnktdGl0bGU+PC90aXRsZXM+PHBlcmlv
ZGljYWw+PGZ1bGwtdGl0bGU+SiBDbGluIEVuZG9jcmlub2wgTWV0YWI8L2Z1bGwtdGl0bGU+PC9w
ZXJpb2RpY2FsPjxwYWdlcz45MDMtOTEzPC9wYWdlcz48dm9sdW1lPjEwMjwvdm9sdW1lPjxudW1i
ZXI+MzwvbnVtYmVyPjxlZGl0aW9uPjIwMTYvMTIvMTA8L2VkaXRpb24+PGRhdGVzPjx5ZWFyPjIw
MTc8L3llYXI+PHB1Yi1kYXRlcz48ZGF0ZT5NYXIgMTwvZGF0ZT48L3B1Yi1kYXRlcz48L2RhdGVz
Pjxpc2JuPjE5NDUtNzE5NyAoRWxlY3Ryb25pYykmI3hEOzAwMjEtOTcyWCAoTGlua2luZyk8L2lz
Ym4+PGFjY2Vzc2lvbi1udW0+Mjc5MzU3Njc8L2FjY2Vzc2lvbi1udW0+PHVybHM+PHJlbGF0ZWQt
dXJscz48dXJsPmh0dHBzOi8vd3d3Lm5jYmkubmxtLm5paC5nb3YvcHVibWVkLzI3OTM1NzY3PC91
cmw+PC9yZWxhdGVkLXVybHM+PC91cmxzPjxjdXN0b20yPlBNQzU0NjA2ODg8L2N1c3RvbTI+PGVs
ZWN0cm9uaWMtcmVzb3VyY2UtbnVtPjEwLjEyMTAvamMuMjAxNi0zNDU1PC9lbGVjdHJvbmljLXJl
c291cmNlLW51bT48L3JlY29yZD48L0NpdGU+PENpdGU+PEF1dGhvcj5Tb25nw5hZZ2FyZDwvQXV0
aG9yPjxZZWFyPjIwMTI8L1llYXI+PFJlY051bT44NjY8L1JlY051bT48cmVjb3JkPjxyZWMtbnVt
YmVyPjg2NjwvcmVjLW51bWJlcj48Zm9yZWlnbi1rZXlzPjxrZXkgYXBwPSJFTiIgZGItaWQ9ImV4
dmFzcmZ4MmR0cmFvZXNhc3hwMnN6c3hhMmRmNTAyNTkyeCIgdGltZXN0YW1wPSIxNTQxNTQwNjkz
Ij44NjY8L2tleT48a2V5IGFwcD0iRU5XZWIiIGRiLWlkPSIiPjA8L2tleT48L2ZvcmVpZ24ta2V5
cz48cmVmLXR5cGUgbmFtZT0iSm91cm5hbCBBcnRpY2xlIj4xNzwvcmVmLXR5cGU+PGNvbnRyaWJ1
dG9ycz48YXV0aG9ycz48YXV0aG9yPlNvbmfDmFlnYXJkLCBLcmlzdGlhbiBNLjwvYXV0aG9yPjxh
dXRob3I+U3RhZm5lLCBTaWduZSBOLjwvYXV0aG9yPjxhdXRob3I+RXZlbnNlbiwgS2FyaSBBbm5l
IEkuPC9hdXRob3I+PGF1dGhvcj5TYWx2ZXNlbiwgS2plbGwgw4U8L2F1dGhvcj48YXV0aG9yPlZp
aywgVG9yc3RlaW48L2F1dGhvcj48YXV0aG9yPk3DmFJrdmVkLCBTLiBJLiBWLjwvYXV0aG9yPjwv
YXV0aG9ycz48L2NvbnRyaWJ1dG9ycz48dGl0bGVzPjx0aXRsZT5Eb2VzIGV4ZXJjaXNlIGR1cmlu
ZyBwcmVnbmFuY3kgcHJldmVudCBwb3N0bmF0YWwgZGVwcmVzc2lvbj88L3RpdGxlPjxzZWNvbmRh
cnktdGl0bGU+QWN0YSBPYnN0ZXRyaWNpYSBldCBHeW5lY29sb2dpY2EgU2NhbmRpbmF2aWNhPC9z
ZWNvbmRhcnktdGl0bGU+PC90aXRsZXM+PHBlcmlvZGljYWw+PGZ1bGwtdGl0bGU+QWN0YSBPYnN0
ZXRyaWNpYSBldCBHeW5lY29sb2dpY2EgU2NhbmRpbmF2aWNhPC9mdWxsLXRpdGxlPjwvcGVyaW9k
aWNhbD48cGFnZXM+NjItNjc8L3BhZ2VzPjx2b2x1bWU+OTE8L3ZvbHVtZT48bnVtYmVyPjE8L251
bWJlcj48c2VjdGlvbj42Mjwvc2VjdGlvbj48ZGF0ZXM+PHllYXI+MjAxMjwveWVhcj48L2RhdGVz
Pjxpc2JuPjAwMDE2MzQ5PC9pc2JuPjx1cmxzPjwvdXJscz48ZWxlY3Ryb25pYy1yZXNvdXJjZS1u
dW0+MTAuMTExMS9qLjE2MDAtMDQxMi4yMDExLjAxMjYyLng8L2VsZWN0cm9uaWMtcmVzb3VyY2Ut
bnVtPjwvcmVjb3JkPjwvQ2l0ZT48Q2l0ZT48QXV0aG9yPlN0YWZuZTwvQXV0aG9yPjxZZWFyPjIw
MTI8L1llYXI+PFJlY051bT4xMDYwPC9SZWNOdW0+PHJlY29yZD48cmVjLW51bWJlcj4xMDYwPC9y
ZWMtbnVtYmVyPjxmb3JlaWduLWtleXM+PGtleSBhcHA9IkVOIiBkYi1pZD0iZXh2YXNyZngyZHRy
YW9lc2FzeHAyc3pzeGEyZGY1MDI1OTJ4IiB0aW1lc3RhbXA9IjE1NDg5ODM0NzYiPjEwNjA8L2tl
eT48L2ZvcmVpZ24ta2V5cz48cmVmLXR5cGUgbmFtZT0iSm91cm5hbCBBcnRpY2xlIj4xNzwvcmVm
LXR5cGU+PGNvbnRyaWJ1dG9ycz48YXV0aG9ycz48YXV0aG9yPlN0YWZuZSwgU2lnbmUgTi48L2F1
dGhvcj48YXV0aG9yPlNhbHZlc2VuLCBLamVsbCDihKs8L2F1dGhvcj48YXV0aG9yPlJvbXVuZHN0
YWQsIFDDpWwgUi48L2F1dGhvcj48YXV0aG9yPkVnZ2Viw7gsIFRvcmJqw7hybiBNLjwvYXV0aG9y
PjxhdXRob3I+Q2FybHNlbiwgU3ZlbiBNLjwvYXV0aG9yPjxhdXRob3I+TcO4cmt2ZWQsIFNpdjwv
YXV0aG9yPjwvYXV0aG9ycz48L2NvbnRyaWJ1dG9ycz48dGl0bGVzPjx0aXRsZT5SZWd1bGFyIEV4
ZXJjaXNlIER1cmluZyBQcmVnbmFuY3kgdG8gUHJldmVudCBHZXN0YXRpb25hbCBEaWFiZXRlczwv
dGl0bGU+PHNlY29uZGFyeS10aXRsZT5PYnN0ZXRyaWNzICZhbXA7IEd5bmVjb2xvZ3k8L3NlY29u
ZGFyeS10aXRsZT48L3RpdGxlcz48cGVyaW9kaWNhbD48ZnVsbC10aXRsZT5PYnN0ZXRyaWNzICZh
bXA7IEd5bmVjb2xvZ3k8L2Z1bGwtdGl0bGU+PC9wZXJpb2RpY2FsPjxwYWdlcz4yOS0zNjwvcGFn
ZXM+PHZvbHVtZT4xMTk8L3ZvbHVtZT48bnVtYmVyPjE8L251bWJlcj48c2VjdGlvbj4yOTwvc2Vj
dGlvbj48ZGF0ZXM+PHllYXI+MjAxMjwveWVhcj48L2RhdGVzPjxpc2JuPjAwMjktNzg0NDwvaXNi
bj48dXJscz48L3VybHM+PGVsZWN0cm9uaWMtcmVzb3VyY2UtbnVtPjEwLjEwOTcvQU9HLjBiMDEz
ZTMxODIzOTNmODY8L2VsZWN0cm9uaWMtcmVzb3VyY2UtbnVtPjwvcmVjb3JkPjwvQ2l0ZT48Q2l0
ZT48QXV0aG9yPlZhcmdhcy1UZXJyb25lczwvQXV0aG9yPjxZZWFyPjIwMTk8L1llYXI+PFJlY051
bT4xOTIwPC9SZWNOdW0+PHJlY29yZD48cmVjLW51bWJlcj4xOTIwPC9yZWMtbnVtYmVyPjxmb3Jl
aWduLWtleXM+PGtleSBhcHA9IkVOIiBkYi1pZD0iZXh2YXNyZngyZHRyYW9lc2FzeHAyc3pzeGEy
ZGY1MDI1OTJ4IiB0aW1lc3RhbXA9IjE1ODg0ODY4NzUiPjE5MjA8L2tleT48a2V5IGFwcD0iRU5X
ZWIiIGRiLWlkPSIiPjA8L2tleT48L2ZvcmVpZ24ta2V5cz48cmVmLXR5cGUgbmFtZT0iSm91cm5h
bCBBcnRpY2xlIj4xNzwvcmVmLXR5cGU+PGNvbnRyaWJ1dG9ycz48YXV0aG9ycz48YXV0aG9yPlZh
cmdhcy1UZXJyb25lcywgTS48L2F1dGhvcj48YXV0aG9yPkJhcmFrYXQsIFIuPC9hdXRob3I+PGF1
dGhvcj5TYW50YWNydXosIEIuPC9hdXRob3I+PGF1dGhvcj5GZXJuYW5kZXotQnVoaWdhcywgSS48
L2F1dGhvcj48YXV0aG9yPk1vdHRvbGEsIE0uIEYuPC9hdXRob3I+PC9hdXRob3JzPjwvY29udHJp
YnV0b3JzPjxhdXRoLWFkZHJlc3M+RGVwYXJ0bWVudCBvZiBTb2NpYWwgU2NpZW5jZXMgb2YgUGh5
c2ljYWwgQWN0aXZpdHksIFNwb3J0cyBhbmQgTGVpc3VyZSwgRmFjdWx0eSBvZiBTY2llbmNlcyBm
b3IgUGh5c2ljYWwgQWN0aXZpdHkgYW5kIFNwb3J0LCBJTkVGLCBUZWNobmljYWwgVW5pdmVyc2l0
eSBvZiBNYWRyaWQgKFVQTSksIE1hZHJpZCwgU3BhaW4uJiN4RDtEZXBhcnRtZW50IG9mIE9ic3Rl
dHJpY3MgYW5kIEd5bmVjb2xvZ3ksIFVuaXZlcnNpdHkgSG9zcGl0YWwgb2YgVG9ycmVqb24sIE1h
ZHJpZCwgU3BhaW4uJiN4RDtSIFNhbXVlbCBNY0xhdWdobGluIEZvdW5kYXRpb24gLSBFeGVyY2lz
ZSBhbmQgUHJlZ25hbmN5IExhYm9yYXRvcnksIFNjaG9vbCBvZiBLaW5lc2lvbG9neSwgVGhlIFVu
aXZlcnNpdHkgb2YgV2VzdGVybiBPbnRhcmlvLCBMb25kb24sIE9udGFyaW8sIENhbmFkYS48L2F1
dGgtYWRkcmVzcz48dGl0bGVzPjx0aXRsZT5QaHlzaWNhbCBleGVyY2lzZSBwcm9ncmFtbWUgZHVy
aW5nIHByZWduYW5jeSBkZWNyZWFzZXMgcGVyaW5hdGFsIGRlcHJlc3Npb24gcmlzazogYSByYW5k
b21pc2VkIGNvbnRyb2xsZWQgdHJpYWw8L3RpdGxlPjxzZWNvbmRhcnktdGl0bGU+QnIgSiBTcG9y
dHMgTWVkPC9zZWNvbmRhcnktdGl0bGU+PC90aXRsZXM+PHBlcmlvZGljYWw+PGZ1bGwtdGl0bGU+
QnIgSiBTcG9ydHMgTWVkPC9mdWxsLXRpdGxlPjwvcGVyaW9kaWNhbD48cGFnZXM+MzQ4LTM1Mzwv
cGFnZXM+PHZvbHVtZT41Mzwvdm9sdW1lPjxudW1iZXI+NjwvbnVtYmVyPjxlZGl0aW9uPjIwMTgv
MDYvMTU8L2VkaXRpb24+PGtleXdvcmRzPjxrZXl3b3JkPkFkdWx0PC9rZXl3b3JkPjxrZXl3b3Jk
PkRlcHJlc3Npb24vKnByZXZlbnRpb24gJmFtcDsgY29udHJvbDwva2V5d29yZD48a2V5d29yZD4q
RXhlcmNpc2U8L2tleXdvcmQ+PGtleXdvcmQ+RmVtYWxlPC9rZXl3b3JkPjxrZXl3b3JkPkh1bWFu
czwva2V5d29yZD48a2V5d29yZD5Qb3N0cGFydHVtIFBlcmlvZDwva2V5d29yZD48a2V5d29yZD5Q
cmVnbmFuY3k8L2tleXdvcmQ+PGtleXdvcmQ+UHJlZ25hbmN5IENvbXBsaWNhdGlvbnMvKnBzeWNo
b2xvZ3k8L2tleXdvcmQ+PGtleXdvcmQ+ZGVwcmVzc2lvbjwva2V5d29yZD48a2V5d29yZD5leGVy
Y2lzZSBwaHlzaWNhbCBhY3Rpdml0eTwva2V5d29yZD48a2V5d29yZD5wc3ljaG9sb2d5PC9rZXl3
b3JkPjwva2V5d29yZHM+PGRhdGVzPjx5ZWFyPjIwMTk8L3llYXI+PHB1Yi1kYXRlcz48ZGF0ZT5N
YXI8L2RhdGU+PC9wdWItZGF0ZXM+PC9kYXRlcz48aXNibj4xNDczLTA0ODAgKEVsZWN0cm9uaWMp
JiN4RDswMzA2LTM2NzQgKExpbmtpbmcpPC9pc2JuPjxhY2Nlc3Npb24tbnVtPjI5ODk5MDUwPC9h
Y2Nlc3Npb24tbnVtPjx1cmxzPjxyZWxhdGVkLXVybHM+PHVybD5odHRwczovL3d3dy5uY2JpLm5s
bS5uaWguZ292L3B1Ym1lZC8yOTg5OTA1MDwvdXJsPjwvcmVsYXRlZC11cmxzPjwvdXJscz48ZWxl
Y3Ryb25pYy1yZXNvdXJjZS1udW0+MTAuMTEzNi9ianNwb3J0cy0yMDE3LTA5ODkyNjwvZWxlY3Ry
b25pYy1yZXNvdXJjZS1udW0+PC9yZWNvcmQ+PC9DaXRlPjxDaXRlPjxBdXRob3I+QWd1aWxhci1D
b3JkZXJvPC9BdXRob3I+PFllYXI+MjAxOTwvWWVhcj48UmVjTnVtPjE5MTc8L1JlY051bT48cmVj
b3JkPjxyZWMtbnVtYmVyPjE5MTc8L3JlYy1udW1iZXI+PGZvcmVpZ24ta2V5cz48a2V5IGFwcD0i
RU4iIGRiLWlkPSJleHZhc3JmeDJkdHJhb2VzYXN4cDJzenN4YTJkZjUwMjU5MngiIHRpbWVzdGFt
cD0iMTU4ODQ4MTAwNiI+MTkxNzwva2V5PjwvZm9yZWlnbi1rZXlzPjxyZWYtdHlwZSBuYW1lPSJK
b3VybmFsIEFydGljbGUiPjE3PC9yZWYtdHlwZT48Y29udHJpYnV0b3JzPjxhdXRob3JzPjxhdXRo
b3I+QWd1aWxhci1Db3JkZXJvLCBNLiBKLjwvYXV0aG9yPjxhdXRob3I+U2FuY2hlei1HYXJjaWEs
IEouIEMuPC9hdXRob3I+PGF1dGhvcj5Sb2RyaWd1ZXotQmxhbnF1ZSwgUi48L2F1dGhvcj48YXV0
aG9yPlNhbmNoZXotTG9wZXosIEEuIE0uPC9hdXRob3I+PGF1dGhvcj5NdXItVmlsbGFyLCBOLjwv
YXV0aG9yPjwvYXV0aG9ycz48L2NvbnRyaWJ1dG9ycz48YXV0aC1hZGRyZXNzPjEgTWFyaWEgSm9z
ZSBBZ3VpbGFyLUNvcmRlcm8sIFBoRCwgVW5pdmVyc2l0eSBvZiBHcmFuYWRhLCBTYW4gQ2VjaWxp
byBDbGluaWNhbCBIb3NwaXRhbCwgR3JhbmFkYSwgU3BhaW4uJiN4RDsyIEp1YW4gQ2FybG9zIFNh
bmNoZXotR2FyY2lhLCBQaEQsIFVuaXZlcnNpdHkgb2YgR3JhbmFkYSwgR3JhbmFkYSwgU3BhaW4u
JiN4RDszIFJhcXVlbCBSb2RyaWd1ZXotQmxhbnF1ZSwgUGhELCBVbml2ZXJzaXR5IG9mIEdyYW5h
ZGEsIEdyYW5hZGEsIFNwYWluLiYjeEQ7NCBBbnRvbmlvIE1hbnVlbCBTYW5jaGV6LUxvcGV6LCBQ
aEQsIFVuaXZlcnNpdHkgb2YgR3JhbmFkYSwgR3JhbmFkYSwgU3BhaW4uJiN4RDs1IE5vcm1hIE11
ci1WaWxsYXIsIFBoRCwgVW5pdmVyc2l0eSBvZiBHcmFuYWRhLCBHcmFuYWRhLCBTcGFpbjsgQ2ll
bmZ1ZWdvcyBTY2hvb2wgb2YgTWVkaWNhbCBTY2llbmNlcywgQ2llbmZ1ZWdvcywgQ3ViYS48L2F1
dGgtYWRkcmVzcz48dGl0bGVzPjx0aXRsZT5Nb2RlcmF0ZSBwaHlzaWNhbCBhY3Rpdml0eSBpbiBh
biBhcXVhdGljIGVudmlyb25tZW50IGR1cmluZyBwcmVnbmFuY3kgKFNXRVAgU3R1ZHkpIGFuZCBp
dHMgaW5mbHVlbmNlIGluIHByZXZlbnRpbmcgcG9zdHBhcnR1bSBkZXByZXNzaW9uPC90aXRsZT48
c2Vjb25kYXJ5LXRpdGxlPkogQW0gUHN5Y2hpYXRyIE51cnNlcyBBc3NvYzwvc2Vjb25kYXJ5LXRp
dGxlPjwvdGl0bGVzPjxwZXJpb2RpY2FsPjxmdWxsLXRpdGxlPkogQW0gUHN5Y2hpYXRyIE51cnNl
cyBBc3NvYzwvZnVsbC10aXRsZT48L3BlcmlvZGljYWw+PHBhZ2VzPjExMi0xMjE8L3BhZ2VzPjx2
b2x1bWU+MjU8L3ZvbHVtZT48bnVtYmVyPjI8L251bWJlcj48ZWRpdGlvbj4yMDE4LzAzLzAyPC9l
ZGl0aW9uPjxrZXl3b3Jkcz48a2V5d29yZD4qYm9keSBtYXNzIGluZGV4PC9rZXl3b3JkPjxrZXl3
b3JkPipwaHlzaWNhbCBhY3Rpdml0eTwva2V5d29yZD48a2V5d29yZD4qcG9zdHBhcnR1bSBkZXBy
ZXNzaW9uPC9rZXl3b3JkPjxrZXl3b3JkPipwcmVnbmFuY3k8L2tleXdvcmQ+PC9rZXl3b3Jkcz48
ZGF0ZXM+PHllYXI+MjAxOTwveWVhcj48cHViLWRhdGVzPjxkYXRlPk1hci9BcHI8L2RhdGU+PC9w
dWItZGF0ZXM+PC9kYXRlcz48aXNibj4xNTMyLTU3MjUgKEVsZWN0cm9uaWMpJiN4RDsxMDc4LTM5
MDMgKExpbmtpbmcpPC9pc2JuPjxhY2Nlc3Npb24tbnVtPjI5NDkwNTYwPC9hY2Nlc3Npb24tbnVt
Pjx1cmxzPjxyZWxhdGVkLXVybHM+PHVybD5odHRwczovL3d3dy5uY2JpLm5sbS5uaWguZ292L3B1
Ym1lZC8yOTQ5MDU2MDwvdXJsPjwvcmVsYXRlZC11cmxzPjwvdXJscz48ZWxlY3Ryb25pYy1yZXNv
dXJjZS1udW0+MTAuMTE3Ny8xMDc4MzkwMzE3NzUzNjc1PC9lbGVjdHJvbmljLXJlc291cmNlLW51
bT48L3JlY29yZD48L0NpdGU+PC9FbmROb3RlPn==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269,294-296,304,402,425-447</w:t>
      </w:r>
      <w:r>
        <w:rPr>
          <w:noProof/>
          <w:sz w:val="16"/>
          <w:szCs w:val="16"/>
        </w:rPr>
        <w:fldChar w:fldCharType="end"/>
      </w:r>
      <w:r w:rsidRPr="00C12274">
        <w:rPr>
          <w:lang w:val="en-AU"/>
        </w:rPr>
        <w:t xml:space="preserve"> 1</w:t>
      </w:r>
      <w:r>
        <w:rPr>
          <w:lang w:val="en-AU"/>
        </w:rPr>
        <w:t>1</w:t>
      </w:r>
      <w:r w:rsidRPr="00C12274">
        <w:rPr>
          <w:lang w:val="en-AU"/>
        </w:rPr>
        <w:t xml:space="preserve"> an aer</w:t>
      </w:r>
      <w:r>
        <w:rPr>
          <w:lang w:val="en-AU"/>
        </w:rPr>
        <w:t>obic exercise intervention</w:t>
      </w:r>
      <w:r>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Zm9udD0iVHJlYnVjaGV0IE1TIiBzaXplPSI5Ij4yNzAtMjczLDI5MiwyOTksNDQ4LTQ1Mjwvc3R5
bGU+PC9EaXNwbGF5VGV4dD48cmVjb3JkPjxyZWMtbnVtYmVyPjY3OTwvcmVjLW51bWJlcj48Zm9y
ZWlnbi1rZXlzPjxrZXkgYXBwPSJFTiIgZGItaWQ9ImV4dmFzcmZ4MmR0cmFvZXNhc3hwMnN6c3hh
MmRmNTAyNTkyeCIgdGltZXN0YW1wPSIxNTQwNTI2ODkwIj42Nzk8L2tleT48L2ZvcmVpZ24ta2V5
cz48cmVmLXR5cGUgbmFtZT0iSm91cm5hbCBBcnRpY2xlIj4xNzwvcmVmLXR5cGU+PGNvbnRyaWJ1
dG9ycz48YXV0aG9ycz48YXV0aG9yPkJhY2l1aywgRS4gUC48L2F1dGhvcj48YXV0aG9yPlBlcmVp
cmEsIFIuIEkuPC9hdXRob3I+PGF1dGhvcj5DZWNhdHRpLCBKLiBHLjwvYXV0aG9yPjxhdXRob3I+
QnJhZ2EsIEEuIEYuPC9hdXRob3I+PGF1dGhvcj5DYXZhbGNhbnRlLCBTLiBSLjwvYXV0aG9yPjwv
YXV0aG9ycz48L2NvbnRyaWJ1dG9ycz48YXV0aC1hZGRyZXNzPkRlcGFydG1lbnQgb2YgT2JzdGV0
cmljcyBhbmQgR3luZWNvbG9neSwgVW5pdmVyc2l0eSBvZiBDYW1waW5hcywgU2FvIFBhdWxvLCBC
cmF6aWwuIGVyaWNheGJhQHRlcnJhLmNvbS5icjwvYXV0aC1hZGRyZXNzPjx0aXRsZXM+PHRpdGxl
PldhdGVyIGFlcm9iaWNzIGluIHByZWduYW5jeTogQ2FyZGlvdmFzY3VsYXIgcmVzcG9uc2UsIGxh
Ym9yIGFuZCBuZW9uYXRhbCBvdXRjb21lczwvdGl0bGU+PHNlY29uZGFyeS10aXRsZT5SZXByb2Qg
SGVhbHRoPC9zZWNvbmRhcnktdGl0bGU+PC90aXRsZXM+PHBlcmlvZGljYWw+PGZ1bGwtdGl0bGU+
UmVwcm9kIEhlYWx0aDwvZnVsbC10aXRsZT48L3BlcmlvZGljYWw+PHBhZ2VzPjEwPC9wYWdlcz48
dm9sdW1lPjU8L3ZvbHVtZT48ZWRpdGlvbj4yMDA4LzExLzI2PC9lZGl0aW9uPjxkYXRlcz48eWVh
cj4yMDA4PC95ZWFyPjxwdWItZGF0ZXM+PGRhdGU+Tm92IDIxPC9kYXRlPjwvcHViLWRhdGVzPjwv
ZGF0ZXM+PGlzYm4+MTc0Mi00NzU1IChFbGVjdHJvbmljKSYjeEQ7MTc0Mi00NzU1IChMaW5raW5n
KTwvaXNibj48YWNjZXNzaW9uLW51bT4xOTAyNTU3OTwvYWNjZXNzaW9uLW51bT48dXJscz48cmVs
YXRlZC11cmxzPjx1cmw+aHR0cHM6Ly93d3cubmNiaS5ubG0ubmloLmdvdi9wdWJtZWQvMTkwMjU1
Nzk8L3VybD48L3JlbGF0ZWQtdXJscz48L3VybHM+PGN1c3RvbTI+UE1DMjYxMzEzMTwvY3VzdG9t
Mj48ZWxlY3Ryb25pYy1yZXNvdXJjZS1udW0+MTAuMTE4Ni8xNzQyLTQ3NTUtNS0xMDwvZWxlY3Ry
b25pYy1yZXNvdXJjZS1udW0+PC9yZWNvcmQ+PC9DaXRlPjxDaXRlPjxBdXRob3I+ZGUgT2xpdmVy
aWEgTWVsbzwvQXV0aG9yPjxZZWFyPjIwMTI8L1llYXI+PFJlY051bT42ODc8L1JlY051bT48cmVj
b3JkPjxyZWMtbnVtYmVyPjY4NzwvcmVjLW51bWJlcj48Zm9yZWlnbi1rZXlzPjxrZXkgYXBwPSJF
TiIgZGItaWQ9ImV4dmFzcmZ4MmR0cmFvZXNhc3hwMnN6c3hhMmRmNTAyNTkyeCIgdGltZXN0YW1w
PSIxNTQwNTI3MzE5Ij42ODc8L2tleT48L2ZvcmVpZ24ta2V5cz48cmVmLXR5cGUgbmFtZT0iSm91
cm5hbCBBcnRpY2xlIj4xNzwvcmVmLXR5cGU+PGNvbnRyaWJ1dG9ycz48YXV0aG9ycz48YXV0aG9y
PmRlIE9saXZlcmlhIE1lbG8sIEEuIFMuPC9hdXRob3I+PGF1dGhvcj5TaWx2YSwgSi4gTC48L2F1
dGhvcj48YXV0aG9yPlRhdmFyZXMsIEouIFMuPC9hdXRob3I+PGF1dGhvcj5CYXJyb3MsIFYuIE8u
PC9hdXRob3I+PGF1dGhvcj5MZWl0ZSwgRC4gRi48L2F1dGhvcj48YXV0aG9yPkFtb3JpbSwgTS4g
TS48L2F1dGhvcj48L2F1dGhvcnM+PC9jb250cmlidXRvcnM+PGF1dGgtYWRkcmVzcz5EZXBhcnRt
ZW50IG9mIE9ic3RldHJpY3MsIFNjaG9vbCBNZWRpY2FsIFNjaWVuY2VzLCBVbml2ZXJzaXR5IG9m
IENhbXBpbmFzLCBDYW1waW5hcywgQnJhemlsLiBhc29tZWxvQGdtYWlsLmNvbTwvYXV0aC1hZGRy
ZXNzPjx0aXRsZXM+PHRpdGxlPkVmZmVjdCBvZiBhIHBoeXNpY2FsIGV4ZXJjaXNlIHByb2dyYW0g
ZHVyaW5nIHByZWduYW5jeSBvbiB1dGVyb3BsYWNlbnRhbCBhbmQgZmV0YWwgYmxvb2QgZmxvdyBh
bmQgZmV0YWwgZ3Jvd3RoOiBhIHJhbmRvbWl6ZWQgY29udHJvbGxlZCB0cmlhbDwvdGl0bGU+PHNl
Y29uZGFyeS10aXRsZT5PYnN0ZXQgR3luZWNvbDwvc2Vjb25kYXJ5LXRpdGxlPjwvdGl0bGVzPjxw
ZXJpb2RpY2FsPjxmdWxsLXRpdGxlPk9ic3RldCBHeW5lY29sPC9mdWxsLXRpdGxlPjwvcGVyaW9k
aWNhbD48cGFnZXM+MzAyLTEwPC9wYWdlcz48dm9sdW1lPjEyMDwvdm9sdW1lPjxudW1iZXI+MiBQ
dCAxPC9udW1iZXI+PGVkaXRpb24+MjAxMi8wNy8yNTwvZWRpdGlvbj48a2V5d29yZHM+PGtleXdv
cmQ+QWR1bHQ8L2tleXdvcmQ+PGtleXdvcmQ+KkJpcnRoIFdlaWdodDwva2V5d29yZD48a2V5d29y
ZD5CbG9vZCBQcmVzc3VyZTwva2V5d29yZD48a2V5d29yZD5FeGVyY2lzZS8qcGh5c2lvbG9neTwv
a2V5d29yZD48a2V5d29yZD5GZW1hbGU8L2tleXdvcmQ+PGtleXdvcmQ+KkZldGFsIERldmVsb3Bt
ZW50PC9rZXl3b3JkPjxrZXl3b3JkPkZldHVzL2Jsb29kIHN1cHBseTwva2V5d29yZD48a2V5d29y
ZD5IdW1hbnM8L2tleXdvcmQ+PGtleXdvcmQ+SW5mYW50LCBOZXdib3JuPC9rZXl3b3JkPjxrZXl3
b3JkPlBoeXNpY2FsIEZpdG5lc3M8L2tleXdvcmQ+PGtleXdvcmQ+KlBsYWNlbnRhbCBDaXJjdWxh
dGlvbjwva2V5d29yZD48a2V5d29yZD5QcmVnbmFuY3kvKnBoeXNpb2xvZ3k8L2tleXdvcmQ+PGtl
eXdvcmQ+WW91bmcgQWR1bHQ8L2tleXdvcmQ+PC9rZXl3b3Jkcz48ZGF0ZXM+PHllYXI+MjAxMjwv
eWVhcj48cHViLWRhdGVzPjxkYXRlPkF1ZzwvZGF0ZT48L3B1Yi1kYXRlcz48L2RhdGVzPjxpc2Ju
PjE4NzMtMjMzWCAoRWxlY3Ryb25pYykmI3hEOzAwMjktNzg0NCAoTGlua2luZyk8L2lzYm4+PGFj
Y2Vzc2lvbi1udW0+MjI4MjUwODk8L2FjY2Vzc2lvbi1udW0+PHVybHM+PHJlbGF0ZWQtdXJscz48
dXJsPmh0dHBzOi8vd3d3Lm5jYmkubmxtLm5paC5nb3YvcHVibWVkLzIyODI1MDg5PC91cmw+PC9y
ZWxhdGVkLXVybHM+PC91cmxzPjxlbGVjdHJvbmljLXJlc291cmNlLW51bT4xMC4xMDk3L0FPRy4w
YjAxM2UzMTgyNWRlNTkyPC9lbGVjdHJvbmljLXJlc291cmNlLW51bT48L3JlY29yZD48L0NpdGU+
PENpdGU+PEF1dGhvcj5EZWtrZXIgTml0ZXJ0PC9BdXRob3I+PFllYXI+MjAxNTwvWWVhcj48UmVj
TnVtPjY4NjwvUmVjTnVtPjxyZWNvcmQ+PHJlYy1udW1iZXI+Njg2PC9yZWMtbnVtYmVyPjxmb3Jl
aWduLWtleXM+PGtleSBhcHA9IkVOIiBkYi1pZD0iZXh2YXNyZngyZHRyYW9lc2FzeHAyc3pzeGEy
ZGY1MDI1OTJ4IiB0aW1lc3RhbXA9IjE1NDA1MjcyMzgiPjY4Njwva2V5PjwvZm9yZWlnbi1rZXlz
PjxyZWYtdHlwZSBuYW1lPSJKb3VybmFsIEFydGljbGUiPjE3PC9yZWYtdHlwZT48Y29udHJpYnV0
b3JzPjxhdXRob3JzPjxhdXRob3I+RGVra2VyIE5pdGVydCwgTS48L2F1dGhvcj48YXV0aG9yPkJh
cnJldHQsIEguIEwuPC9hdXRob3I+PGF1dGhvcj5EZW5ueSwgSy4gSi48L2F1dGhvcj48YXV0aG9y
Pk1jSW50eXJlLCBILiBELjwvYXV0aG9yPjxhdXRob3I+Q2FsbGF3YXksIEwuIEsuPC9hdXRob3I+
PGF1dGhvcj5CYW1iaW5vIGdyb3VwPC9hdXRob3I+PC9hdXRob3JzPjwvY29udHJpYnV0b3JzPjxh
dXRoLWFkZHJlc3M+U2Nob29sIG9mIE1lZGljaW5lLCBUaGUgVW5pdmVyc2l0eSBvZiBRdWVlbnNs
YW5kLCBIZXJzdG9uLCBRdWVlbnNsYW5kLCBBdXN0cmFsaWE7IFVRIENlbnRyZSBmb3IgQ2xpbmlj
YWwgUmVzZWFyY2gsIFRoZSBVbml2ZXJzaXR5IG9mIFF1ZWVuc2xhbmQsIEhlcnN0b24sIFF1ZWVu
c2xhbmQsIEF1c3RyYWxpYS48L2F1dGgtYWRkcmVzcz48dGl0bGVzPjx0aXRsZT5FeGVyY2lzZSBp
biBwcmVnbmFuY3kgZG9lcyBub3QgYWx0ZXIgZ2VzdGF0aW9uYWwgd2VpZ2h0IGdhaW4sIE1DUC0x
IG9yIGxlcHRpbiBpbiBvYmVzZSB3b21lbjwvdGl0bGU+PHNlY29uZGFyeS10aXRsZT5BdXN0IE4g
WiBKIE9ic3RldCBHeW5hZWNvbDwvc2Vjb25kYXJ5LXRpdGxlPjwvdGl0bGVzPjxwZXJpb2RpY2Fs
PjxmdWxsLXRpdGxlPkF1c3QgTiBaIEogT2JzdGV0IEd5bmFlY29sPC9mdWxsLXRpdGxlPjwvcGVy
aW9kaWNhbD48cGFnZXM+MjctMzM8L3BhZ2VzPjx2b2x1bWU+NTU8L3ZvbHVtZT48bnVtYmVyPjE8
L251bWJlcj48ZWRpdGlvbj4yMDE1LzAyLzE4PC9lZGl0aW9uPjxrZXl3b3Jkcz48a2V5d29yZD5B
ZHVsdDwva2V5d29yZD48a2V5d29yZD5DaGVtb2tpbmUgQ0NMMi9ibG9vZDwva2V5d29yZD48a2V5
d29yZD5FeGVyY2lzZS8qcGh5c2lvbG9neTwva2V5d29yZD48a2V5d29yZD5GZW1hbGU8L2tleXdv
cmQ+PGtleXdvcmQ+SHVtYW5zPC9rZXl3b3JkPjxrZXl3b3JkPkludGVybGV1a2luLTgvYmxvb2Q8
L2tleXdvcmQ+PGtleXdvcmQ+TGVwdGluL2Jsb29kPC9rZXl3b3JkPjxrZXl3b3JkPk9iZXNpdHkv
KmJsb29kL3RoZXJhcHk8L2tleXdvcmQ+PGtleXdvcmQ+UGlsb3QgUHJvamVjdHM8L2tleXdvcmQ+
PGtleXdvcmQ+UHJlZ25hbmN5PC9rZXl3b3JkPjxrZXl3b3JkPlByZWduYW5jeSBDb21wbGljYXRp
b25zLypibG9vZC9wcmV2ZW50aW9uICZhbXA7IGNvbnRyb2w8L2tleXdvcmQ+PGtleXdvcmQ+Kldl
aWdodCBHYWluPC9rZXl3b3JkPjxrZXl3b3JkPllvdW5nIEFkdWx0PC9rZXl3b3JkPjxrZXl3b3Jk
PmV4ZXJjaXNlPC9rZXl3b3JkPjxrZXl3b3JkPmdlc3RhdGlvbmFsIHdlaWdodCBnYWluPC9rZXl3
b3JkPjxrZXl3b3JkPmxpcGlkczwva2V5d29yZD48a2V5d29yZD5vYmVzaXR5PC9rZXl3b3JkPjwv
a2V5d29yZHM+PGRhdGVzPjx5ZWFyPjIwMTU8L3llYXI+PHB1Yi1kYXRlcz48ZGF0ZT5GZWI8L2Rh
dGU+PC9wdWItZGF0ZXM+PC9kYXRlcz48aXNibj4xNDc5LTgyOFggKEVsZWN0cm9uaWMpJiN4RDsw
MDA0LTg2NjYgKExpbmtpbmcpPC9pc2JuPjxhY2Nlc3Npb24tbnVtPjI1Njg4ODE3PC9hY2Nlc3Np
b24tbnVtPjx1cmxzPjxyZWxhdGVkLXVybHM+PHVybD5odHRwczovL3d3dy5uY2JpLm5sbS5uaWgu
Z292L3B1Ym1lZC8yNTY4ODgxNzwvdXJsPjwvcmVsYXRlZC11cmxzPjwvdXJscz48ZWxlY3Ryb25p
Yy1yZXNvdXJjZS1udW0+MTAuMTExMS9ham8uMTIzMDA8L2VsZWN0cm9uaWMtcmVzb3VyY2UtbnVt
PjwvcmVjb3JkPjwvQ2l0ZT48Q2l0ZT48QXV0aG9yPkd1ZWxmaTwvQXV0aG9yPjxZZWFyPjIwMTY8
L1llYXI+PFJlY051bT43MjM8L1JlY051bT48cmVjb3JkPjxyZWMtbnVtYmVyPjcyMzwvcmVjLW51
bWJlcj48Zm9yZWlnbi1rZXlzPjxrZXkgYXBwPSJFTiIgZGItaWQ9ImV4dmFzcmZ4MmR0cmFvZXNh
c3hwMnN6c3hhMmRmNTAyNTkyeCIgdGltZXN0YW1wPSIxNTQxNDY0ODgwIj43MjM8L2tleT48L2Zv
cmVpZ24ta2V5cz48cmVmLXR5cGUgbmFtZT0iSm91cm5hbCBBcnRpY2xlIj4xNzwvcmVmLXR5cGU+
PGNvbnRyaWJ1dG9ycz48YXV0aG9ycz48YXV0aG9yPkd1ZWxmaSwgSy4gSi48L2F1dGhvcj48YXV0
aG9yPk9uZywgTS4gSi48L2F1dGhvcj48YXV0aG9yPkNyaXNwLCBOLiBBLjwvYXV0aG9yPjxhdXRo
b3I+Rm91cm5pZXIsIFAuIEEuPC9hdXRob3I+PGF1dGhvcj5XYWxsbWFuLCBLLiBFLjwvYXV0aG9y
PjxhdXRob3I+R3JvdmUsIEouIFIuPC9hdXRob3I+PGF1dGhvcj5Eb2hlcnR5LCBELiBBLjwvYXV0
aG9yPjxhdXRob3I+TmV3bmhhbSwgSi4gUC48L2F1dGhvcj48L2F1dGhvcnM+PC9jb250cmlidXRv
cnM+PGF1dGgtYWRkcmVzcz5TY2hvb2wgb2YgU3BvcnQgU2NpZW5jZSwgRXhlcmNpc2UgYW5kIEhl
YWx0aCBhbmQgdGhlIFNjaG9vbCBvZiBXb21lbiZhcG9zO3MgYW5kIEluZmFudHMmYXBvczsgSGVh
bHRoLCB0aGUgVW5pdmVyc2l0eSBvZiBXZXN0ZXJuIEF1c3RyYWxpYSwgUGVydGgsIFdlc3Rlcm4g
QXVzdHJhbGlhLCBBdXN0cmFsaWEuPC9hdXRoLWFkZHJlc3M+PHRpdGxlcz48dGl0bGU+UmVndWxh
ciBFeGVyY2lzZSB0byBQcmV2ZW50IHRoZSBSZWN1cnJlbmNlIG9mIEdlc3RhdGlvbmFsIERpYWJl
dGVzIE1lbGxpdHVzOiBBIFJhbmRvbWl6ZWQgQ29udHJvbGxlZCBUcmlhbDwvdGl0bGU+PHNlY29u
ZGFyeS10aXRsZT5PYnN0ZXQgR3luZWNvbDwvc2Vjb25kYXJ5LXRpdGxlPjwvdGl0bGVzPjxwZXJp
b2RpY2FsPjxmdWxsLXRpdGxlPk9ic3RldCBHeW5lY29sPC9mdWxsLXRpdGxlPjwvcGVyaW9kaWNh
bD48cGFnZXM+ODE5LTI3PC9wYWdlcz48dm9sdW1lPjEyODwvdm9sdW1lPjxudW1iZXI+NDwvbnVt
YmVyPjxlZGl0aW9uPjIwMTYvMDkvMDk8L2VkaXRpb24+PGtleXdvcmRzPjxrZXl3b3JkPkFkdWx0
PC9rZXl3b3JkPjxrZXl3b3JkPkRpYWJldGVzLCBHZXN0YXRpb25hbC9ibG9vZC8qcHJldmVudGlv
biAmYW1wOyBjb250cm9sPC9rZXl3b3JkPjxrZXl3b3JkPipFeGVyY2lzZSBUaGVyYXB5PC9rZXl3
b3JkPjxrZXl3b3JkPkZlbWFsZTwva2V5d29yZD48a2V5d29yZD5HbHVjb3NlIFRvbGVyYW5jZSBU
ZXN0PC9rZXl3b3JkPjxrZXl3b3JkPkh1bWFuczwva2V5d29yZD48a2V5d29yZD5QcmVnbmFuY3k8
L2tleXdvcmQ+PGtleXdvcmQ+UHJlZ25hbmN5IE91dGNvbWU8L2tleXdvcmQ+PGtleXdvcmQ+KlBy
ZW5hdGFsIENhcmU8L2tleXdvcmQ+PGtleXdvcmQ+UmVjdXJyZW5jZTwva2V5d29yZD48a2V5d29y
ZD5UcmVhdG1lbnQgT3V0Y29tZTwva2V5d29yZD48L2tleXdvcmRzPjxkYXRlcz48eWVhcj4yMDE2
PC95ZWFyPjxwdWItZGF0ZXM+PGRhdGU+T2N0PC9kYXRlPjwvcHViLWRhdGVzPjwvZGF0ZXM+PGlz
Ym4+MTg3My0yMzNYIChFbGVjdHJvbmljKSYjeEQ7MDAyOS03ODQ0IChMaW5raW5nKTwvaXNibj48
YWNjZXNzaW9uLW51bT4yNzYwNzg3NjwvYWNjZXNzaW9uLW51bT48dXJscz48cmVsYXRlZC11cmxz
Pjx1cmw+aHR0cHM6Ly93d3cubmNiaS5ubG0ubmloLmdvdi9wdWJtZWQvMjc2MDc4NzY8L3VybD48
L3JlbGF0ZWQtdXJscz48L3VybHM+PGVsZWN0cm9uaWMtcmVzb3VyY2UtbnVtPjEwLjEwOTcvQU9H
LjAwMDAwMDAwMDAwMDE2MzI8L2VsZWN0cm9uaWMtcmVzb3VyY2UtbnVtPjwvcmVjb3JkPjwvQ2l0
ZT48Q2l0ZT48QXV0aG9yPkhvcGtpbnM8L0F1dGhvcj48WWVhcj4yMDEwPC9ZZWFyPjxSZWNOdW0+
NjkzPC9SZWNOdW0+PHJlY29yZD48cmVjLW51bWJlcj42OTM8L3JlYy1udW1iZXI+PGZvcmVpZ24t
a2V5cz48a2V5IGFwcD0iRU4iIGRiLWlkPSJleHZhc3JmeDJkdHJhb2VzYXN4cDJzenN4YTJkZjUw
MjU5MngiIHRpbWVzdGFtcD0iMTU0MDUzMDA2NyI+NjkzPC9rZXk+PC9mb3JlaWduLWtleXM+PHJl
Zi10eXBlIG5hbWU9IkpvdXJuYWwgQXJ0aWNsZSI+MTc8L3JlZi10eXBlPjxjb250cmlidXRvcnM+
PGF1dGhvcnM+PGF1dGhvcj5Ib3BraW5zLCBTLiBBLjwvYXV0aG9yPjxhdXRob3I+QmFsZGksIEou
IEMuPC9hdXRob3I+PGF1dGhvcj5DdXRmaWVsZCwgVy4gUy48L2F1dGhvcj48YXV0aG9yPk1jQ293
YW4sIEwuPC9hdXRob3I+PGF1dGhvcj5Ib2ZtYW4sIFAuIEwuPC9hdXRob3I+PC9hdXRob3JzPjwv
Y29udHJpYnV0b3JzPjxhdXRoLWFkZHJlc3M+TGlnZ2lucyBJbnN0aXR1dGUsIFRoZSBVbml2ZXJz
aXR5IG9mIEF1Y2tsYW5kLCBQTyBCb3ggOTIwMTksIEF1Y2tsYW5kIDExNDIsIE5ldyBaZWFsYW5k
LjwvYXV0aC1hZGRyZXNzPjx0aXRsZXM+PHRpdGxlPkV4ZXJjaXNlIHRyYWluaW5nIGluIHByZWdu
YW5jeSByZWR1Y2VzIG9mZnNwcmluZyBzaXplIHdpdGhvdXQgY2hhbmdlcyBpbiBtYXRlcm5hbCBp
bnN1bGluIHNlbnNpdGl2aXR5PC90aXRsZT48c2Vjb25kYXJ5LXRpdGxlPkogQ2xpbiBFbmRvY3Jp
bm9sIE1ldGFiPC9zZWNvbmRhcnktdGl0bGU+PC90aXRsZXM+PHBlcmlvZGljYWw+PGZ1bGwtdGl0
bGU+SiBDbGluIEVuZG9jcmlub2wgTWV0YWI8L2Z1bGwtdGl0bGU+PC9wZXJpb2RpY2FsPjxwYWdl
cz4yMDgwLTg8L3BhZ2VzPjx2b2x1bWU+OTU8L3ZvbHVtZT48bnVtYmVyPjU8L251bWJlcj48ZWRp
dGlvbj4yMDEwLzAzLzI2PC9lZGl0aW9uPjxrZXl3b3Jkcz48a2V5d29yZD5BZHVsdDwva2V5d29y
ZD48a2V5d29yZD5BZXJvYmlvc2lzPC9rZXl3b3JkPjxrZXl3b3JkPkJpY3ljbGluZzwva2V5d29y
ZD48a2V5d29yZD4qQmlydGggV2VpZ2h0PC9rZXl3b3JkPjxrZXl3b3JkPkJsb29kIEdsdWNvc2Uv
bWV0YWJvbGlzbTwva2V5d29yZD48a2V5d29yZD5Cb2R5IE1hc3MgSW5kZXg8L2tleXdvcmQ+PGtl
eXdvcmQ+RXhlcmNpc2UvKnBoeXNpb2xvZ3k8L2tleXdvcmQ+PGtleXdvcmQ+RmVtYWxlPC9rZXl3
b3JkPjxrZXl3b3JkPkZldGFsIEJsb29kL2NoZW1pc3RyeTwva2V5d29yZD48a2V5d29yZD5GZXRh
bCBEZXZlbG9wbWVudC8qcGh5c2lvbG9neTwva2V5d29yZD48a2V5d29yZD5IdW1hbnM8L2tleXdv
cmQ+PGtleXdvcmQ+SW5mYW50LCBOZXdib3JuPC9rZXl3b3JkPjxrZXl3b3JkPkluc3VsaW4vKmJs
b29kPC9rZXl3b3JkPjxrZXl3b3JkPkluc3VsaW4tTGlrZSBHcm93dGggRmFjdG9yIEkvbWV0YWJv
bGlzbTwva2V5d29yZD48a2V5d29yZD5JbnN1bGluLUxpa2UgR3Jvd3RoIEZhY3RvciBJSS9tZXRh
Ym9saXNtPC9rZXl3b3JkPjxrZXl3b3JkPk1hbGU8L2tleXdvcmQ+PGtleXdvcmQ+UHJlZ25hbmN5
PC9rZXl3b3JkPjxrZXl3b3JkPlByZWduYW5jeSBUcmltZXN0ZXIsIFNlY29uZDwva2V5d29yZD48
a2V5d29yZD5QcmVnbmFuY3kgVHJpbWVzdGVyLCBUaGlyZDwva2V5d29yZD48a2V5d29yZD5VdGVy
dXMvcGh5c2lvbG9neTwva2V5d29yZD48L2tleXdvcmRzPjxkYXRlcz48eWVhcj4yMDEwPC95ZWFy
PjxwdWItZGF0ZXM+PGRhdGU+TWF5PC9kYXRlPjwvcHViLWRhdGVzPjwvZGF0ZXM+PGlzYm4+MTk0
NS03MTk3IChFbGVjdHJvbmljKSYjeEQ7MDAyMS05NzJYIChMaW5raW5nKTwvaXNibj48YWNjZXNz
aW9uLW51bT4yMDMzNTQ0OTwvYWNjZXNzaW9uLW51bT48dXJscz48cmVsYXRlZC11cmxzPjx1cmw+
aHR0cHM6Ly93d3cubmNiaS5ubG0ubmloLmdvdi9wdWJtZWQvMjAzMzU0NDk8L3VybD48L3JlbGF0
ZWQtdXJscz48L3VybHM+PGVsZWN0cm9uaWMtcmVzb3VyY2UtbnVtPjEwLjEyMTAvamMuMjAwOS0y
MjU1PC9lbGVjdHJvbmljLXJlc291cmNlLW51bT48L3JlY29yZD48L0NpdGU+PENpdGU+PEF1dGhv
cj5Lb25nPC9BdXRob3I+PFllYXI+MjAxNDwvWWVhcj48UmVjTnVtPjc0ODwvUmVjTnVtPjxyZWNv
cmQ+PHJlYy1udW1iZXI+NzQ4PC9yZWMtbnVtYmVyPjxmb3JlaWduLWtleXM+PGtleSBhcHA9IkVO
IiBkYi1pZD0iZXh2YXNyZngyZHRyYW9lc2FzeHAyc3pzeGEyZGY1MDI1OTJ4IiB0aW1lc3RhbXA9
IjE1NDE0Njc5MDUiPjc0ODwva2V5PjxrZXkgYXBwPSJFTldlYiIgZGItaWQ9IiI+MDwva2V5Pjwv
Zm9yZWlnbi1rZXlzPjxyZWYtdHlwZSBuYW1lPSJKb3VybmFsIEFydGljbGUiPjE3PC9yZWYtdHlw
ZT48Y29udHJpYnV0b3JzPjxhdXRob3JzPjxhdXRob3I+S29uZywgSy4gTC48L2F1dGhvcj48YXV0
aG9yPkNhbXBiZWxsLCBDLjwvYXV0aG9yPjxhdXRob3I+V2FnbmVyLCBLLjwvYXV0aG9yPjxhdXRo
b3I+UGV0ZXJzb24sIEEuPC9hdXRob3I+PGF1dGhvcj5MYW5uaW5naGFtLUZvc3RlciwgTC48L2F1
dGhvcj48L2F1dGhvcnM+PC9jb250cmlidXRvcnM+PHRpdGxlcz48dGl0bGU+SW1wYWN0IG9mIGEg
d2Fsa2luZyBpbnRlcnZlbnRpb24gZHVyaW5nIHByZWduYW5jeSBvbiBwb3N0LXBhcnR1bSB3ZWln
aHQgcmV0ZW50aW9uIGFuZCBpbmZhbnQgYW50aHJvcG9tZXRyaWMgb3V0Y29tZXM8L3RpdGxlPjxz
ZWNvbmRhcnktdGl0bGU+Sm91cm5hbCBvZiBEZXZlbG9wbWVudGFsIE9yaWdpbnMgb2YgSGVhbHRo
IGFuZCBEaXNlYXNlPC9zZWNvbmRhcnktdGl0bGU+PC90aXRsZXM+PHBlcmlvZGljYWw+PGZ1bGwt
dGl0bGU+Sm91cm5hbCBvZiBEZXZlbG9wbWVudGFsIE9yaWdpbnMgb2YgSGVhbHRoIGFuZCBEaXNl
YXNlPC9mdWxsLXRpdGxlPjwvcGVyaW9kaWNhbD48cGFnZXM+MjU5LTI2NzwvcGFnZXM+PHZvbHVt
ZT41PC92b2x1bWU+PG51bWJlcj4wMzwvbnVtYmVyPjxzZWN0aW9uPjI1OTwvc2VjdGlvbj48ZGF0
ZXM+PHllYXI+MjAxNDwveWVhcj48L2RhdGVzPjxpc2JuPjIwNDAtMTc0NCYjeEQ7MjA0MC0xNzUy
PC9pc2JuPjx1cmxzPjwvdXJscz48ZWxlY3Ryb25pYy1yZXNvdXJjZS1udW0+MTAuMTAxNy9zMjA0
MDE3NDQxNDAwMDExNzwvZWxlY3Ryb25pYy1yZXNvdXJjZS1udW0+PC9yZWNvcmQ+PC9DaXRlPjxD
aXRlPjxBdXRob3I+T25nPC9BdXRob3I+PFllYXI+MjAwOTwvWWVhcj48UmVjTnVtPjcwMjwvUmVj
TnVtPjxyZWNvcmQ+PHJlYy1udW1iZXI+NzAyPC9yZWMtbnVtYmVyPjxmb3JlaWduLWtleXM+PGtl
eSBhcHA9IkVOIiBkYi1pZD0iZXh2YXNyZngyZHRyYW9lc2FzeHAyc3pzeGEyZGY1MDI1OTJ4IiB0
aW1lc3RhbXA9IjE1NDA1MzA0ODMiPjcwMjwva2V5PjwvZm9yZWlnbi1rZXlzPjxyZWYtdHlwZSBu
YW1lPSJKb3VybmFsIEFydGljbGUiPjE3PC9yZWYtdHlwZT48Y29udHJpYnV0b3JzPjxhdXRob3Jz
PjxhdXRob3I+T25nLCBNLiBKLjwvYXV0aG9yPjxhdXRob3I+R3VlbGZpLCBLLiBKLjwvYXV0aG9y
PjxhdXRob3I+SHVudGVyLCBULjwvYXV0aG9yPjxhdXRob3I+V2FsbG1hbiwgSy4gRS48L2F1dGhv
cj48YXV0aG9yPkZvdXJuaWVyLCBQLiBBLjwvYXV0aG9yPjxhdXRob3I+TmV3bmhhbSwgSi4gUC48
L2F1dGhvcj48L2F1dGhvcnM+PC9jb250cmlidXRvcnM+PGF1dGgtYWRkcmVzcz5TY2hvb2wgb2Yg
U3BvcnQgU2NpZW5jZSwgRXhlcmNpc2UgYW5kIEhlYWx0aCwgVGhlIFVuaXZlcnNpdHkgb2YgV2Vz
dGVybiBBdXN0cmFsaWEsIENyYXdsZXksIFdBIDYwMDksIEF1c3RyYWxpYS48L2F1dGgtYWRkcmVz
cz48dGl0bGVzPjx0aXRsZT5TdXBlcnZpc2VkIGhvbWUtYmFzZWQgZXhlcmNpc2UgbWF5IGF0dGVu
dWF0ZSB0aGUgZGVjbGluZSBvZiBnbHVjb3NlIHRvbGVyYW5jZSBpbiBvYmVzZSBwcmVnbmFudCB3
b21lbjwvdGl0bGU+PHNlY29uZGFyeS10aXRsZT5EaWFiZXRlcyBNZXRhYjwvc2Vjb25kYXJ5LXRp
dGxlPjwvdGl0bGVzPjxwZXJpb2RpY2FsPjxmdWxsLXRpdGxlPkRpYWJldGVzIE1ldGFiPC9mdWxs
LXRpdGxlPjwvcGVyaW9kaWNhbD48cGFnZXM+NDE4LTIxPC9wYWdlcz48dm9sdW1lPjM1PC92b2x1
bWU+PG51bWJlcj41PC9udW1iZXI+PGVkaXRpb24+MjAwOS8wOS8xNTwvZWRpdGlvbj48a2V5d29y
ZHM+PGtleXdvcmQ+QWR1bHQ8L2tleXdvcmQ+PGtleXdvcmQ+Qmxvb2QgR2x1Y29zZS9hbmFseXNp
czwva2V5d29yZD48a2V5d29yZD5Cb2R5IE1hc3MgSW5kZXg8L2tleXdvcmQ+PGtleXdvcmQ+RXhl
cmNpc2UgVGhlcmFweS8qbWV0aG9kczwva2V5d29yZD48a2V5d29yZD5GZW1hbGU8L2tleXdvcmQ+
PGtleXdvcmQ+R2x1Y29zZSBJbnRvbGVyYW5jZS9wcmV2ZW50aW9uICZhbXA7IGNvbnRyb2wvKnRo
ZXJhcHk8L2tleXdvcmQ+PGtleXdvcmQ+R2x1Y29zZSBUb2xlcmFuY2UgVGVzdDwva2V5d29yZD48
a2V5d29yZD5Ib21lIENhcmUgU2VydmljZXMvc3RhdGlzdGljcyAmYW1wOyBudW1lcmljYWwgZGF0
YTwva2V5d29yZD48a2V5d29yZD5IdW1hbnM8L2tleXdvcmQ+PGtleXdvcmQ+SW5zdWxpbi9ibG9v
ZDwva2V5d29yZD48a2V5d29yZD5PYmVzaXR5LypwaHlzaW9wYXRob2xvZ3k8L2tleXdvcmQ+PGtl
eXdvcmQ+UGh5c2ljYWwgRml0bmVzczwva2V5d29yZD48a2V5d29yZD5QcmVnbmFuY3k8L2tleXdv
cmQ+PGtleXdvcmQ+UHJlZ25hbmN5IENvbXBsaWNhdGlvbnMvKnBoeXNpb3BhdGhvbG9neTwva2V5
d29yZD48a2V5d29yZD5QcmVnbmFuY3kgVHJpbWVzdGVyLCBTZWNvbmQ8L2tleXdvcmQ+PC9rZXl3
b3Jkcz48ZGF0ZXM+PHllYXI+MjAwOTwveWVhcj48cHViLWRhdGVzPjxkYXRlPk5vdjwvZGF0ZT48
L3B1Yi1kYXRlcz48L2RhdGVzPjxpc2JuPjE4NzgtMTc4MCAoRWxlY3Ryb25pYykmI3hEOzEyNjIt
MzYzNiAoTGlua2luZyk8L2lzYm4+PGFjY2Vzc2lvbi1udW0+MTk3NDc4Njk8L2FjY2Vzc2lvbi1u
dW0+PHVybHM+PHJlbGF0ZWQtdXJscz48dXJsPmh0dHBzOi8vd3d3Lm5jYmkubmxtLm5paC5nb3Yv
cHVibWVkLzE5NzQ3ODY5PC91cmw+PC9yZWxhdGVkLXVybHM+PC91cmxzPjxlbGVjdHJvbmljLXJl
c291cmNlLW51bT4xMC4xMDE2L2ouZGlhYmV0LjIwMDkuMDQuMDA4PC9lbGVjdHJvbmljLXJlc291
cmNlLW51bT48L3JlY29yZD48L0NpdGU+PENpdGU+PEF1dGhvcj5SZW5hdWx0PC9BdXRob3I+PFll
YXI+MjAxNDwvWWVhcj48UmVjTnVtPjkzNzwvUmVjTnVtPjxyZWNvcmQ+PHJlYy1udW1iZXI+OTM3
PC9yZWMtbnVtYmVyPjxmb3JlaWduLWtleXM+PGtleSBhcHA9IkVOIiBkYi1pZD0iZXh2YXNyZngy
ZHRyYW9lc2FzeHAyc3pzeGEyZGY1MDI1OTJ4IiB0aW1lc3RhbXA9IjE1NDE1NDE4MTQiPjkzNzwv
a2V5PjxrZXkgYXBwPSJFTldlYiIgZGItaWQ9IiI+MDwva2V5PjwvZm9yZWlnbi1rZXlzPjxyZWYt
dHlwZSBuYW1lPSJKb3VybmFsIEFydGljbGUiPjE3PC9yZWYtdHlwZT48Y29udHJpYnV0b3JzPjxh
dXRob3JzPjxhdXRob3I+UmVuYXVsdCwgSy4gTS48L2F1dGhvcj48YXV0aG9yPk5vcmdhYXJkLCBL
LjwvYXV0aG9yPjxhdXRob3I+TmlsYXMsIEwuPC9hdXRob3I+PGF1dGhvcj5DYXJsc2VuLCBFLiBN
LjwvYXV0aG9yPjxhdXRob3I+Q29ydGVzLCBELjwvYXV0aG9yPjxhdXRob3I+UHJ5ZHMsIE8uPC9h
dXRob3I+PGF1dGhvcj5TZWNoZXIsIE4uIEouPC9hdXRob3I+PC9hdXRob3JzPjwvY29udHJpYnV0
b3JzPjxhdXRoLWFkZHJlc3M+RGVwYXJ0bWVudCBvZiBPYnN0ZXRyaWNzIGFuZCBHeW5lY29sb2d5
LCBIdmlkb3ZyZSBIb3NwaXRhbCwgVW5pdmVyc2l0eSBvZiBDb3BlbmhhZ2VuLCBIdmlkb3ZyZSwg
RGVubWFyay4gRWxlY3Ryb25pYyBhZGRyZXNzOiBLcmVuYXVsdEBkYWRsbmV0LmRrLiYjeEQ7RGVw
YXJ0bWVudCBvZiBFbmRvY3Jpbm9sb2d5LCBIdmlkb3ZyZSBIb3NwaXRhbCwgVW5pdmVyc2l0eSBv
ZiBDb3BlbmhhZ2VuLCBIdmlkb3ZyZSwgRGVubWFyay4mI3hEO0RlcGFydG1lbnQgb2YgT2JzdGV0
cmljcyBhbmQgR3luZWNvbG9neSwgSHZpZG92cmUgSG9zcGl0YWwsIFVuaXZlcnNpdHkgb2YgQ29w
ZW5oYWdlbiwgSHZpZG92cmUsIERlbm1hcmsuJiN4RDtEZXBhcnRtZW50IG9mIFBlZGlhdHJpY3Ms
IEh2aWRvdnJlIEhvc3BpdGFsLCBVbml2ZXJzaXR5IG9mIENvcGVuaGFnZW4sIEh2aWRvdnJlLCBE
ZW5tYXJrLjwvYXV0aC1hZGRyZXNzPjx0aXRsZXM+PHRpdGxlPlRoZSBUcmVhdG1lbnQgb2YgT2Jl
c2UgUHJlZ25hbnQgV29tZW4gKFRPUCkgc3R1ZHk6IGEgcmFuZG9taXplZCBjb250cm9sbGVkIHRy
aWFsIG9mIHRoZSBlZmZlY3Qgb2YgcGh5c2ljYWwgYWN0aXZpdHkgaW50ZXJ2ZW50aW9uIGFzc2Vz
c2VkIGJ5IHBlZG9tZXRlciB3aXRoIG9yIHdpdGhvdXQgZGlldGFyeSBpbnRlcnZlbnRpb24gaW4g
b2Jlc2UgcHJlZ25hbnQgd29tZW48L3RpdGxlPjxzZWNvbmRhcnktdGl0bGU+QW0gSiBPYnN0ZXQg
R3luZWNvbDwvc2Vjb25kYXJ5LXRpdGxlPjwvdGl0bGVzPjxwZXJpb2RpY2FsPjxmdWxsLXRpdGxl
PkFtIEogT2JzdGV0IEd5bmVjb2w8L2Z1bGwtdGl0bGU+PC9wZXJpb2RpY2FsPjxwYWdlcz4xMzQg
ZTEtOTwvcGFnZXM+PHZvbHVtZT4yMTA8L3ZvbHVtZT48bnVtYmVyPjI8L251bWJlcj48ZWRpdGlv
bj4yMDEzLzA5LzI2PC9lZGl0aW9uPjxrZXl3b3Jkcz48a2V5d29yZD5BY3RpZ3JhcGh5PC9rZXl3
b3JkPjxrZXl3b3JkPkFkdWx0PC9rZXl3b3JkPjxrZXl3b3JkPkNvbWJpbmVkIE1vZGFsaXR5IFRo
ZXJhcHk8L2tleXdvcmQ+PGtleXdvcmQ+RGlldCwgTWVkaXRlcnJhbmVhbjwva2V5d29yZD48a2V5
d29yZD5FbmVyZ3kgSW50YWtlPC9rZXl3b3JkPjxrZXl3b3JkPipFeGVyY2lzZTwva2V5d29yZD48
a2V5d29yZD5GZW1hbGU8L2tleXdvcmQ+PGtleXdvcmQ+SHVtYW5zPC9rZXl3b3JkPjxrZXl3b3Jk
Pk9iZXNpdHkvZGlldCB0aGVyYXB5Lyp0aGVyYXB5PC9rZXl3b3JkPjxrZXl3b3JkPlByZWduYW5j
eTwva2V5d29yZD48a2V5d29yZD5QcmVnbmFuY3kgQ29tcGxpY2F0aW9ucy9kaWV0IHRoZXJhcHkv
KnRoZXJhcHk8L2tleXdvcmQ+PGtleXdvcmQ+ZGlldDwva2V5d29yZD48a2V5d29yZD5pbnRlcnZl
bnRpb248L2tleXdvcmQ+PGtleXdvcmQ+b2Jlc2l0eTwva2V5d29yZD48a2V5d29yZD5wZWRvbWV0
ZXI8L2tleXdvcmQ+PGtleXdvcmQ+cGh5c2ljYWwgYWN0aXZpdHk8L2tleXdvcmQ+PC9rZXl3b3Jk
cz48ZGF0ZXM+PHllYXI+MjAxNDwveWVhcj48cHViLWRhdGVzPjxkYXRlPkZlYjwvZGF0ZT48L3B1
Yi1kYXRlcz48L2RhdGVzPjxpc2JuPjEwOTctNjg2OCAoRWxlY3Ryb25pYykmI3hEOzAwMDItOTM3
OCAoTGlua2luZyk8L2lzYm4+PGFjY2Vzc2lvbi1udW0+MjQwNjA0NDk8L2FjY2Vzc2lvbi1udW0+
PHVybHM+PHJlbGF0ZWQtdXJscz48dXJsPmh0dHBzOi8vd3d3Lm5jYmkubmxtLm5paC5nb3YvcHVi
bWVkLzI0MDYwNDQ5PC91cmw+PC9yZWxhdGVkLXVybHM+PC91cmxzPjxlbGVjdHJvbmljLXJlc291
cmNlLW51bT4xMC4xMDE2L2ouYWpvZy4yMDEzLjA5LjAyOTwvZWxlY3Ryb25pYy1yZXNvdXJjZS1u
dW0+PC9yZWNvcmQ+PC9DaXRlPjxDaXRlPjxBdXRob3I+U2VuZXZpcmF0bmU8L0F1dGhvcj48WWVh
cj4yMDE2PC9ZZWFyPjxSZWNOdW0+OTQ1PC9SZWNOdW0+PHJlY29yZD48cmVjLW51bWJlcj45NDU8
L3JlYy1udW1iZXI+PGZvcmVpZ24ta2V5cz48a2V5IGFwcD0iRU4iIGRiLWlkPSJleHZhc3JmeDJk
dHJhb2VzYXN4cDJzenN4YTJkZjUwMjU5MngiIHRpbWVzdGFtcD0iMTU0MTU0MTg0OSI+OTQ1PC9r
ZXk+PGtleSBhcHA9IkVOV2ViIiBkYi1pZD0iIj4wPC9rZXk+PC9mb3JlaWduLWtleXM+PHJlZi10
eXBlIG5hbWU9IkpvdXJuYWwgQXJ0aWNsZSI+MTc8L3JlZi10eXBlPjxjb250cmlidXRvcnM+PGF1
dGhvcnM+PGF1dGhvcj5TZW5ldmlyYXRuZSwgUy4gTi48L2F1dGhvcj48YXV0aG9yPkppYW5nLCBZ
LjwvYXV0aG9yPjxhdXRob3I+RGVycmFpaywgSi48L2F1dGhvcj48YXV0aG9yPk1jQ293YW4sIEwu
PC9hdXRob3I+PGF1dGhvcj5QYXJyeSwgRy4gSy48L2F1dGhvcj48YXV0aG9yPkJpZ2dzLCBKLiBC
LjwvYXV0aG9yPjxhdXRob3I+Q3JhaWdpZSwgUy48L2F1dGhvcj48YXV0aG9yPkd1c3NvLCBTLjwv
YXV0aG9yPjxhdXRob3I+UGVyZXMsIEcuPC9hdXRob3I+PGF1dGhvcj5Sb2RyaWd1ZXMsIFIuIE8u
PC9hdXRob3I+PGF1dGhvcj5Fa2Vyb21hLCBBLjwvYXV0aG9yPjxhdXRob3I+Q3V0ZmllbGQsIFcu
IFMuPC9hdXRob3I+PGF1dGhvcj5Ib2ZtYW4sIFAuIEwuPC9hdXRob3I+PC9hdXRob3JzPjwvY29u
dHJpYnV0b3JzPjxhdXRoLWFkZHJlc3M+TGlnZ2lucyBJbnN0aXR1dGUsIFVuaXZlcnNpdHkgb2Yg
QXVja2xhbmQsIEF1Y2tsYW5kLCBOZXcgWmVhbGFuZC4mI3hEO0dyYXZpZGE6IE5hdGlvbmFsIENl
bnRyZSBmb3IgR3Jvd3RoIGFuZCBEZXZlbG9wbWVudCwgQXVja2xhbmQsIE5ldyBaZWFsYW5kLiYj
eEQ7RGVwYXJ0bWVudCBvZiBTdGF0aXN0aWNzLCBVbml2ZXJzaXR5IG9mIEF1Y2tsYW5kLCBBdWNr
bGFuZCwgTmV3IFplYWxhbmQuJiN4RDtEZXBhcnRtZW50IG9mIE9ic3RldHJpY3MgYW5kIEd5bmFl
Y29sb2d5LCBGYWN1bHR5IG9mIE1lZGljYWwgYW5kIEhlYWx0aCBTY2llbmNlLCBVbml2ZXJzaXR5
IG9mIEF1Y2tsYW5kLCBBdWNrbGFuZCwgTmV3IFplYWxhbmQuPC9hdXRoLWFkZHJlc3M+PHRpdGxl
cz48dGl0bGU+RWZmZWN0cyBvZiBhbnRlbmF0YWwgZXhlcmNpc2UgaW4gb3ZlcndlaWdodCBhbmQg
b2Jlc2UgcHJlZ25hbnQgd29tZW4gb24gbWF0ZXJuYWwgYW5kIHBlcmluYXRhbCBvdXRjb21lczog
YSByYW5kb21pc2VkIGNvbnRyb2xsZWQgdHJpYWw8L3RpdGxlPjxzZWNvbmRhcnktdGl0bGU+QkpP
Rzwvc2Vjb25kYXJ5LXRpdGxlPjwvdGl0bGVzPjxwZXJpb2RpY2FsPjxmdWxsLXRpdGxlPkJKT0c8
L2Z1bGwtdGl0bGU+PC9wZXJpb2RpY2FsPjxwYWdlcz41ODgtOTc8L3BhZ2VzPjx2b2x1bWU+MTIz
PC92b2x1bWU+PG51bWJlcj40PC9udW1iZXI+PGVkaXRpb24+MjAxNS8xMS8wNzwvZWRpdGlvbj48
a2V5d29yZHM+PGtleXdvcmQ+QWR1bHQ8L2tleXdvcmQ+PGtleXdvcmQ+Qm9keSBNYXNzIEluZGV4
PC9rZXl3b3JkPjxrZXl3b3JkPipFeGVyY2lzZSBUaGVyYXB5PC9rZXl3b3JkPjxrZXl3b3JkPkZl
bWFsZTwva2V5d29yZD48a2V5d29yZD5IdW1hbnM8L2tleXdvcmQ+PGtleXdvcmQ+TmV3IFplYWxh
bmQvZXBpZGVtaW9sb2d5PC9rZXl3b3JkPjxrZXl3b3JkPk9iZXNpdHkvZXBpZGVtaW9sb2d5L3By
ZXZlbnRpb24gJmFtcDsgY29udHJvbC8qdGhlcmFweTwva2V5d29yZD48a2V5d29yZD5PdmVyd2Vp
Z2h0L2VwaWRlbWlvbG9neS9wcmV2ZW50aW9uICZhbXA7IGNvbnRyb2wvKnRoZXJhcHk8L2tleXdv
cmQ+PGtleXdvcmQ+UGF0aWVudCBDb21wbGlhbmNlPC9rZXl3b3JkPjxrZXl3b3JkPlByZWduYW5j
eTwva2V5d29yZD48a2V5d29yZD5QcmVnbmFuY3kgT3V0Y29tZTwva2V5d29yZD48a2V5d29yZD4q
UHJlZ25hbnQgV29tZW4vcHN5Y2hvbG9neTwva2V5d29yZD48a2V5d29yZD4qUHJlbmF0YWwgQ2Fy
ZTwva2V5d29yZD48a2V5d29yZD5RdWFsaXR5IG9mIExpZmU8L2tleXdvcmQ+PGtleXdvcmQ+Umlz
ayBSZWR1Y3Rpb24gQmVoYXZpb3I8L2tleXdvcmQ+PGtleXdvcmQ+VHJlYXRtZW50IE91dGNvbWU8
L2tleXdvcmQ+PGtleXdvcmQ+V2VpZ2h0IEdhaW48L2tleXdvcmQ+PGtleXdvcmQ+QW50ZW5hdGFs
IGV4ZXJjaXNlPC9rZXl3b3JkPjxrZXl3b3JkPmJvZHkgY29tcG9zaXRpb248L2tleXdvcmQ+PGtl
eXdvcmQ+b2Jlc2l0eTwva2V5d29yZD48L2tleXdvcmRzPjxkYXRlcz48eWVhcj4yMDE2PC95ZWFy
PjxwdWItZGF0ZXM+PGRhdGU+TWFyPC9kYXRlPjwvcHViLWRhdGVzPjwvZGF0ZXM+PGlzYm4+MTQ3
MS0wNTI4IChFbGVjdHJvbmljKSYjeEQ7MTQ3MC0wMzI4IChMaW5raW5nKTwvaXNibj48YWNjZXNz
aW9uLW51bT4yNjU0MjQxOTwvYWNjZXNzaW9uLW51bT48dXJscz48cmVsYXRlZC11cmxzPjx1cmw+
aHR0cHM6Ly93d3cubmNiaS5ubG0ubmloLmdvdi9wdWJtZWQvMjY1NDI0MTk8L3VybD48L3JlbGF0
ZWQtdXJscz48L3VybHM+PGVsZWN0cm9uaWMtcmVzb3VyY2UtbnVtPjEwLjExMTEvMTQ3MS0wNTI4
LjEzNzM4PC9lbGVjdHJvbmljLXJlc291cmNlLW51bT48L3JlY29yZD48L0NpdGU+PENpdGU+PEF1
dGhvcj5UYW5pZ3VjaGk8L0F1dGhvcj48WWVhcj4yMDE2PC9ZZWFyPjxSZWNOdW0+OTExPC9SZWNO
dW0+PHJlY29yZD48cmVjLW51bWJlcj45MTE8L3JlYy1udW1iZXI+PGZvcmVpZ24ta2V5cz48a2V5
IGFwcD0iRU4iIGRiLWlkPSJleHZhc3JmeDJkdHJhb2VzYXN4cDJzenN4YTJkZjUwMjU5MngiIHRp
bWVzdGFtcD0iMTU0MTU0MDg2MSI+OTExPC9rZXk+PGtleSBhcHA9IkVOV2ViIiBkYi1pZD0iIj4w
PC9rZXk+PC9mb3JlaWduLWtleXM+PHJlZi10eXBlIG5hbWU9IkpvdXJuYWwgQXJ0aWNsZSI+MTc8
L3JlZi10eXBlPjxjb250cmlidXRvcnM+PGF1dGhvcnM+PGF1dGhvcj5UYW5pZ3VjaGksIEMuPC9h
dXRob3I+PGF1dGhvcj5TYXRvLCBDLjwvYXV0aG9yPjwvYXV0aG9ycz48L2NvbnRyaWJ1dG9ycz48
YXV0aC1hZGRyZXNzPkthbmFnYXdhIFVuaXZlcnNpdHkgb2YgSHVtYW4gU2VydmljZXMsIEthbmFn
YXdhIFByZWZlY3R1cmUsIEphcGFuLiB0YW5pZ3VjaGkubTdiQGt1aHMuYWMuanAuJiN4RDtPdHN1
a2EgTWVkaWNhbCBDbGluaWMsIFRvc2hpbWEta3UsIEphcGFuLjwvYXV0aC1hZGRyZXNzPjx0aXRs
ZXM+PHRpdGxlPkhvbWUtYmFzZWQgd2Fsa2luZyBkdXJpbmcgcHJlZ25hbmN5IGFmZmVjdHMgbW9v
ZCBhbmQgYmlydGggb3V0Y29tZXMgYW1vbmcgc2VkZW50YXJ5IHdvbWVuOiBBIHJhbmRvbWl6ZWQg
Y29udHJvbGxlZCB0cmlhbDwvdGl0bGU+PHNlY29uZGFyeS10aXRsZT5JbnQgSiBOdXJzIFByYWN0
PC9zZWNvbmRhcnktdGl0bGU+PC90aXRsZXM+PHBlcmlvZGljYWw+PGZ1bGwtdGl0bGU+SW50IEog
TnVycyBQcmFjdDwvZnVsbC10aXRsZT48L3BlcmlvZGljYWw+PHBhZ2VzPjQyMC00MjY8L3BhZ2Vz
Pjx2b2x1bWU+MjI8L3ZvbHVtZT48bnVtYmVyPjU8L251bWJlcj48ZWRpdGlvbj4yMDE2LzA2LzA5
PC9lZGl0aW9uPjxrZXl3b3Jkcz48a2V5d29yZD5BZHVsdDwva2V5d29yZD48a2V5d29yZD4qQWZm
ZWN0PC9rZXl3b3JkPjxrZXl3b3JkPkZlbWFsZTwva2V5d29yZD48a2V5d29yZD5IdW1hbnM8L2tl
eXdvcmQ+PGtleXdvcmQ+UHJlZ25hbmN5PC9rZXl3b3JkPjxrZXl3b3JkPipQcmVnbmFuY3kgT3V0
Y29tZTwva2V5d29yZD48a2V5d29yZD4qU2VkZW50YXJ5IExpZmVzdHlsZTwva2V5d29yZD48a2V5
d29yZD4qV2Fsa2luZzwva2V5d29yZD48a2V5d29yZD5Zb3VuZyBBZHVsdDwva2V5d29yZD48a2V5
d29yZD4qUHJvZmlsZSBvZiBNb29kIFN0YXRlczwva2V5d29yZD48a2V5d29yZD4qZXhlcmNpc2U8
L2tleXdvcmQ+PGtleXdvcmQ+Km51cnNpbmc8L2tleXdvcmQ+PGtleXdvcmQ+KnByZWduYW5jeTwv
a2V5d29yZD48a2V5d29yZD4qcmFuZG9taXplZCBjb250cm9sbGVkIHRyaWFsPC9rZXl3b3JkPjwv
a2V5d29yZHM+PGRhdGVzPjx5ZWFyPjIwMTY8L3llYXI+PHB1Yi1kYXRlcz48ZGF0ZT5PY3Q8L2Rh
dGU+PC9wdWItZGF0ZXM+PC9kYXRlcz48aXNibj4xNDQwLTE3MlggKEVsZWN0cm9uaWMpJiN4RDsx
MzIyLTcxMTQgKExpbmtpbmcpPC9pc2JuPjxhY2Nlc3Npb24tbnVtPjI3MjcyOTM3PC9hY2Nlc3Np
b24tbnVtPjx1cmxzPjxyZWxhdGVkLXVybHM+PHVybD5odHRwczovL3d3dy5uY2JpLm5sbS5uaWgu
Z292L3B1Ym1lZC8yNzI3MjkzNzwvdXJsPjwvcmVsYXRlZC11cmxzPjwvdXJscz48ZWxlY3Ryb25p
Yy1yZXNvdXJjZS1udW0+MTAuMTExMS9pam4uMTI0NTM8L2VsZWN0cm9uaWMtcmVzb3VyY2UtbnVt
PjwvcmVjb3JkPjwvQ2l0ZT48Q2l0ZT48QXV0aG9yPldhbmc8L0F1dGhvcj48WWVhcj4yMDE3PC9Z
ZWFyPjxSZWNOdW0+OTYzPC9SZWNOdW0+PHJlY29yZD48cmVjLW51bWJlcj45NjM8L3JlYy1udW1i
ZXI+PGZvcmVpZ24ta2V5cz48a2V5IGFwcD0iRU4iIGRiLWlkPSJleHZhc3JmeDJkdHJhb2VzYXN4
cDJzenN4YTJkZjUwMjU5MngiIHRpbWVzdGFtcD0iMTU0MTU0MTkzNCI+OTYzPC9rZXk+PGtleSBh
cHA9IkVOV2ViIiBkYi1pZD0iIj4wPC9rZXk+PC9mb3JlaWduLWtleXM+PHJlZi10eXBlIG5hbWU9
IkpvdXJuYWwgQXJ0aWNsZSI+MTc8L3JlZi10eXBlPjxjb250cmlidXRvcnM+PGF1dGhvcnM+PGF1
dGhvcj5XYW5nLCBDLjwvYXV0aG9yPjxhdXRob3I+V2VpLCBZLjwvYXV0aG9yPjxhdXRob3I+Wmhh
bmcsIFguPC9hdXRob3I+PGF1dGhvcj5aaGFuZywgWS48L2F1dGhvcj48YXV0aG9yPlh1LCBRLjwv
YXV0aG9yPjxhdXRob3I+U3VuLCBZLjwvYXV0aG9yPjxhdXRob3I+U3UsIFMuPC9hdXRob3I+PGF1
dGhvcj5aaGFuZywgTC48L2F1dGhvcj48YXV0aG9yPkxpdSwgQy48L2F1dGhvcj48YXV0aG9yPkZl
bmcsIFkuPC9hdXRob3I+PGF1dGhvcj5TaG91LCBDLjwvYXV0aG9yPjxhdXRob3I+R3VlbGZpLCBL
LiBKLjwvYXV0aG9yPjxhdXRob3I+TmV3bmhhbSwgSi4gUC48L2F1dGhvcj48YXV0aG9yPllhbmcs
IEguPC9hdXRob3I+PC9hdXRob3JzPjwvY29udHJpYnV0b3JzPjxhdXRoLWFkZHJlc3M+RGVwYXJ0
bWVudCBvZiBPYnN0ZXRyaWNzIGFuZCBHeW5lY29sb2d5LCBQZWtpbmcgVW5pdmVyc2l0eSBGaXJz
dCBIb3NwaXRhbCwgQmVpamluZywgQ2hpbmEuJiN4RDtEaXZpc2lvbiBvZiBIb3NwaXRhbCBNZWRp
Y2luZSwgSGFsbG1hcmsgSGVhbHRoIFN5c3RlbSwgTWVkZm9yZCwgTUEuJiN4RDtTY2hvb2xzIG9m
IFNwb3J0IFNjaWVuY2UsIEV4ZXJjaXNlLCBhbmQgSGVhbHRoLCBVbml2ZXJzaXR5IG9mIFdlc3Rl
cm4gQXVzdHJhbGlhLCBQZXJ0aCwgQXVzdHJhbGlhLiYjeEQ7V29tZW4mYXBvcztzIGFuZCBJbmZh
bnRzJmFwb3M7IEhlYWx0aCwgVW5pdmVyc2l0eSBvZiBXZXN0ZXJuIEF1c3RyYWxpYSwgUGVydGgs
IEF1c3RyYWxpYS4mI3hEO0RlcGFydG1lbnQgb2YgT2JzdGV0cmljcyBhbmQgR3luZWNvbG9neSwg
UGVraW5nIFVuaXZlcnNpdHkgRmlyc3QgSG9zcGl0YWwsIEJlaWppbmcsIENoaW5hLiBFbGVjdHJv
bmljIGFkZHJlc3M6IHlhbmdodWl4aWFAYmptdS5lZHUuY24uPC9hdXRoLWFkZHJlc3M+PHRpdGxl
cz48dGl0bGU+QSByYW5kb21pemVkIGNsaW5pY2FsIHRyaWFsIG9mIGV4ZXJjaXNlIGR1cmluZyBw
cmVnbmFuY3kgdG8gcHJldmVudCBnZXN0YXRpb25hbCBkaWFiZXRlcyBtZWxsaXR1cyBhbmQgaW1w
cm92ZSBwcmVnbmFuY3kgb3V0Y29tZSBpbiBvdmVyd2VpZ2h0IGFuZCBvYmVzZSBwcmVnbmFudCB3
b21lbjwvdGl0bGU+PHNlY29uZGFyeS10aXRsZT5BbSBKIE9ic3RldCBHeW5lY29sPC9zZWNvbmRh
cnktdGl0bGU+PC90aXRsZXM+PHBlcmlvZGljYWw+PGZ1bGwtdGl0bGU+QW0gSiBPYnN0ZXQgR3lu
ZWNvbDwvZnVsbC10aXRsZT48L3BlcmlvZGljYWw+PHBhZ2VzPjM0MC0zNTE8L3BhZ2VzPjx2b2x1
bWU+MjE2PC92b2x1bWU+PG51bWJlcj40PC9udW1iZXI+PGVkaXRpb24+MjAxNy8wMi8wNjwvZWRp
dGlvbj48a2V5d29yZHM+PGtleXdvcmQ+QWR1bHQ8L2tleXdvcmQ+PGtleXdvcmQ+Q2VzYXJlYW4g
U2VjdGlvbi9zdGF0aXN0aWNzICZhbXA7IG51bWVyaWNhbCBkYXRhPC9rZXl3b3JkPjxrZXl3b3Jk
PkNoaW5hL2VwaWRlbWlvbG9neTwva2V5d29yZD48a2V5d29yZD5EaWFiZXRlcywgR2VzdGF0aW9u
YWwvKnByZXZlbnRpb24gJmFtcDsgY29udHJvbDwva2V5d29yZD48a2V5d29yZD4qRXhlcmNpc2U8
L2tleXdvcmQ+PGtleXdvcmQ+RmVtYWxlPC9rZXl3b3JkPjxrZXl3b3JkPkZldGFsIE1hY3Jvc29t
aWEvZXBpZGVtaW9sb2d5PC9rZXl3b3JkPjxrZXl3b3JkPkdlc3RhdGlvbmFsIEFnZTwva2V5d29y
ZD48a2V5d29yZD5IdW1hbnM8L2tleXdvcmQ+PGtleXdvcmQ+SHlwZXJ0ZW5zaW9uLCBQcmVnbmFu
Y3ktSW5kdWNlZC9lcGlkZW1pb2xvZ3k8L2tleXdvcmQ+PGtleXdvcmQ+SW5mYW50LCBOZXdib3Ju
PC9rZXl3b3JkPjxrZXl3b3JkPkluc3VsaW4gUmVzaXN0YW5jZTwva2V5d29yZD48a2V5d29yZD5P
YmVzaXR5Lyp0aGVyYXB5PC9rZXl3b3JkPjxrZXl3b3JkPk92ZXJ3ZWlnaHQvKnRoZXJhcHk8L2tl
eXdvcmQ+PGtleXdvcmQ+UHJlZ25hbmN5PC9rZXl3b3JkPjxrZXl3b3JkPlByZW1hdHVyZSBCaXJ0
aC9lcGlkZW1pb2xvZ3k8L2tleXdvcmQ+PGtleXdvcmQ+UHJvc3BlY3RpdmUgU3R1ZGllczwva2V5
d29yZD48a2V5d29yZD5XZWlnaHQgR2Fpbjwva2V5d29yZD48a2V5d29yZD4qYWR2ZXJzZSBwcmVn
bmFuY3kgb3V0Y29tZTwva2V5d29yZD48a2V5d29yZD4qZ2VzdGF0aW9uYWwgZGlhYmV0ZXMgbWVs
bGl0dXM8L2tleXdvcmQ+PGtleXdvcmQ+Km9iZXNpdHk8L2tleXdvcmQ+PGtleXdvcmQ+Km92ZXJ3
ZWlnaHQ8L2tleXdvcmQ+PGtleXdvcmQ+KnByZWduYW50IHdvbWVuPC9rZXl3b3JkPjwva2V5d29y
ZHM+PGRhdGVzPjx5ZWFyPjIwMTc8L3llYXI+PHB1Yi1kYXRlcz48ZGF0ZT5BcHI8L2RhdGU+PC9w
dWItZGF0ZXM+PC9kYXRlcz48aXNibj4xMDk3LTY4NjggKEVsZWN0cm9uaWMpJiN4RDswMDAyLTkz
NzggKExpbmtpbmcpPC9pc2JuPjxhY2Nlc3Npb24tbnVtPjI4MTYxMzA2PC9hY2Nlc3Npb24tbnVt
Pjx1cmxzPjxyZWxhdGVkLXVybHM+PHVybD5odHRwczovL3d3dy5uY2JpLm5sbS5uaWguZ292L3B1
Ym1lZC8yODE2MTMwNjwvdXJsPjwvcmVsYXRlZC11cmxzPjwvdXJscz48ZWxlY3Ryb25pYy1yZXNv
dXJjZS1udW0+MTAuMTAxNi9qLmFqb2cuMjAxNy4wMS4wMzc8L2VsZWN0cm9uaWMtcmVzb3VyY2Ut
bnVtPjwvcmVjb3JkPjwvQ2l0ZT48L0VuZE5vdGU+AG==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Zm9udD0iVHJlYnVjaGV0IE1TIiBzaXplPSI5Ij4yNzAtMjczLDI5MiwyOTksNDQ4LTQ1Mjwvc3R5
bGU+PC9EaXNwbGF5VGV4dD48cmVjb3JkPjxyZWMtbnVtYmVyPjY3OTwvcmVjLW51bWJlcj48Zm9y
ZWlnbi1rZXlzPjxrZXkgYXBwPSJFTiIgZGItaWQ9ImV4dmFzcmZ4MmR0cmFvZXNhc3hwMnN6c3hh
MmRmNTAyNTkyeCIgdGltZXN0YW1wPSIxNTQwNTI2ODkwIj42Nzk8L2tleT48L2ZvcmVpZ24ta2V5
cz48cmVmLXR5cGUgbmFtZT0iSm91cm5hbCBBcnRpY2xlIj4xNzwvcmVmLXR5cGU+PGNvbnRyaWJ1
dG9ycz48YXV0aG9ycz48YXV0aG9yPkJhY2l1aywgRS4gUC48L2F1dGhvcj48YXV0aG9yPlBlcmVp
cmEsIFIuIEkuPC9hdXRob3I+PGF1dGhvcj5DZWNhdHRpLCBKLiBHLjwvYXV0aG9yPjxhdXRob3I+
QnJhZ2EsIEEuIEYuPC9hdXRob3I+PGF1dGhvcj5DYXZhbGNhbnRlLCBTLiBSLjwvYXV0aG9yPjwv
YXV0aG9ycz48L2NvbnRyaWJ1dG9ycz48YXV0aC1hZGRyZXNzPkRlcGFydG1lbnQgb2YgT2JzdGV0
cmljcyBhbmQgR3luZWNvbG9neSwgVW5pdmVyc2l0eSBvZiBDYW1waW5hcywgU2FvIFBhdWxvLCBC
cmF6aWwuIGVyaWNheGJhQHRlcnJhLmNvbS5icjwvYXV0aC1hZGRyZXNzPjx0aXRsZXM+PHRpdGxl
PldhdGVyIGFlcm9iaWNzIGluIHByZWduYW5jeTogQ2FyZGlvdmFzY3VsYXIgcmVzcG9uc2UsIGxh
Ym9yIGFuZCBuZW9uYXRhbCBvdXRjb21lczwvdGl0bGU+PHNlY29uZGFyeS10aXRsZT5SZXByb2Qg
SGVhbHRoPC9zZWNvbmRhcnktdGl0bGU+PC90aXRsZXM+PHBlcmlvZGljYWw+PGZ1bGwtdGl0bGU+
UmVwcm9kIEhlYWx0aDwvZnVsbC10aXRsZT48L3BlcmlvZGljYWw+PHBhZ2VzPjEwPC9wYWdlcz48
dm9sdW1lPjU8L3ZvbHVtZT48ZWRpdGlvbj4yMDA4LzExLzI2PC9lZGl0aW9uPjxkYXRlcz48eWVh
cj4yMDA4PC95ZWFyPjxwdWItZGF0ZXM+PGRhdGU+Tm92IDIxPC9kYXRlPjwvcHViLWRhdGVzPjwv
ZGF0ZXM+PGlzYm4+MTc0Mi00NzU1IChFbGVjdHJvbmljKSYjeEQ7MTc0Mi00NzU1IChMaW5raW5n
KTwvaXNibj48YWNjZXNzaW9uLW51bT4xOTAyNTU3OTwvYWNjZXNzaW9uLW51bT48dXJscz48cmVs
YXRlZC11cmxzPjx1cmw+aHR0cHM6Ly93d3cubmNiaS5ubG0ubmloLmdvdi9wdWJtZWQvMTkwMjU1
Nzk8L3VybD48L3JlbGF0ZWQtdXJscz48L3VybHM+PGN1c3RvbTI+UE1DMjYxMzEzMTwvY3VzdG9t
Mj48ZWxlY3Ryb25pYy1yZXNvdXJjZS1udW0+MTAuMTE4Ni8xNzQyLTQ3NTUtNS0xMDwvZWxlY3Ry
b25pYy1yZXNvdXJjZS1udW0+PC9yZWNvcmQ+PC9DaXRlPjxDaXRlPjxBdXRob3I+ZGUgT2xpdmVy
aWEgTWVsbzwvQXV0aG9yPjxZZWFyPjIwMTI8L1llYXI+PFJlY051bT42ODc8L1JlY051bT48cmVj
b3JkPjxyZWMtbnVtYmVyPjY4NzwvcmVjLW51bWJlcj48Zm9yZWlnbi1rZXlzPjxrZXkgYXBwPSJF
TiIgZGItaWQ9ImV4dmFzcmZ4MmR0cmFvZXNhc3hwMnN6c3hhMmRmNTAyNTkyeCIgdGltZXN0YW1w
PSIxNTQwNTI3MzE5Ij42ODc8L2tleT48L2ZvcmVpZ24ta2V5cz48cmVmLXR5cGUgbmFtZT0iSm91
cm5hbCBBcnRpY2xlIj4xNzwvcmVmLXR5cGU+PGNvbnRyaWJ1dG9ycz48YXV0aG9ycz48YXV0aG9y
PmRlIE9saXZlcmlhIE1lbG8sIEEuIFMuPC9hdXRob3I+PGF1dGhvcj5TaWx2YSwgSi4gTC48L2F1
dGhvcj48YXV0aG9yPlRhdmFyZXMsIEouIFMuPC9hdXRob3I+PGF1dGhvcj5CYXJyb3MsIFYuIE8u
PC9hdXRob3I+PGF1dGhvcj5MZWl0ZSwgRC4gRi48L2F1dGhvcj48YXV0aG9yPkFtb3JpbSwgTS4g
TS48L2F1dGhvcj48L2F1dGhvcnM+PC9jb250cmlidXRvcnM+PGF1dGgtYWRkcmVzcz5EZXBhcnRt
ZW50IG9mIE9ic3RldHJpY3MsIFNjaG9vbCBNZWRpY2FsIFNjaWVuY2VzLCBVbml2ZXJzaXR5IG9m
IENhbXBpbmFzLCBDYW1waW5hcywgQnJhemlsLiBhc29tZWxvQGdtYWlsLmNvbTwvYXV0aC1hZGRy
ZXNzPjx0aXRsZXM+PHRpdGxlPkVmZmVjdCBvZiBhIHBoeXNpY2FsIGV4ZXJjaXNlIHByb2dyYW0g
ZHVyaW5nIHByZWduYW5jeSBvbiB1dGVyb3BsYWNlbnRhbCBhbmQgZmV0YWwgYmxvb2QgZmxvdyBh
bmQgZmV0YWwgZ3Jvd3RoOiBhIHJhbmRvbWl6ZWQgY29udHJvbGxlZCB0cmlhbDwvdGl0bGU+PHNl
Y29uZGFyeS10aXRsZT5PYnN0ZXQgR3luZWNvbDwvc2Vjb25kYXJ5LXRpdGxlPjwvdGl0bGVzPjxw
ZXJpb2RpY2FsPjxmdWxsLXRpdGxlPk9ic3RldCBHeW5lY29sPC9mdWxsLXRpdGxlPjwvcGVyaW9k
aWNhbD48cGFnZXM+MzAyLTEwPC9wYWdlcz48dm9sdW1lPjEyMDwvdm9sdW1lPjxudW1iZXI+MiBQ
dCAxPC9udW1iZXI+PGVkaXRpb24+MjAxMi8wNy8yNTwvZWRpdGlvbj48a2V5d29yZHM+PGtleXdv
cmQ+QWR1bHQ8L2tleXdvcmQ+PGtleXdvcmQ+KkJpcnRoIFdlaWdodDwva2V5d29yZD48a2V5d29y
ZD5CbG9vZCBQcmVzc3VyZTwva2V5d29yZD48a2V5d29yZD5FeGVyY2lzZS8qcGh5c2lvbG9neTwv
a2V5d29yZD48a2V5d29yZD5GZW1hbGU8L2tleXdvcmQ+PGtleXdvcmQ+KkZldGFsIERldmVsb3Bt
ZW50PC9rZXl3b3JkPjxrZXl3b3JkPkZldHVzL2Jsb29kIHN1cHBseTwva2V5d29yZD48a2V5d29y
ZD5IdW1hbnM8L2tleXdvcmQ+PGtleXdvcmQ+SW5mYW50LCBOZXdib3JuPC9rZXl3b3JkPjxrZXl3
b3JkPlBoeXNpY2FsIEZpdG5lc3M8L2tleXdvcmQ+PGtleXdvcmQ+KlBsYWNlbnRhbCBDaXJjdWxh
dGlvbjwva2V5d29yZD48a2V5d29yZD5QcmVnbmFuY3kvKnBoeXNpb2xvZ3k8L2tleXdvcmQ+PGtl
eXdvcmQ+WW91bmcgQWR1bHQ8L2tleXdvcmQ+PC9rZXl3b3Jkcz48ZGF0ZXM+PHllYXI+MjAxMjwv
eWVhcj48cHViLWRhdGVzPjxkYXRlPkF1ZzwvZGF0ZT48L3B1Yi1kYXRlcz48L2RhdGVzPjxpc2Ju
PjE4NzMtMjMzWCAoRWxlY3Ryb25pYykmI3hEOzAwMjktNzg0NCAoTGlua2luZyk8L2lzYm4+PGFj
Y2Vzc2lvbi1udW0+MjI4MjUwODk8L2FjY2Vzc2lvbi1udW0+PHVybHM+PHJlbGF0ZWQtdXJscz48
dXJsPmh0dHBzOi8vd3d3Lm5jYmkubmxtLm5paC5nb3YvcHVibWVkLzIyODI1MDg5PC91cmw+PC9y
ZWxhdGVkLXVybHM+PC91cmxzPjxlbGVjdHJvbmljLXJlc291cmNlLW51bT4xMC4xMDk3L0FPRy4w
YjAxM2UzMTgyNWRlNTkyPC9lbGVjdHJvbmljLXJlc291cmNlLW51bT48L3JlY29yZD48L0NpdGU+
PENpdGU+PEF1dGhvcj5EZWtrZXIgTml0ZXJ0PC9BdXRob3I+PFllYXI+MjAxNTwvWWVhcj48UmVj
TnVtPjY4NjwvUmVjTnVtPjxyZWNvcmQ+PHJlYy1udW1iZXI+Njg2PC9yZWMtbnVtYmVyPjxmb3Jl
aWduLWtleXM+PGtleSBhcHA9IkVOIiBkYi1pZD0iZXh2YXNyZngyZHRyYW9lc2FzeHAyc3pzeGEy
ZGY1MDI1OTJ4IiB0aW1lc3RhbXA9IjE1NDA1MjcyMzgiPjY4Njwva2V5PjwvZm9yZWlnbi1rZXlz
PjxyZWYtdHlwZSBuYW1lPSJKb3VybmFsIEFydGljbGUiPjE3PC9yZWYtdHlwZT48Y29udHJpYnV0
b3JzPjxhdXRob3JzPjxhdXRob3I+RGVra2VyIE5pdGVydCwgTS48L2F1dGhvcj48YXV0aG9yPkJh
cnJldHQsIEguIEwuPC9hdXRob3I+PGF1dGhvcj5EZW5ueSwgSy4gSi48L2F1dGhvcj48YXV0aG9y
Pk1jSW50eXJlLCBILiBELjwvYXV0aG9yPjxhdXRob3I+Q2FsbGF3YXksIEwuIEsuPC9hdXRob3I+
PGF1dGhvcj5CYW1iaW5vIGdyb3VwPC9hdXRob3I+PC9hdXRob3JzPjwvY29udHJpYnV0b3JzPjxh
dXRoLWFkZHJlc3M+U2Nob29sIG9mIE1lZGljaW5lLCBUaGUgVW5pdmVyc2l0eSBvZiBRdWVlbnNs
YW5kLCBIZXJzdG9uLCBRdWVlbnNsYW5kLCBBdXN0cmFsaWE7IFVRIENlbnRyZSBmb3IgQ2xpbmlj
YWwgUmVzZWFyY2gsIFRoZSBVbml2ZXJzaXR5IG9mIFF1ZWVuc2xhbmQsIEhlcnN0b24sIFF1ZWVu
c2xhbmQsIEF1c3RyYWxpYS48L2F1dGgtYWRkcmVzcz48dGl0bGVzPjx0aXRsZT5FeGVyY2lzZSBp
biBwcmVnbmFuY3kgZG9lcyBub3QgYWx0ZXIgZ2VzdGF0aW9uYWwgd2VpZ2h0IGdhaW4sIE1DUC0x
IG9yIGxlcHRpbiBpbiBvYmVzZSB3b21lbjwvdGl0bGU+PHNlY29uZGFyeS10aXRsZT5BdXN0IE4g
WiBKIE9ic3RldCBHeW5hZWNvbDwvc2Vjb25kYXJ5LXRpdGxlPjwvdGl0bGVzPjxwZXJpb2RpY2Fs
PjxmdWxsLXRpdGxlPkF1c3QgTiBaIEogT2JzdGV0IEd5bmFlY29sPC9mdWxsLXRpdGxlPjwvcGVy
aW9kaWNhbD48cGFnZXM+MjctMzM8L3BhZ2VzPjx2b2x1bWU+NTU8L3ZvbHVtZT48bnVtYmVyPjE8
L251bWJlcj48ZWRpdGlvbj4yMDE1LzAyLzE4PC9lZGl0aW9uPjxrZXl3b3Jkcz48a2V5d29yZD5B
ZHVsdDwva2V5d29yZD48a2V5d29yZD5DaGVtb2tpbmUgQ0NMMi9ibG9vZDwva2V5d29yZD48a2V5
d29yZD5FeGVyY2lzZS8qcGh5c2lvbG9neTwva2V5d29yZD48a2V5d29yZD5GZW1hbGU8L2tleXdv
cmQ+PGtleXdvcmQ+SHVtYW5zPC9rZXl3b3JkPjxrZXl3b3JkPkludGVybGV1a2luLTgvYmxvb2Q8
L2tleXdvcmQ+PGtleXdvcmQ+TGVwdGluL2Jsb29kPC9rZXl3b3JkPjxrZXl3b3JkPk9iZXNpdHkv
KmJsb29kL3RoZXJhcHk8L2tleXdvcmQ+PGtleXdvcmQ+UGlsb3QgUHJvamVjdHM8L2tleXdvcmQ+
PGtleXdvcmQ+UHJlZ25hbmN5PC9rZXl3b3JkPjxrZXl3b3JkPlByZWduYW5jeSBDb21wbGljYXRp
b25zLypibG9vZC9wcmV2ZW50aW9uICZhbXA7IGNvbnRyb2w8L2tleXdvcmQ+PGtleXdvcmQ+Kldl
aWdodCBHYWluPC9rZXl3b3JkPjxrZXl3b3JkPllvdW5nIEFkdWx0PC9rZXl3b3JkPjxrZXl3b3Jk
PmV4ZXJjaXNlPC9rZXl3b3JkPjxrZXl3b3JkPmdlc3RhdGlvbmFsIHdlaWdodCBnYWluPC9rZXl3
b3JkPjxrZXl3b3JkPmxpcGlkczwva2V5d29yZD48a2V5d29yZD5vYmVzaXR5PC9rZXl3b3JkPjwv
a2V5d29yZHM+PGRhdGVzPjx5ZWFyPjIwMTU8L3llYXI+PHB1Yi1kYXRlcz48ZGF0ZT5GZWI8L2Rh
dGU+PC9wdWItZGF0ZXM+PC9kYXRlcz48aXNibj4xNDc5LTgyOFggKEVsZWN0cm9uaWMpJiN4RDsw
MDA0LTg2NjYgKExpbmtpbmcpPC9pc2JuPjxhY2Nlc3Npb24tbnVtPjI1Njg4ODE3PC9hY2Nlc3Np
b24tbnVtPjx1cmxzPjxyZWxhdGVkLXVybHM+PHVybD5odHRwczovL3d3dy5uY2JpLm5sbS5uaWgu
Z292L3B1Ym1lZC8yNTY4ODgxNzwvdXJsPjwvcmVsYXRlZC11cmxzPjwvdXJscz48ZWxlY3Ryb25p
Yy1yZXNvdXJjZS1udW0+MTAuMTExMS9ham8uMTIzMDA8L2VsZWN0cm9uaWMtcmVzb3VyY2UtbnVt
PjwvcmVjb3JkPjwvQ2l0ZT48Q2l0ZT48QXV0aG9yPkd1ZWxmaTwvQXV0aG9yPjxZZWFyPjIwMTY8
L1llYXI+PFJlY051bT43MjM8L1JlY051bT48cmVjb3JkPjxyZWMtbnVtYmVyPjcyMzwvcmVjLW51
bWJlcj48Zm9yZWlnbi1rZXlzPjxrZXkgYXBwPSJFTiIgZGItaWQ9ImV4dmFzcmZ4MmR0cmFvZXNh
c3hwMnN6c3hhMmRmNTAyNTkyeCIgdGltZXN0YW1wPSIxNTQxNDY0ODgwIj43MjM8L2tleT48L2Zv
cmVpZ24ta2V5cz48cmVmLXR5cGUgbmFtZT0iSm91cm5hbCBBcnRpY2xlIj4xNzwvcmVmLXR5cGU+
PGNvbnRyaWJ1dG9ycz48YXV0aG9ycz48YXV0aG9yPkd1ZWxmaSwgSy4gSi48L2F1dGhvcj48YXV0
aG9yPk9uZywgTS4gSi48L2F1dGhvcj48YXV0aG9yPkNyaXNwLCBOLiBBLjwvYXV0aG9yPjxhdXRo
b3I+Rm91cm5pZXIsIFAuIEEuPC9hdXRob3I+PGF1dGhvcj5XYWxsbWFuLCBLLiBFLjwvYXV0aG9y
PjxhdXRob3I+R3JvdmUsIEouIFIuPC9hdXRob3I+PGF1dGhvcj5Eb2hlcnR5LCBELiBBLjwvYXV0
aG9yPjxhdXRob3I+TmV3bmhhbSwgSi4gUC48L2F1dGhvcj48L2F1dGhvcnM+PC9jb250cmlidXRv
cnM+PGF1dGgtYWRkcmVzcz5TY2hvb2wgb2YgU3BvcnQgU2NpZW5jZSwgRXhlcmNpc2UgYW5kIEhl
YWx0aCBhbmQgdGhlIFNjaG9vbCBvZiBXb21lbiZhcG9zO3MgYW5kIEluZmFudHMmYXBvczsgSGVh
bHRoLCB0aGUgVW5pdmVyc2l0eSBvZiBXZXN0ZXJuIEF1c3RyYWxpYSwgUGVydGgsIFdlc3Rlcm4g
QXVzdHJhbGlhLCBBdXN0cmFsaWEuPC9hdXRoLWFkZHJlc3M+PHRpdGxlcz48dGl0bGU+UmVndWxh
ciBFeGVyY2lzZSB0byBQcmV2ZW50IHRoZSBSZWN1cnJlbmNlIG9mIEdlc3RhdGlvbmFsIERpYWJl
dGVzIE1lbGxpdHVzOiBBIFJhbmRvbWl6ZWQgQ29udHJvbGxlZCBUcmlhbDwvdGl0bGU+PHNlY29u
ZGFyeS10aXRsZT5PYnN0ZXQgR3luZWNvbDwvc2Vjb25kYXJ5LXRpdGxlPjwvdGl0bGVzPjxwZXJp
b2RpY2FsPjxmdWxsLXRpdGxlPk9ic3RldCBHeW5lY29sPC9mdWxsLXRpdGxlPjwvcGVyaW9kaWNh
bD48cGFnZXM+ODE5LTI3PC9wYWdlcz48dm9sdW1lPjEyODwvdm9sdW1lPjxudW1iZXI+NDwvbnVt
YmVyPjxlZGl0aW9uPjIwMTYvMDkvMDk8L2VkaXRpb24+PGtleXdvcmRzPjxrZXl3b3JkPkFkdWx0
PC9rZXl3b3JkPjxrZXl3b3JkPkRpYWJldGVzLCBHZXN0YXRpb25hbC9ibG9vZC8qcHJldmVudGlv
biAmYW1wOyBjb250cm9sPC9rZXl3b3JkPjxrZXl3b3JkPipFeGVyY2lzZSBUaGVyYXB5PC9rZXl3
b3JkPjxrZXl3b3JkPkZlbWFsZTwva2V5d29yZD48a2V5d29yZD5HbHVjb3NlIFRvbGVyYW5jZSBU
ZXN0PC9rZXl3b3JkPjxrZXl3b3JkPkh1bWFuczwva2V5d29yZD48a2V5d29yZD5QcmVnbmFuY3k8
L2tleXdvcmQ+PGtleXdvcmQ+UHJlZ25hbmN5IE91dGNvbWU8L2tleXdvcmQ+PGtleXdvcmQ+KlBy
ZW5hdGFsIENhcmU8L2tleXdvcmQ+PGtleXdvcmQ+UmVjdXJyZW5jZTwva2V5d29yZD48a2V5d29y
ZD5UcmVhdG1lbnQgT3V0Y29tZTwva2V5d29yZD48L2tleXdvcmRzPjxkYXRlcz48eWVhcj4yMDE2
PC95ZWFyPjxwdWItZGF0ZXM+PGRhdGU+T2N0PC9kYXRlPjwvcHViLWRhdGVzPjwvZGF0ZXM+PGlz
Ym4+MTg3My0yMzNYIChFbGVjdHJvbmljKSYjeEQ7MDAyOS03ODQ0IChMaW5raW5nKTwvaXNibj48
YWNjZXNzaW9uLW51bT4yNzYwNzg3NjwvYWNjZXNzaW9uLW51bT48dXJscz48cmVsYXRlZC11cmxz
Pjx1cmw+aHR0cHM6Ly93d3cubmNiaS5ubG0ubmloLmdvdi9wdWJtZWQvMjc2MDc4NzY8L3VybD48
L3JlbGF0ZWQtdXJscz48L3VybHM+PGVsZWN0cm9uaWMtcmVzb3VyY2UtbnVtPjEwLjEwOTcvQU9H
LjAwMDAwMDAwMDAwMDE2MzI8L2VsZWN0cm9uaWMtcmVzb3VyY2UtbnVtPjwvcmVjb3JkPjwvQ2l0
ZT48Q2l0ZT48QXV0aG9yPkhvcGtpbnM8L0F1dGhvcj48WWVhcj4yMDEwPC9ZZWFyPjxSZWNOdW0+
NjkzPC9SZWNOdW0+PHJlY29yZD48cmVjLW51bWJlcj42OTM8L3JlYy1udW1iZXI+PGZvcmVpZ24t
a2V5cz48a2V5IGFwcD0iRU4iIGRiLWlkPSJleHZhc3JmeDJkdHJhb2VzYXN4cDJzenN4YTJkZjUw
MjU5MngiIHRpbWVzdGFtcD0iMTU0MDUzMDA2NyI+NjkzPC9rZXk+PC9mb3JlaWduLWtleXM+PHJl
Zi10eXBlIG5hbWU9IkpvdXJuYWwgQXJ0aWNsZSI+MTc8L3JlZi10eXBlPjxjb250cmlidXRvcnM+
PGF1dGhvcnM+PGF1dGhvcj5Ib3BraW5zLCBTLiBBLjwvYXV0aG9yPjxhdXRob3I+QmFsZGksIEou
IEMuPC9hdXRob3I+PGF1dGhvcj5DdXRmaWVsZCwgVy4gUy48L2F1dGhvcj48YXV0aG9yPk1jQ293
YW4sIEwuPC9hdXRob3I+PGF1dGhvcj5Ib2ZtYW4sIFAuIEwuPC9hdXRob3I+PC9hdXRob3JzPjwv
Y29udHJpYnV0b3JzPjxhdXRoLWFkZHJlc3M+TGlnZ2lucyBJbnN0aXR1dGUsIFRoZSBVbml2ZXJz
aXR5IG9mIEF1Y2tsYW5kLCBQTyBCb3ggOTIwMTksIEF1Y2tsYW5kIDExNDIsIE5ldyBaZWFsYW5k
LjwvYXV0aC1hZGRyZXNzPjx0aXRsZXM+PHRpdGxlPkV4ZXJjaXNlIHRyYWluaW5nIGluIHByZWdu
YW5jeSByZWR1Y2VzIG9mZnNwcmluZyBzaXplIHdpdGhvdXQgY2hhbmdlcyBpbiBtYXRlcm5hbCBp
bnN1bGluIHNlbnNpdGl2aXR5PC90aXRsZT48c2Vjb25kYXJ5LXRpdGxlPkogQ2xpbiBFbmRvY3Jp
bm9sIE1ldGFiPC9zZWNvbmRhcnktdGl0bGU+PC90aXRsZXM+PHBlcmlvZGljYWw+PGZ1bGwtdGl0
bGU+SiBDbGluIEVuZG9jcmlub2wgTWV0YWI8L2Z1bGwtdGl0bGU+PC9wZXJpb2RpY2FsPjxwYWdl
cz4yMDgwLTg8L3BhZ2VzPjx2b2x1bWU+OTU8L3ZvbHVtZT48bnVtYmVyPjU8L251bWJlcj48ZWRp
dGlvbj4yMDEwLzAzLzI2PC9lZGl0aW9uPjxrZXl3b3Jkcz48a2V5d29yZD5BZHVsdDwva2V5d29y
ZD48a2V5d29yZD5BZXJvYmlvc2lzPC9rZXl3b3JkPjxrZXl3b3JkPkJpY3ljbGluZzwva2V5d29y
ZD48a2V5d29yZD4qQmlydGggV2VpZ2h0PC9rZXl3b3JkPjxrZXl3b3JkPkJsb29kIEdsdWNvc2Uv
bWV0YWJvbGlzbTwva2V5d29yZD48a2V5d29yZD5Cb2R5IE1hc3MgSW5kZXg8L2tleXdvcmQ+PGtl
eXdvcmQ+RXhlcmNpc2UvKnBoeXNpb2xvZ3k8L2tleXdvcmQ+PGtleXdvcmQ+RmVtYWxlPC9rZXl3
b3JkPjxrZXl3b3JkPkZldGFsIEJsb29kL2NoZW1pc3RyeTwva2V5d29yZD48a2V5d29yZD5GZXRh
bCBEZXZlbG9wbWVudC8qcGh5c2lvbG9neTwva2V5d29yZD48a2V5d29yZD5IdW1hbnM8L2tleXdv
cmQ+PGtleXdvcmQ+SW5mYW50LCBOZXdib3JuPC9rZXl3b3JkPjxrZXl3b3JkPkluc3VsaW4vKmJs
b29kPC9rZXl3b3JkPjxrZXl3b3JkPkluc3VsaW4tTGlrZSBHcm93dGggRmFjdG9yIEkvbWV0YWJv
bGlzbTwva2V5d29yZD48a2V5d29yZD5JbnN1bGluLUxpa2UgR3Jvd3RoIEZhY3RvciBJSS9tZXRh
Ym9saXNtPC9rZXl3b3JkPjxrZXl3b3JkPk1hbGU8L2tleXdvcmQ+PGtleXdvcmQ+UHJlZ25hbmN5
PC9rZXl3b3JkPjxrZXl3b3JkPlByZWduYW5jeSBUcmltZXN0ZXIsIFNlY29uZDwva2V5d29yZD48
a2V5d29yZD5QcmVnbmFuY3kgVHJpbWVzdGVyLCBUaGlyZDwva2V5d29yZD48a2V5d29yZD5VdGVy
dXMvcGh5c2lvbG9neTwva2V5d29yZD48L2tleXdvcmRzPjxkYXRlcz48eWVhcj4yMDEwPC95ZWFy
PjxwdWItZGF0ZXM+PGRhdGU+TWF5PC9kYXRlPjwvcHViLWRhdGVzPjwvZGF0ZXM+PGlzYm4+MTk0
NS03MTk3IChFbGVjdHJvbmljKSYjeEQ7MDAyMS05NzJYIChMaW5raW5nKTwvaXNibj48YWNjZXNz
aW9uLW51bT4yMDMzNTQ0OTwvYWNjZXNzaW9uLW51bT48dXJscz48cmVsYXRlZC11cmxzPjx1cmw+
aHR0cHM6Ly93d3cubmNiaS5ubG0ubmloLmdvdi9wdWJtZWQvMjAzMzU0NDk8L3VybD48L3JlbGF0
ZWQtdXJscz48L3VybHM+PGVsZWN0cm9uaWMtcmVzb3VyY2UtbnVtPjEwLjEyMTAvamMuMjAwOS0y
MjU1PC9lbGVjdHJvbmljLXJlc291cmNlLW51bT48L3JlY29yZD48L0NpdGU+PENpdGU+PEF1dGhv
cj5Lb25nPC9BdXRob3I+PFllYXI+MjAxNDwvWWVhcj48UmVjTnVtPjc0ODwvUmVjTnVtPjxyZWNv
cmQ+PHJlYy1udW1iZXI+NzQ4PC9yZWMtbnVtYmVyPjxmb3JlaWduLWtleXM+PGtleSBhcHA9IkVO
IiBkYi1pZD0iZXh2YXNyZngyZHRyYW9lc2FzeHAyc3pzeGEyZGY1MDI1OTJ4IiB0aW1lc3RhbXA9
IjE1NDE0Njc5MDUiPjc0ODwva2V5PjxrZXkgYXBwPSJFTldlYiIgZGItaWQ9IiI+MDwva2V5Pjwv
Zm9yZWlnbi1rZXlzPjxyZWYtdHlwZSBuYW1lPSJKb3VybmFsIEFydGljbGUiPjE3PC9yZWYtdHlw
ZT48Y29udHJpYnV0b3JzPjxhdXRob3JzPjxhdXRob3I+S29uZywgSy4gTC48L2F1dGhvcj48YXV0
aG9yPkNhbXBiZWxsLCBDLjwvYXV0aG9yPjxhdXRob3I+V2FnbmVyLCBLLjwvYXV0aG9yPjxhdXRo
b3I+UGV0ZXJzb24sIEEuPC9hdXRob3I+PGF1dGhvcj5MYW5uaW5naGFtLUZvc3RlciwgTC48L2F1
dGhvcj48L2F1dGhvcnM+PC9jb250cmlidXRvcnM+PHRpdGxlcz48dGl0bGU+SW1wYWN0IG9mIGEg
d2Fsa2luZyBpbnRlcnZlbnRpb24gZHVyaW5nIHByZWduYW5jeSBvbiBwb3N0LXBhcnR1bSB3ZWln
aHQgcmV0ZW50aW9uIGFuZCBpbmZhbnQgYW50aHJvcG9tZXRyaWMgb3V0Y29tZXM8L3RpdGxlPjxz
ZWNvbmRhcnktdGl0bGU+Sm91cm5hbCBvZiBEZXZlbG9wbWVudGFsIE9yaWdpbnMgb2YgSGVhbHRo
IGFuZCBEaXNlYXNlPC9zZWNvbmRhcnktdGl0bGU+PC90aXRsZXM+PHBlcmlvZGljYWw+PGZ1bGwt
dGl0bGU+Sm91cm5hbCBvZiBEZXZlbG9wbWVudGFsIE9yaWdpbnMgb2YgSGVhbHRoIGFuZCBEaXNl
YXNlPC9mdWxsLXRpdGxlPjwvcGVyaW9kaWNhbD48cGFnZXM+MjU5LTI2NzwvcGFnZXM+PHZvbHVt
ZT41PC92b2x1bWU+PG51bWJlcj4wMzwvbnVtYmVyPjxzZWN0aW9uPjI1OTwvc2VjdGlvbj48ZGF0
ZXM+PHllYXI+MjAxNDwveWVhcj48L2RhdGVzPjxpc2JuPjIwNDAtMTc0NCYjeEQ7MjA0MC0xNzUy
PC9pc2JuPjx1cmxzPjwvdXJscz48ZWxlY3Ryb25pYy1yZXNvdXJjZS1udW0+MTAuMTAxNy9zMjA0
MDE3NDQxNDAwMDExNzwvZWxlY3Ryb25pYy1yZXNvdXJjZS1udW0+PC9yZWNvcmQ+PC9DaXRlPjxD
aXRlPjxBdXRob3I+T25nPC9BdXRob3I+PFllYXI+MjAwOTwvWWVhcj48UmVjTnVtPjcwMjwvUmVj
TnVtPjxyZWNvcmQ+PHJlYy1udW1iZXI+NzAyPC9yZWMtbnVtYmVyPjxmb3JlaWduLWtleXM+PGtl
eSBhcHA9IkVOIiBkYi1pZD0iZXh2YXNyZngyZHRyYW9lc2FzeHAyc3pzeGEyZGY1MDI1OTJ4IiB0
aW1lc3RhbXA9IjE1NDA1MzA0ODMiPjcwMjwva2V5PjwvZm9yZWlnbi1rZXlzPjxyZWYtdHlwZSBu
YW1lPSJKb3VybmFsIEFydGljbGUiPjE3PC9yZWYtdHlwZT48Y29udHJpYnV0b3JzPjxhdXRob3Jz
PjxhdXRob3I+T25nLCBNLiBKLjwvYXV0aG9yPjxhdXRob3I+R3VlbGZpLCBLLiBKLjwvYXV0aG9y
PjxhdXRob3I+SHVudGVyLCBULjwvYXV0aG9yPjxhdXRob3I+V2FsbG1hbiwgSy4gRS48L2F1dGhv
cj48YXV0aG9yPkZvdXJuaWVyLCBQLiBBLjwvYXV0aG9yPjxhdXRob3I+TmV3bmhhbSwgSi4gUC48
L2F1dGhvcj48L2F1dGhvcnM+PC9jb250cmlidXRvcnM+PGF1dGgtYWRkcmVzcz5TY2hvb2wgb2Yg
U3BvcnQgU2NpZW5jZSwgRXhlcmNpc2UgYW5kIEhlYWx0aCwgVGhlIFVuaXZlcnNpdHkgb2YgV2Vz
dGVybiBBdXN0cmFsaWEsIENyYXdsZXksIFdBIDYwMDksIEF1c3RyYWxpYS48L2F1dGgtYWRkcmVz
cz48dGl0bGVzPjx0aXRsZT5TdXBlcnZpc2VkIGhvbWUtYmFzZWQgZXhlcmNpc2UgbWF5IGF0dGVu
dWF0ZSB0aGUgZGVjbGluZSBvZiBnbHVjb3NlIHRvbGVyYW5jZSBpbiBvYmVzZSBwcmVnbmFudCB3
b21lbjwvdGl0bGU+PHNlY29uZGFyeS10aXRsZT5EaWFiZXRlcyBNZXRhYjwvc2Vjb25kYXJ5LXRp
dGxlPjwvdGl0bGVzPjxwZXJpb2RpY2FsPjxmdWxsLXRpdGxlPkRpYWJldGVzIE1ldGFiPC9mdWxs
LXRpdGxlPjwvcGVyaW9kaWNhbD48cGFnZXM+NDE4LTIxPC9wYWdlcz48dm9sdW1lPjM1PC92b2x1
bWU+PG51bWJlcj41PC9udW1iZXI+PGVkaXRpb24+MjAwOS8wOS8xNTwvZWRpdGlvbj48a2V5d29y
ZHM+PGtleXdvcmQ+QWR1bHQ8L2tleXdvcmQ+PGtleXdvcmQ+Qmxvb2QgR2x1Y29zZS9hbmFseXNp
czwva2V5d29yZD48a2V5d29yZD5Cb2R5IE1hc3MgSW5kZXg8L2tleXdvcmQ+PGtleXdvcmQ+RXhl
cmNpc2UgVGhlcmFweS8qbWV0aG9kczwva2V5d29yZD48a2V5d29yZD5GZW1hbGU8L2tleXdvcmQ+
PGtleXdvcmQ+R2x1Y29zZSBJbnRvbGVyYW5jZS9wcmV2ZW50aW9uICZhbXA7IGNvbnRyb2wvKnRo
ZXJhcHk8L2tleXdvcmQ+PGtleXdvcmQ+R2x1Y29zZSBUb2xlcmFuY2UgVGVzdDwva2V5d29yZD48
a2V5d29yZD5Ib21lIENhcmUgU2VydmljZXMvc3RhdGlzdGljcyAmYW1wOyBudW1lcmljYWwgZGF0
YTwva2V5d29yZD48a2V5d29yZD5IdW1hbnM8L2tleXdvcmQ+PGtleXdvcmQ+SW5zdWxpbi9ibG9v
ZDwva2V5d29yZD48a2V5d29yZD5PYmVzaXR5LypwaHlzaW9wYXRob2xvZ3k8L2tleXdvcmQ+PGtl
eXdvcmQ+UGh5c2ljYWwgRml0bmVzczwva2V5d29yZD48a2V5d29yZD5QcmVnbmFuY3k8L2tleXdv
cmQ+PGtleXdvcmQ+UHJlZ25hbmN5IENvbXBsaWNhdGlvbnMvKnBoeXNpb3BhdGhvbG9neTwva2V5
d29yZD48a2V5d29yZD5QcmVnbmFuY3kgVHJpbWVzdGVyLCBTZWNvbmQ8L2tleXdvcmQ+PC9rZXl3
b3Jkcz48ZGF0ZXM+PHllYXI+MjAwOTwveWVhcj48cHViLWRhdGVzPjxkYXRlPk5vdjwvZGF0ZT48
L3B1Yi1kYXRlcz48L2RhdGVzPjxpc2JuPjE4NzgtMTc4MCAoRWxlY3Ryb25pYykmI3hEOzEyNjIt
MzYzNiAoTGlua2luZyk8L2lzYm4+PGFjY2Vzc2lvbi1udW0+MTk3NDc4Njk8L2FjY2Vzc2lvbi1u
dW0+PHVybHM+PHJlbGF0ZWQtdXJscz48dXJsPmh0dHBzOi8vd3d3Lm5jYmkubmxtLm5paC5nb3Yv
cHVibWVkLzE5NzQ3ODY5PC91cmw+PC9yZWxhdGVkLXVybHM+PC91cmxzPjxlbGVjdHJvbmljLXJl
c291cmNlLW51bT4xMC4xMDE2L2ouZGlhYmV0LjIwMDkuMDQuMDA4PC9lbGVjdHJvbmljLXJlc291
cmNlLW51bT48L3JlY29yZD48L0NpdGU+PENpdGU+PEF1dGhvcj5SZW5hdWx0PC9BdXRob3I+PFll
YXI+MjAxNDwvWWVhcj48UmVjTnVtPjkzNzwvUmVjTnVtPjxyZWNvcmQ+PHJlYy1udW1iZXI+OTM3
PC9yZWMtbnVtYmVyPjxmb3JlaWduLWtleXM+PGtleSBhcHA9IkVOIiBkYi1pZD0iZXh2YXNyZngy
ZHRyYW9lc2FzeHAyc3pzeGEyZGY1MDI1OTJ4IiB0aW1lc3RhbXA9IjE1NDE1NDE4MTQiPjkzNzwv
a2V5PjxrZXkgYXBwPSJFTldlYiIgZGItaWQ9IiI+MDwva2V5PjwvZm9yZWlnbi1rZXlzPjxyZWYt
dHlwZSBuYW1lPSJKb3VybmFsIEFydGljbGUiPjE3PC9yZWYtdHlwZT48Y29udHJpYnV0b3JzPjxh
dXRob3JzPjxhdXRob3I+UmVuYXVsdCwgSy4gTS48L2F1dGhvcj48YXV0aG9yPk5vcmdhYXJkLCBL
LjwvYXV0aG9yPjxhdXRob3I+TmlsYXMsIEwuPC9hdXRob3I+PGF1dGhvcj5DYXJsc2VuLCBFLiBN
LjwvYXV0aG9yPjxhdXRob3I+Q29ydGVzLCBELjwvYXV0aG9yPjxhdXRob3I+UHJ5ZHMsIE8uPC9h
dXRob3I+PGF1dGhvcj5TZWNoZXIsIE4uIEouPC9hdXRob3I+PC9hdXRob3JzPjwvY29udHJpYnV0
b3JzPjxhdXRoLWFkZHJlc3M+RGVwYXJ0bWVudCBvZiBPYnN0ZXRyaWNzIGFuZCBHeW5lY29sb2d5
LCBIdmlkb3ZyZSBIb3NwaXRhbCwgVW5pdmVyc2l0eSBvZiBDb3BlbmhhZ2VuLCBIdmlkb3ZyZSwg
RGVubWFyay4gRWxlY3Ryb25pYyBhZGRyZXNzOiBLcmVuYXVsdEBkYWRsbmV0LmRrLiYjeEQ7RGVw
YXJ0bWVudCBvZiBFbmRvY3Jpbm9sb2d5LCBIdmlkb3ZyZSBIb3NwaXRhbCwgVW5pdmVyc2l0eSBv
ZiBDb3BlbmhhZ2VuLCBIdmlkb3ZyZSwgRGVubWFyay4mI3hEO0RlcGFydG1lbnQgb2YgT2JzdGV0
cmljcyBhbmQgR3luZWNvbG9neSwgSHZpZG92cmUgSG9zcGl0YWwsIFVuaXZlcnNpdHkgb2YgQ29w
ZW5oYWdlbiwgSHZpZG92cmUsIERlbm1hcmsuJiN4RDtEZXBhcnRtZW50IG9mIFBlZGlhdHJpY3Ms
IEh2aWRvdnJlIEhvc3BpdGFsLCBVbml2ZXJzaXR5IG9mIENvcGVuaGFnZW4sIEh2aWRvdnJlLCBE
ZW5tYXJrLjwvYXV0aC1hZGRyZXNzPjx0aXRsZXM+PHRpdGxlPlRoZSBUcmVhdG1lbnQgb2YgT2Jl
c2UgUHJlZ25hbnQgV29tZW4gKFRPUCkgc3R1ZHk6IGEgcmFuZG9taXplZCBjb250cm9sbGVkIHRy
aWFsIG9mIHRoZSBlZmZlY3Qgb2YgcGh5c2ljYWwgYWN0aXZpdHkgaW50ZXJ2ZW50aW9uIGFzc2Vz
c2VkIGJ5IHBlZG9tZXRlciB3aXRoIG9yIHdpdGhvdXQgZGlldGFyeSBpbnRlcnZlbnRpb24gaW4g
b2Jlc2UgcHJlZ25hbnQgd29tZW48L3RpdGxlPjxzZWNvbmRhcnktdGl0bGU+QW0gSiBPYnN0ZXQg
R3luZWNvbDwvc2Vjb25kYXJ5LXRpdGxlPjwvdGl0bGVzPjxwZXJpb2RpY2FsPjxmdWxsLXRpdGxl
PkFtIEogT2JzdGV0IEd5bmVjb2w8L2Z1bGwtdGl0bGU+PC9wZXJpb2RpY2FsPjxwYWdlcz4xMzQg
ZTEtOTwvcGFnZXM+PHZvbHVtZT4yMTA8L3ZvbHVtZT48bnVtYmVyPjI8L251bWJlcj48ZWRpdGlv
bj4yMDEzLzA5LzI2PC9lZGl0aW9uPjxrZXl3b3Jkcz48a2V5d29yZD5BY3RpZ3JhcGh5PC9rZXl3
b3JkPjxrZXl3b3JkPkFkdWx0PC9rZXl3b3JkPjxrZXl3b3JkPkNvbWJpbmVkIE1vZGFsaXR5IFRo
ZXJhcHk8L2tleXdvcmQ+PGtleXdvcmQ+RGlldCwgTWVkaXRlcnJhbmVhbjwva2V5d29yZD48a2V5
d29yZD5FbmVyZ3kgSW50YWtlPC9rZXl3b3JkPjxrZXl3b3JkPipFeGVyY2lzZTwva2V5d29yZD48
a2V5d29yZD5GZW1hbGU8L2tleXdvcmQ+PGtleXdvcmQ+SHVtYW5zPC9rZXl3b3JkPjxrZXl3b3Jk
Pk9iZXNpdHkvZGlldCB0aGVyYXB5Lyp0aGVyYXB5PC9rZXl3b3JkPjxrZXl3b3JkPlByZWduYW5j
eTwva2V5d29yZD48a2V5d29yZD5QcmVnbmFuY3kgQ29tcGxpY2F0aW9ucy9kaWV0IHRoZXJhcHkv
KnRoZXJhcHk8L2tleXdvcmQ+PGtleXdvcmQ+ZGlldDwva2V5d29yZD48a2V5d29yZD5pbnRlcnZl
bnRpb248L2tleXdvcmQ+PGtleXdvcmQ+b2Jlc2l0eTwva2V5d29yZD48a2V5d29yZD5wZWRvbWV0
ZXI8L2tleXdvcmQ+PGtleXdvcmQ+cGh5c2ljYWwgYWN0aXZpdHk8L2tleXdvcmQ+PC9rZXl3b3Jk
cz48ZGF0ZXM+PHllYXI+MjAxNDwveWVhcj48cHViLWRhdGVzPjxkYXRlPkZlYjwvZGF0ZT48L3B1
Yi1kYXRlcz48L2RhdGVzPjxpc2JuPjEwOTctNjg2OCAoRWxlY3Ryb25pYykmI3hEOzAwMDItOTM3
OCAoTGlua2luZyk8L2lzYm4+PGFjY2Vzc2lvbi1udW0+MjQwNjA0NDk8L2FjY2Vzc2lvbi1udW0+
PHVybHM+PHJlbGF0ZWQtdXJscz48dXJsPmh0dHBzOi8vd3d3Lm5jYmkubmxtLm5paC5nb3YvcHVi
bWVkLzI0MDYwNDQ5PC91cmw+PC9yZWxhdGVkLXVybHM+PC91cmxzPjxlbGVjdHJvbmljLXJlc291
cmNlLW51bT4xMC4xMDE2L2ouYWpvZy4yMDEzLjA5LjAyOTwvZWxlY3Ryb25pYy1yZXNvdXJjZS1u
dW0+PC9yZWNvcmQ+PC9DaXRlPjxDaXRlPjxBdXRob3I+U2VuZXZpcmF0bmU8L0F1dGhvcj48WWVh
cj4yMDE2PC9ZZWFyPjxSZWNOdW0+OTQ1PC9SZWNOdW0+PHJlY29yZD48cmVjLW51bWJlcj45NDU8
L3JlYy1udW1iZXI+PGZvcmVpZ24ta2V5cz48a2V5IGFwcD0iRU4iIGRiLWlkPSJleHZhc3JmeDJk
dHJhb2VzYXN4cDJzenN4YTJkZjUwMjU5MngiIHRpbWVzdGFtcD0iMTU0MTU0MTg0OSI+OTQ1PC9r
ZXk+PGtleSBhcHA9IkVOV2ViIiBkYi1pZD0iIj4wPC9rZXk+PC9mb3JlaWduLWtleXM+PHJlZi10
eXBlIG5hbWU9IkpvdXJuYWwgQXJ0aWNsZSI+MTc8L3JlZi10eXBlPjxjb250cmlidXRvcnM+PGF1
dGhvcnM+PGF1dGhvcj5TZW5ldmlyYXRuZSwgUy4gTi48L2F1dGhvcj48YXV0aG9yPkppYW5nLCBZ
LjwvYXV0aG9yPjxhdXRob3I+RGVycmFpaywgSi48L2F1dGhvcj48YXV0aG9yPk1jQ293YW4sIEwu
PC9hdXRob3I+PGF1dGhvcj5QYXJyeSwgRy4gSy48L2F1dGhvcj48YXV0aG9yPkJpZ2dzLCBKLiBC
LjwvYXV0aG9yPjxhdXRob3I+Q3JhaWdpZSwgUy48L2F1dGhvcj48YXV0aG9yPkd1c3NvLCBTLjwv
YXV0aG9yPjxhdXRob3I+UGVyZXMsIEcuPC9hdXRob3I+PGF1dGhvcj5Sb2RyaWd1ZXMsIFIuIE8u
PC9hdXRob3I+PGF1dGhvcj5Fa2Vyb21hLCBBLjwvYXV0aG9yPjxhdXRob3I+Q3V0ZmllbGQsIFcu
IFMuPC9hdXRob3I+PGF1dGhvcj5Ib2ZtYW4sIFAuIEwuPC9hdXRob3I+PC9hdXRob3JzPjwvY29u
dHJpYnV0b3JzPjxhdXRoLWFkZHJlc3M+TGlnZ2lucyBJbnN0aXR1dGUsIFVuaXZlcnNpdHkgb2Yg
QXVja2xhbmQsIEF1Y2tsYW5kLCBOZXcgWmVhbGFuZC4mI3hEO0dyYXZpZGE6IE5hdGlvbmFsIENl
bnRyZSBmb3IgR3Jvd3RoIGFuZCBEZXZlbG9wbWVudCwgQXVja2xhbmQsIE5ldyBaZWFsYW5kLiYj
eEQ7RGVwYXJ0bWVudCBvZiBTdGF0aXN0aWNzLCBVbml2ZXJzaXR5IG9mIEF1Y2tsYW5kLCBBdWNr
bGFuZCwgTmV3IFplYWxhbmQuJiN4RDtEZXBhcnRtZW50IG9mIE9ic3RldHJpY3MgYW5kIEd5bmFl
Y29sb2d5LCBGYWN1bHR5IG9mIE1lZGljYWwgYW5kIEhlYWx0aCBTY2llbmNlLCBVbml2ZXJzaXR5
IG9mIEF1Y2tsYW5kLCBBdWNrbGFuZCwgTmV3IFplYWxhbmQuPC9hdXRoLWFkZHJlc3M+PHRpdGxl
cz48dGl0bGU+RWZmZWN0cyBvZiBhbnRlbmF0YWwgZXhlcmNpc2UgaW4gb3ZlcndlaWdodCBhbmQg
b2Jlc2UgcHJlZ25hbnQgd29tZW4gb24gbWF0ZXJuYWwgYW5kIHBlcmluYXRhbCBvdXRjb21lczog
YSByYW5kb21pc2VkIGNvbnRyb2xsZWQgdHJpYWw8L3RpdGxlPjxzZWNvbmRhcnktdGl0bGU+QkpP
Rzwvc2Vjb25kYXJ5LXRpdGxlPjwvdGl0bGVzPjxwZXJpb2RpY2FsPjxmdWxsLXRpdGxlPkJKT0c8
L2Z1bGwtdGl0bGU+PC9wZXJpb2RpY2FsPjxwYWdlcz41ODgtOTc8L3BhZ2VzPjx2b2x1bWU+MTIz
PC92b2x1bWU+PG51bWJlcj40PC9udW1iZXI+PGVkaXRpb24+MjAxNS8xMS8wNzwvZWRpdGlvbj48
a2V5d29yZHM+PGtleXdvcmQ+QWR1bHQ8L2tleXdvcmQ+PGtleXdvcmQ+Qm9keSBNYXNzIEluZGV4
PC9rZXl3b3JkPjxrZXl3b3JkPipFeGVyY2lzZSBUaGVyYXB5PC9rZXl3b3JkPjxrZXl3b3JkPkZl
bWFsZTwva2V5d29yZD48a2V5d29yZD5IdW1hbnM8L2tleXdvcmQ+PGtleXdvcmQ+TmV3IFplYWxh
bmQvZXBpZGVtaW9sb2d5PC9rZXl3b3JkPjxrZXl3b3JkPk9iZXNpdHkvZXBpZGVtaW9sb2d5L3By
ZXZlbnRpb24gJmFtcDsgY29udHJvbC8qdGhlcmFweTwva2V5d29yZD48a2V5d29yZD5PdmVyd2Vp
Z2h0L2VwaWRlbWlvbG9neS9wcmV2ZW50aW9uICZhbXA7IGNvbnRyb2wvKnRoZXJhcHk8L2tleXdv
cmQ+PGtleXdvcmQ+UGF0aWVudCBDb21wbGlhbmNlPC9rZXl3b3JkPjxrZXl3b3JkPlByZWduYW5j
eTwva2V5d29yZD48a2V5d29yZD5QcmVnbmFuY3kgT3V0Y29tZTwva2V5d29yZD48a2V5d29yZD4q
UHJlZ25hbnQgV29tZW4vcHN5Y2hvbG9neTwva2V5d29yZD48a2V5d29yZD4qUHJlbmF0YWwgQ2Fy
ZTwva2V5d29yZD48a2V5d29yZD5RdWFsaXR5IG9mIExpZmU8L2tleXdvcmQ+PGtleXdvcmQ+Umlz
ayBSZWR1Y3Rpb24gQmVoYXZpb3I8L2tleXdvcmQ+PGtleXdvcmQ+VHJlYXRtZW50IE91dGNvbWU8
L2tleXdvcmQ+PGtleXdvcmQ+V2VpZ2h0IEdhaW48L2tleXdvcmQ+PGtleXdvcmQ+QW50ZW5hdGFs
IGV4ZXJjaXNlPC9rZXl3b3JkPjxrZXl3b3JkPmJvZHkgY29tcG9zaXRpb248L2tleXdvcmQ+PGtl
eXdvcmQ+b2Jlc2l0eTwva2V5d29yZD48L2tleXdvcmRzPjxkYXRlcz48eWVhcj4yMDE2PC95ZWFy
PjxwdWItZGF0ZXM+PGRhdGU+TWFyPC9kYXRlPjwvcHViLWRhdGVzPjwvZGF0ZXM+PGlzYm4+MTQ3
MS0wNTI4IChFbGVjdHJvbmljKSYjeEQ7MTQ3MC0wMzI4IChMaW5raW5nKTwvaXNibj48YWNjZXNz
aW9uLW51bT4yNjU0MjQxOTwvYWNjZXNzaW9uLW51bT48dXJscz48cmVsYXRlZC11cmxzPjx1cmw+
aHR0cHM6Ly93d3cubmNiaS5ubG0ubmloLmdvdi9wdWJtZWQvMjY1NDI0MTk8L3VybD48L3JlbGF0
ZWQtdXJscz48L3VybHM+PGVsZWN0cm9uaWMtcmVzb3VyY2UtbnVtPjEwLjExMTEvMTQ3MS0wNTI4
LjEzNzM4PC9lbGVjdHJvbmljLXJlc291cmNlLW51bT48L3JlY29yZD48L0NpdGU+PENpdGU+PEF1
dGhvcj5UYW5pZ3VjaGk8L0F1dGhvcj48WWVhcj4yMDE2PC9ZZWFyPjxSZWNOdW0+OTExPC9SZWNO
dW0+PHJlY29yZD48cmVjLW51bWJlcj45MTE8L3JlYy1udW1iZXI+PGZvcmVpZ24ta2V5cz48a2V5
IGFwcD0iRU4iIGRiLWlkPSJleHZhc3JmeDJkdHJhb2VzYXN4cDJzenN4YTJkZjUwMjU5MngiIHRp
bWVzdGFtcD0iMTU0MTU0MDg2MSI+OTExPC9rZXk+PGtleSBhcHA9IkVOV2ViIiBkYi1pZD0iIj4w
PC9rZXk+PC9mb3JlaWduLWtleXM+PHJlZi10eXBlIG5hbWU9IkpvdXJuYWwgQXJ0aWNsZSI+MTc8
L3JlZi10eXBlPjxjb250cmlidXRvcnM+PGF1dGhvcnM+PGF1dGhvcj5UYW5pZ3VjaGksIEMuPC9h
dXRob3I+PGF1dGhvcj5TYXRvLCBDLjwvYXV0aG9yPjwvYXV0aG9ycz48L2NvbnRyaWJ1dG9ycz48
YXV0aC1hZGRyZXNzPkthbmFnYXdhIFVuaXZlcnNpdHkgb2YgSHVtYW4gU2VydmljZXMsIEthbmFn
YXdhIFByZWZlY3R1cmUsIEphcGFuLiB0YW5pZ3VjaGkubTdiQGt1aHMuYWMuanAuJiN4RDtPdHN1
a2EgTWVkaWNhbCBDbGluaWMsIFRvc2hpbWEta3UsIEphcGFuLjwvYXV0aC1hZGRyZXNzPjx0aXRs
ZXM+PHRpdGxlPkhvbWUtYmFzZWQgd2Fsa2luZyBkdXJpbmcgcHJlZ25hbmN5IGFmZmVjdHMgbW9v
ZCBhbmQgYmlydGggb3V0Y29tZXMgYW1vbmcgc2VkZW50YXJ5IHdvbWVuOiBBIHJhbmRvbWl6ZWQg
Y29udHJvbGxlZCB0cmlhbDwvdGl0bGU+PHNlY29uZGFyeS10aXRsZT5JbnQgSiBOdXJzIFByYWN0
PC9zZWNvbmRhcnktdGl0bGU+PC90aXRsZXM+PHBlcmlvZGljYWw+PGZ1bGwtdGl0bGU+SW50IEog
TnVycyBQcmFjdDwvZnVsbC10aXRsZT48L3BlcmlvZGljYWw+PHBhZ2VzPjQyMC00MjY8L3BhZ2Vz
Pjx2b2x1bWU+MjI8L3ZvbHVtZT48bnVtYmVyPjU8L251bWJlcj48ZWRpdGlvbj4yMDE2LzA2LzA5
PC9lZGl0aW9uPjxrZXl3b3Jkcz48a2V5d29yZD5BZHVsdDwva2V5d29yZD48a2V5d29yZD4qQWZm
ZWN0PC9rZXl3b3JkPjxrZXl3b3JkPkZlbWFsZTwva2V5d29yZD48a2V5d29yZD5IdW1hbnM8L2tl
eXdvcmQ+PGtleXdvcmQ+UHJlZ25hbmN5PC9rZXl3b3JkPjxrZXl3b3JkPipQcmVnbmFuY3kgT3V0
Y29tZTwva2V5d29yZD48a2V5d29yZD4qU2VkZW50YXJ5IExpZmVzdHlsZTwva2V5d29yZD48a2V5
d29yZD4qV2Fsa2luZzwva2V5d29yZD48a2V5d29yZD5Zb3VuZyBBZHVsdDwva2V5d29yZD48a2V5
d29yZD4qUHJvZmlsZSBvZiBNb29kIFN0YXRlczwva2V5d29yZD48a2V5d29yZD4qZXhlcmNpc2U8
L2tleXdvcmQ+PGtleXdvcmQ+Km51cnNpbmc8L2tleXdvcmQ+PGtleXdvcmQ+KnByZWduYW5jeTwv
a2V5d29yZD48a2V5d29yZD4qcmFuZG9taXplZCBjb250cm9sbGVkIHRyaWFsPC9rZXl3b3JkPjwv
a2V5d29yZHM+PGRhdGVzPjx5ZWFyPjIwMTY8L3llYXI+PHB1Yi1kYXRlcz48ZGF0ZT5PY3Q8L2Rh
dGU+PC9wdWItZGF0ZXM+PC9kYXRlcz48aXNibj4xNDQwLTE3MlggKEVsZWN0cm9uaWMpJiN4RDsx
MzIyLTcxMTQgKExpbmtpbmcpPC9pc2JuPjxhY2Nlc3Npb24tbnVtPjI3MjcyOTM3PC9hY2Nlc3Np
b24tbnVtPjx1cmxzPjxyZWxhdGVkLXVybHM+PHVybD5odHRwczovL3d3dy5uY2JpLm5sbS5uaWgu
Z292L3B1Ym1lZC8yNzI3MjkzNzwvdXJsPjwvcmVsYXRlZC11cmxzPjwvdXJscz48ZWxlY3Ryb25p
Yy1yZXNvdXJjZS1udW0+MTAuMTExMS9pam4uMTI0NTM8L2VsZWN0cm9uaWMtcmVzb3VyY2UtbnVt
PjwvcmVjb3JkPjwvQ2l0ZT48Q2l0ZT48QXV0aG9yPldhbmc8L0F1dGhvcj48WWVhcj4yMDE3PC9Z
ZWFyPjxSZWNOdW0+OTYzPC9SZWNOdW0+PHJlY29yZD48cmVjLW51bWJlcj45NjM8L3JlYy1udW1i
ZXI+PGZvcmVpZ24ta2V5cz48a2V5IGFwcD0iRU4iIGRiLWlkPSJleHZhc3JmeDJkdHJhb2VzYXN4
cDJzenN4YTJkZjUwMjU5MngiIHRpbWVzdGFtcD0iMTU0MTU0MTkzNCI+OTYzPC9rZXk+PGtleSBh
cHA9IkVOV2ViIiBkYi1pZD0iIj4wPC9rZXk+PC9mb3JlaWduLWtleXM+PHJlZi10eXBlIG5hbWU9
IkpvdXJuYWwgQXJ0aWNsZSI+MTc8L3JlZi10eXBlPjxjb250cmlidXRvcnM+PGF1dGhvcnM+PGF1
dGhvcj5XYW5nLCBDLjwvYXV0aG9yPjxhdXRob3I+V2VpLCBZLjwvYXV0aG9yPjxhdXRob3I+Wmhh
bmcsIFguPC9hdXRob3I+PGF1dGhvcj5aaGFuZywgWS48L2F1dGhvcj48YXV0aG9yPlh1LCBRLjwv
YXV0aG9yPjxhdXRob3I+U3VuLCBZLjwvYXV0aG9yPjxhdXRob3I+U3UsIFMuPC9hdXRob3I+PGF1
dGhvcj5aaGFuZywgTC48L2F1dGhvcj48YXV0aG9yPkxpdSwgQy48L2F1dGhvcj48YXV0aG9yPkZl
bmcsIFkuPC9hdXRob3I+PGF1dGhvcj5TaG91LCBDLjwvYXV0aG9yPjxhdXRob3I+R3VlbGZpLCBL
LiBKLjwvYXV0aG9yPjxhdXRob3I+TmV3bmhhbSwgSi4gUC48L2F1dGhvcj48YXV0aG9yPllhbmcs
IEguPC9hdXRob3I+PC9hdXRob3JzPjwvY29udHJpYnV0b3JzPjxhdXRoLWFkZHJlc3M+RGVwYXJ0
bWVudCBvZiBPYnN0ZXRyaWNzIGFuZCBHeW5lY29sb2d5LCBQZWtpbmcgVW5pdmVyc2l0eSBGaXJz
dCBIb3NwaXRhbCwgQmVpamluZywgQ2hpbmEuJiN4RDtEaXZpc2lvbiBvZiBIb3NwaXRhbCBNZWRp
Y2luZSwgSGFsbG1hcmsgSGVhbHRoIFN5c3RlbSwgTWVkZm9yZCwgTUEuJiN4RDtTY2hvb2xzIG9m
IFNwb3J0IFNjaWVuY2UsIEV4ZXJjaXNlLCBhbmQgSGVhbHRoLCBVbml2ZXJzaXR5IG9mIFdlc3Rl
cm4gQXVzdHJhbGlhLCBQZXJ0aCwgQXVzdHJhbGlhLiYjeEQ7V29tZW4mYXBvcztzIGFuZCBJbmZh
bnRzJmFwb3M7IEhlYWx0aCwgVW5pdmVyc2l0eSBvZiBXZXN0ZXJuIEF1c3RyYWxpYSwgUGVydGgs
IEF1c3RyYWxpYS4mI3hEO0RlcGFydG1lbnQgb2YgT2JzdGV0cmljcyBhbmQgR3luZWNvbG9neSwg
UGVraW5nIFVuaXZlcnNpdHkgRmlyc3QgSG9zcGl0YWwsIEJlaWppbmcsIENoaW5hLiBFbGVjdHJv
bmljIGFkZHJlc3M6IHlhbmdodWl4aWFAYmptdS5lZHUuY24uPC9hdXRoLWFkZHJlc3M+PHRpdGxl
cz48dGl0bGU+QSByYW5kb21pemVkIGNsaW5pY2FsIHRyaWFsIG9mIGV4ZXJjaXNlIGR1cmluZyBw
cmVnbmFuY3kgdG8gcHJldmVudCBnZXN0YXRpb25hbCBkaWFiZXRlcyBtZWxsaXR1cyBhbmQgaW1w
cm92ZSBwcmVnbmFuY3kgb3V0Y29tZSBpbiBvdmVyd2VpZ2h0IGFuZCBvYmVzZSBwcmVnbmFudCB3
b21lbjwvdGl0bGU+PHNlY29uZGFyeS10aXRsZT5BbSBKIE9ic3RldCBHeW5lY29sPC9zZWNvbmRh
cnktdGl0bGU+PC90aXRsZXM+PHBlcmlvZGljYWw+PGZ1bGwtdGl0bGU+QW0gSiBPYnN0ZXQgR3lu
ZWNvbDwvZnVsbC10aXRsZT48L3BlcmlvZGljYWw+PHBhZ2VzPjM0MC0zNTE8L3BhZ2VzPjx2b2x1
bWU+MjE2PC92b2x1bWU+PG51bWJlcj40PC9udW1iZXI+PGVkaXRpb24+MjAxNy8wMi8wNjwvZWRp
dGlvbj48a2V5d29yZHM+PGtleXdvcmQ+QWR1bHQ8L2tleXdvcmQ+PGtleXdvcmQ+Q2VzYXJlYW4g
U2VjdGlvbi9zdGF0aXN0aWNzICZhbXA7IG51bWVyaWNhbCBkYXRhPC9rZXl3b3JkPjxrZXl3b3Jk
PkNoaW5hL2VwaWRlbWlvbG9neTwva2V5d29yZD48a2V5d29yZD5EaWFiZXRlcywgR2VzdGF0aW9u
YWwvKnByZXZlbnRpb24gJmFtcDsgY29udHJvbDwva2V5d29yZD48a2V5d29yZD4qRXhlcmNpc2U8
L2tleXdvcmQ+PGtleXdvcmQ+RmVtYWxlPC9rZXl3b3JkPjxrZXl3b3JkPkZldGFsIE1hY3Jvc29t
aWEvZXBpZGVtaW9sb2d5PC9rZXl3b3JkPjxrZXl3b3JkPkdlc3RhdGlvbmFsIEFnZTwva2V5d29y
ZD48a2V5d29yZD5IdW1hbnM8L2tleXdvcmQ+PGtleXdvcmQ+SHlwZXJ0ZW5zaW9uLCBQcmVnbmFu
Y3ktSW5kdWNlZC9lcGlkZW1pb2xvZ3k8L2tleXdvcmQ+PGtleXdvcmQ+SW5mYW50LCBOZXdib3Ju
PC9rZXl3b3JkPjxrZXl3b3JkPkluc3VsaW4gUmVzaXN0YW5jZTwva2V5d29yZD48a2V5d29yZD5P
YmVzaXR5Lyp0aGVyYXB5PC9rZXl3b3JkPjxrZXl3b3JkPk92ZXJ3ZWlnaHQvKnRoZXJhcHk8L2tl
eXdvcmQ+PGtleXdvcmQ+UHJlZ25hbmN5PC9rZXl3b3JkPjxrZXl3b3JkPlByZW1hdHVyZSBCaXJ0
aC9lcGlkZW1pb2xvZ3k8L2tleXdvcmQ+PGtleXdvcmQ+UHJvc3BlY3RpdmUgU3R1ZGllczwva2V5
d29yZD48a2V5d29yZD5XZWlnaHQgR2Fpbjwva2V5d29yZD48a2V5d29yZD4qYWR2ZXJzZSBwcmVn
bmFuY3kgb3V0Y29tZTwva2V5d29yZD48a2V5d29yZD4qZ2VzdGF0aW9uYWwgZGlhYmV0ZXMgbWVs
bGl0dXM8L2tleXdvcmQ+PGtleXdvcmQ+Km9iZXNpdHk8L2tleXdvcmQ+PGtleXdvcmQ+Km92ZXJ3
ZWlnaHQ8L2tleXdvcmQ+PGtleXdvcmQ+KnByZWduYW50IHdvbWVuPC9rZXl3b3JkPjwva2V5d29y
ZHM+PGRhdGVzPjx5ZWFyPjIwMTc8L3llYXI+PHB1Yi1kYXRlcz48ZGF0ZT5BcHI8L2RhdGU+PC9w
dWItZGF0ZXM+PC9kYXRlcz48aXNibj4xMDk3LTY4NjggKEVsZWN0cm9uaWMpJiN4RDswMDAyLTkz
NzggKExpbmtpbmcpPC9pc2JuPjxhY2Nlc3Npb24tbnVtPjI4MTYxMzA2PC9hY2Nlc3Npb24tbnVt
Pjx1cmxzPjxyZWxhdGVkLXVybHM+PHVybD5odHRwczovL3d3dy5uY2JpLm5sbS5uaWguZ292L3B1
Ym1lZC8yODE2MTMwNjwvdXJsPjwvcmVsYXRlZC11cmxzPjwvdXJscz48ZWxlY3Ryb25pYy1yZXNv
dXJjZS1udW0+MTAuMTAxNi9qLmFqb2cuMjAxNy4wMS4wMzc8L2VsZWN0cm9uaWMtcmVzb3VyY2Ut
bnVtPjwvcmVjb3JkPjwvQ2l0ZT48L0VuZE5vdGU+AG==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270-273,292,299,448-452</w:t>
      </w:r>
      <w:r>
        <w:rPr>
          <w:noProof/>
          <w:sz w:val="16"/>
          <w:szCs w:val="16"/>
        </w:rPr>
        <w:fldChar w:fldCharType="end"/>
      </w:r>
      <w:r>
        <w:rPr>
          <w:lang w:val="en-AU"/>
        </w:rPr>
        <w:t xml:space="preserve"> and 2 </w:t>
      </w:r>
      <w:r w:rsidRPr="00C12274">
        <w:rPr>
          <w:lang w:val="en-AU"/>
        </w:rPr>
        <w:t>a resistance exercise intervention.</w:t>
      </w:r>
      <w:r>
        <w:rPr>
          <w:noProof/>
          <w:sz w:val="16"/>
          <w:szCs w:val="16"/>
        </w:rPr>
        <w:fldChar w:fldCharType="begin">
          <w:fldData xml:space="preserve">PEVuZE5vdGU+PENpdGU+PEF1dGhvcj5CYXJha2F0PC9BdXRob3I+PFllYXI+MjAwOTwvWWVhcj48
UmVjTnVtPjY2ODwvUmVjTnVtPjxEaXNwbGF5VGV4dD48c3R5bGUgZmFjZT0ic3VwZXJzY3JpcHQi
IGZvbnQ9IlRyZWJ1Y2hldCBNUyIgc2l6ZT0iOSI+MzEzLDQ1Mzwvc3R5bGU+PC9EaXNwbGF5VGV4
dD48cmVjb3JkPjxyZWMtbnVtYmVyPjY2ODwvcmVjLW51bWJlcj48Zm9yZWlnbi1rZXlzPjxrZXkg
YXBwPSJFTiIgZGItaWQ9ImV4dmFzcmZ4MmR0cmFvZXNhc3hwMnN6c3hhMmRmNTAyNTkyeCIgdGlt
ZXN0YW1wPSIxNTQwNTI2NTkxIj42Njg8L2tleT48L2ZvcmVpZ24ta2V5cz48cmVmLXR5cGUgbmFt
ZT0iSm91cm5hbCBBcnRpY2xlIj4xNzwvcmVmLXR5cGU+PGNvbnRyaWJ1dG9ycz48YXV0aG9ycz48
YXV0aG9yPkJhcmFrYXQsIFIuPC9hdXRob3I+PGF1dGhvcj5MdWNpYSwgQS48L2F1dGhvcj48YXV0
aG9yPlJ1aXosIEouIFIuPC9hdXRob3I+PC9hdXRob3JzPjwvY29udHJpYnV0b3JzPjxhdXRoLWFk
ZHJlc3M+RmFjdWx0YWQgZGUgQ2llbmNpYXMgZGUgbGEgQWN0aXZpZGFkIEZpc2ljYSB5IGRlbCBE
ZXBvcnRlLUlORUYsIFVuaXZlcnNpZGFkIFBvbGl0ZWNuaWNhIGRlIE1hZHJpZCwgTWFkcmlkLCBT
cGFpbi48L2F1dGgtYWRkcmVzcz48dGl0bGVzPjx0aXRsZT5SZXNpc3RhbmNlIGV4ZXJjaXNlIHRy
YWluaW5nIGR1cmluZyBwcmVnbmFuY3kgYW5kIG5ld2Jvcm4mYXBvcztzIGJpcnRoIHNpemU6IGEg
cmFuZG9taXNlZCBjb250cm9sbGVkIHRyaWFsPC90aXRsZT48c2Vjb25kYXJ5LXRpdGxlPkludCBK
IE9iZXMgKExvbmQpPC9zZWNvbmRhcnktdGl0bGU+PC90aXRsZXM+PHBlcmlvZGljYWw+PGZ1bGwt
dGl0bGU+SW50IEogT2JlcyAoTG9uZCk8L2Z1bGwtdGl0bGU+PC9wZXJpb2RpY2FsPjxwYWdlcz4x
MDQ4LTU3PC9wYWdlcz48dm9sdW1lPjMzPC92b2x1bWU+PG51bWJlcj45PC9udW1iZXI+PGVkaXRp
b24+MjAwOS8wNy8yOTwvZWRpdGlvbj48a2V5d29yZHM+PGtleXdvcmQ+QWR1bHQ8L2tleXdvcmQ+
PGtleXdvcmQ+QmlydGggV2VpZ2h0LypwaHlzaW9sb2d5PC9rZXl3b3JkPjxrZXl3b3JkPkJvZHkg
TWFzcyBJbmRleDwva2V5d29yZD48a2V5d29yZD5Cb2R5IFNpemU8L2tleXdvcmQ+PGtleXdvcmQ+
Qm9keSBXZWlnaHQvKnBoeXNpb2xvZ3k8L2tleXdvcmQ+PGtleXdvcmQ+RmVtYWxlPC9rZXl3b3Jk
PjxrZXl3b3JkPkZldGFsIERldmVsb3BtZW50LypwaHlzaW9sb2d5PC9rZXl3b3JkPjxrZXl3b3Jk
Pkh1bWFuczwva2V5d29yZD48a2V5d29yZD5JbmZhbnQsIE5ld2Jvcm48L2tleXdvcmQ+PGtleXdv
cmQ+UHJlZ25hbmN5PC9rZXl3b3JkPjxrZXl3b3JkPlByZWduYW5jeSBUcmltZXN0ZXIsIFNlY29u
ZDwva2V5d29yZD48a2V5d29yZD5QcmVnbmFuY3kgVHJpbWVzdGVyLCBUaGlyZDwva2V5d29yZD48
a2V5d29yZD5SZXNpc3RhbmNlIFRyYWluaW5nLyptZXRob2RzPC9rZXl3b3JkPjxrZXl3b3JkPlNw
YWluL2VwaWRlbWlvbG9neTwva2V5d29yZD48L2tleXdvcmRzPjxkYXRlcz48eWVhcj4yMDA5PC95
ZWFyPjxwdWItZGF0ZXM+PGRhdGU+U2VwPC9kYXRlPjwvcHViLWRhdGVzPjwvZGF0ZXM+PGlzYm4+
MTQ3Ni01NDk3IChFbGVjdHJvbmljKSYjeEQ7MDMwNy0wNTY1IChMaW5raW5nKTwvaXNibj48YWNj
ZXNzaW9uLW51bT4xOTYzNjMyMDwvYWNjZXNzaW9uLW51bT48dXJscz48cmVsYXRlZC11cmxzPjx1
cmw+aHR0cHM6Ly93d3cubmNiaS5ubG0ubmloLmdvdi9wdWJtZWQvMTk2MzYzMjA8L3VybD48L3Jl
bGF0ZWQtdXJscz48L3VybHM+PGVsZWN0cm9uaWMtcmVzb3VyY2UtbnVtPjEwLjEwMzgvaWpvLjIw
MDkuMTUwPC9lbGVjdHJvbmljLXJlc291cmNlLW51bT48L3JlY29yZD48L0NpdGU+PENpdGU+PEF1
dGhvcj5QZXRyb3YgRmllcmlsPC9BdXRob3I+PFllYXI+MjAxNTwvWWVhcj48UmVjTnVtPjkzMjwv
UmVjTnVtPjxyZWNvcmQ+PHJlYy1udW1iZXI+OTMyPC9yZWMtbnVtYmVyPjxmb3JlaWduLWtleXM+
PGtleSBhcHA9IkVOIiBkYi1pZD0iZXh2YXNyZngyZHRyYW9lc2FzeHAyc3pzeGEyZGY1MDI1OTJ4
IiB0aW1lc3RhbXA9IjE1NDE1NDA5NTciPjkzMjwva2V5PjxrZXkgYXBwPSJFTldlYiIgZGItaWQ9
IiI+MDwva2V5PjwvZm9yZWlnbi1rZXlzPjxyZWYtdHlwZSBuYW1lPSJKb3VybmFsIEFydGljbGUi
PjE3PC9yZWYtdHlwZT48Y29udHJpYnV0b3JzPjxhdXRob3JzPjxhdXRob3I+UGV0cm92IEZpZXJp
bCwgSy48L2F1dGhvcj48YXV0aG9yPkdsYW50eiwgQS48L2F1dGhvcj48YXV0aG9yPkZhZ2V2aWsg
T2xzZW4sIE0uPC9hdXRob3I+PC9hdXRob3JzPjwvY29udHJpYnV0b3JzPjxhdXRoLWFkZHJlc3M+
SW5zdGl0dXRlIG9mIE5ldXJvc2NpZW5jZSBhbmQgUGh5c2lvbG9neSwgVW5pdmVyc2l0eSBvZiBH
b3RoZW5idXJnLCBHb3RoZW5idXJnLCBTd2VkZW4uPC9hdXRoLWFkZHJlc3M+PHRpdGxlcz48dGl0
bGU+VGhlIGVmZmljYWN5IG9mIG1vZGVyYXRlLXRvLXZpZ29yb3VzIHJlc2lzdGFuY2UgZXhlcmNp
c2UgZHVyaW5nIHByZWduYW5jeTogYSByYW5kb21pemVkIGNvbnRyb2xsZWQgdHJpYWw8L3RpdGxl
PjxzZWNvbmRhcnktdGl0bGU+QWN0YSBPYnN0ZXQgR3luZWNvbCBTY2FuZDwvc2Vjb25kYXJ5LXRp
dGxlPjwvdGl0bGVzPjxwZXJpb2RpY2FsPjxmdWxsLXRpdGxlPkFjdGEgT2JzdGV0IEd5bmVjb2wg
U2NhbmQ8L2Z1bGwtdGl0bGU+PC9wZXJpb2RpY2FsPjxwYWdlcz4zNS00MjwvcGFnZXM+PHZvbHVt
ZT45NDwvdm9sdW1lPjxudW1iZXI+MTwvbnVtYmVyPjxlZGl0aW9uPjIwMTQvMTAvMDg8L2VkaXRp
b24+PGtleXdvcmRzPjxrZXl3b3JkPkFkdWx0PC9rZXl3b3JkPjxrZXl3b3JkPkJsb29kIFByZXNz
dXJlIERldGVybWluYXRpb24vbWV0aG9kczwva2V5d29yZD48a2V5d29yZD5GZW1hbGU8L2tleXdv
cmQ+PGtleXdvcmQ+R2VzdGF0aW9uYWwgQWdlPC9rZXl3b3JkPjxrZXl3b3JkPkhlYXJ0IFJhdGUv
cGh5c2lvbG9neTwva2V5d29yZD48a2V5d29yZD5IdW1hbnM8L2tleXdvcmQ+PGtleXdvcmQ+TW9u
aXRvcmluZywgUGh5c2lvbG9naWMvbWV0aG9kczwva2V5d29yZD48a2V5d29yZD5QaHlzaWNhbCBF
bmR1cmFuY2UvKnBoeXNpb2xvZ3k8L2tleXdvcmQ+PGtleXdvcmQ+UGh5c2ljYWwgRml0bmVzcy9w
aHlzaW9sb2d5PC9rZXl3b3JkPjxrZXl3b3JkPlByZWduYW5jeTwva2V5d29yZD48a2V5d29yZD4q
UHJlZ25hbmN5IE91dGNvbWU8L2tleXdvcmQ+PGtleXdvcmQ+UHJvc3BlY3RpdmUgU3R1ZGllczwv
a2V5d29yZD48a2V5d29yZD4qUXVhbGl0eSBvZiBMaWZlPC9rZXl3b3JkPjxrZXl3b3JkPlJlZmVy
ZW5jZSBWYWx1ZXM8L2tleXdvcmQ+PGtleXdvcmQ+UmVzaXN0YW5jZSBUcmFpbmluZy8qbWV0aG9k
czwva2V5d29yZD48a2V5d29yZD5Td2VkZW48L2tleXdvcmQ+PGtleXdvcmQ+RXhlcmNpc2U8L2tl
eXdvcmQ+PGtleXdvcmQ+cHVibGljIGhlYWx0aDwva2V5d29yZD48a2V5d29yZD5yYW5kb21pemVk
IGNvbnRyb2xsZWQgdHJpYWw8L2tleXdvcmQ+PC9rZXl3b3Jkcz48ZGF0ZXM+PHllYXI+MjAxNTwv
eWVhcj48cHViLWRhdGVzPjxkYXRlPkphbjwvZGF0ZT48L3B1Yi1kYXRlcz48L2RhdGVzPjxpc2Ju
PjE2MDAtMDQxMiAoRWxlY3Ryb25pYykmI3hEOzAwMDEtNjM0OSAoTGlua2luZyk8L2lzYm4+PGFj
Y2Vzc2lvbi1udW0+MjUyODcyODI8L2FjY2Vzc2lvbi1udW0+PHVybHM+PHJlbGF0ZWQtdXJscz48
dXJsPmh0dHBzOi8vd3d3Lm5jYmkubmxtLm5paC5nb3YvcHVibWVkLzI1Mjg3MjgyPC91cmw+PC9y
ZWxhdGVkLXVybHM+PC91cmxzPjxlbGVjdHJvbmljLXJlc291cmNlLW51bT4xMC4xMTExL2FvZ3Mu
MTI1MjU8L2VsZWN0cm9uaWMtcmVzb3VyY2UtbnVtPjwvcmVjb3JkPjwvQ2l0ZT48L0VuZE5vdGU+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PEVuZE5vdGU+PENpdGU+PEF1dGhvcj5CYXJha2F0PC9BdXRob3I+PFllYXI+MjAwOTwvWWVhcj48
UmVjTnVtPjY2ODwvUmVjTnVtPjxEaXNwbGF5VGV4dD48c3R5bGUgZmFjZT0ic3VwZXJzY3JpcHQi
IGZvbnQ9IlRyZWJ1Y2hldCBNUyIgc2l6ZT0iOSI+MzEzLDQ1Mzwvc3R5bGU+PC9EaXNwbGF5VGV4
dD48cmVjb3JkPjxyZWMtbnVtYmVyPjY2ODwvcmVjLW51bWJlcj48Zm9yZWlnbi1rZXlzPjxrZXkg
YXBwPSJFTiIgZGItaWQ9ImV4dmFzcmZ4MmR0cmFvZXNhc3hwMnN6c3hhMmRmNTAyNTkyeCIgdGlt
ZXN0YW1wPSIxNTQwNTI2NTkxIj42Njg8L2tleT48L2ZvcmVpZ24ta2V5cz48cmVmLXR5cGUgbmFt
ZT0iSm91cm5hbCBBcnRpY2xlIj4xNzwvcmVmLXR5cGU+PGNvbnRyaWJ1dG9ycz48YXV0aG9ycz48
YXV0aG9yPkJhcmFrYXQsIFIuPC9hdXRob3I+PGF1dGhvcj5MdWNpYSwgQS48L2F1dGhvcj48YXV0
aG9yPlJ1aXosIEouIFIuPC9hdXRob3I+PC9hdXRob3JzPjwvY29udHJpYnV0b3JzPjxhdXRoLWFk
ZHJlc3M+RmFjdWx0YWQgZGUgQ2llbmNpYXMgZGUgbGEgQWN0aXZpZGFkIEZpc2ljYSB5IGRlbCBE
ZXBvcnRlLUlORUYsIFVuaXZlcnNpZGFkIFBvbGl0ZWNuaWNhIGRlIE1hZHJpZCwgTWFkcmlkLCBT
cGFpbi48L2F1dGgtYWRkcmVzcz48dGl0bGVzPjx0aXRsZT5SZXNpc3RhbmNlIGV4ZXJjaXNlIHRy
YWluaW5nIGR1cmluZyBwcmVnbmFuY3kgYW5kIG5ld2Jvcm4mYXBvcztzIGJpcnRoIHNpemU6IGEg
cmFuZG9taXNlZCBjb250cm9sbGVkIHRyaWFsPC90aXRsZT48c2Vjb25kYXJ5LXRpdGxlPkludCBK
IE9iZXMgKExvbmQpPC9zZWNvbmRhcnktdGl0bGU+PC90aXRsZXM+PHBlcmlvZGljYWw+PGZ1bGwt
dGl0bGU+SW50IEogT2JlcyAoTG9uZCk8L2Z1bGwtdGl0bGU+PC9wZXJpb2RpY2FsPjxwYWdlcz4x
MDQ4LTU3PC9wYWdlcz48dm9sdW1lPjMzPC92b2x1bWU+PG51bWJlcj45PC9udW1iZXI+PGVkaXRp
b24+MjAwOS8wNy8yOTwvZWRpdGlvbj48a2V5d29yZHM+PGtleXdvcmQ+QWR1bHQ8L2tleXdvcmQ+
PGtleXdvcmQ+QmlydGggV2VpZ2h0LypwaHlzaW9sb2d5PC9rZXl3b3JkPjxrZXl3b3JkPkJvZHkg
TWFzcyBJbmRleDwva2V5d29yZD48a2V5d29yZD5Cb2R5IFNpemU8L2tleXdvcmQ+PGtleXdvcmQ+
Qm9keSBXZWlnaHQvKnBoeXNpb2xvZ3k8L2tleXdvcmQ+PGtleXdvcmQ+RmVtYWxlPC9rZXl3b3Jk
PjxrZXl3b3JkPkZldGFsIERldmVsb3BtZW50LypwaHlzaW9sb2d5PC9rZXl3b3JkPjxrZXl3b3Jk
Pkh1bWFuczwva2V5d29yZD48a2V5d29yZD5JbmZhbnQsIE5ld2Jvcm48L2tleXdvcmQ+PGtleXdv
cmQ+UHJlZ25hbmN5PC9rZXl3b3JkPjxrZXl3b3JkPlByZWduYW5jeSBUcmltZXN0ZXIsIFNlY29u
ZDwva2V5d29yZD48a2V5d29yZD5QcmVnbmFuY3kgVHJpbWVzdGVyLCBUaGlyZDwva2V5d29yZD48
a2V5d29yZD5SZXNpc3RhbmNlIFRyYWluaW5nLyptZXRob2RzPC9rZXl3b3JkPjxrZXl3b3JkPlNw
YWluL2VwaWRlbWlvbG9neTwva2V5d29yZD48L2tleXdvcmRzPjxkYXRlcz48eWVhcj4yMDA5PC95
ZWFyPjxwdWItZGF0ZXM+PGRhdGU+U2VwPC9kYXRlPjwvcHViLWRhdGVzPjwvZGF0ZXM+PGlzYm4+
MTQ3Ni01NDk3IChFbGVjdHJvbmljKSYjeEQ7MDMwNy0wNTY1IChMaW5raW5nKTwvaXNibj48YWNj
ZXNzaW9uLW51bT4xOTYzNjMyMDwvYWNjZXNzaW9uLW51bT48dXJscz48cmVsYXRlZC11cmxzPjx1
cmw+aHR0cHM6Ly93d3cubmNiaS5ubG0ubmloLmdvdi9wdWJtZWQvMTk2MzYzMjA8L3VybD48L3Jl
bGF0ZWQtdXJscz48L3VybHM+PGVsZWN0cm9uaWMtcmVzb3VyY2UtbnVtPjEwLjEwMzgvaWpvLjIw
MDkuMTUwPC9lbGVjdHJvbmljLXJlc291cmNlLW51bT48L3JlY29yZD48L0NpdGU+PENpdGU+PEF1
dGhvcj5QZXRyb3YgRmllcmlsPC9BdXRob3I+PFllYXI+MjAxNTwvWWVhcj48UmVjTnVtPjkzMjwv
UmVjTnVtPjxyZWNvcmQ+PHJlYy1udW1iZXI+OTMyPC9yZWMtbnVtYmVyPjxmb3JlaWduLWtleXM+
PGtleSBhcHA9IkVOIiBkYi1pZD0iZXh2YXNyZngyZHRyYW9lc2FzeHAyc3pzeGEyZGY1MDI1OTJ4
IiB0aW1lc3RhbXA9IjE1NDE1NDA5NTciPjkzMjwva2V5PjxrZXkgYXBwPSJFTldlYiIgZGItaWQ9
IiI+MDwva2V5PjwvZm9yZWlnbi1rZXlzPjxyZWYtdHlwZSBuYW1lPSJKb3VybmFsIEFydGljbGUi
PjE3PC9yZWYtdHlwZT48Y29udHJpYnV0b3JzPjxhdXRob3JzPjxhdXRob3I+UGV0cm92IEZpZXJp
bCwgSy48L2F1dGhvcj48YXV0aG9yPkdsYW50eiwgQS48L2F1dGhvcj48YXV0aG9yPkZhZ2V2aWsg
T2xzZW4sIE0uPC9hdXRob3I+PC9hdXRob3JzPjwvY29udHJpYnV0b3JzPjxhdXRoLWFkZHJlc3M+
SW5zdGl0dXRlIG9mIE5ldXJvc2NpZW5jZSBhbmQgUGh5c2lvbG9neSwgVW5pdmVyc2l0eSBvZiBH
b3RoZW5idXJnLCBHb3RoZW5idXJnLCBTd2VkZW4uPC9hdXRoLWFkZHJlc3M+PHRpdGxlcz48dGl0
bGU+VGhlIGVmZmljYWN5IG9mIG1vZGVyYXRlLXRvLXZpZ29yb3VzIHJlc2lzdGFuY2UgZXhlcmNp
c2UgZHVyaW5nIHByZWduYW5jeTogYSByYW5kb21pemVkIGNvbnRyb2xsZWQgdHJpYWw8L3RpdGxl
PjxzZWNvbmRhcnktdGl0bGU+QWN0YSBPYnN0ZXQgR3luZWNvbCBTY2FuZDwvc2Vjb25kYXJ5LXRp
dGxlPjwvdGl0bGVzPjxwZXJpb2RpY2FsPjxmdWxsLXRpdGxlPkFjdGEgT2JzdGV0IEd5bmVjb2wg
U2NhbmQ8L2Z1bGwtdGl0bGU+PC9wZXJpb2RpY2FsPjxwYWdlcz4zNS00MjwvcGFnZXM+PHZvbHVt
ZT45NDwvdm9sdW1lPjxudW1iZXI+MTwvbnVtYmVyPjxlZGl0aW9uPjIwMTQvMTAvMDg8L2VkaXRp
b24+PGtleXdvcmRzPjxrZXl3b3JkPkFkdWx0PC9rZXl3b3JkPjxrZXl3b3JkPkJsb29kIFByZXNz
dXJlIERldGVybWluYXRpb24vbWV0aG9kczwva2V5d29yZD48a2V5d29yZD5GZW1hbGU8L2tleXdv
cmQ+PGtleXdvcmQ+R2VzdGF0aW9uYWwgQWdlPC9rZXl3b3JkPjxrZXl3b3JkPkhlYXJ0IFJhdGUv
cGh5c2lvbG9neTwva2V5d29yZD48a2V5d29yZD5IdW1hbnM8L2tleXdvcmQ+PGtleXdvcmQ+TW9u
aXRvcmluZywgUGh5c2lvbG9naWMvbWV0aG9kczwva2V5d29yZD48a2V5d29yZD5QaHlzaWNhbCBF
bmR1cmFuY2UvKnBoeXNpb2xvZ3k8L2tleXdvcmQ+PGtleXdvcmQ+UGh5c2ljYWwgRml0bmVzcy9w
aHlzaW9sb2d5PC9rZXl3b3JkPjxrZXl3b3JkPlByZWduYW5jeTwva2V5d29yZD48a2V5d29yZD4q
UHJlZ25hbmN5IE91dGNvbWU8L2tleXdvcmQ+PGtleXdvcmQ+UHJvc3BlY3RpdmUgU3R1ZGllczwv
a2V5d29yZD48a2V5d29yZD4qUXVhbGl0eSBvZiBMaWZlPC9rZXl3b3JkPjxrZXl3b3JkPlJlZmVy
ZW5jZSBWYWx1ZXM8L2tleXdvcmQ+PGtleXdvcmQ+UmVzaXN0YW5jZSBUcmFpbmluZy8qbWV0aG9k
czwva2V5d29yZD48a2V5d29yZD5Td2VkZW48L2tleXdvcmQ+PGtleXdvcmQ+RXhlcmNpc2U8L2tl
eXdvcmQ+PGtleXdvcmQ+cHVibGljIGhlYWx0aDwva2V5d29yZD48a2V5d29yZD5yYW5kb21pemVk
IGNvbnRyb2xsZWQgdHJpYWw8L2tleXdvcmQ+PC9rZXl3b3Jkcz48ZGF0ZXM+PHllYXI+MjAxNTwv
eWVhcj48cHViLWRhdGVzPjxkYXRlPkphbjwvZGF0ZT48L3B1Yi1kYXRlcz48L2RhdGVzPjxpc2Ju
PjE2MDAtMDQxMiAoRWxlY3Ryb25pYykmI3hEOzAwMDEtNjM0OSAoTGlua2luZyk8L2lzYm4+PGFj
Y2Vzc2lvbi1udW0+MjUyODcyODI8L2FjY2Vzc2lvbi1udW0+PHVybHM+PHJlbGF0ZWQtdXJscz48
dXJsPmh0dHBzOi8vd3d3Lm5jYmkubmxtLm5paC5nb3YvcHVibWVkLzI1Mjg3MjgyPC91cmw+PC9y
ZWxhdGVkLXVybHM+PC91cmxzPjxlbGVjdHJvbmljLXJlc291cmNlLW51bT4xMC4xMTExL2FvZ3Mu
MTI1MjU8L2VsZWN0cm9uaWMtcmVzb3VyY2UtbnVtPjwvcmVjb3JkPjwvQ2l0ZT48L0VuZE5vdGU+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313,453</w:t>
      </w:r>
      <w:r>
        <w:rPr>
          <w:noProof/>
          <w:sz w:val="16"/>
          <w:szCs w:val="16"/>
        </w:rPr>
        <w:fldChar w:fldCharType="end"/>
      </w:r>
      <w:r w:rsidRPr="00B04565">
        <w:rPr>
          <w:lang w:val="en-AU"/>
        </w:rPr>
        <w:t xml:space="preserve"> </w:t>
      </w:r>
      <w:r>
        <w:rPr>
          <w:lang w:val="en-AU"/>
        </w:rPr>
        <w:t>Study populations were heterogeneous and included women of mixed BMI,</w:t>
      </w:r>
      <w:r>
        <w:rPr>
          <w:noProof/>
          <w:sz w:val="16"/>
          <w:szCs w:val="16"/>
        </w:rPr>
        <w:fldChar w:fldCharType="begin">
          <w:fldData xml:space="preserve">cmlhbDwvdGl0bGU+PHNlY29uZGFyeS10aXRsZT5KIFNwb3J0cyBNZWQgUGh5cyBGaXRuZXNzPC9z
ZWNvbmRhcnktdGl0bGU+PC90aXRsZXM+PHBlcmlvZGljYWw+PGZ1bGwtdGl0bGU+SiBTcG9ydHMg
TWVkIFBoeXMgRml0bmVzczwvZnVsbC10aXRsZT48L3BlcmlvZGljYWw+PHBhZ2VzPjgwMi04PC9w
YWdlcz48dm9sdW1lPjU0PC92b2x1bWU+PG51bWJlcj42PC9udW1iZXI+PGVkaXRpb24+MjAxNC8x
MC8yOTwvZWRpdGlvbj48a2V5d29yZHM+PGtleXdvcmQ+QWR1bHQ8L2tleXdvcmQ+PGtleXdvcmQ+
QXBnYXIgU2NvcmU8L2tleXdvcmQ+PGtleXdvcmQ+QmlydGggV2VpZ2h0PC9rZXl3b3JkPjxrZXl3
b3JkPkV4ZXJjaXNlLypwaHlzaW9sb2d5PC9rZXl3b3JkPjxrZXl3b3JkPkZlbWFsZTwva2V5d29y
ZD48a2V5d29yZD5HZXN0YXRpb25hbCBBZ2U8L2tleXdvcmQ+PGtleXdvcmQ+SHVtYW5zPC9rZXl3
b3JkPjxrZXl3b3JkPkluZmFudCwgTmV3Ym9ybi8qZ3Jvd3RoICZhbXA7IGRldmVsb3BtZW50PC9r
ZXl3b3JkPjxrZXl3b3JkPk1hbGU8L2tleXdvcmQ+PGtleXdvcmQ+UHJlZ25hbmN5LypwaHlzaW9s
b2d5PC9rZXl3b3JkPjxrZXl3b3JkPlJlc2lzdGFuY2UgVHJhaW5pbmc8L2tleXdvcmQ+PGtleXdv
cmQ+WW91bmcgQWR1bHQ8L2tleXdvcmQ+PC9rZXl3b3Jkcz48ZGF0ZXM+PHllYXI+MjAxNDwveWVh
cj48cHViLWRhdGVzPjxkYXRlPkRlYzwvZGF0ZT48L3B1Yi1kYXRlcz48L2RhdGVzPjxpc2JuPjAw
MjItNDcwNyAoUHJpbnQpJiN4RDswMDIyLTQ3MDcgKExpbmtpbmcpPC9pc2JuPjxhY2Nlc3Npb24t
bnVtPjI1MzUwMDM3PC9hY2Nlc3Npb24tbnVtPjx1cmxzPjxyZWxhdGVkLXVybHM+PHVybD5odHRw
czovL3d3dy5uY2JpLm5sbS5uaWguZ292L3B1Ym1lZC8yNTM1MDAzNzwvdXJsPjwvcmVsYXRlZC11
cmxzPjwvdXJscz48L3JlY29yZD48L0NpdGU+PENpdGU+PEF1dGhvcj5QZXJhbGVzPC9BdXRob3I+
PFllYXI+MjAxNTwvWWVhcj48UmVjTnVtPjcwNDwvUmVjTnVtPjxyZWNvcmQ+PHJlYy1udW1iZXI+
NzA0PC9yZWMtbnVtYmVyPjxmb3JlaWduLWtleXM+PGtleSBhcHA9IkVOIiBkYi1pZD0iZXh2YXNy
ZngyZHRyYW9lc2FzeHAyc3pzeGEyZGY1MDI1OTJ4IiB0aW1lc3RhbXA9IjE1NDA1MzA1NjQiPjcw
NDwva2V5PjwvZm9yZWlnbi1rZXlzPjxyZWYtdHlwZSBuYW1lPSJKb3VybmFsIEFydGljbGUiPjE3
PC9yZWYtdHlwZT48Y29udHJpYnV0b3JzPjxhdXRob3JzPjxhdXRob3I+UGVyYWxlcywgTS48L2F1
dGhvcj48YXV0aG9yPlJlZm95bywgSS48L2F1dGhvcj48YXV0aG9yPkNvdGVyb24sIEouPC9hdXRo
b3I+PGF1dGhvcj5CYWNjaGksIE0uPC9hdXRob3I+PGF1dGhvcj5CYXJha2F0LCBSLjwvYXV0aG9y
PjwvYXV0aG9ycz48L2NvbnRyaWJ1dG9ycz48YXV0aC1hZGRyZXNzPkRlcGFydG1lbnQgb2YgU29j
aWFsIFNjaWVuY2VzLCBQaHlzaWNhbCBBY3Rpdml0eSBhbmQgU3BvcnQgU2NpZW5jZXMgRmFjdWx0
eS1JTkVGLCBUZWNobmljYWwgVW5pdmVyc2l0eSBvZiBNYWRyaWQsIE1hZHJpZCwgU3BhaW4uJiN4
RDtGYWN1bHR5IG9mIFBoeXNpY2FsIEFjdGl2aXR5IGFuZCBTcG9ydHMsIFVuaXZlcnNpdHkgb2Yg
RmxvcmVzLCBCdWVub3MgQWlyZXMsIEFyZ2VudGluYS4mI3hEO0RlcGFydG1lbnQgb2YgU29jaWFs
IFNjaWVuY2VzLCBQaHlzaWNhbCBBY3Rpdml0eSBhbmQgU3BvcnQgU2NpZW5jZXMgRmFjdWx0eS1J
TkVGLCBUZWNobmljYWwgVW5pdmVyc2l0eSBvZiBNYWRyaWQsIE1hZHJpZCwgU3BhaW4gYmFyYWth
dHJ1YmVuQGdtYWlsLmNvbS48L2F1dGgtYWRkcmVzcz48dGl0bGVzPjx0aXRsZT5FeGVyY2lzZSBk
dXJpbmcgcHJlZ25hbmN5IGF0dGVudWF0ZXMgcHJlbmF0YWwgZGVwcmVzc2lvbjogYSByYW5kb21p
emVkIGNvbnRyb2xsZWQgdHJpYWw8L3RpdGxlPjxzZWNvbmRhcnktdGl0bGU+RXZhbCBIZWFsdGgg
UHJvZjwvc2Vjb25kYXJ5LXRpdGxlPjwvdGl0bGVzPjxwZXJpb2RpY2FsPjxmdWxsLXRpdGxlPkV2
YWwgSGVhbHRoIFByb2Y8L2Z1bGwtdGl0bGU+PC9wZXJpb2RpY2FsPjxwYWdlcz41OS03MjwvcGFn
ZXM+PHZvbHVtZT4zODwvdm9sdW1lPjxudW1iZXI+MTwvbnVtYmVyPjxlZGl0aW9uPjIwMTQvMDUv
MzA8L2VkaXRpb24+PGtleXdvcmRzPjxrZXl3b3JkPkFkdWx0PC9rZXl3b3JkPjxrZXl3b3JkPkFw
Z2FyIFNjb3JlPC9rZXl3b3JkPjxrZXl3b3JkPkJvZHkgTWFzcyBJbmRleDwva2V5d29yZD48a2V5
d29yZD5EZXByZXNzaW9uLyp0aGVyYXB5PC9rZXl3b3JkPjxrZXl3b3JkPkV4ZXJjaXNlIFRoZXJh
cHkvKm1ldGhvZHM8L2tleXdvcmQ+PGtleXdvcmQ+RmVtYWxlPC9rZXl3b3JkPjxrZXl3b3JkPkh1
bWFuczwva2V5d29yZD48a2V5d29yZD5QcmVnbmFuY3k8L2tleXdvcmQ+PGtleXdvcmQ+UHJlZ25h
bmN5IENvbXBsaWNhdGlvbnMvKnRoZXJhcHk8L2tleXdvcmQ+PGtleXdvcmQ+UHJlZ25hbmN5IE91
dGNvbWU8L2tleXdvcmQ+PGtleXdvcmQ+U3BhaW48L2tleXdvcmQ+PGtleXdvcmQ+V2VpZ2h0IEdh
aW48L2tleXdvcmQ+PGtleXdvcmQ+ZGVwcmVzc2lvbjwva2V5d29yZD48a2V5d29yZD5leGVyY2lz
ZTwva2V5d29yZD48a2V5d29yZD5wcmVuYXRhbDwva2V5d29yZD48a2V5d29yZD53ZWxsLWJlaW5n
PC9rZXl3b3JkPjwva2V5d29yZHM+PGRhdGVzPjx5ZWFyPjIwMTU8L3llYXI+PHB1Yi1kYXRlcz48
ZGF0ZT5NYXI8L2RhdGU+PC9wdWItZGF0ZXM+PC9kYXRlcz48aXNibj4xNTUyLTM5MTggKEVsZWN0
cm9uaWMpJiN4RDswMTYzLTI3ODcgKExpbmtpbmcpPC9pc2JuPjxhY2Nlc3Npb24tbnVtPjI0ODcy
NDQyPC9hY2Nlc3Npb24tbnVtPjx1cmxzPjxyZWxhdGVkLXVybHM+PHVybD5odHRwczovL3d3dy5u
Y2JpLm5sbS5uaWguZ292L3B1Ym1lZC8yNDg3MjQ0MjwvdXJsPjwvcmVsYXRlZC11cmxzPjwvdXJs
cz48ZWxlY3Ryb25pYy1yZXNvdXJjZS1udW0+MTAuMTE3Ny8wMTYzMjc4NzE0NTMzNTY2PC9lbGVj
dHJvbmljLXJlc291cmNlLW51bT48L3JlY29yZD48L0NpdGU+PENpdGU+PEF1dGhvcj5QZXJhbGVz
PC9BdXRob3I+PFllYXI+MjAxNjwvWWVhcj48UmVjTnVtPjkyNDwvUmVjTnVtPjxyZWNvcmQ+PHJl
Yy1udW1iZXI+OTI0PC9yZWMtbnVtYmVyPjxmb3JlaWduLWtleXM+PGtleSBhcHA9IkVOIiBkYi1p
ZD0iZXh2YXNyZngyZHRyYW9lc2FzeHAyc3pzeGEyZGY1MDI1OTJ4IiB0aW1lc3RhbXA9IjE1NDE1
NDA5MjUiPjkyNDwva2V5PjxrZXkgYXBwPSJFTldlYiIgZGItaWQ9IiI+MDwva2V5PjwvZm9yZWln
bi1rZXlzPjxyZWYtdHlwZSBuYW1lPSJKb3VybmFsIEFydGljbGUiPjE3PC9yZWYtdHlwZT48Y29u
dHJpYnV0b3JzPjxhdXRob3JzPjxhdXRob3I+UGVyYWxlcywgTWFyaWE8L2F1dGhvcj48YXV0aG9y
PkNhbGFicmlhLCBJcmVuZTwvYXV0aG9yPjxhdXRob3I+TG9wZXosIENhcm1pbmE8L2F1dGhvcj48
YXV0aG9yPkZyYW5jbywgRXZlbGlhPC9hdXRob3I+PGF1dGhvcj5Db3Rlcm9uLCBKYXZpZXI8L2F1
dGhvcj48YXV0aG9yPkJhcmFrYXQsIFJ1YmVuPC9hdXRob3I+PC9hdXRob3JzPjwvY29udHJpYnV0
b3JzPjx0aXRsZXM+PHRpdGxlPlJlZ3VsYXIgRXhlcmNpc2UgVGhyb3VnaG91dCBQcmVnbmFuY3kg
aXMgQXNzb2NpYXRlZCB3aXRoIGEgU2hvcnRlciBGaXJzdCBTdGFnZSBvZiBMYWJvcjwvdGl0bGU+
PHNlY29uZGFyeS10aXRsZT5BbWVyaWNhbiBKb3VybmFsIG9mIEhlYWx0aCBQcm9tb3Rpb248L3Nl
Y29uZGFyeS10aXRsZT48L3RpdGxlcz48cGVyaW9kaWNhbD48ZnVsbC10aXRsZT5BbWVyaWNhbiBK
b3VybmFsIG9mIEhlYWx0aCBQcm9tb3Rpb248L2Z1bGwtdGl0bGU+PC9wZXJpb2RpY2FsPjxwYWdl
cz4xNDktMTU3PC9wYWdlcz48dm9sdW1lPjMwPC92b2x1bWU+PG51bWJlcj4zPC9udW1iZXI+PHNl
Y3Rpb24+MTQ5PC9zZWN0aW9uPjxkYXRlcz48eWVhcj4yMDE2PC95ZWFyPjwvZGF0ZXM+PGlzYm4+
MDg5MC0xMTcxJiN4RDsyMTY4LTY2MDI8L2lzYm4+PHVybHM+PC91cmxzPjxlbGVjdHJvbmljLXJl
c291cmNlLW51bT4xMC40Mjc4L2FqaHAuMTQwMjIxLVFVQU4tNzk8L2VsZWN0cm9uaWMtcmVzb3Vy
Y2UtbnVtPjwvcmVjb3JkPjwvQ2l0ZT48Q2l0ZT48QXV0aG9yPlBlcmFsZXM8L0F1dGhvcj48WWVh
cj4yMDE2PC9ZZWFyPjxSZWNOdW0+MTA2NjwvUmVjTnVtPjxyZWNvcmQ+PHJlYy1udW1iZXI+MTA2
NjwvcmVjLW51bWJlcj48Zm9yZWlnbi1rZXlzPjxrZXkgYXBwPSJFTiIgZGItaWQ9ImV4dmFzcmZ4
MmR0cmFvZXNhc3hwMnN6c3hhMmRmNTAyNTkyeCIgdGltZXN0YW1wPSIxNTQ4OTkwMjk2Ij4xMDY2
PC9rZXk+PC9mb3JlaWduLWtleXM+PHJlZi10eXBlIG5hbWU9IkpvdXJuYWwgQXJ0aWNsZSI+MTc8
L3JlZi10eXBlPjxjb250cmlidXRvcnM+PGF1dGhvcnM+PGF1dGhvcj5QZXJhbGVzLCBNLjwvYXV0
aG9yPjxhdXRob3I+U2FudG9zLUxvemFubywgQS48L2F1dGhvcj48YXV0aG9yPlNhbmNoaXMtR29t
YXIsIEYuPC9hdXRob3I+PGF1dGhvcj5MdWFjZXMsIE0uPC9hdXRob3I+PGF1dGhvcj5QYXJlamEt
R2FsZWFubywgSC48L2F1dGhvcj48YXV0aG9yPkdhcmF0YWNoZWEsIE4uPC9hdXRob3I+PGF1dGhv
cj5CYXJha2F0LCBSLjwvYXV0aG9yPjxhdXRob3I+THVjaWEsIEEuPC9hdXRob3I+PC9hdXRob3Jz
PjwvY29udHJpYnV0b3JzPjxhdXRoLWFkZHJlc3M+MVJlc2VhcmNoIEluc3RpdHV0ZSBIb3NwaXRh
bCAxMiBkZSBPY3R1YnJlICgmYXBvcztpKzEyJmFwb3M7KSwgTWFkcmlkLCBTUEFJTjsgMkFGSVBF
IFJlc2VhcmNoIEdyb3VwLCBGYWN1bHR5IG9mIFBoeXNpY2FsIEFjdGl2aXR5IGFuZCBTcG9ydHMg
U2NpZW5jZXMgSU5FRiwgVGVjaG5pY2FsIFVuaXZlcnNpdHkgb2YgTWFkcmlkLCBTUEFJTjsgM0dJ
REZZUywgRGVwYXJ0bWVudCBvZiBIZWFsdGggU2NpZW5jZXMsIEV1cm9wZWFuIFVuaXZlcnNpdHkg
TWlndWVsIGRlIENlcnZhbnRlcywgVmFsbGFkb2xpZCwgU1BBSU47IDREZXBhcnRtZW50IG9mIENh
cmRpb2xvZ3ksIENhcmRpb3Zhc2N1bGFyIEluc3RpdHV0ZSwgSG9zcGl0YWwgQ2xpbmljbyBTYW4g
Q2FybG9zLCBNYWRyaWQsIFNQQUlOOyA1U2Nob29sIG9mIERvY3RvcmF0ZSBTdHVkaWVzIGFuZCBS
ZXNlYXJjaCwgRXVyb3BlYW4gVW5pdmVyc2l0eSwgTWFkcmlkLCBTUEFJTjsgYW5kIDZEZXBhcnRh
bWVudG8gZGUgRmlzaWF0cmlhIHkgRW5mZXJtZXJpYS4gRmFjdWx0YWQgZGUgQ2llbmNpYXMgZGUg
bGEgU2FsdWQgeSBkZWwgRGVwb3J0ZS4gSW5zdGl0dXRvIEFncm9hbGltZW50YXJpbyBkZSBBcmFn
b24tSUEyLCBVbml2ZXJzaWRhZCBkZSBaYXJhZ296YS1DSVRBLCBaYXJhZ296YSwgU1BBSU4uPC9h
dXRoLWFkZHJlc3M+PHRpdGxlcz48dGl0bGU+TWF0ZXJuYWwgQ2FyZGlhYyBBZGFwdGF0aW9ucyB0
byBhIFBoeXNpY2FsIEV4ZXJjaXNlIFByb2dyYW0gZHVyaW5nIFByZWduYW5jeTwvdGl0bGU+PHNl
Y29uZGFyeS10aXRsZT5NZWQgU2NpIFNwb3J0cyBFeGVyYzwvc2Vjb25kYXJ5LXRpdGxlPjwvdGl0
bGVzPjxwZXJpb2RpY2FsPjxmdWxsLXRpdGxlPk1lZCBTY2kgU3BvcnRzIEV4ZXJjPC9mdWxsLXRp
dGxlPjwvcGVyaW9kaWNhbD48cGFnZXM+ODk2LTkwNjwvcGFnZXM+PHZvbHVtZT40ODwvdm9sdW1l
PjxudW1iZXI+NTwvbnVtYmVyPjxlZGl0aW9uPjIwMTUvMTIvMjQ8L2VkaXRpb24+PGtleXdvcmRz
PjxrZXl3b3JkPkFkdWx0PC9rZXl3b3JkPjxrZXl3b3JkPkF0cmlhbCBSZW1vZGVsaW5nPC9rZXl3
b3JkPjxrZXl3b3JkPkNhcmRpb3Zhc2N1bGFyIERpc2Vhc2VzL3ByZXZlbnRpb24gJmFtcDsgY29u
dHJvbDwva2V5d29yZD48a2V5d29yZD4qQ2FyZGlvdmFzY3VsYXIgUGh5c2lvbG9naWNhbCBQaGVu
b21lbmE8L2tleXdvcmQ+PGtleXdvcmQ+RGVwcmVzc2lvbi9wcmV2ZW50aW9uICZhbXA7IGNvbnRy
b2w8L2tleXdvcmQ+PGtleXdvcmQ+RWNob2NhcmRpb2dyYXBoeTwva2V5d29yZD48a2V5d29yZD4q
RXhlcmNpc2U8L2tleXdvcmQ+PGtleXdvcmQ+RmVtYWxlPC9rZXl3b3JkPjxrZXl3b3JkPkhlbW9k
eW5hbWljczwva2V5d29yZD48a2V5d29yZD5IdW1hbnM8L2tleXdvcmQ+PGtleXdvcmQ+UHJlZ25h
bmN5LypwaHlzaW9sb2d5PC9rZXl3b3JkPjxrZXl3b3JkPlByZWduYW5jeSBPdXRjb21lPC9rZXl3
b3JkPjxrZXl3b3JkPlJpc2sgRmFjdG9yczwva2V5d29yZD48a2V5d29yZD5WZW50cmljdWxhciBG
dW5jdGlvbiwgTGVmdDwva2V5d29yZD48a2V5d29yZD5WZW50cmljdWxhciBSZW1vZGVsaW5nPC9r
ZXl3b3JkPjxrZXl3b3JkPldlaWdodCBHYWluPC9rZXl3b3JkPjwva2V5d29yZHM+PGRhdGVzPjx5
ZWFyPjIwMTY8L3llYXI+PHB1Yi1kYXRlcz48ZGF0ZT5NYXk8L2RhdGU+PC9wdWItZGF0ZXM+PC9k
YXRlcz48aXNibj4xNTMwLTAzMTUgKEVsZWN0cm9uaWMpJiN4RDswMTk1LTkxMzEgKExpbmtpbmcp
PC9pc2JuPjxhY2Nlc3Npb24tbnVtPjI2Njk0ODQ4PC9hY2Nlc3Npb24tbnVtPjx1cmxzPjxyZWxh
dGVkLXVybHM+PHVybD5odHRwczovL3d3dy5uY2JpLm5sbS5uaWguZ292L3B1Ym1lZC8yNjY5NDg0
ODwvdXJsPjwvcmVsYXRlZC11cmxzPjwvdXJscz48ZWxlY3Ryb25pYy1yZXNvdXJjZS1udW0+MTAu
MTI0OS9NU1MuMDAwMDAwMDAwMDAwMDgzNzwvZWxlY3Ryb25pYy1yZXNvdXJjZS1udW0+PC9yZWNv
cmQ+PC9DaXRlPjxDaXRlPjxBdXRob3I+UGV0cm92IEZpZXJpbDwvQXV0aG9yPjxZZWFyPjIwMTU8
L1llYXI+PFJlY051bT45MzI8L1JlY051bT48cmVjb3JkPjxyZWMtbnVtYmVyPjkzMjwvcmVjLW51
bWJlcj48Zm9yZWlnbi1rZXlzPjxrZXkgYXBwPSJFTiIgZGItaWQ9ImV4dmFzcmZ4MmR0cmFvZXNh
c3hwMnN6c3hhMmRmNTAyNTkyeCIgdGltZXN0YW1wPSIxNTQxNTQwOTU3Ij45MzI8L2tleT48a2V5
IGFwcD0iRU5XZWIiIGRiLWlkPSIiPjA8L2tleT48L2ZvcmVpZ24ta2V5cz48cmVmLXR5cGUgbmFt
ZT0iSm91cm5hbCBBcnRpY2xlIj4xNzwvcmVmLXR5cGU+PGNvbnRyaWJ1dG9ycz48YXV0aG9ycz48
YXV0aG9yPlBldHJvdiBGaWVyaWwsIEsuPC9hdXRob3I+PGF1dGhvcj5HbGFudHosIEEuPC9hdXRo
b3I+PGF1dGhvcj5GYWdldmlrIE9sc2VuLCBNLjwvYXV0aG9yPjwvYXV0aG9ycz48L2NvbnRyaWJ1
dG9ycz48YXV0aC1hZGRyZXNzPkluc3RpdHV0ZSBvZiBOZXVyb3NjaWVuY2UgYW5kIFBoeXNpb2xv
Z3ksIFVuaXZlcnNpdHkgb2YgR290aGVuYnVyZywgR290aGVuYnVyZywgU3dlZGVuLjwvYXV0aC1h
ZGRyZXNzPjx0aXRsZXM+PHRpdGxlPlRoZSBlZmZpY2FjeSBvZiBtb2RlcmF0ZS10by12aWdvcm91
cyByZXNpc3RhbmNlIGV4ZXJjaXNlIGR1cmluZyBwcmVnbmFuY3k6IGEgcmFuZG9taXplZCBjb250
cm9sbGVkIHRyaWFsPC90aXRsZT48c2Vjb25kYXJ5LXRpdGxlPkFjdGEgT2JzdGV0IEd5bmVjb2wg
U2NhbmQ8L3NlY29uZGFyeS10aXRsZT48L3RpdGxlcz48cGVyaW9kaWNhbD48ZnVsbC10aXRsZT5B
Y3RhIE9ic3RldCBHeW5lY29sIFNjYW5kPC9mdWxsLXRpdGxlPjwvcGVyaW9kaWNhbD48cGFnZXM+
MzUtNDI8L3BhZ2VzPjx2b2x1bWU+OTQ8L3ZvbHVtZT48bnVtYmVyPjE8L251bWJlcj48ZWRpdGlv
bj4yMDE0LzEwLzA4PC9lZGl0aW9uPjxrZXl3b3Jkcz48a2V5d29yZD5BZHVsdDwva2V5d29yZD48
a2V5d29yZD5CbG9vZCBQcmVzc3VyZSBEZXRlcm1pbmF0aW9uL21ldGhvZHM8L2tleXdvcmQ+PGtl
eXdvcmQ+RmVtYWxlPC9rZXl3b3JkPjxrZXl3b3JkPkdlc3RhdGlvbmFsIEFnZTwva2V5d29yZD48
a2V5d29yZD5IZWFydCBSYXRlL3BoeXNpb2xvZ3k8L2tleXdvcmQ+PGtleXdvcmQ+SHVtYW5zPC9r
ZXl3b3JkPjxrZXl3b3JkPk1vbml0b3JpbmcsIFBoeXNpb2xvZ2ljL21ldGhvZHM8L2tleXdvcmQ+
PGtleXdvcmQ+UGh5c2ljYWwgRW5kdXJhbmNlLypwaHlzaW9sb2d5PC9rZXl3b3JkPjxrZXl3b3Jk
PlBoeXNpY2FsIEZpdG5lc3MvcGh5c2lvbG9neTwva2V5d29yZD48a2V5d29yZD5QcmVnbmFuY3k8
L2tleXdvcmQ+PGtleXdvcmQ+KlByZWduYW5jeSBPdXRjb21lPC9rZXl3b3JkPjxrZXl3b3JkPlBy
b3NwZWN0aXZlIFN0dWRpZXM8L2tleXdvcmQ+PGtleXdvcmQ+KlF1YWxpdHkgb2YgTGlmZTwva2V5
d29yZD48a2V5d29yZD5SZWZlcmVuY2UgVmFsdWVzPC9rZXl3b3JkPjxrZXl3b3JkPlJlc2lzdGFu
Y2UgVHJhaW5pbmcvKm1ldGhvZHM8L2tleXdvcmQ+PGtleXdvcmQ+U3dlZGVuPC9rZXl3b3JkPjxr
ZXl3b3JkPkV4ZXJjaXNlPC9rZXl3b3JkPjxrZXl3b3JkPnB1YmxpYyBoZWFsdGg8L2tleXdvcmQ+
PGtleXdvcmQ+cmFuZG9taXplZCBjb250cm9sbGVkIHRyaWFsPC9rZXl3b3JkPjwva2V5d29yZHM+
PGRhdGVzPjx5ZWFyPjIwMTU8L3llYXI+PHB1Yi1kYXRlcz48ZGF0ZT5KYW48L2RhdGU+PC9wdWIt
ZGF0ZXM+PC9kYXRlcz48aXNibj4xNjAwLTA0MTIgKEVsZWN0cm9uaWMpJiN4RDswMDAxLTYzNDkg
KExpbmtpbmcpPC9pc2JuPjxhY2Nlc3Npb24tbnVtPjI1Mjg3MjgyPC9hY2Nlc3Npb24tbnVtPjx1
cmxzPjxyZWxhdGVkLXVybHM+PHVybD5odHRwczovL3d3dy5uY2JpLm5sbS5uaWguZ292L3B1Ym1l
ZC8yNTI4NzI4MjwvdXJsPjwvcmVsYXRlZC11cmxzPjwvdXJscz48ZWxlY3Ryb25pYy1yZXNvdXJj
ZS1udW0+MTAuMTExMS9hb2dzLjEyNTI1PC9lbGVjdHJvbmljLXJlc291cmNlLW51bT48L3JlY29y
ZD48L0NpdGU+PENpdGU+PEF1dGhvcj5QaW56b248L0F1dGhvcj48WWVhcj4yMDEyPC9ZZWFyPjxS
ZWNOdW0+MTA0NzwvUmVjTnVtPjxyZWNvcmQ+PHJlYy1udW1iZXI+MTA0NzwvcmVjLW51bWJlcj48
Zm9yZWlnbi1rZXlzPjxrZXkgYXBwPSJFTiIgZGItaWQ9ImV4dmFzcmZ4MmR0cmFvZXNhc3hwMnN6
c3hhMmRmNTAyNTkyeCIgdGltZXN0YW1wPSIxNTQ4OTgzNDc2Ij4xMDQ3PC9rZXk+PC9mb3JlaWdu
LWtleXM+PHJlZi10eXBlIG5hbWU9IkpvdXJuYWwgQXJ0aWNsZSI+MTc8L3JlZi10eXBlPjxjb250
cmlidXRvcnM+PGF1dGhvcnM+PGF1dGhvcj5QaW56b24sIEQuIEMuPC9hdXRob3I+PGF1dGhvcj5a
YW1vcmEsIEsuPC9hdXRob3I+PGF1dGhvcj5NYXJ0aW5leiwgSi4gSC48L2F1dGhvcj48YXV0aG9y
PkZsb3Jlei1Mb3BleiwgTS4gRS48L2F1dGhvcj48YXV0aG9yPmRlIFBsYXRhLCBBLiBDLjwvYXV0
aG9yPjxhdXRob3I+TW9zcXVlcmEsIE0uPC9hdXRob3I+PGF1dGhvcj5SYW1pcmV6LVZlbGV6LCBS
LjwvYXV0aG9yPjwvYXV0aG9ycz48L2NvbnRyaWJ1dG9ycz48YXV0aC1hZGRyZXNzPlByb2dyYW1h
IGRlIEZpc2lvdGVyYXBpYSwgRnVuZGFjaW9uIFVuaXZlcnNpdGFyaWEgTWFyaWEgQ2FubywgQ2Fs
aSwgQ29sb21iaWEuJiN4RDtGYWN1bHRhZCBkZSBFbmZlcm1lcmlhIHkgUmVoYWJpbGl0YWNpb24s
IFVuaXZlcnNpZGFkIGRlIGxhIFNhYmFuYSwgQ2hpYSwgQ29sb21iaWEuJiN4RDtHcnVwbyBkZSBO
dXRyaWNpb24sIERlcGFydGFtZW50byBkZSBDaWVuY2lhcyBGaXNpb2xvZ2ljYXMsIEVzY3VlbGEg
ZGUgQ2llbmNpYXMgQmFzaWNhcywgVW5pdmVyc2lkYWQgZGVsIFZhbGxlLCBDYWxpLCBDb2xvbWJp
YS4mI3hEO0dydXBvIEdJQ0FFRFMsIEZhY3VsdGFkIGRlIEN1bHR1cmEgRmlzaWNhLCBEZXBvcnRl
IHkgUmVjcmVhY2lvbiwgVW5pdmVyc2lkYWQgU2FudG9vIFRvbWFzLjwvYXV0aC1hZGRyZXNzPjx0
aXRsZXM+PHRpdGxlPlR5cGUgb2YgZGVsaXZlcnkgYW5kIGdlc3RhdGlvbmFsIGFnZSBpcyBub3Qg
YWZmZWN0ZWQgYnkgcHJlZ25hbnQgTGF0aW4tQW1lcmljYW4gd29tZW4gZW5nYWdpbmcgaW4gdmln
b3JvdXMgZXhlcmNpc2U6IGEgc2Vjb25kYXJ5IGFuYWx5c2lzIG9mIGRhdGEgZnJvbSBhIGNvbnRy
b2xsZWQgcmFuZG9taXplZCB0cmlhbDwvdGl0bGU+PHNlY29uZGFyeS10aXRsZT5SZXYgU2FsdWQg
UHVibGljYSAoQm9nb3RhKTwvc2Vjb25kYXJ5LXRpdGxlPjwvdGl0bGVzPjxwZXJpb2RpY2FsPjxm
dWxsLXRpdGxlPlJldiBTYWx1ZCBQdWJsaWNhIChCb2dvdGEpPC9mdWxsLXRpdGxlPjwvcGVyaW9k
aWNhbD48cGFnZXM+NzMxLTQzPC9wYWdlcz48dm9sdW1lPjE0PC92b2x1bWU+PG51bWJlcj41PC9u
dW1iZXI+PGVkaXRpb24+MjAxMi8xMC8wMTwvZWRpdGlvbj48a2V5d29yZHM+PGtleXdvcmQ+QWR1
bHQ8L2tleXdvcmQ+PGtleXdvcmQ+QW50aHJvcG9tZXRyeTwva2V5d29yZD48a2V5d29yZD5BcGdh
ciBTY29yZTwva2V5d29yZD48a2V5d29yZD5CaXJ0aCBXZWlnaHQ8L2tleXdvcmQ+PGtleXdvcmQ+
Qmxvb2QgUHJlc3N1cmU8L2tleXdvcmQ+PGtleXdvcmQ+Qm9keSBXZWlnaHQ8L2tleXdvcmQ+PGtl
eXdvcmQ+Q29sb21iaWE8L2tleXdvcmQ+PGtleXdvcmQ+RGVsaXZlcnksIE9ic3RldHJpYy8qc3Rh
dGlzdGljcyAmYW1wOyBudW1lcmljYWwgZGF0YTwva2V5d29yZD48a2V5d29yZD4qRXhlcmNpc2U8
L2tleXdvcmQ+PGtleXdvcmQ+RmVtYWxlPC9rZXl3b3JkPjxrZXl3b3JkPipHZXN0YXRpb25hbCBB
Z2U8L2tleXdvcmQ+PGtleXdvcmQ+SG9zcGl0YWxzLCBNYXRlcm5pdHk8L2tleXdvcmQ+PGtleXdv
cmQ+SHVtYW5zPC9rZXl3b3JkPjxrZXl3b3JkPkluZmFudCwgTmV3Ym9ybjwva2V5d29yZD48a2V5
d29yZD5QcmVnbmFuY3kvKnBoeXNpb2xvZ3k8L2tleXdvcmQ+PGtleXdvcmQ+UHJlZ25hbmN5IE91
dGNvbWU8L2tleXdvcmQ+PGtleXdvcmQ+UHJlbmF0YWwgQ2FyZTwva2V5d29yZD48a2V5d29yZD5S
YW5kb21pemVkIENvbnRyb2xsZWQgVHJpYWxzIGFzIFRvcGljPC9rZXl3b3JkPjxrZXl3b3JkPlNv
Y2lvZWNvbm9taWMgRmFjdG9yczwva2V5d29yZD48a2V5d29yZD5UZXJ0aWFyeSBDYXJlIENlbnRl
cnM8L2tleXdvcmQ+PGtleXdvcmQ+V2VpZ2h0IEdhaW48L2tleXdvcmQ+PGtleXdvcmQ+WW91bmcg
QWR1bHQ8L2tleXdvcmQ+PC9rZXl3b3Jkcz48ZGF0ZXM+PHllYXI+MjAxMjwveWVhcj48cHViLWRh
dGVzPjxkYXRlPk9jdDwvZGF0ZT48L3B1Yi1kYXRlcz48L2RhdGVzPjxpc2JuPjAxMjQtMDA2NCAo
UHJpbnQpJiN4RDswMTI0LTAwNjQgKExpbmtpbmcpPC9pc2JuPjxhY2Nlc3Npb24tbnVtPjI0NjUy
MzUzPC9hY2Nlc3Npb24tbnVtPjx1cmxzPjxyZWxhdGVkLXVybHM+PHVybD5odHRwczovL3d3dy5u
Y2JpLm5sbS5uaWguZ292L3B1Ym1lZC8yNDY1MjM1MzwvdXJsPjwvcmVsYXRlZC11cmxzPjwvdXJs
cz48L3JlY29yZD48L0NpdGU+PENpdGU+PEF1dGhvcj5QcmljZTwvQXV0aG9yPjxZZWFyPjIwMTI8
L1llYXI+PFJlY051bT43MDc8L1JlY051bT48cmVjb3JkPjxyZWMtbnVtYmVyPjcwNzwvcmVjLW51
bWJlcj48Zm9yZWlnbi1rZXlzPjxrZXkgYXBwPSJFTiIgZGItaWQ9ImV4dmFzcmZ4MmR0cmFvZXNh
c3hwMnN6c3hhMmRmNTAyNTkyeCIgdGltZXN0YW1wPSIxNTQwNTMyMjIyIj43MDc8L2tleT48L2Zv
cmVpZ24ta2V5cz48cmVmLXR5cGUgbmFtZT0iSm91cm5hbCBBcnRpY2xlIj4xNzwvcmVmLXR5cGU+
PGNvbnRyaWJ1dG9ycz48YXV0aG9ycz48YXV0aG9yPlByaWNlLCBCLiBCLjwvYXV0aG9yPjxhdXRo
b3I+QW1pbmksIFMuIEIuPC9hdXRob3I+PGF1dGhvcj5LYXBwZWxlciwgSy48L2F1dGhvcj48L2F1
dGhvcnM+PC9jb250cmlidXRvcnM+PGF1dGgtYWRkcmVzcz5Qcm9mZXNzaW9uYWwgQXNzb2NpYXRp
b24sIEF1c3RpbiwgVFgsIFVTQS4gYmVlcHJpY2VAZ3JhbmRlY29tLm5ldDwvYXV0aC1hZGRyZXNz
Pjx0aXRsZXM+PHRpdGxlPkV4ZXJjaXNlIGluIHByZWduYW5jeTogZWZmZWN0IG9uIGZpdG5lc3Mg
YW5kIG9ic3RldHJpYyBvdXRjb21lcy1hIHJhbmRvbWl6ZWQgdHJpYWw8L3RpdGxlPjxzZWNvbmRh
cnktdGl0bGU+TWVkIFNjaSBTcG9ydHMgRXhlcmM8L3NlY29uZGFyeS10aXRsZT48L3RpdGxlcz48
cGVyaW9kaWNhbD48ZnVsbC10aXRsZT5NZWQgU2NpIFNwb3J0cyBFeGVyYzwvZnVsbC10aXRsZT48
L3BlcmlvZGljYWw+PHBhZ2VzPjIyNjMtOTwvcGFnZXM+PHZvbHVtZT40NDwvdm9sdW1lPjxudW1i
ZXI+MTI8L251bWJlcj48ZWRpdGlvbj4yMDEyLzA3LzMxPC9lZGl0aW9uPjxrZXl3b3Jkcz48a2V5
d29yZD5BZG9sZXNjZW50PC9rZXl3b3JkPjxrZXl3b3JkPkFkdWx0PC9rZXl3b3JkPjxrZXl3b3Jk
PkV4ZXJjaXNlLypwaHlzaW9sb2d5PC9rZXl3b3JkPjxrZXl3b3JkPkZlbWFsZTwva2V5d29yZD48
a2V5d29yZD5HZXN0YXRpb25hbCBBZ2U8L2tleXdvcmQ+PGtleXdvcmQ+SHVtYW5zPC9rZXl3b3Jk
PjxrZXl3b3JkPk11c2NsZSBTdHJlbmd0aC9waHlzaW9sb2d5PC9rZXl3b3JkPjxrZXl3b3JkPk91
dGNvbWUgQXNzZXNzbWVudCAoSGVhbHRoIENhcmUpPC9rZXl3b3JkPjxrZXl3b3JkPlBoeXNpY2Fs
IEZpdG5lc3MvKnBoeXNpb2xvZ3k8L2tleXdvcmQ+PGtleXdvcmQ+UHJlZ25hbmN5PC9rZXl3b3Jk
PjxrZXl3b3JkPipQcmVnbmFuY3kgT3V0Y29tZTwva2V5d29yZD48a2V5d29yZD5Qcm9zcGVjdGl2
ZSBTdHVkaWVzPC9rZXl3b3JkPjxrZXl3b3JkPlRleGFzPC9rZXl3b3JkPjxrZXl3b3JkPllvdW5n
IEFkdWx0PC9rZXl3b3JkPjwva2V5d29yZHM+PGRhdGVzPjx5ZWFyPjIwMTI8L3llYXI+PHB1Yi1k
YXRlcz48ZGF0ZT5EZWM8L2RhdGU+PC9wdWItZGF0ZXM+PC9kYXRlcz48aXNibj4xNTMwLTAzMTUg
KEVsZWN0cm9uaWMpJiN4RDswMTk1LTkxMzEgKExpbmtpbmcpPC9pc2JuPjxhY2Nlc3Npb24tbnVt
PjIyODQzMTE0PC9hY2Nlc3Npb24tbnVtPjx1cmxzPjxyZWxhdGVkLXVybHM+PHVybD5odHRwczov
L3d3dy5uY2JpLm5sbS5uaWguZ292L3B1Ym1lZC8yMjg0MzExNDwvdXJsPjwvcmVsYXRlZC11cmxz
PjwvdXJscz48ZWxlY3Ryb25pYy1yZXNvdXJjZS1udW0+MTAuMTI0OS9NU1MuMGIwMTNlMzE4MjY3
YWQ2NzwvZWxlY3Ryb25pYy1yZXNvdXJjZS1udW0+PC9yZWNvcmQ+PC9DaXRlPjxDaXRlPjxBdXRo
b3I+U29uZ8OYWWdhcmQ8L0F1dGhvcj48WWVhcj4yMDEyPC9ZZWFyPjxSZWNOdW0+ODY2PC9SZWNO
dW0+PHJlY29yZD48cmVjLW51bWJlcj44NjY8L3JlYy1udW1iZXI+PGZvcmVpZ24ta2V5cz48a2V5
IGFwcD0iRU4iIGRiLWlkPSJleHZhc3JmeDJkdHJhb2VzYXN4cDJzenN4YTJkZjUwMjU5MngiIHRp
bWVzdGFtcD0iMTU0MTU0MDY5MyI+ODY2PC9rZXk+PGtleSBhcHA9IkVOV2ViIiBkYi1pZD0iIj4w
PC9rZXk+PC9mb3JlaWduLWtleXM+PHJlZi10eXBlIG5hbWU9IkpvdXJuYWwgQXJ0aWNsZSI+MTc8
L3JlZi10eXBlPjxjb250cmlidXRvcnM+PGF1dGhvcnM+PGF1dGhvcj5Tb25nw5hZZ2FyZCwgS3Jp
c3RpYW4gTS48L2F1dGhvcj48YXV0aG9yPlN0YWZuZSwgU2lnbmUgTi48L2F1dGhvcj48YXV0aG9y
PkV2ZW5zZW4sIEthcmkgQW5uZSBJLjwvYXV0aG9yPjxhdXRob3I+U2FsdmVzZW4sIEtqZWxsIMOF
PC9hdXRob3I+PGF1dGhvcj5WaWssIFRvcnN0ZWluPC9hdXRob3I+PGF1dGhvcj5Nw5hSa3ZlZCwg
Uy4gSS4gVi48L2F1dGhvcj48L2F1dGhvcnM+PC9jb250cmlidXRvcnM+PHRpdGxlcz48dGl0bGU+
RG9lcyBleGVyY2lzZSBkdXJpbmcgcHJlZ25hbmN5IHByZXZlbnQgcG9zdG5hdGFsIGRlcHJlc3Np
b24/PC90aXRsZT48c2Vjb25kYXJ5LXRpdGxlPkFjdGEgT2JzdGV0cmljaWEgZXQgR3luZWNvbG9n
aWNhIFNjYW5kaW5hdmljYTwvc2Vjb25kYXJ5LXRpdGxlPjwvdGl0bGVzPjxwZXJpb2RpY2FsPjxm
dWxsLXRpdGxlPkFjdGEgT2JzdGV0cmljaWEgZXQgR3luZWNvbG9naWNhIFNjYW5kaW5hdmljYTwv
ZnVsbC10aXRsZT48L3BlcmlvZGljYWw+PHBhZ2VzPjYyLTY3PC9wYWdlcz48dm9sdW1lPjkxPC92
b2x1bWU+PG51bWJlcj4xPC9udW1iZXI+PHNlY3Rpb24+NjI8L3NlY3Rpb24+PGRhdGVzPjx5ZWFy
PjIwMTI8L3llYXI+PC9kYXRlcz48aXNibj4wMDAxNjM0OTwvaXNibj48dXJscz48L3VybHM+PGVs
ZWN0cm9uaWMtcmVzb3VyY2UtbnVtPjEwLjExMTEvai4xNjAwLTA0MTIuMjAxMS4wMTI2Mi54PC9l
bGVjdHJvbmljLXJlc291cmNlLW51bT48L3JlY29yZD48L0NpdGU+PENpdGU+PEF1dGhvcj5TdGFm
bmU8L0F1dGhvcj48WWVhcj4yMDEyPC9ZZWFyPjxSZWNOdW0+MTA2MDwvUmVjTnVtPjxyZWNvcmQ+
PHJlYy1udW1iZXI+MTA2MDwvcmVjLW51bWJlcj48Zm9yZWlnbi1rZXlzPjxrZXkgYXBwPSJFTiIg
ZGItaWQ9ImV4dmFzcmZ4MmR0cmFvZXNhc3hwMnN6c3hhMmRmNTAyNTkyeCIgdGltZXN0YW1wPSIx
NTQ4OTgzNDc2Ij4xMDYwPC9rZXk+PC9mb3JlaWduLWtleXM+PHJlZi10eXBlIG5hbWU9IkpvdXJu
YWwgQXJ0aWNsZSI+MTc8L3JlZi10eXBlPjxjb250cmlidXRvcnM+PGF1dGhvcnM+PGF1dGhvcj5T
dGFmbmUsIFNpZ25lIE4uPC9hdXRob3I+PGF1dGhvcj5TYWx2ZXNlbiwgS2plbGwg4oSrPC9hdXRo
b3I+PGF1dGhvcj5Sb211bmRzdGFkLCBQw6VsIFIuPC9hdXRob3I+PGF1dGhvcj5FZ2dlYsO4LCBU
b3JiasO4cm4gTS48L2F1dGhvcj48YXV0aG9yPkNhcmxzZW4sIFN2ZW4gTS48L2F1dGhvcj48YXV0
aG9yPk3DuHJrdmVkLCBTaXY8L2F1dGhvcj48L2F1dGhvcnM+PC9jb250cmlidXRvcnM+PHRpdGxl
cz48dGl0bGU+UmVndWxhciBFeGVyY2lzZSBEdXJpbmcgUHJlZ25hbmN5IHRvIFByZXZlbnQgR2Vz
dGF0aW9uYWwgRGlhYmV0ZXM8L3RpdGxlPjxzZWNvbmRhcnktdGl0bGU+T2JzdGV0cmljcyAmYW1w
OyBHeW5lY29sb2d5PC9zZWNvbmRhcnktdGl0bGU+PC90aXRsZXM+PHBlcmlvZGljYWw+PGZ1bGwt
dGl0bGU+T2JzdGV0cmljcyAmYW1wOyBHeW5lY29sb2d5PC9mdWxsLXRpdGxlPjwvcGVyaW9kaWNh
bD48cGFnZXM+MjktMzY8L3BhZ2VzPjx2b2x1bWU+MTE5PC92b2x1bWU+PG51bWJlcj4xPC9udW1i
ZXI+PHNlY3Rpb24+Mjk8L3NlY3Rpb24+PGRhdGVzPjx5ZWFyPjIwMTI8L3llYXI+PC9kYXRlcz48
aXNibj4wMDI5LTc4NDQ8L2lzYm4+PHVybHM+PC91cmxzPjxlbGVjdHJvbmljLXJlc291cmNlLW51
bT4xMC4xMDk3L0FPRy4wYjAxM2UzMTgyMzkzZjg2PC9lbGVjdHJvbmljLXJlc291cmNlLW51bT48
L3JlY29yZD48L0NpdGU+PENpdGU+PEF1dGhvcj5UYW5pZ3VjaGk8L0F1dGhvcj48WWVhcj4yMDE2
PC9ZZWFyPjxSZWNOdW0+OTExPC9SZWNOdW0+PHJlY29yZD48cmVjLW51bWJlcj45MTE8L3JlYy1u
dW1iZXI+PGZvcmVpZ24ta2V5cz48a2V5IGFwcD0iRU4iIGRiLWlkPSJleHZhc3JmeDJkdHJhb2Vz
YXN4cDJzenN4YTJkZjUwMjU5MngiIHRpbWVzdGFtcD0iMTU0MTU0MDg2MSI+OTExPC9rZXk+PGtl
eSBhcHA9IkVOV2ViIiBkYi1pZD0iIj4wPC9rZXk+PC9mb3JlaWduLWtleXM+PHJlZi10eXBlIG5h
bWU9IkpvdXJuYWwgQXJ0aWNsZSI+MTc8L3JlZi10eXBlPjxjb250cmlidXRvcnM+PGF1dGhvcnM+
PGF1dGhvcj5UYW5pZ3VjaGksIEMuPC9hdXRob3I+PGF1dGhvcj5TYXRvLCBDLjwvYXV0aG9yPjwv
YXV0aG9ycz48L2NvbnRyaWJ1dG9ycz48YXV0aC1hZGRyZXNzPkthbmFnYXdhIFVuaXZlcnNpdHkg
b2YgSHVtYW4gU2VydmljZXMsIEthbmFnYXdhIFByZWZlY3R1cmUsIEphcGFuLiB0YW5pZ3VjaGku
bTdiQGt1aHMuYWMuanAuJiN4RDtPdHN1a2EgTWVkaWNhbCBDbGluaWMsIFRvc2hpbWEta3UsIEph
cGFuLjwvYXV0aC1hZGRyZXNzPjx0aXRsZXM+PHRpdGxlPkhvbWUtYmFzZWQgd2Fsa2luZyBkdXJp
bmcgcHJlZ25hbmN5IGFmZmVjdHMgbW9vZCBhbmQgYmlydGggb3V0Y29tZXMgYW1vbmcgc2VkZW50
YXJ5IHdvbWVuOiBBIHJhbmRvbWl6ZWQgY29udHJvbGxlZCB0cmlhbDwvdGl0bGU+PHNlY29uZGFy
eS10aXRsZT5JbnQgSiBOdXJzIFByYWN0PC9zZWNvbmRhcnktdGl0bGU+PC90aXRsZXM+PHBlcmlv
ZGljYWw+PGZ1bGwtdGl0bGU+SW50IEogTnVycyBQcmFjdDwvZnVsbC10aXRsZT48L3BlcmlvZGlj
YWw+PHBhZ2VzPjQyMC00MjY8L3BhZ2VzPjx2b2x1bWU+MjI8L3ZvbHVtZT48bnVtYmVyPjU8L251
bWJlcj48ZWRpdGlvbj4yMDE2LzA2LzA5PC9lZGl0aW9uPjxrZXl3b3Jkcz48a2V5d29yZD5BZHVs
dDwva2V5d29yZD48a2V5d29yZD4qQWZmZWN0PC9rZXl3b3JkPjxrZXl3b3JkPkZlbWFsZTwva2V5
d29yZD48a2V5d29yZD5IdW1hbnM8L2tleXdvcmQ+PGtleXdvcmQ+UHJlZ25hbmN5PC9rZXl3b3Jk
PjxrZXl3b3JkPipQcmVnbmFuY3kgT3V0Y29tZTwva2V5d29yZD48a2V5d29yZD4qU2VkZW50YXJ5
IExpZmVzdHlsZTwva2V5d29yZD48a2V5d29yZD4qV2Fsa2luZzwva2V5d29yZD48a2V5d29yZD5Z
b3VuZyBBZHVsdDwva2V5d29yZD48a2V5d29yZD4qUHJvZmlsZSBvZiBNb29kIFN0YXRlczwva2V5
d29yZD48a2V5d29yZD4qZXhlcmNpc2U8L2tleXdvcmQ+PGtleXdvcmQ+Km51cnNpbmc8L2tleXdv
cmQ+PGtleXdvcmQ+KnByZWduYW5jeTwva2V5d29yZD48a2V5d29yZD4qcmFuZG9taXplZCBjb250
cm9sbGVkIHRyaWFsPC9rZXl3b3JkPjwva2V5d29yZHM+PGRhdGVzPjx5ZWFyPjIwMTY8L3llYXI+
PHB1Yi1kYXRlcz48ZGF0ZT5PY3Q8L2RhdGU+PC9wdWItZGF0ZXM+PC9kYXRlcz48aXNibj4xNDQw
LTE3MlggKEVsZWN0cm9uaWMpJiN4RDsxMzIyLTcxMTQgKExpbmtpbmcpPC9pc2JuPjxhY2Nlc3Np
b24tbnVtPjI3MjcyOTM3PC9hY2Nlc3Npb24tbnVtPjx1cmxzPjxyZWxhdGVkLXVybHM+PHVybD5o
dHRwczovL3d3dy5uY2JpLm5sbS5uaWguZ292L3B1Ym1lZC8yNzI3MjkzNzwvdXJsPjwvcmVsYXRl
ZC11cmxzPjwvdXJscz48ZWxlY3Ryb25pYy1yZXNvdXJjZS1udW0+MTAuMTExMS9pam4uMTI0NTM8
L2VsZWN0cm9uaWMtcmVzb3VyY2UtbnVtPjwvcmVjb3JkPjwvQ2l0ZT48Q2l0ZT48QXV0aG9yPlZh
cmdhcy1UZXJyb25lczwvQXV0aG9yPjxZZWFyPjIwMTk8L1llYXI+PFJlY051bT4xOTIwPC9SZWNO
dW0+PHJlY29yZD48cmVjLW51bWJlcj4xOTIwPC9yZWMtbnVtYmVyPjxmb3JlaWduLWtleXM+PGtl
eSBhcHA9IkVOIiBkYi1pZD0iZXh2YXNyZngyZHRyYW9lc2FzeHAyc3pzeGEyZGY1MDI1OTJ4IiB0
aW1lc3RhbXA9IjE1ODg0ODY4NzUiPjE5MjA8L2tleT48a2V5IGFwcD0iRU5XZWIiIGRiLWlkPSIi
PjA8L2tleT48L2ZvcmVpZ24ta2V5cz48cmVmLXR5cGUgbmFtZT0iSm91cm5hbCBBcnRpY2xlIj4x
NzwvcmVmLXR5cGU+PGNvbnRyaWJ1dG9ycz48YXV0aG9ycz48YXV0aG9yPlZhcmdhcy1UZXJyb25l
cywgTS48L2F1dGhvcj48YXV0aG9yPkJhcmFrYXQsIFIuPC9hdXRob3I+PGF1dGhvcj5TYW50YWNy
dXosIEIuPC9hdXRob3I+PGF1dGhvcj5GZXJuYW5kZXotQnVoaWdhcywgSS48L2F1dGhvcj48YXV0
aG9yPk1vdHRvbGEsIE0uIEYuPC9hdXRob3I+PC9hdXRob3JzPjwvY29udHJpYnV0b3JzPjxhdXRo
LWFkZHJlc3M+RGVwYXJ0bWVudCBvZiBTb2NpYWwgU2NpZW5jZXMgb2YgUGh5c2ljYWwgQWN0aXZp
dHksIFNwb3J0cyBhbmQgTGVpc3VyZSwgRmFjdWx0eSBvZiBTY2llbmNlcyBmb3IgUGh5c2ljYWwg
QWN0aXZpdHkgYW5kIFNwb3J0LCBJTkVGLCBUZWNobmljYWwgVW5pdmVyc2l0eSBvZiBNYWRyaWQg
KFVQTSksIE1hZHJpZCwgU3BhaW4uJiN4RDtEZXBhcnRtZW50IG9mIE9ic3RldHJpY3MgYW5kIEd5
bmVjb2xvZ3ksIFVuaXZlcnNpdHkgSG9zcGl0YWwgb2YgVG9ycmVqb24sIE1hZHJpZCwgU3BhaW4u
JiN4RDtSIFNhbXVlbCBNY0xhdWdobGluIEZvdW5kYXRpb24gLSBFeGVyY2lzZSBhbmQgUHJlZ25h
bmN5IExhYm9yYXRvcnksIFNjaG9vbCBvZiBLaW5lc2lvbG9neSwgVGhlIFVuaXZlcnNpdHkgb2Yg
V2VzdGVybiBPbnRhcmlvLCBMb25kb24sIE9udGFyaW8sIENhbmFkYS48L2F1dGgtYWRkcmVzcz48
dGl0bGVzPjx0aXRsZT5QaHlzaWNhbCBleGVyY2lzZSBwcm9ncmFtbWUgZHVyaW5nIHByZWduYW5j
eSBkZWNyZWFzZXMgcGVyaW5hdGFsIGRlcHJlc3Npb24gcmlzazogYSByYW5kb21pc2VkIGNvbnRy
b2xsZWQgdHJpYWw8L3RpdGxlPjxzZWNvbmRhcnktdGl0bGU+QnIgSiBTcG9ydHMgTWVkPC9zZWNv
bmRhcnktdGl0bGU+PC90aXRsZXM+PHBlcmlvZGljYWw+PGZ1bGwtdGl0bGU+QnIgSiBTcG9ydHMg
TWVkPC9mdWxsLXRpdGxlPjwvcGVyaW9kaWNhbD48cGFnZXM+MzQ4LTM1MzwvcGFnZXM+PHZvbHVt
ZT41Mzwvdm9sdW1lPjxudW1iZXI+NjwvbnVtYmVyPjxlZGl0aW9uPjIwMTgvMDYvMTU8L2VkaXRp
b24+PGtleXdvcmRzPjxrZXl3b3JkPkFkdWx0PC9rZXl3b3JkPjxrZXl3b3JkPkRlcHJlc3Npb24v
KnByZXZlbnRpb24gJmFtcDsgY29udHJvbDwva2V5d29yZD48a2V5d29yZD4qRXhlcmNpc2U8L2tl
eXdvcmQ+PGtleXdvcmQ+RmVtYWxlPC9rZXl3b3JkPjxrZXl3b3JkPkh1bWFuczwva2V5d29yZD48
a2V5d29yZD5Qb3N0cGFydHVtIFBlcmlvZDwva2V5d29yZD48a2V5d29yZD5QcmVnbmFuY3k8L2tl
eXdvcmQ+PGtleXdvcmQ+UHJlZ25hbmN5IENvbXBsaWNhdGlvbnMvKnBzeWNob2xvZ3k8L2tleXdv
cmQ+PGtleXdvcmQ+ZGVwcmVzc2lvbjwva2V5d29yZD48a2V5d29yZD5leGVyY2lzZSBwaHlzaWNh
bCBhY3Rpdml0eTwva2V5d29yZD48a2V5d29yZD5wc3ljaG9sb2d5PC9rZXl3b3JkPjwva2V5d29y
ZHM+PGRhdGVzPjx5ZWFyPjIwMTk8L3llYXI+PHB1Yi1kYXRlcz48ZGF0ZT5NYXI8L2RhdGU+PC9w
dWItZGF0ZXM+PC9kYXRlcz48aXNibj4xNDczLTA0ODAgKEVsZWN0cm9uaWMpJiN4RDswMzA2LTM2
NzQgKExpbmtpbmcpPC9pc2JuPjxhY2Nlc3Npb24tbnVtPjI5ODk5MDUwPC9hY2Nlc3Npb24tbnVt
Pjx1cmxzPjxyZWxhdGVkLXVybHM+PHVybD5odHRwczovL3d3dy5uY2JpLm5sbS5uaWguZ292L3B1
Ym1lZC8yOTg5OTA1MDwvdXJsPjwvcmVsYXRlZC11cmxzPjwvdXJscz48ZWxlY3Ryb25pYy1yZXNv
dXJjZS1udW0+MTAuMTEzNi9ianNwb3J0cy0yMDE3LTA5ODkyNjwvZWxlY3Ryb25pYy1yZXNvdXJj
ZS1udW0+PC9yZWNvcmQ+PC9DaXRlPjwvRW5kTm90ZT4A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PEVuZE5vdGU+PENpdGU+PEF1dGhvcj5CYWNjaGk8L0F1dGhvcj48WWVhcj4yMDE4PC9ZZWFyPjxS
ZWNOdW0+NzEwPC9SZWNOdW0+PERpc3BsYXlUZXh0PjxzdHlsZSBmYWNlPSJzdXBlcnNjcmlwdCIg
Zm9udD0iVHJlYnVjaGV0IE1TIiBzaXplPSI5Ij4yNzAtMjcyLDI5MiwyOTQtMjk2LDI5OSwzMTMs
NDI1LTQzMiw0MzQtNDM2LDQ0MC00NDIsNDQ0LTQ0Niw0NTM8L3N0eWxlPjwvRGlzcGxheVRleHQ+
PHJlY29yZD48cmVjLW51bWJlcj43MTA8L3JlYy1udW1iZXI+PGZvcmVpZ24ta2V5cz48a2V5IGFw
cD0iRU4iIGRiLWlkPSJleHZhc3JmeDJkdHJhb2VzYXN4cDJzenN4YTJkZjUwMjU5MngiIHRpbWVz
dGFtcD0iMTU0MTQ2MjI0NiI+NzEwPC9rZXk+PC9mb3JlaWduLWtleXM+PHJlZi10eXBlIG5hbWU9
IkpvdXJuYWwgQXJ0aWNsZSI+MTc8L3JlZi10eXBlPjxjb250cmlidXRvcnM+PGF1dGhvcnM+PGF1
dGhvcj5CYWNjaGksIE0uPC9hdXRob3I+PGF1dGhvcj5Nb3R0b2xhLCBNLiBGLjwvYXV0aG9yPjxh
dXRob3I+UGVyYWxlcywgTS48L2F1dGhvcj48YXV0aG9yPlJlZm95bywgSS48L2F1dGhvcj48YXV0
aG9yPkJhcmFrYXQsIFIuPC9hdXRob3I+PC9hdXRob3JzPjwvY29udHJpYnV0b3JzPjxhdXRoLWFk
ZHJlc3M+MSBGYWN1bHR5IG9mIFBoeXNpY2FsIEFjdGl2aXR5IGFuZCBTcG9ydCwgRmxvcmVzIFVu
aXZlcnNpdHksIEFyZ2VudGluZS4mI3hEOzIgUi4gU2FtdWVsIE1jTGF1Z2hsaW4gRm91bmRhdGlv
bi1FeGVyY2lzZSAmYW1wOyBQcmVnbmFuY3kgTGFib3JhdG9yeSwgU2Nob29sIG9mIEtpbmVzaW9s
b2d5LCBGYWN1bHR5IG9mIEhlYWx0aCBTY2llbmNlcywgVW5pdmVyc2l0eSBvZiBXZXN0ZXJuIE9u
dGFyaW8sIExvbmRvbiwgQ2FuYWRhLiYjeEQ7MyBEZXBhcnRtZW50IG9mIEFuYXRvbXkgJmFtcDsg
Q2VsbCBCaW9sb2d5LCBTY2h1bGljaCBTY2hvb2wgb2YgTWVkaWNpbmUgJmFtcDsgRGVudGlzdHJ5
LCBDaGlsZHJlbiZhcG9zO3MgSGVhbHRoIFJlc2VhcmNoIEluc3RpdHV0ZSwgVW5pdmVyc2l0eSBv
ZiBXZXN0ZXJuIE9udGFyaW8sIExvbmRvbiwgQ2FuYWRhLiYjeEQ7NCBSZXNlYXJjaCBJbnN0aXR1
dGUgb2YgSG9zcGl0YWwgMTIgZGUgT2N0dWJyZSAoJnF1b3Q7aSsxMiZxdW90OyksIE1hZHJpZCwg
U3BhaW4uJiN4RDs1IENhbWlsbyBKb3NlIENlbGEgVW5pdmVyc2l0eSwgTWFkcmlkLCBTcGFpbi4m
I3hEOzYgQUZJUEUgUmVzZWFyY2ggR3JvdXAsIFRlY2huaWNhbCBVbml2ZXJzaXR5IG9mIE1hZHJp
ZCwgU3BhaW4uPC9hdXRoLWFkZHJlc3M+PHRpdGxlcz48dGl0bGU+QXF1YXRpYyBBY3Rpdml0aWVz
IER1cmluZyBQcmVnbmFuY3kgUHJldmVudCBFeGNlc3NpdmUgTWF0ZXJuYWwgV2VpZ2h0IEdhaW4g
YW5kIFByZXNlcnZlIEJpcnRoIFdlaWdodDogQSBSYW5kb21pemVkIENsaW5pY2FsIFRyaWFsPC90
aXRsZT48c2Vjb25kYXJ5LXRpdGxlPkFtIEogSGVhbHRoIFByb21vdDwvc2Vjb25kYXJ5LXRpdGxl
PjwvdGl0bGVzPjxwZXJpb2RpY2FsPjxmdWxsLXRpdGxlPkFtIEogSGVhbHRoIFByb21vdDwvZnVs
bC10aXRsZT48L3BlcmlvZGljYWw+PHBhZ2VzPjcyOS03MzU8L3BhZ2VzPjx2b2x1bWU+MzI8L3Zv
bHVtZT48bnVtYmVyPjM8L251bWJlcj48ZWRpdGlvbj4yMDE3LzAzLzExPC9lZGl0aW9uPjxrZXl3
b3Jkcz48a2V5d29yZD5hcXVhdGljIGV4ZXJjaXNlPC9rZXl3b3JkPjxrZXl3b3JkPmJpcnRoIHdl
aWdodDwva2V5d29yZD48a2V5d29yZD5tYXRlcm5hbCB3ZWlnaHQgZ2Fpbjwva2V5d29yZD48a2V5
d29yZD5wcmVnbmFuY3k8L2tleXdvcmQ+PC9rZXl3b3Jkcz48ZGF0ZXM+PHllYXI+MjAxODwveWVh
cj48cHViLWRhdGVzPjxkYXRlPk1hcjwvZGF0ZT48L3B1Yi1kYXRlcz48L2RhdGVzPjxpc2JuPjIx
NjgtNjYwMiAoRWxlY3Ryb25pYykmI3hEOzA4OTAtMTE3MSAoTGlua2luZyk8L2lzYm4+PGFjY2Vz
c2lvbi1udW0+MjgyNzkwODU8L2FjY2Vzc2lvbi1udW0+PHVybHM+PHJlbGF0ZWQtdXJscz48dXJs
Pmh0dHBzOi8vd3d3Lm5jYmkubmxtLm5paC5nb3YvcHVibWVkLzI4Mjc5MDg1PC91cmw+PC9yZWxh
dGVkLXVybHM+PC91cmxzPjxlbGVjdHJvbmljLXJlc291cmNlLW51bT4xMC4xMTc3LzA4OTAxMTcx
MTc2OTc1MjA8L2VsZWN0cm9uaWMtcmVzb3VyY2UtbnVtPjwvcmVjb3JkPjwvQ2l0ZT48Q2l0ZT48
QXV0aG9yPkJhY2l1azwvQXV0aG9yPjxZZWFyPjIwMDg8L1llYXI+PFJlY051bT42Nzk8L1JlY051
bT48cmVjb3JkPjxyZWMtbnVtYmVyPjY3OTwvcmVjLW51bWJlcj48Zm9yZWlnbi1rZXlzPjxrZXkg
YXBwPSJFTiIgZGItaWQ9ImV4dmFzcmZ4MmR0cmFvZXNhc3hwMnN6c3hhMmRmNTAyNTkyeCIgdGlt
ZXN0YW1wPSIxNTQwNTI2ODkwIj42Nzk8L2tleT48L2ZvcmVpZ24ta2V5cz48cmVmLXR5cGUgbmFt
ZT0iSm91cm5hbCBBcnRpY2xlIj4xNzwvcmVmLXR5cGU+PGNvbnRyaWJ1dG9ycz48YXV0aG9ycz48
YXV0aG9yPkJhY2l1aywgRS4gUC48L2F1dGhvcj48YXV0aG9yPlBlcmVpcmEsIFIuIEkuPC9hdXRo
b3I+PGF1dGhvcj5DZWNhdHRpLCBKLiBHLjwvYXV0aG9yPjxhdXRob3I+QnJhZ2EsIEEuIEYuPC9h
dXRob3I+PGF1dGhvcj5DYXZhbGNhbnRlLCBTLiBSLjwvYXV0aG9yPjwvYXV0aG9ycz48L2NvbnRy
aWJ1dG9ycz48YXV0aC1hZGRyZXNzPkRlcGFydG1lbnQgb2YgT2JzdGV0cmljcyBhbmQgR3luZWNv
bG9neSwgVW5pdmVyc2l0eSBvZiBDYW1waW5hcywgU2FvIFBhdWxvLCBCcmF6aWwuIGVyaWNheGJh
QHRlcnJhLmNvbS5icjwvYXV0aC1hZGRyZXNzPjx0aXRsZXM+PHRpdGxlPldhdGVyIGFlcm9iaWNz
IGluIHByZWduYW5jeTogQ2FyZGlvdmFzY3VsYXIgcmVzcG9uc2UsIGxhYm9yIGFuZCBuZW9uYXRh
bCBvdXRjb21lczwvdGl0bGU+PHNlY29uZGFyeS10aXRsZT5SZXByb2QgSGVhbHRoPC9zZWNvbmRh
cnktdGl0bGU+PC90aXRsZXM+PHBlcmlvZGljYWw+PGZ1bGwtdGl0bGU+UmVwcm9kIEhlYWx0aDwv
ZnVsbC10aXRsZT48L3BlcmlvZGljYWw+PHBhZ2VzPjEwPC9wYWdlcz48dm9sdW1lPjU8L3ZvbHVt
ZT48ZWRpdGlvbj4yMDA4LzExLzI2PC9lZGl0aW9uPjxkYXRlcz48eWVhcj4yMDA4PC95ZWFyPjxw
dWItZGF0ZXM+PGRhdGU+Tm92IDIxPC9kYXRlPjwvcHViLWRhdGVzPjwvZGF0ZXM+PGlzYm4+MTc0
Mi00NzU1IChFbGVjdHJvbmljKSYjeEQ7MTc0Mi00NzU1IChMaW5raW5nKTwvaXNibj48YWNjZXNz
aW9uLW51bT4xOTAyNTU3OTwvYWNjZXNzaW9uLW51bT48dXJscz48cmVsYXRlZC11cmxzPjx1cmw+
aHR0cHM6Ly93d3cubmNiaS5ubG0ubmloLmdvdi9wdWJtZWQvMTkwMjU1Nzk8L3VybD48L3JlbGF0
ZWQtdXJscz48L3VybHM+PGN1c3RvbTI+UE1DMjYxMzEzMTwvY3VzdG9tMj48ZWxlY3Ryb25pYy1y
ZXNvdXJjZS1udW0+MTAuMTE4Ni8xNzQyLTQ3NTUtNS0xMDwvZWxlY3Ryb25pYy1yZXNvdXJjZS1u
dW0+PC9yZWNvcmQ+PC9DaXRlPjxDaXRlPjxBdXRob3I+QmFyYWthdDwvQXV0aG9yPjxZZWFyPjIw
MDk8L1llYXI+PFJlY051bT42Njg8L1JlY051bT48cmVjb3JkPjxyZWMtbnVtYmVyPjY2ODwvcmVj
LW51bWJlcj48Zm9yZWlnbi1rZXlzPjxrZXkgYXBwPSJFTiIgZGItaWQ9ImV4dmFzcmZ4MmR0cmFv
ZXNhc3hwMnN6c3hhMmRmNTAyNTkyeCIgdGltZXN0YW1wPSIxNTQwNTI2NTkxIj42Njg8L2tleT48
L2ZvcmVpZ24ta2V5cz48cmVmLXR5cGUgbmFtZT0iSm91cm5hbCBBcnRpY2xlIj4xNzwvcmVmLXR5
cGU+PGNvbnRyaWJ1dG9ycz48YXV0aG9ycz48YXV0aG9yPkJhcmFrYXQsIFIuPC9hdXRob3I+PGF1
dGhvcj5MdWNpYSwgQS48L2F1dGhvcj48YXV0aG9yPlJ1aXosIEouIFIuPC9hdXRob3I+PC9hdXRo
b3JzPjwvY29udHJpYnV0b3JzPjxhdXRoLWFkZHJlc3M+RmFjdWx0YWQgZGUgQ2llbmNpYXMgZGUg
bGEgQWN0aXZpZGFkIEZpc2ljYSB5IGRlbCBEZXBvcnRlLUlORUYsIFVuaXZlcnNpZGFkIFBvbGl0
ZWNuaWNhIGRlIE1hZHJpZCwgTWFkcmlkLCBTcGFpbi48L2F1dGgtYWRkcmVzcz48dGl0bGVzPjx0
aXRsZT5SZXNpc3RhbmNlIGV4ZXJjaXNlIHRyYWluaW5nIGR1cmluZyBwcmVnbmFuY3kgYW5kIG5l
d2Jvcm4mYXBvcztzIGJpcnRoIHNpemU6IGEgcmFuZG9taXNlZCBjb250cm9sbGVkIHRyaWFsPC90
aXRsZT48c2Vjb25kYXJ5LXRpdGxlPkludCBKIE9iZXMgKExvbmQpPC9zZWNvbmRhcnktdGl0bGU+
PC90aXRsZXM+PHBlcmlvZGljYWw+PGZ1bGwtdGl0bGU+SW50IEogT2JlcyAoTG9uZCk8L2Z1bGwt
dGl0bGU+PC9wZXJpb2RpY2FsPjxwYWdlcz4xMDQ4LTU3PC9wYWdlcz48dm9sdW1lPjMzPC92b2x1
bWU+PG51bWJlcj45PC9udW1iZXI+PGVkaXRpb24+MjAwOS8wNy8yOTwvZWRpdGlvbj48a2V5d29y
ZHM+PGtleXdvcmQ+QWR1bHQ8L2tleXdvcmQ+PGtleXdvcmQ+QmlydGggV2VpZ2h0LypwaHlzaW9s
b2d5PC9rZXl3b3JkPjxrZXl3b3JkPkJvZHkgTWFzcyBJbmRleDwva2V5d29yZD48a2V5d29yZD5C
b2R5IFNpemU8L2tleXdvcmQ+PGtleXdvcmQ+Qm9keSBXZWlnaHQvKnBoeXNpb2xvZ3k8L2tleXdv
cmQ+PGtleXdvcmQ+RmVtYWxlPC9rZXl3b3JkPjxrZXl3b3JkPkZldGFsIERldmVsb3BtZW50Lypw
aHlzaW9sb2d5PC9rZXl3b3JkPjxrZXl3b3JkPkh1bWFuczwva2V5d29yZD48a2V5d29yZD5JbmZh
bnQsIE5ld2Jvcm48L2tleXdvcmQ+PGtleXdvcmQ+UHJlZ25hbmN5PC9rZXl3b3JkPjxrZXl3b3Jk
PlByZWduYW5jeSBUcmltZXN0ZXIsIFNlY29uZDwva2V5d29yZD48a2V5d29yZD5QcmVnbmFuY3kg
VHJpbWVzdGVyLCBUaGlyZDwva2V5d29yZD48a2V5d29yZD5SZXNpc3RhbmNlIFRyYWluaW5nLypt
ZXRob2RzPC9rZXl3b3JkPjxrZXl3b3JkPlNwYWluL2VwaWRlbWlvbG9neTwva2V5d29yZD48L2tl
eXdvcmRzPjxkYXRlcz48eWVhcj4yMDA5PC95ZWFyPjxwdWItZGF0ZXM+PGRhdGU+U2VwPC9kYXRl
PjwvcHViLWRhdGVzPjwvZGF0ZXM+PGlzYm4+MTQ3Ni01NDk3IChFbGVjdHJvbmljKSYjeEQ7MDMw
Ny0wNTY1IChMaW5raW5nKTwvaXNibj48YWNjZXNzaW9uLW51bT4xOTYzNjMyMDwvYWNjZXNzaW9u
LW51bT48dXJscz48cmVsYXRlZC11cmxzPjx1cmw+aHR0cHM6Ly93d3cubmNiaS5ubG0ubmloLmdv
di9wdWJtZWQvMTk2MzYzMjA8L3VybD48L3JlbGF0ZWQtdXJscz48L3VybHM+PGVsZWN0cm9uaWMt
cmVzb3VyY2UtbnVtPjEwLjEwMzgvaWpvLjIwMDkuMTUwPC9lbGVjdHJvbmljLXJlc291cmNlLW51
bT48L3JlY29yZD48L0NpdGU+PENpdGU+PEF1dGhvcj5CYXJha2F0PC9BdXRob3I+PFllYXI+MjAx
MTwvWWVhcj48UmVjTnVtPjY2OTwvUmVjTnVtPjxyZWNvcmQ+PHJlYy1udW1iZXI+NjY5PC9yZWMt
bnVtYmVyPjxmb3JlaWduLWtleXM+PGtleSBhcHA9IkVOIiBkYi1pZD0iZXh2YXNyZngyZHRyYW9l
c2FzeHAyc3pzeGEyZGY1MDI1OTJ4IiB0aW1lc3RhbXA9IjE1NDA1MjY2MjQiPjY2OTwva2V5Pjwv
Zm9yZWlnbi1rZXlzPjxyZWYtdHlwZSBuYW1lPSJKb3VybmFsIEFydGljbGUiPjE3PC9yZWYtdHlw
ZT48Y29udHJpYnV0b3JzPjxhdXRob3JzPjxhdXRob3I+QmFyYWthdCwgUi48L2F1dGhvcj48YXV0
aG9yPlBlbGFleiwgTS48L2F1dGhvcj48YXV0aG9yPk1vbnRlam8sIFIuPC9hdXRob3I+PGF1dGhv
cj5MdWFjZXMsIE0uPC9hdXRob3I+PGF1dGhvcj5aYWt5bnRoaW5ha2ksIE0uPC9hdXRob3I+PC9h
dXRob3JzPjwvY29udHJpYnV0b3JzPjxhdXRoLWFkZHJlc3M+RmFjdWx0YWQgZGUgQ2llbmNpYXMg
ZGUgbGEgQWN0aXZpZGFkIEZpc2ljYSB5IGRlbCBEZXBvcnRlIC0gSU5FRiwgVW5pdmVyc2lkYWQg
UG9saXRlY25pY2EgZGUgTWFkcmlkLCBTcGFpbi48L2F1dGgtYWRkcmVzcz48dGl0bGVzPjx0aXRs
ZT5FeGVyY2lzZSBkdXJpbmcgcHJlZ25hbmN5IGltcHJvdmVzIG1hdGVybmFsIGhlYWx0aCBwZXJj
ZXB0aW9uOiBhIHJhbmRvbWl6ZWQgY29udHJvbGxlZCB0cmlhbDwvdGl0bGU+PHNlY29uZGFyeS10
aXRsZT5BbSBKIE9ic3RldCBHeW5lY29sPC9zZWNvbmRhcnktdGl0bGU+PC90aXRsZXM+PHBlcmlv
ZGljYWw+PGZ1bGwtdGl0bGU+QW0gSiBPYnN0ZXQgR3luZWNvbDwvZnVsbC10aXRsZT48L3Blcmlv
ZGljYWw+PHBhZ2VzPjQwMiBlMS03PC9wYWdlcz48dm9sdW1lPjIwNDwvdm9sdW1lPjxudW1iZXI+
NTwvbnVtYmVyPjxlZGl0aW9uPjIwMTEvMDMvMDE8L2VkaXRpb24+PGtleXdvcmRzPjxrZXl3b3Jk
PkFkdWx0PC9rZXl3b3JkPjxrZXl3b3JkPkV4ZXJjaXNlLypwc3ljaG9sb2d5PC9rZXl3b3JkPjxr
ZXl3b3JkPkZlbWFsZTwva2V5d29yZD48a2V5d29yZD4qSGVhbHRoIFN0YXR1czwva2V5d29yZD48
a2V5d29yZD5IdW1hbnM8L2tleXdvcmQ+PGtleXdvcmQ+TWF0ZXJuYWwgV2VsZmFyZS8qcHN5Y2hv
bG9neTwva2V5d29yZD48a2V5d29yZD4qUGVyY2VwdGlvbjwva2V5d29yZD48a2V5d29yZD5QcmVn
bmFuY3k8L2tleXdvcmQ+PGtleXdvcmQ+UHJlZ25hbmN5IE91dGNvbWU8L2tleXdvcmQ+PGtleXdv
cmQ+U2VkZW50YXJ5IExpZmVzdHlsZTwva2V5d29yZD48a2V5d29yZD5Xb21lbiZhcG9zO3MgSGVh
bHRoPC9rZXl3b3JkPjwva2V5d29yZHM+PGRhdGVzPjx5ZWFyPjIwMTE8L3llYXI+PHB1Yi1kYXRl
cz48ZGF0ZT5NYXk8L2RhdGU+PC9wdWItZGF0ZXM+PC9kYXRlcz48aXNibj4xMDk3LTY4NjggKEVs
ZWN0cm9uaWMpJiN4RDswMDAyLTkzNzggKExpbmtpbmcpPC9pc2JuPjxhY2Nlc3Npb24tbnVtPjIx
MzU0NTQ3PC9hY2Nlc3Npb24tbnVtPjx1cmxzPjxyZWxhdGVkLXVybHM+PHVybD5odHRwczovL3d3
dy5uY2JpLm5sbS5uaWguZ292L3B1Ym1lZC8yMTM1NDU0NzwvdXJsPjwvcmVsYXRlZC11cmxzPjwv
dXJscz48ZWxlY3Ryb25pYy1yZXNvdXJjZS1udW0+MTAuMTAxNi9qLmFqb2cuMjAxMS4wMS4wNDM8
L2VsZWN0cm9uaWMtcmVzb3VyY2UtbnVtPjwvcmVjb3JkPjwvQ2l0ZT48Q2l0ZT48QXV0aG9yPkJh
cmFrYXQ8L0F1dGhvcj48WWVhcj4yMDEyPC9ZZWFyPjxSZWNOdW0+NjcxPC9SZWNOdW0+PHJlY29y
ZD48cmVjLW51bWJlcj42NzE8L3JlYy1udW1iZXI+PGZvcmVpZ24ta2V5cz48a2V5IGFwcD0iRU4i
IGRiLWlkPSJleHZhc3JmeDJkdHJhb2VzYXN4cDJzenN4YTJkZjUwMjU5MngiIHRpbWVzdGFtcD0i
MTU0MDUyNjY3NCI+NjcxPC9rZXk+PC9mb3JlaWduLWtleXM+PHJlZi10eXBlIG5hbWU9IkpvdXJu
YWwgQXJ0aWNsZSI+MTc8L3JlZi10eXBlPjxjb250cmlidXRvcnM+PGF1dGhvcnM+PGF1dGhvcj5C
YXJha2F0LCBSLjwvYXV0aG9yPjxhdXRob3I+UGVsYWV6LCBNLjwvYXV0aG9yPjxhdXRob3I+TG9w
ZXosIEMuPC9hdXRob3I+PGF1dGhvcj5Nb250ZWpvLCBSLjwvYXV0aG9yPjxhdXRob3I+Q290ZXJv
biwgSi48L2F1dGhvcj48L2F1dGhvcnM+PC9jb250cmlidXRvcnM+PGF1dGgtYWRkcmVzcz5UZWNo
bmljYWwgVW5pdmVyc2l0eSBvZiBNYWRyaWQgKFVQTSksIE1hZHJpZCwgU3BhaW4uIGJhcmFrYXRy
dWJlbkBnbWFpbC5jb208L2F1dGgtYWRkcmVzcz48dGl0bGVzPjx0aXRsZT5FeGVyY2lzZSBkdXJp
bmcgcHJlZ25hbmN5IHJlZHVjZXMgdGhlIHJhdGUgb2YgY2VzYXJlYW4gYW5kIGluc3RydW1lbnRh
bCBkZWxpdmVyaWVzOiByZXN1bHRzIG9mIGEgcmFuZG9taXplZCBjb250cm9sbGVkIHRyaWFsPC90
aXRsZT48c2Vjb25kYXJ5LXRpdGxlPkogTWF0ZXJuIEZldGFsIE5lb25hdGFsIE1lZDwvc2Vjb25k
YXJ5LXRpdGxlPjwvdGl0bGVzPjxwZXJpb2RpY2FsPjxmdWxsLXRpdGxlPkogTWF0ZXJuIEZldGFs
IE5lb25hdGFsIE1lZDwvZnVsbC10aXRsZT48L3BlcmlvZGljYWw+PHBhZ2VzPjIzNzItNjwvcGFn
ZXM+PHZvbHVtZT4yNTwvdm9sdW1lPjxudW1iZXI+MTE8L251bWJlcj48ZWRpdGlvbj4yMDEyLzA2
LzIyPC9lZGl0aW9uPjxrZXl3b3Jkcz48a2V5d29yZD5BZHVsdDwva2V5d29yZD48a2V5d29yZD5D
ZXNhcmVhbiBTZWN0aW9uLypzdGF0aXN0aWNzICZhbXA7IG51bWVyaWNhbCBkYXRhPC9rZXl3b3Jk
PjxrZXl3b3JkPkRlbGl2ZXJ5LCBPYnN0ZXRyaWMvaW5zdHJ1bWVudGF0aW9uLyptZXRob2RzLypz
dGF0aXN0aWNzICZhbXA7IG51bWVyaWNhbCBkYXRhPC9rZXl3b3JkPjxrZXl3b3JkPkV4ZXJjaXNl
LypwaHlzaW9sb2d5PC9rZXl3b3JkPjxrZXl3b3JkPkV4ZXJjaXNlIFRoZXJhcHkvYWR2ZXJzZSBl
ZmZlY3RzL21ldGhvZHM8L2tleXdvcmQ+PGtleXdvcmQ+RmVtYWxlPC9rZXl3b3JkPjxrZXl3b3Jk
PkZvbGxvdy1VcCBTdHVkaWVzPC9rZXl3b3JkPjxrZXl3b3JkPkh1bWFuczwva2V5d29yZD48a2V5
d29yZD5JbmZhbnQsIE5ld2Jvcm48L2tleXdvcmQ+PGtleXdvcmQ+UGF0aWVudCBDb21wbGlhbmNl
L3N0YXRpc3RpY3MgJmFtcDsgbnVtZXJpY2FsIGRhdGE8L2tleXdvcmQ+PGtleXdvcmQ+UGh5c2lj
YWwgRml0bmVzcy9waHlzaW9sb2d5PC9rZXl3b3JkPjxrZXl3b3JkPlByZWduYW5jeTwva2V5d29y
ZD48a2V5d29yZD5QcmVnbmFuY3kgT3V0Y29tZS8qZXBpZGVtaW9sb2d5PC9rZXl3b3JkPjxrZXl3
b3JkPlN1cmdpY2FsIEluc3RydW1lbnRzLypzdGF0aXN0aWNzICZhbXA7IG51bWVyaWNhbCBkYXRh
PC9rZXl3b3JkPjwva2V5d29yZHM+PGRhdGVzPjx5ZWFyPjIwMTI8L3llYXI+PHB1Yi1kYXRlcz48
ZGF0ZT5Ob3Y8L2RhdGU+PC9wdWItZGF0ZXM+PC9kYXRlcz48aXNibj4xNDc2LTQ5NTQgKEVsZWN0
cm9uaWMpJiN4RDsxNDc2LTQ5NTQgKExpbmtpbmcpPC9pc2JuPjxhY2Nlc3Npb24tbnVtPjIyNzE1
OTgxPC9hY2Nlc3Npb24tbnVtPjx1cmxzPjxyZWxhdGVkLXVybHM+PHVybD5odHRwczovL3d3dy5u
Y2JpLm5sbS5uaWguZ292L3B1Ym1lZC8yMjcxNTk4MTwvdXJsPjwvcmVsYXRlZC11cmxzPjwvdXJs
cz48ZWxlY3Ryb25pYy1yZXNvdXJjZS1udW0+MTAuMzEwOS8xNDc2NzA1OC4yMDEyLjY5NjE2NTwv
ZWxlY3Ryb25pYy1yZXNvdXJjZS1udW0+PC9yZWNvcmQ+PC9DaXRlPjxDaXRlPjxBdXRob3I+QmFy
YWthdDwvQXV0aG9yPjxZZWFyPjIwMTM8L1llYXI+PFJlY051bT43MTI8L1JlY051bT48cmVjb3Jk
PjxyZWMtbnVtYmVyPjcxMjwvcmVjLW51bWJlcj48Zm9yZWlnbi1rZXlzPjxrZXkgYXBwPSJFTiIg
ZGItaWQ9ImV4dmFzcmZ4MmR0cmFvZXNhc3hwMnN6c3hhMmRmNTAyNTkyeCIgdGltZXN0YW1wPSIx
NTQxNDYyMzMxIj43MTI8L2tleT48L2ZvcmVpZ24ta2V5cz48cmVmLXR5cGUgbmFtZT0iSm91cm5h
bCBBcnRpY2xlIj4xNzwvcmVmLXR5cGU+PGNvbnRyaWJ1dG9ycz48YXV0aG9ycz48YXV0aG9yPkJh
cmFrYXQsIFIuPC9hdXRob3I+PGF1dGhvcj5QZWxhZXosIE0uPC9hdXRob3I+PGF1dGhvcj5Mb3Bl
eiwgQy48L2F1dGhvcj48YXV0aG9yPkx1Y2lhLCBBLjwvYXV0aG9yPjxhdXRob3I+UnVpeiwgSi4g
Ui48L2F1dGhvcj48L2F1dGhvcnM+PC9jb250cmlidXRvcnM+PGF1dGgtYWRkcmVzcz5GYWN1bHRh
ZCBkZSBDaWVuY2lhcyBkZSBsYSBBY3RpdmlkYWQgRmlzaWNhIHkgZGVsIERlcG9ydGUtSU5FRiwg
VW5pdmVyc2lkYWQgUG9saXRlY25pY2EgZGUgTWFkcmlkLCBNYWRyaWQsIFNwYWluLjwvYXV0aC1h
ZGRyZXNzPjx0aXRsZXM+PHRpdGxlPkV4ZXJjaXNlIGR1cmluZyBwcmVnbmFuY3kgYW5kIGdlc3Rh
dGlvbmFsIGRpYWJldGVzLXJlbGF0ZWQgYWR2ZXJzZSBlZmZlY3RzOiBhIHJhbmRvbWlzZWQgY29u
dHJvbGxlZCB0cmlhbDwvdGl0bGU+PHNlY29uZGFyeS10aXRsZT5CciBKIFNwb3J0cyBNZWQ8L3Nl
Y29uZGFyeS10aXRsZT48L3RpdGxlcz48cGVyaW9kaWNhbD48ZnVsbC10aXRsZT5CciBKIFNwb3J0
cyBNZWQ8L2Z1bGwtdGl0bGU+PC9wZXJpb2RpY2FsPjxwYWdlcz42MzAtNjwvcGFnZXM+PHZvbHVt
ZT40Nzwvdm9sdW1lPjxudW1iZXI+MTA8L251bWJlcj48ZWRpdGlvbj4yMDEzLzAyLzAxPC9lZGl0
aW9uPjxrZXl3b3Jkcz48a2V5d29yZD5BZHVsdDwva2V5d29yZD48a2V5d29yZD5CaXJ0aCBXZWln
aHQ8L2tleXdvcmQ+PGtleXdvcmQ+RGlhYmV0ZXMsIEdlc3RhdGlvbmFsLypwcmV2ZW50aW9uICZh
bXA7IGNvbnRyb2w8L2tleXdvcmQ+PGtleXdvcmQ+RXhlcmNpc2UgVGhlcmFweS8qbWV0aG9kczwv
a2V5d29yZD48a2V5d29yZD5GZW1hbGU8L2tleXdvcmQ+PGtleXdvcmQ+RmV0YWwgTWFjcm9zb21p
YS9wcmV2ZW50aW9uICZhbXA7IGNvbnRyb2w8L2tleXdvcmQ+PGtleXdvcmQ+SHVtYW5zPC9rZXl3
b3JkPjxrZXl3b3JkPlByZWduYW5jeTwva2V5d29yZD48a2V5d29yZD5QcmVnbmFuY3kgT3V0Y29t
ZTwva2V5d29yZD48a2V5d29yZD5QcmVnbmFuY3kgVHJpbWVzdGVyLCBTZWNvbmQ8L2tleXdvcmQ+
PGtleXdvcmQ+UHJlZ25hbmN5IFRyaW1lc3RlciwgVGhpcmQ8L2tleXdvcmQ+PGtleXdvcmQ+UHJl
bmF0YWwgQ2FyZS9tZXRob2RzPC9rZXl3b3JkPjxrZXl3b3JkPldlaWdodCBHYWluPC9rZXl3b3Jk
PjxrZXl3b3JkPkRpYWJldGVzPC9rZXl3b3JkPjxrZXl3b3JkPldvbWVuIGluIHNwb3J0PC9rZXl3
b3JkPjwva2V5d29yZHM+PGRhdGVzPjx5ZWFyPjIwMTM8L3llYXI+PHB1Yi1kYXRlcz48ZGF0ZT5K
dWw8L2RhdGU+PC9wdWItZGF0ZXM+PC9kYXRlcz48aXNibj4xNDczLTA0ODAgKEVsZWN0cm9uaWMp
JiN4RDswMzA2LTM2NzQgKExpbmtpbmcpPC9pc2JuPjxhY2Nlc3Npb24tbnVtPjIzMzY1NDE4PC9h
Y2Nlc3Npb24tbnVtPjx1cmxzPjxyZWxhdGVkLXVybHM+PHVybD5odHRwczovL3d3dy5uY2JpLm5s
bS5uaWguZ292L3B1Ym1lZC8yMzM2NTQxODwvdXJsPjwvcmVsYXRlZC11cmxzPjwvdXJscz48ZWxl
Y3Ryb25pYy1yZXNvdXJjZS1udW0+MTAuMTEzNi9ianNwb3J0cy0yMDEyLTA5MTc4ODwvZWxlY3Ry
b25pYy1yZXNvdXJjZS1udW0+PC9yZWNvcmQ+PC9DaXRlPjxDaXRlPjxBdXRob3I+QmFyYWthdDwv
QXV0aG9yPjxZZWFyPjIwMTQ8L1llYXI+PFJlY051bT42NzQ8L1JlY051bT48cmVjb3JkPjxyZWMt
bnVtYmVyPjY3NDwvcmVjLW51bWJlcj48Zm9yZWlnbi1rZXlzPjxrZXkgYXBwPSJFTiIgZGItaWQ9
ImV4dmFzcmZ4MmR0cmFvZXNhc3hwMnN6c3hhMmRmNTAyNTkyeCIgdGltZXN0YW1wPSIxNTQwNTI2
NzQ5Ij42NzQ8L2tleT48L2ZvcmVpZ24ta2V5cz48cmVmLXR5cGUgbmFtZT0iSm91cm5hbCBBcnRp
Y2xlIj4xNzwvcmVmLXR5cGU+PGNvbnRyaWJ1dG9ycz48YXV0aG9ycz48YXV0aG9yPkJhcmFrYXQs
IFIuPC9hdXRob3I+PGF1dGhvcj5QZXJhbGVzLCBNLjwvYXV0aG9yPjxhdXRob3I+QmFjY2hpLCBN
LjwvYXV0aG9yPjxhdXRob3I+Q290ZXJvbiwgSi48L2F1dGhvcj48YXV0aG9yPlJlZm95bywgSS48
L2F1dGhvcj48L2F1dGhvcnM+PC9jb250cmlidXRvcnM+PHRpdGxlcz48dGl0bGU+QSBwcm9ncmFt
IG9mIGV4ZXJjaXNlIHRocm91Z2hvdXQgcHJlZ25hbmN5LiBJcyBpdCBzYWZlIHRvIG1vdGhlciBh
bmQgbmV3Ym9ybj88L3RpdGxlPjxzZWNvbmRhcnktdGl0bGU+QW0gSiBIZWFsdGggUHJvbW90PC9z
ZWNvbmRhcnktdGl0bGU+PC90aXRsZXM+PHBlcmlvZGljYWw+PGZ1bGwtdGl0bGU+QW0gSiBIZWFs
dGggUHJvbW90PC9mdWxsLXRpdGxlPjwvcGVyaW9kaWNhbD48cGFnZXM+Mi04PC9wYWdlcz48dm9s
dW1lPjI5PC92b2x1bWU+PG51bWJlcj4xPC9udW1iZXI+PGVkaXRpb24+MjAxMy8xMS8xMDwvZWRp
dGlvbj48a2V5d29yZHM+PGtleXdvcmQ+QWR1bHQ8L2tleXdvcmQ+PGtleXdvcmQ+QXBnYXIgU2Nv
cmU8L2tleXdvcmQ+PGtleXdvcmQ+QmlydGggV2VpZ2h0L3BoeXNpb2xvZ3k8L2tleXdvcmQ+PGtl
eXdvcmQ+Qm9keSBNYXNzIEluZGV4PC9rZXl3b3JkPjxrZXl3b3JkPkRpYWJldGVzLCBHZXN0YXRp
b25hbC9lcGlkZW1pb2xvZ3k8L2tleXdvcmQ+PGtleXdvcmQ+RmVtYWxlPC9rZXl3b3JkPjxrZXl3
b3JkPkdlc3RhdGlvbmFsIEFnZTwva2V5d29yZD48a2V5d29yZD5IdW1hbnM8L2tleXdvcmQ+PGtl
eXdvcmQ+SW5mYW50LCBOZXdib3JuPC9rZXl3b3JkPjxrZXl3b3JkPipQaHlzaWNhbCBDb25kaXRp
b25pbmcsIEh1bWFuL2FkdmVyc2UgZWZmZWN0cy9tZXRob2RzPC9rZXl3b3JkPjxrZXl3b3JkPipQ
cmVnbmFuY3kvcGh5c2lvbG9neTwva2V5d29yZD48a2V5d29yZD5QcmVnbmFuY3kgT3V0Y29tZTwv
a2V5d29yZD48a2V5d29yZD5XZWlnaHQgR2Fpbi9waHlzaW9sb2d5PC9rZXl3b3JkPjxrZXl3b3Jk
PkhlYWx0aCBmb2N1czogcGh5c2ljYWwgYWN0aXZpdHk8L2tleXdvcmQ+PGtleXdvcmQ+TWFudXNj
cmlwdCBmb3JtYXQ6IHJlc2VhcmNoPC9rZXl3b3JkPjxrZXl3b3JkPk1hdGVybmFsPC9rZXl3b3Jk
PjxrZXl3b3JkPk91dGNvbWUgbWVhc3VyZTogYmVoYXZpb3JhbDwva2V5d29yZD48a2V5d29yZD5Q
aHlzaWNhbCBFeGVyY2lzZTwva2V5d29yZD48a2V5d29yZD5QcmVnbmFuY3kgT3V0Y29tZXM8L2tl
eXdvcmQ+PGtleXdvcmQ+UHJldmVudGlvbiBSZXNlYXJjaDwva2V5d29yZD48a2V5d29yZD5SZXNl
YXJjaCBwdXJwb3NlOiBpbnRlcnZlbnRpb24gdGVzdGluZzwva2V5d29yZD48a2V5d29yZD5TZXR0
aW5nOiBoZWFsdGggY2FyZTwva2V5d29yZD48a2V5d29yZD5TdHJhdGVneTogYmVoYXZpb3IgY2hh
bmdlLCBjdWx0dXJlIGNoYW5nZTwva2V5d29yZD48a2V5d29yZD5TdHVkeSBkZXNpZ246IHJhbmRv
bWl6ZWQgdHJpYWw8L2tleXdvcmQ+PGtleXdvcmQ+VGFyZ2V0IHBvcHVsYXRpb24gYWdlOiBhZHVs
dHM8L2tleXdvcmQ+PGtleXdvcmQ+VGFyZ2V0IHBvcHVsYXRpb24gY2lyY3Vtc3RhbmNlczogZWR1
Y2F0aW9uPC9rZXl3b3JkPjxrZXl3b3JkPldlaWdodCBHYWluPC9rZXl3b3JkPjwva2V5d29yZHM+
PGRhdGVzPjx5ZWFyPjIwMTQ8L3llYXI+PHB1Yi1kYXRlcz48ZGF0ZT5TZXAtT2N0PC9kYXRlPjwv
cHViLWRhdGVzPjwvZGF0ZXM+PGlzYm4+MjE2OC02NjAyIChFbGVjdHJvbmljKSYjeEQ7MDg5MC0x
MTcxIChMaW5raW5nKTwvaXNibj48YWNjZXNzaW9uLW51bT4yNDIwMDMzNTwvYWNjZXNzaW9uLW51
bT48dXJscz48cmVsYXRlZC11cmxzPjx1cmw+aHR0cHM6Ly93d3cubmNiaS5ubG0ubmloLmdvdi9w
dWJtZWQvMjQyMDAzMzU8L3VybD48L3JlbGF0ZWQtdXJscz48L3VybHM+PGVsZWN0cm9uaWMtcmVz
b3VyY2UtbnVtPjEwLjQyNzgvYWpocC4xMzAxMzEtUVVBTi01NjwvZWxlY3Ryb25pYy1yZXNvdXJj
ZS1udW0+PC9yZWNvcmQ+PC9DaXRlPjxDaXRlPjxBdXRob3I+QmFyYWthdDwvQXV0aG9yPjxZZWFy
PjIwMTY8L1llYXI+PFJlY051bT42NzY8L1JlY051bT48cmVjb3JkPjxyZWMtbnVtYmVyPjY3Njwv
cmVjLW51bWJlcj48Zm9yZWlnbi1rZXlzPjxrZXkgYXBwPSJFTiIgZGItaWQ9ImV4dmFzcmZ4MmR0
cmFvZXNhc3hwMnN6c3hhMmRmNTAyNTkyeCIgdGltZXN0YW1wPSIxNTQwNTI2NzgzIj42NzY8L2tl
eT48L2ZvcmVpZ24ta2V5cz48cmVmLXR5cGUgbmFtZT0iSm91cm5hbCBBcnRpY2xlIj4xNzwvcmVm
LXR5cGU+PGNvbnRyaWJ1dG9ycz48YXV0aG9ycz48YXV0aG9yPkJhcmFrYXQsIFIuPC9hdXRob3I+
PGF1dGhvcj5QZWxhZXosIE0uPC9hdXRob3I+PGF1dGhvcj5Db3JkZXJvLCBZLjwvYXV0aG9yPjxh
dXRob3I+UGVyYWxlcywgTS48L2F1dGhvcj48YXV0aG9yPkxvcGV6LCBDLjwvYXV0aG9yPjxhdXRo
b3I+Q290ZXJvbiwgSi48L2F1dGhvcj48YXV0aG9yPk1vdHRvbGEsIE0uIEYuPC9hdXRob3I+PC9h
dXRob3JzPjwvY29udHJpYnV0b3JzPjxhdXRoLWFkZHJlc3M+UGh5c2ljYWwgQWN0aXZpdHkgYW5k
IFNwb3J0cyBpbiBTcGVjaWZpYyBQb3B1bGF0aW9ucyAoQUZJUEUpIFJlc2VhcmNoIEdyb3VwLCBG
YWN1bHR5IG9mIFBoeXNpY2FsIEFjdGl2aXR5IGFuZCBTcG9ydHMgU2NpZW5jZXMtRmFjdWx0YWQg
ZGUgQ2llbmNpYXMgZGUgbGEgQWN0aXZpZGFkIEZpc2ljYSB5IGVsIERlcG9ydGUsIFRlY2huaWNh
bCBVbml2ZXJzaXR5IG9mIE1hZHJpZCwgTWFkcmlkLCBTcGFpbi4mI3hEO0NhdGhvbGljIFVuaXZl
cnNpdHkgb2YgTXVyY2lhLCBNdXJjaWEsIFNwYWluLiYjeEQ7Ui4gU2FtdWVsIE1jTGF1Z2hsaW4g
Rm91bmRhdGlvbi1FeGVyY2lzZSBhbmQgUHJlZ25hbmN5IExhYm9yYXRvcnksIFNjaG9vbCBvZiBL
aW5lc2lvbG9neSwgRmFjdWx0eSBvZiBIZWFsdGggU2NpZW5jZXMsIERlcGFydG1lbnQgb2YgQW5h
dG9teSBhbmQgQ2VsbCBCaW9sb2d5LCBTY2h1bGljaCBTY2hvb2wgb2YgTWVkaWNpbmUgYW5kIERl
bnRpc3RyeSwgQ2hpbGRyZW4mYXBvcztzIEhlYWx0aCBSZXNlYXJjaCBJbnN0aXR1dGUsIFVuaXZl
cnNpdHkgb2YgV2VzdGVybiBPbnRhcmlvLCBMb25kb24sIE9udGFyaW8sIENhbmFkYS4gRWxlY3Ry
b25pYyBhZGRyZXNzOiBtbW90dG9sYUB1d28uY2EuPC9hdXRoLWFkZHJlc3M+PHRpdGxlcz48dGl0
bGU+RXhlcmNpc2UgZHVyaW5nIHByZWduYW5jeSBwcm90ZWN0cyBhZ2FpbnN0IGh5cGVydGVuc2lv
biBhbmQgbWFjcm9zb21pYTogcmFuZG9taXplZCBjbGluaWNhbCB0cmlhbDwvdGl0bGU+PHNlY29u
ZGFyeS10aXRsZT5BbSBKIE9ic3RldCBHeW5lY29sPC9zZWNvbmRhcnktdGl0bGU+PC90aXRsZXM+
PHBlcmlvZGljYWw+PGZ1bGwtdGl0bGU+QW0gSiBPYnN0ZXQgR3luZWNvbDwvZnVsbC10aXRsZT48
L3BlcmlvZGljYWw+PHBhZ2VzPjY0OSBlMS04PC9wYWdlcz48dm9sdW1lPjIxNDwvdm9sdW1lPjxu
dW1iZXI+NTwvbnVtYmVyPjxlZGl0aW9uPjIwMTUvMTIvMjY8L2VkaXRpb24+PGtleXdvcmRzPjxr
ZXl3b3JkPkFkdWx0PC9rZXl3b3JkPjxrZXl3b3JkPkJpcnRoIFdlaWdodDwva2V5d29yZD48a2V5
d29yZD5EaWFiZXRlcywgR2VzdGF0aW9uYWwvcHJldmVudGlvbiAmYW1wOyBjb250cm9sPC9rZXl3
b3JkPjxrZXl3b3JkPipFeGVyY2lzZTwva2V5d29yZD48a2V5d29yZD5GZW1hbGU8L2tleXdvcmQ+
PGtleXdvcmQ+RmV0YWwgTWFjcm9zb21pYS8qcHJldmVudGlvbiAmYW1wOyBjb250cm9sPC9rZXl3
b3JkPjxrZXl3b3JkPkh1bWFuczwva2V5d29yZD48a2V5d29yZD5IeXBlcnRlbnNpb24sIFByZWdu
YW5jeS1JbmR1Y2VkLypwcmV2ZW50aW9uICZhbXA7IGNvbnRyb2w8L2tleXdvcmQ+PGtleXdvcmQ+
SW5mYW50LCBOZXdib3JuPC9rZXl3b3JkPjxrZXl3b3JkPlByZWduYW5jeTwva2V5d29yZD48a2V5
d29yZD5XZWlnaHQgR2Fpbjwva2V5d29yZD48a2V5d29yZD4qZ2VzdGF0aW9uYWwgd2VpZ2h0IGdh
aW48L2tleXdvcmQ+PGtleXdvcmQ+Kmh5cGVydGVuc2lvbjwva2V5d29yZD48a2V5d29yZD4qaW50
ZXJ2ZW50aW9uPC9rZXl3b3JkPjxrZXl3b3JkPipvdXRjb21lPC9rZXl3b3JkPjxrZXl3b3JkPipw
cmVnbmFuY3k8L2tleXdvcmQ+PC9rZXl3b3Jkcz48ZGF0ZXM+PHllYXI+MjAxNjwveWVhcj48cHVi
LWRhdGVzPjxkYXRlPk1heTwvZGF0ZT48L3B1Yi1kYXRlcz48L2RhdGVzPjxpc2JuPjEwOTctNjg2
OCAoRWxlY3Ryb25pYykmI3hEOzAwMDItOTM3OCAoTGlua2luZyk8L2lzYm4+PGFjY2Vzc2lvbi1u
dW0+MjY3MDQ4OTQ8L2FjY2Vzc2lvbi1udW0+PHVybHM+PHJlbGF0ZWQtdXJscz48dXJsPmh0dHBz
Oi8vd3d3Lm5jYmkubmxtLm5paC5nb3YvcHVibWVkLzI2NzA0ODk0PC91cmw+PC9yZWxhdGVkLXVy
bHM+PC91cmxzPjxlbGVjdHJvbmljLXJlc291cmNlLW51bT4xMC4xMDE2L2ouYWpvZy4yMDE1LjEx
LjAzOTwvZWxlY3Ryb25pYy1yZXNvdXJjZS1udW0+PC9yZWNvcmQ+PC9DaXRlPjxDaXRlPjxBdXRo
b3I+QmFyYWthdDwvQXV0aG9yPjxZZWFyPjIwMTg8L1llYXI+PFJlY051bT43MTE8L1JlY051bT48
cmVjb3JkPjxyZWMtbnVtYmVyPjcxMTwvcmVjLW51bWJlcj48Zm9yZWlnbi1rZXlzPjxrZXkgYXBw
PSJFTiIgZGItaWQ9ImV4dmFzcmZ4MmR0cmFvZXNhc3hwMnN6c3hhMmRmNTAyNTkyeCIgdGltZXN0
YW1wPSIxNTQxNDYyMjg1Ij43MTE8L2tleT48L2ZvcmVpZ24ta2V5cz48cmVmLXR5cGUgbmFtZT0i
Sm91cm5hbCBBcnRpY2xlIj4xNzwvcmVmLXR5cGU+PGNvbnRyaWJ1dG9ycz48YXV0aG9ycz48YXV0
aG9yPkJhcmFrYXQsIFIuPC9hdXRob3I+PGF1dGhvcj5GcmFuY28sIEUuPC9hdXRob3I+PGF1dGhv
cj5QZXJhbGVzLCBNLjwvYXV0aG9yPjxhdXRob3I+TG9wZXosIEMuPC9hdXRob3I+PGF1dGhvcj5N
b3R0b2xhLCBNLiBGLjwvYXV0aG9yPjwvYXV0aG9ycz48L2NvbnRyaWJ1dG9ycz48YXV0aC1hZGRy
ZXNzPkFGSVBFIFJlc2VhcmNoIEdyb3VwLCBUZWNobmljYWwgVW5pdmVyc2l0eSBvZiBNYWRyaWQs
IFNwYWluLiBFbGVjdHJvbmljIGFkZHJlc3M6IGJhcmFrYXRydWJlbkBnbWFpbC5jb20uJiN4RDtB
RklQRSBSZXNlYXJjaCBHcm91cCwgVGVjaG5pY2FsIFVuaXZlcnNpdHkgb2YgTWFkcmlkLCBTcGFp
bi4mI3hEO0NhbWlsbyBKb3NlIENlbGEgVW5pdmVyc2l0eSwgTWFkcmlkLCBTcGFpbjsgUmVzZWFy
Y2ggSW5zdGl0dXRlIG9mIEhvc3BpdGFsIDEyIGRlIE9jdHVicmUgKCZhcG9zO2krMTImYXBvczsp
LCBNYWRyaWQsIFNwYWluLiYjeEQ7UiBTYW11ZWwgTWNMYXVnaGxpbiBGb3VuZGF0aW9uLUV4ZXJj
aXNlICZhbXA7IFByZWduYW5jeSBMYWJvcmF0b3J5LCBTY2hvb2wgb2YgS2luZXNpb2xvZ3ksIEZh
Y3VsdHkgb2YgSGVhbHRoIFNjaWVuY2VzLCBDYW5hZGE7IERlcHQgb2YgQW5hdG9teSAmYW1wOyBD
ZWxsIEJpb2xvZ3ksIFNjaHVsaWNoIFNjaG9vbCBvZiBNZWRpY2luZSAmYW1wOyBEZW50aXN0cnks
IENoaWxkcmVuJmFwb3M7cyBIZWFsdGggUmVzZWFyY2ggSW5zdGl0dXRlLCBVbml2ZXJzaXR5IG9m
IFdlc3Rlcm4gT250YXJpbywgTG9uZG9uLCBDYW5hZGEuPC9hdXRoLWFkZHJlc3M+PHRpdGxlcz48
dGl0bGU+RXhlcmNpc2UgZHVyaW5nIHByZWduYW5jeSBpcyBhc3NvY2lhdGVkIHdpdGggYSBzaG9y
dGVyIGR1cmF0aW9uIG9mIGxhYm9yLiBBIHJhbmRvbWl6ZWQgY2xpbmljYWwgdHJpYWw8L3RpdGxl
PjxzZWNvbmRhcnktdGl0bGU+RXVyIEogT2JzdGV0IEd5bmVjb2wgUmVwcm9kIEJpb2w8L3NlY29u
ZGFyeS10aXRsZT48L3RpdGxlcz48cGVyaW9kaWNhbD48ZnVsbC10aXRsZT5FdXIgSiBPYnN0ZXQg
R3luZWNvbCBSZXByb2QgQmlvbDwvZnVsbC10aXRsZT48L3BlcmlvZGljYWw+PHBhZ2VzPjMzLTQw
PC9wYWdlcz48dm9sdW1lPjIyNDwvdm9sdW1lPjxlZGl0aW9uPjIwMTgvMDMvMTM8L2VkaXRpb24+
PGtleXdvcmRzPjxrZXl3b3JkPkFkdWx0PC9rZXl3b3JkPjxrZXl3b3JkPipFeGVyY2lzZTwva2V5
d29yZD48a2V5d29yZD5GZW1hbGU8L2tleXdvcmQ+PGtleXdvcmQ+SHVtYW5zPC9rZXl3b3JkPjxr
ZXl3b3JkPipMYWJvciBTdGFnZSwgRmlyc3Q8L2tleXdvcmQ+PGtleXdvcmQ+UHJlZ25hbmN5PC9r
ZXl3b3JkPjxrZXl3b3JkPipEdXJhdGlvbjwva2V5d29yZD48a2V5d29yZD4qTGFib3I8L2tleXdv
cmQ+PGtleXdvcmQ+KlByZWduYW5jeTwva2V5d29yZD48L2tleXdvcmRzPjxkYXRlcz48eWVhcj4y
MDE4PC95ZWFyPjxwdWItZGF0ZXM+PGRhdGU+TWF5PC9kYXRlPjwvcHViLWRhdGVzPjwvZGF0ZXM+
PGlzYm4+MTg3Mi03NjU0IChFbGVjdHJvbmljKSYjeEQ7MDMwMS0yMTE1IChMaW5raW5nKTwvaXNi
bj48YWNjZXNzaW9uLW51bT4yOTUyOTQ3NTwvYWNjZXNzaW9uLW51bT48dXJscz48cmVsYXRlZC11
cmxzPjx1cmw+aHR0cHM6Ly93d3cubmNiaS5ubG0ubmloLmdvdi9wdWJtZWQvMjk1Mjk0NzU8L3Vy
bD48L3JlbGF0ZWQtdXJscz48L3VybHM+PGVsZWN0cm9uaWMtcmVzb3VyY2UtbnVtPjEwLjEwMTYv
ai5lam9ncmIuMjAxOC4wMy4wMDk8L2VsZWN0cm9uaWMtcmVzb3VyY2UtbnVtPjwvcmVjb3JkPjwv
Q2l0ZT48Q2l0ZT48QXV0aG9yPkNvcmRlcm88L0F1dGhvcj48WWVhcj4yMDE1PC9ZZWFyPjxSZWNO
dW0+MTAxNjwvUmVjTnVtPjxyZWNvcmQ+PHJlYy1udW1iZXI+MTAxNjwvcmVjLW51bWJlcj48Zm9y
ZWlnbi1rZXlzPjxrZXkgYXBwPSJFTiIgZGItaWQ9ImV4dmFzcmZ4MmR0cmFvZXNhc3hwMnN6c3hh
MmRmNTAyNTkyeCIgdGltZXN0YW1wPSIxNTQ4OTgzNDc2Ij4xMDE2PC9rZXk+PC9mb3JlaWduLWtl
eXM+PHJlZi10eXBlIG5hbWU9IkpvdXJuYWwgQXJ0aWNsZSI+MTc8L3JlZi10eXBlPjxjb250cmli
dXRvcnM+PGF1dGhvcnM+PGF1dGhvcj5Db3JkZXJvLCBZLiw8L2F1dGhvcj48YXV0aG9yPk1vdHRv
bGEsIE0uRi48L2F1dGhvcj48YXV0aG9yPlZhcmdhcywgSi4sPC9hdXRob3I+PGF1dGhvcj5CbGFu
Y28sIE0uLDwvYXV0aG9yPjxhdXRob3I+QmFyYWthdCwgUi4sPC9hdXRob3I+PC9hdXRob3JzPjwv
Y29udHJpYnV0b3JzPjx0aXRsZXM+PHRpdGxlPkV4ZXJjaXNlIElzIGFzc29jaWF0ZWQgd2l0aCBh
IHJlZHVjdGlvbiBpbiBnZXN0YXRpb25hbCBkaWFiZXRlcyBtZWxsaXR1czwvdGl0bGU+PHNlY29u
ZGFyeS10aXRsZT5NZWRpY2luZSAmYW1wOyBTY2llbmNlIGluIFNwb3J0cyAmYW1wOyBFeGVyY2lz
ZTwvc2Vjb25kYXJ5LXRpdGxlPjwvdGl0bGVzPjxwZXJpb2RpY2FsPjxmdWxsLXRpdGxlPk1lZGlj
aW5lICZhbXA7IFNjaWVuY2UgaW4gU3BvcnRzICZhbXA7IEV4ZXJjaXNlPC9mdWxsLXRpdGxlPjwv
cGVyaW9kaWNhbD48cGFnZXM+MTMyOC0xMzMzPC9wYWdlcz48dm9sdW1lPjQ3PC92b2x1bWU+PG51
bWJlcj43PC9udW1iZXI+PHNlY3Rpb24+MTMyODwvc2VjdGlvbj48ZGF0ZXM+PHllYXI+MjAxNTwv
eWVhcj48L2RhdGVzPjxpc2JuPjAxOTUtOTEzMTwvaXNibj48dXJscz48L3VybHM+PGVsZWN0cm9u
aWMtcmVzb3VyY2UtbnVtPjEwLjEyNDkvbXNzLjAwMDAwMDAwMDAwMDA1NDc8L2VsZWN0cm9uaWMt
cmVzb3VyY2UtbnVtPjwvcmVjb3JkPjwvQ2l0ZT48Q2l0ZT48QXV0aG9yPmRhIFNpbHZhPC9BdXRo
b3I+PFllYXI+MjAxNzwvWWVhcj48UmVjTnVtPjY4NDwvUmVjTnVtPjxyZWNvcmQ+PHJlYy1udW1i
ZXI+Njg0PC9yZWMtbnVtYmVyPjxmb3JlaWduLWtleXM+PGtleSBhcHA9IkVOIiBkYi1pZD0iZXh2
YXNyZngyZHRyYW9lc2FzeHAyc3pzeGEyZGY1MDI1OTJ4IiB0aW1lc3RhbXA9IjE1NDA1MjcxMzUi
PjY4NDwva2V5PjwvZm9yZWlnbi1rZXlzPjxyZWYtdHlwZSBuYW1lPSJKb3VybmFsIEFydGljbGUi
PjE3PC9yZWYtdHlwZT48Y29udHJpYnV0b3JzPjxhdXRob3JzPjxhdXRob3I+ZGEgU2lsdmEsIFMu
IEcuPC9hdXRob3I+PGF1dGhvcj5IYWxsYWwsIFAuIEMuPC9hdXRob3I+PGF1dGhvcj5Eb21pbmd1
ZXMsIE0uIFIuPC9hdXRob3I+PGF1dGhvcj5CZXJ0b2xkaSwgQS4gRC48L2F1dGhvcj48YXV0aG9y
PlNpbHZlaXJhLCBNLiBGLiBELjwvYXV0aG9yPjxhdXRob3I+QmFzc2FuaSwgRC48L2F1dGhvcj48
YXV0aG9yPmRhIFNpbHZhLCBJLiBDLiBNLjwvYXV0aG9yPjxhdXRob3I+ZGEgU2lsdmEsIEIuIEcu
IEMuPC9hdXRob3I+PGF1dGhvcj5Db2xsLCBDLiBWLiBOLjwvYXV0aG9yPjxhdXRob3I+RXZlbnNv
biwgSy48L2F1dGhvcj48L2F1dGhvcnM+PC9jb250cmlidXRvcnM+PGF1dGgtYWRkcmVzcz5Qb3N0
Z3JhZHVhdGUgUHJvZ3JhbSBpbiBFcGlkZW1pb2xvZ3ksIEZlZGVyYWwgVW5pdmVyc2l0eSBvZiBQ
ZWxvdGFzLCBSdWEgTWFyZWNoYWwgRGVvZG9ybywgMTE2MC0zIGRlZ3JlZXMgcGlzbywgQ0VQOiA5
NjAyMC0yMjAsIEJhaXJybyBDZW50cm8sIFBlbG90YXMsIFJpbyBHcmFuZGUgZG8gU3VsLCBCcmF6
aWwuIHNnaW5hckBnbWFpbC5jb20uJiN4RDtEZXBhcnRtZW50IG9mIEVwaWRlbWlvbG9neSwgR2ls
bGluZ3MgU2Nob29sIG9mIEdsb2JhbCBQdWJsaWMgSGVhbHRoLCBVbml2ZXJzaXR5IG9mIE5vcnRo
IENhcm9saW5hIC0gQ2hhcGVsIEhpbGwsIENoYXBlbCBIaWxsLCBOQywgVVNBLiBzZ2luYXJAZ21h
aWwuY29tLiYjeEQ7UG9zdGdyYWR1YXRlIFByb2dyYW0gaW4gRXBpZGVtaW9sb2d5LCBGZWRlcmFs
IFVuaXZlcnNpdHkgb2YgUGVsb3RhcywgUnVhIE1hcmVjaGFsIERlb2Rvcm8sIDExNjAtMyBkZWdy
ZWVzIHBpc28sIENFUDogOTYwMjAtMjIwLCBCYWlycm8gQ2VudHJvLCBQZWxvdGFzLCBSaW8gR3Jh
bmRlIGRvIFN1bCwgQnJhemlsLiYjeEQ7UG9zdGdyYWR1YXRlIFByb2dyYW0gaW4gUGh5c2ljYWwg
RWR1Y2F0aW9uLCBGZWRlcmFsIFVuaXZlcnNpdHkgb2YgUGVsb3RhcywgUGVsb3RhcywgQnJhemls
LiYjeEQ7RGVwYXJ0bWVudCBvZiBQYWVkaWF0cmljcywgRmFjdWx0eSBvZiBNZWRpY2luZSwgQ2Vu
dHJlIGZvciBHbG9iYWwgQ2hpbGQgSGVhbHRoLCBVbml2ZXJzaXR5IG9mIFRvcm9udG87IEtpbmcm
YXBvcztzIENvbGxlZ2UgQ2lyY2xlLCBUaGUgSG9zcGl0YWwgZm9yIFNpY2sgQ2hpbGRyZW4sIFRv
cm9udG8sIENhbmFkYS4mI3hEO0RlcGFydG1lbnQgb2YgRXBpZGVtaW9sb2d5LCBHaWxsaW5ncyBT
Y2hvb2wgb2YgR2xvYmFsIFB1YmxpYyBIZWFsdGgsIFVuaXZlcnNpdHkgb2YgTm9ydGggQ2Fyb2xp
bmEgLSBDaGFwZWwgSGlsbCwgQ2hhcGVsIEhpbGwsIE5DLCBVU0EuPC9hdXRoLWFkZHJlc3M+PHRp
dGxlcz48dGl0bGU+QSByYW5kb21pemVkIGNvbnRyb2xsZWQgdHJpYWwgb2YgZXhlcmNpc2UgZHVy
aW5nIHByZWduYW5jeSBvbiBtYXRlcm5hbCBhbmQgbmVvbmF0YWwgb3V0Y29tZXM6IHJlc3VsdHMg
ZnJvbSB0aGUgUEFNRUxBIHN0dWR5PC90aXRsZT48c2Vjb25kYXJ5LXRpdGxlPkludCBKIEJlaGF2
IE51dHIgUGh5cyBBY3Q8L3NlY29uZGFyeS10aXRsZT48L3RpdGxlcz48cGVyaW9kaWNhbD48ZnVs
bC10aXRsZT5JbnQgSiBCZWhhdiBOdXRyIFBoeXMgQWN0PC9mdWxsLXRpdGxlPjwvcGVyaW9kaWNh
bD48cGFnZXM+MTc1PC9wYWdlcz48dm9sdW1lPjE0PC92b2x1bWU+PG51bWJlcj4xPC9udW1iZXI+
PGVkaXRpb24+MjAxNy8xMi8yNDwvZWRpdGlvbj48a2V5d29yZHM+PGtleXdvcmQ+QWR1bHQ8L2tl
eXdvcmQ+PGtleXdvcmQ+QmlydGggV2VpZ2h0PC9rZXl3b3JkPjxrZXl3b3JkPkJvZHkgTWFzcyBJ
bmRleDwva2V5d29yZD48a2V5d29yZD5CcmF6aWw8L2tleXdvcmQ+PGtleXdvcmQ+Q29ob3J0IFN0
dWRpZXM8L2tleXdvcmQ+PGtleXdvcmQ+RGlhYmV0ZXMsIEdlc3RhdGlvbmFsL2VwaWRlbWlvbG9n
eS9wcmV2ZW50aW9uICZhbXA7IGNvbnRyb2w8L2tleXdvcmQ+PGtleXdvcmQ+KkV4ZXJjaXNlPC9r
ZXl3b3JkPjxrZXl3b3JkPkZlbWFsZTwva2V5d29yZD48a2V5d29yZD5HZXN0YXRpb25hbCBBZ2U8
L2tleXdvcmQ+PGtleXdvcmQ+SHVtYW5zPC9rZXl3b3JkPjxrZXl3b3JkPkluY2lkZW5jZTwva2V5
d29yZD48a2V5d29yZD5JbmZhbnQ8L2tleXdvcmQ+PGtleXdvcmQ+UGF0aWVudCBDb21wbGlhbmNl
PC9rZXl3b3JkPjxrZXl3b3JkPlByZS1FY2xhbXBzaWEvKmVwaWRlbWlvbG9neS9wcmV2ZW50aW9u
ICZhbXA7IGNvbnRyb2w8L2tleXdvcmQ+PGtleXdvcmQ+UHJlZ25hbmN5PC9rZXl3b3JkPjxrZXl3
b3JkPipQcmVnbmFuY3kgT3V0Y29tZTwva2V5d29yZD48a2V5d29yZD5QcmVtYXR1cmUgQmlydGgv
KmVwaWRlbWlvbG9neS9wcmV2ZW50aW9uICZhbXA7IGNvbnRyb2w8L2tleXdvcmQ+PGtleXdvcmQ+
UHJlbmF0YWwgQ2FyZTwva2V5d29yZD48a2V5d29yZD5TYW1wbGUgU2l6ZTwva2V5d29yZD48a2V5
d29yZD5XZWlnaHQgR2Fpbjwva2V5d29yZD48a2V5d29yZD5Zb3VuZyBBZHVsdDwva2V5d29yZD48
a2V5d29yZD4qSW50ZXJ2ZW50aW9uIHN0dWRpZXM8L2tleXdvcmQ+PGtleXdvcmQ+Kk1hdGVybmFs
LWNoaWxkIGhlYWx0aDwva2V5d29yZD48a2V5d29yZD4qUGh5c2ljYWwgYWN0aXZpdHk8L2tleXdv
cmQ+PGtleXdvcmQ+KlByZWduYW50IHdvbWFuPC9rZXl3b3JkPjxrZXl3b3JkPipSYW5kb21pemVk
IGNvbnRyb2xsZWQgdHJpYWw8L2tleXdvcmQ+PC9rZXl3b3Jkcz48ZGF0ZXM+PHllYXI+MjAxNzwv
eWVhcj48cHViLWRhdGVzPjxkYXRlPkRlYyAyMjwvZGF0ZT48L3B1Yi1kYXRlcz48L2RhdGVzPjxp
c2JuPjE0NzktNTg2OCAoRWxlY3Ryb25pYykmI3hEOzE0NzktNTg2OCAoTGlua2luZyk8L2lzYm4+
PGFjY2Vzc2lvbi1udW0+MjkyNzMwNDQ8L2FjY2Vzc2lvbi1udW0+PHVybHM+PHJlbGF0ZWQtdXJs
cz48dXJsPmh0dHBzOi8vd3d3Lm5jYmkubmxtLm5paC5nb3YvcHVibWVkLzI5MjczMDQ0PC91cmw+
PC9yZWxhdGVkLXVybHM+PC91cmxzPjxjdXN0b20yPlBNQzU3NDE5MjQ8L2N1c3RvbTI+PGVsZWN0
cm9uaWMtcmVzb3VyY2UtbnVtPjEwLjExODYvczEyOTY2LTAxNy0wNjMyLTY8L2VsZWN0cm9uaWMt
cmVzb3VyY2UtbnVtPjwvcmVjb3JkPjwvQ2l0ZT48Q2l0ZT48QXV0aG9yPmRlIE9saXZlcmlhIE1l
bG88L0F1dGhvcj48WWVhcj4yMDEyPC9ZZWFyPjxSZWNOdW0+Njg3PC9SZWNOdW0+PHJlY29yZD48
cmVjLW51bWJlcj42ODc8L3JlYy1udW1iZXI+PGZvcmVpZ24ta2V5cz48a2V5IGFwcD0iRU4iIGRi
LWlkPSJleHZhc3JmeDJkdHJhb2VzYXN4cDJzenN4YTJkZjUwMjU5MngiIHRpbWVzdGFtcD0iMTU0
MDUyNzMxOSI+Njg3PC9rZXk+PC9mb3JlaWduLWtleXM+PHJlZi10eXBlIG5hbWU9IkpvdXJuYWwg
QXJ0aWNsZSI+MTc8L3JlZi10eXBlPjxjb250cmlidXRvcnM+PGF1dGhvcnM+PGF1dGhvcj5kZSBP
bGl2ZXJpYSBNZWxvLCBBLiBTLjwvYXV0aG9yPjxhdXRob3I+U2lsdmEsIEouIEwuPC9hdXRob3I+
PGF1dGhvcj5UYXZhcmVzLCBKLiBTLjwvYXV0aG9yPjxhdXRob3I+QmFycm9zLCBWLiBPLjwvYXV0
aG9yPjxhdXRob3I+TGVpdGUsIEQuIEYuPC9hdXRob3I+PGF1dGhvcj5BbW9yaW0sIE0uIE0uPC9h
dXRob3I+PC9hdXRob3JzPjwvY29udHJpYnV0b3JzPjxhdXRoLWFkZHJlc3M+RGVwYXJ0bWVudCBv
ZiBPYnN0ZXRyaWNzLCBTY2hvb2wgTWVkaWNhbCBTY2llbmNlcywgVW5pdmVyc2l0eSBvZiBDYW1w
aW5hcywgQ2FtcGluYXMsIEJyYXppbC4gYXNvbWVsb0BnbWFpbC5jb208L2F1dGgtYWRkcmVzcz48
dGl0bGVzPjx0aXRsZT5FZmZlY3Qgb2YgYSBwaHlzaWNhbCBleGVyY2lzZSBwcm9ncmFtIGR1cmlu
ZyBwcmVnbmFuY3kgb24gdXRlcm9wbGFjZW50YWwgYW5kIGZldGFsIGJsb29kIGZsb3cgYW5kIGZl
dGFsIGdyb3d0aDogYSByYW5kb21pemVkIGNvbnRyb2xsZWQgdHJpYWw8L3RpdGxlPjxzZWNvbmRh
cnktdGl0bGU+T2JzdGV0IEd5bmVjb2w8L3NlY29uZGFyeS10aXRsZT48L3RpdGxlcz48cGVyaW9k
aWNhbD48ZnVsbC10aXRsZT5PYnN0ZXQgR3luZWNvbDwvZnVsbC10aXRsZT48L3BlcmlvZGljYWw+
PHBhZ2VzPjMwMi0xMDwvcGFnZXM+PHZvbHVtZT4xMjA8L3ZvbHVtZT48bnVtYmVyPjIgUHQgMTwv
bnVtYmVyPjxlZGl0aW9uPjIwMTIvMDcvMjU8L2VkaXRpb24+PGtleXdvcmRzPjxrZXl3b3JkPkFk
dWx0PC9rZXl3b3JkPjxrZXl3b3JkPipCaXJ0aCBXZWlnaHQ8L2tleXdvcmQ+PGtleXdvcmQ+Qmxv
b2QgUHJlc3N1cmU8L2tleXdvcmQ+PGtleXdvcmQ+RXhlcmNpc2UvKnBoeXNpb2xvZ3k8L2tleXdv
cmQ+PGtleXdvcmQ+RmVtYWxlPC9rZXl3b3JkPjxrZXl3b3JkPipGZXRhbCBEZXZlbG9wbWVudDwv
a2V5d29yZD48a2V5d29yZD5GZXR1cy9ibG9vZCBzdXBwbHk8L2tleXdvcmQ+PGtleXdvcmQ+SHVt
YW5zPC9rZXl3b3JkPjxrZXl3b3JkPkluZmFudCwgTmV3Ym9ybjwva2V5d29yZD48a2V5d29yZD5Q
aHlzaWNhbCBGaXRuZXNzPC9rZXl3b3JkPjxrZXl3b3JkPipQbGFjZW50YWwgQ2lyY3VsYXRpb248
L2tleXdvcmQ+PGtleXdvcmQ+UHJlZ25hbmN5LypwaHlzaW9sb2d5PC9rZXl3b3JkPjxrZXl3b3Jk
PllvdW5nIEFkdWx0PC9rZXl3b3JkPjwva2V5d29yZHM+PGRhdGVzPjx5ZWFyPjIwMTI8L3llYXI+
PHB1Yi1kYXRlcz48ZGF0ZT5BdWc8L2RhdGU+PC9wdWItZGF0ZXM+PC9kYXRlcz48aXNibj4xODcz
LTIzM1ggKEVsZWN0cm9uaWMpJiN4RDswMDI5LTc4NDQgKExpbmtpbmcpPC9pc2JuPjxhY2Nlc3Np
b24tbnVtPjIyODI1MDg5PC9hY2Nlc3Npb24tbnVtPjx1cmxzPjxyZWxhdGVkLXVybHM+PHVybD5o
dHRwczovL3d3dy5uY2JpLm5sbS5uaWguZ292L3B1Ym1lZC8yMjgyNTA4OTwvdXJsPjwvcmVsYXRl
ZC11cmxzPjwvdXJscz48ZWxlY3Ryb25pYy1yZXNvdXJjZS1udW0+MTAuMTA5Ny9BT0cuMGIwMTNl
MzE4MjVkZTU5MjwvZWxlY3Ryb25pYy1yZXNvdXJjZS1udW0+PC9yZWNvcmQ+PC9DaXRlPjxDaXRl
PjxBdXRob3I+R2Fyc2hhc2JpPC9BdXRob3I+PFllYXI+MjAwNTwvWWVhcj48UmVjTnVtPjY4OTwv
UmVjTnVtPjxyZWNvcmQ+PHJlYy1udW1iZXI+Njg5PC9yZWMtbnVtYmVyPjxmb3JlaWduLWtleXM+
PGtleSBhcHA9IkVOIiBkYi1pZD0iZXh2YXNyZngyZHRyYW9lc2FzeHAyc3pzeGEyZGY1MDI1OTJ4
IiB0aW1lc3RhbXA9IjE1NDA1Mjc0MjAiPjY4OTwva2V5PjwvZm9yZWlnbi1rZXlzPjxyZWYtdHlw
ZSBuYW1lPSJKb3VybmFsIEFydGljbGUiPjE3PC9yZWYtdHlwZT48Y29udHJpYnV0b3JzPjxhdXRo
b3JzPjxhdXRob3I+R2Fyc2hhc2JpLCBBLjwvYXV0aG9yPjxhdXRob3I+RmFnaGloIFphZGVoLCBT
LjwvYXV0aG9yPjwvYXV0aG9ycz48L2NvbnRyaWJ1dG9ycz48YXV0aC1hZGRyZXNzPkRlcGFydG1l
bnQgb2YgT2JzdGV0cmljcyBhbmQgR3luZWNvbG9neSwgU2hhaGVkIFVuaXZlcnNpdHksIEZhY3Vs
dHkgb2YgTWVkaWNpbmUsIDE0ODE5NzM0MTEgVGVocmFuLCBJcmFuLiBhZ2Fyc2hhc2JpQG9iZ3lu
Lm5ldDwvYXV0aC1hZGRyZXNzPjx0aXRsZXM+PHRpdGxlPlRoZSBlZmZlY3Qgb2YgZXhlcmNpc2Ug
b24gdGhlIGludGVuc2l0eSBvZiBsb3cgYmFjayBwYWluIGluIHByZWduYW50IHdvbWVuPC90aXRs
ZT48c2Vjb25kYXJ5LXRpdGxlPkludCBKIEd5bmFlY29sIE9ic3RldDwvc2Vjb25kYXJ5LXRpdGxl
PjwvdGl0bGVzPjxwZXJpb2RpY2FsPjxmdWxsLXRpdGxlPkludCBKIEd5bmFlY29sIE9ic3RldDwv
ZnVsbC10aXRsZT48L3BlcmlvZGljYWw+PHBhZ2VzPjI3MS01PC9wYWdlcz48dm9sdW1lPjg4PC92
b2x1bWU+PG51bWJlcj4zPC9udW1iZXI+PGVkaXRpb24+MjAwNS8wMy8wMTwvZWRpdGlvbj48a2V5
d29yZHM+PGtleXdvcmQ+QmlvbWVjaGFuaWNhbCBQaGVub21lbmE8L2tleXdvcmQ+PGtleXdvcmQ+
KkV4ZXJjaXNlIFRoZXJhcHk8L2tleXdvcmQ+PGtleXdvcmQ+RmVtYWxlPC9rZXl3b3JkPjxrZXl3
b3JkPkh1bWFuczwva2V5d29yZD48a2V5d29yZD5Mb3cgQmFjayBQYWluL3BoeXNpb3BhdGhvbG9n
eS8qcHJldmVudGlvbiAmYW1wOyBjb250cm9sPC9rZXl3b3JkPjxrZXl3b3JkPlByZWduYW5jeTwv
a2V5d29yZD48a2V5d29yZD5QcmVnbmFuY3kgQ29tcGxpY2F0aW9ucy8qcHJldmVudGlvbiAmYW1w
OyBjb250cm9sPC9rZXl3b3JkPjxrZXl3b3JkPlByZWduYW5jeSBUcmltZXN0ZXIsIFNlY29uZDwv
a2V5d29yZD48a2V5d29yZD5QcmVnbmFuY3kgVHJpbWVzdGVyLCBUaGlyZDwva2V5d29yZD48a2V5
d29yZD5Qcm9zcGVjdGl2ZSBTdHVkaWVzPC9rZXl3b3JkPjxrZXl3b3JkPlNwaW5lL3BoeXNpb3Bh
dGhvbG9neTwva2V5d29yZD48L2tleXdvcmRzPjxkYXRlcz48eWVhcj4yMDA1PC95ZWFyPjxwdWIt
ZGF0ZXM+PGRhdGU+TWFyPC9kYXRlPjwvcHViLWRhdGVzPjwvZGF0ZXM+PGlzYm4+MDAyMC03Mjky
IChQcmludCkmI3hEOzAwMjAtNzI5MiAoTGlua2luZyk8L2lzYm4+PGFjY2Vzc2lvbi1udW0+MTU3
MzM4ODA8L2FjY2Vzc2lvbi1udW0+PHVybHM+PHJlbGF0ZWQtdXJscz48dXJsPmh0dHBzOi8vd3d3
Lm5jYmkubmxtLm5paC5nb3YvcHVibWVkLzE1NzMzODgwPC91cmw+PC9yZWxhdGVkLXVybHM+PC91
cmxzPjxlbGVjdHJvbmljLXJlc291cmNlLW51bT4xMC4xMDE2L2ouaWpnby4yMDA0LjEyLjAwMTwv
ZWxlY3Ryb25pYy1yZXNvdXJjZS1udW0+PC9yZWNvcmQ+PC9DaXRlPjxDaXRlPjxBdXRob3I+R3Vl
bGZpPC9BdXRob3I+PFllYXI+MjAxNjwvWWVhcj48UmVjTnVtPjcyMzwvUmVjTnVtPjxyZWNvcmQ+
PHJlYy1udW1iZXI+NzIzPC9yZWMtbnVtYmVyPjxmb3JlaWduLWtleXM+PGtleSBhcHA9IkVOIiBk
Yi1pZD0iZXh2YXNyZngyZHRyYW9lc2FzeHAyc3pzeGEyZGY1MDI1OTJ4IiB0aW1lc3RhbXA9IjE1
NDE0NjQ4ODAiPjcyMzwva2V5PjwvZm9yZWlnbi1rZXlzPjxyZWYtdHlwZSBuYW1lPSJKb3VybmFs
IEFydGljbGUiPjE3PC9yZWYtdHlwZT48Y29udHJpYnV0b3JzPjxhdXRob3JzPjxhdXRob3I+R3Vl
bGZpLCBLLiBKLjwvYXV0aG9yPjxhdXRob3I+T25nLCBNLiBKLjwvYXV0aG9yPjxhdXRob3I+Q3Jp
c3AsIE4uIEEuPC9hdXRob3I+PGF1dGhvcj5Gb3VybmllciwgUC4gQS48L2F1dGhvcj48YXV0aG9y
PldhbGxtYW4sIEsuIEUuPC9hdXRob3I+PGF1dGhvcj5Hcm92ZSwgSi4gUi48L2F1dGhvcj48YXV0
aG9yPkRvaGVydHksIEQuIEEuPC9hdXRob3I+PGF1dGhvcj5OZXduaGFtLCBKLiBQLjwvYXV0aG9y
PjwvYXV0aG9ycz48L2NvbnRyaWJ1dG9ycz48YXV0aC1hZGRyZXNzPlNjaG9vbCBvZiBTcG9ydCBT
Y2llbmNlLCBFeGVyY2lzZSBhbmQgSGVhbHRoIGFuZCB0aGUgU2Nob29sIG9mIFdvbWVuJmFwb3M7
cyBhbmQgSW5mYW50cyZhcG9zOyBIZWFsdGgsIHRoZSBVbml2ZXJzaXR5IG9mIFdlc3Rlcm4gQXVz
dHJhbGlhLCBQZXJ0aCwgV2VzdGVybiBBdXN0cmFsaWEsIEF1c3RyYWxpYS48L2F1dGgtYWRkcmVz
cz48dGl0bGVzPjx0aXRsZT5SZWd1bGFyIEV4ZXJjaXNlIHRvIFByZXZlbnQgdGhlIFJlY3VycmVu
Y2Ugb2YgR2VzdGF0aW9uYWwgRGlhYmV0ZXMgTWVsbGl0dXM6IEEgUmFuZG9taXplZCBDb250cm9s
bGVkIFRyaWFsPC90aXRsZT48c2Vjb25kYXJ5LXRpdGxlPk9ic3RldCBHeW5lY29sPC9zZWNvbmRh
cnktdGl0bGU+PC90aXRsZXM+PHBlcmlvZGljYWw+PGZ1bGwtdGl0bGU+T2JzdGV0IEd5bmVjb2w8
L2Z1bGwtdGl0bGU+PC9wZXJpb2RpY2FsPjxwYWdlcz44MTktMjc8L3BhZ2VzPjx2b2x1bWU+MTI4
PC92b2x1bWU+PG51bWJlcj40PC9udW1iZXI+PGVkaXRpb24+MjAxNi8wOS8wOTwvZWRpdGlvbj48
a2V5d29yZHM+PGtleXdvcmQ+QWR1bHQ8L2tleXdvcmQ+PGtleXdvcmQ+RGlhYmV0ZXMsIEdlc3Rh
dGlvbmFsL2Jsb29kLypwcmV2ZW50aW9uICZhbXA7IGNvbnRyb2w8L2tleXdvcmQ+PGtleXdvcmQ+
KkV4ZXJjaXNlIFRoZXJhcHk8L2tleXdvcmQ+PGtleXdvcmQ+RmVtYWxlPC9rZXl3b3JkPjxrZXl3
b3JkPkdsdWNvc2UgVG9sZXJhbmNlIFRlc3Q8L2tleXdvcmQ+PGtleXdvcmQ+SHVtYW5zPC9rZXl3
b3JkPjxrZXl3b3JkPlByZWduYW5jeTwva2V5d29yZD48a2V5d29yZD5QcmVnbmFuY3kgT3V0Y29t
ZTwva2V5d29yZD48a2V5d29yZD4qUHJlbmF0YWwgQ2FyZTwva2V5d29yZD48a2V5d29yZD5SZWN1
cnJlbmNlPC9rZXl3b3JkPjxrZXl3b3JkPlRyZWF0bWVudCBPdXRjb21lPC9rZXl3b3JkPjwva2V5
d29yZHM+PGRhdGVzPjx5ZWFyPjIwMTY8L3llYXI+PHB1Yi1kYXRlcz48ZGF0ZT5PY3Q8L2RhdGU+
PC9wdWItZGF0ZXM+PC9kYXRlcz48aXNibj4xODczLTIzM1ggKEVsZWN0cm9uaWMpJiN4RDswMDI5
LTc4NDQgKExpbmtpbmcpPC9pc2JuPjxhY2Nlc3Npb24tbnVtPjI3NjA3ODc2PC9hY2Nlc3Npb24t
bnVtPjx1cmxzPjxyZWxhdGVkLXVybHM+PHVybD5odHRwczovL3d3dy5uY2JpLm5sbS5uaWguZ292
L3B1Ym1lZC8yNzYwNzg3NjwvdXJsPjwvcmVsYXRlZC11cmxzPjwvdXJscz48ZWxlY3Ryb25pYy1y
ZXNvdXJjZS1udW0+MTAuMTA5Ny9BT0cuMDAwMDAwMDAwMDAwMTYzMjwvZWxlY3Ryb25pYy1yZXNv
dXJjZS1udW0+PC9yZWNvcmQ+PC9DaXRlPjxDaXRlPjxBdXRob3I+SGFha3N0YWQ8L0F1dGhvcj48
WWVhcj4yMDExPC9ZZWFyPjxSZWNOdW0+NjkyPC9SZWNOdW0+PHJlY29yZD48cmVjLW51bWJlcj42
OTI8L3JlYy1udW1iZXI+PGZvcmVpZ24ta2V5cz48a2V5IGFwcD0iRU4iIGRiLWlkPSJleHZhc3Jm
eDJkdHJhb2VzYXN4cDJzenN4YTJkZjUwMjU5MngiIHRpbWVzdGFtcD0iMTU0MDUyNzUyMSI+Njky
PC9rZXk+PC9mb3JlaWduLWtleXM+PHJlZi10eXBlIG5hbWU9IkpvdXJuYWwgQXJ0aWNsZSI+MTc8
L3JlZi10eXBlPjxjb250cmlidXRvcnM+PGF1dGhvcnM+PGF1dGhvcj5IYWFrc3RhZCwgTC4gQS48
L2F1dGhvcj48YXV0aG9yPkJvLCBLLjwvYXV0aG9yPjwvYXV0aG9ycz48L2NvbnRyaWJ1dG9ycz48
YXV0aC1hZGRyZXNzPk5vcndlZ2lhbiBTY2hvb2wgb2YgU3BvcnQgU2NpZW5jZXMsIERlcGFydG1l
bnQgb2YgU3BvcnRzIE1lZGljaW5lLCBVbGxldmFsIFN0YWRpb24sIE9zbG8sIE5vcndheS4gbGVu
ZS5oYWFrc3RhZEBuaWgubm88L2F1dGgtYWRkcmVzcz48dGl0bGVzPjx0aXRsZT5FZmZlY3Qgb2Yg
cmVndWxhciBleGVyY2lzZSBvbiBwcmV2ZW50aW9uIG9mIGV4Y2Vzc2l2ZSB3ZWlnaHQgZ2FpbiBp
biBwcmVnbmFuY3k6IGEgcmFuZG9taXNlZCBjb250cm9sbGVkIHRyaWFsPC90aXRsZT48c2Vjb25k
YXJ5LXRpdGxlPkV1ciBKIENvbnRyYWNlcHQgUmVwcm9kIEhlYWx0aCBDYXJlPC9zZWNvbmRhcnkt
dGl0bGU+PC90aXRsZXM+PHBlcmlvZGljYWw+PGZ1bGwtdGl0bGU+RXVyIEogQ29udHJhY2VwdCBS
ZXByb2QgSGVhbHRoIENhcmU8L2Z1bGwtdGl0bGU+PC9wZXJpb2RpY2FsPjxwYWdlcz4xMTYtMjU8
L3BhZ2VzPjx2b2x1bWU+MTY8L3ZvbHVtZT48bnVtYmVyPjI8L251bWJlcj48ZWRpdGlvbj4yMDEx
LzAzLzIzPC9lZGl0aW9uPjxrZXl3b3Jkcz48a2V5d29yZD5BZHVsdDwva2V5d29yZD48a2V5d29y
ZD4qRXhlcmNpc2U8L2tleXdvcmQ+PGtleXdvcmQ+RmVtYWxlPC9rZXl3b3JkPjxrZXl3b3JkPipI
ZWFsdGggQmVoYXZpb3I8L2tleXdvcmQ+PGtleXdvcmQ+SGVhbHRoIFByb21vdGlvbi8qbWV0aG9k
czwva2V5d29yZD48a2V5d29yZD5IdW1hbnM8L2tleXdvcmQ+PGtleXdvcmQ+UG9zdHBhcnR1bSBQ
ZXJpb2Q8L2tleXdvcmQ+PGtleXdvcmQ+UHJlZ25hbmN5LypwaHlzaW9sb2d5PC9rZXl3b3JkPjxr
ZXl3b3JkPlByZW5hdGFsIENhcmUvKm1ldGhvZHM8L2tleXdvcmQ+PGtleXdvcmQ+V2VpZ2h0IEdh
aW4vKnBoeXNpb2xvZ3k8L2tleXdvcmQ+PGtleXdvcmQ+WW91bmcgQWR1bHQ8L2tleXdvcmQ+PC9r
ZXl3b3Jkcz48ZGF0ZXM+PHllYXI+MjAxMTwveWVhcj48cHViLWRhdGVzPjxkYXRlPkFwcjwvZGF0
ZT48L3B1Yi1kYXRlcz48L2RhdGVzPjxpc2JuPjE0NzMtMDc4MiAoRWxlY3Ryb25pYykmI3hEOzEz
NjItNTE4NyAoTGlua2luZyk8L2lzYm4+PGFjY2Vzc2lvbi1udW0+MjE0MTc1NjE8L2FjY2Vzc2lv
bi1udW0+PHVybHM+PHJlbGF0ZWQtdXJscz48dXJsPmh0dHBzOi8vd3d3Lm5jYmkubmxtLm5paC5n
b3YvcHVibWVkLzIxNDE3NTYxPC91cmw+PC9yZWxhdGVkLXVybHM+PC91cmxzPjxlbGVjdHJvbmlj
LXJlc291cmNlLW51bT4xMC4zMTA5LzEzNjI1MTg3LjIwMTEuNTYwMzA3PC9lbGVjdHJvbmljLXJl
c291cmNlLW51bT48L3JlY29yZD48L0NpdGU+PENpdGU+PEF1dGhvcj5Ib3BraW5zPC9BdXRob3I+
PFllYXI+MjAxMDwvWWVhcj48UmVjTnVtPjY5MzwvUmVjTnVtPjxyZWNvcmQ+PHJlYy1udW1iZXI+
NjkzPC9yZWMtbnVtYmVyPjxmb3JlaWduLWtleXM+PGtleSBhcHA9IkVOIiBkYi1pZD0iZXh2YXNy
ZngyZHRyYW9lc2FzeHAyc3pzeGEyZGY1MDI1OTJ4IiB0aW1lc3RhbXA9IjE1NDA1MzAwNjciPjY5
Mzwva2V5PjwvZm9yZWlnbi1rZXlzPjxyZWYtdHlwZSBuYW1lPSJKb3VybmFsIEFydGljbGUiPjE3
PC9yZWYtdHlwZT48Y29udHJpYnV0b3JzPjxhdXRob3JzPjxhdXRob3I+SG9wa2lucywgUy4gQS48
L2F1dGhvcj48YXV0aG9yPkJhbGRpLCBKLiBDLjwvYXV0aG9yPjxhdXRob3I+Q3V0ZmllbGQsIFcu
IFMuPC9hdXRob3I+PGF1dGhvcj5NY0Nvd2FuLCBMLjwvYXV0aG9yPjxhdXRob3I+SG9mbWFuLCBQ
LiBMLjwvYXV0aG9yPjwvYXV0aG9ycz48L2NvbnRyaWJ1dG9ycz48YXV0aC1hZGRyZXNzPkxpZ2dp
bnMgSW5zdGl0dXRlLCBUaGUgVW5pdmVyc2l0eSBvZiBBdWNrbGFuZCwgUE8gQm94IDkyMDE5LCBB
dWNrbGFuZCAxMTQyLCBOZXcgWmVhbGFuZC48L2F1dGgtYWRkcmVzcz48dGl0bGVzPjx0aXRsZT5F
eGVyY2lzZSB0cmFpbmluZyBpbiBwcmVnbmFuY3kgcmVkdWNlcyBvZmZzcHJpbmcgc2l6ZSB3aXRo
b3V0IGNoYW5nZXMgaW4gbWF0ZXJuYWwgaW5zdWxpbiBzZW5zaXRpdml0eTwvdGl0bGU+PHNlY29u
ZGFyeS10aXRsZT5KIENsaW4gRW5kb2NyaW5vbCBNZXRhYjwvc2Vjb25kYXJ5LXRpdGxlPjwvdGl0
bGVzPjxwZXJpb2RpY2FsPjxmdWxsLXRpdGxlPkogQ2xpbiBFbmRvY3Jpbm9sIE1ldGFiPC9mdWxs
LXRpdGxlPjwvcGVyaW9kaWNhbD48cGFnZXM+MjA4MC04PC9wYWdlcz48dm9sdW1lPjk1PC92b2x1
bWU+PG51bWJlcj41PC9udW1iZXI+PGVkaXRpb24+MjAxMC8wMy8yNjwvZWRpdGlvbj48a2V5d29y
ZHM+PGtleXdvcmQ+QWR1bHQ8L2tleXdvcmQ+PGtleXdvcmQ+QWVyb2Jpb3Npczwva2V5d29yZD48
a2V5d29yZD5CaWN5Y2xpbmc8L2tleXdvcmQ+PGtleXdvcmQ+KkJpcnRoIFdlaWdodDwva2V5d29y
ZD48a2V5d29yZD5CbG9vZCBHbHVjb3NlL21ldGFib2xpc208L2tleXdvcmQ+PGtleXdvcmQ+Qm9k
eSBNYXNzIEluZGV4PC9rZXl3b3JkPjxrZXl3b3JkPkV4ZXJjaXNlLypwaHlzaW9sb2d5PC9rZXl3
b3JkPjxrZXl3b3JkPkZlbWFsZTwva2V5d29yZD48a2V5d29yZD5GZXRhbCBCbG9vZC9jaGVtaXN0
cnk8L2tleXdvcmQ+PGtleXdvcmQ+RmV0YWwgRGV2ZWxvcG1lbnQvKnBoeXNpb2xvZ3k8L2tleXdv
cmQ+PGtleXdvcmQ+SHVtYW5zPC9rZXl3b3JkPjxrZXl3b3JkPkluZmFudCwgTmV3Ym9ybjwva2V5
d29yZD48a2V5d29yZD5JbnN1bGluLypibG9vZDwva2V5d29yZD48a2V5d29yZD5JbnN1bGluLUxp
a2UgR3Jvd3RoIEZhY3RvciBJL21ldGFib2xpc208L2tleXdvcmQ+PGtleXdvcmQ+SW5zdWxpbi1M
aWtlIEdyb3d0aCBGYWN0b3IgSUkvbWV0YWJvbGlzbTwva2V5d29yZD48a2V5d29yZD5NYWxlPC9r
ZXl3b3JkPjxrZXl3b3JkPlByZWduYW5jeTwva2V5d29yZD48a2V5d29yZD5QcmVnbmFuY3kgVHJp
bWVzdGVyLCBTZWNvbmQ8L2tleXdvcmQ+PGtleXdvcmQ+UHJlZ25hbmN5IFRyaW1lc3RlciwgVGhp
cmQ8L2tleXdvcmQ+PGtleXdvcmQ+VXRlcnVzL3BoeXNpb2xvZ3k8L2tleXdvcmQ+PC9rZXl3b3Jk
cz48ZGF0ZXM+PHllYXI+MjAxMDwveWVhcj48cHViLWRhdGVzPjxkYXRlPk1heTwvZGF0ZT48L3B1
Yi1kYXRlcz48L2RhdGVzPjxpc2JuPjE5NDUtNzE5NyAoRWxlY3Ryb25pYykmI3hEOzAwMjEtOTcy
WCAoTGlua2luZyk8L2lzYm4+PGFjY2Vzc2lvbi1udW0+MjAzMzU0NDk8L2FjY2Vzc2lvbi1udW0+
PHVybHM+PHJlbGF0ZWQtdXJscz48dXJsPmh0dHBzOi8vd3d3Lm5jYmkubmxtLm5paC5nb3YvcHVi
bWVkLzIwMzM1NDQ5PC91cmw+PC9yZWxhdGVkLXVybHM+PC91cmxzPjxlbGVjdHJvbmljLXJlc291
cmNlLW51bT4xMC4xMjEwL2pjLjIwMDktMjI1NTwvZWxlY3Ryb25pYy1yZXNvdXJjZS1udW0+PC9y
ZWNvcmQ+PC9DaXRlPjxDaXRlPjxBdXRob3I+TXVydGV6YW5pPC9BdXRob3I+PFllYXI+MjAxNDwv
WWVhcj48UmVjTnVtPjY5OTwvUmVjTnVtPjxyZWNvcmQ+PHJlYy1udW1iZXI+Njk5PC9yZWMtbnVt
YmVyPjxmb3JlaWduLWtleXM+PGtleSBhcHA9IkVOIiBkYi1pZD0iZXh2YXNyZngyZHRyYW9lc2Fz
eHAyc3pzeGEyZGY1MDI1OTJ4IiB0aW1lc3RhbXA9IjE1NDA1MzAzNjEiPjY5OTwva2V5PjwvZm9y
ZWlnbi1rZXlzPjxyZWYtdHlwZSBuYW1lPSJKb3VybmFsIEFydGljbGUiPjE3PC9yZWYtdHlwZT48
Y29udHJpYnV0b3JzPjxhdXRob3JzPjxhdXRob3I+TXVydGV6YW5pLCBBLjwvYXV0aG9yPjxhdXRo
b3I+UGFjYXJhZGEsIE0uPC9hdXRob3I+PGF1dGhvcj5JYnJhaW1pLCBaLjwvYXV0aG9yPjxhdXRo
b3I+TmV2emF0aSwgQS48L2F1dGhvcj48YXV0aG9yPkFiYXppLCBOLjwvYXV0aG9yPjwvYXV0aG9y
cz48L2NvbnRyaWJ1dG9ycz48YXV0aC1hZGRyZXNzPlBoeXNpY2FsIE1lZGljaW5lIGFuZCBSZWhh
YmlsaXRhdGlvbiBDbGluaWMgVW5pdmVyc2l0eSBDbGluaWNhbCBDZW50ZXIgb2YgS29zb3ZvIFBy
aXNodGluYSwgUmVwdWJsaWMgb2YgS29zb3ZvIC0gYXJkaWFuYWFAeWFob28uY29tLjwvYXV0aC1h
ZGRyZXNzPjx0aXRsZXM+PHRpdGxlPlRoZSBpbXBhY3Qgb2YgZXhlcmNpc2UgZHVyaW5nIHByZWdu
YW5jeSBvbiBuZW9uYXRhbCBvdXRjb21lczogYSByYW5kb21pemVkIGNvbnRyb2xsZWQgdG==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002747EA">
        <w:rPr>
          <w:noProof/>
          <w:sz w:val="16"/>
          <w:szCs w:val="16"/>
        </w:rPr>
        <w:fldChar w:fldCharType="begin">
          <w:fldData xml:space="preserve">cmlhbDwvdGl0bGU+PHNlY29uZGFyeS10aXRsZT5KIFNwb3J0cyBNZWQgUGh5cyBGaXRuZXNzPC9z
ZWNvbmRhcnktdGl0bGU+PC90aXRsZXM+PHBlcmlvZGljYWw+PGZ1bGwtdGl0bGU+SiBTcG9ydHMg
TWVkIFBoeXMgRml0bmVzczwvZnVsbC10aXRsZT48L3BlcmlvZGljYWw+PHBhZ2VzPjgwMi04PC9w
YWdlcz48dm9sdW1lPjU0PC92b2x1bWU+PG51bWJlcj42PC9udW1iZXI+PGVkaXRpb24+MjAxNC8x
MC8yOTwvZWRpdGlvbj48a2V5d29yZHM+PGtleXdvcmQ+QWR1bHQ8L2tleXdvcmQ+PGtleXdvcmQ+
QXBnYXIgU2NvcmU8L2tleXdvcmQ+PGtleXdvcmQ+QmlydGggV2VpZ2h0PC9rZXl3b3JkPjxrZXl3
b3JkPkV4ZXJjaXNlLypwaHlzaW9sb2d5PC9rZXl3b3JkPjxrZXl3b3JkPkZlbWFsZTwva2V5d29y
ZD48a2V5d29yZD5HZXN0YXRpb25hbCBBZ2U8L2tleXdvcmQ+PGtleXdvcmQ+SHVtYW5zPC9rZXl3
b3JkPjxrZXl3b3JkPkluZmFudCwgTmV3Ym9ybi8qZ3Jvd3RoICZhbXA7IGRldmVsb3BtZW50PC9r
ZXl3b3JkPjxrZXl3b3JkPk1hbGU8L2tleXdvcmQ+PGtleXdvcmQ+UHJlZ25hbmN5LypwaHlzaW9s
b2d5PC9rZXl3b3JkPjxrZXl3b3JkPlJlc2lzdGFuY2UgVHJhaW5pbmc8L2tleXdvcmQ+PGtleXdv
cmQ+WW91bmcgQWR1bHQ8L2tleXdvcmQ+PC9rZXl3b3Jkcz48ZGF0ZXM+PHllYXI+MjAxNDwveWVh
cj48cHViLWRhdGVzPjxkYXRlPkRlYzwvZGF0ZT48L3B1Yi1kYXRlcz48L2RhdGVzPjxpc2JuPjAw
MjItNDcwNyAoUHJpbnQpJiN4RDswMDIyLTQ3MDcgKExpbmtpbmcpPC9pc2JuPjxhY2Nlc3Npb24t
bnVtPjI1MzUwMDM3PC9hY2Nlc3Npb24tbnVtPjx1cmxzPjxyZWxhdGVkLXVybHM+PHVybD5odHRw
czovL3d3dy5uY2JpLm5sbS5uaWguZ292L3B1Ym1lZC8yNTM1MDAzNzwvdXJsPjwvcmVsYXRlZC11
cmxzPjwvdXJscz48L3JlY29yZD48L0NpdGU+PENpdGU+PEF1dGhvcj5QZXJhbGVzPC9BdXRob3I+
PFllYXI+MjAxNTwvWWVhcj48UmVjTnVtPjcwNDwvUmVjTnVtPjxyZWNvcmQ+PHJlYy1udW1iZXI+
NzA0PC9yZWMtbnVtYmVyPjxmb3JlaWduLWtleXM+PGtleSBhcHA9IkVOIiBkYi1pZD0iZXh2YXNy
ZngyZHRyYW9lc2FzeHAyc3pzeGEyZGY1MDI1OTJ4IiB0aW1lc3RhbXA9IjE1NDA1MzA1NjQiPjcw
NDwva2V5PjwvZm9yZWlnbi1rZXlzPjxyZWYtdHlwZSBuYW1lPSJKb3VybmFsIEFydGljbGUiPjE3
PC9yZWYtdHlwZT48Y29udHJpYnV0b3JzPjxhdXRob3JzPjxhdXRob3I+UGVyYWxlcywgTS48L2F1
dGhvcj48YXV0aG9yPlJlZm95bywgSS48L2F1dGhvcj48YXV0aG9yPkNvdGVyb24sIEouPC9hdXRo
b3I+PGF1dGhvcj5CYWNjaGksIE0uPC9hdXRob3I+PGF1dGhvcj5CYXJha2F0LCBSLjwvYXV0aG9y
PjwvYXV0aG9ycz48L2NvbnRyaWJ1dG9ycz48YXV0aC1hZGRyZXNzPkRlcGFydG1lbnQgb2YgU29j
aWFsIFNjaWVuY2VzLCBQaHlzaWNhbCBBY3Rpdml0eSBhbmQgU3BvcnQgU2NpZW5jZXMgRmFjdWx0
eS1JTkVGLCBUZWNobmljYWwgVW5pdmVyc2l0eSBvZiBNYWRyaWQsIE1hZHJpZCwgU3BhaW4uJiN4
RDtGYWN1bHR5IG9mIFBoeXNpY2FsIEFjdGl2aXR5IGFuZCBTcG9ydHMsIFVuaXZlcnNpdHkgb2Yg
RmxvcmVzLCBCdWVub3MgQWlyZXMsIEFyZ2VudGluYS4mI3hEO0RlcGFydG1lbnQgb2YgU29jaWFs
IFNjaWVuY2VzLCBQaHlzaWNhbCBBY3Rpdml0eSBhbmQgU3BvcnQgU2NpZW5jZXMgRmFjdWx0eS1J
TkVGLCBUZWNobmljYWwgVW5pdmVyc2l0eSBvZiBNYWRyaWQsIE1hZHJpZCwgU3BhaW4gYmFyYWth
dHJ1YmVuQGdtYWlsLmNvbS48L2F1dGgtYWRkcmVzcz48dGl0bGVzPjx0aXRsZT5FeGVyY2lzZSBk
dXJpbmcgcHJlZ25hbmN5IGF0dGVudWF0ZXMgcHJlbmF0YWwgZGVwcmVzc2lvbjogYSByYW5kb21p
emVkIGNvbnRyb2xsZWQgdHJpYWw8L3RpdGxlPjxzZWNvbmRhcnktdGl0bGU+RXZhbCBIZWFsdGgg
UHJvZjwvc2Vjb25kYXJ5LXRpdGxlPjwvdGl0bGVzPjxwZXJpb2RpY2FsPjxmdWxsLXRpdGxlPkV2
YWwgSGVhbHRoIFByb2Y8L2Z1bGwtdGl0bGU+PC9wZXJpb2RpY2FsPjxwYWdlcz41OS03MjwvcGFn
ZXM+PHZvbHVtZT4zODwvdm9sdW1lPjxudW1iZXI+MTwvbnVtYmVyPjxlZGl0aW9uPjIwMTQvMDUv
MzA8L2VkaXRpb24+PGtleXdvcmRzPjxrZXl3b3JkPkFkdWx0PC9rZXl3b3JkPjxrZXl3b3JkPkFw
Z2FyIFNjb3JlPC9rZXl3b3JkPjxrZXl3b3JkPkJvZHkgTWFzcyBJbmRleDwva2V5d29yZD48a2V5
d29yZD5EZXByZXNzaW9uLyp0aGVyYXB5PC9rZXl3b3JkPjxrZXl3b3JkPkV4ZXJjaXNlIFRoZXJh
cHkvKm1ldGhvZHM8L2tleXdvcmQ+PGtleXdvcmQ+RmVtYWxlPC9rZXl3b3JkPjxrZXl3b3JkPkh1
bWFuczwva2V5d29yZD48a2V5d29yZD5QcmVnbmFuY3k8L2tleXdvcmQ+PGtleXdvcmQ+UHJlZ25h
bmN5IENvbXBsaWNhdGlvbnMvKnRoZXJhcHk8L2tleXdvcmQ+PGtleXdvcmQ+UHJlZ25hbmN5IE91
dGNvbWU8L2tleXdvcmQ+PGtleXdvcmQ+U3BhaW48L2tleXdvcmQ+PGtleXdvcmQ+V2VpZ2h0IEdh
aW48L2tleXdvcmQ+PGtleXdvcmQ+ZGVwcmVzc2lvbjwva2V5d29yZD48a2V5d29yZD5leGVyY2lz
ZTwva2V5d29yZD48a2V5d29yZD5wcmVuYXRhbDwva2V5d29yZD48a2V5d29yZD53ZWxsLWJlaW5n
PC9rZXl3b3JkPjwva2V5d29yZHM+PGRhdGVzPjx5ZWFyPjIwMTU8L3llYXI+PHB1Yi1kYXRlcz48
ZGF0ZT5NYXI8L2RhdGU+PC9wdWItZGF0ZXM+PC9kYXRlcz48aXNibj4xNTUyLTM5MTggKEVsZWN0
cm9uaWMpJiN4RDswMTYzLTI3ODcgKExpbmtpbmcpPC9pc2JuPjxhY2Nlc3Npb24tbnVtPjI0ODcy
NDQyPC9hY2Nlc3Npb24tbnVtPjx1cmxzPjxyZWxhdGVkLXVybHM+PHVybD5odHRwczovL3d3dy5u
Y2JpLm5sbS5uaWguZ292L3B1Ym1lZC8yNDg3MjQ0MjwvdXJsPjwvcmVsYXRlZC11cmxzPjwvdXJs
cz48ZWxlY3Ryb25pYy1yZXNvdXJjZS1udW0+MTAuMTE3Ny8wMTYzMjc4NzE0NTMzNTY2PC9lbGVj
dHJvbmljLXJlc291cmNlLW51bT48L3JlY29yZD48L0NpdGU+PENpdGU+PEF1dGhvcj5QZXJhbGVz
PC9BdXRob3I+PFllYXI+MjAxNjwvWWVhcj48UmVjTnVtPjkyNDwvUmVjTnVtPjxyZWNvcmQ+PHJl
Yy1udW1iZXI+OTI0PC9yZWMtbnVtYmVyPjxmb3JlaWduLWtleXM+PGtleSBhcHA9IkVOIiBkYi1p
ZD0iZXh2YXNyZngyZHRyYW9lc2FzeHAyc3pzeGEyZGY1MDI1OTJ4IiB0aW1lc3RhbXA9IjE1NDE1
NDA5MjUiPjkyNDwva2V5PjxrZXkgYXBwPSJFTldlYiIgZGItaWQ9IiI+MDwva2V5PjwvZm9yZWln
bi1rZXlzPjxyZWYtdHlwZSBuYW1lPSJKb3VybmFsIEFydGljbGUiPjE3PC9yZWYtdHlwZT48Y29u
dHJpYnV0b3JzPjxhdXRob3JzPjxhdXRob3I+UGVyYWxlcywgTWFyaWE8L2F1dGhvcj48YXV0aG9y
PkNhbGFicmlhLCBJcmVuZTwvYXV0aG9yPjxhdXRob3I+TG9wZXosIENhcm1pbmE8L2F1dGhvcj48
YXV0aG9yPkZyYW5jbywgRXZlbGlhPC9hdXRob3I+PGF1dGhvcj5Db3Rlcm9uLCBKYXZpZXI8L2F1
dGhvcj48YXV0aG9yPkJhcmFrYXQsIFJ1YmVuPC9hdXRob3I+PC9hdXRob3JzPjwvY29udHJpYnV0
b3JzPjx0aXRsZXM+PHRpdGxlPlJlZ3VsYXIgRXhlcmNpc2UgVGhyb3VnaG91dCBQcmVnbmFuY3kg
aXMgQXNzb2NpYXRlZCB3aXRoIGEgU2hvcnRlciBGaXJzdCBTdGFnZSBvZiBMYWJvcjwvdGl0bGU+
PHNlY29uZGFyeS10aXRsZT5BbWVyaWNhbiBKb3VybmFsIG9mIEhlYWx0aCBQcm9tb3Rpb248L3Nl
Y29uZGFyeS10aXRsZT48L3RpdGxlcz48cGVyaW9kaWNhbD48ZnVsbC10aXRsZT5BbWVyaWNhbiBK
b3VybmFsIG9mIEhlYWx0aCBQcm9tb3Rpb248L2Z1bGwtdGl0bGU+PC9wZXJpb2RpY2FsPjxwYWdl
cz4xNDktMTU3PC9wYWdlcz48dm9sdW1lPjMwPC92b2x1bWU+PG51bWJlcj4zPC9udW1iZXI+PHNl
Y3Rpb24+MTQ5PC9zZWN0aW9uPjxkYXRlcz48eWVhcj4yMDE2PC95ZWFyPjwvZGF0ZXM+PGlzYm4+
MDg5MC0xMTcxJiN4RDsyMTY4LTY2MDI8L2lzYm4+PHVybHM+PC91cmxzPjxlbGVjdHJvbmljLXJl
c291cmNlLW51bT4xMC40Mjc4L2FqaHAuMTQwMjIxLVFVQU4tNzk8L2VsZWN0cm9uaWMtcmVzb3Vy
Y2UtbnVtPjwvcmVjb3JkPjwvQ2l0ZT48Q2l0ZT48QXV0aG9yPlBlcmFsZXM8L0F1dGhvcj48WWVh
cj4yMDE2PC9ZZWFyPjxSZWNOdW0+MTA2NjwvUmVjTnVtPjxyZWNvcmQ+PHJlYy1udW1iZXI+MTA2
NjwvcmVjLW51bWJlcj48Zm9yZWlnbi1rZXlzPjxrZXkgYXBwPSJFTiIgZGItaWQ9ImV4dmFzcmZ4
MmR0cmFvZXNhc3hwMnN6c3hhMmRmNTAyNTkyeCIgdGltZXN0YW1wPSIxNTQ4OTkwMjk2Ij4xMDY2
PC9rZXk+PC9mb3JlaWduLWtleXM+PHJlZi10eXBlIG5hbWU9IkpvdXJuYWwgQXJ0aWNsZSI+MTc8
L3JlZi10eXBlPjxjb250cmlidXRvcnM+PGF1dGhvcnM+PGF1dGhvcj5QZXJhbGVzLCBNLjwvYXV0
aG9yPjxhdXRob3I+U2FudG9zLUxvemFubywgQS48L2F1dGhvcj48YXV0aG9yPlNhbmNoaXMtR29t
YXIsIEYuPC9hdXRob3I+PGF1dGhvcj5MdWFjZXMsIE0uPC9hdXRob3I+PGF1dGhvcj5QYXJlamEt
R2FsZWFubywgSC48L2F1dGhvcj48YXV0aG9yPkdhcmF0YWNoZWEsIE4uPC9hdXRob3I+PGF1dGhv
cj5CYXJha2F0LCBSLjwvYXV0aG9yPjxhdXRob3I+THVjaWEsIEEuPC9hdXRob3I+PC9hdXRob3Jz
PjwvY29udHJpYnV0b3JzPjxhdXRoLWFkZHJlc3M+MVJlc2VhcmNoIEluc3RpdHV0ZSBIb3NwaXRh
bCAxMiBkZSBPY3R1YnJlICgmYXBvcztpKzEyJmFwb3M7KSwgTWFkcmlkLCBTUEFJTjsgMkFGSVBF
IFJlc2VhcmNoIEdyb3VwLCBGYWN1bHR5IG9mIFBoeXNpY2FsIEFjdGl2aXR5IGFuZCBTcG9ydHMg
U2NpZW5jZXMgSU5FRiwgVGVjaG5pY2FsIFVuaXZlcnNpdHkgb2YgTWFkcmlkLCBTUEFJTjsgM0dJ
REZZUywgRGVwYXJ0bWVudCBvZiBIZWFsdGggU2NpZW5jZXMsIEV1cm9wZWFuIFVuaXZlcnNpdHkg
TWlndWVsIGRlIENlcnZhbnRlcywgVmFsbGFkb2xpZCwgU1BBSU47IDREZXBhcnRtZW50IG9mIENh
cmRpb2xvZ3ksIENhcmRpb3Zhc2N1bGFyIEluc3RpdHV0ZSwgSG9zcGl0YWwgQ2xpbmljbyBTYW4g
Q2FybG9zLCBNYWRyaWQsIFNQQUlOOyA1U2Nob29sIG9mIERvY3RvcmF0ZSBTdHVkaWVzIGFuZCBS
ZXNlYXJjaCwgRXVyb3BlYW4gVW5pdmVyc2l0eSwgTWFkcmlkLCBTUEFJTjsgYW5kIDZEZXBhcnRh
bWVudG8gZGUgRmlzaWF0cmlhIHkgRW5mZXJtZXJpYS4gRmFjdWx0YWQgZGUgQ2llbmNpYXMgZGUg
bGEgU2FsdWQgeSBkZWwgRGVwb3J0ZS4gSW5zdGl0dXRvIEFncm9hbGltZW50YXJpbyBkZSBBcmFn
b24tSUEyLCBVbml2ZXJzaWRhZCBkZSBaYXJhZ296YS1DSVRBLCBaYXJhZ296YSwgU1BBSU4uPC9h
dXRoLWFkZHJlc3M+PHRpdGxlcz48dGl0bGU+TWF0ZXJuYWwgQ2FyZGlhYyBBZGFwdGF0aW9ucyB0
byBhIFBoeXNpY2FsIEV4ZXJjaXNlIFByb2dyYW0gZHVyaW5nIFByZWduYW5jeTwvdGl0bGU+PHNl
Y29uZGFyeS10aXRsZT5NZWQgU2NpIFNwb3J0cyBFeGVyYzwvc2Vjb25kYXJ5LXRpdGxlPjwvdGl0
bGVzPjxwZXJpb2RpY2FsPjxmdWxsLXRpdGxlPk1lZCBTY2kgU3BvcnRzIEV4ZXJjPC9mdWxsLXRp
dGxlPjwvcGVyaW9kaWNhbD48cGFnZXM+ODk2LTkwNjwvcGFnZXM+PHZvbHVtZT40ODwvdm9sdW1l
PjxudW1iZXI+NTwvbnVtYmVyPjxlZGl0aW9uPjIwMTUvMTIvMjQ8L2VkaXRpb24+PGtleXdvcmRz
PjxrZXl3b3JkPkFkdWx0PC9rZXl3b3JkPjxrZXl3b3JkPkF0cmlhbCBSZW1vZGVsaW5nPC9rZXl3
b3JkPjxrZXl3b3JkPkNhcmRpb3Zhc2N1bGFyIERpc2Vhc2VzL3ByZXZlbnRpb24gJmFtcDsgY29u
dHJvbDwva2V5d29yZD48a2V5d29yZD4qQ2FyZGlvdmFzY3VsYXIgUGh5c2lvbG9naWNhbCBQaGVu
b21lbmE8L2tleXdvcmQ+PGtleXdvcmQ+RGVwcmVzc2lvbi9wcmV2ZW50aW9uICZhbXA7IGNvbnRy
b2w8L2tleXdvcmQ+PGtleXdvcmQ+RWNob2NhcmRpb2dyYXBoeTwva2V5d29yZD48a2V5d29yZD4q
RXhlcmNpc2U8L2tleXdvcmQ+PGtleXdvcmQ+RmVtYWxlPC9rZXl3b3JkPjxrZXl3b3JkPkhlbW9k
eW5hbWljczwva2V5d29yZD48a2V5d29yZD5IdW1hbnM8L2tleXdvcmQ+PGtleXdvcmQ+UHJlZ25h
bmN5LypwaHlzaW9sb2d5PC9rZXl3b3JkPjxrZXl3b3JkPlByZWduYW5jeSBPdXRjb21lPC9rZXl3
b3JkPjxrZXl3b3JkPlJpc2sgRmFjdG9yczwva2V5d29yZD48a2V5d29yZD5WZW50cmljdWxhciBG
dW5jdGlvbiwgTGVmdDwva2V5d29yZD48a2V5d29yZD5WZW50cmljdWxhciBSZW1vZGVsaW5nPC9r
ZXl3b3JkPjxrZXl3b3JkPldlaWdodCBHYWluPC9rZXl3b3JkPjwva2V5d29yZHM+PGRhdGVzPjx5
ZWFyPjIwMTY8L3llYXI+PHB1Yi1kYXRlcz48ZGF0ZT5NYXk8L2RhdGU+PC9wdWItZGF0ZXM+PC9k
YXRlcz48aXNibj4xNTMwLTAzMTUgKEVsZWN0cm9uaWMpJiN4RDswMTk1LTkxMzEgKExpbmtpbmcp
PC9pc2JuPjxhY2Nlc3Npb24tbnVtPjI2Njk0ODQ4PC9hY2Nlc3Npb24tbnVtPjx1cmxzPjxyZWxh
dGVkLXVybHM+PHVybD5odHRwczovL3d3dy5uY2JpLm5sbS5uaWguZ292L3B1Ym1lZC8yNjY5NDg0
ODwvdXJsPjwvcmVsYXRlZC11cmxzPjwvdXJscz48ZWxlY3Ryb25pYy1yZXNvdXJjZS1udW0+MTAu
MTI0OS9NU1MuMDAwMDAwMDAwMDAwMDgzNzwvZWxlY3Ryb25pYy1yZXNvdXJjZS1udW0+PC9yZWNv
cmQ+PC9DaXRlPjxDaXRlPjxBdXRob3I+UGV0cm92IEZpZXJpbDwvQXV0aG9yPjxZZWFyPjIwMTU8
L1llYXI+PFJlY051bT45MzI8L1JlY051bT48cmVjb3JkPjxyZWMtbnVtYmVyPjkzMjwvcmVjLW51
bWJlcj48Zm9yZWlnbi1rZXlzPjxrZXkgYXBwPSJFTiIgZGItaWQ9ImV4dmFzcmZ4MmR0cmFvZXNh
c3hwMnN6c3hhMmRmNTAyNTkyeCIgdGltZXN0YW1wPSIxNTQxNTQwOTU3Ij45MzI8L2tleT48a2V5
IGFwcD0iRU5XZWIiIGRiLWlkPSIiPjA8L2tleT48L2ZvcmVpZ24ta2V5cz48cmVmLXR5cGUgbmFt
ZT0iSm91cm5hbCBBcnRpY2xlIj4xNzwvcmVmLXR5cGU+PGNvbnRyaWJ1dG9ycz48YXV0aG9ycz48
YXV0aG9yPlBldHJvdiBGaWVyaWwsIEsuPC9hdXRob3I+PGF1dGhvcj5HbGFudHosIEEuPC9hdXRo
b3I+PGF1dGhvcj5GYWdldmlrIE9sc2VuLCBNLjwvYXV0aG9yPjwvYXV0aG9ycz48L2NvbnRyaWJ1
dG9ycz48YXV0aC1hZGRyZXNzPkluc3RpdHV0ZSBvZiBOZXVyb3NjaWVuY2UgYW5kIFBoeXNpb2xv
Z3ksIFVuaXZlcnNpdHkgb2YgR290aGVuYnVyZywgR290aGVuYnVyZywgU3dlZGVuLjwvYXV0aC1h
ZGRyZXNzPjx0aXRsZXM+PHRpdGxlPlRoZSBlZmZpY2FjeSBvZiBtb2RlcmF0ZS10by12aWdvcm91
cyByZXNpc3RhbmNlIGV4ZXJjaXNlIGR1cmluZyBwcmVnbmFuY3k6IGEgcmFuZG9taXplZCBjb250
cm9sbGVkIHRyaWFsPC90aXRsZT48c2Vjb25kYXJ5LXRpdGxlPkFjdGEgT2JzdGV0IEd5bmVjb2wg
U2NhbmQ8L3NlY29uZGFyeS10aXRsZT48L3RpdGxlcz48cGVyaW9kaWNhbD48ZnVsbC10aXRsZT5B
Y3RhIE9ic3RldCBHeW5lY29sIFNjYW5kPC9mdWxsLXRpdGxlPjwvcGVyaW9kaWNhbD48cGFnZXM+
MzUtNDI8L3BhZ2VzPjx2b2x1bWU+OTQ8L3ZvbHVtZT48bnVtYmVyPjE8L251bWJlcj48ZWRpdGlv
bj4yMDE0LzEwLzA4PC9lZGl0aW9uPjxrZXl3b3Jkcz48a2V5d29yZD5BZHVsdDwva2V5d29yZD48
a2V5d29yZD5CbG9vZCBQcmVzc3VyZSBEZXRlcm1pbmF0aW9uL21ldGhvZHM8L2tleXdvcmQ+PGtl
eXdvcmQ+RmVtYWxlPC9rZXl3b3JkPjxrZXl3b3JkPkdlc3RhdGlvbmFsIEFnZTwva2V5d29yZD48
a2V5d29yZD5IZWFydCBSYXRlL3BoeXNpb2xvZ3k8L2tleXdvcmQ+PGtleXdvcmQ+SHVtYW5zPC9r
ZXl3b3JkPjxrZXl3b3JkPk1vbml0b3JpbmcsIFBoeXNpb2xvZ2ljL21ldGhvZHM8L2tleXdvcmQ+
PGtleXdvcmQ+UGh5c2ljYWwgRW5kdXJhbmNlLypwaHlzaW9sb2d5PC9rZXl3b3JkPjxrZXl3b3Jk
PlBoeXNpY2FsIEZpdG5lc3MvcGh5c2lvbG9neTwva2V5d29yZD48a2V5d29yZD5QcmVnbmFuY3k8
L2tleXdvcmQ+PGtleXdvcmQ+KlByZWduYW5jeSBPdXRjb21lPC9rZXl3b3JkPjxrZXl3b3JkPlBy
b3NwZWN0aXZlIFN0dWRpZXM8L2tleXdvcmQ+PGtleXdvcmQ+KlF1YWxpdHkgb2YgTGlmZTwva2V5
d29yZD48a2V5d29yZD5SZWZlcmVuY2UgVmFsdWVzPC9rZXl3b3JkPjxrZXl3b3JkPlJlc2lzdGFu
Y2UgVHJhaW5pbmcvKm1ldGhvZHM8L2tleXdvcmQ+PGtleXdvcmQ+U3dlZGVuPC9rZXl3b3JkPjxr
ZXl3b3JkPkV4ZXJjaXNlPC9rZXl3b3JkPjxrZXl3b3JkPnB1YmxpYyBoZWFsdGg8L2tleXdvcmQ+
PGtleXdvcmQ+cmFuZG9taXplZCBjb250cm9sbGVkIHRyaWFsPC9rZXl3b3JkPjwva2V5d29yZHM+
PGRhdGVzPjx5ZWFyPjIwMTU8L3llYXI+PHB1Yi1kYXRlcz48ZGF0ZT5KYW48L2RhdGU+PC9wdWIt
ZGF0ZXM+PC9kYXRlcz48aXNibj4xNjAwLTA0MTIgKEVsZWN0cm9uaWMpJiN4RDswMDAxLTYzNDkg
KExpbmtpbmcpPC9pc2JuPjxhY2Nlc3Npb24tbnVtPjI1Mjg3MjgyPC9hY2Nlc3Npb24tbnVtPjx1
cmxzPjxyZWxhdGVkLXVybHM+PHVybD5odHRwczovL3d3dy5uY2JpLm5sbS5uaWguZ292L3B1Ym1l
ZC8yNTI4NzI4MjwvdXJsPjwvcmVsYXRlZC11cmxzPjwvdXJscz48ZWxlY3Ryb25pYy1yZXNvdXJj
ZS1udW0+MTAuMTExMS9hb2dzLjEyNTI1PC9lbGVjdHJvbmljLXJlc291cmNlLW51bT48L3JlY29y
ZD48L0NpdGU+PENpdGU+PEF1dGhvcj5QaW56b248L0F1dGhvcj48WWVhcj4yMDEyPC9ZZWFyPjxS
ZWNOdW0+MTA0NzwvUmVjTnVtPjxyZWNvcmQ+PHJlYy1udW1iZXI+MTA0NzwvcmVjLW51bWJlcj48
Zm9yZWlnbi1rZXlzPjxrZXkgYXBwPSJFTiIgZGItaWQ9ImV4dmFzcmZ4MmR0cmFvZXNhc3hwMnN6
c3hhMmRmNTAyNTkyeCIgdGltZXN0YW1wPSIxNTQ4OTgzNDc2Ij4xMDQ3PC9rZXk+PC9mb3JlaWdu
LWtleXM+PHJlZi10eXBlIG5hbWU9IkpvdXJuYWwgQXJ0aWNsZSI+MTc8L3JlZi10eXBlPjxjb250
cmlidXRvcnM+PGF1dGhvcnM+PGF1dGhvcj5QaW56b24sIEQuIEMuPC9hdXRob3I+PGF1dGhvcj5a
YW1vcmEsIEsuPC9hdXRob3I+PGF1dGhvcj5NYXJ0aW5leiwgSi4gSC48L2F1dGhvcj48YXV0aG9y
PkZsb3Jlei1Mb3BleiwgTS4gRS48L2F1dGhvcj48YXV0aG9yPmRlIFBsYXRhLCBBLiBDLjwvYXV0
aG9yPjxhdXRob3I+TW9zcXVlcmEsIE0uPC9hdXRob3I+PGF1dGhvcj5SYW1pcmV6LVZlbGV6LCBS
LjwvYXV0aG9yPjwvYXV0aG9ycz48L2NvbnRyaWJ1dG9ycz48YXV0aC1hZGRyZXNzPlByb2dyYW1h
IGRlIEZpc2lvdGVyYXBpYSwgRnVuZGFjaW9uIFVuaXZlcnNpdGFyaWEgTWFyaWEgQ2FubywgQ2Fs
aSwgQ29sb21iaWEuJiN4RDtGYWN1bHRhZCBkZSBFbmZlcm1lcmlhIHkgUmVoYWJpbGl0YWNpb24s
IFVuaXZlcnNpZGFkIGRlIGxhIFNhYmFuYSwgQ2hpYSwgQ29sb21iaWEuJiN4RDtHcnVwbyBkZSBO
dXRyaWNpb24sIERlcGFydGFtZW50byBkZSBDaWVuY2lhcyBGaXNpb2xvZ2ljYXMsIEVzY3VlbGEg
ZGUgQ2llbmNpYXMgQmFzaWNhcywgVW5pdmVyc2lkYWQgZGVsIFZhbGxlLCBDYWxpLCBDb2xvbWJp
YS4mI3hEO0dydXBvIEdJQ0FFRFMsIEZhY3VsdGFkIGRlIEN1bHR1cmEgRmlzaWNhLCBEZXBvcnRl
IHkgUmVjcmVhY2lvbiwgVW5pdmVyc2lkYWQgU2FudG9vIFRvbWFzLjwvYXV0aC1hZGRyZXNzPjx0
aXRsZXM+PHRpdGxlPlR5cGUgb2YgZGVsaXZlcnkgYW5kIGdlc3RhdGlvbmFsIGFnZSBpcyBub3Qg
YWZmZWN0ZWQgYnkgcHJlZ25hbnQgTGF0aW4tQW1lcmljYW4gd29tZW4gZW5nYWdpbmcgaW4gdmln
b3JvdXMgZXhlcmNpc2U6IGEgc2Vjb25kYXJ5IGFuYWx5c2lzIG9mIGRhdGEgZnJvbSBhIGNvbnRy
b2xsZWQgcmFuZG9taXplZCB0cmlhbDwvdGl0bGU+PHNlY29uZGFyeS10aXRsZT5SZXYgU2FsdWQg
UHVibGljYSAoQm9nb3RhKTwvc2Vjb25kYXJ5LXRpdGxlPjwvdGl0bGVzPjxwZXJpb2RpY2FsPjxm
dWxsLXRpdGxlPlJldiBTYWx1ZCBQdWJsaWNhIChCb2dvdGEpPC9mdWxsLXRpdGxlPjwvcGVyaW9k
aWNhbD48cGFnZXM+NzMxLTQzPC9wYWdlcz48dm9sdW1lPjE0PC92b2x1bWU+PG51bWJlcj41PC9u
dW1iZXI+PGVkaXRpb24+MjAxMi8xMC8wMTwvZWRpdGlvbj48a2V5d29yZHM+PGtleXdvcmQ+QWR1
bHQ8L2tleXdvcmQ+PGtleXdvcmQ+QW50aHJvcG9tZXRyeTwva2V5d29yZD48a2V5d29yZD5BcGdh
ciBTY29yZTwva2V5d29yZD48a2V5d29yZD5CaXJ0aCBXZWlnaHQ8L2tleXdvcmQ+PGtleXdvcmQ+
Qmxvb2QgUHJlc3N1cmU8L2tleXdvcmQ+PGtleXdvcmQ+Qm9keSBXZWlnaHQ8L2tleXdvcmQ+PGtl
eXdvcmQ+Q29sb21iaWE8L2tleXdvcmQ+PGtleXdvcmQ+RGVsaXZlcnksIE9ic3RldHJpYy8qc3Rh
dGlzdGljcyAmYW1wOyBudW1lcmljYWwgZGF0YTwva2V5d29yZD48a2V5d29yZD4qRXhlcmNpc2U8
L2tleXdvcmQ+PGtleXdvcmQ+RmVtYWxlPC9rZXl3b3JkPjxrZXl3b3JkPipHZXN0YXRpb25hbCBB
Z2U8L2tleXdvcmQ+PGtleXdvcmQ+SG9zcGl0YWxzLCBNYXRlcm5pdHk8L2tleXdvcmQ+PGtleXdv
cmQ+SHVtYW5zPC9rZXl3b3JkPjxrZXl3b3JkPkluZmFudCwgTmV3Ym9ybjwva2V5d29yZD48a2V5
d29yZD5QcmVnbmFuY3kvKnBoeXNpb2xvZ3k8L2tleXdvcmQ+PGtleXdvcmQ+UHJlZ25hbmN5IE91
dGNvbWU8L2tleXdvcmQ+PGtleXdvcmQ+UHJlbmF0YWwgQ2FyZTwva2V5d29yZD48a2V5d29yZD5S
YW5kb21pemVkIENvbnRyb2xsZWQgVHJpYWxzIGFzIFRvcGljPC9rZXl3b3JkPjxrZXl3b3JkPlNv
Y2lvZWNvbm9taWMgRmFjdG9yczwva2V5d29yZD48a2V5d29yZD5UZXJ0aWFyeSBDYXJlIENlbnRl
cnM8L2tleXdvcmQ+PGtleXdvcmQ+V2VpZ2h0IEdhaW48L2tleXdvcmQ+PGtleXdvcmQ+WW91bmcg
QWR1bHQ8L2tleXdvcmQ+PC9rZXl3b3Jkcz48ZGF0ZXM+PHllYXI+MjAxMjwveWVhcj48cHViLWRh
dGVzPjxkYXRlPk9jdDwvZGF0ZT48L3B1Yi1kYXRlcz48L2RhdGVzPjxpc2JuPjAxMjQtMDA2NCAo
UHJpbnQpJiN4RDswMTI0LTAwNjQgKExpbmtpbmcpPC9pc2JuPjxhY2Nlc3Npb24tbnVtPjI0NjUy
MzUzPC9hY2Nlc3Npb24tbnVtPjx1cmxzPjxyZWxhdGVkLXVybHM+PHVybD5odHRwczovL3d3dy5u
Y2JpLm5sbS5uaWguZ292L3B1Ym1lZC8yNDY1MjM1MzwvdXJsPjwvcmVsYXRlZC11cmxzPjwvdXJs
cz48L3JlY29yZD48L0NpdGU+PENpdGU+PEF1dGhvcj5QcmljZTwvQXV0aG9yPjxZZWFyPjIwMTI8
L1llYXI+PFJlY051bT43MDc8L1JlY051bT48cmVjb3JkPjxyZWMtbnVtYmVyPjcwNzwvcmVjLW51
bWJlcj48Zm9yZWlnbi1rZXlzPjxrZXkgYXBwPSJFTiIgZGItaWQ9ImV4dmFzcmZ4MmR0cmFvZXNh
c3hwMnN6c3hhMmRmNTAyNTkyeCIgdGltZXN0YW1wPSIxNTQwNTMyMjIyIj43MDc8L2tleT48L2Zv
cmVpZ24ta2V5cz48cmVmLXR5cGUgbmFtZT0iSm91cm5hbCBBcnRpY2xlIj4xNzwvcmVmLXR5cGU+
PGNvbnRyaWJ1dG9ycz48YXV0aG9ycz48YXV0aG9yPlByaWNlLCBCLiBCLjwvYXV0aG9yPjxhdXRo
b3I+QW1pbmksIFMuIEIuPC9hdXRob3I+PGF1dGhvcj5LYXBwZWxlciwgSy48L2F1dGhvcj48L2F1
dGhvcnM+PC9jb250cmlidXRvcnM+PGF1dGgtYWRkcmVzcz5Qcm9mZXNzaW9uYWwgQXNzb2NpYXRp
b24sIEF1c3RpbiwgVFgsIFVTQS4gYmVlcHJpY2VAZ3JhbmRlY29tLm5ldDwvYXV0aC1hZGRyZXNz
Pjx0aXRsZXM+PHRpdGxlPkV4ZXJjaXNlIGluIHByZWduYW5jeTogZWZmZWN0IG9uIGZpdG5lc3Mg
YW5kIG9ic3RldHJpYyBvdXRjb21lcy1hIHJhbmRvbWl6ZWQgdHJpYWw8L3RpdGxlPjxzZWNvbmRh
cnktdGl0bGU+TWVkIFNjaSBTcG9ydHMgRXhlcmM8L3NlY29uZGFyeS10aXRsZT48L3RpdGxlcz48
cGVyaW9kaWNhbD48ZnVsbC10aXRsZT5NZWQgU2NpIFNwb3J0cyBFeGVyYzwvZnVsbC10aXRsZT48
L3BlcmlvZGljYWw+PHBhZ2VzPjIyNjMtOTwvcGFnZXM+PHZvbHVtZT40NDwvdm9sdW1lPjxudW1i
ZXI+MTI8L251bWJlcj48ZWRpdGlvbj4yMDEyLzA3LzMxPC9lZGl0aW9uPjxrZXl3b3Jkcz48a2V5
d29yZD5BZG9sZXNjZW50PC9rZXl3b3JkPjxrZXl3b3JkPkFkdWx0PC9rZXl3b3JkPjxrZXl3b3Jk
PkV4ZXJjaXNlLypwaHlzaW9sb2d5PC9rZXl3b3JkPjxrZXl3b3JkPkZlbWFsZTwva2V5d29yZD48
a2V5d29yZD5HZXN0YXRpb25hbCBBZ2U8L2tleXdvcmQ+PGtleXdvcmQ+SHVtYW5zPC9rZXl3b3Jk
PjxrZXl3b3JkPk11c2NsZSBTdHJlbmd0aC9waHlzaW9sb2d5PC9rZXl3b3JkPjxrZXl3b3JkPk91
dGNvbWUgQXNzZXNzbWVudCAoSGVhbHRoIENhcmUpPC9rZXl3b3JkPjxrZXl3b3JkPlBoeXNpY2Fs
IEZpdG5lc3MvKnBoeXNpb2xvZ3k8L2tleXdvcmQ+PGtleXdvcmQ+UHJlZ25hbmN5PC9rZXl3b3Jk
PjxrZXl3b3JkPipQcmVnbmFuY3kgT3V0Y29tZTwva2V5d29yZD48a2V5d29yZD5Qcm9zcGVjdGl2
ZSBTdHVkaWVzPC9rZXl3b3JkPjxrZXl3b3JkPlRleGFzPC9rZXl3b3JkPjxrZXl3b3JkPllvdW5n
IEFkdWx0PC9rZXl3b3JkPjwva2V5d29yZHM+PGRhdGVzPjx5ZWFyPjIwMTI8L3llYXI+PHB1Yi1k
YXRlcz48ZGF0ZT5EZWM8L2RhdGU+PC9wdWItZGF0ZXM+PC9kYXRlcz48aXNibj4xNTMwLTAzMTUg
KEVsZWN0cm9uaWMpJiN4RDswMTk1LTkxMzEgKExpbmtpbmcpPC9pc2JuPjxhY2Nlc3Npb24tbnVt
PjIyODQzMTE0PC9hY2Nlc3Npb24tbnVtPjx1cmxzPjxyZWxhdGVkLXVybHM+PHVybD5odHRwczov
L3d3dy5uY2JpLm5sbS5uaWguZ292L3B1Ym1lZC8yMjg0MzExNDwvdXJsPjwvcmVsYXRlZC11cmxz
PjwvdXJscz48ZWxlY3Ryb25pYy1yZXNvdXJjZS1udW0+MTAuMTI0OS9NU1MuMGIwMTNlMzE4MjY3
YWQ2NzwvZWxlY3Ryb25pYy1yZXNvdXJjZS1udW0+PC9yZWNvcmQ+PC9DaXRlPjxDaXRlPjxBdXRo
b3I+U29uZ8OYWWdhcmQ8L0F1dGhvcj48WWVhcj4yMDEyPC9ZZWFyPjxSZWNOdW0+ODY2PC9SZWNO
dW0+PHJlY29yZD48cmVjLW51bWJlcj44NjY8L3JlYy1udW1iZXI+PGZvcmVpZ24ta2V5cz48a2V5
IGFwcD0iRU4iIGRiLWlkPSJleHZhc3JmeDJkdHJhb2VzYXN4cDJzenN4YTJkZjUwMjU5MngiIHRp
bWVzdGFtcD0iMTU0MTU0MDY5MyI+ODY2PC9rZXk+PGtleSBhcHA9IkVOV2ViIiBkYi1pZD0iIj4w
PC9rZXk+PC9mb3JlaWduLWtleXM+PHJlZi10eXBlIG5hbWU9IkpvdXJuYWwgQXJ0aWNsZSI+MTc8
L3JlZi10eXBlPjxjb250cmlidXRvcnM+PGF1dGhvcnM+PGF1dGhvcj5Tb25nw5hZZ2FyZCwgS3Jp
c3RpYW4gTS48L2F1dGhvcj48YXV0aG9yPlN0YWZuZSwgU2lnbmUgTi48L2F1dGhvcj48YXV0aG9y
PkV2ZW5zZW4sIEthcmkgQW5uZSBJLjwvYXV0aG9yPjxhdXRob3I+U2FsdmVzZW4sIEtqZWxsIMOF
PC9hdXRob3I+PGF1dGhvcj5WaWssIFRvcnN0ZWluPC9hdXRob3I+PGF1dGhvcj5Nw5hSa3ZlZCwg
Uy4gSS4gVi48L2F1dGhvcj48L2F1dGhvcnM+PC9jb250cmlidXRvcnM+PHRpdGxlcz48dGl0bGU+
RG9lcyBleGVyY2lzZSBkdXJpbmcgcHJlZ25hbmN5IHByZXZlbnQgcG9zdG5hdGFsIGRlcHJlc3Np
b24/PC90aXRsZT48c2Vjb25kYXJ5LXRpdGxlPkFjdGEgT2JzdGV0cmljaWEgZXQgR3luZWNvbG9n
aWNhIFNjYW5kaW5hdmljYTwvc2Vjb25kYXJ5LXRpdGxlPjwvdGl0bGVzPjxwZXJpb2RpY2FsPjxm
dWxsLXRpdGxlPkFjdGEgT2JzdGV0cmljaWEgZXQgR3luZWNvbG9naWNhIFNjYW5kaW5hdmljYTwv
ZnVsbC10aXRsZT48L3BlcmlvZGljYWw+PHBhZ2VzPjYyLTY3PC9wYWdlcz48dm9sdW1lPjkxPC92
b2x1bWU+PG51bWJlcj4xPC9udW1iZXI+PHNlY3Rpb24+NjI8L3NlY3Rpb24+PGRhdGVzPjx5ZWFy
PjIwMTI8L3llYXI+PC9kYXRlcz48aXNibj4wMDAxNjM0OTwvaXNibj48dXJscz48L3VybHM+PGVs
ZWN0cm9uaWMtcmVzb3VyY2UtbnVtPjEwLjExMTEvai4xNjAwLTA0MTIuMjAxMS4wMTI2Mi54PC9l
bGVjdHJvbmljLXJlc291cmNlLW51bT48L3JlY29yZD48L0NpdGU+PENpdGU+PEF1dGhvcj5TdGFm
bmU8L0F1dGhvcj48WWVhcj4yMDEyPC9ZZWFyPjxSZWNOdW0+MTA2MDwvUmVjTnVtPjxyZWNvcmQ+
PHJlYy1udW1iZXI+MTA2MDwvcmVjLW51bWJlcj48Zm9yZWlnbi1rZXlzPjxrZXkgYXBwPSJFTiIg
ZGItaWQ9ImV4dmFzcmZ4MmR0cmFvZXNhc3hwMnN6c3hhMmRmNTAyNTkyeCIgdGltZXN0YW1wPSIx
NTQ4OTgzNDc2Ij4xMDYwPC9rZXk+PC9mb3JlaWduLWtleXM+PHJlZi10eXBlIG5hbWU9IkpvdXJu
YWwgQXJ0aWNsZSI+MTc8L3JlZi10eXBlPjxjb250cmlidXRvcnM+PGF1dGhvcnM+PGF1dGhvcj5T
dGFmbmUsIFNpZ25lIE4uPC9hdXRob3I+PGF1dGhvcj5TYWx2ZXNlbiwgS2plbGwg4oSrPC9hdXRo
b3I+PGF1dGhvcj5Sb211bmRzdGFkLCBQw6VsIFIuPC9hdXRob3I+PGF1dGhvcj5FZ2dlYsO4LCBU
b3JiasO4cm4gTS48L2F1dGhvcj48YXV0aG9yPkNhcmxzZW4sIFN2ZW4gTS48L2F1dGhvcj48YXV0
aG9yPk3DuHJrdmVkLCBTaXY8L2F1dGhvcj48L2F1dGhvcnM+PC9jb250cmlidXRvcnM+PHRpdGxl
cz48dGl0bGU+UmVndWxhciBFeGVyY2lzZSBEdXJpbmcgUHJlZ25hbmN5IHRvIFByZXZlbnQgR2Vz
dGF0aW9uYWwgRGlhYmV0ZXM8L3RpdGxlPjxzZWNvbmRhcnktdGl0bGU+T2JzdGV0cmljcyAmYW1w
OyBHeW5lY29sb2d5PC9zZWNvbmRhcnktdGl0bGU+PC90aXRsZXM+PHBlcmlvZGljYWw+PGZ1bGwt
dGl0bGU+T2JzdGV0cmljcyAmYW1wOyBHeW5lY29sb2d5PC9mdWxsLXRpdGxlPjwvcGVyaW9kaWNh
bD48cGFnZXM+MjktMzY8L3BhZ2VzPjx2b2x1bWU+MTE5PC92b2x1bWU+PG51bWJlcj4xPC9udW1i
ZXI+PHNlY3Rpb24+Mjk8L3NlY3Rpb24+PGRhdGVzPjx5ZWFyPjIwMTI8L3llYXI+PC9kYXRlcz48
aXNibj4wMDI5LTc4NDQ8L2lzYm4+PHVybHM+PC91cmxzPjxlbGVjdHJvbmljLXJlc291cmNlLW51
bT4xMC4xMDk3L0FPRy4wYjAxM2UzMTgyMzkzZjg2PC9lbGVjdHJvbmljLXJlc291cmNlLW51bT48
L3JlY29yZD48L0NpdGU+PENpdGU+PEF1dGhvcj5UYW5pZ3VjaGk8L0F1dGhvcj48WWVhcj4yMDE2
PC9ZZWFyPjxSZWNOdW0+OTExPC9SZWNOdW0+PHJlY29yZD48cmVjLW51bWJlcj45MTE8L3JlYy1u
dW1iZXI+PGZvcmVpZ24ta2V5cz48a2V5IGFwcD0iRU4iIGRiLWlkPSJleHZhc3JmeDJkdHJhb2Vz
YXN4cDJzenN4YTJkZjUwMjU5MngiIHRpbWVzdGFtcD0iMTU0MTU0MDg2MSI+OTExPC9rZXk+PGtl
eSBhcHA9IkVOV2ViIiBkYi1pZD0iIj4wPC9rZXk+PC9mb3JlaWduLWtleXM+PHJlZi10eXBlIG5h
bWU9IkpvdXJuYWwgQXJ0aWNsZSI+MTc8L3JlZi10eXBlPjxjb250cmlidXRvcnM+PGF1dGhvcnM+
PGF1dGhvcj5UYW5pZ3VjaGksIEMuPC9hdXRob3I+PGF1dGhvcj5TYXRvLCBDLjwvYXV0aG9yPjwv
YXV0aG9ycz48L2NvbnRyaWJ1dG9ycz48YXV0aC1hZGRyZXNzPkthbmFnYXdhIFVuaXZlcnNpdHkg
b2YgSHVtYW4gU2VydmljZXMsIEthbmFnYXdhIFByZWZlY3R1cmUsIEphcGFuLiB0YW5pZ3VjaGku
bTdiQGt1aHMuYWMuanAuJiN4RDtPdHN1a2EgTWVkaWNhbCBDbGluaWMsIFRvc2hpbWEta3UsIEph
cGFuLjwvYXV0aC1hZGRyZXNzPjx0aXRsZXM+PHRpdGxlPkhvbWUtYmFzZWQgd2Fsa2luZyBkdXJp
bmcgcHJlZ25hbmN5IGFmZmVjdHMgbW9vZCBhbmQgYmlydGggb3V0Y29tZXMgYW1vbmcgc2VkZW50
YXJ5IHdvbWVuOiBBIHJhbmRvbWl6ZWQgY29udHJvbGxlZCB0cmlhbDwvdGl0bGU+PHNlY29uZGFy
eS10aXRsZT5JbnQgSiBOdXJzIFByYWN0PC9zZWNvbmRhcnktdGl0bGU+PC90aXRsZXM+PHBlcmlv
ZGljYWw+PGZ1bGwtdGl0bGU+SW50IEogTnVycyBQcmFjdDwvZnVsbC10aXRsZT48L3BlcmlvZGlj
YWw+PHBhZ2VzPjQyMC00MjY8L3BhZ2VzPjx2b2x1bWU+MjI8L3ZvbHVtZT48bnVtYmVyPjU8L251
bWJlcj48ZWRpdGlvbj4yMDE2LzA2LzA5PC9lZGl0aW9uPjxrZXl3b3Jkcz48a2V5d29yZD5BZHVs
dDwva2V5d29yZD48a2V5d29yZD4qQWZmZWN0PC9rZXl3b3JkPjxrZXl3b3JkPkZlbWFsZTwva2V5
d29yZD48a2V5d29yZD5IdW1hbnM8L2tleXdvcmQ+PGtleXdvcmQ+UHJlZ25hbmN5PC9rZXl3b3Jk
PjxrZXl3b3JkPipQcmVnbmFuY3kgT3V0Y29tZTwva2V5d29yZD48a2V5d29yZD4qU2VkZW50YXJ5
IExpZmVzdHlsZTwva2V5d29yZD48a2V5d29yZD4qV2Fsa2luZzwva2V5d29yZD48a2V5d29yZD5Z
b3VuZyBBZHVsdDwva2V5d29yZD48a2V5d29yZD4qUHJvZmlsZSBvZiBNb29kIFN0YXRlczwva2V5
d29yZD48a2V5d29yZD4qZXhlcmNpc2U8L2tleXdvcmQ+PGtleXdvcmQ+Km51cnNpbmc8L2tleXdv
cmQ+PGtleXdvcmQ+KnByZWduYW5jeTwva2V5d29yZD48a2V5d29yZD4qcmFuZG9taXplZCBjb250
cm9sbGVkIHRyaWFsPC9rZXl3b3JkPjwva2V5d29yZHM+PGRhdGVzPjx5ZWFyPjIwMTY8L3llYXI+
PHB1Yi1kYXRlcz48ZGF0ZT5PY3Q8L2RhdGU+PC9wdWItZGF0ZXM+PC9kYXRlcz48aXNibj4xNDQw
LTE3MlggKEVsZWN0cm9uaWMpJiN4RDsxMzIyLTcxMTQgKExpbmtpbmcpPC9pc2JuPjxhY2Nlc3Np
b24tbnVtPjI3MjcyOTM3PC9hY2Nlc3Npb24tbnVtPjx1cmxzPjxyZWxhdGVkLXVybHM+PHVybD5o
dHRwczovL3d3dy5uY2JpLm5sbS5uaWguZ292L3B1Ym1lZC8yNzI3MjkzNzwvdXJsPjwvcmVsYXRl
ZC11cmxzPjwvdXJscz48ZWxlY3Ryb25pYy1yZXNvdXJjZS1udW0+MTAuMTExMS9pam4uMTI0NTM8
L2VsZWN0cm9uaWMtcmVzb3VyY2UtbnVtPjwvcmVjb3JkPjwvQ2l0ZT48Q2l0ZT48QXV0aG9yPlZh
cmdhcy1UZXJyb25lczwvQXV0aG9yPjxZZWFyPjIwMTk8L1llYXI+PFJlY051bT4xOTIwPC9SZWNO
dW0+PHJlY29yZD48cmVjLW51bWJlcj4xOTIwPC9yZWMtbnVtYmVyPjxmb3JlaWduLWtleXM+PGtl
eSBhcHA9IkVOIiBkYi1pZD0iZXh2YXNyZngyZHRyYW9lc2FzeHAyc3pzeGEyZGY1MDI1OTJ4IiB0
aW1lc3RhbXA9IjE1ODg0ODY4NzUiPjE5MjA8L2tleT48a2V5IGFwcD0iRU5XZWIiIGRiLWlkPSIi
PjA8L2tleT48L2ZvcmVpZ24ta2V5cz48cmVmLXR5cGUgbmFtZT0iSm91cm5hbCBBcnRpY2xlIj4x
NzwvcmVmLXR5cGU+PGNvbnRyaWJ1dG9ycz48YXV0aG9ycz48YXV0aG9yPlZhcmdhcy1UZXJyb25l
cywgTS48L2F1dGhvcj48YXV0aG9yPkJhcmFrYXQsIFIuPC9hdXRob3I+PGF1dGhvcj5TYW50YWNy
dXosIEIuPC9hdXRob3I+PGF1dGhvcj5GZXJuYW5kZXotQnVoaWdhcywgSS48L2F1dGhvcj48YXV0
aG9yPk1vdHRvbGEsIE0uIEYuPC9hdXRob3I+PC9hdXRob3JzPjwvY29udHJpYnV0b3JzPjxhdXRo
LWFkZHJlc3M+RGVwYXJ0bWVudCBvZiBTb2NpYWwgU2NpZW5jZXMgb2YgUGh5c2ljYWwgQWN0aXZp
dHksIFNwb3J0cyBhbmQgTGVpc3VyZSwgRmFjdWx0eSBvZiBTY2llbmNlcyBmb3IgUGh5c2ljYWwg
QWN0aXZpdHkgYW5kIFNwb3J0LCBJTkVGLCBUZWNobmljYWwgVW5pdmVyc2l0eSBvZiBNYWRyaWQg
KFVQTSksIE1hZHJpZCwgU3BhaW4uJiN4RDtEZXBhcnRtZW50IG9mIE9ic3RldHJpY3MgYW5kIEd5
bmVjb2xvZ3ksIFVuaXZlcnNpdHkgSG9zcGl0YWwgb2YgVG9ycmVqb24sIE1hZHJpZCwgU3BhaW4u
JiN4RDtSIFNhbXVlbCBNY0xhdWdobGluIEZvdW5kYXRpb24gLSBFeGVyY2lzZSBhbmQgUHJlZ25h
bmN5IExhYm9yYXRvcnksIFNjaG9vbCBvZiBLaW5lc2lvbG9neSwgVGhlIFVuaXZlcnNpdHkgb2Yg
V2VzdGVybiBPbnRhcmlvLCBMb25kb24sIE9udGFyaW8sIENhbmFkYS48L2F1dGgtYWRkcmVzcz48
dGl0bGVzPjx0aXRsZT5QaHlzaWNhbCBleGVyY2lzZSBwcm9ncmFtbWUgZHVyaW5nIHByZWduYW5j
eSBkZWNyZWFzZXMgcGVyaW5hdGFsIGRlcHJlc3Npb24gcmlzazogYSByYW5kb21pc2VkIGNvbnRy
b2xsZWQgdHJpYWw8L3RpdGxlPjxzZWNvbmRhcnktdGl0bGU+QnIgSiBTcG9ydHMgTWVkPC9zZWNv
bmRhcnktdGl0bGU+PC90aXRsZXM+PHBlcmlvZGljYWw+PGZ1bGwtdGl0bGU+QnIgSiBTcG9ydHMg
TWVkPC9mdWxsLXRpdGxlPjwvcGVyaW9kaWNhbD48cGFnZXM+MzQ4LTM1MzwvcGFnZXM+PHZvbHVt
ZT41Mzwvdm9sdW1lPjxudW1iZXI+NjwvbnVtYmVyPjxlZGl0aW9uPjIwMTgvMDYvMTU8L2VkaXRp
b24+PGtleXdvcmRzPjxrZXl3b3JkPkFkdWx0PC9rZXl3b3JkPjxrZXl3b3JkPkRlcHJlc3Npb24v
KnByZXZlbnRpb24gJmFtcDsgY29udHJvbDwva2V5d29yZD48a2V5d29yZD4qRXhlcmNpc2U8L2tl
eXdvcmQ+PGtleXdvcmQ+RmVtYWxlPC9rZXl3b3JkPjxrZXl3b3JkPkh1bWFuczwva2V5d29yZD48
a2V5d29yZD5Qb3N0cGFydHVtIFBlcmlvZDwva2V5d29yZD48a2V5d29yZD5QcmVnbmFuY3k8L2tl
eXdvcmQ+PGtleXdvcmQ+UHJlZ25hbmN5IENvbXBsaWNhdGlvbnMvKnBzeWNob2xvZ3k8L2tleXdv
cmQ+PGtleXdvcmQ+ZGVwcmVzc2lvbjwva2V5d29yZD48a2V5d29yZD5leGVyY2lzZSBwaHlzaWNh
bCBhY3Rpdml0eTwva2V5d29yZD48a2V5d29yZD5wc3ljaG9sb2d5PC9rZXl3b3JkPjwva2V5d29y
ZHM+PGRhdGVzPjx5ZWFyPjIwMTk8L3llYXI+PHB1Yi1kYXRlcz48ZGF0ZT5NYXI8L2RhdGU+PC9w
dWItZGF0ZXM+PC9kYXRlcz48aXNibj4xNDczLTA0ODAgKEVsZWN0cm9uaWMpJiN4RDswMzA2LTM2
NzQgKExpbmtpbmcpPC9pc2JuPjxhY2Nlc3Npb24tbnVtPjI5ODk5MDUwPC9hY2Nlc3Npb24tbnVt
Pjx1cmxzPjxyZWxhdGVkLXVybHM+PHVybD5odHRwczovL3d3dy5uY2JpLm5sbS5uaWguZ292L3B1
Ym1lZC8yOTg5OTA1MDwvdXJsPjwvcmVsYXRlZC11cmxzPjwvdXJscz48ZWxlY3Ryb25pYy1yZXNv
dXJjZS1udW0+MTAuMTEzNi9ianNwb3J0cy0yMDE3LTA5ODkyNjwvZWxlY3Ryb25pYy1yZXNvdXJj
ZS1udW0+PC9yZWNvcmQ+PC9DaXRlPjwvRW5kTm90ZT4A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270-272,292,294-296,299,313,425-432,434-436,440-442,444-446,453</w:t>
      </w:r>
      <w:r>
        <w:rPr>
          <w:noProof/>
          <w:sz w:val="16"/>
          <w:szCs w:val="16"/>
        </w:rPr>
        <w:fldChar w:fldCharType="end"/>
      </w:r>
      <w:r w:rsidRPr="00C12274">
        <w:rPr>
          <w:noProof/>
          <w:sz w:val="16"/>
          <w:szCs w:val="16"/>
        </w:rPr>
        <w:t xml:space="preserve"> </w:t>
      </w:r>
      <w:r w:rsidRPr="008B4882">
        <w:t>BMI</w:t>
      </w:r>
      <w:r>
        <w:t xml:space="preserve"> </w:t>
      </w:r>
      <w:r w:rsidRPr="008B4882">
        <w:t>≤25,</w:t>
      </w:r>
      <w:r>
        <w:rPr>
          <w:sz w:val="16"/>
          <w:szCs w:val="16"/>
        </w:rPr>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443</w:t>
      </w:r>
      <w:r>
        <w:rPr>
          <w:sz w:val="16"/>
          <w:szCs w:val="16"/>
        </w:rPr>
        <w:fldChar w:fldCharType="end"/>
      </w:r>
      <w:r>
        <w:rPr>
          <w:noProof/>
          <w:sz w:val="16"/>
          <w:szCs w:val="16"/>
        </w:rPr>
        <w:t xml:space="preserve"> </w:t>
      </w:r>
      <w:r>
        <w:t>BMI</w:t>
      </w:r>
      <w:r w:rsidRPr="008D11CC">
        <w:t xml:space="preserve"> 24</w:t>
      </w:r>
      <w:r>
        <w:t>-</w:t>
      </w:r>
      <w:r w:rsidRPr="008D11CC">
        <w:t>28</w:t>
      </w:r>
      <w:r>
        <w:t>,</w:t>
      </w:r>
      <w:r>
        <w:rPr>
          <w:sz w:val="16"/>
          <w:szCs w:val="16"/>
        </w:rPr>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rPr>
          <w:sz w:val="16"/>
          <w:szCs w:val="16"/>
        </w:rPr>
        <w:instrText xml:space="preserve"> ADDIN EN.CITE </w:instrText>
      </w:r>
      <w:r w:rsidR="002747EA">
        <w:rPr>
          <w:sz w:val="16"/>
          <w:szCs w:val="16"/>
        </w:rPr>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452</w:t>
      </w:r>
      <w:r>
        <w:rPr>
          <w:sz w:val="16"/>
          <w:szCs w:val="16"/>
        </w:rPr>
        <w:fldChar w:fldCharType="end"/>
      </w:r>
      <w:r>
        <w:t xml:space="preserve"> </w:t>
      </w:r>
      <w:r w:rsidRPr="008B4882">
        <w:t>BMI ≥25,</w:t>
      </w:r>
      <w:r>
        <w:rPr>
          <w:noProof/>
          <w:sz w:val="16"/>
          <w:szCs w:val="16"/>
        </w:rPr>
        <w:fldChar w:fldCharType="begin">
          <w:fldData xml:space="preserve">PEVuZE5vdGU+PENpdGU+PEF1dGhvcj5Lb25nPC9BdXRob3I+PFllYXI+MjAxNDwvWWVhcj48UmVj
TnVtPjc0ODwvUmVjTnVtPjxEaXNwbGF5VGV4dD48c3R5bGUgZmFjZT0ic3VwZXJzY3JpcHQiIGZv
bnQ9IlRyZWJ1Y2hldCBNUyIgc2l6ZT0iOSI+MjczLDQzOCw0MzksNDQzLDQ0OTwvc3R5bGU+PC9E
aXNwbGF5VGV4dD48cmVjb3JkPjxyZWMtbnVtYmVyPjc0ODwvcmVjLW51bWJlcj48Zm9yZWlnbi1r
ZXlzPjxrZXkgYXBwPSJFTiIgZGItaWQ9ImV4dmFzcmZ4MmR0cmFvZXNhc3hwMnN6c3hhMmRmNTAy
NTkyeCIgdGltZXN0YW1wPSIxNTQxNDY3OTA1Ij43NDg8L2tleT48a2V5IGFwcD0iRU5XZWIiIGRi
LWlkPSIiPjA8L2tleT48L2ZvcmVpZ24ta2V5cz48cmVmLXR5cGUgbmFtZT0iSm91cm5hbCBBcnRp
Y2xlIj4xNzwvcmVmLXR5cGU+PGNvbnRyaWJ1dG9ycz48YXV0aG9ycz48YXV0aG9yPktvbmcsIEsu
IEwuPC9hdXRob3I+PGF1dGhvcj5DYW1wYmVsbCwgQy48L2F1dGhvcj48YXV0aG9yPldhZ25lciwg
Sy48L2F1dGhvcj48YXV0aG9yPlBldGVyc29uLCBBLjwvYXV0aG9yPjxhdXRob3I+TGFubmluZ2hh
bS1Gb3N0ZXIsIEwuPC9hdXRob3I+PC9hdXRob3JzPjwvY29udHJpYnV0b3JzPjx0aXRsZXM+PHRp
dGxlPkltcGFjdCBvZiBhIHdhbGtpbmcgaW50ZXJ2ZW50aW9uIGR1cmluZyBwcmVnbmFuY3kgb24g
cG9zdC1wYXJ0dW0gd2VpZ2h0IHJldGVudGlvbiBhbmQgaW5mYW50IGFudGhyb3BvbWV0cmljIG91
dGNvbWVzPC90aXRsZT48c2Vjb25kYXJ5LXRpdGxlPkpvdXJuYWwgb2YgRGV2ZWxvcG1lbnRhbCBP
cmlnaW5zIG9mIEhlYWx0aCBhbmQgRGlzZWFzZTwvc2Vjb25kYXJ5LXRpdGxlPjwvdGl0bGVzPjxw
ZXJpb2RpY2FsPjxmdWxsLXRpdGxlPkpvdXJuYWwgb2YgRGV2ZWxvcG1lbnRhbCBPcmlnaW5zIG9m
IEhlYWx0aCBhbmQgRGlzZWFzZTwvZnVsbC10aXRsZT48L3BlcmlvZGljYWw+PHBhZ2VzPjI1OS0y
Njc8L3BhZ2VzPjx2b2x1bWU+NTwvdm9sdW1lPjxudW1iZXI+MDM8L251bWJlcj48c2VjdGlvbj4y
NTk8L3NlY3Rpb24+PGRhdGVzPjx5ZWFyPjIwMTQ8L3llYXI+PC9kYXRlcz48aXNibj4yMDQwLTE3
NDQmI3hEOzIwNDAtMTc1MjwvaXNibj48dXJscz48L3VybHM+PGVsZWN0cm9uaWMtcmVzb3VyY2Ut
bnVtPjEwLjEwMTcvczIwNDAxNzQ0MTQwMDAxMTc8L2VsZWN0cm9uaWMtcmVzb3VyY2UtbnVtPjwv
cmVjb3JkPjwvQ2l0ZT48Q2l0ZT48QXV0aG9yPk9vc3RkYW08L0F1dGhvcj48WWVhcj4yMDEyPC9Z
ZWFyPjxSZWNOdW0+NjEwPC9SZWNOdW0+PHJlY29yZD48cmVjLW51bWJlcj42MTA8L3JlYy1udW1i
ZXI+PGZvcmVpZ24ta2V5cz48a2V5IGFwcD0iRU4iIGRiLWlkPSJleHZhc3JmeDJkdHJhb2VzYXN4
cDJzenN4YTJkZjUwMjU5MngiIHRpbWVzdGFtcD0iMTUzOTA0ODM0NSI+NjEwPC9rZXk+PGtleSBh
cHA9IkVOV2ViIiBkYi1pZD0iIj4wPC9rZXk+PC9mb3JlaWduLWtleXM+PHJlZi10eXBlIG5hbWU9
IkpvdXJuYWwgQXJ0aWNsZSI+MTc8L3JlZi10eXBlPjxjb250cmlidXRvcnM+PGF1dGhvcnM+PGF1
dGhvcj5Pb3N0ZGFtLCBOLjwvYXV0aG9yPjxhdXRob3I+dmFuIFBvcHBlbCwgTS4gTi48L2F1dGhv
cj48YXV0aG9yPldvdXRlcnMsIE0uIEcuPC9hdXRob3I+PGF1dGhvcj5FZWtob2ZmLCBFLiBNLjwv
YXV0aG9yPjxhdXRob3I+QmVrZWRhbSwgRC4gSi48L2F1dGhvcj48YXV0aG9yPkt1Y2hlbmJlY2tl
ciwgVy4gSy48L2F1dGhvcj48YXV0aG9yPlF1YXJ0ZXJvLCBILiBXLjwvYXV0aG9yPjxhdXRob3I+
SGVyZXMsIE0uIEguPC9hdXRob3I+PGF1dGhvcj52YW4gTWVjaGVsZW4sIFcuPC9hdXRob3I+PC9h
dXRob3JzPjwvY29udHJpYnV0b3JzPjxhdXRoLWFkZHJlc3M+RGVwYXJ0bWVudCBvZiBQdWJsaWMg
YW5kIE9jY3VwYXRpb25hbCBIZWFsdGgsIEVNR08rIEluc3RpdHV0ZSBmb3IgSGVhbHRoIGFuZCBD
YXJlIFJlc2VhcmNoLCBWVSBVbml2ZXJzaXR5IE1lZGljYWwgQ2VudGVyLCBBbXN0ZXJkYW0sIFRo
ZSBOZXRoZXJsYW5kcy48L2F1dGgtYWRkcmVzcz48dGl0bGVzPjx0aXRsZT5ObyBlZmZlY3Qgb2Yg
dGhlIEZpdEZvcjIgZXhlcmNpc2UgcHJvZ3JhbW1lIG9uIGJsb29kIGdsdWNvc2UsIGluc3VsaW4g
c2Vuc2l0aXZpdHksIGFuZCBiaXJ0aHdlaWdodCBpbiBwcmVnbmFudCB3b21lbiB3aG8gd2VyZSBv
dmVyd2VpZ2h0IGFuZCBhdCByaXNrIGZvciBnZXN0YXRpb25hbCBkaWFiZXRlczogcmVzdWx0cyBv
ZiBhIHJhbmRvbWlzZWQgY29udHJvbGxlZCB0cmlhbDwvdGl0bGU+PHNlY29uZGFyeS10aXRsZT5C
Sk9HPC9zZWNvbmRhcnktdGl0bGU+PC90aXRsZXM+PHBlcmlvZGljYWw+PGZ1bGwtdGl0bGU+QkpP
RzwvZnVsbC10aXRsZT48L3BlcmlvZGljYWw+PHBhZ2VzPjEwOTgtMTA3PC9wYWdlcz48dm9sdW1l
PjExOTwvdm9sdW1lPjxudW1iZXI+OTwvbnVtYmVyPjxlZGl0aW9uPjIwMTIvMDUvMjQ8L2VkaXRp
b24+PGtleXdvcmRzPjxrZXl3b3JkPkFkdWx0PC9rZXl3b3JkPjxrZXl3b3JkPkJpcnRoIFdlaWdo
dC8qcGh5c2lvbG9neTwva2V5d29yZD48a2V5d29yZD5CbG9vZCBHbHVjb3NlLyptZXRhYm9saXNt
PC9rZXl3b3JkPjxrZXl3b3JkPkRpYWJldGVzIE1lbGxpdHVzLCBUeXBlIDIvZ2VuZXRpY3M8L2tl
eXdvcmQ+PGtleXdvcmQ+RGlhYmV0ZXMsIEdlc3RhdGlvbmFsL2Jsb29kL3BoeXNpb3BhdGhvbG9n
eS8qcHJldmVudGlvbiAmYW1wOyBjb250cm9sPC9rZXl3b3JkPjxrZXl3b3JkPkV4ZXJjaXNlIFRo
ZXJhcHkvKm1ldGhvZHM8L2tleXdvcmQ+PGtleXdvcmQ+RmFzdGluZy9ibG9vZDwva2V5d29yZD48
a2V5d29yZD5GZW1hbGU8L2tleXdvcmQ+PGtleXdvcmQ+R2VzdGF0aW9uYWwgQWdlPC9rZXl3b3Jk
PjxrZXl3b3JkPkdseWNhdGVkIEhlbW9nbG9iaW4gQS9tZXRhYm9saXNtPC9rZXl3b3JkPjxrZXl3
b3JkPkh1bWFuczwva2V5d29yZD48a2V5d29yZD5JbnN1bGluIFJlc2lzdGFuY2UvKnBoeXNpb2xv
Z3k8L2tleXdvcmQ+PGtleXdvcmQ+T3ZlcndlaWdodC9ibG9vZC9waHlzaW9wYXRob2xvZ3kvKnRo
ZXJhcHk8L2tleXdvcmQ+PGtleXdvcmQ+UGF0aWVudCBDb21wbGlhbmNlPC9rZXl3b3JkPjxrZXl3
b3JkPlBlZGlncmVlPC9rZXl3b3JkPjxrZXl3b3JkPlByZWduYW5jeTwva2V5d29yZD48a2V5d29y
ZD5QcmVnbmFuY3kgT3V0Y29tZTwva2V5d29yZD48a2V5d29yZD5QcmVnbmFuY3kgVHJpbWVzdGVy
LCBTZWNvbmQ8L2tleXdvcmQ+PGtleXdvcmQ+UHJlZ25hbmN5IFRyaW1lc3RlciwgVGhpcmQ8L2tl
eXdvcmQ+PC9rZXl3b3Jkcz48ZGF0ZXM+PHllYXI+MjAxMjwveWVhcj48cHViLWRhdGVzPjxkYXRl
PkF1ZzwvZGF0ZT48L3B1Yi1kYXRlcz48L2RhdGVzPjxpc2JuPjE0NzEtMDUyOCAoRWxlY3Ryb25p
YykmI3hEOzE0NzAtMDMyOCAoTGlua2luZyk8L2lzYm4+PGFjY2Vzc2lvbi1udW0+MjI2MTY5MTM8
L2FjY2Vzc2lvbi1udW0+PHVybHM+PHJlbGF0ZWQtdXJscz48dXJsPmh0dHBzOi8vd3d3Lm5jYmku
bmxtLm5paC5nb3YvcHVibWVkLzIyNjE2OTEzPC91cmw+PC9yZWxhdGVkLXVybHM+PC91cmxzPjxl
bGVjdHJvbmljLXJlc291cmNlLW51bT4xMC4xMTExL2ouMTQ3MS0wNTI4LjIwMTIuMDMzNjYueDwv
ZWxlY3Ryb25pYy1yZXNvdXJjZS1udW0+PC9yZWNvcmQ+PC9DaXRlPjxDaXRlPjxBdXRob3I+UGVy
YWxlczwvQXV0aG9yPjxZZWFyPjIwMTU8L1llYXI+PFJlY051bT4xMDcxPC9SZWNOdW0+PHJlY29y
ZD48cmVjLW51bWJlcj4xMDcxPC9yZWMtbnVtYmVyPjxmb3JlaWduLWtleXM+PGtleSBhcHA9IkVO
IiBkYi1pZD0iZXh2YXNyZngyZHRyYW9lc2FzeHAyc3pzeGEyZGY1MDI1OTJ4IiB0aW1lc3RhbXA9
IjE1NDg5OTEzNzMiPjEwNzE8L2tleT48L2ZvcmVpZ24ta2V5cz48cmVmLXR5cGUgbmFtZT0iSm91
cm5hbCBBcnRpY2xlIj4xNzwvcmVmLXR5cGU+PGNvbnRyaWJ1dG9ycz48YXV0aG9ycz48YXV0aG9y
PlBlcmFsZXMsIE0uLDwvYXV0aG9yPjxhdXRob3I+Q29yZGVybywgWS4sPC9hdXRob3I+PGF1dGhv
cj5WYXJnYXMsIE0uLDwvYXV0aG9yPjxhdXRob3I+THVjaWEsIEEuLDwvYXV0aG9yPjxhdXRob3I+
QmFyYWthdCwgUi4sPC9hdXRob3I+PC9hdXRob3JzPjwvY29udHJpYnV0b3JzPjx0aXRsZXM+PHRp
dGxlPkV4ZXJjaXNlIGFuZCBkZXByZXNzaW9uIGluIG92ZXJ3ZWlnaHQgYW5kIG9iZXNlIHByZWdu
YW50IHdvbWVuOiBBIHJhbmRvbWlzZWQgY29udHJvbGxlZCB0cmlhbDwvdGl0bGU+PHNlY29uZGFy
eS10aXRsZT5BcmNoIE1lZCBEZXBvcnRlPC9zZWNvbmRhcnktdGl0bGU+PC90aXRsZXM+PHBlcmlv
ZGljYWw+PGZ1bGwtdGl0bGU+QXJjaCBNZWQgRGVwb3J0ZTwvZnVsbC10aXRsZT48L3BlcmlvZGlj
YWw+PHBhZ2VzPjE1Ni0xNjM8L3BhZ2VzPjx2b2x1bWU+MzI8L3ZvbHVtZT48ZGF0ZXM+PHllYXI+
MjAxNTwveWVhcj48L2RhdGVzPjx1cmxzPjwvdXJscz48L3JlY29yZD48L0NpdGU+PENpdGU+PEF1
dGhvcj5SdWl6PC9BdXRob3I+PFllYXI+MjAxMzwvWWVhcj48UmVjTnVtPjY3MzwvUmVjTnVtPjxy
ZWNvcmQ+PHJlYy1udW1iZXI+NjczPC9yZWMtbnVtYmVyPjxmb3JlaWduLWtleXM+PGtleSBhcHA9
IkVOIiBkYi1pZD0iZXh2YXNyZngyZHRyYW9lc2FzeHAyc3pzeGEyZGY1MDI1OTJ4IiB0aW1lc3Rh
bXA9IjE1NDA1MjY3NDkiPjY3Mzwva2V5PjwvZm9yZWlnbi1rZXlzPjxyZWYtdHlwZSBuYW1lPSJK
b3VybmFsIEFydGljbGUiPjE3PC9yZWYtdHlwZT48Y29udHJpYnV0b3JzPjxhdXRob3JzPjxhdXRo
b3I+UnVpeiwgSi4gUi48L2F1dGhvcj48YXV0aG9yPlBlcmFsZXMsIE0uPC9hdXRob3I+PGF1dGhv
cj5QZWxhZXosIE0uPC9hdXRob3I+PGF1dGhvcj5Mb3BleiwgQy48L2F1dGhvcj48YXV0aG9yPkx1
Y2lhLCBBLjwvYXV0aG9yPjxhdXRob3I+QmFyYWthdCwgUi48L2F1dGhvcj48L2F1dGhvcnM+PC9j
b250cmlidXRvcnM+PGF1dGgtYWRkcmVzcz5Qcm9tb3RpbmcgRml0bmVzcyBhbmQgSGVhbHRoIFRo
cm91Z2ggUGh5c2ljYWwgQWN0aXZpdHkgUmVzZWFyY2ggR3JvdXAsIERlcGFydG1lbnQgb2YgUGh5
c2ljYWwgRWR1Y2F0aW9uIGFuZCBTcG9ydHMsIFNjaG9vbCBvZiBTcG9ydCBTY2llbmNlcywgVW5p
dmVyc2l0eSBvZiBHcmFuYWRhLCBHcmFuYWRhLCBTcGFpbi4gRWxlY3Ryb25pYyBhZGRyZXNzOiBy
dWl6akB1Z3IuZXMuPC9hdXRoLWFkZHJlc3M+PHRpdGxlcz48dGl0bGU+U3VwZXJ2aXNlZCBleGVy
Y2lzZS1iYXNlZCBpbnRlcnZlbnRpb24gdG8gcHJldmVudCBleGNlc3NpdmUgZ2VzdGF0aW9uYWwg
d2VpZ2h0IGdhaW46IGEgcmFuZG9taXplZCBjb250cm9sbGVkIHRyaWFsPC90aXRsZT48c2Vjb25k
YXJ5LXRpdGxlPk1heW8gQ2xpbiBQcm9jPC9zZWNvbmRhcnktdGl0bGU+PC90aXRsZXM+PHBlcmlv
ZGljYWw+PGZ1bGwtdGl0bGU+TWF5byBDbGluIFByb2M8L2Z1bGwtdGl0bGU+PC9wZXJpb2RpY2Fs
PjxwYWdlcz4xMzg4LTk3PC9wYWdlcz48dm9sdW1lPjg4PC92b2x1bWU+PG51bWJlcj4xMjwvbnVt
YmVyPjxlZGl0aW9uPjIwMTMvMTIvMDM8L2VkaXRpb24+PGtleXdvcmRzPjxrZXl3b3JkPkFkdWx0
PC9rZXl3b3JkPjxrZXl3b3JkPkJvZHkgTWFzcyBJbmRleDwva2V5d29yZD48a2V5d29yZD4qRXhl
cmNpc2U8L2tleXdvcmQ+PGtleXdvcmQ+RmVtYWxlPC9rZXl3b3JkPjxrZXl3b3JkPkh1bWFuczwv
a2V5d29yZD48a2V5d29yZD5OYXRpb25hbCBBY2FkZW1pZXMgb2YgU2NpZW5jZSwgRW5naW5lZXJp
bmcsIGFuZCBNZWRpY2luZSAoVS5TLikgSGVhbHRoIGFuZDwva2V5d29yZD48a2V5d29yZD5NZWRp
Y2luZSBEaXZpc2lvbjwva2V5d29yZD48a2V5d29yZD5PYmVzaXR5L2V0aW9sb2d5LypwcmV2ZW50
aW9uICZhbXA7IGNvbnRyb2w8L2tleXdvcmQ+PGtleXdvcmQ+T2RkcyBSYXRpbzwva2V5d29yZD48
a2V5d29yZD5QcmFjdGljZSBHdWlkZWxpbmVzIGFzIFRvcGljPC9rZXl3b3JkPjxrZXl3b3JkPlBy
ZWduYW5jeTwva2V5d29yZD48a2V5d29yZD5QcmVnbmFuY3kgQ29tcGxpY2F0aW9ucy8qcHJldmVu
dGlvbiAmYW1wOyBjb250cm9sPC9rZXl3b3JkPjxrZXl3b3JkPlJpc2sgRmFjdG9yczwva2V5d29y
ZD48a2V5d29yZD5UcmVhdG1lbnQgT3V0Y29tZTwva2V5d29yZD48a2V5d29yZD5Vbml0ZWQgU3Rh
dGVzPC9rZXl3b3JkPjxrZXl3b3JkPipXZWlnaHQgR2Fpbjwva2V5d29yZD48a2V5d29yZD5CbWk8
L2tleXdvcmQ+PGtleXdvcmQ+SW9tPC9rZXl3b3JkPjxrZXl3b3JkPkluc3RpdHV0ZSBvZiBNZWRp
Y2luZTwva2V5d29yZD48a2V5d29yZD5Pcjwva2V5d29yZD48a2V5d29yZD5SY3Q8L2tleXdvcmQ+
PGtleXdvcmQ+cmFuZG9taXplZCBjb250cm9sbGVkIHRyaWFsPC9rZXl3b3JkPjwva2V5d29yZHM+
PGRhdGVzPjx5ZWFyPjIwMTM8L3llYXI+PHB1Yi1kYXRlcz48ZGF0ZT5EZWM8L2RhdGU+PC9wdWIt
ZGF0ZXM+PC9kYXRlcz48aXNibj4xOTQyLTU1NDYgKEVsZWN0cm9uaWMpJiN4RDswMDI1LTYxOTYg
KExpbmtpbmcpPC9pc2JuPjxhY2Nlc3Npb24tbnVtPjI0MjkwMTEyPC9hY2Nlc3Npb24tbnVtPjx1
cmxzPjxyZWxhdGVkLXVybHM+PHVybD5odHRwczovL3d3dy5uY2JpLm5sbS5uaWguZ292L3B1Ym1l
ZC8yNDI5MDExMjwvdXJsPjwvcmVsYXRlZC11cmxzPjwvdXJscz48ZWxlY3Ryb25pYy1yZXNvdXJj
ZS1udW0+MTAuMTAxNi9qLm1heW9jcC4yMDEzLjA3LjAyMDwvZWxlY3Ryb25pYy1yZXNvdXJjZS1u
dW0+PC9yZWNvcmQ+PC9DaXRlPjxDaXRlPjxBdXRob3I+U2VuZXZpcmF0bmU8L0F1dGhvcj48WWVh
cj4yMDE2PC9ZZWFyPjxSZWNOdW0+OTQ1PC9SZWNOdW0+PHJlY29yZD48cmVjLW51bWJlcj45NDU8
L3JlYy1udW1iZXI+PGZvcmVpZ24ta2V5cz48a2V5IGFwcD0iRU4iIGRiLWlkPSJleHZhc3JmeDJk
dHJhb2VzYXN4cDJzenN4YTJkZjUwMjU5MngiIHRpbWVzdGFtcD0iMTU0MTU0MTg0OSI+OTQ1PC9r
ZXk+PGtleSBhcHA9IkVOV2ViIiBkYi1pZD0iIj4wPC9rZXk+PC9mb3JlaWduLWtleXM+PHJlZi10
eXBlIG5hbWU9IkpvdXJuYWwgQXJ0aWNsZSI+MTc8L3JlZi10eXBlPjxjb250cmlidXRvcnM+PGF1
dGhvcnM+PGF1dGhvcj5TZW5ldmlyYXRuZSwgUy4gTi48L2F1dGhvcj48YXV0aG9yPkppYW5nLCBZ
LjwvYXV0aG9yPjxhdXRob3I+RGVycmFpaywgSi48L2F1dGhvcj48YXV0aG9yPk1jQ293YW4sIEwu
PC9hdXRob3I+PGF1dGhvcj5QYXJyeSwgRy4gSy48L2F1dGhvcj48YXV0aG9yPkJpZ2dzLCBKLiBC
LjwvYXV0aG9yPjxhdXRob3I+Q3JhaWdpZSwgUy48L2F1dGhvcj48YXV0aG9yPkd1c3NvLCBTLjwv
YXV0aG9yPjxhdXRob3I+UGVyZXMsIEcuPC9hdXRob3I+PGF1dGhvcj5Sb2RyaWd1ZXMsIFIuIE8u
PC9hdXRob3I+PGF1dGhvcj5Fa2Vyb21hLCBBLjwvYXV0aG9yPjxhdXRob3I+Q3V0ZmllbGQsIFcu
IFMuPC9hdXRob3I+PGF1dGhvcj5Ib2ZtYW4sIFAuIEwuPC9hdXRob3I+PC9hdXRob3JzPjwvY29u
dHJpYnV0b3JzPjxhdXRoLWFkZHJlc3M+TGlnZ2lucyBJbnN0aXR1dGUsIFVuaXZlcnNpdHkgb2Yg
QXVja2xhbmQsIEF1Y2tsYW5kLCBOZXcgWmVhbGFuZC4mI3hEO0dyYXZpZGE6IE5hdGlvbmFsIENl
bnRyZSBmb3IgR3Jvd3RoIGFuZCBEZXZlbG9wbWVudCwgQXVja2xhbmQsIE5ldyBaZWFsYW5kLiYj
eEQ7RGVwYXJ0bWVudCBvZiBTdGF0aXN0aWNzLCBVbml2ZXJzaXR5IG9mIEF1Y2tsYW5kLCBBdWNr
bGFuZCwgTmV3IFplYWxhbmQuJiN4RDtEZXBhcnRtZW50IG9mIE9ic3RldHJpY3MgYW5kIEd5bmFl
Y29sb2d5LCBGYWN1bHR5IG9mIE1lZGljYWwgYW5kIEhlYWx0aCBTY2llbmNlLCBVbml2ZXJzaXR5
IG9mIEF1Y2tsYW5kLCBBdWNrbGFuZCwgTmV3IFplYWxhbmQuPC9hdXRoLWFkZHJlc3M+PHRpdGxl
cz48dGl0bGU+RWZmZWN0cyBvZiBhbnRlbmF0YWwgZXhlcmNpc2UgaW4gb3ZlcndlaWdodCBhbmQg
b2Jlc2UgcHJlZ25hbnQgd29tZW4gb24gbWF0ZXJuYWwgYW5kIHBlcmluYXRhbCBvdXRjb21lczog
YSByYW5kb21pc2VkIGNvbnRyb2xsZWQgdHJpYWw8L3RpdGxlPjxzZWNvbmRhcnktdGl0bGU+QkpP
Rzwvc2Vjb25kYXJ5LXRpdGxlPjwvdGl0bGVzPjxwZXJpb2RpY2FsPjxmdWxsLXRpdGxlPkJKT0c8
L2Z1bGwtdGl0bGU+PC9wZXJpb2RpY2FsPjxwYWdlcz41ODgtOTc8L3BhZ2VzPjx2b2x1bWU+MTIz
PC92b2x1bWU+PG51bWJlcj40PC9udW1iZXI+PGVkaXRpb24+MjAxNS8xMS8wNzwvZWRpdGlvbj48
a2V5d29yZHM+PGtleXdvcmQ+QWR1bHQ8L2tleXdvcmQ+PGtleXdvcmQ+Qm9keSBNYXNzIEluZGV4
PC9rZXl3b3JkPjxrZXl3b3JkPipFeGVyY2lzZSBUaGVyYXB5PC9rZXl3b3JkPjxrZXl3b3JkPkZl
bWFsZTwva2V5d29yZD48a2V5d29yZD5IdW1hbnM8L2tleXdvcmQ+PGtleXdvcmQ+TmV3IFplYWxh
bmQvZXBpZGVtaW9sb2d5PC9rZXl3b3JkPjxrZXl3b3JkPk9iZXNpdHkvZXBpZGVtaW9sb2d5L3By
ZXZlbnRpb24gJmFtcDsgY29udHJvbC8qdGhlcmFweTwva2V5d29yZD48a2V5d29yZD5PdmVyd2Vp
Z2h0L2VwaWRlbWlvbG9neS9wcmV2ZW50aW9uICZhbXA7IGNvbnRyb2wvKnRoZXJhcHk8L2tleXdv
cmQ+PGtleXdvcmQ+UGF0aWVudCBDb21wbGlhbmNlPC9rZXl3b3JkPjxrZXl3b3JkPlByZWduYW5j
eTwva2V5d29yZD48a2V5d29yZD5QcmVnbmFuY3kgT3V0Y29tZTwva2V5d29yZD48a2V5d29yZD4q
UHJlZ25hbnQgV29tZW4vcHN5Y2hvbG9neTwva2V5d29yZD48a2V5d29yZD4qUHJlbmF0YWwgQ2Fy
ZTwva2V5d29yZD48a2V5d29yZD5RdWFsaXR5IG9mIExpZmU8L2tleXdvcmQ+PGtleXdvcmQ+Umlz
ayBSZWR1Y3Rpb24gQmVoYXZpb3I8L2tleXdvcmQ+PGtleXdvcmQ+VHJlYXRtZW50IE91dGNvbWU8
L2tleXdvcmQ+PGtleXdvcmQ+V2VpZ2h0IEdhaW48L2tleXdvcmQ+PGtleXdvcmQ+QW50ZW5hdGFs
IGV4ZXJjaXNlPC9rZXl3b3JkPjxrZXl3b3JkPmJvZHkgY29tcG9zaXRpb248L2tleXdvcmQ+PGtl
eXdvcmQ+b2Jlc2l0eTwva2V5d29yZD48L2tleXdvcmRzPjxkYXRlcz48eWVhcj4yMDE2PC95ZWFy
PjxwdWItZGF0ZXM+PGRhdGU+TWFyPC9kYXRlPjwvcHViLWRhdGVzPjwvZGF0ZXM+PGlzYm4+MTQ3
MS0wNTI4IChFbGVjdHJvbmljKSYjeEQ7MTQ3MC0wMzI4IChMaW5raW5nKTwvaXNibj48YWNjZXNz
aW9uLW51bT4yNjU0MjQxOTwvYWNjZXNzaW9uLW51bT48dXJscz48cmVsYXRlZC11cmxzPjx1cmw+
aHR0cHM6Ly93d3cubmNiaS5ubG0ubmloLmdvdi9wdWJtZWQvMjY1NDI0MTk8L3VybD48L3JlbGF0
ZWQtdXJscz48L3VybHM+PGVsZWN0cm9uaWMtcmVzb3VyY2UtbnVtPjEwLjExMTEvMTQ3MS0wNTI4
LjEzNzM4PC9lbGVjdHJvbmljLXJlc291cmNlLW51bT48L3JlY29yZD48L0NpdGU+PC9FbmROb3Rl
Pn==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PEVuZE5vdGU+PENpdGU+PEF1dGhvcj5Lb25nPC9BdXRob3I+PFllYXI+MjAxNDwvWWVhcj48UmVj
TnVtPjc0ODwvUmVjTnVtPjxEaXNwbGF5VGV4dD48c3R5bGUgZmFjZT0ic3VwZXJzY3JpcHQiIGZv
bnQ9IlRyZWJ1Y2hldCBNUyIgc2l6ZT0iOSI+MjczLDQzOCw0MzksNDQzLDQ0OTwvc3R5bGU+PC9E
aXNwbGF5VGV4dD48cmVjb3JkPjxyZWMtbnVtYmVyPjc0ODwvcmVjLW51bWJlcj48Zm9yZWlnbi1r
ZXlzPjxrZXkgYXBwPSJFTiIgZGItaWQ9ImV4dmFzcmZ4MmR0cmFvZXNhc3hwMnN6c3hhMmRmNTAy
NTkyeCIgdGltZXN0YW1wPSIxNTQxNDY3OTA1Ij43NDg8L2tleT48a2V5IGFwcD0iRU5XZWIiIGRi
LWlkPSIiPjA8L2tleT48L2ZvcmVpZ24ta2V5cz48cmVmLXR5cGUgbmFtZT0iSm91cm5hbCBBcnRp
Y2xlIj4xNzwvcmVmLXR5cGU+PGNvbnRyaWJ1dG9ycz48YXV0aG9ycz48YXV0aG9yPktvbmcsIEsu
IEwuPC9hdXRob3I+PGF1dGhvcj5DYW1wYmVsbCwgQy48L2F1dGhvcj48YXV0aG9yPldhZ25lciwg
Sy48L2F1dGhvcj48YXV0aG9yPlBldGVyc29uLCBBLjwvYXV0aG9yPjxhdXRob3I+TGFubmluZ2hh
bS1Gb3N0ZXIsIEwuPC9hdXRob3I+PC9hdXRob3JzPjwvY29udHJpYnV0b3JzPjx0aXRsZXM+PHRp
dGxlPkltcGFjdCBvZiBhIHdhbGtpbmcgaW50ZXJ2ZW50aW9uIGR1cmluZyBwcmVnbmFuY3kgb24g
cG9zdC1wYXJ0dW0gd2VpZ2h0IHJldGVudGlvbiBhbmQgaW5mYW50IGFudGhyb3BvbWV0cmljIG91
dGNvbWVzPC90aXRsZT48c2Vjb25kYXJ5LXRpdGxlPkpvdXJuYWwgb2YgRGV2ZWxvcG1lbnRhbCBP
cmlnaW5zIG9mIEhlYWx0aCBhbmQgRGlzZWFzZTwvc2Vjb25kYXJ5LXRpdGxlPjwvdGl0bGVzPjxw
ZXJpb2RpY2FsPjxmdWxsLXRpdGxlPkpvdXJuYWwgb2YgRGV2ZWxvcG1lbnRhbCBPcmlnaW5zIG9m
IEhlYWx0aCBhbmQgRGlzZWFzZTwvZnVsbC10aXRsZT48L3BlcmlvZGljYWw+PHBhZ2VzPjI1OS0y
Njc8L3BhZ2VzPjx2b2x1bWU+NTwvdm9sdW1lPjxudW1iZXI+MDM8L251bWJlcj48c2VjdGlvbj4y
NTk8L3NlY3Rpb24+PGRhdGVzPjx5ZWFyPjIwMTQ8L3llYXI+PC9kYXRlcz48aXNibj4yMDQwLTE3
NDQmI3hEOzIwNDAtMTc1MjwvaXNibj48dXJscz48L3VybHM+PGVsZWN0cm9uaWMtcmVzb3VyY2Ut
bnVtPjEwLjEwMTcvczIwNDAxNzQ0MTQwMDAxMTc8L2VsZWN0cm9uaWMtcmVzb3VyY2UtbnVtPjwv
cmVjb3JkPjwvQ2l0ZT48Q2l0ZT48QXV0aG9yPk9vc3RkYW08L0F1dGhvcj48WWVhcj4yMDEyPC9Z
ZWFyPjxSZWNOdW0+NjEwPC9SZWNOdW0+PHJlY29yZD48cmVjLW51bWJlcj42MTA8L3JlYy1udW1i
ZXI+PGZvcmVpZ24ta2V5cz48a2V5IGFwcD0iRU4iIGRiLWlkPSJleHZhc3JmeDJkdHJhb2VzYXN4
cDJzenN4YTJkZjUwMjU5MngiIHRpbWVzdGFtcD0iMTUzOTA0ODM0NSI+NjEwPC9rZXk+PGtleSBh
cHA9IkVOV2ViIiBkYi1pZD0iIj4wPC9rZXk+PC9mb3JlaWduLWtleXM+PHJlZi10eXBlIG5hbWU9
IkpvdXJuYWwgQXJ0aWNsZSI+MTc8L3JlZi10eXBlPjxjb250cmlidXRvcnM+PGF1dGhvcnM+PGF1
dGhvcj5Pb3N0ZGFtLCBOLjwvYXV0aG9yPjxhdXRob3I+dmFuIFBvcHBlbCwgTS4gTi48L2F1dGhv
cj48YXV0aG9yPldvdXRlcnMsIE0uIEcuPC9hdXRob3I+PGF1dGhvcj5FZWtob2ZmLCBFLiBNLjwv
YXV0aG9yPjxhdXRob3I+QmVrZWRhbSwgRC4gSi48L2F1dGhvcj48YXV0aG9yPkt1Y2hlbmJlY2tl
ciwgVy4gSy48L2F1dGhvcj48YXV0aG9yPlF1YXJ0ZXJvLCBILiBXLjwvYXV0aG9yPjxhdXRob3I+
SGVyZXMsIE0uIEguPC9hdXRob3I+PGF1dGhvcj52YW4gTWVjaGVsZW4sIFcuPC9hdXRob3I+PC9h
dXRob3JzPjwvY29udHJpYnV0b3JzPjxhdXRoLWFkZHJlc3M+RGVwYXJ0bWVudCBvZiBQdWJsaWMg
YW5kIE9jY3VwYXRpb25hbCBIZWFsdGgsIEVNR08rIEluc3RpdHV0ZSBmb3IgSGVhbHRoIGFuZCBD
YXJlIFJlc2VhcmNoLCBWVSBVbml2ZXJzaXR5IE1lZGljYWwgQ2VudGVyLCBBbXN0ZXJkYW0sIFRo
ZSBOZXRoZXJsYW5kcy48L2F1dGgtYWRkcmVzcz48dGl0bGVzPjx0aXRsZT5ObyBlZmZlY3Qgb2Yg
dGhlIEZpdEZvcjIgZXhlcmNpc2UgcHJvZ3JhbW1lIG9uIGJsb29kIGdsdWNvc2UsIGluc3VsaW4g
c2Vuc2l0aXZpdHksIGFuZCBiaXJ0aHdlaWdodCBpbiBwcmVnbmFudCB3b21lbiB3aG8gd2VyZSBv
dmVyd2VpZ2h0IGFuZCBhdCByaXNrIGZvciBnZXN0YXRpb25hbCBkaWFiZXRlczogcmVzdWx0cyBv
ZiBhIHJhbmRvbWlzZWQgY29udHJvbGxlZCB0cmlhbDwvdGl0bGU+PHNlY29uZGFyeS10aXRsZT5C
Sk9HPC9zZWNvbmRhcnktdGl0bGU+PC90aXRsZXM+PHBlcmlvZGljYWw+PGZ1bGwtdGl0bGU+QkpP
RzwvZnVsbC10aXRsZT48L3BlcmlvZGljYWw+PHBhZ2VzPjEwOTgtMTA3PC9wYWdlcz48dm9sdW1l
PjExOTwvdm9sdW1lPjxudW1iZXI+OTwvbnVtYmVyPjxlZGl0aW9uPjIwMTIvMDUvMjQ8L2VkaXRp
b24+PGtleXdvcmRzPjxrZXl3b3JkPkFkdWx0PC9rZXl3b3JkPjxrZXl3b3JkPkJpcnRoIFdlaWdo
dC8qcGh5c2lvbG9neTwva2V5d29yZD48a2V5d29yZD5CbG9vZCBHbHVjb3NlLyptZXRhYm9saXNt
PC9rZXl3b3JkPjxrZXl3b3JkPkRpYWJldGVzIE1lbGxpdHVzLCBUeXBlIDIvZ2VuZXRpY3M8L2tl
eXdvcmQ+PGtleXdvcmQ+RGlhYmV0ZXMsIEdlc3RhdGlvbmFsL2Jsb29kL3BoeXNpb3BhdGhvbG9n
eS8qcHJldmVudGlvbiAmYW1wOyBjb250cm9sPC9rZXl3b3JkPjxrZXl3b3JkPkV4ZXJjaXNlIFRo
ZXJhcHkvKm1ldGhvZHM8L2tleXdvcmQ+PGtleXdvcmQ+RmFzdGluZy9ibG9vZDwva2V5d29yZD48
a2V5d29yZD5GZW1hbGU8L2tleXdvcmQ+PGtleXdvcmQ+R2VzdGF0aW9uYWwgQWdlPC9rZXl3b3Jk
PjxrZXl3b3JkPkdseWNhdGVkIEhlbW9nbG9iaW4gQS9tZXRhYm9saXNtPC9rZXl3b3JkPjxrZXl3
b3JkPkh1bWFuczwva2V5d29yZD48a2V5d29yZD5JbnN1bGluIFJlc2lzdGFuY2UvKnBoeXNpb2xv
Z3k8L2tleXdvcmQ+PGtleXdvcmQ+T3ZlcndlaWdodC9ibG9vZC9waHlzaW9wYXRob2xvZ3kvKnRo
ZXJhcHk8L2tleXdvcmQ+PGtleXdvcmQ+UGF0aWVudCBDb21wbGlhbmNlPC9rZXl3b3JkPjxrZXl3
b3JkPlBlZGlncmVlPC9rZXl3b3JkPjxrZXl3b3JkPlByZWduYW5jeTwva2V5d29yZD48a2V5d29y
ZD5QcmVnbmFuY3kgT3V0Y29tZTwva2V5d29yZD48a2V5d29yZD5QcmVnbmFuY3kgVHJpbWVzdGVy
LCBTZWNvbmQ8L2tleXdvcmQ+PGtleXdvcmQ+UHJlZ25hbmN5IFRyaW1lc3RlciwgVGhpcmQ8L2tl
eXdvcmQ+PC9rZXl3b3Jkcz48ZGF0ZXM+PHllYXI+MjAxMjwveWVhcj48cHViLWRhdGVzPjxkYXRl
PkF1ZzwvZGF0ZT48L3B1Yi1kYXRlcz48L2RhdGVzPjxpc2JuPjE0NzEtMDUyOCAoRWxlY3Ryb25p
YykmI3hEOzE0NzAtMDMyOCAoTGlua2luZyk8L2lzYm4+PGFjY2Vzc2lvbi1udW0+MjI2MTY5MTM8
L2FjY2Vzc2lvbi1udW0+PHVybHM+PHJlbGF0ZWQtdXJscz48dXJsPmh0dHBzOi8vd3d3Lm5jYmku
bmxtLm5paC5nb3YvcHVibWVkLzIyNjE2OTEzPC91cmw+PC9yZWxhdGVkLXVybHM+PC91cmxzPjxl
bGVjdHJvbmljLXJlc291cmNlLW51bT4xMC4xMTExL2ouMTQ3MS0wNTI4LjIwMTIuMDMzNjYueDwv
ZWxlY3Ryb25pYy1yZXNvdXJjZS1udW0+PC9yZWNvcmQ+PC9DaXRlPjxDaXRlPjxBdXRob3I+UGVy
YWxlczwvQXV0aG9yPjxZZWFyPjIwMTU8L1llYXI+PFJlY051bT4xMDcxPC9SZWNOdW0+PHJlY29y
ZD48cmVjLW51bWJlcj4xMDcxPC9yZWMtbnVtYmVyPjxmb3JlaWduLWtleXM+PGtleSBhcHA9IkVO
IiBkYi1pZD0iZXh2YXNyZngyZHRyYW9lc2FzeHAyc3pzeGEyZGY1MDI1OTJ4IiB0aW1lc3RhbXA9
IjE1NDg5OTEzNzMiPjEwNzE8L2tleT48L2ZvcmVpZ24ta2V5cz48cmVmLXR5cGUgbmFtZT0iSm91
cm5hbCBBcnRpY2xlIj4xNzwvcmVmLXR5cGU+PGNvbnRyaWJ1dG9ycz48YXV0aG9ycz48YXV0aG9y
PlBlcmFsZXMsIE0uLDwvYXV0aG9yPjxhdXRob3I+Q29yZGVybywgWS4sPC9hdXRob3I+PGF1dGhv
cj5WYXJnYXMsIE0uLDwvYXV0aG9yPjxhdXRob3I+THVjaWEsIEEuLDwvYXV0aG9yPjxhdXRob3I+
QmFyYWthdCwgUi4sPC9hdXRob3I+PC9hdXRob3JzPjwvY29udHJpYnV0b3JzPjx0aXRsZXM+PHRp
dGxlPkV4ZXJjaXNlIGFuZCBkZXByZXNzaW9uIGluIG92ZXJ3ZWlnaHQgYW5kIG9iZXNlIHByZWdu
YW50IHdvbWVuOiBBIHJhbmRvbWlzZWQgY29udHJvbGxlZCB0cmlhbDwvdGl0bGU+PHNlY29uZGFy
eS10aXRsZT5BcmNoIE1lZCBEZXBvcnRlPC9zZWNvbmRhcnktdGl0bGU+PC90aXRsZXM+PHBlcmlv
ZGljYWw+PGZ1bGwtdGl0bGU+QXJjaCBNZWQgRGVwb3J0ZTwvZnVsbC10aXRsZT48L3BlcmlvZGlj
YWw+PHBhZ2VzPjE1Ni0xNjM8L3BhZ2VzPjx2b2x1bWU+MzI8L3ZvbHVtZT48ZGF0ZXM+PHllYXI+
MjAxNTwveWVhcj48L2RhdGVzPjx1cmxzPjwvdXJscz48L3JlY29yZD48L0NpdGU+PENpdGU+PEF1
dGhvcj5SdWl6PC9BdXRob3I+PFllYXI+MjAxMzwvWWVhcj48UmVjTnVtPjY3MzwvUmVjTnVtPjxy
ZWNvcmQ+PHJlYy1udW1iZXI+NjczPC9yZWMtbnVtYmVyPjxmb3JlaWduLWtleXM+PGtleSBhcHA9
IkVOIiBkYi1pZD0iZXh2YXNyZngyZHRyYW9lc2FzeHAyc3pzeGEyZGY1MDI1OTJ4IiB0aW1lc3Rh
bXA9IjE1NDA1MjY3NDkiPjY3Mzwva2V5PjwvZm9yZWlnbi1rZXlzPjxyZWYtdHlwZSBuYW1lPSJK
b3VybmFsIEFydGljbGUiPjE3PC9yZWYtdHlwZT48Y29udHJpYnV0b3JzPjxhdXRob3JzPjxhdXRo
b3I+UnVpeiwgSi4gUi48L2F1dGhvcj48YXV0aG9yPlBlcmFsZXMsIE0uPC9hdXRob3I+PGF1dGhv
cj5QZWxhZXosIE0uPC9hdXRob3I+PGF1dGhvcj5Mb3BleiwgQy48L2F1dGhvcj48YXV0aG9yPkx1
Y2lhLCBBLjwvYXV0aG9yPjxhdXRob3I+QmFyYWthdCwgUi48L2F1dGhvcj48L2F1dGhvcnM+PC9j
b250cmlidXRvcnM+PGF1dGgtYWRkcmVzcz5Qcm9tb3RpbmcgRml0bmVzcyBhbmQgSGVhbHRoIFRo
cm91Z2ggUGh5c2ljYWwgQWN0aXZpdHkgUmVzZWFyY2ggR3JvdXAsIERlcGFydG1lbnQgb2YgUGh5
c2ljYWwgRWR1Y2F0aW9uIGFuZCBTcG9ydHMsIFNjaG9vbCBvZiBTcG9ydCBTY2llbmNlcywgVW5p
dmVyc2l0eSBvZiBHcmFuYWRhLCBHcmFuYWRhLCBTcGFpbi4gRWxlY3Ryb25pYyBhZGRyZXNzOiBy
dWl6akB1Z3IuZXMuPC9hdXRoLWFkZHJlc3M+PHRpdGxlcz48dGl0bGU+U3VwZXJ2aXNlZCBleGVy
Y2lzZS1iYXNlZCBpbnRlcnZlbnRpb24gdG8gcHJldmVudCBleGNlc3NpdmUgZ2VzdGF0aW9uYWwg
d2VpZ2h0IGdhaW46IGEgcmFuZG9taXplZCBjb250cm9sbGVkIHRyaWFsPC90aXRsZT48c2Vjb25k
YXJ5LXRpdGxlPk1heW8gQ2xpbiBQcm9jPC9zZWNvbmRhcnktdGl0bGU+PC90aXRsZXM+PHBlcmlv
ZGljYWw+PGZ1bGwtdGl0bGU+TWF5byBDbGluIFByb2M8L2Z1bGwtdGl0bGU+PC9wZXJpb2RpY2Fs
PjxwYWdlcz4xMzg4LTk3PC9wYWdlcz48dm9sdW1lPjg4PC92b2x1bWU+PG51bWJlcj4xMjwvbnVt
YmVyPjxlZGl0aW9uPjIwMTMvMTIvMDM8L2VkaXRpb24+PGtleXdvcmRzPjxrZXl3b3JkPkFkdWx0
PC9rZXl3b3JkPjxrZXl3b3JkPkJvZHkgTWFzcyBJbmRleDwva2V5d29yZD48a2V5d29yZD4qRXhl
cmNpc2U8L2tleXdvcmQ+PGtleXdvcmQ+RmVtYWxlPC9rZXl3b3JkPjxrZXl3b3JkPkh1bWFuczwv
a2V5d29yZD48a2V5d29yZD5OYXRpb25hbCBBY2FkZW1pZXMgb2YgU2NpZW5jZSwgRW5naW5lZXJp
bmcsIGFuZCBNZWRpY2luZSAoVS5TLikgSGVhbHRoIGFuZDwva2V5d29yZD48a2V5d29yZD5NZWRp
Y2luZSBEaXZpc2lvbjwva2V5d29yZD48a2V5d29yZD5PYmVzaXR5L2V0aW9sb2d5LypwcmV2ZW50
aW9uICZhbXA7IGNvbnRyb2w8L2tleXdvcmQ+PGtleXdvcmQ+T2RkcyBSYXRpbzwva2V5d29yZD48
a2V5d29yZD5QcmFjdGljZSBHdWlkZWxpbmVzIGFzIFRvcGljPC9rZXl3b3JkPjxrZXl3b3JkPlBy
ZWduYW5jeTwva2V5d29yZD48a2V5d29yZD5QcmVnbmFuY3kgQ29tcGxpY2F0aW9ucy8qcHJldmVu
dGlvbiAmYW1wOyBjb250cm9sPC9rZXl3b3JkPjxrZXl3b3JkPlJpc2sgRmFjdG9yczwva2V5d29y
ZD48a2V5d29yZD5UcmVhdG1lbnQgT3V0Y29tZTwva2V5d29yZD48a2V5d29yZD5Vbml0ZWQgU3Rh
dGVzPC9rZXl3b3JkPjxrZXl3b3JkPipXZWlnaHQgR2Fpbjwva2V5d29yZD48a2V5d29yZD5CbWk8
L2tleXdvcmQ+PGtleXdvcmQ+SW9tPC9rZXl3b3JkPjxrZXl3b3JkPkluc3RpdHV0ZSBvZiBNZWRp
Y2luZTwva2V5d29yZD48a2V5d29yZD5Pcjwva2V5d29yZD48a2V5d29yZD5SY3Q8L2tleXdvcmQ+
PGtleXdvcmQ+cmFuZG9taXplZCBjb250cm9sbGVkIHRyaWFsPC9rZXl3b3JkPjwva2V5d29yZHM+
PGRhdGVzPjx5ZWFyPjIwMTM8L3llYXI+PHB1Yi1kYXRlcz48ZGF0ZT5EZWM8L2RhdGU+PC9wdWIt
ZGF0ZXM+PC9kYXRlcz48aXNibj4xOTQyLTU1NDYgKEVsZWN0cm9uaWMpJiN4RDswMDI1LTYxOTYg
KExpbmtpbmcpPC9pc2JuPjxhY2Nlc3Npb24tbnVtPjI0MjkwMTEyPC9hY2Nlc3Npb24tbnVtPjx1
cmxzPjxyZWxhdGVkLXVybHM+PHVybD5odHRwczovL3d3dy5uY2JpLm5sbS5uaWguZ292L3B1Ym1l
ZC8yNDI5MDExMjwvdXJsPjwvcmVsYXRlZC11cmxzPjwvdXJscz48ZWxlY3Ryb25pYy1yZXNvdXJj
ZS1udW0+MTAuMTAxNi9qLm1heW9jcC4yMDEzLjA3LjAyMDwvZWxlY3Ryb25pYy1yZXNvdXJjZS1u
dW0+PC9yZWNvcmQ+PC9DaXRlPjxDaXRlPjxBdXRob3I+U2VuZXZpcmF0bmU8L0F1dGhvcj48WWVh
cj4yMDE2PC9ZZWFyPjxSZWNOdW0+OTQ1PC9SZWNOdW0+PHJlY29yZD48cmVjLW51bWJlcj45NDU8
L3JlYy1udW1iZXI+PGZvcmVpZ24ta2V5cz48a2V5IGFwcD0iRU4iIGRiLWlkPSJleHZhc3JmeDJk
dHJhb2VzYXN4cDJzenN4YTJkZjUwMjU5MngiIHRpbWVzdGFtcD0iMTU0MTU0MTg0OSI+OTQ1PC9r
ZXk+PGtleSBhcHA9IkVOV2ViIiBkYi1pZD0iIj4wPC9rZXk+PC9mb3JlaWduLWtleXM+PHJlZi10
eXBlIG5hbWU9IkpvdXJuYWwgQXJ0aWNsZSI+MTc8L3JlZi10eXBlPjxjb250cmlidXRvcnM+PGF1
dGhvcnM+PGF1dGhvcj5TZW5ldmlyYXRuZSwgUy4gTi48L2F1dGhvcj48YXV0aG9yPkppYW5nLCBZ
LjwvYXV0aG9yPjxhdXRob3I+RGVycmFpaywgSi48L2F1dGhvcj48YXV0aG9yPk1jQ293YW4sIEwu
PC9hdXRob3I+PGF1dGhvcj5QYXJyeSwgRy4gSy48L2F1dGhvcj48YXV0aG9yPkJpZ2dzLCBKLiBC
LjwvYXV0aG9yPjxhdXRob3I+Q3JhaWdpZSwgUy48L2F1dGhvcj48YXV0aG9yPkd1c3NvLCBTLjwv
YXV0aG9yPjxhdXRob3I+UGVyZXMsIEcuPC9hdXRob3I+PGF1dGhvcj5Sb2RyaWd1ZXMsIFIuIE8u
PC9hdXRob3I+PGF1dGhvcj5Fa2Vyb21hLCBBLjwvYXV0aG9yPjxhdXRob3I+Q3V0ZmllbGQsIFcu
IFMuPC9hdXRob3I+PGF1dGhvcj5Ib2ZtYW4sIFAuIEwuPC9hdXRob3I+PC9hdXRob3JzPjwvY29u
dHJpYnV0b3JzPjxhdXRoLWFkZHJlc3M+TGlnZ2lucyBJbnN0aXR1dGUsIFVuaXZlcnNpdHkgb2Yg
QXVja2xhbmQsIEF1Y2tsYW5kLCBOZXcgWmVhbGFuZC4mI3hEO0dyYXZpZGE6IE5hdGlvbmFsIENl
bnRyZSBmb3IgR3Jvd3RoIGFuZCBEZXZlbG9wbWVudCwgQXVja2xhbmQsIE5ldyBaZWFsYW5kLiYj
eEQ7RGVwYXJ0bWVudCBvZiBTdGF0aXN0aWNzLCBVbml2ZXJzaXR5IG9mIEF1Y2tsYW5kLCBBdWNr
bGFuZCwgTmV3IFplYWxhbmQuJiN4RDtEZXBhcnRtZW50IG9mIE9ic3RldHJpY3MgYW5kIEd5bmFl
Y29sb2d5LCBGYWN1bHR5IG9mIE1lZGljYWwgYW5kIEhlYWx0aCBTY2llbmNlLCBVbml2ZXJzaXR5
IG9mIEF1Y2tsYW5kLCBBdWNrbGFuZCwgTmV3IFplYWxhbmQuPC9hdXRoLWFkZHJlc3M+PHRpdGxl
cz48dGl0bGU+RWZmZWN0cyBvZiBhbnRlbmF0YWwgZXhlcmNpc2UgaW4gb3ZlcndlaWdodCBhbmQg
b2Jlc2UgcHJlZ25hbnQgd29tZW4gb24gbWF0ZXJuYWwgYW5kIHBlcmluYXRhbCBvdXRjb21lczog
YSByYW5kb21pc2VkIGNvbnRyb2xsZWQgdHJpYWw8L3RpdGxlPjxzZWNvbmRhcnktdGl0bGU+QkpP
Rzwvc2Vjb25kYXJ5LXRpdGxlPjwvdGl0bGVzPjxwZXJpb2RpY2FsPjxmdWxsLXRpdGxlPkJKT0c8
L2Z1bGwtdGl0bGU+PC9wZXJpb2RpY2FsPjxwYWdlcz41ODgtOTc8L3BhZ2VzPjx2b2x1bWU+MTIz
PC92b2x1bWU+PG51bWJlcj40PC9udW1iZXI+PGVkaXRpb24+MjAxNS8xMS8wNzwvZWRpdGlvbj48
a2V5d29yZHM+PGtleXdvcmQ+QWR1bHQ8L2tleXdvcmQ+PGtleXdvcmQ+Qm9keSBNYXNzIEluZGV4
PC9rZXl3b3JkPjxrZXl3b3JkPipFeGVyY2lzZSBUaGVyYXB5PC9rZXl3b3JkPjxrZXl3b3JkPkZl
bWFsZTwva2V5d29yZD48a2V5d29yZD5IdW1hbnM8L2tleXdvcmQ+PGtleXdvcmQ+TmV3IFplYWxh
bmQvZXBpZGVtaW9sb2d5PC9rZXl3b3JkPjxrZXl3b3JkPk9iZXNpdHkvZXBpZGVtaW9sb2d5L3By
ZXZlbnRpb24gJmFtcDsgY29udHJvbC8qdGhlcmFweTwva2V5d29yZD48a2V5d29yZD5PdmVyd2Vp
Z2h0L2VwaWRlbWlvbG9neS9wcmV2ZW50aW9uICZhbXA7IGNvbnRyb2wvKnRoZXJhcHk8L2tleXdv
cmQ+PGtleXdvcmQ+UGF0aWVudCBDb21wbGlhbmNlPC9rZXl3b3JkPjxrZXl3b3JkPlByZWduYW5j
eTwva2V5d29yZD48a2V5d29yZD5QcmVnbmFuY3kgT3V0Y29tZTwva2V5d29yZD48a2V5d29yZD4q
UHJlZ25hbnQgV29tZW4vcHN5Y2hvbG9neTwva2V5d29yZD48a2V5d29yZD4qUHJlbmF0YWwgQ2Fy
ZTwva2V5d29yZD48a2V5d29yZD5RdWFsaXR5IG9mIExpZmU8L2tleXdvcmQ+PGtleXdvcmQ+Umlz
ayBSZWR1Y3Rpb24gQmVoYXZpb3I8L2tleXdvcmQ+PGtleXdvcmQ+VHJlYXRtZW50IE91dGNvbWU8
L2tleXdvcmQ+PGtleXdvcmQ+V2VpZ2h0IEdhaW48L2tleXdvcmQ+PGtleXdvcmQ+QW50ZW5hdGFs
IGV4ZXJjaXNlPC9rZXl3b3JkPjxrZXl3b3JkPmJvZHkgY29tcG9zaXRpb248L2tleXdvcmQ+PGtl
eXdvcmQ+b2Jlc2l0eTwva2V5d29yZD48L2tleXdvcmRzPjxkYXRlcz48eWVhcj4yMDE2PC95ZWFy
PjxwdWItZGF0ZXM+PGRhdGU+TWFyPC9kYXRlPjwvcHViLWRhdGVzPjwvZGF0ZXM+PGlzYm4+MTQ3
MS0wNTI4IChFbGVjdHJvbmljKSYjeEQ7MTQ3MC0wMzI4IChMaW5raW5nKTwvaXNibj48YWNjZXNz
aW9uLW51bT4yNjU0MjQxOTwvYWNjZXNzaW9uLW51bT48dXJscz48cmVsYXRlZC11cmxzPjx1cmw+
aHR0cHM6Ly93d3cubmNiaS5ubG0ubmloLmdvdi9wdWJtZWQvMjY1NDI0MTk8L3VybD48L3JlbGF0
ZWQtdXJscz48L3VybHM+PGVsZWN0cm9uaWMtcmVzb3VyY2UtbnVtPjEwLjExMTEvMTQ3MS0wNTI4
LjEzNzM4PC9lbGVjdHJvbmljLXJlc291cmNlLW51bT48L3JlY29yZD48L0NpdGU+PC9FbmROb3Rl
Pn==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273,438,439,443,449</w:t>
      </w:r>
      <w:r>
        <w:rPr>
          <w:noProof/>
          <w:sz w:val="16"/>
          <w:szCs w:val="16"/>
        </w:rPr>
        <w:fldChar w:fldCharType="end"/>
      </w:r>
      <w:r>
        <w:rPr>
          <w:sz w:val="16"/>
          <w:szCs w:val="16"/>
        </w:rPr>
        <w:t xml:space="preserve"> </w:t>
      </w:r>
      <w:r w:rsidRPr="008B4882">
        <w:t>BMI ≥26,</w:t>
      </w:r>
      <w:r>
        <w:rPr>
          <w:sz w:val="16"/>
          <w:szCs w:val="16"/>
        </w:rPr>
        <w:fldChar w:fldCharType="begin"/>
      </w:r>
      <w:r w:rsidR="002747EA">
        <w:rPr>
          <w:sz w:val="16"/>
          <w:szCs w:val="16"/>
        </w:rPr>
        <w:instrText xml:space="preserve"> ADDIN EN.CITE &lt;EndNote&gt;&lt;Cite&gt;&lt;Author&gt;Nascimento&lt;/Author&gt;&lt;Year&gt;2011&lt;/Year&gt;&lt;RecNum&gt;1040&lt;/RecNum&gt;&lt;DisplayText&gt;&lt;style face="superscript" font="Trebuchet MS" size="9"&gt;437&lt;/style&gt;&lt;/DisplayText&gt;&lt;record&gt;&lt;rec-number&gt;1040&lt;/rec-number&gt;&lt;foreign-keys&gt;&lt;key app="EN" db-id="exvasrfx2dtraoesasxp2szsxa2df502592x" timestamp="1548983476"&gt;1040&lt;/key&gt;&lt;/foreign-keys&gt;&lt;ref-type name="Journal Article"&gt;17&lt;/ref-type&gt;&lt;contributors&gt;&lt;authors&gt;&lt;author&gt;Nascimento, S. L.&lt;/author&gt;&lt;author&gt;Surita, F. G.&lt;/author&gt;&lt;author&gt;Parpinelli, MÂ&lt;/author&gt;&lt;author&gt;Siani, S.&lt;/author&gt;&lt;author&gt;Pinto e Silva, J. L.&lt;/author&gt;&lt;/authors&gt;&lt;/contributors&gt;&lt;titles&gt;&lt;title&gt;The effect of an antenatal physical exercise programme on maternal/perinatal outcomes and quality of life in overweight and obese pregnant women: a randomised clinical trial&lt;/title&gt;&lt;secondary-title&gt;BJOG: An International Journal of Obstetrics &amp;amp; Gynaecology&lt;/secondary-title&gt;&lt;/titles&gt;&lt;periodical&gt;&lt;full-title&gt;BJOG: An International Journal of Obstetrics &amp;amp; Gynaecology&lt;/full-title&gt;&lt;/periodical&gt;&lt;pages&gt;1455-1463&lt;/pages&gt;&lt;volume&gt;118&lt;/volume&gt;&lt;number&gt;12&lt;/number&gt;&lt;section&gt;1455&lt;/section&gt;&lt;dates&gt;&lt;year&gt;2011&lt;/year&gt;&lt;/dates&gt;&lt;isbn&gt;14700328&lt;/isbn&gt;&lt;urls&gt;&lt;/urls&gt;&lt;electronic-resource-num&gt;10.1111/j.1471-0528.2011.03084.x&lt;/electronic-resource-num&gt;&lt;/record&gt;&lt;/Cite&gt;&lt;/EndNote&gt;</w:instrText>
      </w:r>
      <w:r>
        <w:rPr>
          <w:sz w:val="16"/>
          <w:szCs w:val="16"/>
        </w:rPr>
        <w:fldChar w:fldCharType="separate"/>
      </w:r>
      <w:r w:rsidR="002747EA" w:rsidRPr="002747EA">
        <w:rPr>
          <w:noProof/>
          <w:szCs w:val="16"/>
          <w:vertAlign w:val="superscript"/>
        </w:rPr>
        <w:t>437</w:t>
      </w:r>
      <w:r>
        <w:rPr>
          <w:sz w:val="16"/>
          <w:szCs w:val="16"/>
        </w:rPr>
        <w:fldChar w:fldCharType="end"/>
      </w:r>
      <w:r>
        <w:t xml:space="preserve"> </w:t>
      </w:r>
      <w:r w:rsidRPr="008B4882">
        <w:t>BMI ≥28,</w:t>
      </w:r>
      <w:r>
        <w:rPr>
          <w:noProof/>
          <w:sz w:val="16"/>
          <w:szCs w:val="16"/>
        </w:rPr>
        <w:fldChar w:fldCharType="begin">
          <w:fldData xml:space="preserve">PEVuZE5vdGU+PENpdGU+PEF1dGhvcj5HYXJuYWVzPC9BdXRob3I+PFllYXI+MjAxNjwvWWVhcj48
UmVjTnVtPjY4ODwvUmVjTnVtPjxEaXNwbGF5VGV4dD48c3R5bGUgZmFjZT0ic3VwZXJzY3JpcHQi
IGZvbnQ9IlRyZWJ1Y2hldCBNUyIgc2l6ZT0iOSI+MzA0PC9zdHlsZT48L0Rpc3BsYXlUZXh0Pjxy
ZWNvcmQ+PHJlYy1udW1iZXI+Njg4PC9yZWMtbnVtYmVyPjxmb3JlaWduLWtleXM+PGtleSBhcHA9
IkVOIiBkYi1pZD0iZXh2YXNyZngyZHRyYW9lc2FzeHAyc3pzeGEyZGY1MDI1OTJ4IiB0aW1lc3Rh
bXA9IjE1NDA1MjczOTMiPjY4ODwva2V5PjwvZm9yZWlnbi1rZXlzPjxyZWYtdHlwZSBuYW1lPSJK
b3VybmFsIEFydGljbGUiPjE3PC9yZWYtdHlwZT48Y29udHJpYnV0b3JzPjxhdXRob3JzPjxhdXRo
b3I+R2FybmFlcywgSy4gSy48L2F1dGhvcj48YXV0aG9yPk1vcmt2ZWQsIFMuPC9hdXRob3I+PGF1
dGhvcj5TYWx2ZXNlbiwgTy48L2F1dGhvcj48YXV0aG9yPk1vaG9sZHQsIFQuPC9hdXRob3I+PC9h
dXRob3JzPjwvY29udHJpYnV0b3JzPjxhdXRoLWFkZHJlc3M+RGVwYXJ0bWVudCBvZiBDaXJjdWxh
dGlvbiBhbmQgTWVkaWNhbCBJbWFnaW5nLCBNZWRpY2FsIEZhY3VsdHksIE5vcndlZ2lhbiBVbml2
ZXJzaXR5IG9mIFNjaWVuY2UgYW5kIFRlY2hub2xvZ3kgKE5UTlUpLCBUcm9uZGhlaW0sIE5vcndh
eS4mI3hEO0RlcGFydG1lbnQgb2YgUHVibGljIEhlYWx0aCBhbmQgR2VuZXJhbCBQcmFjdGljZSwg
TWVkaWNhbCBGYWN1bHR5LCBOb3J3ZWdpYW4gVW5pdmVyc2l0eSBvZiBTY2llbmNlIGFuZCBUZWNo
bm9sb2d5IChOVE5VKSwgVHJvbmRoZWltLCBOb3J3YXkuJiN4RDtDbGluaWNhbCBTZXJ2aWNlLCBT
dC4gT2xhdnMgSG9zcGl0YWwsIFRyb25kaGVpbSBVbml2ZXJzaXR5IEhvc3BpdGFsLCBUcm9uZGhl
aW0sIE5vcndheS4mI3hEO0RlcGFydG1lbnQgb2YgV29tZW4mYXBvcztzIEhlYWx0aCwgU3QuIE9s
YXZzIEhvc3BpdGFsLCBUcm9uZGhlaW0gVW5pdmVyc2l0eSBIb3NwaXRhbCwgVHJvbmRoZWltLCBO
b3J3YXkuPC9hdXRoLWFkZHJlc3M+PHRpdGxlcz48dGl0bGU+RXhlcmNpc2UgVHJhaW5pbmcgYW5k
IFdlaWdodCBHYWluIGluIE9iZXNlIFByZWduYW50IFdvbWVuOiBBIFJhbmRvbWl6ZWQgQ29udHJv
bGxlZCBUcmlhbCAoRVRJUCBUcmlhbCk8L3RpdGxlPjxzZWNvbmRhcnktdGl0bGU+UExvUyBNZWQ8
L3NlY29uZGFyeS10aXRsZT48L3RpdGxlcz48cGVyaW9kaWNhbD48ZnVsbC10aXRsZT5QTG9TIE1l
ZDwvZnVsbC10aXRsZT48L3BlcmlvZGljYWw+PHBhZ2VzPmUxMDAyMDc5PC9wYWdlcz48dm9sdW1l
PjEzPC92b2x1bWU+PG51bWJlcj43PC9udW1iZXI+PGVkaXRpb24+MjAxNi8wNy8yODwvZWRpdGlv
bj48a2V5d29yZHM+PGtleXdvcmQ+QWR1bHQ8L2tleXdvcmQ+PGtleXdvcmQ+Qmxvb2QgUHJlc3N1
cmU8L2tleXdvcmQ+PGtleXdvcmQ+RGlhYmV0ZXMsIEdlc3RhdGlvbmFsL3ByZXZlbnRpb24gJmFt
cDsgY29udHJvbDwva2V5d29yZD48a2V5d29yZD5FeGVyY2lzZS9waHlzaW9sb2d5PC9rZXl3b3Jk
PjxrZXl3b3JkPkV4ZXJjaXNlIFRoZXJhcHkvYWR2ZXJzZSBlZmZlY3RzLyptZXRob2RzPC9rZXl3
b3JkPjxrZXl3b3JkPkZlbWFsZTwva2V5d29yZD48a2V5d29yZD5IdW1hbnM8L2tleXdvcmQ+PGtl
eXdvcmQ+T2Jlc2l0eS8qY29tcGxpY2F0aW9ucy9wcmV2ZW50aW9uICZhbXA7IGNvbnRyb2wvdGhl
cmFweTwva2V5d29yZD48a2V5d29yZD5PdmVyd2VpZ2h0L2NvbXBsaWNhdGlvbnMvcHJldmVudGlv
biAmYW1wOyBjb250cm9sL3RoZXJhcHk8L2tleXdvcmQ+PGtleXdvcmQ+UHJlZ25hbmN5PC9rZXl3
b3JkPjxrZXl3b3JkPlByZWduYW5jeSBDb21wbGljYXRpb25zL3ByZXZlbnRpb24gJmFtcDsgY29u
dHJvbC8qdGhlcmFweTwva2V5d29yZD48a2V5d29yZD5UcmVhdG1lbnQgT3V0Y29tZTwva2V5d29y
ZD48a2V5d29yZD5XZWlnaHQgR2Fpbjwva2V5d29yZD48L2tleXdvcmRzPjxkYXRlcz48eWVhcj4y
MDE2PC95ZWFyPjxwdWItZGF0ZXM+PGRhdGU+SnVsPC9kYXRlPjwvcHViLWRhdGVzPjwvZGF0ZXM+
PGlzYm4+MTU0OS0xNjc2IChFbGVjdHJvbmljKSYjeEQ7MTU0OS0xMjc3IChMaW5raW5nKTwvaXNi
bj48YWNjZXNzaW9uLW51bT4yNzQ1OTM3NTwvYWNjZXNzaW9uLW51bT48dXJscz48cmVsYXRlZC11
cmxzPjx1cmw+aHR0cHM6Ly93d3cubmNiaS5ubG0ubmloLmdvdi9wdWJtZWQvMjc0NTkzNzU8L3Vy
bD48L3JlbGF0ZWQtdXJscz48L3VybHM+PGN1c3RvbTI+UE1DNDk2MTM5MjwvY3VzdG9tMj48ZWxl
Y3Ryb25pYy1yZXNvdXJjZS1udW0+MTAuMTM3MS9qb3VybmFsLnBtZWQuMTAwMjA3OTwvZWxlY3Ry
b25pYy1yZXNvdXJjZS1udW0+PC9yZWNvcmQ+PC9DaXRlPjwvRW5kTm90ZT4A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PEVuZE5vdGU+PENpdGU+PEF1dGhvcj5HYXJuYWVzPC9BdXRob3I+PFllYXI+MjAxNjwvWWVhcj48
UmVjTnVtPjY4ODwvUmVjTnVtPjxEaXNwbGF5VGV4dD48c3R5bGUgZmFjZT0ic3VwZXJzY3JpcHQi
IGZvbnQ9IlRyZWJ1Y2hldCBNUyIgc2l6ZT0iOSI+MzA0PC9zdHlsZT48L0Rpc3BsYXlUZXh0Pjxy
ZWNvcmQ+PHJlYy1udW1iZXI+Njg4PC9yZWMtbnVtYmVyPjxmb3JlaWduLWtleXM+PGtleSBhcHA9
IkVOIiBkYi1pZD0iZXh2YXNyZngyZHRyYW9lc2FzeHAyc3pzeGEyZGY1MDI1OTJ4IiB0aW1lc3Rh
bXA9IjE1NDA1MjczOTMiPjY4ODwva2V5PjwvZm9yZWlnbi1rZXlzPjxyZWYtdHlwZSBuYW1lPSJK
b3VybmFsIEFydGljbGUiPjE3PC9yZWYtdHlwZT48Y29udHJpYnV0b3JzPjxhdXRob3JzPjxhdXRo
b3I+R2FybmFlcywgSy4gSy48L2F1dGhvcj48YXV0aG9yPk1vcmt2ZWQsIFMuPC9hdXRob3I+PGF1
dGhvcj5TYWx2ZXNlbiwgTy48L2F1dGhvcj48YXV0aG9yPk1vaG9sZHQsIFQuPC9hdXRob3I+PC9h
dXRob3JzPjwvY29udHJpYnV0b3JzPjxhdXRoLWFkZHJlc3M+RGVwYXJ0bWVudCBvZiBDaXJjdWxh
dGlvbiBhbmQgTWVkaWNhbCBJbWFnaW5nLCBNZWRpY2FsIEZhY3VsdHksIE5vcndlZ2lhbiBVbml2
ZXJzaXR5IG9mIFNjaWVuY2UgYW5kIFRlY2hub2xvZ3kgKE5UTlUpLCBUcm9uZGhlaW0sIE5vcndh
eS4mI3hEO0RlcGFydG1lbnQgb2YgUHVibGljIEhlYWx0aCBhbmQgR2VuZXJhbCBQcmFjdGljZSwg
TWVkaWNhbCBGYWN1bHR5LCBOb3J3ZWdpYW4gVW5pdmVyc2l0eSBvZiBTY2llbmNlIGFuZCBUZWNo
bm9sb2d5IChOVE5VKSwgVHJvbmRoZWltLCBOb3J3YXkuJiN4RDtDbGluaWNhbCBTZXJ2aWNlLCBT
dC4gT2xhdnMgSG9zcGl0YWwsIFRyb25kaGVpbSBVbml2ZXJzaXR5IEhvc3BpdGFsLCBUcm9uZGhl
aW0sIE5vcndheS4mI3hEO0RlcGFydG1lbnQgb2YgV29tZW4mYXBvcztzIEhlYWx0aCwgU3QuIE9s
YXZzIEhvc3BpdGFsLCBUcm9uZGhlaW0gVW5pdmVyc2l0eSBIb3NwaXRhbCwgVHJvbmRoZWltLCBO
b3J3YXkuPC9hdXRoLWFkZHJlc3M+PHRpdGxlcz48dGl0bGU+RXhlcmNpc2UgVHJhaW5pbmcgYW5k
IFdlaWdodCBHYWluIGluIE9iZXNlIFByZWduYW50IFdvbWVuOiBBIFJhbmRvbWl6ZWQgQ29udHJv
bGxlZCBUcmlhbCAoRVRJUCBUcmlhbCk8L3RpdGxlPjxzZWNvbmRhcnktdGl0bGU+UExvUyBNZWQ8
L3NlY29uZGFyeS10aXRsZT48L3RpdGxlcz48cGVyaW9kaWNhbD48ZnVsbC10aXRsZT5QTG9TIE1l
ZDwvZnVsbC10aXRsZT48L3BlcmlvZGljYWw+PHBhZ2VzPmUxMDAyMDc5PC9wYWdlcz48dm9sdW1l
PjEzPC92b2x1bWU+PG51bWJlcj43PC9udW1iZXI+PGVkaXRpb24+MjAxNi8wNy8yODwvZWRpdGlv
bj48a2V5d29yZHM+PGtleXdvcmQ+QWR1bHQ8L2tleXdvcmQ+PGtleXdvcmQ+Qmxvb2QgUHJlc3N1
cmU8L2tleXdvcmQ+PGtleXdvcmQ+RGlhYmV0ZXMsIEdlc3RhdGlvbmFsL3ByZXZlbnRpb24gJmFt
cDsgY29udHJvbDwva2V5d29yZD48a2V5d29yZD5FeGVyY2lzZS9waHlzaW9sb2d5PC9rZXl3b3Jk
PjxrZXl3b3JkPkV4ZXJjaXNlIFRoZXJhcHkvYWR2ZXJzZSBlZmZlY3RzLyptZXRob2RzPC9rZXl3
b3JkPjxrZXl3b3JkPkZlbWFsZTwva2V5d29yZD48a2V5d29yZD5IdW1hbnM8L2tleXdvcmQ+PGtl
eXdvcmQ+T2Jlc2l0eS8qY29tcGxpY2F0aW9ucy9wcmV2ZW50aW9uICZhbXA7IGNvbnRyb2wvdGhl
cmFweTwva2V5d29yZD48a2V5d29yZD5PdmVyd2VpZ2h0L2NvbXBsaWNhdGlvbnMvcHJldmVudGlv
biAmYW1wOyBjb250cm9sL3RoZXJhcHk8L2tleXdvcmQ+PGtleXdvcmQ+UHJlZ25hbmN5PC9rZXl3
b3JkPjxrZXl3b3JkPlByZWduYW5jeSBDb21wbGljYXRpb25zL3ByZXZlbnRpb24gJmFtcDsgY29u
dHJvbC8qdGhlcmFweTwva2V5d29yZD48a2V5d29yZD5UcmVhdG1lbnQgT3V0Y29tZTwva2V5d29y
ZD48a2V5d29yZD5XZWlnaHQgR2Fpbjwva2V5d29yZD48L2tleXdvcmRzPjxkYXRlcz48eWVhcj4y
MDE2PC95ZWFyPjxwdWItZGF0ZXM+PGRhdGU+SnVsPC9kYXRlPjwvcHViLWRhdGVzPjwvZGF0ZXM+
PGlzYm4+MTU0OS0xNjc2IChFbGVjdHJvbmljKSYjeEQ7MTU0OS0xMjc3IChMaW5raW5nKTwvaXNi
bj48YWNjZXNzaW9uLW51bT4yNzQ1OTM3NTwvYWNjZXNzaW9uLW51bT48dXJscz48cmVsYXRlZC11
cmxzPjx1cmw+aHR0cHM6Ly93d3cubmNiaS5ubG0ubmloLmdvdi9wdWJtZWQvMjc0NTkzNzU8L3Vy
bD48L3JlbGF0ZWQtdXJscz48L3VybHM+PGN1c3RvbTI+UE1DNDk2MTM5MjwvY3VzdG9tMj48ZWxl
Y3Ryb25pYy1yZXNvdXJjZS1udW0+MTAuMTM3MS9qb3VybmFsLnBtZWQuMTAwMjA3OTwvZWxlY3Ry
b25pYy1yZXNvdXJjZS1udW0+PC9yZWNvcmQ+PC9DaXRlPjwvRW5kTm90ZT4A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304</w:t>
      </w:r>
      <w:r>
        <w:rPr>
          <w:noProof/>
          <w:sz w:val="16"/>
          <w:szCs w:val="16"/>
        </w:rPr>
        <w:fldChar w:fldCharType="end"/>
      </w:r>
      <w:r>
        <w:t xml:space="preserve"> </w:t>
      </w:r>
      <w:r w:rsidRPr="008B4882">
        <w:t>BMI</w:t>
      </w:r>
      <w:r>
        <w:t xml:space="preserve"> </w:t>
      </w:r>
      <w:r w:rsidRPr="008B4882">
        <w:t>≥29,</w:t>
      </w:r>
      <w:r>
        <w:rPr>
          <w:sz w:val="16"/>
          <w:szCs w:val="16"/>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402</w:t>
      </w:r>
      <w:r>
        <w:rPr>
          <w:sz w:val="16"/>
          <w:szCs w:val="16"/>
        </w:rPr>
        <w:fldChar w:fldCharType="end"/>
      </w:r>
      <w:r>
        <w:t xml:space="preserve"> </w:t>
      </w:r>
      <w:r w:rsidRPr="008B4882">
        <w:t>BMI ≥30</w:t>
      </w:r>
      <w:r>
        <w:rPr>
          <w:sz w:val="16"/>
          <w:szCs w:val="16"/>
        </w:rPr>
        <w:fldChar w:fldCharType="begin">
          <w:fldData xml:space="preserve">PEVuZE5vdGU+PENpdGU+PEF1dGhvcj5CaXNzb248L0F1dGhvcj48WWVhcj4yMDE1PC9ZZWFyPjxS
ZWNOdW0+Njc3PC9SZWNOdW0+PERpc3BsYXlUZXh0PjxzdHlsZSBmYWNlPSJzdXBlcnNjcmlwdCIg
Zm9udD0iVHJlYnVjaGV0IE1TIiBzaXplPSI5Ij4yNjksNDMzLDQ0OCw0NTAsNDUxPC9zdHlsZT48
L0Rpc3BsYXlUZXh0PjxyZWNvcmQ+PHJlYy1udW1iZXI+Njc3PC9yZWMtbnVtYmVyPjxmb3JlaWdu
LWtleXM+PGtleSBhcHA9IkVOIiBkYi1pZD0iZXh2YXNyZngyZHRyYW9lc2FzeHAyc3pzeGEyZGY1
MDI1OTJ4IiB0aW1lc3RhbXA9IjE1NDA1MjY4MTQiPjY3Nzwva2V5PjwvZm9yZWlnbi1rZXlzPjxy
ZWYtdHlwZSBuYW1lPSJKb3VybmFsIEFydGljbGUiPjE3PC9yZWYtdHlwZT48Y29udHJpYnV0b3Jz
PjxhdXRob3JzPjxhdXRob3I+Qmlzc29uLCBNLjwvYXV0aG9yPjxhdXRob3I+QWxtZXJhcywgTi48
L2F1dGhvcj48YXV0aG9yPkR1ZnJlc25lLCBTLiBTLjwvYXV0aG9yPjxhdXRob3I+Um9iaXRhaWxs
ZSwgSi48L2F1dGhvcj48YXV0aG9yPlJoZWF1bWUsIEMuPC9hdXRob3I+PGF1dGhvcj5CdWpvbGQs
IEUuPC9hdXRob3I+PGF1dGhvcj5GcmVuZXR0ZSwgSi48L2F1dGhvcj48YXV0aG9yPlRyZW1ibGF5
LCBBLjwvYXV0aG9yPjxhdXRob3I+TWFyYywgSS48L2F1dGhvcj48L2F1dGhvcnM+PC9jb250cmli
dXRvcnM+PGF1dGgtYWRkcmVzcz5EZXBhcnRtZW50IG9mIFBlZGlhdHJpY3MsIENlbnRyZSBob3Nw
aXRhbGllciB1bml2ZXJzaXRhaXJlIChDSFUpIGRlIFF1ZWJlYywgTGF2YWwgVW5pdmVyc2l0eSwg
UXVlYmVjIENpdHksIFByb3ZpbmNlIG9mIFF1ZWJlYywgQ2FuYWRhOyBEZXBhcnRtZW50IG9mIEtp
bmVzaW9sb2d5LCBMYXZhbCBVbml2ZXJzaXR5LCBRdWViZWMgQ2l0eSwgUHJvdmluY2Ugb2YgUXVl
YmVjLCBDYW5hZGEuJiN4RDtEZXBhcnRtZW50IG9mIEtpbmVzaW9sb2d5LCBMYXZhbCBVbml2ZXJz
aXR5LCBRdWViZWMgQ2l0eSwgUHJvdmluY2Ugb2YgUXVlYmVjLCBDYW5hZGEuJiN4RDtEZXBhcnRt
ZW50IG9mIFJlaGFiaWxpdGF0aW9uLCBDSFUgZGUgUXVlYmVjLCBMYXZhbCBVbml2ZXJzaXR5LCBR
dWViZWMgQ2l0eSwgUHJvdmluY2Ugb2YgUXVlYmVjLCBDYW5hZGEuJiN4RDtEZXBhcnRtZW50IG9m
IEZvb2QgU2NpZW5jZSBhbmQgTnV0cml0aW9uLCBMYXZhbCBVbml2ZXJzaXR5LCBRdWViZWMgQ2l0
eSwgUHJvdmluY2Ugb2YgUXVlYmVjLCBDYW5hZGEuJiN4RDtEZXBhcnRtZW50IG9mIEZhbWlseSBN
ZWRpY2luZSBhbmQgRW1lcmdlbmN5IE1lZGljaW5lLCBMYXZhbCBVbml2ZXJzaXR5LCBRdWViZWMg
Q2l0eSwgUHJvdmluY2Ugb2YgUXVlYmVjLiYjeEQ7RGVwYXJ0bWVudCBvZiBPYnN0ZXRyaWNzIGFu
ZCBHeW5lY29sb2d5LCBDSFUgZGUgUXVlYmVjLCBMYXZhbCBVbml2ZXJzaXR5LCBRdWViZWMgQ2l0
eSwgUHJvdmluY2Ugb2YgUXVlYmVjLCBDYW5hZGEuJiN4RDtEZXBhcnRtZW50IG9mIFBlZGlhdHJp
Y3MsIENlbnRyZSBob3NwaXRhbGllciB1bml2ZXJzaXRhaXJlIChDSFUpIGRlIFF1ZWJlYywgTGF2
YWwgVW5pdmVyc2l0eSwgUXVlYmVjIENpdHksIFByb3ZpbmNlIG9mIFF1ZWJlYywgQ2FuYWRhLjwv
YXV0aC1hZGRyZXNzPjx0aXRsZXM+PHRpdGxlPkEgMTItV2VlayBFeGVyY2lzZSBQcm9ncmFtIGZv
ciBQcmVnbmFudCBXb21lbiB3aXRoIE9iZXNpdHkgdG8gSW1wcm92ZSBQaHlzaWNhbCBBY3Rpdml0
eSBMZXZlbHM6IEFuIE9wZW4gUmFuZG9taXNlZCBQcmVsaW1pbmFyeSBTdHVkeTwvdGl0bGU+PHNl
Y29uZGFyeS10aXRsZT5QTG9TIE9uZTwvc2Vjb25kYXJ5LXRpdGxlPjwvdGl0bGVzPjxwZXJpb2Rp
Y2FsPjxmdWxsLXRpdGxlPlBMb1MgT25lPC9mdWxsLXRpdGxlPjwvcGVyaW9kaWNhbD48cGFnZXM+
ZTAxMzc3NDI8L3BhZ2VzPjx2b2x1bWU+MTA8L3ZvbHVtZT48bnVtYmVyPjk8L251bWJlcj48ZWRp
dGlvbj4yMDE1LzA5LzE3PC9lZGl0aW9uPjxrZXl3b3Jkcz48a2V5d29yZD5BZHVsdDwva2V5d29y
ZD48a2V5d29yZD4qQm9keSBNYXNzIEluZGV4PC9rZXl3b3JkPjxrZXl3b3JkPkJvZHkgV2VpZ2h0
PC9rZXl3b3JkPjxrZXl3b3JkPkNhc2UtQ29udHJvbCBTdHVkaWVzPC9rZXl3b3JkPjxrZXl3b3Jk
PkVuZXJneSBJbnRha2U8L2tleXdvcmQ+PGtleXdvcmQ+RXhlcmNpc2UgVGhlcmFweS8qbWV0aG9k
czwva2V5d29yZD48a2V5d29yZD5GZW1hbGU8L2tleXdvcmQ+PGtleXdvcmQ+SHVtYW5zPC9rZXl3
b3JkPjxrZXl3b3JkPipMaWZlIFN0eWxlPC9rZXl3b3JkPjxrZXl3b3JkPk9iZXNpdHkvcHJldmVu
dGlvbiAmYW1wOyBjb250cm9sLyp0aGVyYXB5PC9rZXl3b3JkPjxrZXl3b3JkPk94eWdlbiBDb25z
dW1wdGlvbjwva2V5d29yZD48a2V5d29yZD5QcmVnbmFuY3k8L2tleXdvcmQ+PGtleXdvcmQ+UHJl
Z25hbmN5IE91dGNvbWU8L2tleXdvcmQ+PGtleXdvcmQ+UHJlZ25hbnQgV29tZW48L2tleXdvcmQ+
PGtleXdvcmQ+V2VpZ2h0IEdhaW48L2tleXdvcmQ+PC9rZXl3b3Jkcz48ZGF0ZXM+PHllYXI+MjAx
NTwveWVhcj48L2RhdGVzPjxpc2JuPjE5MzItNjIwMyAoRWxlY3Ryb25pYykmI3hEOzE5MzItNjIw
MyAoTGlua2luZyk8L2lzYm4+PGFjY2Vzc2lvbi1udW0+MjYzNzU0NzE8L2FjY2Vzc2lvbi1udW0+
PHVybHM+PHJlbGF0ZWQtdXJscz48dXJsPmh0dHBzOi8vd3d3Lm5jYmkubmxtLm5paC5nb3YvcHVi
bWVkLzI2Mzc1NDcxPC91cmw+PC9yZWxhdGVkLXVybHM+PC91cmxzPjxjdXN0b20yPlBNQzQ1NzM3
NTc8L2N1c3RvbTI+PGVsZWN0cm9uaWMtcmVzb3VyY2UtbnVtPjEwLjEzNzEvam91cm5hbC5wb25l
LjAxMzc3NDI8L2VsZWN0cm9uaWMtcmVzb3VyY2UtbnVtPjwvcmVjb3JkPjwvQ2l0ZT48Q2l0ZT48
QXV0aG9yPkRhbHk8L0F1dGhvcj48WWVhcj4yMDE3PC9ZZWFyPjxSZWNOdW0+Njg1PC9SZWNOdW0+
PHJlY29yZD48cmVjLW51bWJlcj42ODU8L3JlYy1udW1iZXI+PGZvcmVpZ24ta2V5cz48a2V5IGFw
cD0iRU4iIGRiLWlkPSJleHZhc3JmeDJkdHJhb2VzYXN4cDJzenN4YTJkZjUwMjU5MngiIHRpbWVz
dGFtcD0iMTU0MDUyNzE3MSI+Njg1PC9rZXk+PC9mb3JlaWduLWtleXM+PHJlZi10eXBlIG5hbWU9
IkpvdXJuYWwgQXJ0aWNsZSI+MTc8L3JlZi10eXBlPjxjb250cmlidXRvcnM+PGF1dGhvcnM+PGF1
dGhvcj5EYWx5LCBOLjwvYXV0aG9yPjxhdXRob3I+RmFycmVuLCBNLjwvYXV0aG9yPjxhdXRob3I+
TWNLZWF0aW5nLCBBLjwvYXV0aG9yPjxhdXRob3I+TyZhcG9zO0tlbGx5LCBSLjwvYXV0aG9yPjxh
dXRob3I+U3RhcGxldG9uLCBNLjwvYXV0aG9yPjxhdXRob3I+VHVybmVyLCBNLiBKLjwvYXV0aG9y
PjwvYXV0aG9ycz48L2NvbnRyaWJ1dG9ycz48YXV0aC1hZGRyZXNzPlVDRCBDZW50cmUgZm9yIEh1
bWFuIFJlcHJvZHVjdGlvbiwgQ29vbWJlIFdvbWVuIGFuZCBJbmZhbnRzIFVuaXZlcnNpdHkgSG9z
cGl0YWwsIER1YmxpbiwgSXJlbGFuZC48L2F1dGgtYWRkcmVzcz48dGl0bGVzPjx0aXRsZT5BIE1l
ZGljYWxseSBTdXBlcnZpc2VkIFByZWduYW5jeSBFeGVyY2lzZSBJbnRlcnZlbnRpb24gaW4gT2Jl
c2UgV29tZW46IEEgUmFuZG9taXplZCBDb250cm9sbGVkIFRyaWFsPC90aXRsZT48c2Vjb25kYXJ5
LXRpdGxlPk9ic3RldCBHeW5lY29sPC9zZWNvbmRhcnktdGl0bGU+PC90aXRsZXM+PHBlcmlvZGlj
YWw+PGZ1bGwtdGl0bGU+T2JzdGV0IEd5bmVjb2w8L2Z1bGwtdGl0bGU+PC9wZXJpb2RpY2FsPjxw
YWdlcz4xMDAxLTEwMTA8L3BhZ2VzPjx2b2x1bWU+MTMwPC92b2x1bWU+PG51bWJlcj41PC9udW1i
ZXI+PGVkaXRpb24+MjAxNy8xMC8xMTwvZWRpdGlvbj48a2V5d29yZHM+PGtleXdvcmQ+QWR1bHQ8
L2tleXdvcmQ+PGtleXdvcmQ+Qmxvb2QgR2x1Y29zZS9hbmFseXNpczwva2V5d29yZD48a2V5d29y
ZD5FeGVyY2lzZSBUaGVyYXB5LyptZXRob2RzPC9rZXl3b3JkPjxrZXl3b3JkPkZhc3RpbmcvYmxv
b2Q8L2tleXdvcmQ+PGtleXdvcmQ+RmVtYWxlPC9rZXl3b3JkPjxrZXl3b3JkPkh1bWFuczwva2V5
d29yZD48a2V5d29yZD5PYmVzaXR5L2Jsb29kL2NvbXBsaWNhdGlvbnMvKnRoZXJhcHk8L2tleXdv
cmQ+PGtleXdvcmQ+UHJlZ25hbmN5PC9rZXl3b3JkPjxrZXl3b3JkPlByZWduYW5jeSBDb21wbGlj
YXRpb25zL2Jsb29kL2V0aW9sb2d5Lyp0aGVyYXB5PC9rZXl3b3JkPjxrZXl3b3JkPlByZW5hdGFs
IENhcmUvKm1ldGhvZHM8L2tleXdvcmQ+PGtleXdvcmQ+VHJlYXRtZW50IE91dGNvbWU8L2tleXdv
cmQ+PGtleXdvcmQ+V2VpZ2h0IEdhaW48L2tleXdvcmQ+PC9rZXl3b3Jkcz48ZGF0ZXM+PHllYXI+
MjAxNzwveWVhcj48cHViLWRhdGVzPjxkYXRlPk5vdjwvZGF0ZT48L3B1Yi1kYXRlcz48L2RhdGVz
Pjxpc2JuPjE4NzMtMjMzWCAoRWxlY3Ryb25pYykmI3hEOzAwMjktNzg0NCAoTGlua2luZyk8L2lz
Ym4+PGFjY2Vzc2lvbi1udW0+MjkwMTY0ODU8L2FjY2Vzc2lvbi1udW0+PHVybHM+PHJlbGF0ZWQt
dXJscz48dXJsPmh0dHBzOi8vd3d3Lm5jYmkubmxtLm5paC5nb3YvcHVibWVkLzI5MDE2NDg1PC91
cmw+PC9yZWxhdGVkLXVybHM+PC91cmxzPjxlbGVjdHJvbmljLXJlc291cmNlLW51bT4xMC4xMDk3
L0FPRy4wMDAwMDAwMDAwMDAyMjY3PC9lbGVjdHJvbmljLXJlc291cmNlLW51bT48L3JlY29yZD48
L0NpdGU+PENpdGU+PEF1dGhvcj5EZWtrZXIgTml0ZXJ0PC9BdXRob3I+PFllYXI+MjAxNTwvWWVh
cj48UmVjTnVtPjY4NjwvUmVjTnVtPjxyZWNvcmQ+PHJlYy1udW1iZXI+Njg2PC9yZWMtbnVtYmVy
Pjxmb3JlaWduLWtleXM+PGtleSBhcHA9IkVOIiBkYi1pZD0iZXh2YXNyZngyZHRyYW9lc2FzeHAy
c3pzeGEyZGY1MDI1OTJ4IiB0aW1lc3RhbXA9IjE1NDA1MjcyMzgiPjY4Njwva2V5PjwvZm9yZWln
bi1rZXlzPjxyZWYtdHlwZSBuYW1lPSJKb3VybmFsIEFydGljbGUiPjE3PC9yZWYtdHlwZT48Y29u
dHJpYnV0b3JzPjxhdXRob3JzPjxhdXRob3I+RGVra2VyIE5pdGVydCwgTS48L2F1dGhvcj48YXV0
aG9yPkJhcnJldHQsIEguIEwuPC9hdXRob3I+PGF1dGhvcj5EZW5ueSwgSy4gSi48L2F1dGhvcj48
YXV0aG9yPk1jSW50eXJlLCBILiBELjwvYXV0aG9yPjxhdXRob3I+Q2FsbGF3YXksIEwuIEsuPC9h
dXRob3I+PGF1dGhvcj5CYW1iaW5vIGdyb3VwPC9hdXRob3I+PC9hdXRob3JzPjwvY29udHJpYnV0
b3JzPjxhdXRoLWFkZHJlc3M+U2Nob29sIG9mIE1lZGljaW5lLCBUaGUgVW5pdmVyc2l0eSBvZiBR
dWVlbnNsYW5kLCBIZXJzdG9uLCBRdWVlbnNsYW5kLCBBdXN0cmFsaWE7IFVRIENlbnRyZSBmb3Ig
Q2xpbmljYWwgUmVzZWFyY2gsIFRoZSBVbml2ZXJzaXR5IG9mIFF1ZWVuc2xhbmQsIEhlcnN0b24s
IFF1ZWVuc2xhbmQsIEF1c3RyYWxpYS48L2F1dGgtYWRkcmVzcz48dGl0bGVzPjx0aXRsZT5FeGVy
Y2lzZSBpbiBwcmVnbmFuY3kgZG9lcyBub3QgYWx0ZXIgZ2VzdGF0aW9uYWwgd2VpZ2h0IGdhaW4s
IE1DUC0xIG9yIGxlcHRpbiBpbiBvYmVzZSB3b21lbjwvdGl0bGU+PHNlY29uZGFyeS10aXRsZT5B
dXN0IE4gWiBKIE9ic3RldCBHeW5hZWNvbDwvc2Vjb25kYXJ5LXRpdGxlPjwvdGl0bGVzPjxwZXJp
b2RpY2FsPjxmdWxsLXRpdGxlPkF1c3QgTiBaIEogT2JzdGV0IEd5bmFlY29sPC9mdWxsLXRpdGxl
PjwvcGVyaW9kaWNhbD48cGFnZXM+MjctMzM8L3BhZ2VzPjx2b2x1bWU+NTU8L3ZvbHVtZT48bnVt
YmVyPjE8L251bWJlcj48ZWRpdGlvbj4yMDE1LzAyLzE4PC9lZGl0aW9uPjxrZXl3b3Jkcz48a2V5
d29yZD5BZHVsdDwva2V5d29yZD48a2V5d29yZD5DaGVtb2tpbmUgQ0NMMi9ibG9vZDwva2V5d29y
ZD48a2V5d29yZD5FeGVyY2lzZS8qcGh5c2lvbG9neTwva2V5d29yZD48a2V5d29yZD5GZW1hbGU8
L2tleXdvcmQ+PGtleXdvcmQ+SHVtYW5zPC9rZXl3b3JkPjxrZXl3b3JkPkludGVybGV1a2luLTgv
Ymxvb2Q8L2tleXdvcmQ+PGtleXdvcmQ+TGVwdGluL2Jsb29kPC9rZXl3b3JkPjxrZXl3b3JkPk9i
ZXNpdHkvKmJsb29kL3RoZXJhcHk8L2tleXdvcmQ+PGtleXdvcmQ+UGlsb3QgUHJvamVjdHM8L2tl
eXdvcmQ+PGtleXdvcmQ+UHJlZ25hbmN5PC9rZXl3b3JkPjxrZXl3b3JkPlByZWduYW5jeSBDb21w
bGljYXRpb25zLypibG9vZC9wcmV2ZW50aW9uICZhbXA7IGNvbnRyb2w8L2tleXdvcmQ+PGtleXdv
cmQ+KldlaWdodCBHYWluPC9rZXl3b3JkPjxrZXl3b3JkPllvdW5nIEFkdWx0PC9rZXl3b3JkPjxr
ZXl3b3JkPmV4ZXJjaXNlPC9rZXl3b3JkPjxrZXl3b3JkPmdlc3RhdGlvbmFsIHdlaWdodCBnYWlu
PC9rZXl3b3JkPjxrZXl3b3JkPmxpcGlkczwva2V5d29yZD48a2V5d29yZD5vYmVzaXR5PC9rZXl3
b3JkPjwva2V5d29yZHM+PGRhdGVzPjx5ZWFyPjIwMTU8L3llYXI+PHB1Yi1kYXRlcz48ZGF0ZT5G
ZWI8L2RhdGU+PC9wdWItZGF0ZXM+PC9kYXRlcz48aXNibj4xNDc5LTgyOFggKEVsZWN0cm9uaWMp
JiN4RDswMDA0LTg2NjYgKExpbmtpbmcpPC9pc2JuPjxhY2Nlc3Npb24tbnVtPjI1Njg4ODE3PC9h
Y2Nlc3Npb24tbnVtPjx1cmxzPjxyZWxhdGVkLXVybHM+PHVybD5odHRwczovL3d3dy5uY2JpLm5s
bS5uaWguZ292L3B1Ym1lZC8yNTY4ODgxNzwvdXJsPjwvcmVsYXRlZC11cmxzPjwvdXJscz48ZWxl
Y3Ryb25pYy1yZXNvdXJjZS1udW0+MTAuMTExMS9ham8uMTIzMDA8L2VsZWN0cm9uaWMtcmVzb3Vy
Y2UtbnVtPjwvcmVjb3JkPjwvQ2l0ZT48Q2l0ZT48QXV0aG9yPk9uZzwvQXV0aG9yPjxZZWFyPjIw
MDk8L1llYXI+PFJlY051bT43MDI8L1JlY051bT48cmVjb3JkPjxyZWMtbnVtYmVyPjcwMjwvcmVj
LW51bWJlcj48Zm9yZWlnbi1rZXlzPjxrZXkgYXBwPSJFTiIgZGItaWQ9ImV4dmFzcmZ4MmR0cmFv
ZXNhc3hwMnN6c3hhMmRmNTAyNTkyeCIgdGltZXN0YW1wPSIxNTQwNTMwNDgzIj43MDI8L2tleT48
L2ZvcmVpZ24ta2V5cz48cmVmLXR5cGUgbmFtZT0iSm91cm5hbCBBcnRpY2xlIj4xNzwvcmVmLXR5
cGU+PGNvbnRyaWJ1dG9ycz48YXV0aG9ycz48YXV0aG9yPk9uZywgTS4gSi48L2F1dGhvcj48YXV0
aG9yPkd1ZWxmaSwgSy4gSi48L2F1dGhvcj48YXV0aG9yPkh1bnRlciwgVC48L2F1dGhvcj48YXV0
aG9yPldhbGxtYW4sIEsuIEUuPC9hdXRob3I+PGF1dGhvcj5Gb3VybmllciwgUC4gQS48L2F1dGhv
cj48YXV0aG9yPk5ld25oYW0sIEouIFAuPC9hdXRob3I+PC9hdXRob3JzPjwvY29udHJpYnV0b3Jz
PjxhdXRoLWFkZHJlc3M+U2Nob29sIG9mIFNwb3J0IFNjaWVuY2UsIEV4ZXJjaXNlIGFuZCBIZWFs
dGgsIFRoZSBVbml2ZXJzaXR5IG9mIFdlc3Rlcm4gQXVzdHJhbGlhLCBDcmF3bGV5LCBXQSA2MDA5
LCBBdXN0cmFsaWEuPC9hdXRoLWFkZHJlc3M+PHRpdGxlcz48dGl0bGU+U3VwZXJ2aXNlZCBob21l
LWJhc2VkIGV4ZXJjaXNlIG1heSBhdHRlbnVhdGUgdGhlIGRlY2xpbmUgb2YgZ2x1Y29zZSB0b2xl
cmFuY2UgaW4gb2Jlc2UgcHJlZ25hbnQgd29tZW48L3RpdGxlPjxzZWNvbmRhcnktdGl0bGU+RGlh
YmV0ZXMgTWV0YWI8L3NlY29uZGFyeS10aXRsZT48L3RpdGxlcz48cGVyaW9kaWNhbD48ZnVsbC10
aXRsZT5EaWFiZXRlcyBNZXRhYjwvZnVsbC10aXRsZT48L3BlcmlvZGljYWw+PHBhZ2VzPjQxOC0y
MTwvcGFnZXM+PHZvbHVtZT4zNTwvdm9sdW1lPjxudW1iZXI+NTwvbnVtYmVyPjxlZGl0aW9uPjIw
MDkvMDkvMTU8L2VkaXRpb24+PGtleXdvcmRzPjxrZXl3b3JkPkFkdWx0PC9rZXl3b3JkPjxrZXl3
b3JkPkJsb29kIEdsdWNvc2UvYW5hbHlzaXM8L2tleXdvcmQ+PGtleXdvcmQ+Qm9keSBNYXNzIElu
ZGV4PC9rZXl3b3JkPjxrZXl3b3JkPkV4ZXJjaXNlIFRoZXJhcHkvKm1ldGhvZHM8L2tleXdvcmQ+
PGtleXdvcmQ+RmVtYWxlPC9rZXl3b3JkPjxrZXl3b3JkPkdsdWNvc2UgSW50b2xlcmFuY2UvcHJl
dmVudGlvbiAmYW1wOyBjb250cm9sLyp0aGVyYXB5PC9rZXl3b3JkPjxrZXl3b3JkPkdsdWNvc2Ug
VG9sZXJhbmNlIFRlc3Q8L2tleXdvcmQ+PGtleXdvcmQ+SG9tZSBDYXJlIFNlcnZpY2VzL3N0YXRp
c3RpY3MgJmFtcDsgbnVtZXJpY2FsIGRhdGE8L2tleXdvcmQ+PGtleXdvcmQ+SHVtYW5zPC9rZXl3
b3JkPjxrZXl3b3JkPkluc3VsaW4vYmxvb2Q8L2tleXdvcmQ+PGtleXdvcmQ+T2Jlc2l0eS8qcGh5
c2lvcGF0aG9sb2d5PC9rZXl3b3JkPjxrZXl3b3JkPlBoeXNpY2FsIEZpdG5lc3M8L2tleXdvcmQ+
PGtleXdvcmQ+UHJlZ25hbmN5PC9rZXl3b3JkPjxrZXl3b3JkPlByZWduYW5jeSBDb21wbGljYXRp
b25zLypwaHlzaW9wYXRob2xvZ3k8L2tleXdvcmQ+PGtleXdvcmQ+UHJlZ25hbmN5IFRyaW1lc3Rl
ciwgU2Vjb25kPC9rZXl3b3JkPjwva2V5d29yZHM+PGRhdGVzPjx5ZWFyPjIwMDk8L3llYXI+PHB1
Yi1kYXRlcz48ZGF0ZT5Ob3Y8L2RhdGU+PC9wdWItZGF0ZXM+PC9kYXRlcz48aXNibj4xODc4LTE3
ODAgKEVsZWN0cm9uaWMpJiN4RDsxMjYyLTM2MzYgKExpbmtpbmcpPC9pc2JuPjxhY2Nlc3Npb24t
bnVtPjE5NzQ3ODY5PC9hY2Nlc3Npb24tbnVtPjx1cmxzPjxyZWxhdGVkLXVybHM+PHVybD5odHRw
czovL3d3dy5uY2JpLm5sbS5uaWguZ292L3B1Ym1lZC8xOTc0Nzg2OTwvdXJsPjwvcmVsYXRlZC11
cmxzPjwvdXJscz48ZWxlY3Ryb25pYy1yZXNvdXJjZS1udW0+MTAuMTAxNi9qLmRpYWJldC4yMDA5
LjA0LjAwODwvZWxlY3Ryb25pYy1yZXNvdXJjZS1udW0+PC9yZWNvcmQ+PC9DaXRlPjxDaXRlPjxB
dXRob3I+UmVuYXVsdDwvQXV0aG9yPjxZZWFyPjIwMTQ8L1llYXI+PFJlY051bT45Mzc8L1JlY051
bT48cmVjb3JkPjxyZWMtbnVtYmVyPjkzNzwvcmVjLW51bWJlcj48Zm9yZWlnbi1rZXlzPjxrZXkg
YXBwPSJFTiIgZGItaWQ9ImV4dmFzcmZ4MmR0cmFvZXNhc3hwMnN6c3hhMmRmNTAyNTkyeCIgdGlt
ZXN0YW1wPSIxNTQxNTQxODE0Ij45Mzc8L2tleT48a2V5IGFwcD0iRU5XZWIiIGRiLWlkPSIiPjA8
L2tleT48L2ZvcmVpZ24ta2V5cz48cmVmLXR5cGUgbmFtZT0iSm91cm5hbCBBcnRpY2xlIj4xNzwv
cmVmLXR5cGU+PGNvbnRyaWJ1dG9ycz48YXV0aG9ycz48YXV0aG9yPlJlbmF1bHQsIEsuIE0uPC9h
dXRob3I+PGF1dGhvcj5Ob3JnYWFyZCwgSy48L2F1dGhvcj48YXV0aG9yPk5pbGFzLCBMLjwvYXV0
aG9yPjxhdXRob3I+Q2FybHNlbiwgRS4gTS48L2F1dGhvcj48YXV0aG9yPkNvcnRlcywgRC48L2F1
dGhvcj48YXV0aG9yPlByeWRzLCBPLjwvYXV0aG9yPjxhdXRob3I+U2VjaGVyLCBOLiBKLjwvYXV0
aG9yPjwvYXV0aG9ycz48L2NvbnRyaWJ1dG9ycz48YXV0aC1hZGRyZXNzPkRlcGFydG1lbnQgb2Yg
T2JzdGV0cmljcyBhbmQgR3luZWNvbG9neSwgSHZpZG92cmUgSG9zcGl0YWwsIFVuaXZlcnNpdHkg
b2YgQ29wZW5oYWdlbiwgSHZpZG92cmUsIERlbm1hcmsuIEVsZWN0cm9uaWMgYWRkcmVzczogS3Jl
bmF1bHRAZGFkbG5ldC5kay4mI3hEO0RlcGFydG1lbnQgb2YgRW5kb2NyaW5vbG9neSwgSHZpZG92
cmUgSG9zcGl0YWwsIFVuaXZlcnNpdHkgb2YgQ29wZW5oYWdlbiwgSHZpZG92cmUsIERlbm1hcmsu
JiN4RDtEZXBhcnRtZW50IG9mIE9ic3RldHJpY3MgYW5kIEd5bmVjb2xvZ3ksIEh2aWRvdnJlIEhv
c3BpdGFsLCBVbml2ZXJzaXR5IG9mIENvcGVuaGFnZW4sIEh2aWRvdnJlLCBEZW5tYXJrLiYjeEQ7
RGVwYXJ0bWVudCBvZiBQZWRpYXRyaWNzLCBIdmlkb3ZyZSBIb3NwaXRhbCwgVW5pdmVyc2l0eSBv
ZiBDb3BlbmhhZ2VuLCBIdmlkb3ZyZSwgRGVubWFyay48L2F1dGgtYWRkcmVzcz48dGl0bGVzPjx0
aXRsZT5UaGUgVHJlYXRtZW50IG9mIE9iZXNlIFByZWduYW50IFdvbWVuIChUT1ApIHN0dWR5OiBh
IHJhbmRvbWl6ZWQgY29udHJvbGxlZCB0cmlhbCBvZiB0aGUgZWZmZWN0IG9mIHBoeXNpY2FsIGFj
dGl2aXR5IGludGVydmVudGlvbiBhc3Nlc3NlZCBieSBwZWRvbWV0ZXIgd2l0aCBvciB3aXRob3V0
IGRpZXRhcnkgaW50ZXJ2ZW50aW9uIGluIG9iZXNlIHByZWduYW50IHdvbWVuPC90aXRsZT48c2Vj
b25kYXJ5LXRpdGxlPkFtIEogT2JzdGV0IEd5bmVjb2w8L3NlY29uZGFyeS10aXRsZT48L3RpdGxl
cz48cGVyaW9kaWNhbD48ZnVsbC10aXRsZT5BbSBKIE9ic3RldCBHeW5lY29sPC9mdWxsLXRpdGxl
PjwvcGVyaW9kaWNhbD48cGFnZXM+MTM0IGUxLTk8L3BhZ2VzPjx2b2x1bWU+MjEwPC92b2x1bWU+
PG51bWJlcj4yPC9udW1iZXI+PGVkaXRpb24+MjAxMy8wOS8yNjwvZWRpdGlvbj48a2V5d29yZHM+
PGtleXdvcmQ+QWN0aWdyYXBoeTwva2V5d29yZD48a2V5d29yZD5BZHVsdDwva2V5d29yZD48a2V5
d29yZD5Db21iaW5lZCBNb2RhbGl0eSBUaGVyYXB5PC9rZXl3b3JkPjxrZXl3b3JkPkRpZXQsIE1l
ZGl0ZXJyYW5lYW48L2tleXdvcmQ+PGtleXdvcmQ+RW5lcmd5IEludGFrZTwva2V5d29yZD48a2V5
d29yZD4qRXhlcmNpc2U8L2tleXdvcmQ+PGtleXdvcmQ+RmVtYWxlPC9rZXl3b3JkPjxrZXl3b3Jk
Pkh1bWFuczwva2V5d29yZD48a2V5d29yZD5PYmVzaXR5L2RpZXQgdGhlcmFweS8qdGhlcmFweTwv
a2V5d29yZD48a2V5d29yZD5QcmVnbmFuY3k8L2tleXdvcmQ+PGtleXdvcmQ+UHJlZ25hbmN5IENv
bXBsaWNhdGlvbnMvZGlldCB0aGVyYXB5Lyp0aGVyYXB5PC9rZXl3b3JkPjxrZXl3b3JkPmRpZXQ8
L2tleXdvcmQ+PGtleXdvcmQ+aW50ZXJ2ZW50aW9uPC9rZXl3b3JkPjxrZXl3b3JkPm9iZXNpdHk8
L2tleXdvcmQ+PGtleXdvcmQ+cGVkb21ldGVyPC9rZXl3b3JkPjxrZXl3b3JkPnBoeXNpY2FsIGFj
dGl2aXR5PC9rZXl3b3JkPjwva2V5d29yZHM+PGRhdGVzPjx5ZWFyPjIwMTQ8L3llYXI+PHB1Yi1k
YXRlcz48ZGF0ZT5GZWI8L2RhdGU+PC9wdWItZGF0ZXM+PC9kYXRlcz48aXNibj4xMDk3LTY4Njgg
KEVsZWN0cm9uaWMpJiN4RDswMDAyLTkzNzggKExpbmtpbmcpPC9pc2JuPjxhY2Nlc3Npb24tbnVt
PjI0MDYwNDQ5PC9hY2Nlc3Npb24tbnVtPjx1cmxzPjxyZWxhdGVkLXVybHM+PHVybD5odHRwczov
L3d3dy5uY2JpLm5sbS5uaWguZ292L3B1Ym1lZC8yNDA2MDQ0OTwvdXJsPjwvcmVsYXRlZC11cmxz
PjwvdXJscz48ZWxlY3Ryb25pYy1yZXNvdXJjZS1udW0+MTAuMTAxNi9qLmFqb2cuMjAxMy4wOS4w
Mjk8L2VsZWN0cm9uaWMtcmVzb3VyY2UtbnVtPjwvcmVjb3JkPjwvQ2l0ZT48L0VuZE5vdGU+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PEVuZE5vdGU+PENpdGU+PEF1dGhvcj5CaXNzb248L0F1dGhvcj48WWVhcj4yMDE1PC9ZZWFyPjxS
ZWNOdW0+Njc3PC9SZWNOdW0+PERpc3BsYXlUZXh0PjxzdHlsZSBmYWNlPSJzdXBlcnNjcmlwdCIg
Zm9udD0iVHJlYnVjaGV0IE1TIiBzaXplPSI5Ij4yNjksNDMzLDQ0OCw0NTAsNDUxPC9zdHlsZT48
L0Rpc3BsYXlUZXh0PjxyZWNvcmQ+PHJlYy1udW1iZXI+Njc3PC9yZWMtbnVtYmVyPjxmb3JlaWdu
LWtleXM+PGtleSBhcHA9IkVOIiBkYi1pZD0iZXh2YXNyZngyZHRyYW9lc2FzeHAyc3pzeGEyZGY1
MDI1OTJ4IiB0aW1lc3RhbXA9IjE1NDA1MjY4MTQiPjY3Nzwva2V5PjwvZm9yZWlnbi1rZXlzPjxy
ZWYtdHlwZSBuYW1lPSJKb3VybmFsIEFydGljbGUiPjE3PC9yZWYtdHlwZT48Y29udHJpYnV0b3Jz
PjxhdXRob3JzPjxhdXRob3I+Qmlzc29uLCBNLjwvYXV0aG9yPjxhdXRob3I+QWxtZXJhcywgTi48
L2F1dGhvcj48YXV0aG9yPkR1ZnJlc25lLCBTLiBTLjwvYXV0aG9yPjxhdXRob3I+Um9iaXRhaWxs
ZSwgSi48L2F1dGhvcj48YXV0aG9yPlJoZWF1bWUsIEMuPC9hdXRob3I+PGF1dGhvcj5CdWpvbGQs
IEUuPC9hdXRob3I+PGF1dGhvcj5GcmVuZXR0ZSwgSi48L2F1dGhvcj48YXV0aG9yPlRyZW1ibGF5
LCBBLjwvYXV0aG9yPjxhdXRob3I+TWFyYywgSS48L2F1dGhvcj48L2F1dGhvcnM+PC9jb250cmli
dXRvcnM+PGF1dGgtYWRkcmVzcz5EZXBhcnRtZW50IG9mIFBlZGlhdHJpY3MsIENlbnRyZSBob3Nw
aXRhbGllciB1bml2ZXJzaXRhaXJlIChDSFUpIGRlIFF1ZWJlYywgTGF2YWwgVW5pdmVyc2l0eSwg
UXVlYmVjIENpdHksIFByb3ZpbmNlIG9mIFF1ZWJlYywgQ2FuYWRhOyBEZXBhcnRtZW50IG9mIEtp
bmVzaW9sb2d5LCBMYXZhbCBVbml2ZXJzaXR5LCBRdWViZWMgQ2l0eSwgUHJvdmluY2Ugb2YgUXVl
YmVjLCBDYW5hZGEuJiN4RDtEZXBhcnRtZW50IG9mIEtpbmVzaW9sb2d5LCBMYXZhbCBVbml2ZXJz
aXR5LCBRdWViZWMgQ2l0eSwgUHJvdmluY2Ugb2YgUXVlYmVjLCBDYW5hZGEuJiN4RDtEZXBhcnRt
ZW50IG9mIFJlaGFiaWxpdGF0aW9uLCBDSFUgZGUgUXVlYmVjLCBMYXZhbCBVbml2ZXJzaXR5LCBR
dWViZWMgQ2l0eSwgUHJvdmluY2Ugb2YgUXVlYmVjLCBDYW5hZGEuJiN4RDtEZXBhcnRtZW50IG9m
IEZvb2QgU2NpZW5jZSBhbmQgTnV0cml0aW9uLCBMYXZhbCBVbml2ZXJzaXR5LCBRdWViZWMgQ2l0
eSwgUHJvdmluY2Ugb2YgUXVlYmVjLCBDYW5hZGEuJiN4RDtEZXBhcnRtZW50IG9mIEZhbWlseSBN
ZWRpY2luZSBhbmQgRW1lcmdlbmN5IE1lZGljaW5lLCBMYXZhbCBVbml2ZXJzaXR5LCBRdWViZWMg
Q2l0eSwgUHJvdmluY2Ugb2YgUXVlYmVjLiYjeEQ7RGVwYXJ0bWVudCBvZiBPYnN0ZXRyaWNzIGFu
ZCBHeW5lY29sb2d5LCBDSFUgZGUgUXVlYmVjLCBMYXZhbCBVbml2ZXJzaXR5LCBRdWViZWMgQ2l0
eSwgUHJvdmluY2Ugb2YgUXVlYmVjLCBDYW5hZGEuJiN4RDtEZXBhcnRtZW50IG9mIFBlZGlhdHJp
Y3MsIENlbnRyZSBob3NwaXRhbGllciB1bml2ZXJzaXRhaXJlIChDSFUpIGRlIFF1ZWJlYywgTGF2
YWwgVW5pdmVyc2l0eSwgUXVlYmVjIENpdHksIFByb3ZpbmNlIG9mIFF1ZWJlYywgQ2FuYWRhLjwv
YXV0aC1hZGRyZXNzPjx0aXRsZXM+PHRpdGxlPkEgMTItV2VlayBFeGVyY2lzZSBQcm9ncmFtIGZv
ciBQcmVnbmFudCBXb21lbiB3aXRoIE9iZXNpdHkgdG8gSW1wcm92ZSBQaHlzaWNhbCBBY3Rpdml0
eSBMZXZlbHM6IEFuIE9wZW4gUmFuZG9taXNlZCBQcmVsaW1pbmFyeSBTdHVkeTwvdGl0bGU+PHNl
Y29uZGFyeS10aXRsZT5QTG9TIE9uZTwvc2Vjb25kYXJ5LXRpdGxlPjwvdGl0bGVzPjxwZXJpb2Rp
Y2FsPjxmdWxsLXRpdGxlPlBMb1MgT25lPC9mdWxsLXRpdGxlPjwvcGVyaW9kaWNhbD48cGFnZXM+
ZTAxMzc3NDI8L3BhZ2VzPjx2b2x1bWU+MTA8L3ZvbHVtZT48bnVtYmVyPjk8L251bWJlcj48ZWRp
dGlvbj4yMDE1LzA5LzE3PC9lZGl0aW9uPjxrZXl3b3Jkcz48a2V5d29yZD5BZHVsdDwva2V5d29y
ZD48a2V5d29yZD4qQm9keSBNYXNzIEluZGV4PC9rZXl3b3JkPjxrZXl3b3JkPkJvZHkgV2VpZ2h0
PC9rZXl3b3JkPjxrZXl3b3JkPkNhc2UtQ29udHJvbCBTdHVkaWVzPC9rZXl3b3JkPjxrZXl3b3Jk
PkVuZXJneSBJbnRha2U8L2tleXdvcmQ+PGtleXdvcmQ+RXhlcmNpc2UgVGhlcmFweS8qbWV0aG9k
czwva2V5d29yZD48a2V5d29yZD5GZW1hbGU8L2tleXdvcmQ+PGtleXdvcmQ+SHVtYW5zPC9rZXl3
b3JkPjxrZXl3b3JkPipMaWZlIFN0eWxlPC9rZXl3b3JkPjxrZXl3b3JkPk9iZXNpdHkvcHJldmVu
dGlvbiAmYW1wOyBjb250cm9sLyp0aGVyYXB5PC9rZXl3b3JkPjxrZXl3b3JkPk94eWdlbiBDb25z
dW1wdGlvbjwva2V5d29yZD48a2V5d29yZD5QcmVnbmFuY3k8L2tleXdvcmQ+PGtleXdvcmQ+UHJl
Z25hbmN5IE91dGNvbWU8L2tleXdvcmQ+PGtleXdvcmQ+UHJlZ25hbnQgV29tZW48L2tleXdvcmQ+
PGtleXdvcmQ+V2VpZ2h0IEdhaW48L2tleXdvcmQ+PC9rZXl3b3Jkcz48ZGF0ZXM+PHllYXI+MjAx
NTwveWVhcj48L2RhdGVzPjxpc2JuPjE5MzItNjIwMyAoRWxlY3Ryb25pYykmI3hEOzE5MzItNjIw
MyAoTGlua2luZyk8L2lzYm4+PGFjY2Vzc2lvbi1udW0+MjYzNzU0NzE8L2FjY2Vzc2lvbi1udW0+
PHVybHM+PHJlbGF0ZWQtdXJscz48dXJsPmh0dHBzOi8vd3d3Lm5jYmkubmxtLm5paC5nb3YvcHVi
bWVkLzI2Mzc1NDcxPC91cmw+PC9yZWxhdGVkLXVybHM+PC91cmxzPjxjdXN0b20yPlBNQzQ1NzM3
NTc8L2N1c3RvbTI+PGVsZWN0cm9uaWMtcmVzb3VyY2UtbnVtPjEwLjEzNzEvam91cm5hbC5wb25l
LjAxMzc3NDI8L2VsZWN0cm9uaWMtcmVzb3VyY2UtbnVtPjwvcmVjb3JkPjwvQ2l0ZT48Q2l0ZT48
QXV0aG9yPkRhbHk8L0F1dGhvcj48WWVhcj4yMDE3PC9ZZWFyPjxSZWNOdW0+Njg1PC9SZWNOdW0+
PHJlY29yZD48cmVjLW51bWJlcj42ODU8L3JlYy1udW1iZXI+PGZvcmVpZ24ta2V5cz48a2V5IGFw
cD0iRU4iIGRiLWlkPSJleHZhc3JmeDJkdHJhb2VzYXN4cDJzenN4YTJkZjUwMjU5MngiIHRpbWVz
dGFtcD0iMTU0MDUyNzE3MSI+Njg1PC9rZXk+PC9mb3JlaWduLWtleXM+PHJlZi10eXBlIG5hbWU9
IkpvdXJuYWwgQXJ0aWNsZSI+MTc8L3JlZi10eXBlPjxjb250cmlidXRvcnM+PGF1dGhvcnM+PGF1
dGhvcj5EYWx5LCBOLjwvYXV0aG9yPjxhdXRob3I+RmFycmVuLCBNLjwvYXV0aG9yPjxhdXRob3I+
TWNLZWF0aW5nLCBBLjwvYXV0aG9yPjxhdXRob3I+TyZhcG9zO0tlbGx5LCBSLjwvYXV0aG9yPjxh
dXRob3I+U3RhcGxldG9uLCBNLjwvYXV0aG9yPjxhdXRob3I+VHVybmVyLCBNLiBKLjwvYXV0aG9y
PjwvYXV0aG9ycz48L2NvbnRyaWJ1dG9ycz48YXV0aC1hZGRyZXNzPlVDRCBDZW50cmUgZm9yIEh1
bWFuIFJlcHJvZHVjdGlvbiwgQ29vbWJlIFdvbWVuIGFuZCBJbmZhbnRzIFVuaXZlcnNpdHkgSG9z
cGl0YWwsIER1YmxpbiwgSXJlbGFuZC48L2F1dGgtYWRkcmVzcz48dGl0bGVzPjx0aXRsZT5BIE1l
ZGljYWxseSBTdXBlcnZpc2VkIFByZWduYW5jeSBFeGVyY2lzZSBJbnRlcnZlbnRpb24gaW4gT2Jl
c2UgV29tZW46IEEgUmFuZG9taXplZCBDb250cm9sbGVkIFRyaWFsPC90aXRsZT48c2Vjb25kYXJ5
LXRpdGxlPk9ic3RldCBHeW5lY29sPC9zZWNvbmRhcnktdGl0bGU+PC90aXRsZXM+PHBlcmlvZGlj
YWw+PGZ1bGwtdGl0bGU+T2JzdGV0IEd5bmVjb2w8L2Z1bGwtdGl0bGU+PC9wZXJpb2RpY2FsPjxw
YWdlcz4xMDAxLTEwMTA8L3BhZ2VzPjx2b2x1bWU+MTMwPC92b2x1bWU+PG51bWJlcj41PC9udW1i
ZXI+PGVkaXRpb24+MjAxNy8xMC8xMTwvZWRpdGlvbj48a2V5d29yZHM+PGtleXdvcmQ+QWR1bHQ8
L2tleXdvcmQ+PGtleXdvcmQ+Qmxvb2QgR2x1Y29zZS9hbmFseXNpczwva2V5d29yZD48a2V5d29y
ZD5FeGVyY2lzZSBUaGVyYXB5LyptZXRob2RzPC9rZXl3b3JkPjxrZXl3b3JkPkZhc3RpbmcvYmxv
b2Q8L2tleXdvcmQ+PGtleXdvcmQ+RmVtYWxlPC9rZXl3b3JkPjxrZXl3b3JkPkh1bWFuczwva2V5
d29yZD48a2V5d29yZD5PYmVzaXR5L2Jsb29kL2NvbXBsaWNhdGlvbnMvKnRoZXJhcHk8L2tleXdv
cmQ+PGtleXdvcmQ+UHJlZ25hbmN5PC9rZXl3b3JkPjxrZXl3b3JkPlByZWduYW5jeSBDb21wbGlj
YXRpb25zL2Jsb29kL2V0aW9sb2d5Lyp0aGVyYXB5PC9rZXl3b3JkPjxrZXl3b3JkPlByZW5hdGFs
IENhcmUvKm1ldGhvZHM8L2tleXdvcmQ+PGtleXdvcmQ+VHJlYXRtZW50IE91dGNvbWU8L2tleXdv
cmQ+PGtleXdvcmQ+V2VpZ2h0IEdhaW48L2tleXdvcmQ+PC9rZXl3b3Jkcz48ZGF0ZXM+PHllYXI+
MjAxNzwveWVhcj48cHViLWRhdGVzPjxkYXRlPk5vdjwvZGF0ZT48L3B1Yi1kYXRlcz48L2RhdGVz
Pjxpc2JuPjE4NzMtMjMzWCAoRWxlY3Ryb25pYykmI3hEOzAwMjktNzg0NCAoTGlua2luZyk8L2lz
Ym4+PGFjY2Vzc2lvbi1udW0+MjkwMTY0ODU8L2FjY2Vzc2lvbi1udW0+PHVybHM+PHJlbGF0ZWQt
dXJscz48dXJsPmh0dHBzOi8vd3d3Lm5jYmkubmxtLm5paC5nb3YvcHVibWVkLzI5MDE2NDg1PC91
cmw+PC9yZWxhdGVkLXVybHM+PC91cmxzPjxlbGVjdHJvbmljLXJlc291cmNlLW51bT4xMC4xMDk3
L0FPRy4wMDAwMDAwMDAwMDAyMjY3PC9lbGVjdHJvbmljLXJlc291cmNlLW51bT48L3JlY29yZD48
L0NpdGU+PENpdGU+PEF1dGhvcj5EZWtrZXIgTml0ZXJ0PC9BdXRob3I+PFllYXI+MjAxNTwvWWVh
cj48UmVjTnVtPjY4NjwvUmVjTnVtPjxyZWNvcmQ+PHJlYy1udW1iZXI+Njg2PC9yZWMtbnVtYmVy
Pjxmb3JlaWduLWtleXM+PGtleSBhcHA9IkVOIiBkYi1pZD0iZXh2YXNyZngyZHRyYW9lc2FzeHAy
c3pzeGEyZGY1MDI1OTJ4IiB0aW1lc3RhbXA9IjE1NDA1MjcyMzgiPjY4Njwva2V5PjwvZm9yZWln
bi1rZXlzPjxyZWYtdHlwZSBuYW1lPSJKb3VybmFsIEFydGljbGUiPjE3PC9yZWYtdHlwZT48Y29u
dHJpYnV0b3JzPjxhdXRob3JzPjxhdXRob3I+RGVra2VyIE5pdGVydCwgTS48L2F1dGhvcj48YXV0
aG9yPkJhcnJldHQsIEguIEwuPC9hdXRob3I+PGF1dGhvcj5EZW5ueSwgSy4gSi48L2F1dGhvcj48
YXV0aG9yPk1jSW50eXJlLCBILiBELjwvYXV0aG9yPjxhdXRob3I+Q2FsbGF3YXksIEwuIEsuPC9h
dXRob3I+PGF1dGhvcj5CYW1iaW5vIGdyb3VwPC9hdXRob3I+PC9hdXRob3JzPjwvY29udHJpYnV0
b3JzPjxhdXRoLWFkZHJlc3M+U2Nob29sIG9mIE1lZGljaW5lLCBUaGUgVW5pdmVyc2l0eSBvZiBR
dWVlbnNsYW5kLCBIZXJzdG9uLCBRdWVlbnNsYW5kLCBBdXN0cmFsaWE7IFVRIENlbnRyZSBmb3Ig
Q2xpbmljYWwgUmVzZWFyY2gsIFRoZSBVbml2ZXJzaXR5IG9mIFF1ZWVuc2xhbmQsIEhlcnN0b24s
IFF1ZWVuc2xhbmQsIEF1c3RyYWxpYS48L2F1dGgtYWRkcmVzcz48dGl0bGVzPjx0aXRsZT5FeGVy
Y2lzZSBpbiBwcmVnbmFuY3kgZG9lcyBub3QgYWx0ZXIgZ2VzdGF0aW9uYWwgd2VpZ2h0IGdhaW4s
IE1DUC0xIG9yIGxlcHRpbiBpbiBvYmVzZSB3b21lbjwvdGl0bGU+PHNlY29uZGFyeS10aXRsZT5B
dXN0IE4gWiBKIE9ic3RldCBHeW5hZWNvbDwvc2Vjb25kYXJ5LXRpdGxlPjwvdGl0bGVzPjxwZXJp
b2RpY2FsPjxmdWxsLXRpdGxlPkF1c3QgTiBaIEogT2JzdGV0IEd5bmFlY29sPC9mdWxsLXRpdGxl
PjwvcGVyaW9kaWNhbD48cGFnZXM+MjctMzM8L3BhZ2VzPjx2b2x1bWU+NTU8L3ZvbHVtZT48bnVt
YmVyPjE8L251bWJlcj48ZWRpdGlvbj4yMDE1LzAyLzE4PC9lZGl0aW9uPjxrZXl3b3Jkcz48a2V5
d29yZD5BZHVsdDwva2V5d29yZD48a2V5d29yZD5DaGVtb2tpbmUgQ0NMMi9ibG9vZDwva2V5d29y
ZD48a2V5d29yZD5FeGVyY2lzZS8qcGh5c2lvbG9neTwva2V5d29yZD48a2V5d29yZD5GZW1hbGU8
L2tleXdvcmQ+PGtleXdvcmQ+SHVtYW5zPC9rZXl3b3JkPjxrZXl3b3JkPkludGVybGV1a2luLTgv
Ymxvb2Q8L2tleXdvcmQ+PGtleXdvcmQ+TGVwdGluL2Jsb29kPC9rZXl3b3JkPjxrZXl3b3JkPk9i
ZXNpdHkvKmJsb29kL3RoZXJhcHk8L2tleXdvcmQ+PGtleXdvcmQ+UGlsb3QgUHJvamVjdHM8L2tl
eXdvcmQ+PGtleXdvcmQ+UHJlZ25hbmN5PC9rZXl3b3JkPjxrZXl3b3JkPlByZWduYW5jeSBDb21w
bGljYXRpb25zLypibG9vZC9wcmV2ZW50aW9uICZhbXA7IGNvbnRyb2w8L2tleXdvcmQ+PGtleXdv
cmQ+KldlaWdodCBHYWluPC9rZXl3b3JkPjxrZXl3b3JkPllvdW5nIEFkdWx0PC9rZXl3b3JkPjxr
ZXl3b3JkPmV4ZXJjaXNlPC9rZXl3b3JkPjxrZXl3b3JkPmdlc3RhdGlvbmFsIHdlaWdodCBnYWlu
PC9rZXl3b3JkPjxrZXl3b3JkPmxpcGlkczwva2V5d29yZD48a2V5d29yZD5vYmVzaXR5PC9rZXl3
b3JkPjwva2V5d29yZHM+PGRhdGVzPjx5ZWFyPjIwMTU8L3llYXI+PHB1Yi1kYXRlcz48ZGF0ZT5G
ZWI8L2RhdGU+PC9wdWItZGF0ZXM+PC9kYXRlcz48aXNibj4xNDc5LTgyOFggKEVsZWN0cm9uaWMp
JiN4RDswMDA0LTg2NjYgKExpbmtpbmcpPC9pc2JuPjxhY2Nlc3Npb24tbnVtPjI1Njg4ODE3PC9h
Y2Nlc3Npb24tbnVtPjx1cmxzPjxyZWxhdGVkLXVybHM+PHVybD5odHRwczovL3d3dy5uY2JpLm5s
bS5uaWguZ292L3B1Ym1lZC8yNTY4ODgxNzwvdXJsPjwvcmVsYXRlZC11cmxzPjwvdXJscz48ZWxl
Y3Ryb25pYy1yZXNvdXJjZS1udW0+MTAuMTExMS9ham8uMTIzMDA8L2VsZWN0cm9uaWMtcmVzb3Vy
Y2UtbnVtPjwvcmVjb3JkPjwvQ2l0ZT48Q2l0ZT48QXV0aG9yPk9uZzwvQXV0aG9yPjxZZWFyPjIw
MDk8L1llYXI+PFJlY051bT43MDI8L1JlY051bT48cmVjb3JkPjxyZWMtbnVtYmVyPjcwMjwvcmVj
LW51bWJlcj48Zm9yZWlnbi1rZXlzPjxrZXkgYXBwPSJFTiIgZGItaWQ9ImV4dmFzcmZ4MmR0cmFv
ZXNhc3hwMnN6c3hhMmRmNTAyNTkyeCIgdGltZXN0YW1wPSIxNTQwNTMwNDgzIj43MDI8L2tleT48
L2ZvcmVpZ24ta2V5cz48cmVmLXR5cGUgbmFtZT0iSm91cm5hbCBBcnRpY2xlIj4xNzwvcmVmLXR5
cGU+PGNvbnRyaWJ1dG9ycz48YXV0aG9ycz48YXV0aG9yPk9uZywgTS4gSi48L2F1dGhvcj48YXV0
aG9yPkd1ZWxmaSwgSy4gSi48L2F1dGhvcj48YXV0aG9yPkh1bnRlciwgVC48L2F1dGhvcj48YXV0
aG9yPldhbGxtYW4sIEsuIEUuPC9hdXRob3I+PGF1dGhvcj5Gb3VybmllciwgUC4gQS48L2F1dGhv
cj48YXV0aG9yPk5ld25oYW0sIEouIFAuPC9hdXRob3I+PC9hdXRob3JzPjwvY29udHJpYnV0b3Jz
PjxhdXRoLWFkZHJlc3M+U2Nob29sIG9mIFNwb3J0IFNjaWVuY2UsIEV4ZXJjaXNlIGFuZCBIZWFs
dGgsIFRoZSBVbml2ZXJzaXR5IG9mIFdlc3Rlcm4gQXVzdHJhbGlhLCBDcmF3bGV5LCBXQSA2MDA5
LCBBdXN0cmFsaWEuPC9hdXRoLWFkZHJlc3M+PHRpdGxlcz48dGl0bGU+U3VwZXJ2aXNlZCBob21l
LWJhc2VkIGV4ZXJjaXNlIG1heSBhdHRlbnVhdGUgdGhlIGRlY2xpbmUgb2YgZ2x1Y29zZSB0b2xl
cmFuY2UgaW4gb2Jlc2UgcHJlZ25hbnQgd29tZW48L3RpdGxlPjxzZWNvbmRhcnktdGl0bGU+RGlh
YmV0ZXMgTWV0YWI8L3NlY29uZGFyeS10aXRsZT48L3RpdGxlcz48cGVyaW9kaWNhbD48ZnVsbC10
aXRsZT5EaWFiZXRlcyBNZXRhYjwvZnVsbC10aXRsZT48L3BlcmlvZGljYWw+PHBhZ2VzPjQxOC0y
MTwvcGFnZXM+PHZvbHVtZT4zNTwvdm9sdW1lPjxudW1iZXI+NTwvbnVtYmVyPjxlZGl0aW9uPjIw
MDkvMDkvMTU8L2VkaXRpb24+PGtleXdvcmRzPjxrZXl3b3JkPkFkdWx0PC9rZXl3b3JkPjxrZXl3
b3JkPkJsb29kIEdsdWNvc2UvYW5hbHlzaXM8L2tleXdvcmQ+PGtleXdvcmQ+Qm9keSBNYXNzIElu
ZGV4PC9rZXl3b3JkPjxrZXl3b3JkPkV4ZXJjaXNlIFRoZXJhcHkvKm1ldGhvZHM8L2tleXdvcmQ+
PGtleXdvcmQ+RmVtYWxlPC9rZXl3b3JkPjxrZXl3b3JkPkdsdWNvc2UgSW50b2xlcmFuY2UvcHJl
dmVudGlvbiAmYW1wOyBjb250cm9sLyp0aGVyYXB5PC9rZXl3b3JkPjxrZXl3b3JkPkdsdWNvc2Ug
VG9sZXJhbmNlIFRlc3Q8L2tleXdvcmQ+PGtleXdvcmQ+SG9tZSBDYXJlIFNlcnZpY2VzL3N0YXRp
c3RpY3MgJmFtcDsgbnVtZXJpY2FsIGRhdGE8L2tleXdvcmQ+PGtleXdvcmQ+SHVtYW5zPC9rZXl3
b3JkPjxrZXl3b3JkPkluc3VsaW4vYmxvb2Q8L2tleXdvcmQ+PGtleXdvcmQ+T2Jlc2l0eS8qcGh5
c2lvcGF0aG9sb2d5PC9rZXl3b3JkPjxrZXl3b3JkPlBoeXNpY2FsIEZpdG5lc3M8L2tleXdvcmQ+
PGtleXdvcmQ+UHJlZ25hbmN5PC9rZXl3b3JkPjxrZXl3b3JkPlByZWduYW5jeSBDb21wbGljYXRp
b25zLypwaHlzaW9wYXRob2xvZ3k8L2tleXdvcmQ+PGtleXdvcmQ+UHJlZ25hbmN5IFRyaW1lc3Rl
ciwgU2Vjb25kPC9rZXl3b3JkPjwva2V5d29yZHM+PGRhdGVzPjx5ZWFyPjIwMDk8L3llYXI+PHB1
Yi1kYXRlcz48ZGF0ZT5Ob3Y8L2RhdGU+PC9wdWItZGF0ZXM+PC9kYXRlcz48aXNibj4xODc4LTE3
ODAgKEVsZWN0cm9uaWMpJiN4RDsxMjYyLTM2MzYgKExpbmtpbmcpPC9pc2JuPjxhY2Nlc3Npb24t
bnVtPjE5NzQ3ODY5PC9hY2Nlc3Npb24tbnVtPjx1cmxzPjxyZWxhdGVkLXVybHM+PHVybD5odHRw
czovL3d3dy5uY2JpLm5sbS5uaWguZ292L3B1Ym1lZC8xOTc0Nzg2OTwvdXJsPjwvcmVsYXRlZC11
cmxzPjwvdXJscz48ZWxlY3Ryb25pYy1yZXNvdXJjZS1udW0+MTAuMTAxNi9qLmRpYWJldC4yMDA5
LjA0LjAwODwvZWxlY3Ryb25pYy1yZXNvdXJjZS1udW0+PC9yZWNvcmQ+PC9DaXRlPjxDaXRlPjxB
dXRob3I+UmVuYXVsdDwvQXV0aG9yPjxZZWFyPjIwMTQ8L1llYXI+PFJlY051bT45Mzc8L1JlY051
bT48cmVjb3JkPjxyZWMtbnVtYmVyPjkzNzwvcmVjLW51bWJlcj48Zm9yZWlnbi1rZXlzPjxrZXkg
YXBwPSJFTiIgZGItaWQ9ImV4dmFzcmZ4MmR0cmFvZXNhc3hwMnN6c3hhMmRmNTAyNTkyeCIgdGlt
ZXN0YW1wPSIxNTQxNTQxODE0Ij45Mzc8L2tleT48a2V5IGFwcD0iRU5XZWIiIGRiLWlkPSIiPjA8
L2tleT48L2ZvcmVpZ24ta2V5cz48cmVmLXR5cGUgbmFtZT0iSm91cm5hbCBBcnRpY2xlIj4xNzwv
cmVmLXR5cGU+PGNvbnRyaWJ1dG9ycz48YXV0aG9ycz48YXV0aG9yPlJlbmF1bHQsIEsuIE0uPC9h
dXRob3I+PGF1dGhvcj5Ob3JnYWFyZCwgSy48L2F1dGhvcj48YXV0aG9yPk5pbGFzLCBMLjwvYXV0
aG9yPjxhdXRob3I+Q2FybHNlbiwgRS4gTS48L2F1dGhvcj48YXV0aG9yPkNvcnRlcywgRC48L2F1
dGhvcj48YXV0aG9yPlByeWRzLCBPLjwvYXV0aG9yPjxhdXRob3I+U2VjaGVyLCBOLiBKLjwvYXV0
aG9yPjwvYXV0aG9ycz48L2NvbnRyaWJ1dG9ycz48YXV0aC1hZGRyZXNzPkRlcGFydG1lbnQgb2Yg
T2JzdGV0cmljcyBhbmQgR3luZWNvbG9neSwgSHZpZG92cmUgSG9zcGl0YWwsIFVuaXZlcnNpdHkg
b2YgQ29wZW5oYWdlbiwgSHZpZG92cmUsIERlbm1hcmsuIEVsZWN0cm9uaWMgYWRkcmVzczogS3Jl
bmF1bHRAZGFkbG5ldC5kay4mI3hEO0RlcGFydG1lbnQgb2YgRW5kb2NyaW5vbG9neSwgSHZpZG92
cmUgSG9zcGl0YWwsIFVuaXZlcnNpdHkgb2YgQ29wZW5oYWdlbiwgSHZpZG92cmUsIERlbm1hcmsu
JiN4RDtEZXBhcnRtZW50IG9mIE9ic3RldHJpY3MgYW5kIEd5bmVjb2xvZ3ksIEh2aWRvdnJlIEhv
c3BpdGFsLCBVbml2ZXJzaXR5IG9mIENvcGVuaGFnZW4sIEh2aWRvdnJlLCBEZW5tYXJrLiYjeEQ7
RGVwYXJ0bWVudCBvZiBQZWRpYXRyaWNzLCBIdmlkb3ZyZSBIb3NwaXRhbCwgVW5pdmVyc2l0eSBv
ZiBDb3BlbmhhZ2VuLCBIdmlkb3ZyZSwgRGVubWFyay48L2F1dGgtYWRkcmVzcz48dGl0bGVzPjx0
aXRsZT5UaGUgVHJlYXRtZW50IG9mIE9iZXNlIFByZWduYW50IFdvbWVuIChUT1ApIHN0dWR5OiBh
IHJhbmRvbWl6ZWQgY29udHJvbGxlZCB0cmlhbCBvZiB0aGUgZWZmZWN0IG9mIHBoeXNpY2FsIGFj
dGl2aXR5IGludGVydmVudGlvbiBhc3Nlc3NlZCBieSBwZWRvbWV0ZXIgd2l0aCBvciB3aXRob3V0
IGRpZXRhcnkgaW50ZXJ2ZW50aW9uIGluIG9iZXNlIHByZWduYW50IHdvbWVuPC90aXRsZT48c2Vj
b25kYXJ5LXRpdGxlPkFtIEogT2JzdGV0IEd5bmVjb2w8L3NlY29uZGFyeS10aXRsZT48L3RpdGxl
cz48cGVyaW9kaWNhbD48ZnVsbC10aXRsZT5BbSBKIE9ic3RldCBHeW5lY29sPC9mdWxsLXRpdGxl
PjwvcGVyaW9kaWNhbD48cGFnZXM+MTM0IGUxLTk8L3BhZ2VzPjx2b2x1bWU+MjEwPC92b2x1bWU+
PG51bWJlcj4yPC9udW1iZXI+PGVkaXRpb24+MjAxMy8wOS8yNjwvZWRpdGlvbj48a2V5d29yZHM+
PGtleXdvcmQ+QWN0aWdyYXBoeTwva2V5d29yZD48a2V5d29yZD5BZHVsdDwva2V5d29yZD48a2V5
d29yZD5Db21iaW5lZCBNb2RhbGl0eSBUaGVyYXB5PC9rZXl3b3JkPjxrZXl3b3JkPkRpZXQsIE1l
ZGl0ZXJyYW5lYW48L2tleXdvcmQ+PGtleXdvcmQ+RW5lcmd5IEludGFrZTwva2V5d29yZD48a2V5
d29yZD4qRXhlcmNpc2U8L2tleXdvcmQ+PGtleXdvcmQ+RmVtYWxlPC9rZXl3b3JkPjxrZXl3b3Jk
Pkh1bWFuczwva2V5d29yZD48a2V5d29yZD5PYmVzaXR5L2RpZXQgdGhlcmFweS8qdGhlcmFweTwv
a2V5d29yZD48a2V5d29yZD5QcmVnbmFuY3k8L2tleXdvcmQ+PGtleXdvcmQ+UHJlZ25hbmN5IENv
bXBsaWNhdGlvbnMvZGlldCB0aGVyYXB5Lyp0aGVyYXB5PC9rZXl3b3JkPjxrZXl3b3JkPmRpZXQ8
L2tleXdvcmQ+PGtleXdvcmQ+aW50ZXJ2ZW50aW9uPC9rZXl3b3JkPjxrZXl3b3JkPm9iZXNpdHk8
L2tleXdvcmQ+PGtleXdvcmQ+cGVkb21ldGVyPC9rZXl3b3JkPjxrZXl3b3JkPnBoeXNpY2FsIGFj
dGl2aXR5PC9rZXl3b3JkPjwva2V5d29yZHM+PGRhdGVzPjx5ZWFyPjIwMTQ8L3llYXI+PHB1Yi1k
YXRlcz48ZGF0ZT5GZWI8L2RhdGU+PC9wdWItZGF0ZXM+PC9kYXRlcz48aXNibj4xMDk3LTY4Njgg
KEVsZWN0cm9uaWMpJiN4RDswMDAyLTkzNzggKExpbmtpbmcpPC9pc2JuPjxhY2Nlc3Npb24tbnVt
PjI0MDYwNDQ5PC9hY2Nlc3Npb24tbnVtPjx1cmxzPjxyZWxhdGVkLXVybHM+PHVybD5odHRwczov
L3d3dy5uY2JpLm5sbS5uaWguZ292L3B1Ym1lZC8yNDA2MDQ0OTwvdXJsPjwvcmVsYXRlZC11cmxz
PjwvdXJscz48ZWxlY3Ryb25pYy1yZXNvdXJjZS1udW0+MTAuMTAxNi9qLmFqb2cuMjAxMy4wOS4w
Mjk8L2VsZWN0cm9uaWMtcmVzb3VyY2UtbnVtPjwvcmVjb3JkPjwvQ2l0ZT48L0VuZE5vdGU+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269,433,448,450,451</w:t>
      </w:r>
      <w:r>
        <w:rPr>
          <w:sz w:val="16"/>
          <w:szCs w:val="16"/>
        </w:rPr>
        <w:fldChar w:fldCharType="end"/>
      </w:r>
      <w:r w:rsidRPr="00C12274">
        <w:rPr>
          <w:noProof/>
          <w:sz w:val="16"/>
          <w:szCs w:val="16"/>
        </w:rPr>
        <w:t xml:space="preserve"> </w:t>
      </w:r>
    </w:p>
    <w:p w14:paraId="14307328" w14:textId="4C1619D2" w:rsidR="00A5540F" w:rsidRPr="00DB6311" w:rsidRDefault="00A5540F" w:rsidP="00A5540F">
      <w:r>
        <w:t>Most studies were small with fewer than 100 participants (n=15), between 100 and 200 participants (n=1</w:t>
      </w:r>
      <w:r w:rsidR="00501738">
        <w:t>5</w:t>
      </w:r>
      <w:r>
        <w:t>) or between 201 and 400 participants (n=5). There were seven larger studies — Barakat et al 2013</w:t>
      </w:r>
      <w:r w:rsidRPr="00DB6311">
        <w:rPr>
          <w:sz w:val="16"/>
          <w:szCs w:val="16"/>
        </w:rPr>
        <w:fldChar w:fldCharType="begin"/>
      </w:r>
      <w:r w:rsidR="002747EA">
        <w:rPr>
          <w:sz w:val="16"/>
          <w:szCs w:val="16"/>
        </w:rPr>
        <w:instrText xml:space="preserve"> ADDIN EN.CITE &lt;EndNote&gt;&lt;Cite&gt;&lt;Author&gt;Barakat&lt;/Author&gt;&lt;Year&gt;2013&lt;/Year&gt;&lt;RecNum&gt;712&lt;/RecNum&gt;&lt;DisplayText&gt;&lt;style face="superscript" font="Trebuchet MS" size="9"&gt;428&lt;/style&gt;&lt;/DisplayText&gt;&lt;record&gt;&lt;rec-number&gt;712&lt;/rec-number&gt;&lt;foreign-keys&gt;&lt;key app="EN" db-id="exvasrfx2dtraoesasxp2szsxa2df502592x" timestamp="1541462331"&gt;712&lt;/key&gt;&lt;/foreign-keys&gt;&lt;ref-type name="Journal Article"&gt;17&lt;/ref-type&gt;&lt;contributors&gt;&lt;authors&gt;&lt;author&gt;Barakat, R.&lt;/author&gt;&lt;author&gt;Pelaez, M.&lt;/author&gt;&lt;author&gt;Lopez, C.&lt;/author&gt;&lt;author&gt;Lucia, A.&lt;/author&gt;&lt;author&gt;Ruiz, J. R.&lt;/author&gt;&lt;/authors&gt;&lt;/contributors&gt;&lt;auth-address&gt;Facultad de Ciencias de la Actividad Fisica y del Deporte-INEF, Universidad Politecnica de Madrid, Madrid, Spain.&lt;/auth-address&gt;&lt;titles&gt;&lt;title&gt;Exercise during pregnancy and gestational diabetes-related adverse effects: a randomised controlled trial&lt;/title&gt;&lt;secondary-title&gt;Br J Sports Med&lt;/secondary-title&gt;&lt;/titles&gt;&lt;periodical&gt;&lt;full-title&gt;Br J Sports Med&lt;/full-title&gt;&lt;/periodical&gt;&lt;pages&gt;630-6&lt;/pages&gt;&lt;volume&gt;47&lt;/volume&gt;&lt;number&gt;10&lt;/number&gt;&lt;edition&gt;2013/02/01&lt;/edition&gt;&lt;keywords&gt;&lt;keyword&gt;Adult&lt;/keyword&gt;&lt;keyword&gt;Birth Weight&lt;/keyword&gt;&lt;keyword&gt;Diabetes, Gestational/*prevention &amp;amp; control&lt;/keyword&gt;&lt;keyword&gt;Exercise Therapy/*methods&lt;/keyword&gt;&lt;keyword&gt;Female&lt;/keyword&gt;&lt;keyword&gt;Fetal Macrosomia/prevention &amp;amp; control&lt;/keyword&gt;&lt;keyword&gt;Humans&lt;/keyword&gt;&lt;keyword&gt;Pregnancy&lt;/keyword&gt;&lt;keyword&gt;Pregnancy Outcome&lt;/keyword&gt;&lt;keyword&gt;Pregnancy Trimester, Second&lt;/keyword&gt;&lt;keyword&gt;Pregnancy Trimester, Third&lt;/keyword&gt;&lt;keyword&gt;Prenatal Care/methods&lt;/keyword&gt;&lt;keyword&gt;Weight Gain&lt;/keyword&gt;&lt;keyword&gt;Diabetes&lt;/keyword&gt;&lt;keyword&gt;Women in sport&lt;/keyword&gt;&lt;/keywords&gt;&lt;dates&gt;&lt;year&gt;2013&lt;/year&gt;&lt;pub-dates&gt;&lt;date&gt;Jul&lt;/date&gt;&lt;/pub-dates&gt;&lt;/dates&gt;&lt;isbn&gt;1473-0480 (Electronic)&amp;#xD;0306-3674 (Linking)&lt;/isbn&gt;&lt;accession-num&gt;23365418&lt;/accession-num&gt;&lt;urls&gt;&lt;related-urls&gt;&lt;url&gt;https://www.ncbi.nlm.nih.gov/pubmed/23365418&lt;/url&gt;&lt;/related-urls&gt;&lt;/urls&gt;&lt;electronic-resource-num&gt;10.1136/bjsports-2012-091788&lt;/electronic-resource-num&gt;&lt;/record&gt;&lt;/Cite&gt;&lt;/EndNote&gt;</w:instrText>
      </w:r>
      <w:r w:rsidRPr="00DB6311">
        <w:rPr>
          <w:sz w:val="16"/>
          <w:szCs w:val="16"/>
        </w:rPr>
        <w:fldChar w:fldCharType="separate"/>
      </w:r>
      <w:r w:rsidR="002747EA" w:rsidRPr="002747EA">
        <w:rPr>
          <w:noProof/>
          <w:szCs w:val="16"/>
          <w:vertAlign w:val="superscript"/>
        </w:rPr>
        <w:t>428</w:t>
      </w:r>
      <w:r w:rsidRPr="00DB6311">
        <w:rPr>
          <w:sz w:val="16"/>
          <w:szCs w:val="16"/>
        </w:rPr>
        <w:fldChar w:fldCharType="end"/>
      </w:r>
      <w:r>
        <w:t xml:space="preserve"> (n=428), </w:t>
      </w:r>
      <w:r w:rsidRPr="00DB6311">
        <w:t>, Barakat et al 2018</w:t>
      </w:r>
      <w:r>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294</w:t>
      </w:r>
      <w:r>
        <w:rPr>
          <w:sz w:val="16"/>
          <w:szCs w:val="16"/>
        </w:rPr>
        <w:fldChar w:fldCharType="end"/>
      </w:r>
      <w:r>
        <w:rPr>
          <w:sz w:val="16"/>
          <w:szCs w:val="16"/>
        </w:rPr>
        <w:t xml:space="preserve"> </w:t>
      </w:r>
      <w:r w:rsidRPr="00DB6311">
        <w:t>(n=429)</w:t>
      </w:r>
      <w:r>
        <w:t>, da Silva et al 2017a</w:t>
      </w:r>
      <w:r>
        <w:rPr>
          <w:sz w:val="16"/>
          <w:szCs w:val="16"/>
        </w:rPr>
        <w:fldChar w:fldCharType="begin">
          <w:fldData xml:space="preserve">PEVuZE5vdGU+PENpdGU+PEF1dGhvcj5kYSBTaWx2YTwvQXV0aG9yPjxZZWFyPjIwMTc8L1llYXI+
PFJlY051bT42ODQ8L1JlY051bT48RGlzcGxheVRleHQ+PHN0eWxlIGZhY2U9InN1cGVyc2NyaXB0
IiBmb250PSJUcmVidWNoZXQgTVMiIHNpemU9IjkiPjQzMjwvc3R5bGU+PC9EaXNwbGF5VGV4dD48
cmVjb3JkPjxyZWMtbnVtYmVyPjY4NDwvcmVjLW51bWJlcj48Zm9yZWlnbi1rZXlzPjxrZXkgYXBw
PSJFTiIgZGItaWQ9ImV4dmFzcmZ4MmR0cmFvZXNhc3hwMnN6c3hhMmRmNTAyNTkyeCIgdGltZXN0
YW1wPSIxNTQwNTI3MTM1Ij42ODQ8L2tleT48L2ZvcmVpZ24ta2V5cz48cmVmLXR5cGUgbmFtZT0i
Sm91cm5hbCBBcnRpY2xlIj4xNzwvcmVmLXR5cGU+PGNvbnRyaWJ1dG9ycz48YXV0aG9ycz48YXV0
aG9yPmRhIFNpbHZhLCBTLiBHLjwvYXV0aG9yPjxhdXRob3I+SGFsbGFsLCBQLiBDLjwvYXV0aG9y
PjxhdXRob3I+RG9taW5ndWVzLCBNLiBSLjwvYXV0aG9yPjxhdXRob3I+QmVydG9sZGksIEEuIEQu
PC9hdXRob3I+PGF1dGhvcj5TaWx2ZWlyYSwgTS4gRi4gRC48L2F1dGhvcj48YXV0aG9yPkJhc3Nh
bmksIEQuPC9hdXRob3I+PGF1dGhvcj5kYSBTaWx2YSwgSS4gQy4gTS48L2F1dGhvcj48YXV0aG9y
PmRhIFNpbHZhLCBCLiBHLiBDLjwvYXV0aG9yPjxhdXRob3I+Q29sbCwgQy4gVi4gTi48L2F1dGhv
cj48YXV0aG9yPkV2ZW5zb24sIEsuPC9hdXRob3I+PC9hdXRob3JzPjwvY29udHJpYnV0b3JzPjxh
dXRoLWFkZHJlc3M+UG9zdGdyYWR1YXRlIFByb2dyYW0gaW4gRXBpZGVtaW9sb2d5LCBGZWRlcmFs
IFVuaXZlcnNpdHkgb2YgUGVsb3RhcywgUnVhIE1hcmVjaGFsIERlb2Rvcm8sIDExNjAtMyBkZWdy
ZWVzIHBpc28sIENFUDogOTYwMjAtMjIwLCBCYWlycm8gQ2VudHJvLCBQZWxvdGFzLCBSaW8gR3Jh
bmRlIGRvIFN1bCwgQnJhemlsLiBzZ2luYXJAZ21haWwuY29tLiYjeEQ7RGVwYXJ0bWVudCBvZiBF
cGlkZW1pb2xvZ3ksIEdpbGxpbmdzIFNjaG9vbCBvZiBHbG9iYWwgUHVibGljIEhlYWx0aCwgVW5p
dmVyc2l0eSBvZiBOb3J0aCBDYXJvbGluYSAtIENoYXBlbCBIaWxsLCBDaGFwZWwgSGlsbCwgTkMs
IFVTQS4gc2dpbmFyQGdtYWlsLmNvbS4mI3hEO1Bvc3RncmFkdWF0ZSBQcm9ncmFtIGluIEVwaWRl
bWlvbG9neSwgRmVkZXJhbCBVbml2ZXJzaXR5IG9mIFBlbG90YXMsIFJ1YSBNYXJlY2hhbCBEZW9k
b3JvLCAxMTYwLTMgZGVncmVlcyBwaXNvLCBDRVA6IDk2MDIwLTIyMCwgQmFpcnJvIENlbnRybywg
UGVsb3RhcywgUmlvIEdyYW5kZSBkbyBTdWwsIEJyYXppbC4mI3hEO1Bvc3RncmFkdWF0ZSBQcm9n
cmFtIGluIFBoeXNpY2FsIEVkdWNhdGlvbiwgRmVkZXJhbCBVbml2ZXJzaXR5IG9mIFBlbG90YXMs
IFBlbG90YXMsIEJyYXppbC4mI3hEO0RlcGFydG1lbnQgb2YgUGFlZGlhdHJpY3MsIEZhY3VsdHkg
b2YgTWVkaWNpbmUsIENlbnRyZSBmb3IgR2xvYmFsIENoaWxkIEhlYWx0aCwgVW5pdmVyc2l0eSBv
ZiBUb3JvbnRvOyBLaW5nJmFwb3M7cyBDb2xsZWdlIENpcmNsZSwgVGhlIEhvc3BpdGFsIGZvciBT
aWNrIENoaWxkcmVuLCBUb3JvbnRvLCBDYW5hZGEuJiN4RDtEZXBhcnRtZW50IG9mIEVwaWRlbWlv
bG9neSwgR2lsbGluZ3MgU2Nob29sIG9mIEdsb2JhbCBQdWJsaWMgSGVhbHRoLCBVbml2ZXJzaXR5
IG9mIE5vcnRoIENhcm9saW5hIC0gQ2hhcGVsIEhpbGwsIENoYXBlbCBIaWxsLCBOQywgVVNBLjwv
YXV0aC1hZGRyZXNzPjx0aXRsZXM+PHRpdGxlPkEgcmFuZG9taXplZCBjb250cm9sbGVkIHRyaWFs
IG9mIGV4ZXJjaXNlIGR1cmluZyBwcmVnbmFuY3kgb24gbWF0ZXJuYWwgYW5kIG5lb25hdGFsIG91
dGNvbWVzOiByZXN1bHRzIGZyb20gdGhlIFBBTUVMQSBzdHVkeTwvdGl0bGU+PHNlY29uZGFyeS10
aXRsZT5JbnQgSiBCZWhhdiBOdXRyIFBoeXMgQWN0PC9zZWNvbmRhcnktdGl0bGU+PC90aXRsZXM+
PHBlcmlvZGljYWw+PGZ1bGwtdGl0bGU+SW50IEogQmVoYXYgTnV0ciBQaHlzIEFjdDwvZnVsbC10
aXRsZT48L3BlcmlvZGljYWw+PHBhZ2VzPjE3NTwvcGFnZXM+PHZvbHVtZT4xNDwvdm9sdW1lPjxu
dW1iZXI+MTwvbnVtYmVyPjxlZGl0aW9uPjIwMTcvMTIvMjQ8L2VkaXRpb24+PGtleXdvcmRzPjxr
ZXl3b3JkPkFkdWx0PC9rZXl3b3JkPjxrZXl3b3JkPkJpcnRoIFdlaWdodDwva2V5d29yZD48a2V5
d29yZD5Cb2R5IE1hc3MgSW5kZXg8L2tleXdvcmQ+PGtleXdvcmQ+QnJhemlsPC9rZXl3b3JkPjxr
ZXl3b3JkPkNvaG9ydCBTdHVkaWVzPC9rZXl3b3JkPjxrZXl3b3JkPkRpYWJldGVzLCBHZXN0YXRp
b25hbC9lcGlkZW1pb2xvZ3kvcHJldmVudGlvbiAmYW1wOyBjb250cm9sPC9rZXl3b3JkPjxrZXl3
b3JkPipFeGVyY2lzZTwva2V5d29yZD48a2V5d29yZD5GZW1hbGU8L2tleXdvcmQ+PGtleXdvcmQ+
R2VzdGF0aW9uYWwgQWdlPC9rZXl3b3JkPjxrZXl3b3JkPkh1bWFuczwva2V5d29yZD48a2V5d29y
ZD5JbmNpZGVuY2U8L2tleXdvcmQ+PGtleXdvcmQ+SW5mYW50PC9rZXl3b3JkPjxrZXl3b3JkPlBh
dGllbnQgQ29tcGxpYW5jZTwva2V5d29yZD48a2V5d29yZD5QcmUtRWNsYW1wc2lhLyplcGlkZW1p
b2xvZ3kvcHJldmVudGlvbiAmYW1wOyBjb250cm9sPC9rZXl3b3JkPjxrZXl3b3JkPlByZWduYW5j
eTwva2V5d29yZD48a2V5d29yZD4qUHJlZ25hbmN5IE91dGNvbWU8L2tleXdvcmQ+PGtleXdvcmQ+
UHJlbWF0dXJlIEJpcnRoLyplcGlkZW1pb2xvZ3kvcHJldmVudGlvbiAmYW1wOyBjb250cm9sPC9r
ZXl3b3JkPjxrZXl3b3JkPlByZW5hdGFsIENhcmU8L2tleXdvcmQ+PGtleXdvcmQ+U2FtcGxlIFNp
emU8L2tleXdvcmQ+PGtleXdvcmQ+V2VpZ2h0IEdhaW48L2tleXdvcmQ+PGtleXdvcmQ+WW91bmcg
QWR1bHQ8L2tleXdvcmQ+PGtleXdvcmQ+KkludGVydmVudGlvbiBzdHVkaWVzPC9rZXl3b3JkPjxr
ZXl3b3JkPipNYXRlcm5hbC1jaGlsZCBoZWFsdGg8L2tleXdvcmQ+PGtleXdvcmQ+KlBoeXNpY2Fs
IGFjdGl2aXR5PC9rZXl3b3JkPjxrZXl3b3JkPipQcmVnbmFudCB3b21hbjwva2V5d29yZD48a2V5
d29yZD4qUmFuZG9taXplZCBjb250cm9sbGVkIHRyaWFsPC9rZXl3b3JkPjwva2V5d29yZHM+PGRh
dGVzPjx5ZWFyPjIwMTc8L3llYXI+PHB1Yi1kYXRlcz48ZGF0ZT5EZWMgMjI8L2RhdGU+PC9wdWIt
ZGF0ZXM+PC9kYXRlcz48aXNibj4xNDc5LTU4NjggKEVsZWN0cm9uaWMpJiN4RDsxNDc5LTU4Njgg
KExpbmtpbmcpPC9pc2JuPjxhY2Nlc3Npb24tbnVtPjI5MjczMDQ0PC9hY2Nlc3Npb24tbnVtPjx1
cmxzPjxyZWxhdGVkLXVybHM+PHVybD5odHRwczovL3d3dy5uY2JpLm5sbS5uaWguZ292L3B1Ym1l
ZC8yOTI3MzA0NDwvdXJsPjwvcmVsYXRlZC11cmxzPjwvdXJscz48Y3VzdG9tMj5QTUM1NzQxOTI0
PC9jdXN0b20yPjxlbGVjdHJvbmljLXJlc291cmNlLW51bT4xMC4xMTg2L3MxMjk2Ni0wMTctMDYz
Mi02PC9lbGVjdHJvbmljLXJlc291cmNlLW51bT48L3JlY29yZD48L0NpdGU+PC9FbmROb3RlPgB=
</w:fldData>
        </w:fldChar>
      </w:r>
      <w:r w:rsidR="002747EA">
        <w:rPr>
          <w:sz w:val="16"/>
          <w:szCs w:val="16"/>
        </w:rPr>
        <w:instrText xml:space="preserve"> ADDIN EN.CITE </w:instrText>
      </w:r>
      <w:r w:rsidR="002747EA">
        <w:rPr>
          <w:sz w:val="16"/>
          <w:szCs w:val="16"/>
        </w:rPr>
        <w:fldChar w:fldCharType="begin">
          <w:fldData xml:space="preserve">PEVuZE5vdGU+PENpdGU+PEF1dGhvcj5kYSBTaWx2YTwvQXV0aG9yPjxZZWFyPjIwMTc8L1llYXI+
PFJlY051bT42ODQ8L1JlY051bT48RGlzcGxheVRleHQ+PHN0eWxlIGZhY2U9InN1cGVyc2NyaXB0
IiBmb250PSJUcmVidWNoZXQgTVMiIHNpemU9IjkiPjQzMjwvc3R5bGU+PC9EaXNwbGF5VGV4dD48
cmVjb3JkPjxyZWMtbnVtYmVyPjY4NDwvcmVjLW51bWJlcj48Zm9yZWlnbi1rZXlzPjxrZXkgYXBw
PSJFTiIgZGItaWQ9ImV4dmFzcmZ4MmR0cmFvZXNhc3hwMnN6c3hhMmRmNTAyNTkyeCIgdGltZXN0
YW1wPSIxNTQwNTI3MTM1Ij42ODQ8L2tleT48L2ZvcmVpZ24ta2V5cz48cmVmLXR5cGUgbmFtZT0i
Sm91cm5hbCBBcnRpY2xlIj4xNzwvcmVmLXR5cGU+PGNvbnRyaWJ1dG9ycz48YXV0aG9ycz48YXV0
aG9yPmRhIFNpbHZhLCBTLiBHLjwvYXV0aG9yPjxhdXRob3I+SGFsbGFsLCBQLiBDLjwvYXV0aG9y
PjxhdXRob3I+RG9taW5ndWVzLCBNLiBSLjwvYXV0aG9yPjxhdXRob3I+QmVydG9sZGksIEEuIEQu
PC9hdXRob3I+PGF1dGhvcj5TaWx2ZWlyYSwgTS4gRi4gRC48L2F1dGhvcj48YXV0aG9yPkJhc3Nh
bmksIEQuPC9hdXRob3I+PGF1dGhvcj5kYSBTaWx2YSwgSS4gQy4gTS48L2F1dGhvcj48YXV0aG9y
PmRhIFNpbHZhLCBCLiBHLiBDLjwvYXV0aG9yPjxhdXRob3I+Q29sbCwgQy4gVi4gTi48L2F1dGhv
cj48YXV0aG9yPkV2ZW5zb24sIEsuPC9hdXRob3I+PC9hdXRob3JzPjwvY29udHJpYnV0b3JzPjxh
dXRoLWFkZHJlc3M+UG9zdGdyYWR1YXRlIFByb2dyYW0gaW4gRXBpZGVtaW9sb2d5LCBGZWRlcmFs
IFVuaXZlcnNpdHkgb2YgUGVsb3RhcywgUnVhIE1hcmVjaGFsIERlb2Rvcm8sIDExNjAtMyBkZWdy
ZWVzIHBpc28sIENFUDogOTYwMjAtMjIwLCBCYWlycm8gQ2VudHJvLCBQZWxvdGFzLCBSaW8gR3Jh
bmRlIGRvIFN1bCwgQnJhemlsLiBzZ2luYXJAZ21haWwuY29tLiYjeEQ7RGVwYXJ0bWVudCBvZiBF
cGlkZW1pb2xvZ3ksIEdpbGxpbmdzIFNjaG9vbCBvZiBHbG9iYWwgUHVibGljIEhlYWx0aCwgVW5p
dmVyc2l0eSBvZiBOb3J0aCBDYXJvbGluYSAtIENoYXBlbCBIaWxsLCBDaGFwZWwgSGlsbCwgTkMs
IFVTQS4gc2dpbmFyQGdtYWlsLmNvbS4mI3hEO1Bvc3RncmFkdWF0ZSBQcm9ncmFtIGluIEVwaWRl
bWlvbG9neSwgRmVkZXJhbCBVbml2ZXJzaXR5IG9mIFBlbG90YXMsIFJ1YSBNYXJlY2hhbCBEZW9k
b3JvLCAxMTYwLTMgZGVncmVlcyBwaXNvLCBDRVA6IDk2MDIwLTIyMCwgQmFpcnJvIENlbnRybywg
UGVsb3RhcywgUmlvIEdyYW5kZSBkbyBTdWwsIEJyYXppbC4mI3hEO1Bvc3RncmFkdWF0ZSBQcm9n
cmFtIGluIFBoeXNpY2FsIEVkdWNhdGlvbiwgRmVkZXJhbCBVbml2ZXJzaXR5IG9mIFBlbG90YXMs
IFBlbG90YXMsIEJyYXppbC4mI3hEO0RlcGFydG1lbnQgb2YgUGFlZGlhdHJpY3MsIEZhY3VsdHkg
b2YgTWVkaWNpbmUsIENlbnRyZSBmb3IgR2xvYmFsIENoaWxkIEhlYWx0aCwgVW5pdmVyc2l0eSBv
ZiBUb3JvbnRvOyBLaW5nJmFwb3M7cyBDb2xsZWdlIENpcmNsZSwgVGhlIEhvc3BpdGFsIGZvciBT
aWNrIENoaWxkcmVuLCBUb3JvbnRvLCBDYW5hZGEuJiN4RDtEZXBhcnRtZW50IG9mIEVwaWRlbWlv
bG9neSwgR2lsbGluZ3MgU2Nob29sIG9mIEdsb2JhbCBQdWJsaWMgSGVhbHRoLCBVbml2ZXJzaXR5
IG9mIE5vcnRoIENhcm9saW5hIC0gQ2hhcGVsIEhpbGwsIENoYXBlbCBIaWxsLCBOQywgVVNBLjwv
YXV0aC1hZGRyZXNzPjx0aXRsZXM+PHRpdGxlPkEgcmFuZG9taXplZCBjb250cm9sbGVkIHRyaWFs
IG9mIGV4ZXJjaXNlIGR1cmluZyBwcmVnbmFuY3kgb24gbWF0ZXJuYWwgYW5kIG5lb25hdGFsIG91
dGNvbWVzOiByZXN1bHRzIGZyb20gdGhlIFBBTUVMQSBzdHVkeTwvdGl0bGU+PHNlY29uZGFyeS10
aXRsZT5JbnQgSiBCZWhhdiBOdXRyIFBoeXMgQWN0PC9zZWNvbmRhcnktdGl0bGU+PC90aXRsZXM+
PHBlcmlvZGljYWw+PGZ1bGwtdGl0bGU+SW50IEogQmVoYXYgTnV0ciBQaHlzIEFjdDwvZnVsbC10
aXRsZT48L3BlcmlvZGljYWw+PHBhZ2VzPjE3NTwvcGFnZXM+PHZvbHVtZT4xNDwvdm9sdW1lPjxu
dW1iZXI+MTwvbnVtYmVyPjxlZGl0aW9uPjIwMTcvMTIvMjQ8L2VkaXRpb24+PGtleXdvcmRzPjxr
ZXl3b3JkPkFkdWx0PC9rZXl3b3JkPjxrZXl3b3JkPkJpcnRoIFdlaWdodDwva2V5d29yZD48a2V5
d29yZD5Cb2R5IE1hc3MgSW5kZXg8L2tleXdvcmQ+PGtleXdvcmQ+QnJhemlsPC9rZXl3b3JkPjxr
ZXl3b3JkPkNvaG9ydCBTdHVkaWVzPC9rZXl3b3JkPjxrZXl3b3JkPkRpYWJldGVzLCBHZXN0YXRp
b25hbC9lcGlkZW1pb2xvZ3kvcHJldmVudGlvbiAmYW1wOyBjb250cm9sPC9rZXl3b3JkPjxrZXl3
b3JkPipFeGVyY2lzZTwva2V5d29yZD48a2V5d29yZD5GZW1hbGU8L2tleXdvcmQ+PGtleXdvcmQ+
R2VzdGF0aW9uYWwgQWdlPC9rZXl3b3JkPjxrZXl3b3JkPkh1bWFuczwva2V5d29yZD48a2V5d29y
ZD5JbmNpZGVuY2U8L2tleXdvcmQ+PGtleXdvcmQ+SW5mYW50PC9rZXl3b3JkPjxrZXl3b3JkPlBh
dGllbnQgQ29tcGxpYW5jZTwva2V5d29yZD48a2V5d29yZD5QcmUtRWNsYW1wc2lhLyplcGlkZW1p
b2xvZ3kvcHJldmVudGlvbiAmYW1wOyBjb250cm9sPC9rZXl3b3JkPjxrZXl3b3JkPlByZWduYW5j
eTwva2V5d29yZD48a2V5d29yZD4qUHJlZ25hbmN5IE91dGNvbWU8L2tleXdvcmQ+PGtleXdvcmQ+
UHJlbWF0dXJlIEJpcnRoLyplcGlkZW1pb2xvZ3kvcHJldmVudGlvbiAmYW1wOyBjb250cm9sPC9r
ZXl3b3JkPjxrZXl3b3JkPlByZW5hdGFsIENhcmU8L2tleXdvcmQ+PGtleXdvcmQ+U2FtcGxlIFNp
emU8L2tleXdvcmQ+PGtleXdvcmQ+V2VpZ2h0IEdhaW48L2tleXdvcmQ+PGtleXdvcmQ+WW91bmcg
QWR1bHQ8L2tleXdvcmQ+PGtleXdvcmQ+KkludGVydmVudGlvbiBzdHVkaWVzPC9rZXl3b3JkPjxr
ZXl3b3JkPipNYXRlcm5hbC1jaGlsZCBoZWFsdGg8L2tleXdvcmQ+PGtleXdvcmQ+KlBoeXNpY2Fs
IGFjdGl2aXR5PC9rZXl3b3JkPjxrZXl3b3JkPipQcmVnbmFudCB3b21hbjwva2V5d29yZD48a2V5
d29yZD4qUmFuZG9taXplZCBjb250cm9sbGVkIHRyaWFsPC9rZXl3b3JkPjwva2V5d29yZHM+PGRh
dGVzPjx5ZWFyPjIwMTc8L3llYXI+PHB1Yi1kYXRlcz48ZGF0ZT5EZWMgMjI8L2RhdGU+PC9wdWIt
ZGF0ZXM+PC9kYXRlcz48aXNibj4xNDc5LTU4NjggKEVsZWN0cm9uaWMpJiN4RDsxNDc5LTU4Njgg
KExpbmtpbmcpPC9pc2JuPjxhY2Nlc3Npb24tbnVtPjI5MjczMDQ0PC9hY2Nlc3Npb24tbnVtPjx1
cmxzPjxyZWxhdGVkLXVybHM+PHVybD5odHRwczovL3d3dy5uY2JpLm5sbS5uaWguZ292L3B1Ym1l
ZC8yOTI3MzA0NDwvdXJsPjwvcmVsYXRlZC11cmxzPjwvdXJscz48Y3VzdG9tMj5QTUM1NzQxOTI0
PC9jdXN0b20yPjxlbGVjdHJvbmljLXJlc291cmNlLW51bT4xMC4xMTg2L3MxMjk2Ni0wMTctMDYz
Mi02PC9lbGVjdHJvbmljLXJlc291cmNlLW51bT48L3JlY29yZD48L0NpdGU+PC9FbmROb3RlPgB=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432</w:t>
      </w:r>
      <w:r>
        <w:rPr>
          <w:sz w:val="16"/>
          <w:szCs w:val="16"/>
        </w:rPr>
        <w:fldChar w:fldCharType="end"/>
      </w:r>
      <w:r w:rsidRPr="00DB6311">
        <w:t xml:space="preserve"> (n=639)</w:t>
      </w:r>
      <w:r>
        <w:t>, Stafne et al</w:t>
      </w:r>
      <w:r>
        <w:rPr>
          <w:sz w:val="16"/>
          <w:szCs w:val="16"/>
        </w:rPr>
        <w:fldChar w:fldCharType="begin"/>
      </w:r>
      <w:r w:rsidR="002747EA">
        <w:rPr>
          <w:sz w:val="16"/>
          <w:szCs w:val="16"/>
        </w:rPr>
        <w:instrText xml:space="preserve"> ADDIN EN.CITE &lt;EndNote&gt;&lt;Cite&gt;&lt;Author&gt;Stafne&lt;/Author&gt;&lt;Year&gt;2012&lt;/Year&gt;&lt;RecNum&gt;1060&lt;/RecNum&gt;&lt;DisplayText&gt;&lt;style face="superscript" font="Trebuchet MS" size="9"&gt;445&lt;/style&gt;&lt;/DisplayText&gt;&lt;record&gt;&lt;rec-number&gt;1060&lt;/rec-number&gt;&lt;foreign-keys&gt;&lt;key app="EN" db-id="exvasrfx2dtraoesasxp2szsxa2df502592x" timestamp="1548983476"&gt;1060&lt;/key&gt;&lt;/foreign-keys&gt;&lt;ref-type name="Journal Article"&gt;17&lt;/ref-type&gt;&lt;contributors&gt;&lt;authors&gt;&lt;author&gt;Stafne, Signe N.&lt;/author&gt;&lt;author&gt;Salvesen, Kjell </w:instrText>
      </w:r>
      <w:r w:rsidR="002747EA">
        <w:rPr>
          <w:rFonts w:ascii="MS Mincho" w:eastAsia="MS Mincho" w:hAnsi="MS Mincho" w:cs="MS Mincho"/>
          <w:sz w:val="16"/>
          <w:szCs w:val="16"/>
        </w:rPr>
        <w:instrText>Å</w:instrText>
      </w:r>
      <w:r w:rsidR="002747EA">
        <w:rPr>
          <w:sz w:val="16"/>
          <w:szCs w:val="16"/>
        </w:rPr>
        <w:instrText>&lt;/author&gt;&lt;author&gt;Romundstad, Pål R.&lt;/author&gt;&lt;author&gt;Eggebø, Torbjørn M.&lt;/author&gt;&lt;author&gt;Carlsen, Sven M.&lt;/author&gt;&lt;author&gt;Mørkved, Siv&lt;/author&gt;&lt;/authors&gt;&lt;/contributors&gt;&lt;titles&gt;&lt;title&gt;Regular Exercise During Pregnancy to Prevent Gestational Diabetes&lt;/title&gt;&lt;secondary-title&gt;Obstetrics &amp;amp; Gynecology&lt;/secondary-title&gt;&lt;/titles&gt;&lt;periodical&gt;&lt;full-title&gt;Obstetrics &amp;amp; Gynecology&lt;/full-title&gt;&lt;/periodical&gt;&lt;pages&gt;29-36&lt;/pages&gt;&lt;volume&gt;119&lt;/volume&gt;&lt;number&gt;1&lt;/number&gt;&lt;section&gt;29&lt;/section&gt;&lt;dates&gt;&lt;year&gt;2012&lt;/year&gt;&lt;/dates&gt;&lt;isbn&gt;0029-7844&lt;/isbn&gt;&lt;urls&gt;&lt;/urls&gt;&lt;electronic-resource-num&gt;10.1097/AOG.0b013e3182393f86&lt;/electronic-resource-num&gt;&lt;/record&gt;&lt;/Cite&gt;&lt;/EndNote&gt;</w:instrText>
      </w:r>
      <w:r>
        <w:rPr>
          <w:sz w:val="16"/>
          <w:szCs w:val="16"/>
        </w:rPr>
        <w:fldChar w:fldCharType="separate"/>
      </w:r>
      <w:r w:rsidR="002747EA" w:rsidRPr="002747EA">
        <w:rPr>
          <w:noProof/>
          <w:szCs w:val="16"/>
          <w:vertAlign w:val="superscript"/>
        </w:rPr>
        <w:t>445</w:t>
      </w:r>
      <w:r>
        <w:rPr>
          <w:sz w:val="16"/>
          <w:szCs w:val="16"/>
        </w:rPr>
        <w:fldChar w:fldCharType="end"/>
      </w:r>
      <w:r>
        <w:rPr>
          <w:sz w:val="16"/>
          <w:szCs w:val="16"/>
        </w:rPr>
        <w:t xml:space="preserve"> (n=855), </w:t>
      </w:r>
      <w:r w:rsidRPr="00DB6311">
        <w:rPr>
          <w:noProof/>
          <w:szCs w:val="18"/>
        </w:rPr>
        <w:t>SongØYgard et al 2012</w:t>
      </w:r>
      <w:r>
        <w:rPr>
          <w:sz w:val="16"/>
          <w:szCs w:val="16"/>
        </w:rPr>
        <w:fldChar w:fldCharType="begin"/>
      </w:r>
      <w:r w:rsidR="002747EA">
        <w:rPr>
          <w:sz w:val="16"/>
          <w:szCs w:val="16"/>
        </w:rPr>
        <w:instrText xml:space="preserve"> ADDIN EN.CITE &lt;EndNote&gt;&lt;Cite&gt;&lt;Author&gt;SongØYgard&lt;/Author&gt;&lt;Year&gt;2012&lt;/Year&gt;&lt;RecNum&gt;866&lt;/RecNum&gt;&lt;DisplayText&gt;&lt;style face="superscript" font="Trebuchet MS" size="9"&gt;444&lt;/style&gt;&lt;/DisplayText&gt;&lt;record&gt;&lt;rec-number&gt;866&lt;/rec-number&gt;&lt;foreign-keys&gt;&lt;key app="EN" db-id="exvasrfx2dtraoesasxp2szsxa2df502592x" timestamp="1541540693"&gt;866&lt;/key&gt;&lt;key app="ENWeb" db-id=""&gt;0&lt;/key&gt;&lt;/foreign-keys&gt;&lt;ref-type name="Journal Article"&gt;17&lt;/ref-type&gt;&lt;contributors&gt;&lt;authors&gt;&lt;author&gt;SongØYgard, Kristian M.&lt;/author&gt;&lt;author&gt;Stafne, Signe N.&lt;/author&gt;&lt;author&gt;Evensen, Kari Anne I.&lt;/author&gt;&lt;author&gt;Salvesen, Kjell Å&lt;/author&gt;&lt;author&gt;Vik, Torstein&lt;/author&gt;&lt;author&gt;MØRkved, S. I. V.&lt;/author&gt;&lt;/authors&gt;&lt;/contributors&gt;&lt;titles&gt;&lt;title&gt;Does exercise during pregnancy prevent postnatal depression?&lt;/title&gt;&lt;secondary-title&gt;Acta Obstetricia et Gynecologica Scandinavica&lt;/secondary-title&gt;&lt;/titles&gt;&lt;periodical&gt;&lt;full-title&gt;Acta Obstetricia et Gynecologica Scandinavica&lt;/full-title&gt;&lt;/periodical&gt;&lt;pages&gt;62-67&lt;/pages&gt;&lt;volume&gt;91&lt;/volume&gt;&lt;number&gt;1&lt;/number&gt;&lt;section&gt;62&lt;/section&gt;&lt;dates&gt;&lt;year&gt;2012&lt;/year&gt;&lt;/dates&gt;&lt;isbn&gt;00016349&lt;/isbn&gt;&lt;urls&gt;&lt;/urls&gt;&lt;electronic-resource-num&gt;10.1111/j.1600-0412.2011.01262.x&lt;/electronic-resource-num&gt;&lt;/record&gt;&lt;/Cite&gt;&lt;/EndNote&gt;</w:instrText>
      </w:r>
      <w:r>
        <w:rPr>
          <w:sz w:val="16"/>
          <w:szCs w:val="16"/>
        </w:rPr>
        <w:fldChar w:fldCharType="separate"/>
      </w:r>
      <w:r w:rsidR="002747EA" w:rsidRPr="002747EA">
        <w:rPr>
          <w:noProof/>
          <w:szCs w:val="16"/>
          <w:vertAlign w:val="superscript"/>
        </w:rPr>
        <w:t>444</w:t>
      </w:r>
      <w:r>
        <w:rPr>
          <w:sz w:val="16"/>
          <w:szCs w:val="16"/>
        </w:rPr>
        <w:fldChar w:fldCharType="end"/>
      </w:r>
      <w:r w:rsidRPr="00DB6311">
        <w:rPr>
          <w:szCs w:val="18"/>
        </w:rPr>
        <w:t xml:space="preserve"> (n=719), </w:t>
      </w:r>
      <w:r>
        <w:t>Barakat et al 2016</w:t>
      </w:r>
      <w:r w:rsidRPr="00DB6311">
        <w:rPr>
          <w:sz w:val="16"/>
          <w:szCs w:val="16"/>
        </w:rPr>
        <w:fldChar w:fldCharType="begin">
          <w:fldData xml:space="preserve">PEVuZE5vdGU+PENpdGU+PEF1dGhvcj5CYXJha2F0PC9BdXRob3I+PFllYXI+MjAxNjwvWWVhcj48
UmVjTnVtPjY3NjwvUmVjTnVtPjxEaXNwbGF5VGV4dD48c3R5bGUgZmFjZT0ic3VwZXJzY3JpcHQi
IGZvbnQ9IlRyZWJ1Y2hldCBNUyIgc2l6ZT0iOSI+NDMwPC9zdHlsZT48L0Rpc3BsYXlUZXh0Pjxy
ZWNvcmQ+PHJlYy1udW1iZXI+Njc2PC9yZWMtbnVtYmVyPjxmb3JlaWduLWtleXM+PGtleSBhcHA9
IkVOIiBkYi1pZD0iZXh2YXNyZngyZHRyYW9lc2FzeHAyc3pzeGEyZGY1MDI1OTJ4IiB0aW1lc3Rh
bXA9IjE1NDA1MjY3ODMiPjY3Njwva2V5PjwvZm9yZWlnbi1rZXlzPjxyZWYtdHlwZSBuYW1lPSJK
b3VybmFsIEFydGljbGUiPjE3PC9yZWYtdHlwZT48Y29udHJpYnV0b3JzPjxhdXRob3JzPjxhdXRo
b3I+QmFyYWthdCwgUi48L2F1dGhvcj48YXV0aG9yPlBlbGFleiwgTS48L2F1dGhvcj48YXV0aG9y
PkNvcmRlcm8sIFkuPC9hdXRob3I+PGF1dGhvcj5QZXJhbGVzLCBNLjwvYXV0aG9yPjxhdXRob3I+
TG9wZXosIEMuPC9hdXRob3I+PGF1dGhvcj5Db3Rlcm9uLCBKLjwvYXV0aG9yPjxhdXRob3I+TW90
dG9sYSwgTS4gRi48L2F1dGhvcj48L2F1dGhvcnM+PC9jb250cmlidXRvcnM+PGF1dGgtYWRkcmVz
cz5QaHlzaWNhbCBBY3Rpdml0eSBhbmQgU3BvcnRzIGluIFNwZWNpZmljIFBvcHVsYXRpb25zIChB
RklQRSkgUmVzZWFyY2ggR3JvdXAsIEZhY3VsdHkgb2YgUGh5c2ljYWwgQWN0aXZpdHkgYW5kIFNw
b3J0cyBTY2llbmNlcy1GYWN1bHRhZCBkZSBDaWVuY2lhcyBkZSBsYSBBY3RpdmlkYWQgRmlzaWNh
IHkgZWwgRGVwb3J0ZSwgVGVjaG5pY2FsIFVuaXZlcnNpdHkgb2YgTWFkcmlkLCBNYWRyaWQsIFNw
YWluLiYjeEQ7Q2F0aG9saWMgVW5pdmVyc2l0eSBvZiBNdXJjaWEsIE11cmNpYSwgU3BhaW4uJiN4
RDtSLiBTYW11ZWwgTWNMYXVnaGxpbiBGb3VuZGF0aW9uLUV4ZXJjaXNlIGFuZCBQcmVnbmFuY3kg
TGFib3JhdG9yeSwgU2Nob29sIG9mIEtpbmVzaW9sb2d5LCBGYWN1bHR5IG9mIEhlYWx0aCBTY2ll
bmNlcywgRGVwYXJ0bWVudCBvZiBBbmF0b215IGFuZCBDZWxsIEJpb2xvZ3ksIFNjaHVsaWNoIFNj
aG9vbCBvZiBNZWRpY2luZSBhbmQgRGVudGlzdHJ5LCBDaGlsZHJlbiZhcG9zO3MgSGVhbHRoIFJl
c2VhcmNoIEluc3RpdHV0ZSwgVW5pdmVyc2l0eSBvZiBXZXN0ZXJuIE9udGFyaW8sIExvbmRvbiwg
T250YXJpbywgQ2FuYWRhLiBFbGVjdHJvbmljIGFkZHJlc3M6IG1tb3R0b2xhQHV3by5jYS48L2F1
dGgtYWRkcmVzcz48dGl0bGVzPjx0aXRsZT5FeGVyY2lzZSBkdXJpbmcgcHJlZ25hbmN5IHByb3Rl
Y3RzIGFnYWluc3QgaHlwZXJ0ZW5zaW9uIGFuZCBtYWNyb3NvbWlhOiByYW5kb21pemVkIGNsaW5p
Y2FsIHRyaWFsPC90aXRsZT48c2Vjb25kYXJ5LXRpdGxlPkFtIEogT2JzdGV0IEd5bmVjb2w8L3Nl
Y29uZGFyeS10aXRsZT48L3RpdGxlcz48cGVyaW9kaWNhbD48ZnVsbC10aXRsZT5BbSBKIE9ic3Rl
dCBHeW5lY29sPC9mdWxsLXRpdGxlPjwvcGVyaW9kaWNhbD48cGFnZXM+NjQ5IGUxLTg8L3BhZ2Vz
Pjx2b2x1bWU+MjE0PC92b2x1bWU+PG51bWJlcj41PC9udW1iZXI+PGVkaXRpb24+MjAxNS8xMi8y
NjwvZWRpdGlvbj48a2V5d29yZHM+PGtleXdvcmQ+QWR1bHQ8L2tleXdvcmQ+PGtleXdvcmQ+Qmly
dGggV2VpZ2h0PC9rZXl3b3JkPjxrZXl3b3JkPkRpYWJldGVzLCBHZXN0YXRpb25hbC9wcmV2ZW50
aW9uICZhbXA7IGNvbnRyb2w8L2tleXdvcmQ+PGtleXdvcmQ+KkV4ZXJjaXNlPC9rZXl3b3JkPjxr
ZXl3b3JkPkZlbWFsZTwva2V5d29yZD48a2V5d29yZD5GZXRhbCBNYWNyb3NvbWlhLypwcmV2ZW50
aW9uICZhbXA7IGNvbnRyb2w8L2tleXdvcmQ+PGtleXdvcmQ+SHVtYW5zPC9rZXl3b3JkPjxrZXl3
b3JkPkh5cGVydGVuc2lvbiwgUHJlZ25hbmN5LUluZHVjZWQvKnByZXZlbnRpb24gJmFtcDsgY29u
dHJvbDwva2V5d29yZD48a2V5d29yZD5JbmZhbnQsIE5ld2Jvcm48L2tleXdvcmQ+PGtleXdvcmQ+
UHJlZ25hbmN5PC9rZXl3b3JkPjxrZXl3b3JkPldlaWdodCBHYWluPC9rZXl3b3JkPjxrZXl3b3Jk
PipnZXN0YXRpb25hbCB3ZWlnaHQgZ2Fpbjwva2V5d29yZD48a2V5d29yZD4qaHlwZXJ0ZW5zaW9u
PC9rZXl3b3JkPjxrZXl3b3JkPippbnRlcnZlbnRpb248L2tleXdvcmQ+PGtleXdvcmQ+Km91dGNv
bWU8L2tleXdvcmQ+PGtleXdvcmQ+KnByZWduYW5jeTwva2V5d29yZD48L2tleXdvcmRzPjxkYXRl
cz48eWVhcj4yMDE2PC95ZWFyPjxwdWItZGF0ZXM+PGRhdGU+TWF5PC9kYXRlPjwvcHViLWRhdGVz
PjwvZGF0ZXM+PGlzYm4+MTA5Ny02ODY4IChFbGVjdHJvbmljKSYjeEQ7MDAwMi05Mzc4IChMaW5r
aW5nKTwvaXNibj48YWNjZXNzaW9uLW51bT4yNjcwNDg5NDwvYWNjZXNzaW9uLW51bT48dXJscz48
cmVsYXRlZC11cmxzPjx1cmw+aHR0cHM6Ly93d3cubmNiaS5ubG0ubmloLmdvdi9wdWJtZWQvMjY3
MDQ4OTQ8L3VybD48L3JlbGF0ZWQtdXJscz48L3VybHM+PGVsZWN0cm9uaWMtcmVzb3VyY2UtbnVt
PjEwLjEwMTYvai5ham9nLjIwMTUuMTEuMDM5PC9lbGVjdHJvbmljLXJlc291cmNlLW51bT48L3Jl
Y29yZD48L0NpdGU+PC9FbmROb3RlPgB=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PEVuZE5vdGU+PENpdGU+PEF1dGhvcj5CYXJha2F0PC9BdXRob3I+PFllYXI+MjAxNjwvWWVhcj48
UmVjTnVtPjY3NjwvUmVjTnVtPjxEaXNwbGF5VGV4dD48c3R5bGUgZmFjZT0ic3VwZXJzY3JpcHQi
IGZvbnQ9IlRyZWJ1Y2hldCBNUyIgc2l6ZT0iOSI+NDMwPC9zdHlsZT48L0Rpc3BsYXlUZXh0Pjxy
ZWNvcmQ+PHJlYy1udW1iZXI+Njc2PC9yZWMtbnVtYmVyPjxmb3JlaWduLWtleXM+PGtleSBhcHA9
IkVOIiBkYi1pZD0iZXh2YXNyZngyZHRyYW9lc2FzeHAyc3pzeGEyZGY1MDI1OTJ4IiB0aW1lc3Rh
bXA9IjE1NDA1MjY3ODMiPjY3Njwva2V5PjwvZm9yZWlnbi1rZXlzPjxyZWYtdHlwZSBuYW1lPSJK
b3VybmFsIEFydGljbGUiPjE3PC9yZWYtdHlwZT48Y29udHJpYnV0b3JzPjxhdXRob3JzPjxhdXRo
b3I+QmFyYWthdCwgUi48L2F1dGhvcj48YXV0aG9yPlBlbGFleiwgTS48L2F1dGhvcj48YXV0aG9y
PkNvcmRlcm8sIFkuPC9hdXRob3I+PGF1dGhvcj5QZXJhbGVzLCBNLjwvYXV0aG9yPjxhdXRob3I+
TG9wZXosIEMuPC9hdXRob3I+PGF1dGhvcj5Db3Rlcm9uLCBKLjwvYXV0aG9yPjxhdXRob3I+TW90
dG9sYSwgTS4gRi48L2F1dGhvcj48L2F1dGhvcnM+PC9jb250cmlidXRvcnM+PGF1dGgtYWRkcmVz
cz5QaHlzaWNhbCBBY3Rpdml0eSBhbmQgU3BvcnRzIGluIFNwZWNpZmljIFBvcHVsYXRpb25zIChB
RklQRSkgUmVzZWFyY2ggR3JvdXAsIEZhY3VsdHkgb2YgUGh5c2ljYWwgQWN0aXZpdHkgYW5kIFNw
b3J0cyBTY2llbmNlcy1GYWN1bHRhZCBkZSBDaWVuY2lhcyBkZSBsYSBBY3RpdmlkYWQgRmlzaWNh
IHkgZWwgRGVwb3J0ZSwgVGVjaG5pY2FsIFVuaXZlcnNpdHkgb2YgTWFkcmlkLCBNYWRyaWQsIFNw
YWluLiYjeEQ7Q2F0aG9saWMgVW5pdmVyc2l0eSBvZiBNdXJjaWEsIE11cmNpYSwgU3BhaW4uJiN4
RDtSLiBTYW11ZWwgTWNMYXVnaGxpbiBGb3VuZGF0aW9uLUV4ZXJjaXNlIGFuZCBQcmVnbmFuY3kg
TGFib3JhdG9yeSwgU2Nob29sIG9mIEtpbmVzaW9sb2d5LCBGYWN1bHR5IG9mIEhlYWx0aCBTY2ll
bmNlcywgRGVwYXJ0bWVudCBvZiBBbmF0b215IGFuZCBDZWxsIEJpb2xvZ3ksIFNjaHVsaWNoIFNj
aG9vbCBvZiBNZWRpY2luZSBhbmQgRGVudGlzdHJ5LCBDaGlsZHJlbiZhcG9zO3MgSGVhbHRoIFJl
c2VhcmNoIEluc3RpdHV0ZSwgVW5pdmVyc2l0eSBvZiBXZXN0ZXJuIE9udGFyaW8sIExvbmRvbiwg
T250YXJpbywgQ2FuYWRhLiBFbGVjdHJvbmljIGFkZHJlc3M6IG1tb3R0b2xhQHV3by5jYS48L2F1
dGgtYWRkcmVzcz48dGl0bGVzPjx0aXRsZT5FeGVyY2lzZSBkdXJpbmcgcHJlZ25hbmN5IHByb3Rl
Y3RzIGFnYWluc3QgaHlwZXJ0ZW5zaW9uIGFuZCBtYWNyb3NvbWlhOiByYW5kb21pemVkIGNsaW5p
Y2FsIHRyaWFsPC90aXRsZT48c2Vjb25kYXJ5LXRpdGxlPkFtIEogT2JzdGV0IEd5bmVjb2w8L3Nl
Y29uZGFyeS10aXRsZT48L3RpdGxlcz48cGVyaW9kaWNhbD48ZnVsbC10aXRsZT5BbSBKIE9ic3Rl
dCBHeW5lY29sPC9mdWxsLXRpdGxlPjwvcGVyaW9kaWNhbD48cGFnZXM+NjQ5IGUxLTg8L3BhZ2Vz
Pjx2b2x1bWU+MjE0PC92b2x1bWU+PG51bWJlcj41PC9udW1iZXI+PGVkaXRpb24+MjAxNS8xMi8y
NjwvZWRpdGlvbj48a2V5d29yZHM+PGtleXdvcmQ+QWR1bHQ8L2tleXdvcmQ+PGtleXdvcmQ+Qmly
dGggV2VpZ2h0PC9rZXl3b3JkPjxrZXl3b3JkPkRpYWJldGVzLCBHZXN0YXRpb25hbC9wcmV2ZW50
aW9uICZhbXA7IGNvbnRyb2w8L2tleXdvcmQ+PGtleXdvcmQ+KkV4ZXJjaXNlPC9rZXl3b3JkPjxr
ZXl3b3JkPkZlbWFsZTwva2V5d29yZD48a2V5d29yZD5GZXRhbCBNYWNyb3NvbWlhLypwcmV2ZW50
aW9uICZhbXA7IGNvbnRyb2w8L2tleXdvcmQ+PGtleXdvcmQ+SHVtYW5zPC9rZXl3b3JkPjxrZXl3
b3JkPkh5cGVydGVuc2lvbiwgUHJlZ25hbmN5LUluZHVjZWQvKnByZXZlbnRpb24gJmFtcDsgY29u
dHJvbDwva2V5d29yZD48a2V5d29yZD5JbmZhbnQsIE5ld2Jvcm48L2tleXdvcmQ+PGtleXdvcmQ+
UHJlZ25hbmN5PC9rZXl3b3JkPjxrZXl3b3JkPldlaWdodCBHYWluPC9rZXl3b3JkPjxrZXl3b3Jk
PipnZXN0YXRpb25hbCB3ZWlnaHQgZ2Fpbjwva2V5d29yZD48a2V5d29yZD4qaHlwZXJ0ZW5zaW9u
PC9rZXl3b3JkPjxrZXl3b3JkPippbnRlcnZlbnRpb248L2tleXdvcmQ+PGtleXdvcmQ+Km91dGNv
bWU8L2tleXdvcmQ+PGtleXdvcmQ+KnByZWduYW5jeTwva2V5d29yZD48L2tleXdvcmRzPjxkYXRl
cz48eWVhcj4yMDE2PC95ZWFyPjxwdWItZGF0ZXM+PGRhdGU+TWF5PC9kYXRlPjwvcHViLWRhdGVz
PjwvZGF0ZXM+PGlzYm4+MTA5Ny02ODY4IChFbGVjdHJvbmljKSYjeEQ7MDAwMi05Mzc4IChMaW5r
aW5nKTwvaXNibj48YWNjZXNzaW9uLW51bT4yNjcwNDg5NDwvYWNjZXNzaW9uLW51bT48dXJscz48
cmVsYXRlZC11cmxzPjx1cmw+aHR0cHM6Ly93d3cubmNiaS5ubG0ubmloLmdvdi9wdWJtZWQvMjY3
MDQ4OTQ8L3VybD48L3JlbGF0ZWQtdXJscz48L3VybHM+PGVsZWN0cm9uaWMtcmVzb3VyY2UtbnVt
PjEwLjEwMTYvai5ham9nLjIwMTUuMTEuMDM5PC9lbGVjdHJvbmljLXJlc291cmNlLW51bT48L3Jl
Y29yZD48L0NpdGU+PC9FbmROb3RlPgB=
</w:fldData>
        </w:fldChar>
      </w:r>
      <w:r w:rsidR="002747EA">
        <w:rPr>
          <w:sz w:val="16"/>
          <w:szCs w:val="16"/>
        </w:rPr>
        <w:instrText xml:space="preserve"> ADDIN EN.CITE.DATA </w:instrText>
      </w:r>
      <w:r w:rsidR="002747EA">
        <w:rPr>
          <w:sz w:val="16"/>
          <w:szCs w:val="16"/>
        </w:rPr>
      </w:r>
      <w:r w:rsidR="002747EA">
        <w:rPr>
          <w:sz w:val="16"/>
          <w:szCs w:val="16"/>
        </w:rPr>
        <w:fldChar w:fldCharType="end"/>
      </w:r>
      <w:r w:rsidRPr="00DB6311">
        <w:rPr>
          <w:sz w:val="16"/>
          <w:szCs w:val="16"/>
        </w:rPr>
      </w:r>
      <w:r w:rsidRPr="00DB6311">
        <w:rPr>
          <w:sz w:val="16"/>
          <w:szCs w:val="16"/>
        </w:rPr>
        <w:fldChar w:fldCharType="separate"/>
      </w:r>
      <w:r w:rsidR="002747EA" w:rsidRPr="002747EA">
        <w:rPr>
          <w:noProof/>
          <w:szCs w:val="16"/>
          <w:vertAlign w:val="superscript"/>
        </w:rPr>
        <w:t>430</w:t>
      </w:r>
      <w:r w:rsidRPr="00DB6311">
        <w:rPr>
          <w:sz w:val="16"/>
          <w:szCs w:val="16"/>
        </w:rPr>
        <w:fldChar w:fldCharType="end"/>
      </w:r>
      <w:r w:rsidRPr="00DB6311">
        <w:t xml:space="preserve"> (n=765)</w:t>
      </w:r>
      <w:r>
        <w:t xml:space="preserve">, </w:t>
      </w:r>
      <w:r w:rsidRPr="00DB6311">
        <w:rPr>
          <w:szCs w:val="18"/>
        </w:rPr>
        <w:t>Ruiz et al</w:t>
      </w:r>
      <w:r>
        <w:rPr>
          <w:szCs w:val="18"/>
        </w:rPr>
        <w:t xml:space="preserve"> 2013</w:t>
      </w:r>
      <w:r>
        <w:rPr>
          <w:sz w:val="16"/>
          <w:szCs w:val="16"/>
        </w:rPr>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443</w:t>
      </w:r>
      <w:r>
        <w:rPr>
          <w:sz w:val="16"/>
          <w:szCs w:val="16"/>
        </w:rPr>
        <w:fldChar w:fldCharType="end"/>
      </w:r>
      <w:r w:rsidRPr="00DB6311">
        <w:t xml:space="preserve"> (</w:t>
      </w:r>
      <w:r>
        <w:t>n=962).</w:t>
      </w:r>
    </w:p>
    <w:p w14:paraId="21BE8021" w14:textId="691D4E02" w:rsidR="00A5540F" w:rsidRDefault="00A5540F" w:rsidP="00A5540F">
      <w:r w:rsidRPr="00B04565">
        <w:rPr>
          <w:lang w:val="en-AU"/>
        </w:rPr>
        <w:t>Studies were conducted in</w:t>
      </w:r>
      <w:r w:rsidRPr="00B04565">
        <w:t xml:space="preserve"> Argentina (n=1),</w:t>
      </w:r>
      <w:r>
        <w:fldChar w:fldCharType="begin">
          <w:fldData xml:space="preserve">PEVuZE5vdGU+PENpdGU+PEF1dGhvcj5CYWNjaGk8L0F1dGhvcj48WWVhcj4yMDE4PC9ZZWFyPjxS
ZWNOdW0+NzEwPC9SZWNOdW0+PERpc3BsYXlUZXh0PjxzdHlsZSBmYWNlPSJzdXBlcnNjcmlwdCIg
Zm9udD0iVHJlYnVjaGV0IE1TIiBzaXplPSI5Ij40MjU8L3N0eWxlPjwvRGlzcGxheVRleHQ+PHJl
Y29yZD48cmVjLW51bWJlcj43MTA8L3JlYy1udW1iZXI+PGZvcmVpZ24ta2V5cz48a2V5IGFwcD0i
RU4iIGRiLWlkPSJleHZhc3JmeDJkdHJhb2VzYXN4cDJzenN4YTJkZjUwMjU5MngiIHRpbWVzdGFt
cD0iMTU0MTQ2MjI0NiI+NzEwPC9rZXk+PC9mb3JlaWduLWtleXM+PHJlZi10eXBlIG5hbWU9Ikpv
dXJuYWwgQXJ0aWNsZSI+MTc8L3JlZi10eXBlPjxjb250cmlidXRvcnM+PGF1dGhvcnM+PGF1dGhv
cj5CYWNjaGksIE0uPC9hdXRob3I+PGF1dGhvcj5Nb3R0b2xhLCBNLiBGLjwvYXV0aG9yPjxhdXRo
b3I+UGVyYWxlcywgTS48L2F1dGhvcj48YXV0aG9yPlJlZm95bywgSS48L2F1dGhvcj48YXV0aG9y
PkJhcmFrYXQsIFIuPC9hdXRob3I+PC9hdXRob3JzPjwvY29udHJpYnV0b3JzPjxhdXRoLWFkZHJl
c3M+MSBGYWN1bHR5IG9mIFBoeXNpY2FsIEFjdGl2aXR5IGFuZCBTcG9ydCwgRmxvcmVzIFVuaXZl
cnNpdHksIEFyZ2VudGluZS4mI3hEOzIgUi4gU2FtdWVsIE1jTGF1Z2hsaW4gRm91bmRhdGlvbi1F
eGVyY2lzZSAmYW1wOyBQcmVnbmFuY3kgTGFib3JhdG9yeSwgU2Nob29sIG9mIEtpbmVzaW9sb2d5
LCBGYWN1bHR5IG9mIEhlYWx0aCBTY2llbmNlcywgVW5pdmVyc2l0eSBvZiBXZXN0ZXJuIE9udGFy
aW8sIExvbmRvbiwgQ2FuYWRhLiYjeEQ7MyBEZXBhcnRtZW50IG9mIEFuYXRvbXkgJmFtcDsgQ2Vs
bCBCaW9sb2d5LCBTY2h1bGljaCBTY2hvb2wgb2YgTWVkaWNpbmUgJmFtcDsgRGVudGlzdHJ5LCBD
aGlsZHJlbiZhcG9zO3MgSGVhbHRoIFJlc2VhcmNoIEluc3RpdHV0ZSwgVW5pdmVyc2l0eSBvZiBX
ZXN0ZXJuIE9udGFyaW8sIExvbmRvbiwgQ2FuYWRhLiYjeEQ7NCBSZXNlYXJjaCBJbnN0aXR1dGUg
b2YgSG9zcGl0YWwgMTIgZGUgT2N0dWJyZSAoJnF1b3Q7aSsxMiZxdW90OyksIE1hZHJpZCwgU3Bh
aW4uJiN4RDs1IENhbWlsbyBKb3NlIENlbGEgVW5pdmVyc2l0eSwgTWFkcmlkLCBTcGFpbi4mI3hE
OzYgQUZJUEUgUmVzZWFyY2ggR3JvdXAsIFRlY2huaWNhbCBVbml2ZXJzaXR5IG9mIE1hZHJpZCwg
U3BhaW4uPC9hdXRoLWFkZHJlc3M+PHRpdGxlcz48dGl0bGU+QXF1YXRpYyBBY3Rpdml0aWVzIER1
cmluZyBQcmVnbmFuY3kgUHJldmVudCBFeGNlc3NpdmUgTWF0ZXJuYWwgV2VpZ2h0IEdhaW4gYW5k
IFByZXNlcnZlIEJpcnRoIFdlaWdodDogQSBSYW5kb21pemVkIENsaW5pY2FsIFRyaWFsPC90aXRs
ZT48c2Vjb25kYXJ5LXRpdGxlPkFtIEogSGVhbHRoIFByb21vdDwvc2Vjb25kYXJ5LXRpdGxlPjwv
dGl0bGVzPjxwZXJpb2RpY2FsPjxmdWxsLXRpdGxlPkFtIEogSGVhbHRoIFByb21vdDwvZnVsbC10
aXRsZT48L3BlcmlvZGljYWw+PHBhZ2VzPjcyOS03MzU8L3BhZ2VzPjx2b2x1bWU+MzI8L3ZvbHVt
ZT48bnVtYmVyPjM8L251bWJlcj48ZWRpdGlvbj4yMDE3LzAzLzExPC9lZGl0aW9uPjxrZXl3b3Jk
cz48a2V5d29yZD5hcXVhdGljIGV4ZXJjaXNlPC9rZXl3b3JkPjxrZXl3b3JkPmJpcnRoIHdlaWdo
dDwva2V5d29yZD48a2V5d29yZD5tYXRlcm5hbCB3ZWlnaHQgZ2Fpbjwva2V5d29yZD48a2V5d29y
ZD5wcmVnbmFuY3k8L2tleXdvcmQ+PC9rZXl3b3Jkcz48ZGF0ZXM+PHllYXI+MjAxODwveWVhcj48
cHViLWRhdGVzPjxkYXRlPk1hcjwvZGF0ZT48L3B1Yi1kYXRlcz48L2RhdGVzPjxpc2JuPjIxNjgt
NjYwMiAoRWxlY3Ryb25pYykmI3hEOzA4OTAtMTE3MSAoTGlua2luZyk8L2lzYm4+PGFjY2Vzc2lv
bi1udW0+MjgyNzkwODU8L2FjY2Vzc2lvbi1udW0+PHVybHM+PHJlbGF0ZWQtdXJscz48dXJsPmh0
dHBzOi8vd3d3Lm5jYmkubmxtLm5paC5nb3YvcHVibWVkLzI4Mjc5MDg1PC91cmw+PC9yZWxhdGVk
LXVybHM+PC91cmxzPjxlbGVjdHJvbmljLXJlc291cmNlLW51bT4xMC4xMTc3LzA4OTAxMTcxMTc2
OTc1MjA8L2VsZWN0cm9uaWMtcmVzb3VyY2UtbnVtPjwvcmVjb3JkPjwvQ2l0ZT48L0VuZE5vdGU+
AG==
</w:fldData>
        </w:fldChar>
      </w:r>
      <w:r w:rsidR="002747EA">
        <w:instrText xml:space="preserve"> ADDIN EN.CITE </w:instrText>
      </w:r>
      <w:r w:rsidR="002747EA">
        <w:fldChar w:fldCharType="begin">
          <w:fldData xml:space="preserve">PEVuZE5vdGU+PENpdGU+PEF1dGhvcj5CYWNjaGk8L0F1dGhvcj48WWVhcj4yMDE4PC9ZZWFyPjxS
ZWNOdW0+NzEwPC9SZWNOdW0+PERpc3BsYXlUZXh0PjxzdHlsZSBmYWNlPSJzdXBlcnNjcmlwdCIg
Zm9udD0iVHJlYnVjaGV0IE1TIiBzaXplPSI5Ij40MjU8L3N0eWxlPjwvRGlzcGxheVRleHQ+PHJl
Y29yZD48cmVjLW51bWJlcj43MTA8L3JlYy1udW1iZXI+PGZvcmVpZ24ta2V5cz48a2V5IGFwcD0i
RU4iIGRiLWlkPSJleHZhc3JmeDJkdHJhb2VzYXN4cDJzenN4YTJkZjUwMjU5MngiIHRpbWVzdGFt
cD0iMTU0MTQ2MjI0NiI+NzEwPC9rZXk+PC9mb3JlaWduLWtleXM+PHJlZi10eXBlIG5hbWU9Ikpv
dXJuYWwgQXJ0aWNsZSI+MTc8L3JlZi10eXBlPjxjb250cmlidXRvcnM+PGF1dGhvcnM+PGF1dGhv
cj5CYWNjaGksIE0uPC9hdXRob3I+PGF1dGhvcj5Nb3R0b2xhLCBNLiBGLjwvYXV0aG9yPjxhdXRo
b3I+UGVyYWxlcywgTS48L2F1dGhvcj48YXV0aG9yPlJlZm95bywgSS48L2F1dGhvcj48YXV0aG9y
PkJhcmFrYXQsIFIuPC9hdXRob3I+PC9hdXRob3JzPjwvY29udHJpYnV0b3JzPjxhdXRoLWFkZHJl
c3M+MSBGYWN1bHR5IG9mIFBoeXNpY2FsIEFjdGl2aXR5IGFuZCBTcG9ydCwgRmxvcmVzIFVuaXZl
cnNpdHksIEFyZ2VudGluZS4mI3hEOzIgUi4gU2FtdWVsIE1jTGF1Z2hsaW4gRm91bmRhdGlvbi1F
eGVyY2lzZSAmYW1wOyBQcmVnbmFuY3kgTGFib3JhdG9yeSwgU2Nob29sIG9mIEtpbmVzaW9sb2d5
LCBGYWN1bHR5IG9mIEhlYWx0aCBTY2llbmNlcywgVW5pdmVyc2l0eSBvZiBXZXN0ZXJuIE9udGFy
aW8sIExvbmRvbiwgQ2FuYWRhLiYjeEQ7MyBEZXBhcnRtZW50IG9mIEFuYXRvbXkgJmFtcDsgQ2Vs
bCBCaW9sb2d5LCBTY2h1bGljaCBTY2hvb2wgb2YgTWVkaWNpbmUgJmFtcDsgRGVudGlzdHJ5LCBD
aGlsZHJlbiZhcG9zO3MgSGVhbHRoIFJlc2VhcmNoIEluc3RpdHV0ZSwgVW5pdmVyc2l0eSBvZiBX
ZXN0ZXJuIE9udGFyaW8sIExvbmRvbiwgQ2FuYWRhLiYjeEQ7NCBSZXNlYXJjaCBJbnN0aXR1dGUg
b2YgSG9zcGl0YWwgMTIgZGUgT2N0dWJyZSAoJnF1b3Q7aSsxMiZxdW90OyksIE1hZHJpZCwgU3Bh
aW4uJiN4RDs1IENhbWlsbyBKb3NlIENlbGEgVW5pdmVyc2l0eSwgTWFkcmlkLCBTcGFpbi4mI3hE
OzYgQUZJUEUgUmVzZWFyY2ggR3JvdXAsIFRlY2huaWNhbCBVbml2ZXJzaXR5IG9mIE1hZHJpZCwg
U3BhaW4uPC9hdXRoLWFkZHJlc3M+PHRpdGxlcz48dGl0bGU+QXF1YXRpYyBBY3Rpdml0aWVzIER1
cmluZyBQcmVnbmFuY3kgUHJldmVudCBFeGNlc3NpdmUgTWF0ZXJuYWwgV2VpZ2h0IEdhaW4gYW5k
IFByZXNlcnZlIEJpcnRoIFdlaWdodDogQSBSYW5kb21pemVkIENsaW5pY2FsIFRyaWFsPC90aXRs
ZT48c2Vjb25kYXJ5LXRpdGxlPkFtIEogSGVhbHRoIFByb21vdDwvc2Vjb25kYXJ5LXRpdGxlPjwv
dGl0bGVzPjxwZXJpb2RpY2FsPjxmdWxsLXRpdGxlPkFtIEogSGVhbHRoIFByb21vdDwvZnVsbC10
aXRsZT48L3BlcmlvZGljYWw+PHBhZ2VzPjcyOS03MzU8L3BhZ2VzPjx2b2x1bWU+MzI8L3ZvbHVt
ZT48bnVtYmVyPjM8L251bWJlcj48ZWRpdGlvbj4yMDE3LzAzLzExPC9lZGl0aW9uPjxrZXl3b3Jk
cz48a2V5d29yZD5hcXVhdGljIGV4ZXJjaXNlPC9rZXl3b3JkPjxrZXl3b3JkPmJpcnRoIHdlaWdo
dDwva2V5d29yZD48a2V5d29yZD5tYXRlcm5hbCB3ZWlnaHQgZ2Fpbjwva2V5d29yZD48a2V5d29y
ZD5wcmVnbmFuY3k8L2tleXdvcmQ+PC9rZXl3b3Jkcz48ZGF0ZXM+PHllYXI+MjAxODwveWVhcj48
cHViLWRhdGVzPjxkYXRlPk1hcjwvZGF0ZT48L3B1Yi1kYXRlcz48L2RhdGVzPjxpc2JuPjIxNjgt
NjYwMiAoRWxlY3Ryb25pYykmI3hEOzA4OTAtMTE3MSAoTGlua2luZyk8L2lzYm4+PGFjY2Vzc2lv
bi1udW0+MjgyNzkwODU8L2FjY2Vzc2lvbi1udW0+PHVybHM+PHJlbGF0ZWQtdXJscz48dXJsPmh0
dHBzOi8vd3d3Lm5jYmkubmxtLm5paC5nb3YvcHVibWVkLzI4Mjc5MDg1PC91cmw+PC9yZWxhdGVk
LXVybHM+PC91cmxzPjxlbGVjdHJvbmljLXJlc291cmNlLW51bT4xMC4xMTc3LzA4OTAxMTcxMTc2
OTc1MjA8L2VsZWN0cm9uaWMtcmVzb3VyY2UtbnVtPjwvcmVjb3JkPjwvQ2l0ZT48L0VuZE5vdGU+
AG==
</w:fldData>
        </w:fldChar>
      </w:r>
      <w:r w:rsidR="002747EA">
        <w:instrText xml:space="preserve"> ADDIN EN.CITE.DATA </w:instrText>
      </w:r>
      <w:r w:rsidR="002747EA">
        <w:fldChar w:fldCharType="end"/>
      </w:r>
      <w:r>
        <w:fldChar w:fldCharType="separate"/>
      </w:r>
      <w:r w:rsidR="002747EA" w:rsidRPr="002747EA">
        <w:rPr>
          <w:noProof/>
          <w:vertAlign w:val="superscript"/>
        </w:rPr>
        <w:t>425</w:t>
      </w:r>
      <w:r>
        <w:fldChar w:fldCharType="end"/>
      </w:r>
      <w:r w:rsidRPr="00B04565">
        <w:t xml:space="preserve"> Australia (n=3),</w:t>
      </w:r>
      <w:r>
        <w:rPr>
          <w:sz w:val="16"/>
          <w:szCs w:val="16"/>
        </w:rPr>
        <w:fldChar w:fldCharType="begin">
          <w:fldData xml:space="preserve">PEVuZE5vdGU+PENpdGU+PEF1dGhvcj5EZWtrZXIgTml0ZXJ0PC9BdXRob3I+PFllYXI+MjAxNTwv
WWVhcj48UmVjTnVtPjY4NjwvUmVjTnVtPjxEaXNwbGF5VGV4dD48c3R5bGUgZmFjZT0ic3VwZXJz
Y3JpcHQiIGZvbnQ9IlRyZWJ1Y2hldCBNUyIgc2l6ZT0iOSI+MjcxLDQ0OCw0NTA8L3N0eWxlPjwv
RGlzcGxheVRleHQ+PHJlY29yZD48cmVjLW51bWJlcj42ODY8L3JlYy1udW1iZXI+PGZvcmVpZ24t
a2V5cz48a2V5IGFwcD0iRU4iIGRiLWlkPSJleHZhc3JmeDJkdHJhb2VzYXN4cDJzenN4YTJkZjUw
MjU5MngiIHRpbWVzdGFtcD0iMTU0MDUyNzIzOCI+Njg2PC9rZXk+PC9mb3JlaWduLWtleXM+PHJl
Zi10eXBlIG5hbWU9IkpvdXJuYWwgQXJ0aWNsZSI+MTc8L3JlZi10eXBlPjxjb250cmlidXRvcnM+
PGF1dGhvcnM+PGF1dGhvcj5EZWtrZXIgTml0ZXJ0LCBNLjwvYXV0aG9yPjxhdXRob3I+QmFycmV0
dCwgSC4gTC48L2F1dGhvcj48YXV0aG9yPkRlbm55LCBLLiBKLjwvYXV0aG9yPjxhdXRob3I+TWNJ
bnR5cmUsIEguIEQuPC9hdXRob3I+PGF1dGhvcj5DYWxsYXdheSwgTC4gSy48L2F1dGhvcj48YXV0
aG9yPkJhbWJpbm8gZ3JvdXA8L2F1dGhvcj48L2F1dGhvcnM+PC9jb250cmlidXRvcnM+PGF1dGgt
YWRkcmVzcz5TY2hvb2wgb2YgTWVkaWNpbmUsIFRoZSBVbml2ZXJzaXR5IG9mIFF1ZWVuc2xhbmQs
IEhlcnN0b24sIFF1ZWVuc2xhbmQsIEF1c3RyYWxpYTsgVVEgQ2VudHJlIGZvciBDbGluaWNhbCBS
ZXNlYXJjaCwgVGhlIFVuaXZlcnNpdHkgb2YgUXVlZW5zbGFuZCwgSGVyc3RvbiwgUXVlZW5zbGFu
ZCwgQXVzdHJhbGlhLjwvYXV0aC1hZGRyZXNzPjx0aXRsZXM+PHRpdGxlPkV4ZXJjaXNlIGluIHBy
ZWduYW5jeSBkb2VzIG5vdCBhbHRlciBnZXN0YXRpb25hbCB3ZWlnaHQgZ2FpbiwgTUNQLTEgb3Ig
bGVwdGluIGluIG9iZXNlIHdvbWVuPC90aXRsZT48c2Vjb25kYXJ5LXRpdGxlPkF1c3QgTiBaIEog
T2JzdGV0IEd5bmFlY29sPC9zZWNvbmRhcnktdGl0bGU+PC90aXRsZXM+PHBlcmlvZGljYWw+PGZ1
bGwtdGl0bGU+QXVzdCBOIFogSiBPYnN0ZXQgR3luYWVjb2w8L2Z1bGwtdGl0bGU+PC9wZXJpb2Rp
Y2FsPjxwYWdlcz4yNy0zMzwvcGFnZXM+PHZvbHVtZT41NTwvdm9sdW1lPjxudW1iZXI+MTwvbnVt
YmVyPjxlZGl0aW9uPjIwMTUvMDIvMTg8L2VkaXRpb24+PGtleXdvcmRzPjxrZXl3b3JkPkFkdWx0
PC9rZXl3b3JkPjxrZXl3b3JkPkNoZW1va2luZSBDQ0wyL2Jsb29kPC9rZXl3b3JkPjxrZXl3b3Jk
PkV4ZXJjaXNlLypwaHlzaW9sb2d5PC9rZXl3b3JkPjxrZXl3b3JkPkZlbWFsZTwva2V5d29yZD48
a2V5d29yZD5IdW1hbnM8L2tleXdvcmQ+PGtleXdvcmQ+SW50ZXJsZXVraW4tOC9ibG9vZDwva2V5
d29yZD48a2V5d29yZD5MZXB0aW4vYmxvb2Q8L2tleXdvcmQ+PGtleXdvcmQ+T2Jlc2l0eS8qYmxv
b2QvdGhlcmFweTwva2V5d29yZD48a2V5d29yZD5QaWxvdCBQcm9qZWN0czwva2V5d29yZD48a2V5
d29yZD5QcmVnbmFuY3k8L2tleXdvcmQ+PGtleXdvcmQ+UHJlZ25hbmN5IENvbXBsaWNhdGlvbnMv
KmJsb29kL3ByZXZlbnRpb24gJmFtcDsgY29udHJvbDwva2V5d29yZD48a2V5d29yZD4qV2VpZ2h0
IEdhaW48L2tleXdvcmQ+PGtleXdvcmQ+WW91bmcgQWR1bHQ8L2tleXdvcmQ+PGtleXdvcmQ+ZXhl
cmNpc2U8L2tleXdvcmQ+PGtleXdvcmQ+Z2VzdGF0aW9uYWwgd2VpZ2h0IGdhaW48L2tleXdvcmQ+
PGtleXdvcmQ+bGlwaWRzPC9rZXl3b3JkPjxrZXl3b3JkPm9iZXNpdHk8L2tleXdvcmQ+PC9rZXl3
b3Jkcz48ZGF0ZXM+PHllYXI+MjAxNTwveWVhcj48cHViLWRhdGVzPjxkYXRlPkZlYjwvZGF0ZT48
L3B1Yi1kYXRlcz48L2RhdGVzPjxpc2JuPjE0NzktODI4WCAoRWxlY3Ryb25pYykmI3hEOzAwMDQt
ODY2NiAoTGlua2luZyk8L2lzYm4+PGFjY2Vzc2lvbi1udW0+MjU2ODg4MTc8L2FjY2Vzc2lvbi1u
dW0+PHVybHM+PHJlbGF0ZWQtdXJscz48dXJsPmh0dHBzOi8vd3d3Lm5jYmkubmxtLm5paC5nb3Yv
cHVibWVkLzI1Njg4ODE3PC91cmw+PC9yZWxhdGVkLXVybHM+PC91cmxzPjxlbGVjdHJvbmljLXJl
c291cmNlLW51bT4xMC4xMTExL2Fqby4xMjMwMDwvZWxlY3Ryb25pYy1yZXNvdXJjZS1udW0+PC9y
ZWNvcmQ+PC9DaXRlPjxDaXRlPjxBdXRob3I+R3VlbGZpPC9BdXRob3I+PFllYXI+MjAxNjwvWWVh
cj48UmVjTnVtPjcyMzwvUmVjTnVtPjxyZWNvcmQ+PHJlYy1udW1iZXI+NzIzPC9yZWMtbnVtYmVy
Pjxmb3JlaWduLWtleXM+PGtleSBhcHA9IkVOIiBkYi1pZD0iZXh2YXNyZngyZHRyYW9lc2FzeHAy
c3pzeGEyZGY1MDI1OTJ4IiB0aW1lc3RhbXA9IjE1NDE0NjQ4ODAiPjcyMzwva2V5PjwvZm9yZWln
bi1rZXlzPjxyZWYtdHlwZSBuYW1lPSJKb3VybmFsIEFydGljbGUiPjE3PC9yZWYtdHlwZT48Y29u
dHJpYnV0b3JzPjxhdXRob3JzPjxhdXRob3I+R3VlbGZpLCBLLiBKLjwvYXV0aG9yPjxhdXRob3I+
T25nLCBNLiBKLjwvYXV0aG9yPjxhdXRob3I+Q3Jpc3AsIE4uIEEuPC9hdXRob3I+PGF1dGhvcj5G
b3VybmllciwgUC4gQS48L2F1dGhvcj48YXV0aG9yPldhbGxtYW4sIEsuIEUuPC9hdXRob3I+PGF1
dGhvcj5Hcm92ZSwgSi4gUi48L2F1dGhvcj48YXV0aG9yPkRvaGVydHksIEQuIEEuPC9hdXRob3I+
PGF1dGhvcj5OZXduaGFtLCBKLiBQLjwvYXV0aG9yPjwvYXV0aG9ycz48L2NvbnRyaWJ1dG9ycz48
YXV0aC1hZGRyZXNzPlNjaG9vbCBvZiBTcG9ydCBTY2llbmNlLCBFeGVyY2lzZSBhbmQgSGVhbHRo
IGFuZCB0aGUgU2Nob29sIG9mIFdvbWVuJmFwb3M7cyBhbmQgSW5mYW50cyZhcG9zOyBIZWFsdGgs
IHRoZSBVbml2ZXJzaXR5IG9mIFdlc3Rlcm4gQXVzdHJhbGlhLCBQZXJ0aCwgV2VzdGVybiBBdXN0
cmFsaWEsIEF1c3RyYWxpYS48L2F1dGgtYWRkcmVzcz48dGl0bGVzPjx0aXRsZT5SZWd1bGFyIEV4
ZXJjaXNlIHRvIFByZXZlbnQgdGhlIFJlY3VycmVuY2Ugb2YgR2VzdGF0aW9uYWwgRGlhYmV0ZXMg
TWVsbGl0dXM6IEEgUmFuZG9taXplZCBDb250cm9sbGVkIFRyaWFsPC90aXRsZT48c2Vjb25kYXJ5
LXRpdGxlPk9ic3RldCBHeW5lY29sPC9zZWNvbmRhcnktdGl0bGU+PC90aXRsZXM+PHBlcmlvZGlj
YWw+PGZ1bGwtdGl0bGU+T2JzdGV0IEd5bmVjb2w8L2Z1bGwtdGl0bGU+PC9wZXJpb2RpY2FsPjxw
YWdlcz44MTktMjc8L3BhZ2VzPjx2b2x1bWU+MTI4PC92b2x1bWU+PG51bWJlcj40PC9udW1iZXI+
PGVkaXRpb24+MjAxNi8wOS8wOTwvZWRpdGlvbj48a2V5d29yZHM+PGtleXdvcmQ+QWR1bHQ8L2tl
eXdvcmQ+PGtleXdvcmQ+RGlhYmV0ZXMsIEdlc3RhdGlvbmFsL2Jsb29kLypwcmV2ZW50aW9uICZh
bXA7IGNvbnRyb2w8L2tleXdvcmQ+PGtleXdvcmQ+KkV4ZXJjaXNlIFRoZXJhcHk8L2tleXdvcmQ+
PGtleXdvcmQ+RmVtYWxlPC9rZXl3b3JkPjxrZXl3b3JkPkdsdWNvc2UgVG9sZXJhbmNlIFRlc3Q8
L2tleXdvcmQ+PGtleXdvcmQ+SHVtYW5zPC9rZXl3b3JkPjxrZXl3b3JkPlByZWduYW5jeTwva2V5
d29yZD48a2V5d29yZD5QcmVnbmFuY3kgT3V0Y29tZTwva2V5d29yZD48a2V5d29yZD4qUHJlbmF0
YWwgQ2FyZTwva2V5d29yZD48a2V5d29yZD5SZWN1cnJlbmNlPC9rZXl3b3JkPjxrZXl3b3JkPlRy
ZWF0bWVudCBPdXRjb21lPC9rZXl3b3JkPjwva2V5d29yZHM+PGRhdGVzPjx5ZWFyPjIwMTY8L3ll
YXI+PHB1Yi1kYXRlcz48ZGF0ZT5PY3Q8L2RhdGU+PC9wdWItZGF0ZXM+PC9kYXRlcz48aXNibj4x
ODczLTIzM1ggKEVsZWN0cm9uaWMpJiN4RDswMDI5LTc4NDQgKExpbmtpbmcpPC9pc2JuPjxhY2Nl
c3Npb24tbnVtPjI3NjA3ODc2PC9hY2Nlc3Npb24tbnVtPjx1cmxzPjxyZWxhdGVkLXVybHM+PHVy
bD5odHRwczovL3d3dy5uY2JpLm5sbS5uaWguZ292L3B1Ym1lZC8yNzYwNzg3NjwvdXJsPjwvcmVs
YXRlZC11cmxzPjwvdXJscz48ZWxlY3Ryb25pYy1yZXNvdXJjZS1udW0+MTAuMTA5Ny9BT0cuMDAw
MDAwMDAwMDAwMTYzMjwvZWxlY3Ryb25pYy1yZXNvdXJjZS1udW0+PC9yZWNvcmQ+PC9DaXRlPjxD
aXRlPjxBdXRob3I+T25nPC9BdXRob3I+PFllYXI+MjAwOTwvWWVhcj48UmVjTnVtPjcwMjwvUmVj
TnVtPjxyZWNvcmQ+PHJlYy1udW1iZXI+NzAyPC9yZWMtbnVtYmVyPjxmb3JlaWduLWtleXM+PGtl
eSBhcHA9IkVOIiBkYi1pZD0iZXh2YXNyZngyZHRyYW9lc2FzeHAyc3pzeGEyZGY1MDI1OTJ4IiB0
aW1lc3RhbXA9IjE1NDA1MzA0ODMiPjcwMjwva2V5PjwvZm9yZWlnbi1rZXlzPjxyZWYtdHlwZSBu
YW1lPSJKb3VybmFsIEFydGljbGUiPjE3PC9yZWYtdHlwZT48Y29udHJpYnV0b3JzPjxhdXRob3Jz
PjxhdXRob3I+T25nLCBNLiBKLjwvYXV0aG9yPjxhdXRob3I+R3VlbGZpLCBLLiBKLjwvYXV0aG9y
PjxhdXRob3I+SHVudGVyLCBULjwvYXV0aG9yPjxhdXRob3I+V2FsbG1hbiwgSy4gRS48L2F1dGhv
cj48YXV0aG9yPkZvdXJuaWVyLCBQLiBBLjwvYXV0aG9yPjxhdXRob3I+TmV3bmhhbSwgSi4gUC48
L2F1dGhvcj48L2F1dGhvcnM+PC9jb250cmlidXRvcnM+PGF1dGgtYWRkcmVzcz5TY2hvb2wgb2Yg
U3BvcnQgU2NpZW5jZSwgRXhlcmNpc2UgYW5kIEhlYWx0aCwgVGhlIFVuaXZlcnNpdHkgb2YgV2Vz
dGVybiBBdXN0cmFsaWEsIENyYXdsZXksIFdBIDYwMDksIEF1c3RyYWxpYS48L2F1dGgtYWRkcmVz
cz48dGl0bGVzPjx0aXRsZT5TdXBlcnZpc2VkIGhvbWUtYmFzZWQgZXhlcmNpc2UgbWF5IGF0dGVu
dWF0ZSB0aGUgZGVjbGluZSBvZiBnbHVjb3NlIHRvbGVyYW5jZSBpbiBvYmVzZSBwcmVnbmFudCB3
b21lbjwvdGl0bGU+PHNlY29uZGFyeS10aXRsZT5EaWFiZXRlcyBNZXRhYjwvc2Vjb25kYXJ5LXRp
dGxlPjwvdGl0bGVzPjxwZXJpb2RpY2FsPjxmdWxsLXRpdGxlPkRpYWJldGVzIE1ldGFiPC9mdWxs
LXRpdGxlPjwvcGVyaW9kaWNhbD48cGFnZXM+NDE4LTIxPC9wYWdlcz48dm9sdW1lPjM1PC92b2x1
bWU+PG51bWJlcj41PC9udW1iZXI+PGVkaXRpb24+MjAwOS8wOS8xNTwvZWRpdGlvbj48a2V5d29y
ZHM+PGtleXdvcmQ+QWR1bHQ8L2tleXdvcmQ+PGtleXdvcmQ+Qmxvb2QgR2x1Y29zZS9hbmFseXNp
czwva2V5d29yZD48a2V5d29yZD5Cb2R5IE1hc3MgSW5kZXg8L2tleXdvcmQ+PGtleXdvcmQ+RXhl
cmNpc2UgVGhlcmFweS8qbWV0aG9kczwva2V5d29yZD48a2V5d29yZD5GZW1hbGU8L2tleXdvcmQ+
PGtleXdvcmQ+R2x1Y29zZSBJbnRvbGVyYW5jZS9wcmV2ZW50aW9uICZhbXA7IGNvbnRyb2wvKnRo
ZXJhcHk8L2tleXdvcmQ+PGtleXdvcmQ+R2x1Y29zZSBUb2xlcmFuY2UgVGVzdDwva2V5d29yZD48
a2V5d29yZD5Ib21lIENhcmUgU2VydmljZXMvc3RhdGlzdGljcyAmYW1wOyBudW1lcmljYWwgZGF0
YTwva2V5d29yZD48a2V5d29yZD5IdW1hbnM8L2tleXdvcmQ+PGtleXdvcmQ+SW5zdWxpbi9ibG9v
ZDwva2V5d29yZD48a2V5d29yZD5PYmVzaXR5LypwaHlzaW9wYXRob2xvZ3k8L2tleXdvcmQ+PGtl
eXdvcmQ+UGh5c2ljYWwgRml0bmVzczwva2V5d29yZD48a2V5d29yZD5QcmVnbmFuY3k8L2tleXdv
cmQ+PGtleXdvcmQ+UHJlZ25hbmN5IENvbXBsaWNhdGlvbnMvKnBoeXNpb3BhdGhvbG9neTwva2V5
d29yZD48a2V5d29yZD5QcmVnbmFuY3kgVHJpbWVzdGVyLCBTZWNvbmQ8L2tleXdvcmQ+PC9rZXl3
b3Jkcz48ZGF0ZXM+PHllYXI+MjAwOTwveWVhcj48cHViLWRhdGVzPjxkYXRlPk5vdjwvZGF0ZT48
L3B1Yi1kYXRlcz48L2RhdGVzPjxpc2JuPjE4NzgtMTc4MCAoRWxlY3Ryb25pYykmI3hEOzEyNjIt
MzYzNiAoTGlua2luZyk8L2lzYm4+PGFjY2Vzc2lvbi1udW0+MTk3NDc4Njk8L2FjY2Vzc2lvbi1u
dW0+PHVybHM+PHJlbGF0ZWQtdXJscz48dXJsPmh0dHBzOi8vd3d3Lm5jYmkubmxtLm5paC5nb3Yv
cHVibWVkLzE5NzQ3ODY5PC91cmw+PC9yZWxhdGVkLXVybHM+PC91cmxzPjxlbGVjdHJvbmljLXJl
c291cmNlLW51bT4xMC4xMDE2L2ouZGlhYmV0LjIwMDkuMDQuMDA4PC9lbGVjdHJvbmljLXJlc291
cmNlLW51bT48L3JlY29yZD48L0NpdGU+PC9FbmROb3RlPn==
</w:fldData>
        </w:fldChar>
      </w:r>
      <w:r w:rsidR="002747EA">
        <w:rPr>
          <w:sz w:val="16"/>
          <w:szCs w:val="16"/>
        </w:rPr>
        <w:instrText xml:space="preserve"> ADDIN EN.CITE </w:instrText>
      </w:r>
      <w:r w:rsidR="002747EA">
        <w:rPr>
          <w:sz w:val="16"/>
          <w:szCs w:val="16"/>
        </w:rPr>
        <w:fldChar w:fldCharType="begin">
          <w:fldData xml:space="preserve">PEVuZE5vdGU+PENpdGU+PEF1dGhvcj5EZWtrZXIgTml0ZXJ0PC9BdXRob3I+PFllYXI+MjAxNTwv
WWVhcj48UmVjTnVtPjY4NjwvUmVjTnVtPjxEaXNwbGF5VGV4dD48c3R5bGUgZmFjZT0ic3VwZXJz
Y3JpcHQiIGZvbnQ9IlRyZWJ1Y2hldCBNUyIgc2l6ZT0iOSI+MjcxLDQ0OCw0NTA8L3N0eWxlPjwv
RGlzcGxheVRleHQ+PHJlY29yZD48cmVjLW51bWJlcj42ODY8L3JlYy1udW1iZXI+PGZvcmVpZ24t
a2V5cz48a2V5IGFwcD0iRU4iIGRiLWlkPSJleHZhc3JmeDJkdHJhb2VzYXN4cDJzenN4YTJkZjUw
MjU5MngiIHRpbWVzdGFtcD0iMTU0MDUyNzIzOCI+Njg2PC9rZXk+PC9mb3JlaWduLWtleXM+PHJl
Zi10eXBlIG5hbWU9IkpvdXJuYWwgQXJ0aWNsZSI+MTc8L3JlZi10eXBlPjxjb250cmlidXRvcnM+
PGF1dGhvcnM+PGF1dGhvcj5EZWtrZXIgTml0ZXJ0LCBNLjwvYXV0aG9yPjxhdXRob3I+QmFycmV0
dCwgSC4gTC48L2F1dGhvcj48YXV0aG9yPkRlbm55LCBLLiBKLjwvYXV0aG9yPjxhdXRob3I+TWNJ
bnR5cmUsIEguIEQuPC9hdXRob3I+PGF1dGhvcj5DYWxsYXdheSwgTC4gSy48L2F1dGhvcj48YXV0
aG9yPkJhbWJpbm8gZ3JvdXA8L2F1dGhvcj48L2F1dGhvcnM+PC9jb250cmlidXRvcnM+PGF1dGgt
YWRkcmVzcz5TY2hvb2wgb2YgTWVkaWNpbmUsIFRoZSBVbml2ZXJzaXR5IG9mIFF1ZWVuc2xhbmQs
IEhlcnN0b24sIFF1ZWVuc2xhbmQsIEF1c3RyYWxpYTsgVVEgQ2VudHJlIGZvciBDbGluaWNhbCBS
ZXNlYXJjaCwgVGhlIFVuaXZlcnNpdHkgb2YgUXVlZW5zbGFuZCwgSGVyc3RvbiwgUXVlZW5zbGFu
ZCwgQXVzdHJhbGlhLjwvYXV0aC1hZGRyZXNzPjx0aXRsZXM+PHRpdGxlPkV4ZXJjaXNlIGluIHBy
ZWduYW5jeSBkb2VzIG5vdCBhbHRlciBnZXN0YXRpb25hbCB3ZWlnaHQgZ2FpbiwgTUNQLTEgb3Ig
bGVwdGluIGluIG9iZXNlIHdvbWVuPC90aXRsZT48c2Vjb25kYXJ5LXRpdGxlPkF1c3QgTiBaIEog
T2JzdGV0IEd5bmFlY29sPC9zZWNvbmRhcnktdGl0bGU+PC90aXRsZXM+PHBlcmlvZGljYWw+PGZ1
bGwtdGl0bGU+QXVzdCBOIFogSiBPYnN0ZXQgR3luYWVjb2w8L2Z1bGwtdGl0bGU+PC9wZXJpb2Rp
Y2FsPjxwYWdlcz4yNy0zMzwvcGFnZXM+PHZvbHVtZT41NTwvdm9sdW1lPjxudW1iZXI+MTwvbnVt
YmVyPjxlZGl0aW9uPjIwMTUvMDIvMTg8L2VkaXRpb24+PGtleXdvcmRzPjxrZXl3b3JkPkFkdWx0
PC9rZXl3b3JkPjxrZXl3b3JkPkNoZW1va2luZSBDQ0wyL2Jsb29kPC9rZXl3b3JkPjxrZXl3b3Jk
PkV4ZXJjaXNlLypwaHlzaW9sb2d5PC9rZXl3b3JkPjxrZXl3b3JkPkZlbWFsZTwva2V5d29yZD48
a2V5d29yZD5IdW1hbnM8L2tleXdvcmQ+PGtleXdvcmQ+SW50ZXJsZXVraW4tOC9ibG9vZDwva2V5
d29yZD48a2V5d29yZD5MZXB0aW4vYmxvb2Q8L2tleXdvcmQ+PGtleXdvcmQ+T2Jlc2l0eS8qYmxv
b2QvdGhlcmFweTwva2V5d29yZD48a2V5d29yZD5QaWxvdCBQcm9qZWN0czwva2V5d29yZD48a2V5
d29yZD5QcmVnbmFuY3k8L2tleXdvcmQ+PGtleXdvcmQ+UHJlZ25hbmN5IENvbXBsaWNhdGlvbnMv
KmJsb29kL3ByZXZlbnRpb24gJmFtcDsgY29udHJvbDwva2V5d29yZD48a2V5d29yZD4qV2VpZ2h0
IEdhaW48L2tleXdvcmQ+PGtleXdvcmQ+WW91bmcgQWR1bHQ8L2tleXdvcmQ+PGtleXdvcmQ+ZXhl
cmNpc2U8L2tleXdvcmQ+PGtleXdvcmQ+Z2VzdGF0aW9uYWwgd2VpZ2h0IGdhaW48L2tleXdvcmQ+
PGtleXdvcmQ+bGlwaWRzPC9rZXl3b3JkPjxrZXl3b3JkPm9iZXNpdHk8L2tleXdvcmQ+PC9rZXl3
b3Jkcz48ZGF0ZXM+PHllYXI+MjAxNTwveWVhcj48cHViLWRhdGVzPjxkYXRlPkZlYjwvZGF0ZT48
L3B1Yi1kYXRlcz48L2RhdGVzPjxpc2JuPjE0NzktODI4WCAoRWxlY3Ryb25pYykmI3hEOzAwMDQt
ODY2NiAoTGlua2luZyk8L2lzYm4+PGFjY2Vzc2lvbi1udW0+MjU2ODg4MTc8L2FjY2Vzc2lvbi1u
dW0+PHVybHM+PHJlbGF0ZWQtdXJscz48dXJsPmh0dHBzOi8vd3d3Lm5jYmkubmxtLm5paC5nb3Yv
cHVibWVkLzI1Njg4ODE3PC91cmw+PC9yZWxhdGVkLXVybHM+PC91cmxzPjxlbGVjdHJvbmljLXJl
c291cmNlLW51bT4xMC4xMTExL2Fqby4xMjMwMDwvZWxlY3Ryb25pYy1yZXNvdXJjZS1udW0+PC9y
ZWNvcmQ+PC9DaXRlPjxDaXRlPjxBdXRob3I+R3VlbGZpPC9BdXRob3I+PFllYXI+MjAxNjwvWWVh
cj48UmVjTnVtPjcyMzwvUmVjTnVtPjxyZWNvcmQ+PHJlYy1udW1iZXI+NzIzPC9yZWMtbnVtYmVy
Pjxmb3JlaWduLWtleXM+PGtleSBhcHA9IkVOIiBkYi1pZD0iZXh2YXNyZngyZHRyYW9lc2FzeHAy
c3pzeGEyZGY1MDI1OTJ4IiB0aW1lc3RhbXA9IjE1NDE0NjQ4ODAiPjcyMzwva2V5PjwvZm9yZWln
bi1rZXlzPjxyZWYtdHlwZSBuYW1lPSJKb3VybmFsIEFydGljbGUiPjE3PC9yZWYtdHlwZT48Y29u
dHJpYnV0b3JzPjxhdXRob3JzPjxhdXRob3I+R3VlbGZpLCBLLiBKLjwvYXV0aG9yPjxhdXRob3I+
T25nLCBNLiBKLjwvYXV0aG9yPjxhdXRob3I+Q3Jpc3AsIE4uIEEuPC9hdXRob3I+PGF1dGhvcj5G
b3VybmllciwgUC4gQS48L2F1dGhvcj48YXV0aG9yPldhbGxtYW4sIEsuIEUuPC9hdXRob3I+PGF1
dGhvcj5Hcm92ZSwgSi4gUi48L2F1dGhvcj48YXV0aG9yPkRvaGVydHksIEQuIEEuPC9hdXRob3I+
PGF1dGhvcj5OZXduaGFtLCBKLiBQLjwvYXV0aG9yPjwvYXV0aG9ycz48L2NvbnRyaWJ1dG9ycz48
YXV0aC1hZGRyZXNzPlNjaG9vbCBvZiBTcG9ydCBTY2llbmNlLCBFeGVyY2lzZSBhbmQgSGVhbHRo
IGFuZCB0aGUgU2Nob29sIG9mIFdvbWVuJmFwb3M7cyBhbmQgSW5mYW50cyZhcG9zOyBIZWFsdGgs
IHRoZSBVbml2ZXJzaXR5IG9mIFdlc3Rlcm4gQXVzdHJhbGlhLCBQZXJ0aCwgV2VzdGVybiBBdXN0
cmFsaWEsIEF1c3RyYWxpYS48L2F1dGgtYWRkcmVzcz48dGl0bGVzPjx0aXRsZT5SZWd1bGFyIEV4
ZXJjaXNlIHRvIFByZXZlbnQgdGhlIFJlY3VycmVuY2Ugb2YgR2VzdGF0aW9uYWwgRGlhYmV0ZXMg
TWVsbGl0dXM6IEEgUmFuZG9taXplZCBDb250cm9sbGVkIFRyaWFsPC90aXRsZT48c2Vjb25kYXJ5
LXRpdGxlPk9ic3RldCBHeW5lY29sPC9zZWNvbmRhcnktdGl0bGU+PC90aXRsZXM+PHBlcmlvZGlj
YWw+PGZ1bGwtdGl0bGU+T2JzdGV0IEd5bmVjb2w8L2Z1bGwtdGl0bGU+PC9wZXJpb2RpY2FsPjxw
YWdlcz44MTktMjc8L3BhZ2VzPjx2b2x1bWU+MTI4PC92b2x1bWU+PG51bWJlcj40PC9udW1iZXI+
PGVkaXRpb24+MjAxNi8wOS8wOTwvZWRpdGlvbj48a2V5d29yZHM+PGtleXdvcmQ+QWR1bHQ8L2tl
eXdvcmQ+PGtleXdvcmQ+RGlhYmV0ZXMsIEdlc3RhdGlvbmFsL2Jsb29kLypwcmV2ZW50aW9uICZh
bXA7IGNvbnRyb2w8L2tleXdvcmQ+PGtleXdvcmQ+KkV4ZXJjaXNlIFRoZXJhcHk8L2tleXdvcmQ+
PGtleXdvcmQ+RmVtYWxlPC9rZXl3b3JkPjxrZXl3b3JkPkdsdWNvc2UgVG9sZXJhbmNlIFRlc3Q8
L2tleXdvcmQ+PGtleXdvcmQ+SHVtYW5zPC9rZXl3b3JkPjxrZXl3b3JkPlByZWduYW5jeTwva2V5
d29yZD48a2V5d29yZD5QcmVnbmFuY3kgT3V0Y29tZTwva2V5d29yZD48a2V5d29yZD4qUHJlbmF0
YWwgQ2FyZTwva2V5d29yZD48a2V5d29yZD5SZWN1cnJlbmNlPC9rZXl3b3JkPjxrZXl3b3JkPlRy
ZWF0bWVudCBPdXRjb21lPC9rZXl3b3JkPjwva2V5d29yZHM+PGRhdGVzPjx5ZWFyPjIwMTY8L3ll
YXI+PHB1Yi1kYXRlcz48ZGF0ZT5PY3Q8L2RhdGU+PC9wdWItZGF0ZXM+PC9kYXRlcz48aXNibj4x
ODczLTIzM1ggKEVsZWN0cm9uaWMpJiN4RDswMDI5LTc4NDQgKExpbmtpbmcpPC9pc2JuPjxhY2Nl
c3Npb24tbnVtPjI3NjA3ODc2PC9hY2Nlc3Npb24tbnVtPjx1cmxzPjxyZWxhdGVkLXVybHM+PHVy
bD5odHRwczovL3d3dy5uY2JpLm5sbS5uaWguZ292L3B1Ym1lZC8yNzYwNzg3NjwvdXJsPjwvcmVs
YXRlZC11cmxzPjwvdXJscz48ZWxlY3Ryb25pYy1yZXNvdXJjZS1udW0+MTAuMTA5Ny9BT0cuMDAw
MDAwMDAwMDAwMTYzMjwvZWxlY3Ryb25pYy1yZXNvdXJjZS1udW0+PC9yZWNvcmQ+PC9DaXRlPjxD
aXRlPjxBdXRob3I+T25nPC9BdXRob3I+PFllYXI+MjAwOTwvWWVhcj48UmVjTnVtPjcwMjwvUmVj
TnVtPjxyZWNvcmQ+PHJlYy1udW1iZXI+NzAyPC9yZWMtbnVtYmVyPjxmb3JlaWduLWtleXM+PGtl
eSBhcHA9IkVOIiBkYi1pZD0iZXh2YXNyZngyZHRyYW9lc2FzeHAyc3pzeGEyZGY1MDI1OTJ4IiB0
aW1lc3RhbXA9IjE1NDA1MzA0ODMiPjcwMjwva2V5PjwvZm9yZWlnbi1rZXlzPjxyZWYtdHlwZSBu
YW1lPSJKb3VybmFsIEFydGljbGUiPjE3PC9yZWYtdHlwZT48Y29udHJpYnV0b3JzPjxhdXRob3Jz
PjxhdXRob3I+T25nLCBNLiBKLjwvYXV0aG9yPjxhdXRob3I+R3VlbGZpLCBLLiBKLjwvYXV0aG9y
PjxhdXRob3I+SHVudGVyLCBULjwvYXV0aG9yPjxhdXRob3I+V2FsbG1hbiwgSy4gRS48L2F1dGhv
cj48YXV0aG9yPkZvdXJuaWVyLCBQLiBBLjwvYXV0aG9yPjxhdXRob3I+TmV3bmhhbSwgSi4gUC48
L2F1dGhvcj48L2F1dGhvcnM+PC9jb250cmlidXRvcnM+PGF1dGgtYWRkcmVzcz5TY2hvb2wgb2Yg
U3BvcnQgU2NpZW5jZSwgRXhlcmNpc2UgYW5kIEhlYWx0aCwgVGhlIFVuaXZlcnNpdHkgb2YgV2Vz
dGVybiBBdXN0cmFsaWEsIENyYXdsZXksIFdBIDYwMDksIEF1c3RyYWxpYS48L2F1dGgtYWRkcmVz
cz48dGl0bGVzPjx0aXRsZT5TdXBlcnZpc2VkIGhvbWUtYmFzZWQgZXhlcmNpc2UgbWF5IGF0dGVu
dWF0ZSB0aGUgZGVjbGluZSBvZiBnbHVjb3NlIHRvbGVyYW5jZSBpbiBvYmVzZSBwcmVnbmFudCB3
b21lbjwvdGl0bGU+PHNlY29uZGFyeS10aXRsZT5EaWFiZXRlcyBNZXRhYjwvc2Vjb25kYXJ5LXRp
dGxlPjwvdGl0bGVzPjxwZXJpb2RpY2FsPjxmdWxsLXRpdGxlPkRpYWJldGVzIE1ldGFiPC9mdWxs
LXRpdGxlPjwvcGVyaW9kaWNhbD48cGFnZXM+NDE4LTIxPC9wYWdlcz48dm9sdW1lPjM1PC92b2x1
bWU+PG51bWJlcj41PC9udW1iZXI+PGVkaXRpb24+MjAwOS8wOS8xNTwvZWRpdGlvbj48a2V5d29y
ZHM+PGtleXdvcmQ+QWR1bHQ8L2tleXdvcmQ+PGtleXdvcmQ+Qmxvb2QgR2x1Y29zZS9hbmFseXNp
czwva2V5d29yZD48a2V5d29yZD5Cb2R5IE1hc3MgSW5kZXg8L2tleXdvcmQ+PGtleXdvcmQ+RXhl
cmNpc2UgVGhlcmFweS8qbWV0aG9kczwva2V5d29yZD48a2V5d29yZD5GZW1hbGU8L2tleXdvcmQ+
PGtleXdvcmQ+R2x1Y29zZSBJbnRvbGVyYW5jZS9wcmV2ZW50aW9uICZhbXA7IGNvbnRyb2wvKnRo
ZXJhcHk8L2tleXdvcmQ+PGtleXdvcmQ+R2x1Y29zZSBUb2xlcmFuY2UgVGVzdDwva2V5d29yZD48
a2V5d29yZD5Ib21lIENhcmUgU2VydmljZXMvc3RhdGlzdGljcyAmYW1wOyBudW1lcmljYWwgZGF0
YTwva2V5d29yZD48a2V5d29yZD5IdW1hbnM8L2tleXdvcmQ+PGtleXdvcmQ+SW5zdWxpbi9ibG9v
ZDwva2V5d29yZD48a2V5d29yZD5PYmVzaXR5LypwaHlzaW9wYXRob2xvZ3k8L2tleXdvcmQ+PGtl
eXdvcmQ+UGh5c2ljYWwgRml0bmVzczwva2V5d29yZD48a2V5d29yZD5QcmVnbmFuY3k8L2tleXdv
cmQ+PGtleXdvcmQ+UHJlZ25hbmN5IENvbXBsaWNhdGlvbnMvKnBoeXNpb3BhdGhvbG9neTwva2V5
d29yZD48a2V5d29yZD5QcmVnbmFuY3kgVHJpbWVzdGVyLCBTZWNvbmQ8L2tleXdvcmQ+PC9rZXl3
b3Jkcz48ZGF0ZXM+PHllYXI+MjAwOTwveWVhcj48cHViLWRhdGVzPjxkYXRlPk5vdjwvZGF0ZT48
L3B1Yi1kYXRlcz48L2RhdGVzPjxpc2JuPjE4NzgtMTc4MCAoRWxlY3Ryb25pYykmI3hEOzEyNjIt
MzYzNiAoTGlua2luZyk8L2lzYm4+PGFjY2Vzc2lvbi1udW0+MTk3NDc4Njk8L2FjY2Vzc2lvbi1u
dW0+PHVybHM+PHJlbGF0ZWQtdXJscz48dXJsPmh0dHBzOi8vd3d3Lm5jYmkubmxtLm5paC5nb3Yv
cHVibWVkLzE5NzQ3ODY5PC91cmw+PC9yZWxhdGVkLXVybHM+PC91cmxzPjxlbGVjdHJvbmljLXJl
c291cmNlLW51bT4xMC4xMDE2L2ouZGlhYmV0LjIwMDkuMDQuMDA4PC9lbGVjdHJvbmljLXJlc291
cmNlLW51bT48L3JlY29yZD48L0NpdGU+PC9FbmROb3RlPn==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271,448,450</w:t>
      </w:r>
      <w:r>
        <w:rPr>
          <w:sz w:val="16"/>
          <w:szCs w:val="16"/>
        </w:rPr>
        <w:fldChar w:fldCharType="end"/>
      </w:r>
      <w:r w:rsidRPr="00B04565">
        <w:t xml:space="preserve"> Brazil (n=4),</w:t>
      </w:r>
      <w:r>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Zm9udD0iVHJlYnVjaGV0IE1TIiBzaXplPSI5Ij4yNzAsMjkyLDQzMiw0Mzc8L3N0eWxlPjwvRGlz
cGxheVRleHQ+PHJlY29yZD48cmVjLW51bWJlcj42Nzk8L3JlYy1udW1iZXI+PGZvcmVpZ24ta2V5
cz48a2V5IGFwcD0iRU4iIGRiLWlkPSJleHZhc3JmeDJkdHJhb2VzYXN4cDJzenN4YTJkZjUwMjU5
MngiIHRpbWVzdGFtcD0iMTU0MDUyNjg5MCI+Njc5PC9rZXk+PC9mb3JlaWduLWtleXM+PHJlZi10
eXBlIG5hbWU9IkpvdXJuYWwgQXJ0aWNsZSI+MTc8L3JlZi10eXBlPjxjb250cmlidXRvcnM+PGF1
dGhvcnM+PGF1dGhvcj5CYWNpdWssIEUuIFAuPC9hdXRob3I+PGF1dGhvcj5QZXJlaXJhLCBSLiBJ
LjwvYXV0aG9yPjxhdXRob3I+Q2VjYXR0aSwgSi4gRy48L2F1dGhvcj48YXV0aG9yPkJyYWdhLCBB
LiBGLjwvYXV0aG9yPjxhdXRob3I+Q2F2YWxjYW50ZSwgUy4gUi48L2F1dGhvcj48L2F1dGhvcnM+
PC9jb250cmlidXRvcnM+PGF1dGgtYWRkcmVzcz5EZXBhcnRtZW50IG9mIE9ic3RldHJpY3MgYW5k
IEd5bmVjb2xvZ3ksIFVuaXZlcnNpdHkgb2YgQ2FtcGluYXMsIFNhbyBQYXVsbywgQnJhemlsLiBl
cmljYXhiYUB0ZXJyYS5jb20uYnI8L2F1dGgtYWRkcmVzcz48dGl0bGVzPjx0aXRsZT5XYXRlciBh
ZXJvYmljcyBpbiBwcmVnbmFuY3k6IENhcmRpb3Zhc2N1bGFyIHJlc3BvbnNlLCBsYWJvciBhbmQg
bmVvbmF0YWwgb3V0Y29tZXM8L3RpdGxlPjxzZWNvbmRhcnktdGl0bGU+UmVwcm9kIEhlYWx0aDwv
c2Vjb25kYXJ5LXRpdGxlPjwvdGl0bGVzPjxwZXJpb2RpY2FsPjxmdWxsLXRpdGxlPlJlcHJvZCBI
ZWFsdGg8L2Z1bGwtdGl0bGU+PC9wZXJpb2RpY2FsPjxwYWdlcz4xMDwvcGFnZXM+PHZvbHVtZT41
PC92b2x1bWU+PGVkaXRpb24+MjAwOC8xMS8yNjwvZWRpdGlvbj48ZGF0ZXM+PHllYXI+MjAwODwv
eWVhcj48cHViLWRhdGVzPjxkYXRlPk5vdiAyMTwvZGF0ZT48L3B1Yi1kYXRlcz48L2RhdGVzPjxp
c2JuPjE3NDItNDc1NSAoRWxlY3Ryb25pYykmI3hEOzE3NDItNDc1NSAoTGlua2luZyk8L2lzYm4+
PGFjY2Vzc2lvbi1udW0+MTkwMjU1Nzk8L2FjY2Vzc2lvbi1udW0+PHVybHM+PHJlbGF0ZWQtdXJs
cz48dXJsPmh0dHBzOi8vd3d3Lm5jYmkubmxtLm5paC5nb3YvcHVibWVkLzE5MDI1NTc5PC91cmw+
PC9yZWxhdGVkLXVybHM+PC91cmxzPjxjdXN0b20yPlBNQzI2MTMxMzE8L2N1c3RvbTI+PGVsZWN0
cm9uaWMtcmVzb3VyY2UtbnVtPjEwLjExODYvMTc0Mi00NzU1LTUtMTA8L2VsZWN0cm9uaWMtcmVz
b3VyY2UtbnVtPjwvcmVjb3JkPjwvQ2l0ZT48Q2l0ZT48QXV0aG9yPmRhIFNpbHZhPC9BdXRob3I+
PFllYXI+MjAxNzwvWWVhcj48UmVjTnVtPjY4NDwvUmVjTnVtPjxyZWNvcmQ+PHJlYy1udW1iZXI+
Njg0PC9yZWMtbnVtYmVyPjxmb3JlaWduLWtleXM+PGtleSBhcHA9IkVOIiBkYi1pZD0iZXh2YXNy
ZngyZHRyYW9lc2FzeHAyc3pzeGEyZGY1MDI1OTJ4IiB0aW1lc3RhbXA9IjE1NDA1MjcxMzUiPjY4
NDwva2V5PjwvZm9yZWlnbi1rZXlzPjxyZWYtdHlwZSBuYW1lPSJKb3VybmFsIEFydGljbGUiPjE3
PC9yZWYtdHlwZT48Y29udHJpYnV0b3JzPjxhdXRob3JzPjxhdXRob3I+ZGEgU2lsdmEsIFMuIEcu
PC9hdXRob3I+PGF1dGhvcj5IYWxsYWwsIFAuIEMuPC9hdXRob3I+PGF1dGhvcj5Eb21pbmd1ZXMs
IE0uIFIuPC9hdXRob3I+PGF1dGhvcj5CZXJ0b2xkaSwgQS4gRC48L2F1dGhvcj48YXV0aG9yPlNp
bHZlaXJhLCBNLiBGLiBELjwvYXV0aG9yPjxhdXRob3I+QmFzc2FuaSwgRC48L2F1dGhvcj48YXV0
aG9yPmRhIFNpbHZhLCBJLiBDLiBNLjwvYXV0aG9yPjxhdXRob3I+ZGEgU2lsdmEsIEIuIEcuIEMu
PC9hdXRob3I+PGF1dGhvcj5Db2xsLCBDLiBWLiBOLjwvYXV0aG9yPjxhdXRob3I+RXZlbnNvbiwg
Sy48L2F1dGhvcj48L2F1dGhvcnM+PC9jb250cmlidXRvcnM+PGF1dGgtYWRkcmVzcz5Qb3N0Z3Jh
ZHVhdGUgUHJvZ3JhbSBpbiBFcGlkZW1pb2xvZ3ksIEZlZGVyYWwgVW5pdmVyc2l0eSBvZiBQZWxv
dGFzLCBSdWEgTWFyZWNoYWwgRGVvZG9ybywgMTE2MC0zIGRlZ3JlZXMgcGlzbywgQ0VQOiA5NjAy
MC0yMjAsIEJhaXJybyBDZW50cm8sIFBlbG90YXMsIFJpbyBHcmFuZGUgZG8gU3VsLCBCcmF6aWwu
IHNnaW5hckBnbWFpbC5jb20uJiN4RDtEZXBhcnRtZW50IG9mIEVwaWRlbWlvbG9neSwgR2lsbGlu
Z3MgU2Nob29sIG9mIEdsb2JhbCBQdWJsaWMgSGVhbHRoLCBVbml2ZXJzaXR5IG9mIE5vcnRoIENh
cm9saW5hIC0gQ2hhcGVsIEhpbGwsIENoYXBlbCBIaWxsLCBOQywgVVNBLiBzZ2luYXJAZ21haWwu
Y29tLiYjeEQ7UG9zdGdyYWR1YXRlIFByb2dyYW0gaW4gRXBpZGVtaW9sb2d5LCBGZWRlcmFsIFVu
aXZlcnNpdHkgb2YgUGVsb3RhcywgUnVhIE1hcmVjaGFsIERlb2Rvcm8sIDExNjAtMyBkZWdyZWVz
IHBpc28sIENFUDogOTYwMjAtMjIwLCBCYWlycm8gQ2VudHJvLCBQZWxvdGFzLCBSaW8gR3JhbmRl
IGRvIFN1bCwgQnJhemlsLiYjeEQ7UG9zdGdyYWR1YXRlIFByb2dyYW0gaW4gUGh5c2ljYWwgRWR1
Y2F0aW9uLCBGZWRlcmFsIFVuaXZlcnNpdHkgb2YgUGVsb3RhcywgUGVsb3RhcywgQnJhemlsLiYj
eEQ7RGVwYXJ0bWVudCBvZiBQYWVkaWF0cmljcywgRmFjdWx0eSBvZiBNZWRpY2luZSwgQ2VudHJl
IGZvciBHbG9iYWwgQ2hpbGQgSGVhbHRoLCBVbml2ZXJzaXR5IG9mIFRvcm9udG87IEtpbmcmYXBv
cztzIENvbGxlZ2UgQ2lyY2xlLCBUaGUgSG9zcGl0YWwgZm9yIFNpY2sgQ2hpbGRyZW4sIFRvcm9u
dG8sIENhbmFkYS4mI3hEO0RlcGFydG1lbnQgb2YgRXBpZGVtaW9sb2d5LCBHaWxsaW5ncyBTY2hv
b2wgb2YgR2xvYmFsIFB1YmxpYyBIZWFsdGgsIFVuaXZlcnNpdHkgb2YgTm9ydGggQ2Fyb2xpbmEg
LSBDaGFwZWwgSGlsbCwgQ2hhcGVsIEhpbGwsIE5DLCBVU0EuPC9hdXRoLWFkZHJlc3M+PHRpdGxl
cz48dGl0bGU+QSByYW5kb21pemVkIGNvbnRyb2xsZWQgdHJpYWwgb2YgZXhlcmNpc2UgZHVyaW5n
IHByZWduYW5jeSBvbiBtYXRlcm5hbCBhbmQgbmVvbmF0YWwgb3V0Y29tZXM6IHJlc3VsdHMgZnJv
bSB0aGUgUEFNRUxBIHN0dWR5PC90aXRsZT48c2Vjb25kYXJ5LXRpdGxlPkludCBKIEJlaGF2IE51
dHIgUGh5cyBBY3Q8L3NlY29uZGFyeS10aXRsZT48L3RpdGxlcz48cGVyaW9kaWNhbD48ZnVsbC10
aXRsZT5JbnQgSiBCZWhhdiBOdXRyIFBoeXMgQWN0PC9mdWxsLXRpdGxlPjwvcGVyaW9kaWNhbD48
cGFnZXM+MTc1PC9wYWdlcz48dm9sdW1lPjE0PC92b2x1bWU+PG51bWJlcj4xPC9udW1iZXI+PGVk
aXRpb24+MjAxNy8xMi8yNDwvZWRpdGlvbj48a2V5d29yZHM+PGtleXdvcmQ+QWR1bHQ8L2tleXdv
cmQ+PGtleXdvcmQ+QmlydGggV2VpZ2h0PC9rZXl3b3JkPjxrZXl3b3JkPkJvZHkgTWFzcyBJbmRl
eDwva2V5d29yZD48a2V5d29yZD5CcmF6aWw8L2tleXdvcmQ+PGtleXdvcmQ+Q29ob3J0IFN0dWRp
ZXM8L2tleXdvcmQ+PGtleXdvcmQ+RGlhYmV0ZXMsIEdlc3RhdGlvbmFsL2VwaWRlbWlvbG9neS9w
cmV2ZW50aW9uICZhbXA7IGNvbnRyb2w8L2tleXdvcmQ+PGtleXdvcmQ+KkV4ZXJjaXNlPC9rZXl3
b3JkPjxrZXl3b3JkPkZlbWFsZTwva2V5d29yZD48a2V5d29yZD5HZXN0YXRpb25hbCBBZ2U8L2tl
eXdvcmQ+PGtleXdvcmQ+SHVtYW5zPC9rZXl3b3JkPjxrZXl3b3JkPkluY2lkZW5jZTwva2V5d29y
ZD48a2V5d29yZD5JbmZhbnQ8L2tleXdvcmQ+PGtleXdvcmQ+UGF0aWVudCBDb21wbGlhbmNlPC9r
ZXl3b3JkPjxrZXl3b3JkPlByZS1FY2xhbXBzaWEvKmVwaWRlbWlvbG9neS9wcmV2ZW50aW9uICZh
bXA7IGNvbnRyb2w8L2tleXdvcmQ+PGtleXdvcmQ+UHJlZ25hbmN5PC9rZXl3b3JkPjxrZXl3b3Jk
PipQcmVnbmFuY3kgT3V0Y29tZTwva2V5d29yZD48a2V5d29yZD5QcmVtYXR1cmUgQmlydGgvKmVw
aWRlbWlvbG9neS9wcmV2ZW50aW9uICZhbXA7IGNvbnRyb2w8L2tleXdvcmQ+PGtleXdvcmQ+UHJl
bmF0YWwgQ2FyZTwva2V5d29yZD48a2V5d29yZD5TYW1wbGUgU2l6ZTwva2V5d29yZD48a2V5d29y
ZD5XZWlnaHQgR2Fpbjwva2V5d29yZD48a2V5d29yZD5Zb3VuZyBBZHVsdDwva2V5d29yZD48a2V5
d29yZD4qSW50ZXJ2ZW50aW9uIHN0dWRpZXM8L2tleXdvcmQ+PGtleXdvcmQ+Kk1hdGVybmFsLWNo
aWxkIGhlYWx0aDwva2V5d29yZD48a2V5d29yZD4qUGh5c2ljYWwgYWN0aXZpdHk8L2tleXdvcmQ+
PGtleXdvcmQ+KlByZWduYW50IHdvbWFuPC9rZXl3b3JkPjxrZXl3b3JkPipSYW5kb21pemVkIGNv
bnRyb2xsZWQgdHJpYWw8L2tleXdvcmQ+PC9rZXl3b3Jkcz48ZGF0ZXM+PHllYXI+MjAxNzwveWVh
cj48cHViLWRhdGVzPjxkYXRlPkRlYyAyMjwvZGF0ZT48L3B1Yi1kYXRlcz48L2RhdGVzPjxpc2Ju
PjE0NzktNTg2OCAoRWxlY3Ryb25pYykmI3hEOzE0NzktNTg2OCAoTGlua2luZyk8L2lzYm4+PGFj
Y2Vzc2lvbi1udW0+MjkyNzMwNDQ8L2FjY2Vzc2lvbi1udW0+PHVybHM+PHJlbGF0ZWQtdXJscz48
dXJsPmh0dHBzOi8vd3d3Lm5jYmkubmxtLm5paC5nb3YvcHVibWVkLzI5MjczMDQ0PC91cmw+PC9y
ZWxhdGVkLXVybHM+PC91cmxzPjxjdXN0b20yPlBNQzU3NDE5MjQ8L2N1c3RvbTI+PGVsZWN0cm9u
aWMtcmVzb3VyY2UtbnVtPjEwLjExODYvczEyOTY2LTAxNy0wNjMyLTY8L2VsZWN0cm9uaWMtcmVz
b3VyY2UtbnVtPjwvcmVjb3JkPjwvQ2l0ZT48Q2l0ZT48QXV0aG9yPmRlIE9saXZlcmlhIE1lbG88
L0F1dGhvcj48WWVhcj4yMDEyPC9ZZWFyPjxSZWNOdW0+Njg3PC9SZWNOdW0+PHJlY29yZD48cmVj
LW51bWJlcj42ODc8L3JlYy1udW1iZXI+PGZvcmVpZ24ta2V5cz48a2V5IGFwcD0iRU4iIGRiLWlk
PSJleHZhc3JmeDJkdHJhb2VzYXN4cDJzenN4YTJkZjUwMjU5MngiIHRpbWVzdGFtcD0iMTU0MDUy
NzMxOSI+Njg3PC9rZXk+PC9mb3JlaWduLWtleXM+PHJlZi10eXBlIG5hbWU9IkpvdXJuYWwgQXJ0
aWNsZSI+MTc8L3JlZi10eXBlPjxjb250cmlidXRvcnM+PGF1dGhvcnM+PGF1dGhvcj5kZSBPbGl2
ZXJpYSBNZWxvLCBBLiBTLjwvYXV0aG9yPjxhdXRob3I+U2lsdmEsIEouIEwuPC9hdXRob3I+PGF1
dGhvcj5UYXZhcmVzLCBKLiBTLjwvYXV0aG9yPjxhdXRob3I+QmFycm9zLCBWLiBPLjwvYXV0aG9y
PjxhdXRob3I+TGVpdGUsIEQuIEYuPC9hdXRob3I+PGF1dGhvcj5BbW9yaW0sIE0uIE0uPC9hdXRo
b3I+PC9hdXRob3JzPjwvY29udHJpYnV0b3JzPjxhdXRoLWFkZHJlc3M+RGVwYXJ0bWVudCBvZiBP
YnN0ZXRyaWNzLCBTY2hvb2wgTWVkaWNhbCBTY2llbmNlcywgVW5pdmVyc2l0eSBvZiBDYW1waW5h
cywgQ2FtcGluYXMsIEJyYXppbC4gYXNvbWVsb0BnbWFpbC5jb208L2F1dGgtYWRkcmVzcz48dGl0
bGVzPjx0aXRsZT5FZmZlY3Qgb2YgYSBwaHlzaWNhbCBleGVyY2lzZSBwcm9ncmFtIGR1cmluZyBw
cmVnbmFuY3kgb24gdXRlcm9wbGFjZW50YWwgYW5kIGZldGFsIGJsb29kIGZsb3cgYW5kIGZldGFs
IGdyb3d0aDogYSByYW5kb21pemVkIGNvbnRyb2xsZWQgdHJpYWw8L3RpdGxlPjxzZWNvbmRhcnkt
dGl0bGU+T2JzdGV0IEd5bmVjb2w8L3NlY29uZGFyeS10aXRsZT48L3RpdGxlcz48cGVyaW9kaWNh
bD48ZnVsbC10aXRsZT5PYnN0ZXQgR3luZWNvbDwvZnVsbC10aXRsZT48L3BlcmlvZGljYWw+PHBh
Z2VzPjMwMi0xMDwvcGFnZXM+PHZvbHVtZT4xMjA8L3ZvbHVtZT48bnVtYmVyPjIgUHQgMTwvbnVt
YmVyPjxlZGl0aW9uPjIwMTIvMDcvMjU8L2VkaXRpb24+PGtleXdvcmRzPjxrZXl3b3JkPkFkdWx0
PC9rZXl3b3JkPjxrZXl3b3JkPipCaXJ0aCBXZWlnaHQ8L2tleXdvcmQ+PGtleXdvcmQ+Qmxvb2Qg
UHJlc3N1cmU8L2tleXdvcmQ+PGtleXdvcmQ+RXhlcmNpc2UvKnBoeXNpb2xvZ3k8L2tleXdvcmQ+
PGtleXdvcmQ+RmVtYWxlPC9rZXl3b3JkPjxrZXl3b3JkPipGZXRhbCBEZXZlbG9wbWVudDwva2V5
d29yZD48a2V5d29yZD5GZXR1cy9ibG9vZCBzdXBwbHk8L2tleXdvcmQ+PGtleXdvcmQ+SHVtYW5z
PC9rZXl3b3JkPjxrZXl3b3JkPkluZmFudCwgTmV3Ym9ybjwva2V5d29yZD48a2V5d29yZD5QaHlz
aWNhbCBGaXRuZXNzPC9rZXl3b3JkPjxrZXl3b3JkPipQbGFjZW50YWwgQ2lyY3VsYXRpb248L2tl
eXdvcmQ+PGtleXdvcmQ+UHJlZ25hbmN5LypwaHlzaW9sb2d5PC9rZXl3b3JkPjxrZXl3b3JkPllv
dW5nIEFkdWx0PC9rZXl3b3JkPjwva2V5d29yZHM+PGRhdGVzPjx5ZWFyPjIwMTI8L3llYXI+PHB1
Yi1kYXRlcz48ZGF0ZT5BdWc8L2RhdGU+PC9wdWItZGF0ZXM+PC9kYXRlcz48aXNibj4xODczLTIz
M1ggKEVsZWN0cm9uaWMpJiN4RDswMDI5LTc4NDQgKExpbmtpbmcpPC9pc2JuPjxhY2Nlc3Npb24t
bnVtPjIyODI1MDg5PC9hY2Nlc3Npb24tbnVtPjx1cmxzPjxyZWxhdGVkLXVybHM+PHVybD5odHRw
czovL3d3dy5uY2JpLm5sbS5uaWguZ292L3B1Ym1lZC8yMjgyNTA4OTwvdXJsPjwvcmVsYXRlZC11
cmxzPjwvdXJscz48ZWxlY3Ryb25pYy1yZXNvdXJjZS1udW0+MTAuMTA5Ny9BT0cuMGIwMTNlMzE4
MjVkZTU5MjwvZWxlY3Ryb25pYy1yZXNvdXJjZS1udW0+PC9yZWNvcmQ+PC9DaXRlPjxDaXRlPjxB
dXRob3I+TmFzY2ltZW50bzwvQXV0aG9yPjxZZWFyPjIwMTE8L1llYXI+PFJlY051bT4xMDQwPC9S
ZWNOdW0+PHJlY29yZD48cmVjLW51bWJlcj4xMDQwPC9yZWMtbnVtYmVyPjxmb3JlaWduLWtleXM+
PGtleSBhcHA9IkVOIiBkYi1pZD0iZXh2YXNyZngyZHRyYW9lc2FzeHAyc3pzeGEyZGY1MDI1OTJ4
IiB0aW1lc3RhbXA9IjE1NDg5ODM0NzYiPjEwNDA8L2tleT48L2ZvcmVpZ24ta2V5cz48cmVmLXR5
cGUgbmFtZT0iSm91cm5hbCBBcnRpY2xlIj4xNzwvcmVmLXR5cGU+PGNvbnRyaWJ1dG9ycz48YXV0
aG9ycz48YXV0aG9yPk5hc2NpbWVudG8sIFMuIEwuPC9hdXRob3I+PGF1dGhvcj5TdXJpdGEsIEYu
IEcuPC9hdXRob3I+PGF1dGhvcj5QYXJwaW5lbGxpLCBNw4I8L2F1dGhvcj48YXV0aG9yPlNpYW5p
LCBTLjwvYXV0aG9yPjxhdXRob3I+UGludG8gZSBTaWx2YSwgSi4gTC48L2F1dGhvcj48L2F1dGhv
cnM+PC9jb250cmlidXRvcnM+PHRpdGxlcz48dGl0bGU+VGhlIGVmZmVjdCBvZiBhbiBhbnRlbmF0
YWwgcGh5c2ljYWwgZXhlcmNpc2UgcHJvZ3JhbW1lIG9uIG1hdGVybmFsL3BlcmluYXRhbCBvdXRj
b21lcyBhbmQgcXVhbGl0eSBvZiBsaWZlIGluIG92ZXJ3ZWlnaHQgYW5kIG9iZXNlIHByZWduYW50
IHdvbWVuOiBhIHJhbmRvbWlzZWQgY2xpbmljYWwgdHJpYWw8L3RpdGxlPjxzZWNvbmRhcnktdGl0
bGU+QkpPRzogQW4gSW50ZXJuYXRpb25hbCBKb3VybmFsIG9mIE9ic3RldHJpY3MgJmFtcDsgR3lu
YWVjb2xvZ3k8L3NlY29uZGFyeS10aXRsZT48L3RpdGxlcz48cGVyaW9kaWNhbD48ZnVsbC10aXRs
ZT5CSk9HOiBBbiBJbnRlcm5hdGlvbmFsIEpvdXJuYWwgb2YgT2JzdGV0cmljcyAmYW1wOyBHeW5h
ZWNvbG9neTwvZnVsbC10aXRsZT48L3BlcmlvZGljYWw+PHBhZ2VzPjE0NTUtMTQ2MzwvcGFnZXM+
PHZvbHVtZT4xMTg8L3ZvbHVtZT48bnVtYmVyPjEyPC9udW1iZXI+PHNlY3Rpb24+MTQ1NTwvc2Vj
dGlvbj48ZGF0ZXM+PHllYXI+MjAxMTwveWVhcj48L2RhdGVzPjxpc2JuPjE0NzAwMzI4PC9pc2Ju
Pjx1cmxzPjwvdXJscz48ZWxlY3Ryb25pYy1yZXNvdXJjZS1udW0+MTAuMTExMS9qLjE0NzEtMDUy
OC4yMDExLjAzMDg0Lng8L2VsZWN0cm9uaWMtcmVzb3VyY2UtbnVtPjwvcmVjb3JkPjwvQ2l0ZT48
L0VuZE5vdGU+AG==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Zm9udD0iVHJlYnVjaGV0IE1TIiBzaXplPSI5Ij4yNzAsMjkyLDQzMiw0Mzc8L3N0eWxlPjwvRGlz
cGxheVRleHQ+PHJlY29yZD48cmVjLW51bWJlcj42Nzk8L3JlYy1udW1iZXI+PGZvcmVpZ24ta2V5
cz48a2V5IGFwcD0iRU4iIGRiLWlkPSJleHZhc3JmeDJkdHJhb2VzYXN4cDJzenN4YTJkZjUwMjU5
MngiIHRpbWVzdGFtcD0iMTU0MDUyNjg5MCI+Njc5PC9rZXk+PC9mb3JlaWduLWtleXM+PHJlZi10
eXBlIG5hbWU9IkpvdXJuYWwgQXJ0aWNsZSI+MTc8L3JlZi10eXBlPjxjb250cmlidXRvcnM+PGF1
dGhvcnM+PGF1dGhvcj5CYWNpdWssIEUuIFAuPC9hdXRob3I+PGF1dGhvcj5QZXJlaXJhLCBSLiBJ
LjwvYXV0aG9yPjxhdXRob3I+Q2VjYXR0aSwgSi4gRy48L2F1dGhvcj48YXV0aG9yPkJyYWdhLCBB
LiBGLjwvYXV0aG9yPjxhdXRob3I+Q2F2YWxjYW50ZSwgUy4gUi48L2F1dGhvcj48L2F1dGhvcnM+
PC9jb250cmlidXRvcnM+PGF1dGgtYWRkcmVzcz5EZXBhcnRtZW50IG9mIE9ic3RldHJpY3MgYW5k
IEd5bmVjb2xvZ3ksIFVuaXZlcnNpdHkgb2YgQ2FtcGluYXMsIFNhbyBQYXVsbywgQnJhemlsLiBl
cmljYXhiYUB0ZXJyYS5jb20uYnI8L2F1dGgtYWRkcmVzcz48dGl0bGVzPjx0aXRsZT5XYXRlciBh
ZXJvYmljcyBpbiBwcmVnbmFuY3k6IENhcmRpb3Zhc2N1bGFyIHJlc3BvbnNlLCBsYWJvciBhbmQg
bmVvbmF0YWwgb3V0Y29tZXM8L3RpdGxlPjxzZWNvbmRhcnktdGl0bGU+UmVwcm9kIEhlYWx0aDwv
c2Vjb25kYXJ5LXRpdGxlPjwvdGl0bGVzPjxwZXJpb2RpY2FsPjxmdWxsLXRpdGxlPlJlcHJvZCBI
ZWFsdGg8L2Z1bGwtdGl0bGU+PC9wZXJpb2RpY2FsPjxwYWdlcz4xMDwvcGFnZXM+PHZvbHVtZT41
PC92b2x1bWU+PGVkaXRpb24+MjAwOC8xMS8yNjwvZWRpdGlvbj48ZGF0ZXM+PHllYXI+MjAwODwv
eWVhcj48cHViLWRhdGVzPjxkYXRlPk5vdiAyMTwvZGF0ZT48L3B1Yi1kYXRlcz48L2RhdGVzPjxp
c2JuPjE3NDItNDc1NSAoRWxlY3Ryb25pYykmI3hEOzE3NDItNDc1NSAoTGlua2luZyk8L2lzYm4+
PGFjY2Vzc2lvbi1udW0+MTkwMjU1Nzk8L2FjY2Vzc2lvbi1udW0+PHVybHM+PHJlbGF0ZWQtdXJs
cz48dXJsPmh0dHBzOi8vd3d3Lm5jYmkubmxtLm5paC5nb3YvcHVibWVkLzE5MDI1NTc5PC91cmw+
PC9yZWxhdGVkLXVybHM+PC91cmxzPjxjdXN0b20yPlBNQzI2MTMxMzE8L2N1c3RvbTI+PGVsZWN0
cm9uaWMtcmVzb3VyY2UtbnVtPjEwLjExODYvMTc0Mi00NzU1LTUtMTA8L2VsZWN0cm9uaWMtcmVz
b3VyY2UtbnVtPjwvcmVjb3JkPjwvQ2l0ZT48Q2l0ZT48QXV0aG9yPmRhIFNpbHZhPC9BdXRob3I+
PFllYXI+MjAxNzwvWWVhcj48UmVjTnVtPjY4NDwvUmVjTnVtPjxyZWNvcmQ+PHJlYy1udW1iZXI+
Njg0PC9yZWMtbnVtYmVyPjxmb3JlaWduLWtleXM+PGtleSBhcHA9IkVOIiBkYi1pZD0iZXh2YXNy
ZngyZHRyYW9lc2FzeHAyc3pzeGEyZGY1MDI1OTJ4IiB0aW1lc3RhbXA9IjE1NDA1MjcxMzUiPjY4
NDwva2V5PjwvZm9yZWlnbi1rZXlzPjxyZWYtdHlwZSBuYW1lPSJKb3VybmFsIEFydGljbGUiPjE3
PC9yZWYtdHlwZT48Y29udHJpYnV0b3JzPjxhdXRob3JzPjxhdXRob3I+ZGEgU2lsdmEsIFMuIEcu
PC9hdXRob3I+PGF1dGhvcj5IYWxsYWwsIFAuIEMuPC9hdXRob3I+PGF1dGhvcj5Eb21pbmd1ZXMs
IE0uIFIuPC9hdXRob3I+PGF1dGhvcj5CZXJ0b2xkaSwgQS4gRC48L2F1dGhvcj48YXV0aG9yPlNp
bHZlaXJhLCBNLiBGLiBELjwvYXV0aG9yPjxhdXRob3I+QmFzc2FuaSwgRC48L2F1dGhvcj48YXV0
aG9yPmRhIFNpbHZhLCBJLiBDLiBNLjwvYXV0aG9yPjxhdXRob3I+ZGEgU2lsdmEsIEIuIEcuIEMu
PC9hdXRob3I+PGF1dGhvcj5Db2xsLCBDLiBWLiBOLjwvYXV0aG9yPjxhdXRob3I+RXZlbnNvbiwg
Sy48L2F1dGhvcj48L2F1dGhvcnM+PC9jb250cmlidXRvcnM+PGF1dGgtYWRkcmVzcz5Qb3N0Z3Jh
ZHVhdGUgUHJvZ3JhbSBpbiBFcGlkZW1pb2xvZ3ksIEZlZGVyYWwgVW5pdmVyc2l0eSBvZiBQZWxv
dGFzLCBSdWEgTWFyZWNoYWwgRGVvZG9ybywgMTE2MC0zIGRlZ3JlZXMgcGlzbywgQ0VQOiA5NjAy
MC0yMjAsIEJhaXJybyBDZW50cm8sIFBlbG90YXMsIFJpbyBHcmFuZGUgZG8gU3VsLCBCcmF6aWwu
IHNnaW5hckBnbWFpbC5jb20uJiN4RDtEZXBhcnRtZW50IG9mIEVwaWRlbWlvbG9neSwgR2lsbGlu
Z3MgU2Nob29sIG9mIEdsb2JhbCBQdWJsaWMgSGVhbHRoLCBVbml2ZXJzaXR5IG9mIE5vcnRoIENh
cm9saW5hIC0gQ2hhcGVsIEhpbGwsIENoYXBlbCBIaWxsLCBOQywgVVNBLiBzZ2luYXJAZ21haWwu
Y29tLiYjeEQ7UG9zdGdyYWR1YXRlIFByb2dyYW0gaW4gRXBpZGVtaW9sb2d5LCBGZWRlcmFsIFVu
aXZlcnNpdHkgb2YgUGVsb3RhcywgUnVhIE1hcmVjaGFsIERlb2Rvcm8sIDExNjAtMyBkZWdyZWVz
IHBpc28sIENFUDogOTYwMjAtMjIwLCBCYWlycm8gQ2VudHJvLCBQZWxvdGFzLCBSaW8gR3JhbmRl
IGRvIFN1bCwgQnJhemlsLiYjeEQ7UG9zdGdyYWR1YXRlIFByb2dyYW0gaW4gUGh5c2ljYWwgRWR1
Y2F0aW9uLCBGZWRlcmFsIFVuaXZlcnNpdHkgb2YgUGVsb3RhcywgUGVsb3RhcywgQnJhemlsLiYj
eEQ7RGVwYXJ0bWVudCBvZiBQYWVkaWF0cmljcywgRmFjdWx0eSBvZiBNZWRpY2luZSwgQ2VudHJl
IGZvciBHbG9iYWwgQ2hpbGQgSGVhbHRoLCBVbml2ZXJzaXR5IG9mIFRvcm9udG87IEtpbmcmYXBv
cztzIENvbGxlZ2UgQ2lyY2xlLCBUaGUgSG9zcGl0YWwgZm9yIFNpY2sgQ2hpbGRyZW4sIFRvcm9u
dG8sIENhbmFkYS4mI3hEO0RlcGFydG1lbnQgb2YgRXBpZGVtaW9sb2d5LCBHaWxsaW5ncyBTY2hv
b2wgb2YgR2xvYmFsIFB1YmxpYyBIZWFsdGgsIFVuaXZlcnNpdHkgb2YgTm9ydGggQ2Fyb2xpbmEg
LSBDaGFwZWwgSGlsbCwgQ2hhcGVsIEhpbGwsIE5DLCBVU0EuPC9hdXRoLWFkZHJlc3M+PHRpdGxl
cz48dGl0bGU+QSByYW5kb21pemVkIGNvbnRyb2xsZWQgdHJpYWwgb2YgZXhlcmNpc2UgZHVyaW5n
IHByZWduYW5jeSBvbiBtYXRlcm5hbCBhbmQgbmVvbmF0YWwgb3V0Y29tZXM6IHJlc3VsdHMgZnJv
bSB0aGUgUEFNRUxBIHN0dWR5PC90aXRsZT48c2Vjb25kYXJ5LXRpdGxlPkludCBKIEJlaGF2IE51
dHIgUGh5cyBBY3Q8L3NlY29uZGFyeS10aXRsZT48L3RpdGxlcz48cGVyaW9kaWNhbD48ZnVsbC10
aXRsZT5JbnQgSiBCZWhhdiBOdXRyIFBoeXMgQWN0PC9mdWxsLXRpdGxlPjwvcGVyaW9kaWNhbD48
cGFnZXM+MTc1PC9wYWdlcz48dm9sdW1lPjE0PC92b2x1bWU+PG51bWJlcj4xPC9udW1iZXI+PGVk
aXRpb24+MjAxNy8xMi8yNDwvZWRpdGlvbj48a2V5d29yZHM+PGtleXdvcmQ+QWR1bHQ8L2tleXdv
cmQ+PGtleXdvcmQ+QmlydGggV2VpZ2h0PC9rZXl3b3JkPjxrZXl3b3JkPkJvZHkgTWFzcyBJbmRl
eDwva2V5d29yZD48a2V5d29yZD5CcmF6aWw8L2tleXdvcmQ+PGtleXdvcmQ+Q29ob3J0IFN0dWRp
ZXM8L2tleXdvcmQ+PGtleXdvcmQ+RGlhYmV0ZXMsIEdlc3RhdGlvbmFsL2VwaWRlbWlvbG9neS9w
cmV2ZW50aW9uICZhbXA7IGNvbnRyb2w8L2tleXdvcmQ+PGtleXdvcmQ+KkV4ZXJjaXNlPC9rZXl3
b3JkPjxrZXl3b3JkPkZlbWFsZTwva2V5d29yZD48a2V5d29yZD5HZXN0YXRpb25hbCBBZ2U8L2tl
eXdvcmQ+PGtleXdvcmQ+SHVtYW5zPC9rZXl3b3JkPjxrZXl3b3JkPkluY2lkZW5jZTwva2V5d29y
ZD48a2V5d29yZD5JbmZhbnQ8L2tleXdvcmQ+PGtleXdvcmQ+UGF0aWVudCBDb21wbGlhbmNlPC9r
ZXl3b3JkPjxrZXl3b3JkPlByZS1FY2xhbXBzaWEvKmVwaWRlbWlvbG9neS9wcmV2ZW50aW9uICZh
bXA7IGNvbnRyb2w8L2tleXdvcmQ+PGtleXdvcmQ+UHJlZ25hbmN5PC9rZXl3b3JkPjxrZXl3b3Jk
PipQcmVnbmFuY3kgT3V0Y29tZTwva2V5d29yZD48a2V5d29yZD5QcmVtYXR1cmUgQmlydGgvKmVw
aWRlbWlvbG9neS9wcmV2ZW50aW9uICZhbXA7IGNvbnRyb2w8L2tleXdvcmQ+PGtleXdvcmQ+UHJl
bmF0YWwgQ2FyZTwva2V5d29yZD48a2V5d29yZD5TYW1wbGUgU2l6ZTwva2V5d29yZD48a2V5d29y
ZD5XZWlnaHQgR2Fpbjwva2V5d29yZD48a2V5d29yZD5Zb3VuZyBBZHVsdDwva2V5d29yZD48a2V5
d29yZD4qSW50ZXJ2ZW50aW9uIHN0dWRpZXM8L2tleXdvcmQ+PGtleXdvcmQ+Kk1hdGVybmFsLWNo
aWxkIGhlYWx0aDwva2V5d29yZD48a2V5d29yZD4qUGh5c2ljYWwgYWN0aXZpdHk8L2tleXdvcmQ+
PGtleXdvcmQ+KlByZWduYW50IHdvbWFuPC9rZXl3b3JkPjxrZXl3b3JkPipSYW5kb21pemVkIGNv
bnRyb2xsZWQgdHJpYWw8L2tleXdvcmQ+PC9rZXl3b3Jkcz48ZGF0ZXM+PHllYXI+MjAxNzwveWVh
cj48cHViLWRhdGVzPjxkYXRlPkRlYyAyMjwvZGF0ZT48L3B1Yi1kYXRlcz48L2RhdGVzPjxpc2Ju
PjE0NzktNTg2OCAoRWxlY3Ryb25pYykmI3hEOzE0NzktNTg2OCAoTGlua2luZyk8L2lzYm4+PGFj
Y2Vzc2lvbi1udW0+MjkyNzMwNDQ8L2FjY2Vzc2lvbi1udW0+PHVybHM+PHJlbGF0ZWQtdXJscz48
dXJsPmh0dHBzOi8vd3d3Lm5jYmkubmxtLm5paC5nb3YvcHVibWVkLzI5MjczMDQ0PC91cmw+PC9y
ZWxhdGVkLXVybHM+PC91cmxzPjxjdXN0b20yPlBNQzU3NDE5MjQ8L2N1c3RvbTI+PGVsZWN0cm9u
aWMtcmVzb3VyY2UtbnVtPjEwLjExODYvczEyOTY2LTAxNy0wNjMyLTY8L2VsZWN0cm9uaWMtcmVz
b3VyY2UtbnVtPjwvcmVjb3JkPjwvQ2l0ZT48Q2l0ZT48QXV0aG9yPmRlIE9saXZlcmlhIE1lbG88
L0F1dGhvcj48WWVhcj4yMDEyPC9ZZWFyPjxSZWNOdW0+Njg3PC9SZWNOdW0+PHJlY29yZD48cmVj
LW51bWJlcj42ODc8L3JlYy1udW1iZXI+PGZvcmVpZ24ta2V5cz48a2V5IGFwcD0iRU4iIGRiLWlk
PSJleHZhc3JmeDJkdHJhb2VzYXN4cDJzenN4YTJkZjUwMjU5MngiIHRpbWVzdGFtcD0iMTU0MDUy
NzMxOSI+Njg3PC9rZXk+PC9mb3JlaWduLWtleXM+PHJlZi10eXBlIG5hbWU9IkpvdXJuYWwgQXJ0
aWNsZSI+MTc8L3JlZi10eXBlPjxjb250cmlidXRvcnM+PGF1dGhvcnM+PGF1dGhvcj5kZSBPbGl2
ZXJpYSBNZWxvLCBBLiBTLjwvYXV0aG9yPjxhdXRob3I+U2lsdmEsIEouIEwuPC9hdXRob3I+PGF1
dGhvcj5UYXZhcmVzLCBKLiBTLjwvYXV0aG9yPjxhdXRob3I+QmFycm9zLCBWLiBPLjwvYXV0aG9y
PjxhdXRob3I+TGVpdGUsIEQuIEYuPC9hdXRob3I+PGF1dGhvcj5BbW9yaW0sIE0uIE0uPC9hdXRo
b3I+PC9hdXRob3JzPjwvY29udHJpYnV0b3JzPjxhdXRoLWFkZHJlc3M+RGVwYXJ0bWVudCBvZiBP
YnN0ZXRyaWNzLCBTY2hvb2wgTWVkaWNhbCBTY2llbmNlcywgVW5pdmVyc2l0eSBvZiBDYW1waW5h
cywgQ2FtcGluYXMsIEJyYXppbC4gYXNvbWVsb0BnbWFpbC5jb208L2F1dGgtYWRkcmVzcz48dGl0
bGVzPjx0aXRsZT5FZmZlY3Qgb2YgYSBwaHlzaWNhbCBleGVyY2lzZSBwcm9ncmFtIGR1cmluZyBw
cmVnbmFuY3kgb24gdXRlcm9wbGFjZW50YWwgYW5kIGZldGFsIGJsb29kIGZsb3cgYW5kIGZldGFs
IGdyb3d0aDogYSByYW5kb21pemVkIGNvbnRyb2xsZWQgdHJpYWw8L3RpdGxlPjxzZWNvbmRhcnkt
dGl0bGU+T2JzdGV0IEd5bmVjb2w8L3NlY29uZGFyeS10aXRsZT48L3RpdGxlcz48cGVyaW9kaWNh
bD48ZnVsbC10aXRsZT5PYnN0ZXQgR3luZWNvbDwvZnVsbC10aXRsZT48L3BlcmlvZGljYWw+PHBh
Z2VzPjMwMi0xMDwvcGFnZXM+PHZvbHVtZT4xMjA8L3ZvbHVtZT48bnVtYmVyPjIgUHQgMTwvbnVt
YmVyPjxlZGl0aW9uPjIwMTIvMDcvMjU8L2VkaXRpb24+PGtleXdvcmRzPjxrZXl3b3JkPkFkdWx0
PC9rZXl3b3JkPjxrZXl3b3JkPipCaXJ0aCBXZWlnaHQ8L2tleXdvcmQ+PGtleXdvcmQ+Qmxvb2Qg
UHJlc3N1cmU8L2tleXdvcmQ+PGtleXdvcmQ+RXhlcmNpc2UvKnBoeXNpb2xvZ3k8L2tleXdvcmQ+
PGtleXdvcmQ+RmVtYWxlPC9rZXl3b3JkPjxrZXl3b3JkPipGZXRhbCBEZXZlbG9wbWVudDwva2V5
d29yZD48a2V5d29yZD5GZXR1cy9ibG9vZCBzdXBwbHk8L2tleXdvcmQ+PGtleXdvcmQ+SHVtYW5z
PC9rZXl3b3JkPjxrZXl3b3JkPkluZmFudCwgTmV3Ym9ybjwva2V5d29yZD48a2V5d29yZD5QaHlz
aWNhbCBGaXRuZXNzPC9rZXl3b3JkPjxrZXl3b3JkPipQbGFjZW50YWwgQ2lyY3VsYXRpb248L2tl
eXdvcmQ+PGtleXdvcmQ+UHJlZ25hbmN5LypwaHlzaW9sb2d5PC9rZXl3b3JkPjxrZXl3b3JkPllv
dW5nIEFkdWx0PC9rZXl3b3JkPjwva2V5d29yZHM+PGRhdGVzPjx5ZWFyPjIwMTI8L3llYXI+PHB1
Yi1kYXRlcz48ZGF0ZT5BdWc8L2RhdGU+PC9wdWItZGF0ZXM+PC9kYXRlcz48aXNibj4xODczLTIz
M1ggKEVsZWN0cm9uaWMpJiN4RDswMDI5LTc4NDQgKExpbmtpbmcpPC9pc2JuPjxhY2Nlc3Npb24t
bnVtPjIyODI1MDg5PC9hY2Nlc3Npb24tbnVtPjx1cmxzPjxyZWxhdGVkLXVybHM+PHVybD5odHRw
czovL3d3dy5uY2JpLm5sbS5uaWguZ292L3B1Ym1lZC8yMjgyNTA4OTwvdXJsPjwvcmVsYXRlZC11
cmxzPjwvdXJscz48ZWxlY3Ryb25pYy1yZXNvdXJjZS1udW0+MTAuMTA5Ny9BT0cuMGIwMTNlMzE4
MjVkZTU5MjwvZWxlY3Ryb25pYy1yZXNvdXJjZS1udW0+PC9yZWNvcmQ+PC9DaXRlPjxDaXRlPjxB
dXRob3I+TmFzY2ltZW50bzwvQXV0aG9yPjxZZWFyPjIwMTE8L1llYXI+PFJlY051bT4xMDQwPC9S
ZWNOdW0+PHJlY29yZD48cmVjLW51bWJlcj4xMDQwPC9yZWMtbnVtYmVyPjxmb3JlaWduLWtleXM+
PGtleSBhcHA9IkVOIiBkYi1pZD0iZXh2YXNyZngyZHRyYW9lc2FzeHAyc3pzeGEyZGY1MDI1OTJ4
IiB0aW1lc3RhbXA9IjE1NDg5ODM0NzYiPjEwNDA8L2tleT48L2ZvcmVpZ24ta2V5cz48cmVmLXR5
cGUgbmFtZT0iSm91cm5hbCBBcnRpY2xlIj4xNzwvcmVmLXR5cGU+PGNvbnRyaWJ1dG9ycz48YXV0
aG9ycz48YXV0aG9yPk5hc2NpbWVudG8sIFMuIEwuPC9hdXRob3I+PGF1dGhvcj5TdXJpdGEsIEYu
IEcuPC9hdXRob3I+PGF1dGhvcj5QYXJwaW5lbGxpLCBNw4I8L2F1dGhvcj48YXV0aG9yPlNpYW5p
LCBTLjwvYXV0aG9yPjxhdXRob3I+UGludG8gZSBTaWx2YSwgSi4gTC48L2F1dGhvcj48L2F1dGhv
cnM+PC9jb250cmlidXRvcnM+PHRpdGxlcz48dGl0bGU+VGhlIGVmZmVjdCBvZiBhbiBhbnRlbmF0
YWwgcGh5c2ljYWwgZXhlcmNpc2UgcHJvZ3JhbW1lIG9uIG1hdGVybmFsL3BlcmluYXRhbCBvdXRj
b21lcyBhbmQgcXVhbGl0eSBvZiBsaWZlIGluIG92ZXJ3ZWlnaHQgYW5kIG9iZXNlIHByZWduYW50
IHdvbWVuOiBhIHJhbmRvbWlzZWQgY2xpbmljYWwgdHJpYWw8L3RpdGxlPjxzZWNvbmRhcnktdGl0
bGU+QkpPRzogQW4gSW50ZXJuYXRpb25hbCBKb3VybmFsIG9mIE9ic3RldHJpY3MgJmFtcDsgR3lu
YWVjb2xvZ3k8L3NlY29uZGFyeS10aXRsZT48L3RpdGxlcz48cGVyaW9kaWNhbD48ZnVsbC10aXRs
ZT5CSk9HOiBBbiBJbnRlcm5hdGlvbmFsIEpvdXJuYWwgb2YgT2JzdGV0cmljcyAmYW1wOyBHeW5h
ZWNvbG9neTwvZnVsbC10aXRsZT48L3BlcmlvZGljYWw+PHBhZ2VzPjE0NTUtMTQ2MzwvcGFnZXM+
PHZvbHVtZT4xMTg8L3ZvbHVtZT48bnVtYmVyPjEyPC9udW1iZXI+PHNlY3Rpb24+MTQ1NTwvc2Vj
dGlvbj48ZGF0ZXM+PHllYXI+MjAxMTwveWVhcj48L2RhdGVzPjxpc2JuPjE0NzAwMzI4PC9pc2Ju
Pjx1cmxzPjwvdXJscz48ZWxlY3Ryb25pYy1yZXNvdXJjZS1udW0+MTAuMTExMS9qLjE0NzEtMDUy
OC4yMDExLjAzMDg0Lng8L2VsZWN0cm9uaWMtcmVzb3VyY2UtbnVtPjwvcmVjb3JkPjwvQ2l0ZT48
L0VuZE5vdGU+AG==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270,292,432,437</w:t>
      </w:r>
      <w:r>
        <w:rPr>
          <w:noProof/>
          <w:sz w:val="16"/>
          <w:szCs w:val="16"/>
        </w:rPr>
        <w:fldChar w:fldCharType="end"/>
      </w:r>
      <w:r w:rsidRPr="00B04565">
        <w:t xml:space="preserve"> Canada (n=1),</w:t>
      </w:r>
      <w:r>
        <w:rPr>
          <w:sz w:val="16"/>
          <w:szCs w:val="16"/>
        </w:rPr>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269</w:t>
      </w:r>
      <w:r>
        <w:rPr>
          <w:sz w:val="16"/>
          <w:szCs w:val="16"/>
        </w:rPr>
        <w:fldChar w:fldCharType="end"/>
      </w:r>
      <w:r w:rsidRPr="00B04565">
        <w:t xml:space="preserve"> China (n=1),</w:t>
      </w:r>
      <w:r>
        <w:rPr>
          <w:sz w:val="16"/>
          <w:szCs w:val="16"/>
        </w:rPr>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rPr>
          <w:sz w:val="16"/>
          <w:szCs w:val="16"/>
        </w:rPr>
        <w:instrText xml:space="preserve"> ADDIN EN.CITE </w:instrText>
      </w:r>
      <w:r w:rsidR="002747EA">
        <w:rPr>
          <w:sz w:val="16"/>
          <w:szCs w:val="16"/>
        </w:rPr>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452</w:t>
      </w:r>
      <w:r>
        <w:rPr>
          <w:sz w:val="16"/>
          <w:szCs w:val="16"/>
        </w:rPr>
        <w:fldChar w:fldCharType="end"/>
      </w:r>
      <w:r w:rsidRPr="00B04565">
        <w:t xml:space="preserve"> Colombia (n=1),</w:t>
      </w:r>
      <w:r>
        <w:rPr>
          <w:sz w:val="16"/>
          <w:szCs w:val="16"/>
        </w:rPr>
        <w:fldChar w:fldCharType="begin">
          <w:fldData xml:space="preserve">PEVuZE5vdGU+PENpdGU+PEF1dGhvcj5QaW56b248L0F1dGhvcj48WWVhcj4yMDEyPC9ZZWFyPjxS
ZWNOdW0+MTA0NzwvUmVjTnVtPjxEaXNwbGF5VGV4dD48c3R5bGUgZmFjZT0ic3VwZXJzY3JpcHQi
IGZvbnQ9IlRyZWJ1Y2hldCBNUyIgc2l6ZT0iOSI+NDQxPC9zdHlsZT48L0Rpc3BsYXlUZXh0Pjxy
ZWNvcmQ+PHJlYy1udW1iZXI+MTA0NzwvcmVjLW51bWJlcj48Zm9yZWlnbi1rZXlzPjxrZXkgYXBw
PSJFTiIgZGItaWQ9ImV4dmFzcmZ4MmR0cmFvZXNhc3hwMnN6c3hhMmRmNTAyNTkyeCIgdGltZXN0
YW1wPSIxNTQ4OTgzNDc2Ij4xMDQ3PC9rZXk+PC9mb3JlaWduLWtleXM+PHJlZi10eXBlIG5hbWU9
IkpvdXJuYWwgQXJ0aWNsZSI+MTc8L3JlZi10eXBlPjxjb250cmlidXRvcnM+PGF1dGhvcnM+PGF1
dGhvcj5QaW56b24sIEQuIEMuPC9hdXRob3I+PGF1dGhvcj5aYW1vcmEsIEsuPC9hdXRob3I+PGF1
dGhvcj5NYXJ0aW5leiwgSi4gSC48L2F1dGhvcj48YXV0aG9yPkZsb3Jlei1Mb3BleiwgTS4gRS48
L2F1dGhvcj48YXV0aG9yPmRlIFBsYXRhLCBBLiBDLjwvYXV0aG9yPjxhdXRob3I+TW9zcXVlcmEs
IE0uPC9hdXRob3I+PGF1dGhvcj5SYW1pcmV6LVZlbGV6LCBSLjwvYXV0aG9yPjwvYXV0aG9ycz48
L2NvbnRyaWJ1dG9ycz48YXV0aC1hZGRyZXNzPlByb2dyYW1hIGRlIEZpc2lvdGVyYXBpYSwgRnVu
ZGFjaW9uIFVuaXZlcnNpdGFyaWEgTWFyaWEgQ2FubywgQ2FsaSwgQ29sb21iaWEuJiN4RDtGYWN1
bHRhZCBkZSBFbmZlcm1lcmlhIHkgUmVoYWJpbGl0YWNpb24sIFVuaXZlcnNpZGFkIGRlIGxhIFNh
YmFuYSwgQ2hpYSwgQ29sb21iaWEuJiN4RDtHcnVwbyBkZSBOdXRyaWNpb24sIERlcGFydGFtZW50
byBkZSBDaWVuY2lhcyBGaXNpb2xvZ2ljYXMsIEVzY3VlbGEgZGUgQ2llbmNpYXMgQmFzaWNhcywg
VW5pdmVyc2lkYWQgZGVsIFZhbGxlLCBDYWxpLCBDb2xvbWJpYS4mI3hEO0dydXBvIEdJQ0FFRFMs
IEZhY3VsdGFkIGRlIEN1bHR1cmEgRmlzaWNhLCBEZXBvcnRlIHkgUmVjcmVhY2lvbiwgVW5pdmVy
c2lkYWQgU2FudG9vIFRvbWFzLjwvYXV0aC1hZGRyZXNzPjx0aXRsZXM+PHRpdGxlPlR5cGUgb2Yg
ZGVsaXZlcnkgYW5kIGdlc3RhdGlvbmFsIGFnZSBpcyBub3QgYWZmZWN0ZWQgYnkgcHJlZ25hbnQg
TGF0aW4tQW1lcmljYW4gd29tZW4gZW5nYWdpbmcgaW4gdmlnb3JvdXMgZXhlcmNpc2U6IGEgc2Vj
b25kYXJ5IGFuYWx5c2lzIG9mIGRhdGEgZnJvbSBhIGNvbnRyb2xsZWQgcmFuZG9taXplZCB0cmlh
bDwvdGl0bGU+PHNlY29uZGFyeS10aXRsZT5SZXYgU2FsdWQgUHVibGljYSAoQm9nb3RhKTwvc2Vj
b25kYXJ5LXRpdGxlPjwvdGl0bGVzPjxwZXJpb2RpY2FsPjxmdWxsLXRpdGxlPlJldiBTYWx1ZCBQ
dWJsaWNhIChCb2dvdGEpPC9mdWxsLXRpdGxlPjwvcGVyaW9kaWNhbD48cGFnZXM+NzMxLTQzPC9w
YWdlcz48dm9sdW1lPjE0PC92b2x1bWU+PG51bWJlcj41PC9udW1iZXI+PGVkaXRpb24+MjAxMi8x
MC8wMTwvZWRpdGlvbj48a2V5d29yZHM+PGtleXdvcmQ+QWR1bHQ8L2tleXdvcmQ+PGtleXdvcmQ+
QW50aHJvcG9tZXRyeTwva2V5d29yZD48a2V5d29yZD5BcGdhciBTY29yZTwva2V5d29yZD48a2V5
d29yZD5CaXJ0aCBXZWlnaHQ8L2tleXdvcmQ+PGtleXdvcmQ+Qmxvb2QgUHJlc3N1cmU8L2tleXdv
cmQ+PGtleXdvcmQ+Qm9keSBXZWlnaHQ8L2tleXdvcmQ+PGtleXdvcmQ+Q29sb21iaWE8L2tleXdv
cmQ+PGtleXdvcmQ+RGVsaXZlcnksIE9ic3RldHJpYy8qc3RhdGlzdGljcyAmYW1wOyBudW1lcmlj
YWwgZGF0YTwva2V5d29yZD48a2V5d29yZD4qRXhlcmNpc2U8L2tleXdvcmQ+PGtleXdvcmQ+RmVt
YWxlPC9rZXl3b3JkPjxrZXl3b3JkPipHZXN0YXRpb25hbCBBZ2U8L2tleXdvcmQ+PGtleXdvcmQ+
SG9zcGl0YWxzLCBNYXRlcm5pdHk8L2tleXdvcmQ+PGtleXdvcmQ+SHVtYW5zPC9rZXl3b3JkPjxr
ZXl3b3JkPkluZmFudCwgTmV3Ym9ybjwva2V5d29yZD48a2V5d29yZD5QcmVnbmFuY3kvKnBoeXNp
b2xvZ3k8L2tleXdvcmQ+PGtleXdvcmQ+UHJlZ25hbmN5IE91dGNvbWU8L2tleXdvcmQ+PGtleXdv
cmQ+UHJlbmF0YWwgQ2FyZTwva2V5d29yZD48a2V5d29yZD5SYW5kb21pemVkIENvbnRyb2xsZWQg
VHJpYWxzIGFzIFRvcGljPC9rZXl3b3JkPjxrZXl3b3JkPlNvY2lvZWNvbm9taWMgRmFjdG9yczwv
a2V5d29yZD48a2V5d29yZD5UZXJ0aWFyeSBDYXJlIENlbnRlcnM8L2tleXdvcmQ+PGtleXdvcmQ+
V2VpZ2h0IEdhaW48L2tleXdvcmQ+PGtleXdvcmQ+WW91bmcgQWR1bHQ8L2tleXdvcmQ+PC9rZXl3
b3Jkcz48ZGF0ZXM+PHllYXI+MjAxMjwveWVhcj48cHViLWRhdGVzPjxkYXRlPk9jdDwvZGF0ZT48
L3B1Yi1kYXRlcz48L2RhdGVzPjxpc2JuPjAxMjQtMDA2NCAoUHJpbnQpJiN4RDswMTI0LTAwNjQg
KExpbmtpbmcpPC9pc2JuPjxhY2Nlc3Npb24tbnVtPjI0NjUyMzUzPC9hY2Nlc3Npb24tbnVtPjx1
cmxzPjxyZWxhdGVkLXVybHM+PHVybD5odHRwczovL3d3dy5uY2JpLm5sbS5uaWguZ292L3B1Ym1l
ZC8yNDY1MjM1MzwvdXJsPjwvcmVsYXRlZC11cmxzPjwvdXJscz48L3JlY29yZD48L0NpdGU+PC9F
bmROb3RlPn==
</w:fldData>
        </w:fldChar>
      </w:r>
      <w:r w:rsidR="002747EA">
        <w:rPr>
          <w:sz w:val="16"/>
          <w:szCs w:val="16"/>
        </w:rPr>
        <w:instrText xml:space="preserve"> ADDIN EN.CITE </w:instrText>
      </w:r>
      <w:r w:rsidR="002747EA">
        <w:rPr>
          <w:sz w:val="16"/>
          <w:szCs w:val="16"/>
        </w:rPr>
        <w:fldChar w:fldCharType="begin">
          <w:fldData xml:space="preserve">PEVuZE5vdGU+PENpdGU+PEF1dGhvcj5QaW56b248L0F1dGhvcj48WWVhcj4yMDEyPC9ZZWFyPjxS
ZWNOdW0+MTA0NzwvUmVjTnVtPjxEaXNwbGF5VGV4dD48c3R5bGUgZmFjZT0ic3VwZXJzY3JpcHQi
IGZvbnQ9IlRyZWJ1Y2hldCBNUyIgc2l6ZT0iOSI+NDQxPC9zdHlsZT48L0Rpc3BsYXlUZXh0Pjxy
ZWNvcmQ+PHJlYy1udW1iZXI+MTA0NzwvcmVjLW51bWJlcj48Zm9yZWlnbi1rZXlzPjxrZXkgYXBw
PSJFTiIgZGItaWQ9ImV4dmFzcmZ4MmR0cmFvZXNhc3hwMnN6c3hhMmRmNTAyNTkyeCIgdGltZXN0
YW1wPSIxNTQ4OTgzNDc2Ij4xMDQ3PC9rZXk+PC9mb3JlaWduLWtleXM+PHJlZi10eXBlIG5hbWU9
IkpvdXJuYWwgQXJ0aWNsZSI+MTc8L3JlZi10eXBlPjxjb250cmlidXRvcnM+PGF1dGhvcnM+PGF1
dGhvcj5QaW56b24sIEQuIEMuPC9hdXRob3I+PGF1dGhvcj5aYW1vcmEsIEsuPC9hdXRob3I+PGF1
dGhvcj5NYXJ0aW5leiwgSi4gSC48L2F1dGhvcj48YXV0aG9yPkZsb3Jlei1Mb3BleiwgTS4gRS48
L2F1dGhvcj48YXV0aG9yPmRlIFBsYXRhLCBBLiBDLjwvYXV0aG9yPjxhdXRob3I+TW9zcXVlcmEs
IE0uPC9hdXRob3I+PGF1dGhvcj5SYW1pcmV6LVZlbGV6LCBSLjwvYXV0aG9yPjwvYXV0aG9ycz48
L2NvbnRyaWJ1dG9ycz48YXV0aC1hZGRyZXNzPlByb2dyYW1hIGRlIEZpc2lvdGVyYXBpYSwgRnVu
ZGFjaW9uIFVuaXZlcnNpdGFyaWEgTWFyaWEgQ2FubywgQ2FsaSwgQ29sb21iaWEuJiN4RDtGYWN1
bHRhZCBkZSBFbmZlcm1lcmlhIHkgUmVoYWJpbGl0YWNpb24sIFVuaXZlcnNpZGFkIGRlIGxhIFNh
YmFuYSwgQ2hpYSwgQ29sb21iaWEuJiN4RDtHcnVwbyBkZSBOdXRyaWNpb24sIERlcGFydGFtZW50
byBkZSBDaWVuY2lhcyBGaXNpb2xvZ2ljYXMsIEVzY3VlbGEgZGUgQ2llbmNpYXMgQmFzaWNhcywg
VW5pdmVyc2lkYWQgZGVsIFZhbGxlLCBDYWxpLCBDb2xvbWJpYS4mI3hEO0dydXBvIEdJQ0FFRFMs
IEZhY3VsdGFkIGRlIEN1bHR1cmEgRmlzaWNhLCBEZXBvcnRlIHkgUmVjcmVhY2lvbiwgVW5pdmVy
c2lkYWQgU2FudG9vIFRvbWFzLjwvYXV0aC1hZGRyZXNzPjx0aXRsZXM+PHRpdGxlPlR5cGUgb2Yg
ZGVsaXZlcnkgYW5kIGdlc3RhdGlvbmFsIGFnZSBpcyBub3QgYWZmZWN0ZWQgYnkgcHJlZ25hbnQg
TGF0aW4tQW1lcmljYW4gd29tZW4gZW5nYWdpbmcgaW4gdmlnb3JvdXMgZXhlcmNpc2U6IGEgc2Vj
b25kYXJ5IGFuYWx5c2lzIG9mIGRhdGEgZnJvbSBhIGNvbnRyb2xsZWQgcmFuZG9taXplZCB0cmlh
bDwvdGl0bGU+PHNlY29uZGFyeS10aXRsZT5SZXYgU2FsdWQgUHVibGljYSAoQm9nb3RhKTwvc2Vj
b25kYXJ5LXRpdGxlPjwvdGl0bGVzPjxwZXJpb2RpY2FsPjxmdWxsLXRpdGxlPlJldiBTYWx1ZCBQ
dWJsaWNhIChCb2dvdGEpPC9mdWxsLXRpdGxlPjwvcGVyaW9kaWNhbD48cGFnZXM+NzMxLTQzPC9w
YWdlcz48dm9sdW1lPjE0PC92b2x1bWU+PG51bWJlcj41PC9udW1iZXI+PGVkaXRpb24+MjAxMi8x
MC8wMTwvZWRpdGlvbj48a2V5d29yZHM+PGtleXdvcmQ+QWR1bHQ8L2tleXdvcmQ+PGtleXdvcmQ+
QW50aHJvcG9tZXRyeTwva2V5d29yZD48a2V5d29yZD5BcGdhciBTY29yZTwva2V5d29yZD48a2V5
d29yZD5CaXJ0aCBXZWlnaHQ8L2tleXdvcmQ+PGtleXdvcmQ+Qmxvb2QgUHJlc3N1cmU8L2tleXdv
cmQ+PGtleXdvcmQ+Qm9keSBXZWlnaHQ8L2tleXdvcmQ+PGtleXdvcmQ+Q29sb21iaWE8L2tleXdv
cmQ+PGtleXdvcmQ+RGVsaXZlcnksIE9ic3RldHJpYy8qc3RhdGlzdGljcyAmYW1wOyBudW1lcmlj
YWwgZGF0YTwva2V5d29yZD48a2V5d29yZD4qRXhlcmNpc2U8L2tleXdvcmQ+PGtleXdvcmQ+RmVt
YWxlPC9rZXl3b3JkPjxrZXl3b3JkPipHZXN0YXRpb25hbCBBZ2U8L2tleXdvcmQ+PGtleXdvcmQ+
SG9zcGl0YWxzLCBNYXRlcm5pdHk8L2tleXdvcmQ+PGtleXdvcmQ+SHVtYW5zPC9rZXl3b3JkPjxr
ZXl3b3JkPkluZmFudCwgTmV3Ym9ybjwva2V5d29yZD48a2V5d29yZD5QcmVnbmFuY3kvKnBoeXNp
b2xvZ3k8L2tleXdvcmQ+PGtleXdvcmQ+UHJlZ25hbmN5IE91dGNvbWU8L2tleXdvcmQ+PGtleXdv
cmQ+UHJlbmF0YWwgQ2FyZTwva2V5d29yZD48a2V5d29yZD5SYW5kb21pemVkIENvbnRyb2xsZWQg
VHJpYWxzIGFzIFRvcGljPC9rZXl3b3JkPjxrZXl3b3JkPlNvY2lvZWNvbm9taWMgRmFjdG9yczwv
a2V5d29yZD48a2V5d29yZD5UZXJ0aWFyeSBDYXJlIENlbnRlcnM8L2tleXdvcmQ+PGtleXdvcmQ+
V2VpZ2h0IEdhaW48L2tleXdvcmQ+PGtleXdvcmQ+WW91bmcgQWR1bHQ8L2tleXdvcmQ+PC9rZXl3
b3Jkcz48ZGF0ZXM+PHllYXI+MjAxMjwveWVhcj48cHViLWRhdGVzPjxkYXRlPk9jdDwvZGF0ZT48
L3B1Yi1kYXRlcz48L2RhdGVzPjxpc2JuPjAxMjQtMDA2NCAoUHJpbnQpJiN4RDswMTI0LTAwNjQg
KExpbmtpbmcpPC9pc2JuPjxhY2Nlc3Npb24tbnVtPjI0NjUyMzUzPC9hY2Nlc3Npb24tbnVtPjx1
cmxzPjxyZWxhdGVkLXVybHM+PHVybD5odHRwczovL3d3dy5uY2JpLm5sbS5uaWguZ292L3B1Ym1l
ZC8yNDY1MjM1MzwvdXJsPjwvcmVsYXRlZC11cmxzPjwvdXJscz48L3JlY29yZD48L0NpdGU+PC9F
bmROb3RlPn==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441</w:t>
      </w:r>
      <w:r>
        <w:rPr>
          <w:sz w:val="16"/>
          <w:szCs w:val="16"/>
        </w:rPr>
        <w:fldChar w:fldCharType="end"/>
      </w:r>
      <w:r w:rsidRPr="00B04565">
        <w:t xml:space="preserve"> Denmark (n=1),</w:t>
      </w:r>
      <w:r>
        <w:rPr>
          <w:sz w:val="16"/>
          <w:szCs w:val="16"/>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451</w:t>
      </w:r>
      <w:r>
        <w:rPr>
          <w:sz w:val="16"/>
          <w:szCs w:val="16"/>
        </w:rPr>
        <w:fldChar w:fldCharType="end"/>
      </w:r>
      <w:r w:rsidRPr="00B04565">
        <w:t xml:space="preserve"> Iran (n=1),</w:t>
      </w:r>
      <w:r>
        <w:rPr>
          <w:sz w:val="16"/>
          <w:szCs w:val="16"/>
        </w:rPr>
        <w:fldChar w:fldCharType="begin"/>
      </w:r>
      <w:r w:rsidR="002747EA">
        <w:rPr>
          <w:sz w:val="16"/>
          <w:szCs w:val="16"/>
        </w:rPr>
        <w:instrText xml:space="preserve"> ADDIN EN.CITE &lt;EndNote&gt;&lt;Cite&gt;&lt;Author&gt;Garshasbi&lt;/Author&gt;&lt;Year&gt;2005&lt;/Year&gt;&lt;RecNum&gt;689&lt;/RecNum&gt;&lt;DisplayText&gt;&lt;style face="superscript" font="Trebuchet MS" size="9"&gt;434&lt;/style&gt;&lt;/DisplayText&gt;&lt;record&gt;&lt;rec-number&gt;689&lt;/rec-number&gt;&lt;foreign-keys&gt;&lt;key app="EN" db-id="exvasrfx2dtraoesasxp2szsxa2df502592x" timestamp="1540527420"&gt;689&lt;/key&gt;&lt;/foreign-keys&gt;&lt;ref-type name="Journal Article"&gt;17&lt;/ref-type&gt;&lt;contributors&gt;&lt;authors&gt;&lt;author&gt;Garshasbi, A.&lt;/author&gt;&lt;author&gt;Faghih Zadeh, S.&lt;/author&gt;&lt;/authors&gt;&lt;/contributors&gt;&lt;auth-address&gt;Department of Obstetrics and Gynecology, Shahed University, Faculty of Medicine, 1481973411 Tehran, Iran. agarshasbi@obgyn.net&lt;/auth-address&gt;&lt;titles&gt;&lt;title&gt;The effect of exercise on the intensity of low back pain in pregnant women&lt;/title&gt;&lt;secondary-title&gt;Int J Gynaecol Obstet&lt;/secondary-title&gt;&lt;/titles&gt;&lt;periodical&gt;&lt;full-title&gt;Int J Gynaecol Obstet&lt;/full-title&gt;&lt;/periodical&gt;&lt;pages&gt;271-5&lt;/pages&gt;&lt;volume&gt;88&lt;/volume&gt;&lt;number&gt;3&lt;/number&gt;&lt;edition&gt;2005/03/01&lt;/edition&gt;&lt;keywords&gt;&lt;keyword&gt;Biomechanical Phenomena&lt;/keyword&gt;&lt;keyword&gt;*Exercise Therapy&lt;/keyword&gt;&lt;keyword&gt;Female&lt;/keyword&gt;&lt;keyword&gt;Humans&lt;/keyword&gt;&lt;keyword&gt;Low Back Pain/physiopathology/*prevention &amp;amp; control&lt;/keyword&gt;&lt;keyword&gt;Pregnancy&lt;/keyword&gt;&lt;keyword&gt;Pregnancy Complications/*prevention &amp;amp; control&lt;/keyword&gt;&lt;keyword&gt;Pregnancy Trimester, Second&lt;/keyword&gt;&lt;keyword&gt;Pregnancy Trimester, Third&lt;/keyword&gt;&lt;keyword&gt;Prospective Studies&lt;/keyword&gt;&lt;keyword&gt;Spine/physiopathology&lt;/keyword&gt;&lt;/keywords&gt;&lt;dates&gt;&lt;year&gt;2005&lt;/year&gt;&lt;pub-dates&gt;&lt;date&gt;Mar&lt;/date&gt;&lt;/pub-dates&gt;&lt;/dates&gt;&lt;isbn&gt;0020-7292 (Print)&amp;#xD;0020-7292 (Linking)&lt;/isbn&gt;&lt;accession-num&gt;15733880&lt;/accession-num&gt;&lt;urls&gt;&lt;related-urls&gt;&lt;url&gt;https://www.ncbi.nlm.nih.gov/pubmed/15733880&lt;/url&gt;&lt;/related-urls&gt;&lt;/urls&gt;&lt;electronic-resource-num&gt;10.1016/j.ijgo.2004.12.001&lt;/electronic-resource-num&gt;&lt;/record&gt;&lt;/Cite&gt;&lt;/EndNote&gt;</w:instrText>
      </w:r>
      <w:r>
        <w:rPr>
          <w:sz w:val="16"/>
          <w:szCs w:val="16"/>
        </w:rPr>
        <w:fldChar w:fldCharType="separate"/>
      </w:r>
      <w:r w:rsidR="002747EA" w:rsidRPr="002747EA">
        <w:rPr>
          <w:noProof/>
          <w:szCs w:val="16"/>
          <w:vertAlign w:val="superscript"/>
        </w:rPr>
        <w:t>434</w:t>
      </w:r>
      <w:r>
        <w:rPr>
          <w:sz w:val="16"/>
          <w:szCs w:val="16"/>
        </w:rPr>
        <w:fldChar w:fldCharType="end"/>
      </w:r>
      <w:r w:rsidRPr="00B04565">
        <w:t xml:space="preserve"> Japan (n=1),</w:t>
      </w:r>
      <w:r>
        <w:rPr>
          <w:sz w:val="16"/>
          <w:szCs w:val="16"/>
        </w:rPr>
        <w:fldChar w:fldCharType="begin"/>
      </w:r>
      <w:r w:rsidR="002747EA">
        <w:rPr>
          <w:sz w:val="16"/>
          <w:szCs w:val="16"/>
        </w:rPr>
        <w:instrText xml:space="preserve"> ADDIN EN.CITE &lt;EndNote&gt;&lt;Cite&gt;&lt;Author&gt;Taniguchi&lt;/Author&gt;&lt;Year&gt;2016&lt;/Year&gt;&lt;RecNum&gt;911&lt;/RecNum&gt;&lt;DisplayText&gt;&lt;style face="superscript" font="Trebuchet MS" size="9"&gt;299&lt;/style&gt;&lt;/DisplayText&gt;&lt;record&gt;&lt;rec-number&gt;911&lt;/rec-number&gt;&lt;foreign-keys&gt;&lt;key app="EN" db-id="exvasrfx2dtraoesasxp2szsxa2df502592x" timestamp="1541540861"&gt;911&lt;/key&gt;&lt;key app="ENWeb" db-id=""&gt;0&lt;/key&gt;&lt;/foreign-keys&gt;&lt;ref-type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Pract&lt;/secondary-title&gt;&lt;/titles&gt;&lt;periodical&gt;&lt;full-title&gt;Int J Nurs Pract&lt;/full-title&gt;&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electronic-resource-num&gt;10.1111/ijn.12453&lt;/electronic-resource-num&gt;&lt;/record&gt;&lt;/Cite&gt;&lt;/EndNote&gt;</w:instrText>
      </w:r>
      <w:r>
        <w:rPr>
          <w:sz w:val="16"/>
          <w:szCs w:val="16"/>
        </w:rPr>
        <w:fldChar w:fldCharType="separate"/>
      </w:r>
      <w:r w:rsidR="002747EA" w:rsidRPr="002747EA">
        <w:rPr>
          <w:noProof/>
          <w:szCs w:val="16"/>
          <w:vertAlign w:val="superscript"/>
        </w:rPr>
        <w:t>299</w:t>
      </w:r>
      <w:r>
        <w:rPr>
          <w:sz w:val="16"/>
          <w:szCs w:val="16"/>
        </w:rPr>
        <w:fldChar w:fldCharType="end"/>
      </w:r>
      <w:r w:rsidRPr="00B04565">
        <w:t xml:space="preserve"> Kosovo (n=1),</w:t>
      </w:r>
      <w:r>
        <w:rPr>
          <w:sz w:val="16"/>
          <w:szCs w:val="16"/>
        </w:rPr>
        <w:fldChar w:fldCharType="begin"/>
      </w:r>
      <w:r w:rsidR="002747EA">
        <w:rPr>
          <w:sz w:val="16"/>
          <w:szCs w:val="16"/>
        </w:rPr>
        <w:instrText xml:space="preserve"> ADDIN EN.CITE &lt;EndNote&gt;&lt;Cite&gt;&lt;Author&gt;Murtezani&lt;/Author&gt;&lt;Year&gt;2014&lt;/Year&gt;&lt;RecNum&gt;699&lt;/RecNum&gt;&lt;DisplayText&gt;&lt;style face="superscript" font="Trebuchet MS" size="9"&gt;436&lt;/style&gt;&lt;/DisplayText&gt;&lt;record&gt;&lt;rec-number&gt;699&lt;/rec-number&gt;&lt;foreign-keys&gt;&lt;key app="EN" db-id="exvasrfx2dtraoesasxp2szsxa2df502592x" timestamp="1540530361"&gt;699&lt;/key&gt;&lt;/foreign-keys&gt;&lt;ref-type name="Journal Article"&gt;17&lt;/ref-type&gt;&lt;contributors&gt;&lt;authors&gt;&lt;author&gt;Murtezani, A.&lt;/author&gt;&lt;author&gt;Pacarada, M.&lt;/author&gt;&lt;author&gt;Ibraimi, Z.&lt;/author&gt;&lt;author&gt;Nevzati, A.&lt;/author&gt;&lt;author&gt;Abazi, N.&lt;/author&gt;&lt;/authors&gt;&lt;/contributors&gt;&lt;auth-address&gt;Physical Medicine and Rehabilitation Clinic University Clinical Center of Kosovo Prishtina, Republic of Kosovo - ardianaa@yahoo.com.&lt;/auth-address&gt;&lt;titles&gt;&lt;title&gt;The impact of exercise during pregnancy on neonatal outcomes: a randomized controlled trial&lt;/title&gt;&lt;secondary-title&gt;J Sports Med Phys Fitness&lt;/secondary-title&gt;&lt;/titles&gt;&lt;periodical&gt;&lt;full-title&gt;J Sports Med Phys Fitness&lt;/full-title&gt;&lt;/periodical&gt;&lt;pages&gt;802-8&lt;/pages&gt;&lt;volume&gt;54&lt;/volume&gt;&lt;number&gt;6&lt;/number&gt;&lt;edition&gt;2014/10/29&lt;/edition&gt;&lt;keywords&gt;&lt;keyword&gt;Adult&lt;/keyword&gt;&lt;keyword&gt;Apgar Score&lt;/keyword&gt;&lt;keyword&gt;Birth Weight&lt;/keyword&gt;&lt;keyword&gt;Exercise/*physiology&lt;/keyword&gt;&lt;keyword&gt;Female&lt;/keyword&gt;&lt;keyword&gt;Gestational Age&lt;/keyword&gt;&lt;keyword&gt;Humans&lt;/keyword&gt;&lt;keyword&gt;Infant, Newborn/*growth &amp;amp; development&lt;/keyword&gt;&lt;keyword&gt;Male&lt;/keyword&gt;&lt;keyword&gt;Pregnancy/*physiology&lt;/keyword&gt;&lt;keyword&gt;Resistance Training&lt;/keyword&gt;&lt;keyword&gt;Young Adult&lt;/keyword&gt;&lt;/keywords&gt;&lt;dates&gt;&lt;year&gt;2014&lt;/year&gt;&lt;pub-dates&gt;&lt;date&gt;Dec&lt;/date&gt;&lt;/pub-dates&gt;&lt;/dates&gt;&lt;isbn&gt;0022-4707 (Print)&amp;#xD;0022-4707 (Linking)&lt;/isbn&gt;&lt;accession-num&gt;25350037&lt;/accession-num&gt;&lt;urls&gt;&lt;related-urls&gt;&lt;url&gt;https://www.ncbi.nlm.nih.gov/pubmed/25350037&lt;/url&gt;&lt;/related-urls&gt;&lt;/urls&gt;&lt;/record&gt;&lt;/Cite&gt;&lt;/EndNote&gt;</w:instrText>
      </w:r>
      <w:r>
        <w:rPr>
          <w:sz w:val="16"/>
          <w:szCs w:val="16"/>
        </w:rPr>
        <w:fldChar w:fldCharType="separate"/>
      </w:r>
      <w:r w:rsidR="002747EA" w:rsidRPr="002747EA">
        <w:rPr>
          <w:noProof/>
          <w:szCs w:val="16"/>
          <w:vertAlign w:val="superscript"/>
        </w:rPr>
        <w:t>436</w:t>
      </w:r>
      <w:r>
        <w:rPr>
          <w:sz w:val="16"/>
          <w:szCs w:val="16"/>
        </w:rPr>
        <w:fldChar w:fldCharType="end"/>
      </w:r>
      <w:r w:rsidRPr="00B04565">
        <w:t xml:space="preserve"> the Netherlands (n=1),</w:t>
      </w:r>
      <w:r>
        <w:rPr>
          <w:sz w:val="16"/>
          <w:szCs w:val="16"/>
        </w:rPr>
        <w:fldChar w:fldCharType="begin">
          <w:fldData xml:space="preserve">PEVuZE5vdGU+PENpdGU+PEF1dGhvcj5Pb3N0ZGFtPC9BdXRob3I+PFllYXI+MjAxMjwvWWVhcj48
UmVjTnVtPjYxMDwvUmVjTnVtPjxEaXNwbGF5VGV4dD48c3R5bGUgZmFjZT0ic3VwZXJzY3JpcHQi
IGZvbnQ9IlRyZWJ1Y2hldCBNUyIgc2l6ZT0iOSI+NDM4PC9zdHlsZT48L0Rpc3BsYXlUZXh0Pjxy
ZWNvcmQ+PHJlYy1udW1iZXI+NjEwPC9yZWMtbnVtYmVyPjxmb3JlaWduLWtleXM+PGtleSBhcHA9
IkVOIiBkYi1pZD0iZXh2YXNyZngyZHRyYW9lc2FzeHAyc3pzeGEyZGY1MDI1OTJ4IiB0aW1lc3Rh
bXA9IjE1MzkwNDgzNDUiPjYxMDwva2V5PjxrZXkgYXBwPSJFTldlYiIgZGItaWQ9IiI+MDwva2V5
PjwvZm9yZWlnbi1rZXlzPjxyZWYtdHlwZSBuYW1lPSJKb3VybmFsIEFydGljbGUiPjE3PC9yZWYt
dHlwZT48Y29udHJpYnV0b3JzPjxhdXRob3JzPjxhdXRob3I+T29zdGRhbSwgTi48L2F1dGhvcj48
YXV0aG9yPnZhbiBQb3BwZWwsIE0uIE4uPC9hdXRob3I+PGF1dGhvcj5Xb3V0ZXJzLCBNLiBHLjwv
YXV0aG9yPjxhdXRob3I+RWVraG9mZiwgRS4gTS48L2F1dGhvcj48YXV0aG9yPkJla2VkYW0sIEQu
IEouPC9hdXRob3I+PGF1dGhvcj5LdWNoZW5iZWNrZXIsIFcuIEsuPC9hdXRob3I+PGF1dGhvcj5R
dWFydGVybywgSC4gVy48L2F1dGhvcj48YXV0aG9yPkhlcmVzLCBNLiBILjwvYXV0aG9yPjxhdXRo
b3I+dmFuIE1lY2hlbGVuLCBXLjwvYXV0aG9yPjwvYXV0aG9ycz48L2NvbnRyaWJ1dG9ycz48YXV0
aC1hZGRyZXNzPkRlcGFydG1lbnQgb2YgUHVibGljIGFuZCBPY2N1cGF0aW9uYWwgSGVhbHRoLCBF
TUdPKyBJbnN0aXR1dGUgZm9yIEhlYWx0aCBhbmQgQ2FyZSBSZXNlYXJjaCwgVlUgVW5pdmVyc2l0
eSBNZWRpY2FsIENlbnRlciwgQW1zdGVyZGFtLCBUaGUgTmV0aGVybGFuZHMuPC9hdXRoLWFkZHJl
c3M+PHRpdGxlcz48dGl0bGU+Tm8gZWZmZWN0IG9mIHRoZSBGaXRGb3IyIGV4ZXJjaXNlIHByb2dy
YW1tZSBvbiBibG9vZCBnbHVjb3NlLCBpbnN1bGluIHNlbnNpdGl2aXR5LCBhbmQgYmlydGh3ZWln
aHQgaW4gcHJlZ25hbnQgd29tZW4gd2hvIHdlcmUgb3ZlcndlaWdodCBhbmQgYXQgcmlzayBmb3Ig
Z2VzdGF0aW9uYWwgZGlhYmV0ZXM6IHJlc3VsdHMgb2YgYSByYW5kb21pc2VkIGNvbnRyb2xsZWQg
dHJpYWw8L3RpdGxlPjxzZWNvbmRhcnktdGl0bGU+QkpPRzwvc2Vjb25kYXJ5LXRpdGxlPjwvdGl0
bGVzPjxwZXJpb2RpY2FsPjxmdWxsLXRpdGxlPkJKT0c8L2Z1bGwtdGl0bGU+PC9wZXJpb2RpY2Fs
PjxwYWdlcz4xMDk4LTEwNzwvcGFnZXM+PHZvbHVtZT4xMTk8L3ZvbHVtZT48bnVtYmVyPjk8L251
bWJlcj48ZWRpdGlvbj4yMDEyLzA1LzI0PC9lZGl0aW9uPjxrZXl3b3Jkcz48a2V5d29yZD5BZHVs
dDwva2V5d29yZD48a2V5d29yZD5CaXJ0aCBXZWlnaHQvKnBoeXNpb2xvZ3k8L2tleXdvcmQ+PGtl
eXdvcmQ+Qmxvb2QgR2x1Y29zZS8qbWV0YWJvbGlzbTwva2V5d29yZD48a2V5d29yZD5EaWFiZXRl
cyBNZWxsaXR1cywgVHlwZSAyL2dlbmV0aWNzPC9rZXl3b3JkPjxrZXl3b3JkPkRpYWJldGVzLCBH
ZXN0YXRpb25hbC9ibG9vZC9waHlzaW9wYXRob2xvZ3kvKnByZXZlbnRpb24gJmFtcDsgY29udHJv
bDwva2V5d29yZD48a2V5d29yZD5FeGVyY2lzZSBUaGVyYXB5LyptZXRob2RzPC9rZXl3b3JkPjxr
ZXl3b3JkPkZhc3RpbmcvYmxvb2Q8L2tleXdvcmQ+PGtleXdvcmQ+RmVtYWxlPC9rZXl3b3JkPjxr
ZXl3b3JkPkdlc3RhdGlvbmFsIEFnZTwva2V5d29yZD48a2V5d29yZD5HbHljYXRlZCBIZW1vZ2xv
YmluIEEvbWV0YWJvbGlzbTwva2V5d29yZD48a2V5d29yZD5IdW1hbnM8L2tleXdvcmQ+PGtleXdv
cmQ+SW5zdWxpbiBSZXNpc3RhbmNlLypwaHlzaW9sb2d5PC9rZXl3b3JkPjxrZXl3b3JkPk92ZXJ3
ZWlnaHQvYmxvb2QvcGh5c2lvcGF0aG9sb2d5Lyp0aGVyYXB5PC9rZXl3b3JkPjxrZXl3b3JkPlBh
dGllbnQgQ29tcGxpYW5jZTwva2V5d29yZD48a2V5d29yZD5QZWRpZ3JlZTwva2V5d29yZD48a2V5
d29yZD5QcmVnbmFuY3k8L2tleXdvcmQ+PGtleXdvcmQ+UHJlZ25hbmN5IE91dGNvbWU8L2tleXdv
cmQ+PGtleXdvcmQ+UHJlZ25hbmN5IFRyaW1lc3RlciwgU2Vjb25kPC9rZXl3b3JkPjxrZXl3b3Jk
PlByZWduYW5jeSBUcmltZXN0ZXIsIFRoaXJkPC9rZXl3b3JkPjwva2V5d29yZHM+PGRhdGVzPjx5
ZWFyPjIwMTI8L3llYXI+PHB1Yi1kYXRlcz48ZGF0ZT5BdWc8L2RhdGU+PC9wdWItZGF0ZXM+PC9k
YXRlcz48aXNibj4xNDcxLTA1MjggKEVsZWN0cm9uaWMpJiN4RDsxNDcwLTAzMjggKExpbmtpbmcp
PC9pc2JuPjxhY2Nlc3Npb24tbnVtPjIyNjE2OTEzPC9hY2Nlc3Npb24tbnVtPjx1cmxzPjxyZWxh
dGVkLXVybHM+PHVybD5odHRwczovL3d3dy5uY2JpLm5sbS5uaWguZ292L3B1Ym1lZC8yMjYxNjkx
MzwvdXJsPjwvcmVsYXRlZC11cmxzPjwvdXJscz48ZWxlY3Ryb25pYy1yZXNvdXJjZS1udW0+MTAu
MTExMS9qLjE0NzEtMDUyOC4yMDEyLjAzMzY2Lng8L2VsZWN0cm9uaWMtcmVzb3VyY2UtbnVtPjwv
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PEVuZE5vdGU+PENpdGU+PEF1dGhvcj5Pb3N0ZGFtPC9BdXRob3I+PFllYXI+MjAxMjwvWWVhcj48
UmVjTnVtPjYxMDwvUmVjTnVtPjxEaXNwbGF5VGV4dD48c3R5bGUgZmFjZT0ic3VwZXJzY3JpcHQi
IGZvbnQ9IlRyZWJ1Y2hldCBNUyIgc2l6ZT0iOSI+NDM4PC9zdHlsZT48L0Rpc3BsYXlUZXh0Pjxy
ZWNvcmQ+PHJlYy1udW1iZXI+NjEwPC9yZWMtbnVtYmVyPjxmb3JlaWduLWtleXM+PGtleSBhcHA9
IkVOIiBkYi1pZD0iZXh2YXNyZngyZHRyYW9lc2FzeHAyc3pzeGEyZGY1MDI1OTJ4IiB0aW1lc3Rh
bXA9IjE1MzkwNDgzNDUiPjYxMDwva2V5PjxrZXkgYXBwPSJFTldlYiIgZGItaWQ9IiI+MDwva2V5
PjwvZm9yZWlnbi1rZXlzPjxyZWYtdHlwZSBuYW1lPSJKb3VybmFsIEFydGljbGUiPjE3PC9yZWYt
dHlwZT48Y29udHJpYnV0b3JzPjxhdXRob3JzPjxhdXRob3I+T29zdGRhbSwgTi48L2F1dGhvcj48
YXV0aG9yPnZhbiBQb3BwZWwsIE0uIE4uPC9hdXRob3I+PGF1dGhvcj5Xb3V0ZXJzLCBNLiBHLjwv
YXV0aG9yPjxhdXRob3I+RWVraG9mZiwgRS4gTS48L2F1dGhvcj48YXV0aG9yPkJla2VkYW0sIEQu
IEouPC9hdXRob3I+PGF1dGhvcj5LdWNoZW5iZWNrZXIsIFcuIEsuPC9hdXRob3I+PGF1dGhvcj5R
dWFydGVybywgSC4gVy48L2F1dGhvcj48YXV0aG9yPkhlcmVzLCBNLiBILjwvYXV0aG9yPjxhdXRo
b3I+dmFuIE1lY2hlbGVuLCBXLjwvYXV0aG9yPjwvYXV0aG9ycz48L2NvbnRyaWJ1dG9ycz48YXV0
aC1hZGRyZXNzPkRlcGFydG1lbnQgb2YgUHVibGljIGFuZCBPY2N1cGF0aW9uYWwgSGVhbHRoLCBF
TUdPKyBJbnN0aXR1dGUgZm9yIEhlYWx0aCBhbmQgQ2FyZSBSZXNlYXJjaCwgVlUgVW5pdmVyc2l0
eSBNZWRpY2FsIENlbnRlciwgQW1zdGVyZGFtLCBUaGUgTmV0aGVybGFuZHMuPC9hdXRoLWFkZHJl
c3M+PHRpdGxlcz48dGl0bGU+Tm8gZWZmZWN0IG9mIHRoZSBGaXRGb3IyIGV4ZXJjaXNlIHByb2dy
YW1tZSBvbiBibG9vZCBnbHVjb3NlLCBpbnN1bGluIHNlbnNpdGl2aXR5LCBhbmQgYmlydGh3ZWln
aHQgaW4gcHJlZ25hbnQgd29tZW4gd2hvIHdlcmUgb3ZlcndlaWdodCBhbmQgYXQgcmlzayBmb3Ig
Z2VzdGF0aW9uYWwgZGlhYmV0ZXM6IHJlc3VsdHMgb2YgYSByYW5kb21pc2VkIGNvbnRyb2xsZWQg
dHJpYWw8L3RpdGxlPjxzZWNvbmRhcnktdGl0bGU+QkpPRzwvc2Vjb25kYXJ5LXRpdGxlPjwvdGl0
bGVzPjxwZXJpb2RpY2FsPjxmdWxsLXRpdGxlPkJKT0c8L2Z1bGwtdGl0bGU+PC9wZXJpb2RpY2Fs
PjxwYWdlcz4xMDk4LTEwNzwvcGFnZXM+PHZvbHVtZT4xMTk8L3ZvbHVtZT48bnVtYmVyPjk8L251
bWJlcj48ZWRpdGlvbj4yMDEyLzA1LzI0PC9lZGl0aW9uPjxrZXl3b3Jkcz48a2V5d29yZD5BZHVs
dDwva2V5d29yZD48a2V5d29yZD5CaXJ0aCBXZWlnaHQvKnBoeXNpb2xvZ3k8L2tleXdvcmQ+PGtl
eXdvcmQ+Qmxvb2QgR2x1Y29zZS8qbWV0YWJvbGlzbTwva2V5d29yZD48a2V5d29yZD5EaWFiZXRl
cyBNZWxsaXR1cywgVHlwZSAyL2dlbmV0aWNzPC9rZXl3b3JkPjxrZXl3b3JkPkRpYWJldGVzLCBH
ZXN0YXRpb25hbC9ibG9vZC9waHlzaW9wYXRob2xvZ3kvKnByZXZlbnRpb24gJmFtcDsgY29udHJv
bDwva2V5d29yZD48a2V5d29yZD5FeGVyY2lzZSBUaGVyYXB5LyptZXRob2RzPC9rZXl3b3JkPjxr
ZXl3b3JkPkZhc3RpbmcvYmxvb2Q8L2tleXdvcmQ+PGtleXdvcmQ+RmVtYWxlPC9rZXl3b3JkPjxr
ZXl3b3JkPkdlc3RhdGlvbmFsIEFnZTwva2V5d29yZD48a2V5d29yZD5HbHljYXRlZCBIZW1vZ2xv
YmluIEEvbWV0YWJvbGlzbTwva2V5d29yZD48a2V5d29yZD5IdW1hbnM8L2tleXdvcmQ+PGtleXdv
cmQ+SW5zdWxpbiBSZXNpc3RhbmNlLypwaHlzaW9sb2d5PC9rZXl3b3JkPjxrZXl3b3JkPk92ZXJ3
ZWlnaHQvYmxvb2QvcGh5c2lvcGF0aG9sb2d5Lyp0aGVyYXB5PC9rZXl3b3JkPjxrZXl3b3JkPlBh
dGllbnQgQ29tcGxpYW5jZTwva2V5d29yZD48a2V5d29yZD5QZWRpZ3JlZTwva2V5d29yZD48a2V5
d29yZD5QcmVnbmFuY3k8L2tleXdvcmQ+PGtleXdvcmQ+UHJlZ25hbmN5IE91dGNvbWU8L2tleXdv
cmQ+PGtleXdvcmQ+UHJlZ25hbmN5IFRyaW1lc3RlciwgU2Vjb25kPC9rZXl3b3JkPjxrZXl3b3Jk
PlByZWduYW5jeSBUcmltZXN0ZXIsIFRoaXJkPC9rZXl3b3JkPjwva2V5d29yZHM+PGRhdGVzPjx5
ZWFyPjIwMTI8L3llYXI+PHB1Yi1kYXRlcz48ZGF0ZT5BdWc8L2RhdGU+PC9wdWItZGF0ZXM+PC9k
YXRlcz48aXNibj4xNDcxLTA1MjggKEVsZWN0cm9uaWMpJiN4RDsxNDcwLTAzMjggKExpbmtpbmcp
PC9pc2JuPjxhY2Nlc3Npb24tbnVtPjIyNjE2OTEzPC9hY2Nlc3Npb24tbnVtPjx1cmxzPjxyZWxh
dGVkLXVybHM+PHVybD5odHRwczovL3d3dy5uY2JpLm5sbS5uaWguZ292L3B1Ym1lZC8yMjYxNjkx
MzwvdXJsPjwvcmVsYXRlZC11cmxzPjwvdXJscz48ZWxlY3Ryb25pYy1yZXNvdXJjZS1udW0+MTAu
MTExMS9qLjE0NzEtMDUyOC4yMDEyLjAzMzY2Lng8L2VsZWN0cm9uaWMtcmVzb3VyY2UtbnVtPjwv
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438</w:t>
      </w:r>
      <w:r>
        <w:rPr>
          <w:sz w:val="16"/>
          <w:szCs w:val="16"/>
        </w:rPr>
        <w:fldChar w:fldCharType="end"/>
      </w:r>
      <w:r w:rsidRPr="00B04565">
        <w:t xml:space="preserve"> New Zealand (n=2),</w:t>
      </w:r>
      <w:r>
        <w:rPr>
          <w:noProof/>
          <w:sz w:val="16"/>
          <w:szCs w:val="16"/>
        </w:rPr>
        <w:fldChar w:fldCharType="begin">
          <w:fldData xml:space="preserve">PEVuZE5vdGU+PENpdGU+PEF1dGhvcj5Ib3BraW5zPC9BdXRob3I+PFllYXI+MjAxMDwvWWVhcj48
UmVjTnVtPjY5MzwvUmVjTnVtPjxEaXNwbGF5VGV4dD48c3R5bGUgZmFjZT0ic3VwZXJzY3JpcHQi
IGZvbnQ9IlRyZWJ1Y2hldCBNUyIgc2l6ZT0iOSI+MjcyLDI3Mzwvc3R5bGU+PC9EaXNwbGF5VGV4
dD48cmVjb3JkPjxyZWMtbnVtYmVyPjY5MzwvcmVjLW51bWJlcj48Zm9yZWlnbi1rZXlzPjxrZXkg
YXBwPSJFTiIgZGItaWQ9ImV4dmFzcmZ4MmR0cmFvZXNhc3hwMnN6c3hhMmRmNTAyNTkyeCIgdGlt
ZXN0YW1wPSIxNTQwNTMwMDY3Ij42OTM8L2tleT48L2ZvcmVpZ24ta2V5cz48cmVmLXR5cGUgbmFt
ZT0iSm91cm5hbCBBcnRpY2xlIj4xNzwvcmVmLXR5cGU+PGNvbnRyaWJ1dG9ycz48YXV0aG9ycz48
YXV0aG9yPkhvcGtpbnMsIFMuIEEuPC9hdXRob3I+PGF1dGhvcj5CYWxkaSwgSi4gQy48L2F1dGhv
cj48YXV0aG9yPkN1dGZpZWxkLCBXLiBTLjwvYXV0aG9yPjxhdXRob3I+TWNDb3dhbiwgTC48L2F1
dGhvcj48YXV0aG9yPkhvZm1hbiwgUC4gTC48L2F1dGhvcj48L2F1dGhvcnM+PC9jb250cmlidXRv
cnM+PGF1dGgtYWRkcmVzcz5MaWdnaW5zIEluc3RpdHV0ZSwgVGhlIFVuaXZlcnNpdHkgb2YgQXVj
a2xhbmQsIFBPIEJveCA5MjAxOSwgQXVja2xhbmQgMTE0MiwgTmV3IFplYWxhbmQuPC9hdXRoLWFk
ZHJlc3M+PHRpdGxlcz48dGl0bGU+RXhlcmNpc2UgdHJhaW5pbmcgaW4gcHJlZ25hbmN5IHJlZHVj
ZXMgb2Zmc3ByaW5nIHNpemUgd2l0aG91dCBjaGFuZ2VzIGluIG1hdGVybmFsIGluc3VsaW4gc2Vu
c2l0aXZpdHk8L3RpdGxlPjxzZWNvbmRhcnktdGl0bGU+SiBDbGluIEVuZG9jcmlub2wgTWV0YWI8
L3NlY29uZGFyeS10aXRsZT48L3RpdGxlcz48cGVyaW9kaWNhbD48ZnVsbC10aXRsZT5KIENsaW4g
RW5kb2NyaW5vbCBNZXRhYjwvZnVsbC10aXRsZT48L3BlcmlvZGljYWw+PHBhZ2VzPjIwODAtODwv
cGFnZXM+PHZvbHVtZT45NTwvdm9sdW1lPjxudW1iZXI+NTwvbnVtYmVyPjxlZGl0aW9uPjIwMTAv
MDMvMjY8L2VkaXRpb24+PGtleXdvcmRzPjxrZXl3b3JkPkFkdWx0PC9rZXl3b3JkPjxrZXl3b3Jk
PkFlcm9iaW9zaXM8L2tleXdvcmQ+PGtleXdvcmQ+QmljeWNsaW5nPC9rZXl3b3JkPjxrZXl3b3Jk
PipCaXJ0aCBXZWlnaHQ8L2tleXdvcmQ+PGtleXdvcmQ+Qmxvb2QgR2x1Y29zZS9tZXRhYm9saXNt
PC9rZXl3b3JkPjxrZXl3b3JkPkJvZHkgTWFzcyBJbmRleDwva2V5d29yZD48a2V5d29yZD5FeGVy
Y2lzZS8qcGh5c2lvbG9neTwva2V5d29yZD48a2V5d29yZD5GZW1hbGU8L2tleXdvcmQ+PGtleXdv
cmQ+RmV0YWwgQmxvb2QvY2hlbWlzdHJ5PC9rZXl3b3JkPjxrZXl3b3JkPkZldGFsIERldmVsb3Bt
ZW50LypwaHlzaW9sb2d5PC9rZXl3b3JkPjxrZXl3b3JkPkh1bWFuczwva2V5d29yZD48a2V5d29y
ZD5JbmZhbnQsIE5ld2Jvcm48L2tleXdvcmQ+PGtleXdvcmQ+SW5zdWxpbi8qYmxvb2Q8L2tleXdv
cmQ+PGtleXdvcmQ+SW5zdWxpbi1MaWtlIEdyb3d0aCBGYWN0b3IgSS9tZXRhYm9saXNtPC9rZXl3
b3JkPjxrZXl3b3JkPkluc3VsaW4tTGlrZSBHcm93dGggRmFjdG9yIElJL21ldGFib2xpc208L2tl
eXdvcmQ+PGtleXdvcmQ+TWFsZTwva2V5d29yZD48a2V5d29yZD5QcmVnbmFuY3k8L2tleXdvcmQ+
PGtleXdvcmQ+UHJlZ25hbmN5IFRyaW1lc3RlciwgU2Vjb25kPC9rZXl3b3JkPjxrZXl3b3JkPlBy
ZWduYW5jeSBUcmltZXN0ZXIsIFRoaXJkPC9rZXl3b3JkPjxrZXl3b3JkPlV0ZXJ1cy9waHlzaW9s
b2d5PC9rZXl3b3JkPjwva2V5d29yZHM+PGRhdGVzPjx5ZWFyPjIwMTA8L3llYXI+PHB1Yi1kYXRl
cz48ZGF0ZT5NYXk8L2RhdGU+PC9wdWItZGF0ZXM+PC9kYXRlcz48aXNibj4xOTQ1LTcxOTcgKEVs
ZWN0cm9uaWMpJiN4RDswMDIxLTk3MlggKExpbmtpbmcpPC9pc2JuPjxhY2Nlc3Npb24tbnVtPjIw
MzM1NDQ5PC9hY2Nlc3Npb24tbnVtPjx1cmxzPjxyZWxhdGVkLXVybHM+PHVybD5odHRwczovL3d3
dy5uY2JpLm5sbS5uaWguZ292L3B1Ym1lZC8yMDMzNTQ0OTwvdXJsPjwvcmVsYXRlZC11cmxzPjwv
dXJscz48ZWxlY3Ryb25pYy1yZXNvdXJjZS1udW0+MTAuMTIxMC9qYy4yMDA5LTIyNTU8L2VsZWN0
cm9uaWMtcmVzb3VyY2UtbnVtPjwvcmVjb3JkPjwvQ2l0ZT48Q2l0ZT48QXV0aG9yPlNlbmV2aXJh
dG5lPC9BdXRob3I+PFllYXI+MjAxNjwvWWVhcj48UmVjTnVtPjk0NTwvUmVjTnVtPjxyZWNvcmQ+
PHJlYy1udW1iZXI+OTQ1PC9yZWMtbnVtYmVyPjxmb3JlaWduLWtleXM+PGtleSBhcHA9IkVOIiBk
Yi1pZD0iZXh2YXNyZngyZHRyYW9lc2FzeHAyc3pzeGEyZGY1MDI1OTJ4IiB0aW1lc3RhbXA9IjE1
NDE1NDE4NDkiPjk0NTwva2V5PjxrZXkgYXBwPSJFTldlYiIgZGItaWQ9IiI+MDwva2V5PjwvZm9y
ZWlnbi1rZXlzPjxyZWYtdHlwZSBuYW1lPSJKb3VybmFsIEFydGljbGUiPjE3PC9yZWYtdHlwZT48
Y29udHJpYnV0b3JzPjxhdXRob3JzPjxhdXRob3I+U2VuZXZpcmF0bmUsIFMuIE4uPC9hdXRob3I+
PGF1dGhvcj5KaWFuZywgWS48L2F1dGhvcj48YXV0aG9yPkRlcnJhaWssIEouPC9hdXRob3I+PGF1
dGhvcj5NY0Nvd2FuLCBMLjwvYXV0aG9yPjxhdXRob3I+UGFycnksIEcuIEsuPC9hdXRob3I+PGF1
dGhvcj5CaWdncywgSi4gQi48L2F1dGhvcj48YXV0aG9yPkNyYWlnaWUsIFMuPC9hdXRob3I+PGF1
dGhvcj5HdXNzbywgUy48L2F1dGhvcj48YXV0aG9yPlBlcmVzLCBHLjwvYXV0aG9yPjxhdXRob3I+
Um9kcmlndWVzLCBSLiBPLjwvYXV0aG9yPjxhdXRob3I+RWtlcm9tYSwgQS48L2F1dGhvcj48YXV0
aG9yPkN1dGZpZWxkLCBXLiBTLjwvYXV0aG9yPjxhdXRob3I+SG9mbWFuLCBQLiBMLjwvYXV0aG9y
PjwvYXV0aG9ycz48L2NvbnRyaWJ1dG9ycz48YXV0aC1hZGRyZXNzPkxpZ2dpbnMgSW5zdGl0dXRl
LCBVbml2ZXJzaXR5IG9mIEF1Y2tsYW5kLCBBdWNrbGFuZCwgTmV3IFplYWxhbmQuJiN4RDtHcmF2
aWRhOiBOYXRpb25hbCBDZW50cmUgZm9yIEdyb3d0aCBhbmQgRGV2ZWxvcG1lbnQsIEF1Y2tsYW5k
LCBOZXcgWmVhbGFuZC4mI3hEO0RlcGFydG1lbnQgb2YgU3RhdGlzdGljcywgVW5pdmVyc2l0eSBv
ZiBBdWNrbGFuZCwgQXVja2xhbmQsIE5ldyBaZWFsYW5kLiYjeEQ7RGVwYXJ0bWVudCBvZiBPYnN0
ZXRyaWNzIGFuZCBHeW5hZWNvbG9neSwgRmFjdWx0eSBvZiBNZWRpY2FsIGFuZCBIZWFsdGggU2Np
ZW5jZSwgVW5pdmVyc2l0eSBvZiBBdWNrbGFuZCwgQXVja2xhbmQsIE5ldyBaZWFsYW5kLjwvYXV0
aC1hZGRyZXNzPjx0aXRsZXM+PHRpdGxlPkVmZmVjdHMgb2YgYW50ZW5hdGFsIGV4ZXJjaXNlIGlu
IG92ZXJ3ZWlnaHQgYW5kIG9iZXNlIHByZWduYW50IHdvbWVuIG9uIG1hdGVybmFsIGFuZCBwZXJp
bmF0YWwgb3V0Y29tZXM6IGEgcmFuZG9taXNlZCBjb250cm9sbGVkIHRyaWFsPC90aXRsZT48c2Vj
b25kYXJ5LXRpdGxlPkJKT0c8L3NlY29uZGFyeS10aXRsZT48L3RpdGxlcz48cGVyaW9kaWNhbD48
ZnVsbC10aXRsZT5CSk9HPC9mdWxsLXRpdGxlPjwvcGVyaW9kaWNhbD48cGFnZXM+NTg4LTk3PC9w
YWdlcz48dm9sdW1lPjEyMzwvdm9sdW1lPjxudW1iZXI+NDwvbnVtYmVyPjxlZGl0aW9uPjIwMTUv
MTEvMDc8L2VkaXRpb24+PGtleXdvcmRzPjxrZXl3b3JkPkFkdWx0PC9rZXl3b3JkPjxrZXl3b3Jk
PkJvZHkgTWFzcyBJbmRleDwva2V5d29yZD48a2V5d29yZD4qRXhlcmNpc2UgVGhlcmFweTwva2V5
d29yZD48a2V5d29yZD5GZW1hbGU8L2tleXdvcmQ+PGtleXdvcmQ+SHVtYW5zPC9rZXl3b3JkPjxr
ZXl3b3JkPk5ldyBaZWFsYW5kL2VwaWRlbWlvbG9neTwva2V5d29yZD48a2V5d29yZD5PYmVzaXR5
L2VwaWRlbWlvbG9neS9wcmV2ZW50aW9uICZhbXA7IGNvbnRyb2wvKnRoZXJhcHk8L2tleXdvcmQ+
PGtleXdvcmQ+T3ZlcndlaWdodC9lcGlkZW1pb2xvZ3kvcHJldmVudGlvbiAmYW1wOyBjb250cm9s
Lyp0aGVyYXB5PC9rZXl3b3JkPjxrZXl3b3JkPlBhdGllbnQgQ29tcGxpYW5jZTwva2V5d29yZD48
a2V5d29yZD5QcmVnbmFuY3k8L2tleXdvcmQ+PGtleXdvcmQ+UHJlZ25hbmN5IE91dGNvbWU8L2tl
eXdvcmQ+PGtleXdvcmQ+KlByZWduYW50IFdvbWVuL3BzeWNob2xvZ3k8L2tleXdvcmQ+PGtleXdv
cmQ+KlByZW5hdGFsIENhcmU8L2tleXdvcmQ+PGtleXdvcmQ+UXVhbGl0eSBvZiBMaWZlPC9rZXl3
b3JkPjxrZXl3b3JkPlJpc2sgUmVkdWN0aW9uIEJlaGF2aW9yPC9rZXl3b3JkPjxrZXl3b3JkPlRy
ZWF0bWVudCBPdXRjb21lPC9rZXl3b3JkPjxrZXl3b3JkPldlaWdodCBHYWluPC9rZXl3b3JkPjxr
ZXl3b3JkPkFudGVuYXRhbCBleGVyY2lzZTwva2V5d29yZD48a2V5d29yZD5ib2R5IGNvbXBvc2l0
aW9uPC9rZXl3b3JkPjxrZXl3b3JkPm9iZXNpdHk8L2tleXdvcmQ+PC9rZXl3b3Jkcz48ZGF0ZXM+
PHllYXI+MjAxNjwveWVhcj48cHViLWRhdGVzPjxkYXRlPk1hcjwvZGF0ZT48L3B1Yi1kYXRlcz48
L2RhdGVzPjxpc2JuPjE0NzEtMDUyOCAoRWxlY3Ryb25pYykmI3hEOzE0NzAtMDMyOCAoTGlua2lu
Zyk8L2lzYm4+PGFjY2Vzc2lvbi1udW0+MjY1NDI0MTk8L2FjY2Vzc2lvbi1udW0+PHVybHM+PHJl
bGF0ZWQtdXJscz48dXJsPmh0dHBzOi8vd3d3Lm5jYmkubmxtLm5paC5nb3YvcHVibWVkLzI2NTQy
NDE5PC91cmw+PC9yZWxhdGVkLXVybHM+PC91cmxzPjxlbGVjdHJvbmljLXJlc291cmNlLW51bT4x
MC4xMTExLzE0NzEtMDUyOC4xMzczODwvZWxlY3Ryb25pYy1yZXNvdXJjZS1udW0+PC9yZWNvcmQ+
PC9DaXRlPjwvRW5kTm90ZT5=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PEVuZE5vdGU+PENpdGU+PEF1dGhvcj5Ib3BraW5zPC9BdXRob3I+PFllYXI+MjAxMDwvWWVhcj48
UmVjTnVtPjY5MzwvUmVjTnVtPjxEaXNwbGF5VGV4dD48c3R5bGUgZmFjZT0ic3VwZXJzY3JpcHQi
IGZvbnQ9IlRyZWJ1Y2hldCBNUyIgc2l6ZT0iOSI+MjcyLDI3Mzwvc3R5bGU+PC9EaXNwbGF5VGV4
dD48cmVjb3JkPjxyZWMtbnVtYmVyPjY5MzwvcmVjLW51bWJlcj48Zm9yZWlnbi1rZXlzPjxrZXkg
YXBwPSJFTiIgZGItaWQ9ImV4dmFzcmZ4MmR0cmFvZXNhc3hwMnN6c3hhMmRmNTAyNTkyeCIgdGlt
ZXN0YW1wPSIxNTQwNTMwMDY3Ij42OTM8L2tleT48L2ZvcmVpZ24ta2V5cz48cmVmLXR5cGUgbmFt
ZT0iSm91cm5hbCBBcnRpY2xlIj4xNzwvcmVmLXR5cGU+PGNvbnRyaWJ1dG9ycz48YXV0aG9ycz48
YXV0aG9yPkhvcGtpbnMsIFMuIEEuPC9hdXRob3I+PGF1dGhvcj5CYWxkaSwgSi4gQy48L2F1dGhv
cj48YXV0aG9yPkN1dGZpZWxkLCBXLiBTLjwvYXV0aG9yPjxhdXRob3I+TWNDb3dhbiwgTC48L2F1
dGhvcj48YXV0aG9yPkhvZm1hbiwgUC4gTC48L2F1dGhvcj48L2F1dGhvcnM+PC9jb250cmlidXRv
cnM+PGF1dGgtYWRkcmVzcz5MaWdnaW5zIEluc3RpdHV0ZSwgVGhlIFVuaXZlcnNpdHkgb2YgQXVj
a2xhbmQsIFBPIEJveCA5MjAxOSwgQXVja2xhbmQgMTE0MiwgTmV3IFplYWxhbmQuPC9hdXRoLWFk
ZHJlc3M+PHRpdGxlcz48dGl0bGU+RXhlcmNpc2UgdHJhaW5pbmcgaW4gcHJlZ25hbmN5IHJlZHVj
ZXMgb2Zmc3ByaW5nIHNpemUgd2l0aG91dCBjaGFuZ2VzIGluIG1hdGVybmFsIGluc3VsaW4gc2Vu
c2l0aXZpdHk8L3RpdGxlPjxzZWNvbmRhcnktdGl0bGU+SiBDbGluIEVuZG9jcmlub2wgTWV0YWI8
L3NlY29uZGFyeS10aXRsZT48L3RpdGxlcz48cGVyaW9kaWNhbD48ZnVsbC10aXRsZT5KIENsaW4g
RW5kb2NyaW5vbCBNZXRhYjwvZnVsbC10aXRsZT48L3BlcmlvZGljYWw+PHBhZ2VzPjIwODAtODwv
cGFnZXM+PHZvbHVtZT45NTwvdm9sdW1lPjxudW1iZXI+NTwvbnVtYmVyPjxlZGl0aW9uPjIwMTAv
MDMvMjY8L2VkaXRpb24+PGtleXdvcmRzPjxrZXl3b3JkPkFkdWx0PC9rZXl3b3JkPjxrZXl3b3Jk
PkFlcm9iaW9zaXM8L2tleXdvcmQ+PGtleXdvcmQ+QmljeWNsaW5nPC9rZXl3b3JkPjxrZXl3b3Jk
PipCaXJ0aCBXZWlnaHQ8L2tleXdvcmQ+PGtleXdvcmQ+Qmxvb2QgR2x1Y29zZS9tZXRhYm9saXNt
PC9rZXl3b3JkPjxrZXl3b3JkPkJvZHkgTWFzcyBJbmRleDwva2V5d29yZD48a2V5d29yZD5FeGVy
Y2lzZS8qcGh5c2lvbG9neTwva2V5d29yZD48a2V5d29yZD5GZW1hbGU8L2tleXdvcmQ+PGtleXdv
cmQ+RmV0YWwgQmxvb2QvY2hlbWlzdHJ5PC9rZXl3b3JkPjxrZXl3b3JkPkZldGFsIERldmVsb3Bt
ZW50LypwaHlzaW9sb2d5PC9rZXl3b3JkPjxrZXl3b3JkPkh1bWFuczwva2V5d29yZD48a2V5d29y
ZD5JbmZhbnQsIE5ld2Jvcm48L2tleXdvcmQ+PGtleXdvcmQ+SW5zdWxpbi8qYmxvb2Q8L2tleXdv
cmQ+PGtleXdvcmQ+SW5zdWxpbi1MaWtlIEdyb3d0aCBGYWN0b3IgSS9tZXRhYm9saXNtPC9rZXl3
b3JkPjxrZXl3b3JkPkluc3VsaW4tTGlrZSBHcm93dGggRmFjdG9yIElJL21ldGFib2xpc208L2tl
eXdvcmQ+PGtleXdvcmQ+TWFsZTwva2V5d29yZD48a2V5d29yZD5QcmVnbmFuY3k8L2tleXdvcmQ+
PGtleXdvcmQ+UHJlZ25hbmN5IFRyaW1lc3RlciwgU2Vjb25kPC9rZXl3b3JkPjxrZXl3b3JkPlBy
ZWduYW5jeSBUcmltZXN0ZXIsIFRoaXJkPC9rZXl3b3JkPjxrZXl3b3JkPlV0ZXJ1cy9waHlzaW9s
b2d5PC9rZXl3b3JkPjwva2V5d29yZHM+PGRhdGVzPjx5ZWFyPjIwMTA8L3llYXI+PHB1Yi1kYXRl
cz48ZGF0ZT5NYXk8L2RhdGU+PC9wdWItZGF0ZXM+PC9kYXRlcz48aXNibj4xOTQ1LTcxOTcgKEVs
ZWN0cm9uaWMpJiN4RDswMDIxLTk3MlggKExpbmtpbmcpPC9pc2JuPjxhY2Nlc3Npb24tbnVtPjIw
MzM1NDQ5PC9hY2Nlc3Npb24tbnVtPjx1cmxzPjxyZWxhdGVkLXVybHM+PHVybD5odHRwczovL3d3
dy5uY2JpLm5sbS5uaWguZ292L3B1Ym1lZC8yMDMzNTQ0OTwvdXJsPjwvcmVsYXRlZC11cmxzPjwv
dXJscz48ZWxlY3Ryb25pYy1yZXNvdXJjZS1udW0+MTAuMTIxMC9qYy4yMDA5LTIyNTU8L2VsZWN0
cm9uaWMtcmVzb3VyY2UtbnVtPjwvcmVjb3JkPjwvQ2l0ZT48Q2l0ZT48QXV0aG9yPlNlbmV2aXJh
dG5lPC9BdXRob3I+PFllYXI+MjAxNjwvWWVhcj48UmVjTnVtPjk0NTwvUmVjTnVtPjxyZWNvcmQ+
PHJlYy1udW1iZXI+OTQ1PC9yZWMtbnVtYmVyPjxmb3JlaWduLWtleXM+PGtleSBhcHA9IkVOIiBk
Yi1pZD0iZXh2YXNyZngyZHRyYW9lc2FzeHAyc3pzeGEyZGY1MDI1OTJ4IiB0aW1lc3RhbXA9IjE1
NDE1NDE4NDkiPjk0NTwva2V5PjxrZXkgYXBwPSJFTldlYiIgZGItaWQ9IiI+MDwva2V5PjwvZm9y
ZWlnbi1rZXlzPjxyZWYtdHlwZSBuYW1lPSJKb3VybmFsIEFydGljbGUiPjE3PC9yZWYtdHlwZT48
Y29udHJpYnV0b3JzPjxhdXRob3JzPjxhdXRob3I+U2VuZXZpcmF0bmUsIFMuIE4uPC9hdXRob3I+
PGF1dGhvcj5KaWFuZywgWS48L2F1dGhvcj48YXV0aG9yPkRlcnJhaWssIEouPC9hdXRob3I+PGF1
dGhvcj5NY0Nvd2FuLCBMLjwvYXV0aG9yPjxhdXRob3I+UGFycnksIEcuIEsuPC9hdXRob3I+PGF1
dGhvcj5CaWdncywgSi4gQi48L2F1dGhvcj48YXV0aG9yPkNyYWlnaWUsIFMuPC9hdXRob3I+PGF1
dGhvcj5HdXNzbywgUy48L2F1dGhvcj48YXV0aG9yPlBlcmVzLCBHLjwvYXV0aG9yPjxhdXRob3I+
Um9kcmlndWVzLCBSLiBPLjwvYXV0aG9yPjxhdXRob3I+RWtlcm9tYSwgQS48L2F1dGhvcj48YXV0
aG9yPkN1dGZpZWxkLCBXLiBTLjwvYXV0aG9yPjxhdXRob3I+SG9mbWFuLCBQLiBMLjwvYXV0aG9y
PjwvYXV0aG9ycz48L2NvbnRyaWJ1dG9ycz48YXV0aC1hZGRyZXNzPkxpZ2dpbnMgSW5zdGl0dXRl
LCBVbml2ZXJzaXR5IG9mIEF1Y2tsYW5kLCBBdWNrbGFuZCwgTmV3IFplYWxhbmQuJiN4RDtHcmF2
aWRhOiBOYXRpb25hbCBDZW50cmUgZm9yIEdyb3d0aCBhbmQgRGV2ZWxvcG1lbnQsIEF1Y2tsYW5k
LCBOZXcgWmVhbGFuZC4mI3hEO0RlcGFydG1lbnQgb2YgU3RhdGlzdGljcywgVW5pdmVyc2l0eSBv
ZiBBdWNrbGFuZCwgQXVja2xhbmQsIE5ldyBaZWFsYW5kLiYjeEQ7RGVwYXJ0bWVudCBvZiBPYnN0
ZXRyaWNzIGFuZCBHeW5hZWNvbG9neSwgRmFjdWx0eSBvZiBNZWRpY2FsIGFuZCBIZWFsdGggU2Np
ZW5jZSwgVW5pdmVyc2l0eSBvZiBBdWNrbGFuZCwgQXVja2xhbmQsIE5ldyBaZWFsYW5kLjwvYXV0
aC1hZGRyZXNzPjx0aXRsZXM+PHRpdGxlPkVmZmVjdHMgb2YgYW50ZW5hdGFsIGV4ZXJjaXNlIGlu
IG92ZXJ3ZWlnaHQgYW5kIG9iZXNlIHByZWduYW50IHdvbWVuIG9uIG1hdGVybmFsIGFuZCBwZXJp
bmF0YWwgb3V0Y29tZXM6IGEgcmFuZG9taXNlZCBjb250cm9sbGVkIHRyaWFsPC90aXRsZT48c2Vj
b25kYXJ5LXRpdGxlPkJKT0c8L3NlY29uZGFyeS10aXRsZT48L3RpdGxlcz48cGVyaW9kaWNhbD48
ZnVsbC10aXRsZT5CSk9HPC9mdWxsLXRpdGxlPjwvcGVyaW9kaWNhbD48cGFnZXM+NTg4LTk3PC9w
YWdlcz48dm9sdW1lPjEyMzwvdm9sdW1lPjxudW1iZXI+NDwvbnVtYmVyPjxlZGl0aW9uPjIwMTUv
MTEvMDc8L2VkaXRpb24+PGtleXdvcmRzPjxrZXl3b3JkPkFkdWx0PC9rZXl3b3JkPjxrZXl3b3Jk
PkJvZHkgTWFzcyBJbmRleDwva2V5d29yZD48a2V5d29yZD4qRXhlcmNpc2UgVGhlcmFweTwva2V5
d29yZD48a2V5d29yZD5GZW1hbGU8L2tleXdvcmQ+PGtleXdvcmQ+SHVtYW5zPC9rZXl3b3JkPjxr
ZXl3b3JkPk5ldyBaZWFsYW5kL2VwaWRlbWlvbG9neTwva2V5d29yZD48a2V5d29yZD5PYmVzaXR5
L2VwaWRlbWlvbG9neS9wcmV2ZW50aW9uICZhbXA7IGNvbnRyb2wvKnRoZXJhcHk8L2tleXdvcmQ+
PGtleXdvcmQ+T3ZlcndlaWdodC9lcGlkZW1pb2xvZ3kvcHJldmVudGlvbiAmYW1wOyBjb250cm9s
Lyp0aGVyYXB5PC9rZXl3b3JkPjxrZXl3b3JkPlBhdGllbnQgQ29tcGxpYW5jZTwva2V5d29yZD48
a2V5d29yZD5QcmVnbmFuY3k8L2tleXdvcmQ+PGtleXdvcmQ+UHJlZ25hbmN5IE91dGNvbWU8L2tl
eXdvcmQ+PGtleXdvcmQ+KlByZWduYW50IFdvbWVuL3BzeWNob2xvZ3k8L2tleXdvcmQ+PGtleXdv
cmQ+KlByZW5hdGFsIENhcmU8L2tleXdvcmQ+PGtleXdvcmQ+UXVhbGl0eSBvZiBMaWZlPC9rZXl3
b3JkPjxrZXl3b3JkPlJpc2sgUmVkdWN0aW9uIEJlaGF2aW9yPC9rZXl3b3JkPjxrZXl3b3JkPlRy
ZWF0bWVudCBPdXRjb21lPC9rZXl3b3JkPjxrZXl3b3JkPldlaWdodCBHYWluPC9rZXl3b3JkPjxr
ZXl3b3JkPkFudGVuYXRhbCBleGVyY2lzZTwva2V5d29yZD48a2V5d29yZD5ib2R5IGNvbXBvc2l0
aW9uPC9rZXl3b3JkPjxrZXl3b3JkPm9iZXNpdHk8L2tleXdvcmQ+PC9rZXl3b3Jkcz48ZGF0ZXM+
PHllYXI+MjAxNjwveWVhcj48cHViLWRhdGVzPjxkYXRlPk1hcjwvZGF0ZT48L3B1Yi1kYXRlcz48
L2RhdGVzPjxpc2JuPjE0NzEtMDUyOCAoRWxlY3Ryb25pYykmI3hEOzE0NzAtMDMyOCAoTGlua2lu
Zyk8L2lzYm4+PGFjY2Vzc2lvbi1udW0+MjY1NDI0MTk8L2FjY2Vzc2lvbi1udW0+PHVybHM+PHJl
bGF0ZWQtdXJscz48dXJsPmh0dHBzOi8vd3d3Lm5jYmkubmxtLm5paC5nb3YvcHVibWVkLzI2NTQy
NDE5PC91cmw+PC9yZWxhdGVkLXVybHM+PC91cmxzPjxlbGVjdHJvbmljLXJlc291cmNlLW51bT4x
MC4xMTExLzE0NzEtMDUyOC4xMzczODwvZWxlY3Ryb25pYy1yZXNvdXJjZS1udW0+PC9yZWNvcmQ+
PC9DaXRlPjwvRW5kTm90ZT5=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272,273</w:t>
      </w:r>
      <w:r>
        <w:rPr>
          <w:noProof/>
          <w:sz w:val="16"/>
          <w:szCs w:val="16"/>
        </w:rPr>
        <w:fldChar w:fldCharType="end"/>
      </w:r>
      <w:r w:rsidRPr="00B04565">
        <w:t xml:space="preserve"> Norway (n=4),</w:t>
      </w:r>
      <w:r>
        <w:rPr>
          <w:noProof/>
          <w:sz w:val="16"/>
          <w:szCs w:val="16"/>
        </w:rPr>
        <w:fldChar w:fldCharType="begin">
          <w:fldData xml:space="preserve">PEVuZE5vdGU+PENpdGU+PEF1dGhvcj5HYXJuYWVzPC9BdXRob3I+PFllYXI+MjAxNjwvWWVhcj48
UmVjTnVtPjY4ODwvUmVjTnVtPjxEaXNwbGF5VGV4dD48c3R5bGUgZmFjZT0ic3VwZXJzY3JpcHQi
IGZvbnQ9IlRyZWJ1Y2hldCBNUyIgc2l6ZT0iOSI+MzA0LDQzNSw0NDQsNDQ1PC9zdHlsZT48L0Rp
c3BsYXlUZXh0PjxyZWNvcmQ+PHJlYy1udW1iZXI+Njg4PC9yZWMtbnVtYmVyPjxmb3JlaWduLWtl
eXM+PGtleSBhcHA9IkVOIiBkYi1pZD0iZXh2YXNyZngyZHRyYW9lc2FzeHAyc3pzeGEyZGY1MDI1
OTJ4IiB0aW1lc3RhbXA9IjE1NDA1MjczOTMiPjY4ODwva2V5PjwvZm9yZWlnbi1rZXlzPjxyZWYt
dHlwZSBuYW1lPSJKb3VybmFsIEFydGljbGUiPjE3PC9yZWYtdHlwZT48Y29udHJpYnV0b3JzPjxh
dXRob3JzPjxhdXRob3I+R2FybmFlcywgSy4gSy48L2F1dGhvcj48YXV0aG9yPk1vcmt2ZWQsIFMu
PC9hdXRob3I+PGF1dGhvcj5TYWx2ZXNlbiwgTy48L2F1dGhvcj48YXV0aG9yPk1vaG9sZHQsIFQu
PC9hdXRob3I+PC9hdXRob3JzPjwvY29udHJpYnV0b3JzPjxhdXRoLWFkZHJlc3M+RGVwYXJ0bWVu
dCBvZiBDaXJjdWxhdGlvbiBhbmQgTWVkaWNhbCBJbWFnaW5nLCBNZWRpY2FsIEZhY3VsdHksIE5v
cndlZ2lhbiBVbml2ZXJzaXR5IG9mIFNjaWVuY2UgYW5kIFRlY2hub2xvZ3kgKE5UTlUpLCBUcm9u
ZGhlaW0sIE5vcndheS4mI3hEO0RlcGFydG1lbnQgb2YgUHVibGljIEhlYWx0aCBhbmQgR2VuZXJh
bCBQcmFjdGljZSwgTWVkaWNhbCBGYWN1bHR5LCBOb3J3ZWdpYW4gVW5pdmVyc2l0eSBvZiBTY2ll
bmNlIGFuZCBUZWNobm9sb2d5IChOVE5VKSwgVHJvbmRoZWltLCBOb3J3YXkuJiN4RDtDbGluaWNh
bCBTZXJ2aWNlLCBTdC4gT2xhdnMgSG9zcGl0YWwsIFRyb25kaGVpbSBVbml2ZXJzaXR5IEhvc3Bp
dGFsLCBUcm9uZGhlaW0sIE5vcndheS4mI3hEO0RlcGFydG1lbnQgb2YgV29tZW4mYXBvcztzIEhl
YWx0aCwgU3QuIE9sYXZzIEhvc3BpdGFsLCBUcm9uZGhlaW0gVW5pdmVyc2l0eSBIb3NwaXRhbCwg
VHJvbmRoZWltLCBOb3J3YXkuPC9hdXRoLWFkZHJlc3M+PHRpdGxlcz48dGl0bGU+RXhlcmNpc2Ug
VHJhaW5pbmcgYW5kIFdlaWdodCBHYWluIGluIE9iZXNlIFByZWduYW50IFdvbWVuOiBBIFJhbmRv
bWl6ZWQgQ29udHJvbGxlZCBUcmlhbCAoRVRJUCBUcmlhbCk8L3RpdGxlPjxzZWNvbmRhcnktdGl0
bGU+UExvUyBNZWQ8L3NlY29uZGFyeS10aXRsZT48L3RpdGxlcz48cGVyaW9kaWNhbD48ZnVsbC10
aXRsZT5QTG9TIE1lZDwvZnVsbC10aXRsZT48L3BlcmlvZGljYWw+PHBhZ2VzPmUxMDAyMDc5PC9w
YWdlcz48dm9sdW1lPjEzPC92b2x1bWU+PG51bWJlcj43PC9udW1iZXI+PGVkaXRpb24+MjAxNi8w
Ny8yODwvZWRpdGlvbj48a2V5d29yZHM+PGtleXdvcmQ+QWR1bHQ8L2tleXdvcmQ+PGtleXdvcmQ+
Qmxvb2QgUHJlc3N1cmU8L2tleXdvcmQ+PGtleXdvcmQ+RGlhYmV0ZXMsIEdlc3RhdGlvbmFsL3By
ZXZlbnRpb24gJmFtcDsgY29udHJvbDwva2V5d29yZD48a2V5d29yZD5FeGVyY2lzZS9waHlzaW9s
b2d5PC9rZXl3b3JkPjxrZXl3b3JkPkV4ZXJjaXNlIFRoZXJhcHkvYWR2ZXJzZSBlZmZlY3RzLypt
ZXRob2RzPC9rZXl3b3JkPjxrZXl3b3JkPkZlbWFsZTwva2V5d29yZD48a2V5d29yZD5IdW1hbnM8
L2tleXdvcmQ+PGtleXdvcmQ+T2Jlc2l0eS8qY29tcGxpY2F0aW9ucy9wcmV2ZW50aW9uICZhbXA7
IGNvbnRyb2wvdGhlcmFweTwva2V5d29yZD48a2V5d29yZD5PdmVyd2VpZ2h0L2NvbXBsaWNhdGlv
bnMvcHJldmVudGlvbiAmYW1wOyBjb250cm9sL3RoZXJhcHk8L2tleXdvcmQ+PGtleXdvcmQ+UHJl
Z25hbmN5PC9rZXl3b3JkPjxrZXl3b3JkPlByZWduYW5jeSBDb21wbGljYXRpb25zL3ByZXZlbnRp
b24gJmFtcDsgY29udHJvbC8qdGhlcmFweTwva2V5d29yZD48a2V5d29yZD5UcmVhdG1lbnQgT3V0
Y29tZTwva2V5d29yZD48a2V5d29yZD5XZWlnaHQgR2Fpbjwva2V5d29yZD48L2tleXdvcmRzPjxk
YXRlcz48eWVhcj4yMDE2PC95ZWFyPjxwdWItZGF0ZXM+PGRhdGU+SnVsPC9kYXRlPjwvcHViLWRh
dGVzPjwvZGF0ZXM+PGlzYm4+MTU0OS0xNjc2IChFbGVjdHJvbmljKSYjeEQ7MTU0OS0xMjc3IChM
aW5raW5nKTwvaXNibj48YWNjZXNzaW9uLW51bT4yNzQ1OTM3NTwvYWNjZXNzaW9uLW51bT48dXJs
cz48cmVsYXRlZC11cmxzPjx1cmw+aHR0cHM6Ly93d3cubmNiaS5ubG0ubmloLmdvdi9wdWJtZWQv
Mjc0NTkzNzU8L3VybD48L3JlbGF0ZWQtdXJscz48L3VybHM+PGN1c3RvbTI+UE1DNDk2MTM5Mjwv
Y3VzdG9tMj48ZWxlY3Ryb25pYy1yZXNvdXJjZS1udW0+MTAuMTM3MS9qb3VybmFsLnBtZWQuMTAw
MjA3OTwvZWxlY3Ryb25pYy1yZXNvdXJjZS1udW0+PC9yZWNvcmQ+PC9DaXRlPjxDaXRlPjxBdXRo
b3I+SGFha3N0YWQ8L0F1dGhvcj48WWVhcj4yMDExPC9ZZWFyPjxSZWNOdW0+NjkyPC9SZWNOdW0+
PHJlY29yZD48cmVjLW51bWJlcj42OTI8L3JlYy1udW1iZXI+PGZvcmVpZ24ta2V5cz48a2V5IGFw
cD0iRU4iIGRiLWlkPSJleHZhc3JmeDJkdHJhb2VzYXN4cDJzenN4YTJkZjUwMjU5MngiIHRpbWVz
dGFtcD0iMTU0MDUyNzUyMSI+NjkyPC9rZXk+PC9mb3JlaWduLWtleXM+PHJlZi10eXBlIG5hbWU9
IkpvdXJuYWwgQXJ0aWNsZSI+MTc8L3JlZi10eXBlPjxjb250cmlidXRvcnM+PGF1dGhvcnM+PGF1
dGhvcj5IYWFrc3RhZCwgTC4gQS48L2F1dGhvcj48YXV0aG9yPkJvLCBLLjwvYXV0aG9yPjwvYXV0
aG9ycz48L2NvbnRyaWJ1dG9ycz48YXV0aC1hZGRyZXNzPk5vcndlZ2lhbiBTY2hvb2wgb2YgU3Bv
cnQgU2NpZW5jZXMsIERlcGFydG1lbnQgb2YgU3BvcnRzIE1lZGljaW5lLCBVbGxldmFsIFN0YWRp
b24sIE9zbG8sIE5vcndheS4gbGVuZS5oYWFrc3RhZEBuaWgubm88L2F1dGgtYWRkcmVzcz48dGl0
bGVzPjx0aXRsZT5FZmZlY3Qgb2YgcmVndWxhciBleGVyY2lzZSBvbiBwcmV2ZW50aW9uIG9mIGV4
Y2Vzc2l2ZSB3ZWlnaHQgZ2FpbiBpbiBwcmVnbmFuY3k6IGEgcmFuZG9taXNlZCBjb250cm9sbGVk
IHRyaWFsPC90aXRsZT48c2Vjb25kYXJ5LXRpdGxlPkV1ciBKIENvbnRyYWNlcHQgUmVwcm9kIEhl
YWx0aCBDYXJlPC9zZWNvbmRhcnktdGl0bGU+PC90aXRsZXM+PHBlcmlvZGljYWw+PGZ1bGwtdGl0
bGU+RXVyIEogQ29udHJhY2VwdCBSZXByb2QgSGVhbHRoIENhcmU8L2Z1bGwtdGl0bGU+PC9wZXJp
b2RpY2FsPjxwYWdlcz4xMTYtMjU8L3BhZ2VzPjx2b2x1bWU+MTY8L3ZvbHVtZT48bnVtYmVyPjI8
L251bWJlcj48ZWRpdGlvbj4yMDExLzAzLzIzPC9lZGl0aW9uPjxrZXl3b3Jkcz48a2V5d29yZD5B
ZHVsdDwva2V5d29yZD48a2V5d29yZD4qRXhlcmNpc2U8L2tleXdvcmQ+PGtleXdvcmQ+RmVtYWxl
PC9rZXl3b3JkPjxrZXl3b3JkPipIZWFsdGggQmVoYXZpb3I8L2tleXdvcmQ+PGtleXdvcmQ+SGVh
bHRoIFByb21vdGlvbi8qbWV0aG9kczwva2V5d29yZD48a2V5d29yZD5IdW1hbnM8L2tleXdvcmQ+
PGtleXdvcmQ+UG9zdHBhcnR1bSBQZXJpb2Q8L2tleXdvcmQ+PGtleXdvcmQ+UHJlZ25hbmN5Lypw
aHlzaW9sb2d5PC9rZXl3b3JkPjxrZXl3b3JkPlByZW5hdGFsIENhcmUvKm1ldGhvZHM8L2tleXdv
cmQ+PGtleXdvcmQ+V2VpZ2h0IEdhaW4vKnBoeXNpb2xvZ3k8L2tleXdvcmQ+PGtleXdvcmQ+WW91
bmcgQWR1bHQ8L2tleXdvcmQ+PC9rZXl3b3Jkcz48ZGF0ZXM+PHllYXI+MjAxMTwveWVhcj48cHVi
LWRhdGVzPjxkYXRlPkFwcjwvZGF0ZT48L3B1Yi1kYXRlcz48L2RhdGVzPjxpc2JuPjE0NzMtMDc4
MiAoRWxlY3Ryb25pYykmI3hEOzEzNjItNTE4NyAoTGlua2luZyk8L2lzYm4+PGFjY2Vzc2lvbi1u
dW0+MjE0MTc1NjE8L2FjY2Vzc2lvbi1udW0+PHVybHM+PHJlbGF0ZWQtdXJscz48dXJsPmh0dHBz
Oi8vd3d3Lm5jYmkubmxtLm5paC5nb3YvcHVibWVkLzIxNDE3NTYxPC91cmw+PC9yZWxhdGVkLXVy
bHM+PC91cmxzPjxlbGVjdHJvbmljLXJlc291cmNlLW51bT4xMC4zMTA5LzEzNjI1MTg3LjIwMTEu
NTYwMzA3PC9lbGVjdHJvbmljLXJlc291cmNlLW51bT48L3JlY29yZD48L0NpdGU+PENpdGU+PEF1
dGhvcj5Tb25nw5hZZ2FyZDwvQXV0aG9yPjxZZWFyPjIwMTI8L1llYXI+PFJlY051bT44NjY8L1Jl
Y051bT48cmVjb3JkPjxyZWMtbnVtYmVyPjg2NjwvcmVjLW51bWJlcj48Zm9yZWlnbi1rZXlzPjxr
ZXkgYXBwPSJFTiIgZGItaWQ9ImV4dmFzcmZ4MmR0cmFvZXNhc3hwMnN6c3hhMmRmNTAyNTkyeCIg
dGltZXN0YW1wPSIxNTQxNTQwNjkzIj44NjY8L2tleT48a2V5IGFwcD0iRU5XZWIiIGRiLWlkPSIi
PjA8L2tleT48L2ZvcmVpZ24ta2V5cz48cmVmLXR5cGUgbmFtZT0iSm91cm5hbCBBcnRpY2xlIj4x
NzwvcmVmLXR5cGU+PGNvbnRyaWJ1dG9ycz48YXV0aG9ycz48YXV0aG9yPlNvbmfDmFlnYXJkLCBL
cmlzdGlhbiBNLjwvYXV0aG9yPjxhdXRob3I+U3RhZm5lLCBTaWduZSBOLjwvYXV0aG9yPjxhdXRo
b3I+RXZlbnNlbiwgS2FyaSBBbm5lIEkuPC9hdXRob3I+PGF1dGhvcj5TYWx2ZXNlbiwgS2plbGwg
w4U8L2F1dGhvcj48YXV0aG9yPlZpaywgVG9yc3RlaW48L2F1dGhvcj48YXV0aG9yPk3DmFJrdmVk
LCBTLiBJLiBWLjwvYXV0aG9yPjwvYXV0aG9ycz48L2NvbnRyaWJ1dG9ycz48dGl0bGVzPjx0aXRs
ZT5Eb2VzIGV4ZXJjaXNlIGR1cmluZyBwcmVnbmFuY3kgcHJldmVudCBwb3N0bmF0YWwgZGVwcmVz
c2lvbj88L3RpdGxlPjxzZWNvbmRhcnktdGl0bGU+QWN0YSBPYnN0ZXRyaWNpYSBldCBHeW5lY29s
b2dpY2EgU2NhbmRpbmF2aWNhPC9zZWNvbmRhcnktdGl0bGU+PC90aXRsZXM+PHBlcmlvZGljYWw+
PGZ1bGwtdGl0bGU+QWN0YSBPYnN0ZXRyaWNpYSBldCBHeW5lY29sb2dpY2EgU2NhbmRpbmF2aWNh
PC9mdWxsLXRpdGxlPjwvcGVyaW9kaWNhbD48cGFnZXM+NjItNjc8L3BhZ2VzPjx2b2x1bWU+OTE8
L3ZvbHVtZT48bnVtYmVyPjE8L251bWJlcj48c2VjdGlvbj42Mjwvc2VjdGlvbj48ZGF0ZXM+PHll
YXI+MjAxMjwveWVhcj48L2RhdGVzPjxpc2JuPjAwMDE2MzQ5PC9pc2JuPjx1cmxzPjwvdXJscz48
ZWxlY3Ryb25pYy1yZXNvdXJjZS1udW0+MTAuMTExMS9qLjE2MDAtMDQxMi4yMDExLjAxMjYyLng8
L2VsZWN0cm9uaWMtcmVzb3VyY2UtbnVtPjwvcmVjb3JkPjwvQ2l0ZT48Q2l0ZT48QXV0aG9yPlN0
YWZuZTwvQXV0aG9yPjxZZWFyPjIwMTI8L1llYXI+PFJlY051bT4xMDYwPC9SZWNOdW0+PHJlY29y
ZD48cmVjLW51bWJlcj4xMDYwPC9yZWMtbnVtYmVyPjxmb3JlaWduLWtleXM+PGtleSBhcHA9IkVO
IiBkYi1pZD0iZXh2YXNyZngyZHRyYW9lc2FzeHAyc3pzeGEyZGY1MDI1OTJ4IiB0aW1lc3RhbXA9
IjE1NDg5ODM0NzYiPjEwNjA8L2tleT48L2ZvcmVpZ24ta2V5cz48cmVmLXR5cGUgbmFtZT0iSm91
cm5hbCBBcnRpY2xlIj4xNzwvcmVmLXR5cGU+PGNvbnRyaWJ1dG9ycz48YXV0aG9ycz48YXV0aG9y
PlN0YWZuZSwgU2lnbmUgTi48L2F1dGhvcj48YXV0aG9yPlNhbHZlc2VuLCBLamVsbCDihKs8L2F1
dGhvcj48YXV0aG9yPlJvbXVuZHN0YWQsIFDDpWwgUi48L2F1dGhvcj48YXV0aG9yPkVnZ2Viw7gs
IFRvcmJqw7hybiBNLjwvYXV0aG9yPjxhdXRob3I+Q2FybHNlbiwgU3ZlbiBNLjwvYXV0aG9yPjxh
dXRob3I+TcO4cmt2ZWQsIFNpdjwvYXV0aG9yPjwvYXV0aG9ycz48L2NvbnRyaWJ1dG9ycz48dGl0
bGVzPjx0aXRsZT5SZWd1bGFyIEV4ZXJjaXNlIER1cmluZyBQcmVnbmFuY3kgdG8gUHJldmVudCBH
ZXN0YXRpb25hbCBEaWFiZXRlczwvdGl0bGU+PHNlY29uZGFyeS10aXRsZT5PYnN0ZXRyaWNzICZh
bXA7IEd5bmVjb2xvZ3k8L3NlY29uZGFyeS10aXRsZT48L3RpdGxlcz48cGVyaW9kaWNhbD48ZnVs
bC10aXRsZT5PYnN0ZXRyaWNzICZhbXA7IEd5bmVjb2xvZ3k8L2Z1bGwtdGl0bGU+PC9wZXJpb2Rp
Y2FsPjxwYWdlcz4yOS0zNjwvcGFnZXM+PHZvbHVtZT4xMTk8L3ZvbHVtZT48bnVtYmVyPjE8L251
bWJlcj48c2VjdGlvbj4yOTwvc2VjdGlvbj48ZGF0ZXM+PHllYXI+MjAxMjwveWVhcj48L2RhdGVz
Pjxpc2JuPjAwMjktNzg0NDwvaXNibj48dXJscz48L3VybHM+PGVsZWN0cm9uaWMtcmVzb3VyY2Ut
bnVtPjEwLjEwOTcvQU9HLjBiMDEzZTMxODIzOTNmODY8L2VsZWN0cm9uaWMtcmVzb3VyY2UtbnVt
PjwvcmVjb3JkPjwvQ2l0ZT48L0VuZE5vdGU+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PEVuZE5vdGU+PENpdGU+PEF1dGhvcj5HYXJuYWVzPC9BdXRob3I+PFllYXI+MjAxNjwvWWVhcj48
UmVjTnVtPjY4ODwvUmVjTnVtPjxEaXNwbGF5VGV4dD48c3R5bGUgZmFjZT0ic3VwZXJzY3JpcHQi
IGZvbnQ9IlRyZWJ1Y2hldCBNUyIgc2l6ZT0iOSI+MzA0LDQzNSw0NDQsNDQ1PC9zdHlsZT48L0Rp
c3BsYXlUZXh0PjxyZWNvcmQ+PHJlYy1udW1iZXI+Njg4PC9yZWMtbnVtYmVyPjxmb3JlaWduLWtl
eXM+PGtleSBhcHA9IkVOIiBkYi1pZD0iZXh2YXNyZngyZHRyYW9lc2FzeHAyc3pzeGEyZGY1MDI1
OTJ4IiB0aW1lc3RhbXA9IjE1NDA1MjczOTMiPjY4ODwva2V5PjwvZm9yZWlnbi1rZXlzPjxyZWYt
dHlwZSBuYW1lPSJKb3VybmFsIEFydGljbGUiPjE3PC9yZWYtdHlwZT48Y29udHJpYnV0b3JzPjxh
dXRob3JzPjxhdXRob3I+R2FybmFlcywgSy4gSy48L2F1dGhvcj48YXV0aG9yPk1vcmt2ZWQsIFMu
PC9hdXRob3I+PGF1dGhvcj5TYWx2ZXNlbiwgTy48L2F1dGhvcj48YXV0aG9yPk1vaG9sZHQsIFQu
PC9hdXRob3I+PC9hdXRob3JzPjwvY29udHJpYnV0b3JzPjxhdXRoLWFkZHJlc3M+RGVwYXJ0bWVu
dCBvZiBDaXJjdWxhdGlvbiBhbmQgTWVkaWNhbCBJbWFnaW5nLCBNZWRpY2FsIEZhY3VsdHksIE5v
cndlZ2lhbiBVbml2ZXJzaXR5IG9mIFNjaWVuY2UgYW5kIFRlY2hub2xvZ3kgKE5UTlUpLCBUcm9u
ZGhlaW0sIE5vcndheS4mI3hEO0RlcGFydG1lbnQgb2YgUHVibGljIEhlYWx0aCBhbmQgR2VuZXJh
bCBQcmFjdGljZSwgTWVkaWNhbCBGYWN1bHR5LCBOb3J3ZWdpYW4gVW5pdmVyc2l0eSBvZiBTY2ll
bmNlIGFuZCBUZWNobm9sb2d5IChOVE5VKSwgVHJvbmRoZWltLCBOb3J3YXkuJiN4RDtDbGluaWNh
bCBTZXJ2aWNlLCBTdC4gT2xhdnMgSG9zcGl0YWwsIFRyb25kaGVpbSBVbml2ZXJzaXR5IEhvc3Bp
dGFsLCBUcm9uZGhlaW0sIE5vcndheS4mI3hEO0RlcGFydG1lbnQgb2YgV29tZW4mYXBvcztzIEhl
YWx0aCwgU3QuIE9sYXZzIEhvc3BpdGFsLCBUcm9uZGhlaW0gVW5pdmVyc2l0eSBIb3NwaXRhbCwg
VHJvbmRoZWltLCBOb3J3YXkuPC9hdXRoLWFkZHJlc3M+PHRpdGxlcz48dGl0bGU+RXhlcmNpc2Ug
VHJhaW5pbmcgYW5kIFdlaWdodCBHYWluIGluIE9iZXNlIFByZWduYW50IFdvbWVuOiBBIFJhbmRv
bWl6ZWQgQ29udHJvbGxlZCBUcmlhbCAoRVRJUCBUcmlhbCk8L3RpdGxlPjxzZWNvbmRhcnktdGl0
bGU+UExvUyBNZWQ8L3NlY29uZGFyeS10aXRsZT48L3RpdGxlcz48cGVyaW9kaWNhbD48ZnVsbC10
aXRsZT5QTG9TIE1lZDwvZnVsbC10aXRsZT48L3BlcmlvZGljYWw+PHBhZ2VzPmUxMDAyMDc5PC9w
YWdlcz48dm9sdW1lPjEzPC92b2x1bWU+PG51bWJlcj43PC9udW1iZXI+PGVkaXRpb24+MjAxNi8w
Ny8yODwvZWRpdGlvbj48a2V5d29yZHM+PGtleXdvcmQ+QWR1bHQ8L2tleXdvcmQ+PGtleXdvcmQ+
Qmxvb2QgUHJlc3N1cmU8L2tleXdvcmQ+PGtleXdvcmQ+RGlhYmV0ZXMsIEdlc3RhdGlvbmFsL3By
ZXZlbnRpb24gJmFtcDsgY29udHJvbDwva2V5d29yZD48a2V5d29yZD5FeGVyY2lzZS9waHlzaW9s
b2d5PC9rZXl3b3JkPjxrZXl3b3JkPkV4ZXJjaXNlIFRoZXJhcHkvYWR2ZXJzZSBlZmZlY3RzLypt
ZXRob2RzPC9rZXl3b3JkPjxrZXl3b3JkPkZlbWFsZTwva2V5d29yZD48a2V5d29yZD5IdW1hbnM8
L2tleXdvcmQ+PGtleXdvcmQ+T2Jlc2l0eS8qY29tcGxpY2F0aW9ucy9wcmV2ZW50aW9uICZhbXA7
IGNvbnRyb2wvdGhlcmFweTwva2V5d29yZD48a2V5d29yZD5PdmVyd2VpZ2h0L2NvbXBsaWNhdGlv
bnMvcHJldmVudGlvbiAmYW1wOyBjb250cm9sL3RoZXJhcHk8L2tleXdvcmQ+PGtleXdvcmQ+UHJl
Z25hbmN5PC9rZXl3b3JkPjxrZXl3b3JkPlByZWduYW5jeSBDb21wbGljYXRpb25zL3ByZXZlbnRp
b24gJmFtcDsgY29udHJvbC8qdGhlcmFweTwva2V5d29yZD48a2V5d29yZD5UcmVhdG1lbnQgT3V0
Y29tZTwva2V5d29yZD48a2V5d29yZD5XZWlnaHQgR2Fpbjwva2V5d29yZD48L2tleXdvcmRzPjxk
YXRlcz48eWVhcj4yMDE2PC95ZWFyPjxwdWItZGF0ZXM+PGRhdGU+SnVsPC9kYXRlPjwvcHViLWRh
dGVzPjwvZGF0ZXM+PGlzYm4+MTU0OS0xNjc2IChFbGVjdHJvbmljKSYjeEQ7MTU0OS0xMjc3IChM
aW5raW5nKTwvaXNibj48YWNjZXNzaW9uLW51bT4yNzQ1OTM3NTwvYWNjZXNzaW9uLW51bT48dXJs
cz48cmVsYXRlZC11cmxzPjx1cmw+aHR0cHM6Ly93d3cubmNiaS5ubG0ubmloLmdvdi9wdWJtZWQv
Mjc0NTkzNzU8L3VybD48L3JlbGF0ZWQtdXJscz48L3VybHM+PGN1c3RvbTI+UE1DNDk2MTM5Mjwv
Y3VzdG9tMj48ZWxlY3Ryb25pYy1yZXNvdXJjZS1udW0+MTAuMTM3MS9qb3VybmFsLnBtZWQuMTAw
MjA3OTwvZWxlY3Ryb25pYy1yZXNvdXJjZS1udW0+PC9yZWNvcmQ+PC9DaXRlPjxDaXRlPjxBdXRo
b3I+SGFha3N0YWQ8L0F1dGhvcj48WWVhcj4yMDExPC9ZZWFyPjxSZWNOdW0+NjkyPC9SZWNOdW0+
PHJlY29yZD48cmVjLW51bWJlcj42OTI8L3JlYy1udW1iZXI+PGZvcmVpZ24ta2V5cz48a2V5IGFw
cD0iRU4iIGRiLWlkPSJleHZhc3JmeDJkdHJhb2VzYXN4cDJzenN4YTJkZjUwMjU5MngiIHRpbWVz
dGFtcD0iMTU0MDUyNzUyMSI+NjkyPC9rZXk+PC9mb3JlaWduLWtleXM+PHJlZi10eXBlIG5hbWU9
IkpvdXJuYWwgQXJ0aWNsZSI+MTc8L3JlZi10eXBlPjxjb250cmlidXRvcnM+PGF1dGhvcnM+PGF1
dGhvcj5IYWFrc3RhZCwgTC4gQS48L2F1dGhvcj48YXV0aG9yPkJvLCBLLjwvYXV0aG9yPjwvYXV0
aG9ycz48L2NvbnRyaWJ1dG9ycz48YXV0aC1hZGRyZXNzPk5vcndlZ2lhbiBTY2hvb2wgb2YgU3Bv
cnQgU2NpZW5jZXMsIERlcGFydG1lbnQgb2YgU3BvcnRzIE1lZGljaW5lLCBVbGxldmFsIFN0YWRp
b24sIE9zbG8sIE5vcndheS4gbGVuZS5oYWFrc3RhZEBuaWgubm88L2F1dGgtYWRkcmVzcz48dGl0
bGVzPjx0aXRsZT5FZmZlY3Qgb2YgcmVndWxhciBleGVyY2lzZSBvbiBwcmV2ZW50aW9uIG9mIGV4
Y2Vzc2l2ZSB3ZWlnaHQgZ2FpbiBpbiBwcmVnbmFuY3k6IGEgcmFuZG9taXNlZCBjb250cm9sbGVk
IHRyaWFsPC90aXRsZT48c2Vjb25kYXJ5LXRpdGxlPkV1ciBKIENvbnRyYWNlcHQgUmVwcm9kIEhl
YWx0aCBDYXJlPC9zZWNvbmRhcnktdGl0bGU+PC90aXRsZXM+PHBlcmlvZGljYWw+PGZ1bGwtdGl0
bGU+RXVyIEogQ29udHJhY2VwdCBSZXByb2QgSGVhbHRoIENhcmU8L2Z1bGwtdGl0bGU+PC9wZXJp
b2RpY2FsPjxwYWdlcz4xMTYtMjU8L3BhZ2VzPjx2b2x1bWU+MTY8L3ZvbHVtZT48bnVtYmVyPjI8
L251bWJlcj48ZWRpdGlvbj4yMDExLzAzLzIzPC9lZGl0aW9uPjxrZXl3b3Jkcz48a2V5d29yZD5B
ZHVsdDwva2V5d29yZD48a2V5d29yZD4qRXhlcmNpc2U8L2tleXdvcmQ+PGtleXdvcmQ+RmVtYWxl
PC9rZXl3b3JkPjxrZXl3b3JkPipIZWFsdGggQmVoYXZpb3I8L2tleXdvcmQ+PGtleXdvcmQ+SGVh
bHRoIFByb21vdGlvbi8qbWV0aG9kczwva2V5d29yZD48a2V5d29yZD5IdW1hbnM8L2tleXdvcmQ+
PGtleXdvcmQ+UG9zdHBhcnR1bSBQZXJpb2Q8L2tleXdvcmQ+PGtleXdvcmQ+UHJlZ25hbmN5Lypw
aHlzaW9sb2d5PC9rZXl3b3JkPjxrZXl3b3JkPlByZW5hdGFsIENhcmUvKm1ldGhvZHM8L2tleXdv
cmQ+PGtleXdvcmQ+V2VpZ2h0IEdhaW4vKnBoeXNpb2xvZ3k8L2tleXdvcmQ+PGtleXdvcmQ+WW91
bmcgQWR1bHQ8L2tleXdvcmQ+PC9rZXl3b3Jkcz48ZGF0ZXM+PHllYXI+MjAxMTwveWVhcj48cHVi
LWRhdGVzPjxkYXRlPkFwcjwvZGF0ZT48L3B1Yi1kYXRlcz48L2RhdGVzPjxpc2JuPjE0NzMtMDc4
MiAoRWxlY3Ryb25pYykmI3hEOzEzNjItNTE4NyAoTGlua2luZyk8L2lzYm4+PGFjY2Vzc2lvbi1u
dW0+MjE0MTc1NjE8L2FjY2Vzc2lvbi1udW0+PHVybHM+PHJlbGF0ZWQtdXJscz48dXJsPmh0dHBz
Oi8vd3d3Lm5jYmkubmxtLm5paC5nb3YvcHVibWVkLzIxNDE3NTYxPC91cmw+PC9yZWxhdGVkLXVy
bHM+PC91cmxzPjxlbGVjdHJvbmljLXJlc291cmNlLW51bT4xMC4zMTA5LzEzNjI1MTg3LjIwMTEu
NTYwMzA3PC9lbGVjdHJvbmljLXJlc291cmNlLW51bT48L3JlY29yZD48L0NpdGU+PENpdGU+PEF1
dGhvcj5Tb25nw5hZZ2FyZDwvQXV0aG9yPjxZZWFyPjIwMTI8L1llYXI+PFJlY051bT44NjY8L1Jl
Y051bT48cmVjb3JkPjxyZWMtbnVtYmVyPjg2NjwvcmVjLW51bWJlcj48Zm9yZWlnbi1rZXlzPjxr
ZXkgYXBwPSJFTiIgZGItaWQ9ImV4dmFzcmZ4MmR0cmFvZXNhc3hwMnN6c3hhMmRmNTAyNTkyeCIg
dGltZXN0YW1wPSIxNTQxNTQwNjkzIj44NjY8L2tleT48a2V5IGFwcD0iRU5XZWIiIGRiLWlkPSIi
PjA8L2tleT48L2ZvcmVpZ24ta2V5cz48cmVmLXR5cGUgbmFtZT0iSm91cm5hbCBBcnRpY2xlIj4x
NzwvcmVmLXR5cGU+PGNvbnRyaWJ1dG9ycz48YXV0aG9ycz48YXV0aG9yPlNvbmfDmFlnYXJkLCBL
cmlzdGlhbiBNLjwvYXV0aG9yPjxhdXRob3I+U3RhZm5lLCBTaWduZSBOLjwvYXV0aG9yPjxhdXRo
b3I+RXZlbnNlbiwgS2FyaSBBbm5lIEkuPC9hdXRob3I+PGF1dGhvcj5TYWx2ZXNlbiwgS2plbGwg
w4U8L2F1dGhvcj48YXV0aG9yPlZpaywgVG9yc3RlaW48L2F1dGhvcj48YXV0aG9yPk3DmFJrdmVk
LCBTLiBJLiBWLjwvYXV0aG9yPjwvYXV0aG9ycz48L2NvbnRyaWJ1dG9ycz48dGl0bGVzPjx0aXRs
ZT5Eb2VzIGV4ZXJjaXNlIGR1cmluZyBwcmVnbmFuY3kgcHJldmVudCBwb3N0bmF0YWwgZGVwcmVz
c2lvbj88L3RpdGxlPjxzZWNvbmRhcnktdGl0bGU+QWN0YSBPYnN0ZXRyaWNpYSBldCBHeW5lY29s
b2dpY2EgU2NhbmRpbmF2aWNhPC9zZWNvbmRhcnktdGl0bGU+PC90aXRsZXM+PHBlcmlvZGljYWw+
PGZ1bGwtdGl0bGU+QWN0YSBPYnN0ZXRyaWNpYSBldCBHeW5lY29sb2dpY2EgU2NhbmRpbmF2aWNh
PC9mdWxsLXRpdGxlPjwvcGVyaW9kaWNhbD48cGFnZXM+NjItNjc8L3BhZ2VzPjx2b2x1bWU+OTE8
L3ZvbHVtZT48bnVtYmVyPjE8L251bWJlcj48c2VjdGlvbj42Mjwvc2VjdGlvbj48ZGF0ZXM+PHll
YXI+MjAxMjwveWVhcj48L2RhdGVzPjxpc2JuPjAwMDE2MzQ5PC9pc2JuPjx1cmxzPjwvdXJscz48
ZWxlY3Ryb25pYy1yZXNvdXJjZS1udW0+MTAuMTExMS9qLjE2MDAtMDQxMi4yMDExLjAxMjYyLng8
L2VsZWN0cm9uaWMtcmVzb3VyY2UtbnVtPjwvcmVjb3JkPjwvQ2l0ZT48Q2l0ZT48QXV0aG9yPlN0
YWZuZTwvQXV0aG9yPjxZZWFyPjIwMTI8L1llYXI+PFJlY051bT4xMDYwPC9SZWNOdW0+PHJlY29y
ZD48cmVjLW51bWJlcj4xMDYwPC9yZWMtbnVtYmVyPjxmb3JlaWduLWtleXM+PGtleSBhcHA9IkVO
IiBkYi1pZD0iZXh2YXNyZngyZHRyYW9lc2FzeHAyc3pzeGEyZGY1MDI1OTJ4IiB0aW1lc3RhbXA9
IjE1NDg5ODM0NzYiPjEwNjA8L2tleT48L2ZvcmVpZ24ta2V5cz48cmVmLXR5cGUgbmFtZT0iSm91
cm5hbCBBcnRpY2xlIj4xNzwvcmVmLXR5cGU+PGNvbnRyaWJ1dG9ycz48YXV0aG9ycz48YXV0aG9y
PlN0YWZuZSwgU2lnbmUgTi48L2F1dGhvcj48YXV0aG9yPlNhbHZlc2VuLCBLamVsbCDihKs8L2F1
dGhvcj48YXV0aG9yPlJvbXVuZHN0YWQsIFDDpWwgUi48L2F1dGhvcj48YXV0aG9yPkVnZ2Viw7gs
IFRvcmJqw7hybiBNLjwvYXV0aG9yPjxhdXRob3I+Q2FybHNlbiwgU3ZlbiBNLjwvYXV0aG9yPjxh
dXRob3I+TcO4cmt2ZWQsIFNpdjwvYXV0aG9yPjwvYXV0aG9ycz48L2NvbnRyaWJ1dG9ycz48dGl0
bGVzPjx0aXRsZT5SZWd1bGFyIEV4ZXJjaXNlIER1cmluZyBQcmVnbmFuY3kgdG8gUHJldmVudCBH
ZXN0YXRpb25hbCBEaWFiZXRlczwvdGl0bGU+PHNlY29uZGFyeS10aXRsZT5PYnN0ZXRyaWNzICZh
bXA7IEd5bmVjb2xvZ3k8L3NlY29uZGFyeS10aXRsZT48L3RpdGxlcz48cGVyaW9kaWNhbD48ZnVs
bC10aXRsZT5PYnN0ZXRyaWNzICZhbXA7IEd5bmVjb2xvZ3k8L2Z1bGwtdGl0bGU+PC9wZXJpb2Rp
Y2FsPjxwYWdlcz4yOS0zNjwvcGFnZXM+PHZvbHVtZT4xMTk8L3ZvbHVtZT48bnVtYmVyPjE8L251
bWJlcj48c2VjdGlvbj4yOTwvc2VjdGlvbj48ZGF0ZXM+PHllYXI+MjAxMjwveWVhcj48L2RhdGVz
Pjxpc2JuPjAwMjktNzg0NDwvaXNibj48dXJscz48L3VybHM+PGVsZWN0cm9uaWMtcmVzb3VyY2Ut
bnVtPjEwLjEwOTcvQU9HLjBiMDEzZTMxODIzOTNmODY8L2VsZWN0cm9uaWMtcmVzb3VyY2UtbnVt
PjwvcmVjb3JkPjwvQ2l0ZT48L0VuZE5vdGU+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304,435,444,445</w:t>
      </w:r>
      <w:r>
        <w:rPr>
          <w:noProof/>
          <w:sz w:val="16"/>
          <w:szCs w:val="16"/>
        </w:rPr>
        <w:fldChar w:fldCharType="end"/>
      </w:r>
      <w:r w:rsidRPr="00B04565">
        <w:t xml:space="preserve"> Spain (n=1</w:t>
      </w:r>
      <w:r w:rsidR="00501738">
        <w:t>5</w:t>
      </w:r>
      <w:r w:rsidRPr="00B04565">
        <w:t>),</w:t>
      </w:r>
      <w:r>
        <w:rPr>
          <w:noProof/>
          <w:sz w:val="16"/>
          <w:szCs w:val="16"/>
        </w:rPr>
        <w:fldChar w:fldCharType="begin">
          <w:fldData xml:space="preserve">PEVuZE5vdGU+PENpdGU+PEF1dGhvcj5CYXJha2F0PC9BdXRob3I+PFllYXI+MjAwOTwvWWVhcj48
UmVjTnVtPjY2ODwvUmVjTnVtPjxEaXNwbGF5VGV4dD48c3R5bGUgZmFjZT0ic3VwZXJzY3JpcHQi
IGZvbnQ9IlRyZWJ1Y2hldCBNUyIgc2l6ZT0iOSI+Mjk0LTI5NiwzMTMsNDI3LTQzMSw0MzksNDQw
LDQ0Niw0NDcsNDU0PC9zdHlsZT48L0Rpc3BsYXlUZXh0PjxyZWNvcmQ+PHJlYy1udW1iZXI+NjY4
PC9yZWMtbnVtYmVyPjxmb3JlaWduLWtleXM+PGtleSBhcHA9IkVOIiBkYi1pZD0iZXh2YXNyZngy
ZHRyYW9lc2FzeHAyc3pzeGEyZGY1MDI1OTJ4IiB0aW1lc3RhbXA9IjE1NDA1MjY1OTEiPjY2ODwv
a2V5PjwvZm9yZWlnbi1rZXlzPjxyZWYtdHlwZSBuYW1lPSJKb3VybmFsIEFydGljbGUiPjE3PC9y
ZWYtdHlwZT48Y29udHJpYnV0b3JzPjxhdXRob3JzPjxhdXRob3I+QmFyYWthdCwgUi48L2F1dGhv
cj48YXV0aG9yPkx1Y2lhLCBBLjwvYXV0aG9yPjxhdXRob3I+UnVpeiwgSi4gUi48L2F1dGhvcj48
L2F1dGhvcnM+PC9jb250cmlidXRvcnM+PGF1dGgtYWRkcmVzcz5GYWN1bHRhZCBkZSBDaWVuY2lh
cyBkZSBsYSBBY3RpdmlkYWQgRmlzaWNhIHkgZGVsIERlcG9ydGUtSU5FRiwgVW5pdmVyc2lkYWQg
UG9saXRlY25pY2EgZGUgTWFkcmlkLCBNYWRyaWQsIFNwYWluLjwvYXV0aC1hZGRyZXNzPjx0aXRs
ZXM+PHRpdGxlPlJlc2lzdGFuY2UgZXhlcmNpc2UgdHJhaW5pbmcgZHVyaW5nIHByZWduYW5jeSBh
bmQgbmV3Ym9ybiZhcG9zO3MgYmlydGggc2l6ZTogYSByYW5kb21pc2VkIGNvbnRyb2xsZWQgdHJp
YWw8L3RpdGxlPjxzZWNvbmRhcnktdGl0bGU+SW50IEogT2JlcyAoTG9uZCk8L3NlY29uZGFyeS10
aXRsZT48L3RpdGxlcz48cGVyaW9kaWNhbD48ZnVsbC10aXRsZT5JbnQgSiBPYmVzIChMb25kKTwv
ZnVsbC10aXRsZT48L3BlcmlvZGljYWw+PHBhZ2VzPjEwNDgtNTc8L3BhZ2VzPjx2b2x1bWU+MzM8
L3ZvbHVtZT48bnVtYmVyPjk8L251bWJlcj48ZWRpdGlvbj4yMDA5LzA3LzI5PC9lZGl0aW9uPjxr
ZXl3b3Jkcz48a2V5d29yZD5BZHVsdDwva2V5d29yZD48a2V5d29yZD5CaXJ0aCBXZWlnaHQvKnBo
eXNpb2xvZ3k8L2tleXdvcmQ+PGtleXdvcmQ+Qm9keSBNYXNzIEluZGV4PC9rZXl3b3JkPjxrZXl3
b3JkPkJvZHkgU2l6ZTwva2V5d29yZD48a2V5d29yZD5Cb2R5IFdlaWdodC8qcGh5c2lvbG9neTwv
a2V5d29yZD48a2V5d29yZD5GZW1hbGU8L2tleXdvcmQ+PGtleXdvcmQ+RmV0YWwgRGV2ZWxvcG1l
bnQvKnBoeXNpb2xvZ3k8L2tleXdvcmQ+PGtleXdvcmQ+SHVtYW5zPC9rZXl3b3JkPjxrZXl3b3Jk
PkluZmFudCwgTmV3Ym9ybjwva2V5d29yZD48a2V5d29yZD5QcmVnbmFuY3k8L2tleXdvcmQ+PGtl
eXdvcmQ+UHJlZ25hbmN5IFRyaW1lc3RlciwgU2Vjb25kPC9rZXl3b3JkPjxrZXl3b3JkPlByZWdu
YW5jeSBUcmltZXN0ZXIsIFRoaXJkPC9rZXl3b3JkPjxrZXl3b3JkPlJlc2lzdGFuY2UgVHJhaW5p
bmcvKm1ldGhvZHM8L2tleXdvcmQ+PGtleXdvcmQ+U3BhaW4vZXBpZGVtaW9sb2d5PC9rZXl3b3Jk
Pjwva2V5d29yZHM+PGRhdGVzPjx5ZWFyPjIwMDk8L3llYXI+PHB1Yi1kYXRlcz48ZGF0ZT5TZXA8
L2RhdGU+PC9wdWItZGF0ZXM+PC9kYXRlcz48aXNibj4xNDc2LTU0OTcgKEVsZWN0cm9uaWMpJiN4
RDswMzA3LTA1NjUgKExpbmtpbmcpPC9pc2JuPjxhY2Nlc3Npb24tbnVtPjE5NjM2MzIwPC9hY2Nl
c3Npb24tbnVtPjx1cmxzPjxyZWxhdGVkLXVybHM+PHVybD5odHRwczovL3d3dy5uY2JpLm5sbS5u
aWguZ292L3B1Ym1lZC8xOTYzNjMyMDwvdXJsPjwvcmVsYXRlZC11cmxzPjwvdXJscz48ZWxlY3Ry
b25pYy1yZXNvdXJjZS1udW0+MTAuMTAzOC9pam8uMjAwOS4xNTA8L2VsZWN0cm9uaWMtcmVzb3Vy
Y2UtbnVtPjwvcmVjb3JkPjwvQ2l0ZT48Q2l0ZT48QXV0aG9yPkJhcmFrYXQ8L0F1dGhvcj48WWVh
cj4yMDEyPC9ZZWFyPjxSZWNOdW0+NjcwPC9SZWNOdW0+PHJlY29yZD48cmVjLW51bWJlcj42NzA8
L3JlYy1udW1iZXI+PGZvcmVpZ24ta2V5cz48a2V5IGFwcD0iRU4iIGRiLWlkPSJleHZhc3JmeDJk
dHJhb2VzYXN4cDJzenN4YTJkZjUwMjU5MngiIHRpbWVzdGFtcD0iMTU0MDUyNjYzNiI+NjcwPC9r
ZXk+PC9mb3JlaWduLWtleXM+PHJlZi10eXBlIG5hbWU9IkpvdXJuYWwgQXJ0aWNsZSI+MTc8L3Jl
Zi10eXBlPjxjb250cmlidXRvcnM+PGF1dGhvcnM+PGF1dGhvcj5CYXJha2F0LCBSLjwvYXV0aG9y
PjxhdXRob3I+Q29yZGVybywgWS48L2F1dGhvcj48YXV0aG9yPkNvdGVyb24sIEouPC9hdXRob3I+
PGF1dGhvcj5MdWFjZXMsIE0uPC9hdXRob3I+PGF1dGhvcj5Nb250ZWpvLCBSLjwvYXV0aG9yPjwv
YXV0aG9ycz48L2NvbnRyaWJ1dG9ycz48YXV0aC1hZGRyZXNzPkZhY3VsdGFkIGRlIENpZW5jaWFz
IGRlIGxhIEFjdGl2aWRhZCBGaXNpY2EgeSBkZWwgRGVwb3J0ZSAtIElORUYsIFVuaXZlcnNpZGFk
IFBvbGl0ZWNuaWNhIGRlIE1hZHJpZCwgU3BhaW4uIGJhcmFrYXRydWJlbkBnbWFpbC5jb208L2F1
dGgtYWRkcmVzcz48dGl0bGVzPjx0aXRsZT5FeGVyY2lzZSBkdXJpbmcgcHJlZ25hbmN5IGltcHJv
dmVzIG1hdGVybmFsIGdsdWNvc2Ugc2NyZWVuIGF0IDI0LTI4IHdlZWtzOiBhIHJhbmRvbWlzZWQg
Y29udHJvbGxlZCB0cmlhbDwvdGl0bGU+PHNlY29uZGFyeS10aXRsZT5CciBKIFNwb3J0cyBNZWQ8
L3NlY29uZGFyeS10aXRsZT48L3RpdGxlcz48cGVyaW9kaWNhbD48ZnVsbC10aXRsZT5CciBKIFNw
b3J0cyBNZWQ8L2Z1bGwtdGl0bGU+PC9wZXJpb2RpY2FsPjxwYWdlcz42NTYtNjE8L3BhZ2VzPjx2
b2x1bWU+NDY8L3ZvbHVtZT48bnVtYmVyPjk8L251bWJlcj48ZWRpdGlvbj4yMDExLzA5LzI5PC9l
ZGl0aW9uPjxrZXl3b3Jkcz48a2V5d29yZD5BZHVsdDwva2V5d29yZD48a2V5d29yZD5CbG9vZCBH
bHVjb3NlLyptZXRhYm9saXNtPC9rZXl3b3JkPjxrZXl3b3JkPkRpYWJldGVzLCBHZXN0YXRpb25h
bC9ibG9vZC8qcHJldmVudGlvbiAmYW1wOyBjb250cm9sPC9rZXl3b3JkPjxrZXl3b3JkPkV4ZXJj
aXNlIFRoZXJhcHkvKm1ldGhvZHM8L2tleXdvcmQ+PGtleXdvcmQ+RmVtYWxlPC9rZXl3b3JkPjxr
ZXl3b3JkPkdsdWNvc2UgVG9sZXJhbmNlIFRlc3Q8L2tleXdvcmQ+PGtleXdvcmQ+SHVtYW5zPC9r
ZXl3b3JkPjxrZXl3b3JkPkh5ZHJvdGhlcmFweTwva2V5d29yZD48a2V5d29yZD5QYXRpZW50IENv
bXBsaWFuY2U8L2tleXdvcmQ+PGtleXdvcmQ+UHJlZ25hbmN5PC9rZXl3b3JkPjxrZXl3b3JkPlBy
ZWduYW5jeSBPdXRjb21lPC9rZXl3b3JkPjxrZXl3b3JkPlByZWduYW5jeSBUcmltZXN0ZXIsIFNl
Y29uZDwva2V5d29yZD48a2V5d29yZD5QcmVuYXRhbCBDYXJlLyptZXRob2RzPC9rZXl3b3JkPjxr
ZXl3b3JkPldlaWdodCBHYWluL3BoeXNpb2xvZ3k8L2tleXdvcmQ+PC9rZXl3b3Jkcz48ZGF0ZXM+
PHllYXI+MjAxMjwveWVhcj48cHViLWRhdGVzPjxkYXRlPkp1bDwvZGF0ZT48L3B1Yi1kYXRlcz48
L2RhdGVzPjxpc2JuPjE0NzMtMDQ4MCAoRWxlY3Ryb25pYykmI3hEOzAzMDYtMzY3NCAoTGlua2lu
Zyk8L2lzYm4+PGFjY2Vzc2lvbi1udW0+MjE5NDgxMjA8L2FjY2Vzc2lvbi1udW0+PHVybHM+PHJl
bGF0ZWQtdXJscz48dXJsPmh0dHBzOi8vd3d3Lm5jYmkubmxtLm5paC5nb3YvcHVibWVkLzIxOTQ4
MTIwPC91cmw+PC9yZWxhdGVkLXVybHM+PC91cmxzPjxlbGVjdHJvbmljLXJlc291cmNlLW51bT4x
MC4xMTM2L2Jqc3BvcnRzLTIwMTEtMDkwMDA5PC9lbGVjdHJvbmljLXJlc291cmNlLW51bT48L3Jl
Y29yZD48L0NpdGU+PENpdGU+PEF1dGhvcj5CYXJha2F0PC9BdXRob3I+PFllYXI+MjAxMjwvWWVh
cj48UmVjTnVtPjY3MTwvUmVjTnVtPjxyZWNvcmQ+PHJlYy1udW1iZXI+NjcxPC9yZWMtbnVtYmVy
Pjxmb3JlaWduLWtleXM+PGtleSBhcHA9IkVOIiBkYi1pZD0iZXh2YXNyZngyZHRyYW9lc2FzeHAy
c3pzeGEyZGY1MDI1OTJ4IiB0aW1lc3RhbXA9IjE1NDA1MjY2NzQiPjY3MTwva2V5PjwvZm9yZWln
bi1rZXlzPjxyZWYtdHlwZSBuYW1lPSJKb3VybmFsIEFydGljbGUiPjE3PC9yZWYtdHlwZT48Y29u
dHJpYnV0b3JzPjxhdXRob3JzPjxhdXRob3I+QmFyYWthdCwgUi48L2F1dGhvcj48YXV0aG9yPlBl
bGFleiwgTS48L2F1dGhvcj48YXV0aG9yPkxvcGV6LCBDLjwvYXV0aG9yPjxhdXRob3I+TW9udGVq
bywgUi48L2F1dGhvcj48YXV0aG9yPkNvdGVyb24sIEouPC9hdXRob3I+PC9hdXRob3JzPjwvY29u
dHJpYnV0b3JzPjxhdXRoLWFkZHJlc3M+VGVjaG5pY2FsIFVuaXZlcnNpdHkgb2YgTWFkcmlkIChV
UE0pLCBNYWRyaWQsIFNwYWluLiBiYXJha2F0cnViZW5AZ21haWwuY29tPC9hdXRoLWFkZHJlc3M+
PHRpdGxlcz48dGl0bGU+RXhlcmNpc2UgZHVyaW5nIHByZWduYW5jeSByZWR1Y2VzIHRoZSByYXRl
IG9mIGNlc2FyZWFuIGFuZCBpbnN0cnVtZW50YWwgZGVsaXZlcmllczogcmVzdWx0cyBvZiBhIHJh
bmRvbWl6ZWQgY29udHJvbGxlZCB0cmlhbDwvdGl0bGU+PHNlY29uZGFyeS10aXRsZT5KIE1hdGVy
biBGZXRhbCBOZW9uYXRhbCBNZWQ8L3NlY29uZGFyeS10aXRsZT48L3RpdGxlcz48cGVyaW9kaWNh
bD48ZnVsbC10aXRsZT5KIE1hdGVybiBGZXRhbCBOZW9uYXRhbCBNZWQ8L2Z1bGwtdGl0bGU+PC9w
ZXJpb2RpY2FsPjxwYWdlcz4yMzcyLTY8L3BhZ2VzPjx2b2x1bWU+MjU8L3ZvbHVtZT48bnVtYmVy
PjExPC9udW1iZXI+PGVkaXRpb24+MjAxMi8wNi8yMjwvZWRpdGlvbj48a2V5d29yZHM+PGtleXdv
cmQ+QWR1bHQ8L2tleXdvcmQ+PGtleXdvcmQ+Q2VzYXJlYW4gU2VjdGlvbi8qc3RhdGlzdGljcyAm
YW1wOyBudW1lcmljYWwgZGF0YTwva2V5d29yZD48a2V5d29yZD5EZWxpdmVyeSwgT2JzdGV0cmlj
L2luc3RydW1lbnRhdGlvbi8qbWV0aG9kcy8qc3RhdGlzdGljcyAmYW1wOyBudW1lcmljYWwgZGF0
YTwva2V5d29yZD48a2V5d29yZD5FeGVyY2lzZS8qcGh5c2lvbG9neTwva2V5d29yZD48a2V5d29y
ZD5FeGVyY2lzZSBUaGVyYXB5L2FkdmVyc2UgZWZmZWN0cy9tZXRob2RzPC9rZXl3b3JkPjxrZXl3
b3JkPkZlbWFsZTwva2V5d29yZD48a2V5d29yZD5Gb2xsb3ctVXAgU3R1ZGllczwva2V5d29yZD48
a2V5d29yZD5IdW1hbnM8L2tleXdvcmQ+PGtleXdvcmQ+SW5mYW50LCBOZXdib3JuPC9rZXl3b3Jk
PjxrZXl3b3JkPlBhdGllbnQgQ29tcGxpYW5jZS9zdGF0aXN0aWNzICZhbXA7IG51bWVyaWNhbCBk
YXRhPC9rZXl3b3JkPjxrZXl3b3JkPlBoeXNpY2FsIEZpdG5lc3MvcGh5c2lvbG9neTwva2V5d29y
ZD48a2V5d29yZD5QcmVnbmFuY3k8L2tleXdvcmQ+PGtleXdvcmQ+UHJlZ25hbmN5IE91dGNvbWUv
KmVwaWRlbWlvbG9neTwva2V5d29yZD48a2V5d29yZD5TdXJnaWNhbCBJbnN0cnVtZW50cy8qc3Rh
dGlzdGljcyAmYW1wOyBudW1lcmljYWwgZGF0YTwva2V5d29yZD48L2tleXdvcmRzPjxkYXRlcz48
eWVhcj4yMDEyPC95ZWFyPjxwdWItZGF0ZXM+PGRhdGU+Tm92PC9kYXRlPjwvcHViLWRhdGVzPjwv
ZGF0ZXM+PGlzYm4+MTQ3Ni00OTU0IChFbGVjdHJvbmljKSYjeEQ7MTQ3Ni00OTU0IChMaW5raW5n
KTwvaXNibj48YWNjZXNzaW9uLW51bT4yMjcxNTk4MTwvYWNjZXNzaW9uLW51bT48dXJscz48cmVs
YXRlZC11cmxzPjx1cmw+aHR0cHM6Ly93d3cubmNiaS5ubG0ubmloLmdvdi9wdWJtZWQvMjI3MTU5
ODE8L3VybD48L3JlbGF0ZWQtdXJscz48L3VybHM+PGVsZWN0cm9uaWMtcmVzb3VyY2UtbnVtPjEw
LjMxMDkvMTQ3NjcwNTguMjAxMi42OTYxNjU8L2VsZWN0cm9uaWMtcmVzb3VyY2UtbnVtPjwvcmVj
b3JkPjwvQ2l0ZT48Q2l0ZT48QXV0aG9yPkJhcmFrYXQ8L0F1dGhvcj48WWVhcj4yMDEzPC9ZZWFy
PjxSZWNOdW0+NzEyPC9SZWNOdW0+PHJlY29yZD48cmVjLW51bWJlcj43MTI8L3JlYy1udW1iZXI+
PGZvcmVpZ24ta2V5cz48a2V5IGFwcD0iRU4iIGRiLWlkPSJleHZhc3JmeDJkdHJhb2VzYXN4cDJz
enN4YTJkZjUwMjU5MngiIHRpbWVzdGFtcD0iMTU0MTQ2MjMzMSI+NzEyPC9rZXk+PC9mb3JlaWdu
LWtleXM+PHJlZi10eXBlIG5hbWU9IkpvdXJuYWwgQXJ0aWNsZSI+MTc8L3JlZi10eXBlPjxjb250
cmlidXRvcnM+PGF1dGhvcnM+PGF1dGhvcj5CYXJha2F0LCBSLjwvYXV0aG9yPjxhdXRob3I+UGVs
YWV6LCBNLjwvYXV0aG9yPjxhdXRob3I+TG9wZXosIEMuPC9hdXRob3I+PGF1dGhvcj5MdWNpYSwg
QS48L2F1dGhvcj48YXV0aG9yPlJ1aXosIEouIFIuPC9hdXRob3I+PC9hdXRob3JzPjwvY29udHJp
YnV0b3JzPjxhdXRoLWFkZHJlc3M+RmFjdWx0YWQgZGUgQ2llbmNpYXMgZGUgbGEgQWN0aXZpZGFk
IEZpc2ljYSB5IGRlbCBEZXBvcnRlLUlORUYsIFVuaXZlcnNpZGFkIFBvbGl0ZWNuaWNhIGRlIE1h
ZHJpZCwgTWFkcmlkLCBTcGFpbi48L2F1dGgtYWRkcmVzcz48dGl0bGVzPjx0aXRsZT5FeGVyY2lz
ZSBkdXJpbmcgcHJlZ25hbmN5IGFuZCBnZXN0YXRpb25hbCBkaWFiZXRlcy1yZWxhdGVkIGFkdmVy
c2UgZWZmZWN0czogYSByYW5kb21pc2VkIGNvbnRyb2xsZWQgdHJpYWw8L3RpdGxlPjxzZWNvbmRh
cnktdGl0bGU+QnIgSiBTcG9ydHMgTWVkPC9zZWNvbmRhcnktdGl0bGU+PC90aXRsZXM+PHBlcmlv
ZGljYWw+PGZ1bGwtdGl0bGU+QnIgSiBTcG9ydHMgTWVkPC9mdWxsLXRpdGxlPjwvcGVyaW9kaWNh
bD48cGFnZXM+NjMwLTY8L3BhZ2VzPjx2b2x1bWU+NDc8L3ZvbHVtZT48bnVtYmVyPjEwPC9udW1i
ZXI+PGVkaXRpb24+MjAxMy8wMi8wMTwvZWRpdGlvbj48a2V5d29yZHM+PGtleXdvcmQ+QWR1bHQ8
L2tleXdvcmQ+PGtleXdvcmQ+QmlydGggV2VpZ2h0PC9rZXl3b3JkPjxrZXl3b3JkPkRpYWJldGVz
LCBHZXN0YXRpb25hbC8qcHJldmVudGlvbiAmYW1wOyBjb250cm9sPC9rZXl3b3JkPjxrZXl3b3Jk
PkV4ZXJjaXNlIFRoZXJhcHkvKm1ldGhvZHM8L2tleXdvcmQ+PGtleXdvcmQ+RmVtYWxlPC9rZXl3
b3JkPjxrZXl3b3JkPkZldGFsIE1hY3Jvc29taWEvcHJldmVudGlvbiAmYW1wOyBjb250cm9sPC9r
ZXl3b3JkPjxrZXl3b3JkPkh1bWFuczwva2V5d29yZD48a2V5d29yZD5QcmVnbmFuY3k8L2tleXdv
cmQ+PGtleXdvcmQ+UHJlZ25hbmN5IE91dGNvbWU8L2tleXdvcmQ+PGtleXdvcmQ+UHJlZ25hbmN5
IFRyaW1lc3RlciwgU2Vjb25kPC9rZXl3b3JkPjxrZXl3b3JkPlByZWduYW5jeSBUcmltZXN0ZXIs
IFRoaXJkPC9rZXl3b3JkPjxrZXl3b3JkPlByZW5hdGFsIENhcmUvbWV0aG9kczwva2V5d29yZD48
a2V5d29yZD5XZWlnaHQgR2Fpbjwva2V5d29yZD48a2V5d29yZD5EaWFiZXRlczwva2V5d29yZD48
a2V5d29yZD5Xb21lbiBpbiBzcG9ydDwva2V5d29yZD48L2tleXdvcmRzPjxkYXRlcz48eWVhcj4y
MDEzPC95ZWFyPjxwdWItZGF0ZXM+PGRhdGU+SnVsPC9kYXRlPjwvcHViLWRhdGVzPjwvZGF0ZXM+
PGlzYm4+MTQ3My0wNDgwIChFbGVjdHJvbmljKSYjeEQ7MDMwNi0zNjc0IChMaW5raW5nKTwvaXNi
bj48YWNjZXNzaW9uLW51bT4yMzM2NTQxODwvYWNjZXNzaW9uLW51bT48dXJscz48cmVsYXRlZC11
cmxzPjx1cmw+aHR0cHM6Ly93d3cubmNiaS5ubG0ubmloLmdvdi9wdWJtZWQvMjMzNjU0MTg8L3Vy
bD48L3JlbGF0ZWQtdXJscz48L3VybHM+PGVsZWN0cm9uaWMtcmVzb3VyY2UtbnVtPjEwLjExMzYv
YmpzcG9ydHMtMjAxMi0wOTE3ODg8L2VsZWN0cm9uaWMtcmVzb3VyY2UtbnVtPjwvcmVjb3JkPjwv
Q2l0ZT48Q2l0ZT48QXV0aG9yPkJhcmFrYXQ8L0F1dGhvcj48WWVhcj4yMDE0PC9ZZWFyPjxSZWNO
dW0+Njc0PC9SZWNOdW0+PHJlY29yZD48cmVjLW51bWJlcj42NzQ8L3JlYy1udW1iZXI+PGZvcmVp
Z24ta2V5cz48a2V5IGFwcD0iRU4iIGRiLWlkPSJleHZhc3JmeDJkdHJhb2VzYXN4cDJzenN4YTJk
ZjUwMjU5MngiIHRpbWVzdGFtcD0iMTU0MDUyNjc0OSI+Njc0PC9rZXk+PC9mb3JlaWduLWtleXM+
PHJlZi10eXBlIG5hbWU9IkpvdXJuYWwgQXJ0aWNsZSI+MTc8L3JlZi10eXBlPjxjb250cmlidXRv
cnM+PGF1dGhvcnM+PGF1dGhvcj5CYXJha2F0LCBSLjwvYXV0aG9yPjxhdXRob3I+UGVyYWxlcywg
TS48L2F1dGhvcj48YXV0aG9yPkJhY2NoaSwgTS48L2F1dGhvcj48YXV0aG9yPkNvdGVyb24sIEou
PC9hdXRob3I+PGF1dGhvcj5SZWZveW8sIEkuPC9hdXRob3I+PC9hdXRob3JzPjwvY29udHJpYnV0
b3JzPjx0aXRsZXM+PHRpdGxlPkEgcHJvZ3JhbSBvZiBleGVyY2lzZSB0aHJvdWdob3V0IHByZWdu
YW5jeS4gSXMgaXQgc2FmZSB0byBtb3RoZXIgYW5kIG5ld2Jvcm4/PC90aXRsZT48c2Vjb25kYXJ5
LXRpdGxlPkFtIEogSGVhbHRoIFByb21vdDwvc2Vjb25kYXJ5LXRpdGxlPjwvdGl0bGVzPjxwZXJp
b2RpY2FsPjxmdWxsLXRpdGxlPkFtIEogSGVhbHRoIFByb21vdDwvZnVsbC10aXRsZT48L3Blcmlv
ZGljYWw+PHBhZ2VzPjItODwvcGFnZXM+PHZvbHVtZT4yOTwvdm9sdW1lPjxudW1iZXI+MTwvbnVt
YmVyPjxlZGl0aW9uPjIwMTMvMTEvMTA8L2VkaXRpb24+PGtleXdvcmRzPjxrZXl3b3JkPkFkdWx0
PC9rZXl3b3JkPjxrZXl3b3JkPkFwZ2FyIFNjb3JlPC9rZXl3b3JkPjxrZXl3b3JkPkJpcnRoIFdl
aWdodC9waHlzaW9sb2d5PC9rZXl3b3JkPjxrZXl3b3JkPkJvZHkgTWFzcyBJbmRleDwva2V5d29y
ZD48a2V5d29yZD5EaWFiZXRlcywgR2VzdGF0aW9uYWwvZXBpZGVtaW9sb2d5PC9rZXl3b3JkPjxr
ZXl3b3JkPkZlbWFsZTwva2V5d29yZD48a2V5d29yZD5HZXN0YXRpb25hbCBBZ2U8L2tleXdvcmQ+
PGtleXdvcmQ+SHVtYW5zPC9rZXl3b3JkPjxrZXl3b3JkPkluZmFudCwgTmV3Ym9ybjwva2V5d29y
ZD48a2V5d29yZD4qUGh5c2ljYWwgQ29uZGl0aW9uaW5nLCBIdW1hbi9hZHZlcnNlIGVmZmVjdHMv
bWV0aG9kczwva2V5d29yZD48a2V5d29yZD4qUHJlZ25hbmN5L3BoeXNpb2xvZ3k8L2tleXdvcmQ+
PGtleXdvcmQ+UHJlZ25hbmN5IE91dGNvbWU8L2tleXdvcmQ+PGtleXdvcmQ+V2VpZ2h0IEdhaW4v
cGh5c2lvbG9neTwva2V5d29yZD48a2V5d29yZD5IZWFsdGggZm9jdXM6IHBoeXNpY2FsIGFjdGl2
aXR5PC9rZXl3b3JkPjxrZXl3b3JkPk1hbnVzY3JpcHQgZm9ybWF0OiByZXNlYXJjaDwva2V5d29y
ZD48a2V5d29yZD5NYXRlcm5hbDwva2V5d29yZD48a2V5d29yZD5PdXRjb21lIG1lYXN1cmU6IGJl
aGF2aW9yYWw8L2tleXdvcmQ+PGtleXdvcmQ+UGh5c2ljYWwgRXhlcmNpc2U8L2tleXdvcmQ+PGtl
eXdvcmQ+UHJlZ25hbmN5IE91dGNvbWVzPC9rZXl3b3JkPjxrZXl3b3JkPlByZXZlbnRpb24gUmVz
ZWFyY2g8L2tleXdvcmQ+PGtleXdvcmQ+UmVzZWFyY2ggcHVycG9zZTogaW50ZXJ2ZW50aW9uIHRl
c3Rpbmc8L2tleXdvcmQ+PGtleXdvcmQ+U2V0dGluZzogaGVhbHRoIGNhcmU8L2tleXdvcmQ+PGtl
eXdvcmQ+U3RyYXRlZ3k6IGJlaGF2aW9yIGNoYW5nZSwgY3VsdHVyZSBjaGFuZ2U8L2tleXdvcmQ+
PGtleXdvcmQ+U3R1ZHkgZGVzaWduOiByYW5kb21pemVkIHRyaWFsPC9rZXl3b3JkPjxrZXl3b3Jk
PlRhcmdldCBwb3B1bGF0aW9uIGFnZTogYWR1bHRzPC9rZXl3b3JkPjxrZXl3b3JkPlRhcmdldCBw
b3B1bGF0aW9uIGNpcmN1bXN0YW5jZXM6IGVkdWNhdGlvbjwva2V5d29yZD48a2V5d29yZD5XZWln
aHQgR2Fpbjwva2V5d29yZD48L2tleXdvcmRzPjxkYXRlcz48eWVhcj4yMDE0PC95ZWFyPjxwdWIt
ZGF0ZXM+PGRhdGU+U2VwLU9jdDwvZGF0ZT48L3B1Yi1kYXRlcz48L2RhdGVzPjxpc2JuPjIxNjgt
NjYwMiAoRWxlY3Ryb25pYykmI3hEOzA4OTAtMTE3MSAoTGlua2luZyk8L2lzYm4+PGFjY2Vzc2lv
bi1udW0+MjQyMDAzMzU8L2FjY2Vzc2lvbi1udW0+PHVybHM+PHJlbGF0ZWQtdXJscz48dXJsPmh0
dHBzOi8vd3d3Lm5jYmkubmxtLm5paC5nb3YvcHVibWVkLzI0MjAwMzM1PC91cmw+PC9yZWxhdGVk
LXVybHM+PC91cmxzPjxlbGVjdHJvbmljLXJlc291cmNlLW51bT4xMC40Mjc4L2FqaHAuMTMwMTMx
LVFVQU4tNTY8L2VsZWN0cm9uaWMtcmVzb3VyY2UtbnVtPjwvcmVjb3JkPjwvQ2l0ZT48Q2l0ZT48
QXV0aG9yPkJhcmFrYXQ8L0F1dGhvcj48WWVhcj4yMDE2PC9ZZWFyPjxSZWNOdW0+Njc2PC9SZWNO
dW0+PHJlY29yZD48cmVjLW51bWJlcj42NzY8L3JlYy1udW1iZXI+PGZvcmVpZ24ta2V5cz48a2V5
IGFwcD0iRU4iIGRiLWlkPSJleHZhc3JmeDJkdHJhb2VzYXN4cDJzenN4YTJkZjUwMjU5MngiIHRp
bWVzdGFtcD0iMTU0MDUyNjc4MyI+Njc2PC9rZXk+PC9mb3JlaWduLWtleXM+PHJlZi10eXBlIG5h
bWU9IkpvdXJuYWwgQXJ0aWNsZSI+MTc8L3JlZi10eXBlPjxjb250cmlidXRvcnM+PGF1dGhvcnM+
PGF1dGhvcj5CYXJha2F0LCBSLjwvYXV0aG9yPjxhdXRob3I+UGVsYWV6LCBNLjwvYXV0aG9yPjxh
dXRob3I+Q29yZGVybywgWS48L2F1dGhvcj48YXV0aG9yPlBlcmFsZXMsIE0uPC9hdXRob3I+PGF1
dGhvcj5Mb3BleiwgQy48L2F1dGhvcj48YXV0aG9yPkNvdGVyb24sIEouPC9hdXRob3I+PGF1dGhv
cj5Nb3R0b2xhLCBNLiBGLjwvYXV0aG9yPjwvYXV0aG9ycz48L2NvbnRyaWJ1dG9ycz48YXV0aC1h
ZGRyZXNzPlBoeXNpY2FsIEFjdGl2aXR5IGFuZCBTcG9ydHMgaW4gU3BlY2lmaWMgUG9wdWxhdGlv
bnMgKEFGSVBFKSBSZXNlYXJjaCBHcm91cCwgRmFjdWx0eSBvZiBQaHlzaWNhbCBBY3Rpdml0eSBh
bmQgU3BvcnRzIFNjaWVuY2VzLUZhY3VsdGFkIGRlIENpZW5jaWFzIGRlIGxhIEFjdGl2aWRhZCBG
aXNpY2EgeSBlbCBEZXBvcnRlLCBUZWNobmljYWwgVW5pdmVyc2l0eSBvZiBNYWRyaWQsIE1hZHJp
ZCwgU3BhaW4uJiN4RDtDYXRob2xpYyBVbml2ZXJzaXR5IG9mIE11cmNpYSwgTXVyY2lhLCBTcGFp
bi4mI3hEO1IuIFNhbXVlbCBNY0xhdWdobGluIEZvdW5kYXRpb24tRXhlcmNpc2UgYW5kIFByZWdu
YW5jeSBMYWJvcmF0b3J5LCBTY2hvb2wgb2YgS2luZXNpb2xvZ3ksIEZhY3VsdHkgb2YgSGVhbHRo
IFNjaWVuY2VzLCBEZXBhcnRtZW50IG9mIEFuYXRvbXkgYW5kIENlbGwgQmlvbG9neSwgU2NodWxp
Y2ggU2Nob29sIG9mIE1lZGljaW5lIGFuZCBEZW50aXN0cnksIENoaWxkcmVuJmFwb3M7cyBIZWFs
dGggUmVzZWFyY2ggSW5zdGl0dXRlLCBVbml2ZXJzaXR5IG9mIFdlc3Rlcm4gT250YXJpbywgTG9u
ZG9uLCBPbnRhcmlvLCBDYW5hZGEuIEVsZWN0cm9uaWMgYWRkcmVzczogbW1vdHRvbGFAdXdvLmNh
LjwvYXV0aC1hZGRyZXNzPjx0aXRsZXM+PHRpdGxlPkV4ZXJjaXNlIGR1cmluZyBwcmVnbmFuY3kg
cHJvdGVjdHMgYWdhaW5zdCBoeXBlcnRlbnNpb24gYW5kIG1hY3Jvc29taWE6IHJhbmRvbWl6ZWQg
Y2xpbmljYWwgdHJpYWw8L3RpdGxlPjxzZWNvbmRhcnktdGl0bGU+QW0gSiBPYnN0ZXQgR3luZWNv
bDwvc2Vjb25kYXJ5LXRpdGxlPjwvdGl0bGVzPjxwZXJpb2RpY2FsPjxmdWxsLXRpdGxlPkFtIEog
T2JzdGV0IEd5bmVjb2w8L2Z1bGwtdGl0bGU+PC9wZXJpb2RpY2FsPjxwYWdlcz42NDkgZTEtODwv
cGFnZXM+PHZvbHVtZT4yMTQ8L3ZvbHVtZT48bnVtYmVyPjU8L251bWJlcj48ZWRpdGlvbj4yMDE1
LzEyLzI2PC9lZGl0aW9uPjxrZXl3b3Jkcz48a2V5d29yZD5BZHVsdDwva2V5d29yZD48a2V5d29y
ZD5CaXJ0aCBXZWlnaHQ8L2tleXdvcmQ+PGtleXdvcmQ+RGlhYmV0ZXMsIEdlc3RhdGlvbmFsL3By
ZXZlbnRpb24gJmFtcDsgY29udHJvbDwva2V5d29yZD48a2V5d29yZD4qRXhlcmNpc2U8L2tleXdv
cmQ+PGtleXdvcmQ+RmVtYWxlPC9rZXl3b3JkPjxrZXl3b3JkPkZldGFsIE1hY3Jvc29taWEvKnBy
ZXZlbnRpb24gJmFtcDsgY29udHJvbDwva2V5d29yZD48a2V5d29yZD5IdW1hbnM8L2tleXdvcmQ+
PGtleXdvcmQ+SHlwZXJ0ZW5zaW9uLCBQcmVnbmFuY3ktSW5kdWNlZC8qcHJldmVudGlvbiAmYW1w
OyBjb250cm9sPC9rZXl3b3JkPjxrZXl3b3JkPkluZmFudCwgTmV3Ym9ybjwva2V5d29yZD48a2V5
d29yZD5QcmVnbmFuY3k8L2tleXdvcmQ+PGtleXdvcmQ+V2VpZ2h0IEdhaW48L2tleXdvcmQ+PGtl
eXdvcmQ+Kmdlc3RhdGlvbmFsIHdlaWdodCBnYWluPC9rZXl3b3JkPjxrZXl3b3JkPipoeXBlcnRl
bnNpb248L2tleXdvcmQ+PGtleXdvcmQ+KmludGVydmVudGlvbjwva2V5d29yZD48a2V5d29yZD4q
b3V0Y29tZTwva2V5d29yZD48a2V5d29yZD4qcHJlZ25hbmN5PC9rZXl3b3JkPjwva2V5d29yZHM+
PGRhdGVzPjx5ZWFyPjIwMTY8L3llYXI+PHB1Yi1kYXRlcz48ZGF0ZT5NYXk8L2RhdGU+PC9wdWIt
ZGF0ZXM+PC9kYXRlcz48aXNibj4xMDk3LTY4NjggKEVsZWN0cm9uaWMpJiN4RDswMDAyLTkzNzgg
KExpbmtpbmcpPC9pc2JuPjxhY2Nlc3Npb24tbnVtPjI2NzA0ODk0PC9hY2Nlc3Npb24tbnVtPjx1
cmxzPjxyZWxhdGVkLXVybHM+PHVybD5odHRwczovL3d3dy5uY2JpLm5sbS5uaWguZ292L3B1Ym1l
ZC8yNjcwNDg5NDwvdXJsPjwvcmVsYXRlZC11cmxzPjwvdXJscz48ZWxlY3Ryb25pYy1yZXNvdXJj
ZS1udW0+MTAuMTAxNi9qLmFqb2cuMjAxNS4xMS4wMzk8L2VsZWN0cm9uaWMtcmVzb3VyY2UtbnVt
PjwvcmVjb3JkPjwvQ2l0ZT48Q2l0ZT48QXV0aG9yPkJhcmFrYXQ8L0F1dGhvcj48WWVhcj4yMDE4
PC9ZZWFyPjxSZWNOdW0+NzExPC9SZWNOdW0+PHJlY29yZD48cmVjLW51bWJlcj43MTE8L3JlYy1u
dW1iZXI+PGZvcmVpZ24ta2V5cz48a2V5IGFwcD0iRU4iIGRiLWlkPSJleHZhc3JmeDJkdHJhb2Vz
YXN4cDJzenN4YTJkZjUwMjU5MngiIHRpbWVzdGFtcD0iMTU0MTQ2MjI4NSI+NzExPC9rZXk+PC9m
b3JlaWduLWtleXM+PHJlZi10eXBlIG5hbWU9IkpvdXJuYWwgQXJ0aWNsZSI+MTc8L3JlZi10eXBl
Pjxjb250cmlidXRvcnM+PGF1dGhvcnM+PGF1dGhvcj5CYXJha2F0LCBSLjwvYXV0aG9yPjxhdXRo
b3I+RnJhbmNvLCBFLjwvYXV0aG9yPjxhdXRob3I+UGVyYWxlcywgTS48L2F1dGhvcj48YXV0aG9y
PkxvcGV6LCBDLjwvYXV0aG9yPjxhdXRob3I+TW90dG9sYSwgTS4gRi48L2F1dGhvcj48L2F1dGhv
cnM+PC9jb250cmlidXRvcnM+PGF1dGgtYWRkcmVzcz5BRklQRSBSZXNlYXJjaCBHcm91cCwgVGVj
aG5pY2FsIFVuaXZlcnNpdHkgb2YgTWFkcmlkLCBTcGFpbi4gRWxlY3Ryb25pYyBhZGRyZXNzOiBi
YXJha2F0cnViZW5AZ21haWwuY29tLiYjeEQ7QUZJUEUgUmVzZWFyY2ggR3JvdXAsIFRlY2huaWNh
bCBVbml2ZXJzaXR5IG9mIE1hZHJpZCwgU3BhaW4uJiN4RDtDYW1pbG8gSm9zZSBDZWxhIFVuaXZl
cnNpdHksIE1hZHJpZCwgU3BhaW47IFJlc2VhcmNoIEluc3RpdHV0ZSBvZiBIb3NwaXRhbCAxMiBk
ZSBPY3R1YnJlICgmYXBvcztpKzEyJmFwb3M7KSwgTWFkcmlkLCBTcGFpbi4mI3hEO1IgU2FtdWVs
IE1jTGF1Z2hsaW4gRm91bmRhdGlvbi1FeGVyY2lzZSAmYW1wOyBQcmVnbmFuY3kgTGFib3JhdG9y
eSwgU2Nob29sIG9mIEtpbmVzaW9sb2d5LCBGYWN1bHR5IG9mIEhlYWx0aCBTY2llbmNlcywgQ2Fu
YWRhOyBEZXB0IG9mIEFuYXRvbXkgJmFtcDsgQ2VsbCBCaW9sb2d5LCBTY2h1bGljaCBTY2hvb2wg
b2YgTWVkaWNpbmUgJmFtcDsgRGVudGlzdHJ5LCBDaGlsZHJlbiZhcG9zO3MgSGVhbHRoIFJlc2Vh
cmNoIEluc3RpdHV0ZSwgVW5pdmVyc2l0eSBvZiBXZXN0ZXJuIE9udGFyaW8sIExvbmRvbiwgQ2Fu
YWRhLjwvYXV0aC1hZGRyZXNzPjx0aXRsZXM+PHRpdGxlPkV4ZXJjaXNlIGR1cmluZyBwcmVnbmFu
Y3kgaXMgYXNzb2NpYXRlZCB3aXRoIGEgc2hvcnRlciBkdXJhdGlvbiBvZiBsYWJvci4gQSByYW5k
b21pemVkIGNsaW5pY2FsIHRyaWFsPC90aXRsZT48c2Vjb25kYXJ5LXRpdGxlPkV1ciBKIE9ic3Rl
dCBHeW5lY29sIFJlcHJvZCBCaW9sPC9zZWNvbmRhcnktdGl0bGU+PC90aXRsZXM+PHBlcmlvZGlj
YWw+PGZ1bGwtdGl0bGU+RXVyIEogT2JzdGV0IEd5bmVjb2wgUmVwcm9kIEJpb2w8L2Z1bGwtdGl0
bGU+PC9wZXJpb2RpY2FsPjxwYWdlcz4zMy00MDwvcGFnZXM+PHZvbHVtZT4yMjQ8L3ZvbHVtZT48
ZWRpdGlvbj4yMDE4LzAzLzEzPC9lZGl0aW9uPjxrZXl3b3Jkcz48a2V5d29yZD5BZHVsdDwva2V5
d29yZD48a2V5d29yZD4qRXhlcmNpc2U8L2tleXdvcmQ+PGtleXdvcmQ+RmVtYWxlPC9rZXl3b3Jk
PjxrZXl3b3JkPkh1bWFuczwva2V5d29yZD48a2V5d29yZD4qTGFib3IgU3RhZ2UsIEZpcnN0PC9r
ZXl3b3JkPjxrZXl3b3JkPlByZWduYW5jeTwva2V5d29yZD48a2V5d29yZD4qRHVyYXRpb248L2tl
eXdvcmQ+PGtleXdvcmQ+KkxhYm9yPC9rZXl3b3JkPjxrZXl3b3JkPipQcmVnbmFuY3k8L2tleXdv
cmQ+PC9rZXl3b3Jkcz48ZGF0ZXM+PHllYXI+MjAxODwveWVhcj48cHViLWRhdGVzPjxkYXRlPk1h
eTwvZGF0ZT48L3B1Yi1kYXRlcz48L2RhdGVzPjxpc2JuPjE4NzItNzY1NCAoRWxlY3Ryb25pYykm
I3hEOzAzMDEtMjExNSAoTGlua2luZyk8L2lzYm4+PGFjY2Vzc2lvbi1udW0+Mjk1Mjk0NzU8L2Fj
Y2Vzc2lvbi1udW0+PHVybHM+PHJlbGF0ZWQtdXJscz48dXJsPmh0dHBzOi8vd3d3Lm5jYmkubmxt
Lm5paC5nb3YvcHVibWVkLzI5NTI5NDc1PC91cmw+PC9yZWxhdGVkLXVybHM+PC91cmxzPjxlbGVj
dHJvbmljLXJlc291cmNlLW51bT4xMC4xMDE2L2ouZWpvZ3JiLjIwMTguMDMuMDA5PC9lbGVjdHJv
bmljLXJlc291cmNlLW51bT48L3JlY29yZD48L0NpdGU+PENpdGU+PEF1dGhvcj5Db3JkZXJvPC9B
dXRob3I+PFllYXI+MjAxNTwvWWVhcj48UmVjTnVtPjEwMTY8L1JlY051bT48cmVjb3JkPjxyZWMt
bnVtYmVyPjEwMTY8L3JlYy1udW1iZXI+PGZvcmVpZ24ta2V5cz48a2V5IGFwcD0iRU4iIGRiLWlk
PSJleHZhc3JmeDJkdHJhb2VzYXN4cDJzenN4YTJkZjUwMjU5MngiIHRpbWVzdGFtcD0iMTU0ODk4
MzQ3NiI+MTAxNjwva2V5PjwvZm9yZWlnbi1rZXlzPjxyZWYtdHlwZSBuYW1lPSJKb3VybmFsIEFy
dGljbGUiPjE3PC9yZWYtdHlwZT48Y29udHJpYnV0b3JzPjxhdXRob3JzPjxhdXRob3I+Q29yZGVy
bywgWS4sPC9hdXRob3I+PGF1dGhvcj5Nb3R0b2xhLCBNLkYuPC9hdXRob3I+PGF1dGhvcj5WYXJn
YXMsIEouLDwvYXV0aG9yPjxhdXRob3I+QmxhbmNvLCBNLiw8L2F1dGhvcj48YXV0aG9yPkJhcmFr
YXQsIFIuLDwvYXV0aG9yPjwvYXV0aG9ycz48L2NvbnRyaWJ1dG9ycz48dGl0bGVzPjx0aXRsZT5F
eGVyY2lzZSBJcyBhc3NvY2lhdGVkIHdpdGggYSByZWR1Y3Rpb24gaW4gZ2VzdGF0aW9uYWwgZGlh
YmV0ZXMgbWVsbGl0dXM8L3RpdGxlPjxzZWNvbmRhcnktdGl0bGU+TWVkaWNpbmUgJmFtcDsgU2Np
ZW5jZSBpbiBTcG9ydHMgJmFtcDsgRXhlcmNpc2U8L3NlY29uZGFyeS10aXRsZT48L3RpdGxlcz48
cGVyaW9kaWNhbD48ZnVsbC10aXRsZT5NZWRpY2luZSAmYW1wOyBTY2llbmNlIGluIFNwb3J0cyAm
YW1wOyBFeGVyY2lzZTwvZnVsbC10aXRsZT48L3BlcmlvZGljYWw+PHBhZ2VzPjEzMjgtMTMzMzwv
cGFnZXM+PHZvbHVtZT40Nzwvdm9sdW1lPjxudW1iZXI+NzwvbnVtYmVyPjxzZWN0aW9uPjEzMjg8
L3NlY3Rpb24+PGRhdGVzPjx5ZWFyPjIwMTU8L3llYXI+PC9kYXRlcz48aXNibj4wMTk1LTkxMzE8
L2lzYm4+PHVybHM+PC91cmxzPjxlbGVjdHJvbmljLXJlc291cmNlLW51bT4xMC4xMjQ5L21zcy4w
MDAwMDAwMDAwMDAwNTQ3PC9lbGVjdHJvbmljLXJlc291cmNlLW51bT48L3JlY29yZD48L0NpdGU+
PENpdGU+PEF1dGhvcj5QZXJhbGVzPC9BdXRob3I+PFllYXI+MjAxNTwvWWVhcj48UmVjTnVtPjEw
NzE8L1JlY051bT48cmVjb3JkPjxyZWMtbnVtYmVyPjEwNzE8L3JlYy1udW1iZXI+PGZvcmVpZ24t
a2V5cz48a2V5IGFwcD0iRU4iIGRiLWlkPSJleHZhc3JmeDJkdHJhb2VzYXN4cDJzenN4YTJkZjUw
MjU5MngiIHRpbWVzdGFtcD0iMTU0ODk5MTM3MyI+MTA3MTwva2V5PjwvZm9yZWlnbi1rZXlzPjxy
ZWYtdHlwZSBuYW1lPSJKb3VybmFsIEFydGljbGUiPjE3PC9yZWYtdHlwZT48Y29udHJpYnV0b3Jz
PjxhdXRob3JzPjxhdXRob3I+UGVyYWxlcywgTS4sPC9hdXRob3I+PGF1dGhvcj5Db3JkZXJvLCBZ
Liw8L2F1dGhvcj48YXV0aG9yPlZhcmdhcywgTS4sPC9hdXRob3I+PGF1dGhvcj5MdWNpYSwgQS4s
PC9hdXRob3I+PGF1dGhvcj5CYXJha2F0LCBSLiw8L2F1dGhvcj48L2F1dGhvcnM+PC9jb250cmli
dXRvcnM+PHRpdGxlcz48dGl0bGU+RXhlcmNpc2UgYW5kIGRlcHJlc3Npb24gaW4gb3ZlcndlaWdo
dCBhbmQgb2Jlc2UgcHJlZ25hbnQgd29tZW46IEEgcmFuZG9taXNlZCBjb250cm9sbGVkIHRyaWFs
PC90aXRsZT48c2Vjb25kYXJ5LXRpdGxlPkFyY2ggTWVkIERlcG9ydGU8L3NlY29uZGFyeS10aXRs
ZT48L3RpdGxlcz48cGVyaW9kaWNhbD48ZnVsbC10aXRsZT5BcmNoIE1lZCBEZXBvcnRlPC9mdWxs
LXRpdGxlPjwvcGVyaW9kaWNhbD48cGFnZXM+MTU2LTE2MzwvcGFnZXM+PHZvbHVtZT4zMjwvdm9s
dW1lPjxkYXRlcz48eWVhcj4yMDE1PC95ZWFyPjwvZGF0ZXM+PHVybHM+PC91cmxzPjwvcmVjb3Jk
PjwvQ2l0ZT48Q2l0ZT48QXV0aG9yPlBlcmFsZXM8L0F1dGhvcj48WWVhcj4yMDE1PC9ZZWFyPjxS
ZWNOdW0+NzA0PC9SZWNOdW0+PHJlY29yZD48cmVjLW51bWJlcj43MDQ8L3JlYy1udW1iZXI+PGZv
cmVpZ24ta2V5cz48a2V5IGFwcD0iRU4iIGRiLWlkPSJleHZhc3JmeDJkdHJhb2VzYXN4cDJzenN4
YTJkZjUwMjU5MngiIHRpbWVzdGFtcD0iMTU0MDUzMDU2NCI+NzA0PC9rZXk+PC9mb3JlaWduLWtl
eXM+PHJlZi10eXBlIG5hbWU9IkpvdXJuYWwgQXJ0aWNsZSI+MTc8L3JlZi10eXBlPjxjb250cmli
dXRvcnM+PGF1dGhvcnM+PGF1dGhvcj5QZXJhbGVzLCBNLjwvYXV0aG9yPjxhdXRob3I+UmVmb3lv
LCBJLjwvYXV0aG9yPjxhdXRob3I+Q290ZXJvbiwgSi48L2F1dGhvcj48YXV0aG9yPkJhY2NoaSwg
TS48L2F1dGhvcj48YXV0aG9yPkJhcmFrYXQsIFIuPC9hdXRob3I+PC9hdXRob3JzPjwvY29udHJp
YnV0b3JzPjxhdXRoLWFkZHJlc3M+RGVwYXJ0bWVudCBvZiBTb2NpYWwgU2NpZW5jZXMsIFBoeXNp
Y2FsIEFjdGl2aXR5IGFuZCBTcG9ydCBTY2llbmNlcyBGYWN1bHR5LUlORUYsIFRlY2huaWNhbCBV
bml2ZXJzaXR5IG9mIE1hZHJpZCwgTWFkcmlkLCBTcGFpbi4mI3hEO0ZhY3VsdHkgb2YgUGh5c2lj
YWwgQWN0aXZpdHkgYW5kIFNwb3J0cywgVW5pdmVyc2l0eSBvZiBGbG9yZXMsIEJ1ZW5vcyBBaXJl
cywgQXJnZW50aW5hLiYjeEQ7RGVwYXJ0bWVudCBvZiBTb2NpYWwgU2NpZW5jZXMsIFBoeXNpY2Fs
IEFjdGl2aXR5IGFuZCBTcG9ydCBTY2llbmNlcyBGYWN1bHR5LUlORUYsIFRlY2huaWNhbCBVbml2
ZXJzaXR5IG9mIE1hZHJpZCwgTWFkcmlkLCBTcGFpbiBiYXJha2F0cnViZW5AZ21haWwuY29tLjwv
YXV0aC1hZGRyZXNzPjx0aXRsZXM+PHRpdGxlPkV4ZXJjaXNlIGR1cmluZyBwcmVnbmFuY3kgYXR0
ZW51YXRlcyBwcmVuYXRhbCBkZXByZXNzaW9uOiBhIHJhbmRvbWl6ZWQgY29udHJvbGxlZCB0cmlh
bDwvdGl0bGU+PHNlY29uZGFyeS10aXRsZT5FdmFsIEhlYWx0aCBQcm9mPC9zZWNvbmRhcnktdGl0
bGU+PC90aXRsZXM+PHBlcmlvZGljYWw+PGZ1bGwtdGl0bGU+RXZhbCBIZWFsdGggUHJvZjwvZnVs
bC10aXRsZT48L3BlcmlvZGljYWw+PHBhZ2VzPjU5LTcyPC9wYWdlcz48dm9sdW1lPjM4PC92b2x1
bWU+PG51bWJlcj4xPC9udW1iZXI+PGVkaXRpb24+MjAxNC8wNS8zMDwvZWRpdGlvbj48a2V5d29y
ZHM+PGtleXdvcmQ+QWR1bHQ8L2tleXdvcmQ+PGtleXdvcmQ+QXBnYXIgU2NvcmU8L2tleXdvcmQ+
PGtleXdvcmQ+Qm9keSBNYXNzIEluZGV4PC9rZXl3b3JkPjxrZXl3b3JkPkRlcHJlc3Npb24vKnRo
ZXJhcHk8L2tleXdvcmQ+PGtleXdvcmQ+RXhlcmNpc2UgVGhlcmFweS8qbWV0aG9kczwva2V5d29y
ZD48a2V5d29yZD5GZW1hbGU8L2tleXdvcmQ+PGtleXdvcmQ+SHVtYW5zPC9rZXl3b3JkPjxrZXl3
b3JkPlByZWduYW5jeTwva2V5d29yZD48a2V5d29yZD5QcmVnbmFuY3kgQ29tcGxpY2F0aW9ucy8q
dGhlcmFweTwva2V5d29yZD48a2V5d29yZD5QcmVnbmFuY3kgT3V0Y29tZTwva2V5d29yZD48a2V5
d29yZD5TcGFpbjwva2V5d29yZD48a2V5d29yZD5XZWlnaHQgR2Fpbjwva2V5d29yZD48a2V5d29y
ZD5kZXByZXNzaW9uPC9rZXl3b3JkPjxrZXl3b3JkPmV4ZXJjaXNlPC9rZXl3b3JkPjxrZXl3b3Jk
PnByZW5hdGFsPC9rZXl3b3JkPjxrZXl3b3JkPndlbGwtYmVpbmc8L2tleXdvcmQ+PC9rZXl3b3Jk
cz48ZGF0ZXM+PHllYXI+MjAxNTwveWVhcj48cHViLWRhdGVzPjxkYXRlPk1hcjwvZGF0ZT48L3B1
Yi1kYXRlcz48L2RhdGVzPjxpc2JuPjE1NTItMzkxOCAoRWxlY3Ryb25pYykmI3hEOzAxNjMtMjc4
NyAoTGlua2luZyk8L2lzYm4+PGFjY2Vzc2lvbi1udW0+MjQ4NzI0NDI8L2FjY2Vzc2lvbi1udW0+
PHVybHM+PHJlbGF0ZWQtdXJscz48dXJsPmh0dHBzOi8vd3d3Lm5jYmkubmxtLm5paC5nb3YvcHVi
bWVkLzI0ODcyNDQyPC91cmw+PC9yZWxhdGVkLXVybHM+PC91cmxzPjxlbGVjdHJvbmljLXJlc291
cmNlLW51bT4xMC4xMTc3LzAxNjMyNzg3MTQ1MzM1NjY8L2VsZWN0cm9uaWMtcmVzb3VyY2UtbnVt
PjwvcmVjb3JkPjwvQ2l0ZT48Q2l0ZT48QXV0aG9yPlBlcmFsZXM8L0F1dGhvcj48WWVhcj4yMDE2
PC9ZZWFyPjxSZWNOdW0+OTI0PC9SZWNOdW0+PHJlY29yZD48cmVjLW51bWJlcj45MjQ8L3JlYy1u
dW1iZXI+PGZvcmVpZ24ta2V5cz48a2V5IGFwcD0iRU4iIGRiLWlkPSJleHZhc3JmeDJkdHJhb2Vz
YXN4cDJzenN4YTJkZjUwMjU5MngiIHRpbWVzdGFtcD0iMTU0MTU0MDkyNSI+OTI0PC9rZXk+PGtl
eSBhcHA9IkVOV2ViIiBkYi1pZD0iIj4wPC9rZXk+PC9mb3JlaWduLWtleXM+PHJlZi10eXBlIG5h
bWU9IkpvdXJuYWwgQXJ0aWNsZSI+MTc8L3JlZi10eXBlPjxjb250cmlidXRvcnM+PGF1dGhvcnM+
PGF1dGhvcj5QZXJhbGVzLCBNYXJpYTwvYXV0aG9yPjxhdXRob3I+Q2FsYWJyaWEsIElyZW5lPC9h
dXRob3I+PGF1dGhvcj5Mb3BleiwgQ2FybWluYTwvYXV0aG9yPjxhdXRob3I+RnJhbmNvLCBFdmVs
aWE8L2F1dGhvcj48YXV0aG9yPkNvdGVyb24sIEphdmllcjwvYXV0aG9yPjxhdXRob3I+QmFyYWth
dCwgUnViZW48L2F1dGhvcj48L2F1dGhvcnM+PC9jb250cmlidXRvcnM+PHRpdGxlcz48dGl0bGU+
UmVndWxhciBFeGVyY2lzZSBUaHJvdWdob3V0IFByZWduYW5jeSBpcyBBc3NvY2lhdGVkIHdpdGgg
YSBTaG9ydGVyIEZpcnN0IFN0YWdlIG9mIExhYm9yPC90aXRsZT48c2Vjb25kYXJ5LXRpdGxlPkFt
ZXJpY2FuIEpvdXJuYWwgb2YgSGVhbHRoIFByb21vdGlvbjwvc2Vjb25kYXJ5LXRpdGxlPjwvdGl0
bGVzPjxwZXJpb2RpY2FsPjxmdWxsLXRpdGxlPkFtZXJpY2FuIEpvdXJuYWwgb2YgSGVhbHRoIFBy
b21vdGlvbjwvZnVsbC10aXRsZT48L3BlcmlvZGljYWw+PHBhZ2VzPjE0OS0xNTc8L3BhZ2VzPjx2
b2x1bWU+MzA8L3ZvbHVtZT48bnVtYmVyPjM8L251bWJlcj48c2VjdGlvbj4xNDk8L3NlY3Rpb24+
PGRhdGVzPjx5ZWFyPjIwMTY8L3llYXI+PC9kYXRlcz48aXNibj4wODkwLTExNzEmI3hEOzIxNjgt
NjYwMjwvaXNibj48dXJscz48L3VybHM+PGVsZWN0cm9uaWMtcmVzb3VyY2UtbnVtPjEwLjQyNzgv
YWpocC4xNDAyMjEtUVVBTi03OTwvZWxlY3Ryb25pYy1yZXNvdXJjZS1udW0+PC9yZWNvcmQ+PC9D
aXRlPjxDaXRlPjxBdXRob3I+UGVyYWxlczwvQXV0aG9yPjxZZWFyPjIwMTY8L1llYXI+PFJlY051
bT4xMDY2PC9SZWNOdW0+PHJlY29yZD48cmVjLW51bWJlcj4xMDY2PC9yZWMtbnVtYmVyPjxmb3Jl
aWduLWtleXM+PGtleSBhcHA9IkVOIiBkYi1pZD0iZXh2YXNyZngyZHRyYW9lc2FzeHAyc3pzeGEy
ZGY1MDI1OTJ4IiB0aW1lc3RhbXA9IjE1NDg5OTAyOTYiPjEwNjY8L2tleT48L2ZvcmVpZ24ta2V5
cz48cmVmLXR5cGUgbmFtZT0iSm91cm5hbCBBcnRpY2xlIj4xNzwvcmVmLXR5cGU+PGNvbnRyaWJ1
dG9ycz48YXV0aG9ycz48YXV0aG9yPlBlcmFsZXMsIE0uPC9hdXRob3I+PGF1dGhvcj5TYW50b3Mt
TG96YW5vLCBBLjwvYXV0aG9yPjxhdXRob3I+U2FuY2hpcy1Hb21hciwgRi48L2F1dGhvcj48YXV0
aG9yPkx1YWNlcywgTS48L2F1dGhvcj48YXV0aG9yPlBhcmVqYS1HYWxlYW5vLCBILjwvYXV0aG9y
PjxhdXRob3I+R2FyYXRhY2hlYSwgTi48L2F1dGhvcj48YXV0aG9yPkJhcmFrYXQsIFIuPC9hdXRo
b3I+PGF1dGhvcj5MdWNpYSwgQS48L2F1dGhvcj48L2F1dGhvcnM+PC9jb250cmlidXRvcnM+PGF1
dGgtYWRkcmVzcz4xUmVzZWFyY2ggSW5zdGl0dXRlIEhvc3BpdGFsIDEyIGRlIE9jdHVicmUgKCZh
cG9zO2krMTImYXBvczspLCBNYWRyaWQsIFNQQUlOOyAyQUZJUEUgUmVzZWFyY2ggR3JvdXAsIEZh
Y3VsdHkgb2YgUGh5c2ljYWwgQWN0aXZpdHkgYW5kIFNwb3J0cyBTY2llbmNlcyBJTkVGLCBUZWNo
bmljYWwgVW5pdmVyc2l0eSBvZiBNYWRyaWQsIFNQQUlOOyAzR0lERllTLCBEZXBhcnRtZW50IG9m
IEhlYWx0aCBTY2llbmNlcywgRXVyb3BlYW4gVW5pdmVyc2l0eSBNaWd1ZWwgZGUgQ2VydmFudGVz
LCBWYWxsYWRvbGlkLCBTUEFJTjsgNERlcGFydG1lbnQgb2YgQ2FyZGlvbG9neSwgQ2FyZGlvdmFz
Y3VsYXIgSW5zdGl0dXRlLCBIb3NwaXRhbCBDbGluaWNvIFNhbiBDYXJsb3MsIE1hZHJpZCwgU1BB
SU47IDVTY2hvb2wgb2YgRG9jdG9yYXRlIFN0dWRpZXMgYW5kIFJlc2VhcmNoLCBFdXJvcGVhbiBV
bml2ZXJzaXR5LCBNYWRyaWQsIFNQQUlOOyBhbmQgNkRlcGFydGFtZW50byBkZSBGaXNpYXRyaWEg
eSBFbmZlcm1lcmlhLiBGYWN1bHRhZCBkZSBDaWVuY2lhcyBkZSBsYSBTYWx1ZCB5IGRlbCBEZXBv
cnRlLiBJbnN0aXR1dG8gQWdyb2FsaW1lbnRhcmlvIGRlIEFyYWdvbi1JQTIsIFVuaXZlcnNpZGFk
IGRlIFphcmFnb3phLUNJVEEsIFphcmFnb3phLCBTUEFJTi48L2F1dGgtYWRkcmVzcz48dGl0bGVz
Pjx0aXRsZT5NYXRlcm5hbCBDYXJkaWFjIEFkYXB0YXRpb25zIHRvIGEgUGh5c2ljYWwgRXhlcmNp
c2UgUHJvZ3JhbSBkdXJpbmcgUHJlZ25hbmN5PC90aXRsZT48c2Vjb25kYXJ5LXRpdGxlPk1lZCBT
Y2kgU3BvcnRzIEV4ZXJjPC9zZWNvbmRhcnktdGl0bGU+PC90aXRsZXM+PHBlcmlvZGljYWw+PGZ1
bGwtdGl0bGU+TWVkIFNjaSBTcG9ydHMgRXhlcmM8L2Z1bGwtdGl0bGU+PC9wZXJpb2RpY2FsPjxw
YWdlcz44OTYtOTA2PC9wYWdlcz48dm9sdW1lPjQ4PC92b2x1bWU+PG51bWJlcj41PC9udW1iZXI+
PGVkaXRpb24+MjAxNS8xMi8yNDwvZWRpdGlvbj48a2V5d29yZHM+PGtleXdvcmQ+QWR1bHQ8L2tl
eXdvcmQ+PGtleXdvcmQ+QXRyaWFsIFJlbW9kZWxpbmc8L2tleXdvcmQ+PGtleXdvcmQ+Q2FyZGlv
dmFzY3VsYXIgRGlzZWFzZXMvcHJldmVudGlvbiAmYW1wOyBjb250cm9sPC9rZXl3b3JkPjxrZXl3
b3JkPipDYXJkaW92YXNjdWxhciBQaHlzaW9sb2dpY2FsIFBoZW5vbWVuYTwva2V5d29yZD48a2V5
d29yZD5EZXByZXNzaW9uL3ByZXZlbnRpb24gJmFtcDsgY29udHJvbDwva2V5d29yZD48a2V5d29y
ZD5FY2hvY2FyZGlvZ3JhcGh5PC9rZXl3b3JkPjxrZXl3b3JkPipFeGVyY2lzZTwva2V5d29yZD48
a2V5d29yZD5GZW1hbGU8L2tleXdvcmQ+PGtleXdvcmQ+SGVtb2R5bmFtaWNzPC9rZXl3b3JkPjxr
ZXl3b3JkPkh1bWFuczwva2V5d29yZD48a2V5d29yZD5QcmVnbmFuY3kvKnBoeXNpb2xvZ3k8L2tl
eXdvcmQ+PGtleXdvcmQ+UHJlZ25hbmN5IE91dGNvbWU8L2tleXdvcmQ+PGtleXdvcmQ+UmlzayBG
YWN0b3JzPC9rZXl3b3JkPjxrZXl3b3JkPlZlbnRyaWN1bGFyIEZ1bmN0aW9uLCBMZWZ0PC9rZXl3
b3JkPjxrZXl3b3JkPlZlbnRyaWN1bGFyIFJlbW9kZWxpbmc8L2tleXdvcmQ+PGtleXdvcmQ+V2Vp
Z2h0IEdhaW48L2tleXdvcmQ+PC9rZXl3b3Jkcz48ZGF0ZXM+PHllYXI+MjAxNjwveWVhcj48cHVi
LWRhdGVzPjxkYXRlPk1heTwvZGF0ZT48L3B1Yi1kYXRlcz48L2RhdGVzPjxpc2JuPjE1MzAtMDMx
NSAoRWxlY3Ryb25pYykmI3hEOzAxOTUtOTEzMSAoTGlua2luZyk8L2lzYm4+PGFjY2Vzc2lvbi1u
dW0+MjY2OTQ4NDg8L2FjY2Vzc2lvbi1udW0+PHVybHM+PHJlbGF0ZWQtdXJscz48dXJsPmh0dHBz
Oi8vd3d3Lm5jYmkubmxtLm5paC5nb3YvcHVibWVkLzI2Njk0ODQ4PC91cmw+PC9yZWxhdGVkLXVy
bHM+PC91cmxzPjxlbGVjdHJvbmljLXJlc291cmNlLW51bT4xMC4xMjQ5L01TUy4wMDAwMDAwMDAw
MDAwODM3PC9lbGVjdHJvbmljLXJlc291cmNlLW51bT48L3JlY29yZD48L0NpdGU+PENpdGU+PEF1
dGhvcj5WYXJnYXMtVGVycm9uZXM8L0F1dGhvcj48WWVhcj4yMDE5PC9ZZWFyPjxSZWNOdW0+MTky
MDwvUmVjTnVtPjxyZWNvcmQ+PHJlYy1udW1iZXI+MTkyMDwvcmVjLW51bWJlcj48Zm9yZWlnbi1r
ZXlzPjxrZXkgYXBwPSJFTiIgZGItaWQ9ImV4dmFzcmZ4MmR0cmFvZXNhc3hwMnN6c3hhMmRmNTAy
NTkyeCIgdGltZXN0YW1wPSIxNTg4NDg2ODc1Ij4xOTIwPC9rZXk+PGtleSBhcHA9IkVOV2ViIiBk
Yi1pZD0iIj4wPC9rZXk+PC9mb3JlaWduLWtleXM+PHJlZi10eXBlIG5hbWU9IkpvdXJuYWwgQXJ0
aWNsZSI+MTc8L3JlZi10eXBlPjxjb250cmlidXRvcnM+PGF1dGhvcnM+PGF1dGhvcj5WYXJnYXMt
VGVycm9uZXMsIE0uPC9hdXRob3I+PGF1dGhvcj5CYXJha2F0LCBSLjwvYXV0aG9yPjxhdXRob3I+
U2FudGFjcnV6LCBCLjwvYXV0aG9yPjxhdXRob3I+RmVybmFuZGV6LUJ1aGlnYXMsIEkuPC9hdXRo
b3I+PGF1dGhvcj5Nb3R0b2xhLCBNLiBGLjwvYXV0aG9yPjwvYXV0aG9ycz48L2NvbnRyaWJ1dG9y
cz48YXV0aC1hZGRyZXNzPkRlcGFydG1lbnQgb2YgU29jaWFsIFNjaWVuY2VzIG9mIFBoeXNpY2Fs
IEFjdGl2aXR5LCBTcG9ydHMgYW5kIExlaXN1cmUsIEZhY3VsdHkgb2YgU2NpZW5jZXMgZm9yIFBo
eXNpY2FsIEFjdGl2aXR5IGFuZCBTcG9ydCwgSU5FRiwgVGVjaG5pY2FsIFVuaXZlcnNpdHkgb2Yg
TWFkcmlkIChVUE0pLCBNYWRyaWQsIFNwYWluLiYjeEQ7RGVwYXJ0bWVudCBvZiBPYnN0ZXRyaWNz
IGFuZCBHeW5lY29sb2d5LCBVbml2ZXJzaXR5IEhvc3BpdGFsIG9mIFRvcnJlam9uLCBNYWRyaWQs
IFNwYWluLiYjeEQ7UiBTYW11ZWwgTWNMYXVnaGxpbiBGb3VuZGF0aW9uIC0gRXhlcmNpc2UgYW5k
IFByZWduYW5jeSBMYWJvcmF0b3J5LCBTY2hvb2wgb2YgS2luZXNpb2xvZ3ksIFRoZSBVbml2ZXJz
aXR5IG9mIFdlc3Rlcm4gT250YXJpbywgTG9uZG9uLCBPbnRhcmlvLCBDYW5hZGEuPC9hdXRoLWFk
ZHJlc3M+PHRpdGxlcz48dGl0bGU+UGh5c2ljYWwgZXhlcmNpc2UgcHJvZ3JhbW1lIGR1cmluZyBw
cmVnbmFuY3kgZGVjcmVhc2VzIHBlcmluYXRhbCBkZXByZXNzaW9uIHJpc2s6IGEgcmFuZG9taXNl
ZCBjb250cm9sbGVkIHRyaWFsPC90aXRsZT48c2Vjb25kYXJ5LXRpdGxlPkJyIEogU3BvcnRzIE1l
ZDwvc2Vjb25kYXJ5LXRpdGxlPjwvdGl0bGVzPjxwZXJpb2RpY2FsPjxmdWxsLXRpdGxlPkJyIEog
U3BvcnRzIE1lZDwvZnVsbC10aXRsZT48L3BlcmlvZGljYWw+PHBhZ2VzPjM0OC0zNTM8L3BhZ2Vz
Pjx2b2x1bWU+NTM8L3ZvbHVtZT48bnVtYmVyPjY8L251bWJlcj48ZWRpdGlvbj4yMDE4LzA2LzE1
PC9lZGl0aW9uPjxrZXl3b3Jkcz48a2V5d29yZD5BZHVsdDwva2V5d29yZD48a2V5d29yZD5EZXBy
ZXNzaW9uLypwcmV2ZW50aW9uICZhbXA7IGNvbnRyb2w8L2tleXdvcmQ+PGtleXdvcmQ+KkV4ZXJj
aXNlPC9rZXl3b3JkPjxrZXl3b3JkPkZlbWFsZTwva2V5d29yZD48a2V5d29yZD5IdW1hbnM8L2tl
eXdvcmQ+PGtleXdvcmQ+UG9zdHBhcnR1bSBQZXJpb2Q8L2tleXdvcmQ+PGtleXdvcmQ+UHJlZ25h
bmN5PC9rZXl3b3JkPjxrZXl3b3JkPlByZWduYW5jeSBDb21wbGljYXRpb25zLypwc3ljaG9sb2d5
PC9rZXl3b3JkPjxrZXl3b3JkPmRlcHJlc3Npb248L2tleXdvcmQ+PGtleXdvcmQ+ZXhlcmNpc2Ug
cGh5c2ljYWwgYWN0aXZpdHk8L2tleXdvcmQ+PGtleXdvcmQ+cHN5Y2hvbG9neTwva2V5d29yZD48
L2tleXdvcmRzPjxkYXRlcz48eWVhcj4yMDE5PC95ZWFyPjxwdWItZGF0ZXM+PGRhdGU+TWFyPC9k
YXRlPjwvcHViLWRhdGVzPjwvZGF0ZXM+PGlzYm4+MTQ3My0wNDgwIChFbGVjdHJvbmljKSYjeEQ7
MDMwNi0zNjc0IChMaW5raW5nKTwvaXNibj48YWNjZXNzaW9uLW51bT4yOTg5OTA1MDwvYWNjZXNz
aW9uLW51bT48dXJscz48cmVsYXRlZC11cmxzPjx1cmw+aHR0cHM6Ly93d3cubmNiaS5ubG0ubmlo
Lmdvdi9wdWJtZWQvMjk4OTkwNTA8L3VybD48L3JlbGF0ZWQtdXJscz48L3VybHM+PGVsZWN0cm9u
aWMtcmVzb3VyY2UtbnVtPjEwLjExMzYvYmpzcG9ydHMtMjAxNy0wOTg5MjY8L2VsZWN0cm9uaWMt
cmVzb3VyY2UtbnVtPjwvcmVjb3JkPjwvQ2l0ZT48Q2l0ZT48QXV0aG9yPkFndWlsYXItQ29yZGVy
bzwvQXV0aG9yPjxZZWFyPjIwMTk8L1llYXI+PFJlY051bT4xOTE3PC9SZWNOdW0+PHJlY29yZD48
cmVjLW51bWJlcj4xOTE3PC9yZWMtbnVtYmVyPjxmb3JlaWduLWtleXM+PGtleSBhcHA9IkVOIiBk
Yi1pZD0iZXh2YXNyZngyZHRyYW9lc2FzeHAyc3pzeGEyZGY1MDI1OTJ4IiB0aW1lc3RhbXA9IjE1
ODg0ODEwMDYiPjE5MTc8L2tleT48L2ZvcmVpZ24ta2V5cz48cmVmLXR5cGUgbmFtZT0iSm91cm5h
bCBBcnRpY2xlIj4xNzwvcmVmLXR5cGU+PGNvbnRyaWJ1dG9ycz48YXV0aG9ycz48YXV0aG9yPkFn
dWlsYXItQ29yZGVybywgTS4gSi48L2F1dGhvcj48YXV0aG9yPlNhbmNoZXotR2FyY2lhLCBKLiBD
LjwvYXV0aG9yPjxhdXRob3I+Um9kcmlndWV6LUJsYW5xdWUsIFIuPC9hdXRob3I+PGF1dGhvcj5T
YW5jaGV6LUxvcGV6LCBBLiBNLjwvYXV0aG9yPjxhdXRob3I+TXVyLVZpbGxhciwgTi48L2F1dGhv
cj48L2F1dGhvcnM+PC9jb250cmlidXRvcnM+PGF1dGgtYWRkcmVzcz4xIE1hcmlhIEpvc2UgQWd1
aWxhci1Db3JkZXJvLCBQaEQsIFVuaXZlcnNpdHkgb2YgR3JhbmFkYSwgU2FuIENlY2lsaW8gQ2xp
bmljYWwgSG9zcGl0YWwsIEdyYW5hZGEsIFNwYWluLiYjeEQ7MiBKdWFuIENhcmxvcyBTYW5jaGV6
LUdhcmNpYSwgUGhELCBVbml2ZXJzaXR5IG9mIEdyYW5hZGEsIEdyYW5hZGEsIFNwYWluLiYjeEQ7
MyBSYXF1ZWwgUm9kcmlndWV6LUJsYW5xdWUsIFBoRCwgVW5pdmVyc2l0eSBvZiBHcmFuYWRhLCBH
cmFuYWRhLCBTcGFpbi4mI3hEOzQgQW50b25pbyBNYW51ZWwgU2FuY2hlei1Mb3BleiwgUGhELCBV
bml2ZXJzaXR5IG9mIEdyYW5hZGEsIEdyYW5hZGEsIFNwYWluLiYjeEQ7NSBOb3JtYSBNdXItVmls
bGFyLCBQaEQsIFVuaXZlcnNpdHkgb2YgR3JhbmFkYSwgR3JhbmFkYSwgU3BhaW47IENpZW5mdWVn
b3MgU2Nob29sIG9mIE1lZGljYWwgU2NpZW5jZXMsIENpZW5mdWVnb3MsIEN1YmEuPC9hdXRoLWFk
ZHJlc3M+PHRpdGxlcz48dGl0bGU+TW9kZXJhdGUgcGh5c2ljYWwgYWN0aXZpdHkgaW4gYW4gYXF1
YXRpYyBlbnZpcm9ubWVudCBkdXJpbmcgcHJlZ25hbmN5IChTV0VQIFN0dWR5KSBhbmQgaXRzIGlu
Zmx1ZW5jZSBpbiBwcmV2ZW50aW5nIHBvc3RwYXJ0dW0gZGVwcmVzc2lvbjwvdGl0bGU+PHNlY29u
ZGFyeS10aXRsZT5KIEFtIFBzeWNoaWF0ciBOdXJzZXMgQXNzb2M8L3NlY29uZGFyeS10aXRsZT48
L3RpdGxlcz48cGVyaW9kaWNhbD48ZnVsbC10aXRsZT5KIEFtIFBzeWNoaWF0ciBOdXJzZXMgQXNz
b2M8L2Z1bGwtdGl0bGU+PC9wZXJpb2RpY2FsPjxwYWdlcz4xMTItMTIxPC9wYWdlcz48dm9sdW1l
PjI1PC92b2x1bWU+PG51bWJlcj4yPC9udW1iZXI+PGVkaXRpb24+MjAxOC8wMy8wMjwvZWRpdGlv
bj48a2V5d29yZHM+PGtleXdvcmQ+KmJvZHkgbWFzcyBpbmRleDwva2V5d29yZD48a2V5d29yZD4q
cGh5c2ljYWwgYWN0aXZpdHk8L2tleXdvcmQ+PGtleXdvcmQ+KnBvc3RwYXJ0dW0gZGVwcmVzc2lv
bjwva2V5d29yZD48a2V5d29yZD4qcHJlZ25hbmN5PC9rZXl3b3JkPjwva2V5d29yZHM+PGRhdGVz
Pjx5ZWFyPjIwMTk8L3llYXI+PHB1Yi1kYXRlcz48ZGF0ZT5NYXIvQXByPC9kYXRlPjwvcHViLWRh
dGVzPjwvZGF0ZXM+PGlzYm4+MTUzMi01NzI1IChFbGVjdHJvbmljKSYjeEQ7MTA3OC0zOTAzIChM
aW5raW5nKTwvaXNibj48YWNjZXNzaW9uLW51bT4yOTQ5MDU2MDwvYWNjZXNzaW9uLW51bT48dXJs
cz48cmVsYXRlZC11cmxzPjx1cmw+aHR0cHM6Ly93d3cubmNiaS5ubG0ubmloLmdvdi9wdWJtZWQv
Mjk0OTA1NjA8L3VybD48L3JlbGF0ZWQtdXJscz48L3VybHM+PGVsZWN0cm9uaWMtcmVzb3VyY2Ut
bnVtPjEwLjExNzcvMTA3ODM5MDMxNzc1MzY3NTwvZWxlY3Ryb25pYy1yZXNvdXJjZS1udW0+PC9y
ZWNvcmQ+PC9DaXRlPjwvRW5kTm90ZT5=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PEVuZE5vdGU+PENpdGU+PEF1dGhvcj5CYXJha2F0PC9BdXRob3I+PFllYXI+MjAwOTwvWWVhcj48
UmVjTnVtPjY2ODwvUmVjTnVtPjxEaXNwbGF5VGV4dD48c3R5bGUgZmFjZT0ic3VwZXJzY3JpcHQi
IGZvbnQ9IlRyZWJ1Y2hldCBNUyIgc2l6ZT0iOSI+Mjk0LTI5NiwzMTMsNDI3LTQzMSw0MzksNDQw
LDQ0Niw0NDcsNDU0PC9zdHlsZT48L0Rpc3BsYXlUZXh0PjxyZWNvcmQ+PHJlYy1udW1iZXI+NjY4
PC9yZWMtbnVtYmVyPjxmb3JlaWduLWtleXM+PGtleSBhcHA9IkVOIiBkYi1pZD0iZXh2YXNyZngy
ZHRyYW9lc2FzeHAyc3pzeGEyZGY1MDI1OTJ4IiB0aW1lc3RhbXA9IjE1NDA1MjY1OTEiPjY2ODwv
a2V5PjwvZm9yZWlnbi1rZXlzPjxyZWYtdHlwZSBuYW1lPSJKb3VybmFsIEFydGljbGUiPjE3PC9y
ZWYtdHlwZT48Y29udHJpYnV0b3JzPjxhdXRob3JzPjxhdXRob3I+QmFyYWthdCwgUi48L2F1dGhv
cj48YXV0aG9yPkx1Y2lhLCBBLjwvYXV0aG9yPjxhdXRob3I+UnVpeiwgSi4gUi48L2F1dGhvcj48
L2F1dGhvcnM+PC9jb250cmlidXRvcnM+PGF1dGgtYWRkcmVzcz5GYWN1bHRhZCBkZSBDaWVuY2lh
cyBkZSBsYSBBY3RpdmlkYWQgRmlzaWNhIHkgZGVsIERlcG9ydGUtSU5FRiwgVW5pdmVyc2lkYWQg
UG9saXRlY25pY2EgZGUgTWFkcmlkLCBNYWRyaWQsIFNwYWluLjwvYXV0aC1hZGRyZXNzPjx0aXRs
ZXM+PHRpdGxlPlJlc2lzdGFuY2UgZXhlcmNpc2UgdHJhaW5pbmcgZHVyaW5nIHByZWduYW5jeSBh
bmQgbmV3Ym9ybiZhcG9zO3MgYmlydGggc2l6ZTogYSByYW5kb21pc2VkIGNvbnRyb2xsZWQgdHJp
YWw8L3RpdGxlPjxzZWNvbmRhcnktdGl0bGU+SW50IEogT2JlcyAoTG9uZCk8L3NlY29uZGFyeS10
aXRsZT48L3RpdGxlcz48cGVyaW9kaWNhbD48ZnVsbC10aXRsZT5JbnQgSiBPYmVzIChMb25kKTwv
ZnVsbC10aXRsZT48L3BlcmlvZGljYWw+PHBhZ2VzPjEwNDgtNTc8L3BhZ2VzPjx2b2x1bWU+MzM8
L3ZvbHVtZT48bnVtYmVyPjk8L251bWJlcj48ZWRpdGlvbj4yMDA5LzA3LzI5PC9lZGl0aW9uPjxr
ZXl3b3Jkcz48a2V5d29yZD5BZHVsdDwva2V5d29yZD48a2V5d29yZD5CaXJ0aCBXZWlnaHQvKnBo
eXNpb2xvZ3k8L2tleXdvcmQ+PGtleXdvcmQ+Qm9keSBNYXNzIEluZGV4PC9rZXl3b3JkPjxrZXl3
b3JkPkJvZHkgU2l6ZTwva2V5d29yZD48a2V5d29yZD5Cb2R5IFdlaWdodC8qcGh5c2lvbG9neTwv
a2V5d29yZD48a2V5d29yZD5GZW1hbGU8L2tleXdvcmQ+PGtleXdvcmQ+RmV0YWwgRGV2ZWxvcG1l
bnQvKnBoeXNpb2xvZ3k8L2tleXdvcmQ+PGtleXdvcmQ+SHVtYW5zPC9rZXl3b3JkPjxrZXl3b3Jk
PkluZmFudCwgTmV3Ym9ybjwva2V5d29yZD48a2V5d29yZD5QcmVnbmFuY3k8L2tleXdvcmQ+PGtl
eXdvcmQ+UHJlZ25hbmN5IFRyaW1lc3RlciwgU2Vjb25kPC9rZXl3b3JkPjxrZXl3b3JkPlByZWdu
YW5jeSBUcmltZXN0ZXIsIFRoaXJkPC9rZXl3b3JkPjxrZXl3b3JkPlJlc2lzdGFuY2UgVHJhaW5p
bmcvKm1ldGhvZHM8L2tleXdvcmQ+PGtleXdvcmQ+U3BhaW4vZXBpZGVtaW9sb2d5PC9rZXl3b3Jk
Pjwva2V5d29yZHM+PGRhdGVzPjx5ZWFyPjIwMDk8L3llYXI+PHB1Yi1kYXRlcz48ZGF0ZT5TZXA8
L2RhdGU+PC9wdWItZGF0ZXM+PC9kYXRlcz48aXNibj4xNDc2LTU0OTcgKEVsZWN0cm9uaWMpJiN4
RDswMzA3LTA1NjUgKExpbmtpbmcpPC9pc2JuPjxhY2Nlc3Npb24tbnVtPjE5NjM2MzIwPC9hY2Nl
c3Npb24tbnVtPjx1cmxzPjxyZWxhdGVkLXVybHM+PHVybD5odHRwczovL3d3dy5uY2JpLm5sbS5u
aWguZ292L3B1Ym1lZC8xOTYzNjMyMDwvdXJsPjwvcmVsYXRlZC11cmxzPjwvdXJscz48ZWxlY3Ry
b25pYy1yZXNvdXJjZS1udW0+MTAuMTAzOC9pam8uMjAwOS4xNTA8L2VsZWN0cm9uaWMtcmVzb3Vy
Y2UtbnVtPjwvcmVjb3JkPjwvQ2l0ZT48Q2l0ZT48QXV0aG9yPkJhcmFrYXQ8L0F1dGhvcj48WWVh
cj4yMDEyPC9ZZWFyPjxSZWNOdW0+NjcwPC9SZWNOdW0+PHJlY29yZD48cmVjLW51bWJlcj42NzA8
L3JlYy1udW1iZXI+PGZvcmVpZ24ta2V5cz48a2V5IGFwcD0iRU4iIGRiLWlkPSJleHZhc3JmeDJk
dHJhb2VzYXN4cDJzenN4YTJkZjUwMjU5MngiIHRpbWVzdGFtcD0iMTU0MDUyNjYzNiI+NjcwPC9r
ZXk+PC9mb3JlaWduLWtleXM+PHJlZi10eXBlIG5hbWU9IkpvdXJuYWwgQXJ0aWNsZSI+MTc8L3Jl
Zi10eXBlPjxjb250cmlidXRvcnM+PGF1dGhvcnM+PGF1dGhvcj5CYXJha2F0LCBSLjwvYXV0aG9y
PjxhdXRob3I+Q29yZGVybywgWS48L2F1dGhvcj48YXV0aG9yPkNvdGVyb24sIEouPC9hdXRob3I+
PGF1dGhvcj5MdWFjZXMsIE0uPC9hdXRob3I+PGF1dGhvcj5Nb250ZWpvLCBSLjwvYXV0aG9yPjwv
YXV0aG9ycz48L2NvbnRyaWJ1dG9ycz48YXV0aC1hZGRyZXNzPkZhY3VsdGFkIGRlIENpZW5jaWFz
IGRlIGxhIEFjdGl2aWRhZCBGaXNpY2EgeSBkZWwgRGVwb3J0ZSAtIElORUYsIFVuaXZlcnNpZGFk
IFBvbGl0ZWNuaWNhIGRlIE1hZHJpZCwgU3BhaW4uIGJhcmFrYXRydWJlbkBnbWFpbC5jb208L2F1
dGgtYWRkcmVzcz48dGl0bGVzPjx0aXRsZT5FeGVyY2lzZSBkdXJpbmcgcHJlZ25hbmN5IGltcHJv
dmVzIG1hdGVybmFsIGdsdWNvc2Ugc2NyZWVuIGF0IDI0LTI4IHdlZWtzOiBhIHJhbmRvbWlzZWQg
Y29udHJvbGxlZCB0cmlhbDwvdGl0bGU+PHNlY29uZGFyeS10aXRsZT5CciBKIFNwb3J0cyBNZWQ8
L3NlY29uZGFyeS10aXRsZT48L3RpdGxlcz48cGVyaW9kaWNhbD48ZnVsbC10aXRsZT5CciBKIFNw
b3J0cyBNZWQ8L2Z1bGwtdGl0bGU+PC9wZXJpb2RpY2FsPjxwYWdlcz42NTYtNjE8L3BhZ2VzPjx2
b2x1bWU+NDY8L3ZvbHVtZT48bnVtYmVyPjk8L251bWJlcj48ZWRpdGlvbj4yMDExLzA5LzI5PC9l
ZGl0aW9uPjxrZXl3b3Jkcz48a2V5d29yZD5BZHVsdDwva2V5d29yZD48a2V5d29yZD5CbG9vZCBH
bHVjb3NlLyptZXRhYm9saXNtPC9rZXl3b3JkPjxrZXl3b3JkPkRpYWJldGVzLCBHZXN0YXRpb25h
bC9ibG9vZC8qcHJldmVudGlvbiAmYW1wOyBjb250cm9sPC9rZXl3b3JkPjxrZXl3b3JkPkV4ZXJj
aXNlIFRoZXJhcHkvKm1ldGhvZHM8L2tleXdvcmQ+PGtleXdvcmQ+RmVtYWxlPC9rZXl3b3JkPjxr
ZXl3b3JkPkdsdWNvc2UgVG9sZXJhbmNlIFRlc3Q8L2tleXdvcmQ+PGtleXdvcmQ+SHVtYW5zPC9r
ZXl3b3JkPjxrZXl3b3JkPkh5ZHJvdGhlcmFweTwva2V5d29yZD48a2V5d29yZD5QYXRpZW50IENv
bXBsaWFuY2U8L2tleXdvcmQ+PGtleXdvcmQ+UHJlZ25hbmN5PC9rZXl3b3JkPjxrZXl3b3JkPlBy
ZWduYW5jeSBPdXRjb21lPC9rZXl3b3JkPjxrZXl3b3JkPlByZWduYW5jeSBUcmltZXN0ZXIsIFNl
Y29uZDwva2V5d29yZD48a2V5d29yZD5QcmVuYXRhbCBDYXJlLyptZXRob2RzPC9rZXl3b3JkPjxr
ZXl3b3JkPldlaWdodCBHYWluL3BoeXNpb2xvZ3k8L2tleXdvcmQ+PC9rZXl3b3Jkcz48ZGF0ZXM+
PHllYXI+MjAxMjwveWVhcj48cHViLWRhdGVzPjxkYXRlPkp1bDwvZGF0ZT48L3B1Yi1kYXRlcz48
L2RhdGVzPjxpc2JuPjE0NzMtMDQ4MCAoRWxlY3Ryb25pYykmI3hEOzAzMDYtMzY3NCAoTGlua2lu
Zyk8L2lzYm4+PGFjY2Vzc2lvbi1udW0+MjE5NDgxMjA8L2FjY2Vzc2lvbi1udW0+PHVybHM+PHJl
bGF0ZWQtdXJscz48dXJsPmh0dHBzOi8vd3d3Lm5jYmkubmxtLm5paC5nb3YvcHVibWVkLzIxOTQ4
MTIwPC91cmw+PC9yZWxhdGVkLXVybHM+PC91cmxzPjxlbGVjdHJvbmljLXJlc291cmNlLW51bT4x
MC4xMTM2L2Jqc3BvcnRzLTIwMTEtMDkwMDA5PC9lbGVjdHJvbmljLXJlc291cmNlLW51bT48L3Jl
Y29yZD48L0NpdGU+PENpdGU+PEF1dGhvcj5CYXJha2F0PC9BdXRob3I+PFllYXI+MjAxMjwvWWVh
cj48UmVjTnVtPjY3MTwvUmVjTnVtPjxyZWNvcmQ+PHJlYy1udW1iZXI+NjcxPC9yZWMtbnVtYmVy
Pjxmb3JlaWduLWtleXM+PGtleSBhcHA9IkVOIiBkYi1pZD0iZXh2YXNyZngyZHRyYW9lc2FzeHAy
c3pzeGEyZGY1MDI1OTJ4IiB0aW1lc3RhbXA9IjE1NDA1MjY2NzQiPjY3MTwva2V5PjwvZm9yZWln
bi1rZXlzPjxyZWYtdHlwZSBuYW1lPSJKb3VybmFsIEFydGljbGUiPjE3PC9yZWYtdHlwZT48Y29u
dHJpYnV0b3JzPjxhdXRob3JzPjxhdXRob3I+QmFyYWthdCwgUi48L2F1dGhvcj48YXV0aG9yPlBl
bGFleiwgTS48L2F1dGhvcj48YXV0aG9yPkxvcGV6LCBDLjwvYXV0aG9yPjxhdXRob3I+TW9udGVq
bywgUi48L2F1dGhvcj48YXV0aG9yPkNvdGVyb24sIEouPC9hdXRob3I+PC9hdXRob3JzPjwvY29u
dHJpYnV0b3JzPjxhdXRoLWFkZHJlc3M+VGVjaG5pY2FsIFVuaXZlcnNpdHkgb2YgTWFkcmlkIChV
UE0pLCBNYWRyaWQsIFNwYWluLiBiYXJha2F0cnViZW5AZ21haWwuY29tPC9hdXRoLWFkZHJlc3M+
PHRpdGxlcz48dGl0bGU+RXhlcmNpc2UgZHVyaW5nIHByZWduYW5jeSByZWR1Y2VzIHRoZSByYXRl
IG9mIGNlc2FyZWFuIGFuZCBpbnN0cnVtZW50YWwgZGVsaXZlcmllczogcmVzdWx0cyBvZiBhIHJh
bmRvbWl6ZWQgY29udHJvbGxlZCB0cmlhbDwvdGl0bGU+PHNlY29uZGFyeS10aXRsZT5KIE1hdGVy
biBGZXRhbCBOZW9uYXRhbCBNZWQ8L3NlY29uZGFyeS10aXRsZT48L3RpdGxlcz48cGVyaW9kaWNh
bD48ZnVsbC10aXRsZT5KIE1hdGVybiBGZXRhbCBOZW9uYXRhbCBNZWQ8L2Z1bGwtdGl0bGU+PC9w
ZXJpb2RpY2FsPjxwYWdlcz4yMzcyLTY8L3BhZ2VzPjx2b2x1bWU+MjU8L3ZvbHVtZT48bnVtYmVy
PjExPC9udW1iZXI+PGVkaXRpb24+MjAxMi8wNi8yMjwvZWRpdGlvbj48a2V5d29yZHM+PGtleXdv
cmQ+QWR1bHQ8L2tleXdvcmQ+PGtleXdvcmQ+Q2VzYXJlYW4gU2VjdGlvbi8qc3RhdGlzdGljcyAm
YW1wOyBudW1lcmljYWwgZGF0YTwva2V5d29yZD48a2V5d29yZD5EZWxpdmVyeSwgT2JzdGV0cmlj
L2luc3RydW1lbnRhdGlvbi8qbWV0aG9kcy8qc3RhdGlzdGljcyAmYW1wOyBudW1lcmljYWwgZGF0
YTwva2V5d29yZD48a2V5d29yZD5FeGVyY2lzZS8qcGh5c2lvbG9neTwva2V5d29yZD48a2V5d29y
ZD5FeGVyY2lzZSBUaGVyYXB5L2FkdmVyc2UgZWZmZWN0cy9tZXRob2RzPC9rZXl3b3JkPjxrZXl3
b3JkPkZlbWFsZTwva2V5d29yZD48a2V5d29yZD5Gb2xsb3ctVXAgU3R1ZGllczwva2V5d29yZD48
a2V5d29yZD5IdW1hbnM8L2tleXdvcmQ+PGtleXdvcmQ+SW5mYW50LCBOZXdib3JuPC9rZXl3b3Jk
PjxrZXl3b3JkPlBhdGllbnQgQ29tcGxpYW5jZS9zdGF0aXN0aWNzICZhbXA7IG51bWVyaWNhbCBk
YXRhPC9rZXl3b3JkPjxrZXl3b3JkPlBoeXNpY2FsIEZpdG5lc3MvcGh5c2lvbG9neTwva2V5d29y
ZD48a2V5d29yZD5QcmVnbmFuY3k8L2tleXdvcmQ+PGtleXdvcmQ+UHJlZ25hbmN5IE91dGNvbWUv
KmVwaWRlbWlvbG9neTwva2V5d29yZD48a2V5d29yZD5TdXJnaWNhbCBJbnN0cnVtZW50cy8qc3Rh
dGlzdGljcyAmYW1wOyBudW1lcmljYWwgZGF0YTwva2V5d29yZD48L2tleXdvcmRzPjxkYXRlcz48
eWVhcj4yMDEyPC95ZWFyPjxwdWItZGF0ZXM+PGRhdGU+Tm92PC9kYXRlPjwvcHViLWRhdGVzPjwv
ZGF0ZXM+PGlzYm4+MTQ3Ni00OTU0IChFbGVjdHJvbmljKSYjeEQ7MTQ3Ni00OTU0IChMaW5raW5n
KTwvaXNibj48YWNjZXNzaW9uLW51bT4yMjcxNTk4MTwvYWNjZXNzaW9uLW51bT48dXJscz48cmVs
YXRlZC11cmxzPjx1cmw+aHR0cHM6Ly93d3cubmNiaS5ubG0ubmloLmdvdi9wdWJtZWQvMjI3MTU5
ODE8L3VybD48L3JlbGF0ZWQtdXJscz48L3VybHM+PGVsZWN0cm9uaWMtcmVzb3VyY2UtbnVtPjEw
LjMxMDkvMTQ3NjcwNTguMjAxMi42OTYxNjU8L2VsZWN0cm9uaWMtcmVzb3VyY2UtbnVtPjwvcmVj
b3JkPjwvQ2l0ZT48Q2l0ZT48QXV0aG9yPkJhcmFrYXQ8L0F1dGhvcj48WWVhcj4yMDEzPC9ZZWFy
PjxSZWNOdW0+NzEyPC9SZWNOdW0+PHJlY29yZD48cmVjLW51bWJlcj43MTI8L3JlYy1udW1iZXI+
PGZvcmVpZ24ta2V5cz48a2V5IGFwcD0iRU4iIGRiLWlkPSJleHZhc3JmeDJkdHJhb2VzYXN4cDJz
enN4YTJkZjUwMjU5MngiIHRpbWVzdGFtcD0iMTU0MTQ2MjMzMSI+NzEyPC9rZXk+PC9mb3JlaWdu
LWtleXM+PHJlZi10eXBlIG5hbWU9IkpvdXJuYWwgQXJ0aWNsZSI+MTc8L3JlZi10eXBlPjxjb250
cmlidXRvcnM+PGF1dGhvcnM+PGF1dGhvcj5CYXJha2F0LCBSLjwvYXV0aG9yPjxhdXRob3I+UGVs
YWV6LCBNLjwvYXV0aG9yPjxhdXRob3I+TG9wZXosIEMuPC9hdXRob3I+PGF1dGhvcj5MdWNpYSwg
QS48L2F1dGhvcj48YXV0aG9yPlJ1aXosIEouIFIuPC9hdXRob3I+PC9hdXRob3JzPjwvY29udHJp
YnV0b3JzPjxhdXRoLWFkZHJlc3M+RmFjdWx0YWQgZGUgQ2llbmNpYXMgZGUgbGEgQWN0aXZpZGFk
IEZpc2ljYSB5IGRlbCBEZXBvcnRlLUlORUYsIFVuaXZlcnNpZGFkIFBvbGl0ZWNuaWNhIGRlIE1h
ZHJpZCwgTWFkcmlkLCBTcGFpbi48L2F1dGgtYWRkcmVzcz48dGl0bGVzPjx0aXRsZT5FeGVyY2lz
ZSBkdXJpbmcgcHJlZ25hbmN5IGFuZCBnZXN0YXRpb25hbCBkaWFiZXRlcy1yZWxhdGVkIGFkdmVy
c2UgZWZmZWN0czogYSByYW5kb21pc2VkIGNvbnRyb2xsZWQgdHJpYWw8L3RpdGxlPjxzZWNvbmRh
cnktdGl0bGU+QnIgSiBTcG9ydHMgTWVkPC9zZWNvbmRhcnktdGl0bGU+PC90aXRsZXM+PHBlcmlv
ZGljYWw+PGZ1bGwtdGl0bGU+QnIgSiBTcG9ydHMgTWVkPC9mdWxsLXRpdGxlPjwvcGVyaW9kaWNh
bD48cGFnZXM+NjMwLTY8L3BhZ2VzPjx2b2x1bWU+NDc8L3ZvbHVtZT48bnVtYmVyPjEwPC9udW1i
ZXI+PGVkaXRpb24+MjAxMy8wMi8wMTwvZWRpdGlvbj48a2V5d29yZHM+PGtleXdvcmQ+QWR1bHQ8
L2tleXdvcmQ+PGtleXdvcmQ+QmlydGggV2VpZ2h0PC9rZXl3b3JkPjxrZXl3b3JkPkRpYWJldGVz
LCBHZXN0YXRpb25hbC8qcHJldmVudGlvbiAmYW1wOyBjb250cm9sPC9rZXl3b3JkPjxrZXl3b3Jk
PkV4ZXJjaXNlIFRoZXJhcHkvKm1ldGhvZHM8L2tleXdvcmQ+PGtleXdvcmQ+RmVtYWxlPC9rZXl3
b3JkPjxrZXl3b3JkPkZldGFsIE1hY3Jvc29taWEvcHJldmVudGlvbiAmYW1wOyBjb250cm9sPC9r
ZXl3b3JkPjxrZXl3b3JkPkh1bWFuczwva2V5d29yZD48a2V5d29yZD5QcmVnbmFuY3k8L2tleXdv
cmQ+PGtleXdvcmQ+UHJlZ25hbmN5IE91dGNvbWU8L2tleXdvcmQ+PGtleXdvcmQ+UHJlZ25hbmN5
IFRyaW1lc3RlciwgU2Vjb25kPC9rZXl3b3JkPjxrZXl3b3JkPlByZWduYW5jeSBUcmltZXN0ZXIs
IFRoaXJkPC9rZXl3b3JkPjxrZXl3b3JkPlByZW5hdGFsIENhcmUvbWV0aG9kczwva2V5d29yZD48
a2V5d29yZD5XZWlnaHQgR2Fpbjwva2V5d29yZD48a2V5d29yZD5EaWFiZXRlczwva2V5d29yZD48
a2V5d29yZD5Xb21lbiBpbiBzcG9ydDwva2V5d29yZD48L2tleXdvcmRzPjxkYXRlcz48eWVhcj4y
MDEzPC95ZWFyPjxwdWItZGF0ZXM+PGRhdGU+SnVsPC9kYXRlPjwvcHViLWRhdGVzPjwvZGF0ZXM+
PGlzYm4+MTQ3My0wNDgwIChFbGVjdHJvbmljKSYjeEQ7MDMwNi0zNjc0IChMaW5raW5nKTwvaXNi
bj48YWNjZXNzaW9uLW51bT4yMzM2NTQxODwvYWNjZXNzaW9uLW51bT48dXJscz48cmVsYXRlZC11
cmxzPjx1cmw+aHR0cHM6Ly93d3cubmNiaS5ubG0ubmloLmdvdi9wdWJtZWQvMjMzNjU0MTg8L3Vy
bD48L3JlbGF0ZWQtdXJscz48L3VybHM+PGVsZWN0cm9uaWMtcmVzb3VyY2UtbnVtPjEwLjExMzYv
YmpzcG9ydHMtMjAxMi0wOTE3ODg8L2VsZWN0cm9uaWMtcmVzb3VyY2UtbnVtPjwvcmVjb3JkPjwv
Q2l0ZT48Q2l0ZT48QXV0aG9yPkJhcmFrYXQ8L0F1dGhvcj48WWVhcj4yMDE0PC9ZZWFyPjxSZWNO
dW0+Njc0PC9SZWNOdW0+PHJlY29yZD48cmVjLW51bWJlcj42NzQ8L3JlYy1udW1iZXI+PGZvcmVp
Z24ta2V5cz48a2V5IGFwcD0iRU4iIGRiLWlkPSJleHZhc3JmeDJkdHJhb2VzYXN4cDJzenN4YTJk
ZjUwMjU5MngiIHRpbWVzdGFtcD0iMTU0MDUyNjc0OSI+Njc0PC9rZXk+PC9mb3JlaWduLWtleXM+
PHJlZi10eXBlIG5hbWU9IkpvdXJuYWwgQXJ0aWNsZSI+MTc8L3JlZi10eXBlPjxjb250cmlidXRv
cnM+PGF1dGhvcnM+PGF1dGhvcj5CYXJha2F0LCBSLjwvYXV0aG9yPjxhdXRob3I+UGVyYWxlcywg
TS48L2F1dGhvcj48YXV0aG9yPkJhY2NoaSwgTS48L2F1dGhvcj48YXV0aG9yPkNvdGVyb24sIEou
PC9hdXRob3I+PGF1dGhvcj5SZWZveW8sIEkuPC9hdXRob3I+PC9hdXRob3JzPjwvY29udHJpYnV0
b3JzPjx0aXRsZXM+PHRpdGxlPkEgcHJvZ3JhbSBvZiBleGVyY2lzZSB0aHJvdWdob3V0IHByZWdu
YW5jeS4gSXMgaXQgc2FmZSB0byBtb3RoZXIgYW5kIG5ld2Jvcm4/PC90aXRsZT48c2Vjb25kYXJ5
LXRpdGxlPkFtIEogSGVhbHRoIFByb21vdDwvc2Vjb25kYXJ5LXRpdGxlPjwvdGl0bGVzPjxwZXJp
b2RpY2FsPjxmdWxsLXRpdGxlPkFtIEogSGVhbHRoIFByb21vdDwvZnVsbC10aXRsZT48L3Blcmlv
ZGljYWw+PHBhZ2VzPjItODwvcGFnZXM+PHZvbHVtZT4yOTwvdm9sdW1lPjxudW1iZXI+MTwvbnVt
YmVyPjxlZGl0aW9uPjIwMTMvMTEvMTA8L2VkaXRpb24+PGtleXdvcmRzPjxrZXl3b3JkPkFkdWx0
PC9rZXl3b3JkPjxrZXl3b3JkPkFwZ2FyIFNjb3JlPC9rZXl3b3JkPjxrZXl3b3JkPkJpcnRoIFdl
aWdodC9waHlzaW9sb2d5PC9rZXl3b3JkPjxrZXl3b3JkPkJvZHkgTWFzcyBJbmRleDwva2V5d29y
ZD48a2V5d29yZD5EaWFiZXRlcywgR2VzdGF0aW9uYWwvZXBpZGVtaW9sb2d5PC9rZXl3b3JkPjxr
ZXl3b3JkPkZlbWFsZTwva2V5d29yZD48a2V5d29yZD5HZXN0YXRpb25hbCBBZ2U8L2tleXdvcmQ+
PGtleXdvcmQ+SHVtYW5zPC9rZXl3b3JkPjxrZXl3b3JkPkluZmFudCwgTmV3Ym9ybjwva2V5d29y
ZD48a2V5d29yZD4qUGh5c2ljYWwgQ29uZGl0aW9uaW5nLCBIdW1hbi9hZHZlcnNlIGVmZmVjdHMv
bWV0aG9kczwva2V5d29yZD48a2V5d29yZD4qUHJlZ25hbmN5L3BoeXNpb2xvZ3k8L2tleXdvcmQ+
PGtleXdvcmQ+UHJlZ25hbmN5IE91dGNvbWU8L2tleXdvcmQ+PGtleXdvcmQ+V2VpZ2h0IEdhaW4v
cGh5c2lvbG9neTwva2V5d29yZD48a2V5d29yZD5IZWFsdGggZm9jdXM6IHBoeXNpY2FsIGFjdGl2
aXR5PC9rZXl3b3JkPjxrZXl3b3JkPk1hbnVzY3JpcHQgZm9ybWF0OiByZXNlYXJjaDwva2V5d29y
ZD48a2V5d29yZD5NYXRlcm5hbDwva2V5d29yZD48a2V5d29yZD5PdXRjb21lIG1lYXN1cmU6IGJl
aGF2aW9yYWw8L2tleXdvcmQ+PGtleXdvcmQ+UGh5c2ljYWwgRXhlcmNpc2U8L2tleXdvcmQ+PGtl
eXdvcmQ+UHJlZ25hbmN5IE91dGNvbWVzPC9rZXl3b3JkPjxrZXl3b3JkPlByZXZlbnRpb24gUmVz
ZWFyY2g8L2tleXdvcmQ+PGtleXdvcmQ+UmVzZWFyY2ggcHVycG9zZTogaW50ZXJ2ZW50aW9uIHRl
c3Rpbmc8L2tleXdvcmQ+PGtleXdvcmQ+U2V0dGluZzogaGVhbHRoIGNhcmU8L2tleXdvcmQ+PGtl
eXdvcmQ+U3RyYXRlZ3k6IGJlaGF2aW9yIGNoYW5nZSwgY3VsdHVyZSBjaGFuZ2U8L2tleXdvcmQ+
PGtleXdvcmQ+U3R1ZHkgZGVzaWduOiByYW5kb21pemVkIHRyaWFsPC9rZXl3b3JkPjxrZXl3b3Jk
PlRhcmdldCBwb3B1bGF0aW9uIGFnZTogYWR1bHRzPC9rZXl3b3JkPjxrZXl3b3JkPlRhcmdldCBw
b3B1bGF0aW9uIGNpcmN1bXN0YW5jZXM6IGVkdWNhdGlvbjwva2V5d29yZD48a2V5d29yZD5XZWln
aHQgR2Fpbjwva2V5d29yZD48L2tleXdvcmRzPjxkYXRlcz48eWVhcj4yMDE0PC95ZWFyPjxwdWIt
ZGF0ZXM+PGRhdGU+U2VwLU9jdDwvZGF0ZT48L3B1Yi1kYXRlcz48L2RhdGVzPjxpc2JuPjIxNjgt
NjYwMiAoRWxlY3Ryb25pYykmI3hEOzA4OTAtMTE3MSAoTGlua2luZyk8L2lzYm4+PGFjY2Vzc2lv
bi1udW0+MjQyMDAzMzU8L2FjY2Vzc2lvbi1udW0+PHVybHM+PHJlbGF0ZWQtdXJscz48dXJsPmh0
dHBzOi8vd3d3Lm5jYmkubmxtLm5paC5nb3YvcHVibWVkLzI0MjAwMzM1PC91cmw+PC9yZWxhdGVk
LXVybHM+PC91cmxzPjxlbGVjdHJvbmljLXJlc291cmNlLW51bT4xMC40Mjc4L2FqaHAuMTMwMTMx
LVFVQU4tNTY8L2VsZWN0cm9uaWMtcmVzb3VyY2UtbnVtPjwvcmVjb3JkPjwvQ2l0ZT48Q2l0ZT48
QXV0aG9yPkJhcmFrYXQ8L0F1dGhvcj48WWVhcj4yMDE2PC9ZZWFyPjxSZWNOdW0+Njc2PC9SZWNO
dW0+PHJlY29yZD48cmVjLW51bWJlcj42NzY8L3JlYy1udW1iZXI+PGZvcmVpZ24ta2V5cz48a2V5
IGFwcD0iRU4iIGRiLWlkPSJleHZhc3JmeDJkdHJhb2VzYXN4cDJzenN4YTJkZjUwMjU5MngiIHRp
bWVzdGFtcD0iMTU0MDUyNjc4MyI+Njc2PC9rZXk+PC9mb3JlaWduLWtleXM+PHJlZi10eXBlIG5h
bWU9IkpvdXJuYWwgQXJ0aWNsZSI+MTc8L3JlZi10eXBlPjxjb250cmlidXRvcnM+PGF1dGhvcnM+
PGF1dGhvcj5CYXJha2F0LCBSLjwvYXV0aG9yPjxhdXRob3I+UGVsYWV6LCBNLjwvYXV0aG9yPjxh
dXRob3I+Q29yZGVybywgWS48L2F1dGhvcj48YXV0aG9yPlBlcmFsZXMsIE0uPC9hdXRob3I+PGF1
dGhvcj5Mb3BleiwgQy48L2F1dGhvcj48YXV0aG9yPkNvdGVyb24sIEouPC9hdXRob3I+PGF1dGhv
cj5Nb3R0b2xhLCBNLiBGLjwvYXV0aG9yPjwvYXV0aG9ycz48L2NvbnRyaWJ1dG9ycz48YXV0aC1h
ZGRyZXNzPlBoeXNpY2FsIEFjdGl2aXR5IGFuZCBTcG9ydHMgaW4gU3BlY2lmaWMgUG9wdWxhdGlv
bnMgKEFGSVBFKSBSZXNlYXJjaCBHcm91cCwgRmFjdWx0eSBvZiBQaHlzaWNhbCBBY3Rpdml0eSBh
bmQgU3BvcnRzIFNjaWVuY2VzLUZhY3VsdGFkIGRlIENpZW5jaWFzIGRlIGxhIEFjdGl2aWRhZCBG
aXNpY2EgeSBlbCBEZXBvcnRlLCBUZWNobmljYWwgVW5pdmVyc2l0eSBvZiBNYWRyaWQsIE1hZHJp
ZCwgU3BhaW4uJiN4RDtDYXRob2xpYyBVbml2ZXJzaXR5IG9mIE11cmNpYSwgTXVyY2lhLCBTcGFp
bi4mI3hEO1IuIFNhbXVlbCBNY0xhdWdobGluIEZvdW5kYXRpb24tRXhlcmNpc2UgYW5kIFByZWdu
YW5jeSBMYWJvcmF0b3J5LCBTY2hvb2wgb2YgS2luZXNpb2xvZ3ksIEZhY3VsdHkgb2YgSGVhbHRo
IFNjaWVuY2VzLCBEZXBhcnRtZW50IG9mIEFuYXRvbXkgYW5kIENlbGwgQmlvbG9neSwgU2NodWxp
Y2ggU2Nob29sIG9mIE1lZGljaW5lIGFuZCBEZW50aXN0cnksIENoaWxkcmVuJmFwb3M7cyBIZWFs
dGggUmVzZWFyY2ggSW5zdGl0dXRlLCBVbml2ZXJzaXR5IG9mIFdlc3Rlcm4gT250YXJpbywgTG9u
ZG9uLCBPbnRhcmlvLCBDYW5hZGEuIEVsZWN0cm9uaWMgYWRkcmVzczogbW1vdHRvbGFAdXdvLmNh
LjwvYXV0aC1hZGRyZXNzPjx0aXRsZXM+PHRpdGxlPkV4ZXJjaXNlIGR1cmluZyBwcmVnbmFuY3kg
cHJvdGVjdHMgYWdhaW5zdCBoeXBlcnRlbnNpb24gYW5kIG1hY3Jvc29taWE6IHJhbmRvbWl6ZWQg
Y2xpbmljYWwgdHJpYWw8L3RpdGxlPjxzZWNvbmRhcnktdGl0bGU+QW0gSiBPYnN0ZXQgR3luZWNv
bDwvc2Vjb25kYXJ5LXRpdGxlPjwvdGl0bGVzPjxwZXJpb2RpY2FsPjxmdWxsLXRpdGxlPkFtIEog
T2JzdGV0IEd5bmVjb2w8L2Z1bGwtdGl0bGU+PC9wZXJpb2RpY2FsPjxwYWdlcz42NDkgZTEtODwv
cGFnZXM+PHZvbHVtZT4yMTQ8L3ZvbHVtZT48bnVtYmVyPjU8L251bWJlcj48ZWRpdGlvbj4yMDE1
LzEyLzI2PC9lZGl0aW9uPjxrZXl3b3Jkcz48a2V5d29yZD5BZHVsdDwva2V5d29yZD48a2V5d29y
ZD5CaXJ0aCBXZWlnaHQ8L2tleXdvcmQ+PGtleXdvcmQ+RGlhYmV0ZXMsIEdlc3RhdGlvbmFsL3By
ZXZlbnRpb24gJmFtcDsgY29udHJvbDwva2V5d29yZD48a2V5d29yZD4qRXhlcmNpc2U8L2tleXdv
cmQ+PGtleXdvcmQ+RmVtYWxlPC9rZXl3b3JkPjxrZXl3b3JkPkZldGFsIE1hY3Jvc29taWEvKnBy
ZXZlbnRpb24gJmFtcDsgY29udHJvbDwva2V5d29yZD48a2V5d29yZD5IdW1hbnM8L2tleXdvcmQ+
PGtleXdvcmQ+SHlwZXJ0ZW5zaW9uLCBQcmVnbmFuY3ktSW5kdWNlZC8qcHJldmVudGlvbiAmYW1w
OyBjb250cm9sPC9rZXl3b3JkPjxrZXl3b3JkPkluZmFudCwgTmV3Ym9ybjwva2V5d29yZD48a2V5
d29yZD5QcmVnbmFuY3k8L2tleXdvcmQ+PGtleXdvcmQ+V2VpZ2h0IEdhaW48L2tleXdvcmQ+PGtl
eXdvcmQ+Kmdlc3RhdGlvbmFsIHdlaWdodCBnYWluPC9rZXl3b3JkPjxrZXl3b3JkPipoeXBlcnRl
bnNpb248L2tleXdvcmQ+PGtleXdvcmQ+KmludGVydmVudGlvbjwva2V5d29yZD48a2V5d29yZD4q
b3V0Y29tZTwva2V5d29yZD48a2V5d29yZD4qcHJlZ25hbmN5PC9rZXl3b3JkPjwva2V5d29yZHM+
PGRhdGVzPjx5ZWFyPjIwMTY8L3llYXI+PHB1Yi1kYXRlcz48ZGF0ZT5NYXk8L2RhdGU+PC9wdWIt
ZGF0ZXM+PC9kYXRlcz48aXNibj4xMDk3LTY4NjggKEVsZWN0cm9uaWMpJiN4RDswMDAyLTkzNzgg
KExpbmtpbmcpPC9pc2JuPjxhY2Nlc3Npb24tbnVtPjI2NzA0ODk0PC9hY2Nlc3Npb24tbnVtPjx1
cmxzPjxyZWxhdGVkLXVybHM+PHVybD5odHRwczovL3d3dy5uY2JpLm5sbS5uaWguZ292L3B1Ym1l
ZC8yNjcwNDg5NDwvdXJsPjwvcmVsYXRlZC11cmxzPjwvdXJscz48ZWxlY3Ryb25pYy1yZXNvdXJj
ZS1udW0+MTAuMTAxNi9qLmFqb2cuMjAxNS4xMS4wMzk8L2VsZWN0cm9uaWMtcmVzb3VyY2UtbnVt
PjwvcmVjb3JkPjwvQ2l0ZT48Q2l0ZT48QXV0aG9yPkJhcmFrYXQ8L0F1dGhvcj48WWVhcj4yMDE4
PC9ZZWFyPjxSZWNOdW0+NzExPC9SZWNOdW0+PHJlY29yZD48cmVjLW51bWJlcj43MTE8L3JlYy1u
dW1iZXI+PGZvcmVpZ24ta2V5cz48a2V5IGFwcD0iRU4iIGRiLWlkPSJleHZhc3JmeDJkdHJhb2Vz
YXN4cDJzenN4YTJkZjUwMjU5MngiIHRpbWVzdGFtcD0iMTU0MTQ2MjI4NSI+NzExPC9rZXk+PC9m
b3JlaWduLWtleXM+PHJlZi10eXBlIG5hbWU9IkpvdXJuYWwgQXJ0aWNsZSI+MTc8L3JlZi10eXBl
Pjxjb250cmlidXRvcnM+PGF1dGhvcnM+PGF1dGhvcj5CYXJha2F0LCBSLjwvYXV0aG9yPjxhdXRo
b3I+RnJhbmNvLCBFLjwvYXV0aG9yPjxhdXRob3I+UGVyYWxlcywgTS48L2F1dGhvcj48YXV0aG9y
PkxvcGV6LCBDLjwvYXV0aG9yPjxhdXRob3I+TW90dG9sYSwgTS4gRi48L2F1dGhvcj48L2F1dGhv
cnM+PC9jb250cmlidXRvcnM+PGF1dGgtYWRkcmVzcz5BRklQRSBSZXNlYXJjaCBHcm91cCwgVGVj
aG5pY2FsIFVuaXZlcnNpdHkgb2YgTWFkcmlkLCBTcGFpbi4gRWxlY3Ryb25pYyBhZGRyZXNzOiBi
YXJha2F0cnViZW5AZ21haWwuY29tLiYjeEQ7QUZJUEUgUmVzZWFyY2ggR3JvdXAsIFRlY2huaWNh
bCBVbml2ZXJzaXR5IG9mIE1hZHJpZCwgU3BhaW4uJiN4RDtDYW1pbG8gSm9zZSBDZWxhIFVuaXZl
cnNpdHksIE1hZHJpZCwgU3BhaW47IFJlc2VhcmNoIEluc3RpdHV0ZSBvZiBIb3NwaXRhbCAxMiBk
ZSBPY3R1YnJlICgmYXBvcztpKzEyJmFwb3M7KSwgTWFkcmlkLCBTcGFpbi4mI3hEO1IgU2FtdWVs
IE1jTGF1Z2hsaW4gRm91bmRhdGlvbi1FeGVyY2lzZSAmYW1wOyBQcmVnbmFuY3kgTGFib3JhdG9y
eSwgU2Nob29sIG9mIEtpbmVzaW9sb2d5LCBGYWN1bHR5IG9mIEhlYWx0aCBTY2llbmNlcywgQ2Fu
YWRhOyBEZXB0IG9mIEFuYXRvbXkgJmFtcDsgQ2VsbCBCaW9sb2d5LCBTY2h1bGljaCBTY2hvb2wg
b2YgTWVkaWNpbmUgJmFtcDsgRGVudGlzdHJ5LCBDaGlsZHJlbiZhcG9zO3MgSGVhbHRoIFJlc2Vh
cmNoIEluc3RpdHV0ZSwgVW5pdmVyc2l0eSBvZiBXZXN0ZXJuIE9udGFyaW8sIExvbmRvbiwgQ2Fu
YWRhLjwvYXV0aC1hZGRyZXNzPjx0aXRsZXM+PHRpdGxlPkV4ZXJjaXNlIGR1cmluZyBwcmVnbmFu
Y3kgaXMgYXNzb2NpYXRlZCB3aXRoIGEgc2hvcnRlciBkdXJhdGlvbiBvZiBsYWJvci4gQSByYW5k
b21pemVkIGNsaW5pY2FsIHRyaWFsPC90aXRsZT48c2Vjb25kYXJ5LXRpdGxlPkV1ciBKIE9ic3Rl
dCBHeW5lY29sIFJlcHJvZCBCaW9sPC9zZWNvbmRhcnktdGl0bGU+PC90aXRsZXM+PHBlcmlvZGlj
YWw+PGZ1bGwtdGl0bGU+RXVyIEogT2JzdGV0IEd5bmVjb2wgUmVwcm9kIEJpb2w8L2Z1bGwtdGl0
bGU+PC9wZXJpb2RpY2FsPjxwYWdlcz4zMy00MDwvcGFnZXM+PHZvbHVtZT4yMjQ8L3ZvbHVtZT48
ZWRpdGlvbj4yMDE4LzAzLzEzPC9lZGl0aW9uPjxrZXl3b3Jkcz48a2V5d29yZD5BZHVsdDwva2V5
d29yZD48a2V5d29yZD4qRXhlcmNpc2U8L2tleXdvcmQ+PGtleXdvcmQ+RmVtYWxlPC9rZXl3b3Jk
PjxrZXl3b3JkPkh1bWFuczwva2V5d29yZD48a2V5d29yZD4qTGFib3IgU3RhZ2UsIEZpcnN0PC9r
ZXl3b3JkPjxrZXl3b3JkPlByZWduYW5jeTwva2V5d29yZD48a2V5d29yZD4qRHVyYXRpb248L2tl
eXdvcmQ+PGtleXdvcmQ+KkxhYm9yPC9rZXl3b3JkPjxrZXl3b3JkPipQcmVnbmFuY3k8L2tleXdv
cmQ+PC9rZXl3b3Jkcz48ZGF0ZXM+PHllYXI+MjAxODwveWVhcj48cHViLWRhdGVzPjxkYXRlPk1h
eTwvZGF0ZT48L3B1Yi1kYXRlcz48L2RhdGVzPjxpc2JuPjE4NzItNzY1NCAoRWxlY3Ryb25pYykm
I3hEOzAzMDEtMjExNSAoTGlua2luZyk8L2lzYm4+PGFjY2Vzc2lvbi1udW0+Mjk1Mjk0NzU8L2Fj
Y2Vzc2lvbi1udW0+PHVybHM+PHJlbGF0ZWQtdXJscz48dXJsPmh0dHBzOi8vd3d3Lm5jYmkubmxt
Lm5paC5nb3YvcHVibWVkLzI5NTI5NDc1PC91cmw+PC9yZWxhdGVkLXVybHM+PC91cmxzPjxlbGVj
dHJvbmljLXJlc291cmNlLW51bT4xMC4xMDE2L2ouZWpvZ3JiLjIwMTguMDMuMDA5PC9lbGVjdHJv
bmljLXJlc291cmNlLW51bT48L3JlY29yZD48L0NpdGU+PENpdGU+PEF1dGhvcj5Db3JkZXJvPC9B
dXRob3I+PFllYXI+MjAxNTwvWWVhcj48UmVjTnVtPjEwMTY8L1JlY051bT48cmVjb3JkPjxyZWMt
bnVtYmVyPjEwMTY8L3JlYy1udW1iZXI+PGZvcmVpZ24ta2V5cz48a2V5IGFwcD0iRU4iIGRiLWlk
PSJleHZhc3JmeDJkdHJhb2VzYXN4cDJzenN4YTJkZjUwMjU5MngiIHRpbWVzdGFtcD0iMTU0ODk4
MzQ3NiI+MTAxNjwva2V5PjwvZm9yZWlnbi1rZXlzPjxyZWYtdHlwZSBuYW1lPSJKb3VybmFsIEFy
dGljbGUiPjE3PC9yZWYtdHlwZT48Y29udHJpYnV0b3JzPjxhdXRob3JzPjxhdXRob3I+Q29yZGVy
bywgWS4sPC9hdXRob3I+PGF1dGhvcj5Nb3R0b2xhLCBNLkYuPC9hdXRob3I+PGF1dGhvcj5WYXJn
YXMsIEouLDwvYXV0aG9yPjxhdXRob3I+QmxhbmNvLCBNLiw8L2F1dGhvcj48YXV0aG9yPkJhcmFr
YXQsIFIuLDwvYXV0aG9yPjwvYXV0aG9ycz48L2NvbnRyaWJ1dG9ycz48dGl0bGVzPjx0aXRsZT5F
eGVyY2lzZSBJcyBhc3NvY2lhdGVkIHdpdGggYSByZWR1Y3Rpb24gaW4gZ2VzdGF0aW9uYWwgZGlh
YmV0ZXMgbWVsbGl0dXM8L3RpdGxlPjxzZWNvbmRhcnktdGl0bGU+TWVkaWNpbmUgJmFtcDsgU2Np
ZW5jZSBpbiBTcG9ydHMgJmFtcDsgRXhlcmNpc2U8L3NlY29uZGFyeS10aXRsZT48L3RpdGxlcz48
cGVyaW9kaWNhbD48ZnVsbC10aXRsZT5NZWRpY2luZSAmYW1wOyBTY2llbmNlIGluIFNwb3J0cyAm
YW1wOyBFeGVyY2lzZTwvZnVsbC10aXRsZT48L3BlcmlvZGljYWw+PHBhZ2VzPjEzMjgtMTMzMzwv
cGFnZXM+PHZvbHVtZT40Nzwvdm9sdW1lPjxudW1iZXI+NzwvbnVtYmVyPjxzZWN0aW9uPjEzMjg8
L3NlY3Rpb24+PGRhdGVzPjx5ZWFyPjIwMTU8L3llYXI+PC9kYXRlcz48aXNibj4wMTk1LTkxMzE8
L2lzYm4+PHVybHM+PC91cmxzPjxlbGVjdHJvbmljLXJlc291cmNlLW51bT4xMC4xMjQ5L21zcy4w
MDAwMDAwMDAwMDAwNTQ3PC9lbGVjdHJvbmljLXJlc291cmNlLW51bT48L3JlY29yZD48L0NpdGU+
PENpdGU+PEF1dGhvcj5QZXJhbGVzPC9BdXRob3I+PFllYXI+MjAxNTwvWWVhcj48UmVjTnVtPjEw
NzE8L1JlY051bT48cmVjb3JkPjxyZWMtbnVtYmVyPjEwNzE8L3JlYy1udW1iZXI+PGZvcmVpZ24t
a2V5cz48a2V5IGFwcD0iRU4iIGRiLWlkPSJleHZhc3JmeDJkdHJhb2VzYXN4cDJzenN4YTJkZjUw
MjU5MngiIHRpbWVzdGFtcD0iMTU0ODk5MTM3MyI+MTA3MTwva2V5PjwvZm9yZWlnbi1rZXlzPjxy
ZWYtdHlwZSBuYW1lPSJKb3VybmFsIEFydGljbGUiPjE3PC9yZWYtdHlwZT48Y29udHJpYnV0b3Jz
PjxhdXRob3JzPjxhdXRob3I+UGVyYWxlcywgTS4sPC9hdXRob3I+PGF1dGhvcj5Db3JkZXJvLCBZ
Liw8L2F1dGhvcj48YXV0aG9yPlZhcmdhcywgTS4sPC9hdXRob3I+PGF1dGhvcj5MdWNpYSwgQS4s
PC9hdXRob3I+PGF1dGhvcj5CYXJha2F0LCBSLiw8L2F1dGhvcj48L2F1dGhvcnM+PC9jb250cmli
dXRvcnM+PHRpdGxlcz48dGl0bGU+RXhlcmNpc2UgYW5kIGRlcHJlc3Npb24gaW4gb3ZlcndlaWdo
dCBhbmQgb2Jlc2UgcHJlZ25hbnQgd29tZW46IEEgcmFuZG9taXNlZCBjb250cm9sbGVkIHRyaWFs
PC90aXRsZT48c2Vjb25kYXJ5LXRpdGxlPkFyY2ggTWVkIERlcG9ydGU8L3NlY29uZGFyeS10aXRs
ZT48L3RpdGxlcz48cGVyaW9kaWNhbD48ZnVsbC10aXRsZT5BcmNoIE1lZCBEZXBvcnRlPC9mdWxs
LXRpdGxlPjwvcGVyaW9kaWNhbD48cGFnZXM+MTU2LTE2MzwvcGFnZXM+PHZvbHVtZT4zMjwvdm9s
dW1lPjxkYXRlcz48eWVhcj4yMDE1PC95ZWFyPjwvZGF0ZXM+PHVybHM+PC91cmxzPjwvcmVjb3Jk
PjwvQ2l0ZT48Q2l0ZT48QXV0aG9yPlBlcmFsZXM8L0F1dGhvcj48WWVhcj4yMDE1PC9ZZWFyPjxS
ZWNOdW0+NzA0PC9SZWNOdW0+PHJlY29yZD48cmVjLW51bWJlcj43MDQ8L3JlYy1udW1iZXI+PGZv
cmVpZ24ta2V5cz48a2V5IGFwcD0iRU4iIGRiLWlkPSJleHZhc3JmeDJkdHJhb2VzYXN4cDJzenN4
YTJkZjUwMjU5MngiIHRpbWVzdGFtcD0iMTU0MDUzMDU2NCI+NzA0PC9rZXk+PC9mb3JlaWduLWtl
eXM+PHJlZi10eXBlIG5hbWU9IkpvdXJuYWwgQXJ0aWNsZSI+MTc8L3JlZi10eXBlPjxjb250cmli
dXRvcnM+PGF1dGhvcnM+PGF1dGhvcj5QZXJhbGVzLCBNLjwvYXV0aG9yPjxhdXRob3I+UmVmb3lv
LCBJLjwvYXV0aG9yPjxhdXRob3I+Q290ZXJvbiwgSi48L2F1dGhvcj48YXV0aG9yPkJhY2NoaSwg
TS48L2F1dGhvcj48YXV0aG9yPkJhcmFrYXQsIFIuPC9hdXRob3I+PC9hdXRob3JzPjwvY29udHJp
YnV0b3JzPjxhdXRoLWFkZHJlc3M+RGVwYXJ0bWVudCBvZiBTb2NpYWwgU2NpZW5jZXMsIFBoeXNp
Y2FsIEFjdGl2aXR5IGFuZCBTcG9ydCBTY2llbmNlcyBGYWN1bHR5LUlORUYsIFRlY2huaWNhbCBV
bml2ZXJzaXR5IG9mIE1hZHJpZCwgTWFkcmlkLCBTcGFpbi4mI3hEO0ZhY3VsdHkgb2YgUGh5c2lj
YWwgQWN0aXZpdHkgYW5kIFNwb3J0cywgVW5pdmVyc2l0eSBvZiBGbG9yZXMsIEJ1ZW5vcyBBaXJl
cywgQXJnZW50aW5hLiYjeEQ7RGVwYXJ0bWVudCBvZiBTb2NpYWwgU2NpZW5jZXMsIFBoeXNpY2Fs
IEFjdGl2aXR5IGFuZCBTcG9ydCBTY2llbmNlcyBGYWN1bHR5LUlORUYsIFRlY2huaWNhbCBVbml2
ZXJzaXR5IG9mIE1hZHJpZCwgTWFkcmlkLCBTcGFpbiBiYXJha2F0cnViZW5AZ21haWwuY29tLjwv
YXV0aC1hZGRyZXNzPjx0aXRsZXM+PHRpdGxlPkV4ZXJjaXNlIGR1cmluZyBwcmVnbmFuY3kgYXR0
ZW51YXRlcyBwcmVuYXRhbCBkZXByZXNzaW9uOiBhIHJhbmRvbWl6ZWQgY29udHJvbGxlZCB0cmlh
bDwvdGl0bGU+PHNlY29uZGFyeS10aXRsZT5FdmFsIEhlYWx0aCBQcm9mPC9zZWNvbmRhcnktdGl0
bGU+PC90aXRsZXM+PHBlcmlvZGljYWw+PGZ1bGwtdGl0bGU+RXZhbCBIZWFsdGggUHJvZjwvZnVs
bC10aXRsZT48L3BlcmlvZGljYWw+PHBhZ2VzPjU5LTcyPC9wYWdlcz48dm9sdW1lPjM4PC92b2x1
bWU+PG51bWJlcj4xPC9udW1iZXI+PGVkaXRpb24+MjAxNC8wNS8zMDwvZWRpdGlvbj48a2V5d29y
ZHM+PGtleXdvcmQ+QWR1bHQ8L2tleXdvcmQ+PGtleXdvcmQ+QXBnYXIgU2NvcmU8L2tleXdvcmQ+
PGtleXdvcmQ+Qm9keSBNYXNzIEluZGV4PC9rZXl3b3JkPjxrZXl3b3JkPkRlcHJlc3Npb24vKnRo
ZXJhcHk8L2tleXdvcmQ+PGtleXdvcmQ+RXhlcmNpc2UgVGhlcmFweS8qbWV0aG9kczwva2V5d29y
ZD48a2V5d29yZD5GZW1hbGU8L2tleXdvcmQ+PGtleXdvcmQ+SHVtYW5zPC9rZXl3b3JkPjxrZXl3
b3JkPlByZWduYW5jeTwva2V5d29yZD48a2V5d29yZD5QcmVnbmFuY3kgQ29tcGxpY2F0aW9ucy8q
dGhlcmFweTwva2V5d29yZD48a2V5d29yZD5QcmVnbmFuY3kgT3V0Y29tZTwva2V5d29yZD48a2V5
d29yZD5TcGFpbjwva2V5d29yZD48a2V5d29yZD5XZWlnaHQgR2Fpbjwva2V5d29yZD48a2V5d29y
ZD5kZXByZXNzaW9uPC9rZXl3b3JkPjxrZXl3b3JkPmV4ZXJjaXNlPC9rZXl3b3JkPjxrZXl3b3Jk
PnByZW5hdGFsPC9rZXl3b3JkPjxrZXl3b3JkPndlbGwtYmVpbmc8L2tleXdvcmQ+PC9rZXl3b3Jk
cz48ZGF0ZXM+PHllYXI+MjAxNTwveWVhcj48cHViLWRhdGVzPjxkYXRlPk1hcjwvZGF0ZT48L3B1
Yi1kYXRlcz48L2RhdGVzPjxpc2JuPjE1NTItMzkxOCAoRWxlY3Ryb25pYykmI3hEOzAxNjMtMjc4
NyAoTGlua2luZyk8L2lzYm4+PGFjY2Vzc2lvbi1udW0+MjQ4NzI0NDI8L2FjY2Vzc2lvbi1udW0+
PHVybHM+PHJlbGF0ZWQtdXJscz48dXJsPmh0dHBzOi8vd3d3Lm5jYmkubmxtLm5paC5nb3YvcHVi
bWVkLzI0ODcyNDQyPC91cmw+PC9yZWxhdGVkLXVybHM+PC91cmxzPjxlbGVjdHJvbmljLXJlc291
cmNlLW51bT4xMC4xMTc3LzAxNjMyNzg3MTQ1MzM1NjY8L2VsZWN0cm9uaWMtcmVzb3VyY2UtbnVt
PjwvcmVjb3JkPjwvQ2l0ZT48Q2l0ZT48QXV0aG9yPlBlcmFsZXM8L0F1dGhvcj48WWVhcj4yMDE2
PC9ZZWFyPjxSZWNOdW0+OTI0PC9SZWNOdW0+PHJlY29yZD48cmVjLW51bWJlcj45MjQ8L3JlYy1u
dW1iZXI+PGZvcmVpZ24ta2V5cz48a2V5IGFwcD0iRU4iIGRiLWlkPSJleHZhc3JmeDJkdHJhb2Vz
YXN4cDJzenN4YTJkZjUwMjU5MngiIHRpbWVzdGFtcD0iMTU0MTU0MDkyNSI+OTI0PC9rZXk+PGtl
eSBhcHA9IkVOV2ViIiBkYi1pZD0iIj4wPC9rZXk+PC9mb3JlaWduLWtleXM+PHJlZi10eXBlIG5h
bWU9IkpvdXJuYWwgQXJ0aWNsZSI+MTc8L3JlZi10eXBlPjxjb250cmlidXRvcnM+PGF1dGhvcnM+
PGF1dGhvcj5QZXJhbGVzLCBNYXJpYTwvYXV0aG9yPjxhdXRob3I+Q2FsYWJyaWEsIElyZW5lPC9h
dXRob3I+PGF1dGhvcj5Mb3BleiwgQ2FybWluYTwvYXV0aG9yPjxhdXRob3I+RnJhbmNvLCBFdmVs
aWE8L2F1dGhvcj48YXV0aG9yPkNvdGVyb24sIEphdmllcjwvYXV0aG9yPjxhdXRob3I+QmFyYWth
dCwgUnViZW48L2F1dGhvcj48L2F1dGhvcnM+PC9jb250cmlidXRvcnM+PHRpdGxlcz48dGl0bGU+
UmVndWxhciBFeGVyY2lzZSBUaHJvdWdob3V0IFByZWduYW5jeSBpcyBBc3NvY2lhdGVkIHdpdGgg
YSBTaG9ydGVyIEZpcnN0IFN0YWdlIG9mIExhYm9yPC90aXRsZT48c2Vjb25kYXJ5LXRpdGxlPkFt
ZXJpY2FuIEpvdXJuYWwgb2YgSGVhbHRoIFByb21vdGlvbjwvc2Vjb25kYXJ5LXRpdGxlPjwvdGl0
bGVzPjxwZXJpb2RpY2FsPjxmdWxsLXRpdGxlPkFtZXJpY2FuIEpvdXJuYWwgb2YgSGVhbHRoIFBy
b21vdGlvbjwvZnVsbC10aXRsZT48L3BlcmlvZGljYWw+PHBhZ2VzPjE0OS0xNTc8L3BhZ2VzPjx2
b2x1bWU+MzA8L3ZvbHVtZT48bnVtYmVyPjM8L251bWJlcj48c2VjdGlvbj4xNDk8L3NlY3Rpb24+
PGRhdGVzPjx5ZWFyPjIwMTY8L3llYXI+PC9kYXRlcz48aXNibj4wODkwLTExNzEmI3hEOzIxNjgt
NjYwMjwvaXNibj48dXJscz48L3VybHM+PGVsZWN0cm9uaWMtcmVzb3VyY2UtbnVtPjEwLjQyNzgv
YWpocC4xNDAyMjEtUVVBTi03OTwvZWxlY3Ryb25pYy1yZXNvdXJjZS1udW0+PC9yZWNvcmQ+PC9D
aXRlPjxDaXRlPjxBdXRob3I+UGVyYWxlczwvQXV0aG9yPjxZZWFyPjIwMTY8L1llYXI+PFJlY051
bT4xMDY2PC9SZWNOdW0+PHJlY29yZD48cmVjLW51bWJlcj4xMDY2PC9yZWMtbnVtYmVyPjxmb3Jl
aWduLWtleXM+PGtleSBhcHA9IkVOIiBkYi1pZD0iZXh2YXNyZngyZHRyYW9lc2FzeHAyc3pzeGEy
ZGY1MDI1OTJ4IiB0aW1lc3RhbXA9IjE1NDg5OTAyOTYiPjEwNjY8L2tleT48L2ZvcmVpZ24ta2V5
cz48cmVmLXR5cGUgbmFtZT0iSm91cm5hbCBBcnRpY2xlIj4xNzwvcmVmLXR5cGU+PGNvbnRyaWJ1
dG9ycz48YXV0aG9ycz48YXV0aG9yPlBlcmFsZXMsIE0uPC9hdXRob3I+PGF1dGhvcj5TYW50b3Mt
TG96YW5vLCBBLjwvYXV0aG9yPjxhdXRob3I+U2FuY2hpcy1Hb21hciwgRi48L2F1dGhvcj48YXV0
aG9yPkx1YWNlcywgTS48L2F1dGhvcj48YXV0aG9yPlBhcmVqYS1HYWxlYW5vLCBILjwvYXV0aG9y
PjxhdXRob3I+R2FyYXRhY2hlYSwgTi48L2F1dGhvcj48YXV0aG9yPkJhcmFrYXQsIFIuPC9hdXRo
b3I+PGF1dGhvcj5MdWNpYSwgQS48L2F1dGhvcj48L2F1dGhvcnM+PC9jb250cmlidXRvcnM+PGF1
dGgtYWRkcmVzcz4xUmVzZWFyY2ggSW5zdGl0dXRlIEhvc3BpdGFsIDEyIGRlIE9jdHVicmUgKCZh
cG9zO2krMTImYXBvczspLCBNYWRyaWQsIFNQQUlOOyAyQUZJUEUgUmVzZWFyY2ggR3JvdXAsIEZh
Y3VsdHkgb2YgUGh5c2ljYWwgQWN0aXZpdHkgYW5kIFNwb3J0cyBTY2llbmNlcyBJTkVGLCBUZWNo
bmljYWwgVW5pdmVyc2l0eSBvZiBNYWRyaWQsIFNQQUlOOyAzR0lERllTLCBEZXBhcnRtZW50IG9m
IEhlYWx0aCBTY2llbmNlcywgRXVyb3BlYW4gVW5pdmVyc2l0eSBNaWd1ZWwgZGUgQ2VydmFudGVz
LCBWYWxsYWRvbGlkLCBTUEFJTjsgNERlcGFydG1lbnQgb2YgQ2FyZGlvbG9neSwgQ2FyZGlvdmFz
Y3VsYXIgSW5zdGl0dXRlLCBIb3NwaXRhbCBDbGluaWNvIFNhbiBDYXJsb3MsIE1hZHJpZCwgU1BB
SU47IDVTY2hvb2wgb2YgRG9jdG9yYXRlIFN0dWRpZXMgYW5kIFJlc2VhcmNoLCBFdXJvcGVhbiBV
bml2ZXJzaXR5LCBNYWRyaWQsIFNQQUlOOyBhbmQgNkRlcGFydGFtZW50byBkZSBGaXNpYXRyaWEg
eSBFbmZlcm1lcmlhLiBGYWN1bHRhZCBkZSBDaWVuY2lhcyBkZSBsYSBTYWx1ZCB5IGRlbCBEZXBv
cnRlLiBJbnN0aXR1dG8gQWdyb2FsaW1lbnRhcmlvIGRlIEFyYWdvbi1JQTIsIFVuaXZlcnNpZGFk
IGRlIFphcmFnb3phLUNJVEEsIFphcmFnb3phLCBTUEFJTi48L2F1dGgtYWRkcmVzcz48dGl0bGVz
Pjx0aXRsZT5NYXRlcm5hbCBDYXJkaWFjIEFkYXB0YXRpb25zIHRvIGEgUGh5c2ljYWwgRXhlcmNp
c2UgUHJvZ3JhbSBkdXJpbmcgUHJlZ25hbmN5PC90aXRsZT48c2Vjb25kYXJ5LXRpdGxlPk1lZCBT
Y2kgU3BvcnRzIEV4ZXJjPC9zZWNvbmRhcnktdGl0bGU+PC90aXRsZXM+PHBlcmlvZGljYWw+PGZ1
bGwtdGl0bGU+TWVkIFNjaSBTcG9ydHMgRXhlcmM8L2Z1bGwtdGl0bGU+PC9wZXJpb2RpY2FsPjxw
YWdlcz44OTYtOTA2PC9wYWdlcz48dm9sdW1lPjQ4PC92b2x1bWU+PG51bWJlcj41PC9udW1iZXI+
PGVkaXRpb24+MjAxNS8xMi8yNDwvZWRpdGlvbj48a2V5d29yZHM+PGtleXdvcmQ+QWR1bHQ8L2tl
eXdvcmQ+PGtleXdvcmQ+QXRyaWFsIFJlbW9kZWxpbmc8L2tleXdvcmQ+PGtleXdvcmQ+Q2FyZGlv
dmFzY3VsYXIgRGlzZWFzZXMvcHJldmVudGlvbiAmYW1wOyBjb250cm9sPC9rZXl3b3JkPjxrZXl3
b3JkPipDYXJkaW92YXNjdWxhciBQaHlzaW9sb2dpY2FsIFBoZW5vbWVuYTwva2V5d29yZD48a2V5
d29yZD5EZXByZXNzaW9uL3ByZXZlbnRpb24gJmFtcDsgY29udHJvbDwva2V5d29yZD48a2V5d29y
ZD5FY2hvY2FyZGlvZ3JhcGh5PC9rZXl3b3JkPjxrZXl3b3JkPipFeGVyY2lzZTwva2V5d29yZD48
a2V5d29yZD5GZW1hbGU8L2tleXdvcmQ+PGtleXdvcmQ+SGVtb2R5bmFtaWNzPC9rZXl3b3JkPjxr
ZXl3b3JkPkh1bWFuczwva2V5d29yZD48a2V5d29yZD5QcmVnbmFuY3kvKnBoeXNpb2xvZ3k8L2tl
eXdvcmQ+PGtleXdvcmQ+UHJlZ25hbmN5IE91dGNvbWU8L2tleXdvcmQ+PGtleXdvcmQ+UmlzayBG
YWN0b3JzPC9rZXl3b3JkPjxrZXl3b3JkPlZlbnRyaWN1bGFyIEZ1bmN0aW9uLCBMZWZ0PC9rZXl3
b3JkPjxrZXl3b3JkPlZlbnRyaWN1bGFyIFJlbW9kZWxpbmc8L2tleXdvcmQ+PGtleXdvcmQ+V2Vp
Z2h0IEdhaW48L2tleXdvcmQ+PC9rZXl3b3Jkcz48ZGF0ZXM+PHllYXI+MjAxNjwveWVhcj48cHVi
LWRhdGVzPjxkYXRlPk1heTwvZGF0ZT48L3B1Yi1kYXRlcz48L2RhdGVzPjxpc2JuPjE1MzAtMDMx
NSAoRWxlY3Ryb25pYykmI3hEOzAxOTUtOTEzMSAoTGlua2luZyk8L2lzYm4+PGFjY2Vzc2lvbi1u
dW0+MjY2OTQ4NDg8L2FjY2Vzc2lvbi1udW0+PHVybHM+PHJlbGF0ZWQtdXJscz48dXJsPmh0dHBz
Oi8vd3d3Lm5jYmkubmxtLm5paC5nb3YvcHVibWVkLzI2Njk0ODQ4PC91cmw+PC9yZWxhdGVkLXVy
bHM+PC91cmxzPjxlbGVjdHJvbmljLXJlc291cmNlLW51bT4xMC4xMjQ5L01TUy4wMDAwMDAwMDAw
MDAwODM3PC9lbGVjdHJvbmljLXJlc291cmNlLW51bT48L3JlY29yZD48L0NpdGU+PENpdGU+PEF1
dGhvcj5WYXJnYXMtVGVycm9uZXM8L0F1dGhvcj48WWVhcj4yMDE5PC9ZZWFyPjxSZWNOdW0+MTky
MDwvUmVjTnVtPjxyZWNvcmQ+PHJlYy1udW1iZXI+MTkyMDwvcmVjLW51bWJlcj48Zm9yZWlnbi1r
ZXlzPjxrZXkgYXBwPSJFTiIgZGItaWQ9ImV4dmFzcmZ4MmR0cmFvZXNhc3hwMnN6c3hhMmRmNTAy
NTkyeCIgdGltZXN0YW1wPSIxNTg4NDg2ODc1Ij4xOTIwPC9rZXk+PGtleSBhcHA9IkVOV2ViIiBk
Yi1pZD0iIj4wPC9rZXk+PC9mb3JlaWduLWtleXM+PHJlZi10eXBlIG5hbWU9IkpvdXJuYWwgQXJ0
aWNsZSI+MTc8L3JlZi10eXBlPjxjb250cmlidXRvcnM+PGF1dGhvcnM+PGF1dGhvcj5WYXJnYXMt
VGVycm9uZXMsIE0uPC9hdXRob3I+PGF1dGhvcj5CYXJha2F0LCBSLjwvYXV0aG9yPjxhdXRob3I+
U2FudGFjcnV6LCBCLjwvYXV0aG9yPjxhdXRob3I+RmVybmFuZGV6LUJ1aGlnYXMsIEkuPC9hdXRo
b3I+PGF1dGhvcj5Nb3R0b2xhLCBNLiBGLjwvYXV0aG9yPjwvYXV0aG9ycz48L2NvbnRyaWJ1dG9y
cz48YXV0aC1hZGRyZXNzPkRlcGFydG1lbnQgb2YgU29jaWFsIFNjaWVuY2VzIG9mIFBoeXNpY2Fs
IEFjdGl2aXR5LCBTcG9ydHMgYW5kIExlaXN1cmUsIEZhY3VsdHkgb2YgU2NpZW5jZXMgZm9yIFBo
eXNpY2FsIEFjdGl2aXR5IGFuZCBTcG9ydCwgSU5FRiwgVGVjaG5pY2FsIFVuaXZlcnNpdHkgb2Yg
TWFkcmlkIChVUE0pLCBNYWRyaWQsIFNwYWluLiYjeEQ7RGVwYXJ0bWVudCBvZiBPYnN0ZXRyaWNz
IGFuZCBHeW5lY29sb2d5LCBVbml2ZXJzaXR5IEhvc3BpdGFsIG9mIFRvcnJlam9uLCBNYWRyaWQs
IFNwYWluLiYjeEQ7UiBTYW11ZWwgTWNMYXVnaGxpbiBGb3VuZGF0aW9uIC0gRXhlcmNpc2UgYW5k
IFByZWduYW5jeSBMYWJvcmF0b3J5LCBTY2hvb2wgb2YgS2luZXNpb2xvZ3ksIFRoZSBVbml2ZXJz
aXR5IG9mIFdlc3Rlcm4gT250YXJpbywgTG9uZG9uLCBPbnRhcmlvLCBDYW5hZGEuPC9hdXRoLWFk
ZHJlc3M+PHRpdGxlcz48dGl0bGU+UGh5c2ljYWwgZXhlcmNpc2UgcHJvZ3JhbW1lIGR1cmluZyBw
cmVnbmFuY3kgZGVjcmVhc2VzIHBlcmluYXRhbCBkZXByZXNzaW9uIHJpc2s6IGEgcmFuZG9taXNl
ZCBjb250cm9sbGVkIHRyaWFsPC90aXRsZT48c2Vjb25kYXJ5LXRpdGxlPkJyIEogU3BvcnRzIE1l
ZDwvc2Vjb25kYXJ5LXRpdGxlPjwvdGl0bGVzPjxwZXJpb2RpY2FsPjxmdWxsLXRpdGxlPkJyIEog
U3BvcnRzIE1lZDwvZnVsbC10aXRsZT48L3BlcmlvZGljYWw+PHBhZ2VzPjM0OC0zNTM8L3BhZ2Vz
Pjx2b2x1bWU+NTM8L3ZvbHVtZT48bnVtYmVyPjY8L251bWJlcj48ZWRpdGlvbj4yMDE4LzA2LzE1
PC9lZGl0aW9uPjxrZXl3b3Jkcz48a2V5d29yZD5BZHVsdDwva2V5d29yZD48a2V5d29yZD5EZXBy
ZXNzaW9uLypwcmV2ZW50aW9uICZhbXA7IGNvbnRyb2w8L2tleXdvcmQ+PGtleXdvcmQ+KkV4ZXJj
aXNlPC9rZXl3b3JkPjxrZXl3b3JkPkZlbWFsZTwva2V5d29yZD48a2V5d29yZD5IdW1hbnM8L2tl
eXdvcmQ+PGtleXdvcmQ+UG9zdHBhcnR1bSBQZXJpb2Q8L2tleXdvcmQ+PGtleXdvcmQ+UHJlZ25h
bmN5PC9rZXl3b3JkPjxrZXl3b3JkPlByZWduYW5jeSBDb21wbGljYXRpb25zLypwc3ljaG9sb2d5
PC9rZXl3b3JkPjxrZXl3b3JkPmRlcHJlc3Npb248L2tleXdvcmQ+PGtleXdvcmQ+ZXhlcmNpc2Ug
cGh5c2ljYWwgYWN0aXZpdHk8L2tleXdvcmQ+PGtleXdvcmQ+cHN5Y2hvbG9neTwva2V5d29yZD48
L2tleXdvcmRzPjxkYXRlcz48eWVhcj4yMDE5PC95ZWFyPjxwdWItZGF0ZXM+PGRhdGU+TWFyPC9k
YXRlPjwvcHViLWRhdGVzPjwvZGF0ZXM+PGlzYm4+MTQ3My0wNDgwIChFbGVjdHJvbmljKSYjeEQ7
MDMwNi0zNjc0IChMaW5raW5nKTwvaXNibj48YWNjZXNzaW9uLW51bT4yOTg5OTA1MDwvYWNjZXNz
aW9uLW51bT48dXJscz48cmVsYXRlZC11cmxzPjx1cmw+aHR0cHM6Ly93d3cubmNiaS5ubG0ubmlo
Lmdvdi9wdWJtZWQvMjk4OTkwNTA8L3VybD48L3JlbGF0ZWQtdXJscz48L3VybHM+PGVsZWN0cm9u
aWMtcmVzb3VyY2UtbnVtPjEwLjExMzYvYmpzcG9ydHMtMjAxNy0wOTg5MjY8L2VsZWN0cm9uaWMt
cmVzb3VyY2UtbnVtPjwvcmVjb3JkPjwvQ2l0ZT48Q2l0ZT48QXV0aG9yPkFndWlsYXItQ29yZGVy
bzwvQXV0aG9yPjxZZWFyPjIwMTk8L1llYXI+PFJlY051bT4xOTE3PC9SZWNOdW0+PHJlY29yZD48
cmVjLW51bWJlcj4xOTE3PC9yZWMtbnVtYmVyPjxmb3JlaWduLWtleXM+PGtleSBhcHA9IkVOIiBk
Yi1pZD0iZXh2YXNyZngyZHRyYW9lc2FzeHAyc3pzeGEyZGY1MDI1OTJ4IiB0aW1lc3RhbXA9IjE1
ODg0ODEwMDYiPjE5MTc8L2tleT48L2ZvcmVpZ24ta2V5cz48cmVmLXR5cGUgbmFtZT0iSm91cm5h
bCBBcnRpY2xlIj4xNzwvcmVmLXR5cGU+PGNvbnRyaWJ1dG9ycz48YXV0aG9ycz48YXV0aG9yPkFn
dWlsYXItQ29yZGVybywgTS4gSi48L2F1dGhvcj48YXV0aG9yPlNhbmNoZXotR2FyY2lhLCBKLiBD
LjwvYXV0aG9yPjxhdXRob3I+Um9kcmlndWV6LUJsYW5xdWUsIFIuPC9hdXRob3I+PGF1dGhvcj5T
YW5jaGV6LUxvcGV6LCBBLiBNLjwvYXV0aG9yPjxhdXRob3I+TXVyLVZpbGxhciwgTi48L2F1dGhv
cj48L2F1dGhvcnM+PC9jb250cmlidXRvcnM+PGF1dGgtYWRkcmVzcz4xIE1hcmlhIEpvc2UgQWd1
aWxhci1Db3JkZXJvLCBQaEQsIFVuaXZlcnNpdHkgb2YgR3JhbmFkYSwgU2FuIENlY2lsaW8gQ2xp
bmljYWwgSG9zcGl0YWwsIEdyYW5hZGEsIFNwYWluLiYjeEQ7MiBKdWFuIENhcmxvcyBTYW5jaGV6
LUdhcmNpYSwgUGhELCBVbml2ZXJzaXR5IG9mIEdyYW5hZGEsIEdyYW5hZGEsIFNwYWluLiYjeEQ7
MyBSYXF1ZWwgUm9kcmlndWV6LUJsYW5xdWUsIFBoRCwgVW5pdmVyc2l0eSBvZiBHcmFuYWRhLCBH
cmFuYWRhLCBTcGFpbi4mI3hEOzQgQW50b25pbyBNYW51ZWwgU2FuY2hlei1Mb3BleiwgUGhELCBV
bml2ZXJzaXR5IG9mIEdyYW5hZGEsIEdyYW5hZGEsIFNwYWluLiYjeEQ7NSBOb3JtYSBNdXItVmls
bGFyLCBQaEQsIFVuaXZlcnNpdHkgb2YgR3JhbmFkYSwgR3JhbmFkYSwgU3BhaW47IENpZW5mdWVn
b3MgU2Nob29sIG9mIE1lZGljYWwgU2NpZW5jZXMsIENpZW5mdWVnb3MsIEN1YmEuPC9hdXRoLWFk
ZHJlc3M+PHRpdGxlcz48dGl0bGU+TW9kZXJhdGUgcGh5c2ljYWwgYWN0aXZpdHkgaW4gYW4gYXF1
YXRpYyBlbnZpcm9ubWVudCBkdXJpbmcgcHJlZ25hbmN5IChTV0VQIFN0dWR5KSBhbmQgaXRzIGlu
Zmx1ZW5jZSBpbiBwcmV2ZW50aW5nIHBvc3RwYXJ0dW0gZGVwcmVzc2lvbjwvdGl0bGU+PHNlY29u
ZGFyeS10aXRsZT5KIEFtIFBzeWNoaWF0ciBOdXJzZXMgQXNzb2M8L3NlY29uZGFyeS10aXRsZT48
L3RpdGxlcz48cGVyaW9kaWNhbD48ZnVsbC10aXRsZT5KIEFtIFBzeWNoaWF0ciBOdXJzZXMgQXNz
b2M8L2Z1bGwtdGl0bGU+PC9wZXJpb2RpY2FsPjxwYWdlcz4xMTItMTIxPC9wYWdlcz48dm9sdW1l
PjI1PC92b2x1bWU+PG51bWJlcj4yPC9udW1iZXI+PGVkaXRpb24+MjAxOC8wMy8wMjwvZWRpdGlv
bj48a2V5d29yZHM+PGtleXdvcmQ+KmJvZHkgbWFzcyBpbmRleDwva2V5d29yZD48a2V5d29yZD4q
cGh5c2ljYWwgYWN0aXZpdHk8L2tleXdvcmQ+PGtleXdvcmQ+KnBvc3RwYXJ0dW0gZGVwcmVzc2lv
bjwva2V5d29yZD48a2V5d29yZD4qcHJlZ25hbmN5PC9rZXl3b3JkPjwva2V5d29yZHM+PGRhdGVz
Pjx5ZWFyPjIwMTk8L3llYXI+PHB1Yi1kYXRlcz48ZGF0ZT5NYXIvQXByPC9kYXRlPjwvcHViLWRh
dGVzPjwvZGF0ZXM+PGlzYm4+MTUzMi01NzI1IChFbGVjdHJvbmljKSYjeEQ7MTA3OC0zOTAzIChM
aW5raW5nKTwvaXNibj48YWNjZXNzaW9uLW51bT4yOTQ5MDU2MDwvYWNjZXNzaW9uLW51bT48dXJs
cz48cmVsYXRlZC11cmxzPjx1cmw+aHR0cHM6Ly93d3cubmNiaS5ubG0ubmloLmdvdi9wdWJtZWQv
Mjk0OTA1NjA8L3VybD48L3JlbGF0ZWQtdXJscz48L3VybHM+PGVsZWN0cm9uaWMtcmVzb3VyY2Ut
bnVtPjEwLjExNzcvMTA3ODM5MDMxNzc1MzY3NTwvZWxlY3Ryb25pYy1yZXNvdXJjZS1udW0+PC9y
ZWNvcmQ+PC9DaXRlPjwvRW5kTm90ZT5=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294-296,313,427-431,439,440,446,447,454</w:t>
      </w:r>
      <w:r>
        <w:rPr>
          <w:noProof/>
          <w:sz w:val="16"/>
          <w:szCs w:val="16"/>
        </w:rPr>
        <w:fldChar w:fldCharType="end"/>
      </w:r>
      <w:r w:rsidRPr="00B04565">
        <w:t xml:space="preserve"> Sweden (n=1),</w:t>
      </w:r>
      <w:r>
        <w:rPr>
          <w:sz w:val="16"/>
          <w:szCs w:val="16"/>
        </w:rPr>
        <w:fldChar w:fldCharType="begin">
          <w:fldData xml:space="preserve">PEVuZE5vdGU+PENpdGU+PEF1dGhvcj5QZXRyb3YgRmllcmlsPC9BdXRob3I+PFllYXI+MjAxNTwv
WWVhcj48UmVjTnVtPjkzMjwvUmVjTnVtPjxEaXNwbGF5VGV4dD48c3R5bGUgZmFjZT0ic3VwZXJz
Y3JpcHQiIGZvbnQ9IlRyZWJ1Y2hldCBNUyIgc2l6ZT0iOSI+NDUzPC9zdHlsZT48L0Rpc3BsYXlU
ZXh0PjxyZWNvcmQ+PHJlYy1udW1iZXI+OTMyPC9yZWMtbnVtYmVyPjxmb3JlaWduLWtleXM+PGtl
eSBhcHA9IkVOIiBkYi1pZD0iZXh2YXNyZngyZHRyYW9lc2FzeHAyc3pzeGEyZGY1MDI1OTJ4IiB0
aW1lc3RhbXA9IjE1NDE1NDA5NTciPjkzMjwva2V5PjxrZXkgYXBwPSJFTldlYiIgZGItaWQ9IiI+
MDwva2V5PjwvZm9yZWlnbi1rZXlzPjxyZWYtdHlwZSBuYW1lPSJKb3VybmFsIEFydGljbGUiPjE3
PC9yZWYtdHlwZT48Y29udHJpYnV0b3JzPjxhdXRob3JzPjxhdXRob3I+UGV0cm92IEZpZXJpbCwg
Sy48L2F1dGhvcj48YXV0aG9yPkdsYW50eiwgQS48L2F1dGhvcj48YXV0aG9yPkZhZ2V2aWsgT2xz
ZW4sIE0uPC9hdXRob3I+PC9hdXRob3JzPjwvY29udHJpYnV0b3JzPjxhdXRoLWFkZHJlc3M+SW5z
dGl0dXRlIG9mIE5ldXJvc2NpZW5jZSBhbmQgUGh5c2lvbG9neSwgVW5pdmVyc2l0eSBvZiBHb3Ro
ZW5idXJnLCBHb3RoZW5idXJnLCBTd2VkZW4uPC9hdXRoLWFkZHJlc3M+PHRpdGxlcz48dGl0bGU+
VGhlIGVmZmljYWN5IG9mIG1vZGVyYXRlLXRvLXZpZ29yb3VzIHJlc2lzdGFuY2UgZXhlcmNpc2Ug
ZHVyaW5nIHByZWduYW5jeTogYSByYW5kb21pemVkIGNvbnRyb2xsZWQgdHJpYWw8L3RpdGxlPjxz
ZWNvbmRhcnktdGl0bGU+QWN0YSBPYnN0ZXQgR3luZWNvbCBTY2FuZDwvc2Vjb25kYXJ5LXRpdGxl
PjwvdGl0bGVzPjxwZXJpb2RpY2FsPjxmdWxsLXRpdGxlPkFjdGEgT2JzdGV0IEd5bmVjb2wgU2Nh
bmQ8L2Z1bGwtdGl0bGU+PC9wZXJpb2RpY2FsPjxwYWdlcz4zNS00MjwvcGFnZXM+PHZvbHVtZT45
NDwvdm9sdW1lPjxudW1iZXI+MTwvbnVtYmVyPjxlZGl0aW9uPjIwMTQvMTAvMDg8L2VkaXRpb24+
PGtleXdvcmRzPjxrZXl3b3JkPkFkdWx0PC9rZXl3b3JkPjxrZXl3b3JkPkJsb29kIFByZXNzdXJl
IERldGVybWluYXRpb24vbWV0aG9kczwva2V5d29yZD48a2V5d29yZD5GZW1hbGU8L2tleXdvcmQ+
PGtleXdvcmQ+R2VzdGF0aW9uYWwgQWdlPC9rZXl3b3JkPjxrZXl3b3JkPkhlYXJ0IFJhdGUvcGh5
c2lvbG9neTwva2V5d29yZD48a2V5d29yZD5IdW1hbnM8L2tleXdvcmQ+PGtleXdvcmQ+TW9uaXRv
cmluZywgUGh5c2lvbG9naWMvbWV0aG9kczwva2V5d29yZD48a2V5d29yZD5QaHlzaWNhbCBFbmR1
cmFuY2UvKnBoeXNpb2xvZ3k8L2tleXdvcmQ+PGtleXdvcmQ+UGh5c2ljYWwgRml0bmVzcy9waHlz
aW9sb2d5PC9rZXl3b3JkPjxrZXl3b3JkPlByZWduYW5jeTwva2V5d29yZD48a2V5d29yZD4qUHJl
Z25hbmN5IE91dGNvbWU8L2tleXdvcmQ+PGtleXdvcmQ+UHJvc3BlY3RpdmUgU3R1ZGllczwva2V5
d29yZD48a2V5d29yZD4qUXVhbGl0eSBvZiBMaWZlPC9rZXl3b3JkPjxrZXl3b3JkPlJlZmVyZW5j
ZSBWYWx1ZXM8L2tleXdvcmQ+PGtleXdvcmQ+UmVzaXN0YW5jZSBUcmFpbmluZy8qbWV0aG9kczwv
a2V5d29yZD48a2V5d29yZD5Td2VkZW48L2tleXdvcmQ+PGtleXdvcmQ+RXhlcmNpc2U8L2tleXdv
cmQ+PGtleXdvcmQ+cHVibGljIGhlYWx0aDwva2V5d29yZD48a2V5d29yZD5yYW5kb21pemVkIGNv
bnRyb2xsZWQgdHJpYWw8L2tleXdvcmQ+PC9rZXl3b3Jkcz48ZGF0ZXM+PHllYXI+MjAxNTwveWVh
cj48cHViLWRhdGVzPjxkYXRlPkphbjwvZGF0ZT48L3B1Yi1kYXRlcz48L2RhdGVzPjxpc2JuPjE2
MDAtMDQxMiAoRWxlY3Ryb25pYykmI3hEOzAwMDEtNjM0OSAoTGlua2luZyk8L2lzYm4+PGFjY2Vz
c2lvbi1udW0+MjUyODcyODI8L2FjY2Vzc2lvbi1udW0+PHVybHM+PHJlbGF0ZWQtdXJscz48dXJs
Pmh0dHBzOi8vd3d3Lm5jYmkubmxtLm5paC5nb3YvcHVibWVkLzI1Mjg3MjgyPC91cmw+PC9yZWxh
dGVkLXVybHM+PC91cmxzPjxlbGVjdHJvbmljLXJlc291cmNlLW51bT4xMC4xMTExL2FvZ3MuMTI1
MjU8L2VsZWN0cm9uaWMtcmVzb3VyY2UtbnVtPjwvcmVjb3JkPjwvQ2l0ZT48L0VuZE5vdGU+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PEVuZE5vdGU+PENpdGU+PEF1dGhvcj5QZXRyb3YgRmllcmlsPC9BdXRob3I+PFllYXI+MjAxNTwv
WWVhcj48UmVjTnVtPjkzMjwvUmVjTnVtPjxEaXNwbGF5VGV4dD48c3R5bGUgZmFjZT0ic3VwZXJz
Y3JpcHQiIGZvbnQ9IlRyZWJ1Y2hldCBNUyIgc2l6ZT0iOSI+NDUzPC9zdHlsZT48L0Rpc3BsYXlU
ZXh0PjxyZWNvcmQ+PHJlYy1udW1iZXI+OTMyPC9yZWMtbnVtYmVyPjxmb3JlaWduLWtleXM+PGtl
eSBhcHA9IkVOIiBkYi1pZD0iZXh2YXNyZngyZHRyYW9lc2FzeHAyc3pzeGEyZGY1MDI1OTJ4IiB0
aW1lc3RhbXA9IjE1NDE1NDA5NTciPjkzMjwva2V5PjxrZXkgYXBwPSJFTldlYiIgZGItaWQ9IiI+
MDwva2V5PjwvZm9yZWlnbi1rZXlzPjxyZWYtdHlwZSBuYW1lPSJKb3VybmFsIEFydGljbGUiPjE3
PC9yZWYtdHlwZT48Y29udHJpYnV0b3JzPjxhdXRob3JzPjxhdXRob3I+UGV0cm92IEZpZXJpbCwg
Sy48L2F1dGhvcj48YXV0aG9yPkdsYW50eiwgQS48L2F1dGhvcj48YXV0aG9yPkZhZ2V2aWsgT2xz
ZW4sIE0uPC9hdXRob3I+PC9hdXRob3JzPjwvY29udHJpYnV0b3JzPjxhdXRoLWFkZHJlc3M+SW5z
dGl0dXRlIG9mIE5ldXJvc2NpZW5jZSBhbmQgUGh5c2lvbG9neSwgVW5pdmVyc2l0eSBvZiBHb3Ro
ZW5idXJnLCBHb3RoZW5idXJnLCBTd2VkZW4uPC9hdXRoLWFkZHJlc3M+PHRpdGxlcz48dGl0bGU+
VGhlIGVmZmljYWN5IG9mIG1vZGVyYXRlLXRvLXZpZ29yb3VzIHJlc2lzdGFuY2UgZXhlcmNpc2Ug
ZHVyaW5nIHByZWduYW5jeTogYSByYW5kb21pemVkIGNvbnRyb2xsZWQgdHJpYWw8L3RpdGxlPjxz
ZWNvbmRhcnktdGl0bGU+QWN0YSBPYnN0ZXQgR3luZWNvbCBTY2FuZDwvc2Vjb25kYXJ5LXRpdGxl
PjwvdGl0bGVzPjxwZXJpb2RpY2FsPjxmdWxsLXRpdGxlPkFjdGEgT2JzdGV0IEd5bmVjb2wgU2Nh
bmQ8L2Z1bGwtdGl0bGU+PC9wZXJpb2RpY2FsPjxwYWdlcz4zNS00MjwvcGFnZXM+PHZvbHVtZT45
NDwvdm9sdW1lPjxudW1iZXI+MTwvbnVtYmVyPjxlZGl0aW9uPjIwMTQvMTAvMDg8L2VkaXRpb24+
PGtleXdvcmRzPjxrZXl3b3JkPkFkdWx0PC9rZXl3b3JkPjxrZXl3b3JkPkJsb29kIFByZXNzdXJl
IERldGVybWluYXRpb24vbWV0aG9kczwva2V5d29yZD48a2V5d29yZD5GZW1hbGU8L2tleXdvcmQ+
PGtleXdvcmQ+R2VzdGF0aW9uYWwgQWdlPC9rZXl3b3JkPjxrZXl3b3JkPkhlYXJ0IFJhdGUvcGh5
c2lvbG9neTwva2V5d29yZD48a2V5d29yZD5IdW1hbnM8L2tleXdvcmQ+PGtleXdvcmQ+TW9uaXRv
cmluZywgUGh5c2lvbG9naWMvbWV0aG9kczwva2V5d29yZD48a2V5d29yZD5QaHlzaWNhbCBFbmR1
cmFuY2UvKnBoeXNpb2xvZ3k8L2tleXdvcmQ+PGtleXdvcmQ+UGh5c2ljYWwgRml0bmVzcy9waHlz
aW9sb2d5PC9rZXl3b3JkPjxrZXl3b3JkPlByZWduYW5jeTwva2V5d29yZD48a2V5d29yZD4qUHJl
Z25hbmN5IE91dGNvbWU8L2tleXdvcmQ+PGtleXdvcmQ+UHJvc3BlY3RpdmUgU3R1ZGllczwva2V5
d29yZD48a2V5d29yZD4qUXVhbGl0eSBvZiBMaWZlPC9rZXl3b3JkPjxrZXl3b3JkPlJlZmVyZW5j
ZSBWYWx1ZXM8L2tleXdvcmQ+PGtleXdvcmQ+UmVzaXN0YW5jZSBUcmFpbmluZy8qbWV0aG9kczwv
a2V5d29yZD48a2V5d29yZD5Td2VkZW48L2tleXdvcmQ+PGtleXdvcmQ+RXhlcmNpc2U8L2tleXdv
cmQ+PGtleXdvcmQ+cHVibGljIGhlYWx0aDwva2V5d29yZD48a2V5d29yZD5yYW5kb21pemVkIGNv
bnRyb2xsZWQgdHJpYWw8L2tleXdvcmQ+PC9rZXl3b3Jkcz48ZGF0ZXM+PHllYXI+MjAxNTwveWVh
cj48cHViLWRhdGVzPjxkYXRlPkphbjwvZGF0ZT48L3B1Yi1kYXRlcz48L2RhdGVzPjxpc2JuPjE2
MDAtMDQxMiAoRWxlY3Ryb25pYykmI3hEOzAwMDEtNjM0OSAoTGlua2luZyk8L2lzYm4+PGFjY2Vz
c2lvbi1udW0+MjUyODcyODI8L2FjY2Vzc2lvbi1udW0+PHVybHM+PHJlbGF0ZWQtdXJscz48dXJs
Pmh0dHBzOi8vd3d3Lm5jYmkubmxtLm5paC5nb3YvcHVibWVkLzI1Mjg3MjgyPC91cmw+PC9yZWxh
dGVkLXVybHM+PC91cmxzPjxlbGVjdHJvbmljLXJlc291cmNlLW51bT4xMC4xMTExL2FvZ3MuMTI1
MjU8L2VsZWN0cm9uaWMtcmVzb3VyY2UtbnVtPjwvcmVjb3JkPjwvQ2l0ZT48L0VuZE5vdGU+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453</w:t>
      </w:r>
      <w:r>
        <w:rPr>
          <w:sz w:val="16"/>
          <w:szCs w:val="16"/>
        </w:rPr>
        <w:fldChar w:fldCharType="end"/>
      </w:r>
      <w:r w:rsidRPr="00B04565">
        <w:t xml:space="preserve"> United Kingdom (n=1),</w:t>
      </w:r>
      <w:r>
        <w:rPr>
          <w:sz w:val="16"/>
          <w:szCs w:val="16"/>
        </w:rPr>
        <w:fldChar w:fldCharType="begin"/>
      </w:r>
      <w:r w:rsidR="002747EA">
        <w:rPr>
          <w:sz w:val="16"/>
          <w:szCs w:val="16"/>
        </w:rPr>
        <w:instrText xml:space="preserve"> ADDIN EN.CITE &lt;EndNote&gt;&lt;Cite&gt;&lt;Author&gt;Daly&lt;/Author&gt;&lt;Year&gt;2017&lt;/Year&gt;&lt;RecNum&gt;685&lt;/RecNum&gt;&lt;DisplayText&gt;&lt;style face="superscript" font="Trebuchet MS" size="9"&gt;433&lt;/style&gt;&lt;/DisplayText&gt;&lt;record&gt;&lt;rec-number&gt;685&lt;/rec-number&gt;&lt;foreign-keys&gt;&lt;key app="EN" db-id="exvasrfx2dtraoesasxp2szsxa2df502592x" timestamp="1540527171"&gt;685&lt;/key&gt;&lt;/foreign-keys&gt;&lt;ref-type name="Journal Article"&gt;17&lt;/ref-type&gt;&lt;contributors&gt;&lt;authors&gt;&lt;author&gt;Daly, N.&lt;/author&gt;&lt;author&gt;Farren, M.&lt;/author&gt;&lt;author&gt;McKeating, A.&lt;/author&gt;&lt;author&gt;O&amp;apos;Kelly, R.&lt;/author&gt;&lt;author&gt;Stapleton, M.&lt;/author&gt;&lt;author&gt;Turner, M. J.&lt;/author&gt;&lt;/authors&gt;&lt;/contributors&gt;&lt;auth-address&gt;UCD Centre for Human Reproduction, Coombe Women and Infants University Hospital, Dublin, Ireland.&lt;/auth-address&gt;&lt;titles&gt;&lt;title&gt;A Medically Supervised Pregnancy Exercise Intervention in Obese Women: A Randomized Controlled Trial&lt;/title&gt;&lt;secondary-title&gt;Obstet Gynecol&lt;/secondary-title&gt;&lt;/titles&gt;&lt;periodical&gt;&lt;full-title&gt;Obstet Gynecol&lt;/full-title&gt;&lt;/periodical&gt;&lt;pages&gt;1001-1010&lt;/pages&gt;&lt;volume&gt;130&lt;/volume&gt;&lt;number&gt;5&lt;/number&gt;&lt;edition&gt;2017/10/11&lt;/edition&gt;&lt;keywords&gt;&lt;keyword&gt;Adult&lt;/keyword&gt;&lt;keyword&gt;Blood Glucose/analysis&lt;/keyword&gt;&lt;keyword&gt;Exercise Therapy/*methods&lt;/keyword&gt;&lt;keyword&gt;Fasting/blood&lt;/keyword&gt;&lt;keyword&gt;Female&lt;/keyword&gt;&lt;keyword&gt;Humans&lt;/keyword&gt;&lt;keyword&gt;Obesity/blood/complications/*therapy&lt;/keyword&gt;&lt;keyword&gt;Pregnancy&lt;/keyword&gt;&lt;keyword&gt;Pregnancy Complications/blood/etiology/*therapy&lt;/keyword&gt;&lt;keyword&gt;Prenatal Care/*methods&lt;/keyword&gt;&lt;keyword&gt;Treatment Outcome&lt;/keyword&gt;&lt;keyword&gt;Weight Gain&lt;/keyword&gt;&lt;/keywords&gt;&lt;dates&gt;&lt;year&gt;2017&lt;/year&gt;&lt;pub-dates&gt;&lt;date&gt;Nov&lt;/date&gt;&lt;/pub-dates&gt;&lt;/dates&gt;&lt;isbn&gt;1873-233X (Electronic)&amp;#xD;0029-7844 (Linking)&lt;/isbn&gt;&lt;accession-num&gt;29016485&lt;/accession-num&gt;&lt;urls&gt;&lt;related-urls&gt;&lt;url&gt;https://www.ncbi.nlm.nih.gov/pubmed/29016485&lt;/url&gt;&lt;/related-urls&gt;&lt;/urls&gt;&lt;electronic-resource-num&gt;10.1097/AOG.0000000000002267&lt;/electronic-resource-num&gt;&lt;/record&gt;&lt;/Cite&gt;&lt;/EndNote&gt;</w:instrText>
      </w:r>
      <w:r>
        <w:rPr>
          <w:sz w:val="16"/>
          <w:szCs w:val="16"/>
        </w:rPr>
        <w:fldChar w:fldCharType="separate"/>
      </w:r>
      <w:r w:rsidR="002747EA" w:rsidRPr="002747EA">
        <w:rPr>
          <w:noProof/>
          <w:szCs w:val="16"/>
          <w:vertAlign w:val="superscript"/>
        </w:rPr>
        <w:t>433</w:t>
      </w:r>
      <w:r>
        <w:rPr>
          <w:sz w:val="16"/>
          <w:szCs w:val="16"/>
        </w:rPr>
        <w:fldChar w:fldCharType="end"/>
      </w:r>
      <w:r w:rsidRPr="00B04565">
        <w:t xml:space="preserve"> United States (n=</w:t>
      </w:r>
      <w:r>
        <w:t>2</w:t>
      </w:r>
      <w:r w:rsidRPr="00B04565">
        <w:t>).</w:t>
      </w:r>
      <w:r>
        <w:rPr>
          <w:noProof/>
          <w:sz w:val="16"/>
          <w:szCs w:val="16"/>
        </w:rPr>
        <w:fldChar w:fldCharType="begin">
          <w:fldData xml:space="preserve">PEVuZE5vdGU+PENpdGU+PEF1dGhvcj5Lb25nPC9BdXRob3I+PFllYXI+MjAxNDwvWWVhcj48UmVj
TnVtPjc0ODwvUmVjTnVtPjxEaXNwbGF5VGV4dD48c3R5bGUgZmFjZT0ic3VwZXJzY3JpcHQiIGZv
bnQ9IlRyZWJ1Y2hldCBNUyIgc2l6ZT0iOSI+NDQyLDQ0OTwvc3R5bGU+PC9EaXNwbGF5VGV4dD48
cmVjb3JkPjxyZWMtbnVtYmVyPjc0ODwvcmVjLW51bWJlcj48Zm9yZWlnbi1rZXlzPjxrZXkgYXBw
PSJFTiIgZGItaWQ9ImV4dmFzcmZ4MmR0cmFvZXNhc3hwMnN6c3hhMmRmNTAyNTkyeCIgdGltZXN0
YW1wPSIxNTQxNDY3OTA1Ij43NDg8L2tleT48a2V5IGFwcD0iRU5XZWIiIGRiLWlkPSIiPjA8L2tl
eT48L2ZvcmVpZ24ta2V5cz48cmVmLXR5cGUgbmFtZT0iSm91cm5hbCBBcnRpY2xlIj4xNzwvcmVm
LXR5cGU+PGNvbnRyaWJ1dG9ycz48YXV0aG9ycz48YXV0aG9yPktvbmcsIEsuIEwuPC9hdXRob3I+
PGF1dGhvcj5DYW1wYmVsbCwgQy48L2F1dGhvcj48YXV0aG9yPldhZ25lciwgSy48L2F1dGhvcj48
YXV0aG9yPlBldGVyc29uLCBBLjwvYXV0aG9yPjxhdXRob3I+TGFubmluZ2hhbS1Gb3N0ZXIsIEwu
PC9hdXRob3I+PC9hdXRob3JzPjwvY29udHJpYnV0b3JzPjx0aXRsZXM+PHRpdGxlPkltcGFjdCBv
ZiBhIHdhbGtpbmcgaW50ZXJ2ZW50aW9uIGR1cmluZyBwcmVnbmFuY3kgb24gcG9zdC1wYXJ0dW0g
d2VpZ2h0IHJldGVudGlvbiBhbmQgaW5mYW50IGFudGhyb3BvbWV0cmljIG91dGNvbWVzPC90aXRs
ZT48c2Vjb25kYXJ5LXRpdGxlPkpvdXJuYWwgb2YgRGV2ZWxvcG1lbnRhbCBPcmlnaW5zIG9mIEhl
YWx0aCBhbmQgRGlzZWFzZTwvc2Vjb25kYXJ5LXRpdGxlPjwvdGl0bGVzPjxwZXJpb2RpY2FsPjxm
dWxsLXRpdGxlPkpvdXJuYWwgb2YgRGV2ZWxvcG1lbnRhbCBPcmlnaW5zIG9mIEhlYWx0aCBhbmQg
RGlzZWFzZTwvZnVsbC10aXRsZT48L3BlcmlvZGljYWw+PHBhZ2VzPjI1OS0yNjc8L3BhZ2VzPjx2
b2x1bWU+NTwvdm9sdW1lPjxudW1iZXI+MDM8L251bWJlcj48c2VjdGlvbj4yNTk8L3NlY3Rpb24+
PGRhdGVzPjx5ZWFyPjIwMTQ8L3llYXI+PC9kYXRlcz48aXNibj4yMDQwLTE3NDQmI3hEOzIwNDAt
MTc1MjwvaXNibj48dXJscz48L3VybHM+PGVsZWN0cm9uaWMtcmVzb3VyY2UtbnVtPjEwLjEwMTcv
czIwNDAxNzQ0MTQwMDAxMTc8L2VsZWN0cm9uaWMtcmVzb3VyY2UtbnVtPjwvcmVjb3JkPjwvQ2l0
ZT48Q2l0ZT48QXV0aG9yPlByaWNlPC9BdXRob3I+PFllYXI+MjAxMjwvWWVhcj48UmVjTnVtPjcw
NzwvUmVjTnVtPjxyZWNvcmQ+PHJlYy1udW1iZXI+NzA3PC9yZWMtbnVtYmVyPjxmb3JlaWduLWtl
eXM+PGtleSBhcHA9IkVOIiBkYi1pZD0iZXh2YXNyZngyZHRyYW9lc2FzeHAyc3pzeGEyZGY1MDI1
OTJ4IiB0aW1lc3RhbXA9IjE1NDA1MzIyMjIiPjcwNzwva2V5PjwvZm9yZWlnbi1rZXlzPjxyZWYt
dHlwZSBuYW1lPSJKb3VybmFsIEFydGljbGUiPjE3PC9yZWYtdHlwZT48Y29udHJpYnV0b3JzPjxh
dXRob3JzPjxhdXRob3I+UHJpY2UsIEIuIEIuPC9hdXRob3I+PGF1dGhvcj5BbWluaSwgUy4gQi48
L2F1dGhvcj48YXV0aG9yPkthcHBlbGVyLCBLLjwvYXV0aG9yPjwvYXV0aG9ycz48L2NvbnRyaWJ1
dG9ycz48YXV0aC1hZGRyZXNzPlByb2Zlc3Npb25hbCBBc3NvY2lhdGlvbiwgQXVzdGluLCBUWCwg
VVNBLiBiZWVwcmljZUBncmFuZGVjb20ubmV0PC9hdXRoLWFkZHJlc3M+PHRpdGxlcz48dGl0bGU+
RXhlcmNpc2UgaW4gcHJlZ25hbmN5OiBlZmZlY3Qgb24gZml0bmVzcyBhbmQgb2JzdGV0cmljIG91
dGNvbWVzLWEgcmFuZG9taXplZCB0cmlhbDwvdGl0bGU+PHNlY29uZGFyeS10aXRsZT5NZWQgU2Np
IFNwb3J0cyBFeGVyYzwvc2Vjb25kYXJ5LXRpdGxlPjwvdGl0bGVzPjxwZXJpb2RpY2FsPjxmdWxs
LXRpdGxlPk1lZCBTY2kgU3BvcnRzIEV4ZXJjPC9mdWxsLXRpdGxlPjwvcGVyaW9kaWNhbD48cGFn
ZXM+MjI2My05PC9wYWdlcz48dm9sdW1lPjQ0PC92b2x1bWU+PG51bWJlcj4xMjwvbnVtYmVyPjxl
ZGl0aW9uPjIwMTIvMDcvMzE8L2VkaXRpb24+PGtleXdvcmRzPjxrZXl3b3JkPkFkb2xlc2NlbnQ8
L2tleXdvcmQ+PGtleXdvcmQ+QWR1bHQ8L2tleXdvcmQ+PGtleXdvcmQ+RXhlcmNpc2UvKnBoeXNp
b2xvZ3k8L2tleXdvcmQ+PGtleXdvcmQ+RmVtYWxlPC9rZXl3b3JkPjxrZXl3b3JkPkdlc3RhdGlv
bmFsIEFnZTwva2V5d29yZD48a2V5d29yZD5IdW1hbnM8L2tleXdvcmQ+PGtleXdvcmQ+TXVzY2xl
IFN0cmVuZ3RoL3BoeXNpb2xvZ3k8L2tleXdvcmQ+PGtleXdvcmQ+T3V0Y29tZSBBc3Nlc3NtZW50
IChIZWFsdGggQ2FyZSk8L2tleXdvcmQ+PGtleXdvcmQ+UGh5c2ljYWwgRml0bmVzcy8qcGh5c2lv
bG9neTwva2V5d29yZD48a2V5d29yZD5QcmVnbmFuY3k8L2tleXdvcmQ+PGtleXdvcmQ+KlByZWdu
YW5jeSBPdXRjb21lPC9rZXl3b3JkPjxrZXl3b3JkPlByb3NwZWN0aXZlIFN0dWRpZXM8L2tleXdv
cmQ+PGtleXdvcmQ+VGV4YXM8L2tleXdvcmQ+PGtleXdvcmQ+WW91bmcgQWR1bHQ8L2tleXdvcmQ+
PC9rZXl3b3Jkcz48ZGF0ZXM+PHllYXI+MjAxMjwveWVhcj48cHViLWRhdGVzPjxkYXRlPkRlYzwv
ZGF0ZT48L3B1Yi1kYXRlcz48L2RhdGVzPjxpc2JuPjE1MzAtMDMxNSAoRWxlY3Ryb25pYykmI3hE
OzAxOTUtOTEzMSAoTGlua2luZyk8L2lzYm4+PGFjY2Vzc2lvbi1udW0+MjI4NDMxMTQ8L2FjY2Vz
c2lvbi1udW0+PHVybHM+PHJlbGF0ZWQtdXJscz48dXJsPmh0dHBzOi8vd3d3Lm5jYmkubmxtLm5p
aC5nb3YvcHVibWVkLzIyODQzMTE0PC91cmw+PC9yZWxhdGVkLXVybHM+PC91cmxzPjxlbGVjdHJv
bmljLXJlc291cmNlLW51bT4xMC4xMjQ5L01TUy4wYjAxM2UzMTgyNjdhZDY3PC9lbGVjdHJvbmlj
LXJlc291cmNlLW51bT48L3JlY29yZD48L0NpdGU+PC9FbmROb3RlPn==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PEVuZE5vdGU+PENpdGU+PEF1dGhvcj5Lb25nPC9BdXRob3I+PFllYXI+MjAxNDwvWWVhcj48UmVj
TnVtPjc0ODwvUmVjTnVtPjxEaXNwbGF5VGV4dD48c3R5bGUgZmFjZT0ic3VwZXJzY3JpcHQiIGZv
bnQ9IlRyZWJ1Y2hldCBNUyIgc2l6ZT0iOSI+NDQyLDQ0OTwvc3R5bGU+PC9EaXNwbGF5VGV4dD48
cmVjb3JkPjxyZWMtbnVtYmVyPjc0ODwvcmVjLW51bWJlcj48Zm9yZWlnbi1rZXlzPjxrZXkgYXBw
PSJFTiIgZGItaWQ9ImV4dmFzcmZ4MmR0cmFvZXNhc3hwMnN6c3hhMmRmNTAyNTkyeCIgdGltZXN0
YW1wPSIxNTQxNDY3OTA1Ij43NDg8L2tleT48a2V5IGFwcD0iRU5XZWIiIGRiLWlkPSIiPjA8L2tl
eT48L2ZvcmVpZ24ta2V5cz48cmVmLXR5cGUgbmFtZT0iSm91cm5hbCBBcnRpY2xlIj4xNzwvcmVm
LXR5cGU+PGNvbnRyaWJ1dG9ycz48YXV0aG9ycz48YXV0aG9yPktvbmcsIEsuIEwuPC9hdXRob3I+
PGF1dGhvcj5DYW1wYmVsbCwgQy48L2F1dGhvcj48YXV0aG9yPldhZ25lciwgSy48L2F1dGhvcj48
YXV0aG9yPlBldGVyc29uLCBBLjwvYXV0aG9yPjxhdXRob3I+TGFubmluZ2hhbS1Gb3N0ZXIsIEwu
PC9hdXRob3I+PC9hdXRob3JzPjwvY29udHJpYnV0b3JzPjx0aXRsZXM+PHRpdGxlPkltcGFjdCBv
ZiBhIHdhbGtpbmcgaW50ZXJ2ZW50aW9uIGR1cmluZyBwcmVnbmFuY3kgb24gcG9zdC1wYXJ0dW0g
d2VpZ2h0IHJldGVudGlvbiBhbmQgaW5mYW50IGFudGhyb3BvbWV0cmljIG91dGNvbWVzPC90aXRs
ZT48c2Vjb25kYXJ5LXRpdGxlPkpvdXJuYWwgb2YgRGV2ZWxvcG1lbnRhbCBPcmlnaW5zIG9mIEhl
YWx0aCBhbmQgRGlzZWFzZTwvc2Vjb25kYXJ5LXRpdGxlPjwvdGl0bGVzPjxwZXJpb2RpY2FsPjxm
dWxsLXRpdGxlPkpvdXJuYWwgb2YgRGV2ZWxvcG1lbnRhbCBPcmlnaW5zIG9mIEhlYWx0aCBhbmQg
RGlzZWFzZTwvZnVsbC10aXRsZT48L3BlcmlvZGljYWw+PHBhZ2VzPjI1OS0yNjc8L3BhZ2VzPjx2
b2x1bWU+NTwvdm9sdW1lPjxudW1iZXI+MDM8L251bWJlcj48c2VjdGlvbj4yNTk8L3NlY3Rpb24+
PGRhdGVzPjx5ZWFyPjIwMTQ8L3llYXI+PC9kYXRlcz48aXNibj4yMDQwLTE3NDQmI3hEOzIwNDAt
MTc1MjwvaXNibj48dXJscz48L3VybHM+PGVsZWN0cm9uaWMtcmVzb3VyY2UtbnVtPjEwLjEwMTcv
czIwNDAxNzQ0MTQwMDAxMTc8L2VsZWN0cm9uaWMtcmVzb3VyY2UtbnVtPjwvcmVjb3JkPjwvQ2l0
ZT48Q2l0ZT48QXV0aG9yPlByaWNlPC9BdXRob3I+PFllYXI+MjAxMjwvWWVhcj48UmVjTnVtPjcw
NzwvUmVjTnVtPjxyZWNvcmQ+PHJlYy1udW1iZXI+NzA3PC9yZWMtbnVtYmVyPjxmb3JlaWduLWtl
eXM+PGtleSBhcHA9IkVOIiBkYi1pZD0iZXh2YXNyZngyZHRyYW9lc2FzeHAyc3pzeGEyZGY1MDI1
OTJ4IiB0aW1lc3RhbXA9IjE1NDA1MzIyMjIiPjcwNzwva2V5PjwvZm9yZWlnbi1rZXlzPjxyZWYt
dHlwZSBuYW1lPSJKb3VybmFsIEFydGljbGUiPjE3PC9yZWYtdHlwZT48Y29udHJpYnV0b3JzPjxh
dXRob3JzPjxhdXRob3I+UHJpY2UsIEIuIEIuPC9hdXRob3I+PGF1dGhvcj5BbWluaSwgUy4gQi48
L2F1dGhvcj48YXV0aG9yPkthcHBlbGVyLCBLLjwvYXV0aG9yPjwvYXV0aG9ycz48L2NvbnRyaWJ1
dG9ycz48YXV0aC1hZGRyZXNzPlByb2Zlc3Npb25hbCBBc3NvY2lhdGlvbiwgQXVzdGluLCBUWCwg
VVNBLiBiZWVwcmljZUBncmFuZGVjb20ubmV0PC9hdXRoLWFkZHJlc3M+PHRpdGxlcz48dGl0bGU+
RXhlcmNpc2UgaW4gcHJlZ25hbmN5OiBlZmZlY3Qgb24gZml0bmVzcyBhbmQgb2JzdGV0cmljIG91
dGNvbWVzLWEgcmFuZG9taXplZCB0cmlhbDwvdGl0bGU+PHNlY29uZGFyeS10aXRsZT5NZWQgU2Np
IFNwb3J0cyBFeGVyYzwvc2Vjb25kYXJ5LXRpdGxlPjwvdGl0bGVzPjxwZXJpb2RpY2FsPjxmdWxs
LXRpdGxlPk1lZCBTY2kgU3BvcnRzIEV4ZXJjPC9mdWxsLXRpdGxlPjwvcGVyaW9kaWNhbD48cGFn
ZXM+MjI2My05PC9wYWdlcz48dm9sdW1lPjQ0PC92b2x1bWU+PG51bWJlcj4xMjwvbnVtYmVyPjxl
ZGl0aW9uPjIwMTIvMDcvMzE8L2VkaXRpb24+PGtleXdvcmRzPjxrZXl3b3JkPkFkb2xlc2NlbnQ8
L2tleXdvcmQ+PGtleXdvcmQ+QWR1bHQ8L2tleXdvcmQ+PGtleXdvcmQ+RXhlcmNpc2UvKnBoeXNp
b2xvZ3k8L2tleXdvcmQ+PGtleXdvcmQ+RmVtYWxlPC9rZXl3b3JkPjxrZXl3b3JkPkdlc3RhdGlv
bmFsIEFnZTwva2V5d29yZD48a2V5d29yZD5IdW1hbnM8L2tleXdvcmQ+PGtleXdvcmQ+TXVzY2xl
IFN0cmVuZ3RoL3BoeXNpb2xvZ3k8L2tleXdvcmQ+PGtleXdvcmQ+T3V0Y29tZSBBc3Nlc3NtZW50
IChIZWFsdGggQ2FyZSk8L2tleXdvcmQ+PGtleXdvcmQ+UGh5c2ljYWwgRml0bmVzcy8qcGh5c2lv
bG9neTwva2V5d29yZD48a2V5d29yZD5QcmVnbmFuY3k8L2tleXdvcmQ+PGtleXdvcmQ+KlByZWdu
YW5jeSBPdXRjb21lPC9rZXl3b3JkPjxrZXl3b3JkPlByb3NwZWN0aXZlIFN0dWRpZXM8L2tleXdv
cmQ+PGtleXdvcmQ+VGV4YXM8L2tleXdvcmQ+PGtleXdvcmQ+WW91bmcgQWR1bHQ8L2tleXdvcmQ+
PC9rZXl3b3Jkcz48ZGF0ZXM+PHllYXI+MjAxMjwveWVhcj48cHViLWRhdGVzPjxkYXRlPkRlYzwv
ZGF0ZT48L3B1Yi1kYXRlcz48L2RhdGVzPjxpc2JuPjE1MzAtMDMxNSAoRWxlY3Ryb25pYykmI3hE
OzAxOTUtOTEzMSAoTGlua2luZyk8L2lzYm4+PGFjY2Vzc2lvbi1udW0+MjI4NDMxMTQ8L2FjY2Vz
c2lvbi1udW0+PHVybHM+PHJlbGF0ZWQtdXJscz48dXJsPmh0dHBzOi8vd3d3Lm5jYmkubmxtLm5p
aC5nb3YvcHVibWVkLzIyODQzMTE0PC91cmw+PC9yZWxhdGVkLXVybHM+PC91cmxzPjxlbGVjdHJv
bmljLXJlc291cmNlLW51bT4xMC4xMjQ5L01TUy4wYjAxM2UzMTgyNjdhZDY3PC9lbGVjdHJvbmlj
LXJlc291cmNlLW51bT48L3JlY29yZD48L0NpdGU+PC9FbmROb3RlPn==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442,449</w:t>
      </w:r>
      <w:r>
        <w:rPr>
          <w:noProof/>
          <w:sz w:val="16"/>
          <w:szCs w:val="16"/>
        </w:rPr>
        <w:fldChar w:fldCharType="end"/>
      </w:r>
      <w:r w:rsidRPr="00B04565">
        <w:t xml:space="preserve"> One multicentre study</w:t>
      </w:r>
      <w:r>
        <w:rPr>
          <w:sz w:val="16"/>
          <w:szCs w:val="16"/>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402</w:t>
      </w:r>
      <w:r>
        <w:rPr>
          <w:sz w:val="16"/>
          <w:szCs w:val="16"/>
        </w:rPr>
        <w:fldChar w:fldCharType="end"/>
      </w:r>
      <w:r w:rsidRPr="00B04565">
        <w:t xml:space="preserve"> was</w:t>
      </w:r>
      <w:r w:rsidRPr="00C12274">
        <w:t xml:space="preserve"> conducted in the United Kingdom, Ireland, Netherlands, Austria, Poland, Italy, Spain, Denmark and Belgium.</w:t>
      </w:r>
    </w:p>
    <w:p w14:paraId="2446271D" w14:textId="77777777" w:rsidR="00A5540F" w:rsidRPr="00C12274" w:rsidRDefault="00A5540F" w:rsidP="00A5540F">
      <w:pPr>
        <w:pStyle w:val="Heading4"/>
      </w:pPr>
      <w:bookmarkStart w:id="210" w:name="_Toc3807152"/>
      <w:r w:rsidRPr="00C12274">
        <w:t>Types of intervention</w:t>
      </w:r>
      <w:bookmarkEnd w:id="210"/>
    </w:p>
    <w:p w14:paraId="3257550F" w14:textId="77777777" w:rsidR="00A5540F" w:rsidRPr="00C12274" w:rsidRDefault="00A5540F" w:rsidP="00A5540F">
      <w:r w:rsidRPr="00C12274">
        <w:t xml:space="preserve">Aerobic and resistance exercise interventions generally comprised warm-up and cool-down periods with a core segment of aerobic (treadmill, stationary cycling, walking, dance, circuit training, swimming) and muscle strengthening exercises (including pelvic floor exercises). The exercise session was supervised in 78% of studies. In most studies, exercise was carried out for around 60 minutes, three times a week. Some included additional home-based sessions. The timing of initiation of intervention varied but most continued until close to the time of birth (weeks 36-39). Most studies specified an intensity of 60-80% of maximum heart rate or 12-14 on the Borg scale. </w:t>
      </w:r>
    </w:p>
    <w:p w14:paraId="5B66EBE7" w14:textId="77777777" w:rsidR="00A5540F" w:rsidRPr="00C12274" w:rsidRDefault="00A5540F" w:rsidP="00A5540F">
      <w:r w:rsidRPr="00C12274">
        <w:t>Aerobic exercise interventions included walking, stationary cycling or swimming. The exercise session was supervised in 64% of studies. Duration ranged from 15 minutes, three times a week to 60 minutes, three times a week. In a little more than half of the studies (57%), the intervention was continued until close to the time of birth (weeks 37 to birth). In the remainder, the intervention was discontinued at 27-32 weeks. Intensity was in the range of 60-80% of maximum heart rate or Borg scale 12-16.</w:t>
      </w:r>
    </w:p>
    <w:p w14:paraId="1674D363" w14:textId="77777777" w:rsidR="00A5540F" w:rsidRPr="00C12274" w:rsidRDefault="00A5540F" w:rsidP="00A5540F">
      <w:pPr>
        <w:keepNext/>
      </w:pPr>
      <w:r w:rsidRPr="00C12274">
        <w:t>Resistance exercise interventions included toning and joint mobilisation and weight training. The timing, duration and intensity of interventions varied. All interventions were supervised.</w:t>
      </w:r>
    </w:p>
    <w:p w14:paraId="1ADE47F8" w14:textId="77777777" w:rsidR="00A5540F" w:rsidRPr="00C12274" w:rsidRDefault="00A5540F" w:rsidP="00A5540F">
      <w:pPr>
        <w:pStyle w:val="Heading4"/>
      </w:pPr>
      <w:bookmarkStart w:id="211" w:name="_Toc3807153"/>
      <w:r w:rsidRPr="00C12274">
        <w:t>Maternal outcomes</w:t>
      </w:r>
      <w:bookmarkEnd w:id="211"/>
    </w:p>
    <w:p w14:paraId="5C7BC81D" w14:textId="785AF040" w:rsidR="00A5540F" w:rsidRPr="00C12274" w:rsidRDefault="00A5540F" w:rsidP="00A5540F">
      <w:r w:rsidRPr="00C12274">
        <w:t>Mean gestational weight gain was significantly lower in the intervention groups than in the standard care groups (</w:t>
      </w:r>
      <w:r w:rsidRPr="00C12274">
        <w:rPr>
          <w:sz w:val="16"/>
          <w:szCs w:val="16"/>
        </w:rPr>
        <w:t>MD -0.9</w:t>
      </w:r>
      <w:r>
        <w:rPr>
          <w:sz w:val="16"/>
          <w:szCs w:val="16"/>
        </w:rPr>
        <w:t>5</w:t>
      </w:r>
      <w:r w:rsidRPr="00C12274">
        <w:rPr>
          <w:sz w:val="16"/>
          <w:szCs w:val="16"/>
        </w:rPr>
        <w:t xml:space="preserve"> kg; 95%CI -1.</w:t>
      </w:r>
      <w:r>
        <w:rPr>
          <w:sz w:val="16"/>
          <w:szCs w:val="16"/>
        </w:rPr>
        <w:t>20</w:t>
      </w:r>
      <w:r w:rsidRPr="00C12274">
        <w:rPr>
          <w:sz w:val="16"/>
          <w:szCs w:val="16"/>
        </w:rPr>
        <w:t xml:space="preserve"> to -0.</w:t>
      </w:r>
      <w:r>
        <w:rPr>
          <w:sz w:val="16"/>
          <w:szCs w:val="16"/>
        </w:rPr>
        <w:t>69</w:t>
      </w:r>
      <w:r w:rsidRPr="00C12274">
        <w:rPr>
          <w:sz w:val="16"/>
          <w:szCs w:val="16"/>
        </w:rPr>
        <w:t xml:space="preserve">; </w:t>
      </w:r>
      <w:r w:rsidR="004B2CB7">
        <w:rPr>
          <w:sz w:val="16"/>
          <w:szCs w:val="16"/>
        </w:rPr>
        <w:t>29</w:t>
      </w:r>
      <w:r w:rsidR="004B2CB7" w:rsidRPr="00C12274">
        <w:rPr>
          <w:sz w:val="16"/>
          <w:szCs w:val="16"/>
        </w:rPr>
        <w:t xml:space="preserve"> </w:t>
      </w:r>
      <w:r w:rsidRPr="00C12274">
        <w:rPr>
          <w:sz w:val="16"/>
          <w:szCs w:val="16"/>
        </w:rPr>
        <w:t>RCTs; n=5,</w:t>
      </w:r>
      <w:r w:rsidR="004B2CB7">
        <w:rPr>
          <w:sz w:val="16"/>
          <w:szCs w:val="16"/>
        </w:rPr>
        <w:t>680</w:t>
      </w:r>
      <w:r w:rsidRPr="00C12274">
        <w:rPr>
          <w:sz w:val="16"/>
          <w:szCs w:val="16"/>
        </w:rPr>
        <w:t xml:space="preserve">; moderate </w:t>
      </w:r>
      <w:r w:rsidR="00343BBE">
        <w:rPr>
          <w:sz w:val="16"/>
          <w:szCs w:val="16"/>
        </w:rPr>
        <w:t>certainty</w:t>
      </w:r>
      <w:r w:rsidRPr="00C12274">
        <w:rPr>
          <w:sz w:val="16"/>
          <w:szCs w:val="16"/>
        </w:rPr>
        <w:t xml:space="preserve">; analysis </w:t>
      </w:r>
      <w:r>
        <w:rPr>
          <w:sz w:val="16"/>
          <w:szCs w:val="16"/>
        </w:rPr>
        <w:t>2</w:t>
      </w:r>
      <w:r w:rsidRPr="00C12274">
        <w:rPr>
          <w:sz w:val="16"/>
          <w:szCs w:val="16"/>
        </w:rPr>
        <w:t>.1; page</w:t>
      </w:r>
      <w:r>
        <w:rPr>
          <w:sz w:val="16"/>
          <w:szCs w:val="16"/>
        </w:rPr>
        <w:t xml:space="preserve"> </w:t>
      </w:r>
      <w:r>
        <w:rPr>
          <w:sz w:val="16"/>
          <w:szCs w:val="16"/>
        </w:rPr>
        <w:fldChar w:fldCharType="begin"/>
      </w:r>
      <w:r>
        <w:rPr>
          <w:sz w:val="16"/>
          <w:szCs w:val="16"/>
        </w:rPr>
        <w:instrText xml:space="preserve"> PAGEREF _Ref9000137 \h </w:instrText>
      </w:r>
      <w:r>
        <w:rPr>
          <w:sz w:val="16"/>
          <w:szCs w:val="16"/>
        </w:rPr>
      </w:r>
      <w:r>
        <w:rPr>
          <w:sz w:val="16"/>
          <w:szCs w:val="16"/>
        </w:rPr>
        <w:fldChar w:fldCharType="separate"/>
      </w:r>
      <w:r w:rsidR="00BA7CBD">
        <w:rPr>
          <w:noProof/>
          <w:sz w:val="16"/>
          <w:szCs w:val="16"/>
        </w:rPr>
        <w:t>416</w:t>
      </w:r>
      <w:r>
        <w:rPr>
          <w:sz w:val="16"/>
          <w:szCs w:val="16"/>
        </w:rPr>
        <w:fldChar w:fldCharType="end"/>
      </w:r>
      <w:r w:rsidRPr="00C12274">
        <w:t>).</w:t>
      </w:r>
    </w:p>
    <w:p w14:paraId="13B8E445" w14:textId="77777777" w:rsidR="00A5540F" w:rsidRPr="00C12274" w:rsidRDefault="00A5540F" w:rsidP="00A5540F">
      <w:r w:rsidRPr="00C12274">
        <w:t>Compared to women in the control groups, among women in the intervention groups, there was a clear reduction in risk of:</w:t>
      </w:r>
    </w:p>
    <w:p w14:paraId="3719D57A" w14:textId="7478B16F" w:rsidR="00A5540F" w:rsidRPr="00C12274" w:rsidRDefault="00A5540F" w:rsidP="00A5540F">
      <w:pPr>
        <w:pStyle w:val="bullet"/>
      </w:pPr>
      <w:r w:rsidRPr="00C12274">
        <w:t>weight gain exceeding IOM guidelines (</w:t>
      </w:r>
      <w:r w:rsidRPr="00C12274">
        <w:rPr>
          <w:sz w:val="16"/>
          <w:szCs w:val="16"/>
        </w:rPr>
        <w:t>RR 0.7</w:t>
      </w:r>
      <w:r>
        <w:rPr>
          <w:sz w:val="16"/>
          <w:szCs w:val="16"/>
        </w:rPr>
        <w:t>7</w:t>
      </w:r>
      <w:r w:rsidRPr="00C12274">
        <w:rPr>
          <w:sz w:val="16"/>
          <w:szCs w:val="16"/>
        </w:rPr>
        <w:t>; 95%CI 0.69 to 0.8</w:t>
      </w:r>
      <w:r>
        <w:rPr>
          <w:sz w:val="16"/>
          <w:szCs w:val="16"/>
        </w:rPr>
        <w:t>7</w:t>
      </w:r>
      <w:r w:rsidRPr="00C12274">
        <w:rPr>
          <w:sz w:val="16"/>
          <w:szCs w:val="16"/>
        </w:rPr>
        <w:t>; 16 RCTs; n=4,</w:t>
      </w:r>
      <w:r>
        <w:rPr>
          <w:sz w:val="16"/>
          <w:szCs w:val="16"/>
        </w:rPr>
        <w:t>33</w:t>
      </w:r>
      <w:r w:rsidRPr="00C12274">
        <w:rPr>
          <w:sz w:val="16"/>
          <w:szCs w:val="16"/>
        </w:rPr>
        <w:t xml:space="preserve">3; </w:t>
      </w:r>
      <w:r>
        <w:rPr>
          <w:sz w:val="16"/>
          <w:szCs w:val="16"/>
        </w:rPr>
        <w:t>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.2; page</w:t>
      </w:r>
      <w:r>
        <w:rPr>
          <w:sz w:val="16"/>
          <w:szCs w:val="16"/>
        </w:rPr>
        <w:t xml:space="preserve"> </w:t>
      </w:r>
      <w:r>
        <w:rPr>
          <w:sz w:val="16"/>
          <w:szCs w:val="16"/>
        </w:rPr>
        <w:fldChar w:fldCharType="begin"/>
      </w:r>
      <w:r>
        <w:rPr>
          <w:sz w:val="16"/>
          <w:szCs w:val="16"/>
        </w:rPr>
        <w:instrText xml:space="preserve"> PAGEREF _Ref9000158 \h </w:instrText>
      </w:r>
      <w:r>
        <w:rPr>
          <w:sz w:val="16"/>
          <w:szCs w:val="16"/>
        </w:rPr>
      </w:r>
      <w:r>
        <w:rPr>
          <w:sz w:val="16"/>
          <w:szCs w:val="16"/>
        </w:rPr>
        <w:fldChar w:fldCharType="separate"/>
      </w:r>
      <w:r w:rsidR="00BA7CBD">
        <w:rPr>
          <w:noProof/>
          <w:sz w:val="16"/>
          <w:szCs w:val="16"/>
        </w:rPr>
        <w:t>417</w:t>
      </w:r>
      <w:r>
        <w:rPr>
          <w:sz w:val="16"/>
          <w:szCs w:val="16"/>
        </w:rPr>
        <w:fldChar w:fldCharType="end"/>
      </w:r>
      <w:r w:rsidRPr="00C12274">
        <w:t>).</w:t>
      </w:r>
    </w:p>
    <w:p w14:paraId="751F7BD0" w14:textId="73504E9A" w:rsidR="00A5540F" w:rsidRPr="00C12274" w:rsidRDefault="00A5540F" w:rsidP="00A5540F">
      <w:pPr>
        <w:pStyle w:val="bullet"/>
      </w:pPr>
      <w:r w:rsidRPr="00C12274">
        <w:t>gestational diabetes (</w:t>
      </w:r>
      <w:r w:rsidRPr="00C12274">
        <w:rPr>
          <w:sz w:val="16"/>
          <w:szCs w:val="16"/>
        </w:rPr>
        <w:t>RR 0.7</w:t>
      </w:r>
      <w:r>
        <w:rPr>
          <w:sz w:val="16"/>
          <w:szCs w:val="16"/>
        </w:rPr>
        <w:t>4</w:t>
      </w:r>
      <w:r w:rsidRPr="00C12274">
        <w:rPr>
          <w:sz w:val="16"/>
          <w:szCs w:val="16"/>
        </w:rPr>
        <w:t>; 95%CI 0.</w:t>
      </w:r>
      <w:r>
        <w:rPr>
          <w:sz w:val="16"/>
          <w:szCs w:val="16"/>
        </w:rPr>
        <w:t>60</w:t>
      </w:r>
      <w:r w:rsidRPr="00C12274">
        <w:rPr>
          <w:sz w:val="16"/>
          <w:szCs w:val="16"/>
        </w:rPr>
        <w:t xml:space="preserve"> to 0.</w:t>
      </w:r>
      <w:r w:rsidR="00941544">
        <w:rPr>
          <w:sz w:val="16"/>
          <w:szCs w:val="16"/>
        </w:rPr>
        <w:t>90</w:t>
      </w:r>
      <w:r w:rsidRPr="00C12274">
        <w:rPr>
          <w:sz w:val="16"/>
          <w:szCs w:val="16"/>
        </w:rPr>
        <w:t xml:space="preserve">; </w:t>
      </w:r>
      <w:r>
        <w:rPr>
          <w:sz w:val="16"/>
          <w:szCs w:val="16"/>
        </w:rPr>
        <w:t>20</w:t>
      </w:r>
      <w:r w:rsidRPr="00C12274">
        <w:rPr>
          <w:sz w:val="16"/>
          <w:szCs w:val="16"/>
        </w:rPr>
        <w:t xml:space="preserve"> RCTs; n=5,</w:t>
      </w:r>
      <w:r>
        <w:rPr>
          <w:sz w:val="16"/>
          <w:szCs w:val="16"/>
        </w:rPr>
        <w:t>592</w:t>
      </w:r>
      <w:r w:rsidRPr="00C12274">
        <w:rPr>
          <w:sz w:val="16"/>
          <w:szCs w:val="16"/>
        </w:rPr>
        <w:t xml:space="preserve">; low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.3; page</w:t>
      </w:r>
      <w:r>
        <w:rPr>
          <w:sz w:val="16"/>
          <w:szCs w:val="16"/>
        </w:rPr>
        <w:t xml:space="preserve"> </w:t>
      </w:r>
      <w:r>
        <w:rPr>
          <w:sz w:val="16"/>
          <w:szCs w:val="16"/>
        </w:rPr>
        <w:fldChar w:fldCharType="begin"/>
      </w:r>
      <w:r>
        <w:rPr>
          <w:sz w:val="16"/>
          <w:szCs w:val="16"/>
        </w:rPr>
        <w:instrText xml:space="preserve"> PAGEREF _Ref9000191 \h </w:instrText>
      </w:r>
      <w:r>
        <w:rPr>
          <w:sz w:val="16"/>
          <w:szCs w:val="16"/>
        </w:rPr>
      </w:r>
      <w:r>
        <w:rPr>
          <w:sz w:val="16"/>
          <w:szCs w:val="16"/>
        </w:rPr>
        <w:fldChar w:fldCharType="separate"/>
      </w:r>
      <w:r w:rsidR="00BA7CBD">
        <w:rPr>
          <w:noProof/>
          <w:sz w:val="16"/>
          <w:szCs w:val="16"/>
        </w:rPr>
        <w:t>417</w:t>
      </w:r>
      <w:r>
        <w:rPr>
          <w:sz w:val="16"/>
          <w:szCs w:val="16"/>
        </w:rPr>
        <w:fldChar w:fldCharType="end"/>
      </w:r>
      <w:r w:rsidRPr="00C12274">
        <w:t>).</w:t>
      </w:r>
    </w:p>
    <w:p w14:paraId="53DDDA3D" w14:textId="581C61BA" w:rsidR="00A5540F" w:rsidRPr="00C12274" w:rsidRDefault="00A5540F" w:rsidP="00A5540F">
      <w:pPr>
        <w:pStyle w:val="bullet"/>
      </w:pPr>
      <w:r w:rsidRPr="00C12274">
        <w:t>gestational hypertension (</w:t>
      </w:r>
      <w:r w:rsidRPr="00C12274">
        <w:rPr>
          <w:sz w:val="16"/>
          <w:szCs w:val="16"/>
        </w:rPr>
        <w:t>RR 0.5</w:t>
      </w:r>
      <w:r>
        <w:rPr>
          <w:sz w:val="16"/>
          <w:szCs w:val="16"/>
        </w:rPr>
        <w:t>1</w:t>
      </w:r>
      <w:r w:rsidRPr="00C12274">
        <w:rPr>
          <w:sz w:val="16"/>
          <w:szCs w:val="16"/>
        </w:rPr>
        <w:t>; 95%CI 0.3</w:t>
      </w:r>
      <w:r>
        <w:rPr>
          <w:sz w:val="16"/>
          <w:szCs w:val="16"/>
        </w:rPr>
        <w:t>7</w:t>
      </w:r>
      <w:r w:rsidRPr="00C12274">
        <w:rPr>
          <w:sz w:val="16"/>
          <w:szCs w:val="16"/>
        </w:rPr>
        <w:t xml:space="preserve"> to 0.7</w:t>
      </w:r>
      <w:r>
        <w:rPr>
          <w:sz w:val="16"/>
          <w:szCs w:val="16"/>
        </w:rPr>
        <w:t>1</w:t>
      </w:r>
      <w:r w:rsidRPr="00C12274">
        <w:rPr>
          <w:sz w:val="16"/>
          <w:szCs w:val="16"/>
        </w:rPr>
        <w:t>; 7 RCTs; n=3,</w:t>
      </w:r>
      <w:r>
        <w:rPr>
          <w:sz w:val="16"/>
          <w:szCs w:val="16"/>
        </w:rPr>
        <w:t>060</w:t>
      </w:r>
      <w:r w:rsidRPr="00C12274">
        <w:rPr>
          <w:sz w:val="16"/>
          <w:szCs w:val="16"/>
        </w:rPr>
        <w:t xml:space="preserve">;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.4; page</w:t>
      </w:r>
      <w:r>
        <w:rPr>
          <w:sz w:val="16"/>
          <w:szCs w:val="16"/>
        </w:rPr>
        <w:t xml:space="preserve"> </w:t>
      </w:r>
      <w:r>
        <w:rPr>
          <w:sz w:val="16"/>
          <w:szCs w:val="16"/>
        </w:rPr>
        <w:fldChar w:fldCharType="begin"/>
      </w:r>
      <w:r>
        <w:rPr>
          <w:sz w:val="16"/>
          <w:szCs w:val="16"/>
        </w:rPr>
        <w:instrText xml:space="preserve"> PAGEREF _Ref9000213 \h </w:instrText>
      </w:r>
      <w:r>
        <w:rPr>
          <w:sz w:val="16"/>
          <w:szCs w:val="16"/>
        </w:rPr>
      </w:r>
      <w:r>
        <w:rPr>
          <w:sz w:val="16"/>
          <w:szCs w:val="16"/>
        </w:rPr>
        <w:fldChar w:fldCharType="separate"/>
      </w:r>
      <w:r w:rsidR="00BA7CBD">
        <w:rPr>
          <w:noProof/>
          <w:sz w:val="16"/>
          <w:szCs w:val="16"/>
        </w:rPr>
        <w:t>418</w:t>
      </w:r>
      <w:r>
        <w:rPr>
          <w:sz w:val="16"/>
          <w:szCs w:val="16"/>
        </w:rPr>
        <w:fldChar w:fldCharType="end"/>
      </w:r>
      <w:r w:rsidRPr="00C12274">
        <w:t>).</w:t>
      </w:r>
    </w:p>
    <w:p w14:paraId="010A43C9" w14:textId="00E5ECC9" w:rsidR="00A5540F" w:rsidRPr="00C12274" w:rsidRDefault="00A5540F" w:rsidP="00A5540F">
      <w:pPr>
        <w:pStyle w:val="bullet"/>
      </w:pPr>
      <w:r w:rsidRPr="00C12274">
        <w:t>caesarean section (</w:t>
      </w:r>
      <w:r w:rsidRPr="00C12274">
        <w:rPr>
          <w:sz w:val="16"/>
          <w:szCs w:val="16"/>
        </w:rPr>
        <w:t>RR 0.8</w:t>
      </w:r>
      <w:r>
        <w:rPr>
          <w:sz w:val="16"/>
          <w:szCs w:val="16"/>
        </w:rPr>
        <w:t>5</w:t>
      </w:r>
      <w:r w:rsidRPr="00C12274">
        <w:rPr>
          <w:sz w:val="16"/>
          <w:szCs w:val="16"/>
        </w:rPr>
        <w:t>; 95%CI 0.7</w:t>
      </w:r>
      <w:r w:rsidR="00941544">
        <w:rPr>
          <w:sz w:val="16"/>
          <w:szCs w:val="16"/>
        </w:rPr>
        <w:t>4</w:t>
      </w:r>
      <w:r w:rsidRPr="00C12274">
        <w:rPr>
          <w:sz w:val="16"/>
          <w:szCs w:val="16"/>
        </w:rPr>
        <w:t xml:space="preserve"> to 0.9</w:t>
      </w:r>
      <w:r>
        <w:rPr>
          <w:sz w:val="16"/>
          <w:szCs w:val="16"/>
        </w:rPr>
        <w:t>8</w:t>
      </w:r>
      <w:r w:rsidRPr="00C12274">
        <w:rPr>
          <w:sz w:val="16"/>
          <w:szCs w:val="16"/>
        </w:rPr>
        <w:t xml:space="preserve">; </w:t>
      </w:r>
      <w:r>
        <w:rPr>
          <w:sz w:val="16"/>
          <w:szCs w:val="16"/>
        </w:rPr>
        <w:t>2</w:t>
      </w:r>
      <w:r w:rsidR="007E0CC6">
        <w:rPr>
          <w:sz w:val="16"/>
          <w:szCs w:val="16"/>
        </w:rPr>
        <w:t>5</w:t>
      </w:r>
      <w:r w:rsidRPr="00C12274">
        <w:rPr>
          <w:sz w:val="16"/>
          <w:szCs w:val="16"/>
        </w:rPr>
        <w:t xml:space="preserve"> RCTs; n=5,</w:t>
      </w:r>
      <w:r w:rsidR="007E0CC6">
        <w:rPr>
          <w:sz w:val="16"/>
          <w:szCs w:val="16"/>
        </w:rPr>
        <w:t>704</w:t>
      </w:r>
      <w:r w:rsidRPr="00C12274">
        <w:rPr>
          <w:sz w:val="16"/>
          <w:szCs w:val="16"/>
        </w:rPr>
        <w:t xml:space="preserve">;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.6; page</w:t>
      </w:r>
      <w:r>
        <w:rPr>
          <w:sz w:val="16"/>
          <w:szCs w:val="16"/>
        </w:rPr>
        <w:t xml:space="preserve"> </w:t>
      </w:r>
      <w:r>
        <w:rPr>
          <w:sz w:val="16"/>
          <w:szCs w:val="16"/>
        </w:rPr>
        <w:fldChar w:fldCharType="begin"/>
      </w:r>
      <w:r>
        <w:rPr>
          <w:sz w:val="16"/>
          <w:szCs w:val="16"/>
        </w:rPr>
        <w:instrText xml:space="preserve"> PAGEREF _Ref9000228 \h </w:instrText>
      </w:r>
      <w:r>
        <w:rPr>
          <w:sz w:val="16"/>
          <w:szCs w:val="16"/>
        </w:rPr>
      </w:r>
      <w:r>
        <w:rPr>
          <w:sz w:val="16"/>
          <w:szCs w:val="16"/>
        </w:rPr>
        <w:fldChar w:fldCharType="separate"/>
      </w:r>
      <w:r w:rsidR="00BA7CBD">
        <w:rPr>
          <w:noProof/>
          <w:sz w:val="16"/>
          <w:szCs w:val="16"/>
        </w:rPr>
        <w:t>419</w:t>
      </w:r>
      <w:r>
        <w:rPr>
          <w:sz w:val="16"/>
          <w:szCs w:val="16"/>
        </w:rPr>
        <w:fldChar w:fldCharType="end"/>
      </w:r>
      <w:r w:rsidRPr="00C12274">
        <w:t>).</w:t>
      </w:r>
    </w:p>
    <w:p w14:paraId="5A38EC04" w14:textId="71D62962" w:rsidR="004B2CB7" w:rsidRDefault="00A5540F" w:rsidP="00A5540F">
      <w:pPr>
        <w:pStyle w:val="bullet"/>
      </w:pPr>
      <w:r w:rsidRPr="00C12274">
        <w:t>antenatal depression (</w:t>
      </w:r>
      <w:r w:rsidRPr="00C12274">
        <w:rPr>
          <w:sz w:val="16"/>
          <w:szCs w:val="16"/>
        </w:rPr>
        <w:t>RR 0.</w:t>
      </w:r>
      <w:r w:rsidR="007E0CC6" w:rsidRPr="00C12274">
        <w:rPr>
          <w:sz w:val="16"/>
          <w:szCs w:val="16"/>
        </w:rPr>
        <w:t>4</w:t>
      </w:r>
      <w:r w:rsidR="007E0CC6">
        <w:rPr>
          <w:sz w:val="16"/>
          <w:szCs w:val="16"/>
        </w:rPr>
        <w:t>4</w:t>
      </w:r>
      <w:r w:rsidRPr="00C12274">
        <w:rPr>
          <w:sz w:val="16"/>
          <w:szCs w:val="16"/>
        </w:rPr>
        <w:t>; 95%CI 0.</w:t>
      </w:r>
      <w:r w:rsidR="007E0CC6">
        <w:rPr>
          <w:sz w:val="16"/>
          <w:szCs w:val="16"/>
        </w:rPr>
        <w:t>32</w:t>
      </w:r>
      <w:r w:rsidR="007E0CC6" w:rsidRPr="00C12274">
        <w:rPr>
          <w:sz w:val="16"/>
          <w:szCs w:val="16"/>
        </w:rPr>
        <w:t xml:space="preserve"> </w:t>
      </w:r>
      <w:r w:rsidRPr="00C12274">
        <w:rPr>
          <w:sz w:val="16"/>
          <w:szCs w:val="16"/>
        </w:rPr>
        <w:t xml:space="preserve">to 0.61; </w:t>
      </w:r>
      <w:r w:rsidR="007E0CC6">
        <w:rPr>
          <w:sz w:val="16"/>
          <w:szCs w:val="16"/>
        </w:rPr>
        <w:t>6</w:t>
      </w:r>
      <w:r w:rsidRPr="00C12274">
        <w:rPr>
          <w:sz w:val="16"/>
          <w:szCs w:val="16"/>
        </w:rPr>
        <w:t xml:space="preserve"> RCTs; n=</w:t>
      </w:r>
      <w:r w:rsidR="007E0CC6">
        <w:rPr>
          <w:sz w:val="16"/>
          <w:szCs w:val="16"/>
        </w:rPr>
        <w:t>798</w:t>
      </w:r>
      <w:r w:rsidRPr="00C12274">
        <w:rPr>
          <w:sz w:val="16"/>
          <w:szCs w:val="16"/>
        </w:rPr>
        <w:t xml:space="preserve">; </w:t>
      </w:r>
      <w:r>
        <w:rPr>
          <w:sz w:val="16"/>
          <w:szCs w:val="16"/>
        </w:rPr>
        <w:t>moderate</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.7; page</w:t>
      </w:r>
      <w:r>
        <w:rPr>
          <w:sz w:val="16"/>
          <w:szCs w:val="16"/>
        </w:rPr>
        <w:t xml:space="preserve"> </w:t>
      </w:r>
      <w:r>
        <w:rPr>
          <w:sz w:val="16"/>
          <w:szCs w:val="16"/>
        </w:rPr>
        <w:fldChar w:fldCharType="begin"/>
      </w:r>
      <w:r>
        <w:rPr>
          <w:sz w:val="16"/>
          <w:szCs w:val="16"/>
        </w:rPr>
        <w:instrText xml:space="preserve"> PAGEREF _Ref9000249 \h </w:instrText>
      </w:r>
      <w:r>
        <w:rPr>
          <w:sz w:val="16"/>
          <w:szCs w:val="16"/>
        </w:rPr>
      </w:r>
      <w:r>
        <w:rPr>
          <w:sz w:val="16"/>
          <w:szCs w:val="16"/>
        </w:rPr>
        <w:fldChar w:fldCharType="separate"/>
      </w:r>
      <w:r w:rsidR="007E0CC6">
        <w:rPr>
          <w:noProof/>
          <w:sz w:val="16"/>
          <w:szCs w:val="16"/>
        </w:rPr>
        <w:t>480</w:t>
      </w:r>
      <w:r>
        <w:rPr>
          <w:sz w:val="16"/>
          <w:szCs w:val="16"/>
        </w:rPr>
        <w:fldChar w:fldCharType="end"/>
      </w:r>
      <w:r w:rsidRPr="00C12274">
        <w:t>)</w:t>
      </w:r>
    </w:p>
    <w:p w14:paraId="01D71F89" w14:textId="3FFE897D" w:rsidR="00A5540F" w:rsidRPr="00C12274" w:rsidRDefault="004B2CB7" w:rsidP="00A5540F">
      <w:pPr>
        <w:pStyle w:val="bullet"/>
      </w:pPr>
      <w:r>
        <w:t>postnatal depression (</w:t>
      </w:r>
      <w:r w:rsidRPr="00A96FD5">
        <w:rPr>
          <w:sz w:val="16"/>
          <w:szCs w:val="16"/>
        </w:rPr>
        <w:t xml:space="preserve">RR 0.47; 95%CI 0.34 to 0.65; </w:t>
      </w:r>
      <w:r>
        <w:rPr>
          <w:sz w:val="16"/>
          <w:szCs w:val="16"/>
        </w:rPr>
        <w:t xml:space="preserve">5 RCTs; n=1,613; </w:t>
      </w:r>
      <w:r w:rsidRPr="00A96FD5">
        <w:rPr>
          <w:sz w:val="16"/>
          <w:szCs w:val="16"/>
        </w:rPr>
        <w:t>moderate certainty</w:t>
      </w:r>
      <w:r>
        <w:rPr>
          <w:sz w:val="16"/>
          <w:szCs w:val="16"/>
        </w:rPr>
        <w:t xml:space="preserve">; analysis 4.8; page </w:t>
      </w:r>
      <w:r w:rsidR="007E0CC6">
        <w:rPr>
          <w:sz w:val="16"/>
          <w:szCs w:val="16"/>
        </w:rPr>
        <w:fldChar w:fldCharType="begin"/>
      </w:r>
      <w:r w:rsidR="007E0CC6">
        <w:rPr>
          <w:sz w:val="16"/>
          <w:szCs w:val="16"/>
        </w:rPr>
        <w:instrText xml:space="preserve"> PAGEREF _Ref40446198 \h </w:instrText>
      </w:r>
      <w:r w:rsidR="007E0CC6">
        <w:rPr>
          <w:sz w:val="16"/>
          <w:szCs w:val="16"/>
        </w:rPr>
      </w:r>
      <w:r w:rsidR="007E0CC6">
        <w:rPr>
          <w:sz w:val="16"/>
          <w:szCs w:val="16"/>
        </w:rPr>
        <w:fldChar w:fldCharType="separate"/>
      </w:r>
      <w:r w:rsidR="007E0CC6">
        <w:rPr>
          <w:noProof/>
          <w:sz w:val="16"/>
          <w:szCs w:val="16"/>
        </w:rPr>
        <w:t>481</w:t>
      </w:r>
      <w:r w:rsidR="007E0CC6">
        <w:rPr>
          <w:sz w:val="16"/>
          <w:szCs w:val="16"/>
        </w:rPr>
        <w:fldChar w:fldCharType="end"/>
      </w:r>
      <w:r>
        <w:t>).</w:t>
      </w:r>
    </w:p>
    <w:p w14:paraId="34E17003" w14:textId="77777777" w:rsidR="00A5540F" w:rsidRDefault="00A5540F" w:rsidP="00A5540F">
      <w:r w:rsidRPr="00C12274">
        <w:t>There was no clear difference in</w:t>
      </w:r>
      <w:r>
        <w:t>:</w:t>
      </w:r>
      <w:r w:rsidRPr="00C12274">
        <w:t xml:space="preserve"> </w:t>
      </w:r>
    </w:p>
    <w:p w14:paraId="4792ECA1" w14:textId="22ED680A" w:rsidR="00A5540F" w:rsidRDefault="00A5540F" w:rsidP="00A5540F">
      <w:pPr>
        <w:pStyle w:val="bullet"/>
      </w:pPr>
      <w:r w:rsidRPr="00C12274">
        <w:t>risk of pre-eclampsia between groups (</w:t>
      </w:r>
      <w:r w:rsidRPr="0092333F">
        <w:rPr>
          <w:sz w:val="16"/>
          <w:szCs w:val="16"/>
        </w:rPr>
        <w:t>RR 0.</w:t>
      </w:r>
      <w:r w:rsidR="008115A4">
        <w:rPr>
          <w:sz w:val="16"/>
          <w:szCs w:val="16"/>
        </w:rPr>
        <w:t>78</w:t>
      </w:r>
      <w:r w:rsidRPr="0092333F">
        <w:rPr>
          <w:sz w:val="16"/>
          <w:szCs w:val="16"/>
        </w:rPr>
        <w:t>; 95%CI 0.</w:t>
      </w:r>
      <w:r w:rsidR="008115A4">
        <w:rPr>
          <w:sz w:val="16"/>
          <w:szCs w:val="16"/>
        </w:rPr>
        <w:t>53</w:t>
      </w:r>
      <w:r w:rsidR="008115A4" w:rsidRPr="0092333F">
        <w:rPr>
          <w:sz w:val="16"/>
          <w:szCs w:val="16"/>
        </w:rPr>
        <w:t xml:space="preserve"> </w:t>
      </w:r>
      <w:r w:rsidRPr="0092333F">
        <w:rPr>
          <w:sz w:val="16"/>
          <w:szCs w:val="16"/>
        </w:rPr>
        <w:t>to 1.</w:t>
      </w:r>
      <w:r w:rsidR="008115A4">
        <w:rPr>
          <w:sz w:val="16"/>
          <w:szCs w:val="16"/>
        </w:rPr>
        <w:t>15</w:t>
      </w:r>
      <w:r w:rsidRPr="0092333F">
        <w:rPr>
          <w:sz w:val="16"/>
          <w:szCs w:val="16"/>
        </w:rPr>
        <w:t>; 7 RCTs; n=2,</w:t>
      </w:r>
      <w:r w:rsidR="008115A4">
        <w:rPr>
          <w:sz w:val="16"/>
          <w:szCs w:val="16"/>
        </w:rPr>
        <w:t>855</w:t>
      </w:r>
      <w:r w:rsidRPr="0092333F">
        <w:rPr>
          <w:sz w:val="16"/>
          <w:szCs w:val="16"/>
        </w:rPr>
        <w:t xml:space="preserve">; moderate </w:t>
      </w:r>
      <w:r w:rsidR="00343BBE">
        <w:rPr>
          <w:sz w:val="16"/>
          <w:szCs w:val="16"/>
        </w:rPr>
        <w:t>certainty</w:t>
      </w:r>
      <w:r w:rsidR="00BA7CBD">
        <w:rPr>
          <w:sz w:val="16"/>
          <w:szCs w:val="16"/>
        </w:rPr>
        <w:t>; analysis 4</w:t>
      </w:r>
      <w:r w:rsidRPr="0092333F">
        <w:rPr>
          <w:sz w:val="16"/>
          <w:szCs w:val="16"/>
        </w:rPr>
        <w:t>.5; page</w:t>
      </w:r>
      <w:r>
        <w:rPr>
          <w:sz w:val="16"/>
          <w:szCs w:val="16"/>
        </w:rPr>
        <w:t xml:space="preserve"> </w:t>
      </w:r>
      <w:r>
        <w:rPr>
          <w:sz w:val="16"/>
          <w:szCs w:val="16"/>
        </w:rPr>
        <w:fldChar w:fldCharType="begin"/>
      </w:r>
      <w:r>
        <w:rPr>
          <w:sz w:val="16"/>
          <w:szCs w:val="16"/>
        </w:rPr>
        <w:instrText xml:space="preserve"> PAGEREF _Ref9000292 \h </w:instrText>
      </w:r>
      <w:r>
        <w:rPr>
          <w:sz w:val="16"/>
          <w:szCs w:val="16"/>
        </w:rPr>
      </w:r>
      <w:r>
        <w:rPr>
          <w:sz w:val="16"/>
          <w:szCs w:val="16"/>
        </w:rPr>
        <w:fldChar w:fldCharType="separate"/>
      </w:r>
      <w:r w:rsidR="007E0CC6">
        <w:rPr>
          <w:noProof/>
          <w:sz w:val="16"/>
          <w:szCs w:val="16"/>
        </w:rPr>
        <w:t>479</w:t>
      </w:r>
      <w:r>
        <w:rPr>
          <w:sz w:val="16"/>
          <w:szCs w:val="16"/>
        </w:rPr>
        <w:fldChar w:fldCharType="end"/>
      </w:r>
      <w:r w:rsidRPr="0092333F">
        <w:rPr>
          <w:sz w:val="16"/>
          <w:szCs w:val="16"/>
        </w:rPr>
        <w:t>)</w:t>
      </w:r>
    </w:p>
    <w:p w14:paraId="6A8CBD42" w14:textId="4C7BB179" w:rsidR="00A5540F" w:rsidRPr="00C12274" w:rsidRDefault="00A5540F" w:rsidP="00A5540F">
      <w:pPr>
        <w:pStyle w:val="bullet"/>
      </w:pPr>
      <w:r>
        <w:t>postnatal weight retention (</w:t>
      </w:r>
      <w:r w:rsidRPr="00E020F8">
        <w:rPr>
          <w:sz w:val="16"/>
          <w:szCs w:val="16"/>
        </w:rPr>
        <w:t xml:space="preserve">RR </w:t>
      </w:r>
      <w:r w:rsidR="00261FC8">
        <w:rPr>
          <w:sz w:val="16"/>
          <w:szCs w:val="16"/>
        </w:rPr>
        <w:t>-0.</w:t>
      </w:r>
      <w:r w:rsidR="004B2CB7">
        <w:rPr>
          <w:sz w:val="16"/>
          <w:szCs w:val="16"/>
        </w:rPr>
        <w:t>20</w:t>
      </w:r>
      <w:r w:rsidRPr="00E020F8">
        <w:rPr>
          <w:sz w:val="16"/>
          <w:szCs w:val="16"/>
        </w:rPr>
        <w:t>; 95%CI –</w:t>
      </w:r>
      <w:r w:rsidR="00261FC8">
        <w:rPr>
          <w:sz w:val="16"/>
          <w:szCs w:val="16"/>
        </w:rPr>
        <w:t>1.</w:t>
      </w:r>
      <w:r w:rsidR="004B2CB7">
        <w:rPr>
          <w:sz w:val="16"/>
          <w:szCs w:val="16"/>
        </w:rPr>
        <w:t>48</w:t>
      </w:r>
      <w:r w:rsidR="004B2CB7" w:rsidRPr="00E020F8">
        <w:rPr>
          <w:sz w:val="16"/>
          <w:szCs w:val="16"/>
        </w:rPr>
        <w:t xml:space="preserve"> </w:t>
      </w:r>
      <w:r w:rsidRPr="00E020F8">
        <w:rPr>
          <w:sz w:val="16"/>
          <w:szCs w:val="16"/>
        </w:rPr>
        <w:t xml:space="preserve">to </w:t>
      </w:r>
      <w:r w:rsidR="00261FC8">
        <w:rPr>
          <w:sz w:val="16"/>
          <w:szCs w:val="16"/>
        </w:rPr>
        <w:t>1.</w:t>
      </w:r>
      <w:r w:rsidR="004B2CB7">
        <w:rPr>
          <w:sz w:val="16"/>
          <w:szCs w:val="16"/>
        </w:rPr>
        <w:t>09</w:t>
      </w:r>
      <w:r w:rsidRPr="00E020F8">
        <w:rPr>
          <w:sz w:val="16"/>
          <w:szCs w:val="16"/>
        </w:rPr>
        <w:t xml:space="preserve">; </w:t>
      </w:r>
      <w:r w:rsidR="00261FC8">
        <w:rPr>
          <w:sz w:val="16"/>
          <w:szCs w:val="16"/>
        </w:rPr>
        <w:t>5</w:t>
      </w:r>
      <w:r w:rsidRPr="00E020F8">
        <w:rPr>
          <w:sz w:val="16"/>
          <w:szCs w:val="16"/>
        </w:rPr>
        <w:t xml:space="preserve"> RCTs; n=</w:t>
      </w:r>
      <w:r w:rsidR="00261FC8">
        <w:rPr>
          <w:sz w:val="16"/>
          <w:szCs w:val="16"/>
        </w:rPr>
        <w:t>3</w:t>
      </w:r>
      <w:r w:rsidR="004B2CB7">
        <w:rPr>
          <w:sz w:val="16"/>
          <w:szCs w:val="16"/>
        </w:rPr>
        <w:t>8</w:t>
      </w:r>
      <w:r w:rsidR="00261FC8">
        <w:rPr>
          <w:sz w:val="16"/>
          <w:szCs w:val="16"/>
        </w:rPr>
        <w:t>8</w:t>
      </w:r>
      <w:r w:rsidR="00BA7CBD">
        <w:rPr>
          <w:sz w:val="16"/>
          <w:szCs w:val="16"/>
        </w:rPr>
        <w:t xml:space="preserve">; </w:t>
      </w:r>
      <w:r w:rsidR="004B2CB7">
        <w:rPr>
          <w:sz w:val="16"/>
          <w:szCs w:val="16"/>
        </w:rPr>
        <w:t xml:space="preserve">moderate certainty; </w:t>
      </w:r>
      <w:r w:rsidR="00BA7CBD">
        <w:rPr>
          <w:sz w:val="16"/>
          <w:szCs w:val="16"/>
        </w:rPr>
        <w:t>analysis 4</w:t>
      </w:r>
      <w:r w:rsidRPr="00E020F8">
        <w:rPr>
          <w:sz w:val="16"/>
          <w:szCs w:val="16"/>
        </w:rPr>
        <w:t>.</w:t>
      </w:r>
      <w:r w:rsidR="007E0CC6">
        <w:rPr>
          <w:sz w:val="16"/>
          <w:szCs w:val="16"/>
        </w:rPr>
        <w:t>9</w:t>
      </w:r>
      <w:r w:rsidRPr="00E020F8">
        <w:rPr>
          <w:sz w:val="16"/>
          <w:szCs w:val="16"/>
        </w:rPr>
        <w:t xml:space="preserve">; </w:t>
      </w:r>
      <w:r w:rsidR="004B2CB7" w:rsidRPr="00E020F8">
        <w:rPr>
          <w:sz w:val="16"/>
          <w:szCs w:val="16"/>
        </w:rPr>
        <w:t>page</w:t>
      </w:r>
      <w:r w:rsidR="004B2CB7">
        <w:rPr>
          <w:sz w:val="16"/>
          <w:szCs w:val="16"/>
        </w:rPr>
        <w:t> </w:t>
      </w:r>
      <w:r w:rsidRPr="00E020F8">
        <w:rPr>
          <w:sz w:val="16"/>
          <w:szCs w:val="16"/>
        </w:rPr>
        <w:fldChar w:fldCharType="begin"/>
      </w:r>
      <w:r w:rsidRPr="00E020F8">
        <w:rPr>
          <w:sz w:val="16"/>
          <w:szCs w:val="16"/>
        </w:rPr>
        <w:instrText xml:space="preserve"> PAGEREF _Ref8999425 \h </w:instrText>
      </w:r>
      <w:r w:rsidRPr="00E020F8">
        <w:rPr>
          <w:sz w:val="16"/>
          <w:szCs w:val="16"/>
        </w:rPr>
      </w:r>
      <w:r w:rsidRPr="00E020F8">
        <w:rPr>
          <w:sz w:val="16"/>
          <w:szCs w:val="16"/>
        </w:rPr>
        <w:fldChar w:fldCharType="separate"/>
      </w:r>
      <w:r w:rsidR="007E0CC6">
        <w:rPr>
          <w:noProof/>
          <w:sz w:val="16"/>
          <w:szCs w:val="16"/>
        </w:rPr>
        <w:t>481</w:t>
      </w:r>
      <w:r w:rsidRPr="00E020F8">
        <w:rPr>
          <w:sz w:val="16"/>
          <w:szCs w:val="16"/>
        </w:rPr>
        <w:fldChar w:fldCharType="end"/>
      </w:r>
      <w:r>
        <w:t>).</w:t>
      </w:r>
    </w:p>
    <w:p w14:paraId="4A8A310D" w14:textId="77777777" w:rsidR="00A5540F" w:rsidRPr="00C12274" w:rsidRDefault="00A5540F" w:rsidP="00A5540F">
      <w:pPr>
        <w:pStyle w:val="Heading4"/>
      </w:pPr>
      <w:bookmarkStart w:id="212" w:name="_Toc3807154"/>
      <w:r w:rsidRPr="00C12274">
        <w:t>Infant outcomes</w:t>
      </w:r>
      <w:bookmarkEnd w:id="212"/>
    </w:p>
    <w:p w14:paraId="32889ECF" w14:textId="4D5FA706" w:rsidR="00A5540F" w:rsidRPr="00C12274" w:rsidRDefault="00A5540F" w:rsidP="00A5540F">
      <w:r w:rsidRPr="00C12274">
        <w:t xml:space="preserve">The risk of macrosomia </w:t>
      </w:r>
      <w:r w:rsidR="004F2B93">
        <w:t xml:space="preserve">(&gt;4,000 g) </w:t>
      </w:r>
      <w:r w:rsidRPr="00C12274">
        <w:t>was lower in the intervention group than in the standard care group (</w:t>
      </w:r>
      <w:r w:rsidRPr="00C12274">
        <w:rPr>
          <w:sz w:val="16"/>
          <w:szCs w:val="16"/>
        </w:rPr>
        <w:t>RR 0.7</w:t>
      </w:r>
      <w:r>
        <w:rPr>
          <w:sz w:val="16"/>
          <w:szCs w:val="16"/>
        </w:rPr>
        <w:t>5</w:t>
      </w:r>
      <w:r w:rsidRPr="00C12274">
        <w:rPr>
          <w:sz w:val="16"/>
          <w:szCs w:val="16"/>
        </w:rPr>
        <w:t>; 95%CI 0.</w:t>
      </w:r>
      <w:r>
        <w:rPr>
          <w:sz w:val="16"/>
          <w:szCs w:val="16"/>
        </w:rPr>
        <w:t>59</w:t>
      </w:r>
      <w:r w:rsidRPr="00C12274">
        <w:rPr>
          <w:sz w:val="16"/>
          <w:szCs w:val="16"/>
        </w:rPr>
        <w:t xml:space="preserve"> to 0.9</w:t>
      </w:r>
      <w:r>
        <w:rPr>
          <w:sz w:val="16"/>
          <w:szCs w:val="16"/>
        </w:rPr>
        <w:t>6</w:t>
      </w:r>
      <w:r w:rsidRPr="00C12274">
        <w:rPr>
          <w:sz w:val="16"/>
          <w:szCs w:val="16"/>
        </w:rPr>
        <w:t>; 15 RCTs; n=4,</w:t>
      </w:r>
      <w:r>
        <w:rPr>
          <w:sz w:val="16"/>
          <w:szCs w:val="16"/>
        </w:rPr>
        <w:t>759</w:t>
      </w:r>
      <w:r w:rsidRPr="00C12274">
        <w:rPr>
          <w:sz w:val="16"/>
          <w:szCs w:val="16"/>
        </w:rPr>
        <w:t xml:space="preserve">;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.1</w:t>
      </w:r>
      <w:r w:rsidR="007E0CC6">
        <w:rPr>
          <w:sz w:val="16"/>
          <w:szCs w:val="16"/>
        </w:rPr>
        <w:t>2</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_Ref9000394 \h </w:instrText>
      </w:r>
      <w:r>
        <w:rPr>
          <w:sz w:val="16"/>
          <w:szCs w:val="16"/>
        </w:rPr>
      </w:r>
      <w:r>
        <w:rPr>
          <w:sz w:val="16"/>
          <w:szCs w:val="16"/>
        </w:rPr>
        <w:fldChar w:fldCharType="separate"/>
      </w:r>
      <w:r w:rsidR="00BA7CBD">
        <w:rPr>
          <w:noProof/>
          <w:sz w:val="16"/>
          <w:szCs w:val="16"/>
        </w:rPr>
        <w:t>421</w:t>
      </w:r>
      <w:r>
        <w:rPr>
          <w:sz w:val="16"/>
          <w:szCs w:val="16"/>
        </w:rPr>
        <w:fldChar w:fldCharType="end"/>
      </w:r>
      <w:r w:rsidRPr="00C12274">
        <w:t>).</w:t>
      </w:r>
    </w:p>
    <w:p w14:paraId="3E4131EF" w14:textId="77777777" w:rsidR="00A5540F" w:rsidRPr="00C12274" w:rsidRDefault="00A5540F" w:rsidP="00A5540F">
      <w:r w:rsidRPr="00C12274">
        <w:t>There was no clear difference in risk of:</w:t>
      </w:r>
    </w:p>
    <w:p w14:paraId="66256348" w14:textId="69976732" w:rsidR="00A5540F" w:rsidRPr="00C12274" w:rsidRDefault="00A5540F" w:rsidP="00A5540F">
      <w:pPr>
        <w:pStyle w:val="bullet"/>
      </w:pPr>
      <w:r w:rsidRPr="00C12274">
        <w:t>preterm birth (</w:t>
      </w:r>
      <w:r w:rsidRPr="00C12274">
        <w:rPr>
          <w:sz w:val="16"/>
          <w:szCs w:val="16"/>
        </w:rPr>
        <w:t>RR 0.9</w:t>
      </w:r>
      <w:r>
        <w:rPr>
          <w:sz w:val="16"/>
          <w:szCs w:val="16"/>
        </w:rPr>
        <w:t>5</w:t>
      </w:r>
      <w:r w:rsidRPr="00C12274">
        <w:rPr>
          <w:sz w:val="16"/>
          <w:szCs w:val="16"/>
        </w:rPr>
        <w:t>; 95%CI 0.7</w:t>
      </w:r>
      <w:r>
        <w:rPr>
          <w:sz w:val="16"/>
          <w:szCs w:val="16"/>
        </w:rPr>
        <w:t>4</w:t>
      </w:r>
      <w:r w:rsidRPr="00C12274">
        <w:rPr>
          <w:sz w:val="16"/>
          <w:szCs w:val="16"/>
        </w:rPr>
        <w:t xml:space="preserve"> to 1.2</w:t>
      </w:r>
      <w:r>
        <w:rPr>
          <w:sz w:val="16"/>
          <w:szCs w:val="16"/>
        </w:rPr>
        <w:t>2</w:t>
      </w:r>
      <w:r w:rsidRPr="00C12274">
        <w:rPr>
          <w:sz w:val="16"/>
          <w:szCs w:val="16"/>
        </w:rPr>
        <w:t>; 1</w:t>
      </w:r>
      <w:r>
        <w:rPr>
          <w:sz w:val="16"/>
          <w:szCs w:val="16"/>
        </w:rPr>
        <w:t>5</w:t>
      </w:r>
      <w:r w:rsidRPr="00C12274">
        <w:rPr>
          <w:sz w:val="16"/>
          <w:szCs w:val="16"/>
        </w:rPr>
        <w:t> RCTs; n=4,</w:t>
      </w:r>
      <w:r>
        <w:rPr>
          <w:sz w:val="16"/>
          <w:szCs w:val="16"/>
        </w:rPr>
        <w:t>388</w:t>
      </w:r>
      <w:r w:rsidRPr="00C12274">
        <w:rPr>
          <w:sz w:val="16"/>
          <w:szCs w:val="16"/>
        </w:rPr>
        <w:t xml:space="preserve">;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w:t>
      </w:r>
      <w:r w:rsidR="007E0CC6">
        <w:rPr>
          <w:sz w:val="16"/>
          <w:szCs w:val="16"/>
        </w:rPr>
        <w:t>10</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_Ref9000412 \h </w:instrText>
      </w:r>
      <w:r>
        <w:rPr>
          <w:sz w:val="16"/>
          <w:szCs w:val="16"/>
        </w:rPr>
      </w:r>
      <w:r>
        <w:rPr>
          <w:sz w:val="16"/>
          <w:szCs w:val="16"/>
        </w:rPr>
        <w:fldChar w:fldCharType="separate"/>
      </w:r>
      <w:r w:rsidR="00BA7CBD">
        <w:rPr>
          <w:noProof/>
          <w:sz w:val="16"/>
          <w:szCs w:val="16"/>
        </w:rPr>
        <w:t>420</w:t>
      </w:r>
      <w:r>
        <w:rPr>
          <w:sz w:val="16"/>
          <w:szCs w:val="16"/>
        </w:rPr>
        <w:fldChar w:fldCharType="end"/>
      </w:r>
      <w:r w:rsidRPr="00C12274">
        <w:t>)</w:t>
      </w:r>
    </w:p>
    <w:p w14:paraId="435EA99B" w14:textId="705ED715" w:rsidR="00A5540F" w:rsidRPr="00C12274" w:rsidRDefault="00A5540F" w:rsidP="00A5540F">
      <w:pPr>
        <w:pStyle w:val="bullet"/>
      </w:pPr>
      <w:r w:rsidRPr="00C12274">
        <w:t>low birth weight (</w:t>
      </w:r>
      <w:r w:rsidRPr="00C12274">
        <w:rPr>
          <w:sz w:val="16"/>
          <w:szCs w:val="16"/>
        </w:rPr>
        <w:t xml:space="preserve">RR 0.94; 95%CI 0.68 to 1.28; 11 RCTs; n=3,247;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w:t>
      </w:r>
      <w:r>
        <w:rPr>
          <w:sz w:val="16"/>
          <w:szCs w:val="16"/>
        </w:rPr>
        <w:t>1</w:t>
      </w:r>
      <w:r w:rsidR="007E0CC6">
        <w:rPr>
          <w:sz w:val="16"/>
          <w:szCs w:val="16"/>
        </w:rPr>
        <w:t>1</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_Ref9000428 \h </w:instrText>
      </w:r>
      <w:r>
        <w:rPr>
          <w:sz w:val="16"/>
          <w:szCs w:val="16"/>
        </w:rPr>
      </w:r>
      <w:r>
        <w:rPr>
          <w:sz w:val="16"/>
          <w:szCs w:val="16"/>
        </w:rPr>
        <w:fldChar w:fldCharType="separate"/>
      </w:r>
      <w:r w:rsidR="00BA7CBD">
        <w:rPr>
          <w:noProof/>
          <w:sz w:val="16"/>
          <w:szCs w:val="16"/>
        </w:rPr>
        <w:t>421</w:t>
      </w:r>
      <w:r>
        <w:rPr>
          <w:sz w:val="16"/>
          <w:szCs w:val="16"/>
        </w:rPr>
        <w:fldChar w:fldCharType="end"/>
      </w:r>
      <w:r w:rsidRPr="00C12274">
        <w:t>)</w:t>
      </w:r>
    </w:p>
    <w:p w14:paraId="219D8118" w14:textId="016E2C61" w:rsidR="00A5540F" w:rsidRPr="00C12274" w:rsidRDefault="00A5540F" w:rsidP="00A5540F">
      <w:pPr>
        <w:pStyle w:val="bullet"/>
      </w:pPr>
      <w:r w:rsidRPr="00C12274">
        <w:t>small for gestational age (</w:t>
      </w:r>
      <w:r w:rsidRPr="00C12274">
        <w:rPr>
          <w:sz w:val="16"/>
          <w:szCs w:val="16"/>
        </w:rPr>
        <w:t>RR 0.</w:t>
      </w:r>
      <w:r w:rsidR="008115A4">
        <w:rPr>
          <w:sz w:val="16"/>
          <w:szCs w:val="16"/>
        </w:rPr>
        <w:t>76</w:t>
      </w:r>
      <w:r w:rsidRPr="00C12274">
        <w:rPr>
          <w:sz w:val="16"/>
          <w:szCs w:val="16"/>
        </w:rPr>
        <w:t>; 95%CI 0.</w:t>
      </w:r>
      <w:r w:rsidR="008115A4" w:rsidRPr="00C12274">
        <w:rPr>
          <w:sz w:val="16"/>
          <w:szCs w:val="16"/>
        </w:rPr>
        <w:t>5</w:t>
      </w:r>
      <w:r w:rsidR="008115A4">
        <w:rPr>
          <w:sz w:val="16"/>
          <w:szCs w:val="16"/>
        </w:rPr>
        <w:t>0</w:t>
      </w:r>
      <w:r w:rsidR="008115A4" w:rsidRPr="00C12274">
        <w:rPr>
          <w:sz w:val="16"/>
          <w:szCs w:val="16"/>
        </w:rPr>
        <w:t xml:space="preserve"> </w:t>
      </w:r>
      <w:r w:rsidRPr="00C12274">
        <w:rPr>
          <w:sz w:val="16"/>
          <w:szCs w:val="16"/>
        </w:rPr>
        <w:t>to 1.</w:t>
      </w:r>
      <w:r w:rsidR="008115A4">
        <w:rPr>
          <w:sz w:val="16"/>
          <w:szCs w:val="16"/>
        </w:rPr>
        <w:t>1</w:t>
      </w:r>
      <w:r>
        <w:rPr>
          <w:sz w:val="16"/>
          <w:szCs w:val="16"/>
        </w:rPr>
        <w:t>7; 10</w:t>
      </w:r>
      <w:r w:rsidRPr="00C12274">
        <w:rPr>
          <w:sz w:val="16"/>
          <w:szCs w:val="16"/>
        </w:rPr>
        <w:t> RCTs; n=</w:t>
      </w:r>
      <w:r>
        <w:rPr>
          <w:sz w:val="16"/>
          <w:szCs w:val="16"/>
        </w:rPr>
        <w:t>1,</w:t>
      </w:r>
      <w:r w:rsidR="008115A4">
        <w:rPr>
          <w:sz w:val="16"/>
          <w:szCs w:val="16"/>
        </w:rPr>
        <w:t>581</w:t>
      </w:r>
      <w:r w:rsidRPr="00C12274">
        <w:rPr>
          <w:sz w:val="16"/>
          <w:szCs w:val="16"/>
        </w:rPr>
        <w:t xml:space="preserve">;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.1</w:t>
      </w:r>
      <w:r w:rsidR="007E0CC6">
        <w:rPr>
          <w:sz w:val="16"/>
          <w:szCs w:val="16"/>
        </w:rPr>
        <w:t>3</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_Ref9000443 \h </w:instrText>
      </w:r>
      <w:r>
        <w:rPr>
          <w:sz w:val="16"/>
          <w:szCs w:val="16"/>
        </w:rPr>
      </w:r>
      <w:r>
        <w:rPr>
          <w:sz w:val="16"/>
          <w:szCs w:val="16"/>
        </w:rPr>
        <w:fldChar w:fldCharType="separate"/>
      </w:r>
      <w:r w:rsidR="00BA7CBD">
        <w:rPr>
          <w:noProof/>
          <w:sz w:val="16"/>
          <w:szCs w:val="16"/>
        </w:rPr>
        <w:t>422</w:t>
      </w:r>
      <w:r>
        <w:rPr>
          <w:sz w:val="16"/>
          <w:szCs w:val="16"/>
        </w:rPr>
        <w:fldChar w:fldCharType="end"/>
      </w:r>
      <w:r w:rsidRPr="00C12274">
        <w:t>)</w:t>
      </w:r>
    </w:p>
    <w:p w14:paraId="326E2AC5" w14:textId="7AA94081" w:rsidR="00A5540F" w:rsidRPr="00C12274" w:rsidRDefault="00A5540F" w:rsidP="00A5540F">
      <w:pPr>
        <w:pStyle w:val="bullet"/>
      </w:pPr>
      <w:r w:rsidRPr="00C12274">
        <w:t>large for gestational age (</w:t>
      </w:r>
      <w:r w:rsidRPr="00C12274">
        <w:rPr>
          <w:sz w:val="16"/>
          <w:szCs w:val="16"/>
        </w:rPr>
        <w:t>RR 0.</w:t>
      </w:r>
      <w:r w:rsidR="008115A4" w:rsidRPr="00C12274">
        <w:rPr>
          <w:sz w:val="16"/>
          <w:szCs w:val="16"/>
        </w:rPr>
        <w:t>9</w:t>
      </w:r>
      <w:r w:rsidR="008115A4">
        <w:rPr>
          <w:sz w:val="16"/>
          <w:szCs w:val="16"/>
        </w:rPr>
        <w:t>1</w:t>
      </w:r>
      <w:r w:rsidRPr="00C12274">
        <w:rPr>
          <w:sz w:val="16"/>
          <w:szCs w:val="16"/>
        </w:rPr>
        <w:t>; 95%CI 0.</w:t>
      </w:r>
      <w:r w:rsidR="008115A4">
        <w:rPr>
          <w:sz w:val="16"/>
          <w:szCs w:val="16"/>
        </w:rPr>
        <w:t>61</w:t>
      </w:r>
      <w:r w:rsidR="008115A4" w:rsidRPr="00C12274">
        <w:rPr>
          <w:sz w:val="16"/>
          <w:szCs w:val="16"/>
        </w:rPr>
        <w:t xml:space="preserve"> </w:t>
      </w:r>
      <w:r w:rsidRPr="00C12274">
        <w:rPr>
          <w:sz w:val="16"/>
          <w:szCs w:val="16"/>
        </w:rPr>
        <w:t>to 1.</w:t>
      </w:r>
      <w:r>
        <w:rPr>
          <w:sz w:val="16"/>
          <w:szCs w:val="16"/>
        </w:rPr>
        <w:t>3</w:t>
      </w:r>
      <w:r w:rsidR="008115A4">
        <w:rPr>
          <w:sz w:val="16"/>
          <w:szCs w:val="16"/>
        </w:rPr>
        <w:t>6</w:t>
      </w:r>
      <w:r w:rsidRPr="00C12274">
        <w:rPr>
          <w:sz w:val="16"/>
          <w:szCs w:val="16"/>
        </w:rPr>
        <w:t>; 9 RCTs; n=1,</w:t>
      </w:r>
      <w:r w:rsidR="008115A4" w:rsidRPr="00C12274">
        <w:rPr>
          <w:sz w:val="16"/>
          <w:szCs w:val="16"/>
        </w:rPr>
        <w:t>6</w:t>
      </w:r>
      <w:r w:rsidR="008115A4">
        <w:rPr>
          <w:sz w:val="16"/>
          <w:szCs w:val="16"/>
        </w:rPr>
        <w:t>00</w:t>
      </w:r>
      <w:r w:rsidRPr="00C12274">
        <w:rPr>
          <w:sz w:val="16"/>
          <w:szCs w:val="16"/>
        </w:rPr>
        <w:t xml:space="preserve">;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.1</w:t>
      </w:r>
      <w:r w:rsidR="007E0CC6">
        <w:rPr>
          <w:sz w:val="16"/>
          <w:szCs w:val="16"/>
        </w:rPr>
        <w:t>4</w:t>
      </w:r>
      <w:r w:rsidRPr="00C12274">
        <w:rPr>
          <w:sz w:val="16"/>
          <w:szCs w:val="16"/>
        </w:rPr>
        <w:t>; page</w:t>
      </w:r>
      <w:r>
        <w:rPr>
          <w:sz w:val="16"/>
          <w:szCs w:val="16"/>
        </w:rPr>
        <w:t xml:space="preserve"> </w:t>
      </w:r>
      <w:r>
        <w:rPr>
          <w:sz w:val="16"/>
          <w:szCs w:val="16"/>
        </w:rPr>
        <w:fldChar w:fldCharType="begin"/>
      </w:r>
      <w:r>
        <w:rPr>
          <w:sz w:val="16"/>
          <w:szCs w:val="16"/>
        </w:rPr>
        <w:instrText xml:space="preserve"> PAGEREF _Ref9000461 \h </w:instrText>
      </w:r>
      <w:r>
        <w:rPr>
          <w:sz w:val="16"/>
          <w:szCs w:val="16"/>
        </w:rPr>
      </w:r>
      <w:r>
        <w:rPr>
          <w:sz w:val="16"/>
          <w:szCs w:val="16"/>
        </w:rPr>
        <w:fldChar w:fldCharType="separate"/>
      </w:r>
      <w:r w:rsidR="00BA7CBD">
        <w:rPr>
          <w:noProof/>
          <w:sz w:val="16"/>
          <w:szCs w:val="16"/>
        </w:rPr>
        <w:t>422</w:t>
      </w:r>
      <w:r>
        <w:rPr>
          <w:sz w:val="16"/>
          <w:szCs w:val="16"/>
        </w:rPr>
        <w:fldChar w:fldCharType="end"/>
      </w:r>
      <w:r w:rsidRPr="00C12274">
        <w:t>)</w:t>
      </w:r>
    </w:p>
    <w:p w14:paraId="476B921F" w14:textId="4A1C88B4" w:rsidR="00A5540F" w:rsidRPr="00C12274" w:rsidRDefault="00A5540F" w:rsidP="00A5540F">
      <w:pPr>
        <w:pStyle w:val="bullet"/>
      </w:pPr>
      <w:r w:rsidRPr="00C12274">
        <w:t>Apgar score &lt;7 at 5 minutes (</w:t>
      </w:r>
      <w:r w:rsidRPr="00C12274">
        <w:rPr>
          <w:sz w:val="16"/>
          <w:szCs w:val="16"/>
        </w:rPr>
        <w:t xml:space="preserve">RR 1.23; 95%CI 0.44 to 3.42; 5 RCTs; n=1,918; moderate </w:t>
      </w:r>
      <w:r w:rsidR="00343BBE">
        <w:rPr>
          <w:sz w:val="16"/>
          <w:szCs w:val="16"/>
        </w:rPr>
        <w:t>certainty</w:t>
      </w:r>
      <w:r w:rsidRPr="00C12274">
        <w:rPr>
          <w:sz w:val="16"/>
          <w:szCs w:val="16"/>
        </w:rPr>
        <w:t xml:space="preserve">; analysis </w:t>
      </w:r>
      <w:r w:rsidR="00BA7CBD">
        <w:rPr>
          <w:sz w:val="16"/>
          <w:szCs w:val="16"/>
        </w:rPr>
        <w:t>4</w:t>
      </w:r>
      <w:r w:rsidRPr="00C12274">
        <w:rPr>
          <w:sz w:val="16"/>
          <w:szCs w:val="16"/>
        </w:rPr>
        <w:t>.1</w:t>
      </w:r>
      <w:r w:rsidR="007E0CC6">
        <w:rPr>
          <w:sz w:val="16"/>
          <w:szCs w:val="16"/>
        </w:rPr>
        <w:t>5</w:t>
      </w:r>
      <w:r w:rsidRPr="00C12274">
        <w:rPr>
          <w:sz w:val="16"/>
          <w:szCs w:val="16"/>
        </w:rPr>
        <w:t>; page </w:t>
      </w:r>
      <w:r>
        <w:rPr>
          <w:sz w:val="16"/>
          <w:szCs w:val="16"/>
        </w:rPr>
        <w:fldChar w:fldCharType="begin"/>
      </w:r>
      <w:r>
        <w:rPr>
          <w:sz w:val="16"/>
          <w:szCs w:val="16"/>
        </w:rPr>
        <w:instrText xml:space="preserve"> PAGEREF _Ref9000485 \h </w:instrText>
      </w:r>
      <w:r>
        <w:rPr>
          <w:sz w:val="16"/>
          <w:szCs w:val="16"/>
        </w:rPr>
      </w:r>
      <w:r>
        <w:rPr>
          <w:sz w:val="16"/>
          <w:szCs w:val="16"/>
        </w:rPr>
        <w:fldChar w:fldCharType="separate"/>
      </w:r>
      <w:r w:rsidR="00BA7CBD">
        <w:rPr>
          <w:noProof/>
          <w:sz w:val="16"/>
          <w:szCs w:val="16"/>
        </w:rPr>
        <w:t>422</w:t>
      </w:r>
      <w:r>
        <w:rPr>
          <w:sz w:val="16"/>
          <w:szCs w:val="16"/>
        </w:rPr>
        <w:fldChar w:fldCharType="end"/>
      </w:r>
      <w:r w:rsidRPr="00C12274">
        <w:t>).</w:t>
      </w:r>
    </w:p>
    <w:p w14:paraId="04D17ED7" w14:textId="240BB1DB" w:rsidR="00A5540F" w:rsidRPr="00C12274" w:rsidRDefault="00A5540F" w:rsidP="00A5540F">
      <w:r w:rsidRPr="00C12274">
        <w:t>A small study reporting on outcomes among women who were overweight or obese found no clear difference in infant weight at 1 month (</w:t>
      </w:r>
      <w:r w:rsidRPr="00C12274">
        <w:rPr>
          <w:sz w:val="16"/>
          <w:szCs w:val="16"/>
        </w:rPr>
        <w:t>MD –0.1</w:t>
      </w:r>
      <w:r w:rsidR="001A0357">
        <w:rPr>
          <w:sz w:val="16"/>
          <w:szCs w:val="16"/>
        </w:rPr>
        <w:t>9</w:t>
      </w:r>
      <w:r w:rsidRPr="00C12274">
        <w:rPr>
          <w:sz w:val="16"/>
          <w:szCs w:val="16"/>
        </w:rPr>
        <w:t>; 95%CI –0.</w:t>
      </w:r>
      <w:r w:rsidR="001A0357">
        <w:rPr>
          <w:sz w:val="16"/>
          <w:szCs w:val="16"/>
        </w:rPr>
        <w:t>54</w:t>
      </w:r>
      <w:r w:rsidR="001A0357" w:rsidRPr="00C12274">
        <w:rPr>
          <w:sz w:val="16"/>
          <w:szCs w:val="16"/>
        </w:rPr>
        <w:t xml:space="preserve"> </w:t>
      </w:r>
      <w:r w:rsidRPr="00C12274">
        <w:rPr>
          <w:sz w:val="16"/>
          <w:szCs w:val="16"/>
        </w:rPr>
        <w:t>to 0.1</w:t>
      </w:r>
      <w:r w:rsidR="001A0357">
        <w:rPr>
          <w:sz w:val="16"/>
          <w:szCs w:val="16"/>
        </w:rPr>
        <w:t>6</w:t>
      </w:r>
      <w:r w:rsidRPr="00C12274">
        <w:rPr>
          <w:sz w:val="16"/>
          <w:szCs w:val="16"/>
        </w:rPr>
        <w:t>; n=</w:t>
      </w:r>
      <w:r w:rsidR="001A0357">
        <w:rPr>
          <w:sz w:val="16"/>
          <w:szCs w:val="16"/>
        </w:rPr>
        <w:t>36</w:t>
      </w:r>
      <w:r w:rsidRPr="00C12274">
        <w:t>) or 6 months (</w:t>
      </w:r>
      <w:r w:rsidRPr="00C12274">
        <w:rPr>
          <w:sz w:val="16"/>
          <w:szCs w:val="16"/>
        </w:rPr>
        <w:t>MD –0.</w:t>
      </w:r>
      <w:r w:rsidR="004B4C31">
        <w:rPr>
          <w:sz w:val="16"/>
          <w:szCs w:val="16"/>
        </w:rPr>
        <w:t>04</w:t>
      </w:r>
      <w:r w:rsidRPr="00C12274">
        <w:rPr>
          <w:sz w:val="16"/>
          <w:szCs w:val="16"/>
        </w:rPr>
        <w:t>; 95%CI –1.</w:t>
      </w:r>
      <w:r w:rsidR="004B4C31">
        <w:rPr>
          <w:sz w:val="16"/>
          <w:szCs w:val="16"/>
        </w:rPr>
        <w:t>51</w:t>
      </w:r>
      <w:r w:rsidR="004B4C31" w:rsidRPr="00C12274">
        <w:rPr>
          <w:sz w:val="16"/>
          <w:szCs w:val="16"/>
        </w:rPr>
        <w:t xml:space="preserve"> </w:t>
      </w:r>
      <w:r w:rsidRPr="00C12274">
        <w:rPr>
          <w:sz w:val="16"/>
          <w:szCs w:val="16"/>
        </w:rPr>
        <w:t xml:space="preserve">to </w:t>
      </w:r>
      <w:r w:rsidR="004B4C31">
        <w:rPr>
          <w:sz w:val="16"/>
          <w:szCs w:val="16"/>
        </w:rPr>
        <w:t>1.44</w:t>
      </w:r>
      <w:r w:rsidRPr="00C12274">
        <w:rPr>
          <w:sz w:val="16"/>
          <w:szCs w:val="16"/>
        </w:rPr>
        <w:t>; n=</w:t>
      </w:r>
      <w:r w:rsidR="004B4C31">
        <w:rPr>
          <w:sz w:val="16"/>
          <w:szCs w:val="16"/>
        </w:rPr>
        <w:t>33</w:t>
      </w:r>
      <w:r w:rsidRPr="00C12274">
        <w:t>).</w:t>
      </w:r>
    </w:p>
    <w:p w14:paraId="73FBADD5" w14:textId="77777777" w:rsidR="00A5540F" w:rsidRDefault="00A5540F" w:rsidP="00A5540F">
      <w:pPr>
        <w:pStyle w:val="Heading4"/>
        <w:sectPr w:rsidR="00A5540F" w:rsidSect="008A6B17">
          <w:pgSz w:w="11901" w:h="16817"/>
          <w:pgMar w:top="1134" w:right="1418" w:bottom="1134" w:left="1418" w:header="709" w:footer="709" w:gutter="0"/>
          <w:cols w:space="708"/>
          <w:docGrid w:linePitch="360"/>
        </w:sectPr>
      </w:pPr>
      <w:bookmarkStart w:id="213" w:name="_Toc3807155"/>
    </w:p>
    <w:tbl>
      <w:tblPr>
        <w:tblW w:w="5000" w:type="pct"/>
        <w:tblCellMar>
          <w:top w:w="100" w:type="dxa"/>
          <w:left w:w="100" w:type="dxa"/>
          <w:bottom w:w="100" w:type="dxa"/>
          <w:right w:w="100" w:type="dxa"/>
        </w:tblCellMar>
        <w:tblLook w:val="04A0" w:firstRow="1" w:lastRow="0" w:firstColumn="1" w:lastColumn="0" w:noHBand="0" w:noVBand="1"/>
      </w:tblPr>
      <w:tblGrid>
        <w:gridCol w:w="1254"/>
        <w:gridCol w:w="1368"/>
        <w:gridCol w:w="2329"/>
        <w:gridCol w:w="1458"/>
        <w:gridCol w:w="1455"/>
        <w:gridCol w:w="1401"/>
      </w:tblGrid>
      <w:tr w:rsidR="00A5540F" w:rsidRPr="00C12274" w14:paraId="15F84D55" w14:textId="77777777" w:rsidTr="00A5540F">
        <w:trPr>
          <w:cantSplit/>
          <w:tblHeader/>
        </w:trPr>
        <w:tc>
          <w:tcPr>
            <w:tcW w:w="5000" w:type="pct"/>
            <w:gridSpan w:val="6"/>
            <w:tcBorders>
              <w:top w:val="nil"/>
              <w:left w:val="nil"/>
              <w:bottom w:val="nil"/>
              <w:right w:val="nil"/>
            </w:tcBorders>
            <w:vAlign w:val="center"/>
            <w:hideMark/>
          </w:tcPr>
          <w:p w14:paraId="1948B945" w14:textId="77777777" w:rsidR="00A5540F" w:rsidRPr="00C12274" w:rsidRDefault="00A5540F" w:rsidP="00A5540F">
            <w:pPr>
              <w:pStyle w:val="Heading4"/>
            </w:pPr>
            <w:r w:rsidRPr="00C12274">
              <w:t>Summary of findings</w:t>
            </w:r>
            <w:bookmarkEnd w:id="213"/>
          </w:p>
        </w:tc>
      </w:tr>
      <w:tr w:rsidR="00A5540F" w:rsidRPr="00C12274" w14:paraId="3EF92BE5" w14:textId="77777777" w:rsidTr="00A5540F">
        <w:trPr>
          <w:cantSplit/>
          <w:tblHeader/>
        </w:trPr>
        <w:tc>
          <w:tcPr>
            <w:tcW w:w="5000" w:type="pct"/>
            <w:gridSpan w:val="6"/>
            <w:tcBorders>
              <w:top w:val="single" w:sz="12" w:space="0" w:color="000000"/>
              <w:left w:val="nil"/>
              <w:bottom w:val="single" w:sz="12" w:space="0" w:color="000000"/>
              <w:right w:val="nil"/>
            </w:tcBorders>
            <w:vAlign w:val="center"/>
            <w:hideMark/>
          </w:tcPr>
          <w:p w14:paraId="71BB715F" w14:textId="77777777" w:rsidR="00A5540F" w:rsidRPr="00C12274" w:rsidRDefault="00A5540F" w:rsidP="00A5540F">
            <w:pPr>
              <w:pStyle w:val="Heading5"/>
            </w:pPr>
            <w:r>
              <w:t>E</w:t>
            </w:r>
            <w:r w:rsidRPr="00C12274">
              <w:t>xercise intervention</w:t>
            </w:r>
            <w:r>
              <w:t>s</w:t>
            </w:r>
            <w:r w:rsidRPr="00C12274">
              <w:t xml:space="preserve"> compared to </w:t>
            </w:r>
            <w:r>
              <w:t>usual</w:t>
            </w:r>
            <w:r w:rsidRPr="00C12274">
              <w:t xml:space="preserve"> care in pregnancy — maternal outcomes</w:t>
            </w:r>
          </w:p>
        </w:tc>
      </w:tr>
      <w:tr w:rsidR="00A5540F" w:rsidRPr="00C12274" w14:paraId="455149F9" w14:textId="77777777" w:rsidTr="00A5540F">
        <w:trPr>
          <w:cantSplit/>
          <w:tblHeader/>
        </w:trPr>
        <w:tc>
          <w:tcPr>
            <w:tcW w:w="5000" w:type="pct"/>
            <w:gridSpan w:val="6"/>
            <w:tcBorders>
              <w:top w:val="single" w:sz="12" w:space="0" w:color="000000"/>
              <w:left w:val="nil"/>
              <w:bottom w:val="single" w:sz="12" w:space="0" w:color="000000"/>
              <w:right w:val="nil"/>
            </w:tcBorders>
            <w:vAlign w:val="center"/>
            <w:hideMark/>
          </w:tcPr>
          <w:p w14:paraId="7815B6B2"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Patient or population</w:t>
            </w:r>
            <w:r w:rsidRPr="00C12274">
              <w:rPr>
                <w:rFonts w:ascii="Arial Narrow" w:eastAsia="Times New Roman" w:hAnsi="Arial Narrow"/>
                <w:sz w:val="16"/>
                <w:szCs w:val="16"/>
              </w:rPr>
              <w:t xml:space="preserve">: Pregnant women with low or high risk pregnancies </w:t>
            </w:r>
          </w:p>
          <w:p w14:paraId="740EC7F1"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Setting</w:t>
            </w:r>
            <w:r w:rsidRPr="00C12274">
              <w:rPr>
                <w:rFonts w:ascii="Arial Narrow" w:eastAsia="Times New Roman" w:hAnsi="Arial Narrow"/>
                <w:sz w:val="16"/>
                <w:szCs w:val="16"/>
              </w:rPr>
              <w:t>: Argentina, Australia, Austria, Belgium, Brazil, Canada, China, Colombia, Denmark, Iran, Ireland, Italy, Japan, Kosovo, Poland, Netherlands, New Zealand, Norway, Spain, Sweden, United Kingdom, United States</w:t>
            </w:r>
          </w:p>
          <w:p w14:paraId="76195D5C"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Intervention</w:t>
            </w:r>
            <w:r w:rsidRPr="00C12274">
              <w:rPr>
                <w:rFonts w:ascii="Arial Narrow" w:eastAsia="Times New Roman" w:hAnsi="Arial Narrow"/>
                <w:sz w:val="16"/>
                <w:szCs w:val="16"/>
              </w:rPr>
              <w:t xml:space="preserve">: </w:t>
            </w:r>
            <w:r>
              <w:rPr>
                <w:rFonts w:ascii="Arial Narrow" w:eastAsia="Times New Roman" w:hAnsi="Arial Narrow"/>
                <w:sz w:val="16"/>
                <w:szCs w:val="16"/>
              </w:rPr>
              <w:t>E</w:t>
            </w:r>
            <w:r w:rsidRPr="00C12274">
              <w:rPr>
                <w:rFonts w:ascii="Arial Narrow" w:eastAsia="Times New Roman" w:hAnsi="Arial Narrow"/>
                <w:sz w:val="16"/>
                <w:szCs w:val="16"/>
              </w:rPr>
              <w:t xml:space="preserve">xercise intervention </w:t>
            </w:r>
          </w:p>
          <w:p w14:paraId="461F9984"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Comparison</w:t>
            </w:r>
            <w:r w:rsidRPr="00C12274">
              <w:rPr>
                <w:rFonts w:ascii="Arial Narrow" w:eastAsia="Times New Roman" w:hAnsi="Arial Narrow"/>
                <w:sz w:val="16"/>
                <w:szCs w:val="16"/>
              </w:rPr>
              <w:t xml:space="preserve">: </w:t>
            </w:r>
            <w:r>
              <w:rPr>
                <w:rFonts w:ascii="Arial Narrow" w:eastAsia="Times New Roman" w:hAnsi="Arial Narrow"/>
                <w:sz w:val="16"/>
                <w:szCs w:val="16"/>
              </w:rPr>
              <w:t>Usual</w:t>
            </w:r>
            <w:r w:rsidRPr="00C12274">
              <w:rPr>
                <w:rFonts w:ascii="Arial Narrow" w:eastAsia="Times New Roman" w:hAnsi="Arial Narrow"/>
                <w:sz w:val="16"/>
                <w:szCs w:val="16"/>
              </w:rPr>
              <w:t xml:space="preserve"> care </w:t>
            </w:r>
          </w:p>
        </w:tc>
      </w:tr>
      <w:tr w:rsidR="00A5540F" w:rsidRPr="00C12274" w14:paraId="3D7D799C" w14:textId="77777777" w:rsidTr="00A5540F">
        <w:trPr>
          <w:cantSplit/>
          <w:tblHeader/>
        </w:trPr>
        <w:tc>
          <w:tcPr>
            <w:tcW w:w="677" w:type="pct"/>
            <w:vMerge w:val="restart"/>
            <w:tcBorders>
              <w:right w:val="single" w:sz="6" w:space="0" w:color="EFEFEF"/>
            </w:tcBorders>
            <w:shd w:val="clear" w:color="auto" w:fill="3271AA"/>
            <w:vAlign w:val="center"/>
            <w:hideMark/>
          </w:tcPr>
          <w:p w14:paraId="5A8FBA4F"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Outcomes</w:t>
            </w:r>
          </w:p>
        </w:tc>
        <w:tc>
          <w:tcPr>
            <w:tcW w:w="1995" w:type="pct"/>
            <w:gridSpan w:val="2"/>
            <w:tcBorders>
              <w:top w:val="single" w:sz="6" w:space="0" w:color="EFEFEF"/>
              <w:right w:val="single" w:sz="6" w:space="0" w:color="EFEFEF"/>
            </w:tcBorders>
            <w:shd w:val="clear" w:color="auto" w:fill="E0E0E0"/>
            <w:hideMark/>
          </w:tcPr>
          <w:p w14:paraId="56EB5545" w14:textId="77777777" w:rsidR="00A5540F" w:rsidRPr="00C12274" w:rsidRDefault="00A5540F" w:rsidP="00A5540F">
            <w:pPr>
              <w:pStyle w:val="NormalWeb"/>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Anticipated absolute effects</w:t>
            </w:r>
            <w:r w:rsidRPr="00C12274">
              <w:rPr>
                <w:rFonts w:ascii="Arial Narrow" w:hAnsi="Arial Narrow"/>
                <w:b/>
                <w:bCs/>
                <w:sz w:val="16"/>
                <w:szCs w:val="16"/>
                <w:vertAlign w:val="superscript"/>
              </w:rPr>
              <w:t>*</w:t>
            </w:r>
            <w:r w:rsidRPr="00C12274">
              <w:rPr>
                <w:rFonts w:ascii="Arial Narrow" w:hAnsi="Arial Narrow"/>
                <w:b/>
                <w:bCs/>
                <w:sz w:val="16"/>
                <w:szCs w:val="16"/>
              </w:rPr>
              <w:t xml:space="preserve"> </w:t>
            </w:r>
            <w:r w:rsidRPr="00C12274">
              <w:rPr>
                <w:rFonts w:ascii="Arial Narrow" w:hAnsi="Arial Narrow"/>
                <w:sz w:val="16"/>
                <w:szCs w:val="16"/>
              </w:rPr>
              <w:t>(95% CI)</w:t>
            </w:r>
            <w:r w:rsidRPr="00C12274">
              <w:rPr>
                <w:rFonts w:ascii="Arial Narrow" w:hAnsi="Arial Narrow"/>
                <w:b/>
                <w:bCs/>
                <w:sz w:val="16"/>
                <w:szCs w:val="16"/>
              </w:rPr>
              <w:t xml:space="preserve"> </w:t>
            </w:r>
          </w:p>
        </w:tc>
        <w:tc>
          <w:tcPr>
            <w:tcW w:w="787" w:type="pct"/>
            <w:vMerge w:val="restart"/>
            <w:tcBorders>
              <w:right w:val="single" w:sz="6" w:space="0" w:color="EFEFEF"/>
            </w:tcBorders>
            <w:shd w:val="clear" w:color="auto" w:fill="3271AA"/>
            <w:vAlign w:val="center"/>
            <w:hideMark/>
          </w:tcPr>
          <w:p w14:paraId="1D33197A"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Relative effect</w:t>
            </w:r>
            <w:r w:rsidRPr="00C12274">
              <w:rPr>
                <w:rFonts w:ascii="Arial Narrow" w:hAnsi="Arial Narrow"/>
                <w:color w:val="FFFFFF"/>
                <w:sz w:val="16"/>
                <w:szCs w:val="16"/>
              </w:rPr>
              <w:br/>
              <w:t xml:space="preserve">(95% CI) </w:t>
            </w:r>
          </w:p>
        </w:tc>
        <w:tc>
          <w:tcPr>
            <w:tcW w:w="785" w:type="pct"/>
            <w:vMerge w:val="restart"/>
            <w:tcBorders>
              <w:right w:val="single" w:sz="6" w:space="0" w:color="EFEFEF"/>
            </w:tcBorders>
            <w:shd w:val="clear" w:color="auto" w:fill="3271AA"/>
            <w:vAlign w:val="center"/>
            <w:hideMark/>
          </w:tcPr>
          <w:p w14:paraId="4C6515E4"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 xml:space="preserve">№ of participants </w:t>
            </w:r>
            <w:r w:rsidRPr="00C12274">
              <w:rPr>
                <w:rFonts w:ascii="Arial Narrow" w:hAnsi="Arial Narrow"/>
                <w:color w:val="FFFFFF"/>
                <w:sz w:val="16"/>
                <w:szCs w:val="16"/>
              </w:rPr>
              <w:br/>
              <w:t xml:space="preserve">(studies) </w:t>
            </w:r>
          </w:p>
        </w:tc>
        <w:tc>
          <w:tcPr>
            <w:tcW w:w="756" w:type="pct"/>
            <w:vMerge w:val="restart"/>
            <w:tcBorders>
              <w:right w:val="single" w:sz="6" w:space="0" w:color="EFEFEF"/>
            </w:tcBorders>
            <w:shd w:val="clear" w:color="auto" w:fill="3271AA"/>
            <w:vAlign w:val="center"/>
            <w:hideMark/>
          </w:tcPr>
          <w:p w14:paraId="5D05AAFC"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Certainty of the evidence</w:t>
            </w:r>
            <w:r w:rsidRPr="00C12274">
              <w:rPr>
                <w:rFonts w:ascii="Arial Narrow" w:hAnsi="Arial Narrow"/>
                <w:color w:val="FFFFFF"/>
                <w:sz w:val="16"/>
                <w:szCs w:val="16"/>
              </w:rPr>
              <w:br/>
              <w:t xml:space="preserve">(GRADE) </w:t>
            </w:r>
          </w:p>
        </w:tc>
      </w:tr>
      <w:tr w:rsidR="00A5540F" w:rsidRPr="00C12274" w14:paraId="4196F89D" w14:textId="77777777" w:rsidTr="00A5540F">
        <w:trPr>
          <w:cantSplit/>
          <w:tblHeader/>
        </w:trPr>
        <w:tc>
          <w:tcPr>
            <w:tcW w:w="677" w:type="pct"/>
            <w:vMerge/>
            <w:tcBorders>
              <w:right w:val="single" w:sz="6" w:space="0" w:color="EFEFEF"/>
            </w:tcBorders>
            <w:vAlign w:val="center"/>
            <w:hideMark/>
          </w:tcPr>
          <w:p w14:paraId="11AF3D60" w14:textId="77777777" w:rsidR="00A5540F" w:rsidRPr="00C12274" w:rsidRDefault="00A5540F" w:rsidP="00A5540F">
            <w:pPr>
              <w:rPr>
                <w:rFonts w:ascii="Arial Narrow" w:eastAsiaTheme="minorEastAsia" w:hAnsi="Arial Narrow"/>
                <w:color w:val="FFFFFF"/>
                <w:sz w:val="16"/>
                <w:szCs w:val="16"/>
              </w:rPr>
            </w:pPr>
          </w:p>
        </w:tc>
        <w:tc>
          <w:tcPr>
            <w:tcW w:w="738" w:type="pct"/>
            <w:tcBorders>
              <w:top w:val="single" w:sz="6" w:space="0" w:color="EFEFEF"/>
              <w:right w:val="single" w:sz="6" w:space="0" w:color="EFEFEF"/>
            </w:tcBorders>
            <w:shd w:val="clear" w:color="auto" w:fill="E0E0E0"/>
            <w:hideMark/>
          </w:tcPr>
          <w:p w14:paraId="0AD24E57" w14:textId="77777777" w:rsidR="00A5540F" w:rsidRPr="00C12274" w:rsidRDefault="00A5540F" w:rsidP="00A5540F">
            <w:pPr>
              <w:pStyle w:val="first-letter"/>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Risk with standard care</w:t>
            </w:r>
          </w:p>
        </w:tc>
        <w:tc>
          <w:tcPr>
            <w:tcW w:w="1257" w:type="pct"/>
            <w:tcBorders>
              <w:top w:val="single" w:sz="6" w:space="0" w:color="EFEFEF"/>
              <w:right w:val="single" w:sz="6" w:space="0" w:color="EFEFEF"/>
            </w:tcBorders>
            <w:shd w:val="clear" w:color="auto" w:fill="E0E0E0"/>
            <w:hideMark/>
          </w:tcPr>
          <w:p w14:paraId="41141781" w14:textId="77777777" w:rsidR="00A5540F" w:rsidRPr="00C12274" w:rsidRDefault="00A5540F" w:rsidP="00A5540F">
            <w:pPr>
              <w:pStyle w:val="first-letter"/>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Risk with Any exercise intervention</w:t>
            </w:r>
          </w:p>
        </w:tc>
        <w:tc>
          <w:tcPr>
            <w:tcW w:w="787" w:type="pct"/>
            <w:vMerge/>
            <w:tcBorders>
              <w:right w:val="single" w:sz="6" w:space="0" w:color="EFEFEF"/>
            </w:tcBorders>
            <w:vAlign w:val="center"/>
            <w:hideMark/>
          </w:tcPr>
          <w:p w14:paraId="3AD676AC" w14:textId="77777777" w:rsidR="00A5540F" w:rsidRPr="00C12274" w:rsidRDefault="00A5540F" w:rsidP="00A5540F">
            <w:pPr>
              <w:rPr>
                <w:rFonts w:ascii="Arial Narrow" w:eastAsiaTheme="minorEastAsia" w:hAnsi="Arial Narrow"/>
                <w:color w:val="FFFFFF"/>
                <w:sz w:val="16"/>
                <w:szCs w:val="16"/>
              </w:rPr>
            </w:pPr>
          </w:p>
        </w:tc>
        <w:tc>
          <w:tcPr>
            <w:tcW w:w="785" w:type="pct"/>
            <w:vMerge/>
            <w:tcBorders>
              <w:right w:val="single" w:sz="6" w:space="0" w:color="EFEFEF"/>
            </w:tcBorders>
            <w:vAlign w:val="center"/>
            <w:hideMark/>
          </w:tcPr>
          <w:p w14:paraId="509370E9" w14:textId="77777777" w:rsidR="00A5540F" w:rsidRPr="00C12274" w:rsidRDefault="00A5540F" w:rsidP="00A5540F">
            <w:pPr>
              <w:rPr>
                <w:rFonts w:ascii="Arial Narrow" w:eastAsiaTheme="minorEastAsia" w:hAnsi="Arial Narrow"/>
                <w:color w:val="FFFFFF"/>
                <w:sz w:val="16"/>
                <w:szCs w:val="16"/>
              </w:rPr>
            </w:pPr>
          </w:p>
        </w:tc>
        <w:tc>
          <w:tcPr>
            <w:tcW w:w="756" w:type="pct"/>
            <w:vMerge/>
            <w:tcBorders>
              <w:right w:val="single" w:sz="6" w:space="0" w:color="EFEFEF"/>
            </w:tcBorders>
            <w:vAlign w:val="center"/>
            <w:hideMark/>
          </w:tcPr>
          <w:p w14:paraId="435F7EF9" w14:textId="77777777" w:rsidR="00A5540F" w:rsidRPr="00C12274" w:rsidRDefault="00A5540F" w:rsidP="00A5540F">
            <w:pPr>
              <w:rPr>
                <w:rFonts w:ascii="Arial Narrow" w:eastAsiaTheme="minorEastAsia" w:hAnsi="Arial Narrow"/>
                <w:color w:val="FFFFFF"/>
                <w:sz w:val="16"/>
                <w:szCs w:val="16"/>
              </w:rPr>
            </w:pPr>
          </w:p>
        </w:tc>
      </w:tr>
      <w:tr w:rsidR="00A5540F" w:rsidRPr="00C12274" w14:paraId="2D45521B" w14:textId="77777777" w:rsidTr="00A5540F">
        <w:trPr>
          <w:cantSplit/>
        </w:trPr>
        <w:tc>
          <w:tcPr>
            <w:tcW w:w="677" w:type="pct"/>
            <w:tcBorders>
              <w:top w:val="single" w:sz="6" w:space="0" w:color="000000"/>
              <w:left w:val="nil"/>
              <w:bottom w:val="single" w:sz="6" w:space="0" w:color="000000"/>
              <w:right w:val="nil"/>
            </w:tcBorders>
            <w:vAlign w:val="center"/>
            <w:hideMark/>
          </w:tcPr>
          <w:p w14:paraId="57CC76ED"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 xml:space="preserve">Gestational </w:t>
            </w:r>
            <w:r w:rsidRPr="00C12274">
              <w:rPr>
                <w:rStyle w:val="label"/>
                <w:rFonts w:ascii="Arial Narrow" w:eastAsia="Times New Roman" w:hAnsi="Arial Narrow"/>
                <w:szCs w:val="18"/>
              </w:rPr>
              <w:br/>
              <w:t>weight gain</w:t>
            </w:r>
            <w:r w:rsidRPr="00C12274">
              <w:rPr>
                <w:rFonts w:ascii="Arial Narrow" w:eastAsia="Times New Roman" w:hAnsi="Arial Narrow"/>
                <w:sz w:val="16"/>
                <w:szCs w:val="16"/>
              </w:rPr>
              <w:t xml:space="preserve"> </w:t>
            </w:r>
          </w:p>
        </w:tc>
        <w:tc>
          <w:tcPr>
            <w:tcW w:w="738" w:type="pct"/>
            <w:tcBorders>
              <w:top w:val="single" w:sz="6" w:space="0" w:color="000000"/>
              <w:left w:val="nil"/>
              <w:bottom w:val="single" w:sz="6" w:space="0" w:color="000000"/>
              <w:right w:val="nil"/>
            </w:tcBorders>
            <w:shd w:val="clear" w:color="auto" w:fill="EBEBEB"/>
            <w:vAlign w:val="center"/>
            <w:hideMark/>
          </w:tcPr>
          <w:p w14:paraId="59FB3E68"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sz w:val="16"/>
                <w:szCs w:val="16"/>
              </w:rPr>
              <w:t xml:space="preserve">The mean gestational weight gain was </w:t>
            </w:r>
            <w:r w:rsidRPr="00C12274">
              <w:rPr>
                <w:rStyle w:val="cell-value"/>
                <w:rFonts w:ascii="Arial Narrow" w:eastAsia="Times New Roman" w:hAnsi="Arial Narrow"/>
                <w:b/>
                <w:bCs/>
                <w:sz w:val="16"/>
                <w:szCs w:val="16"/>
              </w:rPr>
              <w:t>0</w:t>
            </w:r>
            <w:r w:rsidRPr="00C12274">
              <w:rPr>
                <w:rFonts w:ascii="Arial Narrow" w:eastAsia="Times New Roman" w:hAnsi="Arial Narrow"/>
                <w:sz w:val="16"/>
                <w:szCs w:val="16"/>
              </w:rPr>
              <w:t xml:space="preserve"> </w:t>
            </w:r>
          </w:p>
        </w:tc>
        <w:tc>
          <w:tcPr>
            <w:tcW w:w="1257" w:type="pct"/>
            <w:tcBorders>
              <w:top w:val="single" w:sz="6" w:space="0" w:color="000000"/>
              <w:left w:val="nil"/>
              <w:bottom w:val="single" w:sz="6" w:space="0" w:color="000000"/>
              <w:right w:val="nil"/>
            </w:tcBorders>
            <w:shd w:val="clear" w:color="auto" w:fill="EBEBEB"/>
            <w:hideMark/>
          </w:tcPr>
          <w:p w14:paraId="16961398" w14:textId="718A7C6B" w:rsidR="00A5540F" w:rsidRPr="00C12274" w:rsidRDefault="00A5540F" w:rsidP="003718D1">
            <w:pPr>
              <w:jc w:val="center"/>
              <w:rPr>
                <w:rFonts w:ascii="Arial Narrow" w:eastAsia="Times New Roman" w:hAnsi="Arial Narrow"/>
                <w:sz w:val="16"/>
                <w:szCs w:val="16"/>
              </w:rPr>
            </w:pPr>
            <w:r w:rsidRPr="00C12274">
              <w:rPr>
                <w:rStyle w:val="cell-value"/>
                <w:rFonts w:ascii="Arial Narrow" w:eastAsia="Times New Roman" w:hAnsi="Arial Narrow"/>
                <w:sz w:val="16"/>
                <w:szCs w:val="16"/>
              </w:rPr>
              <w:t>The mean gestational weight gain in the intervention group was 0.</w:t>
            </w:r>
            <w:r w:rsidR="003718D1" w:rsidRPr="00C12274">
              <w:rPr>
                <w:rStyle w:val="cell-value"/>
                <w:rFonts w:ascii="Arial Narrow" w:eastAsia="Times New Roman" w:hAnsi="Arial Narrow"/>
                <w:sz w:val="16"/>
                <w:szCs w:val="16"/>
              </w:rPr>
              <w:t>9</w:t>
            </w:r>
            <w:r w:rsidR="003718D1">
              <w:rPr>
                <w:rStyle w:val="cell-value"/>
                <w:rFonts w:ascii="Arial Narrow" w:eastAsia="Times New Roman" w:hAnsi="Arial Narrow"/>
                <w:sz w:val="16"/>
                <w:szCs w:val="16"/>
              </w:rPr>
              <w:t>5</w:t>
            </w:r>
            <w:r w:rsidR="003718D1" w:rsidRPr="00C12274">
              <w:rPr>
                <w:rStyle w:val="cell-value"/>
                <w:rFonts w:ascii="Arial Narrow" w:eastAsia="Times New Roman" w:hAnsi="Arial Narrow"/>
                <w:sz w:val="16"/>
                <w:szCs w:val="16"/>
              </w:rPr>
              <w:t> </w:t>
            </w:r>
            <w:r w:rsidRPr="00C12274">
              <w:rPr>
                <w:rStyle w:val="cell-value"/>
                <w:rFonts w:ascii="Arial Narrow" w:eastAsia="Times New Roman" w:hAnsi="Arial Narrow"/>
                <w:sz w:val="16"/>
                <w:szCs w:val="16"/>
              </w:rPr>
              <w:t>kg lower (1.</w:t>
            </w:r>
            <w:r w:rsidR="003718D1">
              <w:rPr>
                <w:rStyle w:val="cell-value"/>
                <w:rFonts w:ascii="Arial Narrow" w:eastAsia="Times New Roman" w:hAnsi="Arial Narrow"/>
                <w:sz w:val="16"/>
                <w:szCs w:val="16"/>
              </w:rPr>
              <w:t>20</w:t>
            </w:r>
            <w:r w:rsidRPr="00C12274">
              <w:rPr>
                <w:rStyle w:val="cell-value"/>
                <w:rFonts w:ascii="Arial Narrow" w:eastAsia="Times New Roman" w:hAnsi="Arial Narrow"/>
                <w:sz w:val="16"/>
                <w:szCs w:val="16"/>
              </w:rPr>
              <w:t xml:space="preserve"> lower to 0.</w:t>
            </w:r>
            <w:r w:rsidR="003718D1">
              <w:rPr>
                <w:rStyle w:val="cell-value"/>
                <w:rFonts w:ascii="Arial Narrow" w:eastAsia="Times New Roman" w:hAnsi="Arial Narrow"/>
                <w:sz w:val="16"/>
                <w:szCs w:val="16"/>
              </w:rPr>
              <w:t>69</w:t>
            </w:r>
            <w:r w:rsidRPr="00C12274">
              <w:rPr>
                <w:rStyle w:val="cell-value"/>
                <w:rFonts w:ascii="Arial Narrow" w:eastAsia="Times New Roman" w:hAnsi="Arial Narrow"/>
                <w:sz w:val="16"/>
                <w:szCs w:val="16"/>
              </w:rPr>
              <w:t xml:space="preserve"> lower)</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167A72B5" w14:textId="77777777" w:rsidR="00A5540F" w:rsidRPr="00C12274" w:rsidRDefault="00A5540F" w:rsidP="00A5540F">
            <w:pPr>
              <w:jc w:val="center"/>
              <w:rPr>
                <w:rFonts w:ascii="Arial Narrow" w:eastAsia="Times New Roman" w:hAnsi="Arial Narrow"/>
                <w:sz w:val="16"/>
                <w:szCs w:val="16"/>
              </w:rPr>
            </w:pP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728F3DFA" w14:textId="1A8147EC" w:rsidR="00A5540F" w:rsidRPr="00C12274" w:rsidRDefault="00A5540F" w:rsidP="0001637A">
            <w:pPr>
              <w:jc w:val="center"/>
              <w:rPr>
                <w:rFonts w:ascii="Arial Narrow" w:eastAsia="Times New Roman" w:hAnsi="Arial Narrow"/>
                <w:sz w:val="16"/>
                <w:szCs w:val="16"/>
              </w:rPr>
            </w:pPr>
            <w:r w:rsidRPr="00C12274">
              <w:rPr>
                <w:rFonts w:ascii="Arial Narrow" w:eastAsia="Times New Roman" w:hAnsi="Arial Narrow"/>
                <w:sz w:val="16"/>
                <w:szCs w:val="16"/>
              </w:rPr>
              <w:t>5,</w:t>
            </w:r>
            <w:r w:rsidR="0001637A">
              <w:rPr>
                <w:rFonts w:ascii="Arial Narrow" w:eastAsia="Times New Roman" w:hAnsi="Arial Narrow"/>
                <w:sz w:val="16"/>
                <w:szCs w:val="16"/>
              </w:rPr>
              <w:t>680</w:t>
            </w:r>
            <w:r w:rsidRPr="00C12274">
              <w:rPr>
                <w:rFonts w:ascii="Arial Narrow" w:eastAsia="Times New Roman" w:hAnsi="Arial Narrow"/>
                <w:sz w:val="16"/>
                <w:szCs w:val="16"/>
              </w:rPr>
              <w:br/>
              <w:t>(</w:t>
            </w:r>
            <w:r w:rsidR="0001637A">
              <w:rPr>
                <w:rFonts w:ascii="Arial Narrow" w:eastAsia="Times New Roman" w:hAnsi="Arial Narrow"/>
                <w:sz w:val="16"/>
                <w:szCs w:val="16"/>
              </w:rPr>
              <w:t>29</w:t>
            </w:r>
            <w:r w:rsidR="0001637A" w:rsidRPr="00C12274">
              <w:rPr>
                <w:rFonts w:ascii="Arial Narrow" w:eastAsia="Times New Roman" w:hAnsi="Arial Narrow"/>
                <w:sz w:val="16"/>
                <w:szCs w:val="16"/>
              </w:rPr>
              <w:t xml:space="preserve"> </w:t>
            </w:r>
            <w:r w:rsidRPr="00C12274">
              <w:rPr>
                <w:rFonts w:ascii="Arial Narrow" w:eastAsia="Times New Roman" w:hAnsi="Arial Narrow"/>
                <w:sz w:val="16"/>
                <w:szCs w:val="16"/>
              </w:rPr>
              <w:t xml:space="preserve">RCTs) </w:t>
            </w:r>
          </w:p>
        </w:tc>
        <w:tc>
          <w:tcPr>
            <w:tcW w:w="756" w:type="pct"/>
            <w:tcBorders>
              <w:top w:val="single" w:sz="6" w:space="0" w:color="000000"/>
              <w:left w:val="nil"/>
              <w:bottom w:val="single" w:sz="6" w:space="0" w:color="000000"/>
              <w:right w:val="nil"/>
            </w:tcBorders>
            <w:vAlign w:val="center"/>
            <w:hideMark/>
          </w:tcPr>
          <w:p w14:paraId="7C4990CF"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3CDDFF8B" w14:textId="77777777" w:rsidTr="00A5540F">
        <w:trPr>
          <w:cantSplit/>
        </w:trPr>
        <w:tc>
          <w:tcPr>
            <w:tcW w:w="677" w:type="pct"/>
            <w:tcBorders>
              <w:top w:val="single" w:sz="6" w:space="0" w:color="000000"/>
              <w:left w:val="nil"/>
              <w:bottom w:val="single" w:sz="6" w:space="0" w:color="000000"/>
              <w:right w:val="nil"/>
            </w:tcBorders>
            <w:vAlign w:val="center"/>
            <w:hideMark/>
          </w:tcPr>
          <w:p w14:paraId="576BA7DB"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Weight gain</w:t>
            </w:r>
            <w:r w:rsidRPr="00C12274">
              <w:rPr>
                <w:rFonts w:ascii="Arial Narrow" w:eastAsia="Times New Roman" w:hAnsi="Arial Narrow"/>
                <w:sz w:val="16"/>
                <w:szCs w:val="16"/>
              </w:rPr>
              <w:t xml:space="preserve"> </w:t>
            </w:r>
            <w:r w:rsidRPr="00C12274">
              <w:rPr>
                <w:rFonts w:ascii="Arial Narrow" w:eastAsia="Times New Roman" w:hAnsi="Arial Narrow"/>
                <w:szCs w:val="18"/>
              </w:rPr>
              <w:t>exceeding IOM guidelines</w:t>
            </w:r>
          </w:p>
        </w:tc>
        <w:tc>
          <w:tcPr>
            <w:tcW w:w="738" w:type="pct"/>
            <w:tcBorders>
              <w:top w:val="single" w:sz="6" w:space="0" w:color="000000"/>
              <w:left w:val="nil"/>
              <w:bottom w:val="single" w:sz="6" w:space="0" w:color="000000"/>
              <w:right w:val="nil"/>
            </w:tcBorders>
            <w:vAlign w:val="center"/>
            <w:hideMark/>
          </w:tcPr>
          <w:p w14:paraId="5813526D" w14:textId="77777777" w:rsidR="00A5540F" w:rsidRPr="00C12274" w:rsidRDefault="00A5540F" w:rsidP="00A5540F">
            <w:pPr>
              <w:rPr>
                <w:rFonts w:ascii="Arial Narrow" w:eastAsia="Times New Roman" w:hAnsi="Arial Narrow"/>
                <w:sz w:val="16"/>
                <w:szCs w:val="16"/>
              </w:rPr>
            </w:pPr>
            <w:r>
              <w:rPr>
                <w:rFonts w:ascii="Arial Narrow" w:eastAsia="Times New Roman" w:hAnsi="Arial Narrow"/>
                <w:sz w:val="16"/>
                <w:szCs w:val="16"/>
              </w:rPr>
              <w:t>40</w:t>
            </w:r>
            <w:r w:rsidRPr="00C12274">
              <w:rPr>
                <w:rFonts w:ascii="Arial Narrow" w:eastAsia="Times New Roman" w:hAnsi="Arial Narrow"/>
                <w:sz w:val="16"/>
                <w:szCs w:val="16"/>
              </w:rPr>
              <w:t xml:space="preserve">2 per 1,000 </w:t>
            </w:r>
          </w:p>
        </w:tc>
        <w:tc>
          <w:tcPr>
            <w:tcW w:w="1257" w:type="pct"/>
            <w:tcBorders>
              <w:top w:val="single" w:sz="6" w:space="0" w:color="000000"/>
              <w:left w:val="nil"/>
              <w:bottom w:val="single" w:sz="6" w:space="0" w:color="000000"/>
              <w:right w:val="nil"/>
            </w:tcBorders>
            <w:shd w:val="clear" w:color="auto" w:fill="EBEBEB"/>
            <w:hideMark/>
          </w:tcPr>
          <w:p w14:paraId="784DFF94" w14:textId="77777777" w:rsidR="00A5540F" w:rsidRPr="00C12274" w:rsidRDefault="00A5540F" w:rsidP="00A5540F">
            <w:pPr>
              <w:jc w:val="center"/>
              <w:rPr>
                <w:rFonts w:ascii="Arial Narrow" w:eastAsia="Times New Roman" w:hAnsi="Arial Narrow"/>
                <w:sz w:val="16"/>
                <w:szCs w:val="16"/>
              </w:rPr>
            </w:pPr>
            <w:r>
              <w:rPr>
                <w:rStyle w:val="cell-value"/>
                <w:rFonts w:ascii="Arial Narrow" w:eastAsia="Times New Roman" w:hAnsi="Arial Narrow"/>
                <w:b/>
                <w:bCs/>
                <w:szCs w:val="18"/>
              </w:rPr>
              <w:t>310</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(2</w:t>
            </w:r>
            <w:r>
              <w:rPr>
                <w:rStyle w:val="cell-value"/>
                <w:rFonts w:ascii="Arial Narrow" w:eastAsia="Times New Roman" w:hAnsi="Arial Narrow"/>
                <w:szCs w:val="18"/>
              </w:rPr>
              <w:t>78</w:t>
            </w:r>
            <w:r w:rsidRPr="00C12274">
              <w:rPr>
                <w:rStyle w:val="cell-value"/>
                <w:rFonts w:ascii="Arial Narrow" w:eastAsia="Times New Roman" w:hAnsi="Arial Narrow"/>
                <w:szCs w:val="18"/>
              </w:rPr>
              <w:t xml:space="preserve"> to 3</w:t>
            </w:r>
            <w:r>
              <w:rPr>
                <w:rStyle w:val="cell-value"/>
                <w:rFonts w:ascii="Arial Narrow" w:eastAsia="Times New Roman" w:hAnsi="Arial Narrow"/>
                <w:szCs w:val="18"/>
              </w:rPr>
              <w:t>50</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6352C4C1" w14:textId="77777777" w:rsidR="00A5540F" w:rsidRPr="00C12274" w:rsidRDefault="00A5540F" w:rsidP="00A5540F">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0.7</w:t>
            </w:r>
            <w:r>
              <w:rPr>
                <w:rStyle w:val="block"/>
                <w:rFonts w:ascii="Arial Narrow" w:eastAsia="Times New Roman" w:hAnsi="Arial Narrow"/>
                <w:b/>
                <w:bCs/>
                <w:sz w:val="16"/>
                <w:szCs w:val="16"/>
              </w:rPr>
              <w:t>7</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(0.69 to 0.8</w:t>
            </w:r>
            <w:r>
              <w:rPr>
                <w:rStyle w:val="cell"/>
                <w:rFonts w:ascii="Arial Narrow" w:eastAsia="Times New Roman" w:hAnsi="Arial Narrow"/>
                <w:sz w:val="16"/>
                <w:szCs w:val="16"/>
              </w:rPr>
              <w:t>7</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795300D8"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4,</w:t>
            </w:r>
            <w:r>
              <w:rPr>
                <w:rFonts w:ascii="Arial Narrow" w:eastAsia="Times New Roman" w:hAnsi="Arial Narrow"/>
                <w:sz w:val="16"/>
                <w:szCs w:val="16"/>
              </w:rPr>
              <w:t>33</w:t>
            </w:r>
            <w:r w:rsidRPr="00C12274">
              <w:rPr>
                <w:rFonts w:ascii="Arial Narrow" w:eastAsia="Times New Roman" w:hAnsi="Arial Narrow"/>
                <w:sz w:val="16"/>
                <w:szCs w:val="16"/>
              </w:rPr>
              <w:t>3</w:t>
            </w:r>
            <w:r w:rsidRPr="00C12274">
              <w:rPr>
                <w:rFonts w:ascii="Arial Narrow" w:eastAsia="Times New Roman" w:hAnsi="Arial Narrow"/>
                <w:sz w:val="16"/>
                <w:szCs w:val="16"/>
              </w:rPr>
              <w:br/>
              <w:t xml:space="preserve">(16 RCTs) </w:t>
            </w:r>
          </w:p>
        </w:tc>
        <w:tc>
          <w:tcPr>
            <w:tcW w:w="756" w:type="pct"/>
            <w:tcBorders>
              <w:top w:val="single" w:sz="6" w:space="0" w:color="000000"/>
              <w:left w:val="nil"/>
              <w:bottom w:val="single" w:sz="6" w:space="0" w:color="000000"/>
              <w:right w:val="nil"/>
            </w:tcBorders>
            <w:vAlign w:val="center"/>
            <w:hideMark/>
          </w:tcPr>
          <w:p w14:paraId="00544B6B"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LOW</w:t>
            </w:r>
            <w:r w:rsidRPr="00C12274">
              <w:rPr>
                <w:rFonts w:ascii="Arial Narrow" w:eastAsia="Times New Roman" w:hAnsi="Arial Narrow"/>
                <w:sz w:val="16"/>
                <w:szCs w:val="16"/>
              </w:rPr>
              <w:t xml:space="preserve"> </w:t>
            </w:r>
            <w:r w:rsidRPr="00D82E4B">
              <w:rPr>
                <w:rFonts w:ascii="Arial Narrow" w:eastAsia="Times New Roman" w:hAnsi="Arial Narrow"/>
                <w:sz w:val="16"/>
                <w:szCs w:val="16"/>
                <w:vertAlign w:val="superscript"/>
              </w:rPr>
              <w:t>a,</w:t>
            </w:r>
            <w:r w:rsidRPr="00C12274">
              <w:rPr>
                <w:rFonts w:ascii="Arial Narrow" w:eastAsia="Times New Roman" w:hAnsi="Arial Narrow"/>
                <w:sz w:val="16"/>
                <w:szCs w:val="16"/>
                <w:vertAlign w:val="superscript"/>
              </w:rPr>
              <w:t>b</w:t>
            </w:r>
          </w:p>
        </w:tc>
      </w:tr>
      <w:tr w:rsidR="00A5540F" w:rsidRPr="00C12274" w14:paraId="7E564482" w14:textId="77777777" w:rsidTr="00A5540F">
        <w:trPr>
          <w:cantSplit/>
        </w:trPr>
        <w:tc>
          <w:tcPr>
            <w:tcW w:w="677" w:type="pct"/>
            <w:tcBorders>
              <w:top w:val="single" w:sz="6" w:space="0" w:color="000000"/>
              <w:left w:val="nil"/>
              <w:bottom w:val="single" w:sz="6" w:space="0" w:color="000000"/>
              <w:right w:val="nil"/>
            </w:tcBorders>
            <w:vAlign w:val="center"/>
            <w:hideMark/>
          </w:tcPr>
          <w:p w14:paraId="2BA14FC4"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Gestational diabetes</w:t>
            </w:r>
            <w:r w:rsidRPr="00C12274">
              <w:rPr>
                <w:rFonts w:ascii="Arial Narrow" w:eastAsia="Times New Roman" w:hAnsi="Arial Narrow"/>
                <w:sz w:val="16"/>
                <w:szCs w:val="16"/>
              </w:rPr>
              <w:t xml:space="preserve"> </w:t>
            </w:r>
          </w:p>
        </w:tc>
        <w:tc>
          <w:tcPr>
            <w:tcW w:w="738" w:type="pct"/>
            <w:tcBorders>
              <w:top w:val="single" w:sz="6" w:space="0" w:color="000000"/>
              <w:left w:val="nil"/>
              <w:bottom w:val="single" w:sz="6" w:space="0" w:color="000000"/>
              <w:right w:val="nil"/>
            </w:tcBorders>
            <w:vAlign w:val="center"/>
            <w:hideMark/>
          </w:tcPr>
          <w:p w14:paraId="667DD304"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12</w:t>
            </w:r>
            <w:r>
              <w:rPr>
                <w:rFonts w:ascii="Arial Narrow" w:eastAsia="Times New Roman" w:hAnsi="Arial Narrow"/>
                <w:sz w:val="16"/>
                <w:szCs w:val="16"/>
              </w:rPr>
              <w:t>2</w:t>
            </w:r>
            <w:r w:rsidRPr="00C12274">
              <w:rPr>
                <w:rFonts w:ascii="Arial Narrow" w:eastAsia="Times New Roman" w:hAnsi="Arial Narrow"/>
                <w:sz w:val="16"/>
                <w:szCs w:val="16"/>
              </w:rPr>
              <w:t xml:space="preserve"> per 1,000 </w:t>
            </w:r>
          </w:p>
        </w:tc>
        <w:tc>
          <w:tcPr>
            <w:tcW w:w="1257" w:type="pct"/>
            <w:tcBorders>
              <w:top w:val="single" w:sz="6" w:space="0" w:color="000000"/>
              <w:left w:val="nil"/>
              <w:bottom w:val="single" w:sz="6" w:space="0" w:color="000000"/>
              <w:right w:val="nil"/>
            </w:tcBorders>
            <w:shd w:val="clear" w:color="auto" w:fill="EBEBEB"/>
            <w:hideMark/>
          </w:tcPr>
          <w:p w14:paraId="04151EDE" w14:textId="77777777" w:rsidR="00A5540F" w:rsidRPr="00C12274" w:rsidRDefault="00A5540F" w:rsidP="00A5540F">
            <w:pPr>
              <w:jc w:val="center"/>
              <w:rPr>
                <w:rFonts w:ascii="Arial Narrow" w:eastAsia="Times New Roman" w:hAnsi="Arial Narrow"/>
                <w:sz w:val="16"/>
                <w:szCs w:val="16"/>
              </w:rPr>
            </w:pPr>
            <w:r>
              <w:rPr>
                <w:rStyle w:val="cell-value"/>
                <w:rFonts w:ascii="Arial Narrow" w:eastAsia="Times New Roman" w:hAnsi="Arial Narrow"/>
                <w:b/>
                <w:bCs/>
                <w:szCs w:val="18"/>
              </w:rPr>
              <w:t>90</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(7</w:t>
            </w:r>
            <w:r>
              <w:rPr>
                <w:rStyle w:val="cell-value"/>
                <w:rFonts w:ascii="Arial Narrow" w:eastAsia="Times New Roman" w:hAnsi="Arial Narrow"/>
                <w:szCs w:val="18"/>
              </w:rPr>
              <w:t>3</w:t>
            </w:r>
            <w:r w:rsidRPr="00C12274">
              <w:rPr>
                <w:rStyle w:val="cell-value"/>
                <w:rFonts w:ascii="Arial Narrow" w:eastAsia="Times New Roman" w:hAnsi="Arial Narrow"/>
                <w:szCs w:val="18"/>
              </w:rPr>
              <w:t xml:space="preserve"> to 10</w:t>
            </w:r>
            <w:r>
              <w:rPr>
                <w:rStyle w:val="cell-value"/>
                <w:rFonts w:ascii="Arial Narrow" w:eastAsia="Times New Roman" w:hAnsi="Arial Narrow"/>
                <w:szCs w:val="18"/>
              </w:rPr>
              <w:t>9</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394DD908" w14:textId="4527FA10" w:rsidR="00A5540F" w:rsidRPr="00C12274" w:rsidRDefault="00A5540F" w:rsidP="00941544">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Pr>
                <w:rStyle w:val="block"/>
                <w:rFonts w:ascii="Arial Narrow" w:eastAsia="Times New Roman" w:hAnsi="Arial Narrow"/>
                <w:b/>
                <w:bCs/>
                <w:sz w:val="16"/>
                <w:szCs w:val="16"/>
              </w:rPr>
              <w:t>74</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60</w:t>
            </w:r>
            <w:r w:rsidRPr="00C12274">
              <w:rPr>
                <w:rStyle w:val="cell"/>
                <w:rFonts w:ascii="Arial Narrow" w:eastAsia="Times New Roman" w:hAnsi="Arial Narrow"/>
                <w:sz w:val="16"/>
                <w:szCs w:val="16"/>
              </w:rPr>
              <w:t xml:space="preserve"> to 0.</w:t>
            </w:r>
            <w:r w:rsidR="00941544">
              <w:rPr>
                <w:rStyle w:val="cell"/>
                <w:rFonts w:ascii="Arial Narrow" w:eastAsia="Times New Roman" w:hAnsi="Arial Narrow"/>
                <w:sz w:val="16"/>
                <w:szCs w:val="16"/>
              </w:rPr>
              <w:t>90</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7A8BCC16"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5,</w:t>
            </w:r>
            <w:r>
              <w:rPr>
                <w:rFonts w:ascii="Arial Narrow" w:eastAsia="Times New Roman" w:hAnsi="Arial Narrow"/>
                <w:sz w:val="16"/>
                <w:szCs w:val="16"/>
              </w:rPr>
              <w:t>592</w:t>
            </w:r>
            <w:r w:rsidRPr="00C12274">
              <w:rPr>
                <w:rFonts w:ascii="Arial Narrow" w:eastAsia="Times New Roman" w:hAnsi="Arial Narrow"/>
                <w:sz w:val="16"/>
                <w:szCs w:val="16"/>
              </w:rPr>
              <w:br/>
              <w:t>(</w:t>
            </w:r>
            <w:r>
              <w:rPr>
                <w:rFonts w:ascii="Arial Narrow" w:eastAsia="Times New Roman" w:hAnsi="Arial Narrow"/>
                <w:sz w:val="16"/>
                <w:szCs w:val="16"/>
              </w:rPr>
              <w:t>20</w:t>
            </w:r>
            <w:r w:rsidRPr="00C12274">
              <w:rPr>
                <w:rFonts w:ascii="Arial Narrow" w:eastAsia="Times New Roman" w:hAnsi="Arial Narrow"/>
                <w:sz w:val="16"/>
                <w:szCs w:val="16"/>
              </w:rPr>
              <w:t xml:space="preserve"> RCTs) </w:t>
            </w:r>
          </w:p>
        </w:tc>
        <w:tc>
          <w:tcPr>
            <w:tcW w:w="756" w:type="pct"/>
            <w:tcBorders>
              <w:top w:val="single" w:sz="6" w:space="0" w:color="000000"/>
              <w:left w:val="nil"/>
              <w:bottom w:val="single" w:sz="6" w:space="0" w:color="000000"/>
              <w:right w:val="nil"/>
            </w:tcBorders>
            <w:vAlign w:val="center"/>
            <w:hideMark/>
          </w:tcPr>
          <w:p w14:paraId="6021736F"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LOW</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r w:rsidRPr="00C12274">
              <w:rPr>
                <w:rStyle w:val="comma"/>
                <w:rFonts w:ascii="Arial Narrow" w:eastAsia="Times New Roman" w:hAnsi="Arial Narrow"/>
                <w:sz w:val="16"/>
                <w:szCs w:val="16"/>
                <w:vertAlign w:val="superscript"/>
              </w:rPr>
              <w:t>,</w:t>
            </w:r>
            <w:r w:rsidRPr="00C12274">
              <w:rPr>
                <w:rFonts w:ascii="Arial Narrow" w:eastAsia="Times New Roman" w:hAnsi="Arial Narrow"/>
                <w:sz w:val="16"/>
                <w:szCs w:val="16"/>
                <w:vertAlign w:val="superscript"/>
              </w:rPr>
              <w:t>b</w:t>
            </w:r>
          </w:p>
        </w:tc>
      </w:tr>
      <w:tr w:rsidR="00A5540F" w:rsidRPr="00C12274" w14:paraId="6BD7CE77" w14:textId="77777777" w:rsidTr="00A5540F">
        <w:trPr>
          <w:cantSplit/>
        </w:trPr>
        <w:tc>
          <w:tcPr>
            <w:tcW w:w="677" w:type="pct"/>
            <w:tcBorders>
              <w:top w:val="single" w:sz="6" w:space="0" w:color="000000"/>
              <w:left w:val="nil"/>
              <w:bottom w:val="single" w:sz="6" w:space="0" w:color="000000"/>
              <w:right w:val="nil"/>
            </w:tcBorders>
            <w:vAlign w:val="center"/>
            <w:hideMark/>
          </w:tcPr>
          <w:p w14:paraId="4E8F319A"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Gestational hypertension</w:t>
            </w:r>
            <w:r w:rsidRPr="00C12274">
              <w:rPr>
                <w:rFonts w:ascii="Arial Narrow" w:eastAsia="Times New Roman" w:hAnsi="Arial Narrow"/>
                <w:sz w:val="16"/>
                <w:szCs w:val="16"/>
              </w:rPr>
              <w:t xml:space="preserve"> </w:t>
            </w:r>
          </w:p>
        </w:tc>
        <w:tc>
          <w:tcPr>
            <w:tcW w:w="738" w:type="pct"/>
            <w:tcBorders>
              <w:top w:val="single" w:sz="6" w:space="0" w:color="000000"/>
              <w:left w:val="nil"/>
              <w:bottom w:val="single" w:sz="6" w:space="0" w:color="000000"/>
              <w:right w:val="nil"/>
            </w:tcBorders>
            <w:vAlign w:val="center"/>
            <w:hideMark/>
          </w:tcPr>
          <w:p w14:paraId="666EBCE1" w14:textId="77777777" w:rsidR="00A5540F" w:rsidRPr="00C12274" w:rsidRDefault="00A5540F" w:rsidP="00A5540F">
            <w:pPr>
              <w:rPr>
                <w:rFonts w:ascii="Arial Narrow" w:eastAsia="Times New Roman" w:hAnsi="Arial Narrow"/>
                <w:sz w:val="16"/>
                <w:szCs w:val="16"/>
              </w:rPr>
            </w:pPr>
            <w:r>
              <w:rPr>
                <w:rFonts w:ascii="Arial Narrow" w:eastAsia="Times New Roman" w:hAnsi="Arial Narrow"/>
                <w:sz w:val="16"/>
                <w:szCs w:val="16"/>
              </w:rPr>
              <w:t>70</w:t>
            </w:r>
            <w:r w:rsidRPr="00C12274">
              <w:rPr>
                <w:rFonts w:ascii="Arial Narrow" w:eastAsia="Times New Roman" w:hAnsi="Arial Narrow"/>
                <w:sz w:val="16"/>
                <w:szCs w:val="16"/>
              </w:rPr>
              <w:t xml:space="preserve"> per 1,000 </w:t>
            </w:r>
          </w:p>
        </w:tc>
        <w:tc>
          <w:tcPr>
            <w:tcW w:w="1257" w:type="pct"/>
            <w:tcBorders>
              <w:top w:val="single" w:sz="6" w:space="0" w:color="000000"/>
              <w:left w:val="nil"/>
              <w:bottom w:val="single" w:sz="6" w:space="0" w:color="000000"/>
              <w:right w:val="nil"/>
            </w:tcBorders>
            <w:shd w:val="clear" w:color="auto" w:fill="EBEBEB"/>
            <w:hideMark/>
          </w:tcPr>
          <w:p w14:paraId="4150FF12"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3</w:t>
            </w:r>
            <w:r>
              <w:rPr>
                <w:rStyle w:val="cell-value"/>
                <w:rFonts w:ascii="Arial Narrow" w:eastAsia="Times New Roman" w:hAnsi="Arial Narrow"/>
                <w:b/>
                <w:bCs/>
                <w:szCs w:val="18"/>
              </w:rPr>
              <w:t>6</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(2</w:t>
            </w:r>
            <w:r>
              <w:rPr>
                <w:rStyle w:val="cell-value"/>
                <w:rFonts w:ascii="Arial Narrow" w:eastAsia="Times New Roman" w:hAnsi="Arial Narrow"/>
                <w:szCs w:val="18"/>
              </w:rPr>
              <w:t>6</w:t>
            </w:r>
            <w:r w:rsidRPr="00C12274">
              <w:rPr>
                <w:rStyle w:val="cell-value"/>
                <w:rFonts w:ascii="Arial Narrow" w:eastAsia="Times New Roman" w:hAnsi="Arial Narrow"/>
                <w:szCs w:val="18"/>
              </w:rPr>
              <w:t xml:space="preserve"> to </w:t>
            </w:r>
            <w:r>
              <w:rPr>
                <w:rStyle w:val="cell-value"/>
                <w:rFonts w:ascii="Arial Narrow" w:eastAsia="Times New Roman" w:hAnsi="Arial Narrow"/>
                <w:szCs w:val="18"/>
              </w:rPr>
              <w:t>50</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5B562EA1" w14:textId="77777777" w:rsidR="00A5540F" w:rsidRPr="00C12274" w:rsidRDefault="00A5540F" w:rsidP="00A5540F">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0.5</w:t>
            </w:r>
            <w:r>
              <w:rPr>
                <w:rStyle w:val="block"/>
                <w:rFonts w:ascii="Arial Narrow" w:eastAsia="Times New Roman" w:hAnsi="Arial Narrow"/>
                <w:b/>
                <w:bCs/>
                <w:sz w:val="16"/>
                <w:szCs w:val="16"/>
              </w:rPr>
              <w:t>1</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(0.3</w:t>
            </w:r>
            <w:r>
              <w:rPr>
                <w:rStyle w:val="cell"/>
                <w:rFonts w:ascii="Arial Narrow" w:eastAsia="Times New Roman" w:hAnsi="Arial Narrow"/>
                <w:sz w:val="16"/>
                <w:szCs w:val="16"/>
              </w:rPr>
              <w:t>7</w:t>
            </w:r>
            <w:r w:rsidRPr="00C12274">
              <w:rPr>
                <w:rStyle w:val="cell"/>
                <w:rFonts w:ascii="Arial Narrow" w:eastAsia="Times New Roman" w:hAnsi="Arial Narrow"/>
                <w:sz w:val="16"/>
                <w:szCs w:val="16"/>
              </w:rPr>
              <w:t xml:space="preserve"> to 0.7</w:t>
            </w:r>
            <w:r>
              <w:rPr>
                <w:rStyle w:val="cell"/>
                <w:rFonts w:ascii="Arial Narrow" w:eastAsia="Times New Roman" w:hAnsi="Arial Narrow"/>
                <w:sz w:val="16"/>
                <w:szCs w:val="16"/>
              </w:rPr>
              <w:t>1</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1447AF35"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3,</w:t>
            </w:r>
            <w:r>
              <w:rPr>
                <w:rFonts w:ascii="Arial Narrow" w:eastAsia="Times New Roman" w:hAnsi="Arial Narrow"/>
                <w:sz w:val="16"/>
                <w:szCs w:val="16"/>
              </w:rPr>
              <w:t>060</w:t>
            </w:r>
            <w:r w:rsidRPr="00C12274">
              <w:rPr>
                <w:rFonts w:ascii="Arial Narrow" w:eastAsia="Times New Roman" w:hAnsi="Arial Narrow"/>
                <w:sz w:val="16"/>
                <w:szCs w:val="16"/>
              </w:rPr>
              <w:br/>
              <w:t xml:space="preserve">(7 RCTs) </w:t>
            </w:r>
          </w:p>
        </w:tc>
        <w:tc>
          <w:tcPr>
            <w:tcW w:w="756" w:type="pct"/>
            <w:tcBorders>
              <w:top w:val="single" w:sz="6" w:space="0" w:color="000000"/>
              <w:left w:val="nil"/>
              <w:bottom w:val="single" w:sz="6" w:space="0" w:color="000000"/>
              <w:right w:val="nil"/>
            </w:tcBorders>
            <w:vAlign w:val="center"/>
            <w:hideMark/>
          </w:tcPr>
          <w:p w14:paraId="1D193A21"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B550DC">
              <w:rPr>
                <w:rFonts w:ascii="Arial Narrow" w:eastAsia="Times New Roman" w:hAnsi="Arial Narrow"/>
                <w:sz w:val="16"/>
                <w:szCs w:val="16"/>
                <w:vertAlign w:val="superscript"/>
              </w:rPr>
              <w:t>a</w:t>
            </w:r>
          </w:p>
        </w:tc>
      </w:tr>
      <w:tr w:rsidR="00A5540F" w:rsidRPr="00C12274" w14:paraId="5AF29577" w14:textId="77777777" w:rsidTr="00A5540F">
        <w:trPr>
          <w:cantSplit/>
        </w:trPr>
        <w:tc>
          <w:tcPr>
            <w:tcW w:w="677" w:type="pct"/>
            <w:tcBorders>
              <w:top w:val="single" w:sz="6" w:space="0" w:color="000000"/>
              <w:left w:val="nil"/>
              <w:bottom w:val="single" w:sz="6" w:space="0" w:color="000000"/>
              <w:right w:val="nil"/>
            </w:tcBorders>
            <w:vAlign w:val="center"/>
            <w:hideMark/>
          </w:tcPr>
          <w:p w14:paraId="51189A33"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Pre-eclampsia</w:t>
            </w:r>
            <w:r w:rsidRPr="00C12274">
              <w:rPr>
                <w:rFonts w:ascii="Arial Narrow" w:eastAsia="Times New Roman" w:hAnsi="Arial Narrow"/>
                <w:sz w:val="16"/>
                <w:szCs w:val="16"/>
              </w:rPr>
              <w:t xml:space="preserve"> </w:t>
            </w:r>
          </w:p>
        </w:tc>
        <w:tc>
          <w:tcPr>
            <w:tcW w:w="738" w:type="pct"/>
            <w:tcBorders>
              <w:top w:val="single" w:sz="6" w:space="0" w:color="000000"/>
              <w:left w:val="nil"/>
              <w:bottom w:val="single" w:sz="6" w:space="0" w:color="000000"/>
              <w:right w:val="nil"/>
            </w:tcBorders>
            <w:vAlign w:val="center"/>
            <w:hideMark/>
          </w:tcPr>
          <w:p w14:paraId="37E070D1" w14:textId="77777777" w:rsidR="00A5540F" w:rsidRPr="00C12274" w:rsidRDefault="00A5540F" w:rsidP="00A5540F">
            <w:pPr>
              <w:rPr>
                <w:rFonts w:ascii="Arial Narrow" w:eastAsia="Times New Roman" w:hAnsi="Arial Narrow"/>
                <w:sz w:val="16"/>
                <w:szCs w:val="16"/>
              </w:rPr>
            </w:pPr>
            <w:r>
              <w:rPr>
                <w:rFonts w:ascii="Arial Narrow" w:eastAsia="Times New Roman" w:hAnsi="Arial Narrow"/>
                <w:sz w:val="16"/>
                <w:szCs w:val="16"/>
              </w:rPr>
              <w:t>39</w:t>
            </w:r>
            <w:r w:rsidRPr="00C12274">
              <w:rPr>
                <w:rFonts w:ascii="Arial Narrow" w:eastAsia="Times New Roman" w:hAnsi="Arial Narrow"/>
                <w:sz w:val="16"/>
                <w:szCs w:val="16"/>
              </w:rPr>
              <w:t xml:space="preserve"> per 1,000 </w:t>
            </w:r>
          </w:p>
        </w:tc>
        <w:tc>
          <w:tcPr>
            <w:tcW w:w="1257" w:type="pct"/>
            <w:tcBorders>
              <w:top w:val="single" w:sz="6" w:space="0" w:color="000000"/>
              <w:left w:val="nil"/>
              <w:bottom w:val="single" w:sz="6" w:space="0" w:color="000000"/>
              <w:right w:val="nil"/>
            </w:tcBorders>
            <w:shd w:val="clear" w:color="auto" w:fill="EBEBEB"/>
            <w:hideMark/>
          </w:tcPr>
          <w:p w14:paraId="3854D70C"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3</w:t>
            </w:r>
            <w:r>
              <w:rPr>
                <w:rStyle w:val="cell-value"/>
                <w:rFonts w:ascii="Arial Narrow" w:eastAsia="Times New Roman" w:hAnsi="Arial Narrow"/>
                <w:b/>
                <w:bCs/>
                <w:szCs w:val="18"/>
              </w:rPr>
              <w:t>5</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(2</w:t>
            </w:r>
            <w:r>
              <w:rPr>
                <w:rStyle w:val="cell-value"/>
                <w:rFonts w:ascii="Arial Narrow" w:eastAsia="Times New Roman" w:hAnsi="Arial Narrow"/>
                <w:szCs w:val="18"/>
              </w:rPr>
              <w:t>4</w:t>
            </w:r>
            <w:r w:rsidRPr="00C12274">
              <w:rPr>
                <w:rStyle w:val="cell-value"/>
                <w:rFonts w:ascii="Arial Narrow" w:eastAsia="Times New Roman" w:hAnsi="Arial Narrow"/>
                <w:szCs w:val="18"/>
              </w:rPr>
              <w:t xml:space="preserve"> to 5</w:t>
            </w:r>
            <w:r>
              <w:rPr>
                <w:rStyle w:val="cell-value"/>
                <w:rFonts w:ascii="Arial Narrow" w:eastAsia="Times New Roman" w:hAnsi="Arial Narrow"/>
                <w:szCs w:val="18"/>
              </w:rPr>
              <w:t>1</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29CAA806" w14:textId="3909A535" w:rsidR="00A5540F" w:rsidRPr="00C12274" w:rsidRDefault="00A5540F" w:rsidP="008115A4">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sidR="008115A4">
              <w:rPr>
                <w:rStyle w:val="block"/>
                <w:rFonts w:ascii="Arial Narrow" w:eastAsia="Times New Roman" w:hAnsi="Arial Narrow"/>
                <w:b/>
                <w:bCs/>
                <w:sz w:val="16"/>
                <w:szCs w:val="16"/>
              </w:rPr>
              <w:t>78</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sidR="008115A4">
              <w:rPr>
                <w:rStyle w:val="cell"/>
                <w:rFonts w:ascii="Arial Narrow" w:eastAsia="Times New Roman" w:hAnsi="Arial Narrow"/>
                <w:sz w:val="16"/>
                <w:szCs w:val="16"/>
              </w:rPr>
              <w:t>53</w:t>
            </w:r>
            <w:r w:rsidR="008115A4" w:rsidRPr="00C12274">
              <w:rPr>
                <w:rStyle w:val="cell"/>
                <w:rFonts w:ascii="Arial Narrow" w:eastAsia="Times New Roman" w:hAnsi="Arial Narrow"/>
                <w:sz w:val="16"/>
                <w:szCs w:val="16"/>
              </w:rPr>
              <w:t xml:space="preserve"> </w:t>
            </w:r>
            <w:r w:rsidRPr="00C12274">
              <w:rPr>
                <w:rStyle w:val="cell"/>
                <w:rFonts w:ascii="Arial Narrow" w:eastAsia="Times New Roman" w:hAnsi="Arial Narrow"/>
                <w:sz w:val="16"/>
                <w:szCs w:val="16"/>
              </w:rPr>
              <w:t>to 1.</w:t>
            </w:r>
            <w:r w:rsidR="008115A4">
              <w:rPr>
                <w:rStyle w:val="cell"/>
                <w:rFonts w:ascii="Arial Narrow" w:eastAsia="Times New Roman" w:hAnsi="Arial Narrow"/>
                <w:sz w:val="16"/>
                <w:szCs w:val="16"/>
              </w:rPr>
              <w:t>15</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5E9CBEA7" w14:textId="4213B2CD" w:rsidR="00A5540F" w:rsidRPr="00C12274" w:rsidRDefault="00A5540F" w:rsidP="008115A4">
            <w:pPr>
              <w:jc w:val="center"/>
              <w:rPr>
                <w:rFonts w:ascii="Arial Narrow" w:eastAsia="Times New Roman" w:hAnsi="Arial Narrow"/>
                <w:sz w:val="16"/>
                <w:szCs w:val="16"/>
              </w:rPr>
            </w:pPr>
            <w:r w:rsidRPr="00C12274">
              <w:rPr>
                <w:rFonts w:ascii="Arial Narrow" w:eastAsia="Times New Roman" w:hAnsi="Arial Narrow"/>
                <w:sz w:val="16"/>
                <w:szCs w:val="16"/>
              </w:rPr>
              <w:t>2,</w:t>
            </w:r>
            <w:r w:rsidR="008115A4">
              <w:rPr>
                <w:rFonts w:ascii="Arial Narrow" w:eastAsia="Times New Roman" w:hAnsi="Arial Narrow"/>
                <w:sz w:val="16"/>
                <w:szCs w:val="16"/>
              </w:rPr>
              <w:t>855</w:t>
            </w:r>
            <w:r w:rsidRPr="00C12274">
              <w:rPr>
                <w:rFonts w:ascii="Arial Narrow" w:eastAsia="Times New Roman" w:hAnsi="Arial Narrow"/>
                <w:sz w:val="16"/>
                <w:szCs w:val="16"/>
              </w:rPr>
              <w:br/>
              <w:t>(</w:t>
            </w:r>
            <w:r>
              <w:rPr>
                <w:rFonts w:ascii="Arial Narrow" w:eastAsia="Times New Roman" w:hAnsi="Arial Narrow"/>
                <w:sz w:val="16"/>
                <w:szCs w:val="16"/>
              </w:rPr>
              <w:t>7</w:t>
            </w:r>
            <w:r w:rsidRPr="00C12274">
              <w:rPr>
                <w:rFonts w:ascii="Arial Narrow" w:eastAsia="Times New Roman" w:hAnsi="Arial Narrow"/>
                <w:sz w:val="16"/>
                <w:szCs w:val="16"/>
              </w:rPr>
              <w:t xml:space="preserve"> RCTs) </w:t>
            </w:r>
          </w:p>
        </w:tc>
        <w:tc>
          <w:tcPr>
            <w:tcW w:w="756" w:type="pct"/>
            <w:tcBorders>
              <w:top w:val="single" w:sz="6" w:space="0" w:color="000000"/>
              <w:left w:val="nil"/>
              <w:bottom w:val="single" w:sz="6" w:space="0" w:color="000000"/>
              <w:right w:val="nil"/>
            </w:tcBorders>
            <w:vAlign w:val="center"/>
            <w:hideMark/>
          </w:tcPr>
          <w:p w14:paraId="3E4AE9A8"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2E131FB1" w14:textId="77777777" w:rsidTr="00A5540F">
        <w:trPr>
          <w:cantSplit/>
        </w:trPr>
        <w:tc>
          <w:tcPr>
            <w:tcW w:w="677" w:type="pct"/>
            <w:tcBorders>
              <w:top w:val="single" w:sz="6" w:space="0" w:color="000000"/>
              <w:left w:val="nil"/>
              <w:bottom w:val="single" w:sz="6" w:space="0" w:color="000000"/>
              <w:right w:val="nil"/>
            </w:tcBorders>
            <w:vAlign w:val="center"/>
            <w:hideMark/>
          </w:tcPr>
          <w:p w14:paraId="275CE25B"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Caesarean section</w:t>
            </w:r>
            <w:r w:rsidRPr="00C12274">
              <w:rPr>
                <w:rFonts w:ascii="Arial Narrow" w:eastAsia="Times New Roman" w:hAnsi="Arial Narrow"/>
                <w:sz w:val="16"/>
                <w:szCs w:val="16"/>
              </w:rPr>
              <w:t xml:space="preserve"> </w:t>
            </w:r>
          </w:p>
        </w:tc>
        <w:tc>
          <w:tcPr>
            <w:tcW w:w="738" w:type="pct"/>
            <w:tcBorders>
              <w:top w:val="single" w:sz="6" w:space="0" w:color="000000"/>
              <w:left w:val="nil"/>
              <w:bottom w:val="single" w:sz="6" w:space="0" w:color="000000"/>
              <w:right w:val="nil"/>
            </w:tcBorders>
            <w:vAlign w:val="center"/>
            <w:hideMark/>
          </w:tcPr>
          <w:p w14:paraId="316474A8"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2</w:t>
            </w:r>
            <w:r>
              <w:rPr>
                <w:rFonts w:ascii="Arial Narrow" w:eastAsia="Times New Roman" w:hAnsi="Arial Narrow"/>
                <w:sz w:val="16"/>
                <w:szCs w:val="16"/>
              </w:rPr>
              <w:t>20</w:t>
            </w:r>
            <w:r w:rsidRPr="00C12274">
              <w:rPr>
                <w:rFonts w:ascii="Arial Narrow" w:eastAsia="Times New Roman" w:hAnsi="Arial Narrow"/>
                <w:sz w:val="16"/>
                <w:szCs w:val="16"/>
              </w:rPr>
              <w:t xml:space="preserve"> per 1,000 </w:t>
            </w:r>
          </w:p>
        </w:tc>
        <w:tc>
          <w:tcPr>
            <w:tcW w:w="1257" w:type="pct"/>
            <w:tcBorders>
              <w:top w:val="single" w:sz="6" w:space="0" w:color="000000"/>
              <w:left w:val="nil"/>
              <w:bottom w:val="single" w:sz="6" w:space="0" w:color="000000"/>
              <w:right w:val="nil"/>
            </w:tcBorders>
            <w:shd w:val="clear" w:color="auto" w:fill="EBEBEB"/>
            <w:hideMark/>
          </w:tcPr>
          <w:p w14:paraId="75DC2253" w14:textId="58B4CD03"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1</w:t>
            </w:r>
            <w:r>
              <w:rPr>
                <w:rStyle w:val="cell-value"/>
                <w:rFonts w:ascii="Arial Narrow" w:eastAsia="Times New Roman" w:hAnsi="Arial Narrow"/>
                <w:b/>
                <w:bCs/>
                <w:szCs w:val="18"/>
              </w:rPr>
              <w:t>87</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(16</w:t>
            </w:r>
            <w:r w:rsidR="005A5A6D">
              <w:rPr>
                <w:rStyle w:val="cell-value"/>
                <w:rFonts w:ascii="Arial Narrow" w:eastAsia="Times New Roman" w:hAnsi="Arial Narrow"/>
                <w:szCs w:val="18"/>
              </w:rPr>
              <w:t>3</w:t>
            </w:r>
            <w:r w:rsidRPr="00C12274">
              <w:rPr>
                <w:rStyle w:val="cell-value"/>
                <w:rFonts w:ascii="Arial Narrow" w:eastAsia="Times New Roman" w:hAnsi="Arial Narrow"/>
                <w:szCs w:val="18"/>
              </w:rPr>
              <w:t xml:space="preserve"> to 21</w:t>
            </w:r>
            <w:r w:rsidR="005A5A6D">
              <w:rPr>
                <w:rStyle w:val="cell-value"/>
                <w:rFonts w:ascii="Arial Narrow" w:eastAsia="Times New Roman" w:hAnsi="Arial Narrow"/>
                <w:szCs w:val="18"/>
              </w:rPr>
              <w:t>6</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191DCD6E" w14:textId="29B10571" w:rsidR="00A5540F" w:rsidRPr="00C12274" w:rsidRDefault="00A5540F" w:rsidP="00941544">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0.8</w:t>
            </w:r>
            <w:r>
              <w:rPr>
                <w:rStyle w:val="block"/>
                <w:rFonts w:ascii="Arial Narrow" w:eastAsia="Times New Roman" w:hAnsi="Arial Narrow"/>
                <w:b/>
                <w:bCs/>
                <w:sz w:val="16"/>
                <w:szCs w:val="16"/>
              </w:rPr>
              <w:t>5</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sidR="00941544" w:rsidRPr="00C12274">
              <w:rPr>
                <w:rStyle w:val="cell"/>
                <w:rFonts w:ascii="Arial Narrow" w:eastAsia="Times New Roman" w:hAnsi="Arial Narrow"/>
                <w:sz w:val="16"/>
                <w:szCs w:val="16"/>
              </w:rPr>
              <w:t>7</w:t>
            </w:r>
            <w:r w:rsidR="00941544">
              <w:rPr>
                <w:rStyle w:val="cell"/>
                <w:rFonts w:ascii="Arial Narrow" w:eastAsia="Times New Roman" w:hAnsi="Arial Narrow"/>
                <w:sz w:val="16"/>
                <w:szCs w:val="16"/>
              </w:rPr>
              <w:t>4</w:t>
            </w:r>
            <w:r w:rsidR="00941544" w:rsidRPr="00C12274">
              <w:rPr>
                <w:rStyle w:val="cell"/>
                <w:rFonts w:ascii="Arial Narrow" w:eastAsia="Times New Roman" w:hAnsi="Arial Narrow"/>
                <w:sz w:val="16"/>
                <w:szCs w:val="16"/>
              </w:rPr>
              <w:t xml:space="preserve"> </w:t>
            </w:r>
            <w:r w:rsidRPr="00C12274">
              <w:rPr>
                <w:rStyle w:val="cell"/>
                <w:rFonts w:ascii="Arial Narrow" w:eastAsia="Times New Roman" w:hAnsi="Arial Narrow"/>
                <w:sz w:val="16"/>
                <w:szCs w:val="16"/>
              </w:rPr>
              <w:t>to 0.9</w:t>
            </w:r>
            <w:r>
              <w:rPr>
                <w:rStyle w:val="cell"/>
                <w:rFonts w:ascii="Arial Narrow" w:eastAsia="Times New Roman" w:hAnsi="Arial Narrow"/>
                <w:sz w:val="16"/>
                <w:szCs w:val="16"/>
              </w:rPr>
              <w:t>8</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5" w:type="pct"/>
            <w:tcBorders>
              <w:top w:val="single" w:sz="6" w:space="0" w:color="000000"/>
              <w:left w:val="nil"/>
              <w:bottom w:val="single" w:sz="6" w:space="0" w:color="000000"/>
              <w:right w:val="nil"/>
            </w:tcBorders>
            <w:vAlign w:val="center"/>
            <w:hideMark/>
          </w:tcPr>
          <w:p w14:paraId="275EB16E" w14:textId="7D47855F" w:rsidR="00A5540F" w:rsidRPr="00C12274" w:rsidRDefault="00A5540F" w:rsidP="0001637A">
            <w:pPr>
              <w:jc w:val="center"/>
              <w:rPr>
                <w:rFonts w:ascii="Arial Narrow" w:eastAsia="Times New Roman" w:hAnsi="Arial Narrow"/>
                <w:sz w:val="16"/>
                <w:szCs w:val="16"/>
              </w:rPr>
            </w:pPr>
            <w:r w:rsidRPr="00C12274">
              <w:rPr>
                <w:rFonts w:ascii="Arial Narrow" w:eastAsia="Times New Roman" w:hAnsi="Arial Narrow"/>
                <w:sz w:val="16"/>
                <w:szCs w:val="16"/>
              </w:rPr>
              <w:t>5,</w:t>
            </w:r>
            <w:r w:rsidR="0001637A">
              <w:rPr>
                <w:rFonts w:ascii="Arial Narrow" w:eastAsia="Times New Roman" w:hAnsi="Arial Narrow"/>
                <w:sz w:val="16"/>
                <w:szCs w:val="16"/>
              </w:rPr>
              <w:t>704</w:t>
            </w:r>
            <w:r w:rsidRPr="00C12274">
              <w:rPr>
                <w:rFonts w:ascii="Arial Narrow" w:eastAsia="Times New Roman" w:hAnsi="Arial Narrow"/>
                <w:sz w:val="16"/>
                <w:szCs w:val="16"/>
              </w:rPr>
              <w:br/>
              <w:t>(2</w:t>
            </w:r>
            <w:r w:rsidR="0001637A">
              <w:rPr>
                <w:rFonts w:ascii="Arial Narrow" w:eastAsia="Times New Roman" w:hAnsi="Arial Narrow"/>
                <w:sz w:val="16"/>
                <w:szCs w:val="16"/>
              </w:rPr>
              <w:t>5</w:t>
            </w:r>
            <w:r w:rsidRPr="00C12274">
              <w:rPr>
                <w:rFonts w:ascii="Arial Narrow" w:eastAsia="Times New Roman" w:hAnsi="Arial Narrow"/>
                <w:sz w:val="16"/>
                <w:szCs w:val="16"/>
              </w:rPr>
              <w:t xml:space="preserve"> RCTs) </w:t>
            </w:r>
          </w:p>
        </w:tc>
        <w:tc>
          <w:tcPr>
            <w:tcW w:w="756" w:type="pct"/>
            <w:tcBorders>
              <w:top w:val="single" w:sz="6" w:space="0" w:color="000000"/>
              <w:left w:val="nil"/>
              <w:bottom w:val="single" w:sz="6" w:space="0" w:color="000000"/>
              <w:right w:val="nil"/>
            </w:tcBorders>
            <w:vAlign w:val="center"/>
            <w:hideMark/>
          </w:tcPr>
          <w:p w14:paraId="76C992D6"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6645AC91" w14:textId="77777777" w:rsidTr="00A5540F">
        <w:trPr>
          <w:cantSplit/>
        </w:trPr>
        <w:tc>
          <w:tcPr>
            <w:tcW w:w="677" w:type="pct"/>
            <w:tcBorders>
              <w:top w:val="single" w:sz="6" w:space="0" w:color="000000"/>
              <w:left w:val="nil"/>
              <w:bottom w:val="single" w:sz="6" w:space="0" w:color="000000"/>
              <w:right w:val="nil"/>
            </w:tcBorders>
            <w:vAlign w:val="center"/>
          </w:tcPr>
          <w:p w14:paraId="2EB39E32" w14:textId="77777777" w:rsidR="00A5540F" w:rsidRPr="00C12274" w:rsidRDefault="00A5540F" w:rsidP="00A5540F">
            <w:pPr>
              <w:jc w:val="center"/>
              <w:rPr>
                <w:rStyle w:val="label"/>
                <w:rFonts w:ascii="Arial Narrow" w:eastAsia="Times New Roman" w:hAnsi="Arial Narrow"/>
                <w:szCs w:val="18"/>
              </w:rPr>
            </w:pPr>
            <w:r w:rsidRPr="00C12274">
              <w:rPr>
                <w:rStyle w:val="label"/>
                <w:rFonts w:ascii="Arial Narrow" w:eastAsia="Times New Roman" w:hAnsi="Arial Narrow"/>
                <w:szCs w:val="18"/>
              </w:rPr>
              <w:t>Antenatal depression</w:t>
            </w:r>
          </w:p>
        </w:tc>
        <w:tc>
          <w:tcPr>
            <w:tcW w:w="738" w:type="pct"/>
            <w:tcBorders>
              <w:top w:val="single" w:sz="6" w:space="0" w:color="000000"/>
              <w:left w:val="nil"/>
              <w:bottom w:val="single" w:sz="6" w:space="0" w:color="000000"/>
              <w:right w:val="nil"/>
            </w:tcBorders>
            <w:vAlign w:val="center"/>
          </w:tcPr>
          <w:p w14:paraId="3BC8B649" w14:textId="3BD47C2E"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2</w:t>
            </w:r>
            <w:r w:rsidR="005A5A6D">
              <w:rPr>
                <w:rFonts w:ascii="Arial Narrow" w:eastAsia="Times New Roman" w:hAnsi="Arial Narrow"/>
                <w:sz w:val="16"/>
                <w:szCs w:val="16"/>
              </w:rPr>
              <w:t>35</w:t>
            </w:r>
            <w:r w:rsidRPr="00C12274">
              <w:rPr>
                <w:rFonts w:ascii="Arial Narrow" w:eastAsia="Times New Roman" w:hAnsi="Arial Narrow"/>
                <w:sz w:val="16"/>
                <w:szCs w:val="16"/>
              </w:rPr>
              <w:t xml:space="preserve"> per 1,000</w:t>
            </w:r>
          </w:p>
        </w:tc>
        <w:tc>
          <w:tcPr>
            <w:tcW w:w="1257" w:type="pct"/>
            <w:tcBorders>
              <w:top w:val="single" w:sz="6" w:space="0" w:color="000000"/>
              <w:left w:val="nil"/>
              <w:bottom w:val="single" w:sz="6" w:space="0" w:color="000000"/>
              <w:right w:val="nil"/>
            </w:tcBorders>
            <w:shd w:val="clear" w:color="auto" w:fill="EBEBEB"/>
          </w:tcPr>
          <w:p w14:paraId="1E05EB5C" w14:textId="5C65129E" w:rsidR="00A5540F" w:rsidRPr="00C12274" w:rsidRDefault="005A5A6D" w:rsidP="005A5A6D">
            <w:pPr>
              <w:jc w:val="center"/>
              <w:rPr>
                <w:rStyle w:val="cell-value"/>
                <w:rFonts w:ascii="Arial Narrow" w:eastAsia="Times New Roman" w:hAnsi="Arial Narrow"/>
                <w:b/>
                <w:bCs/>
                <w:szCs w:val="18"/>
              </w:rPr>
            </w:pPr>
            <w:r>
              <w:rPr>
                <w:rStyle w:val="cell-value"/>
                <w:rFonts w:ascii="Arial Narrow" w:eastAsia="Times New Roman" w:hAnsi="Arial Narrow"/>
                <w:b/>
                <w:bCs/>
                <w:szCs w:val="18"/>
              </w:rPr>
              <w:t>104</w:t>
            </w:r>
            <w:r w:rsidRPr="00C12274">
              <w:rPr>
                <w:rStyle w:val="cell-value"/>
                <w:rFonts w:ascii="Arial Narrow" w:eastAsia="Times New Roman" w:hAnsi="Arial Narrow"/>
                <w:b/>
                <w:bCs/>
                <w:szCs w:val="18"/>
              </w:rPr>
              <w:t xml:space="preserve"> </w:t>
            </w:r>
            <w:r w:rsidR="00A5540F" w:rsidRPr="00C12274">
              <w:rPr>
                <w:rStyle w:val="cell-value"/>
                <w:rFonts w:ascii="Arial Narrow" w:eastAsia="Times New Roman" w:hAnsi="Arial Narrow"/>
                <w:b/>
                <w:bCs/>
                <w:szCs w:val="18"/>
              </w:rPr>
              <w:t>per 1,000</w:t>
            </w:r>
            <w:r w:rsidR="00A5540F" w:rsidRPr="00C12274">
              <w:rPr>
                <w:rStyle w:val="cell-value"/>
                <w:rFonts w:ascii="Arial Narrow" w:eastAsia="Times New Roman" w:hAnsi="Arial Narrow"/>
                <w:b/>
                <w:bCs/>
                <w:szCs w:val="18"/>
              </w:rPr>
              <w:br/>
            </w:r>
            <w:r w:rsidR="00A5540F" w:rsidRPr="00C12274">
              <w:rPr>
                <w:rStyle w:val="cell-value"/>
                <w:rFonts w:ascii="Arial Narrow" w:eastAsia="Times New Roman" w:hAnsi="Arial Narrow"/>
                <w:bCs/>
                <w:szCs w:val="18"/>
              </w:rPr>
              <w:t>(</w:t>
            </w:r>
            <w:r>
              <w:rPr>
                <w:rStyle w:val="cell-value"/>
                <w:rFonts w:ascii="Arial Narrow" w:eastAsia="Times New Roman" w:hAnsi="Arial Narrow"/>
                <w:bCs/>
                <w:szCs w:val="18"/>
              </w:rPr>
              <w:t>75</w:t>
            </w:r>
            <w:r w:rsidRPr="00C12274">
              <w:rPr>
                <w:rStyle w:val="cell-value"/>
                <w:rFonts w:ascii="Arial Narrow" w:eastAsia="Times New Roman" w:hAnsi="Arial Narrow"/>
                <w:bCs/>
                <w:szCs w:val="18"/>
              </w:rPr>
              <w:t xml:space="preserve"> </w:t>
            </w:r>
            <w:r w:rsidR="00A5540F" w:rsidRPr="00C12274">
              <w:rPr>
                <w:rStyle w:val="cell-value"/>
                <w:rFonts w:ascii="Arial Narrow" w:eastAsia="Times New Roman" w:hAnsi="Arial Narrow"/>
                <w:bCs/>
                <w:szCs w:val="18"/>
              </w:rPr>
              <w:t>to 1</w:t>
            </w:r>
            <w:r>
              <w:rPr>
                <w:rStyle w:val="cell-value"/>
                <w:rFonts w:ascii="Arial Narrow" w:eastAsia="Times New Roman" w:hAnsi="Arial Narrow"/>
                <w:bCs/>
                <w:szCs w:val="18"/>
              </w:rPr>
              <w:t>44</w:t>
            </w:r>
            <w:r w:rsidR="00A5540F" w:rsidRPr="00C12274">
              <w:rPr>
                <w:rStyle w:val="cell-value"/>
                <w:rFonts w:ascii="Arial Narrow" w:eastAsia="Times New Roman" w:hAnsi="Arial Narrow"/>
                <w:bCs/>
                <w:szCs w:val="18"/>
              </w:rPr>
              <w:t>)</w:t>
            </w:r>
          </w:p>
        </w:tc>
        <w:tc>
          <w:tcPr>
            <w:tcW w:w="787" w:type="pct"/>
            <w:tcBorders>
              <w:top w:val="single" w:sz="6" w:space="0" w:color="000000"/>
              <w:left w:val="nil"/>
              <w:bottom w:val="single" w:sz="6" w:space="0" w:color="000000"/>
              <w:right w:val="nil"/>
            </w:tcBorders>
            <w:vAlign w:val="center"/>
          </w:tcPr>
          <w:p w14:paraId="6422DDEB" w14:textId="7BBF3AAE" w:rsidR="00A5540F" w:rsidRPr="00C12274" w:rsidRDefault="00A5540F" w:rsidP="00A5540F">
            <w:pPr>
              <w:jc w:val="center"/>
              <w:rPr>
                <w:rStyle w:val="block"/>
                <w:rFonts w:ascii="Arial Narrow" w:eastAsia="Times New Roman" w:hAnsi="Arial Narrow"/>
                <w:b/>
                <w:bCs/>
                <w:sz w:val="16"/>
                <w:szCs w:val="16"/>
              </w:rPr>
            </w:pPr>
            <w:r w:rsidRPr="00C12274">
              <w:rPr>
                <w:rStyle w:val="block"/>
                <w:rFonts w:ascii="Arial Narrow" w:eastAsia="Times New Roman" w:hAnsi="Arial Narrow"/>
                <w:b/>
                <w:bCs/>
                <w:sz w:val="16"/>
                <w:szCs w:val="16"/>
              </w:rPr>
              <w:t>RR 0.4</w:t>
            </w:r>
            <w:r w:rsidR="0001637A">
              <w:rPr>
                <w:rStyle w:val="block"/>
                <w:rFonts w:ascii="Arial Narrow" w:eastAsia="Times New Roman" w:hAnsi="Arial Narrow"/>
                <w:b/>
                <w:bCs/>
                <w:sz w:val="16"/>
                <w:szCs w:val="16"/>
              </w:rPr>
              <w:t>4</w:t>
            </w:r>
            <w:r w:rsidRPr="00C12274">
              <w:rPr>
                <w:rStyle w:val="block"/>
                <w:rFonts w:ascii="Arial Narrow" w:eastAsia="Times New Roman" w:hAnsi="Arial Narrow"/>
                <w:b/>
                <w:bCs/>
                <w:sz w:val="16"/>
                <w:szCs w:val="16"/>
              </w:rPr>
              <w:br/>
            </w:r>
            <w:r w:rsidRPr="00C12274">
              <w:rPr>
                <w:rStyle w:val="block"/>
                <w:rFonts w:ascii="Arial Narrow" w:eastAsia="Times New Roman" w:hAnsi="Arial Narrow"/>
                <w:bCs/>
                <w:sz w:val="16"/>
                <w:szCs w:val="16"/>
              </w:rPr>
              <w:t>(0.</w:t>
            </w:r>
            <w:r w:rsidR="0001637A">
              <w:rPr>
                <w:rStyle w:val="block"/>
                <w:rFonts w:ascii="Arial Narrow" w:eastAsia="Times New Roman" w:hAnsi="Arial Narrow"/>
                <w:bCs/>
                <w:sz w:val="16"/>
                <w:szCs w:val="16"/>
              </w:rPr>
              <w:t>32</w:t>
            </w:r>
            <w:r w:rsidRPr="00C12274">
              <w:rPr>
                <w:rStyle w:val="block"/>
                <w:rFonts w:ascii="Arial Narrow" w:eastAsia="Times New Roman" w:hAnsi="Arial Narrow"/>
                <w:bCs/>
                <w:sz w:val="16"/>
                <w:szCs w:val="16"/>
              </w:rPr>
              <w:t xml:space="preserve"> to 0.61)</w:t>
            </w:r>
          </w:p>
        </w:tc>
        <w:tc>
          <w:tcPr>
            <w:tcW w:w="785" w:type="pct"/>
            <w:tcBorders>
              <w:top w:val="single" w:sz="6" w:space="0" w:color="000000"/>
              <w:left w:val="nil"/>
              <w:bottom w:val="single" w:sz="6" w:space="0" w:color="000000"/>
              <w:right w:val="nil"/>
            </w:tcBorders>
            <w:vAlign w:val="center"/>
          </w:tcPr>
          <w:p w14:paraId="28A874BD" w14:textId="635BF690" w:rsidR="00A5540F" w:rsidRPr="00C12274" w:rsidDel="000D5A95" w:rsidRDefault="0001637A" w:rsidP="00A5540F">
            <w:pPr>
              <w:jc w:val="center"/>
              <w:rPr>
                <w:rFonts w:ascii="Arial Narrow" w:eastAsia="Times New Roman" w:hAnsi="Arial Narrow"/>
                <w:sz w:val="16"/>
                <w:szCs w:val="16"/>
              </w:rPr>
            </w:pPr>
            <w:r>
              <w:rPr>
                <w:rFonts w:ascii="Arial Narrow" w:eastAsia="Times New Roman" w:hAnsi="Arial Narrow"/>
                <w:sz w:val="16"/>
                <w:szCs w:val="16"/>
              </w:rPr>
              <w:t>798</w:t>
            </w:r>
            <w:r w:rsidR="00A5540F" w:rsidRPr="00C12274">
              <w:rPr>
                <w:rFonts w:ascii="Arial Narrow" w:eastAsia="Times New Roman" w:hAnsi="Arial Narrow"/>
                <w:sz w:val="16"/>
                <w:szCs w:val="16"/>
              </w:rPr>
              <w:br/>
              <w:t>(</w:t>
            </w:r>
            <w:r>
              <w:rPr>
                <w:rFonts w:ascii="Arial Narrow" w:eastAsia="Times New Roman" w:hAnsi="Arial Narrow"/>
                <w:sz w:val="16"/>
                <w:szCs w:val="16"/>
              </w:rPr>
              <w:t>6</w:t>
            </w:r>
            <w:r w:rsidR="00A5540F" w:rsidRPr="00C12274">
              <w:rPr>
                <w:rFonts w:ascii="Arial Narrow" w:eastAsia="Times New Roman" w:hAnsi="Arial Narrow"/>
                <w:sz w:val="16"/>
                <w:szCs w:val="16"/>
              </w:rPr>
              <w:t xml:space="preserve"> RCTs)</w:t>
            </w:r>
          </w:p>
        </w:tc>
        <w:tc>
          <w:tcPr>
            <w:tcW w:w="756" w:type="pct"/>
            <w:tcBorders>
              <w:top w:val="single" w:sz="6" w:space="0" w:color="000000"/>
              <w:left w:val="nil"/>
              <w:bottom w:val="single" w:sz="6" w:space="0" w:color="000000"/>
              <w:right w:val="nil"/>
            </w:tcBorders>
            <w:vAlign w:val="center"/>
          </w:tcPr>
          <w:p w14:paraId="61932D82" w14:textId="77777777" w:rsidR="00A5540F" w:rsidRPr="00C12274" w:rsidRDefault="00A5540F" w:rsidP="00A5540F">
            <w:pPr>
              <w:jc w:val="center"/>
              <w:rPr>
                <w:rStyle w:val="quality-sign"/>
                <w:rFonts w:ascii="Cambria" w:eastAsia="Cambria" w:hAnsi="Cambria" w:cs="Cambria"/>
                <w:sz w:val="21"/>
                <w:szCs w:val="21"/>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 xml:space="preserve">MODERATE </w:t>
            </w:r>
            <w:r w:rsidRPr="000E6DB1">
              <w:rPr>
                <w:rStyle w:val="quality-text"/>
                <w:rFonts w:ascii="Arial Narrow" w:eastAsia="Times New Roman" w:hAnsi="Arial Narrow"/>
                <w:sz w:val="16"/>
                <w:szCs w:val="16"/>
                <w:vertAlign w:val="superscript"/>
              </w:rPr>
              <w:t>a</w:t>
            </w:r>
          </w:p>
        </w:tc>
      </w:tr>
      <w:tr w:rsidR="005A5A6D" w:rsidRPr="00C12274" w14:paraId="1463D68A" w14:textId="77777777" w:rsidTr="00A5540F">
        <w:trPr>
          <w:cantSplit/>
        </w:trPr>
        <w:tc>
          <w:tcPr>
            <w:tcW w:w="677" w:type="pct"/>
            <w:tcBorders>
              <w:top w:val="single" w:sz="6" w:space="0" w:color="000000"/>
              <w:left w:val="nil"/>
              <w:bottom w:val="single" w:sz="6" w:space="0" w:color="000000"/>
              <w:right w:val="nil"/>
            </w:tcBorders>
            <w:vAlign w:val="center"/>
          </w:tcPr>
          <w:p w14:paraId="7121AB78" w14:textId="552A33EA" w:rsidR="005A5A6D" w:rsidRPr="00C12274" w:rsidRDefault="005A5A6D" w:rsidP="00A5540F">
            <w:pPr>
              <w:jc w:val="center"/>
              <w:rPr>
                <w:rStyle w:val="label"/>
                <w:rFonts w:ascii="Arial Narrow" w:eastAsia="Times New Roman" w:hAnsi="Arial Narrow"/>
                <w:szCs w:val="18"/>
              </w:rPr>
            </w:pPr>
            <w:r>
              <w:rPr>
                <w:rStyle w:val="label"/>
                <w:rFonts w:ascii="Arial Narrow" w:eastAsia="Times New Roman" w:hAnsi="Arial Narrow"/>
                <w:szCs w:val="18"/>
              </w:rPr>
              <w:t>Postnatal depression</w:t>
            </w:r>
          </w:p>
        </w:tc>
        <w:tc>
          <w:tcPr>
            <w:tcW w:w="738" w:type="pct"/>
            <w:tcBorders>
              <w:top w:val="single" w:sz="6" w:space="0" w:color="000000"/>
              <w:left w:val="nil"/>
              <w:bottom w:val="single" w:sz="6" w:space="0" w:color="000000"/>
              <w:right w:val="nil"/>
            </w:tcBorders>
            <w:vAlign w:val="center"/>
          </w:tcPr>
          <w:p w14:paraId="33BC2177" w14:textId="4F16724C" w:rsidR="005A5A6D" w:rsidRPr="00C12274" w:rsidRDefault="005A5A6D" w:rsidP="00A5540F">
            <w:pPr>
              <w:rPr>
                <w:rFonts w:ascii="Arial Narrow" w:eastAsia="Times New Roman" w:hAnsi="Arial Narrow"/>
                <w:sz w:val="16"/>
                <w:szCs w:val="16"/>
              </w:rPr>
            </w:pPr>
            <w:r>
              <w:rPr>
                <w:rFonts w:ascii="Arial Narrow" w:eastAsia="Times New Roman" w:hAnsi="Arial Narrow"/>
                <w:sz w:val="16"/>
                <w:szCs w:val="16"/>
              </w:rPr>
              <w:t>114 per 1,000</w:t>
            </w:r>
          </w:p>
        </w:tc>
        <w:tc>
          <w:tcPr>
            <w:tcW w:w="1257" w:type="pct"/>
            <w:tcBorders>
              <w:top w:val="single" w:sz="6" w:space="0" w:color="000000"/>
              <w:left w:val="nil"/>
              <w:bottom w:val="single" w:sz="6" w:space="0" w:color="000000"/>
              <w:right w:val="nil"/>
            </w:tcBorders>
            <w:shd w:val="clear" w:color="auto" w:fill="EBEBEB"/>
          </w:tcPr>
          <w:p w14:paraId="535CAA45" w14:textId="60DA9C12" w:rsidR="005A5A6D" w:rsidRPr="00C12274" w:rsidDel="005A5A6D" w:rsidRDefault="005A5A6D" w:rsidP="005A5A6D">
            <w:pPr>
              <w:jc w:val="center"/>
              <w:rPr>
                <w:rStyle w:val="cell-value"/>
                <w:rFonts w:ascii="Arial Narrow" w:eastAsia="Times New Roman" w:hAnsi="Arial Narrow"/>
                <w:b/>
                <w:bCs/>
                <w:szCs w:val="18"/>
              </w:rPr>
            </w:pPr>
            <w:r>
              <w:rPr>
                <w:rStyle w:val="cell-value"/>
                <w:rFonts w:ascii="Arial Narrow" w:eastAsia="Times New Roman" w:hAnsi="Arial Narrow"/>
                <w:b/>
                <w:bCs/>
                <w:szCs w:val="18"/>
              </w:rPr>
              <w:t>53 per 1,000</w:t>
            </w:r>
            <w:r>
              <w:rPr>
                <w:rStyle w:val="cell-value"/>
                <w:rFonts w:ascii="Arial Narrow" w:eastAsia="Times New Roman" w:hAnsi="Arial Narrow"/>
                <w:b/>
                <w:bCs/>
                <w:szCs w:val="18"/>
              </w:rPr>
              <w:br/>
            </w:r>
            <w:r w:rsidRPr="008E1F6E">
              <w:rPr>
                <w:rStyle w:val="cell-value"/>
                <w:rFonts w:ascii="Arial Narrow" w:eastAsia="Times New Roman" w:hAnsi="Arial Narrow"/>
                <w:bCs/>
                <w:szCs w:val="18"/>
              </w:rPr>
              <w:t>(39 to 74)</w:t>
            </w:r>
          </w:p>
        </w:tc>
        <w:tc>
          <w:tcPr>
            <w:tcW w:w="787" w:type="pct"/>
            <w:tcBorders>
              <w:top w:val="single" w:sz="6" w:space="0" w:color="000000"/>
              <w:left w:val="nil"/>
              <w:bottom w:val="single" w:sz="6" w:space="0" w:color="000000"/>
              <w:right w:val="nil"/>
            </w:tcBorders>
            <w:vAlign w:val="center"/>
          </w:tcPr>
          <w:p w14:paraId="24FD0351" w14:textId="15BE05C1" w:rsidR="005A5A6D" w:rsidRPr="00C12274" w:rsidRDefault="005A5A6D" w:rsidP="00A5540F">
            <w:pPr>
              <w:jc w:val="center"/>
              <w:rPr>
                <w:rStyle w:val="block"/>
                <w:rFonts w:ascii="Arial Narrow" w:eastAsia="Times New Roman" w:hAnsi="Arial Narrow"/>
                <w:b/>
                <w:bCs/>
                <w:sz w:val="16"/>
                <w:szCs w:val="16"/>
              </w:rPr>
            </w:pPr>
            <w:r>
              <w:rPr>
                <w:rStyle w:val="block"/>
                <w:rFonts w:ascii="Arial Narrow" w:eastAsia="Times New Roman" w:hAnsi="Arial Narrow"/>
                <w:b/>
                <w:bCs/>
                <w:sz w:val="16"/>
                <w:szCs w:val="16"/>
              </w:rPr>
              <w:t>RR 0.47</w:t>
            </w:r>
            <w:r>
              <w:rPr>
                <w:rStyle w:val="block"/>
                <w:rFonts w:ascii="Arial Narrow" w:eastAsia="Times New Roman" w:hAnsi="Arial Narrow"/>
                <w:b/>
                <w:bCs/>
                <w:sz w:val="16"/>
                <w:szCs w:val="16"/>
              </w:rPr>
              <w:br/>
            </w:r>
            <w:r w:rsidRPr="008E1F6E">
              <w:rPr>
                <w:rStyle w:val="block"/>
                <w:rFonts w:ascii="Arial Narrow" w:eastAsia="Times New Roman" w:hAnsi="Arial Narrow"/>
                <w:bCs/>
                <w:sz w:val="16"/>
                <w:szCs w:val="16"/>
              </w:rPr>
              <w:t>(0.34 to 0.65)</w:t>
            </w:r>
          </w:p>
        </w:tc>
        <w:tc>
          <w:tcPr>
            <w:tcW w:w="785" w:type="pct"/>
            <w:tcBorders>
              <w:top w:val="single" w:sz="6" w:space="0" w:color="000000"/>
              <w:left w:val="nil"/>
              <w:bottom w:val="single" w:sz="6" w:space="0" w:color="000000"/>
              <w:right w:val="nil"/>
            </w:tcBorders>
            <w:vAlign w:val="center"/>
          </w:tcPr>
          <w:p w14:paraId="197503A2" w14:textId="3DA543B1" w:rsidR="005A5A6D" w:rsidRPr="00C12274" w:rsidDel="0001637A" w:rsidRDefault="005A5A6D" w:rsidP="00A5540F">
            <w:pPr>
              <w:jc w:val="center"/>
              <w:rPr>
                <w:rFonts w:ascii="Arial Narrow" w:eastAsia="Times New Roman" w:hAnsi="Arial Narrow"/>
                <w:sz w:val="16"/>
                <w:szCs w:val="16"/>
              </w:rPr>
            </w:pPr>
            <w:r>
              <w:rPr>
                <w:rFonts w:ascii="Arial Narrow" w:eastAsia="Times New Roman" w:hAnsi="Arial Narrow"/>
                <w:sz w:val="16"/>
                <w:szCs w:val="16"/>
              </w:rPr>
              <w:t>1,613</w:t>
            </w:r>
            <w:r>
              <w:rPr>
                <w:rFonts w:ascii="Arial Narrow" w:eastAsia="Times New Roman" w:hAnsi="Arial Narrow"/>
                <w:sz w:val="16"/>
                <w:szCs w:val="16"/>
              </w:rPr>
              <w:br/>
              <w:t>(5 RCTs)</w:t>
            </w:r>
          </w:p>
        </w:tc>
        <w:tc>
          <w:tcPr>
            <w:tcW w:w="756" w:type="pct"/>
            <w:tcBorders>
              <w:top w:val="single" w:sz="6" w:space="0" w:color="000000"/>
              <w:left w:val="nil"/>
              <w:bottom w:val="single" w:sz="6" w:space="0" w:color="000000"/>
              <w:right w:val="nil"/>
            </w:tcBorders>
            <w:vAlign w:val="center"/>
          </w:tcPr>
          <w:p w14:paraId="39192316" w14:textId="49D468A7" w:rsidR="005A5A6D" w:rsidRPr="00C12274" w:rsidRDefault="005A5A6D" w:rsidP="00A5540F">
            <w:pPr>
              <w:jc w:val="center"/>
              <w:rPr>
                <w:rStyle w:val="quality-sign"/>
                <w:rFonts w:ascii="Cambria" w:eastAsia="Cambria" w:hAnsi="Cambria" w:cs="Cambria"/>
                <w:sz w:val="21"/>
                <w:szCs w:val="21"/>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Pr>
                <w:rStyle w:val="quality-text"/>
                <w:rFonts w:ascii="Arial Narrow" w:eastAsia="Times New Roman" w:hAnsi="Arial Narrow"/>
                <w:sz w:val="16"/>
                <w:szCs w:val="16"/>
              </w:rPr>
              <w:t xml:space="preserve">MODERATE </w:t>
            </w:r>
            <w:r w:rsidRPr="000E6DB1">
              <w:rPr>
                <w:rStyle w:val="quality-text"/>
                <w:rFonts w:ascii="Arial Narrow" w:eastAsia="Times New Roman" w:hAnsi="Arial Narrow"/>
                <w:sz w:val="16"/>
                <w:szCs w:val="16"/>
                <w:vertAlign w:val="superscript"/>
              </w:rPr>
              <w:t>a</w:t>
            </w:r>
          </w:p>
        </w:tc>
      </w:tr>
      <w:tr w:rsidR="00A5540F" w:rsidRPr="00C12274" w14:paraId="2A3B7F69" w14:textId="77777777" w:rsidTr="00A5540F">
        <w:trPr>
          <w:cantSplit/>
        </w:trPr>
        <w:tc>
          <w:tcPr>
            <w:tcW w:w="5000" w:type="pct"/>
            <w:gridSpan w:val="6"/>
            <w:tcBorders>
              <w:top w:val="single" w:sz="6" w:space="0" w:color="000000"/>
              <w:left w:val="nil"/>
              <w:bottom w:val="single" w:sz="6" w:space="0" w:color="000000"/>
              <w:right w:val="nil"/>
            </w:tcBorders>
            <w:vAlign w:val="center"/>
            <w:hideMark/>
          </w:tcPr>
          <w:p w14:paraId="19FA1670" w14:textId="77777777" w:rsidR="00A5540F" w:rsidRPr="00C12274" w:rsidRDefault="00A5540F" w:rsidP="00A5540F">
            <w:pPr>
              <w:spacing w:before="20" w:after="20" w:line="240" w:lineRule="exact"/>
              <w:rPr>
                <w:rFonts w:ascii="Arial Narrow" w:eastAsia="Times New Roman" w:hAnsi="Arial Narrow"/>
                <w:sz w:val="16"/>
                <w:szCs w:val="16"/>
              </w:rPr>
            </w:pPr>
            <w:r w:rsidRPr="00C12274">
              <w:rPr>
                <w:rFonts w:ascii="Arial Narrow" w:eastAsia="Times New Roman" w:hAnsi="Arial Narrow"/>
                <w:sz w:val="16"/>
                <w:szCs w:val="16"/>
              </w:rPr>
              <w:t>*</w:t>
            </w:r>
            <w:r w:rsidRPr="00C12274">
              <w:rPr>
                <w:rFonts w:ascii="Arial Narrow" w:eastAsia="Times New Roman" w:hAnsi="Arial Narrow"/>
                <w:b/>
                <w:bCs/>
                <w:sz w:val="16"/>
                <w:szCs w:val="16"/>
              </w:rPr>
              <w:t>The risk in the intervention group</w:t>
            </w:r>
            <w:r w:rsidRPr="00C12274">
              <w:rPr>
                <w:rFonts w:ascii="Arial Narrow" w:eastAsia="Times New Roman" w:hAnsi="Arial Narrow"/>
                <w:sz w:val="16"/>
                <w:szCs w:val="16"/>
              </w:rPr>
              <w:t xml:space="preserve"> (and its 95% confidence interval) is based on the assumed risk in the comparison group and the </w:t>
            </w:r>
            <w:r w:rsidRPr="00C12274">
              <w:rPr>
                <w:rFonts w:ascii="Arial Narrow" w:eastAsia="Times New Roman" w:hAnsi="Arial Narrow"/>
                <w:b/>
                <w:bCs/>
                <w:sz w:val="16"/>
                <w:szCs w:val="16"/>
              </w:rPr>
              <w:t>relative effect</w:t>
            </w:r>
            <w:r w:rsidRPr="00C12274">
              <w:rPr>
                <w:rFonts w:ascii="Arial Narrow" w:eastAsia="Times New Roman" w:hAnsi="Arial Narrow"/>
                <w:sz w:val="16"/>
                <w:szCs w:val="16"/>
              </w:rPr>
              <w:t xml:space="preserve"> of the intervention (and its 95% CI). </w:t>
            </w:r>
            <w:r w:rsidRPr="00C12274">
              <w:rPr>
                <w:rFonts w:ascii="Arial Narrow" w:eastAsia="Times New Roman" w:hAnsi="Arial Narrow"/>
                <w:sz w:val="16"/>
                <w:szCs w:val="16"/>
              </w:rPr>
              <w:br/>
            </w:r>
            <w:r w:rsidRPr="00C12274">
              <w:rPr>
                <w:rFonts w:ascii="Arial Narrow" w:eastAsia="Times New Roman" w:hAnsi="Arial Narrow"/>
                <w:b/>
                <w:bCs/>
                <w:sz w:val="16"/>
                <w:szCs w:val="16"/>
              </w:rPr>
              <w:t>CI:</w:t>
            </w:r>
            <w:r w:rsidRPr="00C12274">
              <w:rPr>
                <w:rFonts w:ascii="Arial Narrow" w:eastAsia="Times New Roman" w:hAnsi="Arial Narrow"/>
                <w:sz w:val="16"/>
                <w:szCs w:val="16"/>
              </w:rPr>
              <w:t xml:space="preserve"> Confidence interval; </w:t>
            </w:r>
            <w:r w:rsidRPr="00C12274">
              <w:rPr>
                <w:rFonts w:ascii="Arial Narrow" w:eastAsia="Times New Roman" w:hAnsi="Arial Narrow"/>
                <w:b/>
                <w:bCs/>
                <w:sz w:val="16"/>
                <w:szCs w:val="16"/>
              </w:rPr>
              <w:t>MD:</w:t>
            </w:r>
            <w:r w:rsidRPr="00C12274">
              <w:rPr>
                <w:rFonts w:ascii="Arial Narrow" w:eastAsia="Times New Roman" w:hAnsi="Arial Narrow"/>
                <w:sz w:val="16"/>
                <w:szCs w:val="16"/>
              </w:rPr>
              <w:t xml:space="preserve"> Mean difference; </w:t>
            </w:r>
            <w:r w:rsidRPr="00C12274">
              <w:rPr>
                <w:rFonts w:ascii="Arial Narrow" w:eastAsia="Times New Roman" w:hAnsi="Arial Narrow"/>
                <w:b/>
                <w:bCs/>
                <w:sz w:val="16"/>
                <w:szCs w:val="16"/>
              </w:rPr>
              <w:t>RR:</w:t>
            </w:r>
            <w:r w:rsidRPr="00C12274">
              <w:rPr>
                <w:rFonts w:ascii="Arial Narrow" w:eastAsia="Times New Roman" w:hAnsi="Arial Narrow"/>
                <w:sz w:val="16"/>
                <w:szCs w:val="16"/>
              </w:rPr>
              <w:t xml:space="preserve"> Risk ratio </w:t>
            </w:r>
          </w:p>
        </w:tc>
      </w:tr>
      <w:tr w:rsidR="00A5540F" w:rsidRPr="00C12274" w14:paraId="064F6E33" w14:textId="77777777" w:rsidTr="00A5540F">
        <w:trPr>
          <w:cantSplit/>
        </w:trPr>
        <w:tc>
          <w:tcPr>
            <w:tcW w:w="5000" w:type="pct"/>
            <w:gridSpan w:val="6"/>
            <w:tcBorders>
              <w:top w:val="single" w:sz="6" w:space="0" w:color="000000"/>
              <w:left w:val="nil"/>
              <w:bottom w:val="single" w:sz="6" w:space="0" w:color="000000"/>
              <w:right w:val="nil"/>
            </w:tcBorders>
            <w:vAlign w:val="center"/>
            <w:hideMark/>
          </w:tcPr>
          <w:p w14:paraId="4793A5E0"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GRADE Working Group grades of evidence</w:t>
            </w:r>
            <w:r w:rsidRPr="00C12274">
              <w:rPr>
                <w:rFonts w:ascii="Arial Narrow" w:eastAsia="Times New Roman" w:hAnsi="Arial Narrow"/>
                <w:sz w:val="16"/>
                <w:szCs w:val="16"/>
              </w:rPr>
              <w:br/>
            </w:r>
            <w:r w:rsidRPr="00C12274">
              <w:rPr>
                <w:rFonts w:ascii="Arial Narrow" w:eastAsia="Times New Roman" w:hAnsi="Arial Narrow"/>
                <w:b/>
                <w:bCs/>
                <w:sz w:val="16"/>
                <w:szCs w:val="16"/>
              </w:rPr>
              <w:t>High certainty:</w:t>
            </w:r>
            <w:r w:rsidRPr="00C12274">
              <w:rPr>
                <w:rFonts w:ascii="Arial Narrow" w:eastAsia="Times New Roman" w:hAnsi="Arial Narrow"/>
                <w:sz w:val="16"/>
                <w:szCs w:val="16"/>
              </w:rPr>
              <w:t xml:space="preserve"> We are very confident that the true effect lies close to that of the estimate of the effect</w:t>
            </w:r>
            <w:r w:rsidRPr="00C12274">
              <w:rPr>
                <w:rFonts w:ascii="Arial Narrow" w:eastAsia="Times New Roman" w:hAnsi="Arial Narrow"/>
                <w:sz w:val="16"/>
                <w:szCs w:val="16"/>
              </w:rPr>
              <w:br/>
            </w:r>
            <w:r w:rsidRPr="00C12274">
              <w:rPr>
                <w:rFonts w:ascii="Arial Narrow" w:eastAsia="Times New Roman" w:hAnsi="Arial Narrow"/>
                <w:b/>
                <w:bCs/>
                <w:sz w:val="16"/>
                <w:szCs w:val="16"/>
              </w:rPr>
              <w:t>Moderate certainty:</w:t>
            </w:r>
            <w:r w:rsidRPr="00C12274">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C12274">
              <w:rPr>
                <w:rFonts w:ascii="Arial Narrow" w:eastAsia="Times New Roman" w:hAnsi="Arial Narrow"/>
                <w:sz w:val="16"/>
                <w:szCs w:val="16"/>
              </w:rPr>
              <w:br/>
            </w:r>
            <w:r w:rsidRPr="00C12274">
              <w:rPr>
                <w:rFonts w:ascii="Arial Narrow" w:eastAsia="Times New Roman" w:hAnsi="Arial Narrow"/>
                <w:b/>
                <w:bCs/>
                <w:sz w:val="16"/>
                <w:szCs w:val="16"/>
              </w:rPr>
              <w:t>Low certainty:</w:t>
            </w:r>
            <w:r w:rsidRPr="00C12274">
              <w:rPr>
                <w:rFonts w:ascii="Arial Narrow" w:eastAsia="Times New Roman" w:hAnsi="Arial Narrow"/>
                <w:sz w:val="16"/>
                <w:szCs w:val="16"/>
              </w:rPr>
              <w:t xml:space="preserve"> Our confidence in the effect estimate is limited: The true effect may be substantially different from the estimate of the effect</w:t>
            </w:r>
            <w:r w:rsidRPr="00C12274">
              <w:rPr>
                <w:rFonts w:ascii="Arial Narrow" w:eastAsia="Times New Roman" w:hAnsi="Arial Narrow"/>
                <w:sz w:val="16"/>
                <w:szCs w:val="16"/>
              </w:rPr>
              <w:br/>
            </w:r>
            <w:r w:rsidRPr="00C12274">
              <w:rPr>
                <w:rFonts w:ascii="Arial Narrow" w:eastAsia="Times New Roman" w:hAnsi="Arial Narrow"/>
                <w:b/>
                <w:bCs/>
                <w:sz w:val="16"/>
                <w:szCs w:val="16"/>
              </w:rPr>
              <w:t>Very low certainty:</w:t>
            </w:r>
            <w:r w:rsidRPr="00C12274">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30435C9E" w14:textId="77777777" w:rsidR="00A5540F" w:rsidRDefault="00A5540F" w:rsidP="00A5540F">
      <w:pPr>
        <w:spacing w:before="20" w:after="20" w:line="240" w:lineRule="auto"/>
        <w:rPr>
          <w:rFonts w:ascii="Arial Narrow" w:eastAsia="Times New Roman" w:hAnsi="Arial Narrow"/>
          <w:color w:val="000000"/>
          <w:sz w:val="16"/>
          <w:szCs w:val="16"/>
        </w:rPr>
      </w:pPr>
      <w:r w:rsidRPr="00C12274">
        <w:rPr>
          <w:rFonts w:ascii="Arial Narrow" w:eastAsia="Times New Roman" w:hAnsi="Arial Narrow"/>
          <w:color w:val="000000"/>
          <w:sz w:val="16"/>
          <w:szCs w:val="16"/>
        </w:rPr>
        <w:t xml:space="preserve">a. </w:t>
      </w:r>
      <w:r>
        <w:rPr>
          <w:rFonts w:ascii="Arial Narrow" w:eastAsia="Times New Roman" w:hAnsi="Arial Narrow"/>
          <w:color w:val="000000"/>
          <w:sz w:val="16"/>
          <w:szCs w:val="16"/>
        </w:rPr>
        <w:t>High or unclear risk of performance bias in all studies</w:t>
      </w:r>
    </w:p>
    <w:p w14:paraId="2344D4D2" w14:textId="77777777" w:rsidR="00A5540F" w:rsidRPr="00C12274" w:rsidRDefault="00A5540F" w:rsidP="00A5540F">
      <w:pPr>
        <w:spacing w:before="20" w:after="20" w:line="240" w:lineRule="auto"/>
        <w:rPr>
          <w:rFonts w:ascii="Arial Narrow" w:eastAsia="Times New Roman" w:hAnsi="Arial Narrow"/>
          <w:color w:val="000000"/>
          <w:sz w:val="16"/>
          <w:szCs w:val="16"/>
        </w:rPr>
      </w:pPr>
      <w:r w:rsidRPr="00C12274">
        <w:rPr>
          <w:rFonts w:ascii="Arial Narrow" w:eastAsia="Times New Roman" w:hAnsi="Arial Narrow"/>
          <w:color w:val="000000"/>
          <w:sz w:val="16"/>
          <w:szCs w:val="16"/>
        </w:rPr>
        <w:t xml:space="preserve">b. Moderate heterogeneity </w:t>
      </w:r>
    </w:p>
    <w:p w14:paraId="22A53157" w14:textId="77777777" w:rsidR="00A5540F" w:rsidRPr="00C12274" w:rsidRDefault="00A5540F" w:rsidP="00A5540F">
      <w:pPr>
        <w:spacing w:before="20" w:after="20" w:line="240" w:lineRule="auto"/>
        <w:rPr>
          <w:rFonts w:ascii="Arial Narrow" w:eastAsia="Times New Roman" w:hAnsi="Arial Narrow"/>
          <w:color w:val="000000"/>
          <w:sz w:val="16"/>
          <w:szCs w:val="16"/>
        </w:rPr>
      </w:pPr>
    </w:p>
    <w:tbl>
      <w:tblPr>
        <w:tblW w:w="5000" w:type="pct"/>
        <w:tblCellMar>
          <w:top w:w="100" w:type="dxa"/>
          <w:left w:w="100" w:type="dxa"/>
          <w:bottom w:w="100" w:type="dxa"/>
          <w:right w:w="100" w:type="dxa"/>
        </w:tblCellMar>
        <w:tblLook w:val="04A0" w:firstRow="1" w:lastRow="0" w:firstColumn="1" w:lastColumn="0" w:noHBand="0" w:noVBand="1"/>
      </w:tblPr>
      <w:tblGrid>
        <w:gridCol w:w="1036"/>
        <w:gridCol w:w="1112"/>
        <w:gridCol w:w="2220"/>
        <w:gridCol w:w="1458"/>
        <w:gridCol w:w="1456"/>
        <w:gridCol w:w="1983"/>
      </w:tblGrid>
      <w:tr w:rsidR="00A5540F" w:rsidRPr="00C12274" w14:paraId="00CD7179" w14:textId="77777777" w:rsidTr="00A5540F">
        <w:trPr>
          <w:cantSplit/>
          <w:tblHeader/>
        </w:trPr>
        <w:tc>
          <w:tcPr>
            <w:tcW w:w="5000" w:type="pct"/>
            <w:gridSpan w:val="6"/>
            <w:tcBorders>
              <w:top w:val="single" w:sz="12" w:space="0" w:color="000000"/>
              <w:left w:val="nil"/>
              <w:bottom w:val="single" w:sz="12" w:space="0" w:color="000000"/>
              <w:right w:val="nil"/>
            </w:tcBorders>
            <w:vAlign w:val="center"/>
            <w:hideMark/>
          </w:tcPr>
          <w:p w14:paraId="3662A129" w14:textId="77777777" w:rsidR="00A5540F" w:rsidRPr="00C12274" w:rsidRDefault="00A5540F" w:rsidP="00A5540F">
            <w:pPr>
              <w:pStyle w:val="Heading5"/>
            </w:pPr>
            <w:r>
              <w:t>E</w:t>
            </w:r>
            <w:r w:rsidRPr="00C12274">
              <w:t>xercise intervention</w:t>
            </w:r>
            <w:r>
              <w:t>s</w:t>
            </w:r>
            <w:r w:rsidRPr="00C12274">
              <w:t xml:space="preserve"> compared to </w:t>
            </w:r>
            <w:r>
              <w:t>usual</w:t>
            </w:r>
            <w:r w:rsidRPr="00C12274">
              <w:t xml:space="preserve"> care in pregnancy — infant outcomes</w:t>
            </w:r>
          </w:p>
        </w:tc>
      </w:tr>
      <w:tr w:rsidR="00A5540F" w:rsidRPr="00C12274" w14:paraId="01990D38" w14:textId="77777777" w:rsidTr="00A5540F">
        <w:trPr>
          <w:cantSplit/>
          <w:tblHeader/>
        </w:trPr>
        <w:tc>
          <w:tcPr>
            <w:tcW w:w="5000" w:type="pct"/>
            <w:gridSpan w:val="6"/>
            <w:tcBorders>
              <w:top w:val="single" w:sz="12" w:space="0" w:color="000000"/>
              <w:left w:val="nil"/>
              <w:bottom w:val="single" w:sz="12" w:space="0" w:color="000000"/>
              <w:right w:val="nil"/>
            </w:tcBorders>
            <w:vAlign w:val="center"/>
            <w:hideMark/>
          </w:tcPr>
          <w:p w14:paraId="6486DEAF"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Patient or population</w:t>
            </w:r>
            <w:r w:rsidRPr="00C12274">
              <w:rPr>
                <w:rFonts w:ascii="Arial Narrow" w:eastAsia="Times New Roman" w:hAnsi="Arial Narrow"/>
                <w:sz w:val="16"/>
                <w:szCs w:val="16"/>
              </w:rPr>
              <w:t xml:space="preserve">: Pregnant women with low or high risk pregnancies </w:t>
            </w:r>
          </w:p>
          <w:p w14:paraId="2519D477"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Setting</w:t>
            </w:r>
            <w:r w:rsidRPr="00C12274">
              <w:rPr>
                <w:rFonts w:ascii="Arial Narrow" w:eastAsia="Times New Roman" w:hAnsi="Arial Narrow"/>
                <w:sz w:val="16"/>
                <w:szCs w:val="16"/>
              </w:rPr>
              <w:t>: Argentina, Australia, Austria, Belgium, Brazil, Canada, China, Colombia, Denmark, Iran, Ireland, Italy, Japan, Kosovo, Poland, Netherlands, New Zealand, Norway, Spain, Sweden, United Kingdom, United States</w:t>
            </w:r>
          </w:p>
          <w:p w14:paraId="6AF8A5F4"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Intervention</w:t>
            </w:r>
            <w:r w:rsidRPr="00C12274">
              <w:rPr>
                <w:rFonts w:ascii="Arial Narrow" w:eastAsia="Times New Roman" w:hAnsi="Arial Narrow"/>
                <w:sz w:val="16"/>
                <w:szCs w:val="16"/>
              </w:rPr>
              <w:t xml:space="preserve">: </w:t>
            </w:r>
            <w:r>
              <w:rPr>
                <w:rFonts w:ascii="Arial Narrow" w:eastAsia="Times New Roman" w:hAnsi="Arial Narrow"/>
                <w:sz w:val="16"/>
                <w:szCs w:val="16"/>
              </w:rPr>
              <w:t>E</w:t>
            </w:r>
            <w:r w:rsidRPr="00C12274">
              <w:rPr>
                <w:rFonts w:ascii="Arial Narrow" w:eastAsia="Times New Roman" w:hAnsi="Arial Narrow"/>
                <w:sz w:val="16"/>
                <w:szCs w:val="16"/>
              </w:rPr>
              <w:t xml:space="preserve">xercise intervention </w:t>
            </w:r>
          </w:p>
          <w:p w14:paraId="600381D7"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Comparison</w:t>
            </w:r>
            <w:r w:rsidRPr="00C12274">
              <w:rPr>
                <w:rFonts w:ascii="Arial Narrow" w:eastAsia="Times New Roman" w:hAnsi="Arial Narrow"/>
                <w:sz w:val="16"/>
                <w:szCs w:val="16"/>
              </w:rPr>
              <w:t xml:space="preserve">: </w:t>
            </w:r>
            <w:r>
              <w:rPr>
                <w:rFonts w:ascii="Arial Narrow" w:eastAsia="Times New Roman" w:hAnsi="Arial Narrow"/>
                <w:sz w:val="16"/>
                <w:szCs w:val="16"/>
              </w:rPr>
              <w:t>Usual</w:t>
            </w:r>
            <w:r w:rsidRPr="00C12274">
              <w:rPr>
                <w:rFonts w:ascii="Arial Narrow" w:eastAsia="Times New Roman" w:hAnsi="Arial Narrow"/>
                <w:sz w:val="16"/>
                <w:szCs w:val="16"/>
              </w:rPr>
              <w:t xml:space="preserve"> care </w:t>
            </w:r>
          </w:p>
        </w:tc>
      </w:tr>
      <w:tr w:rsidR="00A5540F" w:rsidRPr="00C12274" w14:paraId="46FC2B61" w14:textId="77777777" w:rsidTr="00A5540F">
        <w:trPr>
          <w:cantSplit/>
          <w:tblHeader/>
        </w:trPr>
        <w:tc>
          <w:tcPr>
            <w:tcW w:w="559" w:type="pct"/>
            <w:vMerge w:val="restart"/>
            <w:tcBorders>
              <w:right w:val="single" w:sz="6" w:space="0" w:color="EFEFEF"/>
            </w:tcBorders>
            <w:shd w:val="clear" w:color="auto" w:fill="3271AA"/>
            <w:vAlign w:val="center"/>
            <w:hideMark/>
          </w:tcPr>
          <w:p w14:paraId="679CD756"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Outcomes</w:t>
            </w:r>
          </w:p>
        </w:tc>
        <w:tc>
          <w:tcPr>
            <w:tcW w:w="1798" w:type="pct"/>
            <w:gridSpan w:val="2"/>
            <w:tcBorders>
              <w:top w:val="single" w:sz="6" w:space="0" w:color="EFEFEF"/>
              <w:right w:val="single" w:sz="6" w:space="0" w:color="EFEFEF"/>
            </w:tcBorders>
            <w:shd w:val="clear" w:color="auto" w:fill="E0E0E0"/>
            <w:hideMark/>
          </w:tcPr>
          <w:p w14:paraId="06FDEEB7" w14:textId="77777777" w:rsidR="00A5540F" w:rsidRPr="00C12274" w:rsidRDefault="00A5540F" w:rsidP="00A5540F">
            <w:pPr>
              <w:pStyle w:val="NormalWeb"/>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Anticipated absolute effects</w:t>
            </w:r>
            <w:r w:rsidRPr="00C12274">
              <w:rPr>
                <w:rFonts w:ascii="Arial Narrow" w:hAnsi="Arial Narrow"/>
                <w:b/>
                <w:bCs/>
                <w:sz w:val="16"/>
                <w:szCs w:val="16"/>
                <w:vertAlign w:val="superscript"/>
              </w:rPr>
              <w:t>*</w:t>
            </w:r>
            <w:r w:rsidRPr="00C12274">
              <w:rPr>
                <w:rFonts w:ascii="Arial Narrow" w:hAnsi="Arial Narrow"/>
                <w:b/>
                <w:bCs/>
                <w:sz w:val="16"/>
                <w:szCs w:val="16"/>
              </w:rPr>
              <w:t xml:space="preserve"> </w:t>
            </w:r>
            <w:r w:rsidRPr="00C12274">
              <w:rPr>
                <w:rFonts w:ascii="Arial Narrow" w:hAnsi="Arial Narrow"/>
                <w:sz w:val="16"/>
                <w:szCs w:val="16"/>
              </w:rPr>
              <w:t>(95% CI)</w:t>
            </w:r>
            <w:r w:rsidRPr="00C12274">
              <w:rPr>
                <w:rFonts w:ascii="Arial Narrow" w:hAnsi="Arial Narrow"/>
                <w:b/>
                <w:bCs/>
                <w:sz w:val="16"/>
                <w:szCs w:val="16"/>
              </w:rPr>
              <w:t xml:space="preserve"> </w:t>
            </w:r>
          </w:p>
        </w:tc>
        <w:tc>
          <w:tcPr>
            <w:tcW w:w="787" w:type="pct"/>
            <w:vMerge w:val="restart"/>
            <w:tcBorders>
              <w:right w:val="single" w:sz="6" w:space="0" w:color="EFEFEF"/>
            </w:tcBorders>
            <w:shd w:val="clear" w:color="auto" w:fill="3271AA"/>
            <w:vAlign w:val="center"/>
            <w:hideMark/>
          </w:tcPr>
          <w:p w14:paraId="56BB93B5"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Relative effect</w:t>
            </w:r>
            <w:r w:rsidRPr="00C12274">
              <w:rPr>
                <w:rFonts w:ascii="Arial Narrow" w:hAnsi="Arial Narrow"/>
                <w:color w:val="FFFFFF"/>
                <w:sz w:val="16"/>
                <w:szCs w:val="16"/>
              </w:rPr>
              <w:br/>
              <w:t xml:space="preserve">(95% CI) </w:t>
            </w:r>
          </w:p>
        </w:tc>
        <w:tc>
          <w:tcPr>
            <w:tcW w:w="786" w:type="pct"/>
            <w:vMerge w:val="restart"/>
            <w:tcBorders>
              <w:right w:val="single" w:sz="6" w:space="0" w:color="EFEFEF"/>
            </w:tcBorders>
            <w:shd w:val="clear" w:color="auto" w:fill="3271AA"/>
            <w:vAlign w:val="center"/>
            <w:hideMark/>
          </w:tcPr>
          <w:p w14:paraId="751E6D8D"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 xml:space="preserve">№ of participants </w:t>
            </w:r>
            <w:r w:rsidRPr="00C12274">
              <w:rPr>
                <w:rFonts w:ascii="Arial Narrow" w:hAnsi="Arial Narrow"/>
                <w:color w:val="FFFFFF"/>
                <w:sz w:val="16"/>
                <w:szCs w:val="16"/>
              </w:rPr>
              <w:br/>
              <w:t xml:space="preserve">(studies) </w:t>
            </w:r>
          </w:p>
        </w:tc>
        <w:tc>
          <w:tcPr>
            <w:tcW w:w="1070" w:type="pct"/>
            <w:vMerge w:val="restart"/>
            <w:tcBorders>
              <w:right w:val="single" w:sz="6" w:space="0" w:color="EFEFEF"/>
            </w:tcBorders>
            <w:shd w:val="clear" w:color="auto" w:fill="3271AA"/>
            <w:vAlign w:val="center"/>
            <w:hideMark/>
          </w:tcPr>
          <w:p w14:paraId="2B5DC285" w14:textId="77777777" w:rsidR="00A5540F" w:rsidRPr="00C12274" w:rsidRDefault="00A5540F" w:rsidP="00A5540F">
            <w:pPr>
              <w:pStyle w:val="NormalWeb"/>
              <w:spacing w:before="0" w:beforeAutospacing="0" w:after="0" w:afterAutospacing="0"/>
              <w:jc w:val="center"/>
              <w:rPr>
                <w:rFonts w:ascii="Arial Narrow" w:hAnsi="Arial Narrow"/>
                <w:color w:val="FFFFFF"/>
                <w:sz w:val="16"/>
                <w:szCs w:val="16"/>
              </w:rPr>
            </w:pPr>
            <w:r w:rsidRPr="00C12274">
              <w:rPr>
                <w:rFonts w:ascii="Arial Narrow" w:hAnsi="Arial Narrow"/>
                <w:color w:val="FFFFFF"/>
                <w:sz w:val="16"/>
                <w:szCs w:val="16"/>
              </w:rPr>
              <w:t>Certainty of the evidence</w:t>
            </w:r>
            <w:r w:rsidRPr="00C12274">
              <w:rPr>
                <w:rFonts w:ascii="Arial Narrow" w:hAnsi="Arial Narrow"/>
                <w:color w:val="FFFFFF"/>
                <w:sz w:val="16"/>
                <w:szCs w:val="16"/>
              </w:rPr>
              <w:br/>
              <w:t xml:space="preserve">(GRADE) </w:t>
            </w:r>
          </w:p>
        </w:tc>
      </w:tr>
      <w:tr w:rsidR="00A5540F" w:rsidRPr="00C12274" w14:paraId="5E6E9A23" w14:textId="77777777" w:rsidTr="00A5540F">
        <w:trPr>
          <w:cantSplit/>
          <w:tblHeader/>
        </w:trPr>
        <w:tc>
          <w:tcPr>
            <w:tcW w:w="559" w:type="pct"/>
            <w:vMerge/>
            <w:tcBorders>
              <w:right w:val="single" w:sz="6" w:space="0" w:color="EFEFEF"/>
            </w:tcBorders>
            <w:vAlign w:val="center"/>
            <w:hideMark/>
          </w:tcPr>
          <w:p w14:paraId="5318F184" w14:textId="77777777" w:rsidR="00A5540F" w:rsidRPr="00C12274" w:rsidRDefault="00A5540F" w:rsidP="00A5540F">
            <w:pPr>
              <w:rPr>
                <w:rFonts w:ascii="Arial Narrow" w:eastAsiaTheme="minorEastAsia" w:hAnsi="Arial Narrow"/>
                <w:color w:val="FFFFFF"/>
                <w:sz w:val="16"/>
                <w:szCs w:val="16"/>
              </w:rPr>
            </w:pPr>
          </w:p>
        </w:tc>
        <w:tc>
          <w:tcPr>
            <w:tcW w:w="600" w:type="pct"/>
            <w:tcBorders>
              <w:top w:val="single" w:sz="6" w:space="0" w:color="EFEFEF"/>
              <w:right w:val="single" w:sz="6" w:space="0" w:color="EFEFEF"/>
            </w:tcBorders>
            <w:shd w:val="clear" w:color="auto" w:fill="E0E0E0"/>
            <w:hideMark/>
          </w:tcPr>
          <w:p w14:paraId="7EF64784" w14:textId="77777777" w:rsidR="00A5540F" w:rsidRPr="00C12274" w:rsidRDefault="00A5540F" w:rsidP="00A5540F">
            <w:pPr>
              <w:pStyle w:val="first-letter"/>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 xml:space="preserve">Risk with </w:t>
            </w:r>
            <w:r>
              <w:rPr>
                <w:rFonts w:ascii="Arial Narrow" w:hAnsi="Arial Narrow"/>
                <w:b/>
                <w:bCs/>
                <w:sz w:val="16"/>
                <w:szCs w:val="16"/>
              </w:rPr>
              <w:t>usual</w:t>
            </w:r>
            <w:r w:rsidRPr="00C12274">
              <w:rPr>
                <w:rFonts w:ascii="Arial Narrow" w:hAnsi="Arial Narrow"/>
                <w:b/>
                <w:bCs/>
                <w:sz w:val="16"/>
                <w:szCs w:val="16"/>
              </w:rPr>
              <w:t xml:space="preserve"> care</w:t>
            </w:r>
          </w:p>
        </w:tc>
        <w:tc>
          <w:tcPr>
            <w:tcW w:w="1198" w:type="pct"/>
            <w:tcBorders>
              <w:top w:val="single" w:sz="6" w:space="0" w:color="EFEFEF"/>
              <w:right w:val="single" w:sz="6" w:space="0" w:color="EFEFEF"/>
            </w:tcBorders>
            <w:shd w:val="clear" w:color="auto" w:fill="E0E0E0"/>
            <w:hideMark/>
          </w:tcPr>
          <w:p w14:paraId="492288BD" w14:textId="77777777" w:rsidR="00A5540F" w:rsidRPr="00C12274" w:rsidRDefault="00A5540F" w:rsidP="00A5540F">
            <w:pPr>
              <w:pStyle w:val="first-letter"/>
              <w:spacing w:before="0" w:beforeAutospacing="0" w:after="0" w:afterAutospacing="0"/>
              <w:jc w:val="center"/>
              <w:rPr>
                <w:rFonts w:ascii="Arial Narrow" w:hAnsi="Arial Narrow"/>
                <w:b/>
                <w:bCs/>
                <w:sz w:val="16"/>
                <w:szCs w:val="16"/>
              </w:rPr>
            </w:pPr>
            <w:r w:rsidRPr="00C12274">
              <w:rPr>
                <w:rFonts w:ascii="Arial Narrow" w:hAnsi="Arial Narrow"/>
                <w:b/>
                <w:bCs/>
                <w:sz w:val="16"/>
                <w:szCs w:val="16"/>
              </w:rPr>
              <w:t>Risk with exercise intervention</w:t>
            </w:r>
          </w:p>
        </w:tc>
        <w:tc>
          <w:tcPr>
            <w:tcW w:w="787" w:type="pct"/>
            <w:vMerge/>
            <w:tcBorders>
              <w:right w:val="single" w:sz="6" w:space="0" w:color="EFEFEF"/>
            </w:tcBorders>
            <w:vAlign w:val="center"/>
            <w:hideMark/>
          </w:tcPr>
          <w:p w14:paraId="4CE4A92E" w14:textId="77777777" w:rsidR="00A5540F" w:rsidRPr="00C12274" w:rsidRDefault="00A5540F" w:rsidP="00A5540F">
            <w:pPr>
              <w:rPr>
                <w:rFonts w:ascii="Arial Narrow" w:eastAsiaTheme="minorEastAsia" w:hAnsi="Arial Narrow"/>
                <w:color w:val="FFFFFF"/>
                <w:sz w:val="16"/>
                <w:szCs w:val="16"/>
              </w:rPr>
            </w:pPr>
          </w:p>
        </w:tc>
        <w:tc>
          <w:tcPr>
            <w:tcW w:w="786" w:type="pct"/>
            <w:vMerge/>
            <w:tcBorders>
              <w:right w:val="single" w:sz="6" w:space="0" w:color="EFEFEF"/>
            </w:tcBorders>
            <w:vAlign w:val="center"/>
            <w:hideMark/>
          </w:tcPr>
          <w:p w14:paraId="7B3B207A" w14:textId="77777777" w:rsidR="00A5540F" w:rsidRPr="00C12274" w:rsidRDefault="00A5540F" w:rsidP="00A5540F">
            <w:pPr>
              <w:rPr>
                <w:rFonts w:ascii="Arial Narrow" w:eastAsiaTheme="minorEastAsia" w:hAnsi="Arial Narrow"/>
                <w:color w:val="FFFFFF"/>
                <w:sz w:val="16"/>
                <w:szCs w:val="16"/>
              </w:rPr>
            </w:pPr>
          </w:p>
        </w:tc>
        <w:tc>
          <w:tcPr>
            <w:tcW w:w="1070" w:type="pct"/>
            <w:vMerge/>
            <w:tcBorders>
              <w:right w:val="single" w:sz="6" w:space="0" w:color="EFEFEF"/>
            </w:tcBorders>
            <w:vAlign w:val="center"/>
            <w:hideMark/>
          </w:tcPr>
          <w:p w14:paraId="2659CF33" w14:textId="77777777" w:rsidR="00A5540F" w:rsidRPr="00C12274" w:rsidRDefault="00A5540F" w:rsidP="00A5540F">
            <w:pPr>
              <w:rPr>
                <w:rFonts w:ascii="Arial Narrow" w:eastAsiaTheme="minorEastAsia" w:hAnsi="Arial Narrow"/>
                <w:color w:val="FFFFFF"/>
                <w:sz w:val="16"/>
                <w:szCs w:val="16"/>
              </w:rPr>
            </w:pPr>
          </w:p>
        </w:tc>
      </w:tr>
      <w:tr w:rsidR="00A5540F" w:rsidRPr="00C12274" w14:paraId="19C555F5" w14:textId="77777777" w:rsidTr="00A5540F">
        <w:trPr>
          <w:cantSplit/>
        </w:trPr>
        <w:tc>
          <w:tcPr>
            <w:tcW w:w="559" w:type="pct"/>
            <w:tcBorders>
              <w:top w:val="single" w:sz="6" w:space="0" w:color="000000"/>
              <w:left w:val="nil"/>
              <w:bottom w:val="single" w:sz="6" w:space="0" w:color="000000"/>
              <w:right w:val="nil"/>
            </w:tcBorders>
            <w:vAlign w:val="center"/>
            <w:hideMark/>
          </w:tcPr>
          <w:p w14:paraId="541C1CE9"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Preterm birth</w:t>
            </w:r>
            <w:r w:rsidRPr="00C12274">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558DFB92" w14:textId="77777777" w:rsidR="00A5540F" w:rsidRPr="00C12274" w:rsidRDefault="00A5540F" w:rsidP="00A5540F">
            <w:pPr>
              <w:rPr>
                <w:rFonts w:ascii="Arial Narrow" w:eastAsia="Times New Roman" w:hAnsi="Arial Narrow"/>
                <w:sz w:val="16"/>
                <w:szCs w:val="16"/>
              </w:rPr>
            </w:pPr>
            <w:r>
              <w:rPr>
                <w:rFonts w:ascii="Arial Narrow" w:eastAsia="Times New Roman" w:hAnsi="Arial Narrow"/>
                <w:sz w:val="16"/>
                <w:szCs w:val="16"/>
              </w:rPr>
              <w:t>61</w:t>
            </w:r>
            <w:r w:rsidRPr="00C12274">
              <w:rPr>
                <w:rFonts w:ascii="Arial Narrow" w:eastAsia="Times New Roman" w:hAnsi="Arial Narrow"/>
                <w:sz w:val="16"/>
                <w:szCs w:val="16"/>
              </w:rPr>
              <w:t xml:space="preserve"> per 1,000 </w:t>
            </w:r>
          </w:p>
        </w:tc>
        <w:tc>
          <w:tcPr>
            <w:tcW w:w="1198" w:type="pct"/>
            <w:tcBorders>
              <w:top w:val="single" w:sz="6" w:space="0" w:color="000000"/>
              <w:left w:val="nil"/>
              <w:bottom w:val="single" w:sz="6" w:space="0" w:color="000000"/>
              <w:right w:val="nil"/>
            </w:tcBorders>
            <w:shd w:val="clear" w:color="auto" w:fill="EBEBEB"/>
            <w:hideMark/>
          </w:tcPr>
          <w:p w14:paraId="42F90394" w14:textId="77777777" w:rsidR="00A5540F" w:rsidRPr="00C12274" w:rsidRDefault="00A5540F" w:rsidP="00A5540F">
            <w:pPr>
              <w:jc w:val="center"/>
              <w:rPr>
                <w:rFonts w:ascii="Arial Narrow" w:eastAsia="Times New Roman" w:hAnsi="Arial Narrow"/>
                <w:sz w:val="16"/>
                <w:szCs w:val="16"/>
              </w:rPr>
            </w:pPr>
            <w:r>
              <w:rPr>
                <w:rStyle w:val="cell-value"/>
                <w:rFonts w:ascii="Arial Narrow" w:eastAsia="Times New Roman" w:hAnsi="Arial Narrow"/>
                <w:b/>
                <w:bCs/>
                <w:szCs w:val="18"/>
              </w:rPr>
              <w:t>58</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w:t>
            </w:r>
            <w:r>
              <w:rPr>
                <w:rStyle w:val="cell-value"/>
                <w:rFonts w:ascii="Arial Narrow" w:eastAsia="Times New Roman" w:hAnsi="Arial Narrow"/>
                <w:szCs w:val="18"/>
              </w:rPr>
              <w:t>4</w:t>
            </w:r>
            <w:r w:rsidRPr="00C12274">
              <w:rPr>
                <w:rStyle w:val="cell-value"/>
                <w:rFonts w:ascii="Arial Narrow" w:eastAsia="Times New Roman" w:hAnsi="Arial Narrow"/>
                <w:szCs w:val="18"/>
              </w:rPr>
              <w:t>5 to 7</w:t>
            </w:r>
            <w:r>
              <w:rPr>
                <w:rStyle w:val="cell-value"/>
                <w:rFonts w:ascii="Arial Narrow" w:eastAsia="Times New Roman" w:hAnsi="Arial Narrow"/>
                <w:szCs w:val="18"/>
              </w:rPr>
              <w:t>5</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660B220D" w14:textId="77777777" w:rsidR="00A5540F" w:rsidRPr="00C12274" w:rsidRDefault="00A5540F" w:rsidP="00A5540F">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0.9</w:t>
            </w:r>
            <w:r>
              <w:rPr>
                <w:rStyle w:val="block"/>
                <w:rFonts w:ascii="Arial Narrow" w:eastAsia="Times New Roman" w:hAnsi="Arial Narrow"/>
                <w:b/>
                <w:bCs/>
                <w:sz w:val="16"/>
                <w:szCs w:val="16"/>
              </w:rPr>
              <w:t>5</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(0.7</w:t>
            </w:r>
            <w:r>
              <w:rPr>
                <w:rStyle w:val="cell"/>
                <w:rFonts w:ascii="Arial Narrow" w:eastAsia="Times New Roman" w:hAnsi="Arial Narrow"/>
                <w:sz w:val="16"/>
                <w:szCs w:val="16"/>
              </w:rPr>
              <w:t>4</w:t>
            </w:r>
            <w:r w:rsidRPr="00C12274">
              <w:rPr>
                <w:rStyle w:val="cell"/>
                <w:rFonts w:ascii="Arial Narrow" w:eastAsia="Times New Roman" w:hAnsi="Arial Narrow"/>
                <w:sz w:val="16"/>
                <w:szCs w:val="16"/>
              </w:rPr>
              <w:t xml:space="preserve"> to 1.2</w:t>
            </w:r>
            <w:r>
              <w:rPr>
                <w:rStyle w:val="cell"/>
                <w:rFonts w:ascii="Arial Narrow" w:eastAsia="Times New Roman" w:hAnsi="Arial Narrow"/>
                <w:sz w:val="16"/>
                <w:szCs w:val="16"/>
              </w:rPr>
              <w:t>2</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6" w:type="pct"/>
            <w:tcBorders>
              <w:top w:val="single" w:sz="6" w:space="0" w:color="000000"/>
              <w:left w:val="nil"/>
              <w:bottom w:val="single" w:sz="6" w:space="0" w:color="000000"/>
              <w:right w:val="nil"/>
            </w:tcBorders>
            <w:vAlign w:val="center"/>
            <w:hideMark/>
          </w:tcPr>
          <w:p w14:paraId="54262C08"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4,</w:t>
            </w:r>
            <w:r>
              <w:rPr>
                <w:rFonts w:ascii="Arial Narrow" w:eastAsia="Times New Roman" w:hAnsi="Arial Narrow"/>
                <w:sz w:val="16"/>
                <w:szCs w:val="16"/>
              </w:rPr>
              <w:t>388</w:t>
            </w:r>
            <w:r w:rsidRPr="00C12274">
              <w:rPr>
                <w:rFonts w:ascii="Arial Narrow" w:eastAsia="Times New Roman" w:hAnsi="Arial Narrow"/>
                <w:sz w:val="16"/>
                <w:szCs w:val="16"/>
              </w:rPr>
              <w:br/>
              <w:t>(1</w:t>
            </w:r>
            <w:r>
              <w:rPr>
                <w:rFonts w:ascii="Arial Narrow" w:eastAsia="Times New Roman" w:hAnsi="Arial Narrow"/>
                <w:sz w:val="16"/>
                <w:szCs w:val="16"/>
              </w:rPr>
              <w:t>5</w:t>
            </w:r>
            <w:r w:rsidRPr="00C12274">
              <w:rPr>
                <w:rFonts w:ascii="Arial Narrow" w:eastAsia="Times New Roman" w:hAnsi="Arial Narrow"/>
                <w:sz w:val="16"/>
                <w:szCs w:val="16"/>
              </w:rPr>
              <w:t xml:space="preserve"> RCTs) </w:t>
            </w:r>
          </w:p>
        </w:tc>
        <w:tc>
          <w:tcPr>
            <w:tcW w:w="1070" w:type="pct"/>
            <w:tcBorders>
              <w:top w:val="single" w:sz="6" w:space="0" w:color="000000"/>
              <w:left w:val="nil"/>
              <w:bottom w:val="single" w:sz="6" w:space="0" w:color="000000"/>
              <w:right w:val="nil"/>
            </w:tcBorders>
            <w:vAlign w:val="center"/>
            <w:hideMark/>
          </w:tcPr>
          <w:p w14:paraId="57740A8B"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4981F7B1" w14:textId="77777777" w:rsidTr="00A5540F">
        <w:trPr>
          <w:cantSplit/>
        </w:trPr>
        <w:tc>
          <w:tcPr>
            <w:tcW w:w="559" w:type="pct"/>
            <w:tcBorders>
              <w:top w:val="single" w:sz="6" w:space="0" w:color="000000"/>
              <w:left w:val="nil"/>
              <w:bottom w:val="single" w:sz="6" w:space="0" w:color="000000"/>
              <w:right w:val="nil"/>
            </w:tcBorders>
            <w:vAlign w:val="center"/>
            <w:hideMark/>
          </w:tcPr>
          <w:p w14:paraId="427F5B37"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Low birth weight</w:t>
            </w:r>
            <w:r w:rsidRPr="00C12274">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2ADB2433"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 xml:space="preserve">49 per 1,000 </w:t>
            </w:r>
          </w:p>
        </w:tc>
        <w:tc>
          <w:tcPr>
            <w:tcW w:w="1198" w:type="pct"/>
            <w:tcBorders>
              <w:top w:val="single" w:sz="6" w:space="0" w:color="000000"/>
              <w:left w:val="nil"/>
              <w:bottom w:val="single" w:sz="6" w:space="0" w:color="000000"/>
              <w:right w:val="nil"/>
            </w:tcBorders>
            <w:shd w:val="clear" w:color="auto" w:fill="EBEBEB"/>
            <w:hideMark/>
          </w:tcPr>
          <w:p w14:paraId="34087C7D"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46 per 1,000</w:t>
            </w:r>
            <w:r w:rsidRPr="00C12274">
              <w:rPr>
                <w:rFonts w:ascii="Arial Narrow" w:eastAsia="Times New Roman" w:hAnsi="Arial Narrow"/>
                <w:szCs w:val="18"/>
              </w:rPr>
              <w:br/>
            </w:r>
            <w:r w:rsidRPr="00C12274">
              <w:rPr>
                <w:rStyle w:val="cell-value"/>
                <w:rFonts w:ascii="Arial Narrow" w:eastAsia="Times New Roman" w:hAnsi="Arial Narrow"/>
                <w:szCs w:val="18"/>
              </w:rPr>
              <w:t>(34 to 63)</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449C9795" w14:textId="77777777" w:rsidR="00A5540F" w:rsidRPr="00C12274" w:rsidRDefault="00A5540F" w:rsidP="00A5540F">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0.94</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(0.68 to 1.28)</w:t>
            </w:r>
            <w:r w:rsidRPr="00C12274">
              <w:rPr>
                <w:rFonts w:ascii="Arial Narrow" w:eastAsia="Times New Roman" w:hAnsi="Arial Narrow"/>
                <w:sz w:val="16"/>
                <w:szCs w:val="16"/>
              </w:rPr>
              <w:t xml:space="preserve"> </w:t>
            </w:r>
          </w:p>
        </w:tc>
        <w:tc>
          <w:tcPr>
            <w:tcW w:w="786" w:type="pct"/>
            <w:tcBorders>
              <w:top w:val="single" w:sz="6" w:space="0" w:color="000000"/>
              <w:left w:val="nil"/>
              <w:bottom w:val="single" w:sz="6" w:space="0" w:color="000000"/>
              <w:right w:val="nil"/>
            </w:tcBorders>
            <w:vAlign w:val="center"/>
            <w:hideMark/>
          </w:tcPr>
          <w:p w14:paraId="4670169B"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3,247</w:t>
            </w:r>
            <w:r w:rsidRPr="00C12274">
              <w:rPr>
                <w:rFonts w:ascii="Arial Narrow" w:eastAsia="Times New Roman" w:hAnsi="Arial Narrow"/>
                <w:sz w:val="16"/>
                <w:szCs w:val="16"/>
              </w:rPr>
              <w:br/>
              <w:t xml:space="preserve">(11 RCTs) </w:t>
            </w:r>
          </w:p>
        </w:tc>
        <w:tc>
          <w:tcPr>
            <w:tcW w:w="1070" w:type="pct"/>
            <w:tcBorders>
              <w:top w:val="single" w:sz="6" w:space="0" w:color="000000"/>
              <w:left w:val="nil"/>
              <w:bottom w:val="single" w:sz="6" w:space="0" w:color="000000"/>
              <w:right w:val="nil"/>
            </w:tcBorders>
            <w:vAlign w:val="center"/>
            <w:hideMark/>
          </w:tcPr>
          <w:p w14:paraId="55200C3A"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6B11544B" w14:textId="77777777" w:rsidTr="00A5540F">
        <w:trPr>
          <w:cantSplit/>
        </w:trPr>
        <w:tc>
          <w:tcPr>
            <w:tcW w:w="559" w:type="pct"/>
            <w:tcBorders>
              <w:top w:val="single" w:sz="6" w:space="0" w:color="000000"/>
              <w:left w:val="nil"/>
              <w:bottom w:val="single" w:sz="6" w:space="0" w:color="000000"/>
              <w:right w:val="nil"/>
            </w:tcBorders>
            <w:vAlign w:val="center"/>
            <w:hideMark/>
          </w:tcPr>
          <w:p w14:paraId="1A082D5A" w14:textId="5579E072"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Macrosomia</w:t>
            </w:r>
            <w:r w:rsidR="004F2B93">
              <w:rPr>
                <w:rStyle w:val="label"/>
                <w:rFonts w:ascii="Arial Narrow" w:eastAsia="Times New Roman" w:hAnsi="Arial Narrow"/>
                <w:szCs w:val="18"/>
              </w:rPr>
              <w:t xml:space="preserve"> &gt;4,000 g</w:t>
            </w:r>
            <w:r w:rsidRPr="00C12274">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46C08653"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10</w:t>
            </w:r>
            <w:r>
              <w:rPr>
                <w:rFonts w:ascii="Arial Narrow" w:eastAsia="Times New Roman" w:hAnsi="Arial Narrow"/>
                <w:sz w:val="16"/>
                <w:szCs w:val="16"/>
              </w:rPr>
              <w:t>3</w:t>
            </w:r>
            <w:r w:rsidRPr="00C12274">
              <w:rPr>
                <w:rFonts w:ascii="Arial Narrow" w:eastAsia="Times New Roman" w:hAnsi="Arial Narrow"/>
                <w:sz w:val="16"/>
                <w:szCs w:val="16"/>
              </w:rPr>
              <w:t xml:space="preserve"> per 1,000 </w:t>
            </w:r>
          </w:p>
        </w:tc>
        <w:tc>
          <w:tcPr>
            <w:tcW w:w="1198" w:type="pct"/>
            <w:tcBorders>
              <w:top w:val="single" w:sz="6" w:space="0" w:color="000000"/>
              <w:left w:val="nil"/>
              <w:bottom w:val="single" w:sz="6" w:space="0" w:color="000000"/>
              <w:right w:val="nil"/>
            </w:tcBorders>
            <w:shd w:val="clear" w:color="auto" w:fill="EBEBEB"/>
            <w:hideMark/>
          </w:tcPr>
          <w:p w14:paraId="62EDF392"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7</w:t>
            </w:r>
            <w:r>
              <w:rPr>
                <w:rStyle w:val="cell-value"/>
                <w:rFonts w:ascii="Arial Narrow" w:eastAsia="Times New Roman" w:hAnsi="Arial Narrow"/>
                <w:b/>
                <w:bCs/>
                <w:szCs w:val="18"/>
              </w:rPr>
              <w:t>7</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(6</w:t>
            </w:r>
            <w:r>
              <w:rPr>
                <w:rStyle w:val="cell-value"/>
                <w:rFonts w:ascii="Arial Narrow" w:eastAsia="Times New Roman" w:hAnsi="Arial Narrow"/>
                <w:szCs w:val="18"/>
              </w:rPr>
              <w:t>1</w:t>
            </w:r>
            <w:r w:rsidRPr="00C12274">
              <w:rPr>
                <w:rStyle w:val="cell-value"/>
                <w:rFonts w:ascii="Arial Narrow" w:eastAsia="Times New Roman" w:hAnsi="Arial Narrow"/>
                <w:szCs w:val="18"/>
              </w:rPr>
              <w:t xml:space="preserve"> to 9</w:t>
            </w:r>
            <w:r>
              <w:rPr>
                <w:rStyle w:val="cell-value"/>
                <w:rFonts w:ascii="Arial Narrow" w:eastAsia="Times New Roman" w:hAnsi="Arial Narrow"/>
                <w:szCs w:val="18"/>
              </w:rPr>
              <w:t>9</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5DA60493" w14:textId="77777777" w:rsidR="00A5540F" w:rsidRPr="00C12274" w:rsidRDefault="00A5540F" w:rsidP="00A5540F">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0.7</w:t>
            </w:r>
            <w:r>
              <w:rPr>
                <w:rStyle w:val="block"/>
                <w:rFonts w:ascii="Arial Narrow" w:eastAsia="Times New Roman" w:hAnsi="Arial Narrow"/>
                <w:b/>
                <w:bCs/>
                <w:sz w:val="16"/>
                <w:szCs w:val="16"/>
              </w:rPr>
              <w:t>5</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Pr>
                <w:rStyle w:val="cell"/>
                <w:rFonts w:ascii="Arial Narrow" w:eastAsia="Times New Roman" w:hAnsi="Arial Narrow"/>
                <w:sz w:val="16"/>
                <w:szCs w:val="16"/>
              </w:rPr>
              <w:t>59</w:t>
            </w:r>
            <w:r w:rsidRPr="00C12274">
              <w:rPr>
                <w:rStyle w:val="cell"/>
                <w:rFonts w:ascii="Arial Narrow" w:eastAsia="Times New Roman" w:hAnsi="Arial Narrow"/>
                <w:sz w:val="16"/>
                <w:szCs w:val="16"/>
              </w:rPr>
              <w:t xml:space="preserve"> to 0.9</w:t>
            </w:r>
            <w:r>
              <w:rPr>
                <w:rStyle w:val="cell"/>
                <w:rFonts w:ascii="Arial Narrow" w:eastAsia="Times New Roman" w:hAnsi="Arial Narrow"/>
                <w:sz w:val="16"/>
                <w:szCs w:val="16"/>
              </w:rPr>
              <w:t>6</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6" w:type="pct"/>
            <w:tcBorders>
              <w:top w:val="single" w:sz="6" w:space="0" w:color="000000"/>
              <w:left w:val="nil"/>
              <w:bottom w:val="single" w:sz="6" w:space="0" w:color="000000"/>
              <w:right w:val="nil"/>
            </w:tcBorders>
            <w:vAlign w:val="center"/>
            <w:hideMark/>
          </w:tcPr>
          <w:p w14:paraId="450A61C1"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4,</w:t>
            </w:r>
            <w:r>
              <w:rPr>
                <w:rFonts w:ascii="Arial Narrow" w:eastAsia="Times New Roman" w:hAnsi="Arial Narrow"/>
                <w:sz w:val="16"/>
                <w:szCs w:val="16"/>
              </w:rPr>
              <w:t>759</w:t>
            </w:r>
            <w:r w:rsidRPr="00C12274">
              <w:rPr>
                <w:rFonts w:ascii="Arial Narrow" w:eastAsia="Times New Roman" w:hAnsi="Arial Narrow"/>
                <w:sz w:val="16"/>
                <w:szCs w:val="16"/>
              </w:rPr>
              <w:br/>
              <w:t xml:space="preserve">(15 RCTs) </w:t>
            </w:r>
          </w:p>
        </w:tc>
        <w:tc>
          <w:tcPr>
            <w:tcW w:w="1070" w:type="pct"/>
            <w:tcBorders>
              <w:top w:val="single" w:sz="6" w:space="0" w:color="000000"/>
              <w:left w:val="nil"/>
              <w:bottom w:val="single" w:sz="6" w:space="0" w:color="000000"/>
              <w:right w:val="nil"/>
            </w:tcBorders>
            <w:vAlign w:val="center"/>
            <w:hideMark/>
          </w:tcPr>
          <w:p w14:paraId="3A550799"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19B96A40" w14:textId="77777777" w:rsidTr="00A5540F">
        <w:trPr>
          <w:cantSplit/>
        </w:trPr>
        <w:tc>
          <w:tcPr>
            <w:tcW w:w="559" w:type="pct"/>
            <w:tcBorders>
              <w:top w:val="single" w:sz="6" w:space="0" w:color="000000"/>
              <w:left w:val="nil"/>
              <w:bottom w:val="single" w:sz="6" w:space="0" w:color="000000"/>
              <w:right w:val="nil"/>
            </w:tcBorders>
            <w:vAlign w:val="center"/>
            <w:hideMark/>
          </w:tcPr>
          <w:p w14:paraId="12DBA7AD"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Small for gestational age</w:t>
            </w:r>
            <w:r w:rsidRPr="00C12274">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0FBC5704" w14:textId="77777777" w:rsidR="00A5540F" w:rsidRPr="00C12274" w:rsidRDefault="00A5540F" w:rsidP="00A5540F">
            <w:pPr>
              <w:rPr>
                <w:rFonts w:ascii="Arial Narrow" w:eastAsia="Times New Roman" w:hAnsi="Arial Narrow"/>
                <w:sz w:val="16"/>
                <w:szCs w:val="16"/>
              </w:rPr>
            </w:pPr>
            <w:r>
              <w:rPr>
                <w:rFonts w:ascii="Arial Narrow" w:eastAsia="Times New Roman" w:hAnsi="Arial Narrow"/>
                <w:sz w:val="16"/>
                <w:szCs w:val="16"/>
              </w:rPr>
              <w:t>72</w:t>
            </w:r>
            <w:r w:rsidRPr="00C12274">
              <w:rPr>
                <w:rFonts w:ascii="Arial Narrow" w:eastAsia="Times New Roman" w:hAnsi="Arial Narrow"/>
                <w:sz w:val="16"/>
                <w:szCs w:val="16"/>
              </w:rPr>
              <w:t xml:space="preserve"> per 1,000 </w:t>
            </w:r>
          </w:p>
        </w:tc>
        <w:tc>
          <w:tcPr>
            <w:tcW w:w="1198" w:type="pct"/>
            <w:tcBorders>
              <w:top w:val="single" w:sz="6" w:space="0" w:color="000000"/>
              <w:left w:val="nil"/>
              <w:bottom w:val="single" w:sz="6" w:space="0" w:color="000000"/>
              <w:right w:val="nil"/>
            </w:tcBorders>
            <w:shd w:val="clear" w:color="auto" w:fill="EBEBEB"/>
            <w:hideMark/>
          </w:tcPr>
          <w:p w14:paraId="4762ECA6" w14:textId="77777777" w:rsidR="00A5540F" w:rsidRPr="00C12274" w:rsidRDefault="00A5540F" w:rsidP="00A5540F">
            <w:pPr>
              <w:jc w:val="center"/>
              <w:rPr>
                <w:rFonts w:ascii="Arial Narrow" w:eastAsia="Times New Roman" w:hAnsi="Arial Narrow"/>
                <w:sz w:val="16"/>
                <w:szCs w:val="16"/>
              </w:rPr>
            </w:pPr>
            <w:r>
              <w:rPr>
                <w:rStyle w:val="cell-value"/>
                <w:rFonts w:ascii="Arial Narrow" w:eastAsia="Times New Roman" w:hAnsi="Arial Narrow"/>
                <w:b/>
                <w:bCs/>
                <w:szCs w:val="18"/>
              </w:rPr>
              <w:t>64</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w:t>
            </w:r>
            <w:r>
              <w:rPr>
                <w:rStyle w:val="cell-value"/>
                <w:rFonts w:ascii="Arial Narrow" w:eastAsia="Times New Roman" w:hAnsi="Arial Narrow"/>
                <w:szCs w:val="18"/>
              </w:rPr>
              <w:t>42</w:t>
            </w:r>
            <w:r w:rsidRPr="00C12274">
              <w:rPr>
                <w:rStyle w:val="cell-value"/>
                <w:rFonts w:ascii="Arial Narrow" w:eastAsia="Times New Roman" w:hAnsi="Arial Narrow"/>
                <w:szCs w:val="18"/>
              </w:rPr>
              <w:t xml:space="preserve"> to </w:t>
            </w:r>
            <w:r>
              <w:rPr>
                <w:rStyle w:val="cell-value"/>
                <w:rFonts w:ascii="Arial Narrow" w:eastAsia="Times New Roman" w:hAnsi="Arial Narrow"/>
                <w:szCs w:val="18"/>
              </w:rPr>
              <w:t>99</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391D7EFC" w14:textId="1C36348A" w:rsidR="00A5540F" w:rsidRPr="00C12274" w:rsidRDefault="00A5540F" w:rsidP="008115A4">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sidR="008115A4">
              <w:rPr>
                <w:rStyle w:val="block"/>
                <w:rFonts w:ascii="Arial Narrow" w:eastAsia="Times New Roman" w:hAnsi="Arial Narrow"/>
                <w:b/>
                <w:bCs/>
                <w:sz w:val="16"/>
                <w:szCs w:val="16"/>
              </w:rPr>
              <w:t>76</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(0.5</w:t>
            </w:r>
            <w:r w:rsidR="008115A4">
              <w:rPr>
                <w:rStyle w:val="cell"/>
                <w:rFonts w:ascii="Arial Narrow" w:eastAsia="Times New Roman" w:hAnsi="Arial Narrow"/>
                <w:sz w:val="16"/>
                <w:szCs w:val="16"/>
              </w:rPr>
              <w:t>0</w:t>
            </w:r>
            <w:r w:rsidRPr="00C12274">
              <w:rPr>
                <w:rStyle w:val="cell"/>
                <w:rFonts w:ascii="Arial Narrow" w:eastAsia="Times New Roman" w:hAnsi="Arial Narrow"/>
                <w:sz w:val="16"/>
                <w:szCs w:val="16"/>
              </w:rPr>
              <w:t xml:space="preserve"> to 1.</w:t>
            </w:r>
            <w:r w:rsidR="008115A4">
              <w:rPr>
                <w:rStyle w:val="cell"/>
                <w:rFonts w:ascii="Arial Narrow" w:eastAsia="Times New Roman" w:hAnsi="Arial Narrow"/>
                <w:sz w:val="16"/>
                <w:szCs w:val="16"/>
              </w:rPr>
              <w:t>1</w:t>
            </w:r>
            <w:r>
              <w:rPr>
                <w:rStyle w:val="cell"/>
                <w:rFonts w:ascii="Arial Narrow" w:eastAsia="Times New Roman" w:hAnsi="Arial Narrow"/>
                <w:sz w:val="16"/>
                <w:szCs w:val="16"/>
              </w:rPr>
              <w:t>7</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6" w:type="pct"/>
            <w:tcBorders>
              <w:top w:val="single" w:sz="6" w:space="0" w:color="000000"/>
              <w:left w:val="nil"/>
              <w:bottom w:val="single" w:sz="6" w:space="0" w:color="000000"/>
              <w:right w:val="nil"/>
            </w:tcBorders>
            <w:vAlign w:val="center"/>
            <w:hideMark/>
          </w:tcPr>
          <w:p w14:paraId="3B9D6BDA" w14:textId="668A4ED3" w:rsidR="00A5540F" w:rsidRPr="00C12274" w:rsidRDefault="00A5540F" w:rsidP="008115A4">
            <w:pPr>
              <w:jc w:val="center"/>
              <w:rPr>
                <w:rFonts w:ascii="Arial Narrow" w:eastAsia="Times New Roman" w:hAnsi="Arial Narrow"/>
                <w:sz w:val="16"/>
                <w:szCs w:val="16"/>
              </w:rPr>
            </w:pPr>
            <w:r>
              <w:rPr>
                <w:rFonts w:ascii="Arial Narrow" w:eastAsia="Times New Roman" w:hAnsi="Arial Narrow"/>
                <w:sz w:val="16"/>
                <w:szCs w:val="16"/>
              </w:rPr>
              <w:t>1,</w:t>
            </w:r>
            <w:r w:rsidR="008115A4">
              <w:rPr>
                <w:rFonts w:ascii="Arial Narrow" w:eastAsia="Times New Roman" w:hAnsi="Arial Narrow"/>
                <w:sz w:val="16"/>
                <w:szCs w:val="16"/>
              </w:rPr>
              <w:t>581</w:t>
            </w:r>
            <w:r>
              <w:rPr>
                <w:rFonts w:ascii="Arial Narrow" w:eastAsia="Times New Roman" w:hAnsi="Arial Narrow"/>
                <w:sz w:val="16"/>
                <w:szCs w:val="16"/>
              </w:rPr>
              <w:br/>
              <w:t>(10</w:t>
            </w:r>
            <w:r w:rsidRPr="00C12274">
              <w:rPr>
                <w:rFonts w:ascii="Arial Narrow" w:eastAsia="Times New Roman" w:hAnsi="Arial Narrow"/>
                <w:sz w:val="16"/>
                <w:szCs w:val="16"/>
              </w:rPr>
              <w:t xml:space="preserve"> RCTs) </w:t>
            </w:r>
          </w:p>
        </w:tc>
        <w:tc>
          <w:tcPr>
            <w:tcW w:w="1070" w:type="pct"/>
            <w:tcBorders>
              <w:top w:val="single" w:sz="6" w:space="0" w:color="000000"/>
              <w:left w:val="nil"/>
              <w:bottom w:val="single" w:sz="6" w:space="0" w:color="000000"/>
              <w:right w:val="nil"/>
            </w:tcBorders>
            <w:vAlign w:val="center"/>
            <w:hideMark/>
          </w:tcPr>
          <w:p w14:paraId="213F7006"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6ECD3603" w14:textId="77777777" w:rsidTr="00A5540F">
        <w:trPr>
          <w:cantSplit/>
        </w:trPr>
        <w:tc>
          <w:tcPr>
            <w:tcW w:w="559" w:type="pct"/>
            <w:tcBorders>
              <w:top w:val="single" w:sz="6" w:space="0" w:color="000000"/>
              <w:left w:val="nil"/>
              <w:bottom w:val="single" w:sz="6" w:space="0" w:color="000000"/>
              <w:right w:val="nil"/>
            </w:tcBorders>
            <w:vAlign w:val="center"/>
            <w:hideMark/>
          </w:tcPr>
          <w:p w14:paraId="792DEB71"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Large for gestational age</w:t>
            </w:r>
            <w:r w:rsidRPr="00C12274">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71AE5837"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1</w:t>
            </w:r>
            <w:r>
              <w:rPr>
                <w:rFonts w:ascii="Arial Narrow" w:eastAsia="Times New Roman" w:hAnsi="Arial Narrow"/>
                <w:sz w:val="16"/>
                <w:szCs w:val="16"/>
              </w:rPr>
              <w:t>30</w:t>
            </w:r>
            <w:r w:rsidRPr="00C12274">
              <w:rPr>
                <w:rFonts w:ascii="Arial Narrow" w:eastAsia="Times New Roman" w:hAnsi="Arial Narrow"/>
                <w:sz w:val="16"/>
                <w:szCs w:val="16"/>
              </w:rPr>
              <w:t xml:space="preserve"> per 1,000 </w:t>
            </w:r>
          </w:p>
        </w:tc>
        <w:tc>
          <w:tcPr>
            <w:tcW w:w="1198" w:type="pct"/>
            <w:tcBorders>
              <w:top w:val="single" w:sz="6" w:space="0" w:color="000000"/>
              <w:left w:val="nil"/>
              <w:bottom w:val="single" w:sz="6" w:space="0" w:color="000000"/>
              <w:right w:val="nil"/>
            </w:tcBorders>
            <w:shd w:val="clear" w:color="auto" w:fill="EBEBEB"/>
            <w:hideMark/>
          </w:tcPr>
          <w:p w14:paraId="487B3416"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1</w:t>
            </w:r>
            <w:r>
              <w:rPr>
                <w:rStyle w:val="cell-value"/>
                <w:rFonts w:ascii="Arial Narrow" w:eastAsia="Times New Roman" w:hAnsi="Arial Narrow"/>
                <w:b/>
                <w:bCs/>
                <w:szCs w:val="18"/>
              </w:rPr>
              <w:t>28</w:t>
            </w:r>
            <w:r w:rsidRPr="00C12274">
              <w:rPr>
                <w:rStyle w:val="cell-value"/>
                <w:rFonts w:ascii="Arial Narrow" w:eastAsia="Times New Roman" w:hAnsi="Arial Narrow"/>
                <w:b/>
                <w:bCs/>
                <w:szCs w:val="18"/>
              </w:rPr>
              <w:t xml:space="preserve"> per 1,000</w:t>
            </w:r>
            <w:r w:rsidRPr="00C12274">
              <w:rPr>
                <w:rFonts w:ascii="Arial Narrow" w:eastAsia="Times New Roman" w:hAnsi="Arial Narrow"/>
                <w:szCs w:val="18"/>
              </w:rPr>
              <w:br/>
            </w:r>
            <w:r w:rsidRPr="00C12274">
              <w:rPr>
                <w:rStyle w:val="cell-value"/>
                <w:rFonts w:ascii="Arial Narrow" w:eastAsia="Times New Roman" w:hAnsi="Arial Narrow"/>
                <w:szCs w:val="18"/>
              </w:rPr>
              <w:t>(9</w:t>
            </w:r>
            <w:r>
              <w:rPr>
                <w:rStyle w:val="cell-value"/>
                <w:rFonts w:ascii="Arial Narrow" w:eastAsia="Times New Roman" w:hAnsi="Arial Narrow"/>
                <w:szCs w:val="18"/>
              </w:rPr>
              <w:t>8</w:t>
            </w:r>
            <w:r w:rsidRPr="00C12274">
              <w:rPr>
                <w:rStyle w:val="cell-value"/>
                <w:rFonts w:ascii="Arial Narrow" w:eastAsia="Times New Roman" w:hAnsi="Arial Narrow"/>
                <w:szCs w:val="18"/>
              </w:rPr>
              <w:t xml:space="preserve"> to 1</w:t>
            </w:r>
            <w:r>
              <w:rPr>
                <w:rStyle w:val="cell-value"/>
                <w:rFonts w:ascii="Arial Narrow" w:eastAsia="Times New Roman" w:hAnsi="Arial Narrow"/>
                <w:szCs w:val="18"/>
              </w:rPr>
              <w:t>70</w:t>
            </w:r>
            <w:r w:rsidRPr="00C12274">
              <w:rPr>
                <w:rStyle w:val="cell-value"/>
                <w:rFonts w:ascii="Arial Narrow" w:eastAsia="Times New Roman" w:hAnsi="Arial Narrow"/>
                <w:szCs w:val="18"/>
              </w:rPr>
              <w:t>)</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3989FE71" w14:textId="24E6E77B" w:rsidR="00A5540F" w:rsidRPr="00C12274" w:rsidRDefault="00A5540F" w:rsidP="008115A4">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0.</w:t>
            </w:r>
            <w:r w:rsidR="008115A4">
              <w:rPr>
                <w:rStyle w:val="block"/>
                <w:rFonts w:ascii="Arial Narrow" w:eastAsia="Times New Roman" w:hAnsi="Arial Narrow"/>
                <w:b/>
                <w:bCs/>
                <w:sz w:val="16"/>
                <w:szCs w:val="16"/>
              </w:rPr>
              <w:t>91</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w:t>
            </w:r>
            <w:r w:rsidR="008115A4">
              <w:rPr>
                <w:rStyle w:val="cell"/>
                <w:rFonts w:ascii="Arial Narrow" w:eastAsia="Times New Roman" w:hAnsi="Arial Narrow"/>
                <w:sz w:val="16"/>
                <w:szCs w:val="16"/>
              </w:rPr>
              <w:t>61</w:t>
            </w:r>
            <w:r w:rsidR="008115A4" w:rsidRPr="00C12274">
              <w:rPr>
                <w:rStyle w:val="cell"/>
                <w:rFonts w:ascii="Arial Narrow" w:eastAsia="Times New Roman" w:hAnsi="Arial Narrow"/>
                <w:sz w:val="16"/>
                <w:szCs w:val="16"/>
              </w:rPr>
              <w:t xml:space="preserve"> </w:t>
            </w:r>
            <w:r w:rsidRPr="00C12274">
              <w:rPr>
                <w:rStyle w:val="cell"/>
                <w:rFonts w:ascii="Arial Narrow" w:eastAsia="Times New Roman" w:hAnsi="Arial Narrow"/>
                <w:sz w:val="16"/>
                <w:szCs w:val="16"/>
              </w:rPr>
              <w:t>to 1.</w:t>
            </w:r>
            <w:r>
              <w:rPr>
                <w:rStyle w:val="cell"/>
                <w:rFonts w:ascii="Arial Narrow" w:eastAsia="Times New Roman" w:hAnsi="Arial Narrow"/>
                <w:sz w:val="16"/>
                <w:szCs w:val="16"/>
              </w:rPr>
              <w:t>3</w:t>
            </w:r>
            <w:r w:rsidR="008115A4">
              <w:rPr>
                <w:rStyle w:val="cell"/>
                <w:rFonts w:ascii="Arial Narrow" w:eastAsia="Times New Roman" w:hAnsi="Arial Narrow"/>
                <w:sz w:val="16"/>
                <w:szCs w:val="16"/>
              </w:rPr>
              <w:t>6</w:t>
            </w:r>
            <w:r w:rsidRPr="00C12274">
              <w:rPr>
                <w:rStyle w:val="cell"/>
                <w:rFonts w:ascii="Arial Narrow" w:eastAsia="Times New Roman" w:hAnsi="Arial Narrow"/>
                <w:sz w:val="16"/>
                <w:szCs w:val="16"/>
              </w:rPr>
              <w:t>)</w:t>
            </w:r>
            <w:r w:rsidRPr="00C12274">
              <w:rPr>
                <w:rFonts w:ascii="Arial Narrow" w:eastAsia="Times New Roman" w:hAnsi="Arial Narrow"/>
                <w:sz w:val="16"/>
                <w:szCs w:val="16"/>
              </w:rPr>
              <w:t xml:space="preserve"> </w:t>
            </w:r>
          </w:p>
        </w:tc>
        <w:tc>
          <w:tcPr>
            <w:tcW w:w="786" w:type="pct"/>
            <w:tcBorders>
              <w:top w:val="single" w:sz="6" w:space="0" w:color="000000"/>
              <w:left w:val="nil"/>
              <w:bottom w:val="single" w:sz="6" w:space="0" w:color="000000"/>
              <w:right w:val="nil"/>
            </w:tcBorders>
            <w:vAlign w:val="center"/>
            <w:hideMark/>
          </w:tcPr>
          <w:p w14:paraId="7DF315B4" w14:textId="619A94AA" w:rsidR="00A5540F" w:rsidRPr="00C12274" w:rsidRDefault="00A5540F" w:rsidP="008115A4">
            <w:pPr>
              <w:jc w:val="center"/>
              <w:rPr>
                <w:rFonts w:ascii="Arial Narrow" w:eastAsia="Times New Roman" w:hAnsi="Arial Narrow"/>
                <w:sz w:val="16"/>
                <w:szCs w:val="16"/>
              </w:rPr>
            </w:pPr>
            <w:r w:rsidRPr="00C12274">
              <w:rPr>
                <w:rFonts w:ascii="Arial Narrow" w:eastAsia="Times New Roman" w:hAnsi="Arial Narrow"/>
                <w:sz w:val="16"/>
                <w:szCs w:val="16"/>
              </w:rPr>
              <w:t>1,</w:t>
            </w:r>
            <w:r w:rsidR="008115A4" w:rsidRPr="00C12274">
              <w:rPr>
                <w:rFonts w:ascii="Arial Narrow" w:eastAsia="Times New Roman" w:hAnsi="Arial Narrow"/>
                <w:sz w:val="16"/>
                <w:szCs w:val="16"/>
              </w:rPr>
              <w:t>6</w:t>
            </w:r>
            <w:r w:rsidR="008115A4">
              <w:rPr>
                <w:rFonts w:ascii="Arial Narrow" w:eastAsia="Times New Roman" w:hAnsi="Arial Narrow"/>
                <w:sz w:val="16"/>
                <w:szCs w:val="16"/>
              </w:rPr>
              <w:t>00</w:t>
            </w:r>
            <w:r w:rsidRPr="00C12274">
              <w:rPr>
                <w:rFonts w:ascii="Arial Narrow" w:eastAsia="Times New Roman" w:hAnsi="Arial Narrow"/>
                <w:sz w:val="16"/>
                <w:szCs w:val="16"/>
              </w:rPr>
              <w:br/>
              <w:t xml:space="preserve">(9 RCTs) </w:t>
            </w:r>
          </w:p>
        </w:tc>
        <w:tc>
          <w:tcPr>
            <w:tcW w:w="1070" w:type="pct"/>
            <w:tcBorders>
              <w:top w:val="single" w:sz="6" w:space="0" w:color="000000"/>
              <w:left w:val="nil"/>
              <w:bottom w:val="single" w:sz="6" w:space="0" w:color="000000"/>
              <w:right w:val="nil"/>
            </w:tcBorders>
            <w:vAlign w:val="center"/>
            <w:hideMark/>
          </w:tcPr>
          <w:p w14:paraId="7194A6BB"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5F1C5940" w14:textId="77777777" w:rsidTr="00A5540F">
        <w:trPr>
          <w:cantSplit/>
        </w:trPr>
        <w:tc>
          <w:tcPr>
            <w:tcW w:w="559" w:type="pct"/>
            <w:tcBorders>
              <w:top w:val="single" w:sz="6" w:space="0" w:color="000000"/>
              <w:left w:val="nil"/>
              <w:bottom w:val="single" w:sz="6" w:space="0" w:color="000000"/>
              <w:right w:val="nil"/>
            </w:tcBorders>
            <w:vAlign w:val="center"/>
            <w:hideMark/>
          </w:tcPr>
          <w:p w14:paraId="519E0873" w14:textId="77777777" w:rsidR="00A5540F" w:rsidRPr="00C12274" w:rsidRDefault="00A5540F" w:rsidP="00A5540F">
            <w:pPr>
              <w:jc w:val="center"/>
              <w:rPr>
                <w:rFonts w:ascii="Arial Narrow" w:eastAsia="Times New Roman" w:hAnsi="Arial Narrow"/>
                <w:sz w:val="16"/>
                <w:szCs w:val="16"/>
              </w:rPr>
            </w:pPr>
            <w:r w:rsidRPr="00C12274">
              <w:rPr>
                <w:rStyle w:val="label"/>
                <w:rFonts w:ascii="Arial Narrow" w:eastAsia="Times New Roman" w:hAnsi="Arial Narrow"/>
                <w:szCs w:val="18"/>
              </w:rPr>
              <w:t>Apgar score &lt;7 at 5 min</w:t>
            </w:r>
            <w:r w:rsidRPr="00C12274">
              <w:rPr>
                <w:rFonts w:ascii="Arial Narrow" w:eastAsia="Times New Roman" w:hAnsi="Arial Narrow"/>
                <w:sz w:val="16"/>
                <w:szCs w:val="16"/>
              </w:rPr>
              <w:t xml:space="preserve"> </w:t>
            </w:r>
          </w:p>
        </w:tc>
        <w:tc>
          <w:tcPr>
            <w:tcW w:w="600" w:type="pct"/>
            <w:tcBorders>
              <w:top w:val="single" w:sz="6" w:space="0" w:color="000000"/>
              <w:left w:val="nil"/>
              <w:bottom w:val="single" w:sz="6" w:space="0" w:color="000000"/>
              <w:right w:val="nil"/>
            </w:tcBorders>
            <w:vAlign w:val="center"/>
            <w:hideMark/>
          </w:tcPr>
          <w:p w14:paraId="36B70B41"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 xml:space="preserve">6 per 1,000 </w:t>
            </w:r>
          </w:p>
        </w:tc>
        <w:tc>
          <w:tcPr>
            <w:tcW w:w="1198" w:type="pct"/>
            <w:tcBorders>
              <w:top w:val="single" w:sz="6" w:space="0" w:color="000000"/>
              <w:left w:val="nil"/>
              <w:bottom w:val="single" w:sz="6" w:space="0" w:color="000000"/>
              <w:right w:val="nil"/>
            </w:tcBorders>
            <w:shd w:val="clear" w:color="auto" w:fill="EBEBEB"/>
            <w:hideMark/>
          </w:tcPr>
          <w:p w14:paraId="27379089" w14:textId="77777777" w:rsidR="00A5540F" w:rsidRPr="00C12274" w:rsidRDefault="00A5540F" w:rsidP="00A5540F">
            <w:pPr>
              <w:jc w:val="center"/>
              <w:rPr>
                <w:rFonts w:ascii="Arial Narrow" w:eastAsia="Times New Roman" w:hAnsi="Arial Narrow"/>
                <w:sz w:val="16"/>
                <w:szCs w:val="16"/>
              </w:rPr>
            </w:pPr>
            <w:r w:rsidRPr="00C12274">
              <w:rPr>
                <w:rStyle w:val="cell-value"/>
                <w:rFonts w:ascii="Arial Narrow" w:eastAsia="Times New Roman" w:hAnsi="Arial Narrow"/>
                <w:b/>
                <w:bCs/>
                <w:szCs w:val="18"/>
              </w:rPr>
              <w:t>8 per 1,000</w:t>
            </w:r>
            <w:r w:rsidRPr="00C12274">
              <w:rPr>
                <w:rFonts w:ascii="Arial Narrow" w:eastAsia="Times New Roman" w:hAnsi="Arial Narrow"/>
                <w:szCs w:val="18"/>
              </w:rPr>
              <w:br/>
            </w:r>
            <w:r w:rsidRPr="00C12274">
              <w:rPr>
                <w:rStyle w:val="cell-value"/>
                <w:rFonts w:ascii="Arial Narrow" w:eastAsia="Times New Roman" w:hAnsi="Arial Narrow"/>
                <w:szCs w:val="18"/>
              </w:rPr>
              <w:t>(3 to 22)</w:t>
            </w:r>
            <w:r w:rsidRPr="00C12274">
              <w:rPr>
                <w:rFonts w:ascii="Arial Narrow" w:eastAsia="Times New Roman" w:hAnsi="Arial Narrow"/>
                <w:sz w:val="16"/>
                <w:szCs w:val="16"/>
              </w:rPr>
              <w:t xml:space="preserve"> </w:t>
            </w:r>
          </w:p>
        </w:tc>
        <w:tc>
          <w:tcPr>
            <w:tcW w:w="787" w:type="pct"/>
            <w:tcBorders>
              <w:top w:val="single" w:sz="6" w:space="0" w:color="000000"/>
              <w:left w:val="nil"/>
              <w:bottom w:val="single" w:sz="6" w:space="0" w:color="000000"/>
              <w:right w:val="nil"/>
            </w:tcBorders>
            <w:vAlign w:val="center"/>
            <w:hideMark/>
          </w:tcPr>
          <w:p w14:paraId="19B09C08" w14:textId="77777777" w:rsidR="00A5540F" w:rsidRPr="00C12274" w:rsidRDefault="00A5540F" w:rsidP="00A5540F">
            <w:pPr>
              <w:jc w:val="center"/>
              <w:rPr>
                <w:rFonts w:ascii="Arial Narrow" w:eastAsia="Times New Roman" w:hAnsi="Arial Narrow"/>
                <w:sz w:val="16"/>
                <w:szCs w:val="16"/>
              </w:rPr>
            </w:pPr>
            <w:r w:rsidRPr="00C12274">
              <w:rPr>
                <w:rStyle w:val="block"/>
                <w:rFonts w:ascii="Arial Narrow" w:eastAsia="Times New Roman" w:hAnsi="Arial Narrow"/>
                <w:b/>
                <w:bCs/>
                <w:sz w:val="16"/>
                <w:szCs w:val="16"/>
              </w:rPr>
              <w:t>RR 1.23</w:t>
            </w:r>
            <w:r w:rsidRPr="00C12274">
              <w:rPr>
                <w:rFonts w:ascii="Arial Narrow" w:eastAsia="Times New Roman" w:hAnsi="Arial Narrow"/>
                <w:sz w:val="16"/>
                <w:szCs w:val="16"/>
              </w:rPr>
              <w:br/>
            </w:r>
            <w:r w:rsidRPr="00C12274">
              <w:rPr>
                <w:rStyle w:val="cell"/>
                <w:rFonts w:ascii="Arial Narrow" w:eastAsia="Times New Roman" w:hAnsi="Arial Narrow"/>
                <w:sz w:val="16"/>
                <w:szCs w:val="16"/>
              </w:rPr>
              <w:t>(0.44 to 3.42)</w:t>
            </w:r>
            <w:r w:rsidRPr="00C12274">
              <w:rPr>
                <w:rFonts w:ascii="Arial Narrow" w:eastAsia="Times New Roman" w:hAnsi="Arial Narrow"/>
                <w:sz w:val="16"/>
                <w:szCs w:val="16"/>
              </w:rPr>
              <w:t xml:space="preserve"> </w:t>
            </w:r>
          </w:p>
        </w:tc>
        <w:tc>
          <w:tcPr>
            <w:tcW w:w="786" w:type="pct"/>
            <w:tcBorders>
              <w:top w:val="single" w:sz="6" w:space="0" w:color="000000"/>
              <w:left w:val="nil"/>
              <w:bottom w:val="single" w:sz="6" w:space="0" w:color="000000"/>
              <w:right w:val="nil"/>
            </w:tcBorders>
            <w:vAlign w:val="center"/>
            <w:hideMark/>
          </w:tcPr>
          <w:p w14:paraId="275EA497" w14:textId="77777777" w:rsidR="00A5540F" w:rsidRPr="00C12274" w:rsidRDefault="00A5540F" w:rsidP="00A5540F">
            <w:pPr>
              <w:jc w:val="center"/>
              <w:rPr>
                <w:rFonts w:ascii="Arial Narrow" w:eastAsia="Times New Roman" w:hAnsi="Arial Narrow"/>
                <w:sz w:val="16"/>
                <w:szCs w:val="16"/>
              </w:rPr>
            </w:pPr>
            <w:r w:rsidRPr="00C12274">
              <w:rPr>
                <w:rFonts w:ascii="Arial Narrow" w:eastAsia="Times New Roman" w:hAnsi="Arial Narrow"/>
                <w:sz w:val="16"/>
                <w:szCs w:val="16"/>
              </w:rPr>
              <w:t>1,918</w:t>
            </w:r>
            <w:r w:rsidRPr="00C12274">
              <w:rPr>
                <w:rFonts w:ascii="Arial Narrow" w:eastAsia="Times New Roman" w:hAnsi="Arial Narrow"/>
                <w:sz w:val="16"/>
                <w:szCs w:val="16"/>
              </w:rPr>
              <w:br/>
              <w:t xml:space="preserve">(5 RCTs) </w:t>
            </w:r>
          </w:p>
        </w:tc>
        <w:tc>
          <w:tcPr>
            <w:tcW w:w="1070" w:type="pct"/>
            <w:tcBorders>
              <w:top w:val="single" w:sz="6" w:space="0" w:color="000000"/>
              <w:left w:val="nil"/>
              <w:bottom w:val="single" w:sz="6" w:space="0" w:color="000000"/>
              <w:right w:val="nil"/>
            </w:tcBorders>
            <w:vAlign w:val="center"/>
            <w:hideMark/>
          </w:tcPr>
          <w:p w14:paraId="74DD0BD8" w14:textId="77777777" w:rsidR="00A5540F" w:rsidRPr="00C12274" w:rsidRDefault="00A5540F" w:rsidP="00A5540F">
            <w:pPr>
              <w:jc w:val="center"/>
              <w:rPr>
                <w:rFonts w:ascii="Arial Narrow" w:eastAsia="Times New Roman" w:hAnsi="Arial Narrow"/>
                <w:sz w:val="16"/>
                <w:szCs w:val="16"/>
              </w:rPr>
            </w:pPr>
            <w:r w:rsidRPr="00C12274">
              <w:rPr>
                <w:rStyle w:val="quality-sign"/>
                <w:rFonts w:ascii="Cambria" w:eastAsia="Cambria" w:hAnsi="Cambria" w:cs="Cambria"/>
                <w:sz w:val="21"/>
                <w:szCs w:val="21"/>
              </w:rPr>
              <w:t>⨁⨁⨁</w:t>
            </w:r>
            <w:r w:rsidRPr="00C12274">
              <w:rPr>
                <w:rStyle w:val="quality-sign"/>
                <w:rFonts w:ascii="MS Mincho" w:eastAsia="MS Mincho" w:hAnsi="MS Mincho" w:cs="MS Mincho"/>
                <w:sz w:val="21"/>
                <w:szCs w:val="21"/>
              </w:rPr>
              <w:t>◯</w:t>
            </w:r>
            <w:r w:rsidRPr="00C12274">
              <w:rPr>
                <w:rFonts w:ascii="Arial Narrow" w:eastAsia="Times New Roman" w:hAnsi="Arial Narrow"/>
                <w:sz w:val="16"/>
                <w:szCs w:val="16"/>
              </w:rPr>
              <w:br/>
            </w:r>
            <w:r w:rsidRPr="00C12274">
              <w:rPr>
                <w:rStyle w:val="quality-text"/>
                <w:rFonts w:ascii="Arial Narrow" w:eastAsia="Times New Roman" w:hAnsi="Arial Narrow"/>
                <w:sz w:val="16"/>
                <w:szCs w:val="16"/>
              </w:rPr>
              <w:t>MODERATE</w:t>
            </w:r>
            <w:r w:rsidRPr="00C12274">
              <w:rPr>
                <w:rFonts w:ascii="Arial Narrow" w:eastAsia="Times New Roman" w:hAnsi="Arial Narrow"/>
                <w:sz w:val="16"/>
                <w:szCs w:val="16"/>
              </w:rPr>
              <w:t xml:space="preserve"> </w:t>
            </w:r>
            <w:r w:rsidRPr="00C12274">
              <w:rPr>
                <w:rFonts w:ascii="Arial Narrow" w:eastAsia="Times New Roman" w:hAnsi="Arial Narrow"/>
                <w:sz w:val="16"/>
                <w:szCs w:val="16"/>
                <w:vertAlign w:val="superscript"/>
              </w:rPr>
              <w:t>a</w:t>
            </w:r>
          </w:p>
        </w:tc>
      </w:tr>
      <w:tr w:rsidR="00A5540F" w:rsidRPr="00C12274" w14:paraId="495BAD5F" w14:textId="77777777" w:rsidTr="00A5540F">
        <w:trPr>
          <w:cantSplit/>
        </w:trPr>
        <w:tc>
          <w:tcPr>
            <w:tcW w:w="5000" w:type="pct"/>
            <w:gridSpan w:val="6"/>
            <w:tcBorders>
              <w:top w:val="single" w:sz="6" w:space="0" w:color="000000"/>
              <w:left w:val="nil"/>
              <w:bottom w:val="single" w:sz="6" w:space="0" w:color="000000"/>
              <w:right w:val="nil"/>
            </w:tcBorders>
            <w:vAlign w:val="center"/>
            <w:hideMark/>
          </w:tcPr>
          <w:p w14:paraId="5D98C8C9" w14:textId="77777777" w:rsidR="00A5540F" w:rsidRPr="00C12274" w:rsidRDefault="00A5540F" w:rsidP="00A5540F">
            <w:pPr>
              <w:rPr>
                <w:rFonts w:ascii="Arial Narrow" w:eastAsia="Times New Roman" w:hAnsi="Arial Narrow"/>
                <w:sz w:val="16"/>
                <w:szCs w:val="16"/>
              </w:rPr>
            </w:pPr>
            <w:r w:rsidRPr="00C12274">
              <w:rPr>
                <w:rFonts w:ascii="Arial Narrow" w:eastAsia="Times New Roman" w:hAnsi="Arial Narrow"/>
                <w:sz w:val="16"/>
                <w:szCs w:val="16"/>
              </w:rPr>
              <w:t>*</w:t>
            </w:r>
            <w:r w:rsidRPr="00C12274">
              <w:rPr>
                <w:rFonts w:ascii="Arial Narrow" w:eastAsia="Times New Roman" w:hAnsi="Arial Narrow"/>
                <w:b/>
                <w:bCs/>
                <w:sz w:val="16"/>
                <w:szCs w:val="16"/>
              </w:rPr>
              <w:t>The risk in the intervention group</w:t>
            </w:r>
            <w:r w:rsidRPr="00C12274">
              <w:rPr>
                <w:rFonts w:ascii="Arial Narrow" w:eastAsia="Times New Roman" w:hAnsi="Arial Narrow"/>
                <w:sz w:val="16"/>
                <w:szCs w:val="16"/>
              </w:rPr>
              <w:t xml:space="preserve"> (and its 95% confidence interval) is based on the assumed risk in the comparison group and the </w:t>
            </w:r>
            <w:r w:rsidRPr="00C12274">
              <w:rPr>
                <w:rFonts w:ascii="Arial Narrow" w:eastAsia="Times New Roman" w:hAnsi="Arial Narrow"/>
                <w:b/>
                <w:bCs/>
                <w:sz w:val="16"/>
                <w:szCs w:val="16"/>
              </w:rPr>
              <w:t>relative effect</w:t>
            </w:r>
            <w:r w:rsidRPr="00C12274">
              <w:rPr>
                <w:rFonts w:ascii="Arial Narrow" w:eastAsia="Times New Roman" w:hAnsi="Arial Narrow"/>
                <w:sz w:val="16"/>
                <w:szCs w:val="16"/>
              </w:rPr>
              <w:t xml:space="preserve"> of the intervention (and its 95% CI). </w:t>
            </w:r>
            <w:r w:rsidRPr="00C12274">
              <w:rPr>
                <w:rFonts w:ascii="Arial Narrow" w:eastAsia="Times New Roman" w:hAnsi="Arial Narrow"/>
                <w:sz w:val="16"/>
                <w:szCs w:val="16"/>
              </w:rPr>
              <w:br/>
            </w:r>
            <w:r w:rsidRPr="00C12274">
              <w:rPr>
                <w:rFonts w:ascii="Arial Narrow" w:eastAsia="Times New Roman" w:hAnsi="Arial Narrow"/>
                <w:b/>
                <w:bCs/>
                <w:sz w:val="16"/>
                <w:szCs w:val="16"/>
              </w:rPr>
              <w:t>CI:</w:t>
            </w:r>
            <w:r w:rsidRPr="00C12274">
              <w:rPr>
                <w:rFonts w:ascii="Arial Narrow" w:eastAsia="Times New Roman" w:hAnsi="Arial Narrow"/>
                <w:sz w:val="16"/>
                <w:szCs w:val="16"/>
              </w:rPr>
              <w:t xml:space="preserve"> Confidence interval; </w:t>
            </w:r>
            <w:r w:rsidRPr="00C12274">
              <w:rPr>
                <w:rFonts w:ascii="Arial Narrow" w:eastAsia="Times New Roman" w:hAnsi="Arial Narrow"/>
                <w:b/>
                <w:bCs/>
                <w:sz w:val="16"/>
                <w:szCs w:val="16"/>
              </w:rPr>
              <w:t>MD:</w:t>
            </w:r>
            <w:r w:rsidRPr="00C12274">
              <w:rPr>
                <w:rFonts w:ascii="Arial Narrow" w:eastAsia="Times New Roman" w:hAnsi="Arial Narrow"/>
                <w:sz w:val="16"/>
                <w:szCs w:val="16"/>
              </w:rPr>
              <w:t xml:space="preserve"> Mean difference; </w:t>
            </w:r>
            <w:r w:rsidRPr="00C12274">
              <w:rPr>
                <w:rFonts w:ascii="Arial Narrow" w:eastAsia="Times New Roman" w:hAnsi="Arial Narrow"/>
                <w:b/>
                <w:bCs/>
                <w:sz w:val="16"/>
                <w:szCs w:val="16"/>
              </w:rPr>
              <w:t>RR:</w:t>
            </w:r>
            <w:r w:rsidRPr="00C12274">
              <w:rPr>
                <w:rFonts w:ascii="Arial Narrow" w:eastAsia="Times New Roman" w:hAnsi="Arial Narrow"/>
                <w:sz w:val="16"/>
                <w:szCs w:val="16"/>
              </w:rPr>
              <w:t xml:space="preserve"> Risk ratio </w:t>
            </w:r>
          </w:p>
        </w:tc>
      </w:tr>
      <w:tr w:rsidR="00A5540F" w:rsidRPr="00C12274" w14:paraId="549B5959" w14:textId="77777777" w:rsidTr="00A5540F">
        <w:trPr>
          <w:cantSplit/>
        </w:trPr>
        <w:tc>
          <w:tcPr>
            <w:tcW w:w="5000" w:type="pct"/>
            <w:gridSpan w:val="6"/>
            <w:tcBorders>
              <w:top w:val="single" w:sz="6" w:space="0" w:color="000000"/>
              <w:left w:val="nil"/>
              <w:bottom w:val="single" w:sz="6" w:space="0" w:color="000000"/>
              <w:right w:val="nil"/>
            </w:tcBorders>
            <w:vAlign w:val="center"/>
            <w:hideMark/>
          </w:tcPr>
          <w:p w14:paraId="5D16F3FF" w14:textId="77777777" w:rsidR="00A5540F" w:rsidRPr="00C12274" w:rsidRDefault="00A5540F" w:rsidP="00A5540F">
            <w:pPr>
              <w:spacing w:line="240" w:lineRule="auto"/>
              <w:rPr>
                <w:rFonts w:ascii="Arial Narrow" w:eastAsia="Times New Roman" w:hAnsi="Arial Narrow"/>
                <w:sz w:val="16"/>
                <w:szCs w:val="16"/>
              </w:rPr>
            </w:pPr>
            <w:r w:rsidRPr="00C12274">
              <w:rPr>
                <w:rFonts w:ascii="Arial Narrow" w:eastAsia="Times New Roman" w:hAnsi="Arial Narrow"/>
                <w:b/>
                <w:bCs/>
                <w:sz w:val="16"/>
                <w:szCs w:val="16"/>
              </w:rPr>
              <w:t>GRADE Working Group grades of evidence</w:t>
            </w:r>
            <w:r w:rsidRPr="00C12274">
              <w:rPr>
                <w:rFonts w:ascii="Arial Narrow" w:eastAsia="Times New Roman" w:hAnsi="Arial Narrow"/>
                <w:sz w:val="16"/>
                <w:szCs w:val="16"/>
              </w:rPr>
              <w:br/>
            </w:r>
            <w:r w:rsidRPr="00C12274">
              <w:rPr>
                <w:rFonts w:ascii="Arial Narrow" w:eastAsia="Times New Roman" w:hAnsi="Arial Narrow"/>
                <w:b/>
                <w:bCs/>
                <w:sz w:val="16"/>
                <w:szCs w:val="16"/>
              </w:rPr>
              <w:t>High certainty:</w:t>
            </w:r>
            <w:r w:rsidRPr="00C12274">
              <w:rPr>
                <w:rFonts w:ascii="Arial Narrow" w:eastAsia="Times New Roman" w:hAnsi="Arial Narrow"/>
                <w:sz w:val="16"/>
                <w:szCs w:val="16"/>
              </w:rPr>
              <w:t xml:space="preserve"> We are very confident that the true effect lies close to that of the estimate of the effect</w:t>
            </w:r>
            <w:r w:rsidRPr="00C12274">
              <w:rPr>
                <w:rFonts w:ascii="Arial Narrow" w:eastAsia="Times New Roman" w:hAnsi="Arial Narrow"/>
                <w:sz w:val="16"/>
                <w:szCs w:val="16"/>
              </w:rPr>
              <w:br/>
            </w:r>
            <w:r w:rsidRPr="00C12274">
              <w:rPr>
                <w:rFonts w:ascii="Arial Narrow" w:eastAsia="Times New Roman" w:hAnsi="Arial Narrow"/>
                <w:b/>
                <w:bCs/>
                <w:sz w:val="16"/>
                <w:szCs w:val="16"/>
              </w:rPr>
              <w:t>Moderate certainty:</w:t>
            </w:r>
            <w:r w:rsidRPr="00C12274">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sidRPr="00C12274">
              <w:rPr>
                <w:rFonts w:ascii="Arial Narrow" w:eastAsia="Times New Roman" w:hAnsi="Arial Narrow"/>
                <w:sz w:val="16"/>
                <w:szCs w:val="16"/>
              </w:rPr>
              <w:br/>
            </w:r>
            <w:r w:rsidRPr="00C12274">
              <w:rPr>
                <w:rFonts w:ascii="Arial Narrow" w:eastAsia="Times New Roman" w:hAnsi="Arial Narrow"/>
                <w:b/>
                <w:bCs/>
                <w:sz w:val="16"/>
                <w:szCs w:val="16"/>
              </w:rPr>
              <w:t>Low certainty:</w:t>
            </w:r>
            <w:r w:rsidRPr="00C12274">
              <w:rPr>
                <w:rFonts w:ascii="Arial Narrow" w:eastAsia="Times New Roman" w:hAnsi="Arial Narrow"/>
                <w:sz w:val="16"/>
                <w:szCs w:val="16"/>
              </w:rPr>
              <w:t xml:space="preserve"> Our confidence in the effect estimate is limited: The true effect may be substantially different from the estimate of the effect</w:t>
            </w:r>
            <w:r w:rsidRPr="00C12274">
              <w:rPr>
                <w:rFonts w:ascii="Arial Narrow" w:eastAsia="Times New Roman" w:hAnsi="Arial Narrow"/>
                <w:sz w:val="16"/>
                <w:szCs w:val="16"/>
              </w:rPr>
              <w:br/>
            </w:r>
            <w:r w:rsidRPr="00C12274">
              <w:rPr>
                <w:rFonts w:ascii="Arial Narrow" w:eastAsia="Times New Roman" w:hAnsi="Arial Narrow"/>
                <w:b/>
                <w:bCs/>
                <w:sz w:val="16"/>
                <w:szCs w:val="16"/>
              </w:rPr>
              <w:t>Very low certainty:</w:t>
            </w:r>
            <w:r w:rsidRPr="00C12274">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66BF91C2" w14:textId="77777777" w:rsidR="00A5540F" w:rsidRDefault="00A5540F" w:rsidP="00A5540F">
      <w:pPr>
        <w:spacing w:before="40" w:after="20" w:line="240" w:lineRule="auto"/>
        <w:rPr>
          <w:rFonts w:ascii="Arial Narrow" w:eastAsia="Times New Roman" w:hAnsi="Arial Narrow"/>
          <w:color w:val="000000"/>
          <w:sz w:val="16"/>
          <w:szCs w:val="16"/>
        </w:rPr>
      </w:pPr>
      <w:r w:rsidRPr="00C12274">
        <w:rPr>
          <w:rFonts w:ascii="Arial Narrow" w:eastAsia="Times New Roman" w:hAnsi="Arial Narrow"/>
          <w:color w:val="000000"/>
          <w:sz w:val="16"/>
          <w:szCs w:val="16"/>
        </w:rPr>
        <w:t xml:space="preserve">a. </w:t>
      </w:r>
      <w:r>
        <w:rPr>
          <w:rFonts w:ascii="Arial Narrow" w:eastAsia="Times New Roman" w:hAnsi="Arial Narrow"/>
          <w:color w:val="000000"/>
          <w:sz w:val="16"/>
          <w:szCs w:val="16"/>
        </w:rPr>
        <w:t>High or unclear risk of performance bias in all studies</w:t>
      </w:r>
    </w:p>
    <w:p w14:paraId="5E47A4EE" w14:textId="77777777" w:rsidR="00A5540F" w:rsidRPr="00C12274" w:rsidRDefault="00A5540F" w:rsidP="00A5540F">
      <w:pPr>
        <w:spacing w:line="240" w:lineRule="auto"/>
        <w:rPr>
          <w:rFonts w:ascii="Arial Narrow" w:eastAsia="Times New Roman" w:hAnsi="Arial Narrow"/>
          <w:color w:val="000000"/>
          <w:sz w:val="16"/>
          <w:szCs w:val="16"/>
        </w:rPr>
      </w:pPr>
    </w:p>
    <w:p w14:paraId="7D8F160C" w14:textId="77777777" w:rsidR="00A5540F" w:rsidRDefault="00A5540F" w:rsidP="00A5540F">
      <w:pPr>
        <w:pStyle w:val="Heading4"/>
        <w:sectPr w:rsidR="00A5540F" w:rsidSect="008A6B17">
          <w:pgSz w:w="11901" w:h="16817"/>
          <w:pgMar w:top="1134" w:right="1418" w:bottom="1134" w:left="1418" w:header="709" w:footer="709" w:gutter="0"/>
          <w:cols w:space="708"/>
          <w:docGrid w:linePitch="360"/>
        </w:sectPr>
      </w:pPr>
      <w:bookmarkStart w:id="214" w:name="_Toc1661203"/>
      <w:bookmarkStart w:id="215" w:name="_Toc3807156"/>
    </w:p>
    <w:p w14:paraId="754DD785" w14:textId="77777777" w:rsidR="00A5540F" w:rsidRPr="00C12274" w:rsidRDefault="00A5540F" w:rsidP="00A5540F">
      <w:pPr>
        <w:pStyle w:val="Heading4"/>
      </w:pPr>
      <w:r w:rsidRPr="00C12274">
        <w:t>Comparability of results with other reviews</w:t>
      </w:r>
      <w:bookmarkEnd w:id="214"/>
      <w:bookmarkEnd w:id="215"/>
      <w:r w:rsidRPr="00C12274">
        <w:t xml:space="preserve">  </w:t>
      </w:r>
    </w:p>
    <w:p w14:paraId="4652119C" w14:textId="77777777" w:rsidR="00A5540F" w:rsidRDefault="00A5540F" w:rsidP="00A5540F">
      <w:r w:rsidRPr="00C12274">
        <w:t>Other systematic reviews have included some RCTs that were excluded from this review due to wrong study population (eg women with high risk pregnancies for reasons other than BMI) or wrong comparator (eg not standard care). However, the results are largely comparable</w:t>
      </w:r>
      <w:r>
        <w:t xml:space="preserve"> with those of this review</w:t>
      </w:r>
      <w:r w:rsidRPr="00C12274">
        <w:t>, with most reviews finding a lower wei</w:t>
      </w:r>
      <w:r>
        <w:t xml:space="preserve">ght gain among women with </w:t>
      </w:r>
      <w:r w:rsidRPr="00C12274">
        <w:t xml:space="preserve">mixed </w:t>
      </w:r>
      <w:r>
        <w:t>BMIs</w:t>
      </w:r>
      <w:r w:rsidRPr="00C12274">
        <w:t>.</w:t>
      </w:r>
      <w:r>
        <w:t xml:space="preserve"> While this review found that intervention appeared to reduce gestational weight gain among women who were overweight or obese, other reviews found no clear difference in weight gain in this group.</w:t>
      </w:r>
    </w:p>
    <w:p w14:paraId="764683FF" w14:textId="6C7C1FA5" w:rsidR="00A5540F" w:rsidRPr="00C12274" w:rsidRDefault="00932C6D" w:rsidP="00932C6D">
      <w:pPr>
        <w:pStyle w:val="TableName"/>
      </w:pPr>
      <w:bookmarkStart w:id="216" w:name="_Toc40956681"/>
      <w:r>
        <w:t xml:space="preserve">Q9 </w:t>
      </w:r>
      <w:r w:rsidR="004A0E1A">
        <w:t>Findings</w:t>
      </w:r>
      <w:r w:rsidR="00A5540F" w:rsidRPr="00C12274">
        <w:t xml:space="preserve"> of </w:t>
      </w:r>
      <w:r w:rsidR="004A0E1A">
        <w:t xml:space="preserve">systematic </w:t>
      </w:r>
      <w:r w:rsidR="00A5540F" w:rsidRPr="00C12274">
        <w:t xml:space="preserve">reviews </w:t>
      </w:r>
      <w:r w:rsidR="00A5540F">
        <w:t xml:space="preserve">of exercise interventions </w:t>
      </w:r>
      <w:r w:rsidR="004A0E1A">
        <w:t>—</w:t>
      </w:r>
      <w:r w:rsidR="00A5540F">
        <w:t xml:space="preserve"> maternal</w:t>
      </w:r>
      <w:r w:rsidR="00A5540F" w:rsidRPr="00C12274">
        <w:t xml:space="preserve"> outcome</w:t>
      </w:r>
      <w:r w:rsidR="00A5540F">
        <w:t>s</w:t>
      </w:r>
      <w:bookmarkEnd w:id="216"/>
    </w:p>
    <w:tbl>
      <w:tblPr>
        <w:tblStyle w:val="TableGrid"/>
        <w:tblW w:w="9504" w:type="dxa"/>
        <w:tblLook w:val="04A0" w:firstRow="1" w:lastRow="0" w:firstColumn="1" w:lastColumn="0" w:noHBand="0" w:noVBand="1"/>
        <w:tblCaption w:val="Table 103: Q9 Findings of systematic reviews of exercise interventions — maternal outcomes"/>
      </w:tblPr>
      <w:tblGrid>
        <w:gridCol w:w="2841"/>
        <w:gridCol w:w="2547"/>
        <w:gridCol w:w="2982"/>
        <w:gridCol w:w="1134"/>
      </w:tblGrid>
      <w:tr w:rsidR="00A5540F" w:rsidRPr="00B87066" w14:paraId="28068CA9" w14:textId="77777777" w:rsidTr="00A5540F">
        <w:trPr>
          <w:tblHeader/>
        </w:trPr>
        <w:tc>
          <w:tcPr>
            <w:tcW w:w="2841" w:type="dxa"/>
            <w:tcBorders>
              <w:bottom w:val="single" w:sz="4" w:space="0" w:color="3B3474"/>
            </w:tcBorders>
          </w:tcPr>
          <w:p w14:paraId="0A42B51E" w14:textId="77777777" w:rsidR="00A5540F" w:rsidRPr="00B87066" w:rsidRDefault="00A5540F" w:rsidP="00A5540F">
            <w:pPr>
              <w:spacing w:before="40" w:after="40" w:line="240" w:lineRule="auto"/>
              <w:rPr>
                <w:b/>
                <w:sz w:val="16"/>
                <w:szCs w:val="16"/>
              </w:rPr>
            </w:pPr>
            <w:r w:rsidRPr="00B87066">
              <w:rPr>
                <w:b/>
                <w:sz w:val="16"/>
                <w:szCs w:val="16"/>
              </w:rPr>
              <w:t>Ref</w:t>
            </w:r>
          </w:p>
        </w:tc>
        <w:tc>
          <w:tcPr>
            <w:tcW w:w="2547" w:type="dxa"/>
            <w:tcBorders>
              <w:bottom w:val="single" w:sz="4" w:space="0" w:color="3B3474"/>
            </w:tcBorders>
          </w:tcPr>
          <w:p w14:paraId="3C2AED88" w14:textId="77777777" w:rsidR="00A5540F" w:rsidRPr="00B87066" w:rsidRDefault="00A5540F" w:rsidP="00A5540F">
            <w:pPr>
              <w:spacing w:before="40" w:after="40" w:line="240" w:lineRule="auto"/>
              <w:rPr>
                <w:b/>
                <w:sz w:val="16"/>
                <w:szCs w:val="16"/>
              </w:rPr>
            </w:pPr>
            <w:r w:rsidRPr="00B87066">
              <w:rPr>
                <w:b/>
                <w:sz w:val="16"/>
                <w:szCs w:val="16"/>
              </w:rPr>
              <w:t>Population</w:t>
            </w:r>
          </w:p>
        </w:tc>
        <w:tc>
          <w:tcPr>
            <w:tcW w:w="2982" w:type="dxa"/>
            <w:tcBorders>
              <w:bottom w:val="single" w:sz="4" w:space="0" w:color="3B3474"/>
            </w:tcBorders>
          </w:tcPr>
          <w:p w14:paraId="55E745A2" w14:textId="40BEEB66" w:rsidR="00A5540F" w:rsidRPr="00B87066" w:rsidRDefault="00FD63C3" w:rsidP="008E1F6E">
            <w:pPr>
              <w:spacing w:before="40" w:after="40" w:line="240" w:lineRule="auto"/>
              <w:jc w:val="center"/>
              <w:rPr>
                <w:b/>
                <w:sz w:val="16"/>
                <w:szCs w:val="16"/>
              </w:rPr>
            </w:pPr>
            <w:r>
              <w:rPr>
                <w:b/>
                <w:sz w:val="16"/>
                <w:szCs w:val="16"/>
              </w:rPr>
              <w:t>Effect</w:t>
            </w:r>
            <w:r w:rsidR="00A5540F" w:rsidRPr="00B87066">
              <w:rPr>
                <w:b/>
                <w:sz w:val="16"/>
                <w:szCs w:val="16"/>
              </w:rPr>
              <w:t xml:space="preserve"> (95% CI)</w:t>
            </w:r>
          </w:p>
        </w:tc>
        <w:tc>
          <w:tcPr>
            <w:tcW w:w="1134" w:type="dxa"/>
            <w:tcBorders>
              <w:bottom w:val="single" w:sz="4" w:space="0" w:color="3B3474"/>
            </w:tcBorders>
          </w:tcPr>
          <w:p w14:paraId="24673FC7" w14:textId="77777777" w:rsidR="00A5540F" w:rsidRPr="00B87066" w:rsidRDefault="00A5540F" w:rsidP="00A5540F">
            <w:pPr>
              <w:spacing w:before="40" w:after="40" w:line="240" w:lineRule="auto"/>
              <w:jc w:val="center"/>
              <w:rPr>
                <w:b/>
                <w:sz w:val="16"/>
                <w:szCs w:val="16"/>
              </w:rPr>
            </w:pPr>
            <w:r w:rsidRPr="00B87066">
              <w:rPr>
                <w:b/>
                <w:sz w:val="16"/>
                <w:szCs w:val="16"/>
              </w:rPr>
              <w:t>Number of studies</w:t>
            </w:r>
          </w:p>
        </w:tc>
      </w:tr>
      <w:tr w:rsidR="004A0E1A" w:rsidRPr="00B87066" w14:paraId="585A60D7" w14:textId="77777777" w:rsidTr="004A0E1A">
        <w:tc>
          <w:tcPr>
            <w:tcW w:w="9504" w:type="dxa"/>
            <w:gridSpan w:val="4"/>
            <w:shd w:val="clear" w:color="auto" w:fill="D9E2F3" w:themeFill="accent1" w:themeFillTint="33"/>
          </w:tcPr>
          <w:p w14:paraId="2E784E23" w14:textId="66107E5F" w:rsidR="004A0E1A" w:rsidRPr="00B87066" w:rsidRDefault="004A0E1A" w:rsidP="004A0E1A">
            <w:pPr>
              <w:pStyle w:val="RCTstable"/>
              <w:rPr>
                <w:i/>
              </w:rPr>
            </w:pPr>
            <w:r>
              <w:rPr>
                <w:i/>
              </w:rPr>
              <w:t>Mean gestational weight gain</w:t>
            </w:r>
          </w:p>
        </w:tc>
      </w:tr>
      <w:tr w:rsidR="004A0E1A" w:rsidRPr="00C12274" w14:paraId="1FE9355B" w14:textId="77777777" w:rsidTr="004A0E1A">
        <w:tc>
          <w:tcPr>
            <w:tcW w:w="2841" w:type="dxa"/>
            <w:vMerge w:val="restart"/>
            <w:shd w:val="clear" w:color="auto" w:fill="E7E6E6" w:themeFill="background2"/>
          </w:tcPr>
          <w:p w14:paraId="086A0CAF" w14:textId="77777777" w:rsidR="004A0E1A" w:rsidRPr="00C12274" w:rsidRDefault="004A0E1A" w:rsidP="004A0E1A">
            <w:pPr>
              <w:pStyle w:val="RCTstable"/>
              <w:rPr>
                <w:noProof/>
              </w:rPr>
            </w:pPr>
            <w:r>
              <w:rPr>
                <w:noProof/>
              </w:rPr>
              <w:t>Current review</w:t>
            </w:r>
          </w:p>
        </w:tc>
        <w:tc>
          <w:tcPr>
            <w:tcW w:w="2547" w:type="dxa"/>
            <w:shd w:val="clear" w:color="auto" w:fill="E7E6E6" w:themeFill="background2"/>
          </w:tcPr>
          <w:p w14:paraId="67755689" w14:textId="77777777" w:rsidR="004A0E1A" w:rsidRDefault="004A0E1A" w:rsidP="004A0E1A">
            <w:pPr>
              <w:pStyle w:val="RCTstable"/>
            </w:pPr>
            <w:r>
              <w:t>Mixed BMIs</w:t>
            </w:r>
          </w:p>
        </w:tc>
        <w:tc>
          <w:tcPr>
            <w:tcW w:w="2982" w:type="dxa"/>
            <w:shd w:val="clear" w:color="auto" w:fill="E7E6E6" w:themeFill="background2"/>
          </w:tcPr>
          <w:p w14:paraId="1B85B21E" w14:textId="6B385400" w:rsidR="004A0E1A" w:rsidRPr="00BE0624" w:rsidRDefault="008E1F6E" w:rsidP="004A0E1A">
            <w:pPr>
              <w:pStyle w:val="RCTstable"/>
              <w:jc w:val="center"/>
              <w:rPr>
                <w:rFonts w:eastAsiaTheme="majorEastAsia"/>
              </w:rPr>
            </w:pPr>
            <w:r>
              <w:rPr>
                <w:rFonts w:eastAsiaTheme="majorEastAsia"/>
              </w:rPr>
              <w:t xml:space="preserve">MD </w:t>
            </w:r>
            <w:r w:rsidR="004A0E1A" w:rsidRPr="00BE0624">
              <w:rPr>
                <w:rFonts w:eastAsiaTheme="majorEastAsia"/>
              </w:rPr>
              <w:t>−</w:t>
            </w:r>
            <w:r w:rsidR="004A0E1A" w:rsidRPr="00BE0624">
              <w:t>0.9</w:t>
            </w:r>
            <w:r w:rsidR="004F2B93">
              <w:t>5</w:t>
            </w:r>
            <w:r w:rsidR="004A0E1A" w:rsidRPr="00BE0624">
              <w:t xml:space="preserve"> kg (</w:t>
            </w:r>
            <w:r w:rsidR="004A0E1A" w:rsidRPr="00BE0624">
              <w:rPr>
                <w:rFonts w:eastAsiaTheme="majorEastAsia"/>
              </w:rPr>
              <w:t>−</w:t>
            </w:r>
            <w:r w:rsidR="004A0E1A" w:rsidRPr="00BE0624">
              <w:t>1.</w:t>
            </w:r>
            <w:r w:rsidR="004F2B93">
              <w:t>20</w:t>
            </w:r>
            <w:r w:rsidR="004A0E1A" w:rsidRPr="00BE0624">
              <w:t xml:space="preserve"> to </w:t>
            </w:r>
            <w:r w:rsidR="004A0E1A" w:rsidRPr="00BE0624">
              <w:rPr>
                <w:rFonts w:eastAsiaTheme="majorEastAsia"/>
              </w:rPr>
              <w:t>−</w:t>
            </w:r>
            <w:r w:rsidR="004A0E1A" w:rsidRPr="00BE0624">
              <w:t>0.</w:t>
            </w:r>
            <w:r w:rsidR="004F2B93">
              <w:t>69</w:t>
            </w:r>
            <w:r w:rsidR="004A0E1A" w:rsidRPr="00BE0624">
              <w:t>)</w:t>
            </w:r>
          </w:p>
        </w:tc>
        <w:tc>
          <w:tcPr>
            <w:tcW w:w="1134" w:type="dxa"/>
            <w:shd w:val="clear" w:color="auto" w:fill="E7E6E6" w:themeFill="background2"/>
          </w:tcPr>
          <w:p w14:paraId="730EF566" w14:textId="3E6070CE" w:rsidR="004A0E1A" w:rsidRPr="00BE0624" w:rsidRDefault="00FE7368" w:rsidP="004A0E1A">
            <w:pPr>
              <w:pStyle w:val="RCTstable"/>
              <w:jc w:val="center"/>
            </w:pPr>
            <w:r>
              <w:t>29</w:t>
            </w:r>
          </w:p>
        </w:tc>
      </w:tr>
      <w:tr w:rsidR="004A0E1A" w:rsidRPr="00C12274" w14:paraId="0E474136" w14:textId="77777777" w:rsidTr="004A0E1A">
        <w:tc>
          <w:tcPr>
            <w:tcW w:w="2841" w:type="dxa"/>
            <w:vMerge/>
            <w:shd w:val="clear" w:color="auto" w:fill="E7E6E6" w:themeFill="background2"/>
          </w:tcPr>
          <w:p w14:paraId="50B09BBB" w14:textId="77777777" w:rsidR="004A0E1A" w:rsidRPr="00C12274" w:rsidRDefault="004A0E1A" w:rsidP="004A0E1A">
            <w:pPr>
              <w:pStyle w:val="RCTstable"/>
              <w:rPr>
                <w:noProof/>
              </w:rPr>
            </w:pPr>
          </w:p>
        </w:tc>
        <w:tc>
          <w:tcPr>
            <w:tcW w:w="2547" w:type="dxa"/>
            <w:shd w:val="clear" w:color="auto" w:fill="E7E6E6" w:themeFill="background2"/>
          </w:tcPr>
          <w:p w14:paraId="22532D34" w14:textId="77777777" w:rsidR="004A0E1A" w:rsidRDefault="004A0E1A" w:rsidP="004A0E1A">
            <w:pPr>
              <w:pStyle w:val="RCTstable"/>
            </w:pPr>
            <w:r>
              <w:t>BMI ≥25</w:t>
            </w:r>
          </w:p>
        </w:tc>
        <w:tc>
          <w:tcPr>
            <w:tcW w:w="2982" w:type="dxa"/>
            <w:shd w:val="clear" w:color="auto" w:fill="E7E6E6" w:themeFill="background2"/>
          </w:tcPr>
          <w:p w14:paraId="6BF9D651" w14:textId="72CF14E4" w:rsidR="004A0E1A" w:rsidRPr="00BE0624" w:rsidRDefault="008E1F6E" w:rsidP="004A0E1A">
            <w:pPr>
              <w:pStyle w:val="RCTstable"/>
              <w:jc w:val="center"/>
              <w:rPr>
                <w:rFonts w:eastAsiaTheme="majorEastAsia"/>
              </w:rPr>
            </w:pPr>
            <w:r>
              <w:rPr>
                <w:rFonts w:eastAsiaTheme="majorEastAsia"/>
              </w:rPr>
              <w:t xml:space="preserve">MD </w:t>
            </w:r>
            <w:r w:rsidR="004A0E1A" w:rsidRPr="00BE0624">
              <w:rPr>
                <w:rFonts w:eastAsiaTheme="majorEastAsia"/>
              </w:rPr>
              <w:t>−</w:t>
            </w:r>
            <w:r w:rsidR="004A0E1A" w:rsidRPr="00BE0624">
              <w:t>0.84 kg (</w:t>
            </w:r>
            <w:r w:rsidR="004A0E1A" w:rsidRPr="00BE0624">
              <w:rPr>
                <w:rFonts w:eastAsiaTheme="majorEastAsia"/>
              </w:rPr>
              <w:t>−1.51 to −0.17)</w:t>
            </w:r>
          </w:p>
        </w:tc>
        <w:tc>
          <w:tcPr>
            <w:tcW w:w="1134" w:type="dxa"/>
            <w:shd w:val="clear" w:color="auto" w:fill="E7E6E6" w:themeFill="background2"/>
          </w:tcPr>
          <w:p w14:paraId="6A9FC4A1" w14:textId="77777777" w:rsidR="004A0E1A" w:rsidRPr="00BE0624" w:rsidRDefault="004A0E1A" w:rsidP="004A0E1A">
            <w:pPr>
              <w:pStyle w:val="RCTstable"/>
              <w:jc w:val="center"/>
            </w:pPr>
            <w:r w:rsidRPr="00BE0624">
              <w:t>14</w:t>
            </w:r>
          </w:p>
        </w:tc>
      </w:tr>
      <w:tr w:rsidR="0030644D" w:rsidRPr="00C12274" w14:paraId="58D2F6A5" w14:textId="77777777" w:rsidTr="004A0E1A">
        <w:tc>
          <w:tcPr>
            <w:tcW w:w="2841" w:type="dxa"/>
          </w:tcPr>
          <w:p w14:paraId="500C6FEC" w14:textId="08D4AF06" w:rsidR="0030644D" w:rsidRPr="00C12274" w:rsidRDefault="0030644D" w:rsidP="002747EA">
            <w:pPr>
              <w:pStyle w:val="RCTstable"/>
              <w:rPr>
                <w:noProof/>
              </w:rPr>
            </w:pPr>
            <w:r>
              <w:rPr>
                <w:noProof/>
              </w:rPr>
              <w:t>Bernabé et al 2018</w:t>
            </w:r>
            <w:r w:rsidR="00D07346">
              <w:rPr>
                <w:noProof/>
              </w:rPr>
              <w:fldChar w:fldCharType="begin"/>
            </w:r>
            <w:r w:rsidR="002747EA">
              <w:rPr>
                <w:noProof/>
              </w:rPr>
              <w:instrText xml:space="preserve"> ADDIN EN.CITE &lt;EndNote&gt;&lt;Cite&gt;&lt;Author&gt;Bernabé&lt;/Author&gt;&lt;Year&gt;2018&lt;/Year&gt;&lt;RecNum&gt;1936&lt;/RecNum&gt;&lt;DisplayText&gt;&lt;style face="superscript" font="Trebuchet MS" size="9"&gt;455&lt;/style&gt;&lt;/DisplayText&gt;&lt;record&gt;&lt;rec-number&gt;1936&lt;/rec-number&gt;&lt;foreign-keys&gt;&lt;key app="EN" db-id="exvasrfx2dtraoesasxp2szsxa2df502592x" timestamp="1588728380"&gt;1936&lt;/key&gt;&lt;key app="ENWeb" db-id=""&gt;0&lt;/key&gt;&lt;/foreign-keys&gt;&lt;ref-type name="Journal Article"&gt;17&lt;/ref-type&gt;&lt;contributors&gt;&lt;authors&gt;&lt;author&gt;Bernabé, R.,&lt;/author&gt;&lt;author&gt;Franco, E.,&lt;/author&gt;&lt;author&gt;Pérez Medina, T.,&lt;/author&gt;&lt;author&gt;Barakat, R.,&lt;/author&gt;&lt;/authors&gt;&lt;/contributors&gt;&lt;titles&gt;&lt;title&gt;Physical exercise during pregnancy and its influence on maternal weight gain&lt;/title&gt;&lt;secondary-title&gt;Prog Obstet Ginecol&lt;/secondary-title&gt;&lt;/titles&gt;&lt;periodical&gt;&lt;full-title&gt;Prog Obstet Ginecol&lt;/full-title&gt;&lt;/periodical&gt;&lt;pages&gt;285-98&lt;/pages&gt;&lt;volume&gt;61&lt;/volume&gt;&lt;number&gt;3&lt;/number&gt;&lt;dates&gt;&lt;year&gt;2018&lt;/year&gt;&lt;/dates&gt;&lt;urls&gt;&lt;/urls&gt;&lt;/record&gt;&lt;/Cite&gt;&lt;/EndNote&gt;</w:instrText>
            </w:r>
            <w:r w:rsidR="00D07346">
              <w:rPr>
                <w:noProof/>
              </w:rPr>
              <w:fldChar w:fldCharType="separate"/>
            </w:r>
            <w:r w:rsidR="002747EA" w:rsidRPr="002747EA">
              <w:rPr>
                <w:noProof/>
                <w:sz w:val="18"/>
                <w:vertAlign w:val="superscript"/>
              </w:rPr>
              <w:t>455</w:t>
            </w:r>
            <w:r w:rsidR="00D07346">
              <w:rPr>
                <w:noProof/>
              </w:rPr>
              <w:fldChar w:fldCharType="end"/>
            </w:r>
          </w:p>
        </w:tc>
        <w:tc>
          <w:tcPr>
            <w:tcW w:w="2547" w:type="dxa"/>
          </w:tcPr>
          <w:p w14:paraId="082E89E7" w14:textId="7B8D1D6D" w:rsidR="0030644D" w:rsidRDefault="0030644D" w:rsidP="004A0E1A">
            <w:pPr>
              <w:pStyle w:val="RCTstable"/>
            </w:pPr>
            <w:r>
              <w:t>Mixed BMIs</w:t>
            </w:r>
          </w:p>
        </w:tc>
        <w:tc>
          <w:tcPr>
            <w:tcW w:w="2982" w:type="dxa"/>
          </w:tcPr>
          <w:p w14:paraId="7C6D1C3C" w14:textId="50FFF08B" w:rsidR="0030644D" w:rsidRPr="00BE0624" w:rsidRDefault="008E1F6E" w:rsidP="004A0E1A">
            <w:pPr>
              <w:pStyle w:val="RCTstable"/>
              <w:jc w:val="center"/>
              <w:rPr>
                <w:rFonts w:eastAsiaTheme="majorEastAsia"/>
              </w:rPr>
            </w:pPr>
            <w:r>
              <w:rPr>
                <w:rFonts w:eastAsiaTheme="majorEastAsia"/>
              </w:rPr>
              <w:t xml:space="preserve">MD </w:t>
            </w:r>
            <w:r w:rsidR="0030644D" w:rsidRPr="00BE0624">
              <w:rPr>
                <w:rFonts w:eastAsiaTheme="majorEastAsia"/>
              </w:rPr>
              <w:t>−</w:t>
            </w:r>
            <w:r w:rsidR="0030644D">
              <w:rPr>
                <w:rFonts w:eastAsiaTheme="majorEastAsia"/>
              </w:rPr>
              <w:t>0.28 kg (</w:t>
            </w:r>
            <w:r w:rsidR="0030644D" w:rsidRPr="00BE0624">
              <w:rPr>
                <w:rFonts w:eastAsiaTheme="majorEastAsia"/>
              </w:rPr>
              <w:t>−</w:t>
            </w:r>
            <w:r w:rsidR="0030644D">
              <w:rPr>
                <w:rFonts w:eastAsiaTheme="majorEastAsia"/>
              </w:rPr>
              <w:t xml:space="preserve">0.37 to </w:t>
            </w:r>
            <w:r w:rsidR="0030644D" w:rsidRPr="00BE0624">
              <w:rPr>
                <w:rFonts w:eastAsiaTheme="majorEastAsia"/>
              </w:rPr>
              <w:t>−</w:t>
            </w:r>
            <w:r w:rsidR="0030644D">
              <w:rPr>
                <w:rFonts w:eastAsiaTheme="majorEastAsia"/>
              </w:rPr>
              <w:t>0.19)</w:t>
            </w:r>
          </w:p>
        </w:tc>
        <w:tc>
          <w:tcPr>
            <w:tcW w:w="1134" w:type="dxa"/>
          </w:tcPr>
          <w:p w14:paraId="00E12848" w14:textId="69D3AF30" w:rsidR="0030644D" w:rsidRDefault="001E01D1" w:rsidP="004A0E1A">
            <w:pPr>
              <w:pStyle w:val="RCTstable"/>
              <w:jc w:val="center"/>
            </w:pPr>
            <w:r>
              <w:t>42</w:t>
            </w:r>
          </w:p>
        </w:tc>
      </w:tr>
      <w:tr w:rsidR="004A0E1A" w:rsidRPr="00C12274" w14:paraId="71096531" w14:textId="77777777" w:rsidTr="004A0E1A">
        <w:tc>
          <w:tcPr>
            <w:tcW w:w="2841" w:type="dxa"/>
          </w:tcPr>
          <w:p w14:paraId="5E9D7D99" w14:textId="7EDFE732" w:rsidR="004A0E1A" w:rsidRPr="00C12274" w:rsidRDefault="004A0E1A" w:rsidP="002747EA">
            <w:pPr>
              <w:pStyle w:val="RCTstable"/>
            </w:pPr>
            <w:r w:rsidRPr="00C12274">
              <w:rPr>
                <w:noProof/>
              </w:rPr>
              <w:t>da Silva et al 2017b</w:t>
            </w:r>
            <w:r>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 </w:instrText>
            </w:r>
            <w:r w:rsidR="002747EA">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456</w:t>
            </w:r>
            <w:r>
              <w:fldChar w:fldCharType="end"/>
            </w:r>
          </w:p>
        </w:tc>
        <w:tc>
          <w:tcPr>
            <w:tcW w:w="2547" w:type="dxa"/>
          </w:tcPr>
          <w:p w14:paraId="5AE82D46" w14:textId="77777777" w:rsidR="004A0E1A" w:rsidRPr="00C12274" w:rsidRDefault="004A0E1A" w:rsidP="004A0E1A">
            <w:pPr>
              <w:pStyle w:val="RCTstable"/>
            </w:pPr>
            <w:r>
              <w:t>Mixed</w:t>
            </w:r>
            <w:r w:rsidRPr="00C12274">
              <w:t xml:space="preserve"> </w:t>
            </w:r>
            <w:r>
              <w:t>BMIs</w:t>
            </w:r>
          </w:p>
        </w:tc>
        <w:tc>
          <w:tcPr>
            <w:tcW w:w="2982" w:type="dxa"/>
          </w:tcPr>
          <w:p w14:paraId="181DB657" w14:textId="00A6E05F" w:rsidR="004A0E1A" w:rsidRPr="00BE0624" w:rsidRDefault="008E1F6E" w:rsidP="004A0E1A">
            <w:pPr>
              <w:pStyle w:val="RCTstable"/>
              <w:jc w:val="center"/>
            </w:pPr>
            <w:r>
              <w:rPr>
                <w:rFonts w:eastAsiaTheme="majorEastAsia"/>
              </w:rPr>
              <w:t xml:space="preserve">MD </w:t>
            </w:r>
            <w:r w:rsidR="004A0E1A" w:rsidRPr="00BE0624">
              <w:rPr>
                <w:rFonts w:eastAsiaTheme="majorEastAsia"/>
              </w:rPr>
              <w:t>−</w:t>
            </w:r>
            <w:r w:rsidR="004A0E1A" w:rsidRPr="00BE0624">
              <w:t>1.11 (</w:t>
            </w:r>
            <w:r w:rsidR="004A0E1A" w:rsidRPr="00BE0624">
              <w:rPr>
                <w:rFonts w:eastAsiaTheme="majorEastAsia"/>
              </w:rPr>
              <w:t>−</w:t>
            </w:r>
            <w:r w:rsidR="004A0E1A" w:rsidRPr="00BE0624">
              <w:t xml:space="preserve">1.53 to </w:t>
            </w:r>
            <w:r w:rsidR="004A0E1A" w:rsidRPr="00BE0624">
              <w:rPr>
                <w:rFonts w:eastAsiaTheme="majorEastAsia"/>
              </w:rPr>
              <w:t>−</w:t>
            </w:r>
            <w:r w:rsidR="004A0E1A" w:rsidRPr="00BE0624">
              <w:t>0.69)</w:t>
            </w:r>
          </w:p>
        </w:tc>
        <w:tc>
          <w:tcPr>
            <w:tcW w:w="1134" w:type="dxa"/>
          </w:tcPr>
          <w:p w14:paraId="46E8EE43" w14:textId="77777777" w:rsidR="004A0E1A" w:rsidRPr="00BE0624" w:rsidRDefault="004A0E1A" w:rsidP="004A0E1A">
            <w:pPr>
              <w:pStyle w:val="RCTstable"/>
              <w:jc w:val="center"/>
            </w:pPr>
            <w:r>
              <w:t>18</w:t>
            </w:r>
          </w:p>
        </w:tc>
      </w:tr>
      <w:tr w:rsidR="003D7703" w:rsidRPr="00C12274" w14:paraId="22BB390F" w14:textId="77777777" w:rsidTr="0002532B">
        <w:tc>
          <w:tcPr>
            <w:tcW w:w="2841" w:type="dxa"/>
          </w:tcPr>
          <w:p w14:paraId="757B17D6" w14:textId="38BB4A85" w:rsidR="003D7703" w:rsidRDefault="003D7703"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0E4E6DFF" w14:textId="77777777" w:rsidR="003D7703" w:rsidRDefault="003D7703" w:rsidP="0002532B">
            <w:pPr>
              <w:pStyle w:val="RCTstable"/>
            </w:pPr>
            <w:r>
              <w:t>Mixed BMIs</w:t>
            </w:r>
          </w:p>
        </w:tc>
        <w:tc>
          <w:tcPr>
            <w:tcW w:w="2982" w:type="dxa"/>
          </w:tcPr>
          <w:p w14:paraId="71DE8FD9" w14:textId="61CFC00D" w:rsidR="003D7703" w:rsidRPr="008E1F6E" w:rsidRDefault="008E1F6E" w:rsidP="003D7703">
            <w:pPr>
              <w:pStyle w:val="RCTstable"/>
              <w:jc w:val="center"/>
            </w:pPr>
            <w:r>
              <w:rPr>
                <w:rFonts w:eastAsiaTheme="majorEastAsia"/>
              </w:rPr>
              <w:t xml:space="preserve">MD </w:t>
            </w:r>
            <w:r w:rsidR="003D7703" w:rsidRPr="00BE0624">
              <w:rPr>
                <w:rFonts w:eastAsiaTheme="majorEastAsia"/>
              </w:rPr>
              <w:t>−</w:t>
            </w:r>
            <w:r w:rsidR="003D7703">
              <w:t>0.96 (</w:t>
            </w:r>
            <w:r w:rsidR="003D7703" w:rsidRPr="00BE0624">
              <w:rPr>
                <w:rFonts w:eastAsiaTheme="majorEastAsia"/>
              </w:rPr>
              <w:t>−</w:t>
            </w:r>
            <w:r w:rsidR="003D7703">
              <w:t>1.66</w:t>
            </w:r>
            <w:r w:rsidR="003D7703" w:rsidRPr="003D7703">
              <w:t xml:space="preserve"> </w:t>
            </w:r>
            <w:r w:rsidR="003D7703">
              <w:t xml:space="preserve">to </w:t>
            </w:r>
            <w:r w:rsidR="003D7703" w:rsidRPr="00BE0624">
              <w:rPr>
                <w:rFonts w:eastAsiaTheme="majorEastAsia"/>
              </w:rPr>
              <w:t>−</w:t>
            </w:r>
            <w:r w:rsidR="003D7703">
              <w:t>0.27)</w:t>
            </w:r>
          </w:p>
        </w:tc>
        <w:tc>
          <w:tcPr>
            <w:tcW w:w="1134" w:type="dxa"/>
          </w:tcPr>
          <w:p w14:paraId="02416B3A" w14:textId="086EE9B0" w:rsidR="003D7703" w:rsidRDefault="003D7703" w:rsidP="0002532B">
            <w:pPr>
              <w:pStyle w:val="RCTstable"/>
              <w:jc w:val="center"/>
            </w:pPr>
            <w:r>
              <w:t>11</w:t>
            </w:r>
          </w:p>
        </w:tc>
      </w:tr>
      <w:tr w:rsidR="004A0E1A" w:rsidRPr="00C12274" w14:paraId="7086F50A" w14:textId="77777777" w:rsidTr="004A0E1A">
        <w:tc>
          <w:tcPr>
            <w:tcW w:w="2841" w:type="dxa"/>
          </w:tcPr>
          <w:p w14:paraId="107BF560" w14:textId="5EA331A1" w:rsidR="004A0E1A" w:rsidRPr="00C12274" w:rsidRDefault="004A0E1A" w:rsidP="002747EA">
            <w:pPr>
              <w:pStyle w:val="RCTstable"/>
            </w:pPr>
            <w:r w:rsidRPr="00C12274">
              <w:rPr>
                <w:noProof/>
              </w:rPr>
              <w:t>Kramer &amp; McDonald 2006</w:t>
            </w:r>
            <w:r>
              <w:fldChar w:fldCharType="begin"/>
            </w:r>
            <w:r w:rsidR="002747EA">
              <w:instrText xml:space="preserve"> ADDIN EN.CITE &lt;EndNote&gt;&lt;Cite&gt;&lt;Author&gt;Kramer&lt;/Author&gt;&lt;Year&gt;2006&lt;/Year&gt;&lt;RecNum&gt;633&lt;/RecNum&gt;&lt;DisplayText&gt;&lt;style face="superscript" font="Trebuchet MS" size="9"&gt;291&lt;/style&gt;&lt;/DisplayText&gt;&lt;record&gt;&lt;rec-number&gt;633&lt;/rec-number&gt;&lt;foreign-keys&gt;&lt;key app="EN" db-id="exvasrfx2dtraoesasxp2szsxa2df502592x" timestamp="1540425550"&gt;633&lt;/key&gt;&lt;key app="ENWeb" db-id=""&gt;0&lt;/key&gt;&lt;/foreign-keys&gt;&lt;ref-type name="Journal Article"&gt;17&lt;/ref-type&gt;&lt;contributors&gt;&lt;authors&gt;&lt;author&gt;Kramer, Michael S.&lt;/author&gt;&lt;author&gt;McDonald, Sheila W.&lt;/author&gt;&lt;/authors&gt;&lt;/contributors&gt;&lt;titles&gt;&lt;title&gt;Aerobic exercise for women during pregnancy&lt;/title&gt;&lt;secondary-title&gt;Cochrane Database of Systematic Reviews&lt;/secondary-title&gt;&lt;/titles&gt;&lt;periodical&gt;&lt;full-title&gt;Cochrane Database of Systematic Reviews&lt;/full-title&gt;&lt;/periodical&gt;&lt;dates&gt;&lt;year&gt;2006&lt;/year&gt;&lt;/dates&gt;&lt;isbn&gt;14651858&lt;/isbn&gt;&lt;urls&gt;&lt;/urls&gt;&lt;electronic-resource-num&gt;10.1002/14651858.CD000180.pub2&lt;/electronic-resource-num&gt;&lt;/record&gt;&lt;/Cite&gt;&lt;/EndNote&gt;</w:instrText>
            </w:r>
            <w:r>
              <w:fldChar w:fldCharType="separate"/>
            </w:r>
            <w:r w:rsidR="002747EA" w:rsidRPr="002747EA">
              <w:rPr>
                <w:noProof/>
                <w:sz w:val="18"/>
                <w:vertAlign w:val="superscript"/>
              </w:rPr>
              <w:t>291</w:t>
            </w:r>
            <w:r>
              <w:fldChar w:fldCharType="end"/>
            </w:r>
          </w:p>
        </w:tc>
        <w:tc>
          <w:tcPr>
            <w:tcW w:w="2547" w:type="dxa"/>
          </w:tcPr>
          <w:p w14:paraId="7E811EFD" w14:textId="77777777" w:rsidR="004A0E1A" w:rsidRPr="00C12274" w:rsidRDefault="004A0E1A" w:rsidP="004A0E1A">
            <w:pPr>
              <w:pStyle w:val="RCTstable"/>
            </w:pPr>
            <w:r>
              <w:t>Mixed</w:t>
            </w:r>
            <w:r w:rsidRPr="00C12274">
              <w:t xml:space="preserve"> </w:t>
            </w:r>
            <w:r>
              <w:t>BMIs</w:t>
            </w:r>
          </w:p>
        </w:tc>
        <w:tc>
          <w:tcPr>
            <w:tcW w:w="2982" w:type="dxa"/>
          </w:tcPr>
          <w:p w14:paraId="3A8EDC2D" w14:textId="17639607" w:rsidR="004A0E1A" w:rsidRPr="00BE0624" w:rsidRDefault="008E1F6E" w:rsidP="004A0E1A">
            <w:pPr>
              <w:pStyle w:val="RCTstable"/>
              <w:jc w:val="center"/>
            </w:pPr>
            <w:r>
              <w:rPr>
                <w:rFonts w:eastAsiaTheme="majorEastAsia"/>
              </w:rPr>
              <w:t xml:space="preserve">MD </w:t>
            </w:r>
            <w:r w:rsidR="004A0E1A" w:rsidRPr="00BE0624">
              <w:t>0.79 (</w:t>
            </w:r>
            <w:r w:rsidR="004A0E1A" w:rsidRPr="00BE0624">
              <w:rPr>
                <w:rFonts w:eastAsiaTheme="majorEastAsia"/>
              </w:rPr>
              <w:t>−</w:t>
            </w:r>
            <w:r w:rsidR="004A0E1A" w:rsidRPr="00BE0624">
              <w:t>0.73 to 2.31)</w:t>
            </w:r>
          </w:p>
        </w:tc>
        <w:tc>
          <w:tcPr>
            <w:tcW w:w="1134" w:type="dxa"/>
          </w:tcPr>
          <w:p w14:paraId="15A18563" w14:textId="77777777" w:rsidR="004A0E1A" w:rsidRPr="00BE0624" w:rsidRDefault="004A0E1A" w:rsidP="004A0E1A">
            <w:pPr>
              <w:pStyle w:val="RCTstable"/>
              <w:jc w:val="center"/>
            </w:pPr>
            <w:r w:rsidRPr="00BE0624">
              <w:t>4</w:t>
            </w:r>
          </w:p>
        </w:tc>
      </w:tr>
      <w:tr w:rsidR="004A0E1A" w:rsidRPr="00C12274" w14:paraId="2588439C" w14:textId="77777777" w:rsidTr="004A0E1A">
        <w:tc>
          <w:tcPr>
            <w:tcW w:w="2841" w:type="dxa"/>
          </w:tcPr>
          <w:p w14:paraId="047364D1" w14:textId="3720B5E2" w:rsidR="004A0E1A" w:rsidRPr="00C12274" w:rsidRDefault="004A0E1A" w:rsidP="002747EA">
            <w:pPr>
              <w:pStyle w:val="RCTstable"/>
            </w:pPr>
            <w:r>
              <w:rPr>
                <w:noProof/>
              </w:rPr>
              <w:t>Sanabria-Martínez et al 2015</w:t>
            </w:r>
            <w:r>
              <w:fldChar w:fldCharType="begin">
                <w:fldData xml:space="preserve">PEVuZE5vdGU+PENpdGU+PEF1dGhvcj5TYW5hYnJpYS1NYXJ0aW5lejwvQXV0aG9yPjxZZWFyPjIw
MTU8L1llYXI+PFJlY051bT4xMTg1PC9SZWNOdW0+PERpc3BsYXlUZXh0PjxzdHlsZSBmYWNlPSJz
dXBlcnNjcmlwdCIgZm9udD0iVHJlYnVjaGV0IE1TIiBzaXplPSI5Ij40NTg8L3N0eWxlPjwvRGlz
cGxheVRleHQ+PHJlY29yZD48cmVjLW51bWJlcj4xMTg1PC9yZWMtbnVtYmVyPjxmb3JlaWduLWtl
eXM+PGtleSBhcHA9IkVOIiBkYi1pZD0iZXh2YXNyZngyZHRyYW9lc2FzeHAyc3pzeGEyZGY1MDI1
OTJ4IiB0aW1lc3RhbXA9IjE1NTkwMDc3NjYiPjExODU8L2tleT48L2ZvcmVpZ24ta2V5cz48cmVm
LXR5cGUgbmFtZT0iSm91cm5hbCBBcnRpY2xlIj4xNzwvcmVmLXR5cGU+PGNvbnRyaWJ1dG9ycz48
YXV0aG9ycz48YXV0aG9yPlNhbmFicmlhLU1hcnRpbmV6LCBHLjwvYXV0aG9yPjxhdXRob3I+R2Fy
Y2lhLUhlcm1vc28sIEEuPC9hdXRob3I+PGF1dGhvcj5Qb3lhdG9zLUxlb24sIFIuPC9hdXRob3I+
PGF1dGhvcj5BbHZhcmV6LUJ1ZW5vLCBDLjwvYXV0aG9yPjxhdXRob3I+U2FuY2hlei1Mb3Bleiwg
TS48L2F1dGhvcj48YXV0aG9yPk1hcnRpbmV6LVZpemNhaW5vLCBWLjwvYXV0aG9yPjwvYXV0aG9y
cz48L2NvbnRyaWJ1dG9ycz48YXV0aC1hZGRyZXNzPlZpcmdlbiBkZSBsYSBMdXogSG9zcGl0YWws
IEN1ZW5jYSwgU3BhaW4uJiN4RDtMYWJvcmF0b3JpbyBkZSBDaWVuY2lhcyBkZSBsYSBBY3Rpdmlk
YWQgRmlzaWNhLCBlbCBEZXBvcnRlIHkgbGEgU2FsdWQsIEZhY3VsdGFkIGRlIENpZW5jaWFzIE1l
ZGljYXMsIFVuaXZlcnNpZGFkIGRlIFNhbnRpYWdvIGRlIENoaWxlLCBVU0FDSCwgU2FudGlhZ28s
IENoaWxlLiYjeEQ7VW5pdmVyc2lkYWQgZGUgQ2FzdGlsbGEtTGEgTWFuY2hhLCBTb2NpYWwgYW5k
IEhlYWx0aCBDYXJlIFJlc2VhcmNoIENlbnRyZSwgQ3VlbmNhLCBTcGFpbi4mI3hEO1VuaXZlcnNp
ZGFkIGRlIENhc3RpbGxhLUxhIE1hbmNoYSwgU2Nob29sIG9mIEVkdWNhdGlvbiwgQ2l1ZGFkIFJl
YWwsIFNwYWluLjwvYXV0aC1hZGRyZXNzPjx0aXRsZXM+PHRpdGxlPkVmZmVjdGl2ZW5lc3Mgb2Yg
cGh5c2ljYWwgYWN0aXZpdHkgaW50ZXJ2ZW50aW9ucyBvbiBwcmV2ZW50aW5nIGdlc3RhdGlvbmFs
IGRpYWJldGVzIG1lbGxpdHVzIGFuZCBleGNlc3NpdmUgbWF0ZXJuYWwgd2VpZ2h0IGdhaW46IGEg
bWV0YS1hbmFseXNpczwvdGl0bGU+PHNlY29uZGFyeS10aXRsZT5CSk9HPC9zZWNvbmRhcnktdGl0
bGU+PC90aXRsZXM+PHBlcmlvZGljYWw+PGZ1bGwtdGl0bGU+QkpPRzwvZnVsbC10aXRsZT48L3Bl
cmlvZGljYWw+PHBhZ2VzPjExNjctNzQ8L3BhZ2VzPjx2b2x1bWU+MTIyPC92b2x1bWU+PG51bWJl
cj45PC9udW1iZXI+PGVkaXRpb24+MjAxNS8wNi8wNDwvZWRpdGlvbj48a2V5d29yZHM+PGtleXdv
cmQ+QWR1bHQ8L2tleXdvcmQ+PGtleXdvcmQ+RGlhYmV0ZXMsIEdlc3RhdGlvbmFsLypwcmV2ZW50
aW9uICZhbXA7IGNvbnRyb2w8L2tleXdvcmQ+PGtleXdvcmQ+RXZpZGVuY2UtQmFzZWQgUHJhY3Rp
Y2U8L2tleXdvcmQ+PGtleXdvcmQ+KkV4ZXJjaXNlPC9rZXl3b3JkPjxrZXl3b3JkPkZlbWFsZTwv
a2V5d29yZD48a2V5d29yZD5IdW1hbnM8L2tleXdvcmQ+PGtleXdvcmQ+UHJlZ25hbmN5PC9rZXl3
b3JkPjxrZXl3b3JkPlByZXZlbnRpdmUgTWVkaWNpbmUvbWV0aG9kczwva2V5d29yZD48a2V5d29y
ZD5SYW5kb21pemVkIENvbnRyb2xsZWQgVHJpYWxzIGFzIFRvcGljPC9rZXl3b3JkPjxrZXl3b3Jk
PlRyZWF0bWVudCBPdXRjb21lPC9rZXl3b3JkPjxrZXl3b3JkPipXZWlnaHQgR2Fpbjwva2V5d29y
ZD48a2V5d29yZD5FeGVyY2lzZTwva2V5d29yZD48a2V5d29yZD5nZXN0YXRpb25hbCBkaWFiZXRl
cyBtZWxsaXR1czwva2V5d29yZD48a2V5d29yZD5tYXRlcm5hbCB3ZWlnaHQgZ2Fpbjwva2V5d29y
ZD48a2V5d29yZD5waHlzaWNhbCBhY3Rpdml0eTwva2V5d29yZD48L2tleXdvcmRzPjxkYXRlcz48
eWVhcj4yMDE1PC95ZWFyPjxwdWItZGF0ZXM+PGRhdGU+QXVnPC9kYXRlPjwvcHViLWRhdGVzPjwv
ZGF0ZXM+PGlzYm4+MTQ3MS0wNTI4IChFbGVjdHJvbmljKSYjeEQ7MTQ3MC0wMzI4IChMaW5raW5n
KTwvaXNibj48YWNjZXNzaW9uLW51bT4yNjAzNjMwMDwvYWNjZXNzaW9uLW51bT48dXJscz48cmVs
YXRlZC11cmxzPjx1cmw+aHR0cHM6Ly93d3cubmNiaS5ubG0ubmloLmdvdi9wdWJtZWQvMjYwMzYz
MDA8L3VybD48L3JlbGF0ZWQtdXJscz48L3VybHM+PGVsZWN0cm9uaWMtcmVzb3VyY2UtbnVtPjEw
LjExMTEvMTQ3MS0wNTI4LjEzNDI5PC9lbGVjdHJvbmljLXJlc291cmNlLW51bT48L3JlY29yZD48
L0NpdGU+PC9FbmROb3RlPgB=
</w:fldData>
              </w:fldChar>
            </w:r>
            <w:r w:rsidR="002747EA">
              <w:instrText xml:space="preserve"> ADDIN EN.CITE </w:instrText>
            </w:r>
            <w:r w:rsidR="002747EA">
              <w:fldChar w:fldCharType="begin">
                <w:fldData xml:space="preserve">PEVuZE5vdGU+PENpdGU+PEF1dGhvcj5TYW5hYnJpYS1NYXJ0aW5lejwvQXV0aG9yPjxZZWFyPjIw
MTU8L1llYXI+PFJlY051bT4xMTg1PC9SZWNOdW0+PERpc3BsYXlUZXh0PjxzdHlsZSBmYWNlPSJz
dXBlcnNjcmlwdCIgZm9udD0iVHJlYnVjaGV0IE1TIiBzaXplPSI5Ij40NTg8L3N0eWxlPjwvRGlz
cGxheVRleHQ+PHJlY29yZD48cmVjLW51bWJlcj4xMTg1PC9yZWMtbnVtYmVyPjxmb3JlaWduLWtl
eXM+PGtleSBhcHA9IkVOIiBkYi1pZD0iZXh2YXNyZngyZHRyYW9lc2FzeHAyc3pzeGEyZGY1MDI1
OTJ4IiB0aW1lc3RhbXA9IjE1NTkwMDc3NjYiPjExODU8L2tleT48L2ZvcmVpZ24ta2V5cz48cmVm
LXR5cGUgbmFtZT0iSm91cm5hbCBBcnRpY2xlIj4xNzwvcmVmLXR5cGU+PGNvbnRyaWJ1dG9ycz48
YXV0aG9ycz48YXV0aG9yPlNhbmFicmlhLU1hcnRpbmV6LCBHLjwvYXV0aG9yPjxhdXRob3I+R2Fy
Y2lhLUhlcm1vc28sIEEuPC9hdXRob3I+PGF1dGhvcj5Qb3lhdG9zLUxlb24sIFIuPC9hdXRob3I+
PGF1dGhvcj5BbHZhcmV6LUJ1ZW5vLCBDLjwvYXV0aG9yPjxhdXRob3I+U2FuY2hlei1Mb3Bleiwg
TS48L2F1dGhvcj48YXV0aG9yPk1hcnRpbmV6LVZpemNhaW5vLCBWLjwvYXV0aG9yPjwvYXV0aG9y
cz48L2NvbnRyaWJ1dG9ycz48YXV0aC1hZGRyZXNzPlZpcmdlbiBkZSBsYSBMdXogSG9zcGl0YWws
IEN1ZW5jYSwgU3BhaW4uJiN4RDtMYWJvcmF0b3JpbyBkZSBDaWVuY2lhcyBkZSBsYSBBY3Rpdmlk
YWQgRmlzaWNhLCBlbCBEZXBvcnRlIHkgbGEgU2FsdWQsIEZhY3VsdGFkIGRlIENpZW5jaWFzIE1l
ZGljYXMsIFVuaXZlcnNpZGFkIGRlIFNhbnRpYWdvIGRlIENoaWxlLCBVU0FDSCwgU2FudGlhZ28s
IENoaWxlLiYjeEQ7VW5pdmVyc2lkYWQgZGUgQ2FzdGlsbGEtTGEgTWFuY2hhLCBTb2NpYWwgYW5k
IEhlYWx0aCBDYXJlIFJlc2VhcmNoIENlbnRyZSwgQ3VlbmNhLCBTcGFpbi4mI3hEO1VuaXZlcnNp
ZGFkIGRlIENhc3RpbGxhLUxhIE1hbmNoYSwgU2Nob29sIG9mIEVkdWNhdGlvbiwgQ2l1ZGFkIFJl
YWwsIFNwYWluLjwvYXV0aC1hZGRyZXNzPjx0aXRsZXM+PHRpdGxlPkVmZmVjdGl2ZW5lc3Mgb2Yg
cGh5c2ljYWwgYWN0aXZpdHkgaW50ZXJ2ZW50aW9ucyBvbiBwcmV2ZW50aW5nIGdlc3RhdGlvbmFs
IGRpYWJldGVzIG1lbGxpdHVzIGFuZCBleGNlc3NpdmUgbWF0ZXJuYWwgd2VpZ2h0IGdhaW46IGEg
bWV0YS1hbmFseXNpczwvdGl0bGU+PHNlY29uZGFyeS10aXRsZT5CSk9HPC9zZWNvbmRhcnktdGl0
bGU+PC90aXRsZXM+PHBlcmlvZGljYWw+PGZ1bGwtdGl0bGU+QkpPRzwvZnVsbC10aXRsZT48L3Bl
cmlvZGljYWw+PHBhZ2VzPjExNjctNzQ8L3BhZ2VzPjx2b2x1bWU+MTIyPC92b2x1bWU+PG51bWJl
cj45PC9udW1iZXI+PGVkaXRpb24+MjAxNS8wNi8wNDwvZWRpdGlvbj48a2V5d29yZHM+PGtleXdv
cmQ+QWR1bHQ8L2tleXdvcmQ+PGtleXdvcmQ+RGlhYmV0ZXMsIEdlc3RhdGlvbmFsLypwcmV2ZW50
aW9uICZhbXA7IGNvbnRyb2w8L2tleXdvcmQ+PGtleXdvcmQ+RXZpZGVuY2UtQmFzZWQgUHJhY3Rp
Y2U8L2tleXdvcmQ+PGtleXdvcmQ+KkV4ZXJjaXNlPC9rZXl3b3JkPjxrZXl3b3JkPkZlbWFsZTwv
a2V5d29yZD48a2V5d29yZD5IdW1hbnM8L2tleXdvcmQ+PGtleXdvcmQ+UHJlZ25hbmN5PC9rZXl3
b3JkPjxrZXl3b3JkPlByZXZlbnRpdmUgTWVkaWNpbmUvbWV0aG9kczwva2V5d29yZD48a2V5d29y
ZD5SYW5kb21pemVkIENvbnRyb2xsZWQgVHJpYWxzIGFzIFRvcGljPC9rZXl3b3JkPjxrZXl3b3Jk
PlRyZWF0bWVudCBPdXRjb21lPC9rZXl3b3JkPjxrZXl3b3JkPipXZWlnaHQgR2Fpbjwva2V5d29y
ZD48a2V5d29yZD5FeGVyY2lzZTwva2V5d29yZD48a2V5d29yZD5nZXN0YXRpb25hbCBkaWFiZXRl
cyBtZWxsaXR1czwva2V5d29yZD48a2V5d29yZD5tYXRlcm5hbCB3ZWlnaHQgZ2Fpbjwva2V5d29y
ZD48a2V5d29yZD5waHlzaWNhbCBhY3Rpdml0eTwva2V5d29yZD48L2tleXdvcmRzPjxkYXRlcz48
eWVhcj4yMDE1PC95ZWFyPjxwdWItZGF0ZXM+PGRhdGU+QXVnPC9kYXRlPjwvcHViLWRhdGVzPjwv
ZGF0ZXM+PGlzYm4+MTQ3MS0wNTI4IChFbGVjdHJvbmljKSYjeEQ7MTQ3MC0wMzI4IChMaW5raW5n
KTwvaXNibj48YWNjZXNzaW9uLW51bT4yNjAzNjMwMDwvYWNjZXNzaW9uLW51bT48dXJscz48cmVs
YXRlZC11cmxzPjx1cmw+aHR0cHM6Ly93d3cubmNiaS5ubG0ubmloLmdvdi9wdWJtZWQvMjYwMzYz
MDA8L3VybD48L3JlbGF0ZWQtdXJscz48L3VybHM+PGVsZWN0cm9uaWMtcmVzb3VyY2UtbnVtPjEw
LjExMTEvMTQ3MS0wNTI4LjEzNDI5PC9lbGVjdHJvbmljLXJlc291cmNlLW51bT48L3JlY29yZD48
L0NpdGU+PC9FbmROb3RlPgB=
</w:fldData>
              </w:fldChar>
            </w:r>
            <w:r w:rsidR="002747EA">
              <w:instrText xml:space="preserve"> ADDIN EN.CITE.DATA </w:instrText>
            </w:r>
            <w:r w:rsidR="002747EA">
              <w:fldChar w:fldCharType="end"/>
            </w:r>
            <w:r>
              <w:fldChar w:fldCharType="separate"/>
            </w:r>
            <w:r w:rsidR="002747EA" w:rsidRPr="002747EA">
              <w:rPr>
                <w:noProof/>
                <w:sz w:val="18"/>
                <w:vertAlign w:val="superscript"/>
              </w:rPr>
              <w:t>458</w:t>
            </w:r>
            <w:r>
              <w:fldChar w:fldCharType="end"/>
            </w:r>
          </w:p>
        </w:tc>
        <w:tc>
          <w:tcPr>
            <w:tcW w:w="2547" w:type="dxa"/>
          </w:tcPr>
          <w:p w14:paraId="59EF53DB" w14:textId="77777777" w:rsidR="004A0E1A" w:rsidRPr="00C12274" w:rsidRDefault="004A0E1A" w:rsidP="004A0E1A">
            <w:pPr>
              <w:pStyle w:val="RCTstable"/>
            </w:pPr>
            <w:r>
              <w:t>Mixed BMIs</w:t>
            </w:r>
          </w:p>
        </w:tc>
        <w:tc>
          <w:tcPr>
            <w:tcW w:w="2982" w:type="dxa"/>
          </w:tcPr>
          <w:p w14:paraId="4D70DFA9" w14:textId="3C8C4510" w:rsidR="004A0E1A" w:rsidRPr="00BE0624" w:rsidRDefault="008E1F6E" w:rsidP="004A0E1A">
            <w:pPr>
              <w:pStyle w:val="RCTstable"/>
              <w:jc w:val="center"/>
            </w:pPr>
            <w:r>
              <w:rPr>
                <w:rFonts w:eastAsiaTheme="majorEastAsia"/>
              </w:rPr>
              <w:t xml:space="preserve">MD </w:t>
            </w:r>
            <w:r w:rsidR="004A0E1A" w:rsidRPr="00BE0624">
              <w:rPr>
                <w:rFonts w:eastAsiaTheme="majorEastAsia"/>
              </w:rPr>
              <w:t>−</w:t>
            </w:r>
            <w:r w:rsidR="004A0E1A" w:rsidRPr="00BE0624">
              <w:t>1.14 kg (</w:t>
            </w:r>
            <w:r w:rsidR="004A0E1A" w:rsidRPr="00BE0624">
              <w:rPr>
                <w:rFonts w:eastAsiaTheme="majorEastAsia"/>
              </w:rPr>
              <w:t>−</w:t>
            </w:r>
            <w:r w:rsidR="004A0E1A" w:rsidRPr="00BE0624">
              <w:t xml:space="preserve">1.50 to </w:t>
            </w:r>
            <w:r w:rsidR="004A0E1A" w:rsidRPr="00BE0624">
              <w:rPr>
                <w:rFonts w:eastAsiaTheme="majorEastAsia"/>
              </w:rPr>
              <w:t>−</w:t>
            </w:r>
            <w:r w:rsidR="004A0E1A" w:rsidRPr="00BE0624">
              <w:t>0.78)</w:t>
            </w:r>
          </w:p>
        </w:tc>
        <w:tc>
          <w:tcPr>
            <w:tcW w:w="1134" w:type="dxa"/>
          </w:tcPr>
          <w:p w14:paraId="7E412DD5" w14:textId="77777777" w:rsidR="004A0E1A" w:rsidRPr="00BE0624" w:rsidRDefault="004A0E1A" w:rsidP="004A0E1A">
            <w:pPr>
              <w:pStyle w:val="RCTstable"/>
              <w:jc w:val="center"/>
            </w:pPr>
            <w:r w:rsidRPr="00BE0624">
              <w:t>13</w:t>
            </w:r>
          </w:p>
        </w:tc>
      </w:tr>
      <w:tr w:rsidR="004A0E1A" w:rsidRPr="00C12274" w14:paraId="5DC3FBAE" w14:textId="77777777" w:rsidTr="004A0E1A">
        <w:tc>
          <w:tcPr>
            <w:tcW w:w="2841" w:type="dxa"/>
          </w:tcPr>
          <w:p w14:paraId="77967BA1" w14:textId="1B2C2A0B" w:rsidR="004A0E1A" w:rsidRPr="00C12274" w:rsidRDefault="004A0E1A" w:rsidP="002747EA">
            <w:pPr>
              <w:pStyle w:val="RCTstable"/>
            </w:pPr>
            <w:r w:rsidRPr="00C12274">
              <w:rPr>
                <w:noProof/>
              </w:rPr>
              <w:t>Wiebe et al 2015</w:t>
            </w:r>
            <w:r>
              <w:fldChar w:fldCharType="begin"/>
            </w:r>
            <w:r w:rsidR="002747EA">
              <w:instrText xml:space="preserve"> ADDIN EN.CITE &lt;EndNote&gt;&lt;Cite&gt;&lt;Author&gt;Wiebe&lt;/Author&gt;&lt;Year&gt;2015&lt;/Year&gt;&lt;RecNum&gt;583&lt;/RecNum&gt;&lt;DisplayText&gt;&lt;style face="superscript" font="Trebuchet MS" size="9"&gt;459&lt;/style&gt;&lt;/DisplayText&gt;&lt;record&gt;&lt;rec-number&gt;583&lt;/rec-number&gt;&lt;foreign-keys&gt;&lt;key app="EN" db-id="exvasrfx2dtraoesasxp2szsxa2df502592x" timestamp="1536367432"&gt;583&lt;/key&gt;&lt;/foreign-keys&gt;&lt;ref-type name="Journal Article"&gt;17&lt;/ref-type&gt;&lt;contributors&gt;&lt;authors&gt;&lt;author&gt;Wiebe, H. W.&lt;/author&gt;&lt;author&gt;Boule, N. G.&lt;/author&gt;&lt;author&gt;Chari, R.&lt;/author&gt;&lt;author&gt;Davenport, M. H.&lt;/author&gt;&lt;/authors&gt;&lt;/contributors&gt;&lt;auth-address&gt;Program for Pregnancy and Postpartum Health and Physical Activity and Diabetes Laboratory, Faculty of Physical Education and Recreation, the Women and Children&amp;apos;s Health Research Institute, the Alberta Diabetes Institute, and the Department of Obstetrics and Gynecology, University of Alberta, Edmonton, Alberta, Canada.&lt;/auth-address&gt;&lt;titles&gt;&lt;title&gt;The effect of supervised prenatal exercise on fetal growth: a meta-analysis&lt;/title&gt;&lt;secondary-title&gt;Obstet Gynecol&lt;/secondary-title&gt;&lt;/titles&gt;&lt;periodical&gt;&lt;full-title&gt;Obstet Gynecol&lt;/full-title&gt;&lt;/periodical&gt;&lt;pages&gt;1185-94&lt;/pages&gt;&lt;volume&gt;125&lt;/volume&gt;&lt;number&gt;5&lt;/number&gt;&lt;edition&gt;2015/05/02&lt;/edition&gt;&lt;keywords&gt;&lt;keyword&gt;Birth Weight/*physiology&lt;/keyword&gt;&lt;keyword&gt;Exercise/*physiology&lt;/keyword&gt;&lt;keyword&gt;Female&lt;/keyword&gt;&lt;keyword&gt;Fetal Development/*physiology&lt;/keyword&gt;&lt;keyword&gt;Fetal Macrosomia/epidemiology/prevention &amp;amp; control&lt;/keyword&gt;&lt;keyword&gt;Fetus/*physiology&lt;/keyword&gt;&lt;keyword&gt;Humans&lt;/keyword&gt;&lt;keyword&gt;Pregnancy&lt;/keyword&gt;&lt;keyword&gt;Pregnancy Outcome&lt;/keyword&gt;&lt;keyword&gt;Prenatal Care&lt;/keyword&gt;&lt;keyword&gt;Standard of Care&lt;/keyword&gt;&lt;/keywords&gt;&lt;dates&gt;&lt;year&gt;2015&lt;/year&gt;&lt;pub-dates&gt;&lt;date&gt;May&lt;/date&gt;&lt;/pub-dates&gt;&lt;/dates&gt;&lt;isbn&gt;1873-233X (Electronic)&amp;#xD;0029-7844 (Linking)&lt;/isbn&gt;&lt;accession-num&gt;25932847&lt;/accession-num&gt;&lt;urls&gt;&lt;related-urls&gt;&lt;url&gt;https://www.ncbi.nlm.nih.gov/pubmed/25932847&lt;/url&gt;&lt;/related-urls&gt;&lt;/urls&gt;&lt;electronic-resource-num&gt;10.1097/AOG.0000000000000801&lt;/electronic-resource-num&gt;&lt;/record&gt;&lt;/Cite&gt;&lt;/EndNote&gt;</w:instrText>
            </w:r>
            <w:r>
              <w:fldChar w:fldCharType="separate"/>
            </w:r>
            <w:r w:rsidR="002747EA" w:rsidRPr="002747EA">
              <w:rPr>
                <w:noProof/>
                <w:sz w:val="18"/>
                <w:vertAlign w:val="superscript"/>
              </w:rPr>
              <w:t>459</w:t>
            </w:r>
            <w:r>
              <w:fldChar w:fldCharType="end"/>
            </w:r>
          </w:p>
        </w:tc>
        <w:tc>
          <w:tcPr>
            <w:tcW w:w="2547" w:type="dxa"/>
          </w:tcPr>
          <w:p w14:paraId="6311C606" w14:textId="77777777" w:rsidR="004A0E1A" w:rsidRPr="00C12274" w:rsidRDefault="004A0E1A" w:rsidP="004A0E1A">
            <w:pPr>
              <w:pStyle w:val="RCTstable"/>
            </w:pPr>
            <w:r>
              <w:t>Mixed BMIs</w:t>
            </w:r>
          </w:p>
        </w:tc>
        <w:tc>
          <w:tcPr>
            <w:tcW w:w="2982" w:type="dxa"/>
          </w:tcPr>
          <w:p w14:paraId="3BE6BBCE" w14:textId="5CE5CEEB" w:rsidR="004A0E1A" w:rsidRPr="00BE0624" w:rsidRDefault="008E1F6E" w:rsidP="004A0E1A">
            <w:pPr>
              <w:pStyle w:val="RCTstable"/>
              <w:jc w:val="center"/>
            </w:pPr>
            <w:r>
              <w:rPr>
                <w:rFonts w:eastAsiaTheme="majorEastAsia"/>
              </w:rPr>
              <w:t xml:space="preserve">MD </w:t>
            </w:r>
            <w:r w:rsidR="004A0E1A" w:rsidRPr="00BE0624">
              <w:rPr>
                <w:rFonts w:eastAsiaTheme="majorEastAsia"/>
              </w:rPr>
              <w:t>−1.12 (−1.61 to -0.62)</w:t>
            </w:r>
          </w:p>
        </w:tc>
        <w:tc>
          <w:tcPr>
            <w:tcW w:w="1134" w:type="dxa"/>
          </w:tcPr>
          <w:p w14:paraId="1DBFAFB2" w14:textId="77777777" w:rsidR="004A0E1A" w:rsidRPr="00BE0624" w:rsidRDefault="004A0E1A" w:rsidP="004A0E1A">
            <w:pPr>
              <w:pStyle w:val="RCTstable"/>
              <w:jc w:val="center"/>
            </w:pPr>
            <w:r w:rsidRPr="00BE0624">
              <w:t>15</w:t>
            </w:r>
          </w:p>
        </w:tc>
      </w:tr>
      <w:tr w:rsidR="004A0E1A" w:rsidRPr="00C12274" w14:paraId="365448AB" w14:textId="77777777" w:rsidTr="004A0E1A">
        <w:tc>
          <w:tcPr>
            <w:tcW w:w="2841" w:type="dxa"/>
          </w:tcPr>
          <w:p w14:paraId="429B2F02" w14:textId="374835A4" w:rsidR="004A0E1A" w:rsidRPr="00C12274" w:rsidRDefault="004A0E1A" w:rsidP="002747EA">
            <w:pPr>
              <w:pStyle w:val="RCTstable"/>
            </w:pPr>
            <w:r w:rsidRPr="00C12274">
              <w:rPr>
                <w:noProof/>
              </w:rPr>
              <w:t>Choi et al 2013</w:t>
            </w:r>
            <w:r>
              <w:fldChar w:fldCharType="begin">
                <w:fldData xml:space="preserve">PEVuZE5vdGU+PENpdGU+PEF1dGhvcj5DaG9pPC9BdXRob3I+PFllYXI+MjAxMzwvWWVhcj48UmVj
TnVtPjEwNzQ8L1JlY051bT48RGlzcGxheVRleHQ+PHN0eWxlIGZhY2U9InN1cGVyc2NyaXB0IiBm
b250PSJUcmVidWNoZXQgTVMiIHNpemU9IjkiPjQ2MDwvc3R5bGU+PC9EaXNwbGF5VGV4dD48cmVj
b3JkPjxyZWMtbnVtYmVyPjEwNzQ8L3JlYy1udW1iZXI+PGZvcmVpZ24ta2V5cz48a2V5IGFwcD0i
RU4iIGRiLWlkPSJleHZhc3JmeDJkdHJhb2VzYXN4cDJzenN4YTJkZjUwMjU5MngiIHRpbWVzdGFt
cD0iMTU1MTI0MzE4MyI+MTA3NDwva2V5PjxrZXkgYXBwPSJFTldlYiIgZGItaWQ9IiI+MDwva2V5
PjwvZm9yZWlnbi1rZXlzPjxyZWYtdHlwZSBuYW1lPSJKb3VybmFsIEFydGljbGUiPjE3PC9yZWYt
dHlwZT48Y29udHJpYnV0b3JzPjxhdXRob3JzPjxhdXRob3I+Q2hvaSwgSi48L2F1dGhvcj48YXV0
aG9yPkZ1a3Vva2EsIFkuPC9hdXRob3I+PGF1dGhvcj5MZWUsIEouIEguPC9hdXRob3I+PC9hdXRo
b3JzPjwvY29udHJpYnV0b3JzPjxhdXRoLWFkZHJlc3M+VW5pdmVyc2l0eSBvZiBDYWxpZm9ybmlh
IGF0IFNhbiBGcmFuY2lzY28sIEluc3RpdHV0ZSBvZiBIZWFsdGggJmFtcDsgQWdpbmcsIFNhbiBG
cmFuY2lzY28sIENBIDk0MTE4LCBVU0EuIGppd29uLmNob2lAbnVyc2luZy51Y3NmLmVkdTwvYXV0
aC1hZGRyZXNzPjx0aXRsZXM+PHRpdGxlPlRoZSBlZmZlY3RzIG9mIHBoeXNpY2FsIGFjdGl2aXR5
IGFuZCBwaHlzaWNhbCBhY3Rpdml0eSBwbHVzIGRpZXQgaW50ZXJ2ZW50aW9ucyBvbiBib2R5IHdl
aWdodCBpbiBvdmVyd2VpZ2h0IG9yIG9iZXNlIHdvbWVuIHdobyBhcmUgcHJlZ25hbnQgb3IgaW4g
cG9zdHBhcnR1bTogYSBzeXN0ZW1hdGljIHJldmlldyBhbmQgbWV0YS1hbmFseXNpcyBvZiByYW5k
b21pemVkIGNvbnRyb2xsZWQgdHJpYWxzPC90aXRsZT48c2Vjb25kYXJ5LXRpdGxlPlByZXYgTWVk
PC9zZWNvbmRhcnktdGl0bGU+PC90aXRsZXM+PHBlcmlvZGljYWw+PGZ1bGwtdGl0bGU+UHJldiBN
ZWQ8L2Z1bGwtdGl0bGU+PC9wZXJpb2RpY2FsPjxwYWdlcz4zNTEtNjQ8L3BhZ2VzPjx2b2x1bWU+
NTY8L3ZvbHVtZT48bnVtYmVyPjY8L251bWJlcj48ZWRpdGlvbj4yMDEzLzAzLzE0PC9lZGl0aW9u
PjxrZXl3b3Jkcz48a2V5d29yZD5Cb2R5IE1hc3MgSW5kZXg8L2tleXdvcmQ+PGtleXdvcmQ+KkV4
ZXJjaXNlPC9rZXl3b3JkPjxrZXl3b3JkPkZlbWFsZTwva2V5d29yZD48a2V5d29yZD5IZWFsdGgg
QmVoYXZpb3I8L2tleXdvcmQ+PGtleXdvcmQ+SHVtYW5zPC9rZXl3b3JkPjxrZXl3b3JkPipNb3Rv
ciBBY3Rpdml0eTwva2V5d29yZD48a2V5d29yZD5PYmVzaXR5L2RpZXQgdGhlcmFweS90aGVyYXB5
PC9rZXl3b3JkPjxrZXl3b3JkPk92ZXJ3ZWlnaHQvZGlldCB0aGVyYXB5Lyp0aGVyYXB5PC9rZXl3
b3JkPjxrZXl3b3JkPlBvc3RwYXJ0dW0gUGVyaW9kPC9rZXl3b3JkPjxrZXl3b3JkPlByZWduYW5j
eTwva2V5d29yZD48a2V5d29yZD5QcmVnbmFuY3kgQ29tcGxpY2F0aW9ucy9kaWV0IHRoZXJhcHkv
KnRoZXJhcHk8L2tleXdvcmQ+PGtleXdvcmQ+UmFuZG9taXplZCBDb250cm9sbGVkIFRyaWFscyBh
cyBUb3BpYzwva2V5d29yZD48a2V5d29yZD5XZWlnaHQgR2Fpbjwva2V5d29yZD48L2tleXdvcmRz
PjxkYXRlcz48eWVhcj4yMDEzPC95ZWFyPjxwdWItZGF0ZXM+PGRhdGU+SnVuPC9kYXRlPjwvcHVi
LWRhdGVzPjwvZGF0ZXM+PGlzYm4+MTA5Ni0wMjYwIChFbGVjdHJvbmljKSYjeEQ7MDA5MS03NDM1
IChMaW5raW5nKTwvaXNibj48YWNjZXNzaW9uLW51bT4yMzQ4MDk3MTwvYWNjZXNzaW9uLW51bT48
dXJscz48cmVsYXRlZC11cmxzPjx1cmw+aHR0cHM6Ly93d3cubmNiaS5ubG0ubmloLmdvdi9wdWJt
ZWQvMjM0ODA5NzE8L3VybD48L3JlbGF0ZWQtdXJscz48L3VybHM+PGN1c3RvbTI+UE1DMzY3MDk0
OTwvY3VzdG9tMj48ZWxlY3Ryb25pYy1yZXNvdXJjZS1udW0+MTAuMTAxNi9qLnlwbWVkLjIwMTMu
MDIuMDIxPC9lbGVjdHJvbmljLXJlc291cmNlLW51bT48L3JlY29yZD48L0NpdGU+PC9FbmROb3Rl
PgB=
</w:fldData>
              </w:fldChar>
            </w:r>
            <w:r w:rsidR="002747EA">
              <w:instrText xml:space="preserve"> ADDIN EN.CITE </w:instrText>
            </w:r>
            <w:r w:rsidR="002747EA">
              <w:fldChar w:fldCharType="begin">
                <w:fldData xml:space="preserve">PEVuZE5vdGU+PENpdGU+PEF1dGhvcj5DaG9pPC9BdXRob3I+PFllYXI+MjAxMzwvWWVhcj48UmVj
TnVtPjEwNzQ8L1JlY051bT48RGlzcGxheVRleHQ+PHN0eWxlIGZhY2U9InN1cGVyc2NyaXB0IiBm
b250PSJUcmVidWNoZXQgTVMiIHNpemU9IjkiPjQ2MDwvc3R5bGU+PC9EaXNwbGF5VGV4dD48cmVj
b3JkPjxyZWMtbnVtYmVyPjEwNzQ8L3JlYy1udW1iZXI+PGZvcmVpZ24ta2V5cz48a2V5IGFwcD0i
RU4iIGRiLWlkPSJleHZhc3JmeDJkdHJhb2VzYXN4cDJzenN4YTJkZjUwMjU5MngiIHRpbWVzdGFt
cD0iMTU1MTI0MzE4MyI+MTA3NDwva2V5PjxrZXkgYXBwPSJFTldlYiIgZGItaWQ9IiI+MDwva2V5
PjwvZm9yZWlnbi1rZXlzPjxyZWYtdHlwZSBuYW1lPSJKb3VybmFsIEFydGljbGUiPjE3PC9yZWYt
dHlwZT48Y29udHJpYnV0b3JzPjxhdXRob3JzPjxhdXRob3I+Q2hvaSwgSi48L2F1dGhvcj48YXV0
aG9yPkZ1a3Vva2EsIFkuPC9hdXRob3I+PGF1dGhvcj5MZWUsIEouIEguPC9hdXRob3I+PC9hdXRo
b3JzPjwvY29udHJpYnV0b3JzPjxhdXRoLWFkZHJlc3M+VW5pdmVyc2l0eSBvZiBDYWxpZm9ybmlh
IGF0IFNhbiBGcmFuY2lzY28sIEluc3RpdHV0ZSBvZiBIZWFsdGggJmFtcDsgQWdpbmcsIFNhbiBG
cmFuY2lzY28sIENBIDk0MTE4LCBVU0EuIGppd29uLmNob2lAbnVyc2luZy51Y3NmLmVkdTwvYXV0
aC1hZGRyZXNzPjx0aXRsZXM+PHRpdGxlPlRoZSBlZmZlY3RzIG9mIHBoeXNpY2FsIGFjdGl2aXR5
IGFuZCBwaHlzaWNhbCBhY3Rpdml0eSBwbHVzIGRpZXQgaW50ZXJ2ZW50aW9ucyBvbiBib2R5IHdl
aWdodCBpbiBvdmVyd2VpZ2h0IG9yIG9iZXNlIHdvbWVuIHdobyBhcmUgcHJlZ25hbnQgb3IgaW4g
cG9zdHBhcnR1bTogYSBzeXN0ZW1hdGljIHJldmlldyBhbmQgbWV0YS1hbmFseXNpcyBvZiByYW5k
b21pemVkIGNvbnRyb2xsZWQgdHJpYWxzPC90aXRsZT48c2Vjb25kYXJ5LXRpdGxlPlByZXYgTWVk
PC9zZWNvbmRhcnktdGl0bGU+PC90aXRsZXM+PHBlcmlvZGljYWw+PGZ1bGwtdGl0bGU+UHJldiBN
ZWQ8L2Z1bGwtdGl0bGU+PC9wZXJpb2RpY2FsPjxwYWdlcz4zNTEtNjQ8L3BhZ2VzPjx2b2x1bWU+
NTY8L3ZvbHVtZT48bnVtYmVyPjY8L251bWJlcj48ZWRpdGlvbj4yMDEzLzAzLzE0PC9lZGl0aW9u
PjxrZXl3b3Jkcz48a2V5d29yZD5Cb2R5IE1hc3MgSW5kZXg8L2tleXdvcmQ+PGtleXdvcmQ+KkV4
ZXJjaXNlPC9rZXl3b3JkPjxrZXl3b3JkPkZlbWFsZTwva2V5d29yZD48a2V5d29yZD5IZWFsdGgg
QmVoYXZpb3I8L2tleXdvcmQ+PGtleXdvcmQ+SHVtYW5zPC9rZXl3b3JkPjxrZXl3b3JkPipNb3Rv
ciBBY3Rpdml0eTwva2V5d29yZD48a2V5d29yZD5PYmVzaXR5L2RpZXQgdGhlcmFweS90aGVyYXB5
PC9rZXl3b3JkPjxrZXl3b3JkPk92ZXJ3ZWlnaHQvZGlldCB0aGVyYXB5Lyp0aGVyYXB5PC9rZXl3
b3JkPjxrZXl3b3JkPlBvc3RwYXJ0dW0gUGVyaW9kPC9rZXl3b3JkPjxrZXl3b3JkPlByZWduYW5j
eTwva2V5d29yZD48a2V5d29yZD5QcmVnbmFuY3kgQ29tcGxpY2F0aW9ucy9kaWV0IHRoZXJhcHkv
KnRoZXJhcHk8L2tleXdvcmQ+PGtleXdvcmQ+UmFuZG9taXplZCBDb250cm9sbGVkIFRyaWFscyBh
cyBUb3BpYzwva2V5d29yZD48a2V5d29yZD5XZWlnaHQgR2Fpbjwva2V5d29yZD48L2tleXdvcmRz
PjxkYXRlcz48eWVhcj4yMDEzPC95ZWFyPjxwdWItZGF0ZXM+PGRhdGU+SnVuPC9kYXRlPjwvcHVi
LWRhdGVzPjwvZGF0ZXM+PGlzYm4+MTA5Ni0wMjYwIChFbGVjdHJvbmljKSYjeEQ7MDA5MS03NDM1
IChMaW5raW5nKTwvaXNibj48YWNjZXNzaW9uLW51bT4yMzQ4MDk3MTwvYWNjZXNzaW9uLW51bT48
dXJscz48cmVsYXRlZC11cmxzPjx1cmw+aHR0cHM6Ly93d3cubmNiaS5ubG0ubmloLmdvdi9wdWJt
ZWQvMjM0ODA5NzE8L3VybD48L3JlbGF0ZWQtdXJscz48L3VybHM+PGN1c3RvbTI+UE1DMzY3MDk0
OTwvY3VzdG9tMj48ZWxlY3Ryb25pYy1yZXNvdXJjZS1udW0+MTAuMTAxNi9qLnlwbWVkLjIwMTMu
MDIuMDIxPC9lbGVjdHJvbmljLXJlc291cmNlLW51bT48L3JlY29yZD48L0NpdGU+PC9FbmROb3Rl
PgB=
</w:fldData>
              </w:fldChar>
            </w:r>
            <w:r w:rsidR="002747EA">
              <w:instrText xml:space="preserve"> ADDIN EN.CITE.DATA </w:instrText>
            </w:r>
            <w:r w:rsidR="002747EA">
              <w:fldChar w:fldCharType="end"/>
            </w:r>
            <w:r>
              <w:fldChar w:fldCharType="separate"/>
            </w:r>
            <w:r w:rsidR="002747EA" w:rsidRPr="002747EA">
              <w:rPr>
                <w:noProof/>
                <w:sz w:val="18"/>
                <w:vertAlign w:val="superscript"/>
              </w:rPr>
              <w:t>460</w:t>
            </w:r>
            <w:r>
              <w:fldChar w:fldCharType="end"/>
            </w:r>
          </w:p>
        </w:tc>
        <w:tc>
          <w:tcPr>
            <w:tcW w:w="2547" w:type="dxa"/>
          </w:tcPr>
          <w:p w14:paraId="56672FAD" w14:textId="77777777" w:rsidR="004A0E1A" w:rsidRPr="00C12274" w:rsidRDefault="004A0E1A" w:rsidP="004A0E1A">
            <w:pPr>
              <w:pStyle w:val="RCTstable"/>
              <w:rPr>
                <w:rFonts w:ascii="Helvetica" w:hAnsi="Helvetica"/>
              </w:rPr>
            </w:pPr>
            <w:r w:rsidRPr="00C12274">
              <w:rPr>
                <w:rFonts w:ascii="Helvetica" w:hAnsi="Helvetica"/>
              </w:rPr>
              <w:t>Mixed</w:t>
            </w:r>
            <w:r>
              <w:rPr>
                <w:rFonts w:ascii="Helvetica" w:hAnsi="Helvetica"/>
              </w:rPr>
              <w:t xml:space="preserve"> BMIs</w:t>
            </w:r>
          </w:p>
        </w:tc>
        <w:tc>
          <w:tcPr>
            <w:tcW w:w="2982" w:type="dxa"/>
          </w:tcPr>
          <w:p w14:paraId="4F9CD26B" w14:textId="146C1CB2" w:rsidR="004A0E1A" w:rsidRPr="00BE0624" w:rsidRDefault="008E1F6E" w:rsidP="004A0E1A">
            <w:pPr>
              <w:pStyle w:val="RCTstable"/>
              <w:jc w:val="center"/>
            </w:pPr>
            <w:r>
              <w:rPr>
                <w:rFonts w:eastAsiaTheme="majorEastAsia"/>
              </w:rPr>
              <w:t xml:space="preserve">MD </w:t>
            </w:r>
            <w:r w:rsidR="004A0E1A" w:rsidRPr="00BE0624">
              <w:rPr>
                <w:rFonts w:eastAsiaTheme="majorEastAsia"/>
              </w:rPr>
              <w:t>−</w:t>
            </w:r>
            <w:r w:rsidR="004A0E1A" w:rsidRPr="00BE0624">
              <w:t>1.74 kg (</w:t>
            </w:r>
            <w:r w:rsidR="004A0E1A" w:rsidRPr="00BE0624">
              <w:rPr>
                <w:rFonts w:eastAsiaTheme="majorEastAsia"/>
              </w:rPr>
              <w:t>−</w:t>
            </w:r>
            <w:r w:rsidR="004A0E1A" w:rsidRPr="00BE0624">
              <w:t>3.66 to 0.19)</w:t>
            </w:r>
          </w:p>
        </w:tc>
        <w:tc>
          <w:tcPr>
            <w:tcW w:w="1134" w:type="dxa"/>
          </w:tcPr>
          <w:p w14:paraId="4E413327" w14:textId="77777777" w:rsidR="004A0E1A" w:rsidRPr="00BE0624" w:rsidRDefault="004A0E1A" w:rsidP="004A0E1A">
            <w:pPr>
              <w:pStyle w:val="RCTstable"/>
              <w:jc w:val="center"/>
            </w:pPr>
            <w:r w:rsidRPr="00BE0624">
              <w:t>2</w:t>
            </w:r>
          </w:p>
        </w:tc>
      </w:tr>
      <w:tr w:rsidR="004A0E1A" w:rsidRPr="00C12274" w14:paraId="600AD34D" w14:textId="77777777" w:rsidTr="004A0E1A">
        <w:tc>
          <w:tcPr>
            <w:tcW w:w="2841" w:type="dxa"/>
          </w:tcPr>
          <w:p w14:paraId="5A74985E" w14:textId="42BD59FB" w:rsidR="004A0E1A" w:rsidRPr="00C12274" w:rsidRDefault="004A0E1A" w:rsidP="002747EA">
            <w:pPr>
              <w:pStyle w:val="RCTstable"/>
            </w:pPr>
            <w:r w:rsidRPr="00C12274">
              <w:rPr>
                <w:noProof/>
              </w:rPr>
              <w:t>Elliott-Sale et al 2015</w:t>
            </w:r>
            <w:r>
              <w:fldChar w:fldCharType="begin">
                <w:fldData xml:space="preserve">PEVuZE5vdGU+PENpdGU+PEF1dGhvcj5FbGxpb3R0LVNhbGU8L0F1dGhvcj48WWVhcj4yMDE1PC9Z
ZWFyPjxSZWNOdW0+NTczPC9SZWNOdW0+PERpc3BsYXlUZXh0PjxzdHlsZSBmYWNlPSJzdXBlcnNj
cmlwdCIgZm9udD0iVHJlYnVjaGV0IE1TIiBzaXplPSI5Ij40NjE8L3N0eWxlPjwvRGlzcGxheVRl
eHQ+PHJlY29yZD48cmVjLW51bWJlcj41NzM8L3JlYy1udW1iZXI+PGZvcmVpZ24ta2V5cz48a2V5
IGFwcD0iRU4iIGRiLWlkPSJleHZhc3JmeDJkdHJhb2VzYXN4cDJzenN4YTJkZjUwMjU5MngiIHRp
bWVzdGFtcD0iMTUzNTkzMzg3NiI+NTczPC9rZXk+PGtleSBhcHA9IkVOV2ViIiBkYi1pZD0iIj4w
PC9rZXk+PC9mb3JlaWduLWtleXM+PHJlZi10eXBlIG5hbWU9IkpvdXJuYWwgQXJ0aWNsZSI+MTc8
L3JlZi10eXBlPjxjb250cmlidXRvcnM+PGF1dGhvcnM+PGF1dGhvcj5FbGxpb3R0LVNhbGUsIEsu
IEouPC9hdXRob3I+PGF1dGhvcj5CYXJuZXR0LCBDLiBULjwvYXV0aG9yPjxhdXRob3I+U2FsZSwg
Qy48L2F1dGhvcj48L2F1dGhvcnM+PC9jb250cmlidXRvcnM+PGF1dGgtYWRkcmVzcz5TcG9ydCwg
SGVhbHRoIGFuZCBQZXJmb3JtYW5jZSBFbmhhbmNlbWVudCAoU0hBUEUpIFJlc2VhcmNoIEdyb3Vw
LCBTY2hvb2wgb2YgU2NpZW5jZSBhbmQgVGVjaG5vbG9neSwgTm90dGluZ2hhbSBUcmVudCBVbml2
ZXJzaXR5LCBOb3R0aW5naGFtLCBVSy48L2F1dGgtYWRkcmVzcz48dGl0bGVzPjx0aXRsZT5FeGVy
Y2lzZSBpbnRlcnZlbnRpb25zIGZvciB3ZWlnaHQgbWFuYWdlbWVudCBkdXJpbmcgcHJlZ25hbmN5
IGFuZCB1cCB0byAxIHllYXIgcG9zdHBhcnR1bSBhbW9uZyBub3JtYWwgd2VpZ2h0LCBvdmVyd2Vp
Z2h0IGFuZCBvYmVzZSB3b21lbjogYSBzeXN0ZW1hdGljIHJldmlldyBhbmQgbWV0YS1hbmFseXNp
czwvdGl0bGU+PHNlY29uZGFyeS10aXRsZT5CciBKIFNwb3J0cyBNZWQ8L3NlY29uZGFyeS10aXRs
ZT48L3RpdGxlcz48cGVyaW9kaWNhbD48ZnVsbC10aXRsZT5CciBKIFNwb3J0cyBNZWQ8L2Z1bGwt
dGl0bGU+PC9wZXJpb2RpY2FsPjxwYWdlcz4xMzM2LTQyPC9wYWdlcz48dm9sdW1lPjQ5PC92b2x1
bWU+PG51bWJlcj4yMDwvbnVtYmVyPjxlZGl0aW9uPjIwMTQvMTEvMjA8L2VkaXRpb24+PGtleXdv
cmRzPjxrZXl3b3JkPkJvZHkgV2VpZ2h0L3BoeXNpb2xvZ3k8L2tleXdvcmQ+PGtleXdvcmQ+RXhl
cmNpc2UgVGhlcmFweS8qbWV0aG9kczwva2V5d29yZD48a2V5d29yZD5GZW1hbGU8L2tleXdvcmQ+
PGtleXdvcmQ+SHVtYW5zPC9rZXl3b3JkPjxrZXl3b3JkPk9iZXNpdHkvdGhlcmFweTwva2V5d29y
ZD48a2V5d29yZD5PdmVyd2VpZ2h0Lyp0aGVyYXB5PC9rZXl3b3JkPjxrZXl3b3JkPlByZWduYW5j
eTwva2V5d29yZD48a2V5d29yZD5QcmVnbmFuY3kgQ29tcGxpY2F0aW9ucy8qdGhlcmFweTwva2V5
d29yZD48a2V5d29yZD5QcmVnbmFuY3kgT3V0Y29tZTwva2V5d29yZD48a2V5d29yZD5QcmVuYXRh
bCBDYXJlL21ldGhvZHM8L2tleXdvcmQ+PGtleXdvcmQ+UmFuZG9taXplZCBDb250cm9sbGVkIFRy
aWFscyBhcyBUb3BpYzwva2V5d29yZD48a2V5d29yZD5FdmlkZW5jZSBiYXNlZCByZXZpZXc8L2tl
eXdvcmQ+PGtleXdvcmQ+RXhlcmNpc2UgYW5kL29yIGNhbG9yaWMgcmVzdHJpY3Rpb24gZWZmZWN0
cyBvbiBib2R5IHdlaWdodC9jb21wb3NpdGlvbjwva2V5d29yZD48a2V5d29yZD5XZWlnaHQgbG9z
czwva2V5d29yZD48L2tleXdvcmRzPjxkYXRlcz48eWVhcj4yMDE1PC95ZWFyPjxwdWItZGF0ZXM+
PGRhdGU+T2N0PC9kYXRlPjwvcHViLWRhdGVzPjwvZGF0ZXM+PGlzYm4+MTQ3My0wNDgwIChFbGVj
dHJvbmljKSYjeEQ7MDMwNi0zNjc0IChMaW5raW5nKTwvaXNibj48YWNjZXNzaW9uLW51bT4yNTQw
NjMzNTwvYWNjZXNzaW9uLW51bT48dXJscz48cmVsYXRlZC11cmxzPjx1cmw+aHR0cHM6Ly93d3cu
bmNiaS5ubG0ubmloLmdvdi9wdWJtZWQvMjU0MDYzMzU8L3VybD48L3JlbGF0ZWQtdXJscz48L3Vy
bHM+PGVsZWN0cm9uaWMtcmVzb3VyY2UtbnVtPjEwLjExMzYvYmpzcG9ydHMtMjAxNC0wOTM4NzU8
L2VsZWN0cm9uaWMtcmVzb3VyY2UtbnVtPjwvcmVjb3JkPjwvQ2l0ZT48L0VuZE5vdGU+AG==
</w:fldData>
              </w:fldChar>
            </w:r>
            <w:r w:rsidR="002747EA">
              <w:instrText xml:space="preserve"> ADDIN EN.CITE </w:instrText>
            </w:r>
            <w:r w:rsidR="002747EA">
              <w:fldChar w:fldCharType="begin">
                <w:fldData xml:space="preserve">PEVuZE5vdGU+PENpdGU+PEF1dGhvcj5FbGxpb3R0LVNhbGU8L0F1dGhvcj48WWVhcj4yMDE1PC9Z
ZWFyPjxSZWNOdW0+NTczPC9SZWNOdW0+PERpc3BsYXlUZXh0PjxzdHlsZSBmYWNlPSJzdXBlcnNj
cmlwdCIgZm9udD0iVHJlYnVjaGV0IE1TIiBzaXplPSI5Ij40NjE8L3N0eWxlPjwvRGlzcGxheVRl
eHQ+PHJlY29yZD48cmVjLW51bWJlcj41NzM8L3JlYy1udW1iZXI+PGZvcmVpZ24ta2V5cz48a2V5
IGFwcD0iRU4iIGRiLWlkPSJleHZhc3JmeDJkdHJhb2VzYXN4cDJzenN4YTJkZjUwMjU5MngiIHRp
bWVzdGFtcD0iMTUzNTkzMzg3NiI+NTczPC9rZXk+PGtleSBhcHA9IkVOV2ViIiBkYi1pZD0iIj4w
PC9rZXk+PC9mb3JlaWduLWtleXM+PHJlZi10eXBlIG5hbWU9IkpvdXJuYWwgQXJ0aWNsZSI+MTc8
L3JlZi10eXBlPjxjb250cmlidXRvcnM+PGF1dGhvcnM+PGF1dGhvcj5FbGxpb3R0LVNhbGUsIEsu
IEouPC9hdXRob3I+PGF1dGhvcj5CYXJuZXR0LCBDLiBULjwvYXV0aG9yPjxhdXRob3I+U2FsZSwg
Qy48L2F1dGhvcj48L2F1dGhvcnM+PC9jb250cmlidXRvcnM+PGF1dGgtYWRkcmVzcz5TcG9ydCwg
SGVhbHRoIGFuZCBQZXJmb3JtYW5jZSBFbmhhbmNlbWVudCAoU0hBUEUpIFJlc2VhcmNoIEdyb3Vw
LCBTY2hvb2wgb2YgU2NpZW5jZSBhbmQgVGVjaG5vbG9neSwgTm90dGluZ2hhbSBUcmVudCBVbml2
ZXJzaXR5LCBOb3R0aW5naGFtLCBVSy48L2F1dGgtYWRkcmVzcz48dGl0bGVzPjx0aXRsZT5FeGVy
Y2lzZSBpbnRlcnZlbnRpb25zIGZvciB3ZWlnaHQgbWFuYWdlbWVudCBkdXJpbmcgcHJlZ25hbmN5
IGFuZCB1cCB0byAxIHllYXIgcG9zdHBhcnR1bSBhbW9uZyBub3JtYWwgd2VpZ2h0LCBvdmVyd2Vp
Z2h0IGFuZCBvYmVzZSB3b21lbjogYSBzeXN0ZW1hdGljIHJldmlldyBhbmQgbWV0YS1hbmFseXNp
czwvdGl0bGU+PHNlY29uZGFyeS10aXRsZT5CciBKIFNwb3J0cyBNZWQ8L3NlY29uZGFyeS10aXRs
ZT48L3RpdGxlcz48cGVyaW9kaWNhbD48ZnVsbC10aXRsZT5CciBKIFNwb3J0cyBNZWQ8L2Z1bGwt
dGl0bGU+PC9wZXJpb2RpY2FsPjxwYWdlcz4xMzM2LTQyPC9wYWdlcz48dm9sdW1lPjQ5PC92b2x1
bWU+PG51bWJlcj4yMDwvbnVtYmVyPjxlZGl0aW9uPjIwMTQvMTEvMjA8L2VkaXRpb24+PGtleXdv
cmRzPjxrZXl3b3JkPkJvZHkgV2VpZ2h0L3BoeXNpb2xvZ3k8L2tleXdvcmQ+PGtleXdvcmQ+RXhl
cmNpc2UgVGhlcmFweS8qbWV0aG9kczwva2V5d29yZD48a2V5d29yZD5GZW1hbGU8L2tleXdvcmQ+
PGtleXdvcmQ+SHVtYW5zPC9rZXl3b3JkPjxrZXl3b3JkPk9iZXNpdHkvdGhlcmFweTwva2V5d29y
ZD48a2V5d29yZD5PdmVyd2VpZ2h0Lyp0aGVyYXB5PC9rZXl3b3JkPjxrZXl3b3JkPlByZWduYW5j
eTwva2V5d29yZD48a2V5d29yZD5QcmVnbmFuY3kgQ29tcGxpY2F0aW9ucy8qdGhlcmFweTwva2V5
d29yZD48a2V5d29yZD5QcmVnbmFuY3kgT3V0Y29tZTwva2V5d29yZD48a2V5d29yZD5QcmVuYXRh
bCBDYXJlL21ldGhvZHM8L2tleXdvcmQ+PGtleXdvcmQ+UmFuZG9taXplZCBDb250cm9sbGVkIFRy
aWFscyBhcyBUb3BpYzwva2V5d29yZD48a2V5d29yZD5FdmlkZW5jZSBiYXNlZCByZXZpZXc8L2tl
eXdvcmQ+PGtleXdvcmQ+RXhlcmNpc2UgYW5kL29yIGNhbG9yaWMgcmVzdHJpY3Rpb24gZWZmZWN0
cyBvbiBib2R5IHdlaWdodC9jb21wb3NpdGlvbjwva2V5d29yZD48a2V5d29yZD5XZWlnaHQgbG9z
czwva2V5d29yZD48L2tleXdvcmRzPjxkYXRlcz48eWVhcj4yMDE1PC95ZWFyPjxwdWItZGF0ZXM+
PGRhdGU+T2N0PC9kYXRlPjwvcHViLWRhdGVzPjwvZGF0ZXM+PGlzYm4+MTQ3My0wNDgwIChFbGVj
dHJvbmljKSYjeEQ7MDMwNi0zNjc0IChMaW5raW5nKTwvaXNibj48YWNjZXNzaW9uLW51bT4yNTQw
NjMzNTwvYWNjZXNzaW9uLW51bT48dXJscz48cmVsYXRlZC11cmxzPjx1cmw+aHR0cHM6Ly93d3cu
bmNiaS5ubG0ubmloLmdvdi9wdWJtZWQvMjU0MDYzMzU8L3VybD48L3JlbGF0ZWQtdXJscz48L3Vy
bHM+PGVsZWN0cm9uaWMtcmVzb3VyY2UtbnVtPjEwLjExMzYvYmpzcG9ydHMtMjAxNC0wOTM4NzU8
L2VsZWN0cm9uaWMtcmVzb3VyY2UtbnVtPjwvcmVjb3JkPjwvQ2l0ZT48L0VuZE5vdGU+AG==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461</w:t>
            </w:r>
            <w:r>
              <w:fldChar w:fldCharType="end"/>
            </w:r>
          </w:p>
        </w:tc>
        <w:tc>
          <w:tcPr>
            <w:tcW w:w="2547" w:type="dxa"/>
          </w:tcPr>
          <w:p w14:paraId="46063C98" w14:textId="77777777" w:rsidR="004A0E1A" w:rsidRPr="00C12274" w:rsidRDefault="004A0E1A" w:rsidP="004A0E1A">
            <w:pPr>
              <w:pStyle w:val="RCTstable"/>
              <w:rPr>
                <w:rFonts w:ascii="Helvetica" w:hAnsi="Helvetica"/>
              </w:rPr>
            </w:pPr>
            <w:r w:rsidRPr="00C12274">
              <w:rPr>
                <w:rFonts w:ascii="Helvetica" w:hAnsi="Helvetica"/>
              </w:rPr>
              <w:t>Mixed</w:t>
            </w:r>
            <w:r>
              <w:rPr>
                <w:rFonts w:ascii="Helvetica" w:hAnsi="Helvetica"/>
              </w:rPr>
              <w:t xml:space="preserve"> BMIs</w:t>
            </w:r>
          </w:p>
        </w:tc>
        <w:tc>
          <w:tcPr>
            <w:tcW w:w="2982" w:type="dxa"/>
          </w:tcPr>
          <w:p w14:paraId="784F6304" w14:textId="1E5FC23F" w:rsidR="004A0E1A" w:rsidRPr="00BE0624" w:rsidRDefault="008E1F6E" w:rsidP="004A0E1A">
            <w:pPr>
              <w:pStyle w:val="RCTstable"/>
              <w:jc w:val="center"/>
            </w:pPr>
            <w:r>
              <w:rPr>
                <w:rFonts w:eastAsiaTheme="majorEastAsia"/>
              </w:rPr>
              <w:t xml:space="preserve">MD </w:t>
            </w:r>
            <w:r w:rsidR="004A0E1A" w:rsidRPr="00BE0624">
              <w:rPr>
                <w:rFonts w:eastAsiaTheme="majorEastAsia"/>
              </w:rPr>
              <w:t>−</w:t>
            </w:r>
            <w:r w:rsidR="004A0E1A" w:rsidRPr="00BE0624">
              <w:t>2.2 kg (</w:t>
            </w:r>
            <w:r w:rsidR="004A0E1A" w:rsidRPr="00BE0624">
              <w:rPr>
                <w:rFonts w:eastAsiaTheme="majorEastAsia"/>
              </w:rPr>
              <w:t>−</w:t>
            </w:r>
            <w:r w:rsidR="00C6772F">
              <w:t>3.13</w:t>
            </w:r>
            <w:r w:rsidR="004A0E1A" w:rsidRPr="00BE0624">
              <w:t xml:space="preserve"> to </w:t>
            </w:r>
            <w:r w:rsidR="004A0E1A" w:rsidRPr="00BE0624">
              <w:rPr>
                <w:rFonts w:eastAsiaTheme="majorEastAsia"/>
              </w:rPr>
              <w:t>−</w:t>
            </w:r>
            <w:r w:rsidR="004A0E1A" w:rsidRPr="00BE0624">
              <w:t>1.30)</w:t>
            </w:r>
          </w:p>
        </w:tc>
        <w:tc>
          <w:tcPr>
            <w:tcW w:w="1134" w:type="dxa"/>
          </w:tcPr>
          <w:p w14:paraId="18967B74" w14:textId="77777777" w:rsidR="004A0E1A" w:rsidRPr="00BE0624" w:rsidRDefault="004A0E1A" w:rsidP="004A0E1A">
            <w:pPr>
              <w:pStyle w:val="RCTstable"/>
              <w:jc w:val="center"/>
            </w:pPr>
            <w:r w:rsidRPr="00BE0624">
              <w:t>5</w:t>
            </w:r>
          </w:p>
        </w:tc>
      </w:tr>
      <w:tr w:rsidR="004A0E1A" w:rsidRPr="00C12274" w14:paraId="5F673CF0" w14:textId="77777777" w:rsidTr="004A0E1A">
        <w:tc>
          <w:tcPr>
            <w:tcW w:w="2841" w:type="dxa"/>
            <w:vMerge w:val="restart"/>
          </w:tcPr>
          <w:p w14:paraId="1A5919BA" w14:textId="51C544BC" w:rsidR="004A0E1A" w:rsidRPr="00C12274" w:rsidRDefault="004A0E1A"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tcPr>
          <w:p w14:paraId="673CA57F" w14:textId="77777777" w:rsidR="004A0E1A" w:rsidRPr="00C12274" w:rsidRDefault="004A0E1A" w:rsidP="004A0E1A">
            <w:pPr>
              <w:pStyle w:val="RCTstable"/>
              <w:rPr>
                <w:rFonts w:ascii="Helvetica" w:hAnsi="Helvetica"/>
              </w:rPr>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tcPr>
          <w:p w14:paraId="1CA5EA6E" w14:textId="31543C06" w:rsidR="004A0E1A" w:rsidRPr="00BE0624" w:rsidRDefault="008E1F6E" w:rsidP="004A0E1A">
            <w:pPr>
              <w:pStyle w:val="RCTstable"/>
              <w:jc w:val="center"/>
            </w:pPr>
            <w:r>
              <w:rPr>
                <w:rFonts w:eastAsiaTheme="majorEastAsia"/>
              </w:rPr>
              <w:t xml:space="preserve">MD </w:t>
            </w:r>
            <w:r w:rsidR="004A0E1A" w:rsidRPr="00BE0624">
              <w:t>−0.73 (−1.11 to −0.34)</w:t>
            </w:r>
          </w:p>
        </w:tc>
        <w:tc>
          <w:tcPr>
            <w:tcW w:w="1134" w:type="dxa"/>
          </w:tcPr>
          <w:p w14:paraId="241F4A04" w14:textId="77777777" w:rsidR="004A0E1A" w:rsidRPr="00BE0624" w:rsidRDefault="004A0E1A" w:rsidP="004A0E1A">
            <w:pPr>
              <w:pStyle w:val="RCTstable"/>
              <w:jc w:val="center"/>
            </w:pPr>
            <w:r w:rsidRPr="00BE0624">
              <w:t>15</w:t>
            </w:r>
          </w:p>
        </w:tc>
      </w:tr>
      <w:tr w:rsidR="004A0E1A" w:rsidRPr="00C12274" w14:paraId="2CD00ED9" w14:textId="77777777" w:rsidTr="004A0E1A">
        <w:tc>
          <w:tcPr>
            <w:tcW w:w="2841" w:type="dxa"/>
            <w:vMerge/>
          </w:tcPr>
          <w:p w14:paraId="1699B9F4" w14:textId="77777777" w:rsidR="004A0E1A" w:rsidRPr="00C12274" w:rsidRDefault="004A0E1A" w:rsidP="004A0E1A">
            <w:pPr>
              <w:pStyle w:val="RCTstable"/>
            </w:pPr>
          </w:p>
        </w:tc>
        <w:tc>
          <w:tcPr>
            <w:tcW w:w="2547" w:type="dxa"/>
          </w:tcPr>
          <w:p w14:paraId="227F754C" w14:textId="77777777" w:rsidR="004A0E1A" w:rsidRPr="00C12274" w:rsidRDefault="004A0E1A" w:rsidP="004A0E1A">
            <w:pPr>
              <w:pStyle w:val="RCTstable"/>
              <w:rPr>
                <w:rFonts w:ascii="Helvetica" w:hAnsi="Helvetica"/>
              </w:rPr>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tcPr>
          <w:p w14:paraId="0EC3AC2B" w14:textId="347618D4" w:rsidR="004A0E1A" w:rsidRPr="00BE0624" w:rsidRDefault="008E1F6E" w:rsidP="004A0E1A">
            <w:pPr>
              <w:pStyle w:val="RCTstable"/>
              <w:jc w:val="center"/>
              <w:rPr>
                <w:rFonts w:eastAsiaTheme="majorEastAsia"/>
              </w:rPr>
            </w:pPr>
            <w:r>
              <w:rPr>
                <w:rFonts w:eastAsiaTheme="majorEastAsia"/>
              </w:rPr>
              <w:t xml:space="preserve">MD </w:t>
            </w:r>
            <w:r w:rsidR="004A0E1A" w:rsidRPr="00BE0624">
              <w:rPr>
                <w:rFonts w:eastAsiaTheme="majorEastAsia"/>
              </w:rPr>
              <w:t>−</w:t>
            </w:r>
            <w:r w:rsidR="004A0E1A" w:rsidRPr="00BE0624">
              <w:t>0.72 (</w:t>
            </w:r>
            <w:r w:rsidR="004A0E1A" w:rsidRPr="00BE0624">
              <w:rPr>
                <w:rFonts w:eastAsiaTheme="majorEastAsia"/>
              </w:rPr>
              <w:t>−</w:t>
            </w:r>
            <w:r w:rsidR="004A0E1A" w:rsidRPr="00BE0624">
              <w:t xml:space="preserve">1.04 to </w:t>
            </w:r>
            <w:r w:rsidR="004A0E1A" w:rsidRPr="00BE0624">
              <w:rPr>
                <w:rFonts w:eastAsiaTheme="majorEastAsia"/>
              </w:rPr>
              <w:t>−</w:t>
            </w:r>
            <w:r w:rsidR="004A0E1A" w:rsidRPr="00BE0624">
              <w:t>0.41)</w:t>
            </w:r>
          </w:p>
        </w:tc>
        <w:tc>
          <w:tcPr>
            <w:tcW w:w="1134" w:type="dxa"/>
          </w:tcPr>
          <w:p w14:paraId="03B0B302" w14:textId="77777777" w:rsidR="004A0E1A" w:rsidRPr="00BE0624" w:rsidRDefault="004A0E1A" w:rsidP="004A0E1A">
            <w:pPr>
              <w:pStyle w:val="RCTstable"/>
              <w:jc w:val="center"/>
            </w:pPr>
            <w:r w:rsidRPr="00BE0624">
              <w:t>37</w:t>
            </w:r>
          </w:p>
        </w:tc>
      </w:tr>
      <w:tr w:rsidR="004A0E1A" w:rsidRPr="00C12274" w14:paraId="1159386C" w14:textId="77777777" w:rsidTr="004A0E1A">
        <w:tc>
          <w:tcPr>
            <w:tcW w:w="2841" w:type="dxa"/>
          </w:tcPr>
          <w:p w14:paraId="44D65A5F" w14:textId="4B9810E4" w:rsidR="004A0E1A" w:rsidRPr="00C12274" w:rsidRDefault="004A0E1A"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6E55C98C" w14:textId="77777777" w:rsidR="004A0E1A" w:rsidRPr="00C12274" w:rsidRDefault="004A0E1A" w:rsidP="004A0E1A">
            <w:pPr>
              <w:pStyle w:val="RCTstable"/>
            </w:pPr>
            <w:r w:rsidRPr="00C12274">
              <w:t>Mixed</w:t>
            </w:r>
            <w:r>
              <w:t xml:space="preserve"> BMIs</w:t>
            </w:r>
          </w:p>
        </w:tc>
        <w:tc>
          <w:tcPr>
            <w:tcW w:w="2982" w:type="dxa"/>
          </w:tcPr>
          <w:p w14:paraId="6C21F44C" w14:textId="014F26AC" w:rsidR="004A0E1A" w:rsidRPr="00BE0624" w:rsidRDefault="008E1F6E" w:rsidP="004A0E1A">
            <w:pPr>
              <w:pStyle w:val="RCTstable"/>
              <w:jc w:val="center"/>
            </w:pPr>
            <w:r>
              <w:rPr>
                <w:rFonts w:eastAsiaTheme="majorEastAsia"/>
              </w:rPr>
              <w:t xml:space="preserve">MD </w:t>
            </w:r>
            <w:r w:rsidR="004A0E1A" w:rsidRPr="00BE0624">
              <w:rPr>
                <w:rFonts w:eastAsiaTheme="majorEastAsia"/>
              </w:rPr>
              <w:t>−1.00 (−2.01 to 0.01)</w:t>
            </w:r>
          </w:p>
        </w:tc>
        <w:tc>
          <w:tcPr>
            <w:tcW w:w="1134" w:type="dxa"/>
          </w:tcPr>
          <w:p w14:paraId="6DA5EBF0" w14:textId="77777777" w:rsidR="004A0E1A" w:rsidRPr="00BE0624" w:rsidRDefault="004A0E1A" w:rsidP="004A0E1A">
            <w:pPr>
              <w:pStyle w:val="RCTstable"/>
              <w:jc w:val="center"/>
            </w:pPr>
            <w:r w:rsidRPr="00BE0624">
              <w:t>4</w:t>
            </w:r>
          </w:p>
        </w:tc>
      </w:tr>
      <w:tr w:rsidR="004A0E1A" w:rsidRPr="00C12274" w14:paraId="0B52AC61" w14:textId="77777777" w:rsidTr="004A0E1A">
        <w:tc>
          <w:tcPr>
            <w:tcW w:w="2841" w:type="dxa"/>
          </w:tcPr>
          <w:p w14:paraId="26D63FCF" w14:textId="0F9F71EF" w:rsidR="004A0E1A" w:rsidRPr="00C12274" w:rsidRDefault="004A0E1A" w:rsidP="002747EA">
            <w:pPr>
              <w:pStyle w:val="RCTstable"/>
            </w:pPr>
            <w:r w:rsidRPr="00C12274">
              <w:rPr>
                <w:noProof/>
              </w:rPr>
              <w:t>Streuling et al 2011</w:t>
            </w:r>
            <w:r>
              <w:rPr>
                <w:noProof/>
              </w:rPr>
              <w:fldChar w:fldCharType="begin"/>
            </w:r>
            <w:r w:rsidR="002747EA">
              <w:rPr>
                <w:noProof/>
              </w:rPr>
              <w:instrText xml:space="preserve"> ADDIN EN.CITE &lt;EndNote&gt;&lt;Cite&gt;&lt;Author&gt;Streuling&lt;/Author&gt;&lt;Year&gt;2011&lt;/Year&gt;&lt;RecNum&gt;588&lt;/RecNum&gt;&lt;DisplayText&gt;&lt;style face="superscript" font="Trebuchet MS" size="9"&gt;462&lt;/style&gt;&lt;/DisplayText&gt;&lt;record&gt;&lt;rec-number&gt;588&lt;/rec-number&gt;&lt;foreign-keys&gt;&lt;key app="EN" db-id="exvasrfx2dtraoesasxp2szsxa2df502592x" timestamp="1536732830"&gt;588&lt;/key&gt;&lt;key app="ENWeb" db-id=""&gt;0&lt;/key&gt;&lt;/foreign-keys&gt;&lt;ref-type name="Journal Article"&gt;17&lt;/ref-type&gt;&lt;contributors&gt;&lt;authors&gt;&lt;author&gt;Streuling, I.&lt;/author&gt;&lt;author&gt;Beyerlein, A.&lt;/author&gt;&lt;author&gt;Rosenfeld, E.&lt;/author&gt;&lt;author&gt;Hofmann, H.&lt;/author&gt;&lt;author&gt;Schulz, T.&lt;/author&gt;&lt;author&gt;von Kries, R.&lt;/author&gt;&lt;/authors&gt;&lt;/contributors&gt;&lt;auth-address&gt;Division of Epidemiology, Institute of Social Paediatrics and Adolescent Medicine, Ludwig-Maximilians University of Munich, Munich, Germany. ina.streuling@med.uni-muenchen.de&lt;/auth-address&gt;&lt;titles&gt;&lt;title&gt;Physical activity and gestational weight gain: a meta-analysis of intervention trials&lt;/title&gt;&lt;secondary-title&gt;BJOG&lt;/secondary-title&gt;&lt;/titles&gt;&lt;periodical&gt;&lt;full-title&gt;BJOG&lt;/full-title&gt;&lt;/periodical&gt;&lt;pages&gt;278-84&lt;/pages&gt;&lt;volume&gt;118&lt;/volume&gt;&lt;number&gt;3&lt;/number&gt;&lt;edition&gt;2010/12/08&lt;/edition&gt;&lt;keywords&gt;&lt;keyword&gt;Adult&lt;/keyword&gt;&lt;keyword&gt;Exercise/*physiology&lt;/keyword&gt;&lt;keyword&gt;Female&lt;/keyword&gt;&lt;keyword&gt;Humans&lt;/keyword&gt;&lt;keyword&gt;Pregnancy&lt;/keyword&gt;&lt;keyword&gt;Pregnancy Complications/*prevention &amp;amp; control&lt;/keyword&gt;&lt;keyword&gt;Pregnancy Outcome&lt;/keyword&gt;&lt;keyword&gt;Randomized Controlled Trials as Topic&lt;/keyword&gt;&lt;keyword&gt;*Weight Gain&lt;/keyword&gt;&lt;/keywords&gt;&lt;dates&gt;&lt;year&gt;2011&lt;/year&gt;&lt;pub-dates&gt;&lt;date&gt;Feb&lt;/date&gt;&lt;/pub-dates&gt;&lt;/dates&gt;&lt;isbn&gt;1471-0528 (Electronic)&amp;#xD;1470-0328 (Linking)&lt;/isbn&gt;&lt;accession-num&gt;21134106&lt;/accession-num&gt;&lt;urls&gt;&lt;related-urls&gt;&lt;url&gt;https://www.ncbi.nlm.nih.gov/pubmed/21134106&lt;/url&gt;&lt;/related-urls&gt;&lt;/urls&gt;&lt;electronic-resource-num&gt;10.1111/j.1471-0528.2010.02801.x&lt;/electronic-resource-num&gt;&lt;/record&gt;&lt;/Cite&gt;&lt;/EndNote&gt;</w:instrText>
            </w:r>
            <w:r>
              <w:rPr>
                <w:noProof/>
              </w:rPr>
              <w:fldChar w:fldCharType="separate"/>
            </w:r>
            <w:r w:rsidR="002747EA" w:rsidRPr="002747EA">
              <w:rPr>
                <w:noProof/>
                <w:sz w:val="18"/>
                <w:vertAlign w:val="superscript"/>
              </w:rPr>
              <w:t>462</w:t>
            </w:r>
            <w:r>
              <w:rPr>
                <w:noProof/>
              </w:rPr>
              <w:fldChar w:fldCharType="end"/>
            </w:r>
          </w:p>
        </w:tc>
        <w:tc>
          <w:tcPr>
            <w:tcW w:w="2547" w:type="dxa"/>
          </w:tcPr>
          <w:p w14:paraId="045AA100" w14:textId="77777777" w:rsidR="004A0E1A" w:rsidRPr="00C12274" w:rsidRDefault="004A0E1A" w:rsidP="004A0E1A">
            <w:pPr>
              <w:pStyle w:val="RCTstable"/>
            </w:pPr>
            <w:r w:rsidRPr="00C12274">
              <w:t>Mixed</w:t>
            </w:r>
            <w:r>
              <w:t xml:space="preserve"> BMIs</w:t>
            </w:r>
          </w:p>
        </w:tc>
        <w:tc>
          <w:tcPr>
            <w:tcW w:w="2982" w:type="dxa"/>
          </w:tcPr>
          <w:p w14:paraId="23DF2457" w14:textId="528DDDF6" w:rsidR="004A0E1A" w:rsidRPr="00BE0624" w:rsidRDefault="008E1F6E" w:rsidP="004A0E1A">
            <w:pPr>
              <w:pStyle w:val="RCTstable"/>
              <w:jc w:val="center"/>
            </w:pPr>
            <w:r>
              <w:rPr>
                <w:rFonts w:eastAsiaTheme="majorEastAsia"/>
              </w:rPr>
              <w:t xml:space="preserve">MD </w:t>
            </w:r>
            <w:r w:rsidR="004A0E1A" w:rsidRPr="00BE0624">
              <w:rPr>
                <w:rFonts w:eastAsiaTheme="majorEastAsia"/>
              </w:rPr>
              <w:t>−</w:t>
            </w:r>
            <w:r w:rsidR="004A0E1A" w:rsidRPr="00BE0624">
              <w:t>0.61 (</w:t>
            </w:r>
            <w:r w:rsidR="004A0E1A" w:rsidRPr="00BE0624">
              <w:rPr>
                <w:rFonts w:eastAsiaTheme="majorEastAsia"/>
              </w:rPr>
              <w:t>−</w:t>
            </w:r>
            <w:r w:rsidR="004A0E1A" w:rsidRPr="00BE0624">
              <w:t xml:space="preserve">1.17 to </w:t>
            </w:r>
            <w:r w:rsidR="004A0E1A" w:rsidRPr="00BE0624">
              <w:rPr>
                <w:rFonts w:eastAsiaTheme="majorEastAsia"/>
              </w:rPr>
              <w:t>−</w:t>
            </w:r>
            <w:r w:rsidR="004A0E1A" w:rsidRPr="00BE0624">
              <w:t>0.06)</w:t>
            </w:r>
          </w:p>
        </w:tc>
        <w:tc>
          <w:tcPr>
            <w:tcW w:w="1134" w:type="dxa"/>
          </w:tcPr>
          <w:p w14:paraId="4281DEF1" w14:textId="77777777" w:rsidR="004A0E1A" w:rsidRPr="00BE0624" w:rsidRDefault="004A0E1A" w:rsidP="004A0E1A">
            <w:pPr>
              <w:pStyle w:val="RCTstable"/>
              <w:jc w:val="center"/>
            </w:pPr>
            <w:r w:rsidRPr="00BE0624">
              <w:t>12</w:t>
            </w:r>
          </w:p>
        </w:tc>
      </w:tr>
      <w:tr w:rsidR="004A0E1A" w:rsidRPr="00C12274" w14:paraId="608FC9C3" w14:textId="77777777" w:rsidTr="004A0E1A">
        <w:tc>
          <w:tcPr>
            <w:tcW w:w="2841" w:type="dxa"/>
          </w:tcPr>
          <w:p w14:paraId="7DABBD22" w14:textId="595F801A" w:rsidR="004A0E1A" w:rsidRPr="00C12274" w:rsidRDefault="004A0E1A"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4083AE86" w14:textId="77777777" w:rsidR="004A0E1A" w:rsidRPr="00C12274" w:rsidRDefault="004A0E1A" w:rsidP="004A0E1A">
            <w:pPr>
              <w:pStyle w:val="RCTstable"/>
            </w:pPr>
            <w:r w:rsidRPr="00C12274">
              <w:t>Mixed</w:t>
            </w:r>
            <w:r>
              <w:t xml:space="preserve"> BMIs</w:t>
            </w:r>
          </w:p>
        </w:tc>
        <w:tc>
          <w:tcPr>
            <w:tcW w:w="2982" w:type="dxa"/>
          </w:tcPr>
          <w:p w14:paraId="16CB172F" w14:textId="356A08BF" w:rsidR="004A0E1A" w:rsidRPr="00BE0624" w:rsidRDefault="008E1F6E" w:rsidP="004A0E1A">
            <w:pPr>
              <w:pStyle w:val="RCTstable"/>
              <w:jc w:val="center"/>
            </w:pPr>
            <w:r>
              <w:rPr>
                <w:rFonts w:eastAsiaTheme="majorEastAsia"/>
              </w:rPr>
              <w:t xml:space="preserve">MD </w:t>
            </w:r>
            <w:r w:rsidR="004A0E1A" w:rsidRPr="00BE0624">
              <w:rPr>
                <w:rFonts w:eastAsiaTheme="majorEastAsia"/>
              </w:rPr>
              <w:t>−0.07 (−1.08 to 0.93)</w:t>
            </w:r>
          </w:p>
        </w:tc>
        <w:tc>
          <w:tcPr>
            <w:tcW w:w="1134" w:type="dxa"/>
          </w:tcPr>
          <w:p w14:paraId="08452B03" w14:textId="77777777" w:rsidR="004A0E1A" w:rsidRPr="00BE0624" w:rsidRDefault="004A0E1A" w:rsidP="004A0E1A">
            <w:pPr>
              <w:pStyle w:val="RCTstable"/>
              <w:jc w:val="center"/>
            </w:pPr>
            <w:r w:rsidRPr="00BE0624">
              <w:t>15</w:t>
            </w:r>
          </w:p>
        </w:tc>
      </w:tr>
      <w:tr w:rsidR="004A0E1A" w:rsidRPr="00C12274" w14:paraId="4778FB01" w14:textId="77777777" w:rsidTr="004A0E1A">
        <w:tc>
          <w:tcPr>
            <w:tcW w:w="2841" w:type="dxa"/>
          </w:tcPr>
          <w:p w14:paraId="073C161C" w14:textId="1B75763E" w:rsidR="004A0E1A" w:rsidRPr="00C12274" w:rsidRDefault="004A0E1A" w:rsidP="002747EA">
            <w:pPr>
              <w:pStyle w:val="RCTstable"/>
            </w:pPr>
            <w:r w:rsidRPr="00C12274">
              <w:rPr>
                <w:noProof/>
              </w:rPr>
              <w:t>Thangaratinam et al 2012b</w:t>
            </w:r>
            <w:r>
              <w:rPr>
                <w:noProof/>
              </w:rP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412</w:t>
            </w:r>
            <w:r>
              <w:rPr>
                <w:noProof/>
              </w:rPr>
              <w:fldChar w:fldCharType="end"/>
            </w:r>
          </w:p>
        </w:tc>
        <w:tc>
          <w:tcPr>
            <w:tcW w:w="2547" w:type="dxa"/>
          </w:tcPr>
          <w:p w14:paraId="2728E29A" w14:textId="77777777" w:rsidR="004A0E1A" w:rsidRPr="00C12274" w:rsidRDefault="004A0E1A" w:rsidP="004A0E1A">
            <w:pPr>
              <w:pStyle w:val="RCTstable"/>
            </w:pPr>
            <w:r>
              <w:t>Mi</w:t>
            </w:r>
            <w:r w:rsidRPr="00C12274">
              <w:t>xed</w:t>
            </w:r>
            <w:r>
              <w:t xml:space="preserve"> BMIs</w:t>
            </w:r>
          </w:p>
        </w:tc>
        <w:tc>
          <w:tcPr>
            <w:tcW w:w="2982" w:type="dxa"/>
          </w:tcPr>
          <w:p w14:paraId="6689EAC9" w14:textId="7BA1E216" w:rsidR="004A0E1A" w:rsidRPr="00BE0624" w:rsidRDefault="008E1F6E" w:rsidP="004A0E1A">
            <w:pPr>
              <w:pStyle w:val="RCTstable"/>
              <w:jc w:val="center"/>
            </w:pPr>
            <w:r>
              <w:rPr>
                <w:rFonts w:eastAsiaTheme="majorEastAsia"/>
              </w:rPr>
              <w:t xml:space="preserve">MD </w:t>
            </w:r>
            <w:r w:rsidR="004A0E1A" w:rsidRPr="00BE0624">
              <w:t>−0.72 (−1.20 to −0.25)</w:t>
            </w:r>
          </w:p>
        </w:tc>
        <w:tc>
          <w:tcPr>
            <w:tcW w:w="1134" w:type="dxa"/>
          </w:tcPr>
          <w:p w14:paraId="54010DBD" w14:textId="77777777" w:rsidR="004A0E1A" w:rsidRPr="00BE0624" w:rsidRDefault="004A0E1A" w:rsidP="004A0E1A">
            <w:pPr>
              <w:pStyle w:val="RCTstable"/>
              <w:jc w:val="center"/>
            </w:pPr>
            <w:r w:rsidRPr="00BE0624">
              <w:t>14</w:t>
            </w:r>
          </w:p>
        </w:tc>
      </w:tr>
      <w:tr w:rsidR="004A0E1A" w:rsidRPr="00C12274" w14:paraId="78776EA6" w14:textId="77777777" w:rsidTr="004A0E1A">
        <w:trPr>
          <w:trHeight w:val="86"/>
        </w:trPr>
        <w:tc>
          <w:tcPr>
            <w:tcW w:w="2841" w:type="dxa"/>
          </w:tcPr>
          <w:p w14:paraId="07422C0F" w14:textId="4679C19B" w:rsidR="004A0E1A" w:rsidRPr="00C12274" w:rsidRDefault="004A0E1A" w:rsidP="002747EA">
            <w:pPr>
              <w:pStyle w:val="RCTstable"/>
            </w:pPr>
            <w:r w:rsidRPr="00C12274">
              <w:rPr>
                <w:noProof/>
              </w:rPr>
              <w:t>Walker et al 2018</w:t>
            </w:r>
            <w:r>
              <w:rPr>
                <w:noProof/>
              </w:rPr>
              <w:fldChar w:fldCharType="begin">
                <w:fldData xml:space="preserve">PEVuZE5vdGU+PENpdGU+PEF1dGhvcj5XYWxrZXI8L0F1dGhvcj48WWVhcj4yMDE4PC9ZZWFyPjxS
ZWNOdW0+NTkwPC9SZWNOdW0+PERpc3BsYXlUZXh0PjxzdHlsZSBmYWNlPSJzdXBlcnNjcmlwdCIg
Zm9udD0iVHJlYnVjaGV0IE1TIiBzaXplPSI5Ij40NjM8L3N0eWxlPjwvRGlzcGxheVRleHQ+PHJl
Y29yZD48cmVjLW51bWJlcj41OTA8L3JlYy1udW1iZXI+PGZvcmVpZ24ta2V5cz48a2V5IGFwcD0i
RU4iIGRiLWlkPSJleHZhc3JmeDJkdHJhb2VzYXN4cDJzenN4YTJkZjUwMjU5MngiIHRpbWVzdGFt
cD0iMTUzNjczMjg0MyI+NTkwPC9rZXk+PGtleSBhcHA9IkVOV2ViIiBkYi1pZD0iIj4wPC9rZXk+
PC9mb3JlaWduLWtleXM+PHJlZi10eXBlIG5hbWU9IkpvdXJuYWwgQXJ0aWNsZSI+MTc8L3JlZi10
eXBlPjxjb250cmlidXRvcnM+PGF1dGhvcnM+PGF1dGhvcj5XYWxrZXIsIFIuPC9hdXRob3I+PGF1
dGhvcj5CZW5uZXR0LCBDLjwvYXV0aG9yPjxhdXRob3I+Qmx1bWZpZWxkLCBNLjwvYXV0aG9yPjxh
dXRob3I+R3dpbmksIFMuPC9hdXRob3I+PGF1dGhvcj5NYSwgSi48L2F1dGhvcj48YXV0aG9yPldh
bmcsIEYuPC9hdXRob3I+PGF1dGhvcj5XYW4sIFkuPC9hdXRob3I+PGF1dGhvcj5UcnVieSwgSC48
L2F1dGhvcj48L2F1dGhvcnM+PC9jb250cmlidXRvcnM+PGF1dGgtYWRkcmVzcz5EZXBhcnRtZW50
IG9mIE51dHJpdGlvbiBhbmQgRGlldGV0aWNzIGFuZCBGb29kLCBTY2hvb2wgb2YgQ2xpbmljYWwg
U2NpZW5jZXMsIE1vbmFzaCBVbml2ZXJzaXR5LCBDbGF5dG9uIFZJQyAzMTY4LCBBdXN0cmFsaWEu
IHJ1dGgud2Fsa2VyQG1vbmFzaC5lZHUuJiN4RDtEZXBhcnRtZW50IG9mIE51dHJpdGlvbiBhbmQg
RGlldGV0aWNzIGFuZCBGb29kLCBTY2hvb2wgb2YgQ2xpbmljYWwgU2NpZW5jZXMsIE1vbmFzaCBV
bml2ZXJzaXR5LCBDbGF5dG9uIFZJQyAzMTY4LCBBdXN0cmFsaWEuIGNocmlzdGllLmJlbm5ldHRA
bW9uYXNoLmVkdS4mI3hEO0RlcGFydG1lbnQgb2YgTnV0cml0aW9uIGFuZCBEaWV0ZXRpY3MgYW5k
IEZvb2QsIFNjaG9vbCBvZiBDbGluaWNhbCBTY2llbmNlcywgTW9uYXNoIFVuaXZlcnNpdHksIENs
YXl0b24gVklDIDMxNjgsIEF1c3RyYWxpYS4gbWljaGVsbGUuYmx1bWZpZWxkQG1vbmFzaC5lZHUu
JiN4RDtEZXBhcnRtZW50IG9mIEVwaWRlbWlvbG9neSBhbmQgUHJldmVudGl2ZSBNZWRpY2luZSwg
U2Nob29sIG9mIFB1YmxpYyBIZWFsdGggYW5kIFByZXZlbnRpdmUgTWVkaWNpbmUsIE1vbmFzaCBV
bml2ZXJzaXR5LCBNZWxib3VybmUgVklDIDMwMDQsIEF1c3RyYWxpYS4gc3RlbGxhLmd3aW5pQG1v
bmFzaC5lZHUuJiN4RDtJbnN0aXR1dGUgb2YgTnV0cml0aW9uIGFuZCBGb29kIEh5Z2llbmUsIFNj
aG9vbCBvZiBQdWJsaWMgSGVhbHRoLCBMYW56aG91IFVuaXZlcnNpdHksIExhbnpob3UgNzMwMDAw
LCBDaGluYS4gbmFuY3ltYXpob3VAaG90bWFpbC5jb20uJiN4RDtEZXBhcnRtZW50IG9mIEZvb2Qg
U2NpZW5jZSBhbmQgTnV0cml0aW9uLCBaaGVqaWFuZyBVbml2ZXJzaXR5LCBIYW5nemhvdSAzMTAw
NTgsIENoaW5hLiBmZW5nbGVpd2FuZ0BnLmhhcnZhcmQuZWR1LiYjeEQ7RGVwYXJ0bWVudCBvZiBG
b29kIFNjaWVuY2UgYW5kIE51dHJpdGlvbiwgWmhlamlhbmcgVW5pdmVyc2l0eSwgSGFuZ3pob3Ug
MzEwMDU4LCBDaGluYS4geWl3YW5Aemp1LmNuLiYjeEQ7RGVwYXJ0bWVudCBvZiBOdXRyaXRpb24g
YW5kIERpZXRldGljcyBhbmQgRm9vZCwgU2Nob29sIG9mIENsaW5pY2FsIFNjaWVuY2VzLCBNb25h
c2ggVW5pdmVyc2l0eSwgQ2xheXRvbiBWSUMgMzE2OCwgQXVzdHJhbGlhLiBoZWxlbi50cnVieUBt
b25hc2guZWR1LjwvYXV0aC1hZGRyZXNzPjx0aXRsZXM+PHRpdGxlPkF0dGVudWF0aW5nIFByZWdu
YW5jeSBXZWlnaHQgR2Fpbi1XaGF0IFdvcmtzIGFuZCBXaHk6IEEgU3lzdGVtYXRpYyBSZXZpZXcg
YW5kIE1ldGEtQW5hbHlzaXM8L3RpdGxlPjxzZWNvbmRhcnktdGl0bGU+TnV0cmllbnRzPC9zZWNv
bmRhcnktdGl0bGU+PC90aXRsZXM+PHBlcmlvZGljYWw+PGZ1bGwtdGl0bGU+TnV0cmllbnRzPC9m
dWxsLXRpdGxlPjwvcGVyaW9kaWNhbD48dm9sdW1lPjEwPC92b2x1bWU+PG51bWJlcj43PC9udW1i
ZXI+PGVkaXRpb24+MjAxOC8wNy8yNTwvZWRpdGlvbj48a2V5d29yZHM+PGtleXdvcmQ+ZGlldDwv
a2V5d29yZD48a2V5d29yZD5nZXN0YXRpb25hbCB3ZWlnaHQgZ2Fpbjwva2V5d29yZD48a2V5d29y
ZD5pbnRlcnZlbnRpb25zPC9rZXl3b3JkPjxrZXl3b3JkPmxpZmVzdHlsZTwva2V5d29yZD48a2V5
d29yZD5tYXRlcm5hbDwva2V5d29yZD48a2V5d29yZD5waHlzaWNhbCBhY3Rpdml0eTwva2V5d29y
ZD48a2V5d29yZD5wcmVnbmFuY3k8L2tleXdvcmQ+PC9rZXl3b3Jkcz48ZGF0ZXM+PHllYXI+MjAx
ODwveWVhcj48cHViLWRhdGVzPjxkYXRlPkp1bCAyMjwvZGF0ZT48L3B1Yi1kYXRlcz48L2RhdGVz
Pjxpc2JuPjIwNzItNjY0MyAoRWxlY3Ryb25pYykmI3hEOzIwNzItNjY0MyAoTGlua2luZyk8L2lz
Ym4+PGFjY2Vzc2lvbi1udW0+MzAwMzcxMjY8L2FjY2Vzc2lvbi1udW0+PHVybHM+PHJlbGF0ZWQt
dXJscz48dXJsPmh0dHBzOi8vd3d3Lm5jYmkubmxtLm5paC5nb3YvcHVibWVkLzMwMDM3MTI2PC91
cmw+PC9yZWxhdGVkLXVybHM+PC91cmxzPjxjdXN0b20yPlBNQzYwNzM2MTc8L2N1c3RvbTI+PGVs
ZWN0cm9uaWMtcmVzb3VyY2UtbnVtPjEwLjMzOTAvbnUxMDA3MDk0NDwvZWxlY3Ryb25pYy1yZXNv
dXJjZS1udW0+PC9yZWNvcmQ+PC9DaXRlPjwvRW5kTm90ZT4A
</w:fldData>
              </w:fldChar>
            </w:r>
            <w:r w:rsidR="002747EA">
              <w:rPr>
                <w:noProof/>
              </w:rPr>
              <w:instrText xml:space="preserve"> ADDIN EN.CITE </w:instrText>
            </w:r>
            <w:r w:rsidR="002747EA">
              <w:rPr>
                <w:noProof/>
              </w:rPr>
              <w:fldChar w:fldCharType="begin">
                <w:fldData xml:space="preserve">PEVuZE5vdGU+PENpdGU+PEF1dGhvcj5XYWxrZXI8L0F1dGhvcj48WWVhcj4yMDE4PC9ZZWFyPjxS
ZWNOdW0+NTkwPC9SZWNOdW0+PERpc3BsYXlUZXh0PjxzdHlsZSBmYWNlPSJzdXBlcnNjcmlwdCIg
Zm9udD0iVHJlYnVjaGV0IE1TIiBzaXplPSI5Ij40NjM8L3N0eWxlPjwvRGlzcGxheVRleHQ+PHJl
Y29yZD48cmVjLW51bWJlcj41OTA8L3JlYy1udW1iZXI+PGZvcmVpZ24ta2V5cz48a2V5IGFwcD0i
RU4iIGRiLWlkPSJleHZhc3JmeDJkdHJhb2VzYXN4cDJzenN4YTJkZjUwMjU5MngiIHRpbWVzdGFt
cD0iMTUzNjczMjg0MyI+NTkwPC9rZXk+PGtleSBhcHA9IkVOV2ViIiBkYi1pZD0iIj4wPC9rZXk+
PC9mb3JlaWduLWtleXM+PHJlZi10eXBlIG5hbWU9IkpvdXJuYWwgQXJ0aWNsZSI+MTc8L3JlZi10
eXBlPjxjb250cmlidXRvcnM+PGF1dGhvcnM+PGF1dGhvcj5XYWxrZXIsIFIuPC9hdXRob3I+PGF1
dGhvcj5CZW5uZXR0LCBDLjwvYXV0aG9yPjxhdXRob3I+Qmx1bWZpZWxkLCBNLjwvYXV0aG9yPjxh
dXRob3I+R3dpbmksIFMuPC9hdXRob3I+PGF1dGhvcj5NYSwgSi48L2F1dGhvcj48YXV0aG9yPldh
bmcsIEYuPC9hdXRob3I+PGF1dGhvcj5XYW4sIFkuPC9hdXRob3I+PGF1dGhvcj5UcnVieSwgSC48
L2F1dGhvcj48L2F1dGhvcnM+PC9jb250cmlidXRvcnM+PGF1dGgtYWRkcmVzcz5EZXBhcnRtZW50
IG9mIE51dHJpdGlvbiBhbmQgRGlldGV0aWNzIGFuZCBGb29kLCBTY2hvb2wgb2YgQ2xpbmljYWwg
U2NpZW5jZXMsIE1vbmFzaCBVbml2ZXJzaXR5LCBDbGF5dG9uIFZJQyAzMTY4LCBBdXN0cmFsaWEu
IHJ1dGgud2Fsa2VyQG1vbmFzaC5lZHUuJiN4RDtEZXBhcnRtZW50IG9mIE51dHJpdGlvbiBhbmQg
RGlldGV0aWNzIGFuZCBGb29kLCBTY2hvb2wgb2YgQ2xpbmljYWwgU2NpZW5jZXMsIE1vbmFzaCBV
bml2ZXJzaXR5LCBDbGF5dG9uIFZJQyAzMTY4LCBBdXN0cmFsaWEuIGNocmlzdGllLmJlbm5ldHRA
bW9uYXNoLmVkdS4mI3hEO0RlcGFydG1lbnQgb2YgTnV0cml0aW9uIGFuZCBEaWV0ZXRpY3MgYW5k
IEZvb2QsIFNjaG9vbCBvZiBDbGluaWNhbCBTY2llbmNlcywgTW9uYXNoIFVuaXZlcnNpdHksIENs
YXl0b24gVklDIDMxNjgsIEF1c3RyYWxpYS4gbWljaGVsbGUuYmx1bWZpZWxkQG1vbmFzaC5lZHUu
JiN4RDtEZXBhcnRtZW50IG9mIEVwaWRlbWlvbG9neSBhbmQgUHJldmVudGl2ZSBNZWRpY2luZSwg
U2Nob29sIG9mIFB1YmxpYyBIZWFsdGggYW5kIFByZXZlbnRpdmUgTWVkaWNpbmUsIE1vbmFzaCBV
bml2ZXJzaXR5LCBNZWxib3VybmUgVklDIDMwMDQsIEF1c3RyYWxpYS4gc3RlbGxhLmd3aW5pQG1v
bmFzaC5lZHUuJiN4RDtJbnN0aXR1dGUgb2YgTnV0cml0aW9uIGFuZCBGb29kIEh5Z2llbmUsIFNj
aG9vbCBvZiBQdWJsaWMgSGVhbHRoLCBMYW56aG91IFVuaXZlcnNpdHksIExhbnpob3UgNzMwMDAw
LCBDaGluYS4gbmFuY3ltYXpob3VAaG90bWFpbC5jb20uJiN4RDtEZXBhcnRtZW50IG9mIEZvb2Qg
U2NpZW5jZSBhbmQgTnV0cml0aW9uLCBaaGVqaWFuZyBVbml2ZXJzaXR5LCBIYW5nemhvdSAzMTAw
NTgsIENoaW5hLiBmZW5nbGVpd2FuZ0BnLmhhcnZhcmQuZWR1LiYjeEQ7RGVwYXJ0bWVudCBvZiBG
b29kIFNjaWVuY2UgYW5kIE51dHJpdGlvbiwgWmhlamlhbmcgVW5pdmVyc2l0eSwgSGFuZ3pob3Ug
MzEwMDU4LCBDaGluYS4geWl3YW5Aemp1LmNuLiYjeEQ7RGVwYXJ0bWVudCBvZiBOdXRyaXRpb24g
YW5kIERpZXRldGljcyBhbmQgRm9vZCwgU2Nob29sIG9mIENsaW5pY2FsIFNjaWVuY2VzLCBNb25h
c2ggVW5pdmVyc2l0eSwgQ2xheXRvbiBWSUMgMzE2OCwgQXVzdHJhbGlhLiBoZWxlbi50cnVieUBt
b25hc2guZWR1LjwvYXV0aC1hZGRyZXNzPjx0aXRsZXM+PHRpdGxlPkF0dGVudWF0aW5nIFByZWdu
YW5jeSBXZWlnaHQgR2Fpbi1XaGF0IFdvcmtzIGFuZCBXaHk6IEEgU3lzdGVtYXRpYyBSZXZpZXcg
YW5kIE1ldGEtQW5hbHlzaXM8L3RpdGxlPjxzZWNvbmRhcnktdGl0bGU+TnV0cmllbnRzPC9zZWNv
bmRhcnktdGl0bGU+PC90aXRsZXM+PHBlcmlvZGljYWw+PGZ1bGwtdGl0bGU+TnV0cmllbnRzPC9m
dWxsLXRpdGxlPjwvcGVyaW9kaWNhbD48dm9sdW1lPjEwPC92b2x1bWU+PG51bWJlcj43PC9udW1i
ZXI+PGVkaXRpb24+MjAxOC8wNy8yNTwvZWRpdGlvbj48a2V5d29yZHM+PGtleXdvcmQ+ZGlldDwv
a2V5d29yZD48a2V5d29yZD5nZXN0YXRpb25hbCB3ZWlnaHQgZ2Fpbjwva2V5d29yZD48a2V5d29y
ZD5pbnRlcnZlbnRpb25zPC9rZXl3b3JkPjxrZXl3b3JkPmxpZmVzdHlsZTwva2V5d29yZD48a2V5
d29yZD5tYXRlcm5hbDwva2V5d29yZD48a2V5d29yZD5waHlzaWNhbCBhY3Rpdml0eTwva2V5d29y
ZD48a2V5d29yZD5wcmVnbmFuY3k8L2tleXdvcmQ+PC9rZXl3b3Jkcz48ZGF0ZXM+PHllYXI+MjAx
ODwveWVhcj48cHViLWRhdGVzPjxkYXRlPkp1bCAyMjwvZGF0ZT48L3B1Yi1kYXRlcz48L2RhdGVz
Pjxpc2JuPjIwNzItNjY0MyAoRWxlY3Ryb25pYykmI3hEOzIwNzItNjY0MyAoTGlua2luZyk8L2lz
Ym4+PGFjY2Vzc2lvbi1udW0+MzAwMzcxMjY8L2FjY2Vzc2lvbi1udW0+PHVybHM+PHJlbGF0ZWQt
dXJscz48dXJsPmh0dHBzOi8vd3d3Lm5jYmkubmxtLm5paC5nb3YvcHVibWVkLzMwMDM3MTI2PC91
cmw+PC9yZWxhdGVkLXVybHM+PC91cmxzPjxjdXN0b20yPlBNQzYwNzM2MTc8L2N1c3RvbTI+PGVs
ZWN0cm9uaWMtcmVzb3VyY2UtbnVtPjEwLjMzOTAvbnUxMDA3MDk0NDwvZWxlY3Ryb25pYy1yZXNv
dXJjZS1udW0+PC9yZWNvcmQ+PC9DaXRlPjwvRW5kTm90ZT4A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463</w:t>
            </w:r>
            <w:r>
              <w:rPr>
                <w:noProof/>
              </w:rPr>
              <w:fldChar w:fldCharType="end"/>
            </w:r>
          </w:p>
        </w:tc>
        <w:tc>
          <w:tcPr>
            <w:tcW w:w="2547" w:type="dxa"/>
          </w:tcPr>
          <w:p w14:paraId="10A0F4FF" w14:textId="77777777" w:rsidR="004A0E1A" w:rsidRPr="00C12274" w:rsidRDefault="004A0E1A" w:rsidP="004A0E1A">
            <w:pPr>
              <w:pStyle w:val="RCTstable"/>
            </w:pPr>
            <w:r w:rsidRPr="00C12274">
              <w:t>Mixed</w:t>
            </w:r>
            <w:r>
              <w:t xml:space="preserve"> BMIs</w:t>
            </w:r>
          </w:p>
        </w:tc>
        <w:tc>
          <w:tcPr>
            <w:tcW w:w="2982" w:type="dxa"/>
          </w:tcPr>
          <w:p w14:paraId="09E3A14C" w14:textId="0C0112D6" w:rsidR="004A0E1A" w:rsidRPr="00BE0624" w:rsidRDefault="008E1F6E" w:rsidP="004A0E1A">
            <w:pPr>
              <w:pStyle w:val="RCTstable"/>
              <w:jc w:val="center"/>
            </w:pPr>
            <w:r>
              <w:rPr>
                <w:rFonts w:eastAsiaTheme="majorEastAsia"/>
              </w:rPr>
              <w:t xml:space="preserve">MD </w:t>
            </w:r>
            <w:r w:rsidR="004A0E1A" w:rsidRPr="00BE0624">
              <w:rPr>
                <w:rFonts w:eastAsiaTheme="majorEastAsia"/>
              </w:rPr>
              <w:t>􀀀−</w:t>
            </w:r>
            <w:r w:rsidR="004A0E1A" w:rsidRPr="00BE0624">
              <w:t>1.02 (</w:t>
            </w:r>
            <w:r w:rsidR="004A0E1A" w:rsidRPr="00BE0624">
              <w:rPr>
                <w:rFonts w:eastAsiaTheme="majorEastAsia"/>
              </w:rPr>
              <w:t>−</w:t>
            </w:r>
            <w:r w:rsidR="004A0E1A" w:rsidRPr="00BE0624">
              <w:t xml:space="preserve">1.56 to </w:t>
            </w:r>
            <w:r w:rsidR="004A0E1A" w:rsidRPr="00BE0624">
              <w:rPr>
                <w:rFonts w:eastAsiaTheme="majorEastAsia"/>
              </w:rPr>
              <w:t>−</w:t>
            </w:r>
            <w:r w:rsidR="004A0E1A" w:rsidRPr="00BE0624">
              <w:t>0.49)</w:t>
            </w:r>
          </w:p>
        </w:tc>
        <w:tc>
          <w:tcPr>
            <w:tcW w:w="1134" w:type="dxa"/>
          </w:tcPr>
          <w:p w14:paraId="7CAF9F19" w14:textId="77777777" w:rsidR="004A0E1A" w:rsidRPr="00BE0624" w:rsidRDefault="004A0E1A" w:rsidP="004A0E1A">
            <w:pPr>
              <w:pStyle w:val="RCTstable"/>
              <w:jc w:val="center"/>
            </w:pPr>
            <w:r w:rsidRPr="00BE0624">
              <w:t>27</w:t>
            </w:r>
          </w:p>
        </w:tc>
      </w:tr>
      <w:tr w:rsidR="00AC4E85" w:rsidRPr="00C12274" w14:paraId="5F848127" w14:textId="77777777" w:rsidTr="004A0E1A">
        <w:trPr>
          <w:trHeight w:val="86"/>
        </w:trPr>
        <w:tc>
          <w:tcPr>
            <w:tcW w:w="2841" w:type="dxa"/>
          </w:tcPr>
          <w:p w14:paraId="41B52821" w14:textId="33469298" w:rsidR="00AC4E85" w:rsidRPr="00C12274" w:rsidRDefault="00AC4E85" w:rsidP="002747EA">
            <w:pPr>
              <w:pStyle w:val="RCTstable"/>
              <w:rPr>
                <w:noProof/>
              </w:rPr>
            </w:pPr>
            <w:r>
              <w:rPr>
                <w:noProof/>
              </w:rPr>
              <w:t>Wang et al 2019</w:t>
            </w:r>
            <w:r w:rsidR="00D07346">
              <w:rPr>
                <w:noProof/>
              </w:rPr>
              <w:fldChar w:fldCharType="begin">
                <w:fldData xml:space="preserve">PEVuZE5vdGU+PENpdGU+PEF1dGhvcj5XYW5nPC9BdXRob3I+PFllYXI+MjAxOTwvWWVhcj48UmVj
TnVtPjE5Mjg8L1JlY051bT48RGlzcGxheVRleHQ+PHN0eWxlIGZhY2U9InN1cGVyc2NyaXB0IiBm
b250PSJUcmVidWNoZXQgTVMiIHNpemU9IjkiPjQ2NDwvc3R5bGU+PC9EaXNwbGF5VGV4dD48cmVj
b3JkPjxyZWMtbnVtYmVyPjE5Mjg8L3JlYy1udW1iZXI+PGZvcmVpZ24ta2V5cz48a2V5IGFwcD0i
RU4iIGRiLWlkPSJleHZhc3JmeDJkdHJhb2VzYXN4cDJzenN4YTJkZjUwMjU5MngiIHRpbWVzdGFt
cD0iMTU4ODY0MzQ1MCI+MTkyODwva2V5PjxrZXkgYXBwPSJFTldlYiIgZGItaWQ9IiI+MDwva2V5
PjwvZm9yZWlnbi1rZXlzPjxyZWYtdHlwZSBuYW1lPSJKb3VybmFsIEFydGljbGUiPjE3PC9yZWYt
dHlwZT48Y29udHJpYnV0b3JzPjxhdXRob3JzPjxhdXRob3I+V2FuZywgSi48L2F1dGhvcj48YXV0
aG9yPldlbiwgRC48L2F1dGhvcj48YXV0aG9yPkxpdSwgWC48L2F1dGhvcj48YXV0aG9yPkxpdSwg
WS48L2F1dGhvcj48L2F1dGhvcnM+PC9jb250cmlidXRvcnM+PGF1dGgtYWRkcmVzcz5EZXBhcnRt
ZW50IG9mIEd5bmVjb2xvZ3kgYW5kIE9ic3RldHJpY3MsIE5vcnRod2VzdCBXb21lbiZhcG9zO3Mg
YW5kIENoaWxkcmVuJmFwb3M7cyBIb3NwaXRhbCwgWGkmYXBvczsgYW4sIFNoYWFueGkgUHJvdmlu
Y2UuJiN4RDtEZXBhcnRtZW50IG9mIEd5bmVjb2xvZ3ksIFNlY29uZCBBZmZpbGlhdGVkIEhvc3Bp
dGFsIG9mIEd1YW5nemhvdSBVbml2ZXJzaXR5IG9mIENoaW5lc2UgTWVkaWNpbmUuJiN4RDtQb3N0
ZG9jdG9yYWwgUmVzZWFyY2ggU3RhdGlvbiwgR3Vhbmd6aG91IFVuaXZlcnNpdHkgb2YgQ2hpbmVz
ZSBNZWRpY2luZS4mI3hEO0RlcGFydG1lbnQgb2YgR3luZWNvbG9neSwgR3Vhbmdkb25nIFByb3Zp
bmNpYWwgSG9zcGl0YWwgb2YgVHJhZGl0aW9uYWwgQ2hpbmVzZSBNZWRpY2luZSwgR3Vhbmd6aG91
LCBDaGluYS48L2F1dGgtYWRkcmVzcz48dGl0bGVzPjx0aXRsZT5JbXBhY3Qgb2YgZXhlcmNpc2Ug
b24gbWF0ZXJuYWwgZ2VzdGF0aW9uYWwgd2VpZ2h0IGdhaW46IEFuIHVwZGF0ZWQgbWV0YS1hbmFs
eXNpcyBvZiByYW5kb21pemVkIGNvbnRyb2xsZWQgdHJpYWxzPC90aXRsZT48c2Vjb25kYXJ5LXRp
dGxlPk1lZGljaW5lIChCYWx0aW1vcmUpPC9zZWNvbmRhcnktdGl0bGU+PC90aXRsZXM+PHBlcmlv
ZGljYWw+PGZ1bGwtdGl0bGU+TWVkaWNpbmUgKEJhbHRpbW9yZSk8L2Z1bGwtdGl0bGU+PC9wZXJp
b2RpY2FsPjxwYWdlcz5lMTYxOTk8L3BhZ2VzPjx2b2x1bWU+OTg8L3ZvbHVtZT48bnVtYmVyPjI3
PC9udW1iZXI+PGVkaXRpb24+MjAxOS8wNy8wNzwvZWRpdGlvbj48a2V5d29yZHM+PGtleXdvcmQ+
RXhlcmNpc2UvKnBoeXNpb2xvZ3k8L2tleXdvcmQ+PGtleXdvcmQ+RXhlcmNpc2UgVGhlcmFweS8q
bWV0aG9kczwva2V5d29yZD48a2V5d29yZD5GZW1hbGU8L2tleXdvcmQ+PGtleXdvcmQ+R2VzdGF0
aW9uYWwgV2VpZ2h0IEdhaW4vKnBoeXNpb2xvZ3k8L2tleXdvcmQ+PGtleXdvcmQ+SHVtYW5zPC9r
ZXl3b3JkPjxrZXl3b3JkPk92ZXJ3ZWlnaHQvcGh5c2lvcGF0aG9sb2d5LypwcmV2ZW50aW9uICZh
bXA7IGNvbnRyb2w8L2tleXdvcmQ+PGtleXdvcmQ+UHJlZ25hbmN5PC9rZXl3b3JkPjxrZXl3b3Jk
PlByZWduYW5jeSBDb21wbGljYXRpb25zL3BoeXNpb3BhdGhvbG9neS8qcHJldmVudGlvbiAmYW1w
OyBjb250cm9sPC9rZXl3b3JkPjxrZXl3b3JkPlJhbmRvbWl6ZWQgQ29udHJvbGxlZCBUcmlhbHMg
YXMgVG9waWMvKm1ldGhvZHM8L2tleXdvcmQ+PC9rZXl3b3Jkcz48ZGF0ZXM+PHllYXI+MjAxOTwv
eWVhcj48cHViLWRhdGVzPjxkYXRlPkp1bDwvZGF0ZT48L3B1Yi1kYXRlcz48L2RhdGVzPjxpc2Ju
PjE1MzYtNTk2NCAoRWxlY3Ryb25pYykmI3hEOzAwMjUtNzk3NCAoTGlua2luZyk8L2lzYm4+PGFj
Y2Vzc2lvbi1udW0+MzEyNzcxMjc8L2FjY2Vzc2lvbi1udW0+PHVybHM+PHJlbGF0ZWQtdXJscz48
dXJsPmh0dHBzOi8vd3d3Lm5jYmkubmxtLm5paC5nb3YvcHVibWVkLzMxMjc3MTI3PC91cmw+PC9y
ZWxhdGVkLXVybHM+PC91cmxzPjxjdXN0b20yPlBNQzY2MzUyNzM8L2N1c3RvbTI+PGVsZWN0cm9u
aWMtcmVzb3VyY2UtbnVtPjEwLjEwOTcvTUQuMDAwMDAwMDAwMDAxNjE5OTwvZWxlY3Ryb25pYy1y
ZXNvdXJjZS1udW0+PC9yZWNvcmQ+PC9DaXRlPjwvRW5kTm90ZT5=
</w:fldData>
              </w:fldChar>
            </w:r>
            <w:r w:rsidR="002747EA">
              <w:rPr>
                <w:noProof/>
              </w:rPr>
              <w:instrText xml:space="preserve"> ADDIN EN.CITE </w:instrText>
            </w:r>
            <w:r w:rsidR="002747EA">
              <w:rPr>
                <w:noProof/>
              </w:rPr>
              <w:fldChar w:fldCharType="begin">
                <w:fldData xml:space="preserve">PEVuZE5vdGU+PENpdGU+PEF1dGhvcj5XYW5nPC9BdXRob3I+PFllYXI+MjAxOTwvWWVhcj48UmVj
TnVtPjE5Mjg8L1JlY051bT48RGlzcGxheVRleHQ+PHN0eWxlIGZhY2U9InN1cGVyc2NyaXB0IiBm
b250PSJUcmVidWNoZXQgTVMiIHNpemU9IjkiPjQ2NDwvc3R5bGU+PC9EaXNwbGF5VGV4dD48cmVj
b3JkPjxyZWMtbnVtYmVyPjE5Mjg8L3JlYy1udW1iZXI+PGZvcmVpZ24ta2V5cz48a2V5IGFwcD0i
RU4iIGRiLWlkPSJleHZhc3JmeDJkdHJhb2VzYXN4cDJzenN4YTJkZjUwMjU5MngiIHRpbWVzdGFt
cD0iMTU4ODY0MzQ1MCI+MTkyODwva2V5PjxrZXkgYXBwPSJFTldlYiIgZGItaWQ9IiI+MDwva2V5
PjwvZm9yZWlnbi1rZXlzPjxyZWYtdHlwZSBuYW1lPSJKb3VybmFsIEFydGljbGUiPjE3PC9yZWYt
dHlwZT48Y29udHJpYnV0b3JzPjxhdXRob3JzPjxhdXRob3I+V2FuZywgSi48L2F1dGhvcj48YXV0
aG9yPldlbiwgRC48L2F1dGhvcj48YXV0aG9yPkxpdSwgWC48L2F1dGhvcj48YXV0aG9yPkxpdSwg
WS48L2F1dGhvcj48L2F1dGhvcnM+PC9jb250cmlidXRvcnM+PGF1dGgtYWRkcmVzcz5EZXBhcnRt
ZW50IG9mIEd5bmVjb2xvZ3kgYW5kIE9ic3RldHJpY3MsIE5vcnRod2VzdCBXb21lbiZhcG9zO3Mg
YW5kIENoaWxkcmVuJmFwb3M7cyBIb3NwaXRhbCwgWGkmYXBvczsgYW4sIFNoYWFueGkgUHJvdmlu
Y2UuJiN4RDtEZXBhcnRtZW50IG9mIEd5bmVjb2xvZ3ksIFNlY29uZCBBZmZpbGlhdGVkIEhvc3Bp
dGFsIG9mIEd1YW5nemhvdSBVbml2ZXJzaXR5IG9mIENoaW5lc2UgTWVkaWNpbmUuJiN4RDtQb3N0
ZG9jdG9yYWwgUmVzZWFyY2ggU3RhdGlvbiwgR3Vhbmd6aG91IFVuaXZlcnNpdHkgb2YgQ2hpbmVz
ZSBNZWRpY2luZS4mI3hEO0RlcGFydG1lbnQgb2YgR3luZWNvbG9neSwgR3Vhbmdkb25nIFByb3Zp
bmNpYWwgSG9zcGl0YWwgb2YgVHJhZGl0aW9uYWwgQ2hpbmVzZSBNZWRpY2luZSwgR3Vhbmd6aG91
LCBDaGluYS48L2F1dGgtYWRkcmVzcz48dGl0bGVzPjx0aXRsZT5JbXBhY3Qgb2YgZXhlcmNpc2Ug
b24gbWF0ZXJuYWwgZ2VzdGF0aW9uYWwgd2VpZ2h0IGdhaW46IEFuIHVwZGF0ZWQgbWV0YS1hbmFs
eXNpcyBvZiByYW5kb21pemVkIGNvbnRyb2xsZWQgdHJpYWxzPC90aXRsZT48c2Vjb25kYXJ5LXRp
dGxlPk1lZGljaW5lIChCYWx0aW1vcmUpPC9zZWNvbmRhcnktdGl0bGU+PC90aXRsZXM+PHBlcmlv
ZGljYWw+PGZ1bGwtdGl0bGU+TWVkaWNpbmUgKEJhbHRpbW9yZSk8L2Z1bGwtdGl0bGU+PC9wZXJp
b2RpY2FsPjxwYWdlcz5lMTYxOTk8L3BhZ2VzPjx2b2x1bWU+OTg8L3ZvbHVtZT48bnVtYmVyPjI3
PC9udW1iZXI+PGVkaXRpb24+MjAxOS8wNy8wNzwvZWRpdGlvbj48a2V5d29yZHM+PGtleXdvcmQ+
RXhlcmNpc2UvKnBoeXNpb2xvZ3k8L2tleXdvcmQ+PGtleXdvcmQ+RXhlcmNpc2UgVGhlcmFweS8q
bWV0aG9kczwva2V5d29yZD48a2V5d29yZD5GZW1hbGU8L2tleXdvcmQ+PGtleXdvcmQ+R2VzdGF0
aW9uYWwgV2VpZ2h0IEdhaW4vKnBoeXNpb2xvZ3k8L2tleXdvcmQ+PGtleXdvcmQ+SHVtYW5zPC9r
ZXl3b3JkPjxrZXl3b3JkPk92ZXJ3ZWlnaHQvcGh5c2lvcGF0aG9sb2d5LypwcmV2ZW50aW9uICZh
bXA7IGNvbnRyb2w8L2tleXdvcmQ+PGtleXdvcmQ+UHJlZ25hbmN5PC9rZXl3b3JkPjxrZXl3b3Jk
PlByZWduYW5jeSBDb21wbGljYXRpb25zL3BoeXNpb3BhdGhvbG9neS8qcHJldmVudGlvbiAmYW1w
OyBjb250cm9sPC9rZXl3b3JkPjxrZXl3b3JkPlJhbmRvbWl6ZWQgQ29udHJvbGxlZCBUcmlhbHMg
YXMgVG9waWMvKm1ldGhvZHM8L2tleXdvcmQ+PC9rZXl3b3Jkcz48ZGF0ZXM+PHllYXI+MjAxOTwv
eWVhcj48cHViLWRhdGVzPjxkYXRlPkp1bDwvZGF0ZT48L3B1Yi1kYXRlcz48L2RhdGVzPjxpc2Ju
PjE1MzYtNTk2NCAoRWxlY3Ryb25pYykmI3hEOzAwMjUtNzk3NCAoTGlua2luZyk8L2lzYm4+PGFj
Y2Vzc2lvbi1udW0+MzEyNzcxMjc8L2FjY2Vzc2lvbi1udW0+PHVybHM+PHJlbGF0ZWQtdXJscz48
dXJsPmh0dHBzOi8vd3d3Lm5jYmkubmxtLm5paC5nb3YvcHVibWVkLzMxMjc3MTI3PC91cmw+PC9y
ZWxhdGVkLXVybHM+PC91cmxzPjxjdXN0b20yPlBNQzY2MzUyNzM8L2N1c3RvbTI+PGVsZWN0cm9u
aWMtcmVzb3VyY2UtbnVtPjEwLjEwOTcvTUQuMDAwMDAwMDAwMDAxNjE5OTwvZWxlY3Ryb25pYy1y
ZXNvdXJjZS1udW0+PC9yZWNvcmQ+PC9DaXRlPjwvRW5kTm90ZT5=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464</w:t>
            </w:r>
            <w:r w:rsidR="00D07346">
              <w:rPr>
                <w:noProof/>
              </w:rPr>
              <w:fldChar w:fldCharType="end"/>
            </w:r>
          </w:p>
        </w:tc>
        <w:tc>
          <w:tcPr>
            <w:tcW w:w="2547" w:type="dxa"/>
          </w:tcPr>
          <w:p w14:paraId="5DD14ECE" w14:textId="30162DAD" w:rsidR="00AC4E85" w:rsidRPr="00C12274" w:rsidRDefault="00AC4E85" w:rsidP="004A0E1A">
            <w:pPr>
              <w:pStyle w:val="RCTstable"/>
            </w:pPr>
            <w:r>
              <w:t>Mixed BMIs</w:t>
            </w:r>
          </w:p>
        </w:tc>
        <w:tc>
          <w:tcPr>
            <w:tcW w:w="2982" w:type="dxa"/>
          </w:tcPr>
          <w:p w14:paraId="41C9265A" w14:textId="50B49DAA" w:rsidR="00AC4E85" w:rsidRPr="00BE0624" w:rsidRDefault="008E1F6E" w:rsidP="004A0E1A">
            <w:pPr>
              <w:pStyle w:val="RCTstable"/>
              <w:jc w:val="center"/>
              <w:rPr>
                <w:rFonts w:eastAsiaTheme="majorEastAsia"/>
              </w:rPr>
            </w:pPr>
            <w:r>
              <w:rPr>
                <w:rFonts w:eastAsiaTheme="majorEastAsia"/>
              </w:rPr>
              <w:t xml:space="preserve">MD </w:t>
            </w:r>
            <w:r w:rsidR="00AC4E85" w:rsidRPr="00BE0624">
              <w:rPr>
                <w:rFonts w:eastAsiaTheme="majorEastAsia"/>
              </w:rPr>
              <w:t>−</w:t>
            </w:r>
            <w:r w:rsidR="00AC4E85">
              <w:rPr>
                <w:rFonts w:eastAsiaTheme="majorEastAsia"/>
              </w:rPr>
              <w:t>1.02 (</w:t>
            </w:r>
            <w:r w:rsidR="00AC4E85" w:rsidRPr="00BE0624">
              <w:rPr>
                <w:rFonts w:eastAsiaTheme="majorEastAsia"/>
              </w:rPr>
              <w:t>−</w:t>
            </w:r>
            <w:r w:rsidR="00AC4E85">
              <w:rPr>
                <w:rFonts w:eastAsiaTheme="majorEastAsia"/>
              </w:rPr>
              <w:t xml:space="preserve">1.35 to </w:t>
            </w:r>
            <w:r w:rsidR="00AC4E85" w:rsidRPr="00BE0624">
              <w:rPr>
                <w:rFonts w:eastAsiaTheme="majorEastAsia"/>
              </w:rPr>
              <w:t>−</w:t>
            </w:r>
            <w:r w:rsidR="00AC4E85">
              <w:rPr>
                <w:rFonts w:eastAsiaTheme="majorEastAsia"/>
              </w:rPr>
              <w:t>0.70)</w:t>
            </w:r>
          </w:p>
        </w:tc>
        <w:tc>
          <w:tcPr>
            <w:tcW w:w="1134" w:type="dxa"/>
          </w:tcPr>
          <w:p w14:paraId="5CD12BA7" w14:textId="4C2FBD6C" w:rsidR="00AC4E85" w:rsidRPr="00BE0624" w:rsidRDefault="00AC4E85" w:rsidP="004A0E1A">
            <w:pPr>
              <w:pStyle w:val="RCTstable"/>
              <w:jc w:val="center"/>
            </w:pPr>
            <w:r>
              <w:t>23</w:t>
            </w:r>
          </w:p>
        </w:tc>
      </w:tr>
      <w:tr w:rsidR="004A0E1A" w:rsidRPr="00C12274" w14:paraId="2F8FDCAC" w14:textId="77777777" w:rsidTr="004A0E1A">
        <w:trPr>
          <w:trHeight w:val="72"/>
        </w:trPr>
        <w:tc>
          <w:tcPr>
            <w:tcW w:w="2841" w:type="dxa"/>
          </w:tcPr>
          <w:p w14:paraId="18DCDE27" w14:textId="56CAC6CA" w:rsidR="004A0E1A" w:rsidRPr="00C12274" w:rsidRDefault="004A0E1A" w:rsidP="002747EA">
            <w:pPr>
              <w:pStyle w:val="RCTstable"/>
            </w:pPr>
            <w:r w:rsidRPr="00C12274">
              <w:rPr>
                <w:noProof/>
              </w:rPr>
              <w:t>Rogozińska et al 2017</w:t>
            </w:r>
            <w:r>
              <w:fldChar w:fldCharType="begin">
                <w:fldData xml:space="preserve">PEVuZE5vdGU+PENpdGU+PEF1dGhvcj5Sb2dvemnFhHNrYTwvQXV0aG9yPjxZZWFyPjIwMTc8L1ll
YXI+PFJlY051bT41Nzk8L1JlY051bT48RGlzcGxheVRleHQ+PHN0eWxlIGZhY2U9InN1cGVyc2Ny
aXB0IiBmb250PSJUcmVidWNoZXQgTVMiIHNpemU9IjkiPjQwOTwvc3R5bGU+PC9EaXNwbGF5VGV4
dD48cmVjb3JkPjxyZWMtbnVtYmVyPjU3OTwvcmVjLW51bWJlcj48Zm9yZWlnbi1rZXlzPjxrZXkg
YXBwPSJFTiIgZGItaWQ9ImV4dmFzcmZ4MmR0cmFvZXNhc3hwMnN6c3hhMmRmNTAyNTkyeCIgdGlt
ZXN0YW1wPSIxNTM2MTkyNDQzIj41Nzk8L2tleT48a2V5IGFwcD0iRU5XZWIiIGRiLWlkPSIiPjA8
L2tleT48L2ZvcmVpZ24ta2V5cz48cmVmLXR5cGUgbmFtZT0iSm91cm5hbCBBcnRpY2xlIj4xNzwv
cmVmLXR5cGU+PGNvbnRyaWJ1dG9ycz48YXV0aG9ycz48YXV0aG9yPlJvZ296acWEc2thLCBFd2Vs
aW5hPC9hdXRob3I+PGF1dGhvcj5NYXJsaW4sIE5hZGluZTwvYXV0aG9yPjxhdXRob3I+SmFja3Nv
biwgTG91aXNlPC9hdXRob3I+PGF1dGhvcj5SYXlhbmFnb3VkYXIsIEdpcmlzaDwvYXV0aG9yPjxh
dXRob3I+UnVpZnJvaywgQW5uZWxvZXMgRS48L2F1dGhvcj48YXV0aG9yPkRvZGRzLCBKdWxpZTwv
YXV0aG9yPjxhdXRob3I+TW9seW5lYXV4LCBFbW1hPC9hdXRob3I+PGF1dGhvcj52YW4gUG9wcGVs
LCBNaXJlaWxsZSBOLiBNLjwvYXV0aG9yPjxhdXRob3I+UG9zdG9uLCBMdWNpbGxhPC9hdXRob3I+
PGF1dGhvcj5WaW50ZXIsIENocmlzdGluYSBBLjwvYXV0aG9yPjxhdXRob3I+TWNBdWxpZmZlLCBG
aW9ubnVhbGE8L2F1dGhvcj48YXV0aG9yPkRvZGQsIEpvZGllIE0uPC9hdXRob3I+PGF1dGhvcj5P
d2VucywgSnVsaWU8L2F1dGhvcj48YXV0aG9yPkJhcmFrYXQsIFJ1YmVuPC9hdXRob3I+PGF1dGhv
cj5QZXJhbGVzLCBNYXJpYTwvYXV0aG9yPjxhdXRob3I+Q2VjYXR0aSwgSm9zZSBHLjwvYXV0aG9y
PjxhdXRob3I+U3VyaXRhLCBGZXJuYW5kYTwvYXV0aG9yPjxhdXRob3I+WWVvLCBTZW9uQWU8L2F1
dGhvcj48YXV0aG9yPkJvZ2FlcnRzLCBBbm5pY2s8L2F1dGhvcj48YXV0aG9yPkRldmxpZWdlciwg
Um9sYW5kPC9hdXRob3I+PGF1dGhvcj5UZWVkZSwgSGVsZW5hPC9hdXRob3I+PGF1dGhvcj5IYXJy
aXNvbiwgQ2hlcnljZTwvYXV0aG9yPjxhdXRob3I+SGFha3N0YWQsIExlbmU8L2F1dGhvcj48YXV0
aG9yPlNoZW4sIEdhcnJ5IFguPC9hdXRob3I+PGF1dGhvcj5TaHViLCBBbGV4aXM8L2F1dGhvcj48
YXV0aG9yPkJlbHRhZ3ksIE5lcm1lZW4gRWw8L2F1dGhvcj48YXV0aG9yPk1vdGFoYXJpLCBOYXJn
ZXM8L2F1dGhvcj48YXV0aG9yPktob3VyeSwgSmFuZXR0ZTwvYXV0aG9yPjxhdXRob3I+VG9uc3Rh
ZCwgU2VyZW5hPC9hdXRob3I+PGF1dGhvcj5MdW90bywgUmlpdHRhPC9hdXRob3I+PGF1dGhvcj5L
aW5udW5lbiwgVGFyamEgSS48L2F1dGhvcj48YXV0aG9yPkd1ZWxmaSwgS3ltPC9hdXRob3I+PGF1
dGhvcj5GYWNjaGluZXR0aSwgRmFiaW88L2F1dGhvcj48YXV0aG9yPlBldHJlbGxhLCBFbGlzYWJl
dHRhPC9hdXRob3I+PGF1dGhvcj5QaGVsYW4sIFN1emFubmU8L2F1dGhvcj48YXV0aG9yPlNjdWRl
bGxlciwgVMOibmlhIFQuPC9hdXRob3I+PGF1dGhvcj5SYXVoLCBLYXRocmluPC9hdXRob3I+PGF1
dGhvcj5IYXVuZXIsIEhhbnM8L2F1dGhvcj48YXV0aG9yPlJlbmF1bHQsIEtyaXN0aW5hPC9hdXRo
b3I+PGF1dGhvcj5kZSBHcm9vdCwgQ2hyaXN0aWFubmUgSi4gTS48L2F1dGhvcj48YXV0aG9yPlNh
Z2VkYWwsIExpbmRhIFIuPC9hdXRob3I+PGF1dGhvcj5WaXN0YWQsIEluZ3ZpbGQ8L2F1dGhvcj48
YXV0aG9yPlN0YWZuZSwgU2lnbmUgTmlsc3NlbjwvYXV0aG9yPjxhdXRob3I+TcO4cmt2ZWQsIFNp
djwvYXV0aG9yPjxhdXRob3I+U2FsdmVzZW4sIEtqZWxsIMOFPC9hdXRob3I+PGF1dGhvcj5KZW5z
ZW4sIERvcnRlIE0uPC9hdXRob3I+PGF1dGhvcj5WaXRvbG8sIE3DoXJjaWE8L2F1dGhvcj48YXV0
aG9yPkFzdHJ1cCwgQXJuZTwvYXV0aG9yPjxhdXRob3I+R2Vpa2VyLCBOaW5hIFIuIFcuPC9hdXRo
b3I+PGF1dGhvcj5LZXJyeSwgU2FsbHk8L2F1dGhvcj48YXV0aG9yPkJhcnRvbiwgUGVsaGFtPC9h
dXRob3I+PGF1dGhvcj5Sb2JlcnRzLCBUcmFjeTwvYXV0aG9yPjxhdXRob3I+UmlsZXksIFJpY2hh
cmQgRC48L2F1dGhvcj48YXV0aG9yPkNvb21hcmFzYW15LCBBcnJpPC9hdXRob3I+PGF1dGhvcj5N
b2wsIEJlbiBXaWxsZW08L2F1dGhvcj48YXV0aG9yPktoYW4sIEtoYWxpZCBTLjwvYXV0aG9yPjxh
dXRob3I+VGhhbmdhcmF0aW5hbSwgU2hha2lsYTwvYXV0aG9yPjwvYXV0aG9ycz48L2NvbnRyaWJ1
dG9ycz48dGl0bGVzPjx0aXRsZT5FZmZlY3RzIG9mIGFudGVuYXRhbCBkaWV0IGFuZCBwaHlzaWNh
bCBhY3Rpdml0eSBvbiBtYXRlcm5hbCBhbmQgZmV0YWwgb3V0Y29tZXM6IGluZGl2aWR1YWwgcGF0
aWVudCBkYXRhIG1ldGEtYW5hbHlzaXMgYW5kIGhlYWx0aCBlY29ub21pYyBldmFsdWF0aW9uPC90
aXRsZT48c2Vjb25kYXJ5LXRpdGxlPkhlYWx0aCBUZWNobm9sb2d5IEFzc2Vzc21lbnQ8L3NlY29u
ZGFyeS10aXRsZT48L3RpdGxlcz48cGVyaW9kaWNhbD48ZnVsbC10aXRsZT5IZWFsdGggVGVjaG5v
bG9neSBBc3Nlc3NtZW50PC9mdWxsLXRpdGxlPjwvcGVyaW9kaWNhbD48cGFnZXM+MS0xNTg8L3Bh
Z2VzPjx2b2x1bWU+MjE8L3ZvbHVtZT48bnVtYmVyPjQxPC9udW1iZXI+PHNlY3Rpb24+MTwvc2Vj
dGlvbj48ZGF0ZXM+PHllYXI+MjAxNzwveWVhcj48L2RhdGVzPjxpc2JuPjEzNjYtNTI3OCYjeEQ7
MjA0Ni00OTI0PC9pc2JuPjx1cmxzPjwvdXJscz48ZWxlY3Ryb25pYy1yZXNvdXJjZS1udW0+MTAu
MzMxMC9odGEyMTQxMDwvZWxlY3Ryb25pYy1yZXNvdXJjZS1udW0+PC9yZWNvcmQ+PC9DaXRlPjwv
RW5kTm90ZT4A
</w:fldData>
              </w:fldChar>
            </w:r>
            <w:r w:rsidR="002747EA">
              <w:instrText xml:space="preserve"> ADDIN EN.CITE </w:instrText>
            </w:r>
            <w:r w:rsidR="002747EA">
              <w:fldChar w:fldCharType="begin">
                <w:fldData xml:space="preserve">PEVuZE5vdGU+PENpdGU+PEF1dGhvcj5Sb2dvemnFhHNrYTwvQXV0aG9yPjxZZWFyPjIwMTc8L1ll
YXI+PFJlY051bT41Nzk8L1JlY051bT48RGlzcGxheVRleHQ+PHN0eWxlIGZhY2U9InN1cGVyc2Ny
aXB0IiBmb250PSJUcmVidWNoZXQgTVMiIHNpemU9IjkiPjQwOTwvc3R5bGU+PC9EaXNwbGF5VGV4
dD48cmVjb3JkPjxyZWMtbnVtYmVyPjU3OTwvcmVjLW51bWJlcj48Zm9yZWlnbi1rZXlzPjxrZXkg
YXBwPSJFTiIgZGItaWQ9ImV4dmFzcmZ4MmR0cmFvZXNhc3hwMnN6c3hhMmRmNTAyNTkyeCIgdGlt
ZXN0YW1wPSIxNTM2MTkyNDQzIj41Nzk8L2tleT48a2V5IGFwcD0iRU5XZWIiIGRiLWlkPSIiPjA8
L2tleT48L2ZvcmVpZ24ta2V5cz48cmVmLXR5cGUgbmFtZT0iSm91cm5hbCBBcnRpY2xlIj4xNzwv
cmVmLXR5cGU+PGNvbnRyaWJ1dG9ycz48YXV0aG9ycz48YXV0aG9yPlJvZ296acWEc2thLCBFd2Vs
aW5hPC9hdXRob3I+PGF1dGhvcj5NYXJsaW4sIE5hZGluZTwvYXV0aG9yPjxhdXRob3I+SmFja3Nv
biwgTG91aXNlPC9hdXRob3I+PGF1dGhvcj5SYXlhbmFnb3VkYXIsIEdpcmlzaDwvYXV0aG9yPjxh
dXRob3I+UnVpZnJvaywgQW5uZWxvZXMgRS48L2F1dGhvcj48YXV0aG9yPkRvZGRzLCBKdWxpZTwv
YXV0aG9yPjxhdXRob3I+TW9seW5lYXV4LCBFbW1hPC9hdXRob3I+PGF1dGhvcj52YW4gUG9wcGVs
LCBNaXJlaWxsZSBOLiBNLjwvYXV0aG9yPjxhdXRob3I+UG9zdG9uLCBMdWNpbGxhPC9hdXRob3I+
PGF1dGhvcj5WaW50ZXIsIENocmlzdGluYSBBLjwvYXV0aG9yPjxhdXRob3I+TWNBdWxpZmZlLCBG
aW9ubnVhbGE8L2F1dGhvcj48YXV0aG9yPkRvZGQsIEpvZGllIE0uPC9hdXRob3I+PGF1dGhvcj5P
d2VucywgSnVsaWU8L2F1dGhvcj48YXV0aG9yPkJhcmFrYXQsIFJ1YmVuPC9hdXRob3I+PGF1dGhv
cj5QZXJhbGVzLCBNYXJpYTwvYXV0aG9yPjxhdXRob3I+Q2VjYXR0aSwgSm9zZSBHLjwvYXV0aG9y
PjxhdXRob3I+U3VyaXRhLCBGZXJuYW5kYTwvYXV0aG9yPjxhdXRob3I+WWVvLCBTZW9uQWU8L2F1
dGhvcj48YXV0aG9yPkJvZ2FlcnRzLCBBbm5pY2s8L2F1dGhvcj48YXV0aG9yPkRldmxpZWdlciwg
Um9sYW5kPC9hdXRob3I+PGF1dGhvcj5UZWVkZSwgSGVsZW5hPC9hdXRob3I+PGF1dGhvcj5IYXJy
aXNvbiwgQ2hlcnljZTwvYXV0aG9yPjxhdXRob3I+SGFha3N0YWQsIExlbmU8L2F1dGhvcj48YXV0
aG9yPlNoZW4sIEdhcnJ5IFguPC9hdXRob3I+PGF1dGhvcj5TaHViLCBBbGV4aXM8L2F1dGhvcj48
YXV0aG9yPkJlbHRhZ3ksIE5lcm1lZW4gRWw8L2F1dGhvcj48YXV0aG9yPk1vdGFoYXJpLCBOYXJn
ZXM8L2F1dGhvcj48YXV0aG9yPktob3VyeSwgSmFuZXR0ZTwvYXV0aG9yPjxhdXRob3I+VG9uc3Rh
ZCwgU2VyZW5hPC9hdXRob3I+PGF1dGhvcj5MdW90bywgUmlpdHRhPC9hdXRob3I+PGF1dGhvcj5L
aW5udW5lbiwgVGFyamEgSS48L2F1dGhvcj48YXV0aG9yPkd1ZWxmaSwgS3ltPC9hdXRob3I+PGF1
dGhvcj5GYWNjaGluZXR0aSwgRmFiaW88L2F1dGhvcj48YXV0aG9yPlBldHJlbGxhLCBFbGlzYWJl
dHRhPC9hdXRob3I+PGF1dGhvcj5QaGVsYW4sIFN1emFubmU8L2F1dGhvcj48YXV0aG9yPlNjdWRl
bGxlciwgVMOibmlhIFQuPC9hdXRob3I+PGF1dGhvcj5SYXVoLCBLYXRocmluPC9hdXRob3I+PGF1
dGhvcj5IYXVuZXIsIEhhbnM8L2F1dGhvcj48YXV0aG9yPlJlbmF1bHQsIEtyaXN0aW5hPC9hdXRo
b3I+PGF1dGhvcj5kZSBHcm9vdCwgQ2hyaXN0aWFubmUgSi4gTS48L2F1dGhvcj48YXV0aG9yPlNh
Z2VkYWwsIExpbmRhIFIuPC9hdXRob3I+PGF1dGhvcj5WaXN0YWQsIEluZ3ZpbGQ8L2F1dGhvcj48
YXV0aG9yPlN0YWZuZSwgU2lnbmUgTmlsc3NlbjwvYXV0aG9yPjxhdXRob3I+TcO4cmt2ZWQsIFNp
djwvYXV0aG9yPjxhdXRob3I+U2FsdmVzZW4sIEtqZWxsIMOFPC9hdXRob3I+PGF1dGhvcj5KZW5z
ZW4sIERvcnRlIE0uPC9hdXRob3I+PGF1dGhvcj5WaXRvbG8sIE3DoXJjaWE8L2F1dGhvcj48YXV0
aG9yPkFzdHJ1cCwgQXJuZTwvYXV0aG9yPjxhdXRob3I+R2Vpa2VyLCBOaW5hIFIuIFcuPC9hdXRo
b3I+PGF1dGhvcj5LZXJyeSwgU2FsbHk8L2F1dGhvcj48YXV0aG9yPkJhcnRvbiwgUGVsaGFtPC9h
dXRob3I+PGF1dGhvcj5Sb2JlcnRzLCBUcmFjeTwvYXV0aG9yPjxhdXRob3I+UmlsZXksIFJpY2hh
cmQgRC48L2F1dGhvcj48YXV0aG9yPkNvb21hcmFzYW15LCBBcnJpPC9hdXRob3I+PGF1dGhvcj5N
b2wsIEJlbiBXaWxsZW08L2F1dGhvcj48YXV0aG9yPktoYW4sIEtoYWxpZCBTLjwvYXV0aG9yPjxh
dXRob3I+VGhhbmdhcmF0aW5hbSwgU2hha2lsYTwvYXV0aG9yPjwvYXV0aG9ycz48L2NvbnRyaWJ1
dG9ycz48dGl0bGVzPjx0aXRsZT5FZmZlY3RzIG9mIGFudGVuYXRhbCBkaWV0IGFuZCBwaHlzaWNh
bCBhY3Rpdml0eSBvbiBtYXRlcm5hbCBhbmQgZmV0YWwgb3V0Y29tZXM6IGluZGl2aWR1YWwgcGF0
aWVudCBkYXRhIG1ldGEtYW5hbHlzaXMgYW5kIGhlYWx0aCBlY29ub21pYyBldmFsdWF0aW9uPC90
aXRsZT48c2Vjb25kYXJ5LXRpdGxlPkhlYWx0aCBUZWNobm9sb2d5IEFzc2Vzc21lbnQ8L3NlY29u
ZGFyeS10aXRsZT48L3RpdGxlcz48cGVyaW9kaWNhbD48ZnVsbC10aXRsZT5IZWFsdGggVGVjaG5v
bG9neSBBc3Nlc3NtZW50PC9mdWxsLXRpdGxlPjwvcGVyaW9kaWNhbD48cGFnZXM+MS0xNTg8L3Bh
Z2VzPjx2b2x1bWU+MjE8L3ZvbHVtZT48bnVtYmVyPjQxPC9udW1iZXI+PHNlY3Rpb24+MTwvc2Vj
dGlvbj48ZGF0ZXM+PHllYXI+MjAxNzwveWVhcj48L2RhdGVzPjxpc2JuPjEzNjYtNTI3OCYjeEQ7
MjA0Ni00OTI0PC9pc2JuPjx1cmxzPjwvdXJscz48ZWxlY3Ryb25pYy1yZXNvdXJjZS1udW0+MTAu
MzMxMC9odGEyMTQxMDwvZWxlY3Ryb25pYy1yZXNvdXJjZS1udW0+PC9yZWNvcmQ+PC9DaXRlPjwv
RW5kTm90ZT4A
</w:fldData>
              </w:fldChar>
            </w:r>
            <w:r w:rsidR="002747EA">
              <w:instrText xml:space="preserve"> ADDIN EN.CITE.DATA </w:instrText>
            </w:r>
            <w:r w:rsidR="002747EA">
              <w:fldChar w:fldCharType="end"/>
            </w:r>
            <w:r>
              <w:fldChar w:fldCharType="separate"/>
            </w:r>
            <w:r w:rsidR="002747EA" w:rsidRPr="002747EA">
              <w:rPr>
                <w:noProof/>
                <w:sz w:val="18"/>
                <w:vertAlign w:val="superscript"/>
              </w:rPr>
              <w:t>409</w:t>
            </w:r>
            <w:r>
              <w:fldChar w:fldCharType="end"/>
            </w:r>
          </w:p>
        </w:tc>
        <w:tc>
          <w:tcPr>
            <w:tcW w:w="2547" w:type="dxa"/>
          </w:tcPr>
          <w:p w14:paraId="6C433DC8" w14:textId="77777777" w:rsidR="004A0E1A" w:rsidRPr="00C12274" w:rsidRDefault="004A0E1A" w:rsidP="004A0E1A">
            <w:pPr>
              <w:pStyle w:val="RCTstable"/>
            </w:pPr>
            <w:r w:rsidRPr="00C12274">
              <w:t>Mixed</w:t>
            </w:r>
            <w:r>
              <w:t xml:space="preserve"> BMIs</w:t>
            </w:r>
          </w:p>
        </w:tc>
        <w:tc>
          <w:tcPr>
            <w:tcW w:w="2982" w:type="dxa"/>
          </w:tcPr>
          <w:p w14:paraId="6AA603A9" w14:textId="5527F10A" w:rsidR="004A0E1A" w:rsidRPr="00BE0624" w:rsidRDefault="008E1F6E" w:rsidP="00266B21">
            <w:pPr>
              <w:pStyle w:val="RCTstable"/>
              <w:jc w:val="center"/>
            </w:pPr>
            <w:r>
              <w:rPr>
                <w:rFonts w:eastAsiaTheme="majorEastAsia"/>
              </w:rPr>
              <w:t xml:space="preserve">MD </w:t>
            </w:r>
            <w:r w:rsidR="004A0E1A" w:rsidRPr="00BE0624">
              <w:rPr>
                <w:rFonts w:eastAsiaTheme="majorEastAsia"/>
              </w:rPr>
              <w:t>−</w:t>
            </w:r>
            <w:r w:rsidR="004A0E1A" w:rsidRPr="00BE0624">
              <w:t>0.73 (</w:t>
            </w:r>
            <w:r w:rsidR="004A0E1A" w:rsidRPr="00BE0624">
              <w:rPr>
                <w:rFonts w:eastAsiaTheme="majorEastAsia"/>
              </w:rPr>
              <w:t>−</w:t>
            </w:r>
            <w:r w:rsidR="004A0E1A" w:rsidRPr="00BE0624">
              <w:t xml:space="preserve">1.11 to </w:t>
            </w:r>
            <w:r w:rsidR="004A0E1A" w:rsidRPr="00BE0624">
              <w:rPr>
                <w:rFonts w:eastAsiaTheme="majorEastAsia"/>
              </w:rPr>
              <w:t>−</w:t>
            </w:r>
            <w:r w:rsidR="004A0E1A" w:rsidRPr="00BE0624">
              <w:t>0.</w:t>
            </w:r>
            <w:r w:rsidR="00266B21">
              <w:t>08</w:t>
            </w:r>
            <w:r w:rsidR="004A0E1A" w:rsidRPr="00BE0624">
              <w:t>)</w:t>
            </w:r>
          </w:p>
        </w:tc>
        <w:tc>
          <w:tcPr>
            <w:tcW w:w="1134" w:type="dxa"/>
          </w:tcPr>
          <w:p w14:paraId="7DE75AB5" w14:textId="77777777" w:rsidR="004A0E1A" w:rsidRPr="00BE0624" w:rsidRDefault="004A0E1A" w:rsidP="004A0E1A">
            <w:pPr>
              <w:pStyle w:val="RCTstable"/>
              <w:jc w:val="center"/>
            </w:pPr>
            <w:r w:rsidRPr="00BE0624">
              <w:t>15</w:t>
            </w:r>
          </w:p>
        </w:tc>
      </w:tr>
      <w:tr w:rsidR="00266B21" w:rsidRPr="00C12274" w14:paraId="778AB921" w14:textId="77777777" w:rsidTr="00465384">
        <w:tc>
          <w:tcPr>
            <w:tcW w:w="2841" w:type="dxa"/>
          </w:tcPr>
          <w:p w14:paraId="018039C4" w14:textId="610E65FD" w:rsidR="00266B21" w:rsidRDefault="00266B21" w:rsidP="002747EA">
            <w:pPr>
              <w:pStyle w:val="RCTstable"/>
            </w:pPr>
            <w:r>
              <w:t>Craemer et al 2019</w:t>
            </w:r>
            <w:r w:rsidR="00E37D04">
              <w:fldChar w:fldCharType="begin">
                <w:fldData xml:space="preserve">PEVuZE5vdGU+PENpdGU+PEF1dGhvcj5DcmFlbWVyPC9BdXRob3I+PFllYXI+MjAxOTwvWWVhcj48
UmVjTnVtPjEzODI8L1JlY051bT48RGlzcGxheVRleHQ+PHN0eWxlIGZhY2U9InN1cGVyc2NyaXB0
IiBmb250PSJUcmVidWNoZXQgTVMiIHNpemU9IjkiPjQxNDwvc3R5bGU+PC9EaXNwbGF5VGV4dD48
cmVjb3JkPjxyZWMtbnVtYmVyPjEzODI8L3JlYy1udW1iZXI+PGZvcmVpZ24ta2V5cz48a2V5IGFw
cD0iRU4iIGRiLWlkPSJleHZhc3JmeDJkdHJhb2VzYXN4cDJzenN4YTJkZjUwMjU5MngiIHRpbWVz
dGFtcD0iMTU2NzEzODY4MSI+MTM4Mjwva2V5PjxrZXkgYXBwPSJFTldlYiIgZGItaWQ9IiI+MDwv
a2V5PjwvZm9yZWlnbi1rZXlzPjxyZWYtdHlwZSBuYW1lPSJKb3VybmFsIEFydGljbGUiPjE3PC9y
ZWYtdHlwZT48Y29udHJpYnV0b3JzPjxhdXRob3JzPjxhdXRob3I+Q3JhZW1lciwgSy4gQS48L2F1
dGhvcj48YXV0aG9yPlNhbXBlbmUsIEUuPC9hdXRob3I+PGF1dGhvcj5TYWZkYXIsIE4uPC9hdXRo
b3I+PGF1dGhvcj5BbnRvbnksIEsuIE0uPC9hdXRob3I+PGF1dGhvcj5XYXV0bGV0LCBDLiBLLjwv
YXV0aG9yPjwvYXV0aG9ycz48L2NvbnRyaWJ1dG9ycz48YXV0aC1hZGRyZXNzPkRlcGFydG1lbnQg
b2YgSW50ZWdyYXRlZCBCaW9sb2d5LCBVbml2ZXJzaXR5IG9mIFdpc2NvbnNpbiAtIE1hZGlzb24s
IE1hZGlzb24sIFdpc2NvbnNpbi4mI3hEO0RlcGFydG1lbnQgb2YgT2JzdGV0cmljcyBhbmQgR3lu
ZWNvbG9neSwgVW5pdmVyc2l0eSBvZiBXaXNjb25zaW4gLSBNYWRpc29uLCBNYWRpc29uLCBXaXNj
b25zaW4uJiN4RDtEZXBhcnRtZW50IG9mIEJpb3N0YXRpc3RpY3MgYW5kIE1lZGljYWwgSW5mb3Jt
YXRpY3MsIFVuaXZlcnNpdHkgb2YgV2lzY29uc2luIC0gTWFkaXNvbiwgTWFkaXNvbiwgV2lzY29u
c2luLiYjeEQ7RGl2aXNpb24gb2YgSW5mZWN0aW91cyBEaXNlYXNlLCBEZXBhcnRtZW50IG9mIE1l
ZGljaW5lLCBVbml2ZXJzaXR5IG9mIFdpc2NvbnNpbi1NYWRpc29uIFNjaG9vbCBvZiBNZWRpY2lu
ZSBhbmQgUHVibGljIEhlYWx0aCwgTWFkaXNvbiwgV2lzY29uc2luLiYjeEQ7RGVwYXJ0bWVudCBv
ZiBNZWRpY2luZSwgV2lsbGlhbSBTLiBNaWRkbGV0b24gTWVtb3JpYWwgVmV0ZXJhbnMgSG9zcGl0
YWwsIE1hZGlzb24sIFdpc2NvbnNpbi48L2F1dGgtYWRkcmVzcz48dGl0bGVzPjx0aXRsZT5OdXRy
aXRpb24gYW5kIEV4ZXJjaXNlIFN0cmF0ZWdpZXMgdG8gUHJldmVudCBFeGNlc3NpdmUgUHJlZ25h
bmN5IFdlaWdodCBHYWluOiBBIE1ldGEtYW5hbHlzaXM8L3RpdGxlPjxzZWNvbmRhcnktdGl0bGU+
QUpQIFJlcDwvc2Vjb25kYXJ5LXRpdGxlPjwvdGl0bGVzPjxwZXJpb2RpY2FsPjxmdWxsLXRpdGxl
PkFKUCBSZXA8L2Z1bGwtdGl0bGU+PC9wZXJpb2RpY2FsPjxwYWdlcz5lOTItZTEyMDwvcGFnZXM+
PHZvbHVtZT45PC92b2x1bWU+PG51bWJlcj4xPC9udW1iZXI+PGVkaXRpb24+MjAxOS8wNS8wMjwv
ZWRpdGlvbj48a2V5d29yZHM+PGtleXdvcmQ+ZXhlcmNpc2UgaW50ZXJ2ZW50aW9uPC9rZXl3b3Jk
PjxrZXl3b3JkPm51dHJpdGlvbiBpbnRlcnZlbnRpb248L2tleXdvcmQ+PGtleXdvcmQ+b2Jlc2l0
eTwva2V5d29yZD48a2V5d29yZD5wcmVnbmFuY3k8L2tleXdvcmQ+PGtleXdvcmQ+d2VpZ2h0IGdh
aW48L2tleXdvcmQ+PC9rZXl3b3Jkcz48ZGF0ZXM+PHllYXI+MjAxOTwveWVhcj48cHViLWRhdGVz
PjxkYXRlPkphbjwvZGF0ZT48L3B1Yi1kYXRlcz48L2RhdGVzPjxpc2JuPjIxNTctNjk5OCAoUHJp
bnQpJiN4RDsyMTU3LTcwMDUgKExpbmtpbmcpPC9pc2JuPjxhY2Nlc3Npb24tbnVtPjMxMDQxMTE4
PC9hY2Nlc3Npb24tbnVtPjx1cmxzPjxyZWxhdGVkLXVybHM+PHVybD5odHRwczovL3d3dy5uY2Jp
Lm5sbS5uaWguZ292L3B1Ym1lZC8zMTA0MTExODwvdXJsPjwvcmVsYXRlZC11cmxzPjwvdXJscz48
Y3VzdG9tMj5QTUM2NDI0ODE3PC9jdXN0b20yPjxlbGVjdHJvbmljLXJlc291cmNlLW51bT4xMC4x
MDU1L3MtMDAzOS0xNjgzMzc3PC9lbGVjdHJvbmljLXJlc291cmNlLW51bT48L3JlY29yZD48L0Np
dGU+PC9FbmROb3RlPgB=
</w:fldData>
              </w:fldChar>
            </w:r>
            <w:r w:rsidR="002747EA">
              <w:instrText xml:space="preserve"> ADDIN EN.CITE </w:instrText>
            </w:r>
            <w:r w:rsidR="002747EA">
              <w:fldChar w:fldCharType="begin">
                <w:fldData xml:space="preserve">PEVuZE5vdGU+PENpdGU+PEF1dGhvcj5DcmFlbWVyPC9BdXRob3I+PFllYXI+MjAxOTwvWWVhcj48
UmVjTnVtPjEzODI8L1JlY051bT48RGlzcGxheVRleHQ+PHN0eWxlIGZhY2U9InN1cGVyc2NyaXB0
IiBmb250PSJUcmVidWNoZXQgTVMiIHNpemU9IjkiPjQxNDwvc3R5bGU+PC9EaXNwbGF5VGV4dD48
cmVjb3JkPjxyZWMtbnVtYmVyPjEzODI8L3JlYy1udW1iZXI+PGZvcmVpZ24ta2V5cz48a2V5IGFw
cD0iRU4iIGRiLWlkPSJleHZhc3JmeDJkdHJhb2VzYXN4cDJzenN4YTJkZjUwMjU5MngiIHRpbWVz
dGFtcD0iMTU2NzEzODY4MSI+MTM4Mjwva2V5PjxrZXkgYXBwPSJFTldlYiIgZGItaWQ9IiI+MDwv
a2V5PjwvZm9yZWlnbi1rZXlzPjxyZWYtdHlwZSBuYW1lPSJKb3VybmFsIEFydGljbGUiPjE3PC9y
ZWYtdHlwZT48Y29udHJpYnV0b3JzPjxhdXRob3JzPjxhdXRob3I+Q3JhZW1lciwgSy4gQS48L2F1
dGhvcj48YXV0aG9yPlNhbXBlbmUsIEUuPC9hdXRob3I+PGF1dGhvcj5TYWZkYXIsIE4uPC9hdXRo
b3I+PGF1dGhvcj5BbnRvbnksIEsuIE0uPC9hdXRob3I+PGF1dGhvcj5XYXV0bGV0LCBDLiBLLjwv
YXV0aG9yPjwvYXV0aG9ycz48L2NvbnRyaWJ1dG9ycz48YXV0aC1hZGRyZXNzPkRlcGFydG1lbnQg
b2YgSW50ZWdyYXRlZCBCaW9sb2d5LCBVbml2ZXJzaXR5IG9mIFdpc2NvbnNpbiAtIE1hZGlzb24s
IE1hZGlzb24sIFdpc2NvbnNpbi4mI3hEO0RlcGFydG1lbnQgb2YgT2JzdGV0cmljcyBhbmQgR3lu
ZWNvbG9neSwgVW5pdmVyc2l0eSBvZiBXaXNjb25zaW4gLSBNYWRpc29uLCBNYWRpc29uLCBXaXNj
b25zaW4uJiN4RDtEZXBhcnRtZW50IG9mIEJpb3N0YXRpc3RpY3MgYW5kIE1lZGljYWwgSW5mb3Jt
YXRpY3MsIFVuaXZlcnNpdHkgb2YgV2lzY29uc2luIC0gTWFkaXNvbiwgTWFkaXNvbiwgV2lzY29u
c2luLiYjeEQ7RGl2aXNpb24gb2YgSW5mZWN0aW91cyBEaXNlYXNlLCBEZXBhcnRtZW50IG9mIE1l
ZGljaW5lLCBVbml2ZXJzaXR5IG9mIFdpc2NvbnNpbi1NYWRpc29uIFNjaG9vbCBvZiBNZWRpY2lu
ZSBhbmQgUHVibGljIEhlYWx0aCwgTWFkaXNvbiwgV2lzY29uc2luLiYjeEQ7RGVwYXJ0bWVudCBv
ZiBNZWRpY2luZSwgV2lsbGlhbSBTLiBNaWRkbGV0b24gTWVtb3JpYWwgVmV0ZXJhbnMgSG9zcGl0
YWwsIE1hZGlzb24sIFdpc2NvbnNpbi48L2F1dGgtYWRkcmVzcz48dGl0bGVzPjx0aXRsZT5OdXRy
aXRpb24gYW5kIEV4ZXJjaXNlIFN0cmF0ZWdpZXMgdG8gUHJldmVudCBFeGNlc3NpdmUgUHJlZ25h
bmN5IFdlaWdodCBHYWluOiBBIE1ldGEtYW5hbHlzaXM8L3RpdGxlPjxzZWNvbmRhcnktdGl0bGU+
QUpQIFJlcDwvc2Vjb25kYXJ5LXRpdGxlPjwvdGl0bGVzPjxwZXJpb2RpY2FsPjxmdWxsLXRpdGxl
PkFKUCBSZXA8L2Z1bGwtdGl0bGU+PC9wZXJpb2RpY2FsPjxwYWdlcz5lOTItZTEyMDwvcGFnZXM+
PHZvbHVtZT45PC92b2x1bWU+PG51bWJlcj4xPC9udW1iZXI+PGVkaXRpb24+MjAxOS8wNS8wMjwv
ZWRpdGlvbj48a2V5d29yZHM+PGtleXdvcmQ+ZXhlcmNpc2UgaW50ZXJ2ZW50aW9uPC9rZXl3b3Jk
PjxrZXl3b3JkPm51dHJpdGlvbiBpbnRlcnZlbnRpb248L2tleXdvcmQ+PGtleXdvcmQ+b2Jlc2l0
eTwva2V5d29yZD48a2V5d29yZD5wcmVnbmFuY3k8L2tleXdvcmQ+PGtleXdvcmQ+d2VpZ2h0IGdh
aW48L2tleXdvcmQ+PC9rZXl3b3Jkcz48ZGF0ZXM+PHllYXI+MjAxOTwveWVhcj48cHViLWRhdGVz
PjxkYXRlPkphbjwvZGF0ZT48L3B1Yi1kYXRlcz48L2RhdGVzPjxpc2JuPjIxNTctNjk5OCAoUHJp
bnQpJiN4RDsyMTU3LTcwMDUgKExpbmtpbmcpPC9pc2JuPjxhY2Nlc3Npb24tbnVtPjMxMDQxMTE4
PC9hY2Nlc3Npb24tbnVtPjx1cmxzPjxyZWxhdGVkLXVybHM+PHVybD5odHRwczovL3d3dy5uY2Jp
Lm5sbS5uaWguZ292L3B1Ym1lZC8zMTA0MTExODwvdXJsPjwvcmVsYXRlZC11cmxzPjwvdXJscz48
Y3VzdG9tMj5QTUM2NDI0ODE3PC9jdXN0b20yPjxlbGVjdHJvbmljLXJlc291cmNlLW51bT4xMC4x
MDU1L3MtMDAzOS0xNjgzMzc3PC9lbGVjdHJvbmljLXJlc291cmNlLW51bT48L3JlY29yZD48L0Np
dGU+PC9FbmROb3RlPgB=
</w:fldData>
              </w:fldChar>
            </w:r>
            <w:r w:rsidR="002747EA">
              <w:instrText xml:space="preserve"> ADDIN EN.CITE.DATA </w:instrText>
            </w:r>
            <w:r w:rsidR="002747EA">
              <w:fldChar w:fldCharType="end"/>
            </w:r>
            <w:r w:rsidR="00E37D04">
              <w:fldChar w:fldCharType="separate"/>
            </w:r>
            <w:r w:rsidR="002747EA" w:rsidRPr="002747EA">
              <w:rPr>
                <w:noProof/>
                <w:sz w:val="18"/>
                <w:vertAlign w:val="superscript"/>
              </w:rPr>
              <w:t>414</w:t>
            </w:r>
            <w:r w:rsidR="00E37D04">
              <w:fldChar w:fldCharType="end"/>
            </w:r>
          </w:p>
        </w:tc>
        <w:tc>
          <w:tcPr>
            <w:tcW w:w="2547" w:type="dxa"/>
          </w:tcPr>
          <w:p w14:paraId="2F34D791" w14:textId="77777777" w:rsidR="00266B21" w:rsidRDefault="00266B21" w:rsidP="00465384">
            <w:pPr>
              <w:pStyle w:val="RCTstable"/>
            </w:pPr>
            <w:r>
              <w:t>Mixed BMIs</w:t>
            </w:r>
          </w:p>
        </w:tc>
        <w:tc>
          <w:tcPr>
            <w:tcW w:w="2982" w:type="dxa"/>
          </w:tcPr>
          <w:p w14:paraId="193E9478" w14:textId="1E278EE4" w:rsidR="00266B21" w:rsidRDefault="008E1F6E" w:rsidP="00266B21">
            <w:pPr>
              <w:pStyle w:val="RCTstable"/>
              <w:jc w:val="center"/>
            </w:pPr>
            <w:r>
              <w:rPr>
                <w:rFonts w:eastAsiaTheme="majorEastAsia"/>
              </w:rPr>
              <w:t xml:space="preserve">MD </w:t>
            </w:r>
            <w:r w:rsidR="00266B21">
              <w:t>−0.37 (−0.66 to −0.24)</w:t>
            </w:r>
          </w:p>
        </w:tc>
        <w:tc>
          <w:tcPr>
            <w:tcW w:w="1134" w:type="dxa"/>
          </w:tcPr>
          <w:p w14:paraId="10D286D1" w14:textId="132633C8" w:rsidR="00266B21" w:rsidRDefault="00266B21" w:rsidP="00465384">
            <w:pPr>
              <w:pStyle w:val="RCTstable"/>
              <w:jc w:val="center"/>
            </w:pPr>
            <w:r>
              <w:t>11</w:t>
            </w:r>
          </w:p>
        </w:tc>
      </w:tr>
      <w:tr w:rsidR="004A0E1A" w:rsidRPr="00C12274" w14:paraId="6B984F2D" w14:textId="77777777" w:rsidTr="004A0E1A">
        <w:tc>
          <w:tcPr>
            <w:tcW w:w="2841" w:type="dxa"/>
          </w:tcPr>
          <w:p w14:paraId="3D118355" w14:textId="67733ED0" w:rsidR="004A0E1A" w:rsidRPr="00C12274" w:rsidRDefault="004A0E1A" w:rsidP="002747EA">
            <w:pPr>
              <w:pStyle w:val="RCTstable"/>
            </w:pPr>
            <w:r>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63E82D57" w14:textId="77777777" w:rsidR="004A0E1A" w:rsidRPr="00C12274" w:rsidRDefault="004A0E1A" w:rsidP="004A0E1A">
            <w:pPr>
              <w:pStyle w:val="RCTstable"/>
            </w:pPr>
            <w:r>
              <w:t>BMI ≥25</w:t>
            </w:r>
          </w:p>
        </w:tc>
        <w:tc>
          <w:tcPr>
            <w:tcW w:w="2982" w:type="dxa"/>
          </w:tcPr>
          <w:p w14:paraId="5D205E29" w14:textId="19C953C1" w:rsidR="004A0E1A" w:rsidRPr="00BE0624" w:rsidRDefault="008E1F6E" w:rsidP="004A0E1A">
            <w:pPr>
              <w:pStyle w:val="RCTstable"/>
              <w:jc w:val="center"/>
            </w:pPr>
            <w:r>
              <w:rPr>
                <w:rFonts w:eastAsiaTheme="majorEastAsia"/>
              </w:rPr>
              <w:t xml:space="preserve">MD </w:t>
            </w:r>
            <w:r w:rsidR="004A0E1A" w:rsidRPr="00BE0624">
              <w:rPr>
                <w:rFonts w:eastAsiaTheme="majorEastAsia"/>
              </w:rPr>
              <w:t>−0.34 (−1.15 to 0.47)</w:t>
            </w:r>
          </w:p>
        </w:tc>
        <w:tc>
          <w:tcPr>
            <w:tcW w:w="1134" w:type="dxa"/>
          </w:tcPr>
          <w:p w14:paraId="3DC938E4" w14:textId="77777777" w:rsidR="004A0E1A" w:rsidRPr="00BE0624" w:rsidRDefault="004A0E1A" w:rsidP="004A0E1A">
            <w:pPr>
              <w:pStyle w:val="RCTstable"/>
              <w:jc w:val="center"/>
            </w:pPr>
            <w:r w:rsidRPr="00BE0624">
              <w:t>5</w:t>
            </w:r>
          </w:p>
        </w:tc>
      </w:tr>
      <w:tr w:rsidR="004A0E1A" w:rsidRPr="00C12274" w14:paraId="6362E88F" w14:textId="77777777" w:rsidTr="004A0E1A">
        <w:tc>
          <w:tcPr>
            <w:tcW w:w="2841" w:type="dxa"/>
          </w:tcPr>
          <w:p w14:paraId="4D227512" w14:textId="21143F9E" w:rsidR="004A0E1A" w:rsidRPr="00C12274" w:rsidRDefault="004A0E1A" w:rsidP="002747EA">
            <w:pPr>
              <w:pStyle w:val="RCTstable"/>
            </w:pPr>
            <w:r w:rsidRPr="00C12274">
              <w:rPr>
                <w:noProof/>
              </w:rPr>
              <w:t>Wiebe et al 2015</w:t>
            </w:r>
            <w:r>
              <w:fldChar w:fldCharType="begin"/>
            </w:r>
            <w:r w:rsidR="002747EA">
              <w:instrText xml:space="preserve"> ADDIN EN.CITE &lt;EndNote&gt;&lt;Cite&gt;&lt;Author&gt;Wiebe&lt;/Author&gt;&lt;Year&gt;2015&lt;/Year&gt;&lt;RecNum&gt;583&lt;/RecNum&gt;&lt;DisplayText&gt;&lt;style face="superscript" font="Trebuchet MS" size="9"&gt;459&lt;/style&gt;&lt;/DisplayText&gt;&lt;record&gt;&lt;rec-number&gt;583&lt;/rec-number&gt;&lt;foreign-keys&gt;&lt;key app="EN" db-id="exvasrfx2dtraoesasxp2szsxa2df502592x" timestamp="1536367432"&gt;583&lt;/key&gt;&lt;/foreign-keys&gt;&lt;ref-type name="Journal Article"&gt;17&lt;/ref-type&gt;&lt;contributors&gt;&lt;authors&gt;&lt;author&gt;Wiebe, H. W.&lt;/author&gt;&lt;author&gt;Boule, N. G.&lt;/author&gt;&lt;author&gt;Chari, R.&lt;/author&gt;&lt;author&gt;Davenport, M. H.&lt;/author&gt;&lt;/authors&gt;&lt;/contributors&gt;&lt;auth-address&gt;Program for Pregnancy and Postpartum Health and Physical Activity and Diabetes Laboratory, Faculty of Physical Education and Recreation, the Women and Children&amp;apos;s Health Research Institute, the Alberta Diabetes Institute, and the Department of Obstetrics and Gynecology, University of Alberta, Edmonton, Alberta, Canada.&lt;/auth-address&gt;&lt;titles&gt;&lt;title&gt;The effect of supervised prenatal exercise on fetal growth: a meta-analysis&lt;/title&gt;&lt;secondary-title&gt;Obstet Gynecol&lt;/secondary-title&gt;&lt;/titles&gt;&lt;periodical&gt;&lt;full-title&gt;Obstet Gynecol&lt;/full-title&gt;&lt;/periodical&gt;&lt;pages&gt;1185-94&lt;/pages&gt;&lt;volume&gt;125&lt;/volume&gt;&lt;number&gt;5&lt;/number&gt;&lt;edition&gt;2015/05/02&lt;/edition&gt;&lt;keywords&gt;&lt;keyword&gt;Birth Weight/*physiology&lt;/keyword&gt;&lt;keyword&gt;Exercise/*physiology&lt;/keyword&gt;&lt;keyword&gt;Female&lt;/keyword&gt;&lt;keyword&gt;Fetal Development/*physiology&lt;/keyword&gt;&lt;keyword&gt;Fetal Macrosomia/epidemiology/prevention &amp;amp; control&lt;/keyword&gt;&lt;keyword&gt;Fetus/*physiology&lt;/keyword&gt;&lt;keyword&gt;Humans&lt;/keyword&gt;&lt;keyword&gt;Pregnancy&lt;/keyword&gt;&lt;keyword&gt;Pregnancy Outcome&lt;/keyword&gt;&lt;keyword&gt;Prenatal Care&lt;/keyword&gt;&lt;keyword&gt;Standard of Care&lt;/keyword&gt;&lt;/keywords&gt;&lt;dates&gt;&lt;year&gt;2015&lt;/year&gt;&lt;pub-dates&gt;&lt;date&gt;May&lt;/date&gt;&lt;/pub-dates&gt;&lt;/dates&gt;&lt;isbn&gt;1873-233X (Electronic)&amp;#xD;0029-7844 (Linking)&lt;/isbn&gt;&lt;accession-num&gt;25932847&lt;/accession-num&gt;&lt;urls&gt;&lt;related-urls&gt;&lt;url&gt;https://www.ncbi.nlm.nih.gov/pubmed/25932847&lt;/url&gt;&lt;/related-urls&gt;&lt;/urls&gt;&lt;electronic-resource-num&gt;10.1097/AOG.0000000000000801&lt;/electronic-resource-num&gt;&lt;/record&gt;&lt;/Cite&gt;&lt;/EndNote&gt;</w:instrText>
            </w:r>
            <w:r>
              <w:fldChar w:fldCharType="separate"/>
            </w:r>
            <w:r w:rsidR="002747EA" w:rsidRPr="002747EA">
              <w:rPr>
                <w:noProof/>
                <w:sz w:val="18"/>
                <w:vertAlign w:val="superscript"/>
              </w:rPr>
              <w:t>459</w:t>
            </w:r>
            <w:r>
              <w:fldChar w:fldCharType="end"/>
            </w:r>
          </w:p>
        </w:tc>
        <w:tc>
          <w:tcPr>
            <w:tcW w:w="2547" w:type="dxa"/>
          </w:tcPr>
          <w:p w14:paraId="3DF219F7" w14:textId="77777777" w:rsidR="004A0E1A" w:rsidRPr="00C12274" w:rsidRDefault="004A0E1A" w:rsidP="004A0E1A">
            <w:pPr>
              <w:pStyle w:val="RCTstable"/>
            </w:pPr>
            <w:r>
              <w:t>BMI ≥25</w:t>
            </w:r>
          </w:p>
        </w:tc>
        <w:tc>
          <w:tcPr>
            <w:tcW w:w="2982" w:type="dxa"/>
          </w:tcPr>
          <w:p w14:paraId="0BDAFE30" w14:textId="3836680E" w:rsidR="004A0E1A" w:rsidRPr="00BE0624" w:rsidRDefault="008E1F6E" w:rsidP="004A0E1A">
            <w:pPr>
              <w:pStyle w:val="RCTstable"/>
              <w:jc w:val="center"/>
            </w:pPr>
            <w:r>
              <w:rPr>
                <w:rFonts w:eastAsiaTheme="majorEastAsia"/>
              </w:rPr>
              <w:t xml:space="preserve">MD </w:t>
            </w:r>
            <w:r w:rsidR="004A0E1A" w:rsidRPr="00BE0624">
              <w:rPr>
                <w:rFonts w:eastAsiaTheme="majorEastAsia"/>
              </w:rPr>
              <w:t>−0.3 (−1.13 to 0.52)</w:t>
            </w:r>
          </w:p>
        </w:tc>
        <w:tc>
          <w:tcPr>
            <w:tcW w:w="1134" w:type="dxa"/>
          </w:tcPr>
          <w:p w14:paraId="6B5628AA" w14:textId="77777777" w:rsidR="004A0E1A" w:rsidRPr="00BE0624" w:rsidRDefault="004A0E1A" w:rsidP="004A0E1A">
            <w:pPr>
              <w:pStyle w:val="RCTstable"/>
              <w:jc w:val="center"/>
            </w:pPr>
            <w:r w:rsidRPr="00BE0624">
              <w:t>3</w:t>
            </w:r>
          </w:p>
        </w:tc>
      </w:tr>
      <w:tr w:rsidR="004A0E1A" w:rsidRPr="00C12274" w14:paraId="013ED478" w14:textId="77777777" w:rsidTr="004A0E1A">
        <w:tc>
          <w:tcPr>
            <w:tcW w:w="2841" w:type="dxa"/>
          </w:tcPr>
          <w:p w14:paraId="648097E1" w14:textId="7E6157F1" w:rsidR="004A0E1A" w:rsidRPr="00C12274" w:rsidRDefault="004A0E1A" w:rsidP="002747EA">
            <w:pPr>
              <w:pStyle w:val="RCTstable"/>
            </w:pPr>
            <w:r w:rsidRPr="00C12274">
              <w:rPr>
                <w:noProof/>
              </w:rPr>
              <w:t>Shieh et al 2018</w:t>
            </w:r>
            <w:r>
              <w:fldChar w:fldCharType="begin"/>
            </w:r>
            <w:r w:rsidR="002747EA">
              <w:instrText xml:space="preserve"> ADDIN EN.CITE &lt;EndNote&gt;&lt;Cite&gt;&lt;Author&gt;Shieh&lt;/Author&gt;&lt;Year&gt;2018&lt;/Year&gt;&lt;RecNum&gt;1075&lt;/RecNum&gt;&lt;DisplayText&gt;&lt;style face="superscript" font="Trebuchet MS" size="9"&gt;410&lt;/style&gt;&lt;/DisplayText&gt;&lt;record&gt;&lt;rec-number&gt;1075&lt;/rec-number&gt;&lt;foreign-keys&gt;&lt;key app="EN" db-id="exvasrfx2dtraoesasxp2szsxa2df502592x" timestamp="1551246740"&gt;1075&lt;/key&gt;&lt;key app="ENWeb" db-id=""&gt;0&lt;/key&gt;&lt;/foreign-keys&gt;&lt;ref-type name="Journal Article"&gt;17&lt;/ref-type&gt;&lt;contributors&gt;&lt;authors&gt;&lt;author&gt;Shieh, C.&lt;/author&gt;&lt;author&gt;Cullen, D. L.&lt;/author&gt;&lt;author&gt;Pike, C.&lt;/author&gt;&lt;author&gt;Pressler, S. J.&lt;/author&gt;&lt;/authors&gt;&lt;/contributors&gt;&lt;titles&gt;&lt;title&gt;Intervention strategies for preventing excessive gestational weight gain: systematic review and meta-analysis&lt;/title&gt;&lt;secondary-title&gt;Obesity Reviews&lt;/secondary-title&gt;&lt;/titles&gt;&lt;periodical&gt;&lt;full-title&gt;Obesity Reviews&lt;/full-title&gt;&lt;/periodical&gt;&lt;pages&gt;1093-1109&lt;/pages&gt;&lt;volume&gt;19&lt;/volume&gt;&lt;number&gt;8&lt;/number&gt;&lt;section&gt;1093&lt;/section&gt;&lt;dates&gt;&lt;year&gt;2018&lt;/year&gt;&lt;/dates&gt;&lt;isbn&gt;14677881&lt;/isbn&gt;&lt;urls&gt;&lt;/urls&gt;&lt;electronic-resource-num&gt;10.1111/obr.12691&lt;/electronic-resource-num&gt;&lt;/record&gt;&lt;/Cite&gt;&lt;/EndNote&gt;</w:instrText>
            </w:r>
            <w:r>
              <w:fldChar w:fldCharType="separate"/>
            </w:r>
            <w:r w:rsidR="002747EA" w:rsidRPr="002747EA">
              <w:rPr>
                <w:noProof/>
                <w:sz w:val="18"/>
                <w:vertAlign w:val="superscript"/>
              </w:rPr>
              <w:t>410</w:t>
            </w:r>
            <w:r>
              <w:fldChar w:fldCharType="end"/>
            </w:r>
          </w:p>
        </w:tc>
        <w:tc>
          <w:tcPr>
            <w:tcW w:w="2547" w:type="dxa"/>
          </w:tcPr>
          <w:p w14:paraId="344F7C17" w14:textId="77777777" w:rsidR="004A0E1A" w:rsidRPr="00C12274" w:rsidRDefault="004A0E1A" w:rsidP="004A0E1A">
            <w:pPr>
              <w:pStyle w:val="RCTstable"/>
            </w:pPr>
            <w:r>
              <w:t>BMI ≥25</w:t>
            </w:r>
          </w:p>
        </w:tc>
        <w:tc>
          <w:tcPr>
            <w:tcW w:w="2982" w:type="dxa"/>
          </w:tcPr>
          <w:p w14:paraId="685840AA" w14:textId="38056290" w:rsidR="004A0E1A" w:rsidRPr="00BE0624" w:rsidRDefault="008E1F6E" w:rsidP="004A0E1A">
            <w:pPr>
              <w:pStyle w:val="RCTstable"/>
              <w:jc w:val="center"/>
            </w:pPr>
            <w:r>
              <w:rPr>
                <w:rFonts w:eastAsiaTheme="majorEastAsia"/>
              </w:rPr>
              <w:t xml:space="preserve">MD </w:t>
            </w:r>
            <w:r w:rsidR="004A0E1A" w:rsidRPr="00BE0624">
              <w:rPr>
                <w:rFonts w:eastAsiaTheme="majorEastAsia"/>
              </w:rPr>
              <w:t>−0.28 (−1.50 to 0.94)</w:t>
            </w:r>
          </w:p>
        </w:tc>
        <w:tc>
          <w:tcPr>
            <w:tcW w:w="1134" w:type="dxa"/>
          </w:tcPr>
          <w:p w14:paraId="1CB5B072" w14:textId="77777777" w:rsidR="004A0E1A" w:rsidRPr="00BE0624" w:rsidRDefault="004A0E1A" w:rsidP="004A0E1A">
            <w:pPr>
              <w:pStyle w:val="RCTstable"/>
              <w:jc w:val="center"/>
            </w:pPr>
            <w:r w:rsidRPr="00BE0624">
              <w:t>6</w:t>
            </w:r>
          </w:p>
        </w:tc>
      </w:tr>
      <w:tr w:rsidR="00A5540F" w:rsidRPr="00B87066" w14:paraId="57F1622D" w14:textId="77777777" w:rsidTr="00A5540F">
        <w:tc>
          <w:tcPr>
            <w:tcW w:w="9504" w:type="dxa"/>
            <w:gridSpan w:val="4"/>
            <w:shd w:val="clear" w:color="auto" w:fill="D9E2F3" w:themeFill="accent1" w:themeFillTint="33"/>
          </w:tcPr>
          <w:p w14:paraId="1E4F014B" w14:textId="77777777" w:rsidR="00A5540F" w:rsidRPr="00B87066" w:rsidRDefault="00A5540F" w:rsidP="00A5540F">
            <w:pPr>
              <w:pStyle w:val="RCTstable"/>
              <w:rPr>
                <w:i/>
              </w:rPr>
            </w:pPr>
            <w:r w:rsidRPr="00B87066">
              <w:rPr>
                <w:i/>
              </w:rPr>
              <w:t>Weight gain exceeding IOM guidelines</w:t>
            </w:r>
          </w:p>
        </w:tc>
      </w:tr>
      <w:tr w:rsidR="00A5540F" w:rsidRPr="00B87066" w14:paraId="7EA01EBB" w14:textId="77777777" w:rsidTr="00A5540F">
        <w:tc>
          <w:tcPr>
            <w:tcW w:w="2841" w:type="dxa"/>
            <w:tcBorders>
              <w:bottom w:val="single" w:sz="4" w:space="0" w:color="3B3474"/>
            </w:tcBorders>
            <w:shd w:val="clear" w:color="auto" w:fill="F2F2F2" w:themeFill="background1" w:themeFillShade="F2"/>
          </w:tcPr>
          <w:p w14:paraId="62504092"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3BCA1448"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5278CF91" w14:textId="77777777" w:rsidR="00A5540F" w:rsidRPr="00A33D96" w:rsidRDefault="00A5540F" w:rsidP="00A5540F">
            <w:pPr>
              <w:pStyle w:val="RCTstable"/>
              <w:jc w:val="center"/>
            </w:pPr>
            <w:r w:rsidRPr="00A33D96">
              <w:t>RR 0.77 (0.69 to 0.87)</w:t>
            </w:r>
          </w:p>
        </w:tc>
        <w:tc>
          <w:tcPr>
            <w:tcW w:w="1134" w:type="dxa"/>
            <w:tcBorders>
              <w:bottom w:val="single" w:sz="4" w:space="0" w:color="3B3474"/>
            </w:tcBorders>
            <w:shd w:val="clear" w:color="auto" w:fill="F2F2F2" w:themeFill="background1" w:themeFillShade="F2"/>
          </w:tcPr>
          <w:p w14:paraId="7FBFDD77" w14:textId="77777777" w:rsidR="00A5540F" w:rsidRPr="00B87066" w:rsidRDefault="00A5540F" w:rsidP="00A5540F">
            <w:pPr>
              <w:pStyle w:val="RCTstable"/>
              <w:jc w:val="center"/>
            </w:pPr>
            <w:r>
              <w:t>16</w:t>
            </w:r>
          </w:p>
        </w:tc>
      </w:tr>
      <w:tr w:rsidR="00A5540F" w:rsidRPr="00B87066" w14:paraId="37E9D8F7" w14:textId="77777777" w:rsidTr="00A5540F">
        <w:tc>
          <w:tcPr>
            <w:tcW w:w="2841" w:type="dxa"/>
            <w:shd w:val="clear" w:color="auto" w:fill="auto"/>
          </w:tcPr>
          <w:p w14:paraId="5FC7D98D" w14:textId="6B6A4093"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10F1EC8A" w14:textId="77777777" w:rsidR="00A5540F" w:rsidRPr="00B87066" w:rsidRDefault="00A5540F" w:rsidP="00A5540F">
            <w:pPr>
              <w:pStyle w:val="RCTstable"/>
            </w:pPr>
            <w:r>
              <w:t>Low risk</w:t>
            </w:r>
          </w:p>
        </w:tc>
        <w:tc>
          <w:tcPr>
            <w:tcW w:w="2982" w:type="dxa"/>
            <w:shd w:val="clear" w:color="auto" w:fill="auto"/>
          </w:tcPr>
          <w:p w14:paraId="2C0C1658" w14:textId="77777777" w:rsidR="00A5540F" w:rsidRPr="00B87066" w:rsidRDefault="00A5540F" w:rsidP="00A5540F">
            <w:pPr>
              <w:pStyle w:val="RCTstable"/>
              <w:jc w:val="center"/>
            </w:pPr>
            <w:r>
              <w:t>RR 0.69 (0.47 to 1.02)</w:t>
            </w:r>
          </w:p>
        </w:tc>
        <w:tc>
          <w:tcPr>
            <w:tcW w:w="1134" w:type="dxa"/>
            <w:shd w:val="clear" w:color="auto" w:fill="auto"/>
          </w:tcPr>
          <w:p w14:paraId="66C1E7E3" w14:textId="77777777" w:rsidR="00A5540F" w:rsidRPr="00B87066" w:rsidRDefault="00A5540F" w:rsidP="00A5540F">
            <w:pPr>
              <w:pStyle w:val="RCTstable"/>
              <w:jc w:val="center"/>
            </w:pPr>
            <w:r>
              <w:t>2</w:t>
            </w:r>
          </w:p>
        </w:tc>
      </w:tr>
      <w:tr w:rsidR="00A5540F" w:rsidRPr="00B87066" w14:paraId="0D2139AA" w14:textId="77777777" w:rsidTr="00A5540F">
        <w:tc>
          <w:tcPr>
            <w:tcW w:w="2841" w:type="dxa"/>
            <w:shd w:val="clear" w:color="auto" w:fill="auto"/>
          </w:tcPr>
          <w:p w14:paraId="21354BFB" w14:textId="7339EC6F"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14B0A445" w14:textId="77777777" w:rsidR="00A5540F" w:rsidRPr="00B87066" w:rsidRDefault="00A5540F" w:rsidP="00A5540F">
            <w:pPr>
              <w:pStyle w:val="RCTstable"/>
            </w:pPr>
            <w:r>
              <w:t>Mixed risk</w:t>
            </w:r>
          </w:p>
        </w:tc>
        <w:tc>
          <w:tcPr>
            <w:tcW w:w="2982" w:type="dxa"/>
            <w:shd w:val="clear" w:color="auto" w:fill="auto"/>
          </w:tcPr>
          <w:p w14:paraId="579A9480" w14:textId="77777777" w:rsidR="00A5540F" w:rsidRPr="00B87066" w:rsidRDefault="00A5540F" w:rsidP="00A5540F">
            <w:pPr>
              <w:pStyle w:val="RCTstable"/>
              <w:jc w:val="center"/>
            </w:pPr>
            <w:r>
              <w:t>RR 0.77 (0.66 to 0.88)</w:t>
            </w:r>
          </w:p>
        </w:tc>
        <w:tc>
          <w:tcPr>
            <w:tcW w:w="1134" w:type="dxa"/>
            <w:shd w:val="clear" w:color="auto" w:fill="auto"/>
          </w:tcPr>
          <w:p w14:paraId="603FDD7F" w14:textId="77777777" w:rsidR="00A5540F" w:rsidRPr="00B87066" w:rsidRDefault="00A5540F" w:rsidP="00A5540F">
            <w:pPr>
              <w:pStyle w:val="RCTstable"/>
              <w:jc w:val="center"/>
            </w:pPr>
            <w:r>
              <w:t>3</w:t>
            </w:r>
          </w:p>
        </w:tc>
      </w:tr>
      <w:tr w:rsidR="00B72FCA" w:rsidRPr="00B87066" w14:paraId="03DB8CF4" w14:textId="77777777" w:rsidTr="00B72FCA">
        <w:trPr>
          <w:trHeight w:val="267"/>
        </w:trPr>
        <w:tc>
          <w:tcPr>
            <w:tcW w:w="2841" w:type="dxa"/>
            <w:shd w:val="clear" w:color="auto" w:fill="auto"/>
          </w:tcPr>
          <w:p w14:paraId="472B8CE4" w14:textId="74363D38" w:rsidR="00B72FCA" w:rsidRDefault="00B72FCA" w:rsidP="002747EA">
            <w:pPr>
              <w:pStyle w:val="RCTstable"/>
              <w:rPr>
                <w:noProof/>
              </w:rPr>
            </w:pPr>
            <w:r>
              <w:rPr>
                <w:noProof/>
              </w:rPr>
              <w:t>Ruchat et al 2018</w:t>
            </w:r>
            <w:r w:rsidR="00D07346">
              <w:rPr>
                <w:noProof/>
              </w:rPr>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rPr>
                <w:noProof/>
              </w:rPr>
              <w:instrText xml:space="preserve"> ADDIN EN.CITE </w:instrText>
            </w:r>
            <w:r w:rsidR="002747EA">
              <w:rPr>
                <w:noProof/>
              </w:rPr>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465</w:t>
            </w:r>
            <w:r w:rsidR="00D07346">
              <w:rPr>
                <w:noProof/>
              </w:rPr>
              <w:fldChar w:fldCharType="end"/>
            </w:r>
          </w:p>
        </w:tc>
        <w:tc>
          <w:tcPr>
            <w:tcW w:w="2547" w:type="dxa"/>
            <w:shd w:val="clear" w:color="auto" w:fill="auto"/>
          </w:tcPr>
          <w:p w14:paraId="6CC8F498" w14:textId="77777777" w:rsidR="00B72FCA" w:rsidRDefault="00B72FCA" w:rsidP="00A5540F">
            <w:pPr>
              <w:pStyle w:val="RCTstable"/>
            </w:pPr>
          </w:p>
        </w:tc>
        <w:tc>
          <w:tcPr>
            <w:tcW w:w="2982" w:type="dxa"/>
            <w:shd w:val="clear" w:color="auto" w:fill="auto"/>
          </w:tcPr>
          <w:p w14:paraId="745C6F64" w14:textId="65AEE23B" w:rsidR="00B72FCA" w:rsidRDefault="00B72FCA" w:rsidP="00A5540F">
            <w:pPr>
              <w:pStyle w:val="RCTstable"/>
              <w:jc w:val="center"/>
            </w:pPr>
            <w:r>
              <w:t>RR 0.68 (0.57 to 0.80)</w:t>
            </w:r>
          </w:p>
        </w:tc>
        <w:tc>
          <w:tcPr>
            <w:tcW w:w="1134" w:type="dxa"/>
            <w:shd w:val="clear" w:color="auto" w:fill="auto"/>
          </w:tcPr>
          <w:p w14:paraId="192A390E" w14:textId="0129E55A" w:rsidR="00B72FCA" w:rsidRDefault="00B72FCA" w:rsidP="00A5540F">
            <w:pPr>
              <w:pStyle w:val="RCTstable"/>
              <w:jc w:val="center"/>
            </w:pPr>
            <w:r>
              <w:t>15</w:t>
            </w:r>
          </w:p>
        </w:tc>
      </w:tr>
      <w:tr w:rsidR="00A5540F" w:rsidRPr="00B87066" w14:paraId="7ED7A71D" w14:textId="77777777" w:rsidTr="008E1F6E">
        <w:trPr>
          <w:trHeight w:val="267"/>
        </w:trPr>
        <w:tc>
          <w:tcPr>
            <w:tcW w:w="2841" w:type="dxa"/>
            <w:shd w:val="clear" w:color="auto" w:fill="auto"/>
          </w:tcPr>
          <w:p w14:paraId="4EADF125" w14:textId="02DD774F" w:rsidR="00A5540F" w:rsidRPr="00C12274" w:rsidRDefault="00A5540F" w:rsidP="002747EA">
            <w:pPr>
              <w:pStyle w:val="RCTstable"/>
              <w:rPr>
                <w:noProof/>
              </w:rPr>
            </w:pPr>
            <w:r>
              <w:rPr>
                <w:noProof/>
              </w:rPr>
              <w:t>Song et al 2016</w:t>
            </w:r>
            <w:r>
              <w:rPr>
                <w:noProof/>
              </w:rPr>
              <w:fldChar w:fldCharType="begin">
                <w:fldData xml:space="preserve">PEVuZE5vdGU+PENpdGU+PEF1dGhvcj5Tb25nPC9BdXRob3I+PFllYXI+MjAxNjwvWWVhcj48UmVj
TnVtPjU4MTwvUmVjTnVtPjxEaXNwbGF5VGV4dD48c3R5bGUgZmFjZT0ic3VwZXJzY3JpcHQiIGZv
bnQ9IlRyZWJ1Y2hldCBNUyIgc2l6ZT0iOSI+NDIxPC9zdHlsZT48L0Rpc3BsYXlUZXh0PjxyZWNv
cmQ+PHJlYy1udW1iZXI+NTgxPC9yZWMtbnVtYmVyPjxmb3JlaWduLWtleXM+PGtleSBhcHA9IkVO
IiBkYi1pZD0iZXh2YXNyZngyZHRyYW9lc2FzeHAyc3pzeGEyZGY1MDI1OTJ4IiB0aW1lc3RhbXA9
IjE1MzYyMDk4NDUiPjU4MTwva2V5PjwvZm9yZWlnbi1rZXlzPjxyZWYtdHlwZSBuYW1lPSJKb3Vy
bmFsIEFydGljbGUiPjE3PC9yZWYtdHlwZT48Y29udHJpYnV0b3JzPjxhdXRob3JzPjxhdXRob3I+
U29uZywgQy48L2F1dGhvcj48YXV0aG9yPkxpLCBKLjwvYXV0aG9yPjxhdXRob3I+TGVuZywgSi48
L2F1dGhvcj48YXV0aG9yPk1hLCBSLiBDLjwvYXV0aG9yPjxhdXRob3I+WWFuZywgWC48L2F1dGhv
cj48L2F1dGhvcnM+PC9jb250cmlidXRvcnM+PGF1dGgtYWRkcmVzcz5EZXBhcnRtZW50IG9mIEVw
aWRlbWlvbG9neSBhbmQgQmlvc3RhdGlzdGljcywgU2Nob29sIG9mIFB1YmxpYyBIZWFsdGgsIFRp
YW5qaW4gTWVkaWNhbCBVbml2ZXJzaXR5LCBUaWFuamluLCBDaGluYS4mI3hEO0NlbnRlciBmb3Ig
RGlzZWFzZSBDb250cm9sIGFuZCBQcmV2ZW50aW9uIG9mIFRpYW5qaW4gRWNvbm9taWMtVGVjaG5v
bG9naWNhbCBEZXZlbG9wbWVudCBBcmVhLCBURURBLCBUaWFuamluLCBDaGluYS4mI3hEO1RpYW5q
aW4gV29tZW4gYW5kIENoaWxkcmVuJmFwb3M7cyBIZWFsdGggQ2VudHJlLCBUaWFuamluLCBDaGlu
YS4mI3hEO0RlcGFydG1lbnQgb2YgTWVkaWNpbmUgYW5kIFRoZXJhcGV1dGljcywgUHJpbmNlIG9m
IFdhbGVzIEhvc3BpdGFsLCBhbmQgdGhlIEhvbmcgS29uZyBJbnN0aXR1dGUgb2YgRGlhYmV0ZXMg
YW5kIE9iZXNpdHksIFRoZSBDaGluZXNlIFVuaXZlcnNpdHkgb2YgSG9uZyBLb25nLCBIb25nIEtv
bmcsIENoaW5hLiYjeEQ7RGVwYXJ0bWVudCBvZiBFcGlkZW1pb2xvZ3kgYW5kIEJpb3N0YXRpc3Rp
Y3MsIFNjaG9vbCBvZiBQdWJsaWMgSGVhbHRoLCBUaWFuamluIE1lZGljYWwgVW5pdmVyc2l0eSwg
VGlhbmppbiwgQ2hpbmEuIHlhbmd4aWxpbkB0bXUuZWR1LmNuLCB5eGxAaG90bWFpbC5jb20uPC9h
dXRoLWFkZHJlc3M+PHRpdGxlcz48dGl0bGU+TGlmZXN0eWxlIGludGVydmVudGlvbiBjYW4gcmVk
dWNlIHRoZSByaXNrIG9mIGdlc3RhdGlvbmFsIGRpYWJldGVzOiBhIG1ldGEtYW5hbHlzaXMgb2Yg
cmFuZG9taXplZCBjb250cm9sbGVkIHRyaWFsczwvdGl0bGU+PHNlY29uZGFyeS10aXRsZT5PYmVz
IFJldjwvc2Vjb25kYXJ5LXRpdGxlPjwvdGl0bGVzPjxwZXJpb2RpY2FsPjxmdWxsLXRpdGxlPk9i
ZXMgUmV2PC9mdWxsLXRpdGxlPjwvcGVyaW9kaWNhbD48cGFnZXM+OTYwLTk8L3BhZ2VzPjx2b2x1
bWU+MTc8L3ZvbHVtZT48bnVtYmVyPjEwPC9udW1iZXI+PGVkaXRpb24+MjAxNi8wNy8xNjwvZWRp
dGlvbj48a2V5d29yZHM+PGtleXdvcmQ+RGlhYmV0ZXMsIEdlc3RhdGlvbmFsL2V0aW9sb2d5Lypw
cmV2ZW50aW9uICZhbXA7IGNvbnRyb2wvdGhlcmFweTwva2V5d29yZD48a2V5d29yZD5EaWV0PC9r
ZXl3b3JkPjxrZXl3b3JkPkV4ZXJjaXNlPC9rZXl3b3JkPjxrZXl3b3JkPkZlbWFsZTwva2V5d29y
ZD48a2V5d29yZD5IZWFsdGggRWR1Y2F0aW9uPC9rZXl3b3JkPjxrZXl3b3JkPkh1bWFuczwva2V5
d29yZD48a2V5d29yZD5PYmVzaXR5Lypjb21wbGljYXRpb25zL3RoZXJhcHk8L2tleXdvcmQ+PGtl
eXdvcmQ+UGF0aWVudCBDb21wbGlhbmNlPC9rZXl3b3JkPjxrZXl3b3JkPlByZWduYW5jeTwva2V5
d29yZD48a2V5d29yZD5QcmVuYXRhbCBDYXJlL21ldGhvZHM8L2tleXdvcmQ+PGtleXdvcmQ+UHJp
bWFyeSBQcmV2ZW50aW9uLyptZXRob2RzPC9rZXl3b3JkPjxrZXl3b3JkPlJhbmRvbWl6ZWQgQ29u
dHJvbGxlZCBUcmlhbHMgYXMgVG9waWM8L2tleXdvcmQ+PGtleXdvcmQ+KlJpc2sgUmVkdWN0aW9u
IEJlaGF2aW9yPC9rZXl3b3JkPjxrZXl3b3JkPipnZXN0YXRpb25hbCBkaWFiZXRlczwva2V5d29y
ZD48a2V5d29yZD4qbGlmZXN0eWxlIGludGVydmVudGlvbjwva2V5d29yZD48a2V5d29yZD4qb2Jl
c2l0eTwva2V5d29yZD48a2V5d29yZD4qb3ZlcndlaWdodDwva2V5d29yZD48L2tleXdvcmRzPjxk
YXRlcz48eWVhcj4yMDE2PC95ZWFyPjxwdWItZGF0ZXM+PGRhdGU+T2N0PC9kYXRlPjwvcHViLWRh
dGVzPjwvZGF0ZXM+PGlzYm4+MTQ2Ny03ODlYIChFbGVjdHJvbmljKSYjeEQ7MTQ2Ny03ODgxIChM
aW5raW5nKTwvaXNibj48YWNjZXNzaW9uLW51bT4yNzQxNzY4MDwvYWNjZXNzaW9uLW51bT48dXJs
cz48cmVsYXRlZC11cmxzPjx1cmw+aHR0cHM6Ly93d3cubmNiaS5ubG0ubmloLmdvdi9wdWJtZWQv
Mjc0MTc2ODA8L3VybD48L3JlbGF0ZWQtdXJscz48L3VybHM+PGVsZWN0cm9uaWMtcmVzb3VyY2Ut
bnVtPjEwLjExMTEvb2JyLjEyNDQyPC9lbGVjdHJvbmljLXJlc291cmNlLW51bT48L3JlY29yZD48
L0NpdGU+PC9FbmROb3RlPgB=
</w:fldData>
              </w:fldChar>
            </w:r>
            <w:r w:rsidR="002747EA">
              <w:rPr>
                <w:noProof/>
              </w:rPr>
              <w:instrText xml:space="preserve"> ADDIN EN.CITE </w:instrText>
            </w:r>
            <w:r w:rsidR="002747EA">
              <w:rPr>
                <w:noProof/>
              </w:rPr>
              <w:fldChar w:fldCharType="begin">
                <w:fldData xml:space="preserve">PEVuZE5vdGU+PENpdGU+PEF1dGhvcj5Tb25nPC9BdXRob3I+PFllYXI+MjAxNjwvWWVhcj48UmVj
TnVtPjU4MTwvUmVjTnVtPjxEaXNwbGF5VGV4dD48c3R5bGUgZmFjZT0ic3VwZXJzY3JpcHQiIGZv
bnQ9IlRyZWJ1Y2hldCBNUyIgc2l6ZT0iOSI+NDIxPC9zdHlsZT48L0Rpc3BsYXlUZXh0PjxyZWNv
cmQ+PHJlYy1udW1iZXI+NTgxPC9yZWMtbnVtYmVyPjxmb3JlaWduLWtleXM+PGtleSBhcHA9IkVO
IiBkYi1pZD0iZXh2YXNyZngyZHRyYW9lc2FzeHAyc3pzeGEyZGY1MDI1OTJ4IiB0aW1lc3RhbXA9
IjE1MzYyMDk4NDUiPjU4MTwva2V5PjwvZm9yZWlnbi1rZXlzPjxyZWYtdHlwZSBuYW1lPSJKb3Vy
bmFsIEFydGljbGUiPjE3PC9yZWYtdHlwZT48Y29udHJpYnV0b3JzPjxhdXRob3JzPjxhdXRob3I+
U29uZywgQy48L2F1dGhvcj48YXV0aG9yPkxpLCBKLjwvYXV0aG9yPjxhdXRob3I+TGVuZywgSi48
L2F1dGhvcj48YXV0aG9yPk1hLCBSLiBDLjwvYXV0aG9yPjxhdXRob3I+WWFuZywgWC48L2F1dGhv
cj48L2F1dGhvcnM+PC9jb250cmlidXRvcnM+PGF1dGgtYWRkcmVzcz5EZXBhcnRtZW50IG9mIEVw
aWRlbWlvbG9neSBhbmQgQmlvc3RhdGlzdGljcywgU2Nob29sIG9mIFB1YmxpYyBIZWFsdGgsIFRp
YW5qaW4gTWVkaWNhbCBVbml2ZXJzaXR5LCBUaWFuamluLCBDaGluYS4mI3hEO0NlbnRlciBmb3Ig
RGlzZWFzZSBDb250cm9sIGFuZCBQcmV2ZW50aW9uIG9mIFRpYW5qaW4gRWNvbm9taWMtVGVjaG5v
bG9naWNhbCBEZXZlbG9wbWVudCBBcmVhLCBURURBLCBUaWFuamluLCBDaGluYS4mI3hEO1RpYW5q
aW4gV29tZW4gYW5kIENoaWxkcmVuJmFwb3M7cyBIZWFsdGggQ2VudHJlLCBUaWFuamluLCBDaGlu
YS4mI3hEO0RlcGFydG1lbnQgb2YgTWVkaWNpbmUgYW5kIFRoZXJhcGV1dGljcywgUHJpbmNlIG9m
IFdhbGVzIEhvc3BpdGFsLCBhbmQgdGhlIEhvbmcgS29uZyBJbnN0aXR1dGUgb2YgRGlhYmV0ZXMg
YW5kIE9iZXNpdHksIFRoZSBDaGluZXNlIFVuaXZlcnNpdHkgb2YgSG9uZyBLb25nLCBIb25nIEtv
bmcsIENoaW5hLiYjeEQ7RGVwYXJ0bWVudCBvZiBFcGlkZW1pb2xvZ3kgYW5kIEJpb3N0YXRpc3Rp
Y3MsIFNjaG9vbCBvZiBQdWJsaWMgSGVhbHRoLCBUaWFuamluIE1lZGljYWwgVW5pdmVyc2l0eSwg
VGlhbmppbiwgQ2hpbmEuIHlhbmd4aWxpbkB0bXUuZWR1LmNuLCB5eGxAaG90bWFpbC5jb20uPC9h
dXRoLWFkZHJlc3M+PHRpdGxlcz48dGl0bGU+TGlmZXN0eWxlIGludGVydmVudGlvbiBjYW4gcmVk
dWNlIHRoZSByaXNrIG9mIGdlc3RhdGlvbmFsIGRpYWJldGVzOiBhIG1ldGEtYW5hbHlzaXMgb2Yg
cmFuZG9taXplZCBjb250cm9sbGVkIHRyaWFsczwvdGl0bGU+PHNlY29uZGFyeS10aXRsZT5PYmVz
IFJldjwvc2Vjb25kYXJ5LXRpdGxlPjwvdGl0bGVzPjxwZXJpb2RpY2FsPjxmdWxsLXRpdGxlPk9i
ZXMgUmV2PC9mdWxsLXRpdGxlPjwvcGVyaW9kaWNhbD48cGFnZXM+OTYwLTk8L3BhZ2VzPjx2b2x1
bWU+MTc8L3ZvbHVtZT48bnVtYmVyPjEwPC9udW1iZXI+PGVkaXRpb24+MjAxNi8wNy8xNjwvZWRp
dGlvbj48a2V5d29yZHM+PGtleXdvcmQ+RGlhYmV0ZXMsIEdlc3RhdGlvbmFsL2V0aW9sb2d5Lypw
cmV2ZW50aW9uICZhbXA7IGNvbnRyb2wvdGhlcmFweTwva2V5d29yZD48a2V5d29yZD5EaWV0PC9r
ZXl3b3JkPjxrZXl3b3JkPkV4ZXJjaXNlPC9rZXl3b3JkPjxrZXl3b3JkPkZlbWFsZTwva2V5d29y
ZD48a2V5d29yZD5IZWFsdGggRWR1Y2F0aW9uPC9rZXl3b3JkPjxrZXl3b3JkPkh1bWFuczwva2V5
d29yZD48a2V5d29yZD5PYmVzaXR5Lypjb21wbGljYXRpb25zL3RoZXJhcHk8L2tleXdvcmQ+PGtl
eXdvcmQ+UGF0aWVudCBDb21wbGlhbmNlPC9rZXl3b3JkPjxrZXl3b3JkPlByZWduYW5jeTwva2V5
d29yZD48a2V5d29yZD5QcmVuYXRhbCBDYXJlL21ldGhvZHM8L2tleXdvcmQ+PGtleXdvcmQ+UHJp
bWFyeSBQcmV2ZW50aW9uLyptZXRob2RzPC9rZXl3b3JkPjxrZXl3b3JkPlJhbmRvbWl6ZWQgQ29u
dHJvbGxlZCBUcmlhbHMgYXMgVG9waWM8L2tleXdvcmQ+PGtleXdvcmQ+KlJpc2sgUmVkdWN0aW9u
IEJlaGF2aW9yPC9rZXl3b3JkPjxrZXl3b3JkPipnZXN0YXRpb25hbCBkaWFiZXRlczwva2V5d29y
ZD48a2V5d29yZD4qbGlmZXN0eWxlIGludGVydmVudGlvbjwva2V5d29yZD48a2V5d29yZD4qb2Jl
c2l0eTwva2V5d29yZD48a2V5d29yZD4qb3ZlcndlaWdodDwva2V5d29yZD48L2tleXdvcmRzPjxk
YXRlcz48eWVhcj4yMDE2PC95ZWFyPjxwdWItZGF0ZXM+PGRhdGU+T2N0PC9kYXRlPjwvcHViLWRh
dGVzPjwvZGF0ZXM+PGlzYm4+MTQ2Ny03ODlYIChFbGVjdHJvbmljKSYjeEQ7MTQ2Ny03ODgxIChM
aW5raW5nKTwvaXNibj48YWNjZXNzaW9uLW51bT4yNzQxNzY4MDwvYWNjZXNzaW9uLW51bT48dXJs
cz48cmVsYXRlZC11cmxzPjx1cmw+aHR0cHM6Ly93d3cubmNiaS5ubG0ubmloLmdvdi9wdWJtZWQv
Mjc0MTc2ODA8L3VybD48L3JlbGF0ZWQtdXJscz48L3VybHM+PGVsZWN0cm9uaWMtcmVzb3VyY2Ut
bnVtPjEwLjExMTEvb2JyLjEyNDQyPC9lbGVjdHJvbmljLXJlc291cmNlLW51bT48L3JlY29yZD48
L0NpdGU+PC9FbmROb3RlPgB=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421</w:t>
            </w:r>
            <w:r>
              <w:rPr>
                <w:noProof/>
              </w:rPr>
              <w:fldChar w:fldCharType="end"/>
            </w:r>
          </w:p>
        </w:tc>
        <w:tc>
          <w:tcPr>
            <w:tcW w:w="2547" w:type="dxa"/>
            <w:shd w:val="clear" w:color="auto" w:fill="auto"/>
          </w:tcPr>
          <w:p w14:paraId="0208EFBD" w14:textId="77777777" w:rsidR="00A5540F" w:rsidRPr="00C12274" w:rsidRDefault="00A5540F" w:rsidP="00A5540F">
            <w:pPr>
              <w:pStyle w:val="RCTstable"/>
            </w:pPr>
            <w:r>
              <w:t>Mixed BMIs</w:t>
            </w:r>
          </w:p>
        </w:tc>
        <w:tc>
          <w:tcPr>
            <w:tcW w:w="2982" w:type="dxa"/>
            <w:shd w:val="clear" w:color="auto" w:fill="auto"/>
          </w:tcPr>
          <w:p w14:paraId="2BE1CA3A" w14:textId="77777777" w:rsidR="00A5540F" w:rsidRDefault="00A5540F" w:rsidP="00A5540F">
            <w:pPr>
              <w:pStyle w:val="RCTstable"/>
              <w:jc w:val="center"/>
            </w:pPr>
            <w:r>
              <w:t>RR 0.77 (0.54 to 1.09)</w:t>
            </w:r>
          </w:p>
        </w:tc>
        <w:tc>
          <w:tcPr>
            <w:tcW w:w="1134" w:type="dxa"/>
            <w:shd w:val="clear" w:color="auto" w:fill="auto"/>
          </w:tcPr>
          <w:p w14:paraId="1017DF21" w14:textId="77777777" w:rsidR="00A5540F" w:rsidRDefault="00A5540F" w:rsidP="00A5540F">
            <w:pPr>
              <w:pStyle w:val="RCTstable"/>
              <w:jc w:val="center"/>
            </w:pPr>
            <w:r>
              <w:t>10</w:t>
            </w:r>
          </w:p>
        </w:tc>
      </w:tr>
      <w:tr w:rsidR="00A5540F" w:rsidRPr="00B87066" w14:paraId="4B6B9AEE" w14:textId="77777777" w:rsidTr="00A5540F">
        <w:tc>
          <w:tcPr>
            <w:tcW w:w="2841" w:type="dxa"/>
            <w:tcBorders>
              <w:bottom w:val="single" w:sz="4" w:space="0" w:color="3B3474"/>
            </w:tcBorders>
            <w:shd w:val="clear" w:color="auto" w:fill="auto"/>
          </w:tcPr>
          <w:p w14:paraId="3232F13B" w14:textId="4080463E"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Borders>
              <w:bottom w:val="single" w:sz="4" w:space="0" w:color="3B3474"/>
            </w:tcBorders>
            <w:shd w:val="clear" w:color="auto" w:fill="auto"/>
          </w:tcPr>
          <w:p w14:paraId="675D3B46" w14:textId="77777777" w:rsidR="00A5540F" w:rsidRPr="00B87066" w:rsidRDefault="00A5540F" w:rsidP="00A5540F">
            <w:pPr>
              <w:pStyle w:val="RCTstable"/>
            </w:pPr>
            <w:r>
              <w:t>High risk</w:t>
            </w:r>
          </w:p>
        </w:tc>
        <w:tc>
          <w:tcPr>
            <w:tcW w:w="2982" w:type="dxa"/>
            <w:tcBorders>
              <w:bottom w:val="single" w:sz="4" w:space="0" w:color="3B3474"/>
            </w:tcBorders>
            <w:shd w:val="clear" w:color="auto" w:fill="auto"/>
          </w:tcPr>
          <w:p w14:paraId="7EB7DA45" w14:textId="77777777" w:rsidR="00A5540F" w:rsidRPr="00B87066" w:rsidRDefault="00A5540F" w:rsidP="00A5540F">
            <w:pPr>
              <w:pStyle w:val="RCTstable"/>
              <w:jc w:val="center"/>
            </w:pPr>
            <w:r>
              <w:t>RR 0.84 (0.73 to 0.95)</w:t>
            </w:r>
          </w:p>
        </w:tc>
        <w:tc>
          <w:tcPr>
            <w:tcW w:w="1134" w:type="dxa"/>
            <w:tcBorders>
              <w:bottom w:val="single" w:sz="4" w:space="0" w:color="3B3474"/>
            </w:tcBorders>
            <w:shd w:val="clear" w:color="auto" w:fill="auto"/>
          </w:tcPr>
          <w:p w14:paraId="6E3D9435" w14:textId="77777777" w:rsidR="00A5540F" w:rsidRPr="00B87066" w:rsidRDefault="00A5540F" w:rsidP="00A5540F">
            <w:pPr>
              <w:pStyle w:val="RCTstable"/>
              <w:jc w:val="center"/>
            </w:pPr>
            <w:r>
              <w:t>5</w:t>
            </w:r>
          </w:p>
        </w:tc>
      </w:tr>
      <w:tr w:rsidR="00A5540F" w:rsidRPr="00B87066" w14:paraId="404CD950" w14:textId="77777777" w:rsidTr="00A5540F">
        <w:tc>
          <w:tcPr>
            <w:tcW w:w="9504" w:type="dxa"/>
            <w:gridSpan w:val="4"/>
            <w:shd w:val="clear" w:color="auto" w:fill="D9E2F3" w:themeFill="accent1" w:themeFillTint="33"/>
          </w:tcPr>
          <w:p w14:paraId="7A238907" w14:textId="77777777" w:rsidR="00A5540F" w:rsidRPr="00B87066" w:rsidRDefault="00A5540F" w:rsidP="00A5540F">
            <w:pPr>
              <w:pStyle w:val="RCTstable"/>
              <w:rPr>
                <w:i/>
              </w:rPr>
            </w:pPr>
            <w:r>
              <w:rPr>
                <w:i/>
              </w:rPr>
              <w:t>Gestational diabetes</w:t>
            </w:r>
          </w:p>
        </w:tc>
      </w:tr>
      <w:tr w:rsidR="00A5540F" w:rsidRPr="00B87066" w14:paraId="6DACCC60" w14:textId="77777777" w:rsidTr="00A5540F">
        <w:tc>
          <w:tcPr>
            <w:tcW w:w="2841" w:type="dxa"/>
            <w:tcBorders>
              <w:bottom w:val="single" w:sz="4" w:space="0" w:color="3B3474"/>
            </w:tcBorders>
            <w:shd w:val="clear" w:color="auto" w:fill="F2F2F2" w:themeFill="background1" w:themeFillShade="F2"/>
          </w:tcPr>
          <w:p w14:paraId="5F39B0FF"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434805CC"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3D1330CF" w14:textId="77777777" w:rsidR="00A5540F" w:rsidRPr="00B70B7B" w:rsidRDefault="00A5540F" w:rsidP="00A5540F">
            <w:pPr>
              <w:pStyle w:val="RCTstable"/>
              <w:jc w:val="center"/>
            </w:pPr>
            <w:r w:rsidRPr="00B70B7B">
              <w:t>RR 0.74 (0.60 to 0.90)</w:t>
            </w:r>
          </w:p>
        </w:tc>
        <w:tc>
          <w:tcPr>
            <w:tcW w:w="1134" w:type="dxa"/>
            <w:tcBorders>
              <w:bottom w:val="single" w:sz="4" w:space="0" w:color="3B3474"/>
            </w:tcBorders>
            <w:shd w:val="clear" w:color="auto" w:fill="F2F2F2" w:themeFill="background1" w:themeFillShade="F2"/>
          </w:tcPr>
          <w:p w14:paraId="24445CE7" w14:textId="77777777" w:rsidR="00A5540F" w:rsidRPr="00B87066" w:rsidRDefault="00A5540F" w:rsidP="00A5540F">
            <w:pPr>
              <w:pStyle w:val="RCTstable"/>
              <w:jc w:val="center"/>
            </w:pPr>
            <w:r>
              <w:t>20</w:t>
            </w:r>
          </w:p>
        </w:tc>
      </w:tr>
      <w:tr w:rsidR="00531C07" w:rsidRPr="00C12274" w14:paraId="377D0B7A" w14:textId="77777777" w:rsidTr="00A5540F">
        <w:tc>
          <w:tcPr>
            <w:tcW w:w="2841" w:type="dxa"/>
          </w:tcPr>
          <w:p w14:paraId="7E852D44" w14:textId="5B30A37A" w:rsidR="00531C07" w:rsidRDefault="00531C07"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562693B8" w14:textId="4AD712AC" w:rsidR="00531C07" w:rsidRDefault="00531C07" w:rsidP="00A5540F">
            <w:pPr>
              <w:pStyle w:val="RCTstable"/>
            </w:pPr>
            <w:r>
              <w:t>Mixed BMIs</w:t>
            </w:r>
          </w:p>
        </w:tc>
        <w:tc>
          <w:tcPr>
            <w:tcW w:w="2982" w:type="dxa"/>
          </w:tcPr>
          <w:p w14:paraId="20FDEA2A" w14:textId="37F430C5" w:rsidR="00531C07" w:rsidRDefault="00531C07" w:rsidP="00A5540F">
            <w:pPr>
              <w:pStyle w:val="RCTstable"/>
              <w:jc w:val="center"/>
              <w:rPr>
                <w:rFonts w:eastAsiaTheme="majorEastAsia"/>
              </w:rPr>
            </w:pPr>
            <w:r>
              <w:rPr>
                <w:rFonts w:eastAsiaTheme="majorEastAsia"/>
              </w:rPr>
              <w:t>RR 0.80 (0.60 to 1.07)</w:t>
            </w:r>
          </w:p>
        </w:tc>
        <w:tc>
          <w:tcPr>
            <w:tcW w:w="1134" w:type="dxa"/>
          </w:tcPr>
          <w:p w14:paraId="480D0B73" w14:textId="7795D9F2" w:rsidR="00531C07" w:rsidRDefault="00531C07" w:rsidP="00A5540F">
            <w:pPr>
              <w:pStyle w:val="RCTstable"/>
              <w:jc w:val="center"/>
            </w:pPr>
            <w:r>
              <w:t>10</w:t>
            </w:r>
          </w:p>
        </w:tc>
      </w:tr>
      <w:tr w:rsidR="00F15900" w:rsidRPr="00C12274" w14:paraId="035A1EFC" w14:textId="77777777" w:rsidTr="00A5540F">
        <w:tc>
          <w:tcPr>
            <w:tcW w:w="2841" w:type="dxa"/>
          </w:tcPr>
          <w:p w14:paraId="37D82FD4" w14:textId="52C1E0B2" w:rsidR="00F15900" w:rsidRDefault="00F15900" w:rsidP="002747EA">
            <w:pPr>
              <w:pStyle w:val="RCTstable"/>
              <w:rPr>
                <w:noProof/>
              </w:rPr>
            </w:pPr>
            <w:r>
              <w:rPr>
                <w:noProof/>
              </w:rPr>
              <w:t>Davenport et al 2018a</w:t>
            </w:r>
            <w:r w:rsidR="00D07346">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466</w:t>
            </w:r>
            <w:r w:rsidR="00D07346">
              <w:rPr>
                <w:noProof/>
              </w:rPr>
              <w:fldChar w:fldCharType="end"/>
            </w:r>
          </w:p>
        </w:tc>
        <w:tc>
          <w:tcPr>
            <w:tcW w:w="2547" w:type="dxa"/>
          </w:tcPr>
          <w:p w14:paraId="7BAFB2AD" w14:textId="33ED46D6" w:rsidR="00F15900" w:rsidRDefault="002345B7" w:rsidP="00A5540F">
            <w:pPr>
              <w:pStyle w:val="RCTstable"/>
            </w:pPr>
            <w:r>
              <w:t>Mixed BMIs</w:t>
            </w:r>
          </w:p>
        </w:tc>
        <w:tc>
          <w:tcPr>
            <w:tcW w:w="2982" w:type="dxa"/>
          </w:tcPr>
          <w:p w14:paraId="1E668ECF" w14:textId="30C348B9" w:rsidR="00F15900" w:rsidRDefault="002345B7" w:rsidP="00A5540F">
            <w:pPr>
              <w:pStyle w:val="RCTstable"/>
              <w:jc w:val="center"/>
              <w:rPr>
                <w:rFonts w:eastAsiaTheme="majorEastAsia"/>
              </w:rPr>
            </w:pPr>
            <w:r>
              <w:rPr>
                <w:rFonts w:eastAsiaTheme="majorEastAsia"/>
              </w:rPr>
              <w:t>RR 0.62 (0.52 to 0.75)</w:t>
            </w:r>
          </w:p>
        </w:tc>
        <w:tc>
          <w:tcPr>
            <w:tcW w:w="1134" w:type="dxa"/>
          </w:tcPr>
          <w:p w14:paraId="5F816DB2" w14:textId="4EC9B7E6" w:rsidR="00F15900" w:rsidRDefault="002345B7" w:rsidP="00A5540F">
            <w:pPr>
              <w:pStyle w:val="RCTstable"/>
              <w:jc w:val="center"/>
            </w:pPr>
            <w:r>
              <w:t>26</w:t>
            </w:r>
          </w:p>
        </w:tc>
      </w:tr>
      <w:tr w:rsidR="004F111C" w:rsidRPr="00C12274" w14:paraId="045734AB" w14:textId="77777777" w:rsidTr="00A5540F">
        <w:tc>
          <w:tcPr>
            <w:tcW w:w="2841" w:type="dxa"/>
          </w:tcPr>
          <w:p w14:paraId="612541D2" w14:textId="31C4CADE" w:rsidR="004F111C" w:rsidRPr="00C12274" w:rsidRDefault="004F111C" w:rsidP="002747EA">
            <w:pPr>
              <w:pStyle w:val="RCTstable"/>
              <w:rPr>
                <w:noProof/>
              </w:rPr>
            </w:pPr>
            <w:r>
              <w:rPr>
                <w:noProof/>
              </w:rPr>
              <w:t>Guo et al 2019</w:t>
            </w:r>
            <w:r w:rsidR="00767EBF">
              <w:rPr>
                <w:noProof/>
              </w:rPr>
              <w:fldChar w:fldCharType="begin">
                <w:fldData xml:space="preserve">PEVuZE5vdGU+PENpdGU+PEF1dGhvcj5HdW88L0F1dGhvcj48WWVhcj4yMDE5PC9ZZWFyPjxSZWNO
dW0+MTQyMDwvUmVjTnVtPjxEaXNwbGF5VGV4dD48c3R5bGUgZmFjZT0ic3VwZXJzY3JpcHQiIGZv
bnQ9IlRyZWJ1Y2hldCBNUyIgc2l6ZT0iOSI+NDE5PC9zdHlsZT48L0Rpc3BsYXlUZXh0PjxyZWNv
cmQ+PHJlYy1udW1iZXI+MTQyMDwvcmVjLW51bWJlcj48Zm9yZWlnbi1rZXlzPjxrZXkgYXBwPSJF
TiIgZGItaWQ9ImV4dmFzcmZ4MmR0cmFvZXNhc3hwMnN6c3hhMmRmNTAyNTkyeCIgdGltZXN0YW1w
PSIxNTY4MzUxOTY0Ij4xNDIwPC9rZXk+PC9mb3JlaWduLWtleXM+PHJlZi10eXBlIG5hbWU9Ikpv
dXJuYWwgQXJ0aWNsZSI+MTc8L3JlZi10eXBlPjxjb250cmlidXRvcnM+PGF1dGhvcnM+PGF1dGhv
cj5HdW8sIFguIFkuPC9hdXRob3I+PGF1dGhvcj5TaHUsIEouPC9hdXRob3I+PGF1dGhvcj5GdSwg
WC4gSC48L2F1dGhvcj48YXV0aG9yPkNoZW4sIFguIFAuPC9hdXRob3I+PGF1dGhvcj5aaGFuZywg
TC48L2F1dGhvcj48YXV0aG9yPkppLCBNLiBYLjwvYXV0aG9yPjxhdXRob3I+TGl1LCBYLiBNLjwv
YXV0aG9yPjxhdXRob3I+WXUsIFQuIFQuPC9hdXRob3I+PGF1dGhvcj5TaGVuZywgSi4gWi48L2F1
dGhvcj48YXV0aG9yPkh1YW5nLCBILiBGLjwvYXV0aG9yPjwvYXV0aG9ycz48L2NvbnRyaWJ1dG9y
cz48YXV0aC1hZGRyZXNzPkRlcGFydG1lbnQgb2YgUmVwcm9kdWN0aXZlIEVuZG9jcmlub2xvZ3ks
IFpoZWppYW5nIFByb3ZpbmNpYWwgUGVvcGxlJmFwb3M7cyBIb3NwaXRhbCwgUGVvcGxlJmFwb3M7
cyBIb3NwaXRhbCBvZiBIYW5nemhvdSBNZWRpY2FsIENvbGxlZ2UsIEhhbmd6aG91LCBDaGluYS4m
I3hEO0ludGVybmF0aW9uYWwgUGVhY2UgTWF0ZXJuaXR5IGFuZCBDaGlsZCBIZWFsdGggSG9zcGl0
YWwsIFNjaG9vbCBvZiBNZWRpY2luZSwgU2hhbmdoYWkgSmlhbyBUb25nIFVuaXZlcnNpdHksIFNo
YW5naGFpLCBDaGluYS4mI3hEO0luc3RpdHV0ZSBvZiBFbWJyeW8tRmV0YWwgT3JpZ2luYWwgQWR1
bHQgRGlzZWFzZSwgU2Nob29sIG9mIE1lZGljaW5lLCBTaGFuZ2hhaSBKaWFvIFRvbmcgVW5pdmVy
c2l0eSwgU2hhbmdoYWksIENoaW5hLiYjeEQ7RGVwYXJ0bWVudCBvZiBQYXRob3BoeXNpb2xvZ3ks
IFNjaG9vbCBvZiBNZWRpY2luZSwgWmhlamlhbmcgVW5pdmVyc2l0eSwgSGFuZ3pob3UsIENoaW5h
LjwvYXV0aC1hZGRyZXNzPjx0aXRsZXM+PHRpdGxlPkltcHJvdmluZyB0aGUgZWZmZWN0aXZlbmVz
cyBvZiBsaWZlc3R5bGUgaW50ZXJ2ZW50aW9ucyBmb3IgZ2VzdGF0aW9uYWwgZGlhYmV0ZXMgcHJl
dmVudGlvbjogYSBtZXRhLWFuYWx5c2lzIGFuZCBtZXRhLXJlZ3Jlc3Npb248L3RpdGxlPjxzZWNv
bmRhcnktdGl0bGU+QkpPRzwvc2Vjb25kYXJ5LXRpdGxlPjwvdGl0bGVzPjxwZXJpb2RpY2FsPjxm
dWxsLXRpdGxlPkJKT0c8L2Z1bGwtdGl0bGU+PC9wZXJpb2RpY2FsPjxwYWdlcz4zMTEtMzIwPC9w
YWdlcz48dm9sdW1lPjEyNjwvdm9sdW1lPjxudW1iZXI+MzwvbnVtYmVyPjxlZGl0aW9uPjIwMTgv
MDkvMTU8L2VkaXRpb24+PGtleXdvcmRzPjxrZXl3b3JkPkRpYWJldGVzLCBHZXN0YXRpb25hbC8q
cHJldmVudGlvbiAmYW1wOyBjb250cm9sPC9rZXl3b3JkPjxrZXl3b3JkPipEaWV0IFRoZXJhcHk8
L2tleXdvcmQ+PGtleXdvcmQ+KkV4ZXJjaXNlIFRoZXJhcHk8L2tleXdvcmQ+PGtleXdvcmQ+RmVt
YWxlPC9rZXl3b3JkPjxrZXl3b3JkPkh1bWFuczwva2V5d29yZD48a2V5d29yZD5PYmVzaXR5Lyp0
aGVyYXB5PC9rZXl3b3JkPjxrZXl3b3JkPk92ZXJ3ZWlnaHQvdGhlcmFweTwva2V5d29yZD48a2V5
d29yZD5QcmVnbmFuY3k8L2tleXdvcmQ+PGtleXdvcmQ+UHJlZ25hbmN5IENvbXBsaWNhdGlvbnMv
KnRoZXJhcHk8L2tleXdvcmQ+PGtleXdvcmQ+UmVncmVzc2lvbiBBbmFseXNpczwva2V5d29yZD48
a2V5d29yZD5FZmZlY3RpdmVuZXNzPC9rZXl3b3JkPjxrZXl3b3JkPmdlc3RhdGlvbmFsIGRpYWJl
dGVzIG1lbGxpdHVzPC9rZXl3b3JkPjxrZXl3b3JkPmxpZmVzdHlsZSBpbnRlcnZlbnRpb248L2tl
eXdvcmQ+PGtleXdvcmQ+bWV0YS1hbmFseXNpczwva2V5d29yZD48a2V5d29yZD5tZXRhLXJlZ3Jl
c3Npb248L2tleXdvcmQ+PGtleXdvcmQ+cHJldmVudGlvbjwva2V5d29yZD48L2tleXdvcmRzPjxk
YXRlcz48eWVhcj4yMDE5PC95ZWFyPjxwdWItZGF0ZXM+PGRhdGU+RmViPC9kYXRlPjwvcHViLWRh
dGVzPjwvZGF0ZXM+PGlzYm4+MTQ3MS0wNTI4IChFbGVjdHJvbmljKSYjeEQ7MTQ3MC0wMzI4IChM
aW5raW5nKTwvaXNibj48YWNjZXNzaW9uLW51bT4zMDIxNjYzNTwvYWNjZXNzaW9uLW51bT48dXJs
cz48cmVsYXRlZC11cmxzPjx1cmw+aHR0cHM6Ly93d3cubmNiaS5ubG0ubmloLmdvdi9wdWJtZWQv
MzAyMTY2MzU8L3VybD48L3JlbGF0ZWQtdXJscz48L3VybHM+PGVsZWN0cm9uaWMtcmVzb3VyY2Ut
bnVtPjEwLjExMTEvMTQ3MS0wNTI4LjE1NDY3PC9lbGVjdHJvbmljLXJlc291cmNlLW51bT48L3Jl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PEVuZE5vdGU+PENpdGU+PEF1dGhvcj5HdW88L0F1dGhvcj48WWVhcj4yMDE5PC9ZZWFyPjxSZWNO
dW0+MTQyMDwvUmVjTnVtPjxEaXNwbGF5VGV4dD48c3R5bGUgZmFjZT0ic3VwZXJzY3JpcHQiIGZv
bnQ9IlRyZWJ1Y2hldCBNUyIgc2l6ZT0iOSI+NDE5PC9zdHlsZT48L0Rpc3BsYXlUZXh0PjxyZWNv
cmQ+PHJlYy1udW1iZXI+MTQyMDwvcmVjLW51bWJlcj48Zm9yZWlnbi1rZXlzPjxrZXkgYXBwPSJF
TiIgZGItaWQ9ImV4dmFzcmZ4MmR0cmFvZXNhc3hwMnN6c3hhMmRmNTAyNTkyeCIgdGltZXN0YW1w
PSIxNTY4MzUxOTY0Ij4xNDIwPC9rZXk+PC9mb3JlaWduLWtleXM+PHJlZi10eXBlIG5hbWU9Ikpv
dXJuYWwgQXJ0aWNsZSI+MTc8L3JlZi10eXBlPjxjb250cmlidXRvcnM+PGF1dGhvcnM+PGF1dGhv
cj5HdW8sIFguIFkuPC9hdXRob3I+PGF1dGhvcj5TaHUsIEouPC9hdXRob3I+PGF1dGhvcj5GdSwg
WC4gSC48L2F1dGhvcj48YXV0aG9yPkNoZW4sIFguIFAuPC9hdXRob3I+PGF1dGhvcj5aaGFuZywg
TC48L2F1dGhvcj48YXV0aG9yPkppLCBNLiBYLjwvYXV0aG9yPjxhdXRob3I+TGl1LCBYLiBNLjwv
YXV0aG9yPjxhdXRob3I+WXUsIFQuIFQuPC9hdXRob3I+PGF1dGhvcj5TaGVuZywgSi4gWi48L2F1
dGhvcj48YXV0aG9yPkh1YW5nLCBILiBGLjwvYXV0aG9yPjwvYXV0aG9ycz48L2NvbnRyaWJ1dG9y
cz48YXV0aC1hZGRyZXNzPkRlcGFydG1lbnQgb2YgUmVwcm9kdWN0aXZlIEVuZG9jcmlub2xvZ3ks
IFpoZWppYW5nIFByb3ZpbmNpYWwgUGVvcGxlJmFwb3M7cyBIb3NwaXRhbCwgUGVvcGxlJmFwb3M7
cyBIb3NwaXRhbCBvZiBIYW5nemhvdSBNZWRpY2FsIENvbGxlZ2UsIEhhbmd6aG91LCBDaGluYS4m
I3hEO0ludGVybmF0aW9uYWwgUGVhY2UgTWF0ZXJuaXR5IGFuZCBDaGlsZCBIZWFsdGggSG9zcGl0
YWwsIFNjaG9vbCBvZiBNZWRpY2luZSwgU2hhbmdoYWkgSmlhbyBUb25nIFVuaXZlcnNpdHksIFNo
YW5naGFpLCBDaGluYS4mI3hEO0luc3RpdHV0ZSBvZiBFbWJyeW8tRmV0YWwgT3JpZ2luYWwgQWR1
bHQgRGlzZWFzZSwgU2Nob29sIG9mIE1lZGljaW5lLCBTaGFuZ2hhaSBKaWFvIFRvbmcgVW5pdmVy
c2l0eSwgU2hhbmdoYWksIENoaW5hLiYjeEQ7RGVwYXJ0bWVudCBvZiBQYXRob3BoeXNpb2xvZ3ks
IFNjaG9vbCBvZiBNZWRpY2luZSwgWmhlamlhbmcgVW5pdmVyc2l0eSwgSGFuZ3pob3UsIENoaW5h
LjwvYXV0aC1hZGRyZXNzPjx0aXRsZXM+PHRpdGxlPkltcHJvdmluZyB0aGUgZWZmZWN0aXZlbmVz
cyBvZiBsaWZlc3R5bGUgaW50ZXJ2ZW50aW9ucyBmb3IgZ2VzdGF0aW9uYWwgZGlhYmV0ZXMgcHJl
dmVudGlvbjogYSBtZXRhLWFuYWx5c2lzIGFuZCBtZXRhLXJlZ3Jlc3Npb248L3RpdGxlPjxzZWNv
bmRhcnktdGl0bGU+QkpPRzwvc2Vjb25kYXJ5LXRpdGxlPjwvdGl0bGVzPjxwZXJpb2RpY2FsPjxm
dWxsLXRpdGxlPkJKT0c8L2Z1bGwtdGl0bGU+PC9wZXJpb2RpY2FsPjxwYWdlcz4zMTEtMzIwPC9w
YWdlcz48dm9sdW1lPjEyNjwvdm9sdW1lPjxudW1iZXI+MzwvbnVtYmVyPjxlZGl0aW9uPjIwMTgv
MDkvMTU8L2VkaXRpb24+PGtleXdvcmRzPjxrZXl3b3JkPkRpYWJldGVzLCBHZXN0YXRpb25hbC8q
cHJldmVudGlvbiAmYW1wOyBjb250cm9sPC9rZXl3b3JkPjxrZXl3b3JkPipEaWV0IFRoZXJhcHk8
L2tleXdvcmQ+PGtleXdvcmQ+KkV4ZXJjaXNlIFRoZXJhcHk8L2tleXdvcmQ+PGtleXdvcmQ+RmVt
YWxlPC9rZXl3b3JkPjxrZXl3b3JkPkh1bWFuczwva2V5d29yZD48a2V5d29yZD5PYmVzaXR5Lyp0
aGVyYXB5PC9rZXl3b3JkPjxrZXl3b3JkPk92ZXJ3ZWlnaHQvdGhlcmFweTwva2V5d29yZD48a2V5
d29yZD5QcmVnbmFuY3k8L2tleXdvcmQ+PGtleXdvcmQ+UHJlZ25hbmN5IENvbXBsaWNhdGlvbnMv
KnRoZXJhcHk8L2tleXdvcmQ+PGtleXdvcmQ+UmVncmVzc2lvbiBBbmFseXNpczwva2V5d29yZD48
a2V5d29yZD5FZmZlY3RpdmVuZXNzPC9rZXl3b3JkPjxrZXl3b3JkPmdlc3RhdGlvbmFsIGRpYWJl
dGVzIG1lbGxpdHVzPC9rZXl3b3JkPjxrZXl3b3JkPmxpZmVzdHlsZSBpbnRlcnZlbnRpb248L2tl
eXdvcmQ+PGtleXdvcmQ+bWV0YS1hbmFseXNpczwva2V5d29yZD48a2V5d29yZD5tZXRhLXJlZ3Jl
c3Npb248L2tleXdvcmQ+PGtleXdvcmQ+cHJldmVudGlvbjwva2V5d29yZD48L2tleXdvcmRzPjxk
YXRlcz48eWVhcj4yMDE5PC95ZWFyPjxwdWItZGF0ZXM+PGRhdGU+RmViPC9kYXRlPjwvcHViLWRh
dGVzPjwvZGF0ZXM+PGlzYm4+MTQ3MS0wNTI4IChFbGVjdHJvbmljKSYjeEQ7MTQ3MC0wMzI4IChM
aW5raW5nKTwvaXNibj48YWNjZXNzaW9uLW51bT4zMDIxNjYzNTwvYWNjZXNzaW9uLW51bT48dXJs
cz48cmVsYXRlZC11cmxzPjx1cmw+aHR0cHM6Ly93d3cubmNiaS5ubG0ubmloLmdvdi9wdWJtZWQv
MzAyMTY2MzU8L3VybD48L3JlbGF0ZWQtdXJscz48L3VybHM+PGVsZWN0cm9uaWMtcmVzb3VyY2Ut
bnVtPjEwLjExMTEvMTQ3MS0wNTI4LjE1NDY3PC9lbGVjdHJvbmljLXJlc291cmNlLW51bT48L3Jl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767EBF">
              <w:rPr>
                <w:noProof/>
              </w:rPr>
            </w:r>
            <w:r w:rsidR="00767EBF">
              <w:rPr>
                <w:noProof/>
              </w:rPr>
              <w:fldChar w:fldCharType="separate"/>
            </w:r>
            <w:r w:rsidR="002747EA" w:rsidRPr="002747EA">
              <w:rPr>
                <w:noProof/>
                <w:sz w:val="18"/>
                <w:vertAlign w:val="superscript"/>
              </w:rPr>
              <w:t>419</w:t>
            </w:r>
            <w:r w:rsidR="00767EBF">
              <w:rPr>
                <w:noProof/>
              </w:rPr>
              <w:fldChar w:fldCharType="end"/>
            </w:r>
          </w:p>
        </w:tc>
        <w:tc>
          <w:tcPr>
            <w:tcW w:w="2547" w:type="dxa"/>
          </w:tcPr>
          <w:p w14:paraId="6D5AF139" w14:textId="2437B950" w:rsidR="004F111C" w:rsidRDefault="004F111C" w:rsidP="00A5540F">
            <w:pPr>
              <w:pStyle w:val="RCTstable"/>
            </w:pPr>
            <w:r>
              <w:t>Mixed BMIs</w:t>
            </w:r>
          </w:p>
        </w:tc>
        <w:tc>
          <w:tcPr>
            <w:tcW w:w="2982" w:type="dxa"/>
          </w:tcPr>
          <w:p w14:paraId="54E5130A" w14:textId="08CD0A2F" w:rsidR="004F111C" w:rsidRDefault="004F111C" w:rsidP="00A5540F">
            <w:pPr>
              <w:pStyle w:val="RCTstable"/>
              <w:jc w:val="center"/>
              <w:rPr>
                <w:rFonts w:eastAsiaTheme="majorEastAsia"/>
              </w:rPr>
            </w:pPr>
            <w:r>
              <w:rPr>
                <w:rFonts w:eastAsiaTheme="majorEastAsia"/>
              </w:rPr>
              <w:t>RR 0.70 (0.59 to 0.84)</w:t>
            </w:r>
          </w:p>
        </w:tc>
        <w:tc>
          <w:tcPr>
            <w:tcW w:w="1134" w:type="dxa"/>
          </w:tcPr>
          <w:p w14:paraId="73183FDF" w14:textId="3D0C5191" w:rsidR="004F111C" w:rsidRDefault="004F111C" w:rsidP="00A5540F">
            <w:pPr>
              <w:pStyle w:val="RCTstable"/>
              <w:jc w:val="center"/>
            </w:pPr>
            <w:r>
              <w:t>19</w:t>
            </w:r>
          </w:p>
        </w:tc>
      </w:tr>
      <w:tr w:rsidR="00A5540F" w:rsidRPr="00C12274" w14:paraId="37805D34" w14:textId="77777777" w:rsidTr="00A5540F">
        <w:tc>
          <w:tcPr>
            <w:tcW w:w="2841" w:type="dxa"/>
          </w:tcPr>
          <w:p w14:paraId="19298380" w14:textId="75B710E4" w:rsidR="00A5540F" w:rsidRPr="00C12274" w:rsidRDefault="00A5540F" w:rsidP="002747EA">
            <w:pPr>
              <w:pStyle w:val="RCTstable"/>
            </w:pPr>
            <w:r w:rsidRPr="00C12274">
              <w:rPr>
                <w:noProof/>
              </w:rPr>
              <w:t>da Silva et al 2017b</w:t>
            </w:r>
            <w:r>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 </w:instrText>
            </w:r>
            <w:r w:rsidR="002747EA">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456</w:t>
            </w:r>
            <w:r>
              <w:fldChar w:fldCharType="end"/>
            </w:r>
          </w:p>
        </w:tc>
        <w:tc>
          <w:tcPr>
            <w:tcW w:w="2547" w:type="dxa"/>
          </w:tcPr>
          <w:p w14:paraId="68A68C74" w14:textId="77777777" w:rsidR="00A5540F" w:rsidRPr="00C12274" w:rsidRDefault="00A5540F" w:rsidP="00A5540F">
            <w:pPr>
              <w:pStyle w:val="RCTstable"/>
            </w:pPr>
            <w:r>
              <w:t>Mixed</w:t>
            </w:r>
            <w:r w:rsidRPr="00C12274">
              <w:t xml:space="preserve"> </w:t>
            </w:r>
            <w:r>
              <w:t>BMIs</w:t>
            </w:r>
          </w:p>
        </w:tc>
        <w:tc>
          <w:tcPr>
            <w:tcW w:w="2982" w:type="dxa"/>
          </w:tcPr>
          <w:p w14:paraId="58673EDE" w14:textId="77777777" w:rsidR="00A5540F" w:rsidRPr="00BE0624" w:rsidRDefault="00A5540F" w:rsidP="00A5540F">
            <w:pPr>
              <w:pStyle w:val="RCTstable"/>
              <w:jc w:val="center"/>
            </w:pPr>
            <w:r>
              <w:rPr>
                <w:rFonts w:eastAsiaTheme="majorEastAsia"/>
              </w:rPr>
              <w:t>RR 0.67 (0.49 to 0.92)</w:t>
            </w:r>
          </w:p>
        </w:tc>
        <w:tc>
          <w:tcPr>
            <w:tcW w:w="1134" w:type="dxa"/>
          </w:tcPr>
          <w:p w14:paraId="0BE3A6BD" w14:textId="77777777" w:rsidR="00A5540F" w:rsidRPr="00BE0624" w:rsidRDefault="00A5540F" w:rsidP="00A5540F">
            <w:pPr>
              <w:pStyle w:val="RCTstable"/>
              <w:jc w:val="center"/>
            </w:pPr>
            <w:r>
              <w:t>10</w:t>
            </w:r>
          </w:p>
        </w:tc>
      </w:tr>
      <w:tr w:rsidR="00A5540F" w:rsidRPr="00B87066" w14:paraId="48132D16" w14:textId="77777777" w:rsidTr="00A5540F">
        <w:tc>
          <w:tcPr>
            <w:tcW w:w="2841" w:type="dxa"/>
            <w:shd w:val="clear" w:color="auto" w:fill="auto"/>
          </w:tcPr>
          <w:p w14:paraId="528464BD" w14:textId="41E6BCC0" w:rsidR="00A5540F" w:rsidRPr="00B87066" w:rsidRDefault="00A5540F" w:rsidP="002747EA">
            <w:pPr>
              <w:pStyle w:val="RCTstable"/>
            </w:pPr>
            <w:r>
              <w:t>Bennett et al 2018</w:t>
            </w:r>
            <w:r>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418</w:t>
            </w:r>
            <w:r>
              <w:fldChar w:fldCharType="end"/>
            </w:r>
          </w:p>
        </w:tc>
        <w:tc>
          <w:tcPr>
            <w:tcW w:w="2547" w:type="dxa"/>
            <w:shd w:val="clear" w:color="auto" w:fill="auto"/>
          </w:tcPr>
          <w:p w14:paraId="3C198020" w14:textId="77777777" w:rsidR="00A5540F" w:rsidRPr="00B87066" w:rsidRDefault="00A5540F" w:rsidP="00A5540F">
            <w:pPr>
              <w:pStyle w:val="RCTstable"/>
            </w:pPr>
            <w:r>
              <w:t>Mixed BMIs</w:t>
            </w:r>
          </w:p>
        </w:tc>
        <w:tc>
          <w:tcPr>
            <w:tcW w:w="2982" w:type="dxa"/>
            <w:shd w:val="clear" w:color="auto" w:fill="auto"/>
          </w:tcPr>
          <w:p w14:paraId="395520D2" w14:textId="77777777" w:rsidR="00A5540F" w:rsidRPr="00B87066" w:rsidRDefault="00A5540F" w:rsidP="00A5540F">
            <w:pPr>
              <w:pStyle w:val="RCTstable"/>
              <w:jc w:val="center"/>
            </w:pPr>
            <w:r>
              <w:t>RR 0.65 (0.50 to 0.85)</w:t>
            </w:r>
          </w:p>
        </w:tc>
        <w:tc>
          <w:tcPr>
            <w:tcW w:w="1134" w:type="dxa"/>
            <w:shd w:val="clear" w:color="auto" w:fill="auto"/>
          </w:tcPr>
          <w:p w14:paraId="11D8DFEC" w14:textId="77777777" w:rsidR="00A5540F" w:rsidRPr="00B87066" w:rsidRDefault="00A5540F" w:rsidP="00A5540F">
            <w:pPr>
              <w:pStyle w:val="RCTstable"/>
              <w:jc w:val="center"/>
            </w:pPr>
            <w:r>
              <w:t>5</w:t>
            </w:r>
          </w:p>
        </w:tc>
      </w:tr>
      <w:tr w:rsidR="00A5540F" w:rsidRPr="00B87066" w14:paraId="713017EF" w14:textId="77777777" w:rsidTr="00A5540F">
        <w:tc>
          <w:tcPr>
            <w:tcW w:w="2841" w:type="dxa"/>
            <w:shd w:val="clear" w:color="auto" w:fill="auto"/>
          </w:tcPr>
          <w:p w14:paraId="22B5825B" w14:textId="4235ED33" w:rsidR="00A5540F" w:rsidRDefault="00A5540F" w:rsidP="002747EA">
            <w:pPr>
              <w:pStyle w:val="RCTstable"/>
            </w:pPr>
            <w:r>
              <w:t>Han et al 2012</w:t>
            </w:r>
            <w:r>
              <w:fldChar w:fldCharType="begin"/>
            </w:r>
            <w:r w:rsidR="002747EA">
              <w:instrText xml:space="preserve"> ADDIN EN.CITE &lt;EndNote&gt;&lt;Cite&gt;&lt;Author&gt;Han&lt;/Author&gt;&lt;Year&gt;2012&lt;/Year&gt;&lt;RecNum&gt;635&lt;/RecNum&gt;&lt;DisplayText&gt;&lt;style face="superscript" font="Trebuchet MS" size="9"&gt;467&lt;/style&gt;&lt;/DisplayText&gt;&lt;record&gt;&lt;rec-number&gt;635&lt;/rec-number&gt;&lt;foreign-keys&gt;&lt;key app="EN" db-id="exvasrfx2dtraoesasxp2szsxa2df502592x" timestamp="1540429015"&gt;635&lt;/key&gt;&lt;key app="ENWeb" db-id=""&gt;0&lt;/key&gt;&lt;/foreign-keys&gt;&lt;ref-type name="Journal Article"&gt;17&lt;/ref-type&gt;&lt;contributors&gt;&lt;authors&gt;&lt;author&gt;Han, S.,&lt;/author&gt;&lt;author&gt;Middleton, P.,&lt;/author&gt;&lt;author&gt;Crowther, C.A.,&lt;/author&gt;&lt;/authors&gt;&lt;/contributors&gt;&lt;titles&gt;&lt;title&gt;Exercise for pregnant women for preventing gestational diabetes mellitus&lt;/title&gt;&lt;secondary-title&gt;Cochrane Database of Systematic Reviews&lt;/secondary-title&gt;&lt;/titles&gt;&lt;periodical&gt;&lt;full-title&gt;Cochrane Database of Systematic Reviews&lt;/full-title&gt;&lt;/periodical&gt;&lt;dates&gt;&lt;year&gt;2012&lt;/year&gt;&lt;/dates&gt;&lt;isbn&gt;14651858&lt;/isbn&gt;&lt;urls&gt;&lt;/urls&gt;&lt;electronic-resource-num&gt;10.1002/14651858.CD009021.pub2&lt;/electronic-resource-num&gt;&lt;/record&gt;&lt;/Cite&gt;&lt;/EndNote&gt;</w:instrText>
            </w:r>
            <w:r>
              <w:fldChar w:fldCharType="separate"/>
            </w:r>
            <w:r w:rsidR="002747EA" w:rsidRPr="002747EA">
              <w:rPr>
                <w:noProof/>
                <w:sz w:val="18"/>
                <w:vertAlign w:val="superscript"/>
              </w:rPr>
              <w:t>467</w:t>
            </w:r>
            <w:r>
              <w:fldChar w:fldCharType="end"/>
            </w:r>
          </w:p>
        </w:tc>
        <w:tc>
          <w:tcPr>
            <w:tcW w:w="2547" w:type="dxa"/>
            <w:shd w:val="clear" w:color="auto" w:fill="auto"/>
          </w:tcPr>
          <w:p w14:paraId="28569CF9" w14:textId="77777777" w:rsidR="00A5540F" w:rsidRDefault="00A5540F" w:rsidP="00A5540F">
            <w:pPr>
              <w:pStyle w:val="RCTstable"/>
            </w:pPr>
            <w:r>
              <w:t>Mixed BMIs</w:t>
            </w:r>
          </w:p>
        </w:tc>
        <w:tc>
          <w:tcPr>
            <w:tcW w:w="2982" w:type="dxa"/>
            <w:shd w:val="clear" w:color="auto" w:fill="auto"/>
          </w:tcPr>
          <w:p w14:paraId="1DD0D3FA" w14:textId="77777777" w:rsidR="00A5540F" w:rsidRDefault="00A5540F" w:rsidP="00A5540F">
            <w:pPr>
              <w:pStyle w:val="RCTstable"/>
              <w:jc w:val="center"/>
            </w:pPr>
            <w:r>
              <w:t>RR 1.10 (0.66 to 1.84)</w:t>
            </w:r>
          </w:p>
        </w:tc>
        <w:tc>
          <w:tcPr>
            <w:tcW w:w="1134" w:type="dxa"/>
            <w:shd w:val="clear" w:color="auto" w:fill="auto"/>
          </w:tcPr>
          <w:p w14:paraId="6F60D74A" w14:textId="77777777" w:rsidR="00A5540F" w:rsidRDefault="00A5540F" w:rsidP="00A5540F">
            <w:pPr>
              <w:pStyle w:val="RCTstable"/>
              <w:jc w:val="center"/>
            </w:pPr>
            <w:r>
              <w:t>3</w:t>
            </w:r>
          </w:p>
        </w:tc>
      </w:tr>
      <w:tr w:rsidR="00A5540F" w:rsidRPr="00B87066" w14:paraId="09DB43F8" w14:textId="77777777" w:rsidTr="00A5540F">
        <w:tc>
          <w:tcPr>
            <w:tcW w:w="2841" w:type="dxa"/>
            <w:vMerge w:val="restart"/>
            <w:shd w:val="clear" w:color="auto" w:fill="auto"/>
          </w:tcPr>
          <w:p w14:paraId="5D1314F2" w14:textId="7E0229A3" w:rsidR="00A5540F" w:rsidRPr="00BE0624" w:rsidRDefault="00A5540F" w:rsidP="002747EA">
            <w:pPr>
              <w:pStyle w:val="RCTstable"/>
              <w:rPr>
                <w:rFonts w:ascii="Lucida Grande" w:hAnsi="Lucida Grande" w:cs="Lucida Grande"/>
                <w:sz w:val="20"/>
                <w:szCs w:val="20"/>
              </w:rPr>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r w:rsidRPr="00C12274">
              <w:rPr>
                <w:noProof/>
              </w:rPr>
              <w:t xml:space="preserve"> </w:t>
            </w:r>
          </w:p>
        </w:tc>
        <w:tc>
          <w:tcPr>
            <w:tcW w:w="2547" w:type="dxa"/>
            <w:shd w:val="clear" w:color="auto" w:fill="auto"/>
          </w:tcPr>
          <w:p w14:paraId="4017821F" w14:textId="77777777" w:rsidR="00A5540F"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60E7C2EA" w14:textId="77777777" w:rsidR="00A5540F" w:rsidRDefault="00A5540F" w:rsidP="00A5540F">
            <w:pPr>
              <w:pStyle w:val="RCTstable"/>
              <w:jc w:val="center"/>
            </w:pPr>
            <w:r>
              <w:t>OR 0.67 (0.46 to 0.95)</w:t>
            </w:r>
          </w:p>
        </w:tc>
        <w:tc>
          <w:tcPr>
            <w:tcW w:w="1134" w:type="dxa"/>
            <w:shd w:val="clear" w:color="auto" w:fill="auto"/>
          </w:tcPr>
          <w:p w14:paraId="362D7B2D" w14:textId="77777777" w:rsidR="00A5540F" w:rsidRDefault="00A5540F" w:rsidP="00A5540F">
            <w:pPr>
              <w:pStyle w:val="RCTstable"/>
              <w:jc w:val="center"/>
            </w:pPr>
            <w:r>
              <w:t>10</w:t>
            </w:r>
          </w:p>
        </w:tc>
      </w:tr>
      <w:tr w:rsidR="00A5540F" w:rsidRPr="00B87066" w14:paraId="6F19BF55" w14:textId="77777777" w:rsidTr="00A5540F">
        <w:tc>
          <w:tcPr>
            <w:tcW w:w="2841" w:type="dxa"/>
            <w:vMerge/>
            <w:shd w:val="clear" w:color="auto" w:fill="auto"/>
          </w:tcPr>
          <w:p w14:paraId="3BCB33AC" w14:textId="77777777" w:rsidR="00A5540F" w:rsidRPr="00C12274" w:rsidRDefault="00A5540F" w:rsidP="00A5540F">
            <w:pPr>
              <w:spacing w:before="0" w:after="0" w:line="240" w:lineRule="auto"/>
              <w:rPr>
                <w:noProof/>
                <w:sz w:val="16"/>
                <w:szCs w:val="16"/>
              </w:rPr>
            </w:pPr>
          </w:p>
        </w:tc>
        <w:tc>
          <w:tcPr>
            <w:tcW w:w="2547" w:type="dxa"/>
            <w:shd w:val="clear" w:color="auto" w:fill="auto"/>
          </w:tcPr>
          <w:p w14:paraId="7D8A1842" w14:textId="77777777" w:rsidR="00A5540F"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35D1A6D2" w14:textId="77777777" w:rsidR="00A5540F" w:rsidRDefault="00A5540F" w:rsidP="00A5540F">
            <w:pPr>
              <w:pStyle w:val="RCTstable"/>
              <w:jc w:val="center"/>
            </w:pPr>
            <w:r>
              <w:t>OR 0.66 (0.53 to 0.83)</w:t>
            </w:r>
          </w:p>
        </w:tc>
        <w:tc>
          <w:tcPr>
            <w:tcW w:w="1134" w:type="dxa"/>
            <w:shd w:val="clear" w:color="auto" w:fill="auto"/>
          </w:tcPr>
          <w:p w14:paraId="46F99018" w14:textId="77777777" w:rsidR="00A5540F" w:rsidRDefault="00A5540F" w:rsidP="00A5540F">
            <w:pPr>
              <w:pStyle w:val="RCTstable"/>
              <w:jc w:val="center"/>
            </w:pPr>
            <w:r>
              <w:t>27</w:t>
            </w:r>
          </w:p>
        </w:tc>
      </w:tr>
      <w:tr w:rsidR="00196B9A" w:rsidRPr="00B87066" w14:paraId="139D9577" w14:textId="77777777" w:rsidTr="00A5540F">
        <w:tc>
          <w:tcPr>
            <w:tcW w:w="2841" w:type="dxa"/>
            <w:shd w:val="clear" w:color="auto" w:fill="auto"/>
          </w:tcPr>
          <w:p w14:paraId="7D125755" w14:textId="4D4EFE4B" w:rsidR="00196B9A" w:rsidRDefault="00196B9A" w:rsidP="002747EA">
            <w:pPr>
              <w:pStyle w:val="RCTstable"/>
            </w:pPr>
            <w:r>
              <w:t>Russo et al 2015</w:t>
            </w:r>
            <w:r w:rsidR="00283324">
              <w:fldChar w:fldCharType="begin"/>
            </w:r>
            <w:r w:rsidR="002747EA">
              <w:instrText xml:space="preserve"> ADDIN EN.CITE &lt;EndNote&gt;&lt;Cite&gt;&lt;Author&gt;Russo&lt;/Author&gt;&lt;Year&gt;2015&lt;/Year&gt;&lt;RecNum&gt;1784&lt;/RecNum&gt;&lt;DisplayText&gt;&lt;style face="superscript" font="Trebuchet MS" size="9"&gt;468&lt;/style&gt;&lt;/DisplayText&gt;&lt;record&gt;&lt;rec-number&gt;1784&lt;/rec-number&gt;&lt;foreign-keys&gt;&lt;key app="EN" db-id="exvasrfx2dtraoesasxp2szsxa2df502592x" timestamp="1583213365"&gt;1784&lt;/key&gt;&lt;key app="ENWeb" db-id=""&gt;0&lt;/key&gt;&lt;/foreign-keys&gt;&lt;ref-type name="Journal Article"&gt;17&lt;/ref-type&gt;&lt;contributors&gt;&lt;authors&gt;&lt;author&gt;Russo, L. M.&lt;/author&gt;&lt;author&gt;Nobles, C.&lt;/author&gt;&lt;author&gt;Ertel, K. A.&lt;/author&gt;&lt;author&gt;Chasan-Taber, L.&lt;/author&gt;&lt;author&gt;Whitcomb, B. W.&lt;/author&gt;&lt;/authors&gt;&lt;/contributors&gt;&lt;auth-address&gt;Division of Biostatistics and Epidemiology, University of Massachusetts, Amherst, Massachusetts.&lt;/auth-address&gt;&lt;titles&gt;&lt;title&gt;Physical activity interventions in pregnancy and risk of gestational diabetes mellitus: a systematic review and meta-analysis&lt;/title&gt;&lt;secondary-title&gt;Obstet Gynecol&lt;/secondary-title&gt;&lt;/titles&gt;&lt;periodical&gt;&lt;full-title&gt;Obstet Gynecol&lt;/full-title&gt;&lt;/periodical&gt;&lt;pages&gt;576-82&lt;/pages&gt;&lt;volume&gt;125&lt;/volume&gt;&lt;number&gt;3&lt;/number&gt;&lt;edition&gt;2015/03/03&lt;/edition&gt;&lt;keywords&gt;&lt;keyword&gt;Diabetes, Gestational/*prevention &amp;amp; control&lt;/keyword&gt;&lt;keyword&gt;*Exercise&lt;/keyword&gt;&lt;keyword&gt;Female&lt;/keyword&gt;&lt;keyword&gt;Humans&lt;/keyword&gt;&lt;keyword&gt;Pregnancy&lt;/keyword&gt;&lt;keyword&gt;Randomized Controlled Trials as Topic&lt;/keyword&gt;&lt;/keywords&gt;&lt;dates&gt;&lt;year&gt;2015&lt;/year&gt;&lt;pub-dates&gt;&lt;date&gt;Mar&lt;/date&gt;&lt;/pub-dates&gt;&lt;/dates&gt;&lt;isbn&gt;1873-233X (Electronic)&amp;#xD;0029-7844 (Linking)&lt;/isbn&gt;&lt;accession-num&gt;25730218&lt;/accession-num&gt;&lt;urls&gt;&lt;related-urls&gt;&lt;url&gt;https://www.ncbi.nlm.nih.gov/pubmed/25730218&lt;/url&gt;&lt;/related-urls&gt;&lt;/urls&gt;&lt;electronic-resource-num&gt;10.1097/AOG.0000000000000691&lt;/electronic-resource-num&gt;&lt;/record&gt;&lt;/Cite&gt;&lt;/EndNote&gt;</w:instrText>
            </w:r>
            <w:r w:rsidR="00283324">
              <w:fldChar w:fldCharType="separate"/>
            </w:r>
            <w:r w:rsidR="002747EA" w:rsidRPr="002747EA">
              <w:rPr>
                <w:noProof/>
                <w:sz w:val="18"/>
                <w:vertAlign w:val="superscript"/>
              </w:rPr>
              <w:t>468</w:t>
            </w:r>
            <w:r w:rsidR="00283324">
              <w:fldChar w:fldCharType="end"/>
            </w:r>
          </w:p>
        </w:tc>
        <w:tc>
          <w:tcPr>
            <w:tcW w:w="2547" w:type="dxa"/>
            <w:shd w:val="clear" w:color="auto" w:fill="auto"/>
          </w:tcPr>
          <w:p w14:paraId="43AD5DC7" w14:textId="6655747C" w:rsidR="00196B9A" w:rsidRDefault="00196B9A" w:rsidP="00A5540F">
            <w:pPr>
              <w:pStyle w:val="RCTstable"/>
            </w:pPr>
            <w:r>
              <w:t>Mixed BMIs</w:t>
            </w:r>
          </w:p>
        </w:tc>
        <w:tc>
          <w:tcPr>
            <w:tcW w:w="2982" w:type="dxa"/>
            <w:shd w:val="clear" w:color="auto" w:fill="auto"/>
          </w:tcPr>
          <w:p w14:paraId="6CF3658B" w14:textId="021E4D15" w:rsidR="00196B9A" w:rsidRDefault="00196B9A" w:rsidP="00A5540F">
            <w:pPr>
              <w:pStyle w:val="RCTstable"/>
              <w:jc w:val="center"/>
            </w:pPr>
            <w:r>
              <w:t>RR 0.72 (0.58 to 0.91)</w:t>
            </w:r>
          </w:p>
        </w:tc>
        <w:tc>
          <w:tcPr>
            <w:tcW w:w="1134" w:type="dxa"/>
            <w:shd w:val="clear" w:color="auto" w:fill="auto"/>
          </w:tcPr>
          <w:p w14:paraId="508B85EC" w14:textId="5F7FC909" w:rsidR="00196B9A" w:rsidRDefault="00196B9A" w:rsidP="00A5540F">
            <w:pPr>
              <w:pStyle w:val="RCTstable"/>
              <w:jc w:val="center"/>
            </w:pPr>
            <w:r>
              <w:t>10</w:t>
            </w:r>
          </w:p>
        </w:tc>
      </w:tr>
      <w:tr w:rsidR="00A5540F" w:rsidRPr="00B87066" w14:paraId="09672A9F" w14:textId="77777777" w:rsidTr="00A5540F">
        <w:tc>
          <w:tcPr>
            <w:tcW w:w="2841" w:type="dxa"/>
            <w:shd w:val="clear" w:color="auto" w:fill="auto"/>
          </w:tcPr>
          <w:p w14:paraId="49CE1F2F" w14:textId="02783A57" w:rsidR="00A5540F" w:rsidRDefault="00A5540F" w:rsidP="002747EA">
            <w:pPr>
              <w:pStyle w:val="RCTstable"/>
            </w:pPr>
            <w:r>
              <w:t>Sanabria-Martinez et al 2015</w:t>
            </w:r>
            <w:r>
              <w:fldChar w:fldCharType="begin">
                <w:fldData xml:space="preserve">PEVuZE5vdGU+PENpdGU+PEF1dGhvcj5TYW5hYnJpYS1NYXJ0aW5lejwvQXV0aG9yPjxZZWFyPjIw
MTU8L1llYXI+PFJlY051bT4xMTg1PC9SZWNOdW0+PERpc3BsYXlUZXh0PjxzdHlsZSBmYWNlPSJz
dXBlcnNjcmlwdCIgZm9udD0iVHJlYnVjaGV0IE1TIiBzaXplPSI5Ij40NTg8L3N0eWxlPjwvRGlz
cGxheVRleHQ+PHJlY29yZD48cmVjLW51bWJlcj4xMTg1PC9yZWMtbnVtYmVyPjxmb3JlaWduLWtl
eXM+PGtleSBhcHA9IkVOIiBkYi1pZD0iZXh2YXNyZngyZHRyYW9lc2FzeHAyc3pzeGEyZGY1MDI1
OTJ4IiB0aW1lc3RhbXA9IjE1NTkwMDc3NjYiPjExODU8L2tleT48L2ZvcmVpZ24ta2V5cz48cmVm
LXR5cGUgbmFtZT0iSm91cm5hbCBBcnRpY2xlIj4xNzwvcmVmLXR5cGU+PGNvbnRyaWJ1dG9ycz48
YXV0aG9ycz48YXV0aG9yPlNhbmFicmlhLU1hcnRpbmV6LCBHLjwvYXV0aG9yPjxhdXRob3I+R2Fy
Y2lhLUhlcm1vc28sIEEuPC9hdXRob3I+PGF1dGhvcj5Qb3lhdG9zLUxlb24sIFIuPC9hdXRob3I+
PGF1dGhvcj5BbHZhcmV6LUJ1ZW5vLCBDLjwvYXV0aG9yPjxhdXRob3I+U2FuY2hlei1Mb3Bleiwg
TS48L2F1dGhvcj48YXV0aG9yPk1hcnRpbmV6LVZpemNhaW5vLCBWLjwvYXV0aG9yPjwvYXV0aG9y
cz48L2NvbnRyaWJ1dG9ycz48YXV0aC1hZGRyZXNzPlZpcmdlbiBkZSBsYSBMdXogSG9zcGl0YWws
IEN1ZW5jYSwgU3BhaW4uJiN4RDtMYWJvcmF0b3JpbyBkZSBDaWVuY2lhcyBkZSBsYSBBY3Rpdmlk
YWQgRmlzaWNhLCBlbCBEZXBvcnRlIHkgbGEgU2FsdWQsIEZhY3VsdGFkIGRlIENpZW5jaWFzIE1l
ZGljYXMsIFVuaXZlcnNpZGFkIGRlIFNhbnRpYWdvIGRlIENoaWxlLCBVU0FDSCwgU2FudGlhZ28s
IENoaWxlLiYjeEQ7VW5pdmVyc2lkYWQgZGUgQ2FzdGlsbGEtTGEgTWFuY2hhLCBTb2NpYWwgYW5k
IEhlYWx0aCBDYXJlIFJlc2VhcmNoIENlbnRyZSwgQ3VlbmNhLCBTcGFpbi4mI3hEO1VuaXZlcnNp
ZGFkIGRlIENhc3RpbGxhLUxhIE1hbmNoYSwgU2Nob29sIG9mIEVkdWNhdGlvbiwgQ2l1ZGFkIFJl
YWwsIFNwYWluLjwvYXV0aC1hZGRyZXNzPjx0aXRsZXM+PHRpdGxlPkVmZmVjdGl2ZW5lc3Mgb2Yg
cGh5c2ljYWwgYWN0aXZpdHkgaW50ZXJ2ZW50aW9ucyBvbiBwcmV2ZW50aW5nIGdlc3RhdGlvbmFs
IGRpYWJldGVzIG1lbGxpdHVzIGFuZCBleGNlc3NpdmUgbWF0ZXJuYWwgd2VpZ2h0IGdhaW46IGEg
bWV0YS1hbmFseXNpczwvdGl0bGU+PHNlY29uZGFyeS10aXRsZT5CSk9HPC9zZWNvbmRhcnktdGl0
bGU+PC90aXRsZXM+PHBlcmlvZGljYWw+PGZ1bGwtdGl0bGU+QkpPRzwvZnVsbC10aXRsZT48L3Bl
cmlvZGljYWw+PHBhZ2VzPjExNjctNzQ8L3BhZ2VzPjx2b2x1bWU+MTIyPC92b2x1bWU+PG51bWJl
cj45PC9udW1iZXI+PGVkaXRpb24+MjAxNS8wNi8wNDwvZWRpdGlvbj48a2V5d29yZHM+PGtleXdv
cmQ+QWR1bHQ8L2tleXdvcmQ+PGtleXdvcmQ+RGlhYmV0ZXMsIEdlc3RhdGlvbmFsLypwcmV2ZW50
aW9uICZhbXA7IGNvbnRyb2w8L2tleXdvcmQ+PGtleXdvcmQ+RXZpZGVuY2UtQmFzZWQgUHJhY3Rp
Y2U8L2tleXdvcmQ+PGtleXdvcmQ+KkV4ZXJjaXNlPC9rZXl3b3JkPjxrZXl3b3JkPkZlbWFsZTwv
a2V5d29yZD48a2V5d29yZD5IdW1hbnM8L2tleXdvcmQ+PGtleXdvcmQ+UHJlZ25hbmN5PC9rZXl3
b3JkPjxrZXl3b3JkPlByZXZlbnRpdmUgTWVkaWNpbmUvbWV0aG9kczwva2V5d29yZD48a2V5d29y
ZD5SYW5kb21pemVkIENvbnRyb2xsZWQgVHJpYWxzIGFzIFRvcGljPC9rZXl3b3JkPjxrZXl3b3Jk
PlRyZWF0bWVudCBPdXRjb21lPC9rZXl3b3JkPjxrZXl3b3JkPipXZWlnaHQgR2Fpbjwva2V5d29y
ZD48a2V5d29yZD5FeGVyY2lzZTwva2V5d29yZD48a2V5d29yZD5nZXN0YXRpb25hbCBkaWFiZXRl
cyBtZWxsaXR1czwva2V5d29yZD48a2V5d29yZD5tYXRlcm5hbCB3ZWlnaHQgZ2Fpbjwva2V5d29y
ZD48a2V5d29yZD5waHlzaWNhbCBhY3Rpdml0eTwva2V5d29yZD48L2tleXdvcmRzPjxkYXRlcz48
eWVhcj4yMDE1PC95ZWFyPjxwdWItZGF0ZXM+PGRhdGU+QXVnPC9kYXRlPjwvcHViLWRhdGVzPjwv
ZGF0ZXM+PGlzYm4+MTQ3MS0wNTI4IChFbGVjdHJvbmljKSYjeEQ7MTQ3MC0wMzI4IChMaW5raW5n
KTwvaXNibj48YWNjZXNzaW9uLW51bT4yNjAzNjMwMDwvYWNjZXNzaW9uLW51bT48dXJscz48cmVs
YXRlZC11cmxzPjx1cmw+aHR0cHM6Ly93d3cubmNiaS5ubG0ubmloLmdvdi9wdWJtZWQvMjYwMzYz
MDA8L3VybD48L3JlbGF0ZWQtdXJscz48L3VybHM+PGVsZWN0cm9uaWMtcmVzb3VyY2UtbnVtPjEw
LjExMTEvMTQ3MS0wNTI4LjEzNDI5PC9lbGVjdHJvbmljLXJlc291cmNlLW51bT48L3JlY29yZD48
L0NpdGU+PC9FbmROb3RlPgB=
</w:fldData>
              </w:fldChar>
            </w:r>
            <w:r w:rsidR="002747EA">
              <w:instrText xml:space="preserve"> ADDIN EN.CITE </w:instrText>
            </w:r>
            <w:r w:rsidR="002747EA">
              <w:fldChar w:fldCharType="begin">
                <w:fldData xml:space="preserve">PEVuZE5vdGU+PENpdGU+PEF1dGhvcj5TYW5hYnJpYS1NYXJ0aW5lejwvQXV0aG9yPjxZZWFyPjIw
MTU8L1llYXI+PFJlY051bT4xMTg1PC9SZWNOdW0+PERpc3BsYXlUZXh0PjxzdHlsZSBmYWNlPSJz
dXBlcnNjcmlwdCIgZm9udD0iVHJlYnVjaGV0IE1TIiBzaXplPSI5Ij40NTg8L3N0eWxlPjwvRGlz
cGxheVRleHQ+PHJlY29yZD48cmVjLW51bWJlcj4xMTg1PC9yZWMtbnVtYmVyPjxmb3JlaWduLWtl
eXM+PGtleSBhcHA9IkVOIiBkYi1pZD0iZXh2YXNyZngyZHRyYW9lc2FzeHAyc3pzeGEyZGY1MDI1
OTJ4IiB0aW1lc3RhbXA9IjE1NTkwMDc3NjYiPjExODU8L2tleT48L2ZvcmVpZ24ta2V5cz48cmVm
LXR5cGUgbmFtZT0iSm91cm5hbCBBcnRpY2xlIj4xNzwvcmVmLXR5cGU+PGNvbnRyaWJ1dG9ycz48
YXV0aG9ycz48YXV0aG9yPlNhbmFicmlhLU1hcnRpbmV6LCBHLjwvYXV0aG9yPjxhdXRob3I+R2Fy
Y2lhLUhlcm1vc28sIEEuPC9hdXRob3I+PGF1dGhvcj5Qb3lhdG9zLUxlb24sIFIuPC9hdXRob3I+
PGF1dGhvcj5BbHZhcmV6LUJ1ZW5vLCBDLjwvYXV0aG9yPjxhdXRob3I+U2FuY2hlei1Mb3Bleiwg
TS48L2F1dGhvcj48YXV0aG9yPk1hcnRpbmV6LVZpemNhaW5vLCBWLjwvYXV0aG9yPjwvYXV0aG9y
cz48L2NvbnRyaWJ1dG9ycz48YXV0aC1hZGRyZXNzPlZpcmdlbiBkZSBsYSBMdXogSG9zcGl0YWws
IEN1ZW5jYSwgU3BhaW4uJiN4RDtMYWJvcmF0b3JpbyBkZSBDaWVuY2lhcyBkZSBsYSBBY3Rpdmlk
YWQgRmlzaWNhLCBlbCBEZXBvcnRlIHkgbGEgU2FsdWQsIEZhY3VsdGFkIGRlIENpZW5jaWFzIE1l
ZGljYXMsIFVuaXZlcnNpZGFkIGRlIFNhbnRpYWdvIGRlIENoaWxlLCBVU0FDSCwgU2FudGlhZ28s
IENoaWxlLiYjeEQ7VW5pdmVyc2lkYWQgZGUgQ2FzdGlsbGEtTGEgTWFuY2hhLCBTb2NpYWwgYW5k
IEhlYWx0aCBDYXJlIFJlc2VhcmNoIENlbnRyZSwgQ3VlbmNhLCBTcGFpbi4mI3hEO1VuaXZlcnNp
ZGFkIGRlIENhc3RpbGxhLUxhIE1hbmNoYSwgU2Nob29sIG9mIEVkdWNhdGlvbiwgQ2l1ZGFkIFJl
YWwsIFNwYWluLjwvYXV0aC1hZGRyZXNzPjx0aXRsZXM+PHRpdGxlPkVmZmVjdGl2ZW5lc3Mgb2Yg
cGh5c2ljYWwgYWN0aXZpdHkgaW50ZXJ2ZW50aW9ucyBvbiBwcmV2ZW50aW5nIGdlc3RhdGlvbmFs
IGRpYWJldGVzIG1lbGxpdHVzIGFuZCBleGNlc3NpdmUgbWF0ZXJuYWwgd2VpZ2h0IGdhaW46IGEg
bWV0YS1hbmFseXNpczwvdGl0bGU+PHNlY29uZGFyeS10aXRsZT5CSk9HPC9zZWNvbmRhcnktdGl0
bGU+PC90aXRsZXM+PHBlcmlvZGljYWw+PGZ1bGwtdGl0bGU+QkpPRzwvZnVsbC10aXRsZT48L3Bl
cmlvZGljYWw+PHBhZ2VzPjExNjctNzQ8L3BhZ2VzPjx2b2x1bWU+MTIyPC92b2x1bWU+PG51bWJl
cj45PC9udW1iZXI+PGVkaXRpb24+MjAxNS8wNi8wNDwvZWRpdGlvbj48a2V5d29yZHM+PGtleXdv
cmQ+QWR1bHQ8L2tleXdvcmQ+PGtleXdvcmQ+RGlhYmV0ZXMsIEdlc3RhdGlvbmFsLypwcmV2ZW50
aW9uICZhbXA7IGNvbnRyb2w8L2tleXdvcmQ+PGtleXdvcmQ+RXZpZGVuY2UtQmFzZWQgUHJhY3Rp
Y2U8L2tleXdvcmQ+PGtleXdvcmQ+KkV4ZXJjaXNlPC9rZXl3b3JkPjxrZXl3b3JkPkZlbWFsZTwv
a2V5d29yZD48a2V5d29yZD5IdW1hbnM8L2tleXdvcmQ+PGtleXdvcmQ+UHJlZ25hbmN5PC9rZXl3
b3JkPjxrZXl3b3JkPlByZXZlbnRpdmUgTWVkaWNpbmUvbWV0aG9kczwva2V5d29yZD48a2V5d29y
ZD5SYW5kb21pemVkIENvbnRyb2xsZWQgVHJpYWxzIGFzIFRvcGljPC9rZXl3b3JkPjxrZXl3b3Jk
PlRyZWF0bWVudCBPdXRjb21lPC9rZXl3b3JkPjxrZXl3b3JkPipXZWlnaHQgR2Fpbjwva2V5d29y
ZD48a2V5d29yZD5FeGVyY2lzZTwva2V5d29yZD48a2V5d29yZD5nZXN0YXRpb25hbCBkaWFiZXRl
cyBtZWxsaXR1czwva2V5d29yZD48a2V5d29yZD5tYXRlcm5hbCB3ZWlnaHQgZ2Fpbjwva2V5d29y
ZD48a2V5d29yZD5waHlzaWNhbCBhY3Rpdml0eTwva2V5d29yZD48L2tleXdvcmRzPjxkYXRlcz48
eWVhcj4yMDE1PC95ZWFyPjxwdWItZGF0ZXM+PGRhdGU+QXVnPC9kYXRlPjwvcHViLWRhdGVzPjwv
ZGF0ZXM+PGlzYm4+MTQ3MS0wNTI4IChFbGVjdHJvbmljKSYjeEQ7MTQ3MC0wMzI4IChMaW5raW5n
KTwvaXNibj48YWNjZXNzaW9uLW51bT4yNjAzNjMwMDwvYWNjZXNzaW9uLW51bT48dXJscz48cmVs
YXRlZC11cmxzPjx1cmw+aHR0cHM6Ly93d3cubmNiaS5ubG0ubmloLmdvdi9wdWJtZWQvMjYwMzYz
MDA8L3VybD48L3JlbGF0ZWQtdXJscz48L3VybHM+PGVsZWN0cm9uaWMtcmVzb3VyY2UtbnVtPjEw
LjExMTEvMTQ3MS0wNTI4LjEzNDI5PC9lbGVjdHJvbmljLXJlc291cmNlLW51bT48L3JlY29yZD48
L0NpdGU+PC9FbmROb3RlPgB=
</w:fldData>
              </w:fldChar>
            </w:r>
            <w:r w:rsidR="002747EA">
              <w:instrText xml:space="preserve"> ADDIN EN.CITE.DATA </w:instrText>
            </w:r>
            <w:r w:rsidR="002747EA">
              <w:fldChar w:fldCharType="end"/>
            </w:r>
            <w:r>
              <w:fldChar w:fldCharType="separate"/>
            </w:r>
            <w:r w:rsidR="002747EA" w:rsidRPr="002747EA">
              <w:rPr>
                <w:noProof/>
                <w:sz w:val="18"/>
                <w:vertAlign w:val="superscript"/>
              </w:rPr>
              <w:t>458</w:t>
            </w:r>
            <w:r>
              <w:fldChar w:fldCharType="end"/>
            </w:r>
          </w:p>
        </w:tc>
        <w:tc>
          <w:tcPr>
            <w:tcW w:w="2547" w:type="dxa"/>
            <w:shd w:val="clear" w:color="auto" w:fill="auto"/>
          </w:tcPr>
          <w:p w14:paraId="038F18EE" w14:textId="77777777" w:rsidR="00A5540F" w:rsidRDefault="00A5540F" w:rsidP="00A5540F">
            <w:pPr>
              <w:pStyle w:val="RCTstable"/>
            </w:pPr>
            <w:r>
              <w:t>Mixed BMIs</w:t>
            </w:r>
          </w:p>
        </w:tc>
        <w:tc>
          <w:tcPr>
            <w:tcW w:w="2982" w:type="dxa"/>
            <w:shd w:val="clear" w:color="auto" w:fill="auto"/>
          </w:tcPr>
          <w:p w14:paraId="23BC278C" w14:textId="77777777" w:rsidR="00A5540F" w:rsidRDefault="00A5540F" w:rsidP="00A5540F">
            <w:pPr>
              <w:pStyle w:val="RCTstable"/>
              <w:jc w:val="center"/>
            </w:pPr>
            <w:r>
              <w:t>RR 0.69 (0.52 to 0.91)</w:t>
            </w:r>
          </w:p>
        </w:tc>
        <w:tc>
          <w:tcPr>
            <w:tcW w:w="1134" w:type="dxa"/>
            <w:shd w:val="clear" w:color="auto" w:fill="auto"/>
          </w:tcPr>
          <w:p w14:paraId="0445EB79" w14:textId="77777777" w:rsidR="00A5540F" w:rsidRDefault="00A5540F" w:rsidP="00A5540F">
            <w:pPr>
              <w:pStyle w:val="RCTstable"/>
              <w:jc w:val="center"/>
            </w:pPr>
            <w:r>
              <w:t>8</w:t>
            </w:r>
          </w:p>
        </w:tc>
      </w:tr>
      <w:tr w:rsidR="00A5540F" w:rsidRPr="00B87066" w14:paraId="2286C706" w14:textId="77777777" w:rsidTr="00A5540F">
        <w:tc>
          <w:tcPr>
            <w:tcW w:w="2841" w:type="dxa"/>
            <w:shd w:val="clear" w:color="auto" w:fill="auto"/>
          </w:tcPr>
          <w:p w14:paraId="55DAC8F0" w14:textId="4F232B45" w:rsidR="00A5540F" w:rsidRDefault="00A5540F" w:rsidP="002747EA">
            <w:pPr>
              <w:pStyle w:val="RCTstable"/>
            </w:pPr>
            <w:r>
              <w:t>Zheng et al 2017</w:t>
            </w:r>
            <w:r>
              <w:fldChar w:fldCharType="begin"/>
            </w:r>
            <w:r w:rsidR="002747EA">
              <w:instrText xml:space="preserve"> ADDIN EN.CITE &lt;EndNote&gt;&lt;Cite&gt;&lt;Author&gt;Zheng&lt;/Author&gt;&lt;Year&gt;2017&lt;/Year&gt;&lt;RecNum&gt;1186&lt;/RecNum&gt;&lt;DisplayText&gt;&lt;style face="superscript" font="Trebuchet MS" size="9"&gt;469&lt;/style&gt;&lt;/DisplayText&gt;&lt;record&gt;&lt;rec-number&gt;1186&lt;/rec-number&gt;&lt;foreign-keys&gt;&lt;key app="EN" db-id="exvasrfx2dtraoesasxp2szsxa2df502592x" timestamp="1559007913"&gt;1186&lt;/key&gt;&lt;key app="ENWeb" db-id=""&gt;0&lt;/key&gt;&lt;/foreign-keys&gt;&lt;ref-type name="Journal Article"&gt;17&lt;/ref-type&gt;&lt;contributors&gt;&lt;authors&gt;&lt;author&gt;Zheng, J.&lt;/author&gt;&lt;author&gt;Wang,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number&gt;10&lt;/number&gt;&lt;section&gt;1027&lt;/section&gt;&lt;dates&gt;&lt;year&gt;2017&lt;/year&gt;&lt;/dates&gt;&lt;isbn&gt;1720-8386&lt;/isbn&gt;&lt;urls&gt;&lt;/urls&gt;&lt;electronic-resource-num&gt;10.1007/s40618-017-0673-3&lt;/electronic-resource-num&gt;&lt;/record&gt;&lt;/Cite&gt;&lt;/EndNote&gt;</w:instrText>
            </w:r>
            <w:r>
              <w:fldChar w:fldCharType="separate"/>
            </w:r>
            <w:r w:rsidR="002747EA" w:rsidRPr="002747EA">
              <w:rPr>
                <w:noProof/>
                <w:sz w:val="18"/>
                <w:vertAlign w:val="superscript"/>
              </w:rPr>
              <w:t>469</w:t>
            </w:r>
            <w:r>
              <w:fldChar w:fldCharType="end"/>
            </w:r>
          </w:p>
        </w:tc>
        <w:tc>
          <w:tcPr>
            <w:tcW w:w="2547" w:type="dxa"/>
            <w:shd w:val="clear" w:color="auto" w:fill="auto"/>
          </w:tcPr>
          <w:p w14:paraId="455B7B59" w14:textId="77777777" w:rsidR="00A5540F" w:rsidRDefault="00A5540F" w:rsidP="00A5540F">
            <w:pPr>
              <w:pStyle w:val="RCTstable"/>
            </w:pPr>
            <w:r>
              <w:t>Mixed BMIs</w:t>
            </w:r>
          </w:p>
        </w:tc>
        <w:tc>
          <w:tcPr>
            <w:tcW w:w="2982" w:type="dxa"/>
            <w:shd w:val="clear" w:color="auto" w:fill="auto"/>
          </w:tcPr>
          <w:p w14:paraId="6197EF34" w14:textId="77777777" w:rsidR="00A5540F" w:rsidRDefault="00A5540F" w:rsidP="00A5540F">
            <w:pPr>
              <w:pStyle w:val="RCTstable"/>
              <w:jc w:val="center"/>
            </w:pPr>
            <w:r>
              <w:t>OR 0.62 (0.43 to 0.89)</w:t>
            </w:r>
          </w:p>
        </w:tc>
        <w:tc>
          <w:tcPr>
            <w:tcW w:w="1134" w:type="dxa"/>
            <w:shd w:val="clear" w:color="auto" w:fill="auto"/>
          </w:tcPr>
          <w:p w14:paraId="1CC090FC" w14:textId="77777777" w:rsidR="00A5540F" w:rsidRDefault="00A5540F" w:rsidP="00A5540F">
            <w:pPr>
              <w:pStyle w:val="RCTstable"/>
              <w:jc w:val="center"/>
            </w:pPr>
            <w:r>
              <w:t>4</w:t>
            </w:r>
          </w:p>
        </w:tc>
      </w:tr>
      <w:tr w:rsidR="00B8364C" w:rsidRPr="00B87066" w14:paraId="21101DBB" w14:textId="77777777" w:rsidTr="00A5540F">
        <w:tc>
          <w:tcPr>
            <w:tcW w:w="2841" w:type="dxa"/>
            <w:shd w:val="clear" w:color="auto" w:fill="auto"/>
          </w:tcPr>
          <w:p w14:paraId="614746F6" w14:textId="1D73187E" w:rsidR="00B8364C" w:rsidRDefault="00B8364C" w:rsidP="002747EA">
            <w:pPr>
              <w:pStyle w:val="RCTstable"/>
            </w:pPr>
            <w:r>
              <w:t>Ming et al 2018</w:t>
            </w:r>
            <w:r w:rsidR="00D07346">
              <w:fldChar w:fldCharType="begin">
                <w:fldData xml:space="preserve">PEVuZE5vdGU+PENpdGU+PEF1dGhvcj5NaW5nPC9BdXRob3I+PFllYXI+MjAxODwvWWVhcj48UmVj
TnVtPjE5NDM8L1JlY051bT48RGlzcGxheVRleHQ+PHN0eWxlIGZhY2U9InN1cGVyc2NyaXB0IiBm
b250PSJUcmVidWNoZXQgTVMiIHNpemU9IjkiPjQ3MDwvc3R5bGU+PC9EaXNwbGF5VGV4dD48cmVj
b3JkPjxyZWMtbnVtYmVyPjE5NDM8L3JlYy1udW1iZXI+PGZvcmVpZ24ta2V5cz48a2V5IGFwcD0i
RU4iIGRiLWlkPSJleHZhc3JmeDJkdHJhb2VzYXN4cDJzenN4YTJkZjUwMjU5MngiIHRpbWVzdGFt
cD0iMTU4ODcyODQzNyI+MTk0Mzwva2V5PjxrZXkgYXBwPSJFTldlYiIgZGItaWQ9IiI+MDwva2V5
PjwvZm9yZWlnbi1rZXlzPjxyZWYtdHlwZSBuYW1lPSJKb3VybmFsIEFydGljbGUiPjE3PC9yZWYt
dHlwZT48Y29udHJpYnV0b3JzPjxhdXRob3JzPjxhdXRob3I+TWluZywgVy4gSy48L2F1dGhvcj48
YXV0aG9yPkRpbmcsIFcuPC9hdXRob3I+PGF1dGhvcj5aaGFuZywgQy4gSi4gUC48L2F1dGhvcj48
YXV0aG9yPlpob25nLCBMLjwvYXV0aG9yPjxhdXRob3I+TG9uZywgWS48L2F1dGhvcj48YXV0aG9y
PkxpLCBaLjwvYXV0aG9yPjxhdXRob3I+U3VuLCBDLjwvYXV0aG9yPjxhdXRob3I+V3UsIFkuPC9h
dXRob3I+PGF1dGhvcj5DaGVuLCBILjwvYXV0aG9yPjxhdXRob3I+Q2hlbiwgSC48L2F1dGhvcj48
YXV0aG9yPldhbmcsIFouPC9hdXRob3I+PC9hdXRob3JzPjwvY29udHJpYnV0b3JzPjxhdXRoLWFk
ZHJlc3M+RGVwYXJ0bWVudCBvZiBPYnN0ZXRyaWNzIGFuZCBHeW5hZWNvbG9neSwgVGhlIEZpcnN0
IEFmZmlsaWF0ZWQgSG9zcGl0YWwgb2YgU3VuIFlhdC1zZW4gVW5pdmVyc2l0eSwgR3Vhbmd6aG91
LCBDaGluYS4mI3hEO0hhcnZhcmQgTWVkaWNhbCBTY2hvb2wsIEhhcnZhcmQgVW5pdmVyc2l0eSwg
Qm9zdG9uLCBNQSwgVVNBLiYjeEQ7RGl2aXNpb24gb2YgUGhhcm1hY29lcGlkZW1pb2xvZ3kgYW5k
IFBoYXJtYWNvZWNvbm9taWNzLCBCcmlnaGFtIGFuZCBXb21lbiZhcG9zO3MgSG9zcGl0YWwsIEJv
c3RvbiwgTUEsIFVTQS4mI3hEO1NjaG9vbCBvZiBQdWJsaWMgSGVhbHRoLCBUaGUgVW5pdmVyc2l0
eSBvZiBIb25nIEtvbmcsIEhvbmcgS29uZywgQ2hpbmEuJiN4RDtEZXBhcnRtZW50IG9mIE9ic3Rl
dHJpY3MgYW5kIEd5bmFlY29sb2d5LCBUaGUgRmlyc3QgQWZmaWxpYXRlZCBIb3NwaXRhbCBvZiBT
dW4gWWF0LXNlbiBVbml2ZXJzaXR5LCBHdWFuZ3pob3UsIENoaW5hLiB3YW5nemlsQG1haWwuc3lz
dS5lZHUuY24uPC9hdXRoLWFkZHJlc3M+PHRpdGxlcz48dGl0bGU+VGhlIGVmZmVjdCBvZiBleGVy
Y2lzZSBkdXJpbmcgcHJlZ25hbmN5IG9uIGdlc3RhdGlvbmFsIGRpYWJldGVzIG1lbGxpdHVzIGlu
IG5vcm1hbC13ZWlnaHQgd29tZW46IGEgc3lzdGVtYXRpYyByZXZpZXcgYW5kIG1ldGEtYW5hbHlz
aXM8L3RpdGxlPjxzZWNvbmRhcnktdGl0bGU+Qk1DIFByZWduYW5jeSBDaGlsZGJpcnRoPC9zZWNv
bmRhcnktdGl0bGU+PC90aXRsZXM+PHBlcmlvZGljYWw+PGZ1bGwtdGl0bGU+Qk1DIFByZWduYW5j
eSBDaGlsZGJpcnRoPC9mdWxsLXRpdGxlPjwvcGVyaW9kaWNhbD48cGFnZXM+NDQwPC9wYWdlcz48
dm9sdW1lPjE4PC92b2x1bWU+PG51bWJlcj4xPC9udW1iZXI+PGVkaXRpb24+MjAxOC8xMS8xNDwv
ZWRpdGlvbj48a2V5d29yZHM+PGtleXdvcmQ+QmlydGggV2VpZ2h0PC9rZXl3b3JkPjxrZXl3b3Jk
PkNlc2FyZWFuIFNlY3Rpb24vc3RhdGlzdGljcyAmYW1wOyBudW1lcmljYWwgZGF0YTwva2V5d29y
ZD48a2V5d29yZD5EaWFiZXRlcywgR2VzdGF0aW9uYWwvKmVwaWRlbWlvbG9neS8qZXRpb2xvZ3k8
L2tleXdvcmQ+PGtleXdvcmQ+RXhlcmNpc2UvKnBoeXNpb2xvZ3k8L2tleXdvcmQ+PGtleXdvcmQ+
RmVtYWxlPC9rZXl3b3JkPjxrZXl3b3JkPkdlc3RhdGlvbmFsIEFnZTwva2V5d29yZD48a2V5d29y
ZD5HZXN0YXRpb25hbCBXZWlnaHQgR2Fpbi8qcGh5c2lvbG9neTwva2V5d29yZD48a2V5d29yZD5I
dW1hbnM8L2tleXdvcmQ+PGtleXdvcmQ+SWRlYWwgQm9keSBXZWlnaHQvKnBoeXNpb2xvZ3k8L2tl
eXdvcmQ+PGtleXdvcmQ+SW5mYW50LCBOZXdib3JuPC9rZXl3b3JkPjxrZXl3b3JkPk9kZHMgUmF0
aW88L2tleXdvcmQ+PGtleXdvcmQ+UHJlZ25hbmN5PC9rZXl3b3JkPjxrZXl3b3JkPkV4ZXJjaXNl
PC9rZXl3b3JkPjxrZXl3b3JkPkdlc3RhdGlvbmFsIGRpYWJldGVzIG1lbGxpdHVzPC9rZXl3b3Jk
PjxrZXl3b3JkPk1ldGEtYW5hbHlzaXM8L2tleXdvcmQ+PGtleXdvcmQ+U3lzdGVtYXRpYyByZXZp
ZXc8L2tleXdvcmQ+PC9rZXl3b3Jkcz48ZGF0ZXM+PHllYXI+MjAxODwveWVhcj48cHViLWRhdGVz
PjxkYXRlPk5vdiAxMjwvZGF0ZT48L3B1Yi1kYXRlcz48L2RhdGVzPjxpc2JuPjE0NzEtMjM5MyAo
RWxlY3Ryb25pYykmI3hEOzE0NzEtMjM5MyAoTGlua2luZyk8L2lzYm4+PGFjY2Vzc2lvbi1udW0+
MzA0MTk4NDg8L2FjY2Vzc2lvbi1udW0+PHVybHM+PHJlbGF0ZWQtdXJscz48dXJsPmh0dHBzOi8v
d3d3Lm5jYmkubmxtLm5paC5nb3YvcHVibWVkLzMwNDE5ODQ4PC91cmw+PC9yZWxhdGVkLXVybHM+
PC91cmxzPjxjdXN0b20yPlBNQzYyMzMzNzI8L2N1c3RvbTI+PGVsZWN0cm9uaWMtcmVzb3VyY2Ut
bnVtPjEwLjExODYvczEyODg0LTAxOC0yMDY4LTc8L2VsZWN0cm9uaWMtcmVzb3VyY2UtbnVtPjwv
cmVjb3JkPjwvQ2l0ZT48L0VuZE5vdGU+AG==
</w:fldData>
              </w:fldChar>
            </w:r>
            <w:r w:rsidR="002747EA">
              <w:instrText xml:space="preserve"> ADDIN EN.CITE </w:instrText>
            </w:r>
            <w:r w:rsidR="002747EA">
              <w:fldChar w:fldCharType="begin">
                <w:fldData xml:space="preserve">PEVuZE5vdGU+PENpdGU+PEF1dGhvcj5NaW5nPC9BdXRob3I+PFllYXI+MjAxODwvWWVhcj48UmVj
TnVtPjE5NDM8L1JlY051bT48RGlzcGxheVRleHQ+PHN0eWxlIGZhY2U9InN1cGVyc2NyaXB0IiBm
b250PSJUcmVidWNoZXQgTVMiIHNpemU9IjkiPjQ3MDwvc3R5bGU+PC9EaXNwbGF5VGV4dD48cmVj
b3JkPjxyZWMtbnVtYmVyPjE5NDM8L3JlYy1udW1iZXI+PGZvcmVpZ24ta2V5cz48a2V5IGFwcD0i
RU4iIGRiLWlkPSJleHZhc3JmeDJkdHJhb2VzYXN4cDJzenN4YTJkZjUwMjU5MngiIHRpbWVzdGFt
cD0iMTU4ODcyODQzNyI+MTk0Mzwva2V5PjxrZXkgYXBwPSJFTldlYiIgZGItaWQ9IiI+MDwva2V5
PjwvZm9yZWlnbi1rZXlzPjxyZWYtdHlwZSBuYW1lPSJKb3VybmFsIEFydGljbGUiPjE3PC9yZWYt
dHlwZT48Y29udHJpYnV0b3JzPjxhdXRob3JzPjxhdXRob3I+TWluZywgVy4gSy48L2F1dGhvcj48
YXV0aG9yPkRpbmcsIFcuPC9hdXRob3I+PGF1dGhvcj5aaGFuZywgQy4gSi4gUC48L2F1dGhvcj48
YXV0aG9yPlpob25nLCBMLjwvYXV0aG9yPjxhdXRob3I+TG9uZywgWS48L2F1dGhvcj48YXV0aG9y
PkxpLCBaLjwvYXV0aG9yPjxhdXRob3I+U3VuLCBDLjwvYXV0aG9yPjxhdXRob3I+V3UsIFkuPC9h
dXRob3I+PGF1dGhvcj5DaGVuLCBILjwvYXV0aG9yPjxhdXRob3I+Q2hlbiwgSC48L2F1dGhvcj48
YXV0aG9yPldhbmcsIFouPC9hdXRob3I+PC9hdXRob3JzPjwvY29udHJpYnV0b3JzPjxhdXRoLWFk
ZHJlc3M+RGVwYXJ0bWVudCBvZiBPYnN0ZXRyaWNzIGFuZCBHeW5hZWNvbG9neSwgVGhlIEZpcnN0
IEFmZmlsaWF0ZWQgSG9zcGl0YWwgb2YgU3VuIFlhdC1zZW4gVW5pdmVyc2l0eSwgR3Vhbmd6aG91
LCBDaGluYS4mI3hEO0hhcnZhcmQgTWVkaWNhbCBTY2hvb2wsIEhhcnZhcmQgVW5pdmVyc2l0eSwg
Qm9zdG9uLCBNQSwgVVNBLiYjeEQ7RGl2aXNpb24gb2YgUGhhcm1hY29lcGlkZW1pb2xvZ3kgYW5k
IFBoYXJtYWNvZWNvbm9taWNzLCBCcmlnaGFtIGFuZCBXb21lbiZhcG9zO3MgSG9zcGl0YWwsIEJv
c3RvbiwgTUEsIFVTQS4mI3hEO1NjaG9vbCBvZiBQdWJsaWMgSGVhbHRoLCBUaGUgVW5pdmVyc2l0
eSBvZiBIb25nIEtvbmcsIEhvbmcgS29uZywgQ2hpbmEuJiN4RDtEZXBhcnRtZW50IG9mIE9ic3Rl
dHJpY3MgYW5kIEd5bmFlY29sb2d5LCBUaGUgRmlyc3QgQWZmaWxpYXRlZCBIb3NwaXRhbCBvZiBT
dW4gWWF0LXNlbiBVbml2ZXJzaXR5LCBHdWFuZ3pob3UsIENoaW5hLiB3YW5nemlsQG1haWwuc3lz
dS5lZHUuY24uPC9hdXRoLWFkZHJlc3M+PHRpdGxlcz48dGl0bGU+VGhlIGVmZmVjdCBvZiBleGVy
Y2lzZSBkdXJpbmcgcHJlZ25hbmN5IG9uIGdlc3RhdGlvbmFsIGRpYWJldGVzIG1lbGxpdHVzIGlu
IG5vcm1hbC13ZWlnaHQgd29tZW46IGEgc3lzdGVtYXRpYyByZXZpZXcgYW5kIG1ldGEtYW5hbHlz
aXM8L3RpdGxlPjxzZWNvbmRhcnktdGl0bGU+Qk1DIFByZWduYW5jeSBDaGlsZGJpcnRoPC9zZWNv
bmRhcnktdGl0bGU+PC90aXRsZXM+PHBlcmlvZGljYWw+PGZ1bGwtdGl0bGU+Qk1DIFByZWduYW5j
eSBDaGlsZGJpcnRoPC9mdWxsLXRpdGxlPjwvcGVyaW9kaWNhbD48cGFnZXM+NDQwPC9wYWdlcz48
dm9sdW1lPjE4PC92b2x1bWU+PG51bWJlcj4xPC9udW1iZXI+PGVkaXRpb24+MjAxOC8xMS8xNDwv
ZWRpdGlvbj48a2V5d29yZHM+PGtleXdvcmQ+QmlydGggV2VpZ2h0PC9rZXl3b3JkPjxrZXl3b3Jk
PkNlc2FyZWFuIFNlY3Rpb24vc3RhdGlzdGljcyAmYW1wOyBudW1lcmljYWwgZGF0YTwva2V5d29y
ZD48a2V5d29yZD5EaWFiZXRlcywgR2VzdGF0aW9uYWwvKmVwaWRlbWlvbG9neS8qZXRpb2xvZ3k8
L2tleXdvcmQ+PGtleXdvcmQ+RXhlcmNpc2UvKnBoeXNpb2xvZ3k8L2tleXdvcmQ+PGtleXdvcmQ+
RmVtYWxlPC9rZXl3b3JkPjxrZXl3b3JkPkdlc3RhdGlvbmFsIEFnZTwva2V5d29yZD48a2V5d29y
ZD5HZXN0YXRpb25hbCBXZWlnaHQgR2Fpbi8qcGh5c2lvbG9neTwva2V5d29yZD48a2V5d29yZD5I
dW1hbnM8L2tleXdvcmQ+PGtleXdvcmQ+SWRlYWwgQm9keSBXZWlnaHQvKnBoeXNpb2xvZ3k8L2tl
eXdvcmQ+PGtleXdvcmQ+SW5mYW50LCBOZXdib3JuPC9rZXl3b3JkPjxrZXl3b3JkPk9kZHMgUmF0
aW88L2tleXdvcmQ+PGtleXdvcmQ+UHJlZ25hbmN5PC9rZXl3b3JkPjxrZXl3b3JkPkV4ZXJjaXNl
PC9rZXl3b3JkPjxrZXl3b3JkPkdlc3RhdGlvbmFsIGRpYWJldGVzIG1lbGxpdHVzPC9rZXl3b3Jk
PjxrZXl3b3JkPk1ldGEtYW5hbHlzaXM8L2tleXdvcmQ+PGtleXdvcmQ+U3lzdGVtYXRpYyByZXZp
ZXc8L2tleXdvcmQ+PC9rZXl3b3Jkcz48ZGF0ZXM+PHllYXI+MjAxODwveWVhcj48cHViLWRhdGVz
PjxkYXRlPk5vdiAxMjwvZGF0ZT48L3B1Yi1kYXRlcz48L2RhdGVzPjxpc2JuPjE0NzEtMjM5MyAo
RWxlY3Ryb25pYykmI3hEOzE0NzEtMjM5MyAoTGlua2luZyk8L2lzYm4+PGFjY2Vzc2lvbi1udW0+
MzA0MTk4NDg8L2FjY2Vzc2lvbi1udW0+PHVybHM+PHJlbGF0ZWQtdXJscz48dXJsPmh0dHBzOi8v
d3d3Lm5jYmkubmxtLm5paC5nb3YvcHVibWVkLzMwNDE5ODQ4PC91cmw+PC9yZWxhdGVkLXVybHM+
PC91cmxzPjxjdXN0b20yPlBNQzYyMzMzNzI8L2N1c3RvbTI+PGVsZWN0cm9uaWMtcmVzb3VyY2Ut
bnVtPjEwLjExODYvczEyODg0LTAxOC0yMDY4LTc8L2VsZWN0cm9uaWMtcmVzb3VyY2UtbnVtPjwv
cmVjb3JkPjwvQ2l0ZT48L0VuZE5vdGU+AG==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470</w:t>
            </w:r>
            <w:r w:rsidR="00D07346">
              <w:fldChar w:fldCharType="end"/>
            </w:r>
          </w:p>
        </w:tc>
        <w:tc>
          <w:tcPr>
            <w:tcW w:w="2547" w:type="dxa"/>
            <w:shd w:val="clear" w:color="auto" w:fill="auto"/>
          </w:tcPr>
          <w:p w14:paraId="067A42CF" w14:textId="05893770" w:rsidR="00B8364C" w:rsidRDefault="00B8364C" w:rsidP="00A5540F">
            <w:pPr>
              <w:pStyle w:val="RCTstable"/>
            </w:pPr>
            <w:r>
              <w:t>Healthy weight</w:t>
            </w:r>
          </w:p>
        </w:tc>
        <w:tc>
          <w:tcPr>
            <w:tcW w:w="2982" w:type="dxa"/>
            <w:shd w:val="clear" w:color="auto" w:fill="auto"/>
          </w:tcPr>
          <w:p w14:paraId="1B61A0D8" w14:textId="05769137" w:rsidR="00B8364C" w:rsidRDefault="00B8364C" w:rsidP="00A5540F">
            <w:pPr>
              <w:pStyle w:val="RCTstable"/>
              <w:jc w:val="center"/>
            </w:pPr>
            <w:r>
              <w:t>RR 0.58 (0.37 to 0.90)</w:t>
            </w:r>
          </w:p>
        </w:tc>
        <w:tc>
          <w:tcPr>
            <w:tcW w:w="1134" w:type="dxa"/>
            <w:shd w:val="clear" w:color="auto" w:fill="auto"/>
          </w:tcPr>
          <w:p w14:paraId="0B64474D" w14:textId="30ADA68D" w:rsidR="00B8364C" w:rsidRDefault="00B8364C" w:rsidP="00A5540F">
            <w:pPr>
              <w:pStyle w:val="RCTstable"/>
              <w:jc w:val="center"/>
            </w:pPr>
            <w:r>
              <w:t>8</w:t>
            </w:r>
          </w:p>
        </w:tc>
      </w:tr>
      <w:tr w:rsidR="00B100D2" w:rsidRPr="00B87066" w14:paraId="7F68461E" w14:textId="77777777" w:rsidTr="00A5540F">
        <w:tc>
          <w:tcPr>
            <w:tcW w:w="2841" w:type="dxa"/>
            <w:shd w:val="clear" w:color="auto" w:fill="auto"/>
          </w:tcPr>
          <w:p w14:paraId="6BAF24CB" w14:textId="2B585461" w:rsidR="00B100D2" w:rsidRDefault="00B100D2" w:rsidP="002747EA">
            <w:pPr>
              <w:pStyle w:val="RCTstable"/>
            </w:pPr>
            <w:r>
              <w:t>Nasiri-Amiri et al 2019</w:t>
            </w:r>
            <w:r w:rsidR="00D07346">
              <w:fldChar w:fldCharType="begin">
                <w:fldData xml:space="preserve">PEVuZE5vdGU+PENpdGU+PEF1dGhvcj5OYXNpcmktQW1pcmk8L0F1dGhvcj48WWVhcj4yMDE5PC9Z
ZWFyPjxSZWNOdW0+MTk0NjwvUmVjTnVtPjxEaXNwbGF5VGV4dD48c3R5bGUgZmFjZT0ic3VwZXJz
Y3JpcHQiIGZvbnQ9IlRyZWJ1Y2hldCBNUyIgc2l6ZT0iOSI+NDcxPC9zdHlsZT48L0Rpc3BsYXlU
ZXh0PjxyZWNvcmQ+PHJlYy1udW1iZXI+MTk0NjwvcmVjLW51bWJlcj48Zm9yZWlnbi1rZXlzPjxr
ZXkgYXBwPSJFTiIgZGItaWQ9ImV4dmFzcmZ4MmR0cmFvZXNhc3hwMnN6c3hhMmRmNTAyNTkyeCIg
dGltZXN0YW1wPSIxNTg4NzI4NDU0Ij4xOTQ2PC9rZXk+PGtleSBhcHA9IkVOV2ViIiBkYi1pZD0i
Ij4wPC9rZXk+PC9mb3JlaWduLWtleXM+PHJlZi10eXBlIG5hbWU9IkpvdXJuYWwgQXJ0aWNsZSI+
MTc8L3JlZi10eXBlPjxjb250cmlidXRvcnM+PGF1dGhvcnM+PGF1dGhvcj5OYXNpcmktQW1pcmks
IEYuPC9hdXRob3I+PGF1dGhvcj5TZXBpZGFya2lzaCwgTS48L2F1dGhvcj48YXV0aG9yPlNoaXJ2
YW5pLCBNLiBBLjwvYXV0aG9yPjxhdXRob3I+SGFiaWJpcG91ciwgUC48L2F1dGhvcj48YXV0aG9y
PlRhYmFyaSwgTi4gUy4gTS48L2F1dGhvcj48L2F1dGhvcnM+PC9jb250cmlidXRvcnM+PGF1dGgt
YWRkcmVzcz4xRmF0ZW1lIFphaHJhIEZlcnRpbGl0eSAmYW1wOyBJbmZlcnRpbGl0eSBSZXNlYXJj
aCBIZWFsdGggQ2VudGVyLCBIZWFsdGggUmVzZWFyY2ggSW5zdGl0dXRlLCBCYWJvbCBVbml2ZXJz
aXR5IG9mIE1lZGljYWwgU2NpZW5jZXMsIEJhYm9sLCBQLk8uQm94OiA0NzE3NjQ3NzQ1LCBJcmFu
LjAwMDAgMDAwNCAwNDIxIDQxMDJncmlkLjQxMTQ5NS5jJiN4RDsyRGVwYXJ0bWVudCBvZiBCaW9z
dGF0aXN0aWNzIGFuZCBFcGlkZW1pb2xvZ3ksIEJhYm9sIFVuaXZlcnNpdHkgb2YgTWVkaWNhbCBT
Y2llbmNlcywgR2FuamFmcm96ZSBTdHJlZXQsIEJhYm9sLCBQLk8uQm94OiA0NzE3NjQ3NzQ1LCBJ
cmFuLjAwMDAgMDAwNCAwNDIxIDQxMDJncmlkLjQxMTQ5NS5jJiN4RDszRGVwYXJ0bWVudCBvZiBN
aWR3aWZlcnksIFNjaG9vbCBvZiBOdXJzaW5nICZhbXA7IE1pZHdpZmVyeSwgTWF6YW5kYXJhbiBV
bml2ZXJzaXR5IG9mIE1lZGljYWwgU2NpZW5jZXMsIFZlc2FsIFN0cmVldCwgU2FyaSwgUC5PLkJv
eDogNDgxNjcxNTc5MywgSXJhbi4wMDAwIDAwMDEgMjIyNyAwOTIzZ3JpZC40MTE2MjMuMyYjeEQ7
SXNsYW1pYyBBemFkIFVuaXZlcnNpdHkgb2YgTWVkaWNhbCBTY2llbmNlIFNhcmkgQnJhbmNoLCBT
YXJpLCBQLk8uQm94OiAxOTQtNDgxNjQsIElyYW4uPC9hdXRoLWFkZHJlc3M+PHRpdGxlcz48dGl0
bGU+VGhlIGVmZmVjdCBvZiBleGVyY2lzZSBvbiB0aGUgcHJldmVudGlvbiBvZiBnZXN0YXRpb25h
bCBkaWFiZXRlcyBpbiBvYmVzZSBhbmQgb3ZlcndlaWdodCBwcmVnbmFudCB3b21lbjogYSBzeXN0
ZW1hdGljIHJldmlldyBhbmQgbWV0YS1hbmFseXNpczwvdGl0bGU+PHNlY29uZGFyeS10aXRsZT5E
aWFiZXRvbCBNZXRhYiBTeW5kcjwvc2Vjb25kYXJ5LXRpdGxlPjwvdGl0bGVzPjxwZXJpb2RpY2Fs
PjxmdWxsLXRpdGxlPkRpYWJldG9sIE1ldGFiIFN5bmRyPC9mdWxsLXRpdGxlPjwvcGVyaW9kaWNh
bD48cGFnZXM+NzI8L3BhZ2VzPjx2b2x1bWU+MTE8L3ZvbHVtZT48ZWRpdGlvbj4yMDE5LzA4LzMx
PC9lZGl0aW9uPjxrZXl3b3Jkcz48a2V5d29yZD5FeGVyY2lzZTwva2V5d29yZD48a2V5d29yZD5H
ZXN0YXRpb25hbCBkaWFiZXRlcyBtZWxsaXR1czwva2V5d29yZD48a2V5d29yZD5PYmVzZSBhbmQg
b3ZlcndlaWdodDwva2V5d29yZD48a2V5d29yZD5QcmVnbmFuY3k8L2tleXdvcmQ+PGtleXdvcmQ+
UHJldmVudGlvbjwva2V5d29yZD48L2tleXdvcmRzPjxkYXRlcz48eWVhcj4yMDE5PC95ZWFyPjwv
ZGF0ZXM+PGlzYm4+MTc1OC01OTk2IChQcmludCkmI3hEOzE3NTgtNTk5NiAoTGlua2luZyk8L2lz
Ym4+PGFjY2Vzc2lvbi1udW0+MzE0Njc1OTQ8L2FjY2Vzc2lvbi1udW0+PHVybHM+PHJlbGF0ZWQt
dXJscz48dXJsPmh0dHBzOi8vd3d3Lm5jYmkubmxtLm5paC5nb3YvcHVibWVkLzMxNDY3NTk0PC91
cmw+PC9yZWxhdGVkLXVybHM+PC91cmxzPjxjdXN0b20yPlBNQzY3MTI2NjE8L2N1c3RvbTI+PGVs
ZWN0cm9uaWMtcmVzb3VyY2UtbnVtPjEwLjExODYvczEzMDk4LTAxOS0wNDcwLTY8L2VsZWN0cm9u
aWMtcmVzb3VyY2UtbnVtPjwvcmVjb3JkPjwvQ2l0ZT48L0VuZE5vdGU+
</w:fldData>
              </w:fldChar>
            </w:r>
            <w:r w:rsidR="002747EA">
              <w:instrText xml:space="preserve"> ADDIN EN.CITE </w:instrText>
            </w:r>
            <w:r w:rsidR="002747EA">
              <w:fldChar w:fldCharType="begin">
                <w:fldData xml:space="preserve">PEVuZE5vdGU+PENpdGU+PEF1dGhvcj5OYXNpcmktQW1pcmk8L0F1dGhvcj48WWVhcj4yMDE5PC9Z
ZWFyPjxSZWNOdW0+MTk0NjwvUmVjTnVtPjxEaXNwbGF5VGV4dD48c3R5bGUgZmFjZT0ic3VwZXJz
Y3JpcHQiIGZvbnQ9IlRyZWJ1Y2hldCBNUyIgc2l6ZT0iOSI+NDcxPC9zdHlsZT48L0Rpc3BsYXlU
ZXh0PjxyZWNvcmQ+PHJlYy1udW1iZXI+MTk0NjwvcmVjLW51bWJlcj48Zm9yZWlnbi1rZXlzPjxr
ZXkgYXBwPSJFTiIgZGItaWQ9ImV4dmFzcmZ4MmR0cmFvZXNhc3hwMnN6c3hhMmRmNTAyNTkyeCIg
dGltZXN0YW1wPSIxNTg4NzI4NDU0Ij4xOTQ2PC9rZXk+PGtleSBhcHA9IkVOV2ViIiBkYi1pZD0i
Ij4wPC9rZXk+PC9mb3JlaWduLWtleXM+PHJlZi10eXBlIG5hbWU9IkpvdXJuYWwgQXJ0aWNsZSI+
MTc8L3JlZi10eXBlPjxjb250cmlidXRvcnM+PGF1dGhvcnM+PGF1dGhvcj5OYXNpcmktQW1pcmks
IEYuPC9hdXRob3I+PGF1dGhvcj5TZXBpZGFya2lzaCwgTS48L2F1dGhvcj48YXV0aG9yPlNoaXJ2
YW5pLCBNLiBBLjwvYXV0aG9yPjxhdXRob3I+SGFiaWJpcG91ciwgUC48L2F1dGhvcj48YXV0aG9y
PlRhYmFyaSwgTi4gUy4gTS48L2F1dGhvcj48L2F1dGhvcnM+PC9jb250cmlidXRvcnM+PGF1dGgt
YWRkcmVzcz4xRmF0ZW1lIFphaHJhIEZlcnRpbGl0eSAmYW1wOyBJbmZlcnRpbGl0eSBSZXNlYXJj
aCBIZWFsdGggQ2VudGVyLCBIZWFsdGggUmVzZWFyY2ggSW5zdGl0dXRlLCBCYWJvbCBVbml2ZXJz
aXR5IG9mIE1lZGljYWwgU2NpZW5jZXMsIEJhYm9sLCBQLk8uQm94OiA0NzE3NjQ3NzQ1LCBJcmFu
LjAwMDAgMDAwNCAwNDIxIDQxMDJncmlkLjQxMTQ5NS5jJiN4RDsyRGVwYXJ0bWVudCBvZiBCaW9z
dGF0aXN0aWNzIGFuZCBFcGlkZW1pb2xvZ3ksIEJhYm9sIFVuaXZlcnNpdHkgb2YgTWVkaWNhbCBT
Y2llbmNlcywgR2FuamFmcm96ZSBTdHJlZXQsIEJhYm9sLCBQLk8uQm94OiA0NzE3NjQ3NzQ1LCBJ
cmFuLjAwMDAgMDAwNCAwNDIxIDQxMDJncmlkLjQxMTQ5NS5jJiN4RDszRGVwYXJ0bWVudCBvZiBN
aWR3aWZlcnksIFNjaG9vbCBvZiBOdXJzaW5nICZhbXA7IE1pZHdpZmVyeSwgTWF6YW5kYXJhbiBV
bml2ZXJzaXR5IG9mIE1lZGljYWwgU2NpZW5jZXMsIFZlc2FsIFN0cmVldCwgU2FyaSwgUC5PLkJv
eDogNDgxNjcxNTc5MywgSXJhbi4wMDAwIDAwMDEgMjIyNyAwOTIzZ3JpZC40MTE2MjMuMyYjeEQ7
SXNsYW1pYyBBemFkIFVuaXZlcnNpdHkgb2YgTWVkaWNhbCBTY2llbmNlIFNhcmkgQnJhbmNoLCBT
YXJpLCBQLk8uQm94OiAxOTQtNDgxNjQsIElyYW4uPC9hdXRoLWFkZHJlc3M+PHRpdGxlcz48dGl0
bGU+VGhlIGVmZmVjdCBvZiBleGVyY2lzZSBvbiB0aGUgcHJldmVudGlvbiBvZiBnZXN0YXRpb25h
bCBkaWFiZXRlcyBpbiBvYmVzZSBhbmQgb3ZlcndlaWdodCBwcmVnbmFudCB3b21lbjogYSBzeXN0
ZW1hdGljIHJldmlldyBhbmQgbWV0YS1hbmFseXNpczwvdGl0bGU+PHNlY29uZGFyeS10aXRsZT5E
aWFiZXRvbCBNZXRhYiBTeW5kcjwvc2Vjb25kYXJ5LXRpdGxlPjwvdGl0bGVzPjxwZXJpb2RpY2Fs
PjxmdWxsLXRpdGxlPkRpYWJldG9sIE1ldGFiIFN5bmRyPC9mdWxsLXRpdGxlPjwvcGVyaW9kaWNh
bD48cGFnZXM+NzI8L3BhZ2VzPjx2b2x1bWU+MTE8L3ZvbHVtZT48ZWRpdGlvbj4yMDE5LzA4LzMx
PC9lZGl0aW9uPjxrZXl3b3Jkcz48a2V5d29yZD5FeGVyY2lzZTwva2V5d29yZD48a2V5d29yZD5H
ZXN0YXRpb25hbCBkaWFiZXRlcyBtZWxsaXR1czwva2V5d29yZD48a2V5d29yZD5PYmVzZSBhbmQg
b3ZlcndlaWdodDwva2V5d29yZD48a2V5d29yZD5QcmVnbmFuY3k8L2tleXdvcmQ+PGtleXdvcmQ+
UHJldmVudGlvbjwva2V5d29yZD48L2tleXdvcmRzPjxkYXRlcz48eWVhcj4yMDE5PC95ZWFyPjwv
ZGF0ZXM+PGlzYm4+MTc1OC01OTk2IChQcmludCkmI3hEOzE3NTgtNTk5NiAoTGlua2luZyk8L2lz
Ym4+PGFjY2Vzc2lvbi1udW0+MzE0Njc1OTQ8L2FjY2Vzc2lvbi1udW0+PHVybHM+PHJlbGF0ZWQt
dXJscz48dXJsPmh0dHBzOi8vd3d3Lm5jYmkubmxtLm5paC5nb3YvcHVibWVkLzMxNDY3NTk0PC91
cmw+PC9yZWxhdGVkLXVybHM+PC91cmxzPjxjdXN0b20yPlBNQzY3MTI2NjE8L2N1c3RvbTI+PGVs
ZWN0cm9uaWMtcmVzb3VyY2UtbnVtPjEwLjExODYvczEzMDk4LTAxOS0wNDcwLTY8L2VsZWN0cm9u
aWMtcmVzb3VyY2UtbnVtPjwvcmVjb3JkPjwvQ2l0ZT48L0VuZE5vdGU+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471</w:t>
            </w:r>
            <w:r w:rsidR="00D07346">
              <w:fldChar w:fldCharType="end"/>
            </w:r>
          </w:p>
        </w:tc>
        <w:tc>
          <w:tcPr>
            <w:tcW w:w="2547" w:type="dxa"/>
            <w:shd w:val="clear" w:color="auto" w:fill="auto"/>
          </w:tcPr>
          <w:p w14:paraId="39237768" w14:textId="321D0071" w:rsidR="00B100D2" w:rsidRDefault="00B100D2" w:rsidP="00A5540F">
            <w:pPr>
              <w:pStyle w:val="RCTstable"/>
            </w:pPr>
            <w:r>
              <w:t>Mixed BMIs</w:t>
            </w:r>
          </w:p>
        </w:tc>
        <w:tc>
          <w:tcPr>
            <w:tcW w:w="2982" w:type="dxa"/>
            <w:shd w:val="clear" w:color="auto" w:fill="auto"/>
          </w:tcPr>
          <w:p w14:paraId="20A8ADC5" w14:textId="1DA6CE96" w:rsidR="00B100D2" w:rsidRDefault="00B100D2" w:rsidP="00A5540F">
            <w:pPr>
              <w:pStyle w:val="RCTstable"/>
              <w:jc w:val="center"/>
            </w:pPr>
            <w:r>
              <w:t>RR 0.76 (0.56 to 1.03)</w:t>
            </w:r>
          </w:p>
        </w:tc>
        <w:tc>
          <w:tcPr>
            <w:tcW w:w="1134" w:type="dxa"/>
            <w:shd w:val="clear" w:color="auto" w:fill="auto"/>
          </w:tcPr>
          <w:p w14:paraId="021F2202" w14:textId="23501AAC" w:rsidR="00B100D2" w:rsidRDefault="00B100D2" w:rsidP="00A5540F">
            <w:pPr>
              <w:pStyle w:val="RCTstable"/>
              <w:jc w:val="center"/>
            </w:pPr>
            <w:r>
              <w:t>8</w:t>
            </w:r>
          </w:p>
        </w:tc>
      </w:tr>
      <w:tr w:rsidR="00A5540F" w:rsidRPr="00B87066" w14:paraId="1A5E9D90" w14:textId="77777777" w:rsidTr="00A5540F">
        <w:tc>
          <w:tcPr>
            <w:tcW w:w="2841" w:type="dxa"/>
          </w:tcPr>
          <w:p w14:paraId="278E02DA" w14:textId="2DCCDFA1" w:rsidR="00A5540F" w:rsidRPr="00B87066" w:rsidRDefault="00A5540F" w:rsidP="002747EA">
            <w:pPr>
              <w:pStyle w:val="RCTstable"/>
            </w:pPr>
            <w:r>
              <w:t>Bennett et al 2018</w:t>
            </w:r>
            <w:r>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418</w:t>
            </w:r>
            <w:r>
              <w:fldChar w:fldCharType="end"/>
            </w:r>
          </w:p>
        </w:tc>
        <w:tc>
          <w:tcPr>
            <w:tcW w:w="2547" w:type="dxa"/>
          </w:tcPr>
          <w:p w14:paraId="0E103E97" w14:textId="77777777" w:rsidR="00A5540F" w:rsidRPr="00B87066" w:rsidRDefault="00A5540F" w:rsidP="00A5540F">
            <w:pPr>
              <w:pStyle w:val="RCTstable"/>
            </w:pPr>
            <w:r>
              <w:t>Overweight and obese</w:t>
            </w:r>
          </w:p>
        </w:tc>
        <w:tc>
          <w:tcPr>
            <w:tcW w:w="2982" w:type="dxa"/>
          </w:tcPr>
          <w:p w14:paraId="203DCEB8" w14:textId="77777777" w:rsidR="00A5540F" w:rsidRPr="00B87066" w:rsidRDefault="00A5540F" w:rsidP="00A5540F">
            <w:pPr>
              <w:pStyle w:val="RCTstable"/>
              <w:jc w:val="center"/>
            </w:pPr>
            <w:r>
              <w:t>RR 0.62 (0.37 to 1.02)</w:t>
            </w:r>
          </w:p>
        </w:tc>
        <w:tc>
          <w:tcPr>
            <w:tcW w:w="1134" w:type="dxa"/>
          </w:tcPr>
          <w:p w14:paraId="7E303498" w14:textId="77777777" w:rsidR="00A5540F" w:rsidRPr="00B87066" w:rsidRDefault="00A5540F" w:rsidP="00A5540F">
            <w:pPr>
              <w:pStyle w:val="RCTstable"/>
              <w:jc w:val="center"/>
            </w:pPr>
            <w:r>
              <w:t>6</w:t>
            </w:r>
          </w:p>
        </w:tc>
      </w:tr>
      <w:tr w:rsidR="00A5540F" w:rsidRPr="00B87066" w14:paraId="77A74D08" w14:textId="77777777" w:rsidTr="00A5540F">
        <w:tc>
          <w:tcPr>
            <w:tcW w:w="2841" w:type="dxa"/>
            <w:tcBorders>
              <w:bottom w:val="single" w:sz="4" w:space="0" w:color="3B3474"/>
            </w:tcBorders>
          </w:tcPr>
          <w:p w14:paraId="3ACF57FB" w14:textId="6D01E3C6" w:rsidR="00A5540F" w:rsidRDefault="00A5540F" w:rsidP="002747EA">
            <w:pPr>
              <w:pStyle w:val="RCTstable"/>
            </w:pPr>
            <w:r>
              <w:t>Madhurvata et al 2015</w:t>
            </w:r>
            <w:r>
              <w:fldChar w:fldCharType="begin"/>
            </w:r>
            <w:r w:rsidR="002747EA">
              <w:instrText xml:space="preserve"> ADDIN EN.CITE &lt;EndNote&gt;&lt;Cite&gt;&lt;Author&gt;Madhuvrata&lt;/Author&gt;&lt;Year&gt;2015&lt;/Year&gt;&lt;RecNum&gt;1184&lt;/RecNum&gt;&lt;DisplayText&gt;&lt;style face="superscript" font="Trebuchet MS" size="9"&gt;420&lt;/style&gt;&lt;/DisplayText&gt;&lt;record&gt;&lt;rec-number&gt;1184&lt;/rec-number&gt;&lt;foreign-keys&gt;&lt;key app="EN" db-id="exvasrfx2dtraoesasxp2szsxa2df502592x" timestamp="1558928434"&gt;1184&lt;/key&gt;&lt;key app="ENWeb" db-id=""&gt;0&lt;/key&gt;&lt;/foreign-keys&gt;&lt;ref-type name="Journal Article"&gt;17&lt;/ref-type&gt;&lt;contributors&gt;&lt;authors&gt;&lt;author&gt;Madhuvrata, P.&lt;/author&gt;&lt;author&gt;Govinden, G.&lt;/author&gt;&lt;author&gt;Bustani, R.&lt;/author&gt;&lt;author&gt;Song, S.&lt;/author&gt;&lt;author&gt;Farrell, T. A.&lt;/author&gt;&lt;/authors&gt;&lt;/contributors&gt;&lt;auth-address&gt;Department of Obstetrics and Gynaecology, Jessop Wing, Sheffield Teaching Hospitals NHS Trust, Sheffield, UK.&amp;#xD;Department of Diabetes and Endocrinology, Sheffield Teaching Hospitals NHS Trust, Sheffield, UK.&lt;/auth-address&gt;&lt;titles&gt;&lt;title&gt;Prevention of gestational diabetes in pregnant women with risk factors for gestational diabetes: a systematic review and meta-analysis of randomised trials&lt;/title&gt;&lt;secondary-title&gt;Obstet Med&lt;/secondary-title&gt;&lt;/titles&gt;&lt;periodical&gt;&lt;full-title&gt;Obstet Med&lt;/full-title&gt;&lt;/periodical&gt;&lt;pages&gt;68-85&lt;/pages&gt;&lt;volume&gt;8&lt;/volume&gt;&lt;number&gt;2&lt;/number&gt;&lt;edition&gt;2015/06/01&lt;/edition&gt;&lt;keywords&gt;&lt;keyword&gt;Gestational diabetes&lt;/keyword&gt;&lt;keyword&gt;diet&lt;/keyword&gt;&lt;keyword&gt;exercise&lt;/keyword&gt;&lt;keyword&gt;lifestyle and pharmacological intervention&lt;/keyword&gt;&lt;keyword&gt;prevention&lt;/keyword&gt;&lt;/keywords&gt;&lt;dates&gt;&lt;year&gt;2015&lt;/year&gt;&lt;pub-dates&gt;&lt;date&gt;Jun&lt;/date&gt;&lt;/pub-dates&gt;&lt;/dates&gt;&lt;isbn&gt;1753-495X (Print)&amp;#xD;1753-495X (Linking)&lt;/isbn&gt;&lt;accession-num&gt;27512459&lt;/accession-num&gt;&lt;urls&gt;&lt;related-urls&gt;&lt;url&gt;https://www.ncbi.nlm.nih.gov/pubmed/27512459&lt;/url&gt;&lt;/related-urls&gt;&lt;/urls&gt;&lt;custom2&gt;PMC4935009&lt;/custom2&gt;&lt;electronic-resource-num&gt;10.1177/1753495X15576673&lt;/electronic-resource-num&gt;&lt;/record&gt;&lt;/Cite&gt;&lt;/EndNote&gt;</w:instrText>
            </w:r>
            <w:r>
              <w:fldChar w:fldCharType="separate"/>
            </w:r>
            <w:r w:rsidR="002747EA" w:rsidRPr="002747EA">
              <w:rPr>
                <w:noProof/>
                <w:sz w:val="18"/>
                <w:vertAlign w:val="superscript"/>
              </w:rPr>
              <w:t>420</w:t>
            </w:r>
            <w:r>
              <w:fldChar w:fldCharType="end"/>
            </w:r>
          </w:p>
        </w:tc>
        <w:tc>
          <w:tcPr>
            <w:tcW w:w="2547" w:type="dxa"/>
            <w:tcBorders>
              <w:bottom w:val="single" w:sz="4" w:space="0" w:color="3B3474"/>
            </w:tcBorders>
          </w:tcPr>
          <w:p w14:paraId="3F6F1AA4" w14:textId="77777777" w:rsidR="00A5540F" w:rsidRDefault="00A5540F" w:rsidP="00A5540F">
            <w:pPr>
              <w:pStyle w:val="RCTstable"/>
            </w:pPr>
            <w:r>
              <w:t>Obese</w:t>
            </w:r>
          </w:p>
        </w:tc>
        <w:tc>
          <w:tcPr>
            <w:tcW w:w="2982" w:type="dxa"/>
            <w:tcBorders>
              <w:bottom w:val="single" w:sz="4" w:space="0" w:color="3B3474"/>
            </w:tcBorders>
          </w:tcPr>
          <w:p w14:paraId="245DD2FB" w14:textId="77777777" w:rsidR="00A5540F" w:rsidRDefault="00A5540F" w:rsidP="00A5540F">
            <w:pPr>
              <w:pStyle w:val="RCTstable"/>
              <w:jc w:val="center"/>
            </w:pPr>
            <w:r>
              <w:t>OR 0.77 (0.33 to 1.79)</w:t>
            </w:r>
          </w:p>
        </w:tc>
        <w:tc>
          <w:tcPr>
            <w:tcW w:w="1134" w:type="dxa"/>
            <w:tcBorders>
              <w:bottom w:val="single" w:sz="4" w:space="0" w:color="3B3474"/>
            </w:tcBorders>
          </w:tcPr>
          <w:p w14:paraId="3E73B303" w14:textId="77777777" w:rsidR="00A5540F" w:rsidRDefault="00A5540F" w:rsidP="00A5540F">
            <w:pPr>
              <w:pStyle w:val="RCTstable"/>
              <w:jc w:val="center"/>
            </w:pPr>
            <w:r>
              <w:t>3</w:t>
            </w:r>
          </w:p>
        </w:tc>
      </w:tr>
      <w:tr w:rsidR="00A5540F" w:rsidRPr="00B87066" w14:paraId="74701AF2" w14:textId="77777777" w:rsidTr="00A5540F">
        <w:tc>
          <w:tcPr>
            <w:tcW w:w="9504" w:type="dxa"/>
            <w:gridSpan w:val="4"/>
            <w:shd w:val="clear" w:color="auto" w:fill="D9E2F3" w:themeFill="accent1" w:themeFillTint="33"/>
          </w:tcPr>
          <w:p w14:paraId="68432F07" w14:textId="77777777" w:rsidR="00A5540F" w:rsidRPr="00B87066" w:rsidRDefault="00A5540F" w:rsidP="00A5540F">
            <w:pPr>
              <w:pStyle w:val="RCTstable"/>
              <w:rPr>
                <w:i/>
              </w:rPr>
            </w:pPr>
            <w:r>
              <w:rPr>
                <w:i/>
              </w:rPr>
              <w:t>Gestational hypertension</w:t>
            </w:r>
          </w:p>
        </w:tc>
      </w:tr>
      <w:tr w:rsidR="00A5540F" w:rsidRPr="00B87066" w14:paraId="0053833A" w14:textId="77777777" w:rsidTr="00A5540F">
        <w:tc>
          <w:tcPr>
            <w:tcW w:w="2841" w:type="dxa"/>
            <w:tcBorders>
              <w:bottom w:val="single" w:sz="4" w:space="0" w:color="3B3474"/>
            </w:tcBorders>
            <w:shd w:val="clear" w:color="auto" w:fill="F2F2F2" w:themeFill="background1" w:themeFillShade="F2"/>
          </w:tcPr>
          <w:p w14:paraId="0BC6BC57"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623403FC"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0089C519" w14:textId="316E0EA4" w:rsidR="00A5540F" w:rsidRPr="00A33D96" w:rsidRDefault="00A5540F" w:rsidP="00A5540F">
            <w:pPr>
              <w:pStyle w:val="RCTstable"/>
              <w:jc w:val="center"/>
            </w:pPr>
            <w:r w:rsidRPr="00A33D96">
              <w:t>RR 0.</w:t>
            </w:r>
            <w:r w:rsidR="004F2B93">
              <w:t>51</w:t>
            </w:r>
            <w:r w:rsidRPr="00A33D96">
              <w:t xml:space="preserve"> (0.</w:t>
            </w:r>
            <w:r w:rsidR="004F2B93">
              <w:t>37</w:t>
            </w:r>
            <w:r w:rsidRPr="00A33D96">
              <w:t xml:space="preserve"> to 0.</w:t>
            </w:r>
            <w:r w:rsidR="004F2B93">
              <w:t>71</w:t>
            </w:r>
            <w:r w:rsidRPr="00A33D96">
              <w:t>)</w:t>
            </w:r>
          </w:p>
        </w:tc>
        <w:tc>
          <w:tcPr>
            <w:tcW w:w="1134" w:type="dxa"/>
            <w:tcBorders>
              <w:bottom w:val="single" w:sz="4" w:space="0" w:color="3B3474"/>
            </w:tcBorders>
            <w:shd w:val="clear" w:color="auto" w:fill="F2F2F2" w:themeFill="background1" w:themeFillShade="F2"/>
          </w:tcPr>
          <w:p w14:paraId="405B0ECC" w14:textId="6634757A" w:rsidR="00A5540F" w:rsidRPr="00B87066" w:rsidRDefault="004F2B93" w:rsidP="00A5540F">
            <w:pPr>
              <w:pStyle w:val="RCTstable"/>
              <w:jc w:val="center"/>
            </w:pPr>
            <w:r>
              <w:t>7</w:t>
            </w:r>
          </w:p>
        </w:tc>
      </w:tr>
      <w:tr w:rsidR="00531C07" w:rsidRPr="00C12274" w14:paraId="46DAA5EE" w14:textId="77777777" w:rsidTr="0002532B">
        <w:tc>
          <w:tcPr>
            <w:tcW w:w="2841" w:type="dxa"/>
          </w:tcPr>
          <w:p w14:paraId="29E34105" w14:textId="21B863F0" w:rsidR="00531C07" w:rsidRDefault="00531C07"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0E42225A" w14:textId="77777777" w:rsidR="00531C07" w:rsidRDefault="00531C07" w:rsidP="0002532B">
            <w:pPr>
              <w:pStyle w:val="RCTstable"/>
            </w:pPr>
            <w:r>
              <w:t>Mixed BMIs</w:t>
            </w:r>
          </w:p>
        </w:tc>
        <w:tc>
          <w:tcPr>
            <w:tcW w:w="2982" w:type="dxa"/>
          </w:tcPr>
          <w:p w14:paraId="1A2C9FC1" w14:textId="3E714FDF" w:rsidR="00531C07" w:rsidRDefault="00531C07" w:rsidP="00531C07">
            <w:pPr>
              <w:pStyle w:val="RCTstable"/>
              <w:jc w:val="center"/>
              <w:rPr>
                <w:rFonts w:eastAsiaTheme="majorEastAsia"/>
              </w:rPr>
            </w:pPr>
            <w:r>
              <w:rPr>
                <w:rFonts w:eastAsiaTheme="majorEastAsia"/>
              </w:rPr>
              <w:t>RR 0.63 (0.37 to 1.06)</w:t>
            </w:r>
          </w:p>
        </w:tc>
        <w:tc>
          <w:tcPr>
            <w:tcW w:w="1134" w:type="dxa"/>
          </w:tcPr>
          <w:p w14:paraId="3CF96669" w14:textId="6164CB15" w:rsidR="00531C07" w:rsidRDefault="00531C07" w:rsidP="0002532B">
            <w:pPr>
              <w:pStyle w:val="RCTstable"/>
              <w:jc w:val="center"/>
            </w:pPr>
            <w:r>
              <w:t>5</w:t>
            </w:r>
          </w:p>
        </w:tc>
      </w:tr>
      <w:tr w:rsidR="002966C2" w:rsidRPr="00C12274" w14:paraId="2CD3D183" w14:textId="77777777" w:rsidTr="0002532B">
        <w:tc>
          <w:tcPr>
            <w:tcW w:w="2841" w:type="dxa"/>
          </w:tcPr>
          <w:p w14:paraId="00D39A72" w14:textId="1BB6EB58" w:rsidR="002966C2" w:rsidRDefault="002966C2" w:rsidP="002747EA">
            <w:pPr>
              <w:pStyle w:val="RCTstable"/>
              <w:rPr>
                <w:noProof/>
              </w:rPr>
            </w:pPr>
            <w:r>
              <w:rPr>
                <w:noProof/>
              </w:rPr>
              <w:t>Davenport et al 2018a</w:t>
            </w:r>
            <w:r w:rsidR="00D07346">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466</w:t>
            </w:r>
            <w:r w:rsidR="00D07346">
              <w:rPr>
                <w:noProof/>
              </w:rPr>
              <w:fldChar w:fldCharType="end"/>
            </w:r>
          </w:p>
        </w:tc>
        <w:tc>
          <w:tcPr>
            <w:tcW w:w="2547" w:type="dxa"/>
          </w:tcPr>
          <w:p w14:paraId="50D8BC17" w14:textId="77777777" w:rsidR="002966C2" w:rsidRDefault="002966C2" w:rsidP="0002532B">
            <w:pPr>
              <w:pStyle w:val="RCTstable"/>
            </w:pPr>
            <w:r>
              <w:t>Mixed BMIs</w:t>
            </w:r>
          </w:p>
        </w:tc>
        <w:tc>
          <w:tcPr>
            <w:tcW w:w="2982" w:type="dxa"/>
          </w:tcPr>
          <w:p w14:paraId="25B48C6F" w14:textId="7A753E8F" w:rsidR="002966C2" w:rsidRDefault="002966C2" w:rsidP="0012421A">
            <w:pPr>
              <w:pStyle w:val="RCTstable"/>
              <w:jc w:val="center"/>
              <w:rPr>
                <w:rFonts w:eastAsiaTheme="majorEastAsia"/>
              </w:rPr>
            </w:pPr>
            <w:r>
              <w:rPr>
                <w:rFonts w:eastAsiaTheme="majorEastAsia"/>
              </w:rPr>
              <w:t>RR 0.</w:t>
            </w:r>
            <w:r w:rsidR="0012421A">
              <w:rPr>
                <w:rFonts w:eastAsiaTheme="majorEastAsia"/>
              </w:rPr>
              <w:t>59</w:t>
            </w:r>
            <w:r>
              <w:rPr>
                <w:rFonts w:eastAsiaTheme="majorEastAsia"/>
              </w:rPr>
              <w:t xml:space="preserve"> (0.</w:t>
            </w:r>
            <w:r w:rsidR="0012421A">
              <w:rPr>
                <w:rFonts w:eastAsiaTheme="majorEastAsia"/>
              </w:rPr>
              <w:t>37</w:t>
            </w:r>
            <w:r>
              <w:rPr>
                <w:rFonts w:eastAsiaTheme="majorEastAsia"/>
              </w:rPr>
              <w:t xml:space="preserve"> to 0.</w:t>
            </w:r>
            <w:r w:rsidR="0012421A">
              <w:rPr>
                <w:rFonts w:eastAsiaTheme="majorEastAsia"/>
              </w:rPr>
              <w:t>94</w:t>
            </w:r>
            <w:r>
              <w:rPr>
                <w:rFonts w:eastAsiaTheme="majorEastAsia"/>
              </w:rPr>
              <w:t>)</w:t>
            </w:r>
          </w:p>
        </w:tc>
        <w:tc>
          <w:tcPr>
            <w:tcW w:w="1134" w:type="dxa"/>
          </w:tcPr>
          <w:p w14:paraId="1A7C479B" w14:textId="15E0CC2A" w:rsidR="002966C2" w:rsidRDefault="0012421A" w:rsidP="0002532B">
            <w:pPr>
              <w:pStyle w:val="RCTstable"/>
              <w:jc w:val="center"/>
            </w:pPr>
            <w:r>
              <w:t>15</w:t>
            </w:r>
          </w:p>
        </w:tc>
      </w:tr>
      <w:tr w:rsidR="00A5540F" w:rsidRPr="00B87066" w14:paraId="7DFE4AD7" w14:textId="77777777" w:rsidTr="00A5540F">
        <w:tc>
          <w:tcPr>
            <w:tcW w:w="2841" w:type="dxa"/>
            <w:vMerge w:val="restart"/>
            <w:shd w:val="clear" w:color="auto" w:fill="auto"/>
          </w:tcPr>
          <w:p w14:paraId="1EDE0238" w14:textId="68112B50" w:rsidR="00A5540F" w:rsidRPr="00B87066" w:rsidRDefault="00A5540F"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p>
        </w:tc>
        <w:tc>
          <w:tcPr>
            <w:tcW w:w="2547" w:type="dxa"/>
            <w:shd w:val="clear" w:color="auto" w:fill="auto"/>
          </w:tcPr>
          <w:p w14:paraId="4607D006" w14:textId="77777777" w:rsidR="00A5540F" w:rsidRPr="00B87066"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34C44874" w14:textId="77777777" w:rsidR="00A5540F" w:rsidRPr="00B87066" w:rsidRDefault="00A5540F" w:rsidP="00A5540F">
            <w:pPr>
              <w:pStyle w:val="RCTstable"/>
              <w:jc w:val="center"/>
            </w:pPr>
            <w:r>
              <w:t>OR 0.74 (0.42 to 1.33)</w:t>
            </w:r>
          </w:p>
        </w:tc>
        <w:tc>
          <w:tcPr>
            <w:tcW w:w="1134" w:type="dxa"/>
            <w:shd w:val="clear" w:color="auto" w:fill="auto"/>
          </w:tcPr>
          <w:p w14:paraId="691C4E8C" w14:textId="77777777" w:rsidR="00A5540F" w:rsidRPr="00B87066" w:rsidRDefault="00A5540F" w:rsidP="00A5540F">
            <w:pPr>
              <w:pStyle w:val="RCTstable"/>
              <w:jc w:val="center"/>
            </w:pPr>
            <w:r>
              <w:t>7</w:t>
            </w:r>
          </w:p>
        </w:tc>
      </w:tr>
      <w:tr w:rsidR="00A5540F" w:rsidRPr="00B87066" w14:paraId="78595FDB" w14:textId="77777777" w:rsidTr="00A5540F">
        <w:tc>
          <w:tcPr>
            <w:tcW w:w="2841" w:type="dxa"/>
            <w:vMerge/>
            <w:shd w:val="clear" w:color="auto" w:fill="auto"/>
          </w:tcPr>
          <w:p w14:paraId="1F8A0F38" w14:textId="77777777" w:rsidR="00A5540F" w:rsidRPr="00C12274" w:rsidRDefault="00A5540F" w:rsidP="00A5540F">
            <w:pPr>
              <w:pStyle w:val="RCTstable"/>
              <w:rPr>
                <w:noProof/>
              </w:rPr>
            </w:pPr>
          </w:p>
        </w:tc>
        <w:tc>
          <w:tcPr>
            <w:tcW w:w="2547" w:type="dxa"/>
            <w:shd w:val="clear" w:color="auto" w:fill="auto"/>
          </w:tcPr>
          <w:p w14:paraId="0E76AD97" w14:textId="77777777" w:rsidR="00A5540F" w:rsidRPr="00B87066"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79EE2FF3" w14:textId="77777777" w:rsidR="00A5540F" w:rsidRPr="00B87066" w:rsidRDefault="00A5540F" w:rsidP="00A5540F">
            <w:pPr>
              <w:pStyle w:val="RCTstable"/>
              <w:jc w:val="center"/>
            </w:pPr>
            <w:r>
              <w:t>OR 0.68 (0.49 to 0.93)</w:t>
            </w:r>
          </w:p>
        </w:tc>
        <w:tc>
          <w:tcPr>
            <w:tcW w:w="1134" w:type="dxa"/>
            <w:shd w:val="clear" w:color="auto" w:fill="auto"/>
          </w:tcPr>
          <w:p w14:paraId="41B28306" w14:textId="77777777" w:rsidR="00A5540F" w:rsidRPr="00B87066" w:rsidRDefault="00A5540F" w:rsidP="00A5540F">
            <w:pPr>
              <w:pStyle w:val="RCTstable"/>
              <w:jc w:val="center"/>
            </w:pPr>
            <w:r>
              <w:t>20</w:t>
            </w:r>
          </w:p>
        </w:tc>
      </w:tr>
      <w:tr w:rsidR="002210C4" w:rsidRPr="00B87066" w14:paraId="318F9B79" w14:textId="77777777" w:rsidTr="002D0E62">
        <w:tc>
          <w:tcPr>
            <w:tcW w:w="2841" w:type="dxa"/>
          </w:tcPr>
          <w:p w14:paraId="426DDF52" w14:textId="7CF0B427" w:rsidR="002210C4" w:rsidRPr="00C12274" w:rsidRDefault="002210C4" w:rsidP="002747EA">
            <w:pPr>
              <w:pStyle w:val="RCTstable"/>
              <w:rPr>
                <w:noProof/>
              </w:rPr>
            </w:pPr>
            <w:r>
              <w:rPr>
                <w:noProof/>
              </w:rPr>
              <w:t>Magro-Malosso et al 2017</w:t>
            </w:r>
            <w:r w:rsidR="00283324">
              <w:rPr>
                <w:noProof/>
              </w:rPr>
              <w:fldChar w:fldCharType="begin"/>
            </w:r>
            <w:r w:rsidR="002747EA">
              <w:rPr>
                <w:noProof/>
              </w:rPr>
              <w:instrText xml:space="preserve"> ADDIN EN.CITE &lt;EndNote&gt;&lt;Cite&gt;&lt;Author&gt;Magro-Malosso&lt;/Author&gt;&lt;Year&gt;2017&lt;/Year&gt;&lt;RecNum&gt;891&lt;/RecNum&gt;&lt;DisplayText&gt;&lt;style face="superscript" font="Trebuchet MS" size="9"&gt;472&lt;/style&gt;&lt;/DisplayText&gt;&lt;record&gt;&lt;rec-number&gt;891&lt;/rec-number&gt;&lt;foreign-keys&gt;&lt;key app="EN" db-id="exvasrfx2dtraoesasxp2szsxa2df502592x" timestamp="1541540800"&gt;891&lt;/key&gt;&lt;key app="ENWeb" db-id=""&gt;0&lt;/key&gt;&lt;/foreign-keys&gt;&lt;ref-type name="Journal Article"&gt;17&lt;/ref-type&gt;&lt;contributors&gt;&lt;authors&gt;&lt;author&gt;Magro-Malosso, Elena R.&lt;/author&gt;&lt;author&gt;Saccone, Gabriele&lt;/author&gt;&lt;author&gt;Di Tommaso, Mariarosaria&lt;/author&gt;&lt;author&gt;Roman, Amanda&lt;/author&gt;&lt;author&gt;Berghella, Vincenzo&lt;/author&gt;&lt;/authors&gt;&lt;/contributors&gt;&lt;titles&gt;&lt;title&gt;Exercise during pregnancy and risk of gestational hypertensive disorders: a systematic review and meta-analysis&lt;/title&gt;&lt;secondary-title&gt;Acta Obstetricia et Gynecologica Scandinavica&lt;/secondary-title&gt;&lt;/titles&gt;&lt;periodical&gt;&lt;full-title&gt;Acta Obstetricia et Gynecologica Scandinavica&lt;/full-title&gt;&lt;/periodical&gt;&lt;pages&gt;921-931&lt;/pages&gt;&lt;volume&gt;96&lt;/volume&gt;&lt;number&gt;8&lt;/number&gt;&lt;section&gt;921&lt;/section&gt;&lt;dates&gt;&lt;year&gt;2017&lt;/year&gt;&lt;/dates&gt;&lt;isbn&gt;00016349&lt;/isbn&gt;&lt;urls&gt;&lt;/urls&gt;&lt;electronic-resource-num&gt;10.1111/aogs.13151&lt;/electronic-resource-num&gt;&lt;/record&gt;&lt;/Cite&gt;&lt;/EndNote&gt;</w:instrText>
            </w:r>
            <w:r w:rsidR="00283324">
              <w:rPr>
                <w:noProof/>
              </w:rPr>
              <w:fldChar w:fldCharType="separate"/>
            </w:r>
            <w:r w:rsidR="002747EA" w:rsidRPr="002747EA">
              <w:rPr>
                <w:noProof/>
                <w:sz w:val="18"/>
                <w:vertAlign w:val="superscript"/>
              </w:rPr>
              <w:t>472</w:t>
            </w:r>
            <w:r w:rsidR="00283324">
              <w:rPr>
                <w:noProof/>
              </w:rPr>
              <w:fldChar w:fldCharType="end"/>
            </w:r>
          </w:p>
        </w:tc>
        <w:tc>
          <w:tcPr>
            <w:tcW w:w="2547" w:type="dxa"/>
          </w:tcPr>
          <w:p w14:paraId="0C1D34F1" w14:textId="77777777" w:rsidR="002210C4" w:rsidRDefault="002210C4" w:rsidP="002D0E62">
            <w:pPr>
              <w:pStyle w:val="RCTstable"/>
            </w:pPr>
            <w:r>
              <w:t>Mixed BMIs</w:t>
            </w:r>
          </w:p>
        </w:tc>
        <w:tc>
          <w:tcPr>
            <w:tcW w:w="2982" w:type="dxa"/>
          </w:tcPr>
          <w:p w14:paraId="5784C775" w14:textId="263EA85F" w:rsidR="002210C4" w:rsidRDefault="002210C4" w:rsidP="002210C4">
            <w:pPr>
              <w:pStyle w:val="RCTstable"/>
              <w:jc w:val="center"/>
            </w:pPr>
            <w:r>
              <w:t>RR 0.54 (0.40 to 0.74)</w:t>
            </w:r>
          </w:p>
        </w:tc>
        <w:tc>
          <w:tcPr>
            <w:tcW w:w="1134" w:type="dxa"/>
          </w:tcPr>
          <w:p w14:paraId="1BE4BF67" w14:textId="19136405" w:rsidR="002210C4" w:rsidRDefault="002210C4" w:rsidP="002D0E62">
            <w:pPr>
              <w:pStyle w:val="RCTstable"/>
              <w:jc w:val="center"/>
            </w:pPr>
            <w:r>
              <w:t>17</w:t>
            </w:r>
          </w:p>
        </w:tc>
      </w:tr>
      <w:tr w:rsidR="00A5540F" w:rsidRPr="00B87066" w14:paraId="23685FE6" w14:textId="77777777" w:rsidTr="00A5540F">
        <w:tc>
          <w:tcPr>
            <w:tcW w:w="9504" w:type="dxa"/>
            <w:gridSpan w:val="4"/>
            <w:shd w:val="clear" w:color="auto" w:fill="D9E2F3" w:themeFill="accent1" w:themeFillTint="33"/>
          </w:tcPr>
          <w:p w14:paraId="17BF5D3B" w14:textId="77777777" w:rsidR="00A5540F" w:rsidRPr="00B87066" w:rsidRDefault="00A5540F" w:rsidP="00A5540F">
            <w:pPr>
              <w:pStyle w:val="RCTstable"/>
              <w:rPr>
                <w:i/>
              </w:rPr>
            </w:pPr>
            <w:r>
              <w:rPr>
                <w:i/>
              </w:rPr>
              <w:t>Pre-eclampsia</w:t>
            </w:r>
          </w:p>
        </w:tc>
      </w:tr>
      <w:tr w:rsidR="00A5540F" w:rsidRPr="00B87066" w14:paraId="221EFAA3" w14:textId="77777777" w:rsidTr="00A5540F">
        <w:tc>
          <w:tcPr>
            <w:tcW w:w="2841" w:type="dxa"/>
            <w:tcBorders>
              <w:bottom w:val="single" w:sz="4" w:space="0" w:color="3B3474"/>
            </w:tcBorders>
            <w:shd w:val="clear" w:color="auto" w:fill="F2F2F2" w:themeFill="background1" w:themeFillShade="F2"/>
          </w:tcPr>
          <w:p w14:paraId="7633CE9F"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3C8AA252"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2D8207AC" w14:textId="4B9E1EFA" w:rsidR="00A5540F" w:rsidRPr="0016710A" w:rsidRDefault="00A5540F" w:rsidP="004F2B93">
            <w:pPr>
              <w:pStyle w:val="RCTstable"/>
              <w:jc w:val="center"/>
            </w:pPr>
            <w:r w:rsidRPr="0016710A">
              <w:t>RR 0.</w:t>
            </w:r>
            <w:r w:rsidR="004F2B93">
              <w:t>78</w:t>
            </w:r>
            <w:r w:rsidR="004F2B93" w:rsidRPr="0016710A">
              <w:t xml:space="preserve"> </w:t>
            </w:r>
            <w:r w:rsidRPr="0016710A">
              <w:t>(0.</w:t>
            </w:r>
            <w:r w:rsidR="004F2B93">
              <w:t>53</w:t>
            </w:r>
            <w:r w:rsidRPr="0016710A">
              <w:t xml:space="preserve"> to 1.</w:t>
            </w:r>
            <w:r w:rsidR="004F2B93">
              <w:t>15</w:t>
            </w:r>
            <w:r w:rsidRPr="0016710A">
              <w:t>)</w:t>
            </w:r>
          </w:p>
        </w:tc>
        <w:tc>
          <w:tcPr>
            <w:tcW w:w="1134" w:type="dxa"/>
            <w:tcBorders>
              <w:bottom w:val="single" w:sz="4" w:space="0" w:color="3B3474"/>
            </w:tcBorders>
            <w:shd w:val="clear" w:color="auto" w:fill="F2F2F2" w:themeFill="background1" w:themeFillShade="F2"/>
          </w:tcPr>
          <w:p w14:paraId="706D09D4" w14:textId="77777777" w:rsidR="00A5540F" w:rsidRPr="00B87066" w:rsidRDefault="00A5540F" w:rsidP="00A5540F">
            <w:pPr>
              <w:pStyle w:val="RCTstable"/>
              <w:jc w:val="center"/>
            </w:pPr>
            <w:r>
              <w:t>7</w:t>
            </w:r>
          </w:p>
        </w:tc>
      </w:tr>
      <w:tr w:rsidR="00531C07" w:rsidRPr="00C12274" w14:paraId="26E5825A" w14:textId="77777777" w:rsidTr="0002532B">
        <w:tc>
          <w:tcPr>
            <w:tcW w:w="2841" w:type="dxa"/>
          </w:tcPr>
          <w:p w14:paraId="7F2627A2" w14:textId="461700B1" w:rsidR="00531C07" w:rsidRDefault="00531C07"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75CB661A" w14:textId="77777777" w:rsidR="00531C07" w:rsidRDefault="00531C07" w:rsidP="0002532B">
            <w:pPr>
              <w:pStyle w:val="RCTstable"/>
            </w:pPr>
            <w:r>
              <w:t>Mixed BMIs</w:t>
            </w:r>
          </w:p>
        </w:tc>
        <w:tc>
          <w:tcPr>
            <w:tcW w:w="2982" w:type="dxa"/>
          </w:tcPr>
          <w:p w14:paraId="1718D96D" w14:textId="655DE83F" w:rsidR="00531C07" w:rsidRDefault="00531C07" w:rsidP="0002532B">
            <w:pPr>
              <w:pStyle w:val="RCTstable"/>
              <w:jc w:val="center"/>
              <w:rPr>
                <w:rFonts w:eastAsiaTheme="majorEastAsia"/>
              </w:rPr>
            </w:pPr>
            <w:r>
              <w:rPr>
                <w:rFonts w:eastAsiaTheme="majorEastAsia"/>
              </w:rPr>
              <w:t>RR 0.87 (0.58 to 1.32)</w:t>
            </w:r>
          </w:p>
        </w:tc>
        <w:tc>
          <w:tcPr>
            <w:tcW w:w="1134" w:type="dxa"/>
          </w:tcPr>
          <w:p w14:paraId="2F59E651" w14:textId="50E0E046" w:rsidR="00531C07" w:rsidRDefault="00531C07" w:rsidP="0002532B">
            <w:pPr>
              <w:pStyle w:val="RCTstable"/>
              <w:jc w:val="center"/>
            </w:pPr>
            <w:r>
              <w:t>6</w:t>
            </w:r>
          </w:p>
        </w:tc>
      </w:tr>
      <w:tr w:rsidR="0012421A" w:rsidRPr="00C12274" w14:paraId="0B6D58AF" w14:textId="77777777" w:rsidTr="0002532B">
        <w:tc>
          <w:tcPr>
            <w:tcW w:w="2841" w:type="dxa"/>
          </w:tcPr>
          <w:p w14:paraId="29287C6D" w14:textId="13B1E5E2" w:rsidR="0012421A" w:rsidRDefault="0012421A" w:rsidP="002747EA">
            <w:pPr>
              <w:pStyle w:val="RCTstable"/>
              <w:rPr>
                <w:noProof/>
              </w:rPr>
            </w:pPr>
            <w:r>
              <w:rPr>
                <w:noProof/>
              </w:rPr>
              <w:t>Davenport et al 2018a</w:t>
            </w:r>
            <w:r w:rsidR="00D07346">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466</w:t>
            </w:r>
            <w:r w:rsidR="00D07346">
              <w:rPr>
                <w:noProof/>
              </w:rPr>
              <w:fldChar w:fldCharType="end"/>
            </w:r>
          </w:p>
        </w:tc>
        <w:tc>
          <w:tcPr>
            <w:tcW w:w="2547" w:type="dxa"/>
          </w:tcPr>
          <w:p w14:paraId="113A1959" w14:textId="77777777" w:rsidR="0012421A" w:rsidRDefault="0012421A" w:rsidP="0002532B">
            <w:pPr>
              <w:pStyle w:val="RCTstable"/>
            </w:pPr>
            <w:r>
              <w:t>Mixed BMIs</w:t>
            </w:r>
          </w:p>
        </w:tc>
        <w:tc>
          <w:tcPr>
            <w:tcW w:w="2982" w:type="dxa"/>
          </w:tcPr>
          <w:p w14:paraId="7CEB2433" w14:textId="77777777" w:rsidR="0012421A" w:rsidRDefault="0012421A" w:rsidP="0002532B">
            <w:pPr>
              <w:pStyle w:val="RCTstable"/>
              <w:jc w:val="center"/>
              <w:rPr>
                <w:rFonts w:eastAsiaTheme="majorEastAsia"/>
              </w:rPr>
            </w:pPr>
            <w:r>
              <w:rPr>
                <w:rFonts w:eastAsiaTheme="majorEastAsia"/>
              </w:rPr>
              <w:t>RR 0.61 (0.43 to 0.85)</w:t>
            </w:r>
          </w:p>
        </w:tc>
        <w:tc>
          <w:tcPr>
            <w:tcW w:w="1134" w:type="dxa"/>
          </w:tcPr>
          <w:p w14:paraId="63D8B38F" w14:textId="77777777" w:rsidR="0012421A" w:rsidRDefault="0012421A" w:rsidP="0002532B">
            <w:pPr>
              <w:pStyle w:val="RCTstable"/>
              <w:jc w:val="center"/>
            </w:pPr>
            <w:r>
              <w:t>23</w:t>
            </w:r>
          </w:p>
        </w:tc>
      </w:tr>
      <w:tr w:rsidR="00A5540F" w:rsidRPr="00C12274" w14:paraId="1D3405AE" w14:textId="77777777" w:rsidTr="00A5540F">
        <w:tc>
          <w:tcPr>
            <w:tcW w:w="2841" w:type="dxa"/>
          </w:tcPr>
          <w:p w14:paraId="1981F2FE" w14:textId="3BA35232" w:rsidR="00A5540F" w:rsidRPr="00C12274" w:rsidRDefault="00A5540F" w:rsidP="002747EA">
            <w:pPr>
              <w:pStyle w:val="RCTstable"/>
            </w:pPr>
            <w:r w:rsidRPr="00C12274">
              <w:rPr>
                <w:noProof/>
              </w:rPr>
              <w:t>da Silva et al 2017b</w:t>
            </w:r>
            <w:r>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 </w:instrText>
            </w:r>
            <w:r w:rsidR="002747EA">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456</w:t>
            </w:r>
            <w:r>
              <w:fldChar w:fldCharType="end"/>
            </w:r>
          </w:p>
        </w:tc>
        <w:tc>
          <w:tcPr>
            <w:tcW w:w="2547" w:type="dxa"/>
          </w:tcPr>
          <w:p w14:paraId="2953C175" w14:textId="77777777" w:rsidR="00A5540F" w:rsidRPr="00C12274" w:rsidRDefault="00A5540F" w:rsidP="00A5540F">
            <w:pPr>
              <w:pStyle w:val="RCTstable"/>
            </w:pPr>
            <w:r>
              <w:t>Mixed</w:t>
            </w:r>
            <w:r w:rsidRPr="00C12274">
              <w:t xml:space="preserve"> </w:t>
            </w:r>
            <w:r>
              <w:t>BMIs</w:t>
            </w:r>
          </w:p>
        </w:tc>
        <w:tc>
          <w:tcPr>
            <w:tcW w:w="2982" w:type="dxa"/>
          </w:tcPr>
          <w:p w14:paraId="0D316E6A" w14:textId="77777777" w:rsidR="00A5540F" w:rsidRPr="00BE0624" w:rsidRDefault="00A5540F" w:rsidP="00A5540F">
            <w:pPr>
              <w:pStyle w:val="RCTstable"/>
              <w:jc w:val="center"/>
            </w:pPr>
            <w:r>
              <w:rPr>
                <w:rFonts w:eastAsiaTheme="majorEastAsia"/>
              </w:rPr>
              <w:t>RR 0.93 (0.55 to 1.57)</w:t>
            </w:r>
          </w:p>
        </w:tc>
        <w:tc>
          <w:tcPr>
            <w:tcW w:w="1134" w:type="dxa"/>
          </w:tcPr>
          <w:p w14:paraId="3C6581DE" w14:textId="77777777" w:rsidR="00A5540F" w:rsidRPr="00BE0624" w:rsidRDefault="00A5540F" w:rsidP="00A5540F">
            <w:pPr>
              <w:pStyle w:val="RCTstable"/>
              <w:jc w:val="center"/>
            </w:pPr>
            <w:r>
              <w:t>3</w:t>
            </w:r>
          </w:p>
        </w:tc>
      </w:tr>
      <w:tr w:rsidR="00A5540F" w:rsidRPr="00B87066" w14:paraId="23BB88E5" w14:textId="77777777" w:rsidTr="00A5540F">
        <w:tc>
          <w:tcPr>
            <w:tcW w:w="2841" w:type="dxa"/>
            <w:shd w:val="clear" w:color="auto" w:fill="auto"/>
          </w:tcPr>
          <w:p w14:paraId="6FCAAA7E" w14:textId="1F63F772" w:rsidR="00A5540F" w:rsidRPr="00B87066" w:rsidRDefault="00A5540F" w:rsidP="002747EA">
            <w:pPr>
              <w:pStyle w:val="RCTstable"/>
            </w:pPr>
            <w:r>
              <w:t>Han et al 2012</w:t>
            </w:r>
            <w:r>
              <w:fldChar w:fldCharType="begin"/>
            </w:r>
            <w:r w:rsidR="002747EA">
              <w:instrText xml:space="preserve"> ADDIN EN.CITE &lt;EndNote&gt;&lt;Cite&gt;&lt;Author&gt;Han&lt;/Author&gt;&lt;Year&gt;2012&lt;/Year&gt;&lt;RecNum&gt;635&lt;/RecNum&gt;&lt;DisplayText&gt;&lt;style face="superscript" font="Trebuchet MS" size="9"&gt;467&lt;/style&gt;&lt;/DisplayText&gt;&lt;record&gt;&lt;rec-number&gt;635&lt;/rec-number&gt;&lt;foreign-keys&gt;&lt;key app="EN" db-id="exvasrfx2dtraoesasxp2szsxa2df502592x" timestamp="1540429015"&gt;635&lt;/key&gt;&lt;key app="ENWeb" db-id=""&gt;0&lt;/key&gt;&lt;/foreign-keys&gt;&lt;ref-type name="Journal Article"&gt;17&lt;/ref-type&gt;&lt;contributors&gt;&lt;authors&gt;&lt;author&gt;Han, S.,&lt;/author&gt;&lt;author&gt;Middleton, P.,&lt;/author&gt;&lt;author&gt;Crowther, C.A.,&lt;/author&gt;&lt;/authors&gt;&lt;/contributors&gt;&lt;titles&gt;&lt;title&gt;Exercise for pregnant women for preventing gestational diabetes mellitus&lt;/title&gt;&lt;secondary-title&gt;Cochrane Database of Systematic Reviews&lt;/secondary-title&gt;&lt;/titles&gt;&lt;periodical&gt;&lt;full-title&gt;Cochrane Database of Systematic Reviews&lt;/full-title&gt;&lt;/periodical&gt;&lt;dates&gt;&lt;year&gt;2012&lt;/year&gt;&lt;/dates&gt;&lt;isbn&gt;14651858&lt;/isbn&gt;&lt;urls&gt;&lt;/urls&gt;&lt;electronic-resource-num&gt;10.1002/14651858.CD009021.pub2&lt;/electronic-resource-num&gt;&lt;/record&gt;&lt;/Cite&gt;&lt;/EndNote&gt;</w:instrText>
            </w:r>
            <w:r>
              <w:fldChar w:fldCharType="separate"/>
            </w:r>
            <w:r w:rsidR="002747EA" w:rsidRPr="002747EA">
              <w:rPr>
                <w:noProof/>
                <w:sz w:val="18"/>
                <w:vertAlign w:val="superscript"/>
              </w:rPr>
              <w:t>467</w:t>
            </w:r>
            <w:r>
              <w:fldChar w:fldCharType="end"/>
            </w:r>
          </w:p>
        </w:tc>
        <w:tc>
          <w:tcPr>
            <w:tcW w:w="2547" w:type="dxa"/>
            <w:shd w:val="clear" w:color="auto" w:fill="auto"/>
          </w:tcPr>
          <w:p w14:paraId="4CFB8C26" w14:textId="77777777" w:rsidR="00A5540F" w:rsidRPr="00B87066" w:rsidRDefault="00A5540F" w:rsidP="00A5540F">
            <w:pPr>
              <w:pStyle w:val="RCTstable"/>
            </w:pPr>
            <w:r>
              <w:t>Mixed BMIs</w:t>
            </w:r>
          </w:p>
        </w:tc>
        <w:tc>
          <w:tcPr>
            <w:tcW w:w="2982" w:type="dxa"/>
            <w:shd w:val="clear" w:color="auto" w:fill="auto"/>
          </w:tcPr>
          <w:p w14:paraId="693C68B1" w14:textId="77777777" w:rsidR="00A5540F" w:rsidRPr="00B87066" w:rsidRDefault="00A5540F" w:rsidP="00A5540F">
            <w:pPr>
              <w:pStyle w:val="RCTstable"/>
              <w:jc w:val="center"/>
            </w:pPr>
            <w:r>
              <w:t>RR 1.00 (0.51 to 1.97)</w:t>
            </w:r>
          </w:p>
        </w:tc>
        <w:tc>
          <w:tcPr>
            <w:tcW w:w="1134" w:type="dxa"/>
            <w:shd w:val="clear" w:color="auto" w:fill="auto"/>
          </w:tcPr>
          <w:p w14:paraId="4D8934CD" w14:textId="77777777" w:rsidR="00A5540F" w:rsidRPr="00B87066" w:rsidRDefault="00A5540F" w:rsidP="00A5540F">
            <w:pPr>
              <w:pStyle w:val="RCTstable"/>
              <w:jc w:val="center"/>
            </w:pPr>
            <w:r>
              <w:t>2</w:t>
            </w:r>
          </w:p>
        </w:tc>
      </w:tr>
      <w:tr w:rsidR="002210C4" w:rsidRPr="00B87066" w14:paraId="4E5EA985" w14:textId="77777777" w:rsidTr="002D0E62">
        <w:tc>
          <w:tcPr>
            <w:tcW w:w="2841" w:type="dxa"/>
          </w:tcPr>
          <w:p w14:paraId="03964D7C" w14:textId="3A6E6DF1" w:rsidR="002210C4" w:rsidRPr="00C12274" w:rsidRDefault="002210C4" w:rsidP="002747EA">
            <w:pPr>
              <w:pStyle w:val="RCTstable"/>
              <w:rPr>
                <w:noProof/>
              </w:rPr>
            </w:pPr>
            <w:r>
              <w:rPr>
                <w:noProof/>
              </w:rPr>
              <w:t>Magro-Malosso et al 2017</w:t>
            </w:r>
            <w:r w:rsidR="00283324">
              <w:rPr>
                <w:noProof/>
              </w:rPr>
              <w:fldChar w:fldCharType="begin"/>
            </w:r>
            <w:r w:rsidR="002747EA">
              <w:rPr>
                <w:noProof/>
              </w:rPr>
              <w:instrText xml:space="preserve"> ADDIN EN.CITE &lt;EndNote&gt;&lt;Cite&gt;&lt;Author&gt;Magro-Malosso&lt;/Author&gt;&lt;Year&gt;2017&lt;/Year&gt;&lt;RecNum&gt;891&lt;/RecNum&gt;&lt;DisplayText&gt;&lt;style face="superscript" font="Trebuchet MS" size="9"&gt;472&lt;/style&gt;&lt;/DisplayText&gt;&lt;record&gt;&lt;rec-number&gt;891&lt;/rec-number&gt;&lt;foreign-keys&gt;&lt;key app="EN" db-id="exvasrfx2dtraoesasxp2szsxa2df502592x" timestamp="1541540800"&gt;891&lt;/key&gt;&lt;key app="ENWeb" db-id=""&gt;0&lt;/key&gt;&lt;/foreign-keys&gt;&lt;ref-type name="Journal Article"&gt;17&lt;/ref-type&gt;&lt;contributors&gt;&lt;authors&gt;&lt;author&gt;Magro-Malosso, Elena R.&lt;/author&gt;&lt;author&gt;Saccone, Gabriele&lt;/author&gt;&lt;author&gt;Di Tommaso, Mariarosaria&lt;/author&gt;&lt;author&gt;Roman, Amanda&lt;/author&gt;&lt;author&gt;Berghella, Vincenzo&lt;/author&gt;&lt;/authors&gt;&lt;/contributors&gt;&lt;titles&gt;&lt;title&gt;Exercise during pregnancy and risk of gestational hypertensive disorders: a systematic review and meta-analysis&lt;/title&gt;&lt;secondary-title&gt;Acta Obstetricia et Gynecologica Scandinavica&lt;/secondary-title&gt;&lt;/titles&gt;&lt;periodical&gt;&lt;full-title&gt;Acta Obstetricia et Gynecologica Scandinavica&lt;/full-title&gt;&lt;/periodical&gt;&lt;pages&gt;921-931&lt;/pages&gt;&lt;volume&gt;96&lt;/volume&gt;&lt;number&gt;8&lt;/number&gt;&lt;section&gt;921&lt;/section&gt;&lt;dates&gt;&lt;year&gt;2017&lt;/year&gt;&lt;/dates&gt;&lt;isbn&gt;00016349&lt;/isbn&gt;&lt;urls&gt;&lt;/urls&gt;&lt;electronic-resource-num&gt;10.1111/aogs.13151&lt;/electronic-resource-num&gt;&lt;/record&gt;&lt;/Cite&gt;&lt;/EndNote&gt;</w:instrText>
            </w:r>
            <w:r w:rsidR="00283324">
              <w:rPr>
                <w:noProof/>
              </w:rPr>
              <w:fldChar w:fldCharType="separate"/>
            </w:r>
            <w:r w:rsidR="002747EA" w:rsidRPr="002747EA">
              <w:rPr>
                <w:noProof/>
                <w:sz w:val="18"/>
                <w:vertAlign w:val="superscript"/>
              </w:rPr>
              <w:t>472</w:t>
            </w:r>
            <w:r w:rsidR="00283324">
              <w:rPr>
                <w:noProof/>
              </w:rPr>
              <w:fldChar w:fldCharType="end"/>
            </w:r>
          </w:p>
        </w:tc>
        <w:tc>
          <w:tcPr>
            <w:tcW w:w="2547" w:type="dxa"/>
          </w:tcPr>
          <w:p w14:paraId="382749C4" w14:textId="77777777" w:rsidR="002210C4" w:rsidRDefault="002210C4" w:rsidP="002D0E62">
            <w:pPr>
              <w:pStyle w:val="RCTstable"/>
            </w:pPr>
            <w:r>
              <w:t>Mixed BMIs</w:t>
            </w:r>
          </w:p>
        </w:tc>
        <w:tc>
          <w:tcPr>
            <w:tcW w:w="2982" w:type="dxa"/>
          </w:tcPr>
          <w:p w14:paraId="5645B520" w14:textId="58D6C5C4" w:rsidR="002210C4" w:rsidRDefault="002210C4" w:rsidP="002210C4">
            <w:pPr>
              <w:pStyle w:val="RCTstable"/>
              <w:jc w:val="center"/>
            </w:pPr>
            <w:r>
              <w:t>RR 0.79 (0.45 to 1.38)</w:t>
            </w:r>
          </w:p>
        </w:tc>
        <w:tc>
          <w:tcPr>
            <w:tcW w:w="1134" w:type="dxa"/>
          </w:tcPr>
          <w:p w14:paraId="4B426D0F" w14:textId="090B8088" w:rsidR="002210C4" w:rsidRDefault="002210C4" w:rsidP="002D0E62">
            <w:pPr>
              <w:pStyle w:val="RCTstable"/>
              <w:jc w:val="center"/>
            </w:pPr>
            <w:r>
              <w:t>7</w:t>
            </w:r>
          </w:p>
        </w:tc>
      </w:tr>
      <w:tr w:rsidR="00A5540F" w:rsidRPr="00B87066" w14:paraId="688557B3" w14:textId="77777777" w:rsidTr="00A5540F">
        <w:tc>
          <w:tcPr>
            <w:tcW w:w="2841" w:type="dxa"/>
            <w:shd w:val="clear" w:color="auto" w:fill="auto"/>
          </w:tcPr>
          <w:p w14:paraId="6C7F8CA9" w14:textId="1FB33101" w:rsidR="00A5540F"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74441691" w14:textId="77777777" w:rsidR="00A5540F" w:rsidRDefault="00A5540F" w:rsidP="00A5540F">
            <w:pPr>
              <w:pStyle w:val="RCTstable"/>
            </w:pPr>
            <w:r>
              <w:t>Mixed BMIs</w:t>
            </w:r>
          </w:p>
        </w:tc>
        <w:tc>
          <w:tcPr>
            <w:tcW w:w="2982" w:type="dxa"/>
            <w:shd w:val="clear" w:color="auto" w:fill="auto"/>
          </w:tcPr>
          <w:p w14:paraId="7322BD85" w14:textId="77777777" w:rsidR="00A5540F" w:rsidRDefault="00A5540F" w:rsidP="00A5540F">
            <w:pPr>
              <w:pStyle w:val="RCTstable"/>
              <w:jc w:val="center"/>
            </w:pPr>
            <w:r>
              <w:t>RR 0.99 (0.58 to 1.66)</w:t>
            </w:r>
          </w:p>
        </w:tc>
        <w:tc>
          <w:tcPr>
            <w:tcW w:w="1134" w:type="dxa"/>
            <w:shd w:val="clear" w:color="auto" w:fill="auto"/>
          </w:tcPr>
          <w:p w14:paraId="16CD9978" w14:textId="77777777" w:rsidR="00A5540F" w:rsidRDefault="00A5540F" w:rsidP="00A5540F">
            <w:pPr>
              <w:pStyle w:val="RCTstable"/>
              <w:jc w:val="center"/>
            </w:pPr>
            <w:r>
              <w:t>4</w:t>
            </w:r>
          </w:p>
        </w:tc>
      </w:tr>
      <w:tr w:rsidR="00792F14" w:rsidRPr="00B87066" w14:paraId="0F14FD2F" w14:textId="77777777" w:rsidTr="00A5540F">
        <w:tc>
          <w:tcPr>
            <w:tcW w:w="2841" w:type="dxa"/>
            <w:shd w:val="clear" w:color="auto" w:fill="auto"/>
          </w:tcPr>
          <w:p w14:paraId="303EF7E2" w14:textId="3639F632" w:rsidR="00792F14" w:rsidRPr="00C12274" w:rsidRDefault="00792F14" w:rsidP="002747EA">
            <w:pPr>
              <w:pStyle w:val="RCTstable"/>
              <w:rPr>
                <w:noProof/>
              </w:rPr>
            </w:pPr>
            <w:r>
              <w:rPr>
                <w:noProof/>
              </w:rPr>
              <w:t>Syngelaki et al 2019</w:t>
            </w:r>
            <w:r w:rsidR="00D07346">
              <w:rPr>
                <w:noProof/>
              </w:rPr>
              <w:fldChar w:fldCharType="begin">
                <w:fldData xml:space="preserve">PEVuZE5vdGU+PENpdGU+PEF1dGhvcj5TeW5nZWxha2k8L0F1dGhvcj48WWVhcj4yMDE5PC9ZZWFy
PjxSZWNOdW0+MTk1MDwvUmVjTnVtPjxEaXNwbGF5VGV4dD48c3R5bGUgZmFjZT0ic3VwZXJzY3Jp
cHQiIGZvbnQ9IlRyZWJ1Y2hldCBNUyIgc2l6ZT0iOSI+NDIzPC9zdHlsZT48L0Rpc3BsYXlUZXh0
PjxyZWNvcmQ+PHJlYy1udW1iZXI+MTk1MDwvcmVjLW51bWJlcj48Zm9yZWlnbi1rZXlzPjxrZXkg
YXBwPSJFTiIgZGItaWQ9ImV4dmFzcmZ4MmR0cmFvZXNhc3hwMnN6c3hhMmRmNTAyNTkyeCIgdGlt
ZXN0YW1wPSIxNTg4NzI4NDgxIj4xOTUwPC9rZXk+PGtleSBhcHA9IkVOV2ViIiBkYi1pZD0iIj4w
PC9rZXk+PC9mb3JlaWduLWtleXM+PHJlZi10eXBlIG5hbWU9IkpvdXJuYWwgQXJ0aWNsZSI+MTc8
L3JlZi10eXBlPjxjb250cmlidXRvcnM+PGF1dGhvcnM+PGF1dGhvcj5TeW5nZWxha2ksIEEuPC9h
dXRob3I+PGF1dGhvcj5TZXF1ZWlyYSBDYW1wb3MsIE0uPC9hdXRob3I+PGF1dGhvcj5Sb2Jlcmdl
LCBTLjwvYXV0aG9yPjxhdXRob3I+QW5kcmFkZSwgVy48L2F1dGhvcj48YXV0aG9yPk5pY29sYWlk
ZXMsIEsuIEguPC9hdXRob3I+PC9hdXRob3JzPjwvY29udHJpYnV0b3JzPjxhdXRoLWFkZHJlc3M+
YSBIYXJyaXMgQmlydGhyaWdodCBSZXNlYXJjaCBDZW50cmUgZm9yIEZldGFsIE1lZGljaW5lICwg
RmV0YWwgTWVkaWNpbmUgUmVzZWFyY2ggSW5zdGl0dXRlLCBLaW5nJmFwb3M7cyBDb2xsZWdlIEhv
c3BpdGFsICwgTG9uZG9uICwgVUsuJiN4RDtiIFNjaG9vbCBvZiBNZWRpY2luZSwgS2luZyZhcG9z
O3MgQ29sbGVnZSBMb25kb24gLCBMb25kb24gLCBVSy48L2F1dGgtYWRkcmVzcz48dGl0bGVzPjx0
aXRsZT5EaWV0IGFuZCBleGVyY2lzZSBmb3IgcHJlZWNsYW1wc2lhIHByZXZlbnRpb24gaW4gb3Zl
cndlaWdodCBhbmQgb2Jlc2UgcHJlZ25hbnQgd29tZW46IHN5c3RlbWF0aWMgcmV2aWV3IGFuZCBt
ZXRhLWFuYWx5c2lzPC90aXRsZT48c2Vjb25kYXJ5LXRpdGxlPkogTWF0ZXJuIEZldGFsIE5lb25h
dGFsIE1lZDwvc2Vjb25kYXJ5LXRpdGxlPjwvdGl0bGVzPjxwZXJpb2RpY2FsPjxmdWxsLXRpdGxl
PkogTWF0ZXJuIEZldGFsIE5lb25hdGFsIE1lZDwvZnVsbC10aXRsZT48L3BlcmlvZGljYWw+PHBh
Z2VzPjM0OTUtMzUwMTwvcGFnZXM+PHZvbHVtZT4zMjwvdm9sdW1lPjxudW1iZXI+MjA8L251bWJl
cj48ZWRpdGlvbj4yMDE4LzA1LzI1PC9lZGl0aW9uPjxrZXl3b3Jkcz48a2V5d29yZD5BZHVsdDwv
a2V5d29yZD48a2V5d29yZD4qRGlldDwva2V5d29yZD48a2V5d29yZD5EaWV0IFRoZXJhcHkvbWV0
aG9kczwva2V5d29yZD48a2V5d29yZD5FeGVyY2lzZS8qcGh5c2lvbG9neTwva2V5d29yZD48a2V5
d29yZD5FeGVyY2lzZSBUaGVyYXB5L21ldGhvZHM8L2tleXdvcmQ+PGtleXdvcmQ+RmVtYWxlPC9r
ZXl3b3JkPjxrZXl3b3JkPkh1bWFuczwva2V5d29yZD48a2V5d29yZD5PYmVzaXR5L2NvbXBsaWNh
dGlvbnMvZXBpZGVtaW9sb2d5Lyp0aGVyYXB5PC9rZXl3b3JkPjxrZXl3b3JkPk92ZXJ3ZWlnaHQv
Y29tcGxpY2F0aW9ucy9lcGlkZW1pb2xvZ3kvKnRoZXJhcHk8L2tleXdvcmQ+PGtleXdvcmQ+UHJl
LUVjbGFtcHNpYS9lcGlkZW1pb2xvZ3kvKnByZXZlbnRpb24gJmFtcDsgY29udHJvbDwva2V5d29y
ZD48a2V5d29yZD5QcmVnbmFuY3k8L2tleXdvcmQ+PGtleXdvcmQ+UHJlZ25hbmN5IENvbXBsaWNh
dGlvbnMvZXBpZGVtaW9sb2d5Lyp0aGVyYXB5PC9rZXl3b3JkPjxrZXl3b3JkPkRpZXQ8L2tleXdv
cmQ+PGtleXdvcmQ+UmN0PC9rZXl3b3JkPjxrZXl3b3JkPmV4ZXJjaXNlPC9rZXl3b3JkPjxrZXl3
b3JkPm1ldGEtYW5hbHlzaXM8L2tleXdvcmQ+PGtleXdvcmQ+b2Jlc2U8L2tleXdvcmQ+PGtleXdv
cmQ+cHJlZWNsYW1wc2lhPC9rZXl3b3JkPjwva2V5d29yZHM+PGRhdGVzPjx5ZWFyPjIwMTk8L3ll
YXI+PHB1Yi1kYXRlcz48ZGF0ZT5PY3Q8L2RhdGU+PC9wdWItZGF0ZXM+PC9kYXRlcz48aXNibj4x
NDc2LTQ5NTQgKEVsZWN0cm9uaWMpJiN4RDsxNDc2LTQ5NTQgKExpbmtpbmcpPC9pc2JuPjxhY2Nl
c3Npb24tbnVtPjI5NzkyMDYxPC9hY2Nlc3Npb24tbnVtPjx1cmxzPjxyZWxhdGVkLXVybHM+PHVy
bD5odHRwczovL3d3dy5uY2JpLm5sbS5uaWguZ292L3B1Ym1lZC8yOTc5MjA2MTwvdXJsPjwvcmVs
YXRlZC11cmxzPjwvdXJscz48ZWxlY3Ryb25pYy1yZXNvdXJjZS1udW0+MTAuMTA4MC8xNDc2NzA1
OC4yMDE4LjE0ODEwMzc8L2VsZWN0cm9uaWMtcmVzb3VyY2UtbnVtPjwvcmVjb3JkPjwvQ2l0ZT48
L0VuZE5vdGU+AG==
</w:fldData>
              </w:fldChar>
            </w:r>
            <w:r w:rsidR="002747EA">
              <w:rPr>
                <w:noProof/>
              </w:rPr>
              <w:instrText xml:space="preserve"> ADDIN EN.CITE </w:instrText>
            </w:r>
            <w:r w:rsidR="002747EA">
              <w:rPr>
                <w:noProof/>
              </w:rPr>
              <w:fldChar w:fldCharType="begin">
                <w:fldData xml:space="preserve">PEVuZE5vdGU+PENpdGU+PEF1dGhvcj5TeW5nZWxha2k8L0F1dGhvcj48WWVhcj4yMDE5PC9ZZWFy
PjxSZWNOdW0+MTk1MDwvUmVjTnVtPjxEaXNwbGF5VGV4dD48c3R5bGUgZmFjZT0ic3VwZXJzY3Jp
cHQiIGZvbnQ9IlRyZWJ1Y2hldCBNUyIgc2l6ZT0iOSI+NDIzPC9zdHlsZT48L0Rpc3BsYXlUZXh0
PjxyZWNvcmQ+PHJlYy1udW1iZXI+MTk1MDwvcmVjLW51bWJlcj48Zm9yZWlnbi1rZXlzPjxrZXkg
YXBwPSJFTiIgZGItaWQ9ImV4dmFzcmZ4MmR0cmFvZXNhc3hwMnN6c3hhMmRmNTAyNTkyeCIgdGlt
ZXN0YW1wPSIxNTg4NzI4NDgxIj4xOTUwPC9rZXk+PGtleSBhcHA9IkVOV2ViIiBkYi1pZD0iIj4w
PC9rZXk+PC9mb3JlaWduLWtleXM+PHJlZi10eXBlIG5hbWU9IkpvdXJuYWwgQXJ0aWNsZSI+MTc8
L3JlZi10eXBlPjxjb250cmlidXRvcnM+PGF1dGhvcnM+PGF1dGhvcj5TeW5nZWxha2ksIEEuPC9h
dXRob3I+PGF1dGhvcj5TZXF1ZWlyYSBDYW1wb3MsIE0uPC9hdXRob3I+PGF1dGhvcj5Sb2Jlcmdl
LCBTLjwvYXV0aG9yPjxhdXRob3I+QW5kcmFkZSwgVy48L2F1dGhvcj48YXV0aG9yPk5pY29sYWlk
ZXMsIEsuIEguPC9hdXRob3I+PC9hdXRob3JzPjwvY29udHJpYnV0b3JzPjxhdXRoLWFkZHJlc3M+
YSBIYXJyaXMgQmlydGhyaWdodCBSZXNlYXJjaCBDZW50cmUgZm9yIEZldGFsIE1lZGljaW5lICwg
RmV0YWwgTWVkaWNpbmUgUmVzZWFyY2ggSW5zdGl0dXRlLCBLaW5nJmFwb3M7cyBDb2xsZWdlIEhv
c3BpdGFsICwgTG9uZG9uICwgVUsuJiN4RDtiIFNjaG9vbCBvZiBNZWRpY2luZSwgS2luZyZhcG9z
O3MgQ29sbGVnZSBMb25kb24gLCBMb25kb24gLCBVSy48L2F1dGgtYWRkcmVzcz48dGl0bGVzPjx0
aXRsZT5EaWV0IGFuZCBleGVyY2lzZSBmb3IgcHJlZWNsYW1wc2lhIHByZXZlbnRpb24gaW4gb3Zl
cndlaWdodCBhbmQgb2Jlc2UgcHJlZ25hbnQgd29tZW46IHN5c3RlbWF0aWMgcmV2aWV3IGFuZCBt
ZXRhLWFuYWx5c2lzPC90aXRsZT48c2Vjb25kYXJ5LXRpdGxlPkogTWF0ZXJuIEZldGFsIE5lb25h
dGFsIE1lZDwvc2Vjb25kYXJ5LXRpdGxlPjwvdGl0bGVzPjxwZXJpb2RpY2FsPjxmdWxsLXRpdGxl
PkogTWF0ZXJuIEZldGFsIE5lb25hdGFsIE1lZDwvZnVsbC10aXRsZT48L3BlcmlvZGljYWw+PHBh
Z2VzPjM0OTUtMzUwMTwvcGFnZXM+PHZvbHVtZT4zMjwvdm9sdW1lPjxudW1iZXI+MjA8L251bWJl
cj48ZWRpdGlvbj4yMDE4LzA1LzI1PC9lZGl0aW9uPjxrZXl3b3Jkcz48a2V5d29yZD5BZHVsdDwv
a2V5d29yZD48a2V5d29yZD4qRGlldDwva2V5d29yZD48a2V5d29yZD5EaWV0IFRoZXJhcHkvbWV0
aG9kczwva2V5d29yZD48a2V5d29yZD5FeGVyY2lzZS8qcGh5c2lvbG9neTwva2V5d29yZD48a2V5
d29yZD5FeGVyY2lzZSBUaGVyYXB5L21ldGhvZHM8L2tleXdvcmQ+PGtleXdvcmQ+RmVtYWxlPC9r
ZXl3b3JkPjxrZXl3b3JkPkh1bWFuczwva2V5d29yZD48a2V5d29yZD5PYmVzaXR5L2NvbXBsaWNh
dGlvbnMvZXBpZGVtaW9sb2d5Lyp0aGVyYXB5PC9rZXl3b3JkPjxrZXl3b3JkPk92ZXJ3ZWlnaHQv
Y29tcGxpY2F0aW9ucy9lcGlkZW1pb2xvZ3kvKnRoZXJhcHk8L2tleXdvcmQ+PGtleXdvcmQ+UHJl
LUVjbGFtcHNpYS9lcGlkZW1pb2xvZ3kvKnByZXZlbnRpb24gJmFtcDsgY29udHJvbDwva2V5d29y
ZD48a2V5d29yZD5QcmVnbmFuY3k8L2tleXdvcmQ+PGtleXdvcmQ+UHJlZ25hbmN5IENvbXBsaWNh
dGlvbnMvZXBpZGVtaW9sb2d5Lyp0aGVyYXB5PC9rZXl3b3JkPjxrZXl3b3JkPkRpZXQ8L2tleXdv
cmQ+PGtleXdvcmQ+UmN0PC9rZXl3b3JkPjxrZXl3b3JkPmV4ZXJjaXNlPC9rZXl3b3JkPjxrZXl3
b3JkPm1ldGEtYW5hbHlzaXM8L2tleXdvcmQ+PGtleXdvcmQ+b2Jlc2U8L2tleXdvcmQ+PGtleXdv
cmQ+cHJlZWNsYW1wc2lhPC9rZXl3b3JkPjwva2V5d29yZHM+PGRhdGVzPjx5ZWFyPjIwMTk8L3ll
YXI+PHB1Yi1kYXRlcz48ZGF0ZT5PY3Q8L2RhdGU+PC9wdWItZGF0ZXM+PC9kYXRlcz48aXNibj4x
NDc2LTQ5NTQgKEVsZWN0cm9uaWMpJiN4RDsxNDc2LTQ5NTQgKExpbmtpbmcpPC9pc2JuPjxhY2Nl
c3Npb24tbnVtPjI5NzkyMDYxPC9hY2Nlc3Npb24tbnVtPjx1cmxzPjxyZWxhdGVkLXVybHM+PHVy
bD5odHRwczovL3d3dy5uY2JpLm5sbS5uaWguZ292L3B1Ym1lZC8yOTc5MjA2MTwvdXJsPjwvcmVs
YXRlZC11cmxzPjwvdXJscz48ZWxlY3Ryb25pYy1yZXNvdXJjZS1udW0+MTAuMTA4MC8xNDc2NzA1
OC4yMDE4LjE0ODEwMzc8L2VsZWN0cm9uaWMtcmVzb3VyY2UtbnVtPjwvcmVjb3JkPjwvQ2l0ZT48
L0VuZE5vdGU+AG==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423</w:t>
            </w:r>
            <w:r w:rsidR="00D07346">
              <w:rPr>
                <w:noProof/>
              </w:rPr>
              <w:fldChar w:fldCharType="end"/>
            </w:r>
          </w:p>
        </w:tc>
        <w:tc>
          <w:tcPr>
            <w:tcW w:w="2547" w:type="dxa"/>
            <w:shd w:val="clear" w:color="auto" w:fill="auto"/>
          </w:tcPr>
          <w:p w14:paraId="7AB87124" w14:textId="5A38DDCA" w:rsidR="00792F14" w:rsidRDefault="00026EDE" w:rsidP="00A5540F">
            <w:pPr>
              <w:pStyle w:val="RCTstable"/>
            </w:pPr>
            <w:r>
              <w:t>Mixed BMIs</w:t>
            </w:r>
          </w:p>
        </w:tc>
        <w:tc>
          <w:tcPr>
            <w:tcW w:w="2982" w:type="dxa"/>
            <w:shd w:val="clear" w:color="auto" w:fill="auto"/>
          </w:tcPr>
          <w:p w14:paraId="10D95C54" w14:textId="0F7E078A" w:rsidR="00792F14" w:rsidRDefault="00026EDE" w:rsidP="00A5540F">
            <w:pPr>
              <w:pStyle w:val="RCTstable"/>
              <w:jc w:val="center"/>
            </w:pPr>
            <w:r>
              <w:t>RR 1.13 (0.45 to 2.86)</w:t>
            </w:r>
          </w:p>
        </w:tc>
        <w:tc>
          <w:tcPr>
            <w:tcW w:w="1134" w:type="dxa"/>
            <w:shd w:val="clear" w:color="auto" w:fill="auto"/>
          </w:tcPr>
          <w:p w14:paraId="7DB7CBDE" w14:textId="70F3F632" w:rsidR="00792F14" w:rsidRDefault="00026EDE" w:rsidP="00A5540F">
            <w:pPr>
              <w:pStyle w:val="RCTstable"/>
              <w:jc w:val="center"/>
            </w:pPr>
            <w:r>
              <w:t>3</w:t>
            </w:r>
          </w:p>
        </w:tc>
      </w:tr>
      <w:tr w:rsidR="00A5540F" w:rsidRPr="00B87066" w14:paraId="6D9DAB27" w14:textId="77777777" w:rsidTr="00A5540F">
        <w:tc>
          <w:tcPr>
            <w:tcW w:w="2841" w:type="dxa"/>
            <w:tcBorders>
              <w:bottom w:val="single" w:sz="4" w:space="0" w:color="3B3474"/>
            </w:tcBorders>
            <w:shd w:val="clear" w:color="auto" w:fill="auto"/>
          </w:tcPr>
          <w:p w14:paraId="5E825653" w14:textId="46BEC636" w:rsidR="00A5540F" w:rsidRDefault="00A5540F" w:rsidP="002747EA">
            <w:pPr>
              <w:pStyle w:val="RCTstable"/>
            </w:pPr>
            <w:r>
              <w:t>Zheng et al 2017</w:t>
            </w:r>
            <w:r>
              <w:fldChar w:fldCharType="begin"/>
            </w:r>
            <w:r w:rsidR="002747EA">
              <w:instrText xml:space="preserve"> ADDIN EN.CITE &lt;EndNote&gt;&lt;Cite&gt;&lt;Author&gt;Zheng&lt;/Author&gt;&lt;Year&gt;2017&lt;/Year&gt;&lt;RecNum&gt;1186&lt;/RecNum&gt;&lt;DisplayText&gt;&lt;style face="superscript" font="Trebuchet MS" size="9"&gt;469&lt;/style&gt;&lt;/DisplayText&gt;&lt;record&gt;&lt;rec-number&gt;1186&lt;/rec-number&gt;&lt;foreign-keys&gt;&lt;key app="EN" db-id="exvasrfx2dtraoesasxp2szsxa2df502592x" timestamp="1559007913"&gt;1186&lt;/key&gt;&lt;key app="ENWeb" db-id=""&gt;0&lt;/key&gt;&lt;/foreign-keys&gt;&lt;ref-type name="Journal Article"&gt;17&lt;/ref-type&gt;&lt;contributors&gt;&lt;authors&gt;&lt;author&gt;Zheng, J.&lt;/author&gt;&lt;author&gt;Wang,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number&gt;10&lt;/number&gt;&lt;section&gt;1027&lt;/section&gt;&lt;dates&gt;&lt;year&gt;2017&lt;/year&gt;&lt;/dates&gt;&lt;isbn&gt;1720-8386&lt;/isbn&gt;&lt;urls&gt;&lt;/urls&gt;&lt;electronic-resource-num&gt;10.1007/s40618-017-0673-3&lt;/electronic-resource-num&gt;&lt;/record&gt;&lt;/Cite&gt;&lt;/EndNote&gt;</w:instrText>
            </w:r>
            <w:r>
              <w:fldChar w:fldCharType="separate"/>
            </w:r>
            <w:r w:rsidR="002747EA" w:rsidRPr="002747EA">
              <w:rPr>
                <w:noProof/>
                <w:sz w:val="18"/>
                <w:vertAlign w:val="superscript"/>
              </w:rPr>
              <w:t>469</w:t>
            </w:r>
            <w:r>
              <w:fldChar w:fldCharType="end"/>
            </w:r>
          </w:p>
        </w:tc>
        <w:tc>
          <w:tcPr>
            <w:tcW w:w="2547" w:type="dxa"/>
            <w:tcBorders>
              <w:bottom w:val="single" w:sz="4" w:space="0" w:color="3B3474"/>
            </w:tcBorders>
            <w:shd w:val="clear" w:color="auto" w:fill="auto"/>
          </w:tcPr>
          <w:p w14:paraId="4936A85C" w14:textId="77777777" w:rsidR="00A5540F" w:rsidRDefault="00A5540F" w:rsidP="00A5540F">
            <w:pPr>
              <w:pStyle w:val="RCTstable"/>
            </w:pPr>
            <w:r>
              <w:t>Mixed BMIs</w:t>
            </w:r>
          </w:p>
        </w:tc>
        <w:tc>
          <w:tcPr>
            <w:tcW w:w="2982" w:type="dxa"/>
            <w:tcBorders>
              <w:bottom w:val="single" w:sz="4" w:space="0" w:color="3B3474"/>
            </w:tcBorders>
            <w:shd w:val="clear" w:color="auto" w:fill="auto"/>
          </w:tcPr>
          <w:p w14:paraId="50E5B513" w14:textId="77777777" w:rsidR="00A5540F" w:rsidRDefault="00A5540F" w:rsidP="00A5540F">
            <w:pPr>
              <w:pStyle w:val="RCTstable"/>
              <w:jc w:val="center"/>
            </w:pPr>
            <w:r>
              <w:t>OR 1.05 (0.53 to 2.07)</w:t>
            </w:r>
          </w:p>
        </w:tc>
        <w:tc>
          <w:tcPr>
            <w:tcW w:w="1134" w:type="dxa"/>
            <w:tcBorders>
              <w:bottom w:val="single" w:sz="4" w:space="0" w:color="3B3474"/>
            </w:tcBorders>
            <w:shd w:val="clear" w:color="auto" w:fill="auto"/>
          </w:tcPr>
          <w:p w14:paraId="17608A13" w14:textId="77777777" w:rsidR="00A5540F" w:rsidRDefault="00A5540F" w:rsidP="00A5540F">
            <w:pPr>
              <w:pStyle w:val="RCTstable"/>
              <w:jc w:val="center"/>
            </w:pPr>
            <w:r>
              <w:t>2</w:t>
            </w:r>
          </w:p>
        </w:tc>
      </w:tr>
      <w:tr w:rsidR="00A5540F" w:rsidRPr="00B87066" w14:paraId="49EB4ACF" w14:textId="77777777" w:rsidTr="00A5540F">
        <w:tc>
          <w:tcPr>
            <w:tcW w:w="9504" w:type="dxa"/>
            <w:gridSpan w:val="4"/>
            <w:shd w:val="clear" w:color="auto" w:fill="D9E2F3" w:themeFill="accent1" w:themeFillTint="33"/>
          </w:tcPr>
          <w:p w14:paraId="54BBF678" w14:textId="77777777" w:rsidR="00A5540F" w:rsidRPr="00B87066" w:rsidRDefault="00A5540F" w:rsidP="00A5540F">
            <w:pPr>
              <w:pStyle w:val="RCTstable"/>
              <w:rPr>
                <w:i/>
              </w:rPr>
            </w:pPr>
            <w:r>
              <w:rPr>
                <w:i/>
              </w:rPr>
              <w:t>Caesarean section</w:t>
            </w:r>
          </w:p>
        </w:tc>
      </w:tr>
      <w:tr w:rsidR="00A5540F" w:rsidRPr="00B87066" w14:paraId="66F3A193" w14:textId="77777777" w:rsidTr="00A5540F">
        <w:tc>
          <w:tcPr>
            <w:tcW w:w="2841" w:type="dxa"/>
            <w:tcBorders>
              <w:bottom w:val="single" w:sz="4" w:space="0" w:color="3B3474"/>
            </w:tcBorders>
            <w:shd w:val="clear" w:color="auto" w:fill="F2F2F2" w:themeFill="background1" w:themeFillShade="F2"/>
          </w:tcPr>
          <w:p w14:paraId="62A1D2A5"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751AEFE9"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2572B408" w14:textId="0C172B6C" w:rsidR="00A5540F" w:rsidRPr="00B70B7B" w:rsidRDefault="00A5540F" w:rsidP="00941544">
            <w:pPr>
              <w:pStyle w:val="RCTstable"/>
              <w:jc w:val="center"/>
            </w:pPr>
            <w:r w:rsidRPr="00B70B7B">
              <w:t>RR 0.85 (0.</w:t>
            </w:r>
            <w:r w:rsidR="00941544" w:rsidRPr="00B70B7B">
              <w:t>7</w:t>
            </w:r>
            <w:r w:rsidR="00941544">
              <w:t>4</w:t>
            </w:r>
            <w:r w:rsidR="00941544" w:rsidRPr="00B70B7B">
              <w:t xml:space="preserve"> </w:t>
            </w:r>
            <w:r w:rsidRPr="00B70B7B">
              <w:t>to 0.98)</w:t>
            </w:r>
          </w:p>
        </w:tc>
        <w:tc>
          <w:tcPr>
            <w:tcW w:w="1134" w:type="dxa"/>
            <w:tcBorders>
              <w:bottom w:val="single" w:sz="4" w:space="0" w:color="3B3474"/>
            </w:tcBorders>
            <w:shd w:val="clear" w:color="auto" w:fill="F2F2F2" w:themeFill="background1" w:themeFillShade="F2"/>
          </w:tcPr>
          <w:p w14:paraId="3C717072" w14:textId="14D46B13" w:rsidR="00A5540F" w:rsidRPr="00B87066" w:rsidRDefault="00FE7368" w:rsidP="00A5540F">
            <w:pPr>
              <w:pStyle w:val="RCTstable"/>
              <w:jc w:val="center"/>
            </w:pPr>
            <w:r>
              <w:t>25</w:t>
            </w:r>
          </w:p>
        </w:tc>
      </w:tr>
      <w:tr w:rsidR="00531C07" w:rsidRPr="00C12274" w14:paraId="419E6712" w14:textId="77777777" w:rsidTr="0002532B">
        <w:tc>
          <w:tcPr>
            <w:tcW w:w="2841" w:type="dxa"/>
          </w:tcPr>
          <w:p w14:paraId="5EA3A84E" w14:textId="21519185" w:rsidR="00531C07" w:rsidRDefault="00531C07"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477CAD00" w14:textId="77777777" w:rsidR="00531C07" w:rsidRDefault="00531C07" w:rsidP="0002532B">
            <w:pPr>
              <w:pStyle w:val="RCTstable"/>
            </w:pPr>
            <w:r>
              <w:t>Mixed BMIs</w:t>
            </w:r>
          </w:p>
        </w:tc>
        <w:tc>
          <w:tcPr>
            <w:tcW w:w="2982" w:type="dxa"/>
          </w:tcPr>
          <w:p w14:paraId="1505ABB9" w14:textId="20CB5EEC" w:rsidR="00531C07" w:rsidRDefault="00531C07" w:rsidP="0002532B">
            <w:pPr>
              <w:pStyle w:val="RCTstable"/>
              <w:jc w:val="center"/>
              <w:rPr>
                <w:rFonts w:eastAsiaTheme="majorEastAsia"/>
              </w:rPr>
            </w:pPr>
            <w:r>
              <w:rPr>
                <w:rFonts w:eastAsiaTheme="majorEastAsia"/>
              </w:rPr>
              <w:t>RR 0.99 (0.85 to 1.17)</w:t>
            </w:r>
          </w:p>
        </w:tc>
        <w:tc>
          <w:tcPr>
            <w:tcW w:w="1134" w:type="dxa"/>
          </w:tcPr>
          <w:p w14:paraId="1599A011" w14:textId="2AF7947D" w:rsidR="00531C07" w:rsidRDefault="00531C07" w:rsidP="0002532B">
            <w:pPr>
              <w:pStyle w:val="RCTstable"/>
              <w:jc w:val="center"/>
            </w:pPr>
            <w:r>
              <w:t>9</w:t>
            </w:r>
          </w:p>
        </w:tc>
      </w:tr>
      <w:tr w:rsidR="00FF3859" w:rsidRPr="008A66F0" w14:paraId="70621E76" w14:textId="77777777" w:rsidTr="00A5540F">
        <w:tc>
          <w:tcPr>
            <w:tcW w:w="2841" w:type="dxa"/>
            <w:shd w:val="clear" w:color="auto" w:fill="auto"/>
          </w:tcPr>
          <w:p w14:paraId="7B83329B" w14:textId="0D8E5E45" w:rsidR="00FF3859" w:rsidRPr="008A66F0" w:rsidRDefault="00FF3859" w:rsidP="002747EA">
            <w:pPr>
              <w:pStyle w:val="RCTstable"/>
            </w:pPr>
            <w:r w:rsidRPr="008A66F0">
              <w:t>Davenport et al 2019</w:t>
            </w:r>
            <w:r w:rsidR="00F15900">
              <w:t>d</w:t>
            </w:r>
            <w:r w:rsidR="003E3405">
              <w:fldChar w:fldCharType="begin">
                <w:fldData xml:space="preserve">PEVuZE5vdGU+PENpdGU+PEF1dGhvcj5EYXZlbnBvcnQ8L0F1dGhvcj48WWVhcj4yMDE5PC9ZZWFy
PjxSZWNOdW0+MTIxOTwvUmVjTnVtPjxEaXNwbGF5VGV4dD48c3R5bGUgZmFjZT0ic3VwZXJzY3Jp
cHQiIGZvbnQ9IlRyZWJ1Y2hldCBNUyIgc2l6ZT0iOSI+NDczPC9zdHlsZT48L0Rpc3BsYXlUZXh0
PjxyZWNvcmQ+PHJlYy1udW1iZXI+MTIxOTwvcmVjLW51bWJlcj48Zm9yZWlnbi1rZXlzPjxrZXkg
YXBwPSJFTiIgZGItaWQ9ImV4dmFzcmZ4MmR0cmFvZXNhc3hwMnN6c3hhMmRmNTAyNTkyeCIgdGlt
ZXN0YW1wPSIxNTYyNDY3MjEwIj4xMjE5PC9rZXk+PGtleSBhcHA9IkVOV2ViIiBkYi1pZD0iIj4w
PC9rZXk+PC9mb3JlaWduLWtleXM+PHJlZi10eXBlIG5hbWU9IkpvdXJuYWwgQXJ0aWNsZSI+MTc8
L3JlZi10eXBlPjxjb250cmlidXRvcnM+PGF1dGhvcnM+PGF1dGhvcj5EYXZlbnBvcnQsIE0uIEgu
PC9hdXRob3I+PGF1dGhvcj5SdWNoYXQsIFMuIE0uPC9hdXRob3I+PGF1dGhvcj5Tb2JpZXJhanNr
aSwgRi48L2F1dGhvcj48YXV0aG9yPlBvaXRyYXMsIFYuIEouPC9hdXRob3I+PGF1dGhvcj5HcmF5
LCBDLiBFLjwvYXV0aG9yPjxhdXRob3I+WW9vLCBDLjwvYXV0aG9yPjxhdXRob3I+U2tvdywgUi4g
Si48L2F1dGhvcj48YXV0aG9yPkphcmFtaWxsbyBHYXJjaWEsIEEuPC9hdXRob3I+PGF1dGhvcj5C
YXJyb3dtYW4sIE4uPC9hdXRob3I+PGF1dGhvcj5NZWFoLCBWLiBMLjwvYXV0aG9yPjxhdXRob3I+
TmFncGFsLCBULiBTLjwvYXV0aG9yPjxhdXRob3I+Umlza2UsIEwuPC9hdXRob3I+PGF1dGhvcj5K
YW1lcywgTS48L2F1dGhvcj48YXV0aG9yPk51c3BsLCBNLjwvYXV0aG9yPjxhdXRob3I+V2Vla3Ms
IEEuPC9hdXRob3I+PGF1dGhvcj5NYXJjaGFuZCwgQS4gQS48L2F1dGhvcj48YXV0aG9yPlNsYXRl
ciwgTC4gRy48L2F1dGhvcj48YXV0aG9yPkFkYW1vLCBLLiBCLjwvYXV0aG9yPjxhdXRob3I+RGF2
aWVzLCBHLiBBLjwvYXV0aG9yPjxhdXRob3I+QmFyYWthdCwgUi48L2F1dGhvcj48YXV0aG9yPk1v
dHRvbGEsIE0uIEYuPC9hdXRob3I+PC9hdXRob3JzPjwvY29udHJpYnV0b3JzPjxhdXRoLWFkZHJl
c3M+UHJvZ3JhbSBmb3IgUHJlZ25hbmN5IGFuZCBQb3N0cGFydHVtIEhlYWx0aCwgUGh5c2ljYWwg
QWN0aXZpdHkgYW5kIERpYWJldGVzIExhYm9yYXRvcnksIEZhY3VsdHkgb2YgS2luZXNpb2xvZ3ks
IFNwb3J0IGFuZCBSZWNyZWF0aW9uLCBXb21lbiBhbmQgQ2hpbGRyZW4mYXBvcztzIEhlYWx0aCBS
ZXNlYXJjaCBJbnN0aXR1dGUsIEFsYmVydGEgRGlhYmV0ZXMgSW5zdGl0dXRlLCBVbml2ZXJzaXR5
IG9mIEFsYmVydGEsIEVkbW9udG9uLCBBbGJlcnRhLCBDYW5hZGEuJiN4RDtEZXBhcnRtZW50IG9m
IEh1bWFuIEtpbmV0aWNzLCBVbml2ZXJzaXRlIGR1IFF1ZWJlYyBhIFRyb2lzLVJpdmllcmVzLCBU
cm9pcy1SaXZpZXJlcywgUXVlYmVjLCBDYW5hZGEuJiN4RDtJbmRlcGVuZGVudCByZXNlYXJjaGVy
LCBPdHRhd2EsIE9udGFyaW8sIENhbmFkYS4mI3hEO0hlYWx0aHkgQWN0aXZlIExpdmluZyBhbmQg
T2Jlc2l0eSBSZXNlYXJjaCBHcm91cCwgQ2hpbGRyZW4mYXBvcztzIEhvc3BpdGFsIG9mIEVhc3Rl
cm4gT250YXJpbyBSZXNlYXJjaCBJbnN0aXR1dGUsIE90dGF3YSwgT250YXJpbywgQ2FuYWRhLiYj
eEQ7Q2xpbmljYWwgUmVzZWFyY2ggVW5pdCwgQ2hpbGRyZW4mYXBvcztzIEhvc3BpdGFsIG9mIEVh
c3Rlcm4gT250YXJpbyBSZXNlYXJjaCBJbnN0aXR1dGUsIE90dGF3YSwgT250YXJpbywgQ2FuYWRh
LiYjeEQ7Q2FyZGlmZiBTY2hvb2wgb2YgU3BvcnQgYW5kIEhlYWx0aCBTY2llbmNlcywgQ2FyZGlm
ZiBNZXRyb3BvbGl0YW4gVW5pdmVyc2l0eSwgQ2FyZGlmZiwgVUsuJiN4RDtSLiBTYW11ZWwgTWNM
YXVnaGxpbiBGb3VuZGF0aW9uIC0gRXhlcmNpc2UgYW5kIFByZWduYW5jeSBMYWJvcmF0b3J5LCBT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dXRlICwgVGhlIFVuaXZlcnNpdHkgb2YgV2VzdGVybiBPbnRhcmlvLCBMb25kb24sIE9udGFyaW8s
IENhbmFkYS4mI3hEO0FsYmVydGEgUmVzZWFyY2ggQ2VudHJlIGZvciBIZWFsdGggRXZpZGVuY2Us
IEZhY3VsdHkgb2YgTWVkaWNpbmUgYW5kIERlbnRpc3RyeSwgVW5pdmVyc2l0eSBvZiBBbGJlcnRh
LCBFZG1vbnRvbiwgQWxiZXJ0YSwgQ2FuYWRhLiYjeEQ7SW50ZXJkaXNjaXBsaW5hcnkgU2Nob29s
IG9mIEhlYWx0aCBTY2llbmNlcywgVW5pdmVyc2l0eSBvZiBPdHRhd2EsIE90dGF3YSwgT250YXJp
bywgQ2FuYWRhLiYjeEQ7RGVwYXJ0bWVudCBvZiBBbmF0b215LCBVbml2ZXJzaXRlIGR1IFF1ZWJl
YyBhIFRyb2lzLVJpdmllcmVzLCBUcm9pcy1SaXZpZXJlcywgUXVlYmVjLCBDYW5hZGEuJiN4RDtK
b2huIFcuIFNjb3R0IEhlYWx0aCBTY2llbmNlcyBMaWJyYXJ5LCBVbml2ZXJzaXR5IG9mIEFsYmVy
dGEsIEVkbW9udG9uLCBBbGJlcnRhLCBDYW5hZGEuJiN4RDtTY2hvb2wgb2YgSHVtYW4gS2luZXRp
Y3MsIEZhY3VsdHkgb2YgSGVhbHRoIFNjaWVuY2VzLCBVbml2ZXJzaXR5IG9mIE90dGF3YSwgT3R0
YXdhLCBPbnRhcmlvLCBDYW5hZGEuJiN4RDtEZXBhcnRtZW50IG9mIE9ic3RldHJpY3MgYW5kIEd5
bmVjb2xvZ3ksIFF1ZWVuJmFwb3M7cyBVbml2ZXJzaXR5LCBLaW5nc3RvbiwgT250YXJpbywgQ2Fu
YWRhLiYjeEQ7RmFjdWx0YWQgZGUgQ2llbmNpYXMgZGUgbGEgQWN0aXZpZGFkIEZpc2ljYSB5IGRl
bCBEZXBvcnRlLUlORUYsIFVuaXZlcnNpZGFkIFBvbGl0ZWNuaWNhIGRlIE1hZHJpZCwgTWFkcmlk
LCBTcGFpbi48L2F1dGgtYWRkcmVzcz48dGl0bGVzPjx0aXRsZT5JbXBhY3Qgb2YgcHJlbmF0YWwg
ZXhlcmNpc2Ugb24gbWF0ZXJuYWwgaGFybXMsIGxhYm91ciBhbmQgZGVsaXZlcnkgb3V0Y29tZXM6
IGEgc3lzdGVtYXRpYyByZXZpZXcgYW5kIG1ldGEtYW5hbHlzaXM8L3RpdGxlPjxzZWNvbmRhcnkt
dGl0bGU+QnIgSiBTcG9ydHMgTWVkPC9zZWNvbmRhcnktdGl0bGU+PC90aXRsZXM+PHBlcmlvZGlj
YWw+PGZ1bGwtdGl0bGU+QnIgSiBTcG9ydHMgTWVkPC9mdWxsLXRpdGxlPjwvcGVyaW9kaWNhbD48
cGFnZXM+OTktMTA3PC9wYWdlcz48dm9sdW1lPjUzPC92b2x1bWU+PG51bWJlcj4yPC9udW1iZXI+
PGVkaXRpb24+MjAxOC8xMC8yMDwvZWRpdGlvbj48a2V5d29yZHM+PGtleXdvcmQ+Q2VzYXJlYW4g
U2VjdGlvbjwva2V5d29yZD48a2V5d29yZD4qRGVsaXZlcnksIE9ic3RldHJpYzwva2V5d29yZD48
a2V5d29yZD4qRXhlcmNpc2U8L2tleXdvcmQ+PGtleXdvcmQ+RmVtYWxlPC9rZXl3b3JkPjxrZXl3
b3JkPkZldGFsIE1lbWJyYW5lcywgUHJlbWF0dXJlIFJ1cHR1cmU8L2tleXdvcmQ+PGtleXdvcmQ+
SHVtYW5zPC9rZXl3b3JkPjxrZXl3b3JkPipMYWJvciwgT2JzdGV0cmljPC9rZXl3b3JkPjxrZXl3
b3JkPlByZWduYW5jeTwva2V5d29yZD48a2V5d29yZD5QcmVnbmFuY3kgT3V0Y29tZTwva2V5d29y
ZD48a2V5d29yZD5SYW5kb21pemVkIENvbnRyb2xsZWQgVHJpYWxzIGFzIFRvcGljPC9rZXl3b3Jk
PjxrZXl3b3JkPmV4ZXJjaXNlPC9rZXl3b3JkPjwva2V5d29yZHM+PGRhdGVzPjx5ZWFyPjIwMTk8
L3llYXI+PHB1Yi1kYXRlcz48ZGF0ZT5KYW48L2RhdGU+PC9wdWItZGF0ZXM+PC9kYXRlcz48aXNi
bj4xNDczLTA0ODAgKEVsZWN0cm9uaWMpJiN4RDswMzA2LTM2NzQgKExpbmtpbmcpPC9pc2JuPjxh
Y2Nlc3Npb24tbnVtPjMwMzM3MzQ5PC9hY2Nlc3Npb24tbnVtPjx1cmxzPjxyZWxhdGVkLXVybHM+
PHVybD5odHRwczovL3d3dy5uY2JpLm5sbS5uaWguZ292L3B1Ym1lZC8zMDMzNzM0OTwvdXJsPjwv
cmVsYXRlZC11cmxzPjwvdXJscz48ZWxlY3Ryb25pYy1yZXNvdXJjZS1udW0+MTAuMTEzNi9ianNw
b3J0cy0yMDE4LTA5OTgyMTwvZWxlY3Ryb25pYy1yZXNvdXJjZS1udW0+PC9yZWNvcmQ+PC9DaXRl
PjwvRW5kTm90ZT5=
</w:fldData>
              </w:fldChar>
            </w:r>
            <w:r w:rsidR="002747EA">
              <w:instrText xml:space="preserve"> ADDIN EN.CITE </w:instrText>
            </w:r>
            <w:r w:rsidR="002747EA">
              <w:fldChar w:fldCharType="begin">
                <w:fldData xml:space="preserve">PEVuZE5vdGU+PENpdGU+PEF1dGhvcj5EYXZlbnBvcnQ8L0F1dGhvcj48WWVhcj4yMDE5PC9ZZWFy
PjxSZWNOdW0+MTIxOTwvUmVjTnVtPjxEaXNwbGF5VGV4dD48c3R5bGUgZmFjZT0ic3VwZXJzY3Jp
cHQiIGZvbnQ9IlRyZWJ1Y2hldCBNUyIgc2l6ZT0iOSI+NDczPC9zdHlsZT48L0Rpc3BsYXlUZXh0
PjxyZWNvcmQ+PHJlYy1udW1iZXI+MTIxOTwvcmVjLW51bWJlcj48Zm9yZWlnbi1rZXlzPjxrZXkg
YXBwPSJFTiIgZGItaWQ9ImV4dmFzcmZ4MmR0cmFvZXNhc3hwMnN6c3hhMmRmNTAyNTkyeCIgdGlt
ZXN0YW1wPSIxNTYyNDY3MjEwIj4xMjE5PC9rZXk+PGtleSBhcHA9IkVOV2ViIiBkYi1pZD0iIj4w
PC9rZXk+PC9mb3JlaWduLWtleXM+PHJlZi10eXBlIG5hbWU9IkpvdXJuYWwgQXJ0aWNsZSI+MTc8
L3JlZi10eXBlPjxjb250cmlidXRvcnM+PGF1dGhvcnM+PGF1dGhvcj5EYXZlbnBvcnQsIE0uIEgu
PC9hdXRob3I+PGF1dGhvcj5SdWNoYXQsIFMuIE0uPC9hdXRob3I+PGF1dGhvcj5Tb2JpZXJhanNr
aSwgRi48L2F1dGhvcj48YXV0aG9yPlBvaXRyYXMsIFYuIEouPC9hdXRob3I+PGF1dGhvcj5HcmF5
LCBDLiBFLjwvYXV0aG9yPjxhdXRob3I+WW9vLCBDLjwvYXV0aG9yPjxhdXRob3I+U2tvdywgUi4g
Si48L2F1dGhvcj48YXV0aG9yPkphcmFtaWxsbyBHYXJjaWEsIEEuPC9hdXRob3I+PGF1dGhvcj5C
YXJyb3dtYW4sIE4uPC9hdXRob3I+PGF1dGhvcj5NZWFoLCBWLiBMLjwvYXV0aG9yPjxhdXRob3I+
TmFncGFsLCBULiBTLjwvYXV0aG9yPjxhdXRob3I+Umlza2UsIEwuPC9hdXRob3I+PGF1dGhvcj5K
YW1lcywgTS48L2F1dGhvcj48YXV0aG9yPk51c3BsLCBNLjwvYXV0aG9yPjxhdXRob3I+V2Vla3Ms
IEEuPC9hdXRob3I+PGF1dGhvcj5NYXJjaGFuZCwgQS4gQS48L2F1dGhvcj48YXV0aG9yPlNsYXRl
ciwgTC4gRy48L2F1dGhvcj48YXV0aG9yPkFkYW1vLCBLLiBCLjwvYXV0aG9yPjxhdXRob3I+RGF2
aWVzLCBHLiBBLjwvYXV0aG9yPjxhdXRob3I+QmFyYWthdCwgUi48L2F1dGhvcj48YXV0aG9yPk1v
dHRvbGEsIE0uIEYuPC9hdXRob3I+PC9hdXRob3JzPjwvY29udHJpYnV0b3JzPjxhdXRoLWFkZHJl
c3M+UHJvZ3JhbSBmb3IgUHJlZ25hbmN5IGFuZCBQb3N0cGFydHVtIEhlYWx0aCwgUGh5c2ljYWwg
QWN0aXZpdHkgYW5kIERpYWJldGVzIExhYm9yYXRvcnksIEZhY3VsdHkgb2YgS2luZXNpb2xvZ3ks
IFNwb3J0IGFuZCBSZWNyZWF0aW9uLCBXb21lbiBhbmQgQ2hpbGRyZW4mYXBvcztzIEhlYWx0aCBS
ZXNlYXJjaCBJbnN0aXR1dGUsIEFsYmVydGEgRGlhYmV0ZXMgSW5zdGl0dXRlLCBVbml2ZXJzaXR5
IG9mIEFsYmVydGEsIEVkbW9udG9uLCBBbGJlcnRhLCBDYW5hZGEuJiN4RDtEZXBhcnRtZW50IG9m
IEh1bWFuIEtpbmV0aWNzLCBVbml2ZXJzaXRlIGR1IFF1ZWJlYyBhIFRyb2lzLVJpdmllcmVzLCBU
cm9pcy1SaXZpZXJlcywgUXVlYmVjLCBDYW5hZGEuJiN4RDtJbmRlcGVuZGVudCByZXNlYXJjaGVy
LCBPdHRhd2EsIE9udGFyaW8sIENhbmFkYS4mI3hEO0hlYWx0aHkgQWN0aXZlIExpdmluZyBhbmQg
T2Jlc2l0eSBSZXNlYXJjaCBHcm91cCwgQ2hpbGRyZW4mYXBvcztzIEhvc3BpdGFsIG9mIEVhc3Rl
cm4gT250YXJpbyBSZXNlYXJjaCBJbnN0aXR1dGUsIE90dGF3YSwgT250YXJpbywgQ2FuYWRhLiYj
eEQ7Q2xpbmljYWwgUmVzZWFyY2ggVW5pdCwgQ2hpbGRyZW4mYXBvcztzIEhvc3BpdGFsIG9mIEVh
c3Rlcm4gT250YXJpbyBSZXNlYXJjaCBJbnN0aXR1dGUsIE90dGF3YSwgT250YXJpbywgQ2FuYWRh
LiYjeEQ7Q2FyZGlmZiBTY2hvb2wgb2YgU3BvcnQgYW5kIEhlYWx0aCBTY2llbmNlcywgQ2FyZGlm
ZiBNZXRyb3BvbGl0YW4gVW5pdmVyc2l0eSwgQ2FyZGlmZiwgVUsuJiN4RDtSLiBTYW11ZWwgTWNM
YXVnaGxpbiBGb3VuZGF0aW9uIC0gRXhlcmNpc2UgYW5kIFByZWduYW5jeSBMYWJvcmF0b3J5LCBT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dXRlICwgVGhlIFVuaXZlcnNpdHkgb2YgV2VzdGVybiBPbnRhcmlvLCBMb25kb24sIE9udGFyaW8s
IENhbmFkYS4mI3hEO0FsYmVydGEgUmVzZWFyY2ggQ2VudHJlIGZvciBIZWFsdGggRXZpZGVuY2Us
IEZhY3VsdHkgb2YgTWVkaWNpbmUgYW5kIERlbnRpc3RyeSwgVW5pdmVyc2l0eSBvZiBBbGJlcnRh
LCBFZG1vbnRvbiwgQWxiZXJ0YSwgQ2FuYWRhLiYjeEQ7SW50ZXJkaXNjaXBsaW5hcnkgU2Nob29s
IG9mIEhlYWx0aCBTY2llbmNlcywgVW5pdmVyc2l0eSBvZiBPdHRhd2EsIE90dGF3YSwgT250YXJp
bywgQ2FuYWRhLiYjeEQ7RGVwYXJ0bWVudCBvZiBBbmF0b215LCBVbml2ZXJzaXRlIGR1IFF1ZWJl
YyBhIFRyb2lzLVJpdmllcmVzLCBUcm9pcy1SaXZpZXJlcywgUXVlYmVjLCBDYW5hZGEuJiN4RDtK
b2huIFcuIFNjb3R0IEhlYWx0aCBTY2llbmNlcyBMaWJyYXJ5LCBVbml2ZXJzaXR5IG9mIEFsYmVy
dGEsIEVkbW9udG9uLCBBbGJlcnRhLCBDYW5hZGEuJiN4RDtTY2hvb2wgb2YgSHVtYW4gS2luZXRp
Y3MsIEZhY3VsdHkgb2YgSGVhbHRoIFNjaWVuY2VzLCBVbml2ZXJzaXR5IG9mIE90dGF3YSwgT3R0
YXdhLCBPbnRhcmlvLCBDYW5hZGEuJiN4RDtEZXBhcnRtZW50IG9mIE9ic3RldHJpY3MgYW5kIEd5
bmVjb2xvZ3ksIFF1ZWVuJmFwb3M7cyBVbml2ZXJzaXR5LCBLaW5nc3RvbiwgT250YXJpbywgQ2Fu
YWRhLiYjeEQ7RmFjdWx0YWQgZGUgQ2llbmNpYXMgZGUgbGEgQWN0aXZpZGFkIEZpc2ljYSB5IGRl
bCBEZXBvcnRlLUlORUYsIFVuaXZlcnNpZGFkIFBvbGl0ZWNuaWNhIGRlIE1hZHJpZCwgTWFkcmlk
LCBTcGFpbi48L2F1dGgtYWRkcmVzcz48dGl0bGVzPjx0aXRsZT5JbXBhY3Qgb2YgcHJlbmF0YWwg
ZXhlcmNpc2Ugb24gbWF0ZXJuYWwgaGFybXMsIGxhYm91ciBhbmQgZGVsaXZlcnkgb3V0Y29tZXM6
IGEgc3lzdGVtYXRpYyByZXZpZXcgYW5kIG1ldGEtYW5hbHlzaXM8L3RpdGxlPjxzZWNvbmRhcnkt
dGl0bGU+QnIgSiBTcG9ydHMgTWVkPC9zZWNvbmRhcnktdGl0bGU+PC90aXRsZXM+PHBlcmlvZGlj
YWw+PGZ1bGwtdGl0bGU+QnIgSiBTcG9ydHMgTWVkPC9mdWxsLXRpdGxlPjwvcGVyaW9kaWNhbD48
cGFnZXM+OTktMTA3PC9wYWdlcz48dm9sdW1lPjUzPC92b2x1bWU+PG51bWJlcj4yPC9udW1iZXI+
PGVkaXRpb24+MjAxOC8xMC8yMDwvZWRpdGlvbj48a2V5d29yZHM+PGtleXdvcmQ+Q2VzYXJlYW4g
U2VjdGlvbjwva2V5d29yZD48a2V5d29yZD4qRGVsaXZlcnksIE9ic3RldHJpYzwva2V5d29yZD48
a2V5d29yZD4qRXhlcmNpc2U8L2tleXdvcmQ+PGtleXdvcmQ+RmVtYWxlPC9rZXl3b3JkPjxrZXl3
b3JkPkZldGFsIE1lbWJyYW5lcywgUHJlbWF0dXJlIFJ1cHR1cmU8L2tleXdvcmQ+PGtleXdvcmQ+
SHVtYW5zPC9rZXl3b3JkPjxrZXl3b3JkPipMYWJvciwgT2JzdGV0cmljPC9rZXl3b3JkPjxrZXl3
b3JkPlByZWduYW5jeTwva2V5d29yZD48a2V5d29yZD5QcmVnbmFuY3kgT3V0Y29tZTwva2V5d29y
ZD48a2V5d29yZD5SYW5kb21pemVkIENvbnRyb2xsZWQgVHJpYWxzIGFzIFRvcGljPC9rZXl3b3Jk
PjxrZXl3b3JkPmV4ZXJjaXNlPC9rZXl3b3JkPjwva2V5d29yZHM+PGRhdGVzPjx5ZWFyPjIwMTk8
L3llYXI+PHB1Yi1kYXRlcz48ZGF0ZT5KYW48L2RhdGU+PC9wdWItZGF0ZXM+PC9kYXRlcz48aXNi
bj4xNDczLTA0ODAgKEVsZWN0cm9uaWMpJiN4RDswMzA2LTM2NzQgKExpbmtpbmcpPC9pc2JuPjxh
Y2Nlc3Npb24tbnVtPjMwMzM3MzQ5PC9hY2Nlc3Npb24tbnVtPjx1cmxzPjxyZWxhdGVkLXVybHM+
PHVybD5odHRwczovL3d3dy5uY2JpLm5sbS5uaWguZ292L3B1Ym1lZC8zMDMzNzM0OTwvdXJsPjwv
cmVsYXRlZC11cmxzPjwvdXJscz48ZWxlY3Ryb25pYy1yZXNvdXJjZS1udW0+MTAuMTEzNi9ianNw
b3J0cy0yMDE4LTA5OTgyMTwvZWxlY3Ryb25pYy1yZXNvdXJjZS1udW0+PC9yZWNvcmQ+PC9DaXRl
PjwvRW5kTm90ZT5=
</w:fldData>
              </w:fldChar>
            </w:r>
            <w:r w:rsidR="002747EA">
              <w:instrText xml:space="preserve"> ADDIN EN.CITE.DATA </w:instrText>
            </w:r>
            <w:r w:rsidR="002747EA">
              <w:fldChar w:fldCharType="end"/>
            </w:r>
            <w:r w:rsidR="003E3405">
              <w:fldChar w:fldCharType="separate"/>
            </w:r>
            <w:r w:rsidR="002747EA" w:rsidRPr="002747EA">
              <w:rPr>
                <w:noProof/>
                <w:sz w:val="18"/>
                <w:vertAlign w:val="superscript"/>
              </w:rPr>
              <w:t>473</w:t>
            </w:r>
            <w:r w:rsidR="003E3405">
              <w:fldChar w:fldCharType="end"/>
            </w:r>
          </w:p>
        </w:tc>
        <w:tc>
          <w:tcPr>
            <w:tcW w:w="2547" w:type="dxa"/>
            <w:shd w:val="clear" w:color="auto" w:fill="auto"/>
          </w:tcPr>
          <w:p w14:paraId="733950BA" w14:textId="78CAD7F3" w:rsidR="00FF3859" w:rsidRPr="008A66F0" w:rsidRDefault="006741D1" w:rsidP="00A5540F">
            <w:pPr>
              <w:pStyle w:val="RCTstable"/>
            </w:pPr>
            <w:r w:rsidRPr="008A66F0">
              <w:t>Mixed BMIs</w:t>
            </w:r>
          </w:p>
        </w:tc>
        <w:tc>
          <w:tcPr>
            <w:tcW w:w="2982" w:type="dxa"/>
            <w:shd w:val="clear" w:color="auto" w:fill="auto"/>
          </w:tcPr>
          <w:p w14:paraId="78DAE97A" w14:textId="0E7AE376" w:rsidR="00FF3859" w:rsidRPr="008A66F0" w:rsidRDefault="001D3659" w:rsidP="00A5540F">
            <w:pPr>
              <w:pStyle w:val="RCTstable"/>
              <w:jc w:val="center"/>
            </w:pPr>
            <w:r w:rsidRPr="008A66F0">
              <w:t>OR 0.91 (0.79 to 1.05)</w:t>
            </w:r>
          </w:p>
        </w:tc>
        <w:tc>
          <w:tcPr>
            <w:tcW w:w="1134" w:type="dxa"/>
            <w:shd w:val="clear" w:color="auto" w:fill="auto"/>
          </w:tcPr>
          <w:p w14:paraId="013BDB8B" w14:textId="27E0DEAA" w:rsidR="00FF3859" w:rsidRPr="008A66F0" w:rsidRDefault="006741D1" w:rsidP="00A5540F">
            <w:pPr>
              <w:pStyle w:val="RCTstable"/>
              <w:jc w:val="center"/>
            </w:pPr>
            <w:r w:rsidRPr="008A66F0">
              <w:t>46</w:t>
            </w:r>
          </w:p>
        </w:tc>
      </w:tr>
      <w:tr w:rsidR="00E80348" w:rsidRPr="008A66F0" w14:paraId="0FA09FCF" w14:textId="77777777" w:rsidTr="00A5540F">
        <w:tc>
          <w:tcPr>
            <w:tcW w:w="2841" w:type="dxa"/>
            <w:shd w:val="clear" w:color="auto" w:fill="auto"/>
          </w:tcPr>
          <w:p w14:paraId="1D5E7E59" w14:textId="6BAB03A4" w:rsidR="00E80348" w:rsidRPr="008A66F0" w:rsidRDefault="00E80348" w:rsidP="002747EA">
            <w:pPr>
              <w:pStyle w:val="RCTstable"/>
            </w:pPr>
            <w:r w:rsidRPr="008A66F0">
              <w:t>Domenjoz et al 2014</w:t>
            </w:r>
            <w:r w:rsidR="003E3405">
              <w:fldChar w:fldCharType="begin"/>
            </w:r>
            <w:r w:rsidR="002747EA">
              <w:instrText xml:space="preserve"> ADDIN EN.CITE &lt;EndNote&gt;&lt;Cite&gt;&lt;Author&gt;Domenjoz&lt;/Author&gt;&lt;Year&gt;2014&lt;/Year&gt;&lt;RecNum&gt;1220&lt;/RecNum&gt;&lt;DisplayText&gt;&lt;style face="superscript" font="Trebuchet MS" size="9"&gt;474&lt;/style&gt;&lt;/DisplayText&gt;&lt;record&gt;&lt;rec-number&gt;1220&lt;/rec-number&gt;&lt;foreign-keys&gt;&lt;key app="EN" db-id="exvasrfx2dtraoesasxp2szsxa2df502592x" timestamp="1562467301"&gt;1220&lt;/key&gt;&lt;key app="ENWeb" db-id=""&gt;0&lt;/key&gt;&lt;/foreign-keys&gt;&lt;ref-type name="Journal Article"&gt;17&lt;/ref-type&gt;&lt;contributors&gt;&lt;authors&gt;&lt;author&gt;Domenjoz, I.&lt;/author&gt;&lt;author&gt;Kayser, B.&lt;/author&gt;&lt;author&gt;Boulvain, M.&lt;/author&gt;&lt;/authors&gt;&lt;/contributors&gt;&lt;auth-address&gt;Faculty of Medicine of Geneva, Switzerland. Electronic address: domenjozi@bluewin.ch.&amp;#xD;Institute of Sports Sciences, University of Lausanne, Switzerland.&amp;#xD;Faculty of Medicine of Geneva, Switzerland.&lt;/auth-address&gt;&lt;titles&gt;&lt;title&gt;Effect of physical activity during pregnancy on mode of delivery&lt;/title&gt;&lt;secondary-title&gt;Am J Obstet Gynecol&lt;/secondary-title&gt;&lt;/titles&gt;&lt;periodical&gt;&lt;full-title&gt;Am J Obstet Gynecol&lt;/full-title&gt;&lt;/periodical&gt;&lt;pages&gt;401 e1-11&lt;/pages&gt;&lt;volume&gt;211&lt;/volume&gt;&lt;number&gt;4&lt;/number&gt;&lt;edition&gt;2014/03/19&lt;/edition&gt;&lt;keywords&gt;&lt;keyword&gt;Cesarean Section/statistics &amp;amp; numerical data&lt;/keyword&gt;&lt;keyword&gt;Delivery, Obstetric/*statistics &amp;amp; numerical data&lt;/keyword&gt;&lt;keyword&gt;*Exercise&lt;/keyword&gt;&lt;keyword&gt;Female&lt;/keyword&gt;&lt;keyword&gt;Humans&lt;/keyword&gt;&lt;keyword&gt;Models, Statistical&lt;/keyword&gt;&lt;keyword&gt;Obstetric Labor Complications/*prevention &amp;amp; control&lt;/keyword&gt;&lt;keyword&gt;Pregnancy&lt;/keyword&gt;&lt;keyword&gt;Prenatal Care/*methods&lt;/keyword&gt;&lt;keyword&gt;cesarean&lt;/keyword&gt;&lt;keyword&gt;delivery&lt;/keyword&gt;&lt;keyword&gt;physical activity&lt;/keyword&gt;&lt;/keywords&gt;&lt;dates&gt;&lt;year&gt;2014&lt;/year&gt;&lt;pub-dates&gt;&lt;date&gt;Oct&lt;/date&gt;&lt;/pub-dates&gt;&lt;/dates&gt;&lt;isbn&gt;1097-6868 (Electronic)&amp;#xD;0002-9378 (Linking)&lt;/isbn&gt;&lt;accession-num&gt;24631706&lt;/accession-num&gt;&lt;urls&gt;&lt;related-urls&gt;&lt;url&gt;https://www.ncbi.nlm.nih.gov/pubmed/24631706&lt;/url&gt;&lt;/related-urls&gt;&lt;/urls&gt;&lt;electronic-resource-num&gt;10.1016/j.ajog.2014.03.030&lt;/electronic-resource-num&gt;&lt;/record&gt;&lt;/Cite&gt;&lt;/EndNote&gt;</w:instrText>
            </w:r>
            <w:r w:rsidR="003E3405">
              <w:fldChar w:fldCharType="separate"/>
            </w:r>
            <w:r w:rsidR="002747EA" w:rsidRPr="002747EA">
              <w:rPr>
                <w:noProof/>
                <w:sz w:val="18"/>
                <w:vertAlign w:val="superscript"/>
              </w:rPr>
              <w:t>474</w:t>
            </w:r>
            <w:r w:rsidR="003E3405">
              <w:fldChar w:fldCharType="end"/>
            </w:r>
          </w:p>
        </w:tc>
        <w:tc>
          <w:tcPr>
            <w:tcW w:w="2547" w:type="dxa"/>
            <w:shd w:val="clear" w:color="auto" w:fill="auto"/>
          </w:tcPr>
          <w:p w14:paraId="4D21CEC2" w14:textId="725FB2F3" w:rsidR="00E80348" w:rsidRPr="008A66F0" w:rsidRDefault="00E80348" w:rsidP="00A5540F">
            <w:pPr>
              <w:pStyle w:val="RCTstable"/>
            </w:pPr>
            <w:r w:rsidRPr="008A66F0">
              <w:t>Mixed BMIs</w:t>
            </w:r>
          </w:p>
        </w:tc>
        <w:tc>
          <w:tcPr>
            <w:tcW w:w="2982" w:type="dxa"/>
            <w:shd w:val="clear" w:color="auto" w:fill="auto"/>
          </w:tcPr>
          <w:p w14:paraId="2505CBAF" w14:textId="30EDA540" w:rsidR="00E80348" w:rsidRPr="008A66F0" w:rsidRDefault="00E80348" w:rsidP="00816DA6">
            <w:pPr>
              <w:pStyle w:val="RCTstable"/>
              <w:jc w:val="center"/>
            </w:pPr>
            <w:r w:rsidRPr="008A66F0">
              <w:t xml:space="preserve">RR 0.85 (0.73 </w:t>
            </w:r>
            <w:r w:rsidR="00816DA6">
              <w:t>to</w:t>
            </w:r>
            <w:r w:rsidRPr="008A66F0">
              <w:t xml:space="preserve"> 0.99)</w:t>
            </w:r>
          </w:p>
        </w:tc>
        <w:tc>
          <w:tcPr>
            <w:tcW w:w="1134" w:type="dxa"/>
            <w:shd w:val="clear" w:color="auto" w:fill="auto"/>
          </w:tcPr>
          <w:p w14:paraId="6A63BEEE" w14:textId="107BA58A" w:rsidR="00E80348" w:rsidRPr="008A66F0" w:rsidRDefault="00E80348" w:rsidP="00A5540F">
            <w:pPr>
              <w:pStyle w:val="RCTstable"/>
              <w:jc w:val="center"/>
            </w:pPr>
            <w:r w:rsidRPr="008A66F0">
              <w:t>16</w:t>
            </w:r>
          </w:p>
        </w:tc>
      </w:tr>
      <w:tr w:rsidR="00B61974" w:rsidRPr="00B87066" w14:paraId="463393D2" w14:textId="77777777" w:rsidTr="00A5540F">
        <w:tc>
          <w:tcPr>
            <w:tcW w:w="2841" w:type="dxa"/>
            <w:shd w:val="clear" w:color="auto" w:fill="auto"/>
          </w:tcPr>
          <w:p w14:paraId="7FD387ED" w14:textId="5B1123C9" w:rsidR="00B61974" w:rsidRPr="008A66F0" w:rsidRDefault="00B61974" w:rsidP="002747EA">
            <w:pPr>
              <w:pStyle w:val="RCTstable"/>
            </w:pPr>
            <w:r w:rsidRPr="008A66F0">
              <w:t>Poyatos-Leon et al 2015</w:t>
            </w:r>
            <w:r w:rsidR="003E3405">
              <w:fldChar w:fldCharType="begin">
                <w:fldData xml:space="preserve">PEVuZE5vdGU+PENpdGU+PEF1dGhvcj5Qb3lhdG9zLUxlb248L0F1dGhvcj48WWVhcj4yMDE1PC9Z
ZWFyPjxSZWNOdW0+MTIyMTwvUmVjTnVtPjxEaXNwbGF5VGV4dD48c3R5bGUgZmFjZT0ic3VwZXJz
Y3JpcHQiIGZvbnQ9IlRyZWJ1Y2hldCBNUyIgc2l6ZT0iOSI+NDc1PC9zdHlsZT48L0Rpc3BsYXlU
ZXh0PjxyZWNvcmQ+PHJlYy1udW1iZXI+MTIyMTwvcmVjLW51bWJlcj48Zm9yZWlnbi1rZXlzPjxr
ZXkgYXBwPSJFTiIgZGItaWQ9ImV4dmFzcmZ4MmR0cmFvZXNhc3hwMnN6c3hhMmRmNTAyNTkyeCIg
dGltZXN0YW1wPSIxNTYyNDY3Mzc1Ij4xMjIxPC9rZXk+PGtleSBhcHA9IkVOV2ViIiBkYi1pZD0i
Ij4wPC9rZXk+PC9mb3JlaWduLWtleXM+PHJlZi10eXBlIG5hbWU9IkpvdXJuYWwgQXJ0aWNsZSI+
MTc8L3JlZi10eXBlPjxjb250cmlidXRvcnM+PGF1dGhvcnM+PGF1dGhvcj5Qb3lhdG9zLUxlb24s
IFIuPC9hdXRob3I+PGF1dGhvcj5HYXJjaWEtSGVybW9zbywgQS48L2F1dGhvcj48YXV0aG9yPlNh
bmFicmlhLU1hcnRpbmV6LCBHLjwvYXV0aG9yPjxhdXRob3I+QWx2YXJlei1CdWVubywgQy48L2F1
dGhvcj48YXV0aG9yPlNhbmNoZXotTG9wZXosIE0uPC9hdXRob3I+PGF1dGhvcj5NYXJ0aW5lei1W
aXpjYWlubywgVi48L2F1dGhvcj48L2F1dGhvcnM+PC9jb250cmlidXRvcnM+PGF1dGgtYWRkcmVz
cz5WaXJnZW4gZGUgbGEgTHV6IEhvc3BpdGFsLCBDdWVuY2EsIFNwYWluLiYjeEQ7UGh5c2ljYWwg
QWN0aXZpdHksIFNwb3J0IGFuZCBIZWFsdGggU2NpZW5jZXMgTGFib3JhdG9yeSwgVW5pdmVyc2l0
eSBvZiBTYW50aWFnbyBkZSBDaGlsZSwgVVNBQ0gsIFNhbnRpYWdvIGRlIENoaWxlLCBDaGlsZS4m
I3hEO1NjaG9vbCBvZiBFZHVjYXRpb24sIFVuaXZlcnNpdHkgb2YgQ2FzdGlsbGEtTGEgTWFuY2hh
LCBDaXVkYWQgUmVhbCwgU3BhaW4uJiN4RDtIZWFsdGggYW5kIFNvY2lhbCBSZXNlYXJjaCBDZW50
ZXIsIFVuaXZlcnNpdHkgb2YgQ2FzdGlsbGEtTGEgTWFuY2hhLCBDdWVuY2EsIFNwYWluLjwvYXV0
aC1hZGRyZXNzPjx0aXRsZXM+PHRpdGxlPkVmZmVjdHMgb2YgZXhlcmNpc2UgZHVyaW5nIHByZWdu
YW5jeSBvbiBtb2RlIG9mIGRlbGl2ZXJ5OiBhIG1ldGEtYW5hbHlzaXM8L3RpdGxlPjxzZWNvbmRh
cnktdGl0bGU+QWN0YSBPYnN0ZXQgR3luZWNvbCBTY2FuZDwvc2Vjb25kYXJ5LXRpdGxlPjwvdGl0
bGVzPjxwZXJpb2RpY2FsPjxmdWxsLXRpdGxlPkFjdGEgT2JzdGV0IEd5bmVjb2wgU2NhbmQ8L2Z1
bGwtdGl0bGU+PC9wZXJpb2RpY2FsPjxwYWdlcz4xMDM5LTQ3PC9wYWdlcz48dm9sdW1lPjk0PC92
b2x1bWU+PG51bWJlcj4xMDwvbnVtYmVyPjxlZGl0aW9uPjIwMTUvMDUvMTM8L2VkaXRpb24+PGtl
eXdvcmRzPjxrZXl3b3JkPkNlc2FyZWFuIFNlY3Rpb24vc3RhdGlzdGljcyAmYW1wOyBudW1lcmlj
YWwgZGF0YTwva2V5d29yZD48a2V5d29yZD5EZWxpdmVyeSwgT2JzdGV0cmljLypzdGF0aXN0aWNz
ICZhbXA7IG51bWVyaWNhbCBkYXRhPC9rZXl3b3JkPjxrZXl3b3JkPipFeGVyY2lzZTwva2V5d29y
ZD48a2V5d29yZD5FeHRyYWN0aW9uLCBPYnN0ZXRyaWNhbC9zdGF0aXN0aWNzICZhbXA7IG51bWVy
aWNhbCBkYXRhPC9rZXl3b3JkPjxrZXl3b3JkPkZlbWFsZTwva2V5d29yZD48a2V5d29yZD5IdW1h
bnM8L2tleXdvcmQ+PGtleXdvcmQ+UHJlZ25hbmN5PC9rZXl3b3JkPjxrZXl3b3JkPkV4ZXJjaXNl
PC9rZXl3b3JkPjxrZXl3b3JkPnBoeXNpY2FsIGFjdGl2aXR5PC9rZXl3b3JkPjxrZXl3b3JkPnBy
ZWduYW5jeSBvdXRjb21lPC9rZXl3b3JkPjxrZXl3b3JkPnR5cGUgb2YgZGVsaXZlcnk8L2tleXdv
cmQ+PC9rZXl3b3Jkcz48ZGF0ZXM+PHllYXI+MjAxNTwveWVhcj48cHViLWRhdGVzPjxkYXRlPk9j
dDwvZGF0ZT48L3B1Yi1kYXRlcz48L2RhdGVzPjxpc2JuPjE2MDAtMDQxMiAoRWxlY3Ryb25pYykm
I3hEOzAwMDEtNjM0OSAoTGlua2luZyk8L2lzYm4+PGFjY2Vzc2lvbi1udW0+MjU5NjUzNzg8L2Fj
Y2Vzc2lvbi1udW0+PHVybHM+PHJlbGF0ZWQtdXJscz48dXJsPmh0dHBzOi8vd3d3Lm5jYmkubmxt
Lm5paC5nb3YvcHVibWVkLzI1OTY1Mzc4PC91cmw+PC9yZWxhdGVkLXVybHM+PC91cmxzPjxlbGVj
dHJvbmljLXJlc291cmNlLW51bT4xMC4xMTExL2FvZ3MuMTI2NzU8L2VsZWN0cm9uaWMtcmVzb3Vy
Y2UtbnVtPjwvcmVjb3JkPjwvQ2l0ZT48L0VuZE5vdGU+AG==
</w:fldData>
              </w:fldChar>
            </w:r>
            <w:r w:rsidR="002747EA">
              <w:instrText xml:space="preserve"> ADDIN EN.CITE </w:instrText>
            </w:r>
            <w:r w:rsidR="002747EA">
              <w:fldChar w:fldCharType="begin">
                <w:fldData xml:space="preserve">PEVuZE5vdGU+PENpdGU+PEF1dGhvcj5Qb3lhdG9zLUxlb248L0F1dGhvcj48WWVhcj4yMDE1PC9Z
ZWFyPjxSZWNOdW0+MTIyMTwvUmVjTnVtPjxEaXNwbGF5VGV4dD48c3R5bGUgZmFjZT0ic3VwZXJz
Y3JpcHQiIGZvbnQ9IlRyZWJ1Y2hldCBNUyIgc2l6ZT0iOSI+NDc1PC9zdHlsZT48L0Rpc3BsYXlU
ZXh0PjxyZWNvcmQ+PHJlYy1udW1iZXI+MTIyMTwvcmVjLW51bWJlcj48Zm9yZWlnbi1rZXlzPjxr
ZXkgYXBwPSJFTiIgZGItaWQ9ImV4dmFzcmZ4MmR0cmFvZXNhc3hwMnN6c3hhMmRmNTAyNTkyeCIg
dGltZXN0YW1wPSIxNTYyNDY3Mzc1Ij4xMjIxPC9rZXk+PGtleSBhcHA9IkVOV2ViIiBkYi1pZD0i
Ij4wPC9rZXk+PC9mb3JlaWduLWtleXM+PHJlZi10eXBlIG5hbWU9IkpvdXJuYWwgQXJ0aWNsZSI+
MTc8L3JlZi10eXBlPjxjb250cmlidXRvcnM+PGF1dGhvcnM+PGF1dGhvcj5Qb3lhdG9zLUxlb24s
IFIuPC9hdXRob3I+PGF1dGhvcj5HYXJjaWEtSGVybW9zbywgQS48L2F1dGhvcj48YXV0aG9yPlNh
bmFicmlhLU1hcnRpbmV6LCBHLjwvYXV0aG9yPjxhdXRob3I+QWx2YXJlei1CdWVubywgQy48L2F1
dGhvcj48YXV0aG9yPlNhbmNoZXotTG9wZXosIE0uPC9hdXRob3I+PGF1dGhvcj5NYXJ0aW5lei1W
aXpjYWlubywgVi48L2F1dGhvcj48L2F1dGhvcnM+PC9jb250cmlidXRvcnM+PGF1dGgtYWRkcmVz
cz5WaXJnZW4gZGUgbGEgTHV6IEhvc3BpdGFsLCBDdWVuY2EsIFNwYWluLiYjeEQ7UGh5c2ljYWwg
QWN0aXZpdHksIFNwb3J0IGFuZCBIZWFsdGggU2NpZW5jZXMgTGFib3JhdG9yeSwgVW5pdmVyc2l0
eSBvZiBTYW50aWFnbyBkZSBDaGlsZSwgVVNBQ0gsIFNhbnRpYWdvIGRlIENoaWxlLCBDaGlsZS4m
I3hEO1NjaG9vbCBvZiBFZHVjYXRpb24sIFVuaXZlcnNpdHkgb2YgQ2FzdGlsbGEtTGEgTWFuY2hh
LCBDaXVkYWQgUmVhbCwgU3BhaW4uJiN4RDtIZWFsdGggYW5kIFNvY2lhbCBSZXNlYXJjaCBDZW50
ZXIsIFVuaXZlcnNpdHkgb2YgQ2FzdGlsbGEtTGEgTWFuY2hhLCBDdWVuY2EsIFNwYWluLjwvYXV0
aC1hZGRyZXNzPjx0aXRsZXM+PHRpdGxlPkVmZmVjdHMgb2YgZXhlcmNpc2UgZHVyaW5nIHByZWdu
YW5jeSBvbiBtb2RlIG9mIGRlbGl2ZXJ5OiBhIG1ldGEtYW5hbHlzaXM8L3RpdGxlPjxzZWNvbmRh
cnktdGl0bGU+QWN0YSBPYnN0ZXQgR3luZWNvbCBTY2FuZDwvc2Vjb25kYXJ5LXRpdGxlPjwvdGl0
bGVzPjxwZXJpb2RpY2FsPjxmdWxsLXRpdGxlPkFjdGEgT2JzdGV0IEd5bmVjb2wgU2NhbmQ8L2Z1
bGwtdGl0bGU+PC9wZXJpb2RpY2FsPjxwYWdlcz4xMDM5LTQ3PC9wYWdlcz48dm9sdW1lPjk0PC92
b2x1bWU+PG51bWJlcj4xMDwvbnVtYmVyPjxlZGl0aW9uPjIwMTUvMDUvMTM8L2VkaXRpb24+PGtl
eXdvcmRzPjxrZXl3b3JkPkNlc2FyZWFuIFNlY3Rpb24vc3RhdGlzdGljcyAmYW1wOyBudW1lcmlj
YWwgZGF0YTwva2V5d29yZD48a2V5d29yZD5EZWxpdmVyeSwgT2JzdGV0cmljLypzdGF0aXN0aWNz
ICZhbXA7IG51bWVyaWNhbCBkYXRhPC9rZXl3b3JkPjxrZXl3b3JkPipFeGVyY2lzZTwva2V5d29y
ZD48a2V5d29yZD5FeHRyYWN0aW9uLCBPYnN0ZXRyaWNhbC9zdGF0aXN0aWNzICZhbXA7IG51bWVy
aWNhbCBkYXRhPC9rZXl3b3JkPjxrZXl3b3JkPkZlbWFsZTwva2V5d29yZD48a2V5d29yZD5IdW1h
bnM8L2tleXdvcmQ+PGtleXdvcmQ+UHJlZ25hbmN5PC9rZXl3b3JkPjxrZXl3b3JkPkV4ZXJjaXNl
PC9rZXl3b3JkPjxrZXl3b3JkPnBoeXNpY2FsIGFjdGl2aXR5PC9rZXl3b3JkPjxrZXl3b3JkPnBy
ZWduYW5jeSBvdXRjb21lPC9rZXl3b3JkPjxrZXl3b3JkPnR5cGUgb2YgZGVsaXZlcnk8L2tleXdv
cmQ+PC9rZXl3b3Jkcz48ZGF0ZXM+PHllYXI+MjAxNTwveWVhcj48cHViLWRhdGVzPjxkYXRlPk9j
dDwvZGF0ZT48L3B1Yi1kYXRlcz48L2RhdGVzPjxpc2JuPjE2MDAtMDQxMiAoRWxlY3Ryb25pYykm
I3hEOzAwMDEtNjM0OSAoTGlua2luZyk8L2lzYm4+PGFjY2Vzc2lvbi1udW0+MjU5NjUzNzg8L2Fj
Y2Vzc2lvbi1udW0+PHVybHM+PHJlbGF0ZWQtdXJscz48dXJsPmh0dHBzOi8vd3d3Lm5jYmkubmxt
Lm5paC5nb3YvcHVibWVkLzI1OTY1Mzc4PC91cmw+PC9yZWxhdGVkLXVybHM+PC91cmxzPjxlbGVj
dHJvbmljLXJlc291cmNlLW51bT4xMC4xMTExL2FvZ3MuMTI2NzU8L2VsZWN0cm9uaWMtcmVzb3Vy
Y2UtbnVtPjwvcmVjb3JkPjwvQ2l0ZT48L0VuZE5vdGU+AG==
</w:fldData>
              </w:fldChar>
            </w:r>
            <w:r w:rsidR="002747EA">
              <w:instrText xml:space="preserve"> ADDIN EN.CITE.DATA </w:instrText>
            </w:r>
            <w:r w:rsidR="002747EA">
              <w:fldChar w:fldCharType="end"/>
            </w:r>
            <w:r w:rsidR="003E3405">
              <w:fldChar w:fldCharType="separate"/>
            </w:r>
            <w:r w:rsidR="002747EA" w:rsidRPr="002747EA">
              <w:rPr>
                <w:noProof/>
                <w:sz w:val="18"/>
                <w:vertAlign w:val="superscript"/>
              </w:rPr>
              <w:t>475</w:t>
            </w:r>
            <w:r w:rsidR="003E3405">
              <w:fldChar w:fldCharType="end"/>
            </w:r>
          </w:p>
        </w:tc>
        <w:tc>
          <w:tcPr>
            <w:tcW w:w="2547" w:type="dxa"/>
            <w:shd w:val="clear" w:color="auto" w:fill="auto"/>
          </w:tcPr>
          <w:p w14:paraId="71128136" w14:textId="399135F6" w:rsidR="00B61974" w:rsidRPr="008A66F0" w:rsidRDefault="00B61974" w:rsidP="00A5540F">
            <w:pPr>
              <w:pStyle w:val="RCTstable"/>
            </w:pPr>
            <w:r w:rsidRPr="008A66F0">
              <w:t>Mixed BMIS</w:t>
            </w:r>
          </w:p>
        </w:tc>
        <w:tc>
          <w:tcPr>
            <w:tcW w:w="2982" w:type="dxa"/>
            <w:shd w:val="clear" w:color="auto" w:fill="auto"/>
          </w:tcPr>
          <w:p w14:paraId="6DF3E708" w14:textId="12CFE94C" w:rsidR="00B61974" w:rsidRPr="008A66F0" w:rsidRDefault="00B61974" w:rsidP="00A5540F">
            <w:pPr>
              <w:pStyle w:val="RCTstable"/>
              <w:jc w:val="center"/>
            </w:pPr>
            <w:r w:rsidRPr="008A66F0">
              <w:t>RR 0.78 (0.58 to 1.05)</w:t>
            </w:r>
          </w:p>
        </w:tc>
        <w:tc>
          <w:tcPr>
            <w:tcW w:w="1134" w:type="dxa"/>
            <w:shd w:val="clear" w:color="auto" w:fill="auto"/>
          </w:tcPr>
          <w:p w14:paraId="40F305D5" w14:textId="43BAB827" w:rsidR="00B61974" w:rsidRDefault="00B61974" w:rsidP="00A5540F">
            <w:pPr>
              <w:pStyle w:val="RCTstable"/>
              <w:jc w:val="center"/>
            </w:pPr>
            <w:r w:rsidRPr="008A66F0">
              <w:t>10</w:t>
            </w:r>
          </w:p>
        </w:tc>
      </w:tr>
      <w:tr w:rsidR="00A5540F" w:rsidRPr="00B87066" w14:paraId="196D1A27" w14:textId="77777777" w:rsidTr="00A5540F">
        <w:tc>
          <w:tcPr>
            <w:tcW w:w="2841" w:type="dxa"/>
            <w:shd w:val="clear" w:color="auto" w:fill="auto"/>
          </w:tcPr>
          <w:p w14:paraId="2B8A6E47" w14:textId="69E63567" w:rsidR="00A5540F" w:rsidRPr="00B87066" w:rsidRDefault="00A5540F" w:rsidP="002747EA">
            <w:pPr>
              <w:pStyle w:val="RCTstable"/>
            </w:pPr>
            <w:r>
              <w:t>Han et al 2012</w:t>
            </w:r>
            <w:r>
              <w:fldChar w:fldCharType="begin"/>
            </w:r>
            <w:r w:rsidR="002747EA">
              <w:instrText xml:space="preserve"> ADDIN EN.CITE &lt;EndNote&gt;&lt;Cite&gt;&lt;Author&gt;Han&lt;/Author&gt;&lt;Year&gt;2012&lt;/Year&gt;&lt;RecNum&gt;635&lt;/RecNum&gt;&lt;DisplayText&gt;&lt;style face="superscript" font="Trebuchet MS" size="9"&gt;467&lt;/style&gt;&lt;/DisplayText&gt;&lt;record&gt;&lt;rec-number&gt;635&lt;/rec-number&gt;&lt;foreign-keys&gt;&lt;key app="EN" db-id="exvasrfx2dtraoesasxp2szsxa2df502592x" timestamp="1540429015"&gt;635&lt;/key&gt;&lt;key app="ENWeb" db-id=""&gt;0&lt;/key&gt;&lt;/foreign-keys&gt;&lt;ref-type name="Journal Article"&gt;17&lt;/ref-type&gt;&lt;contributors&gt;&lt;authors&gt;&lt;author&gt;Han, S.,&lt;/author&gt;&lt;author&gt;Middleton, P.,&lt;/author&gt;&lt;author&gt;Crowther, C.A.,&lt;/author&gt;&lt;/authors&gt;&lt;/contributors&gt;&lt;titles&gt;&lt;title&gt;Exercise for pregnant women for preventing gestational diabetes mellitus&lt;/title&gt;&lt;secondary-title&gt;Cochrane Database of Systematic Reviews&lt;/secondary-title&gt;&lt;/titles&gt;&lt;periodical&gt;&lt;full-title&gt;Cochrane Database of Systematic Reviews&lt;/full-title&gt;&lt;/periodical&gt;&lt;dates&gt;&lt;year&gt;2012&lt;/year&gt;&lt;/dates&gt;&lt;isbn&gt;14651858&lt;/isbn&gt;&lt;urls&gt;&lt;/urls&gt;&lt;electronic-resource-num&gt;10.1002/14651858.CD009021.pub2&lt;/electronic-resource-num&gt;&lt;/record&gt;&lt;/Cite&gt;&lt;/EndNote&gt;</w:instrText>
            </w:r>
            <w:r>
              <w:fldChar w:fldCharType="separate"/>
            </w:r>
            <w:r w:rsidR="002747EA" w:rsidRPr="002747EA">
              <w:rPr>
                <w:noProof/>
                <w:sz w:val="18"/>
                <w:vertAlign w:val="superscript"/>
              </w:rPr>
              <w:t>467</w:t>
            </w:r>
            <w:r>
              <w:fldChar w:fldCharType="end"/>
            </w:r>
          </w:p>
        </w:tc>
        <w:tc>
          <w:tcPr>
            <w:tcW w:w="2547" w:type="dxa"/>
            <w:shd w:val="clear" w:color="auto" w:fill="auto"/>
          </w:tcPr>
          <w:p w14:paraId="78B56684" w14:textId="77777777" w:rsidR="00A5540F" w:rsidRPr="00B87066" w:rsidRDefault="00A5540F" w:rsidP="00A5540F">
            <w:pPr>
              <w:pStyle w:val="RCTstable"/>
            </w:pPr>
            <w:r>
              <w:t>Mixed BMIs</w:t>
            </w:r>
          </w:p>
        </w:tc>
        <w:tc>
          <w:tcPr>
            <w:tcW w:w="2982" w:type="dxa"/>
            <w:shd w:val="clear" w:color="auto" w:fill="auto"/>
          </w:tcPr>
          <w:p w14:paraId="622AD627" w14:textId="77777777" w:rsidR="00A5540F" w:rsidRPr="00B87066" w:rsidRDefault="00A5540F" w:rsidP="00A5540F">
            <w:pPr>
              <w:pStyle w:val="RCTstable"/>
              <w:jc w:val="center"/>
            </w:pPr>
            <w:r>
              <w:t>RR 1.33 (0.97 to 1.84)</w:t>
            </w:r>
          </w:p>
        </w:tc>
        <w:tc>
          <w:tcPr>
            <w:tcW w:w="1134" w:type="dxa"/>
            <w:shd w:val="clear" w:color="auto" w:fill="auto"/>
          </w:tcPr>
          <w:p w14:paraId="20668E48" w14:textId="77777777" w:rsidR="00A5540F" w:rsidRPr="00B87066" w:rsidRDefault="00A5540F" w:rsidP="00A5540F">
            <w:pPr>
              <w:pStyle w:val="RCTstable"/>
              <w:jc w:val="center"/>
            </w:pPr>
            <w:r>
              <w:t>2</w:t>
            </w:r>
          </w:p>
        </w:tc>
      </w:tr>
      <w:tr w:rsidR="00A5540F" w:rsidRPr="00B87066" w14:paraId="169ED6FF" w14:textId="77777777" w:rsidTr="00A5540F">
        <w:tc>
          <w:tcPr>
            <w:tcW w:w="2841" w:type="dxa"/>
            <w:vMerge w:val="restart"/>
          </w:tcPr>
          <w:p w14:paraId="09911447" w14:textId="1EBD82D3" w:rsidR="00A5540F" w:rsidRPr="00B87066" w:rsidRDefault="00A5540F"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p>
        </w:tc>
        <w:tc>
          <w:tcPr>
            <w:tcW w:w="2547" w:type="dxa"/>
          </w:tcPr>
          <w:p w14:paraId="1DC38D8F" w14:textId="77777777" w:rsidR="00A5540F" w:rsidRPr="00B87066"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tcPr>
          <w:p w14:paraId="721A6F67" w14:textId="77777777" w:rsidR="00A5540F" w:rsidRPr="00B87066" w:rsidRDefault="00A5540F" w:rsidP="00A5540F">
            <w:pPr>
              <w:pStyle w:val="RCTstable"/>
              <w:jc w:val="center"/>
            </w:pPr>
            <w:r>
              <w:t>OR 0.82 (0.67 to 1.01)</w:t>
            </w:r>
          </w:p>
        </w:tc>
        <w:tc>
          <w:tcPr>
            <w:tcW w:w="1134" w:type="dxa"/>
          </w:tcPr>
          <w:p w14:paraId="7B30B50E" w14:textId="77777777" w:rsidR="00A5540F" w:rsidRPr="00B87066" w:rsidRDefault="00A5540F" w:rsidP="00A5540F">
            <w:pPr>
              <w:pStyle w:val="RCTstable"/>
              <w:jc w:val="center"/>
            </w:pPr>
            <w:r>
              <w:t>13</w:t>
            </w:r>
          </w:p>
        </w:tc>
      </w:tr>
      <w:tr w:rsidR="00A5540F" w:rsidRPr="00B87066" w14:paraId="3413BB00" w14:textId="77777777" w:rsidTr="00A5540F">
        <w:tc>
          <w:tcPr>
            <w:tcW w:w="2841" w:type="dxa"/>
            <w:vMerge/>
          </w:tcPr>
          <w:p w14:paraId="66AAA051" w14:textId="77777777" w:rsidR="00A5540F" w:rsidRPr="00C12274" w:rsidRDefault="00A5540F" w:rsidP="00A5540F">
            <w:pPr>
              <w:pStyle w:val="RCTstable"/>
              <w:rPr>
                <w:noProof/>
              </w:rPr>
            </w:pPr>
          </w:p>
        </w:tc>
        <w:tc>
          <w:tcPr>
            <w:tcW w:w="2547" w:type="dxa"/>
          </w:tcPr>
          <w:p w14:paraId="3AD53FA8" w14:textId="77777777" w:rsidR="00A5540F" w:rsidRPr="00B87066"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tcPr>
          <w:p w14:paraId="21F7F004" w14:textId="77777777" w:rsidR="00A5540F" w:rsidRPr="00B87066" w:rsidRDefault="00A5540F" w:rsidP="00A5540F">
            <w:pPr>
              <w:pStyle w:val="RCTstable"/>
              <w:jc w:val="center"/>
            </w:pPr>
            <w:r>
              <w:t>OR 0.83 (0.73 to 0.95)</w:t>
            </w:r>
          </w:p>
        </w:tc>
        <w:tc>
          <w:tcPr>
            <w:tcW w:w="1134" w:type="dxa"/>
          </w:tcPr>
          <w:p w14:paraId="3FBF9714" w14:textId="77777777" w:rsidR="00A5540F" w:rsidRPr="00B87066" w:rsidRDefault="00A5540F" w:rsidP="00A5540F">
            <w:pPr>
              <w:pStyle w:val="RCTstable"/>
              <w:jc w:val="center"/>
            </w:pPr>
            <w:r>
              <w:t>32</w:t>
            </w:r>
          </w:p>
        </w:tc>
      </w:tr>
      <w:tr w:rsidR="00206761" w:rsidRPr="00B87066" w14:paraId="2A0A471C" w14:textId="77777777" w:rsidTr="00A5540F">
        <w:tc>
          <w:tcPr>
            <w:tcW w:w="2841" w:type="dxa"/>
          </w:tcPr>
          <w:p w14:paraId="36723597" w14:textId="6176BD01" w:rsidR="00206761" w:rsidRPr="00C12274" w:rsidRDefault="00206761" w:rsidP="002747EA">
            <w:pPr>
              <w:pStyle w:val="RCTstable"/>
              <w:rPr>
                <w:noProof/>
              </w:rPr>
            </w:pPr>
            <w:r>
              <w:rPr>
                <w:noProof/>
              </w:rPr>
              <w:t>Magro-Malosso et al 2017</w:t>
            </w:r>
            <w:r w:rsidR="00283324">
              <w:rPr>
                <w:noProof/>
              </w:rPr>
              <w:fldChar w:fldCharType="begin"/>
            </w:r>
            <w:r w:rsidR="002747EA">
              <w:rPr>
                <w:noProof/>
              </w:rPr>
              <w:instrText xml:space="preserve"> ADDIN EN.CITE &lt;EndNote&gt;&lt;Cite&gt;&lt;Author&gt;Magro-Malosso&lt;/Author&gt;&lt;Year&gt;2017&lt;/Year&gt;&lt;RecNum&gt;891&lt;/RecNum&gt;&lt;DisplayText&gt;&lt;style face="superscript" font="Trebuchet MS" size="9"&gt;472&lt;/style&gt;&lt;/DisplayText&gt;&lt;record&gt;&lt;rec-number&gt;891&lt;/rec-number&gt;&lt;foreign-keys&gt;&lt;key app="EN" db-id="exvasrfx2dtraoesasxp2szsxa2df502592x" timestamp="1541540800"&gt;891&lt;/key&gt;&lt;key app="ENWeb" db-id=""&gt;0&lt;/key&gt;&lt;/foreign-keys&gt;&lt;ref-type name="Journal Article"&gt;17&lt;/ref-type&gt;&lt;contributors&gt;&lt;authors&gt;&lt;author&gt;Magro-Malosso, Elena R.&lt;/author&gt;&lt;author&gt;Saccone, Gabriele&lt;/author&gt;&lt;author&gt;Di Tommaso, Mariarosaria&lt;/author&gt;&lt;author&gt;Roman, Amanda&lt;/author&gt;&lt;author&gt;Berghella, Vincenzo&lt;/author&gt;&lt;/authors&gt;&lt;/contributors&gt;&lt;titles&gt;&lt;title&gt;Exercise during pregnancy and risk of gestational hypertensive disorders: a systematic review and meta-analysis&lt;/title&gt;&lt;secondary-title&gt;Acta Obstetricia et Gynecologica Scandinavica&lt;/secondary-title&gt;&lt;/titles&gt;&lt;periodical&gt;&lt;full-title&gt;Acta Obstetricia et Gynecologica Scandinavica&lt;/full-title&gt;&lt;/periodical&gt;&lt;pages&gt;921-931&lt;/pages&gt;&lt;volume&gt;96&lt;/volume&gt;&lt;number&gt;8&lt;/number&gt;&lt;section&gt;921&lt;/section&gt;&lt;dates&gt;&lt;year&gt;2017&lt;/year&gt;&lt;/dates&gt;&lt;isbn&gt;00016349&lt;/isbn&gt;&lt;urls&gt;&lt;/urls&gt;&lt;electronic-resource-num&gt;10.1111/aogs.13151&lt;/electronic-resource-num&gt;&lt;/record&gt;&lt;/Cite&gt;&lt;/EndNote&gt;</w:instrText>
            </w:r>
            <w:r w:rsidR="00283324">
              <w:rPr>
                <w:noProof/>
              </w:rPr>
              <w:fldChar w:fldCharType="separate"/>
            </w:r>
            <w:r w:rsidR="002747EA" w:rsidRPr="002747EA">
              <w:rPr>
                <w:noProof/>
                <w:sz w:val="18"/>
                <w:vertAlign w:val="superscript"/>
              </w:rPr>
              <w:t>472</w:t>
            </w:r>
            <w:r w:rsidR="00283324">
              <w:rPr>
                <w:noProof/>
              </w:rPr>
              <w:fldChar w:fldCharType="end"/>
            </w:r>
          </w:p>
        </w:tc>
        <w:tc>
          <w:tcPr>
            <w:tcW w:w="2547" w:type="dxa"/>
          </w:tcPr>
          <w:p w14:paraId="567EC1FD" w14:textId="48D73AFB" w:rsidR="00206761" w:rsidRDefault="00206761" w:rsidP="00A5540F">
            <w:pPr>
              <w:pStyle w:val="RCTstable"/>
            </w:pPr>
            <w:r>
              <w:t>Mixed BMIs</w:t>
            </w:r>
          </w:p>
        </w:tc>
        <w:tc>
          <w:tcPr>
            <w:tcW w:w="2982" w:type="dxa"/>
          </w:tcPr>
          <w:p w14:paraId="57E4E279" w14:textId="589908CE" w:rsidR="00206761" w:rsidRDefault="00206761" w:rsidP="00A5540F">
            <w:pPr>
              <w:pStyle w:val="RCTstable"/>
              <w:jc w:val="center"/>
            </w:pPr>
            <w:r>
              <w:t>RR 0.84 (0.73 to 0.98)</w:t>
            </w:r>
          </w:p>
        </w:tc>
        <w:tc>
          <w:tcPr>
            <w:tcW w:w="1134" w:type="dxa"/>
          </w:tcPr>
          <w:p w14:paraId="02D11474" w14:textId="01F3ADA4" w:rsidR="00206761" w:rsidRDefault="00206761" w:rsidP="00A5540F">
            <w:pPr>
              <w:pStyle w:val="RCTstable"/>
              <w:jc w:val="center"/>
            </w:pPr>
            <w:r>
              <w:t>14</w:t>
            </w:r>
          </w:p>
        </w:tc>
      </w:tr>
      <w:tr w:rsidR="00A5540F" w:rsidRPr="00B87066" w14:paraId="443DFB49" w14:textId="77777777" w:rsidTr="00A5540F">
        <w:tc>
          <w:tcPr>
            <w:tcW w:w="2841" w:type="dxa"/>
          </w:tcPr>
          <w:p w14:paraId="73F9B594" w14:textId="22330DA2"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4DB7F303" w14:textId="77777777" w:rsidR="00A5540F" w:rsidRPr="00B87066" w:rsidRDefault="00A5540F" w:rsidP="00A5540F">
            <w:pPr>
              <w:pStyle w:val="RCTstable"/>
            </w:pPr>
            <w:r>
              <w:t>Mixed risk</w:t>
            </w:r>
          </w:p>
        </w:tc>
        <w:tc>
          <w:tcPr>
            <w:tcW w:w="2982" w:type="dxa"/>
          </w:tcPr>
          <w:p w14:paraId="24F2AADC" w14:textId="77777777" w:rsidR="00A5540F" w:rsidRPr="00B87066" w:rsidRDefault="00A5540F" w:rsidP="00A5540F">
            <w:pPr>
              <w:pStyle w:val="RCTstable"/>
              <w:jc w:val="center"/>
            </w:pPr>
            <w:r>
              <w:t>RR 0.96 (0.76 to 1.22)</w:t>
            </w:r>
          </w:p>
        </w:tc>
        <w:tc>
          <w:tcPr>
            <w:tcW w:w="1134" w:type="dxa"/>
          </w:tcPr>
          <w:p w14:paraId="0C917B90" w14:textId="77777777" w:rsidR="00A5540F" w:rsidRPr="00B87066" w:rsidRDefault="00A5540F" w:rsidP="00A5540F">
            <w:pPr>
              <w:pStyle w:val="RCTstable"/>
              <w:jc w:val="center"/>
            </w:pPr>
            <w:r>
              <w:t>6</w:t>
            </w:r>
          </w:p>
        </w:tc>
      </w:tr>
      <w:tr w:rsidR="00A5540F" w:rsidRPr="00B87066" w14:paraId="0B397467" w14:textId="77777777" w:rsidTr="00A5540F">
        <w:tc>
          <w:tcPr>
            <w:tcW w:w="2841" w:type="dxa"/>
          </w:tcPr>
          <w:p w14:paraId="18DDED4C" w14:textId="359FA312" w:rsidR="00A5540F" w:rsidRPr="00C12274" w:rsidRDefault="00A5540F" w:rsidP="002747EA">
            <w:pPr>
              <w:pStyle w:val="RCTstable"/>
              <w:rPr>
                <w:noProof/>
              </w:rPr>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14E544EB" w14:textId="77777777" w:rsidR="00A5540F" w:rsidRDefault="00A5540F" w:rsidP="00A5540F">
            <w:pPr>
              <w:pStyle w:val="RCTstable"/>
            </w:pPr>
            <w:r w:rsidRPr="00C12274">
              <w:t>Mixed</w:t>
            </w:r>
            <w:r>
              <w:t xml:space="preserve"> BMIs</w:t>
            </w:r>
          </w:p>
        </w:tc>
        <w:tc>
          <w:tcPr>
            <w:tcW w:w="2982" w:type="dxa"/>
          </w:tcPr>
          <w:p w14:paraId="3A91A9B6" w14:textId="77777777" w:rsidR="00A5540F" w:rsidRDefault="00A5540F" w:rsidP="00A5540F">
            <w:pPr>
              <w:pStyle w:val="RCTstable"/>
              <w:jc w:val="center"/>
            </w:pPr>
            <w:r>
              <w:t>RR 0.92 (0.68 to 1.24)</w:t>
            </w:r>
          </w:p>
        </w:tc>
        <w:tc>
          <w:tcPr>
            <w:tcW w:w="1134" w:type="dxa"/>
          </w:tcPr>
          <w:p w14:paraId="012889C1" w14:textId="77777777" w:rsidR="00A5540F" w:rsidRDefault="00A5540F" w:rsidP="00A5540F">
            <w:pPr>
              <w:pStyle w:val="RCTstable"/>
              <w:jc w:val="center"/>
            </w:pPr>
            <w:r>
              <w:t>4</w:t>
            </w:r>
          </w:p>
        </w:tc>
      </w:tr>
      <w:tr w:rsidR="00A5540F" w:rsidRPr="00B87066" w14:paraId="4C67003C" w14:textId="77777777" w:rsidTr="00A5540F">
        <w:tc>
          <w:tcPr>
            <w:tcW w:w="2841" w:type="dxa"/>
          </w:tcPr>
          <w:p w14:paraId="36334B3E" w14:textId="43546E73"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Pr>
          <w:p w14:paraId="68DA54DD" w14:textId="77777777" w:rsidR="00A5540F" w:rsidRPr="00C12274" w:rsidRDefault="00A5540F" w:rsidP="00A5540F">
            <w:pPr>
              <w:pStyle w:val="RCTstable"/>
            </w:pPr>
            <w:r>
              <w:t>Mixed BMIs</w:t>
            </w:r>
          </w:p>
        </w:tc>
        <w:tc>
          <w:tcPr>
            <w:tcW w:w="2982" w:type="dxa"/>
          </w:tcPr>
          <w:p w14:paraId="1AF68172" w14:textId="77777777" w:rsidR="00A5540F" w:rsidRDefault="00A5540F" w:rsidP="00A5540F">
            <w:pPr>
              <w:pStyle w:val="RCTstable"/>
              <w:jc w:val="center"/>
            </w:pPr>
            <w:r>
              <w:t>RR 0.88 (0.66 to 1.17)</w:t>
            </w:r>
          </w:p>
        </w:tc>
        <w:tc>
          <w:tcPr>
            <w:tcW w:w="1134" w:type="dxa"/>
          </w:tcPr>
          <w:p w14:paraId="7DD0C01C" w14:textId="77777777" w:rsidR="00A5540F" w:rsidRDefault="00A5540F" w:rsidP="00A5540F">
            <w:pPr>
              <w:pStyle w:val="RCTstable"/>
              <w:jc w:val="center"/>
            </w:pPr>
            <w:r>
              <w:t>5</w:t>
            </w:r>
          </w:p>
        </w:tc>
      </w:tr>
      <w:tr w:rsidR="00A5540F" w:rsidRPr="00B87066" w14:paraId="21CF3193" w14:textId="77777777" w:rsidTr="00A5540F">
        <w:tc>
          <w:tcPr>
            <w:tcW w:w="2841" w:type="dxa"/>
          </w:tcPr>
          <w:p w14:paraId="2680E6A0" w14:textId="6710E7FF"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3A1C4006" w14:textId="77777777" w:rsidR="00A5540F" w:rsidRPr="00B87066" w:rsidRDefault="00A5540F" w:rsidP="00A5540F">
            <w:pPr>
              <w:pStyle w:val="RCTstable"/>
            </w:pPr>
            <w:r>
              <w:t>High risk</w:t>
            </w:r>
          </w:p>
        </w:tc>
        <w:tc>
          <w:tcPr>
            <w:tcW w:w="2982" w:type="dxa"/>
          </w:tcPr>
          <w:p w14:paraId="68D0ECFC" w14:textId="77777777" w:rsidR="00A5540F" w:rsidRPr="00B87066" w:rsidRDefault="00A5540F" w:rsidP="00A5540F">
            <w:pPr>
              <w:pStyle w:val="RCTstable"/>
              <w:jc w:val="center"/>
            </w:pPr>
            <w:r>
              <w:t>RR 0.98 (0.81 to 1.20)</w:t>
            </w:r>
          </w:p>
        </w:tc>
        <w:tc>
          <w:tcPr>
            <w:tcW w:w="1134" w:type="dxa"/>
          </w:tcPr>
          <w:p w14:paraId="32207257" w14:textId="77777777" w:rsidR="00A5540F" w:rsidRPr="00B87066" w:rsidRDefault="00A5540F" w:rsidP="00A5540F">
            <w:pPr>
              <w:pStyle w:val="RCTstable"/>
              <w:jc w:val="center"/>
            </w:pPr>
            <w:r>
              <w:t>5</w:t>
            </w:r>
          </w:p>
        </w:tc>
      </w:tr>
      <w:tr w:rsidR="0006269C" w:rsidRPr="00B87066" w14:paraId="7C4C08AC" w14:textId="77777777" w:rsidTr="0006269C">
        <w:tc>
          <w:tcPr>
            <w:tcW w:w="9504" w:type="dxa"/>
            <w:gridSpan w:val="4"/>
            <w:shd w:val="clear" w:color="auto" w:fill="D9E2F3" w:themeFill="accent1" w:themeFillTint="33"/>
          </w:tcPr>
          <w:p w14:paraId="73A782A6" w14:textId="03009E01" w:rsidR="0006269C" w:rsidRPr="00B87066" w:rsidRDefault="00734EB1" w:rsidP="0006269C">
            <w:pPr>
              <w:pStyle w:val="RCTstable"/>
              <w:rPr>
                <w:i/>
              </w:rPr>
            </w:pPr>
            <w:r>
              <w:rPr>
                <w:i/>
              </w:rPr>
              <w:t>Antenatal depression</w:t>
            </w:r>
          </w:p>
        </w:tc>
      </w:tr>
      <w:tr w:rsidR="0006269C" w:rsidRPr="00B87066" w14:paraId="147EEB33" w14:textId="77777777" w:rsidTr="0006269C">
        <w:tc>
          <w:tcPr>
            <w:tcW w:w="2841" w:type="dxa"/>
            <w:tcBorders>
              <w:bottom w:val="single" w:sz="4" w:space="0" w:color="3B3474"/>
            </w:tcBorders>
            <w:shd w:val="clear" w:color="auto" w:fill="F2F2F2" w:themeFill="background1" w:themeFillShade="F2"/>
          </w:tcPr>
          <w:p w14:paraId="0BF59DC2" w14:textId="77777777" w:rsidR="0006269C" w:rsidRPr="00B87066" w:rsidRDefault="0006269C" w:rsidP="0006269C">
            <w:pPr>
              <w:pStyle w:val="RCTstable"/>
            </w:pPr>
            <w:r w:rsidRPr="00B87066">
              <w:t>Current review</w:t>
            </w:r>
          </w:p>
        </w:tc>
        <w:tc>
          <w:tcPr>
            <w:tcW w:w="2547" w:type="dxa"/>
            <w:tcBorders>
              <w:bottom w:val="single" w:sz="4" w:space="0" w:color="3B3474"/>
            </w:tcBorders>
            <w:shd w:val="clear" w:color="auto" w:fill="F2F2F2" w:themeFill="background1" w:themeFillShade="F2"/>
          </w:tcPr>
          <w:p w14:paraId="68B1C4E9" w14:textId="77777777" w:rsidR="0006269C" w:rsidRPr="00B87066" w:rsidRDefault="0006269C" w:rsidP="0006269C">
            <w:pPr>
              <w:pStyle w:val="RCTstable"/>
            </w:pPr>
            <w:r w:rsidRPr="00B87066">
              <w:t>Mixed BMIs</w:t>
            </w:r>
          </w:p>
        </w:tc>
        <w:tc>
          <w:tcPr>
            <w:tcW w:w="2982" w:type="dxa"/>
            <w:tcBorders>
              <w:bottom w:val="single" w:sz="4" w:space="0" w:color="3B3474"/>
            </w:tcBorders>
            <w:shd w:val="clear" w:color="auto" w:fill="F2F2F2" w:themeFill="background1" w:themeFillShade="F2"/>
          </w:tcPr>
          <w:p w14:paraId="06DC09A5" w14:textId="44C2B235" w:rsidR="0006269C" w:rsidRPr="00B70B7B" w:rsidRDefault="00734EB1" w:rsidP="00FE7368">
            <w:pPr>
              <w:pStyle w:val="RCTstable"/>
              <w:jc w:val="center"/>
            </w:pPr>
            <w:r>
              <w:t>RR 0.4</w:t>
            </w:r>
            <w:r w:rsidR="00FE7368">
              <w:t>4</w:t>
            </w:r>
            <w:r>
              <w:t xml:space="preserve"> (0.</w:t>
            </w:r>
            <w:r w:rsidR="00FE7368">
              <w:t>32</w:t>
            </w:r>
            <w:r>
              <w:t xml:space="preserve"> to 0.61)</w:t>
            </w:r>
          </w:p>
        </w:tc>
        <w:tc>
          <w:tcPr>
            <w:tcW w:w="1134" w:type="dxa"/>
            <w:tcBorders>
              <w:bottom w:val="single" w:sz="4" w:space="0" w:color="3B3474"/>
            </w:tcBorders>
            <w:shd w:val="clear" w:color="auto" w:fill="F2F2F2" w:themeFill="background1" w:themeFillShade="F2"/>
          </w:tcPr>
          <w:p w14:paraId="426AC11A" w14:textId="7C3B7577" w:rsidR="0006269C" w:rsidRPr="00B87066" w:rsidRDefault="00FE7368" w:rsidP="0006269C">
            <w:pPr>
              <w:pStyle w:val="RCTstable"/>
              <w:jc w:val="center"/>
            </w:pPr>
            <w:r>
              <w:t>6</w:t>
            </w:r>
          </w:p>
        </w:tc>
      </w:tr>
      <w:tr w:rsidR="0006269C" w:rsidRPr="008A66F0" w14:paraId="0AAF82F9" w14:textId="77777777" w:rsidTr="0006269C">
        <w:tc>
          <w:tcPr>
            <w:tcW w:w="2841" w:type="dxa"/>
            <w:shd w:val="clear" w:color="auto" w:fill="auto"/>
          </w:tcPr>
          <w:p w14:paraId="6411B474" w14:textId="61C8CF45" w:rsidR="0006269C" w:rsidRPr="008A66F0" w:rsidRDefault="0006269C" w:rsidP="002747EA">
            <w:pPr>
              <w:pStyle w:val="RCTstable"/>
            </w:pPr>
            <w:r w:rsidRPr="008A66F0">
              <w:t>Davenport et al 2019</w:t>
            </w:r>
            <w:r w:rsidR="002345B7">
              <w:t>e</w:t>
            </w:r>
            <w:r w:rsidR="00283324">
              <w:fldChar w:fldCharType="begin">
                <w:fldData xml:space="preserve">PEVuZE5vdGU+PENpdGU+PEF1dGhvcj5EYXZlbnBvcnQ8L0F1dGhvcj48WWVhcj4yMDE4PC9ZZWFy
PjxSZWNOdW0+MTc4NTwvUmVjTnVtPjxEaXNwbGF5VGV4dD48c3R5bGUgZmFjZT0ic3VwZXJzY3Jp
cHQiIGZvbnQ9IlRyZWJ1Y2hldCBNUyIgc2l6ZT0iOSI+NDc2PC9zdHlsZT48L0Rpc3BsYXlUZXh0
PjxyZWNvcmQ+PHJlYy1udW1iZXI+MTc4NTwvcmVjLW51bWJlcj48Zm9yZWlnbi1rZXlzPjxrZXkg
YXBwPSJFTiIgZGItaWQ9ImV4dmFzcmZ4MmR0cmFvZXNhc3hwMnN6c3hhMmRmNTAyNTkyeCIgdGlt
ZXN0YW1wPSIxNTgzMjE0OTc5Ij4xNzg1PC9rZXk+PGtleSBhcHA9IkVOV2ViIiBkYi1pZD0iIj4w
PC9rZXk+PC9mb3JlaWduLWtleXM+PHJlZi10eXBlIG5hbWU9IkpvdXJuYWwgQXJ0aWNsZSI+MTc8
L3JlZi10eXBlPjxjb250cmlidXRvcnM+PGF1dGhvcnM+PGF1dGhvcj5EYXZlbnBvcnQsIE0uIEgu
PC9hdXRob3I+PGF1dGhvcj5NY0N1cmR5LCBBLiBQLjwvYXV0aG9yPjxhdXRob3I+TW90dG9sYSwg
TS4gRi48L2F1dGhvcj48YXV0aG9yPlNrb3csIFIuIEouPC9hdXRob3I+PGF1dGhvcj5NZWFoLCBW
LiBMLjwvYXV0aG9yPjxhdXRob3I+UG9pdHJhcywgVi4gSi48L2F1dGhvcj48YXV0aG9yPkphcmFt
aWxsbyBHYXJjaWEsIEEuPC9hdXRob3I+PGF1dGhvcj5HcmF5LCBDLiBFLjwvYXV0aG9yPjxhdXRo
b3I+QmFycm93bWFuLCBOLjwvYXV0aG9yPjxhdXRob3I+Umlza2UsIEwuPC9hdXRob3I+PGF1dGhv
cj5Tb2JpZXJhanNraSwgRi48L2F1dGhvcj48YXV0aG9yPkphbWVzLCBNLjwvYXV0aG9yPjxhdXRo
b3I+TmFncGFsLCBULjwvYXV0aG9yPjxhdXRob3I+TWFyY2hhbmQsIEEuIEEuPC9hdXRob3I+PGF1
dGhvcj5OdXNwbCwgTS48L2F1dGhvcj48YXV0aG9yPlNsYXRlciwgTC4gRy48L2F1dGhvcj48YXV0
aG9yPkJhcmFrYXQsIFIuPC9hdXRob3I+PGF1dGhvcj5BZGFtbywgSy4gQi48L2F1dGhvcj48YXV0
aG9yPkRhdmllcywgRy4gQS48L2F1dGhvcj48YXV0aG9yPlJ1Y2hhdCwgUy4gTS48L2F1dGhvcj48
L2F1dGhvcnM+PC9jb250cmlidXRvcnM+PGF1dGgtYWRkcmVzcz5Qcm9ncmFtIGZvciBQcmVnbmFu
Y3kgYW5kIFBvc3RwYXJ0dW0gSGVhbHRoLCBQaHlzaWNhbCBBY3Rpdml0eSBhbmQgRGlhYmV0ZXMg
TGFib3JhdG9yeSwgRmFjdWx0eSBvZiBLaW5lc2lvbG9neSwgU3BvcnQsIGFuZCBSZWNyZWF0aW9u
LCBXb21lbiBhbmQgQ2hpbGRyZW4mYXBvcztzIEhlYWx0aCBSZXNlYXJjaCBJbnN0aXR1dGUsIEFs
YmVydGEgRGlhYmV0ZXMgSW5zdGl0dXRlLCBVbml2ZXJzaXR5IG9mIEFsYmVydGEsIEVkbW9udG9u
LCBBbGJlcnRhLCBDYW5hZGEuJiN4RDtSLiBTYW11ZWwgTWNMYXVnaGxpbiBGb3VuZGF0aW9uLUV4
ZXJjaXNlIGFuZCBQcmVnbmFuY3kgTGFib3JhdG9yeSwgU2Nob29sIG9mIEtpbmVzaW9sb2d5LCBG
YWN1bHR5IG9mIEhlYWx0aCBTY2llbmNlcywgRGVwYXJ0bWVudCBvZiBBbmF0b215IGFuZCBDZWxs
IEJpb2xvZ3ksIFNjaHVsaWNoIFNjaG9vbCBvZiBNZWRpY2luZSBhbmQgRGVudGlzdHJ5LCBDaGls
ZHJlbiZhcG9zO3MgSGVhbHRoIFJlc2VhcmNoIEluc3RpdHV0ZSwgVGhlIFVuaXZlcnNpdHkgb2Yg
V2VzdGVybiBPbnRhcmlvLCBMb25kb24sIE9udGFyaW8sIENhbmFkYS4mI3hEO0NhcmRpZmYgU2No
b29sIG9mIFNwb3J0IGFuZCBIZWFsdGggU2NpZW5jZXMsIENhcmRpZmYgTWV0cm9wb2xpdGFuIFVu
aXZlcnNpdHksIENhcmRpZmYsIFVLLiYjeEQ7SW5kZXBlbmRlbnQgUmVzZWFyY2hlciwgT3R0YXdh
LCBPbnRhcmlvLCBDYW5hZGEuJiN4RDtIZWFsdGh5IEFjdGl2ZSBMaXZpbmcgYW5kIE9iZXNpdHkg
UmVzZWFyY2ggR3JvdXAsIENoaWxkcmVuJmFwb3M7cyBIb3NwaXRhbCBvZiBFYXN0ZXJuIE9udGFy
aW8gUmVzZWFyY2ggSW5zdGl0dXRlLCBPdHRhd2EsIE9udGFyaW8sIENhbmFkYS4mI3hEO0NsaW5p
Y2FsIFJlc2VhcmNoIFVuaXQsIENoaWxkcmVuJmFwb3M7cyBIb3NwaXRhbCBvZiBFYXN0ZXJuIE9u
dGFyaW8gUmVzZWFyY2ggSW5zdGl0dXRlLCBPdHRhd2EsIE9udGFyaW8sIENhbmFkYS4mI3hEO0Rl
cGFydG1lbnQgb2YgQW5hdG9teSwgVW5pdmVyc2l0ZSBkdSBRdWViZWMgYSBUcm9pcy1SaXZpZXJl
cywgVHJvaXMtUml2aWVyZXMsIFF1ZWJlYywgQ2FuYWRhLiYjeEQ7QWxiZXJ0YSBSZXNlYXJjaCBD
ZW50cmUgZm9yIEhlYWx0aCBFdmlkZW5jZSwgRmFjdWx0eSBvZiBNZWRpY2luZSBhbmQgRGVudGlz
dHJ5LCBVbml2ZXJzaXR5IG9mIEFsYmVydGEsIEVkbW9udG9uLCBBbGJlcnRhLCBDYW5hZGEuJiN4
RDtKb2huIFcuIFNjb3R0IEhlYWx0aCBTY2llbmNlcyBMaWJyYXJ5LCBVbml2ZXJzaXR5IG9mIEFs
YmVydGEsIEVkbW9udG9uLCBBbGJlcnRhLCBDYW5hZGEuJiN4RDtGYWN1bHRhZCBkZSBDaWVuY2lh
cyBkZSBsYSBBY3RpdmlkYWQgRmlzaWNhIHkgZGVsIERlcG9ydGUtSU5FRiwgVW5pdmVyc2lkYWQg
UG9saXRlY25pY2EgZGUgTWFkcmlkLCBNYWRyaWQsIFNwYWluLiYjeEQ7U2Nob29sIG9mIEh1bWFu
IEtpbmV0aWNzLCBGYWN1bHR5IG9mIEhlYWx0aCBTY2llbmNlcywgVW5pdmVyc2l0eSBvZiBPdHRh
d2EsIE90dGF3YSwgT250YXJpbywgQ2FuYWRhLiYjeEQ7RGVwYXJ0bWVudCBvZiBPYnN0ZXRyaWNz
IGFuZCBHeW5lY29sb2d5LCBRdWVlbiZhcG9zO3MgVW5pdmVyc2l0eSwgS2luZ3N0b24sIE9udGFy
aW8sIENhbmFkYS4mI3hEO0RlcGFydG1lbnQgb2YgSHVtYW4gS2luZXRpY3MsIFVuaXZlcnNpdGUg
ZHUgUXVlYmVjIGEgVHJvaXMtUml2aWVyZXMsIFRyb2lzLVJpdmllcmVzLCBRdWViZWMsIENhbmFk
YS48L2F1dGgtYWRkcmVzcz48dGl0bGVzPjx0aXRsZT5JbXBhY3Qgb2YgcHJlbmF0YWwgZXhlcmNp
c2Ugb24gYm90aCBwcmVuYXRhbCBhbmQgcG9zdG5hdGFsIGFueGlldHkgYW5kIGRlcHJlc3NpdmUg
c3ltcHRvbXM6IGEgc3lzdGVtYXRpYyByZXZpZXcgYW5kIG1ldGEtYW5hbHlzaXM8L3RpdGxlPjxz
ZWNvbmRhcnktdGl0bGU+QnIgSiBTcG9ydHMgTWVkPC9zZWNvbmRhcnktdGl0bGU+PC90aXRsZXM+
PHBlcmlvZGljYWw+PGZ1bGwtdGl0bGU+QnIgSiBTcG9ydHMgTWVkPC9mdWxsLXRpdGxlPjwvcGVy
aW9kaWNhbD48cGFnZXM+MTM3Ni0xMzg1PC9wYWdlcz48dm9sdW1lPjUyPC92b2x1bWU+PG51bWJl
cj4yMTwvbnVtYmVyPjxlZGl0aW9uPjIwMTgvMTAvMjA8L2VkaXRpb24+PGtleXdvcmRzPjxrZXl3
b3JkPkFueGlldHkvKnByZXZlbnRpb24gJmFtcDsgY29udHJvbDwva2V5d29yZD48a2V5d29yZD5E
ZXByZXNzaW9uLypwcmV2ZW50aW9uICZhbXA7IGNvbnRyb2w8L2tleXdvcmQ+PGtleXdvcmQ+RGVw
cmVzc2lvbiwgUG9zdHBhcnR1bS8qcHJldmVudGlvbiAmYW1wOyBjb250cm9sPC9rZXl3b3JkPjxr
ZXl3b3JkPipFeGVyY2lzZTwva2V5d29yZD48a2V5d29yZD5GZW1hbGU8L2tleXdvcmQ+PGtleXdv
cmQ+SHVtYW5zPC9rZXl3b3JkPjxrZXl3b3JkPlByZWduYW5jeS8qcHN5Y2hvbG9neTwva2V5d29y
ZD48a2V5d29yZD5SYW5kb21pemVkIENvbnRyb2xsZWQgVHJpYWxzIGFzIFRvcGljPC9rZXl3b3Jk
PjxrZXl3b3JkPmRlcHJlc3Npb248L2tleXdvcmQ+PGtleXdvcmQ+ZXhlcmNpc2U8L2tleXdvcmQ+
PC9rZXl3b3Jkcz48ZGF0ZXM+PHllYXI+MjAxODwveWVhcj48cHViLWRhdGVzPjxkYXRlPk5vdjwv
ZGF0ZT48L3B1Yi1kYXRlcz48L2RhdGVzPjxpc2JuPjE0NzMtMDQ4MCAoRWxlY3Ryb25pYykmI3hE
OzAzMDYtMzY3NCAoTGlua2luZyk8L2lzYm4+PGFjY2Vzc2lvbi1udW0+MzAzMzc0NjQ8L2FjY2Vz
c2lvbi1udW0+PHVybHM+PHJlbGF0ZWQtdXJscz48dXJsPmh0dHBzOi8vd3d3Lm5jYmkubmxtLm5p
aC5nb3YvcHVibWVkLzMwMzM3NDY0PC91cmw+PC9yZWxhdGVkLXVybHM+PC91cmxzPjxlbGVjdHJv
bmljLXJlc291cmNlLW51bT4xMC4xMTM2L2Jqc3BvcnRzLTIwMTgtMDk5Njk3PC9lbGVjdHJvbmlj
LXJlc291cmNlLW51bT48L3JlY29yZD48L0NpdGU+PC9FbmROb3RlPgB=
</w:fldData>
              </w:fldChar>
            </w:r>
            <w:r w:rsidR="002747EA">
              <w:instrText xml:space="preserve"> ADDIN EN.CITE </w:instrText>
            </w:r>
            <w:r w:rsidR="002747EA">
              <w:fldChar w:fldCharType="begin">
                <w:fldData xml:space="preserve">PEVuZE5vdGU+PENpdGU+PEF1dGhvcj5EYXZlbnBvcnQ8L0F1dGhvcj48WWVhcj4yMDE4PC9ZZWFy
PjxSZWNOdW0+MTc4NTwvUmVjTnVtPjxEaXNwbGF5VGV4dD48c3R5bGUgZmFjZT0ic3VwZXJzY3Jp
cHQiIGZvbnQ9IlRyZWJ1Y2hldCBNUyIgc2l6ZT0iOSI+NDc2PC9zdHlsZT48L0Rpc3BsYXlUZXh0
PjxyZWNvcmQ+PHJlYy1udW1iZXI+MTc4NTwvcmVjLW51bWJlcj48Zm9yZWlnbi1rZXlzPjxrZXkg
YXBwPSJFTiIgZGItaWQ9ImV4dmFzcmZ4MmR0cmFvZXNhc3hwMnN6c3hhMmRmNTAyNTkyeCIgdGlt
ZXN0YW1wPSIxNTgzMjE0OTc5Ij4xNzg1PC9rZXk+PGtleSBhcHA9IkVOV2ViIiBkYi1pZD0iIj4w
PC9rZXk+PC9mb3JlaWduLWtleXM+PHJlZi10eXBlIG5hbWU9IkpvdXJuYWwgQXJ0aWNsZSI+MTc8
L3JlZi10eXBlPjxjb250cmlidXRvcnM+PGF1dGhvcnM+PGF1dGhvcj5EYXZlbnBvcnQsIE0uIEgu
PC9hdXRob3I+PGF1dGhvcj5NY0N1cmR5LCBBLiBQLjwvYXV0aG9yPjxhdXRob3I+TW90dG9sYSwg
TS4gRi48L2F1dGhvcj48YXV0aG9yPlNrb3csIFIuIEouPC9hdXRob3I+PGF1dGhvcj5NZWFoLCBW
LiBMLjwvYXV0aG9yPjxhdXRob3I+UG9pdHJhcywgVi4gSi48L2F1dGhvcj48YXV0aG9yPkphcmFt
aWxsbyBHYXJjaWEsIEEuPC9hdXRob3I+PGF1dGhvcj5HcmF5LCBDLiBFLjwvYXV0aG9yPjxhdXRo
b3I+QmFycm93bWFuLCBOLjwvYXV0aG9yPjxhdXRob3I+Umlza2UsIEwuPC9hdXRob3I+PGF1dGhv
cj5Tb2JpZXJhanNraSwgRi48L2F1dGhvcj48YXV0aG9yPkphbWVzLCBNLjwvYXV0aG9yPjxhdXRo
b3I+TmFncGFsLCBULjwvYXV0aG9yPjxhdXRob3I+TWFyY2hhbmQsIEEuIEEuPC9hdXRob3I+PGF1
dGhvcj5OdXNwbCwgTS48L2F1dGhvcj48YXV0aG9yPlNsYXRlciwgTC4gRy48L2F1dGhvcj48YXV0
aG9yPkJhcmFrYXQsIFIuPC9hdXRob3I+PGF1dGhvcj5BZGFtbywgSy4gQi48L2F1dGhvcj48YXV0
aG9yPkRhdmllcywgRy4gQS48L2F1dGhvcj48YXV0aG9yPlJ1Y2hhdCwgUy4gTS48L2F1dGhvcj48
L2F1dGhvcnM+PC9jb250cmlidXRvcnM+PGF1dGgtYWRkcmVzcz5Qcm9ncmFtIGZvciBQcmVnbmFu
Y3kgYW5kIFBvc3RwYXJ0dW0gSGVhbHRoLCBQaHlzaWNhbCBBY3Rpdml0eSBhbmQgRGlhYmV0ZXMg
TGFib3JhdG9yeSwgRmFjdWx0eSBvZiBLaW5lc2lvbG9neSwgU3BvcnQsIGFuZCBSZWNyZWF0aW9u
LCBXb21lbiBhbmQgQ2hpbGRyZW4mYXBvcztzIEhlYWx0aCBSZXNlYXJjaCBJbnN0aXR1dGUsIEFs
YmVydGEgRGlhYmV0ZXMgSW5zdGl0dXRlLCBVbml2ZXJzaXR5IG9mIEFsYmVydGEsIEVkbW9udG9u
LCBBbGJlcnRhLCBDYW5hZGEuJiN4RDtSLiBTYW11ZWwgTWNMYXVnaGxpbiBGb3VuZGF0aW9uLUV4
ZXJjaXNlIGFuZCBQcmVnbmFuY3kgTGFib3JhdG9yeSwgU2Nob29sIG9mIEtpbmVzaW9sb2d5LCBG
YWN1bHR5IG9mIEhlYWx0aCBTY2llbmNlcywgRGVwYXJ0bWVudCBvZiBBbmF0b215IGFuZCBDZWxs
IEJpb2xvZ3ksIFNjaHVsaWNoIFNjaG9vbCBvZiBNZWRpY2luZSBhbmQgRGVudGlzdHJ5LCBDaGls
ZHJlbiZhcG9zO3MgSGVhbHRoIFJlc2VhcmNoIEluc3RpdHV0ZSwgVGhlIFVuaXZlcnNpdHkgb2Yg
V2VzdGVybiBPbnRhcmlvLCBMb25kb24sIE9udGFyaW8sIENhbmFkYS4mI3hEO0NhcmRpZmYgU2No
b29sIG9mIFNwb3J0IGFuZCBIZWFsdGggU2NpZW5jZXMsIENhcmRpZmYgTWV0cm9wb2xpdGFuIFVu
aXZlcnNpdHksIENhcmRpZmYsIFVLLiYjeEQ7SW5kZXBlbmRlbnQgUmVzZWFyY2hlciwgT3R0YXdh
LCBPbnRhcmlvLCBDYW5hZGEuJiN4RDtIZWFsdGh5IEFjdGl2ZSBMaXZpbmcgYW5kIE9iZXNpdHkg
UmVzZWFyY2ggR3JvdXAsIENoaWxkcmVuJmFwb3M7cyBIb3NwaXRhbCBvZiBFYXN0ZXJuIE9udGFy
aW8gUmVzZWFyY2ggSW5zdGl0dXRlLCBPdHRhd2EsIE9udGFyaW8sIENhbmFkYS4mI3hEO0NsaW5p
Y2FsIFJlc2VhcmNoIFVuaXQsIENoaWxkcmVuJmFwb3M7cyBIb3NwaXRhbCBvZiBFYXN0ZXJuIE9u
dGFyaW8gUmVzZWFyY2ggSW5zdGl0dXRlLCBPdHRhd2EsIE9udGFyaW8sIENhbmFkYS4mI3hEO0Rl
cGFydG1lbnQgb2YgQW5hdG9teSwgVW5pdmVyc2l0ZSBkdSBRdWViZWMgYSBUcm9pcy1SaXZpZXJl
cywgVHJvaXMtUml2aWVyZXMsIFF1ZWJlYywgQ2FuYWRhLiYjeEQ7QWxiZXJ0YSBSZXNlYXJjaCBD
ZW50cmUgZm9yIEhlYWx0aCBFdmlkZW5jZSwgRmFjdWx0eSBvZiBNZWRpY2luZSBhbmQgRGVudGlz
dHJ5LCBVbml2ZXJzaXR5IG9mIEFsYmVydGEsIEVkbW9udG9uLCBBbGJlcnRhLCBDYW5hZGEuJiN4
RDtKb2huIFcuIFNjb3R0IEhlYWx0aCBTY2llbmNlcyBMaWJyYXJ5LCBVbml2ZXJzaXR5IG9mIEFs
YmVydGEsIEVkbW9udG9uLCBBbGJlcnRhLCBDYW5hZGEuJiN4RDtGYWN1bHRhZCBkZSBDaWVuY2lh
cyBkZSBsYSBBY3RpdmlkYWQgRmlzaWNhIHkgZGVsIERlcG9ydGUtSU5FRiwgVW5pdmVyc2lkYWQg
UG9saXRlY25pY2EgZGUgTWFkcmlkLCBNYWRyaWQsIFNwYWluLiYjeEQ7U2Nob29sIG9mIEh1bWFu
IEtpbmV0aWNzLCBGYWN1bHR5IG9mIEhlYWx0aCBTY2llbmNlcywgVW5pdmVyc2l0eSBvZiBPdHRh
d2EsIE90dGF3YSwgT250YXJpbywgQ2FuYWRhLiYjeEQ7RGVwYXJ0bWVudCBvZiBPYnN0ZXRyaWNz
IGFuZCBHeW5lY29sb2d5LCBRdWVlbiZhcG9zO3MgVW5pdmVyc2l0eSwgS2luZ3N0b24sIE9udGFy
aW8sIENhbmFkYS4mI3hEO0RlcGFydG1lbnQgb2YgSHVtYW4gS2luZXRpY3MsIFVuaXZlcnNpdGUg
ZHUgUXVlYmVjIGEgVHJvaXMtUml2aWVyZXMsIFRyb2lzLVJpdmllcmVzLCBRdWViZWMsIENhbmFk
YS48L2F1dGgtYWRkcmVzcz48dGl0bGVzPjx0aXRsZT5JbXBhY3Qgb2YgcHJlbmF0YWwgZXhlcmNp
c2Ugb24gYm90aCBwcmVuYXRhbCBhbmQgcG9zdG5hdGFsIGFueGlldHkgYW5kIGRlcHJlc3NpdmUg
c3ltcHRvbXM6IGEgc3lzdGVtYXRpYyByZXZpZXcgYW5kIG1ldGEtYW5hbHlzaXM8L3RpdGxlPjxz
ZWNvbmRhcnktdGl0bGU+QnIgSiBTcG9ydHMgTWVkPC9zZWNvbmRhcnktdGl0bGU+PC90aXRsZXM+
PHBlcmlvZGljYWw+PGZ1bGwtdGl0bGU+QnIgSiBTcG9ydHMgTWVkPC9mdWxsLXRpdGxlPjwvcGVy
aW9kaWNhbD48cGFnZXM+MTM3Ni0xMzg1PC9wYWdlcz48dm9sdW1lPjUyPC92b2x1bWU+PG51bWJl
cj4yMTwvbnVtYmVyPjxlZGl0aW9uPjIwMTgvMTAvMjA8L2VkaXRpb24+PGtleXdvcmRzPjxrZXl3
b3JkPkFueGlldHkvKnByZXZlbnRpb24gJmFtcDsgY29udHJvbDwva2V5d29yZD48a2V5d29yZD5E
ZXByZXNzaW9uLypwcmV2ZW50aW9uICZhbXA7IGNvbnRyb2w8L2tleXdvcmQ+PGtleXdvcmQ+RGVw
cmVzc2lvbiwgUG9zdHBhcnR1bS8qcHJldmVudGlvbiAmYW1wOyBjb250cm9sPC9rZXl3b3JkPjxr
ZXl3b3JkPipFeGVyY2lzZTwva2V5d29yZD48a2V5d29yZD5GZW1hbGU8L2tleXdvcmQ+PGtleXdv
cmQ+SHVtYW5zPC9rZXl3b3JkPjxrZXl3b3JkPlByZWduYW5jeS8qcHN5Y2hvbG9neTwva2V5d29y
ZD48a2V5d29yZD5SYW5kb21pemVkIENvbnRyb2xsZWQgVHJpYWxzIGFzIFRvcGljPC9rZXl3b3Jk
PjxrZXl3b3JkPmRlcHJlc3Npb248L2tleXdvcmQ+PGtleXdvcmQ+ZXhlcmNpc2U8L2tleXdvcmQ+
PC9rZXl3b3Jkcz48ZGF0ZXM+PHllYXI+MjAxODwveWVhcj48cHViLWRhdGVzPjxkYXRlPk5vdjwv
ZGF0ZT48L3B1Yi1kYXRlcz48L2RhdGVzPjxpc2JuPjE0NzMtMDQ4MCAoRWxlY3Ryb25pYykmI3hE
OzAzMDYtMzY3NCAoTGlua2luZyk8L2lzYm4+PGFjY2Vzc2lvbi1udW0+MzAzMzc0NjQ8L2FjY2Vz
c2lvbi1udW0+PHVybHM+PHJlbGF0ZWQtdXJscz48dXJsPmh0dHBzOi8vd3d3Lm5jYmkubmxtLm5p
aC5nb3YvcHVibWVkLzMwMzM3NDY0PC91cmw+PC9yZWxhdGVkLXVybHM+PC91cmxzPjxlbGVjdHJv
bmljLXJlc291cmNlLW51bT4xMC4xMTM2L2Jqc3BvcnRzLTIwMTgtMDk5Njk3PC9lbGVjdHJvbmlj
LXJlc291cmNlLW51bT48L3JlY29yZD48L0NpdGU+PC9FbmROb3RlPgB=
</w:fldData>
              </w:fldChar>
            </w:r>
            <w:r w:rsidR="002747EA">
              <w:instrText xml:space="preserve"> ADDIN EN.CITE.DATA </w:instrText>
            </w:r>
            <w:r w:rsidR="002747EA">
              <w:fldChar w:fldCharType="end"/>
            </w:r>
            <w:r w:rsidR="00283324">
              <w:fldChar w:fldCharType="separate"/>
            </w:r>
            <w:r w:rsidR="002747EA" w:rsidRPr="002747EA">
              <w:rPr>
                <w:noProof/>
                <w:sz w:val="18"/>
                <w:vertAlign w:val="superscript"/>
              </w:rPr>
              <w:t>476</w:t>
            </w:r>
            <w:r w:rsidR="00283324">
              <w:fldChar w:fldCharType="end"/>
            </w:r>
          </w:p>
        </w:tc>
        <w:tc>
          <w:tcPr>
            <w:tcW w:w="2547" w:type="dxa"/>
            <w:shd w:val="clear" w:color="auto" w:fill="auto"/>
          </w:tcPr>
          <w:p w14:paraId="1644B76F" w14:textId="77777777" w:rsidR="0006269C" w:rsidRPr="008A66F0" w:rsidRDefault="0006269C" w:rsidP="0006269C">
            <w:pPr>
              <w:pStyle w:val="RCTstable"/>
            </w:pPr>
            <w:r w:rsidRPr="008A66F0">
              <w:t>Mixed BMIs</w:t>
            </w:r>
          </w:p>
        </w:tc>
        <w:tc>
          <w:tcPr>
            <w:tcW w:w="2982" w:type="dxa"/>
            <w:shd w:val="clear" w:color="auto" w:fill="auto"/>
          </w:tcPr>
          <w:p w14:paraId="653DE960" w14:textId="7C93D864" w:rsidR="0006269C" w:rsidRPr="008A66F0" w:rsidRDefault="0006269C" w:rsidP="00872046">
            <w:pPr>
              <w:pStyle w:val="RCTstable"/>
              <w:jc w:val="center"/>
            </w:pPr>
            <w:r w:rsidRPr="008A66F0">
              <w:t>OR 0.</w:t>
            </w:r>
            <w:r w:rsidR="00872046">
              <w:t>33 (0.21 to 0.53)</w:t>
            </w:r>
          </w:p>
        </w:tc>
        <w:tc>
          <w:tcPr>
            <w:tcW w:w="1134" w:type="dxa"/>
            <w:shd w:val="clear" w:color="auto" w:fill="auto"/>
          </w:tcPr>
          <w:p w14:paraId="132EEFBB" w14:textId="290CF03E" w:rsidR="0006269C" w:rsidRPr="008A66F0" w:rsidRDefault="00872046" w:rsidP="00872046">
            <w:pPr>
              <w:pStyle w:val="RCTstable"/>
              <w:jc w:val="center"/>
            </w:pPr>
            <w:r>
              <w:t>5</w:t>
            </w:r>
          </w:p>
        </w:tc>
      </w:tr>
      <w:tr w:rsidR="00B100D2" w:rsidRPr="00B87066" w14:paraId="6D21C78E" w14:textId="77777777" w:rsidTr="006A7633">
        <w:tc>
          <w:tcPr>
            <w:tcW w:w="9504" w:type="dxa"/>
            <w:gridSpan w:val="4"/>
            <w:shd w:val="clear" w:color="auto" w:fill="D9E2F3" w:themeFill="accent1" w:themeFillTint="33"/>
          </w:tcPr>
          <w:p w14:paraId="5D8FB50E" w14:textId="77777777" w:rsidR="00B100D2" w:rsidRPr="00B87066" w:rsidRDefault="00B100D2" w:rsidP="006A7633">
            <w:pPr>
              <w:pStyle w:val="RCTstable"/>
              <w:rPr>
                <w:i/>
              </w:rPr>
            </w:pPr>
            <w:r>
              <w:rPr>
                <w:i/>
              </w:rPr>
              <w:t>Postnatal depression</w:t>
            </w:r>
          </w:p>
        </w:tc>
      </w:tr>
      <w:tr w:rsidR="00B100D2" w:rsidRPr="00B87066" w14:paraId="36700CE7" w14:textId="77777777" w:rsidTr="006A7633">
        <w:tc>
          <w:tcPr>
            <w:tcW w:w="2841" w:type="dxa"/>
            <w:tcBorders>
              <w:bottom w:val="single" w:sz="4" w:space="0" w:color="3B3474"/>
            </w:tcBorders>
            <w:shd w:val="clear" w:color="auto" w:fill="F2F2F2" w:themeFill="background1" w:themeFillShade="F2"/>
          </w:tcPr>
          <w:p w14:paraId="43F17AE3" w14:textId="77777777" w:rsidR="00B100D2" w:rsidRPr="00B87066" w:rsidRDefault="00B100D2" w:rsidP="006A7633">
            <w:pPr>
              <w:pStyle w:val="RCTstable"/>
            </w:pPr>
            <w:r w:rsidRPr="00B87066">
              <w:t>Current review</w:t>
            </w:r>
          </w:p>
        </w:tc>
        <w:tc>
          <w:tcPr>
            <w:tcW w:w="2547" w:type="dxa"/>
            <w:tcBorders>
              <w:bottom w:val="single" w:sz="4" w:space="0" w:color="3B3474"/>
            </w:tcBorders>
            <w:shd w:val="clear" w:color="auto" w:fill="F2F2F2" w:themeFill="background1" w:themeFillShade="F2"/>
          </w:tcPr>
          <w:p w14:paraId="22042A50" w14:textId="77777777" w:rsidR="00B100D2" w:rsidRPr="00B87066" w:rsidRDefault="00B100D2" w:rsidP="006A7633">
            <w:pPr>
              <w:pStyle w:val="RCTstable"/>
            </w:pPr>
            <w:r w:rsidRPr="00B87066">
              <w:t>Mixed BMIs</w:t>
            </w:r>
          </w:p>
        </w:tc>
        <w:tc>
          <w:tcPr>
            <w:tcW w:w="2982" w:type="dxa"/>
            <w:tcBorders>
              <w:bottom w:val="single" w:sz="4" w:space="0" w:color="3B3474"/>
            </w:tcBorders>
            <w:shd w:val="clear" w:color="auto" w:fill="F2F2F2" w:themeFill="background1" w:themeFillShade="F2"/>
          </w:tcPr>
          <w:p w14:paraId="14D7FC5B" w14:textId="77777777" w:rsidR="00B100D2" w:rsidRPr="00A33D96" w:rsidRDefault="00B100D2" w:rsidP="006A7633">
            <w:pPr>
              <w:pStyle w:val="RCTstable"/>
              <w:jc w:val="center"/>
            </w:pPr>
            <w:r>
              <w:t>RR 0.47 (0.34 to 0.65)</w:t>
            </w:r>
          </w:p>
        </w:tc>
        <w:tc>
          <w:tcPr>
            <w:tcW w:w="1134" w:type="dxa"/>
            <w:tcBorders>
              <w:bottom w:val="single" w:sz="4" w:space="0" w:color="3B3474"/>
            </w:tcBorders>
            <w:shd w:val="clear" w:color="auto" w:fill="F2F2F2" w:themeFill="background1" w:themeFillShade="F2"/>
          </w:tcPr>
          <w:p w14:paraId="3CF8F8DD" w14:textId="77777777" w:rsidR="00B100D2" w:rsidRPr="00B87066" w:rsidRDefault="00B100D2" w:rsidP="006A7633">
            <w:pPr>
              <w:pStyle w:val="RCTstable"/>
              <w:jc w:val="center"/>
            </w:pPr>
            <w:r>
              <w:t>5</w:t>
            </w:r>
          </w:p>
        </w:tc>
      </w:tr>
      <w:tr w:rsidR="00B100D2" w:rsidRPr="00B87066" w14:paraId="7B880585" w14:textId="77777777" w:rsidTr="006A7633">
        <w:tc>
          <w:tcPr>
            <w:tcW w:w="2841" w:type="dxa"/>
            <w:shd w:val="clear" w:color="auto" w:fill="auto"/>
          </w:tcPr>
          <w:p w14:paraId="03ABD2DD" w14:textId="13BA6BAC" w:rsidR="00B100D2" w:rsidRPr="00B87066" w:rsidRDefault="00B100D2" w:rsidP="002747EA">
            <w:pPr>
              <w:pStyle w:val="RCTstable"/>
            </w:pPr>
            <w:r>
              <w:rPr>
                <w:noProof/>
              </w:rPr>
              <w:t>Nakamura et al 2019</w:t>
            </w:r>
            <w:r w:rsidR="00D07346">
              <w:fldChar w:fldCharType="begin">
                <w:fldData xml:space="preserve">PEVuZE5vdGU+PENpdGU+PEF1dGhvcj5OYWthbXVyYTwvQXV0aG9yPjxZZWFyPjIwMTk8L1llYXI+
PFJlY051bT4xOTQ1PC9SZWNOdW0+PERpc3BsYXlUZXh0PjxzdHlsZSBmYWNlPSJzdXBlcnNjcmlw
dCIgZm9udD0iVHJlYnVjaGV0IE1TIiBzaXplPSI5Ij40Nzc8L3N0eWxlPjwvRGlzcGxheVRleHQ+
PHJlY29yZD48cmVjLW51bWJlcj4xOTQ1PC9yZWMtbnVtYmVyPjxmb3JlaWduLWtleXM+PGtleSBh
cHA9IkVOIiBkYi1pZD0iZXh2YXNyZngyZHRyYW9lc2FzeHAyc3pzeGEyZGY1MDI1OTJ4IiB0aW1l
c3RhbXA9IjE1ODg3Mjg0NDkiPjE5NDU8L2tleT48a2V5IGFwcD0iRU5XZWIiIGRiLWlkPSIiPjA8
L2tleT48L2ZvcmVpZ24ta2V5cz48cmVmLXR5cGUgbmFtZT0iSm91cm5hbCBBcnRpY2xlIj4xNzwv
cmVmLXR5cGU+PGNvbnRyaWJ1dG9ycz48YXV0aG9ycz48YXV0aG9yPk5ha2FtdXJhLCBBLjwvYXV0
aG9yPjxhdXRob3I+dmFuIGRlciBXYWVyZGVuLCBKLjwvYXV0aG9yPjxhdXRob3I+TWVsY2hpb3Is
IE0uPC9hdXRob3I+PGF1dGhvcj5Cb2x6ZSwgQy48L2F1dGhvcj48YXV0aG9yPkVsLUtob3VyeSwg
Ri48L2F1dGhvcj48YXV0aG9yPlByeW9yLCBMLjwvYXV0aG9yPjwvYXV0aG9ycz48L2NvbnRyaWJ1
dG9ycz48YXV0aC1hZGRyZXNzPklOU0VSTSwgU29yYm9ubmUgVW5pdmVyc2l0ZSwgUGllcnJlIExv
dWlzIEluc3RpdHV0ZSBvZiBFcGlkZW1pb2xvZ3kgYW5kIFB1YmxpYyBIZWFsdGgsIERlcGFydG1l
bnQgb2YgU29jaWFsIEVwaWRlbWlvbG9neSwgUGFyaXMsIEZyYW5jZTsgRnJlbmNoIFNjaG9vbCBv
ZiBQdWJsaWMgSGVhbHRoIChFSEVTUCksIERvY3RvcmFsIE5ldHdvcmssIFJlbm5lcywgRnJhbmNl
LiYjeEQ7SU5TRVJNLCBTb3Jib25uZSBVbml2ZXJzaXRlLCBQaWVycmUgTG91aXMgSW5zdGl0dXRl
IG9mIEVwaWRlbWlvbG9neSBhbmQgUHVibGljIEhlYWx0aCwgRGVwYXJ0bWVudCBvZiBTb2NpYWwg
RXBpZGVtaW9sb2d5LCBQYXJpcywgRnJhbmNlLiYjeEQ7SU5TRVJNLCBTb3Jib25uZSBVbml2ZXJz
aXRlLCBQaWVycmUgTG91aXMgSW5zdGl0dXRlIG9mIEVwaWRlbWlvbG9neSBhbmQgUHVibGljIEhl
YWx0aCwgRGVwYXJ0bWVudCBvZiBTb2NpYWwgRXBpZGVtaW9sb2d5LCBQYXJpcywgRnJhbmNlOyBK
b2hucyBIb3BraW5zIEJsb29tYmVyZyBTY2hvb2wgb2YgUHVibGljIEhlYWx0aCwgQmFsdGltb3Jl
LCBNRCwgVVNBLjwvYXV0aC1hZGRyZXNzPjx0aXRsZXM+PHRpdGxlPlBoeXNpY2FsIGFjdGl2aXR5
IGR1cmluZyBwcmVnbmFuY3kgYW5kIHBvc3RwYXJ0dW0gZGVwcmVzc2lvbjogU3lzdGVtYXRpYyBy
ZXZpZXcgYW5kIG1ldGEtYW5hbHlzaXM8L3RpdGxlPjxzZWNvbmRhcnktdGl0bGU+SiBBZmZlY3Qg
RGlzb3JkPC9zZWNvbmRhcnktdGl0bGU+PC90aXRsZXM+PHBlcmlvZGljYWw+PGZ1bGwtdGl0bGU+
SiBBZmZlY3QgRGlzb3JkPC9mdWxsLXRpdGxlPjwvcGVyaW9kaWNhbD48cGFnZXM+MjktNDE8L3Bh
Z2VzPjx2b2x1bWU+MjQ2PC92b2x1bWU+PGVkaXRpb24+MjAxOC8xMi8yNDwvZWRpdGlvbj48a2V5
d29yZHM+PGtleXdvcmQ+QWR1bHQ8L2tleXdvcmQ+PGtleXdvcmQ+RGVwcmVzc2lvbiwgUG9zdHBh
cnR1bS9wcmV2ZW50aW9uICZhbXA7IGNvbnRyb2wvKnBzeWNob2xvZ3k8L2tleXdvcmQ+PGtleXdv
cmQ+RXhlcmNpc2UvKnBzeWNob2xvZ3k8L2tleXdvcmQ+PGtleXdvcmQ+RmVtYWxlPC9rZXl3b3Jk
PjxrZXl3b3JkPkh1bWFuczwva2V5d29yZD48a2V5d29yZD5QcmVnbmFuY3k8L2tleXdvcmQ+PGtl
eXdvcmQ+UmlzayBGYWN0b3JzPC9rZXl3b3JkPjxrZXl3b3JkPipEZXByZXNzaW9uPC9rZXl3b3Jk
PjxrZXl3b3JkPipFeGVyY2lzZTwva2V5d29yZD48a2V5d29yZD4qTWV0YS1hbmFseXNpczwva2V5
d29yZD48a2V5d29yZD4qUG9zdHBhcnR1bTwva2V5d29yZD48a2V5d29yZD4qUHJlZ25hbmN5PC9r
ZXl3b3JkPjxrZXl3b3JkPipTeXN0ZW1hdGljIHJldmlldzwva2V5d29yZD48L2tleXdvcmRzPjxk
YXRlcz48eWVhcj4yMDE5PC95ZWFyPjxwdWItZGF0ZXM+PGRhdGU+TWFyIDE8L2RhdGU+PC9wdWIt
ZGF0ZXM+PC9kYXRlcz48aXNibj4xNTczLTI1MTcgKEVsZWN0cm9uaWMpJiN4RDswMTY1LTAzMjcg
KExpbmtpbmcpPC9pc2JuPjxhY2Nlc3Npb24tbnVtPjMwNTc2OTU1PC9hY2Nlc3Npb24tbnVtPjx1
cmxzPjxyZWxhdGVkLXVybHM+PHVybD5odHRwczovL3d3dy5uY2JpLm5sbS5uaWguZ292L3B1Ym1l
ZC8zMDU3Njk1NTwvdXJsPjwvcmVsYXRlZC11cmxzPjwvdXJscz48ZWxlY3Ryb25pYy1yZXNvdXJj
ZS1udW0+MTAuMTAxNi9qLmphZC4yMDE4LjEyLjAwOTwvZWxlY3Ryb25pYy1yZXNvdXJjZS1udW0+
PC9yZWNvcmQ+PC9DaXRlPjwvRW5kTm90ZT4A
</w:fldData>
              </w:fldChar>
            </w:r>
            <w:r w:rsidR="002747EA">
              <w:instrText xml:space="preserve"> ADDIN EN.CITE </w:instrText>
            </w:r>
            <w:r w:rsidR="002747EA">
              <w:fldChar w:fldCharType="begin">
                <w:fldData xml:space="preserve">PEVuZE5vdGU+PENpdGU+PEF1dGhvcj5OYWthbXVyYTwvQXV0aG9yPjxZZWFyPjIwMTk8L1llYXI+
PFJlY051bT4xOTQ1PC9SZWNOdW0+PERpc3BsYXlUZXh0PjxzdHlsZSBmYWNlPSJzdXBlcnNjcmlw
dCIgZm9udD0iVHJlYnVjaGV0IE1TIiBzaXplPSI5Ij40Nzc8L3N0eWxlPjwvRGlzcGxheVRleHQ+
PHJlY29yZD48cmVjLW51bWJlcj4xOTQ1PC9yZWMtbnVtYmVyPjxmb3JlaWduLWtleXM+PGtleSBh
cHA9IkVOIiBkYi1pZD0iZXh2YXNyZngyZHRyYW9lc2FzeHAyc3pzeGEyZGY1MDI1OTJ4IiB0aW1l
c3RhbXA9IjE1ODg3Mjg0NDkiPjE5NDU8L2tleT48a2V5IGFwcD0iRU5XZWIiIGRiLWlkPSIiPjA8
L2tleT48L2ZvcmVpZ24ta2V5cz48cmVmLXR5cGUgbmFtZT0iSm91cm5hbCBBcnRpY2xlIj4xNzwv
cmVmLXR5cGU+PGNvbnRyaWJ1dG9ycz48YXV0aG9ycz48YXV0aG9yPk5ha2FtdXJhLCBBLjwvYXV0
aG9yPjxhdXRob3I+dmFuIGRlciBXYWVyZGVuLCBKLjwvYXV0aG9yPjxhdXRob3I+TWVsY2hpb3Is
IE0uPC9hdXRob3I+PGF1dGhvcj5Cb2x6ZSwgQy48L2F1dGhvcj48YXV0aG9yPkVsLUtob3VyeSwg
Ri48L2F1dGhvcj48YXV0aG9yPlByeW9yLCBMLjwvYXV0aG9yPjwvYXV0aG9ycz48L2NvbnRyaWJ1
dG9ycz48YXV0aC1hZGRyZXNzPklOU0VSTSwgU29yYm9ubmUgVW5pdmVyc2l0ZSwgUGllcnJlIExv
dWlzIEluc3RpdHV0ZSBvZiBFcGlkZW1pb2xvZ3kgYW5kIFB1YmxpYyBIZWFsdGgsIERlcGFydG1l
bnQgb2YgU29jaWFsIEVwaWRlbWlvbG9neSwgUGFyaXMsIEZyYW5jZTsgRnJlbmNoIFNjaG9vbCBv
ZiBQdWJsaWMgSGVhbHRoIChFSEVTUCksIERvY3RvcmFsIE5ldHdvcmssIFJlbm5lcywgRnJhbmNl
LiYjeEQ7SU5TRVJNLCBTb3Jib25uZSBVbml2ZXJzaXRlLCBQaWVycmUgTG91aXMgSW5zdGl0dXRl
IG9mIEVwaWRlbWlvbG9neSBhbmQgUHVibGljIEhlYWx0aCwgRGVwYXJ0bWVudCBvZiBTb2NpYWwg
RXBpZGVtaW9sb2d5LCBQYXJpcywgRnJhbmNlLiYjeEQ7SU5TRVJNLCBTb3Jib25uZSBVbml2ZXJz
aXRlLCBQaWVycmUgTG91aXMgSW5zdGl0dXRlIG9mIEVwaWRlbWlvbG9neSBhbmQgUHVibGljIEhl
YWx0aCwgRGVwYXJ0bWVudCBvZiBTb2NpYWwgRXBpZGVtaW9sb2d5LCBQYXJpcywgRnJhbmNlOyBK
b2hucyBIb3BraW5zIEJsb29tYmVyZyBTY2hvb2wgb2YgUHVibGljIEhlYWx0aCwgQmFsdGltb3Jl
LCBNRCwgVVNBLjwvYXV0aC1hZGRyZXNzPjx0aXRsZXM+PHRpdGxlPlBoeXNpY2FsIGFjdGl2aXR5
IGR1cmluZyBwcmVnbmFuY3kgYW5kIHBvc3RwYXJ0dW0gZGVwcmVzc2lvbjogU3lzdGVtYXRpYyBy
ZXZpZXcgYW5kIG1ldGEtYW5hbHlzaXM8L3RpdGxlPjxzZWNvbmRhcnktdGl0bGU+SiBBZmZlY3Qg
RGlzb3JkPC9zZWNvbmRhcnktdGl0bGU+PC90aXRsZXM+PHBlcmlvZGljYWw+PGZ1bGwtdGl0bGU+
SiBBZmZlY3QgRGlzb3JkPC9mdWxsLXRpdGxlPjwvcGVyaW9kaWNhbD48cGFnZXM+MjktNDE8L3Bh
Z2VzPjx2b2x1bWU+MjQ2PC92b2x1bWU+PGVkaXRpb24+MjAxOC8xMi8yNDwvZWRpdGlvbj48a2V5
d29yZHM+PGtleXdvcmQ+QWR1bHQ8L2tleXdvcmQ+PGtleXdvcmQ+RGVwcmVzc2lvbiwgUG9zdHBh
cnR1bS9wcmV2ZW50aW9uICZhbXA7IGNvbnRyb2wvKnBzeWNob2xvZ3k8L2tleXdvcmQ+PGtleXdv
cmQ+RXhlcmNpc2UvKnBzeWNob2xvZ3k8L2tleXdvcmQ+PGtleXdvcmQ+RmVtYWxlPC9rZXl3b3Jk
PjxrZXl3b3JkPkh1bWFuczwva2V5d29yZD48a2V5d29yZD5QcmVnbmFuY3k8L2tleXdvcmQ+PGtl
eXdvcmQ+UmlzayBGYWN0b3JzPC9rZXl3b3JkPjxrZXl3b3JkPipEZXByZXNzaW9uPC9rZXl3b3Jk
PjxrZXl3b3JkPipFeGVyY2lzZTwva2V5d29yZD48a2V5d29yZD4qTWV0YS1hbmFseXNpczwva2V5
d29yZD48a2V5d29yZD4qUG9zdHBhcnR1bTwva2V5d29yZD48a2V5d29yZD4qUHJlZ25hbmN5PC9r
ZXl3b3JkPjxrZXl3b3JkPipTeXN0ZW1hdGljIHJldmlldzwva2V5d29yZD48L2tleXdvcmRzPjxk
YXRlcz48eWVhcj4yMDE5PC95ZWFyPjxwdWItZGF0ZXM+PGRhdGU+TWFyIDE8L2RhdGU+PC9wdWIt
ZGF0ZXM+PC9kYXRlcz48aXNibj4xNTczLTI1MTcgKEVsZWN0cm9uaWMpJiN4RDswMTY1LTAzMjcg
KExpbmtpbmcpPC9pc2JuPjxhY2Nlc3Npb24tbnVtPjMwNTc2OTU1PC9hY2Nlc3Npb24tbnVtPjx1
cmxzPjxyZWxhdGVkLXVybHM+PHVybD5odHRwczovL3d3dy5uY2JpLm5sbS5uaWguZ292L3B1Ym1l
ZC8zMDU3Njk1NTwvdXJsPjwvcmVsYXRlZC11cmxzPjwvdXJscz48ZWxlY3Ryb25pYy1yZXNvdXJj
ZS1udW0+MTAuMTAxNi9qLmphZC4yMDE4LjEyLjAwOTwvZWxlY3Ryb25pYy1yZXNvdXJjZS1udW0+
PC9yZWNvcmQ+PC9DaXRlPjwvRW5kTm90ZT4A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477</w:t>
            </w:r>
            <w:r w:rsidR="00D07346">
              <w:fldChar w:fldCharType="end"/>
            </w:r>
          </w:p>
        </w:tc>
        <w:tc>
          <w:tcPr>
            <w:tcW w:w="2547" w:type="dxa"/>
            <w:shd w:val="clear" w:color="auto" w:fill="auto"/>
          </w:tcPr>
          <w:p w14:paraId="71C50CB3" w14:textId="77777777" w:rsidR="00B100D2" w:rsidRPr="00B87066" w:rsidRDefault="00B100D2" w:rsidP="006A7633">
            <w:pPr>
              <w:pStyle w:val="RCTstable"/>
            </w:pPr>
            <w:r>
              <w:t>Mixed BMIs</w:t>
            </w:r>
          </w:p>
        </w:tc>
        <w:tc>
          <w:tcPr>
            <w:tcW w:w="2982" w:type="dxa"/>
            <w:shd w:val="clear" w:color="auto" w:fill="auto"/>
          </w:tcPr>
          <w:p w14:paraId="2F851382" w14:textId="77777777" w:rsidR="00B100D2" w:rsidRPr="006E008D" w:rsidRDefault="00B100D2" w:rsidP="008E1F6E">
            <w:pPr>
              <w:pStyle w:val="RCTstable"/>
              <w:jc w:val="center"/>
            </w:pPr>
            <w:r>
              <w:t>SMD −0.58 (</w:t>
            </w:r>
            <w:r w:rsidRPr="006E008D">
              <w:t>−1.09 to −0.08</w:t>
            </w:r>
            <w:r>
              <w:t>)</w:t>
            </w:r>
          </w:p>
        </w:tc>
        <w:tc>
          <w:tcPr>
            <w:tcW w:w="1134" w:type="dxa"/>
            <w:shd w:val="clear" w:color="auto" w:fill="auto"/>
          </w:tcPr>
          <w:p w14:paraId="1F4A2C09" w14:textId="77777777" w:rsidR="00B100D2" w:rsidRPr="00B87066" w:rsidRDefault="00B100D2" w:rsidP="006A7633">
            <w:pPr>
              <w:pStyle w:val="RCTstable"/>
              <w:jc w:val="center"/>
            </w:pPr>
            <w:r>
              <w:t>6</w:t>
            </w:r>
          </w:p>
        </w:tc>
      </w:tr>
      <w:tr w:rsidR="008846A5" w:rsidRPr="00B87066" w14:paraId="74216BCA" w14:textId="77777777" w:rsidTr="006A7633">
        <w:tc>
          <w:tcPr>
            <w:tcW w:w="9504" w:type="dxa"/>
            <w:gridSpan w:val="4"/>
            <w:shd w:val="clear" w:color="auto" w:fill="D9E2F3" w:themeFill="accent1" w:themeFillTint="33"/>
          </w:tcPr>
          <w:p w14:paraId="47507190" w14:textId="368155FD" w:rsidR="008846A5" w:rsidRPr="00B87066" w:rsidRDefault="008846A5" w:rsidP="008846A5">
            <w:pPr>
              <w:pStyle w:val="RCTstable"/>
              <w:rPr>
                <w:i/>
              </w:rPr>
            </w:pPr>
            <w:r>
              <w:rPr>
                <w:i/>
              </w:rPr>
              <w:t>Postnatal weight retention</w:t>
            </w:r>
          </w:p>
        </w:tc>
      </w:tr>
      <w:tr w:rsidR="008846A5" w:rsidRPr="00B87066" w14:paraId="1BB65892" w14:textId="77777777" w:rsidTr="006A7633">
        <w:tc>
          <w:tcPr>
            <w:tcW w:w="2841" w:type="dxa"/>
            <w:tcBorders>
              <w:bottom w:val="single" w:sz="4" w:space="0" w:color="3B3474"/>
            </w:tcBorders>
            <w:shd w:val="clear" w:color="auto" w:fill="F2F2F2" w:themeFill="background1" w:themeFillShade="F2"/>
          </w:tcPr>
          <w:p w14:paraId="4131135A" w14:textId="77777777" w:rsidR="008846A5" w:rsidRPr="00B87066" w:rsidRDefault="008846A5" w:rsidP="006A7633">
            <w:pPr>
              <w:pStyle w:val="RCTstable"/>
            </w:pPr>
            <w:r w:rsidRPr="00B87066">
              <w:t>Current review</w:t>
            </w:r>
          </w:p>
        </w:tc>
        <w:tc>
          <w:tcPr>
            <w:tcW w:w="2547" w:type="dxa"/>
            <w:tcBorders>
              <w:bottom w:val="single" w:sz="4" w:space="0" w:color="3B3474"/>
            </w:tcBorders>
            <w:shd w:val="clear" w:color="auto" w:fill="F2F2F2" w:themeFill="background1" w:themeFillShade="F2"/>
          </w:tcPr>
          <w:p w14:paraId="12C03DFD" w14:textId="77777777" w:rsidR="008846A5" w:rsidRPr="00B87066" w:rsidRDefault="008846A5" w:rsidP="006A7633">
            <w:pPr>
              <w:pStyle w:val="RCTstable"/>
            </w:pPr>
            <w:r w:rsidRPr="00B87066">
              <w:t>Mixed BMIs</w:t>
            </w:r>
          </w:p>
        </w:tc>
        <w:tc>
          <w:tcPr>
            <w:tcW w:w="2982" w:type="dxa"/>
            <w:tcBorders>
              <w:bottom w:val="single" w:sz="4" w:space="0" w:color="3B3474"/>
            </w:tcBorders>
            <w:shd w:val="clear" w:color="auto" w:fill="F2F2F2" w:themeFill="background1" w:themeFillShade="F2"/>
          </w:tcPr>
          <w:p w14:paraId="7416C1AA" w14:textId="526D7CD0" w:rsidR="008846A5" w:rsidRPr="00A33D96" w:rsidRDefault="00FF7A3D" w:rsidP="006A7633">
            <w:pPr>
              <w:pStyle w:val="RCTstable"/>
              <w:jc w:val="center"/>
            </w:pPr>
            <w:r>
              <w:t xml:space="preserve">MD </w:t>
            </w:r>
            <w:r w:rsidRPr="006E008D">
              <w:t>−</w:t>
            </w:r>
            <w:r>
              <w:t>0.20 (</w:t>
            </w:r>
            <w:r w:rsidRPr="006E008D">
              <w:t>−</w:t>
            </w:r>
            <w:r>
              <w:t>1.48 to 1.09)</w:t>
            </w:r>
          </w:p>
        </w:tc>
        <w:tc>
          <w:tcPr>
            <w:tcW w:w="1134" w:type="dxa"/>
            <w:tcBorders>
              <w:bottom w:val="single" w:sz="4" w:space="0" w:color="3B3474"/>
            </w:tcBorders>
            <w:shd w:val="clear" w:color="auto" w:fill="F2F2F2" w:themeFill="background1" w:themeFillShade="F2"/>
          </w:tcPr>
          <w:p w14:paraId="28107DC9" w14:textId="77777777" w:rsidR="008846A5" w:rsidRPr="00B87066" w:rsidRDefault="008846A5" w:rsidP="006A7633">
            <w:pPr>
              <w:pStyle w:val="RCTstable"/>
              <w:jc w:val="center"/>
            </w:pPr>
            <w:r>
              <w:t>5</w:t>
            </w:r>
          </w:p>
        </w:tc>
      </w:tr>
      <w:tr w:rsidR="008846A5" w:rsidRPr="00B87066" w14:paraId="4311B547" w14:textId="77777777" w:rsidTr="006A7633">
        <w:tc>
          <w:tcPr>
            <w:tcW w:w="2841" w:type="dxa"/>
            <w:shd w:val="clear" w:color="auto" w:fill="auto"/>
          </w:tcPr>
          <w:p w14:paraId="3D7096A1" w14:textId="33830C1A" w:rsidR="008846A5" w:rsidRPr="00B87066" w:rsidRDefault="00FF7A3D" w:rsidP="002747EA">
            <w:pPr>
              <w:pStyle w:val="RCTstable"/>
            </w:pPr>
            <w:r>
              <w:rPr>
                <w:noProof/>
              </w:rPr>
              <w:t>Ruchat et al 2018</w:t>
            </w:r>
            <w:r w:rsidR="00D07346">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instrText xml:space="preserve"> ADDIN EN.CITE </w:instrText>
            </w:r>
            <w:r w:rsidR="002747EA">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465</w:t>
            </w:r>
            <w:r w:rsidR="00D07346">
              <w:fldChar w:fldCharType="end"/>
            </w:r>
          </w:p>
        </w:tc>
        <w:tc>
          <w:tcPr>
            <w:tcW w:w="2547" w:type="dxa"/>
            <w:shd w:val="clear" w:color="auto" w:fill="auto"/>
          </w:tcPr>
          <w:p w14:paraId="234F842B" w14:textId="77777777" w:rsidR="008846A5" w:rsidRPr="00B87066" w:rsidRDefault="008846A5" w:rsidP="006A7633">
            <w:pPr>
              <w:pStyle w:val="RCTstable"/>
            </w:pPr>
            <w:r>
              <w:t>Mixed BMIs</w:t>
            </w:r>
          </w:p>
        </w:tc>
        <w:tc>
          <w:tcPr>
            <w:tcW w:w="2982" w:type="dxa"/>
            <w:shd w:val="clear" w:color="auto" w:fill="auto"/>
          </w:tcPr>
          <w:p w14:paraId="3C8E2BC1" w14:textId="77BCC391" w:rsidR="008846A5" w:rsidRPr="006E008D" w:rsidRDefault="00FF7A3D" w:rsidP="006A7633">
            <w:pPr>
              <w:pStyle w:val="RCTstable"/>
              <w:jc w:val="center"/>
            </w:pPr>
            <w:r>
              <w:t xml:space="preserve">MD </w:t>
            </w:r>
            <w:r w:rsidRPr="006E008D">
              <w:t>−</w:t>
            </w:r>
            <w:r>
              <w:t>0.92 (</w:t>
            </w:r>
            <w:r w:rsidRPr="006E008D">
              <w:t>−</w:t>
            </w:r>
            <w:r>
              <w:t>1.84 to 0.00)</w:t>
            </w:r>
          </w:p>
        </w:tc>
        <w:tc>
          <w:tcPr>
            <w:tcW w:w="1134" w:type="dxa"/>
            <w:shd w:val="clear" w:color="auto" w:fill="auto"/>
          </w:tcPr>
          <w:p w14:paraId="3531658D" w14:textId="7A189BF8" w:rsidR="008846A5" w:rsidRPr="00B87066" w:rsidRDefault="00FF7A3D" w:rsidP="006A7633">
            <w:pPr>
              <w:pStyle w:val="RCTstable"/>
              <w:jc w:val="center"/>
            </w:pPr>
            <w:r>
              <w:t>3</w:t>
            </w:r>
          </w:p>
        </w:tc>
      </w:tr>
    </w:tbl>
    <w:p w14:paraId="24AD9032" w14:textId="44A1EEAF" w:rsidR="00A5540F" w:rsidRPr="00C12274" w:rsidRDefault="00932C6D" w:rsidP="00932C6D">
      <w:pPr>
        <w:pStyle w:val="TableName"/>
      </w:pPr>
      <w:bookmarkStart w:id="217" w:name="_Toc40956682"/>
      <w:r>
        <w:t xml:space="preserve">Q9 </w:t>
      </w:r>
      <w:r w:rsidR="004A0E1A">
        <w:t>Findings</w:t>
      </w:r>
      <w:r w:rsidR="00A5540F" w:rsidRPr="00C12274">
        <w:t xml:space="preserve"> of </w:t>
      </w:r>
      <w:r w:rsidR="004A0E1A">
        <w:t xml:space="preserve">systematic </w:t>
      </w:r>
      <w:r w:rsidR="00A5540F" w:rsidRPr="00C12274">
        <w:t xml:space="preserve">reviews </w:t>
      </w:r>
      <w:r w:rsidR="00A5540F">
        <w:t xml:space="preserve">of exercise interventions </w:t>
      </w:r>
      <w:r w:rsidR="004A0E1A">
        <w:t>—</w:t>
      </w:r>
      <w:r w:rsidR="00A5540F" w:rsidRPr="00C12274">
        <w:t xml:space="preserve"> </w:t>
      </w:r>
      <w:r w:rsidR="00A5540F">
        <w:t>infant</w:t>
      </w:r>
      <w:r w:rsidR="00A5540F" w:rsidRPr="00C12274">
        <w:t xml:space="preserve"> outcome</w:t>
      </w:r>
      <w:r w:rsidR="00A5540F">
        <w:t>s</w:t>
      </w:r>
      <w:bookmarkEnd w:id="217"/>
    </w:p>
    <w:tbl>
      <w:tblPr>
        <w:tblStyle w:val="TableGrid"/>
        <w:tblW w:w="9504" w:type="dxa"/>
        <w:tblLook w:val="04A0" w:firstRow="1" w:lastRow="0" w:firstColumn="1" w:lastColumn="0" w:noHBand="0" w:noVBand="1"/>
        <w:tblCaption w:val="Table 104: Q9 Findings of systematic reviews of exercise interventions — infant outcomes"/>
      </w:tblPr>
      <w:tblGrid>
        <w:gridCol w:w="2841"/>
        <w:gridCol w:w="2547"/>
        <w:gridCol w:w="2982"/>
        <w:gridCol w:w="1134"/>
      </w:tblGrid>
      <w:tr w:rsidR="00A5540F" w:rsidRPr="00B87066" w14:paraId="2210FEEC" w14:textId="77777777" w:rsidTr="00A5540F">
        <w:trPr>
          <w:tblHeader/>
        </w:trPr>
        <w:tc>
          <w:tcPr>
            <w:tcW w:w="2841" w:type="dxa"/>
            <w:tcBorders>
              <w:bottom w:val="single" w:sz="4" w:space="0" w:color="3B3474"/>
            </w:tcBorders>
          </w:tcPr>
          <w:p w14:paraId="3181A60E" w14:textId="77777777" w:rsidR="00A5540F" w:rsidRPr="00B87066" w:rsidRDefault="00A5540F" w:rsidP="00A5540F">
            <w:pPr>
              <w:spacing w:before="40" w:after="40" w:line="240" w:lineRule="auto"/>
              <w:rPr>
                <w:b/>
                <w:sz w:val="16"/>
                <w:szCs w:val="16"/>
              </w:rPr>
            </w:pPr>
            <w:r w:rsidRPr="00B87066">
              <w:rPr>
                <w:b/>
                <w:sz w:val="16"/>
                <w:szCs w:val="16"/>
              </w:rPr>
              <w:t>Ref</w:t>
            </w:r>
          </w:p>
        </w:tc>
        <w:tc>
          <w:tcPr>
            <w:tcW w:w="2547" w:type="dxa"/>
            <w:tcBorders>
              <w:bottom w:val="single" w:sz="4" w:space="0" w:color="3B3474"/>
            </w:tcBorders>
          </w:tcPr>
          <w:p w14:paraId="55CC4366" w14:textId="77777777" w:rsidR="00A5540F" w:rsidRPr="00B87066" w:rsidRDefault="00A5540F" w:rsidP="00A5540F">
            <w:pPr>
              <w:spacing w:before="40" w:after="40" w:line="240" w:lineRule="auto"/>
              <w:rPr>
                <w:b/>
                <w:sz w:val="16"/>
                <w:szCs w:val="16"/>
              </w:rPr>
            </w:pPr>
            <w:r w:rsidRPr="00B87066">
              <w:rPr>
                <w:b/>
                <w:sz w:val="16"/>
                <w:szCs w:val="16"/>
              </w:rPr>
              <w:t>Population</w:t>
            </w:r>
          </w:p>
        </w:tc>
        <w:tc>
          <w:tcPr>
            <w:tcW w:w="2982" w:type="dxa"/>
            <w:tcBorders>
              <w:bottom w:val="single" w:sz="4" w:space="0" w:color="3B3474"/>
            </w:tcBorders>
          </w:tcPr>
          <w:p w14:paraId="18427181" w14:textId="07A7D3E6" w:rsidR="00A5540F" w:rsidRPr="00B87066" w:rsidRDefault="00FD63C3" w:rsidP="008E1F6E">
            <w:pPr>
              <w:spacing w:before="40" w:after="40" w:line="240" w:lineRule="auto"/>
              <w:jc w:val="center"/>
              <w:rPr>
                <w:b/>
                <w:sz w:val="16"/>
                <w:szCs w:val="16"/>
              </w:rPr>
            </w:pPr>
            <w:r>
              <w:rPr>
                <w:b/>
                <w:sz w:val="16"/>
                <w:szCs w:val="16"/>
              </w:rPr>
              <w:t>Effect</w:t>
            </w:r>
            <w:r w:rsidR="00A5540F" w:rsidRPr="00B87066">
              <w:rPr>
                <w:b/>
                <w:sz w:val="16"/>
                <w:szCs w:val="16"/>
              </w:rPr>
              <w:t xml:space="preserve"> (95% CI)</w:t>
            </w:r>
          </w:p>
        </w:tc>
        <w:tc>
          <w:tcPr>
            <w:tcW w:w="1134" w:type="dxa"/>
            <w:tcBorders>
              <w:bottom w:val="single" w:sz="4" w:space="0" w:color="3B3474"/>
            </w:tcBorders>
          </w:tcPr>
          <w:p w14:paraId="48092659" w14:textId="77777777" w:rsidR="00A5540F" w:rsidRPr="00B87066" w:rsidRDefault="00A5540F" w:rsidP="00A5540F">
            <w:pPr>
              <w:spacing w:before="40" w:after="40" w:line="240" w:lineRule="auto"/>
              <w:jc w:val="center"/>
              <w:rPr>
                <w:b/>
                <w:sz w:val="16"/>
                <w:szCs w:val="16"/>
              </w:rPr>
            </w:pPr>
            <w:r w:rsidRPr="00B87066">
              <w:rPr>
                <w:b/>
                <w:sz w:val="16"/>
                <w:szCs w:val="16"/>
              </w:rPr>
              <w:t>Number of studies</w:t>
            </w:r>
          </w:p>
        </w:tc>
      </w:tr>
      <w:tr w:rsidR="00A5540F" w:rsidRPr="00B87066" w14:paraId="6E66BC53" w14:textId="77777777" w:rsidTr="00A5540F">
        <w:tc>
          <w:tcPr>
            <w:tcW w:w="9504" w:type="dxa"/>
            <w:gridSpan w:val="4"/>
            <w:shd w:val="clear" w:color="auto" w:fill="D9E2F3" w:themeFill="accent1" w:themeFillTint="33"/>
          </w:tcPr>
          <w:p w14:paraId="01106E5E" w14:textId="77777777" w:rsidR="00A5540F" w:rsidRPr="00B87066" w:rsidRDefault="00A5540F" w:rsidP="00A5540F">
            <w:pPr>
              <w:pStyle w:val="RCTstable"/>
              <w:rPr>
                <w:i/>
              </w:rPr>
            </w:pPr>
            <w:r>
              <w:rPr>
                <w:i/>
              </w:rPr>
              <w:t>Preterm birth</w:t>
            </w:r>
          </w:p>
        </w:tc>
      </w:tr>
      <w:tr w:rsidR="00A5540F" w:rsidRPr="00B87066" w14:paraId="5E90055D" w14:textId="77777777" w:rsidTr="00A5540F">
        <w:tc>
          <w:tcPr>
            <w:tcW w:w="2841" w:type="dxa"/>
            <w:tcBorders>
              <w:bottom w:val="single" w:sz="4" w:space="0" w:color="3B3474"/>
            </w:tcBorders>
            <w:shd w:val="clear" w:color="auto" w:fill="F2F2F2" w:themeFill="background1" w:themeFillShade="F2"/>
          </w:tcPr>
          <w:p w14:paraId="7653B47C"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043FF9DA"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2560DCF7" w14:textId="77777777" w:rsidR="00A5540F" w:rsidRPr="0016710A" w:rsidRDefault="00A5540F" w:rsidP="00A5540F">
            <w:pPr>
              <w:pStyle w:val="RCTstable"/>
              <w:jc w:val="center"/>
            </w:pPr>
            <w:r w:rsidRPr="0016710A">
              <w:t>RR 0.95 (0.74 to 1.22)</w:t>
            </w:r>
          </w:p>
        </w:tc>
        <w:tc>
          <w:tcPr>
            <w:tcW w:w="1134" w:type="dxa"/>
            <w:tcBorders>
              <w:bottom w:val="single" w:sz="4" w:space="0" w:color="3B3474"/>
            </w:tcBorders>
            <w:shd w:val="clear" w:color="auto" w:fill="F2F2F2" w:themeFill="background1" w:themeFillShade="F2"/>
          </w:tcPr>
          <w:p w14:paraId="1009AF20" w14:textId="77777777" w:rsidR="00A5540F" w:rsidRPr="00B87066" w:rsidRDefault="00A5540F" w:rsidP="00A5540F">
            <w:pPr>
              <w:pStyle w:val="RCTstable"/>
              <w:jc w:val="center"/>
            </w:pPr>
            <w:r>
              <w:t>15</w:t>
            </w:r>
          </w:p>
        </w:tc>
      </w:tr>
      <w:tr w:rsidR="00F816A0" w:rsidRPr="00B94B87" w14:paraId="33B51FDF" w14:textId="77777777" w:rsidTr="00A5540F">
        <w:tc>
          <w:tcPr>
            <w:tcW w:w="2841" w:type="dxa"/>
            <w:shd w:val="clear" w:color="auto" w:fill="auto"/>
          </w:tcPr>
          <w:p w14:paraId="3B1E988B" w14:textId="7875030A" w:rsidR="00F816A0" w:rsidRPr="00B94B87" w:rsidRDefault="00F816A0" w:rsidP="002747EA">
            <w:pPr>
              <w:pStyle w:val="RCTstable"/>
            </w:pPr>
            <w:r w:rsidRPr="00B94B87">
              <w:t xml:space="preserve">Aune et al </w:t>
            </w:r>
            <w:r w:rsidR="00CC7B2A" w:rsidRPr="00B94B87">
              <w:t>2017</w:t>
            </w:r>
            <w:r w:rsidR="003E3405">
              <w:fldChar w:fldCharType="begin"/>
            </w:r>
            <w:r w:rsidR="002747EA">
              <w:instrText xml:space="preserve"> ADDIN EN.CITE &lt;EndNote&gt;&lt;Cite&gt;&lt;Author&gt;Aune&lt;/Author&gt;&lt;Year&gt;2017&lt;/Year&gt;&lt;RecNum&gt;665&lt;/RecNum&gt;&lt;DisplayText&gt;&lt;style face="superscript" font="Trebuchet MS" size="9"&gt;478&lt;/style&gt;&lt;/DisplayText&gt;&lt;record&gt;&lt;rec-number&gt;665&lt;/rec-number&gt;&lt;foreign-keys&gt;&lt;key app="EN" db-id="exvasrfx2dtraoesasxp2szsxa2df502592x" timestamp="1540441913"&gt;665&lt;/key&gt;&lt;/foreign-keys&gt;&lt;ref-type name="Journal Article"&gt;17&lt;/ref-type&gt;&lt;contributors&gt;&lt;authors&gt;&lt;author&gt;Aune, D.&lt;/author&gt;&lt;author&gt;Schlesinger, S.&lt;/author&gt;&lt;author&gt;Henriksen, T.&lt;/author&gt;&lt;author&gt;Saugstad, O. D.&lt;/author&gt;&lt;author&gt;Tonstad, S.&lt;/author&gt;&lt;/authors&gt;&lt;/contributors&gt;&lt;auth-address&gt;Department of Public Health and General Practice, Faculty of Medicine, Norwegian University of Science and Technology, Trondheim, Norway.&amp;#xD;Department of Epidemiology and Biostatistics, School of Public Health, Imperial College London, London, UK.&amp;#xD;Bjorknes University College, Oslo, Norway.&amp;#xD;Section of Obstetrics, Division of Obstetrics and Gynaecology, Rikshospitalet, Oslo University Hospital, Oslo, Norway.&amp;#xD;Department of Pediatric Research, Rikshospitalet, Oslo University Hospital, University of Oslo, Oslo, Norway.&amp;#xD;Department of Preventive Cardiology, Oslo University Hospital, University of Oslo, Oslo, Norway.&lt;/auth-address&gt;&lt;titles&gt;&lt;title&gt;Physical activity and the risk of preterm birth: a systematic review and meta-analysis of epidemiological studies&lt;/title&gt;&lt;secondary-title&gt;BJOG&lt;/secondary-title&gt;&lt;/titles&gt;&lt;periodical&gt;&lt;full-title&gt;BJOG&lt;/full-title&gt;&lt;/periodical&gt;&lt;pages&gt;1816-1826&lt;/pages&gt;&lt;volume&gt;124&lt;/volume&gt;&lt;number&gt;12&lt;/number&gt;&lt;edition&gt;2017/04/05&lt;/edition&gt;&lt;keywords&gt;&lt;keyword&gt;Meta-analysis&lt;/keyword&gt;&lt;keyword&gt;physical activity&lt;/keyword&gt;&lt;keyword&gt;preterm birth&lt;/keyword&gt;&lt;/keywords&gt;&lt;dates&gt;&lt;year&gt;2017&lt;/year&gt;&lt;pub-dates&gt;&lt;date&gt;Nov&lt;/date&gt;&lt;/pub-dates&gt;&lt;/dates&gt;&lt;isbn&gt;1471-0528 (Electronic)&amp;#xD;1470-0328 (Linking)&lt;/isbn&gt;&lt;accession-num&gt;28374930&lt;/accession-num&gt;&lt;urls&gt;&lt;related-urls&gt;&lt;url&gt;https://www.ncbi.nlm.nih.gov/pubmed/28374930&lt;/url&gt;&lt;/related-urls&gt;&lt;/urls&gt;&lt;electronic-resource-num&gt;10.1111/1471-0528.14672&lt;/electronic-resource-num&gt;&lt;/record&gt;&lt;/Cite&gt;&lt;/EndNote&gt;</w:instrText>
            </w:r>
            <w:r w:rsidR="003E3405">
              <w:fldChar w:fldCharType="separate"/>
            </w:r>
            <w:r w:rsidR="002747EA" w:rsidRPr="002747EA">
              <w:rPr>
                <w:noProof/>
                <w:sz w:val="18"/>
                <w:vertAlign w:val="superscript"/>
              </w:rPr>
              <w:t>478</w:t>
            </w:r>
            <w:r w:rsidR="003E3405">
              <w:fldChar w:fldCharType="end"/>
            </w:r>
          </w:p>
        </w:tc>
        <w:tc>
          <w:tcPr>
            <w:tcW w:w="2547" w:type="dxa"/>
            <w:shd w:val="clear" w:color="auto" w:fill="auto"/>
          </w:tcPr>
          <w:p w14:paraId="1FCED062" w14:textId="483F9E5A" w:rsidR="00F816A0" w:rsidRPr="00B94B87" w:rsidRDefault="00CC7B2A" w:rsidP="00A5540F">
            <w:pPr>
              <w:pStyle w:val="RCTstable"/>
            </w:pPr>
            <w:r w:rsidRPr="00B94B87">
              <w:t>Mixed BMIs</w:t>
            </w:r>
          </w:p>
        </w:tc>
        <w:tc>
          <w:tcPr>
            <w:tcW w:w="2982" w:type="dxa"/>
            <w:shd w:val="clear" w:color="auto" w:fill="auto"/>
          </w:tcPr>
          <w:p w14:paraId="5C1D08CE" w14:textId="53C60A16" w:rsidR="00F816A0" w:rsidRPr="00B94B87" w:rsidRDefault="00CC7B2A" w:rsidP="00A5540F">
            <w:pPr>
              <w:pStyle w:val="RCTstable"/>
              <w:jc w:val="center"/>
            </w:pPr>
            <w:r w:rsidRPr="00B94B87">
              <w:t>RR 0.91 (0.72 to 1.15)</w:t>
            </w:r>
          </w:p>
        </w:tc>
        <w:tc>
          <w:tcPr>
            <w:tcW w:w="1134" w:type="dxa"/>
            <w:shd w:val="clear" w:color="auto" w:fill="auto"/>
          </w:tcPr>
          <w:p w14:paraId="60E7B26E" w14:textId="6F7DCD73" w:rsidR="00F816A0" w:rsidRPr="00B94B87" w:rsidRDefault="00CC7B2A" w:rsidP="00A5540F">
            <w:pPr>
              <w:pStyle w:val="RCTstable"/>
              <w:jc w:val="center"/>
            </w:pPr>
            <w:r w:rsidRPr="00B94B87">
              <w:t>21</w:t>
            </w:r>
          </w:p>
        </w:tc>
      </w:tr>
      <w:tr w:rsidR="00531C07" w:rsidRPr="00C12274" w14:paraId="2A531813" w14:textId="77777777" w:rsidTr="0002532B">
        <w:tc>
          <w:tcPr>
            <w:tcW w:w="2841" w:type="dxa"/>
          </w:tcPr>
          <w:p w14:paraId="77084E4E" w14:textId="7115B5D3" w:rsidR="00531C07" w:rsidRDefault="00531C07"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14B110CE" w14:textId="77777777" w:rsidR="00531C07" w:rsidRDefault="00531C07" w:rsidP="0002532B">
            <w:pPr>
              <w:pStyle w:val="RCTstable"/>
            </w:pPr>
            <w:r>
              <w:t>Mixed BMIs</w:t>
            </w:r>
          </w:p>
        </w:tc>
        <w:tc>
          <w:tcPr>
            <w:tcW w:w="2982" w:type="dxa"/>
          </w:tcPr>
          <w:p w14:paraId="67DE7C16" w14:textId="7E7EE330" w:rsidR="00531C07" w:rsidRDefault="00531C07" w:rsidP="00531C07">
            <w:pPr>
              <w:pStyle w:val="RCTstable"/>
              <w:jc w:val="center"/>
              <w:rPr>
                <w:rFonts w:eastAsiaTheme="majorEastAsia"/>
              </w:rPr>
            </w:pPr>
            <w:r>
              <w:rPr>
                <w:rFonts w:eastAsiaTheme="majorEastAsia"/>
              </w:rPr>
              <w:t>RR 1.11 (0.57 to 2.19)</w:t>
            </w:r>
          </w:p>
        </w:tc>
        <w:tc>
          <w:tcPr>
            <w:tcW w:w="1134" w:type="dxa"/>
          </w:tcPr>
          <w:p w14:paraId="5D4B3C3F" w14:textId="2326FDCC" w:rsidR="00531C07" w:rsidRDefault="00531C07" w:rsidP="0002532B">
            <w:pPr>
              <w:pStyle w:val="RCTstable"/>
              <w:jc w:val="center"/>
            </w:pPr>
            <w:r>
              <w:t>6</w:t>
            </w:r>
          </w:p>
        </w:tc>
      </w:tr>
      <w:tr w:rsidR="00D212E2" w:rsidRPr="00B94B87" w14:paraId="4A75669D" w14:textId="77777777" w:rsidTr="0002532B">
        <w:tc>
          <w:tcPr>
            <w:tcW w:w="2841" w:type="dxa"/>
            <w:shd w:val="clear" w:color="auto" w:fill="auto"/>
          </w:tcPr>
          <w:p w14:paraId="0A407903" w14:textId="7836BC2B" w:rsidR="00D212E2" w:rsidRPr="00B94B87" w:rsidRDefault="00D212E2" w:rsidP="002747EA">
            <w:pPr>
              <w:pStyle w:val="RCTstable"/>
              <w:rPr>
                <w:noProof/>
              </w:rPr>
            </w:pPr>
            <w:r>
              <w:t>Davenport et al 2018b</w:t>
            </w:r>
            <w:r w:rsidR="00D07346">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479</w:t>
            </w:r>
            <w:r w:rsidR="00D07346">
              <w:rPr>
                <w:noProof/>
              </w:rPr>
              <w:fldChar w:fldCharType="end"/>
            </w:r>
          </w:p>
        </w:tc>
        <w:tc>
          <w:tcPr>
            <w:tcW w:w="2547" w:type="dxa"/>
            <w:shd w:val="clear" w:color="auto" w:fill="auto"/>
          </w:tcPr>
          <w:p w14:paraId="666F30B1" w14:textId="77777777" w:rsidR="00D212E2" w:rsidRPr="00B94B87" w:rsidRDefault="00D212E2" w:rsidP="0002532B">
            <w:pPr>
              <w:pStyle w:val="RCTstable"/>
            </w:pPr>
            <w:r w:rsidRPr="00B94B87">
              <w:t>Mixed BMIs</w:t>
            </w:r>
          </w:p>
        </w:tc>
        <w:tc>
          <w:tcPr>
            <w:tcW w:w="2982" w:type="dxa"/>
            <w:shd w:val="clear" w:color="auto" w:fill="auto"/>
          </w:tcPr>
          <w:p w14:paraId="52ABF6E0" w14:textId="00A11025" w:rsidR="00D212E2" w:rsidRPr="00B94B87" w:rsidRDefault="00D212E2" w:rsidP="00D212E2">
            <w:pPr>
              <w:pStyle w:val="RCTstable"/>
              <w:jc w:val="center"/>
            </w:pPr>
            <w:r w:rsidRPr="00B94B87">
              <w:t xml:space="preserve">RR </w:t>
            </w:r>
            <w:r>
              <w:t>1.12 (0.88 to 1.42)</w:t>
            </w:r>
          </w:p>
        </w:tc>
        <w:tc>
          <w:tcPr>
            <w:tcW w:w="1134" w:type="dxa"/>
            <w:shd w:val="clear" w:color="auto" w:fill="auto"/>
          </w:tcPr>
          <w:p w14:paraId="2A2AE3E4" w14:textId="6824D023" w:rsidR="00D212E2" w:rsidRPr="00B94B87" w:rsidRDefault="00D212E2" w:rsidP="0002532B">
            <w:pPr>
              <w:pStyle w:val="RCTstable"/>
              <w:jc w:val="center"/>
            </w:pPr>
            <w:r>
              <w:t>27</w:t>
            </w:r>
          </w:p>
        </w:tc>
      </w:tr>
      <w:tr w:rsidR="00F816A0" w:rsidRPr="00B94B87" w14:paraId="42AC7CCF" w14:textId="77777777" w:rsidTr="00A5540F">
        <w:tc>
          <w:tcPr>
            <w:tcW w:w="2841" w:type="dxa"/>
            <w:shd w:val="clear" w:color="auto" w:fill="auto"/>
          </w:tcPr>
          <w:p w14:paraId="219D16C6" w14:textId="7F0D713B" w:rsidR="00F816A0" w:rsidRPr="00B94B87" w:rsidRDefault="002B1C7E" w:rsidP="002747EA">
            <w:pPr>
              <w:pStyle w:val="RCTstable"/>
            </w:pPr>
            <w:r w:rsidRPr="00B94B87">
              <w:t>Di Mascio et al 2016</w:t>
            </w:r>
            <w:r w:rsidR="003E3405">
              <w:fldChar w:fldCharType="begin">
                <w:fldData xml:space="preserve">PEVuZE5vdGU+PENpdGU+PEF1dGhvcj5NYWdyby1NYWxvc3NvPC9BdXRob3I+PFllYXI+MjAxNzwv
WWVhcj48UmVjTnVtPjY1MjwvUmVjTnVtPjxEaXNwbGF5VGV4dD48c3R5bGUgZmFjZT0ic3VwZXJz
Y3JpcHQiIGZvbnQ9IlRyZWJ1Y2hldCBNUyIgc2l6ZT0iOSI+NDgwPC9zdHlsZT48L0Rpc3BsYXlU
ZXh0PjxyZWNvcmQ+PHJlYy1udW1iZXI+NjUyPC9yZWMtbnVtYmVyPjxmb3JlaWduLWtleXM+PGtl
eSBhcHA9IkVOIiBkYi1pZD0iZXh2YXNyZngyZHRyYW9lc2FzeHAyc3pzeGEyZGY1MDI1OTJ4IiB0
aW1lc3RhbXA9IjE1NDA0MjkzNjkiPjY1Mjwva2V5PjxrZXkgYXBwPSJFTldlYiIgZGItaWQ9IiI+
MDwva2V5PjwvZm9yZWlnbi1rZXlzPjxyZWYtdHlwZSBuYW1lPSJKb3VybmFsIEFydGljbGUiPjE3
PC9yZWYtdHlwZT48Y29udHJpYnV0b3JzPjxhdXRob3JzPjxhdXRob3I+TWFncm8tTWFsb3Nzbywg
RS4gUi48L2F1dGhvcj48YXV0aG9yPlNhY2NvbmUsIEcuPC9hdXRob3I+PGF1dGhvcj5EaSBNYXNj
aW8sIEQuPC9hdXRob3I+PGF1dGhvcj5EaSBUb21tYXNvLCBNLjwvYXV0aG9yPjxhdXRob3I+QmVy
Z2hlbGxhLCBWLjwvYXV0aG9yPjwvYXV0aG9ycz48L2NvbnRyaWJ1dG9ycz48YXV0aC1hZGRyZXNz
PkRpdmlzaW9uIG9mIFBlZGlhdHJpY3MsIE9ic3RldHJpY3MgYW5kIEd5bmVjb2xvZ3ksIERlcGFy
dG1lbnQgb2YgSGVhbHRoIFNjaWVuY2UsIENhcmVnZ2kgSG9zcGl0YWwsIFVuaXZlcnNpdHkgb2Yg
RmxvcmVuY2UsIEZsb3JlbmNlLCBJdGFseS4mI3hEO0RlcGFydG1lbnQgb2YgTmV1cm9zY2llbmNl
LCBSZXByb2R1Y3RpdmUgU2NpZW5jZXMgYW5kIERlbnRpc3RyeSwgU2Nob29sIG9mIE1lZGljaW5l
LCBVbml2ZXJzaXR5IG9mIE5hcGxlcyBGZWRlcmljbyBJSSwgTmFwbGVzLCBJdGFseS4mI3hEO0Rp
dmlzaW9uIG9mIE1hdGVybmFsLUZldGFsIE1lZGljaW5lLCBEZXBhcnRtZW50IG9mIE9ic3RldHJp
Y3MgYW5kIEd5bmVjb2xvZ3ksIFNpZG5leSBLaW1tZWwgTWVkaWNhbCBDb2xsZWdlLCBUaG9tYXMg
SmVmZmVyc29uIFVuaXZlcnNpdHksIFBoaWxhZGVscGhpYSwgUEEsIFVTQS48L2F1dGgtYWRkcmVz
cz48dGl0bGVzPjx0aXRsZT5FeGVyY2lzZSBkdXJpbmcgcHJlZ25hbmN5IGFuZCByaXNrIG9mIHBy
ZXRlcm0gYmlydGggaW4gb3ZlcndlaWdodCBhbmQgb2Jlc2Ugd29tZW46IGEgc3lzdGVtYXRpYyBy
ZXZpZXcgYW5kIG1ldGEtYW5hbHlzaXMgb2YgcmFuZG9taXplZCBjb250cm9sbGVkIHRyaWFsczwv
dGl0bGU+PHNlY29uZGFyeS10aXRsZT5BY3RhIE9ic3RldCBHeW5lY29sIFNjYW5kPC9zZWNvbmRh
cnktdGl0bGU+PC90aXRsZXM+PHBlcmlvZGljYWw+PGZ1bGwtdGl0bGU+QWN0YSBPYnN0ZXQgR3lu
ZWNvbCBTY2FuZDwvZnVsbC10aXRsZT48L3BlcmlvZGljYWw+PHBhZ2VzPjI2My0yNzM8L3BhZ2Vz
Pjx2b2x1bWU+OTY8L3ZvbHVtZT48bnVtYmVyPjM8L251bWJlcj48ZWRpdGlvbj4yMDE2LzEyLzI5
PC9lZGl0aW9uPjxrZXl3b3Jkcz48a2V5d29yZD4qRXhlcmNpc2U8L2tleXdvcmQ+PGtleXdvcmQ+
RmVtYWxlPC9rZXl3b3JkPjxrZXl3b3JkPkZldGFsIE1lbWJyYW5lcywgUHJlbWF0dXJlIFJ1cHR1
cmUvKmVwaWRlbWlvbG9neS9ldGlvbG9neS9wcmV2ZW50aW9uICZhbXA7IGNvbnRyb2w8L2tleXdv
cmQ+PGtleXdvcmQ+SHVtYW5zPC9rZXl3b3JkPjxrZXl3b3JkPipPYmVzaXR5PC9rZXl3b3JkPjxr
ZXl3b3JkPk92ZXJ3ZWlnaHQ8L2tleXdvcmQ+PGtleXdvcmQ+UHJlZ25hbmN5PC9rZXl3b3JkPjxr
ZXl3b3JkPipQcmVnbmFuY3kgQ29tcGxpY2F0aW9uczwva2V5d29yZD48a2V5d29yZD5QcmVuYXRh
bCBDYXJlPC9rZXl3b3JkPjxrZXl3b3JkPlJpc2sgRmFjdG9yczwva2V5d29yZD48a2V5d29yZD4q
UGh5c2ljYWwgYWN0aXZpdHk8L2tleXdvcmQ+PGtleXdvcmQ+KmV4ZXJjaXNlIGluIHByZWduYW5j
eTwva2V5d29yZD48a2V5d29yZD4qcHJldGVybSBiaXJ0aDwva2V5d29yZD48a2V5d29yZD4qcHJl
dGVybSBkZWxpdmVyeTwva2V5d29yZD48L2tleXdvcmRzPjxkYXRlcz48eWVhcj4yMDE3PC95ZWFy
PjxwdWItZGF0ZXM+PGRhdGU+TWFyPC9kYXRlPjwvcHViLWRhdGVzPjwvZGF0ZXM+PGlzYm4+MTYw
MC0wNDEyIChFbGVjdHJvbmljKSYjeEQ7MDAwMS02MzQ5IChMaW5raW5nKTwvaXNibj48YWNjZXNz
aW9uLW51bT4yODAyOTE3ODwvYWNjZXNzaW9uLW51bT48dXJscz48cmVsYXRlZC11cmxzPjx1cmw+
aHR0cHM6Ly93d3cubmNiaS5ubG0ubmloLmdvdi9wdWJtZWQvMjgwMjkxNzg8L3VybD48L3JlbGF0
ZWQtdXJscz48L3VybHM+PGVsZWN0cm9uaWMtcmVzb3VyY2UtbnVtPjEwLjExMTEvYW9ncy4xMzA4
NzwvZWxlY3Ryb25pYy1yZXNvdXJjZS1udW0+PC9yZWNvcmQ+PC9DaXRlPjwvRW5kTm90ZT5=
</w:fldData>
              </w:fldChar>
            </w:r>
            <w:r w:rsidR="002747EA">
              <w:instrText xml:space="preserve"> ADDIN EN.CITE </w:instrText>
            </w:r>
            <w:r w:rsidR="002747EA">
              <w:fldChar w:fldCharType="begin">
                <w:fldData xml:space="preserve">PEVuZE5vdGU+PENpdGU+PEF1dGhvcj5NYWdyby1NYWxvc3NvPC9BdXRob3I+PFllYXI+MjAxNzwv
WWVhcj48UmVjTnVtPjY1MjwvUmVjTnVtPjxEaXNwbGF5VGV4dD48c3R5bGUgZmFjZT0ic3VwZXJz
Y3JpcHQiIGZvbnQ9IlRyZWJ1Y2hldCBNUyIgc2l6ZT0iOSI+NDgwPC9zdHlsZT48L0Rpc3BsYXlU
ZXh0PjxyZWNvcmQ+PHJlYy1udW1iZXI+NjUyPC9yZWMtbnVtYmVyPjxmb3JlaWduLWtleXM+PGtl
eSBhcHA9IkVOIiBkYi1pZD0iZXh2YXNyZngyZHRyYW9lc2FzeHAyc3pzeGEyZGY1MDI1OTJ4IiB0
aW1lc3RhbXA9IjE1NDA0MjkzNjkiPjY1Mjwva2V5PjxrZXkgYXBwPSJFTldlYiIgZGItaWQ9IiI+
MDwva2V5PjwvZm9yZWlnbi1rZXlzPjxyZWYtdHlwZSBuYW1lPSJKb3VybmFsIEFydGljbGUiPjE3
PC9yZWYtdHlwZT48Y29udHJpYnV0b3JzPjxhdXRob3JzPjxhdXRob3I+TWFncm8tTWFsb3Nzbywg
RS4gUi48L2F1dGhvcj48YXV0aG9yPlNhY2NvbmUsIEcuPC9hdXRob3I+PGF1dGhvcj5EaSBNYXNj
aW8sIEQuPC9hdXRob3I+PGF1dGhvcj5EaSBUb21tYXNvLCBNLjwvYXV0aG9yPjxhdXRob3I+QmVy
Z2hlbGxhLCBWLjwvYXV0aG9yPjwvYXV0aG9ycz48L2NvbnRyaWJ1dG9ycz48YXV0aC1hZGRyZXNz
PkRpdmlzaW9uIG9mIFBlZGlhdHJpY3MsIE9ic3RldHJpY3MgYW5kIEd5bmVjb2xvZ3ksIERlcGFy
dG1lbnQgb2YgSGVhbHRoIFNjaWVuY2UsIENhcmVnZ2kgSG9zcGl0YWwsIFVuaXZlcnNpdHkgb2Yg
RmxvcmVuY2UsIEZsb3JlbmNlLCBJdGFseS4mI3hEO0RlcGFydG1lbnQgb2YgTmV1cm9zY2llbmNl
LCBSZXByb2R1Y3RpdmUgU2NpZW5jZXMgYW5kIERlbnRpc3RyeSwgU2Nob29sIG9mIE1lZGljaW5l
LCBVbml2ZXJzaXR5IG9mIE5hcGxlcyBGZWRlcmljbyBJSSwgTmFwbGVzLCBJdGFseS4mI3hEO0Rp
dmlzaW9uIG9mIE1hdGVybmFsLUZldGFsIE1lZGljaW5lLCBEZXBhcnRtZW50IG9mIE9ic3RldHJp
Y3MgYW5kIEd5bmVjb2xvZ3ksIFNpZG5leSBLaW1tZWwgTWVkaWNhbCBDb2xsZWdlLCBUaG9tYXMg
SmVmZmVyc29uIFVuaXZlcnNpdHksIFBoaWxhZGVscGhpYSwgUEEsIFVTQS48L2F1dGgtYWRkcmVz
cz48dGl0bGVzPjx0aXRsZT5FeGVyY2lzZSBkdXJpbmcgcHJlZ25hbmN5IGFuZCByaXNrIG9mIHBy
ZXRlcm0gYmlydGggaW4gb3ZlcndlaWdodCBhbmQgb2Jlc2Ugd29tZW46IGEgc3lzdGVtYXRpYyBy
ZXZpZXcgYW5kIG1ldGEtYW5hbHlzaXMgb2YgcmFuZG9taXplZCBjb250cm9sbGVkIHRyaWFsczwv
dGl0bGU+PHNlY29uZGFyeS10aXRsZT5BY3RhIE9ic3RldCBHeW5lY29sIFNjYW5kPC9zZWNvbmRh
cnktdGl0bGU+PC90aXRsZXM+PHBlcmlvZGljYWw+PGZ1bGwtdGl0bGU+QWN0YSBPYnN0ZXQgR3lu
ZWNvbCBTY2FuZDwvZnVsbC10aXRsZT48L3BlcmlvZGljYWw+PHBhZ2VzPjI2My0yNzM8L3BhZ2Vz
Pjx2b2x1bWU+OTY8L3ZvbHVtZT48bnVtYmVyPjM8L251bWJlcj48ZWRpdGlvbj4yMDE2LzEyLzI5
PC9lZGl0aW9uPjxrZXl3b3Jkcz48a2V5d29yZD4qRXhlcmNpc2U8L2tleXdvcmQ+PGtleXdvcmQ+
RmVtYWxlPC9rZXl3b3JkPjxrZXl3b3JkPkZldGFsIE1lbWJyYW5lcywgUHJlbWF0dXJlIFJ1cHR1
cmUvKmVwaWRlbWlvbG9neS9ldGlvbG9neS9wcmV2ZW50aW9uICZhbXA7IGNvbnRyb2w8L2tleXdv
cmQ+PGtleXdvcmQ+SHVtYW5zPC9rZXl3b3JkPjxrZXl3b3JkPipPYmVzaXR5PC9rZXl3b3JkPjxr
ZXl3b3JkPk92ZXJ3ZWlnaHQ8L2tleXdvcmQ+PGtleXdvcmQ+UHJlZ25hbmN5PC9rZXl3b3JkPjxr
ZXl3b3JkPipQcmVnbmFuY3kgQ29tcGxpY2F0aW9uczwva2V5d29yZD48a2V5d29yZD5QcmVuYXRh
bCBDYXJlPC9rZXl3b3JkPjxrZXl3b3JkPlJpc2sgRmFjdG9yczwva2V5d29yZD48a2V5d29yZD4q
UGh5c2ljYWwgYWN0aXZpdHk8L2tleXdvcmQ+PGtleXdvcmQ+KmV4ZXJjaXNlIGluIHByZWduYW5j
eTwva2V5d29yZD48a2V5d29yZD4qcHJldGVybSBiaXJ0aDwva2V5d29yZD48a2V5d29yZD4qcHJl
dGVybSBkZWxpdmVyeTwva2V5d29yZD48L2tleXdvcmRzPjxkYXRlcz48eWVhcj4yMDE3PC95ZWFy
PjxwdWItZGF0ZXM+PGRhdGU+TWFyPC9kYXRlPjwvcHViLWRhdGVzPjwvZGF0ZXM+PGlzYm4+MTYw
MC0wNDEyIChFbGVjdHJvbmljKSYjeEQ7MDAwMS02MzQ5IChMaW5raW5nKTwvaXNibj48YWNjZXNz
aW9uLW51bT4yODAyOTE3ODwvYWNjZXNzaW9uLW51bT48dXJscz48cmVsYXRlZC11cmxzPjx1cmw+
aHR0cHM6Ly93d3cubmNiaS5ubG0ubmloLmdvdi9wdWJtZWQvMjgwMjkxNzg8L3VybD48L3JlbGF0
ZWQtdXJscz48L3VybHM+PGVsZWN0cm9uaWMtcmVzb3VyY2UtbnVtPjEwLjExMTEvYW9ncy4xMzA4
NzwvZWxlY3Ryb25pYy1yZXNvdXJjZS1udW0+PC9yZWNvcmQ+PC9DaXRlPjwvRW5kTm90ZT5=
</w:fldData>
              </w:fldChar>
            </w:r>
            <w:r w:rsidR="002747EA">
              <w:instrText xml:space="preserve"> ADDIN EN.CITE.DATA </w:instrText>
            </w:r>
            <w:r w:rsidR="002747EA">
              <w:fldChar w:fldCharType="end"/>
            </w:r>
            <w:r w:rsidR="003E3405">
              <w:fldChar w:fldCharType="separate"/>
            </w:r>
            <w:r w:rsidR="002747EA" w:rsidRPr="002747EA">
              <w:rPr>
                <w:noProof/>
                <w:sz w:val="18"/>
                <w:vertAlign w:val="superscript"/>
              </w:rPr>
              <w:t>480</w:t>
            </w:r>
            <w:r w:rsidR="003E3405">
              <w:fldChar w:fldCharType="end"/>
            </w:r>
          </w:p>
        </w:tc>
        <w:tc>
          <w:tcPr>
            <w:tcW w:w="2547" w:type="dxa"/>
            <w:shd w:val="clear" w:color="auto" w:fill="auto"/>
          </w:tcPr>
          <w:p w14:paraId="227F5CBC" w14:textId="53F59FCD" w:rsidR="00F816A0" w:rsidRPr="00B94B87" w:rsidRDefault="002B1C7E" w:rsidP="00A5540F">
            <w:pPr>
              <w:pStyle w:val="RCTstable"/>
            </w:pPr>
            <w:r w:rsidRPr="00B94B87">
              <w:t>Normal weight range</w:t>
            </w:r>
          </w:p>
        </w:tc>
        <w:tc>
          <w:tcPr>
            <w:tcW w:w="2982" w:type="dxa"/>
            <w:shd w:val="clear" w:color="auto" w:fill="auto"/>
          </w:tcPr>
          <w:p w14:paraId="0B15519F" w14:textId="3C6D66BA" w:rsidR="00F816A0" w:rsidRPr="00B94B87" w:rsidRDefault="002B1C7E" w:rsidP="00A5540F">
            <w:pPr>
              <w:pStyle w:val="RCTstable"/>
              <w:jc w:val="center"/>
            </w:pPr>
            <w:r w:rsidRPr="00B94B87">
              <w:t>RR 1.01 (0.68 to 1.50)</w:t>
            </w:r>
          </w:p>
        </w:tc>
        <w:tc>
          <w:tcPr>
            <w:tcW w:w="1134" w:type="dxa"/>
            <w:shd w:val="clear" w:color="auto" w:fill="auto"/>
          </w:tcPr>
          <w:p w14:paraId="4BE8F284" w14:textId="4C0AC35D" w:rsidR="00F816A0" w:rsidRPr="00B94B87" w:rsidRDefault="002B1C7E" w:rsidP="00A5540F">
            <w:pPr>
              <w:pStyle w:val="RCTstable"/>
              <w:jc w:val="center"/>
            </w:pPr>
            <w:r w:rsidRPr="00B94B87">
              <w:t>8</w:t>
            </w:r>
          </w:p>
        </w:tc>
      </w:tr>
      <w:tr w:rsidR="00A5540F" w:rsidRPr="00B94B87" w14:paraId="09CB60FC" w14:textId="77777777" w:rsidTr="00A5540F">
        <w:tc>
          <w:tcPr>
            <w:tcW w:w="2841" w:type="dxa"/>
            <w:shd w:val="clear" w:color="auto" w:fill="auto"/>
          </w:tcPr>
          <w:p w14:paraId="562A971A" w14:textId="21377EB3" w:rsidR="00A5540F" w:rsidRPr="00B94B87" w:rsidRDefault="00A5540F" w:rsidP="002747EA">
            <w:pPr>
              <w:pStyle w:val="RCTstable"/>
            </w:pPr>
            <w:r w:rsidRPr="00B94B87">
              <w:t>Zheng et al 2017</w:t>
            </w:r>
            <w:r w:rsidRPr="00B94B87">
              <w:fldChar w:fldCharType="begin"/>
            </w:r>
            <w:r w:rsidR="002747EA">
              <w:instrText xml:space="preserve"> ADDIN EN.CITE &lt;EndNote&gt;&lt;Cite&gt;&lt;Author&gt;Zheng&lt;/Author&gt;&lt;Year&gt;2017&lt;/Year&gt;&lt;RecNum&gt;1186&lt;/RecNum&gt;&lt;DisplayText&gt;&lt;style face="superscript" font="Trebuchet MS" size="9"&gt;469&lt;/style&gt;&lt;/DisplayText&gt;&lt;record&gt;&lt;rec-number&gt;1186&lt;/rec-number&gt;&lt;foreign-keys&gt;&lt;key app="EN" db-id="exvasrfx2dtraoesasxp2szsxa2df502592x" timestamp="1559007913"&gt;1186&lt;/key&gt;&lt;key app="ENWeb" db-id=""&gt;0&lt;/key&gt;&lt;/foreign-keys&gt;&lt;ref-type name="Journal Article"&gt;17&lt;/ref-type&gt;&lt;contributors&gt;&lt;authors&gt;&lt;author&gt;Zheng, J.&lt;/author&gt;&lt;author&gt;Wang,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number&gt;10&lt;/number&gt;&lt;section&gt;1027&lt;/section&gt;&lt;dates&gt;&lt;year&gt;2017&lt;/year&gt;&lt;/dates&gt;&lt;isbn&gt;1720-8386&lt;/isbn&gt;&lt;urls&gt;&lt;/urls&gt;&lt;electronic-resource-num&gt;10.1007/s40618-017-0673-3&lt;/electronic-resource-num&gt;&lt;/record&gt;&lt;/Cite&gt;&lt;/EndNote&gt;</w:instrText>
            </w:r>
            <w:r w:rsidRPr="00B94B87">
              <w:fldChar w:fldCharType="separate"/>
            </w:r>
            <w:r w:rsidR="002747EA" w:rsidRPr="002747EA">
              <w:rPr>
                <w:noProof/>
                <w:sz w:val="18"/>
                <w:vertAlign w:val="superscript"/>
              </w:rPr>
              <w:t>469</w:t>
            </w:r>
            <w:r w:rsidRPr="00B94B87">
              <w:fldChar w:fldCharType="end"/>
            </w:r>
          </w:p>
        </w:tc>
        <w:tc>
          <w:tcPr>
            <w:tcW w:w="2547" w:type="dxa"/>
            <w:shd w:val="clear" w:color="auto" w:fill="auto"/>
          </w:tcPr>
          <w:p w14:paraId="3AF3A3E0" w14:textId="77777777" w:rsidR="00A5540F" w:rsidRPr="00B94B87" w:rsidRDefault="00A5540F" w:rsidP="00A5540F">
            <w:pPr>
              <w:pStyle w:val="RCTstable"/>
            </w:pPr>
            <w:r w:rsidRPr="00B94B87">
              <w:t>Mixed BMIs</w:t>
            </w:r>
          </w:p>
        </w:tc>
        <w:tc>
          <w:tcPr>
            <w:tcW w:w="2982" w:type="dxa"/>
            <w:shd w:val="clear" w:color="auto" w:fill="auto"/>
          </w:tcPr>
          <w:p w14:paraId="2FE2A3A4" w14:textId="77777777" w:rsidR="00A5540F" w:rsidRPr="00B94B87" w:rsidRDefault="00A5540F" w:rsidP="00A5540F">
            <w:pPr>
              <w:pStyle w:val="RCTstable"/>
              <w:jc w:val="center"/>
            </w:pPr>
            <w:r w:rsidRPr="00B94B87">
              <w:t>OR 0.93 (0.44 to 1.99)</w:t>
            </w:r>
          </w:p>
        </w:tc>
        <w:tc>
          <w:tcPr>
            <w:tcW w:w="1134" w:type="dxa"/>
            <w:shd w:val="clear" w:color="auto" w:fill="auto"/>
          </w:tcPr>
          <w:p w14:paraId="24AC8732" w14:textId="77777777" w:rsidR="00A5540F" w:rsidRPr="00B94B87" w:rsidRDefault="00A5540F" w:rsidP="00A5540F">
            <w:pPr>
              <w:pStyle w:val="RCTstable"/>
              <w:jc w:val="center"/>
            </w:pPr>
            <w:r w:rsidRPr="00B94B87">
              <w:t>2</w:t>
            </w:r>
          </w:p>
        </w:tc>
      </w:tr>
      <w:tr w:rsidR="00A5540F" w:rsidRPr="00B94B87" w14:paraId="34432A54" w14:textId="77777777" w:rsidTr="00A5540F">
        <w:tc>
          <w:tcPr>
            <w:tcW w:w="2841" w:type="dxa"/>
            <w:shd w:val="clear" w:color="auto" w:fill="auto"/>
          </w:tcPr>
          <w:p w14:paraId="5A545287" w14:textId="736A8B34" w:rsidR="00A5540F" w:rsidRPr="00B94B87" w:rsidRDefault="00A5540F" w:rsidP="002747EA">
            <w:pPr>
              <w:pStyle w:val="RCTstable"/>
            </w:pPr>
            <w:r w:rsidRPr="00B94B87">
              <w:rPr>
                <w:noProof/>
              </w:rPr>
              <w:t>Muktabhant et al 2015</w:t>
            </w:r>
            <w:r w:rsidRPr="00B94B87">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rsidRPr="00B94B87">
              <w:fldChar w:fldCharType="separate"/>
            </w:r>
            <w:r w:rsidR="002747EA" w:rsidRPr="002747EA">
              <w:rPr>
                <w:noProof/>
                <w:sz w:val="18"/>
                <w:vertAlign w:val="superscript"/>
              </w:rPr>
              <w:t>417</w:t>
            </w:r>
            <w:r w:rsidRPr="00B94B87">
              <w:fldChar w:fldCharType="end"/>
            </w:r>
          </w:p>
        </w:tc>
        <w:tc>
          <w:tcPr>
            <w:tcW w:w="2547" w:type="dxa"/>
            <w:shd w:val="clear" w:color="auto" w:fill="auto"/>
          </w:tcPr>
          <w:p w14:paraId="6FEEDA9C" w14:textId="77777777" w:rsidR="00A5540F" w:rsidRPr="00B94B87" w:rsidRDefault="00A5540F" w:rsidP="00A5540F">
            <w:pPr>
              <w:pStyle w:val="RCTstable"/>
            </w:pPr>
            <w:r w:rsidRPr="00B94B87">
              <w:t>Mixed risk</w:t>
            </w:r>
          </w:p>
        </w:tc>
        <w:tc>
          <w:tcPr>
            <w:tcW w:w="2982" w:type="dxa"/>
            <w:shd w:val="clear" w:color="auto" w:fill="auto"/>
          </w:tcPr>
          <w:p w14:paraId="39457D25" w14:textId="77777777" w:rsidR="00A5540F" w:rsidRPr="00B94B87" w:rsidRDefault="00A5540F" w:rsidP="00A5540F">
            <w:pPr>
              <w:pStyle w:val="RCTstable"/>
              <w:jc w:val="center"/>
            </w:pPr>
            <w:r w:rsidRPr="00B94B87">
              <w:t>RR 1.92 (0.75 to 4.93)</w:t>
            </w:r>
          </w:p>
        </w:tc>
        <w:tc>
          <w:tcPr>
            <w:tcW w:w="1134" w:type="dxa"/>
            <w:shd w:val="clear" w:color="auto" w:fill="auto"/>
          </w:tcPr>
          <w:p w14:paraId="39DED2A1" w14:textId="77777777" w:rsidR="00A5540F" w:rsidRPr="00B94B87" w:rsidRDefault="00A5540F" w:rsidP="00A5540F">
            <w:pPr>
              <w:pStyle w:val="RCTstable"/>
              <w:jc w:val="center"/>
            </w:pPr>
            <w:r w:rsidRPr="00B94B87">
              <w:t>3</w:t>
            </w:r>
          </w:p>
        </w:tc>
      </w:tr>
      <w:tr w:rsidR="00A5540F" w:rsidRPr="00B94B87" w14:paraId="484B363C" w14:textId="77777777" w:rsidTr="00A5540F">
        <w:tc>
          <w:tcPr>
            <w:tcW w:w="2841" w:type="dxa"/>
            <w:shd w:val="clear" w:color="auto" w:fill="auto"/>
          </w:tcPr>
          <w:p w14:paraId="0FBBA911" w14:textId="64C02923" w:rsidR="00A5540F" w:rsidRPr="00B94B87" w:rsidRDefault="00A5540F" w:rsidP="002747EA">
            <w:pPr>
              <w:pStyle w:val="RCTstable"/>
              <w:rPr>
                <w:noProof/>
              </w:rPr>
            </w:pPr>
            <w:r w:rsidRPr="00B94B87">
              <w:rPr>
                <w:noProof/>
              </w:rPr>
              <w:t>Thangaratinam et al 2012a</w:t>
            </w:r>
            <w:r w:rsidRPr="00B94B87">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sidRPr="00B94B87">
              <w:rPr>
                <w:noProof/>
              </w:rPr>
            </w:r>
            <w:r w:rsidRPr="00B94B87">
              <w:rPr>
                <w:noProof/>
              </w:rPr>
              <w:fldChar w:fldCharType="separate"/>
            </w:r>
            <w:r w:rsidR="002747EA" w:rsidRPr="002747EA">
              <w:rPr>
                <w:noProof/>
                <w:sz w:val="18"/>
                <w:vertAlign w:val="superscript"/>
              </w:rPr>
              <w:t>411</w:t>
            </w:r>
            <w:r w:rsidRPr="00B94B87">
              <w:rPr>
                <w:noProof/>
              </w:rPr>
              <w:fldChar w:fldCharType="end"/>
            </w:r>
          </w:p>
        </w:tc>
        <w:tc>
          <w:tcPr>
            <w:tcW w:w="2547" w:type="dxa"/>
            <w:shd w:val="clear" w:color="auto" w:fill="auto"/>
          </w:tcPr>
          <w:p w14:paraId="2D51AEC5" w14:textId="77777777" w:rsidR="00A5540F" w:rsidRPr="00B94B87" w:rsidRDefault="00A5540F" w:rsidP="00A5540F">
            <w:pPr>
              <w:pStyle w:val="RCTstable"/>
            </w:pPr>
            <w:r w:rsidRPr="00B94B87">
              <w:t>Mixed BMIs</w:t>
            </w:r>
          </w:p>
        </w:tc>
        <w:tc>
          <w:tcPr>
            <w:tcW w:w="2982" w:type="dxa"/>
            <w:shd w:val="clear" w:color="auto" w:fill="auto"/>
          </w:tcPr>
          <w:p w14:paraId="31AA7AE2" w14:textId="77777777" w:rsidR="00A5540F" w:rsidRPr="00B94B87" w:rsidRDefault="00A5540F" w:rsidP="00A5540F">
            <w:pPr>
              <w:pStyle w:val="RCTstable"/>
              <w:jc w:val="center"/>
            </w:pPr>
            <w:r w:rsidRPr="00B94B87">
              <w:t>RR 1.12 (0.44 to 2.85)</w:t>
            </w:r>
          </w:p>
        </w:tc>
        <w:tc>
          <w:tcPr>
            <w:tcW w:w="1134" w:type="dxa"/>
            <w:shd w:val="clear" w:color="auto" w:fill="auto"/>
          </w:tcPr>
          <w:p w14:paraId="7438F63B" w14:textId="77777777" w:rsidR="00A5540F" w:rsidRPr="00B94B87" w:rsidRDefault="00A5540F" w:rsidP="00A5540F">
            <w:pPr>
              <w:pStyle w:val="RCTstable"/>
              <w:jc w:val="center"/>
            </w:pPr>
            <w:r w:rsidRPr="00B94B87">
              <w:t>4</w:t>
            </w:r>
          </w:p>
        </w:tc>
      </w:tr>
      <w:tr w:rsidR="00A5540F" w:rsidRPr="00B94B87" w14:paraId="27FD3F88" w14:textId="77777777" w:rsidTr="00A5540F">
        <w:tc>
          <w:tcPr>
            <w:tcW w:w="2841" w:type="dxa"/>
            <w:shd w:val="clear" w:color="auto" w:fill="auto"/>
          </w:tcPr>
          <w:p w14:paraId="086C7EEE" w14:textId="7F7D6498" w:rsidR="00A5540F" w:rsidRPr="00B94B87" w:rsidRDefault="00A5540F" w:rsidP="002747EA">
            <w:pPr>
              <w:pStyle w:val="RCTstable"/>
              <w:rPr>
                <w:noProof/>
              </w:rPr>
            </w:pPr>
            <w:r w:rsidRPr="00B94B87">
              <w:t>Thangaratinam et al 2012b</w:t>
            </w:r>
            <w:r w:rsidRPr="00B94B87">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rsidRPr="00B94B87">
              <w:fldChar w:fldCharType="separate"/>
            </w:r>
            <w:r w:rsidR="002747EA" w:rsidRPr="002747EA">
              <w:rPr>
                <w:noProof/>
                <w:sz w:val="18"/>
                <w:vertAlign w:val="superscript"/>
              </w:rPr>
              <w:t>412</w:t>
            </w:r>
            <w:r w:rsidRPr="00B94B87">
              <w:fldChar w:fldCharType="end"/>
            </w:r>
          </w:p>
        </w:tc>
        <w:tc>
          <w:tcPr>
            <w:tcW w:w="2547" w:type="dxa"/>
            <w:shd w:val="clear" w:color="auto" w:fill="auto"/>
          </w:tcPr>
          <w:p w14:paraId="454E2FDA" w14:textId="77777777" w:rsidR="00A5540F" w:rsidRPr="00B94B87" w:rsidRDefault="00A5540F" w:rsidP="00A5540F">
            <w:pPr>
              <w:pStyle w:val="RCTstable"/>
            </w:pPr>
            <w:r w:rsidRPr="00B94B87">
              <w:t>Mixed BMIs</w:t>
            </w:r>
          </w:p>
        </w:tc>
        <w:tc>
          <w:tcPr>
            <w:tcW w:w="2982" w:type="dxa"/>
            <w:shd w:val="clear" w:color="auto" w:fill="auto"/>
          </w:tcPr>
          <w:p w14:paraId="638E8B4B" w14:textId="77777777" w:rsidR="00A5540F" w:rsidRPr="00B94B87" w:rsidRDefault="00A5540F" w:rsidP="00A5540F">
            <w:pPr>
              <w:pStyle w:val="RCTstable"/>
              <w:jc w:val="center"/>
            </w:pPr>
            <w:r w:rsidRPr="00B94B87">
              <w:t>RR 1.22 (0.51 to 2.90)</w:t>
            </w:r>
          </w:p>
        </w:tc>
        <w:tc>
          <w:tcPr>
            <w:tcW w:w="1134" w:type="dxa"/>
            <w:shd w:val="clear" w:color="auto" w:fill="auto"/>
          </w:tcPr>
          <w:p w14:paraId="6E82B8ED" w14:textId="77777777" w:rsidR="00A5540F" w:rsidRPr="00B94B87" w:rsidRDefault="00A5540F" w:rsidP="00A5540F">
            <w:pPr>
              <w:pStyle w:val="RCTstable"/>
              <w:jc w:val="center"/>
            </w:pPr>
            <w:r w:rsidRPr="00B94B87">
              <w:t>5</w:t>
            </w:r>
          </w:p>
        </w:tc>
      </w:tr>
      <w:tr w:rsidR="00A5540F" w:rsidRPr="00B94B87" w14:paraId="29456F96" w14:textId="77777777" w:rsidTr="00A5540F">
        <w:tc>
          <w:tcPr>
            <w:tcW w:w="2841" w:type="dxa"/>
            <w:tcBorders>
              <w:bottom w:val="single" w:sz="4" w:space="0" w:color="3B3474"/>
            </w:tcBorders>
            <w:shd w:val="clear" w:color="auto" w:fill="auto"/>
          </w:tcPr>
          <w:p w14:paraId="397AF962" w14:textId="450575BC" w:rsidR="00A5540F" w:rsidRPr="00B94B87" w:rsidRDefault="00A5540F" w:rsidP="002747EA">
            <w:pPr>
              <w:pStyle w:val="RCTstable"/>
            </w:pPr>
            <w:r w:rsidRPr="00B94B87">
              <w:rPr>
                <w:noProof/>
              </w:rPr>
              <w:t>Muktabhant et al 2015</w:t>
            </w:r>
            <w:r w:rsidRPr="00B94B87">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rsidRPr="00B94B87">
              <w:fldChar w:fldCharType="separate"/>
            </w:r>
            <w:r w:rsidR="002747EA" w:rsidRPr="002747EA">
              <w:rPr>
                <w:noProof/>
                <w:sz w:val="18"/>
                <w:vertAlign w:val="superscript"/>
              </w:rPr>
              <w:t>417</w:t>
            </w:r>
            <w:r w:rsidRPr="00B94B87">
              <w:fldChar w:fldCharType="end"/>
            </w:r>
          </w:p>
        </w:tc>
        <w:tc>
          <w:tcPr>
            <w:tcW w:w="2547" w:type="dxa"/>
            <w:tcBorders>
              <w:bottom w:val="single" w:sz="4" w:space="0" w:color="3B3474"/>
            </w:tcBorders>
            <w:shd w:val="clear" w:color="auto" w:fill="auto"/>
          </w:tcPr>
          <w:p w14:paraId="3DBDE830" w14:textId="77777777" w:rsidR="00A5540F" w:rsidRPr="00B94B87" w:rsidRDefault="00A5540F" w:rsidP="00A5540F">
            <w:pPr>
              <w:pStyle w:val="RCTstable"/>
            </w:pPr>
            <w:r w:rsidRPr="00B94B87">
              <w:t>High risk</w:t>
            </w:r>
          </w:p>
        </w:tc>
        <w:tc>
          <w:tcPr>
            <w:tcW w:w="2982" w:type="dxa"/>
            <w:tcBorders>
              <w:bottom w:val="single" w:sz="4" w:space="0" w:color="3B3474"/>
            </w:tcBorders>
            <w:shd w:val="clear" w:color="auto" w:fill="auto"/>
          </w:tcPr>
          <w:p w14:paraId="39814D22" w14:textId="77777777" w:rsidR="00A5540F" w:rsidRPr="00B94B87" w:rsidRDefault="00A5540F" w:rsidP="00A5540F">
            <w:pPr>
              <w:pStyle w:val="RCTstable"/>
              <w:jc w:val="center"/>
            </w:pPr>
            <w:r w:rsidRPr="00B94B87">
              <w:t>RR 1.34 (0.51 to 3.55)</w:t>
            </w:r>
          </w:p>
        </w:tc>
        <w:tc>
          <w:tcPr>
            <w:tcW w:w="1134" w:type="dxa"/>
            <w:tcBorders>
              <w:bottom w:val="single" w:sz="4" w:space="0" w:color="3B3474"/>
            </w:tcBorders>
            <w:shd w:val="clear" w:color="auto" w:fill="auto"/>
          </w:tcPr>
          <w:p w14:paraId="3078E712" w14:textId="77777777" w:rsidR="00A5540F" w:rsidRPr="00B94B87" w:rsidRDefault="00A5540F" w:rsidP="00A5540F">
            <w:pPr>
              <w:pStyle w:val="RCTstable"/>
              <w:jc w:val="center"/>
            </w:pPr>
            <w:r w:rsidRPr="00B94B87">
              <w:t>3</w:t>
            </w:r>
          </w:p>
        </w:tc>
      </w:tr>
      <w:tr w:rsidR="00CC7B2A" w:rsidRPr="00B87066" w14:paraId="48D083BC" w14:textId="77777777" w:rsidTr="00A5540F">
        <w:tc>
          <w:tcPr>
            <w:tcW w:w="2841" w:type="dxa"/>
            <w:tcBorders>
              <w:bottom w:val="single" w:sz="4" w:space="0" w:color="3B3474"/>
            </w:tcBorders>
            <w:shd w:val="clear" w:color="auto" w:fill="auto"/>
          </w:tcPr>
          <w:p w14:paraId="64D99EF1" w14:textId="2611546D" w:rsidR="00CC7B2A" w:rsidRPr="00B94B87" w:rsidRDefault="00CC7B2A" w:rsidP="002747EA">
            <w:pPr>
              <w:pStyle w:val="RCTstable"/>
              <w:rPr>
                <w:noProof/>
              </w:rPr>
            </w:pPr>
            <w:r w:rsidRPr="00B94B87">
              <w:rPr>
                <w:noProof/>
              </w:rPr>
              <w:t>Magro</w:t>
            </w:r>
            <w:r w:rsidR="00B94B87" w:rsidRPr="00B94B87">
              <w:rPr>
                <w:noProof/>
              </w:rPr>
              <w:t>-Malosso et al 2017</w:t>
            </w:r>
            <w:r w:rsidR="003E3405">
              <w:rPr>
                <w:noProof/>
              </w:rPr>
              <w:fldChar w:fldCharType="begin">
                <w:fldData xml:space="preserve">PEVuZE5vdGU+PENpdGU+PEF1dGhvcj5NYWdyby1NYWxvc3NvPC9BdXRob3I+PFllYXI+MjAxNzwv
WWVhcj48UmVjTnVtPjY1MjwvUmVjTnVtPjxEaXNwbGF5VGV4dD48c3R5bGUgZmFjZT0ic3VwZXJz
Y3JpcHQiIGZvbnQ9IlRyZWJ1Y2hldCBNUyIgc2l6ZT0iOSI+NDgwPC9zdHlsZT48L0Rpc3BsYXlU
ZXh0PjxyZWNvcmQ+PHJlYy1udW1iZXI+NjUyPC9yZWMtbnVtYmVyPjxmb3JlaWduLWtleXM+PGtl
eSBhcHA9IkVOIiBkYi1pZD0iZXh2YXNyZngyZHRyYW9lc2FzeHAyc3pzeGEyZGY1MDI1OTJ4IiB0
aW1lc3RhbXA9IjE1NDA0MjkzNjkiPjY1Mjwva2V5PjxrZXkgYXBwPSJFTldlYiIgZGItaWQ9IiI+
MDwva2V5PjwvZm9yZWlnbi1rZXlzPjxyZWYtdHlwZSBuYW1lPSJKb3VybmFsIEFydGljbGUiPjE3
PC9yZWYtdHlwZT48Y29udHJpYnV0b3JzPjxhdXRob3JzPjxhdXRob3I+TWFncm8tTWFsb3Nzbywg
RS4gUi48L2F1dGhvcj48YXV0aG9yPlNhY2NvbmUsIEcuPC9hdXRob3I+PGF1dGhvcj5EaSBNYXNj
aW8sIEQuPC9hdXRob3I+PGF1dGhvcj5EaSBUb21tYXNvLCBNLjwvYXV0aG9yPjxhdXRob3I+QmVy
Z2hlbGxhLCBWLjwvYXV0aG9yPjwvYXV0aG9ycz48L2NvbnRyaWJ1dG9ycz48YXV0aC1hZGRyZXNz
PkRpdmlzaW9uIG9mIFBlZGlhdHJpY3MsIE9ic3RldHJpY3MgYW5kIEd5bmVjb2xvZ3ksIERlcGFy
dG1lbnQgb2YgSGVhbHRoIFNjaWVuY2UsIENhcmVnZ2kgSG9zcGl0YWwsIFVuaXZlcnNpdHkgb2Yg
RmxvcmVuY2UsIEZsb3JlbmNlLCBJdGFseS4mI3hEO0RlcGFydG1lbnQgb2YgTmV1cm9zY2llbmNl
LCBSZXByb2R1Y3RpdmUgU2NpZW5jZXMgYW5kIERlbnRpc3RyeSwgU2Nob29sIG9mIE1lZGljaW5l
LCBVbml2ZXJzaXR5IG9mIE5hcGxlcyBGZWRlcmljbyBJSSwgTmFwbGVzLCBJdGFseS4mI3hEO0Rp
dmlzaW9uIG9mIE1hdGVybmFsLUZldGFsIE1lZGljaW5lLCBEZXBhcnRtZW50IG9mIE9ic3RldHJp
Y3MgYW5kIEd5bmVjb2xvZ3ksIFNpZG5leSBLaW1tZWwgTWVkaWNhbCBDb2xsZWdlLCBUaG9tYXMg
SmVmZmVyc29uIFVuaXZlcnNpdHksIFBoaWxhZGVscGhpYSwgUEEsIFVTQS48L2F1dGgtYWRkcmVz
cz48dGl0bGVzPjx0aXRsZT5FeGVyY2lzZSBkdXJpbmcgcHJlZ25hbmN5IGFuZCByaXNrIG9mIHBy
ZXRlcm0gYmlydGggaW4gb3ZlcndlaWdodCBhbmQgb2Jlc2Ugd29tZW46IGEgc3lzdGVtYXRpYyBy
ZXZpZXcgYW5kIG1ldGEtYW5hbHlzaXMgb2YgcmFuZG9taXplZCBjb250cm9sbGVkIHRyaWFsczwv
dGl0bGU+PHNlY29uZGFyeS10aXRsZT5BY3RhIE9ic3RldCBHeW5lY29sIFNjYW5kPC9zZWNvbmRh
cnktdGl0bGU+PC90aXRsZXM+PHBlcmlvZGljYWw+PGZ1bGwtdGl0bGU+QWN0YSBPYnN0ZXQgR3lu
ZWNvbCBTY2FuZDwvZnVsbC10aXRsZT48L3BlcmlvZGljYWw+PHBhZ2VzPjI2My0yNzM8L3BhZ2Vz
Pjx2b2x1bWU+OTY8L3ZvbHVtZT48bnVtYmVyPjM8L251bWJlcj48ZWRpdGlvbj4yMDE2LzEyLzI5
PC9lZGl0aW9uPjxrZXl3b3Jkcz48a2V5d29yZD4qRXhlcmNpc2U8L2tleXdvcmQ+PGtleXdvcmQ+
RmVtYWxlPC9rZXl3b3JkPjxrZXl3b3JkPkZldGFsIE1lbWJyYW5lcywgUHJlbWF0dXJlIFJ1cHR1
cmUvKmVwaWRlbWlvbG9neS9ldGlvbG9neS9wcmV2ZW50aW9uICZhbXA7IGNvbnRyb2w8L2tleXdv
cmQ+PGtleXdvcmQ+SHVtYW5zPC9rZXl3b3JkPjxrZXl3b3JkPipPYmVzaXR5PC9rZXl3b3JkPjxr
ZXl3b3JkPk92ZXJ3ZWlnaHQ8L2tleXdvcmQ+PGtleXdvcmQ+UHJlZ25hbmN5PC9rZXl3b3JkPjxr
ZXl3b3JkPipQcmVnbmFuY3kgQ29tcGxpY2F0aW9uczwva2V5d29yZD48a2V5d29yZD5QcmVuYXRh
bCBDYXJlPC9rZXl3b3JkPjxrZXl3b3JkPlJpc2sgRmFjdG9yczwva2V5d29yZD48a2V5d29yZD4q
UGh5c2ljYWwgYWN0aXZpdHk8L2tleXdvcmQ+PGtleXdvcmQ+KmV4ZXJjaXNlIGluIHByZWduYW5j
eTwva2V5d29yZD48a2V5d29yZD4qcHJldGVybSBiaXJ0aDwva2V5d29yZD48a2V5d29yZD4qcHJl
dGVybSBkZWxpdmVyeTwva2V5d29yZD48L2tleXdvcmRzPjxkYXRlcz48eWVhcj4yMDE3PC95ZWFy
PjxwdWItZGF0ZXM+PGRhdGU+TWFyPC9kYXRlPjwvcHViLWRhdGVzPjwvZGF0ZXM+PGlzYm4+MTYw
MC0wNDEyIChFbGVjdHJvbmljKSYjeEQ7MDAwMS02MzQ5IChMaW5raW5nKTwvaXNibj48YWNjZXNz
aW9uLW51bT4yODAyOTE3ODwvYWNjZXNzaW9uLW51bT48dXJscz48cmVsYXRlZC11cmxzPjx1cmw+
aHR0cHM6Ly93d3cubmNiaS5ubG0ubmloLmdvdi9wdWJtZWQvMjgwMjkxNzg8L3VybD48L3JlbGF0
ZWQtdXJscz48L3VybHM+PGVsZWN0cm9uaWMtcmVzb3VyY2UtbnVtPjEwLjExMTEvYW9ncy4xMzA4
NzwvZWxlY3Ryb25pYy1yZXNvdXJjZS1udW0+PC9yZWNvcmQ+PC9DaXRlPjwvRW5kTm90ZT5=
</w:fldData>
              </w:fldChar>
            </w:r>
            <w:r w:rsidR="002747EA">
              <w:rPr>
                <w:noProof/>
              </w:rPr>
              <w:instrText xml:space="preserve"> ADDIN EN.CITE </w:instrText>
            </w:r>
            <w:r w:rsidR="002747EA">
              <w:rPr>
                <w:noProof/>
              </w:rPr>
              <w:fldChar w:fldCharType="begin">
                <w:fldData xml:space="preserve">PEVuZE5vdGU+PENpdGU+PEF1dGhvcj5NYWdyby1NYWxvc3NvPC9BdXRob3I+PFllYXI+MjAxNzwv
WWVhcj48UmVjTnVtPjY1MjwvUmVjTnVtPjxEaXNwbGF5VGV4dD48c3R5bGUgZmFjZT0ic3VwZXJz
Y3JpcHQiIGZvbnQ9IlRyZWJ1Y2hldCBNUyIgc2l6ZT0iOSI+NDgwPC9zdHlsZT48L0Rpc3BsYXlU
ZXh0PjxyZWNvcmQ+PHJlYy1udW1iZXI+NjUyPC9yZWMtbnVtYmVyPjxmb3JlaWduLWtleXM+PGtl
eSBhcHA9IkVOIiBkYi1pZD0iZXh2YXNyZngyZHRyYW9lc2FzeHAyc3pzeGEyZGY1MDI1OTJ4IiB0
aW1lc3RhbXA9IjE1NDA0MjkzNjkiPjY1Mjwva2V5PjxrZXkgYXBwPSJFTldlYiIgZGItaWQ9IiI+
MDwva2V5PjwvZm9yZWlnbi1rZXlzPjxyZWYtdHlwZSBuYW1lPSJKb3VybmFsIEFydGljbGUiPjE3
PC9yZWYtdHlwZT48Y29udHJpYnV0b3JzPjxhdXRob3JzPjxhdXRob3I+TWFncm8tTWFsb3Nzbywg
RS4gUi48L2F1dGhvcj48YXV0aG9yPlNhY2NvbmUsIEcuPC9hdXRob3I+PGF1dGhvcj5EaSBNYXNj
aW8sIEQuPC9hdXRob3I+PGF1dGhvcj5EaSBUb21tYXNvLCBNLjwvYXV0aG9yPjxhdXRob3I+QmVy
Z2hlbGxhLCBWLjwvYXV0aG9yPjwvYXV0aG9ycz48L2NvbnRyaWJ1dG9ycz48YXV0aC1hZGRyZXNz
PkRpdmlzaW9uIG9mIFBlZGlhdHJpY3MsIE9ic3RldHJpY3MgYW5kIEd5bmVjb2xvZ3ksIERlcGFy
dG1lbnQgb2YgSGVhbHRoIFNjaWVuY2UsIENhcmVnZ2kgSG9zcGl0YWwsIFVuaXZlcnNpdHkgb2Yg
RmxvcmVuY2UsIEZsb3JlbmNlLCBJdGFseS4mI3hEO0RlcGFydG1lbnQgb2YgTmV1cm9zY2llbmNl
LCBSZXByb2R1Y3RpdmUgU2NpZW5jZXMgYW5kIERlbnRpc3RyeSwgU2Nob29sIG9mIE1lZGljaW5l
LCBVbml2ZXJzaXR5IG9mIE5hcGxlcyBGZWRlcmljbyBJSSwgTmFwbGVzLCBJdGFseS4mI3hEO0Rp
dmlzaW9uIG9mIE1hdGVybmFsLUZldGFsIE1lZGljaW5lLCBEZXBhcnRtZW50IG9mIE9ic3RldHJp
Y3MgYW5kIEd5bmVjb2xvZ3ksIFNpZG5leSBLaW1tZWwgTWVkaWNhbCBDb2xsZWdlLCBUaG9tYXMg
SmVmZmVyc29uIFVuaXZlcnNpdHksIFBoaWxhZGVscGhpYSwgUEEsIFVTQS48L2F1dGgtYWRkcmVz
cz48dGl0bGVzPjx0aXRsZT5FeGVyY2lzZSBkdXJpbmcgcHJlZ25hbmN5IGFuZCByaXNrIG9mIHBy
ZXRlcm0gYmlydGggaW4gb3ZlcndlaWdodCBhbmQgb2Jlc2Ugd29tZW46IGEgc3lzdGVtYXRpYyBy
ZXZpZXcgYW5kIG1ldGEtYW5hbHlzaXMgb2YgcmFuZG9taXplZCBjb250cm9sbGVkIHRyaWFsczwv
dGl0bGU+PHNlY29uZGFyeS10aXRsZT5BY3RhIE9ic3RldCBHeW5lY29sIFNjYW5kPC9zZWNvbmRh
cnktdGl0bGU+PC90aXRsZXM+PHBlcmlvZGljYWw+PGZ1bGwtdGl0bGU+QWN0YSBPYnN0ZXQgR3lu
ZWNvbCBTY2FuZDwvZnVsbC10aXRsZT48L3BlcmlvZGljYWw+PHBhZ2VzPjI2My0yNzM8L3BhZ2Vz
Pjx2b2x1bWU+OTY8L3ZvbHVtZT48bnVtYmVyPjM8L251bWJlcj48ZWRpdGlvbj4yMDE2LzEyLzI5
PC9lZGl0aW9uPjxrZXl3b3Jkcz48a2V5d29yZD4qRXhlcmNpc2U8L2tleXdvcmQ+PGtleXdvcmQ+
RmVtYWxlPC9rZXl3b3JkPjxrZXl3b3JkPkZldGFsIE1lbWJyYW5lcywgUHJlbWF0dXJlIFJ1cHR1
cmUvKmVwaWRlbWlvbG9neS9ldGlvbG9neS9wcmV2ZW50aW9uICZhbXA7IGNvbnRyb2w8L2tleXdv
cmQ+PGtleXdvcmQ+SHVtYW5zPC9rZXl3b3JkPjxrZXl3b3JkPipPYmVzaXR5PC9rZXl3b3JkPjxr
ZXl3b3JkPk92ZXJ3ZWlnaHQ8L2tleXdvcmQ+PGtleXdvcmQ+UHJlZ25hbmN5PC9rZXl3b3JkPjxr
ZXl3b3JkPipQcmVnbmFuY3kgQ29tcGxpY2F0aW9uczwva2V5d29yZD48a2V5d29yZD5QcmVuYXRh
bCBDYXJlPC9rZXl3b3JkPjxrZXl3b3JkPlJpc2sgRmFjdG9yczwva2V5d29yZD48a2V5d29yZD4q
UGh5c2ljYWwgYWN0aXZpdHk8L2tleXdvcmQ+PGtleXdvcmQ+KmV4ZXJjaXNlIGluIHByZWduYW5j
eTwva2V5d29yZD48a2V5d29yZD4qcHJldGVybSBiaXJ0aDwva2V5d29yZD48a2V5d29yZD4qcHJl
dGVybSBkZWxpdmVyeTwva2V5d29yZD48L2tleXdvcmRzPjxkYXRlcz48eWVhcj4yMDE3PC95ZWFy
PjxwdWItZGF0ZXM+PGRhdGU+TWFyPC9kYXRlPjwvcHViLWRhdGVzPjwvZGF0ZXM+PGlzYm4+MTYw
MC0wNDEyIChFbGVjdHJvbmljKSYjeEQ7MDAwMS02MzQ5IChMaW5raW5nKTwvaXNibj48YWNjZXNz
aW9uLW51bT4yODAyOTE3ODwvYWNjZXNzaW9uLW51bT48dXJscz48cmVsYXRlZC11cmxzPjx1cmw+
aHR0cHM6Ly93d3cubmNiaS5ubG0ubmloLmdvdi9wdWJtZWQvMjgwMjkxNzg8L3VybD48L3JlbGF0
ZWQtdXJscz48L3VybHM+PGVsZWN0cm9uaWMtcmVzb3VyY2UtbnVtPjEwLjExMTEvYW9ncy4xMzA4
NzwvZWxlY3Ryb25pYy1yZXNvdXJjZS1udW0+PC9yZWNvcmQ+PC9DaXRlPjwvRW5kTm90ZT5=
</w:fldData>
              </w:fldChar>
            </w:r>
            <w:r w:rsidR="002747EA">
              <w:rPr>
                <w:noProof/>
              </w:rPr>
              <w:instrText xml:space="preserve"> ADDIN EN.CITE.DATA </w:instrText>
            </w:r>
            <w:r w:rsidR="002747EA">
              <w:rPr>
                <w:noProof/>
              </w:rPr>
            </w:r>
            <w:r w:rsidR="002747EA">
              <w:rPr>
                <w:noProof/>
              </w:rPr>
              <w:fldChar w:fldCharType="end"/>
            </w:r>
            <w:r w:rsidR="003E3405">
              <w:rPr>
                <w:noProof/>
              </w:rPr>
            </w:r>
            <w:r w:rsidR="003E3405">
              <w:rPr>
                <w:noProof/>
              </w:rPr>
              <w:fldChar w:fldCharType="separate"/>
            </w:r>
            <w:r w:rsidR="002747EA" w:rsidRPr="002747EA">
              <w:rPr>
                <w:noProof/>
                <w:sz w:val="18"/>
                <w:vertAlign w:val="superscript"/>
              </w:rPr>
              <w:t>480</w:t>
            </w:r>
            <w:r w:rsidR="003E3405">
              <w:rPr>
                <w:noProof/>
              </w:rPr>
              <w:fldChar w:fldCharType="end"/>
            </w:r>
          </w:p>
        </w:tc>
        <w:tc>
          <w:tcPr>
            <w:tcW w:w="2547" w:type="dxa"/>
            <w:tcBorders>
              <w:bottom w:val="single" w:sz="4" w:space="0" w:color="3B3474"/>
            </w:tcBorders>
            <w:shd w:val="clear" w:color="auto" w:fill="auto"/>
          </w:tcPr>
          <w:p w14:paraId="0BB382C8" w14:textId="6FA0D202" w:rsidR="00CC7B2A" w:rsidRPr="00B94B87" w:rsidRDefault="00285BC7" w:rsidP="00A5540F">
            <w:pPr>
              <w:pStyle w:val="RCTstable"/>
            </w:pPr>
            <w:r w:rsidRPr="00B94B87">
              <w:t>High risk</w:t>
            </w:r>
          </w:p>
        </w:tc>
        <w:tc>
          <w:tcPr>
            <w:tcW w:w="2982" w:type="dxa"/>
            <w:tcBorders>
              <w:bottom w:val="single" w:sz="4" w:space="0" w:color="3B3474"/>
            </w:tcBorders>
            <w:shd w:val="clear" w:color="auto" w:fill="auto"/>
          </w:tcPr>
          <w:p w14:paraId="00ACF678" w14:textId="07A5992E" w:rsidR="00CC7B2A" w:rsidRPr="00B94B87" w:rsidRDefault="00285BC7" w:rsidP="00A5540F">
            <w:pPr>
              <w:pStyle w:val="RCTstable"/>
              <w:jc w:val="center"/>
            </w:pPr>
            <w:r w:rsidRPr="00B94B87">
              <w:t>RR 0.62 (0.41 to 0.95)</w:t>
            </w:r>
          </w:p>
        </w:tc>
        <w:tc>
          <w:tcPr>
            <w:tcW w:w="1134" w:type="dxa"/>
            <w:tcBorders>
              <w:bottom w:val="single" w:sz="4" w:space="0" w:color="3B3474"/>
            </w:tcBorders>
            <w:shd w:val="clear" w:color="auto" w:fill="auto"/>
          </w:tcPr>
          <w:p w14:paraId="06781BD6" w14:textId="76F23653" w:rsidR="00CC7B2A" w:rsidRDefault="00285BC7" w:rsidP="00A5540F">
            <w:pPr>
              <w:pStyle w:val="RCTstable"/>
              <w:jc w:val="center"/>
            </w:pPr>
            <w:r w:rsidRPr="00B94B87">
              <w:t>10</w:t>
            </w:r>
          </w:p>
        </w:tc>
      </w:tr>
      <w:tr w:rsidR="00420E8E" w:rsidRPr="00B87066" w14:paraId="29D396EB" w14:textId="77777777" w:rsidTr="0002532B">
        <w:tc>
          <w:tcPr>
            <w:tcW w:w="9504" w:type="dxa"/>
            <w:gridSpan w:val="4"/>
            <w:shd w:val="clear" w:color="auto" w:fill="D9E2F3" w:themeFill="accent1" w:themeFillTint="33"/>
          </w:tcPr>
          <w:p w14:paraId="335A49F2" w14:textId="2F7F8D00" w:rsidR="00420E8E" w:rsidRPr="00B87066" w:rsidRDefault="00C16476" w:rsidP="0002532B">
            <w:pPr>
              <w:pStyle w:val="RCTstable"/>
              <w:rPr>
                <w:i/>
              </w:rPr>
            </w:pPr>
            <w:r>
              <w:rPr>
                <w:i/>
              </w:rPr>
              <w:t>Low birthweight</w:t>
            </w:r>
          </w:p>
        </w:tc>
      </w:tr>
      <w:tr w:rsidR="00420E8E" w:rsidRPr="00B87066" w14:paraId="72E01276" w14:textId="77777777" w:rsidTr="0002532B">
        <w:tc>
          <w:tcPr>
            <w:tcW w:w="2841" w:type="dxa"/>
            <w:tcBorders>
              <w:bottom w:val="single" w:sz="4" w:space="0" w:color="3B3474"/>
            </w:tcBorders>
            <w:shd w:val="clear" w:color="auto" w:fill="F2F2F2" w:themeFill="background1" w:themeFillShade="F2"/>
          </w:tcPr>
          <w:p w14:paraId="35516C38" w14:textId="77777777" w:rsidR="00420E8E" w:rsidRPr="00B87066" w:rsidRDefault="00420E8E" w:rsidP="0002532B">
            <w:pPr>
              <w:pStyle w:val="RCTstable"/>
            </w:pPr>
            <w:r w:rsidRPr="00B87066">
              <w:t>Current review</w:t>
            </w:r>
          </w:p>
        </w:tc>
        <w:tc>
          <w:tcPr>
            <w:tcW w:w="2547" w:type="dxa"/>
            <w:tcBorders>
              <w:bottom w:val="single" w:sz="4" w:space="0" w:color="3B3474"/>
            </w:tcBorders>
            <w:shd w:val="clear" w:color="auto" w:fill="F2F2F2" w:themeFill="background1" w:themeFillShade="F2"/>
          </w:tcPr>
          <w:p w14:paraId="0FB178B0" w14:textId="77777777" w:rsidR="00420E8E" w:rsidRPr="00B87066" w:rsidRDefault="00420E8E" w:rsidP="0002532B">
            <w:pPr>
              <w:pStyle w:val="RCTstable"/>
            </w:pPr>
            <w:r w:rsidRPr="00B87066">
              <w:t>Mixed BMIs</w:t>
            </w:r>
          </w:p>
        </w:tc>
        <w:tc>
          <w:tcPr>
            <w:tcW w:w="2982" w:type="dxa"/>
            <w:tcBorders>
              <w:bottom w:val="single" w:sz="4" w:space="0" w:color="3B3474"/>
            </w:tcBorders>
            <w:shd w:val="clear" w:color="auto" w:fill="F2F2F2" w:themeFill="background1" w:themeFillShade="F2"/>
          </w:tcPr>
          <w:p w14:paraId="266FB156" w14:textId="1F4ACABB" w:rsidR="00420E8E" w:rsidRPr="0016710A" w:rsidRDefault="00C16476" w:rsidP="0002532B">
            <w:pPr>
              <w:pStyle w:val="RCTstable"/>
              <w:jc w:val="center"/>
            </w:pPr>
            <w:r>
              <w:t>RR 0.94 (0.68 to 1.28</w:t>
            </w:r>
            <w:r w:rsidR="00420E8E" w:rsidRPr="0016710A">
              <w:t>)</w:t>
            </w:r>
          </w:p>
        </w:tc>
        <w:tc>
          <w:tcPr>
            <w:tcW w:w="1134" w:type="dxa"/>
            <w:tcBorders>
              <w:bottom w:val="single" w:sz="4" w:space="0" w:color="3B3474"/>
            </w:tcBorders>
            <w:shd w:val="clear" w:color="auto" w:fill="F2F2F2" w:themeFill="background1" w:themeFillShade="F2"/>
          </w:tcPr>
          <w:p w14:paraId="25F2E8F7" w14:textId="20BAD488" w:rsidR="00420E8E" w:rsidRPr="00B87066" w:rsidRDefault="00420E8E" w:rsidP="0002532B">
            <w:pPr>
              <w:pStyle w:val="RCTstable"/>
              <w:jc w:val="center"/>
            </w:pPr>
            <w:r>
              <w:t>1</w:t>
            </w:r>
            <w:r w:rsidR="00C16476">
              <w:t>1</w:t>
            </w:r>
          </w:p>
        </w:tc>
      </w:tr>
      <w:tr w:rsidR="00C16476" w:rsidRPr="00B94B87" w14:paraId="5762B6BC" w14:textId="77777777" w:rsidTr="0002532B">
        <w:tc>
          <w:tcPr>
            <w:tcW w:w="2841" w:type="dxa"/>
            <w:shd w:val="clear" w:color="auto" w:fill="auto"/>
          </w:tcPr>
          <w:p w14:paraId="76779AF9" w14:textId="467E66C3" w:rsidR="00C16476" w:rsidRPr="00B94B87" w:rsidRDefault="00C16476" w:rsidP="002747EA">
            <w:pPr>
              <w:pStyle w:val="RCTstable"/>
              <w:rPr>
                <w:noProof/>
              </w:rPr>
            </w:pPr>
            <w:r>
              <w:t xml:space="preserve">Davenport et al </w:t>
            </w:r>
            <w:r w:rsidR="00D212E2">
              <w:t>2018b</w:t>
            </w:r>
            <w:r w:rsidR="00D07346">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479</w:t>
            </w:r>
            <w:r w:rsidR="00D07346">
              <w:rPr>
                <w:noProof/>
              </w:rPr>
              <w:fldChar w:fldCharType="end"/>
            </w:r>
          </w:p>
        </w:tc>
        <w:tc>
          <w:tcPr>
            <w:tcW w:w="2547" w:type="dxa"/>
            <w:shd w:val="clear" w:color="auto" w:fill="auto"/>
          </w:tcPr>
          <w:p w14:paraId="65814129" w14:textId="77777777" w:rsidR="00C16476" w:rsidRPr="00B94B87" w:rsidRDefault="00C16476" w:rsidP="0002532B">
            <w:pPr>
              <w:pStyle w:val="RCTstable"/>
            </w:pPr>
            <w:r w:rsidRPr="00B94B87">
              <w:t>Mixed BMIs</w:t>
            </w:r>
          </w:p>
        </w:tc>
        <w:tc>
          <w:tcPr>
            <w:tcW w:w="2982" w:type="dxa"/>
            <w:shd w:val="clear" w:color="auto" w:fill="auto"/>
          </w:tcPr>
          <w:p w14:paraId="2AADA1BB" w14:textId="0F8D55F7" w:rsidR="00C16476" w:rsidRPr="00B94B87" w:rsidRDefault="00C16476" w:rsidP="00436056">
            <w:pPr>
              <w:pStyle w:val="RCTstable"/>
              <w:jc w:val="center"/>
            </w:pPr>
            <w:r w:rsidRPr="00B94B87">
              <w:t xml:space="preserve">RR </w:t>
            </w:r>
            <w:r w:rsidR="00D212E2">
              <w:t>0.</w:t>
            </w:r>
            <w:r w:rsidR="00436056">
              <w:t>91</w:t>
            </w:r>
            <w:r w:rsidR="00D212E2">
              <w:t xml:space="preserve"> (0.</w:t>
            </w:r>
            <w:r w:rsidR="00436056">
              <w:t>70</w:t>
            </w:r>
            <w:r w:rsidR="00D212E2">
              <w:t xml:space="preserve"> to </w:t>
            </w:r>
            <w:r w:rsidR="00436056">
              <w:t>1.20</w:t>
            </w:r>
            <w:r w:rsidR="00D212E2">
              <w:t>)</w:t>
            </w:r>
          </w:p>
        </w:tc>
        <w:tc>
          <w:tcPr>
            <w:tcW w:w="1134" w:type="dxa"/>
            <w:shd w:val="clear" w:color="auto" w:fill="auto"/>
          </w:tcPr>
          <w:p w14:paraId="6222429F" w14:textId="58A4BCCB" w:rsidR="00C16476" w:rsidRPr="00B94B87" w:rsidRDefault="00436056" w:rsidP="0002532B">
            <w:pPr>
              <w:pStyle w:val="RCTstable"/>
              <w:jc w:val="center"/>
            </w:pPr>
            <w:r>
              <w:t>15</w:t>
            </w:r>
          </w:p>
        </w:tc>
      </w:tr>
      <w:tr w:rsidR="00A5540F" w:rsidRPr="00B87066" w14:paraId="3045E068" w14:textId="77777777" w:rsidTr="00A5540F">
        <w:tc>
          <w:tcPr>
            <w:tcW w:w="9504" w:type="dxa"/>
            <w:gridSpan w:val="4"/>
            <w:shd w:val="clear" w:color="auto" w:fill="D9E2F3" w:themeFill="accent1" w:themeFillTint="33"/>
          </w:tcPr>
          <w:p w14:paraId="67D6A35C" w14:textId="77777777" w:rsidR="00A5540F" w:rsidRPr="00B87066" w:rsidRDefault="00A5540F" w:rsidP="00A5540F">
            <w:pPr>
              <w:pStyle w:val="RCTstable"/>
              <w:rPr>
                <w:i/>
              </w:rPr>
            </w:pPr>
            <w:r>
              <w:rPr>
                <w:i/>
              </w:rPr>
              <w:t>Macrosomia &gt;4,000g</w:t>
            </w:r>
          </w:p>
        </w:tc>
      </w:tr>
      <w:tr w:rsidR="00A5540F" w:rsidRPr="00B87066" w14:paraId="679BA76F" w14:textId="77777777" w:rsidTr="00A5540F">
        <w:tc>
          <w:tcPr>
            <w:tcW w:w="2841" w:type="dxa"/>
            <w:tcBorders>
              <w:bottom w:val="single" w:sz="4" w:space="0" w:color="3B3474"/>
            </w:tcBorders>
            <w:shd w:val="clear" w:color="auto" w:fill="F2F2F2" w:themeFill="background1" w:themeFillShade="F2"/>
          </w:tcPr>
          <w:p w14:paraId="03BEC369"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485B4D83"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71B98788" w14:textId="77777777" w:rsidR="00A5540F" w:rsidRPr="0016710A" w:rsidRDefault="00A5540F" w:rsidP="00A5540F">
            <w:pPr>
              <w:pStyle w:val="RCTstable"/>
              <w:jc w:val="center"/>
            </w:pPr>
            <w:r w:rsidRPr="0016710A">
              <w:t>RR 0.75 (0.59 to 0.96)</w:t>
            </w:r>
          </w:p>
        </w:tc>
        <w:tc>
          <w:tcPr>
            <w:tcW w:w="1134" w:type="dxa"/>
            <w:tcBorders>
              <w:bottom w:val="single" w:sz="4" w:space="0" w:color="3B3474"/>
            </w:tcBorders>
            <w:shd w:val="clear" w:color="auto" w:fill="F2F2F2" w:themeFill="background1" w:themeFillShade="F2"/>
          </w:tcPr>
          <w:p w14:paraId="759170A7" w14:textId="77777777" w:rsidR="00A5540F" w:rsidRPr="00B87066" w:rsidRDefault="00A5540F" w:rsidP="00A5540F">
            <w:pPr>
              <w:pStyle w:val="RCTstable"/>
              <w:jc w:val="center"/>
            </w:pPr>
            <w:r>
              <w:t>15</w:t>
            </w:r>
          </w:p>
        </w:tc>
      </w:tr>
      <w:tr w:rsidR="00D212E2" w:rsidRPr="00B94B87" w14:paraId="66DC843C" w14:textId="77777777" w:rsidTr="0002532B">
        <w:tc>
          <w:tcPr>
            <w:tcW w:w="2841" w:type="dxa"/>
            <w:shd w:val="clear" w:color="auto" w:fill="auto"/>
          </w:tcPr>
          <w:p w14:paraId="4B5E679E" w14:textId="574C4109" w:rsidR="00D212E2" w:rsidRPr="00B94B87" w:rsidRDefault="00D212E2" w:rsidP="002747EA">
            <w:pPr>
              <w:pStyle w:val="RCTstable"/>
              <w:rPr>
                <w:noProof/>
              </w:rPr>
            </w:pPr>
            <w:r>
              <w:t>Davenport et al 2018b</w:t>
            </w:r>
            <w:r w:rsidR="00D07346">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479</w:t>
            </w:r>
            <w:r w:rsidR="00D07346">
              <w:rPr>
                <w:noProof/>
              </w:rPr>
              <w:fldChar w:fldCharType="end"/>
            </w:r>
          </w:p>
        </w:tc>
        <w:tc>
          <w:tcPr>
            <w:tcW w:w="2547" w:type="dxa"/>
            <w:shd w:val="clear" w:color="auto" w:fill="auto"/>
          </w:tcPr>
          <w:p w14:paraId="7FB9E3ED" w14:textId="77777777" w:rsidR="00D212E2" w:rsidRPr="00B94B87" w:rsidRDefault="00D212E2" w:rsidP="0002532B">
            <w:pPr>
              <w:pStyle w:val="RCTstable"/>
            </w:pPr>
            <w:r w:rsidRPr="00B94B87">
              <w:t>Mixed BMIs</w:t>
            </w:r>
          </w:p>
        </w:tc>
        <w:tc>
          <w:tcPr>
            <w:tcW w:w="2982" w:type="dxa"/>
            <w:shd w:val="clear" w:color="auto" w:fill="auto"/>
          </w:tcPr>
          <w:p w14:paraId="1969EF8A" w14:textId="68F682AD" w:rsidR="00D212E2" w:rsidRPr="00B94B87" w:rsidRDefault="00D212E2" w:rsidP="0002532B">
            <w:pPr>
              <w:pStyle w:val="RCTstable"/>
              <w:jc w:val="center"/>
            </w:pPr>
            <w:r w:rsidRPr="00B94B87">
              <w:t xml:space="preserve">RR </w:t>
            </w:r>
            <w:r>
              <w:t>0.97 (0.83 to 1.13)</w:t>
            </w:r>
          </w:p>
        </w:tc>
        <w:tc>
          <w:tcPr>
            <w:tcW w:w="1134" w:type="dxa"/>
            <w:shd w:val="clear" w:color="auto" w:fill="auto"/>
          </w:tcPr>
          <w:p w14:paraId="10173F1A" w14:textId="30EC82B9" w:rsidR="00D212E2" w:rsidRPr="00B94B87" w:rsidRDefault="00D212E2" w:rsidP="0002532B">
            <w:pPr>
              <w:pStyle w:val="RCTstable"/>
              <w:jc w:val="center"/>
            </w:pPr>
            <w:r>
              <w:t>1</w:t>
            </w:r>
            <w:r w:rsidR="00436056">
              <w:t>5</w:t>
            </w:r>
          </w:p>
        </w:tc>
      </w:tr>
      <w:tr w:rsidR="00A5540F" w:rsidRPr="00B87066" w14:paraId="51B9063F" w14:textId="77777777" w:rsidTr="00A5540F">
        <w:tc>
          <w:tcPr>
            <w:tcW w:w="2841" w:type="dxa"/>
            <w:shd w:val="clear" w:color="auto" w:fill="auto"/>
          </w:tcPr>
          <w:p w14:paraId="59733566" w14:textId="0F895E7E" w:rsidR="00A5540F" w:rsidRPr="00B87066" w:rsidRDefault="00A5540F" w:rsidP="002747EA">
            <w:pPr>
              <w:pStyle w:val="RCTstable"/>
            </w:pPr>
            <w:r>
              <w:t>Han et al 2012</w:t>
            </w:r>
            <w:r>
              <w:fldChar w:fldCharType="begin"/>
            </w:r>
            <w:r w:rsidR="002747EA">
              <w:instrText xml:space="preserve"> ADDIN EN.CITE &lt;EndNote&gt;&lt;Cite&gt;&lt;Author&gt;Han&lt;/Author&gt;&lt;Year&gt;2012&lt;/Year&gt;&lt;RecNum&gt;635&lt;/RecNum&gt;&lt;DisplayText&gt;&lt;style face="superscript" font="Trebuchet MS" size="9"&gt;467&lt;/style&gt;&lt;/DisplayText&gt;&lt;record&gt;&lt;rec-number&gt;635&lt;/rec-number&gt;&lt;foreign-keys&gt;&lt;key app="EN" db-id="exvasrfx2dtraoesasxp2szsxa2df502592x" timestamp="1540429015"&gt;635&lt;/key&gt;&lt;key app="ENWeb" db-id=""&gt;0&lt;/key&gt;&lt;/foreign-keys&gt;&lt;ref-type name="Journal Article"&gt;17&lt;/ref-type&gt;&lt;contributors&gt;&lt;authors&gt;&lt;author&gt;Han, S.,&lt;/author&gt;&lt;author&gt;Middleton, P.,&lt;/author&gt;&lt;author&gt;Crowther, C.A.,&lt;/author&gt;&lt;/authors&gt;&lt;/contributors&gt;&lt;titles&gt;&lt;title&gt;Exercise for pregnant women for preventing gestational diabetes mellitus&lt;/title&gt;&lt;secondary-title&gt;Cochrane Database of Systematic Reviews&lt;/secondary-title&gt;&lt;/titles&gt;&lt;periodical&gt;&lt;full-title&gt;Cochrane Database of Systematic Reviews&lt;/full-title&gt;&lt;/periodical&gt;&lt;dates&gt;&lt;year&gt;2012&lt;/year&gt;&lt;/dates&gt;&lt;isbn&gt;14651858&lt;/isbn&gt;&lt;urls&gt;&lt;/urls&gt;&lt;electronic-resource-num&gt;10.1002/14651858.CD009021.pub2&lt;/electronic-resource-num&gt;&lt;/record&gt;&lt;/Cite&gt;&lt;/EndNote&gt;</w:instrText>
            </w:r>
            <w:r>
              <w:fldChar w:fldCharType="separate"/>
            </w:r>
            <w:r w:rsidR="002747EA" w:rsidRPr="002747EA">
              <w:rPr>
                <w:noProof/>
                <w:sz w:val="18"/>
                <w:vertAlign w:val="superscript"/>
              </w:rPr>
              <w:t>467</w:t>
            </w:r>
            <w:r>
              <w:fldChar w:fldCharType="end"/>
            </w:r>
          </w:p>
        </w:tc>
        <w:tc>
          <w:tcPr>
            <w:tcW w:w="2547" w:type="dxa"/>
            <w:shd w:val="clear" w:color="auto" w:fill="auto"/>
          </w:tcPr>
          <w:p w14:paraId="33D46F5C" w14:textId="77777777" w:rsidR="00A5540F" w:rsidRPr="00B87066" w:rsidRDefault="00A5540F" w:rsidP="00A5540F">
            <w:pPr>
              <w:pStyle w:val="RCTstable"/>
            </w:pPr>
            <w:r>
              <w:t>Mixed BMIs</w:t>
            </w:r>
          </w:p>
        </w:tc>
        <w:tc>
          <w:tcPr>
            <w:tcW w:w="2982" w:type="dxa"/>
            <w:shd w:val="clear" w:color="auto" w:fill="auto"/>
          </w:tcPr>
          <w:p w14:paraId="77C0E613" w14:textId="77777777" w:rsidR="00A5540F" w:rsidRPr="00B87066" w:rsidRDefault="00A5540F" w:rsidP="00A5540F">
            <w:pPr>
              <w:pStyle w:val="RCTstable"/>
              <w:jc w:val="center"/>
            </w:pPr>
            <w:r>
              <w:t>RR 0.91 (0.68 to 1.22)</w:t>
            </w:r>
          </w:p>
        </w:tc>
        <w:tc>
          <w:tcPr>
            <w:tcW w:w="1134" w:type="dxa"/>
            <w:shd w:val="clear" w:color="auto" w:fill="auto"/>
          </w:tcPr>
          <w:p w14:paraId="3E4755F2" w14:textId="77777777" w:rsidR="00A5540F" w:rsidRPr="00B87066" w:rsidRDefault="00A5540F" w:rsidP="00A5540F">
            <w:pPr>
              <w:pStyle w:val="RCTstable"/>
              <w:jc w:val="center"/>
            </w:pPr>
            <w:r>
              <w:t>2</w:t>
            </w:r>
          </w:p>
        </w:tc>
      </w:tr>
      <w:tr w:rsidR="00A5540F" w:rsidRPr="00B87066" w14:paraId="50D5AC53" w14:textId="77777777" w:rsidTr="00A5540F">
        <w:tc>
          <w:tcPr>
            <w:tcW w:w="2841" w:type="dxa"/>
            <w:shd w:val="clear" w:color="auto" w:fill="auto"/>
          </w:tcPr>
          <w:p w14:paraId="423176DA" w14:textId="5CA43E70"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7EA96C79" w14:textId="77777777" w:rsidR="00A5540F" w:rsidRPr="00B87066" w:rsidRDefault="00A5540F" w:rsidP="00A5540F">
            <w:pPr>
              <w:pStyle w:val="RCTstable"/>
            </w:pPr>
            <w:r>
              <w:t>Mixed risk</w:t>
            </w:r>
          </w:p>
        </w:tc>
        <w:tc>
          <w:tcPr>
            <w:tcW w:w="2982" w:type="dxa"/>
            <w:shd w:val="clear" w:color="auto" w:fill="auto"/>
          </w:tcPr>
          <w:p w14:paraId="44B351A5" w14:textId="77777777" w:rsidR="00A5540F" w:rsidRPr="00B87066" w:rsidRDefault="00A5540F" w:rsidP="00A5540F">
            <w:pPr>
              <w:pStyle w:val="RCTstable"/>
              <w:jc w:val="center"/>
            </w:pPr>
            <w:r>
              <w:t>RR 0.81 (0.64 to 1.02)</w:t>
            </w:r>
          </w:p>
        </w:tc>
        <w:tc>
          <w:tcPr>
            <w:tcW w:w="1134" w:type="dxa"/>
            <w:shd w:val="clear" w:color="auto" w:fill="auto"/>
          </w:tcPr>
          <w:p w14:paraId="2E50122A" w14:textId="77777777" w:rsidR="00A5540F" w:rsidRPr="00B87066" w:rsidRDefault="00A5540F" w:rsidP="00A5540F">
            <w:pPr>
              <w:pStyle w:val="RCTstable"/>
              <w:jc w:val="center"/>
            </w:pPr>
            <w:r>
              <w:t>7</w:t>
            </w:r>
          </w:p>
        </w:tc>
      </w:tr>
      <w:tr w:rsidR="00A5540F" w:rsidRPr="00B87066" w14:paraId="04FBBF9D" w14:textId="77777777" w:rsidTr="00A5540F">
        <w:tc>
          <w:tcPr>
            <w:tcW w:w="2841" w:type="dxa"/>
            <w:shd w:val="clear" w:color="auto" w:fill="auto"/>
          </w:tcPr>
          <w:p w14:paraId="3040C88A" w14:textId="70CEEBFE" w:rsidR="00A5540F" w:rsidRDefault="00A5540F" w:rsidP="002747EA">
            <w:pPr>
              <w:pStyle w:val="RCTstable"/>
            </w:pPr>
            <w:r>
              <w:t>Oostdam et al 2011</w:t>
            </w:r>
            <w:r>
              <w:fldChar w:fldCharType="begin"/>
            </w:r>
            <w:r w:rsidR="002747EA">
              <w:instrText xml:space="preserve"> ADDIN EN.CITE &lt;EndNote&gt;&lt;Cite&gt;&lt;Author&gt;Oostdam&lt;/Author&gt;&lt;Year&gt;2011&lt;/Year&gt;&lt;RecNum&gt;1187&lt;/RecNum&gt;&lt;DisplayText&gt;&lt;style face="superscript" font="Trebuchet MS" size="9"&gt;424&lt;/style&gt;&lt;/DisplayText&gt;&lt;record&gt;&lt;rec-number&gt;1187&lt;/rec-number&gt;&lt;foreign-keys&gt;&lt;key app="EN" db-id="exvasrfx2dtraoesasxp2szsxa2df502592x" timestamp="1559008180"&gt;1187&lt;/key&gt;&lt;key app="ENWeb" db-id=""&gt;0&lt;/key&gt;&lt;/foreign-keys&gt;&lt;ref-type name="Journal Article"&gt;17&lt;/ref-type&gt;&lt;contributors&gt;&lt;authors&gt;&lt;author&gt;Oostdam, N.&lt;/author&gt;&lt;author&gt;van Poppel, M. N.&lt;/author&gt;&lt;author&gt;Wouters, M. G.&lt;/author&gt;&lt;author&gt;van Mechelen, W.&lt;/author&gt;&lt;/authors&gt;&lt;/contributors&gt;&lt;auth-address&gt;Department of Public and Occupational Health, EMGO+ Institute for Health and Care Research, VU University Medical Centre, Amsterdam, The Netherlands.&lt;/auth-address&gt;&lt;titles&gt;&lt;title&gt;Interventions for preventing gestational diabetes mellitus: a systematic review and meta-analysis&lt;/title&gt;&lt;secondary-title&gt;J Womens Health (Larchmt)&lt;/secondary-title&gt;&lt;/titles&gt;&lt;periodical&gt;&lt;full-title&gt;J Womens Health (Larchmt)&lt;/full-title&gt;&lt;/periodical&gt;&lt;pages&gt;1551-63&lt;/pages&gt;&lt;volume&gt;20&lt;/volume&gt;&lt;number&gt;10&lt;/number&gt;&lt;edition&gt;2011/08/16&lt;/edition&gt;&lt;keywords&gt;&lt;keyword&gt;Diabetes, Gestational/*prevention &amp;amp; control&lt;/keyword&gt;&lt;keyword&gt;Female&lt;/keyword&gt;&lt;keyword&gt;Humans&lt;/keyword&gt;&lt;keyword&gt;Pregnancy&lt;/keyword&gt;&lt;keyword&gt;Primary Prevention/*methods/*standards&lt;/keyword&gt;&lt;/keywords&gt;&lt;dates&gt;&lt;year&gt;2011&lt;/year&gt;&lt;pub-dates&gt;&lt;date&gt;Oct&lt;/date&gt;&lt;/pub-dates&gt;&lt;/dates&gt;&lt;isbn&gt;1931-843X (Electronic)&amp;#xD;1540-9996 (Linking)&lt;/isbn&gt;&lt;accession-num&gt;21838525&lt;/accession-num&gt;&lt;urls&gt;&lt;related-urls&gt;&lt;url&gt;https://www.ncbi.nlm.nih.gov/pubmed/21838525&lt;/url&gt;&lt;/related-urls&gt;&lt;/urls&gt;&lt;electronic-resource-num&gt;10.1089/jwh.2010.2703&lt;/electronic-resource-num&gt;&lt;/record&gt;&lt;/Cite&gt;&lt;/EndNote&gt;</w:instrText>
            </w:r>
            <w:r>
              <w:fldChar w:fldCharType="separate"/>
            </w:r>
            <w:r w:rsidR="002747EA" w:rsidRPr="002747EA">
              <w:rPr>
                <w:noProof/>
                <w:sz w:val="18"/>
                <w:vertAlign w:val="superscript"/>
              </w:rPr>
              <w:t>424</w:t>
            </w:r>
            <w:r>
              <w:fldChar w:fldCharType="end"/>
            </w:r>
          </w:p>
        </w:tc>
        <w:tc>
          <w:tcPr>
            <w:tcW w:w="2547" w:type="dxa"/>
            <w:shd w:val="clear" w:color="auto" w:fill="auto"/>
          </w:tcPr>
          <w:p w14:paraId="405A2E8C" w14:textId="77777777" w:rsidR="00A5540F" w:rsidRDefault="00A5540F" w:rsidP="00A5540F">
            <w:pPr>
              <w:pStyle w:val="RCTstable"/>
            </w:pPr>
            <w:r>
              <w:t>Mixed BMIs</w:t>
            </w:r>
          </w:p>
        </w:tc>
        <w:tc>
          <w:tcPr>
            <w:tcW w:w="2982" w:type="dxa"/>
            <w:shd w:val="clear" w:color="auto" w:fill="auto"/>
          </w:tcPr>
          <w:p w14:paraId="5EB89796" w14:textId="77777777" w:rsidR="00A5540F" w:rsidRDefault="00A5540F" w:rsidP="00A5540F">
            <w:pPr>
              <w:pStyle w:val="RCTstable"/>
              <w:jc w:val="center"/>
            </w:pPr>
            <w:r>
              <w:t>RR 0.36 (0.13 to 0.99)</w:t>
            </w:r>
          </w:p>
        </w:tc>
        <w:tc>
          <w:tcPr>
            <w:tcW w:w="1134" w:type="dxa"/>
            <w:shd w:val="clear" w:color="auto" w:fill="auto"/>
          </w:tcPr>
          <w:p w14:paraId="6A9C3074" w14:textId="77777777" w:rsidR="00A5540F" w:rsidRDefault="00A5540F" w:rsidP="00A5540F">
            <w:pPr>
              <w:pStyle w:val="RCTstable"/>
              <w:jc w:val="center"/>
            </w:pPr>
            <w:r>
              <w:t>2</w:t>
            </w:r>
          </w:p>
        </w:tc>
      </w:tr>
      <w:tr w:rsidR="00A5540F" w:rsidRPr="00B87066" w14:paraId="04E8F9F1" w14:textId="77777777" w:rsidTr="00A5540F">
        <w:tc>
          <w:tcPr>
            <w:tcW w:w="2841" w:type="dxa"/>
            <w:tcBorders>
              <w:bottom w:val="single" w:sz="4" w:space="0" w:color="3B3474"/>
            </w:tcBorders>
            <w:shd w:val="clear" w:color="auto" w:fill="auto"/>
          </w:tcPr>
          <w:p w14:paraId="48F2ABF9" w14:textId="7C194456"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Borders>
              <w:bottom w:val="single" w:sz="4" w:space="0" w:color="3B3474"/>
            </w:tcBorders>
            <w:shd w:val="clear" w:color="auto" w:fill="auto"/>
          </w:tcPr>
          <w:p w14:paraId="20BC434E" w14:textId="77777777" w:rsidR="00A5540F" w:rsidRPr="00B87066" w:rsidRDefault="00A5540F" w:rsidP="00A5540F">
            <w:pPr>
              <w:pStyle w:val="RCTstable"/>
            </w:pPr>
            <w:r>
              <w:t>High risk</w:t>
            </w:r>
          </w:p>
        </w:tc>
        <w:tc>
          <w:tcPr>
            <w:tcW w:w="2982" w:type="dxa"/>
            <w:tcBorders>
              <w:bottom w:val="single" w:sz="4" w:space="0" w:color="3B3474"/>
            </w:tcBorders>
            <w:shd w:val="clear" w:color="auto" w:fill="auto"/>
          </w:tcPr>
          <w:p w14:paraId="716EC4A0" w14:textId="77777777" w:rsidR="00A5540F" w:rsidRPr="00B87066" w:rsidRDefault="00A5540F" w:rsidP="00A5540F">
            <w:pPr>
              <w:pStyle w:val="RCTstable"/>
              <w:jc w:val="center"/>
            </w:pPr>
            <w:r>
              <w:t>RR 0.65 (0.22 to 1.91)</w:t>
            </w:r>
          </w:p>
        </w:tc>
        <w:tc>
          <w:tcPr>
            <w:tcW w:w="1134" w:type="dxa"/>
            <w:tcBorders>
              <w:bottom w:val="single" w:sz="4" w:space="0" w:color="3B3474"/>
            </w:tcBorders>
            <w:shd w:val="clear" w:color="auto" w:fill="auto"/>
          </w:tcPr>
          <w:p w14:paraId="417A1E4B" w14:textId="77777777" w:rsidR="00A5540F" w:rsidRPr="00B87066" w:rsidRDefault="00A5540F" w:rsidP="00A5540F">
            <w:pPr>
              <w:pStyle w:val="RCTstable"/>
              <w:jc w:val="center"/>
            </w:pPr>
            <w:r>
              <w:t>3</w:t>
            </w:r>
          </w:p>
        </w:tc>
      </w:tr>
      <w:tr w:rsidR="00A5540F" w:rsidRPr="00B87066" w14:paraId="5D7921BD" w14:textId="77777777" w:rsidTr="00A5540F">
        <w:tc>
          <w:tcPr>
            <w:tcW w:w="9504" w:type="dxa"/>
            <w:gridSpan w:val="4"/>
            <w:shd w:val="clear" w:color="auto" w:fill="D9E2F3" w:themeFill="accent1" w:themeFillTint="33"/>
          </w:tcPr>
          <w:p w14:paraId="78C94C18" w14:textId="77777777" w:rsidR="00A5540F" w:rsidRPr="00B87066" w:rsidRDefault="00A5540F" w:rsidP="00A5540F">
            <w:pPr>
              <w:pStyle w:val="RCTstable"/>
              <w:rPr>
                <w:i/>
              </w:rPr>
            </w:pPr>
            <w:r>
              <w:rPr>
                <w:i/>
              </w:rPr>
              <w:t>Small for gestational age</w:t>
            </w:r>
          </w:p>
        </w:tc>
      </w:tr>
      <w:tr w:rsidR="00A5540F" w:rsidRPr="00B87066" w14:paraId="6E3532CF" w14:textId="77777777" w:rsidTr="00A5540F">
        <w:tc>
          <w:tcPr>
            <w:tcW w:w="2841" w:type="dxa"/>
            <w:tcBorders>
              <w:bottom w:val="single" w:sz="4" w:space="0" w:color="3B3474"/>
            </w:tcBorders>
            <w:shd w:val="clear" w:color="auto" w:fill="F2F2F2" w:themeFill="background1" w:themeFillShade="F2"/>
          </w:tcPr>
          <w:p w14:paraId="0B103498"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07BE5209"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2B5DDA32" w14:textId="3FE95690" w:rsidR="00A5540F" w:rsidRPr="008D54CA" w:rsidRDefault="00A5540F" w:rsidP="004F2B93">
            <w:pPr>
              <w:pStyle w:val="RCTstable"/>
              <w:jc w:val="center"/>
            </w:pPr>
            <w:r w:rsidRPr="008D54CA">
              <w:t>RR 0.</w:t>
            </w:r>
            <w:r w:rsidR="004F2B93">
              <w:t>76</w:t>
            </w:r>
            <w:r w:rsidR="004F2B93" w:rsidRPr="008D54CA">
              <w:t xml:space="preserve"> </w:t>
            </w:r>
            <w:r w:rsidRPr="008D54CA">
              <w:t>(0.5</w:t>
            </w:r>
            <w:r w:rsidR="004F2B93">
              <w:t>0</w:t>
            </w:r>
            <w:r w:rsidRPr="008D54CA">
              <w:t xml:space="preserve"> to 1.</w:t>
            </w:r>
            <w:r w:rsidR="004F2B93">
              <w:t>1</w:t>
            </w:r>
            <w:r w:rsidRPr="008D54CA">
              <w:t>7)</w:t>
            </w:r>
          </w:p>
        </w:tc>
        <w:tc>
          <w:tcPr>
            <w:tcW w:w="1134" w:type="dxa"/>
            <w:tcBorders>
              <w:bottom w:val="single" w:sz="4" w:space="0" w:color="3B3474"/>
            </w:tcBorders>
            <w:shd w:val="clear" w:color="auto" w:fill="F2F2F2" w:themeFill="background1" w:themeFillShade="F2"/>
          </w:tcPr>
          <w:p w14:paraId="4A88691C" w14:textId="77777777" w:rsidR="00A5540F" w:rsidRPr="00B87066" w:rsidRDefault="00A5540F" w:rsidP="00A5540F">
            <w:pPr>
              <w:pStyle w:val="RCTstable"/>
              <w:jc w:val="center"/>
            </w:pPr>
            <w:r>
              <w:t>10</w:t>
            </w:r>
          </w:p>
        </w:tc>
      </w:tr>
      <w:tr w:rsidR="00A5540F" w:rsidRPr="00B87066" w14:paraId="57D16EF1" w14:textId="77777777" w:rsidTr="00A5540F">
        <w:tc>
          <w:tcPr>
            <w:tcW w:w="2841" w:type="dxa"/>
            <w:vMerge w:val="restart"/>
            <w:shd w:val="clear" w:color="auto" w:fill="auto"/>
          </w:tcPr>
          <w:p w14:paraId="09EB0EA9" w14:textId="106D5977" w:rsidR="00A5540F" w:rsidRDefault="00A5540F"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p>
        </w:tc>
        <w:tc>
          <w:tcPr>
            <w:tcW w:w="2547" w:type="dxa"/>
            <w:shd w:val="clear" w:color="auto" w:fill="auto"/>
          </w:tcPr>
          <w:p w14:paraId="199E2CC2" w14:textId="77777777" w:rsidR="00A5540F"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6427CD44" w14:textId="77777777" w:rsidR="00A5540F" w:rsidRDefault="00A5540F" w:rsidP="00A5540F">
            <w:pPr>
              <w:pStyle w:val="RCTstable"/>
              <w:jc w:val="center"/>
            </w:pPr>
            <w:r>
              <w:t>OR 1.05 (0.84 to 1.34)</w:t>
            </w:r>
          </w:p>
        </w:tc>
        <w:tc>
          <w:tcPr>
            <w:tcW w:w="1134" w:type="dxa"/>
            <w:shd w:val="clear" w:color="auto" w:fill="auto"/>
          </w:tcPr>
          <w:p w14:paraId="65FA8BC8" w14:textId="77777777" w:rsidR="00A5540F" w:rsidRDefault="00A5540F" w:rsidP="00A5540F">
            <w:pPr>
              <w:pStyle w:val="RCTstable"/>
              <w:jc w:val="center"/>
            </w:pPr>
            <w:r>
              <w:t>14</w:t>
            </w:r>
          </w:p>
        </w:tc>
      </w:tr>
      <w:tr w:rsidR="00A5540F" w:rsidRPr="00B87066" w14:paraId="2A4C61D0" w14:textId="77777777" w:rsidTr="00A5540F">
        <w:tc>
          <w:tcPr>
            <w:tcW w:w="2841" w:type="dxa"/>
            <w:vMerge/>
            <w:shd w:val="clear" w:color="auto" w:fill="auto"/>
          </w:tcPr>
          <w:p w14:paraId="1899F3FC" w14:textId="77777777" w:rsidR="00A5540F" w:rsidRDefault="00A5540F" w:rsidP="00A5540F">
            <w:pPr>
              <w:pStyle w:val="RCTstable"/>
            </w:pPr>
          </w:p>
        </w:tc>
        <w:tc>
          <w:tcPr>
            <w:tcW w:w="2547" w:type="dxa"/>
            <w:shd w:val="clear" w:color="auto" w:fill="auto"/>
          </w:tcPr>
          <w:p w14:paraId="6531DB9E" w14:textId="77777777" w:rsidR="00A5540F"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44C32AC5" w14:textId="77777777" w:rsidR="00A5540F" w:rsidRDefault="00A5540F" w:rsidP="00A5540F">
            <w:pPr>
              <w:pStyle w:val="RCTstable"/>
              <w:jc w:val="center"/>
            </w:pPr>
            <w:r>
              <w:t>OR 1.01 (0.83 to 1.24)</w:t>
            </w:r>
          </w:p>
        </w:tc>
        <w:tc>
          <w:tcPr>
            <w:tcW w:w="1134" w:type="dxa"/>
            <w:shd w:val="clear" w:color="auto" w:fill="auto"/>
          </w:tcPr>
          <w:p w14:paraId="0E4C9066" w14:textId="77777777" w:rsidR="00A5540F" w:rsidRDefault="00A5540F" w:rsidP="00A5540F">
            <w:pPr>
              <w:pStyle w:val="RCTstable"/>
              <w:jc w:val="center"/>
            </w:pPr>
            <w:r>
              <w:t>21</w:t>
            </w:r>
          </w:p>
        </w:tc>
      </w:tr>
      <w:tr w:rsidR="00A5540F" w:rsidRPr="00B87066" w14:paraId="6C14E856" w14:textId="77777777" w:rsidTr="00A5540F">
        <w:tc>
          <w:tcPr>
            <w:tcW w:w="2841" w:type="dxa"/>
            <w:shd w:val="clear" w:color="auto" w:fill="auto"/>
          </w:tcPr>
          <w:p w14:paraId="4F512A59" w14:textId="02A218C4" w:rsidR="00A5540F"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shd w:val="clear" w:color="auto" w:fill="auto"/>
          </w:tcPr>
          <w:p w14:paraId="77D2849A" w14:textId="77777777" w:rsidR="00A5540F" w:rsidRDefault="00A5540F" w:rsidP="00A5540F">
            <w:pPr>
              <w:pStyle w:val="RCTstable"/>
            </w:pPr>
            <w:r w:rsidRPr="00C12274">
              <w:t>Mixed</w:t>
            </w:r>
            <w:r>
              <w:t xml:space="preserve"> BMIs</w:t>
            </w:r>
          </w:p>
        </w:tc>
        <w:tc>
          <w:tcPr>
            <w:tcW w:w="2982" w:type="dxa"/>
            <w:shd w:val="clear" w:color="auto" w:fill="auto"/>
          </w:tcPr>
          <w:p w14:paraId="6235F3D7" w14:textId="77777777" w:rsidR="00A5540F" w:rsidRDefault="00A5540F" w:rsidP="00A5540F">
            <w:pPr>
              <w:pStyle w:val="RCTstable"/>
              <w:jc w:val="center"/>
            </w:pPr>
            <w:r>
              <w:t>RR 1.31 (0.50 to 3.42)</w:t>
            </w:r>
          </w:p>
        </w:tc>
        <w:tc>
          <w:tcPr>
            <w:tcW w:w="1134" w:type="dxa"/>
            <w:shd w:val="clear" w:color="auto" w:fill="auto"/>
          </w:tcPr>
          <w:p w14:paraId="4AD86E86" w14:textId="77777777" w:rsidR="00A5540F" w:rsidRDefault="00A5540F" w:rsidP="00A5540F">
            <w:pPr>
              <w:pStyle w:val="RCTstable"/>
              <w:jc w:val="center"/>
            </w:pPr>
            <w:r>
              <w:t>3</w:t>
            </w:r>
          </w:p>
        </w:tc>
      </w:tr>
      <w:tr w:rsidR="00A5540F" w:rsidRPr="00B87066" w14:paraId="39DD3E75" w14:textId="77777777" w:rsidTr="00A5540F">
        <w:tc>
          <w:tcPr>
            <w:tcW w:w="2841" w:type="dxa"/>
            <w:tcBorders>
              <w:bottom w:val="single" w:sz="4" w:space="0" w:color="3B3474"/>
            </w:tcBorders>
            <w:shd w:val="clear" w:color="auto" w:fill="auto"/>
          </w:tcPr>
          <w:p w14:paraId="79222D64" w14:textId="4556DA29"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Borders>
              <w:bottom w:val="single" w:sz="4" w:space="0" w:color="3B3474"/>
            </w:tcBorders>
            <w:shd w:val="clear" w:color="auto" w:fill="auto"/>
          </w:tcPr>
          <w:p w14:paraId="2F3442CD" w14:textId="77777777" w:rsidR="00A5540F" w:rsidRPr="00C12274" w:rsidRDefault="00A5540F" w:rsidP="00A5540F">
            <w:pPr>
              <w:pStyle w:val="RCTstable"/>
            </w:pPr>
            <w:r>
              <w:t>Mixed BMIs</w:t>
            </w:r>
          </w:p>
        </w:tc>
        <w:tc>
          <w:tcPr>
            <w:tcW w:w="2982" w:type="dxa"/>
            <w:tcBorders>
              <w:bottom w:val="single" w:sz="4" w:space="0" w:color="3B3474"/>
            </w:tcBorders>
            <w:shd w:val="clear" w:color="auto" w:fill="auto"/>
          </w:tcPr>
          <w:p w14:paraId="02F3747D" w14:textId="77777777" w:rsidR="00A5540F" w:rsidRDefault="00A5540F" w:rsidP="00A5540F">
            <w:pPr>
              <w:pStyle w:val="RCTstable"/>
              <w:jc w:val="center"/>
            </w:pPr>
            <w:r>
              <w:t>RR 1.28 (0.52 to 3.15)</w:t>
            </w:r>
          </w:p>
        </w:tc>
        <w:tc>
          <w:tcPr>
            <w:tcW w:w="1134" w:type="dxa"/>
            <w:tcBorders>
              <w:bottom w:val="single" w:sz="4" w:space="0" w:color="3B3474"/>
            </w:tcBorders>
            <w:shd w:val="clear" w:color="auto" w:fill="auto"/>
          </w:tcPr>
          <w:p w14:paraId="50C893DC" w14:textId="77777777" w:rsidR="00A5540F" w:rsidRDefault="00A5540F" w:rsidP="00A5540F">
            <w:pPr>
              <w:pStyle w:val="RCTstable"/>
              <w:jc w:val="center"/>
            </w:pPr>
            <w:r>
              <w:t>4</w:t>
            </w:r>
          </w:p>
        </w:tc>
      </w:tr>
      <w:tr w:rsidR="00A5540F" w:rsidRPr="00C12274" w14:paraId="6DA0E716" w14:textId="77777777" w:rsidTr="00A5540F">
        <w:tc>
          <w:tcPr>
            <w:tcW w:w="2841" w:type="dxa"/>
          </w:tcPr>
          <w:p w14:paraId="77B1EFAF" w14:textId="0758B898" w:rsidR="00A5540F" w:rsidRPr="00C12274" w:rsidRDefault="00A5540F" w:rsidP="002747EA">
            <w:pPr>
              <w:pStyle w:val="RCTstable"/>
            </w:pPr>
            <w:r w:rsidRPr="00C12274">
              <w:rPr>
                <w:noProof/>
              </w:rPr>
              <w:t>da Silva et al 2017b</w:t>
            </w:r>
            <w:r>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 </w:instrText>
            </w:r>
            <w:r w:rsidR="002747EA">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456</w:t>
            </w:r>
            <w:r>
              <w:fldChar w:fldCharType="end"/>
            </w:r>
          </w:p>
        </w:tc>
        <w:tc>
          <w:tcPr>
            <w:tcW w:w="2547" w:type="dxa"/>
          </w:tcPr>
          <w:p w14:paraId="0044FCF9" w14:textId="77777777" w:rsidR="00A5540F" w:rsidRPr="00C12274" w:rsidRDefault="00A5540F" w:rsidP="00A5540F">
            <w:pPr>
              <w:pStyle w:val="RCTstable"/>
            </w:pPr>
            <w:r>
              <w:t>Mixed</w:t>
            </w:r>
            <w:r w:rsidRPr="00C12274">
              <w:t xml:space="preserve"> </w:t>
            </w:r>
            <w:r>
              <w:t>BMIs</w:t>
            </w:r>
          </w:p>
        </w:tc>
        <w:tc>
          <w:tcPr>
            <w:tcW w:w="2982" w:type="dxa"/>
          </w:tcPr>
          <w:p w14:paraId="71A97B40" w14:textId="77777777" w:rsidR="00A5540F" w:rsidRPr="00BE0624" w:rsidRDefault="00A5540F" w:rsidP="00A5540F">
            <w:pPr>
              <w:pStyle w:val="RCTstable"/>
              <w:jc w:val="center"/>
            </w:pPr>
            <w:r>
              <w:rPr>
                <w:rFonts w:eastAsiaTheme="majorEastAsia"/>
              </w:rPr>
              <w:t>RR 1.08 (0.66 to 1.76)</w:t>
            </w:r>
          </w:p>
        </w:tc>
        <w:tc>
          <w:tcPr>
            <w:tcW w:w="1134" w:type="dxa"/>
          </w:tcPr>
          <w:p w14:paraId="0DEA3932" w14:textId="77777777" w:rsidR="00A5540F" w:rsidRPr="00BE0624" w:rsidRDefault="00A5540F" w:rsidP="00A5540F">
            <w:pPr>
              <w:pStyle w:val="RCTstable"/>
              <w:jc w:val="center"/>
            </w:pPr>
            <w:r>
              <w:t>4</w:t>
            </w:r>
          </w:p>
        </w:tc>
      </w:tr>
      <w:tr w:rsidR="00A5540F" w:rsidRPr="00C12274" w14:paraId="1E8F7C46" w14:textId="77777777" w:rsidTr="00A5540F">
        <w:tc>
          <w:tcPr>
            <w:tcW w:w="2841" w:type="dxa"/>
          </w:tcPr>
          <w:p w14:paraId="50CE3279" w14:textId="522688EC" w:rsidR="00A5540F" w:rsidRPr="00C12274" w:rsidRDefault="00A5540F" w:rsidP="002747EA">
            <w:pPr>
              <w:pStyle w:val="RCTstable"/>
              <w:rPr>
                <w:noProof/>
              </w:rPr>
            </w:pPr>
            <w:r>
              <w:rPr>
                <w:noProof/>
              </w:rPr>
              <w:t>Wiebe et al 2015</w:t>
            </w:r>
            <w:r>
              <w:rPr>
                <w:noProof/>
              </w:rPr>
              <w:fldChar w:fldCharType="begin"/>
            </w:r>
            <w:r w:rsidR="002747EA">
              <w:rPr>
                <w:noProof/>
              </w:rPr>
              <w:instrText xml:space="preserve"> ADDIN EN.CITE &lt;EndNote&gt;&lt;Cite&gt;&lt;Author&gt;Wiebe&lt;/Author&gt;&lt;Year&gt;2015&lt;/Year&gt;&lt;RecNum&gt;583&lt;/RecNum&gt;&lt;DisplayText&gt;&lt;style face="superscript" font="Trebuchet MS" size="9"&gt;459&lt;/style&gt;&lt;/DisplayText&gt;&lt;record&gt;&lt;rec-number&gt;583&lt;/rec-number&gt;&lt;foreign-keys&gt;&lt;key app="EN" db-id="exvasrfx2dtraoesasxp2szsxa2df502592x" timestamp="1536367432"&gt;583&lt;/key&gt;&lt;/foreign-keys&gt;&lt;ref-type name="Journal Article"&gt;17&lt;/ref-type&gt;&lt;contributors&gt;&lt;authors&gt;&lt;author&gt;Wiebe, H. W.&lt;/author&gt;&lt;author&gt;Boule, N. G.&lt;/author&gt;&lt;author&gt;Chari, R.&lt;/author&gt;&lt;author&gt;Davenport, M. H.&lt;/author&gt;&lt;/authors&gt;&lt;/contributors&gt;&lt;auth-address&gt;Program for Pregnancy and Postpartum Health and Physical Activity and Diabetes Laboratory, Faculty of Physical Education and Recreation, the Women and Children&amp;apos;s Health Research Institute, the Alberta Diabetes Institute, and the Department of Obstetrics and Gynecology, University of Alberta, Edmonton, Alberta, Canada.&lt;/auth-address&gt;&lt;titles&gt;&lt;title&gt;The effect of supervised prenatal exercise on fetal growth: a meta-analysis&lt;/title&gt;&lt;secondary-title&gt;Obstet Gynecol&lt;/secondary-title&gt;&lt;/titles&gt;&lt;periodical&gt;&lt;full-title&gt;Obstet Gynecol&lt;/full-title&gt;&lt;/periodical&gt;&lt;pages&gt;1185-94&lt;/pages&gt;&lt;volume&gt;125&lt;/volume&gt;&lt;number&gt;5&lt;/number&gt;&lt;edition&gt;2015/05/02&lt;/edition&gt;&lt;keywords&gt;&lt;keyword&gt;Birth Weight/*physiology&lt;/keyword&gt;&lt;keyword&gt;Exercise/*physiology&lt;/keyword&gt;&lt;keyword&gt;Female&lt;/keyword&gt;&lt;keyword&gt;Fetal Development/*physiology&lt;/keyword&gt;&lt;keyword&gt;Fetal Macrosomia/epidemiology/prevention &amp;amp; control&lt;/keyword&gt;&lt;keyword&gt;Fetus/*physiology&lt;/keyword&gt;&lt;keyword&gt;Humans&lt;/keyword&gt;&lt;keyword&gt;Pregnancy&lt;/keyword&gt;&lt;keyword&gt;Pregnancy Outcome&lt;/keyword&gt;&lt;keyword&gt;Prenatal Care&lt;/keyword&gt;&lt;keyword&gt;Standard of Care&lt;/keyword&gt;&lt;/keywords&gt;&lt;dates&gt;&lt;year&gt;2015&lt;/year&gt;&lt;pub-dates&gt;&lt;date&gt;May&lt;/date&gt;&lt;/pub-dates&gt;&lt;/dates&gt;&lt;isbn&gt;1873-233X (Electronic)&amp;#xD;0029-7844 (Linking)&lt;/isbn&gt;&lt;accession-num&gt;25932847&lt;/accession-num&gt;&lt;urls&gt;&lt;related-urls&gt;&lt;url&gt;https://www.ncbi.nlm.nih.gov/pubmed/25932847&lt;/url&gt;&lt;/related-urls&gt;&lt;/urls&gt;&lt;electronic-resource-num&gt;10.1097/AOG.0000000000000801&lt;/electronic-resource-num&gt;&lt;/record&gt;&lt;/Cite&gt;&lt;/EndNote&gt;</w:instrText>
            </w:r>
            <w:r>
              <w:rPr>
                <w:noProof/>
              </w:rPr>
              <w:fldChar w:fldCharType="separate"/>
            </w:r>
            <w:r w:rsidR="002747EA" w:rsidRPr="002747EA">
              <w:rPr>
                <w:noProof/>
                <w:sz w:val="18"/>
                <w:vertAlign w:val="superscript"/>
              </w:rPr>
              <w:t>459</w:t>
            </w:r>
            <w:r>
              <w:rPr>
                <w:noProof/>
              </w:rPr>
              <w:fldChar w:fldCharType="end"/>
            </w:r>
          </w:p>
        </w:tc>
        <w:tc>
          <w:tcPr>
            <w:tcW w:w="2547" w:type="dxa"/>
          </w:tcPr>
          <w:p w14:paraId="117332FD" w14:textId="77777777" w:rsidR="00A5540F" w:rsidRDefault="00A5540F" w:rsidP="00A5540F">
            <w:pPr>
              <w:pStyle w:val="RCTstable"/>
            </w:pPr>
            <w:r>
              <w:t>Low risk</w:t>
            </w:r>
          </w:p>
        </w:tc>
        <w:tc>
          <w:tcPr>
            <w:tcW w:w="2982" w:type="dxa"/>
          </w:tcPr>
          <w:p w14:paraId="0B77BE06" w14:textId="77777777" w:rsidR="00A5540F" w:rsidRDefault="00A5540F" w:rsidP="00A5540F">
            <w:pPr>
              <w:pStyle w:val="RCTstable"/>
              <w:jc w:val="center"/>
              <w:rPr>
                <w:rFonts w:eastAsiaTheme="majorEastAsia"/>
              </w:rPr>
            </w:pPr>
            <w:r>
              <w:rPr>
                <w:rFonts w:eastAsiaTheme="majorEastAsia"/>
              </w:rPr>
              <w:t>OR 1.10 (0.73 to 1.66)</w:t>
            </w:r>
          </w:p>
        </w:tc>
        <w:tc>
          <w:tcPr>
            <w:tcW w:w="1134" w:type="dxa"/>
          </w:tcPr>
          <w:p w14:paraId="0BC1A2CE" w14:textId="77777777" w:rsidR="00A5540F" w:rsidRDefault="00A5540F" w:rsidP="00A5540F">
            <w:pPr>
              <w:pStyle w:val="RCTstable"/>
              <w:jc w:val="center"/>
            </w:pPr>
            <w:r>
              <w:t>8</w:t>
            </w:r>
          </w:p>
        </w:tc>
      </w:tr>
      <w:tr w:rsidR="00A5540F" w:rsidRPr="00C12274" w14:paraId="28DB725B" w14:textId="77777777" w:rsidTr="00A5540F">
        <w:tc>
          <w:tcPr>
            <w:tcW w:w="2841" w:type="dxa"/>
          </w:tcPr>
          <w:p w14:paraId="019F4F31" w14:textId="0B17CCB6" w:rsidR="00A5540F" w:rsidRPr="00C12274" w:rsidRDefault="00A5540F" w:rsidP="002747EA">
            <w:pPr>
              <w:pStyle w:val="RCTstable"/>
              <w:rPr>
                <w:noProof/>
              </w:rPr>
            </w:pPr>
            <w:r>
              <w:rPr>
                <w:noProof/>
              </w:rPr>
              <w:t>Wiebe et al 2015</w:t>
            </w:r>
            <w:r>
              <w:rPr>
                <w:noProof/>
              </w:rPr>
              <w:fldChar w:fldCharType="begin"/>
            </w:r>
            <w:r w:rsidR="002747EA">
              <w:rPr>
                <w:noProof/>
              </w:rPr>
              <w:instrText xml:space="preserve"> ADDIN EN.CITE &lt;EndNote&gt;&lt;Cite&gt;&lt;Author&gt;Wiebe&lt;/Author&gt;&lt;Year&gt;2015&lt;/Year&gt;&lt;RecNum&gt;583&lt;/RecNum&gt;&lt;DisplayText&gt;&lt;style face="superscript" font="Trebuchet MS" size="9"&gt;459&lt;/style&gt;&lt;/DisplayText&gt;&lt;record&gt;&lt;rec-number&gt;583&lt;/rec-number&gt;&lt;foreign-keys&gt;&lt;key app="EN" db-id="exvasrfx2dtraoesasxp2szsxa2df502592x" timestamp="1536367432"&gt;583&lt;/key&gt;&lt;/foreign-keys&gt;&lt;ref-type name="Journal Article"&gt;17&lt;/ref-type&gt;&lt;contributors&gt;&lt;authors&gt;&lt;author&gt;Wiebe, H. W.&lt;/author&gt;&lt;author&gt;Boule, N. G.&lt;/author&gt;&lt;author&gt;Chari, R.&lt;/author&gt;&lt;author&gt;Davenport, M. H.&lt;/author&gt;&lt;/authors&gt;&lt;/contributors&gt;&lt;auth-address&gt;Program for Pregnancy and Postpartum Health and Physical Activity and Diabetes Laboratory, Faculty of Physical Education and Recreation, the Women and Children&amp;apos;s Health Research Institute, the Alberta Diabetes Institute, and the Department of Obstetrics and Gynecology, University of Alberta, Edmonton, Alberta, Canada.&lt;/auth-address&gt;&lt;titles&gt;&lt;title&gt;The effect of supervised prenatal exercise on fetal growth: a meta-analysis&lt;/title&gt;&lt;secondary-title&gt;Obstet Gynecol&lt;/secondary-title&gt;&lt;/titles&gt;&lt;periodical&gt;&lt;full-title&gt;Obstet Gynecol&lt;/full-title&gt;&lt;/periodical&gt;&lt;pages&gt;1185-94&lt;/pages&gt;&lt;volume&gt;125&lt;/volume&gt;&lt;number&gt;5&lt;/number&gt;&lt;edition&gt;2015/05/02&lt;/edition&gt;&lt;keywords&gt;&lt;keyword&gt;Birth Weight/*physiology&lt;/keyword&gt;&lt;keyword&gt;Exercise/*physiology&lt;/keyword&gt;&lt;keyword&gt;Female&lt;/keyword&gt;&lt;keyword&gt;Fetal Development/*physiology&lt;/keyword&gt;&lt;keyword&gt;Fetal Macrosomia/epidemiology/prevention &amp;amp; control&lt;/keyword&gt;&lt;keyword&gt;Fetus/*physiology&lt;/keyword&gt;&lt;keyword&gt;Humans&lt;/keyword&gt;&lt;keyword&gt;Pregnancy&lt;/keyword&gt;&lt;keyword&gt;Pregnancy Outcome&lt;/keyword&gt;&lt;keyword&gt;Prenatal Care&lt;/keyword&gt;&lt;keyword&gt;Standard of Care&lt;/keyword&gt;&lt;/keywords&gt;&lt;dates&gt;&lt;year&gt;2015&lt;/year&gt;&lt;pub-dates&gt;&lt;date&gt;May&lt;/date&gt;&lt;/pub-dates&gt;&lt;/dates&gt;&lt;isbn&gt;1873-233X (Electronic)&amp;#xD;0029-7844 (Linking)&lt;/isbn&gt;&lt;accession-num&gt;25932847&lt;/accession-num&gt;&lt;urls&gt;&lt;related-urls&gt;&lt;url&gt;https://www.ncbi.nlm.nih.gov/pubmed/25932847&lt;/url&gt;&lt;/related-urls&gt;&lt;/urls&gt;&lt;electronic-resource-num&gt;10.1097/AOG.0000000000000801&lt;/electronic-resource-num&gt;&lt;/record&gt;&lt;/Cite&gt;&lt;/EndNote&gt;</w:instrText>
            </w:r>
            <w:r>
              <w:rPr>
                <w:noProof/>
              </w:rPr>
              <w:fldChar w:fldCharType="separate"/>
            </w:r>
            <w:r w:rsidR="002747EA" w:rsidRPr="002747EA">
              <w:rPr>
                <w:noProof/>
                <w:sz w:val="18"/>
                <w:vertAlign w:val="superscript"/>
              </w:rPr>
              <w:t>459</w:t>
            </w:r>
            <w:r>
              <w:rPr>
                <w:noProof/>
              </w:rPr>
              <w:fldChar w:fldCharType="end"/>
            </w:r>
          </w:p>
        </w:tc>
        <w:tc>
          <w:tcPr>
            <w:tcW w:w="2547" w:type="dxa"/>
          </w:tcPr>
          <w:p w14:paraId="57ADC265" w14:textId="77777777" w:rsidR="00A5540F" w:rsidRDefault="00A5540F" w:rsidP="00A5540F">
            <w:pPr>
              <w:pStyle w:val="RCTstable"/>
            </w:pPr>
            <w:r>
              <w:t>Overweight and obese</w:t>
            </w:r>
          </w:p>
        </w:tc>
        <w:tc>
          <w:tcPr>
            <w:tcW w:w="2982" w:type="dxa"/>
          </w:tcPr>
          <w:p w14:paraId="4007945A" w14:textId="77777777" w:rsidR="00A5540F" w:rsidRDefault="00A5540F" w:rsidP="00A5540F">
            <w:pPr>
              <w:pStyle w:val="RCTstable"/>
              <w:jc w:val="center"/>
              <w:rPr>
                <w:rFonts w:eastAsiaTheme="majorEastAsia"/>
              </w:rPr>
            </w:pPr>
            <w:r>
              <w:rPr>
                <w:rFonts w:eastAsiaTheme="majorEastAsia"/>
              </w:rPr>
              <w:t>OR 0.90 (0.31 to 2.63)</w:t>
            </w:r>
          </w:p>
        </w:tc>
        <w:tc>
          <w:tcPr>
            <w:tcW w:w="1134" w:type="dxa"/>
          </w:tcPr>
          <w:p w14:paraId="7DD32911" w14:textId="77777777" w:rsidR="00A5540F" w:rsidRDefault="00A5540F" w:rsidP="00A5540F">
            <w:pPr>
              <w:pStyle w:val="RCTstable"/>
              <w:jc w:val="center"/>
            </w:pPr>
            <w:r>
              <w:t>2</w:t>
            </w:r>
          </w:p>
        </w:tc>
      </w:tr>
      <w:tr w:rsidR="00A5540F" w:rsidRPr="00B87066" w14:paraId="02C78F9E" w14:textId="77777777" w:rsidTr="00A5540F">
        <w:tc>
          <w:tcPr>
            <w:tcW w:w="9504" w:type="dxa"/>
            <w:gridSpan w:val="4"/>
            <w:shd w:val="clear" w:color="auto" w:fill="D9E2F3" w:themeFill="accent1" w:themeFillTint="33"/>
          </w:tcPr>
          <w:p w14:paraId="05BEC63C" w14:textId="77777777" w:rsidR="00A5540F" w:rsidRPr="00B87066" w:rsidRDefault="00A5540F" w:rsidP="00A5540F">
            <w:pPr>
              <w:pStyle w:val="RCTstable"/>
              <w:rPr>
                <w:i/>
              </w:rPr>
            </w:pPr>
            <w:r>
              <w:rPr>
                <w:i/>
              </w:rPr>
              <w:t>Large for gestational age</w:t>
            </w:r>
          </w:p>
        </w:tc>
      </w:tr>
      <w:tr w:rsidR="00A5540F" w:rsidRPr="00B87066" w14:paraId="33AA2DCC" w14:textId="77777777" w:rsidTr="00A5540F">
        <w:tc>
          <w:tcPr>
            <w:tcW w:w="2841" w:type="dxa"/>
            <w:tcBorders>
              <w:bottom w:val="single" w:sz="4" w:space="0" w:color="3B3474"/>
            </w:tcBorders>
            <w:shd w:val="clear" w:color="auto" w:fill="F2F2F2" w:themeFill="background1" w:themeFillShade="F2"/>
          </w:tcPr>
          <w:p w14:paraId="3CDD4D22"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10E4D5B1"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35E6A498" w14:textId="1BB7D1D4" w:rsidR="00A5540F" w:rsidRPr="007F28C5" w:rsidRDefault="00A5540F" w:rsidP="00A5540F">
            <w:pPr>
              <w:pStyle w:val="RCTstable"/>
              <w:jc w:val="center"/>
            </w:pPr>
            <w:r w:rsidRPr="007F28C5">
              <w:t>RR 0.9</w:t>
            </w:r>
            <w:r w:rsidR="004F2B93">
              <w:t>1</w:t>
            </w:r>
            <w:r w:rsidRPr="007F28C5">
              <w:t xml:space="preserve"> (0.</w:t>
            </w:r>
            <w:r w:rsidR="004F2B93">
              <w:t>61</w:t>
            </w:r>
            <w:r w:rsidRPr="007F28C5">
              <w:t xml:space="preserve"> to 1.3</w:t>
            </w:r>
            <w:r w:rsidR="004F2B93">
              <w:t>6</w:t>
            </w:r>
            <w:r w:rsidRPr="007F28C5">
              <w:t>)</w:t>
            </w:r>
          </w:p>
        </w:tc>
        <w:tc>
          <w:tcPr>
            <w:tcW w:w="1134" w:type="dxa"/>
            <w:tcBorders>
              <w:bottom w:val="single" w:sz="4" w:space="0" w:color="3B3474"/>
            </w:tcBorders>
            <w:shd w:val="clear" w:color="auto" w:fill="F2F2F2" w:themeFill="background1" w:themeFillShade="F2"/>
          </w:tcPr>
          <w:p w14:paraId="6C452505" w14:textId="77777777" w:rsidR="00A5540F" w:rsidRPr="00B87066" w:rsidRDefault="00A5540F" w:rsidP="00A5540F">
            <w:pPr>
              <w:pStyle w:val="RCTstable"/>
              <w:jc w:val="center"/>
            </w:pPr>
            <w:r>
              <w:t>9</w:t>
            </w:r>
          </w:p>
        </w:tc>
      </w:tr>
      <w:tr w:rsidR="00531C07" w:rsidRPr="00C12274" w14:paraId="0D2E9DEB" w14:textId="77777777" w:rsidTr="0002532B">
        <w:tc>
          <w:tcPr>
            <w:tcW w:w="2841" w:type="dxa"/>
          </w:tcPr>
          <w:p w14:paraId="72CFCB5A" w14:textId="5611D3B5" w:rsidR="00531C07" w:rsidRDefault="00531C07" w:rsidP="002747EA">
            <w:pPr>
              <w:pStyle w:val="RCTstable"/>
              <w:rPr>
                <w:noProof/>
              </w:rPr>
            </w:pPr>
            <w:r>
              <w:rPr>
                <w:noProof/>
              </w:rPr>
              <w:t>Chatzakis et al 2019</w:t>
            </w:r>
            <w:r w:rsidR="00D07346">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PEVuZE5vdGU+PENpdGU+PEF1dGhvcj5DaGF0emFraXM8L0F1dGhvcj48WWVhcj4yMDE5PC9ZZWFy
PjxSZWNOdW0+MTkzNzwvUmVjTnVtPjxEaXNwbGF5VGV4dD48c3R5bGUgZmFjZT0ic3VwZXJzY3Jp
cHQiIGZvbnQ9IlRyZWJ1Y2hldCBNUyIgc2l6ZT0iOSI+NDU3PC9zdHlsZT48L0Rpc3BsYXlUZXh0
PjxyZWNvcmQ+PHJlYy1udW1iZXI+MTkzNzwvcmVjLW51bWJlcj48Zm9yZWlnbi1rZXlzPjxrZXkg
YXBwPSJFTiIgZGItaWQ9ImV4dmFzcmZ4MmR0cmFvZXNhc3hwMnN6c3hhMmRmNTAyNTkyeCIgdGlt
ZXN0YW1wPSIxNTg4NzI4Mzg2Ij4xOTM3PC9rZXk+PGtleSBhcHA9IkVOV2ViIiBkYi1pZD0iIj4w
PC9rZXk+PC9mb3JlaWduLWtleXM+PHJlZi10eXBlIG5hbWU9IkpvdXJuYWwgQXJ0aWNsZSI+MTc8
L3JlZi10eXBlPjxjb250cmlidXRvcnM+PGF1dGhvcnM+PGF1dGhvcj5DaGF0emFraXMsIEMuPC9h
dXRob3I+PGF1dGhvcj5Hb3VsaXMsIEQuIEcuPC9hdXRob3I+PGF1dGhvcj5NYXJldGksIEUuPC9h
dXRob3I+PGF1dGhvcj5FbGVmdGhlcmlhZGVzLCBNLjwvYXV0aG9yPjxhdXRob3I+WmF2bGFub3Ms
IEEuPC9hdXRob3I+PGF1dGhvcj5EaW5hcywgSy48L2F1dGhvcj48YXV0aG9yPlNvdGlyaWFkaXMs
IEEuPC9hdXRob3I+PC9hdXRob3JzPjwvY29udHJpYnV0b3JzPjxhdXRoLWFkZHJlc3M+MihuZCkg
RGVwYXJ0bWVudCBvZiBPYnN0ZXRyaWNzIGFuZCBHeW5lY29sb2d5LCBNZWRpY2FsIFNjaG9vbCwg
QXJpc3RvdGxlIFVuaXZlcnNpdHkgb2YgVGhlc3NhbG9uaWtpLCBLb25zdGFuaW5vdXBvbGVvcyA0
OSwgVGhlc3NhbG9uaWtpLCBHcmVlY2UuJiN4RDtVbml0IG9mIFJlcHJvZHVjdGl2ZSBFbmRvY3Jp
bm9sb2d5LCAxc3QgRGVwYXJ0bWVudCBvZiBPYnN0ZXRyaWNzIGFuZCBHeW5lY29sb2d5LCBNZWRp
Y2FsIFNjaG9vbCwgQXJpc3RvdGxlIFVuaXZlcnNpdHkgb2YgVGhlc3NhbG9uaWtpLCBBZy4gUGF2
bG91IDc2LCBUaGVzc2Fsb25pa2ksIEdyZWVjZS4mI3hEOzIobmQpIERlcGFydG1lbnQgb2YgT2Jz
dGV0cmljcyBhbmQgR3luZWNvbG9neSwgTWVkaWNhbCBTY2hvb2wsIFVuaXZlcnNpdHkgb2YgQXRo
ZW5zLCBBcmV0YWllaW8gSG9zcGl0YWwsIFZhcy4gU29maWEgNzYsIEF0aGVucywgR3JlZWNlLiYj
eEQ7MihuZCkgRGVwYXJ0bWVudCBvZiBPYnN0ZXRyaWNzIGFuZCBHeW5lY29sb2d5LCBNZWRpY2Fs
IFNjaG9vbCwgQXJpc3RvdGxlIFVuaXZlcnNpdHkgb2YgVGhlc3NhbG9uaWtpLCBLb25zdGFuaW5v
dXBvbGVvcyA0OSwgVGhlc3NhbG9uaWtpLCBHcmVlY2UuIEVsZWN0cm9uaWMgYWRkcmVzczogYXNv
dGlyQGdtYWlsLmNvbS48L2F1dGgtYWRkcmVzcz48dGl0bGVzPjx0aXRsZT5QcmV2ZW50aW9uIG9m
IGdlc3RhdGlvbmFsIGRpYWJldGVzIG1lbGxpdHVzIGluIG92ZXJ3ZWlnaHQgb3Igb2Jlc2UgcHJl
Z25hbnQgd29tZW46IEEgbmV0d29yayBtZXRhLWFuYWx5c2lzPC90aXRsZT48c2Vjb25kYXJ5LXRp
dGxlPkRpYWJldGVzIFJlcyBDbGluIFByYWN0PC9zZWNvbmRhcnktdGl0bGU+PC90aXRsZXM+PHBl
cmlvZGljYWw+PGZ1bGwtdGl0bGU+RGlhYmV0ZXMgUmVzIENsaW4gUHJhY3Q8L2Z1bGwtdGl0bGU+
PC9wZXJpb2RpY2FsPjxwYWdlcz4xMDc5MjQ8L3BhZ2VzPjx2b2x1bWU+MTU4PC92b2x1bWU+PGVk
aXRpb24+MjAxOS8xMS8xOTwvZWRpdGlvbj48a2V5d29yZHM+PGtleXdvcmQ+QWR1bHQ8L2tleXdv
cmQ+PGtleXdvcmQ+RGlhYmV0ZXMsIEdlc3RhdGlvbmFsLypwcmV2ZW50aW9uICZhbXA7IGNvbnRy
b2w8L2tleXdvcmQ+PGtleXdvcmQ+RmVtYWxlPC9rZXl3b3JkPjxrZXl3b3JkPkh1bWFuczwva2V5
d29yZD48a2V5d29yZD4qTmV0d29yayBNZXRhLUFuYWx5c2lzPC9rZXl3b3JkPjxrZXl3b3JkPk9i
ZXNpdHkvKmNvbXBsaWNhdGlvbnM8L2tleXdvcmQ+PGtleXdvcmQ+T3ZlcndlaWdodC8qY29tcGxp
Y2F0aW9uczwva2V5d29yZD48a2V5d29yZD5QcmVnbmFuY3k8L2tleXdvcmQ+PGtleXdvcmQ+R2Vz
dGF0aW9uYWwgZGlhYmV0ZXMgbWVsbGl0dXM8L2tleXdvcmQ+PGtleXdvcmQ+TWV0Zm9ybWluPC9r
ZXl3b3JkPjxrZXl3b3JkPk9iZXNlPC9rZXl3b3JkPjxrZXl3b3JkPk92ZXJ3ZWlnaHQ8L2tleXdv
cmQ+PGtleXdvcmQ+UGh5c2ljYWwgZXhlcmNpc2U8L2tleXdvcmQ+PGtleXdvcmQ+UHJldmVudGlv
bjwva2V5d29yZD48a2V5d29yZD5Qcm9iaW90aWNzPC9rZXl3b3JkPjxrZXl3b3JkPlZpdGFtaW4g
RDwva2V5d29yZD48L2tleXdvcmRzPjxkYXRlcz48eWVhcj4yMDE5PC95ZWFyPjxwdWItZGF0ZXM+
PGRhdGU+RGVjPC9kYXRlPjwvcHViLWRhdGVzPjwvZGF0ZXM+PGlzYm4+MTg3Mi04MjI3IChFbGVj
dHJvbmljKSYjeEQ7MDE2OC04MjI3IChMaW5raW5nKTwvaXNibj48YWNjZXNzaW9uLW51bT4zMTcz
ODk5NzwvYWNjZXNzaW9uLW51bT48dXJscz48cmVsYXRlZC11cmxzPjx1cmw+aHR0cHM6Ly93d3cu
bmNiaS5ubG0ubmloLmdvdi9wdWJtZWQvMzE3Mzg5OTc8L3VybD48L3JlbGF0ZWQtdXJscz48L3Vy
bHM+PGVsZWN0cm9uaWMtcmVzb3VyY2UtbnVtPjEwLjEwMTYvai5kaWFicmVzLjIwMTkuMTA3OTI0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457</w:t>
            </w:r>
            <w:r w:rsidR="00D07346">
              <w:rPr>
                <w:noProof/>
              </w:rPr>
              <w:fldChar w:fldCharType="end"/>
            </w:r>
          </w:p>
        </w:tc>
        <w:tc>
          <w:tcPr>
            <w:tcW w:w="2547" w:type="dxa"/>
          </w:tcPr>
          <w:p w14:paraId="28B93D06" w14:textId="77777777" w:rsidR="00531C07" w:rsidRDefault="00531C07" w:rsidP="0002532B">
            <w:pPr>
              <w:pStyle w:val="RCTstable"/>
            </w:pPr>
            <w:r>
              <w:t>Mixed BMIs</w:t>
            </w:r>
          </w:p>
        </w:tc>
        <w:tc>
          <w:tcPr>
            <w:tcW w:w="2982" w:type="dxa"/>
          </w:tcPr>
          <w:p w14:paraId="6566D66F" w14:textId="0E45D1E1" w:rsidR="00531C07" w:rsidRDefault="00531C07" w:rsidP="00531C07">
            <w:pPr>
              <w:pStyle w:val="RCTstable"/>
              <w:jc w:val="center"/>
              <w:rPr>
                <w:rFonts w:eastAsiaTheme="majorEastAsia"/>
              </w:rPr>
            </w:pPr>
            <w:r>
              <w:rPr>
                <w:rFonts w:eastAsiaTheme="majorEastAsia"/>
              </w:rPr>
              <w:t>RR 1.00 (0.66 to 1.49)</w:t>
            </w:r>
          </w:p>
        </w:tc>
        <w:tc>
          <w:tcPr>
            <w:tcW w:w="1134" w:type="dxa"/>
          </w:tcPr>
          <w:p w14:paraId="353D5690" w14:textId="107E8A4C" w:rsidR="00531C07" w:rsidRDefault="00531C07" w:rsidP="0002532B">
            <w:pPr>
              <w:pStyle w:val="RCTstable"/>
              <w:jc w:val="center"/>
            </w:pPr>
            <w:r>
              <w:t>7</w:t>
            </w:r>
          </w:p>
        </w:tc>
      </w:tr>
      <w:tr w:rsidR="0002532B" w:rsidRPr="00C12274" w14:paraId="62AEEB43" w14:textId="77777777" w:rsidTr="0002532B">
        <w:tc>
          <w:tcPr>
            <w:tcW w:w="2841" w:type="dxa"/>
          </w:tcPr>
          <w:p w14:paraId="380B393E" w14:textId="58D38510" w:rsidR="0002532B" w:rsidRDefault="0002532B" w:rsidP="002747EA">
            <w:pPr>
              <w:pStyle w:val="RCTstable"/>
              <w:rPr>
                <w:noProof/>
              </w:rPr>
            </w:pPr>
            <w:r>
              <w:rPr>
                <w:noProof/>
              </w:rPr>
              <w:t>Guillemette et al 2018</w:t>
            </w:r>
            <w:r w:rsidR="00D07346">
              <w:rPr>
                <w:noProof/>
              </w:rPr>
              <w:fldChar w:fldCharType="begin">
                <w:fldData xml:space="preserve">PEVuZE5vdGU+PENpdGU+PEF1dGhvcj5HdWlsbGVtZXR0ZTwvQXV0aG9yPjxZZWFyPjIwMTg8L1ll
YXI+PFJlY051bT4xOTQxPC9SZWNOdW0+PERpc3BsYXlUZXh0PjxzdHlsZSBmYWNlPSJzdXBlcnNj
cmlwdCIgZm9udD0iVHJlYnVjaGV0IE1TIiBzaXplPSI5Ij40ODE8L3N0eWxlPjwvRGlzcGxheVRl
eHQ+PHJlY29yZD48cmVjLW51bWJlcj4xOTQxPC9yZWMtbnVtYmVyPjxmb3JlaWduLWtleXM+PGtl
eSBhcHA9IkVOIiBkYi1pZD0iZXh2YXNyZngyZHRyYW9lc2FzeHAyc3pzeGEyZGY1MDI1OTJ4IiB0
aW1lc3RhbXA9IjE1ODg3Mjg0MjUiPjE5NDE8L2tleT48a2V5IGFwcD0iRU5XZWIiIGRiLWlkPSIi
PjA8L2tleT48L2ZvcmVpZ24ta2V5cz48cmVmLXR5cGUgbmFtZT0iSm91cm5hbCBBcnRpY2xlIj4x
NzwvcmVmLXR5cGU+PGNvbnRyaWJ1dG9ycz48YXV0aG9ycz48YXV0aG9yPkd1aWxsZW1ldHRlLCBM
LjwvYXV0aG9yPjxhdXRob3I+SGF5LCBKLiBMLjwvYXV0aG9yPjxhdXRob3I+S2VobGVyLCBELiBT
LjwvYXV0aG9yPjxhdXRob3I+SGFtbSwgTi4gQy48L2F1dGhvcj48YXV0aG9yPk9sZGZpZWxkLCBD
LjwvYXV0aG9yPjxhdXRob3I+TWNHYXZvY2ssIEouIE0uPC9hdXRob3I+PGF1dGhvcj5EdWhhbWVs
LCBULiBBLjwvYXV0aG9yPjwvYXV0aG9ycz48L2NvbnRyaWJ1dG9ycz48YXV0aC1hZGRyZXNzPkNo
aWxkcmVuJmFwb3M7cyBIb3NwaXRhbCBSZXNlYXJjaCBJbnN0aXR1dGUgb2YgTWFuaXRvYmEsIEpv
aG4gQnVobGVyIFJlc2VhcmNoIENlbnRlciwgVW5pdmVyc2l0eSBvZiBNYW5pdG9iYSwgNTExLTcx
NSBNY0Rlcm1vdCBBdmVudWUsIFdpbm5pcGVnLCBNQiwgUjNFIDNQNCwgQ2FuYWRhLiBMR3VpbGxl
bWV0dGVAY2hyaW0uY2EuJiN4RDtIZWFsdGgsIExlaXN1cmUgJmFtcDsgSHVtYW4gUGVyZm9ybWFu
Y2UgUmVzZWFyY2ggSW5zdGl0dXRlLCBGYWN1bHR5IG9mIEtpbmVzaW9sb2d5ICZhbXA7IFJlY3Jl
YXRpb24gTWFuYWdlbWVudCwgVW5pdmVyc2l0eSBvZiBNYW5pdG9iYSwgV2lubmlwZWcsIE1CLCBD
YW5hZGEuIExHdWlsbGVtZXR0ZUBjaHJpbS5jYS4mI3hEO0hlYWx0aCwgTGVpc3VyZSAmYW1wOyBI
dW1hbiBQZXJmb3JtYW5jZSBSZXNlYXJjaCBJbnN0aXR1dGUsIEZhY3VsdHkgb2YgS2luZXNpb2xv
Z3kgJmFtcDsgUmVjcmVhdGlvbiBNYW5hZ2VtZW50LCBVbml2ZXJzaXR5IG9mIE1hbml0b2JhLCBX
aW5uaXBlZywgTUIsIENhbmFkYS4mI3hEO0luc3RpdHV0ZSBvZiBDYXJkaW92YXNjdWxhciBTY2ll
bmNlcywgU3QuIEJvbmlmYWNlIEhvc3BpdGFsIFJlc2VhcmNoIENlbnRyZSwgV2lubmlwZWcsIE1C
LCBDYW5hZGEuJiN4RDtDaGlsZHJlbiZhcG9zO3MgSG9zcGl0YWwgUmVzZWFyY2ggSW5zdGl0dXRl
IG9mIE1hbml0b2JhLCBKb2huIEJ1aGxlciBSZXNlYXJjaCBDZW50ZXIsIFVuaXZlcnNpdHkgb2Yg
TWFuaXRvYmEsIDUxMS03MTUgTWNEZXJtb3QgQXZlbnVlLCBXaW5uaXBlZywgTUIsIFIzRSAzUDQs
IENhbmFkYS48L2F1dGgtYWRkcmVzcz48dGl0bGVzPjx0aXRsZT5FeGVyY2lzZSBpbiBwcmVnbmFu
Y3kgYW5kIGNoaWxkcmVuJmFwb3M7cyBjYXJkaW9tZXRhYm9saWMgcmlzayBmYWN0b3JzOiBBIHN5
c3RlbWF0aWMgcmV2aWV3IGFuZCBtZXRhLWFuYWx5c2lzPC90aXRsZT48c2Vjb25kYXJ5LXRpdGxl
PlNwb3J0cyBNZWQgT3Blbjwvc2Vjb25kYXJ5LXRpdGxlPjwvdGl0bGVzPjxwZXJpb2RpY2FsPjxm
dWxsLXRpdGxlPlNwb3J0cyBNZWQgT3BlbjwvZnVsbC10aXRsZT48L3BlcmlvZGljYWw+PHBhZ2Vz
PjM1PC9wYWdlcz48dm9sdW1lPjQ8L3ZvbHVtZT48bnVtYmVyPjE8L251bWJlcj48ZWRpdGlvbj4y
MDE4LzA4LzAzPC9lZGl0aW9uPjxrZXl3b3Jkcz48a2V5d29yZD5CaXJ0aCB3ZWlnaHQ8L2tleXdv
cmQ+PGtleXdvcmQ+Q2FyZGlvbWV0YWJvbGljIGhlYWx0aDwva2V5d29yZD48a2V5d29yZD5EZXZl
bG9wbWVudGFsIG9yaWdpbnMgb2YgaGVhbHRoIGFuZCBkaXNlYXNlPC9rZXl3b3JkPjxrZXl3b3Jk
PkZhdCBtYXNzPC9rZXl3b3JkPjxrZXl3b3JkPk9mZnNwcmluZzwva2V5d29yZD48a2V5d29yZD5Q
cmVuYXRhbCBleGVyY2lzZTwva2V5d29yZD48L2tleXdvcmRzPjxkYXRlcz48eWVhcj4yMDE4PC95
ZWFyPjxwdWItZGF0ZXM+PGRhdGU+QXVnIDI8L2RhdGU+PC9wdWItZGF0ZXM+PC9kYXRlcz48aXNi
bj4yMTk5LTExNzAgKFByaW50KSYjeEQ7MjE5OC05NzYxIChMaW5raW5nKTwvaXNibj48YWNjZXNz
aW9uLW51bT4zMDA2OTgwMTwvYWNjZXNzaW9uLW51bT48dXJscz48cmVsYXRlZC11cmxzPjx1cmw+
aHR0cHM6Ly93d3cubmNiaS5ubG0ubmloLmdvdi9wdWJtZWQvMzAwNjk4MDE8L3VybD48L3JlbGF0
ZWQtdXJscz48L3VybHM+PGN1c3RvbTI+UE1DNjA3MDQ0OTwvY3VzdG9tMj48ZWxlY3Ryb25pYy1y
ZXNvdXJjZS1udW0+MTAuMTE4Ni9zNDA3OTgtMDE4LTAxNDgteDwvZWxlY3Ryb25pYy1yZXNvdXJj
ZS1udW0+PC9yZWNvcmQ+PC9DaXRlPjwvRW5kTm90ZT4A
</w:fldData>
              </w:fldChar>
            </w:r>
            <w:r w:rsidR="002747EA">
              <w:rPr>
                <w:noProof/>
              </w:rPr>
              <w:instrText xml:space="preserve"> ADDIN EN.CITE </w:instrText>
            </w:r>
            <w:r w:rsidR="002747EA">
              <w:rPr>
                <w:noProof/>
              </w:rPr>
              <w:fldChar w:fldCharType="begin">
                <w:fldData xml:space="preserve">PEVuZE5vdGU+PENpdGU+PEF1dGhvcj5HdWlsbGVtZXR0ZTwvQXV0aG9yPjxZZWFyPjIwMTg8L1ll
YXI+PFJlY051bT4xOTQxPC9SZWNOdW0+PERpc3BsYXlUZXh0PjxzdHlsZSBmYWNlPSJzdXBlcnNj
cmlwdCIgZm9udD0iVHJlYnVjaGV0IE1TIiBzaXplPSI5Ij40ODE8L3N0eWxlPjwvRGlzcGxheVRl
eHQ+PHJlY29yZD48cmVjLW51bWJlcj4xOTQxPC9yZWMtbnVtYmVyPjxmb3JlaWduLWtleXM+PGtl
eSBhcHA9IkVOIiBkYi1pZD0iZXh2YXNyZngyZHRyYW9lc2FzeHAyc3pzeGEyZGY1MDI1OTJ4IiB0
aW1lc3RhbXA9IjE1ODg3Mjg0MjUiPjE5NDE8L2tleT48a2V5IGFwcD0iRU5XZWIiIGRiLWlkPSIi
PjA8L2tleT48L2ZvcmVpZ24ta2V5cz48cmVmLXR5cGUgbmFtZT0iSm91cm5hbCBBcnRpY2xlIj4x
NzwvcmVmLXR5cGU+PGNvbnRyaWJ1dG9ycz48YXV0aG9ycz48YXV0aG9yPkd1aWxsZW1ldHRlLCBM
LjwvYXV0aG9yPjxhdXRob3I+SGF5LCBKLiBMLjwvYXV0aG9yPjxhdXRob3I+S2VobGVyLCBELiBT
LjwvYXV0aG9yPjxhdXRob3I+SGFtbSwgTi4gQy48L2F1dGhvcj48YXV0aG9yPk9sZGZpZWxkLCBD
LjwvYXV0aG9yPjxhdXRob3I+TWNHYXZvY2ssIEouIE0uPC9hdXRob3I+PGF1dGhvcj5EdWhhbWVs
LCBULiBBLjwvYXV0aG9yPjwvYXV0aG9ycz48L2NvbnRyaWJ1dG9ycz48YXV0aC1hZGRyZXNzPkNo
aWxkcmVuJmFwb3M7cyBIb3NwaXRhbCBSZXNlYXJjaCBJbnN0aXR1dGUgb2YgTWFuaXRvYmEsIEpv
aG4gQnVobGVyIFJlc2VhcmNoIENlbnRlciwgVW5pdmVyc2l0eSBvZiBNYW5pdG9iYSwgNTExLTcx
NSBNY0Rlcm1vdCBBdmVudWUsIFdpbm5pcGVnLCBNQiwgUjNFIDNQNCwgQ2FuYWRhLiBMR3VpbGxl
bWV0dGVAY2hyaW0uY2EuJiN4RDtIZWFsdGgsIExlaXN1cmUgJmFtcDsgSHVtYW4gUGVyZm9ybWFu
Y2UgUmVzZWFyY2ggSW5zdGl0dXRlLCBGYWN1bHR5IG9mIEtpbmVzaW9sb2d5ICZhbXA7IFJlY3Jl
YXRpb24gTWFuYWdlbWVudCwgVW5pdmVyc2l0eSBvZiBNYW5pdG9iYSwgV2lubmlwZWcsIE1CLCBD
YW5hZGEuIExHdWlsbGVtZXR0ZUBjaHJpbS5jYS4mI3hEO0hlYWx0aCwgTGVpc3VyZSAmYW1wOyBI
dW1hbiBQZXJmb3JtYW5jZSBSZXNlYXJjaCBJbnN0aXR1dGUsIEZhY3VsdHkgb2YgS2luZXNpb2xv
Z3kgJmFtcDsgUmVjcmVhdGlvbiBNYW5hZ2VtZW50LCBVbml2ZXJzaXR5IG9mIE1hbml0b2JhLCBX
aW5uaXBlZywgTUIsIENhbmFkYS4mI3hEO0luc3RpdHV0ZSBvZiBDYXJkaW92YXNjdWxhciBTY2ll
bmNlcywgU3QuIEJvbmlmYWNlIEhvc3BpdGFsIFJlc2VhcmNoIENlbnRyZSwgV2lubmlwZWcsIE1C
LCBDYW5hZGEuJiN4RDtDaGlsZHJlbiZhcG9zO3MgSG9zcGl0YWwgUmVzZWFyY2ggSW5zdGl0dXRl
IG9mIE1hbml0b2JhLCBKb2huIEJ1aGxlciBSZXNlYXJjaCBDZW50ZXIsIFVuaXZlcnNpdHkgb2Yg
TWFuaXRvYmEsIDUxMS03MTUgTWNEZXJtb3QgQXZlbnVlLCBXaW5uaXBlZywgTUIsIFIzRSAzUDQs
IENhbmFkYS48L2F1dGgtYWRkcmVzcz48dGl0bGVzPjx0aXRsZT5FeGVyY2lzZSBpbiBwcmVnbmFu
Y3kgYW5kIGNoaWxkcmVuJmFwb3M7cyBjYXJkaW9tZXRhYm9saWMgcmlzayBmYWN0b3JzOiBBIHN5
c3RlbWF0aWMgcmV2aWV3IGFuZCBtZXRhLWFuYWx5c2lzPC90aXRsZT48c2Vjb25kYXJ5LXRpdGxl
PlNwb3J0cyBNZWQgT3Blbjwvc2Vjb25kYXJ5LXRpdGxlPjwvdGl0bGVzPjxwZXJpb2RpY2FsPjxm
dWxsLXRpdGxlPlNwb3J0cyBNZWQgT3BlbjwvZnVsbC10aXRsZT48L3BlcmlvZGljYWw+PHBhZ2Vz
PjM1PC9wYWdlcz48dm9sdW1lPjQ8L3ZvbHVtZT48bnVtYmVyPjE8L251bWJlcj48ZWRpdGlvbj4y
MDE4LzA4LzAzPC9lZGl0aW9uPjxrZXl3b3Jkcz48a2V5d29yZD5CaXJ0aCB3ZWlnaHQ8L2tleXdv
cmQ+PGtleXdvcmQ+Q2FyZGlvbWV0YWJvbGljIGhlYWx0aDwva2V5d29yZD48a2V5d29yZD5EZXZl
bG9wbWVudGFsIG9yaWdpbnMgb2YgaGVhbHRoIGFuZCBkaXNlYXNlPC9rZXl3b3JkPjxrZXl3b3Jk
PkZhdCBtYXNzPC9rZXl3b3JkPjxrZXl3b3JkPk9mZnNwcmluZzwva2V5d29yZD48a2V5d29yZD5Q
cmVuYXRhbCBleGVyY2lzZTwva2V5d29yZD48L2tleXdvcmRzPjxkYXRlcz48eWVhcj4yMDE4PC95
ZWFyPjxwdWItZGF0ZXM+PGRhdGU+QXVnIDI8L2RhdGU+PC9wdWItZGF0ZXM+PC9kYXRlcz48aXNi
bj4yMTk5LTExNzAgKFByaW50KSYjeEQ7MjE5OC05NzYxIChMaW5raW5nKTwvaXNibj48YWNjZXNz
aW9uLW51bT4zMDA2OTgwMTwvYWNjZXNzaW9uLW51bT48dXJscz48cmVsYXRlZC11cmxzPjx1cmw+
aHR0cHM6Ly93d3cubmNiaS5ubG0ubmloLmdvdi9wdWJtZWQvMzAwNjk4MDE8L3VybD48L3JlbGF0
ZWQtdXJscz48L3VybHM+PGN1c3RvbTI+UE1DNjA3MDQ0OTwvY3VzdG9tMj48ZWxlY3Ryb25pYy1y
ZXNvdXJjZS1udW0+MTAuMTE4Ni9zNDA3OTgtMDE4LTAxNDgteDwvZWxlY3Ryb25pYy1yZXNvdXJj
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481</w:t>
            </w:r>
            <w:r w:rsidR="00D07346">
              <w:rPr>
                <w:noProof/>
              </w:rPr>
              <w:fldChar w:fldCharType="end"/>
            </w:r>
          </w:p>
        </w:tc>
        <w:tc>
          <w:tcPr>
            <w:tcW w:w="2547" w:type="dxa"/>
          </w:tcPr>
          <w:p w14:paraId="219FC4FC" w14:textId="7B03B64D" w:rsidR="0002532B" w:rsidRDefault="00FD63C3" w:rsidP="0002532B">
            <w:pPr>
              <w:pStyle w:val="RCTstable"/>
            </w:pPr>
            <w:r>
              <w:t>Mixed BMIs</w:t>
            </w:r>
          </w:p>
        </w:tc>
        <w:tc>
          <w:tcPr>
            <w:tcW w:w="2982" w:type="dxa"/>
          </w:tcPr>
          <w:p w14:paraId="0954B9A3" w14:textId="41A1EE88" w:rsidR="0002532B" w:rsidRDefault="00FD63C3" w:rsidP="00531C07">
            <w:pPr>
              <w:pStyle w:val="RCTstable"/>
              <w:jc w:val="center"/>
              <w:rPr>
                <w:rFonts w:eastAsiaTheme="majorEastAsia"/>
              </w:rPr>
            </w:pPr>
            <w:r>
              <w:rPr>
                <w:rFonts w:eastAsiaTheme="majorEastAsia"/>
              </w:rPr>
              <w:t>RR 0.85 (0.51 to 1.44)</w:t>
            </w:r>
          </w:p>
        </w:tc>
        <w:tc>
          <w:tcPr>
            <w:tcW w:w="1134" w:type="dxa"/>
          </w:tcPr>
          <w:p w14:paraId="12625DA3" w14:textId="7C48A4A7" w:rsidR="0002532B" w:rsidRDefault="00FD63C3" w:rsidP="0002532B">
            <w:pPr>
              <w:pStyle w:val="RCTstable"/>
              <w:jc w:val="center"/>
            </w:pPr>
            <w:r>
              <w:t>7</w:t>
            </w:r>
          </w:p>
        </w:tc>
      </w:tr>
      <w:tr w:rsidR="00A5540F" w:rsidRPr="00B87066" w14:paraId="1B23C5A9" w14:textId="77777777" w:rsidTr="00A5540F">
        <w:tc>
          <w:tcPr>
            <w:tcW w:w="2841" w:type="dxa"/>
            <w:vMerge w:val="restart"/>
            <w:shd w:val="clear" w:color="auto" w:fill="auto"/>
          </w:tcPr>
          <w:p w14:paraId="22ABC40D" w14:textId="32758A45" w:rsidR="00A5540F" w:rsidRDefault="00A5540F" w:rsidP="002747EA">
            <w:pPr>
              <w:pStyle w:val="RCTstable"/>
            </w:pPr>
            <w:r w:rsidRPr="00C12274">
              <w:rPr>
                <w:noProof/>
              </w:rPr>
              <w:t>International Weight Management in Pregnancy Collaborative</w:t>
            </w:r>
            <w:r>
              <w:rPr>
                <w:noProof/>
              </w:rPr>
              <w:t xml:space="preserve"> </w:t>
            </w:r>
            <w:r w:rsidRPr="00C12274">
              <w:rPr>
                <w:noProof/>
              </w:rPr>
              <w:t>2017</w:t>
            </w:r>
            <w:r>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415</w:t>
            </w:r>
            <w:r>
              <w:rPr>
                <w:noProof/>
              </w:rPr>
              <w:fldChar w:fldCharType="end"/>
            </w:r>
          </w:p>
        </w:tc>
        <w:tc>
          <w:tcPr>
            <w:tcW w:w="2547" w:type="dxa"/>
            <w:shd w:val="clear" w:color="auto" w:fill="auto"/>
          </w:tcPr>
          <w:p w14:paraId="328CF181" w14:textId="77777777" w:rsidR="00A5540F"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w:t>
            </w:r>
          </w:p>
        </w:tc>
        <w:tc>
          <w:tcPr>
            <w:tcW w:w="2982" w:type="dxa"/>
            <w:shd w:val="clear" w:color="auto" w:fill="auto"/>
          </w:tcPr>
          <w:p w14:paraId="64199FFA" w14:textId="77777777" w:rsidR="00A5540F" w:rsidRDefault="00A5540F" w:rsidP="00A5540F">
            <w:pPr>
              <w:pStyle w:val="RCTstable"/>
              <w:jc w:val="center"/>
            </w:pPr>
            <w:r>
              <w:t>OR 0.96 (0.59 to 1.54)</w:t>
            </w:r>
          </w:p>
        </w:tc>
        <w:tc>
          <w:tcPr>
            <w:tcW w:w="1134" w:type="dxa"/>
            <w:shd w:val="clear" w:color="auto" w:fill="auto"/>
          </w:tcPr>
          <w:p w14:paraId="461B29EA" w14:textId="77777777" w:rsidR="00A5540F" w:rsidRDefault="00A5540F" w:rsidP="00A5540F">
            <w:pPr>
              <w:pStyle w:val="RCTstable"/>
              <w:jc w:val="center"/>
            </w:pPr>
            <w:r>
              <w:t>15</w:t>
            </w:r>
          </w:p>
        </w:tc>
      </w:tr>
      <w:tr w:rsidR="00A5540F" w:rsidRPr="00B87066" w14:paraId="325131A0" w14:textId="77777777" w:rsidTr="00A5540F">
        <w:tc>
          <w:tcPr>
            <w:tcW w:w="2841" w:type="dxa"/>
            <w:vMerge/>
            <w:shd w:val="clear" w:color="auto" w:fill="auto"/>
          </w:tcPr>
          <w:p w14:paraId="46629B18" w14:textId="77777777" w:rsidR="00A5540F" w:rsidRDefault="00A5540F" w:rsidP="00A5540F">
            <w:pPr>
              <w:pStyle w:val="RCTstable"/>
            </w:pPr>
          </w:p>
        </w:tc>
        <w:tc>
          <w:tcPr>
            <w:tcW w:w="2547" w:type="dxa"/>
            <w:shd w:val="clear" w:color="auto" w:fill="auto"/>
          </w:tcPr>
          <w:p w14:paraId="4FE4B21F" w14:textId="77777777" w:rsidR="00A5540F" w:rsidRDefault="00A5540F" w:rsidP="00A5540F">
            <w:pPr>
              <w:pStyle w:val="RCTstable"/>
            </w:pPr>
            <w:r w:rsidRPr="00C12274">
              <w:rPr>
                <w:rFonts w:ascii="Helvetica" w:hAnsi="Helvetica"/>
              </w:rPr>
              <w:t>Mixed</w:t>
            </w:r>
            <w:r>
              <w:rPr>
                <w:rFonts w:ascii="Helvetica" w:hAnsi="Helvetica"/>
              </w:rPr>
              <w:t xml:space="preserve"> BMIs</w:t>
            </w:r>
            <w:r w:rsidRPr="00C12274">
              <w:rPr>
                <w:rFonts w:ascii="Helvetica" w:hAnsi="Helvetica"/>
              </w:rPr>
              <w:t>; IPD and non-IPD</w:t>
            </w:r>
          </w:p>
        </w:tc>
        <w:tc>
          <w:tcPr>
            <w:tcW w:w="2982" w:type="dxa"/>
            <w:shd w:val="clear" w:color="auto" w:fill="auto"/>
          </w:tcPr>
          <w:p w14:paraId="13923744" w14:textId="77777777" w:rsidR="00A5540F" w:rsidRDefault="00A5540F" w:rsidP="00A5540F">
            <w:pPr>
              <w:pStyle w:val="RCTstable"/>
              <w:jc w:val="center"/>
            </w:pPr>
            <w:r>
              <w:t>OR 0.96 (0.67 to 1.37)</w:t>
            </w:r>
          </w:p>
        </w:tc>
        <w:tc>
          <w:tcPr>
            <w:tcW w:w="1134" w:type="dxa"/>
            <w:shd w:val="clear" w:color="auto" w:fill="auto"/>
          </w:tcPr>
          <w:p w14:paraId="6B5EE3AC" w14:textId="77777777" w:rsidR="00A5540F" w:rsidRDefault="00A5540F" w:rsidP="00A5540F">
            <w:pPr>
              <w:pStyle w:val="RCTstable"/>
              <w:jc w:val="center"/>
            </w:pPr>
            <w:r>
              <w:t>21</w:t>
            </w:r>
          </w:p>
        </w:tc>
      </w:tr>
      <w:tr w:rsidR="00A5540F" w:rsidRPr="00B87066" w14:paraId="1B009F66" w14:textId="77777777" w:rsidTr="00A5540F">
        <w:tc>
          <w:tcPr>
            <w:tcW w:w="2841" w:type="dxa"/>
            <w:shd w:val="clear" w:color="auto" w:fill="auto"/>
          </w:tcPr>
          <w:p w14:paraId="6FE98F94" w14:textId="28A42B15" w:rsidR="00A5540F"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shd w:val="clear" w:color="auto" w:fill="auto"/>
          </w:tcPr>
          <w:p w14:paraId="6E361367" w14:textId="77777777" w:rsidR="00A5540F" w:rsidRDefault="00A5540F" w:rsidP="00A5540F">
            <w:pPr>
              <w:pStyle w:val="RCTstable"/>
            </w:pPr>
            <w:r w:rsidRPr="00C12274">
              <w:t>Mixed</w:t>
            </w:r>
            <w:r>
              <w:t xml:space="preserve"> BMIs</w:t>
            </w:r>
          </w:p>
        </w:tc>
        <w:tc>
          <w:tcPr>
            <w:tcW w:w="2982" w:type="dxa"/>
            <w:shd w:val="clear" w:color="auto" w:fill="auto"/>
          </w:tcPr>
          <w:p w14:paraId="2B935353" w14:textId="77777777" w:rsidR="00A5540F" w:rsidRDefault="00A5540F" w:rsidP="00A5540F">
            <w:pPr>
              <w:pStyle w:val="RCTstable"/>
              <w:jc w:val="center"/>
            </w:pPr>
            <w:r>
              <w:t>RR 0.37 (0.06 to 2.30)</w:t>
            </w:r>
          </w:p>
        </w:tc>
        <w:tc>
          <w:tcPr>
            <w:tcW w:w="1134" w:type="dxa"/>
            <w:shd w:val="clear" w:color="auto" w:fill="auto"/>
          </w:tcPr>
          <w:p w14:paraId="4DF06933" w14:textId="77777777" w:rsidR="00A5540F" w:rsidRDefault="00A5540F" w:rsidP="00A5540F">
            <w:pPr>
              <w:pStyle w:val="RCTstable"/>
              <w:jc w:val="center"/>
            </w:pPr>
            <w:r>
              <w:t>2</w:t>
            </w:r>
          </w:p>
        </w:tc>
      </w:tr>
      <w:tr w:rsidR="00A5540F" w:rsidRPr="00B87066" w14:paraId="4316D949" w14:textId="77777777" w:rsidTr="00A5540F">
        <w:tc>
          <w:tcPr>
            <w:tcW w:w="2841" w:type="dxa"/>
            <w:shd w:val="clear" w:color="auto" w:fill="auto"/>
          </w:tcPr>
          <w:p w14:paraId="01EFC5AE" w14:textId="368A2500"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667F4B79" w14:textId="77777777" w:rsidR="00A5540F" w:rsidRPr="00C12274" w:rsidRDefault="00A5540F" w:rsidP="00A5540F">
            <w:pPr>
              <w:pStyle w:val="RCTstable"/>
            </w:pPr>
            <w:r>
              <w:t>Mixed BMIs</w:t>
            </w:r>
          </w:p>
        </w:tc>
        <w:tc>
          <w:tcPr>
            <w:tcW w:w="2982" w:type="dxa"/>
            <w:shd w:val="clear" w:color="auto" w:fill="auto"/>
          </w:tcPr>
          <w:p w14:paraId="3C7F41B1" w14:textId="77777777" w:rsidR="00A5540F" w:rsidRDefault="00A5540F" w:rsidP="00A5540F">
            <w:pPr>
              <w:pStyle w:val="RCTstable"/>
              <w:jc w:val="center"/>
            </w:pPr>
            <w:r>
              <w:t>RR 0.52 (0.25 to 1.09)</w:t>
            </w:r>
          </w:p>
        </w:tc>
        <w:tc>
          <w:tcPr>
            <w:tcW w:w="1134" w:type="dxa"/>
            <w:shd w:val="clear" w:color="auto" w:fill="auto"/>
          </w:tcPr>
          <w:p w14:paraId="790800E2" w14:textId="77777777" w:rsidR="00A5540F" w:rsidRDefault="00A5540F" w:rsidP="00A5540F">
            <w:pPr>
              <w:pStyle w:val="RCTstable"/>
              <w:jc w:val="center"/>
            </w:pPr>
            <w:r>
              <w:t>4</w:t>
            </w:r>
          </w:p>
        </w:tc>
      </w:tr>
      <w:tr w:rsidR="00A5540F" w:rsidRPr="00C12274" w14:paraId="3909887C" w14:textId="77777777" w:rsidTr="00A5540F">
        <w:tc>
          <w:tcPr>
            <w:tcW w:w="2841" w:type="dxa"/>
          </w:tcPr>
          <w:p w14:paraId="5E9A90AC" w14:textId="6D5FA834" w:rsidR="00A5540F" w:rsidRPr="00C12274" w:rsidRDefault="00A5540F" w:rsidP="002747EA">
            <w:pPr>
              <w:pStyle w:val="RCTstable"/>
            </w:pPr>
            <w:r w:rsidRPr="00C12274">
              <w:rPr>
                <w:noProof/>
              </w:rPr>
              <w:t>da Silva et al 2017b</w:t>
            </w:r>
            <w:r>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 </w:instrText>
            </w:r>
            <w:r w:rsidR="002747EA">
              <w:fldChar w:fldCharType="begin">
                <w:fldData xml:space="preserve">PEVuZE5vdGU+PENpdGU+PEF1dGhvcj5kYSBTaWx2YTwvQXV0aG9yPjxZZWFyPjIwMTc8L1llYXI+
PFJlY051bT41NzA8L1JlY051bT48RGlzcGxheVRleHQ+PHN0eWxlIGZhY2U9InN1cGVyc2NyaXB0
IiBmb250PSJUcmVidWNoZXQgTVMiIHNpemU9IjkiPjQ1Njwvc3R5bGU+PC9EaXNwbGF5VGV4dD48
cmVjb3JkPjxyZWMtbnVtYmVyPjU3MDwvcmVjLW51bWJlcj48Zm9yZWlnbi1rZXlzPjxrZXkgYXBw
PSJFTiIgZGItaWQ9ImV4dmFzcmZ4MmR0cmFvZXNhc3hwMnN6c3hhMmRmNTAyNTkyeCIgdGltZXN0
YW1wPSIxNTM1OTMzODQxIj41NzA8L2tleT48a2V5IGFwcD0iRU5XZWIiIGRiLWlkPSIiPjA8L2tl
eT48L2ZvcmVpZ24ta2V5cz48cmVmLXR5cGUgbmFtZT0iSm91cm5hbCBBcnRpY2xlIj4xNzwvcmVm
LXR5cGU+PGNvbnRyaWJ1dG9ycz48YXV0aG9ycz48YXV0aG9yPmRhIFNpbHZhLCBTLiBHLjwvYXV0
aG9yPjxhdXRob3I+UmljYXJkbywgTC4gSS48L2F1dGhvcj48YXV0aG9yPkV2ZW5zb24sIEsuIFIu
PC9hdXRob3I+PGF1dGhvcj5IYWxsYWwsIFAuIEMuPC9hdXRob3I+PC9hdXRob3JzPjwvY29udHJp
YnV0b3JzPjxhdXRoLWFkZHJlc3M+UG9zdC1HcmFkdWF0ZSBQcm9ncmFtIGluIEVwaWRlbWlvbG9n
eSwgRmVkZXJhbCBVbml2ZXJzaXR5IG9mIFBlbG90YXMsIFJ1YSBNYXJlY2hhbCBEZW9kb3JvLCAx
MTYwLTMgbWFzY3VsaW5lIHBpc28sIEJhaXJybyBDZW50cm8sIFBlbG90YXMsIFJpbyBHcmFuZGUg
ZG8gU3VsLCBDRVA6IDk2MDIwLTIyMCwgQnJhemlsLCBQZWxvdGFzLCA5NjAyMC0yMjAsIFJpbyBH
cmFuZGUgZG8gU3VsLCBCcmFzaWwuIHNnaW5hckBnbWFpbC5jb20uJiN4RDtQb3N0LUdyYWR1YXRl
IFByb2dyYW0gaW4gRXBpZGVtaW9sb2d5LCBGZWRlcmFsIFVuaXZlcnNpdHkgb2YgUGVsb3Rhcywg
UnVhIE1hcmVjaGFsIERlb2Rvcm8sIDExNjAtMyBtYXNjdWxpbmUgcGlzbywgQmFpcnJvIENlbnRy
bywgUGVsb3RhcywgUmlvIEdyYW5kZSBkbyBTdWwsIENFUDogOTYwMjAtMjIwLCBCcmF6aWwsIFBl
bG90YXMsIDk2MDIwLTIyMCwgUmlvIEdyYW5kZSBkbyBTdWwsIEJyYXNpbC4mI3hEO0RlcGFydG1l
bnQgb2YgRXBpZGVtaW9sb2d5LCBHaWxsaW5ncyBTY2hvb2wgb2YgR2xvYmFsIFB1YmxpYyBIZWFs
dGgsIFVuaXZlcnNpdHkgb2YgTm9ydGggQ2Fyb2xpbmEsIENoYXBlbCBIaWxsLCBOQywgVVNBLjwv
YXV0aC1hZGRyZXNzPjx0aXRsZXM+PHRpdGxlPkxlaXN1cmUtVGltZSBQaHlzaWNhbCBBY3Rpdml0
eSBpbiBQcmVnbmFuY3kgYW5kIE1hdGVybmFsLUNoaWxkIEhlYWx0aDogQSBTeXN0ZW1hdGljIFJl
dmlldyBhbmQgTWV0YS1BbmFseXNpcyBvZiBSYW5kb21pemVkIENvbnRyb2xsZWQgVHJpYWxzIGFu
ZCBDb2hvcnQgU3R1ZGllczwvdGl0bGU+PHNlY29uZGFyeS10aXRsZT5TcG9ydHMgTWVkPC9zZWNv
bmRhcnktdGl0bGU+PC90aXRsZXM+PHBlcmlvZGljYWw+PGZ1bGwtdGl0bGU+U3BvcnRzIE1lZDwv
ZnVsbC10aXRsZT48L3BlcmlvZGljYWw+PHBhZ2VzPjI5NS0zMTc8L3BhZ2VzPjx2b2x1bWU+NDc8
L3ZvbHVtZT48bnVtYmVyPjI8L251bWJlcj48ZWRpdGlvbj4yMDE2LzA2LzExPC9lZGl0aW9uPjxr
ZXl3b3Jkcz48a2V5d29yZD5DaGlsZDwva2V5d29yZD48a2V5d29yZD5DaGlsZCBIZWFsdGg8L2tl
eXdvcmQ+PGtleXdvcmQ+Q29ob3J0IFN0dWRpZXM8L2tleXdvcmQ+PGtleXdvcmQ+RGlhYmV0ZXMs
IEdlc3RhdGlvbmFsL3ByZXZlbnRpb24gJmFtcDsgY29udHJvbDwva2V5d29yZD48a2V5d29yZD4q
RXhlcmNpc2U8L2tleXdvcmQ+PGtleXdvcmQ+RmVtYWxlPC9rZXl3b3JkPjxrZXl3b3JkPkh1bWFu
czwva2V5d29yZD48a2V5d29yZD4qTGVpc3VyZSBBY3Rpdml0aWVzPC9rZXl3b3JkPjxrZXl3b3Jk
Pk92ZXJ3ZWlnaHQvcHJldmVudGlvbiAmYW1wOyBjb250cm9sPC9rZXl3b3JkPjxrZXl3b3JkPlBy
ZS1FY2xhbXBzaWEvcHJldmVudGlvbiAmYW1wOyBjb250cm9sPC9rZXl3b3JkPjxrZXl3b3JkPlBy
ZWduYW5jeTwva2V5d29yZD48a2V5d29yZD4qUHJlZ25hbmN5IE91dGNvbWU8L2tleXdvcmQ+PGtl
eXdvcmQ+UHJlbWF0dXJlIEJpcnRoPC9rZXl3b3JkPjxrZXl3b3JkPipSYW5kb21pemVkIENvbnRy
b2xsZWQgVHJpYWxzIGFzIFRvcGljPC9rZXl3b3JkPjxrZXl3b3JkPipXZWlnaHQgR2Fpbjwva2V5
d29yZD48L2tleXdvcmRzPjxkYXRlcz48eWVhcj4yMDE3PC95ZWFyPjxwdWItZGF0ZXM+PGRhdGU+
RmViPC9kYXRlPjwvcHViLWRhdGVzPjwvZGF0ZXM+PGlzYm4+MTE3OS0yMDM1IChFbGVjdHJvbmlj
KSYjeEQ7MDExMi0xNjQyIChMaW5raW5nKTwvaXNibj48YWNjZXNzaW9uLW51bT4yNzI4MjkyNTwv
YWNjZXNzaW9uLW51bT48dXJscz48cmVsYXRlZC11cmxzPjx1cmw+aHR0cHM6Ly93d3cubmNiaS5u
bG0ubmloLmdvdi9wdWJtZWQvMjcyODI5MjU8L3VybD48L3JlbGF0ZWQtdXJscz48L3VybHM+PGVs
ZWN0cm9uaWMtcmVzb3VyY2UtbnVtPjEwLjEwMDcvczQwMjc5LTAxNi0wNTY1LTI8L2VsZWN0cm9u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456</w:t>
            </w:r>
            <w:r>
              <w:fldChar w:fldCharType="end"/>
            </w:r>
          </w:p>
        </w:tc>
        <w:tc>
          <w:tcPr>
            <w:tcW w:w="2547" w:type="dxa"/>
          </w:tcPr>
          <w:p w14:paraId="6AACF770" w14:textId="77777777" w:rsidR="00A5540F" w:rsidRPr="00C12274" w:rsidRDefault="00A5540F" w:rsidP="00A5540F">
            <w:pPr>
              <w:pStyle w:val="RCTstable"/>
            </w:pPr>
            <w:r>
              <w:t>Mixed</w:t>
            </w:r>
            <w:r w:rsidRPr="00C12274">
              <w:t xml:space="preserve"> </w:t>
            </w:r>
            <w:r>
              <w:t>BMIs</w:t>
            </w:r>
          </w:p>
        </w:tc>
        <w:tc>
          <w:tcPr>
            <w:tcW w:w="2982" w:type="dxa"/>
          </w:tcPr>
          <w:p w14:paraId="089D858B" w14:textId="77777777" w:rsidR="00A5540F" w:rsidRPr="00BE0624" w:rsidRDefault="00A5540F" w:rsidP="00A5540F">
            <w:pPr>
              <w:pStyle w:val="RCTstable"/>
              <w:jc w:val="center"/>
            </w:pPr>
            <w:r>
              <w:rPr>
                <w:rFonts w:eastAsiaTheme="majorEastAsia"/>
              </w:rPr>
              <w:t>RR 0.51 (0.30 to 0.87)</w:t>
            </w:r>
          </w:p>
        </w:tc>
        <w:tc>
          <w:tcPr>
            <w:tcW w:w="1134" w:type="dxa"/>
          </w:tcPr>
          <w:p w14:paraId="1E18D0A8" w14:textId="77777777" w:rsidR="00A5540F" w:rsidRPr="00BE0624" w:rsidRDefault="00A5540F" w:rsidP="00A5540F">
            <w:pPr>
              <w:pStyle w:val="RCTstable"/>
              <w:jc w:val="center"/>
            </w:pPr>
            <w:r>
              <w:t>3</w:t>
            </w:r>
          </w:p>
        </w:tc>
      </w:tr>
      <w:tr w:rsidR="00A5540F" w:rsidRPr="00C12274" w14:paraId="13E8376C" w14:textId="77777777" w:rsidTr="00A5540F">
        <w:tc>
          <w:tcPr>
            <w:tcW w:w="2841" w:type="dxa"/>
          </w:tcPr>
          <w:p w14:paraId="3DC5D384" w14:textId="7DEA20D2" w:rsidR="00A5540F" w:rsidRPr="00C12274" w:rsidRDefault="00A5540F" w:rsidP="002747EA">
            <w:pPr>
              <w:pStyle w:val="RCTstable"/>
              <w:rPr>
                <w:noProof/>
              </w:rPr>
            </w:pPr>
            <w:r>
              <w:rPr>
                <w:noProof/>
              </w:rPr>
              <w:t>Wiebe et al 2015</w:t>
            </w:r>
            <w:r>
              <w:rPr>
                <w:noProof/>
              </w:rPr>
              <w:fldChar w:fldCharType="begin"/>
            </w:r>
            <w:r w:rsidR="002747EA">
              <w:rPr>
                <w:noProof/>
              </w:rPr>
              <w:instrText xml:space="preserve"> ADDIN EN.CITE &lt;EndNote&gt;&lt;Cite&gt;&lt;Author&gt;Wiebe&lt;/Author&gt;&lt;Year&gt;2015&lt;/Year&gt;&lt;RecNum&gt;583&lt;/RecNum&gt;&lt;DisplayText&gt;&lt;style face="superscript" font="Trebuchet MS" size="9"&gt;459&lt;/style&gt;&lt;/DisplayText&gt;&lt;record&gt;&lt;rec-number&gt;583&lt;/rec-number&gt;&lt;foreign-keys&gt;&lt;key app="EN" db-id="exvasrfx2dtraoesasxp2szsxa2df502592x" timestamp="1536367432"&gt;583&lt;/key&gt;&lt;/foreign-keys&gt;&lt;ref-type name="Journal Article"&gt;17&lt;/ref-type&gt;&lt;contributors&gt;&lt;authors&gt;&lt;author&gt;Wiebe, H. W.&lt;/author&gt;&lt;author&gt;Boule, N. G.&lt;/author&gt;&lt;author&gt;Chari, R.&lt;/author&gt;&lt;author&gt;Davenport, M. H.&lt;/author&gt;&lt;/authors&gt;&lt;/contributors&gt;&lt;auth-address&gt;Program for Pregnancy and Postpartum Health and Physical Activity and Diabetes Laboratory, Faculty of Physical Education and Recreation, the Women and Children&amp;apos;s Health Research Institute, the Alberta Diabetes Institute, and the Department of Obstetrics and Gynecology, University of Alberta, Edmonton, Alberta, Canada.&lt;/auth-address&gt;&lt;titles&gt;&lt;title&gt;The effect of supervised prenatal exercise on fetal growth: a meta-analysis&lt;/title&gt;&lt;secondary-title&gt;Obstet Gynecol&lt;/secondary-title&gt;&lt;/titles&gt;&lt;periodical&gt;&lt;full-title&gt;Obstet Gynecol&lt;/full-title&gt;&lt;/periodical&gt;&lt;pages&gt;1185-94&lt;/pages&gt;&lt;volume&gt;125&lt;/volume&gt;&lt;number&gt;5&lt;/number&gt;&lt;edition&gt;2015/05/02&lt;/edition&gt;&lt;keywords&gt;&lt;keyword&gt;Birth Weight/*physiology&lt;/keyword&gt;&lt;keyword&gt;Exercise/*physiology&lt;/keyword&gt;&lt;keyword&gt;Female&lt;/keyword&gt;&lt;keyword&gt;Fetal Development/*physiology&lt;/keyword&gt;&lt;keyword&gt;Fetal Macrosomia/epidemiology/prevention &amp;amp; control&lt;/keyword&gt;&lt;keyword&gt;Fetus/*physiology&lt;/keyword&gt;&lt;keyword&gt;Humans&lt;/keyword&gt;&lt;keyword&gt;Pregnancy&lt;/keyword&gt;&lt;keyword&gt;Pregnancy Outcome&lt;/keyword&gt;&lt;keyword&gt;Prenatal Care&lt;/keyword&gt;&lt;keyword&gt;Standard of Care&lt;/keyword&gt;&lt;/keywords&gt;&lt;dates&gt;&lt;year&gt;2015&lt;/year&gt;&lt;pub-dates&gt;&lt;date&gt;May&lt;/date&gt;&lt;/pub-dates&gt;&lt;/dates&gt;&lt;isbn&gt;1873-233X (Electronic)&amp;#xD;0029-7844 (Linking)&lt;/isbn&gt;&lt;accession-num&gt;25932847&lt;/accession-num&gt;&lt;urls&gt;&lt;related-urls&gt;&lt;url&gt;https://www.ncbi.nlm.nih.gov/pubmed/25932847&lt;/url&gt;&lt;/related-urls&gt;&lt;/urls&gt;&lt;electronic-resource-num&gt;10.1097/AOG.0000000000000801&lt;/electronic-resource-num&gt;&lt;/record&gt;&lt;/Cite&gt;&lt;/EndNote&gt;</w:instrText>
            </w:r>
            <w:r>
              <w:rPr>
                <w:noProof/>
              </w:rPr>
              <w:fldChar w:fldCharType="separate"/>
            </w:r>
            <w:r w:rsidR="002747EA" w:rsidRPr="002747EA">
              <w:rPr>
                <w:noProof/>
                <w:sz w:val="18"/>
                <w:vertAlign w:val="superscript"/>
              </w:rPr>
              <w:t>459</w:t>
            </w:r>
            <w:r>
              <w:rPr>
                <w:noProof/>
              </w:rPr>
              <w:fldChar w:fldCharType="end"/>
            </w:r>
          </w:p>
        </w:tc>
        <w:tc>
          <w:tcPr>
            <w:tcW w:w="2547" w:type="dxa"/>
          </w:tcPr>
          <w:p w14:paraId="695039F4" w14:textId="77777777" w:rsidR="00A5540F" w:rsidRDefault="00A5540F" w:rsidP="00A5540F">
            <w:pPr>
              <w:pStyle w:val="RCTstable"/>
            </w:pPr>
            <w:r>
              <w:t>Low risk</w:t>
            </w:r>
          </w:p>
        </w:tc>
        <w:tc>
          <w:tcPr>
            <w:tcW w:w="2982" w:type="dxa"/>
          </w:tcPr>
          <w:p w14:paraId="45CC3F06" w14:textId="77777777" w:rsidR="00A5540F" w:rsidRDefault="00A5540F" w:rsidP="00A5540F">
            <w:pPr>
              <w:pStyle w:val="RCTstable"/>
              <w:jc w:val="center"/>
              <w:rPr>
                <w:rFonts w:eastAsiaTheme="majorEastAsia"/>
              </w:rPr>
            </w:pPr>
            <w:r>
              <w:rPr>
                <w:rFonts w:eastAsiaTheme="majorEastAsia"/>
              </w:rPr>
              <w:t>OR 0.68 (0.54 to 0.87)</w:t>
            </w:r>
          </w:p>
        </w:tc>
        <w:tc>
          <w:tcPr>
            <w:tcW w:w="1134" w:type="dxa"/>
          </w:tcPr>
          <w:p w14:paraId="479AACE9" w14:textId="77777777" w:rsidR="00A5540F" w:rsidRDefault="00A5540F" w:rsidP="00A5540F">
            <w:pPr>
              <w:pStyle w:val="RCTstable"/>
              <w:jc w:val="center"/>
            </w:pPr>
            <w:r>
              <w:t>13</w:t>
            </w:r>
          </w:p>
        </w:tc>
      </w:tr>
      <w:tr w:rsidR="00A5540F" w:rsidRPr="00C12274" w14:paraId="72AD181F" w14:textId="77777777" w:rsidTr="00A5540F">
        <w:tc>
          <w:tcPr>
            <w:tcW w:w="2841" w:type="dxa"/>
          </w:tcPr>
          <w:p w14:paraId="4EA2D65E" w14:textId="697BC6F9" w:rsidR="00A5540F" w:rsidRPr="00C12274" w:rsidRDefault="00A5540F" w:rsidP="002747EA">
            <w:pPr>
              <w:pStyle w:val="RCTstable"/>
              <w:rPr>
                <w:noProof/>
              </w:rPr>
            </w:pPr>
            <w:r>
              <w:rPr>
                <w:noProof/>
              </w:rPr>
              <w:t>Wiebe et al 2015</w:t>
            </w:r>
            <w:r>
              <w:rPr>
                <w:noProof/>
              </w:rPr>
              <w:fldChar w:fldCharType="begin"/>
            </w:r>
            <w:r w:rsidR="002747EA">
              <w:rPr>
                <w:noProof/>
              </w:rPr>
              <w:instrText xml:space="preserve"> ADDIN EN.CITE &lt;EndNote&gt;&lt;Cite&gt;&lt;Author&gt;Wiebe&lt;/Author&gt;&lt;Year&gt;2015&lt;/Year&gt;&lt;RecNum&gt;583&lt;/RecNum&gt;&lt;DisplayText&gt;&lt;style face="superscript" font="Trebuchet MS" size="9"&gt;459&lt;/style&gt;&lt;/DisplayText&gt;&lt;record&gt;&lt;rec-number&gt;583&lt;/rec-number&gt;&lt;foreign-keys&gt;&lt;key app="EN" db-id="exvasrfx2dtraoesasxp2szsxa2df502592x" timestamp="1536367432"&gt;583&lt;/key&gt;&lt;/foreign-keys&gt;&lt;ref-type name="Journal Article"&gt;17&lt;/ref-type&gt;&lt;contributors&gt;&lt;authors&gt;&lt;author&gt;Wiebe, H. W.&lt;/author&gt;&lt;author&gt;Boule, N. G.&lt;/author&gt;&lt;author&gt;Chari, R.&lt;/author&gt;&lt;author&gt;Davenport, M. H.&lt;/author&gt;&lt;/authors&gt;&lt;/contributors&gt;&lt;auth-address&gt;Program for Pregnancy and Postpartum Health and Physical Activity and Diabetes Laboratory, Faculty of Physical Education and Recreation, the Women and Children&amp;apos;s Health Research Institute, the Alberta Diabetes Institute, and the Department of Obstetrics and Gynecology, University of Alberta, Edmonton, Alberta, Canada.&lt;/auth-address&gt;&lt;titles&gt;&lt;title&gt;The effect of supervised prenatal exercise on fetal growth: a meta-analysis&lt;/title&gt;&lt;secondary-title&gt;Obstet Gynecol&lt;/secondary-title&gt;&lt;/titles&gt;&lt;periodical&gt;&lt;full-title&gt;Obstet Gynecol&lt;/full-title&gt;&lt;/periodical&gt;&lt;pages&gt;1185-94&lt;/pages&gt;&lt;volume&gt;125&lt;/volume&gt;&lt;number&gt;5&lt;/number&gt;&lt;edition&gt;2015/05/02&lt;/edition&gt;&lt;keywords&gt;&lt;keyword&gt;Birth Weight/*physiology&lt;/keyword&gt;&lt;keyword&gt;Exercise/*physiology&lt;/keyword&gt;&lt;keyword&gt;Female&lt;/keyword&gt;&lt;keyword&gt;Fetal Development/*physiology&lt;/keyword&gt;&lt;keyword&gt;Fetal Macrosomia/epidemiology/prevention &amp;amp; control&lt;/keyword&gt;&lt;keyword&gt;Fetus/*physiology&lt;/keyword&gt;&lt;keyword&gt;Humans&lt;/keyword&gt;&lt;keyword&gt;Pregnancy&lt;/keyword&gt;&lt;keyword&gt;Pregnancy Outcome&lt;/keyword&gt;&lt;keyword&gt;Prenatal Care&lt;/keyword&gt;&lt;keyword&gt;Standard of Care&lt;/keyword&gt;&lt;/keywords&gt;&lt;dates&gt;&lt;year&gt;2015&lt;/year&gt;&lt;pub-dates&gt;&lt;date&gt;May&lt;/date&gt;&lt;/pub-dates&gt;&lt;/dates&gt;&lt;isbn&gt;1873-233X (Electronic)&amp;#xD;0029-7844 (Linking)&lt;/isbn&gt;&lt;accession-num&gt;25932847&lt;/accession-num&gt;&lt;urls&gt;&lt;related-urls&gt;&lt;url&gt;https://www.ncbi.nlm.nih.gov/pubmed/25932847&lt;/url&gt;&lt;/related-urls&gt;&lt;/urls&gt;&lt;electronic-resource-num&gt;10.1097/AOG.0000000000000801&lt;/electronic-resource-num&gt;&lt;/record&gt;&lt;/Cite&gt;&lt;/EndNote&gt;</w:instrText>
            </w:r>
            <w:r>
              <w:rPr>
                <w:noProof/>
              </w:rPr>
              <w:fldChar w:fldCharType="separate"/>
            </w:r>
            <w:r w:rsidR="002747EA" w:rsidRPr="002747EA">
              <w:rPr>
                <w:noProof/>
                <w:sz w:val="18"/>
                <w:vertAlign w:val="superscript"/>
              </w:rPr>
              <w:t>459</w:t>
            </w:r>
            <w:r>
              <w:rPr>
                <w:noProof/>
              </w:rPr>
              <w:fldChar w:fldCharType="end"/>
            </w:r>
          </w:p>
        </w:tc>
        <w:tc>
          <w:tcPr>
            <w:tcW w:w="2547" w:type="dxa"/>
          </w:tcPr>
          <w:p w14:paraId="5806AD76" w14:textId="77777777" w:rsidR="00A5540F" w:rsidRDefault="00A5540F" w:rsidP="00A5540F">
            <w:pPr>
              <w:pStyle w:val="RCTstable"/>
            </w:pPr>
            <w:r>
              <w:t>Overweight and obese</w:t>
            </w:r>
          </w:p>
        </w:tc>
        <w:tc>
          <w:tcPr>
            <w:tcW w:w="2982" w:type="dxa"/>
          </w:tcPr>
          <w:p w14:paraId="1339757E" w14:textId="77777777" w:rsidR="00A5540F" w:rsidRDefault="00A5540F" w:rsidP="00A5540F">
            <w:pPr>
              <w:pStyle w:val="RCTstable"/>
              <w:jc w:val="center"/>
              <w:rPr>
                <w:rFonts w:eastAsiaTheme="majorEastAsia"/>
              </w:rPr>
            </w:pPr>
            <w:r>
              <w:rPr>
                <w:rFonts w:eastAsiaTheme="majorEastAsia"/>
              </w:rPr>
              <w:t>OR 0.71 (0.36 to 1.41)</w:t>
            </w:r>
          </w:p>
        </w:tc>
        <w:tc>
          <w:tcPr>
            <w:tcW w:w="1134" w:type="dxa"/>
          </w:tcPr>
          <w:p w14:paraId="1E5D0C49" w14:textId="77777777" w:rsidR="00A5540F" w:rsidRDefault="00A5540F" w:rsidP="00A5540F">
            <w:pPr>
              <w:pStyle w:val="RCTstable"/>
              <w:jc w:val="center"/>
            </w:pPr>
            <w:r>
              <w:t>3</w:t>
            </w:r>
          </w:p>
        </w:tc>
      </w:tr>
      <w:tr w:rsidR="00A5540F" w:rsidRPr="008D54CA" w14:paraId="477AFFE2" w14:textId="77777777" w:rsidTr="00A5540F">
        <w:tc>
          <w:tcPr>
            <w:tcW w:w="9504" w:type="dxa"/>
            <w:gridSpan w:val="4"/>
            <w:shd w:val="clear" w:color="auto" w:fill="D9E2F3" w:themeFill="accent1" w:themeFillTint="33"/>
          </w:tcPr>
          <w:p w14:paraId="758341AA" w14:textId="77777777" w:rsidR="00A5540F" w:rsidRPr="008D54CA" w:rsidRDefault="00A5540F" w:rsidP="00A5540F">
            <w:pPr>
              <w:pStyle w:val="RCTstable"/>
              <w:rPr>
                <w:i/>
              </w:rPr>
            </w:pPr>
            <w:r w:rsidRPr="008D54CA">
              <w:rPr>
                <w:i/>
              </w:rPr>
              <w:t>Apgar score &lt;7 at 5 min</w:t>
            </w:r>
          </w:p>
        </w:tc>
      </w:tr>
      <w:tr w:rsidR="00A5540F" w:rsidRPr="00B87066" w14:paraId="6BF936EE" w14:textId="77777777" w:rsidTr="00A5540F">
        <w:tc>
          <w:tcPr>
            <w:tcW w:w="2841" w:type="dxa"/>
            <w:tcBorders>
              <w:bottom w:val="single" w:sz="4" w:space="0" w:color="3B3474"/>
            </w:tcBorders>
            <w:shd w:val="clear" w:color="auto" w:fill="F2F2F2" w:themeFill="background1" w:themeFillShade="F2"/>
          </w:tcPr>
          <w:p w14:paraId="54B754F2"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1842AB92"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50BCC9D8" w14:textId="77777777" w:rsidR="00A5540F" w:rsidRPr="008D54CA" w:rsidRDefault="00A5540F" w:rsidP="00A5540F">
            <w:pPr>
              <w:pStyle w:val="RCTstable"/>
              <w:jc w:val="center"/>
            </w:pPr>
            <w:r w:rsidRPr="008D54CA">
              <w:t>RR 1.23 (0.44 to 3.42)</w:t>
            </w:r>
          </w:p>
        </w:tc>
        <w:tc>
          <w:tcPr>
            <w:tcW w:w="1134" w:type="dxa"/>
            <w:tcBorders>
              <w:bottom w:val="single" w:sz="4" w:space="0" w:color="3B3474"/>
            </w:tcBorders>
            <w:shd w:val="clear" w:color="auto" w:fill="F2F2F2" w:themeFill="background1" w:themeFillShade="F2"/>
          </w:tcPr>
          <w:p w14:paraId="75983A15" w14:textId="77777777" w:rsidR="00A5540F" w:rsidRPr="00B87066" w:rsidRDefault="00A5540F" w:rsidP="00A5540F">
            <w:pPr>
              <w:pStyle w:val="RCTstable"/>
              <w:jc w:val="center"/>
            </w:pPr>
            <w:r>
              <w:t>5</w:t>
            </w:r>
          </w:p>
        </w:tc>
      </w:tr>
      <w:tr w:rsidR="00A5540F" w:rsidRPr="00B87066" w14:paraId="04FD15F8" w14:textId="77777777" w:rsidTr="00A5540F">
        <w:tc>
          <w:tcPr>
            <w:tcW w:w="2841" w:type="dxa"/>
            <w:shd w:val="clear" w:color="auto" w:fill="auto"/>
          </w:tcPr>
          <w:p w14:paraId="52BD39AD" w14:textId="63A4E534" w:rsidR="00A5540F" w:rsidRPr="00B87066" w:rsidRDefault="00A5540F" w:rsidP="002747EA">
            <w:pPr>
              <w:pStyle w:val="RCTstable"/>
            </w:pPr>
            <w:r>
              <w:t>Han et al 2012</w:t>
            </w:r>
            <w:r>
              <w:fldChar w:fldCharType="begin"/>
            </w:r>
            <w:r w:rsidR="002747EA">
              <w:instrText xml:space="preserve"> ADDIN EN.CITE &lt;EndNote&gt;&lt;Cite&gt;&lt;Author&gt;Han&lt;/Author&gt;&lt;Year&gt;2012&lt;/Year&gt;&lt;RecNum&gt;635&lt;/RecNum&gt;&lt;DisplayText&gt;&lt;style face="superscript" font="Trebuchet MS" size="9"&gt;467&lt;/style&gt;&lt;/DisplayText&gt;&lt;record&gt;&lt;rec-number&gt;635&lt;/rec-number&gt;&lt;foreign-keys&gt;&lt;key app="EN" db-id="exvasrfx2dtraoesasxp2szsxa2df502592x" timestamp="1540429015"&gt;635&lt;/key&gt;&lt;key app="ENWeb" db-id=""&gt;0&lt;/key&gt;&lt;/foreign-keys&gt;&lt;ref-type name="Journal Article"&gt;17&lt;/ref-type&gt;&lt;contributors&gt;&lt;authors&gt;&lt;author&gt;Han, S.,&lt;/author&gt;&lt;author&gt;Middleton, P.,&lt;/author&gt;&lt;author&gt;Crowther, C.A.,&lt;/author&gt;&lt;/authors&gt;&lt;/contributors&gt;&lt;titles&gt;&lt;title&gt;Exercise for pregnant women for preventing gestational diabetes mellitus&lt;/title&gt;&lt;secondary-title&gt;Cochrane Database of Systematic Reviews&lt;/secondary-title&gt;&lt;/titles&gt;&lt;periodical&gt;&lt;full-title&gt;Cochrane Database of Systematic Reviews&lt;/full-title&gt;&lt;/periodical&gt;&lt;dates&gt;&lt;year&gt;2012&lt;/year&gt;&lt;/dates&gt;&lt;isbn&gt;14651858&lt;/isbn&gt;&lt;urls&gt;&lt;/urls&gt;&lt;electronic-resource-num&gt;10.1002/14651858.CD009021.pub2&lt;/electronic-resource-num&gt;&lt;/record&gt;&lt;/Cite&gt;&lt;/EndNote&gt;</w:instrText>
            </w:r>
            <w:r>
              <w:fldChar w:fldCharType="separate"/>
            </w:r>
            <w:r w:rsidR="002747EA" w:rsidRPr="002747EA">
              <w:rPr>
                <w:noProof/>
                <w:sz w:val="18"/>
                <w:vertAlign w:val="superscript"/>
              </w:rPr>
              <w:t>467</w:t>
            </w:r>
            <w:r>
              <w:fldChar w:fldCharType="end"/>
            </w:r>
          </w:p>
        </w:tc>
        <w:tc>
          <w:tcPr>
            <w:tcW w:w="2547" w:type="dxa"/>
            <w:shd w:val="clear" w:color="auto" w:fill="auto"/>
          </w:tcPr>
          <w:p w14:paraId="405A8D5F" w14:textId="77777777" w:rsidR="00A5540F" w:rsidRPr="00B87066" w:rsidRDefault="00A5540F" w:rsidP="00A5540F">
            <w:pPr>
              <w:pStyle w:val="RCTstable"/>
            </w:pPr>
            <w:r>
              <w:t>Mixed BMIs</w:t>
            </w:r>
          </w:p>
        </w:tc>
        <w:tc>
          <w:tcPr>
            <w:tcW w:w="2982" w:type="dxa"/>
            <w:shd w:val="clear" w:color="auto" w:fill="auto"/>
          </w:tcPr>
          <w:p w14:paraId="6CEE4216" w14:textId="77777777" w:rsidR="00A5540F" w:rsidRPr="00B87066" w:rsidRDefault="00A5540F" w:rsidP="00A5540F">
            <w:pPr>
              <w:pStyle w:val="RCTstable"/>
              <w:jc w:val="center"/>
            </w:pPr>
            <w:r>
              <w:t>RR 1.00 (0.27 to 3.65)</w:t>
            </w:r>
          </w:p>
        </w:tc>
        <w:tc>
          <w:tcPr>
            <w:tcW w:w="1134" w:type="dxa"/>
            <w:shd w:val="clear" w:color="auto" w:fill="auto"/>
          </w:tcPr>
          <w:p w14:paraId="0B6A3843" w14:textId="77777777" w:rsidR="00A5540F" w:rsidRPr="00B87066" w:rsidRDefault="00A5540F" w:rsidP="00A5540F">
            <w:pPr>
              <w:pStyle w:val="RCTstable"/>
              <w:jc w:val="center"/>
            </w:pPr>
            <w:r>
              <w:t>2</w:t>
            </w:r>
          </w:p>
        </w:tc>
      </w:tr>
      <w:tr w:rsidR="00A5540F" w:rsidRPr="00B87066" w14:paraId="3BCF9359" w14:textId="77777777" w:rsidTr="00A5540F">
        <w:tc>
          <w:tcPr>
            <w:tcW w:w="2841" w:type="dxa"/>
            <w:shd w:val="clear" w:color="auto" w:fill="auto"/>
          </w:tcPr>
          <w:p w14:paraId="7C408456" w14:textId="45B5F5C6" w:rsidR="00A5540F" w:rsidRDefault="00A5540F" w:rsidP="002747EA">
            <w:pPr>
              <w:pStyle w:val="RCTstable"/>
            </w:pPr>
            <w:r>
              <w:t>Zheng et al 2017</w:t>
            </w:r>
            <w:r>
              <w:fldChar w:fldCharType="begin"/>
            </w:r>
            <w:r w:rsidR="002747EA">
              <w:instrText xml:space="preserve"> ADDIN EN.CITE &lt;EndNote&gt;&lt;Cite&gt;&lt;Author&gt;Zheng&lt;/Author&gt;&lt;Year&gt;2017&lt;/Year&gt;&lt;RecNum&gt;1186&lt;/RecNum&gt;&lt;DisplayText&gt;&lt;style face="superscript" font="Trebuchet MS" size="9"&gt;469&lt;/style&gt;&lt;/DisplayText&gt;&lt;record&gt;&lt;rec-number&gt;1186&lt;/rec-number&gt;&lt;foreign-keys&gt;&lt;key app="EN" db-id="exvasrfx2dtraoesasxp2szsxa2df502592x" timestamp="1559007913"&gt;1186&lt;/key&gt;&lt;key app="ENWeb" db-id=""&gt;0&lt;/key&gt;&lt;/foreign-keys&gt;&lt;ref-type name="Journal Article"&gt;17&lt;/ref-type&gt;&lt;contributors&gt;&lt;authors&gt;&lt;author&gt;Zheng, J.&lt;/author&gt;&lt;author&gt;Wang, H.&lt;/author&gt;&lt;author&gt;Ren, M.&lt;/author&gt;&lt;/authors&gt;&lt;/contributors&gt;&lt;titles&gt;&lt;title&gt;Influence of exercise intervention on gestational diabetes mellitus: a systematic review and meta-analysis&lt;/title&gt;&lt;secondary-title&gt;Journal of Endocrinological Investigation&lt;/secondary-title&gt;&lt;/titles&gt;&lt;periodical&gt;&lt;full-title&gt;Journal of Endocrinological Investigation&lt;/full-title&gt;&lt;/periodical&gt;&lt;pages&gt;1027-1033&lt;/pages&gt;&lt;volume&gt;40&lt;/volume&gt;&lt;number&gt;10&lt;/number&gt;&lt;section&gt;1027&lt;/section&gt;&lt;dates&gt;&lt;year&gt;2017&lt;/year&gt;&lt;/dates&gt;&lt;isbn&gt;1720-8386&lt;/isbn&gt;&lt;urls&gt;&lt;/urls&gt;&lt;electronic-resource-num&gt;10.1007/s40618-017-0673-3&lt;/electronic-resource-num&gt;&lt;/record&gt;&lt;/Cite&gt;&lt;/EndNote&gt;</w:instrText>
            </w:r>
            <w:r>
              <w:fldChar w:fldCharType="separate"/>
            </w:r>
            <w:r w:rsidR="002747EA" w:rsidRPr="002747EA">
              <w:rPr>
                <w:noProof/>
                <w:sz w:val="18"/>
                <w:vertAlign w:val="superscript"/>
              </w:rPr>
              <w:t>469</w:t>
            </w:r>
            <w:r>
              <w:fldChar w:fldCharType="end"/>
            </w:r>
          </w:p>
        </w:tc>
        <w:tc>
          <w:tcPr>
            <w:tcW w:w="2547" w:type="dxa"/>
            <w:shd w:val="clear" w:color="auto" w:fill="auto"/>
          </w:tcPr>
          <w:p w14:paraId="5221CEC1" w14:textId="77777777" w:rsidR="00A5540F" w:rsidRDefault="00A5540F" w:rsidP="00A5540F">
            <w:pPr>
              <w:pStyle w:val="RCTstable"/>
            </w:pPr>
            <w:r>
              <w:t>Mixed BMIs</w:t>
            </w:r>
          </w:p>
        </w:tc>
        <w:tc>
          <w:tcPr>
            <w:tcW w:w="2982" w:type="dxa"/>
            <w:shd w:val="clear" w:color="auto" w:fill="auto"/>
          </w:tcPr>
          <w:p w14:paraId="76059129" w14:textId="77777777" w:rsidR="00A5540F" w:rsidRDefault="00A5540F" w:rsidP="00A5540F">
            <w:pPr>
              <w:pStyle w:val="RCTstable"/>
              <w:jc w:val="center"/>
            </w:pPr>
            <w:r>
              <w:t>OR 0.78 (0.21 to 2.91)</w:t>
            </w:r>
          </w:p>
        </w:tc>
        <w:tc>
          <w:tcPr>
            <w:tcW w:w="1134" w:type="dxa"/>
            <w:shd w:val="clear" w:color="auto" w:fill="auto"/>
          </w:tcPr>
          <w:p w14:paraId="4E9EC3EF" w14:textId="77777777" w:rsidR="00A5540F" w:rsidRDefault="00A5540F" w:rsidP="00A5540F">
            <w:pPr>
              <w:pStyle w:val="RCTstable"/>
              <w:jc w:val="center"/>
            </w:pPr>
            <w:r>
              <w:t>2</w:t>
            </w:r>
          </w:p>
        </w:tc>
      </w:tr>
    </w:tbl>
    <w:p w14:paraId="255489E9" w14:textId="77777777" w:rsidR="00A5540F" w:rsidRDefault="00A5540F" w:rsidP="00A5540F">
      <w:pPr>
        <w:pStyle w:val="Heading3"/>
      </w:pPr>
      <w:bookmarkStart w:id="218" w:name="_Toc40956546"/>
      <w:r>
        <w:t>Lifestyle counselling on weight gain, diet, exercise and self-monitoring</w:t>
      </w:r>
      <w:bookmarkEnd w:id="218"/>
    </w:p>
    <w:p w14:paraId="373B7B8C" w14:textId="77777777" w:rsidR="00A5540F" w:rsidRDefault="00A5540F" w:rsidP="00A5540F">
      <w:pPr>
        <w:pStyle w:val="Heading4"/>
        <w:rPr>
          <w:lang w:val="en-AU"/>
        </w:rPr>
      </w:pPr>
      <w:r w:rsidRPr="00B11010">
        <w:rPr>
          <w:lang w:val="en-AU"/>
        </w:rPr>
        <w:t>Types of study</w:t>
      </w:r>
    </w:p>
    <w:p w14:paraId="7FFF83C5" w14:textId="094686C1" w:rsidR="00A5540F" w:rsidRPr="00973D70" w:rsidRDefault="00A5540F" w:rsidP="002E2964">
      <w:pPr>
        <w:rPr>
          <w:rFonts w:ascii="Century Gothic" w:hAnsi="Century Gothic"/>
          <w:noProof/>
        </w:rPr>
      </w:pPr>
      <w:r>
        <w:rPr>
          <w:lang w:val="en-AU"/>
        </w:rPr>
        <w:t xml:space="preserve">This review includes </w:t>
      </w:r>
      <w:r w:rsidR="001D3AFF">
        <w:rPr>
          <w:lang w:val="en-AU"/>
        </w:rPr>
        <w:t xml:space="preserve">42 </w:t>
      </w:r>
      <w:r>
        <w:rPr>
          <w:lang w:val="en-AU"/>
        </w:rPr>
        <w:t xml:space="preserve">studies described in </w:t>
      </w:r>
      <w:r w:rsidR="001D3AFF">
        <w:rPr>
          <w:lang w:val="en-AU"/>
        </w:rPr>
        <w:t xml:space="preserve">64 </w:t>
      </w:r>
      <w:r>
        <w:rPr>
          <w:lang w:val="en-AU"/>
        </w:rPr>
        <w:t>papers</w:t>
      </w:r>
      <w:r w:rsidR="00306796">
        <w:rPr>
          <w:lang w:val="en-AU"/>
        </w:rPr>
        <w:t xml:space="preserve"> and including 1</w:t>
      </w:r>
      <w:r w:rsidR="00B11010">
        <w:rPr>
          <w:lang w:val="en-AU"/>
        </w:rPr>
        <w:t>3,618</w:t>
      </w:r>
      <w:r w:rsidR="00306796">
        <w:rPr>
          <w:lang w:val="en-AU"/>
        </w:rPr>
        <w:t xml:space="preserve"> women</w:t>
      </w:r>
      <w:r>
        <w:rPr>
          <w:lang w:val="en-AU"/>
        </w:rPr>
        <w:t xml:space="preserve">. Study populations were heterogeneous and included women </w:t>
      </w:r>
      <w:r w:rsidR="00973D70">
        <w:rPr>
          <w:lang w:val="en-AU"/>
        </w:rPr>
        <w:t>with BMI in the healthy weight range,</w:t>
      </w:r>
      <w:r w:rsidR="00767EBF">
        <w:rPr>
          <w:rFonts w:ascii="Century Gothic" w:hAnsi="Century Gothic"/>
          <w:noProof/>
        </w:rPr>
        <w:fldChar w:fldCharType="begin">
          <w:fldData xml:space="preserve">PEVuZE5vdGU+PENpdGU+PEF1dGhvcj5SdWNoYXQ8L0F1dGhvcj48WWVhcj4yMDEyPC9ZZWFyPjxS
ZWNOdW0+NzU2PC9SZWNOdW0+PERpc3BsYXlUZXh0PjxzdHlsZSBmYWNlPSJzdXBlcnNjcmlwdCIg
Zm9udD0iVHJlYnVjaGV0IE1TIiBzaXplPSI5Ij40ODItNDg0PC9zdHlsZT48L0Rpc3BsYXlUZXh0
PjxyZWNvcmQ+PHJlYy1udW1iZXI+NzU2PC9yZWMtbnVtYmVyPjxmb3JlaWduLWtleXM+PGtleSBh
cHA9IkVOIiBkYi1pZD0iZXh2YXNyZngyZHRyYW9lc2FzeHAyc3pzeGEyZGY1MDI1OTJ4IiB0aW1l
c3RhbXA9IjE1NDE0Njc5NjUiPjc1Njwva2V5PjxrZXkgYXBwPSJFTldlYiIgZGItaWQ9IiI+MDwv
a2V5PjwvZm9yZWlnbi1rZXlzPjxyZWYtdHlwZSBuYW1lPSJKb3VybmFsIEFydGljbGUiPjE3PC9y
ZWYtdHlwZT48Y29udHJpYnV0b3JzPjxhdXRob3JzPjxhdXRob3I+UnVjaGF0LCBTLU0uLDwvYXV0
aG9yPjxhdXRob3I+RGF2ZW5wb3J0LCBNLkguLDwvYXV0aG9yPjxhdXRob3I+R2lyb3V4LCBJLiw8
L2F1dGhvcj48YXV0aG9yPkhpbGxpZXIsIE0uLDwvYXV0aG9yPjxhdXRob3I+QmF0YWRhLCBBLiw8
L2F1dGhvcj48YXV0aG9yPlNvcHBlciwgTS5NLiw8L2F1dGhvcj48YXV0aG9yPkhhbW1vbmQsIEou
TS5TLiw8L2F1dGhvcj48YXV0aG9yPk1vdHRvbGEsIE0uRi4sPC9hdXRob3I+PC9hdXRob3JzPjwv
Y29udHJpYnV0b3JzPjx0aXRsZXM+PHRpdGxlPk51dHJpdGlvbiBhbmQgZXhlcmNpc2UgcmVkdWNl
IGV4Y2Vzc2l2ZSB3ZWlnaHQgZ2FpbiBpbiBub3JtYWwtd2VpZ2h0IHByZWduYW50IHdvbWVuPC90
aXRsZT48c2Vjb25kYXJ5LXRpdGxlPk1lZGljaW5lICZhbXA7IFNjaWVuY2UgaW4gU3BvcnRzICZh
bXA7IEV4ZXJjaXNlPC9zZWNvbmRhcnktdGl0bGU+PC90aXRsZXM+PHBlcmlvZGljYWw+PGZ1bGwt
dGl0bGU+TWVkaWNpbmUgJmFtcDsgU2NpZW5jZSBpbiBTcG9ydHMgJmFtcDsgRXhlcmNpc2U8L2Z1
bGwtdGl0bGU+PC9wZXJpb2RpY2FsPjxwYWdlcz4xNDE5LTE0MjY8L3BhZ2VzPjx2b2x1bWU+NDQ8
L3ZvbHVtZT48bnVtYmVyPjg8L251bWJlcj48c2VjdGlvbj4xNDE5PC9zZWN0aW9uPjxkYXRlcz48
eWVhcj4yMDEyPC95ZWFyPjwvZGF0ZXM+PGlzYm4+MDE5NS05MTMxPC9pc2JuPjx1cmxzPjwvdXJs
cz48ZWxlY3Ryb25pYy1yZXNvdXJjZS1udW0+MTAuMTI0OS9NU1MuMGIwMTNlMzE4MjUzNjVmMTwv
ZWxlY3Ryb25pYy1yZXNvdXJjZS1udW0+PC9yZWNvcmQ+PC9DaXRlPjxDaXRlPjxBdXRob3I+QnVj
a2luZ2hhbS1TY2h1dHQ8L0F1dGhvcj48WWVhcj4yMDE5PC9ZZWFyPjxSZWNOdW0+MTkyNjwvUmVj
TnVtPjxyZWNvcmQ+PHJlYy1udW1iZXI+MTkyNjwvcmVjLW51bWJlcj48Zm9yZWlnbi1rZXlzPjxr
ZXkgYXBwPSJFTiIgZGItaWQ9ImV4dmFzcmZ4MmR0cmFvZXNhc3hwMnN6c3hhMmRmNTAyNTkyeCIg
dGltZXN0YW1wPSIxNTg4NTcwNjI1Ij4xOTI2PC9rZXk+PC9mb3JlaWduLWtleXM+PHJlZi10eXBl
IG5hbWU9IkpvdXJuYWwgQXJ0aWNsZSI+MTc8L3JlZi10eXBlPjxjb250cmlidXRvcnM+PGF1dGhv
cnM+PGF1dGhvcj5CdWNraW5naGFtLVNjaHV0dCwgTC4gTS48L2F1dGhvcj48YXV0aG9yPkVsbGlu
Z3NvbiwgTC4gRC48L2F1dGhvcj48YXV0aG9yPlZhem91LCBTLjwvYXV0aG9yPjxhdXRob3I+Q2Ft
cGJlbGwsIEMuIEcuPC9hdXRob3I+PC9hdXRob3JzPjwvY29udHJpYnV0b3JzPjxhdXRoLWFkZHJl
c3M+VGhlIEhhcmtpbiBJbnN0aXR1dGUsIERyYWtlIFVuaXZlcnNpdHksIERlcyBNb2luZXMsIElB
LiYjeEQ7S2luZXNpb2xvZ3kgRGVwYXJ0bWVudCwgSW93YSBTdGF0ZSBVbml2ZXJzaXR5LCBBbWVz
LCBJQS4mI3hEO0Zvb2QgU2NpZW5jZSBhbmQgSHVtYW4gTnV0cml0aW9uIERlcGFydG1lbnQuPC9h
dXRoLWFkZHJlc3M+PHRpdGxlcz48dGl0bGU+VGhlIEJlaGF2aW9yYWwgV2VsbG5lc3MgaW4gUHJl
Z25hbmN5IHN0dWR5OiBhIHJhbmRvbWl6ZWQgY29udHJvbGxlZCB0cmlhbCBvZiBhIG11bHRpLWNv
bXBvbmVudCBpbnRlcnZlbnRpb24gdG8gcHJvbW90ZSBhcHByb3ByaWF0ZSB3ZWlnaHQgZ2Fpbjwv
dGl0bGU+PHNlY29uZGFyeS10aXRsZT5BbSBKIENsaW4gTnV0cjwvc2Vjb25kYXJ5LXRpdGxlPjwv
dGl0bGVzPjxwZXJpb2RpY2FsPjxmdWxsLXRpdGxlPkFtIEogQ2xpbiBOdXRyPC9mdWxsLXRpdGxl
PjwvcGVyaW9kaWNhbD48cGFnZXM+MTA3MS0xMDc5PC9wYWdlcz48dm9sdW1lPjEwOTwvdm9sdW1l
PjxudW1iZXI+NDwvbnVtYmVyPjxlZGl0aW9uPjIwMTkvMDQvMDY8L2VkaXRpb24+PGtleXdvcmRz
PjxrZXl3b3JkPkFkdWx0PC9rZXl3b3JkPjxrZXl3b3JkPkRpZXQvKnBzeWNob2xvZ3k8L2tleXdv
cmQ+PGtleXdvcmQ+RXhlcmNpc2U8L2tleXdvcmQ+PGtleXdvcmQ+RmVlZGluZyBCZWhhdmlvcjwv
a2V5d29yZD48a2V5d29yZD5GZW1hbGU8L2tleXdvcmQ+PGtleXdvcmQ+Kkdlc3RhdGlvbmFsIFdl
aWdodCBHYWluPC9rZXl3b3JkPjxrZXl3b3JkPkh1bWFuczwva2V5d29yZD48a2V5d29yZD5MaWZl
IFN0eWxlPC9rZXl3b3JkPjxrZXl3b3JkPk1hdGVybmFsIEJlaGF2aW9yPC9rZXl3b3JkPjxrZXl3
b3JkPlBvc3RwYXJ0dW0gUGVyaW9kL21ldGFib2xpc20vcHN5Y2hvbG9neTwva2V5d29yZD48a2V5
d29yZD5QcmVnbmFuY3kvbWV0YWJvbGlzbS8qcHN5Y2hvbG9neTwva2V5d29yZD48a2V5d29yZD5Q
cmVuYXRhbCBDYXJlLypwc3ljaG9sb2d5PC9rZXl3b3JkPjxrZXl3b3JkPlByZW5hdGFsIE51dHJp
dGlvbmFsIFBoeXNpb2xvZ2ljYWwgUGhlbm9tZW5hPC9rZXl3b3JkPjxrZXl3b3JkPllvdW5nIEFk
dWx0PC9rZXl3b3JkPjxrZXl3b3JkPiptdWx0aS1jb21wb25lbnQgaW50ZXJ2ZW50aW9uPC9rZXl3
b3JkPjxrZXl3b3JkPipudXRyaXRpb248L2tleXdvcmQ+PGtleXdvcmQ+KnBoeXNpY2FsIGFjdGl2
aXR5PC9rZXl3b3JkPjxrZXl3b3JkPipwcmVnbmFuY3k8L2tleXdvcmQ+PC9rZXl3b3Jkcz48ZGF0
ZXM+PHllYXI+MjAxOTwveWVhcj48cHViLWRhdGVzPjxkYXRlPkFwciAxPC9kYXRlPjwvcHViLWRh
dGVzPjwvZGF0ZXM+PGlzYm4+MTkzOC0zMjA3IChFbGVjdHJvbmljKSYjeEQ7MDAwMi05MTY1IChM
aW5raW5nKTwvaXNibj48YWNjZXNzaW9uLW51bT4zMDk0OTY5MTwvYWNjZXNzaW9uLW51bT48dXJs
cz48cmVsYXRlZC11cmxzPjx1cmw+aHR0cHM6Ly93d3cubmNiaS5ubG0ubmloLmdvdi9wdWJtZWQv
MzA5NDk2OTE8L3VybD48L3JlbGF0ZWQtdXJscz48L3VybHM+PGVsZWN0cm9uaWMtcmVzb3VyY2Ut
bnVtPjEwLjEwOTMvYWpjbi9ucXkzNTk8L2VsZWN0cm9uaWMtcmVzb3VyY2UtbnVtPjwvcmVjb3Jk
PjwvQ2l0ZT48Q2l0ZT48QXV0aG9yPkRvZGQ8L0F1dGhvcj48WWVhcj4yMDE5PC9ZZWFyPjxSZWNO
dW0+MTkyMjwvUmVjTnVtPjxyZWNvcmQ+PHJlYy1udW1iZXI+MTkyMjwvcmVjLW51bWJlcj48Zm9y
ZWlnbi1rZXlzPjxrZXkgYXBwPSJFTiIgZGItaWQ9ImV4dmFzcmZ4MmR0cmFvZXNhc3hwMnN6c3hh
MmRmNTAyNTkyeCIgdGltZXN0YW1wPSIxNTg4NTYwMzY4Ij4xOTIyPC9rZXk+PGtleSBhcHA9IkVO
V2ViIiBkYi1pZD0iIj4wPC9rZXk+PC9mb3JlaWduLWtleXM+PHJlZi10eXBlIG5hbWU9IkpvdXJu
YWwgQXJ0aWNsZSI+MTc8L3JlZi10eXBlPjxjb250cmlidXRvcnM+PGF1dGhvcnM+PGF1dGhvcj5E
b2RkLCBKLiBNLjwvYXV0aG9yPjxhdXRob3I+RGV1c3NlbiwgQS4gUi48L2F1dGhvcj48YXV0aG9y
PkxvdWlzZSwgSi48L2F1dGhvcj48L2F1dGhvcnM+PC9jb250cmlidXRvcnM+PGF1dGgtYWRkcmVz
cz5EaXNjaXBsaW5lIG9mIE9ic3RldHJpY3MgJmFtcDsgR3luYWVjb2xvZ3ksIGFuZCBSb2JpbnNv
biBSZXNlYXJjaCBJbnN0aXR1dGUsIFRoZSBVbml2ZXJzaXR5IG9mIEFkZWxhaWRlLCBBZGVsYWlk
ZSwgU0EgNTAwNiwgQXVzdHJhbGlhLiYjeEQ7RGVwYXJ0bWVudCBvZiBQZXJpbmF0YWwgTWVkaWNp
bmUgV29tZW4mYXBvcztzIGFuZCBDaGlsZHJlbiZhcG9zO3MgSG9zcGl0YWwsIE5vcnRoIEFkZWxh
aWRlLCBBZGVsYWlkZSwgU0EgNTAwNiwgQXVzdHJhbGlhLjwvYXV0aC1hZGRyZXNzPjx0aXRsZXM+
PHRpdGxlPkEgcmFuZG9taXNlZCB0cmlhbCB0byBvcHRpbWlzZSBnZXN0YXRpb25hbCB3ZWlnaHQg
Z2FpbiBhbmQgaW1wcm92ZSBtYXRlcm5hbCBhbmQgaW5mYW50IGhlYWx0aCBvdXRjb21lcyB0aHJv
dWdoIGFudGVuYXRhbCBkaWV0YXJ5LCBsaWZlc3R5bGUgYW5kIGV4ZXJjaXNlIGFkdmljZTogVGhl
IE9QVElNSVNFIHJhbmRvbWlzZWQgdHJpYWw8L3RpdGxlPjxzZWNvbmRhcnktdGl0bGU+TnV0cmll
bnRzPC9zZWNvbmRhcnktdGl0bGU+PC90aXRsZXM+PHBlcmlvZGljYWw+PGZ1bGwtdGl0bGU+TnV0
cmllbnRzPC9mdWxsLXRpdGxlPjwvcGVyaW9kaWNhbD48dm9sdW1lPjExPC92b2x1bWU+PG51bWJl
cj4xMjwvbnVtYmVyPjxlZGl0aW9uPjIwMTkvMTIvMDg8L2VkaXRpb24+PGtleXdvcmRzPjxrZXl3
b3JkPmRpZXRhcnkgYW5kIGxpZmVzdHlsZSBpbnRlcnZlbnRpb248L2tleXdvcmQ+PGtleXdvcmQ+
Z2VzdGF0aW9uYWwgd2VpZ2h0IGdhaW48L2tleXdvcmQ+PGtleXdvcmQ+cmFuZG9taXNlZCBjb250
cm9sbGVkIHRyaWFsPC9rZXl3b3JkPjwva2V5d29yZHM+PGRhdGVzPjx5ZWFyPjIwMTk8L3llYXI+
PHB1Yi1kYXRlcz48ZGF0ZT5EZWMgMjwvZGF0ZT48L3B1Yi1kYXRlcz48L2RhdGVzPjxpc2JuPjIw
NzItNjY0MyAoRWxlY3Ryb25pYykmI3hEOzIwNzItNjY0MyAoTGlua2luZyk8L2lzYm4+PGFjY2Vz
c2lvbi1udW0+MzE4MTAyMTc8L2FjY2Vzc2lvbi1udW0+PHVybHM+PHJlbGF0ZWQtdXJscz48dXJs
Pmh0dHBzOi8vd3d3Lm5jYmkubmxtLm5paC5nb3YvcHVibWVkLzMxODEwMjE3PC91cmw+PC9yZWxh
dGVkLXVybHM+PC91cmxzPjxjdXN0b20yPlBNQzY5NDk5MzE8L2N1c3RvbTI+PGVsZWN0cm9uaWMt
cmVzb3VyY2UtbnVtPjEwLjMzOTAvbnUxMTEyMjkxMTwvZWxlY3Ryb25pYy1yZXNvdXJjZS1udW0+
PC9yZWNvcmQ+PC9DaXRlPjwvRW5kTm90ZT4A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PEVuZE5vdGU+PENpdGU+PEF1dGhvcj5SdWNoYXQ8L0F1dGhvcj48WWVhcj4yMDEyPC9ZZWFyPjxS
ZWNOdW0+NzU2PC9SZWNOdW0+PERpc3BsYXlUZXh0PjxzdHlsZSBmYWNlPSJzdXBlcnNjcmlwdCIg
Zm9udD0iVHJlYnVjaGV0IE1TIiBzaXplPSI5Ij40ODItNDg0PC9zdHlsZT48L0Rpc3BsYXlUZXh0
PjxyZWNvcmQ+PHJlYy1udW1iZXI+NzU2PC9yZWMtbnVtYmVyPjxmb3JlaWduLWtleXM+PGtleSBh
cHA9IkVOIiBkYi1pZD0iZXh2YXNyZngyZHRyYW9lc2FzeHAyc3pzeGEyZGY1MDI1OTJ4IiB0aW1l
c3RhbXA9IjE1NDE0Njc5NjUiPjc1Njwva2V5PjxrZXkgYXBwPSJFTldlYiIgZGItaWQ9IiI+MDwv
a2V5PjwvZm9yZWlnbi1rZXlzPjxyZWYtdHlwZSBuYW1lPSJKb3VybmFsIEFydGljbGUiPjE3PC9y
ZWYtdHlwZT48Y29udHJpYnV0b3JzPjxhdXRob3JzPjxhdXRob3I+UnVjaGF0LCBTLU0uLDwvYXV0
aG9yPjxhdXRob3I+RGF2ZW5wb3J0LCBNLkguLDwvYXV0aG9yPjxhdXRob3I+R2lyb3V4LCBJLiw8
L2F1dGhvcj48YXV0aG9yPkhpbGxpZXIsIE0uLDwvYXV0aG9yPjxhdXRob3I+QmF0YWRhLCBBLiw8
L2F1dGhvcj48YXV0aG9yPlNvcHBlciwgTS5NLiw8L2F1dGhvcj48YXV0aG9yPkhhbW1vbmQsIEou
TS5TLiw8L2F1dGhvcj48YXV0aG9yPk1vdHRvbGEsIE0uRi4sPC9hdXRob3I+PC9hdXRob3JzPjwv
Y29udHJpYnV0b3JzPjx0aXRsZXM+PHRpdGxlPk51dHJpdGlvbiBhbmQgZXhlcmNpc2UgcmVkdWNl
IGV4Y2Vzc2l2ZSB3ZWlnaHQgZ2FpbiBpbiBub3JtYWwtd2VpZ2h0IHByZWduYW50IHdvbWVuPC90
aXRsZT48c2Vjb25kYXJ5LXRpdGxlPk1lZGljaW5lICZhbXA7IFNjaWVuY2UgaW4gU3BvcnRzICZh
bXA7IEV4ZXJjaXNlPC9zZWNvbmRhcnktdGl0bGU+PC90aXRsZXM+PHBlcmlvZGljYWw+PGZ1bGwt
dGl0bGU+TWVkaWNpbmUgJmFtcDsgU2NpZW5jZSBpbiBTcG9ydHMgJmFtcDsgRXhlcmNpc2U8L2Z1
bGwtdGl0bGU+PC9wZXJpb2RpY2FsPjxwYWdlcz4xNDE5LTE0MjY8L3BhZ2VzPjx2b2x1bWU+NDQ8
L3ZvbHVtZT48bnVtYmVyPjg8L251bWJlcj48c2VjdGlvbj4xNDE5PC9zZWN0aW9uPjxkYXRlcz48
eWVhcj4yMDEyPC95ZWFyPjwvZGF0ZXM+PGlzYm4+MDE5NS05MTMxPC9pc2JuPjx1cmxzPjwvdXJs
cz48ZWxlY3Ryb25pYy1yZXNvdXJjZS1udW0+MTAuMTI0OS9NU1MuMGIwMTNlMzE4MjUzNjVmMTwv
ZWxlY3Ryb25pYy1yZXNvdXJjZS1udW0+PC9yZWNvcmQ+PC9DaXRlPjxDaXRlPjxBdXRob3I+QnVj
a2luZ2hhbS1TY2h1dHQ8L0F1dGhvcj48WWVhcj4yMDE5PC9ZZWFyPjxSZWNOdW0+MTkyNjwvUmVj
TnVtPjxyZWNvcmQ+PHJlYy1udW1iZXI+MTkyNjwvcmVjLW51bWJlcj48Zm9yZWlnbi1rZXlzPjxr
ZXkgYXBwPSJFTiIgZGItaWQ9ImV4dmFzcmZ4MmR0cmFvZXNhc3hwMnN6c3hhMmRmNTAyNTkyeCIg
dGltZXN0YW1wPSIxNTg4NTcwNjI1Ij4xOTI2PC9rZXk+PC9mb3JlaWduLWtleXM+PHJlZi10eXBl
IG5hbWU9IkpvdXJuYWwgQXJ0aWNsZSI+MTc8L3JlZi10eXBlPjxjb250cmlidXRvcnM+PGF1dGhv
cnM+PGF1dGhvcj5CdWNraW5naGFtLVNjaHV0dCwgTC4gTS48L2F1dGhvcj48YXV0aG9yPkVsbGlu
Z3NvbiwgTC4gRC48L2F1dGhvcj48YXV0aG9yPlZhem91LCBTLjwvYXV0aG9yPjxhdXRob3I+Q2Ft
cGJlbGwsIEMuIEcuPC9hdXRob3I+PC9hdXRob3JzPjwvY29udHJpYnV0b3JzPjxhdXRoLWFkZHJl
c3M+VGhlIEhhcmtpbiBJbnN0aXR1dGUsIERyYWtlIFVuaXZlcnNpdHksIERlcyBNb2luZXMsIElB
LiYjeEQ7S2luZXNpb2xvZ3kgRGVwYXJ0bWVudCwgSW93YSBTdGF0ZSBVbml2ZXJzaXR5LCBBbWVz
LCBJQS4mI3hEO0Zvb2QgU2NpZW5jZSBhbmQgSHVtYW4gTnV0cml0aW9uIERlcGFydG1lbnQuPC9h
dXRoLWFkZHJlc3M+PHRpdGxlcz48dGl0bGU+VGhlIEJlaGF2aW9yYWwgV2VsbG5lc3MgaW4gUHJl
Z25hbmN5IHN0dWR5OiBhIHJhbmRvbWl6ZWQgY29udHJvbGxlZCB0cmlhbCBvZiBhIG11bHRpLWNv
bXBvbmVudCBpbnRlcnZlbnRpb24gdG8gcHJvbW90ZSBhcHByb3ByaWF0ZSB3ZWlnaHQgZ2Fpbjwv
dGl0bGU+PHNlY29uZGFyeS10aXRsZT5BbSBKIENsaW4gTnV0cjwvc2Vjb25kYXJ5LXRpdGxlPjwv
dGl0bGVzPjxwZXJpb2RpY2FsPjxmdWxsLXRpdGxlPkFtIEogQ2xpbiBOdXRyPC9mdWxsLXRpdGxl
PjwvcGVyaW9kaWNhbD48cGFnZXM+MTA3MS0xMDc5PC9wYWdlcz48dm9sdW1lPjEwOTwvdm9sdW1l
PjxudW1iZXI+NDwvbnVtYmVyPjxlZGl0aW9uPjIwMTkvMDQvMDY8L2VkaXRpb24+PGtleXdvcmRz
PjxrZXl3b3JkPkFkdWx0PC9rZXl3b3JkPjxrZXl3b3JkPkRpZXQvKnBzeWNob2xvZ3k8L2tleXdv
cmQ+PGtleXdvcmQ+RXhlcmNpc2U8L2tleXdvcmQ+PGtleXdvcmQ+RmVlZGluZyBCZWhhdmlvcjwv
a2V5d29yZD48a2V5d29yZD5GZW1hbGU8L2tleXdvcmQ+PGtleXdvcmQ+Kkdlc3RhdGlvbmFsIFdl
aWdodCBHYWluPC9rZXl3b3JkPjxrZXl3b3JkPkh1bWFuczwva2V5d29yZD48a2V5d29yZD5MaWZl
IFN0eWxlPC9rZXl3b3JkPjxrZXl3b3JkPk1hdGVybmFsIEJlaGF2aW9yPC9rZXl3b3JkPjxrZXl3
b3JkPlBvc3RwYXJ0dW0gUGVyaW9kL21ldGFib2xpc20vcHN5Y2hvbG9neTwva2V5d29yZD48a2V5
d29yZD5QcmVnbmFuY3kvbWV0YWJvbGlzbS8qcHN5Y2hvbG9neTwva2V5d29yZD48a2V5d29yZD5Q
cmVuYXRhbCBDYXJlLypwc3ljaG9sb2d5PC9rZXl3b3JkPjxrZXl3b3JkPlByZW5hdGFsIE51dHJp
dGlvbmFsIFBoeXNpb2xvZ2ljYWwgUGhlbm9tZW5hPC9rZXl3b3JkPjxrZXl3b3JkPllvdW5nIEFk
dWx0PC9rZXl3b3JkPjxrZXl3b3JkPiptdWx0aS1jb21wb25lbnQgaW50ZXJ2ZW50aW9uPC9rZXl3
b3JkPjxrZXl3b3JkPipudXRyaXRpb248L2tleXdvcmQ+PGtleXdvcmQ+KnBoeXNpY2FsIGFjdGl2
aXR5PC9rZXl3b3JkPjxrZXl3b3JkPipwcmVnbmFuY3k8L2tleXdvcmQ+PC9rZXl3b3Jkcz48ZGF0
ZXM+PHllYXI+MjAxOTwveWVhcj48cHViLWRhdGVzPjxkYXRlPkFwciAxPC9kYXRlPjwvcHViLWRh
dGVzPjwvZGF0ZXM+PGlzYm4+MTkzOC0zMjA3IChFbGVjdHJvbmljKSYjeEQ7MDAwMi05MTY1IChM
aW5raW5nKTwvaXNibj48YWNjZXNzaW9uLW51bT4zMDk0OTY5MTwvYWNjZXNzaW9uLW51bT48dXJs
cz48cmVsYXRlZC11cmxzPjx1cmw+aHR0cHM6Ly93d3cubmNiaS5ubG0ubmloLmdvdi9wdWJtZWQv
MzA5NDk2OTE8L3VybD48L3JlbGF0ZWQtdXJscz48L3VybHM+PGVsZWN0cm9uaWMtcmVzb3VyY2Ut
bnVtPjEwLjEwOTMvYWpjbi9ucXkzNTk8L2VsZWN0cm9uaWMtcmVzb3VyY2UtbnVtPjwvcmVjb3Jk
PjwvQ2l0ZT48Q2l0ZT48QXV0aG9yPkRvZGQ8L0F1dGhvcj48WWVhcj4yMDE5PC9ZZWFyPjxSZWNO
dW0+MTkyMjwvUmVjTnVtPjxyZWNvcmQ+PHJlYy1udW1iZXI+MTkyMjwvcmVjLW51bWJlcj48Zm9y
ZWlnbi1rZXlzPjxrZXkgYXBwPSJFTiIgZGItaWQ9ImV4dmFzcmZ4MmR0cmFvZXNhc3hwMnN6c3hh
MmRmNTAyNTkyeCIgdGltZXN0YW1wPSIxNTg4NTYwMzY4Ij4xOTIyPC9rZXk+PGtleSBhcHA9IkVO
V2ViIiBkYi1pZD0iIj4wPC9rZXk+PC9mb3JlaWduLWtleXM+PHJlZi10eXBlIG5hbWU9IkpvdXJu
YWwgQXJ0aWNsZSI+MTc8L3JlZi10eXBlPjxjb250cmlidXRvcnM+PGF1dGhvcnM+PGF1dGhvcj5E
b2RkLCBKLiBNLjwvYXV0aG9yPjxhdXRob3I+RGV1c3NlbiwgQS4gUi48L2F1dGhvcj48YXV0aG9y
PkxvdWlzZSwgSi48L2F1dGhvcj48L2F1dGhvcnM+PC9jb250cmlidXRvcnM+PGF1dGgtYWRkcmVz
cz5EaXNjaXBsaW5lIG9mIE9ic3RldHJpY3MgJmFtcDsgR3luYWVjb2xvZ3ksIGFuZCBSb2JpbnNv
biBSZXNlYXJjaCBJbnN0aXR1dGUsIFRoZSBVbml2ZXJzaXR5IG9mIEFkZWxhaWRlLCBBZGVsYWlk
ZSwgU0EgNTAwNiwgQXVzdHJhbGlhLiYjeEQ7RGVwYXJ0bWVudCBvZiBQZXJpbmF0YWwgTWVkaWNp
bmUgV29tZW4mYXBvcztzIGFuZCBDaGlsZHJlbiZhcG9zO3MgSG9zcGl0YWwsIE5vcnRoIEFkZWxh
aWRlLCBBZGVsYWlkZSwgU0EgNTAwNiwgQXVzdHJhbGlhLjwvYXV0aC1hZGRyZXNzPjx0aXRsZXM+
PHRpdGxlPkEgcmFuZG9taXNlZCB0cmlhbCB0byBvcHRpbWlzZSBnZXN0YXRpb25hbCB3ZWlnaHQg
Z2FpbiBhbmQgaW1wcm92ZSBtYXRlcm5hbCBhbmQgaW5mYW50IGhlYWx0aCBvdXRjb21lcyB0aHJv
dWdoIGFudGVuYXRhbCBkaWV0YXJ5LCBsaWZlc3R5bGUgYW5kIGV4ZXJjaXNlIGFkdmljZTogVGhl
IE9QVElNSVNFIHJhbmRvbWlzZWQgdHJpYWw8L3RpdGxlPjxzZWNvbmRhcnktdGl0bGU+TnV0cmll
bnRzPC9zZWNvbmRhcnktdGl0bGU+PC90aXRsZXM+PHBlcmlvZGljYWw+PGZ1bGwtdGl0bGU+TnV0
cmllbnRzPC9mdWxsLXRpdGxlPjwvcGVyaW9kaWNhbD48dm9sdW1lPjExPC92b2x1bWU+PG51bWJl
cj4xMjwvbnVtYmVyPjxlZGl0aW9uPjIwMTkvMTIvMDg8L2VkaXRpb24+PGtleXdvcmRzPjxrZXl3
b3JkPmRpZXRhcnkgYW5kIGxpZmVzdHlsZSBpbnRlcnZlbnRpb248L2tleXdvcmQ+PGtleXdvcmQ+
Z2VzdGF0aW9uYWwgd2VpZ2h0IGdhaW48L2tleXdvcmQ+PGtleXdvcmQ+cmFuZG9taXNlZCBjb250
cm9sbGVkIHRyaWFsPC9rZXl3b3JkPjwva2V5d29yZHM+PGRhdGVzPjx5ZWFyPjIwMTk8L3llYXI+
PHB1Yi1kYXRlcz48ZGF0ZT5EZWMgMjwvZGF0ZT48L3B1Yi1kYXRlcz48L2RhdGVzPjxpc2JuPjIw
NzItNjY0MyAoRWxlY3Ryb25pYykmI3hEOzIwNzItNjY0MyAoTGlua2luZyk8L2lzYm4+PGFjY2Vz
c2lvbi1udW0+MzE4MTAyMTc8L2FjY2Vzc2lvbi1udW0+PHVybHM+PHJlbGF0ZWQtdXJscz48dXJs
Pmh0dHBzOi8vd3d3Lm5jYmkubmxtLm5paC5nb3YvcHVibWVkLzMxODEwMjE3PC91cmw+PC9yZWxh
dGVkLXVybHM+PC91cmxzPjxjdXN0b20yPlBNQzY5NDk5MzE8L2N1c3RvbTI+PGVsZWN0cm9uaWMt
cmVzb3VyY2UtbnVtPjEwLjMzOTAvbnUxMTEyMjkxMTwvZWxlY3Ryb25pYy1yZXNvdXJjZS1udW0+
PC9yZWNvcmQ+PC9DaXRlPjwvRW5kTm90ZT4A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767EBF">
        <w:rPr>
          <w:rFonts w:ascii="Century Gothic" w:hAnsi="Century Gothic"/>
          <w:noProof/>
        </w:rPr>
      </w:r>
      <w:r w:rsidR="00767EBF">
        <w:rPr>
          <w:rFonts w:ascii="Century Gothic" w:hAnsi="Century Gothic"/>
          <w:noProof/>
        </w:rPr>
        <w:fldChar w:fldCharType="separate"/>
      </w:r>
      <w:r w:rsidR="002747EA" w:rsidRPr="002747EA">
        <w:rPr>
          <w:noProof/>
          <w:vertAlign w:val="superscript"/>
        </w:rPr>
        <w:t>482-484</w:t>
      </w:r>
      <w:r w:rsidR="00767EBF">
        <w:rPr>
          <w:rFonts w:ascii="Century Gothic" w:hAnsi="Century Gothic"/>
          <w:noProof/>
        </w:rPr>
        <w:fldChar w:fldCharType="end"/>
      </w:r>
      <w:r w:rsidR="00973D70">
        <w:rPr>
          <w:rFonts w:ascii="Century Gothic" w:hAnsi="Century Gothic"/>
          <w:noProof/>
        </w:rPr>
        <w:t xml:space="preserve"> </w:t>
      </w:r>
      <w:r>
        <w:rPr>
          <w:lang w:val="en-AU"/>
        </w:rPr>
        <w:t>of mixed BMIs,</w:t>
      </w:r>
      <w:r w:rsidRPr="00A52886">
        <w:fldChar w:fldCharType="begin">
          <w:fldData xml:space="preserve">PEVuZE5vdGU+PENpdGU+PEF1dGhvcj5BbHRodWl6ZW48L0F1dGhvcj48WWVhcj4yMDEzPC9ZZWFy
PjxSZWNOdW0+NzA5PC9SZWNOdW0+PERpc3BsYXlUZXh0PjxzdHlsZSBmYWNlPSJzdXBlcnNjcmlw
dCIgZm9udD0iVHJlYnVjaGV0IE1TIiBzaXplPSI5Ij40ODUtNDk4PC9zdHlsZT48L0Rpc3BsYXlU
ZXh0PjxyZWNvcmQ+PHJlYy1udW1iZXI+NzA5PC9yZWMtbnVtYmVyPjxmb3JlaWduLWtleXM+PGtl
eSBhcHA9IkVOIiBkYi1pZD0iZXh2YXNyZngyZHRyYW9lc2FzeHAyc3pzeGEyZGY1MDI1OTJ4IiB0
aW1lc3RhbXA9IjE1NDE0NjIyMTYiPjcwOTwva2V5PjwvZm9yZWlnbi1rZXlzPjxyZWYtdHlwZSBu
YW1lPSJKb3VybmFsIEFydGljbGUiPjE3PC9yZWYtdHlwZT48Y29udHJpYnV0b3JzPjxhdXRob3Jz
PjxhdXRob3I+QWx0aHVpemVuLCBFLjwvYXV0aG9yPjxhdXRob3I+dmFuIGRlciBXaWpkZW4sIEMu
IEwuPC9hdXRob3I+PGF1dGhvcj52YW4gTWVjaGVsZW4sIFcuPC9hdXRob3I+PGF1dGhvcj5TZWlk
ZWxsLCBKLiBDLjwvYXV0aG9yPjxhdXRob3I+dmFuIFBvcHBlbCwgTS4gTi48L2F1dGhvcj48L2F1
dGhvcnM+PC9jb250cmlidXRvcnM+PGF1dGgtYWRkcmVzcz5EZXBhcnRtZW50IG9mIFB1YmxpYyBh
bmQgT2NjdXBhdGlvbmFsIEhlYWx0aCBhbmQgdGhlIEVNR08gSW5zdGl0dXRlIGZvciBIZWFsdGgg
YW5kIENhcmUgUmVzZWFyY2gsIFZVIFVuaXZlcnNpdHkgTWVkaWNhbCBDZW50cmUsIEFtc3RlcmRh
bSwgVGhlIE5ldGhlcmxhbmRzLjwvYXV0aC1hZGRyZXNzPjx0aXRsZXM+PHRpdGxlPlRoZSBlZmZl
Y3Qgb2YgYSBjb3Vuc2VsbGluZyBpbnRlcnZlbnRpb24gb24gd2VpZ2h0IGNoYW5nZXMgZHVyaW5n
IGFuZCBhZnRlciBwcmVnbmFuY3k6IGEgcmFuZG9taXNlZCB0cmlhbDwvdGl0bGU+PHNlY29uZGFy
eS10aXRsZT5CSk9HPC9zZWNvbmRhcnktdGl0bGU+PC90aXRsZXM+PHBlcmlvZGljYWw+PGZ1bGwt
dGl0bGU+QkpPRzwvZnVsbC10aXRsZT48L3BlcmlvZGljYWw+PHBhZ2VzPjkyLTk8L3BhZ2VzPjx2
b2x1bWU+MTIwPC92b2x1bWU+PG51bWJlcj4xPC9udW1iZXI+PGVkaXRpb24+MjAxMi8xMS8wNjwv
ZWRpdGlvbj48a2V5d29yZHM+PGtleXdvcmQ+QWR1bHQ8L2tleXdvcmQ+PGtleXdvcmQ+QmlydGgg
V2VpZ2h0PC9rZXl3b3JkPjxrZXl3b3JkPkJvZHkgTWFzcyBJbmRleDwva2V5d29yZD48a2V5d29y
ZD5Db3Vuc2VsaW5nLyptZXRob2RzPC9rZXl3b3JkPjxrZXl3b3JkPkZlbWFsZTwva2V5d29yZD48
a2V5d29yZD5IdW1hbnM8L2tleXdvcmQ+PGtleXdvcmQ+TmV0aGVybGFuZHM8L2tleXdvcmQ+PGtl
eXdvcmQ+T3ZlcndlaWdodC8qcHJldmVudGlvbiAmYW1wOyBjb250cm9sPC9rZXl3b3JkPjxrZXl3
b3JkPlBhdGllbnQgQ29tcGxpYW5jZTwva2V5d29yZD48a2V5d29yZD5QcmVnbmFuY3k8L2tleXdv
cmQ+PGtleXdvcmQ+UHJlZ25hbmN5IENvbXBsaWNhdGlvbnMvKnByZXZlbnRpb24gJmFtcDsgY29u
dHJvbDwva2V5d29yZD48a2V5d29yZD5QcmVnbmFuY3kgT3V0Y29tZTwva2V5d29yZD48a2V5d29y
ZD5QcmVuYXRhbCBDYXJlLyptZXRob2RzPC9rZXl3b3JkPjxrZXl3b3JkPldlaWdodCBHYWluPC9r
ZXl3b3JkPjwva2V5d29yZHM+PGRhdGVzPjx5ZWFyPjIwMTM8L3llYXI+PHB1Yi1kYXRlcz48ZGF0
ZT5KYW48L2RhdGU+PC9wdWItZGF0ZXM+PC9kYXRlcz48aXNibj4xNDcxLTA1MjggKEVsZWN0cm9u
aWMpJiN4RDsxNDcwLTAzMjggKExpbmtpbmcpPC9pc2JuPjxhY2Nlc3Npb24tbnVtPjIzMTIxMDc0
PC9hY2Nlc3Npb24tbnVtPjx1cmxzPjxyZWxhdGVkLXVybHM+PHVybD5odHRwczovL3d3dy5uY2Jp
Lm5sbS5uaWguZ292L3B1Ym1lZC8yMzEyMTA3NDwvdXJsPjwvcmVsYXRlZC11cmxzPjwvdXJscz48
ZWxlY3Ryb25pYy1yZXNvdXJjZS1udW0+MTAuMTExMS8xNDcxLTA1MjguMTIwMTQ8L2VsZWN0cm9u
aWMtcmVzb3VyY2UtbnVtPjwvcmVjb3JkPjwvQ2l0ZT48Q2l0ZT48QXV0aG9yPlJvbm5iZXJnPC9B
dXRob3I+PFllYXI+MjAxNTwvWWVhcj48UmVjTnVtPjc1NDwvUmVjTnVtPjxyZWNvcmQ+PHJlYy1u
dW1iZXI+NzU0PC9yZWMtbnVtYmVyPjxmb3JlaWduLWtleXM+PGtleSBhcHA9IkVOIiBkYi1pZD0i
ZXh2YXNyZngyZHRyYW9lc2FzeHAyc3pzeGEyZGY1MDI1OTJ4IiB0aW1lc3RhbXA9IjE1NDE0Njc5
NTIiPjc1NDwva2V5PjxrZXkgYXBwPSJFTldlYiIgZGItaWQ9IiI+MDwva2V5PjwvZm9yZWlnbi1r
ZXlzPjxyZWYtdHlwZSBuYW1lPSJKb3VybmFsIEFydGljbGUiPjE3PC9yZWYtdHlwZT48Y29udHJp
YnV0b3JzPjxhdXRob3JzPjxhdXRob3I+Um9ubmJlcmcsIEEuIEsuPC9hdXRob3I+PGF1dGhvcj5P
c3RsdW5kLCBJLjwvYXV0aG9yPjxhdXRob3I+RmFkbCwgSC48L2F1dGhvcj48YXV0aG9yPkdvdHR2
YWxsLCBULjwvYXV0aG9yPjxhdXRob3I+Tmlsc3NvbiwgSy48L2F1dGhvcj48L2F1dGhvcnM+PC9j
b250cmlidXRvcnM+PHRpdGxlcz48dGl0bGU+SW50ZXJ2ZW50aW9uIGR1cmluZyBwcmVnbmFuY3kg
dG8gcmVkdWNlIGV4Y2Vzc2l2ZSBnZXN0YXRpb25hbCB3ZWlnaHQgZ2Fpbi1hIHJhbmRvbWlzZWQg
Y29udHJvbGxlZCB0cmlhbDwvdGl0bGU+PHNlY29uZGFyeS10aXRsZT5CSk9HOiBBbiBJbnRlcm5h
dGlvbmFsIEpvdXJuYWwgb2YgT2JzdGV0cmljcyAmYW1wOyBHeW5hZWNvbG9neTwvc2Vjb25kYXJ5
LXRpdGxlPjwvdGl0bGVzPjxwZXJpb2RpY2FsPjxmdWxsLXRpdGxlPkJKT0c6IEFuIEludGVybmF0
aW9uYWwgSm91cm5hbCBvZiBPYnN0ZXRyaWNzICZhbXA7IEd5bmFlY29sb2d5PC9mdWxsLXRpdGxl
PjwvcGVyaW9kaWNhbD48cGFnZXM+NTM3LTU0NDwvcGFnZXM+PHZvbHVtZT4xMjI8L3ZvbHVtZT48
bnVtYmVyPjQ8L251bWJlcj48c2VjdGlvbj41Mzc8L3NlY3Rpb24+PGRhdGVzPjx5ZWFyPjIwMTU8
L3llYXI+PC9kYXRlcz48aXNibj4xNDcwMDMyODwvaXNibj48dXJscz48L3VybHM+PGVsZWN0cm9u
aWMtcmVzb3VyY2UtbnVtPjEwLjExMTEvMTQ3MS0wNTI4LjEzMTMxPC9lbGVjdHJvbmljLXJlc291
cmNlLW51bT48L3JlY29yZD48L0NpdGU+PENpdGU+PEF1dGhvcj5TYWdlZGFsPC9BdXRob3I+PFll
YXI+MjAxNzwvWWVhcj48UmVjTnVtPjkzOTwvUmVjTnVtPjxyZWNvcmQ+PHJlYy1udW1iZXI+OTM5
PC9yZWMtbnVtYmVyPjxmb3JlaWduLWtleXM+PGtleSBhcHA9IkVOIiBkYi1pZD0iZXh2YXNyZngy
ZHRyYW9lc2FzeHAyc3pzeGEyZGY1MDI1OTJ4IiB0aW1lc3RhbXA9IjE1NDE1NDE4MjIiPjkzOTwv
a2V5PjxrZXkgYXBwPSJFTldlYiIgZGItaWQ9IiI+MDwva2V5PjwvZm9yZWlnbi1rZXlzPjxyZWYt
dHlwZSBuYW1lPSJKb3VybmFsIEFydGljbGUiPjE3PC9yZWYtdHlwZT48Y29udHJpYnV0b3JzPjxh
dXRob3JzPjxhdXRob3I+U2FnZWRhbCwgTC4gUi48L2F1dGhvcj48YXV0aG9yPlZpc3RhZCwgSS48
L2F1dGhvcj48YXV0aG9yPk92ZXJieSwgTi4gQy48L2F1dGhvcj48YXV0aG9yPkJlcmUsIEUuPC9h
dXRob3I+PGF1dGhvcj5Ub3JzdHZlaXQsIE0uIEsuPC9hdXRob3I+PGF1dGhvcj5Mb2huZS1TZWls
ZXIsIEguPC9hdXRob3I+PGF1dGhvcj5IaWxsZXN1bmQsIEUuIFIuPC9hdXRob3I+PGF1dGhvcj5Q
cmlwcCwgQS48L2F1dGhvcj48YXV0aG9yPkhlbnJpa3NlbiwgVC48L2F1dGhvcj48L2F1dGhvcnM+
PC9jb250cmlidXRvcnM+PGF1dGgtYWRkcmVzcz5EZXBhcnRtZW50IG9mIE9ic3RldHJpY3MgYW5k
IEd5bmVjb2xvZ3kvRGVwYXJ0bWVudCBvZiBSZXNlYXJjaCwgU29ybGFuZGV0IEhvc3BpdGFsLCBQ
b3N0Ym94IDQxNiwgNDYwNCwgS3Jpc3RpYW5zYW5kLCBOb3J3YXkuIGxpbmRhLnNhZ2VkYWxAc3No
Zi5uby4mI3hEO0RlcGFydG1lbnQgb2YgT2JzdGV0cmljcyBhbmQgR3luZWNvbG9neS9EZXBhcnRt
ZW50IG9mIFJlc2VhcmNoLCBTb3JsYW5kZXQgSG9zcGl0YWwsIFBvc3Rib3ggNDE2LCA0NjA0LCBL
cmlzdGlhbnNhbmQsIE5vcndheS4mI3hEO0RlcGFydG1lbnQgb2YgUHVibGljIEhlYWx0aCwgU3Bv
cnRzIGFuZCBOdXRyaXRpb24sIFVuaXZlcnNpdHkgb2YgQWdkZXIsIFBvc3Rib3ggNDIyLCA0NjA0
LCBLcmlzdGlhbnNhbmQsIE5vcndheS4mI3hEO0RlcGFydG1lbnQgb2YgQmlvc3RhdGlzdGljcyBh
bmQgRXBpZGVtaW9sb2d5LCBPc2xvIFVuaXZlcnNpdHkgSG9zcGl0YWwsIFBvc3Rib3ggNDk1MCwg
TnlkYWxlbiwgMDQyNCwgT3NsbywgTm9yd2F5LiYjeEQ7U2VjdGlvbiBvZiBPYnN0ZXRyaWNzLCBX
b21lbiBhbmQgQ2hpbGRyZW4mYXBvcztzIERpdmlzaW9uLCBPc2xvIFVuaXZlcnNpdHkgSG9zcGl0
YWwgYW5kIFVuaXZlcnNpdHkgb2YgT3NsbywgUG9zdGJveCA0OTUwLCBOeWRhbGVuLCAwNDI0LCBP
c2xvLCBOb3J3YXkuPC9hdXRoLWFkZHJlc3M+PHRpdGxlcz48dGl0bGU+VGhlIGVmZmVjdCBvZiBh
IHByZW5hdGFsIGxpZmVzdHlsZSBpbnRlcnZlbnRpb24gb24gZ2x1Y29zZSBtZXRhYm9saXNtOiBy
ZXN1bHRzIG9mIHRoZSBOb3J3ZWdpYW4gRml0IGZvciBEZWxpdmVyeSByYW5kb21pemVkIGNvbnRy
b2xsZWQgdHJpYWw8L3RpdGxlPjxzZWNvbmRhcnktdGl0bGU+Qk1DIFByZWduYW5jeSBDaGlsZGJp
cnRoPC9zZWNvbmRhcnktdGl0bGU+PC90aXRsZXM+PHBlcmlvZGljYWw+PGZ1bGwtdGl0bGU+Qk1D
IFByZWduYW5jeSBDaGlsZGJpcnRoPC9mdWxsLXRpdGxlPjwvcGVyaW9kaWNhbD48cGFnZXM+MTY3
PC9wYWdlcz48dm9sdW1lPjE3PC92b2x1bWU+PG51bWJlcj4xPC9udW1iZXI+PGVkaXRpb24+MjAx
Ny8wNi8wNTwvZWRpdGlvbj48a2V5d29yZHM+PGtleXdvcmQ+QWR1bHQ8L2tleXdvcmQ+PGtleXdv
cmQ+Qm9keSBNYXNzIEluZGV4PC9rZXl3b3JkPjxrZXl3b3JkPkRpYWJldGVzLCBHZXN0YXRpb25h
bC9wcmV2ZW50aW9uICZhbXA7IGNvbnRyb2w8L2tleXdvcmQ+PGtleXdvcmQ+RmVtYWxlPC9rZXl3
b3JkPjxrZXl3b3JkPkhlYWx0aCBQcm9tb3Rpb24vKm1ldGhvZHM8L2tleXdvcmQ+PGtleXdvcmQ+
SHVtYW5zPC9rZXl3b3JkPjxrZXl3b3JkPipJbnN1bGluIFJlc2lzdGFuY2U8L2tleXdvcmQ+PGtl
eXdvcmQ+Tm9yd2F5PC9rZXl3b3JkPjxrZXl3b3JkPk9iZXNpdHkvbWV0YWJvbGlzbS8qcHJldmVu
dGlvbiAmYW1wOyBjb250cm9sPC9rZXl3b3JkPjxrZXl3b3JkPlByZWduYW5jeTwva2V5d29yZD48
a2V5d29yZD5QcmVnbmFuY3kgQ29tcGxpY2F0aW9ucy9tZXRhYm9saXNtLypwcmV2ZW50aW9uICZh
bXA7IGNvbnRyb2w8L2tleXdvcmQ+PGtleXdvcmQ+UHJlbmF0YWwgQ2FyZS8qbWV0aG9kczwva2V5
d29yZD48a2V5d29yZD5Zb3VuZyBBZHVsdDwva2V5d29yZD48a2V5d29yZD5HZXN0YXRpb25hbCBk
aWFiZXRlczwva2V5d29yZD48a2V5d29yZD5JbnRlcnZlbnRpb248L2tleXdvcmQ+PGtleXdvcmQ+
TGlmZXN0eWxlPC9rZXl3b3JkPjxrZXl3b3JkPk9iZXNpdHk8L2tleXdvcmQ+PGtleXdvcmQ+T3Zl
cndlaWdodDwva2V5d29yZD48L2tleXdvcmRzPjxkYXRlcz48eWVhcj4yMDE3PC95ZWFyPjxwdWIt
ZGF0ZXM+PGRhdGU+SnVuIDI8L2RhdGU+PC9wdWItZGF0ZXM+PC9kYXRlcz48aXNibj4xNDcxLTIz
OTMgKEVsZWN0cm9uaWMpJiN4RDsxNDcxLTIzOTMgKExpbmtpbmcpPC9pc2JuPjxhY2Nlc3Npb24t
bnVtPjI4NTc3NTQ1PC9hY2Nlc3Npb24tbnVtPjx1cmxzPjxyZWxhdGVkLXVybHM+PHVybD5odHRw
czovL3d3dy5uY2JpLm5sbS5uaWguZ292L3B1Ym1lZC8yODU3NzU0NTwvdXJsPjwvcmVsYXRlZC11
cmxzPjwvdXJscz48Y3VzdG9tMj5QTUM1NDU3NTQzPC9jdXN0b20yPjxlbGVjdHJvbmljLXJlc291
cmNlLW51bT4xMC4xMTg2L3MxMjg4NC0wMTctMTM0MC02PC9lbGVjdHJvbmljLXJlc291cmNlLW51
bT48L3JlY29yZD48L0NpdGU+PENpdGU+PEF1dGhvcj5Bc2JlZTwvQXV0aG9yPjxZZWFyPjIwMDk8
L1llYXI+PFJlY051bT42NjY8L1JlY051bT48cmVjb3JkPjxyZWMtbnVtYmVyPjY2NjwvcmVjLW51
bWJlcj48Zm9yZWlnbi1rZXlzPjxrZXkgYXBwPSJFTiIgZGItaWQ9ImV4dmFzcmZ4MmR0cmFvZXNh
c3hwMnN6c3hhMmRmNTAyNTkyeCIgdGltZXN0YW1wPSIxNTQwNTI2NDk1Ij42NjY8L2tleT48L2Zv
cmVpZ24ta2V5cz48cmVmLXR5cGUgbmFtZT0iSm91cm5hbCBBcnRpY2xlIj4xNzwvcmVmLXR5cGU+
PGNvbnRyaWJ1dG9ycz48YXV0aG9ycz48YXV0aG9yPkFzYmVlLCBTLiBNLjwvYXV0aG9yPjxhdXRo
b3I+SmVua2lucywgVC4gUi48L2F1dGhvcj48YXV0aG9yPkJ1dGxlciwgSi4gUi48L2F1dGhvcj48
YXV0aG9yPldoaXRlLCBKLjwvYXV0aG9yPjxhdXRob3I+RWxsaW90LCBNLjwvYXV0aG9yPjxhdXRo
b3I+UnV0bGVkZ2UsIEEuPC9hdXRob3I+PC9hdXRob3JzPjwvY29udHJpYnV0b3JzPjxhdXRoLWFk
ZHJlc3M+Q2Fyb2xpbmFzIE1lZGljYWwgQ2VudGVyLCBDaGFybG90dGUsIE5vcnRoIENhcm9saW5h
LCBVU0EuIGRyc2hlbGx5QGVhcnRobGluay5uZXQ8L2F1dGgtYWRkcmVzcz48dGl0bGVzPjx0aXRs
ZT5QcmV2ZW50aW5nIGV4Y2Vzc2l2ZSB3ZWlnaHQgZ2FpbiBkdXJpbmcgcHJlZ25hbmN5IHRocm91
Z2ggZGlldGFyeSBhbmQgbGlmZXN0eWxlIGNvdW5zZWxpbmc6IGEgcmFuZG9taXplZCBjb250cm9s
bGVkIHRyaWFsPC90aXRsZT48c2Vjb25kYXJ5LXRpdGxlPk9ic3RldCBHeW5lY29sPC9zZWNvbmRh
cnktdGl0bGU+PC90aXRsZXM+PHBlcmlvZGljYWw+PGZ1bGwtdGl0bGU+T2JzdGV0IEd5bmVjb2w8
L2Z1bGwtdGl0bGU+PC9wZXJpb2RpY2FsPjxwYWdlcz4zMDUtMTI8L3BhZ2VzPjx2b2x1bWU+MTEz
PC92b2x1bWU+PG51bWJlcj4yIFB0IDE8L251bWJlcj48ZWRpdGlvbj4yMDA5LzAxLzIyPC9lZGl0
aW9uPjxrZXl3b3Jkcz48a2V5d29yZD5BZHVsdDwva2V5d29yZD48a2V5d29yZD5CaXJ0aCBXZWln
aHQ8L2tleXdvcmQ+PGtleXdvcmQ+Qm9keSBNYXNzIEluZGV4PC9rZXl3b3JkPjxrZXl3b3JkPipE
aXJlY3RpdmUgQ291bnNlbGluZzwva2V5d29yZD48a2V5d29yZD5GZW1hbGU8L2tleXdvcmQ+PGtl
eXdvcmQ+SHVtYW5zPC9rZXl3b3JkPjxrZXl3b3JkPkluZmFudCwgTmV3Ym9ybjwva2V5d29yZD48
a2V5d29yZD5NaWRkbGUgQWdlZDwva2V5d29yZD48a2V5d29yZD5PYmVzaXR5LypkaWV0IHRoZXJh
cHkvKnByZXZlbnRpb24gJmFtcDsgY29udHJvbDwva2V5d29yZD48a2V5d29yZD5QYXRpZW50IENv
bXBsaWFuY2U8L2tleXdvcmQ+PGtleXdvcmQ+UHJlZ25hbmN5PC9rZXl3b3JkPjxrZXl3b3JkPlBy
ZWduYW5jeSBDb21wbGljYXRpb25zLypkaWV0IHRoZXJhcHkvKnByZXZlbnRpb24gJmFtcDsgY29u
dHJvbDwva2V5d29yZD48a2V5d29yZD5QcmVuYXRhbCBDYXJlLyptZXRob2RzPC9rZXl3b3JkPjxr
ZXl3b3JkPlJpc2sgUmVkdWN0aW9uIEJlaGF2aW9yPC9rZXl3b3JkPjxrZXl3b3JkPldlaWdodCBH
YWluPC9rZXl3b3JkPjxrZXl3b3JkPllvdW5nIEFkdWx0PC9rZXl3b3JkPjwva2V5d29yZHM+PGRh
dGVzPjx5ZWFyPjIwMDk8L3llYXI+PHB1Yi1kYXRlcz48ZGF0ZT5GZWI8L2RhdGU+PC9wdWItZGF0
ZXM+PC9kYXRlcz48aXNibj4wMDI5LTc4NDQgKFByaW50KSYjeEQ7MDAyOS03ODQ0IChMaW5raW5n
KTwvaXNibj48YWNjZXNzaW9uLW51bT4xOTE1NTg5OTwvYWNjZXNzaW9uLW51bT48dXJscz48cmVs
YXRlZC11cmxzPjx1cmw+aHR0cHM6Ly93d3cubmNiaS5ubG0ubmloLmdvdi9wdWJtZWQvMTkxNTU4
OTk8L3VybD48L3JlbGF0ZWQtdXJscz48L3VybHM+PGVsZWN0cm9uaWMtcmVzb3VyY2UtbnVtPjEw
LjEwOTcvQU9HLjBiMDEzZTMxODE5NWJhZWY8L2VsZWN0cm9uaWMtcmVzb3VyY2UtbnVtPjwvcmVj
b3JkPjwvQ2l0ZT48Q2l0ZT48QXV0aG9yPkFzY2k8L0F1dGhvcj48WWVhcj4yMDE2PC9ZZWFyPjxS
ZWNOdW0+NzQyPC9SZWNOdW0+PHJlY29yZD48cmVjLW51bWJlcj43NDI8L3JlYy1udW1iZXI+PGZv
cmVpZ24ta2V5cz48a2V5IGFwcD0iRU4iIGRiLWlkPSJleHZhc3JmeDJkdHJhb2VzYXN4cDJzenN4
YTJkZjUwMjU5MngiIHRpbWVzdGFtcD0iMTU0MTQ2Nzg2OCI+NzQyPC9rZXk+PGtleSBhcHA9IkVO
V2ViIiBkYi1pZD0iIj4wPC9rZXk+PC9mb3JlaWduLWtleXM+PHJlZi10eXBlIG5hbWU9IkpvdXJu
YWwgQXJ0aWNsZSI+MTc8L3JlZi10eXBlPjxjb250cmlidXRvcnM+PGF1dGhvcnM+PGF1dGhvcj5B
c2NpLCBPLjwvYXV0aG9yPjxhdXRob3I+UmF0aGZpc2NoLCBHLjwvYXV0aG9yPjwvYXV0aG9ycz48
L2NvbnRyaWJ1dG9ycz48YXV0aC1hZGRyZXNzPk51cnNpbmcgRGVwYXJ0bWVudCBvZiBIZWFsdGgg
U2NpZW5jZXMgRmFjdWx0eSwgQXJ0dmluIENvcnVoIFVuaXZlcnNpdHksIENheWFnemkgTWFoLiBM
aWZsZXZoYSBTb2suLCAwODAwLCBBcnR2aW4sIFR1cmtleS4gYXNjaS5zLm96bGVtQGdtYWlsLmNv
bS4mI3hEO051cnNpbmcgRmFjdWx0eSBvZiBPYnN0ZXRyaWNzIE51cnNpbmcgRGVwYXJ0bWVudCwg
RmxvcmVuY2UgTmlnaHRpbmdhbGUgU2Nob29sIG9mIE51cnNpbmcsIElzdGFuYnVsIFVuaXZlcnNp
dHksIEFiaWRlaSBIdXJyaXlldCBjYWQuLCAzNDM4MSwgSXN0YW5idWwsIFR1cmtleS4gZ3VsdW15
aWxAeWFob28uY29tLjwvYXV0aC1hZGRyZXNzPjx0aXRsZXM+PHRpdGxlPkVmZmVjdCBvZiBsaWZl
c3R5bGUgaW50ZXJ2ZW50aW9ucyBvZiBwcmVnbmFudCB3b21lbiBvbiB0aGVpciBkaWV0YXJ5IGhh
Yml0cywgbGlmZXN0eWxlIGJlaGF2aW9ycywgYW5kIHdlaWdodCBnYWluOiBhIHJhbmRvbWl6ZWQg
Y29udHJvbGxlZCB0cmlhbDwvdGl0bGU+PHNlY29uZGFyeS10aXRsZT5KIEhlYWx0aCBQb3B1bCBO
dXRyPC9zZWNvbmRhcnktdGl0bGU+PC90aXRsZXM+PHBlcmlvZGljYWw+PGZ1bGwtdGl0bGU+SiBI
ZWFsdGggUG9wdWwgTnV0cjwvZnVsbC10aXRsZT48L3BlcmlvZGljYWw+PHBhZ2VzPjc8L3BhZ2Vz
Pjx2b2x1bWU+MzU8L3ZvbHVtZT48ZWRpdGlvbj4yMDE2LzAyLzI2PC9lZGl0aW9uPjxrZXl3b3Jk
cz48a2V5d29yZD5BZHVsdDwva2V5d29yZD48a2V5d29yZD5Cb2R5IE1hc3MgSW5kZXg8L2tleXdv
cmQ+PGtleXdvcmQ+RmVlZGluZyBCZWhhdmlvci9ldGhub2xvZ3k8L2tleXdvcmQ+PGtleXdvcmQ+
RmVtYWxlPC9rZXl3b3JkPjxrZXl3b3JkPkZvbGxvdy1VcCBTdHVkaWVzPC9rZXl3b3JkPjxrZXl3
b3JkPkhhYml0czwva2V5d29yZD48a2V5d29yZD4qSGVhbHRoeSBEaWV0L2V0aG5vbG9neTwva2V5
d29yZD48a2V5d29yZD4qSGVhbHRoeSBMaWZlc3R5bGU8L2tleXdvcmQ+PGtleXdvcmQ+SHVtYW5z
PC9rZXl3b3JkPjxrZXl3b3JkPk1hdGVybmFsIEJlaGF2aW9yL2V0aG5vbG9neTwva2V5d29yZD48
a2V5d29yZD4qTWF0ZXJuYWwgTnV0cml0aW9uYWwgUGh5c2lvbG9naWNhbCBQaGVub21lbmEvZXRo
bm9sb2d5PC9rZXl3b3JkPjxrZXl3b3JkPk92ZXJ3ZWlnaHQvZXRobm9sb2d5LypwcmV2ZW50aW9u
ICZhbXA7IGNvbnRyb2w8L2tleXdvcmQ+PGtleXdvcmQ+UGF0aWVudCBDb21wbGlhbmNlL2V0aG5v
bG9neTwva2V5d29yZD48a2V5d29yZD5QYXRpZW50IERyb3BvdXRzPC9rZXl3b3JkPjxrZXl3b3Jk
PipQcmVjaXNpb24gTWVkaWNpbmU8L2tleXdvcmQ+PGtleXdvcmQ+UHJlZ25hbmN5PC9rZXl3b3Jk
PjxrZXl3b3JkPlByZWduYW5jeSBDb21wbGljYXRpb25zL2V0aG5vbG9neS8qcHJldmVudGlvbiAm
YW1wOyBjb250cm9sPC9rZXl3b3JkPjxrZXl3b3JkPlNpbmdsZS1CbGluZCBNZXRob2Q8L2tleXdv
cmQ+PGtleXdvcmQ+VHVya2V5PC9rZXl3b3JkPjxrZXl3b3JkPipVcmJhbiBIZWFsdGgvZXRobm9s
b2d5PC9rZXl3b3JkPjxrZXl3b3JkPldlaWdodCBHYWluL2V0aG5vbG9neTwva2V5d29yZD48a2V5
d29yZD5Zb3VuZyBBZHVsdDwva2V5d29yZD48L2tleXdvcmRzPjxkYXRlcz48eWVhcj4yMDE2PC95
ZWFyPjxwdWItZGF0ZXM+PGRhdGU+RmViIDI0PC9kYXRlPjwvcHViLWRhdGVzPjwvZGF0ZXM+PGlz
Ym4+MjA3Mi0xMzE1IChFbGVjdHJvbmljKSYjeEQ7MTYwNi0wOTk3IChMaW5raW5nKTwvaXNibj48
YWNjZXNzaW9uLW51bT4yNjkxMTIwNDwvYWNjZXNzaW9uLW51bT48dXJscz48cmVsYXRlZC11cmxz
Pjx1cmw+aHR0cHM6Ly93d3cubmNiaS5ubG0ubmloLmdvdi9wdWJtZWQvMjY5MTEyMDQ8L3VybD48
L3JlbGF0ZWQtdXJscz48L3VybHM+PGN1c3RvbTI+UE1DNTAyNTk3NjwvY3VzdG9tMj48ZWxlY3Ry
b25pYy1yZXNvdXJjZS1udW0+MTAuMTE4Ni9zNDEwNDMtMDE2LTAwNDQtMjwvZWxlY3Ryb25pYy1y
ZXNvdXJjZS1udW0+PC9yZWNvcmQ+PC9DaXRlPjxDaXRlPjxBdXRob3I+SHVpPC9BdXRob3I+PFll
YXI+MjAxMjwvWWVhcj48UmVjTnVtPjc0NjwvUmVjTnVtPjxyZWNvcmQ+PHJlYy1udW1iZXI+NzQ2
PC9yZWMtbnVtYmVyPjxmb3JlaWduLWtleXM+PGtleSBhcHA9IkVOIiBkYi1pZD0iZXh2YXNyZngy
ZHRyYW9lc2FzeHAyc3pzeGEyZGY1MDI1OTJ4IiB0aW1lc3RhbXA9IjE1NDE0Njc4OTQiPjc0Njwv
a2V5PjxrZXkgYXBwPSJFTldlYiIgZGItaWQ9IiI+MDwva2V5PjwvZm9yZWlnbi1rZXlzPjxyZWYt
dHlwZSBuYW1lPSJKb3VybmFsIEFydGljbGUiPjE3PC9yZWYtdHlwZT48Y29udHJpYnV0b3JzPjxh
dXRob3JzPjxhdXRob3I+SHVpLCBBLjwvYXV0aG9yPjxhdXRob3I+QmFjaywgTC48L2F1dGhvcj48
YXV0aG9yPkx1ZHdpZywgUy48L2F1dGhvcj48YXV0aG9yPkdhcmRpbmVyLCBQLjwvYXV0aG9yPjxh
dXRob3I+U2V2ZW5odXlzZW4sIEcuPC9hdXRob3I+PGF1dGhvcj5EZWFuLCBILjwvYXV0aG9yPjxh
dXRob3I+U2VsbGVycywgRS48L2F1dGhvcj48YXV0aG9yPk1jR2F2b2NrLCBKLjwvYXV0aG9yPjxh
dXRob3I+TW9ycmlzLCBNLjwvYXV0aG9yPjxhdXRob3I+QnJ1Y2UsIFMuPC9hdXRob3I+PGF1dGhv
cj5NdXJyYXksIFIuPC9hdXRob3I+PGF1dGhvcj5TaGVuLCBHLiBYLjwvYXV0aG9yPjwvYXV0aG9y
cz48L2NvbnRyaWJ1dG9ycz48YXV0aC1hZGRyZXNzPkRlcGFydG1lbnQgb2YgSW50ZXJuYWwgTWVk
aWNpbmUsIFVuaXZlcnNpdHkgb2YgTWFuaXRvYmEsIFdpbm5pcGVnLCBNYW5pdG9iYSwgQ2FuYWRh
LjwvYXV0aC1hZGRyZXNzPjx0aXRsZXM+PHRpdGxlPkxpZmVzdHlsZSBpbnRlcnZlbnRpb24gb24g
ZGlldCBhbmQgZXhlcmNpc2UgcmVkdWNlZCBleGNlc3NpdmUgZ2VzdGF0aW9uYWwgd2VpZ2h0IGdh
aW4gaW4gcHJlZ25hbnQgd29tZW4gdW5kZXIgYSByYW5kb21pc2VkIGNvbnRyb2xsZWQgdHJpYWw8
L3RpdGxlPjxzZWNvbmRhcnktdGl0bGU+QkpPRzwvc2Vjb25kYXJ5LXRpdGxlPjwvdGl0bGVzPjxw
ZXJpb2RpY2FsPjxmdWxsLXRpdGxlPkJKT0c8L2Z1bGwtdGl0bGU+PC9wZXJpb2RpY2FsPjxwYWdl
cz43MC03PC9wYWdlcz48dm9sdW1lPjExOTwvdm9sdW1lPjxudW1iZXI+MTwvbnVtYmVyPjxlZGl0
aW9uPjIwMTEvMTAvMjU8L2VkaXRpb24+PGtleXdvcmRzPjxrZXl3b3JkPkFkdWx0PC9rZXl3b3Jk
PjxrZXl3b3JkPkNvdW5zZWxpbmc8L2tleXdvcmQ+PGtleXdvcmQ+KkRpZXQ8L2tleXdvcmQ+PGtl
eXdvcmQ+RW5lcmd5IEludGFrZTwva2V5d29yZD48a2V5d29yZD5FeGVyY2lzZSBUaGVyYXB5Lypt
ZXRob2RzPC9rZXl3b3JkPjxrZXl3b3JkPkZlbWFsZTwva2V5d29yZD48a2V5d29yZD5IdW1hbnM8
L2tleXdvcmQ+PGtleXdvcmQ+KkxpZmUgU3R5bGU8L2tleXdvcmQ+PGtleXdvcmQ+UGF0aWVudCBF
ZHVjYXRpb24gYXMgVG9waWM8L2tleXdvcmQ+PGtleXdvcmQ+UHJlZ25hbmN5PC9rZXl3b3JkPjxr
ZXl3b3JkPlByZWduYW5jeSBDb21wbGljYXRpb25zLypwcmV2ZW50aW9uICZhbXA7IGNvbnRyb2w8
L2tleXdvcmQ+PGtleXdvcmQ+UHJlZ25hbmN5IE91dGNvbWU8L2tleXdvcmQ+PGtleXdvcmQ+UHJl
bmF0YWwgQ2FyZS8qbWV0aG9kczwva2V5d29yZD48a2V5d29yZD5VcmJhbiBIZWFsdGg8L2tleXdv
cmQ+PGtleXdvcmQ+V2VpZ2h0IEdhaW4vKnBoeXNpb2xvZ3k8L2tleXdvcmQ+PGtleXdvcmQ+WW91
bmcgQWR1bHQ8L2tleXdvcmQ+PC9rZXl3b3Jkcz48ZGF0ZXM+PHllYXI+MjAxMjwveWVhcj48cHVi
LWRhdGVzPjxkYXRlPkphbjwvZGF0ZT48L3B1Yi1kYXRlcz48L2RhdGVzPjxpc2JuPjE0NzEtMDUy
OCAoRWxlY3Ryb25pYykmI3hEOzE0NzAtMDMyOCAoTGlua2luZyk8L2lzYm4+PGFjY2Vzc2lvbi1u
dW0+MjIwMTc5Njc8L2FjY2Vzc2lvbi1udW0+PHVybHM+PHJlbGF0ZWQtdXJscz48dXJsPmh0dHBz
Oi8vd3d3Lm5jYmkubmxtLm5paC5nb3YvcHVibWVkLzIyMDE3OTY3PC91cmw+PC9yZWxhdGVkLXVy
bHM+PC91cmxzPjxlbGVjdHJvbmljLXJlc291cmNlLW51bT4xMC4xMTExL2ouMTQ3MS0wNTI4LjIw
MTEuMDMxODQueDwvZWxlY3Ryb25pYy1yZXNvdXJjZS1udW0+PC9yZWNvcmQ+PC9DaXRlPjxDaXRl
PjxBdXRob3I+SHVpPC9BdXRob3I+PFllYXI+MjAxNDwvWWVhcj48UmVjTnVtPjc2MzwvUmVjTnVt
PjxyZWNvcmQ+PHJlYy1udW1iZXI+NzYzPC9yZWMtbnVtYmVyPjxmb3JlaWduLWtleXM+PGtleSBh
cHA9IkVOIiBkYi1pZD0iZXh2YXNyZngyZHRyYW9lc2FzeHAyc3pzeGEyZGY1MDI1OTJ4IiB0aW1l
c3RhbXA9IjE1NDE0Njg0NDYiPjc2Mzwva2V5PjwvZm9yZWlnbi1rZXlzPjxyZWYtdHlwZSBuYW1l
PSJKb3VybmFsIEFydGljbGUiPjE3PC9yZWYtdHlwZT48Y29udHJpYnV0b3JzPjxhdXRob3JzPjxh
dXRob3I+SHVpLCBBLiBMLjwvYXV0aG9yPjxhdXRob3I+QmFjaywgTC48L2F1dGhvcj48YXV0aG9y
Pkx1ZHdpZywgUy48L2F1dGhvcj48YXV0aG9yPkdhcmRpbmVyLCBQLjwvYXV0aG9yPjxhdXRob3I+
U2V2ZW5odXlzZW4sIEcuPC9hdXRob3I+PGF1dGhvcj5EZWFuLCBILiBKLjwvYXV0aG9yPjxhdXRo
b3I+U2VsbGVycywgRS48L2F1dGhvcj48YXV0aG9yPk1jR2F2b2NrLCBKLjwvYXV0aG9yPjxhdXRo
b3I+TW9ycmlzLCBNLjwvYXV0aG9yPjxhdXRob3I+SmlhbmcsIEQuPC9hdXRob3I+PGF1dGhvcj5T
aGVuLCBHLiBYLjwvYXV0aG9yPjwvYXV0aG9ycz48L2NvbnRyaWJ1dG9ycz48YXV0aC1hZGRyZXNz
PkRlcGFydG1lbnRzIG9mIEludGVybmFsIE1lZGljaW5lLCBVbml2ZXJzaXR5IG9mIE1hbml0b2Jh
LCBSb29tIDgwMUQsIDcxNSBNY0Rlcm1vdCBBdmUsLCBXaW5uaXBlZywgTUIgUjNFIDNQNCwgQ2Fu
YWRhLiBBbXkuSHVpQG1lZC51bWFuaXRvYmEuY2EuPC9hdXRoLWFkZHJlc3M+PHRpdGxlcz48dGl0
bGU+RWZmZWN0cyBvZiBsaWZlc3R5bGUgaW50ZXJ2ZW50aW9uIG9uIGRpZXRhcnkgaW50YWtlLCBw
aHlzaWNhbCBhY3Rpdml0eSBsZXZlbCwgYW5kIGdlc3RhdGlvbmFsIHdlaWdodCBnYWluIGluIHBy
ZWduYW50IHdvbWVuIHdpdGggZGlmZmVyZW50IHByZS1wcmVnbmFuY3kgQm9keSBNYXNzIEluZGV4
IGluIGEgcmFuZG9taXplZCBjb250cm9sIHRyaWFsPC90aXRsZT48c2Vjb25kYXJ5LXRpdGxlPkJN
QyBQcmVnbmFuY3kgQ2hpbGRiaXJ0aDwvc2Vjb25kYXJ5LXRpdGxlPjwvdGl0bGVzPjxwZXJpb2Rp
Y2FsPjxmdWxsLXRpdGxlPkJNQyBQcmVnbmFuY3kgQ2hpbGRiaXJ0aDwvZnVsbC10aXRsZT48L3Bl
cmlvZGljYWw+PHBhZ2VzPjMzMTwvcGFnZXM+PHZvbHVtZT4xNDwvdm9sdW1lPjxlZGl0aW9uPjIw
MTQvMDkvMjU8L2VkaXRpb24+PGtleXdvcmRzPjxrZXl3b3JkPkFkdWx0PC9rZXl3b3JkPjxrZXl3
b3JkPipCb2R5IE1hc3MgSW5kZXg8L2tleXdvcmQ+PGtleXdvcmQ+Q291bnNlbGluZzwva2V5d29y
ZD48a2V5d29yZD4qRGlldDwva2V5d29yZD48a2V5d29yZD5FbmVyZ3kgSW50YWtlPC9rZXl3b3Jk
PjxrZXl3b3JkPkV4ZXJjaXNlIFRoZXJhcHkvKm1ldGhvZHM8L2tleXdvcmQ+PGtleXdvcmQ+RmVt
YWxlPC9rZXl3b3JkPjxrZXl3b3JkPkZvbGxvdy1VcCBTdHVkaWVzPC9rZXl3b3JkPjxrZXl3b3Jk
Pkdlc3RhdGlvbmFsIEFnZTwva2V5d29yZD48a2V5d29yZD5IdW1hbnM8L2tleXdvcmQ+PGtleXdv
cmQ+KkxpZmUgU3R5bGU8L2tleXdvcmQ+PGtleXdvcmQ+T2Jlc2l0eS9wcmV2ZW50aW9uICZhbXA7
IGNvbnRyb2wvKnRoZXJhcHk8L2tleXdvcmQ+PGtleXdvcmQ+UGF0aWVudCBDb21wbGlhbmNlL3N0
YXRpc3RpY3MgJmFtcDsgbnVtZXJpY2FsIGRhdGE8L2tleXdvcmQ+PGtleXdvcmQ+UGF0aWVudCBF
ZHVjYXRpb24gYXMgVG9waWM8L2tleXdvcmQ+PGtleXdvcmQ+UHJlZ25hbmN5PC9rZXl3b3JkPjxr
ZXl3b3JkPlByZWduYW5jeSBPdXRjb21lPC9rZXl3b3JkPjxrZXl3b3JkPlByZW5hdGFsIENhcmUv
bWV0aG9kczwva2V5d29yZD48a2V5d29yZD4qV2VpZ2h0IEdhaW48L2tleXdvcmQ+PGtleXdvcmQ+
WW91bmcgQWR1bHQ8L2tleXdvcmQ+PC9rZXl3b3Jkcz48ZGF0ZXM+PHllYXI+MjAxNDwveWVhcj48
cHViLWRhdGVzPjxkYXRlPlNlcCAyNDwvZGF0ZT48L3B1Yi1kYXRlcz48L2RhdGVzPjxpc2JuPjE0
NzEtMjM5MyAoRWxlY3Ryb25pYykmI3hEOzE0NzEtMjM5MyAoTGlua2luZyk8L2lzYm4+PGFjY2Vz
c2lvbi1udW0+MjUyNDg3OTc8L2FjY2Vzc2lvbi1udW0+PHVybHM+PHJlbGF0ZWQtdXJscz48dXJs
Pmh0dHBzOi8vd3d3Lm5jYmkubmxtLm5paC5nb3YvcHVibWVkLzI1MjQ4Nzk3PC91cmw+PC9yZWxh
dGVkLXVybHM+PC91cmxzPjxjdXN0b20yPlBNQzQyODc0NzA8L2N1c3RvbTI+PGVsZWN0cm9uaWMt
cmVzb3VyY2UtbnVtPjEwLjExODYvMTQ3MS0yMzkzLTE0LTMzMTwvZWxlY3Ryb25pYy1yZXNvdXJj
ZS1udW0+PC9yZWNvcmQ+PC9DaXRlPjxDaXRlPjxBdXRob3I+SmluZzwvQXV0aG9yPjxZZWFyPjIw
MTU8L1llYXI+PFJlY051bT42MDk8L1JlY051bT48cmVjb3JkPjxyZWMtbnVtYmVyPjYwOTwvcmVj
LW51bWJlcj48Zm9yZWlnbi1rZXlzPjxrZXkgYXBwPSJFTiIgZGItaWQ9ImV4dmFzcmZ4MmR0cmFv
ZXNhc3hwMnN6c3hhMmRmNTAyNTkyeCIgdGltZXN0YW1wPSIxNTM5MDQ4MzM5Ij42MDk8L2tleT48
a2V5IGFwcD0iRU5XZWIiIGRiLWlkPSIiPjA8L2tleT48L2ZvcmVpZ24ta2V5cz48cmVmLXR5cGUg
bmFtZT0iSm91cm5hbCBBcnRpY2xlIj4xNzwvcmVmLXR5cGU+PGNvbnRyaWJ1dG9ycz48YXV0aG9y
cz48YXV0aG9yPkppbmcsIFcuPC9hdXRob3I+PGF1dGhvcj5IdWFuZywgWS48L2F1dGhvcj48YXV0
aG9yPkxpdSwgWC48L2F1dGhvcj48YXV0aG9yPkx1bywgQi48L2F1dGhvcj48YXV0aG9yPllhbmcs
IFkuPC9hdXRob3I+PGF1dGhvcj5MaWFvLCBTLjwvYXV0aG9yPjwvYXV0aG9ycz48L2NvbnRyaWJ1
dG9ycz48YXV0aC1hZGRyZXNzPkRlcGFydG1lbnQgb2YgT2JzdGV0cmljcywgV2VzdCBDaGluYSBT
ZWNvbmQgVW5pdmVyc2l0eSBIb3NwaXRhbCwgU2ljaHVhbiBVbml2ZXJzaXR5LCBDaGVuZ2R1LCBT
aWNodWFuLCBDaGluYS4mI3hEO0RlcGFydG1lbnQgb2YgT2JzdGV0cmljcywgV2VzdCBDaGluYSBT
ZWNvbmQgVW5pdmVyc2l0eSBIb3NwaXRhbCwgU2ljaHVhbiBVbml2ZXJzaXR5LCBDaGVuZ2R1LCBT
aWNodWFuLCBDaGluYS4gRWxlY3Ryb25pYyBhZGRyZXNzOiAyODQyNzA3NzhAcXEuY29tLjwvYXV0
aC1hZGRyZXNzPjx0aXRsZXM+PHRpdGxlPlRoZSBlZmZlY3Qgb2YgYSBwZXJzb25hbGl6ZWQgaW50
ZXJ2ZW50aW9uIG9uIHdlaWdodCBnYWluIGFuZCBwaHlzaWNhbCBhY3Rpdml0eSBhbW9uZyBwcmVn
bmFudCB3b21lbiBpbiBDaGluYTwvdGl0bGU+PHNlY29uZGFyeS10aXRsZT5JbnQgSiBHeW5hZWNv
bCBPYnN0ZXQ8L3NlY29uZGFyeS10aXRsZT48L3RpdGxlcz48cGVyaW9kaWNhbD48ZnVsbC10aXRs
ZT5JbnQgSiBHeW5hZWNvbCBPYnN0ZXQ8L2Z1bGwtdGl0bGU+PC9wZXJpb2RpY2FsPjxwYWdlcz4x
MzgtNDE8L3BhZ2VzPjx2b2x1bWU+MTI5PC92b2x1bWU+PG51bWJlcj4yPC9udW1iZXI+PGVkaXRp
b24+MjAxNS8wMi8yNDwvZWRpdGlvbj48a2V5d29yZHM+PGtleXdvcmQ+QWR1bHQ8L2tleXdvcmQ+
PGtleXdvcmQ+Q2hpbmE8L2tleXdvcmQ+PGtleXdvcmQ+RGlhYmV0ZXMsIEdlc3RhdGlvbmFsL3By
ZXZlbnRpb24gJmFtcDsgY29udHJvbDwva2V5d29yZD48a2V5d29yZD5EaWV0PC9rZXl3b3JkPjxr
ZXl3b3JkPkZlbWFsZTwva2V5d29yZD48a2V5d29yZD5IdW1hbnM8L2tleXdvcmQ+PGtleXdvcmQ+
Kk1vdG9yIEFjdGl2aXR5PC9rZXl3b3JkPjxrZXl3b3JkPlByZWduYW5jeTwva2V5d29yZD48a2V5
d29yZD5QcmVnbmFuY3kgQ29tcGxpY2F0aW9ucy8qcHJldmVudGlvbiAmYW1wOyBjb250cm9sPC9r
ZXl3b3JkPjxrZXl3b3JkPlByZW5hdGFsIEVkdWNhdGlvbi8qbWV0aG9kczwva2V5d29yZD48a2V5
d29yZD5QcmVuYXRhbCBOdXRyaXRpb25hbCBQaHlzaW9sb2dpY2FsIFBoZW5vbWVuYTwva2V5d29y
ZD48a2V5d29yZD5TdXJ2ZXlzIGFuZCBRdWVzdGlvbm5haXJlczwva2V5d29yZD48a2V5d29yZD4q
V2VpZ2h0IEdhaW48L2tleXdvcmQ+PGtleXdvcmQ+RXhjZXNzaXZlIHdlaWdodCBnYWluPC9rZXl3
b3JkPjxrZXl3b3JkPkdlc3RhdGlvbmFsIGRpYWJldGVzIG1lbGxpdHVzPC9rZXl3b3JkPjxrZXl3
b3JkPkhlYWx0aCBiZWxpZWYgbW9kZWw8L2tleXdvcmQ+PGtleXdvcmQ+SW50ZXJ2ZW50aW9uPC9r
ZXl3b3JkPjxrZXl3b3JkPlBoeXNpY2FsIGFjdGl2aXR5PC9rZXl3b3JkPjwva2V5d29yZHM+PGRh
dGVzPjx5ZWFyPjIwMTU8L3llYXI+PHB1Yi1kYXRlcz48ZGF0ZT5NYXk8L2RhdGU+PC9wdWItZGF0
ZXM+PC9kYXRlcz48aXNibj4xODc5LTM0NzkgKEVsZWN0cm9uaWMpJiN4RDswMDIwLTcyOTIgKExp
bmtpbmcpPC9pc2JuPjxhY2Nlc3Npb24tbnVtPjI1Njk3OTY1PC9hY2Nlc3Npb24tbnVtPjx1cmxz
PjxyZWxhdGVkLXVybHM+PHVybD5odHRwczovL3d3dy5uY2JpLm5sbS5uaWguZ292L3B1Ym1lZC8y
NTY5Nzk2NTwvdXJsPjwvcmVsYXRlZC11cmxzPjwvdXJscz48ZWxlY3Ryb25pYy1yZXNvdXJjZS1u
dW0+MTAuMTAxNi9qLmlqZ28uMjAxNC4xMS4wMTQ8L2VsZWN0cm9uaWMtcmVzb3VyY2UtbnVtPjwv
cmVjb3JkPjwvQ2l0ZT48Q2l0ZT48QXV0aG9yPlBhd2FsaWE8L0F1dGhvcj48WWVhcj4yMDE3PC9Z
ZWFyPjxSZWNOdW0+NzUwPC9SZWNOdW0+PHJlY29yZD48cmVjLW51bWJlcj43NTA8L3JlYy1udW1i
ZXI+PGZvcmVpZ24ta2V5cz48a2V5IGFwcD0iRU4iIGRiLWlkPSJleHZhc3JmeDJkdHJhb2VzYXN4
cDJzenN4YTJkZjUwMjU5MngiIHRpbWVzdGFtcD0iMTU0MTQ2NzkxOSI+NzUwPC9rZXk+PGtleSBh
cHA9IkVOV2ViIiBkYi1pZD0iIj4wPC9rZXk+PC9mb3JlaWduLWtleXM+PHJlZi10eXBlIG5hbWU9
IkpvdXJuYWwgQXJ0aWNsZSI+MTc8L3JlZi10eXBlPjxjb250cmlidXRvcnM+PGF1dGhvcnM+PGF1
dGhvcj5QYXdhbGlhLCBBbGthPC9hdXRob3I+PGF1dGhvcj5LdWxhbmRhaXZlbGFuLCBTaXZhY2hp
ZGFtYmFyYW08L2F1dGhvcj48YXV0aG9yPlNhdmFudCwgU2F0eWE8L2F1dGhvcj48YXV0aG9yPllh
ZGF2LCBWaWtyYW0gU2luZ2g8L2F1dGhvcj48L2F1dGhvcnM+PC9jb250cmlidXRvcnM+PHRpdGxl
cz48dGl0bGU+RXhlcmNpc2UgaW4gUHJlZ25hbmN5OiBFZmZlY3Qgb24gT2Jlc2l0eSBQYXJhbWV0
ZXJzIGluIEluZGlhbiBXb21lbiDigJMgQSBSYW5kb21pemVkIENvbnRyb2xsZWQgVHJpYWw8L3Rp
dGxlPjxzZWNvbmRhcnktdGl0bGU+Um9tYW5pYW4gSm91cm5hbCBvZiBEaWFiZXRlcyBOdXRyaXRp
b24gYW5kIE1ldGFib2xpYyBEaXNlYXNlczwvc2Vjb25kYXJ5LXRpdGxlPjwvdGl0bGVzPjxwZXJp
b2RpY2FsPjxmdWxsLXRpdGxlPlJvbWFuaWFuIEpvdXJuYWwgb2YgRGlhYmV0ZXMgTnV0cml0aW9u
IGFuZCBNZXRhYm9saWMgRGlzZWFzZXM8L2Z1bGwtdGl0bGU+PC9wZXJpb2RpY2FsPjx2b2x1bWU+
MjQ8L3ZvbHVtZT48bnVtYmVyPjQ8L251bWJlcj48ZGF0ZXM+PHllYXI+MjAxNzwveWVhcj48L2Rh
dGVzPjxpc2JuPjIyODQtNjQxNzwvaXNibj48dXJscz48L3VybHM+PGVsZWN0cm9uaWMtcmVzb3Vy
Y2UtbnVtPjEwLjE1MTUvcmpkbm1kLTIwMTctMDAzNzwvZWxlY3Ryb25pYy1yZXNvdXJjZS1udW0+
PC9yZWNvcmQ+PC9DaXRlPjxDaXRlPjxBdXRob3I+UGhlbGFuPC9BdXRob3I+PFllYXI+MjAxMTwv
WWVhcj48UmVjTnVtPjcwNTwvUmVjTnVtPjxyZWNvcmQ+PHJlYy1udW1iZXI+NzA1PC9yZWMtbnVt
YmVyPjxmb3JlaWduLWtleXM+PGtleSBhcHA9IkVOIiBkYi1pZD0iZXh2YXNyZngyZHRyYW9lc2Fz
eHAyc3pzeGEyZGY1MDI1OTJ4IiB0aW1lc3RhbXA9IjE1NDA1MzA2MzYiPjcwNTwva2V5PjwvZm9y
ZWlnbi1rZXlzPjxyZWYtdHlwZSBuYW1lPSJKb3VybmFsIEFydGljbGUiPjE3PC9yZWYtdHlwZT48
Y29udHJpYnV0b3JzPjxhdXRob3JzPjxhdXRob3I+UGhlbGFuLCBTLjwvYXV0aG9yPjxhdXRob3I+
UGhpcHBzLCBNLiBHLjwvYXV0aG9yPjxhdXRob3I+QWJyYW1zLCBCLjwvYXV0aG9yPjxhdXRob3I+
RGFycm9jaCwgRi48L2F1dGhvcj48YXV0aG9yPlNjaGFmZm5lciwgQS48L2F1dGhvcj48YXV0aG9y
PldpbmcsIFIuIFIuPC9hdXRob3I+PC9hdXRob3JzPjwvY29udHJpYnV0b3JzPjxhdXRoLWFkZHJl
c3M+RGVwYXJ0bWVudHMgb2YgS2luZXNpb2xvZ3ksIENhbGlmb3JuaWEgUG9seXRlY2huaWMgU3Rh
dGUgVW5pdmVyc2l0eSwgU2FuIEx1aXMgT2Jpc3BvLCA5MzQwNy0wMzg2LCBVU0EuIHNwaGVsYW5A
Y2FscG9seS5lZHU8L2F1dGgtYWRkcmVzcz48dGl0bGVzPjx0aXRsZT5SYW5kb21pemVkIHRyaWFs
IG9mIGEgYmVoYXZpb3JhbCBpbnRlcnZlbnRpb24gdG8gcHJldmVudCBleGNlc3NpdmUgZ2VzdGF0
aW9uYWwgd2VpZ2h0IGdhaW46IHRoZSBGaXQgZm9yIERlbGl2ZXJ5IFN0dWR5PC90aXRsZT48c2Vj
b25kYXJ5LXRpdGxlPkFtIEogQ2xpbiBOdXRyPC9zZWNvbmRhcnktdGl0bGU+PC90aXRsZXM+PHBl
cmlvZGljYWw+PGZ1bGwtdGl0bGU+QW0gSiBDbGluIE51dHI8L2Z1bGwtdGl0bGU+PC9wZXJpb2Rp
Y2FsPjxwYWdlcz43NzItOTwvcGFnZXM+PHZvbHVtZT45Mzwvdm9sdW1lPjxudW1iZXI+NDwvbnVt
YmVyPjxlZGl0aW9uPjIwMTEvMDIvMTI8L2VkaXRpb24+PGtleXdvcmRzPjxrZXl3b3JkPkFkdWx0
PC9rZXl3b3JkPjxrZXl3b3JkPkJlaGF2aW9yPC9rZXl3b3JkPjxrZXl3b3JkPipCZWhhdmlvciBU
aGVyYXB5PC9rZXl3b3JkPjxrZXl3b3JkPipEaWV0PC9rZXl3b3JkPjxrZXl3b3JkPipFeGVyY2lz
ZTwva2V5d29yZD48a2V5d29yZD5GZW1hbGU8L2tleXdvcmQ+PGtleXdvcmQ+KkhlYWx0aCBQcm9t
b3Rpb248L2tleXdvcmQ+PGtleXdvcmQ+SHVtYW5zPC9rZXl3b3JkPjxrZXl3b3JkPkludGVudGlv
biB0byBUcmVhdCBBbmFseXNpczwva2V5d29yZD48a2V5d29yZD5PYmVzaXR5L2NvbXBsaWNhdGlv
bnMvZXBpZGVtaW9sb2d5LypwcmV2ZW50aW9uICZhbXA7IGNvbnRyb2w8L2tleXdvcmQ+PGtleXdv
cmQ+UG9zdHBhcnR1bSBQZXJpb2Q8L2tleXdvcmQ+PGtleXdvcmQ+UHJlZ25hbmN5PC9rZXl3b3Jk
PjxrZXl3b3JkPlByZWduYW5jeSBDb21wbGljYXRpb25zLypwcmV2ZW50aW9uICZhbXA7IGNvbnRy
b2w8L2tleXdvcmQ+PGtleXdvcmQ+UHJldmFsZW5jZTwva2V5d29yZD48a2V5d29yZD5SZWZlcmVu
Y2UgVmFsdWVzPC9rZXl3b3JkPjxrZXl3b3JkPlNpbmdsZS1CbGluZCBNZXRob2Q8L2tleXdvcmQ+
PGtleXdvcmQ+U3RhbmRhcmQgb2YgQ2FyZTwva2V5d29yZD48a2V5d29yZD5UcmVhdG1lbnQgT3V0
Y29tZTwva2V5d29yZD48a2V5d29yZD4qV2VpZ2h0IEdhaW48L2tleXdvcmQ+PGtleXdvcmQ+WW91
bmcgQWR1bHQ8L2tleXdvcmQ+PC9rZXl3b3Jkcz48ZGF0ZXM+PHllYXI+MjAxMTwveWVhcj48cHVi
LWRhdGVzPjxkYXRlPkFwcjwvZGF0ZT48L3B1Yi1kYXRlcz48L2RhdGVzPjxpc2JuPjE5MzgtMzIw
NyAoRWxlY3Ryb25pYykmI3hEOzAwMDItOTE2NSAoTGlua2luZyk8L2lzYm4+PGFjY2Vzc2lvbi1u
dW0+MjEzMTA4MzY8L2FjY2Vzc2lvbi1udW0+PHVybHM+PHJlbGF0ZWQtdXJscz48dXJsPmh0dHBz
Oi8vd3d3Lm5jYmkubmxtLm5paC5nb3YvcHVibWVkLzIxMzEwODM2PC91cmw+PC9yZWxhdGVkLXVy
bHM+PC91cmxzPjxjdXN0b20yPlBNQzMwNTc1NDY8L2N1c3RvbTI+PGVsZWN0cm9uaWMtcmVzb3Vy
Y2UtbnVtPjEwLjM5NDUvYWpjbi4xMTAuMDA1MzA2PC9lbGVjdHJvbmljLXJlc291cmNlLW51bT48
L3JlY29yZD48L0NpdGU+PENpdGU+PEF1dGhvcj5Qb2xsZXk8L0F1dGhvcj48WWVhcj4yMDAyPC9Z
ZWFyPjxSZWNOdW0+NzA2PC9SZWNOdW0+PHJlY29yZD48cmVjLW51bWJlcj43MDY8L3JlYy1udW1i
ZXI+PGZvcmVpZ24ta2V5cz48a2V5IGFwcD0iRU4iIGRiLWlkPSJleHZhc3JmeDJkdHJhb2VzYXN4
cDJzenN4YTJkZjUwMjU5MngiIHRpbWVzdGFtcD0iMTU0MDUzMDY3NCI+NzA2PC9rZXk+PC9mb3Jl
aWduLWtleXM+PHJlZi10eXBlIG5hbWU9IkpvdXJuYWwgQXJ0aWNsZSI+MTc8L3JlZi10eXBlPjxj
b250cmlidXRvcnM+PGF1dGhvcnM+PGF1dGhvcj5Qb2xsZXksIEIuIEEuPC9hdXRob3I+PGF1dGhv
cj5XaW5nLCBSLiBSLjwvYXV0aG9yPjxhdXRob3I+U2ltcywgQy4gSi48L2F1dGhvcj48L2F1dGhv
cnM+PC9jb250cmlidXRvcnM+PGF1dGgtYWRkcmVzcz5Vbml2ZXJzaXR5IG9mIFBpdHRzYnVyZ2gs
IFBpdHRzYnVyZ2gsIFBlbm5zeWx2YW5pYSwgVVNBLjwvYXV0aC1hZGRyZXNzPjx0aXRsZXM+PHRp
dGxlPlJhbmRvbWl6ZWQgY29udHJvbGxlZCB0cmlhbCB0byBwcmV2ZW50IGV4Y2Vzc2l2ZSB3ZWln
aHQgZ2FpbiBpbiBwcmVnbmFudCB3b21lbjwvdGl0bGU+PHNlY29uZGFyeS10aXRsZT5JbnQgSiBP
YmVzIFJlbGF0IE1ldGFiIERpc29yZDwvc2Vjb25kYXJ5LXRpdGxlPjwvdGl0bGVzPjxwZXJpb2Rp
Y2FsPjxmdWxsLXRpdGxlPkludCBKIE9iZXMgUmVsYXQgTWV0YWIgRGlzb3JkPC9mdWxsLXRpdGxl
PjwvcGVyaW9kaWNhbD48cGFnZXM+MTQ5NC01MDI8L3BhZ2VzPjx2b2x1bWU+MjY8L3ZvbHVtZT48
bnVtYmVyPjExPC9udW1iZXI+PGVkaXRpb24+MjAwMi8xMS8yMDwvZWRpdGlvbj48a2V5d29yZHM+
PGtleXdvcmQ+QWR1bHQ8L2tleXdvcmQ+PGtleXdvcmQ+RXhlcmNpc2UgVGhlcmFweS8qbWV0aG9k
czwva2V5d29yZD48a2V5d29yZD5GZW1hbGU8L2tleXdvcmQ+PGtleXdvcmQ+SGVhbHRoIEJlaGF2
aW9yPC9rZXl3b3JkPjxrZXl3b3JkPkh1bWFuczwva2V5d29yZD48a2V5d29yZD5PYmVzaXR5Lypw
cmV2ZW50aW9uICZhbXA7IGNvbnRyb2w8L2tleXdvcmQ+PGtleXdvcmQ+UG9zdG5hdGFsIENhcmUv
bWV0aG9kczwva2V5d29yZD48a2V5d29yZD5QcmVnbmFuY3k8L2tleXdvcmQ+PGtleXdvcmQ+UHJl
Z25hbmN5IENvbXBsaWNhdGlvbnMvKnByZXZlbnRpb24gJmFtcDsgY29udHJvbDwva2V5d29yZD48
a2V5d29yZD5QcmVnbmFuY3kgT3V0Y29tZTwva2V5d29yZD48a2V5d29yZD5QcmVuYXRhbCBDYXJl
L21ldGhvZHM8L2tleXdvcmQ+PGtleXdvcmQ+V2VpZ2h0IEdhaW48L2tleXdvcmQ+PC9rZXl3b3Jk
cz48ZGF0ZXM+PHllYXI+MjAwMjwveWVhcj48cHViLWRhdGVzPjxkYXRlPk5vdjwvZGF0ZT48L3B1
Yi1kYXRlcz48L2RhdGVzPjxhY2Nlc3Npb24tbnVtPjEyNDM5NjUyPC9hY2Nlc3Npb24tbnVtPjx1
cmxzPjxyZWxhdGVkLXVybHM+PHVybD5odHRwczovL3d3dy5uY2JpLm5sbS5uaWguZ292L3B1Ym1l
ZC8xMjQzOTY1MjwvdXJsPjwvcmVsYXRlZC11cmxzPjwvdXJscz48ZWxlY3Ryb25pYy1yZXNvdXJj
ZS1udW0+MTAuMTAzOC9zai5pam8uMDgwMjEzMDwvZWxlY3Ryb25pYy1yZXNvdXJjZS1udW0+PC9y
ZWNvcmQ+PC9DaXRlPjxDaXRlPjxBdXRob3I+UmF1aDwvQXV0aG9yPjxZZWFyPjIwMTM8L1llYXI+
PFJlY051bT4xMTA5PC9SZWNOdW0+PHJlY29yZD48cmVjLW51bWJlcj4xMTA5PC9yZWMtbnVtYmVy
Pjxmb3JlaWduLWtleXM+PGtleSBhcHA9IkVOIiBkYi1pZD0iZXh2YXNyZngyZHRyYW9lc2FzeHAy
c3pzeGEyZGY1MDI1OTJ4IiB0aW1lc3RhbXA9IjE1NTI5NDg0ODUiPjExMDk8L2tleT48L2ZvcmVp
Z24ta2V5cz48cmVmLXR5cGUgbmFtZT0iSm91cm5hbCBBcnRpY2xlIj4xNzwvcmVmLXR5cGU+PGNv
bnRyaWJ1dG9ycz48YXV0aG9ycz48YXV0aG9yPlJhdWgsIEsuPC9hdXRob3I+PGF1dGhvcj5HYWJy
aWVsLCBFLjwvYXV0aG9yPjxhdXRob3I+S2Vyc2NoYmF1bSwgRS48L2F1dGhvcj48YXV0aG9yPlNj
aHVzdGVyLCBULjwvYXV0aG9yPjxhdXRob3I+dm9uIEtyaWVzLCBSLjwvYXV0aG9yPjxhdXRob3I+
QW1hbm4tR2Fzc25lciwgVS48L2F1dGhvcj48YXV0aG9yPkhhdW5lciwgSC48L2F1dGhvcj48L2F1
dGhvcnM+PC9jb250cmlidXRvcnM+PHRpdGxlcz48dGl0bGU+U2FmZXR5IGFuZCBlZmZpY2FjeSBv
ZiBhIGxpZmVzdHlsZSBpbnRlcnZlbnRpb24gZm9yIHByZWduYW50IHdvbWVuIHRvIHByZXZlbnQg
ZXhjZXNzaXZlIG1hdGVybmFsIHdlaWdodCBnYWluOiBhIGNsdXN0ZXItcmFuZG9taXplZCBjb250
cm9sbGVkIHRyaWFsPC90aXRsZT48c2Vjb25kYXJ5LXRpdGxlPkJNQyBQcmVnbmFuY3kgQ2hpbGRi
aXJ0aDwvc2Vjb25kYXJ5LXRpdGxlPjwvdGl0bGVzPjxwZXJpb2RpY2FsPjxmdWxsLXRpdGxlPkJN
QyBQcmVnbmFuY3kgQ2hpbGRiaXJ0aDwvZnVsbC10aXRsZT48L3BlcmlvZGljYWw+PHBhZ2VzPjE1
MTwvcGFnZXM+PHZvbHVtZT4xMzwvdm9sdW1lPjxlZGl0aW9uPjIwMTMvMDcvMjA8L2VkaXRpb24+
PGtleXdvcmRzPjxrZXl3b3JkPkFkdWx0PC9rZXl3b3JkPjxrZXl3b3JkPipCaXJ0aCBXZWlnaHQ8
L2tleXdvcmQ+PGtleXdvcmQ+Q291bnNlbGluZy8qbWV0aG9kczwva2V5d29yZD48a2V5d29yZD4q
RW5lcmd5IEludGFrZTwva2V5d29yZD48a2V5d29yZD5GZWFzaWJpbGl0eSBTdHVkaWVzPC9rZXl3
b3JkPjxrZXl3b3JkPkZlbWFsZTwva2V5d29yZD48a2V5d29yZD5IdW1hbnM8L2tleXdvcmQ+PGtl
eXdvcmQ+SW5mYW50LCBOZXdib3JuPC9rZXl3b3JkPjxrZXl3b3JkPipNb3RvciBBY3Rpdml0eTwv
a2V5d29yZD48a2V5d29yZD5PYmVzaXR5LypwcmV2ZW50aW9uICZhbXA7IGNvbnRyb2w8L2tleXdv
cmQ+PGtleXdvcmQ+T3ZlcndlaWdodC9wcmV2ZW50aW9uICZhbXA7IGNvbnRyb2w8L2tleXdvcmQ+
PGtleXdvcmQ+UG9zdHBhcnR1bSBQZXJpb2Q8L2tleXdvcmQ+PGtleXdvcmQ+UHJlZ25hbmN5PC9r
ZXl3b3JkPjxrZXl3b3JkPlByZWduYW5jeSBDb21wbGljYXRpb25zLypwcmV2ZW50aW9uICZhbXA7
IGNvbnRyb2w8L2tleXdvcmQ+PGtleXdvcmQ+UHJlZ25hbmN5IE91dGNvbWU8L2tleXdvcmQ+PGtl
eXdvcmQ+KldlaWdodCBHYWluPC9rZXl3b3JkPjwva2V5d29yZHM+PGRhdGVzPjx5ZWFyPjIwMTM8
L3llYXI+PHB1Yi1kYXRlcz48ZGF0ZT5KdWwgMTY8L2RhdGU+PC9wdWItZGF0ZXM+PC9kYXRlcz48
aXNibj4xNDcxLTIzOTMgKEVsZWN0cm9uaWMpJiN4RDsxNDcxLTIzOTMgKExpbmtpbmcpPC9pc2Ju
PjxhY2Nlc3Npb24tbnVtPjIzODY1NjI0PC9hY2Nlc3Npb24tbnVtPjx1cmxzPjxyZWxhdGVkLXVy
bHM+PHVybD5odHRwczovL3d3dy5uY2JpLm5sbS5uaWguZ292L3B1Ym1lZC8yMzg2NTYyNDwvdXJs
PjwvcmVsYXRlZC11cmxzPjwvdXJscz48Y3VzdG9tMj5QTUMzNzE4NzA3PC9jdXN0b20yPjxlbGVj
dHJvbmljLXJlc291cmNlLW51bT4xMC4xMTg2LzE0NzEtMjM5My0xMy0xNTE8L2VsZWN0cm9uaWMt
cmVzb3VyY2UtbnVtPjwvcmVjb3JkPjwvQ2l0ZT48Q2l0ZT48QXV0aG9yPkt1bmF0aDwvQXV0aG9y
PjxZZWFyPjIwMTk8L1llYXI+PFJlY051bT4xMzc3PC9SZWNOdW0+PHJlY29yZD48cmVjLW51bWJl
cj4xMzc3PC9yZWMtbnVtYmVyPjxmb3JlaWduLWtleXM+PGtleSBhcHA9IkVOIiBkYi1pZD0iZXh2
YXNyZngyZHRyYW9lc2FzeHAyc3pzeGEyZGY1MDI1OTJ4IiB0aW1lc3RhbXA9IjE1NjcwMzk1MzYi
PjEzNzc8L2tleT48a2V5IGFwcD0iRU5XZWIiIGRiLWlkPSIiPjA8L2tleT48L2ZvcmVpZ24ta2V5
cz48cmVmLXR5cGUgbmFtZT0iSm91cm5hbCBBcnRpY2xlIj4xNzwvcmVmLXR5cGU+PGNvbnRyaWJ1
dG9ycz48YXV0aG9ycz48YXV0aG9yPkt1bmF0aCwgSi48L2F1dGhvcj48YXV0aG9yPkd1bnRoZXIs
IEouPC9hdXRob3I+PGF1dGhvcj5SYXVoLCBLLjwvYXV0aG9yPjxhdXRob3I+SG9mZm1hbm4sIEou
PC9hdXRob3I+PGF1dGhvcj5TdGVjaGVyLCBMLjwvYXV0aG9yPjxhdXRob3I+Um9zZW5mZWxkLCBF
LjwvYXV0aG9yPjxhdXRob3I+S2ljaywgTC48L2F1dGhvcj48YXV0aG9yPlVsbSwgSy48L2F1dGhv
cj48YXV0aG9yPkhhdW5lciwgSC48L2F1dGhvcj48L2F1dGhvcnM+PC9jb250cmlidXRvcnM+PGF1
dGgtYWRkcmVzcz5FbHNlIEtyb25lci1GcmVzZW5pdXMtQ2VudHJlIGZvciBOdXRyaXRpb25hbCBN
ZWRpY2luZSwgS2xpbmlrdW0gcmVjaHRzIGRlciBJc2FyLCBUZWNobmljYWwgVW5pdmVyc2l0eSBv
ZiBNdW5pY2gsIEdlb3JnLUJyYXVjaGxlLVJpbmcgNjIsIDgwOTkyLCBNdW5pY2gsIEdlcm1hbnku
JiN4RDtDb21wZXRlbmNlIENlbnRyZSBmb3IgTnV0cml0aW9uIChLRXJuKSwgQW0gR2VyZXV0aCA0
LCA4NTM1NCwgRnJlaXNpbmcsIEdlcm1hbnkuJiN4RDtJbnN0aXR1dGUgb2YgTWVkaWNhbCBJbmZv
cm1hdGljcywgU3RhdGlzdGljcyBhbmQgRXBpZGVtaW9sb2d5LCBLbGluaWt1bSByZWNodHMgZGVy
IElzYXIsIFRlY2huaWNhbCBVbml2ZXJzaXR5IG9mIE11bmljaCwgSXNtYW5pbmdlciBTdHJhc3Nl
IDIyLCA4MTY3NSwgTXVuaWNoLCBHZXJtYW55LiYjeEQ7RWxzZSBLcm9uZXItRnJlc2VuaXVzLUNl
bnRyZSBmb3IgTnV0cml0aW9uYWwgTWVkaWNpbmUsIEtsaW5pa3VtIHJlY2h0cyBkZXIgSXNhciwg
VGVjaG5pY2FsIFVuaXZlcnNpdHkgb2YgTXVuaWNoLCBHZW9yZy1CcmF1Y2hsZS1SaW5nIDYyLCA4
MDk5MiwgTXVuaWNoLCBHZXJtYW55LiBoYW5zLmhhdW5lckB0dW0uZGUuPC9hdXRoLWFkZHJlc3M+
PHRpdGxlcz48dGl0bGU+RWZmZWN0cyBvZiBhIGxpZmVzdHlsZSBpbnRlcnZlbnRpb24gZHVyaW5n
IHByZWduYW5jeSB0byBwcmV2ZW50IGV4Y2Vzc2l2ZSBnZXN0YXRpb25hbCB3ZWlnaHQgZ2FpbiBp
biByb3V0aW5lIGNhcmUgLSB0aGUgY2x1c3Rlci1yYW5kb21pc2VkIEdlbGlTIHRyaWFsPC90aXRs
ZT48c2Vjb25kYXJ5LXRpdGxlPkJNQyBNZWQ8L3NlY29uZGFyeS10aXRsZT48L3RpdGxlcz48cGVy
aW9kaWNhbD48ZnVsbC10aXRsZT5CTUMgTWVkPC9mdWxsLXRpdGxlPjwvcGVyaW9kaWNhbD48cGFn
ZXM+NTwvcGFnZXM+PHZvbHVtZT4xNzwvdm9sdW1lPjxudW1iZXI+MTwvbnVtYmVyPjxlZGl0aW9u
PjIwMTkvMDEvMTU8L2VkaXRpb24+PGtleXdvcmRzPjxrZXl3b3JkPkFkdWx0PC9rZXl3b3JkPjxr
ZXl3b3JkPkNvdW5zZWxpbmcvbWV0aG9kczwva2V5d29yZD48a2V5d29yZD5EaWFiZXRlcywgR2Vz
dGF0aW9uYWwvcHJldmVudGlvbiAmYW1wOyBjb250cm9sPC9rZXl3b3JkPjxrZXl3b3JkPkRpZXQg
VGhlcmFweS9tZXRob2RzPC9rZXl3b3JkPjxrZXl3b3JkPkV4ZXJjaXNlIFRoZXJhcHkvbWV0aG9k
czwva2V5d29yZD48a2V5d29yZD5GZW1hbGU8L2tleXdvcmQ+PGtleXdvcmQ+Kkdlc3RhdGlvbmFs
IFdlaWdodCBHYWluPC9rZXl3b3JkPjxrZXl3b3JkPkh1bWFuczwva2V5d29yZD48a2V5d29yZD5M
aWZlIFN0eWxlPC9rZXl3b3JkPjxrZXl3b3JkPlBlZGlhdHJpYyBPYmVzaXR5L3ByZXZlbnRpb24g
JmFtcDsgY29udHJvbDwva2V5d29yZD48a2V5d29yZD5QcmVnbmFuY3k8L2tleXdvcmQ+PGtleXdv
cmQ+UHJlZ25hbmN5IENvbXBsaWNhdGlvbnMvKnByZXZlbnRpb24gJmFtcDsgY29udHJvbDwva2V5
d29yZD48a2V5d29yZD5QcmVuYXRhbCBDYXJlLyptZXRob2RzPC9rZXl3b3JkPjxrZXl3b3JkPipM
aWZlc3R5bGUgaW50ZXJ2ZW50aW9uPC9rZXl3b3JkPjxrZXl3b3JkPipjaGlsZGhvb2Qgb2Jlc2l0
eTwva2V5d29yZD48a2V5d29yZD4qZGlldDwva2V5d29yZD48a2V5d29yZD4qZXhlcmNpc2U8L2tl
eXdvcmQ+PGtleXdvcmQ+Kmdlc3RhdGlvbmFsIGRpYWJldGVzPC9rZXl3b3JkPjxrZXl3b3JkPipv
YmVzaXR5IHByZXZlbnRpb248L2tleXdvcmQ+PGtleXdvcmQ+Km9ic3RldHJpYyBvdXRjb21lczwv
a2V5d29yZD48a2V5d29yZD4qcHJlZ25hbmN5PC9rZXl3b3JkPjxrZXl3b3JkPip3ZWlnaHQgcmV0
ZW50aW9uPC9rZXl3b3JkPjwva2V5d29yZHM+PGRhdGVzPjx5ZWFyPjIwMTk8L3llYXI+PHB1Yi1k
YXRlcz48ZGF0ZT5KYW4gMTQ8L2RhdGU+PC9wdWItZGF0ZXM+PC9kYXRlcz48aXNibj4xNzQxLTcw
MTUgKEVsZWN0cm9uaWMpJiN4RDsxNzQxLTcwMTUgKExpbmtpbmcpPC9pc2JuPjxhY2Nlc3Npb24t
bnVtPjMwNjM2NjM2PC9hY2Nlc3Npb24tbnVtPjx1cmxzPjxyZWxhdGVkLXVybHM+PHVybD5odHRw
czovL3d3dy5uY2JpLm5sbS5uaWguZ292L3B1Ym1lZC8zMDYzNjYzNjwvdXJsPjwvcmVsYXRlZC11
cmxzPjwvdXJscz48Y3VzdG9tMj5QTUM2MzMwNzUzPC9jdXN0b20yPjxlbGVjdHJvbmljLXJlc291
cmNlLW51bT4xMC4xMTg2L3MxMjkxNi0wMTgtMTIzNS16PC9lbGVjdHJvbmljLXJlc291cmNlLW51
bT48L3JlY29yZD48L0NpdGU+PENpdGU+PEF1dGhvcj5LaWFuaSBBc2lhYmFyPC9BdXRob3I+PFll
YXI+MjAxODwvWWVhcj48UmVjTnVtPjEzODA8L1JlY051bT48cmVjb3JkPjxyZWMtbnVtYmVyPjEz
ODA8L3JlYy1udW1iZXI+PGZvcmVpZ24ta2V5cz48a2V5IGFwcD0iRU4iIGRiLWlkPSJleHZhc3Jm
eDJkdHJhb2VzYXN4cDJzenN4YTJkZjUwMjU5MngiIHRpbWVzdGFtcD0iMTU2NzEyNDU3MSI+MTM4
MDwva2V5PjxrZXkgYXBwPSJFTldlYiIgZGItaWQ9IiI+MDwva2V5PjwvZm9yZWlnbi1rZXlzPjxy
ZWYtdHlwZSBuYW1lPSJKb3VybmFsIEFydGljbGUiPjE3PC9yZWYtdHlwZT48Y29udHJpYnV0b3Jz
PjxhdXRob3JzPjxhdXRob3I+S2lhbmkgQXNpYWJhciwgQS48L2F1dGhvcj48YXV0aG9yPkFtaW4g
U2hva3JhdmksIEYuPC9hdXRob3I+PGF1dGhvcj5IYWppZmFyYWppLCBNLjwvYXV0aG9yPjxhdXRo
b3I+WmF5ZXJpLCBGLjwvYXV0aG9yPjwvYXV0aG9ycz48L2NvbnRyaWJ1dG9ycz48YXV0aC1hZGRy
ZXNzPkRlcGFydG1lbnQgb2YgSGVhbHRoIEVkdWNhdGlvbiBhbmQgSGVhbHRoIFByb21vdGlvbiwg
RmFjdWx0eSBvZiBNZWRpY2FsIFNjaWVuY2VzLCBUYXJiaWF0IE1vZGFyZXMgVW5pdmVyc2l0eSwg
VGVocmFuLCBJcmFuLiYjeEQ7RGVwYXJ0bWVudCBvZiBNaWR3aWZlcnksIEZhY3VsdHkgb2YgTnVy
c2luZyBhbmQgTWlkd2lmZXJ5LCBTaGFoZWQgVW5pdmVyc2l0eSwgVGVocmFuLCBJcmFuLiYjeEQ7
RGVwYXJ0bWVudCBvZiBIZWFsdGggRWR1Y2F0aW9ucyBhbmQgSGVhbHRoIFByb21vdGlvbiwgRmFj
dWx0eSBvZiBNZWRpY2FsIFNjaWVuY2VzLCBUYXJiaWF0IE1vZGFyZXMgVW5pdmVyc2l0eSwgVGVo
cmFuLCBJcmFuLiYjeEQ7TmF0aW9uYWwgTnV0cml0aW9uIGFuZCBGb29kIFRlY2hub2xvZ3kgUmVz
ZWFyY2ggSW5zdGl0dXRlLCBTY2hvb2wgb2YgTnV0cml0aW9uIFNjaWVuY2VzIGFuZCBGb29kIFRl
Y2hub2xvZ3ksIFNoYWhpZCBCZWhlc2h0aSBVbml2ZXJzaXR5IG9mIE1lZGljYWwgU2NpZW5jZXMs
IFRlaHJhbiwgSXJhbi4mI3hEO0RlcGFydG1lbnQgb2YgQmlvc3RhdGlzdGljcywgRmFjdWx0eSBv
ZiBQYXJhbWVkaWNhbCBTY2llbmNlcywgU2hhaGlkIEJlaGVzaHRpIFVuaXZlcnNpdHkgb2YgTWVk
aWNhbCBTY2llbmNlcywgVGVocmFuLCBJcmFuLjwvYXV0aC1hZGRyZXNzPjx0aXRsZXM+PHRpdGxl
PlRoZSBlZmZlY3Qgb2YgYW4gZWR1Y2F0aW9uYWwgaW50ZXJ2ZW50aW9uIGluIGVhcmx5IHByZWdu
YW5jeSB3aXRoIHNwb3VzZSZhcG9zO3MgcGFydGljaXBhdGlvbiBvbiBvcHRpbWFsIGdlc3RhdGlv
bmFsIHdlaWdodCBnYWluIGluIHByZWduYW5jeTogYSByYW5kb21pemVkIGNvbnRyb2xsZWQgdHJp
YWw8L3RpdGxlPjxzZWNvbmRhcnktdGl0bGU+SGVhbHRoIEVkdWMgUmVzPC9zZWNvbmRhcnktdGl0
bGU+PC90aXRsZXM+PHBlcmlvZGljYWw+PGZ1bGwtdGl0bGU+SGVhbHRoIEVkdWMgUmVzPC9mdWxs
LXRpdGxlPjwvcGVyaW9kaWNhbD48cGFnZXM+NTM1LTU0NzwvcGFnZXM+PHZvbHVtZT4zMzwvdm9s
dW1lPjxudW1iZXI+NjwvbnVtYmVyPjxlZGl0aW9uPjIwMTgvMTEvMzA8L2VkaXRpb24+PGRhdGVz
Pjx5ZWFyPjIwMTg8L3llYXI+PHB1Yi1kYXRlcz48ZGF0ZT5EZWMgMTwvZGF0ZT48L3B1Yi1kYXRl
cz48L2RhdGVzPjxpc2JuPjE0NjUtMzY0OCAoRWxlY3Ryb25pYykmI3hEOzAyNjgtMTE1MyAoTGlu
a2luZyk8L2lzYm4+PGFjY2Vzc2lvbi1udW0+MzA0OTY0MDk8L2FjY2Vzc2lvbi1udW0+PHVybHM+
PHJlbGF0ZWQtdXJscz48dXJsPmh0dHBzOi8vd3d3Lm5jYmkubmxtLm5paC5nb3YvcHVibWVkLzMw
NDk2NDA5PC91cmw+PC9yZWxhdGVkLXVybHM+PC91cmxzPjxlbGVjdHJvbmljLXJlc291cmNlLW51
bT4xMC4xMDkzL2hlci9jeXkwNDA8L2VsZWN0cm9uaWMtcmVzb3VyY2UtbnVtPjwvcmVjb3JkPjwv
Q2l0ZT48L0VuZE5vdGU+AG==
</w:fldData>
        </w:fldChar>
      </w:r>
      <w:r w:rsidR="002747EA">
        <w:instrText xml:space="preserve"> ADDIN EN.CITE </w:instrText>
      </w:r>
      <w:r w:rsidR="002747EA">
        <w:fldChar w:fldCharType="begin">
          <w:fldData xml:space="preserve">PEVuZE5vdGU+PENpdGU+PEF1dGhvcj5BbHRodWl6ZW48L0F1dGhvcj48WWVhcj4yMDEzPC9ZZWFy
PjxSZWNOdW0+NzA5PC9SZWNOdW0+PERpc3BsYXlUZXh0PjxzdHlsZSBmYWNlPSJzdXBlcnNjcmlw
dCIgZm9udD0iVHJlYnVjaGV0IE1TIiBzaXplPSI5Ij40ODUtNDk4PC9zdHlsZT48L0Rpc3BsYXlU
ZXh0PjxyZWNvcmQ+PHJlYy1udW1iZXI+NzA5PC9yZWMtbnVtYmVyPjxmb3JlaWduLWtleXM+PGtl
eSBhcHA9IkVOIiBkYi1pZD0iZXh2YXNyZngyZHRyYW9lc2FzeHAyc3pzeGEyZGY1MDI1OTJ4IiB0
aW1lc3RhbXA9IjE1NDE0NjIyMTYiPjcwOTwva2V5PjwvZm9yZWlnbi1rZXlzPjxyZWYtdHlwZSBu
YW1lPSJKb3VybmFsIEFydGljbGUiPjE3PC9yZWYtdHlwZT48Y29udHJpYnV0b3JzPjxhdXRob3Jz
PjxhdXRob3I+QWx0aHVpemVuLCBFLjwvYXV0aG9yPjxhdXRob3I+dmFuIGRlciBXaWpkZW4sIEMu
IEwuPC9hdXRob3I+PGF1dGhvcj52YW4gTWVjaGVsZW4sIFcuPC9hdXRob3I+PGF1dGhvcj5TZWlk
ZWxsLCBKLiBDLjwvYXV0aG9yPjxhdXRob3I+dmFuIFBvcHBlbCwgTS4gTi48L2F1dGhvcj48L2F1
dGhvcnM+PC9jb250cmlidXRvcnM+PGF1dGgtYWRkcmVzcz5EZXBhcnRtZW50IG9mIFB1YmxpYyBh
bmQgT2NjdXBhdGlvbmFsIEhlYWx0aCBhbmQgdGhlIEVNR08gSW5zdGl0dXRlIGZvciBIZWFsdGgg
YW5kIENhcmUgUmVzZWFyY2gsIFZVIFVuaXZlcnNpdHkgTWVkaWNhbCBDZW50cmUsIEFtc3RlcmRh
bSwgVGhlIE5ldGhlcmxhbmRzLjwvYXV0aC1hZGRyZXNzPjx0aXRsZXM+PHRpdGxlPlRoZSBlZmZl
Y3Qgb2YgYSBjb3Vuc2VsbGluZyBpbnRlcnZlbnRpb24gb24gd2VpZ2h0IGNoYW5nZXMgZHVyaW5n
IGFuZCBhZnRlciBwcmVnbmFuY3k6IGEgcmFuZG9taXNlZCB0cmlhbDwvdGl0bGU+PHNlY29uZGFy
eS10aXRsZT5CSk9HPC9zZWNvbmRhcnktdGl0bGU+PC90aXRsZXM+PHBlcmlvZGljYWw+PGZ1bGwt
dGl0bGU+QkpPRzwvZnVsbC10aXRsZT48L3BlcmlvZGljYWw+PHBhZ2VzPjkyLTk8L3BhZ2VzPjx2
b2x1bWU+MTIwPC92b2x1bWU+PG51bWJlcj4xPC9udW1iZXI+PGVkaXRpb24+MjAxMi8xMS8wNjwv
ZWRpdGlvbj48a2V5d29yZHM+PGtleXdvcmQ+QWR1bHQ8L2tleXdvcmQ+PGtleXdvcmQ+QmlydGgg
V2VpZ2h0PC9rZXl3b3JkPjxrZXl3b3JkPkJvZHkgTWFzcyBJbmRleDwva2V5d29yZD48a2V5d29y
ZD5Db3Vuc2VsaW5nLyptZXRob2RzPC9rZXl3b3JkPjxrZXl3b3JkPkZlbWFsZTwva2V5d29yZD48
a2V5d29yZD5IdW1hbnM8L2tleXdvcmQ+PGtleXdvcmQ+TmV0aGVybGFuZHM8L2tleXdvcmQ+PGtl
eXdvcmQ+T3ZlcndlaWdodC8qcHJldmVudGlvbiAmYW1wOyBjb250cm9sPC9rZXl3b3JkPjxrZXl3
b3JkPlBhdGllbnQgQ29tcGxpYW5jZTwva2V5d29yZD48a2V5d29yZD5QcmVnbmFuY3k8L2tleXdv
cmQ+PGtleXdvcmQ+UHJlZ25hbmN5IENvbXBsaWNhdGlvbnMvKnByZXZlbnRpb24gJmFtcDsgY29u
dHJvbDwva2V5d29yZD48a2V5d29yZD5QcmVnbmFuY3kgT3V0Y29tZTwva2V5d29yZD48a2V5d29y
ZD5QcmVuYXRhbCBDYXJlLyptZXRob2RzPC9rZXl3b3JkPjxrZXl3b3JkPldlaWdodCBHYWluPC9r
ZXl3b3JkPjwva2V5d29yZHM+PGRhdGVzPjx5ZWFyPjIwMTM8L3llYXI+PHB1Yi1kYXRlcz48ZGF0
ZT5KYW48L2RhdGU+PC9wdWItZGF0ZXM+PC9kYXRlcz48aXNibj4xNDcxLTA1MjggKEVsZWN0cm9u
aWMpJiN4RDsxNDcwLTAzMjggKExpbmtpbmcpPC9pc2JuPjxhY2Nlc3Npb24tbnVtPjIzMTIxMDc0
PC9hY2Nlc3Npb24tbnVtPjx1cmxzPjxyZWxhdGVkLXVybHM+PHVybD5odHRwczovL3d3dy5uY2Jp
Lm5sbS5uaWguZ292L3B1Ym1lZC8yMzEyMTA3NDwvdXJsPjwvcmVsYXRlZC11cmxzPjwvdXJscz48
ZWxlY3Ryb25pYy1yZXNvdXJjZS1udW0+MTAuMTExMS8xNDcxLTA1MjguMTIwMTQ8L2VsZWN0cm9u
aWMtcmVzb3VyY2UtbnVtPjwvcmVjb3JkPjwvQ2l0ZT48Q2l0ZT48QXV0aG9yPlJvbm5iZXJnPC9B
dXRob3I+PFllYXI+MjAxNTwvWWVhcj48UmVjTnVtPjc1NDwvUmVjTnVtPjxyZWNvcmQ+PHJlYy1u
dW1iZXI+NzU0PC9yZWMtbnVtYmVyPjxmb3JlaWduLWtleXM+PGtleSBhcHA9IkVOIiBkYi1pZD0i
ZXh2YXNyZngyZHRyYW9lc2FzeHAyc3pzeGEyZGY1MDI1OTJ4IiB0aW1lc3RhbXA9IjE1NDE0Njc5
NTIiPjc1NDwva2V5PjxrZXkgYXBwPSJFTldlYiIgZGItaWQ9IiI+MDwva2V5PjwvZm9yZWlnbi1r
ZXlzPjxyZWYtdHlwZSBuYW1lPSJKb3VybmFsIEFydGljbGUiPjE3PC9yZWYtdHlwZT48Y29udHJp
YnV0b3JzPjxhdXRob3JzPjxhdXRob3I+Um9ubmJlcmcsIEEuIEsuPC9hdXRob3I+PGF1dGhvcj5P
c3RsdW5kLCBJLjwvYXV0aG9yPjxhdXRob3I+RmFkbCwgSC48L2F1dGhvcj48YXV0aG9yPkdvdHR2
YWxsLCBULjwvYXV0aG9yPjxhdXRob3I+Tmlsc3NvbiwgSy48L2F1dGhvcj48L2F1dGhvcnM+PC9j
b250cmlidXRvcnM+PHRpdGxlcz48dGl0bGU+SW50ZXJ2ZW50aW9uIGR1cmluZyBwcmVnbmFuY3kg
dG8gcmVkdWNlIGV4Y2Vzc2l2ZSBnZXN0YXRpb25hbCB3ZWlnaHQgZ2Fpbi1hIHJhbmRvbWlzZWQg
Y29udHJvbGxlZCB0cmlhbDwvdGl0bGU+PHNlY29uZGFyeS10aXRsZT5CSk9HOiBBbiBJbnRlcm5h
dGlvbmFsIEpvdXJuYWwgb2YgT2JzdGV0cmljcyAmYW1wOyBHeW5hZWNvbG9neTwvc2Vjb25kYXJ5
LXRpdGxlPjwvdGl0bGVzPjxwZXJpb2RpY2FsPjxmdWxsLXRpdGxlPkJKT0c6IEFuIEludGVybmF0
aW9uYWwgSm91cm5hbCBvZiBPYnN0ZXRyaWNzICZhbXA7IEd5bmFlY29sb2d5PC9mdWxsLXRpdGxl
PjwvcGVyaW9kaWNhbD48cGFnZXM+NTM3LTU0NDwvcGFnZXM+PHZvbHVtZT4xMjI8L3ZvbHVtZT48
bnVtYmVyPjQ8L251bWJlcj48c2VjdGlvbj41Mzc8L3NlY3Rpb24+PGRhdGVzPjx5ZWFyPjIwMTU8
L3llYXI+PC9kYXRlcz48aXNibj4xNDcwMDMyODwvaXNibj48dXJscz48L3VybHM+PGVsZWN0cm9u
aWMtcmVzb3VyY2UtbnVtPjEwLjExMTEvMTQ3MS0wNTI4LjEzMTMxPC9lbGVjdHJvbmljLXJlc291
cmNlLW51bT48L3JlY29yZD48L0NpdGU+PENpdGU+PEF1dGhvcj5TYWdlZGFsPC9BdXRob3I+PFll
YXI+MjAxNzwvWWVhcj48UmVjTnVtPjkzOTwvUmVjTnVtPjxyZWNvcmQ+PHJlYy1udW1iZXI+OTM5
PC9yZWMtbnVtYmVyPjxmb3JlaWduLWtleXM+PGtleSBhcHA9IkVOIiBkYi1pZD0iZXh2YXNyZngy
ZHRyYW9lc2FzeHAyc3pzeGEyZGY1MDI1OTJ4IiB0aW1lc3RhbXA9IjE1NDE1NDE4MjIiPjkzOTwv
a2V5PjxrZXkgYXBwPSJFTldlYiIgZGItaWQ9IiI+MDwva2V5PjwvZm9yZWlnbi1rZXlzPjxyZWYt
dHlwZSBuYW1lPSJKb3VybmFsIEFydGljbGUiPjE3PC9yZWYtdHlwZT48Y29udHJpYnV0b3JzPjxh
dXRob3JzPjxhdXRob3I+U2FnZWRhbCwgTC4gUi48L2F1dGhvcj48YXV0aG9yPlZpc3RhZCwgSS48
L2F1dGhvcj48YXV0aG9yPk92ZXJieSwgTi4gQy48L2F1dGhvcj48YXV0aG9yPkJlcmUsIEUuPC9h
dXRob3I+PGF1dGhvcj5Ub3JzdHZlaXQsIE0uIEsuPC9hdXRob3I+PGF1dGhvcj5Mb2huZS1TZWls
ZXIsIEguPC9hdXRob3I+PGF1dGhvcj5IaWxsZXN1bmQsIEUuIFIuPC9hdXRob3I+PGF1dGhvcj5Q
cmlwcCwgQS48L2F1dGhvcj48YXV0aG9yPkhlbnJpa3NlbiwgVC48L2F1dGhvcj48L2F1dGhvcnM+
PC9jb250cmlidXRvcnM+PGF1dGgtYWRkcmVzcz5EZXBhcnRtZW50IG9mIE9ic3RldHJpY3MgYW5k
IEd5bmVjb2xvZ3kvRGVwYXJ0bWVudCBvZiBSZXNlYXJjaCwgU29ybGFuZGV0IEhvc3BpdGFsLCBQ
b3N0Ym94IDQxNiwgNDYwNCwgS3Jpc3RpYW5zYW5kLCBOb3J3YXkuIGxpbmRhLnNhZ2VkYWxAc3No
Zi5uby4mI3hEO0RlcGFydG1lbnQgb2YgT2JzdGV0cmljcyBhbmQgR3luZWNvbG9neS9EZXBhcnRt
ZW50IG9mIFJlc2VhcmNoLCBTb3JsYW5kZXQgSG9zcGl0YWwsIFBvc3Rib3ggNDE2LCA0NjA0LCBL
cmlzdGlhbnNhbmQsIE5vcndheS4mI3hEO0RlcGFydG1lbnQgb2YgUHVibGljIEhlYWx0aCwgU3Bv
cnRzIGFuZCBOdXRyaXRpb24sIFVuaXZlcnNpdHkgb2YgQWdkZXIsIFBvc3Rib3ggNDIyLCA0NjA0
LCBLcmlzdGlhbnNhbmQsIE5vcndheS4mI3hEO0RlcGFydG1lbnQgb2YgQmlvc3RhdGlzdGljcyBh
bmQgRXBpZGVtaW9sb2d5LCBPc2xvIFVuaXZlcnNpdHkgSG9zcGl0YWwsIFBvc3Rib3ggNDk1MCwg
TnlkYWxlbiwgMDQyNCwgT3NsbywgTm9yd2F5LiYjeEQ7U2VjdGlvbiBvZiBPYnN0ZXRyaWNzLCBX
b21lbiBhbmQgQ2hpbGRyZW4mYXBvcztzIERpdmlzaW9uLCBPc2xvIFVuaXZlcnNpdHkgSG9zcGl0
YWwgYW5kIFVuaXZlcnNpdHkgb2YgT3NsbywgUG9zdGJveCA0OTUwLCBOeWRhbGVuLCAwNDI0LCBP
c2xvLCBOb3J3YXkuPC9hdXRoLWFkZHJlc3M+PHRpdGxlcz48dGl0bGU+VGhlIGVmZmVjdCBvZiBh
IHByZW5hdGFsIGxpZmVzdHlsZSBpbnRlcnZlbnRpb24gb24gZ2x1Y29zZSBtZXRhYm9saXNtOiBy
ZXN1bHRzIG9mIHRoZSBOb3J3ZWdpYW4gRml0IGZvciBEZWxpdmVyeSByYW5kb21pemVkIGNvbnRy
b2xsZWQgdHJpYWw8L3RpdGxlPjxzZWNvbmRhcnktdGl0bGU+Qk1DIFByZWduYW5jeSBDaGlsZGJp
cnRoPC9zZWNvbmRhcnktdGl0bGU+PC90aXRsZXM+PHBlcmlvZGljYWw+PGZ1bGwtdGl0bGU+Qk1D
IFByZWduYW5jeSBDaGlsZGJpcnRoPC9mdWxsLXRpdGxlPjwvcGVyaW9kaWNhbD48cGFnZXM+MTY3
PC9wYWdlcz48dm9sdW1lPjE3PC92b2x1bWU+PG51bWJlcj4xPC9udW1iZXI+PGVkaXRpb24+MjAx
Ny8wNi8wNTwvZWRpdGlvbj48a2V5d29yZHM+PGtleXdvcmQ+QWR1bHQ8L2tleXdvcmQ+PGtleXdv
cmQ+Qm9keSBNYXNzIEluZGV4PC9rZXl3b3JkPjxrZXl3b3JkPkRpYWJldGVzLCBHZXN0YXRpb25h
bC9wcmV2ZW50aW9uICZhbXA7IGNvbnRyb2w8L2tleXdvcmQ+PGtleXdvcmQ+RmVtYWxlPC9rZXl3
b3JkPjxrZXl3b3JkPkhlYWx0aCBQcm9tb3Rpb24vKm1ldGhvZHM8L2tleXdvcmQ+PGtleXdvcmQ+
SHVtYW5zPC9rZXl3b3JkPjxrZXl3b3JkPipJbnN1bGluIFJlc2lzdGFuY2U8L2tleXdvcmQ+PGtl
eXdvcmQ+Tm9yd2F5PC9rZXl3b3JkPjxrZXl3b3JkPk9iZXNpdHkvbWV0YWJvbGlzbS8qcHJldmVu
dGlvbiAmYW1wOyBjb250cm9sPC9rZXl3b3JkPjxrZXl3b3JkPlByZWduYW5jeTwva2V5d29yZD48
a2V5d29yZD5QcmVnbmFuY3kgQ29tcGxpY2F0aW9ucy9tZXRhYm9saXNtLypwcmV2ZW50aW9uICZh
bXA7IGNvbnRyb2w8L2tleXdvcmQ+PGtleXdvcmQ+UHJlbmF0YWwgQ2FyZS8qbWV0aG9kczwva2V5
d29yZD48a2V5d29yZD5Zb3VuZyBBZHVsdDwva2V5d29yZD48a2V5d29yZD5HZXN0YXRpb25hbCBk
aWFiZXRlczwva2V5d29yZD48a2V5d29yZD5JbnRlcnZlbnRpb248L2tleXdvcmQ+PGtleXdvcmQ+
TGlmZXN0eWxlPC9rZXl3b3JkPjxrZXl3b3JkPk9iZXNpdHk8L2tleXdvcmQ+PGtleXdvcmQ+T3Zl
cndlaWdodDwva2V5d29yZD48L2tleXdvcmRzPjxkYXRlcz48eWVhcj4yMDE3PC95ZWFyPjxwdWIt
ZGF0ZXM+PGRhdGU+SnVuIDI8L2RhdGU+PC9wdWItZGF0ZXM+PC9kYXRlcz48aXNibj4xNDcxLTIz
OTMgKEVsZWN0cm9uaWMpJiN4RDsxNDcxLTIzOTMgKExpbmtpbmcpPC9pc2JuPjxhY2Nlc3Npb24t
bnVtPjI4NTc3NTQ1PC9hY2Nlc3Npb24tbnVtPjx1cmxzPjxyZWxhdGVkLXVybHM+PHVybD5odHRw
czovL3d3dy5uY2JpLm5sbS5uaWguZ292L3B1Ym1lZC8yODU3NzU0NTwvdXJsPjwvcmVsYXRlZC11
cmxzPjwvdXJscz48Y3VzdG9tMj5QTUM1NDU3NTQzPC9jdXN0b20yPjxlbGVjdHJvbmljLXJlc291
cmNlLW51bT4xMC4xMTg2L3MxMjg4NC0wMTctMTM0MC02PC9lbGVjdHJvbmljLXJlc291cmNlLW51
bT48L3JlY29yZD48L0NpdGU+PENpdGU+PEF1dGhvcj5Bc2JlZTwvQXV0aG9yPjxZZWFyPjIwMDk8
L1llYXI+PFJlY051bT42NjY8L1JlY051bT48cmVjb3JkPjxyZWMtbnVtYmVyPjY2NjwvcmVjLW51
bWJlcj48Zm9yZWlnbi1rZXlzPjxrZXkgYXBwPSJFTiIgZGItaWQ9ImV4dmFzcmZ4MmR0cmFvZXNh
c3hwMnN6c3hhMmRmNTAyNTkyeCIgdGltZXN0YW1wPSIxNTQwNTI2NDk1Ij42NjY8L2tleT48L2Zv
cmVpZ24ta2V5cz48cmVmLXR5cGUgbmFtZT0iSm91cm5hbCBBcnRpY2xlIj4xNzwvcmVmLXR5cGU+
PGNvbnRyaWJ1dG9ycz48YXV0aG9ycz48YXV0aG9yPkFzYmVlLCBTLiBNLjwvYXV0aG9yPjxhdXRo
b3I+SmVua2lucywgVC4gUi48L2F1dGhvcj48YXV0aG9yPkJ1dGxlciwgSi4gUi48L2F1dGhvcj48
YXV0aG9yPldoaXRlLCBKLjwvYXV0aG9yPjxhdXRob3I+RWxsaW90LCBNLjwvYXV0aG9yPjxhdXRo
b3I+UnV0bGVkZ2UsIEEuPC9hdXRob3I+PC9hdXRob3JzPjwvY29udHJpYnV0b3JzPjxhdXRoLWFk
ZHJlc3M+Q2Fyb2xpbmFzIE1lZGljYWwgQ2VudGVyLCBDaGFybG90dGUsIE5vcnRoIENhcm9saW5h
LCBVU0EuIGRyc2hlbGx5QGVhcnRobGluay5uZXQ8L2F1dGgtYWRkcmVzcz48dGl0bGVzPjx0aXRs
ZT5QcmV2ZW50aW5nIGV4Y2Vzc2l2ZSB3ZWlnaHQgZ2FpbiBkdXJpbmcgcHJlZ25hbmN5IHRocm91
Z2ggZGlldGFyeSBhbmQgbGlmZXN0eWxlIGNvdW5zZWxpbmc6IGEgcmFuZG9taXplZCBjb250cm9s
bGVkIHRyaWFsPC90aXRsZT48c2Vjb25kYXJ5LXRpdGxlPk9ic3RldCBHeW5lY29sPC9zZWNvbmRh
cnktdGl0bGU+PC90aXRsZXM+PHBlcmlvZGljYWw+PGZ1bGwtdGl0bGU+T2JzdGV0IEd5bmVjb2w8
L2Z1bGwtdGl0bGU+PC9wZXJpb2RpY2FsPjxwYWdlcz4zMDUtMTI8L3BhZ2VzPjx2b2x1bWU+MTEz
PC92b2x1bWU+PG51bWJlcj4yIFB0IDE8L251bWJlcj48ZWRpdGlvbj4yMDA5LzAxLzIyPC9lZGl0
aW9uPjxrZXl3b3Jkcz48a2V5d29yZD5BZHVsdDwva2V5d29yZD48a2V5d29yZD5CaXJ0aCBXZWln
aHQ8L2tleXdvcmQ+PGtleXdvcmQ+Qm9keSBNYXNzIEluZGV4PC9rZXl3b3JkPjxrZXl3b3JkPipE
aXJlY3RpdmUgQ291bnNlbGluZzwva2V5d29yZD48a2V5d29yZD5GZW1hbGU8L2tleXdvcmQ+PGtl
eXdvcmQ+SHVtYW5zPC9rZXl3b3JkPjxrZXl3b3JkPkluZmFudCwgTmV3Ym9ybjwva2V5d29yZD48
a2V5d29yZD5NaWRkbGUgQWdlZDwva2V5d29yZD48a2V5d29yZD5PYmVzaXR5LypkaWV0IHRoZXJh
cHkvKnByZXZlbnRpb24gJmFtcDsgY29udHJvbDwva2V5d29yZD48a2V5d29yZD5QYXRpZW50IENv
bXBsaWFuY2U8L2tleXdvcmQ+PGtleXdvcmQ+UHJlZ25hbmN5PC9rZXl3b3JkPjxrZXl3b3JkPlBy
ZWduYW5jeSBDb21wbGljYXRpb25zLypkaWV0IHRoZXJhcHkvKnByZXZlbnRpb24gJmFtcDsgY29u
dHJvbDwva2V5d29yZD48a2V5d29yZD5QcmVuYXRhbCBDYXJlLyptZXRob2RzPC9rZXl3b3JkPjxr
ZXl3b3JkPlJpc2sgUmVkdWN0aW9uIEJlaGF2aW9yPC9rZXl3b3JkPjxrZXl3b3JkPldlaWdodCBH
YWluPC9rZXl3b3JkPjxrZXl3b3JkPllvdW5nIEFkdWx0PC9rZXl3b3JkPjwva2V5d29yZHM+PGRh
dGVzPjx5ZWFyPjIwMDk8L3llYXI+PHB1Yi1kYXRlcz48ZGF0ZT5GZWI8L2RhdGU+PC9wdWItZGF0
ZXM+PC9kYXRlcz48aXNibj4wMDI5LTc4NDQgKFByaW50KSYjeEQ7MDAyOS03ODQ0IChMaW5raW5n
KTwvaXNibj48YWNjZXNzaW9uLW51bT4xOTE1NTg5OTwvYWNjZXNzaW9uLW51bT48dXJscz48cmVs
YXRlZC11cmxzPjx1cmw+aHR0cHM6Ly93d3cubmNiaS5ubG0ubmloLmdvdi9wdWJtZWQvMTkxNTU4
OTk8L3VybD48L3JlbGF0ZWQtdXJscz48L3VybHM+PGVsZWN0cm9uaWMtcmVzb3VyY2UtbnVtPjEw
LjEwOTcvQU9HLjBiMDEzZTMxODE5NWJhZWY8L2VsZWN0cm9uaWMtcmVzb3VyY2UtbnVtPjwvcmVj
b3JkPjwvQ2l0ZT48Q2l0ZT48QXV0aG9yPkFzY2k8L0F1dGhvcj48WWVhcj4yMDE2PC9ZZWFyPjxS
ZWNOdW0+NzQyPC9SZWNOdW0+PHJlY29yZD48cmVjLW51bWJlcj43NDI8L3JlYy1udW1iZXI+PGZv
cmVpZ24ta2V5cz48a2V5IGFwcD0iRU4iIGRiLWlkPSJleHZhc3JmeDJkdHJhb2VzYXN4cDJzenN4
YTJkZjUwMjU5MngiIHRpbWVzdGFtcD0iMTU0MTQ2Nzg2OCI+NzQyPC9rZXk+PGtleSBhcHA9IkVO
V2ViIiBkYi1pZD0iIj4wPC9rZXk+PC9mb3JlaWduLWtleXM+PHJlZi10eXBlIG5hbWU9IkpvdXJu
YWwgQXJ0aWNsZSI+MTc8L3JlZi10eXBlPjxjb250cmlidXRvcnM+PGF1dGhvcnM+PGF1dGhvcj5B
c2NpLCBPLjwvYXV0aG9yPjxhdXRob3I+UmF0aGZpc2NoLCBHLjwvYXV0aG9yPjwvYXV0aG9ycz48
L2NvbnRyaWJ1dG9ycz48YXV0aC1hZGRyZXNzPk51cnNpbmcgRGVwYXJ0bWVudCBvZiBIZWFsdGgg
U2NpZW5jZXMgRmFjdWx0eSwgQXJ0dmluIENvcnVoIFVuaXZlcnNpdHksIENheWFnemkgTWFoLiBM
aWZsZXZoYSBTb2suLCAwODAwLCBBcnR2aW4sIFR1cmtleS4gYXNjaS5zLm96bGVtQGdtYWlsLmNv
bS4mI3hEO051cnNpbmcgRmFjdWx0eSBvZiBPYnN0ZXRyaWNzIE51cnNpbmcgRGVwYXJ0bWVudCwg
RmxvcmVuY2UgTmlnaHRpbmdhbGUgU2Nob29sIG9mIE51cnNpbmcsIElzdGFuYnVsIFVuaXZlcnNp
dHksIEFiaWRlaSBIdXJyaXlldCBjYWQuLCAzNDM4MSwgSXN0YW5idWwsIFR1cmtleS4gZ3VsdW15
aWxAeWFob28uY29tLjwvYXV0aC1hZGRyZXNzPjx0aXRsZXM+PHRpdGxlPkVmZmVjdCBvZiBsaWZl
c3R5bGUgaW50ZXJ2ZW50aW9ucyBvZiBwcmVnbmFudCB3b21lbiBvbiB0aGVpciBkaWV0YXJ5IGhh
Yml0cywgbGlmZXN0eWxlIGJlaGF2aW9ycywgYW5kIHdlaWdodCBnYWluOiBhIHJhbmRvbWl6ZWQg
Y29udHJvbGxlZCB0cmlhbDwvdGl0bGU+PHNlY29uZGFyeS10aXRsZT5KIEhlYWx0aCBQb3B1bCBO
dXRyPC9zZWNvbmRhcnktdGl0bGU+PC90aXRsZXM+PHBlcmlvZGljYWw+PGZ1bGwtdGl0bGU+SiBI
ZWFsdGggUG9wdWwgTnV0cjwvZnVsbC10aXRsZT48L3BlcmlvZGljYWw+PHBhZ2VzPjc8L3BhZ2Vz
Pjx2b2x1bWU+MzU8L3ZvbHVtZT48ZWRpdGlvbj4yMDE2LzAyLzI2PC9lZGl0aW9uPjxrZXl3b3Jk
cz48a2V5d29yZD5BZHVsdDwva2V5d29yZD48a2V5d29yZD5Cb2R5IE1hc3MgSW5kZXg8L2tleXdv
cmQ+PGtleXdvcmQ+RmVlZGluZyBCZWhhdmlvci9ldGhub2xvZ3k8L2tleXdvcmQ+PGtleXdvcmQ+
RmVtYWxlPC9rZXl3b3JkPjxrZXl3b3JkPkZvbGxvdy1VcCBTdHVkaWVzPC9rZXl3b3JkPjxrZXl3
b3JkPkhhYml0czwva2V5d29yZD48a2V5d29yZD4qSGVhbHRoeSBEaWV0L2V0aG5vbG9neTwva2V5
d29yZD48a2V5d29yZD4qSGVhbHRoeSBMaWZlc3R5bGU8L2tleXdvcmQ+PGtleXdvcmQ+SHVtYW5z
PC9rZXl3b3JkPjxrZXl3b3JkPk1hdGVybmFsIEJlaGF2aW9yL2V0aG5vbG9neTwva2V5d29yZD48
a2V5d29yZD4qTWF0ZXJuYWwgTnV0cml0aW9uYWwgUGh5c2lvbG9naWNhbCBQaGVub21lbmEvZXRo
bm9sb2d5PC9rZXl3b3JkPjxrZXl3b3JkPk92ZXJ3ZWlnaHQvZXRobm9sb2d5LypwcmV2ZW50aW9u
ICZhbXA7IGNvbnRyb2w8L2tleXdvcmQ+PGtleXdvcmQ+UGF0aWVudCBDb21wbGlhbmNlL2V0aG5v
bG9neTwva2V5d29yZD48a2V5d29yZD5QYXRpZW50IERyb3BvdXRzPC9rZXl3b3JkPjxrZXl3b3Jk
PipQcmVjaXNpb24gTWVkaWNpbmU8L2tleXdvcmQ+PGtleXdvcmQ+UHJlZ25hbmN5PC9rZXl3b3Jk
PjxrZXl3b3JkPlByZWduYW5jeSBDb21wbGljYXRpb25zL2V0aG5vbG9neS8qcHJldmVudGlvbiAm
YW1wOyBjb250cm9sPC9rZXl3b3JkPjxrZXl3b3JkPlNpbmdsZS1CbGluZCBNZXRob2Q8L2tleXdv
cmQ+PGtleXdvcmQ+VHVya2V5PC9rZXl3b3JkPjxrZXl3b3JkPipVcmJhbiBIZWFsdGgvZXRobm9s
b2d5PC9rZXl3b3JkPjxrZXl3b3JkPldlaWdodCBHYWluL2V0aG5vbG9neTwva2V5d29yZD48a2V5
d29yZD5Zb3VuZyBBZHVsdDwva2V5d29yZD48L2tleXdvcmRzPjxkYXRlcz48eWVhcj4yMDE2PC95
ZWFyPjxwdWItZGF0ZXM+PGRhdGU+RmViIDI0PC9kYXRlPjwvcHViLWRhdGVzPjwvZGF0ZXM+PGlz
Ym4+MjA3Mi0xMzE1IChFbGVjdHJvbmljKSYjeEQ7MTYwNi0wOTk3IChMaW5raW5nKTwvaXNibj48
YWNjZXNzaW9uLW51bT4yNjkxMTIwNDwvYWNjZXNzaW9uLW51bT48dXJscz48cmVsYXRlZC11cmxz
Pjx1cmw+aHR0cHM6Ly93d3cubmNiaS5ubG0ubmloLmdvdi9wdWJtZWQvMjY5MTEyMDQ8L3VybD48
L3JlbGF0ZWQtdXJscz48L3VybHM+PGN1c3RvbTI+UE1DNTAyNTk3NjwvY3VzdG9tMj48ZWxlY3Ry
b25pYy1yZXNvdXJjZS1udW0+MTAuMTE4Ni9zNDEwNDMtMDE2LTAwNDQtMjwvZWxlY3Ryb25pYy1y
ZXNvdXJjZS1udW0+PC9yZWNvcmQ+PC9DaXRlPjxDaXRlPjxBdXRob3I+SHVpPC9BdXRob3I+PFll
YXI+MjAxMjwvWWVhcj48UmVjTnVtPjc0NjwvUmVjTnVtPjxyZWNvcmQ+PHJlYy1udW1iZXI+NzQ2
PC9yZWMtbnVtYmVyPjxmb3JlaWduLWtleXM+PGtleSBhcHA9IkVOIiBkYi1pZD0iZXh2YXNyZngy
ZHRyYW9lc2FzeHAyc3pzeGEyZGY1MDI1OTJ4IiB0aW1lc3RhbXA9IjE1NDE0Njc4OTQiPjc0Njwv
a2V5PjxrZXkgYXBwPSJFTldlYiIgZGItaWQ9IiI+MDwva2V5PjwvZm9yZWlnbi1rZXlzPjxyZWYt
dHlwZSBuYW1lPSJKb3VybmFsIEFydGljbGUiPjE3PC9yZWYtdHlwZT48Y29udHJpYnV0b3JzPjxh
dXRob3JzPjxhdXRob3I+SHVpLCBBLjwvYXV0aG9yPjxhdXRob3I+QmFjaywgTC48L2F1dGhvcj48
YXV0aG9yPkx1ZHdpZywgUy48L2F1dGhvcj48YXV0aG9yPkdhcmRpbmVyLCBQLjwvYXV0aG9yPjxh
dXRob3I+U2V2ZW5odXlzZW4sIEcuPC9hdXRob3I+PGF1dGhvcj5EZWFuLCBILjwvYXV0aG9yPjxh
dXRob3I+U2VsbGVycywgRS48L2F1dGhvcj48YXV0aG9yPk1jR2F2b2NrLCBKLjwvYXV0aG9yPjxh
dXRob3I+TW9ycmlzLCBNLjwvYXV0aG9yPjxhdXRob3I+QnJ1Y2UsIFMuPC9hdXRob3I+PGF1dGhv
cj5NdXJyYXksIFIuPC9hdXRob3I+PGF1dGhvcj5TaGVuLCBHLiBYLjwvYXV0aG9yPjwvYXV0aG9y
cz48L2NvbnRyaWJ1dG9ycz48YXV0aC1hZGRyZXNzPkRlcGFydG1lbnQgb2YgSW50ZXJuYWwgTWVk
aWNpbmUsIFVuaXZlcnNpdHkgb2YgTWFuaXRvYmEsIFdpbm5pcGVnLCBNYW5pdG9iYSwgQ2FuYWRh
LjwvYXV0aC1hZGRyZXNzPjx0aXRsZXM+PHRpdGxlPkxpZmVzdHlsZSBpbnRlcnZlbnRpb24gb24g
ZGlldCBhbmQgZXhlcmNpc2UgcmVkdWNlZCBleGNlc3NpdmUgZ2VzdGF0aW9uYWwgd2VpZ2h0IGdh
aW4gaW4gcHJlZ25hbnQgd29tZW4gdW5kZXIgYSByYW5kb21pc2VkIGNvbnRyb2xsZWQgdHJpYWw8
L3RpdGxlPjxzZWNvbmRhcnktdGl0bGU+QkpPRzwvc2Vjb25kYXJ5LXRpdGxlPjwvdGl0bGVzPjxw
ZXJpb2RpY2FsPjxmdWxsLXRpdGxlPkJKT0c8L2Z1bGwtdGl0bGU+PC9wZXJpb2RpY2FsPjxwYWdl
cz43MC03PC9wYWdlcz48dm9sdW1lPjExOTwvdm9sdW1lPjxudW1iZXI+MTwvbnVtYmVyPjxlZGl0
aW9uPjIwMTEvMTAvMjU8L2VkaXRpb24+PGtleXdvcmRzPjxrZXl3b3JkPkFkdWx0PC9rZXl3b3Jk
PjxrZXl3b3JkPkNvdW5zZWxpbmc8L2tleXdvcmQ+PGtleXdvcmQ+KkRpZXQ8L2tleXdvcmQ+PGtl
eXdvcmQ+RW5lcmd5IEludGFrZTwva2V5d29yZD48a2V5d29yZD5FeGVyY2lzZSBUaGVyYXB5Lypt
ZXRob2RzPC9rZXl3b3JkPjxrZXl3b3JkPkZlbWFsZTwva2V5d29yZD48a2V5d29yZD5IdW1hbnM8
L2tleXdvcmQ+PGtleXdvcmQ+KkxpZmUgU3R5bGU8L2tleXdvcmQ+PGtleXdvcmQ+UGF0aWVudCBF
ZHVjYXRpb24gYXMgVG9waWM8L2tleXdvcmQ+PGtleXdvcmQ+UHJlZ25hbmN5PC9rZXl3b3JkPjxr
ZXl3b3JkPlByZWduYW5jeSBDb21wbGljYXRpb25zLypwcmV2ZW50aW9uICZhbXA7IGNvbnRyb2w8
L2tleXdvcmQ+PGtleXdvcmQ+UHJlZ25hbmN5IE91dGNvbWU8L2tleXdvcmQ+PGtleXdvcmQ+UHJl
bmF0YWwgQ2FyZS8qbWV0aG9kczwva2V5d29yZD48a2V5d29yZD5VcmJhbiBIZWFsdGg8L2tleXdv
cmQ+PGtleXdvcmQ+V2VpZ2h0IEdhaW4vKnBoeXNpb2xvZ3k8L2tleXdvcmQ+PGtleXdvcmQ+WW91
bmcgQWR1bHQ8L2tleXdvcmQ+PC9rZXl3b3Jkcz48ZGF0ZXM+PHllYXI+MjAxMjwveWVhcj48cHVi
LWRhdGVzPjxkYXRlPkphbjwvZGF0ZT48L3B1Yi1kYXRlcz48L2RhdGVzPjxpc2JuPjE0NzEtMDUy
OCAoRWxlY3Ryb25pYykmI3hEOzE0NzAtMDMyOCAoTGlua2luZyk8L2lzYm4+PGFjY2Vzc2lvbi1u
dW0+MjIwMTc5Njc8L2FjY2Vzc2lvbi1udW0+PHVybHM+PHJlbGF0ZWQtdXJscz48dXJsPmh0dHBz
Oi8vd3d3Lm5jYmkubmxtLm5paC5nb3YvcHVibWVkLzIyMDE3OTY3PC91cmw+PC9yZWxhdGVkLXVy
bHM+PC91cmxzPjxlbGVjdHJvbmljLXJlc291cmNlLW51bT4xMC4xMTExL2ouMTQ3MS0wNTI4LjIw
MTEuMDMxODQueDwvZWxlY3Ryb25pYy1yZXNvdXJjZS1udW0+PC9yZWNvcmQ+PC9DaXRlPjxDaXRl
PjxBdXRob3I+SHVpPC9BdXRob3I+PFllYXI+MjAxNDwvWWVhcj48UmVjTnVtPjc2MzwvUmVjTnVt
PjxyZWNvcmQ+PHJlYy1udW1iZXI+NzYzPC9yZWMtbnVtYmVyPjxmb3JlaWduLWtleXM+PGtleSBh
cHA9IkVOIiBkYi1pZD0iZXh2YXNyZngyZHRyYW9lc2FzeHAyc3pzeGEyZGY1MDI1OTJ4IiB0aW1l
c3RhbXA9IjE1NDE0Njg0NDYiPjc2Mzwva2V5PjwvZm9yZWlnbi1rZXlzPjxyZWYtdHlwZSBuYW1l
PSJKb3VybmFsIEFydGljbGUiPjE3PC9yZWYtdHlwZT48Y29udHJpYnV0b3JzPjxhdXRob3JzPjxh
dXRob3I+SHVpLCBBLiBMLjwvYXV0aG9yPjxhdXRob3I+QmFjaywgTC48L2F1dGhvcj48YXV0aG9y
Pkx1ZHdpZywgUy48L2F1dGhvcj48YXV0aG9yPkdhcmRpbmVyLCBQLjwvYXV0aG9yPjxhdXRob3I+
U2V2ZW5odXlzZW4sIEcuPC9hdXRob3I+PGF1dGhvcj5EZWFuLCBILiBKLjwvYXV0aG9yPjxhdXRo
b3I+U2VsbGVycywgRS48L2F1dGhvcj48YXV0aG9yPk1jR2F2b2NrLCBKLjwvYXV0aG9yPjxhdXRo
b3I+TW9ycmlzLCBNLjwvYXV0aG9yPjxhdXRob3I+SmlhbmcsIEQuPC9hdXRob3I+PGF1dGhvcj5T
aGVuLCBHLiBYLjwvYXV0aG9yPjwvYXV0aG9ycz48L2NvbnRyaWJ1dG9ycz48YXV0aC1hZGRyZXNz
PkRlcGFydG1lbnRzIG9mIEludGVybmFsIE1lZGljaW5lLCBVbml2ZXJzaXR5IG9mIE1hbml0b2Jh
LCBSb29tIDgwMUQsIDcxNSBNY0Rlcm1vdCBBdmUsLCBXaW5uaXBlZywgTUIgUjNFIDNQNCwgQ2Fu
YWRhLiBBbXkuSHVpQG1lZC51bWFuaXRvYmEuY2EuPC9hdXRoLWFkZHJlc3M+PHRpdGxlcz48dGl0
bGU+RWZmZWN0cyBvZiBsaWZlc3R5bGUgaW50ZXJ2ZW50aW9uIG9uIGRpZXRhcnkgaW50YWtlLCBw
aHlzaWNhbCBhY3Rpdml0eSBsZXZlbCwgYW5kIGdlc3RhdGlvbmFsIHdlaWdodCBnYWluIGluIHBy
ZWduYW50IHdvbWVuIHdpdGggZGlmZmVyZW50IHByZS1wcmVnbmFuY3kgQm9keSBNYXNzIEluZGV4
IGluIGEgcmFuZG9taXplZCBjb250cm9sIHRyaWFsPC90aXRsZT48c2Vjb25kYXJ5LXRpdGxlPkJN
QyBQcmVnbmFuY3kgQ2hpbGRiaXJ0aDwvc2Vjb25kYXJ5LXRpdGxlPjwvdGl0bGVzPjxwZXJpb2Rp
Y2FsPjxmdWxsLXRpdGxlPkJNQyBQcmVnbmFuY3kgQ2hpbGRiaXJ0aDwvZnVsbC10aXRsZT48L3Bl
cmlvZGljYWw+PHBhZ2VzPjMzMTwvcGFnZXM+PHZvbHVtZT4xNDwvdm9sdW1lPjxlZGl0aW9uPjIw
MTQvMDkvMjU8L2VkaXRpb24+PGtleXdvcmRzPjxrZXl3b3JkPkFkdWx0PC9rZXl3b3JkPjxrZXl3
b3JkPipCb2R5IE1hc3MgSW5kZXg8L2tleXdvcmQ+PGtleXdvcmQ+Q291bnNlbGluZzwva2V5d29y
ZD48a2V5d29yZD4qRGlldDwva2V5d29yZD48a2V5d29yZD5FbmVyZ3kgSW50YWtlPC9rZXl3b3Jk
PjxrZXl3b3JkPkV4ZXJjaXNlIFRoZXJhcHkvKm1ldGhvZHM8L2tleXdvcmQ+PGtleXdvcmQ+RmVt
YWxlPC9rZXl3b3JkPjxrZXl3b3JkPkZvbGxvdy1VcCBTdHVkaWVzPC9rZXl3b3JkPjxrZXl3b3Jk
Pkdlc3RhdGlvbmFsIEFnZTwva2V5d29yZD48a2V5d29yZD5IdW1hbnM8L2tleXdvcmQ+PGtleXdv
cmQ+KkxpZmUgU3R5bGU8L2tleXdvcmQ+PGtleXdvcmQ+T2Jlc2l0eS9wcmV2ZW50aW9uICZhbXA7
IGNvbnRyb2wvKnRoZXJhcHk8L2tleXdvcmQ+PGtleXdvcmQ+UGF0aWVudCBDb21wbGlhbmNlL3N0
YXRpc3RpY3MgJmFtcDsgbnVtZXJpY2FsIGRhdGE8L2tleXdvcmQ+PGtleXdvcmQ+UGF0aWVudCBF
ZHVjYXRpb24gYXMgVG9waWM8L2tleXdvcmQ+PGtleXdvcmQ+UHJlZ25hbmN5PC9rZXl3b3JkPjxr
ZXl3b3JkPlByZWduYW5jeSBPdXRjb21lPC9rZXl3b3JkPjxrZXl3b3JkPlByZW5hdGFsIENhcmUv
bWV0aG9kczwva2V5d29yZD48a2V5d29yZD4qV2VpZ2h0IEdhaW48L2tleXdvcmQ+PGtleXdvcmQ+
WW91bmcgQWR1bHQ8L2tleXdvcmQ+PC9rZXl3b3Jkcz48ZGF0ZXM+PHllYXI+MjAxNDwveWVhcj48
cHViLWRhdGVzPjxkYXRlPlNlcCAyNDwvZGF0ZT48L3B1Yi1kYXRlcz48L2RhdGVzPjxpc2JuPjE0
NzEtMjM5MyAoRWxlY3Ryb25pYykmI3hEOzE0NzEtMjM5MyAoTGlua2luZyk8L2lzYm4+PGFjY2Vz
c2lvbi1udW0+MjUyNDg3OTc8L2FjY2Vzc2lvbi1udW0+PHVybHM+PHJlbGF0ZWQtdXJscz48dXJs
Pmh0dHBzOi8vd3d3Lm5jYmkubmxtLm5paC5nb3YvcHVibWVkLzI1MjQ4Nzk3PC91cmw+PC9yZWxh
dGVkLXVybHM+PC91cmxzPjxjdXN0b20yPlBNQzQyODc0NzA8L2N1c3RvbTI+PGVsZWN0cm9uaWMt
cmVzb3VyY2UtbnVtPjEwLjExODYvMTQ3MS0yMzkzLTE0LTMzMTwvZWxlY3Ryb25pYy1yZXNvdXJj
ZS1udW0+PC9yZWNvcmQ+PC9DaXRlPjxDaXRlPjxBdXRob3I+SmluZzwvQXV0aG9yPjxZZWFyPjIw
MTU8L1llYXI+PFJlY051bT42MDk8L1JlY051bT48cmVjb3JkPjxyZWMtbnVtYmVyPjYwOTwvcmVj
LW51bWJlcj48Zm9yZWlnbi1rZXlzPjxrZXkgYXBwPSJFTiIgZGItaWQ9ImV4dmFzcmZ4MmR0cmFv
ZXNhc3hwMnN6c3hhMmRmNTAyNTkyeCIgdGltZXN0YW1wPSIxNTM5MDQ4MzM5Ij42MDk8L2tleT48
a2V5IGFwcD0iRU5XZWIiIGRiLWlkPSIiPjA8L2tleT48L2ZvcmVpZ24ta2V5cz48cmVmLXR5cGUg
bmFtZT0iSm91cm5hbCBBcnRpY2xlIj4xNzwvcmVmLXR5cGU+PGNvbnRyaWJ1dG9ycz48YXV0aG9y
cz48YXV0aG9yPkppbmcsIFcuPC9hdXRob3I+PGF1dGhvcj5IdWFuZywgWS48L2F1dGhvcj48YXV0
aG9yPkxpdSwgWC48L2F1dGhvcj48YXV0aG9yPkx1bywgQi48L2F1dGhvcj48YXV0aG9yPllhbmcs
IFkuPC9hdXRob3I+PGF1dGhvcj5MaWFvLCBTLjwvYXV0aG9yPjwvYXV0aG9ycz48L2NvbnRyaWJ1
dG9ycz48YXV0aC1hZGRyZXNzPkRlcGFydG1lbnQgb2YgT2JzdGV0cmljcywgV2VzdCBDaGluYSBT
ZWNvbmQgVW5pdmVyc2l0eSBIb3NwaXRhbCwgU2ljaHVhbiBVbml2ZXJzaXR5LCBDaGVuZ2R1LCBT
aWNodWFuLCBDaGluYS4mI3hEO0RlcGFydG1lbnQgb2YgT2JzdGV0cmljcywgV2VzdCBDaGluYSBT
ZWNvbmQgVW5pdmVyc2l0eSBIb3NwaXRhbCwgU2ljaHVhbiBVbml2ZXJzaXR5LCBDaGVuZ2R1LCBT
aWNodWFuLCBDaGluYS4gRWxlY3Ryb25pYyBhZGRyZXNzOiAyODQyNzA3NzhAcXEuY29tLjwvYXV0
aC1hZGRyZXNzPjx0aXRsZXM+PHRpdGxlPlRoZSBlZmZlY3Qgb2YgYSBwZXJzb25hbGl6ZWQgaW50
ZXJ2ZW50aW9uIG9uIHdlaWdodCBnYWluIGFuZCBwaHlzaWNhbCBhY3Rpdml0eSBhbW9uZyBwcmVn
bmFudCB3b21lbiBpbiBDaGluYTwvdGl0bGU+PHNlY29uZGFyeS10aXRsZT5JbnQgSiBHeW5hZWNv
bCBPYnN0ZXQ8L3NlY29uZGFyeS10aXRsZT48L3RpdGxlcz48cGVyaW9kaWNhbD48ZnVsbC10aXRs
ZT5JbnQgSiBHeW5hZWNvbCBPYnN0ZXQ8L2Z1bGwtdGl0bGU+PC9wZXJpb2RpY2FsPjxwYWdlcz4x
MzgtNDE8L3BhZ2VzPjx2b2x1bWU+MTI5PC92b2x1bWU+PG51bWJlcj4yPC9udW1iZXI+PGVkaXRp
b24+MjAxNS8wMi8yNDwvZWRpdGlvbj48a2V5d29yZHM+PGtleXdvcmQ+QWR1bHQ8L2tleXdvcmQ+
PGtleXdvcmQ+Q2hpbmE8L2tleXdvcmQ+PGtleXdvcmQ+RGlhYmV0ZXMsIEdlc3RhdGlvbmFsL3By
ZXZlbnRpb24gJmFtcDsgY29udHJvbDwva2V5d29yZD48a2V5d29yZD5EaWV0PC9rZXl3b3JkPjxr
ZXl3b3JkPkZlbWFsZTwva2V5d29yZD48a2V5d29yZD5IdW1hbnM8L2tleXdvcmQ+PGtleXdvcmQ+
Kk1vdG9yIEFjdGl2aXR5PC9rZXl3b3JkPjxrZXl3b3JkPlByZWduYW5jeTwva2V5d29yZD48a2V5
d29yZD5QcmVnbmFuY3kgQ29tcGxpY2F0aW9ucy8qcHJldmVudGlvbiAmYW1wOyBjb250cm9sPC9r
ZXl3b3JkPjxrZXl3b3JkPlByZW5hdGFsIEVkdWNhdGlvbi8qbWV0aG9kczwva2V5d29yZD48a2V5
d29yZD5QcmVuYXRhbCBOdXRyaXRpb25hbCBQaHlzaW9sb2dpY2FsIFBoZW5vbWVuYTwva2V5d29y
ZD48a2V5d29yZD5TdXJ2ZXlzIGFuZCBRdWVzdGlvbm5haXJlczwva2V5d29yZD48a2V5d29yZD4q
V2VpZ2h0IEdhaW48L2tleXdvcmQ+PGtleXdvcmQ+RXhjZXNzaXZlIHdlaWdodCBnYWluPC9rZXl3
b3JkPjxrZXl3b3JkPkdlc3RhdGlvbmFsIGRpYWJldGVzIG1lbGxpdHVzPC9rZXl3b3JkPjxrZXl3
b3JkPkhlYWx0aCBiZWxpZWYgbW9kZWw8L2tleXdvcmQ+PGtleXdvcmQ+SW50ZXJ2ZW50aW9uPC9r
ZXl3b3JkPjxrZXl3b3JkPlBoeXNpY2FsIGFjdGl2aXR5PC9rZXl3b3JkPjwva2V5d29yZHM+PGRh
dGVzPjx5ZWFyPjIwMTU8L3llYXI+PHB1Yi1kYXRlcz48ZGF0ZT5NYXk8L2RhdGU+PC9wdWItZGF0
ZXM+PC9kYXRlcz48aXNibj4xODc5LTM0NzkgKEVsZWN0cm9uaWMpJiN4RDswMDIwLTcyOTIgKExp
bmtpbmcpPC9pc2JuPjxhY2Nlc3Npb24tbnVtPjI1Njk3OTY1PC9hY2Nlc3Npb24tbnVtPjx1cmxz
PjxyZWxhdGVkLXVybHM+PHVybD5odHRwczovL3d3dy5uY2JpLm5sbS5uaWguZ292L3B1Ym1lZC8y
NTY5Nzk2NTwvdXJsPjwvcmVsYXRlZC11cmxzPjwvdXJscz48ZWxlY3Ryb25pYy1yZXNvdXJjZS1u
dW0+MTAuMTAxNi9qLmlqZ28uMjAxNC4xMS4wMTQ8L2VsZWN0cm9uaWMtcmVzb3VyY2UtbnVtPjwv
cmVjb3JkPjwvQ2l0ZT48Q2l0ZT48QXV0aG9yPlBhd2FsaWE8L0F1dGhvcj48WWVhcj4yMDE3PC9Z
ZWFyPjxSZWNOdW0+NzUwPC9SZWNOdW0+PHJlY29yZD48cmVjLW51bWJlcj43NTA8L3JlYy1udW1i
ZXI+PGZvcmVpZ24ta2V5cz48a2V5IGFwcD0iRU4iIGRiLWlkPSJleHZhc3JmeDJkdHJhb2VzYXN4
cDJzenN4YTJkZjUwMjU5MngiIHRpbWVzdGFtcD0iMTU0MTQ2NzkxOSI+NzUwPC9rZXk+PGtleSBh
cHA9IkVOV2ViIiBkYi1pZD0iIj4wPC9rZXk+PC9mb3JlaWduLWtleXM+PHJlZi10eXBlIG5hbWU9
IkpvdXJuYWwgQXJ0aWNsZSI+MTc8L3JlZi10eXBlPjxjb250cmlidXRvcnM+PGF1dGhvcnM+PGF1
dGhvcj5QYXdhbGlhLCBBbGthPC9hdXRob3I+PGF1dGhvcj5LdWxhbmRhaXZlbGFuLCBTaXZhY2hp
ZGFtYmFyYW08L2F1dGhvcj48YXV0aG9yPlNhdmFudCwgU2F0eWE8L2F1dGhvcj48YXV0aG9yPllh
ZGF2LCBWaWtyYW0gU2luZ2g8L2F1dGhvcj48L2F1dGhvcnM+PC9jb250cmlidXRvcnM+PHRpdGxl
cz48dGl0bGU+RXhlcmNpc2UgaW4gUHJlZ25hbmN5OiBFZmZlY3Qgb24gT2Jlc2l0eSBQYXJhbWV0
ZXJzIGluIEluZGlhbiBXb21lbiDigJMgQSBSYW5kb21pemVkIENvbnRyb2xsZWQgVHJpYWw8L3Rp
dGxlPjxzZWNvbmRhcnktdGl0bGU+Um9tYW5pYW4gSm91cm5hbCBvZiBEaWFiZXRlcyBOdXRyaXRp
b24gYW5kIE1ldGFib2xpYyBEaXNlYXNlczwvc2Vjb25kYXJ5LXRpdGxlPjwvdGl0bGVzPjxwZXJp
b2RpY2FsPjxmdWxsLXRpdGxlPlJvbWFuaWFuIEpvdXJuYWwgb2YgRGlhYmV0ZXMgTnV0cml0aW9u
IGFuZCBNZXRhYm9saWMgRGlzZWFzZXM8L2Z1bGwtdGl0bGU+PC9wZXJpb2RpY2FsPjx2b2x1bWU+
MjQ8L3ZvbHVtZT48bnVtYmVyPjQ8L251bWJlcj48ZGF0ZXM+PHllYXI+MjAxNzwveWVhcj48L2Rh
dGVzPjxpc2JuPjIyODQtNjQxNzwvaXNibj48dXJscz48L3VybHM+PGVsZWN0cm9uaWMtcmVzb3Vy
Y2UtbnVtPjEwLjE1MTUvcmpkbm1kLTIwMTctMDAzNzwvZWxlY3Ryb25pYy1yZXNvdXJjZS1udW0+
PC9yZWNvcmQ+PC9DaXRlPjxDaXRlPjxBdXRob3I+UGhlbGFuPC9BdXRob3I+PFllYXI+MjAxMTwv
WWVhcj48UmVjTnVtPjcwNTwvUmVjTnVtPjxyZWNvcmQ+PHJlYy1udW1iZXI+NzA1PC9yZWMtbnVt
YmVyPjxmb3JlaWduLWtleXM+PGtleSBhcHA9IkVOIiBkYi1pZD0iZXh2YXNyZngyZHRyYW9lc2Fz
eHAyc3pzeGEyZGY1MDI1OTJ4IiB0aW1lc3RhbXA9IjE1NDA1MzA2MzYiPjcwNTwva2V5PjwvZm9y
ZWlnbi1rZXlzPjxyZWYtdHlwZSBuYW1lPSJKb3VybmFsIEFydGljbGUiPjE3PC9yZWYtdHlwZT48
Y29udHJpYnV0b3JzPjxhdXRob3JzPjxhdXRob3I+UGhlbGFuLCBTLjwvYXV0aG9yPjxhdXRob3I+
UGhpcHBzLCBNLiBHLjwvYXV0aG9yPjxhdXRob3I+QWJyYW1zLCBCLjwvYXV0aG9yPjxhdXRob3I+
RGFycm9jaCwgRi48L2F1dGhvcj48YXV0aG9yPlNjaGFmZm5lciwgQS48L2F1dGhvcj48YXV0aG9y
PldpbmcsIFIuIFIuPC9hdXRob3I+PC9hdXRob3JzPjwvY29udHJpYnV0b3JzPjxhdXRoLWFkZHJl
c3M+RGVwYXJ0bWVudHMgb2YgS2luZXNpb2xvZ3ksIENhbGlmb3JuaWEgUG9seXRlY2huaWMgU3Rh
dGUgVW5pdmVyc2l0eSwgU2FuIEx1aXMgT2Jpc3BvLCA5MzQwNy0wMzg2LCBVU0EuIHNwaGVsYW5A
Y2FscG9seS5lZHU8L2F1dGgtYWRkcmVzcz48dGl0bGVzPjx0aXRsZT5SYW5kb21pemVkIHRyaWFs
IG9mIGEgYmVoYXZpb3JhbCBpbnRlcnZlbnRpb24gdG8gcHJldmVudCBleGNlc3NpdmUgZ2VzdGF0
aW9uYWwgd2VpZ2h0IGdhaW46IHRoZSBGaXQgZm9yIERlbGl2ZXJ5IFN0dWR5PC90aXRsZT48c2Vj
b25kYXJ5LXRpdGxlPkFtIEogQ2xpbiBOdXRyPC9zZWNvbmRhcnktdGl0bGU+PC90aXRsZXM+PHBl
cmlvZGljYWw+PGZ1bGwtdGl0bGU+QW0gSiBDbGluIE51dHI8L2Z1bGwtdGl0bGU+PC9wZXJpb2Rp
Y2FsPjxwYWdlcz43NzItOTwvcGFnZXM+PHZvbHVtZT45Mzwvdm9sdW1lPjxudW1iZXI+NDwvbnVt
YmVyPjxlZGl0aW9uPjIwMTEvMDIvMTI8L2VkaXRpb24+PGtleXdvcmRzPjxrZXl3b3JkPkFkdWx0
PC9rZXl3b3JkPjxrZXl3b3JkPkJlaGF2aW9yPC9rZXl3b3JkPjxrZXl3b3JkPipCZWhhdmlvciBU
aGVyYXB5PC9rZXl3b3JkPjxrZXl3b3JkPipEaWV0PC9rZXl3b3JkPjxrZXl3b3JkPipFeGVyY2lz
ZTwva2V5d29yZD48a2V5d29yZD5GZW1hbGU8L2tleXdvcmQ+PGtleXdvcmQ+KkhlYWx0aCBQcm9t
b3Rpb248L2tleXdvcmQ+PGtleXdvcmQ+SHVtYW5zPC9rZXl3b3JkPjxrZXl3b3JkPkludGVudGlv
biB0byBUcmVhdCBBbmFseXNpczwva2V5d29yZD48a2V5d29yZD5PYmVzaXR5L2NvbXBsaWNhdGlv
bnMvZXBpZGVtaW9sb2d5LypwcmV2ZW50aW9uICZhbXA7IGNvbnRyb2w8L2tleXdvcmQ+PGtleXdv
cmQ+UG9zdHBhcnR1bSBQZXJpb2Q8L2tleXdvcmQ+PGtleXdvcmQ+UHJlZ25hbmN5PC9rZXl3b3Jk
PjxrZXl3b3JkPlByZWduYW5jeSBDb21wbGljYXRpb25zLypwcmV2ZW50aW9uICZhbXA7IGNvbnRy
b2w8L2tleXdvcmQ+PGtleXdvcmQ+UHJldmFsZW5jZTwva2V5d29yZD48a2V5d29yZD5SZWZlcmVu
Y2UgVmFsdWVzPC9rZXl3b3JkPjxrZXl3b3JkPlNpbmdsZS1CbGluZCBNZXRob2Q8L2tleXdvcmQ+
PGtleXdvcmQ+U3RhbmRhcmQgb2YgQ2FyZTwva2V5d29yZD48a2V5d29yZD5UcmVhdG1lbnQgT3V0
Y29tZTwva2V5d29yZD48a2V5d29yZD4qV2VpZ2h0IEdhaW48L2tleXdvcmQ+PGtleXdvcmQ+WW91
bmcgQWR1bHQ8L2tleXdvcmQ+PC9rZXl3b3Jkcz48ZGF0ZXM+PHllYXI+MjAxMTwveWVhcj48cHVi
LWRhdGVzPjxkYXRlPkFwcjwvZGF0ZT48L3B1Yi1kYXRlcz48L2RhdGVzPjxpc2JuPjE5MzgtMzIw
NyAoRWxlY3Ryb25pYykmI3hEOzAwMDItOTE2NSAoTGlua2luZyk8L2lzYm4+PGFjY2Vzc2lvbi1u
dW0+MjEzMTA4MzY8L2FjY2Vzc2lvbi1udW0+PHVybHM+PHJlbGF0ZWQtdXJscz48dXJsPmh0dHBz
Oi8vd3d3Lm5jYmkubmxtLm5paC5nb3YvcHVibWVkLzIxMzEwODM2PC91cmw+PC9yZWxhdGVkLXVy
bHM+PC91cmxzPjxjdXN0b20yPlBNQzMwNTc1NDY8L2N1c3RvbTI+PGVsZWN0cm9uaWMtcmVzb3Vy
Y2UtbnVtPjEwLjM5NDUvYWpjbi4xMTAuMDA1MzA2PC9lbGVjdHJvbmljLXJlc291cmNlLW51bT48
L3JlY29yZD48L0NpdGU+PENpdGU+PEF1dGhvcj5Qb2xsZXk8L0F1dGhvcj48WWVhcj4yMDAyPC9Z
ZWFyPjxSZWNOdW0+NzA2PC9SZWNOdW0+PHJlY29yZD48cmVjLW51bWJlcj43MDY8L3JlYy1udW1i
ZXI+PGZvcmVpZ24ta2V5cz48a2V5IGFwcD0iRU4iIGRiLWlkPSJleHZhc3JmeDJkdHJhb2VzYXN4
cDJzenN4YTJkZjUwMjU5MngiIHRpbWVzdGFtcD0iMTU0MDUzMDY3NCI+NzA2PC9rZXk+PC9mb3Jl
aWduLWtleXM+PHJlZi10eXBlIG5hbWU9IkpvdXJuYWwgQXJ0aWNsZSI+MTc8L3JlZi10eXBlPjxj
b250cmlidXRvcnM+PGF1dGhvcnM+PGF1dGhvcj5Qb2xsZXksIEIuIEEuPC9hdXRob3I+PGF1dGhv
cj5XaW5nLCBSLiBSLjwvYXV0aG9yPjxhdXRob3I+U2ltcywgQy4gSi48L2F1dGhvcj48L2F1dGhv
cnM+PC9jb250cmlidXRvcnM+PGF1dGgtYWRkcmVzcz5Vbml2ZXJzaXR5IG9mIFBpdHRzYnVyZ2gs
IFBpdHRzYnVyZ2gsIFBlbm5zeWx2YW5pYSwgVVNBLjwvYXV0aC1hZGRyZXNzPjx0aXRsZXM+PHRp
dGxlPlJhbmRvbWl6ZWQgY29udHJvbGxlZCB0cmlhbCB0byBwcmV2ZW50IGV4Y2Vzc2l2ZSB3ZWln
aHQgZ2FpbiBpbiBwcmVnbmFudCB3b21lbjwvdGl0bGU+PHNlY29uZGFyeS10aXRsZT5JbnQgSiBP
YmVzIFJlbGF0IE1ldGFiIERpc29yZDwvc2Vjb25kYXJ5LXRpdGxlPjwvdGl0bGVzPjxwZXJpb2Rp
Y2FsPjxmdWxsLXRpdGxlPkludCBKIE9iZXMgUmVsYXQgTWV0YWIgRGlzb3JkPC9mdWxsLXRpdGxl
PjwvcGVyaW9kaWNhbD48cGFnZXM+MTQ5NC01MDI8L3BhZ2VzPjx2b2x1bWU+MjY8L3ZvbHVtZT48
bnVtYmVyPjExPC9udW1iZXI+PGVkaXRpb24+MjAwMi8xMS8yMDwvZWRpdGlvbj48a2V5d29yZHM+
PGtleXdvcmQ+QWR1bHQ8L2tleXdvcmQ+PGtleXdvcmQ+RXhlcmNpc2UgVGhlcmFweS8qbWV0aG9k
czwva2V5d29yZD48a2V5d29yZD5GZW1hbGU8L2tleXdvcmQ+PGtleXdvcmQ+SGVhbHRoIEJlaGF2
aW9yPC9rZXl3b3JkPjxrZXl3b3JkPkh1bWFuczwva2V5d29yZD48a2V5d29yZD5PYmVzaXR5Lypw
cmV2ZW50aW9uICZhbXA7IGNvbnRyb2w8L2tleXdvcmQ+PGtleXdvcmQ+UG9zdG5hdGFsIENhcmUv
bWV0aG9kczwva2V5d29yZD48a2V5d29yZD5QcmVnbmFuY3k8L2tleXdvcmQ+PGtleXdvcmQ+UHJl
Z25hbmN5IENvbXBsaWNhdGlvbnMvKnByZXZlbnRpb24gJmFtcDsgY29udHJvbDwva2V5d29yZD48
a2V5d29yZD5QcmVnbmFuY3kgT3V0Y29tZTwva2V5d29yZD48a2V5d29yZD5QcmVuYXRhbCBDYXJl
L21ldGhvZHM8L2tleXdvcmQ+PGtleXdvcmQ+V2VpZ2h0IEdhaW48L2tleXdvcmQ+PC9rZXl3b3Jk
cz48ZGF0ZXM+PHllYXI+MjAwMjwveWVhcj48cHViLWRhdGVzPjxkYXRlPk5vdjwvZGF0ZT48L3B1
Yi1kYXRlcz48L2RhdGVzPjxhY2Nlc3Npb24tbnVtPjEyNDM5NjUyPC9hY2Nlc3Npb24tbnVtPjx1
cmxzPjxyZWxhdGVkLXVybHM+PHVybD5odHRwczovL3d3dy5uY2JpLm5sbS5uaWguZ292L3B1Ym1l
ZC8xMjQzOTY1MjwvdXJsPjwvcmVsYXRlZC11cmxzPjwvdXJscz48ZWxlY3Ryb25pYy1yZXNvdXJj
ZS1udW0+MTAuMTAzOC9zai5pam8uMDgwMjEzMDwvZWxlY3Ryb25pYy1yZXNvdXJjZS1udW0+PC9y
ZWNvcmQ+PC9DaXRlPjxDaXRlPjxBdXRob3I+UmF1aDwvQXV0aG9yPjxZZWFyPjIwMTM8L1llYXI+
PFJlY051bT4xMTA5PC9SZWNOdW0+PHJlY29yZD48cmVjLW51bWJlcj4xMTA5PC9yZWMtbnVtYmVy
Pjxmb3JlaWduLWtleXM+PGtleSBhcHA9IkVOIiBkYi1pZD0iZXh2YXNyZngyZHRyYW9lc2FzeHAy
c3pzeGEyZGY1MDI1OTJ4IiB0aW1lc3RhbXA9IjE1NTI5NDg0ODUiPjExMDk8L2tleT48L2ZvcmVp
Z24ta2V5cz48cmVmLXR5cGUgbmFtZT0iSm91cm5hbCBBcnRpY2xlIj4xNzwvcmVmLXR5cGU+PGNv
bnRyaWJ1dG9ycz48YXV0aG9ycz48YXV0aG9yPlJhdWgsIEsuPC9hdXRob3I+PGF1dGhvcj5HYWJy
aWVsLCBFLjwvYXV0aG9yPjxhdXRob3I+S2Vyc2NoYmF1bSwgRS48L2F1dGhvcj48YXV0aG9yPlNj
aHVzdGVyLCBULjwvYXV0aG9yPjxhdXRob3I+dm9uIEtyaWVzLCBSLjwvYXV0aG9yPjxhdXRob3I+
QW1hbm4tR2Fzc25lciwgVS48L2F1dGhvcj48YXV0aG9yPkhhdW5lciwgSC48L2F1dGhvcj48L2F1
dGhvcnM+PC9jb250cmlidXRvcnM+PHRpdGxlcz48dGl0bGU+U2FmZXR5IGFuZCBlZmZpY2FjeSBv
ZiBhIGxpZmVzdHlsZSBpbnRlcnZlbnRpb24gZm9yIHByZWduYW50IHdvbWVuIHRvIHByZXZlbnQg
ZXhjZXNzaXZlIG1hdGVybmFsIHdlaWdodCBnYWluOiBhIGNsdXN0ZXItcmFuZG9taXplZCBjb250
cm9sbGVkIHRyaWFsPC90aXRsZT48c2Vjb25kYXJ5LXRpdGxlPkJNQyBQcmVnbmFuY3kgQ2hpbGRi
aXJ0aDwvc2Vjb25kYXJ5LXRpdGxlPjwvdGl0bGVzPjxwZXJpb2RpY2FsPjxmdWxsLXRpdGxlPkJN
QyBQcmVnbmFuY3kgQ2hpbGRiaXJ0aDwvZnVsbC10aXRsZT48L3BlcmlvZGljYWw+PHBhZ2VzPjE1
MTwvcGFnZXM+PHZvbHVtZT4xMzwvdm9sdW1lPjxlZGl0aW9uPjIwMTMvMDcvMjA8L2VkaXRpb24+
PGtleXdvcmRzPjxrZXl3b3JkPkFkdWx0PC9rZXl3b3JkPjxrZXl3b3JkPipCaXJ0aCBXZWlnaHQ8
L2tleXdvcmQ+PGtleXdvcmQ+Q291bnNlbGluZy8qbWV0aG9kczwva2V5d29yZD48a2V5d29yZD4q
RW5lcmd5IEludGFrZTwva2V5d29yZD48a2V5d29yZD5GZWFzaWJpbGl0eSBTdHVkaWVzPC9rZXl3
b3JkPjxrZXl3b3JkPkZlbWFsZTwva2V5d29yZD48a2V5d29yZD5IdW1hbnM8L2tleXdvcmQ+PGtl
eXdvcmQ+SW5mYW50LCBOZXdib3JuPC9rZXl3b3JkPjxrZXl3b3JkPipNb3RvciBBY3Rpdml0eTwv
a2V5d29yZD48a2V5d29yZD5PYmVzaXR5LypwcmV2ZW50aW9uICZhbXA7IGNvbnRyb2w8L2tleXdv
cmQ+PGtleXdvcmQ+T3ZlcndlaWdodC9wcmV2ZW50aW9uICZhbXA7IGNvbnRyb2w8L2tleXdvcmQ+
PGtleXdvcmQ+UG9zdHBhcnR1bSBQZXJpb2Q8L2tleXdvcmQ+PGtleXdvcmQ+UHJlZ25hbmN5PC9r
ZXl3b3JkPjxrZXl3b3JkPlByZWduYW5jeSBDb21wbGljYXRpb25zLypwcmV2ZW50aW9uICZhbXA7
IGNvbnRyb2w8L2tleXdvcmQ+PGtleXdvcmQ+UHJlZ25hbmN5IE91dGNvbWU8L2tleXdvcmQ+PGtl
eXdvcmQ+KldlaWdodCBHYWluPC9rZXl3b3JkPjwva2V5d29yZHM+PGRhdGVzPjx5ZWFyPjIwMTM8
L3llYXI+PHB1Yi1kYXRlcz48ZGF0ZT5KdWwgMTY8L2RhdGU+PC9wdWItZGF0ZXM+PC9kYXRlcz48
aXNibj4xNDcxLTIzOTMgKEVsZWN0cm9uaWMpJiN4RDsxNDcxLTIzOTMgKExpbmtpbmcpPC9pc2Ju
PjxhY2Nlc3Npb24tbnVtPjIzODY1NjI0PC9hY2Nlc3Npb24tbnVtPjx1cmxzPjxyZWxhdGVkLXVy
bHM+PHVybD5odHRwczovL3d3dy5uY2JpLm5sbS5uaWguZ292L3B1Ym1lZC8yMzg2NTYyNDwvdXJs
PjwvcmVsYXRlZC11cmxzPjwvdXJscz48Y3VzdG9tMj5QTUMzNzE4NzA3PC9jdXN0b20yPjxlbGVj
dHJvbmljLXJlc291cmNlLW51bT4xMC4xMTg2LzE0NzEtMjM5My0xMy0xNTE8L2VsZWN0cm9uaWMt
cmVzb3VyY2UtbnVtPjwvcmVjb3JkPjwvQ2l0ZT48Q2l0ZT48QXV0aG9yPkt1bmF0aDwvQXV0aG9y
PjxZZWFyPjIwMTk8L1llYXI+PFJlY051bT4xMzc3PC9SZWNOdW0+PHJlY29yZD48cmVjLW51bWJl
cj4xMzc3PC9yZWMtbnVtYmVyPjxmb3JlaWduLWtleXM+PGtleSBhcHA9IkVOIiBkYi1pZD0iZXh2
YXNyZngyZHRyYW9lc2FzeHAyc3pzeGEyZGY1MDI1OTJ4IiB0aW1lc3RhbXA9IjE1NjcwMzk1MzYi
PjEzNzc8L2tleT48a2V5IGFwcD0iRU5XZWIiIGRiLWlkPSIiPjA8L2tleT48L2ZvcmVpZ24ta2V5
cz48cmVmLXR5cGUgbmFtZT0iSm91cm5hbCBBcnRpY2xlIj4xNzwvcmVmLXR5cGU+PGNvbnRyaWJ1
dG9ycz48YXV0aG9ycz48YXV0aG9yPkt1bmF0aCwgSi48L2F1dGhvcj48YXV0aG9yPkd1bnRoZXIs
IEouPC9hdXRob3I+PGF1dGhvcj5SYXVoLCBLLjwvYXV0aG9yPjxhdXRob3I+SG9mZm1hbm4sIEou
PC9hdXRob3I+PGF1dGhvcj5TdGVjaGVyLCBMLjwvYXV0aG9yPjxhdXRob3I+Um9zZW5mZWxkLCBF
LjwvYXV0aG9yPjxhdXRob3I+S2ljaywgTC48L2F1dGhvcj48YXV0aG9yPlVsbSwgSy48L2F1dGhv
cj48YXV0aG9yPkhhdW5lciwgSC48L2F1dGhvcj48L2F1dGhvcnM+PC9jb250cmlidXRvcnM+PGF1
dGgtYWRkcmVzcz5FbHNlIEtyb25lci1GcmVzZW5pdXMtQ2VudHJlIGZvciBOdXRyaXRpb25hbCBN
ZWRpY2luZSwgS2xpbmlrdW0gcmVjaHRzIGRlciBJc2FyLCBUZWNobmljYWwgVW5pdmVyc2l0eSBv
ZiBNdW5pY2gsIEdlb3JnLUJyYXVjaGxlLVJpbmcgNjIsIDgwOTkyLCBNdW5pY2gsIEdlcm1hbnku
JiN4RDtDb21wZXRlbmNlIENlbnRyZSBmb3IgTnV0cml0aW9uIChLRXJuKSwgQW0gR2VyZXV0aCA0
LCA4NTM1NCwgRnJlaXNpbmcsIEdlcm1hbnkuJiN4RDtJbnN0aXR1dGUgb2YgTWVkaWNhbCBJbmZv
cm1hdGljcywgU3RhdGlzdGljcyBhbmQgRXBpZGVtaW9sb2d5LCBLbGluaWt1bSByZWNodHMgZGVy
IElzYXIsIFRlY2huaWNhbCBVbml2ZXJzaXR5IG9mIE11bmljaCwgSXNtYW5pbmdlciBTdHJhc3Nl
IDIyLCA4MTY3NSwgTXVuaWNoLCBHZXJtYW55LiYjeEQ7RWxzZSBLcm9uZXItRnJlc2VuaXVzLUNl
bnRyZSBmb3IgTnV0cml0aW9uYWwgTWVkaWNpbmUsIEtsaW5pa3VtIHJlY2h0cyBkZXIgSXNhciwg
VGVjaG5pY2FsIFVuaXZlcnNpdHkgb2YgTXVuaWNoLCBHZW9yZy1CcmF1Y2hsZS1SaW5nIDYyLCA4
MDk5MiwgTXVuaWNoLCBHZXJtYW55LiBoYW5zLmhhdW5lckB0dW0uZGUuPC9hdXRoLWFkZHJlc3M+
PHRpdGxlcz48dGl0bGU+RWZmZWN0cyBvZiBhIGxpZmVzdHlsZSBpbnRlcnZlbnRpb24gZHVyaW5n
IHByZWduYW5jeSB0byBwcmV2ZW50IGV4Y2Vzc2l2ZSBnZXN0YXRpb25hbCB3ZWlnaHQgZ2FpbiBp
biByb3V0aW5lIGNhcmUgLSB0aGUgY2x1c3Rlci1yYW5kb21pc2VkIEdlbGlTIHRyaWFsPC90aXRs
ZT48c2Vjb25kYXJ5LXRpdGxlPkJNQyBNZWQ8L3NlY29uZGFyeS10aXRsZT48L3RpdGxlcz48cGVy
aW9kaWNhbD48ZnVsbC10aXRsZT5CTUMgTWVkPC9mdWxsLXRpdGxlPjwvcGVyaW9kaWNhbD48cGFn
ZXM+NTwvcGFnZXM+PHZvbHVtZT4xNzwvdm9sdW1lPjxudW1iZXI+MTwvbnVtYmVyPjxlZGl0aW9u
PjIwMTkvMDEvMTU8L2VkaXRpb24+PGtleXdvcmRzPjxrZXl3b3JkPkFkdWx0PC9rZXl3b3JkPjxr
ZXl3b3JkPkNvdW5zZWxpbmcvbWV0aG9kczwva2V5d29yZD48a2V5d29yZD5EaWFiZXRlcywgR2Vz
dGF0aW9uYWwvcHJldmVudGlvbiAmYW1wOyBjb250cm9sPC9rZXl3b3JkPjxrZXl3b3JkPkRpZXQg
VGhlcmFweS9tZXRob2RzPC9rZXl3b3JkPjxrZXl3b3JkPkV4ZXJjaXNlIFRoZXJhcHkvbWV0aG9k
czwva2V5d29yZD48a2V5d29yZD5GZW1hbGU8L2tleXdvcmQ+PGtleXdvcmQ+Kkdlc3RhdGlvbmFs
IFdlaWdodCBHYWluPC9rZXl3b3JkPjxrZXl3b3JkPkh1bWFuczwva2V5d29yZD48a2V5d29yZD5M
aWZlIFN0eWxlPC9rZXl3b3JkPjxrZXl3b3JkPlBlZGlhdHJpYyBPYmVzaXR5L3ByZXZlbnRpb24g
JmFtcDsgY29udHJvbDwva2V5d29yZD48a2V5d29yZD5QcmVnbmFuY3k8L2tleXdvcmQ+PGtleXdv
cmQ+UHJlZ25hbmN5IENvbXBsaWNhdGlvbnMvKnByZXZlbnRpb24gJmFtcDsgY29udHJvbDwva2V5
d29yZD48a2V5d29yZD5QcmVuYXRhbCBDYXJlLyptZXRob2RzPC9rZXl3b3JkPjxrZXl3b3JkPipM
aWZlc3R5bGUgaW50ZXJ2ZW50aW9uPC9rZXl3b3JkPjxrZXl3b3JkPipjaGlsZGhvb2Qgb2Jlc2l0
eTwva2V5d29yZD48a2V5d29yZD4qZGlldDwva2V5d29yZD48a2V5d29yZD4qZXhlcmNpc2U8L2tl
eXdvcmQ+PGtleXdvcmQ+Kmdlc3RhdGlvbmFsIGRpYWJldGVzPC9rZXl3b3JkPjxrZXl3b3JkPipv
YmVzaXR5IHByZXZlbnRpb248L2tleXdvcmQ+PGtleXdvcmQ+Km9ic3RldHJpYyBvdXRjb21lczwv
a2V5d29yZD48a2V5d29yZD4qcHJlZ25hbmN5PC9rZXl3b3JkPjxrZXl3b3JkPip3ZWlnaHQgcmV0
ZW50aW9uPC9rZXl3b3JkPjwva2V5d29yZHM+PGRhdGVzPjx5ZWFyPjIwMTk8L3llYXI+PHB1Yi1k
YXRlcz48ZGF0ZT5KYW4gMTQ8L2RhdGU+PC9wdWItZGF0ZXM+PC9kYXRlcz48aXNibj4xNzQxLTcw
MTUgKEVsZWN0cm9uaWMpJiN4RDsxNzQxLTcwMTUgKExpbmtpbmcpPC9pc2JuPjxhY2Nlc3Npb24t
bnVtPjMwNjM2NjM2PC9hY2Nlc3Npb24tbnVtPjx1cmxzPjxyZWxhdGVkLXVybHM+PHVybD5odHRw
czovL3d3dy5uY2JpLm5sbS5uaWguZ292L3B1Ym1lZC8zMDYzNjYzNjwvdXJsPjwvcmVsYXRlZC11
cmxzPjwvdXJscz48Y3VzdG9tMj5QTUM2MzMwNzUzPC9jdXN0b20yPjxlbGVjdHJvbmljLXJlc291
cmNlLW51bT4xMC4xMTg2L3MxMjkxNi0wMTgtMTIzNS16PC9lbGVjdHJvbmljLXJlc291cmNlLW51
bT48L3JlY29yZD48L0NpdGU+PENpdGU+PEF1dGhvcj5LaWFuaSBBc2lhYmFyPC9BdXRob3I+PFll
YXI+MjAxODwvWWVhcj48UmVjTnVtPjEzODA8L1JlY051bT48cmVjb3JkPjxyZWMtbnVtYmVyPjEz
ODA8L3JlYy1udW1iZXI+PGZvcmVpZ24ta2V5cz48a2V5IGFwcD0iRU4iIGRiLWlkPSJleHZhc3Jm
eDJkdHJhb2VzYXN4cDJzenN4YTJkZjUwMjU5MngiIHRpbWVzdGFtcD0iMTU2NzEyNDU3MSI+MTM4
MDwva2V5PjxrZXkgYXBwPSJFTldlYiIgZGItaWQ9IiI+MDwva2V5PjwvZm9yZWlnbi1rZXlzPjxy
ZWYtdHlwZSBuYW1lPSJKb3VybmFsIEFydGljbGUiPjE3PC9yZWYtdHlwZT48Y29udHJpYnV0b3Jz
PjxhdXRob3JzPjxhdXRob3I+S2lhbmkgQXNpYWJhciwgQS48L2F1dGhvcj48YXV0aG9yPkFtaW4g
U2hva3JhdmksIEYuPC9hdXRob3I+PGF1dGhvcj5IYWppZmFyYWppLCBNLjwvYXV0aG9yPjxhdXRo
b3I+WmF5ZXJpLCBGLjwvYXV0aG9yPjwvYXV0aG9ycz48L2NvbnRyaWJ1dG9ycz48YXV0aC1hZGRy
ZXNzPkRlcGFydG1lbnQgb2YgSGVhbHRoIEVkdWNhdGlvbiBhbmQgSGVhbHRoIFByb21vdGlvbiwg
RmFjdWx0eSBvZiBNZWRpY2FsIFNjaWVuY2VzLCBUYXJiaWF0IE1vZGFyZXMgVW5pdmVyc2l0eSwg
VGVocmFuLCBJcmFuLiYjeEQ7RGVwYXJ0bWVudCBvZiBNaWR3aWZlcnksIEZhY3VsdHkgb2YgTnVy
c2luZyBhbmQgTWlkd2lmZXJ5LCBTaGFoZWQgVW5pdmVyc2l0eSwgVGVocmFuLCBJcmFuLiYjeEQ7
RGVwYXJ0bWVudCBvZiBIZWFsdGggRWR1Y2F0aW9ucyBhbmQgSGVhbHRoIFByb21vdGlvbiwgRmFj
dWx0eSBvZiBNZWRpY2FsIFNjaWVuY2VzLCBUYXJiaWF0IE1vZGFyZXMgVW5pdmVyc2l0eSwgVGVo
cmFuLCBJcmFuLiYjeEQ7TmF0aW9uYWwgTnV0cml0aW9uIGFuZCBGb29kIFRlY2hub2xvZ3kgUmVz
ZWFyY2ggSW5zdGl0dXRlLCBTY2hvb2wgb2YgTnV0cml0aW9uIFNjaWVuY2VzIGFuZCBGb29kIFRl
Y2hub2xvZ3ksIFNoYWhpZCBCZWhlc2h0aSBVbml2ZXJzaXR5IG9mIE1lZGljYWwgU2NpZW5jZXMs
IFRlaHJhbiwgSXJhbi4mI3hEO0RlcGFydG1lbnQgb2YgQmlvc3RhdGlzdGljcywgRmFjdWx0eSBv
ZiBQYXJhbWVkaWNhbCBTY2llbmNlcywgU2hhaGlkIEJlaGVzaHRpIFVuaXZlcnNpdHkgb2YgTWVk
aWNhbCBTY2llbmNlcywgVGVocmFuLCBJcmFuLjwvYXV0aC1hZGRyZXNzPjx0aXRsZXM+PHRpdGxl
PlRoZSBlZmZlY3Qgb2YgYW4gZWR1Y2F0aW9uYWwgaW50ZXJ2ZW50aW9uIGluIGVhcmx5IHByZWdu
YW5jeSB3aXRoIHNwb3VzZSZhcG9zO3MgcGFydGljaXBhdGlvbiBvbiBvcHRpbWFsIGdlc3RhdGlv
bmFsIHdlaWdodCBnYWluIGluIHByZWduYW5jeTogYSByYW5kb21pemVkIGNvbnRyb2xsZWQgdHJp
YWw8L3RpdGxlPjxzZWNvbmRhcnktdGl0bGU+SGVhbHRoIEVkdWMgUmVzPC9zZWNvbmRhcnktdGl0
bGU+PC90aXRsZXM+PHBlcmlvZGljYWw+PGZ1bGwtdGl0bGU+SGVhbHRoIEVkdWMgUmVzPC9mdWxs
LXRpdGxlPjwvcGVyaW9kaWNhbD48cGFnZXM+NTM1LTU0NzwvcGFnZXM+PHZvbHVtZT4zMzwvdm9s
dW1lPjxudW1iZXI+NjwvbnVtYmVyPjxlZGl0aW9uPjIwMTgvMTEvMzA8L2VkaXRpb24+PGRhdGVz
Pjx5ZWFyPjIwMTg8L3llYXI+PHB1Yi1kYXRlcz48ZGF0ZT5EZWMgMTwvZGF0ZT48L3B1Yi1kYXRl
cz48L2RhdGVzPjxpc2JuPjE0NjUtMzY0OCAoRWxlY3Ryb25pYykmI3hEOzAyNjgtMTE1MyAoTGlu
a2luZyk8L2lzYm4+PGFjY2Vzc2lvbi1udW0+MzA0OTY0MDk8L2FjY2Vzc2lvbi1udW0+PHVybHM+
PHJlbGF0ZWQtdXJscz48dXJsPmh0dHBzOi8vd3d3Lm5jYmkubmxtLm5paC5nb3YvcHVibWVkLzMw
NDk2NDA5PC91cmw+PC9yZWxhdGVkLXVybHM+PC91cmxzPjxlbGVjdHJvbmljLXJlc291cmNlLW51
bT4xMC4xMDkzL2hlci9jeXkwNDA8L2VsZWN0cm9uaWMtcmVzb3VyY2UtbnVtPjwvcmVjb3JkPjwv
Q2l0ZT48L0VuZE5vdGU+AG==
</w:fldData>
        </w:fldChar>
      </w:r>
      <w:r w:rsidR="002747EA">
        <w:instrText xml:space="preserve"> ADDIN EN.CITE.DATA </w:instrText>
      </w:r>
      <w:r w:rsidR="002747EA">
        <w:fldChar w:fldCharType="end"/>
      </w:r>
      <w:r w:rsidRPr="00A52886">
        <w:fldChar w:fldCharType="separate"/>
      </w:r>
      <w:r w:rsidR="002747EA" w:rsidRPr="002747EA">
        <w:rPr>
          <w:noProof/>
          <w:vertAlign w:val="superscript"/>
        </w:rPr>
        <w:t>485-498</w:t>
      </w:r>
      <w:r w:rsidRPr="00A52886">
        <w:fldChar w:fldCharType="end"/>
      </w:r>
      <w:r>
        <w:t xml:space="preserve"> with BMI ≥25,</w:t>
      </w:r>
      <w:r>
        <w:fldChar w:fldCharType="begin">
          <w:fldData xml:space="preserve">PEVuZE5vdGU+PENpdGU+PEF1dGhvcj5CcnVubzwvQXV0aG9yPjxZZWFyPjIwMTc8L1llYXI+PFJl
Y051bT43NjU8L1JlY051bT48RGlzcGxheVRleHQ+PHN0eWxlIGZhY2U9InN1cGVyc2NyaXB0IiBm
b250PSJUcmVidWNoZXQgTVMiIHNpemU9IjkiPjQ5OS01MDk8L3N0eWxlPjwvRGlzcGxheVRleHQ+
PHJlY29yZD48cmVjLW51bWJlcj43NjU8L3JlYy1udW1iZXI+PGZvcmVpZ24ta2V5cz48a2V5IGFw
cD0iRU4iIGRiLWlkPSJleHZhc3JmeDJkdHJhb2VzYXN4cDJzenN4YTJkZjUwMjU5MngiIHRpbWVz
dGFtcD0iMTU0MTQ4NzAzNCI+NzY1PC9rZXk+PC9mb3JlaWduLWtleXM+PHJlZi10eXBlIG5hbWU9
IkpvdXJuYWwgQXJ0aWNsZSI+MTc8L3JlZi10eXBlPjxjb250cmlidXRvcnM+PGF1dGhvcnM+PGF1
dGhvcj5CcnVubywgUi48L2F1dGhvcj48YXV0aG9yPlBldHJlbGxhLCBFLjwvYXV0aG9yPjxhdXRo
b3I+QmVydGFyaW5pLCBWLjwvYXV0aG9yPjxhdXRob3I+UGVkcmllbGxpLCBHLjwvYXV0aG9yPjxh
dXRob3I+TmVyaSwgSS48L2F1dGhvcj48YXV0aG9yPkZhY2NoaW5ldHRpLCBGLjwvYXV0aG9yPjwv
YXV0aG9ycz48L2NvbnRyaWJ1dG9ycz48YXV0aC1hZGRyZXNzPk1vdGhlci1JbmZhbnQgRGVwYXJ0
bWVudCwgVW5pdmVyc2l0eSBvZiBNb2RlbmEgYW5kIFJlZ2dpbyBFbWlsaWEsIEl0YWx5LjwvYXV0
aC1hZGRyZXNzPjx0aXRsZXM+PHRpdGxlPkFkaGVyZW5jZSB0byBhIGxpZmVzdHlsZSBwcm9ncmFt
bWUgaW4gb3ZlcndlaWdodC9vYmVzZSBwcmVnbmFudCB3b21lbiBhbmQgZWZmZWN0IG9uIGdlc3Rh
dGlvbmFsIGRpYWJldGVzIG1lbGxpdHVzOiBhIHJhbmRvbWl6ZWQgY29udHJvbGxlZCB0cmlhbDwv
dGl0bGU+PHNlY29uZGFyeS10aXRsZT5NYXRlcm4gQ2hpbGQgTnV0cjwvc2Vjb25kYXJ5LXRpdGxl
PjwvdGl0bGVzPjxwZXJpb2RpY2FsPjxmdWxsLXRpdGxlPk1hdGVybiBDaGlsZCBOdXRyPC9mdWxs
LXRpdGxlPjwvcGVyaW9kaWNhbD48dm9sdW1lPjEzPC92b2x1bWU+PG51bWJlcj4zPC9udW1iZXI+
PGVkaXRpb24+MjAxNi8wOS8yMTwvZWRpdGlvbj48a2V5d29yZHM+PGtleXdvcmQ+QWR1bHQ8L2tl
eXdvcmQ+PGtleXdvcmQ+QmlydGggV2VpZ2h0PC9rZXl3b3JkPjxrZXl3b3JkPkJsb29kIEdsdWNv
c2UvbWV0YWJvbGlzbTwva2V5d29yZD48a2V5d29yZD5Cb2R5IE1hc3MgSW5kZXg8L2tleXdvcmQ+
PGtleXdvcmQ+RGlhYmV0ZXMsIEdlc3RhdGlvbmFsLypwcmV2ZW50aW9uICZhbXA7IGNvbnRyb2w8
L2tleXdvcmQ+PGtleXdvcmQ+RXhlcmNpc2U8L2tleXdvcmQ+PGtleXdvcmQ+RmVtYWxlPC9rZXl3
b3JkPjxrZXl3b3JkPkZvbGxvdy1VcCBTdHVkaWVzPC9rZXl3b3JkPjxrZXl3b3JkPipIZWFsdGh5
IERpZXQ8L2tleXdvcmQ+PGtleXdvcmQ+SHVtYW5zPC9rZXl3b3JkPjxrZXl3b3JkPkh5cGVydGVu
c2lvbi9wcmV2ZW50aW9uICZhbXA7IGNvbnRyb2w8L2tleXdvcmQ+PGtleXdvcmQ+SXRhbHk8L2tl
eXdvcmQ+PGtleXdvcmQ+KkxpZmUgU3R5bGU8L2tleXdvcmQ+PGtleXdvcmQ+T2Jlc2l0eS8qdGhl
cmFweTwva2V5d29yZD48a2V5d29yZD5PdmVyd2VpZ2h0Lyp0aGVyYXB5PC9rZXl3b3JkPjxrZXl3
b3JkPipQYXRpZW50IENvbXBsaWFuY2U8L2tleXdvcmQ+PGtleXdvcmQ+UHJlZ25hbmN5PC9rZXl3
b3JkPjxrZXl3b3JkPlByZW1hdHVyZSBCaXJ0aC9wcmV2ZW50aW9uICZhbXA7IGNvbnRyb2w8L2tl
eXdvcmQ+PGtleXdvcmQ+UHJvc3BlY3RpdmUgU3R1ZGllczwva2V5d29yZD48a2V5d29yZD5TdXJ2
ZXlzIGFuZCBRdWVzdGlvbm5haXJlczwva2V5d29yZD48a2V5d29yZD5UcmVhdG1lbnQgT3V0Y29t
ZTwva2V5d29yZD48a2V5d29yZD5Zb3VuZyBBZHVsdDwva2V5d29yZD48a2V5d29yZD4qZGlhYmV0
ZXM8L2tleXdvcmQ+PGtleXdvcmQ+KmZldGFsIGdyb3d0aDwva2V5d29yZD48a2V5d29yZD4qb2Jl
c2l0eTwva2V5d29yZD48a2V5d29yZD4qcGh5c2ljYWwgYWN0aXZpdHk8L2tleXdvcmQ+PGtleXdv
cmQ+KnByZWduYW5jeSBhbmQgbnV0cml0aW9uPC9rZXl3b3JkPjxrZXl3b3JkPipwcmVnbmFuY3kg
b3V0Y29tZTwva2V5d29yZD48L2tleXdvcmRzPjxkYXRlcz48eWVhcj4yMDE3PC95ZWFyPjxwdWIt
ZGF0ZXM+PGRhdGU+SnVsPC9kYXRlPjwvcHViLWRhdGVzPjwvZGF0ZXM+PGlzYm4+MTc0MC04NzA5
IChFbGVjdHJvbmljKSYjeEQ7MTc0MC04Njk1IChMaW5raW5nKTwvaXNibj48YWNjZXNzaW9uLW51
bT4yNzY0NzgzNzwvYWNjZXNzaW9uLW51bT48dXJscz48cmVsYXRlZC11cmxzPjx1cmw+aHR0cHM6
Ly93d3cubmNiaS5ubG0ubmloLmdvdi9wdWJtZWQvMjc2NDc4Mzc8L3VybD48L3JlbGF0ZWQtdXJs
cz48L3VybHM+PGVsZWN0cm9uaWMtcmVzb3VyY2UtbnVtPjEwLjExMTEvbWNuLjEyMzMzPC9lbGVj
dHJvbmljLXJlc291cmNlLW51bT48L3JlY29yZD48L0NpdGU+PENpdGU+PEF1dGhvcj5XaWxsY294
PC9BdXRob3I+PFllYXI+MjAxNzwvWWVhcj48UmVjTnVtPjk2NTwvUmVjTnVtPjxyZWNvcmQ+PHJl
Yy1udW1iZXI+OTY1PC9yZWMtbnVtYmVyPjxmb3JlaWduLWtleXM+PGtleSBhcHA9IkVOIiBkYi1p
ZD0iZXh2YXNyZngyZHRyYW9lc2FzeHAyc3pzeGEyZGY1MDI1OTJ4IiB0aW1lc3RhbXA9IjE1NTI5
NTAwNzkiPjk2NTwva2V5PjxrZXkgYXBwPSJFTldlYiIgZGItaWQ9IiI+MDwva2V5PjwvZm9yZWln
bi1rZXlzPjxyZWYtdHlwZSBuYW1lPSJKb3VybmFsIEFydGljbGUiPjE3PC9yZWYtdHlwZT48Y29u
dHJpYnV0b3JzPjxhdXRob3JzPjxhdXRob3I+V2lsbGNveCwgSi5DLiw8L2F1dGhvcj48YXV0aG9y
PldpbGtpbnNvbiwgUy5BLiw8L2F1dGhvcj48YXV0aG9yPkxhcHBhcywgTS4sPC9hdXRob3I+PGF1
dGhvcj5CYWxsLCBLLiw8L2F1dGhvcj48YXV0aG9yPkNyYXdmb3JkLCBELiw8L2F1dGhvcj48YXV0
aG9yPk1jQ2FydGh5LCBFLkEuLDwvYXV0aG9yPjxhdXRob3I+RmplbGRzb2UsIEIuLDwvYXV0aG9y
PjwvYXV0aG9ycz48L2NvbnRyaWJ1dG9ycz48YXV0aC1hZGRyZXNzPkRlcGFydG1lbnRzIG9mIE1l
ZGljaW5lLCBQdWJsaWMgSGVhbHRoLCBhbmQgT2IvR3luLCBUZW1wbGUgVW5pdmVyc2l0eSwgUGhp
bGFkZWxwaGlhLCBQQSwgVVNBLjwvYXV0aC1hZGRyZXNzPjx0aXRsZXM+PHRpdGxlPkEgbW9iaWxl
IGhlYWx0aCBpbnRlcnZlbnRpb24gcHJvbW90aW5nIGhlYWx0aHkgZ2VzdGF0aW9uYWwgd2VpZ2h0
IGdhaW4gZm9yIHdvbWVuIGVudGVyaW5nIHByZWduYW5jeSBhdCBhIGhpZ2ggYm9keSBtYXNzIGlu
ZGV4OiB0aGUgdHh0NHR3byBwaWxvdCByYW5kb21pc2VkIGNvbnRyb2xsZWQgdHJpYWw8L3RpdGxl
PjxzZWNvbmRhcnktdGl0bGU+QkpPRzwvc2Vjb25kYXJ5LXRpdGxlPjwvdGl0bGVzPjxwZXJpb2Rp
Y2FsPjxmdWxsLXRpdGxlPkJKT0c8L2Z1bGwtdGl0bGU+PC9wZXJpb2RpY2FsPjxwYWdlcz4xNzE4
LTI4PC9wYWdlcz48dm9sdW1lPjEyNDwvdm9sdW1lPjxudW1iZXI+MTE8L251bWJlcj48ZWRpdGlv
bj4yMDE3LzA0LzIwPC9lZGl0aW9uPjxkYXRlcz48eWVhcj4yMDE3PC95ZWFyPjxwdWItZGF0ZXM+
PGRhdGU+T2N0PC9kYXRlPjwvcHViLWRhdGVzPjwvZGF0ZXM+PGlzYm4+MTQ3MS0wNTI4IChFbGVj
dHJvbmljKSYjeEQ7MTQ3MC0wMzI4IChMaW5raW5nKTwvaXNibj48YWNjZXNzaW9uLW51bT4yODQy
MjM5ODwvYWNjZXNzaW9uLW51bT48dXJscz48cmVsYXRlZC11cmxzPjx1cmw+aHR0cHM6Ly93d3cu
bmNiaS5ubG0ubmloLmdvdi9wdWJtZWQvMjg0MjIzOTg8L3VybD48L3JlbGF0ZWQtdXJscz48L3Vy
bHM+PGVsZWN0cm9uaWMtcmVzb3VyY2UtbnVtPjEwLjExMTEvMTQ3MS0wNTI4LjE0NjkzPC9lbGVj
dHJvbmljLXJlc291cmNlLW51bT48L3JlY29yZD48L0NpdGU+PENpdGU+PEF1dGhvcj5Eb2RkPC9B
dXRob3I+PFllYXI+MjAxNDwvWWVhcj48UmVjTnVtPjcxODwvUmVjTnVtPjxyZWNvcmQ+PHJlYy1u
dW1iZXI+NzE4PC9yZWMtbnVtYmVyPjxmb3JlaWduLWtleXM+PGtleSBhcHA9IkVOIiBkYi1pZD0i
ZXh2YXNyZngyZHRyYW9lc2FzeHAyc3pzeGEyZGY1MDI1OTJ4IiB0aW1lc3RhbXA9IjE1NDE0NjQw
ODgiPjcxODwva2V5PjwvZm9yZWlnbi1rZXlzPjxyZWYtdHlwZSBuYW1lPSJKb3VybmFsIEFydGlj
bGUiPjE3PC9yZWYtdHlwZT48Y29udHJpYnV0b3JzPjxhdXRob3JzPjxhdXRob3I+RG9kZCwgSi4g
TS48L2F1dGhvcj48YXV0aG9yPlR1cm5idWxsLCBELjwvYXV0aG9yPjxhdXRob3I+TWNQaGVlLCBB
LiBKLjwvYXV0aG9yPjxhdXRob3I+RGV1c3NlbiwgQS4gUi48L2F1dGhvcj48YXV0aG9yPkdyaXZl
bGwsIFIuIE0uPC9hdXRob3I+PGF1dGhvcj5ZZWxsYW5kLCBMLiBOLjwvYXV0aG9yPjxhdXRob3I+
Q3Jvd3RoZXIsIEMuIEEuPC9hdXRob3I+PGF1dGhvcj5XaXR0ZXJ0LCBHLjwvYXV0aG9yPjxhdXRo
b3I+T3dlbnMsIEouIEEuPC9hdXRob3I+PGF1dGhvcj5Sb2JpbnNvbiwgSi4gUy48L2F1dGhvcj48
YXV0aG9yPkxpbWl0IFJhbmRvbWlzZWQgVHJpYWwgR3JvdXA8L2F1dGhvcj48L2F1dGhvcnM+PC9j
b250cmlidXRvcnM+PGF1dGgtYWRkcmVzcz5Sb2JpbnNvbiBJbnN0aXR1dGUgYW5kIFNjaG9vbCBv
ZiBQYWVkaWF0cmljcyBhbmQgUmVwcm9kdWN0aXZlIEhlYWx0aCwgVW5pdmVyc2l0eSBvZiBBZGVs
YWlkZSwgNzIgS2luZyBXaWxsaWFtIFJvYWQsIE5vcnRoIEFkZWxhaWRlLCBTb3V0aCBBdXN0cmFs
aWEsIEF1c3RyYWxpYSA1MDA2LjwvYXV0aC1hZGRyZXNzPjx0aXRsZXM+PHRpdGxlPkFudGVuYXRh
bCBsaWZlc3R5bGUgYWR2aWNlIGZvciB3b21lbiB3aG8gYXJlIG92ZXJ3ZWlnaHQgb3Igb2Jlc2U6
IExJTUlUIHJhbmRvbWlzZWQgdHJpYWw8L3RpdGxlPjxzZWNvbmRhcnktdGl0bGU+Qk1KPC9zZWNv
bmRhcnktdGl0bGU+PC90aXRsZXM+PHBlcmlvZGljYWw+PGZ1bGwtdGl0bGU+Qk1KPC9mdWxsLXRp
dGxlPjwvcGVyaW9kaWNhbD48cGFnZXM+ZzEyODU8L3BhZ2VzPjx2b2x1bWU+MzQ4PC92b2x1bWU+
PGVkaXRpb24+MjAxNC8wMi8xMjwvZWRpdGlvbj48a2V5d29yZHM+PGtleXdvcmQ+QWR1bHQ8L2tl
eXdvcmQ+PGtleXdvcmQ+QmlydGggV2VpZ2h0PC9rZXl3b3JkPjxrZXl3b3JkPkRpYWJldGVzLCBH
ZXN0YXRpb25hbC9wcmV2ZW50aW9uICZhbXA7IGNvbnRyb2w8L2tleXdvcmQ+PGtleXdvcmQ+RmVt
YWxlPC9rZXl3b3JkPjxrZXl3b3JkPkZldGFsIE1hY3Jvc29taWEvcHJldmVudGlvbiAmYW1wOyBj
b250cm9sPC9rZXl3b3JkPjxrZXl3b3JkPkdlc3RhdGlvbmFsIEFnZTwva2V5d29yZD48a2V5d29y
ZD4qSGVhbHRoIFByb21vdGlvbi9tZXRob2RzPC9rZXl3b3JkPjxrZXl3b3JkPkh1bWFuczwva2V5
d29yZD48a2V5d29yZD5IeXBlcnRlbnNpb24vY29tcGxpY2F0aW9ucy9wcmV2ZW50aW9uICZhbXA7
IGNvbnRyb2w8L2tleXdvcmQ+PGtleXdvcmQ+SW5mYW50LCBOZXdib3JuPC9rZXl3b3JkPjxrZXl3
b3JkPk1hbGU8L2tleXdvcmQ+PGtleXdvcmQ+T2Jlc2l0eS8qY29tcGxpY2F0aW9ucy9wcmV2ZW50
aW9uICZhbXA7IGNvbnRyb2w8L2tleXdvcmQ+PGtleXdvcmQ+T3ZlcndlaWdodC8qY29tcGxpY2F0
aW9ucy9wcmV2ZW50aW9uICZhbXA7IGNvbnRyb2w8L2tleXdvcmQ+PGtleXdvcmQ+UHJlLUVjbGFt
cHNpYS9wcmV2ZW50aW9uICZhbXA7IGNvbnRyb2w8L2tleXdvcmQ+PGtleXdvcmQ+UHJlZ25hbmN5
PC9rZXl3b3JkPjxrZXl3b3JkPlByZWduYW5jeSBDb21wbGljYXRpb25zLypwcmV2ZW50aW9uICZh
bXA7IGNvbnRyb2w8L2tleXdvcmQ+PGtleXdvcmQ+UHJlZ25hbmN5IE91dGNvbWUvZXBpZGVtaW9s
b2d5PC9rZXl3b3JkPjxrZXl3b3JkPlJpc2sgUmVkdWN0aW9uIEJlaGF2aW9yPC9rZXl3b3JkPjxr
ZXl3b3JkPldlaWdodCBSZWR1Y3Rpb24gUHJvZ3JhbXMvbWV0aG9kczwva2V5d29yZD48L2tleXdv
cmRzPjxkYXRlcz48eWVhcj4yMDE0PC95ZWFyPjxwdWItZGF0ZXM+PGRhdGU+RmViIDEwPC9kYXRl
PjwvcHViLWRhdGVzPjwvZGF0ZXM+PGlzYm4+MTc1Ni0xODMzIChFbGVjdHJvbmljKSYjeEQ7MDk1
OS04MTM4IChMaW5raW5nKTwvaXNibj48YWNjZXNzaW9uLW51bT4yNDUxMzQ0MjwvYWNjZXNzaW9u
LW51bT48dXJscz48cmVsYXRlZC11cmxzPjx1cmw+aHR0cHM6Ly93d3cubmNiaS5ubG0ubmloLmdv
di9wdWJtZWQvMjQ1MTM0NDI8L3VybD48L3JlbGF0ZWQtdXJscz48L3VybHM+PGN1c3RvbTI+UE1D
MzkxOTE3OTwvY3VzdG9tMj48ZWxlY3Ryb25pYy1yZXNvdXJjZS1udW0+MTAuMTEzNi9ibWouZzEy
ODU8L2VsZWN0cm9uaWMtcmVzb3VyY2UtbnVtPjwvcmVjb3JkPjwvQ2l0ZT48Q2l0ZT48QXV0aG9y
PkdhbGxhZ2hlcjwvQXV0aG9yPjxZZWFyPjIwMTg8L1llYXI+PFJlY051bT43NDQ8L1JlY051bT48
cmVjb3JkPjxyZWMtbnVtYmVyPjc0NDwvcmVjLW51bWJlcj48Zm9yZWlnbi1rZXlzPjxrZXkgYXBw
PSJFTiIgZGItaWQ9ImV4dmFzcmZ4MmR0cmFvZXNhc3hwMnN6c3hhMmRmNTAyNTkyeCIgdGltZXN0
YW1wPSIxNTQxNDY3ODc5Ij43NDQ8L2tleT48a2V5IGFwcD0iRU5XZWIiIGRiLWlkPSIiPjA8L2tl
eT48L2ZvcmVpZ24ta2V5cz48cmVmLXR5cGUgbmFtZT0iSm91cm5hbCBBcnRpY2xlIj4xNzwvcmVm
LXR5cGU+PGNvbnRyaWJ1dG9ycz48YXV0aG9ycz48YXV0aG9yPkdhbGxhZ2hlciwgRHltcG5hPC9h
dXRob3I+PGF1dGhvcj5Sb3Nlbm4sIEJhcmFrPC9hdXRob3I+PGF1dGhvcj5Ub3JvLVJhbW9zLCBU
YXRpYW5hPC9hdXRob3I+PGF1dGhvcj5QYWxleSwgQ2hhcmxlczwvYXV0aG9yPjxhdXRob3I+R2lk
d2FuaSwgU29uaWE8L2F1dGhvcj48YXV0aG9yPkhvcm93aXR6LCBNaWNoZWxsZTwvYXV0aG9yPjxh
dXRob3I+Q3JhbmUsIEphbmV0PC9hdXRob3I+PGF1dGhvcj5MaW4sIFN1c2FuPC9hdXRob3I+PGF1
dGhvcj5UaG9ybnRvbiwgSm9obiBDLjwvYXV0aG9yPjxhdXRob3I+UGktU3VueWVyLCBYYXZpZXI8
L2F1dGhvcj48L2F1dGhvcnM+PC9jb250cmlidXRvcnM+PHRpdGxlcz48dGl0bGU+R3JlYXRlciBO
ZW9uYXRhbCBGYXQtRnJlZSBNYXNzIGFuZCBTaW1pbGFyIEZhdCBNYXNzIEZvbGxvd2luZyBhIFJh
bmRvbWl6ZWQgVHJpYWwgdG8gQ29udHJvbCBFeGNlc3MgR2VzdGF0aW9uYWwgV2VpZ2h0IEdhaW48
L3RpdGxlPjxzZWNvbmRhcnktdGl0bGU+T2Jlc2l0eTwvc2Vjb25kYXJ5LXRpdGxlPjwvdGl0bGVz
PjxwZXJpb2RpY2FsPjxmdWxsLXRpdGxlPk9iZXNpdHk8L2Z1bGwtdGl0bGU+PC9wZXJpb2RpY2Fs
PjxwYWdlcz41NzgtNTg3PC9wYWdlcz48dm9sdW1lPjI2PC92b2x1bWU+PG51bWJlcj4zPC9udW1i
ZXI+PHNlY3Rpb24+NTc4PC9zZWN0aW9uPjxkYXRlcz48eWVhcj4yMDE4PC95ZWFyPjwvZGF0ZXM+
PGlzYm4+MTkzMDczODE8L2lzYm4+PHVybHM+PC91cmxzPjxlbGVjdHJvbmljLXJlc291cmNlLW51
bT4xMC4xMDAyL29ieS4yMjA3OTwvZWxlY3Ryb25pYy1yZXNvdXJjZS1udW0+PC9yZWNvcmQ+PC9D
aXRlPjxDaXRlPjxBdXRob3I+SGF3a2luczwvQXV0aG9yPjxZZWFyPjIwMTU8L1llYXI+PFJlY051
bT43MjY8L1JlY051bT48cmVjb3JkPjxyZWMtbnVtYmVyPjcyNjwvcmVjLW51bWJlcj48Zm9yZWln
bi1rZXlzPjxrZXkgYXBwPSJFTiIgZGItaWQ9ImV4dmFzcmZ4MmR0cmFvZXNhc3hwMnN6c3hhMmRm
NTAyNTkyeCIgdGltZXN0YW1wPSIxNTQxNDY1MzIyIj43MjY8L2tleT48L2ZvcmVpZ24ta2V5cz48
cmVmLXR5cGUgbmFtZT0iSm91cm5hbCBBcnRpY2xlIj4xNzwvcmVmLXR5cGU+PGNvbnRyaWJ1dG9y
cz48YXV0aG9ycz48YXV0aG9yPkhhd2tpbnMsIE0uPC9hdXRob3I+PGF1dGhvcj5Ib3NrZXIsIE0u
PC9hdXRob3I+PGF1dGhvcj5NYXJjdXMsIEIuIEguPC9hdXRob3I+PGF1dGhvcj5Sb3NhbCwgTS4g
Qy48L2F1dGhvcj48YXV0aG9yPkJyYXVuLCBCLjwvYXV0aG9yPjxhdXRob3I+U3RhbmVrLCBFLiBK
LiwgM3JkPC9hdXRob3I+PGF1dGhvcj5NYXJrZW5zb24sIEcuPC9hdXRob3I+PGF1dGhvcj5DaGFz
YW4tVGFiZXIsIEwuPC9hdXRob3I+PC9hdXRob3JzPjwvY29udHJpYnV0b3JzPjxhdXRoLWFkZHJl
c3M+RGl2aXNpb24gb2YgQmlvc3RhdGlzdGljcyBhbmQgRXBpZGVtaW9sb2d5LCBEZXBhcnRtZW50
IG9mIFB1YmxpYyBIZWFsdGgsIFNjaG9vbCBvZiBQdWJsaWMgSGVhbHRoIGFuZCBIZWFsdGggU2Np
ZW5jZXMsIFVuaXZlcnNpdHkgb2YgTWFzc2FjaHVzZXR0cywgQW1oZXJzdCwgTUEsIFVTQS48L2F1
dGgtYWRkcmVzcz48dGl0bGVzPjx0aXRsZT5BIHByZWduYW5jeSBsaWZlc3R5bGUgaW50ZXJ2ZW50
aW9uIHRvIHByZXZlbnQgZ2VzdGF0aW9uYWwgZGlhYmV0ZXMgcmlzayBmYWN0b3JzIGluIG92ZXJ3
ZWlnaHQgSGlzcGFuaWMgd29tZW46IGEgZmVhc2liaWxpdHkgcmFuZG9taXplZCBjb250cm9sbGVk
IHRyaWFsPC90aXRsZT48c2Vjb25kYXJ5LXRpdGxlPkRpYWJldCBNZWQ8L3NlY29uZGFyeS10aXRs
ZT48L3RpdGxlcz48cGVyaW9kaWNhbD48ZnVsbC10aXRsZT5EaWFiZXQgTWVkPC9mdWxsLXRpdGxl
PjwvcGVyaW9kaWNhbD48cGFnZXM+MTA4LTE1PC9wYWdlcz48dm9sdW1lPjMyPC92b2x1bWU+PG51
bWJlcj4xPC9udW1iZXI+PGVkaXRpb24+MjAxNC8xMC8xNDwvZWRpdGlvbj48a2V5d29yZHM+PGtl
eXdvcmQ+QWR1bHQ8L2tleXdvcmQ+PGtleXdvcmQ+QmlydGggV2VpZ2h0PC9rZXl3b3JkPjxrZXl3
b3JkPkRpYWJldGVzLCBHZXN0YXRpb25hbC8qcHJldmVudGlvbiAmYW1wOyBjb250cm9sPC9rZXl3
b3JkPjxrZXl3b3JkPkRpZXQ8L2tleXdvcmQ+PGtleXdvcmQ+RXhlcmNpc2U8L2tleXdvcmQ+PGtl
eXdvcmQ+RmVhc2liaWxpdHkgU3R1ZGllczwva2V5d29yZD48a2V5d29yZD5GZWVkaW5nIEJlaGF2
aW9yPC9rZXl3b3JkPjxrZXl3b3JkPkZlbWFsZTwva2V5d29yZD48a2V5d29yZD5IaXNwYW5pYyBB
bWVyaWNhbnMvKnN0YXRpc3RpY3MgJmFtcDsgbnVtZXJpY2FsIGRhdGE8L2tleXdvcmQ+PGtleXdv
cmQ+SHVtYW5zPC9rZXl3b3JkPjxrZXl3b3JkPkluZmFudCwgTmV3Ym9ybjwva2V5d29yZD48a2V5
d29yZD5NYWxlPC9rZXl3b3JkPjxrZXl3b3JkPk92ZXJ3ZWlnaHQvY29tcGxpY2F0aW9ucy8qcHJl
dmVudGlvbiAmYW1wOyBjb250cm9sPC9rZXl3b3JkPjxrZXl3b3JkPlBhdGllbnQgQ29tcGxpYW5j
ZTwva2V5d29yZD48a2V5d29yZD5QcmVnbmFuY3k8L2tleXdvcmQ+PGtleXdvcmQ+UHJlbmF0YWwg
Q2FyZTwva2V5d29yZD48a2V5d29yZD4qUHJpbWFyeSBQcmV2ZW50aW9uPC9rZXl3b3JkPjxrZXl3
b3JkPlJpc2sgRmFjdG9yczwva2V5d29yZD48a2V5d29yZD4qUmlzayBSZWR1Y3Rpb24gQmVoYXZp
b3I8L2tleXdvcmQ+PGtleXdvcmQ+VHJlYXRtZW50IE91dGNvbWU8L2tleXdvcmQ+PGtleXdvcmQ+
VW5pdGVkIFN0YXRlcy9lcGlkZW1pb2xvZ3k8L2tleXdvcmQ+PGtleXdvcmQ+V2VpZ2h0IEdhaW48
L2tleXdvcmQ+PC9rZXl3b3Jkcz48ZGF0ZXM+PHllYXI+MjAxNTwveWVhcj48cHViLWRhdGVzPjxk
YXRlPkphbjwvZGF0ZT48L3B1Yi1kYXRlcz48L2RhdGVzPjxpc2JuPjE0NjQtNTQ5MSAoRWxlY3Ry
b25pYykmI3hEOzA3NDItMzA3MSAoTGlua2luZyk8L2lzYm4+PGFjY2Vzc2lvbi1udW0+MjUzMDY5
MjU8L2FjY2Vzc2lvbi1udW0+PHVybHM+PHJlbGF0ZWQtdXJscz48dXJsPmh0dHBzOi8vd3d3Lm5j
YmkubmxtLm5paC5nb3YvcHVibWVkLzI1MzA2OTI1PC91cmw+PC9yZWxhdGVkLXVybHM+PC91cmxz
PjxlbGVjdHJvbmljLXJlc291cmNlLW51bT4xMC4xMTExL2RtZS4xMjYwMTwvZWxlY3Ryb25pYy1y
ZXNvdXJjZS1udW0+PC9yZWNvcmQ+PC9DaXRlPjxDaXRlPjxBdXRob3I+UGV0cmVsbGE8L0F1dGhv
cj48WWVhcj4yMDEzPC9ZZWFyPjxSZWNOdW0+NzUxPC9SZWNOdW0+PHJlY29yZD48cmVjLW51bWJl
cj43NTE8L3JlYy1udW1iZXI+PGZvcmVpZ24ta2V5cz48a2V5IGFwcD0iRU4iIGRiLWlkPSJleHZh
c3JmeDJkdHJhb2VzYXN4cDJzenN4YTJkZjUwMjU5MngiIHRpbWVzdGFtcD0iMTU0MTQ2NzkzMSI+
NzUxPC9rZXk+PGtleSBhcHA9IkVOV2ViIiBkYi1pZD0iIj4wPC9rZXk+PC9mb3JlaWduLWtleXM+
PHJlZi10eXBlIG5hbWU9IkpvdXJuYWwgQXJ0aWNsZSI+MTc8L3JlZi10eXBlPjxjb250cmlidXRv
cnM+PGF1dGhvcnM+PGF1dGhvcj5QZXRyZWxsYSwgRS48L2F1dGhvcj48YXV0aG9yPk1hbGF2b2x0
aSwgTS48L2F1dGhvcj48YXV0aG9yPkJlcnRhcmluaSwgVi48L2F1dGhvcj48YXV0aG9yPlBpZ25h
dHRpLCBMLjwvYXV0aG9yPjxhdXRob3I+TmVyaSwgSS48L2F1dGhvcj48YXV0aG9yPkJhdHRpc3Rp
bmksIE4uIEMuPC9hdXRob3I+PGF1dGhvcj5GYWNjaGluZXR0aSwgRi48L2F1dGhvcj48L2F1dGhv
cnM+PC9jb250cmlidXRvcnM+PHRpdGxlcz48dGl0bGU+R2VzdGF0aW9uYWwgd2VpZ2h0IGdhaW4g
aW4gb3ZlcndlaWdodCBhbmQgb2Jlc2Ugd29tZW4gZW5yb2xsZWQgaW4gYSBoZWFsdGh5IGxpZmVz
dHlsZSBhbmQgZWF0aW5nIGhhYml0cyBwcm9ncmFtPC90aXRsZT48c2Vjb25kYXJ5LXRpdGxlPkog
TWF0ZXJuYWwtRmV0YWwgJmFtcDsgTmVvbmF0YWwgTWVkPC9zZWNvbmRhcnktdGl0bGU+PC90aXRs
ZXM+PHBlcmlvZGljYWw+PGZ1bGwtdGl0bGU+SiBNYXRlcm5hbC1GZXRhbCAmYW1wOyBOZW9uYXRh
bCBNZWQ8L2Z1bGwtdGl0bGU+PC9wZXJpb2RpY2FsPjxwYWdlcz4xMzQ4LTEzNTI8L3BhZ2VzPjx2
b2x1bWU+Mjc8L3ZvbHVtZT48bnVtYmVyPjEzPC9udW1iZXI+PHNlY3Rpb24+MTM0ODwvc2VjdGlv
bj48ZGF0ZXM+PHllYXI+MjAxMzwveWVhcj48L2RhdGVzPjxpc2JuPjE0NzYtNzA1OCYjeEQ7MTQ3
Ni00OTU0PC9pc2JuPjx1cmxzPjwvdXJscz48ZWxlY3Ryb25pYy1yZXNvdXJjZS1udW0+MTAuMzEw
OS8xNDc2NzA1OC4yMDEzLjg1ODMxODwvZWxlY3Ryb25pYy1yZXNvdXJjZS1udW0+PC9yZWNvcmQ+
PC9DaXRlPjxDaXRlPjxBdXRob3I+VmFuIEhvcm48L0F1dGhvcj48WWVhcj4yMDE4PC9ZZWFyPjxS
ZWNOdW0+MTM3NjwvUmVjTnVtPjxyZWNvcmQ+PHJlYy1udW1iZXI+MTM3NjwvcmVjLW51bWJlcj48
Zm9yZWlnbi1rZXlzPjxrZXkgYXBwPSJFTiIgZGItaWQ9ImV4dmFzcmZ4MmR0cmFvZXNhc3hwMnN6
c3hhMmRmNTAyNTkyeCIgdGltZXN0YW1wPSIxNTY3MDM1OTg3Ij4xMzc2PC9rZXk+PGtleSBhcHA9
IkVOV2ViIiBkYi1pZD0iIj4wPC9rZXk+PC9mb3JlaWduLWtleXM+PHJlZi10eXBlIG5hbWU9Ikpv
dXJuYWwgQXJ0aWNsZSI+MTc8L3JlZi10eXBlPjxjb250cmlidXRvcnM+PGF1dGhvcnM+PGF1dGhv
cj5WYW4gSG9ybiwgTC48L2F1dGhvcj48YXV0aG9yPlBlYWNlbWFuLCBBLjwvYXV0aG9yPjxhdXRo
b3I+S3dhc255LCBNLjwvYXV0aG9yPjxhdXRob3I+VmluY2VudCwgRS48L2F1dGhvcj48YXV0aG9y
PkZvdWdodCwgQS48L2F1dGhvcj48YXV0aG9yPkpvc2Vmc29uLCBKLjwvYXV0aG9yPjxhdXRob3I+
U3ByaW5nLCBCLjwvYXV0aG9yPjxhdXRob3I+TmVmZiwgTC4gTS48L2F1dGhvcj48YXV0aG9yPkdl
cm5ob2ZlciwgTi48L2F1dGhvcj48L2F1dGhvcnM+PC9jb250cmlidXRvcnM+PGF1dGgtYWRkcmVz
cz5EZXBhcnRtZW50IG9mIFByZXZlbnRpdmUgTWVkaWNpbmUsIE5vcnRod2VzdGVybiBVbml2ZXJz
aXR5IEZlaW5iZXJnIFNjaG9vbCBvZiBNZWRpY2luZSwgQ2hpY2FnbywgSWxsaW5vaXMuIEVsZWN0
cm9uaWMgYWRkcmVzczogbHZhbmhvcm5Abm9ydGh3ZXN0ZXJuLmVkdS4mI3hEO0RlcGFydG1lbnQg
b2YgT2JzdGV0cmljcyBhbmQgR3luZWNvbG9neSwgTm9ydGh3ZXN0ZXJuIFVuaXZlcnNpdHkgRmVp
bmJlcmcgU2Nob29sIG9mIE1lZGljaW5lLCBDaGljYWdvLCBJbGxpbm9pcy4mI3hEO0RlcGFydG1l
bnQgb2YgUHJldmVudGl2ZSBNZWRpY2luZSwgTm9ydGh3ZXN0ZXJuIFVuaXZlcnNpdHkgRmVpbmJl
cmcgU2Nob29sIG9mIE1lZGljaW5lLCBDaGljYWdvLCBJbGxpbm9pcy4mI3hEO0RlcGFydG1lbnQg
b2YgUHJldmVudGl2ZSBNZWRpY2luZSwgTm9ydGh3ZXN0ZXJuIFVuaXZlcnNpdHkgRmVpbmJlcmcg
U2Nob29sIG9mIE1lZGljaW5lLCBDaGljYWdvLCBJbGxpbm9pczsgQW5uIGFuZCBSb2JlcnQgSC4g
THVyaWUgQ2hpbGRyZW4mYXBvcztzIEhvc3BpdGFsIG9mIENoaWNhZ28sIENoaWNhZ28sIElsbGlu
b2lzLiYjeEQ7RGVwYXJ0bWVudCBvZiBNZWRpY2luZSwgTm9ydGh3ZXN0ZXJuIFVuaXZlcnNpdHkg
RmVpbmJlcmcgU2Nob29sIG9mIE1lZGljaW5lLCBDaGljYWdvLCBJbGxpbm9pcy48L2F1dGgtYWRk
cmVzcz48dGl0bGVzPjx0aXRsZT5EaWV0YXJ5IEFwcHJvYWNoZXMgdG8gU3RvcCBIeXBlcnRlbnNp
b24gRGlldCBhbmQgQWN0aXZpdHkgdG8gTGltaXQgR2VzdGF0aW9uYWwgV2VpZ2h0OiBNYXRlcm5h
bCBPZmZzcHJpbmcgTWV0YWJvbGljcyBGYW1pbHkgSW50ZXJ2ZW50aW9uIFRyaWFsLCBhIFRlY2hu
b2xvZ3kgRW5oYW5jZWQgUmFuZG9taXplZCBUcmlhbDwvdGl0bGU+PHNlY29uZGFyeS10aXRsZT5B
bSBKIFByZXYgTWVkPC9zZWNvbmRhcnktdGl0bGU+PC90aXRsZXM+PHBlcmlvZGljYWw+PGZ1bGwt
dGl0bGU+QW0gSiBQcmV2IE1lZDwvZnVsbC10aXRsZT48L3BlcmlvZGljYWw+PHBhZ2VzPjYwMy02
MTQ8L3BhZ2VzPjx2b2x1bWU+NTU8L3ZvbHVtZT48bnVtYmVyPjU8L251bWJlcj48ZWRpdGlvbj4y
MDE4LzA5LzI5PC9lZGl0aW9uPjxkYXRlcz48eWVhcj4yMDE4PC95ZWFyPjxwdWItZGF0ZXM+PGRh
dGU+Tm92PC9kYXRlPjwvcHViLWRhdGVzPjwvZGF0ZXM+PGlzYm4+MTg3My0yNjA3IChFbGVjdHJv
bmljKSYjeEQ7MDc0OS0zNzk3IChMaW5raW5nKTwvaXNibj48YWNjZXNzaW9uLW51bT4zMDI2MjE0
ODwvYWNjZXNzaW9uLW51bT48dXJscz48cmVsYXRlZC11cmxzPjx1cmw+aHR0cHM6Ly93d3cubmNi
aS5ubG0ubmloLmdvdi9wdWJtZWQvMzAyNjIxNDg8L3VybD48L3JlbGF0ZWQtdXJscz48L3VybHM+
PGVsZWN0cm9uaWMtcmVzb3VyY2UtbnVtPjEwLjEwMTYvai5hbWVwcmUuMjAxOC4wNi4wMTU8L2Vs
ZWN0cm9uaWMtcmVzb3VyY2UtbnVtPjwvcmVjb3JkPjwvQ2l0ZT48Q2l0ZT48QXV0aG9yPktlbm5l
bGx5PC9BdXRob3I+PFllYXI+MjAxODwvWWVhcj48UmVjTnVtPjEzNzg8L1JlY051bT48cmVjb3Jk
PjxyZWMtbnVtYmVyPjEzNzg8L3JlYy1udW1iZXI+PGZvcmVpZ24ta2V5cz48a2V5IGFwcD0iRU4i
IGRiLWlkPSJleHZhc3JmeDJkdHJhb2VzYXN4cDJzenN4YTJkZjUwMjU5MngiIHRpbWVzdGFtcD0i
MTU2NzA1NDM5NyI+MTM3ODwva2V5PjxrZXkgYXBwPSJFTldlYiIgZGItaWQ9IiI+MDwva2V5Pjwv
Zm9yZWlnbi1rZXlzPjxyZWYtdHlwZSBuYW1lPSJKb3VybmFsIEFydGljbGUiPjE3PC9yZWYtdHlw
ZT48Y29udHJpYnV0b3JzPjxhdXRob3JzPjxhdXRob3I+S2VubmVsbHksIE0uIEEuPC9hdXRob3I+
PGF1dGhvcj5BaW5zY291Z2gsIEsuPC9hdXRob3I+PGF1dGhvcj5MaW5kc2F5LCBLLiBMLjwvYXV0
aG9yPjxhdXRob3I+TyZhcG9zO1N1bGxpdmFuLCBFLjwvYXV0aG9yPjxhdXRob3I+R2libmV5LCBF
LiBSLjwvYXV0aG9yPjxhdXRob3I+TWNDYXJ0aHksIE0uPC9hdXRob3I+PGF1dGhvcj5TZWd1cmFk
bywgUi48L2F1dGhvcj48YXV0aG9yPkRlVml0bywgRy48L2F1dGhvcj48YXV0aG9yPk1hZ3VpcmUs
IE8uPC9hdXRob3I+PGF1dGhvcj5TbWl0aCwgVC48L2F1dGhvcj48YXV0aG9yPkhhdHVuaWMsIE0u
PC9hdXRob3I+PGF1dGhvcj5NY0F1bGlmZmUsIEYuIE0uPC9hdXRob3I+PC9hdXRob3JzPjwvY29u
dHJpYnV0b3JzPjxhdXRoLWFkZHJlc3M+VUNEIFBlcmluYXRhbCBSZXNlYXJjaCBDZW50cmUsIE9i
c3RldHJpY3MgYW5kIEd5bmFlY29sb2d5LCBTY2hvb2wgb2YgTWVkaWNpbmUsIHRoZSBVQ0QgSW5z
dGl0dXRlIG9mIEZvb2QgYW5kIEhlYWx0aCwgVUNEIENTVEFSLCBhbmQgdGhlIFNjaG9vbCBvZiBQ
dWJsaWMgSGVhbHRoLCBQaHlzaWNhbCAmYW1wOyBTcG9ydHMgU2NpZW5jZXMsIEhlYWx0aCBTY2ll
bmNlcyBDZW50cmUsIFVuaXZlcnNpdHkgQ29sbGVnZSBEdWJsaW4sIER1YmxpbiwgdGhlIERlcGFy
dG1lbnQgb2YgTWFuYWdlbWVudCAmYW1wOyBNYXJrZXRpbmcsIFVuaXZlcnNpdHkgQ29sbGVnZSBD
b3JrLCBDb3JrLCBhbmQgdGhlIERlcGFydG1lbnQgb2YgRW5kb2NyaW5vbG9neSwgU3QuIFZpbmNl
bnQmYXBvcztzIFVuaXZlcnNpdHkgSG9zcGl0YWwsIGFuZCB0aGUgRGVwYXJ0bWVudCBvZiBFbmRv
Y3Jpbm9sb2d5LCBOYXRpb25hbCBNYXRlcm5pdHkgSG9zcGl0YWwsIER1YmxpbiwgSXJlbGFuZC48
L2F1dGgtYWRkcmVzcz48dGl0bGVzPjx0aXRsZT5QcmVnbmFuY3kgRXhlcmNpc2UgYW5kIE51dHJp
dGlvbiBXaXRoIFNtYXJ0cGhvbmUgQXBwbGljYXRpb24gU3VwcG9ydDogQSBSYW5kb21pemVkIENv
bnRyb2xsZWQgVHJpYWw8L3RpdGxlPjxzZWNvbmRhcnktdGl0bGU+T2JzdGV0IEd5bmVjb2w8L3Nl
Y29uZGFyeS10aXRsZT48L3RpdGxlcz48cGVyaW9kaWNhbD48ZnVsbC10aXRsZT5PYnN0ZXQgR3lu
ZWNvbDwvZnVsbC10aXRsZT48L3BlcmlvZGljYWw+PHBhZ2VzPjgxOC04MjY8L3BhZ2VzPjx2b2x1
bWU+MTMxPC92b2x1bWU+PG51bWJlcj41PC9udW1iZXI+PGVkaXRpb24+MjAxOC8wNC8xMDwvZWRp
dGlvbj48a2V5d29yZHM+PGtleXdvcmQ+QWR1bHQ8L2tleXdvcmQ+PGtleXdvcmQ+QmVoYXZpb3Ig
Q29udHJvbC8qbWV0aG9kczwva2V5d29yZD48a2V5d29yZD5Cb2R5IE1hc3MgSW5kZXg8L2tleXdv
cmQ+PGtleXdvcmQ+KkRpYWJldGVzLCBHZXN0YXRpb25hbC9kaWFnbm9zaXMvZXBpZGVtaW9sb2d5
L3ByZXZlbnRpb24gJmFtcDsgY29udHJvbC9wc3ljaG9sb2d5PC9rZXl3b3JkPjxrZXl3b3JkPkV4
ZXJjaXNlL3BoeXNpb2xvZ3kvKnBzeWNob2xvZ3k8L2tleXdvcmQ+PGtleXdvcmQ+RmVtYWxlPC9r
ZXl3b3JkPjxrZXl3b3JkPkhlYWx0aCBCZWhhdmlvcjwva2V5d29yZD48a2V5d29yZD5IZWFsdGh5
IExpZmVzdHlsZTwva2V5d29yZD48a2V5d29yZD5IdW1hbnM8L2tleXdvcmQ+PGtleXdvcmQ+SW5j
aWRlbmNlPC9rZXl3b3JkPjxrZXl3b3JkPk1vYmlsZSBBcHBsaWNhdGlvbnM8L2tleXdvcmQ+PGtl
eXdvcmQ+Kk9iZXNpdHkvZGlhZ25vc2lzL3BzeWNob2xvZ3kvdGhlcmFweTwva2V5d29yZD48a2V5
d29yZD5QcmVnbmFuY3k8L2tleXdvcmQ+PGtleXdvcmQ+KlByZWduYW5jeSBDb21wbGljYXRpb25z
L2RpYWdub3Npcy9wc3ljaG9sb2d5L3RoZXJhcHk8L2tleXdvcmQ+PGtleXdvcmQ+UHJlZ25hbmN5
IE91dGNvbWUvZXBpZGVtaW9sb2d5PC9rZXl3b3JkPjxrZXl3b3JkPlByZW5hdGFsIENhcmUvbWV0
aG9kczwva2V5d29yZD48a2V5d29yZD5QcmVuYXRhbCBOdXRyaXRpb25hbCBQaHlzaW9sb2dpY2Fs
IFBoZW5vbWVuYS8qcGh5c2lvbG9neTwva2V5d29yZD48a2V5d29yZD4qU21hcnRwaG9uZTwva2V5
d29yZD48L2tleXdvcmRzPjxkYXRlcz48eWVhcj4yMDE4PC95ZWFyPjxwdWItZGF0ZXM+PGRhdGU+
TWF5PC9kYXRlPjwvcHViLWRhdGVzPjwvZGF0ZXM+PGlzYm4+MTg3My0yMzNYIChFbGVjdHJvbmlj
KSYjeEQ7MDAyOS03ODQ0IChMaW5raW5nKTwvaXNibj48YWNjZXNzaW9uLW51bT4yOTYzMDAwOTwv
YWNjZXNzaW9uLW51bT48dXJscz48cmVsYXRlZC11cmxzPjx1cmw+aHR0cHM6Ly93d3cubmNiaS5u
bG0ubmloLmdvdi9wdWJtZWQvMjk2MzAwMDk8L3VybD48L3JlbGF0ZWQtdXJscz48L3VybHM+PGVs
ZWN0cm9uaWMtcmVzb3VyY2UtbnVtPjEwLjEwOTcvQU9HLjAwMDAwMDAwMDAwMDI1ODI8L2VsZWN0
cm9uaWMtcmVzb3VyY2UtbnVtPjwvcmVjb3JkPjwvQ2l0ZT48Q2l0ZT48QXV0aG9yPkFsdGF6YW48
L0F1dGhvcj48WWVhcj4yMDE5PC9ZZWFyPjxSZWNOdW0+MTM3OTwvUmVjTnVtPjxyZWNvcmQ+PHJl
Yy1udW1iZXI+MTM3OTwvcmVjLW51bWJlcj48Zm9yZWlnbi1rZXlzPjxrZXkgYXBwPSJFTiIgZGIt
aWQ9ImV4dmFzcmZ4MmR0cmFvZXNhc3hwMnN6c3hhMmRmNTAyNTkyeCIgdGltZXN0YW1wPSIxNTY3
MDYxNTE0Ij4xMzc5PC9rZXk+PGtleSBhcHA9IkVOV2ViIiBkYi1pZD0iIj4wPC9rZXk+PC9mb3Jl
aWduLWtleXM+PHJlZi10eXBlIG5hbWU9IkpvdXJuYWwgQXJ0aWNsZSI+MTc8L3JlZi10eXBlPjxj
b250cmlidXRvcnM+PGF1dGhvcnM+PGF1dGhvcj5BbHRhemFuLCBBLiBELjwvYXV0aG9yPjxhdXRo
b3I+UmVkbWFuLCBMLiBNLjwvYXV0aG9yPjxhdXRob3I+QnVydG9uLCBKLiBILjwvYXV0aG9yPjxh
dXRob3I+QmV5bCwgUi4gQS48L2F1dGhvcj48YXV0aG9yPkNhaW4sIEwuIEUuPC9hdXRob3I+PGF1
dGhvcj5TdXR0b24sIEUuIEYuPC9hdXRob3I+PGF1dGhvcj5NYXJ0aW4sIEMuIEsuPC9hdXRob3I+
PC9hdXRob3JzPjwvY29udHJpYnV0b3JzPjxhdXRoLWFkZHJlc3M+UGVubmluZ3RvbiBCaW9tZWRp
Y2FsIFJlc2VhcmNoIENlbnRlciwgTG91aXNpYW5hIFN0YXRlIFVuaXZlcnNpdHksIDY0MDAgUGVy
a2lucyBSb2FkLCBCYXRvbiBSb3VnZSwgTEEsIDcwODA4LCBVU0EuJiN4RDtQZW5uaW5ndG9uIEJp
b21lZGljYWwgUmVzZWFyY2ggQ2VudGVyLCBMb3Vpc2lhbmEgU3RhdGUgVW5pdmVyc2l0eSwgNjQw
MCBQZXJraW5zIFJvYWQsIEJhdG9uIFJvdWdlLCBMQSwgNzA4MDgsIFVTQS4gY29yYnkubWFydGlu
QHBicmMuZWR1LjwvYXV0aC1hZGRyZXNzPjx0aXRsZXM+PHRpdGxlPk1vb2QgYW5kIHF1YWxpdHkg
b2YgbGlmZSBjaGFuZ2VzIGluIHByZWduYW5jeSBhbmQgcG9zdHBhcnR1bSBhbmQgdGhlIGVmZmVj
dCBvZiBhIGJlaGF2aW9yYWwgaW50ZXJ2ZW50aW9uIHRhcmdldGluZyBleGNlc3MgZ2VzdGF0aW9u
YWwgd2VpZ2h0IGdhaW4gaW4gd29tZW4gd2l0aCBvdmVyd2VpZ2h0IGFuZCBvYmVzaXR5OiBhIHBh
cmFsbGVsLWFybSByYW5kb21pemVkIGNvbnRyb2xsZWQgcGlsb3QgdHJpYWw8L3RpdGxlPjxzZWNv
bmRhcnktdGl0bGU+Qk1DIFByZWduYW5jeSBDaGlsZGJpcnRoPC9zZWNvbmRhcnktdGl0bGU+PC90
aXRsZXM+PHBlcmlvZGljYWw+PGZ1bGwtdGl0bGU+Qk1DIFByZWduYW5jeSBDaGlsZGJpcnRoPC9m
dWxsLXRpdGxlPjwvcGVyaW9kaWNhbD48cGFnZXM+NTA8L3BhZ2VzPjx2b2x1bWU+MTk8L3ZvbHVt
ZT48bnVtYmVyPjE8L251bWJlcj48ZWRpdGlvbj4yMDE5LzAxLzMxPC9lZGl0aW9uPjxrZXl3b3Jk
cz48a2V5d29yZD5BZHVsdDwva2V5d29yZD48a2V5d29yZD5CZWhhdmlvciBUaGVyYXB5LyptZXRo
b2RzPC9rZXl3b3JkPjxrZXl3b3JkPkZlbWFsZTwva2V5d29yZD48a2V5d29yZD4qR2VzdGF0aW9u
YWwgV2VpZ2h0IEdhaW48L2tleXdvcmQ+PGtleXdvcmQ+SHVtYW5zPC9rZXl3b3JkPjxrZXl3b3Jk
PkxpZmUgU3R5bGU8L2tleXdvcmQ+PGtleXdvcmQ+T3ZlcndlaWdodC8qcHJldmVudGlvbiAmYW1w
OyBjb250cm9sPC9rZXl3b3JkPjxrZXl3b3JkPlBpbG90IFByb2plY3RzPC9rZXl3b3JkPjxrZXl3
b3JkPlByZWduYW5jeTwva2V5d29yZD48a2V5d29yZD5QcmVuYXRhbCBDYXJlLyptZXRob2RzPC9r
ZXl3b3JkPjxrZXl3b3JkPlF1YWxpdHkgb2YgTGlmZS8qcHN5Y2hvbG9neTwva2V5d29yZD48a2V5
d29yZD5UcmVhdG1lbnQgT3V0Y29tZTwva2V5d29yZD48a2V5d29yZD5XZWlnaHQgR2Fpbjwva2V5
d29yZD48a2V5d29yZD5HZXN0YXRpb25hbCB3ZWlnaHQgZ2Fpbjwva2V5d29yZD48a2V5d29yZD5N
ZW50YWwgaGVhbHRoPC9rZXl3b3JkPjxrZXl3b3JkPlF1YWxpdHkgb2YgbGlmZTwva2V5d29yZD48
L2tleXdvcmRzPjxkYXRlcz48eWVhcj4yMDE5PC95ZWFyPjxwdWItZGF0ZXM+PGRhdGU+SmFuIDI5
PC9kYXRlPjwvcHViLWRhdGVzPjwvZGF0ZXM+PGlzYm4+MTQ3MS0yMzkzIChFbGVjdHJvbmljKSYj
eEQ7MTQ3MS0yMzkzIChMaW5raW5nKTwvaXNibj48YWNjZXNzaW9uLW51bT4zMDY5NjQwODwvYWNj
ZXNzaW9uLW51bT48dXJscz48cmVsYXRlZC11cmxzPjx1cmw+aHR0cHM6Ly93d3cubmNiaS5ubG0u
bmloLmdvdi9wdWJtZWQvMzA2OTY0MDg8L3VybD48L3JlbGF0ZWQtdXJscz48L3VybHM+PGN1c3Rv
bTI+UE1DNjM1MjM1MjwvY3VzdG9tMj48ZWxlY3Ryb25pYy1yZXNvdXJjZS1udW0+MTAuMTE4Ni9z
MTI4ODQtMDE5LTIxOTYtODwvZWxlY3Ryb25pYy1yZXNvdXJjZS1udW0+PC9yZWNvcmQ+PC9DaXRl
PjxDaXRlPjxBdXRob3I+UGhlbGFuPC9BdXRob3I+PFllYXI+MjAxODwvWWVhcj48UmVjTnVtPjEz
ODY8L1JlY051bT48cmVjb3JkPjxyZWMtbnVtYmVyPjEzODY8L3JlYy1udW1iZXI+PGZvcmVpZ24t
a2V5cz48a2V5IGFwcD0iRU4iIGRiLWlkPSJleHZhc3JmeDJkdHJhb2VzYXN4cDJzenN4YTJkZjUw
MjU5MngiIHRpbWVzdGFtcD0iMTU2NzM4MjQ4NSI+MTM4Njwva2V5PjwvZm9yZWlnbi1rZXlzPjxy
ZWYtdHlwZSBuYW1lPSJKb3VybmFsIEFydGljbGUiPjE3PC9yZWYtdHlwZT48Y29udHJpYnV0b3Jz
PjxhdXRob3JzPjxhdXRob3I+UGhlbGFuLCBTLjwvYXV0aG9yPjxhdXRob3I+V2luZywgUi4gUi48
L2F1dGhvcj48YXV0aG9yPkJyYW5uZW4sIEEuPC9hdXRob3I+PGF1dGhvcj5NY0h1Z2gsIEEuPC9h
dXRob3I+PGF1dGhvcj5IYWdvYmlhbiwgVC4gQS48L2F1dGhvcj48YXV0aG9yPlNjaGFmZm5lciwg
QS48L2F1dGhvcj48YXV0aG9yPkplbGFsaWFuLCBFLjwvYXV0aG9yPjxhdXRob3I+SGFydCwgQy4g
Ti48L2F1dGhvcj48YXV0aG9yPlNjaG9sbCwgVC4gTy48L2F1dGhvcj48YXV0aG9yPk11bm96LUNo
cmlzdGlhbiwgSy48L2F1dGhvcj48YXV0aG9yPllpbiwgRS48L2F1dGhvcj48YXV0aG9yPlBoaXBw
cywgTS4gRy48L2F1dGhvcj48YXV0aG9yPktlYWRsZSwgUy48L2F1dGhvcj48YXV0aG9yPkFicmFt
cywgQi48L2F1dGhvcj48L2F1dGhvcnM+PC9jb250cmlidXRvcnM+PGF1dGgtYWRkcmVzcz5EZXBh
cnRtZW50cyBvZiBLaW5lc2lvbG9neSwgU3RhdGlzdGljcywgYW5kIE1vZGVybiBMYW5ndWFnZXMs
IENhbGlmb3JuaWEgUG9seXRlY2huaWMgU3RhdGUgVW5pdmVyc2l0eSwgU2FuIEx1aXMgT2Jpc3Bv
LCBDQS4mI3hEO0RlcGFydG1lbnQgb2YgUHN5Y2hpYXRyeSBhbmQgSHVtYW4gQmVoYXZpb3IsIFdh
cnJlbiBBbHBlcnQgTWVkaWNhbCBTY2hvb2wgYXQgQnJvd24gVW5pdmVyc2l0eSwgUHJvdmlkZW5j
ZSwgUkkuJiN4RDtEZXBhcnRtZW50cyBvZiBTdGF0aXN0aWNzLCBhbmQgTW9kZXJuIExhbmd1YWdl
cywgQ2FsaWZvcm5pYSBQb2x5dGVjaG5pYyBTdGF0ZSBVbml2ZXJzaXR5LCBTYW4gTHVpcyBPYmlz
cG8sIENBLiYjeEQ7RGVwYXJ0bWVudCBvZiBTb2NpYWwgYW5kIEJlaGF2aW9yYWwgU2NpZW5jZXMs
IFRlbXBsZSBVbml2ZXJzaXR5IENlbnRlciBmb3IgT2Jlc2l0eSBSZXNlYXJjaCBhbmQgRWR1Y2F0
aW9uLCBQaGlsYWRlbHBoaWEsIFBBLiYjeEQ7RGVwYXJ0bWVudCBvZiBPYnN0ZXRyaWNzIGFuZCBH
eW5lY29sb2d5LCBVbml2ZXJzaXR5IG9mIE1lZGljaW5lIGFuZCBEZW50aXN0cnkgb2YgTmV3IEpl
cnNleSAobm93IFJvd2FuKSwgR2xhc3Nib3JvLCBOSi4mI3hEO0RlcGFydG1lbnRzIG9mIE1vZGVy
biBMYW5ndWFnZXMsIENhbGlmb3JuaWEgUG9seXRlY2huaWMgU3RhdGUgVW5pdmVyc2l0eSwgU2Fu
IEx1aXMgT2Jpc3BvLCBDQS4mI3hEO1BhY2lmaWMgQ2VudHJhbCBDb2FzdCBIZWFsdGggQ2VudGVy
cywgU2FudGEgTWFyaWEgV29tZW4mYXBvcztzIEhlYWx0aCwgU2FudGEgTWFyaWEsIENBLiYjeEQ7
RGVwYXJ0bWVudCBvZiBPYnN0ZXRyaWNzIGFuZCBHeW5lY29sb2d5LCBXYXJyZW4gQWxwZXJ0IE1l
ZGljYWwgU2Nob29sIG9mIEJyb3duIFVuaXZlcnNpdHkgYW5kIFdvbWVuIGFuZCBJbmZhbnRzIEhv
c3BpdGFsLCBQcm92aWRlbmNlLCBSSS4mI3hEO0RpdmlzaW9uIG9mIEVwaWRlbWlvbG9neSwgVW5p
dmVyc2l0eSBvZiBDYWxpZm9ybmlhIGF0IEJlcmtlbGV5IFNjaG9vbCBvZiBQdWJsaWMgSGVhbHRo
LCBCZXJrZWxleSwgQ0EuPC9hdXRoLWFkZHJlc3M+PHRpdGxlcz48dGl0bGU+UmFuZG9taXplZCBj
b250cm9sbGVkIGNsaW5pY2FsIHRyaWFsIG9mIGJlaGF2aW9yYWwgbGlmZXN0eWxlIGludGVydmVu
dGlvbiB3aXRoIHBhcnRpYWwgbWVhbCByZXBsYWNlbWVudCB0byByZWR1Y2UgZXhjZXNzaXZlIGdl
c3RhdGlvbmFsIHdlaWdodCBnYWluPC90aXRsZT48c2Vjb25kYXJ5LXRpdGxlPkFtIEogQ2xpbiBO
dXRyPC9zZWNvbmRhcnktdGl0bGU+PC90aXRsZXM+PHBlcmlvZGljYWw+PGZ1bGwtdGl0bGU+QW0g
SiBDbGluIE51dHI8L2Z1bGwtdGl0bGU+PC9wZXJpb2RpY2FsPjxwYWdlcz4xODMtMTk0PC9wYWdl
cz48dm9sdW1lPjEwNzwvdm9sdW1lPjxudW1iZXI+MjwvbnVtYmVyPjxlZGl0aW9uPjIwMTgvMDMv
MTM8L2VkaXRpb24+PGtleXdvcmRzPjxrZXl3b3JkPkFkdWx0PC9rZXl3b3JkPjxrZXl3b3JkPkJv
ZHkgTWFzcyBJbmRleDwva2V5d29yZD48a2V5d29yZD5DYWxpZm9ybmlhPC9rZXl3b3JkPjxrZXl3
b3JkPkRpZXQ8L2tleXdvcmQ+PGtleXdvcmQ+RXRobmljIEdyb3Vwczwva2V5d29yZD48a2V5d29y
ZD5FeGVyY2lzZTwva2V5d29yZD48a2V5d29yZD5GZW1hbGU8L2tleXdvcmQ+PGtleXdvcmQ+Kkdl
c3RhdGlvbmFsIFdlaWdodCBHYWluPC9rZXl3b3JkPjxrZXl3b3JkPipIZWFsdGggQmVoYXZpb3I8
L2tleXdvcmQ+PGtleXdvcmQ+SHVtYW5zPC9rZXl3b3JkPjxrZXl3b3JkPkluY2lkZW5jZTwva2V5
d29yZD48a2V5d29yZD4qTGlmZSBTdHlsZTwva2V5d29yZD48a2V5d29yZD5NZWFsczwva2V5d29y
ZD48a2V5d29yZD5OdXRyaXRpb24gQXNzZXNzbWVudDwva2V5d29yZD48a2V5d29yZD5PYmVzaXR5
LypwcmV2ZW50aW9uICZhbXA7IGNvbnRyb2w8L2tleXdvcmQ+PGtleXdvcmQ+T3ZlcndlaWdodC8q
cHJldmVudGlvbiAmYW1wOyBjb250cm9sPC9rZXl3b3JkPjxrZXl3b3JkPlByZWduYW5jeTwva2V5
d29yZD48a2V5d29yZD5QcmVnbmFuY3kgQ29tcGxpY2F0aW9ucy8qcHJldmVudGlvbiAmYW1wOyBj
b250cm9sPC9rZXl3b3JkPjxrZXl3b3JkPlByZWduYW5jeSBPdXRjb21lPC9rZXl3b3JkPjxrZXl3
b3JkPlJpc2sgRmFjdG9yczwva2V5d29yZD48a2V5d29yZD5Zb3VuZyBBZHVsdDwva2V5d29yZD48
L2tleXdvcmRzPjxkYXRlcz48eWVhcj4yMDE4PC95ZWFyPjxwdWItZGF0ZXM+PGRhdGU+RmViIDE8
L2RhdGU+PC9wdWItZGF0ZXM+PC9kYXRlcz48aXNibj4xOTM4LTMyMDcgKEVsZWN0cm9uaWMpJiN4
RDswMDAyLTkxNjUgKExpbmtpbmcpPC9pc2JuPjxhY2Nlc3Npb24tbnVtPjI5NTI5MTU3PC9hY2Nl
c3Npb24tbnVtPjx1cmxzPjxyZWxhdGVkLXVybHM+PHVybD5odHRwczovL3d3dy5uY2JpLm5sbS5u
aWguZ292L3B1Ym1lZC8yOTUyOTE1NzwvdXJsPjwvcmVsYXRlZC11cmxzPjwvdXJscz48Y3VzdG9t
Mj5QTUM2NDU1MDMwPC9jdXN0b20yPjxlbGVjdHJvbmljLXJlc291cmNlLW51bT4xMC4xMDkzL2Fq
Y24vbnF4MDQzPC9lbGVjdHJvbmljLXJlc291cmNlLW51bT48L3JlY29yZD48L0NpdGU+PENpdGU+
PEF1dGhvcj5UcmFrLUZlbGxlcm1laWVyPC9BdXRob3I+PFllYXI+MjAxOTwvWWVhcj48UmVjTnVt
PjE5MjE8L1JlY051bT48cmVjb3JkPjxyZWMtbnVtYmVyPjE5MjE8L3JlYy1udW1iZXI+PGZvcmVp
Z24ta2V5cz48a2V5IGFwcD0iRU4iIGRiLWlkPSJleHZhc3JmeDJkdHJhb2VzYXN4cDJzenN4YTJk
ZjUwMjU5MngiIHRpbWVzdGFtcD0iMTU4ODU1NjU5NSI+MTkyMTwva2V5PjxrZXkgYXBwPSJFTldl
YiIgZGItaWQ9IiI+MDwva2V5PjwvZm9yZWlnbi1rZXlzPjxyZWYtdHlwZSBuYW1lPSJKb3VybmFs
IEFydGljbGUiPjE3PC9yZWYtdHlwZT48Y29udHJpYnV0b3JzPjxhdXRob3JzPjxhdXRob3I+VHJh
ay1GZWxsZXJtZWllciwgTS4gQS48L2F1dGhvcj48YXV0aG9yPkNhbXBvcywgTS48L2F1dGhvcj48
YXV0aG9yPk1lbGVuZGV6LCBNLjwvYXV0aG9yPjxhdXRob3I+UG9tZXJveSwgSi48L2F1dGhvcj48
YXV0aG9yPlBhbGFjaW9zLCBDLjwvYXV0aG9yPjxhdXRob3I+Uml2ZXJhLVZpbmFzLCBKLjwvYXV0
aG9yPjxhdXRob3I+TWVuZGV6LCBLLjwvYXV0aG9yPjxhdXRob3I+RmVibywgSS48L2F1dGhvcj48
YXV0aG9yPldpbGxldHQsIFcuPC9hdXRob3I+PGF1dGhvcj5HaWxsbWFuLCBNLiBXLjwvYXV0aG9y
PjxhdXRob3I+RnJhbmtzLCBQLiBXLjwvYXV0aG9yPjxhdXRob3I+Sm9zaGlwdXJhLCBLLjwvYXV0
aG9yPjwvYXV0aG9ycz48L2NvbnRyaWJ1dG9ycz48YXV0aC1hZGRyZXNzPkNlbnRlciBmb3IgQ2xp
bmljYWwgUmVzZWFyY2ggYW5kIEhlYWx0aCBQcm9tb3Rpb24sIFNjaG9vbCBvZiBEZW50YWwgTWVk
aWNpbmUsIE1lZGljYWwgU2NpZW5jZXMgQ2FtcHVzLCBVbml2ZXJzaXR5IG9mIFB1ZXJ0byBSaWNv
LCBTYW4gSnVhbiwgUFIsIFVTQSwga2F1bXVkaS5qb3NoaXB1cmFAdXByLmVkdS4mI3hEO0NsaW5p
Y2FsIFJlc2VhcmNoIENlbnRlciwgTWFyc2hmaWVsZCBDbGluaWMgUmVzZWFyY2ggSW5zdGl0dXRl
LCBNYXJzaGZpZWxkIENsaW5pYyBIZWFsdGggU3lzdGVtLCBNYXJzaGZpZWxkLCBXSSwgVVNBLiYj
eEQ7RGVwYXJ0bWVudCBvZiBEaWV0ZXRpY3MgYW5kIE51dHJpdGlvbiwgUm9iZXJ0IFN0ZW1wZWwg
Q29sbGVnZSBvZiBQdWJsaWMgSGVhbHRoICZhbXA7IFNvY2lhbCBXb3JrLCBGbG9yaWRhIEludGVy
bmF0aW9uYWwgVW5pdmVyc2l0eSwgTWlhbWksIEZMLCBVU0EuJiN4RDtEZXBhcnRtZW50IG9mIE9i
c3RldHJpY3MgYW5kIEd5bmVjb2xvZ3ksIFNjaG9vbCBvZiBNZWRpY2luZSwgTWVkaWNhbCBTY2ll
bmNlcyBDYW1wdXMsIFVuaXZlcnNpdHkgb2YgUHVlcnRvIFJpY28sIFNhbiBKdWFuLCBQUiwgVVNB
LiYjeEQ7RGVwYXJ0bWVudCBvZiBQZWRpYXRyaWNzLCBTY2hvb2wgb2YgTWVkaWNpbmUsIE1lZGlj
YWwgU2NpZW5jZXMgQ2FtcHVzLCBVbml2ZXJzaXR5IG9mIFB1ZXJ0byBSaWNvLCBTYW4gSnVhbiwg
UFIsIFVTQS4mI3hEO0RlcGFydG1lbnQgb2YgTnV0cml0aW9uLCBIYXJ2YXJkIFQuSC4gQ2hhbiBT
Y2hvb2wgb2YgUHVibGljIEhlYWx0aCwgSGFydmFyZCBVbml2ZXJzaXR5LCBCb3N0b24sIE1BLCBV
U0EuJiN4RDtEaXZpc2lvbiBvZiBDaHJvbmljIERpc2Vhc2UgUmVzZWFyY2ggQWNyb3NzIHRoZSBM
aWZlIENvdXJzZSwgRGVwYXJ0bWVudCBvZiBQb3B1bGF0aW9uIE1lZGljaW5lLCBIYXJ2YXJkIE1l
ZGljYWwgU2Nob29sIGFuZCBIYXJ2YXJkIFBpbGdyaW0gSGVhbHRoIENhcmUgSW5zdGl0dXRlLCBC
b3N0b24sIE1BLiYjeEQ7RGVwYXJ0bWVudCBvZiBDbGluaWNhbCBTY2llbmNlcywgR2VuZXRpYyBh
bmQgTW9sZWN1bGFyIEVwaWRlbWlvbG9neSBVbml0LCBMdW5kIFVuaXZlcnNpdHksIFNrYW5lIFVu
aXZlcnNpdHkgSG9zcGl0YWwsIE1hbG1vLCBTd2VkZW4uJiN4RDtEZXBhcnRtZW50IG9mIEVwaWRl
bWlvbG9neSwgSGFydmFyZCBULkguIENoYW4gUHVibGljIEhlYWx0aCBTY2hvb2wsIEhhcnZhcmQg
VW5pdmVyc2l0eSwgQm9zdG9uLCBNQSwgVVNBLCBrYXVtdWRpLmpvc2hpcHVyYUB1cHIuZWR1Ljwv
YXV0aC1hZGRyZXNzPjx0aXRsZXM+PHRpdGxlPlBFQVJMUyByYW5kb21pemVkIGxpZmVzdHlsZSB0
cmlhbCBpbiBwcmVnbmFudCBIaXNwYW5pYyB3b21lbiB3aXRoIG92ZXJ3ZWlnaHQvb2Jlc2l0eTog
Z2VzdGF0aW9uYWwgd2VpZ2h0IGdhaW4gYW5kIG9mZnNwcmluZyBiaXJ0aHdlaWdodDwvdGl0bGU+
PHNlY29uZGFyeS10aXRsZT5EaWFiZXRlcyBNZXRhYiBTeW5kciBPYmVzPC9zZWNvbmRhcnktdGl0
bGU+PC90aXRsZXM+PHBlcmlvZGljYWw+PGZ1bGwtdGl0bGU+RGlhYmV0ZXMgTWV0YWIgU3luZHIg
T2JlczwvZnVsbC10aXRsZT48L3BlcmlvZGljYWw+PHBhZ2VzPjIyNS0yMzg8L3BhZ2VzPjx2b2x1
bWU+MTI8L3ZvbHVtZT48ZWRpdGlvbj4yMDE5LzAzLzEzPC9lZGl0aW9uPjxrZXl3b3Jkcz48a2V5
d29yZD5iaXJ0aHdlaWdodDwva2V5d29yZD48a2V5d29yZD5nZXN0YXRpb25hbCB3ZWlnaHQgZ2Fp
bjwva2V5d29yZD48a2V5d29yZD5pbnRlcnZlbnRpb248L2tleXdvcmQ+PGtleXdvcmQ+bGlmZXN0
eWxlIG1vZGlmaWNhdGlvbjwva2V5d29yZD48a2V5d29yZD5uZW9uYXRhbDwva2V5d29yZD48a2V5
d29yZD5vYmVzZTwva2V5d29yZD48a2V5d29yZD5vdmVyd2VpZ2h0PC9rZXl3b3JkPjxrZXl3b3Jk
PnByZWduYW5jeTwva2V5d29yZD48a2V5d29yZD5yYW5kb21pemVkIGNvbnRyb2xsZWQgdHJpYWw8
L2tleXdvcmQ+PGtleXdvcmQ+SGVhbHRoIE91dGNvbWVzIChFQ0hPKSBQcm9ncmFtLCBPZmZpY2Ug
b2YgdGhlIERpcmVjdG9yLCBOYXRpb25hbCBJbnN0aXR1dGVzIG9mPC9rZXl3b3JkPjxrZXl3b3Jk
PkhlYWx0aCAoVGhlIHZpZXdzIGV4cHJlc3NlZCBpbiB0aGlzIGFydGljbGUgZG8gbm90IG5lY2Vz
c2FyaWx5IHJlcHJlc2VudCB0aGU8L2tleXdvcmQ+PGtleXdvcmQ+dmlld3Mgb2YgdGhlIFVTIEdv
dmVybm1lbnQsIHRoZSBEZXBhcnRtZW50IG9mIEhlYWx0aCBhbmQgSHVtYW4gU2VydmljZXMgb3Ig
dGhlPC9rZXl3b3JkPjxrZXl3b3JkPk5hdGlvbmFsIEluc3RpdHV0ZXMgb2YgSGVhbHRoKS4gVGhl
IGF1dGhvcnMgcmVwb3J0IG5vIG90aGVyIGNvbmZsaWN0cyBvZiBpbnRlcmVzdDwva2V5d29yZD48
a2V5d29yZD5pbiB0aGlzIHdvcmsuPC9rZXl3b3JkPjwva2V5d29yZHM+PGRhdGVzPjx5ZWFyPjIw
MTk8L3llYXI+PC9kYXRlcz48aXNibj4xMTc4LTcwMDcgKFByaW50KSYjeEQ7MTE3OC03MDA3IChM
aW5raW5nKTwvaXNibj48YWNjZXNzaW9uLW51bT4zMDg1ODcxNTwvYWNjZXNzaW9uLW51bT48dXJs
cz48cmVsYXRlZC11cmxzPjx1cmw+aHR0cHM6Ly93d3cubmNiaS5ubG0ubmloLmdvdi9wdWJtZWQv
MzA4NTg3MTU8L3VybD48L3JlbGF0ZWQtdXJscz48L3VybHM+PGN1c3RvbTI+UE1DNjM4NTc0Mzwv
Y3VzdG9tMj48ZWxlY3Ryb25pYy1yZXNvdXJjZS1udW0+MTAuMjE0Ny9ETVNPLlMxNzkwMDk8L2Vs
ZWN0cm9uaWMtcmVzb3VyY2UtbnVtPjwvcmVjb3JkPjwvQ2l0ZT48L0VuZE5vdGU+AG==
</w:fldData>
        </w:fldChar>
      </w:r>
      <w:r w:rsidR="002747EA">
        <w:instrText xml:space="preserve"> ADDIN EN.CITE </w:instrText>
      </w:r>
      <w:r w:rsidR="002747EA">
        <w:fldChar w:fldCharType="begin">
          <w:fldData xml:space="preserve">PEVuZE5vdGU+PENpdGU+PEF1dGhvcj5CcnVubzwvQXV0aG9yPjxZZWFyPjIwMTc8L1llYXI+PFJl
Y051bT43NjU8L1JlY051bT48RGlzcGxheVRleHQ+PHN0eWxlIGZhY2U9InN1cGVyc2NyaXB0IiBm
b250PSJUcmVidWNoZXQgTVMiIHNpemU9IjkiPjQ5OS01MDk8L3N0eWxlPjwvRGlzcGxheVRleHQ+
PHJlY29yZD48cmVjLW51bWJlcj43NjU8L3JlYy1udW1iZXI+PGZvcmVpZ24ta2V5cz48a2V5IGFw
cD0iRU4iIGRiLWlkPSJleHZhc3JmeDJkdHJhb2VzYXN4cDJzenN4YTJkZjUwMjU5MngiIHRpbWVz
dGFtcD0iMTU0MTQ4NzAzNCI+NzY1PC9rZXk+PC9mb3JlaWduLWtleXM+PHJlZi10eXBlIG5hbWU9
IkpvdXJuYWwgQXJ0aWNsZSI+MTc8L3JlZi10eXBlPjxjb250cmlidXRvcnM+PGF1dGhvcnM+PGF1
dGhvcj5CcnVubywgUi48L2F1dGhvcj48YXV0aG9yPlBldHJlbGxhLCBFLjwvYXV0aG9yPjxhdXRo
b3I+QmVydGFyaW5pLCBWLjwvYXV0aG9yPjxhdXRob3I+UGVkcmllbGxpLCBHLjwvYXV0aG9yPjxh
dXRob3I+TmVyaSwgSS48L2F1dGhvcj48YXV0aG9yPkZhY2NoaW5ldHRpLCBGLjwvYXV0aG9yPjwv
YXV0aG9ycz48L2NvbnRyaWJ1dG9ycz48YXV0aC1hZGRyZXNzPk1vdGhlci1JbmZhbnQgRGVwYXJ0
bWVudCwgVW5pdmVyc2l0eSBvZiBNb2RlbmEgYW5kIFJlZ2dpbyBFbWlsaWEsIEl0YWx5LjwvYXV0
aC1hZGRyZXNzPjx0aXRsZXM+PHRpdGxlPkFkaGVyZW5jZSB0byBhIGxpZmVzdHlsZSBwcm9ncmFt
bWUgaW4gb3ZlcndlaWdodC9vYmVzZSBwcmVnbmFudCB3b21lbiBhbmQgZWZmZWN0IG9uIGdlc3Rh
dGlvbmFsIGRpYWJldGVzIG1lbGxpdHVzOiBhIHJhbmRvbWl6ZWQgY29udHJvbGxlZCB0cmlhbDwv
dGl0bGU+PHNlY29uZGFyeS10aXRsZT5NYXRlcm4gQ2hpbGQgTnV0cjwvc2Vjb25kYXJ5LXRpdGxl
PjwvdGl0bGVzPjxwZXJpb2RpY2FsPjxmdWxsLXRpdGxlPk1hdGVybiBDaGlsZCBOdXRyPC9mdWxs
LXRpdGxlPjwvcGVyaW9kaWNhbD48dm9sdW1lPjEzPC92b2x1bWU+PG51bWJlcj4zPC9udW1iZXI+
PGVkaXRpb24+MjAxNi8wOS8yMTwvZWRpdGlvbj48a2V5d29yZHM+PGtleXdvcmQ+QWR1bHQ8L2tl
eXdvcmQ+PGtleXdvcmQ+QmlydGggV2VpZ2h0PC9rZXl3b3JkPjxrZXl3b3JkPkJsb29kIEdsdWNv
c2UvbWV0YWJvbGlzbTwva2V5d29yZD48a2V5d29yZD5Cb2R5IE1hc3MgSW5kZXg8L2tleXdvcmQ+
PGtleXdvcmQ+RGlhYmV0ZXMsIEdlc3RhdGlvbmFsLypwcmV2ZW50aW9uICZhbXA7IGNvbnRyb2w8
L2tleXdvcmQ+PGtleXdvcmQ+RXhlcmNpc2U8L2tleXdvcmQ+PGtleXdvcmQ+RmVtYWxlPC9rZXl3
b3JkPjxrZXl3b3JkPkZvbGxvdy1VcCBTdHVkaWVzPC9rZXl3b3JkPjxrZXl3b3JkPipIZWFsdGh5
IERpZXQ8L2tleXdvcmQ+PGtleXdvcmQ+SHVtYW5zPC9rZXl3b3JkPjxrZXl3b3JkPkh5cGVydGVu
c2lvbi9wcmV2ZW50aW9uICZhbXA7IGNvbnRyb2w8L2tleXdvcmQ+PGtleXdvcmQ+SXRhbHk8L2tl
eXdvcmQ+PGtleXdvcmQ+KkxpZmUgU3R5bGU8L2tleXdvcmQ+PGtleXdvcmQ+T2Jlc2l0eS8qdGhl
cmFweTwva2V5d29yZD48a2V5d29yZD5PdmVyd2VpZ2h0Lyp0aGVyYXB5PC9rZXl3b3JkPjxrZXl3
b3JkPipQYXRpZW50IENvbXBsaWFuY2U8L2tleXdvcmQ+PGtleXdvcmQ+UHJlZ25hbmN5PC9rZXl3
b3JkPjxrZXl3b3JkPlByZW1hdHVyZSBCaXJ0aC9wcmV2ZW50aW9uICZhbXA7IGNvbnRyb2w8L2tl
eXdvcmQ+PGtleXdvcmQ+UHJvc3BlY3RpdmUgU3R1ZGllczwva2V5d29yZD48a2V5d29yZD5TdXJ2
ZXlzIGFuZCBRdWVzdGlvbm5haXJlczwva2V5d29yZD48a2V5d29yZD5UcmVhdG1lbnQgT3V0Y29t
ZTwva2V5d29yZD48a2V5d29yZD5Zb3VuZyBBZHVsdDwva2V5d29yZD48a2V5d29yZD4qZGlhYmV0
ZXM8L2tleXdvcmQ+PGtleXdvcmQ+KmZldGFsIGdyb3d0aDwva2V5d29yZD48a2V5d29yZD4qb2Jl
c2l0eTwva2V5d29yZD48a2V5d29yZD4qcGh5c2ljYWwgYWN0aXZpdHk8L2tleXdvcmQ+PGtleXdv
cmQ+KnByZWduYW5jeSBhbmQgbnV0cml0aW9uPC9rZXl3b3JkPjxrZXl3b3JkPipwcmVnbmFuY3kg
b3V0Y29tZTwva2V5d29yZD48L2tleXdvcmRzPjxkYXRlcz48eWVhcj4yMDE3PC95ZWFyPjxwdWIt
ZGF0ZXM+PGRhdGU+SnVsPC9kYXRlPjwvcHViLWRhdGVzPjwvZGF0ZXM+PGlzYm4+MTc0MC04NzA5
IChFbGVjdHJvbmljKSYjeEQ7MTc0MC04Njk1IChMaW5raW5nKTwvaXNibj48YWNjZXNzaW9uLW51
bT4yNzY0NzgzNzwvYWNjZXNzaW9uLW51bT48dXJscz48cmVsYXRlZC11cmxzPjx1cmw+aHR0cHM6
Ly93d3cubmNiaS5ubG0ubmloLmdvdi9wdWJtZWQvMjc2NDc4Mzc8L3VybD48L3JlbGF0ZWQtdXJs
cz48L3VybHM+PGVsZWN0cm9uaWMtcmVzb3VyY2UtbnVtPjEwLjExMTEvbWNuLjEyMzMzPC9lbGVj
dHJvbmljLXJlc291cmNlLW51bT48L3JlY29yZD48L0NpdGU+PENpdGU+PEF1dGhvcj5XaWxsY294
PC9BdXRob3I+PFllYXI+MjAxNzwvWWVhcj48UmVjTnVtPjk2NTwvUmVjTnVtPjxyZWNvcmQ+PHJl
Yy1udW1iZXI+OTY1PC9yZWMtbnVtYmVyPjxmb3JlaWduLWtleXM+PGtleSBhcHA9IkVOIiBkYi1p
ZD0iZXh2YXNyZngyZHRyYW9lc2FzeHAyc3pzeGEyZGY1MDI1OTJ4IiB0aW1lc3RhbXA9IjE1NTI5
NTAwNzkiPjk2NTwva2V5PjxrZXkgYXBwPSJFTldlYiIgZGItaWQ9IiI+MDwva2V5PjwvZm9yZWln
bi1rZXlzPjxyZWYtdHlwZSBuYW1lPSJKb3VybmFsIEFydGljbGUiPjE3PC9yZWYtdHlwZT48Y29u
dHJpYnV0b3JzPjxhdXRob3JzPjxhdXRob3I+V2lsbGNveCwgSi5DLiw8L2F1dGhvcj48YXV0aG9y
PldpbGtpbnNvbiwgUy5BLiw8L2F1dGhvcj48YXV0aG9yPkxhcHBhcywgTS4sPC9hdXRob3I+PGF1
dGhvcj5CYWxsLCBLLiw8L2F1dGhvcj48YXV0aG9yPkNyYXdmb3JkLCBELiw8L2F1dGhvcj48YXV0
aG9yPk1jQ2FydGh5LCBFLkEuLDwvYXV0aG9yPjxhdXRob3I+RmplbGRzb2UsIEIuLDwvYXV0aG9y
PjwvYXV0aG9ycz48L2NvbnRyaWJ1dG9ycz48YXV0aC1hZGRyZXNzPkRlcGFydG1lbnRzIG9mIE1l
ZGljaW5lLCBQdWJsaWMgSGVhbHRoLCBhbmQgT2IvR3luLCBUZW1wbGUgVW5pdmVyc2l0eSwgUGhp
bGFkZWxwaGlhLCBQQSwgVVNBLjwvYXV0aC1hZGRyZXNzPjx0aXRsZXM+PHRpdGxlPkEgbW9iaWxl
IGhlYWx0aCBpbnRlcnZlbnRpb24gcHJvbW90aW5nIGhlYWx0aHkgZ2VzdGF0aW9uYWwgd2VpZ2h0
IGdhaW4gZm9yIHdvbWVuIGVudGVyaW5nIHByZWduYW5jeSBhdCBhIGhpZ2ggYm9keSBtYXNzIGlu
ZGV4OiB0aGUgdHh0NHR3byBwaWxvdCByYW5kb21pc2VkIGNvbnRyb2xsZWQgdHJpYWw8L3RpdGxl
PjxzZWNvbmRhcnktdGl0bGU+QkpPRzwvc2Vjb25kYXJ5LXRpdGxlPjwvdGl0bGVzPjxwZXJpb2Rp
Y2FsPjxmdWxsLXRpdGxlPkJKT0c8L2Z1bGwtdGl0bGU+PC9wZXJpb2RpY2FsPjxwYWdlcz4xNzE4
LTI4PC9wYWdlcz48dm9sdW1lPjEyNDwvdm9sdW1lPjxudW1iZXI+MTE8L251bWJlcj48ZWRpdGlv
bj4yMDE3LzA0LzIwPC9lZGl0aW9uPjxkYXRlcz48eWVhcj4yMDE3PC95ZWFyPjxwdWItZGF0ZXM+
PGRhdGU+T2N0PC9kYXRlPjwvcHViLWRhdGVzPjwvZGF0ZXM+PGlzYm4+MTQ3MS0wNTI4IChFbGVj
dHJvbmljKSYjeEQ7MTQ3MC0wMzI4IChMaW5raW5nKTwvaXNibj48YWNjZXNzaW9uLW51bT4yODQy
MjM5ODwvYWNjZXNzaW9uLW51bT48dXJscz48cmVsYXRlZC11cmxzPjx1cmw+aHR0cHM6Ly93d3cu
bmNiaS5ubG0ubmloLmdvdi9wdWJtZWQvMjg0MjIzOTg8L3VybD48L3JlbGF0ZWQtdXJscz48L3Vy
bHM+PGVsZWN0cm9uaWMtcmVzb3VyY2UtbnVtPjEwLjExMTEvMTQ3MS0wNTI4LjE0NjkzPC9lbGVj
dHJvbmljLXJlc291cmNlLW51bT48L3JlY29yZD48L0NpdGU+PENpdGU+PEF1dGhvcj5Eb2RkPC9B
dXRob3I+PFllYXI+MjAxNDwvWWVhcj48UmVjTnVtPjcxODwvUmVjTnVtPjxyZWNvcmQ+PHJlYy1u
dW1iZXI+NzE4PC9yZWMtbnVtYmVyPjxmb3JlaWduLWtleXM+PGtleSBhcHA9IkVOIiBkYi1pZD0i
ZXh2YXNyZngyZHRyYW9lc2FzeHAyc3pzeGEyZGY1MDI1OTJ4IiB0aW1lc3RhbXA9IjE1NDE0NjQw
ODgiPjcxODwva2V5PjwvZm9yZWlnbi1rZXlzPjxyZWYtdHlwZSBuYW1lPSJKb3VybmFsIEFydGlj
bGUiPjE3PC9yZWYtdHlwZT48Y29udHJpYnV0b3JzPjxhdXRob3JzPjxhdXRob3I+RG9kZCwgSi4g
TS48L2F1dGhvcj48YXV0aG9yPlR1cm5idWxsLCBELjwvYXV0aG9yPjxhdXRob3I+TWNQaGVlLCBB
LiBKLjwvYXV0aG9yPjxhdXRob3I+RGV1c3NlbiwgQS4gUi48L2F1dGhvcj48YXV0aG9yPkdyaXZl
bGwsIFIuIE0uPC9hdXRob3I+PGF1dGhvcj5ZZWxsYW5kLCBMLiBOLjwvYXV0aG9yPjxhdXRob3I+
Q3Jvd3RoZXIsIEMuIEEuPC9hdXRob3I+PGF1dGhvcj5XaXR0ZXJ0LCBHLjwvYXV0aG9yPjxhdXRo
b3I+T3dlbnMsIEouIEEuPC9hdXRob3I+PGF1dGhvcj5Sb2JpbnNvbiwgSi4gUy48L2F1dGhvcj48
YXV0aG9yPkxpbWl0IFJhbmRvbWlzZWQgVHJpYWwgR3JvdXA8L2F1dGhvcj48L2F1dGhvcnM+PC9j
b250cmlidXRvcnM+PGF1dGgtYWRkcmVzcz5Sb2JpbnNvbiBJbnN0aXR1dGUgYW5kIFNjaG9vbCBv
ZiBQYWVkaWF0cmljcyBhbmQgUmVwcm9kdWN0aXZlIEhlYWx0aCwgVW5pdmVyc2l0eSBvZiBBZGVs
YWlkZSwgNzIgS2luZyBXaWxsaWFtIFJvYWQsIE5vcnRoIEFkZWxhaWRlLCBTb3V0aCBBdXN0cmFs
aWEsIEF1c3RyYWxpYSA1MDA2LjwvYXV0aC1hZGRyZXNzPjx0aXRsZXM+PHRpdGxlPkFudGVuYXRh
bCBsaWZlc3R5bGUgYWR2aWNlIGZvciB3b21lbiB3aG8gYXJlIG92ZXJ3ZWlnaHQgb3Igb2Jlc2U6
IExJTUlUIHJhbmRvbWlzZWQgdHJpYWw8L3RpdGxlPjxzZWNvbmRhcnktdGl0bGU+Qk1KPC9zZWNv
bmRhcnktdGl0bGU+PC90aXRsZXM+PHBlcmlvZGljYWw+PGZ1bGwtdGl0bGU+Qk1KPC9mdWxsLXRp
dGxlPjwvcGVyaW9kaWNhbD48cGFnZXM+ZzEyODU8L3BhZ2VzPjx2b2x1bWU+MzQ4PC92b2x1bWU+
PGVkaXRpb24+MjAxNC8wMi8xMjwvZWRpdGlvbj48a2V5d29yZHM+PGtleXdvcmQ+QWR1bHQ8L2tl
eXdvcmQ+PGtleXdvcmQ+QmlydGggV2VpZ2h0PC9rZXl3b3JkPjxrZXl3b3JkPkRpYWJldGVzLCBH
ZXN0YXRpb25hbC9wcmV2ZW50aW9uICZhbXA7IGNvbnRyb2w8L2tleXdvcmQ+PGtleXdvcmQ+RmVt
YWxlPC9rZXl3b3JkPjxrZXl3b3JkPkZldGFsIE1hY3Jvc29taWEvcHJldmVudGlvbiAmYW1wOyBj
b250cm9sPC9rZXl3b3JkPjxrZXl3b3JkPkdlc3RhdGlvbmFsIEFnZTwva2V5d29yZD48a2V5d29y
ZD4qSGVhbHRoIFByb21vdGlvbi9tZXRob2RzPC9rZXl3b3JkPjxrZXl3b3JkPkh1bWFuczwva2V5
d29yZD48a2V5d29yZD5IeXBlcnRlbnNpb24vY29tcGxpY2F0aW9ucy9wcmV2ZW50aW9uICZhbXA7
IGNvbnRyb2w8L2tleXdvcmQ+PGtleXdvcmQ+SW5mYW50LCBOZXdib3JuPC9rZXl3b3JkPjxrZXl3
b3JkPk1hbGU8L2tleXdvcmQ+PGtleXdvcmQ+T2Jlc2l0eS8qY29tcGxpY2F0aW9ucy9wcmV2ZW50
aW9uICZhbXA7IGNvbnRyb2w8L2tleXdvcmQ+PGtleXdvcmQ+T3ZlcndlaWdodC8qY29tcGxpY2F0
aW9ucy9wcmV2ZW50aW9uICZhbXA7IGNvbnRyb2w8L2tleXdvcmQ+PGtleXdvcmQ+UHJlLUVjbGFt
cHNpYS9wcmV2ZW50aW9uICZhbXA7IGNvbnRyb2w8L2tleXdvcmQ+PGtleXdvcmQ+UHJlZ25hbmN5
PC9rZXl3b3JkPjxrZXl3b3JkPlByZWduYW5jeSBDb21wbGljYXRpb25zLypwcmV2ZW50aW9uICZh
bXA7IGNvbnRyb2w8L2tleXdvcmQ+PGtleXdvcmQ+UHJlZ25hbmN5IE91dGNvbWUvZXBpZGVtaW9s
b2d5PC9rZXl3b3JkPjxrZXl3b3JkPlJpc2sgUmVkdWN0aW9uIEJlaGF2aW9yPC9rZXl3b3JkPjxr
ZXl3b3JkPldlaWdodCBSZWR1Y3Rpb24gUHJvZ3JhbXMvbWV0aG9kczwva2V5d29yZD48L2tleXdv
cmRzPjxkYXRlcz48eWVhcj4yMDE0PC95ZWFyPjxwdWItZGF0ZXM+PGRhdGU+RmViIDEwPC9kYXRl
PjwvcHViLWRhdGVzPjwvZGF0ZXM+PGlzYm4+MTc1Ni0xODMzIChFbGVjdHJvbmljKSYjeEQ7MDk1
OS04MTM4IChMaW5raW5nKTwvaXNibj48YWNjZXNzaW9uLW51bT4yNDUxMzQ0MjwvYWNjZXNzaW9u
LW51bT48dXJscz48cmVsYXRlZC11cmxzPjx1cmw+aHR0cHM6Ly93d3cubmNiaS5ubG0ubmloLmdv
di9wdWJtZWQvMjQ1MTM0NDI8L3VybD48L3JlbGF0ZWQtdXJscz48L3VybHM+PGN1c3RvbTI+UE1D
MzkxOTE3OTwvY3VzdG9tMj48ZWxlY3Ryb25pYy1yZXNvdXJjZS1udW0+MTAuMTEzNi9ibWouZzEy
ODU8L2VsZWN0cm9uaWMtcmVzb3VyY2UtbnVtPjwvcmVjb3JkPjwvQ2l0ZT48Q2l0ZT48QXV0aG9y
PkdhbGxhZ2hlcjwvQXV0aG9yPjxZZWFyPjIwMTg8L1llYXI+PFJlY051bT43NDQ8L1JlY051bT48
cmVjb3JkPjxyZWMtbnVtYmVyPjc0NDwvcmVjLW51bWJlcj48Zm9yZWlnbi1rZXlzPjxrZXkgYXBw
PSJFTiIgZGItaWQ9ImV4dmFzcmZ4MmR0cmFvZXNhc3hwMnN6c3hhMmRmNTAyNTkyeCIgdGltZXN0
YW1wPSIxNTQxNDY3ODc5Ij43NDQ8L2tleT48a2V5IGFwcD0iRU5XZWIiIGRiLWlkPSIiPjA8L2tl
eT48L2ZvcmVpZ24ta2V5cz48cmVmLXR5cGUgbmFtZT0iSm91cm5hbCBBcnRpY2xlIj4xNzwvcmVm
LXR5cGU+PGNvbnRyaWJ1dG9ycz48YXV0aG9ycz48YXV0aG9yPkdhbGxhZ2hlciwgRHltcG5hPC9h
dXRob3I+PGF1dGhvcj5Sb3Nlbm4sIEJhcmFrPC9hdXRob3I+PGF1dGhvcj5Ub3JvLVJhbW9zLCBU
YXRpYW5hPC9hdXRob3I+PGF1dGhvcj5QYWxleSwgQ2hhcmxlczwvYXV0aG9yPjxhdXRob3I+R2lk
d2FuaSwgU29uaWE8L2F1dGhvcj48YXV0aG9yPkhvcm93aXR6LCBNaWNoZWxsZTwvYXV0aG9yPjxh
dXRob3I+Q3JhbmUsIEphbmV0PC9hdXRob3I+PGF1dGhvcj5MaW4sIFN1c2FuPC9hdXRob3I+PGF1
dGhvcj5UaG9ybnRvbiwgSm9obiBDLjwvYXV0aG9yPjxhdXRob3I+UGktU3VueWVyLCBYYXZpZXI8
L2F1dGhvcj48L2F1dGhvcnM+PC9jb250cmlidXRvcnM+PHRpdGxlcz48dGl0bGU+R3JlYXRlciBO
ZW9uYXRhbCBGYXQtRnJlZSBNYXNzIGFuZCBTaW1pbGFyIEZhdCBNYXNzIEZvbGxvd2luZyBhIFJh
bmRvbWl6ZWQgVHJpYWwgdG8gQ29udHJvbCBFeGNlc3MgR2VzdGF0aW9uYWwgV2VpZ2h0IEdhaW48
L3RpdGxlPjxzZWNvbmRhcnktdGl0bGU+T2Jlc2l0eTwvc2Vjb25kYXJ5LXRpdGxlPjwvdGl0bGVz
PjxwZXJpb2RpY2FsPjxmdWxsLXRpdGxlPk9iZXNpdHk8L2Z1bGwtdGl0bGU+PC9wZXJpb2RpY2Fs
PjxwYWdlcz41NzgtNTg3PC9wYWdlcz48dm9sdW1lPjI2PC92b2x1bWU+PG51bWJlcj4zPC9udW1i
ZXI+PHNlY3Rpb24+NTc4PC9zZWN0aW9uPjxkYXRlcz48eWVhcj4yMDE4PC95ZWFyPjwvZGF0ZXM+
PGlzYm4+MTkzMDczODE8L2lzYm4+PHVybHM+PC91cmxzPjxlbGVjdHJvbmljLXJlc291cmNlLW51
bT4xMC4xMDAyL29ieS4yMjA3OTwvZWxlY3Ryb25pYy1yZXNvdXJjZS1udW0+PC9yZWNvcmQ+PC9D
aXRlPjxDaXRlPjxBdXRob3I+SGF3a2luczwvQXV0aG9yPjxZZWFyPjIwMTU8L1llYXI+PFJlY051
bT43MjY8L1JlY051bT48cmVjb3JkPjxyZWMtbnVtYmVyPjcyNjwvcmVjLW51bWJlcj48Zm9yZWln
bi1rZXlzPjxrZXkgYXBwPSJFTiIgZGItaWQ9ImV4dmFzcmZ4MmR0cmFvZXNhc3hwMnN6c3hhMmRm
NTAyNTkyeCIgdGltZXN0YW1wPSIxNTQxNDY1MzIyIj43MjY8L2tleT48L2ZvcmVpZ24ta2V5cz48
cmVmLXR5cGUgbmFtZT0iSm91cm5hbCBBcnRpY2xlIj4xNzwvcmVmLXR5cGU+PGNvbnRyaWJ1dG9y
cz48YXV0aG9ycz48YXV0aG9yPkhhd2tpbnMsIE0uPC9hdXRob3I+PGF1dGhvcj5Ib3NrZXIsIE0u
PC9hdXRob3I+PGF1dGhvcj5NYXJjdXMsIEIuIEguPC9hdXRob3I+PGF1dGhvcj5Sb3NhbCwgTS4g
Qy48L2F1dGhvcj48YXV0aG9yPkJyYXVuLCBCLjwvYXV0aG9yPjxhdXRob3I+U3RhbmVrLCBFLiBK
LiwgM3JkPC9hdXRob3I+PGF1dGhvcj5NYXJrZW5zb24sIEcuPC9hdXRob3I+PGF1dGhvcj5DaGFz
YW4tVGFiZXIsIEwuPC9hdXRob3I+PC9hdXRob3JzPjwvY29udHJpYnV0b3JzPjxhdXRoLWFkZHJl
c3M+RGl2aXNpb24gb2YgQmlvc3RhdGlzdGljcyBhbmQgRXBpZGVtaW9sb2d5LCBEZXBhcnRtZW50
IG9mIFB1YmxpYyBIZWFsdGgsIFNjaG9vbCBvZiBQdWJsaWMgSGVhbHRoIGFuZCBIZWFsdGggU2Np
ZW5jZXMsIFVuaXZlcnNpdHkgb2YgTWFzc2FjaHVzZXR0cywgQW1oZXJzdCwgTUEsIFVTQS48L2F1
dGgtYWRkcmVzcz48dGl0bGVzPjx0aXRsZT5BIHByZWduYW5jeSBsaWZlc3R5bGUgaW50ZXJ2ZW50
aW9uIHRvIHByZXZlbnQgZ2VzdGF0aW9uYWwgZGlhYmV0ZXMgcmlzayBmYWN0b3JzIGluIG92ZXJ3
ZWlnaHQgSGlzcGFuaWMgd29tZW46IGEgZmVhc2liaWxpdHkgcmFuZG9taXplZCBjb250cm9sbGVk
IHRyaWFsPC90aXRsZT48c2Vjb25kYXJ5LXRpdGxlPkRpYWJldCBNZWQ8L3NlY29uZGFyeS10aXRs
ZT48L3RpdGxlcz48cGVyaW9kaWNhbD48ZnVsbC10aXRsZT5EaWFiZXQgTWVkPC9mdWxsLXRpdGxl
PjwvcGVyaW9kaWNhbD48cGFnZXM+MTA4LTE1PC9wYWdlcz48dm9sdW1lPjMyPC92b2x1bWU+PG51
bWJlcj4xPC9udW1iZXI+PGVkaXRpb24+MjAxNC8xMC8xNDwvZWRpdGlvbj48a2V5d29yZHM+PGtl
eXdvcmQ+QWR1bHQ8L2tleXdvcmQ+PGtleXdvcmQ+QmlydGggV2VpZ2h0PC9rZXl3b3JkPjxrZXl3
b3JkPkRpYWJldGVzLCBHZXN0YXRpb25hbC8qcHJldmVudGlvbiAmYW1wOyBjb250cm9sPC9rZXl3
b3JkPjxrZXl3b3JkPkRpZXQ8L2tleXdvcmQ+PGtleXdvcmQ+RXhlcmNpc2U8L2tleXdvcmQ+PGtl
eXdvcmQ+RmVhc2liaWxpdHkgU3R1ZGllczwva2V5d29yZD48a2V5d29yZD5GZWVkaW5nIEJlaGF2
aW9yPC9rZXl3b3JkPjxrZXl3b3JkPkZlbWFsZTwva2V5d29yZD48a2V5d29yZD5IaXNwYW5pYyBB
bWVyaWNhbnMvKnN0YXRpc3RpY3MgJmFtcDsgbnVtZXJpY2FsIGRhdGE8L2tleXdvcmQ+PGtleXdv
cmQ+SHVtYW5zPC9rZXl3b3JkPjxrZXl3b3JkPkluZmFudCwgTmV3Ym9ybjwva2V5d29yZD48a2V5
d29yZD5NYWxlPC9rZXl3b3JkPjxrZXl3b3JkPk92ZXJ3ZWlnaHQvY29tcGxpY2F0aW9ucy8qcHJl
dmVudGlvbiAmYW1wOyBjb250cm9sPC9rZXl3b3JkPjxrZXl3b3JkPlBhdGllbnQgQ29tcGxpYW5j
ZTwva2V5d29yZD48a2V5d29yZD5QcmVnbmFuY3k8L2tleXdvcmQ+PGtleXdvcmQ+UHJlbmF0YWwg
Q2FyZTwva2V5d29yZD48a2V5d29yZD4qUHJpbWFyeSBQcmV2ZW50aW9uPC9rZXl3b3JkPjxrZXl3
b3JkPlJpc2sgRmFjdG9yczwva2V5d29yZD48a2V5d29yZD4qUmlzayBSZWR1Y3Rpb24gQmVoYXZp
b3I8L2tleXdvcmQ+PGtleXdvcmQ+VHJlYXRtZW50IE91dGNvbWU8L2tleXdvcmQ+PGtleXdvcmQ+
VW5pdGVkIFN0YXRlcy9lcGlkZW1pb2xvZ3k8L2tleXdvcmQ+PGtleXdvcmQ+V2VpZ2h0IEdhaW48
L2tleXdvcmQ+PC9rZXl3b3Jkcz48ZGF0ZXM+PHllYXI+MjAxNTwveWVhcj48cHViLWRhdGVzPjxk
YXRlPkphbjwvZGF0ZT48L3B1Yi1kYXRlcz48L2RhdGVzPjxpc2JuPjE0NjQtNTQ5MSAoRWxlY3Ry
b25pYykmI3hEOzA3NDItMzA3MSAoTGlua2luZyk8L2lzYm4+PGFjY2Vzc2lvbi1udW0+MjUzMDY5
MjU8L2FjY2Vzc2lvbi1udW0+PHVybHM+PHJlbGF0ZWQtdXJscz48dXJsPmh0dHBzOi8vd3d3Lm5j
YmkubmxtLm5paC5nb3YvcHVibWVkLzI1MzA2OTI1PC91cmw+PC9yZWxhdGVkLXVybHM+PC91cmxz
PjxlbGVjdHJvbmljLXJlc291cmNlLW51bT4xMC4xMTExL2RtZS4xMjYwMTwvZWxlY3Ryb25pYy1y
ZXNvdXJjZS1udW0+PC9yZWNvcmQ+PC9DaXRlPjxDaXRlPjxBdXRob3I+UGV0cmVsbGE8L0F1dGhv
cj48WWVhcj4yMDEzPC9ZZWFyPjxSZWNOdW0+NzUxPC9SZWNOdW0+PHJlY29yZD48cmVjLW51bWJl
cj43NTE8L3JlYy1udW1iZXI+PGZvcmVpZ24ta2V5cz48a2V5IGFwcD0iRU4iIGRiLWlkPSJleHZh
c3JmeDJkdHJhb2VzYXN4cDJzenN4YTJkZjUwMjU5MngiIHRpbWVzdGFtcD0iMTU0MTQ2NzkzMSI+
NzUxPC9rZXk+PGtleSBhcHA9IkVOV2ViIiBkYi1pZD0iIj4wPC9rZXk+PC9mb3JlaWduLWtleXM+
PHJlZi10eXBlIG5hbWU9IkpvdXJuYWwgQXJ0aWNsZSI+MTc8L3JlZi10eXBlPjxjb250cmlidXRv
cnM+PGF1dGhvcnM+PGF1dGhvcj5QZXRyZWxsYSwgRS48L2F1dGhvcj48YXV0aG9yPk1hbGF2b2x0
aSwgTS48L2F1dGhvcj48YXV0aG9yPkJlcnRhcmluaSwgVi48L2F1dGhvcj48YXV0aG9yPlBpZ25h
dHRpLCBMLjwvYXV0aG9yPjxhdXRob3I+TmVyaSwgSS48L2F1dGhvcj48YXV0aG9yPkJhdHRpc3Rp
bmksIE4uIEMuPC9hdXRob3I+PGF1dGhvcj5GYWNjaGluZXR0aSwgRi48L2F1dGhvcj48L2F1dGhv
cnM+PC9jb250cmlidXRvcnM+PHRpdGxlcz48dGl0bGU+R2VzdGF0aW9uYWwgd2VpZ2h0IGdhaW4g
aW4gb3ZlcndlaWdodCBhbmQgb2Jlc2Ugd29tZW4gZW5yb2xsZWQgaW4gYSBoZWFsdGh5IGxpZmVz
dHlsZSBhbmQgZWF0aW5nIGhhYml0cyBwcm9ncmFtPC90aXRsZT48c2Vjb25kYXJ5LXRpdGxlPkog
TWF0ZXJuYWwtRmV0YWwgJmFtcDsgTmVvbmF0YWwgTWVkPC9zZWNvbmRhcnktdGl0bGU+PC90aXRs
ZXM+PHBlcmlvZGljYWw+PGZ1bGwtdGl0bGU+SiBNYXRlcm5hbC1GZXRhbCAmYW1wOyBOZW9uYXRh
bCBNZWQ8L2Z1bGwtdGl0bGU+PC9wZXJpb2RpY2FsPjxwYWdlcz4xMzQ4LTEzNTI8L3BhZ2VzPjx2
b2x1bWU+Mjc8L3ZvbHVtZT48bnVtYmVyPjEzPC9udW1iZXI+PHNlY3Rpb24+MTM0ODwvc2VjdGlv
bj48ZGF0ZXM+PHllYXI+MjAxMzwveWVhcj48L2RhdGVzPjxpc2JuPjE0NzYtNzA1OCYjeEQ7MTQ3
Ni00OTU0PC9pc2JuPjx1cmxzPjwvdXJscz48ZWxlY3Ryb25pYy1yZXNvdXJjZS1udW0+MTAuMzEw
OS8xNDc2NzA1OC4yMDEzLjg1ODMxODwvZWxlY3Ryb25pYy1yZXNvdXJjZS1udW0+PC9yZWNvcmQ+
PC9DaXRlPjxDaXRlPjxBdXRob3I+VmFuIEhvcm48L0F1dGhvcj48WWVhcj4yMDE4PC9ZZWFyPjxS
ZWNOdW0+MTM3NjwvUmVjTnVtPjxyZWNvcmQ+PHJlYy1udW1iZXI+MTM3NjwvcmVjLW51bWJlcj48
Zm9yZWlnbi1rZXlzPjxrZXkgYXBwPSJFTiIgZGItaWQ9ImV4dmFzcmZ4MmR0cmFvZXNhc3hwMnN6
c3hhMmRmNTAyNTkyeCIgdGltZXN0YW1wPSIxNTY3MDM1OTg3Ij4xMzc2PC9rZXk+PGtleSBhcHA9
IkVOV2ViIiBkYi1pZD0iIj4wPC9rZXk+PC9mb3JlaWduLWtleXM+PHJlZi10eXBlIG5hbWU9Ikpv
dXJuYWwgQXJ0aWNsZSI+MTc8L3JlZi10eXBlPjxjb250cmlidXRvcnM+PGF1dGhvcnM+PGF1dGhv
cj5WYW4gSG9ybiwgTC48L2F1dGhvcj48YXV0aG9yPlBlYWNlbWFuLCBBLjwvYXV0aG9yPjxhdXRo
b3I+S3dhc255LCBNLjwvYXV0aG9yPjxhdXRob3I+VmluY2VudCwgRS48L2F1dGhvcj48YXV0aG9y
PkZvdWdodCwgQS48L2F1dGhvcj48YXV0aG9yPkpvc2Vmc29uLCBKLjwvYXV0aG9yPjxhdXRob3I+
U3ByaW5nLCBCLjwvYXV0aG9yPjxhdXRob3I+TmVmZiwgTC4gTS48L2F1dGhvcj48YXV0aG9yPkdl
cm5ob2ZlciwgTi48L2F1dGhvcj48L2F1dGhvcnM+PC9jb250cmlidXRvcnM+PGF1dGgtYWRkcmVz
cz5EZXBhcnRtZW50IG9mIFByZXZlbnRpdmUgTWVkaWNpbmUsIE5vcnRod2VzdGVybiBVbml2ZXJz
aXR5IEZlaW5iZXJnIFNjaG9vbCBvZiBNZWRpY2luZSwgQ2hpY2FnbywgSWxsaW5vaXMuIEVsZWN0
cm9uaWMgYWRkcmVzczogbHZhbmhvcm5Abm9ydGh3ZXN0ZXJuLmVkdS4mI3hEO0RlcGFydG1lbnQg
b2YgT2JzdGV0cmljcyBhbmQgR3luZWNvbG9neSwgTm9ydGh3ZXN0ZXJuIFVuaXZlcnNpdHkgRmVp
bmJlcmcgU2Nob29sIG9mIE1lZGljaW5lLCBDaGljYWdvLCBJbGxpbm9pcy4mI3hEO0RlcGFydG1l
bnQgb2YgUHJldmVudGl2ZSBNZWRpY2luZSwgTm9ydGh3ZXN0ZXJuIFVuaXZlcnNpdHkgRmVpbmJl
cmcgU2Nob29sIG9mIE1lZGljaW5lLCBDaGljYWdvLCBJbGxpbm9pcy4mI3hEO0RlcGFydG1lbnQg
b2YgUHJldmVudGl2ZSBNZWRpY2luZSwgTm9ydGh3ZXN0ZXJuIFVuaXZlcnNpdHkgRmVpbmJlcmcg
U2Nob29sIG9mIE1lZGljaW5lLCBDaGljYWdvLCBJbGxpbm9pczsgQW5uIGFuZCBSb2JlcnQgSC4g
THVyaWUgQ2hpbGRyZW4mYXBvcztzIEhvc3BpdGFsIG9mIENoaWNhZ28sIENoaWNhZ28sIElsbGlu
b2lzLiYjeEQ7RGVwYXJ0bWVudCBvZiBNZWRpY2luZSwgTm9ydGh3ZXN0ZXJuIFVuaXZlcnNpdHkg
RmVpbmJlcmcgU2Nob29sIG9mIE1lZGljaW5lLCBDaGljYWdvLCBJbGxpbm9pcy48L2F1dGgtYWRk
cmVzcz48dGl0bGVzPjx0aXRsZT5EaWV0YXJ5IEFwcHJvYWNoZXMgdG8gU3RvcCBIeXBlcnRlbnNp
b24gRGlldCBhbmQgQWN0aXZpdHkgdG8gTGltaXQgR2VzdGF0aW9uYWwgV2VpZ2h0OiBNYXRlcm5h
bCBPZmZzcHJpbmcgTWV0YWJvbGljcyBGYW1pbHkgSW50ZXJ2ZW50aW9uIFRyaWFsLCBhIFRlY2hu
b2xvZ3kgRW5oYW5jZWQgUmFuZG9taXplZCBUcmlhbDwvdGl0bGU+PHNlY29uZGFyeS10aXRsZT5B
bSBKIFByZXYgTWVkPC9zZWNvbmRhcnktdGl0bGU+PC90aXRsZXM+PHBlcmlvZGljYWw+PGZ1bGwt
dGl0bGU+QW0gSiBQcmV2IE1lZDwvZnVsbC10aXRsZT48L3BlcmlvZGljYWw+PHBhZ2VzPjYwMy02
MTQ8L3BhZ2VzPjx2b2x1bWU+NTU8L3ZvbHVtZT48bnVtYmVyPjU8L251bWJlcj48ZWRpdGlvbj4y
MDE4LzA5LzI5PC9lZGl0aW9uPjxkYXRlcz48eWVhcj4yMDE4PC95ZWFyPjxwdWItZGF0ZXM+PGRh
dGU+Tm92PC9kYXRlPjwvcHViLWRhdGVzPjwvZGF0ZXM+PGlzYm4+MTg3My0yNjA3IChFbGVjdHJv
bmljKSYjeEQ7MDc0OS0zNzk3IChMaW5raW5nKTwvaXNibj48YWNjZXNzaW9uLW51bT4zMDI2MjE0
ODwvYWNjZXNzaW9uLW51bT48dXJscz48cmVsYXRlZC11cmxzPjx1cmw+aHR0cHM6Ly93d3cubmNi
aS5ubG0ubmloLmdvdi9wdWJtZWQvMzAyNjIxNDg8L3VybD48L3JlbGF0ZWQtdXJscz48L3VybHM+
PGVsZWN0cm9uaWMtcmVzb3VyY2UtbnVtPjEwLjEwMTYvai5hbWVwcmUuMjAxOC4wNi4wMTU8L2Vs
ZWN0cm9uaWMtcmVzb3VyY2UtbnVtPjwvcmVjb3JkPjwvQ2l0ZT48Q2l0ZT48QXV0aG9yPktlbm5l
bGx5PC9BdXRob3I+PFllYXI+MjAxODwvWWVhcj48UmVjTnVtPjEzNzg8L1JlY051bT48cmVjb3Jk
PjxyZWMtbnVtYmVyPjEzNzg8L3JlYy1udW1iZXI+PGZvcmVpZ24ta2V5cz48a2V5IGFwcD0iRU4i
IGRiLWlkPSJleHZhc3JmeDJkdHJhb2VzYXN4cDJzenN4YTJkZjUwMjU5MngiIHRpbWVzdGFtcD0i
MTU2NzA1NDM5NyI+MTM3ODwva2V5PjxrZXkgYXBwPSJFTldlYiIgZGItaWQ9IiI+MDwva2V5Pjwv
Zm9yZWlnbi1rZXlzPjxyZWYtdHlwZSBuYW1lPSJKb3VybmFsIEFydGljbGUiPjE3PC9yZWYtdHlw
ZT48Y29udHJpYnV0b3JzPjxhdXRob3JzPjxhdXRob3I+S2VubmVsbHksIE0uIEEuPC9hdXRob3I+
PGF1dGhvcj5BaW5zY291Z2gsIEsuPC9hdXRob3I+PGF1dGhvcj5MaW5kc2F5LCBLLiBMLjwvYXV0
aG9yPjxhdXRob3I+TyZhcG9zO1N1bGxpdmFuLCBFLjwvYXV0aG9yPjxhdXRob3I+R2libmV5LCBF
LiBSLjwvYXV0aG9yPjxhdXRob3I+TWNDYXJ0aHksIE0uPC9hdXRob3I+PGF1dGhvcj5TZWd1cmFk
bywgUi48L2F1dGhvcj48YXV0aG9yPkRlVml0bywgRy48L2F1dGhvcj48YXV0aG9yPk1hZ3VpcmUs
IE8uPC9hdXRob3I+PGF1dGhvcj5TbWl0aCwgVC48L2F1dGhvcj48YXV0aG9yPkhhdHVuaWMsIE0u
PC9hdXRob3I+PGF1dGhvcj5NY0F1bGlmZmUsIEYuIE0uPC9hdXRob3I+PC9hdXRob3JzPjwvY29u
dHJpYnV0b3JzPjxhdXRoLWFkZHJlc3M+VUNEIFBlcmluYXRhbCBSZXNlYXJjaCBDZW50cmUsIE9i
c3RldHJpY3MgYW5kIEd5bmFlY29sb2d5LCBTY2hvb2wgb2YgTWVkaWNpbmUsIHRoZSBVQ0QgSW5z
dGl0dXRlIG9mIEZvb2QgYW5kIEhlYWx0aCwgVUNEIENTVEFSLCBhbmQgdGhlIFNjaG9vbCBvZiBQ
dWJsaWMgSGVhbHRoLCBQaHlzaWNhbCAmYW1wOyBTcG9ydHMgU2NpZW5jZXMsIEhlYWx0aCBTY2ll
bmNlcyBDZW50cmUsIFVuaXZlcnNpdHkgQ29sbGVnZSBEdWJsaW4sIER1YmxpbiwgdGhlIERlcGFy
dG1lbnQgb2YgTWFuYWdlbWVudCAmYW1wOyBNYXJrZXRpbmcsIFVuaXZlcnNpdHkgQ29sbGVnZSBD
b3JrLCBDb3JrLCBhbmQgdGhlIERlcGFydG1lbnQgb2YgRW5kb2NyaW5vbG9neSwgU3QuIFZpbmNl
bnQmYXBvcztzIFVuaXZlcnNpdHkgSG9zcGl0YWwsIGFuZCB0aGUgRGVwYXJ0bWVudCBvZiBFbmRv
Y3Jpbm9sb2d5LCBOYXRpb25hbCBNYXRlcm5pdHkgSG9zcGl0YWwsIER1YmxpbiwgSXJlbGFuZC48
L2F1dGgtYWRkcmVzcz48dGl0bGVzPjx0aXRsZT5QcmVnbmFuY3kgRXhlcmNpc2UgYW5kIE51dHJp
dGlvbiBXaXRoIFNtYXJ0cGhvbmUgQXBwbGljYXRpb24gU3VwcG9ydDogQSBSYW5kb21pemVkIENv
bnRyb2xsZWQgVHJpYWw8L3RpdGxlPjxzZWNvbmRhcnktdGl0bGU+T2JzdGV0IEd5bmVjb2w8L3Nl
Y29uZGFyeS10aXRsZT48L3RpdGxlcz48cGVyaW9kaWNhbD48ZnVsbC10aXRsZT5PYnN0ZXQgR3lu
ZWNvbDwvZnVsbC10aXRsZT48L3BlcmlvZGljYWw+PHBhZ2VzPjgxOC04MjY8L3BhZ2VzPjx2b2x1
bWU+MTMxPC92b2x1bWU+PG51bWJlcj41PC9udW1iZXI+PGVkaXRpb24+MjAxOC8wNC8xMDwvZWRp
dGlvbj48a2V5d29yZHM+PGtleXdvcmQ+QWR1bHQ8L2tleXdvcmQ+PGtleXdvcmQ+QmVoYXZpb3Ig
Q29udHJvbC8qbWV0aG9kczwva2V5d29yZD48a2V5d29yZD5Cb2R5IE1hc3MgSW5kZXg8L2tleXdv
cmQ+PGtleXdvcmQ+KkRpYWJldGVzLCBHZXN0YXRpb25hbC9kaWFnbm9zaXMvZXBpZGVtaW9sb2d5
L3ByZXZlbnRpb24gJmFtcDsgY29udHJvbC9wc3ljaG9sb2d5PC9rZXl3b3JkPjxrZXl3b3JkPkV4
ZXJjaXNlL3BoeXNpb2xvZ3kvKnBzeWNob2xvZ3k8L2tleXdvcmQ+PGtleXdvcmQ+RmVtYWxlPC9r
ZXl3b3JkPjxrZXl3b3JkPkhlYWx0aCBCZWhhdmlvcjwva2V5d29yZD48a2V5d29yZD5IZWFsdGh5
IExpZmVzdHlsZTwva2V5d29yZD48a2V5d29yZD5IdW1hbnM8L2tleXdvcmQ+PGtleXdvcmQ+SW5j
aWRlbmNlPC9rZXl3b3JkPjxrZXl3b3JkPk1vYmlsZSBBcHBsaWNhdGlvbnM8L2tleXdvcmQ+PGtl
eXdvcmQ+Kk9iZXNpdHkvZGlhZ25vc2lzL3BzeWNob2xvZ3kvdGhlcmFweTwva2V5d29yZD48a2V5
d29yZD5QcmVnbmFuY3k8L2tleXdvcmQ+PGtleXdvcmQ+KlByZWduYW5jeSBDb21wbGljYXRpb25z
L2RpYWdub3Npcy9wc3ljaG9sb2d5L3RoZXJhcHk8L2tleXdvcmQ+PGtleXdvcmQ+UHJlZ25hbmN5
IE91dGNvbWUvZXBpZGVtaW9sb2d5PC9rZXl3b3JkPjxrZXl3b3JkPlByZW5hdGFsIENhcmUvbWV0
aG9kczwva2V5d29yZD48a2V5d29yZD5QcmVuYXRhbCBOdXRyaXRpb25hbCBQaHlzaW9sb2dpY2Fs
IFBoZW5vbWVuYS8qcGh5c2lvbG9neTwva2V5d29yZD48a2V5d29yZD4qU21hcnRwaG9uZTwva2V5
d29yZD48L2tleXdvcmRzPjxkYXRlcz48eWVhcj4yMDE4PC95ZWFyPjxwdWItZGF0ZXM+PGRhdGU+
TWF5PC9kYXRlPjwvcHViLWRhdGVzPjwvZGF0ZXM+PGlzYm4+MTg3My0yMzNYIChFbGVjdHJvbmlj
KSYjeEQ7MDAyOS03ODQ0IChMaW5raW5nKTwvaXNibj48YWNjZXNzaW9uLW51bT4yOTYzMDAwOTwv
YWNjZXNzaW9uLW51bT48dXJscz48cmVsYXRlZC11cmxzPjx1cmw+aHR0cHM6Ly93d3cubmNiaS5u
bG0ubmloLmdvdi9wdWJtZWQvMjk2MzAwMDk8L3VybD48L3JlbGF0ZWQtdXJscz48L3VybHM+PGVs
ZWN0cm9uaWMtcmVzb3VyY2UtbnVtPjEwLjEwOTcvQU9HLjAwMDAwMDAwMDAwMDI1ODI8L2VsZWN0
cm9uaWMtcmVzb3VyY2UtbnVtPjwvcmVjb3JkPjwvQ2l0ZT48Q2l0ZT48QXV0aG9yPkFsdGF6YW48
L0F1dGhvcj48WWVhcj4yMDE5PC9ZZWFyPjxSZWNOdW0+MTM3OTwvUmVjTnVtPjxyZWNvcmQ+PHJl
Yy1udW1iZXI+MTM3OTwvcmVjLW51bWJlcj48Zm9yZWlnbi1rZXlzPjxrZXkgYXBwPSJFTiIgZGIt
aWQ9ImV4dmFzcmZ4MmR0cmFvZXNhc3hwMnN6c3hhMmRmNTAyNTkyeCIgdGltZXN0YW1wPSIxNTY3
MDYxNTE0Ij4xMzc5PC9rZXk+PGtleSBhcHA9IkVOV2ViIiBkYi1pZD0iIj4wPC9rZXk+PC9mb3Jl
aWduLWtleXM+PHJlZi10eXBlIG5hbWU9IkpvdXJuYWwgQXJ0aWNsZSI+MTc8L3JlZi10eXBlPjxj
b250cmlidXRvcnM+PGF1dGhvcnM+PGF1dGhvcj5BbHRhemFuLCBBLiBELjwvYXV0aG9yPjxhdXRo
b3I+UmVkbWFuLCBMLiBNLjwvYXV0aG9yPjxhdXRob3I+QnVydG9uLCBKLiBILjwvYXV0aG9yPjxh
dXRob3I+QmV5bCwgUi4gQS48L2F1dGhvcj48YXV0aG9yPkNhaW4sIEwuIEUuPC9hdXRob3I+PGF1
dGhvcj5TdXR0b24sIEUuIEYuPC9hdXRob3I+PGF1dGhvcj5NYXJ0aW4sIEMuIEsuPC9hdXRob3I+
PC9hdXRob3JzPjwvY29udHJpYnV0b3JzPjxhdXRoLWFkZHJlc3M+UGVubmluZ3RvbiBCaW9tZWRp
Y2FsIFJlc2VhcmNoIENlbnRlciwgTG91aXNpYW5hIFN0YXRlIFVuaXZlcnNpdHksIDY0MDAgUGVy
a2lucyBSb2FkLCBCYXRvbiBSb3VnZSwgTEEsIDcwODA4LCBVU0EuJiN4RDtQZW5uaW5ndG9uIEJp
b21lZGljYWwgUmVzZWFyY2ggQ2VudGVyLCBMb3Vpc2lhbmEgU3RhdGUgVW5pdmVyc2l0eSwgNjQw
MCBQZXJraW5zIFJvYWQsIEJhdG9uIFJvdWdlLCBMQSwgNzA4MDgsIFVTQS4gY29yYnkubWFydGlu
QHBicmMuZWR1LjwvYXV0aC1hZGRyZXNzPjx0aXRsZXM+PHRpdGxlPk1vb2QgYW5kIHF1YWxpdHkg
b2YgbGlmZSBjaGFuZ2VzIGluIHByZWduYW5jeSBhbmQgcG9zdHBhcnR1bSBhbmQgdGhlIGVmZmVj
dCBvZiBhIGJlaGF2aW9yYWwgaW50ZXJ2ZW50aW9uIHRhcmdldGluZyBleGNlc3MgZ2VzdGF0aW9u
YWwgd2VpZ2h0IGdhaW4gaW4gd29tZW4gd2l0aCBvdmVyd2VpZ2h0IGFuZCBvYmVzaXR5OiBhIHBh
cmFsbGVsLWFybSByYW5kb21pemVkIGNvbnRyb2xsZWQgcGlsb3QgdHJpYWw8L3RpdGxlPjxzZWNv
bmRhcnktdGl0bGU+Qk1DIFByZWduYW5jeSBDaGlsZGJpcnRoPC9zZWNvbmRhcnktdGl0bGU+PC90
aXRsZXM+PHBlcmlvZGljYWw+PGZ1bGwtdGl0bGU+Qk1DIFByZWduYW5jeSBDaGlsZGJpcnRoPC9m
dWxsLXRpdGxlPjwvcGVyaW9kaWNhbD48cGFnZXM+NTA8L3BhZ2VzPjx2b2x1bWU+MTk8L3ZvbHVt
ZT48bnVtYmVyPjE8L251bWJlcj48ZWRpdGlvbj4yMDE5LzAxLzMxPC9lZGl0aW9uPjxrZXl3b3Jk
cz48a2V5d29yZD5BZHVsdDwva2V5d29yZD48a2V5d29yZD5CZWhhdmlvciBUaGVyYXB5LyptZXRo
b2RzPC9rZXl3b3JkPjxrZXl3b3JkPkZlbWFsZTwva2V5d29yZD48a2V5d29yZD4qR2VzdGF0aW9u
YWwgV2VpZ2h0IEdhaW48L2tleXdvcmQ+PGtleXdvcmQ+SHVtYW5zPC9rZXl3b3JkPjxrZXl3b3Jk
PkxpZmUgU3R5bGU8L2tleXdvcmQ+PGtleXdvcmQ+T3ZlcndlaWdodC8qcHJldmVudGlvbiAmYW1w
OyBjb250cm9sPC9rZXl3b3JkPjxrZXl3b3JkPlBpbG90IFByb2plY3RzPC9rZXl3b3JkPjxrZXl3
b3JkPlByZWduYW5jeTwva2V5d29yZD48a2V5d29yZD5QcmVuYXRhbCBDYXJlLyptZXRob2RzPC9r
ZXl3b3JkPjxrZXl3b3JkPlF1YWxpdHkgb2YgTGlmZS8qcHN5Y2hvbG9neTwva2V5d29yZD48a2V5
d29yZD5UcmVhdG1lbnQgT3V0Y29tZTwva2V5d29yZD48a2V5d29yZD5XZWlnaHQgR2Fpbjwva2V5
d29yZD48a2V5d29yZD5HZXN0YXRpb25hbCB3ZWlnaHQgZ2Fpbjwva2V5d29yZD48a2V5d29yZD5N
ZW50YWwgaGVhbHRoPC9rZXl3b3JkPjxrZXl3b3JkPlF1YWxpdHkgb2YgbGlmZTwva2V5d29yZD48
L2tleXdvcmRzPjxkYXRlcz48eWVhcj4yMDE5PC95ZWFyPjxwdWItZGF0ZXM+PGRhdGU+SmFuIDI5
PC9kYXRlPjwvcHViLWRhdGVzPjwvZGF0ZXM+PGlzYm4+MTQ3MS0yMzkzIChFbGVjdHJvbmljKSYj
eEQ7MTQ3MS0yMzkzIChMaW5raW5nKTwvaXNibj48YWNjZXNzaW9uLW51bT4zMDY5NjQwODwvYWNj
ZXNzaW9uLW51bT48dXJscz48cmVsYXRlZC11cmxzPjx1cmw+aHR0cHM6Ly93d3cubmNiaS5ubG0u
bmloLmdvdi9wdWJtZWQvMzA2OTY0MDg8L3VybD48L3JlbGF0ZWQtdXJscz48L3VybHM+PGN1c3Rv
bTI+UE1DNjM1MjM1MjwvY3VzdG9tMj48ZWxlY3Ryb25pYy1yZXNvdXJjZS1udW0+MTAuMTE4Ni9z
MTI4ODQtMDE5LTIxOTYtODwvZWxlY3Ryb25pYy1yZXNvdXJjZS1udW0+PC9yZWNvcmQ+PC9DaXRl
PjxDaXRlPjxBdXRob3I+UGhlbGFuPC9BdXRob3I+PFllYXI+MjAxODwvWWVhcj48UmVjTnVtPjEz
ODY8L1JlY051bT48cmVjb3JkPjxyZWMtbnVtYmVyPjEzODY8L3JlYy1udW1iZXI+PGZvcmVpZ24t
a2V5cz48a2V5IGFwcD0iRU4iIGRiLWlkPSJleHZhc3JmeDJkdHJhb2VzYXN4cDJzenN4YTJkZjUw
MjU5MngiIHRpbWVzdGFtcD0iMTU2NzM4MjQ4NSI+MTM4Njwva2V5PjwvZm9yZWlnbi1rZXlzPjxy
ZWYtdHlwZSBuYW1lPSJKb3VybmFsIEFydGljbGUiPjE3PC9yZWYtdHlwZT48Y29udHJpYnV0b3Jz
PjxhdXRob3JzPjxhdXRob3I+UGhlbGFuLCBTLjwvYXV0aG9yPjxhdXRob3I+V2luZywgUi4gUi48
L2F1dGhvcj48YXV0aG9yPkJyYW5uZW4sIEEuPC9hdXRob3I+PGF1dGhvcj5NY0h1Z2gsIEEuPC9h
dXRob3I+PGF1dGhvcj5IYWdvYmlhbiwgVC4gQS48L2F1dGhvcj48YXV0aG9yPlNjaGFmZm5lciwg
QS48L2F1dGhvcj48YXV0aG9yPkplbGFsaWFuLCBFLjwvYXV0aG9yPjxhdXRob3I+SGFydCwgQy4g
Ti48L2F1dGhvcj48YXV0aG9yPlNjaG9sbCwgVC4gTy48L2F1dGhvcj48YXV0aG9yPk11bm96LUNo
cmlzdGlhbiwgSy48L2F1dGhvcj48YXV0aG9yPllpbiwgRS48L2F1dGhvcj48YXV0aG9yPlBoaXBw
cywgTS4gRy48L2F1dGhvcj48YXV0aG9yPktlYWRsZSwgUy48L2F1dGhvcj48YXV0aG9yPkFicmFt
cywgQi48L2F1dGhvcj48L2F1dGhvcnM+PC9jb250cmlidXRvcnM+PGF1dGgtYWRkcmVzcz5EZXBh
cnRtZW50cyBvZiBLaW5lc2lvbG9neSwgU3RhdGlzdGljcywgYW5kIE1vZGVybiBMYW5ndWFnZXMs
IENhbGlmb3JuaWEgUG9seXRlY2huaWMgU3RhdGUgVW5pdmVyc2l0eSwgU2FuIEx1aXMgT2Jpc3Bv
LCBDQS4mI3hEO0RlcGFydG1lbnQgb2YgUHN5Y2hpYXRyeSBhbmQgSHVtYW4gQmVoYXZpb3IsIFdh
cnJlbiBBbHBlcnQgTWVkaWNhbCBTY2hvb2wgYXQgQnJvd24gVW5pdmVyc2l0eSwgUHJvdmlkZW5j
ZSwgUkkuJiN4RDtEZXBhcnRtZW50cyBvZiBTdGF0aXN0aWNzLCBhbmQgTW9kZXJuIExhbmd1YWdl
cywgQ2FsaWZvcm5pYSBQb2x5dGVjaG5pYyBTdGF0ZSBVbml2ZXJzaXR5LCBTYW4gTHVpcyBPYmlz
cG8sIENBLiYjeEQ7RGVwYXJ0bWVudCBvZiBTb2NpYWwgYW5kIEJlaGF2aW9yYWwgU2NpZW5jZXMs
IFRlbXBsZSBVbml2ZXJzaXR5IENlbnRlciBmb3IgT2Jlc2l0eSBSZXNlYXJjaCBhbmQgRWR1Y2F0
aW9uLCBQaGlsYWRlbHBoaWEsIFBBLiYjeEQ7RGVwYXJ0bWVudCBvZiBPYnN0ZXRyaWNzIGFuZCBH
eW5lY29sb2d5LCBVbml2ZXJzaXR5IG9mIE1lZGljaW5lIGFuZCBEZW50aXN0cnkgb2YgTmV3IEpl
cnNleSAobm93IFJvd2FuKSwgR2xhc3Nib3JvLCBOSi4mI3hEO0RlcGFydG1lbnRzIG9mIE1vZGVy
biBMYW5ndWFnZXMsIENhbGlmb3JuaWEgUG9seXRlY2huaWMgU3RhdGUgVW5pdmVyc2l0eSwgU2Fu
IEx1aXMgT2Jpc3BvLCBDQS4mI3hEO1BhY2lmaWMgQ2VudHJhbCBDb2FzdCBIZWFsdGggQ2VudGVy
cywgU2FudGEgTWFyaWEgV29tZW4mYXBvcztzIEhlYWx0aCwgU2FudGEgTWFyaWEsIENBLiYjeEQ7
RGVwYXJ0bWVudCBvZiBPYnN0ZXRyaWNzIGFuZCBHeW5lY29sb2d5LCBXYXJyZW4gQWxwZXJ0IE1l
ZGljYWwgU2Nob29sIG9mIEJyb3duIFVuaXZlcnNpdHkgYW5kIFdvbWVuIGFuZCBJbmZhbnRzIEhv
c3BpdGFsLCBQcm92aWRlbmNlLCBSSS4mI3hEO0RpdmlzaW9uIG9mIEVwaWRlbWlvbG9neSwgVW5p
dmVyc2l0eSBvZiBDYWxpZm9ybmlhIGF0IEJlcmtlbGV5IFNjaG9vbCBvZiBQdWJsaWMgSGVhbHRo
LCBCZXJrZWxleSwgQ0EuPC9hdXRoLWFkZHJlc3M+PHRpdGxlcz48dGl0bGU+UmFuZG9taXplZCBj
b250cm9sbGVkIGNsaW5pY2FsIHRyaWFsIG9mIGJlaGF2aW9yYWwgbGlmZXN0eWxlIGludGVydmVu
dGlvbiB3aXRoIHBhcnRpYWwgbWVhbCByZXBsYWNlbWVudCB0byByZWR1Y2UgZXhjZXNzaXZlIGdl
c3RhdGlvbmFsIHdlaWdodCBnYWluPC90aXRsZT48c2Vjb25kYXJ5LXRpdGxlPkFtIEogQ2xpbiBO
dXRyPC9zZWNvbmRhcnktdGl0bGU+PC90aXRsZXM+PHBlcmlvZGljYWw+PGZ1bGwtdGl0bGU+QW0g
SiBDbGluIE51dHI8L2Z1bGwtdGl0bGU+PC9wZXJpb2RpY2FsPjxwYWdlcz4xODMtMTk0PC9wYWdl
cz48dm9sdW1lPjEwNzwvdm9sdW1lPjxudW1iZXI+MjwvbnVtYmVyPjxlZGl0aW9uPjIwMTgvMDMv
MTM8L2VkaXRpb24+PGtleXdvcmRzPjxrZXl3b3JkPkFkdWx0PC9rZXl3b3JkPjxrZXl3b3JkPkJv
ZHkgTWFzcyBJbmRleDwva2V5d29yZD48a2V5d29yZD5DYWxpZm9ybmlhPC9rZXl3b3JkPjxrZXl3
b3JkPkRpZXQ8L2tleXdvcmQ+PGtleXdvcmQ+RXRobmljIEdyb3Vwczwva2V5d29yZD48a2V5d29y
ZD5FeGVyY2lzZTwva2V5d29yZD48a2V5d29yZD5GZW1hbGU8L2tleXdvcmQ+PGtleXdvcmQ+Kkdl
c3RhdGlvbmFsIFdlaWdodCBHYWluPC9rZXl3b3JkPjxrZXl3b3JkPipIZWFsdGggQmVoYXZpb3I8
L2tleXdvcmQ+PGtleXdvcmQ+SHVtYW5zPC9rZXl3b3JkPjxrZXl3b3JkPkluY2lkZW5jZTwva2V5
d29yZD48a2V5d29yZD4qTGlmZSBTdHlsZTwva2V5d29yZD48a2V5d29yZD5NZWFsczwva2V5d29y
ZD48a2V5d29yZD5OdXRyaXRpb24gQXNzZXNzbWVudDwva2V5d29yZD48a2V5d29yZD5PYmVzaXR5
LypwcmV2ZW50aW9uICZhbXA7IGNvbnRyb2w8L2tleXdvcmQ+PGtleXdvcmQ+T3ZlcndlaWdodC8q
cHJldmVudGlvbiAmYW1wOyBjb250cm9sPC9rZXl3b3JkPjxrZXl3b3JkPlByZWduYW5jeTwva2V5
d29yZD48a2V5d29yZD5QcmVnbmFuY3kgQ29tcGxpY2F0aW9ucy8qcHJldmVudGlvbiAmYW1wOyBj
b250cm9sPC9rZXl3b3JkPjxrZXl3b3JkPlByZWduYW5jeSBPdXRjb21lPC9rZXl3b3JkPjxrZXl3
b3JkPlJpc2sgRmFjdG9yczwva2V5d29yZD48a2V5d29yZD5Zb3VuZyBBZHVsdDwva2V5d29yZD48
L2tleXdvcmRzPjxkYXRlcz48eWVhcj4yMDE4PC95ZWFyPjxwdWItZGF0ZXM+PGRhdGU+RmViIDE8
L2RhdGU+PC9wdWItZGF0ZXM+PC9kYXRlcz48aXNibj4xOTM4LTMyMDcgKEVsZWN0cm9uaWMpJiN4
RDswMDAyLTkxNjUgKExpbmtpbmcpPC9pc2JuPjxhY2Nlc3Npb24tbnVtPjI5NTI5MTU3PC9hY2Nl
c3Npb24tbnVtPjx1cmxzPjxyZWxhdGVkLXVybHM+PHVybD5odHRwczovL3d3dy5uY2JpLm5sbS5u
aWguZ292L3B1Ym1lZC8yOTUyOTE1NzwvdXJsPjwvcmVsYXRlZC11cmxzPjwvdXJscz48Y3VzdG9t
Mj5QTUM2NDU1MDMwPC9jdXN0b20yPjxlbGVjdHJvbmljLXJlc291cmNlLW51bT4xMC4xMDkzL2Fq
Y24vbnF4MDQzPC9lbGVjdHJvbmljLXJlc291cmNlLW51bT48L3JlY29yZD48L0NpdGU+PENpdGU+
PEF1dGhvcj5UcmFrLUZlbGxlcm1laWVyPC9BdXRob3I+PFllYXI+MjAxOTwvWWVhcj48UmVjTnVt
PjE5MjE8L1JlY051bT48cmVjb3JkPjxyZWMtbnVtYmVyPjE5MjE8L3JlYy1udW1iZXI+PGZvcmVp
Z24ta2V5cz48a2V5IGFwcD0iRU4iIGRiLWlkPSJleHZhc3JmeDJkdHJhb2VzYXN4cDJzenN4YTJk
ZjUwMjU5MngiIHRpbWVzdGFtcD0iMTU4ODU1NjU5NSI+MTkyMTwva2V5PjxrZXkgYXBwPSJFTldl
YiIgZGItaWQ9IiI+MDwva2V5PjwvZm9yZWlnbi1rZXlzPjxyZWYtdHlwZSBuYW1lPSJKb3VybmFs
IEFydGljbGUiPjE3PC9yZWYtdHlwZT48Y29udHJpYnV0b3JzPjxhdXRob3JzPjxhdXRob3I+VHJh
ay1GZWxsZXJtZWllciwgTS4gQS48L2F1dGhvcj48YXV0aG9yPkNhbXBvcywgTS48L2F1dGhvcj48
YXV0aG9yPk1lbGVuZGV6LCBNLjwvYXV0aG9yPjxhdXRob3I+UG9tZXJveSwgSi48L2F1dGhvcj48
YXV0aG9yPlBhbGFjaW9zLCBDLjwvYXV0aG9yPjxhdXRob3I+Uml2ZXJhLVZpbmFzLCBKLjwvYXV0
aG9yPjxhdXRob3I+TWVuZGV6LCBLLjwvYXV0aG9yPjxhdXRob3I+RmVibywgSS48L2F1dGhvcj48
YXV0aG9yPldpbGxldHQsIFcuPC9hdXRob3I+PGF1dGhvcj5HaWxsbWFuLCBNLiBXLjwvYXV0aG9y
PjxhdXRob3I+RnJhbmtzLCBQLiBXLjwvYXV0aG9yPjxhdXRob3I+Sm9zaGlwdXJhLCBLLjwvYXV0
aG9yPjwvYXV0aG9ycz48L2NvbnRyaWJ1dG9ycz48YXV0aC1hZGRyZXNzPkNlbnRlciBmb3IgQ2xp
bmljYWwgUmVzZWFyY2ggYW5kIEhlYWx0aCBQcm9tb3Rpb24sIFNjaG9vbCBvZiBEZW50YWwgTWVk
aWNpbmUsIE1lZGljYWwgU2NpZW5jZXMgQ2FtcHVzLCBVbml2ZXJzaXR5IG9mIFB1ZXJ0byBSaWNv
LCBTYW4gSnVhbiwgUFIsIFVTQSwga2F1bXVkaS5qb3NoaXB1cmFAdXByLmVkdS4mI3hEO0NsaW5p
Y2FsIFJlc2VhcmNoIENlbnRlciwgTWFyc2hmaWVsZCBDbGluaWMgUmVzZWFyY2ggSW5zdGl0dXRl
LCBNYXJzaGZpZWxkIENsaW5pYyBIZWFsdGggU3lzdGVtLCBNYXJzaGZpZWxkLCBXSSwgVVNBLiYj
eEQ7RGVwYXJ0bWVudCBvZiBEaWV0ZXRpY3MgYW5kIE51dHJpdGlvbiwgUm9iZXJ0IFN0ZW1wZWwg
Q29sbGVnZSBvZiBQdWJsaWMgSGVhbHRoICZhbXA7IFNvY2lhbCBXb3JrLCBGbG9yaWRhIEludGVy
bmF0aW9uYWwgVW5pdmVyc2l0eSwgTWlhbWksIEZMLCBVU0EuJiN4RDtEZXBhcnRtZW50IG9mIE9i
c3RldHJpY3MgYW5kIEd5bmVjb2xvZ3ksIFNjaG9vbCBvZiBNZWRpY2luZSwgTWVkaWNhbCBTY2ll
bmNlcyBDYW1wdXMsIFVuaXZlcnNpdHkgb2YgUHVlcnRvIFJpY28sIFNhbiBKdWFuLCBQUiwgVVNB
LiYjeEQ7RGVwYXJ0bWVudCBvZiBQZWRpYXRyaWNzLCBTY2hvb2wgb2YgTWVkaWNpbmUsIE1lZGlj
YWwgU2NpZW5jZXMgQ2FtcHVzLCBVbml2ZXJzaXR5IG9mIFB1ZXJ0byBSaWNvLCBTYW4gSnVhbiwg
UFIsIFVTQS4mI3hEO0RlcGFydG1lbnQgb2YgTnV0cml0aW9uLCBIYXJ2YXJkIFQuSC4gQ2hhbiBT
Y2hvb2wgb2YgUHVibGljIEhlYWx0aCwgSGFydmFyZCBVbml2ZXJzaXR5LCBCb3N0b24sIE1BLCBV
U0EuJiN4RDtEaXZpc2lvbiBvZiBDaHJvbmljIERpc2Vhc2UgUmVzZWFyY2ggQWNyb3NzIHRoZSBM
aWZlIENvdXJzZSwgRGVwYXJ0bWVudCBvZiBQb3B1bGF0aW9uIE1lZGljaW5lLCBIYXJ2YXJkIE1l
ZGljYWwgU2Nob29sIGFuZCBIYXJ2YXJkIFBpbGdyaW0gSGVhbHRoIENhcmUgSW5zdGl0dXRlLCBC
b3N0b24sIE1BLiYjeEQ7RGVwYXJ0bWVudCBvZiBDbGluaWNhbCBTY2llbmNlcywgR2VuZXRpYyBh
bmQgTW9sZWN1bGFyIEVwaWRlbWlvbG9neSBVbml0LCBMdW5kIFVuaXZlcnNpdHksIFNrYW5lIFVu
aXZlcnNpdHkgSG9zcGl0YWwsIE1hbG1vLCBTd2VkZW4uJiN4RDtEZXBhcnRtZW50IG9mIEVwaWRl
bWlvbG9neSwgSGFydmFyZCBULkguIENoYW4gUHVibGljIEhlYWx0aCBTY2hvb2wsIEhhcnZhcmQg
VW5pdmVyc2l0eSwgQm9zdG9uLCBNQSwgVVNBLCBrYXVtdWRpLmpvc2hpcHVyYUB1cHIuZWR1Ljwv
YXV0aC1hZGRyZXNzPjx0aXRsZXM+PHRpdGxlPlBFQVJMUyByYW5kb21pemVkIGxpZmVzdHlsZSB0
cmlhbCBpbiBwcmVnbmFudCBIaXNwYW5pYyB3b21lbiB3aXRoIG92ZXJ3ZWlnaHQvb2Jlc2l0eTog
Z2VzdGF0aW9uYWwgd2VpZ2h0IGdhaW4gYW5kIG9mZnNwcmluZyBiaXJ0aHdlaWdodDwvdGl0bGU+
PHNlY29uZGFyeS10aXRsZT5EaWFiZXRlcyBNZXRhYiBTeW5kciBPYmVzPC9zZWNvbmRhcnktdGl0
bGU+PC90aXRsZXM+PHBlcmlvZGljYWw+PGZ1bGwtdGl0bGU+RGlhYmV0ZXMgTWV0YWIgU3luZHIg
T2JlczwvZnVsbC10aXRsZT48L3BlcmlvZGljYWw+PHBhZ2VzPjIyNS0yMzg8L3BhZ2VzPjx2b2x1
bWU+MTI8L3ZvbHVtZT48ZWRpdGlvbj4yMDE5LzAzLzEzPC9lZGl0aW9uPjxrZXl3b3Jkcz48a2V5
d29yZD5iaXJ0aHdlaWdodDwva2V5d29yZD48a2V5d29yZD5nZXN0YXRpb25hbCB3ZWlnaHQgZ2Fp
bjwva2V5d29yZD48a2V5d29yZD5pbnRlcnZlbnRpb248L2tleXdvcmQ+PGtleXdvcmQ+bGlmZXN0
eWxlIG1vZGlmaWNhdGlvbjwva2V5d29yZD48a2V5d29yZD5uZW9uYXRhbDwva2V5d29yZD48a2V5
d29yZD5vYmVzZTwva2V5d29yZD48a2V5d29yZD5vdmVyd2VpZ2h0PC9rZXl3b3JkPjxrZXl3b3Jk
PnByZWduYW5jeTwva2V5d29yZD48a2V5d29yZD5yYW5kb21pemVkIGNvbnRyb2xsZWQgdHJpYWw8
L2tleXdvcmQ+PGtleXdvcmQ+SGVhbHRoIE91dGNvbWVzIChFQ0hPKSBQcm9ncmFtLCBPZmZpY2Ug
b2YgdGhlIERpcmVjdG9yLCBOYXRpb25hbCBJbnN0aXR1dGVzIG9mPC9rZXl3b3JkPjxrZXl3b3Jk
PkhlYWx0aCAoVGhlIHZpZXdzIGV4cHJlc3NlZCBpbiB0aGlzIGFydGljbGUgZG8gbm90IG5lY2Vz
c2FyaWx5IHJlcHJlc2VudCB0aGU8L2tleXdvcmQ+PGtleXdvcmQ+dmlld3Mgb2YgdGhlIFVTIEdv
dmVybm1lbnQsIHRoZSBEZXBhcnRtZW50IG9mIEhlYWx0aCBhbmQgSHVtYW4gU2VydmljZXMgb3Ig
dGhlPC9rZXl3b3JkPjxrZXl3b3JkPk5hdGlvbmFsIEluc3RpdHV0ZXMgb2YgSGVhbHRoKS4gVGhl
IGF1dGhvcnMgcmVwb3J0IG5vIG90aGVyIGNvbmZsaWN0cyBvZiBpbnRlcmVzdDwva2V5d29yZD48
a2V5d29yZD5pbiB0aGlzIHdvcmsuPC9rZXl3b3JkPjwva2V5d29yZHM+PGRhdGVzPjx5ZWFyPjIw
MTk8L3llYXI+PC9kYXRlcz48aXNibj4xMTc4LTcwMDcgKFByaW50KSYjeEQ7MTE3OC03MDA3IChM
aW5raW5nKTwvaXNibj48YWNjZXNzaW9uLW51bT4zMDg1ODcxNTwvYWNjZXNzaW9uLW51bT48dXJs
cz48cmVsYXRlZC11cmxzPjx1cmw+aHR0cHM6Ly93d3cubmNiaS5ubG0ubmloLmdvdi9wdWJtZWQv
MzA4NTg3MTU8L3VybD48L3JlbGF0ZWQtdXJscz48L3VybHM+PGN1c3RvbTI+UE1DNjM4NTc0Mzwv
Y3VzdG9tMj48ZWxlY3Ryb25pYy1yZXNvdXJjZS1udW0+MTAuMjE0Ny9ETVNPLlMxNzkwMDk8L2Vs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499-509</w:t>
      </w:r>
      <w:r>
        <w:fldChar w:fldCharType="end"/>
      </w:r>
      <w:r>
        <w:t xml:space="preserve"> BMI ≥29</w:t>
      </w:r>
      <w:r>
        <w:fldChar w:fldCharType="begin">
          <w:fldData xml:space="preserve">PEVuZE5vdGU+PENpdGU+PEF1dGhvcj5Cb2dhZXJ0czwvQXV0aG9yPjxZZWFyPjIwMTM8L1llYXI+
PFJlY051bT43MTM8L1JlY051bT48RGlzcGxheVRleHQ+PHN0eWxlIGZhY2U9InN1cGVyc2NyaXB0
IiBmb250PSJUcmVidWNoZXQgTVMiIHNpemU9IjkiPjQwMiw1MTAsNTExPC9zdHlsZT48L0Rpc3Bs
YXlUZXh0PjxyZWNvcmQ+PHJlYy1udW1iZXI+NzEzPC9yZWMtbnVtYmVyPjxmb3JlaWduLWtleXM+
PGtleSBhcHA9IkVOIiBkYi1pZD0iZXh2YXNyZngyZHRyYW9lc2FzeHAyc3pzeGEyZGY1MDI1OTJ4
IiB0aW1lc3RhbXA9IjE1NDE0NjI0NDMiPjcxMzwva2V5PjwvZm9yZWlnbi1rZXlzPjxyZWYtdHlw
ZSBuYW1lPSJKb3VybmFsIEFydGljbGUiPjE3PC9yZWYtdHlwZT48Y29udHJpYnV0b3JzPjxhdXRo
b3JzPjxhdXRob3I+Qm9nYWVydHMsIEEuIEYuPC9hdXRob3I+PGF1dGhvcj5EZXZsaWVnZXIsIFIu
PC9hdXRob3I+PGF1dGhvcj5OdXl0cywgRS48L2F1dGhvcj48YXV0aG9yPldpdHRlcnMsIEkuPC9h
dXRob3I+PGF1dGhvcj5HeXNlbGFlcnMsIFcuPC9hdXRob3I+PGF1dGhvcj5WYW4gZGVuIEJlcmdo
LCBCLiBSLjwvYXV0aG9yPjwvYXV0aG9ycz48L2NvbnRyaWJ1dG9ycz48YXV0aC1hZGRyZXNzPkRl
cGFydG1lbnQgb2YgSGVhbHRoY2FyZSBSZXNlYXJjaCwgUEhMIFVuaXZlcnNpdHkgQ29sbGVnZSwg
TGltYnVyZyBDYXRob2xpYyBVbml2ZXJzaXR5IENvbGxlZ2UsIEhhc3NlbHQsIEJlbGdpdW0uPC9h
dXRoLWFkZHJlc3M+PHRpdGxlcz48dGl0bGU+RWZmZWN0cyBvZiBsaWZlc3R5bGUgaW50ZXJ2ZW50
aW9uIGluIG9iZXNlIHByZWduYW50IHdvbWVuIG9uIGdlc3RhdGlvbmFsIHdlaWdodCBnYWluIGFu
ZCBtZW50YWwgaGVhbHRoOiBhIHJhbmRvbWl6ZWQgY29udHJvbGxlZCB0cmlhbDwvdGl0bGU+PHNl
Y29uZGFyeS10aXRsZT5JbnQgSiBPYmVzIChMb25kKTwvc2Vjb25kYXJ5LXRpdGxlPjwvdGl0bGVz
PjxwZXJpb2RpY2FsPjxmdWxsLXRpdGxlPkludCBKIE9iZXMgKExvbmQpPC9mdWxsLXRpdGxlPjwv
cGVyaW9kaWNhbD48cGFnZXM+ODE0LTIxPC9wYWdlcz48dm9sdW1lPjM3PC92b2x1bWU+PG51bWJl
cj42PC9udW1iZXI+PGVkaXRpb24+MjAxMi8xMC8wNDwvZWRpdGlvbj48a2V5d29yZHM+PGtleXdv
cmQ+QWR1bHQ8L2tleXdvcmQ+PGtleXdvcmQ+QW54aWV0eS9lcGlkZW1pb2xvZ3kvKnByZXZlbnRp
b24gJmFtcDsgY29udHJvbDwva2V5d29yZD48a2V5d29yZD5CZWxnaXVtL2VwaWRlbWlvbG9neTwv
a2V5d29yZD48a2V5d29yZD5Cb2R5IE1hc3MgSW5kZXg8L2tleXdvcmQ+PGtleXdvcmQ+RGVwcmVz
c2lvbi9lcGlkZW1pb2xvZ3kvKnByZXZlbnRpb24gJmFtcDsgY29udHJvbDwva2V5d29yZD48a2V5
d29yZD5GZW1hbGU8L2tleXdvcmQ+PGtleXdvcmQ+SGVhbHRoIEtub3dsZWRnZSwgQXR0aXR1ZGVz
LCBQcmFjdGljZTwva2V5d29yZD48a2V5d29yZD5IdW1hbnM8L2tleXdvcmQ+PGtleXdvcmQ+Kkxp
ZmUgU3R5bGU8L2tleXdvcmQ+PGtleXdvcmQ+TG9uZ2l0dWRpbmFsIFN0dWRpZXM8L2tleXdvcmQ+
PGtleXdvcmQ+TW90aXZhdGlvbjwva2V5d29yZD48a2V5d29yZD5PYmVzaXR5L2VwaWRlbWlvbG9n
eS9wcmV2ZW50aW9uICZhbXA7IGNvbnRyb2wvcHN5Y2hvbG9neS8qdGhlcmFweTwva2V5d29yZD48
a2V5d29yZD5QYXRpZW50IEVkdWNhdGlvbiBhcyBUb3BpYzwva2V5d29yZD48a2V5d29yZD5QcmVn
bmFuY3k8L2tleXdvcmQ+PGtleXdvcmQ+UHJlZ25hbmN5IENvbXBsaWNhdGlvbnMvZXBpZGVtaW9s
b2d5L3ByZXZlbnRpb24gJmFtcDsgY29udHJvbC9wc3ljaG9sb2d5Lyp0aGVyYXB5PC9rZXl3b3Jk
PjxrZXl3b3JkPlByZW5hdGFsIENhcmUvKm1ldGhvZHM8L2tleXdvcmQ+PGtleXdvcmQ+UHJldmFs
ZW5jZTwva2V5d29yZD48a2V5d29yZD5SaXNrIEZhY3RvcnM8L2tleXdvcmQ+PGtleXdvcmQ+Umlz
ayBSZWR1Y3Rpb24gQmVoYXZpb3I8L2tleXdvcmQ+PGtleXdvcmQ+U3VydmV5cyBhbmQgUXVlc3Rp
b25uYWlyZXM8L2tleXdvcmQ+PGtleXdvcmQ+KldlaWdodCBHYWluPC9rZXl3b3JkPjwva2V5d29y
ZHM+PGRhdGVzPjx5ZWFyPjIwMTM8L3llYXI+PHB1Yi1kYXRlcz48ZGF0ZT5KdW48L2RhdGU+PC9w
dWItZGF0ZXM+PC9kYXRlcz48aXNibj4xNDc2LTU0OTcgKEVsZWN0cm9uaWMpJiN4RDswMzA3LTA1
NjUgKExpbmtpbmcpPC9pc2JuPjxhY2Nlc3Npb24tbnVtPjIzMDMyNDA0PC9hY2Nlc3Npb24tbnVt
Pjx1cmxzPjxyZWxhdGVkLXVybHM+PHVybD5odHRwczovL3d3dy5uY2JpLm5sbS5uaWguZ292L3B1
Ym1lZC8yMzAzMjQwNDwvdXJsPjwvcmVsYXRlZC11cmxzPjwvdXJscz48ZWxlY3Ryb25pYy1yZXNv
dXJjZS1udW0+MTAuMTAzOC9pam8uMjAxMi4xNjI8L2VsZWN0cm9uaWMtcmVzb3VyY2UtbnVtPjwv
cmVjb3JkPjwvQ2l0ZT48Q2l0ZT48QXV0aG9yPkd1ZWxpbmNreDwvQXV0aG9yPjxZZWFyPjIwMTA8
L1llYXI+PFJlY051bT43MjI8L1JlY051bT48cmVjb3JkPjxyZWMtbnVtYmVyPjcyMjwvcmVjLW51
bWJlcj48Zm9yZWlnbi1rZXlzPjxrZXkgYXBwPSJFTiIgZGItaWQ9ImV4dmFzcmZ4MmR0cmFvZXNh
c3hwMnN6c3hhMmRmNTAyNTkyeCIgdGltZXN0YW1wPSIxNTQxNDY0Nzc3Ij43MjI8L2tleT48L2Zv
cmVpZ24ta2V5cz48cmVmLXR5cGUgbmFtZT0iSm91cm5hbCBBcnRpY2xlIj4xNzwvcmVmLXR5cGU+
PGNvbnRyaWJ1dG9ycz48YXV0aG9ycz48YXV0aG9yPkd1ZWxpbmNreCwgSS48L2F1dGhvcj48YXV0
aG9yPkRldmxpZWdlciwgUi48L2F1dGhvcj48YXV0aG9yPk11bGxpZSwgUC48L2F1dGhvcj48YXV0
aG9yPlZhbnNhbnQsIEcuPC9hdXRob3I+PC9hdXRob3JzPjwvY29udHJpYnV0b3JzPjxhdXRoLWFk
ZHJlc3M+RGVwYXJ0bWVudCBvZiBOdXRyaXRpb24tUHVibGljIEhlYWx0aCBNZWRpY2luZSwgTEZv
UkNlLCBDYXRob2xpYyBVbml2ZXJzaXR5IExldXZlbiwgTGV1dmVuLCBCZWxnaXVtLiBpc2FiZWxs
ZS5ndWVsaW5ja3hAbWVkLmt1bGV1dmVuLmJlPC9hdXRoLWFkZHJlc3M+PHRpdGxlcz48dGl0bGU+
RWZmZWN0IG9mIGxpZmVzdHlsZSBpbnRlcnZlbnRpb24gb24gZGlldGFyeSBoYWJpdHMsIHBoeXNp
Y2FsIGFjdGl2aXR5LCBhbmQgZ2VzdGF0aW9uYWwgd2VpZ2h0IGdhaW4gaW4gb2Jlc2UgcHJlZ25h
bnQgd29tZW46IGEgcmFuZG9taXplZCBjb250cm9sbGVkIHRyaWFsPC90aXRsZT48c2Vjb25kYXJ5
LXRpdGxlPkFtIEogQ2xpbiBOdXRyPC9zZWNvbmRhcnktdGl0bGU+PC90aXRsZXM+PHBlcmlvZGlj
YWw+PGZ1bGwtdGl0bGU+QW0gSiBDbGluIE51dHI8L2Z1bGwtdGl0bGU+PC9wZXJpb2RpY2FsPjxw
YWdlcz4zNzMtODA8L3BhZ2VzPjx2b2x1bWU+OTE8L3ZvbHVtZT48bnVtYmVyPjI8L251bWJlcj48
ZWRpdGlvbj4yMDA5LzEyLzA0PC9lZGl0aW9uPjxrZXl3b3Jkcz48a2V5d29yZD5BZHVsdDwva2V5
d29yZD48a2V5d29yZD5CZWhhdmlvciBUaGVyYXB5LyptZXRob2RzPC9rZXl3b3JkPjxrZXl3b3Jk
PkZlZWRpbmcgQmVoYXZpb3IvcGh5c2lvbG9neTwva2V5d29yZD48a2V5d29yZD5GZW1hbGU8L2tl
eXdvcmQ+PGtleXdvcmQ+SHVtYW5zPC9rZXl3b3JkPjxrZXl3b3JkPkluZmFudCwgTmV3Ym9ybjwv
a2V5d29yZD48a2V5d29yZD4qTGlmZSBTdHlsZTwva2V5d29yZD48a2V5d29yZD5Nb3RvciBBY3Rp
dml0eS9waHlzaW9sb2d5PC9rZXl3b3JkPjxrZXl3b3JkPk9iZXNpdHkvcGh5c2lvcGF0aG9sb2d5
Lyp0aGVyYXB5PC9rZXl3b3JkPjxrZXl3b3JkPlByZWduYW5jeTwva2V5d29yZD48a2V5d29yZD5Q
cmVnbmFuY3kgQ29tcGxpY2F0aW9ucy9waHlzaW9wYXRob2xvZ3kvKnRoZXJhcHk8L2tleXdvcmQ+
PGtleXdvcmQ+UHJlbmF0YWwgTnV0cml0aW9uYWwgUGh5c2lvbG9naWNhbCBQaGVub21lbmE8L2tl
eXdvcmQ+PGtleXdvcmQ+V2VpZ2h0IEdhaW4vKnBoeXNpb2xvZ3k8L2tleXdvcmQ+PC9rZXl3b3Jk
cz48ZGF0ZXM+PHllYXI+MjAxMDwveWVhcj48cHViLWRhdGVzPjxkYXRlPkZlYjwvZGF0ZT48L3B1
Yi1kYXRlcz48L2RhdGVzPjxpc2JuPjE5MzgtMzIwNyAoRWxlY3Ryb25pYykmI3hEOzAwMDItOTE2
NSAoTGlua2luZyk8L2lzYm4+PGFjY2Vzc2lvbi1udW0+MTk5NTUzOTc8L2FjY2Vzc2lvbi1udW0+
PHVybHM+PHJlbGF0ZWQtdXJscz48dXJsPmh0dHBzOi8vd3d3Lm5jYmkubmxtLm5paC5nb3YvcHVi
bWVkLzE5OTU1Mzk3PC91cmw+PC9yZWxhdGVkLXVybHM+PC91cmxzPjxlbGVjdHJvbmljLXJlc291
cmNlLW51bT4xMC4zOTQ1L2FqY24uMjAwOS4yODE2NjwvZWxlY3Ryb25pYy1yZXNvdXJjZS1udW0+
PC9yZWNvcmQ+PC9DaXRlPjxDaXRlPjxBdXRob3I+U2ltbW9uczwvQXV0aG9yPjxZZWFyPjIwMTc8
L1llYXI+PFJlY051bT4xMDU3PC9SZWNOdW0+PHJlY29yZD48cmVjLW51bWJlcj4xMDU3PC9yZWMt
bnVtYmVyPjxmb3JlaWduLWtleXM+PGtleSBhcHA9IkVOIiBkYi1pZD0iZXh2YXNyZngyZHRyYW9l
c2FzeHAyc3pzeGEyZGY1MDI1OTJ4IiB0aW1lc3RhbXA9IjE1NDg5ODM0NzYiPjEwNTc8L2tleT48
L2ZvcmVpZ24ta2V5cz48cmVmLXR5cGUgbmFtZT0iSm91cm5hbCBBcnRpY2xlIj4xNzwvcmVmLXR5
cGU+PGNvbnRyaWJ1dG9ycz48YXV0aG9ycz48YXV0aG9yPlNpbW1vbnMsIEQuPC9hdXRob3I+PGF1
dGhvcj5EZXZsaWVnZXIsIFIuPC9hdXRob3I+PGF1dGhvcj52YW4gQXNzY2hlLCBBLjwvYXV0aG9y
PjxhdXRob3I+SmFucywgRy48L2F1dGhvcj48YXV0aG9yPkdhbGphYXJkLCBTLjwvYXV0aG9yPjxh
dXRob3I+Q29yY295LCBSLjwvYXV0aG9yPjxhdXRob3I+QWRlbGFudGFkbywgSi4gTS48L2F1dGhv
cj48YXV0aG9yPkR1bm5lLCBGLjwvYXV0aG9yPjxhdXRob3I+RGVzb3llLCBHLjwvYXV0aG9yPjxh
dXRob3I+SGFycmVpdGVyLCBKLjwvYXV0aG9yPjxhdXRob3I+S2F1dHpreS1XaWxsZXIsIEEuPC9h
dXRob3I+PGF1dGhvcj5EYW1tLCBQLjwvYXV0aG9yPjxhdXRob3I+TWF0aGllc2VuLCBFLiBSLjwv
YXV0aG9yPjxhdXRob3I+SmVuc2VuLCBELiBNLjwvYXV0aG9yPjxhdXRob3I+QW5kZXJzZW4sIEwu
PC9hdXRob3I+PGF1dGhvcj5MYXBvbGxhLCBBLjwvYXV0aG9yPjxhdXRob3I+RGFsZnJhLCBNLiBH
LjwvYXV0aG9yPjxhdXRob3I+QmVydG9sb3R0bywgQS48L2F1dGhvcj48YXV0aG9yPldlbmRlci1P
emVnb3dza2EsIEUuPC9hdXRob3I+PGF1dGhvcj5aYXdpZWpza2EsIEEuPC9hdXRob3I+PGF1dGhv
cj5IaWxsLCBELjwvYXV0aG9yPjxhdXRob3I+U25vZWssIEYuIEouPC9hdXRob3I+PGF1dGhvcj5K
ZWxzbWEsIEouIEcuPC9hdXRob3I+PGF1dGhvcj52YW4gUG9wcGVsLCBNLiBOLjwvYXV0aG9yPjwv
YXV0aG9ycz48L2NvbnRyaWJ1dG9ycz48YXV0aC1hZGRyZXNzPldlc3Rlcm4gU3lkbmV5IFVuaXZl
cnNpdHksIENhbXBiZWxsdG93biwgTmV3IFNvdXRoIFdhbGVzIDI1NjAsIEF1c3RyYWxpYS4mI3hE
O0luc3RpdHV0ZSBvZiBNZXRhYm9saWMgU2NpZW5jZSwgQWRkZW5icm9va2UmYXBvcztzIEhvc3Bp
dGFsLCBDYW1icmlkZ2UsIENCMiAwUVEgRW5nbGFuZC4mI3hEO0RlcGFydG1lbnQgb2YgRGV2ZWxv
cG1lbnQgYW5kIFJlZ2VuZXJhdGlvbjogUHJlZ25hbmN5LCBGZXR1cyBhbmQgTmVvbmF0ZSwgR3lu
YWVjb2xvZ3kgYW5kIE9ic3RldHJpY3MsIFVuaXZlcnNpdHkgSG9zcGl0YWxzLCBLYXRob2xpZWtl
IFVuaXZlcnNpdGVpdCBMZXV2ZW4sIExldXZlbiwgQmVsZ2l1bS4mI3hEO0RpdmlzaW9uIG9mIE9i
c3RldHJpY3MgYW5kIFByZW5hdGFsIE1lZGljaW5lLCBEZXBhcnRtZW50IG9mIE9ic3RldHJpY3Mg
YW5kIEd5bmFlY29sb2d5LCBFcmFzbXVzIFVuaXZlcnNpdHkgTWVkaWNhbCBDZW50ZXIgUm90dGVy
ZGFtLCBSb3R0ZXJkYW0sIFRoZSBOZXRoZXJsYW5kcy4mI3hEO0luc3RpdHV0IGRlIFJlY2VyY2Eg
ZGUgbCBIb3NwaXRhbCBkZSBsYSBTYW50YSBDcmV1IGkgU2FudCBQYXUsIEJhcmNlbG9uYSwgU3Bh
aW4uJiN4RDtDSUJFUiBCaW9lbmdpbmVlcmluZywgQmlvbWF0ZXJpYWxzIGFuZCBOYW5vdGVjaG5v
bG9neSwgSW5zdGl0dXRvIGRlIFNhbHVkIENhcmxvcyBJSUksIFphcmFnb3phLCBTcGFpbi4mI3hE
O0dhbHdheSBEaWFiZXRlcyBSZXNlYXJjaCBDZW50cmUgYW5kIENvbGxlZ2Ugb2YgTWVkaWNpbmUg
TnVyc2luZyBhbmQgSGVhbHRoIFNjaWVuY2VzLCBOYXRpb25hbCBVbml2ZXJzaXR5IG9mIElyZWxh
bmQsIEdhbHdheSwgSXJlbGFuZC4mI3hEO0RlcGFydG1lbnQgb2YgT2JzdGV0cmljcyBhbmQgR3lu
ZWNvbG9neSwgTWVkaXppbmlzY2hlIFVuaXZlcnNpdGFldCBHcmF6LCBHcmF6LCBBdXN0cmlhLiYj
eEQ7R2VuZGVyIE1lZGljaW5lIFVuaXQsIEVuZG9jcmlub2xvZ3kgYW5kIE1ldGFib2xpc20sIERl
cGFydG1lbnQgb2YgSW50ZXJuYWwgTWVkaWNpbmUgSUlJLCBNZWRpY2FsIFVuaXZlcnNpdHkgb2Yg
Vmllbm5hLCBWaWVubmEsIEF1c3RyaWEuJiN4RDtDZW50ZXIgZm9yIFByZWduYW50IFdvbWVuIHdp
dGggRGlhYmV0ZXMsIERlcGFydG1lbnRzIG9mIEVuZG9jcmlub2xvZ3kgYW5kIE9ic3RldHJpY3Ms
IFJpZ3Nob3NwaXRhbGV0LCBJbnN0aXR1dGUgb2YgQ2xpbmljYWwgTWVkaWNpbmUsIEZhY3VsdHkg
b2YgSGVhbHRoIGFuZCBNZWRpY2FsIFNjaWVuY2VzLCBVbml2ZXJzaXR5IG9mIENvcGVuaGFnZW4s
IENvcGVuaGFnZW4sIERlbm1hcmsuJiN4RDtEZXBhcnRtZW50IG9mIEVuZG9jcmlub2xvZ3kgYW5k
IERlcGFydG1lbnQgb2YgR3luZWNvbG9neSBhbmQgT2JzdGV0cmljcywgT2RlbnNlIFVuaXZlcnNp
dHkgSG9zcGl0YWwsIE9kZW5zZSwgRGVubWFyay4mI3hEO0RlcGFydG1lbnQgb2YgQ2xpbmljYWwg
UmVzZWFyY2gsIEZhY3VsdHkgb2YgSGVhbHRoIFNjaWVuY2VzLCBVbml2ZXJzaXR5IG9mIFNvdXRo
ZXJuIERlbm1hcmssIE9kZW5zZSwgRGVubWFyay4mI3hEO1VuaXZlcnNpdGEgRGVnbGkgU3R1ZGkg
ZGkgUGFkb3ZhLCBQYWR1YSwgSXRhbHkuJiN4RDtBemllbmRhIE9zcGVkYWxpZXJvIFVuaXZlcnNp
dGFyaWEtUGlzYSwgUGlzYSBJdGFseS4mI3hEO01lZGljYWwgRmFjdWx0eSBJLCBQb3puYW4gVW5p
dmVyc2l0eSBvZiBNZWRpY2FsIFNjaWVuY2VzLCBQb3puYW4sIFBvbGFuZC4mI3hEO1JlY2hlcmNo
ZSBlbiBTYW50ZSBMYXdzb24gU0EsIEJyb25zY2hob2ZlbiwgU3dpdHplcmxhbmQuJiN4RDtEZXBh
cnRtZW50IG9mIE1lZGljYWwgUHN5Y2hvbG9neSwgRU1HTysgSW5zdGl0dXRlIGZvciBIZWFsdGgg
YW5kIENhcmUgUmVzZWFyY2gsIFZVIFVuaXZlcnNpdHkgTWVkaWNhbCBDZW50cmUsIEFtc3RlcmRh
bSwgVGhlIE5ldGhlcmxhbmRzLiYjeEQ7RGVwYXJ0bWVudCBvZiBNZWRpY2FsIFBzeWNob2xvZ3ks
IEFjYWRlbWljIE1lZGljYWwgQ2VudHJlLCBBbXN0ZXJkYW0sIFRoZSBOZXRoZXJsYW5kcy4mI3hE
O0RlcGFydG1lbnQgb2YgUHVibGljIGFuZCBPY2N1cGF0aW9uYWwgSGVhbHRoLCBFTUdPKyBJbnN0
aXR1dGUgZm9yIEhlYWx0aCBhbmQgQ2FyZSBSZXNlYXJjaCwgVlUgVW5pdmVyc2l0eSBNZWRpY2Fs
IENlbnRyZSwgQW1zdGVyZGFtLCBUaGUgTmV0aGVybGFuZHM7IGFuZC4mI3hEO0luc3RpdHV0ZSBv
ZiBTcG9ydCBTY2llbmNlLCBVbml2ZXJzaXR5IG9mIEdyYXosIEdyYXosIEF1c3RyaWEuPC9hdXRo
LWFkZHJlc3M+PHRpdGxlcz48dGl0bGU+RWZmZWN0IG9mIFBoeXNpY2FsIEFjdGl2aXR5IGFuZC9v
ciBIZWFsdGh5IEVhdGluZyBvbiBHRE0gUmlzazogVGhlIERBTEkgTGlmZXN0eWxlIFN0dWR5PC90
aXRsZT48c2Vjb25kYXJ5LXRpdGxlPkogQ2xpbiBFbmRvY3Jpbm9sIE1ldGFiPC9zZWNvbmRhcnkt
dGl0bGU+PC90aXRsZXM+PHBlcmlvZGljYWw+PGZ1bGwtdGl0bGU+SiBDbGluIEVuZG9jcmlub2wg
TWV0YWI8L2Z1bGwtdGl0bGU+PC9wZXJpb2RpY2FsPjxwYWdlcz45MDMtOTEzPC9wYWdlcz48dm9s
dW1lPjEwMjwvdm9sdW1lPjxudW1iZXI+MzwvbnVtYmVyPjxlZGl0aW9uPjIwMTYvMTIvMTA8L2Vk
aXRpb24+PGRhdGVzPjx5ZWFyPjIwMTc8L3llYXI+PHB1Yi1kYXRlcz48ZGF0ZT5NYXIgMTwvZGF0
ZT48L3B1Yi1kYXRlcz48L2RhdGVzPjxpc2JuPjE5NDUtNzE5NyAoRWxlY3Ryb25pYykmI3hEOzAw
MjEtOTcyWCAoTGlua2luZyk8L2lzYm4+PGFjY2Vzc2lvbi1udW0+Mjc5MzU3Njc8L2FjY2Vzc2lv
bi1udW0+PHVybHM+PHJlbGF0ZWQtdXJscz48dXJsPmh0dHBzOi8vd3d3Lm5jYmkubmxtLm5paC5n
b3YvcHVibWVkLzI3OTM1NzY3PC91cmw+PC9yZWxhdGVkLXVybHM+PC91cmxzPjxjdXN0b20yPlBN
QzU0NjA2ODg8L2N1c3RvbTI+PGVsZWN0cm9uaWMtcmVzb3VyY2UtbnVtPjEwLjEyMTAvamMuMjAx
Ni0zNDU1PC9lbGVjdHJvbmljLXJlc291cmNlLW51bT48L3JlY29yZD48L0NpdGU+PC9FbmROb3Rl
PgB=
</w:fldData>
        </w:fldChar>
      </w:r>
      <w:r w:rsidR="002747EA">
        <w:instrText xml:space="preserve"> ADDIN EN.CITE </w:instrText>
      </w:r>
      <w:r w:rsidR="002747EA">
        <w:fldChar w:fldCharType="begin">
          <w:fldData xml:space="preserve">PEVuZE5vdGU+PENpdGU+PEF1dGhvcj5Cb2dhZXJ0czwvQXV0aG9yPjxZZWFyPjIwMTM8L1llYXI+
PFJlY051bT43MTM8L1JlY051bT48RGlzcGxheVRleHQ+PHN0eWxlIGZhY2U9InN1cGVyc2NyaXB0
IiBmb250PSJUcmVidWNoZXQgTVMiIHNpemU9IjkiPjQwMiw1MTAsNTExPC9zdHlsZT48L0Rpc3Bs
YXlUZXh0PjxyZWNvcmQ+PHJlYy1udW1iZXI+NzEzPC9yZWMtbnVtYmVyPjxmb3JlaWduLWtleXM+
PGtleSBhcHA9IkVOIiBkYi1pZD0iZXh2YXNyZngyZHRyYW9lc2FzeHAyc3pzeGEyZGY1MDI1OTJ4
IiB0aW1lc3RhbXA9IjE1NDE0NjI0NDMiPjcxMzwva2V5PjwvZm9yZWlnbi1rZXlzPjxyZWYtdHlw
ZSBuYW1lPSJKb3VybmFsIEFydGljbGUiPjE3PC9yZWYtdHlwZT48Y29udHJpYnV0b3JzPjxhdXRo
b3JzPjxhdXRob3I+Qm9nYWVydHMsIEEuIEYuPC9hdXRob3I+PGF1dGhvcj5EZXZsaWVnZXIsIFIu
PC9hdXRob3I+PGF1dGhvcj5OdXl0cywgRS48L2F1dGhvcj48YXV0aG9yPldpdHRlcnMsIEkuPC9h
dXRob3I+PGF1dGhvcj5HeXNlbGFlcnMsIFcuPC9hdXRob3I+PGF1dGhvcj5WYW4gZGVuIEJlcmdo
LCBCLiBSLjwvYXV0aG9yPjwvYXV0aG9ycz48L2NvbnRyaWJ1dG9ycz48YXV0aC1hZGRyZXNzPkRl
cGFydG1lbnQgb2YgSGVhbHRoY2FyZSBSZXNlYXJjaCwgUEhMIFVuaXZlcnNpdHkgQ29sbGVnZSwg
TGltYnVyZyBDYXRob2xpYyBVbml2ZXJzaXR5IENvbGxlZ2UsIEhhc3NlbHQsIEJlbGdpdW0uPC9h
dXRoLWFkZHJlc3M+PHRpdGxlcz48dGl0bGU+RWZmZWN0cyBvZiBsaWZlc3R5bGUgaW50ZXJ2ZW50
aW9uIGluIG9iZXNlIHByZWduYW50IHdvbWVuIG9uIGdlc3RhdGlvbmFsIHdlaWdodCBnYWluIGFu
ZCBtZW50YWwgaGVhbHRoOiBhIHJhbmRvbWl6ZWQgY29udHJvbGxlZCB0cmlhbDwvdGl0bGU+PHNl
Y29uZGFyeS10aXRsZT5JbnQgSiBPYmVzIChMb25kKTwvc2Vjb25kYXJ5LXRpdGxlPjwvdGl0bGVz
PjxwZXJpb2RpY2FsPjxmdWxsLXRpdGxlPkludCBKIE9iZXMgKExvbmQpPC9mdWxsLXRpdGxlPjwv
cGVyaW9kaWNhbD48cGFnZXM+ODE0LTIxPC9wYWdlcz48dm9sdW1lPjM3PC92b2x1bWU+PG51bWJl
cj42PC9udW1iZXI+PGVkaXRpb24+MjAxMi8xMC8wNDwvZWRpdGlvbj48a2V5d29yZHM+PGtleXdv
cmQ+QWR1bHQ8L2tleXdvcmQ+PGtleXdvcmQ+QW54aWV0eS9lcGlkZW1pb2xvZ3kvKnByZXZlbnRp
b24gJmFtcDsgY29udHJvbDwva2V5d29yZD48a2V5d29yZD5CZWxnaXVtL2VwaWRlbWlvbG9neTwv
a2V5d29yZD48a2V5d29yZD5Cb2R5IE1hc3MgSW5kZXg8L2tleXdvcmQ+PGtleXdvcmQ+RGVwcmVz
c2lvbi9lcGlkZW1pb2xvZ3kvKnByZXZlbnRpb24gJmFtcDsgY29udHJvbDwva2V5d29yZD48a2V5
d29yZD5GZW1hbGU8L2tleXdvcmQ+PGtleXdvcmQ+SGVhbHRoIEtub3dsZWRnZSwgQXR0aXR1ZGVz
LCBQcmFjdGljZTwva2V5d29yZD48a2V5d29yZD5IdW1hbnM8L2tleXdvcmQ+PGtleXdvcmQ+Kkxp
ZmUgU3R5bGU8L2tleXdvcmQ+PGtleXdvcmQ+TG9uZ2l0dWRpbmFsIFN0dWRpZXM8L2tleXdvcmQ+
PGtleXdvcmQ+TW90aXZhdGlvbjwva2V5d29yZD48a2V5d29yZD5PYmVzaXR5L2VwaWRlbWlvbG9n
eS9wcmV2ZW50aW9uICZhbXA7IGNvbnRyb2wvcHN5Y2hvbG9neS8qdGhlcmFweTwva2V5d29yZD48
a2V5d29yZD5QYXRpZW50IEVkdWNhdGlvbiBhcyBUb3BpYzwva2V5d29yZD48a2V5d29yZD5QcmVn
bmFuY3k8L2tleXdvcmQ+PGtleXdvcmQ+UHJlZ25hbmN5IENvbXBsaWNhdGlvbnMvZXBpZGVtaW9s
b2d5L3ByZXZlbnRpb24gJmFtcDsgY29udHJvbC9wc3ljaG9sb2d5Lyp0aGVyYXB5PC9rZXl3b3Jk
PjxrZXl3b3JkPlByZW5hdGFsIENhcmUvKm1ldGhvZHM8L2tleXdvcmQ+PGtleXdvcmQ+UHJldmFs
ZW5jZTwva2V5d29yZD48a2V5d29yZD5SaXNrIEZhY3RvcnM8L2tleXdvcmQ+PGtleXdvcmQ+Umlz
ayBSZWR1Y3Rpb24gQmVoYXZpb3I8L2tleXdvcmQ+PGtleXdvcmQ+U3VydmV5cyBhbmQgUXVlc3Rp
b25uYWlyZXM8L2tleXdvcmQ+PGtleXdvcmQ+KldlaWdodCBHYWluPC9rZXl3b3JkPjwva2V5d29y
ZHM+PGRhdGVzPjx5ZWFyPjIwMTM8L3llYXI+PHB1Yi1kYXRlcz48ZGF0ZT5KdW48L2RhdGU+PC9w
dWItZGF0ZXM+PC9kYXRlcz48aXNibj4xNDc2LTU0OTcgKEVsZWN0cm9uaWMpJiN4RDswMzA3LTA1
NjUgKExpbmtpbmcpPC9pc2JuPjxhY2Nlc3Npb24tbnVtPjIzMDMyNDA0PC9hY2Nlc3Npb24tbnVt
Pjx1cmxzPjxyZWxhdGVkLXVybHM+PHVybD5odHRwczovL3d3dy5uY2JpLm5sbS5uaWguZ292L3B1
Ym1lZC8yMzAzMjQwNDwvdXJsPjwvcmVsYXRlZC11cmxzPjwvdXJscz48ZWxlY3Ryb25pYy1yZXNv
dXJjZS1udW0+MTAuMTAzOC9pam8uMjAxMi4xNjI8L2VsZWN0cm9uaWMtcmVzb3VyY2UtbnVtPjwv
cmVjb3JkPjwvQ2l0ZT48Q2l0ZT48QXV0aG9yPkd1ZWxpbmNreDwvQXV0aG9yPjxZZWFyPjIwMTA8
L1llYXI+PFJlY051bT43MjI8L1JlY051bT48cmVjb3JkPjxyZWMtbnVtYmVyPjcyMjwvcmVjLW51
bWJlcj48Zm9yZWlnbi1rZXlzPjxrZXkgYXBwPSJFTiIgZGItaWQ9ImV4dmFzcmZ4MmR0cmFvZXNh
c3hwMnN6c3hhMmRmNTAyNTkyeCIgdGltZXN0YW1wPSIxNTQxNDY0Nzc3Ij43MjI8L2tleT48L2Zv
cmVpZ24ta2V5cz48cmVmLXR5cGUgbmFtZT0iSm91cm5hbCBBcnRpY2xlIj4xNzwvcmVmLXR5cGU+
PGNvbnRyaWJ1dG9ycz48YXV0aG9ycz48YXV0aG9yPkd1ZWxpbmNreCwgSS48L2F1dGhvcj48YXV0
aG9yPkRldmxpZWdlciwgUi48L2F1dGhvcj48YXV0aG9yPk11bGxpZSwgUC48L2F1dGhvcj48YXV0
aG9yPlZhbnNhbnQsIEcuPC9hdXRob3I+PC9hdXRob3JzPjwvY29udHJpYnV0b3JzPjxhdXRoLWFk
ZHJlc3M+RGVwYXJ0bWVudCBvZiBOdXRyaXRpb24tUHVibGljIEhlYWx0aCBNZWRpY2luZSwgTEZv
UkNlLCBDYXRob2xpYyBVbml2ZXJzaXR5IExldXZlbiwgTGV1dmVuLCBCZWxnaXVtLiBpc2FiZWxs
ZS5ndWVsaW5ja3hAbWVkLmt1bGV1dmVuLmJlPC9hdXRoLWFkZHJlc3M+PHRpdGxlcz48dGl0bGU+
RWZmZWN0IG9mIGxpZmVzdHlsZSBpbnRlcnZlbnRpb24gb24gZGlldGFyeSBoYWJpdHMsIHBoeXNp
Y2FsIGFjdGl2aXR5LCBhbmQgZ2VzdGF0aW9uYWwgd2VpZ2h0IGdhaW4gaW4gb2Jlc2UgcHJlZ25h
bnQgd29tZW46IGEgcmFuZG9taXplZCBjb250cm9sbGVkIHRyaWFsPC90aXRsZT48c2Vjb25kYXJ5
LXRpdGxlPkFtIEogQ2xpbiBOdXRyPC9zZWNvbmRhcnktdGl0bGU+PC90aXRsZXM+PHBlcmlvZGlj
YWw+PGZ1bGwtdGl0bGU+QW0gSiBDbGluIE51dHI8L2Z1bGwtdGl0bGU+PC9wZXJpb2RpY2FsPjxw
YWdlcz4zNzMtODA8L3BhZ2VzPjx2b2x1bWU+OTE8L3ZvbHVtZT48bnVtYmVyPjI8L251bWJlcj48
ZWRpdGlvbj4yMDA5LzEyLzA0PC9lZGl0aW9uPjxrZXl3b3Jkcz48a2V5d29yZD5BZHVsdDwva2V5
d29yZD48a2V5d29yZD5CZWhhdmlvciBUaGVyYXB5LyptZXRob2RzPC9rZXl3b3JkPjxrZXl3b3Jk
PkZlZWRpbmcgQmVoYXZpb3IvcGh5c2lvbG9neTwva2V5d29yZD48a2V5d29yZD5GZW1hbGU8L2tl
eXdvcmQ+PGtleXdvcmQ+SHVtYW5zPC9rZXl3b3JkPjxrZXl3b3JkPkluZmFudCwgTmV3Ym9ybjwv
a2V5d29yZD48a2V5d29yZD4qTGlmZSBTdHlsZTwva2V5d29yZD48a2V5d29yZD5Nb3RvciBBY3Rp
dml0eS9waHlzaW9sb2d5PC9rZXl3b3JkPjxrZXl3b3JkPk9iZXNpdHkvcGh5c2lvcGF0aG9sb2d5
Lyp0aGVyYXB5PC9rZXl3b3JkPjxrZXl3b3JkPlByZWduYW5jeTwva2V5d29yZD48a2V5d29yZD5Q
cmVnbmFuY3kgQ29tcGxpY2F0aW9ucy9waHlzaW9wYXRob2xvZ3kvKnRoZXJhcHk8L2tleXdvcmQ+
PGtleXdvcmQ+UHJlbmF0YWwgTnV0cml0aW9uYWwgUGh5c2lvbG9naWNhbCBQaGVub21lbmE8L2tl
eXdvcmQ+PGtleXdvcmQ+V2VpZ2h0IEdhaW4vKnBoeXNpb2xvZ3k8L2tleXdvcmQ+PC9rZXl3b3Jk
cz48ZGF0ZXM+PHllYXI+MjAxMDwveWVhcj48cHViLWRhdGVzPjxkYXRlPkZlYjwvZGF0ZT48L3B1
Yi1kYXRlcz48L2RhdGVzPjxpc2JuPjE5MzgtMzIwNyAoRWxlY3Ryb25pYykmI3hEOzAwMDItOTE2
NSAoTGlua2luZyk8L2lzYm4+PGFjY2Vzc2lvbi1udW0+MTk5NTUzOTc8L2FjY2Vzc2lvbi1udW0+
PHVybHM+PHJlbGF0ZWQtdXJscz48dXJsPmh0dHBzOi8vd3d3Lm5jYmkubmxtLm5paC5nb3YvcHVi
bWVkLzE5OTU1Mzk3PC91cmw+PC9yZWxhdGVkLXVybHM+PC91cmxzPjxlbGVjdHJvbmljLXJlc291
cmNlLW51bT4xMC4zOTQ1L2FqY24uMjAwOS4yODE2NjwvZWxlY3Ryb25pYy1yZXNvdXJjZS1udW0+
PC9yZWNvcmQ+PC9DaXRlPjxDaXRlPjxBdXRob3I+U2ltbW9uczwvQXV0aG9yPjxZZWFyPjIwMTc8
L1llYXI+PFJlY051bT4xMDU3PC9SZWNOdW0+PHJlY29yZD48cmVjLW51bWJlcj4xMDU3PC9yZWMt
bnVtYmVyPjxmb3JlaWduLWtleXM+PGtleSBhcHA9IkVOIiBkYi1pZD0iZXh2YXNyZngyZHRyYW9l
c2FzeHAyc3pzeGEyZGY1MDI1OTJ4IiB0aW1lc3RhbXA9IjE1NDg5ODM0NzYiPjEwNTc8L2tleT48
L2ZvcmVpZ24ta2V5cz48cmVmLXR5cGUgbmFtZT0iSm91cm5hbCBBcnRpY2xlIj4xNzwvcmVmLXR5
cGU+PGNvbnRyaWJ1dG9ycz48YXV0aG9ycz48YXV0aG9yPlNpbW1vbnMsIEQuPC9hdXRob3I+PGF1
dGhvcj5EZXZsaWVnZXIsIFIuPC9hdXRob3I+PGF1dGhvcj52YW4gQXNzY2hlLCBBLjwvYXV0aG9y
PjxhdXRob3I+SmFucywgRy48L2F1dGhvcj48YXV0aG9yPkdhbGphYXJkLCBTLjwvYXV0aG9yPjxh
dXRob3I+Q29yY295LCBSLjwvYXV0aG9yPjxhdXRob3I+QWRlbGFudGFkbywgSi4gTS48L2F1dGhv
cj48YXV0aG9yPkR1bm5lLCBGLjwvYXV0aG9yPjxhdXRob3I+RGVzb3llLCBHLjwvYXV0aG9yPjxh
dXRob3I+SGFycmVpdGVyLCBKLjwvYXV0aG9yPjxhdXRob3I+S2F1dHpreS1XaWxsZXIsIEEuPC9h
dXRob3I+PGF1dGhvcj5EYW1tLCBQLjwvYXV0aG9yPjxhdXRob3I+TWF0aGllc2VuLCBFLiBSLjwv
YXV0aG9yPjxhdXRob3I+SmVuc2VuLCBELiBNLjwvYXV0aG9yPjxhdXRob3I+QW5kZXJzZW4sIEwu
PC9hdXRob3I+PGF1dGhvcj5MYXBvbGxhLCBBLjwvYXV0aG9yPjxhdXRob3I+RGFsZnJhLCBNLiBH
LjwvYXV0aG9yPjxhdXRob3I+QmVydG9sb3R0bywgQS48L2F1dGhvcj48YXV0aG9yPldlbmRlci1P
emVnb3dza2EsIEUuPC9hdXRob3I+PGF1dGhvcj5aYXdpZWpza2EsIEEuPC9hdXRob3I+PGF1dGhv
cj5IaWxsLCBELjwvYXV0aG9yPjxhdXRob3I+U25vZWssIEYuIEouPC9hdXRob3I+PGF1dGhvcj5K
ZWxzbWEsIEouIEcuPC9hdXRob3I+PGF1dGhvcj52YW4gUG9wcGVsLCBNLiBOLjwvYXV0aG9yPjwv
YXV0aG9ycz48L2NvbnRyaWJ1dG9ycz48YXV0aC1hZGRyZXNzPldlc3Rlcm4gU3lkbmV5IFVuaXZl
cnNpdHksIENhbXBiZWxsdG93biwgTmV3IFNvdXRoIFdhbGVzIDI1NjAsIEF1c3RyYWxpYS4mI3hE
O0luc3RpdHV0ZSBvZiBNZXRhYm9saWMgU2NpZW5jZSwgQWRkZW5icm9va2UmYXBvcztzIEhvc3Bp
dGFsLCBDYW1icmlkZ2UsIENCMiAwUVEgRW5nbGFuZC4mI3hEO0RlcGFydG1lbnQgb2YgRGV2ZWxv
cG1lbnQgYW5kIFJlZ2VuZXJhdGlvbjogUHJlZ25hbmN5LCBGZXR1cyBhbmQgTmVvbmF0ZSwgR3lu
YWVjb2xvZ3kgYW5kIE9ic3RldHJpY3MsIFVuaXZlcnNpdHkgSG9zcGl0YWxzLCBLYXRob2xpZWtl
IFVuaXZlcnNpdGVpdCBMZXV2ZW4sIExldXZlbiwgQmVsZ2l1bS4mI3hEO0RpdmlzaW9uIG9mIE9i
c3RldHJpY3MgYW5kIFByZW5hdGFsIE1lZGljaW5lLCBEZXBhcnRtZW50IG9mIE9ic3RldHJpY3Mg
YW5kIEd5bmFlY29sb2d5LCBFcmFzbXVzIFVuaXZlcnNpdHkgTWVkaWNhbCBDZW50ZXIgUm90dGVy
ZGFtLCBSb3R0ZXJkYW0sIFRoZSBOZXRoZXJsYW5kcy4mI3hEO0luc3RpdHV0IGRlIFJlY2VyY2Eg
ZGUgbCBIb3NwaXRhbCBkZSBsYSBTYW50YSBDcmV1IGkgU2FudCBQYXUsIEJhcmNlbG9uYSwgU3Bh
aW4uJiN4RDtDSUJFUiBCaW9lbmdpbmVlcmluZywgQmlvbWF0ZXJpYWxzIGFuZCBOYW5vdGVjaG5v
bG9neSwgSW5zdGl0dXRvIGRlIFNhbHVkIENhcmxvcyBJSUksIFphcmFnb3phLCBTcGFpbi4mI3hE
O0dhbHdheSBEaWFiZXRlcyBSZXNlYXJjaCBDZW50cmUgYW5kIENvbGxlZ2Ugb2YgTWVkaWNpbmUg
TnVyc2luZyBhbmQgSGVhbHRoIFNjaWVuY2VzLCBOYXRpb25hbCBVbml2ZXJzaXR5IG9mIElyZWxh
bmQsIEdhbHdheSwgSXJlbGFuZC4mI3hEO0RlcGFydG1lbnQgb2YgT2JzdGV0cmljcyBhbmQgR3lu
ZWNvbG9neSwgTWVkaXppbmlzY2hlIFVuaXZlcnNpdGFldCBHcmF6LCBHcmF6LCBBdXN0cmlhLiYj
eEQ7R2VuZGVyIE1lZGljaW5lIFVuaXQsIEVuZG9jcmlub2xvZ3kgYW5kIE1ldGFib2xpc20sIERl
cGFydG1lbnQgb2YgSW50ZXJuYWwgTWVkaWNpbmUgSUlJLCBNZWRpY2FsIFVuaXZlcnNpdHkgb2Yg
Vmllbm5hLCBWaWVubmEsIEF1c3RyaWEuJiN4RDtDZW50ZXIgZm9yIFByZWduYW50IFdvbWVuIHdp
dGggRGlhYmV0ZXMsIERlcGFydG1lbnRzIG9mIEVuZG9jcmlub2xvZ3kgYW5kIE9ic3RldHJpY3Ms
IFJpZ3Nob3NwaXRhbGV0LCBJbnN0aXR1dGUgb2YgQ2xpbmljYWwgTWVkaWNpbmUsIEZhY3VsdHkg
b2YgSGVhbHRoIGFuZCBNZWRpY2FsIFNjaWVuY2VzLCBVbml2ZXJzaXR5IG9mIENvcGVuaGFnZW4s
IENvcGVuaGFnZW4sIERlbm1hcmsuJiN4RDtEZXBhcnRtZW50IG9mIEVuZG9jcmlub2xvZ3kgYW5k
IERlcGFydG1lbnQgb2YgR3luZWNvbG9neSBhbmQgT2JzdGV0cmljcywgT2RlbnNlIFVuaXZlcnNp
dHkgSG9zcGl0YWwsIE9kZW5zZSwgRGVubWFyay4mI3hEO0RlcGFydG1lbnQgb2YgQ2xpbmljYWwg
UmVzZWFyY2gsIEZhY3VsdHkgb2YgSGVhbHRoIFNjaWVuY2VzLCBVbml2ZXJzaXR5IG9mIFNvdXRo
ZXJuIERlbm1hcmssIE9kZW5zZSwgRGVubWFyay4mI3hEO1VuaXZlcnNpdGEgRGVnbGkgU3R1ZGkg
ZGkgUGFkb3ZhLCBQYWR1YSwgSXRhbHkuJiN4RDtBemllbmRhIE9zcGVkYWxpZXJvIFVuaXZlcnNp
dGFyaWEtUGlzYSwgUGlzYSBJdGFseS4mI3hEO01lZGljYWwgRmFjdWx0eSBJLCBQb3puYW4gVW5p
dmVyc2l0eSBvZiBNZWRpY2FsIFNjaWVuY2VzLCBQb3puYW4sIFBvbGFuZC4mI3hEO1JlY2hlcmNo
ZSBlbiBTYW50ZSBMYXdzb24gU0EsIEJyb25zY2hob2ZlbiwgU3dpdHplcmxhbmQuJiN4RDtEZXBh
cnRtZW50IG9mIE1lZGljYWwgUHN5Y2hvbG9neSwgRU1HTysgSW5zdGl0dXRlIGZvciBIZWFsdGgg
YW5kIENhcmUgUmVzZWFyY2gsIFZVIFVuaXZlcnNpdHkgTWVkaWNhbCBDZW50cmUsIEFtc3RlcmRh
bSwgVGhlIE5ldGhlcmxhbmRzLiYjeEQ7RGVwYXJ0bWVudCBvZiBNZWRpY2FsIFBzeWNob2xvZ3ks
IEFjYWRlbWljIE1lZGljYWwgQ2VudHJlLCBBbXN0ZXJkYW0sIFRoZSBOZXRoZXJsYW5kcy4mI3hE
O0RlcGFydG1lbnQgb2YgUHVibGljIGFuZCBPY2N1cGF0aW9uYWwgSGVhbHRoLCBFTUdPKyBJbnN0
aXR1dGUgZm9yIEhlYWx0aCBhbmQgQ2FyZSBSZXNlYXJjaCwgVlUgVW5pdmVyc2l0eSBNZWRpY2Fs
IENlbnRyZSwgQW1zdGVyZGFtLCBUaGUgTmV0aGVybGFuZHM7IGFuZC4mI3hEO0luc3RpdHV0ZSBv
ZiBTcG9ydCBTY2llbmNlLCBVbml2ZXJzaXR5IG9mIEdyYXosIEdyYXosIEF1c3RyaWEuPC9hdXRo
LWFkZHJlc3M+PHRpdGxlcz48dGl0bGU+RWZmZWN0IG9mIFBoeXNpY2FsIEFjdGl2aXR5IGFuZC9v
ciBIZWFsdGh5IEVhdGluZyBvbiBHRE0gUmlzazogVGhlIERBTEkgTGlmZXN0eWxlIFN0dWR5PC90
aXRsZT48c2Vjb25kYXJ5LXRpdGxlPkogQ2xpbiBFbmRvY3Jpbm9sIE1ldGFiPC9zZWNvbmRhcnkt
dGl0bGU+PC90aXRsZXM+PHBlcmlvZGljYWw+PGZ1bGwtdGl0bGU+SiBDbGluIEVuZG9jcmlub2wg
TWV0YWI8L2Z1bGwtdGl0bGU+PC9wZXJpb2RpY2FsPjxwYWdlcz45MDMtOTEzPC9wYWdlcz48dm9s
dW1lPjEwMjwvdm9sdW1lPjxudW1iZXI+MzwvbnVtYmVyPjxlZGl0aW9uPjIwMTYvMTIvMTA8L2Vk
aXRpb24+PGRhdGVzPjx5ZWFyPjIwMTc8L3llYXI+PHB1Yi1kYXRlcz48ZGF0ZT5NYXIgMTwvZGF0
ZT48L3B1Yi1kYXRlcz48L2RhdGVzPjxpc2JuPjE5NDUtNzE5NyAoRWxlY3Ryb25pYykmI3hEOzAw
MjEtOTcyWCAoTGlua2luZyk8L2lzYm4+PGFjY2Vzc2lvbi1udW0+Mjc5MzU3Njc8L2FjY2Vzc2lv
bi1udW0+PHVybHM+PHJlbGF0ZWQtdXJscz48dXJsPmh0dHBzOi8vd3d3Lm5jYmkubmxtLm5paC5n
b3YvcHVibWVkLzI3OTM1NzY3PC91cmw+PC9yZWxhdGVkLXVybHM+PC91cmxzPjxjdXN0b20yPlBN
QzU0NjA2ODg8L2N1c3RvbTI+PGVsZWN0cm9uaWMtcmVzb3VyY2UtbnVtPjEwLjEyMTAvamMuMjAx
Ni0zNDU1PC9lbGVjdHJvbmljLXJlc291cmNlLW51bT48L3JlY29yZD48L0NpdGU+PC9FbmROb3Rl
PgB=
</w:fldData>
        </w:fldChar>
      </w:r>
      <w:r w:rsidR="002747EA">
        <w:instrText xml:space="preserve"> ADDIN EN.CITE.DATA </w:instrText>
      </w:r>
      <w:r w:rsidR="002747EA">
        <w:fldChar w:fldCharType="end"/>
      </w:r>
      <w:r>
        <w:fldChar w:fldCharType="separate"/>
      </w:r>
      <w:r w:rsidR="002747EA" w:rsidRPr="002747EA">
        <w:rPr>
          <w:noProof/>
          <w:vertAlign w:val="superscript"/>
        </w:rPr>
        <w:t>402,510,511</w:t>
      </w:r>
      <w:r>
        <w:fldChar w:fldCharType="end"/>
      </w:r>
      <w:r>
        <w:rPr>
          <w:lang w:val="en-AU"/>
        </w:rPr>
        <w:t xml:space="preserve"> or BMI ≥30</w:t>
      </w:r>
      <w:r>
        <w:fldChar w:fldCharType="begin">
          <w:fldData xml:space="preserve">PEVuZE5vdGU+PENpdGU+PEF1dGhvcj5SZW5hdWx0PC9BdXRob3I+PFllYXI+MjAxNDwvWWVhcj48
UmVjTnVtPjkzNzwvUmVjTnVtPjxEaXNwbGF5VGV4dD48c3R5bGUgZmFjZT0ic3VwZXJzY3JpcHQi
IGZvbnQ9IlRyZWJ1Y2hldCBNUyIgc2l6ZT0iOSI+NDUxLDUxMi01MTU8L3N0eWxlPjwvRGlzcGxh
eVRleHQ+PHJlY29yZD48cmVjLW51bWJlcj45Mzc8L3JlYy1udW1iZXI+PGZvcmVpZ24ta2V5cz48
a2V5IGFwcD0iRU4iIGRiLWlkPSJleHZhc3JmeDJkdHJhb2VzYXN4cDJzenN4YTJkZjUwMjU5Mngi
IHRpbWVzdGFtcD0iMTU0MTU0MTgxNCI+OTM3PC9rZXk+PGtleSBhcHA9IkVOV2ViIiBkYi1pZD0i
Ij4wPC9rZXk+PC9mb3JlaWduLWtleXM+PHJlZi10eXBlIG5hbWU9IkpvdXJuYWwgQXJ0aWNsZSI+
MTc8L3JlZi10eXBlPjxjb250cmlidXRvcnM+PGF1dGhvcnM+PGF1dGhvcj5SZW5hdWx0LCBLLiBN
LjwvYXV0aG9yPjxhdXRob3I+Tm9yZ2FhcmQsIEsuPC9hdXRob3I+PGF1dGhvcj5OaWxhcywgTC48
L2F1dGhvcj48YXV0aG9yPkNhcmxzZW4sIEUuIE0uPC9hdXRob3I+PGF1dGhvcj5Db3J0ZXMsIEQu
PC9hdXRob3I+PGF1dGhvcj5QcnlkcywgTy48L2F1dGhvcj48YXV0aG9yPlNlY2hlciwgTi4gSi48
L2F1dGhvcj48L2F1dGhvcnM+PC9jb250cmlidXRvcnM+PGF1dGgtYWRkcmVzcz5EZXBhcnRtZW50
IG9mIE9ic3RldHJpY3MgYW5kIEd5bmVjb2xvZ3ksIEh2aWRvdnJlIEhvc3BpdGFsLCBVbml2ZXJz
aXR5IG9mIENvcGVuaGFnZW4sIEh2aWRvdnJlLCBEZW5tYXJrLiBFbGVjdHJvbmljIGFkZHJlc3M6
IEtyZW5hdWx0QGRhZGxuZXQuZGsuJiN4RDtEZXBhcnRtZW50IG9mIEVuZG9jcmlub2xvZ3ksIEh2
aWRvdnJlIEhvc3BpdGFsLCBVbml2ZXJzaXR5IG9mIENvcGVuaGFnZW4sIEh2aWRvdnJlLCBEZW5t
YXJrLiYjeEQ7RGVwYXJ0bWVudCBvZiBPYnN0ZXRyaWNzIGFuZCBHeW5lY29sb2d5LCBIdmlkb3Zy
ZSBIb3NwaXRhbCwgVW5pdmVyc2l0eSBvZiBDb3BlbmhhZ2VuLCBIdmlkb3ZyZSwgRGVubWFyay4m
I3hEO0RlcGFydG1lbnQgb2YgUGVkaWF0cmljcywgSHZpZG92cmUgSG9zcGl0YWwsIFVuaXZlcnNp
dHkgb2YgQ29wZW5oYWdlbiwgSHZpZG92cmUsIERlbm1hcmsuPC9hdXRoLWFkZHJlc3M+PHRpdGxl
cz48dGl0bGU+VGhlIFRyZWF0bWVudCBvZiBPYmVzZSBQcmVnbmFudCBXb21lbiAoVE9QKSBzdHVk
eTogYSByYW5kb21pemVkIGNvbnRyb2xsZWQgdHJpYWwgb2YgdGhlIGVmZmVjdCBvZiBwaHlzaWNh
bCBhY3Rpdml0eSBpbnRlcnZlbnRpb24gYXNzZXNzZWQgYnkgcGVkb21ldGVyIHdpdGggb3Igd2l0
aG91dCBkaWV0YXJ5IGludGVydmVudGlvbiBpbiBvYmVzZSBwcmVnbmFudCB3b21lbjwvdGl0bGU+
PHNlY29uZGFyeS10aXRsZT5BbSBKIE9ic3RldCBHeW5lY29sPC9zZWNvbmRhcnktdGl0bGU+PC90
aXRsZXM+PHBlcmlvZGljYWw+PGZ1bGwtdGl0bGU+QW0gSiBPYnN0ZXQgR3luZWNvbDwvZnVsbC10
aXRsZT48L3BlcmlvZGljYWw+PHBhZ2VzPjEzNCBlMS05PC9wYWdlcz48dm9sdW1lPjIxMDwvdm9s
dW1lPjxudW1iZXI+MjwvbnVtYmVyPjxlZGl0aW9uPjIwMTMvMDkvMjY8L2VkaXRpb24+PGtleXdv
cmRzPjxrZXl3b3JkPkFjdGlncmFwaHk8L2tleXdvcmQ+PGtleXdvcmQ+QWR1bHQ8L2tleXdvcmQ+
PGtleXdvcmQ+Q29tYmluZWQgTW9kYWxpdHkgVGhlcmFweTwva2V5d29yZD48a2V5d29yZD5EaWV0
LCBNZWRpdGVycmFuZWFuPC9rZXl3b3JkPjxrZXl3b3JkPkVuZXJneSBJbnRha2U8L2tleXdvcmQ+
PGtleXdvcmQ+KkV4ZXJjaXNlPC9rZXl3b3JkPjxrZXl3b3JkPkZlbWFsZTwva2V5d29yZD48a2V5
d29yZD5IdW1hbnM8L2tleXdvcmQ+PGtleXdvcmQ+T2Jlc2l0eS9kaWV0IHRoZXJhcHkvKnRoZXJh
cHk8L2tleXdvcmQ+PGtleXdvcmQ+UHJlZ25hbmN5PC9rZXl3b3JkPjxrZXl3b3JkPlByZWduYW5j
eSBDb21wbGljYXRpb25zL2RpZXQgdGhlcmFweS8qdGhlcmFweTwva2V5d29yZD48a2V5d29yZD5k
aWV0PC9rZXl3b3JkPjxrZXl3b3JkPmludGVydmVudGlvbjwva2V5d29yZD48a2V5d29yZD5vYmVz
aXR5PC9rZXl3b3JkPjxrZXl3b3JkPnBlZG9tZXRlcjwva2V5d29yZD48a2V5d29yZD5waHlzaWNh
bCBhY3Rpdml0eTwva2V5d29yZD48L2tleXdvcmRzPjxkYXRlcz48eWVhcj4yMDE0PC95ZWFyPjxw
dWItZGF0ZXM+PGRhdGU+RmViPC9kYXRlPjwvcHViLWRhdGVzPjwvZGF0ZXM+PGlzYm4+MTA5Ny02
ODY4IChFbGVjdHJvbmljKSYjeEQ7MDAwMi05Mzc4IChMaW5raW5nKTwvaXNibj48YWNjZXNzaW9u
LW51bT4yNDA2MDQ0OTwvYWNjZXNzaW9uLW51bT48dXJscz48cmVsYXRlZC11cmxzPjx1cmw+aHR0
cHM6Ly93d3cubmNiaS5ubG0ubmloLmdvdi9wdWJtZWQvMjQwNjA0NDk8L3VybD48L3JlbGF0ZWQt
dXJscz48L3VybHM+PGVsZWN0cm9uaWMtcmVzb3VyY2UtbnVtPjEwLjEwMTYvai5ham9nLjIwMTMu
MDkuMDI5PC9lbGVjdHJvbmljLXJlc291cmNlLW51bT48L3JlY29yZD48L0NpdGU+PENpdGU+PEF1
dGhvcj5Qb3N0b248L0F1dGhvcj48WWVhcj4yMDEzPC9ZZWFyPjxSZWNOdW0+MTEwNTwvUmVjTnVt
PjxyZWNvcmQ+PHJlYy1udW1iZXI+MTEwNTwvcmVjLW51bWJlcj48Zm9yZWlnbi1rZXlzPjxrZXkg
YXBwPSJFTiIgZGItaWQ9ImV4dmFzcmZ4MmR0cmFvZXNhc3hwMnN6c3hhMmRmNTAyNTkyeCIgdGlt
ZXN0YW1wPSIxNTUyOTQ4Mjc1Ij4xMTA1PC9rZXk+PC9mb3JlaWduLWtleXM+PHJlZi10eXBlIG5h
bWU9IkpvdXJuYWwgQXJ0aWNsZSI+MTc8L3JlZi10eXBlPjxjb250cmlidXRvcnM+PGF1dGhvcnM+
PGF1dGhvcj5Qb3N0b24sIEwuPC9hdXRob3I+PGF1dGhvcj5CcmlsZXksIEEuIEwuPC9hdXRob3I+
PGF1dGhvcj5CYXJyLCBTLjwvYXV0aG9yPjxhdXRob3I+QmVsbCwgUi48L2F1dGhvcj48YXV0aG9y
PkNyb2tlciwgSC48L2F1dGhvcj48YXV0aG9yPkNveG9uLCBLLjwvYXV0aG9yPjxhdXRob3I+RXNz
ZXgsIEguIE4uPC9hdXRob3I+PGF1dGhvcj5IdW50LCBDLjwvYXV0aG9yPjxhdXRob3I+SGF5ZXMs
IEwuPC9hdXRob3I+PGF1dGhvcj5Ib3dhcmQsIEwuIE0uPC9hdXRob3I+PGF1dGhvcj5LaGF6YWV6
YWRlaCwgTi48L2F1dGhvcj48YXV0aG9yPktpbm51bmVuLCBULjwvYXV0aG9yPjxhdXRob3I+TmVs
c29uLCBTLiBNLjwvYXV0aG9yPjxhdXRob3I+T3RlbmctTnRpbSwgRS48L2F1dGhvcj48YXV0aG9y
PlJvYnNvbiwgUy4gQy48L2F1dGhvcj48YXV0aG9yPlNhdHRhciwgTi48L2F1dGhvcj48YXV0aG9y
PlNlZWQsIFAuIFQuPC9hdXRob3I+PGF1dGhvcj5XYXJkbGUsIEouPC9hdXRob3I+PGF1dGhvcj5T
YW5kZXJzLCBULiBBLjwvYXV0aG9yPjxhdXRob3I+U2FuZGFsbCwgSi48L2F1dGhvcj48L2F1dGhv
cnM+PC9jb250cmlidXRvcnM+PHRpdGxlcz48dGl0bGU+RGV2ZWxvcGluZyBhIGNvbXBsZXggaW50
ZXJ2ZW50aW9uIGZvciBkaWV0IGFuZCBhY3Rpdml0eSBiZWhhdmlvdXIgY2hhbmdlIGluIG9iZXNl
IHByZWduYW50IHdvbWVuICh0aGUgVVBCRUFUIHRyaWFsKTsgYXNzZXNzbWVudCBvZiBiZWhhdmlv
dXJhbCBjaGFuZ2UgYW5kIHByb2Nlc3MgZXZhbHVhdGlvbiBpbiBhIHBpbG90IHJhbmRvbWlzZWQg
Y29udHJvbGxlZCB0cmlhbDwvdGl0bGU+PHNlY29uZGFyeS10aXRsZT5CTUMgUHJlZ25hbmN5IENo
aWxkYmlydGg8L3NlY29uZGFyeS10aXRsZT48L3RpdGxlcz48cGVyaW9kaWNhbD48ZnVsbC10aXRs
ZT5CTUMgUHJlZ25hbmN5IENoaWxkYmlydGg8L2Z1bGwtdGl0bGU+PC9wZXJpb2RpY2FsPjxwYWdl
cz4xNDg8L3BhZ2VzPjx2b2x1bWU+MTM8L3ZvbHVtZT48ZWRpdGlvbj4yMDEzLzA3LzE3PC9lZGl0
aW9uPjxrZXl3b3Jkcz48a2V5d29yZD5BY2NlbGVyb21ldHJ5PC9rZXl3b3JkPjxrZXl3b3JkPkFk
b2xlc2NlbnQ8L2tleXdvcmQ+PGtleXdvcmQ+QWR1bHQ8L2tleXdvcmQ+PGtleXdvcmQ+QmVoYXZp
b3IgVGhlcmFweS8qbWV0aG9kczwva2V5d29yZD48a2V5d29yZD5Cb2R5IE1hc3MgSW5kZXg8L2tl
eXdvcmQ+PGtleXdvcmQ+RGlhYmV0ZXMsIEdlc3RhdGlvbmFsLypwcmV2ZW50aW9uICZhbXA7IGNv
bnRyb2w8L2tleXdvcmQ+PGtleXdvcmQ+RGlldCBUaGVyYXB5LyptZXRob2RzPC9rZXl3b3JkPjxr
ZXl3b3JkPkV4ZXJjaXNlIFRoZXJhcHkvKm1ldGhvZHM8L2tleXdvcmQ+PGtleXdvcmQ+RmVhc2li
aWxpdHkgU3R1ZGllczwva2V5d29yZD48a2V5d29yZD5GZW1hbGU8L2tleXdvcmQ+PGtleXdvcmQ+
SHVtYW5zPC9rZXl3b3JkPjxrZXl3b3JkPipNb3RvciBBY3Rpdml0eTwva2V5d29yZD48a2V5d29y
ZD5PYmVzaXR5Lyp0aGVyYXB5PC9rZXl3b3JkPjxrZXl3b3JkPlBpbG90IFByb2plY3RzPC9rZXl3
b3JkPjxrZXl3b3JkPlByZWduYW5jeTwva2V5d29yZD48a2V5d29yZD5QcmVnbmFuY3kgQ29tcGxp
Y2F0aW9ucy8qdGhlcmFweTwva2V5d29yZD48a2V5d29yZD5QcmVuYXRhbCBDYXJlL21ldGhvZHM8
L2tleXdvcmQ+PGtleXdvcmQ+WW91bmcgQWR1bHQ8L2tleXdvcmQ+PC9rZXl3b3Jkcz48ZGF0ZXM+
PHllYXI+MjAxMzwveWVhcj48cHViLWRhdGVzPjxkYXRlPkp1bCAxNTwvZGF0ZT48L3B1Yi1kYXRl
cz48L2RhdGVzPjxpc2JuPjE0NzEtMjM5MyAoRWxlY3Ryb25pYykmI3hEOzE0NzEtMjM5MyAoTGlu
a2luZyk8L2lzYm4+PGFjY2Vzc2lvbi1udW0+MjM4NTU3MDg8L2FjY2Vzc2lvbi1udW0+PHVybHM+
PHJlbGF0ZWQtdXJscz48dXJsPmh0dHBzOi8vd3d3Lm5jYmkubmxtLm5paC5nb3YvcHVibWVkLzIz
ODU1NzA4PC91cmw+PC9yZWxhdGVkLXVybHM+PC91cmxzPjxjdXN0b20yPlBNQzM3MTg2MzA8L2N1
c3RvbTI+PGVsZWN0cm9uaWMtcmVzb3VyY2UtbnVtPjEwLjExODYvMTQ3MS0yMzkzLTEzLTE0ODwv
ZWxlY3Ryb25pYy1yZXNvdXJjZS1udW0+PC9yZWNvcmQ+PC9DaXRlPjxDaXRlPjxBdXRob3I+UG9z
dG9uPC9BdXRob3I+PFllYXI+MjAxNTwvWWVhcj48UmVjTnVtPjYxMjwvUmVjTnVtPjxyZWNvcmQ+
PHJlYy1udW1iZXI+NjEyPC9yZWMtbnVtYmVyPjxmb3JlaWduLWtleXM+PGtleSBhcHA9IkVOIiBk
Yi1pZD0iZXh2YXNyZngyZHRyYW9lc2FzeHAyc3pzeGEyZGY1MDI1OTJ4IiB0aW1lc3RhbXA9IjE1
MzkwNDgzNDgiPjYxMjwva2V5PjxrZXkgYXBwPSJFTldlYiIgZGItaWQ9IiI+MDwva2V5PjwvZm9y
ZWlnbi1rZXlzPjxyZWYtdHlwZSBuYW1lPSJKb3VybmFsIEFydGljbGUiPjE3PC9yZWYtdHlwZT48
Y29udHJpYnV0b3JzPjxhdXRob3JzPjxhdXRob3I+UG9zdG9uLCBMLiw8L2F1dGhvcj48YXV0aG9y
PkJlbGwsIFIuLDwvYXV0aG9yPjxhdXRob3I+Q3Jva2VyLCBILiw8L2F1dGhvcj48YXV0aG9yPkZs
eW5uLCBBLkMuLDwvYXV0aG9yPjxhdXRob3I+R29kZnJleSwgSy5NLiw8L2F1dGhvcj48YXV0aG9y
PkdvZmYsIEwuLDwvYXV0aG9yPjwvYXV0aG9ycz48L2NvbnRyaWJ1dG9ycz48dGl0bGVzPjx0aXRs
ZT5FZmZlY3Qgb2YgYSBiZWhhdmlvdXJhbCBpbnRlcnZlbnRpb24gaW4gb2Jlc2UgcHJlZ25hbnQg
d29tZW4gKHRoZSBVUEJFQVQgc3R1ZHkpOiBhIG11bHRpY2VudHJlLCByYW5kb21pc2VkIGNvbnRy
b2xsZWQgdHJpYWw8L3RpdGxlPjxzZWNvbmRhcnktdGl0bGU+VGhlIExhbmNldCBEaWFiZXRlcyAm
YW1wOyBFbmRvY3Jpbm9sb2d5PC9zZWNvbmRhcnktdGl0bGU+PC90aXRsZXM+PHBlcmlvZGljYWw+
PGZ1bGwtdGl0bGU+VGhlIExhbmNldCBEaWFiZXRlcyAmYW1wOyBFbmRvY3Jpbm9sb2d5PC9mdWxs
LXRpdGxlPjwvcGVyaW9kaWNhbD48cGFnZXM+NzY3LTc3NzwvcGFnZXM+PHZvbHVtZT4zPC92b2x1
bWU+PG51bWJlcj4xMDwvbnVtYmVyPjxzZWN0aW9uPjc2Nzwvc2VjdGlvbj48ZGF0ZXM+PHllYXI+
MjAxNTwveWVhcj48L2RhdGVzPjxpc2JuPjIyMTM4NTg3PC9pc2JuPjx1cmxzPjwvdXJscz48ZWxl
Y3Ryb25pYy1yZXNvdXJjZS1udW0+MTAuMTAxNi9zMjIxMy04NTg3KDE1KTAwMjI3LTI8L2VsZWN0
cm9uaWMtcmVzb3VyY2UtbnVtPjwvcmVjb3JkPjwvQ2l0ZT48Q2l0ZT48QXV0aG9yPlZlc2NvPC9B
dXRob3I+PFllYXI+MjAxMjwvWWVhcj48UmVjTnVtPjExMzA8L1JlY051bT48cmVjb3JkPjxyZWMt
bnVtYmVyPjExMzA8L3JlYy1udW1iZXI+PGZvcmVpZ24ta2V5cz48a2V5IGFwcD0iRU4iIGRiLWlk
PSJleHZhc3JmeDJkdHJhb2VzYXN4cDJzenN4YTJkZjUwMjU5MngiIHRpbWVzdGFtcD0iMTU1MzQw
ODk4NiI+MTEzMDwva2V5PjwvZm9yZWlnbi1rZXlzPjxyZWYtdHlwZSBuYW1lPSJKb3VybmFsIEFy
dGljbGUiPjE3PC9yZWYtdHlwZT48Y29udHJpYnV0b3JzPjxhdXRob3JzPjxhdXRob3I+VmVzY28s
IEsuIEsuPC9hdXRob3I+PGF1dGhvcj5LYXJhbmphLCBOLjwvYXV0aG9yPjxhdXRob3I+S2luZywg
Si4gQy48L2F1dGhvcj48YXV0aG9yPkdpbGxtYW4sIE0uIFcuPC9hdXRob3I+PGF1dGhvcj5QZXJy
aW4sIE4uPC9hdXRob3I+PGF1dGhvcj5NY0V2b3ksIEMuPC9hdXRob3I+PGF1dGhvcj5FY2toYXJk
dCwgQy48L2F1dGhvcj48YXV0aG9yPlNtaXRoLCBLLiBTLjwvYXV0aG9yPjxhdXRob3I+U3RldmVu
cywgVi4gSi48L2F1dGhvcj48L2F1dGhvcnM+PC9jb250cmlidXRvcnM+PGF1dGgtYWRkcmVzcz5D
ZW50ZXIgZm9yIEhlYWx0aCBSZXNlYXJjaCwgS2Fpc2VyIFBlcm1hbmVudGUsIE5vcnRod2VzdCwg
UG9ydGxhbmQsIE9SIDk3MjI3LCBVU0EuIGtpbWJlcmx5LmsudmVzY29Aa3BjaHIub3JnPC9hdXRo
LWFkZHJlc3M+PHRpdGxlcz48dGl0bGU+SGVhbHRoeSBNb21zLCBhIHJhbmRvbWl6ZWQgdHJpYWwg
dG8gcHJvbW90ZSBhbmQgZXZhbHVhdGUgd2VpZ2h0IG1haW50ZW5hbmNlIGFtb25nIG9iZXNlIHBy
ZWduYW50IHdvbWVuOiBzdHVkeSBkZXNpZ24gYW5kIHJhdGlvbmFsZTwvdGl0bGU+PHNlY29uZGFy
eS10aXRsZT5Db250ZW1wIENsaW4gVHJpYWxzPC9zZWNvbmRhcnktdGl0bGU+PC90aXRsZXM+PHBl
cmlvZGljYWw+PGZ1bGwtdGl0bGU+Q29udGVtcCBDbGluIFRyaWFsczwvZnVsbC10aXRsZT48L3Bl
cmlvZGljYWw+PHBhZ2VzPjc3Ny04NTwvcGFnZXM+PHZvbHVtZT4zMzwvdm9sdW1lPjxudW1iZXI+
NDwvbnVtYmVyPjxlZGl0aW9uPjIwMTIvMDQvMDM8L2VkaXRpb24+PGtleXdvcmRzPjxrZXl3b3Jk
PkFkb2xlc2NlbnQ8L2tleXdvcmQ+PGtleXdvcmQ+QWR1bHQ8L2tleXdvcmQ+PGtleXdvcmQ+Qmly
dGggV2VpZ2h0PC9rZXl3b3JkPjxrZXl3b3JkPkNsaW5pY2FsIFByb3RvY29sczwva2V5d29yZD48
a2V5d29yZD5Db21iaW5lZCBNb2RhbGl0eSBUaGVyYXB5PC9rZXl3b3JkPjxrZXl3b3JkPkRpZXQg
VGhlcmFweS8qbWV0aG9kczwva2V5d29yZD48a2V5d29yZD5FeGVyY2lzZSBUaGVyYXB5LyptZXRo
b2RzPC9rZXl3b3JkPjxrZXl3b3JkPkZlYXNpYmlsaXR5IFN0dWRpZXM8L2tleXdvcmQ+PGtleXdv
cmQ+RmVtYWxlPC9rZXl3b3JkPjxrZXl3b3JkPkh1bWFuczwva2V5d29yZD48a2V5d29yZD5JbmZh
bnQsIE5ld2Jvcm48L2tleXdvcmQ+PGtleXdvcmQ+SW50ZW50aW9uIHRvIFRyZWF0IEFuYWx5c2lz
PC9rZXl3b3JkPjxrZXl3b3JkPkxvZ2lzdGljIE1vZGVsczwva2V5d29yZD48a2V5d29yZD5PYmVz
aXR5Lyp0aGVyYXB5PC9rZXl3b3JkPjxrZXl3b3JkPlByZWduYW5jeTwva2V5d29yZD48a2V5d29y
ZD5QcmVnbmFuY3kgQ29tcGxpY2F0aW9ucy8qdGhlcmFweTwva2V5d29yZD48a2V5d29yZD5Qc3lj
aG90aGVyYXB5LCBHcm91cC8qbWV0aG9kczwva2V5d29yZD48a2V5d29yZD5SZXNlYXJjaCBEZXNp
Z248L2tleXdvcmQ+PGtleXdvcmQ+VHJlYXRtZW50IE91dGNvbWU8L2tleXdvcmQ+PGtleXdvcmQ+
V2VpZ2h0IEdhaW48L2tleXdvcmQ+PGtleXdvcmQ+WW91bmcgQWR1bHQ8L2tleXdvcmQ+PC9rZXl3
b3Jkcz48ZGF0ZXM+PHllYXI+MjAxMjwveWVhcj48cHViLWRhdGVzPjxkYXRlPkp1bDwvZGF0ZT48
L3B1Yi1kYXRlcz48L2RhdGVzPjxpc2JuPjE1NTktMjAzMCAoRWxlY3Ryb25pYykmI3hEOzE1NTEt
NzE0NCAoTGlua2luZyk8L2lzYm4+PGFjY2Vzc2lvbi1udW0+MjI0NjUyNTY8L2FjY2Vzc2lvbi1u
dW0+PHVybHM+PHJlbGF0ZWQtdXJscz48dXJsPmh0dHBzOi8vd3d3Lm5jYmkubmxtLm5paC5nb3Yv
cHVibWVkLzIyNDY1MjU2PC91cmw+PC9yZWxhdGVkLXVybHM+PC91cmxzPjxjdXN0b20yPlBNQzMz
NjE1MTk8L2N1c3RvbTI+PGVsZWN0cm9uaWMtcmVzb3VyY2UtbnVtPjEwLjEwMTYvai5jY3QuMjAx
Mi4wMy4wMDY8L2VsZWN0cm9uaWMtcmVzb3VyY2UtbnVtPjwvcmVjb3JkPjwvQ2l0ZT48Q2l0ZT48
QXV0aG9yPlZpbnRlcjwvQXV0aG9yPjxZZWFyPjIwMTE8L1llYXI+PFJlY051bT4xMTExPC9SZWNO
dW0+PHJlY29yZD48cmVjLW51bWJlcj4xMTExPC9yZWMtbnVtYmVyPjxmb3JlaWduLWtleXM+PGtl
eSBhcHA9IkVOIiBkYi1pZD0iZXh2YXNyZngyZHRyYW9lc2FzeHAyc3pzeGEyZGY1MDI1OTJ4IiB0
aW1lc3RhbXA9IjE1NTI5NDg2MTciPjExMTE8L2tleT48L2ZvcmVpZ24ta2V5cz48cmVmLXR5cGUg
bmFtZT0iSm91cm5hbCBBcnRpY2xlIj4xNzwvcmVmLXR5cGU+PGNvbnRyaWJ1dG9ycz48YXV0aG9y
cz48YXV0aG9yPlZpbnRlciwgQy4gQS48L2F1dGhvcj48YXV0aG9yPkplbnNlbiwgRC4gTS48L2F1
dGhvcj48YXV0aG9yPk92ZXNlbiwgUC48L2F1dGhvcj48YXV0aG9yPkJlY2stTmllbHNlbiwgSC48
L2F1dGhvcj48YXV0aG9yPkpvcmdlbnNlbiwgSi4gUy48L2F1dGhvcj48L2F1dGhvcnM+PC9jb250
cmlidXRvcnM+PGF1dGgtYWRkcmVzcz5EZXBhcnRtZW50IG9mIEd5bmVjb2xvZ3kgYW5kIE9ic3Rl
dHJpY3MsIE9kZW5zZSBVbml2ZXJzaXR5IEhvc3BpdGFsLCBPZGVuc2UsIERlbm1hcmsuIGMudmlu
dGVyQGRhZGxuZXQuZGs8L2F1dGgtYWRkcmVzcz48dGl0bGVzPjx0aXRsZT5UaGUgTGlQIChMaWZl
c3R5bGUgaW4gUHJlZ25hbmN5KSBzdHVkeTogYSByYW5kb21pemVkIGNvbnRyb2xsZWQgdHJpYWwg
b2YgbGlmZXN0eWxlIGludGVydmVudGlvbiBpbiAzNjAgb2Jlc2UgcHJlZ25hbnQgd29tZW48L3Rp
dGxlPjxzZWNvbmRhcnktdGl0bGU+RGlhYmV0ZXMgQ2FyZTwvc2Vjb25kYXJ5LXRpdGxlPjwvdGl0
bGVzPjxwZXJpb2RpY2FsPjxmdWxsLXRpdGxlPkRpYWJldGVzIENhcmU8L2Z1bGwtdGl0bGU+PC9w
ZXJpb2RpY2FsPjxwYWdlcz4yNTAyLTc8L3BhZ2VzPjx2b2x1bWU+MzQ8L3ZvbHVtZT48bnVtYmVy
PjEyPC9udW1iZXI+PGVkaXRpb24+MjAxMS8xMC8wNjwvZWRpdGlvbj48a2V5d29yZHM+PGtleXdv
cmQ+QWRvbGVzY2VudDwva2V5d29yZD48a2V5d29yZD5BZHVsdDwva2V5d29yZD48a2V5d29yZD5E
ZW5tYXJrPC9rZXl3b3JkPjxrZXl3b3JkPkRpcmVjdGl2ZSBDb3Vuc2VsaW5nPC9rZXl3b3JkPjxr
ZXl3b3JkPkZlbWFsZTwva2V5d29yZD48a2V5d29yZD5IdW1hbnM8L2tleXdvcmQ+PGtleXdvcmQ+
KkxpZmUgU3R5bGU8L2tleXdvcmQ+PGtleXdvcmQ+TW90b3IgQWN0aXZpdHk8L2tleXdvcmQ+PGtl
eXdvcmQ+T2Jlc2l0eS9kaWV0IHRoZXJhcHkvKnRoZXJhcHk8L2tleXdvcmQ+PGtleXdvcmQ+UGh5
c2ljYWwgRWR1Y2F0aW9uIGFuZCBUcmFpbmluZzwva2V5d29yZD48a2V5d29yZD5QcmVnbmFuY3k8
L2tleXdvcmQ+PGtleXdvcmQ+UHJlZ25hbmN5IENvbXBsaWNhdGlvbnMvZGlldCB0aGVyYXB5Lyp0
aGVyYXB5PC9rZXl3b3JkPjxrZXl3b3JkPlByZWduYW5jeSBPdXRjb21lPC9rZXl3b3JkPjxrZXl3
b3JkPldlaWdodCBHYWluPC9rZXl3b3JkPjwva2V5d29yZHM+PGRhdGVzPjx5ZWFyPjIwMTE8L3ll
YXI+PHB1Yi1kYXRlcz48ZGF0ZT5EZWM8L2RhdGU+PC9wdWItZGF0ZXM+PC9kYXRlcz48aXNibj4x
OTM1LTU1NDggKEVsZWN0cm9uaWMpJiN4RDswMTQ5LTU5OTIgKExpbmtpbmcpPC9pc2JuPjxhY2Nl
c3Npb24tbnVtPjIxOTcyNDExPC9hY2Nlc3Npb24tbnVtPjx1cmxzPjxyZWxhdGVkLXVybHM+PHVy
bD5odHRwczovL3d3dy5uY2JpLm5sbS5uaWguZ292L3B1Ym1lZC8yMTk3MjQxMTwvdXJsPjwvcmVs
YXRlZC11cmxzPjwvdXJscz48Y3VzdG9tMj5QTUMzMjIwODQ0PC9jdXN0b20yPjxlbGVjdHJvbmlj
LXJlc291cmNlLW51bT4xMC4yMzM3L2RjMTEtMTE1MDwvZWxlY3Ryb25pYy1yZXNvdXJjZS1udW0+
PC9yZWNvcmQ+PC9DaXRlPjwvRW5kTm90ZT5=
</w:fldData>
        </w:fldChar>
      </w:r>
      <w:r w:rsidR="002747EA">
        <w:instrText xml:space="preserve"> ADDIN EN.CITE </w:instrText>
      </w:r>
      <w:r w:rsidR="002747EA">
        <w:fldChar w:fldCharType="begin">
          <w:fldData xml:space="preserve">PEVuZE5vdGU+PENpdGU+PEF1dGhvcj5SZW5hdWx0PC9BdXRob3I+PFllYXI+MjAxNDwvWWVhcj48
UmVjTnVtPjkzNzwvUmVjTnVtPjxEaXNwbGF5VGV4dD48c3R5bGUgZmFjZT0ic3VwZXJzY3JpcHQi
IGZvbnQ9IlRyZWJ1Y2hldCBNUyIgc2l6ZT0iOSI+NDUxLDUxMi01MTU8L3N0eWxlPjwvRGlzcGxh
eVRleHQ+PHJlY29yZD48cmVjLW51bWJlcj45Mzc8L3JlYy1udW1iZXI+PGZvcmVpZ24ta2V5cz48
a2V5IGFwcD0iRU4iIGRiLWlkPSJleHZhc3JmeDJkdHJhb2VzYXN4cDJzenN4YTJkZjUwMjU5Mngi
IHRpbWVzdGFtcD0iMTU0MTU0MTgxNCI+OTM3PC9rZXk+PGtleSBhcHA9IkVOV2ViIiBkYi1pZD0i
Ij4wPC9rZXk+PC9mb3JlaWduLWtleXM+PHJlZi10eXBlIG5hbWU9IkpvdXJuYWwgQXJ0aWNsZSI+
MTc8L3JlZi10eXBlPjxjb250cmlidXRvcnM+PGF1dGhvcnM+PGF1dGhvcj5SZW5hdWx0LCBLLiBN
LjwvYXV0aG9yPjxhdXRob3I+Tm9yZ2FhcmQsIEsuPC9hdXRob3I+PGF1dGhvcj5OaWxhcywgTC48
L2F1dGhvcj48YXV0aG9yPkNhcmxzZW4sIEUuIE0uPC9hdXRob3I+PGF1dGhvcj5Db3J0ZXMsIEQu
PC9hdXRob3I+PGF1dGhvcj5QcnlkcywgTy48L2F1dGhvcj48YXV0aG9yPlNlY2hlciwgTi4gSi48
L2F1dGhvcj48L2F1dGhvcnM+PC9jb250cmlidXRvcnM+PGF1dGgtYWRkcmVzcz5EZXBhcnRtZW50
IG9mIE9ic3RldHJpY3MgYW5kIEd5bmVjb2xvZ3ksIEh2aWRvdnJlIEhvc3BpdGFsLCBVbml2ZXJz
aXR5IG9mIENvcGVuaGFnZW4sIEh2aWRvdnJlLCBEZW5tYXJrLiBFbGVjdHJvbmljIGFkZHJlc3M6
IEtyZW5hdWx0QGRhZGxuZXQuZGsuJiN4RDtEZXBhcnRtZW50IG9mIEVuZG9jcmlub2xvZ3ksIEh2
aWRvdnJlIEhvc3BpdGFsLCBVbml2ZXJzaXR5IG9mIENvcGVuaGFnZW4sIEh2aWRvdnJlLCBEZW5t
YXJrLiYjeEQ7RGVwYXJ0bWVudCBvZiBPYnN0ZXRyaWNzIGFuZCBHeW5lY29sb2d5LCBIdmlkb3Zy
ZSBIb3NwaXRhbCwgVW5pdmVyc2l0eSBvZiBDb3BlbmhhZ2VuLCBIdmlkb3ZyZSwgRGVubWFyay4m
I3hEO0RlcGFydG1lbnQgb2YgUGVkaWF0cmljcywgSHZpZG92cmUgSG9zcGl0YWwsIFVuaXZlcnNp
dHkgb2YgQ29wZW5oYWdlbiwgSHZpZG92cmUsIERlbm1hcmsuPC9hdXRoLWFkZHJlc3M+PHRpdGxl
cz48dGl0bGU+VGhlIFRyZWF0bWVudCBvZiBPYmVzZSBQcmVnbmFudCBXb21lbiAoVE9QKSBzdHVk
eTogYSByYW5kb21pemVkIGNvbnRyb2xsZWQgdHJpYWwgb2YgdGhlIGVmZmVjdCBvZiBwaHlzaWNh
bCBhY3Rpdml0eSBpbnRlcnZlbnRpb24gYXNzZXNzZWQgYnkgcGVkb21ldGVyIHdpdGggb3Igd2l0
aG91dCBkaWV0YXJ5IGludGVydmVudGlvbiBpbiBvYmVzZSBwcmVnbmFudCB3b21lbjwvdGl0bGU+
PHNlY29uZGFyeS10aXRsZT5BbSBKIE9ic3RldCBHeW5lY29sPC9zZWNvbmRhcnktdGl0bGU+PC90
aXRsZXM+PHBlcmlvZGljYWw+PGZ1bGwtdGl0bGU+QW0gSiBPYnN0ZXQgR3luZWNvbDwvZnVsbC10
aXRsZT48L3BlcmlvZGljYWw+PHBhZ2VzPjEzNCBlMS05PC9wYWdlcz48dm9sdW1lPjIxMDwvdm9s
dW1lPjxudW1iZXI+MjwvbnVtYmVyPjxlZGl0aW9uPjIwMTMvMDkvMjY8L2VkaXRpb24+PGtleXdv
cmRzPjxrZXl3b3JkPkFjdGlncmFwaHk8L2tleXdvcmQ+PGtleXdvcmQ+QWR1bHQ8L2tleXdvcmQ+
PGtleXdvcmQ+Q29tYmluZWQgTW9kYWxpdHkgVGhlcmFweTwva2V5d29yZD48a2V5d29yZD5EaWV0
LCBNZWRpdGVycmFuZWFuPC9rZXl3b3JkPjxrZXl3b3JkPkVuZXJneSBJbnRha2U8L2tleXdvcmQ+
PGtleXdvcmQ+KkV4ZXJjaXNlPC9rZXl3b3JkPjxrZXl3b3JkPkZlbWFsZTwva2V5d29yZD48a2V5
d29yZD5IdW1hbnM8L2tleXdvcmQ+PGtleXdvcmQ+T2Jlc2l0eS9kaWV0IHRoZXJhcHkvKnRoZXJh
cHk8L2tleXdvcmQ+PGtleXdvcmQ+UHJlZ25hbmN5PC9rZXl3b3JkPjxrZXl3b3JkPlByZWduYW5j
eSBDb21wbGljYXRpb25zL2RpZXQgdGhlcmFweS8qdGhlcmFweTwva2V5d29yZD48a2V5d29yZD5k
aWV0PC9rZXl3b3JkPjxrZXl3b3JkPmludGVydmVudGlvbjwva2V5d29yZD48a2V5d29yZD5vYmVz
aXR5PC9rZXl3b3JkPjxrZXl3b3JkPnBlZG9tZXRlcjwva2V5d29yZD48a2V5d29yZD5waHlzaWNh
bCBhY3Rpdml0eTwva2V5d29yZD48L2tleXdvcmRzPjxkYXRlcz48eWVhcj4yMDE0PC95ZWFyPjxw
dWItZGF0ZXM+PGRhdGU+RmViPC9kYXRlPjwvcHViLWRhdGVzPjwvZGF0ZXM+PGlzYm4+MTA5Ny02
ODY4IChFbGVjdHJvbmljKSYjeEQ7MDAwMi05Mzc4IChMaW5raW5nKTwvaXNibj48YWNjZXNzaW9u
LW51bT4yNDA2MDQ0OTwvYWNjZXNzaW9uLW51bT48dXJscz48cmVsYXRlZC11cmxzPjx1cmw+aHR0
cHM6Ly93d3cubmNiaS5ubG0ubmloLmdvdi9wdWJtZWQvMjQwNjA0NDk8L3VybD48L3JlbGF0ZWQt
dXJscz48L3VybHM+PGVsZWN0cm9uaWMtcmVzb3VyY2UtbnVtPjEwLjEwMTYvai5ham9nLjIwMTMu
MDkuMDI5PC9lbGVjdHJvbmljLXJlc291cmNlLW51bT48L3JlY29yZD48L0NpdGU+PENpdGU+PEF1
dGhvcj5Qb3N0b248L0F1dGhvcj48WWVhcj4yMDEzPC9ZZWFyPjxSZWNOdW0+MTEwNTwvUmVjTnVt
PjxyZWNvcmQ+PHJlYy1udW1iZXI+MTEwNTwvcmVjLW51bWJlcj48Zm9yZWlnbi1rZXlzPjxrZXkg
YXBwPSJFTiIgZGItaWQ9ImV4dmFzcmZ4MmR0cmFvZXNhc3hwMnN6c3hhMmRmNTAyNTkyeCIgdGlt
ZXN0YW1wPSIxNTUyOTQ4Mjc1Ij4xMTA1PC9rZXk+PC9mb3JlaWduLWtleXM+PHJlZi10eXBlIG5h
bWU9IkpvdXJuYWwgQXJ0aWNsZSI+MTc8L3JlZi10eXBlPjxjb250cmlidXRvcnM+PGF1dGhvcnM+
PGF1dGhvcj5Qb3N0b24sIEwuPC9hdXRob3I+PGF1dGhvcj5CcmlsZXksIEEuIEwuPC9hdXRob3I+
PGF1dGhvcj5CYXJyLCBTLjwvYXV0aG9yPjxhdXRob3I+QmVsbCwgUi48L2F1dGhvcj48YXV0aG9y
PkNyb2tlciwgSC48L2F1dGhvcj48YXV0aG9yPkNveG9uLCBLLjwvYXV0aG9yPjxhdXRob3I+RXNz
ZXgsIEguIE4uPC9hdXRob3I+PGF1dGhvcj5IdW50LCBDLjwvYXV0aG9yPjxhdXRob3I+SGF5ZXMs
IEwuPC9hdXRob3I+PGF1dGhvcj5Ib3dhcmQsIEwuIE0uPC9hdXRob3I+PGF1dGhvcj5LaGF6YWV6
YWRlaCwgTi48L2F1dGhvcj48YXV0aG9yPktpbm51bmVuLCBULjwvYXV0aG9yPjxhdXRob3I+TmVs
c29uLCBTLiBNLjwvYXV0aG9yPjxhdXRob3I+T3RlbmctTnRpbSwgRS48L2F1dGhvcj48YXV0aG9y
PlJvYnNvbiwgUy4gQy48L2F1dGhvcj48YXV0aG9yPlNhdHRhciwgTi48L2F1dGhvcj48YXV0aG9y
PlNlZWQsIFAuIFQuPC9hdXRob3I+PGF1dGhvcj5XYXJkbGUsIEouPC9hdXRob3I+PGF1dGhvcj5T
YW5kZXJzLCBULiBBLjwvYXV0aG9yPjxhdXRob3I+U2FuZGFsbCwgSi48L2F1dGhvcj48L2F1dGhv
cnM+PC9jb250cmlidXRvcnM+PHRpdGxlcz48dGl0bGU+RGV2ZWxvcGluZyBhIGNvbXBsZXggaW50
ZXJ2ZW50aW9uIGZvciBkaWV0IGFuZCBhY3Rpdml0eSBiZWhhdmlvdXIgY2hhbmdlIGluIG9iZXNl
IHByZWduYW50IHdvbWVuICh0aGUgVVBCRUFUIHRyaWFsKTsgYXNzZXNzbWVudCBvZiBiZWhhdmlv
dXJhbCBjaGFuZ2UgYW5kIHByb2Nlc3MgZXZhbHVhdGlvbiBpbiBhIHBpbG90IHJhbmRvbWlzZWQg
Y29udHJvbGxlZCB0cmlhbDwvdGl0bGU+PHNlY29uZGFyeS10aXRsZT5CTUMgUHJlZ25hbmN5IENo
aWxkYmlydGg8L3NlY29uZGFyeS10aXRsZT48L3RpdGxlcz48cGVyaW9kaWNhbD48ZnVsbC10aXRs
ZT5CTUMgUHJlZ25hbmN5IENoaWxkYmlydGg8L2Z1bGwtdGl0bGU+PC9wZXJpb2RpY2FsPjxwYWdl
cz4xNDg8L3BhZ2VzPjx2b2x1bWU+MTM8L3ZvbHVtZT48ZWRpdGlvbj4yMDEzLzA3LzE3PC9lZGl0
aW9uPjxrZXl3b3Jkcz48a2V5d29yZD5BY2NlbGVyb21ldHJ5PC9rZXl3b3JkPjxrZXl3b3JkPkFk
b2xlc2NlbnQ8L2tleXdvcmQ+PGtleXdvcmQ+QWR1bHQ8L2tleXdvcmQ+PGtleXdvcmQ+QmVoYXZp
b3IgVGhlcmFweS8qbWV0aG9kczwva2V5d29yZD48a2V5d29yZD5Cb2R5IE1hc3MgSW5kZXg8L2tl
eXdvcmQ+PGtleXdvcmQ+RGlhYmV0ZXMsIEdlc3RhdGlvbmFsLypwcmV2ZW50aW9uICZhbXA7IGNv
bnRyb2w8L2tleXdvcmQ+PGtleXdvcmQ+RGlldCBUaGVyYXB5LyptZXRob2RzPC9rZXl3b3JkPjxr
ZXl3b3JkPkV4ZXJjaXNlIFRoZXJhcHkvKm1ldGhvZHM8L2tleXdvcmQ+PGtleXdvcmQ+RmVhc2li
aWxpdHkgU3R1ZGllczwva2V5d29yZD48a2V5d29yZD5GZW1hbGU8L2tleXdvcmQ+PGtleXdvcmQ+
SHVtYW5zPC9rZXl3b3JkPjxrZXl3b3JkPipNb3RvciBBY3Rpdml0eTwva2V5d29yZD48a2V5d29y
ZD5PYmVzaXR5Lyp0aGVyYXB5PC9rZXl3b3JkPjxrZXl3b3JkPlBpbG90IFByb2plY3RzPC9rZXl3
b3JkPjxrZXl3b3JkPlByZWduYW5jeTwva2V5d29yZD48a2V5d29yZD5QcmVnbmFuY3kgQ29tcGxp
Y2F0aW9ucy8qdGhlcmFweTwva2V5d29yZD48a2V5d29yZD5QcmVuYXRhbCBDYXJlL21ldGhvZHM8
L2tleXdvcmQ+PGtleXdvcmQ+WW91bmcgQWR1bHQ8L2tleXdvcmQ+PC9rZXl3b3Jkcz48ZGF0ZXM+
PHllYXI+MjAxMzwveWVhcj48cHViLWRhdGVzPjxkYXRlPkp1bCAxNTwvZGF0ZT48L3B1Yi1kYXRl
cz48L2RhdGVzPjxpc2JuPjE0NzEtMjM5MyAoRWxlY3Ryb25pYykmI3hEOzE0NzEtMjM5MyAoTGlu
a2luZyk8L2lzYm4+PGFjY2Vzc2lvbi1udW0+MjM4NTU3MDg8L2FjY2Vzc2lvbi1udW0+PHVybHM+
PHJlbGF0ZWQtdXJscz48dXJsPmh0dHBzOi8vd3d3Lm5jYmkubmxtLm5paC5nb3YvcHVibWVkLzIz
ODU1NzA4PC91cmw+PC9yZWxhdGVkLXVybHM+PC91cmxzPjxjdXN0b20yPlBNQzM3MTg2MzA8L2N1
c3RvbTI+PGVsZWN0cm9uaWMtcmVzb3VyY2UtbnVtPjEwLjExODYvMTQ3MS0yMzkzLTEzLTE0ODwv
ZWxlY3Ryb25pYy1yZXNvdXJjZS1udW0+PC9yZWNvcmQ+PC9DaXRlPjxDaXRlPjxBdXRob3I+UG9z
dG9uPC9BdXRob3I+PFllYXI+MjAxNTwvWWVhcj48UmVjTnVtPjYxMjwvUmVjTnVtPjxyZWNvcmQ+
PHJlYy1udW1iZXI+NjEyPC9yZWMtbnVtYmVyPjxmb3JlaWduLWtleXM+PGtleSBhcHA9IkVOIiBk
Yi1pZD0iZXh2YXNyZngyZHRyYW9lc2FzeHAyc3pzeGEyZGY1MDI1OTJ4IiB0aW1lc3RhbXA9IjE1
MzkwNDgzNDgiPjYxMjwva2V5PjxrZXkgYXBwPSJFTldlYiIgZGItaWQ9IiI+MDwva2V5PjwvZm9y
ZWlnbi1rZXlzPjxyZWYtdHlwZSBuYW1lPSJKb3VybmFsIEFydGljbGUiPjE3PC9yZWYtdHlwZT48
Y29udHJpYnV0b3JzPjxhdXRob3JzPjxhdXRob3I+UG9zdG9uLCBMLiw8L2F1dGhvcj48YXV0aG9y
PkJlbGwsIFIuLDwvYXV0aG9yPjxhdXRob3I+Q3Jva2VyLCBILiw8L2F1dGhvcj48YXV0aG9yPkZs
eW5uLCBBLkMuLDwvYXV0aG9yPjxhdXRob3I+R29kZnJleSwgSy5NLiw8L2F1dGhvcj48YXV0aG9y
PkdvZmYsIEwuLDwvYXV0aG9yPjwvYXV0aG9ycz48L2NvbnRyaWJ1dG9ycz48dGl0bGVzPjx0aXRs
ZT5FZmZlY3Qgb2YgYSBiZWhhdmlvdXJhbCBpbnRlcnZlbnRpb24gaW4gb2Jlc2UgcHJlZ25hbnQg
d29tZW4gKHRoZSBVUEJFQVQgc3R1ZHkpOiBhIG11bHRpY2VudHJlLCByYW5kb21pc2VkIGNvbnRy
b2xsZWQgdHJpYWw8L3RpdGxlPjxzZWNvbmRhcnktdGl0bGU+VGhlIExhbmNldCBEaWFiZXRlcyAm
YW1wOyBFbmRvY3Jpbm9sb2d5PC9zZWNvbmRhcnktdGl0bGU+PC90aXRsZXM+PHBlcmlvZGljYWw+
PGZ1bGwtdGl0bGU+VGhlIExhbmNldCBEaWFiZXRlcyAmYW1wOyBFbmRvY3Jpbm9sb2d5PC9mdWxs
LXRpdGxlPjwvcGVyaW9kaWNhbD48cGFnZXM+NzY3LTc3NzwvcGFnZXM+PHZvbHVtZT4zPC92b2x1
bWU+PG51bWJlcj4xMDwvbnVtYmVyPjxzZWN0aW9uPjc2Nzwvc2VjdGlvbj48ZGF0ZXM+PHllYXI+
MjAxNTwveWVhcj48L2RhdGVzPjxpc2JuPjIyMTM4NTg3PC9pc2JuPjx1cmxzPjwvdXJscz48ZWxl
Y3Ryb25pYy1yZXNvdXJjZS1udW0+MTAuMTAxNi9zMjIxMy04NTg3KDE1KTAwMjI3LTI8L2VsZWN0
cm9uaWMtcmVzb3VyY2UtbnVtPjwvcmVjb3JkPjwvQ2l0ZT48Q2l0ZT48QXV0aG9yPlZlc2NvPC9B
dXRob3I+PFllYXI+MjAxMjwvWWVhcj48UmVjTnVtPjExMzA8L1JlY051bT48cmVjb3JkPjxyZWMt
bnVtYmVyPjExMzA8L3JlYy1udW1iZXI+PGZvcmVpZ24ta2V5cz48a2V5IGFwcD0iRU4iIGRiLWlk
PSJleHZhc3JmeDJkdHJhb2VzYXN4cDJzenN4YTJkZjUwMjU5MngiIHRpbWVzdGFtcD0iMTU1MzQw
ODk4NiI+MTEzMDwva2V5PjwvZm9yZWlnbi1rZXlzPjxyZWYtdHlwZSBuYW1lPSJKb3VybmFsIEFy
dGljbGUiPjE3PC9yZWYtdHlwZT48Y29udHJpYnV0b3JzPjxhdXRob3JzPjxhdXRob3I+VmVzY28s
IEsuIEsuPC9hdXRob3I+PGF1dGhvcj5LYXJhbmphLCBOLjwvYXV0aG9yPjxhdXRob3I+S2luZywg
Si4gQy48L2F1dGhvcj48YXV0aG9yPkdpbGxtYW4sIE0uIFcuPC9hdXRob3I+PGF1dGhvcj5QZXJy
aW4sIE4uPC9hdXRob3I+PGF1dGhvcj5NY0V2b3ksIEMuPC9hdXRob3I+PGF1dGhvcj5FY2toYXJk
dCwgQy48L2F1dGhvcj48YXV0aG9yPlNtaXRoLCBLLiBTLjwvYXV0aG9yPjxhdXRob3I+U3RldmVu
cywgVi4gSi48L2F1dGhvcj48L2F1dGhvcnM+PC9jb250cmlidXRvcnM+PGF1dGgtYWRkcmVzcz5D
ZW50ZXIgZm9yIEhlYWx0aCBSZXNlYXJjaCwgS2Fpc2VyIFBlcm1hbmVudGUsIE5vcnRod2VzdCwg
UG9ydGxhbmQsIE9SIDk3MjI3LCBVU0EuIGtpbWJlcmx5LmsudmVzY29Aa3BjaHIub3JnPC9hdXRo
LWFkZHJlc3M+PHRpdGxlcz48dGl0bGU+SGVhbHRoeSBNb21zLCBhIHJhbmRvbWl6ZWQgdHJpYWwg
dG8gcHJvbW90ZSBhbmQgZXZhbHVhdGUgd2VpZ2h0IG1haW50ZW5hbmNlIGFtb25nIG9iZXNlIHBy
ZWduYW50IHdvbWVuOiBzdHVkeSBkZXNpZ24gYW5kIHJhdGlvbmFsZTwvdGl0bGU+PHNlY29uZGFy
eS10aXRsZT5Db250ZW1wIENsaW4gVHJpYWxzPC9zZWNvbmRhcnktdGl0bGU+PC90aXRsZXM+PHBl
cmlvZGljYWw+PGZ1bGwtdGl0bGU+Q29udGVtcCBDbGluIFRyaWFsczwvZnVsbC10aXRsZT48L3Bl
cmlvZGljYWw+PHBhZ2VzPjc3Ny04NTwvcGFnZXM+PHZvbHVtZT4zMzwvdm9sdW1lPjxudW1iZXI+
NDwvbnVtYmVyPjxlZGl0aW9uPjIwMTIvMDQvMDM8L2VkaXRpb24+PGtleXdvcmRzPjxrZXl3b3Jk
PkFkb2xlc2NlbnQ8L2tleXdvcmQ+PGtleXdvcmQ+QWR1bHQ8L2tleXdvcmQ+PGtleXdvcmQ+Qmly
dGggV2VpZ2h0PC9rZXl3b3JkPjxrZXl3b3JkPkNsaW5pY2FsIFByb3RvY29sczwva2V5d29yZD48
a2V5d29yZD5Db21iaW5lZCBNb2RhbGl0eSBUaGVyYXB5PC9rZXl3b3JkPjxrZXl3b3JkPkRpZXQg
VGhlcmFweS8qbWV0aG9kczwva2V5d29yZD48a2V5d29yZD5FeGVyY2lzZSBUaGVyYXB5LyptZXRo
b2RzPC9rZXl3b3JkPjxrZXl3b3JkPkZlYXNpYmlsaXR5IFN0dWRpZXM8L2tleXdvcmQ+PGtleXdv
cmQ+RmVtYWxlPC9rZXl3b3JkPjxrZXl3b3JkPkh1bWFuczwva2V5d29yZD48a2V5d29yZD5JbmZh
bnQsIE5ld2Jvcm48L2tleXdvcmQ+PGtleXdvcmQ+SW50ZW50aW9uIHRvIFRyZWF0IEFuYWx5c2lz
PC9rZXl3b3JkPjxrZXl3b3JkPkxvZ2lzdGljIE1vZGVsczwva2V5d29yZD48a2V5d29yZD5PYmVz
aXR5Lyp0aGVyYXB5PC9rZXl3b3JkPjxrZXl3b3JkPlByZWduYW5jeTwva2V5d29yZD48a2V5d29y
ZD5QcmVnbmFuY3kgQ29tcGxpY2F0aW9ucy8qdGhlcmFweTwva2V5d29yZD48a2V5d29yZD5Qc3lj
aG90aGVyYXB5LCBHcm91cC8qbWV0aG9kczwva2V5d29yZD48a2V5d29yZD5SZXNlYXJjaCBEZXNp
Z248L2tleXdvcmQ+PGtleXdvcmQ+VHJlYXRtZW50IE91dGNvbWU8L2tleXdvcmQ+PGtleXdvcmQ+
V2VpZ2h0IEdhaW48L2tleXdvcmQ+PGtleXdvcmQ+WW91bmcgQWR1bHQ8L2tleXdvcmQ+PC9rZXl3
b3Jkcz48ZGF0ZXM+PHllYXI+MjAxMjwveWVhcj48cHViLWRhdGVzPjxkYXRlPkp1bDwvZGF0ZT48
L3B1Yi1kYXRlcz48L2RhdGVzPjxpc2JuPjE1NTktMjAzMCAoRWxlY3Ryb25pYykmI3hEOzE1NTEt
NzE0NCAoTGlua2luZyk8L2lzYm4+PGFjY2Vzc2lvbi1udW0+MjI0NjUyNTY8L2FjY2Vzc2lvbi1u
dW0+PHVybHM+PHJlbGF0ZWQtdXJscz48dXJsPmh0dHBzOi8vd3d3Lm5jYmkubmxtLm5paC5nb3Yv
cHVibWVkLzIyNDY1MjU2PC91cmw+PC9yZWxhdGVkLXVybHM+PC91cmxzPjxjdXN0b20yPlBNQzMz
NjE1MTk8L2N1c3RvbTI+PGVsZWN0cm9uaWMtcmVzb3VyY2UtbnVtPjEwLjEwMTYvai5jY3QuMjAx
Mi4wMy4wMDY8L2VsZWN0cm9uaWMtcmVzb3VyY2UtbnVtPjwvcmVjb3JkPjwvQ2l0ZT48Q2l0ZT48
QXV0aG9yPlZpbnRlcjwvQXV0aG9yPjxZZWFyPjIwMTE8L1llYXI+PFJlY051bT4xMTExPC9SZWNO
dW0+PHJlY29yZD48cmVjLW51bWJlcj4xMTExPC9yZWMtbnVtYmVyPjxmb3JlaWduLWtleXM+PGtl
eSBhcHA9IkVOIiBkYi1pZD0iZXh2YXNyZngyZHRyYW9lc2FzeHAyc3pzeGEyZGY1MDI1OTJ4IiB0
aW1lc3RhbXA9IjE1NTI5NDg2MTciPjExMTE8L2tleT48L2ZvcmVpZ24ta2V5cz48cmVmLXR5cGUg
bmFtZT0iSm91cm5hbCBBcnRpY2xlIj4xNzwvcmVmLXR5cGU+PGNvbnRyaWJ1dG9ycz48YXV0aG9y
cz48YXV0aG9yPlZpbnRlciwgQy4gQS48L2F1dGhvcj48YXV0aG9yPkplbnNlbiwgRC4gTS48L2F1
dGhvcj48YXV0aG9yPk92ZXNlbiwgUC48L2F1dGhvcj48YXV0aG9yPkJlY2stTmllbHNlbiwgSC48
L2F1dGhvcj48YXV0aG9yPkpvcmdlbnNlbiwgSi4gUy48L2F1dGhvcj48L2F1dGhvcnM+PC9jb250
cmlidXRvcnM+PGF1dGgtYWRkcmVzcz5EZXBhcnRtZW50IG9mIEd5bmVjb2xvZ3kgYW5kIE9ic3Rl
dHJpY3MsIE9kZW5zZSBVbml2ZXJzaXR5IEhvc3BpdGFsLCBPZGVuc2UsIERlbm1hcmsuIGMudmlu
dGVyQGRhZGxuZXQuZGs8L2F1dGgtYWRkcmVzcz48dGl0bGVzPjx0aXRsZT5UaGUgTGlQIChMaWZl
c3R5bGUgaW4gUHJlZ25hbmN5KSBzdHVkeTogYSByYW5kb21pemVkIGNvbnRyb2xsZWQgdHJpYWwg
b2YgbGlmZXN0eWxlIGludGVydmVudGlvbiBpbiAzNjAgb2Jlc2UgcHJlZ25hbnQgd29tZW48L3Rp
dGxlPjxzZWNvbmRhcnktdGl0bGU+RGlhYmV0ZXMgQ2FyZTwvc2Vjb25kYXJ5LXRpdGxlPjwvdGl0
bGVzPjxwZXJpb2RpY2FsPjxmdWxsLXRpdGxlPkRpYWJldGVzIENhcmU8L2Z1bGwtdGl0bGU+PC9w
ZXJpb2RpY2FsPjxwYWdlcz4yNTAyLTc8L3BhZ2VzPjx2b2x1bWU+MzQ8L3ZvbHVtZT48bnVtYmVy
PjEyPC9udW1iZXI+PGVkaXRpb24+MjAxMS8xMC8wNjwvZWRpdGlvbj48a2V5d29yZHM+PGtleXdv
cmQ+QWRvbGVzY2VudDwva2V5d29yZD48a2V5d29yZD5BZHVsdDwva2V5d29yZD48a2V5d29yZD5E
ZW5tYXJrPC9rZXl3b3JkPjxrZXl3b3JkPkRpcmVjdGl2ZSBDb3Vuc2VsaW5nPC9rZXl3b3JkPjxr
ZXl3b3JkPkZlbWFsZTwva2V5d29yZD48a2V5d29yZD5IdW1hbnM8L2tleXdvcmQ+PGtleXdvcmQ+
KkxpZmUgU3R5bGU8L2tleXdvcmQ+PGtleXdvcmQ+TW90b3IgQWN0aXZpdHk8L2tleXdvcmQ+PGtl
eXdvcmQ+T2Jlc2l0eS9kaWV0IHRoZXJhcHkvKnRoZXJhcHk8L2tleXdvcmQ+PGtleXdvcmQ+UGh5
c2ljYWwgRWR1Y2F0aW9uIGFuZCBUcmFpbmluZzwva2V5d29yZD48a2V5d29yZD5QcmVnbmFuY3k8
L2tleXdvcmQ+PGtleXdvcmQ+UHJlZ25hbmN5IENvbXBsaWNhdGlvbnMvZGlldCB0aGVyYXB5Lyp0
aGVyYXB5PC9rZXl3b3JkPjxrZXl3b3JkPlByZWduYW5jeSBPdXRjb21lPC9rZXl3b3JkPjxrZXl3
b3JkPldlaWdodCBHYWluPC9rZXl3b3JkPjwva2V5d29yZHM+PGRhdGVzPjx5ZWFyPjIwMTE8L3ll
YXI+PHB1Yi1kYXRlcz48ZGF0ZT5EZWM8L2RhdGU+PC9wdWItZGF0ZXM+PC9kYXRlcz48aXNibj4x
OTM1LTU1NDggKEVsZWN0cm9uaWMpJiN4RDswMTQ5LTU5OTIgKExpbmtpbmcpPC9pc2JuPjxhY2Nl
c3Npb24tbnVtPjIxOTcyNDExPC9hY2Nlc3Npb24tbnVtPjx1cmxzPjxyZWxhdGVkLXVybHM+PHVy
bD5odHRwczovL3d3dy5uY2JpLm5sbS5uaWguZ292L3B1Ym1lZC8yMTk3MjQxMTwvdXJsPjwvcmVs
YXRlZC11cmxzPjwvdXJscz48Y3VzdG9tMj5QTUMzMjIwODQ0PC9jdXN0b20yPjxlbGVjdHJvbmlj
LXJlc291cmNlLW51bT4xMC4yMzM3L2RjMTEtMTE1MDwvZWxlY3Ryb25pYy1yZXNvdXJjZS1udW0+
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451,512-515</w:t>
      </w:r>
      <w:r>
        <w:fldChar w:fldCharType="end"/>
      </w:r>
      <w:r>
        <w:t xml:space="preserve"> or</w:t>
      </w:r>
      <w:r w:rsidRPr="00783B45">
        <w:t xml:space="preserve"> women at increased risk of gestational diabetes</w:t>
      </w:r>
      <w:r>
        <w:t xml:space="preserve"> — defined as one or more risk factors for gestational diabetes (including BMI ≥25)</w:t>
      </w:r>
      <w:r>
        <w:fldChar w:fldCharType="begin">
          <w:fldData xml:space="preserve">PEVuZE5vdGU+PENpdGU+PEF1dGhvcj5Lb3JwaS1IeW92YWx0aTwvQXV0aG9yPjxZZWFyPjIwMTE8
L1llYXI+PFJlY051bT42OTc8L1JlY051bT48RGlzcGxheVRleHQ+PHN0eWxlIGZhY2U9InN1cGVy
c2NyaXB0IiBmb250PSJUcmVidWNoZXQgTVMiIHNpemU9IjkiPjUxNi01MTg8L3N0eWxlPjwvRGlz
cGxheVRleHQ+PHJlY29yZD48cmVjLW51bWJlcj42OTc8L3JlYy1udW1iZXI+PGZvcmVpZ24ta2V5
cz48a2V5IGFwcD0iRU4iIGRiLWlkPSJleHZhc3JmeDJkdHJhb2VzYXN4cDJzenN4YTJkZjUwMjU5
MngiIHRpbWVzdGFtcD0iMTU0MDUzMDI2OCI+Njk3PC9rZXk+PC9mb3JlaWduLWtleXM+PHJlZi10
eXBlIG5hbWU9IkpvdXJuYWwgQXJ0aWNsZSI+MTc8L3JlZi10eXBlPjxjb250cmlidXRvcnM+PGF1
dGhvcnM+PGF1dGhvcj5Lb3JwaS1IeW92YWx0aSwgRS4gQS48L2F1dGhvcj48YXV0aG9yPkxhYWtz
b25lbiwgRC4gRS48L2F1dGhvcj48YXV0aG9yPlNjaHdhYiwgVS4gUy48L2F1dGhvcj48YXV0aG9y
PlZhbmhhcGloYSwgVC4gSC48L2F1dGhvcj48YXV0aG9yPlZpaGxhLCBLLiBSLjwvYXV0aG9yPjxh
dXRob3I+SGVpbm9uZW4sIFMuIFQuPC9hdXRob3I+PGF1dGhvcj5OaXNrYW5lbiwgTC4gSy48L2F1
dGhvcj48L2F1dGhvcnM+PC9jb250cmlidXRvcnM+PGF1dGgtYWRkcmVzcz5EZXBhcnRtZW50IG9m
IEludGVybmFsIE1lZGljaW5lLCBTZWluYWpva2kgQ2VudHJhbCBIb3NwaXRhbCwgU2VpbmFqb2tp
LCBGaW5sYW5kLiBlZXZhLmtvcnBpLWh5b3ZhbHRpQGVwc2hwLmZpPC9hdXRoLWFkZHJlc3M+PHRp
dGxlcz48dGl0bGU+RmVhc2liaWxpdHkgb2YgYSBsaWZlc3R5bGUgaW50ZXJ2ZW50aW9uIGluIGVh
cmx5IHByZWduYW5jeSB0byBwcmV2ZW50IGRldGVyaW9yYXRpb24gb2YgZ2x1Y29zZSB0b2xlcmFu
Y2U8L3RpdGxlPjxzZWNvbmRhcnktdGl0bGU+Qk1DIFB1YmxpYyBIZWFsdGg8L3NlY29uZGFyeS10
aXRsZT48L3RpdGxlcz48cGVyaW9kaWNhbD48ZnVsbC10aXRsZT5CTUMgUHVibGljIEhlYWx0aDwv
ZnVsbC10aXRsZT48L3BlcmlvZGljYWw+PHBhZ2VzPjE3OTwvcGFnZXM+PHZvbHVtZT4xMTwvdm9s
dW1lPjxlZGl0aW9uPjIwMTEvMDMvMjU8L2VkaXRpb24+PGtleXdvcmRzPjxrZXl3b3JkPkFkdWx0
PC9rZXl3b3JkPjxrZXl3b3JkPkRpYWJldGVzLCBHZXN0YXRpb25hbC8qcHJldmVudGlvbiAmYW1w
OyBjb250cm9sPC9rZXl3b3JkPjxrZXl3b3JkPipEaXJlY3RpdmUgQ291bnNlbGluZzwva2V5d29y
ZD48a2V5d29yZD5GZWFzaWJpbGl0eSBTdHVkaWVzPC9rZXl3b3JkPjxrZXl3b3JkPkZlbWFsZTwv
a2V5d29yZD48a2V5d29yZD5GaW5sYW5kPC9rZXl3b3JkPjxrZXl3b3JkPkZvbGxvdy1VcCBTdHVk
aWVzPC9rZXl3b3JkPjxrZXl3b3JkPkdsdWNvc2UgSW50b2xlcmFuY2UvKnByZXZlbnRpb24gJmFt
cDsgY29udHJvbDwva2V5d29yZD48a2V5d29yZD5HbHVjb3NlIFRvbGVyYW5jZSBUZXN0PC9rZXl3
b3JkPjxrZXl3b3JkPkh1bWFuczwva2V5d29yZD48a2V5d29yZD4qTGlmZSBTdHlsZTwva2V5d29y
ZD48a2V5d29yZD5QcmVnbmFuY3k8L2tleXdvcmQ+PGtleXdvcmQ+UmlzayBGYWN0b3JzPC9rZXl3
b3JkPjxrZXl3b3JkPlRpbWUgRmFjdG9yczwva2V5d29yZD48L2tleXdvcmRzPjxkYXRlcz48eWVh
cj4yMDExPC95ZWFyPjxwdWItZGF0ZXM+PGRhdGU+TWFyIDI0PC9kYXRlPjwvcHViLWRhdGVzPjwv
ZGF0ZXM+PGlzYm4+MTQ3MS0yNDU4IChFbGVjdHJvbmljKSYjeEQ7MTQ3MS0yNDU4IChMaW5raW5n
KTwvaXNibj48YWNjZXNzaW9uLW51bT4yMTQyOTIzNDwvYWNjZXNzaW9uLW51bT48dXJscz48cmVs
YXRlZC11cmxzPjx1cmw+aHR0cHM6Ly93d3cubmNiaS5ubG0ubmloLmdvdi9wdWJtZWQvMjE0Mjky
MzQ8L3VybD48L3JlbGF0ZWQtdXJscz48L3VybHM+PGN1c3RvbTI+UE1DMzA3ODA5NTwvY3VzdG9t
Mj48ZWxlY3Ryb25pYy1yZXNvdXJjZS1udW0+MTAuMTE4Ni8xNDcxLTI0NTgtMTEtMTc5PC9lbGVj
dHJvbmljLXJlc291cmNlLW51bT48L3JlY29yZD48L0NpdGU+PENpdGU+PEF1dGhvcj5XYW5nPC9B
dXRob3I+PFllYXI+MjAxNTwvWWVhcj48UmVjTnVtPjc0MDwvUmVjTnVtPjxyZWNvcmQ+PHJlYy1u
dW1iZXI+NzQwPC9yZWMtbnVtYmVyPjxmb3JlaWduLWtleXM+PGtleSBhcHA9IkVOIiBkYi1pZD0i
ZXh2YXNyZngyZHRyYW9lc2FzeHAyc3pzeGEyZGY1MDI1OTJ4IiB0aW1lc3RhbXA9IjE1NDE0Njc4
MTEiPjc0MDwva2V5PjxrZXkgYXBwPSJFTldlYiIgZGItaWQ9IiI+MDwva2V5PjwvZm9yZWlnbi1r
ZXlzPjxyZWYtdHlwZSBuYW1lPSJKb3VybmFsIEFydGljbGUiPjE3PC9yZWYtdHlwZT48Y29udHJp
YnV0b3JzPjxhdXRob3JzPjxhdXRob3I+V2FuZywgU2h1YW5nPC9hdXRob3I+PGF1dGhvcj5NYSwg
SmluZy1NZWk8L2F1dGhvcj48YXV0aG9yPllhbmcsIEh1aS1YaWE8L2F1dGhvcj48L2F1dGhvcnM+
PC9jb250cmlidXRvcnM+PHRpdGxlcz48dGl0bGU+TGlmZXN0eWxlIGludGVydmVudGlvbiBmb3Ig
Z2VzdGF0aW9uYWwgZGlhYmV0ZXMgbWVsbGl0dXMgcHJldmVudGlvbjogQcKgY2x1c3Rlci1yYW5k
b21pemVkIGNvbnRyb2xsZWQgc3R1ZHk8L3RpdGxlPjxzZWNvbmRhcnktdGl0bGU+Q2hyb25pYyBE
aXNlYXNlcyBhbmQgVHJhbnNsYXRpb25hbCBNZWRpY2luZTwvc2Vjb25kYXJ5LXRpdGxlPjwvdGl0
bGVzPjxwZXJpb2RpY2FsPjxmdWxsLXRpdGxlPkNocm9uaWMgRGlzZWFzZXMgYW5kIFRyYW5zbGF0
aW9uYWwgTWVkaWNpbmU8L2Z1bGwtdGl0bGU+PC9wZXJpb2RpY2FsPjxwYWdlcz4xNjktMTc0PC9w
YWdlcz48dm9sdW1lPjE8L3ZvbHVtZT48bnVtYmVyPjM8L251bWJlcj48c2VjdGlvbj4xNjk8L3Nl
Y3Rpb24+PGRhdGVzPjx5ZWFyPjIwMTU8L3llYXI+PC9kYXRlcz48aXNibj4yMDk1ODgyWDwvaXNi
bj48dXJscz48L3VybHM+PGVsZWN0cm9uaWMtcmVzb3VyY2UtbnVtPjEwLjEwMTYvai5jZHRtLjIw
MTUuMDkuMDAxPC9lbGVjdHJvbmljLXJlc291cmNlLW51bT48L3JlY29yZD48L0NpdGU+PENpdGU+
PEF1dGhvcj5DaGFuPC9BdXRob3I+PFllYXI+MjAxODwvWWVhcj48UmVjTnVtPjE5MjM8L1JlY051
bT48cmVjb3JkPjxyZWMtbnVtYmVyPjE5MjM8L3JlYy1udW1iZXI+PGZvcmVpZ24ta2V5cz48a2V5
IGFwcD0iRU4iIGRiLWlkPSJleHZhc3JmeDJkdHJhb2VzYXN4cDJzenN4YTJkZjUwMjU5MngiIHRp
bWVzdGFtcD0iMTU4ODU2NjIzNCI+MTkyMzwva2V5PjxrZXkgYXBwPSJFTldlYiIgZGItaWQ9IiI+
MDwva2V5PjwvZm9yZWlnbi1rZXlzPjxyZWYtdHlwZSBuYW1lPSJKb3VybmFsIEFydGljbGUiPjE3
PC9yZWYtdHlwZT48Y29udHJpYnV0b3JzPjxhdXRob3JzPjxhdXRob3I+Q2hhbiwgUi4gUy48L2F1
dGhvcj48YXV0aG9yPlRhbSwgVy4gSC48L2F1dGhvcj48YXV0aG9yPkhvLCBJLiBDLjwvYXV0aG9y
PjxhdXRob3I+S3dhbiwgTS4gVy48L2F1dGhvcj48YXV0aG9yPkxpLCBMLiBTLjwvYXV0aG9yPjxh
dXRob3I+U2VhLCBNLiBNLjwvYXV0aG9yPjxhdXRob3I+V29vLCBKLjwvYXV0aG9yPjwvYXV0aG9y
cz48L2NvbnRyaWJ1dG9ycz48YXV0aC1hZGRyZXNzPkRlcGFydG1lbnQgb2YgTWVkaWNpbmUgYW5k
IFRoZXJhcGV1dGljcywgVGhlIENoaW5lc2UgVW5pdmVyc2l0eSBvZiBIb25nIEtvbmcsIEhvbmcg
S29uZywgQ2hpbmEuIHJ1dGhjaGFuc21AY3Voay5lZHUuaGsuJiN4RDtEZXBhcnRtZW50IG9mIE9i
c3RldHJpY3MgYW5kIEd5bmFlY29sb2d5LCBUaGUgQ2hpbmVzZSBVbml2ZXJzaXR5IG9mIEhvbmcg
S29uZywgSG9uZyBLb25nLCBDaGluYS4mI3hEO0RlcGFydG1lbnQgb2YgTWVkaWNpbmUgYW5kIFRo
ZXJhcGV1dGljcywgVGhlIENoaW5lc2UgVW5pdmVyc2l0eSBvZiBIb25nIEtvbmcsIEhvbmcgS29u
ZywgQ2hpbmEuJiN4RDtDZW50cmUgZm9yIE51dHJpdGlvbmFsIFN0dWRpZXMsIFRoZSBDaGluZXNl
IFVuaXZlcnNpdHkgb2YgSG9uZyBLb25nLCBIb25nIEtvbmcsIENoaW5hLjwvYXV0aC1hZGRyZXNz
Pjx0aXRsZXM+PHRpdGxlPlJhbmRvbWl6ZWQgdHJpYWwgZXhhbWluaW5nIGVmZmVjdGl2ZW5lc3Mg
b2YgbGlmZXN0eWxlIGludGVydmVudGlvbiBpbiByZWR1Y2luZyBnZXN0YXRpb25hbCBkaWFiZXRl
cyBpbiBoaWdoIHJpc2sgQ2hpbmVzZSBwcmVnbmFudCB3b21lbiBpbiBIb25nIEtvbmc8L3RpdGxl
PjxzZWNvbmRhcnktdGl0bGU+U2NpIFJlcDwvc2Vjb25kYXJ5LXRpdGxlPjwvdGl0bGVzPjxwZXJp
b2RpY2FsPjxmdWxsLXRpdGxlPlNjaSBSZXA8L2Z1bGwtdGl0bGU+PC9wZXJpb2RpY2FsPjxwYWdl
cz4xMzg0OTwvcGFnZXM+PHZvbHVtZT44PC92b2x1bWU+PG51bWJlcj4xPC9udW1iZXI+PGVkaXRp
b24+MjAxOC8wOS8xNjwvZWRpdGlvbj48a2V5d29yZHM+PGtleXdvcmQ+QWR1bHQ8L2tleXdvcmQ+
PGtleXdvcmQ+RGlhYmV0ZXMsIEdlc3RhdGlvbmFsLypwcmV2ZW50aW9uICZhbXA7IGNvbnRyb2w8
L2tleXdvcmQ+PGtleXdvcmQ+RmVtYWxlPC9rZXl3b3JkPjxrZXl3b3JkPkhvbmcgS29uZzwva2V5
d29yZD48a2V5d29yZD5IdW1hbnM8L2tleXdvcmQ+PGtleXdvcmQ+KkxpZmUgU3R5bGU8L2tleXdv
cmQ+PGtleXdvcmQ+T3V0Y29tZSBBc3Nlc3NtZW50LCBIZWFsdGggQ2FyZTwva2V5d29yZD48a2V5
d29yZD5QcmVnbmFuY3k8L2tleXdvcmQ+PGtleXdvcmQ+Umlzazwva2V5d29yZD48L2tleXdvcmRz
PjxkYXRlcz48eWVhcj4yMDE4PC95ZWFyPjxwdWItZGF0ZXM+PGRhdGU+U2VwIDE0PC9kYXRlPjwv
cHViLWRhdGVzPjwvZGF0ZXM+PGlzYm4+MjA0NS0yMzIyIChFbGVjdHJvbmljKSYjeEQ7MjA0NS0y
MzIyIChMaW5raW5nKTwvaXNibj48YWNjZXNzaW9uLW51bT4zMDIxODAxMjwvYWNjZXNzaW9uLW51
bT48dXJscz48cmVsYXRlZC11cmxzPjx1cmw+aHR0cHM6Ly93d3cubmNiaS5ubG0ubmloLmdvdi9w
dWJtZWQvMzAyMTgwMTI8L3VybD48L3JlbGF0ZWQtdXJscz48L3VybHM+PGN1c3RvbTI+UE1DNjEz
ODcwODwvY3VzdG9tMj48ZWxlY3Ryb25pYy1yZXNvdXJjZS1udW0+MTAuMTAzOC9zNDE1OTgtMDE4
LTMyMjg1LTY8L2VsZWN0cm9uaWMtcmVzb3VyY2UtbnVtPjwvcmVjb3JkPjwvQ2l0ZT48L0VuZE5v
dGU+
</w:fldData>
        </w:fldChar>
      </w:r>
      <w:r w:rsidR="002747EA">
        <w:instrText xml:space="preserve"> ADDIN EN.CITE </w:instrText>
      </w:r>
      <w:r w:rsidR="002747EA">
        <w:fldChar w:fldCharType="begin">
          <w:fldData xml:space="preserve">PEVuZE5vdGU+PENpdGU+PEF1dGhvcj5Lb3JwaS1IeW92YWx0aTwvQXV0aG9yPjxZZWFyPjIwMTE8
L1llYXI+PFJlY051bT42OTc8L1JlY051bT48RGlzcGxheVRleHQ+PHN0eWxlIGZhY2U9InN1cGVy
c2NyaXB0IiBmb250PSJUcmVidWNoZXQgTVMiIHNpemU9IjkiPjUxNi01MTg8L3N0eWxlPjwvRGlz
cGxheVRleHQ+PHJlY29yZD48cmVjLW51bWJlcj42OTc8L3JlYy1udW1iZXI+PGZvcmVpZ24ta2V5
cz48a2V5IGFwcD0iRU4iIGRiLWlkPSJleHZhc3JmeDJkdHJhb2VzYXN4cDJzenN4YTJkZjUwMjU5
MngiIHRpbWVzdGFtcD0iMTU0MDUzMDI2OCI+Njk3PC9rZXk+PC9mb3JlaWduLWtleXM+PHJlZi10
eXBlIG5hbWU9IkpvdXJuYWwgQXJ0aWNsZSI+MTc8L3JlZi10eXBlPjxjb250cmlidXRvcnM+PGF1
dGhvcnM+PGF1dGhvcj5Lb3JwaS1IeW92YWx0aSwgRS4gQS48L2F1dGhvcj48YXV0aG9yPkxhYWtz
b25lbiwgRC4gRS48L2F1dGhvcj48YXV0aG9yPlNjaHdhYiwgVS4gUy48L2F1dGhvcj48YXV0aG9y
PlZhbmhhcGloYSwgVC4gSC48L2F1dGhvcj48YXV0aG9yPlZpaGxhLCBLLiBSLjwvYXV0aG9yPjxh
dXRob3I+SGVpbm9uZW4sIFMuIFQuPC9hdXRob3I+PGF1dGhvcj5OaXNrYW5lbiwgTC4gSy48L2F1
dGhvcj48L2F1dGhvcnM+PC9jb250cmlidXRvcnM+PGF1dGgtYWRkcmVzcz5EZXBhcnRtZW50IG9m
IEludGVybmFsIE1lZGljaW5lLCBTZWluYWpva2kgQ2VudHJhbCBIb3NwaXRhbCwgU2VpbmFqb2tp
LCBGaW5sYW5kLiBlZXZhLmtvcnBpLWh5b3ZhbHRpQGVwc2hwLmZpPC9hdXRoLWFkZHJlc3M+PHRp
dGxlcz48dGl0bGU+RmVhc2liaWxpdHkgb2YgYSBsaWZlc3R5bGUgaW50ZXJ2ZW50aW9uIGluIGVh
cmx5IHByZWduYW5jeSB0byBwcmV2ZW50IGRldGVyaW9yYXRpb24gb2YgZ2x1Y29zZSB0b2xlcmFu
Y2U8L3RpdGxlPjxzZWNvbmRhcnktdGl0bGU+Qk1DIFB1YmxpYyBIZWFsdGg8L3NlY29uZGFyeS10
aXRsZT48L3RpdGxlcz48cGVyaW9kaWNhbD48ZnVsbC10aXRsZT5CTUMgUHVibGljIEhlYWx0aDwv
ZnVsbC10aXRsZT48L3BlcmlvZGljYWw+PHBhZ2VzPjE3OTwvcGFnZXM+PHZvbHVtZT4xMTwvdm9s
dW1lPjxlZGl0aW9uPjIwMTEvMDMvMjU8L2VkaXRpb24+PGtleXdvcmRzPjxrZXl3b3JkPkFkdWx0
PC9rZXl3b3JkPjxrZXl3b3JkPkRpYWJldGVzLCBHZXN0YXRpb25hbC8qcHJldmVudGlvbiAmYW1w
OyBjb250cm9sPC9rZXl3b3JkPjxrZXl3b3JkPipEaXJlY3RpdmUgQ291bnNlbGluZzwva2V5d29y
ZD48a2V5d29yZD5GZWFzaWJpbGl0eSBTdHVkaWVzPC9rZXl3b3JkPjxrZXl3b3JkPkZlbWFsZTwv
a2V5d29yZD48a2V5d29yZD5GaW5sYW5kPC9rZXl3b3JkPjxrZXl3b3JkPkZvbGxvdy1VcCBTdHVk
aWVzPC9rZXl3b3JkPjxrZXl3b3JkPkdsdWNvc2UgSW50b2xlcmFuY2UvKnByZXZlbnRpb24gJmFt
cDsgY29udHJvbDwva2V5d29yZD48a2V5d29yZD5HbHVjb3NlIFRvbGVyYW5jZSBUZXN0PC9rZXl3
b3JkPjxrZXl3b3JkPkh1bWFuczwva2V5d29yZD48a2V5d29yZD4qTGlmZSBTdHlsZTwva2V5d29y
ZD48a2V5d29yZD5QcmVnbmFuY3k8L2tleXdvcmQ+PGtleXdvcmQ+UmlzayBGYWN0b3JzPC9rZXl3
b3JkPjxrZXl3b3JkPlRpbWUgRmFjdG9yczwva2V5d29yZD48L2tleXdvcmRzPjxkYXRlcz48eWVh
cj4yMDExPC95ZWFyPjxwdWItZGF0ZXM+PGRhdGU+TWFyIDI0PC9kYXRlPjwvcHViLWRhdGVzPjwv
ZGF0ZXM+PGlzYm4+MTQ3MS0yNDU4IChFbGVjdHJvbmljKSYjeEQ7MTQ3MS0yNDU4IChMaW5raW5n
KTwvaXNibj48YWNjZXNzaW9uLW51bT4yMTQyOTIzNDwvYWNjZXNzaW9uLW51bT48dXJscz48cmVs
YXRlZC11cmxzPjx1cmw+aHR0cHM6Ly93d3cubmNiaS5ubG0ubmloLmdvdi9wdWJtZWQvMjE0Mjky
MzQ8L3VybD48L3JlbGF0ZWQtdXJscz48L3VybHM+PGN1c3RvbTI+UE1DMzA3ODA5NTwvY3VzdG9t
Mj48ZWxlY3Ryb25pYy1yZXNvdXJjZS1udW0+MTAuMTE4Ni8xNDcxLTI0NTgtMTEtMTc5PC9lbGVj
dHJvbmljLXJlc291cmNlLW51bT48L3JlY29yZD48L0NpdGU+PENpdGU+PEF1dGhvcj5XYW5nPC9B
dXRob3I+PFllYXI+MjAxNTwvWWVhcj48UmVjTnVtPjc0MDwvUmVjTnVtPjxyZWNvcmQ+PHJlYy1u
dW1iZXI+NzQwPC9yZWMtbnVtYmVyPjxmb3JlaWduLWtleXM+PGtleSBhcHA9IkVOIiBkYi1pZD0i
ZXh2YXNyZngyZHRyYW9lc2FzeHAyc3pzeGEyZGY1MDI1OTJ4IiB0aW1lc3RhbXA9IjE1NDE0Njc4
MTEiPjc0MDwva2V5PjxrZXkgYXBwPSJFTldlYiIgZGItaWQ9IiI+MDwva2V5PjwvZm9yZWlnbi1r
ZXlzPjxyZWYtdHlwZSBuYW1lPSJKb3VybmFsIEFydGljbGUiPjE3PC9yZWYtdHlwZT48Y29udHJp
YnV0b3JzPjxhdXRob3JzPjxhdXRob3I+V2FuZywgU2h1YW5nPC9hdXRob3I+PGF1dGhvcj5NYSwg
SmluZy1NZWk8L2F1dGhvcj48YXV0aG9yPllhbmcsIEh1aS1YaWE8L2F1dGhvcj48L2F1dGhvcnM+
PC9jb250cmlidXRvcnM+PHRpdGxlcz48dGl0bGU+TGlmZXN0eWxlIGludGVydmVudGlvbiBmb3Ig
Z2VzdGF0aW9uYWwgZGlhYmV0ZXMgbWVsbGl0dXMgcHJldmVudGlvbjogQcKgY2x1c3Rlci1yYW5k
b21pemVkIGNvbnRyb2xsZWQgc3R1ZHk8L3RpdGxlPjxzZWNvbmRhcnktdGl0bGU+Q2hyb25pYyBE
aXNlYXNlcyBhbmQgVHJhbnNsYXRpb25hbCBNZWRpY2luZTwvc2Vjb25kYXJ5LXRpdGxlPjwvdGl0
bGVzPjxwZXJpb2RpY2FsPjxmdWxsLXRpdGxlPkNocm9uaWMgRGlzZWFzZXMgYW5kIFRyYW5zbGF0
aW9uYWwgTWVkaWNpbmU8L2Z1bGwtdGl0bGU+PC9wZXJpb2RpY2FsPjxwYWdlcz4xNjktMTc0PC9w
YWdlcz48dm9sdW1lPjE8L3ZvbHVtZT48bnVtYmVyPjM8L251bWJlcj48c2VjdGlvbj4xNjk8L3Nl
Y3Rpb24+PGRhdGVzPjx5ZWFyPjIwMTU8L3llYXI+PC9kYXRlcz48aXNibj4yMDk1ODgyWDwvaXNi
bj48dXJscz48L3VybHM+PGVsZWN0cm9uaWMtcmVzb3VyY2UtbnVtPjEwLjEwMTYvai5jZHRtLjIw
MTUuMDkuMDAxPC9lbGVjdHJvbmljLXJlc291cmNlLW51bT48L3JlY29yZD48L0NpdGU+PENpdGU+
PEF1dGhvcj5DaGFuPC9BdXRob3I+PFllYXI+MjAxODwvWWVhcj48UmVjTnVtPjE5MjM8L1JlY051
bT48cmVjb3JkPjxyZWMtbnVtYmVyPjE5MjM8L3JlYy1udW1iZXI+PGZvcmVpZ24ta2V5cz48a2V5
IGFwcD0iRU4iIGRiLWlkPSJleHZhc3JmeDJkdHJhb2VzYXN4cDJzenN4YTJkZjUwMjU5MngiIHRp
bWVzdGFtcD0iMTU4ODU2NjIzNCI+MTkyMzwva2V5PjxrZXkgYXBwPSJFTldlYiIgZGItaWQ9IiI+
MDwva2V5PjwvZm9yZWlnbi1rZXlzPjxyZWYtdHlwZSBuYW1lPSJKb3VybmFsIEFydGljbGUiPjE3
PC9yZWYtdHlwZT48Y29udHJpYnV0b3JzPjxhdXRob3JzPjxhdXRob3I+Q2hhbiwgUi4gUy48L2F1
dGhvcj48YXV0aG9yPlRhbSwgVy4gSC48L2F1dGhvcj48YXV0aG9yPkhvLCBJLiBDLjwvYXV0aG9y
PjxhdXRob3I+S3dhbiwgTS4gVy48L2F1dGhvcj48YXV0aG9yPkxpLCBMLiBTLjwvYXV0aG9yPjxh
dXRob3I+U2VhLCBNLiBNLjwvYXV0aG9yPjxhdXRob3I+V29vLCBKLjwvYXV0aG9yPjwvYXV0aG9y
cz48L2NvbnRyaWJ1dG9ycz48YXV0aC1hZGRyZXNzPkRlcGFydG1lbnQgb2YgTWVkaWNpbmUgYW5k
IFRoZXJhcGV1dGljcywgVGhlIENoaW5lc2UgVW5pdmVyc2l0eSBvZiBIb25nIEtvbmcsIEhvbmcg
S29uZywgQ2hpbmEuIHJ1dGhjaGFuc21AY3Voay5lZHUuaGsuJiN4RDtEZXBhcnRtZW50IG9mIE9i
c3RldHJpY3MgYW5kIEd5bmFlY29sb2d5LCBUaGUgQ2hpbmVzZSBVbml2ZXJzaXR5IG9mIEhvbmcg
S29uZywgSG9uZyBLb25nLCBDaGluYS4mI3hEO0RlcGFydG1lbnQgb2YgTWVkaWNpbmUgYW5kIFRo
ZXJhcGV1dGljcywgVGhlIENoaW5lc2UgVW5pdmVyc2l0eSBvZiBIb25nIEtvbmcsIEhvbmcgS29u
ZywgQ2hpbmEuJiN4RDtDZW50cmUgZm9yIE51dHJpdGlvbmFsIFN0dWRpZXMsIFRoZSBDaGluZXNl
IFVuaXZlcnNpdHkgb2YgSG9uZyBLb25nLCBIb25nIEtvbmcsIENoaW5hLjwvYXV0aC1hZGRyZXNz
Pjx0aXRsZXM+PHRpdGxlPlJhbmRvbWl6ZWQgdHJpYWwgZXhhbWluaW5nIGVmZmVjdGl2ZW5lc3Mg
b2YgbGlmZXN0eWxlIGludGVydmVudGlvbiBpbiByZWR1Y2luZyBnZXN0YXRpb25hbCBkaWFiZXRl
cyBpbiBoaWdoIHJpc2sgQ2hpbmVzZSBwcmVnbmFudCB3b21lbiBpbiBIb25nIEtvbmc8L3RpdGxl
PjxzZWNvbmRhcnktdGl0bGU+U2NpIFJlcDwvc2Vjb25kYXJ5LXRpdGxlPjwvdGl0bGVzPjxwZXJp
b2RpY2FsPjxmdWxsLXRpdGxlPlNjaSBSZXA8L2Z1bGwtdGl0bGU+PC9wZXJpb2RpY2FsPjxwYWdl
cz4xMzg0OTwvcGFnZXM+PHZvbHVtZT44PC92b2x1bWU+PG51bWJlcj4xPC9udW1iZXI+PGVkaXRp
b24+MjAxOC8wOS8xNjwvZWRpdGlvbj48a2V5d29yZHM+PGtleXdvcmQ+QWR1bHQ8L2tleXdvcmQ+
PGtleXdvcmQ+RGlhYmV0ZXMsIEdlc3RhdGlvbmFsLypwcmV2ZW50aW9uICZhbXA7IGNvbnRyb2w8
L2tleXdvcmQ+PGtleXdvcmQ+RmVtYWxlPC9rZXl3b3JkPjxrZXl3b3JkPkhvbmcgS29uZzwva2V5
d29yZD48a2V5d29yZD5IdW1hbnM8L2tleXdvcmQ+PGtleXdvcmQ+KkxpZmUgU3R5bGU8L2tleXdv
cmQ+PGtleXdvcmQ+T3V0Y29tZSBBc3Nlc3NtZW50LCBIZWFsdGggQ2FyZTwva2V5d29yZD48a2V5
d29yZD5QcmVnbmFuY3k8L2tleXdvcmQ+PGtleXdvcmQ+Umlzazwva2V5d29yZD48L2tleXdvcmRz
PjxkYXRlcz48eWVhcj4yMDE4PC95ZWFyPjxwdWItZGF0ZXM+PGRhdGU+U2VwIDE0PC9kYXRlPjwv
cHViLWRhdGVzPjwvZGF0ZXM+PGlzYm4+MjA0NS0yMzIyIChFbGVjdHJvbmljKSYjeEQ7MjA0NS0y
MzIyIChMaW5raW5nKTwvaXNibj48YWNjZXNzaW9uLW51bT4zMDIxODAxMjwvYWNjZXNzaW9uLW51
bT48dXJscz48cmVsYXRlZC11cmxzPjx1cmw+aHR0cHM6Ly93d3cubmNiaS5ubG0ubmloLmdvdi9w
dWJtZWQvMzAyMTgwMTI8L3VybD48L3JlbGF0ZWQtdXJscz48L3VybHM+PGN1c3RvbTI+UE1DNjEz
ODcwODwvY3VzdG9tMj48ZWxlY3Ryb25pYy1yZXNvdXJjZS1udW0+MTAuMTAzOC9zNDE1OTgtMDE4
LTMyMjg1LTY8L2VsZWN0cm9uaWMtcmVzb3VyY2UtbnVtPjwvcmVjb3JkPjwvQ2l0ZT48L0VuZE5v
dGU+
</w:fldData>
        </w:fldChar>
      </w:r>
      <w:r w:rsidR="002747EA">
        <w:instrText xml:space="preserve"> ADDIN EN.CITE.DATA </w:instrText>
      </w:r>
      <w:r w:rsidR="002747EA">
        <w:fldChar w:fldCharType="end"/>
      </w:r>
      <w:r>
        <w:fldChar w:fldCharType="separate"/>
      </w:r>
      <w:r w:rsidR="002747EA" w:rsidRPr="002747EA">
        <w:rPr>
          <w:noProof/>
          <w:vertAlign w:val="superscript"/>
        </w:rPr>
        <w:t>516-518</w:t>
      </w:r>
      <w:r>
        <w:fldChar w:fldCharType="end"/>
      </w:r>
      <w:r>
        <w:t xml:space="preserve"> or as BMI≥30 and at risk</w:t>
      </w:r>
      <w:r w:rsidRPr="00783B45">
        <w:t>.</w:t>
      </w:r>
      <w:r>
        <w:rPr>
          <w:lang w:val="en-AU"/>
        </w:rPr>
        <w:fldChar w:fldCharType="begin">
          <w:fldData xml:space="preserve">PEVuZE5vdGU+PENpdGU+PEF1dGhvcj5Lb2l2dXNhbG88L0F1dGhvcj48WWVhcj4yMDE2PC9ZZWFy
PjxSZWNOdW0+NzMzPC9SZWNOdW0+PERpc3BsYXlUZXh0PjxzdHlsZSBmYWNlPSJzdXBlcnNjcmlw
dCIgZm9udD0iVHJlYnVjaGV0IE1TIiBzaXplPSI5Ij41MTksNTIwPC9zdHlsZT48L0Rpc3BsYXlU
ZXh0PjxyZWNvcmQ+PHJlYy1udW1iZXI+NzMzPC9yZWMtbnVtYmVyPjxmb3JlaWduLWtleXM+PGtl
eSBhcHA9IkVOIiBkYi1pZD0iZXh2YXNyZngyZHRyYW9lc2FzeHAyc3pzeGEyZGY1MDI1OTJ4IiB0
aW1lc3RhbXA9IjE1NDE0Njc3NjYiPjczMzwva2V5PjxrZXkgYXBwPSJFTldlYiIgZGItaWQ9IiI+
MDwva2V5PjwvZm9yZWlnbi1rZXlzPjxyZWYtdHlwZSBuYW1lPSJKb3VybmFsIEFydGljbGUiPjE3
PC9yZWYtdHlwZT48Y29udHJpYnV0b3JzPjxhdXRob3JzPjxhdXRob3I+S29pdnVzYWxvLCBTLkIu
LDwvYXV0aG9yPjxhdXRob3I+UsO2bsO2LCBLLiw8L2F1dGhvcj48YXV0aG9yPktsZW1ldHRpLCBN
Lk0uLDwvYXV0aG9yPjxhdXRob3I+Um9pbmUsIFIuUC4sPC9hdXRob3I+PGF1dGhvcj5MaW5kc3Ry
w7ZtLCBKLiw8L2F1dGhvcj48YXV0aG9yPkVya2tvbGEsIE0uLDwvYXV0aG9yPjwvYXV0aG9ycz48
L2NvbnRyaWJ1dG9ycz48dGl0bGVzPjx0aXRsZT5HZXN0YXRpb25hbCBkaWFiZXRlcyBtZWxsaXR1
cyBjYW4gYmUgcHJldmVudGVkIGJ5IGxpZmVzdHlsZSBpbnRlcnZlbnRpb246IFRoZSBGaW5uaXNo
IEdlc3RhdGlvbmFsIERpYWJldGVzIFByZXZlbnRpb24gU3R1ZHkgKFJBRElFTCk8L3RpdGxlPjxz
ZWNvbmRhcnktdGl0bGU+RGlhYmV0ZXMgQ2FyZTwvc2Vjb25kYXJ5LXRpdGxlPjwvdGl0bGVzPjxw
ZXJpb2RpY2FsPjxmdWxsLXRpdGxlPkRpYWJldGVzIENhcmU8L2Z1bGwtdGl0bGU+PC9wZXJpb2Rp
Y2FsPjxwYWdlcz4yNC0zMDwvcGFnZXM+PHZvbHVtZT4zOTwvdm9sdW1lPjxudW1iZXI+MTwvbnVt
YmVyPjxzZWN0aW9uPjI0PC9zZWN0aW9uPjxkYXRlcz48eWVhcj4yMDE2PC95ZWFyPjwvZGF0ZXM+
PGlzYm4+MDE0OS01OTkyJiN4RDsxOTM1LTU1NDg8L2lzYm4+PHVybHM+PC91cmxzPjxlbGVjdHJv
bmljLXJlc291cmNlLW51bT4xMC4yMzM3L2RjMTUtMDUxMTwvZWxlY3Ryb25pYy1yZXNvdXJjZS1u
dW0+PC9yZWNvcmQ+PC9DaXRlPjxDaXRlPjxBdXRob3I+SGFycmlzb248L0F1dGhvcj48WWVhcj4y
MDEzPC9ZZWFyPjxSZWNOdW0+NzI1PC9SZWNOdW0+PHJlY29yZD48cmVjLW51bWJlcj43MjU8L3Jl
Yy1udW1iZXI+PGZvcmVpZ24ta2V5cz48a2V5IGFwcD0iRU4iIGRiLWlkPSJleHZhc3JmeDJkdHJh
b2VzYXN4cDJzenN4YTJkZjUwMjU5MngiIHRpbWVzdGFtcD0iMTU0MTQ2NTA1MCI+NzI1PC9rZXk+
PC9mb3JlaWduLWtleXM+PHJlZi10eXBlIG5hbWU9IkpvdXJuYWwgQXJ0aWNsZSI+MTc8L3JlZi10
eXBlPjxjb250cmlidXRvcnM+PGF1dGhvcnM+PGF1dGhvcj5IYXJyaXNvbiwgQy4gTC48L2F1dGhv
cj48YXV0aG9yPkxvbWJhcmQsIEMuIEIuPC9hdXRob3I+PGF1dGhvcj5TdHJhdXNzLCBCLiBKLjwv
YXV0aG9yPjxhdXRob3I+VGVlZGUsIEguIEouPC9hdXRob3I+PC9hdXRob3JzPjwvY29udHJpYnV0
b3JzPjxhdXRoLWFkZHJlc3M+V29tZW4mYXBvcztzIFJlcHJvZHVjdGl2ZSBSZXNlYXJjaCB1bml0
LCBTY2hvb2wgb2YgUHVibGljIEhlYWx0aCBhbmQgUHJldmVudGl2ZSBNZWRpY2luZSwgTW9uYXNo
IFVuaXZlcnNpdHksIENsYXl0b24sIFZpY3RvcmlhLCBBdXN0cmFsaWEuPC9hdXRoLWFkZHJlc3M+
PHRpdGxlcz48dGl0bGU+T3B0aW1pemluZyBoZWFsdGh5IGdlc3RhdGlvbmFsIHdlaWdodCBnYWlu
IGluIHdvbWVuIGF0IGhpZ2ggcmlzayBvZiBnZXN0YXRpb25hbCBkaWFiZXRlczogYSByYW5kb21p
emVkIGNvbnRyb2xsZWQgdHJpYWw8L3RpdGxlPjxzZWNvbmRhcnktdGl0bGU+T2Jlc2l0eSAoU2ls
dmVyIFNwcmluZyk8L3NlY29uZGFyeS10aXRsZT48L3RpdGxlcz48cGVyaW9kaWNhbD48ZnVsbC10
aXRsZT5PYmVzaXR5IChTaWx2ZXIgU3ByaW5nKTwvZnVsbC10aXRsZT48L3BlcmlvZGljYWw+PHBh
Z2VzPjkwNC05PC9wYWdlcz48dm9sdW1lPjIxPC92b2x1bWU+PG51bWJlcj41PC9udW1iZXI+PGVk
aXRpb24+MjAxMy8wNi8yMTwvZWRpdGlvbj48a2V5d29yZHM+PGtleXdvcmQ+QWR1bHQ8L2tleXdv
cmQ+PGtleXdvcmQ+KkJvZHkgTWFzcyBJbmRleDwva2V5d29yZD48a2V5d29yZD5EaWFiZXRlcywg
R2VzdGF0aW9uYWwvZXBpZGVtaW9sb2d5LypwcmV2ZW50aW9uICZhbXA7IGNvbnRyb2w8L2tleXdv
cmQ+PGtleXdvcmQ+RmVtYWxlPC9rZXl3b3JkPjxrZXl3b3JkPkh1bWFuczwva2V5d29yZD48a2V5
d29yZD4qTGlmZSBTdHlsZTwva2V5d29yZD48a2V5d29yZD5Nb3RvciBBY3Rpdml0eTwva2V5d29y
ZD48a2V5d29yZD5PYmVzaXR5L2NvbXBsaWNhdGlvbnMvdGhlcmFweTwva2V5d29yZD48a2V5d29y
ZD5QcmVnbmFuY3k8L2tleXdvcmQ+PGtleXdvcmQ+UHJlbmF0YWwgQ2FyZTwva2V5d29yZD48a2V5
d29yZD5SaXNrIEZhY3RvcnM8L2tleXdvcmQ+PGtleXdvcmQ+KldhbGtpbmc8L2tleXdvcmQ+PGtl
eXdvcmQ+KldlaWdodCBHYWluPC9rZXl3b3JkPjwva2V5d29yZHM+PGRhdGVzPjx5ZWFyPjIwMTM8
L3llYXI+PHB1Yi1kYXRlcz48ZGF0ZT5NYXk8L2RhdGU+PC9wdWItZGF0ZXM+PC9kYXRlcz48aXNi
bj4xOTMwLTczOVggKEVsZWN0cm9uaWMpJiN4RDsxOTMwLTczODEgKExpbmtpbmcpPC9pc2JuPjxh
Y2Nlc3Npb24tbnVtPjIzNzg0ODkyPC9hY2Nlc3Npb24tbnVtPjx1cmxzPjxyZWxhdGVkLXVybHM+
PHVybD5odHRwczovL3d3dy5uY2JpLm5sbS5uaWguZ292L3B1Ym1lZC8yMzc4NDg5MjwvdXJsPjwv
cmVsYXRlZC11cmxzPjwvdXJscz48ZWxlY3Ryb25pYy1yZXNvdXJjZS1udW0+MTAuMTAwMi9vYnku
MjAxNjM8L2VsZWN0cm9uaWMtcmVzb3VyY2UtbnVtPjwvcmVjb3JkPjwvQ2l0ZT48L0VuZE5vdGU+
</w:fldData>
        </w:fldChar>
      </w:r>
      <w:r w:rsidR="002747EA">
        <w:rPr>
          <w:lang w:val="en-AU"/>
        </w:rPr>
        <w:instrText xml:space="preserve"> ADDIN EN.CITE </w:instrText>
      </w:r>
      <w:r w:rsidR="002747EA">
        <w:rPr>
          <w:lang w:val="en-AU"/>
        </w:rPr>
        <w:fldChar w:fldCharType="begin">
          <w:fldData xml:space="preserve">PEVuZE5vdGU+PENpdGU+PEF1dGhvcj5Lb2l2dXNhbG88L0F1dGhvcj48WWVhcj4yMDE2PC9ZZWFy
PjxSZWNOdW0+NzMzPC9SZWNOdW0+PERpc3BsYXlUZXh0PjxzdHlsZSBmYWNlPSJzdXBlcnNjcmlw
dCIgZm9udD0iVHJlYnVjaGV0IE1TIiBzaXplPSI5Ij41MTksNTIwPC9zdHlsZT48L0Rpc3BsYXlU
ZXh0PjxyZWNvcmQ+PHJlYy1udW1iZXI+NzMzPC9yZWMtbnVtYmVyPjxmb3JlaWduLWtleXM+PGtl
eSBhcHA9IkVOIiBkYi1pZD0iZXh2YXNyZngyZHRyYW9lc2FzeHAyc3pzeGEyZGY1MDI1OTJ4IiB0
aW1lc3RhbXA9IjE1NDE0Njc3NjYiPjczMzwva2V5PjxrZXkgYXBwPSJFTldlYiIgZGItaWQ9IiI+
MDwva2V5PjwvZm9yZWlnbi1rZXlzPjxyZWYtdHlwZSBuYW1lPSJKb3VybmFsIEFydGljbGUiPjE3
PC9yZWYtdHlwZT48Y29udHJpYnV0b3JzPjxhdXRob3JzPjxhdXRob3I+S29pdnVzYWxvLCBTLkIu
LDwvYXV0aG9yPjxhdXRob3I+UsO2bsO2LCBLLiw8L2F1dGhvcj48YXV0aG9yPktsZW1ldHRpLCBN
Lk0uLDwvYXV0aG9yPjxhdXRob3I+Um9pbmUsIFIuUC4sPC9hdXRob3I+PGF1dGhvcj5MaW5kc3Ry
w7ZtLCBKLiw8L2F1dGhvcj48YXV0aG9yPkVya2tvbGEsIE0uLDwvYXV0aG9yPjwvYXV0aG9ycz48
L2NvbnRyaWJ1dG9ycz48dGl0bGVzPjx0aXRsZT5HZXN0YXRpb25hbCBkaWFiZXRlcyBtZWxsaXR1
cyBjYW4gYmUgcHJldmVudGVkIGJ5IGxpZmVzdHlsZSBpbnRlcnZlbnRpb246IFRoZSBGaW5uaXNo
IEdlc3RhdGlvbmFsIERpYWJldGVzIFByZXZlbnRpb24gU3R1ZHkgKFJBRElFTCk8L3RpdGxlPjxz
ZWNvbmRhcnktdGl0bGU+RGlhYmV0ZXMgQ2FyZTwvc2Vjb25kYXJ5LXRpdGxlPjwvdGl0bGVzPjxw
ZXJpb2RpY2FsPjxmdWxsLXRpdGxlPkRpYWJldGVzIENhcmU8L2Z1bGwtdGl0bGU+PC9wZXJpb2Rp
Y2FsPjxwYWdlcz4yNC0zMDwvcGFnZXM+PHZvbHVtZT4zOTwvdm9sdW1lPjxudW1iZXI+MTwvbnVt
YmVyPjxzZWN0aW9uPjI0PC9zZWN0aW9uPjxkYXRlcz48eWVhcj4yMDE2PC95ZWFyPjwvZGF0ZXM+
PGlzYm4+MDE0OS01OTkyJiN4RDsxOTM1LTU1NDg8L2lzYm4+PHVybHM+PC91cmxzPjxlbGVjdHJv
bmljLXJlc291cmNlLW51bT4xMC4yMzM3L2RjMTUtMDUxMTwvZWxlY3Ryb25pYy1yZXNvdXJjZS1u
dW0+PC9yZWNvcmQ+PC9DaXRlPjxDaXRlPjxBdXRob3I+SGFycmlzb248L0F1dGhvcj48WWVhcj4y
MDEzPC9ZZWFyPjxSZWNOdW0+NzI1PC9SZWNOdW0+PHJlY29yZD48cmVjLW51bWJlcj43MjU8L3Jl
Yy1udW1iZXI+PGZvcmVpZ24ta2V5cz48a2V5IGFwcD0iRU4iIGRiLWlkPSJleHZhc3JmeDJkdHJh
b2VzYXN4cDJzenN4YTJkZjUwMjU5MngiIHRpbWVzdGFtcD0iMTU0MTQ2NTA1MCI+NzI1PC9rZXk+
PC9mb3JlaWduLWtleXM+PHJlZi10eXBlIG5hbWU9IkpvdXJuYWwgQXJ0aWNsZSI+MTc8L3JlZi10
eXBlPjxjb250cmlidXRvcnM+PGF1dGhvcnM+PGF1dGhvcj5IYXJyaXNvbiwgQy4gTC48L2F1dGhv
cj48YXV0aG9yPkxvbWJhcmQsIEMuIEIuPC9hdXRob3I+PGF1dGhvcj5TdHJhdXNzLCBCLiBKLjwv
YXV0aG9yPjxhdXRob3I+VGVlZGUsIEguIEouPC9hdXRob3I+PC9hdXRob3JzPjwvY29udHJpYnV0
b3JzPjxhdXRoLWFkZHJlc3M+V29tZW4mYXBvcztzIFJlcHJvZHVjdGl2ZSBSZXNlYXJjaCB1bml0
LCBTY2hvb2wgb2YgUHVibGljIEhlYWx0aCBhbmQgUHJldmVudGl2ZSBNZWRpY2luZSwgTW9uYXNo
IFVuaXZlcnNpdHksIENsYXl0b24sIFZpY3RvcmlhLCBBdXN0cmFsaWEuPC9hdXRoLWFkZHJlc3M+
PHRpdGxlcz48dGl0bGU+T3B0aW1pemluZyBoZWFsdGh5IGdlc3RhdGlvbmFsIHdlaWdodCBnYWlu
IGluIHdvbWVuIGF0IGhpZ2ggcmlzayBvZiBnZXN0YXRpb25hbCBkaWFiZXRlczogYSByYW5kb21p
emVkIGNvbnRyb2xsZWQgdHJpYWw8L3RpdGxlPjxzZWNvbmRhcnktdGl0bGU+T2Jlc2l0eSAoU2ls
dmVyIFNwcmluZyk8L3NlY29uZGFyeS10aXRsZT48L3RpdGxlcz48cGVyaW9kaWNhbD48ZnVsbC10
aXRsZT5PYmVzaXR5IChTaWx2ZXIgU3ByaW5nKTwvZnVsbC10aXRsZT48L3BlcmlvZGljYWw+PHBh
Z2VzPjkwNC05PC9wYWdlcz48dm9sdW1lPjIxPC92b2x1bWU+PG51bWJlcj41PC9udW1iZXI+PGVk
aXRpb24+MjAxMy8wNi8yMTwvZWRpdGlvbj48a2V5d29yZHM+PGtleXdvcmQ+QWR1bHQ8L2tleXdv
cmQ+PGtleXdvcmQ+KkJvZHkgTWFzcyBJbmRleDwva2V5d29yZD48a2V5d29yZD5EaWFiZXRlcywg
R2VzdGF0aW9uYWwvZXBpZGVtaW9sb2d5LypwcmV2ZW50aW9uICZhbXA7IGNvbnRyb2w8L2tleXdv
cmQ+PGtleXdvcmQ+RmVtYWxlPC9rZXl3b3JkPjxrZXl3b3JkPkh1bWFuczwva2V5d29yZD48a2V5
d29yZD4qTGlmZSBTdHlsZTwva2V5d29yZD48a2V5d29yZD5Nb3RvciBBY3Rpdml0eTwva2V5d29y
ZD48a2V5d29yZD5PYmVzaXR5L2NvbXBsaWNhdGlvbnMvdGhlcmFweTwva2V5d29yZD48a2V5d29y
ZD5QcmVnbmFuY3k8L2tleXdvcmQ+PGtleXdvcmQ+UHJlbmF0YWwgQ2FyZTwva2V5d29yZD48a2V5
d29yZD5SaXNrIEZhY3RvcnM8L2tleXdvcmQ+PGtleXdvcmQ+KldhbGtpbmc8L2tleXdvcmQ+PGtl
eXdvcmQ+KldlaWdodCBHYWluPC9rZXl3b3JkPjwva2V5d29yZHM+PGRhdGVzPjx5ZWFyPjIwMTM8
L3llYXI+PHB1Yi1kYXRlcz48ZGF0ZT5NYXk8L2RhdGU+PC9wdWItZGF0ZXM+PC9kYXRlcz48aXNi
bj4xOTMwLTczOVggKEVsZWN0cm9uaWMpJiN4RDsxOTMwLTczODEgKExpbmtpbmcpPC9pc2JuPjxh
Y2Nlc3Npb24tbnVtPjIzNzg0ODkyPC9hY2Nlc3Npb24tbnVtPjx1cmxzPjxyZWxhdGVkLXVybHM+
PHVybD5odHRwczovL3d3dy5uY2JpLm5sbS5uaWguZ292L3B1Ym1lZC8yMzc4NDg5MjwvdXJsPjwv
cmVsYXRlZC11cmxzPjwvdXJscz48ZWxlY3Ryb25pYy1yZXNvdXJjZS1udW0+MTAuMTAwMi9vYnku
MjAxNjM8L2VsZWN0cm9uaWMtcmVzb3VyY2UtbnVtPjwvcmVjb3JkPjwvQ2l0ZT48L0VuZE5vdGU+
</w:fldData>
        </w:fldChar>
      </w:r>
      <w:r w:rsidR="002747EA">
        <w:rPr>
          <w:lang w:val="en-AU"/>
        </w:rPr>
        <w:instrText xml:space="preserve"> ADDIN EN.CITE.DATA </w:instrText>
      </w:r>
      <w:r w:rsidR="002747EA">
        <w:rPr>
          <w:lang w:val="en-AU"/>
        </w:rPr>
      </w:r>
      <w:r w:rsidR="002747EA">
        <w:rPr>
          <w:lang w:val="en-AU"/>
        </w:rPr>
        <w:fldChar w:fldCharType="end"/>
      </w:r>
      <w:r>
        <w:rPr>
          <w:lang w:val="en-AU"/>
        </w:rPr>
      </w:r>
      <w:r>
        <w:rPr>
          <w:lang w:val="en-AU"/>
        </w:rPr>
        <w:fldChar w:fldCharType="separate"/>
      </w:r>
      <w:r w:rsidR="002747EA" w:rsidRPr="002747EA">
        <w:rPr>
          <w:noProof/>
          <w:vertAlign w:val="superscript"/>
          <w:lang w:val="en-AU"/>
        </w:rPr>
        <w:t>519,520</w:t>
      </w:r>
      <w:r>
        <w:rPr>
          <w:lang w:val="en-AU"/>
        </w:rPr>
        <w:fldChar w:fldCharType="end"/>
      </w:r>
      <w:r>
        <w:rPr>
          <w:lang w:val="en-AU"/>
        </w:rPr>
        <w:t xml:space="preserve"> </w:t>
      </w:r>
      <w:r>
        <w:t>Most studies were small with f</w:t>
      </w:r>
      <w:r w:rsidR="00AE7C7D">
        <w:t>ewer than 200 participants (n=2</w:t>
      </w:r>
      <w:r w:rsidR="00B11010">
        <w:t>5</w:t>
      </w:r>
      <w:r>
        <w:t>) or between 200 and 400 participants (n=1</w:t>
      </w:r>
      <w:r w:rsidR="007244D9">
        <w:t>2</w:t>
      </w:r>
      <w:r>
        <w:t xml:space="preserve">). There were </w:t>
      </w:r>
      <w:r w:rsidR="00B11010">
        <w:t xml:space="preserve">six </w:t>
      </w:r>
      <w:r>
        <w:t xml:space="preserve">larger studies — </w:t>
      </w:r>
      <w:r w:rsidR="00AE7C7D">
        <w:t>Pears in Ireland (n=565),</w:t>
      </w:r>
      <w:r w:rsidR="00AE7C7D" w:rsidRPr="00A95FF7">
        <w:rPr>
          <w:rFonts w:ascii="Century Gothic" w:hAnsi="Century Gothic"/>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AE7C7D" w:rsidRPr="00A95FF7">
        <w:rPr>
          <w:rFonts w:ascii="Century Gothic" w:hAnsi="Century Gothic"/>
          <w:noProof/>
        </w:rPr>
      </w:r>
      <w:r w:rsidR="00AE7C7D" w:rsidRPr="00A95FF7">
        <w:rPr>
          <w:rFonts w:ascii="Century Gothic" w:hAnsi="Century Gothic"/>
          <w:noProof/>
        </w:rPr>
        <w:fldChar w:fldCharType="separate"/>
      </w:r>
      <w:r w:rsidR="002747EA" w:rsidRPr="002747EA">
        <w:rPr>
          <w:noProof/>
          <w:vertAlign w:val="superscript"/>
        </w:rPr>
        <w:t>506</w:t>
      </w:r>
      <w:r w:rsidR="00AE7C7D" w:rsidRPr="00A95FF7">
        <w:rPr>
          <w:rFonts w:ascii="Century Gothic" w:hAnsi="Century Gothic"/>
          <w:noProof/>
        </w:rPr>
        <w:fldChar w:fldCharType="end"/>
      </w:r>
      <w:r w:rsidR="00AE7C7D">
        <w:rPr>
          <w:rFonts w:ascii="Century Gothic" w:hAnsi="Century Gothic"/>
          <w:noProof/>
        </w:rPr>
        <w:t xml:space="preserve"> </w:t>
      </w:r>
      <w:r>
        <w:t>Fit for Delivery in Norway (n=591),</w:t>
      </w:r>
      <w:r>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instrText xml:space="preserve"> ADDIN EN.CITE </w:instrText>
      </w:r>
      <w:r w:rsidR="002747EA">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487</w:t>
      </w:r>
      <w:r>
        <w:fldChar w:fldCharType="end"/>
      </w:r>
      <w:r>
        <w:t xml:space="preserve"> </w:t>
      </w:r>
      <w:r w:rsidR="00B11010">
        <w:t>OPTIMISE in Australia (n=629)</w:t>
      </w:r>
      <w:r w:rsidR="00B11010">
        <w:rPr>
          <w:noProof/>
        </w:rPr>
        <w:t>,</w:t>
      </w:r>
      <w:r w:rsidR="00D07346">
        <w:rPr>
          <w:noProof/>
        </w:rPr>
        <w:fldChar w:fldCharType="begin"/>
      </w:r>
      <w:r w:rsidR="002747EA">
        <w:rPr>
          <w:noProof/>
        </w:rPr>
        <w:instrText xml:space="preserve"> ADDIN EN.CITE &lt;EndNote&gt;&lt;Cite&gt;&lt;Author&gt;Dodd&lt;/Author&gt;&lt;Year&gt;2019&lt;/Year&gt;&lt;RecNum&gt;1922&lt;/RecNum&gt;&lt;DisplayText&gt;&lt;style face="superscript" font="Trebuchet MS" size="9"&gt;484&lt;/style&gt;&lt;/DisplayText&gt;&lt;record&gt;&lt;rec-number&gt;1922&lt;/rec-number&gt;&lt;foreign-keys&gt;&lt;key app="EN" db-id="exvasrfx2dtraoesasxp2szsxa2df502592x" timestamp="1588560368"&gt;1922&lt;/key&gt;&lt;key app="ENWeb" db-id=""&gt;0&lt;/key&gt;&lt;/foreign-keys&gt;&lt;ref-type name="Journal Article"&gt;17&lt;/ref-type&gt;&lt;contributors&gt;&lt;authors&gt;&lt;author&gt;Dodd, J. M.&lt;/author&gt;&lt;author&gt;Deussen, A. R.&lt;/author&gt;&lt;author&gt;Louise, J.&lt;/author&gt;&lt;/authors&gt;&lt;/contributors&gt;&lt;auth-address&gt;Discipline of Obstetrics &amp;amp; Gynaecology, and Robinson Research Institute, The University of Adelaide, Adelaide, SA 5006, Australia.&amp;#xD;Department of Perinatal Medicine Women&amp;apos;s and Children&amp;apos;s Hospital, North Adelaide, Adelaide, SA 5006, Australia.&lt;/auth-address&gt;&lt;titles&gt;&lt;title&gt;A randomised trial to optimise gestational weight gain and improve maternal and infant health outcomes through antenatal dietary, lifestyle and exercise advice: The OPTIMISE randomised trial&lt;/title&gt;&lt;secondary-title&gt;Nutrients&lt;/secondary-title&gt;&lt;/titles&gt;&lt;periodical&gt;&lt;full-title&gt;Nutrients&lt;/full-title&gt;&lt;/periodical&gt;&lt;volume&gt;11&lt;/volume&gt;&lt;number&gt;12&lt;/number&gt;&lt;edition&gt;2019/12/08&lt;/edition&gt;&lt;keywords&gt;&lt;keyword&gt;dietary and lifestyle intervention&lt;/keyword&gt;&lt;keyword&gt;gestational weight gain&lt;/keyword&gt;&lt;keyword&gt;randomised controlled trial&lt;/keyword&gt;&lt;/keywords&gt;&lt;dates&gt;&lt;year&gt;2019&lt;/year&gt;&lt;pub-dates&gt;&lt;date&gt;Dec 2&lt;/date&gt;&lt;/pub-dates&gt;&lt;/dates&gt;&lt;isbn&gt;2072-6643 (Electronic)&amp;#xD;2072-6643 (Linking)&lt;/isbn&gt;&lt;accession-num&gt;31810217&lt;/accession-num&gt;&lt;urls&gt;&lt;related-urls&gt;&lt;url&gt;https://www.ncbi.nlm.nih.gov/pubmed/31810217&lt;/url&gt;&lt;/related-urls&gt;&lt;/urls&gt;&lt;custom2&gt;PMC6949931&lt;/custom2&gt;&lt;electronic-resource-num&gt;10.3390/nu11122911&lt;/electronic-resource-num&gt;&lt;/record&gt;&lt;/Cite&gt;&lt;/EndNote&gt;</w:instrText>
      </w:r>
      <w:r w:rsidR="00D07346">
        <w:rPr>
          <w:noProof/>
        </w:rPr>
        <w:fldChar w:fldCharType="separate"/>
      </w:r>
      <w:r w:rsidR="002747EA" w:rsidRPr="002747EA">
        <w:rPr>
          <w:noProof/>
          <w:vertAlign w:val="superscript"/>
        </w:rPr>
        <w:t>484</w:t>
      </w:r>
      <w:r w:rsidR="00D07346">
        <w:rPr>
          <w:noProof/>
        </w:rPr>
        <w:fldChar w:fldCharType="end"/>
      </w:r>
      <w:r w:rsidR="00B11010">
        <w:rPr>
          <w:noProof/>
        </w:rPr>
        <w:t xml:space="preserve"> </w:t>
      </w:r>
      <w:r>
        <w:t>UPBEAT in the United Kingdom (n=</w:t>
      </w:r>
      <w:r w:rsidRPr="00C07638">
        <w:rPr>
          <w:rFonts w:ascii="Gill Sans" w:eastAsia="Times New Roman" w:hAnsi="Gill Sans" w:cs="Gill Sans"/>
          <w:color w:val="000000"/>
          <w:szCs w:val="18"/>
        </w:rPr>
        <w:t>1</w:t>
      </w:r>
      <w:r w:rsidR="00A95FF7">
        <w:rPr>
          <w:rFonts w:ascii="Gill Sans" w:eastAsia="Times New Roman" w:hAnsi="Gill Sans" w:cs="Gill Sans"/>
          <w:color w:val="000000"/>
          <w:szCs w:val="18"/>
        </w:rPr>
        <w:t>,</w:t>
      </w:r>
      <w:r w:rsidRPr="00C07638">
        <w:rPr>
          <w:rFonts w:ascii="Gill Sans" w:eastAsia="Times New Roman" w:hAnsi="Gill Sans" w:cs="Gill Sans"/>
          <w:color w:val="000000"/>
          <w:szCs w:val="18"/>
        </w:rPr>
        <w:t>555</w:t>
      </w:r>
      <w:r>
        <w:rPr>
          <w:rFonts w:ascii="Gill Sans" w:eastAsia="Times New Roman" w:hAnsi="Gill Sans" w:cs="Gill Sans"/>
          <w:color w:val="000000"/>
          <w:szCs w:val="18"/>
        </w:rPr>
        <w:t>)</w:t>
      </w:r>
      <w:r w:rsidR="00AE7C7D">
        <w:rPr>
          <w:rFonts w:ascii="Gill Sans" w:eastAsia="Times New Roman" w:hAnsi="Gill Sans" w:cs="Gill Sans"/>
          <w:color w:val="000000"/>
          <w:szCs w:val="18"/>
        </w:rPr>
        <w:t>,</w:t>
      </w:r>
      <w:r>
        <w:rPr>
          <w:rFonts w:ascii="Gill Sans" w:eastAsia="Times New Roman" w:hAnsi="Gill Sans" w:cs="Gill Sans"/>
          <w:color w:val="000000"/>
          <w:szCs w:val="18"/>
        </w:rPr>
        <w:fldChar w:fldCharType="begin"/>
      </w:r>
      <w:r w:rsidR="002747EA">
        <w:rPr>
          <w:rFonts w:ascii="Gill Sans" w:eastAsia="Times New Roman" w:hAnsi="Gill Sans" w:cs="Gill Sans"/>
          <w:color w:val="000000"/>
          <w:szCs w:val="18"/>
        </w:rPr>
        <w:instrText xml:space="preserve"> ADDIN EN.CITE &lt;EndNote&gt;&lt;Cite&gt;&lt;Author&gt;Poston&lt;/Author&gt;&lt;Year&gt;2015&lt;/Year&gt;&lt;RecNum&gt;612&lt;/RecNum&gt;&lt;DisplayText&gt;&lt;style face="superscript" font="Trebuchet MS" size="9"&gt;513&lt;/style&gt;&lt;/DisplayText&gt;&lt;record&gt;&lt;rec-number&gt;612&lt;/rec-number&gt;&lt;foreign-keys&gt;&lt;key app="EN" db-id="exvasrfx2dtraoesasxp2szsxa2df502592x" timestamp="1539048348"&gt;612&lt;/key&gt;&lt;key app="ENWeb" db-id=""&gt;0&lt;/key&gt;&lt;/foreign-keys&gt;&lt;ref-type name="Journal Article"&gt;17&lt;/ref-type&gt;&lt;contributors&gt;&lt;authors&gt;&lt;author&gt;Poston, L.,&lt;/author&gt;&lt;author&gt;Bell, R.,&lt;/author&gt;&lt;author&gt;Croker, H.,&lt;/author&gt;&lt;author&gt;Flynn, A.C.,&lt;/author&gt;&lt;author&gt;Godfrey, K.M.,&lt;/author&gt;&lt;author&gt;Goff, L.,&lt;/author&gt;&lt;/authors&gt;&lt;/contributors&gt;&lt;titles&gt;&lt;title&gt;Effect of a behavioural intervention in obese pregnant women (the UPBEAT study): a multicentre, randomised controlled trial&lt;/title&gt;&lt;secondary-title&gt;The Lancet Diabetes &amp;amp; Endocrinology&lt;/secondary-title&gt;&lt;/titles&gt;&lt;periodical&gt;&lt;full-title&gt;The Lancet Diabetes &amp;amp; Endocrinology&lt;/full-title&gt;&lt;/periodical&gt;&lt;pages&gt;767-777&lt;/pages&gt;&lt;volume&gt;3&lt;/volume&gt;&lt;number&gt;10&lt;/number&gt;&lt;section&gt;767&lt;/section&gt;&lt;dates&gt;&lt;year&gt;2015&lt;/year&gt;&lt;/dates&gt;&lt;isbn&gt;22138587&lt;/isbn&gt;&lt;urls&gt;&lt;/urls&gt;&lt;electronic-resource-num&gt;10.1016/s2213-8587(15)00227-2&lt;/electronic-resource-num&gt;&lt;/record&gt;&lt;/Cite&gt;&lt;/EndNote&gt;</w:instrText>
      </w:r>
      <w:r>
        <w:rPr>
          <w:rFonts w:ascii="Gill Sans" w:eastAsia="Times New Roman" w:hAnsi="Gill Sans" w:cs="Gill Sans"/>
          <w:color w:val="000000"/>
          <w:szCs w:val="18"/>
        </w:rPr>
        <w:fldChar w:fldCharType="separate"/>
      </w:r>
      <w:r w:rsidR="002747EA" w:rsidRPr="002747EA">
        <w:rPr>
          <w:rFonts w:eastAsia="Times New Roman" w:cs="Gill Sans"/>
          <w:noProof/>
          <w:color w:val="000000"/>
          <w:szCs w:val="18"/>
          <w:vertAlign w:val="superscript"/>
        </w:rPr>
        <w:t>513</w:t>
      </w:r>
      <w:r>
        <w:rPr>
          <w:rFonts w:ascii="Gill Sans" w:eastAsia="Times New Roman" w:hAnsi="Gill Sans" w:cs="Gill Sans"/>
          <w:color w:val="000000"/>
          <w:szCs w:val="18"/>
        </w:rPr>
        <w:fldChar w:fldCharType="end"/>
      </w:r>
      <w:r>
        <w:rPr>
          <w:rFonts w:ascii="Gill Sans" w:eastAsia="Times New Roman" w:hAnsi="Gill Sans" w:cs="Gill Sans"/>
          <w:color w:val="000000"/>
          <w:szCs w:val="18"/>
        </w:rPr>
        <w:t xml:space="preserve"> </w:t>
      </w:r>
      <w:r w:rsidR="00AE7C7D">
        <w:t>GeLis in Germany (n=2,009),</w:t>
      </w:r>
      <w:r w:rsidR="00AE7C7D">
        <w:rPr>
          <w:rFonts w:ascii="Century Gothic" w:hAnsi="Century Gothic"/>
          <w:noProof/>
        </w:rPr>
        <w:fldChar w:fldCharType="begin">
          <w:fldData xml:space="preserve">PEVuZE5vdGU+PENpdGU+PEF1dGhvcj5LdW5hdGg8L0F1dGhvcj48WWVhcj4yMDE5PC9ZZWFyPjxS
ZWNOdW0+MTM3NzwvUmVjTnVtPjxEaXNwbGF5VGV4dD48c3R5bGUgZmFjZT0ic3VwZXJzY3JpcHQi
IGZvbnQ9IlRyZWJ1Y2hldCBNUyIgc2l6ZT0iOSI+NDk3PC9zdHlsZT48L0Rpc3BsYXlUZXh0Pjxy
ZWNvcmQ+PHJlYy1udW1iZXI+MTM3NzwvcmVjLW51bWJlcj48Zm9yZWlnbi1rZXlzPjxrZXkgYXBw
PSJFTiIgZGItaWQ9ImV4dmFzcmZ4MmR0cmFvZXNhc3hwMnN6c3hhMmRmNTAyNTkyeCIgdGltZXN0
YW1wPSIxNTY3MDM5NTM2Ij4xMzc3PC9rZXk+PGtleSBhcHA9IkVOV2ViIiBkYi1pZD0iIj4wPC9r
ZXk+PC9mb3JlaWduLWtleXM+PHJlZi10eXBlIG5hbWU9IkpvdXJuYWwgQXJ0aWNsZSI+MTc8L3Jl
Zi10eXBlPjxjb250cmlidXRvcnM+PGF1dGhvcnM+PGF1dGhvcj5LdW5hdGgsIEouPC9hdXRob3I+
PGF1dGhvcj5HdW50aGVyLCBKLjwvYXV0aG9yPjxhdXRob3I+UmF1aCwgSy48L2F1dGhvcj48YXV0
aG9yPkhvZmZtYW5uLCBKLjwvYXV0aG9yPjxhdXRob3I+U3RlY2hlciwgTC48L2F1dGhvcj48YXV0
aG9yPlJvc2VuZmVsZCwgRS48L2F1dGhvcj48YXV0aG9yPktpY2ssIEwuPC9hdXRob3I+PGF1dGhv
cj5VbG0sIEsuPC9hdXRob3I+PGF1dGhvcj5IYXVuZXIsIEguPC9hdXRob3I+PC9hdXRob3JzPjwv
Y29udHJpYnV0b3JzPjxhdXRoLWFkZHJlc3M+RWxzZSBLcm9uZXItRnJlc2VuaXVzLUNlbnRyZSBm
b3IgTnV0cml0aW9uYWwgTWVkaWNpbmUsIEtsaW5pa3VtIHJlY2h0cyBkZXIgSXNhciwgVGVjaG5p
Y2FsIFVuaXZlcnNpdHkgb2YgTXVuaWNoLCBHZW9yZy1CcmF1Y2hsZS1SaW5nIDYyLCA4MDk5Miwg
TXVuaWNoLCBHZXJtYW55LiYjeEQ7Q29tcGV0ZW5jZSBDZW50cmUgZm9yIE51dHJpdGlvbiAoS0Vy
biksIEFtIEdlcmV1dGggNCwgODUzNTQsIEZyZWlzaW5nLCBHZXJtYW55LiYjeEQ7SW5zdGl0dXRl
IG9mIE1lZGljYWwgSW5mb3JtYXRpY3MsIFN0YXRpc3RpY3MgYW5kIEVwaWRlbWlvbG9neSwgS2xp
bmlrdW0gcmVjaHRzIGRlciBJc2FyLCBUZWNobmljYWwgVW5pdmVyc2l0eSBvZiBNdW5pY2gsIElz
bWFuaW5nZXIgU3RyYXNzZSAyMiwgODE2NzUsIE11bmljaCwgR2VybWFueS4mI3hEO0Vsc2UgS3Jv
bmVyLUZyZXNlbml1cy1DZW50cmUgZm9yIE51dHJpdGlvbmFsIE1lZGljaW5lLCBLbGluaWt1bSBy
ZWNodHMgZGVyIElzYXIsIFRlY2huaWNhbCBVbml2ZXJzaXR5IG9mIE11bmljaCwgR2VvcmctQnJh
dWNobGUtUmluZyA2MiwgODA5OTIsIE11bmljaCwgR2VybWFueS4gaGFucy5oYXVuZXJAdHVtLmRl
LjwvYXV0aC1hZGRyZXNzPjx0aXRsZXM+PHRpdGxlPkVmZmVjdHMgb2YgYSBsaWZlc3R5bGUgaW50
ZXJ2ZW50aW9uIGR1cmluZyBwcmVnbmFuY3kgdG8gcHJldmVudCBleGNlc3NpdmUgZ2VzdGF0aW9u
YWwgd2VpZ2h0IGdhaW4gaW4gcm91dGluZSBjYXJlIC0gdGhlIGNsdXN0ZXItcmFuZG9taXNlZCBH
ZWxpUyB0cmlhbDwvdGl0bGU+PHNlY29uZGFyeS10aXRsZT5CTUMgTWVkPC9zZWNvbmRhcnktdGl0
bGU+PC90aXRsZXM+PHBlcmlvZGljYWw+PGZ1bGwtdGl0bGU+Qk1DIE1lZDwvZnVsbC10aXRsZT48
L3BlcmlvZGljYWw+PHBhZ2VzPjU8L3BhZ2VzPjx2b2x1bWU+MTc8L3ZvbHVtZT48bnVtYmVyPjE8
L251bWJlcj48ZWRpdGlvbj4yMDE5LzAxLzE1PC9lZGl0aW9uPjxrZXl3b3Jkcz48a2V5d29yZD5B
ZHVsdDwva2V5d29yZD48a2V5d29yZD5Db3Vuc2VsaW5nL21ldGhvZHM8L2tleXdvcmQ+PGtleXdv
cmQ+RGlhYmV0ZXMsIEdlc3RhdGlvbmFsL3ByZXZlbnRpb24gJmFtcDsgY29udHJvbDwva2V5d29y
ZD48a2V5d29yZD5EaWV0IFRoZXJhcHkvbWV0aG9kczwva2V5d29yZD48a2V5d29yZD5FeGVyY2lz
ZSBUaGVyYXB5L21ldGhvZHM8L2tleXdvcmQ+PGtleXdvcmQ+RmVtYWxlPC9rZXl3b3JkPjxrZXl3
b3JkPipHZXN0YXRpb25hbCBXZWlnaHQgR2Fpbjwva2V5d29yZD48a2V5d29yZD5IdW1hbnM8L2tl
eXdvcmQ+PGtleXdvcmQ+TGlmZSBTdHlsZTwva2V5d29yZD48a2V5d29yZD5QZWRpYXRyaWMgT2Jl
c2l0eS9wcmV2ZW50aW9uICZhbXA7IGNvbnRyb2w8L2tleXdvcmQ+PGtleXdvcmQ+UHJlZ25hbmN5
PC9rZXl3b3JkPjxrZXl3b3JkPlByZWduYW5jeSBDb21wbGljYXRpb25zLypwcmV2ZW50aW9uICZh
bXA7IGNvbnRyb2w8L2tleXdvcmQ+PGtleXdvcmQ+UHJlbmF0YWwgQ2FyZS8qbWV0aG9kczwva2V5
d29yZD48a2V5d29yZD4qTGlmZXN0eWxlIGludGVydmVudGlvbjwva2V5d29yZD48a2V5d29yZD4q
Y2hpbGRob29kIG9iZXNpdHk8L2tleXdvcmQ+PGtleXdvcmQ+KmRpZXQ8L2tleXdvcmQ+PGtleXdv
cmQ+KmV4ZXJjaXNlPC9rZXl3b3JkPjxrZXl3b3JkPipnZXN0YXRpb25hbCBkaWFiZXRlczwva2V5
d29yZD48a2V5d29yZD4qb2Jlc2l0eSBwcmV2ZW50aW9uPC9rZXl3b3JkPjxrZXl3b3JkPipvYnN0
ZXRyaWMgb3V0Y29tZXM8L2tleXdvcmQ+PGtleXdvcmQ+KnByZWduYW5jeTwva2V5d29yZD48a2V5
d29yZD4qd2VpZ2h0IHJldGVudGlvbjwva2V5d29yZD48L2tleXdvcmRzPjxkYXRlcz48eWVhcj4y
MDE5PC95ZWFyPjxwdWItZGF0ZXM+PGRhdGU+SmFuIDE0PC9kYXRlPjwvcHViLWRhdGVzPjwvZGF0
ZXM+PGlzYm4+MTc0MS03MDE1IChFbGVjdHJvbmljKSYjeEQ7MTc0MS03MDE1IChMaW5raW5nKTwv
aXNibj48YWNjZXNzaW9uLW51bT4zMDYzNjYzNjwvYWNjZXNzaW9uLW51bT48dXJscz48cmVsYXRl
ZC11cmxzPjx1cmw+aHR0cHM6Ly93d3cubmNiaS5ubG0ubmloLmdvdi9wdWJtZWQvMzA2MzY2MzY8
L3VybD48L3JlbGF0ZWQtdXJscz48L3VybHM+PGN1c3RvbTI+UE1DNjMzMDc1MzwvY3VzdG9tMj48
ZWxlY3Ryb25pYy1yZXNvdXJjZS1udW0+MTAuMTE4Ni9zMTI5MTYtMDE4LTEyMzUtejwvZWxlY3Ry
b25pYy1yZXNvdXJjZS1udW0+PC9yZWNvcmQ+PC9DaXRlPjwvRW5kTm90ZT4A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PEVuZE5vdGU+PENpdGU+PEF1dGhvcj5LdW5hdGg8L0F1dGhvcj48WWVhcj4yMDE5PC9ZZWFyPjxS
ZWNOdW0+MTM3NzwvUmVjTnVtPjxEaXNwbGF5VGV4dD48c3R5bGUgZmFjZT0ic3VwZXJzY3JpcHQi
IGZvbnQ9IlRyZWJ1Y2hldCBNUyIgc2l6ZT0iOSI+NDk3PC9zdHlsZT48L0Rpc3BsYXlUZXh0Pjxy
ZWNvcmQ+PHJlYy1udW1iZXI+MTM3NzwvcmVjLW51bWJlcj48Zm9yZWlnbi1rZXlzPjxrZXkgYXBw
PSJFTiIgZGItaWQ9ImV4dmFzcmZ4MmR0cmFvZXNhc3hwMnN6c3hhMmRmNTAyNTkyeCIgdGltZXN0
YW1wPSIxNTY3MDM5NTM2Ij4xMzc3PC9rZXk+PGtleSBhcHA9IkVOV2ViIiBkYi1pZD0iIj4wPC9r
ZXk+PC9mb3JlaWduLWtleXM+PHJlZi10eXBlIG5hbWU9IkpvdXJuYWwgQXJ0aWNsZSI+MTc8L3Jl
Zi10eXBlPjxjb250cmlidXRvcnM+PGF1dGhvcnM+PGF1dGhvcj5LdW5hdGgsIEouPC9hdXRob3I+
PGF1dGhvcj5HdW50aGVyLCBKLjwvYXV0aG9yPjxhdXRob3I+UmF1aCwgSy48L2F1dGhvcj48YXV0
aG9yPkhvZmZtYW5uLCBKLjwvYXV0aG9yPjxhdXRob3I+U3RlY2hlciwgTC48L2F1dGhvcj48YXV0
aG9yPlJvc2VuZmVsZCwgRS48L2F1dGhvcj48YXV0aG9yPktpY2ssIEwuPC9hdXRob3I+PGF1dGhv
cj5VbG0sIEsuPC9hdXRob3I+PGF1dGhvcj5IYXVuZXIsIEguPC9hdXRob3I+PC9hdXRob3JzPjwv
Y29udHJpYnV0b3JzPjxhdXRoLWFkZHJlc3M+RWxzZSBLcm9uZXItRnJlc2VuaXVzLUNlbnRyZSBm
b3IgTnV0cml0aW9uYWwgTWVkaWNpbmUsIEtsaW5pa3VtIHJlY2h0cyBkZXIgSXNhciwgVGVjaG5p
Y2FsIFVuaXZlcnNpdHkgb2YgTXVuaWNoLCBHZW9yZy1CcmF1Y2hsZS1SaW5nIDYyLCA4MDk5Miwg
TXVuaWNoLCBHZXJtYW55LiYjeEQ7Q29tcGV0ZW5jZSBDZW50cmUgZm9yIE51dHJpdGlvbiAoS0Vy
biksIEFtIEdlcmV1dGggNCwgODUzNTQsIEZyZWlzaW5nLCBHZXJtYW55LiYjeEQ7SW5zdGl0dXRl
IG9mIE1lZGljYWwgSW5mb3JtYXRpY3MsIFN0YXRpc3RpY3MgYW5kIEVwaWRlbWlvbG9neSwgS2xp
bmlrdW0gcmVjaHRzIGRlciBJc2FyLCBUZWNobmljYWwgVW5pdmVyc2l0eSBvZiBNdW5pY2gsIElz
bWFuaW5nZXIgU3RyYXNzZSAyMiwgODE2NzUsIE11bmljaCwgR2VybWFueS4mI3hEO0Vsc2UgS3Jv
bmVyLUZyZXNlbml1cy1DZW50cmUgZm9yIE51dHJpdGlvbmFsIE1lZGljaW5lLCBLbGluaWt1bSBy
ZWNodHMgZGVyIElzYXIsIFRlY2huaWNhbCBVbml2ZXJzaXR5IG9mIE11bmljaCwgR2VvcmctQnJh
dWNobGUtUmluZyA2MiwgODA5OTIsIE11bmljaCwgR2VybWFueS4gaGFucy5oYXVuZXJAdHVtLmRl
LjwvYXV0aC1hZGRyZXNzPjx0aXRsZXM+PHRpdGxlPkVmZmVjdHMgb2YgYSBsaWZlc3R5bGUgaW50
ZXJ2ZW50aW9uIGR1cmluZyBwcmVnbmFuY3kgdG8gcHJldmVudCBleGNlc3NpdmUgZ2VzdGF0aW9u
YWwgd2VpZ2h0IGdhaW4gaW4gcm91dGluZSBjYXJlIC0gdGhlIGNsdXN0ZXItcmFuZG9taXNlZCBH
ZWxpUyB0cmlhbDwvdGl0bGU+PHNlY29uZGFyeS10aXRsZT5CTUMgTWVkPC9zZWNvbmRhcnktdGl0
bGU+PC90aXRsZXM+PHBlcmlvZGljYWw+PGZ1bGwtdGl0bGU+Qk1DIE1lZDwvZnVsbC10aXRsZT48
L3BlcmlvZGljYWw+PHBhZ2VzPjU8L3BhZ2VzPjx2b2x1bWU+MTc8L3ZvbHVtZT48bnVtYmVyPjE8
L251bWJlcj48ZWRpdGlvbj4yMDE5LzAxLzE1PC9lZGl0aW9uPjxrZXl3b3Jkcz48a2V5d29yZD5B
ZHVsdDwva2V5d29yZD48a2V5d29yZD5Db3Vuc2VsaW5nL21ldGhvZHM8L2tleXdvcmQ+PGtleXdv
cmQ+RGlhYmV0ZXMsIEdlc3RhdGlvbmFsL3ByZXZlbnRpb24gJmFtcDsgY29udHJvbDwva2V5d29y
ZD48a2V5d29yZD5EaWV0IFRoZXJhcHkvbWV0aG9kczwva2V5d29yZD48a2V5d29yZD5FeGVyY2lz
ZSBUaGVyYXB5L21ldGhvZHM8L2tleXdvcmQ+PGtleXdvcmQ+RmVtYWxlPC9rZXl3b3JkPjxrZXl3
b3JkPipHZXN0YXRpb25hbCBXZWlnaHQgR2Fpbjwva2V5d29yZD48a2V5d29yZD5IdW1hbnM8L2tl
eXdvcmQ+PGtleXdvcmQ+TGlmZSBTdHlsZTwva2V5d29yZD48a2V5d29yZD5QZWRpYXRyaWMgT2Jl
c2l0eS9wcmV2ZW50aW9uICZhbXA7IGNvbnRyb2w8L2tleXdvcmQ+PGtleXdvcmQ+UHJlZ25hbmN5
PC9rZXl3b3JkPjxrZXl3b3JkPlByZWduYW5jeSBDb21wbGljYXRpb25zLypwcmV2ZW50aW9uICZh
bXA7IGNvbnRyb2w8L2tleXdvcmQ+PGtleXdvcmQ+UHJlbmF0YWwgQ2FyZS8qbWV0aG9kczwva2V5
d29yZD48a2V5d29yZD4qTGlmZXN0eWxlIGludGVydmVudGlvbjwva2V5d29yZD48a2V5d29yZD4q
Y2hpbGRob29kIG9iZXNpdHk8L2tleXdvcmQ+PGtleXdvcmQ+KmRpZXQ8L2tleXdvcmQ+PGtleXdv
cmQ+KmV4ZXJjaXNlPC9rZXl3b3JkPjxrZXl3b3JkPipnZXN0YXRpb25hbCBkaWFiZXRlczwva2V5
d29yZD48a2V5d29yZD4qb2Jlc2l0eSBwcmV2ZW50aW9uPC9rZXl3b3JkPjxrZXl3b3JkPipvYnN0
ZXRyaWMgb3V0Y29tZXM8L2tleXdvcmQ+PGtleXdvcmQ+KnByZWduYW5jeTwva2V5d29yZD48a2V5
d29yZD4qd2VpZ2h0IHJldGVudGlvbjwva2V5d29yZD48L2tleXdvcmRzPjxkYXRlcz48eWVhcj4y
MDE5PC95ZWFyPjxwdWItZGF0ZXM+PGRhdGU+SmFuIDE0PC9kYXRlPjwvcHViLWRhdGVzPjwvZGF0
ZXM+PGlzYm4+MTc0MS03MDE1IChFbGVjdHJvbmljKSYjeEQ7MTc0MS03MDE1IChMaW5raW5nKTwv
aXNibj48YWNjZXNzaW9uLW51bT4zMDYzNjYzNjwvYWNjZXNzaW9uLW51bT48dXJscz48cmVsYXRl
ZC11cmxzPjx1cmw+aHR0cHM6Ly93d3cubmNiaS5ubG0ubmloLmdvdi9wdWJtZWQvMzA2MzY2MzY8
L3VybD48L3JlbGF0ZWQtdXJscz48L3VybHM+PGN1c3RvbTI+UE1DNjMzMDc1MzwvY3VzdG9tMj48
ZWxlY3Ryb25pYy1yZXNvdXJjZS1udW0+MTAuMTE4Ni9zMTI5MTYtMDE4LTEyMzUtejwvZWxlY3Ry
b25pYy1yZXNvdXJjZS1udW0+PC9yZWNvcmQ+PC9DaXRlPjwvRW5kTm90ZT4A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AE7C7D">
        <w:rPr>
          <w:rFonts w:ascii="Century Gothic" w:hAnsi="Century Gothic"/>
          <w:noProof/>
        </w:rPr>
      </w:r>
      <w:r w:rsidR="00AE7C7D">
        <w:rPr>
          <w:rFonts w:ascii="Century Gothic" w:hAnsi="Century Gothic"/>
          <w:noProof/>
        </w:rPr>
        <w:fldChar w:fldCharType="separate"/>
      </w:r>
      <w:r w:rsidR="002747EA" w:rsidRPr="002747EA">
        <w:rPr>
          <w:noProof/>
          <w:vertAlign w:val="superscript"/>
        </w:rPr>
        <w:t>497</w:t>
      </w:r>
      <w:r w:rsidR="00AE7C7D">
        <w:rPr>
          <w:rFonts w:ascii="Century Gothic" w:hAnsi="Century Gothic"/>
          <w:noProof/>
        </w:rPr>
        <w:fldChar w:fldCharType="end"/>
      </w:r>
      <w:r w:rsidR="00AE7C7D">
        <w:rPr>
          <w:rFonts w:ascii="Century Gothic" w:hAnsi="Century Gothic"/>
          <w:noProof/>
        </w:rPr>
        <w:t xml:space="preserve"> </w:t>
      </w:r>
      <w:r>
        <w:rPr>
          <w:rFonts w:ascii="Gill Sans" w:eastAsia="Times New Roman" w:hAnsi="Gill Sans" w:cs="Gill Sans"/>
          <w:color w:val="000000"/>
          <w:szCs w:val="18"/>
        </w:rPr>
        <w:t>and LIMIT in Australia (n=2,212).</w:t>
      </w:r>
      <w:r>
        <w:fldChar w:fldCharType="begin"/>
      </w:r>
      <w:r w:rsidR="002747EA">
        <w:instrText xml:space="preserve"> ADDIN EN.CITE &lt;EndNote&gt;&lt;Cite&gt;&lt;Author&gt;Dodd&lt;/Author&gt;&lt;Year&gt;2014&lt;/Year&gt;&lt;RecNum&gt;1080&lt;/RecNum&gt;&lt;DisplayText&gt;&lt;style face="superscript" font="Trebuchet MS" size="9"&gt;521&lt;/style&gt;&lt;/DisplayText&gt;&lt;record&gt;&lt;rec-number&gt;1080&lt;/rec-number&gt;&lt;foreign-keys&gt;&lt;key app="EN" db-id="exvasrfx2dtraoesasxp2szsxa2df502592x" timestamp="1552946472"&gt;1080&lt;/key&gt;&lt;key app="ENWeb" db-id=""&gt;0&lt;/key&gt;&lt;/foreign-keys&gt;&lt;ref-type name="Journal Article"&gt;17&lt;/ref-type&gt;&lt;contributors&gt;&lt;authors&gt;&lt;author&gt;Dodd, Jodie M.&lt;/author&gt;&lt;author&gt;Grivell, Rosalie M.&lt;/author&gt;&lt;author&gt;Owens, Julie A.&lt;/author&gt;&lt;/authors&gt;&lt;/contributors&gt;&lt;titles&gt;&lt;title&gt;Antenatal Dietary and Lifestyle Interventions for Women Who are Overweight or Obese: Outcomes from the LIMIT Randomized Trial&lt;/title&gt;&lt;secondary-title&gt;Current Nutrition Reports&lt;/secondary-title&gt;&lt;/titles&gt;&lt;periodical&gt;&lt;full-title&gt;Current Nutrition Reports&lt;/full-title&gt;&lt;/periodical&gt;&lt;pages&gt;392-399&lt;/pages&gt;&lt;volume&gt;3&lt;/volume&gt;&lt;number&gt;4&lt;/number&gt;&lt;section&gt;392&lt;/section&gt;&lt;dates&gt;&lt;year&gt;2014&lt;/year&gt;&lt;/dates&gt;&lt;isbn&gt;2161-3311&lt;/isbn&gt;&lt;urls&gt;&lt;/urls&gt;&lt;electronic-resource-num&gt;10.1007/s13668-014-0101-7&lt;/electronic-resource-num&gt;&lt;/record&gt;&lt;/Cite&gt;&lt;/EndNote&gt;</w:instrText>
      </w:r>
      <w:r>
        <w:fldChar w:fldCharType="separate"/>
      </w:r>
      <w:r w:rsidR="002747EA" w:rsidRPr="002747EA">
        <w:rPr>
          <w:noProof/>
          <w:vertAlign w:val="superscript"/>
        </w:rPr>
        <w:t>521</w:t>
      </w:r>
      <w:r>
        <w:fldChar w:fldCharType="end"/>
      </w:r>
      <w:r>
        <w:t xml:space="preserve"> </w:t>
      </w:r>
    </w:p>
    <w:p w14:paraId="086F1B93" w14:textId="3B6FB943" w:rsidR="00A5540F" w:rsidRPr="00973D70" w:rsidRDefault="00A5540F" w:rsidP="004209B7">
      <w:pPr>
        <w:rPr>
          <w:rFonts w:ascii="Century Gothic" w:hAnsi="Century Gothic"/>
          <w:noProof/>
        </w:rPr>
      </w:pPr>
      <w:r>
        <w:rPr>
          <w:lang w:val="en-AU"/>
        </w:rPr>
        <w:t>The s</w:t>
      </w:r>
      <w:r w:rsidRPr="00C12274">
        <w:rPr>
          <w:lang w:val="en-AU"/>
        </w:rPr>
        <w:t>tudies were conducted in</w:t>
      </w:r>
      <w:r w:rsidRPr="00C12274">
        <w:t xml:space="preserve"> Australia (n=</w:t>
      </w:r>
      <w:r w:rsidR="00B11010">
        <w:t>4</w:t>
      </w:r>
      <w:r w:rsidRPr="00C12274">
        <w:t>)</w:t>
      </w:r>
      <w:r>
        <w:t>,</w:t>
      </w:r>
      <w:r>
        <w:fldChar w:fldCharType="begin">
          <w:fldData xml:space="preserve">PEVuZE5vdGU+PENpdGU+PEF1dGhvcj5Eb2RkPC9BdXRob3I+PFllYXI+MjAxNDwvWWVhcj48UmVj
TnVtPjEwODA8L1JlY051bT48RGlzcGxheVRleHQ+PHN0eWxlIGZhY2U9InN1cGVyc2NyaXB0IiBm
b250PSJUcmVidWNoZXQgTVMiIHNpemU9IjkiPjQ4NCw1MDAsNTIwLDUyMTwvc3R5bGU+PC9EaXNw
bGF5VGV4dD48cmVjb3JkPjxyZWMtbnVtYmVyPjEwODA8L3JlYy1udW1iZXI+PGZvcmVpZ24ta2V5
cz48a2V5IGFwcD0iRU4iIGRiLWlkPSJleHZhc3JmeDJkdHJhb2VzYXN4cDJzenN4YTJkZjUwMjU5
MngiIHRpbWVzdGFtcD0iMTU1Mjk0NjQ3MiI+MTA4MDwva2V5PjxrZXkgYXBwPSJFTldlYiIgZGIt
aWQ9IiI+MDwva2V5PjwvZm9yZWlnbi1rZXlzPjxyZWYtdHlwZSBuYW1lPSJKb3VybmFsIEFydGlj
bGUiPjE3PC9yZWYtdHlwZT48Y29udHJpYnV0b3JzPjxhdXRob3JzPjxhdXRob3I+RG9kZCwgSm9k
aWUgTS48L2F1dGhvcj48YXV0aG9yPkdyaXZlbGwsIFJvc2FsaWUgTS48L2F1dGhvcj48YXV0aG9y
Pk93ZW5zLCBKdWxpZSBBLjwvYXV0aG9yPjwvYXV0aG9ycz48L2NvbnRyaWJ1dG9ycz48dGl0bGVz
Pjx0aXRsZT5BbnRlbmF0YWwgRGlldGFyeSBhbmQgTGlmZXN0eWxlIEludGVydmVudGlvbnMgZm9y
IFdvbWVuIFdobyBhcmUgT3ZlcndlaWdodCBvciBPYmVzZTogT3V0Y29tZXMgZnJvbSB0aGUgTElN
SVQgUmFuZG9taXplZCBUcmlhbDwvdGl0bGU+PHNlY29uZGFyeS10aXRsZT5DdXJyZW50IE51dHJp
dGlvbiBSZXBvcnRzPC9zZWNvbmRhcnktdGl0bGU+PC90aXRsZXM+PHBlcmlvZGljYWw+PGZ1bGwt
dGl0bGU+Q3VycmVudCBOdXRyaXRpb24gUmVwb3J0czwvZnVsbC10aXRsZT48L3BlcmlvZGljYWw+
PHBhZ2VzPjM5Mi0zOTk8L3BhZ2VzPjx2b2x1bWU+Mzwvdm9sdW1lPjxudW1iZXI+NDwvbnVtYmVy
PjxzZWN0aW9uPjM5Mjwvc2VjdGlvbj48ZGF0ZXM+PHllYXI+MjAxNDwveWVhcj48L2RhdGVzPjxp
c2JuPjIxNjEtMzMxMTwvaXNibj48dXJscz48L3VybHM+PGVsZWN0cm9uaWMtcmVzb3VyY2UtbnVt
PjEwLjEwMDcvczEzNjY4LTAxNC0wMTAxLTc8L2VsZWN0cm9uaWMtcmVzb3VyY2UtbnVtPjwvcmVj
b3JkPjwvQ2l0ZT48Q2l0ZT48QXV0aG9yPkhhcnJpc29uPC9BdXRob3I+PFllYXI+MjAxMzwvWWVh
cj48UmVjTnVtPjcyNTwvUmVjTnVtPjxyZWNvcmQ+PHJlYy1udW1iZXI+NzI1PC9yZWMtbnVtYmVy
Pjxmb3JlaWduLWtleXM+PGtleSBhcHA9IkVOIiBkYi1pZD0iZXh2YXNyZngyZHRyYW9lc2FzeHAy
c3pzeGEyZGY1MDI1OTJ4IiB0aW1lc3RhbXA9IjE1NDE0NjUwNTAiPjcyNTwva2V5PjwvZm9yZWln
bi1rZXlzPjxyZWYtdHlwZSBuYW1lPSJKb3VybmFsIEFydGljbGUiPjE3PC9yZWYtdHlwZT48Y29u
dHJpYnV0b3JzPjxhdXRob3JzPjxhdXRob3I+SGFycmlzb24sIEMuIEwuPC9hdXRob3I+PGF1dGhv
cj5Mb21iYXJkLCBDLiBCLjwvYXV0aG9yPjxhdXRob3I+U3RyYXVzcywgQi4gSi48L2F1dGhvcj48
YXV0aG9yPlRlZWRlLCBILiBKLjwvYXV0aG9yPjwvYXV0aG9ycz48L2NvbnRyaWJ1dG9ycz48YXV0
aC1hZGRyZXNzPldvbWVuJmFwb3M7cyBSZXByb2R1Y3RpdmUgUmVzZWFyY2ggdW5pdCwgU2Nob29s
IG9mIFB1YmxpYyBIZWFsdGggYW5kIFByZXZlbnRpdmUgTWVkaWNpbmUsIE1vbmFzaCBVbml2ZXJz
aXR5LCBDbGF5dG9uLCBWaWN0b3JpYSwgQXVzdHJhbGlhLjwvYXV0aC1hZGRyZXNzPjx0aXRsZXM+
PHRpdGxlPk9wdGltaXppbmcgaGVhbHRoeSBnZXN0YXRpb25hbCB3ZWlnaHQgZ2FpbiBpbiB3b21l
biBhdCBoaWdoIHJpc2sgb2YgZ2VzdGF0aW9uYWwgZGlhYmV0ZXM6IGEgcmFuZG9taXplZCBjb250
cm9sbGVkIHRyaWFsPC90aXRsZT48c2Vjb25kYXJ5LXRpdGxlPk9iZXNpdHkgKFNpbHZlciBTcHJp
bmcpPC9zZWNvbmRhcnktdGl0bGU+PC90aXRsZXM+PHBlcmlvZGljYWw+PGZ1bGwtdGl0bGU+T2Jl
c2l0eSAoU2lsdmVyIFNwcmluZyk8L2Z1bGwtdGl0bGU+PC9wZXJpb2RpY2FsPjxwYWdlcz45MDQt
OTwvcGFnZXM+PHZvbHVtZT4yMTwvdm9sdW1lPjxudW1iZXI+NTwvbnVtYmVyPjxlZGl0aW9uPjIw
MTMvMDYvMjE8L2VkaXRpb24+PGtleXdvcmRzPjxrZXl3b3JkPkFkdWx0PC9rZXl3b3JkPjxrZXl3
b3JkPipCb2R5IE1hc3MgSW5kZXg8L2tleXdvcmQ+PGtleXdvcmQ+RGlhYmV0ZXMsIEdlc3RhdGlv
bmFsL2VwaWRlbWlvbG9neS8qcHJldmVudGlvbiAmYW1wOyBjb250cm9sPC9rZXl3b3JkPjxrZXl3
b3JkPkZlbWFsZTwva2V5d29yZD48a2V5d29yZD5IdW1hbnM8L2tleXdvcmQ+PGtleXdvcmQ+Kkxp
ZmUgU3R5bGU8L2tleXdvcmQ+PGtleXdvcmQ+TW90b3IgQWN0aXZpdHk8L2tleXdvcmQ+PGtleXdv
cmQ+T2Jlc2l0eS9jb21wbGljYXRpb25zL3RoZXJhcHk8L2tleXdvcmQ+PGtleXdvcmQ+UHJlZ25h
bmN5PC9rZXl3b3JkPjxrZXl3b3JkPlByZW5hdGFsIENhcmU8L2tleXdvcmQ+PGtleXdvcmQ+Umlz
ayBGYWN0b3JzPC9rZXl3b3JkPjxrZXl3b3JkPipXYWxraW5nPC9rZXl3b3JkPjxrZXl3b3JkPipX
ZWlnaHQgR2Fpbjwva2V5d29yZD48L2tleXdvcmRzPjxkYXRlcz48eWVhcj4yMDEzPC95ZWFyPjxw
dWItZGF0ZXM+PGRhdGU+TWF5PC9kYXRlPjwvcHViLWRhdGVzPjwvZGF0ZXM+PGlzYm4+MTkzMC03
MzlYIChFbGVjdHJvbmljKSYjeEQ7MTkzMC03MzgxIChMaW5raW5nKTwvaXNibj48YWNjZXNzaW9u
LW51bT4yMzc4NDg5MjwvYWNjZXNzaW9uLW51bT48dXJscz48cmVsYXRlZC11cmxzPjx1cmw+aHR0
cHM6Ly93d3cubmNiaS5ubG0ubmloLmdvdi9wdWJtZWQvMjM3ODQ4OTI8L3VybD48L3JlbGF0ZWQt
dXJscz48L3VybHM+PGVsZWN0cm9uaWMtcmVzb3VyY2UtbnVtPjEwLjEwMDIvb2J5LjIwMTYzPC9l
bGVjdHJvbmljLXJlc291cmNlLW51bT48L3JlY29yZD48L0NpdGU+PENpdGU+PEF1dGhvcj5XaWxs
Y294PC9BdXRob3I+PFllYXI+MjAxNzwvWWVhcj48UmVjTnVtPjk2NTwvUmVjTnVtPjxyZWNvcmQ+
PHJlYy1udW1iZXI+OTY1PC9yZWMtbnVtYmVyPjxmb3JlaWduLWtleXM+PGtleSBhcHA9IkVOIiBk
Yi1pZD0iZXh2YXNyZngyZHRyYW9lc2FzeHAyc3pzeGEyZGY1MDI1OTJ4IiB0aW1lc3RhbXA9IjE1
NTI5NTAwNzkiPjk2NTwva2V5PjxrZXkgYXBwPSJFTldlYiIgZGItaWQ9IiI+MDwva2V5PjwvZm9y
ZWlnbi1rZXlzPjxyZWYtdHlwZSBuYW1lPSJKb3VybmFsIEFydGljbGUiPjE3PC9yZWYtdHlwZT48
Y29udHJpYnV0b3JzPjxhdXRob3JzPjxhdXRob3I+V2lsbGNveCwgSi5DLiw8L2F1dGhvcj48YXV0
aG9yPldpbGtpbnNvbiwgUy5BLiw8L2F1dGhvcj48YXV0aG9yPkxhcHBhcywgTS4sPC9hdXRob3I+
PGF1dGhvcj5CYWxsLCBLLiw8L2F1dGhvcj48YXV0aG9yPkNyYXdmb3JkLCBELiw8L2F1dGhvcj48
YXV0aG9yPk1jQ2FydGh5LCBFLkEuLDwvYXV0aG9yPjxhdXRob3I+RmplbGRzb2UsIEIuLDwvYXV0
aG9yPjwvYXV0aG9ycz48L2NvbnRyaWJ1dG9ycz48YXV0aC1hZGRyZXNzPkRlcGFydG1lbnRzIG9m
IE1lZGljaW5lLCBQdWJsaWMgSGVhbHRoLCBhbmQgT2IvR3luLCBUZW1wbGUgVW5pdmVyc2l0eSwg
UGhpbGFkZWxwaGlhLCBQQSwgVVNBLjwvYXV0aC1hZGRyZXNzPjx0aXRsZXM+PHRpdGxlPkEgbW9i
aWxlIGhlYWx0aCBpbnRlcnZlbnRpb24gcHJvbW90aW5nIGhlYWx0aHkgZ2VzdGF0aW9uYWwgd2Vp
Z2h0IGdhaW4gZm9yIHdvbWVuIGVudGVyaW5nIHByZWduYW5jeSBhdCBhIGhpZ2ggYm9keSBtYXNz
IGluZGV4OiB0aGUgdHh0NHR3byBwaWxvdCByYW5kb21pc2VkIGNvbnRyb2xsZWQgdHJpYWw8L3Rp
dGxlPjxzZWNvbmRhcnktdGl0bGU+QkpPRzwvc2Vjb25kYXJ5LXRpdGxlPjwvdGl0bGVzPjxwZXJp
b2RpY2FsPjxmdWxsLXRpdGxlPkJKT0c8L2Z1bGwtdGl0bGU+PC9wZXJpb2RpY2FsPjxwYWdlcz4x
NzE4LTI4PC9wYWdlcz48dm9sdW1lPjEyNDwvdm9sdW1lPjxudW1iZXI+MTE8L251bWJlcj48ZWRp
dGlvbj4yMDE3LzA0LzIwPC9lZGl0aW9uPjxkYXRlcz48eWVhcj4yMDE3PC95ZWFyPjxwdWItZGF0
ZXM+PGRhdGU+T2N0PC9kYXRlPjwvcHViLWRhdGVzPjwvZGF0ZXM+PGlzYm4+MTQ3MS0wNTI4IChF
bGVjdHJvbmljKSYjeEQ7MTQ3MC0wMzI4IChMaW5raW5nKTwvaXNibj48YWNjZXNzaW9uLW51bT4y
ODQyMjM5ODwvYWNjZXNzaW9uLW51bT48dXJscz48cmVsYXRlZC11cmxzPjx1cmw+aHR0cHM6Ly93
d3cubmNiaS5ubG0ubmloLmdvdi9wdWJtZWQvMjg0MjIzOTg8L3VybD48L3JlbGF0ZWQtdXJscz48
L3VybHM+PGVsZWN0cm9uaWMtcmVzb3VyY2UtbnVtPjEwLjExMTEvMTQ3MS0wNTI4LjE0NjkzPC9l
bGVjdHJvbmljLXJlc291cmNlLW51bT48L3JlY29yZD48L0NpdGU+PENpdGU+PEF1dGhvcj5Eb2Rk
PC9BdXRob3I+PFllYXI+MjAxOTwvWWVhcj48UmVjTnVtPjE5MjI8L1JlY051bT48cmVjb3JkPjxy
ZWMtbnVtYmVyPjE5MjI8L3JlYy1udW1iZXI+PGZvcmVpZ24ta2V5cz48a2V5IGFwcD0iRU4iIGRi
LWlkPSJleHZhc3JmeDJkdHJhb2VzYXN4cDJzenN4YTJkZjUwMjU5MngiIHRpbWVzdGFtcD0iMTU4
ODU2MDM2OCI+MTkyMjwva2V5PjxrZXkgYXBwPSJFTldlYiIgZGItaWQ9IiI+MDwva2V5PjwvZm9y
ZWlnbi1rZXlzPjxyZWYtdHlwZSBuYW1lPSJKb3VybmFsIEFydGljbGUiPjE3PC9yZWYtdHlwZT48
Y29udHJpYnV0b3JzPjxhdXRob3JzPjxhdXRob3I+RG9kZCwgSi4gTS48L2F1dGhvcj48YXV0aG9y
PkRldXNzZW4sIEEuIFIuPC9hdXRob3I+PGF1dGhvcj5Mb3Vpc2UsIEouPC9hdXRob3I+PC9hdXRo
b3JzPjwvY29udHJpYnV0b3JzPjxhdXRoLWFkZHJlc3M+RGlzY2lwbGluZSBvZiBPYnN0ZXRyaWNz
ICZhbXA7IEd5bmFlY29sb2d5LCBhbmQgUm9iaW5zb24gUmVzZWFyY2ggSW5zdGl0dXRlLCBUaGUg
VW5pdmVyc2l0eSBvZiBBZGVsYWlkZSwgQWRlbGFpZGUsIFNBIDUwMDYsIEF1c3RyYWxpYS4mI3hE
O0RlcGFydG1lbnQgb2YgUGVyaW5hdGFsIE1lZGljaW5lIFdvbWVuJmFwb3M7cyBhbmQgQ2hpbGRy
ZW4mYXBvcztzIEhvc3BpdGFsLCBOb3J0aCBBZGVsYWlkZSwgQWRlbGFpZGUsIFNBIDUwMDYsIEF1
c3RyYWxpYS48L2F1dGgtYWRkcmVzcz48dGl0bGVzPjx0aXRsZT5BIHJhbmRvbWlzZWQgdHJpYWwg
dG8gb3B0aW1pc2UgZ2VzdGF0aW9uYWwgd2VpZ2h0IGdhaW4gYW5kIGltcHJvdmUgbWF0ZXJuYWwg
YW5kIGluZmFudCBoZWFsdGggb3V0Y29tZXMgdGhyb3VnaCBhbnRlbmF0YWwgZGlldGFyeSwgbGlm
ZXN0eWxlIGFuZCBleGVyY2lzZSBhZHZpY2U6IFRoZSBPUFRJTUlTRSByYW5kb21pc2VkIHRyaWFs
PC90aXRsZT48c2Vjb25kYXJ5LXRpdGxlPk51dHJpZW50czwvc2Vjb25kYXJ5LXRpdGxlPjwvdGl0
bGVzPjxwZXJpb2RpY2FsPjxmdWxsLXRpdGxlPk51dHJpZW50czwvZnVsbC10aXRsZT48L3Blcmlv
ZGljYWw+PHZvbHVtZT4xMTwvdm9sdW1lPjxudW1iZXI+MTI8L251bWJlcj48ZWRpdGlvbj4yMDE5
LzEyLzA4PC9lZGl0aW9uPjxrZXl3b3Jkcz48a2V5d29yZD5kaWV0YXJ5IGFuZCBsaWZlc3R5bGUg
aW50ZXJ2ZW50aW9uPC9rZXl3b3JkPjxrZXl3b3JkPmdlc3RhdGlvbmFsIHdlaWdodCBnYWluPC9r
ZXl3b3JkPjxrZXl3b3JkPnJhbmRvbWlzZWQgY29udHJvbGxlZCB0cmlhbDwva2V5d29yZD48L2tl
eXdvcmRzPjxkYXRlcz48eWVhcj4yMDE5PC95ZWFyPjxwdWItZGF0ZXM+PGRhdGU+RGVjIDI8L2Rh
dGU+PC9wdWItZGF0ZXM+PC9kYXRlcz48aXNibj4yMDcyLTY2NDMgKEVsZWN0cm9uaWMpJiN4RDsy
MDcyLTY2NDMgKExpbmtpbmcpPC9pc2JuPjxhY2Nlc3Npb24tbnVtPjMxODEwMjE3PC9hY2Nlc3Np
b24tbnVtPjx1cmxzPjxyZWxhdGVkLXVybHM+PHVybD5odHRwczovL3d3dy5uY2JpLm5sbS5uaWgu
Z292L3B1Ym1lZC8zMTgxMDIxNzwvdXJsPjwvcmVsYXRlZC11cmxzPjwvdXJscz48Y3VzdG9tMj5Q
TUM2OTQ5OTMxPC9jdXN0b20yPjxlbGVjdHJvbmljLXJlc291cmNlLW51bT4xMC4zMzkwL251MTEx
MjI5MTE8L2VsZWN0cm9uaWMtcmVzb3VyY2UtbnVtPjwvcmVjb3JkPjwvQ2l0ZT48L0VuZE5vdGU+
AG==
</w:fldData>
        </w:fldChar>
      </w:r>
      <w:r w:rsidR="002747EA">
        <w:instrText xml:space="preserve"> ADDIN EN.CITE </w:instrText>
      </w:r>
      <w:r w:rsidR="002747EA">
        <w:fldChar w:fldCharType="begin">
          <w:fldData xml:space="preserve">PEVuZE5vdGU+PENpdGU+PEF1dGhvcj5Eb2RkPC9BdXRob3I+PFllYXI+MjAxNDwvWWVhcj48UmVj
TnVtPjEwODA8L1JlY051bT48RGlzcGxheVRleHQ+PHN0eWxlIGZhY2U9InN1cGVyc2NyaXB0IiBm
b250PSJUcmVidWNoZXQgTVMiIHNpemU9IjkiPjQ4NCw1MDAsNTIwLDUyMTwvc3R5bGU+PC9EaXNw
bGF5VGV4dD48cmVjb3JkPjxyZWMtbnVtYmVyPjEwODA8L3JlYy1udW1iZXI+PGZvcmVpZ24ta2V5
cz48a2V5IGFwcD0iRU4iIGRiLWlkPSJleHZhc3JmeDJkdHJhb2VzYXN4cDJzenN4YTJkZjUwMjU5
MngiIHRpbWVzdGFtcD0iMTU1Mjk0NjQ3MiI+MTA4MDwva2V5PjxrZXkgYXBwPSJFTldlYiIgZGIt
aWQ9IiI+MDwva2V5PjwvZm9yZWlnbi1rZXlzPjxyZWYtdHlwZSBuYW1lPSJKb3VybmFsIEFydGlj
bGUiPjE3PC9yZWYtdHlwZT48Y29udHJpYnV0b3JzPjxhdXRob3JzPjxhdXRob3I+RG9kZCwgSm9k
aWUgTS48L2F1dGhvcj48YXV0aG9yPkdyaXZlbGwsIFJvc2FsaWUgTS48L2F1dGhvcj48YXV0aG9y
Pk93ZW5zLCBKdWxpZSBBLjwvYXV0aG9yPjwvYXV0aG9ycz48L2NvbnRyaWJ1dG9ycz48dGl0bGVz
Pjx0aXRsZT5BbnRlbmF0YWwgRGlldGFyeSBhbmQgTGlmZXN0eWxlIEludGVydmVudGlvbnMgZm9y
IFdvbWVuIFdobyBhcmUgT3ZlcndlaWdodCBvciBPYmVzZTogT3V0Y29tZXMgZnJvbSB0aGUgTElN
SVQgUmFuZG9taXplZCBUcmlhbDwvdGl0bGU+PHNlY29uZGFyeS10aXRsZT5DdXJyZW50IE51dHJp
dGlvbiBSZXBvcnRzPC9zZWNvbmRhcnktdGl0bGU+PC90aXRsZXM+PHBlcmlvZGljYWw+PGZ1bGwt
dGl0bGU+Q3VycmVudCBOdXRyaXRpb24gUmVwb3J0czwvZnVsbC10aXRsZT48L3BlcmlvZGljYWw+
PHBhZ2VzPjM5Mi0zOTk8L3BhZ2VzPjx2b2x1bWU+Mzwvdm9sdW1lPjxudW1iZXI+NDwvbnVtYmVy
PjxzZWN0aW9uPjM5Mjwvc2VjdGlvbj48ZGF0ZXM+PHllYXI+MjAxNDwveWVhcj48L2RhdGVzPjxp
c2JuPjIxNjEtMzMxMTwvaXNibj48dXJscz48L3VybHM+PGVsZWN0cm9uaWMtcmVzb3VyY2UtbnVt
PjEwLjEwMDcvczEzNjY4LTAxNC0wMTAxLTc8L2VsZWN0cm9uaWMtcmVzb3VyY2UtbnVtPjwvcmVj
b3JkPjwvQ2l0ZT48Q2l0ZT48QXV0aG9yPkhhcnJpc29uPC9BdXRob3I+PFllYXI+MjAxMzwvWWVh
cj48UmVjTnVtPjcyNTwvUmVjTnVtPjxyZWNvcmQ+PHJlYy1udW1iZXI+NzI1PC9yZWMtbnVtYmVy
Pjxmb3JlaWduLWtleXM+PGtleSBhcHA9IkVOIiBkYi1pZD0iZXh2YXNyZngyZHRyYW9lc2FzeHAy
c3pzeGEyZGY1MDI1OTJ4IiB0aW1lc3RhbXA9IjE1NDE0NjUwNTAiPjcyNTwva2V5PjwvZm9yZWln
bi1rZXlzPjxyZWYtdHlwZSBuYW1lPSJKb3VybmFsIEFydGljbGUiPjE3PC9yZWYtdHlwZT48Y29u
dHJpYnV0b3JzPjxhdXRob3JzPjxhdXRob3I+SGFycmlzb24sIEMuIEwuPC9hdXRob3I+PGF1dGhv
cj5Mb21iYXJkLCBDLiBCLjwvYXV0aG9yPjxhdXRob3I+U3RyYXVzcywgQi4gSi48L2F1dGhvcj48
YXV0aG9yPlRlZWRlLCBILiBKLjwvYXV0aG9yPjwvYXV0aG9ycz48L2NvbnRyaWJ1dG9ycz48YXV0
aC1hZGRyZXNzPldvbWVuJmFwb3M7cyBSZXByb2R1Y3RpdmUgUmVzZWFyY2ggdW5pdCwgU2Nob29s
IG9mIFB1YmxpYyBIZWFsdGggYW5kIFByZXZlbnRpdmUgTWVkaWNpbmUsIE1vbmFzaCBVbml2ZXJz
aXR5LCBDbGF5dG9uLCBWaWN0b3JpYSwgQXVzdHJhbGlhLjwvYXV0aC1hZGRyZXNzPjx0aXRsZXM+
PHRpdGxlPk9wdGltaXppbmcgaGVhbHRoeSBnZXN0YXRpb25hbCB3ZWlnaHQgZ2FpbiBpbiB3b21l
biBhdCBoaWdoIHJpc2sgb2YgZ2VzdGF0aW9uYWwgZGlhYmV0ZXM6IGEgcmFuZG9taXplZCBjb250
cm9sbGVkIHRyaWFsPC90aXRsZT48c2Vjb25kYXJ5LXRpdGxlPk9iZXNpdHkgKFNpbHZlciBTcHJp
bmcpPC9zZWNvbmRhcnktdGl0bGU+PC90aXRsZXM+PHBlcmlvZGljYWw+PGZ1bGwtdGl0bGU+T2Jl
c2l0eSAoU2lsdmVyIFNwcmluZyk8L2Z1bGwtdGl0bGU+PC9wZXJpb2RpY2FsPjxwYWdlcz45MDQt
OTwvcGFnZXM+PHZvbHVtZT4yMTwvdm9sdW1lPjxudW1iZXI+NTwvbnVtYmVyPjxlZGl0aW9uPjIw
MTMvMDYvMjE8L2VkaXRpb24+PGtleXdvcmRzPjxrZXl3b3JkPkFkdWx0PC9rZXl3b3JkPjxrZXl3
b3JkPipCb2R5IE1hc3MgSW5kZXg8L2tleXdvcmQ+PGtleXdvcmQ+RGlhYmV0ZXMsIEdlc3RhdGlv
bmFsL2VwaWRlbWlvbG9neS8qcHJldmVudGlvbiAmYW1wOyBjb250cm9sPC9rZXl3b3JkPjxrZXl3
b3JkPkZlbWFsZTwva2V5d29yZD48a2V5d29yZD5IdW1hbnM8L2tleXdvcmQ+PGtleXdvcmQ+Kkxp
ZmUgU3R5bGU8L2tleXdvcmQ+PGtleXdvcmQ+TW90b3IgQWN0aXZpdHk8L2tleXdvcmQ+PGtleXdv
cmQ+T2Jlc2l0eS9jb21wbGljYXRpb25zL3RoZXJhcHk8L2tleXdvcmQ+PGtleXdvcmQ+UHJlZ25h
bmN5PC9rZXl3b3JkPjxrZXl3b3JkPlByZW5hdGFsIENhcmU8L2tleXdvcmQ+PGtleXdvcmQ+Umlz
ayBGYWN0b3JzPC9rZXl3b3JkPjxrZXl3b3JkPipXYWxraW5nPC9rZXl3b3JkPjxrZXl3b3JkPipX
ZWlnaHQgR2Fpbjwva2V5d29yZD48L2tleXdvcmRzPjxkYXRlcz48eWVhcj4yMDEzPC95ZWFyPjxw
dWItZGF0ZXM+PGRhdGU+TWF5PC9kYXRlPjwvcHViLWRhdGVzPjwvZGF0ZXM+PGlzYm4+MTkzMC03
MzlYIChFbGVjdHJvbmljKSYjeEQ7MTkzMC03MzgxIChMaW5raW5nKTwvaXNibj48YWNjZXNzaW9u
LW51bT4yMzc4NDg5MjwvYWNjZXNzaW9uLW51bT48dXJscz48cmVsYXRlZC11cmxzPjx1cmw+aHR0
cHM6Ly93d3cubmNiaS5ubG0ubmloLmdvdi9wdWJtZWQvMjM3ODQ4OTI8L3VybD48L3JlbGF0ZWQt
dXJscz48L3VybHM+PGVsZWN0cm9uaWMtcmVzb3VyY2UtbnVtPjEwLjEwMDIvb2J5LjIwMTYzPC9l
bGVjdHJvbmljLXJlc291cmNlLW51bT48L3JlY29yZD48L0NpdGU+PENpdGU+PEF1dGhvcj5XaWxs
Y294PC9BdXRob3I+PFllYXI+MjAxNzwvWWVhcj48UmVjTnVtPjk2NTwvUmVjTnVtPjxyZWNvcmQ+
PHJlYy1udW1iZXI+OTY1PC9yZWMtbnVtYmVyPjxmb3JlaWduLWtleXM+PGtleSBhcHA9IkVOIiBk
Yi1pZD0iZXh2YXNyZngyZHRyYW9lc2FzeHAyc3pzeGEyZGY1MDI1OTJ4IiB0aW1lc3RhbXA9IjE1
NTI5NTAwNzkiPjk2NTwva2V5PjxrZXkgYXBwPSJFTldlYiIgZGItaWQ9IiI+MDwva2V5PjwvZm9y
ZWlnbi1rZXlzPjxyZWYtdHlwZSBuYW1lPSJKb3VybmFsIEFydGljbGUiPjE3PC9yZWYtdHlwZT48
Y29udHJpYnV0b3JzPjxhdXRob3JzPjxhdXRob3I+V2lsbGNveCwgSi5DLiw8L2F1dGhvcj48YXV0
aG9yPldpbGtpbnNvbiwgUy5BLiw8L2F1dGhvcj48YXV0aG9yPkxhcHBhcywgTS4sPC9hdXRob3I+
PGF1dGhvcj5CYWxsLCBLLiw8L2F1dGhvcj48YXV0aG9yPkNyYXdmb3JkLCBELiw8L2F1dGhvcj48
YXV0aG9yPk1jQ2FydGh5LCBFLkEuLDwvYXV0aG9yPjxhdXRob3I+RmplbGRzb2UsIEIuLDwvYXV0
aG9yPjwvYXV0aG9ycz48L2NvbnRyaWJ1dG9ycz48YXV0aC1hZGRyZXNzPkRlcGFydG1lbnRzIG9m
IE1lZGljaW5lLCBQdWJsaWMgSGVhbHRoLCBhbmQgT2IvR3luLCBUZW1wbGUgVW5pdmVyc2l0eSwg
UGhpbGFkZWxwaGlhLCBQQSwgVVNBLjwvYXV0aC1hZGRyZXNzPjx0aXRsZXM+PHRpdGxlPkEgbW9i
aWxlIGhlYWx0aCBpbnRlcnZlbnRpb24gcHJvbW90aW5nIGhlYWx0aHkgZ2VzdGF0aW9uYWwgd2Vp
Z2h0IGdhaW4gZm9yIHdvbWVuIGVudGVyaW5nIHByZWduYW5jeSBhdCBhIGhpZ2ggYm9keSBtYXNz
IGluZGV4OiB0aGUgdHh0NHR3byBwaWxvdCByYW5kb21pc2VkIGNvbnRyb2xsZWQgdHJpYWw8L3Rp
dGxlPjxzZWNvbmRhcnktdGl0bGU+QkpPRzwvc2Vjb25kYXJ5LXRpdGxlPjwvdGl0bGVzPjxwZXJp
b2RpY2FsPjxmdWxsLXRpdGxlPkJKT0c8L2Z1bGwtdGl0bGU+PC9wZXJpb2RpY2FsPjxwYWdlcz4x
NzE4LTI4PC9wYWdlcz48dm9sdW1lPjEyNDwvdm9sdW1lPjxudW1iZXI+MTE8L251bWJlcj48ZWRp
dGlvbj4yMDE3LzA0LzIwPC9lZGl0aW9uPjxkYXRlcz48eWVhcj4yMDE3PC95ZWFyPjxwdWItZGF0
ZXM+PGRhdGU+T2N0PC9kYXRlPjwvcHViLWRhdGVzPjwvZGF0ZXM+PGlzYm4+MTQ3MS0wNTI4IChF
bGVjdHJvbmljKSYjeEQ7MTQ3MC0wMzI4IChMaW5raW5nKTwvaXNibj48YWNjZXNzaW9uLW51bT4y
ODQyMjM5ODwvYWNjZXNzaW9uLW51bT48dXJscz48cmVsYXRlZC11cmxzPjx1cmw+aHR0cHM6Ly93
d3cubmNiaS5ubG0ubmloLmdvdi9wdWJtZWQvMjg0MjIzOTg8L3VybD48L3JlbGF0ZWQtdXJscz48
L3VybHM+PGVsZWN0cm9uaWMtcmVzb3VyY2UtbnVtPjEwLjExMTEvMTQ3MS0wNTI4LjE0NjkzPC9l
bGVjdHJvbmljLXJlc291cmNlLW51bT48L3JlY29yZD48L0NpdGU+PENpdGU+PEF1dGhvcj5Eb2Rk
PC9BdXRob3I+PFllYXI+MjAxOTwvWWVhcj48UmVjTnVtPjE5MjI8L1JlY051bT48cmVjb3JkPjxy
ZWMtbnVtYmVyPjE5MjI8L3JlYy1udW1iZXI+PGZvcmVpZ24ta2V5cz48a2V5IGFwcD0iRU4iIGRi
LWlkPSJleHZhc3JmeDJkdHJhb2VzYXN4cDJzenN4YTJkZjUwMjU5MngiIHRpbWVzdGFtcD0iMTU4
ODU2MDM2OCI+MTkyMjwva2V5PjxrZXkgYXBwPSJFTldlYiIgZGItaWQ9IiI+MDwva2V5PjwvZm9y
ZWlnbi1rZXlzPjxyZWYtdHlwZSBuYW1lPSJKb3VybmFsIEFydGljbGUiPjE3PC9yZWYtdHlwZT48
Y29udHJpYnV0b3JzPjxhdXRob3JzPjxhdXRob3I+RG9kZCwgSi4gTS48L2F1dGhvcj48YXV0aG9y
PkRldXNzZW4sIEEuIFIuPC9hdXRob3I+PGF1dGhvcj5Mb3Vpc2UsIEouPC9hdXRob3I+PC9hdXRo
b3JzPjwvY29udHJpYnV0b3JzPjxhdXRoLWFkZHJlc3M+RGlzY2lwbGluZSBvZiBPYnN0ZXRyaWNz
ICZhbXA7IEd5bmFlY29sb2d5LCBhbmQgUm9iaW5zb24gUmVzZWFyY2ggSW5zdGl0dXRlLCBUaGUg
VW5pdmVyc2l0eSBvZiBBZGVsYWlkZSwgQWRlbGFpZGUsIFNBIDUwMDYsIEF1c3RyYWxpYS4mI3hE
O0RlcGFydG1lbnQgb2YgUGVyaW5hdGFsIE1lZGljaW5lIFdvbWVuJmFwb3M7cyBhbmQgQ2hpbGRy
ZW4mYXBvcztzIEhvc3BpdGFsLCBOb3J0aCBBZGVsYWlkZSwgQWRlbGFpZGUsIFNBIDUwMDYsIEF1
c3RyYWxpYS48L2F1dGgtYWRkcmVzcz48dGl0bGVzPjx0aXRsZT5BIHJhbmRvbWlzZWQgdHJpYWwg
dG8gb3B0aW1pc2UgZ2VzdGF0aW9uYWwgd2VpZ2h0IGdhaW4gYW5kIGltcHJvdmUgbWF0ZXJuYWwg
YW5kIGluZmFudCBoZWFsdGggb3V0Y29tZXMgdGhyb3VnaCBhbnRlbmF0YWwgZGlldGFyeSwgbGlm
ZXN0eWxlIGFuZCBleGVyY2lzZSBhZHZpY2U6IFRoZSBPUFRJTUlTRSByYW5kb21pc2VkIHRyaWFs
PC90aXRsZT48c2Vjb25kYXJ5LXRpdGxlPk51dHJpZW50czwvc2Vjb25kYXJ5LXRpdGxlPjwvdGl0
bGVzPjxwZXJpb2RpY2FsPjxmdWxsLXRpdGxlPk51dHJpZW50czwvZnVsbC10aXRsZT48L3Blcmlv
ZGljYWw+PHZvbHVtZT4xMTwvdm9sdW1lPjxudW1iZXI+MTI8L251bWJlcj48ZWRpdGlvbj4yMDE5
LzEyLzA4PC9lZGl0aW9uPjxrZXl3b3Jkcz48a2V5d29yZD5kaWV0YXJ5IGFuZCBsaWZlc3R5bGUg
aW50ZXJ2ZW50aW9uPC9rZXl3b3JkPjxrZXl3b3JkPmdlc3RhdGlvbmFsIHdlaWdodCBnYWluPC9r
ZXl3b3JkPjxrZXl3b3JkPnJhbmRvbWlzZWQgY29udHJvbGxlZCB0cmlhbDwva2V5d29yZD48L2tl
eXdvcmRzPjxkYXRlcz48eWVhcj4yMDE5PC95ZWFyPjxwdWItZGF0ZXM+PGRhdGU+RGVjIDI8L2Rh
dGU+PC9wdWItZGF0ZXM+PC9kYXRlcz48aXNibj4yMDcyLTY2NDMgKEVsZWN0cm9uaWMpJiN4RDsy
MDcyLTY2NDMgKExpbmtpbmcpPC9pc2JuPjxhY2Nlc3Npb24tbnVtPjMxODEwMjE3PC9hY2Nlc3Np
b24tbnVtPjx1cmxzPjxyZWxhdGVkLXVybHM+PHVybD5odHRwczovL3d3dy5uY2JpLm5sbS5uaWgu
Z292L3B1Ym1lZC8zMTgxMDIxNzwvdXJsPjwvcmVsYXRlZC11cmxzPjwvdXJscz48Y3VzdG9tMj5Q
TUM2OTQ5OTMxPC9jdXN0b20yPjxlbGVjdHJvbmljLXJlc291cmNlLW51bT4xMC4zMzkwL251MTEx
MjI5MTE8L2VsZWN0cm9uaWMtcmVzb3VyY2UtbnVtPjwvcmVjb3JkPjwvQ2l0ZT48L0VuZE5vdGU+
AG==
</w:fldData>
        </w:fldChar>
      </w:r>
      <w:r w:rsidR="002747EA">
        <w:instrText xml:space="preserve"> ADDIN EN.CITE.DATA </w:instrText>
      </w:r>
      <w:r w:rsidR="002747EA">
        <w:fldChar w:fldCharType="end"/>
      </w:r>
      <w:r>
        <w:fldChar w:fldCharType="separate"/>
      </w:r>
      <w:r w:rsidR="002747EA" w:rsidRPr="002747EA">
        <w:rPr>
          <w:noProof/>
          <w:vertAlign w:val="superscript"/>
        </w:rPr>
        <w:t>484,500,520,521</w:t>
      </w:r>
      <w:r>
        <w:fldChar w:fldCharType="end"/>
      </w:r>
      <w:r w:rsidRPr="00C12274">
        <w:t xml:space="preserve"> </w:t>
      </w:r>
      <w:r>
        <w:t>Belgium (n=2),</w:t>
      </w:r>
      <w:r>
        <w:fldChar w:fldCharType="begin">
          <w:fldData xml:space="preserve">PEVuZE5vdGU+PENpdGU+PEF1dGhvcj5Cb2dhZXJ0czwvQXV0aG9yPjxZZWFyPjIwMTM8L1llYXI+
PFJlY051bT43MTM8L1JlY051bT48RGlzcGxheVRleHQ+PHN0eWxlIGZhY2U9InN1cGVyc2NyaXB0
IiBmb250PSJUcmVidWNoZXQgTVMiIHNpemU9IjkiPjUxMCw1MTE8L3N0eWxlPjwvRGlzcGxheVRl
eHQ+PHJlY29yZD48cmVjLW51bWJlcj43MTM8L3JlYy1udW1iZXI+PGZvcmVpZ24ta2V5cz48a2V5
IGFwcD0iRU4iIGRiLWlkPSJleHZhc3JmeDJkdHJhb2VzYXN4cDJzenN4YTJkZjUwMjU5MngiIHRp
bWVzdGFtcD0iMTU0MTQ2MjQ0MyI+NzEzPC9rZXk+PC9mb3JlaWduLWtleXM+PHJlZi10eXBlIG5h
bWU9IkpvdXJuYWwgQXJ0aWNsZSI+MTc8L3JlZi10eXBlPjxjb250cmlidXRvcnM+PGF1dGhvcnM+
PGF1dGhvcj5Cb2dhZXJ0cywgQS4gRi48L2F1dGhvcj48YXV0aG9yPkRldmxpZWdlciwgUi48L2F1
dGhvcj48YXV0aG9yPk51eXRzLCBFLjwvYXV0aG9yPjxhdXRob3I+V2l0dGVycywgSS48L2F1dGhv
cj48YXV0aG9yPkd5c2VsYWVycywgVy48L2F1dGhvcj48YXV0aG9yPlZhbiBkZW4gQmVyZ2gsIEIu
IFIuPC9hdXRob3I+PC9hdXRob3JzPjwvY29udHJpYnV0b3JzPjxhdXRoLWFkZHJlc3M+RGVwYXJ0
bWVudCBvZiBIZWFsdGhjYXJlIFJlc2VhcmNoLCBQSEwgVW5pdmVyc2l0eSBDb2xsZWdlLCBMaW1i
dXJnIENhdGhvbGljIFVuaXZlcnNpdHkgQ29sbGVnZSwgSGFzc2VsdCwgQmVsZ2l1bS48L2F1dGgt
YWRkcmVzcz48dGl0bGVzPjx0aXRsZT5FZmZlY3RzIG9mIGxpZmVzdHlsZSBpbnRlcnZlbnRpb24g
aW4gb2Jlc2UgcHJlZ25hbnQgd29tZW4gb24gZ2VzdGF0aW9uYWwgd2VpZ2h0IGdhaW4gYW5kIG1l
bnRhbCBoZWFsdGg6IGEgcmFuZG9taXplZCBjb250cm9sbGVkIHRyaWFsPC90aXRsZT48c2Vjb25k
YXJ5LXRpdGxlPkludCBKIE9iZXMgKExvbmQpPC9zZWNvbmRhcnktdGl0bGU+PC90aXRsZXM+PHBl
cmlvZGljYWw+PGZ1bGwtdGl0bGU+SW50IEogT2JlcyAoTG9uZCk8L2Z1bGwtdGl0bGU+PC9wZXJp
b2RpY2FsPjxwYWdlcz44MTQtMjE8L3BhZ2VzPjx2b2x1bWU+Mzc8L3ZvbHVtZT48bnVtYmVyPjY8
L251bWJlcj48ZWRpdGlvbj4yMDEyLzEwLzA0PC9lZGl0aW9uPjxrZXl3b3Jkcz48a2V5d29yZD5B
ZHVsdDwva2V5d29yZD48a2V5d29yZD5BbnhpZXR5L2VwaWRlbWlvbG9neS8qcHJldmVudGlvbiAm
YW1wOyBjb250cm9sPC9rZXl3b3JkPjxrZXl3b3JkPkJlbGdpdW0vZXBpZGVtaW9sb2d5PC9rZXl3
b3JkPjxrZXl3b3JkPkJvZHkgTWFzcyBJbmRleDwva2V5d29yZD48a2V5d29yZD5EZXByZXNzaW9u
L2VwaWRlbWlvbG9neS8qcHJldmVudGlvbiAmYW1wOyBjb250cm9sPC9rZXl3b3JkPjxrZXl3b3Jk
PkZlbWFsZTwva2V5d29yZD48a2V5d29yZD5IZWFsdGggS25vd2xlZGdlLCBBdHRpdHVkZXMsIFBy
YWN0aWNlPC9rZXl3b3JkPjxrZXl3b3JkPkh1bWFuczwva2V5d29yZD48a2V5d29yZD4qTGlmZSBT
dHlsZTwva2V5d29yZD48a2V5d29yZD5Mb25naXR1ZGluYWwgU3R1ZGllczwva2V5d29yZD48a2V5
d29yZD5Nb3RpdmF0aW9uPC9rZXl3b3JkPjxrZXl3b3JkPk9iZXNpdHkvZXBpZGVtaW9sb2d5L3By
ZXZlbnRpb24gJmFtcDsgY29udHJvbC9wc3ljaG9sb2d5Lyp0aGVyYXB5PC9rZXl3b3JkPjxrZXl3
b3JkPlBhdGllbnQgRWR1Y2F0aW9uIGFzIFRvcGljPC9rZXl3b3JkPjxrZXl3b3JkPlByZWduYW5j
eTwva2V5d29yZD48a2V5d29yZD5QcmVnbmFuY3kgQ29tcGxpY2F0aW9ucy9lcGlkZW1pb2xvZ3kv
cHJldmVudGlvbiAmYW1wOyBjb250cm9sL3BzeWNob2xvZ3kvKnRoZXJhcHk8L2tleXdvcmQ+PGtl
eXdvcmQ+UHJlbmF0YWwgQ2FyZS8qbWV0aG9kczwva2V5d29yZD48a2V5d29yZD5QcmV2YWxlbmNl
PC9rZXl3b3JkPjxrZXl3b3JkPlJpc2sgRmFjdG9yczwva2V5d29yZD48a2V5d29yZD5SaXNrIFJl
ZHVjdGlvbiBCZWhhdmlvcjwva2V5d29yZD48a2V5d29yZD5TdXJ2ZXlzIGFuZCBRdWVzdGlvbm5h
aXJlczwva2V5d29yZD48a2V5d29yZD4qV2VpZ2h0IEdhaW48L2tleXdvcmQ+PC9rZXl3b3Jkcz48
ZGF0ZXM+PHllYXI+MjAxMzwveWVhcj48cHViLWRhdGVzPjxkYXRlPkp1bjwvZGF0ZT48L3B1Yi1k
YXRlcz48L2RhdGVzPjxpc2JuPjE0NzYtNTQ5NyAoRWxlY3Ryb25pYykmI3hEOzAzMDctMDU2NSAo
TGlua2luZyk8L2lzYm4+PGFjY2Vzc2lvbi1udW0+MjMwMzI0MDQ8L2FjY2Vzc2lvbi1udW0+PHVy
bHM+PHJlbGF0ZWQtdXJscz48dXJsPmh0dHBzOi8vd3d3Lm5jYmkubmxtLm5paC5nb3YvcHVibWVk
LzIzMDMyNDA0PC91cmw+PC9yZWxhdGVkLXVybHM+PC91cmxzPjxlbGVjdHJvbmljLXJlc291cmNl
LW51bT4xMC4xMDM4L2lqby4yMDEyLjE2MjwvZWxlY3Ryb25pYy1yZXNvdXJjZS1udW0+PC9yZWNv
cmQ+PC9DaXRlPjxDaXRlPjxBdXRob3I+R3VlbGluY2t4PC9BdXRob3I+PFllYXI+MjAxMDwvWWVh
cj48UmVjTnVtPjcyMjwvUmVjTnVtPjxyZWNvcmQ+PHJlYy1udW1iZXI+NzIyPC9yZWMtbnVtYmVy
Pjxmb3JlaWduLWtleXM+PGtleSBhcHA9IkVOIiBkYi1pZD0iZXh2YXNyZngyZHRyYW9lc2FzeHAy
c3pzeGEyZGY1MDI1OTJ4IiB0aW1lc3RhbXA9IjE1NDE0NjQ3NzciPjcyMjwva2V5PjwvZm9yZWln
bi1rZXlzPjxyZWYtdHlwZSBuYW1lPSJKb3VybmFsIEFydGljbGUiPjE3PC9yZWYtdHlwZT48Y29u
dHJpYnV0b3JzPjxhdXRob3JzPjxhdXRob3I+R3VlbGluY2t4LCBJLjwvYXV0aG9yPjxhdXRob3I+
RGV2bGllZ2VyLCBSLjwvYXV0aG9yPjxhdXRob3I+TXVsbGllLCBQLjwvYXV0aG9yPjxhdXRob3I+
VmFuc2FudCwgRy48L2F1dGhvcj48L2F1dGhvcnM+PC9jb250cmlidXRvcnM+PGF1dGgtYWRkcmVz
cz5EZXBhcnRtZW50IG9mIE51dHJpdGlvbi1QdWJsaWMgSGVhbHRoIE1lZGljaW5lLCBMRm9SQ2Us
IENhdGhvbGljIFVuaXZlcnNpdHkgTGV1dmVuLCBMZXV2ZW4sIEJlbGdpdW0uIGlzYWJlbGxlLmd1
ZWxpbmNreEBtZWQua3VsZXV2ZW4uYmU8L2F1dGgtYWRkcmVzcz48dGl0bGVzPjx0aXRsZT5FZmZl
Y3Qgb2YgbGlmZXN0eWxlIGludGVydmVudGlvbiBvbiBkaWV0YXJ5IGhhYml0cywgcGh5c2ljYWwg
YWN0aXZpdHksIGFuZCBnZXN0YXRpb25hbCB3ZWlnaHQgZ2FpbiBpbiBvYmVzZSBwcmVnbmFudCB3
b21lbjogYSByYW5kb21pemVkIGNvbnRyb2xsZWQgdHJpYWw8L3RpdGxlPjxzZWNvbmRhcnktdGl0
bGU+QW0gSiBDbGluIE51dHI8L3NlY29uZGFyeS10aXRsZT48L3RpdGxlcz48cGVyaW9kaWNhbD48
ZnVsbC10aXRsZT5BbSBKIENsaW4gTnV0cjwvZnVsbC10aXRsZT48L3BlcmlvZGljYWw+PHBhZ2Vz
PjM3My04MDwvcGFnZXM+PHZvbHVtZT45MTwvdm9sdW1lPjxudW1iZXI+MjwvbnVtYmVyPjxlZGl0
aW9uPjIwMDkvMTIvMDQ8L2VkaXRpb24+PGtleXdvcmRzPjxrZXl3b3JkPkFkdWx0PC9rZXl3b3Jk
PjxrZXl3b3JkPkJlaGF2aW9yIFRoZXJhcHkvKm1ldGhvZHM8L2tleXdvcmQ+PGtleXdvcmQ+RmVl
ZGluZyBCZWhhdmlvci9waHlzaW9sb2d5PC9rZXl3b3JkPjxrZXl3b3JkPkZlbWFsZTwva2V5d29y
ZD48a2V5d29yZD5IdW1hbnM8L2tleXdvcmQ+PGtleXdvcmQ+SW5mYW50LCBOZXdib3JuPC9rZXl3
b3JkPjxrZXl3b3JkPipMaWZlIFN0eWxlPC9rZXl3b3JkPjxrZXl3b3JkPk1vdG9yIEFjdGl2aXR5
L3BoeXNpb2xvZ3k8L2tleXdvcmQ+PGtleXdvcmQ+T2Jlc2l0eS9waHlzaW9wYXRob2xvZ3kvKnRo
ZXJhcHk8L2tleXdvcmQ+PGtleXdvcmQ+UHJlZ25hbmN5PC9rZXl3b3JkPjxrZXl3b3JkPlByZWdu
YW5jeSBDb21wbGljYXRpb25zL3BoeXNpb3BhdGhvbG9neS8qdGhlcmFweTwva2V5d29yZD48a2V5
d29yZD5QcmVuYXRhbCBOdXRyaXRpb25hbCBQaHlzaW9sb2dpY2FsIFBoZW5vbWVuYTwva2V5d29y
ZD48a2V5d29yZD5XZWlnaHQgR2Fpbi8qcGh5c2lvbG9neTwva2V5d29yZD48L2tleXdvcmRzPjxk
YXRlcz48eWVhcj4yMDEwPC95ZWFyPjxwdWItZGF0ZXM+PGRhdGU+RmViPC9kYXRlPjwvcHViLWRh
dGVzPjwvZGF0ZXM+PGlzYm4+MTkzOC0zMjA3IChFbGVjdHJvbmljKSYjeEQ7MDAwMi05MTY1IChM
aW5raW5nKTwvaXNibj48YWNjZXNzaW9uLW51bT4xOTk1NTM5NzwvYWNjZXNzaW9uLW51bT48dXJs
cz48cmVsYXRlZC11cmxzPjx1cmw+aHR0cHM6Ly93d3cubmNiaS5ubG0ubmloLmdvdi9wdWJtZWQv
MTk5NTUzOTc8L3VybD48L3JlbGF0ZWQtdXJscz48L3VybHM+PGVsZWN0cm9uaWMtcmVzb3VyY2Ut
bnVtPjEwLjM5NDUvYWpjbi4yMDA5LjI4MTY2PC9lbGVjdHJvbmljLXJlc291cmNlLW51bT48L3Jl
Y29yZD48L0NpdGU+PC9FbmROb3RlPgB=
</w:fldData>
        </w:fldChar>
      </w:r>
      <w:r w:rsidR="002747EA">
        <w:instrText xml:space="preserve"> ADDIN EN.CITE </w:instrText>
      </w:r>
      <w:r w:rsidR="002747EA">
        <w:fldChar w:fldCharType="begin">
          <w:fldData xml:space="preserve">PEVuZE5vdGU+PENpdGU+PEF1dGhvcj5Cb2dhZXJ0czwvQXV0aG9yPjxZZWFyPjIwMTM8L1llYXI+
PFJlY051bT43MTM8L1JlY051bT48RGlzcGxheVRleHQ+PHN0eWxlIGZhY2U9InN1cGVyc2NyaXB0
IiBmb250PSJUcmVidWNoZXQgTVMiIHNpemU9IjkiPjUxMCw1MTE8L3N0eWxlPjwvRGlzcGxheVRl
eHQ+PHJlY29yZD48cmVjLW51bWJlcj43MTM8L3JlYy1udW1iZXI+PGZvcmVpZ24ta2V5cz48a2V5
IGFwcD0iRU4iIGRiLWlkPSJleHZhc3JmeDJkdHJhb2VzYXN4cDJzenN4YTJkZjUwMjU5MngiIHRp
bWVzdGFtcD0iMTU0MTQ2MjQ0MyI+NzEzPC9rZXk+PC9mb3JlaWduLWtleXM+PHJlZi10eXBlIG5h
bWU9IkpvdXJuYWwgQXJ0aWNsZSI+MTc8L3JlZi10eXBlPjxjb250cmlidXRvcnM+PGF1dGhvcnM+
PGF1dGhvcj5Cb2dhZXJ0cywgQS4gRi48L2F1dGhvcj48YXV0aG9yPkRldmxpZWdlciwgUi48L2F1
dGhvcj48YXV0aG9yPk51eXRzLCBFLjwvYXV0aG9yPjxhdXRob3I+V2l0dGVycywgSS48L2F1dGhv
cj48YXV0aG9yPkd5c2VsYWVycywgVy48L2F1dGhvcj48YXV0aG9yPlZhbiBkZW4gQmVyZ2gsIEIu
IFIuPC9hdXRob3I+PC9hdXRob3JzPjwvY29udHJpYnV0b3JzPjxhdXRoLWFkZHJlc3M+RGVwYXJ0
bWVudCBvZiBIZWFsdGhjYXJlIFJlc2VhcmNoLCBQSEwgVW5pdmVyc2l0eSBDb2xsZWdlLCBMaW1i
dXJnIENhdGhvbGljIFVuaXZlcnNpdHkgQ29sbGVnZSwgSGFzc2VsdCwgQmVsZ2l1bS48L2F1dGgt
YWRkcmVzcz48dGl0bGVzPjx0aXRsZT5FZmZlY3RzIG9mIGxpZmVzdHlsZSBpbnRlcnZlbnRpb24g
aW4gb2Jlc2UgcHJlZ25hbnQgd29tZW4gb24gZ2VzdGF0aW9uYWwgd2VpZ2h0IGdhaW4gYW5kIG1l
bnRhbCBoZWFsdGg6IGEgcmFuZG9taXplZCBjb250cm9sbGVkIHRyaWFsPC90aXRsZT48c2Vjb25k
YXJ5LXRpdGxlPkludCBKIE9iZXMgKExvbmQpPC9zZWNvbmRhcnktdGl0bGU+PC90aXRsZXM+PHBl
cmlvZGljYWw+PGZ1bGwtdGl0bGU+SW50IEogT2JlcyAoTG9uZCk8L2Z1bGwtdGl0bGU+PC9wZXJp
b2RpY2FsPjxwYWdlcz44MTQtMjE8L3BhZ2VzPjx2b2x1bWU+Mzc8L3ZvbHVtZT48bnVtYmVyPjY8
L251bWJlcj48ZWRpdGlvbj4yMDEyLzEwLzA0PC9lZGl0aW9uPjxrZXl3b3Jkcz48a2V5d29yZD5B
ZHVsdDwva2V5d29yZD48a2V5d29yZD5BbnhpZXR5L2VwaWRlbWlvbG9neS8qcHJldmVudGlvbiAm
YW1wOyBjb250cm9sPC9rZXl3b3JkPjxrZXl3b3JkPkJlbGdpdW0vZXBpZGVtaW9sb2d5PC9rZXl3
b3JkPjxrZXl3b3JkPkJvZHkgTWFzcyBJbmRleDwva2V5d29yZD48a2V5d29yZD5EZXByZXNzaW9u
L2VwaWRlbWlvbG9neS8qcHJldmVudGlvbiAmYW1wOyBjb250cm9sPC9rZXl3b3JkPjxrZXl3b3Jk
PkZlbWFsZTwva2V5d29yZD48a2V5d29yZD5IZWFsdGggS25vd2xlZGdlLCBBdHRpdHVkZXMsIFBy
YWN0aWNlPC9rZXl3b3JkPjxrZXl3b3JkPkh1bWFuczwva2V5d29yZD48a2V5d29yZD4qTGlmZSBT
dHlsZTwva2V5d29yZD48a2V5d29yZD5Mb25naXR1ZGluYWwgU3R1ZGllczwva2V5d29yZD48a2V5
d29yZD5Nb3RpdmF0aW9uPC9rZXl3b3JkPjxrZXl3b3JkPk9iZXNpdHkvZXBpZGVtaW9sb2d5L3By
ZXZlbnRpb24gJmFtcDsgY29udHJvbC9wc3ljaG9sb2d5Lyp0aGVyYXB5PC9rZXl3b3JkPjxrZXl3
b3JkPlBhdGllbnQgRWR1Y2F0aW9uIGFzIFRvcGljPC9rZXl3b3JkPjxrZXl3b3JkPlByZWduYW5j
eTwva2V5d29yZD48a2V5d29yZD5QcmVnbmFuY3kgQ29tcGxpY2F0aW9ucy9lcGlkZW1pb2xvZ3kv
cHJldmVudGlvbiAmYW1wOyBjb250cm9sL3BzeWNob2xvZ3kvKnRoZXJhcHk8L2tleXdvcmQ+PGtl
eXdvcmQ+UHJlbmF0YWwgQ2FyZS8qbWV0aG9kczwva2V5d29yZD48a2V5d29yZD5QcmV2YWxlbmNl
PC9rZXl3b3JkPjxrZXl3b3JkPlJpc2sgRmFjdG9yczwva2V5d29yZD48a2V5d29yZD5SaXNrIFJl
ZHVjdGlvbiBCZWhhdmlvcjwva2V5d29yZD48a2V5d29yZD5TdXJ2ZXlzIGFuZCBRdWVzdGlvbm5h
aXJlczwva2V5d29yZD48a2V5d29yZD4qV2VpZ2h0IEdhaW48L2tleXdvcmQ+PC9rZXl3b3Jkcz48
ZGF0ZXM+PHllYXI+MjAxMzwveWVhcj48cHViLWRhdGVzPjxkYXRlPkp1bjwvZGF0ZT48L3B1Yi1k
YXRlcz48L2RhdGVzPjxpc2JuPjE0NzYtNTQ5NyAoRWxlY3Ryb25pYykmI3hEOzAzMDctMDU2NSAo
TGlua2luZyk8L2lzYm4+PGFjY2Vzc2lvbi1udW0+MjMwMzI0MDQ8L2FjY2Vzc2lvbi1udW0+PHVy
bHM+PHJlbGF0ZWQtdXJscz48dXJsPmh0dHBzOi8vd3d3Lm5jYmkubmxtLm5paC5nb3YvcHVibWVk
LzIzMDMyNDA0PC91cmw+PC9yZWxhdGVkLXVybHM+PC91cmxzPjxlbGVjdHJvbmljLXJlc291cmNl
LW51bT4xMC4xMDM4L2lqby4yMDEyLjE2MjwvZWxlY3Ryb25pYy1yZXNvdXJjZS1udW0+PC9yZWNv
cmQ+PC9DaXRlPjxDaXRlPjxBdXRob3I+R3VlbGluY2t4PC9BdXRob3I+PFllYXI+MjAxMDwvWWVh
cj48UmVjTnVtPjcyMjwvUmVjTnVtPjxyZWNvcmQ+PHJlYy1udW1iZXI+NzIyPC9yZWMtbnVtYmVy
Pjxmb3JlaWduLWtleXM+PGtleSBhcHA9IkVOIiBkYi1pZD0iZXh2YXNyZngyZHRyYW9lc2FzeHAy
c3pzeGEyZGY1MDI1OTJ4IiB0aW1lc3RhbXA9IjE1NDE0NjQ3NzciPjcyMjwva2V5PjwvZm9yZWln
bi1rZXlzPjxyZWYtdHlwZSBuYW1lPSJKb3VybmFsIEFydGljbGUiPjE3PC9yZWYtdHlwZT48Y29u
dHJpYnV0b3JzPjxhdXRob3JzPjxhdXRob3I+R3VlbGluY2t4LCBJLjwvYXV0aG9yPjxhdXRob3I+
RGV2bGllZ2VyLCBSLjwvYXV0aG9yPjxhdXRob3I+TXVsbGllLCBQLjwvYXV0aG9yPjxhdXRob3I+
VmFuc2FudCwgRy48L2F1dGhvcj48L2F1dGhvcnM+PC9jb250cmlidXRvcnM+PGF1dGgtYWRkcmVz
cz5EZXBhcnRtZW50IG9mIE51dHJpdGlvbi1QdWJsaWMgSGVhbHRoIE1lZGljaW5lLCBMRm9SQ2Us
IENhdGhvbGljIFVuaXZlcnNpdHkgTGV1dmVuLCBMZXV2ZW4sIEJlbGdpdW0uIGlzYWJlbGxlLmd1
ZWxpbmNreEBtZWQua3VsZXV2ZW4uYmU8L2F1dGgtYWRkcmVzcz48dGl0bGVzPjx0aXRsZT5FZmZl
Y3Qgb2YgbGlmZXN0eWxlIGludGVydmVudGlvbiBvbiBkaWV0YXJ5IGhhYml0cywgcGh5c2ljYWwg
YWN0aXZpdHksIGFuZCBnZXN0YXRpb25hbCB3ZWlnaHQgZ2FpbiBpbiBvYmVzZSBwcmVnbmFudCB3
b21lbjogYSByYW5kb21pemVkIGNvbnRyb2xsZWQgdHJpYWw8L3RpdGxlPjxzZWNvbmRhcnktdGl0
bGU+QW0gSiBDbGluIE51dHI8L3NlY29uZGFyeS10aXRsZT48L3RpdGxlcz48cGVyaW9kaWNhbD48
ZnVsbC10aXRsZT5BbSBKIENsaW4gTnV0cjwvZnVsbC10aXRsZT48L3BlcmlvZGljYWw+PHBhZ2Vz
PjM3My04MDwvcGFnZXM+PHZvbHVtZT45MTwvdm9sdW1lPjxudW1iZXI+MjwvbnVtYmVyPjxlZGl0
aW9uPjIwMDkvMTIvMDQ8L2VkaXRpb24+PGtleXdvcmRzPjxrZXl3b3JkPkFkdWx0PC9rZXl3b3Jk
PjxrZXl3b3JkPkJlaGF2aW9yIFRoZXJhcHkvKm1ldGhvZHM8L2tleXdvcmQ+PGtleXdvcmQ+RmVl
ZGluZyBCZWhhdmlvci9waHlzaW9sb2d5PC9rZXl3b3JkPjxrZXl3b3JkPkZlbWFsZTwva2V5d29y
ZD48a2V5d29yZD5IdW1hbnM8L2tleXdvcmQ+PGtleXdvcmQ+SW5mYW50LCBOZXdib3JuPC9rZXl3
b3JkPjxrZXl3b3JkPipMaWZlIFN0eWxlPC9rZXl3b3JkPjxrZXl3b3JkPk1vdG9yIEFjdGl2aXR5
L3BoeXNpb2xvZ3k8L2tleXdvcmQ+PGtleXdvcmQ+T2Jlc2l0eS9waHlzaW9wYXRob2xvZ3kvKnRo
ZXJhcHk8L2tleXdvcmQ+PGtleXdvcmQ+UHJlZ25hbmN5PC9rZXl3b3JkPjxrZXl3b3JkPlByZWdu
YW5jeSBDb21wbGljYXRpb25zL3BoeXNpb3BhdGhvbG9neS8qdGhlcmFweTwva2V5d29yZD48a2V5
d29yZD5QcmVuYXRhbCBOdXRyaXRpb25hbCBQaHlzaW9sb2dpY2FsIFBoZW5vbWVuYTwva2V5d29y
ZD48a2V5d29yZD5XZWlnaHQgR2Fpbi8qcGh5c2lvbG9neTwva2V5d29yZD48L2tleXdvcmRzPjxk
YXRlcz48eWVhcj4yMDEwPC95ZWFyPjxwdWItZGF0ZXM+PGRhdGU+RmViPC9kYXRlPjwvcHViLWRh
dGVzPjwvZGF0ZXM+PGlzYm4+MTkzOC0zMjA3IChFbGVjdHJvbmljKSYjeEQ7MDAwMi05MTY1IChM
aW5raW5nKTwvaXNibj48YWNjZXNzaW9uLW51bT4xOTk1NTM5NzwvYWNjZXNzaW9uLW51bT48dXJs
cz48cmVsYXRlZC11cmxzPjx1cmw+aHR0cHM6Ly93d3cubmNiaS5ubG0ubmloLmdvdi9wdWJtZWQv
MTk5NTUzOTc8L3VybD48L3JlbGF0ZWQtdXJscz48L3VybHM+PGVsZWN0cm9uaWMtcmVzb3VyY2Ut
bnVtPjEwLjM5NDUvYWpjbi4yMDA5LjI4MTY2PC9lbGVjdHJvbmljLXJlc291cmNlLW51bT48L3Jl
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510,511</w:t>
      </w:r>
      <w:r>
        <w:fldChar w:fldCharType="end"/>
      </w:r>
      <w:r>
        <w:t xml:space="preserve"> </w:t>
      </w:r>
      <w:r w:rsidRPr="00C12274">
        <w:t>Canada (n=</w:t>
      </w:r>
      <w:r w:rsidR="00973D70">
        <w:t>3</w:t>
      </w:r>
      <w:r w:rsidRPr="00C12274">
        <w:t>)</w:t>
      </w:r>
      <w:r>
        <w:t>,</w:t>
      </w:r>
      <w:r>
        <w:fldChar w:fldCharType="begin">
          <w:fldData xml:space="preserve">PEVuZE5vdGU+PENpdGU+PEF1dGhvcj5IdWk8L0F1dGhvcj48WWVhcj4yMDEyPC9ZZWFyPjxSZWNO
dW0+NzQ2PC9SZWNOdW0+PERpc3BsYXlUZXh0PjxzdHlsZSBmYWNlPSJzdXBlcnNjcmlwdCIgZm9u
dD0iVHJlYnVjaGV0IE1TIiBzaXplPSI5Ij40ODIsNDkwLDQ5MTwvc3R5bGU+PC9EaXNwbGF5VGV4
dD48cmVjb3JkPjxyZWMtbnVtYmVyPjc0NjwvcmVjLW51bWJlcj48Zm9yZWlnbi1rZXlzPjxrZXkg
YXBwPSJFTiIgZGItaWQ9ImV4dmFzcmZ4MmR0cmFvZXNhc3hwMnN6c3hhMmRmNTAyNTkyeCIgdGlt
ZXN0YW1wPSIxNTQxNDY3ODk0Ij43NDY8L2tleT48a2V5IGFwcD0iRU5XZWIiIGRiLWlkPSIiPjA8
L2tleT48L2ZvcmVpZ24ta2V5cz48cmVmLXR5cGUgbmFtZT0iSm91cm5hbCBBcnRpY2xlIj4xNzwv
cmVmLXR5cGU+PGNvbnRyaWJ1dG9ycz48YXV0aG9ycz48YXV0aG9yPkh1aSwgQS48L2F1dGhvcj48
YXV0aG9yPkJhY2ssIEwuPC9hdXRob3I+PGF1dGhvcj5MdWR3aWcsIFMuPC9hdXRob3I+PGF1dGhv
cj5HYXJkaW5lciwgUC48L2F1dGhvcj48YXV0aG9yPlNldmVuaHV5c2VuLCBHLjwvYXV0aG9yPjxh
dXRob3I+RGVhbiwgSC48L2F1dGhvcj48YXV0aG9yPlNlbGxlcnMsIEUuPC9hdXRob3I+PGF1dGhv
cj5NY0dhdm9jaywgSi48L2F1dGhvcj48YXV0aG9yPk1vcnJpcywgTS48L2F1dGhvcj48YXV0aG9y
PkJydWNlLCBTLjwvYXV0aG9yPjxhdXRob3I+TXVycmF5LCBSLjwvYXV0aG9yPjxhdXRob3I+U2hl
biwgRy4gWC48L2F1dGhvcj48L2F1dGhvcnM+PC9jb250cmlidXRvcnM+PGF1dGgtYWRkcmVzcz5E
ZXBhcnRtZW50IG9mIEludGVybmFsIE1lZGljaW5lLCBVbml2ZXJzaXR5IG9mIE1hbml0b2JhLCBX
aW5uaXBlZywgTWFuaXRvYmEsIENhbmFkYS48L2F1dGgtYWRkcmVzcz48dGl0bGVzPjx0aXRsZT5M
aWZlc3R5bGUgaW50ZXJ2ZW50aW9uIG9uIGRpZXQgYW5kIGV4ZXJjaXNlIHJlZHVjZWQgZXhjZXNz
aXZlIGdlc3RhdGlvbmFsIHdlaWdodCBnYWluIGluIHByZWduYW50IHdvbWVuIHVuZGVyIGEgcmFu
ZG9taXNlZCBjb250cm9sbGVkIHRyaWFsPC90aXRsZT48c2Vjb25kYXJ5LXRpdGxlPkJKT0c8L3Nl
Y29uZGFyeS10aXRsZT48L3RpdGxlcz48cGVyaW9kaWNhbD48ZnVsbC10aXRsZT5CSk9HPC9mdWxs
LXRpdGxlPjwvcGVyaW9kaWNhbD48cGFnZXM+NzAtNzwvcGFnZXM+PHZvbHVtZT4xMTk8L3ZvbHVt
ZT48bnVtYmVyPjE8L251bWJlcj48ZWRpdGlvbj4yMDExLzEwLzI1PC9lZGl0aW9uPjxrZXl3b3Jk
cz48a2V5d29yZD5BZHVsdDwva2V5d29yZD48a2V5d29yZD5Db3Vuc2VsaW5nPC9rZXl3b3JkPjxr
ZXl3b3JkPipEaWV0PC9rZXl3b3JkPjxrZXl3b3JkPkVuZXJneSBJbnRha2U8L2tleXdvcmQ+PGtl
eXdvcmQ+RXhlcmNpc2UgVGhlcmFweS8qbWV0aG9kczwva2V5d29yZD48a2V5d29yZD5GZW1hbGU8
L2tleXdvcmQ+PGtleXdvcmQ+SHVtYW5zPC9rZXl3b3JkPjxrZXl3b3JkPipMaWZlIFN0eWxlPC9r
ZXl3b3JkPjxrZXl3b3JkPlBhdGllbnQgRWR1Y2F0aW9uIGFzIFRvcGljPC9rZXl3b3JkPjxrZXl3
b3JkPlByZWduYW5jeTwva2V5d29yZD48a2V5d29yZD5QcmVnbmFuY3kgQ29tcGxpY2F0aW9ucy8q
cHJldmVudGlvbiAmYW1wOyBjb250cm9sPC9rZXl3b3JkPjxrZXl3b3JkPlByZWduYW5jeSBPdXRj
b21lPC9rZXl3b3JkPjxrZXl3b3JkPlByZW5hdGFsIENhcmUvKm1ldGhvZHM8L2tleXdvcmQ+PGtl
eXdvcmQ+VXJiYW4gSGVhbHRoPC9rZXl3b3JkPjxrZXl3b3JkPldlaWdodCBHYWluLypwaHlzaW9s
b2d5PC9rZXl3b3JkPjxrZXl3b3JkPllvdW5nIEFkdWx0PC9rZXl3b3JkPjwva2V5d29yZHM+PGRh
dGVzPjx5ZWFyPjIwMTI8L3llYXI+PHB1Yi1kYXRlcz48ZGF0ZT5KYW48L2RhdGU+PC9wdWItZGF0
ZXM+PC9kYXRlcz48aXNibj4xNDcxLTA1MjggKEVsZWN0cm9uaWMpJiN4RDsxNDcwLTAzMjggKExp
bmtpbmcpPC9pc2JuPjxhY2Nlc3Npb24tbnVtPjIyMDE3OTY3PC9hY2Nlc3Npb24tbnVtPjx1cmxz
PjxyZWxhdGVkLXVybHM+PHVybD5odHRwczovL3d3dy5uY2JpLm5sbS5uaWguZ292L3B1Ym1lZC8y
MjAxNzk2NzwvdXJsPjwvcmVsYXRlZC11cmxzPjwvdXJscz48ZWxlY3Ryb25pYy1yZXNvdXJjZS1u
dW0+MTAuMTExMS9qLjE0NzEtMDUyOC4yMDExLjAzMTg0Lng8L2VsZWN0cm9uaWMtcmVzb3VyY2Ut
bnVtPjwvcmVjb3JkPjwvQ2l0ZT48Q2l0ZT48QXV0aG9yPkh1aTwvQXV0aG9yPjxZZWFyPjIwMTQ8
L1llYXI+PFJlY051bT43NjM8L1JlY051bT48cmVjb3JkPjxyZWMtbnVtYmVyPjc2MzwvcmVjLW51
bWJlcj48Zm9yZWlnbi1rZXlzPjxrZXkgYXBwPSJFTiIgZGItaWQ9ImV4dmFzcmZ4MmR0cmFvZXNh
c3hwMnN6c3hhMmRmNTAyNTkyeCIgdGltZXN0YW1wPSIxNTQxNDY4NDQ2Ij43NjM8L2tleT48L2Zv
cmVpZ24ta2V5cz48cmVmLXR5cGUgbmFtZT0iSm91cm5hbCBBcnRpY2xlIj4xNzwvcmVmLXR5cGU+
PGNvbnRyaWJ1dG9ycz48YXV0aG9ycz48YXV0aG9yPkh1aSwgQS4gTC48L2F1dGhvcj48YXV0aG9y
PkJhY2ssIEwuPC9hdXRob3I+PGF1dGhvcj5MdWR3aWcsIFMuPC9hdXRob3I+PGF1dGhvcj5HYXJk
aW5lciwgUC48L2F1dGhvcj48YXV0aG9yPlNldmVuaHV5c2VuLCBHLjwvYXV0aG9yPjxhdXRob3I+
RGVhbiwgSC4gSi48L2F1dGhvcj48YXV0aG9yPlNlbGxlcnMsIEUuPC9hdXRob3I+PGF1dGhvcj5N
Y0dhdm9jaywgSi48L2F1dGhvcj48YXV0aG9yPk1vcnJpcywgTS48L2F1dGhvcj48YXV0aG9yPkpp
YW5nLCBELjwvYXV0aG9yPjxhdXRob3I+U2hlbiwgRy4gWC48L2F1dGhvcj48L2F1dGhvcnM+PC9j
b250cmlidXRvcnM+PGF1dGgtYWRkcmVzcz5EZXBhcnRtZW50cyBvZiBJbnRlcm5hbCBNZWRpY2lu
ZSwgVW5pdmVyc2l0eSBvZiBNYW5pdG9iYSwgUm9vbSA4MDFELCA3MTUgTWNEZXJtb3QgQXZlLCwg
V2lubmlwZWcsIE1CIFIzRSAzUDQsIENhbmFkYS4gQW15Lkh1aUBtZWQudW1hbml0b2JhLmNhLjwv
YXV0aC1hZGRyZXNzPjx0aXRsZXM+PHRpdGxlPkVmZmVjdHMgb2YgbGlmZXN0eWxlIGludGVydmVu
dGlvbiBvbiBkaWV0YXJ5IGludGFrZSwgcGh5c2ljYWwgYWN0aXZpdHkgbGV2ZWwsIGFuZCBnZXN0
YXRpb25hbCB3ZWlnaHQgZ2FpbiBpbiBwcmVnbmFudCB3b21lbiB3aXRoIGRpZmZlcmVudCBwcmUt
cHJlZ25hbmN5IEJvZHkgTWFzcyBJbmRleCBpbiBhIHJhbmRvbWl6ZWQgY29udHJvbCB0cmlhbDwv
dGl0bGU+PHNlY29uZGFyeS10aXRsZT5CTUMgUHJlZ25hbmN5IENoaWxkYmlydGg8L3NlY29uZGFy
eS10aXRsZT48L3RpdGxlcz48cGVyaW9kaWNhbD48ZnVsbC10aXRsZT5CTUMgUHJlZ25hbmN5IENo
aWxkYmlydGg8L2Z1bGwtdGl0bGU+PC9wZXJpb2RpY2FsPjxwYWdlcz4zMzE8L3BhZ2VzPjx2b2x1
bWU+MTQ8L3ZvbHVtZT48ZWRpdGlvbj4yMDE0LzA5LzI1PC9lZGl0aW9uPjxrZXl3b3Jkcz48a2V5
d29yZD5BZHVsdDwva2V5d29yZD48a2V5d29yZD4qQm9keSBNYXNzIEluZGV4PC9rZXl3b3JkPjxr
ZXl3b3JkPkNvdW5zZWxpbmc8L2tleXdvcmQ+PGtleXdvcmQ+KkRpZXQ8L2tleXdvcmQ+PGtleXdv
cmQ+RW5lcmd5IEludGFrZTwva2V5d29yZD48a2V5d29yZD5FeGVyY2lzZSBUaGVyYXB5LyptZXRo
b2RzPC9rZXl3b3JkPjxrZXl3b3JkPkZlbWFsZTwva2V5d29yZD48a2V5d29yZD5Gb2xsb3ctVXAg
U3R1ZGllczwva2V5d29yZD48a2V5d29yZD5HZXN0YXRpb25hbCBBZ2U8L2tleXdvcmQ+PGtleXdv
cmQ+SHVtYW5zPC9rZXl3b3JkPjxrZXl3b3JkPipMaWZlIFN0eWxlPC9rZXl3b3JkPjxrZXl3b3Jk
Pk9iZXNpdHkvcHJldmVudGlvbiAmYW1wOyBjb250cm9sLyp0aGVyYXB5PC9rZXl3b3JkPjxrZXl3
b3JkPlBhdGllbnQgQ29tcGxpYW5jZS9zdGF0aXN0aWNzICZhbXA7IG51bWVyaWNhbCBkYXRhPC9r
ZXl3b3JkPjxrZXl3b3JkPlBhdGllbnQgRWR1Y2F0aW9uIGFzIFRvcGljPC9rZXl3b3JkPjxrZXl3
b3JkPlByZWduYW5jeTwva2V5d29yZD48a2V5d29yZD5QcmVnbmFuY3kgT3V0Y29tZTwva2V5d29y
ZD48a2V5d29yZD5QcmVuYXRhbCBDYXJlL21ldGhvZHM8L2tleXdvcmQ+PGtleXdvcmQ+KldlaWdo
dCBHYWluPC9rZXl3b3JkPjxrZXl3b3JkPllvdW5nIEFkdWx0PC9rZXl3b3JkPjwva2V5d29yZHM+
PGRhdGVzPjx5ZWFyPjIwMTQ8L3llYXI+PHB1Yi1kYXRlcz48ZGF0ZT5TZXAgMjQ8L2RhdGU+PC9w
dWItZGF0ZXM+PC9kYXRlcz48aXNibj4xNDcxLTIzOTMgKEVsZWN0cm9uaWMpJiN4RDsxNDcxLTIz
OTMgKExpbmtpbmcpPC9pc2JuPjxhY2Nlc3Npb24tbnVtPjI1MjQ4Nzk3PC9hY2Nlc3Npb24tbnVt
Pjx1cmxzPjxyZWxhdGVkLXVybHM+PHVybD5odHRwczovL3d3dy5uY2JpLm5sbS5uaWguZ292L3B1
Ym1lZC8yNTI0ODc5NzwvdXJsPjwvcmVsYXRlZC11cmxzPjwvdXJscz48Y3VzdG9tMj5QTUM0Mjg3
NDcwPC9jdXN0b20yPjxlbGVjdHJvbmljLXJlc291cmNlLW51bT4xMC4xMTg2LzE0NzEtMjM5My0x
NC0zMzE8L2VsZWN0cm9uaWMtcmVzb3VyY2UtbnVtPjwvcmVjb3JkPjwvQ2l0ZT48Q2l0ZT48QXV0
aG9yPlJ1Y2hhdDwvQXV0aG9yPjxZZWFyPjIwMTI8L1llYXI+PFJlY051bT43NTY8L1JlY051bT48
cmVjb3JkPjxyZWMtbnVtYmVyPjc1NjwvcmVjLW51bWJlcj48Zm9yZWlnbi1rZXlzPjxrZXkgYXBw
PSJFTiIgZGItaWQ9ImV4dmFzcmZ4MmR0cmFvZXNhc3hwMnN6c3hhMmRmNTAyNTkyeCIgdGltZXN0
YW1wPSIxNTQxNDY3OTY1Ij43NTY8L2tleT48a2V5IGFwcD0iRU5XZWIiIGRiLWlkPSIiPjA8L2tl
eT48L2ZvcmVpZ24ta2V5cz48cmVmLXR5cGUgbmFtZT0iSm91cm5hbCBBcnRpY2xlIj4xNzwvcmVm
LXR5cGU+PGNvbnRyaWJ1dG9ycz48YXV0aG9ycz48YXV0aG9yPlJ1Y2hhdCwgUy1NLiw8L2F1dGhv
cj48YXV0aG9yPkRhdmVucG9ydCwgTS5ILiw8L2F1dGhvcj48YXV0aG9yPkdpcm91eCwgSS4sPC9h
dXRob3I+PGF1dGhvcj5IaWxsaWVyLCBNLiw8L2F1dGhvcj48YXV0aG9yPkJhdGFkYSwgQS4sPC9h
dXRob3I+PGF1dGhvcj5Tb3BwZXIsIE0uTS4sPC9hdXRob3I+PGF1dGhvcj5IYW1tb25kLCBKLk0u
Uy4sPC9hdXRob3I+PGF1dGhvcj5Nb3R0b2xhLCBNLkYuLDwvYXV0aG9yPjwvYXV0aG9ycz48L2Nv
bnRyaWJ1dG9ycz48dGl0bGVzPjx0aXRsZT5OdXRyaXRpb24gYW5kIGV4ZXJjaXNlIHJlZHVjZSBl
eGNlc3NpdmUgd2VpZ2h0IGdhaW4gaW4gbm9ybWFsLXdlaWdodCBwcmVnbmFudCB3b21lbjwvdGl0
bGU+PHNlY29uZGFyeS10aXRsZT5NZWRpY2luZSAmYW1wOyBTY2llbmNlIGluIFNwb3J0cyAmYW1w
OyBFeGVyY2lzZTwvc2Vjb25kYXJ5LXRpdGxlPjwvdGl0bGVzPjxwZXJpb2RpY2FsPjxmdWxsLXRp
dGxlPk1lZGljaW5lICZhbXA7IFNjaWVuY2UgaW4gU3BvcnRzICZhbXA7IEV4ZXJjaXNlPC9mdWxs
LXRpdGxlPjwvcGVyaW9kaWNhbD48cGFnZXM+MTQxOS0xNDI2PC9wYWdlcz48dm9sdW1lPjQ0PC92
b2x1bWU+PG51bWJlcj44PC9udW1iZXI+PHNlY3Rpb24+MTQxOTwvc2VjdGlvbj48ZGF0ZXM+PHll
YXI+MjAxMjwveWVhcj48L2RhdGVzPjxpc2JuPjAxOTUtOTEzMTwvaXNibj48dXJscz48L3VybHM+
PGVsZWN0cm9uaWMtcmVzb3VyY2UtbnVtPjEwLjEyNDkvTVNTLjBiMDEzZTMxODI1MzY1ZjE8L2Vs
ZWN0cm9uaWMtcmVzb3VyY2UtbnVtPjwvcmVjb3JkPjwvQ2l0ZT48L0VuZE5vdGU+
</w:fldData>
        </w:fldChar>
      </w:r>
      <w:r w:rsidR="002747EA">
        <w:instrText xml:space="preserve"> ADDIN EN.CITE </w:instrText>
      </w:r>
      <w:r w:rsidR="002747EA">
        <w:fldChar w:fldCharType="begin">
          <w:fldData xml:space="preserve">PEVuZE5vdGU+PENpdGU+PEF1dGhvcj5IdWk8L0F1dGhvcj48WWVhcj4yMDEyPC9ZZWFyPjxSZWNO
dW0+NzQ2PC9SZWNOdW0+PERpc3BsYXlUZXh0PjxzdHlsZSBmYWNlPSJzdXBlcnNjcmlwdCIgZm9u
dD0iVHJlYnVjaGV0IE1TIiBzaXplPSI5Ij40ODIsNDkwLDQ5MTwvc3R5bGU+PC9EaXNwbGF5VGV4
dD48cmVjb3JkPjxyZWMtbnVtYmVyPjc0NjwvcmVjLW51bWJlcj48Zm9yZWlnbi1rZXlzPjxrZXkg
YXBwPSJFTiIgZGItaWQ9ImV4dmFzcmZ4MmR0cmFvZXNhc3hwMnN6c3hhMmRmNTAyNTkyeCIgdGlt
ZXN0YW1wPSIxNTQxNDY3ODk0Ij43NDY8L2tleT48a2V5IGFwcD0iRU5XZWIiIGRiLWlkPSIiPjA8
L2tleT48L2ZvcmVpZ24ta2V5cz48cmVmLXR5cGUgbmFtZT0iSm91cm5hbCBBcnRpY2xlIj4xNzwv
cmVmLXR5cGU+PGNvbnRyaWJ1dG9ycz48YXV0aG9ycz48YXV0aG9yPkh1aSwgQS48L2F1dGhvcj48
YXV0aG9yPkJhY2ssIEwuPC9hdXRob3I+PGF1dGhvcj5MdWR3aWcsIFMuPC9hdXRob3I+PGF1dGhv
cj5HYXJkaW5lciwgUC48L2F1dGhvcj48YXV0aG9yPlNldmVuaHV5c2VuLCBHLjwvYXV0aG9yPjxh
dXRob3I+RGVhbiwgSC48L2F1dGhvcj48YXV0aG9yPlNlbGxlcnMsIEUuPC9hdXRob3I+PGF1dGhv
cj5NY0dhdm9jaywgSi48L2F1dGhvcj48YXV0aG9yPk1vcnJpcywgTS48L2F1dGhvcj48YXV0aG9y
PkJydWNlLCBTLjwvYXV0aG9yPjxhdXRob3I+TXVycmF5LCBSLjwvYXV0aG9yPjxhdXRob3I+U2hl
biwgRy4gWC48L2F1dGhvcj48L2F1dGhvcnM+PC9jb250cmlidXRvcnM+PGF1dGgtYWRkcmVzcz5E
ZXBhcnRtZW50IG9mIEludGVybmFsIE1lZGljaW5lLCBVbml2ZXJzaXR5IG9mIE1hbml0b2JhLCBX
aW5uaXBlZywgTWFuaXRvYmEsIENhbmFkYS48L2F1dGgtYWRkcmVzcz48dGl0bGVzPjx0aXRsZT5M
aWZlc3R5bGUgaW50ZXJ2ZW50aW9uIG9uIGRpZXQgYW5kIGV4ZXJjaXNlIHJlZHVjZWQgZXhjZXNz
aXZlIGdlc3RhdGlvbmFsIHdlaWdodCBnYWluIGluIHByZWduYW50IHdvbWVuIHVuZGVyIGEgcmFu
ZG9taXNlZCBjb250cm9sbGVkIHRyaWFsPC90aXRsZT48c2Vjb25kYXJ5LXRpdGxlPkJKT0c8L3Nl
Y29uZGFyeS10aXRsZT48L3RpdGxlcz48cGVyaW9kaWNhbD48ZnVsbC10aXRsZT5CSk9HPC9mdWxs
LXRpdGxlPjwvcGVyaW9kaWNhbD48cGFnZXM+NzAtNzwvcGFnZXM+PHZvbHVtZT4xMTk8L3ZvbHVt
ZT48bnVtYmVyPjE8L251bWJlcj48ZWRpdGlvbj4yMDExLzEwLzI1PC9lZGl0aW9uPjxrZXl3b3Jk
cz48a2V5d29yZD5BZHVsdDwva2V5d29yZD48a2V5d29yZD5Db3Vuc2VsaW5nPC9rZXl3b3JkPjxr
ZXl3b3JkPipEaWV0PC9rZXl3b3JkPjxrZXl3b3JkPkVuZXJneSBJbnRha2U8L2tleXdvcmQ+PGtl
eXdvcmQ+RXhlcmNpc2UgVGhlcmFweS8qbWV0aG9kczwva2V5d29yZD48a2V5d29yZD5GZW1hbGU8
L2tleXdvcmQ+PGtleXdvcmQ+SHVtYW5zPC9rZXl3b3JkPjxrZXl3b3JkPipMaWZlIFN0eWxlPC9r
ZXl3b3JkPjxrZXl3b3JkPlBhdGllbnQgRWR1Y2F0aW9uIGFzIFRvcGljPC9rZXl3b3JkPjxrZXl3
b3JkPlByZWduYW5jeTwva2V5d29yZD48a2V5d29yZD5QcmVnbmFuY3kgQ29tcGxpY2F0aW9ucy8q
cHJldmVudGlvbiAmYW1wOyBjb250cm9sPC9rZXl3b3JkPjxrZXl3b3JkPlByZWduYW5jeSBPdXRj
b21lPC9rZXl3b3JkPjxrZXl3b3JkPlByZW5hdGFsIENhcmUvKm1ldGhvZHM8L2tleXdvcmQ+PGtl
eXdvcmQ+VXJiYW4gSGVhbHRoPC9rZXl3b3JkPjxrZXl3b3JkPldlaWdodCBHYWluLypwaHlzaW9s
b2d5PC9rZXl3b3JkPjxrZXl3b3JkPllvdW5nIEFkdWx0PC9rZXl3b3JkPjwva2V5d29yZHM+PGRh
dGVzPjx5ZWFyPjIwMTI8L3llYXI+PHB1Yi1kYXRlcz48ZGF0ZT5KYW48L2RhdGU+PC9wdWItZGF0
ZXM+PC9kYXRlcz48aXNibj4xNDcxLTA1MjggKEVsZWN0cm9uaWMpJiN4RDsxNDcwLTAzMjggKExp
bmtpbmcpPC9pc2JuPjxhY2Nlc3Npb24tbnVtPjIyMDE3OTY3PC9hY2Nlc3Npb24tbnVtPjx1cmxz
PjxyZWxhdGVkLXVybHM+PHVybD5odHRwczovL3d3dy5uY2JpLm5sbS5uaWguZ292L3B1Ym1lZC8y
MjAxNzk2NzwvdXJsPjwvcmVsYXRlZC11cmxzPjwvdXJscz48ZWxlY3Ryb25pYy1yZXNvdXJjZS1u
dW0+MTAuMTExMS9qLjE0NzEtMDUyOC4yMDExLjAzMTg0Lng8L2VsZWN0cm9uaWMtcmVzb3VyY2Ut
bnVtPjwvcmVjb3JkPjwvQ2l0ZT48Q2l0ZT48QXV0aG9yPkh1aTwvQXV0aG9yPjxZZWFyPjIwMTQ8
L1llYXI+PFJlY051bT43NjM8L1JlY051bT48cmVjb3JkPjxyZWMtbnVtYmVyPjc2MzwvcmVjLW51
bWJlcj48Zm9yZWlnbi1rZXlzPjxrZXkgYXBwPSJFTiIgZGItaWQ9ImV4dmFzcmZ4MmR0cmFvZXNh
c3hwMnN6c3hhMmRmNTAyNTkyeCIgdGltZXN0YW1wPSIxNTQxNDY4NDQ2Ij43NjM8L2tleT48L2Zv
cmVpZ24ta2V5cz48cmVmLXR5cGUgbmFtZT0iSm91cm5hbCBBcnRpY2xlIj4xNzwvcmVmLXR5cGU+
PGNvbnRyaWJ1dG9ycz48YXV0aG9ycz48YXV0aG9yPkh1aSwgQS4gTC48L2F1dGhvcj48YXV0aG9y
PkJhY2ssIEwuPC9hdXRob3I+PGF1dGhvcj5MdWR3aWcsIFMuPC9hdXRob3I+PGF1dGhvcj5HYXJk
aW5lciwgUC48L2F1dGhvcj48YXV0aG9yPlNldmVuaHV5c2VuLCBHLjwvYXV0aG9yPjxhdXRob3I+
RGVhbiwgSC4gSi48L2F1dGhvcj48YXV0aG9yPlNlbGxlcnMsIEUuPC9hdXRob3I+PGF1dGhvcj5N
Y0dhdm9jaywgSi48L2F1dGhvcj48YXV0aG9yPk1vcnJpcywgTS48L2F1dGhvcj48YXV0aG9yPkpp
YW5nLCBELjwvYXV0aG9yPjxhdXRob3I+U2hlbiwgRy4gWC48L2F1dGhvcj48L2F1dGhvcnM+PC9j
b250cmlidXRvcnM+PGF1dGgtYWRkcmVzcz5EZXBhcnRtZW50cyBvZiBJbnRlcm5hbCBNZWRpY2lu
ZSwgVW5pdmVyc2l0eSBvZiBNYW5pdG9iYSwgUm9vbSA4MDFELCA3MTUgTWNEZXJtb3QgQXZlLCwg
V2lubmlwZWcsIE1CIFIzRSAzUDQsIENhbmFkYS4gQW15Lkh1aUBtZWQudW1hbml0b2JhLmNhLjwv
YXV0aC1hZGRyZXNzPjx0aXRsZXM+PHRpdGxlPkVmZmVjdHMgb2YgbGlmZXN0eWxlIGludGVydmVu
dGlvbiBvbiBkaWV0YXJ5IGludGFrZSwgcGh5c2ljYWwgYWN0aXZpdHkgbGV2ZWwsIGFuZCBnZXN0
YXRpb25hbCB3ZWlnaHQgZ2FpbiBpbiBwcmVnbmFudCB3b21lbiB3aXRoIGRpZmZlcmVudCBwcmUt
cHJlZ25hbmN5IEJvZHkgTWFzcyBJbmRleCBpbiBhIHJhbmRvbWl6ZWQgY29udHJvbCB0cmlhbDwv
dGl0bGU+PHNlY29uZGFyeS10aXRsZT5CTUMgUHJlZ25hbmN5IENoaWxkYmlydGg8L3NlY29uZGFy
eS10aXRsZT48L3RpdGxlcz48cGVyaW9kaWNhbD48ZnVsbC10aXRsZT5CTUMgUHJlZ25hbmN5IENo
aWxkYmlydGg8L2Z1bGwtdGl0bGU+PC9wZXJpb2RpY2FsPjxwYWdlcz4zMzE8L3BhZ2VzPjx2b2x1
bWU+MTQ8L3ZvbHVtZT48ZWRpdGlvbj4yMDE0LzA5LzI1PC9lZGl0aW9uPjxrZXl3b3Jkcz48a2V5
d29yZD5BZHVsdDwva2V5d29yZD48a2V5d29yZD4qQm9keSBNYXNzIEluZGV4PC9rZXl3b3JkPjxr
ZXl3b3JkPkNvdW5zZWxpbmc8L2tleXdvcmQ+PGtleXdvcmQ+KkRpZXQ8L2tleXdvcmQ+PGtleXdv
cmQ+RW5lcmd5IEludGFrZTwva2V5d29yZD48a2V5d29yZD5FeGVyY2lzZSBUaGVyYXB5LyptZXRo
b2RzPC9rZXl3b3JkPjxrZXl3b3JkPkZlbWFsZTwva2V5d29yZD48a2V5d29yZD5Gb2xsb3ctVXAg
U3R1ZGllczwva2V5d29yZD48a2V5d29yZD5HZXN0YXRpb25hbCBBZ2U8L2tleXdvcmQ+PGtleXdv
cmQ+SHVtYW5zPC9rZXl3b3JkPjxrZXl3b3JkPipMaWZlIFN0eWxlPC9rZXl3b3JkPjxrZXl3b3Jk
Pk9iZXNpdHkvcHJldmVudGlvbiAmYW1wOyBjb250cm9sLyp0aGVyYXB5PC9rZXl3b3JkPjxrZXl3
b3JkPlBhdGllbnQgQ29tcGxpYW5jZS9zdGF0aXN0aWNzICZhbXA7IG51bWVyaWNhbCBkYXRhPC9r
ZXl3b3JkPjxrZXl3b3JkPlBhdGllbnQgRWR1Y2F0aW9uIGFzIFRvcGljPC9rZXl3b3JkPjxrZXl3
b3JkPlByZWduYW5jeTwva2V5d29yZD48a2V5d29yZD5QcmVnbmFuY3kgT3V0Y29tZTwva2V5d29y
ZD48a2V5d29yZD5QcmVuYXRhbCBDYXJlL21ldGhvZHM8L2tleXdvcmQ+PGtleXdvcmQ+KldlaWdo
dCBHYWluPC9rZXl3b3JkPjxrZXl3b3JkPllvdW5nIEFkdWx0PC9rZXl3b3JkPjwva2V5d29yZHM+
PGRhdGVzPjx5ZWFyPjIwMTQ8L3llYXI+PHB1Yi1kYXRlcz48ZGF0ZT5TZXAgMjQ8L2RhdGU+PC9w
dWItZGF0ZXM+PC9kYXRlcz48aXNibj4xNDcxLTIzOTMgKEVsZWN0cm9uaWMpJiN4RDsxNDcxLTIz
OTMgKExpbmtpbmcpPC9pc2JuPjxhY2Nlc3Npb24tbnVtPjI1MjQ4Nzk3PC9hY2Nlc3Npb24tbnVt
Pjx1cmxzPjxyZWxhdGVkLXVybHM+PHVybD5odHRwczovL3d3dy5uY2JpLm5sbS5uaWguZ292L3B1
Ym1lZC8yNTI0ODc5NzwvdXJsPjwvcmVsYXRlZC11cmxzPjwvdXJscz48Y3VzdG9tMj5QTUM0Mjg3
NDcwPC9jdXN0b20yPjxlbGVjdHJvbmljLXJlc291cmNlLW51bT4xMC4xMTg2LzE0NzEtMjM5My0x
NC0zMzE8L2VsZWN0cm9uaWMtcmVzb3VyY2UtbnVtPjwvcmVjb3JkPjwvQ2l0ZT48Q2l0ZT48QXV0
aG9yPlJ1Y2hhdDwvQXV0aG9yPjxZZWFyPjIwMTI8L1llYXI+PFJlY051bT43NTY8L1JlY051bT48
cmVjb3JkPjxyZWMtbnVtYmVyPjc1NjwvcmVjLW51bWJlcj48Zm9yZWlnbi1rZXlzPjxrZXkgYXBw
PSJFTiIgZGItaWQ9ImV4dmFzcmZ4MmR0cmFvZXNhc3hwMnN6c3hhMmRmNTAyNTkyeCIgdGltZXN0
YW1wPSIxNTQxNDY3OTY1Ij43NTY8L2tleT48a2V5IGFwcD0iRU5XZWIiIGRiLWlkPSIiPjA8L2tl
eT48L2ZvcmVpZ24ta2V5cz48cmVmLXR5cGUgbmFtZT0iSm91cm5hbCBBcnRpY2xlIj4xNzwvcmVm
LXR5cGU+PGNvbnRyaWJ1dG9ycz48YXV0aG9ycz48YXV0aG9yPlJ1Y2hhdCwgUy1NLiw8L2F1dGhv
cj48YXV0aG9yPkRhdmVucG9ydCwgTS5ILiw8L2F1dGhvcj48YXV0aG9yPkdpcm91eCwgSS4sPC9h
dXRob3I+PGF1dGhvcj5IaWxsaWVyLCBNLiw8L2F1dGhvcj48YXV0aG9yPkJhdGFkYSwgQS4sPC9h
dXRob3I+PGF1dGhvcj5Tb3BwZXIsIE0uTS4sPC9hdXRob3I+PGF1dGhvcj5IYW1tb25kLCBKLk0u
Uy4sPC9hdXRob3I+PGF1dGhvcj5Nb3R0b2xhLCBNLkYuLDwvYXV0aG9yPjwvYXV0aG9ycz48L2Nv
bnRyaWJ1dG9ycz48dGl0bGVzPjx0aXRsZT5OdXRyaXRpb24gYW5kIGV4ZXJjaXNlIHJlZHVjZSBl
eGNlc3NpdmUgd2VpZ2h0IGdhaW4gaW4gbm9ybWFsLXdlaWdodCBwcmVnbmFudCB3b21lbjwvdGl0
bGU+PHNlY29uZGFyeS10aXRsZT5NZWRpY2luZSAmYW1wOyBTY2llbmNlIGluIFNwb3J0cyAmYW1w
OyBFeGVyY2lzZTwvc2Vjb25kYXJ5LXRpdGxlPjwvdGl0bGVzPjxwZXJpb2RpY2FsPjxmdWxsLXRp
dGxlPk1lZGljaW5lICZhbXA7IFNjaWVuY2UgaW4gU3BvcnRzICZhbXA7IEV4ZXJjaXNlPC9mdWxs
LXRpdGxlPjwvcGVyaW9kaWNhbD48cGFnZXM+MTQxOS0xNDI2PC9wYWdlcz48dm9sdW1lPjQ0PC92
b2x1bWU+PG51bWJlcj44PC9udW1iZXI+PHNlY3Rpb24+MTQxOTwvc2VjdGlvbj48ZGF0ZXM+PHll
YXI+MjAxMjwveWVhcj48L2RhdGVzPjxpc2JuPjAxOTUtOTEzMTwvaXNibj48dXJscz48L3VybHM+
PGVsZWN0cm9uaWMtcmVzb3VyY2UtbnVtPjEwLjEyNDkvTVNTLjBiMDEzZTMxODI1MzY1ZjE8L2Vs
ZWN0cm9uaWMtcmVzb3VyY2UtbnVtPjwvcmVjb3JkPjwvQ2l0ZT48L0VuZE5vdGU+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482,490,491</w:t>
      </w:r>
      <w:r>
        <w:fldChar w:fldCharType="end"/>
      </w:r>
      <w:r w:rsidRPr="00C12274">
        <w:t xml:space="preserve"> China (n=</w:t>
      </w:r>
      <w:r>
        <w:t>2,</w:t>
      </w:r>
      <w:r>
        <w:fldChar w:fldCharType="begin">
          <w:fldData xml:space="preserve">PEVuZE5vdGU+PENpdGU+PEF1dGhvcj5KaW5nPC9BdXRob3I+PFllYXI+MjAxNTwvWWVhcj48UmVj
TnVtPjYwOTwvUmVjTnVtPjxEaXNwbGF5VGV4dD48c3R5bGUgZmFjZT0ic3VwZXJzY3JpcHQiIGZv
bnQ9IlRyZWJ1Y2hldCBNUyIgc2l6ZT0iOSI+NDkyLDUxNzwvc3R5bGU+PC9EaXNwbGF5VGV4dD48
cmVjb3JkPjxyZWMtbnVtYmVyPjYwOTwvcmVjLW51bWJlcj48Zm9yZWlnbi1rZXlzPjxrZXkgYXBw
PSJFTiIgZGItaWQ9ImV4dmFzcmZ4MmR0cmFvZXNhc3hwMnN6c3hhMmRmNTAyNTkyeCIgdGltZXN0
YW1wPSIxNTM5MDQ4MzM5Ij42MDk8L2tleT48a2V5IGFwcD0iRU5XZWIiIGRiLWlkPSIiPjA8L2tl
eT48L2ZvcmVpZ24ta2V5cz48cmVmLXR5cGUgbmFtZT0iSm91cm5hbCBBcnRpY2xlIj4xNzwvcmVm
LXR5cGU+PGNvbnRyaWJ1dG9ycz48YXV0aG9ycz48YXV0aG9yPkppbmcsIFcuPC9hdXRob3I+PGF1
dGhvcj5IdWFuZywgWS48L2F1dGhvcj48YXV0aG9yPkxpdSwgWC48L2F1dGhvcj48YXV0aG9yPkx1
bywgQi48L2F1dGhvcj48YXV0aG9yPllhbmcsIFkuPC9hdXRob3I+PGF1dGhvcj5MaWFvLCBTLjwv
YXV0aG9yPjwvYXV0aG9ycz48L2NvbnRyaWJ1dG9ycz48YXV0aC1hZGRyZXNzPkRlcGFydG1lbnQg
b2YgT2JzdGV0cmljcywgV2VzdCBDaGluYSBTZWNvbmQgVW5pdmVyc2l0eSBIb3NwaXRhbCwgU2lj
aHVhbiBVbml2ZXJzaXR5LCBDaGVuZ2R1LCBTaWNodWFuLCBDaGluYS4mI3hEO0RlcGFydG1lbnQg
b2YgT2JzdGV0cmljcywgV2VzdCBDaGluYSBTZWNvbmQgVW5pdmVyc2l0eSBIb3NwaXRhbCwgU2lj
aHVhbiBVbml2ZXJzaXR5LCBDaGVuZ2R1LCBTaWNodWFuLCBDaGluYS4gRWxlY3Ryb25pYyBhZGRy
ZXNzOiAyODQyNzA3NzhAcXEuY29tLjwvYXV0aC1hZGRyZXNzPjx0aXRsZXM+PHRpdGxlPlRoZSBl
ZmZlY3Qgb2YgYSBwZXJzb25hbGl6ZWQgaW50ZXJ2ZW50aW9uIG9uIHdlaWdodCBnYWluIGFuZCBw
aHlzaWNhbCBhY3Rpdml0eSBhbW9uZyBwcmVnbmFudCB3b21lbiBpbiBDaGluYTwvdGl0bGU+PHNl
Y29uZGFyeS10aXRsZT5JbnQgSiBHeW5hZWNvbCBPYnN0ZXQ8L3NlY29uZGFyeS10aXRsZT48L3Rp
dGxlcz48cGVyaW9kaWNhbD48ZnVsbC10aXRsZT5JbnQgSiBHeW5hZWNvbCBPYnN0ZXQ8L2Z1bGwt
dGl0bGU+PC9wZXJpb2RpY2FsPjxwYWdlcz4xMzgtNDE8L3BhZ2VzPjx2b2x1bWU+MTI5PC92b2x1
bWU+PG51bWJlcj4yPC9udW1iZXI+PGVkaXRpb24+MjAxNS8wMi8yNDwvZWRpdGlvbj48a2V5d29y
ZHM+PGtleXdvcmQ+QWR1bHQ8L2tleXdvcmQ+PGtleXdvcmQ+Q2hpbmE8L2tleXdvcmQ+PGtleXdv
cmQ+RGlhYmV0ZXMsIEdlc3RhdGlvbmFsL3ByZXZlbnRpb24gJmFtcDsgY29udHJvbDwva2V5d29y
ZD48a2V5d29yZD5EaWV0PC9rZXl3b3JkPjxrZXl3b3JkPkZlbWFsZTwva2V5d29yZD48a2V5d29y
ZD5IdW1hbnM8L2tleXdvcmQ+PGtleXdvcmQ+Kk1vdG9yIEFjdGl2aXR5PC9rZXl3b3JkPjxrZXl3
b3JkPlByZWduYW5jeTwva2V5d29yZD48a2V5d29yZD5QcmVnbmFuY3kgQ29tcGxpY2F0aW9ucy8q
cHJldmVudGlvbiAmYW1wOyBjb250cm9sPC9rZXl3b3JkPjxrZXl3b3JkPlByZW5hdGFsIEVkdWNh
dGlvbi8qbWV0aG9kczwva2V5d29yZD48a2V5d29yZD5QcmVuYXRhbCBOdXRyaXRpb25hbCBQaHlz
aW9sb2dpY2FsIFBoZW5vbWVuYTwva2V5d29yZD48a2V5d29yZD5TdXJ2ZXlzIGFuZCBRdWVzdGlv
bm5haXJlczwva2V5d29yZD48a2V5d29yZD4qV2VpZ2h0IEdhaW48L2tleXdvcmQ+PGtleXdvcmQ+
RXhjZXNzaXZlIHdlaWdodCBnYWluPC9rZXl3b3JkPjxrZXl3b3JkPkdlc3RhdGlvbmFsIGRpYWJl
dGVzIG1lbGxpdHVzPC9rZXl3b3JkPjxrZXl3b3JkPkhlYWx0aCBiZWxpZWYgbW9kZWw8L2tleXdv
cmQ+PGtleXdvcmQ+SW50ZXJ2ZW50aW9uPC9rZXl3b3JkPjxrZXl3b3JkPlBoeXNpY2FsIGFjdGl2
aXR5PC9rZXl3b3JkPjwva2V5d29yZHM+PGRhdGVzPjx5ZWFyPjIwMTU8L3llYXI+PHB1Yi1kYXRl
cz48ZGF0ZT5NYXk8L2RhdGU+PC9wdWItZGF0ZXM+PC9kYXRlcz48aXNibj4xODc5LTM0NzkgKEVs
ZWN0cm9uaWMpJiN4RDswMDIwLTcyOTIgKExpbmtpbmcpPC9pc2JuPjxhY2Nlc3Npb24tbnVtPjI1
Njk3OTY1PC9hY2Nlc3Npb24tbnVtPjx1cmxzPjxyZWxhdGVkLXVybHM+PHVybD5odHRwczovL3d3
dy5uY2JpLm5sbS5uaWguZ292L3B1Ym1lZC8yNTY5Nzk2NTwvdXJsPjwvcmVsYXRlZC11cmxzPjwv
dXJscz48ZWxlY3Ryb25pYy1yZXNvdXJjZS1udW0+MTAuMTAxNi9qLmlqZ28uMjAxNC4xMS4wMTQ8
L2VsZWN0cm9uaWMtcmVzb3VyY2UtbnVtPjwvcmVjb3JkPjwvQ2l0ZT48Q2l0ZT48QXV0aG9yPldh
bmc8L0F1dGhvcj48WWVhcj4yMDE1PC9ZZWFyPjxSZWNOdW0+NzQwPC9SZWNOdW0+PHJlY29yZD48
cmVjLW51bWJlcj43NDA8L3JlYy1udW1iZXI+PGZvcmVpZ24ta2V5cz48a2V5IGFwcD0iRU4iIGRi
LWlkPSJleHZhc3JmeDJkdHJhb2VzYXN4cDJzenN4YTJkZjUwMjU5MngiIHRpbWVzdGFtcD0iMTU0
MTQ2NzgxMSI+NzQwPC9rZXk+PGtleSBhcHA9IkVOV2ViIiBkYi1pZD0iIj4wPC9rZXk+PC9mb3Jl
aWduLWtleXM+PHJlZi10eXBlIG5hbWU9IkpvdXJuYWwgQXJ0aWNsZSI+MTc8L3JlZi10eXBlPjxj
b250cmlidXRvcnM+PGF1dGhvcnM+PGF1dGhvcj5XYW5nLCBTaHVhbmc8L2F1dGhvcj48YXV0aG9y
Pk1hLCBKaW5nLU1laTwvYXV0aG9yPjxhdXRob3I+WWFuZywgSHVpLVhpYTwvYXV0aG9yPjwvYXV0
aG9ycz48L2NvbnRyaWJ1dG9ycz48dGl0bGVzPjx0aXRsZT5MaWZlc3R5bGUgaW50ZXJ2ZW50aW9u
IGZvciBnZXN0YXRpb25hbCBkaWFiZXRlcyBtZWxsaXR1cyBwcmV2ZW50aW9uOiBBwqBjbHVzdGVy
LXJhbmRvbWl6ZWQgY29udHJvbGxlZCBzdHVkeTwvdGl0bGU+PHNlY29uZGFyeS10aXRsZT5DaHJv
bmljIERpc2Vhc2VzIGFuZCBUcmFuc2xhdGlvbmFsIE1lZGljaW5lPC9zZWNvbmRhcnktdGl0bGU+
PC90aXRsZXM+PHBlcmlvZGljYWw+PGZ1bGwtdGl0bGU+Q2hyb25pYyBEaXNlYXNlcyBhbmQgVHJh
bnNsYXRpb25hbCBNZWRpY2luZTwvZnVsbC10aXRsZT48L3BlcmlvZGljYWw+PHBhZ2VzPjE2OS0x
NzQ8L3BhZ2VzPjx2b2x1bWU+MTwvdm9sdW1lPjxudW1iZXI+MzwvbnVtYmVyPjxzZWN0aW9uPjE2
OTwvc2VjdGlvbj48ZGF0ZXM+PHllYXI+MjAxNTwveWVhcj48L2RhdGVzPjxpc2JuPjIwOTU4ODJY
PC9pc2JuPjx1cmxzPjwvdXJscz48ZWxlY3Ryb25pYy1yZXNvdXJjZS1udW0+MTAuMTAxNi9qLmNk
dG0uMjAxNS4wOS4wMDE8L2VsZWN0cm9uaWMtcmVzb3VyY2UtbnVtPjwvcmVjb3JkPjwvQ2l0ZT48
L0VuZE5vdGU+AG==
</w:fldData>
        </w:fldChar>
      </w:r>
      <w:r w:rsidR="002747EA">
        <w:instrText xml:space="preserve"> ADDIN EN.CITE </w:instrText>
      </w:r>
      <w:r w:rsidR="002747EA">
        <w:fldChar w:fldCharType="begin">
          <w:fldData xml:space="preserve">PEVuZE5vdGU+PENpdGU+PEF1dGhvcj5KaW5nPC9BdXRob3I+PFllYXI+MjAxNTwvWWVhcj48UmVj
TnVtPjYwOTwvUmVjTnVtPjxEaXNwbGF5VGV4dD48c3R5bGUgZmFjZT0ic3VwZXJzY3JpcHQiIGZv
bnQ9IlRyZWJ1Y2hldCBNUyIgc2l6ZT0iOSI+NDkyLDUxNzwvc3R5bGU+PC9EaXNwbGF5VGV4dD48
cmVjb3JkPjxyZWMtbnVtYmVyPjYwOTwvcmVjLW51bWJlcj48Zm9yZWlnbi1rZXlzPjxrZXkgYXBw
PSJFTiIgZGItaWQ9ImV4dmFzcmZ4MmR0cmFvZXNhc3hwMnN6c3hhMmRmNTAyNTkyeCIgdGltZXN0
YW1wPSIxNTM5MDQ4MzM5Ij42MDk8L2tleT48a2V5IGFwcD0iRU5XZWIiIGRiLWlkPSIiPjA8L2tl
eT48L2ZvcmVpZ24ta2V5cz48cmVmLXR5cGUgbmFtZT0iSm91cm5hbCBBcnRpY2xlIj4xNzwvcmVm
LXR5cGU+PGNvbnRyaWJ1dG9ycz48YXV0aG9ycz48YXV0aG9yPkppbmcsIFcuPC9hdXRob3I+PGF1
dGhvcj5IdWFuZywgWS48L2F1dGhvcj48YXV0aG9yPkxpdSwgWC48L2F1dGhvcj48YXV0aG9yPkx1
bywgQi48L2F1dGhvcj48YXV0aG9yPllhbmcsIFkuPC9hdXRob3I+PGF1dGhvcj5MaWFvLCBTLjwv
YXV0aG9yPjwvYXV0aG9ycz48L2NvbnRyaWJ1dG9ycz48YXV0aC1hZGRyZXNzPkRlcGFydG1lbnQg
b2YgT2JzdGV0cmljcywgV2VzdCBDaGluYSBTZWNvbmQgVW5pdmVyc2l0eSBIb3NwaXRhbCwgU2lj
aHVhbiBVbml2ZXJzaXR5LCBDaGVuZ2R1LCBTaWNodWFuLCBDaGluYS4mI3hEO0RlcGFydG1lbnQg
b2YgT2JzdGV0cmljcywgV2VzdCBDaGluYSBTZWNvbmQgVW5pdmVyc2l0eSBIb3NwaXRhbCwgU2lj
aHVhbiBVbml2ZXJzaXR5LCBDaGVuZ2R1LCBTaWNodWFuLCBDaGluYS4gRWxlY3Ryb25pYyBhZGRy
ZXNzOiAyODQyNzA3NzhAcXEuY29tLjwvYXV0aC1hZGRyZXNzPjx0aXRsZXM+PHRpdGxlPlRoZSBl
ZmZlY3Qgb2YgYSBwZXJzb25hbGl6ZWQgaW50ZXJ2ZW50aW9uIG9uIHdlaWdodCBnYWluIGFuZCBw
aHlzaWNhbCBhY3Rpdml0eSBhbW9uZyBwcmVnbmFudCB3b21lbiBpbiBDaGluYTwvdGl0bGU+PHNl
Y29uZGFyeS10aXRsZT5JbnQgSiBHeW5hZWNvbCBPYnN0ZXQ8L3NlY29uZGFyeS10aXRsZT48L3Rp
dGxlcz48cGVyaW9kaWNhbD48ZnVsbC10aXRsZT5JbnQgSiBHeW5hZWNvbCBPYnN0ZXQ8L2Z1bGwt
dGl0bGU+PC9wZXJpb2RpY2FsPjxwYWdlcz4xMzgtNDE8L3BhZ2VzPjx2b2x1bWU+MTI5PC92b2x1
bWU+PG51bWJlcj4yPC9udW1iZXI+PGVkaXRpb24+MjAxNS8wMi8yNDwvZWRpdGlvbj48a2V5d29y
ZHM+PGtleXdvcmQ+QWR1bHQ8L2tleXdvcmQ+PGtleXdvcmQ+Q2hpbmE8L2tleXdvcmQ+PGtleXdv
cmQ+RGlhYmV0ZXMsIEdlc3RhdGlvbmFsL3ByZXZlbnRpb24gJmFtcDsgY29udHJvbDwva2V5d29y
ZD48a2V5d29yZD5EaWV0PC9rZXl3b3JkPjxrZXl3b3JkPkZlbWFsZTwva2V5d29yZD48a2V5d29y
ZD5IdW1hbnM8L2tleXdvcmQ+PGtleXdvcmQ+Kk1vdG9yIEFjdGl2aXR5PC9rZXl3b3JkPjxrZXl3
b3JkPlByZWduYW5jeTwva2V5d29yZD48a2V5d29yZD5QcmVnbmFuY3kgQ29tcGxpY2F0aW9ucy8q
cHJldmVudGlvbiAmYW1wOyBjb250cm9sPC9rZXl3b3JkPjxrZXl3b3JkPlByZW5hdGFsIEVkdWNh
dGlvbi8qbWV0aG9kczwva2V5d29yZD48a2V5d29yZD5QcmVuYXRhbCBOdXRyaXRpb25hbCBQaHlz
aW9sb2dpY2FsIFBoZW5vbWVuYTwva2V5d29yZD48a2V5d29yZD5TdXJ2ZXlzIGFuZCBRdWVzdGlv
bm5haXJlczwva2V5d29yZD48a2V5d29yZD4qV2VpZ2h0IEdhaW48L2tleXdvcmQ+PGtleXdvcmQ+
RXhjZXNzaXZlIHdlaWdodCBnYWluPC9rZXl3b3JkPjxrZXl3b3JkPkdlc3RhdGlvbmFsIGRpYWJl
dGVzIG1lbGxpdHVzPC9rZXl3b3JkPjxrZXl3b3JkPkhlYWx0aCBiZWxpZWYgbW9kZWw8L2tleXdv
cmQ+PGtleXdvcmQ+SW50ZXJ2ZW50aW9uPC9rZXl3b3JkPjxrZXl3b3JkPlBoeXNpY2FsIGFjdGl2
aXR5PC9rZXl3b3JkPjwva2V5d29yZHM+PGRhdGVzPjx5ZWFyPjIwMTU8L3llYXI+PHB1Yi1kYXRl
cz48ZGF0ZT5NYXk8L2RhdGU+PC9wdWItZGF0ZXM+PC9kYXRlcz48aXNibj4xODc5LTM0NzkgKEVs
ZWN0cm9uaWMpJiN4RDswMDIwLTcyOTIgKExpbmtpbmcpPC9pc2JuPjxhY2Nlc3Npb24tbnVtPjI1
Njk3OTY1PC9hY2Nlc3Npb24tbnVtPjx1cmxzPjxyZWxhdGVkLXVybHM+PHVybD5odHRwczovL3d3
dy5uY2JpLm5sbS5uaWguZ292L3B1Ym1lZC8yNTY5Nzk2NTwvdXJsPjwvcmVsYXRlZC11cmxzPjwv
dXJscz48ZWxlY3Ryb25pYy1yZXNvdXJjZS1udW0+MTAuMTAxNi9qLmlqZ28uMjAxNC4xMS4wMTQ8
L2VsZWN0cm9uaWMtcmVzb3VyY2UtbnVtPjwvcmVjb3JkPjwvQ2l0ZT48Q2l0ZT48QXV0aG9yPldh
bmc8L0F1dGhvcj48WWVhcj4yMDE1PC9ZZWFyPjxSZWNOdW0+NzQwPC9SZWNOdW0+PHJlY29yZD48
cmVjLW51bWJlcj43NDA8L3JlYy1udW1iZXI+PGZvcmVpZ24ta2V5cz48a2V5IGFwcD0iRU4iIGRi
LWlkPSJleHZhc3JmeDJkdHJhb2VzYXN4cDJzenN4YTJkZjUwMjU5MngiIHRpbWVzdGFtcD0iMTU0
MTQ2NzgxMSI+NzQwPC9rZXk+PGtleSBhcHA9IkVOV2ViIiBkYi1pZD0iIj4wPC9rZXk+PC9mb3Jl
aWduLWtleXM+PHJlZi10eXBlIG5hbWU9IkpvdXJuYWwgQXJ0aWNsZSI+MTc8L3JlZi10eXBlPjxj
b250cmlidXRvcnM+PGF1dGhvcnM+PGF1dGhvcj5XYW5nLCBTaHVhbmc8L2F1dGhvcj48YXV0aG9y
Pk1hLCBKaW5nLU1laTwvYXV0aG9yPjxhdXRob3I+WWFuZywgSHVpLVhpYTwvYXV0aG9yPjwvYXV0
aG9ycz48L2NvbnRyaWJ1dG9ycz48dGl0bGVzPjx0aXRsZT5MaWZlc3R5bGUgaW50ZXJ2ZW50aW9u
IGZvciBnZXN0YXRpb25hbCBkaWFiZXRlcyBtZWxsaXR1cyBwcmV2ZW50aW9uOiBBwqBjbHVzdGVy
LXJhbmRvbWl6ZWQgY29udHJvbGxlZCBzdHVkeTwvdGl0bGU+PHNlY29uZGFyeS10aXRsZT5DaHJv
bmljIERpc2Vhc2VzIGFuZCBUcmFuc2xhdGlvbmFsIE1lZGljaW5lPC9zZWNvbmRhcnktdGl0bGU+
PC90aXRsZXM+PHBlcmlvZGljYWw+PGZ1bGwtdGl0bGU+Q2hyb25pYyBEaXNlYXNlcyBhbmQgVHJh
bnNsYXRpb25hbCBNZWRpY2luZTwvZnVsbC10aXRsZT48L3BlcmlvZGljYWw+PHBhZ2VzPjE2OS0x
NzQ8L3BhZ2VzPjx2b2x1bWU+MTwvdm9sdW1lPjxudW1iZXI+MzwvbnVtYmVyPjxzZWN0aW9uPjE2
OTwvc2VjdGlvbj48ZGF0ZXM+PHllYXI+MjAxNTwveWVhcj48L2RhdGVzPjxpc2JuPjIwOTU4ODJY
PC9pc2JuPjx1cmxzPjwvdXJscz48ZWxlY3Ryb25pYy1yZXNvdXJjZS1udW0+MTAuMTAxNi9qLmNk
dG0uMjAxNS4wOS4wMDE8L2VsZWN0cm9uaWMtcmVzb3VyY2UtbnVtPjwvcmVjb3JkPjwvQ2l0ZT48
L0VuZE5vdGU+AG==
</w:fldData>
        </w:fldChar>
      </w:r>
      <w:r w:rsidR="002747EA">
        <w:instrText xml:space="preserve"> ADDIN EN.CITE.DATA </w:instrText>
      </w:r>
      <w:r w:rsidR="002747EA">
        <w:fldChar w:fldCharType="end"/>
      </w:r>
      <w:r>
        <w:fldChar w:fldCharType="separate"/>
      </w:r>
      <w:r w:rsidR="002747EA" w:rsidRPr="002747EA">
        <w:rPr>
          <w:noProof/>
          <w:vertAlign w:val="superscript"/>
        </w:rPr>
        <w:t>492,517</w:t>
      </w:r>
      <w:r>
        <w:fldChar w:fldCharType="end"/>
      </w:r>
      <w:r w:rsidRPr="00C12274">
        <w:t xml:space="preserve"> Denmark (n=</w:t>
      </w:r>
      <w:r>
        <w:t>2),</w:t>
      </w:r>
      <w:r>
        <w:fldChar w:fldCharType="begin">
          <w:fldData xml:space="preserve">PEVuZE5vdGU+PENpdGU+PEF1dGhvcj5SZW5hdWx0PC9BdXRob3I+PFllYXI+MjAxNDwvWWVhcj48
UmVjTnVtPjkzNzwvUmVjTnVtPjxEaXNwbGF5VGV4dD48c3R5bGUgZmFjZT0ic3VwZXJzY3JpcHQi
IGZvbnQ9IlRyZWJ1Y2hldCBNUyIgc2l6ZT0iOSI+NDUxLDUxNTwvc3R5bGU+PC9EaXNwbGF5VGV4
dD48cmVjb3JkPjxyZWMtbnVtYmVyPjkzNzwvcmVjLW51bWJlcj48Zm9yZWlnbi1rZXlzPjxrZXkg
YXBwPSJFTiIgZGItaWQ9ImV4dmFzcmZ4MmR0cmFvZXNhc3hwMnN6c3hhMmRmNTAyNTkyeCIgdGlt
ZXN0YW1wPSIxNTQxNTQxODE0Ij45Mzc8L2tleT48a2V5IGFwcD0iRU5XZWIiIGRiLWlkPSIiPjA8
L2tleT48L2ZvcmVpZ24ta2V5cz48cmVmLXR5cGUgbmFtZT0iSm91cm5hbCBBcnRpY2xlIj4xNzwv
cmVmLXR5cGU+PGNvbnRyaWJ1dG9ycz48YXV0aG9ycz48YXV0aG9yPlJlbmF1bHQsIEsuIE0uPC9h
dXRob3I+PGF1dGhvcj5Ob3JnYWFyZCwgSy48L2F1dGhvcj48YXV0aG9yPk5pbGFzLCBMLjwvYXV0
aG9yPjxhdXRob3I+Q2FybHNlbiwgRS4gTS48L2F1dGhvcj48YXV0aG9yPkNvcnRlcywgRC48L2F1
dGhvcj48YXV0aG9yPlByeWRzLCBPLjwvYXV0aG9yPjxhdXRob3I+U2VjaGVyLCBOLiBKLjwvYXV0
aG9yPjwvYXV0aG9ycz48L2NvbnRyaWJ1dG9ycz48YXV0aC1hZGRyZXNzPkRlcGFydG1lbnQgb2Yg
T2JzdGV0cmljcyBhbmQgR3luZWNvbG9neSwgSHZpZG92cmUgSG9zcGl0YWwsIFVuaXZlcnNpdHkg
b2YgQ29wZW5oYWdlbiwgSHZpZG92cmUsIERlbm1hcmsuIEVsZWN0cm9uaWMgYWRkcmVzczogS3Jl
bmF1bHRAZGFkbG5ldC5kay4mI3hEO0RlcGFydG1lbnQgb2YgRW5kb2NyaW5vbG9neSwgSHZpZG92
cmUgSG9zcGl0YWwsIFVuaXZlcnNpdHkgb2YgQ29wZW5oYWdlbiwgSHZpZG92cmUsIERlbm1hcmsu
JiN4RDtEZXBhcnRtZW50IG9mIE9ic3RldHJpY3MgYW5kIEd5bmVjb2xvZ3ksIEh2aWRvdnJlIEhv
c3BpdGFsLCBVbml2ZXJzaXR5IG9mIENvcGVuaGFnZW4sIEh2aWRvdnJlLCBEZW5tYXJrLiYjeEQ7
RGVwYXJ0bWVudCBvZiBQZWRpYXRyaWNzLCBIdmlkb3ZyZSBIb3NwaXRhbCwgVW5pdmVyc2l0eSBv
ZiBDb3BlbmhhZ2VuLCBIdmlkb3ZyZSwgRGVubWFyay48L2F1dGgtYWRkcmVzcz48dGl0bGVzPjx0
aXRsZT5UaGUgVHJlYXRtZW50IG9mIE9iZXNlIFByZWduYW50IFdvbWVuIChUT1ApIHN0dWR5OiBh
IHJhbmRvbWl6ZWQgY29udHJvbGxlZCB0cmlhbCBvZiB0aGUgZWZmZWN0IG9mIHBoeXNpY2FsIGFj
dGl2aXR5IGludGVydmVudGlvbiBhc3Nlc3NlZCBieSBwZWRvbWV0ZXIgd2l0aCBvciB3aXRob3V0
IGRpZXRhcnkgaW50ZXJ2ZW50aW9uIGluIG9iZXNlIHByZWduYW50IHdvbWVuPC90aXRsZT48c2Vj
b25kYXJ5LXRpdGxlPkFtIEogT2JzdGV0IEd5bmVjb2w8L3NlY29uZGFyeS10aXRsZT48L3RpdGxl
cz48cGVyaW9kaWNhbD48ZnVsbC10aXRsZT5BbSBKIE9ic3RldCBHeW5lY29sPC9mdWxsLXRpdGxl
PjwvcGVyaW9kaWNhbD48cGFnZXM+MTM0IGUxLTk8L3BhZ2VzPjx2b2x1bWU+MjEwPC92b2x1bWU+
PG51bWJlcj4yPC9udW1iZXI+PGVkaXRpb24+MjAxMy8wOS8yNjwvZWRpdGlvbj48a2V5d29yZHM+
PGtleXdvcmQ+QWN0aWdyYXBoeTwva2V5d29yZD48a2V5d29yZD5BZHVsdDwva2V5d29yZD48a2V5
d29yZD5Db21iaW5lZCBNb2RhbGl0eSBUaGVyYXB5PC9rZXl3b3JkPjxrZXl3b3JkPkRpZXQsIE1l
ZGl0ZXJyYW5lYW48L2tleXdvcmQ+PGtleXdvcmQ+RW5lcmd5IEludGFrZTwva2V5d29yZD48a2V5
d29yZD4qRXhlcmNpc2U8L2tleXdvcmQ+PGtleXdvcmQ+RmVtYWxlPC9rZXl3b3JkPjxrZXl3b3Jk
Pkh1bWFuczwva2V5d29yZD48a2V5d29yZD5PYmVzaXR5L2RpZXQgdGhlcmFweS8qdGhlcmFweTwv
a2V5d29yZD48a2V5d29yZD5QcmVnbmFuY3k8L2tleXdvcmQ+PGtleXdvcmQ+UHJlZ25hbmN5IENv
bXBsaWNhdGlvbnMvZGlldCB0aGVyYXB5Lyp0aGVyYXB5PC9rZXl3b3JkPjxrZXl3b3JkPmRpZXQ8
L2tleXdvcmQ+PGtleXdvcmQ+aW50ZXJ2ZW50aW9uPC9rZXl3b3JkPjxrZXl3b3JkPm9iZXNpdHk8
L2tleXdvcmQ+PGtleXdvcmQ+cGVkb21ldGVyPC9rZXl3b3JkPjxrZXl3b3JkPnBoeXNpY2FsIGFj
dGl2aXR5PC9rZXl3b3JkPjwva2V5d29yZHM+PGRhdGVzPjx5ZWFyPjIwMTQ8L3llYXI+PHB1Yi1k
YXRlcz48ZGF0ZT5GZWI8L2RhdGU+PC9wdWItZGF0ZXM+PC9kYXRlcz48aXNibj4xMDk3LTY4Njgg
KEVsZWN0cm9uaWMpJiN4RDswMDAyLTkzNzggKExpbmtpbmcpPC9pc2JuPjxhY2Nlc3Npb24tbnVt
PjI0MDYwNDQ5PC9hY2Nlc3Npb24tbnVtPjx1cmxzPjxyZWxhdGVkLXVybHM+PHVybD5odHRwczov
L3d3dy5uY2JpLm5sbS5uaWguZ292L3B1Ym1lZC8yNDA2MDQ0OTwvdXJsPjwvcmVsYXRlZC11cmxz
PjwvdXJscz48ZWxlY3Ryb25pYy1yZXNvdXJjZS1udW0+MTAuMTAxNi9qLmFqb2cuMjAxMy4wOS4w
Mjk8L2VsZWN0cm9uaWMtcmVzb3VyY2UtbnVtPjwvcmVjb3JkPjwvQ2l0ZT48Q2l0ZT48QXV0aG9y
PlZpbnRlcjwvQXV0aG9yPjxZZWFyPjIwMTE8L1llYXI+PFJlY051bT4xMTExPC9SZWNOdW0+PHJl
Y29yZD48cmVjLW51bWJlcj4xMTExPC9yZWMtbnVtYmVyPjxmb3JlaWduLWtleXM+PGtleSBhcHA9
IkVOIiBkYi1pZD0iZXh2YXNyZngyZHRyYW9lc2FzeHAyc3pzeGEyZGY1MDI1OTJ4IiB0aW1lc3Rh
bXA9IjE1NTI5NDg2MTciPjExMTE8L2tleT48L2ZvcmVpZ24ta2V5cz48cmVmLXR5cGUgbmFtZT0i
Sm91cm5hbCBBcnRpY2xlIj4xNzwvcmVmLXR5cGU+PGNvbnRyaWJ1dG9ycz48YXV0aG9ycz48YXV0
aG9yPlZpbnRlciwgQy4gQS48L2F1dGhvcj48YXV0aG9yPkplbnNlbiwgRC4gTS48L2F1dGhvcj48
YXV0aG9yPk92ZXNlbiwgUC48L2F1dGhvcj48YXV0aG9yPkJlY2stTmllbHNlbiwgSC48L2F1dGhv
cj48YXV0aG9yPkpvcmdlbnNlbiwgSi4gUy48L2F1dGhvcj48L2F1dGhvcnM+PC9jb250cmlidXRv
cnM+PGF1dGgtYWRkcmVzcz5EZXBhcnRtZW50IG9mIEd5bmVjb2xvZ3kgYW5kIE9ic3RldHJpY3Ms
IE9kZW5zZSBVbml2ZXJzaXR5IEhvc3BpdGFsLCBPZGVuc2UsIERlbm1hcmsuIGMudmludGVyQGRh
ZGxuZXQuZGs8L2F1dGgtYWRkcmVzcz48dGl0bGVzPjx0aXRsZT5UaGUgTGlQIChMaWZlc3R5bGUg
aW4gUHJlZ25hbmN5KSBzdHVkeTogYSByYW5kb21pemVkIGNvbnRyb2xsZWQgdHJpYWwgb2YgbGlm
ZXN0eWxlIGludGVydmVudGlvbiBpbiAzNjAgb2Jlc2UgcHJlZ25hbnQgd29tZW48L3RpdGxlPjxz
ZWNvbmRhcnktdGl0bGU+RGlhYmV0ZXMgQ2FyZTwvc2Vjb25kYXJ5LXRpdGxlPjwvdGl0bGVzPjxw
ZXJpb2RpY2FsPjxmdWxsLXRpdGxlPkRpYWJldGVzIENhcmU8L2Z1bGwtdGl0bGU+PC9wZXJpb2Rp
Y2FsPjxwYWdlcz4yNTAyLTc8L3BhZ2VzPjx2b2x1bWU+MzQ8L3ZvbHVtZT48bnVtYmVyPjEyPC9u
dW1iZXI+PGVkaXRpb24+MjAxMS8xMC8wNjwvZWRpdGlvbj48a2V5d29yZHM+PGtleXdvcmQ+QWRv
bGVzY2VudDwva2V5d29yZD48a2V5d29yZD5BZHVsdDwva2V5d29yZD48a2V5d29yZD5EZW5tYXJr
PC9rZXl3b3JkPjxrZXl3b3JkPkRpcmVjdGl2ZSBDb3Vuc2VsaW5nPC9rZXl3b3JkPjxrZXl3b3Jk
PkZlbWFsZTwva2V5d29yZD48a2V5d29yZD5IdW1hbnM8L2tleXdvcmQ+PGtleXdvcmQ+KkxpZmUg
U3R5bGU8L2tleXdvcmQ+PGtleXdvcmQ+TW90b3IgQWN0aXZpdHk8L2tleXdvcmQ+PGtleXdvcmQ+
T2Jlc2l0eS9kaWV0IHRoZXJhcHkvKnRoZXJhcHk8L2tleXdvcmQ+PGtleXdvcmQ+UGh5c2ljYWwg
RWR1Y2F0aW9uIGFuZCBUcmFpbmluZzwva2V5d29yZD48a2V5d29yZD5QcmVnbmFuY3k8L2tleXdv
cmQ+PGtleXdvcmQ+UHJlZ25hbmN5IENvbXBsaWNhdGlvbnMvZGlldCB0aGVyYXB5Lyp0aGVyYXB5
PC9rZXl3b3JkPjxrZXl3b3JkPlByZWduYW5jeSBPdXRjb21lPC9rZXl3b3JkPjxrZXl3b3JkPldl
aWdodCBHYWluPC9rZXl3b3JkPjwva2V5d29yZHM+PGRhdGVzPjx5ZWFyPjIwMTE8L3llYXI+PHB1
Yi1kYXRlcz48ZGF0ZT5EZWM8L2RhdGU+PC9wdWItZGF0ZXM+PC9kYXRlcz48aXNibj4xOTM1LTU1
NDggKEVsZWN0cm9uaWMpJiN4RDswMTQ5LTU5OTIgKExpbmtpbmcpPC9pc2JuPjxhY2Nlc3Npb24t
bnVtPjIxOTcyNDExPC9hY2Nlc3Npb24tbnVtPjx1cmxzPjxyZWxhdGVkLXVybHM+PHVybD5odHRw
czovL3d3dy5uY2JpLm5sbS5uaWguZ292L3B1Ym1lZC8yMTk3MjQxMTwvdXJsPjwvcmVsYXRlZC11
cmxzPjwvdXJscz48Y3VzdG9tMj5QTUMzMjIwODQ0PC9jdXN0b20yPjxlbGVjdHJvbmljLXJlc291
cmNlLW51bT4xMC4yMzM3L2RjMTEtMTE1MDwvZWxlY3Ryb25pYy1yZXNvdXJjZS1udW0+PC9yZWNv
cmQ+PC9DaXRlPjwvRW5kTm90ZT5=
</w:fldData>
        </w:fldChar>
      </w:r>
      <w:r w:rsidR="002747EA">
        <w:instrText xml:space="preserve"> ADDIN EN.CITE </w:instrText>
      </w:r>
      <w:r w:rsidR="002747EA">
        <w:fldChar w:fldCharType="begin">
          <w:fldData xml:space="preserve">PEVuZE5vdGU+PENpdGU+PEF1dGhvcj5SZW5hdWx0PC9BdXRob3I+PFllYXI+MjAxNDwvWWVhcj48
UmVjTnVtPjkzNzwvUmVjTnVtPjxEaXNwbGF5VGV4dD48c3R5bGUgZmFjZT0ic3VwZXJzY3JpcHQi
IGZvbnQ9IlRyZWJ1Y2hldCBNUyIgc2l6ZT0iOSI+NDUxLDUxNTwvc3R5bGU+PC9EaXNwbGF5VGV4
dD48cmVjb3JkPjxyZWMtbnVtYmVyPjkzNzwvcmVjLW51bWJlcj48Zm9yZWlnbi1rZXlzPjxrZXkg
YXBwPSJFTiIgZGItaWQ9ImV4dmFzcmZ4MmR0cmFvZXNhc3hwMnN6c3hhMmRmNTAyNTkyeCIgdGlt
ZXN0YW1wPSIxNTQxNTQxODE0Ij45Mzc8L2tleT48a2V5IGFwcD0iRU5XZWIiIGRiLWlkPSIiPjA8
L2tleT48L2ZvcmVpZ24ta2V5cz48cmVmLXR5cGUgbmFtZT0iSm91cm5hbCBBcnRpY2xlIj4xNzwv
cmVmLXR5cGU+PGNvbnRyaWJ1dG9ycz48YXV0aG9ycz48YXV0aG9yPlJlbmF1bHQsIEsuIE0uPC9h
dXRob3I+PGF1dGhvcj5Ob3JnYWFyZCwgSy48L2F1dGhvcj48YXV0aG9yPk5pbGFzLCBMLjwvYXV0
aG9yPjxhdXRob3I+Q2FybHNlbiwgRS4gTS48L2F1dGhvcj48YXV0aG9yPkNvcnRlcywgRC48L2F1
dGhvcj48YXV0aG9yPlByeWRzLCBPLjwvYXV0aG9yPjxhdXRob3I+U2VjaGVyLCBOLiBKLjwvYXV0
aG9yPjwvYXV0aG9ycz48L2NvbnRyaWJ1dG9ycz48YXV0aC1hZGRyZXNzPkRlcGFydG1lbnQgb2Yg
T2JzdGV0cmljcyBhbmQgR3luZWNvbG9neSwgSHZpZG92cmUgSG9zcGl0YWwsIFVuaXZlcnNpdHkg
b2YgQ29wZW5oYWdlbiwgSHZpZG92cmUsIERlbm1hcmsuIEVsZWN0cm9uaWMgYWRkcmVzczogS3Jl
bmF1bHRAZGFkbG5ldC5kay4mI3hEO0RlcGFydG1lbnQgb2YgRW5kb2NyaW5vbG9neSwgSHZpZG92
cmUgSG9zcGl0YWwsIFVuaXZlcnNpdHkgb2YgQ29wZW5oYWdlbiwgSHZpZG92cmUsIERlbm1hcmsu
JiN4RDtEZXBhcnRtZW50IG9mIE9ic3RldHJpY3MgYW5kIEd5bmVjb2xvZ3ksIEh2aWRvdnJlIEhv
c3BpdGFsLCBVbml2ZXJzaXR5IG9mIENvcGVuaGFnZW4sIEh2aWRvdnJlLCBEZW5tYXJrLiYjeEQ7
RGVwYXJ0bWVudCBvZiBQZWRpYXRyaWNzLCBIdmlkb3ZyZSBIb3NwaXRhbCwgVW5pdmVyc2l0eSBv
ZiBDb3BlbmhhZ2VuLCBIdmlkb3ZyZSwgRGVubWFyay48L2F1dGgtYWRkcmVzcz48dGl0bGVzPjx0
aXRsZT5UaGUgVHJlYXRtZW50IG9mIE9iZXNlIFByZWduYW50IFdvbWVuIChUT1ApIHN0dWR5OiBh
IHJhbmRvbWl6ZWQgY29udHJvbGxlZCB0cmlhbCBvZiB0aGUgZWZmZWN0IG9mIHBoeXNpY2FsIGFj
dGl2aXR5IGludGVydmVudGlvbiBhc3Nlc3NlZCBieSBwZWRvbWV0ZXIgd2l0aCBvciB3aXRob3V0
IGRpZXRhcnkgaW50ZXJ2ZW50aW9uIGluIG9iZXNlIHByZWduYW50IHdvbWVuPC90aXRsZT48c2Vj
b25kYXJ5LXRpdGxlPkFtIEogT2JzdGV0IEd5bmVjb2w8L3NlY29uZGFyeS10aXRsZT48L3RpdGxl
cz48cGVyaW9kaWNhbD48ZnVsbC10aXRsZT5BbSBKIE9ic3RldCBHeW5lY29sPC9mdWxsLXRpdGxl
PjwvcGVyaW9kaWNhbD48cGFnZXM+MTM0IGUxLTk8L3BhZ2VzPjx2b2x1bWU+MjEwPC92b2x1bWU+
PG51bWJlcj4yPC9udW1iZXI+PGVkaXRpb24+MjAxMy8wOS8yNjwvZWRpdGlvbj48a2V5d29yZHM+
PGtleXdvcmQ+QWN0aWdyYXBoeTwva2V5d29yZD48a2V5d29yZD5BZHVsdDwva2V5d29yZD48a2V5
d29yZD5Db21iaW5lZCBNb2RhbGl0eSBUaGVyYXB5PC9rZXl3b3JkPjxrZXl3b3JkPkRpZXQsIE1l
ZGl0ZXJyYW5lYW48L2tleXdvcmQ+PGtleXdvcmQ+RW5lcmd5IEludGFrZTwva2V5d29yZD48a2V5
d29yZD4qRXhlcmNpc2U8L2tleXdvcmQ+PGtleXdvcmQ+RmVtYWxlPC9rZXl3b3JkPjxrZXl3b3Jk
Pkh1bWFuczwva2V5d29yZD48a2V5d29yZD5PYmVzaXR5L2RpZXQgdGhlcmFweS8qdGhlcmFweTwv
a2V5d29yZD48a2V5d29yZD5QcmVnbmFuY3k8L2tleXdvcmQ+PGtleXdvcmQ+UHJlZ25hbmN5IENv
bXBsaWNhdGlvbnMvZGlldCB0aGVyYXB5Lyp0aGVyYXB5PC9rZXl3b3JkPjxrZXl3b3JkPmRpZXQ8
L2tleXdvcmQ+PGtleXdvcmQ+aW50ZXJ2ZW50aW9uPC9rZXl3b3JkPjxrZXl3b3JkPm9iZXNpdHk8
L2tleXdvcmQ+PGtleXdvcmQ+cGVkb21ldGVyPC9rZXl3b3JkPjxrZXl3b3JkPnBoeXNpY2FsIGFj
dGl2aXR5PC9rZXl3b3JkPjwva2V5d29yZHM+PGRhdGVzPjx5ZWFyPjIwMTQ8L3llYXI+PHB1Yi1k
YXRlcz48ZGF0ZT5GZWI8L2RhdGU+PC9wdWItZGF0ZXM+PC9kYXRlcz48aXNibj4xMDk3LTY4Njgg
KEVsZWN0cm9uaWMpJiN4RDswMDAyLTkzNzggKExpbmtpbmcpPC9pc2JuPjxhY2Nlc3Npb24tbnVt
PjI0MDYwNDQ5PC9hY2Nlc3Npb24tbnVtPjx1cmxzPjxyZWxhdGVkLXVybHM+PHVybD5odHRwczov
L3d3dy5uY2JpLm5sbS5uaWguZ292L3B1Ym1lZC8yNDA2MDQ0OTwvdXJsPjwvcmVsYXRlZC11cmxz
PjwvdXJscz48ZWxlY3Ryb25pYy1yZXNvdXJjZS1udW0+MTAuMTAxNi9qLmFqb2cuMjAxMy4wOS4w
Mjk8L2VsZWN0cm9uaWMtcmVzb3VyY2UtbnVtPjwvcmVjb3JkPjwvQ2l0ZT48Q2l0ZT48QXV0aG9y
PlZpbnRlcjwvQXV0aG9yPjxZZWFyPjIwMTE8L1llYXI+PFJlY051bT4xMTExPC9SZWNOdW0+PHJl
Y29yZD48cmVjLW51bWJlcj4xMTExPC9yZWMtbnVtYmVyPjxmb3JlaWduLWtleXM+PGtleSBhcHA9
IkVOIiBkYi1pZD0iZXh2YXNyZngyZHRyYW9lc2FzeHAyc3pzeGEyZGY1MDI1OTJ4IiB0aW1lc3Rh
bXA9IjE1NTI5NDg2MTciPjExMTE8L2tleT48L2ZvcmVpZ24ta2V5cz48cmVmLXR5cGUgbmFtZT0i
Sm91cm5hbCBBcnRpY2xlIj4xNzwvcmVmLXR5cGU+PGNvbnRyaWJ1dG9ycz48YXV0aG9ycz48YXV0
aG9yPlZpbnRlciwgQy4gQS48L2F1dGhvcj48YXV0aG9yPkplbnNlbiwgRC4gTS48L2F1dGhvcj48
YXV0aG9yPk92ZXNlbiwgUC48L2F1dGhvcj48YXV0aG9yPkJlY2stTmllbHNlbiwgSC48L2F1dGhv
cj48YXV0aG9yPkpvcmdlbnNlbiwgSi4gUy48L2F1dGhvcj48L2F1dGhvcnM+PC9jb250cmlidXRv
cnM+PGF1dGgtYWRkcmVzcz5EZXBhcnRtZW50IG9mIEd5bmVjb2xvZ3kgYW5kIE9ic3RldHJpY3Ms
IE9kZW5zZSBVbml2ZXJzaXR5IEhvc3BpdGFsLCBPZGVuc2UsIERlbm1hcmsuIGMudmludGVyQGRh
ZGxuZXQuZGs8L2F1dGgtYWRkcmVzcz48dGl0bGVzPjx0aXRsZT5UaGUgTGlQIChMaWZlc3R5bGUg
aW4gUHJlZ25hbmN5KSBzdHVkeTogYSByYW5kb21pemVkIGNvbnRyb2xsZWQgdHJpYWwgb2YgbGlm
ZXN0eWxlIGludGVydmVudGlvbiBpbiAzNjAgb2Jlc2UgcHJlZ25hbnQgd29tZW48L3RpdGxlPjxz
ZWNvbmRhcnktdGl0bGU+RGlhYmV0ZXMgQ2FyZTwvc2Vjb25kYXJ5LXRpdGxlPjwvdGl0bGVzPjxw
ZXJpb2RpY2FsPjxmdWxsLXRpdGxlPkRpYWJldGVzIENhcmU8L2Z1bGwtdGl0bGU+PC9wZXJpb2Rp
Y2FsPjxwYWdlcz4yNTAyLTc8L3BhZ2VzPjx2b2x1bWU+MzQ8L3ZvbHVtZT48bnVtYmVyPjEyPC9u
dW1iZXI+PGVkaXRpb24+MjAxMS8xMC8wNjwvZWRpdGlvbj48a2V5d29yZHM+PGtleXdvcmQ+QWRv
bGVzY2VudDwva2V5d29yZD48a2V5d29yZD5BZHVsdDwva2V5d29yZD48a2V5d29yZD5EZW5tYXJr
PC9rZXl3b3JkPjxrZXl3b3JkPkRpcmVjdGl2ZSBDb3Vuc2VsaW5nPC9rZXl3b3JkPjxrZXl3b3Jk
PkZlbWFsZTwva2V5d29yZD48a2V5d29yZD5IdW1hbnM8L2tleXdvcmQ+PGtleXdvcmQ+KkxpZmUg
U3R5bGU8L2tleXdvcmQ+PGtleXdvcmQ+TW90b3IgQWN0aXZpdHk8L2tleXdvcmQ+PGtleXdvcmQ+
T2Jlc2l0eS9kaWV0IHRoZXJhcHkvKnRoZXJhcHk8L2tleXdvcmQ+PGtleXdvcmQ+UGh5c2ljYWwg
RWR1Y2F0aW9uIGFuZCBUcmFpbmluZzwva2V5d29yZD48a2V5d29yZD5QcmVnbmFuY3k8L2tleXdv
cmQ+PGtleXdvcmQ+UHJlZ25hbmN5IENvbXBsaWNhdGlvbnMvZGlldCB0aGVyYXB5Lyp0aGVyYXB5
PC9rZXl3b3JkPjxrZXl3b3JkPlByZWduYW5jeSBPdXRjb21lPC9rZXl3b3JkPjxrZXl3b3JkPldl
aWdodCBHYWluPC9rZXl3b3JkPjwva2V5d29yZHM+PGRhdGVzPjx5ZWFyPjIwMTE8L3llYXI+PHB1
Yi1kYXRlcz48ZGF0ZT5EZWM8L2RhdGU+PC9wdWItZGF0ZXM+PC9kYXRlcz48aXNibj4xOTM1LTU1
NDggKEVsZWN0cm9uaWMpJiN4RDswMTQ5LTU5OTIgKExpbmtpbmcpPC9pc2JuPjxhY2Nlc3Npb24t
bnVtPjIxOTcyNDExPC9hY2Nlc3Npb24tbnVtPjx1cmxzPjxyZWxhdGVkLXVybHM+PHVybD5odHRw
czovL3d3dy5uY2JpLm5sbS5uaWguZ292L3B1Ym1lZC8yMTk3MjQxMTwvdXJsPjwvcmVsYXRlZC11
cmxzPjwvdXJscz48Y3VzdG9tMj5QTUMzMjIwODQ0PC9jdXN0b20yPjxlbGVjdHJvbmljLXJlc291
cmNlLW51bT4xMC4yMzM3L2RjMTEtMTE1MDwvZWxlY3Ryb25pYy1yZXNvdXJjZS1udW0+PC9yZWNv
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451,515</w:t>
      </w:r>
      <w:r>
        <w:fldChar w:fldCharType="end"/>
      </w:r>
      <w:r>
        <w:t xml:space="preserve"> Finland (n=3),</w:t>
      </w:r>
      <w:r>
        <w:fldChar w:fldCharType="begin">
          <w:fldData xml:space="preserve">PEVuZE5vdGU+PENpdGU+PEF1dGhvcj5Lb2l2dXNhbG88L0F1dGhvcj48WWVhcj4yMDE2PC9ZZWFy
PjxSZWNOdW0+NzMzPC9SZWNOdW0+PERpc3BsYXlUZXh0PjxzdHlsZSBmYWNlPSJzdXBlcnNjcmlw
dCIgZm9udD0iVHJlYnVjaGV0IE1TIiBzaXplPSI5Ij41MTYsNTE5LDUyMjwvc3R5bGU+PC9EaXNw
bGF5VGV4dD48cmVjb3JkPjxyZWMtbnVtYmVyPjczMzwvcmVjLW51bWJlcj48Zm9yZWlnbi1rZXlz
PjxrZXkgYXBwPSJFTiIgZGItaWQ9ImV4dmFzcmZ4MmR0cmFvZXNhc3hwMnN6c3hhMmRmNTAyNTky
eCIgdGltZXN0YW1wPSIxNTQxNDY3NzY2Ij43MzM8L2tleT48a2V5IGFwcD0iRU5XZWIiIGRiLWlk
PSIiPjA8L2tleT48L2ZvcmVpZ24ta2V5cz48cmVmLXR5cGUgbmFtZT0iSm91cm5hbCBBcnRpY2xl
Ij4xNzwvcmVmLXR5cGU+PGNvbnRyaWJ1dG9ycz48YXV0aG9ycz48YXV0aG9yPktvaXZ1c2Fsbywg
Uy5CLiw8L2F1dGhvcj48YXV0aG9yPlLDtm7DtiwgSy4sPC9hdXRob3I+PGF1dGhvcj5LbGVtZXR0
aSwgTS5NLiw8L2F1dGhvcj48YXV0aG9yPlJvaW5lLCBSLlAuLDwvYXV0aG9yPjxhdXRob3I+TGlu
ZHN0csO2bSwgSi4sPC9hdXRob3I+PGF1dGhvcj5Fcmtrb2xhLCBNLiw8L2F1dGhvcj48L2F1dGhv
cnM+PC9jb250cmlidXRvcnM+PHRpdGxlcz48dGl0bGU+R2VzdGF0aW9uYWwgZGlhYmV0ZXMgbWVs
bGl0dXMgY2FuIGJlIHByZXZlbnRlZCBieSBsaWZlc3R5bGUgaW50ZXJ2ZW50aW9uOiBUaGUgRmlu
bmlzaCBHZXN0YXRpb25hbCBEaWFiZXRlcyBQcmV2ZW50aW9uIFN0dWR5IChSQURJRUwpPC90aXRs
ZT48c2Vjb25kYXJ5LXRpdGxlPkRpYWJldGVzIENhcmU8L3NlY29uZGFyeS10aXRsZT48L3RpdGxl
cz48cGVyaW9kaWNhbD48ZnVsbC10aXRsZT5EaWFiZXRlcyBDYXJlPC9mdWxsLXRpdGxlPjwvcGVy
aW9kaWNhbD48cGFnZXM+MjQtMzA8L3BhZ2VzPjx2b2x1bWU+Mzk8L3ZvbHVtZT48bnVtYmVyPjE8
L251bWJlcj48c2VjdGlvbj4yNDwvc2VjdGlvbj48ZGF0ZXM+PHllYXI+MjAxNjwveWVhcj48L2Rh
dGVzPjxpc2JuPjAxNDktNTk5MiYjeEQ7MTkzNS01NTQ4PC9pc2JuPjx1cmxzPjwvdXJscz48ZWxl
Y3Ryb25pYy1yZXNvdXJjZS1udW0+MTAuMjMzNy9kYzE1LTA1MTE8L2VsZWN0cm9uaWMtcmVzb3Vy
Y2UtbnVtPjwvcmVjb3JkPjwvQ2l0ZT48Q2l0ZT48QXV0aG9yPktvcnBpLUh5b3ZhbHRpPC9BdXRo
b3I+PFllYXI+MjAxMTwvWWVhcj48UmVjTnVtPjY5NzwvUmVjTnVtPjxyZWNvcmQ+PHJlYy1udW1i
ZXI+Njk3PC9yZWMtbnVtYmVyPjxmb3JlaWduLWtleXM+PGtleSBhcHA9IkVOIiBkYi1pZD0iZXh2
YXNyZngyZHRyYW9lc2FzeHAyc3pzeGEyZGY1MDI1OTJ4IiB0aW1lc3RhbXA9IjE1NDA1MzAyNjgi
PjY5Nzwva2V5PjwvZm9yZWlnbi1rZXlzPjxyZWYtdHlwZSBuYW1lPSJKb3VybmFsIEFydGljbGUi
PjE3PC9yZWYtdHlwZT48Y29udHJpYnV0b3JzPjxhdXRob3JzPjxhdXRob3I+S29ycGktSHlvdmFs
dGksIEUuIEEuPC9hdXRob3I+PGF1dGhvcj5MYWFrc29uZW4sIEQuIEUuPC9hdXRob3I+PGF1dGhv
cj5TY2h3YWIsIFUuIFMuPC9hdXRob3I+PGF1dGhvcj5WYW5oYXBpaGEsIFQuIEguPC9hdXRob3I+
PGF1dGhvcj5WaWhsYSwgSy4gUi48L2F1dGhvcj48YXV0aG9yPkhlaW5vbmVuLCBTLiBULjwvYXV0
aG9yPjxhdXRob3I+Tmlza2FuZW4sIEwuIEsuPC9hdXRob3I+PC9hdXRob3JzPjwvY29udHJpYnV0
b3JzPjxhdXRoLWFkZHJlc3M+RGVwYXJ0bWVudCBvZiBJbnRlcm5hbCBNZWRpY2luZSwgU2VpbmFq
b2tpIENlbnRyYWwgSG9zcGl0YWwsIFNlaW5ham9raSwgRmlubGFuZC4gZWV2YS5rb3JwaS1oeW92
YWx0aUBlcHNocC5maTwvYXV0aC1hZGRyZXNzPjx0aXRsZXM+PHRpdGxlPkZlYXNpYmlsaXR5IG9m
IGEgbGlmZXN0eWxlIGludGVydmVudGlvbiBpbiBlYXJseSBwcmVnbmFuY3kgdG8gcHJldmVudCBk
ZXRlcmlvcmF0aW9uIG9mIGdsdWNvc2UgdG9sZXJhbmNlPC90aXRsZT48c2Vjb25kYXJ5LXRpdGxl
PkJNQyBQdWJsaWMgSGVhbHRoPC9zZWNvbmRhcnktdGl0bGU+PC90aXRsZXM+PHBlcmlvZGljYWw+
PGZ1bGwtdGl0bGU+Qk1DIFB1YmxpYyBIZWFsdGg8L2Z1bGwtdGl0bGU+PC9wZXJpb2RpY2FsPjxw
YWdlcz4xNzk8L3BhZ2VzPjx2b2x1bWU+MTE8L3ZvbHVtZT48ZWRpdGlvbj4yMDExLzAzLzI1PC9l
ZGl0aW9uPjxrZXl3b3Jkcz48a2V5d29yZD5BZHVsdDwva2V5d29yZD48a2V5d29yZD5EaWFiZXRl
cywgR2VzdGF0aW9uYWwvKnByZXZlbnRpb24gJmFtcDsgY29udHJvbDwva2V5d29yZD48a2V5d29y
ZD4qRGlyZWN0aXZlIENvdW5zZWxpbmc8L2tleXdvcmQ+PGtleXdvcmQ+RmVhc2liaWxpdHkgU3R1
ZGllczwva2V5d29yZD48a2V5d29yZD5GZW1hbGU8L2tleXdvcmQ+PGtleXdvcmQ+RmlubGFuZDwv
a2V5d29yZD48a2V5d29yZD5Gb2xsb3ctVXAgU3R1ZGllczwva2V5d29yZD48a2V5d29yZD5HbHVj
b3NlIEludG9sZXJhbmNlLypwcmV2ZW50aW9uICZhbXA7IGNvbnRyb2w8L2tleXdvcmQ+PGtleXdv
cmQ+R2x1Y29zZSBUb2xlcmFuY2UgVGVzdDwva2V5d29yZD48a2V5d29yZD5IdW1hbnM8L2tleXdv
cmQ+PGtleXdvcmQ+KkxpZmUgU3R5bGU8L2tleXdvcmQ+PGtleXdvcmQ+UHJlZ25hbmN5PC9rZXl3
b3JkPjxrZXl3b3JkPlJpc2sgRmFjdG9yczwva2V5d29yZD48a2V5d29yZD5UaW1lIEZhY3RvcnM8
L2tleXdvcmQ+PC9rZXl3b3Jkcz48ZGF0ZXM+PHllYXI+MjAxMTwveWVhcj48cHViLWRhdGVzPjxk
YXRlPk1hciAyNDwvZGF0ZT48L3B1Yi1kYXRlcz48L2RhdGVzPjxpc2JuPjE0NzEtMjQ1OCAoRWxl
Y3Ryb25pYykmI3hEOzE0NzEtMjQ1OCAoTGlua2luZyk8L2lzYm4+PGFjY2Vzc2lvbi1udW0+MjE0
MjkyMzQ8L2FjY2Vzc2lvbi1udW0+PHVybHM+PHJlbGF0ZWQtdXJscz48dXJsPmh0dHBzOi8vd3d3
Lm5jYmkubmxtLm5paC5nb3YvcHVibWVkLzIxNDI5MjM0PC91cmw+PC9yZWxhdGVkLXVybHM+PC91
cmxzPjxjdXN0b20yPlBNQzMwNzgwOTU8L2N1c3RvbTI+PGVsZWN0cm9uaWMtcmVzb3VyY2UtbnVt
PjEwLjExODYvMTQ3MS0yNDU4LTExLTE3OTwvZWxlY3Ryb25pYy1yZXNvdXJjZS1udW0+PC9yZWNv
cmQ+PC9DaXRlPjxDaXRlPjxBdXRob3I+THVvdG88L0F1dGhvcj48WWVhcj4yMDExPC9ZZWFyPjxS
ZWNOdW0+MTA4NDwvUmVjTnVtPjxyZWNvcmQ+PHJlYy1udW1iZXI+MTA4NDwvcmVjLW51bWJlcj48
Zm9yZWlnbi1rZXlzPjxrZXkgYXBwPSJFTiIgZGItaWQ9ImV4dmFzcmZ4MmR0cmFvZXNhc3hwMnN6
c3hhMmRmNTAyNTkyeCIgdGltZXN0YW1wPSIxNTUyOTQ2NTAxIj4xMDg0PC9rZXk+PGtleSBhcHA9
IkVOV2ViIiBkYi1pZD0iIj4wPC9rZXk+PC9mb3JlaWduLWtleXM+PHJlZi10eXBlIG5hbWU9Ikpv
dXJuYWwgQXJ0aWNsZSI+MTc8L3JlZi10eXBlPjxjb250cmlidXRvcnM+PGF1dGhvcnM+PGF1dGhv
cj5MdW90bywgUi48L2F1dGhvcj48YXV0aG9yPktpbm51bmVuLCBULiBJLjwvYXV0aG9yPjxhdXRo
b3I+QWl0dGFzYWxvLCBNLjwvYXV0aG9yPjxhdXRob3I+S29sdSwgUC48L2F1dGhvcj48YXV0aG9y
PlJhaXRhbmVuLCBKLjwvYXV0aG9yPjxhdXRob3I+T2phbGEsIEsuPC9hdXRob3I+PGF1dGhvcj5N
YW5zaWtrYW1ha2ksIEsuPC9hdXRob3I+PGF1dGhvcj5MYW1iZXJnLCBTLjwvYXV0aG9yPjxhdXRo
b3I+VmFzYW5rYXJpLCBULjwvYXV0aG9yPjxhdXRob3I+S29tdWxhaW5lbiwgVC48L2F1dGhvcj48
YXV0aG9yPlR1bG9rYXMsIFMuPC9hdXRob3I+PC9hdXRob3JzPjwvY29udHJpYnV0b3JzPjxhdXRo
LWFkZHJlc3M+VUtLIEluc3RpdHV0ZSBmb3IgSGVhbHRoIFByb21vdGlvbiBSZXNlYXJjaCwgVGFt
cGVyZSwgRmlubGFuZC4gcmlpdHRhLmx1b3RvQHV0YS5maTwvYXV0aC1hZGRyZXNzPjx0aXRsZXM+
PHRpdGxlPlByaW1hcnkgcHJldmVudGlvbiBvZiBnZXN0YXRpb25hbCBkaWFiZXRlcyBtZWxsaXR1
cyBhbmQgbGFyZ2UtZm9yLWdlc3RhdGlvbmFsLWFnZSBuZXdib3JucyBieSBsaWZlc3R5bGUgY291
bnNlbGluZzogYSBjbHVzdGVyLXJhbmRvbWl6ZWQgY29udHJvbGxlZCB0cmlhbDwvdGl0bGU+PHNl
Y29uZGFyeS10aXRsZT5QTG9TIE1lZDwvc2Vjb25kYXJ5LXRpdGxlPjwvdGl0bGVzPjxwZXJpb2Rp
Y2FsPjxmdWxsLXRpdGxlPlBMb1MgTWVkPC9mdWxsLXRpdGxlPjwvcGVyaW9kaWNhbD48cGFnZXM+
ZTEwMDEwMzY8L3BhZ2VzPjx2b2x1bWU+ODwvdm9sdW1lPjxudW1iZXI+NTwvbnVtYmVyPjxlZGl0
aW9uPjIwMTEvMDUvMjY8L2VkaXRpb24+PGtleXdvcmRzPjxrZXl3b3JkPkFkdWx0PC9rZXl3b3Jk
PjxrZXl3b3JkPkJlaGF2aW9yL3BoeXNpb2xvZ3k8L2tleXdvcmQ+PGtleXdvcmQ+QmlydGggV2Vp
Z2h0LypwaHlzaW9sb2d5PC9rZXl3b3JkPjxrZXl3b3JkPkRpYWJldGVzLCBHZXN0YXRpb25hbC8q
cHJldmVudGlvbiAmYW1wOyBjb250cm9sPC9rZXl3b3JkPjxrZXl3b3JkPkRpZXQ8L2tleXdvcmQ+
PGtleXdvcmQ+RmVtYWxlPC9rZXl3b3JkPjxrZXl3b3JkPkZpbmxhbmQ8L2tleXdvcmQ+PGtleXdv
cmQ+Kkdlc3RhdGlvbmFsIEFnZTwva2V5d29yZD48a2V5d29yZD5HbHVjb3NlIFRvbGVyYW5jZSBU
ZXN0PC9rZXl3b3JkPjxrZXl3b3JkPipIZWFsdGggRWR1Y2F0aW9uPC9rZXl3b3JkPjxrZXl3b3Jk
Pkh1bWFuczwva2V5d29yZD48a2V5d29yZD5JbmZhbnQsIE5ld2Jvcm48L2tleXdvcmQ+PGtleXdv
cmQ+SW5zdWxpbi9tZXRhYm9saXNtPC9rZXl3b3JkPjxrZXl3b3JkPipMaWZlIFN0eWxlPC9rZXl3
b3JkPjxrZXl3b3JkPk1vdG9yIEFjdGl2aXR5PC9rZXl3b3JkPjxrZXl3b3JkPlBhdGllbnQgQ29t
cGxpYW5jZTwva2V5d29yZD48a2V5d29yZD5QcmVnbmFuY3k8L2tleXdvcmQ+PGtleXdvcmQ+KlBy
aW1hcnkgUHJldmVudGlvbjwva2V5d29yZD48a2V5d29yZD5UcmVhdG1lbnQgT3V0Y29tZTwva2V5
d29yZD48L2tleXdvcmRzPjxkYXRlcz48eWVhcj4yMDExPC95ZWFyPjxwdWItZGF0ZXM+PGRhdGU+
TWF5PC9kYXRlPjwvcHViLWRhdGVzPjwvZGF0ZXM+PGlzYm4+MTU0OS0xNjc2IChFbGVjdHJvbmlj
KSYjeEQ7MTU0OS0xMjc3IChMaW5raW5nKTwvaXNibj48YWNjZXNzaW9uLW51bT4yMTYxMDg2MDwv
YWNjZXNzaW9uLW51bT48dXJscz48cmVsYXRlZC11cmxzPjx1cmw+aHR0cHM6Ly93d3cubmNiaS5u
bG0ubmloLmdvdi9wdWJtZWQvMjE2MTA4NjA8L3VybD48L3JlbGF0ZWQtdXJscz48L3VybHM+PGN1
c3RvbTI+UE1DMzA5NjYxMDwvY3VzdG9tMj48ZWxlY3Ryb25pYy1yZXNvdXJjZS1udW0+MTAuMTM3
MS9qb3VybmFsLnBtZWQuMTAwMTAzNjwvZWxlY3Ryb25pYy1yZXNvdXJjZS1udW0+PC9yZWNvcmQ+
PC9DaXRlPjwvRW5kTm90ZT5=
</w:fldData>
        </w:fldChar>
      </w:r>
      <w:r w:rsidR="002747EA">
        <w:instrText xml:space="preserve"> ADDIN EN.CITE </w:instrText>
      </w:r>
      <w:r w:rsidR="002747EA">
        <w:fldChar w:fldCharType="begin">
          <w:fldData xml:space="preserve">PEVuZE5vdGU+PENpdGU+PEF1dGhvcj5Lb2l2dXNhbG88L0F1dGhvcj48WWVhcj4yMDE2PC9ZZWFy
PjxSZWNOdW0+NzMzPC9SZWNOdW0+PERpc3BsYXlUZXh0PjxzdHlsZSBmYWNlPSJzdXBlcnNjcmlw
dCIgZm9udD0iVHJlYnVjaGV0IE1TIiBzaXplPSI5Ij41MTYsNTE5LDUyMjwvc3R5bGU+PC9EaXNw
bGF5VGV4dD48cmVjb3JkPjxyZWMtbnVtYmVyPjczMzwvcmVjLW51bWJlcj48Zm9yZWlnbi1rZXlz
PjxrZXkgYXBwPSJFTiIgZGItaWQ9ImV4dmFzcmZ4MmR0cmFvZXNhc3hwMnN6c3hhMmRmNTAyNTky
eCIgdGltZXN0YW1wPSIxNTQxNDY3NzY2Ij43MzM8L2tleT48a2V5IGFwcD0iRU5XZWIiIGRiLWlk
PSIiPjA8L2tleT48L2ZvcmVpZ24ta2V5cz48cmVmLXR5cGUgbmFtZT0iSm91cm5hbCBBcnRpY2xl
Ij4xNzwvcmVmLXR5cGU+PGNvbnRyaWJ1dG9ycz48YXV0aG9ycz48YXV0aG9yPktvaXZ1c2Fsbywg
Uy5CLiw8L2F1dGhvcj48YXV0aG9yPlLDtm7DtiwgSy4sPC9hdXRob3I+PGF1dGhvcj5LbGVtZXR0
aSwgTS5NLiw8L2F1dGhvcj48YXV0aG9yPlJvaW5lLCBSLlAuLDwvYXV0aG9yPjxhdXRob3I+TGlu
ZHN0csO2bSwgSi4sPC9hdXRob3I+PGF1dGhvcj5Fcmtrb2xhLCBNLiw8L2F1dGhvcj48L2F1dGhv
cnM+PC9jb250cmlidXRvcnM+PHRpdGxlcz48dGl0bGU+R2VzdGF0aW9uYWwgZGlhYmV0ZXMgbWVs
bGl0dXMgY2FuIGJlIHByZXZlbnRlZCBieSBsaWZlc3R5bGUgaW50ZXJ2ZW50aW9uOiBUaGUgRmlu
bmlzaCBHZXN0YXRpb25hbCBEaWFiZXRlcyBQcmV2ZW50aW9uIFN0dWR5IChSQURJRUwpPC90aXRs
ZT48c2Vjb25kYXJ5LXRpdGxlPkRpYWJldGVzIENhcmU8L3NlY29uZGFyeS10aXRsZT48L3RpdGxl
cz48cGVyaW9kaWNhbD48ZnVsbC10aXRsZT5EaWFiZXRlcyBDYXJlPC9mdWxsLXRpdGxlPjwvcGVy
aW9kaWNhbD48cGFnZXM+MjQtMzA8L3BhZ2VzPjx2b2x1bWU+Mzk8L3ZvbHVtZT48bnVtYmVyPjE8
L251bWJlcj48c2VjdGlvbj4yNDwvc2VjdGlvbj48ZGF0ZXM+PHllYXI+MjAxNjwveWVhcj48L2Rh
dGVzPjxpc2JuPjAxNDktNTk5MiYjeEQ7MTkzNS01NTQ4PC9pc2JuPjx1cmxzPjwvdXJscz48ZWxl
Y3Ryb25pYy1yZXNvdXJjZS1udW0+MTAuMjMzNy9kYzE1LTA1MTE8L2VsZWN0cm9uaWMtcmVzb3Vy
Y2UtbnVtPjwvcmVjb3JkPjwvQ2l0ZT48Q2l0ZT48QXV0aG9yPktvcnBpLUh5b3ZhbHRpPC9BdXRo
b3I+PFllYXI+MjAxMTwvWWVhcj48UmVjTnVtPjY5NzwvUmVjTnVtPjxyZWNvcmQ+PHJlYy1udW1i
ZXI+Njk3PC9yZWMtbnVtYmVyPjxmb3JlaWduLWtleXM+PGtleSBhcHA9IkVOIiBkYi1pZD0iZXh2
YXNyZngyZHRyYW9lc2FzeHAyc3pzeGEyZGY1MDI1OTJ4IiB0aW1lc3RhbXA9IjE1NDA1MzAyNjgi
PjY5Nzwva2V5PjwvZm9yZWlnbi1rZXlzPjxyZWYtdHlwZSBuYW1lPSJKb3VybmFsIEFydGljbGUi
PjE3PC9yZWYtdHlwZT48Y29udHJpYnV0b3JzPjxhdXRob3JzPjxhdXRob3I+S29ycGktSHlvdmFs
dGksIEUuIEEuPC9hdXRob3I+PGF1dGhvcj5MYWFrc29uZW4sIEQuIEUuPC9hdXRob3I+PGF1dGhv
cj5TY2h3YWIsIFUuIFMuPC9hdXRob3I+PGF1dGhvcj5WYW5oYXBpaGEsIFQuIEguPC9hdXRob3I+
PGF1dGhvcj5WaWhsYSwgSy4gUi48L2F1dGhvcj48YXV0aG9yPkhlaW5vbmVuLCBTLiBULjwvYXV0
aG9yPjxhdXRob3I+Tmlza2FuZW4sIEwuIEsuPC9hdXRob3I+PC9hdXRob3JzPjwvY29udHJpYnV0
b3JzPjxhdXRoLWFkZHJlc3M+RGVwYXJ0bWVudCBvZiBJbnRlcm5hbCBNZWRpY2luZSwgU2VpbmFq
b2tpIENlbnRyYWwgSG9zcGl0YWwsIFNlaW5ham9raSwgRmlubGFuZC4gZWV2YS5rb3JwaS1oeW92
YWx0aUBlcHNocC5maTwvYXV0aC1hZGRyZXNzPjx0aXRsZXM+PHRpdGxlPkZlYXNpYmlsaXR5IG9m
IGEgbGlmZXN0eWxlIGludGVydmVudGlvbiBpbiBlYXJseSBwcmVnbmFuY3kgdG8gcHJldmVudCBk
ZXRlcmlvcmF0aW9uIG9mIGdsdWNvc2UgdG9sZXJhbmNlPC90aXRsZT48c2Vjb25kYXJ5LXRpdGxl
PkJNQyBQdWJsaWMgSGVhbHRoPC9zZWNvbmRhcnktdGl0bGU+PC90aXRsZXM+PHBlcmlvZGljYWw+
PGZ1bGwtdGl0bGU+Qk1DIFB1YmxpYyBIZWFsdGg8L2Z1bGwtdGl0bGU+PC9wZXJpb2RpY2FsPjxw
YWdlcz4xNzk8L3BhZ2VzPjx2b2x1bWU+MTE8L3ZvbHVtZT48ZWRpdGlvbj4yMDExLzAzLzI1PC9l
ZGl0aW9uPjxrZXl3b3Jkcz48a2V5d29yZD5BZHVsdDwva2V5d29yZD48a2V5d29yZD5EaWFiZXRl
cywgR2VzdGF0aW9uYWwvKnByZXZlbnRpb24gJmFtcDsgY29udHJvbDwva2V5d29yZD48a2V5d29y
ZD4qRGlyZWN0aXZlIENvdW5zZWxpbmc8L2tleXdvcmQ+PGtleXdvcmQ+RmVhc2liaWxpdHkgU3R1
ZGllczwva2V5d29yZD48a2V5d29yZD5GZW1hbGU8L2tleXdvcmQ+PGtleXdvcmQ+RmlubGFuZDwv
a2V5d29yZD48a2V5d29yZD5Gb2xsb3ctVXAgU3R1ZGllczwva2V5d29yZD48a2V5d29yZD5HbHVj
b3NlIEludG9sZXJhbmNlLypwcmV2ZW50aW9uICZhbXA7IGNvbnRyb2w8L2tleXdvcmQ+PGtleXdv
cmQ+R2x1Y29zZSBUb2xlcmFuY2UgVGVzdDwva2V5d29yZD48a2V5d29yZD5IdW1hbnM8L2tleXdv
cmQ+PGtleXdvcmQ+KkxpZmUgU3R5bGU8L2tleXdvcmQ+PGtleXdvcmQ+UHJlZ25hbmN5PC9rZXl3
b3JkPjxrZXl3b3JkPlJpc2sgRmFjdG9yczwva2V5d29yZD48a2V5d29yZD5UaW1lIEZhY3RvcnM8
L2tleXdvcmQ+PC9rZXl3b3Jkcz48ZGF0ZXM+PHllYXI+MjAxMTwveWVhcj48cHViLWRhdGVzPjxk
YXRlPk1hciAyNDwvZGF0ZT48L3B1Yi1kYXRlcz48L2RhdGVzPjxpc2JuPjE0NzEtMjQ1OCAoRWxl
Y3Ryb25pYykmI3hEOzE0NzEtMjQ1OCAoTGlua2luZyk8L2lzYm4+PGFjY2Vzc2lvbi1udW0+MjE0
MjkyMzQ8L2FjY2Vzc2lvbi1udW0+PHVybHM+PHJlbGF0ZWQtdXJscz48dXJsPmh0dHBzOi8vd3d3
Lm5jYmkubmxtLm5paC5nb3YvcHVibWVkLzIxNDI5MjM0PC91cmw+PC9yZWxhdGVkLXVybHM+PC91
cmxzPjxjdXN0b20yPlBNQzMwNzgwOTU8L2N1c3RvbTI+PGVsZWN0cm9uaWMtcmVzb3VyY2UtbnVt
PjEwLjExODYvMTQ3MS0yNDU4LTExLTE3OTwvZWxlY3Ryb25pYy1yZXNvdXJjZS1udW0+PC9yZWNv
cmQ+PC9DaXRlPjxDaXRlPjxBdXRob3I+THVvdG88L0F1dGhvcj48WWVhcj4yMDExPC9ZZWFyPjxS
ZWNOdW0+MTA4NDwvUmVjTnVtPjxyZWNvcmQ+PHJlYy1udW1iZXI+MTA4NDwvcmVjLW51bWJlcj48
Zm9yZWlnbi1rZXlzPjxrZXkgYXBwPSJFTiIgZGItaWQ9ImV4dmFzcmZ4MmR0cmFvZXNhc3hwMnN6
c3hhMmRmNTAyNTkyeCIgdGltZXN0YW1wPSIxNTUyOTQ2NTAxIj4xMDg0PC9rZXk+PGtleSBhcHA9
IkVOV2ViIiBkYi1pZD0iIj4wPC9rZXk+PC9mb3JlaWduLWtleXM+PHJlZi10eXBlIG5hbWU9Ikpv
dXJuYWwgQXJ0aWNsZSI+MTc8L3JlZi10eXBlPjxjb250cmlidXRvcnM+PGF1dGhvcnM+PGF1dGhv
cj5MdW90bywgUi48L2F1dGhvcj48YXV0aG9yPktpbm51bmVuLCBULiBJLjwvYXV0aG9yPjxhdXRo
b3I+QWl0dGFzYWxvLCBNLjwvYXV0aG9yPjxhdXRob3I+S29sdSwgUC48L2F1dGhvcj48YXV0aG9y
PlJhaXRhbmVuLCBKLjwvYXV0aG9yPjxhdXRob3I+T2phbGEsIEsuPC9hdXRob3I+PGF1dGhvcj5N
YW5zaWtrYW1ha2ksIEsuPC9hdXRob3I+PGF1dGhvcj5MYW1iZXJnLCBTLjwvYXV0aG9yPjxhdXRo
b3I+VmFzYW5rYXJpLCBULjwvYXV0aG9yPjxhdXRob3I+S29tdWxhaW5lbiwgVC48L2F1dGhvcj48
YXV0aG9yPlR1bG9rYXMsIFMuPC9hdXRob3I+PC9hdXRob3JzPjwvY29udHJpYnV0b3JzPjxhdXRo
LWFkZHJlc3M+VUtLIEluc3RpdHV0ZSBmb3IgSGVhbHRoIFByb21vdGlvbiBSZXNlYXJjaCwgVGFt
cGVyZSwgRmlubGFuZC4gcmlpdHRhLmx1b3RvQHV0YS5maTwvYXV0aC1hZGRyZXNzPjx0aXRsZXM+
PHRpdGxlPlByaW1hcnkgcHJldmVudGlvbiBvZiBnZXN0YXRpb25hbCBkaWFiZXRlcyBtZWxsaXR1
cyBhbmQgbGFyZ2UtZm9yLWdlc3RhdGlvbmFsLWFnZSBuZXdib3JucyBieSBsaWZlc3R5bGUgY291
bnNlbGluZzogYSBjbHVzdGVyLXJhbmRvbWl6ZWQgY29udHJvbGxlZCB0cmlhbDwvdGl0bGU+PHNl
Y29uZGFyeS10aXRsZT5QTG9TIE1lZDwvc2Vjb25kYXJ5LXRpdGxlPjwvdGl0bGVzPjxwZXJpb2Rp
Y2FsPjxmdWxsLXRpdGxlPlBMb1MgTWVkPC9mdWxsLXRpdGxlPjwvcGVyaW9kaWNhbD48cGFnZXM+
ZTEwMDEwMzY8L3BhZ2VzPjx2b2x1bWU+ODwvdm9sdW1lPjxudW1iZXI+NTwvbnVtYmVyPjxlZGl0
aW9uPjIwMTEvMDUvMjY8L2VkaXRpb24+PGtleXdvcmRzPjxrZXl3b3JkPkFkdWx0PC9rZXl3b3Jk
PjxrZXl3b3JkPkJlaGF2aW9yL3BoeXNpb2xvZ3k8L2tleXdvcmQ+PGtleXdvcmQ+QmlydGggV2Vp
Z2h0LypwaHlzaW9sb2d5PC9rZXl3b3JkPjxrZXl3b3JkPkRpYWJldGVzLCBHZXN0YXRpb25hbC8q
cHJldmVudGlvbiAmYW1wOyBjb250cm9sPC9rZXl3b3JkPjxrZXl3b3JkPkRpZXQ8L2tleXdvcmQ+
PGtleXdvcmQ+RmVtYWxlPC9rZXl3b3JkPjxrZXl3b3JkPkZpbmxhbmQ8L2tleXdvcmQ+PGtleXdv
cmQ+Kkdlc3RhdGlvbmFsIEFnZTwva2V5d29yZD48a2V5d29yZD5HbHVjb3NlIFRvbGVyYW5jZSBU
ZXN0PC9rZXl3b3JkPjxrZXl3b3JkPipIZWFsdGggRWR1Y2F0aW9uPC9rZXl3b3JkPjxrZXl3b3Jk
Pkh1bWFuczwva2V5d29yZD48a2V5d29yZD5JbmZhbnQsIE5ld2Jvcm48L2tleXdvcmQ+PGtleXdv
cmQ+SW5zdWxpbi9tZXRhYm9saXNtPC9rZXl3b3JkPjxrZXl3b3JkPipMaWZlIFN0eWxlPC9rZXl3
b3JkPjxrZXl3b3JkPk1vdG9yIEFjdGl2aXR5PC9rZXl3b3JkPjxrZXl3b3JkPlBhdGllbnQgQ29t
cGxpYW5jZTwva2V5d29yZD48a2V5d29yZD5QcmVnbmFuY3k8L2tleXdvcmQ+PGtleXdvcmQ+KlBy
aW1hcnkgUHJldmVudGlvbjwva2V5d29yZD48a2V5d29yZD5UcmVhdG1lbnQgT3V0Y29tZTwva2V5
d29yZD48L2tleXdvcmRzPjxkYXRlcz48eWVhcj4yMDExPC95ZWFyPjxwdWItZGF0ZXM+PGRhdGU+
TWF5PC9kYXRlPjwvcHViLWRhdGVzPjwvZGF0ZXM+PGlzYm4+MTU0OS0xNjc2IChFbGVjdHJvbmlj
KSYjeEQ7MTU0OS0xMjc3IChMaW5raW5nKTwvaXNibj48YWNjZXNzaW9uLW51bT4yMTYxMDg2MDwv
YWNjZXNzaW9uLW51bT48dXJscz48cmVsYXRlZC11cmxzPjx1cmw+aHR0cHM6Ly93d3cubmNiaS5u
bG0ubmloLmdvdi9wdWJtZWQvMjE2MTA4NjA8L3VybD48L3JlbGF0ZWQtdXJscz48L3VybHM+PGN1
c3RvbTI+UE1DMzA5NjYxMDwvY3VzdG9tMj48ZWxlY3Ryb25pYy1yZXNvdXJjZS1udW0+MTAuMTM3
MS9qb3VybmFsLnBtZWQuMTAwMTAzNjwvZWxlY3Ryb25pYy1yZXNvdXJjZS1udW0+PC9yZWNvcmQ+
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516,519,522</w:t>
      </w:r>
      <w:r>
        <w:fldChar w:fldCharType="end"/>
      </w:r>
      <w:r w:rsidR="00A95FF7">
        <w:t xml:space="preserve"> Germany (n=2</w:t>
      </w:r>
      <w:r>
        <w:t>),</w:t>
      </w:r>
      <w:r>
        <w:fldChar w:fldCharType="begin">
          <w:fldData xml:space="preserve">PEVuZE5vdGU+PENpdGU+PEF1dGhvcj5SYXVoPC9BdXRob3I+PFllYXI+MjAxMzwvWWVhcj48UmVj
TnVtPjExMDk8L1JlY051bT48RGlzcGxheVRleHQ+PHN0eWxlIGZhY2U9InN1cGVyc2NyaXB0IiBm
b250PSJUcmVidWNoZXQgTVMiIHNpemU9IjkiPjQ5Niw0OTc8L3N0eWxlPjwvRGlzcGxheVRleHQ+
PHJlY29yZD48cmVjLW51bWJlcj4xMTA5PC9yZWMtbnVtYmVyPjxmb3JlaWduLWtleXM+PGtleSBh
cHA9IkVOIiBkYi1pZD0iZXh2YXNyZngyZHRyYW9lc2FzeHAyc3pzeGEyZGY1MDI1OTJ4IiB0aW1l
c3RhbXA9IjE1NTI5NDg0ODUiPjExMDk8L2tleT48L2ZvcmVpZ24ta2V5cz48cmVmLXR5cGUgbmFt
ZT0iSm91cm5hbCBBcnRpY2xlIj4xNzwvcmVmLXR5cGU+PGNvbnRyaWJ1dG9ycz48YXV0aG9ycz48
YXV0aG9yPlJhdWgsIEsuPC9hdXRob3I+PGF1dGhvcj5HYWJyaWVsLCBFLjwvYXV0aG9yPjxhdXRo
b3I+S2Vyc2NoYmF1bSwgRS48L2F1dGhvcj48YXV0aG9yPlNjaHVzdGVyLCBULjwvYXV0aG9yPjxh
dXRob3I+dm9uIEtyaWVzLCBSLjwvYXV0aG9yPjxhdXRob3I+QW1hbm4tR2Fzc25lciwgVS48L2F1
dGhvcj48YXV0aG9yPkhhdW5lciwgSC48L2F1dGhvcj48L2F1dGhvcnM+PC9jb250cmlidXRvcnM+
PHRpdGxlcz48dGl0bGU+U2FmZXR5IGFuZCBlZmZpY2FjeSBvZiBhIGxpZmVzdHlsZSBpbnRlcnZl
bnRpb24gZm9yIHByZWduYW50IHdvbWVuIHRvIHByZXZlbnQgZXhjZXNzaXZlIG1hdGVybmFsIHdl
aWdodCBnYWluOiBhIGNsdXN0ZXItcmFuZG9taXplZCBjb250cm9sbGVkIHRyaWFsPC90aXRsZT48
c2Vjb25kYXJ5LXRpdGxlPkJNQyBQcmVnbmFuY3kgQ2hpbGRiaXJ0aDwvc2Vjb25kYXJ5LXRpdGxl
PjwvdGl0bGVzPjxwZXJpb2RpY2FsPjxmdWxsLXRpdGxlPkJNQyBQcmVnbmFuY3kgQ2hpbGRiaXJ0
aDwvZnVsbC10aXRsZT48L3BlcmlvZGljYWw+PHBhZ2VzPjE1MTwvcGFnZXM+PHZvbHVtZT4xMzwv
dm9sdW1lPjxlZGl0aW9uPjIwMTMvMDcvMjA8L2VkaXRpb24+PGtleXdvcmRzPjxrZXl3b3JkPkFk
dWx0PC9rZXl3b3JkPjxrZXl3b3JkPipCaXJ0aCBXZWlnaHQ8L2tleXdvcmQ+PGtleXdvcmQ+Q291
bnNlbGluZy8qbWV0aG9kczwva2V5d29yZD48a2V5d29yZD4qRW5lcmd5IEludGFrZTwva2V5d29y
ZD48a2V5d29yZD5GZWFzaWJpbGl0eSBTdHVkaWVzPC9rZXl3b3JkPjxrZXl3b3JkPkZlbWFsZTwv
a2V5d29yZD48a2V5d29yZD5IdW1hbnM8L2tleXdvcmQ+PGtleXdvcmQ+SW5mYW50LCBOZXdib3Ju
PC9rZXl3b3JkPjxrZXl3b3JkPipNb3RvciBBY3Rpdml0eTwva2V5d29yZD48a2V5d29yZD5PYmVz
aXR5LypwcmV2ZW50aW9uICZhbXA7IGNvbnRyb2w8L2tleXdvcmQ+PGtleXdvcmQ+T3ZlcndlaWdo
dC9wcmV2ZW50aW9uICZhbXA7IGNvbnRyb2w8L2tleXdvcmQ+PGtleXdvcmQ+UG9zdHBhcnR1bSBQ
ZXJpb2Q8L2tleXdvcmQ+PGtleXdvcmQ+UHJlZ25hbmN5PC9rZXl3b3JkPjxrZXl3b3JkPlByZWdu
YW5jeSBDb21wbGljYXRpb25zLypwcmV2ZW50aW9uICZhbXA7IGNvbnRyb2w8L2tleXdvcmQ+PGtl
eXdvcmQ+UHJlZ25hbmN5IE91dGNvbWU8L2tleXdvcmQ+PGtleXdvcmQ+KldlaWdodCBHYWluPC9r
ZXl3b3JkPjwva2V5d29yZHM+PGRhdGVzPjx5ZWFyPjIwMTM8L3llYXI+PHB1Yi1kYXRlcz48ZGF0
ZT5KdWwgMTY8L2RhdGU+PC9wdWItZGF0ZXM+PC9kYXRlcz48aXNibj4xNDcxLTIzOTMgKEVsZWN0
cm9uaWMpJiN4RDsxNDcxLTIzOTMgKExpbmtpbmcpPC9pc2JuPjxhY2Nlc3Npb24tbnVtPjIzODY1
NjI0PC9hY2Nlc3Npb24tbnVtPjx1cmxzPjxyZWxhdGVkLXVybHM+PHVybD5odHRwczovL3d3dy5u
Y2JpLm5sbS5uaWguZ292L3B1Ym1lZC8yMzg2NTYyNDwvdXJsPjwvcmVsYXRlZC11cmxzPjwvdXJs
cz48Y3VzdG9tMj5QTUMzNzE4NzA3PC9jdXN0b20yPjxlbGVjdHJvbmljLXJlc291cmNlLW51bT4x
MC4xMTg2LzE0NzEtMjM5My0xMy0xNTE8L2VsZWN0cm9uaWMtcmVzb3VyY2UtbnVtPjwvcmVjb3Jk
PjwvQ2l0ZT48Q2l0ZT48QXV0aG9yPkt1bmF0aDwvQXV0aG9yPjxZZWFyPjIwMTk8L1llYXI+PFJl
Y051bT4xMzc3PC9SZWNOdW0+PHJlY29yZD48cmVjLW51bWJlcj4xMzc3PC9yZWMtbnVtYmVyPjxm
b3JlaWduLWtleXM+PGtleSBhcHA9IkVOIiBkYi1pZD0iZXh2YXNyZngyZHRyYW9lc2FzeHAyc3pz
eGEyZGY1MDI1OTJ4IiB0aW1lc3RhbXA9IjE1NjcwMzk1MzYiPjEzNzc8L2tleT48a2V5IGFwcD0i
RU5XZWIiIGRiLWlkPSIiPjA8L2tleT48L2ZvcmVpZ24ta2V5cz48cmVmLXR5cGUgbmFtZT0iSm91
cm5hbCBBcnRpY2xlIj4xNzwvcmVmLXR5cGU+PGNvbnRyaWJ1dG9ycz48YXV0aG9ycz48YXV0aG9y
Pkt1bmF0aCwgSi48L2F1dGhvcj48YXV0aG9yPkd1bnRoZXIsIEouPC9hdXRob3I+PGF1dGhvcj5S
YXVoLCBLLjwvYXV0aG9yPjxhdXRob3I+SG9mZm1hbm4sIEouPC9hdXRob3I+PGF1dGhvcj5TdGVj
aGVyLCBMLjwvYXV0aG9yPjxhdXRob3I+Um9zZW5mZWxkLCBFLjwvYXV0aG9yPjxhdXRob3I+S2lj
aywgTC48L2F1dGhvcj48YXV0aG9yPlVsbSwgSy48L2F1dGhvcj48YXV0aG9yPkhhdW5lciwgSC48
L2F1dGhvcj48L2F1dGhvcnM+PC9jb250cmlidXRvcnM+PGF1dGgtYWRkcmVzcz5FbHNlIEtyb25l
ci1GcmVzZW5pdXMtQ2VudHJlIGZvciBOdXRyaXRpb25hbCBNZWRpY2luZSwgS2xpbmlrdW0gcmVj
aHRzIGRlciBJc2FyLCBUZWNobmljYWwgVW5pdmVyc2l0eSBvZiBNdW5pY2gsIEdlb3JnLUJyYXVj
aGxlLVJpbmcgNjIsIDgwOTkyLCBNdW5pY2gsIEdlcm1hbnkuJiN4RDtDb21wZXRlbmNlIENlbnRy
ZSBmb3IgTnV0cml0aW9uIChLRXJuKSwgQW0gR2VyZXV0aCA0LCA4NTM1NCwgRnJlaXNpbmcsIEdl
cm1hbnkuJiN4RDtJbnN0aXR1dGUgb2YgTWVkaWNhbCBJbmZvcm1hdGljcywgU3RhdGlzdGljcyBh
bmQgRXBpZGVtaW9sb2d5LCBLbGluaWt1bSByZWNodHMgZGVyIElzYXIsIFRlY2huaWNhbCBVbml2
ZXJzaXR5IG9mIE11bmljaCwgSXNtYW5pbmdlciBTdHJhc3NlIDIyLCA4MTY3NSwgTXVuaWNoLCBH
ZXJtYW55LiYjeEQ7RWxzZSBLcm9uZXItRnJlc2VuaXVzLUNlbnRyZSBmb3IgTnV0cml0aW9uYWwg
TWVkaWNpbmUsIEtsaW5pa3VtIHJlY2h0cyBkZXIgSXNhciwgVGVjaG5pY2FsIFVuaXZlcnNpdHkg
b2YgTXVuaWNoLCBHZW9yZy1CcmF1Y2hsZS1SaW5nIDYyLCA4MDk5MiwgTXVuaWNoLCBHZXJtYW55
LiBoYW5zLmhhdW5lckB0dW0uZGUuPC9hdXRoLWFkZHJlc3M+PHRpdGxlcz48dGl0bGU+RWZmZWN0
cyBvZiBhIGxpZmVzdHlsZSBpbnRlcnZlbnRpb24gZHVyaW5nIHByZWduYW5jeSB0byBwcmV2ZW50
IGV4Y2Vzc2l2ZSBnZXN0YXRpb25hbCB3ZWlnaHQgZ2FpbiBpbiByb3V0aW5lIGNhcmUgLSB0aGUg
Y2x1c3Rlci1yYW5kb21pc2VkIEdlbGlTIHRyaWFsPC90aXRsZT48c2Vjb25kYXJ5LXRpdGxlPkJN
QyBNZWQ8L3NlY29uZGFyeS10aXRsZT48L3RpdGxlcz48cGVyaW9kaWNhbD48ZnVsbC10aXRsZT5C
TUMgTWVkPC9mdWxsLXRpdGxlPjwvcGVyaW9kaWNhbD48cGFnZXM+NTwvcGFnZXM+PHZvbHVtZT4x
Nzwvdm9sdW1lPjxudW1iZXI+MTwvbnVtYmVyPjxlZGl0aW9uPjIwMTkvMDEvMTU8L2VkaXRpb24+
PGtleXdvcmRzPjxrZXl3b3JkPkFkdWx0PC9rZXl3b3JkPjxrZXl3b3JkPkNvdW5zZWxpbmcvbWV0
aG9kczwva2V5d29yZD48a2V5d29yZD5EaWFiZXRlcywgR2VzdGF0aW9uYWwvcHJldmVudGlvbiAm
YW1wOyBjb250cm9sPC9rZXl3b3JkPjxrZXl3b3JkPkRpZXQgVGhlcmFweS9tZXRob2RzPC9rZXl3
b3JkPjxrZXl3b3JkPkV4ZXJjaXNlIFRoZXJhcHkvbWV0aG9kczwva2V5d29yZD48a2V5d29yZD5G
ZW1hbGU8L2tleXdvcmQ+PGtleXdvcmQ+Kkdlc3RhdGlvbmFsIFdlaWdodCBHYWluPC9rZXl3b3Jk
PjxrZXl3b3JkPkh1bWFuczwva2V5d29yZD48a2V5d29yZD5MaWZlIFN0eWxlPC9rZXl3b3JkPjxr
ZXl3b3JkPlBlZGlhdHJpYyBPYmVzaXR5L3ByZXZlbnRpb24gJmFtcDsgY29udHJvbDwva2V5d29y
ZD48a2V5d29yZD5QcmVnbmFuY3k8L2tleXdvcmQ+PGtleXdvcmQ+UHJlZ25hbmN5IENvbXBsaWNh
dGlvbnMvKnByZXZlbnRpb24gJmFtcDsgY29udHJvbDwva2V5d29yZD48a2V5d29yZD5QcmVuYXRh
bCBDYXJlLyptZXRob2RzPC9rZXl3b3JkPjxrZXl3b3JkPipMaWZlc3R5bGUgaW50ZXJ2ZW50aW9u
PC9rZXl3b3JkPjxrZXl3b3JkPipjaGlsZGhvb2Qgb2Jlc2l0eTwva2V5d29yZD48a2V5d29yZD4q
ZGlldDwva2V5d29yZD48a2V5d29yZD4qZXhlcmNpc2U8L2tleXdvcmQ+PGtleXdvcmQ+Kmdlc3Rh
dGlvbmFsIGRpYWJldGVzPC9rZXl3b3JkPjxrZXl3b3JkPipvYmVzaXR5IHByZXZlbnRpb248L2tl
eXdvcmQ+PGtleXdvcmQ+Km9ic3RldHJpYyBvdXRjb21lczwva2V5d29yZD48a2V5d29yZD4qcHJl
Z25hbmN5PC9rZXl3b3JkPjxrZXl3b3JkPip3ZWlnaHQgcmV0ZW50aW9uPC9rZXl3b3JkPjwva2V5
d29yZHM+PGRhdGVzPjx5ZWFyPjIwMTk8L3llYXI+PHB1Yi1kYXRlcz48ZGF0ZT5KYW4gMTQ8L2Rh
dGU+PC9wdWItZGF0ZXM+PC9kYXRlcz48aXNibj4xNzQxLTcwMTUgKEVsZWN0cm9uaWMpJiN4RDsx
NzQxLTcwMTUgKExpbmtpbmcpPC9pc2JuPjxhY2Nlc3Npb24tbnVtPjMwNjM2NjM2PC9hY2Nlc3Np
b24tbnVtPjx1cmxzPjxyZWxhdGVkLXVybHM+PHVybD5odHRwczovL3d3dy5uY2JpLm5sbS5uaWgu
Z292L3B1Ym1lZC8zMDYzNjYzNjwvdXJsPjwvcmVsYXRlZC11cmxzPjwvdXJscz48Y3VzdG9tMj5Q
TUM2MzMwNzUzPC9jdXN0b20yPjxlbGVjdHJvbmljLXJlc291cmNlLW51bT4xMC4xMTg2L3MxMjkx
Ni0wMTgtMTIzNS16PC9lbGVjdHJvbmljLXJlc291cmNlLW51bT48L3JlY29yZD48L0NpdGU+PC9F
bmROb3RlPn==
</w:fldData>
        </w:fldChar>
      </w:r>
      <w:r w:rsidR="002747EA">
        <w:instrText xml:space="preserve"> ADDIN EN.CITE </w:instrText>
      </w:r>
      <w:r w:rsidR="002747EA">
        <w:fldChar w:fldCharType="begin">
          <w:fldData xml:space="preserve">PEVuZE5vdGU+PENpdGU+PEF1dGhvcj5SYXVoPC9BdXRob3I+PFllYXI+MjAxMzwvWWVhcj48UmVj
TnVtPjExMDk8L1JlY051bT48RGlzcGxheVRleHQ+PHN0eWxlIGZhY2U9InN1cGVyc2NyaXB0IiBm
b250PSJUcmVidWNoZXQgTVMiIHNpemU9IjkiPjQ5Niw0OTc8L3N0eWxlPjwvRGlzcGxheVRleHQ+
PHJlY29yZD48cmVjLW51bWJlcj4xMTA5PC9yZWMtbnVtYmVyPjxmb3JlaWduLWtleXM+PGtleSBh
cHA9IkVOIiBkYi1pZD0iZXh2YXNyZngyZHRyYW9lc2FzeHAyc3pzeGEyZGY1MDI1OTJ4IiB0aW1l
c3RhbXA9IjE1NTI5NDg0ODUiPjExMDk8L2tleT48L2ZvcmVpZ24ta2V5cz48cmVmLXR5cGUgbmFt
ZT0iSm91cm5hbCBBcnRpY2xlIj4xNzwvcmVmLXR5cGU+PGNvbnRyaWJ1dG9ycz48YXV0aG9ycz48
YXV0aG9yPlJhdWgsIEsuPC9hdXRob3I+PGF1dGhvcj5HYWJyaWVsLCBFLjwvYXV0aG9yPjxhdXRo
b3I+S2Vyc2NoYmF1bSwgRS48L2F1dGhvcj48YXV0aG9yPlNjaHVzdGVyLCBULjwvYXV0aG9yPjxh
dXRob3I+dm9uIEtyaWVzLCBSLjwvYXV0aG9yPjxhdXRob3I+QW1hbm4tR2Fzc25lciwgVS48L2F1
dGhvcj48YXV0aG9yPkhhdW5lciwgSC48L2F1dGhvcj48L2F1dGhvcnM+PC9jb250cmlidXRvcnM+
PHRpdGxlcz48dGl0bGU+U2FmZXR5IGFuZCBlZmZpY2FjeSBvZiBhIGxpZmVzdHlsZSBpbnRlcnZl
bnRpb24gZm9yIHByZWduYW50IHdvbWVuIHRvIHByZXZlbnQgZXhjZXNzaXZlIG1hdGVybmFsIHdl
aWdodCBnYWluOiBhIGNsdXN0ZXItcmFuZG9taXplZCBjb250cm9sbGVkIHRyaWFsPC90aXRsZT48
c2Vjb25kYXJ5LXRpdGxlPkJNQyBQcmVnbmFuY3kgQ2hpbGRiaXJ0aDwvc2Vjb25kYXJ5LXRpdGxl
PjwvdGl0bGVzPjxwZXJpb2RpY2FsPjxmdWxsLXRpdGxlPkJNQyBQcmVnbmFuY3kgQ2hpbGRiaXJ0
aDwvZnVsbC10aXRsZT48L3BlcmlvZGljYWw+PHBhZ2VzPjE1MTwvcGFnZXM+PHZvbHVtZT4xMzwv
dm9sdW1lPjxlZGl0aW9uPjIwMTMvMDcvMjA8L2VkaXRpb24+PGtleXdvcmRzPjxrZXl3b3JkPkFk
dWx0PC9rZXl3b3JkPjxrZXl3b3JkPipCaXJ0aCBXZWlnaHQ8L2tleXdvcmQ+PGtleXdvcmQ+Q291
bnNlbGluZy8qbWV0aG9kczwva2V5d29yZD48a2V5d29yZD4qRW5lcmd5IEludGFrZTwva2V5d29y
ZD48a2V5d29yZD5GZWFzaWJpbGl0eSBTdHVkaWVzPC9rZXl3b3JkPjxrZXl3b3JkPkZlbWFsZTwv
a2V5d29yZD48a2V5d29yZD5IdW1hbnM8L2tleXdvcmQ+PGtleXdvcmQ+SW5mYW50LCBOZXdib3Ju
PC9rZXl3b3JkPjxrZXl3b3JkPipNb3RvciBBY3Rpdml0eTwva2V5d29yZD48a2V5d29yZD5PYmVz
aXR5LypwcmV2ZW50aW9uICZhbXA7IGNvbnRyb2w8L2tleXdvcmQ+PGtleXdvcmQ+T3ZlcndlaWdo
dC9wcmV2ZW50aW9uICZhbXA7IGNvbnRyb2w8L2tleXdvcmQ+PGtleXdvcmQ+UG9zdHBhcnR1bSBQ
ZXJpb2Q8L2tleXdvcmQ+PGtleXdvcmQ+UHJlZ25hbmN5PC9rZXl3b3JkPjxrZXl3b3JkPlByZWdu
YW5jeSBDb21wbGljYXRpb25zLypwcmV2ZW50aW9uICZhbXA7IGNvbnRyb2w8L2tleXdvcmQ+PGtl
eXdvcmQ+UHJlZ25hbmN5IE91dGNvbWU8L2tleXdvcmQ+PGtleXdvcmQ+KldlaWdodCBHYWluPC9r
ZXl3b3JkPjwva2V5d29yZHM+PGRhdGVzPjx5ZWFyPjIwMTM8L3llYXI+PHB1Yi1kYXRlcz48ZGF0
ZT5KdWwgMTY8L2RhdGU+PC9wdWItZGF0ZXM+PC9kYXRlcz48aXNibj4xNDcxLTIzOTMgKEVsZWN0
cm9uaWMpJiN4RDsxNDcxLTIzOTMgKExpbmtpbmcpPC9pc2JuPjxhY2Nlc3Npb24tbnVtPjIzODY1
NjI0PC9hY2Nlc3Npb24tbnVtPjx1cmxzPjxyZWxhdGVkLXVybHM+PHVybD5odHRwczovL3d3dy5u
Y2JpLm5sbS5uaWguZ292L3B1Ym1lZC8yMzg2NTYyNDwvdXJsPjwvcmVsYXRlZC11cmxzPjwvdXJs
cz48Y3VzdG9tMj5QTUMzNzE4NzA3PC9jdXN0b20yPjxlbGVjdHJvbmljLXJlc291cmNlLW51bT4x
MC4xMTg2LzE0NzEtMjM5My0xMy0xNTE8L2VsZWN0cm9uaWMtcmVzb3VyY2UtbnVtPjwvcmVjb3Jk
PjwvQ2l0ZT48Q2l0ZT48QXV0aG9yPkt1bmF0aDwvQXV0aG9yPjxZZWFyPjIwMTk8L1llYXI+PFJl
Y051bT4xMzc3PC9SZWNOdW0+PHJlY29yZD48cmVjLW51bWJlcj4xMzc3PC9yZWMtbnVtYmVyPjxm
b3JlaWduLWtleXM+PGtleSBhcHA9IkVOIiBkYi1pZD0iZXh2YXNyZngyZHRyYW9lc2FzeHAyc3pz
eGEyZGY1MDI1OTJ4IiB0aW1lc3RhbXA9IjE1NjcwMzk1MzYiPjEzNzc8L2tleT48a2V5IGFwcD0i
RU5XZWIiIGRiLWlkPSIiPjA8L2tleT48L2ZvcmVpZ24ta2V5cz48cmVmLXR5cGUgbmFtZT0iSm91
cm5hbCBBcnRpY2xlIj4xNzwvcmVmLXR5cGU+PGNvbnRyaWJ1dG9ycz48YXV0aG9ycz48YXV0aG9y
Pkt1bmF0aCwgSi48L2F1dGhvcj48YXV0aG9yPkd1bnRoZXIsIEouPC9hdXRob3I+PGF1dGhvcj5S
YXVoLCBLLjwvYXV0aG9yPjxhdXRob3I+SG9mZm1hbm4sIEouPC9hdXRob3I+PGF1dGhvcj5TdGVj
aGVyLCBMLjwvYXV0aG9yPjxhdXRob3I+Um9zZW5mZWxkLCBFLjwvYXV0aG9yPjxhdXRob3I+S2lj
aywgTC48L2F1dGhvcj48YXV0aG9yPlVsbSwgSy48L2F1dGhvcj48YXV0aG9yPkhhdW5lciwgSC48
L2F1dGhvcj48L2F1dGhvcnM+PC9jb250cmlidXRvcnM+PGF1dGgtYWRkcmVzcz5FbHNlIEtyb25l
ci1GcmVzZW5pdXMtQ2VudHJlIGZvciBOdXRyaXRpb25hbCBNZWRpY2luZSwgS2xpbmlrdW0gcmVj
aHRzIGRlciBJc2FyLCBUZWNobmljYWwgVW5pdmVyc2l0eSBvZiBNdW5pY2gsIEdlb3JnLUJyYXVj
aGxlLVJpbmcgNjIsIDgwOTkyLCBNdW5pY2gsIEdlcm1hbnkuJiN4RDtDb21wZXRlbmNlIENlbnRy
ZSBmb3IgTnV0cml0aW9uIChLRXJuKSwgQW0gR2VyZXV0aCA0LCA4NTM1NCwgRnJlaXNpbmcsIEdl
cm1hbnkuJiN4RDtJbnN0aXR1dGUgb2YgTWVkaWNhbCBJbmZvcm1hdGljcywgU3RhdGlzdGljcyBh
bmQgRXBpZGVtaW9sb2d5LCBLbGluaWt1bSByZWNodHMgZGVyIElzYXIsIFRlY2huaWNhbCBVbml2
ZXJzaXR5IG9mIE11bmljaCwgSXNtYW5pbmdlciBTdHJhc3NlIDIyLCA4MTY3NSwgTXVuaWNoLCBH
ZXJtYW55LiYjeEQ7RWxzZSBLcm9uZXItRnJlc2VuaXVzLUNlbnRyZSBmb3IgTnV0cml0aW9uYWwg
TWVkaWNpbmUsIEtsaW5pa3VtIHJlY2h0cyBkZXIgSXNhciwgVGVjaG5pY2FsIFVuaXZlcnNpdHkg
b2YgTXVuaWNoLCBHZW9yZy1CcmF1Y2hsZS1SaW5nIDYyLCA4MDk5MiwgTXVuaWNoLCBHZXJtYW55
LiBoYW5zLmhhdW5lckB0dW0uZGUuPC9hdXRoLWFkZHJlc3M+PHRpdGxlcz48dGl0bGU+RWZmZWN0
cyBvZiBhIGxpZmVzdHlsZSBpbnRlcnZlbnRpb24gZHVyaW5nIHByZWduYW5jeSB0byBwcmV2ZW50
IGV4Y2Vzc2l2ZSBnZXN0YXRpb25hbCB3ZWlnaHQgZ2FpbiBpbiByb3V0aW5lIGNhcmUgLSB0aGUg
Y2x1c3Rlci1yYW5kb21pc2VkIEdlbGlTIHRyaWFsPC90aXRsZT48c2Vjb25kYXJ5LXRpdGxlPkJN
QyBNZWQ8L3NlY29uZGFyeS10aXRsZT48L3RpdGxlcz48cGVyaW9kaWNhbD48ZnVsbC10aXRsZT5C
TUMgTWVkPC9mdWxsLXRpdGxlPjwvcGVyaW9kaWNhbD48cGFnZXM+NTwvcGFnZXM+PHZvbHVtZT4x
Nzwvdm9sdW1lPjxudW1iZXI+MTwvbnVtYmVyPjxlZGl0aW9uPjIwMTkvMDEvMTU8L2VkaXRpb24+
PGtleXdvcmRzPjxrZXl3b3JkPkFkdWx0PC9rZXl3b3JkPjxrZXl3b3JkPkNvdW5zZWxpbmcvbWV0
aG9kczwva2V5d29yZD48a2V5d29yZD5EaWFiZXRlcywgR2VzdGF0aW9uYWwvcHJldmVudGlvbiAm
YW1wOyBjb250cm9sPC9rZXl3b3JkPjxrZXl3b3JkPkRpZXQgVGhlcmFweS9tZXRob2RzPC9rZXl3
b3JkPjxrZXl3b3JkPkV4ZXJjaXNlIFRoZXJhcHkvbWV0aG9kczwva2V5d29yZD48a2V5d29yZD5G
ZW1hbGU8L2tleXdvcmQ+PGtleXdvcmQ+Kkdlc3RhdGlvbmFsIFdlaWdodCBHYWluPC9rZXl3b3Jk
PjxrZXl3b3JkPkh1bWFuczwva2V5d29yZD48a2V5d29yZD5MaWZlIFN0eWxlPC9rZXl3b3JkPjxr
ZXl3b3JkPlBlZGlhdHJpYyBPYmVzaXR5L3ByZXZlbnRpb24gJmFtcDsgY29udHJvbDwva2V5d29y
ZD48a2V5d29yZD5QcmVnbmFuY3k8L2tleXdvcmQ+PGtleXdvcmQ+UHJlZ25hbmN5IENvbXBsaWNh
dGlvbnMvKnByZXZlbnRpb24gJmFtcDsgY29udHJvbDwva2V5d29yZD48a2V5d29yZD5QcmVuYXRh
bCBDYXJlLyptZXRob2RzPC9rZXl3b3JkPjxrZXl3b3JkPipMaWZlc3R5bGUgaW50ZXJ2ZW50aW9u
PC9rZXl3b3JkPjxrZXl3b3JkPipjaGlsZGhvb2Qgb2Jlc2l0eTwva2V5d29yZD48a2V5d29yZD4q
ZGlldDwva2V5d29yZD48a2V5d29yZD4qZXhlcmNpc2U8L2tleXdvcmQ+PGtleXdvcmQ+Kmdlc3Rh
dGlvbmFsIGRpYWJldGVzPC9rZXl3b3JkPjxrZXl3b3JkPipvYmVzaXR5IHByZXZlbnRpb248L2tl
eXdvcmQ+PGtleXdvcmQ+Km9ic3RldHJpYyBvdXRjb21lczwva2V5d29yZD48a2V5d29yZD4qcHJl
Z25hbmN5PC9rZXl3b3JkPjxrZXl3b3JkPip3ZWlnaHQgcmV0ZW50aW9uPC9rZXl3b3JkPjwva2V5
d29yZHM+PGRhdGVzPjx5ZWFyPjIwMTk8L3llYXI+PHB1Yi1kYXRlcz48ZGF0ZT5KYW4gMTQ8L2Rh
dGU+PC9wdWItZGF0ZXM+PC9kYXRlcz48aXNibj4xNzQxLTcwMTUgKEVsZWN0cm9uaWMpJiN4RDsx
NzQxLTcwMTUgKExpbmtpbmcpPC9pc2JuPjxhY2Nlc3Npb24tbnVtPjMwNjM2NjM2PC9hY2Nlc3Np
b24tbnVtPjx1cmxzPjxyZWxhdGVkLXVybHM+PHVybD5odHRwczovL3d3dy5uY2JpLm5sbS5uaWgu
Z292L3B1Ym1lZC8zMDYzNjYzNjwvdXJsPjwvcmVsYXRlZC11cmxzPjwvdXJscz48Y3VzdG9tMj5Q
TUM2MzMwNzUzPC9jdXN0b20yPjxlbGVjdHJvbmljLXJlc291cmNlLW51bT4xMC4xMTg2L3MxMjkx
Ni0wMTgtMTIzNS16PC9lbGVjdHJvbmljLXJlc291cmNlLW51bT48L3JlY29yZD48L0NpdGU+PC9F
bmROb3RlPn==
</w:fldData>
        </w:fldChar>
      </w:r>
      <w:r w:rsidR="002747EA">
        <w:instrText xml:space="preserve"> ADDIN EN.CITE.DATA </w:instrText>
      </w:r>
      <w:r w:rsidR="002747EA">
        <w:fldChar w:fldCharType="end"/>
      </w:r>
      <w:r>
        <w:fldChar w:fldCharType="separate"/>
      </w:r>
      <w:r w:rsidR="002747EA" w:rsidRPr="002747EA">
        <w:rPr>
          <w:noProof/>
          <w:vertAlign w:val="superscript"/>
        </w:rPr>
        <w:t>496,497</w:t>
      </w:r>
      <w:r>
        <w:fldChar w:fldCharType="end"/>
      </w:r>
      <w:r>
        <w:t xml:space="preserve"> </w:t>
      </w:r>
      <w:r w:rsidR="00B11010">
        <w:t>Hong Kong (n=1),</w:t>
      </w:r>
      <w:r w:rsidR="00D07346">
        <w:fldChar w:fldCharType="begin">
          <w:fldData xml:space="preserve">PEVuZE5vdGU+PENpdGU+PEF1dGhvcj5DaGFuPC9BdXRob3I+PFllYXI+MjAxODwvWWVhcj48UmVj
TnVtPjE5MjM8L1JlY051bT48RGlzcGxheVRleHQ+PHN0eWxlIGZhY2U9InN1cGVyc2NyaXB0IiBm
b250PSJUcmVidWNoZXQgTVMiIHNpemU9IjkiPjUxODwvc3R5bGU+PC9EaXNwbGF5VGV4dD48cmVj
b3JkPjxyZWMtbnVtYmVyPjE5MjM8L3JlYy1udW1iZXI+PGZvcmVpZ24ta2V5cz48a2V5IGFwcD0i
RU4iIGRiLWlkPSJleHZhc3JmeDJkdHJhb2VzYXN4cDJzenN4YTJkZjUwMjU5MngiIHRpbWVzdGFt
cD0iMTU4ODU2NjIzNCI+MTkyMzwva2V5PjxrZXkgYXBwPSJFTldlYiIgZGItaWQ9IiI+MDwva2V5
PjwvZm9yZWlnbi1rZXlzPjxyZWYtdHlwZSBuYW1lPSJKb3VybmFsIEFydGljbGUiPjE3PC9yZWYt
dHlwZT48Y29udHJpYnV0b3JzPjxhdXRob3JzPjxhdXRob3I+Q2hhbiwgUi4gUy48L2F1dGhvcj48
YXV0aG9yPlRhbSwgVy4gSC48L2F1dGhvcj48YXV0aG9yPkhvLCBJLiBDLjwvYXV0aG9yPjxhdXRo
b3I+S3dhbiwgTS4gVy48L2F1dGhvcj48YXV0aG9yPkxpLCBMLiBTLjwvYXV0aG9yPjxhdXRob3I+
U2VhLCBNLiBNLjwvYXV0aG9yPjxhdXRob3I+V29vLCBKLjwvYXV0aG9yPjwvYXV0aG9ycz48L2Nv
bnRyaWJ1dG9ycz48YXV0aC1hZGRyZXNzPkRlcGFydG1lbnQgb2YgTWVkaWNpbmUgYW5kIFRoZXJh
cGV1dGljcywgVGhlIENoaW5lc2UgVW5pdmVyc2l0eSBvZiBIb25nIEtvbmcsIEhvbmcgS29uZywg
Q2hpbmEuIHJ1dGhjaGFuc21AY3Voay5lZHUuaGsuJiN4RDtEZXBhcnRtZW50IG9mIE9ic3RldHJp
Y3MgYW5kIEd5bmFlY29sb2d5LCBUaGUgQ2hpbmVzZSBVbml2ZXJzaXR5IG9mIEhvbmcgS29uZywg
SG9uZyBLb25nLCBDaGluYS4mI3hEO0RlcGFydG1lbnQgb2YgTWVkaWNpbmUgYW5kIFRoZXJhcGV1
dGljcywgVGhlIENoaW5lc2UgVW5pdmVyc2l0eSBvZiBIb25nIEtvbmcsIEhvbmcgS29uZywgQ2hp
bmEuJiN4RDtDZW50cmUgZm9yIE51dHJpdGlvbmFsIFN0dWRpZXMsIFRoZSBDaGluZXNlIFVuaXZl
cnNpdHkgb2YgSG9uZyBLb25nLCBIb25nIEtvbmcsIENoaW5hLjwvYXV0aC1hZGRyZXNzPjx0aXRs
ZXM+PHRpdGxlPlJhbmRvbWl6ZWQgdHJpYWwgZXhhbWluaW5nIGVmZmVjdGl2ZW5lc3Mgb2YgbGlm
ZXN0eWxlIGludGVydmVudGlvbiBpbiByZWR1Y2luZyBnZXN0YXRpb25hbCBkaWFiZXRlcyBpbiBo
aWdoIHJpc2sgQ2hpbmVzZSBwcmVnbmFudCB3b21lbiBpbiBIb25nIEtvbmc8L3RpdGxlPjxzZWNv
bmRhcnktdGl0bGU+U2NpIFJlcDwvc2Vjb25kYXJ5LXRpdGxlPjwvdGl0bGVzPjxwZXJpb2RpY2Fs
PjxmdWxsLXRpdGxlPlNjaSBSZXA8L2Z1bGwtdGl0bGU+PC9wZXJpb2RpY2FsPjxwYWdlcz4xMzg0
OTwvcGFnZXM+PHZvbHVtZT44PC92b2x1bWU+PG51bWJlcj4xPC9udW1iZXI+PGVkaXRpb24+MjAx
OC8wOS8xNjwvZWRpdGlvbj48a2V5d29yZHM+PGtleXdvcmQ+QWR1bHQ8L2tleXdvcmQ+PGtleXdv
cmQ+RGlhYmV0ZXMsIEdlc3RhdGlvbmFsLypwcmV2ZW50aW9uICZhbXA7IGNvbnRyb2w8L2tleXdv
cmQ+PGtleXdvcmQ+RmVtYWxlPC9rZXl3b3JkPjxrZXl3b3JkPkhvbmcgS29uZzwva2V5d29yZD48
a2V5d29yZD5IdW1hbnM8L2tleXdvcmQ+PGtleXdvcmQ+KkxpZmUgU3R5bGU8L2tleXdvcmQ+PGtl
eXdvcmQ+T3V0Y29tZSBBc3Nlc3NtZW50LCBIZWFsdGggQ2FyZTwva2V5d29yZD48a2V5d29yZD5Q
cmVnbmFuY3k8L2tleXdvcmQ+PGtleXdvcmQ+Umlzazwva2V5d29yZD48L2tleXdvcmRzPjxkYXRl
cz48eWVhcj4yMDE4PC95ZWFyPjxwdWItZGF0ZXM+PGRhdGU+U2VwIDE0PC9kYXRlPjwvcHViLWRh
dGVzPjwvZGF0ZXM+PGlzYm4+MjA0NS0yMzIyIChFbGVjdHJvbmljKSYjeEQ7MjA0NS0yMzIyIChM
aW5raW5nKTwvaXNibj48YWNjZXNzaW9uLW51bT4zMDIxODAxMjwvYWNjZXNzaW9uLW51bT48dXJs
cz48cmVsYXRlZC11cmxzPjx1cmw+aHR0cHM6Ly93d3cubmNiaS5ubG0ubmloLmdvdi9wdWJtZWQv
MzAyMTgwMTI8L3VybD48L3JlbGF0ZWQtdXJscz48L3VybHM+PGN1c3RvbTI+UE1DNjEzODcwODwv
Y3VzdG9tMj48ZWxlY3Ryb25pYy1yZXNvdXJjZS1udW0+MTAuMTAzOC9zNDE1OTgtMDE4LTMyMjg1
LTY8L2VsZWN0cm9uaWMtcmVzb3VyY2UtbnVtPjwvcmVjb3JkPjwvQ2l0ZT48L0VuZE5vdGU+AG==
</w:fldData>
        </w:fldChar>
      </w:r>
      <w:r w:rsidR="002747EA">
        <w:instrText xml:space="preserve"> ADDIN EN.CITE </w:instrText>
      </w:r>
      <w:r w:rsidR="002747EA">
        <w:fldChar w:fldCharType="begin">
          <w:fldData xml:space="preserve">PEVuZE5vdGU+PENpdGU+PEF1dGhvcj5DaGFuPC9BdXRob3I+PFllYXI+MjAxODwvWWVhcj48UmVj
TnVtPjE5MjM8L1JlY051bT48RGlzcGxheVRleHQ+PHN0eWxlIGZhY2U9InN1cGVyc2NyaXB0IiBm
b250PSJUcmVidWNoZXQgTVMiIHNpemU9IjkiPjUxODwvc3R5bGU+PC9EaXNwbGF5VGV4dD48cmVj
b3JkPjxyZWMtbnVtYmVyPjE5MjM8L3JlYy1udW1iZXI+PGZvcmVpZ24ta2V5cz48a2V5IGFwcD0i
RU4iIGRiLWlkPSJleHZhc3JmeDJkdHJhb2VzYXN4cDJzenN4YTJkZjUwMjU5MngiIHRpbWVzdGFt
cD0iMTU4ODU2NjIzNCI+MTkyMzwva2V5PjxrZXkgYXBwPSJFTldlYiIgZGItaWQ9IiI+MDwva2V5
PjwvZm9yZWlnbi1rZXlzPjxyZWYtdHlwZSBuYW1lPSJKb3VybmFsIEFydGljbGUiPjE3PC9yZWYt
dHlwZT48Y29udHJpYnV0b3JzPjxhdXRob3JzPjxhdXRob3I+Q2hhbiwgUi4gUy48L2F1dGhvcj48
YXV0aG9yPlRhbSwgVy4gSC48L2F1dGhvcj48YXV0aG9yPkhvLCBJLiBDLjwvYXV0aG9yPjxhdXRo
b3I+S3dhbiwgTS4gVy48L2F1dGhvcj48YXV0aG9yPkxpLCBMLiBTLjwvYXV0aG9yPjxhdXRob3I+
U2VhLCBNLiBNLjwvYXV0aG9yPjxhdXRob3I+V29vLCBKLjwvYXV0aG9yPjwvYXV0aG9ycz48L2Nv
bnRyaWJ1dG9ycz48YXV0aC1hZGRyZXNzPkRlcGFydG1lbnQgb2YgTWVkaWNpbmUgYW5kIFRoZXJh
cGV1dGljcywgVGhlIENoaW5lc2UgVW5pdmVyc2l0eSBvZiBIb25nIEtvbmcsIEhvbmcgS29uZywg
Q2hpbmEuIHJ1dGhjaGFuc21AY3Voay5lZHUuaGsuJiN4RDtEZXBhcnRtZW50IG9mIE9ic3RldHJp
Y3MgYW5kIEd5bmFlY29sb2d5LCBUaGUgQ2hpbmVzZSBVbml2ZXJzaXR5IG9mIEhvbmcgS29uZywg
SG9uZyBLb25nLCBDaGluYS4mI3hEO0RlcGFydG1lbnQgb2YgTWVkaWNpbmUgYW5kIFRoZXJhcGV1
dGljcywgVGhlIENoaW5lc2UgVW5pdmVyc2l0eSBvZiBIb25nIEtvbmcsIEhvbmcgS29uZywgQ2hp
bmEuJiN4RDtDZW50cmUgZm9yIE51dHJpdGlvbmFsIFN0dWRpZXMsIFRoZSBDaGluZXNlIFVuaXZl
cnNpdHkgb2YgSG9uZyBLb25nLCBIb25nIEtvbmcsIENoaW5hLjwvYXV0aC1hZGRyZXNzPjx0aXRs
ZXM+PHRpdGxlPlJhbmRvbWl6ZWQgdHJpYWwgZXhhbWluaW5nIGVmZmVjdGl2ZW5lc3Mgb2YgbGlm
ZXN0eWxlIGludGVydmVudGlvbiBpbiByZWR1Y2luZyBnZXN0YXRpb25hbCBkaWFiZXRlcyBpbiBo
aWdoIHJpc2sgQ2hpbmVzZSBwcmVnbmFudCB3b21lbiBpbiBIb25nIEtvbmc8L3RpdGxlPjxzZWNv
bmRhcnktdGl0bGU+U2NpIFJlcDwvc2Vjb25kYXJ5LXRpdGxlPjwvdGl0bGVzPjxwZXJpb2RpY2Fs
PjxmdWxsLXRpdGxlPlNjaSBSZXA8L2Z1bGwtdGl0bGU+PC9wZXJpb2RpY2FsPjxwYWdlcz4xMzg0
OTwvcGFnZXM+PHZvbHVtZT44PC92b2x1bWU+PG51bWJlcj4xPC9udW1iZXI+PGVkaXRpb24+MjAx
OC8wOS8xNjwvZWRpdGlvbj48a2V5d29yZHM+PGtleXdvcmQ+QWR1bHQ8L2tleXdvcmQ+PGtleXdv
cmQ+RGlhYmV0ZXMsIEdlc3RhdGlvbmFsLypwcmV2ZW50aW9uICZhbXA7IGNvbnRyb2w8L2tleXdv
cmQ+PGtleXdvcmQ+RmVtYWxlPC9rZXl3b3JkPjxrZXl3b3JkPkhvbmcgS29uZzwva2V5d29yZD48
a2V5d29yZD5IdW1hbnM8L2tleXdvcmQ+PGtleXdvcmQ+KkxpZmUgU3R5bGU8L2tleXdvcmQ+PGtl
eXdvcmQ+T3V0Y29tZSBBc3Nlc3NtZW50LCBIZWFsdGggQ2FyZTwva2V5d29yZD48a2V5d29yZD5Q
cmVnbmFuY3k8L2tleXdvcmQ+PGtleXdvcmQ+Umlzazwva2V5d29yZD48L2tleXdvcmRzPjxkYXRl
cz48eWVhcj4yMDE4PC95ZWFyPjxwdWItZGF0ZXM+PGRhdGU+U2VwIDE0PC9kYXRlPjwvcHViLWRh
dGVzPjwvZGF0ZXM+PGlzYm4+MjA0NS0yMzIyIChFbGVjdHJvbmljKSYjeEQ7MjA0NS0yMzIyIChM
aW5raW5nKTwvaXNibj48YWNjZXNzaW9uLW51bT4zMDIxODAxMjwvYWNjZXNzaW9uLW51bT48dXJs
cz48cmVsYXRlZC11cmxzPjx1cmw+aHR0cHM6Ly93d3cubmNiaS5ubG0ubmloLmdvdi9wdWJtZWQv
MzAyMTgwMTI8L3VybD48L3JlbGF0ZWQtdXJscz48L3VybHM+PGN1c3RvbTI+UE1DNjEzODcwODwv
Y3VzdG9tMj48ZWxlY3Ryb25pYy1yZXNvdXJjZS1udW0+MTAuMTAzOC9zNDE1OTgtMDE4LTMyMjg1
LTY8L2VsZWN0cm9uaWMtcmVzb3VyY2UtbnVtPjwvcmVjb3JkPjwvQ2l0ZT48L0VuZE5vdGU+AG==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518</w:t>
      </w:r>
      <w:r w:rsidR="00D07346">
        <w:fldChar w:fldCharType="end"/>
      </w:r>
      <w:r w:rsidR="00B11010">
        <w:t xml:space="preserve"> </w:t>
      </w:r>
      <w:r>
        <w:t>India (n=1),</w:t>
      </w:r>
      <w:r>
        <w:fldChar w:fldCharType="begin"/>
      </w:r>
      <w:r w:rsidR="002747EA">
        <w:instrText xml:space="preserve"> ADDIN EN.CITE &lt;EndNote&gt;&lt;Cite&gt;&lt;Author&gt;Pawalia&lt;/Author&gt;&lt;Year&gt;2017&lt;/Year&gt;&lt;RecNum&gt;750&lt;/RecNum&gt;&lt;DisplayText&gt;&lt;style face="superscript" font="Trebuchet MS" size="9"&gt;493&lt;/style&gt;&lt;/DisplayText&gt;&lt;record&gt;&lt;rec-number&gt;750&lt;/rec-number&gt;&lt;foreign-keys&gt;&lt;key app="EN" db-id="exvasrfx2dtraoesasxp2szsxa2df502592x" timestamp="1541467919"&gt;750&lt;/key&gt;&lt;key app="ENWeb" db-id=""&gt;0&lt;/key&gt;&lt;/foreign-keys&gt;&lt;ref-type name="Journal Article"&gt;17&lt;/ref-type&gt;&lt;contributors&gt;&lt;authors&gt;&lt;author&gt;Pawalia, Alka&lt;/author&gt;&lt;author&gt;Kulandaivelan, Sivachidambaram&lt;/author&gt;&lt;author&gt;Savant, Satya&lt;/author&gt;&lt;author&gt;Yadav, Vikram Singh&lt;/author&gt;&lt;/authors&gt;&lt;/contributors&gt;&lt;titles&gt;&lt;title&gt;Exercise in Pregnancy: Effect on Obesity Parameters in Indian Women – A Randomized Controlled Trial&lt;/title&gt;&lt;secondary-title&gt;Romanian Journal of Diabetes Nutrition and Metabolic Diseases&lt;/secondary-title&gt;&lt;/titles&gt;&lt;periodical&gt;&lt;full-title&gt;Romanian Journal of Diabetes Nutrition and Metabolic Diseases&lt;/full-title&gt;&lt;/periodical&gt;&lt;volume&gt;24&lt;/volume&gt;&lt;number&gt;4&lt;/number&gt;&lt;dates&gt;&lt;year&gt;2017&lt;/year&gt;&lt;/dates&gt;&lt;isbn&gt;2284-6417&lt;/isbn&gt;&lt;urls&gt;&lt;/urls&gt;&lt;electronic-resource-num&gt;10.1515/rjdnmd-2017-0037&lt;/electronic-resource-num&gt;&lt;/record&gt;&lt;/Cite&gt;&lt;/EndNote&gt;</w:instrText>
      </w:r>
      <w:r>
        <w:fldChar w:fldCharType="separate"/>
      </w:r>
      <w:r w:rsidR="002747EA" w:rsidRPr="002747EA">
        <w:rPr>
          <w:noProof/>
          <w:vertAlign w:val="superscript"/>
        </w:rPr>
        <w:t>493</w:t>
      </w:r>
      <w:r>
        <w:fldChar w:fldCharType="end"/>
      </w:r>
      <w:r>
        <w:t xml:space="preserve"> </w:t>
      </w:r>
      <w:r w:rsidR="00063E54">
        <w:t>Iran (n=1)</w:t>
      </w:r>
      <w:r w:rsidR="00063E54">
        <w:rPr>
          <w:rFonts w:ascii="Century Gothic" w:hAnsi="Century Gothic"/>
          <w:noProof/>
        </w:rPr>
        <w:t>,</w:t>
      </w:r>
      <w:r w:rsidR="00063E54" w:rsidRPr="00063E54">
        <w:rPr>
          <w:rFonts w:ascii="Century Gothic" w:hAnsi="Century Gothic"/>
          <w:noProof/>
        </w:rPr>
        <w:fldChar w:fldCharType="begin"/>
      </w:r>
      <w:r w:rsidR="002747EA">
        <w:rPr>
          <w:rFonts w:ascii="Century Gothic" w:hAnsi="Century Gothic"/>
          <w:noProof/>
        </w:rPr>
        <w:instrText xml:space="preserve"> ADDIN EN.CITE &lt;EndNote&gt;&lt;Cite&gt;&lt;Author&gt;Kiani Asiabar&lt;/Author&gt;&lt;Year&gt;2018&lt;/Year&gt;&lt;RecNum&gt;1380&lt;/RecNum&gt;&lt;DisplayText&gt;&lt;style face="superscript" font="Trebuchet MS" size="9"&gt;498&lt;/style&gt;&lt;/DisplayText&gt;&lt;record&gt;&lt;rec-number&gt;1380&lt;/rec-number&gt;&lt;foreign-keys&gt;&lt;key app="EN" db-id="exvasrfx2dtraoesasxp2szsxa2df502592x" timestamp="1567124571"&gt;1380&lt;/key&gt;&lt;key app="ENWeb" db-id=""&gt;0&lt;/key&gt;&lt;/foreign-keys&gt;&lt;ref-type name="Journal Article"&gt;17&lt;/ref-type&gt;&lt;contributors&gt;&lt;authors&gt;&lt;author&gt;Kiani Asiabar, A.&lt;/author&gt;&lt;author&gt;Amin Shokravi, F.&lt;/author&gt;&lt;author&gt;Hajifaraji, M.&lt;/author&gt;&lt;author&gt;Zayeri, F.&lt;/author&gt;&lt;/authors&gt;&lt;/contributors&gt;&lt;auth-address&gt;Department of Health Education and Health Promotion, Faculty of Medical Sciences, Tarbiat Modares University, Tehran, Iran.&amp;#xD;Department of Midwifery, Faculty of Nursing and Midwifery, Shahed University, Tehran, Iran.&amp;#xD;Department of Health Educations and Health Promotion, Faculty of Medical Sciences, Tarbiat Modares University, Tehran, Iran.&amp;#xD;National Nutrition and Food Technology Research Institute, School of Nutrition Sciences and Food Technology, Shahid Beheshti University of Medical Sciences, Tehran, Iran.&amp;#xD;Department of Biostatistics, Faculty of Paramedical Sciences, Shahid Beheshti University of Medical Sciences, Tehran, Iran.&lt;/auth-address&gt;&lt;titles&gt;&lt;title&gt;The effect of an educational intervention in early pregnancy with spouse&amp;apos;s participation on optimal gestational weight gain in pregnancy: a randomized controlled trial&lt;/title&gt;&lt;secondary-title&gt;Health Educ Res&lt;/secondary-title&gt;&lt;/titles&gt;&lt;periodical&gt;&lt;full-title&gt;Health Educ Res&lt;/full-title&gt;&lt;/periodical&gt;&lt;pages&gt;535-547&lt;/pages&gt;&lt;volume&gt;33&lt;/volume&gt;&lt;number&gt;6&lt;/number&gt;&lt;edition&gt;2018/11/30&lt;/edition&gt;&lt;dates&gt;&lt;year&gt;2018&lt;/year&gt;&lt;pub-dates&gt;&lt;date&gt;Dec 1&lt;/date&gt;&lt;/pub-dates&gt;&lt;/dates&gt;&lt;isbn&gt;1465-3648 (Electronic)&amp;#xD;0268-1153 (Linking)&lt;/isbn&gt;&lt;accession-num&gt;30496409&lt;/accession-num&gt;&lt;urls&gt;&lt;related-urls&gt;&lt;url&gt;https://www.ncbi.nlm.nih.gov/pubmed/30496409&lt;/url&gt;&lt;/related-urls&gt;&lt;/urls&gt;&lt;electronic-resource-num&gt;10.1093/her/cyy040&lt;/electronic-resource-num&gt;&lt;/record&gt;&lt;/Cite&gt;&lt;/EndNote&gt;</w:instrText>
      </w:r>
      <w:r w:rsidR="00063E54" w:rsidRPr="00063E54">
        <w:rPr>
          <w:rFonts w:ascii="Century Gothic" w:hAnsi="Century Gothic"/>
          <w:noProof/>
        </w:rPr>
        <w:fldChar w:fldCharType="separate"/>
      </w:r>
      <w:r w:rsidR="002747EA" w:rsidRPr="002747EA">
        <w:rPr>
          <w:noProof/>
          <w:vertAlign w:val="superscript"/>
        </w:rPr>
        <w:t>498</w:t>
      </w:r>
      <w:r w:rsidR="00063E54" w:rsidRPr="00063E54">
        <w:rPr>
          <w:rFonts w:ascii="Century Gothic" w:hAnsi="Century Gothic"/>
          <w:noProof/>
        </w:rPr>
        <w:fldChar w:fldCharType="end"/>
      </w:r>
      <w:r w:rsidR="00063E54">
        <w:rPr>
          <w:rFonts w:ascii="Century Gothic" w:hAnsi="Century Gothic"/>
          <w:noProof/>
        </w:rPr>
        <w:t xml:space="preserve"> </w:t>
      </w:r>
      <w:r w:rsidR="00AE7C7D">
        <w:t>Ireland (n=1),</w:t>
      </w:r>
      <w:r w:rsidR="00AE7C7D" w:rsidRPr="00A95FF7">
        <w:rPr>
          <w:rFonts w:ascii="Century Gothic" w:hAnsi="Century Gothic"/>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AE7C7D" w:rsidRPr="00A95FF7">
        <w:rPr>
          <w:rFonts w:ascii="Century Gothic" w:hAnsi="Century Gothic"/>
          <w:noProof/>
        </w:rPr>
      </w:r>
      <w:r w:rsidR="00AE7C7D" w:rsidRPr="00A95FF7">
        <w:rPr>
          <w:rFonts w:ascii="Century Gothic" w:hAnsi="Century Gothic"/>
          <w:noProof/>
        </w:rPr>
        <w:fldChar w:fldCharType="separate"/>
      </w:r>
      <w:r w:rsidR="002747EA" w:rsidRPr="002747EA">
        <w:rPr>
          <w:noProof/>
          <w:vertAlign w:val="superscript"/>
        </w:rPr>
        <w:t>506</w:t>
      </w:r>
      <w:r w:rsidR="00AE7C7D" w:rsidRPr="00A95FF7">
        <w:rPr>
          <w:rFonts w:ascii="Century Gothic" w:hAnsi="Century Gothic"/>
          <w:noProof/>
        </w:rPr>
        <w:fldChar w:fldCharType="end"/>
      </w:r>
      <w:r w:rsidR="00AE7C7D">
        <w:rPr>
          <w:rFonts w:ascii="Century Gothic" w:hAnsi="Century Gothic"/>
          <w:noProof/>
        </w:rPr>
        <w:t xml:space="preserve"> </w:t>
      </w:r>
      <w:r>
        <w:t>Italy (n=2),</w:t>
      </w:r>
      <w:r>
        <w:fldChar w:fldCharType="begin">
          <w:fldData xml:space="preserve">PEVuZE5vdGU+PENpdGU+PEF1dGhvcj5CcnVubzwvQXV0aG9yPjxZZWFyPjIwMTc8L1llYXI+PFJl
Y051bT43NjU8L1JlY051bT48RGlzcGxheVRleHQ+PHN0eWxlIGZhY2U9InN1cGVyc2NyaXB0IiBm
b250PSJUcmVidWNoZXQgTVMiIHNpemU9IjkiPjQ5OSw1MDQ8L3N0eWxlPjwvRGlzcGxheVRleHQ+
PHJlY29yZD48cmVjLW51bWJlcj43NjU8L3JlYy1udW1iZXI+PGZvcmVpZ24ta2V5cz48a2V5IGFw
cD0iRU4iIGRiLWlkPSJleHZhc3JmeDJkdHJhb2VzYXN4cDJzenN4YTJkZjUwMjU5MngiIHRpbWVz
dGFtcD0iMTU0MTQ4NzAzNCI+NzY1PC9rZXk+PC9mb3JlaWduLWtleXM+PHJlZi10eXBlIG5hbWU9
IkpvdXJuYWwgQXJ0aWNsZSI+MTc8L3JlZi10eXBlPjxjb250cmlidXRvcnM+PGF1dGhvcnM+PGF1
dGhvcj5CcnVubywgUi48L2F1dGhvcj48YXV0aG9yPlBldHJlbGxhLCBFLjwvYXV0aG9yPjxhdXRo
b3I+QmVydGFyaW5pLCBWLjwvYXV0aG9yPjxhdXRob3I+UGVkcmllbGxpLCBHLjwvYXV0aG9yPjxh
dXRob3I+TmVyaSwgSS48L2F1dGhvcj48YXV0aG9yPkZhY2NoaW5ldHRpLCBGLjwvYXV0aG9yPjwv
YXV0aG9ycz48L2NvbnRyaWJ1dG9ycz48YXV0aC1hZGRyZXNzPk1vdGhlci1JbmZhbnQgRGVwYXJ0
bWVudCwgVW5pdmVyc2l0eSBvZiBNb2RlbmEgYW5kIFJlZ2dpbyBFbWlsaWEsIEl0YWx5LjwvYXV0
aC1hZGRyZXNzPjx0aXRsZXM+PHRpdGxlPkFkaGVyZW5jZSB0byBhIGxpZmVzdHlsZSBwcm9ncmFt
bWUgaW4gb3ZlcndlaWdodC9vYmVzZSBwcmVnbmFudCB3b21lbiBhbmQgZWZmZWN0IG9uIGdlc3Rh
dGlvbmFsIGRpYWJldGVzIG1lbGxpdHVzOiBhIHJhbmRvbWl6ZWQgY29udHJvbGxlZCB0cmlhbDwv
dGl0bGU+PHNlY29uZGFyeS10aXRsZT5NYXRlcm4gQ2hpbGQgTnV0cjwvc2Vjb25kYXJ5LXRpdGxl
PjwvdGl0bGVzPjxwZXJpb2RpY2FsPjxmdWxsLXRpdGxlPk1hdGVybiBDaGlsZCBOdXRyPC9mdWxs
LXRpdGxlPjwvcGVyaW9kaWNhbD48dm9sdW1lPjEzPC92b2x1bWU+PG51bWJlcj4zPC9udW1iZXI+
PGVkaXRpb24+MjAxNi8wOS8yMTwvZWRpdGlvbj48a2V5d29yZHM+PGtleXdvcmQ+QWR1bHQ8L2tl
eXdvcmQ+PGtleXdvcmQ+QmlydGggV2VpZ2h0PC9rZXl3b3JkPjxrZXl3b3JkPkJsb29kIEdsdWNv
c2UvbWV0YWJvbGlzbTwva2V5d29yZD48a2V5d29yZD5Cb2R5IE1hc3MgSW5kZXg8L2tleXdvcmQ+
PGtleXdvcmQ+RGlhYmV0ZXMsIEdlc3RhdGlvbmFsLypwcmV2ZW50aW9uICZhbXA7IGNvbnRyb2w8
L2tleXdvcmQ+PGtleXdvcmQ+RXhlcmNpc2U8L2tleXdvcmQ+PGtleXdvcmQ+RmVtYWxlPC9rZXl3
b3JkPjxrZXl3b3JkPkZvbGxvdy1VcCBTdHVkaWVzPC9rZXl3b3JkPjxrZXl3b3JkPipIZWFsdGh5
IERpZXQ8L2tleXdvcmQ+PGtleXdvcmQ+SHVtYW5zPC9rZXl3b3JkPjxrZXl3b3JkPkh5cGVydGVu
c2lvbi9wcmV2ZW50aW9uICZhbXA7IGNvbnRyb2w8L2tleXdvcmQ+PGtleXdvcmQ+SXRhbHk8L2tl
eXdvcmQ+PGtleXdvcmQ+KkxpZmUgU3R5bGU8L2tleXdvcmQ+PGtleXdvcmQ+T2Jlc2l0eS8qdGhl
cmFweTwva2V5d29yZD48a2V5d29yZD5PdmVyd2VpZ2h0Lyp0aGVyYXB5PC9rZXl3b3JkPjxrZXl3
b3JkPipQYXRpZW50IENvbXBsaWFuY2U8L2tleXdvcmQ+PGtleXdvcmQ+UHJlZ25hbmN5PC9rZXl3
b3JkPjxrZXl3b3JkPlByZW1hdHVyZSBCaXJ0aC9wcmV2ZW50aW9uICZhbXA7IGNvbnRyb2w8L2tl
eXdvcmQ+PGtleXdvcmQ+UHJvc3BlY3RpdmUgU3R1ZGllczwva2V5d29yZD48a2V5d29yZD5TdXJ2
ZXlzIGFuZCBRdWVzdGlvbm5haXJlczwva2V5d29yZD48a2V5d29yZD5UcmVhdG1lbnQgT3V0Y29t
ZTwva2V5d29yZD48a2V5d29yZD5Zb3VuZyBBZHVsdDwva2V5d29yZD48a2V5d29yZD4qZGlhYmV0
ZXM8L2tleXdvcmQ+PGtleXdvcmQ+KmZldGFsIGdyb3d0aDwva2V5d29yZD48a2V5d29yZD4qb2Jl
c2l0eTwva2V5d29yZD48a2V5d29yZD4qcGh5c2ljYWwgYWN0aXZpdHk8L2tleXdvcmQ+PGtleXdv
cmQ+KnByZWduYW5jeSBhbmQgbnV0cml0aW9uPC9rZXl3b3JkPjxrZXl3b3JkPipwcmVnbmFuY3kg
b3V0Y29tZTwva2V5d29yZD48L2tleXdvcmRzPjxkYXRlcz48eWVhcj4yMDE3PC95ZWFyPjxwdWIt
ZGF0ZXM+PGRhdGU+SnVsPC9kYXRlPjwvcHViLWRhdGVzPjwvZGF0ZXM+PGlzYm4+MTc0MC04NzA5
IChFbGVjdHJvbmljKSYjeEQ7MTc0MC04Njk1IChMaW5raW5nKTwvaXNibj48YWNjZXNzaW9uLW51
bT4yNzY0NzgzNzwvYWNjZXNzaW9uLW51bT48dXJscz48cmVsYXRlZC11cmxzPjx1cmw+aHR0cHM6
Ly93d3cubmNiaS5ubG0ubmloLmdvdi9wdWJtZWQvMjc2NDc4Mzc8L3VybD48L3JlbGF0ZWQtdXJs
cz48L3VybHM+PGVsZWN0cm9uaWMtcmVzb3VyY2UtbnVtPjEwLjExMTEvbWNuLjEyMzMzPC9lbGVj
dHJvbmljLXJlc291cmNlLW51bT48L3JlY29yZD48L0NpdGU+PENpdGU+PEF1dGhvcj5QZXRyZWxs
YTwvQXV0aG9yPjxZZWFyPjIwMTM8L1llYXI+PFJlY051bT43NTE8L1JlY051bT48cmVjb3JkPjxy
ZWMtbnVtYmVyPjc1MTwvcmVjLW51bWJlcj48Zm9yZWlnbi1rZXlzPjxrZXkgYXBwPSJFTiIgZGIt
aWQ9ImV4dmFzcmZ4MmR0cmFvZXNhc3hwMnN6c3hhMmRmNTAyNTkyeCIgdGltZXN0YW1wPSIxNTQx
NDY3OTMxIj43NTE8L2tleT48a2V5IGFwcD0iRU5XZWIiIGRiLWlkPSIiPjA8L2tleT48L2ZvcmVp
Z24ta2V5cz48cmVmLXR5cGUgbmFtZT0iSm91cm5hbCBBcnRpY2xlIj4xNzwvcmVmLXR5cGU+PGNv
bnRyaWJ1dG9ycz48YXV0aG9ycz48YXV0aG9yPlBldHJlbGxhLCBFLjwvYXV0aG9yPjxhdXRob3I+
TWFsYXZvbHRpLCBNLjwvYXV0aG9yPjxhdXRob3I+QmVydGFyaW5pLCBWLjwvYXV0aG9yPjxhdXRo
b3I+UGlnbmF0dGksIEwuPC9hdXRob3I+PGF1dGhvcj5OZXJpLCBJLjwvYXV0aG9yPjxhdXRob3I+
QmF0dGlzdGluaSwgTi4gQy48L2F1dGhvcj48YXV0aG9yPkZhY2NoaW5ldHRpLCBGLjwvYXV0aG9y
PjwvYXV0aG9ycz48L2NvbnRyaWJ1dG9ycz48dGl0bGVzPjx0aXRsZT5HZXN0YXRpb25hbCB3ZWln
aHQgZ2FpbiBpbiBvdmVyd2VpZ2h0IGFuZCBvYmVzZSB3b21lbiBlbnJvbGxlZCBpbiBhIGhlYWx0
aHkgbGlmZXN0eWxlIGFuZCBlYXRpbmcgaGFiaXRzIHByb2dyYW08L3RpdGxlPjxzZWNvbmRhcnkt
dGl0bGU+SiBNYXRlcm5hbC1GZXRhbCAmYW1wOyBOZW9uYXRhbCBNZWQ8L3NlY29uZGFyeS10aXRs
ZT48L3RpdGxlcz48cGVyaW9kaWNhbD48ZnVsbC10aXRsZT5KIE1hdGVybmFsLUZldGFsICZhbXA7
IE5lb25hdGFsIE1lZDwvZnVsbC10aXRsZT48L3BlcmlvZGljYWw+PHBhZ2VzPjEzNDgtMTM1Mjwv
cGFnZXM+PHZvbHVtZT4yNzwvdm9sdW1lPjxudW1iZXI+MTM8L251bWJlcj48c2VjdGlvbj4xMzQ4
PC9zZWN0aW9uPjxkYXRlcz48eWVhcj4yMDEzPC95ZWFyPjwvZGF0ZXM+PGlzYm4+MTQ3Ni03MDU4
JiN4RDsxNDc2LTQ5NTQ8L2lzYm4+PHVybHM+PC91cmxzPjxlbGVjdHJvbmljLXJlc291cmNlLW51
bT4xMC4zMTA5LzE0NzY3MDU4LjIwMTMuODU4MzE4PC9lbGVjdHJvbmljLXJlc291cmNlLW51bT48
L3JlY29yZD48L0NpdGU+PC9FbmROb3RlPgB=
</w:fldData>
        </w:fldChar>
      </w:r>
      <w:r w:rsidR="002747EA">
        <w:instrText xml:space="preserve"> ADDIN EN.CITE </w:instrText>
      </w:r>
      <w:r w:rsidR="002747EA">
        <w:fldChar w:fldCharType="begin">
          <w:fldData xml:space="preserve">PEVuZE5vdGU+PENpdGU+PEF1dGhvcj5CcnVubzwvQXV0aG9yPjxZZWFyPjIwMTc8L1llYXI+PFJl
Y051bT43NjU8L1JlY051bT48RGlzcGxheVRleHQ+PHN0eWxlIGZhY2U9InN1cGVyc2NyaXB0IiBm
b250PSJUcmVidWNoZXQgTVMiIHNpemU9IjkiPjQ5OSw1MDQ8L3N0eWxlPjwvRGlzcGxheVRleHQ+
PHJlY29yZD48cmVjLW51bWJlcj43NjU8L3JlYy1udW1iZXI+PGZvcmVpZ24ta2V5cz48a2V5IGFw
cD0iRU4iIGRiLWlkPSJleHZhc3JmeDJkdHJhb2VzYXN4cDJzenN4YTJkZjUwMjU5MngiIHRpbWVz
dGFtcD0iMTU0MTQ4NzAzNCI+NzY1PC9rZXk+PC9mb3JlaWduLWtleXM+PHJlZi10eXBlIG5hbWU9
IkpvdXJuYWwgQXJ0aWNsZSI+MTc8L3JlZi10eXBlPjxjb250cmlidXRvcnM+PGF1dGhvcnM+PGF1
dGhvcj5CcnVubywgUi48L2F1dGhvcj48YXV0aG9yPlBldHJlbGxhLCBFLjwvYXV0aG9yPjxhdXRo
b3I+QmVydGFyaW5pLCBWLjwvYXV0aG9yPjxhdXRob3I+UGVkcmllbGxpLCBHLjwvYXV0aG9yPjxh
dXRob3I+TmVyaSwgSS48L2F1dGhvcj48YXV0aG9yPkZhY2NoaW5ldHRpLCBGLjwvYXV0aG9yPjwv
YXV0aG9ycz48L2NvbnRyaWJ1dG9ycz48YXV0aC1hZGRyZXNzPk1vdGhlci1JbmZhbnQgRGVwYXJ0
bWVudCwgVW5pdmVyc2l0eSBvZiBNb2RlbmEgYW5kIFJlZ2dpbyBFbWlsaWEsIEl0YWx5LjwvYXV0
aC1hZGRyZXNzPjx0aXRsZXM+PHRpdGxlPkFkaGVyZW5jZSB0byBhIGxpZmVzdHlsZSBwcm9ncmFt
bWUgaW4gb3ZlcndlaWdodC9vYmVzZSBwcmVnbmFudCB3b21lbiBhbmQgZWZmZWN0IG9uIGdlc3Rh
dGlvbmFsIGRpYWJldGVzIG1lbGxpdHVzOiBhIHJhbmRvbWl6ZWQgY29udHJvbGxlZCB0cmlhbDwv
dGl0bGU+PHNlY29uZGFyeS10aXRsZT5NYXRlcm4gQ2hpbGQgTnV0cjwvc2Vjb25kYXJ5LXRpdGxl
PjwvdGl0bGVzPjxwZXJpb2RpY2FsPjxmdWxsLXRpdGxlPk1hdGVybiBDaGlsZCBOdXRyPC9mdWxs
LXRpdGxlPjwvcGVyaW9kaWNhbD48dm9sdW1lPjEzPC92b2x1bWU+PG51bWJlcj4zPC9udW1iZXI+
PGVkaXRpb24+MjAxNi8wOS8yMTwvZWRpdGlvbj48a2V5d29yZHM+PGtleXdvcmQ+QWR1bHQ8L2tl
eXdvcmQ+PGtleXdvcmQ+QmlydGggV2VpZ2h0PC9rZXl3b3JkPjxrZXl3b3JkPkJsb29kIEdsdWNv
c2UvbWV0YWJvbGlzbTwva2V5d29yZD48a2V5d29yZD5Cb2R5IE1hc3MgSW5kZXg8L2tleXdvcmQ+
PGtleXdvcmQ+RGlhYmV0ZXMsIEdlc3RhdGlvbmFsLypwcmV2ZW50aW9uICZhbXA7IGNvbnRyb2w8
L2tleXdvcmQ+PGtleXdvcmQ+RXhlcmNpc2U8L2tleXdvcmQ+PGtleXdvcmQ+RmVtYWxlPC9rZXl3
b3JkPjxrZXl3b3JkPkZvbGxvdy1VcCBTdHVkaWVzPC9rZXl3b3JkPjxrZXl3b3JkPipIZWFsdGh5
IERpZXQ8L2tleXdvcmQ+PGtleXdvcmQ+SHVtYW5zPC9rZXl3b3JkPjxrZXl3b3JkPkh5cGVydGVu
c2lvbi9wcmV2ZW50aW9uICZhbXA7IGNvbnRyb2w8L2tleXdvcmQ+PGtleXdvcmQ+SXRhbHk8L2tl
eXdvcmQ+PGtleXdvcmQ+KkxpZmUgU3R5bGU8L2tleXdvcmQ+PGtleXdvcmQ+T2Jlc2l0eS8qdGhl
cmFweTwva2V5d29yZD48a2V5d29yZD5PdmVyd2VpZ2h0Lyp0aGVyYXB5PC9rZXl3b3JkPjxrZXl3
b3JkPipQYXRpZW50IENvbXBsaWFuY2U8L2tleXdvcmQ+PGtleXdvcmQ+UHJlZ25hbmN5PC9rZXl3
b3JkPjxrZXl3b3JkPlByZW1hdHVyZSBCaXJ0aC9wcmV2ZW50aW9uICZhbXA7IGNvbnRyb2w8L2tl
eXdvcmQ+PGtleXdvcmQ+UHJvc3BlY3RpdmUgU3R1ZGllczwva2V5d29yZD48a2V5d29yZD5TdXJ2
ZXlzIGFuZCBRdWVzdGlvbm5haXJlczwva2V5d29yZD48a2V5d29yZD5UcmVhdG1lbnQgT3V0Y29t
ZTwva2V5d29yZD48a2V5d29yZD5Zb3VuZyBBZHVsdDwva2V5d29yZD48a2V5d29yZD4qZGlhYmV0
ZXM8L2tleXdvcmQ+PGtleXdvcmQ+KmZldGFsIGdyb3d0aDwva2V5d29yZD48a2V5d29yZD4qb2Jl
c2l0eTwva2V5d29yZD48a2V5d29yZD4qcGh5c2ljYWwgYWN0aXZpdHk8L2tleXdvcmQ+PGtleXdv
cmQ+KnByZWduYW5jeSBhbmQgbnV0cml0aW9uPC9rZXl3b3JkPjxrZXl3b3JkPipwcmVnbmFuY3kg
b3V0Y29tZTwva2V5d29yZD48L2tleXdvcmRzPjxkYXRlcz48eWVhcj4yMDE3PC95ZWFyPjxwdWIt
ZGF0ZXM+PGRhdGU+SnVsPC9kYXRlPjwvcHViLWRhdGVzPjwvZGF0ZXM+PGlzYm4+MTc0MC04NzA5
IChFbGVjdHJvbmljKSYjeEQ7MTc0MC04Njk1IChMaW5raW5nKTwvaXNibj48YWNjZXNzaW9uLW51
bT4yNzY0NzgzNzwvYWNjZXNzaW9uLW51bT48dXJscz48cmVsYXRlZC11cmxzPjx1cmw+aHR0cHM6
Ly93d3cubmNiaS5ubG0ubmloLmdvdi9wdWJtZWQvMjc2NDc4Mzc8L3VybD48L3JlbGF0ZWQtdXJs
cz48L3VybHM+PGVsZWN0cm9uaWMtcmVzb3VyY2UtbnVtPjEwLjExMTEvbWNuLjEyMzMzPC9lbGVj
dHJvbmljLXJlc291cmNlLW51bT48L3JlY29yZD48L0NpdGU+PENpdGU+PEF1dGhvcj5QZXRyZWxs
YTwvQXV0aG9yPjxZZWFyPjIwMTM8L1llYXI+PFJlY051bT43NTE8L1JlY051bT48cmVjb3JkPjxy
ZWMtbnVtYmVyPjc1MTwvcmVjLW51bWJlcj48Zm9yZWlnbi1rZXlzPjxrZXkgYXBwPSJFTiIgZGIt
aWQ9ImV4dmFzcmZ4MmR0cmFvZXNhc3hwMnN6c3hhMmRmNTAyNTkyeCIgdGltZXN0YW1wPSIxNTQx
NDY3OTMxIj43NTE8L2tleT48a2V5IGFwcD0iRU5XZWIiIGRiLWlkPSIiPjA8L2tleT48L2ZvcmVp
Z24ta2V5cz48cmVmLXR5cGUgbmFtZT0iSm91cm5hbCBBcnRpY2xlIj4xNzwvcmVmLXR5cGU+PGNv
bnRyaWJ1dG9ycz48YXV0aG9ycz48YXV0aG9yPlBldHJlbGxhLCBFLjwvYXV0aG9yPjxhdXRob3I+
TWFsYXZvbHRpLCBNLjwvYXV0aG9yPjxhdXRob3I+QmVydGFyaW5pLCBWLjwvYXV0aG9yPjxhdXRo
b3I+UGlnbmF0dGksIEwuPC9hdXRob3I+PGF1dGhvcj5OZXJpLCBJLjwvYXV0aG9yPjxhdXRob3I+
QmF0dGlzdGluaSwgTi4gQy48L2F1dGhvcj48YXV0aG9yPkZhY2NoaW5ldHRpLCBGLjwvYXV0aG9y
PjwvYXV0aG9ycz48L2NvbnRyaWJ1dG9ycz48dGl0bGVzPjx0aXRsZT5HZXN0YXRpb25hbCB3ZWln
aHQgZ2FpbiBpbiBvdmVyd2VpZ2h0IGFuZCBvYmVzZSB3b21lbiBlbnJvbGxlZCBpbiBhIGhlYWx0
aHkgbGlmZXN0eWxlIGFuZCBlYXRpbmcgaGFiaXRzIHByb2dyYW08L3RpdGxlPjxzZWNvbmRhcnkt
dGl0bGU+SiBNYXRlcm5hbC1GZXRhbCAmYW1wOyBOZW9uYXRhbCBNZWQ8L3NlY29uZGFyeS10aXRs
ZT48L3RpdGxlcz48cGVyaW9kaWNhbD48ZnVsbC10aXRsZT5KIE1hdGVybmFsLUZldGFsICZhbXA7
IE5lb25hdGFsIE1lZDwvZnVsbC10aXRsZT48L3BlcmlvZGljYWw+PHBhZ2VzPjEzNDgtMTM1Mjwv
cGFnZXM+PHZvbHVtZT4yNzwvdm9sdW1lPjxudW1iZXI+MTM8L251bWJlcj48c2VjdGlvbj4xMzQ4
PC9zZWN0aW9uPjxkYXRlcz48eWVhcj4yMDEzPC95ZWFyPjwvZGF0ZXM+PGlzYm4+MTQ3Ni03MDU4
JiN4RDsxNDc2LTQ5NTQ8L2lzYm4+PHVybHM+PC91cmxzPjxlbGVjdHJvbmljLXJlc291cmNlLW51
bT4xMC4zMTA5LzE0NzY3MDU4LjIwMTMuODU4MzE4PC9lbGVjdHJvbmljLXJlc291cmNlLW51bT48
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499,504</w:t>
      </w:r>
      <w:r>
        <w:fldChar w:fldCharType="end"/>
      </w:r>
      <w:r w:rsidRPr="00C12274">
        <w:t xml:space="preserve"> the Netherlands (n=1)</w:t>
      </w:r>
      <w:r>
        <w:t>,</w:t>
      </w:r>
      <w:r>
        <w:fldChar w:fldCharType="begin"/>
      </w:r>
      <w:r w:rsidR="002747EA">
        <w:instrText xml:space="preserve"> ADDIN EN.CITE &lt;EndNote&gt;&lt;Cite&gt;&lt;Author&gt;Althuizen&lt;/Author&gt;&lt;Year&gt;2013&lt;/Year&gt;&lt;RecNum&gt;709&lt;/RecNum&gt;&lt;DisplayText&gt;&lt;style face="superscript" font="Trebuchet MS" size="9"&gt;485&lt;/style&gt;&lt;/DisplayText&gt;&lt;record&gt;&lt;rec-number&gt;709&lt;/rec-number&gt;&lt;foreign-keys&gt;&lt;key app="EN" db-id="exvasrfx2dtraoesasxp2szsxa2df502592x" timestamp="1541462216"&gt;709&lt;/key&gt;&lt;/foreign-keys&gt;&lt;ref-type name="Journal Article"&gt;17&lt;/ref-type&gt;&lt;contributors&gt;&lt;authors&gt;&lt;author&gt;Althuizen, E.&lt;/author&gt;&lt;author&gt;van der Wijden, C. L.&lt;/author&gt;&lt;author&gt;van Mechelen, W.&lt;/author&gt;&lt;author&gt;Seidell, J. C.&lt;/author&gt;&lt;author&gt;van Poppel, M. N.&lt;/author&gt;&lt;/authors&gt;&lt;/contributors&gt;&lt;auth-address&gt;Department of Public and Occupational Health and the EMGO Institute for Health and Care Research, VU University Medical Centre, Amsterdam, The Netherlands.&lt;/auth-address&gt;&lt;titles&gt;&lt;title&gt;The effect of a counselling intervention on weight changes during and after pregnancy: a randomised trial&lt;/title&gt;&lt;secondary-title&gt;BJOG&lt;/secondary-title&gt;&lt;/titles&gt;&lt;periodical&gt;&lt;full-title&gt;BJOG&lt;/full-title&gt;&lt;/periodical&gt;&lt;pages&gt;92-9&lt;/pages&gt;&lt;volume&gt;120&lt;/volume&gt;&lt;number&gt;1&lt;/number&gt;&lt;edition&gt;2012/11/06&lt;/edition&gt;&lt;keywords&gt;&lt;keyword&gt;Adult&lt;/keyword&gt;&lt;keyword&gt;Birth Weight&lt;/keyword&gt;&lt;keyword&gt;Body Mass Index&lt;/keyword&gt;&lt;keyword&gt;Counseling/*methods&lt;/keyword&gt;&lt;keyword&gt;Female&lt;/keyword&gt;&lt;keyword&gt;Humans&lt;/keyword&gt;&lt;keyword&gt;Netherlands&lt;/keyword&gt;&lt;keyword&gt;Overweight/*prevention &amp;amp; control&lt;/keyword&gt;&lt;keyword&gt;Patient Compliance&lt;/keyword&gt;&lt;keyword&gt;Pregnancy&lt;/keyword&gt;&lt;keyword&gt;Pregnancy Complications/*prevention &amp;amp; control&lt;/keyword&gt;&lt;keyword&gt;Pregnancy Outcome&lt;/keyword&gt;&lt;keyword&gt;Prenatal Care/*methods&lt;/keyword&gt;&lt;keyword&gt;Weight Gain&lt;/keyword&gt;&lt;/keywords&gt;&lt;dates&gt;&lt;year&gt;2013&lt;/year&gt;&lt;pub-dates&gt;&lt;date&gt;Jan&lt;/date&gt;&lt;/pub-dates&gt;&lt;/dates&gt;&lt;isbn&gt;1471-0528 (Electronic)&amp;#xD;1470-0328 (Linking)&lt;/isbn&gt;&lt;accession-num&gt;23121074&lt;/accession-num&gt;&lt;urls&gt;&lt;related-urls&gt;&lt;url&gt;https://www.ncbi.nlm.nih.gov/pubmed/23121074&lt;/url&gt;&lt;/related-urls&gt;&lt;/urls&gt;&lt;electronic-resource-num&gt;10.1111/1471-0528.12014&lt;/electronic-resource-num&gt;&lt;/record&gt;&lt;/Cite&gt;&lt;/EndNote&gt;</w:instrText>
      </w:r>
      <w:r>
        <w:fldChar w:fldCharType="separate"/>
      </w:r>
      <w:r w:rsidR="002747EA" w:rsidRPr="002747EA">
        <w:rPr>
          <w:noProof/>
          <w:vertAlign w:val="superscript"/>
        </w:rPr>
        <w:t>485</w:t>
      </w:r>
      <w:r>
        <w:fldChar w:fldCharType="end"/>
      </w:r>
      <w:r w:rsidRPr="00C12274">
        <w:t xml:space="preserve"> Norway (n=</w:t>
      </w:r>
      <w:r>
        <w:t>1</w:t>
      </w:r>
      <w:r w:rsidRPr="00C12274">
        <w:t>)</w:t>
      </w:r>
      <w:r>
        <w:t>,</w:t>
      </w:r>
      <w:r>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instrText xml:space="preserve"> ADDIN EN.CITE </w:instrText>
      </w:r>
      <w:r w:rsidR="002747EA">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487</w:t>
      </w:r>
      <w:r>
        <w:fldChar w:fldCharType="end"/>
      </w:r>
      <w:r w:rsidRPr="00C12274">
        <w:t xml:space="preserve"> </w:t>
      </w:r>
      <w:r w:rsidR="00B11010">
        <w:t>Puerto Rico (n=1)</w:t>
      </w:r>
      <w:r w:rsidR="00B11010">
        <w:rPr>
          <w:noProof/>
        </w:rPr>
        <w:t>,</w:t>
      </w:r>
      <w:r w:rsidR="00D07346">
        <w:rPr>
          <w:noProof/>
        </w:rPr>
        <w:fldChar w:fldCharType="begin">
          <w:fldData xml:space="preserve">PEVuZE5vdGU+PENpdGU+PEF1dGhvcj5UcmFrLUZlbGxlcm1laWVyPC9BdXRob3I+PFllYXI+MjAx
OTwvWWVhcj48UmVjTnVtPjE5MjE8L1JlY051bT48RGlzcGxheVRleHQ+PHN0eWxlIGZhY2U9InN1
cGVyc2NyaXB0IiBmb250PSJUcmVidWNoZXQgTVMiIHNpemU9IjkiPjUwOTwvc3R5bGU+PC9EaXNw
bGF5VGV4dD48cmVjb3JkPjxyZWMtbnVtYmVyPjE5MjE8L3JlYy1udW1iZXI+PGZvcmVpZ24ta2V5
cz48a2V5IGFwcD0iRU4iIGRiLWlkPSJleHZhc3JmeDJkdHJhb2VzYXN4cDJzenN4YTJkZjUwMjU5
MngiIHRpbWVzdGFtcD0iMTU4ODU1NjU5NSI+MTkyMTwva2V5PjxrZXkgYXBwPSJFTldlYiIgZGIt
aWQ9IiI+MDwva2V5PjwvZm9yZWlnbi1rZXlzPjxyZWYtdHlwZSBuYW1lPSJKb3VybmFsIEFydGlj
bGUiPjE3PC9yZWYtdHlwZT48Y29udHJpYnV0b3JzPjxhdXRob3JzPjxhdXRob3I+VHJhay1GZWxs
ZXJtZWllciwgTS4gQS48L2F1dGhvcj48YXV0aG9yPkNhbXBvcywgTS48L2F1dGhvcj48YXV0aG9y
Pk1lbGVuZGV6LCBNLjwvYXV0aG9yPjxhdXRob3I+UG9tZXJveSwgSi48L2F1dGhvcj48YXV0aG9y
PlBhbGFjaW9zLCBDLjwvYXV0aG9yPjxhdXRob3I+Uml2ZXJhLVZpbmFzLCBKLjwvYXV0aG9yPjxh
dXRob3I+TWVuZGV6LCBLLjwvYXV0aG9yPjxhdXRob3I+RmVibywgSS48L2F1dGhvcj48YXV0aG9y
PldpbGxldHQsIFcuPC9hdXRob3I+PGF1dGhvcj5HaWxsbWFuLCBNLiBXLjwvYXV0aG9yPjxhdXRo
b3I+RnJhbmtzLCBQLiBXLjwvYXV0aG9yPjxhdXRob3I+Sm9zaGlwdXJhLCBLLjwvYXV0aG9yPjwv
YXV0aG9ycz48L2NvbnRyaWJ1dG9ycz48YXV0aC1hZGRyZXNzPkNlbnRlciBmb3IgQ2xpbmljYWwg
UmVzZWFyY2ggYW5kIEhlYWx0aCBQcm9tb3Rpb24sIFNjaG9vbCBvZiBEZW50YWwgTWVkaWNpbmUs
IE1lZGljYWwgU2NpZW5jZXMgQ2FtcHVzLCBVbml2ZXJzaXR5IG9mIFB1ZXJ0byBSaWNvLCBTYW4g
SnVhbiwgUFIsIFVTQSwga2F1bXVkaS5qb3NoaXB1cmFAdXByLmVkdS4mI3hEO0NsaW5pY2FsIFJl
c2VhcmNoIENlbnRlciwgTWFyc2hmaWVsZCBDbGluaWMgUmVzZWFyY2ggSW5zdGl0dXRlLCBNYXJz
aGZpZWxkIENsaW5pYyBIZWFsdGggU3lzdGVtLCBNYXJzaGZpZWxkLCBXSSwgVVNBLiYjeEQ7RGVw
YXJ0bWVudCBvZiBEaWV0ZXRpY3MgYW5kIE51dHJpdGlvbiwgUm9iZXJ0IFN0ZW1wZWwgQ29sbGVn
ZSBvZiBQdWJsaWMgSGVhbHRoICZhbXA7IFNvY2lhbCBXb3JrLCBGbG9yaWRhIEludGVybmF0aW9u
YWwgVW5pdmVyc2l0eSwgTWlhbWksIEZMLCBVU0EuJiN4RDtEZXBhcnRtZW50IG9mIE9ic3RldHJp
Y3MgYW5kIEd5bmVjb2xvZ3ksIFNjaG9vbCBvZiBNZWRpY2luZSwgTWVkaWNhbCBTY2llbmNlcyBD
YW1wdXMsIFVuaXZlcnNpdHkgb2YgUHVlcnRvIFJpY28sIFNhbiBKdWFuLCBQUiwgVVNBLiYjeEQ7
RGVwYXJ0bWVudCBvZiBQZWRpYXRyaWNzLCBTY2hvb2wgb2YgTWVkaWNpbmUsIE1lZGljYWwgU2Np
ZW5jZXMgQ2FtcHVzLCBVbml2ZXJzaXR5IG9mIFB1ZXJ0byBSaWNvLCBTYW4gSnVhbiwgUFIsIFVT
QS4mI3hEO0RlcGFydG1lbnQgb2YgTnV0cml0aW9uLCBIYXJ2YXJkIFQuSC4gQ2hhbiBTY2hvb2wg
b2YgUHVibGljIEhlYWx0aCwgSGFydmFyZCBVbml2ZXJzaXR5LCBCb3N0b24sIE1BLCBVU0EuJiN4
RDtEaXZpc2lvbiBvZiBDaHJvbmljIERpc2Vhc2UgUmVzZWFyY2ggQWNyb3NzIHRoZSBMaWZlIENv
dXJzZSwgRGVwYXJ0bWVudCBvZiBQb3B1bGF0aW9uIE1lZGljaW5lLCBIYXJ2YXJkIE1lZGljYWwg
U2Nob29sIGFuZCBIYXJ2YXJkIFBpbGdyaW0gSGVhbHRoIENhcmUgSW5zdGl0dXRlLCBCb3N0b24s
IE1BLiYjeEQ7RGVwYXJ0bWVudCBvZiBDbGluaWNhbCBTY2llbmNlcywgR2VuZXRpYyBhbmQgTW9s
ZWN1bGFyIEVwaWRlbWlvbG9neSBVbml0LCBMdW5kIFVuaXZlcnNpdHksIFNrYW5lIFVuaXZlcnNp
dHkgSG9zcGl0YWwsIE1hbG1vLCBTd2VkZW4uJiN4RDtEZXBhcnRtZW50IG9mIEVwaWRlbWlvbG9n
eSwgSGFydmFyZCBULkguIENoYW4gUHVibGljIEhlYWx0aCBTY2hvb2wsIEhhcnZhcmQgVW5pdmVy
c2l0eSwgQm9zdG9uLCBNQSwgVVNBLCBrYXVtdWRpLmpvc2hpcHVyYUB1cHIuZWR1LjwvYXV0aC1h
ZGRyZXNzPjx0aXRsZXM+PHRpdGxlPlBFQVJMUyByYW5kb21pemVkIGxpZmVzdHlsZSB0cmlhbCBp
biBwcmVnbmFudCBIaXNwYW5pYyB3b21lbiB3aXRoIG92ZXJ3ZWlnaHQvb2Jlc2l0eTogZ2VzdGF0
aW9uYWwgd2VpZ2h0IGdhaW4gYW5kIG9mZnNwcmluZyBiaXJ0aHdlaWdodDwvdGl0bGU+PHNlY29u
ZGFyeS10aXRsZT5EaWFiZXRlcyBNZXRhYiBTeW5kciBPYmVzPC9zZWNvbmRhcnktdGl0bGU+PC90
aXRsZXM+PHBlcmlvZGljYWw+PGZ1bGwtdGl0bGU+RGlhYmV0ZXMgTWV0YWIgU3luZHIgT2Jlczwv
ZnVsbC10aXRsZT48L3BlcmlvZGljYWw+PHBhZ2VzPjIyNS0yMzg8L3BhZ2VzPjx2b2x1bWU+MTI8
L3ZvbHVtZT48ZWRpdGlvbj4yMDE5LzAzLzEzPC9lZGl0aW9uPjxrZXl3b3Jkcz48a2V5d29yZD5i
aXJ0aHdlaWdodDwva2V5d29yZD48a2V5d29yZD5nZXN0YXRpb25hbCB3ZWlnaHQgZ2Fpbjwva2V5
d29yZD48a2V5d29yZD5pbnRlcnZlbnRpb248L2tleXdvcmQ+PGtleXdvcmQ+bGlmZXN0eWxlIG1v
ZGlmaWNhdGlvbjwva2V5d29yZD48a2V5d29yZD5uZW9uYXRhbDwva2V5d29yZD48a2V5d29yZD5v
YmVzZTwva2V5d29yZD48a2V5d29yZD5vdmVyd2VpZ2h0PC9rZXl3b3JkPjxrZXl3b3JkPnByZWdu
YW5jeTwva2V5d29yZD48a2V5d29yZD5yYW5kb21pemVkIGNvbnRyb2xsZWQgdHJpYWw8L2tleXdv
cmQ+PGtleXdvcmQ+SGVhbHRoIE91dGNvbWVzIChFQ0hPKSBQcm9ncmFtLCBPZmZpY2Ugb2YgdGhl
IERpcmVjdG9yLCBOYXRpb25hbCBJbnN0aXR1dGVzIG9mPC9rZXl3b3JkPjxrZXl3b3JkPkhlYWx0
aCAoVGhlIHZpZXdzIGV4cHJlc3NlZCBpbiB0aGlzIGFydGljbGUgZG8gbm90IG5lY2Vzc2FyaWx5
IHJlcHJlc2VudCB0aGU8L2tleXdvcmQ+PGtleXdvcmQ+dmlld3Mgb2YgdGhlIFVTIEdvdmVybm1l
bnQsIHRoZSBEZXBhcnRtZW50IG9mIEhlYWx0aCBhbmQgSHVtYW4gU2VydmljZXMgb3IgdGhlPC9r
ZXl3b3JkPjxrZXl3b3JkPk5hdGlvbmFsIEluc3RpdHV0ZXMgb2YgSGVhbHRoKS4gVGhlIGF1dGhv
cnMgcmVwb3J0IG5vIG90aGVyIGNvbmZsaWN0cyBvZiBpbnRlcmVzdDwva2V5d29yZD48a2V5d29y
ZD5pbiB0aGlzIHdvcmsuPC9rZXl3b3JkPjwva2V5d29yZHM+PGRhdGVzPjx5ZWFyPjIwMTk8L3ll
YXI+PC9kYXRlcz48aXNibj4xMTc4LTcwMDcgKFByaW50KSYjeEQ7MTE3OC03MDA3IChMaW5raW5n
KTwvaXNibj48YWNjZXNzaW9uLW51bT4zMDg1ODcxNTwvYWNjZXNzaW9uLW51bT48dXJscz48cmVs
YXRlZC11cmxzPjx1cmw+aHR0cHM6Ly93d3cubmNiaS5ubG0ubmloLmdvdi9wdWJtZWQvMzA4NTg3
MTU8L3VybD48L3JlbGF0ZWQtdXJscz48L3VybHM+PGN1c3RvbTI+UE1DNjM4NTc0MzwvY3VzdG9t
Mj48ZWxlY3Ryb25pYy1yZXNvdXJjZS1udW0+MTAuMjE0Ny9ETVNPLlMxNzkwMDk8L2VsZWN0cm9u
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PEVuZE5vdGU+PENpdGU+PEF1dGhvcj5UcmFrLUZlbGxlcm1laWVyPC9BdXRob3I+PFllYXI+MjAx
OTwvWWVhcj48UmVjTnVtPjE5MjE8L1JlY051bT48RGlzcGxheVRleHQ+PHN0eWxlIGZhY2U9InN1
cGVyc2NyaXB0IiBmb250PSJUcmVidWNoZXQgTVMiIHNpemU9IjkiPjUwOTwvc3R5bGU+PC9EaXNw
bGF5VGV4dD48cmVjb3JkPjxyZWMtbnVtYmVyPjE5MjE8L3JlYy1udW1iZXI+PGZvcmVpZ24ta2V5
cz48a2V5IGFwcD0iRU4iIGRiLWlkPSJleHZhc3JmeDJkdHJhb2VzYXN4cDJzenN4YTJkZjUwMjU5
MngiIHRpbWVzdGFtcD0iMTU4ODU1NjU5NSI+MTkyMTwva2V5PjxrZXkgYXBwPSJFTldlYiIgZGIt
aWQ9IiI+MDwva2V5PjwvZm9yZWlnbi1rZXlzPjxyZWYtdHlwZSBuYW1lPSJKb3VybmFsIEFydGlj
bGUiPjE3PC9yZWYtdHlwZT48Y29udHJpYnV0b3JzPjxhdXRob3JzPjxhdXRob3I+VHJhay1GZWxs
ZXJtZWllciwgTS4gQS48L2F1dGhvcj48YXV0aG9yPkNhbXBvcywgTS48L2F1dGhvcj48YXV0aG9y
Pk1lbGVuZGV6LCBNLjwvYXV0aG9yPjxhdXRob3I+UG9tZXJveSwgSi48L2F1dGhvcj48YXV0aG9y
PlBhbGFjaW9zLCBDLjwvYXV0aG9yPjxhdXRob3I+Uml2ZXJhLVZpbmFzLCBKLjwvYXV0aG9yPjxh
dXRob3I+TWVuZGV6LCBLLjwvYXV0aG9yPjxhdXRob3I+RmVibywgSS48L2F1dGhvcj48YXV0aG9y
PldpbGxldHQsIFcuPC9hdXRob3I+PGF1dGhvcj5HaWxsbWFuLCBNLiBXLjwvYXV0aG9yPjxhdXRo
b3I+RnJhbmtzLCBQLiBXLjwvYXV0aG9yPjxhdXRob3I+Sm9zaGlwdXJhLCBLLjwvYXV0aG9yPjwv
YXV0aG9ycz48L2NvbnRyaWJ1dG9ycz48YXV0aC1hZGRyZXNzPkNlbnRlciBmb3IgQ2xpbmljYWwg
UmVzZWFyY2ggYW5kIEhlYWx0aCBQcm9tb3Rpb24sIFNjaG9vbCBvZiBEZW50YWwgTWVkaWNpbmUs
IE1lZGljYWwgU2NpZW5jZXMgQ2FtcHVzLCBVbml2ZXJzaXR5IG9mIFB1ZXJ0byBSaWNvLCBTYW4g
SnVhbiwgUFIsIFVTQSwga2F1bXVkaS5qb3NoaXB1cmFAdXByLmVkdS4mI3hEO0NsaW5pY2FsIFJl
c2VhcmNoIENlbnRlciwgTWFyc2hmaWVsZCBDbGluaWMgUmVzZWFyY2ggSW5zdGl0dXRlLCBNYXJz
aGZpZWxkIENsaW5pYyBIZWFsdGggU3lzdGVtLCBNYXJzaGZpZWxkLCBXSSwgVVNBLiYjeEQ7RGVw
YXJ0bWVudCBvZiBEaWV0ZXRpY3MgYW5kIE51dHJpdGlvbiwgUm9iZXJ0IFN0ZW1wZWwgQ29sbGVn
ZSBvZiBQdWJsaWMgSGVhbHRoICZhbXA7IFNvY2lhbCBXb3JrLCBGbG9yaWRhIEludGVybmF0aW9u
YWwgVW5pdmVyc2l0eSwgTWlhbWksIEZMLCBVU0EuJiN4RDtEZXBhcnRtZW50IG9mIE9ic3RldHJp
Y3MgYW5kIEd5bmVjb2xvZ3ksIFNjaG9vbCBvZiBNZWRpY2luZSwgTWVkaWNhbCBTY2llbmNlcyBD
YW1wdXMsIFVuaXZlcnNpdHkgb2YgUHVlcnRvIFJpY28sIFNhbiBKdWFuLCBQUiwgVVNBLiYjeEQ7
RGVwYXJ0bWVudCBvZiBQZWRpYXRyaWNzLCBTY2hvb2wgb2YgTWVkaWNpbmUsIE1lZGljYWwgU2Np
ZW5jZXMgQ2FtcHVzLCBVbml2ZXJzaXR5IG9mIFB1ZXJ0byBSaWNvLCBTYW4gSnVhbiwgUFIsIFVT
QS4mI3hEO0RlcGFydG1lbnQgb2YgTnV0cml0aW9uLCBIYXJ2YXJkIFQuSC4gQ2hhbiBTY2hvb2wg
b2YgUHVibGljIEhlYWx0aCwgSGFydmFyZCBVbml2ZXJzaXR5LCBCb3N0b24sIE1BLCBVU0EuJiN4
RDtEaXZpc2lvbiBvZiBDaHJvbmljIERpc2Vhc2UgUmVzZWFyY2ggQWNyb3NzIHRoZSBMaWZlIENv
dXJzZSwgRGVwYXJ0bWVudCBvZiBQb3B1bGF0aW9uIE1lZGljaW5lLCBIYXJ2YXJkIE1lZGljYWwg
U2Nob29sIGFuZCBIYXJ2YXJkIFBpbGdyaW0gSGVhbHRoIENhcmUgSW5zdGl0dXRlLCBCb3N0b24s
IE1BLiYjeEQ7RGVwYXJ0bWVudCBvZiBDbGluaWNhbCBTY2llbmNlcywgR2VuZXRpYyBhbmQgTW9s
ZWN1bGFyIEVwaWRlbWlvbG9neSBVbml0LCBMdW5kIFVuaXZlcnNpdHksIFNrYW5lIFVuaXZlcnNp
dHkgSG9zcGl0YWwsIE1hbG1vLCBTd2VkZW4uJiN4RDtEZXBhcnRtZW50IG9mIEVwaWRlbWlvbG9n
eSwgSGFydmFyZCBULkguIENoYW4gUHVibGljIEhlYWx0aCBTY2hvb2wsIEhhcnZhcmQgVW5pdmVy
c2l0eSwgQm9zdG9uLCBNQSwgVVNBLCBrYXVtdWRpLmpvc2hpcHVyYUB1cHIuZWR1LjwvYXV0aC1h
ZGRyZXNzPjx0aXRsZXM+PHRpdGxlPlBFQVJMUyByYW5kb21pemVkIGxpZmVzdHlsZSB0cmlhbCBp
biBwcmVnbmFudCBIaXNwYW5pYyB3b21lbiB3aXRoIG92ZXJ3ZWlnaHQvb2Jlc2l0eTogZ2VzdGF0
aW9uYWwgd2VpZ2h0IGdhaW4gYW5kIG9mZnNwcmluZyBiaXJ0aHdlaWdodDwvdGl0bGU+PHNlY29u
ZGFyeS10aXRsZT5EaWFiZXRlcyBNZXRhYiBTeW5kciBPYmVzPC9zZWNvbmRhcnktdGl0bGU+PC90
aXRsZXM+PHBlcmlvZGljYWw+PGZ1bGwtdGl0bGU+RGlhYmV0ZXMgTWV0YWIgU3luZHIgT2Jlczwv
ZnVsbC10aXRsZT48L3BlcmlvZGljYWw+PHBhZ2VzPjIyNS0yMzg8L3BhZ2VzPjx2b2x1bWU+MTI8
L3ZvbHVtZT48ZWRpdGlvbj4yMDE5LzAzLzEzPC9lZGl0aW9uPjxrZXl3b3Jkcz48a2V5d29yZD5i
aXJ0aHdlaWdodDwva2V5d29yZD48a2V5d29yZD5nZXN0YXRpb25hbCB3ZWlnaHQgZ2Fpbjwva2V5
d29yZD48a2V5d29yZD5pbnRlcnZlbnRpb248L2tleXdvcmQ+PGtleXdvcmQ+bGlmZXN0eWxlIG1v
ZGlmaWNhdGlvbjwva2V5d29yZD48a2V5d29yZD5uZW9uYXRhbDwva2V5d29yZD48a2V5d29yZD5v
YmVzZTwva2V5d29yZD48a2V5d29yZD5vdmVyd2VpZ2h0PC9rZXl3b3JkPjxrZXl3b3JkPnByZWdu
YW5jeTwva2V5d29yZD48a2V5d29yZD5yYW5kb21pemVkIGNvbnRyb2xsZWQgdHJpYWw8L2tleXdv
cmQ+PGtleXdvcmQ+SGVhbHRoIE91dGNvbWVzIChFQ0hPKSBQcm9ncmFtLCBPZmZpY2Ugb2YgdGhl
IERpcmVjdG9yLCBOYXRpb25hbCBJbnN0aXR1dGVzIG9mPC9rZXl3b3JkPjxrZXl3b3JkPkhlYWx0
aCAoVGhlIHZpZXdzIGV4cHJlc3NlZCBpbiB0aGlzIGFydGljbGUgZG8gbm90IG5lY2Vzc2FyaWx5
IHJlcHJlc2VudCB0aGU8L2tleXdvcmQ+PGtleXdvcmQ+dmlld3Mgb2YgdGhlIFVTIEdvdmVybm1l
bnQsIHRoZSBEZXBhcnRtZW50IG9mIEhlYWx0aCBhbmQgSHVtYW4gU2VydmljZXMgb3IgdGhlPC9r
ZXl3b3JkPjxrZXl3b3JkPk5hdGlvbmFsIEluc3RpdHV0ZXMgb2YgSGVhbHRoKS4gVGhlIGF1dGhv
cnMgcmVwb3J0IG5vIG90aGVyIGNvbmZsaWN0cyBvZiBpbnRlcmVzdDwva2V5d29yZD48a2V5d29y
ZD5pbiB0aGlzIHdvcmsuPC9rZXl3b3JkPjwva2V5d29yZHM+PGRhdGVzPjx5ZWFyPjIwMTk8L3ll
YXI+PC9kYXRlcz48aXNibj4xMTc4LTcwMDcgKFByaW50KSYjeEQ7MTE3OC03MDA3IChMaW5raW5n
KTwvaXNibj48YWNjZXNzaW9uLW51bT4zMDg1ODcxNTwvYWNjZXNzaW9uLW51bT48dXJscz48cmVs
YXRlZC11cmxzPjx1cmw+aHR0cHM6Ly93d3cubmNiaS5ubG0ubmloLmdvdi9wdWJtZWQvMzA4NTg3
MTU8L3VybD48L3JlbGF0ZWQtdXJscz48L3VybHM+PGN1c3RvbTI+UE1DNjM4NTc0MzwvY3VzdG9t
Mj48ZWxlY3Ryb25pYy1yZXNvdXJjZS1udW0+MTAuMjE0Ny9ETVNPLlMxNzkwMDk8L2VsZWN0cm9u
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509</w:t>
      </w:r>
      <w:r w:rsidR="00D07346">
        <w:rPr>
          <w:noProof/>
        </w:rPr>
        <w:fldChar w:fldCharType="end"/>
      </w:r>
      <w:r w:rsidR="00B11010">
        <w:rPr>
          <w:noProof/>
        </w:rPr>
        <w:t xml:space="preserve"> </w:t>
      </w:r>
      <w:r w:rsidRPr="00C12274">
        <w:t>Sweden (n=1)</w:t>
      </w:r>
      <w:r>
        <w:t>,</w:t>
      </w:r>
      <w:r>
        <w:fldChar w:fldCharType="begin"/>
      </w:r>
      <w:r w:rsidR="002747EA">
        <w:instrText xml:space="preserve"> ADDIN EN.CITE &lt;EndNote&gt;&lt;Cite&gt;&lt;Author&gt;Ronnberg&lt;/Author&gt;&lt;Year&gt;2015&lt;/Year&gt;&lt;RecNum&gt;754&lt;/RecNum&gt;&lt;DisplayText&gt;&lt;style face="superscript" font="Trebuchet MS" size="9"&gt;486&lt;/style&gt;&lt;/DisplayText&gt;&lt;record&gt;&lt;rec-number&gt;754&lt;/rec-number&gt;&lt;foreign-keys&gt;&lt;key app="EN" db-id="exvasrfx2dtraoesasxp2szsxa2df502592x" timestamp="1541467952"&gt;754&lt;/key&gt;&lt;key app="ENWeb" db-id=""&gt;0&lt;/key&gt;&lt;/foreign-keys&gt;&lt;ref-type name="Journal Article"&gt;17&lt;/ref-type&gt;&lt;contributors&gt;&lt;authors&gt;&lt;author&gt;Ronnberg, A. K.&lt;/author&gt;&lt;author&gt;Ostlund, I.&lt;/author&gt;&lt;author&gt;Fadl, H.&lt;/author&gt;&lt;author&gt;Gottvall, T.&lt;/author&gt;&lt;author&gt;Nilsson, K.&lt;/author&gt;&lt;/authors&gt;&lt;/contributors&gt;&lt;titles&gt;&lt;title&gt;Intervention during pregnancy to reduce excessive gestational weight gain-a randomised controlled trial&lt;/title&gt;&lt;secondary-title&gt;BJOG: An International Journal of Obstetrics &amp;amp; Gynaecology&lt;/secondary-title&gt;&lt;/titles&gt;&lt;periodical&gt;&lt;full-title&gt;BJOG: An International Journal of Obstetrics &amp;amp; Gynaecology&lt;/full-title&gt;&lt;/periodical&gt;&lt;pages&gt;537-544&lt;/pages&gt;&lt;volume&gt;122&lt;/volume&gt;&lt;number&gt;4&lt;/number&gt;&lt;section&gt;537&lt;/section&gt;&lt;dates&gt;&lt;year&gt;2015&lt;/year&gt;&lt;/dates&gt;&lt;isbn&gt;14700328&lt;/isbn&gt;&lt;urls&gt;&lt;/urls&gt;&lt;electronic-resource-num&gt;10.1111/1471-0528.13131&lt;/electronic-resource-num&gt;&lt;/record&gt;&lt;/Cite&gt;&lt;/EndNote&gt;</w:instrText>
      </w:r>
      <w:r>
        <w:fldChar w:fldCharType="separate"/>
      </w:r>
      <w:r w:rsidR="002747EA" w:rsidRPr="002747EA">
        <w:rPr>
          <w:noProof/>
          <w:vertAlign w:val="superscript"/>
        </w:rPr>
        <w:t>486</w:t>
      </w:r>
      <w:r>
        <w:fldChar w:fldCharType="end"/>
      </w:r>
      <w:r w:rsidRPr="00C12274">
        <w:t xml:space="preserve"> </w:t>
      </w:r>
      <w:r>
        <w:t>Turkey (n=1),</w:t>
      </w:r>
      <w:r>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 </w:instrText>
      </w:r>
      <w:r w:rsidR="002747EA">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489</w:t>
      </w:r>
      <w:r>
        <w:fldChar w:fldCharType="end"/>
      </w:r>
      <w:r>
        <w:t xml:space="preserve"> </w:t>
      </w:r>
      <w:r w:rsidRPr="00C12274">
        <w:t>United Kingdom (n=</w:t>
      </w:r>
      <w:r>
        <w:t>2),</w:t>
      </w:r>
      <w:r>
        <w:fldChar w:fldCharType="begin">
          <w:fldData xml:space="preserve">PEVuZE5vdGU+PENpdGU+PEF1dGhvcj5Qb3N0b248L0F1dGhvcj48WWVhcj4yMDEzPC9ZZWFyPjxS
ZWNOdW0+MTEwNTwvUmVjTnVtPjxEaXNwbGF5VGV4dD48c3R5bGUgZmFjZT0ic3VwZXJzY3JpcHQi
IGZvbnQ9IlRyZWJ1Y2hldCBNUyIgc2l6ZT0iOSI+NTEyLDUxMzwvc3R5bGU+PC9EaXNwbGF5VGV4
dD48cmVjb3JkPjxyZWMtbnVtYmVyPjExMDU8L3JlYy1udW1iZXI+PGZvcmVpZ24ta2V5cz48a2V5
IGFwcD0iRU4iIGRiLWlkPSJleHZhc3JmeDJkdHJhb2VzYXN4cDJzenN4YTJkZjUwMjU5MngiIHRp
bWVzdGFtcD0iMTU1Mjk0ODI3NSI+MTEwNTwva2V5PjwvZm9yZWlnbi1rZXlzPjxyZWYtdHlwZSBu
YW1lPSJKb3VybmFsIEFydGljbGUiPjE3PC9yZWYtdHlwZT48Y29udHJpYnV0b3JzPjxhdXRob3Jz
PjxhdXRob3I+UG9zdG9uLCBMLjwvYXV0aG9yPjxhdXRob3I+QnJpbGV5LCBBLiBMLjwvYXV0aG9y
PjxhdXRob3I+QmFyciwgUy48L2F1dGhvcj48YXV0aG9yPkJlbGwsIFIuPC9hdXRob3I+PGF1dGhv
cj5Dcm9rZXIsIEguPC9hdXRob3I+PGF1dGhvcj5Db3hvbiwgSy48L2F1dGhvcj48YXV0aG9yPkVz
c2V4LCBILiBOLjwvYXV0aG9yPjxhdXRob3I+SHVudCwgQy48L2F1dGhvcj48YXV0aG9yPkhheWVz
LCBMLjwvYXV0aG9yPjxhdXRob3I+SG93YXJkLCBMLiBNLjwvYXV0aG9yPjxhdXRob3I+S2hhemFl
emFkZWgsIE4uPC9hdXRob3I+PGF1dGhvcj5LaW5udW5lbiwgVC48L2F1dGhvcj48YXV0aG9yPk5l
bHNvbiwgUy4gTS48L2F1dGhvcj48YXV0aG9yPk90ZW5nLU50aW0sIEUuPC9hdXRob3I+PGF1dGhv
cj5Sb2Jzb24sIFMuIEMuPC9hdXRob3I+PGF1dGhvcj5TYXR0YXIsIE4uPC9hdXRob3I+PGF1dGhv
cj5TZWVkLCBQLiBULjwvYXV0aG9yPjxhdXRob3I+V2FyZGxlLCBKLjwvYXV0aG9yPjxhdXRob3I+
U2FuZGVycywgVC4gQS48L2F1dGhvcj48YXV0aG9yPlNhbmRhbGwsIEouPC9hdXRob3I+PC9hdXRo
b3JzPjwvY29udHJpYnV0b3JzPjx0aXRsZXM+PHRpdGxlPkRldmVsb3BpbmcgYSBjb21wbGV4IGlu
dGVydmVudGlvbiBmb3IgZGlldCBhbmQgYWN0aXZpdHkgYmVoYXZpb3VyIGNoYW5nZSBpbiBvYmVz
ZSBwcmVnbmFudCB3b21lbiAodGhlIFVQQkVBVCB0cmlhbCk7IGFzc2Vzc21lbnQgb2YgYmVoYXZp
b3VyYWwgY2hhbmdlIGFuZCBwcm9jZXNzIGV2YWx1YXRpb24gaW4gYSBwaWxvdCByYW5kb21pc2Vk
IGNvbnRyb2xsZWQgdHJpYWw8L3RpdGxlPjxzZWNvbmRhcnktdGl0bGU+Qk1DIFByZWduYW5jeSBD
aGlsZGJpcnRoPC9zZWNvbmRhcnktdGl0bGU+PC90aXRsZXM+PHBlcmlvZGljYWw+PGZ1bGwtdGl0
bGU+Qk1DIFByZWduYW5jeSBDaGlsZGJpcnRoPC9mdWxsLXRpdGxlPjwvcGVyaW9kaWNhbD48cGFn
ZXM+MTQ4PC9wYWdlcz48dm9sdW1lPjEzPC92b2x1bWU+PGVkaXRpb24+MjAxMy8wNy8xNzwvZWRp
dGlvbj48a2V5d29yZHM+PGtleXdvcmQ+QWNjZWxlcm9tZXRyeTwva2V5d29yZD48a2V5d29yZD5B
ZG9sZXNjZW50PC9rZXl3b3JkPjxrZXl3b3JkPkFkdWx0PC9rZXl3b3JkPjxrZXl3b3JkPkJlaGF2
aW9yIFRoZXJhcHkvKm1ldGhvZHM8L2tleXdvcmQ+PGtleXdvcmQ+Qm9keSBNYXNzIEluZGV4PC9r
ZXl3b3JkPjxrZXl3b3JkPkRpYWJldGVzLCBHZXN0YXRpb25hbC8qcHJldmVudGlvbiAmYW1wOyBj
b250cm9sPC9rZXl3b3JkPjxrZXl3b3JkPkRpZXQgVGhlcmFweS8qbWV0aG9kczwva2V5d29yZD48
a2V5d29yZD5FeGVyY2lzZSBUaGVyYXB5LyptZXRob2RzPC9rZXl3b3JkPjxrZXl3b3JkPkZlYXNp
YmlsaXR5IFN0dWRpZXM8L2tleXdvcmQ+PGtleXdvcmQ+RmVtYWxlPC9rZXl3b3JkPjxrZXl3b3Jk
Pkh1bWFuczwva2V5d29yZD48a2V5d29yZD4qTW90b3IgQWN0aXZpdHk8L2tleXdvcmQ+PGtleXdv
cmQ+T2Jlc2l0eS8qdGhlcmFweTwva2V5d29yZD48a2V5d29yZD5QaWxvdCBQcm9qZWN0czwva2V5
d29yZD48a2V5d29yZD5QcmVnbmFuY3k8L2tleXdvcmQ+PGtleXdvcmQ+UHJlZ25hbmN5IENvbXBs
aWNhdGlvbnMvKnRoZXJhcHk8L2tleXdvcmQ+PGtleXdvcmQ+UHJlbmF0YWwgQ2FyZS9tZXRob2Rz
PC9rZXl3b3JkPjxrZXl3b3JkPllvdW5nIEFkdWx0PC9rZXl3b3JkPjwva2V5d29yZHM+PGRhdGVz
Pjx5ZWFyPjIwMTM8L3llYXI+PHB1Yi1kYXRlcz48ZGF0ZT5KdWwgMTU8L2RhdGU+PC9wdWItZGF0
ZXM+PC9kYXRlcz48aXNibj4xNDcxLTIzOTMgKEVsZWN0cm9uaWMpJiN4RDsxNDcxLTIzOTMgKExp
bmtpbmcpPC9pc2JuPjxhY2Nlc3Npb24tbnVtPjIzODU1NzA4PC9hY2Nlc3Npb24tbnVtPjx1cmxz
PjxyZWxhdGVkLXVybHM+PHVybD5odHRwczovL3d3dy5uY2JpLm5sbS5uaWguZ292L3B1Ym1lZC8y
Mzg1NTcwODwvdXJsPjwvcmVsYXRlZC11cmxzPjwvdXJscz48Y3VzdG9tMj5QTUMzNzE4NjMwPC9j
dXN0b20yPjxlbGVjdHJvbmljLXJlc291cmNlLW51bT4xMC4xMTg2LzE0NzEtMjM5My0xMy0xNDg8
L2VsZWN0cm9uaWMtcmVzb3VyY2UtbnVtPjwvcmVjb3JkPjwvQ2l0ZT48Q2l0ZT48QXV0aG9yPlBv
c3RvbjwvQXV0aG9yPjxZZWFyPjIwMTU8L1llYXI+PFJlY051bT42MTI8L1JlY051bT48cmVjb3Jk
PjxyZWMtbnVtYmVyPjYxMjwvcmVjLW51bWJlcj48Zm9yZWlnbi1rZXlzPjxrZXkgYXBwPSJFTiIg
ZGItaWQ9ImV4dmFzcmZ4MmR0cmFvZXNhc3hwMnN6c3hhMmRmNTAyNTkyeCIgdGltZXN0YW1wPSIx
NTM5MDQ4MzQ4Ij42MTI8L2tleT48a2V5IGFwcD0iRU5XZWIiIGRiLWlkPSIiPjA8L2tleT48L2Zv
cmVpZ24ta2V5cz48cmVmLXR5cGUgbmFtZT0iSm91cm5hbCBBcnRpY2xlIj4xNzwvcmVmLXR5cGU+
PGNvbnRyaWJ1dG9ycz48YXV0aG9ycz48YXV0aG9yPlBvc3RvbiwgTC4sPC9hdXRob3I+PGF1dGhv
cj5CZWxsLCBSLiw8L2F1dGhvcj48YXV0aG9yPkNyb2tlciwgSC4sPC9hdXRob3I+PGF1dGhvcj5G
bHlubiwgQS5DLiw8L2F1dGhvcj48YXV0aG9yPkdvZGZyZXksIEsuTS4sPC9hdXRob3I+PGF1dGhv
cj5Hb2ZmLCBMLiw8L2F1dGhvcj48L2F1dGhvcnM+PC9jb250cmlidXRvcnM+PHRpdGxlcz48dGl0
bGU+RWZmZWN0IG9mIGEgYmVoYXZpb3VyYWwgaW50ZXJ2ZW50aW9uIGluIG9iZXNlIHByZWduYW50
IHdvbWVuICh0aGUgVVBCRUFUIHN0dWR5KTogYSBtdWx0aWNlbnRyZSwgcmFuZG9taXNlZCBjb250
cm9sbGVkIHRyaWFsPC90aXRsZT48c2Vjb25kYXJ5LXRpdGxlPlRoZSBMYW5jZXQgRGlhYmV0ZXMg
JmFtcDsgRW5kb2NyaW5vbG9neTwvc2Vjb25kYXJ5LXRpdGxlPjwvdGl0bGVzPjxwZXJpb2RpY2Fs
PjxmdWxsLXRpdGxlPlRoZSBMYW5jZXQgRGlhYmV0ZXMgJmFtcDsgRW5kb2NyaW5vbG9neTwvZnVs
bC10aXRsZT48L3BlcmlvZGljYWw+PHBhZ2VzPjc2Ny03Nzc8L3BhZ2VzPjx2b2x1bWU+Mzwvdm9s
dW1lPjxudW1iZXI+MTA8L251bWJlcj48c2VjdGlvbj43Njc8L3NlY3Rpb24+PGRhdGVzPjx5ZWFy
PjIwMTU8L3llYXI+PC9kYXRlcz48aXNibj4yMjEzODU4NzwvaXNibj48dXJscz48L3VybHM+PGVs
ZWN0cm9uaWMtcmVzb3VyY2UtbnVtPjEwLjEwMTYvczIyMTMtODU4NygxNSkwMDIyNy0yPC9lbGVj
dHJvbmljLXJlc291cmNlLW51bT48L3JlY29yZD48L0NpdGU+PC9FbmROb3RlPn==
</w:fldData>
        </w:fldChar>
      </w:r>
      <w:r w:rsidR="002747EA">
        <w:instrText xml:space="preserve"> ADDIN EN.CITE </w:instrText>
      </w:r>
      <w:r w:rsidR="002747EA">
        <w:fldChar w:fldCharType="begin">
          <w:fldData xml:space="preserve">PEVuZE5vdGU+PENpdGU+PEF1dGhvcj5Qb3N0b248L0F1dGhvcj48WWVhcj4yMDEzPC9ZZWFyPjxS
ZWNOdW0+MTEwNTwvUmVjTnVtPjxEaXNwbGF5VGV4dD48c3R5bGUgZmFjZT0ic3VwZXJzY3JpcHQi
IGZvbnQ9IlRyZWJ1Y2hldCBNUyIgc2l6ZT0iOSI+NTEyLDUxMzwvc3R5bGU+PC9EaXNwbGF5VGV4
dD48cmVjb3JkPjxyZWMtbnVtYmVyPjExMDU8L3JlYy1udW1iZXI+PGZvcmVpZ24ta2V5cz48a2V5
IGFwcD0iRU4iIGRiLWlkPSJleHZhc3JmeDJkdHJhb2VzYXN4cDJzenN4YTJkZjUwMjU5MngiIHRp
bWVzdGFtcD0iMTU1Mjk0ODI3NSI+MTEwNTwva2V5PjwvZm9yZWlnbi1rZXlzPjxyZWYtdHlwZSBu
YW1lPSJKb3VybmFsIEFydGljbGUiPjE3PC9yZWYtdHlwZT48Y29udHJpYnV0b3JzPjxhdXRob3Jz
PjxhdXRob3I+UG9zdG9uLCBMLjwvYXV0aG9yPjxhdXRob3I+QnJpbGV5LCBBLiBMLjwvYXV0aG9y
PjxhdXRob3I+QmFyciwgUy48L2F1dGhvcj48YXV0aG9yPkJlbGwsIFIuPC9hdXRob3I+PGF1dGhv
cj5Dcm9rZXIsIEguPC9hdXRob3I+PGF1dGhvcj5Db3hvbiwgSy48L2F1dGhvcj48YXV0aG9yPkVz
c2V4LCBILiBOLjwvYXV0aG9yPjxhdXRob3I+SHVudCwgQy48L2F1dGhvcj48YXV0aG9yPkhheWVz
LCBMLjwvYXV0aG9yPjxhdXRob3I+SG93YXJkLCBMLiBNLjwvYXV0aG9yPjxhdXRob3I+S2hhemFl
emFkZWgsIE4uPC9hdXRob3I+PGF1dGhvcj5LaW5udW5lbiwgVC48L2F1dGhvcj48YXV0aG9yPk5l
bHNvbiwgUy4gTS48L2F1dGhvcj48YXV0aG9yPk90ZW5nLU50aW0sIEUuPC9hdXRob3I+PGF1dGhv
cj5Sb2Jzb24sIFMuIEMuPC9hdXRob3I+PGF1dGhvcj5TYXR0YXIsIE4uPC9hdXRob3I+PGF1dGhv
cj5TZWVkLCBQLiBULjwvYXV0aG9yPjxhdXRob3I+V2FyZGxlLCBKLjwvYXV0aG9yPjxhdXRob3I+
U2FuZGVycywgVC4gQS48L2F1dGhvcj48YXV0aG9yPlNhbmRhbGwsIEouPC9hdXRob3I+PC9hdXRo
b3JzPjwvY29udHJpYnV0b3JzPjx0aXRsZXM+PHRpdGxlPkRldmVsb3BpbmcgYSBjb21wbGV4IGlu
dGVydmVudGlvbiBmb3IgZGlldCBhbmQgYWN0aXZpdHkgYmVoYXZpb3VyIGNoYW5nZSBpbiBvYmVz
ZSBwcmVnbmFudCB3b21lbiAodGhlIFVQQkVBVCB0cmlhbCk7IGFzc2Vzc21lbnQgb2YgYmVoYXZp
b3VyYWwgY2hhbmdlIGFuZCBwcm9jZXNzIGV2YWx1YXRpb24gaW4gYSBwaWxvdCByYW5kb21pc2Vk
IGNvbnRyb2xsZWQgdHJpYWw8L3RpdGxlPjxzZWNvbmRhcnktdGl0bGU+Qk1DIFByZWduYW5jeSBD
aGlsZGJpcnRoPC9zZWNvbmRhcnktdGl0bGU+PC90aXRsZXM+PHBlcmlvZGljYWw+PGZ1bGwtdGl0
bGU+Qk1DIFByZWduYW5jeSBDaGlsZGJpcnRoPC9mdWxsLXRpdGxlPjwvcGVyaW9kaWNhbD48cGFn
ZXM+MTQ4PC9wYWdlcz48dm9sdW1lPjEzPC92b2x1bWU+PGVkaXRpb24+MjAxMy8wNy8xNzwvZWRp
dGlvbj48a2V5d29yZHM+PGtleXdvcmQ+QWNjZWxlcm9tZXRyeTwva2V5d29yZD48a2V5d29yZD5B
ZG9sZXNjZW50PC9rZXl3b3JkPjxrZXl3b3JkPkFkdWx0PC9rZXl3b3JkPjxrZXl3b3JkPkJlaGF2
aW9yIFRoZXJhcHkvKm1ldGhvZHM8L2tleXdvcmQ+PGtleXdvcmQ+Qm9keSBNYXNzIEluZGV4PC9r
ZXl3b3JkPjxrZXl3b3JkPkRpYWJldGVzLCBHZXN0YXRpb25hbC8qcHJldmVudGlvbiAmYW1wOyBj
b250cm9sPC9rZXl3b3JkPjxrZXl3b3JkPkRpZXQgVGhlcmFweS8qbWV0aG9kczwva2V5d29yZD48
a2V5d29yZD5FeGVyY2lzZSBUaGVyYXB5LyptZXRob2RzPC9rZXl3b3JkPjxrZXl3b3JkPkZlYXNp
YmlsaXR5IFN0dWRpZXM8L2tleXdvcmQ+PGtleXdvcmQ+RmVtYWxlPC9rZXl3b3JkPjxrZXl3b3Jk
Pkh1bWFuczwva2V5d29yZD48a2V5d29yZD4qTW90b3IgQWN0aXZpdHk8L2tleXdvcmQ+PGtleXdv
cmQ+T2Jlc2l0eS8qdGhlcmFweTwva2V5d29yZD48a2V5d29yZD5QaWxvdCBQcm9qZWN0czwva2V5
d29yZD48a2V5d29yZD5QcmVnbmFuY3k8L2tleXdvcmQ+PGtleXdvcmQ+UHJlZ25hbmN5IENvbXBs
aWNhdGlvbnMvKnRoZXJhcHk8L2tleXdvcmQ+PGtleXdvcmQ+UHJlbmF0YWwgQ2FyZS9tZXRob2Rz
PC9rZXl3b3JkPjxrZXl3b3JkPllvdW5nIEFkdWx0PC9rZXl3b3JkPjwva2V5d29yZHM+PGRhdGVz
Pjx5ZWFyPjIwMTM8L3llYXI+PHB1Yi1kYXRlcz48ZGF0ZT5KdWwgMTU8L2RhdGU+PC9wdWItZGF0
ZXM+PC9kYXRlcz48aXNibj4xNDcxLTIzOTMgKEVsZWN0cm9uaWMpJiN4RDsxNDcxLTIzOTMgKExp
bmtpbmcpPC9pc2JuPjxhY2Nlc3Npb24tbnVtPjIzODU1NzA4PC9hY2Nlc3Npb24tbnVtPjx1cmxz
PjxyZWxhdGVkLXVybHM+PHVybD5odHRwczovL3d3dy5uY2JpLm5sbS5uaWguZ292L3B1Ym1lZC8y
Mzg1NTcwODwvdXJsPjwvcmVsYXRlZC11cmxzPjwvdXJscz48Y3VzdG9tMj5QTUMzNzE4NjMwPC9j
dXN0b20yPjxlbGVjdHJvbmljLXJlc291cmNlLW51bT4xMC4xMTg2LzE0NzEtMjM5My0xMy0xNDg8
L2VsZWN0cm9uaWMtcmVzb3VyY2UtbnVtPjwvcmVjb3JkPjwvQ2l0ZT48Q2l0ZT48QXV0aG9yPlBv
c3RvbjwvQXV0aG9yPjxZZWFyPjIwMTU8L1llYXI+PFJlY051bT42MTI8L1JlY051bT48cmVjb3Jk
PjxyZWMtbnVtYmVyPjYxMjwvcmVjLW51bWJlcj48Zm9yZWlnbi1rZXlzPjxrZXkgYXBwPSJFTiIg
ZGItaWQ9ImV4dmFzcmZ4MmR0cmFvZXNhc3hwMnN6c3hhMmRmNTAyNTkyeCIgdGltZXN0YW1wPSIx
NTM5MDQ4MzQ4Ij42MTI8L2tleT48a2V5IGFwcD0iRU5XZWIiIGRiLWlkPSIiPjA8L2tleT48L2Zv
cmVpZ24ta2V5cz48cmVmLXR5cGUgbmFtZT0iSm91cm5hbCBBcnRpY2xlIj4xNzwvcmVmLXR5cGU+
PGNvbnRyaWJ1dG9ycz48YXV0aG9ycz48YXV0aG9yPlBvc3RvbiwgTC4sPC9hdXRob3I+PGF1dGhv
cj5CZWxsLCBSLiw8L2F1dGhvcj48YXV0aG9yPkNyb2tlciwgSC4sPC9hdXRob3I+PGF1dGhvcj5G
bHlubiwgQS5DLiw8L2F1dGhvcj48YXV0aG9yPkdvZGZyZXksIEsuTS4sPC9hdXRob3I+PGF1dGhv
cj5Hb2ZmLCBMLiw8L2F1dGhvcj48L2F1dGhvcnM+PC9jb250cmlidXRvcnM+PHRpdGxlcz48dGl0
bGU+RWZmZWN0IG9mIGEgYmVoYXZpb3VyYWwgaW50ZXJ2ZW50aW9uIGluIG9iZXNlIHByZWduYW50
IHdvbWVuICh0aGUgVVBCRUFUIHN0dWR5KTogYSBtdWx0aWNlbnRyZSwgcmFuZG9taXNlZCBjb250
cm9sbGVkIHRyaWFsPC90aXRsZT48c2Vjb25kYXJ5LXRpdGxlPlRoZSBMYW5jZXQgRGlhYmV0ZXMg
JmFtcDsgRW5kb2NyaW5vbG9neTwvc2Vjb25kYXJ5LXRpdGxlPjwvdGl0bGVzPjxwZXJpb2RpY2Fs
PjxmdWxsLXRpdGxlPlRoZSBMYW5jZXQgRGlhYmV0ZXMgJmFtcDsgRW5kb2NyaW5vbG9neTwvZnVs
bC10aXRsZT48L3BlcmlvZGljYWw+PHBhZ2VzPjc2Ny03Nzc8L3BhZ2VzPjx2b2x1bWU+Mzwvdm9s
dW1lPjxudW1iZXI+MTA8L251bWJlcj48c2VjdGlvbj43Njc8L3NlY3Rpb24+PGRhdGVzPjx5ZWFy
PjIwMTU8L3llYXI+PC9kYXRlcz48aXNibj4yMjEzODU4NzwvaXNibj48dXJscz48L3VybHM+PGVs
ZWN0cm9uaWMtcmVzb3VyY2UtbnVtPjEwLjEwMTYvczIyMTMtODU4NygxNSkwMDIyNy0yPC9lbGVj
dHJvbmljLXJlc291cmNlLW51bT48L3JlY29yZD48L0NpdGU+PC9FbmROb3RlPn==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512,513</w:t>
      </w:r>
      <w:r>
        <w:fldChar w:fldCharType="end"/>
      </w:r>
      <w:r>
        <w:t xml:space="preserve"> an</w:t>
      </w:r>
      <w:r w:rsidRPr="005B202A">
        <w:t>d United States (n=</w:t>
      </w:r>
      <w:r w:rsidR="00B11010">
        <w:t>10</w:t>
      </w:r>
      <w:r w:rsidRPr="005B202A">
        <w:t>).</w:t>
      </w:r>
      <w:r>
        <w:fldChar w:fldCharType="begin">
          <w:fldData xml:space="preserve">PEVuZE5vdGU+PENpdGU+PEF1dGhvcj5Bc2JlZTwvQXV0aG9yPjxZZWFyPjIwMDk8L1llYXI+PFJl
Y051bT42NjY8L1JlY051bT48RGlzcGxheVRleHQ+PHN0eWxlIGZhY2U9InN1cGVyc2NyaXB0IiBm
b250PSJUcmVidWNoZXQgTVMiIHNpemU9IjkiPjQ4Myw0ODgsNDk0LDQ5NSw1MDIsNTAzLDUwNSw1
MDcsNTA4LDUxNDwvc3R5bGU+PC9EaXNwbGF5VGV4dD48cmVjb3JkPjxyZWMtbnVtYmVyPjY2Njwv
cmVjLW51bWJlcj48Zm9yZWlnbi1rZXlzPjxrZXkgYXBwPSJFTiIgZGItaWQ9ImV4dmFzcmZ4MmR0
cmFvZXNhc3hwMnN6c3hhMmRmNTAyNTkyeCIgdGltZXN0YW1wPSIxNTQwNTI2NDk1Ij42NjY8L2tl
eT48L2ZvcmVpZ24ta2V5cz48cmVmLXR5cGUgbmFtZT0iSm91cm5hbCBBcnRpY2xlIj4xNzwvcmVm
LXR5cGU+PGNvbnRyaWJ1dG9ycz48YXV0aG9ycz48YXV0aG9yPkFzYmVlLCBTLiBNLjwvYXV0aG9y
PjxhdXRob3I+SmVua2lucywgVC4gUi48L2F1dGhvcj48YXV0aG9yPkJ1dGxlciwgSi4gUi48L2F1
dGhvcj48YXV0aG9yPldoaXRlLCBKLjwvYXV0aG9yPjxhdXRob3I+RWxsaW90LCBNLjwvYXV0aG9y
PjxhdXRob3I+UnV0bGVkZ2UsIEEuPC9hdXRob3I+PC9hdXRob3JzPjwvY29udHJpYnV0b3JzPjxh
dXRoLWFkZHJlc3M+Q2Fyb2xpbmFzIE1lZGljYWwgQ2VudGVyLCBDaGFybG90dGUsIE5vcnRoIENh
cm9saW5hLCBVU0EuIGRyc2hlbGx5QGVhcnRobGluay5uZXQ8L2F1dGgtYWRkcmVzcz48dGl0bGVz
Pjx0aXRsZT5QcmV2ZW50aW5nIGV4Y2Vzc2l2ZSB3ZWlnaHQgZ2FpbiBkdXJpbmcgcHJlZ25hbmN5
IHRocm91Z2ggZGlldGFyeSBhbmQgbGlmZXN0eWxlIGNvdW5zZWxpbmc6IGEgcmFuZG9taXplZCBj
b250cm9sbGVkIHRyaWFsPC90aXRsZT48c2Vjb25kYXJ5LXRpdGxlPk9ic3RldCBHeW5lY29sPC9z
ZWNvbmRhcnktdGl0bGU+PC90aXRsZXM+PHBlcmlvZGljYWw+PGZ1bGwtdGl0bGU+T2JzdGV0IEd5
bmVjb2w8L2Z1bGwtdGl0bGU+PC9wZXJpb2RpY2FsPjxwYWdlcz4zMDUtMTI8L3BhZ2VzPjx2b2x1
bWU+MTEzPC92b2x1bWU+PG51bWJlcj4yIFB0IDE8L251bWJlcj48ZWRpdGlvbj4yMDA5LzAxLzIy
PC9lZGl0aW9uPjxrZXl3b3Jkcz48a2V5d29yZD5BZHVsdDwva2V5d29yZD48a2V5d29yZD5CaXJ0
aCBXZWlnaHQ8L2tleXdvcmQ+PGtleXdvcmQ+Qm9keSBNYXNzIEluZGV4PC9rZXl3b3JkPjxrZXl3
b3JkPipEaXJlY3RpdmUgQ291bnNlbGluZzwva2V5d29yZD48a2V5d29yZD5GZW1hbGU8L2tleXdv
cmQ+PGtleXdvcmQ+SHVtYW5zPC9rZXl3b3JkPjxrZXl3b3JkPkluZmFudCwgTmV3Ym9ybjwva2V5
d29yZD48a2V5d29yZD5NaWRkbGUgQWdlZDwva2V5d29yZD48a2V5d29yZD5PYmVzaXR5LypkaWV0
IHRoZXJhcHkvKnByZXZlbnRpb24gJmFtcDsgY29udHJvbDwva2V5d29yZD48a2V5d29yZD5QYXRp
ZW50IENvbXBsaWFuY2U8L2tleXdvcmQ+PGtleXdvcmQ+UHJlZ25hbmN5PC9rZXl3b3JkPjxrZXl3
b3JkPlByZWduYW5jeSBDb21wbGljYXRpb25zLypkaWV0IHRoZXJhcHkvKnByZXZlbnRpb24gJmFt
cDsgY29udHJvbDwva2V5d29yZD48a2V5d29yZD5QcmVuYXRhbCBDYXJlLyptZXRob2RzPC9rZXl3
b3JkPjxrZXl3b3JkPlJpc2sgUmVkdWN0aW9uIEJlaGF2aW9yPC9rZXl3b3JkPjxrZXl3b3JkPldl
aWdodCBHYWluPC9rZXl3b3JkPjxrZXl3b3JkPllvdW5nIEFkdWx0PC9rZXl3b3JkPjwva2V5d29y
ZHM+PGRhdGVzPjx5ZWFyPjIwMDk8L3llYXI+PHB1Yi1kYXRlcz48ZGF0ZT5GZWI8L2RhdGU+PC9w
dWItZGF0ZXM+PC9kYXRlcz48aXNibj4wMDI5LTc4NDQgKFByaW50KSYjeEQ7MDAyOS03ODQ0IChM
aW5raW5nKTwvaXNibj48YWNjZXNzaW9uLW51bT4xOTE1NTg5OTwvYWNjZXNzaW9uLW51bT48dXJs
cz48cmVsYXRlZC11cmxzPjx1cmw+aHR0cHM6Ly93d3cubmNiaS5ubG0ubmloLmdvdi9wdWJtZWQv
MTkxNTU4OTk8L3VybD48L3JlbGF0ZWQtdXJscz48L3VybHM+PGVsZWN0cm9uaWMtcmVzb3VyY2Ut
bnVtPjEwLjEwOTcvQU9HLjBiMDEzZTMxODE5NWJhZWY8L2VsZWN0cm9uaWMtcmVzb3VyY2UtbnVt
PjwvcmVjb3JkPjwvQ2l0ZT48Q2l0ZT48QXV0aG9yPkdhbGxhZ2hlcjwvQXV0aG9yPjxZZWFyPjIw
MTg8L1llYXI+PFJlY051bT43NDQ8L1JlY051bT48cmVjb3JkPjxyZWMtbnVtYmVyPjc0NDwvcmVj
LW51bWJlcj48Zm9yZWlnbi1rZXlzPjxrZXkgYXBwPSJFTiIgZGItaWQ9ImV4dmFzcmZ4MmR0cmFv
ZXNhc3hwMnN6c3hhMmRmNTAyNTkyeCIgdGltZXN0YW1wPSIxNTQxNDY3ODc5Ij43NDQ8L2tleT48
a2V5IGFwcD0iRU5XZWIiIGRiLWlkPSIiPjA8L2tleT48L2ZvcmVpZ24ta2V5cz48cmVmLXR5cGUg
bmFtZT0iSm91cm5hbCBBcnRpY2xlIj4xNzwvcmVmLXR5cGU+PGNvbnRyaWJ1dG9ycz48YXV0aG9y
cz48YXV0aG9yPkdhbGxhZ2hlciwgRHltcG5hPC9hdXRob3I+PGF1dGhvcj5Sb3Nlbm4sIEJhcmFr
PC9hdXRob3I+PGF1dGhvcj5Ub3JvLVJhbW9zLCBUYXRpYW5hPC9hdXRob3I+PGF1dGhvcj5QYWxl
eSwgQ2hhcmxlczwvYXV0aG9yPjxhdXRob3I+R2lkd2FuaSwgU29uaWE8L2F1dGhvcj48YXV0aG9y
Pkhvcm93aXR6LCBNaWNoZWxsZTwvYXV0aG9yPjxhdXRob3I+Q3JhbmUsIEphbmV0PC9hdXRob3I+
PGF1dGhvcj5MaW4sIFN1c2FuPC9hdXRob3I+PGF1dGhvcj5UaG9ybnRvbiwgSm9obiBDLjwvYXV0
aG9yPjxhdXRob3I+UGktU3VueWVyLCBYYXZpZXI8L2F1dGhvcj48L2F1dGhvcnM+PC9jb250cmli
dXRvcnM+PHRpdGxlcz48dGl0bGU+R3JlYXRlciBOZW9uYXRhbCBGYXQtRnJlZSBNYXNzIGFuZCBT
aW1pbGFyIEZhdCBNYXNzIEZvbGxvd2luZyBhIFJhbmRvbWl6ZWQgVHJpYWwgdG8gQ29udHJvbCBF
eGNlc3MgR2VzdGF0aW9uYWwgV2VpZ2h0IEdhaW48L3RpdGxlPjxzZWNvbmRhcnktdGl0bGU+T2Jl
c2l0eTwvc2Vjb25kYXJ5LXRpdGxlPjwvdGl0bGVzPjxwZXJpb2RpY2FsPjxmdWxsLXRpdGxlPk9i
ZXNpdHk8L2Z1bGwtdGl0bGU+PC9wZXJpb2RpY2FsPjxwYWdlcz41NzgtNTg3PC9wYWdlcz48dm9s
dW1lPjI2PC92b2x1bWU+PG51bWJlcj4zPC9udW1iZXI+PHNlY3Rpb24+NTc4PC9zZWN0aW9uPjxk
YXRlcz48eWVhcj4yMDE4PC95ZWFyPjwvZGF0ZXM+PGlzYm4+MTkzMDczODE8L2lzYm4+PHVybHM+
PC91cmxzPjxlbGVjdHJvbmljLXJlc291cmNlLW51bT4xMC4xMDAyL29ieS4yMjA3OTwvZWxlY3Ry
b25pYy1yZXNvdXJjZS1udW0+PC9yZWNvcmQ+PC9DaXRlPjxDaXRlPjxBdXRob3I+SGF3a2luczwv
QXV0aG9yPjxZZWFyPjIwMTU8L1llYXI+PFJlY051bT43MjY8L1JlY051bT48cmVjb3JkPjxyZWMt
bnVtYmVyPjcyNjwvcmVjLW51bWJlcj48Zm9yZWlnbi1rZXlzPjxrZXkgYXBwPSJFTiIgZGItaWQ9
ImV4dmFzcmZ4MmR0cmFvZXNhc3hwMnN6c3hhMmRmNTAyNTkyeCIgdGltZXN0YW1wPSIxNTQxNDY1
MzIyIj43MjY8L2tleT48L2ZvcmVpZ24ta2V5cz48cmVmLXR5cGUgbmFtZT0iSm91cm5hbCBBcnRp
Y2xlIj4xNzwvcmVmLXR5cGU+PGNvbnRyaWJ1dG9ycz48YXV0aG9ycz48YXV0aG9yPkhhd2tpbnMs
IE0uPC9hdXRob3I+PGF1dGhvcj5Ib3NrZXIsIE0uPC9hdXRob3I+PGF1dGhvcj5NYXJjdXMsIEIu
IEguPC9hdXRob3I+PGF1dGhvcj5Sb3NhbCwgTS4gQy48L2F1dGhvcj48YXV0aG9yPkJyYXVuLCBC
LjwvYXV0aG9yPjxhdXRob3I+U3RhbmVrLCBFLiBKLiwgM3JkPC9hdXRob3I+PGF1dGhvcj5NYXJr
ZW5zb24sIEcuPC9hdXRob3I+PGF1dGhvcj5DaGFzYW4tVGFiZXIsIEwuPC9hdXRob3I+PC9hdXRo
b3JzPjwvY29udHJpYnV0b3JzPjxhdXRoLWFkZHJlc3M+RGl2aXNpb24gb2YgQmlvc3RhdGlzdGlj
cyBhbmQgRXBpZGVtaW9sb2d5LCBEZXBhcnRtZW50IG9mIFB1YmxpYyBIZWFsdGgsIFNjaG9vbCBv
ZiBQdWJsaWMgSGVhbHRoIGFuZCBIZWFsdGggU2NpZW5jZXMsIFVuaXZlcnNpdHkgb2YgTWFzc2Fj
aHVzZXR0cywgQW1oZXJzdCwgTUEsIFVTQS48L2F1dGgtYWRkcmVzcz48dGl0bGVzPjx0aXRsZT5B
IHByZWduYW5jeSBsaWZlc3R5bGUgaW50ZXJ2ZW50aW9uIHRvIHByZXZlbnQgZ2VzdGF0aW9uYWwg
ZGlhYmV0ZXMgcmlzayBmYWN0b3JzIGluIG92ZXJ3ZWlnaHQgSGlzcGFuaWMgd29tZW46IGEgZmVh
c2liaWxpdHkgcmFuZG9taXplZCBjb250cm9sbGVkIHRyaWFsPC90aXRsZT48c2Vjb25kYXJ5LXRp
dGxlPkRpYWJldCBNZWQ8L3NlY29uZGFyeS10aXRsZT48L3RpdGxlcz48cGVyaW9kaWNhbD48ZnVs
bC10aXRsZT5EaWFiZXQgTWVkPC9mdWxsLXRpdGxlPjwvcGVyaW9kaWNhbD48cGFnZXM+MTA4LTE1
PC9wYWdlcz48dm9sdW1lPjMyPC92b2x1bWU+PG51bWJlcj4xPC9udW1iZXI+PGVkaXRpb24+MjAx
NC8xMC8xNDwvZWRpdGlvbj48a2V5d29yZHM+PGtleXdvcmQ+QWR1bHQ8L2tleXdvcmQ+PGtleXdv
cmQ+QmlydGggV2VpZ2h0PC9rZXl3b3JkPjxrZXl3b3JkPkRpYWJldGVzLCBHZXN0YXRpb25hbC8q
cHJldmVudGlvbiAmYW1wOyBjb250cm9sPC9rZXl3b3JkPjxrZXl3b3JkPkRpZXQ8L2tleXdvcmQ+
PGtleXdvcmQ+RXhlcmNpc2U8L2tleXdvcmQ+PGtleXdvcmQ+RmVhc2liaWxpdHkgU3R1ZGllczwv
a2V5d29yZD48a2V5d29yZD5GZWVkaW5nIEJlaGF2aW9yPC9rZXl3b3JkPjxrZXl3b3JkPkZlbWFs
ZTwva2V5d29yZD48a2V5d29yZD5IaXNwYW5pYyBBbWVyaWNhbnMvKnN0YXRpc3RpY3MgJmFtcDsg
bnVtZXJpY2FsIGRhdGE8L2tleXdvcmQ+PGtleXdvcmQ+SHVtYW5zPC9rZXl3b3JkPjxrZXl3b3Jk
PkluZmFudCwgTmV3Ym9ybjwva2V5d29yZD48a2V5d29yZD5NYWxlPC9rZXl3b3JkPjxrZXl3b3Jk
Pk92ZXJ3ZWlnaHQvY29tcGxpY2F0aW9ucy8qcHJldmVudGlvbiAmYW1wOyBjb250cm9sPC9rZXl3
b3JkPjxrZXl3b3JkPlBhdGllbnQgQ29tcGxpYW5jZTwva2V5d29yZD48a2V5d29yZD5QcmVnbmFu
Y3k8L2tleXdvcmQ+PGtleXdvcmQ+UHJlbmF0YWwgQ2FyZTwva2V5d29yZD48a2V5d29yZD4qUHJp
bWFyeSBQcmV2ZW50aW9uPC9rZXl3b3JkPjxrZXl3b3JkPlJpc2sgRmFjdG9yczwva2V5d29yZD48
a2V5d29yZD4qUmlzayBSZWR1Y3Rpb24gQmVoYXZpb3I8L2tleXdvcmQ+PGtleXdvcmQ+VHJlYXRt
ZW50IE91dGNvbWU8L2tleXdvcmQ+PGtleXdvcmQ+VW5pdGVkIFN0YXRlcy9lcGlkZW1pb2xvZ3k8
L2tleXdvcmQ+PGtleXdvcmQ+V2VpZ2h0IEdhaW48L2tleXdvcmQ+PC9rZXl3b3Jkcz48ZGF0ZXM+
PHllYXI+MjAxNTwveWVhcj48cHViLWRhdGVzPjxkYXRlPkphbjwvZGF0ZT48L3B1Yi1kYXRlcz48
L2RhdGVzPjxpc2JuPjE0NjQtNTQ5MSAoRWxlY3Ryb25pYykmI3hEOzA3NDItMzA3MSAoTGlua2lu
Zyk8L2lzYm4+PGFjY2Vzc2lvbi1udW0+MjUzMDY5MjU8L2FjY2Vzc2lvbi1udW0+PHVybHM+PHJl
bGF0ZWQtdXJscz48dXJsPmh0dHBzOi8vd3d3Lm5jYmkubmxtLm5paC5nb3YvcHVibWVkLzI1MzA2
OTI1PC91cmw+PC9yZWxhdGVkLXVybHM+PC91cmxzPjxlbGVjdHJvbmljLXJlc291cmNlLW51bT4x
MC4xMTExL2RtZS4xMjYwMTwvZWxlY3Ryb25pYy1yZXNvdXJjZS1udW0+PC9yZWNvcmQ+PC9DaXRl
PjxDaXRlPjxBdXRob3I+UGhlbGFuPC9BdXRob3I+PFllYXI+MjAxMTwvWWVhcj48UmVjTnVtPjcw
NTwvUmVjTnVtPjxyZWNvcmQ+PHJlYy1udW1iZXI+NzA1PC9yZWMtbnVtYmVyPjxmb3JlaWduLWtl
eXM+PGtleSBhcHA9IkVOIiBkYi1pZD0iZXh2YXNyZngyZHRyYW9lc2FzeHAyc3pzeGEyZGY1MDI1
OTJ4IiB0aW1lc3RhbXA9IjE1NDA1MzA2MzYiPjcwNTwva2V5PjwvZm9yZWlnbi1rZXlzPjxyZWYt
dHlwZSBuYW1lPSJKb3VybmFsIEFydGljbGUiPjE3PC9yZWYtdHlwZT48Y29udHJpYnV0b3JzPjxh
dXRob3JzPjxhdXRob3I+UGhlbGFuLCBTLjwvYXV0aG9yPjxhdXRob3I+UGhpcHBzLCBNLiBHLjwv
YXV0aG9yPjxhdXRob3I+QWJyYW1zLCBCLjwvYXV0aG9yPjxhdXRob3I+RGFycm9jaCwgRi48L2F1
dGhvcj48YXV0aG9yPlNjaGFmZm5lciwgQS48L2F1dGhvcj48YXV0aG9yPldpbmcsIFIuIFIuPC9h
dXRob3I+PC9hdXRob3JzPjwvY29udHJpYnV0b3JzPjxhdXRoLWFkZHJlc3M+RGVwYXJ0bWVudHMg
b2YgS2luZXNpb2xvZ3ksIENhbGlmb3JuaWEgUG9seXRlY2huaWMgU3RhdGUgVW5pdmVyc2l0eSwg
U2FuIEx1aXMgT2Jpc3BvLCA5MzQwNy0wMzg2LCBVU0EuIHNwaGVsYW5AY2FscG9seS5lZHU8L2F1
dGgtYWRkcmVzcz48dGl0bGVzPjx0aXRsZT5SYW5kb21pemVkIHRyaWFsIG9mIGEgYmVoYXZpb3Jh
bCBpbnRlcnZlbnRpb24gdG8gcHJldmVudCBleGNlc3NpdmUgZ2VzdGF0aW9uYWwgd2VpZ2h0IGdh
aW46IHRoZSBGaXQgZm9yIERlbGl2ZXJ5IFN0dWR5PC90aXRsZT48c2Vjb25kYXJ5LXRpdGxlPkFt
IEogQ2xpbiBOdXRyPC9zZWNvbmRhcnktdGl0bGU+PC90aXRsZXM+PHBlcmlvZGljYWw+PGZ1bGwt
dGl0bGU+QW0gSiBDbGluIE51dHI8L2Z1bGwtdGl0bGU+PC9wZXJpb2RpY2FsPjxwYWdlcz43NzIt
OTwvcGFnZXM+PHZvbHVtZT45Mzwvdm9sdW1lPjxudW1iZXI+NDwvbnVtYmVyPjxlZGl0aW9uPjIw
MTEvMDIvMTI8L2VkaXRpb24+PGtleXdvcmRzPjxrZXl3b3JkPkFkdWx0PC9rZXl3b3JkPjxrZXl3
b3JkPkJlaGF2aW9yPC9rZXl3b3JkPjxrZXl3b3JkPipCZWhhdmlvciBUaGVyYXB5PC9rZXl3b3Jk
PjxrZXl3b3JkPipEaWV0PC9rZXl3b3JkPjxrZXl3b3JkPipFeGVyY2lzZTwva2V5d29yZD48a2V5
d29yZD5GZW1hbGU8L2tleXdvcmQ+PGtleXdvcmQ+KkhlYWx0aCBQcm9tb3Rpb248L2tleXdvcmQ+
PGtleXdvcmQ+SHVtYW5zPC9rZXl3b3JkPjxrZXl3b3JkPkludGVudGlvbiB0byBUcmVhdCBBbmFs
eXNpczwva2V5d29yZD48a2V5d29yZD5PYmVzaXR5L2NvbXBsaWNhdGlvbnMvZXBpZGVtaW9sb2d5
LypwcmV2ZW50aW9uICZhbXA7IGNvbnRyb2w8L2tleXdvcmQ+PGtleXdvcmQ+UG9zdHBhcnR1bSBQ
ZXJpb2Q8L2tleXdvcmQ+PGtleXdvcmQ+UHJlZ25hbmN5PC9rZXl3b3JkPjxrZXl3b3JkPlByZWdu
YW5jeSBDb21wbGljYXRpb25zLypwcmV2ZW50aW9uICZhbXA7IGNvbnRyb2w8L2tleXdvcmQ+PGtl
eXdvcmQ+UHJldmFsZW5jZTwva2V5d29yZD48a2V5d29yZD5SZWZlcmVuY2UgVmFsdWVzPC9rZXl3
b3JkPjxrZXl3b3JkPlNpbmdsZS1CbGluZCBNZXRob2Q8L2tleXdvcmQ+PGtleXdvcmQ+U3RhbmRh
cmQgb2YgQ2FyZTwva2V5d29yZD48a2V5d29yZD5UcmVhdG1lbnQgT3V0Y29tZTwva2V5d29yZD48
a2V5d29yZD4qV2VpZ2h0IEdhaW48L2tleXdvcmQ+PGtleXdvcmQ+WW91bmcgQWR1bHQ8L2tleXdv
cmQ+PC9rZXl3b3Jkcz48ZGF0ZXM+PHllYXI+MjAxMTwveWVhcj48cHViLWRhdGVzPjxkYXRlPkFw
cjwvZGF0ZT48L3B1Yi1kYXRlcz48L2RhdGVzPjxpc2JuPjE5MzgtMzIwNyAoRWxlY3Ryb25pYykm
I3hEOzAwMDItOTE2NSAoTGlua2luZyk8L2lzYm4+PGFjY2Vzc2lvbi1udW0+MjEzMTA4MzY8L2Fj
Y2Vzc2lvbi1udW0+PHVybHM+PHJlbGF0ZWQtdXJscz48dXJsPmh0dHBzOi8vd3d3Lm5jYmkubmxt
Lm5paC5nb3YvcHVibWVkLzIxMzEwODM2PC91cmw+PC9yZWxhdGVkLXVybHM+PC91cmxzPjxjdXN0
b20yPlBNQzMwNTc1NDY8L2N1c3RvbTI+PGVsZWN0cm9uaWMtcmVzb3VyY2UtbnVtPjEwLjM5NDUv
YWpjbi4xMTAuMDA1MzA2PC9lbGVjdHJvbmljLXJlc291cmNlLW51bT48L3JlY29yZD48L0NpdGU+
PENpdGU+PEF1dGhvcj5Qb2xsZXk8L0F1dGhvcj48WWVhcj4yMDAyPC9ZZWFyPjxSZWNOdW0+NzA2
PC9SZWNOdW0+PHJlY29yZD48cmVjLW51bWJlcj43MDY8L3JlYy1udW1iZXI+PGZvcmVpZ24ta2V5
cz48a2V5IGFwcD0iRU4iIGRiLWlkPSJleHZhc3JmeDJkdHJhb2VzYXN4cDJzenN4YTJkZjUwMjU5
MngiIHRpbWVzdGFtcD0iMTU0MDUzMDY3NCI+NzA2PC9rZXk+PC9mb3JlaWduLWtleXM+PHJlZi10
eXBlIG5hbWU9IkpvdXJuYWwgQXJ0aWNsZSI+MTc8L3JlZi10eXBlPjxjb250cmlidXRvcnM+PGF1
dGhvcnM+PGF1dGhvcj5Qb2xsZXksIEIuIEEuPC9hdXRob3I+PGF1dGhvcj5XaW5nLCBSLiBSLjwv
YXV0aG9yPjxhdXRob3I+U2ltcywgQy4gSi48L2F1dGhvcj48L2F1dGhvcnM+PC9jb250cmlidXRv
cnM+PGF1dGgtYWRkcmVzcz5Vbml2ZXJzaXR5IG9mIFBpdHRzYnVyZ2gsIFBpdHRzYnVyZ2gsIFBl
bm5zeWx2YW5pYSwgVVNBLjwvYXV0aC1hZGRyZXNzPjx0aXRsZXM+PHRpdGxlPlJhbmRvbWl6ZWQg
Y29udHJvbGxlZCB0cmlhbCB0byBwcmV2ZW50IGV4Y2Vzc2l2ZSB3ZWlnaHQgZ2FpbiBpbiBwcmVn
bmFudCB3b21lbjwvdGl0bGU+PHNlY29uZGFyeS10aXRsZT5JbnQgSiBPYmVzIFJlbGF0IE1ldGFi
IERpc29yZDwvc2Vjb25kYXJ5LXRpdGxlPjwvdGl0bGVzPjxwZXJpb2RpY2FsPjxmdWxsLXRpdGxl
PkludCBKIE9iZXMgUmVsYXQgTWV0YWIgRGlzb3JkPC9mdWxsLXRpdGxlPjwvcGVyaW9kaWNhbD48
cGFnZXM+MTQ5NC01MDI8L3BhZ2VzPjx2b2x1bWU+MjY8L3ZvbHVtZT48bnVtYmVyPjExPC9udW1i
ZXI+PGVkaXRpb24+MjAwMi8xMS8yMDwvZWRpdGlvbj48a2V5d29yZHM+PGtleXdvcmQ+QWR1bHQ8
L2tleXdvcmQ+PGtleXdvcmQ+RXhlcmNpc2UgVGhlcmFweS8qbWV0aG9kczwva2V5d29yZD48a2V5
d29yZD5GZW1hbGU8L2tleXdvcmQ+PGtleXdvcmQ+SGVhbHRoIEJlaGF2aW9yPC9rZXl3b3JkPjxr
ZXl3b3JkPkh1bWFuczwva2V5d29yZD48a2V5d29yZD5PYmVzaXR5LypwcmV2ZW50aW9uICZhbXA7
IGNvbnRyb2w8L2tleXdvcmQ+PGtleXdvcmQ+UG9zdG5hdGFsIENhcmUvbWV0aG9kczwva2V5d29y
ZD48a2V5d29yZD5QcmVnbmFuY3k8L2tleXdvcmQ+PGtleXdvcmQ+UHJlZ25hbmN5IENvbXBsaWNh
dGlvbnMvKnByZXZlbnRpb24gJmFtcDsgY29udHJvbDwva2V5d29yZD48a2V5d29yZD5QcmVnbmFu
Y3kgT3V0Y29tZTwva2V5d29yZD48a2V5d29yZD5QcmVuYXRhbCBDYXJlL21ldGhvZHM8L2tleXdv
cmQ+PGtleXdvcmQ+V2VpZ2h0IEdhaW48L2tleXdvcmQ+PC9rZXl3b3Jkcz48ZGF0ZXM+PHllYXI+
MjAwMjwveWVhcj48cHViLWRhdGVzPjxkYXRlPk5vdjwvZGF0ZT48L3B1Yi1kYXRlcz48L2RhdGVz
PjxhY2Nlc3Npb24tbnVtPjEyNDM5NjUyPC9hY2Nlc3Npb24tbnVtPjx1cmxzPjxyZWxhdGVkLXVy
bHM+PHVybD5odHRwczovL3d3dy5uY2JpLm5sbS5uaWguZ292L3B1Ym1lZC8xMjQzOTY1MjwvdXJs
PjwvcmVsYXRlZC11cmxzPjwvdXJscz48ZWxlY3Ryb25pYy1yZXNvdXJjZS1udW0+MTAuMTAzOC9z
ai5pam8uMDgwMjEzMDwvZWxlY3Ryb25pYy1yZXNvdXJjZS1udW0+PC9yZWNvcmQ+PC9DaXRlPjxD
aXRlPjxBdXRob3I+VmVzY288L0F1dGhvcj48WWVhcj4yMDEyPC9ZZWFyPjxSZWNOdW0+MTEzMDwv
UmVjTnVtPjxyZWNvcmQ+PHJlYy1udW1iZXI+MTEzMDwvcmVjLW51bWJlcj48Zm9yZWlnbi1rZXlz
PjxrZXkgYXBwPSJFTiIgZGItaWQ9ImV4dmFzcmZ4MmR0cmFvZXNhc3hwMnN6c3hhMmRmNTAyNTky
eCIgdGltZXN0YW1wPSIxNTUzNDA4OTg2Ij4xMTMwPC9rZXk+PC9mb3JlaWduLWtleXM+PHJlZi10
eXBlIG5hbWU9IkpvdXJuYWwgQXJ0aWNsZSI+MTc8L3JlZi10eXBlPjxjb250cmlidXRvcnM+PGF1
dGhvcnM+PGF1dGhvcj5WZXNjbywgSy4gSy48L2F1dGhvcj48YXV0aG9yPkthcmFuamEsIE4uPC9h
dXRob3I+PGF1dGhvcj5LaW5nLCBKLiBDLjwvYXV0aG9yPjxhdXRob3I+R2lsbG1hbiwgTS4gVy48
L2F1dGhvcj48YXV0aG9yPlBlcnJpbiwgTi48L2F1dGhvcj48YXV0aG9yPk1jRXZveSwgQy48L2F1
dGhvcj48YXV0aG9yPkVja2hhcmR0LCBDLjwvYXV0aG9yPjxhdXRob3I+U21pdGgsIEsuIFMuPC9h
dXRob3I+PGF1dGhvcj5TdGV2ZW5zLCBWLiBKLjwvYXV0aG9yPjwvYXV0aG9ycz48L2NvbnRyaWJ1
dG9ycz48YXV0aC1hZGRyZXNzPkNlbnRlciBmb3IgSGVhbHRoIFJlc2VhcmNoLCBLYWlzZXIgUGVy
bWFuZW50ZSwgTm9ydGh3ZXN0LCBQb3J0bGFuZCwgT1IgOTcyMjcsIFVTQS4ga2ltYmVybHkuay52
ZXNjb0BrcGNoci5vcmc8L2F1dGgtYWRkcmVzcz48dGl0bGVzPjx0aXRsZT5IZWFsdGh5IE1vbXMs
IGEgcmFuZG9taXplZCB0cmlhbCB0byBwcm9tb3RlIGFuZCBldmFsdWF0ZSB3ZWlnaHQgbWFpbnRl
bmFuY2UgYW1vbmcgb2Jlc2UgcHJlZ25hbnQgd29tZW46IHN0dWR5IGRlc2lnbiBhbmQgcmF0aW9u
YWxlPC90aXRsZT48c2Vjb25kYXJ5LXRpdGxlPkNvbnRlbXAgQ2xpbiBUcmlhbHM8L3NlY29uZGFy
eS10aXRsZT48L3RpdGxlcz48cGVyaW9kaWNhbD48ZnVsbC10aXRsZT5Db250ZW1wIENsaW4gVHJp
YWxzPC9mdWxsLXRpdGxlPjwvcGVyaW9kaWNhbD48cGFnZXM+Nzc3LTg1PC9wYWdlcz48dm9sdW1l
PjMzPC92b2x1bWU+PG51bWJlcj40PC9udW1iZXI+PGVkaXRpb24+MjAxMi8wNC8wMzwvZWRpdGlv
bj48a2V5d29yZHM+PGtleXdvcmQ+QWRvbGVzY2VudDwva2V5d29yZD48a2V5d29yZD5BZHVsdDwv
a2V5d29yZD48a2V5d29yZD5CaXJ0aCBXZWlnaHQ8L2tleXdvcmQ+PGtleXdvcmQ+Q2xpbmljYWwg
UHJvdG9jb2xzPC9rZXl3b3JkPjxrZXl3b3JkPkNvbWJpbmVkIE1vZGFsaXR5IFRoZXJhcHk8L2tl
eXdvcmQ+PGtleXdvcmQ+RGlldCBUaGVyYXB5LyptZXRob2RzPC9rZXl3b3JkPjxrZXl3b3JkPkV4
ZXJjaXNlIFRoZXJhcHkvKm1ldGhvZHM8L2tleXdvcmQ+PGtleXdvcmQ+RmVhc2liaWxpdHkgU3R1
ZGllczwva2V5d29yZD48a2V5d29yZD5GZW1hbGU8L2tleXdvcmQ+PGtleXdvcmQ+SHVtYW5zPC9r
ZXl3b3JkPjxrZXl3b3JkPkluZmFudCwgTmV3Ym9ybjwva2V5d29yZD48a2V5d29yZD5JbnRlbnRp
b24gdG8gVHJlYXQgQW5hbHlzaXM8L2tleXdvcmQ+PGtleXdvcmQ+TG9naXN0aWMgTW9kZWxzPC9r
ZXl3b3JkPjxrZXl3b3JkPk9iZXNpdHkvKnRoZXJhcHk8L2tleXdvcmQ+PGtleXdvcmQ+UHJlZ25h
bmN5PC9rZXl3b3JkPjxrZXl3b3JkPlByZWduYW5jeSBDb21wbGljYXRpb25zLyp0aGVyYXB5PC9r
ZXl3b3JkPjxrZXl3b3JkPlBzeWNob3RoZXJhcHksIEdyb3VwLyptZXRob2RzPC9rZXl3b3JkPjxr
ZXl3b3JkPlJlc2VhcmNoIERlc2lnbjwva2V5d29yZD48a2V5d29yZD5UcmVhdG1lbnQgT3V0Y29t
ZTwva2V5d29yZD48a2V5d29yZD5XZWlnaHQgR2Fpbjwva2V5d29yZD48a2V5d29yZD5Zb3VuZyBB
ZHVsdDwva2V5d29yZD48L2tleXdvcmRzPjxkYXRlcz48eWVhcj4yMDEyPC95ZWFyPjxwdWItZGF0
ZXM+PGRhdGU+SnVsPC9kYXRlPjwvcHViLWRhdGVzPjwvZGF0ZXM+PGlzYm4+MTU1OS0yMDMwIChF
bGVjdHJvbmljKSYjeEQ7MTU1MS03MTQ0IChMaW5raW5nKTwvaXNibj48YWNjZXNzaW9uLW51bT4y
MjQ2NTI1NjwvYWNjZXNzaW9uLW51bT48dXJscz48cmVsYXRlZC11cmxzPjx1cmw+aHR0cHM6Ly93
d3cubmNiaS5ubG0ubmloLmdvdi9wdWJtZWQvMjI0NjUyNTY8L3VybD48L3JlbGF0ZWQtdXJscz48
L3VybHM+PGN1c3RvbTI+UE1DMzM2MTUxOTwvY3VzdG9tMj48ZWxlY3Ryb25pYy1yZXNvdXJjZS1u
dW0+MTAuMTAxNi9qLmNjdC4yMDEyLjAzLjAwNjwvZWxlY3Ryb25pYy1yZXNvdXJjZS1udW0+PC9y
ZWNvcmQ+PC9DaXRlPjxDaXRlPjxBdXRob3I+VmFuIEhvcm48L0F1dGhvcj48WWVhcj4yMDE4PC9Z
ZWFyPjxSZWNOdW0+MTM3NjwvUmVjTnVtPjxyZWNvcmQ+PHJlYy1udW1iZXI+MTM3NjwvcmVjLW51
bWJlcj48Zm9yZWlnbi1rZXlzPjxrZXkgYXBwPSJFTiIgZGItaWQ9ImV4dmFzcmZ4MmR0cmFvZXNh
c3hwMnN6c3hhMmRmNTAyNTkyeCIgdGltZXN0YW1wPSIxNTY3MDM1OTg3Ij4xMzc2PC9rZXk+PGtl
eSBhcHA9IkVOV2ViIiBkYi1pZD0iIj4wPC9rZXk+PC9mb3JlaWduLWtleXM+PHJlZi10eXBlIG5h
bWU9IkpvdXJuYWwgQXJ0aWNsZSI+MTc8L3JlZi10eXBlPjxjb250cmlidXRvcnM+PGF1dGhvcnM+
PGF1dGhvcj5WYW4gSG9ybiwgTC48L2F1dGhvcj48YXV0aG9yPlBlYWNlbWFuLCBBLjwvYXV0aG9y
PjxhdXRob3I+S3dhc255LCBNLjwvYXV0aG9yPjxhdXRob3I+VmluY2VudCwgRS48L2F1dGhvcj48
YXV0aG9yPkZvdWdodCwgQS48L2F1dGhvcj48YXV0aG9yPkpvc2Vmc29uLCBKLjwvYXV0aG9yPjxh
dXRob3I+U3ByaW5nLCBCLjwvYXV0aG9yPjxhdXRob3I+TmVmZiwgTC4gTS48L2F1dGhvcj48YXV0
aG9yPkdlcm5ob2ZlciwgTi48L2F1dGhvcj48L2F1dGhvcnM+PC9jb250cmlidXRvcnM+PGF1dGgt
YWRkcmVzcz5EZXBhcnRtZW50IG9mIFByZXZlbnRpdmUgTWVkaWNpbmUsIE5vcnRod2VzdGVybiBV
bml2ZXJzaXR5IEZlaW5iZXJnIFNjaG9vbCBvZiBNZWRpY2luZSwgQ2hpY2FnbywgSWxsaW5vaXMu
IEVsZWN0cm9uaWMgYWRkcmVzczogbHZhbmhvcm5Abm9ydGh3ZXN0ZXJuLmVkdS4mI3hEO0RlcGFy
dG1lbnQgb2YgT2JzdGV0cmljcyBhbmQgR3luZWNvbG9neSwgTm9ydGh3ZXN0ZXJuIFVuaXZlcnNp
dHkgRmVpbmJlcmcgU2Nob29sIG9mIE1lZGljaW5lLCBDaGljYWdvLCBJbGxpbm9pcy4mI3hEO0Rl
cGFydG1lbnQgb2YgUHJldmVudGl2ZSBNZWRpY2luZSwgTm9ydGh3ZXN0ZXJuIFVuaXZlcnNpdHkg
RmVpbmJlcmcgU2Nob29sIG9mIE1lZGljaW5lLCBDaGljYWdvLCBJbGxpbm9pcy4mI3hEO0RlcGFy
dG1lbnQgb2YgUHJldmVudGl2ZSBNZWRpY2luZSwgTm9ydGh3ZXN0ZXJuIFVuaXZlcnNpdHkgRmVp
bmJlcmcgU2Nob29sIG9mIE1lZGljaW5lLCBDaGljYWdvLCBJbGxpbm9pczsgQW5uIGFuZCBSb2Jl
cnQgSC4gTHVyaWUgQ2hpbGRyZW4mYXBvcztzIEhvc3BpdGFsIG9mIENoaWNhZ28sIENoaWNhZ28s
IElsbGlub2lzLiYjeEQ7RGVwYXJ0bWVudCBvZiBNZWRpY2luZSwgTm9ydGh3ZXN0ZXJuIFVuaXZl
cnNpdHkgRmVpbmJlcmcgU2Nob29sIG9mIE1lZGljaW5lLCBDaGljYWdvLCBJbGxpbm9pcy48L2F1
dGgtYWRkcmVzcz48dGl0bGVzPjx0aXRsZT5EaWV0YXJ5IEFwcHJvYWNoZXMgdG8gU3RvcCBIeXBl
cnRlbnNpb24gRGlldCBhbmQgQWN0aXZpdHkgdG8gTGltaXQgR2VzdGF0aW9uYWwgV2VpZ2h0OiBN
YXRlcm5hbCBPZmZzcHJpbmcgTWV0YWJvbGljcyBGYW1pbHkgSW50ZXJ2ZW50aW9uIFRyaWFsLCBh
IFRlY2hub2xvZ3kgRW5oYW5jZWQgUmFuZG9taXplZCBUcmlhbDwvdGl0bGU+PHNlY29uZGFyeS10
aXRsZT5BbSBKIFByZXYgTWVkPC9zZWNvbmRhcnktdGl0bGU+PC90aXRsZXM+PHBlcmlvZGljYWw+
PGZ1bGwtdGl0bGU+QW0gSiBQcmV2IE1lZDwvZnVsbC10aXRsZT48L3BlcmlvZGljYWw+PHBhZ2Vz
PjYwMy02MTQ8L3BhZ2VzPjx2b2x1bWU+NTU8L3ZvbHVtZT48bnVtYmVyPjU8L251bWJlcj48ZWRp
dGlvbj4yMDE4LzA5LzI5PC9lZGl0aW9uPjxkYXRlcz48eWVhcj4yMDE4PC95ZWFyPjxwdWItZGF0
ZXM+PGRhdGU+Tm92PC9kYXRlPjwvcHViLWRhdGVzPjwvZGF0ZXM+PGlzYm4+MTg3My0yNjA3IChF
bGVjdHJvbmljKSYjeEQ7MDc0OS0zNzk3IChMaW5raW5nKTwvaXNibj48YWNjZXNzaW9uLW51bT4z
MDI2MjE0ODwvYWNjZXNzaW9uLW51bT48dXJscz48cmVsYXRlZC11cmxzPjx1cmw+aHR0cHM6Ly93
d3cubmNiaS5ubG0ubmloLmdvdi9wdWJtZWQvMzAyNjIxNDg8L3VybD48L3JlbGF0ZWQtdXJscz48
L3VybHM+PGVsZWN0cm9uaWMtcmVzb3VyY2UtbnVtPjEwLjEwMTYvai5hbWVwcmUuMjAxOC4wNi4w
MTU8L2VsZWN0cm9uaWMtcmVzb3VyY2UtbnVtPjwvcmVjb3JkPjwvQ2l0ZT48Q2l0ZT48QXV0aG9y
PkFsdGF6YW48L0F1dGhvcj48WWVhcj4yMDE5PC9ZZWFyPjxSZWNOdW0+MTM3OTwvUmVjTnVtPjxy
ZWNvcmQ+PHJlYy1udW1iZXI+MTM3OTwvcmVjLW51bWJlcj48Zm9yZWlnbi1rZXlzPjxrZXkgYXBw
PSJFTiIgZGItaWQ9ImV4dmFzcmZ4MmR0cmFvZXNhc3hwMnN6c3hhMmRmNTAyNTkyeCIgdGltZXN0
YW1wPSIxNTY3MDYxNTE0Ij4xMzc5PC9rZXk+PGtleSBhcHA9IkVOV2ViIiBkYi1pZD0iIj4wPC9r
ZXk+PC9mb3JlaWduLWtleXM+PHJlZi10eXBlIG5hbWU9IkpvdXJuYWwgQXJ0aWNsZSI+MTc8L3Jl
Zi10eXBlPjxjb250cmlidXRvcnM+PGF1dGhvcnM+PGF1dGhvcj5BbHRhemFuLCBBLiBELjwvYXV0
aG9yPjxhdXRob3I+UmVkbWFuLCBMLiBNLjwvYXV0aG9yPjxhdXRob3I+QnVydG9uLCBKLiBILjwv
YXV0aG9yPjxhdXRob3I+QmV5bCwgUi4gQS48L2F1dGhvcj48YXV0aG9yPkNhaW4sIEwuIEUuPC9h
dXRob3I+PGF1dGhvcj5TdXR0b24sIEUuIEYuPC9hdXRob3I+PGF1dGhvcj5NYXJ0aW4sIEMuIEsu
PC9hdXRob3I+PC9hdXRob3JzPjwvY29udHJpYnV0b3JzPjxhdXRoLWFkZHJlc3M+UGVubmluZ3Rv
biBCaW9tZWRpY2FsIFJlc2VhcmNoIENlbnRlciwgTG91aXNpYW5hIFN0YXRlIFVuaXZlcnNpdHks
IDY0MDAgUGVya2lucyBSb2FkLCBCYXRvbiBSb3VnZSwgTEEsIDcwODA4LCBVU0EuJiN4RDtQZW5u
aW5ndG9uIEJpb21lZGljYWwgUmVzZWFyY2ggQ2VudGVyLCBMb3Vpc2lhbmEgU3RhdGUgVW5pdmVy
c2l0eSwgNjQwMCBQZXJraW5zIFJvYWQsIEJhdG9uIFJvdWdlLCBMQSwgNzA4MDgsIFVTQS4gY29y
YnkubWFydGluQHBicmMuZWR1LjwvYXV0aC1hZGRyZXNzPjx0aXRsZXM+PHRpdGxlPk1vb2QgYW5k
IHF1YWxpdHkgb2YgbGlmZSBjaGFuZ2VzIGluIHByZWduYW5jeSBhbmQgcG9zdHBhcnR1bSBhbmQg
dGhlIGVmZmVjdCBvZiBhIGJlaGF2aW9yYWwgaW50ZXJ2ZW50aW9uIHRhcmdldGluZyBleGNlc3Mg
Z2VzdGF0aW9uYWwgd2VpZ2h0IGdhaW4gaW4gd29tZW4gd2l0aCBvdmVyd2VpZ2h0IGFuZCBvYmVz
aXR5OiBhIHBhcmFsbGVsLWFybSByYW5kb21pemVkIGNvbnRyb2xsZWQgcGlsb3QgdHJpYWw8L3Rp
dGxlPjxzZWNvbmRhcnktdGl0bGU+Qk1DIFByZWduYW5jeSBDaGlsZGJpcnRoPC9zZWNvbmRhcnkt
dGl0bGU+PC90aXRsZXM+PHBlcmlvZGljYWw+PGZ1bGwtdGl0bGU+Qk1DIFByZWduYW5jeSBDaGls
ZGJpcnRoPC9mdWxsLXRpdGxlPjwvcGVyaW9kaWNhbD48cGFnZXM+NTA8L3BhZ2VzPjx2b2x1bWU+
MTk8L3ZvbHVtZT48bnVtYmVyPjE8L251bWJlcj48ZWRpdGlvbj4yMDE5LzAxLzMxPC9lZGl0aW9u
PjxrZXl3b3Jkcz48a2V5d29yZD5BZHVsdDwva2V5d29yZD48a2V5d29yZD5CZWhhdmlvciBUaGVy
YXB5LyptZXRob2RzPC9rZXl3b3JkPjxrZXl3b3JkPkZlbWFsZTwva2V5d29yZD48a2V5d29yZD4q
R2VzdGF0aW9uYWwgV2VpZ2h0IEdhaW48L2tleXdvcmQ+PGtleXdvcmQ+SHVtYW5zPC9rZXl3b3Jk
PjxrZXl3b3JkPkxpZmUgU3R5bGU8L2tleXdvcmQ+PGtleXdvcmQ+T3ZlcndlaWdodC8qcHJldmVu
dGlvbiAmYW1wOyBjb250cm9sPC9rZXl3b3JkPjxrZXl3b3JkPlBpbG90IFByb2plY3RzPC9rZXl3
b3JkPjxrZXl3b3JkPlByZWduYW5jeTwva2V5d29yZD48a2V5d29yZD5QcmVuYXRhbCBDYXJlLypt
ZXRob2RzPC9rZXl3b3JkPjxrZXl3b3JkPlF1YWxpdHkgb2YgTGlmZS8qcHN5Y2hvbG9neTwva2V5
d29yZD48a2V5d29yZD5UcmVhdG1lbnQgT3V0Y29tZTwva2V5d29yZD48a2V5d29yZD5XZWlnaHQg
R2Fpbjwva2V5d29yZD48a2V5d29yZD5HZXN0YXRpb25hbCB3ZWlnaHQgZ2Fpbjwva2V5d29yZD48
a2V5d29yZD5NZW50YWwgaGVhbHRoPC9rZXl3b3JkPjxrZXl3b3JkPlF1YWxpdHkgb2YgbGlmZTwv
a2V5d29yZD48L2tleXdvcmRzPjxkYXRlcz48eWVhcj4yMDE5PC95ZWFyPjxwdWItZGF0ZXM+PGRh
dGU+SmFuIDI5PC9kYXRlPjwvcHViLWRhdGVzPjwvZGF0ZXM+PGlzYm4+MTQ3MS0yMzkzIChFbGVj
dHJvbmljKSYjeEQ7MTQ3MS0yMzkzIChMaW5raW5nKTwvaXNibj48YWNjZXNzaW9uLW51bT4zMDY5
NjQwODwvYWNjZXNzaW9uLW51bT48dXJscz48cmVsYXRlZC11cmxzPjx1cmw+aHR0cHM6Ly93d3cu
bmNiaS5ubG0ubmloLmdvdi9wdWJtZWQvMzA2OTY0MDg8L3VybD48L3JlbGF0ZWQtdXJscz48L3Vy
bHM+PGN1c3RvbTI+UE1DNjM1MjM1MjwvY3VzdG9tMj48ZWxlY3Ryb25pYy1yZXNvdXJjZS1udW0+
MTAuMTE4Ni9zMTI4ODQtMDE5LTIxOTYtODwvZWxlY3Ryb25pYy1yZXNvdXJjZS1udW0+PC9yZWNv
cmQ+PC9DaXRlPjxDaXRlPjxBdXRob3I+UGhlbGFuPC9BdXRob3I+PFllYXI+MjAxODwvWWVhcj48
UmVjTnVtPjEzODY8L1JlY051bT48cmVjb3JkPjxyZWMtbnVtYmVyPjEzODY8L3JlYy1udW1iZXI+
PGZvcmVpZ24ta2V5cz48a2V5IGFwcD0iRU4iIGRiLWlkPSJleHZhc3JmeDJkdHJhb2VzYXN4cDJz
enN4YTJkZjUwMjU5MngiIHRpbWVzdGFtcD0iMTU2NzM4MjQ4NSI+MTM4Njwva2V5PjwvZm9yZWln
bi1rZXlzPjxyZWYtdHlwZSBuYW1lPSJKb3VybmFsIEFydGljbGUiPjE3PC9yZWYtdHlwZT48Y29u
dHJpYnV0b3JzPjxhdXRob3JzPjxhdXRob3I+UGhlbGFuLCBTLjwvYXV0aG9yPjxhdXRob3I+V2lu
ZywgUi4gUi48L2F1dGhvcj48YXV0aG9yPkJyYW5uZW4sIEEuPC9hdXRob3I+PGF1dGhvcj5NY0h1
Z2gsIEEuPC9hdXRob3I+PGF1dGhvcj5IYWdvYmlhbiwgVC4gQS48L2F1dGhvcj48YXV0aG9yPlNj
aGFmZm5lciwgQS48L2F1dGhvcj48YXV0aG9yPkplbGFsaWFuLCBFLjwvYXV0aG9yPjxhdXRob3I+
SGFydCwgQy4gTi48L2F1dGhvcj48YXV0aG9yPlNjaG9sbCwgVC4gTy48L2F1dGhvcj48YXV0aG9y
Pk11bm96LUNocmlzdGlhbiwgSy48L2F1dGhvcj48YXV0aG9yPllpbiwgRS48L2F1dGhvcj48YXV0
aG9yPlBoaXBwcywgTS4gRy48L2F1dGhvcj48YXV0aG9yPktlYWRsZSwgUy48L2F1dGhvcj48YXV0
aG9yPkFicmFtcywgQi48L2F1dGhvcj48L2F1dGhvcnM+PC9jb250cmlidXRvcnM+PGF1dGgtYWRk
cmVzcz5EZXBhcnRtZW50cyBvZiBLaW5lc2lvbG9neSwgU3RhdGlzdGljcywgYW5kIE1vZGVybiBM
YW5ndWFnZXMsIENhbGlmb3JuaWEgUG9seXRlY2huaWMgU3RhdGUgVW5pdmVyc2l0eSwgU2FuIEx1
aXMgT2Jpc3BvLCBDQS4mI3hEO0RlcGFydG1lbnQgb2YgUHN5Y2hpYXRyeSBhbmQgSHVtYW4gQmVo
YXZpb3IsIFdhcnJlbiBBbHBlcnQgTWVkaWNhbCBTY2hvb2wgYXQgQnJvd24gVW5pdmVyc2l0eSwg
UHJvdmlkZW5jZSwgUkkuJiN4RDtEZXBhcnRtZW50cyBvZiBTdGF0aXN0aWNzLCBhbmQgTW9kZXJu
IExhbmd1YWdlcywgQ2FsaWZvcm5pYSBQb2x5dGVjaG5pYyBTdGF0ZSBVbml2ZXJzaXR5LCBTYW4g
THVpcyBPYmlzcG8sIENBLiYjeEQ7RGVwYXJ0bWVudCBvZiBTb2NpYWwgYW5kIEJlaGF2aW9yYWwg
U2NpZW5jZXMsIFRlbXBsZSBVbml2ZXJzaXR5IENlbnRlciBmb3IgT2Jlc2l0eSBSZXNlYXJjaCBh
bmQgRWR1Y2F0aW9uLCBQaGlsYWRlbHBoaWEsIFBBLiYjeEQ7RGVwYXJ0bWVudCBvZiBPYnN0ZXRy
aWNzIGFuZCBHeW5lY29sb2d5LCBVbml2ZXJzaXR5IG9mIE1lZGljaW5lIGFuZCBEZW50aXN0cnkg
b2YgTmV3IEplcnNleSAobm93IFJvd2FuKSwgR2xhc3Nib3JvLCBOSi4mI3hEO0RlcGFydG1lbnRz
IG9mIE1vZGVybiBMYW5ndWFnZXMsIENhbGlmb3JuaWEgUG9seXRlY2huaWMgU3RhdGUgVW5pdmVy
c2l0eSwgU2FuIEx1aXMgT2Jpc3BvLCBDQS4mI3hEO1BhY2lmaWMgQ2VudHJhbCBDb2FzdCBIZWFs
dGggQ2VudGVycywgU2FudGEgTWFyaWEgV29tZW4mYXBvcztzIEhlYWx0aCwgU2FudGEgTWFyaWEs
IENBLiYjeEQ7RGVwYXJ0bWVudCBvZiBPYnN0ZXRyaWNzIGFuZCBHeW5lY29sb2d5LCBXYXJyZW4g
QWxwZXJ0IE1lZGljYWwgU2Nob29sIG9mIEJyb3duIFVuaXZlcnNpdHkgYW5kIFdvbWVuIGFuZCBJ
bmZhbnRzIEhvc3BpdGFsLCBQcm92aWRlbmNlLCBSSS4mI3hEO0RpdmlzaW9uIG9mIEVwaWRlbWlv
bG9neSwgVW5pdmVyc2l0eSBvZiBDYWxpZm9ybmlhIGF0IEJlcmtlbGV5IFNjaG9vbCBvZiBQdWJs
aWMgSGVhbHRoLCBCZXJrZWxleSwgQ0EuPC9hdXRoLWFkZHJlc3M+PHRpdGxlcz48dGl0bGU+UmFu
ZG9taXplZCBjb250cm9sbGVkIGNsaW5pY2FsIHRyaWFsIG9mIGJlaGF2aW9yYWwgbGlmZXN0eWxl
IGludGVydmVudGlvbiB3aXRoIHBhcnRpYWwgbWVhbCByZXBsYWNlbWVudCB0byByZWR1Y2UgZXhj
ZXNzaXZlIGdlc3RhdGlvbmFsIHdlaWdodCBnYWluPC90aXRsZT48c2Vjb25kYXJ5LXRpdGxlPkFt
IEogQ2xpbiBOdXRyPC9zZWNvbmRhcnktdGl0bGU+PC90aXRsZXM+PHBlcmlvZGljYWw+PGZ1bGwt
dGl0bGU+QW0gSiBDbGluIE51dHI8L2Z1bGwtdGl0bGU+PC9wZXJpb2RpY2FsPjxwYWdlcz4xODMt
MTk0PC9wYWdlcz48dm9sdW1lPjEwNzwvdm9sdW1lPjxudW1iZXI+MjwvbnVtYmVyPjxlZGl0aW9u
PjIwMTgvMDMvMTM8L2VkaXRpb24+PGtleXdvcmRzPjxrZXl3b3JkPkFkdWx0PC9rZXl3b3JkPjxr
ZXl3b3JkPkJvZHkgTWFzcyBJbmRleDwva2V5d29yZD48a2V5d29yZD5DYWxpZm9ybmlhPC9rZXl3
b3JkPjxrZXl3b3JkPkRpZXQ8L2tleXdvcmQ+PGtleXdvcmQ+RXRobmljIEdyb3Vwczwva2V5d29y
ZD48a2V5d29yZD5FeGVyY2lzZTwva2V5d29yZD48a2V5d29yZD5GZW1hbGU8L2tleXdvcmQ+PGtl
eXdvcmQ+Kkdlc3RhdGlvbmFsIFdlaWdodCBHYWluPC9rZXl3b3JkPjxrZXl3b3JkPipIZWFsdGgg
QmVoYXZpb3I8L2tleXdvcmQ+PGtleXdvcmQ+SHVtYW5zPC9rZXl3b3JkPjxrZXl3b3JkPkluY2lk
ZW5jZTwva2V5d29yZD48a2V5d29yZD4qTGlmZSBTdHlsZTwva2V5d29yZD48a2V5d29yZD5NZWFs
czwva2V5d29yZD48a2V5d29yZD5OdXRyaXRpb24gQXNzZXNzbWVudDwva2V5d29yZD48a2V5d29y
ZD5PYmVzaXR5LypwcmV2ZW50aW9uICZhbXA7IGNvbnRyb2w8L2tleXdvcmQ+PGtleXdvcmQ+T3Zl
cndlaWdodC8qcHJldmVudGlvbiAmYW1wOyBjb250cm9sPC9rZXl3b3JkPjxrZXl3b3JkPlByZWdu
YW5jeTwva2V5d29yZD48a2V5d29yZD5QcmVnbmFuY3kgQ29tcGxpY2F0aW9ucy8qcHJldmVudGlv
biAmYW1wOyBjb250cm9sPC9rZXl3b3JkPjxrZXl3b3JkPlByZWduYW5jeSBPdXRjb21lPC9rZXl3
b3JkPjxrZXl3b3JkPlJpc2sgRmFjdG9yczwva2V5d29yZD48a2V5d29yZD5Zb3VuZyBBZHVsdDwv
a2V5d29yZD48L2tleXdvcmRzPjxkYXRlcz48eWVhcj4yMDE4PC95ZWFyPjxwdWItZGF0ZXM+PGRh
dGU+RmViIDE8L2RhdGU+PC9wdWItZGF0ZXM+PC9kYXRlcz48aXNibj4xOTM4LTMyMDcgKEVsZWN0
cm9uaWMpJiN4RDswMDAyLTkxNjUgKExpbmtpbmcpPC9pc2JuPjxhY2Nlc3Npb24tbnVtPjI5NTI5
MTU3PC9hY2Nlc3Npb24tbnVtPjx1cmxzPjxyZWxhdGVkLXVybHM+PHVybD5odHRwczovL3d3dy5u
Y2JpLm5sbS5uaWguZ292L3B1Ym1lZC8yOTUyOTE1NzwvdXJsPjwvcmVsYXRlZC11cmxzPjwvdXJs
cz48Y3VzdG9tMj5QTUM2NDU1MDMwPC9jdXN0b20yPjxlbGVjdHJvbmljLXJlc291cmNlLW51bT4x
MC4xMDkzL2FqY24vbnF4MDQzPC9lbGVjdHJvbmljLXJlc291cmNlLW51bT48L3JlY29yZD48L0Np
dGU+PENpdGU+PEF1dGhvcj5CdWNraW5naGFtLVNjaHV0dDwvQXV0aG9yPjxZZWFyPjIwMTk8L1ll
YXI+PFJlY051bT4xOTI2PC9SZWNOdW0+PHJlY29yZD48cmVjLW51bWJlcj4xOTI2PC9yZWMtbnVt
YmVyPjxmb3JlaWduLWtleXM+PGtleSBhcHA9IkVOIiBkYi1pZD0iZXh2YXNyZngyZHRyYW9lc2Fz
eHAyc3pzeGEyZGY1MDI1OTJ4IiB0aW1lc3RhbXA9IjE1ODg1NzA2MjUiPjE5MjY8L2tleT48L2Zv
cmVpZ24ta2V5cz48cmVmLXR5cGUgbmFtZT0iSm91cm5hbCBBcnRpY2xlIj4xNzwvcmVmLXR5cGU+
PGNvbnRyaWJ1dG9ycz48YXV0aG9ycz48YXV0aG9yPkJ1Y2tpbmdoYW0tU2NodXR0LCBMLiBNLjwv
YXV0aG9yPjxhdXRob3I+RWxsaW5nc29uLCBMLiBELjwvYXV0aG9yPjxhdXRob3I+VmF6b3UsIFMu
PC9hdXRob3I+PGF1dGhvcj5DYW1wYmVsbCwgQy4gRy48L2F1dGhvcj48L2F1dGhvcnM+PC9jb250
cmlidXRvcnM+PGF1dGgtYWRkcmVzcz5UaGUgSGFya2luIEluc3RpdHV0ZSwgRHJha2UgVW5pdmVy
c2l0eSwgRGVzIE1vaW5lcywgSUEuJiN4RDtLaW5lc2lvbG9neSBEZXBhcnRtZW50LCBJb3dhIFN0
YXRlIFVuaXZlcnNpdHksIEFtZXMsIElBLiYjeEQ7Rm9vZCBTY2llbmNlIGFuZCBIdW1hbiBOdXRy
aXRpb24gRGVwYXJ0bWVudC48L2F1dGgtYWRkcmVzcz48dGl0bGVzPjx0aXRsZT5UaGUgQmVoYXZp
b3JhbCBXZWxsbmVzcyBpbiBQcmVnbmFuY3kgc3R1ZHk6IGEgcmFuZG9taXplZCBjb250cm9sbGVk
IHRyaWFsIG9mIGEgbXVsdGktY29tcG9uZW50IGludGVydmVudGlvbiB0byBwcm9tb3RlIGFwcHJv
cHJpYXRlIHdlaWdodCBnYWluPC90aXRsZT48c2Vjb25kYXJ5LXRpdGxlPkFtIEogQ2xpbiBOdXRy
PC9zZWNvbmRhcnktdGl0bGU+PC90aXRsZXM+PHBlcmlvZGljYWw+PGZ1bGwtdGl0bGU+QW0gSiBD
bGluIE51dHI8L2Z1bGwtdGl0bGU+PC9wZXJpb2RpY2FsPjxwYWdlcz4xMDcxLTEwNzk8L3BhZ2Vz
Pjx2b2x1bWU+MTA5PC92b2x1bWU+PG51bWJlcj40PC9udW1iZXI+PGVkaXRpb24+MjAxOS8wNC8w
NjwvZWRpdGlvbj48a2V5d29yZHM+PGtleXdvcmQ+QWR1bHQ8L2tleXdvcmQ+PGtleXdvcmQ+RGll
dC8qcHN5Y2hvbG9neTwva2V5d29yZD48a2V5d29yZD5FeGVyY2lzZTwva2V5d29yZD48a2V5d29y
ZD5GZWVkaW5nIEJlaGF2aW9yPC9rZXl3b3JkPjxrZXl3b3JkPkZlbWFsZTwva2V5d29yZD48a2V5
d29yZD4qR2VzdGF0aW9uYWwgV2VpZ2h0IEdhaW48L2tleXdvcmQ+PGtleXdvcmQ+SHVtYW5zPC9r
ZXl3b3JkPjxrZXl3b3JkPkxpZmUgU3R5bGU8L2tleXdvcmQ+PGtleXdvcmQ+TWF0ZXJuYWwgQmVo
YXZpb3I8L2tleXdvcmQ+PGtleXdvcmQ+UG9zdHBhcnR1bSBQZXJpb2QvbWV0YWJvbGlzbS9wc3lj
aG9sb2d5PC9rZXl3b3JkPjxrZXl3b3JkPlByZWduYW5jeS9tZXRhYm9saXNtLypwc3ljaG9sb2d5
PC9rZXl3b3JkPjxrZXl3b3JkPlByZW5hdGFsIENhcmUvKnBzeWNob2xvZ3k8L2tleXdvcmQ+PGtl
eXdvcmQ+UHJlbmF0YWwgTnV0cml0aW9uYWwgUGh5c2lvbG9naWNhbCBQaGVub21lbmE8L2tleXdv
cmQ+PGtleXdvcmQ+WW91bmcgQWR1bHQ8L2tleXdvcmQ+PGtleXdvcmQ+Km11bHRpLWNvbXBvbmVu
dCBpbnRlcnZlbnRpb248L2tleXdvcmQ+PGtleXdvcmQ+Km51dHJpdGlvbjwva2V5d29yZD48a2V5
d29yZD4qcGh5c2ljYWwgYWN0aXZpdHk8L2tleXdvcmQ+PGtleXdvcmQ+KnByZWduYW5jeTwva2V5
d29yZD48L2tleXdvcmRzPjxkYXRlcz48eWVhcj4yMDE5PC95ZWFyPjxwdWItZGF0ZXM+PGRhdGU+
QXByIDE8L2RhdGU+PC9wdWItZGF0ZXM+PC9kYXRlcz48aXNibj4xOTM4LTMyMDcgKEVsZWN0cm9u
aWMpJiN4RDswMDAyLTkxNjUgKExpbmtpbmcpPC9pc2JuPjxhY2Nlc3Npb24tbnVtPjMwOTQ5Njkx
PC9hY2Nlc3Npb24tbnVtPjx1cmxzPjxyZWxhdGVkLXVybHM+PHVybD5odHRwczovL3d3dy5uY2Jp
Lm5sbS5uaWguZ292L3B1Ym1lZC8zMDk0OTY5MTwvdXJsPjwvcmVsYXRlZC11cmxzPjwvdXJscz48
ZWxlY3Ryb25pYy1yZXNvdXJjZS1udW0+MTAuMTA5My9hamNuL25xeTM1OTwvZWxlY3Ryb25pYy1y
ZXNvdXJjZS1udW0+PC9yZWNvcmQ+PC9DaXRlPjwvRW5kTm90ZT5=
</w:fldData>
        </w:fldChar>
      </w:r>
      <w:r w:rsidR="002747EA">
        <w:instrText xml:space="preserve"> ADDIN EN.CITE </w:instrText>
      </w:r>
      <w:r w:rsidR="002747EA">
        <w:fldChar w:fldCharType="begin">
          <w:fldData xml:space="preserve">PEVuZE5vdGU+PENpdGU+PEF1dGhvcj5Bc2JlZTwvQXV0aG9yPjxZZWFyPjIwMDk8L1llYXI+PFJl
Y051bT42NjY8L1JlY051bT48RGlzcGxheVRleHQ+PHN0eWxlIGZhY2U9InN1cGVyc2NyaXB0IiBm
b250PSJUcmVidWNoZXQgTVMiIHNpemU9IjkiPjQ4Myw0ODgsNDk0LDQ5NSw1MDIsNTAzLDUwNSw1
MDcsNTA4LDUxNDwvc3R5bGU+PC9EaXNwbGF5VGV4dD48cmVjb3JkPjxyZWMtbnVtYmVyPjY2Njwv
cmVjLW51bWJlcj48Zm9yZWlnbi1rZXlzPjxrZXkgYXBwPSJFTiIgZGItaWQ9ImV4dmFzcmZ4MmR0
cmFvZXNhc3hwMnN6c3hhMmRmNTAyNTkyeCIgdGltZXN0YW1wPSIxNTQwNTI2NDk1Ij42NjY8L2tl
eT48L2ZvcmVpZ24ta2V5cz48cmVmLXR5cGUgbmFtZT0iSm91cm5hbCBBcnRpY2xlIj4xNzwvcmVm
LXR5cGU+PGNvbnRyaWJ1dG9ycz48YXV0aG9ycz48YXV0aG9yPkFzYmVlLCBTLiBNLjwvYXV0aG9y
PjxhdXRob3I+SmVua2lucywgVC4gUi48L2F1dGhvcj48YXV0aG9yPkJ1dGxlciwgSi4gUi48L2F1
dGhvcj48YXV0aG9yPldoaXRlLCBKLjwvYXV0aG9yPjxhdXRob3I+RWxsaW90LCBNLjwvYXV0aG9y
PjxhdXRob3I+UnV0bGVkZ2UsIEEuPC9hdXRob3I+PC9hdXRob3JzPjwvY29udHJpYnV0b3JzPjxh
dXRoLWFkZHJlc3M+Q2Fyb2xpbmFzIE1lZGljYWwgQ2VudGVyLCBDaGFybG90dGUsIE5vcnRoIENh
cm9saW5hLCBVU0EuIGRyc2hlbGx5QGVhcnRobGluay5uZXQ8L2F1dGgtYWRkcmVzcz48dGl0bGVz
Pjx0aXRsZT5QcmV2ZW50aW5nIGV4Y2Vzc2l2ZSB3ZWlnaHQgZ2FpbiBkdXJpbmcgcHJlZ25hbmN5
IHRocm91Z2ggZGlldGFyeSBhbmQgbGlmZXN0eWxlIGNvdW5zZWxpbmc6IGEgcmFuZG9taXplZCBj
b250cm9sbGVkIHRyaWFsPC90aXRsZT48c2Vjb25kYXJ5LXRpdGxlPk9ic3RldCBHeW5lY29sPC9z
ZWNvbmRhcnktdGl0bGU+PC90aXRsZXM+PHBlcmlvZGljYWw+PGZ1bGwtdGl0bGU+T2JzdGV0IEd5
bmVjb2w8L2Z1bGwtdGl0bGU+PC9wZXJpb2RpY2FsPjxwYWdlcz4zMDUtMTI8L3BhZ2VzPjx2b2x1
bWU+MTEzPC92b2x1bWU+PG51bWJlcj4yIFB0IDE8L251bWJlcj48ZWRpdGlvbj4yMDA5LzAxLzIy
PC9lZGl0aW9uPjxrZXl3b3Jkcz48a2V5d29yZD5BZHVsdDwva2V5d29yZD48a2V5d29yZD5CaXJ0
aCBXZWlnaHQ8L2tleXdvcmQ+PGtleXdvcmQ+Qm9keSBNYXNzIEluZGV4PC9rZXl3b3JkPjxrZXl3
b3JkPipEaXJlY3RpdmUgQ291bnNlbGluZzwva2V5d29yZD48a2V5d29yZD5GZW1hbGU8L2tleXdv
cmQ+PGtleXdvcmQ+SHVtYW5zPC9rZXl3b3JkPjxrZXl3b3JkPkluZmFudCwgTmV3Ym9ybjwva2V5
d29yZD48a2V5d29yZD5NaWRkbGUgQWdlZDwva2V5d29yZD48a2V5d29yZD5PYmVzaXR5LypkaWV0
IHRoZXJhcHkvKnByZXZlbnRpb24gJmFtcDsgY29udHJvbDwva2V5d29yZD48a2V5d29yZD5QYXRp
ZW50IENvbXBsaWFuY2U8L2tleXdvcmQ+PGtleXdvcmQ+UHJlZ25hbmN5PC9rZXl3b3JkPjxrZXl3
b3JkPlByZWduYW5jeSBDb21wbGljYXRpb25zLypkaWV0IHRoZXJhcHkvKnByZXZlbnRpb24gJmFt
cDsgY29udHJvbDwva2V5d29yZD48a2V5d29yZD5QcmVuYXRhbCBDYXJlLyptZXRob2RzPC9rZXl3
b3JkPjxrZXl3b3JkPlJpc2sgUmVkdWN0aW9uIEJlaGF2aW9yPC9rZXl3b3JkPjxrZXl3b3JkPldl
aWdodCBHYWluPC9rZXl3b3JkPjxrZXl3b3JkPllvdW5nIEFkdWx0PC9rZXl3b3JkPjwva2V5d29y
ZHM+PGRhdGVzPjx5ZWFyPjIwMDk8L3llYXI+PHB1Yi1kYXRlcz48ZGF0ZT5GZWI8L2RhdGU+PC9w
dWItZGF0ZXM+PC9kYXRlcz48aXNibj4wMDI5LTc4NDQgKFByaW50KSYjeEQ7MDAyOS03ODQ0IChM
aW5raW5nKTwvaXNibj48YWNjZXNzaW9uLW51bT4xOTE1NTg5OTwvYWNjZXNzaW9uLW51bT48dXJs
cz48cmVsYXRlZC11cmxzPjx1cmw+aHR0cHM6Ly93d3cubmNiaS5ubG0ubmloLmdvdi9wdWJtZWQv
MTkxNTU4OTk8L3VybD48L3JlbGF0ZWQtdXJscz48L3VybHM+PGVsZWN0cm9uaWMtcmVzb3VyY2Ut
bnVtPjEwLjEwOTcvQU9HLjBiMDEzZTMxODE5NWJhZWY8L2VsZWN0cm9uaWMtcmVzb3VyY2UtbnVt
PjwvcmVjb3JkPjwvQ2l0ZT48Q2l0ZT48QXV0aG9yPkdhbGxhZ2hlcjwvQXV0aG9yPjxZZWFyPjIw
MTg8L1llYXI+PFJlY051bT43NDQ8L1JlY051bT48cmVjb3JkPjxyZWMtbnVtYmVyPjc0NDwvcmVj
LW51bWJlcj48Zm9yZWlnbi1rZXlzPjxrZXkgYXBwPSJFTiIgZGItaWQ9ImV4dmFzcmZ4MmR0cmFv
ZXNhc3hwMnN6c3hhMmRmNTAyNTkyeCIgdGltZXN0YW1wPSIxNTQxNDY3ODc5Ij43NDQ8L2tleT48
a2V5IGFwcD0iRU5XZWIiIGRiLWlkPSIiPjA8L2tleT48L2ZvcmVpZ24ta2V5cz48cmVmLXR5cGUg
bmFtZT0iSm91cm5hbCBBcnRpY2xlIj4xNzwvcmVmLXR5cGU+PGNvbnRyaWJ1dG9ycz48YXV0aG9y
cz48YXV0aG9yPkdhbGxhZ2hlciwgRHltcG5hPC9hdXRob3I+PGF1dGhvcj5Sb3Nlbm4sIEJhcmFr
PC9hdXRob3I+PGF1dGhvcj5Ub3JvLVJhbW9zLCBUYXRpYW5hPC9hdXRob3I+PGF1dGhvcj5QYWxl
eSwgQ2hhcmxlczwvYXV0aG9yPjxhdXRob3I+R2lkd2FuaSwgU29uaWE8L2F1dGhvcj48YXV0aG9y
Pkhvcm93aXR6LCBNaWNoZWxsZTwvYXV0aG9yPjxhdXRob3I+Q3JhbmUsIEphbmV0PC9hdXRob3I+
PGF1dGhvcj5MaW4sIFN1c2FuPC9hdXRob3I+PGF1dGhvcj5UaG9ybnRvbiwgSm9obiBDLjwvYXV0
aG9yPjxhdXRob3I+UGktU3VueWVyLCBYYXZpZXI8L2F1dGhvcj48L2F1dGhvcnM+PC9jb250cmli
dXRvcnM+PHRpdGxlcz48dGl0bGU+R3JlYXRlciBOZW9uYXRhbCBGYXQtRnJlZSBNYXNzIGFuZCBT
aW1pbGFyIEZhdCBNYXNzIEZvbGxvd2luZyBhIFJhbmRvbWl6ZWQgVHJpYWwgdG8gQ29udHJvbCBF
eGNlc3MgR2VzdGF0aW9uYWwgV2VpZ2h0IEdhaW48L3RpdGxlPjxzZWNvbmRhcnktdGl0bGU+T2Jl
c2l0eTwvc2Vjb25kYXJ5LXRpdGxlPjwvdGl0bGVzPjxwZXJpb2RpY2FsPjxmdWxsLXRpdGxlPk9i
ZXNpdHk8L2Z1bGwtdGl0bGU+PC9wZXJpb2RpY2FsPjxwYWdlcz41NzgtNTg3PC9wYWdlcz48dm9s
dW1lPjI2PC92b2x1bWU+PG51bWJlcj4zPC9udW1iZXI+PHNlY3Rpb24+NTc4PC9zZWN0aW9uPjxk
YXRlcz48eWVhcj4yMDE4PC95ZWFyPjwvZGF0ZXM+PGlzYm4+MTkzMDczODE8L2lzYm4+PHVybHM+
PC91cmxzPjxlbGVjdHJvbmljLXJlc291cmNlLW51bT4xMC4xMDAyL29ieS4yMjA3OTwvZWxlY3Ry
b25pYy1yZXNvdXJjZS1udW0+PC9yZWNvcmQ+PC9DaXRlPjxDaXRlPjxBdXRob3I+SGF3a2luczwv
QXV0aG9yPjxZZWFyPjIwMTU8L1llYXI+PFJlY051bT43MjY8L1JlY051bT48cmVjb3JkPjxyZWMt
bnVtYmVyPjcyNjwvcmVjLW51bWJlcj48Zm9yZWlnbi1rZXlzPjxrZXkgYXBwPSJFTiIgZGItaWQ9
ImV4dmFzcmZ4MmR0cmFvZXNhc3hwMnN6c3hhMmRmNTAyNTkyeCIgdGltZXN0YW1wPSIxNTQxNDY1
MzIyIj43MjY8L2tleT48L2ZvcmVpZ24ta2V5cz48cmVmLXR5cGUgbmFtZT0iSm91cm5hbCBBcnRp
Y2xlIj4xNzwvcmVmLXR5cGU+PGNvbnRyaWJ1dG9ycz48YXV0aG9ycz48YXV0aG9yPkhhd2tpbnMs
IE0uPC9hdXRob3I+PGF1dGhvcj5Ib3NrZXIsIE0uPC9hdXRob3I+PGF1dGhvcj5NYXJjdXMsIEIu
IEguPC9hdXRob3I+PGF1dGhvcj5Sb3NhbCwgTS4gQy48L2F1dGhvcj48YXV0aG9yPkJyYXVuLCBC
LjwvYXV0aG9yPjxhdXRob3I+U3RhbmVrLCBFLiBKLiwgM3JkPC9hdXRob3I+PGF1dGhvcj5NYXJr
ZW5zb24sIEcuPC9hdXRob3I+PGF1dGhvcj5DaGFzYW4tVGFiZXIsIEwuPC9hdXRob3I+PC9hdXRo
b3JzPjwvY29udHJpYnV0b3JzPjxhdXRoLWFkZHJlc3M+RGl2aXNpb24gb2YgQmlvc3RhdGlzdGlj
cyBhbmQgRXBpZGVtaW9sb2d5LCBEZXBhcnRtZW50IG9mIFB1YmxpYyBIZWFsdGgsIFNjaG9vbCBv
ZiBQdWJsaWMgSGVhbHRoIGFuZCBIZWFsdGggU2NpZW5jZXMsIFVuaXZlcnNpdHkgb2YgTWFzc2Fj
aHVzZXR0cywgQW1oZXJzdCwgTUEsIFVTQS48L2F1dGgtYWRkcmVzcz48dGl0bGVzPjx0aXRsZT5B
IHByZWduYW5jeSBsaWZlc3R5bGUgaW50ZXJ2ZW50aW9uIHRvIHByZXZlbnQgZ2VzdGF0aW9uYWwg
ZGlhYmV0ZXMgcmlzayBmYWN0b3JzIGluIG92ZXJ3ZWlnaHQgSGlzcGFuaWMgd29tZW46IGEgZmVh
c2liaWxpdHkgcmFuZG9taXplZCBjb250cm9sbGVkIHRyaWFsPC90aXRsZT48c2Vjb25kYXJ5LXRp
dGxlPkRpYWJldCBNZWQ8L3NlY29uZGFyeS10aXRsZT48L3RpdGxlcz48cGVyaW9kaWNhbD48ZnVs
bC10aXRsZT5EaWFiZXQgTWVkPC9mdWxsLXRpdGxlPjwvcGVyaW9kaWNhbD48cGFnZXM+MTA4LTE1
PC9wYWdlcz48dm9sdW1lPjMyPC92b2x1bWU+PG51bWJlcj4xPC9udW1iZXI+PGVkaXRpb24+MjAx
NC8xMC8xNDwvZWRpdGlvbj48a2V5d29yZHM+PGtleXdvcmQ+QWR1bHQ8L2tleXdvcmQ+PGtleXdv
cmQ+QmlydGggV2VpZ2h0PC9rZXl3b3JkPjxrZXl3b3JkPkRpYWJldGVzLCBHZXN0YXRpb25hbC8q
cHJldmVudGlvbiAmYW1wOyBjb250cm9sPC9rZXl3b3JkPjxrZXl3b3JkPkRpZXQ8L2tleXdvcmQ+
PGtleXdvcmQ+RXhlcmNpc2U8L2tleXdvcmQ+PGtleXdvcmQ+RmVhc2liaWxpdHkgU3R1ZGllczwv
a2V5d29yZD48a2V5d29yZD5GZWVkaW5nIEJlaGF2aW9yPC9rZXl3b3JkPjxrZXl3b3JkPkZlbWFs
ZTwva2V5d29yZD48a2V5d29yZD5IaXNwYW5pYyBBbWVyaWNhbnMvKnN0YXRpc3RpY3MgJmFtcDsg
bnVtZXJpY2FsIGRhdGE8L2tleXdvcmQ+PGtleXdvcmQ+SHVtYW5zPC9rZXl3b3JkPjxrZXl3b3Jk
PkluZmFudCwgTmV3Ym9ybjwva2V5d29yZD48a2V5d29yZD5NYWxlPC9rZXl3b3JkPjxrZXl3b3Jk
Pk92ZXJ3ZWlnaHQvY29tcGxpY2F0aW9ucy8qcHJldmVudGlvbiAmYW1wOyBjb250cm9sPC9rZXl3
b3JkPjxrZXl3b3JkPlBhdGllbnQgQ29tcGxpYW5jZTwva2V5d29yZD48a2V5d29yZD5QcmVnbmFu
Y3k8L2tleXdvcmQ+PGtleXdvcmQ+UHJlbmF0YWwgQ2FyZTwva2V5d29yZD48a2V5d29yZD4qUHJp
bWFyeSBQcmV2ZW50aW9uPC9rZXl3b3JkPjxrZXl3b3JkPlJpc2sgRmFjdG9yczwva2V5d29yZD48
a2V5d29yZD4qUmlzayBSZWR1Y3Rpb24gQmVoYXZpb3I8L2tleXdvcmQ+PGtleXdvcmQ+VHJlYXRt
ZW50IE91dGNvbWU8L2tleXdvcmQ+PGtleXdvcmQ+VW5pdGVkIFN0YXRlcy9lcGlkZW1pb2xvZ3k8
L2tleXdvcmQ+PGtleXdvcmQ+V2VpZ2h0IEdhaW48L2tleXdvcmQ+PC9rZXl3b3Jkcz48ZGF0ZXM+
PHllYXI+MjAxNTwveWVhcj48cHViLWRhdGVzPjxkYXRlPkphbjwvZGF0ZT48L3B1Yi1kYXRlcz48
L2RhdGVzPjxpc2JuPjE0NjQtNTQ5MSAoRWxlY3Ryb25pYykmI3hEOzA3NDItMzA3MSAoTGlua2lu
Zyk8L2lzYm4+PGFjY2Vzc2lvbi1udW0+MjUzMDY5MjU8L2FjY2Vzc2lvbi1udW0+PHVybHM+PHJl
bGF0ZWQtdXJscz48dXJsPmh0dHBzOi8vd3d3Lm5jYmkubmxtLm5paC5nb3YvcHVibWVkLzI1MzA2
OTI1PC91cmw+PC9yZWxhdGVkLXVybHM+PC91cmxzPjxlbGVjdHJvbmljLXJlc291cmNlLW51bT4x
MC4xMTExL2RtZS4xMjYwMTwvZWxlY3Ryb25pYy1yZXNvdXJjZS1udW0+PC9yZWNvcmQ+PC9DaXRl
PjxDaXRlPjxBdXRob3I+UGhlbGFuPC9BdXRob3I+PFllYXI+MjAxMTwvWWVhcj48UmVjTnVtPjcw
NTwvUmVjTnVtPjxyZWNvcmQ+PHJlYy1udW1iZXI+NzA1PC9yZWMtbnVtYmVyPjxmb3JlaWduLWtl
eXM+PGtleSBhcHA9IkVOIiBkYi1pZD0iZXh2YXNyZngyZHRyYW9lc2FzeHAyc3pzeGEyZGY1MDI1
OTJ4IiB0aW1lc3RhbXA9IjE1NDA1MzA2MzYiPjcwNTwva2V5PjwvZm9yZWlnbi1rZXlzPjxyZWYt
dHlwZSBuYW1lPSJKb3VybmFsIEFydGljbGUiPjE3PC9yZWYtdHlwZT48Y29udHJpYnV0b3JzPjxh
dXRob3JzPjxhdXRob3I+UGhlbGFuLCBTLjwvYXV0aG9yPjxhdXRob3I+UGhpcHBzLCBNLiBHLjwv
YXV0aG9yPjxhdXRob3I+QWJyYW1zLCBCLjwvYXV0aG9yPjxhdXRob3I+RGFycm9jaCwgRi48L2F1
dGhvcj48YXV0aG9yPlNjaGFmZm5lciwgQS48L2F1dGhvcj48YXV0aG9yPldpbmcsIFIuIFIuPC9h
dXRob3I+PC9hdXRob3JzPjwvY29udHJpYnV0b3JzPjxhdXRoLWFkZHJlc3M+RGVwYXJ0bWVudHMg
b2YgS2luZXNpb2xvZ3ksIENhbGlmb3JuaWEgUG9seXRlY2huaWMgU3RhdGUgVW5pdmVyc2l0eSwg
U2FuIEx1aXMgT2Jpc3BvLCA5MzQwNy0wMzg2LCBVU0EuIHNwaGVsYW5AY2FscG9seS5lZHU8L2F1
dGgtYWRkcmVzcz48dGl0bGVzPjx0aXRsZT5SYW5kb21pemVkIHRyaWFsIG9mIGEgYmVoYXZpb3Jh
bCBpbnRlcnZlbnRpb24gdG8gcHJldmVudCBleGNlc3NpdmUgZ2VzdGF0aW9uYWwgd2VpZ2h0IGdh
aW46IHRoZSBGaXQgZm9yIERlbGl2ZXJ5IFN0dWR5PC90aXRsZT48c2Vjb25kYXJ5LXRpdGxlPkFt
IEogQ2xpbiBOdXRyPC9zZWNvbmRhcnktdGl0bGU+PC90aXRsZXM+PHBlcmlvZGljYWw+PGZ1bGwt
dGl0bGU+QW0gSiBDbGluIE51dHI8L2Z1bGwtdGl0bGU+PC9wZXJpb2RpY2FsPjxwYWdlcz43NzIt
OTwvcGFnZXM+PHZvbHVtZT45Mzwvdm9sdW1lPjxudW1iZXI+NDwvbnVtYmVyPjxlZGl0aW9uPjIw
MTEvMDIvMTI8L2VkaXRpb24+PGtleXdvcmRzPjxrZXl3b3JkPkFkdWx0PC9rZXl3b3JkPjxrZXl3
b3JkPkJlaGF2aW9yPC9rZXl3b3JkPjxrZXl3b3JkPipCZWhhdmlvciBUaGVyYXB5PC9rZXl3b3Jk
PjxrZXl3b3JkPipEaWV0PC9rZXl3b3JkPjxrZXl3b3JkPipFeGVyY2lzZTwva2V5d29yZD48a2V5
d29yZD5GZW1hbGU8L2tleXdvcmQ+PGtleXdvcmQ+KkhlYWx0aCBQcm9tb3Rpb248L2tleXdvcmQ+
PGtleXdvcmQ+SHVtYW5zPC9rZXl3b3JkPjxrZXl3b3JkPkludGVudGlvbiB0byBUcmVhdCBBbmFs
eXNpczwva2V5d29yZD48a2V5d29yZD5PYmVzaXR5L2NvbXBsaWNhdGlvbnMvZXBpZGVtaW9sb2d5
LypwcmV2ZW50aW9uICZhbXA7IGNvbnRyb2w8L2tleXdvcmQ+PGtleXdvcmQ+UG9zdHBhcnR1bSBQ
ZXJpb2Q8L2tleXdvcmQ+PGtleXdvcmQ+UHJlZ25hbmN5PC9rZXl3b3JkPjxrZXl3b3JkPlByZWdu
YW5jeSBDb21wbGljYXRpb25zLypwcmV2ZW50aW9uICZhbXA7IGNvbnRyb2w8L2tleXdvcmQ+PGtl
eXdvcmQ+UHJldmFsZW5jZTwva2V5d29yZD48a2V5d29yZD5SZWZlcmVuY2UgVmFsdWVzPC9rZXl3
b3JkPjxrZXl3b3JkPlNpbmdsZS1CbGluZCBNZXRob2Q8L2tleXdvcmQ+PGtleXdvcmQ+U3RhbmRh
cmQgb2YgQ2FyZTwva2V5d29yZD48a2V5d29yZD5UcmVhdG1lbnQgT3V0Y29tZTwva2V5d29yZD48
a2V5d29yZD4qV2VpZ2h0IEdhaW48L2tleXdvcmQ+PGtleXdvcmQ+WW91bmcgQWR1bHQ8L2tleXdv
cmQ+PC9rZXl3b3Jkcz48ZGF0ZXM+PHllYXI+MjAxMTwveWVhcj48cHViLWRhdGVzPjxkYXRlPkFw
cjwvZGF0ZT48L3B1Yi1kYXRlcz48L2RhdGVzPjxpc2JuPjE5MzgtMzIwNyAoRWxlY3Ryb25pYykm
I3hEOzAwMDItOTE2NSAoTGlua2luZyk8L2lzYm4+PGFjY2Vzc2lvbi1udW0+MjEzMTA4MzY8L2Fj
Y2Vzc2lvbi1udW0+PHVybHM+PHJlbGF0ZWQtdXJscz48dXJsPmh0dHBzOi8vd3d3Lm5jYmkubmxt
Lm5paC5nb3YvcHVibWVkLzIxMzEwODM2PC91cmw+PC9yZWxhdGVkLXVybHM+PC91cmxzPjxjdXN0
b20yPlBNQzMwNTc1NDY8L2N1c3RvbTI+PGVsZWN0cm9uaWMtcmVzb3VyY2UtbnVtPjEwLjM5NDUv
YWpjbi4xMTAuMDA1MzA2PC9lbGVjdHJvbmljLXJlc291cmNlLW51bT48L3JlY29yZD48L0NpdGU+
PENpdGU+PEF1dGhvcj5Qb2xsZXk8L0F1dGhvcj48WWVhcj4yMDAyPC9ZZWFyPjxSZWNOdW0+NzA2
PC9SZWNOdW0+PHJlY29yZD48cmVjLW51bWJlcj43MDY8L3JlYy1udW1iZXI+PGZvcmVpZ24ta2V5
cz48a2V5IGFwcD0iRU4iIGRiLWlkPSJleHZhc3JmeDJkdHJhb2VzYXN4cDJzenN4YTJkZjUwMjU5
MngiIHRpbWVzdGFtcD0iMTU0MDUzMDY3NCI+NzA2PC9rZXk+PC9mb3JlaWduLWtleXM+PHJlZi10
eXBlIG5hbWU9IkpvdXJuYWwgQXJ0aWNsZSI+MTc8L3JlZi10eXBlPjxjb250cmlidXRvcnM+PGF1
dGhvcnM+PGF1dGhvcj5Qb2xsZXksIEIuIEEuPC9hdXRob3I+PGF1dGhvcj5XaW5nLCBSLiBSLjwv
YXV0aG9yPjxhdXRob3I+U2ltcywgQy4gSi48L2F1dGhvcj48L2F1dGhvcnM+PC9jb250cmlidXRv
cnM+PGF1dGgtYWRkcmVzcz5Vbml2ZXJzaXR5IG9mIFBpdHRzYnVyZ2gsIFBpdHRzYnVyZ2gsIFBl
bm5zeWx2YW5pYSwgVVNBLjwvYXV0aC1hZGRyZXNzPjx0aXRsZXM+PHRpdGxlPlJhbmRvbWl6ZWQg
Y29udHJvbGxlZCB0cmlhbCB0byBwcmV2ZW50IGV4Y2Vzc2l2ZSB3ZWlnaHQgZ2FpbiBpbiBwcmVn
bmFudCB3b21lbjwvdGl0bGU+PHNlY29uZGFyeS10aXRsZT5JbnQgSiBPYmVzIFJlbGF0IE1ldGFi
IERpc29yZDwvc2Vjb25kYXJ5LXRpdGxlPjwvdGl0bGVzPjxwZXJpb2RpY2FsPjxmdWxsLXRpdGxl
PkludCBKIE9iZXMgUmVsYXQgTWV0YWIgRGlzb3JkPC9mdWxsLXRpdGxlPjwvcGVyaW9kaWNhbD48
cGFnZXM+MTQ5NC01MDI8L3BhZ2VzPjx2b2x1bWU+MjY8L3ZvbHVtZT48bnVtYmVyPjExPC9udW1i
ZXI+PGVkaXRpb24+MjAwMi8xMS8yMDwvZWRpdGlvbj48a2V5d29yZHM+PGtleXdvcmQ+QWR1bHQ8
L2tleXdvcmQ+PGtleXdvcmQ+RXhlcmNpc2UgVGhlcmFweS8qbWV0aG9kczwva2V5d29yZD48a2V5
d29yZD5GZW1hbGU8L2tleXdvcmQ+PGtleXdvcmQ+SGVhbHRoIEJlaGF2aW9yPC9rZXl3b3JkPjxr
ZXl3b3JkPkh1bWFuczwva2V5d29yZD48a2V5d29yZD5PYmVzaXR5LypwcmV2ZW50aW9uICZhbXA7
IGNvbnRyb2w8L2tleXdvcmQ+PGtleXdvcmQ+UG9zdG5hdGFsIENhcmUvbWV0aG9kczwva2V5d29y
ZD48a2V5d29yZD5QcmVnbmFuY3k8L2tleXdvcmQ+PGtleXdvcmQ+UHJlZ25hbmN5IENvbXBsaWNh
dGlvbnMvKnByZXZlbnRpb24gJmFtcDsgY29udHJvbDwva2V5d29yZD48a2V5d29yZD5QcmVnbmFu
Y3kgT3V0Y29tZTwva2V5d29yZD48a2V5d29yZD5QcmVuYXRhbCBDYXJlL21ldGhvZHM8L2tleXdv
cmQ+PGtleXdvcmQ+V2VpZ2h0IEdhaW48L2tleXdvcmQ+PC9rZXl3b3Jkcz48ZGF0ZXM+PHllYXI+
MjAwMjwveWVhcj48cHViLWRhdGVzPjxkYXRlPk5vdjwvZGF0ZT48L3B1Yi1kYXRlcz48L2RhdGVz
PjxhY2Nlc3Npb24tbnVtPjEyNDM5NjUyPC9hY2Nlc3Npb24tbnVtPjx1cmxzPjxyZWxhdGVkLXVy
bHM+PHVybD5odHRwczovL3d3dy5uY2JpLm5sbS5uaWguZ292L3B1Ym1lZC8xMjQzOTY1MjwvdXJs
PjwvcmVsYXRlZC11cmxzPjwvdXJscz48ZWxlY3Ryb25pYy1yZXNvdXJjZS1udW0+MTAuMTAzOC9z
ai5pam8uMDgwMjEzMDwvZWxlY3Ryb25pYy1yZXNvdXJjZS1udW0+PC9yZWNvcmQ+PC9DaXRlPjxD
aXRlPjxBdXRob3I+VmVzY288L0F1dGhvcj48WWVhcj4yMDEyPC9ZZWFyPjxSZWNOdW0+MTEzMDwv
UmVjTnVtPjxyZWNvcmQ+PHJlYy1udW1iZXI+MTEzMDwvcmVjLW51bWJlcj48Zm9yZWlnbi1rZXlz
PjxrZXkgYXBwPSJFTiIgZGItaWQ9ImV4dmFzcmZ4MmR0cmFvZXNhc3hwMnN6c3hhMmRmNTAyNTky
eCIgdGltZXN0YW1wPSIxNTUzNDA4OTg2Ij4xMTMwPC9rZXk+PC9mb3JlaWduLWtleXM+PHJlZi10
eXBlIG5hbWU9IkpvdXJuYWwgQXJ0aWNsZSI+MTc8L3JlZi10eXBlPjxjb250cmlidXRvcnM+PGF1
dGhvcnM+PGF1dGhvcj5WZXNjbywgSy4gSy48L2F1dGhvcj48YXV0aG9yPkthcmFuamEsIE4uPC9h
dXRob3I+PGF1dGhvcj5LaW5nLCBKLiBDLjwvYXV0aG9yPjxhdXRob3I+R2lsbG1hbiwgTS4gVy48
L2F1dGhvcj48YXV0aG9yPlBlcnJpbiwgTi48L2F1dGhvcj48YXV0aG9yPk1jRXZveSwgQy48L2F1
dGhvcj48YXV0aG9yPkVja2hhcmR0LCBDLjwvYXV0aG9yPjxhdXRob3I+U21pdGgsIEsuIFMuPC9h
dXRob3I+PGF1dGhvcj5TdGV2ZW5zLCBWLiBKLjwvYXV0aG9yPjwvYXV0aG9ycz48L2NvbnRyaWJ1
dG9ycz48YXV0aC1hZGRyZXNzPkNlbnRlciBmb3IgSGVhbHRoIFJlc2VhcmNoLCBLYWlzZXIgUGVy
bWFuZW50ZSwgTm9ydGh3ZXN0LCBQb3J0bGFuZCwgT1IgOTcyMjcsIFVTQS4ga2ltYmVybHkuay52
ZXNjb0BrcGNoci5vcmc8L2F1dGgtYWRkcmVzcz48dGl0bGVzPjx0aXRsZT5IZWFsdGh5IE1vbXMs
IGEgcmFuZG9taXplZCB0cmlhbCB0byBwcm9tb3RlIGFuZCBldmFsdWF0ZSB3ZWlnaHQgbWFpbnRl
bmFuY2UgYW1vbmcgb2Jlc2UgcHJlZ25hbnQgd29tZW46IHN0dWR5IGRlc2lnbiBhbmQgcmF0aW9u
YWxlPC90aXRsZT48c2Vjb25kYXJ5LXRpdGxlPkNvbnRlbXAgQ2xpbiBUcmlhbHM8L3NlY29uZGFy
eS10aXRsZT48L3RpdGxlcz48cGVyaW9kaWNhbD48ZnVsbC10aXRsZT5Db250ZW1wIENsaW4gVHJp
YWxzPC9mdWxsLXRpdGxlPjwvcGVyaW9kaWNhbD48cGFnZXM+Nzc3LTg1PC9wYWdlcz48dm9sdW1l
PjMzPC92b2x1bWU+PG51bWJlcj40PC9udW1iZXI+PGVkaXRpb24+MjAxMi8wNC8wMzwvZWRpdGlv
bj48a2V5d29yZHM+PGtleXdvcmQ+QWRvbGVzY2VudDwva2V5d29yZD48a2V5d29yZD5BZHVsdDwv
a2V5d29yZD48a2V5d29yZD5CaXJ0aCBXZWlnaHQ8L2tleXdvcmQ+PGtleXdvcmQ+Q2xpbmljYWwg
UHJvdG9jb2xzPC9rZXl3b3JkPjxrZXl3b3JkPkNvbWJpbmVkIE1vZGFsaXR5IFRoZXJhcHk8L2tl
eXdvcmQ+PGtleXdvcmQ+RGlldCBUaGVyYXB5LyptZXRob2RzPC9rZXl3b3JkPjxrZXl3b3JkPkV4
ZXJjaXNlIFRoZXJhcHkvKm1ldGhvZHM8L2tleXdvcmQ+PGtleXdvcmQ+RmVhc2liaWxpdHkgU3R1
ZGllczwva2V5d29yZD48a2V5d29yZD5GZW1hbGU8L2tleXdvcmQ+PGtleXdvcmQ+SHVtYW5zPC9r
ZXl3b3JkPjxrZXl3b3JkPkluZmFudCwgTmV3Ym9ybjwva2V5d29yZD48a2V5d29yZD5JbnRlbnRp
b24gdG8gVHJlYXQgQW5hbHlzaXM8L2tleXdvcmQ+PGtleXdvcmQ+TG9naXN0aWMgTW9kZWxzPC9r
ZXl3b3JkPjxrZXl3b3JkPk9iZXNpdHkvKnRoZXJhcHk8L2tleXdvcmQ+PGtleXdvcmQ+UHJlZ25h
bmN5PC9rZXl3b3JkPjxrZXl3b3JkPlByZWduYW5jeSBDb21wbGljYXRpb25zLyp0aGVyYXB5PC9r
ZXl3b3JkPjxrZXl3b3JkPlBzeWNob3RoZXJhcHksIEdyb3VwLyptZXRob2RzPC9rZXl3b3JkPjxr
ZXl3b3JkPlJlc2VhcmNoIERlc2lnbjwva2V5d29yZD48a2V5d29yZD5UcmVhdG1lbnQgT3V0Y29t
ZTwva2V5d29yZD48a2V5d29yZD5XZWlnaHQgR2Fpbjwva2V5d29yZD48a2V5d29yZD5Zb3VuZyBB
ZHVsdDwva2V5d29yZD48L2tleXdvcmRzPjxkYXRlcz48eWVhcj4yMDEyPC95ZWFyPjxwdWItZGF0
ZXM+PGRhdGU+SnVsPC9kYXRlPjwvcHViLWRhdGVzPjwvZGF0ZXM+PGlzYm4+MTU1OS0yMDMwIChF
bGVjdHJvbmljKSYjeEQ7MTU1MS03MTQ0IChMaW5raW5nKTwvaXNibj48YWNjZXNzaW9uLW51bT4y
MjQ2NTI1NjwvYWNjZXNzaW9uLW51bT48dXJscz48cmVsYXRlZC11cmxzPjx1cmw+aHR0cHM6Ly93
d3cubmNiaS5ubG0ubmloLmdvdi9wdWJtZWQvMjI0NjUyNTY8L3VybD48L3JlbGF0ZWQtdXJscz48
L3VybHM+PGN1c3RvbTI+UE1DMzM2MTUxOTwvY3VzdG9tMj48ZWxlY3Ryb25pYy1yZXNvdXJjZS1u
dW0+MTAuMTAxNi9qLmNjdC4yMDEyLjAzLjAwNjwvZWxlY3Ryb25pYy1yZXNvdXJjZS1udW0+PC9y
ZWNvcmQ+PC9DaXRlPjxDaXRlPjxBdXRob3I+VmFuIEhvcm48L0F1dGhvcj48WWVhcj4yMDE4PC9Z
ZWFyPjxSZWNOdW0+MTM3NjwvUmVjTnVtPjxyZWNvcmQ+PHJlYy1udW1iZXI+MTM3NjwvcmVjLW51
bWJlcj48Zm9yZWlnbi1rZXlzPjxrZXkgYXBwPSJFTiIgZGItaWQ9ImV4dmFzcmZ4MmR0cmFvZXNh
c3hwMnN6c3hhMmRmNTAyNTkyeCIgdGltZXN0YW1wPSIxNTY3MDM1OTg3Ij4xMzc2PC9rZXk+PGtl
eSBhcHA9IkVOV2ViIiBkYi1pZD0iIj4wPC9rZXk+PC9mb3JlaWduLWtleXM+PHJlZi10eXBlIG5h
bWU9IkpvdXJuYWwgQXJ0aWNsZSI+MTc8L3JlZi10eXBlPjxjb250cmlidXRvcnM+PGF1dGhvcnM+
PGF1dGhvcj5WYW4gSG9ybiwgTC48L2F1dGhvcj48YXV0aG9yPlBlYWNlbWFuLCBBLjwvYXV0aG9y
PjxhdXRob3I+S3dhc255LCBNLjwvYXV0aG9yPjxhdXRob3I+VmluY2VudCwgRS48L2F1dGhvcj48
YXV0aG9yPkZvdWdodCwgQS48L2F1dGhvcj48YXV0aG9yPkpvc2Vmc29uLCBKLjwvYXV0aG9yPjxh
dXRob3I+U3ByaW5nLCBCLjwvYXV0aG9yPjxhdXRob3I+TmVmZiwgTC4gTS48L2F1dGhvcj48YXV0
aG9yPkdlcm5ob2ZlciwgTi48L2F1dGhvcj48L2F1dGhvcnM+PC9jb250cmlidXRvcnM+PGF1dGgt
YWRkcmVzcz5EZXBhcnRtZW50IG9mIFByZXZlbnRpdmUgTWVkaWNpbmUsIE5vcnRod2VzdGVybiBV
bml2ZXJzaXR5IEZlaW5iZXJnIFNjaG9vbCBvZiBNZWRpY2luZSwgQ2hpY2FnbywgSWxsaW5vaXMu
IEVsZWN0cm9uaWMgYWRkcmVzczogbHZhbmhvcm5Abm9ydGh3ZXN0ZXJuLmVkdS4mI3hEO0RlcGFy
dG1lbnQgb2YgT2JzdGV0cmljcyBhbmQgR3luZWNvbG9neSwgTm9ydGh3ZXN0ZXJuIFVuaXZlcnNp
dHkgRmVpbmJlcmcgU2Nob29sIG9mIE1lZGljaW5lLCBDaGljYWdvLCBJbGxpbm9pcy4mI3hEO0Rl
cGFydG1lbnQgb2YgUHJldmVudGl2ZSBNZWRpY2luZSwgTm9ydGh3ZXN0ZXJuIFVuaXZlcnNpdHkg
RmVpbmJlcmcgU2Nob29sIG9mIE1lZGljaW5lLCBDaGljYWdvLCBJbGxpbm9pcy4mI3hEO0RlcGFy
dG1lbnQgb2YgUHJldmVudGl2ZSBNZWRpY2luZSwgTm9ydGh3ZXN0ZXJuIFVuaXZlcnNpdHkgRmVp
bmJlcmcgU2Nob29sIG9mIE1lZGljaW5lLCBDaGljYWdvLCBJbGxpbm9pczsgQW5uIGFuZCBSb2Jl
cnQgSC4gTHVyaWUgQ2hpbGRyZW4mYXBvcztzIEhvc3BpdGFsIG9mIENoaWNhZ28sIENoaWNhZ28s
IElsbGlub2lzLiYjeEQ7RGVwYXJ0bWVudCBvZiBNZWRpY2luZSwgTm9ydGh3ZXN0ZXJuIFVuaXZl
cnNpdHkgRmVpbmJlcmcgU2Nob29sIG9mIE1lZGljaW5lLCBDaGljYWdvLCBJbGxpbm9pcy48L2F1
dGgtYWRkcmVzcz48dGl0bGVzPjx0aXRsZT5EaWV0YXJ5IEFwcHJvYWNoZXMgdG8gU3RvcCBIeXBl
cnRlbnNpb24gRGlldCBhbmQgQWN0aXZpdHkgdG8gTGltaXQgR2VzdGF0aW9uYWwgV2VpZ2h0OiBN
YXRlcm5hbCBPZmZzcHJpbmcgTWV0YWJvbGljcyBGYW1pbHkgSW50ZXJ2ZW50aW9uIFRyaWFsLCBh
IFRlY2hub2xvZ3kgRW5oYW5jZWQgUmFuZG9taXplZCBUcmlhbDwvdGl0bGU+PHNlY29uZGFyeS10
aXRsZT5BbSBKIFByZXYgTWVkPC9zZWNvbmRhcnktdGl0bGU+PC90aXRsZXM+PHBlcmlvZGljYWw+
PGZ1bGwtdGl0bGU+QW0gSiBQcmV2IE1lZDwvZnVsbC10aXRsZT48L3BlcmlvZGljYWw+PHBhZ2Vz
PjYwMy02MTQ8L3BhZ2VzPjx2b2x1bWU+NTU8L3ZvbHVtZT48bnVtYmVyPjU8L251bWJlcj48ZWRp
dGlvbj4yMDE4LzA5LzI5PC9lZGl0aW9uPjxkYXRlcz48eWVhcj4yMDE4PC95ZWFyPjxwdWItZGF0
ZXM+PGRhdGU+Tm92PC9kYXRlPjwvcHViLWRhdGVzPjwvZGF0ZXM+PGlzYm4+MTg3My0yNjA3IChF
bGVjdHJvbmljKSYjeEQ7MDc0OS0zNzk3IChMaW5raW5nKTwvaXNibj48YWNjZXNzaW9uLW51bT4z
MDI2MjE0ODwvYWNjZXNzaW9uLW51bT48dXJscz48cmVsYXRlZC11cmxzPjx1cmw+aHR0cHM6Ly93
d3cubmNiaS5ubG0ubmloLmdvdi9wdWJtZWQvMzAyNjIxNDg8L3VybD48L3JlbGF0ZWQtdXJscz48
L3VybHM+PGVsZWN0cm9uaWMtcmVzb3VyY2UtbnVtPjEwLjEwMTYvai5hbWVwcmUuMjAxOC4wNi4w
MTU8L2VsZWN0cm9uaWMtcmVzb3VyY2UtbnVtPjwvcmVjb3JkPjwvQ2l0ZT48Q2l0ZT48QXV0aG9y
PkFsdGF6YW48L0F1dGhvcj48WWVhcj4yMDE5PC9ZZWFyPjxSZWNOdW0+MTM3OTwvUmVjTnVtPjxy
ZWNvcmQ+PHJlYy1udW1iZXI+MTM3OTwvcmVjLW51bWJlcj48Zm9yZWlnbi1rZXlzPjxrZXkgYXBw
PSJFTiIgZGItaWQ9ImV4dmFzcmZ4MmR0cmFvZXNhc3hwMnN6c3hhMmRmNTAyNTkyeCIgdGltZXN0
YW1wPSIxNTY3MDYxNTE0Ij4xMzc5PC9rZXk+PGtleSBhcHA9IkVOV2ViIiBkYi1pZD0iIj4wPC9r
ZXk+PC9mb3JlaWduLWtleXM+PHJlZi10eXBlIG5hbWU9IkpvdXJuYWwgQXJ0aWNsZSI+MTc8L3Jl
Zi10eXBlPjxjb250cmlidXRvcnM+PGF1dGhvcnM+PGF1dGhvcj5BbHRhemFuLCBBLiBELjwvYXV0
aG9yPjxhdXRob3I+UmVkbWFuLCBMLiBNLjwvYXV0aG9yPjxhdXRob3I+QnVydG9uLCBKLiBILjwv
YXV0aG9yPjxhdXRob3I+QmV5bCwgUi4gQS48L2F1dGhvcj48YXV0aG9yPkNhaW4sIEwuIEUuPC9h
dXRob3I+PGF1dGhvcj5TdXR0b24sIEUuIEYuPC9hdXRob3I+PGF1dGhvcj5NYXJ0aW4sIEMuIEsu
PC9hdXRob3I+PC9hdXRob3JzPjwvY29udHJpYnV0b3JzPjxhdXRoLWFkZHJlc3M+UGVubmluZ3Rv
biBCaW9tZWRpY2FsIFJlc2VhcmNoIENlbnRlciwgTG91aXNpYW5hIFN0YXRlIFVuaXZlcnNpdHks
IDY0MDAgUGVya2lucyBSb2FkLCBCYXRvbiBSb3VnZSwgTEEsIDcwODA4LCBVU0EuJiN4RDtQZW5u
aW5ndG9uIEJpb21lZGljYWwgUmVzZWFyY2ggQ2VudGVyLCBMb3Vpc2lhbmEgU3RhdGUgVW5pdmVy
c2l0eSwgNjQwMCBQZXJraW5zIFJvYWQsIEJhdG9uIFJvdWdlLCBMQSwgNzA4MDgsIFVTQS4gY29y
YnkubWFydGluQHBicmMuZWR1LjwvYXV0aC1hZGRyZXNzPjx0aXRsZXM+PHRpdGxlPk1vb2QgYW5k
IHF1YWxpdHkgb2YgbGlmZSBjaGFuZ2VzIGluIHByZWduYW5jeSBhbmQgcG9zdHBhcnR1bSBhbmQg
dGhlIGVmZmVjdCBvZiBhIGJlaGF2aW9yYWwgaW50ZXJ2ZW50aW9uIHRhcmdldGluZyBleGNlc3Mg
Z2VzdGF0aW9uYWwgd2VpZ2h0IGdhaW4gaW4gd29tZW4gd2l0aCBvdmVyd2VpZ2h0IGFuZCBvYmVz
aXR5OiBhIHBhcmFsbGVsLWFybSByYW5kb21pemVkIGNvbnRyb2xsZWQgcGlsb3QgdHJpYWw8L3Rp
dGxlPjxzZWNvbmRhcnktdGl0bGU+Qk1DIFByZWduYW5jeSBDaGlsZGJpcnRoPC9zZWNvbmRhcnkt
dGl0bGU+PC90aXRsZXM+PHBlcmlvZGljYWw+PGZ1bGwtdGl0bGU+Qk1DIFByZWduYW5jeSBDaGls
ZGJpcnRoPC9mdWxsLXRpdGxlPjwvcGVyaW9kaWNhbD48cGFnZXM+NTA8L3BhZ2VzPjx2b2x1bWU+
MTk8L3ZvbHVtZT48bnVtYmVyPjE8L251bWJlcj48ZWRpdGlvbj4yMDE5LzAxLzMxPC9lZGl0aW9u
PjxrZXl3b3Jkcz48a2V5d29yZD5BZHVsdDwva2V5d29yZD48a2V5d29yZD5CZWhhdmlvciBUaGVy
YXB5LyptZXRob2RzPC9rZXl3b3JkPjxrZXl3b3JkPkZlbWFsZTwva2V5d29yZD48a2V5d29yZD4q
R2VzdGF0aW9uYWwgV2VpZ2h0IEdhaW48L2tleXdvcmQ+PGtleXdvcmQ+SHVtYW5zPC9rZXl3b3Jk
PjxrZXl3b3JkPkxpZmUgU3R5bGU8L2tleXdvcmQ+PGtleXdvcmQ+T3ZlcndlaWdodC8qcHJldmVu
dGlvbiAmYW1wOyBjb250cm9sPC9rZXl3b3JkPjxrZXl3b3JkPlBpbG90IFByb2plY3RzPC9rZXl3
b3JkPjxrZXl3b3JkPlByZWduYW5jeTwva2V5d29yZD48a2V5d29yZD5QcmVuYXRhbCBDYXJlLypt
ZXRob2RzPC9rZXl3b3JkPjxrZXl3b3JkPlF1YWxpdHkgb2YgTGlmZS8qcHN5Y2hvbG9neTwva2V5
d29yZD48a2V5d29yZD5UcmVhdG1lbnQgT3V0Y29tZTwva2V5d29yZD48a2V5d29yZD5XZWlnaHQg
R2Fpbjwva2V5d29yZD48a2V5d29yZD5HZXN0YXRpb25hbCB3ZWlnaHQgZ2Fpbjwva2V5d29yZD48
a2V5d29yZD5NZW50YWwgaGVhbHRoPC9rZXl3b3JkPjxrZXl3b3JkPlF1YWxpdHkgb2YgbGlmZTwv
a2V5d29yZD48L2tleXdvcmRzPjxkYXRlcz48eWVhcj4yMDE5PC95ZWFyPjxwdWItZGF0ZXM+PGRh
dGU+SmFuIDI5PC9kYXRlPjwvcHViLWRhdGVzPjwvZGF0ZXM+PGlzYm4+MTQ3MS0yMzkzIChFbGVj
dHJvbmljKSYjeEQ7MTQ3MS0yMzkzIChMaW5raW5nKTwvaXNibj48YWNjZXNzaW9uLW51bT4zMDY5
NjQwODwvYWNjZXNzaW9uLW51bT48dXJscz48cmVsYXRlZC11cmxzPjx1cmw+aHR0cHM6Ly93d3cu
bmNiaS5ubG0ubmloLmdvdi9wdWJtZWQvMzA2OTY0MDg8L3VybD48L3JlbGF0ZWQtdXJscz48L3Vy
bHM+PGN1c3RvbTI+UE1DNjM1MjM1MjwvY3VzdG9tMj48ZWxlY3Ryb25pYy1yZXNvdXJjZS1udW0+
MTAuMTE4Ni9zMTI4ODQtMDE5LTIxOTYtODwvZWxlY3Ryb25pYy1yZXNvdXJjZS1udW0+PC9yZWNv
cmQ+PC9DaXRlPjxDaXRlPjxBdXRob3I+UGhlbGFuPC9BdXRob3I+PFllYXI+MjAxODwvWWVhcj48
UmVjTnVtPjEzODY8L1JlY051bT48cmVjb3JkPjxyZWMtbnVtYmVyPjEzODY8L3JlYy1udW1iZXI+
PGZvcmVpZ24ta2V5cz48a2V5IGFwcD0iRU4iIGRiLWlkPSJleHZhc3JmeDJkdHJhb2VzYXN4cDJz
enN4YTJkZjUwMjU5MngiIHRpbWVzdGFtcD0iMTU2NzM4MjQ4NSI+MTM4Njwva2V5PjwvZm9yZWln
bi1rZXlzPjxyZWYtdHlwZSBuYW1lPSJKb3VybmFsIEFydGljbGUiPjE3PC9yZWYtdHlwZT48Y29u
dHJpYnV0b3JzPjxhdXRob3JzPjxhdXRob3I+UGhlbGFuLCBTLjwvYXV0aG9yPjxhdXRob3I+V2lu
ZywgUi4gUi48L2F1dGhvcj48YXV0aG9yPkJyYW5uZW4sIEEuPC9hdXRob3I+PGF1dGhvcj5NY0h1
Z2gsIEEuPC9hdXRob3I+PGF1dGhvcj5IYWdvYmlhbiwgVC4gQS48L2F1dGhvcj48YXV0aG9yPlNj
aGFmZm5lciwgQS48L2F1dGhvcj48YXV0aG9yPkplbGFsaWFuLCBFLjwvYXV0aG9yPjxhdXRob3I+
SGFydCwgQy4gTi48L2F1dGhvcj48YXV0aG9yPlNjaG9sbCwgVC4gTy48L2F1dGhvcj48YXV0aG9y
Pk11bm96LUNocmlzdGlhbiwgSy48L2F1dGhvcj48YXV0aG9yPllpbiwgRS48L2F1dGhvcj48YXV0
aG9yPlBoaXBwcywgTS4gRy48L2F1dGhvcj48YXV0aG9yPktlYWRsZSwgUy48L2F1dGhvcj48YXV0
aG9yPkFicmFtcywgQi48L2F1dGhvcj48L2F1dGhvcnM+PC9jb250cmlidXRvcnM+PGF1dGgtYWRk
cmVzcz5EZXBhcnRtZW50cyBvZiBLaW5lc2lvbG9neSwgU3RhdGlzdGljcywgYW5kIE1vZGVybiBM
YW5ndWFnZXMsIENhbGlmb3JuaWEgUG9seXRlY2huaWMgU3RhdGUgVW5pdmVyc2l0eSwgU2FuIEx1
aXMgT2Jpc3BvLCBDQS4mI3hEO0RlcGFydG1lbnQgb2YgUHN5Y2hpYXRyeSBhbmQgSHVtYW4gQmVo
YXZpb3IsIFdhcnJlbiBBbHBlcnQgTWVkaWNhbCBTY2hvb2wgYXQgQnJvd24gVW5pdmVyc2l0eSwg
UHJvdmlkZW5jZSwgUkkuJiN4RDtEZXBhcnRtZW50cyBvZiBTdGF0aXN0aWNzLCBhbmQgTW9kZXJu
IExhbmd1YWdlcywgQ2FsaWZvcm5pYSBQb2x5dGVjaG5pYyBTdGF0ZSBVbml2ZXJzaXR5LCBTYW4g
THVpcyBPYmlzcG8sIENBLiYjeEQ7RGVwYXJ0bWVudCBvZiBTb2NpYWwgYW5kIEJlaGF2aW9yYWwg
U2NpZW5jZXMsIFRlbXBsZSBVbml2ZXJzaXR5IENlbnRlciBmb3IgT2Jlc2l0eSBSZXNlYXJjaCBh
bmQgRWR1Y2F0aW9uLCBQaGlsYWRlbHBoaWEsIFBBLiYjeEQ7RGVwYXJ0bWVudCBvZiBPYnN0ZXRy
aWNzIGFuZCBHeW5lY29sb2d5LCBVbml2ZXJzaXR5IG9mIE1lZGljaW5lIGFuZCBEZW50aXN0cnkg
b2YgTmV3IEplcnNleSAobm93IFJvd2FuKSwgR2xhc3Nib3JvLCBOSi4mI3hEO0RlcGFydG1lbnRz
IG9mIE1vZGVybiBMYW5ndWFnZXMsIENhbGlmb3JuaWEgUG9seXRlY2huaWMgU3RhdGUgVW5pdmVy
c2l0eSwgU2FuIEx1aXMgT2Jpc3BvLCBDQS4mI3hEO1BhY2lmaWMgQ2VudHJhbCBDb2FzdCBIZWFs
dGggQ2VudGVycywgU2FudGEgTWFyaWEgV29tZW4mYXBvcztzIEhlYWx0aCwgU2FudGEgTWFyaWEs
IENBLiYjeEQ7RGVwYXJ0bWVudCBvZiBPYnN0ZXRyaWNzIGFuZCBHeW5lY29sb2d5LCBXYXJyZW4g
QWxwZXJ0IE1lZGljYWwgU2Nob29sIG9mIEJyb3duIFVuaXZlcnNpdHkgYW5kIFdvbWVuIGFuZCBJ
bmZhbnRzIEhvc3BpdGFsLCBQcm92aWRlbmNlLCBSSS4mI3hEO0RpdmlzaW9uIG9mIEVwaWRlbWlv
bG9neSwgVW5pdmVyc2l0eSBvZiBDYWxpZm9ybmlhIGF0IEJlcmtlbGV5IFNjaG9vbCBvZiBQdWJs
aWMgSGVhbHRoLCBCZXJrZWxleSwgQ0EuPC9hdXRoLWFkZHJlc3M+PHRpdGxlcz48dGl0bGU+UmFu
ZG9taXplZCBjb250cm9sbGVkIGNsaW5pY2FsIHRyaWFsIG9mIGJlaGF2aW9yYWwgbGlmZXN0eWxl
IGludGVydmVudGlvbiB3aXRoIHBhcnRpYWwgbWVhbCByZXBsYWNlbWVudCB0byByZWR1Y2UgZXhj
ZXNzaXZlIGdlc3RhdGlvbmFsIHdlaWdodCBnYWluPC90aXRsZT48c2Vjb25kYXJ5LXRpdGxlPkFt
IEogQ2xpbiBOdXRyPC9zZWNvbmRhcnktdGl0bGU+PC90aXRsZXM+PHBlcmlvZGljYWw+PGZ1bGwt
dGl0bGU+QW0gSiBDbGluIE51dHI8L2Z1bGwtdGl0bGU+PC9wZXJpb2RpY2FsPjxwYWdlcz4xODMt
MTk0PC9wYWdlcz48dm9sdW1lPjEwNzwvdm9sdW1lPjxudW1iZXI+MjwvbnVtYmVyPjxlZGl0aW9u
PjIwMTgvMDMvMTM8L2VkaXRpb24+PGtleXdvcmRzPjxrZXl3b3JkPkFkdWx0PC9rZXl3b3JkPjxr
ZXl3b3JkPkJvZHkgTWFzcyBJbmRleDwva2V5d29yZD48a2V5d29yZD5DYWxpZm9ybmlhPC9rZXl3
b3JkPjxrZXl3b3JkPkRpZXQ8L2tleXdvcmQ+PGtleXdvcmQ+RXRobmljIEdyb3Vwczwva2V5d29y
ZD48a2V5d29yZD5FeGVyY2lzZTwva2V5d29yZD48a2V5d29yZD5GZW1hbGU8L2tleXdvcmQ+PGtl
eXdvcmQ+Kkdlc3RhdGlvbmFsIFdlaWdodCBHYWluPC9rZXl3b3JkPjxrZXl3b3JkPipIZWFsdGgg
QmVoYXZpb3I8L2tleXdvcmQ+PGtleXdvcmQ+SHVtYW5zPC9rZXl3b3JkPjxrZXl3b3JkPkluY2lk
ZW5jZTwva2V5d29yZD48a2V5d29yZD4qTGlmZSBTdHlsZTwva2V5d29yZD48a2V5d29yZD5NZWFs
czwva2V5d29yZD48a2V5d29yZD5OdXRyaXRpb24gQXNzZXNzbWVudDwva2V5d29yZD48a2V5d29y
ZD5PYmVzaXR5LypwcmV2ZW50aW9uICZhbXA7IGNvbnRyb2w8L2tleXdvcmQ+PGtleXdvcmQ+T3Zl
cndlaWdodC8qcHJldmVudGlvbiAmYW1wOyBjb250cm9sPC9rZXl3b3JkPjxrZXl3b3JkPlByZWdu
YW5jeTwva2V5d29yZD48a2V5d29yZD5QcmVnbmFuY3kgQ29tcGxpY2F0aW9ucy8qcHJldmVudGlv
biAmYW1wOyBjb250cm9sPC9rZXl3b3JkPjxrZXl3b3JkPlByZWduYW5jeSBPdXRjb21lPC9rZXl3
b3JkPjxrZXl3b3JkPlJpc2sgRmFjdG9yczwva2V5d29yZD48a2V5d29yZD5Zb3VuZyBBZHVsdDwv
a2V5d29yZD48L2tleXdvcmRzPjxkYXRlcz48eWVhcj4yMDE4PC95ZWFyPjxwdWItZGF0ZXM+PGRh
dGU+RmViIDE8L2RhdGU+PC9wdWItZGF0ZXM+PC9kYXRlcz48aXNibj4xOTM4LTMyMDcgKEVsZWN0
cm9uaWMpJiN4RDswMDAyLTkxNjUgKExpbmtpbmcpPC9pc2JuPjxhY2Nlc3Npb24tbnVtPjI5NTI5
MTU3PC9hY2Nlc3Npb24tbnVtPjx1cmxzPjxyZWxhdGVkLXVybHM+PHVybD5odHRwczovL3d3dy5u
Y2JpLm5sbS5uaWguZ292L3B1Ym1lZC8yOTUyOTE1NzwvdXJsPjwvcmVsYXRlZC11cmxzPjwvdXJs
cz48Y3VzdG9tMj5QTUM2NDU1MDMwPC9jdXN0b20yPjxlbGVjdHJvbmljLXJlc291cmNlLW51bT4x
MC4xMDkzL2FqY24vbnF4MDQzPC9lbGVjdHJvbmljLXJlc291cmNlLW51bT48L3JlY29yZD48L0Np
dGU+PENpdGU+PEF1dGhvcj5CdWNraW5naGFtLVNjaHV0dDwvQXV0aG9yPjxZZWFyPjIwMTk8L1ll
YXI+PFJlY051bT4xOTI2PC9SZWNOdW0+PHJlY29yZD48cmVjLW51bWJlcj4xOTI2PC9yZWMtbnVt
YmVyPjxmb3JlaWduLWtleXM+PGtleSBhcHA9IkVOIiBkYi1pZD0iZXh2YXNyZngyZHRyYW9lc2Fz
eHAyc3pzeGEyZGY1MDI1OTJ4IiB0aW1lc3RhbXA9IjE1ODg1NzA2MjUiPjE5MjY8L2tleT48L2Zv
cmVpZ24ta2V5cz48cmVmLXR5cGUgbmFtZT0iSm91cm5hbCBBcnRpY2xlIj4xNzwvcmVmLXR5cGU+
PGNvbnRyaWJ1dG9ycz48YXV0aG9ycz48YXV0aG9yPkJ1Y2tpbmdoYW0tU2NodXR0LCBMLiBNLjwv
YXV0aG9yPjxhdXRob3I+RWxsaW5nc29uLCBMLiBELjwvYXV0aG9yPjxhdXRob3I+VmF6b3UsIFMu
PC9hdXRob3I+PGF1dGhvcj5DYW1wYmVsbCwgQy4gRy48L2F1dGhvcj48L2F1dGhvcnM+PC9jb250
cmlidXRvcnM+PGF1dGgtYWRkcmVzcz5UaGUgSGFya2luIEluc3RpdHV0ZSwgRHJha2UgVW5pdmVy
c2l0eSwgRGVzIE1vaW5lcywgSUEuJiN4RDtLaW5lc2lvbG9neSBEZXBhcnRtZW50LCBJb3dhIFN0
YXRlIFVuaXZlcnNpdHksIEFtZXMsIElBLiYjeEQ7Rm9vZCBTY2llbmNlIGFuZCBIdW1hbiBOdXRy
aXRpb24gRGVwYXJ0bWVudC48L2F1dGgtYWRkcmVzcz48dGl0bGVzPjx0aXRsZT5UaGUgQmVoYXZp
b3JhbCBXZWxsbmVzcyBpbiBQcmVnbmFuY3kgc3R1ZHk6IGEgcmFuZG9taXplZCBjb250cm9sbGVk
IHRyaWFsIG9mIGEgbXVsdGktY29tcG9uZW50IGludGVydmVudGlvbiB0byBwcm9tb3RlIGFwcHJv
cHJpYXRlIHdlaWdodCBnYWluPC90aXRsZT48c2Vjb25kYXJ5LXRpdGxlPkFtIEogQ2xpbiBOdXRy
PC9zZWNvbmRhcnktdGl0bGU+PC90aXRsZXM+PHBlcmlvZGljYWw+PGZ1bGwtdGl0bGU+QW0gSiBD
bGluIE51dHI8L2Z1bGwtdGl0bGU+PC9wZXJpb2RpY2FsPjxwYWdlcz4xMDcxLTEwNzk8L3BhZ2Vz
Pjx2b2x1bWU+MTA5PC92b2x1bWU+PG51bWJlcj40PC9udW1iZXI+PGVkaXRpb24+MjAxOS8wNC8w
NjwvZWRpdGlvbj48a2V5d29yZHM+PGtleXdvcmQ+QWR1bHQ8L2tleXdvcmQ+PGtleXdvcmQ+RGll
dC8qcHN5Y2hvbG9neTwva2V5d29yZD48a2V5d29yZD5FeGVyY2lzZTwva2V5d29yZD48a2V5d29y
ZD5GZWVkaW5nIEJlaGF2aW9yPC9rZXl3b3JkPjxrZXl3b3JkPkZlbWFsZTwva2V5d29yZD48a2V5
d29yZD4qR2VzdGF0aW9uYWwgV2VpZ2h0IEdhaW48L2tleXdvcmQ+PGtleXdvcmQ+SHVtYW5zPC9r
ZXl3b3JkPjxrZXl3b3JkPkxpZmUgU3R5bGU8L2tleXdvcmQ+PGtleXdvcmQ+TWF0ZXJuYWwgQmVo
YXZpb3I8L2tleXdvcmQ+PGtleXdvcmQ+UG9zdHBhcnR1bSBQZXJpb2QvbWV0YWJvbGlzbS9wc3lj
aG9sb2d5PC9rZXl3b3JkPjxrZXl3b3JkPlByZWduYW5jeS9tZXRhYm9saXNtLypwc3ljaG9sb2d5
PC9rZXl3b3JkPjxrZXl3b3JkPlByZW5hdGFsIENhcmUvKnBzeWNob2xvZ3k8L2tleXdvcmQ+PGtl
eXdvcmQ+UHJlbmF0YWwgTnV0cml0aW9uYWwgUGh5c2lvbG9naWNhbCBQaGVub21lbmE8L2tleXdv
cmQ+PGtleXdvcmQ+WW91bmcgQWR1bHQ8L2tleXdvcmQ+PGtleXdvcmQ+Km11bHRpLWNvbXBvbmVu
dCBpbnRlcnZlbnRpb248L2tleXdvcmQ+PGtleXdvcmQ+Km51dHJpdGlvbjwva2V5d29yZD48a2V5
d29yZD4qcGh5c2ljYWwgYWN0aXZpdHk8L2tleXdvcmQ+PGtleXdvcmQ+KnByZWduYW5jeTwva2V5
d29yZD48L2tleXdvcmRzPjxkYXRlcz48eWVhcj4yMDE5PC95ZWFyPjxwdWItZGF0ZXM+PGRhdGU+
QXByIDE8L2RhdGU+PC9wdWItZGF0ZXM+PC9kYXRlcz48aXNibj4xOTM4LTMyMDcgKEVsZWN0cm9u
aWMpJiN4RDswMDAyLTkxNjUgKExpbmtpbmcpPC9pc2JuPjxhY2Nlc3Npb24tbnVtPjMwOTQ5Njkx
PC9hY2Nlc3Npb24tbnVtPjx1cmxzPjxyZWxhdGVkLXVybHM+PHVybD5odHRwczovL3d3dy5uY2Jp
Lm5sbS5uaWguZ292L3B1Ym1lZC8zMDk0OTY5MTwvdXJsPjwvcmVsYXRlZC11cmxzPjwvdXJscz48
ZWxlY3Ryb25pYy1yZXNvdXJjZS1udW0+MTAuMTA5My9hamNuL25xeTM1OTwvZWxlY3Ryb25pYy1y
ZXNvdXJjZS1udW0+PC9yZWNvcmQ+PC9DaXRlPjwvRW5kTm90ZT5=
</w:fldData>
        </w:fldChar>
      </w:r>
      <w:r w:rsidR="002747EA">
        <w:instrText xml:space="preserve"> ADDIN EN.CITE.DATA </w:instrText>
      </w:r>
      <w:r w:rsidR="002747EA">
        <w:fldChar w:fldCharType="end"/>
      </w:r>
      <w:r>
        <w:fldChar w:fldCharType="separate"/>
      </w:r>
      <w:r w:rsidR="002747EA" w:rsidRPr="002747EA">
        <w:rPr>
          <w:noProof/>
          <w:vertAlign w:val="superscript"/>
        </w:rPr>
        <w:t>483,488,494,495,502,503,505,507,508,514</w:t>
      </w:r>
      <w:r>
        <w:fldChar w:fldCharType="end"/>
      </w:r>
      <w:r w:rsidRPr="00C12274">
        <w:t xml:space="preserve"> One multicentre study</w:t>
      </w:r>
      <w: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402</w:t>
      </w:r>
      <w:r>
        <w:fldChar w:fldCharType="end"/>
      </w:r>
      <w:r>
        <w:t xml:space="preserve"> </w:t>
      </w:r>
      <w:r w:rsidRPr="00C12274">
        <w:t>was conducted in the United Kingdom, Ireland, Netherlands, Austria, Poland, Italy, Spain, Denmark and Belgium.</w:t>
      </w:r>
    </w:p>
    <w:p w14:paraId="29818562" w14:textId="77777777" w:rsidR="00A5540F" w:rsidRPr="00C12274" w:rsidRDefault="00A5540F" w:rsidP="00A5540F">
      <w:pPr>
        <w:pStyle w:val="Heading4"/>
      </w:pPr>
      <w:bookmarkStart w:id="219" w:name="_Toc5978446"/>
      <w:r w:rsidRPr="00C12274">
        <w:t>Types of intervention</w:t>
      </w:r>
      <w:bookmarkEnd w:id="219"/>
    </w:p>
    <w:p w14:paraId="68E6D62B" w14:textId="263DD2D5" w:rsidR="00A5540F" w:rsidRDefault="00A5540F" w:rsidP="00A5540F">
      <w:pPr>
        <w:keepNext/>
        <w:rPr>
          <w:lang w:val="en-AU"/>
        </w:rPr>
      </w:pPr>
      <w:r w:rsidRPr="00ED085D">
        <w:rPr>
          <w:lang w:val="en-AU"/>
        </w:rPr>
        <w:t xml:space="preserve">Of the </w:t>
      </w:r>
      <w:r w:rsidR="00B11010">
        <w:rPr>
          <w:lang w:val="en-AU"/>
        </w:rPr>
        <w:t>42</w:t>
      </w:r>
      <w:r w:rsidR="00B11010" w:rsidRPr="00ED085D">
        <w:rPr>
          <w:lang w:val="en-AU"/>
        </w:rPr>
        <w:t xml:space="preserve"> </w:t>
      </w:r>
      <w:r w:rsidRPr="00ED085D">
        <w:rPr>
          <w:lang w:val="en-AU"/>
        </w:rPr>
        <w:t>studies included in this meta-analysis, the majority</w:t>
      </w:r>
      <w:r>
        <w:rPr>
          <w:lang w:val="en-AU"/>
        </w:rPr>
        <w:t xml:space="preserve"> (n=</w:t>
      </w:r>
      <w:r w:rsidR="007244D9">
        <w:rPr>
          <w:lang w:val="en-AU"/>
        </w:rPr>
        <w:t>3</w:t>
      </w:r>
      <w:r w:rsidR="00B11010">
        <w:rPr>
          <w:lang w:val="en-AU"/>
        </w:rPr>
        <w:t>8</w:t>
      </w:r>
      <w:r w:rsidRPr="00ED085D">
        <w:rPr>
          <w:lang w:val="en-AU"/>
        </w:rPr>
        <w:t xml:space="preserve">) </w:t>
      </w:r>
      <w:r>
        <w:rPr>
          <w:lang w:val="en-AU"/>
        </w:rPr>
        <w:t>were</w:t>
      </w:r>
      <w:r w:rsidRPr="00ED085D">
        <w:rPr>
          <w:lang w:val="en-AU"/>
        </w:rPr>
        <w:t xml:space="preserve"> counselling </w:t>
      </w:r>
      <w:r>
        <w:rPr>
          <w:lang w:val="en-AU"/>
        </w:rPr>
        <w:t>interventions with a focus on</w:t>
      </w:r>
      <w:r w:rsidRPr="00ED085D">
        <w:rPr>
          <w:lang w:val="en-AU"/>
        </w:rPr>
        <w:t xml:space="preserve"> gestational weight gain, diet and </w:t>
      </w:r>
      <w:r>
        <w:rPr>
          <w:lang w:val="en-AU"/>
        </w:rPr>
        <w:t>exercise. Six</w:t>
      </w:r>
      <w:r w:rsidRPr="00ED085D">
        <w:rPr>
          <w:lang w:val="en-AU"/>
        </w:rPr>
        <w:t xml:space="preserve"> studies</w:t>
      </w:r>
      <w:r>
        <w:rPr>
          <w:lang w:val="en-AU"/>
        </w:rPr>
        <w:t xml:space="preserve"> also</w:t>
      </w:r>
      <w:r w:rsidRPr="00ED085D">
        <w:rPr>
          <w:lang w:val="en-AU"/>
        </w:rPr>
        <w:t xml:space="preserve"> involved </w:t>
      </w:r>
      <w:r>
        <w:rPr>
          <w:lang w:val="en-AU"/>
        </w:rPr>
        <w:t xml:space="preserve">some form of </w:t>
      </w:r>
      <w:r w:rsidRPr="00ED085D">
        <w:rPr>
          <w:lang w:val="en-AU"/>
        </w:rPr>
        <w:t>supervised physical activity</w:t>
      </w:r>
      <w:r>
        <w:rPr>
          <w:lang w:val="en-AU"/>
        </w:rPr>
        <w:t xml:space="preserve">. </w:t>
      </w:r>
    </w:p>
    <w:p w14:paraId="7AB31A17" w14:textId="7FED364A" w:rsidR="00A5540F" w:rsidRDefault="00A5540F" w:rsidP="00A5540F">
      <w:pPr>
        <w:keepNext/>
        <w:rPr>
          <w:lang w:val="en-AU"/>
        </w:rPr>
      </w:pPr>
      <w:r>
        <w:rPr>
          <w:lang w:val="en-AU"/>
        </w:rPr>
        <w:t>Weight gain recommendations were based on IOM guidelin</w:t>
      </w:r>
      <w:r w:rsidRPr="006C1DE5">
        <w:rPr>
          <w:lang w:val="en-AU"/>
        </w:rPr>
        <w:t xml:space="preserve">es in </w:t>
      </w:r>
      <w:r w:rsidR="00973D70" w:rsidRPr="006C1DE5">
        <w:rPr>
          <w:lang w:val="en-AU"/>
        </w:rPr>
        <w:t>3</w:t>
      </w:r>
      <w:r w:rsidR="00317B34">
        <w:rPr>
          <w:lang w:val="en-AU"/>
        </w:rPr>
        <w:t>3</w:t>
      </w:r>
      <w:r w:rsidRPr="006C1DE5">
        <w:rPr>
          <w:lang w:val="en-AU"/>
        </w:rPr>
        <w:t xml:space="preserve"> studies.</w:t>
      </w:r>
      <w:r>
        <w:rPr>
          <w:lang w:val="en-AU"/>
        </w:rPr>
        <w:fldChar w:fldCharType="begin">
          <w:fldData xml:space="preserve">NjwvcmVjLW51bWJlcj48Zm9yZWlnbi1rZXlzPjxrZXkgYXBwPSJFTiIgZGItaWQ9ImV4dmFzcmZ4
MmR0cmFvZXNhc3hwMnN6c3hhMmRmNTAyNTkyeCIgdGltZXN0YW1wPSIxNTQxNDY3OTY1Ij43NTY8
L2tleT48a2V5IGFwcD0iRU5XZWIiIGRiLWlkPSIiPjA8L2tleT48L2ZvcmVpZ24ta2V5cz48cmVm
LXR5cGUgbmFtZT0iSm91cm5hbCBBcnRpY2xlIj4xNzwvcmVmLXR5cGU+PGNvbnRyaWJ1dG9ycz48
YXV0aG9ycz48YXV0aG9yPlJ1Y2hhdCwgUy1NLiw8L2F1dGhvcj48YXV0aG9yPkRhdmVucG9ydCwg
TS5ILiw8L2F1dGhvcj48YXV0aG9yPkdpcm91eCwgSS4sPC9hdXRob3I+PGF1dGhvcj5IaWxsaWVy
LCBNLiw8L2F1dGhvcj48YXV0aG9yPkJhdGFkYSwgQS4sPC9hdXRob3I+PGF1dGhvcj5Tb3BwZXIs
IE0uTS4sPC9hdXRob3I+PGF1dGhvcj5IYW1tb25kLCBKLk0uUy4sPC9hdXRob3I+PGF1dGhvcj5N
b3R0b2xhLCBNLkYuLDwvYXV0aG9yPjwvYXV0aG9ycz48L2NvbnRyaWJ1dG9ycz48dGl0bGVzPjx0
aXRsZT5OdXRyaXRpb24gYW5kIGV4ZXJjaXNlIHJlZHVjZSBleGNlc3NpdmUgd2VpZ2h0IGdhaW4g
aW4gbm9ybWFsLXdlaWdodCBwcmVnbmFudCB3b21lbjwvdGl0bGU+PHNlY29uZGFyeS10aXRsZT5N
ZWRpY2luZSAmYW1wOyBTY2llbmNlIGluIFNwb3J0cyAmYW1wOyBFeGVyY2lzZTwvc2Vjb25kYXJ5
LXRpdGxlPjwvdGl0bGVzPjxwZXJpb2RpY2FsPjxmdWxsLXRpdGxlPk1lZGljaW5lICZhbXA7IFNj
aWVuY2UgaW4gU3BvcnRzICZhbXA7IEV4ZXJjaXNlPC9mdWxsLXRpdGxlPjwvcGVyaW9kaWNhbD48
cGFnZXM+MTQxOS0xNDI2PC9wYWdlcz48dm9sdW1lPjQ0PC92b2x1bWU+PG51bWJlcj44PC9udW1i
ZXI+PHNlY3Rpb24+MTQxOTwvc2VjdGlvbj48ZGF0ZXM+PHllYXI+MjAxMjwveWVhcj48L2RhdGVz
Pjxpc2JuPjAxOTUtOTEzMTwvaXNibj48dXJscz48L3VybHM+PGVsZWN0cm9uaWMtcmVzb3VyY2Ut
bnVtPjEwLjEyNDkvTVNTLjBiMDEzZTMxODI1MzY1ZjE8L2VsZWN0cm9uaWMtcmVzb3VyY2UtbnVt
PjwvcmVjb3JkPjwvQ2l0ZT48Q2l0ZT48QXV0aG9yPkRvZGQ8L0F1dGhvcj48WWVhcj4yMDE5PC9Z
ZWFyPjxSZWNOdW0+MTkyMjwvUmVjTnVtPjxyZWNvcmQ+PHJlYy1udW1iZXI+MTkyMjwvcmVjLW51
bWJlcj48Zm9yZWlnbi1rZXlzPjxrZXkgYXBwPSJFTiIgZGItaWQ9ImV4dmFzcmZ4MmR0cmFvZXNh
c3hwMnN6c3hhMmRmNTAyNTkyeCIgdGltZXN0YW1wPSIxNTg4NTYwMzY4Ij4xOTIyPC9rZXk+PGtl
eSBhcHA9IkVOV2ViIiBkYi1pZD0iIj4wPC9rZXk+PC9mb3JlaWduLWtleXM+PHJlZi10eXBlIG5h
bWU9IkpvdXJuYWwgQXJ0aWNsZSI+MTc8L3JlZi10eXBlPjxjb250cmlidXRvcnM+PGF1dGhvcnM+
PGF1dGhvcj5Eb2RkLCBKLiBNLjwvYXV0aG9yPjxhdXRob3I+RGV1c3NlbiwgQS4gUi48L2F1dGhv
cj48YXV0aG9yPkxvdWlzZSwgSi48L2F1dGhvcj48L2F1dGhvcnM+PC9jb250cmlidXRvcnM+PGF1
dGgtYWRkcmVzcz5EaXNjaXBsaW5lIG9mIE9ic3RldHJpY3MgJmFtcDsgR3luYWVjb2xvZ3ksIGFu
ZCBSb2JpbnNvbiBSZXNlYXJjaCBJbnN0aXR1dGUsIFRoZSBVbml2ZXJzaXR5IG9mIEFkZWxhaWRl
LCBBZGVsYWlkZSwgU0EgNTAwNiwgQXVzdHJhbGlhLiYjeEQ7RGVwYXJ0bWVudCBvZiBQZXJpbmF0
YWwgTWVkaWNpbmUgV29tZW4mYXBvcztzIGFuZCBDaGlsZHJlbiZhcG9zO3MgSG9zcGl0YWwsIE5v
cnRoIEFkZWxhaWRlLCBBZGVsYWlkZSwgU0EgNTAwNiwgQXVzdHJhbGlhLjwvYXV0aC1hZGRyZXNz
Pjx0aXRsZXM+PHRpdGxlPkEgcmFuZG9taXNlZCB0cmlhbCB0byBvcHRpbWlzZSBnZXN0YXRpb25h
bCB3ZWlnaHQgZ2FpbiBhbmQgaW1wcm92ZSBtYXRlcm5hbCBhbmQgaW5mYW50IGhlYWx0aCBvdXRj
b21lcyB0aHJvdWdoIGFudGVuYXRhbCBkaWV0YXJ5LCBsaWZlc3R5bGUgYW5kIGV4ZXJjaXNlIGFk
dmljZTogVGhlIE9QVElNSVNFIHJhbmRvbWlzZWQgdHJpYWw8L3RpdGxlPjxzZWNvbmRhcnktdGl0
bGU+TnV0cmllbnRzPC9zZWNvbmRhcnktdGl0bGU+PC90aXRsZXM+PHBlcmlvZGljYWw+PGZ1bGwt
dGl0bGU+TnV0cmllbnRzPC9mdWxsLXRpdGxlPjwvcGVyaW9kaWNhbD48dm9sdW1lPjExPC92b2x1
bWU+PG51bWJlcj4xMjwvbnVtYmVyPjxlZGl0aW9uPjIwMTkvMTIvMDg8L2VkaXRpb24+PGtleXdv
cmRzPjxrZXl3b3JkPmRpZXRhcnkgYW5kIGxpZmVzdHlsZSBpbnRlcnZlbnRpb248L2tleXdvcmQ+
PGtleXdvcmQ+Z2VzdGF0aW9uYWwgd2VpZ2h0IGdhaW48L2tleXdvcmQ+PGtleXdvcmQ+cmFuZG9t
aXNlZCBjb250cm9sbGVkIHRyaWFsPC9rZXl3b3JkPjwva2V5d29yZHM+PGRhdGVzPjx5ZWFyPjIw
MTk8L3llYXI+PHB1Yi1kYXRlcz48ZGF0ZT5EZWMgMjwvZGF0ZT48L3B1Yi1kYXRlcz48L2RhdGVz
Pjxpc2JuPjIwNzItNjY0MyAoRWxlY3Ryb25pYykmI3hEOzIwNzItNjY0MyAoTGlua2luZyk8L2lz
Ym4+PGFjY2Vzc2lvbi1udW0+MzE4MTAyMTc8L2FjY2Vzc2lvbi1udW0+PHVybHM+PHJlbGF0ZWQt
dXJscz48dXJsPmh0dHBzOi8vd3d3Lm5jYmkubmxtLm5paC5nb3YvcHVibWVkLzMxODEwMjE3PC91
cmw+PC9yZWxhdGVkLXVybHM+PC91cmxzPjxjdXN0b20yPlBNQzY5NDk5MzE8L2N1c3RvbTI+PGVs
ZWN0cm9uaWMtcmVzb3VyY2UtbnVtPjEwLjMzOTAvbnUxMTEyMjkxMTwvZWxlY3Ryb25pYy1yZXNv
dXJjZS1udW0+PC9yZWNvcmQ+PC9DaXRlPjxDaXRlPjxBdXRob3I+QnVja2luZ2hhbS1TY2h1dHQ8
L0F1dGhvcj48WWVhcj4yMDE5PC9ZZWFyPjxSZWNOdW0+MTkyNjwvUmVjTnVtPjxyZWNvcmQ+PHJl
Yy1udW1iZXI+MTkyNjwvcmVjLW51bWJlcj48Zm9yZWlnbi1rZXlzPjxrZXkgYXBwPSJFTiIgZGIt
aWQ9ImV4dmFzcmZ4MmR0cmFvZXNhc3hwMnN6c3hhMmRmNTAyNTkyeCIgdGltZXN0YW1wPSIxNTg4
NTcwNjI1Ij4xOTI2PC9rZXk+PC9mb3JlaWduLWtleXM+PHJlZi10eXBlIG5hbWU9IkpvdXJuYWwg
QXJ0aWNsZSI+MTc8L3JlZi10eXBlPjxjb250cmlidXRvcnM+PGF1dGhvcnM+PGF1dGhvcj5CdWNr
aW5naGFtLVNjaHV0dCwgTC4gTS48L2F1dGhvcj48YXV0aG9yPkVsbGluZ3NvbiwgTC4gRC48L2F1
dGhvcj48YXV0aG9yPlZhem91LCBTLjwvYXV0aG9yPjxhdXRob3I+Q2FtcGJlbGwsIEMuIEcuPC9h
dXRob3I+PC9hdXRob3JzPjwvY29udHJpYnV0b3JzPjxhdXRoLWFkZHJlc3M+VGhlIEhhcmtpbiBJ
bnN0aXR1dGUsIERyYWtlIFVuaXZlcnNpdHksIERlcyBNb2luZXMsIElBLiYjeEQ7S2luZXNpb2xv
Z3kgRGVwYXJ0bWVudCwgSW93YSBTdGF0ZSBVbml2ZXJzaXR5LCBBbWVzLCBJQS4mI3hEO0Zvb2Qg
U2NpZW5jZSBhbmQgSHVtYW4gTnV0cml0aW9uIERlcGFydG1lbnQuPC9hdXRoLWFkZHJlc3M+PHRp
dGxlcz48dGl0bGU+VGhlIEJlaGF2aW9yYWwgV2VsbG5lc3MgaW4gUHJlZ25hbmN5IHN0dWR5OiBh
IHJhbmRvbWl6ZWQgY29udHJvbGxlZCB0cmlhbCBvZiBhIG11bHRpLWNvbXBvbmVudCBpbnRlcnZl
bnRpb24gdG8gcHJvbW90ZSBhcHByb3ByaWF0ZSB3ZWlnaHQgZ2FpbjwvdGl0bGU+PHNlY29uZGFy
eS10aXRsZT5BbSBKIENsaW4gTnV0cjwvc2Vjb25kYXJ5LXRpdGxlPjwvdGl0bGVzPjxwZXJpb2Rp
Y2FsPjxmdWxsLXRpdGxlPkFtIEogQ2xpbiBOdXRyPC9mdWxsLXRpdGxlPjwvcGVyaW9kaWNhbD48
cGFnZXM+MTA3MS0xMDc5PC9wYWdlcz48dm9sdW1lPjEwOTwvdm9sdW1lPjxudW1iZXI+NDwvbnVt
YmVyPjxlZGl0aW9uPjIwMTkvMDQvMDY8L2VkaXRpb24+PGtleXdvcmRzPjxrZXl3b3JkPkFkdWx0
PC9rZXl3b3JkPjxrZXl3b3JkPkRpZXQvKnBzeWNob2xvZ3k8L2tleXdvcmQ+PGtleXdvcmQ+RXhl
cmNpc2U8L2tleXdvcmQ+PGtleXdvcmQ+RmVlZGluZyBCZWhhdmlvcjwva2V5d29yZD48a2V5d29y
ZD5GZW1hbGU8L2tleXdvcmQ+PGtleXdvcmQ+Kkdlc3RhdGlvbmFsIFdlaWdodCBHYWluPC9rZXl3
b3JkPjxrZXl3b3JkPkh1bWFuczwva2V5d29yZD48a2V5d29yZD5MaWZlIFN0eWxlPC9rZXl3b3Jk
PjxrZXl3b3JkPk1hdGVybmFsIEJlaGF2aW9yPC9rZXl3b3JkPjxrZXl3b3JkPlBvc3RwYXJ0dW0g
UGVyaW9kL21ldGFib2xpc20vcHN5Y2hvbG9neTwva2V5d29yZD48a2V5d29yZD5QcmVnbmFuY3kv
bWV0YWJvbGlzbS8qcHN5Y2hvbG9neTwva2V5d29yZD48a2V5d29yZD5QcmVuYXRhbCBDYXJlLypw
c3ljaG9sb2d5PC9rZXl3b3JkPjxrZXl3b3JkPlByZW5hdGFsIE51dHJpdGlvbmFsIFBoeXNpb2xv
Z2ljYWwgUGhlbm9tZW5hPC9rZXl3b3JkPjxrZXl3b3JkPllvdW5nIEFkdWx0PC9rZXl3b3JkPjxr
ZXl3b3JkPiptdWx0aS1jb21wb25lbnQgaW50ZXJ2ZW50aW9uPC9rZXl3b3JkPjxrZXl3b3JkPipu
dXRyaXRpb248L2tleXdvcmQ+PGtleXdvcmQ+KnBoeXNpY2FsIGFjdGl2aXR5PC9rZXl3b3JkPjxr
ZXl3b3JkPipwcmVnbmFuY3k8L2tleXdvcmQ+PC9rZXl3b3Jkcz48ZGF0ZXM+PHllYXI+MjAxOTwv
eWVhcj48cHViLWRhdGVzPjxkYXRlPkFwciAxPC9kYXRlPjwvcHViLWRhdGVzPjwvZGF0ZXM+PGlz
Ym4+MTkzOC0zMjA3IChFbGVjdHJvbmljKSYjeEQ7MDAwMi05MTY1IChMaW5raW5nKTwvaXNibj48
YWNjZXNzaW9uLW51bT4zMDk0OTY5MTwvYWNjZXNzaW9uLW51bT48dXJscz48cmVsYXRlZC11cmxz
Pjx1cmw+aHR0cHM6Ly93d3cubmNiaS5ubG0ubmloLmdvdi9wdWJtZWQvMzA5NDk2OTE8L3VybD48
L3JlbGF0ZWQtdXJscz48L3VybHM+PGVsZWN0cm9uaWMtcmVzb3VyY2UtbnVtPjEwLjEwOTMvYWpj
bi9ucXkzNTk8L2VsZWN0cm9uaWMtcmVzb3VyY2UtbnVtPjwvcmVjb3JkPjwvQ2l0ZT48L0VuZE5v
dGU+AG==
</w:fldData>
        </w:fldChar>
      </w:r>
      <w:r w:rsidR="002747EA">
        <w:rPr>
          <w:lang w:val="en-AU"/>
        </w:rPr>
        <w:instrText xml:space="preserve"> ADDIN EN.CITE </w:instrText>
      </w:r>
      <w:r w:rsidR="002747EA">
        <w:rPr>
          <w:lang w:val="en-AU"/>
        </w:rPr>
        <w:fldChar w:fldCharType="begin">
          <w:fldData xml:space="preserve">PEVuZE5vdGU+PENpdGU+PEF1dGhvcj5BbHRodWl6ZW48L0F1dGhvcj48WWVhcj4yMDEzPC9ZZWFy
PjxSZWNOdW0+NzA5PC9SZWNOdW0+PERpc3BsYXlUZXh0PjxzdHlsZSBmYWNlPSJzdXBlcnNjcmlw
dCIgZm9udD0iVHJlYnVjaGV0IE1TIiBzaXplPSI5Ij40MDIsNDUxLDQ4Mi00OTIsNDk0LTUwMCw1
MDIsNTA0LTUwOCw1MTAsNTExLDUxMy01MTUsNTIwLDUyMjwvc3R5bGU+PC9EaXNwbGF5VGV4dD48
cmVjb3JkPjxyZWMtbnVtYmVyPjcwOTwvcmVjLW51bWJlcj48Zm9yZWlnbi1rZXlzPjxrZXkgYXBw
PSJFTiIgZGItaWQ9ImV4dmFzcmZ4MmR0cmFvZXNhc3hwMnN6c3hhMmRmNTAyNTkyeCIgdGltZXN0
YW1wPSIxNTQxNDYyMjE2Ij43MDk8L2tleT48L2ZvcmVpZ24ta2V5cz48cmVmLXR5cGUgbmFtZT0i
Sm91cm5hbCBBcnRpY2xlIj4xNzwvcmVmLXR5cGU+PGNvbnRyaWJ1dG9ycz48YXV0aG9ycz48YXV0
aG9yPkFsdGh1aXplbiwgRS48L2F1dGhvcj48YXV0aG9yPnZhbiBkZXIgV2lqZGVuLCBDLiBMLjwv
YXV0aG9yPjxhdXRob3I+dmFuIE1lY2hlbGVuLCBXLjwvYXV0aG9yPjxhdXRob3I+U2VpZGVsbCwg
Si4gQy48L2F1dGhvcj48YXV0aG9yPnZhbiBQb3BwZWwsIE0uIE4uPC9hdXRob3I+PC9hdXRob3Jz
PjwvY29udHJpYnV0b3JzPjxhdXRoLWFkZHJlc3M+RGVwYXJ0bWVudCBvZiBQdWJsaWMgYW5kIE9j
Y3VwYXRpb25hbCBIZWFsdGggYW5kIHRoZSBFTUdPIEluc3RpdHV0ZSBmb3IgSGVhbHRoIGFuZCBD
YXJlIFJlc2VhcmNoLCBWVSBVbml2ZXJzaXR5IE1lZGljYWwgQ2VudHJlLCBBbXN0ZXJkYW0sIFRo
ZSBOZXRoZXJsYW5kcy48L2F1dGgtYWRkcmVzcz48dGl0bGVzPjx0aXRsZT5UaGUgZWZmZWN0IG9m
IGEgY291bnNlbGxpbmcgaW50ZXJ2ZW50aW9uIG9uIHdlaWdodCBjaGFuZ2VzIGR1cmluZyBhbmQg
YWZ0ZXIgcHJlZ25hbmN5OiBhIHJhbmRvbWlzZWQgdHJpYWw8L3RpdGxlPjxzZWNvbmRhcnktdGl0
bGU+QkpPRzwvc2Vjb25kYXJ5LXRpdGxlPjwvdGl0bGVzPjxwZXJpb2RpY2FsPjxmdWxsLXRpdGxl
PkJKT0c8L2Z1bGwtdGl0bGU+PC9wZXJpb2RpY2FsPjxwYWdlcz45Mi05PC9wYWdlcz48dm9sdW1l
PjEyMDwvdm9sdW1lPjxudW1iZXI+MTwvbnVtYmVyPjxlZGl0aW9uPjIwMTIvMTEvMDY8L2VkaXRp
b24+PGtleXdvcmRzPjxrZXl3b3JkPkFkdWx0PC9rZXl3b3JkPjxrZXl3b3JkPkJpcnRoIFdlaWdo
dDwva2V5d29yZD48a2V5d29yZD5Cb2R5IE1hc3MgSW5kZXg8L2tleXdvcmQ+PGtleXdvcmQ+Q291
bnNlbGluZy8qbWV0aG9kczwva2V5d29yZD48a2V5d29yZD5GZW1hbGU8L2tleXdvcmQ+PGtleXdv
cmQ+SHVtYW5zPC9rZXl3b3JkPjxrZXl3b3JkPk5ldGhlcmxhbmRzPC9rZXl3b3JkPjxrZXl3b3Jk
Pk92ZXJ3ZWlnaHQvKnByZXZlbnRpb24gJmFtcDsgY29udHJvbDwva2V5d29yZD48a2V5d29yZD5Q
YXRpZW50IENvbXBsaWFuY2U8L2tleXdvcmQ+PGtleXdvcmQ+UHJlZ25hbmN5PC9rZXl3b3JkPjxr
ZXl3b3JkPlByZWduYW5jeSBDb21wbGljYXRpb25zLypwcmV2ZW50aW9uICZhbXA7IGNvbnRyb2w8
L2tleXdvcmQ+PGtleXdvcmQ+UHJlZ25hbmN5IE91dGNvbWU8L2tleXdvcmQ+PGtleXdvcmQ+UHJl
bmF0YWwgQ2FyZS8qbWV0aG9kczwva2V5d29yZD48a2V5d29yZD5XZWlnaHQgR2Fpbjwva2V5d29y
ZD48L2tleXdvcmRzPjxkYXRlcz48eWVhcj4yMDEzPC95ZWFyPjxwdWItZGF0ZXM+PGRhdGU+SmFu
PC9kYXRlPjwvcHViLWRhdGVzPjwvZGF0ZXM+PGlzYm4+MTQ3MS0wNTI4IChFbGVjdHJvbmljKSYj
eEQ7MTQ3MC0wMzI4IChMaW5raW5nKTwvaXNibj48YWNjZXNzaW9uLW51bT4yMzEyMTA3NDwvYWNj
ZXNzaW9uLW51bT48dXJscz48cmVsYXRlZC11cmxzPjx1cmw+aHR0cHM6Ly93d3cubmNiaS5ubG0u
bmloLmdvdi9wdWJtZWQvMjMxMjEwNzQ8L3VybD48L3JlbGF0ZWQtdXJscz48L3VybHM+PGVsZWN0
cm9uaWMtcmVzb3VyY2UtbnVtPjEwLjExMTEvMTQ3MS0wNTI4LjEyMDE0PC9lbGVjdHJvbmljLXJl
c291cmNlLW51bT48L3JlY29yZD48L0NpdGU+PENpdGU+PEF1dGhvcj5Bc2JlZTwvQXV0aG9yPjxZ
ZWFyPjIwMDk8L1llYXI+PFJlY051bT42NjY8L1JlY051bT48cmVjb3JkPjxyZWMtbnVtYmVyPjY2
NjwvcmVjLW51bWJlcj48Zm9yZWlnbi1rZXlzPjxrZXkgYXBwPSJFTiIgZGItaWQ9ImV4dmFzcmZ4
MmR0cmFvZXNhc3hwMnN6c3hhMmRmNTAyNTkyeCIgdGltZXN0YW1wPSIxNTQwNTI2NDk1Ij42NjY8
L2tleT48L2ZvcmVpZ24ta2V5cz48cmVmLXR5cGUgbmFtZT0iSm91cm5hbCBBcnRpY2xlIj4xNzwv
cmVmLXR5cGU+PGNvbnRyaWJ1dG9ycz48YXV0aG9ycz48YXV0aG9yPkFzYmVlLCBTLiBNLjwvYXV0
aG9yPjxhdXRob3I+SmVua2lucywgVC4gUi48L2F1dGhvcj48YXV0aG9yPkJ1dGxlciwgSi4gUi48
L2F1dGhvcj48YXV0aG9yPldoaXRlLCBKLjwvYXV0aG9yPjxhdXRob3I+RWxsaW90LCBNLjwvYXV0
aG9yPjxhdXRob3I+UnV0bGVkZ2UsIEEuPC9hdXRob3I+PC9hdXRob3JzPjwvY29udHJpYnV0b3Jz
PjxhdXRoLWFkZHJlc3M+Q2Fyb2xpbmFzIE1lZGljYWwgQ2VudGVyLCBDaGFybG90dGUsIE5vcnRo
IENhcm9saW5hLCBVU0EuIGRyc2hlbGx5QGVhcnRobGluay5uZXQ8L2F1dGgtYWRkcmVzcz48dGl0
bGVzPjx0aXRsZT5QcmV2ZW50aW5nIGV4Y2Vzc2l2ZSB3ZWlnaHQgZ2FpbiBkdXJpbmcgcHJlZ25h
bmN5IHRocm91Z2ggZGlldGFyeSBhbmQgbGlmZXN0eWxlIGNvdW5zZWxpbmc6IGEgcmFuZG9taXpl
ZCBjb250cm9sbGVkIHRyaWFsPC90aXRsZT48c2Vjb25kYXJ5LXRpdGxlPk9ic3RldCBHeW5lY29s
PC9zZWNvbmRhcnktdGl0bGU+PC90aXRsZXM+PHBlcmlvZGljYWw+PGZ1bGwtdGl0bGU+T2JzdGV0
IEd5bmVjb2w8L2Z1bGwtdGl0bGU+PC9wZXJpb2RpY2FsPjxwYWdlcz4zMDUtMTI8L3BhZ2VzPjx2
b2x1bWU+MTEzPC92b2x1bWU+PG51bWJlcj4yIFB0IDE8L251bWJlcj48ZWRpdGlvbj4yMDA5LzAx
LzIyPC9lZGl0aW9uPjxrZXl3b3Jkcz48a2V5d29yZD5BZHVsdDwva2V5d29yZD48a2V5d29yZD5C
aXJ0aCBXZWlnaHQ8L2tleXdvcmQ+PGtleXdvcmQ+Qm9keSBNYXNzIEluZGV4PC9rZXl3b3JkPjxr
ZXl3b3JkPipEaXJlY3RpdmUgQ291bnNlbGluZzwva2V5d29yZD48a2V5d29yZD5GZW1hbGU8L2tl
eXdvcmQ+PGtleXdvcmQ+SHVtYW5zPC9rZXl3b3JkPjxrZXl3b3JkPkluZmFudCwgTmV3Ym9ybjwv
a2V5d29yZD48a2V5d29yZD5NaWRkbGUgQWdlZDwva2V5d29yZD48a2V5d29yZD5PYmVzaXR5Lypk
aWV0IHRoZXJhcHkvKnByZXZlbnRpb24gJmFtcDsgY29udHJvbDwva2V5d29yZD48a2V5d29yZD5Q
YXRpZW50IENvbXBsaWFuY2U8L2tleXdvcmQ+PGtleXdvcmQ+UHJlZ25hbmN5PC9rZXl3b3JkPjxr
ZXl3b3JkPlByZWduYW5jeSBDb21wbGljYXRpb25zLypkaWV0IHRoZXJhcHkvKnByZXZlbnRpb24g
JmFtcDsgY29udHJvbDwva2V5d29yZD48a2V5d29yZD5QcmVuYXRhbCBDYXJlLyptZXRob2RzPC9r
ZXl3b3JkPjxrZXl3b3JkPlJpc2sgUmVkdWN0aW9uIEJlaGF2aW9yPC9rZXl3b3JkPjxrZXl3b3Jk
PldlaWdodCBHYWluPC9rZXl3b3JkPjxrZXl3b3JkPllvdW5nIEFkdWx0PC9rZXl3b3JkPjwva2V5
d29yZHM+PGRhdGVzPjx5ZWFyPjIwMDk8L3llYXI+PHB1Yi1kYXRlcz48ZGF0ZT5GZWI8L2RhdGU+
PC9wdWItZGF0ZXM+PC9kYXRlcz48aXNibj4wMDI5LTc4NDQgKFByaW50KSYjeEQ7MDAyOS03ODQ0
IChMaW5raW5nKTwvaXNibj48YWNjZXNzaW9uLW51bT4xOTE1NTg5OTwvYWNjZXNzaW9uLW51bT48
dXJscz48cmVsYXRlZC11cmxzPjx1cmw+aHR0cHM6Ly93d3cubmNiaS5ubG0ubmloLmdvdi9wdWJt
ZWQvMTkxNTU4OTk8L3VybD48L3JlbGF0ZWQtdXJscz48L3VybHM+PGVsZWN0cm9uaWMtcmVzb3Vy
Y2UtbnVtPjEwLjEwOTcvQU9HLjBiMDEzZTMxODE5NWJhZWY8L2VsZWN0cm9uaWMtcmVzb3VyY2Ut
bnVtPjwvcmVjb3JkPjwvQ2l0ZT48Q2l0ZT48QXV0aG9yPkFzY2k8L0F1dGhvcj48WWVhcj4yMDE2
PC9ZZWFyPjxSZWNOdW0+NzQyPC9SZWNOdW0+PHJlY29yZD48cmVjLW51bWJlcj43NDI8L3JlYy1u
dW1iZXI+PGZvcmVpZ24ta2V5cz48a2V5IGFwcD0iRU4iIGRiLWlkPSJleHZhc3JmeDJkdHJhb2Vz
YXN4cDJzenN4YTJkZjUwMjU5MngiIHRpbWVzdGFtcD0iMTU0MTQ2Nzg2OCI+NzQyPC9rZXk+PGtl
eSBhcHA9IkVOV2ViIiBkYi1pZD0iIj4wPC9rZXk+PC9mb3JlaWduLWtleXM+PHJlZi10eXBlIG5h
bWU9IkpvdXJuYWwgQXJ0aWNsZSI+MTc8L3JlZi10eXBlPjxjb250cmlidXRvcnM+PGF1dGhvcnM+
PGF1dGhvcj5Bc2NpLCBPLjwvYXV0aG9yPjxhdXRob3I+UmF0aGZpc2NoLCBHLjwvYXV0aG9yPjwv
YXV0aG9ycz48L2NvbnRyaWJ1dG9ycz48YXV0aC1hZGRyZXNzPk51cnNpbmcgRGVwYXJ0bWVudCBv
ZiBIZWFsdGggU2NpZW5jZXMgRmFjdWx0eSwgQXJ0dmluIENvcnVoIFVuaXZlcnNpdHksIENheWFn
emkgTWFoLiBMaWZsZXZoYSBTb2suLCAwODAwLCBBcnR2aW4sIFR1cmtleS4gYXNjaS5zLm96bGVt
QGdtYWlsLmNvbS4mI3hEO051cnNpbmcgRmFjdWx0eSBvZiBPYnN0ZXRyaWNzIE51cnNpbmcgRGVw
YXJ0bWVudCwgRmxvcmVuY2UgTmlnaHRpbmdhbGUgU2Nob29sIG9mIE51cnNpbmcsIElzdGFuYnVs
IFVuaXZlcnNpdHksIEFiaWRlaSBIdXJyaXlldCBjYWQuLCAzNDM4MSwgSXN0YW5idWwsIFR1cmtl
eS4gZ3VsdW15aWxAeWFob28uY29tLjwvYXV0aC1hZGRyZXNzPjx0aXRsZXM+PHRpdGxlPkVmZmVj
dCBvZiBsaWZlc3R5bGUgaW50ZXJ2ZW50aW9ucyBvZiBwcmVnbmFudCB3b21lbiBvbiB0aGVpciBk
aWV0YXJ5IGhhYml0cywgbGlmZXN0eWxlIGJlaGF2aW9ycywgYW5kIHdlaWdodCBnYWluOiBhIHJh
bmRvbWl6ZWQgY29udHJvbGxlZCB0cmlhbDwvdGl0bGU+PHNlY29uZGFyeS10aXRsZT5KIEhlYWx0
aCBQb3B1bCBOdXRyPC9zZWNvbmRhcnktdGl0bGU+PC90aXRsZXM+PHBlcmlvZGljYWw+PGZ1bGwt
dGl0bGU+SiBIZWFsdGggUG9wdWwgTnV0cjwvZnVsbC10aXRsZT48L3BlcmlvZGljYWw+PHBhZ2Vz
Pjc8L3BhZ2VzPjx2b2x1bWU+MzU8L3ZvbHVtZT48ZWRpdGlvbj4yMDE2LzAyLzI2PC9lZGl0aW9u
PjxrZXl3b3Jkcz48a2V5d29yZD5BZHVsdDwva2V5d29yZD48a2V5d29yZD5Cb2R5IE1hc3MgSW5k
ZXg8L2tleXdvcmQ+PGtleXdvcmQ+RmVlZGluZyBCZWhhdmlvci9ldGhub2xvZ3k8L2tleXdvcmQ+
PGtleXdvcmQ+RmVtYWxlPC9rZXl3b3JkPjxrZXl3b3JkPkZvbGxvdy1VcCBTdHVkaWVzPC9rZXl3
b3JkPjxrZXl3b3JkPkhhYml0czwva2V5d29yZD48a2V5d29yZD4qSGVhbHRoeSBEaWV0L2V0aG5v
bG9neTwva2V5d29yZD48a2V5d29yZD4qSGVhbHRoeSBMaWZlc3R5bGU8L2tleXdvcmQ+PGtleXdv
cmQ+SHVtYW5zPC9rZXl3b3JkPjxrZXl3b3JkPk1hdGVybmFsIEJlaGF2aW9yL2V0aG5vbG9neTwv
a2V5d29yZD48a2V5d29yZD4qTWF0ZXJuYWwgTnV0cml0aW9uYWwgUGh5c2lvbG9naWNhbCBQaGVu
b21lbmEvZXRobm9sb2d5PC9rZXl3b3JkPjxrZXl3b3JkPk92ZXJ3ZWlnaHQvZXRobm9sb2d5Lypw
cmV2ZW50aW9uICZhbXA7IGNvbnRyb2w8L2tleXdvcmQ+PGtleXdvcmQ+UGF0aWVudCBDb21wbGlh
bmNlL2V0aG5vbG9neTwva2V5d29yZD48a2V5d29yZD5QYXRpZW50IERyb3BvdXRzPC9rZXl3b3Jk
PjxrZXl3b3JkPipQcmVjaXNpb24gTWVkaWNpbmU8L2tleXdvcmQ+PGtleXdvcmQ+UHJlZ25hbmN5
PC9rZXl3b3JkPjxrZXl3b3JkPlByZWduYW5jeSBDb21wbGljYXRpb25zL2V0aG5vbG9neS8qcHJl
dmVudGlvbiAmYW1wOyBjb250cm9sPC9rZXl3b3JkPjxrZXl3b3JkPlNpbmdsZS1CbGluZCBNZXRo
b2Q8L2tleXdvcmQ+PGtleXdvcmQ+VHVya2V5PC9rZXl3b3JkPjxrZXl3b3JkPipVcmJhbiBIZWFs
dGgvZXRobm9sb2d5PC9rZXl3b3JkPjxrZXl3b3JkPldlaWdodCBHYWluL2V0aG5vbG9neTwva2V5
d29yZD48a2V5d29yZD5Zb3VuZyBBZHVsdDwva2V5d29yZD48L2tleXdvcmRzPjxkYXRlcz48eWVh
cj4yMDE2PC95ZWFyPjxwdWItZGF0ZXM+PGRhdGU+RmViIDI0PC9kYXRlPjwvcHViLWRhdGVzPjwv
ZGF0ZXM+PGlzYm4+MjA3Mi0xMzE1IChFbGVjdHJvbmljKSYjeEQ7MTYwNi0wOTk3IChMaW5raW5n
KTwvaXNibj48YWNjZXNzaW9uLW51bT4yNjkxMTIwNDwvYWNjZXNzaW9uLW51bT48dXJscz48cmVs
YXRlZC11cmxzPjx1cmw+aHR0cHM6Ly93d3cubmNiaS5ubG0ubmloLmdvdi9wdWJtZWQvMjY5MTEy
MDQ8L3VybD48L3JlbGF0ZWQtdXJscz48L3VybHM+PGN1c3RvbTI+UE1DNTAyNTk3NjwvY3VzdG9t
Mj48ZWxlY3Ryb25pYy1yZXNvdXJjZS1udW0+MTAuMTE4Ni9zNDEwNDMtMDE2LTAwNDQtMjwvZWxl
Y3Ryb25pYy1yZXNvdXJjZS1udW0+PC9yZWNvcmQ+PC9DaXRlPjxDaXRlPjxBdXRob3I+Qm9nYWVy
dHM8L0F1dGhvcj48WWVhcj4yMDEzPC9ZZWFyPjxSZWNOdW0+NzEzPC9SZWNOdW0+PHJlY29yZD48
cmVjLW51bWJlcj43MTM8L3JlYy1udW1iZXI+PGZvcmVpZ24ta2V5cz48a2V5IGFwcD0iRU4iIGRi
LWlkPSJleHZhc3JmeDJkdHJhb2VzYXN4cDJzenN4YTJkZjUwMjU5MngiIHRpbWVzdGFtcD0iMTU0
MTQ2MjQ0MyI+NzEzPC9rZXk+PC9mb3JlaWduLWtleXM+PHJlZi10eXBlIG5hbWU9IkpvdXJuYWwg
QXJ0aWNsZSI+MTc8L3JlZi10eXBlPjxjb250cmlidXRvcnM+PGF1dGhvcnM+PGF1dGhvcj5Cb2dh
ZXJ0cywgQS4gRi48L2F1dGhvcj48YXV0aG9yPkRldmxpZWdlciwgUi48L2F1dGhvcj48YXV0aG9y
Pk51eXRzLCBFLjwvYXV0aG9yPjxhdXRob3I+V2l0dGVycywgSS48L2F1dGhvcj48YXV0aG9yPkd5
c2VsYWVycywgVy48L2F1dGhvcj48YXV0aG9yPlZhbiBkZW4gQmVyZ2gsIEIuIFIuPC9hdXRob3I+
PC9hdXRob3JzPjwvY29udHJpYnV0b3JzPjxhdXRoLWFkZHJlc3M+RGVwYXJ0bWVudCBvZiBIZWFs
dGhjYXJlIFJlc2VhcmNoLCBQSEwgVW5pdmVyc2l0eSBDb2xsZWdlLCBMaW1idXJnIENhdGhvbGlj
IFVuaXZlcnNpdHkgQ29sbGVnZSwgSGFzc2VsdCwgQmVsZ2l1bS48L2F1dGgtYWRkcmVzcz48dGl0
bGVzPjx0aXRsZT5FZmZlY3RzIG9mIGxpZmVzdHlsZSBpbnRlcnZlbnRpb24gaW4gb2Jlc2UgcHJl
Z25hbnQgd29tZW4gb24gZ2VzdGF0aW9uYWwgd2VpZ2h0IGdhaW4gYW5kIG1lbnRhbCBoZWFsdGg6
IGEgcmFuZG9taXplZCBjb250cm9sbGVkIHRyaWFsPC90aXRsZT48c2Vjb25kYXJ5LXRpdGxlPklu
dCBKIE9iZXMgKExvbmQpPC9zZWNvbmRhcnktdGl0bGU+PC90aXRsZXM+PHBlcmlvZGljYWw+PGZ1
bGwtdGl0bGU+SW50IEogT2JlcyAoTG9uZCk8L2Z1bGwtdGl0bGU+PC9wZXJpb2RpY2FsPjxwYWdl
cz44MTQtMjE8L3BhZ2VzPjx2b2x1bWU+Mzc8L3ZvbHVtZT48bnVtYmVyPjY8L251bWJlcj48ZWRp
dGlvbj4yMDEyLzEwLzA0PC9lZGl0aW9uPjxrZXl3b3Jkcz48a2V5d29yZD5BZHVsdDwva2V5d29y
ZD48a2V5d29yZD5BbnhpZXR5L2VwaWRlbWlvbG9neS8qcHJldmVudGlvbiAmYW1wOyBjb250cm9s
PC9rZXl3b3JkPjxrZXl3b3JkPkJlbGdpdW0vZXBpZGVtaW9sb2d5PC9rZXl3b3JkPjxrZXl3b3Jk
PkJvZHkgTWFzcyBJbmRleDwva2V5d29yZD48a2V5d29yZD5EZXByZXNzaW9uL2VwaWRlbWlvbG9n
eS8qcHJldmVudGlvbiAmYW1wOyBjb250cm9sPC9rZXl3b3JkPjxrZXl3b3JkPkZlbWFsZTwva2V5
d29yZD48a2V5d29yZD5IZWFsdGggS25vd2xlZGdlLCBBdHRpdHVkZXMsIFByYWN0aWNlPC9rZXl3
b3JkPjxrZXl3b3JkPkh1bWFuczwva2V5d29yZD48a2V5d29yZD4qTGlmZSBTdHlsZTwva2V5d29y
ZD48a2V5d29yZD5Mb25naXR1ZGluYWwgU3R1ZGllczwva2V5d29yZD48a2V5d29yZD5Nb3RpdmF0
aW9uPC9rZXl3b3JkPjxrZXl3b3JkPk9iZXNpdHkvZXBpZGVtaW9sb2d5L3ByZXZlbnRpb24gJmFt
cDsgY29udHJvbC9wc3ljaG9sb2d5Lyp0aGVyYXB5PC9rZXl3b3JkPjxrZXl3b3JkPlBhdGllbnQg
RWR1Y2F0aW9uIGFzIFRvcGljPC9rZXl3b3JkPjxrZXl3b3JkPlByZWduYW5jeTwva2V5d29yZD48
a2V5d29yZD5QcmVnbmFuY3kgQ29tcGxpY2F0aW9ucy9lcGlkZW1pb2xvZ3kvcHJldmVudGlvbiAm
YW1wOyBjb250cm9sL3BzeWNob2xvZ3kvKnRoZXJhcHk8L2tleXdvcmQ+PGtleXdvcmQ+UHJlbmF0
YWwgQ2FyZS8qbWV0aG9kczwva2V5d29yZD48a2V5d29yZD5QcmV2YWxlbmNlPC9rZXl3b3JkPjxr
ZXl3b3JkPlJpc2sgRmFjdG9yczwva2V5d29yZD48a2V5d29yZD5SaXNrIFJlZHVjdGlvbiBCZWhh
dmlvcjwva2V5d29yZD48a2V5d29yZD5TdXJ2ZXlzIGFuZCBRdWVzdGlvbm5haXJlczwva2V5d29y
ZD48a2V5d29yZD4qV2VpZ2h0IEdhaW48L2tleXdvcmQ+PC9rZXl3b3Jkcz48ZGF0ZXM+PHllYXI+
MjAxMzwveWVhcj48cHViLWRhdGVzPjxkYXRlPkp1bjwvZGF0ZT48L3B1Yi1kYXRlcz48L2RhdGVz
Pjxpc2JuPjE0NzYtNTQ5NyAoRWxlY3Ryb25pYykmI3hEOzAzMDctMDU2NSAoTGlua2luZyk8L2lz
Ym4+PGFjY2Vzc2lvbi1udW0+MjMwMzI0MDQ8L2FjY2Vzc2lvbi1udW0+PHVybHM+PHJlbGF0ZWQt
dXJscz48dXJsPmh0dHBzOi8vd3d3Lm5jYmkubmxtLm5paC5nb3YvcHVibWVkLzIzMDMyNDA0PC91
cmw+PC9yZWxhdGVkLXVybHM+PC91cmxzPjxlbGVjdHJvbmljLXJlc291cmNlLW51bT4xMC4xMDM4
L2lqby4yMDEyLjE2MjwvZWxlY3Ryb25pYy1yZXNvdXJjZS1udW0+PC9yZWNvcmQ+PC9DaXRlPjxD
aXRlPjxBdXRob3I+QnJ1bm88L0F1dGhvcj48WWVhcj4yMDE3PC9ZZWFyPjxSZWNOdW0+NzY1PC9S
ZWNOdW0+PHJlY29yZD48cmVjLW51bWJlcj43NjU8L3JlYy1udW1iZXI+PGZvcmVpZ24ta2V5cz48
a2V5IGFwcD0iRU4iIGRiLWlkPSJleHZhc3JmeDJkdHJhb2VzYXN4cDJzenN4YTJkZjUwMjU5Mngi
IHRpbWVzdGFtcD0iMTU0MTQ4NzAzNCI+NzY1PC9rZXk+PC9mb3JlaWduLWtleXM+PHJlZi10eXBl
IG5hbWU9IkpvdXJuYWwgQXJ0aWNsZSI+MTc8L3JlZi10eXBlPjxjb250cmlidXRvcnM+PGF1dGhv
cnM+PGF1dGhvcj5CcnVubywgUi48L2F1dGhvcj48YXV0aG9yPlBldHJlbGxhLCBFLjwvYXV0aG9y
PjxhdXRob3I+QmVydGFyaW5pLCBWLjwvYXV0aG9yPjxhdXRob3I+UGVkcmllbGxpLCBHLjwvYXV0
aG9yPjxhdXRob3I+TmVyaSwgSS48L2F1dGhvcj48YXV0aG9yPkZhY2NoaW5ldHRpLCBGLjwvYXV0
aG9yPjwvYXV0aG9ycz48L2NvbnRyaWJ1dG9ycz48YXV0aC1hZGRyZXNzPk1vdGhlci1JbmZhbnQg
RGVwYXJ0bWVudCwgVW5pdmVyc2l0eSBvZiBNb2RlbmEgYW5kIFJlZ2dpbyBFbWlsaWEsIEl0YWx5
LjwvYXV0aC1hZGRyZXNzPjx0aXRsZXM+PHRpdGxlPkFkaGVyZW5jZSB0byBhIGxpZmVzdHlsZSBw
cm9ncmFtbWUgaW4gb3ZlcndlaWdodC9vYmVzZSBwcmVnbmFudCB3b21lbiBhbmQgZWZmZWN0IG9u
IGdlc3RhdGlvbmFsIGRpYWJldGVzIG1lbGxpdHVzOiBhIHJhbmRvbWl6ZWQgY29udHJvbGxlZCB0
cmlhbDwvdGl0bGU+PHNlY29uZGFyeS10aXRsZT5NYXRlcm4gQ2hpbGQgTnV0cjwvc2Vjb25kYXJ5
LXRpdGxlPjwvdGl0bGVzPjxwZXJpb2RpY2FsPjxmdWxsLXRpdGxlPk1hdGVybiBDaGlsZCBOdXRy
PC9mdWxsLXRpdGxlPjwvcGVyaW9kaWNhbD48dm9sdW1lPjEzPC92b2x1bWU+PG51bWJlcj4zPC9u
dW1iZXI+PGVkaXRpb24+MjAxNi8wOS8yMTwvZWRpdGlvbj48a2V5d29yZHM+PGtleXdvcmQ+QWR1
bHQ8L2tleXdvcmQ+PGtleXdvcmQ+QmlydGggV2VpZ2h0PC9rZXl3b3JkPjxrZXl3b3JkPkJsb29k
IEdsdWNvc2UvbWV0YWJvbGlzbTwva2V5d29yZD48a2V5d29yZD5Cb2R5IE1hc3MgSW5kZXg8L2tl
eXdvcmQ+PGtleXdvcmQ+RGlhYmV0ZXMsIEdlc3RhdGlvbmFsLypwcmV2ZW50aW9uICZhbXA7IGNv
bnRyb2w8L2tleXdvcmQ+PGtleXdvcmQ+RXhlcmNpc2U8L2tleXdvcmQ+PGtleXdvcmQ+RmVtYWxl
PC9rZXl3b3JkPjxrZXl3b3JkPkZvbGxvdy1VcCBTdHVkaWVzPC9rZXl3b3JkPjxrZXl3b3JkPipI
ZWFsdGh5IERpZXQ8L2tleXdvcmQ+PGtleXdvcmQ+SHVtYW5zPC9rZXl3b3JkPjxrZXl3b3JkPkh5
cGVydGVuc2lvbi9wcmV2ZW50aW9uICZhbXA7IGNvbnRyb2w8L2tleXdvcmQ+PGtleXdvcmQ+SXRh
bHk8L2tleXdvcmQ+PGtleXdvcmQ+KkxpZmUgU3R5bGU8L2tleXdvcmQ+PGtleXdvcmQ+T2Jlc2l0
eS8qdGhlcmFweTwva2V5d29yZD48a2V5d29yZD5PdmVyd2VpZ2h0Lyp0aGVyYXB5PC9rZXl3b3Jk
PjxrZXl3b3JkPipQYXRpZW50IENvbXBsaWFuY2U8L2tleXdvcmQ+PGtleXdvcmQ+UHJlZ25hbmN5
PC9rZXl3b3JkPjxrZXl3b3JkPlByZW1hdHVyZSBCaXJ0aC9wcmV2ZW50aW9uICZhbXA7IGNvbnRy
b2w8L2tleXdvcmQ+PGtleXdvcmQ+UHJvc3BlY3RpdmUgU3R1ZGllczwva2V5d29yZD48a2V5d29y
ZD5TdXJ2ZXlzIGFuZCBRdWVzdGlvbm5haXJlczwva2V5d29yZD48a2V5d29yZD5UcmVhdG1lbnQg
T3V0Y29tZTwva2V5d29yZD48a2V5d29yZD5Zb3VuZyBBZHVsdDwva2V5d29yZD48a2V5d29yZD4q
ZGlhYmV0ZXM8L2tleXdvcmQ+PGtleXdvcmQ+KmZldGFsIGdyb3d0aDwva2V5d29yZD48a2V5d29y
ZD4qb2Jlc2l0eTwva2V5d29yZD48a2V5d29yZD4qcGh5c2ljYWwgYWN0aXZpdHk8L2tleXdvcmQ+
PGtleXdvcmQ+KnByZWduYW5jeSBhbmQgbnV0cml0aW9uPC9rZXl3b3JkPjxrZXl3b3JkPipwcmVn
bmFuY3kgb3V0Y29tZTwva2V5d29yZD48L2tleXdvcmRzPjxkYXRlcz48eWVhcj4yMDE3PC95ZWFy
PjxwdWItZGF0ZXM+PGRhdGU+SnVsPC9kYXRlPjwvcHViLWRhdGVzPjwvZGF0ZXM+PGlzYm4+MTc0
MC04NzA5IChFbGVjdHJvbmljKSYjeEQ7MTc0MC04Njk1IChMaW5raW5nKTwvaXNibj48YWNjZXNz
aW9uLW51bT4yNzY0NzgzNzwvYWNjZXNzaW9uLW51bT48dXJscz48cmVsYXRlZC11cmxzPjx1cmw+
aHR0cHM6Ly93d3cubmNiaS5ubG0ubmloLmdvdi9wdWJtZWQvMjc2NDc4Mzc8L3VybD48L3JlbGF0
ZWQtdXJscz48L3VybHM+PGVsZWN0cm9uaWMtcmVzb3VyY2UtbnVtPjEwLjExMTEvbWNuLjEyMzMz
PC9lbGVjdHJvbmljLXJlc291cmNlLW51bT48L3JlY29yZD48L0NpdGU+PENpdGU+PEF1dGhvcj5H
YWxsYWdoZXI8L0F1dGhvcj48WWVhcj4yMDE4PC9ZZWFyPjxSZWNOdW0+NzQ0PC9SZWNOdW0+PHJl
Y29yZD48cmVjLW51bWJlcj43NDQ8L3JlYy1udW1iZXI+PGZvcmVpZ24ta2V5cz48a2V5IGFwcD0i
RU4iIGRiLWlkPSJleHZhc3JmeDJkdHJhb2VzYXN4cDJzenN4YTJkZjUwMjU5MngiIHRpbWVzdGFt
cD0iMTU0MTQ2Nzg3OSI+NzQ0PC9rZXk+PGtleSBhcHA9IkVOV2ViIiBkYi1pZD0iIj4wPC9rZXk+
PC9mb3JlaWduLWtleXM+PHJlZi10eXBlIG5hbWU9IkpvdXJuYWwgQXJ0aWNsZSI+MTc8L3JlZi10
eXBlPjxjb250cmlidXRvcnM+PGF1dGhvcnM+PGF1dGhvcj5HYWxsYWdoZXIsIER5bXBuYTwvYXV0
aG9yPjxhdXRob3I+Um9zZW5uLCBCYXJhazwvYXV0aG9yPjxhdXRob3I+VG9yby1SYW1vcywgVGF0
aWFuYTwvYXV0aG9yPjxhdXRob3I+UGFsZXksIENoYXJsZXM8L2F1dGhvcj48YXV0aG9yPkdpZHdh
bmksIFNvbmlhPC9hdXRob3I+PGF1dGhvcj5Ib3Jvd2l0eiwgTWljaGVsbGU8L2F1dGhvcj48YXV0
aG9yPkNyYW5lLCBKYW5ldDwvYXV0aG9yPjxhdXRob3I+TGluLCBTdXNhbjwvYXV0aG9yPjxhdXRo
b3I+VGhvcm50b24sIEpvaG4gQy48L2F1dGhvcj48YXV0aG9yPlBpLVN1bnllciwgWGF2aWVyPC9h
dXRob3I+PC9hdXRob3JzPjwvY29udHJpYnV0b3JzPjx0aXRsZXM+PHRpdGxlPkdyZWF0ZXIgTmVv
bmF0YWwgRmF0LUZyZWUgTWFzcyBhbmQgU2ltaWxhciBGYXQgTWFzcyBGb2xsb3dpbmcgYSBSYW5k
b21pemVkIFRyaWFsIHRvIENvbnRyb2wgRXhjZXNzIEdlc3RhdGlvbmFsIFdlaWdodCBHYWluPC90
aXRsZT48c2Vjb25kYXJ5LXRpdGxlPk9iZXNpdHk8L3NlY29uZGFyeS10aXRsZT48L3RpdGxlcz48
cGVyaW9kaWNhbD48ZnVsbC10aXRsZT5PYmVzaXR5PC9mdWxsLXRpdGxlPjwvcGVyaW9kaWNhbD48
cGFnZXM+NTc4LTU4NzwvcGFnZXM+PHZvbHVtZT4yNjwvdm9sdW1lPjxudW1iZXI+MzwvbnVtYmVy
PjxzZWN0aW9uPjU3ODwvc2VjdGlvbj48ZGF0ZXM+PHllYXI+MjAxODwveWVhcj48L2RhdGVzPjxp
c2JuPjE5MzA3MzgxPC9pc2JuPjx1cmxzPjwvdXJscz48ZWxlY3Ryb25pYy1yZXNvdXJjZS1udW0+
MTAuMTAwMi9vYnkuMjIwNzk8L2VsZWN0cm9uaWMtcmVzb3VyY2UtbnVtPjwvcmVjb3JkPjwvQ2l0
ZT48Q2l0ZT48QXV0aG9yPkd1ZWxpbmNreDwvQXV0aG9yPjxZZWFyPjIwMTA8L1llYXI+PFJlY051
bT43MjI8L1JlY051bT48cmVjb3JkPjxyZWMtbnVtYmVyPjcyMjwvcmVjLW51bWJlcj48Zm9yZWln
bi1rZXlzPjxrZXkgYXBwPSJFTiIgZGItaWQ9ImV4dmFzcmZ4MmR0cmFvZXNhc3hwMnN6c3hhMmRm
NTAyNTkyeCIgdGltZXN0YW1wPSIxNTQxNDY0Nzc3Ij43MjI8L2tleT48L2ZvcmVpZ24ta2V5cz48
cmVmLXR5cGUgbmFtZT0iSm91cm5hbCBBcnRpY2xlIj4xNzwvcmVmLXR5cGU+PGNvbnRyaWJ1dG9y
cz48YXV0aG9ycz48YXV0aG9yPkd1ZWxpbmNreCwgSS48L2F1dGhvcj48YXV0aG9yPkRldmxpZWdl
ciwgUi48L2F1dGhvcj48YXV0aG9yPk11bGxpZSwgUC48L2F1dGhvcj48YXV0aG9yPlZhbnNhbnQs
IEcuPC9hdXRob3I+PC9hdXRob3JzPjwvY29udHJpYnV0b3JzPjxhdXRoLWFkZHJlc3M+RGVwYXJ0
bWVudCBvZiBOdXRyaXRpb24tUHVibGljIEhlYWx0aCBNZWRpY2luZSwgTEZvUkNlLCBDYXRob2xp
YyBVbml2ZXJzaXR5IExldXZlbiwgTGV1dmVuLCBCZWxnaXVtLiBpc2FiZWxsZS5ndWVsaW5ja3hA
bWVkLmt1bGV1dmVuLmJlPC9hdXRoLWFkZHJlc3M+PHRpdGxlcz48dGl0bGU+RWZmZWN0IG9mIGxp
ZmVzdHlsZSBpbnRlcnZlbnRpb24gb24gZGlldGFyeSBoYWJpdHMsIHBoeXNpY2FsIGFjdGl2aXR5
LCBhbmQgZ2VzdGF0aW9uYWwgd2VpZ2h0IGdhaW4gaW4gb2Jlc2UgcHJlZ25hbnQgd29tZW46IGEg
cmFuZG9taXplZCBjb250cm9sbGVkIHRyaWFsPC90aXRsZT48c2Vjb25kYXJ5LXRpdGxlPkFtIEog
Q2xpbiBOdXRyPC9zZWNvbmRhcnktdGl0bGU+PC90aXRsZXM+PHBlcmlvZGljYWw+PGZ1bGwtdGl0
bGU+QW0gSiBDbGluIE51dHI8L2Z1bGwtdGl0bGU+PC9wZXJpb2RpY2FsPjxwYWdlcz4zNzMtODA8
L3BhZ2VzPjx2b2x1bWU+OTE8L3ZvbHVtZT48bnVtYmVyPjI8L251bWJlcj48ZWRpdGlvbj4yMDA5
LzEyLzA0PC9lZGl0aW9uPjxrZXl3b3Jkcz48a2V5d29yZD5BZHVsdDwva2V5d29yZD48a2V5d29y
ZD5CZWhhdmlvciBUaGVyYXB5LyptZXRob2RzPC9rZXl3b3JkPjxrZXl3b3JkPkZlZWRpbmcgQmVo
YXZpb3IvcGh5c2lvbG9neTwva2V5d29yZD48a2V5d29yZD5GZW1hbGU8L2tleXdvcmQ+PGtleXdv
cmQ+SHVtYW5zPC9rZXl3b3JkPjxrZXl3b3JkPkluZmFudCwgTmV3Ym9ybjwva2V5d29yZD48a2V5
d29yZD4qTGlmZSBTdHlsZTwva2V5d29yZD48a2V5d29yZD5Nb3RvciBBY3Rpdml0eS9waHlzaW9s
b2d5PC9rZXl3b3JkPjxrZXl3b3JkPk9iZXNpdHkvcGh5c2lvcGF0aG9sb2d5Lyp0aGVyYXB5PC9r
ZXl3b3JkPjxrZXl3b3JkPlByZWduYW5jeTwva2V5d29yZD48a2V5d29yZD5QcmVnbmFuY3kgQ29t
cGxpY2F0aW9ucy9waHlzaW9wYXRob2xvZ3kvKnRoZXJhcHk8L2tleXdvcmQ+PGtleXdvcmQ+UHJl
bmF0YWwgTnV0cml0aW9uYWwgUGh5c2lvbG9naWNhbCBQaGVub21lbmE8L2tleXdvcmQ+PGtleXdv
cmQ+V2VpZ2h0IEdhaW4vKnBoeXNpb2xvZ3k8L2tleXdvcmQ+PC9rZXl3b3Jkcz48ZGF0ZXM+PHll
YXI+MjAxMDwveWVhcj48cHViLWRhdGVzPjxkYXRlPkZlYjwvZGF0ZT48L3B1Yi1kYXRlcz48L2Rh
dGVzPjxpc2JuPjE5MzgtMzIwNyAoRWxlY3Ryb25pYykmI3hEOzAwMDItOTE2NSAoTGlua2luZyk8
L2lzYm4+PGFjY2Vzc2lvbi1udW0+MTk5NTUzOTc8L2FjY2Vzc2lvbi1udW0+PHVybHM+PHJlbGF0
ZWQtdXJscz48dXJsPmh0dHBzOi8vd3d3Lm5jYmkubmxtLm5paC5nb3YvcHVibWVkLzE5OTU1Mzk3
PC91cmw+PC9yZWxhdGVkLXVybHM+PC91cmxzPjxlbGVjdHJvbmljLXJlc291cmNlLW51bT4xMC4z
OTQ1L2FqY24uMjAwOS4yODE2NjwvZWxlY3Ryb25pYy1yZXNvdXJjZS1udW0+PC9yZWNvcmQ+PC9D
aXRlPjxDaXRlPjxBdXRob3I+SGFycmlzb248L0F1dGhvcj48WWVhcj4yMDEzPC9ZZWFyPjxSZWNO
dW0+NzI1PC9SZWNOdW0+PHJlY29yZD48cmVjLW51bWJlcj43MjU8L3JlYy1udW1iZXI+PGZvcmVp
Z24ta2V5cz48a2V5IGFwcD0iRU4iIGRiLWlkPSJleHZhc3JmeDJkdHJhb2VzYXN4cDJzenN4YTJk
ZjUwMjU5MngiIHRpbWVzdGFtcD0iMTU0MTQ2NTA1MCI+NzI1PC9rZXk+PC9mb3JlaWduLWtleXM+
PHJlZi10eXBlIG5hbWU9IkpvdXJuYWwgQXJ0aWNsZSI+MTc8L3JlZi10eXBlPjxjb250cmlidXRv
cnM+PGF1dGhvcnM+PGF1dGhvcj5IYXJyaXNvbiwgQy4gTC48L2F1dGhvcj48YXV0aG9yPkxvbWJh
cmQsIEMuIEIuPC9hdXRob3I+PGF1dGhvcj5TdHJhdXNzLCBCLiBKLjwvYXV0aG9yPjxhdXRob3I+
VGVlZGUsIEguIEouPC9hdXRob3I+PC9hdXRob3JzPjwvY29udHJpYnV0b3JzPjxhdXRoLWFkZHJl
c3M+V29tZW4mYXBvcztzIFJlcHJvZHVjdGl2ZSBSZXNlYXJjaCB1bml0LCBTY2hvb2wgb2YgUHVi
bGljIEhlYWx0aCBhbmQgUHJldmVudGl2ZSBNZWRpY2luZSwgTW9uYXNoIFVuaXZlcnNpdHksIENs
YXl0b24sIFZpY3RvcmlhLCBBdXN0cmFsaWEuPC9hdXRoLWFkZHJlc3M+PHRpdGxlcz48dGl0bGU+
T3B0aW1pemluZyBoZWFsdGh5IGdlc3RhdGlvbmFsIHdlaWdodCBnYWluIGluIHdvbWVuIGF0IGhp
Z2ggcmlzayBvZiBnZXN0YXRpb25hbCBkaWFiZXRlczogYSByYW5kb21pemVkIGNvbnRyb2xsZWQg
dHJpYWw8L3RpdGxlPjxzZWNvbmRhcnktdGl0bGU+T2Jlc2l0eSAoU2lsdmVyIFNwcmluZyk8L3Nl
Y29uZGFyeS10aXRsZT48L3RpdGxlcz48cGVyaW9kaWNhbD48ZnVsbC10aXRsZT5PYmVzaXR5IChT
aWx2ZXIgU3ByaW5nKTwvZnVsbC10aXRsZT48L3BlcmlvZGljYWw+PHBhZ2VzPjkwNC05PC9wYWdl
cz48dm9sdW1lPjIxPC92b2x1bWU+PG51bWJlcj41PC9udW1iZXI+PGVkaXRpb24+MjAxMy8wNi8y
MTwvZWRpdGlvbj48a2V5d29yZHM+PGtleXdvcmQ+QWR1bHQ8L2tleXdvcmQ+PGtleXdvcmQ+KkJv
ZHkgTWFzcyBJbmRleDwva2V5d29yZD48a2V5d29yZD5EaWFiZXRlcywgR2VzdGF0aW9uYWwvZXBp
ZGVtaW9sb2d5LypwcmV2ZW50aW9uICZhbXA7IGNvbnRyb2w8L2tleXdvcmQ+PGtleXdvcmQ+RmVt
YWxlPC9rZXl3b3JkPjxrZXl3b3JkPkh1bWFuczwva2V5d29yZD48a2V5d29yZD4qTGlmZSBTdHls
ZTwva2V5d29yZD48a2V5d29yZD5Nb3RvciBBY3Rpdml0eTwva2V5d29yZD48a2V5d29yZD5PYmVz
aXR5L2NvbXBsaWNhdGlvbnMvdGhlcmFweTwva2V5d29yZD48a2V5d29yZD5QcmVnbmFuY3k8L2tl
eXdvcmQ+PGtleXdvcmQ+UHJlbmF0YWwgQ2FyZTwva2V5d29yZD48a2V5d29yZD5SaXNrIEZhY3Rv
cnM8L2tleXdvcmQ+PGtleXdvcmQ+KldhbGtpbmc8L2tleXdvcmQ+PGtleXdvcmQ+KldlaWdodCBH
YWluPC9rZXl3b3JkPjwva2V5d29yZHM+PGRhdGVzPjx5ZWFyPjIwMTM8L3llYXI+PHB1Yi1kYXRl
cz48ZGF0ZT5NYXk8L2RhdGU+PC9wdWItZGF0ZXM+PC9kYXRlcz48aXNibj4xOTMwLTczOVggKEVs
ZWN0cm9uaWMpJiN4RDsxOTMwLTczODEgKExpbmtpbmcpPC9pc2JuPjxhY2Nlc3Npb24tbnVtPjIz
Nzg0ODkyPC9hY2Nlc3Npb24tbnVtPjx1cmxzPjxyZWxhdGVkLXVybHM+PHVybD5odHRwczovL3d3
dy5uY2JpLm5sbS5uaWguZ292L3B1Ym1lZC8yMzc4NDg5MjwvdXJsPjwvcmVsYXRlZC11cmxzPjwv
dXJscz48ZWxlY3Ryb25pYy1yZXNvdXJjZS1udW0+MTAuMTAwMi9vYnkuMjAxNjM8L2VsZWN0cm9u
aWMtcmVzb3VyY2UtbnVtPjwvcmVjb3JkPjwvQ2l0ZT48Q2l0ZT48QXV0aG9yPkh1aTwvQXV0aG9y
PjxZZWFyPjIwMTI8L1llYXI+PFJlY051bT43NDY8L1JlY051bT48cmVjb3JkPjxyZWMtbnVtYmVy
Pjc0NjwvcmVjLW51bWJlcj48Zm9yZWlnbi1rZXlzPjxrZXkgYXBwPSJFTiIgZGItaWQ9ImV4dmFz
cmZ4MmR0cmFvZXNhc3hwMnN6c3hhMmRmNTAyNTkyeCIgdGltZXN0YW1wPSIxNTQxNDY3ODk0Ij43
NDY8L2tleT48a2V5IGFwcD0iRU5XZWIiIGRiLWlkPSIiPjA8L2tleT48L2ZvcmVpZ24ta2V5cz48
cmVmLXR5cGUgbmFtZT0iSm91cm5hbCBBcnRpY2xlIj4xNzwvcmVmLXR5cGU+PGNvbnRyaWJ1dG9y
cz48YXV0aG9ycz48YXV0aG9yPkh1aSwgQS48L2F1dGhvcj48YXV0aG9yPkJhY2ssIEwuPC9hdXRo
b3I+PGF1dGhvcj5MdWR3aWcsIFMuPC9hdXRob3I+PGF1dGhvcj5HYXJkaW5lciwgUC48L2F1dGhv
cj48YXV0aG9yPlNldmVuaHV5c2VuLCBHLjwvYXV0aG9yPjxhdXRob3I+RGVhbiwgSC48L2F1dGhv
cj48YXV0aG9yPlNlbGxlcnMsIEUuPC9hdXRob3I+PGF1dGhvcj5NY0dhdm9jaywgSi48L2F1dGhv
cj48YXV0aG9yPk1vcnJpcywgTS48L2F1dGhvcj48YXV0aG9yPkJydWNlLCBTLjwvYXV0aG9yPjxh
dXRob3I+TXVycmF5LCBSLjwvYXV0aG9yPjxhdXRob3I+U2hlbiwgRy4gWC48L2F1dGhvcj48L2F1
dGhvcnM+PC9jb250cmlidXRvcnM+PGF1dGgtYWRkcmVzcz5EZXBhcnRtZW50IG9mIEludGVybmFs
IE1lZGljaW5lLCBVbml2ZXJzaXR5IG9mIE1hbml0b2JhLCBXaW5uaXBlZywgTWFuaXRvYmEsIENh
bmFkYS48L2F1dGgtYWRkcmVzcz48dGl0bGVzPjx0aXRsZT5MaWZlc3R5bGUgaW50ZXJ2ZW50aW9u
IG9uIGRpZXQgYW5kIGV4ZXJjaXNlIHJlZHVjZWQgZXhjZXNzaXZlIGdlc3RhdGlvbmFsIHdlaWdo
dCBnYWluIGluIHByZWduYW50IHdvbWVuIHVuZGVyIGEgcmFuZG9taXNlZCBjb250cm9sbGVkIHRy
aWFsPC90aXRsZT48c2Vjb25kYXJ5LXRpdGxlPkJKT0c8L3NlY29uZGFyeS10aXRsZT48L3RpdGxl
cz48cGVyaW9kaWNhbD48ZnVsbC10aXRsZT5CSk9HPC9mdWxsLXRpdGxlPjwvcGVyaW9kaWNhbD48
cGFnZXM+NzAtNzwvcGFnZXM+PHZvbHVtZT4xMTk8L3ZvbHVtZT48bnVtYmVyPjE8L251bWJlcj48
ZWRpdGlvbj4yMDExLzEwLzI1PC9lZGl0aW9uPjxrZXl3b3Jkcz48a2V5d29yZD5BZHVsdDwva2V5
d29yZD48a2V5d29yZD5Db3Vuc2VsaW5nPC9rZXl3b3JkPjxrZXl3b3JkPipEaWV0PC9rZXl3b3Jk
PjxrZXl3b3JkPkVuZXJneSBJbnRha2U8L2tleXdvcmQ+PGtleXdvcmQ+RXhlcmNpc2UgVGhlcmFw
eS8qbWV0aG9kczwva2V5d29yZD48a2V5d29yZD5GZW1hbGU8L2tleXdvcmQ+PGtleXdvcmQ+SHVt
YW5zPC9rZXl3b3JkPjxrZXl3b3JkPipMaWZlIFN0eWxlPC9rZXl3b3JkPjxrZXl3b3JkPlBhdGll
bnQgRWR1Y2F0aW9uIGFzIFRvcGljPC9rZXl3b3JkPjxrZXl3b3JkPlByZWduYW5jeTwva2V5d29y
ZD48a2V5d29yZD5QcmVnbmFuY3kgQ29tcGxpY2F0aW9ucy8qcHJldmVudGlvbiAmYW1wOyBjb250
cm9sPC9rZXl3b3JkPjxrZXl3b3JkPlByZWduYW5jeSBPdXRjb21lPC9rZXl3b3JkPjxrZXl3b3Jk
PlByZW5hdGFsIENhcmUvKm1ldGhvZHM8L2tleXdvcmQ+PGtleXdvcmQ+VXJiYW4gSGVhbHRoPC9r
ZXl3b3JkPjxrZXl3b3JkPldlaWdodCBHYWluLypwaHlzaW9sb2d5PC9rZXl3b3JkPjxrZXl3b3Jk
PllvdW5nIEFkdWx0PC9rZXl3b3JkPjwva2V5d29yZHM+PGRhdGVzPjx5ZWFyPjIwMTI8L3llYXI+
PHB1Yi1kYXRlcz48ZGF0ZT5KYW48L2RhdGU+PC9wdWItZGF0ZXM+PC9kYXRlcz48aXNibj4xNDcx
LTA1MjggKEVsZWN0cm9uaWMpJiN4RDsxNDcwLTAzMjggKExpbmtpbmcpPC9pc2JuPjxhY2Nlc3Np
b24tbnVtPjIyMDE3OTY3PC9hY2Nlc3Npb24tbnVtPjx1cmxzPjxyZWxhdGVkLXVybHM+PHVybD5o
dHRwczovL3d3dy5uY2JpLm5sbS5uaWguZ292L3B1Ym1lZC8yMjAxNzk2NzwvdXJsPjwvcmVsYXRl
ZC11cmxzPjwvdXJscz48ZWxlY3Ryb25pYy1yZXNvdXJjZS1udW0+MTAuMTExMS9qLjE0NzEtMDUy
OC4yMDExLjAzMTg0Lng8L2VsZWN0cm9uaWMtcmVzb3VyY2UtbnVtPjwvcmVjb3JkPjwvQ2l0ZT48
Q2l0ZT48QXV0aG9yPkh1aTwvQXV0aG9yPjxZZWFyPjIwMTQ8L1llYXI+PFJlY051bT43NjM8L1Jl
Y051bT48cmVjb3JkPjxyZWMtbnVtYmVyPjc2MzwvcmVjLW51bWJlcj48Zm9yZWlnbi1rZXlzPjxr
ZXkgYXBwPSJFTiIgZGItaWQ9ImV4dmFzcmZ4MmR0cmFvZXNhc3hwMnN6c3hhMmRmNTAyNTkyeCIg
dGltZXN0YW1wPSIxNTQxNDY4NDQ2Ij43NjM8L2tleT48L2ZvcmVpZ24ta2V5cz48cmVmLXR5cGUg
bmFtZT0iSm91cm5hbCBBcnRpY2xlIj4xNzwvcmVmLXR5cGU+PGNvbnRyaWJ1dG9ycz48YXV0aG9y
cz48YXV0aG9yPkh1aSwgQS4gTC48L2F1dGhvcj48YXV0aG9yPkJhY2ssIEwuPC9hdXRob3I+PGF1
dGhvcj5MdWR3aWcsIFMuPC9hdXRob3I+PGF1dGhvcj5HYXJkaW5lciwgUC48L2F1dGhvcj48YXV0
aG9yPlNldmVuaHV5c2VuLCBHLjwvYXV0aG9yPjxhdXRob3I+RGVhbiwgSC4gSi48L2F1dGhvcj48
YXV0aG9yPlNlbGxlcnMsIEUuPC9hdXRob3I+PGF1dGhvcj5NY0dhdm9jaywgSi48L2F1dGhvcj48
YXV0aG9yPk1vcnJpcywgTS48L2F1dGhvcj48YXV0aG9yPkppYW5nLCBELjwvYXV0aG9yPjxhdXRo
b3I+U2hlbiwgRy4gWC48L2F1dGhvcj48L2F1dGhvcnM+PC9jb250cmlidXRvcnM+PGF1dGgtYWRk
cmVzcz5EZXBhcnRtZW50cyBvZiBJbnRlcm5hbCBNZWRpY2luZSwgVW5pdmVyc2l0eSBvZiBNYW5p
dG9iYSwgUm9vbSA4MDFELCA3MTUgTWNEZXJtb3QgQXZlLCwgV2lubmlwZWcsIE1CIFIzRSAzUDQs
IENhbmFkYS4gQW15Lkh1aUBtZWQudW1hbml0b2JhLmNhLjwvYXV0aC1hZGRyZXNzPjx0aXRsZXM+
PHRpdGxlPkVmZmVjdHMgb2YgbGlmZXN0eWxlIGludGVydmVudGlvbiBvbiBkaWV0YXJ5IGludGFr
ZSwgcGh5c2ljYWwgYWN0aXZpdHkgbGV2ZWwsIGFuZCBnZXN0YXRpb25hbCB3ZWlnaHQgZ2FpbiBp
biBwcmVnbmFudCB3b21lbiB3aXRoIGRpZmZlcmVudCBwcmUtcHJlZ25hbmN5IEJvZHkgTWFzcyBJ
bmRleCBpbiBhIHJhbmRvbWl6ZWQgY29udHJvbCB0cmlhbDwvdGl0bGU+PHNlY29uZGFyeS10aXRs
ZT5CTUMgUHJlZ25hbmN5IENoaWxkYmlydGg8L3NlY29uZGFyeS10aXRsZT48L3RpdGxlcz48cGVy
aW9kaWNhbD48ZnVsbC10aXRsZT5CTUMgUHJlZ25hbmN5IENoaWxkYmlydGg8L2Z1bGwtdGl0bGU+
PC9wZXJpb2RpY2FsPjxwYWdlcz4zMzE8L3BhZ2VzPjx2b2x1bWU+MTQ8L3ZvbHVtZT48ZWRpdGlv
bj4yMDE0LzA5LzI1PC9lZGl0aW9uPjxrZXl3b3Jkcz48a2V5d29yZD5BZHVsdDwva2V5d29yZD48
a2V5d29yZD4qQm9keSBNYXNzIEluZGV4PC9rZXl3b3JkPjxrZXl3b3JkPkNvdW5zZWxpbmc8L2tl
eXdvcmQ+PGtleXdvcmQ+KkRpZXQ8L2tleXdvcmQ+PGtleXdvcmQ+RW5lcmd5IEludGFrZTwva2V5
d29yZD48a2V5d29yZD5FeGVyY2lzZSBUaGVyYXB5LyptZXRob2RzPC9rZXl3b3JkPjxrZXl3b3Jk
PkZlbWFsZTwva2V5d29yZD48a2V5d29yZD5Gb2xsb3ctVXAgU3R1ZGllczwva2V5d29yZD48a2V5
d29yZD5HZXN0YXRpb25hbCBBZ2U8L2tleXdvcmQ+PGtleXdvcmQ+SHVtYW5zPC9rZXl3b3JkPjxr
ZXl3b3JkPipMaWZlIFN0eWxlPC9rZXl3b3JkPjxrZXl3b3JkPk9iZXNpdHkvcHJldmVudGlvbiAm
YW1wOyBjb250cm9sLyp0aGVyYXB5PC9rZXl3b3JkPjxrZXl3b3JkPlBhdGllbnQgQ29tcGxpYW5j
ZS9zdGF0aXN0aWNzICZhbXA7IG51bWVyaWNhbCBkYXRhPC9rZXl3b3JkPjxrZXl3b3JkPlBhdGll
bnQgRWR1Y2F0aW9uIGFzIFRvcGljPC9rZXl3b3JkPjxrZXl3b3JkPlByZWduYW5jeTwva2V5d29y
ZD48a2V5d29yZD5QcmVnbmFuY3kgT3V0Y29tZTwva2V5d29yZD48a2V5d29yZD5QcmVuYXRhbCBD
YXJlL21ldGhvZHM8L2tleXdvcmQ+PGtleXdvcmQ+KldlaWdodCBHYWluPC9rZXl3b3JkPjxrZXl3
b3JkPllvdW5nIEFkdWx0PC9rZXl3b3JkPjwva2V5d29yZHM+PGRhdGVzPjx5ZWFyPjIwMTQ8L3ll
YXI+PHB1Yi1kYXRlcz48ZGF0ZT5TZXAgMjQ8L2RhdGU+PC9wdWItZGF0ZXM+PC9kYXRlcz48aXNi
bj4xNDcxLTIzOTMgKEVsZWN0cm9uaWMpJiN4RDsxNDcxLTIzOTMgKExpbmtpbmcpPC9pc2JuPjxh
Y2Nlc3Npb24tbnVtPjI1MjQ4Nzk3PC9hY2Nlc3Npb24tbnVtPjx1cmxzPjxyZWxhdGVkLXVybHM+
PHVybD5odHRwczovL3d3dy5uY2JpLm5sbS5uaWguZ292L3B1Ym1lZC8yNTI0ODc5NzwvdXJsPjwv
cmVsYXRlZC11cmxzPjwvdXJscz48Y3VzdG9tMj5QTUM0Mjg3NDcwPC9jdXN0b20yPjxlbGVjdHJv
bmljLXJlc291cmNlLW51bT4xMC4xMTg2LzE0NzEtMjM5My0xNC0zMzE8L2VsZWN0cm9uaWMtcmVz
b3VyY2UtbnVtPjwvcmVjb3JkPjwvQ2l0ZT48Q2l0ZT48QXV0aG9yPkppbmc8L0F1dGhvcj48WWVh
cj4yMDE1PC9ZZWFyPjxSZWNOdW0+NjA5PC9SZWNOdW0+PHJlY29yZD48cmVjLW51bWJlcj42MDk8
L3JlYy1udW1iZXI+PGZvcmVpZ24ta2V5cz48a2V5IGFwcD0iRU4iIGRiLWlkPSJleHZhc3JmeDJk
dHJhb2VzYXN4cDJzenN4YTJkZjUwMjU5MngiIHRpbWVzdGFtcD0iMTUzOTA0ODMzOSI+NjA5PC9r
ZXk+PGtleSBhcHA9IkVOV2ViIiBkYi1pZD0iIj4wPC9rZXk+PC9mb3JlaWduLWtleXM+PHJlZi10
eXBlIG5hbWU9IkpvdXJuYWwgQXJ0aWNsZSI+MTc8L3JlZi10eXBlPjxjb250cmlidXRvcnM+PGF1
dGhvcnM+PGF1dGhvcj5KaW5nLCBXLjwvYXV0aG9yPjxhdXRob3I+SHVhbmcsIFkuPC9hdXRob3I+
PGF1dGhvcj5MaXUsIFguPC9hdXRob3I+PGF1dGhvcj5MdW8sIEIuPC9hdXRob3I+PGF1dGhvcj5Z
YW5nLCBZLjwvYXV0aG9yPjxhdXRob3I+TGlhbywgUy48L2F1dGhvcj48L2F1dGhvcnM+PC9jb250
cmlidXRvcnM+PGF1dGgtYWRkcmVzcz5EZXBhcnRtZW50IG9mIE9ic3RldHJpY3MsIFdlc3QgQ2hp
bmEgU2Vjb25kIFVuaXZlcnNpdHkgSG9zcGl0YWwsIFNpY2h1YW4gVW5pdmVyc2l0eSwgQ2hlbmdk
dSwgU2ljaHVhbiwgQ2hpbmEuJiN4RDtEZXBhcnRtZW50IG9mIE9ic3RldHJpY3MsIFdlc3QgQ2hp
bmEgU2Vjb25kIFVuaXZlcnNpdHkgSG9zcGl0YWwsIFNpY2h1YW4gVW5pdmVyc2l0eSwgQ2hlbmdk
dSwgU2ljaHVhbiwgQ2hpbmEuIEVsZWN0cm9uaWMgYWRkcmVzczogMjg0MjcwNzc4QHFxLmNvbS48
L2F1dGgtYWRkcmVzcz48dGl0bGVzPjx0aXRsZT5UaGUgZWZmZWN0IG9mIGEgcGVyc29uYWxpemVk
IGludGVydmVudGlvbiBvbiB3ZWlnaHQgZ2FpbiBhbmQgcGh5c2ljYWwgYWN0aXZpdHkgYW1vbmcg
cHJlZ25hbnQgd29tZW4gaW4gQ2hpbmE8L3RpdGxlPjxzZWNvbmRhcnktdGl0bGU+SW50IEogR3lu
YWVjb2wgT2JzdGV0PC9zZWNvbmRhcnktdGl0bGU+PC90aXRsZXM+PHBlcmlvZGljYWw+PGZ1bGwt
dGl0bGU+SW50IEogR3luYWVjb2wgT2JzdGV0PC9mdWxsLXRpdGxlPjwvcGVyaW9kaWNhbD48cGFn
ZXM+MTM4LTQxPC9wYWdlcz48dm9sdW1lPjEyOTwvdm9sdW1lPjxudW1iZXI+MjwvbnVtYmVyPjxl
ZGl0aW9uPjIwMTUvMDIvMjQ8L2VkaXRpb24+PGtleXdvcmRzPjxrZXl3b3JkPkFkdWx0PC9rZXl3
b3JkPjxrZXl3b3JkPkNoaW5hPC9rZXl3b3JkPjxrZXl3b3JkPkRpYWJldGVzLCBHZXN0YXRpb25h
bC9wcmV2ZW50aW9uICZhbXA7IGNvbnRyb2w8L2tleXdvcmQ+PGtleXdvcmQ+RGlldDwva2V5d29y
ZD48a2V5d29yZD5GZW1hbGU8L2tleXdvcmQ+PGtleXdvcmQ+SHVtYW5zPC9rZXl3b3JkPjxrZXl3
b3JkPipNb3RvciBBY3Rpdml0eTwva2V5d29yZD48a2V5d29yZD5QcmVnbmFuY3k8L2tleXdvcmQ+
PGtleXdvcmQ+UHJlZ25hbmN5IENvbXBsaWNhdGlvbnMvKnByZXZlbnRpb24gJmFtcDsgY29udHJv
bDwva2V5d29yZD48a2V5d29yZD5QcmVuYXRhbCBFZHVjYXRpb24vKm1ldGhvZHM8L2tleXdvcmQ+
PGtleXdvcmQ+UHJlbmF0YWwgTnV0cml0aW9uYWwgUGh5c2lvbG9naWNhbCBQaGVub21lbmE8L2tl
eXdvcmQ+PGtleXdvcmQ+U3VydmV5cyBhbmQgUXVlc3Rpb25uYWlyZXM8L2tleXdvcmQ+PGtleXdv
cmQ+KldlaWdodCBHYWluPC9rZXl3b3JkPjxrZXl3b3JkPkV4Y2Vzc2l2ZSB3ZWlnaHQgZ2Fpbjwv
a2V5d29yZD48a2V5d29yZD5HZXN0YXRpb25hbCBkaWFiZXRlcyBtZWxsaXR1czwva2V5d29yZD48
a2V5d29yZD5IZWFsdGggYmVsaWVmIG1vZGVsPC9rZXl3b3JkPjxrZXl3b3JkPkludGVydmVudGlv
bjwva2V5d29yZD48a2V5d29yZD5QaHlzaWNhbCBhY3Rpdml0eTwva2V5d29yZD48L2tleXdvcmRz
PjxkYXRlcz48eWVhcj4yMDE1PC95ZWFyPjxwdWItZGF0ZXM+PGRhdGU+TWF5PC9kYXRlPjwvcHVi
LWRhdGVzPjwvZGF0ZXM+PGlzYm4+MTg3OS0zNDc5IChFbGVjdHJvbmljKSYjeEQ7MDAyMC03Mjky
IChMaW5raW5nKTwvaXNibj48YWNjZXNzaW9uLW51bT4yNTY5Nzk2NTwvYWNjZXNzaW9uLW51bT48
dXJscz48cmVsYXRlZC11cmxzPjx1cmw+aHR0cHM6Ly93d3cubmNiaS5ubG0ubmloLmdvdi9wdWJt
ZWQvMjU2OTc5NjU8L3VybD48L3JlbGF0ZWQtdXJscz48L3VybHM+PGVsZWN0cm9uaWMtcmVzb3Vy
Y2UtbnVtPjEwLjEwMTYvai5pamdvLjIwMTQuMTEuMDE0PC9lbGVjdHJvbmljLXJlc291cmNlLW51
bT48L3JlY29yZD48L0NpdGU+PENpdGU+PEF1dGhvcj5MdW90bzwvQXV0aG9yPjxZZWFyPjIwMTE8
L1llYXI+PFJlY051bT4xMDg0PC9SZWNOdW0+PHJlY29yZD48cmVjLW51bWJlcj4xMDg0PC9yZWMt
bnVtYmVyPjxmb3JlaWduLWtleXM+PGtleSBhcHA9IkVOIiBkYi1pZD0iZXh2YXNyZngyZHRyYW9l
c2FzeHAyc3pzeGEyZGY1MDI1OTJ4IiB0aW1lc3RhbXA9IjE1NTI5NDY1MDEiPjEwODQ8L2tleT48
a2V5IGFwcD0iRU5XZWIiIGRiLWlkPSIiPjA8L2tleT48L2ZvcmVpZ24ta2V5cz48cmVmLXR5cGUg
bmFtZT0iSm91cm5hbCBBcnRpY2xlIj4xNzwvcmVmLXR5cGU+PGNvbnRyaWJ1dG9ycz48YXV0aG9y
cz48YXV0aG9yPkx1b3RvLCBSLjwvYXV0aG9yPjxhdXRob3I+S2lubnVuZW4sIFQuIEkuPC9hdXRo
b3I+PGF1dGhvcj5BaXR0YXNhbG8sIE0uPC9hdXRob3I+PGF1dGhvcj5Lb2x1LCBQLjwvYXV0aG9y
PjxhdXRob3I+UmFpdGFuZW4sIEouPC9hdXRob3I+PGF1dGhvcj5PamFsYSwgSy48L2F1dGhvcj48
YXV0aG9yPk1hbnNpa2thbWFraSwgSy48L2F1dGhvcj48YXV0aG9yPkxhbWJlcmcsIFMuPC9hdXRo
b3I+PGF1dGhvcj5WYXNhbmthcmksIFQuPC9hdXRob3I+PGF1dGhvcj5Lb211bGFpbmVuLCBULjwv
YXV0aG9yPjxhdXRob3I+VHVsb2thcywgUy48L2F1dGhvcj48L2F1dGhvcnM+PC9jb250cmlidXRv
cnM+PGF1dGgtYWRkcmVzcz5VS0sgSW5zdGl0dXRlIGZvciBIZWFsdGggUHJvbW90aW9uIFJlc2Vh
cmNoLCBUYW1wZXJlLCBGaW5sYW5kLiByaWl0dGEubHVvdG9AdXRhLmZpPC9hdXRoLWFkZHJlc3M+
PHRpdGxlcz48dGl0bGU+UHJpbWFyeSBwcmV2ZW50aW9uIG9mIGdlc3RhdGlvbmFsIGRpYWJldGVz
IG1lbGxpdHVzIGFuZCBsYXJnZS1mb3ItZ2VzdGF0aW9uYWwtYWdlIG5ld2Jvcm5zIGJ5IGxpZmVz
dHlsZSBjb3Vuc2VsaW5nOiBhIGNsdXN0ZXItcmFuZG9taXplZCBjb250cm9sbGVkIHRyaWFsPC90
aXRsZT48c2Vjb25kYXJ5LXRpdGxlPlBMb1MgTWVkPC9zZWNvbmRhcnktdGl0bGU+PC90aXRsZXM+
PHBlcmlvZGljYWw+PGZ1bGwtdGl0bGU+UExvUyBNZWQ8L2Z1bGwtdGl0bGU+PC9wZXJpb2RpY2Fs
PjxwYWdlcz5lMTAwMTAzNjwvcGFnZXM+PHZvbHVtZT44PC92b2x1bWU+PG51bWJlcj41PC9udW1i
ZXI+PGVkaXRpb24+MjAxMS8wNS8yNjwvZWRpdGlvbj48a2V5d29yZHM+PGtleXdvcmQ+QWR1bHQ8
L2tleXdvcmQ+PGtleXdvcmQ+QmVoYXZpb3IvcGh5c2lvbG9neTwva2V5d29yZD48a2V5d29yZD5C
aXJ0aCBXZWlnaHQvKnBoeXNpb2xvZ3k8L2tleXdvcmQ+PGtleXdvcmQ+RGlhYmV0ZXMsIEdlc3Rh
dGlvbmFsLypwcmV2ZW50aW9uICZhbXA7IGNvbnRyb2w8L2tleXdvcmQ+PGtleXdvcmQ+RGlldDwv
a2V5d29yZD48a2V5d29yZD5GZW1hbGU8L2tleXdvcmQ+PGtleXdvcmQ+RmlubGFuZDwva2V5d29y
ZD48a2V5d29yZD4qR2VzdGF0aW9uYWwgQWdlPC9rZXl3b3JkPjxrZXl3b3JkPkdsdWNvc2UgVG9s
ZXJhbmNlIFRlc3Q8L2tleXdvcmQ+PGtleXdvcmQ+KkhlYWx0aCBFZHVjYXRpb248L2tleXdvcmQ+
PGtleXdvcmQ+SHVtYW5zPC9rZXl3b3JkPjxrZXl3b3JkPkluZmFudCwgTmV3Ym9ybjwva2V5d29y
ZD48a2V5d29yZD5JbnN1bGluL21ldGFib2xpc208L2tleXdvcmQ+PGtleXdvcmQ+KkxpZmUgU3R5
bGU8L2tleXdvcmQ+PGtleXdvcmQ+TW90b3IgQWN0aXZpdHk8L2tleXdvcmQ+PGtleXdvcmQ+UGF0
aWVudCBDb21wbGlhbmNlPC9rZXl3b3JkPjxrZXl3b3JkPlByZWduYW5jeTwva2V5d29yZD48a2V5
d29yZD4qUHJpbWFyeSBQcmV2ZW50aW9uPC9rZXl3b3JkPjxrZXl3b3JkPlRyZWF0bWVudCBPdXRj
b21lPC9rZXl3b3JkPjwva2V5d29yZHM+PGRhdGVzPjx5ZWFyPjIwMTE8L3llYXI+PHB1Yi1kYXRl
cz48ZGF0ZT5NYXk8L2RhdGU+PC9wdWItZGF0ZXM+PC9kYXRlcz48aXNibj4xNTQ5LTE2NzYgKEVs
ZWN0cm9uaWMpJiN4RDsxNTQ5LTEyNzcgKExpbmtpbmcpPC9pc2JuPjxhY2Nlc3Npb24tbnVtPjIx
NjEwODYwPC9hY2Nlc3Npb24tbnVtPjx1cmxzPjxyZWxhdGVkLXVybHM+PHVybD5odHRwczovL3d3
dy5uY2JpLm5sbS5uaWguZ292L3B1Ym1lZC8yMTYxMDg2MDwvdXJsPjwvcmVsYXRlZC11cmxzPjwv
dXJscz48Y3VzdG9tMj5QTUMzMDk2NjEwPC9jdXN0b20yPjxlbGVjdHJvbmljLXJlc291cmNlLW51
bT4xMC4xMzcxL2pvdXJuYWwucG1lZC4xMDAxMDM2PC9lbGVjdHJvbmljLXJlc291cmNlLW51bT48
L3JlY29yZD48L0NpdGU+PENpdGU+PEF1dGhvcj5QZXRyZWxsYTwvQXV0aG9yPjxZZWFyPjIwMTM8
L1llYXI+PFJlY051bT43NTE8L1JlY051bT48cmVjb3JkPjxyZWMtbnVtYmVyPjc1MTwvcmVjLW51
bWJlcj48Zm9yZWlnbi1rZXlzPjxrZXkgYXBwPSJFTiIgZGItaWQ9ImV4dmFzcmZ4MmR0cmFvZXNh
c3hwMnN6c3hhMmRmNTAyNTkyeCIgdGltZXN0YW1wPSIxNTQxNDY3OTMxIj43NTE8L2tleT48a2V5
IGFwcD0iRU5XZWIiIGRiLWlkPSIiPjA8L2tleT48L2ZvcmVpZ24ta2V5cz48cmVmLXR5cGUgbmFt
ZT0iSm91cm5hbCBBcnRpY2xlIj4xNzwvcmVmLXR5cGU+PGNvbnRyaWJ1dG9ycz48YXV0aG9ycz48
YXV0aG9yPlBldHJlbGxhLCBFLjwvYXV0aG9yPjxhdXRob3I+TWFsYXZvbHRpLCBNLjwvYXV0aG9y
PjxhdXRob3I+QmVydGFyaW5pLCBWLjwvYXV0aG9yPjxhdXRob3I+UGlnbmF0dGksIEwuPC9hdXRo
b3I+PGF1dGhvcj5OZXJpLCBJLjwvYXV0aG9yPjxhdXRob3I+QmF0dGlzdGluaSwgTi4gQy48L2F1
dGhvcj48YXV0aG9yPkZhY2NoaW5ldHRpLCBGLjwvYXV0aG9yPjwvYXV0aG9ycz48L2NvbnRyaWJ1
dG9ycz48dGl0bGVzPjx0aXRsZT5HZXN0YXRpb25hbCB3ZWlnaHQgZ2FpbiBpbiBvdmVyd2VpZ2h0
IGFuZCBvYmVzZSB3b21lbiBlbnJvbGxlZCBpbiBhIGhlYWx0aHkgbGlmZXN0eWxlIGFuZCBlYXRp
bmcgaGFiaXRzIHByb2dyYW08L3RpdGxlPjxzZWNvbmRhcnktdGl0bGU+SiBNYXRlcm5hbC1GZXRh
bCAmYW1wOyBOZW9uYXRhbCBNZWQ8L3NlY29uZGFyeS10aXRsZT48L3RpdGxlcz48cGVyaW9kaWNh
bD48ZnVsbC10aXRsZT5KIE1hdGVybmFsLUZldGFsICZhbXA7IE5lb25hdGFsIE1lZDwvZnVsbC10
aXRsZT48L3BlcmlvZGljYWw+PHBhZ2VzPjEzNDgtMTM1MjwvcGFnZXM+PHZvbHVtZT4yNzwvdm9s
dW1lPjxudW1iZXI+MTM8L251bWJlcj48c2VjdGlvbj4xMzQ4PC9zZWN0aW9uPjxkYXRlcz48eWVh
cj4yMDEzPC95ZWFyPjwvZGF0ZXM+PGlzYm4+MTQ3Ni03MDU4JiN4RDsxNDc2LTQ5NTQ8L2lzYm4+
PHVybHM+PC91cmxzPjxlbGVjdHJvbmljLXJlc291cmNlLW51bT4xMC4zMTA5LzE0NzY3MDU4LjIw
MTMuODU4MzE4PC9lbGVjdHJvbmljLXJlc291cmNlLW51bT48L3JlY29yZD48L0NpdGU+PENpdGU+
PEF1dGhvcj5QaGVsYW48L0F1dGhvcj48WWVhcj4yMDExPC9ZZWFyPjxSZWNOdW0+NzA1PC9SZWNO
dW0+PHJlY29yZD48cmVjLW51bWJlcj43MDU8L3JlYy1udW1iZXI+PGZvcmVpZ24ta2V5cz48a2V5
IGFwcD0iRU4iIGRiLWlkPSJleHZhc3JmeDJkdHJhb2VzYXN4cDJzenN4YTJkZjUwMjU5MngiIHRp
bWVzdGFtcD0iMTU0MDUzMDYzNiI+NzA1PC9rZXk+PC9mb3JlaWduLWtleXM+PHJlZi10eXBlIG5h
bWU9IkpvdXJuYWwgQXJ0aWNsZSI+MTc8L3JlZi10eXBlPjxjb250cmlidXRvcnM+PGF1dGhvcnM+
PGF1dGhvcj5QaGVsYW4sIFMuPC9hdXRob3I+PGF1dGhvcj5QaGlwcHMsIE0uIEcuPC9hdXRob3I+
PGF1dGhvcj5BYnJhbXMsIEIuPC9hdXRob3I+PGF1dGhvcj5EYXJyb2NoLCBGLjwvYXV0aG9yPjxh
dXRob3I+U2NoYWZmbmVyLCBBLjwvYXV0aG9yPjxhdXRob3I+V2luZywgUi4gUi48L2F1dGhvcj48
L2F1dGhvcnM+PC9jb250cmlidXRvcnM+PGF1dGgtYWRkcmVzcz5EZXBhcnRtZW50cyBvZiBLaW5l
c2lvbG9neSwgQ2FsaWZvcm5pYSBQb2x5dGVjaG5pYyBTdGF0ZSBVbml2ZXJzaXR5LCBTYW4gTHVp
cyBPYmlzcG8sIDkzNDA3LTAzODYsIFVTQS4gc3BoZWxhbkBjYWxwb2x5LmVkdTwvYXV0aC1hZGRy
ZXNzPjx0aXRsZXM+PHRpdGxlPlJhbmRvbWl6ZWQgdHJpYWwgb2YgYSBiZWhhdmlvcmFsIGludGVy
dmVudGlvbiB0byBwcmV2ZW50IGV4Y2Vzc2l2ZSBnZXN0YXRpb25hbCB3ZWlnaHQgZ2FpbjogdGhl
IEZpdCBmb3IgRGVsaXZlcnkgU3R1ZHk8L3RpdGxlPjxzZWNvbmRhcnktdGl0bGU+QW0gSiBDbGlu
IE51dHI8L3NlY29uZGFyeS10aXRsZT48L3RpdGxlcz48cGVyaW9kaWNhbD48ZnVsbC10aXRsZT5B
bSBKIENsaW4gTnV0cjwvZnVsbC10aXRsZT48L3BlcmlvZGljYWw+PHBhZ2VzPjc3Mi05PC9wYWdl
cz48dm9sdW1lPjkzPC92b2x1bWU+PG51bWJlcj40PC9udW1iZXI+PGVkaXRpb24+MjAxMS8wMi8x
MjwvZWRpdGlvbj48a2V5d29yZHM+PGtleXdvcmQ+QWR1bHQ8L2tleXdvcmQ+PGtleXdvcmQ+QmVo
YXZpb3I8L2tleXdvcmQ+PGtleXdvcmQ+KkJlaGF2aW9yIFRoZXJhcHk8L2tleXdvcmQ+PGtleXdv
cmQ+KkRpZXQ8L2tleXdvcmQ+PGtleXdvcmQ+KkV4ZXJjaXNlPC9rZXl3b3JkPjxrZXl3b3JkPkZl
bWFsZTwva2V5d29yZD48a2V5d29yZD4qSGVhbHRoIFByb21vdGlvbjwva2V5d29yZD48a2V5d29y
ZD5IdW1hbnM8L2tleXdvcmQ+PGtleXdvcmQ+SW50ZW50aW9uIHRvIFRyZWF0IEFuYWx5c2lzPC9r
ZXl3b3JkPjxrZXl3b3JkPk9iZXNpdHkvY29tcGxpY2F0aW9ucy9lcGlkZW1pb2xvZ3kvKnByZXZl
bnRpb24gJmFtcDsgY29udHJvbDwva2V5d29yZD48a2V5d29yZD5Qb3N0cGFydHVtIFBlcmlvZDwv
a2V5d29yZD48a2V5d29yZD5QcmVnbmFuY3k8L2tleXdvcmQ+PGtleXdvcmQ+UHJlZ25hbmN5IENv
bXBsaWNhdGlvbnMvKnByZXZlbnRpb24gJmFtcDsgY29udHJvbDwva2V5d29yZD48a2V5d29yZD5Q
cmV2YWxlbmNlPC9rZXl3b3JkPjxrZXl3b3JkPlJlZmVyZW5jZSBWYWx1ZXM8L2tleXdvcmQ+PGtl
eXdvcmQ+U2luZ2xlLUJsaW5kIE1ldGhvZDwva2V5d29yZD48a2V5d29yZD5TdGFuZGFyZCBvZiBD
YXJlPC9rZXl3b3JkPjxrZXl3b3JkPlRyZWF0bWVudCBPdXRjb21lPC9rZXl3b3JkPjxrZXl3b3Jk
PipXZWlnaHQgR2Fpbjwva2V5d29yZD48a2V5d29yZD5Zb3VuZyBBZHVsdDwva2V5d29yZD48L2tl
eXdvcmRzPjxkYXRlcz48eWVhcj4yMDExPC95ZWFyPjxwdWItZGF0ZXM+PGRhdGU+QXByPC9kYXRl
PjwvcHViLWRhdGVzPjwvZGF0ZXM+PGlzYm4+MTkzOC0zMjA3IChFbGVjdHJvbmljKSYjeEQ7MDAw
Mi05MTY1IChMaW5raW5nKTwvaXNibj48YWNjZXNzaW9uLW51bT4yMTMxMDgzNjwvYWNjZXNzaW9u
LW51bT48dXJscz48cmVsYXRlZC11cmxzPjx1cmw+aHR0cHM6Ly93d3cubmNiaS5ubG0ubmloLmdv
di9wdWJtZWQvMjEzMTA4MzY8L3VybD48L3JlbGF0ZWQtdXJscz48L3VybHM+PGN1c3RvbTI+UE1D
MzA1NzU0NjwvY3VzdG9tMj48ZWxlY3Ryb25pYy1yZXNvdXJjZS1udW0+MTAuMzk0NS9hamNuLjEx
MC4wMDUzMDY8L2VsZWN0cm9uaWMtcmVzb3VyY2UtbnVtPjwvcmVjb3JkPjwvQ2l0ZT48Q2l0ZT48
QXV0aG9yPlBvbGxleTwvQXV0aG9yPjxZZWFyPjIwMDI8L1llYXI+PFJlY051bT43MDY8L1JlY051
bT48cmVjb3JkPjxyZWMtbnVtYmVyPjcwNjwvcmVjLW51bWJlcj48Zm9yZWlnbi1rZXlzPjxrZXkg
YXBwPSJFTiIgZGItaWQ9ImV4dmFzcmZ4MmR0cmFvZXNhc3hwMnN6c3hhMmRmNTAyNTkyeCIgdGlt
ZXN0YW1wPSIxNTQwNTMwNjc0Ij43MDY8L2tleT48L2ZvcmVpZ24ta2V5cz48cmVmLXR5cGUgbmFt
ZT0iSm91cm5hbCBBcnRpY2xlIj4xNzwvcmVmLXR5cGU+PGNvbnRyaWJ1dG9ycz48YXV0aG9ycz48
YXV0aG9yPlBvbGxleSwgQi4gQS48L2F1dGhvcj48YXV0aG9yPldpbmcsIFIuIFIuPC9hdXRob3I+
PGF1dGhvcj5TaW1zLCBDLiBKLjwvYXV0aG9yPjwvYXV0aG9ycz48L2NvbnRyaWJ1dG9ycz48YXV0
aC1hZGRyZXNzPlVuaXZlcnNpdHkgb2YgUGl0dHNidXJnaCwgUGl0dHNidXJnaCwgUGVubnN5bHZh
bmlhLCBVU0EuPC9hdXRoLWFkZHJlc3M+PHRpdGxlcz48dGl0bGU+UmFuZG9taXplZCBjb250cm9s
bGVkIHRyaWFsIHRvIHByZXZlbnQgZXhjZXNzaXZlIHdlaWdodCBnYWluIGluIHByZWduYW50IHdv
bWVuPC90aXRsZT48c2Vjb25kYXJ5LXRpdGxlPkludCBKIE9iZXMgUmVsYXQgTWV0YWIgRGlzb3Jk
PC9zZWNvbmRhcnktdGl0bGU+PC90aXRsZXM+PHBlcmlvZGljYWw+PGZ1bGwtdGl0bGU+SW50IEog
T2JlcyBSZWxhdCBNZXRhYiBEaXNvcmQ8L2Z1bGwtdGl0bGU+PC9wZXJpb2RpY2FsPjxwYWdlcz4x
NDk0LTUwMjwvcGFnZXM+PHZvbHVtZT4yNjwvdm9sdW1lPjxudW1iZXI+MTE8L251bWJlcj48ZWRp
dGlvbj4yMDAyLzExLzIwPC9lZGl0aW9uPjxrZXl3b3Jkcz48a2V5d29yZD5BZHVsdDwva2V5d29y
ZD48a2V5d29yZD5FeGVyY2lzZSBUaGVyYXB5LyptZXRob2RzPC9rZXl3b3JkPjxrZXl3b3JkPkZl
bWFsZTwva2V5d29yZD48a2V5d29yZD5IZWFsdGggQmVoYXZpb3I8L2tleXdvcmQ+PGtleXdvcmQ+
SHVtYW5zPC9rZXl3b3JkPjxrZXl3b3JkPk9iZXNpdHkvKnByZXZlbnRpb24gJmFtcDsgY29udHJv
bDwva2V5d29yZD48a2V5d29yZD5Qb3N0bmF0YWwgQ2FyZS9tZXRob2RzPC9rZXl3b3JkPjxrZXl3
b3JkPlByZWduYW5jeTwva2V5d29yZD48a2V5d29yZD5QcmVnbmFuY3kgQ29tcGxpY2F0aW9ucy8q
cHJldmVudGlvbiAmYW1wOyBjb250cm9sPC9rZXl3b3JkPjxrZXl3b3JkPlByZWduYW5jeSBPdXRj
b21lPC9rZXl3b3JkPjxrZXl3b3JkPlByZW5hdGFsIENhcmUvbWV0aG9kczwva2V5d29yZD48a2V5
d29yZD5XZWlnaHQgR2Fpbjwva2V5d29yZD48L2tleXdvcmRzPjxkYXRlcz48eWVhcj4yMDAyPC95
ZWFyPjxwdWItZGF0ZXM+PGRhdGU+Tm92PC9kYXRlPjwvcHViLWRhdGVzPjwvZGF0ZXM+PGFjY2Vz
c2lvbi1udW0+MTI0Mzk2NTI8L2FjY2Vzc2lvbi1udW0+PHVybHM+PHJlbGF0ZWQtdXJscz48dXJs
Pmh0dHBzOi8vd3d3Lm5jYmkubmxtLm5paC5nb3YvcHVibWVkLzEyNDM5NjUyPC91cmw+PC9yZWxh
dGVkLXVybHM+PC91cmxzPjxlbGVjdHJvbmljLXJlc291cmNlLW51bT4xMC4xMDM4L3NqLmlqby4w
ODAyMTMwPC9lbGVjdHJvbmljLXJlc291cmNlLW51bT48L3JlY29yZD48L0NpdGU+PENpdGU+PEF1
dGhvcj5Qb3N0b248L0F1dGhvcj48WWVhcj4yMDE1PC9ZZWFyPjxSZWNOdW0+NjEyPC9SZWNOdW0+
PHJlY29yZD48cmVjLW51bWJlcj42MTI8L3JlYy1udW1iZXI+PGZvcmVpZ24ta2V5cz48a2V5IGFw
cD0iRU4iIGRiLWlkPSJleHZhc3JmeDJkdHJhb2VzYXN4cDJzenN4YTJkZjUwMjU5MngiIHRpbWVz
dGFtcD0iMTUzOTA0ODM0OCI+NjEyPC9rZXk+PGtleSBhcHA9IkVOV2ViIiBkYi1pZD0iIj4wPC9r
ZXk+PC9mb3JlaWduLWtleXM+PHJlZi10eXBlIG5hbWU9IkpvdXJuYWwgQXJ0aWNsZSI+MTc8L3Jl
Zi10eXBlPjxjb250cmlidXRvcnM+PGF1dGhvcnM+PGF1dGhvcj5Qb3N0b24sIEwuLDwvYXV0aG9y
PjxhdXRob3I+QmVsbCwgUi4sPC9hdXRob3I+PGF1dGhvcj5Dcm9rZXIsIEguLDwvYXV0aG9yPjxh
dXRob3I+Rmx5bm4sIEEuQy4sPC9hdXRob3I+PGF1dGhvcj5Hb2RmcmV5LCBLLk0uLDwvYXV0aG9y
PjxhdXRob3I+R29mZiwgTC4sPC9hdXRob3I+PC9hdXRob3JzPjwvY29udHJpYnV0b3JzPjx0aXRs
ZXM+PHRpdGxlPkVmZmVjdCBvZiBhIGJlaGF2aW91cmFsIGludGVydmVudGlvbiBpbiBvYmVzZSBw
cmVnbmFudCB3b21lbiAodGhlIFVQQkVBVCBzdHVkeSk6IGEgbXVsdGljZW50cmUsIHJhbmRvbWlz
ZWQgY29udHJvbGxlZCB0cmlhbDwvdGl0bGU+PHNlY29uZGFyeS10aXRsZT5UaGUgTGFuY2V0IERp
YWJldGVzICZhbXA7IEVuZG9jcmlub2xvZ3k8L3NlY29uZGFyeS10aXRsZT48L3RpdGxlcz48cGVy
aW9kaWNhbD48ZnVsbC10aXRsZT5UaGUgTGFuY2V0IERpYWJldGVzICZhbXA7IEVuZG9jcmlub2xv
Z3k8L2Z1bGwtdGl0bGU+PC9wZXJpb2RpY2FsPjxwYWdlcz43NjctNzc3PC9wYWdlcz48dm9sdW1l
PjM8L3ZvbHVtZT48bnVtYmVyPjEwPC9udW1iZXI+PHNlY3Rpb24+NzY3PC9zZWN0aW9uPjxkYXRl
cz48eWVhcj4yMDE1PC95ZWFyPjwvZGF0ZXM+PGlzYm4+MjIxMzg1ODc8L2lzYm4+PHVybHM+PC91
cmxzPjxlbGVjdHJvbmljLXJlc291cmNlLW51bT4xMC4xMDE2L3MyMjEzLTg1ODcoMTUpMDAyMjct
MjwvZWxlY3Ryb25pYy1yZXNvdXJjZS1udW0+PC9yZWNvcmQ+PC9DaXRlPjxDaXRlPjxBdXRob3I+
UmF1aDwvQXV0aG9yPjxZZWFyPjIwMTM8L1llYXI+PFJlY051bT4xMTA5PC9SZWNOdW0+PHJlY29y
ZD48cmVjLW51bWJlcj4xMTA5PC9yZWMtbnVtYmVyPjxmb3JlaWduLWtleXM+PGtleSBhcHA9IkVO
IiBkYi1pZD0iZXh2YXNyZngyZHRyYW9lc2FzeHAyc3pzeGEyZGY1MDI1OTJ4IiB0aW1lc3RhbXA9
IjE1NTI5NDg0ODUiPjExMDk8L2tleT48L2ZvcmVpZ24ta2V5cz48cmVmLXR5cGUgbmFtZT0iSm91
cm5hbCBBcnRpY2xlIj4xNzwvcmVmLXR5cGU+PGNvbnRyaWJ1dG9ycz48YXV0aG9ycz48YXV0aG9y
PlJhdWgsIEsuPC9hdXRob3I+PGF1dGhvcj5HYWJyaWVsLCBFLjwvYXV0aG9yPjxhdXRob3I+S2Vy
c2NoYmF1bSwgRS48L2F1dGhvcj48YXV0aG9yPlNjaHVzdGVyLCBULjwvYXV0aG9yPjxhdXRob3I+
dm9uIEtyaWVzLCBSLjwvYXV0aG9yPjxhdXRob3I+QW1hbm4tR2Fzc25lciwgVS48L2F1dGhvcj48
YXV0aG9yPkhhdW5lciwgSC48L2F1dGhvcj48L2F1dGhvcnM+PC9jb250cmlidXRvcnM+PHRpdGxl
cz48dGl0bGU+U2FmZXR5IGFuZCBlZmZpY2FjeSBvZiBhIGxpZmVzdHlsZSBpbnRlcnZlbnRpb24g
Zm9yIHByZWduYW50IHdvbWVuIHRvIHByZXZlbnQgZXhjZXNzaXZlIG1hdGVybmFsIHdlaWdodCBn
YWluOiBhIGNsdXN0ZXItcmFuZG9taXplZCBjb250cm9sbGVkIHRyaWFsPC90aXRsZT48c2Vjb25k
YXJ5LXRpdGxlPkJNQyBQcmVnbmFuY3kgQ2hpbGRiaXJ0aDwvc2Vjb25kYXJ5LXRpdGxlPjwvdGl0
bGVzPjxwZXJpb2RpY2FsPjxmdWxsLXRpdGxlPkJNQyBQcmVnbmFuY3kgQ2hpbGRiaXJ0aDwvZnVs
bC10aXRsZT48L3BlcmlvZGljYWw+PHBhZ2VzPjE1MTwvcGFnZXM+PHZvbHVtZT4xMzwvdm9sdW1l
PjxlZGl0aW9uPjIwMTMvMDcvMjA8L2VkaXRpb24+PGtleXdvcmRzPjxrZXl3b3JkPkFkdWx0PC9r
ZXl3b3JkPjxrZXl3b3JkPipCaXJ0aCBXZWlnaHQ8L2tleXdvcmQ+PGtleXdvcmQ+Q291bnNlbGlu
Zy8qbWV0aG9kczwva2V5d29yZD48a2V5d29yZD4qRW5lcmd5IEludGFrZTwva2V5d29yZD48a2V5
d29yZD5GZWFzaWJpbGl0eSBTdHVkaWVzPC9rZXl3b3JkPjxrZXl3b3JkPkZlbWFsZTwva2V5d29y
ZD48a2V5d29yZD5IdW1hbnM8L2tleXdvcmQ+PGtleXdvcmQ+SW5mYW50LCBOZXdib3JuPC9rZXl3
b3JkPjxrZXl3b3JkPipNb3RvciBBY3Rpdml0eTwva2V5d29yZD48a2V5d29yZD5PYmVzaW==
</w:fldData>
        </w:fldChar>
      </w:r>
      <w:r w:rsidR="002747EA">
        <w:rPr>
          <w:lang w:val="en-AU"/>
        </w:rPr>
        <w:instrText xml:space="preserve"> ADDIN EN.CITE.DATA </w:instrText>
      </w:r>
      <w:r w:rsidR="002747EA">
        <w:rPr>
          <w:lang w:val="en-AU"/>
        </w:rPr>
      </w:r>
      <w:r w:rsidR="002747EA">
        <w:rPr>
          <w:lang w:val="en-AU"/>
        </w:rPr>
        <w:fldChar w:fldCharType="end"/>
      </w:r>
      <w:r w:rsidR="002747EA">
        <w:rPr>
          <w:lang w:val="en-AU"/>
        </w:rPr>
        <w:fldChar w:fldCharType="begin">
          <w:fldData xml:space="preserve">dHkvKnByZXZlbnRpb24gJmFtcDsgY29udHJvbDwva2V5d29yZD48a2V5d29yZD5PdmVyd2VpZ2h0
L3ByZXZlbnRpb24gJmFtcDsgY29udHJvbDwva2V5d29yZD48a2V5d29yZD5Qb3N0cGFydHVtIFBl
cmlvZDwva2V5d29yZD48a2V5d29yZD5QcmVnbmFuY3k8L2tleXdvcmQ+PGtleXdvcmQ+UHJlZ25h
bmN5IENvbXBsaWNhdGlvbnMvKnByZXZlbnRpb24gJmFtcDsgY29udHJvbDwva2V5d29yZD48a2V5
d29yZD5QcmVnbmFuY3kgT3V0Y29tZTwva2V5d29yZD48a2V5d29yZD4qV2VpZ2h0IEdhaW48L2tl
eXdvcmQ+PC9rZXl3b3Jkcz48ZGF0ZXM+PHllYXI+MjAxMzwveWVhcj48cHViLWRhdGVzPjxkYXRl
Pkp1bCAxNjwvZGF0ZT48L3B1Yi1kYXRlcz48L2RhdGVzPjxpc2JuPjE0NzEtMjM5MyAoRWxlY3Ry
b25pYykmI3hEOzE0NzEtMjM5MyAoTGlua2luZyk8L2lzYm4+PGFjY2Vzc2lvbi1udW0+MjM4NjU2
MjQ8L2FjY2Vzc2lvbi1udW0+PHVybHM+PHJlbGF0ZWQtdXJscz48dXJsPmh0dHBzOi8vd3d3Lm5j
YmkubmxtLm5paC5nb3YvcHVibWVkLzIzODY1NjI0PC91cmw+PC9yZWxhdGVkLXVybHM+PC91cmxz
PjxjdXN0b20yPlBNQzM3MTg3MDc8L2N1c3RvbTI+PGVsZWN0cm9uaWMtcmVzb3VyY2UtbnVtPjEw
LjExODYvMTQ3MS0yMzkzLTEzLTE1MTwvZWxlY3Ryb25pYy1yZXNvdXJjZS1udW0+PC9yZWNvcmQ+
PC9DaXRlPjxDaXRlPjxBdXRob3I+UmVuYXVsdDwvQXV0aG9yPjxZZWFyPjIwMTQ8L1llYXI+PFJl
Y051bT45Mzc8L1JlY051bT48cmVjb3JkPjxyZWMtbnVtYmVyPjkzNzwvcmVjLW51bWJlcj48Zm9y
ZWlnbi1rZXlzPjxrZXkgYXBwPSJFTiIgZGItaWQ9ImV4dmFzcmZ4MmR0cmFvZXNhc3hwMnN6c3hh
MmRmNTAyNTkyeCIgdGltZXN0YW1wPSIxNTQxNTQxODE0Ij45Mzc8L2tleT48a2V5IGFwcD0iRU5X
ZWIiIGRiLWlkPSIiPjA8L2tleT48L2ZvcmVpZ24ta2V5cz48cmVmLXR5cGUgbmFtZT0iSm91cm5h
bCBBcnRpY2xlIj4xNzwvcmVmLXR5cGU+PGNvbnRyaWJ1dG9ycz48YXV0aG9ycz48YXV0aG9yPlJl
bmF1bHQsIEsuIE0uPC9hdXRob3I+PGF1dGhvcj5Ob3JnYWFyZCwgSy48L2F1dGhvcj48YXV0aG9y
Pk5pbGFzLCBMLjwvYXV0aG9yPjxhdXRob3I+Q2FybHNlbiwgRS4gTS48L2F1dGhvcj48YXV0aG9y
PkNvcnRlcywgRC48L2F1dGhvcj48YXV0aG9yPlByeWRzLCBPLjwvYXV0aG9yPjxhdXRob3I+U2Vj
aGVyLCBOLiBKLjwvYXV0aG9yPjwvYXV0aG9ycz48L2NvbnRyaWJ1dG9ycz48YXV0aC1hZGRyZXNz
PkRlcGFydG1lbnQgb2YgT2JzdGV0cmljcyBhbmQgR3luZWNvbG9neSwgSHZpZG92cmUgSG9zcGl0
YWwsIFVuaXZlcnNpdHkgb2YgQ29wZW5oYWdlbiwgSHZpZG92cmUsIERlbm1hcmsuIEVsZWN0cm9u
aWMgYWRkcmVzczogS3JlbmF1bHRAZGFkbG5ldC5kay4mI3hEO0RlcGFydG1lbnQgb2YgRW5kb2Ny
aW5vbG9neSwgSHZpZG92cmUgSG9zcGl0YWwsIFVuaXZlcnNpdHkgb2YgQ29wZW5oYWdlbiwgSHZp
ZG92cmUsIERlbm1hcmsuJiN4RDtEZXBhcnRtZW50IG9mIE9ic3RldHJpY3MgYW5kIEd5bmVjb2xv
Z3ksIEh2aWRvdnJlIEhvc3BpdGFsLCBVbml2ZXJzaXR5IG9mIENvcGVuaGFnZW4sIEh2aWRvdnJl
LCBEZW5tYXJrLiYjeEQ7RGVwYXJ0bWVudCBvZiBQZWRpYXRyaWNzLCBIdmlkb3ZyZSBIb3NwaXRh
bCwgVW5pdmVyc2l0eSBvZiBDb3BlbmhhZ2VuLCBIdmlkb3ZyZSwgRGVubWFyay48L2F1dGgtYWRk
cmVzcz48dGl0bGVzPjx0aXRsZT5UaGUgVHJlYXRtZW50IG9mIE9iZXNlIFByZWduYW50IFdvbWVu
IChUT1ApIHN0dWR5OiBhIHJhbmRvbWl6ZWQgY29udHJvbGxlZCB0cmlhbCBvZiB0aGUgZWZmZWN0
IG9mIHBoeXNpY2FsIGFjdGl2aXR5IGludGVydmVudGlvbiBhc3Nlc3NlZCBieSBwZWRvbWV0ZXIg
d2l0aCBvciB3aXRob3V0IGRpZXRhcnkgaW50ZXJ2ZW50aW9uIGluIG9iZXNlIHByZWduYW50IHdv
bWVuPC90aXRsZT48c2Vjb25kYXJ5LXRpdGxlPkFtIEogT2JzdGV0IEd5bmVjb2w8L3NlY29uZGFy
eS10aXRsZT48L3RpdGxlcz48cGVyaW9kaWNhbD48ZnVsbC10aXRsZT5BbSBKIE9ic3RldCBHeW5l
Y29sPC9mdWxsLXRpdGxlPjwvcGVyaW9kaWNhbD48cGFnZXM+MTM0IGUxLTk8L3BhZ2VzPjx2b2x1
bWU+MjEwPC92b2x1bWU+PG51bWJlcj4yPC9udW1iZXI+PGVkaXRpb24+MjAxMy8wOS8yNjwvZWRp
dGlvbj48a2V5d29yZHM+PGtleXdvcmQ+QWN0aWdyYXBoeTwva2V5d29yZD48a2V5d29yZD5BZHVs
dDwva2V5d29yZD48a2V5d29yZD5Db21iaW5lZCBNb2RhbGl0eSBUaGVyYXB5PC9rZXl3b3JkPjxr
ZXl3b3JkPkRpZXQsIE1lZGl0ZXJyYW5lYW48L2tleXdvcmQ+PGtleXdvcmQ+RW5lcmd5IEludGFr
ZTwva2V5d29yZD48a2V5d29yZD4qRXhlcmNpc2U8L2tleXdvcmQ+PGtleXdvcmQ+RmVtYWxlPC9r
ZXl3b3JkPjxrZXl3b3JkPkh1bWFuczwva2V5d29yZD48a2V5d29yZD5PYmVzaXR5L2RpZXQgdGhl
cmFweS8qdGhlcmFweTwva2V5d29yZD48a2V5d29yZD5QcmVnbmFuY3k8L2tleXdvcmQ+PGtleXdv
cmQ+UHJlZ25hbmN5IENvbXBsaWNhdGlvbnMvZGlldCB0aGVyYXB5Lyp0aGVyYXB5PC9rZXl3b3Jk
PjxrZXl3b3JkPmRpZXQ8L2tleXdvcmQ+PGtleXdvcmQ+aW50ZXJ2ZW50aW9uPC9rZXl3b3JkPjxr
ZXl3b3JkPm9iZXNpdHk8L2tleXdvcmQ+PGtleXdvcmQ+cGVkb21ldGVyPC9rZXl3b3JkPjxrZXl3
b3JkPnBoeXNpY2FsIGFjdGl2aXR5PC9rZXl3b3JkPjwva2V5d29yZHM+PGRhdGVzPjx5ZWFyPjIw
MTQ8L3llYXI+PHB1Yi1kYXRlcz48ZGF0ZT5GZWI8L2RhdGU+PC9wdWItZGF0ZXM+PC9kYXRlcz48
aXNibj4xMDk3LTY4NjggKEVsZWN0cm9uaWMpJiN4RDswMDAyLTkzNzggKExpbmtpbmcpPC9pc2Ju
PjxhY2Nlc3Npb24tbnVtPjI0MDYwNDQ5PC9hY2Nlc3Npb24tbnVtPjx1cmxzPjxyZWxhdGVkLXVy
bHM+PHVybD5odHRwczovL3d3dy5uY2JpLm5sbS5uaWguZ292L3B1Ym1lZC8yNDA2MDQ0OTwvdXJs
PjwvcmVsYXRlZC11cmxzPjwvdXJscz48ZWxlY3Ryb25pYy1yZXNvdXJjZS1udW0+MTAuMTAxNi9q
LmFqb2cuMjAxMy4wOS4wMjk8L2VsZWN0cm9uaWMtcmVzb3VyY2UtbnVtPjwvcmVjb3JkPjwvQ2l0
ZT48Q2l0ZT48QXV0aG9yPlJvbm5iZXJnPC9BdXRob3I+PFllYXI+MjAxNTwvWWVhcj48UmVjTnVt
Pjc1NDwvUmVjTnVtPjxyZWNvcmQ+PHJlYy1udW1iZXI+NzU0PC9yZWMtbnVtYmVyPjxmb3JlaWdu
LWtleXM+PGtleSBhcHA9IkVOIiBkYi1pZD0iZXh2YXNyZngyZHRyYW9lc2FzeHAyc3pzeGEyZGY1
MDI1OTJ4IiB0aW1lc3RhbXA9IjE1NDE0Njc5NTIiPjc1NDwva2V5PjxrZXkgYXBwPSJFTldlYiIg
ZGItaWQ9IiI+MDwva2V5PjwvZm9yZWlnbi1rZXlzPjxyZWYtdHlwZSBuYW1lPSJKb3VybmFsIEFy
dGljbGUiPjE3PC9yZWYtdHlwZT48Y29udHJpYnV0b3JzPjxhdXRob3JzPjxhdXRob3I+Um9ubmJl
cmcsIEEuIEsuPC9hdXRob3I+PGF1dGhvcj5Pc3RsdW5kLCBJLjwvYXV0aG9yPjxhdXRob3I+RmFk
bCwgSC48L2F1dGhvcj48YXV0aG9yPkdvdHR2YWxsLCBULjwvYXV0aG9yPjxhdXRob3I+Tmlsc3Nv
biwgSy48L2F1dGhvcj48L2F1dGhvcnM+PC9jb250cmlidXRvcnM+PHRpdGxlcz48dGl0bGU+SW50
ZXJ2ZW50aW9uIGR1cmluZyBwcmVnbmFuY3kgdG8gcmVkdWNlIGV4Y2Vzc2l2ZSBnZXN0YXRpb25h
bCB3ZWlnaHQgZ2Fpbi1hIHJhbmRvbWlzZWQgY29udHJvbGxlZCB0cmlhbDwvdGl0bGU+PHNlY29u
ZGFyeS10aXRsZT5CSk9HOiBBbiBJbnRlcm5hdGlvbmFsIEpvdXJuYWwgb2YgT2JzdGV0cmljcyAm
YW1wOyBHeW5hZWNvbG9neTwvc2Vjb25kYXJ5LXRpdGxlPjwvdGl0bGVzPjxwZXJpb2RpY2FsPjxm
dWxsLXRpdGxlPkJKT0c6IEFuIEludGVybmF0aW9uYWwgSm91cm5hbCBvZiBPYnN0ZXRyaWNzICZh
bXA7IEd5bmFlY29sb2d5PC9mdWxsLXRpdGxlPjwvcGVyaW9kaWNhbD48cGFnZXM+NTM3LTU0NDwv
cGFnZXM+PHZvbHVtZT4xMjI8L3ZvbHVtZT48bnVtYmVyPjQ8L251bWJlcj48c2VjdGlvbj41Mzc8
L3NlY3Rpb24+PGRhdGVzPjx5ZWFyPjIwMTU8L3llYXI+PC9kYXRlcz48aXNibj4xNDcwMDMyODwv
aXNibj48dXJscz48L3VybHM+PGVsZWN0cm9uaWMtcmVzb3VyY2UtbnVtPjEwLjExMTEvMTQ3MS0w
NTI4LjEzMTMxPC9lbGVjdHJvbmljLXJlc291cmNlLW51bT48L3JlY29yZD48L0NpdGU+PENpdGU+
PEF1dGhvcj5TYWdlZGFsPC9BdXRob3I+PFllYXI+MjAxNzwvWWVhcj48UmVjTnVtPjkzOTwvUmVj
TnVtPjxyZWNvcmQ+PHJlYy1udW1iZXI+OTM5PC9yZWMtbnVtYmVyPjxmb3JlaWduLWtleXM+PGtl
eSBhcHA9IkVOIiBkYi1pZD0iZXh2YXNyZngyZHRyYW9lc2FzeHAyc3pzeGEyZGY1MDI1OTJ4IiB0
aW1lc3RhbXA9IjE1NDE1NDE4MjIiPjkzOTwva2V5PjxrZXkgYXBwPSJFTldlYiIgZGItaWQ9IiI+
MDwva2V5PjwvZm9yZWlnbi1rZXlzPjxyZWYtdHlwZSBuYW1lPSJKb3VybmFsIEFydGljbGUiPjE3
PC9yZWYtdHlwZT48Y29udHJpYnV0b3JzPjxhdXRob3JzPjxhdXRob3I+U2FnZWRhbCwgTC4gUi48
L2F1dGhvcj48YXV0aG9yPlZpc3RhZCwgSS48L2F1dGhvcj48YXV0aG9yPk92ZXJieSwgTi4gQy48
L2F1dGhvcj48YXV0aG9yPkJlcmUsIEUuPC9hdXRob3I+PGF1dGhvcj5Ub3JzdHZlaXQsIE0uIEsu
PC9hdXRob3I+PGF1dGhvcj5Mb2huZS1TZWlsZXIsIEguPC9hdXRob3I+PGF1dGhvcj5IaWxsZXN1
bmQsIEUuIFIuPC9hdXRob3I+PGF1dGhvcj5QcmlwcCwgQS48L2F1dGhvcj48YXV0aG9yPkhlbnJp
a3NlbiwgVC48L2F1dGhvcj48L2F1dGhvcnM+PC9jb250cmlidXRvcnM+PGF1dGgtYWRkcmVzcz5E
ZXBhcnRtZW50IG9mIE9ic3RldHJpY3MgYW5kIEd5bmVjb2xvZ3kvRGVwYXJ0bWVudCBvZiBSZXNl
YXJjaCwgU29ybGFuZGV0IEhvc3BpdGFsLCBQb3N0Ym94IDQxNiwgNDYwNCwgS3Jpc3RpYW5zYW5k
LCBOb3J3YXkuIGxpbmRhLnNhZ2VkYWxAc3NoZi5uby4mI3hEO0RlcGFydG1lbnQgb2YgT2JzdGV0
cmljcyBhbmQgR3luZWNvbG9neS9EZXBhcnRtZW50IG9mIFJlc2VhcmNoLCBTb3JsYW5kZXQgSG9z
cGl0YWwsIFBvc3Rib3ggNDE2LCA0NjA0LCBLcmlzdGlhbnNhbmQsIE5vcndheS4mI3hEO0RlcGFy
dG1lbnQgb2YgUHVibGljIEhlYWx0aCwgU3BvcnRzIGFuZCBOdXRyaXRpb24sIFVuaXZlcnNpdHkg
b2YgQWdkZXIsIFBvc3Rib3ggNDIyLCA0NjA0LCBLcmlzdGlhbnNhbmQsIE5vcndheS4mI3hEO0Rl
cGFydG1lbnQgb2YgQmlvc3RhdGlzdGljcyBhbmQgRXBpZGVtaW9sb2d5LCBPc2xvIFVuaXZlcnNp
dHkgSG9zcGl0YWwsIFBvc3Rib3ggNDk1MCwgTnlkYWxlbiwgMDQyNCwgT3NsbywgTm9yd2F5LiYj
eEQ7U2VjdGlvbiBvZiBPYnN0ZXRyaWNzLCBXb21lbiBhbmQgQ2hpbGRyZW4mYXBvcztzIERpdmlz
aW9uLCBPc2xvIFVuaXZlcnNpdHkgSG9zcGl0YWwgYW5kIFVuaXZlcnNpdHkgb2YgT3NsbywgUG9z
dGJveCA0OTUwLCBOeWRhbGVuLCAwNDI0LCBPc2xvLCBOb3J3YXkuPC9hdXRoLWFkZHJlc3M+PHRp
dGxlcz48dGl0bGU+VGhlIGVmZmVjdCBvZiBhIHByZW5hdGFsIGxpZmVzdHlsZSBpbnRlcnZlbnRp
b24gb24gZ2x1Y29zZSBtZXRhYm9saXNtOiByZXN1bHRzIG9mIHRoZSBOb3J3ZWdpYW4gRml0IGZv
ciBEZWxpdmVyeSByYW5kb21pemVkIGNvbnRyb2xsZWQgdHJpYWw8L3RpdGxlPjxzZWNvbmRhcnkt
dGl0bGU+Qk1DIFByZWduYW5jeSBDaGlsZGJpcnRoPC9zZWNvbmRhcnktdGl0bGU+PC90aXRsZXM+
PHBlcmlvZGljYWw+PGZ1bGwtdGl0bGU+Qk1DIFByZWduYW5jeSBDaGlsZGJpcnRoPC9mdWxsLXRp
dGxlPjwvcGVyaW9kaWNhbD48cGFnZXM+MTY3PC9wYWdlcz48dm9sdW1lPjE3PC92b2x1bWU+PG51
bWJlcj4xPC9udW1iZXI+PGVkaXRpb24+MjAxNy8wNi8wNTwvZWRpdGlvbj48a2V5d29yZHM+PGtl
eXdvcmQ+QWR1bHQ8L2tleXdvcmQ+PGtleXdvcmQ+Qm9keSBNYXNzIEluZGV4PC9rZXl3b3JkPjxr
ZXl3b3JkPkRpYWJldGVzLCBHZXN0YXRpb25hbC9wcmV2ZW50aW9uICZhbXA7IGNvbnRyb2w8L2tl
eXdvcmQ+PGtleXdvcmQ+RmVtYWxlPC9rZXl3b3JkPjxrZXl3b3JkPkhlYWx0aCBQcm9tb3Rpb24v
Km1ldGhvZHM8L2tleXdvcmQ+PGtleXdvcmQ+SHVtYW5zPC9rZXl3b3JkPjxrZXl3b3JkPipJbnN1
bGluIFJlc2lzdGFuY2U8L2tleXdvcmQ+PGtleXdvcmQ+Tm9yd2F5PC9rZXl3b3JkPjxrZXl3b3Jk
Pk9iZXNpdHkvbWV0YWJvbGlzbS8qcHJldmVudGlvbiAmYW1wOyBjb250cm9sPC9rZXl3b3JkPjxr
ZXl3b3JkPlByZWduYW5jeTwva2V5d29yZD48a2V5d29yZD5QcmVnbmFuY3kgQ29tcGxpY2F0aW9u
cy9tZXRhYm9saXNtLypwcmV2ZW50aW9uICZhbXA7IGNvbnRyb2w8L2tleXdvcmQ+PGtleXdvcmQ+
UHJlbmF0YWwgQ2FyZS8qbWV0aG9kczwva2V5d29yZD48a2V5d29yZD5Zb3VuZyBBZHVsdDwva2V5
d29yZD48a2V5d29yZD5HZXN0YXRpb25hbCBkaWFiZXRlczwva2V5d29yZD48a2V5d29yZD5JbnRl
cnZlbnRpb248L2tleXdvcmQ+PGtleXdvcmQ+TGlmZXN0eWxlPC9rZXl3b3JkPjxrZXl3b3JkPk9i
ZXNpdHk8L2tleXdvcmQ+PGtleXdvcmQ+T3ZlcndlaWdodDwva2V5d29yZD48L2tleXdvcmRzPjxk
YXRlcz48eWVhcj4yMDE3PC95ZWFyPjxwdWItZGF0ZXM+PGRhdGU+SnVuIDI8L2RhdGU+PC9wdWIt
ZGF0ZXM+PC9kYXRlcz48aXNibj4xNDcxLTIzOTMgKEVsZWN0cm9uaWMpJiN4RDsxNDcxLTIzOTMg
KExpbmtpbmcpPC9pc2JuPjxhY2Nlc3Npb24tbnVtPjI4NTc3NTQ1PC9hY2Nlc3Npb24tbnVtPjx1
cmxzPjxyZWxhdGVkLXVybHM+PHVybD5odHRwczovL3d3dy5uY2JpLm5sbS5uaWguZ292L3B1Ym1l
ZC8yODU3NzU0NTwvdXJsPjwvcmVsYXRlZC11cmxzPjwvdXJscz48Y3VzdG9tMj5QTUM1NDU3NTQz
PC9jdXN0b20yPjxlbGVjdHJvbmljLXJlc291cmNlLW51bT4xMC4xMTg2L3MxMjg4NC0wMTctMTM0
MC02PC9lbGVjdHJvbmljLXJlc291cmNlLW51bT48L3JlY29yZD48L0NpdGU+PENpdGU+PEF1dGhv
cj5TaW1tb25zPC9BdXRob3I+PFllYXI+MjAxNzwvWWVhcj48UmVjTnVtPjEwNTc8L1JlY051bT48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bnVtPjwvcmVjb3JkPjwvQ2l0ZT48Q2l0ZT48QXV0aG9yPlZlc2NvPC9BdXRob3I+PFllYXI+MjAx
MjwvWWVhcj48UmVjTnVtPjExMzA8L1JlY051bT48cmVjb3JkPjxyZWMtbnVtYmVyPjExMzA8L3Jl
Yy1udW1iZXI+PGZvcmVpZ24ta2V5cz48a2V5IGFwcD0iRU4iIGRiLWlkPSJleHZhc3JmeDJkdHJh
b2VzYXN4cDJzenN4YTJkZjUwMjU5MngiIHRpbWVzdGFtcD0iMTU1MzQwODk4NiI+MTEzMDwva2V5
PjwvZm9yZWlnbi1rZXlzPjxyZWYtdHlwZSBuYW1lPSJKb3VybmFsIEFydGljbGUiPjE3PC9yZWYt
dHlwZT48Y29udHJpYnV0b3JzPjxhdXRob3JzPjxhdXRob3I+VmVzY28sIEsuIEsuPC9hdXRob3I+
PGF1dGhvcj5LYXJhbmphLCBOLjwvYXV0aG9yPjxhdXRob3I+S2luZywgSi4gQy48L2F1dGhvcj48
YXV0aG9yPkdpbGxtYW4sIE0uIFcuPC9hdXRob3I+PGF1dGhvcj5QZXJyaW4sIE4uPC9hdXRob3I+
PGF1dGhvcj5NY0V2b3ksIEMuPC9hdXRob3I+PGF1dGhvcj5FY2toYXJkdCwgQy48L2F1dGhvcj48
YXV0aG9yPlNtaXRoLCBLLiBTLjwvYXV0aG9yPjxhdXRob3I+U3RldmVucywgVi4gSi48L2F1dGhv
cj48L2F1dGhvcnM+PC9jb250cmlidXRvcnM+PGF1dGgtYWRkcmVzcz5DZW50ZXIgZm9yIEhlYWx0
aCBSZXNlYXJjaCwgS2Fpc2VyIFBlcm1hbmVudGUsIE5vcnRod2VzdCwgUG9ydGxhbmQsIE9SIDk3
MjI3LCBVU0EuIGtpbWJlcmx5LmsudmVzY29Aa3BjaHIub3JnPC9hdXRoLWFkZHJlc3M+PHRpdGxl
cz48dGl0bGU+SGVhbHRoeSBNb21zLCBhIHJhbmRvbWl6ZWQgdHJpYWwgdG8gcHJvbW90ZSBhbmQg
ZXZhbHVhdGUgd2VpZ2h0IG1haW50ZW5hbmNlIGFtb25nIG9iZXNlIHByZWduYW50IHdvbWVuOiBz
dHVkeSBkZXNpZ24gYW5kIHJhdGlvbmFsZTwvdGl0bGU+PHNlY29uZGFyeS10aXRsZT5Db250ZW1w
IENsaW4gVHJpYWxzPC9zZWNvbmRhcnktdGl0bGU+PC90aXRsZXM+PHBlcmlvZGljYWw+PGZ1bGwt
dGl0bGU+Q29udGVtcCBDbGluIFRyaWFsczwvZnVsbC10aXRsZT48L3BlcmlvZGljYWw+PHBhZ2Vz
Pjc3Ny04NTwvcGFnZXM+PHZvbHVtZT4zMzwvdm9sdW1lPjxudW1iZXI+NDwvbnVtYmVyPjxlZGl0
aW9uPjIwMTIvMDQvMDM8L2VkaXRpb24+PGtleXdvcmRzPjxrZXl3b3JkPkFkb2xlc2NlbnQ8L2tl
eXdvcmQ+PGtleXdvcmQ+QWR1bHQ8L2tleXdvcmQ+PGtleXdvcmQ+QmlydGggV2VpZ2h0PC9rZXl3
b3JkPjxrZXl3b3JkPkNsaW5pY2FsIFByb3RvY29sczwva2V5d29yZD48a2V5d29yZD5Db21iaW5l
ZCBNb2RhbGl0eSBUaGVyYXB5PC9rZXl3b3JkPjxrZXl3b3JkPkRpZXQgVGhlcmFweS8qbWV0aG9k
czwva2V5d29yZD48a2V5d29yZD5FeGVyY2lzZSBUaGVyYXB5LyptZXRob2RzPC9rZXl3b3JkPjxr
ZXl3b3JkPkZlYXNpYmlsaXR5IFN0dWRpZXM8L2tleXdvcmQ+PGtleXdvcmQ+RmVtYWxlPC9rZXl3
b3JkPjxrZXl3b3JkPkh1bWFuczwva2V5d29yZD48a2V5d29yZD5JbmZhbnQsIE5ld2Jvcm48L2tl
eXdvcmQ+PGtleXdvcmQ+SW50ZW50aW9uIHRvIFRyZWF0IEFuYWx5c2lzPC9rZXl3b3JkPjxrZXl3
b3JkPkxvZ2lzdGljIE1vZGVsczwva2V5d29yZD48a2V5d29yZD5PYmVzaXR5Lyp0aGVyYXB5PC9r
ZXl3b3JkPjxrZXl3b3JkPlByZWduYW5jeTwva2V5d29yZD48a2V5d29yZD5QcmVnbmFuY3kgQ29t
cGxpY2F0aW9ucy8qdGhlcmFweTwva2V5d29yZD48a2V5d29yZD5Qc3ljaG90aGVyYXB5LCBHcm91
cC8qbWV0aG9kczwva2V5d29yZD48a2V5d29yZD5SZXNlYXJjaCBEZXNpZ248L2tleXdvcmQ+PGtl
eXdvcmQ+VHJlYXRtZW50IE91dGNvbWU8L2tleXdvcmQ+PGtleXdvcmQ+V2VpZ2h0IEdhaW48L2tl
eXdvcmQ+PGtleXdvcmQ+WW91bmcgQWR1bHQ8L2tleXdvcmQ+PC9rZXl3b3Jkcz48ZGF0ZXM+PHll
YXI+MjAxMjwveWVhcj48cHViLWRhdGVzPjxkYXRlPkp1bDwvZGF0ZT48L3B1Yi1kYXRlcz48L2Rh
dGVzPjxpc2JuPjE1NTktMjAzMCAoRWxlY3Ryb25pYykmI3hEOzE1NTEtNzE0NCAoTGlua2luZyk8
L2lzYm4+PGFjY2Vzc2lvbi1udW0+MjI0NjUyNTY8L2FjY2Vzc2lvbi1udW0+PHVybHM+PHJlbGF0
ZWQtdXJscz48dXJsPmh0dHBzOi8vd3d3Lm5jYmkubmxtLm5paC5nb3YvcHVibWVkLzIyNDY1MjU2
PC91cmw+PC9yZWxhdGVkLXVybHM+PC91cmxzPjxjdXN0b20yPlBNQzMzNjE1MTk8L2N1c3RvbTI+
PGVsZWN0cm9uaWMtcmVzb3VyY2UtbnVtPjEwLjEwMTYvai5jY3QuMjAxMi4wMy4wMDY8L2VsZWN0
cm9uaWMtcmVzb3VyY2UtbnVtPjwvcmVjb3JkPjwvQ2l0ZT48Q2l0ZT48QXV0aG9yPlZpbnRlcjwv
QXV0aG9yPjxZZWFyPjIwMTE8L1llYXI+PFJlY051bT4xMTExPC9SZWNOdW0+PHJlY29yZD48cmVj
LW51bWJlcj4xMTExPC9yZWMtbnVtYmVyPjxmb3JlaWduLWtleXM+PGtleSBhcHA9IkVOIiBkYi1p
ZD0iZXh2YXNyZngyZHRyYW9lc2FzeHAyc3pzeGEyZGY1MDI1OTJ4IiB0aW1lc3RhbXA9IjE1NTI5
NDg2MTciPjExMTE8L2tleT48L2ZvcmVpZ24ta2V5cz48cmVmLXR5cGUgbmFtZT0iSm91cm5hbCBB
cnRpY2xlIj4xNzwvcmVmLXR5cGU+PGNvbnRyaWJ1dG9ycz48YXV0aG9ycz48YXV0aG9yPlZpbnRl
ciwgQy4gQS48L2F1dGhvcj48YXV0aG9yPkplbnNlbiwgRC4gTS48L2F1dGhvcj48YXV0aG9yPk92
ZXNlbiwgUC48L2F1dGhvcj48YXV0aG9yPkJlY2stTmllbHNlbiwgSC48L2F1dGhvcj48YXV0aG9y
PkpvcmdlbnNlbiwgSi4gUy48L2F1dGhvcj48L2F1dGhvcnM+PC9jb250cmlidXRvcnM+PGF1dGgt
YWRkcmVzcz5EZXBhcnRtZW50IG9mIEd5bmVjb2xvZ3kgYW5kIE9ic3RldHJpY3MsIE9kZW5zZSBV
bml2ZXJzaXR5IEhvc3BpdGFsLCBPZGVuc2UsIERlbm1hcmsuIGMudmludGVyQGRhZGxuZXQuZGs8
L2F1dGgtYWRkcmVzcz48dGl0bGVzPjx0aXRsZT5UaGUgTGlQIChMaWZlc3R5bGUgaW4gUHJlZ25h
bmN5KSBzdHVkeTogYSByYW5kb21pemVkIGNvbnRyb2xsZWQgdHJpYWwgb2YgbGlmZXN0eWxlIGlu
dGVydmVudGlvbiBpbiAzNjAgb2Jlc2UgcHJlZ25hbnQgd29tZW48L3RpdGxlPjxzZWNvbmRhcnkt
dGl0bGU+RGlhYmV0ZXMgQ2FyZTwvc2Vjb25kYXJ5LXRpdGxlPjwvdGl0bGVzPjxwZXJpb2RpY2Fs
PjxmdWxsLXRpdGxlPkRpYWJldGVzIENhcmU8L2Z1bGwtdGl0bGU+PC9wZXJpb2RpY2FsPjxwYWdl
cz4yNTAyLTc8L3BhZ2VzPjx2b2x1bWU+MzQ8L3ZvbHVtZT48bnVtYmVyPjEyPC9udW1iZXI+PGVk
aXRpb24+MjAxMS8xMC8wNjwvZWRpdGlvbj48a2V5d29yZHM+PGtleXdvcmQ+QWRvbGVzY2VudDwv
a2V5d29yZD48a2V5d29yZD5BZHVsdDwva2V5d29yZD48a2V5d29yZD5EZW5tYXJrPC9rZXl3b3Jk
PjxrZXl3b3JkPkRpcmVjdGl2ZSBDb3Vuc2VsaW5nPC9rZXl3b3JkPjxrZXl3b3JkPkZlbWFsZTwv
a2V5d29yZD48a2V5d29yZD5IdW1hbnM8L2tleXdvcmQ+PGtleXdvcmQ+KkxpZmUgU3R5bGU8L2tl
eXdvcmQ+PGtleXdvcmQ+TW90b3IgQWN0aXZpdHk8L2tleXdvcmQ+PGtleXdvcmQ+T2Jlc2l0eS9k
aWV0IHRoZXJhcHkvKnRoZXJhcHk8L2tleXdvcmQ+PGtleXdvcmQ+UGh5c2ljYWwgRWR1Y2F0aW9u
IGFuZCBUcmFpbmluZzwva2V5d29yZD48a2V5d29yZD5QcmVnbmFuY3k8L2tleXdvcmQ+PGtleXdv
cmQ+UHJlZ25hbmN5IENvbXBsaWNhdGlvbnMvZGlldCB0aGVyYXB5Lyp0aGVyYXB5PC9rZXl3b3Jk
PjxrZXl3b3JkPlByZWduYW5jeSBPdXRjb21lPC9rZXl3b3JkPjxrZXl3b3JkPldlaWdodCBHYWlu
PC9rZXl3b3JkPjwva2V5d29yZHM+PGRhdGVzPjx5ZWFyPjIwMTE8L3llYXI+PHB1Yi1kYXRlcz48
ZGF0ZT5EZWM8L2RhdGU+PC9wdWItZGF0ZXM+PC9kYXRlcz48aXNibj4xOTM1LTU1NDggKEVsZWN0
cm9uaWMpJiN4RDswMTQ5LTU5OTIgKExpbmtpbmcpPC9pc2JuPjxhY2Nlc3Npb24tbnVtPjIxOTcy
NDExPC9hY2Nlc3Npb24tbnVtPjx1cmxzPjxyZWxhdGVkLXVybHM+PHVybD5odHRwczovL3d3dy5u
Y2JpLm5sbS5uaWguZ292L3B1Ym1lZC8yMTk3MjQxMTwvdXJsPjwvcmVsYXRlZC11cmxzPjwvdXJs
cz48Y3VzdG9tMj5QTUMzMjIwODQ0PC9jdXN0b20yPjxlbGVjdHJvbmljLXJlc291cmNlLW51bT4x
MC4yMzM3L2RjMTEtMTE1MDwvZWxlY3Ryb25pYy1yZXNvdXJjZS1udW0+PC9yZWNvcmQ+PC9DaXRl
PjxDaXRlPjxBdXRob3I+V2lsbGNveDwvQXV0aG9yPjxZZWFyPjIwMTc8L1llYXI+PFJlY051bT45
NjU8L1JlY051bT48cmVjb3JkPjxyZWMtbnVtYmVyPjk2NTwvcmVjLW51bWJlcj48Zm9yZWlnbi1r
ZXlzPjxrZXkgYXBwPSJFTiIgZGItaWQ9ImV4dmFzcmZ4MmR0cmFvZXNhc3hwMnN6c3hhMmRmNTAy
NTkyeCIgdGltZXN0YW1wPSIxNTUyOTUwMDc5Ij45NjU8L2tleT48a2V5IGFwcD0iRU5XZWIiIGRi
LWlkPSIiPjA8L2tleT48L2ZvcmVpZ24ta2V5cz48cmVmLXR5cGUgbmFtZT0iSm91cm5hbCBBcnRp
Y2xlIj4xNzwvcmVmLXR5cGU+PGNvbnRyaWJ1dG9ycz48YXV0aG9ycz48YXV0aG9yPldpbGxjb3gs
IEouQy4sPC9hdXRob3I+PGF1dGhvcj5XaWxraW5zb24sIFMuQS4sPC9hdXRob3I+PGF1dGhvcj5M
YXBwYXMsIE0uLDwvYXV0aG9yPjxhdXRob3I+QmFsbCwgSy4sPC9hdXRob3I+PGF1dGhvcj5DcmF3
Zm9yZCwgRC4sPC9hdXRob3I+PGF1dGhvcj5NY0NhcnRoeSwgRS5BLiw8L2F1dGhvcj48YXV0aG9y
PkZqZWxkc29lLCBCLiw8L2F1dGhvcj48L2F1dGhvcnM+PC9jb250cmlidXRvcnM+PGF1dGgtYWRk
cmVzcz5EZXBhcnRtZW50cyBvZiBNZWRpY2luZSwgUHVibGljIEhlYWx0aCwgYW5kIE9iL0d5biwg
VGVtcGxlIFVuaXZlcnNpdHksIFBoaWxhZGVscGhpYSwgUEEsIFVTQS48L2F1dGgtYWRkcmVzcz48
dGl0bGVzPjx0aXRsZT5BIG1vYmlsZSBoZWFsdGggaW50ZXJ2ZW50aW9uIHByb21vdGluZyBoZWFs
dGh5IGdlc3RhdGlvbmFsIHdlaWdodCBnYWluIGZvciB3b21lbiBlbnRlcmluZyBwcmVnbmFuY3kg
YXQgYSBoaWdoIGJvZHkgbWFzcyBpbmRleDogdGhlIHR4dDR0d28gcGlsb3QgcmFuZG9taXNlZCBj
b250cm9sbGVkIHRyaWFsPC90aXRsZT48c2Vjb25kYXJ5LXRpdGxlPkJKT0c8L3NlY29uZGFyeS10
aXRsZT48L3RpdGxlcz48cGVyaW9kaWNhbD48ZnVsbC10aXRsZT5CSk9HPC9mdWxsLXRpdGxlPjwv
cGVyaW9kaWNhbD48cGFnZXM+MTcxOC0yODwvcGFnZXM+PHZvbHVtZT4xMjQ8L3ZvbHVtZT48bnVt
YmVyPjExPC9udW1iZXI+PGVkaXRpb24+MjAxNy8wNC8yMDwvZWRpdGlvbj48ZGF0ZXM+PHllYXI+
MjAxNzwveWVhcj48cHViLWRhdGVzPjxkYXRlPk9jdDwvZGF0ZT48L3B1Yi1kYXRlcz48L2RhdGVz
Pjxpc2JuPjE0NzEtMDUyOCAoRWxlY3Ryb25pYykmI3hEOzE0NzAtMDMyOCAoTGlua2luZyk8L2lz
Ym4+PGFjY2Vzc2lvbi1udW0+Mjg0MjIzOTg8L2FjY2Vzc2lvbi1udW0+PHVybHM+PHJlbGF0ZWQt
dXJscz48dXJsPmh0dHBzOi8vd3d3Lm5jYmkubmxtLm5paC5nb3YvcHVibWVkLzI4NDIyMzk4PC91
cmw+PC9yZWxhdGVkLXVybHM+PC91cmxzPjxlbGVjdHJvbmljLXJlc291cmNlLW51bT4xMC4xMTEx
LzE0NzEtMDUyOC4xNDY5MzwvZWxlY3Ryb25pYy1yZXNvdXJjZS1udW0+PC9yZWNvcmQ+PC9DaXRl
PjxDaXRlPjxBdXRob3I+VmFuIEhvcm48L0F1dGhvcj48WWVhcj4yMDE4PC9ZZWFyPjxSZWNOdW0+
MTM3NjwvUmVjTnVtPjxyZWNvcmQ+PHJlYy1udW1iZXI+MTM3NjwvcmVjLW51bWJlcj48Zm9yZWln
bi1rZXlzPjxrZXkgYXBwPSJFTiIgZGItaWQ9ImV4dmFzcmZ4MmR0cmFvZXNhc3hwMnN6c3hhMmRm
NTAyNTkyeCIgdGltZXN0YW1wPSIxNTY3MDM1OTg3Ij4xMzc2PC9rZXk+PGtleSBhcHA9IkVOV2Vi
IiBkYi1pZD0iIj4wPC9rZXk+PC9mb3JlaWduLWtleXM+PHJlZi10eXBlIG5hbWU9IkpvdXJuYWwg
QXJ0aWNsZSI+MTc8L3JlZi10eXBlPjxjb250cmlidXRvcnM+PGF1dGhvcnM+PGF1dGhvcj5WYW4g
SG9ybiwgTC48L2F1dGhvcj48YXV0aG9yPlBlYWNlbWFuLCBBLjwvYXV0aG9yPjxhdXRob3I+S3dh
c255LCBNLjwvYXV0aG9yPjxhdXRob3I+VmluY2VudCwgRS48L2F1dGhvcj48YXV0aG9yPkZvdWdo
dCwgQS48L2F1dGhvcj48YXV0aG9yPkpvc2Vmc29uLCBKLjwvYXV0aG9yPjxhdXRob3I+U3ByaW5n
LCBCLjwvYXV0aG9yPjxhdXRob3I+TmVmZiwgTC4gTS48L2F1dGhvcj48YXV0aG9yPkdlcm5ob2Zl
ciwgTi48L2F1dGhvcj48L2F1dGhvcnM+PC9jb250cmlidXRvcnM+PGF1dGgtYWRkcmVzcz5EZXBh
cnRtZW50IG9mIFByZXZlbnRpdmUgTWVkaWNpbmUsIE5vcnRod2VzdGVybiBVbml2ZXJzaXR5IEZl
aW5iZXJnIFNjaG9vbCBvZiBNZWRpY2luZSwgQ2hpY2FnbywgSWxsaW5vaXMuIEVsZWN0cm9uaWMg
YWRkcmVzczogbHZhbmhvcm5Abm9ydGh3ZXN0ZXJuLmVkdS4mI3hEO0RlcGFydG1lbnQgb2YgT2Jz
dGV0cmljcyBhbmQgR3luZWNvbG9neSwgTm9ydGh3ZXN0ZXJuIFVuaXZlcnNpdHkgRmVpbmJlcmcg
U2Nob29sIG9mIE1lZGljaW5lLCBDaGljYWdvLCBJbGxpbm9pcy4mI3hEO0RlcGFydG1lbnQgb2Yg
UHJldmVudGl2ZSBNZWRpY2luZSwgTm9ydGh3ZXN0ZXJuIFVuaXZlcnNpdHkgRmVpbmJlcmcgU2No
b29sIG9mIE1lZGljaW5lLCBDaGljYWdvLCBJbGxpbm9pcy4mI3hEO0RlcGFydG1lbnQgb2YgUHJl
dmVudGl2ZSBNZWRpY2luZSwgTm9ydGh3ZXN0ZXJuIFVuaXZlcnNpdHkgRmVpbmJlcmcgU2Nob29s
IG9mIE1lZGljaW5lLCBDaGljYWdvLCBJbGxpbm9pczsgQW5uIGFuZCBSb2JlcnQgSC4gTHVyaWUg
Q2hpbGRyZW4mYXBvcztzIEhvc3BpdGFsIG9mIENoaWNhZ28sIENoaWNhZ28sIElsbGlub2lzLiYj
eEQ7RGVwYXJ0bWVudCBvZiBNZWRpY2luZSwgTm9ydGh3ZXN0ZXJuIFVuaXZlcnNpdHkgRmVpbmJl
cmcgU2Nob29sIG9mIE1lZGljaW5lLCBDaGljYWdvLCBJbGxpbm9pcy48L2F1dGgtYWRkcmVzcz48
dGl0bGVzPjx0aXRsZT5EaWV0YXJ5IEFwcHJvYWNoZXMgdG8gU3RvcCBIeXBlcnRlbnNpb24gRGll
dCBhbmQgQWN0aXZpdHkgdG8gTGltaXQgR2VzdGF0aW9uYWwgV2VpZ2h0OiBNYXRlcm5hbCBPZmZz
cHJpbmcgTWV0YWJvbGljcyBGYW1pbHkgSW50ZXJ2ZW50aW9uIFRyaWFsLCBhIFRlY2hub2xvZ3kg
RW5oYW5jZWQgUmFuZG9taXplZCBUcmlhbDwvdGl0bGU+PHNlY29uZGFyeS10aXRsZT5BbSBKIFBy
ZXYgTWVkPC9zZWNvbmRhcnktdGl0bGU+PC90aXRsZXM+PHBlcmlvZGljYWw+PGZ1bGwtdGl0bGU+
QW0gSiBQcmV2IE1lZDwvZnVsbC10aXRsZT48L3BlcmlvZGljYWw+PHBhZ2VzPjYwMy02MTQ8L3Bh
Z2VzPjx2b2x1bWU+NTU8L3ZvbHVtZT48bnVtYmVyPjU8L251bWJlcj48ZWRpdGlvbj4yMDE4LzA5
LzI5PC9lZGl0aW9uPjxkYXRlcz48eWVhcj4yMDE4PC95ZWFyPjxwdWItZGF0ZXM+PGRhdGU+Tm92
PC9kYXRlPjwvcHViLWRhdGVzPjwvZGF0ZXM+PGlzYm4+MTg3My0yNjA3IChFbGVjdHJvbmljKSYj
eEQ7MDc0OS0zNzk3IChMaW5raW5nKTwvaXNibj48YWNjZXNzaW9uLW51bT4zMDI2MjE0ODwvYWNj
ZXNzaW9uLW51bT48dXJscz48cmVsYXRlZC11cmxzPjx1cmw+aHR0cHM6Ly93d3cubmNiaS5ubG0u
bmloLmdvdi9wdWJtZWQvMzAyNjIxNDg8L3VybD48L3JlbGF0ZWQtdXJscz48L3VybHM+PGVsZWN0
cm9uaWMtcmVzb3VyY2UtbnVtPjEwLjEwMTYvai5hbWVwcmUuMjAxOC4wNi4wMTU8L2VsZWN0cm9u
aWMtcmVzb3VyY2UtbnVtPjwvcmVjb3JkPjwvQ2l0ZT48Q2l0ZT48QXV0aG9yPkt1bmF0aDwvQXV0
aG9yPjxZZWFyPjIwMTk8L1llYXI+PFJlY051bT4xMzc3PC9SZWNOdW0+PHJlY29yZD48cmVjLW51
bWJlcj4xMzc3PC9yZWMtbnVtYmVyPjxmb3JlaWduLWtleXM+PGtleSBhcHA9IkVOIiBkYi1pZD0i
ZXh2YXNyZngyZHRyYW9lc2FzeHAyc3pzeGEyZGY1MDI1OTJ4IiB0aW1lc3RhbXA9IjE1NjcwMzk1
MzYiPjEzNzc8L2tleT48a2V5IGFwcD0iRU5XZWIiIGRiLWlkPSIiPjA8L2tleT48L2ZvcmVpZ24t
a2V5cz48cmVmLXR5cGUgbmFtZT0iSm91cm5hbCBBcnRpY2xlIj4xNzwvcmVmLXR5cGU+PGNvbnRy
aWJ1dG9ycz48YXV0aG9ycz48YXV0aG9yPkt1bmF0aCwgSi48L2F1dGhvcj48YXV0aG9yPkd1bnRo
ZXIsIEouPC9hdXRob3I+PGF1dGhvcj5SYXVoLCBLLjwvYXV0aG9yPjxhdXRob3I+SG9mZm1hbm4s
IEouPC9hdXRob3I+PGF1dGhvcj5TdGVjaGVyLCBMLjwvYXV0aG9yPjxhdXRob3I+Um9zZW5mZWxk
LCBFLjwvYXV0aG9yPjxhdXRob3I+S2ljaywgTC48L2F1dGhvcj48YXV0aG9yPlVsbSwgSy48L2F1
dGhvcj48YXV0aG9yPkhhdW5lciwgSC48L2F1dGhvcj48L2F1dGhvcnM+PC9jb250cmlidXRvcnM+
PGF1dGgtYWRkcmVzcz5FbHNlIEtyb25lci1GcmVzZW5pdXMtQ2VudHJlIGZvciBOdXRyaXRpb25h
bCBNZWRpY2luZSwgS2xpbmlrdW0gcmVjaHRzIGRlciBJc2FyLCBUZWNobmljYWwgVW5pdmVyc2l0
eSBvZiBNdW5pY2gsIEdlb3JnLUJyYXVjaGxlLVJpbmcgNjIsIDgwOTkyLCBNdW5pY2gsIEdlcm1h
bnkuJiN4RDtDb21wZXRlbmNlIENlbnRyZSBmb3IgTnV0cml0aW9uIChLRXJuKSwgQW0gR2VyZXV0
aCA0LCA4NTM1NCwgRnJlaXNpbmcsIEdlcm1hbnkuJiN4RDtJbnN0aXR1dGUgb2YgTWVkaWNhbCBJ
bmZvcm1hdGljcywgU3RhdGlzdGljcyBhbmQgRXBpZGVtaW9sb2d5LCBLbGluaWt1bSByZWNodHMg
ZGVyIElzYXIsIFRlY2huaWNhbCBVbml2ZXJzaXR5IG9mIE11bmljaCwgSXNtYW5pbmdlciBTdHJh
c3NlIDIyLCA4MTY3NSwgTXVuaWNoLCBHZXJtYW55LiYjeEQ7RWxzZSBLcm9uZXItRnJlc2VuaXVz
LUNlbnRyZSBmb3IgTnV0cml0aW9uYWwgTWVkaWNpbmUsIEtsaW5pa3VtIHJlY2h0cyBkZXIgSXNh
ciwgVGVjaG5pY2FsIFVuaXZlcnNpdHkgb2YgTXVuaWNoLCBHZW9yZy1CcmF1Y2hsZS1SaW5nIDYy
LCA4MDk5MiwgTXVuaWNoLCBHZXJtYW55LiBoYW5zLmhhdW5lckB0dW0uZGUuPC9hdXRoLWFkZHJl
c3M+PHRpdGxlcz48dGl0bGU+RWZmZWN0cyBvZiBhIGxpZmVzdHlsZSBpbnRlcnZlbnRpb24gZHVy
aW5nIHByZWduYW5jeSB0byBwcmV2ZW50IGV4Y2Vzc2l2ZSBnZXN0YXRpb25hbCB3ZWlnaHQgZ2Fp
biBpbiByb3V0aW5lIGNhcmUgLSB0aGUgY2x1c3Rlci1yYW5kb21pc2VkIEdlbGlTIHRyaWFsPC90
aXRsZT48c2Vjb25kYXJ5LXRpdGxlPkJNQyBNZWQ8L3NlY29uZGFyeS10aXRsZT48L3RpdGxlcz48
cGVyaW9kaWNhbD48ZnVsbC10aXRsZT5CTUMgTWVkPC9mdWxsLXRpdGxlPjwvcGVyaW9kaWNhbD48
cGFnZXM+NTwvcGFnZXM+PHZvbHVtZT4xNzwvdm9sdW1lPjxudW1iZXI+MTwvbnVtYmVyPjxlZGl0
aW9uPjIwMTkvMDEvMTU8L2VkaXRpb24+PGtleXdvcmRzPjxrZXl3b3JkPkFkdWx0PC9rZXl3b3Jk
PjxrZXl3b3JkPkNvdW5zZWxpbmcvbWV0aG9kczwva2V5d29yZD48a2V5d29yZD5EaWFiZXRlcywg
R2VzdGF0aW9uYWwvcHJldmVudGlvbiAmYW1wOyBjb250cm9sPC9rZXl3b3JkPjxrZXl3b3JkPkRp
ZXQgVGhlcmFweS9tZXRob2RzPC9rZXl3b3JkPjxrZXl3b3JkPkV4ZXJjaXNlIFRoZXJhcHkvbWV0
aG9kczwva2V5d29yZD48a2V5d29yZD5GZW1hbGU8L2tleXdvcmQ+PGtleXdvcmQ+Kkdlc3RhdGlv
bmFsIFdlaWdodCBHYWluPC9rZXl3b3JkPjxrZXl3b3JkPkh1bWFuczwva2V5d29yZD48a2V5d29y
ZD5MaWZlIFN0eWxlPC9rZXl3b3JkPjxrZXl3b3JkPlBlZGlhdHJpYyBPYmVzaXR5L3ByZXZlbnRp
b24gJmFtcDsgY29udHJvbDwva2V5d29yZD48a2V5d29yZD5QcmVnbmFuY3k8L2tleXdvcmQ+PGtl
eXdvcmQ+UHJlZ25hbmN5IENvbXBsaWNhdGlvbnMvKnByZXZlbnRpb24gJmFtcDsgY29udHJvbDwv
a2V5d29yZD48a2V5d29yZD5QcmVuYXRhbCBDYXJlLyptZXRob2RzPC9rZXl3b3JkPjxrZXl3b3Jk
PipMaWZlc3R5bGUgaW50ZXJ2ZW50aW9uPC9rZXl3b3JkPjxrZXl3b3JkPipjaGlsZGhvb2Qgb2Jl
c2l0eTwva2V5d29yZD48a2V5d29yZD4qZGlldDwva2V5d29yZD48a2V5d29yZD4qZXhlcmNpc2U8
L2tleXdvcmQ+PGtleXdvcmQ+Kmdlc3RhdGlvbmFsIGRpYWJldGVzPC9rZXl3b3JkPjxrZXl3b3Jk
PipvYmVzaXR5IHByZXZlbnRpb248L2tleXdvcmQ+PGtleXdvcmQ+Km9ic3RldHJpYyBvdXRjb21l
czwva2V5d29yZD48a2V5d29yZD4qcHJlZ25hbmN5PC9rZXl3b3JkPjxrZXl3b3JkPip3ZWlnaHQg
cmV0ZW50aW9uPC9rZXl3b3JkPjwva2V5d29yZHM+PGRhdGVzPjx5ZWFyPjIwMTk8L3llYXI+PHB1
Yi1kYXRlcz48ZGF0ZT5KYW4gMTQ8L2RhdGU+PC9wdWItZGF0ZXM+PC9kYXRlcz48aXNibj4xNzQx
LTcwMTUgKEVsZWN0cm9uaWMpJiN4RDsxNzQxLTcwMTUgKExpbmtpbmcpPC9pc2JuPjxhY2Nlc3Np
b24tbnVtPjMwNjM2NjM2PC9hY2Nlc3Npb24tbnVtPjx1cmxzPjxyZWxhdGVkLXVybHM+PHVybD5o
dHRwczovL3d3dy5uY2JpLm5sbS5uaWguZ292L3B1Ym1lZC8zMDYzNjYzNjwvdXJsPjwvcmVsYXRl
ZC11cmxzPjwvdXJscz48Y3VzdG9tMj5QTUM2MzMwNzUzPC9jdXN0b20yPjxlbGVjdHJvbmljLXJl
c291cmNlLW51bT4xMC4xMTg2L3MxMjkxNi0wMTgtMTIzNS16PC9lbGVjdHJvbmljLXJlc291cmNl
LW51bT48L3JlY29yZD48L0NpdGU+PENpdGU+PEF1dGhvcj5LZW5uZWxseTwvQXV0aG9yPjxZZWFy
PjIwMTg8L1llYXI+PFJlY051bT4xMzc4PC9SZWNOdW0+PHJlY29yZD48cmVjLW51bWJlcj4xMzc4
PC9yZWMtbnVtYmVyPjxmb3JlaWduLWtleXM+PGtleSBhcHA9IkVOIiBkYi1pZD0iZXh2YXNyZngy
ZHRyYW9lc2FzeHAyc3pzeGEyZGY1MDI1OTJ4IiB0aW1lc3RhbXA9IjE1NjcwNTQzOTciPjEzNzg8
L2tleT48a2V5IGFwcD0iRU5XZWIiIGRiLWlkPSIiPjA8L2tleT48L2ZvcmVpZ24ta2V5cz48cmVm
LXR5cGUgbmFtZT0iSm91cm5hbCBBcnRpY2xlIj4xNzwvcmVmLXR5cGU+PGNvbnRyaWJ1dG9ycz48
YXV0aG9ycz48YXV0aG9yPktlbm5lbGx5LCBNLiBBLjwvYXV0aG9yPjxhdXRob3I+QWluc2NvdWdo
LCBLLjwvYXV0aG9yPjxhdXRob3I+TGluZHNheSwgSy4gTC48L2F1dGhvcj48YXV0aG9yPk8mYXBv
cztTdWxsaXZhbiwgRS48L2F1dGhvcj48YXV0aG9yPkdpYm5leSwgRS4gUi48L2F1dGhvcj48YXV0
aG9yPk1jQ2FydGh5LCBNLjwvYXV0aG9yPjxhdXRob3I+U2VndXJhZG8sIFIuPC9hdXRob3I+PGF1
dGhvcj5EZVZpdG8sIEcuPC9hdXRob3I+PGF1dGhvcj5NYWd1aXJlLCBPLjwvYXV0aG9yPjxhdXRo
b3I+U21pdGgsIFQuPC9hdXRob3I+PGF1dGhvcj5IYXR1bmljLCBNLjwvYXV0aG9yPjxhdXRob3I+
TWNBdWxpZmZlLCBGLiBNLjwvYXV0aG9yPjwvYXV0aG9ycz48L2NvbnRyaWJ1dG9ycz48YXV0aC1h
ZGRyZXNzPlVDRCBQZXJpbmF0YWwgUmVzZWFyY2ggQ2VudHJlLCBPYnN0ZXRyaWNzIGFuZCBHeW5h
ZWNvbG9neSwgU2Nob29sIG9mIE1lZGljaW5lLCB0aGUgVUNEIEluc3RpdHV0ZSBvZiBGb29kIGFu
ZCBIZWFsdGgsIFVDRCBDU1RBUiwgYW5kIHRoZSBTY2hvb2wgb2YgUHVibGljIEhlYWx0aCwgUGh5
c2ljYWwgJmFtcDsgU3BvcnRzIFNjaWVuY2VzLCBIZWFsdGggU2NpZW5jZXMgQ2VudHJlLCBVbml2
ZXJzaXR5IENvbGxlZ2UgRHVibGluLCBEdWJsaW4sIHRoZSBEZXBhcnRtZW50IG9mIE1hbmFnZW1l
bnQgJmFtcDsgTWFya2V0aW5nLCBVbml2ZXJzaXR5IENvbGxlZ2UgQ29yaywgQ29yaywgYW5kIHRo
ZSBEZXBhcnRtZW50IG9mIEVuZG9jcmlub2xvZ3ksIFN0LiBWaW5jZW50JmFwb3M7cyBVbml2ZXJz
aXR5IEhvc3BpdGFsLCBhbmQgdGhlIERlcGFydG1lbnQgb2YgRW5kb2NyaW5vbG9neSwgTmF0aW9u
YWwgTWF0ZXJuaXR5IEhvc3BpdGFsLCBEdWJsaW4sIElyZWxhbmQuPC9hdXRoLWFkZHJlc3M+PHRp
dGxlcz48dGl0bGU+UHJlZ25hbmN5IEV4ZXJjaXNlIGFuZCBOdXRyaXRpb24gV2l0aCBTbWFydHBo
b25lIEFwcGxpY2F0aW9uIFN1cHBvcnQ6IEEgUmFuZG9taXplZCBDb250cm9sbGVkIFRyaWFsPC90
aXRsZT48c2Vjb25kYXJ5LXRpdGxlPk9ic3RldCBHeW5lY29sPC9zZWNvbmRhcnktdGl0bGU+PC90
aXRsZXM+PHBlcmlvZGljYWw+PGZ1bGwtdGl0bGU+T2JzdGV0IEd5bmVjb2w8L2Z1bGwtdGl0bGU+
PC9wZXJpb2RpY2FsPjxwYWdlcz44MTgtODI2PC9wYWdlcz48dm9sdW1lPjEzMTwvdm9sdW1lPjxu
dW1iZXI+NTwvbnVtYmVyPjxlZGl0aW9uPjIwMTgvMDQvMTA8L2VkaXRpb24+PGtleXdvcmRzPjxr
ZXl3b3JkPkFkdWx0PC9rZXl3b3JkPjxrZXl3b3JkPkJlaGF2aW9yIENvbnRyb2wvKm1ldGhvZHM8
L2tleXdvcmQ+PGtleXdvcmQ+Qm9keSBNYXNzIEluZGV4PC9rZXl3b3JkPjxrZXl3b3JkPipEaWFi
ZXRlcywgR2VzdGF0aW9uYWwvZGlhZ25vc2lzL2VwaWRlbWlvbG9neS9wcmV2ZW50aW9uICZhbXA7
IGNvbnRyb2wvcHN5Y2hvbG9neTwva2V5d29yZD48a2V5d29yZD5FeGVyY2lzZS9waHlzaW9sb2d5
Lypwc3ljaG9sb2d5PC9rZXl3b3JkPjxrZXl3b3JkPkZlbWFsZTwva2V5d29yZD48a2V5d29yZD5I
ZWFsdGggQmVoYXZpb3I8L2tleXdvcmQ+PGtleXdvcmQ+SGVhbHRoeSBMaWZlc3R5bGU8L2tleXdv
cmQ+PGtleXdvcmQ+SHVtYW5zPC9rZXl3b3JkPjxrZXl3b3JkPkluY2lkZW5jZTwva2V5d29yZD48
a2V5d29yZD5Nb2JpbGUgQXBwbGljYXRpb25zPC9rZXl3b3JkPjxrZXl3b3JkPipPYmVzaXR5L2Rp
YWdub3Npcy9wc3ljaG9sb2d5L3RoZXJhcHk8L2tleXdvcmQ+PGtleXdvcmQ+UHJlZ25hbmN5PC9r
ZXl3b3JkPjxrZXl3b3JkPipQcmVnbmFuY3kgQ29tcGxpY2F0aW9ucy9kaWFnbm9zaXMvcHN5Y2hv
bG9neS90aGVyYXB5PC9rZXl3b3JkPjxrZXl3b3JkPlByZWduYW5jeSBPdXRjb21lL2VwaWRlbWlv
bG9neTwva2V5d29yZD48a2V5d29yZD5QcmVuYXRhbCBDYXJlL21ldGhvZHM8L2tleXdvcmQ+PGtl
eXdvcmQ+UHJlbmF0YWwgTnV0cml0aW9uYWwgUGh5c2lvbG9naWNhbCBQaGVub21lbmEvKnBoeXNp
b2xvZ3k8L2tleXdvcmQ+PGtleXdvcmQ+KlNtYXJ0cGhvbmU8L2tleXdvcmQ+PC9rZXl3b3Jkcz48
ZGF0ZXM+PHllYXI+MjAxODwveWVhcj48cHViLWRhdGVzPjxkYXRlPk1heTwvZGF0ZT48L3B1Yi1k
YXRlcz48L2RhdGVzPjxpc2JuPjE4NzMtMjMzWCAoRWxlY3Ryb25pYykmI3hEOzAwMjktNzg0NCAo
TGlua2luZyk8L2lzYm4+PGFjY2Vzc2lvbi1udW0+Mjk2MzAwMDk8L2FjY2Vzc2lvbi1udW0+PHVy
bHM+PHJlbGF0ZWQtdXJscz48dXJsPmh0dHBzOi8vd3d3Lm5jYmkubmxtLm5paC5nb3YvcHVibWVk
LzI5NjMwMDA5PC91cmw+PC9yZWxhdGVkLXVybHM+PC91cmxzPjxlbGVjdHJvbmljLXJlc291cmNl
LW51bT4xMC4xMDk3L0FPRy4wMDAwMDAwMDAwMDAyNTgyPC9lbGVjdHJvbmljLXJlc291cmNlLW51
bT48L3JlY29yZD48L0NpdGU+PENpdGU+PEF1dGhvcj5BbHRhemFuPC9BdXRob3I+PFllYXI+MjAx
OTwvWWVhcj48UmVjTnVtPjEzNzk8L1JlY051bT48cmVjb3JkPjxyZWMtbnVtYmVyPjEzNzk8L3Jl
Yy1udW1iZXI+PGZvcmVpZ24ta2V5cz48a2V5IGFwcD0iRU4iIGRiLWlkPSJleHZhc3JmeDJkdHJh
b2VzYXN4cDJzenN4YTJkZjUwMjU5MngiIHRpbWVzdGFtcD0iMTU2NzA2MTUxNCI+MTM3OTwva2V5
PjxrZXkgYXBwPSJFTldlYiIgZGItaWQ9IiI+MDwva2V5PjwvZm9yZWlnbi1rZXlzPjxyZWYtdHlw
ZSBuYW1lPSJKb3VybmFsIEFydGljbGUiPjE3PC9yZWYtdHlwZT48Y29udHJpYnV0b3JzPjxhdXRo
b3JzPjxhdXRob3I+QWx0YXphbiwgQS4gRC48L2F1dGhvcj48YXV0aG9yPlJlZG1hbiwgTC4gTS48
L2F1dGhvcj48YXV0aG9yPkJ1cnRvbiwgSi4gSC48L2F1dGhvcj48YXV0aG9yPkJleWwsIFIuIEEu
PC9hdXRob3I+PGF1dGhvcj5DYWluLCBMLiBFLjwvYXV0aG9yPjxhdXRob3I+U3V0dG9uLCBFLiBG
LjwvYXV0aG9yPjxhdXRob3I+TWFydGluLCBDLiBLLjwvYXV0aG9yPjwvYXV0aG9ycz48L2NvbnRy
aWJ1dG9ycz48YXV0aC1hZGRyZXNzPlBlbm5pbmd0b24gQmlvbWVkaWNhbCBSZXNlYXJjaCBDZW50
ZXIsIExvdWlzaWFuYSBTdGF0ZSBVbml2ZXJzaXR5LCA2NDAwIFBlcmtpbnMgUm9hZCwgQmF0b24g
Um91Z2UsIExBLCA3MDgwOCwgVVNBLiYjeEQ7UGVubmluZ3RvbiBCaW9tZWRpY2FsIFJlc2VhcmNo
IENlbnRlciwgTG91aXNpYW5hIFN0YXRlIFVuaXZlcnNpdHksIDY0MDAgUGVya2lucyBSb2FkLCBC
YXRvbiBSb3VnZSwgTEEsIDcwODA4LCBVU0EuIGNvcmJ5Lm1hcnRpbkBwYnJjLmVkdS48L2F1dGgt
YWRkcmVzcz48dGl0bGVzPjx0aXRsZT5Nb29kIGFuZCBxdWFsaXR5IG9mIGxpZmUgY2hhbmdlcyBp
biBwcmVnbmFuY3kgYW5kIHBvc3RwYXJ0dW0gYW5kIHRoZSBlZmZlY3Qgb2YgYSBiZWhhdmlvcmFs
IGludGVydmVudGlvbiB0YXJnZXRpbmcgZXhjZXNzIGdlc3RhdGlvbmFsIHdlaWdodCBnYWluIGlu
IHdvbWVuIHdpdGggb3ZlcndlaWdodCBhbmQgb2Jlc2l0eTogYSBwYXJhbGxlbC1hcm0gcmFuZG9t
aXplZCBjb250cm9sbGVkIHBpbG90IHRyaWFsPC90aXRsZT48c2Vjb25kYXJ5LXRpdGxlPkJNQyBQ
cmVnbmFuY3kgQ2hpbGRiaXJ0aDwvc2Vjb25kYXJ5LXRpdGxlPjwvdGl0bGVzPjxwZXJpb2RpY2Fs
PjxmdWxsLXRpdGxlPkJNQyBQcmVnbmFuY3kgQ2hpbGRiaXJ0aDwvZnVsbC10aXRsZT48L3Blcmlv
ZGljYWw+PHBhZ2VzPjUwPC9wYWdlcz48dm9sdW1lPjE5PC92b2x1bWU+PG51bWJlcj4xPC9udW1i
ZXI+PGVkaXRpb24+MjAxOS8wMS8zMTwvZWRpdGlvbj48a2V5d29yZHM+PGtleXdvcmQ+QWR1bHQ8
L2tleXdvcmQ+PGtleXdvcmQ+QmVoYXZpb3IgVGhlcmFweS8qbWV0aG9kczwva2V5d29yZD48a2V5
d29yZD5GZW1hbGU8L2tleXdvcmQ+PGtleXdvcmQ+Kkdlc3RhdGlvbmFsIFdlaWdodCBHYWluPC9r
ZXl3b3JkPjxrZXl3b3JkPkh1bWFuczwva2V5d29yZD48a2V5d29yZD5MaWZlIFN0eWxlPC9rZXl3
b3JkPjxrZXl3b3JkPk92ZXJ3ZWlnaHQvKnByZXZlbnRpb24gJmFtcDsgY29udHJvbDwva2V5d29y
ZD48a2V5d29yZD5QaWxvdCBQcm9qZWN0czwva2V5d29yZD48a2V5d29yZD5QcmVnbmFuY3k8L2tl
eXdvcmQ+PGtleXdvcmQ+UHJlbmF0YWwgQ2FyZS8qbWV0aG9kczwva2V5d29yZD48a2V5d29yZD5R
dWFsaXR5IG9mIExpZmUvKnBzeWNob2xvZ3k8L2tleXdvcmQ+PGtleXdvcmQ+VHJlYXRtZW50IE91
dGNvbWU8L2tleXdvcmQ+PGtleXdvcmQ+V2VpZ2h0IEdhaW48L2tleXdvcmQ+PGtleXdvcmQ+R2Vz
dGF0aW9uYWwgd2VpZ2h0IGdhaW48L2tleXdvcmQ+PGtleXdvcmQ+TWVudGFsIGhlYWx0aDwva2V5
d29yZD48a2V5d29yZD5RdWFsaXR5IG9mIGxpZmU8L2tleXdvcmQ+PC9rZXl3b3Jkcz48ZGF0ZXM+
PHllYXI+MjAxOTwveWVhcj48cHViLWRhdGVzPjxkYXRlPkphbiAyOTwvZGF0ZT48L3B1Yi1kYXRl
cz48L2RhdGVzPjxpc2JuPjE0NzEtMjM5MyAoRWxlY3Ryb25pYykmI3hEOzE0NzEtMjM5MyAoTGlu
a2luZyk8L2lzYm4+PGFjY2Vzc2lvbi1udW0+MzA2OTY0MDg8L2FjY2Vzc2lvbi1udW0+PHVybHM+
PHJlbGF0ZWQtdXJscz48dXJsPmh0dHBzOi8vd3d3Lm5jYmkubmxtLm5paC5nb3YvcHVibWVkLzMw
Njk2NDA4PC91cmw+PC9yZWxhdGVkLXVybHM+PC91cmxzPjxjdXN0b20yPlBNQzYzNTIzNTI8L2N1
c3RvbTI+PGVsZWN0cm9uaWMtcmVzb3VyY2UtbnVtPjEwLjExODYvczEyODg0LTAxOS0yMTk2LTg8
L2VsZWN0cm9uaWMtcmVzb3VyY2UtbnVtPjwvcmVjb3JkPjwvQ2l0ZT48Q2l0ZT48QXV0aG9yPktp
YW5pIEFzaWFiYXI8L0F1dGhvcj48WWVhcj4yMDE4PC9ZZWFyPjxSZWNOdW0+MTM4MDwvUmVjTnVt
PjxyZWNvcmQ+PHJlYy1udW1iZXI+MTM4MDwvcmVjLW51bWJlcj48Zm9yZWlnbi1rZXlzPjxrZXkg
YXBwPSJFTiIgZGItaWQ9ImV4dmFzcmZ4MmR0cmFvZXNhc3hwMnN6c3hhMmRmNTAyNTkyeCIgdGlt
ZXN0YW1wPSIxNTY3MTI0NTcxIj4xMzgwPC9rZXk+PGtleSBhcHA9IkVOV2ViIiBkYi1pZD0iIj4w
PC9rZXk+PC9mb3JlaWduLWtleXM+PHJlZi10eXBlIG5hbWU9IkpvdXJuYWwgQXJ0aWNsZSI+MTc8
L3JlZi10eXBlPjxjb250cmlidXRvcnM+PGF1dGhvcnM+PGF1dGhvcj5LaWFuaSBBc2lhYmFyLCBB
LjwvYXV0aG9yPjxhdXRob3I+QW1pbiBTaG9rcmF2aSwgRi48L2F1dGhvcj48YXV0aG9yPkhhamlm
YXJhamksIE0uPC9hdXRob3I+PGF1dGhvcj5aYXllcmksIEYuPC9hdXRob3I+PC9hdXRob3JzPjwv
Y29udHJpYnV0b3JzPjxhdXRoLWFkZHJlc3M+RGVwYXJ0bWVudCBvZiBIZWFsdGggRWR1Y2F0aW9u
IGFuZCBIZWFsdGggUHJvbW90aW9uLCBGYWN1bHR5IG9mIE1lZGljYWwgU2NpZW5jZXMsIFRhcmJp
YXQgTW9kYXJlcyBVbml2ZXJzaXR5LCBUZWhyYW4sIElyYW4uJiN4RDtEZXBhcnRtZW50IG9mIE1p
ZHdpZmVyeSwgRmFjdWx0eSBvZiBOdXJzaW5nIGFuZCBNaWR3aWZlcnksIFNoYWhlZCBVbml2ZXJz
aXR5LCBUZWhyYW4sIElyYW4uJiN4RDtEZXBhcnRtZW50IG9mIEhlYWx0aCBFZHVjYXRpb25zIGFu
ZCBIZWFsdGggUHJvbW90aW9uLCBGYWN1bHR5IG9mIE1lZGljYWwgU2NpZW5jZXMsIFRhcmJpYXQg
TW9kYXJlcyBVbml2ZXJzaXR5LCBUZWhyYW4sIElyYW4uJiN4RDtOYXRpb25hbCBOdXRyaXRpb24g
YW5kIEZvb2QgVGVjaG5vbG9neSBSZXNlYXJjaCBJbnN0aXR1dGUsIFNjaG9vbCBvZiBOdXRyaXRp
b24gU2NpZW5jZXMgYW5kIEZvb2QgVGVjaG5vbG9neSwgU2hhaGlkIEJlaGVzaHRpIFVuaXZlcnNp
dHkgb2YgTWVkaWNhbCBTY2llbmNlcywgVGVocmFuLCBJcmFuLiYjeEQ7RGVwYXJ0bWVudCBvZiBC
aW9zdGF0aXN0aWNzLCBGYWN1bHR5IG9mIFBhcmFtZWRpY2FsIFNjaWVuY2VzLCBTaGFoaWQgQmVo
ZXNodGkgVW5pdmVyc2l0eSBvZiBNZWRpY2FsIFNjaWVuY2VzLCBUZWhyYW4sIElyYW4uPC9hdXRo
LWFkZHJlc3M+PHRpdGxlcz48dGl0bGU+VGhlIGVmZmVjdCBvZiBhbiBlZHVjYXRpb25hbCBpbnRl
cnZlbnRpb24gaW4gZWFybHkgcHJlZ25hbmN5IHdpdGggc3BvdXNlJmFwb3M7cyBwYXJ0aWNpcGF0
aW9uIG9uIG9wdGltYWwgZ2VzdGF0aW9uYWwgd2VpZ2h0IGdhaW4gaW4gcHJlZ25hbmN5OiBhIHJh
bmRvbWl6ZWQgY29udHJvbGxlZCB0cmlhbDwvdGl0bGU+PHNlY29uZGFyeS10aXRsZT5IZWFsdGgg
RWR1YyBSZXM8L3NlY29uZGFyeS10aXRsZT48L3RpdGxlcz48cGVyaW9kaWNhbD48ZnVsbC10aXRs
ZT5IZWFsdGggRWR1YyBSZXM8L2Z1bGwtdGl0bGU+PC9wZXJpb2RpY2FsPjxwYWdlcz41MzUtNTQ3
PC9wYWdlcz48dm9sdW1lPjMzPC92b2x1bWU+PG51bWJlcj42PC9udW1iZXI+PGVkaXRpb24+MjAx
OC8xMS8zMDwvZWRpdGlvbj48ZGF0ZXM+PHllYXI+MjAxODwveWVhcj48cHViLWRhdGVzPjxkYXRl
PkRlYyAxPC9kYXRlPjwvcHViLWRhdGVzPjwvZGF0ZXM+PGlzYm4+MTQ2NS0zNjQ4IChFbGVjdHJv
bmljKSYjeEQ7MDI2OC0xMTUzIChMaW5raW5nKTwvaXNibj48YWNjZXNzaW9uLW51bT4zMDQ5NjQw
OTwvYWNjZXNzaW9uLW51bT48dXJscz48cmVsYXRlZC11cmxzPjx1cmw+aHR0cHM6Ly93d3cubmNi
aS5ubG0ubmloLmdvdi9wdWJtZWQvMzA0OTY0MDk8L3VybD48L3JlbGF0ZWQtdXJscz48L3VybHM+
PGVsZWN0cm9uaWMtcmVzb3VyY2UtbnVtPjEwLjEwOTMvaGVyL2N5eTA0MDwvZWxlY3Ryb25pYy1y
ZXNvdXJjZS1udW0+PC9yZWNvcmQ+PC9DaXRlPjxDaXRlPjxBdXRob3I+UGhlbGFuPC9BdXRob3I+
PFllYXI+MjAxODwvWWVhcj48UmVjTnVtPjEzODY8L1JlY051bT48cmVjb3JkPjxyZWMtbnVtYmVy
PjEzODY8L3JlYy1udW1iZXI+PGZvcmVpZ24ta2V5cz48a2V5IGFwcD0iRU4iIGRiLWlkPSJleHZh
c3JmeDJkdHJhb2VzYXN4cDJzenN4YTJkZjUwMjU5MngiIHRpbWVzdGFtcD0iMTU2NzM4MjQ4NSI+
MTM4Njwva2V5PjwvZm9yZWlnbi1rZXlzPjxyZWYtdHlwZSBuYW1lPSJKb3VybmFsIEFydGljbGUi
PjE3PC9yZWYtdHlwZT48Y29udHJpYnV0b3JzPjxhdXRob3JzPjxhdXRob3I+UGhlbGFuLCBTLjwv
YXV0aG9yPjxhdXRob3I+V2luZywgUi4gUi48L2F1dGhvcj48YXV0aG9yPkJyYW5uZW4sIEEuPC9h
dXRob3I+PGF1dGhvcj5NY0h1Z2gsIEEuPC9hdXRob3I+PGF1dGhvcj5IYWdvYmlhbiwgVC4gQS48
L2F1dGhvcj48YXV0aG9yPlNjaGFmZm5lciwgQS48L2F1dGhvcj48YXV0aG9yPkplbGFsaWFuLCBF
LjwvYXV0aG9yPjxhdXRob3I+SGFydCwgQy4gTi48L2F1dGhvcj48YXV0aG9yPlNjaG9sbCwgVC4g
Ty48L2F1dGhvcj48YXV0aG9yPk11bm96LUNocmlzdGlhbiwgSy48L2F1dGhvcj48YXV0aG9yPllp
biwgRS48L2F1dGhvcj48YXV0aG9yPlBoaXBwcywgTS4gRy48L2F1dGhvcj48YXV0aG9yPktlYWRs
ZSwgUy48L2F1dGhvcj48YXV0aG9yPkFicmFtcywgQi48L2F1dGhvcj48L2F1dGhvcnM+PC9jb250
cmlidXRvcnM+PGF1dGgtYWRkcmVzcz5EZXBhcnRtZW50cyBvZiBLaW5lc2lvbG9neSwgU3RhdGlz
dGljcywgYW5kIE1vZGVybiBMYW5ndWFnZXMsIENhbGlmb3JuaWEgUG9seXRlY2huaWMgU3RhdGUg
VW5pdmVyc2l0eSwgU2FuIEx1aXMgT2Jpc3BvLCBDQS4mI3hEO0RlcGFydG1lbnQgb2YgUHN5Y2hp
YXRyeSBhbmQgSHVtYW4gQmVoYXZpb3IsIFdhcnJlbiBBbHBlcnQgTWVkaWNhbCBTY2hvb2wgYXQg
QnJvd24gVW5pdmVyc2l0eSwgUHJvdmlkZW5jZSwgUkkuJiN4RDtEZXBhcnRtZW50cyBvZiBTdGF0
aXN0aWNzLCBhbmQgTW9kZXJuIExhbmd1YWdlcywgQ2FsaWZvcm5pYSBQb2x5dGVjaG5pYyBTdGF0
ZSBVbml2ZXJzaXR5LCBTYW4gTHVpcyBPYmlzcG8sIENBLiYjeEQ7RGVwYXJ0bWVudCBvZiBTb2Np
YWwgYW5kIEJlaGF2aW9yYWwgU2NpZW5jZXMsIFRlbXBsZSBVbml2ZXJzaXR5IENlbnRlciBmb3Ig
T2Jlc2l0eSBSZXNlYXJjaCBhbmQgRWR1Y2F0aW9uLCBQaGlsYWRlbHBoaWEsIFBBLiYjeEQ7RGVw
YXJ0bWVudCBvZiBPYnN0ZXRyaWNzIGFuZCBHeW5lY29sb2d5LCBVbml2ZXJzaXR5IG9mIE1lZGlj
aW5lIGFuZCBEZW50aXN0cnkgb2YgTmV3IEplcnNleSAobm93IFJvd2FuKSwgR2xhc3Nib3JvLCBO
Si4mI3hEO0RlcGFydG1lbnRzIG9mIE1vZGVybiBMYW5ndWFnZXMsIENhbGlmb3JuaWEgUG9seXRl
Y2huaWMgU3RhdGUgVW5pdmVyc2l0eSwgU2FuIEx1aXMgT2Jpc3BvLCBDQS4mI3hEO1BhY2lmaWMg
Q2VudHJhbCBDb2FzdCBIZWFsdGggQ2VudGVycywgU2FudGEgTWFyaWEgV29tZW4mYXBvcztzIEhl
YWx0aCwgU2FudGEgTWFyaWEsIENBLiYjeEQ7RGVwYXJ0bWVudCBvZiBPYnN0ZXRyaWNzIGFuZCBH
eW5lY29sb2d5LCBXYXJyZW4gQWxwZXJ0IE1lZGljYWwgU2Nob29sIG9mIEJyb3duIFVuaXZlcnNp
dHkgYW5kIFdvbWVuIGFuZCBJbmZhbnRzIEhvc3BpdGFsLCBQcm92aWRlbmNlLCBSSS4mI3hEO0Rp
dmlzaW9uIG9mIEVwaWRlbWlvbG9neSwgVW5pdmVyc2l0eSBvZiBDYWxpZm9ybmlhIGF0IEJlcmtl
bGV5IFNjaG9vbCBvZiBQdWJsaWMgSGVhbHRoLCBCZXJrZWxleSwgQ0EuPC9hdXRoLWFkZHJlc3M+
PHRpdGxlcz48dGl0bGU+UmFuZG9taXplZCBjb250cm9sbGVkIGNsaW5pY2FsIHRyaWFsIG9mIGJl
aGF2aW9yYWwgbGlmZXN0eWxlIGludGVydmVudGlvbiB3aXRoIHBhcnRpYWwgbWVhbCByZXBsYWNl
bWVudCB0byByZWR1Y2UgZXhjZXNzaXZlIGdlc3RhdGlvbmFsIHdlaWdodCBnYWluPC90aXRsZT48
c2Vjb25kYXJ5LXRpdGxlPkFtIEogQ2xpbiBOdXRyPC9zZWNvbmRhcnktdGl0bGU+PC90aXRsZXM+
PHBlcmlvZGljYWw+PGZ1bGwtdGl0bGU+QW0gSiBDbGluIE51dHI8L2Z1bGwtdGl0bGU+PC9wZXJp
b2RpY2FsPjxwYWdlcz4xODMtMTk0PC9wYWdlcz48dm9sdW1lPjEwNzwvdm9sdW1lPjxudW1iZXI+
MjwvbnVtYmVyPjxlZGl0aW9uPjIwMTgvMDMvMTM8L2VkaXRpb24+PGtleXdvcmRzPjxrZXl3b3Jk
PkFkdWx0PC9rZXl3b3JkPjxrZXl3b3JkPkJvZHkgTWFzcyBJbmRleDwva2V5d29yZD48a2V5d29y
ZD5DYWxpZm9ybmlhPC9rZXl3b3JkPjxrZXl3b3JkPkRpZXQ8L2tleXdvcmQ+PGtleXdvcmQ+RXRo
bmljIEdyb3Vwczwva2V5d29yZD48a2V5d29yZD5FeGVyY2lzZTwva2V5d29yZD48a2V5d29yZD5G
ZW1hbGU8L2tleXdvcmQ+PGtleXdvcmQ+Kkdlc3RhdGlvbmFsIFdlaWdodCBHYWluPC9rZXl3b3Jk
PjxrZXl3b3JkPipIZWFsdGggQmVoYXZpb3I8L2tleXdvcmQ+PGtleXdvcmQ+SHVtYW5zPC9rZXl3
b3JkPjxrZXl3b3JkPkluY2lkZW5jZTwva2V5d29yZD48a2V5d29yZD4qTGlmZSBTdHlsZTwva2V5
d29yZD48a2V5d29yZD5NZWFsczwva2V5d29yZD48a2V5d29yZD5OdXRyaXRpb24gQXNzZXNzbWVu
dDwva2V5d29yZD48a2V5d29yZD5PYmVzaXR5LypwcmV2ZW50aW9uICZhbXA7IGNvbnRyb2w8L2tl
eXdvcmQ+PGtleXdvcmQ+T3ZlcndlaWdodC8qcHJldmVudGlvbiAmYW1wOyBjb250cm9sPC9rZXl3
b3JkPjxrZXl3b3JkPlByZWduYW5jeTwva2V5d29yZD48a2V5d29yZD5QcmVnbmFuY3kgQ29tcGxp
Y2F0aW9ucy8qcHJldmVudGlvbiAmYW1wOyBjb250cm9sPC9rZXl3b3JkPjxrZXl3b3JkPlByZWdu
YW5jeSBPdXRjb21lPC9rZXl3b3JkPjxrZXl3b3JkPlJpc2sgRmFjdG9yczwva2V5d29yZD48a2V5
d29yZD5Zb3VuZyBBZHVsdDwva2V5d29yZD48L2tleXdvcmRzPjxkYXRlcz48eWVhcj4yMDE4PC95
ZWFyPjxwdWItZGF0ZXM+PGRhdGU+RmViIDE8L2RhdGU+PC9wdWItZGF0ZXM+PC9kYXRlcz48aXNi
bj4xOTM4LTMyMDcgKEVsZWN0cm9uaWMpJiN4RDswMDAyLTkxNjUgKExpbmtpbmcpPC9pc2JuPjxh
Y2Nlc3Npb24tbnVtPjI5NTI5MTU3PC9hY2Nlc3Npb24tbnVtPjx1cmxzPjxyZWxhdGVkLXVybHM+
PHVybD5odHRwczovL3d3dy5uY2JpLm5sbS5uaWguZ292L3B1Ym1lZC8yOTUyOTE1NzwvdXJsPjwv
cmVsYXRlZC11cmxzPjwvdXJscz48Y3VzdG9tMj5QTUM2NDU1MDMwPC9jdXN0b20yPjxlbGVjdHJv
bmljLXJlc291cmNlLW51bT4xMC4xMDkzL2FqY24vbnF4MDQzPC9lbGVjdHJvbmljLXJlc291cmNl
LW51bT48L3JlY29yZD48L0NpdGU+PENpdGU+PEF1dGhvcj5SdWNoYXQ8L0F1dGhvcj48WWVhcj4y
MDEyPC9ZZWFyPjxSZWNOdW0+NzU2PC9SZWNOdW0+PHJlY29yZD48cmVjLW51bWJlcj43NT==
</w:fldData>
        </w:fldChar>
      </w:r>
      <w:r w:rsidR="002747EA">
        <w:rPr>
          <w:lang w:val="en-AU"/>
        </w:rPr>
        <w:instrText xml:space="preserve"> ADDIN EN.CITE.DATA </w:instrText>
      </w:r>
      <w:r w:rsidR="002747EA">
        <w:rPr>
          <w:lang w:val="en-AU"/>
        </w:rPr>
      </w:r>
      <w:r w:rsidR="002747EA">
        <w:rPr>
          <w:lang w:val="en-AU"/>
        </w:rPr>
        <w:fldChar w:fldCharType="end"/>
      </w:r>
      <w:r w:rsidR="002747EA">
        <w:rPr>
          <w:lang w:val="en-AU"/>
        </w:rPr>
        <w:fldChar w:fldCharType="begin">
          <w:fldData xml:space="preserve">NjwvcmVjLW51bWJlcj48Zm9yZWlnbi1rZXlzPjxrZXkgYXBwPSJFTiIgZGItaWQ9ImV4dmFzcmZ4
MmR0cmFvZXNhc3hwMnN6c3hhMmRmNTAyNTkyeCIgdGltZXN0YW1wPSIxNTQxNDY3OTY1Ij43NTY8
L2tleT48a2V5IGFwcD0iRU5XZWIiIGRiLWlkPSIiPjA8L2tleT48L2ZvcmVpZ24ta2V5cz48cmVm
LXR5cGUgbmFtZT0iSm91cm5hbCBBcnRpY2xlIj4xNzwvcmVmLXR5cGU+PGNvbnRyaWJ1dG9ycz48
YXV0aG9ycz48YXV0aG9yPlJ1Y2hhdCwgUy1NLiw8L2F1dGhvcj48YXV0aG9yPkRhdmVucG9ydCwg
TS5ILiw8L2F1dGhvcj48YXV0aG9yPkdpcm91eCwgSS4sPC9hdXRob3I+PGF1dGhvcj5IaWxsaWVy
LCBNLiw8L2F1dGhvcj48YXV0aG9yPkJhdGFkYSwgQS4sPC9hdXRob3I+PGF1dGhvcj5Tb3BwZXIs
IE0uTS4sPC9hdXRob3I+PGF1dGhvcj5IYW1tb25kLCBKLk0uUy4sPC9hdXRob3I+PGF1dGhvcj5N
b3R0b2xhLCBNLkYuLDwvYXV0aG9yPjwvYXV0aG9ycz48L2NvbnRyaWJ1dG9ycz48dGl0bGVzPjx0
aXRsZT5OdXRyaXRpb24gYW5kIGV4ZXJjaXNlIHJlZHVjZSBleGNlc3NpdmUgd2VpZ2h0IGdhaW4g
aW4gbm9ybWFsLXdlaWdodCBwcmVnbmFudCB3b21lbjwvdGl0bGU+PHNlY29uZGFyeS10aXRsZT5N
ZWRpY2luZSAmYW1wOyBTY2llbmNlIGluIFNwb3J0cyAmYW1wOyBFeGVyY2lzZTwvc2Vjb25kYXJ5
LXRpdGxlPjwvdGl0bGVzPjxwZXJpb2RpY2FsPjxmdWxsLXRpdGxlPk1lZGljaW5lICZhbXA7IFNj
aWVuY2UgaW4gU3BvcnRzICZhbXA7IEV4ZXJjaXNlPC9mdWxsLXRpdGxlPjwvcGVyaW9kaWNhbD48
cGFnZXM+MTQxOS0xNDI2PC9wYWdlcz48dm9sdW1lPjQ0PC92b2x1bWU+PG51bWJlcj44PC9udW1i
ZXI+PHNlY3Rpb24+MTQxOTwvc2VjdGlvbj48ZGF0ZXM+PHllYXI+MjAxMjwveWVhcj48L2RhdGVz
Pjxpc2JuPjAxOTUtOTEzMTwvaXNibj48dXJscz48L3VybHM+PGVsZWN0cm9uaWMtcmVzb3VyY2Ut
bnVtPjEwLjEyNDkvTVNTLjBiMDEzZTMxODI1MzY1ZjE8L2VsZWN0cm9uaWMtcmVzb3VyY2UtbnVt
PjwvcmVjb3JkPjwvQ2l0ZT48Q2l0ZT48QXV0aG9yPkRvZGQ8L0F1dGhvcj48WWVhcj4yMDE5PC9Z
ZWFyPjxSZWNOdW0+MTkyMjwvUmVjTnVtPjxyZWNvcmQ+PHJlYy1udW1iZXI+MTkyMjwvcmVjLW51
bWJlcj48Zm9yZWlnbi1rZXlzPjxrZXkgYXBwPSJFTiIgZGItaWQ9ImV4dmFzcmZ4MmR0cmFvZXNh
c3hwMnN6c3hhMmRmNTAyNTkyeCIgdGltZXN0YW1wPSIxNTg4NTYwMzY4Ij4xOTIyPC9rZXk+PGtl
eSBhcHA9IkVOV2ViIiBkYi1pZD0iIj4wPC9rZXk+PC9mb3JlaWduLWtleXM+PHJlZi10eXBlIG5h
bWU9IkpvdXJuYWwgQXJ0aWNsZSI+MTc8L3JlZi10eXBlPjxjb250cmlidXRvcnM+PGF1dGhvcnM+
PGF1dGhvcj5Eb2RkLCBKLiBNLjwvYXV0aG9yPjxhdXRob3I+RGV1c3NlbiwgQS4gUi48L2F1dGhv
cj48YXV0aG9yPkxvdWlzZSwgSi48L2F1dGhvcj48L2F1dGhvcnM+PC9jb250cmlidXRvcnM+PGF1
dGgtYWRkcmVzcz5EaXNjaXBsaW5lIG9mIE9ic3RldHJpY3MgJmFtcDsgR3luYWVjb2xvZ3ksIGFu
ZCBSb2JpbnNvbiBSZXNlYXJjaCBJbnN0aXR1dGUsIFRoZSBVbml2ZXJzaXR5IG9mIEFkZWxhaWRl
LCBBZGVsYWlkZSwgU0EgNTAwNiwgQXVzdHJhbGlhLiYjeEQ7RGVwYXJ0bWVudCBvZiBQZXJpbmF0
YWwgTWVkaWNpbmUgV29tZW4mYXBvcztzIGFuZCBDaGlsZHJlbiZhcG9zO3MgSG9zcGl0YWwsIE5v
cnRoIEFkZWxhaWRlLCBBZGVsYWlkZSwgU0EgNTAwNiwgQXVzdHJhbGlhLjwvYXV0aC1hZGRyZXNz
Pjx0aXRsZXM+PHRpdGxlPkEgcmFuZG9taXNlZCB0cmlhbCB0byBvcHRpbWlzZSBnZXN0YXRpb25h
bCB3ZWlnaHQgZ2FpbiBhbmQgaW1wcm92ZSBtYXRlcm5hbCBhbmQgaW5mYW50IGhlYWx0aCBvdXRj
b21lcyB0aHJvdWdoIGFudGVuYXRhbCBkaWV0YXJ5LCBsaWZlc3R5bGUgYW5kIGV4ZXJjaXNlIGFk
dmljZTogVGhlIE9QVElNSVNFIHJhbmRvbWlzZWQgdHJpYWw8L3RpdGxlPjxzZWNvbmRhcnktdGl0
bGU+TnV0cmllbnRzPC9zZWNvbmRhcnktdGl0bGU+PC90aXRsZXM+PHBlcmlvZGljYWw+PGZ1bGwt
dGl0bGU+TnV0cmllbnRzPC9mdWxsLXRpdGxlPjwvcGVyaW9kaWNhbD48dm9sdW1lPjExPC92b2x1
bWU+PG51bWJlcj4xMjwvbnVtYmVyPjxlZGl0aW9uPjIwMTkvMTIvMDg8L2VkaXRpb24+PGtleXdv
cmRzPjxrZXl3b3JkPmRpZXRhcnkgYW5kIGxpZmVzdHlsZSBpbnRlcnZlbnRpb248L2tleXdvcmQ+
PGtleXdvcmQ+Z2VzdGF0aW9uYWwgd2VpZ2h0IGdhaW48L2tleXdvcmQ+PGtleXdvcmQ+cmFuZG9t
aXNlZCBjb250cm9sbGVkIHRyaWFsPC9rZXl3b3JkPjwva2V5d29yZHM+PGRhdGVzPjx5ZWFyPjIw
MTk8L3llYXI+PHB1Yi1kYXRlcz48ZGF0ZT5EZWMgMjwvZGF0ZT48L3B1Yi1kYXRlcz48L2RhdGVz
Pjxpc2JuPjIwNzItNjY0MyAoRWxlY3Ryb25pYykmI3hEOzIwNzItNjY0MyAoTGlua2luZyk8L2lz
Ym4+PGFjY2Vzc2lvbi1udW0+MzE4MTAyMTc8L2FjY2Vzc2lvbi1udW0+PHVybHM+PHJlbGF0ZWQt
dXJscz48dXJsPmh0dHBzOi8vd3d3Lm5jYmkubmxtLm5paC5nb3YvcHVibWVkLzMxODEwMjE3PC91
cmw+PC9yZWxhdGVkLXVybHM+PC91cmxzPjxjdXN0b20yPlBNQzY5NDk5MzE8L2N1c3RvbTI+PGVs
ZWN0cm9uaWMtcmVzb3VyY2UtbnVtPjEwLjMzOTAvbnUxMTEyMjkxMTwvZWxlY3Ryb25pYy1yZXNv
dXJjZS1udW0+PC9yZWNvcmQ+PC9DaXRlPjxDaXRlPjxBdXRob3I+QnVja2luZ2hhbS1TY2h1dHQ8
L0F1dGhvcj48WWVhcj4yMDE5PC9ZZWFyPjxSZWNOdW0+MTkyNjwvUmVjTnVtPjxyZWNvcmQ+PHJl
Yy1udW1iZXI+MTkyNjwvcmVjLW51bWJlcj48Zm9yZWlnbi1rZXlzPjxrZXkgYXBwPSJFTiIgZGIt
aWQ9ImV4dmFzcmZ4MmR0cmFvZXNhc3hwMnN6c3hhMmRmNTAyNTkyeCIgdGltZXN0YW1wPSIxNTg4
NTcwNjI1Ij4xOTI2PC9rZXk+PC9mb3JlaWduLWtleXM+PHJlZi10eXBlIG5hbWU9IkpvdXJuYWwg
QXJ0aWNsZSI+MTc8L3JlZi10eXBlPjxjb250cmlidXRvcnM+PGF1dGhvcnM+PGF1dGhvcj5CdWNr
aW5naGFtLVNjaHV0dCwgTC4gTS48L2F1dGhvcj48YXV0aG9yPkVsbGluZ3NvbiwgTC4gRC48L2F1
dGhvcj48YXV0aG9yPlZhem91LCBTLjwvYXV0aG9yPjxhdXRob3I+Q2FtcGJlbGwsIEMuIEcuPC9h
dXRob3I+PC9hdXRob3JzPjwvY29udHJpYnV0b3JzPjxhdXRoLWFkZHJlc3M+VGhlIEhhcmtpbiBJ
bnN0aXR1dGUsIERyYWtlIFVuaXZlcnNpdHksIERlcyBNb2luZXMsIElBLiYjeEQ7S2luZXNpb2xv
Z3kgRGVwYXJ0bWVudCwgSW93YSBTdGF0ZSBVbml2ZXJzaXR5LCBBbWVzLCBJQS4mI3hEO0Zvb2Qg
U2NpZW5jZSBhbmQgSHVtYW4gTnV0cml0aW9uIERlcGFydG1lbnQuPC9hdXRoLWFkZHJlc3M+PHRp
dGxlcz48dGl0bGU+VGhlIEJlaGF2aW9yYWwgV2VsbG5lc3MgaW4gUHJlZ25hbmN5IHN0dWR5OiBh
IHJhbmRvbWl6ZWQgY29udHJvbGxlZCB0cmlhbCBvZiBhIG11bHRpLWNvbXBvbmVudCBpbnRlcnZl
bnRpb24gdG8gcHJvbW90ZSBhcHByb3ByaWF0ZSB3ZWlnaHQgZ2FpbjwvdGl0bGU+PHNlY29uZGFy
eS10aXRsZT5BbSBKIENsaW4gTnV0cjwvc2Vjb25kYXJ5LXRpdGxlPjwvdGl0bGVzPjxwZXJpb2Rp
Y2FsPjxmdWxsLXRpdGxlPkFtIEogQ2xpbiBOdXRyPC9mdWxsLXRpdGxlPjwvcGVyaW9kaWNhbD48
cGFnZXM+MTA3MS0xMDc5PC9wYWdlcz48dm9sdW1lPjEwOTwvdm9sdW1lPjxudW1iZXI+NDwvbnVt
YmVyPjxlZGl0aW9uPjIwMTkvMDQvMDY8L2VkaXRpb24+PGtleXdvcmRzPjxrZXl3b3JkPkFkdWx0
PC9rZXl3b3JkPjxrZXl3b3JkPkRpZXQvKnBzeWNob2xvZ3k8L2tleXdvcmQ+PGtleXdvcmQ+RXhl
cmNpc2U8L2tleXdvcmQ+PGtleXdvcmQ+RmVlZGluZyBCZWhhdmlvcjwva2V5d29yZD48a2V5d29y
ZD5GZW1hbGU8L2tleXdvcmQ+PGtleXdvcmQ+Kkdlc3RhdGlvbmFsIFdlaWdodCBHYWluPC9rZXl3
b3JkPjxrZXl3b3JkPkh1bWFuczwva2V5d29yZD48a2V5d29yZD5MaWZlIFN0eWxlPC9rZXl3b3Jk
PjxrZXl3b3JkPk1hdGVybmFsIEJlaGF2aW9yPC9rZXl3b3JkPjxrZXl3b3JkPlBvc3RwYXJ0dW0g
UGVyaW9kL21ldGFib2xpc20vcHN5Y2hvbG9neTwva2V5d29yZD48a2V5d29yZD5QcmVnbmFuY3kv
bWV0YWJvbGlzbS8qcHN5Y2hvbG9neTwva2V5d29yZD48a2V5d29yZD5QcmVuYXRhbCBDYXJlLypw
c3ljaG9sb2d5PC9rZXl3b3JkPjxrZXl3b3JkPlByZW5hdGFsIE51dHJpdGlvbmFsIFBoeXNpb2xv
Z2ljYWwgUGhlbm9tZW5hPC9rZXl3b3JkPjxrZXl3b3JkPllvdW5nIEFkdWx0PC9rZXl3b3JkPjxr
ZXl3b3JkPiptdWx0aS1jb21wb25lbnQgaW50ZXJ2ZW50aW9uPC9rZXl3b3JkPjxrZXl3b3JkPipu
dXRyaXRpb248L2tleXdvcmQ+PGtleXdvcmQ+KnBoeXNpY2FsIGFjdGl2aXR5PC9rZXl3b3JkPjxr
ZXl3b3JkPipwcmVnbmFuY3k8L2tleXdvcmQ+PC9rZXl3b3Jkcz48ZGF0ZXM+PHllYXI+MjAxOTwv
eWVhcj48cHViLWRhdGVzPjxkYXRlPkFwciAxPC9kYXRlPjwvcHViLWRhdGVzPjwvZGF0ZXM+PGlz
Ym4+MTkzOC0zMjA3IChFbGVjdHJvbmljKSYjeEQ7MDAwMi05MTY1IChMaW5raW5nKTwvaXNibj48
YWNjZXNzaW9uLW51bT4zMDk0OTY5MTwvYWNjZXNzaW9uLW51bT48dXJscz48cmVsYXRlZC11cmxz
Pjx1cmw+aHR0cHM6Ly93d3cubmNiaS5ubG0ubmloLmdvdi9wdWJtZWQvMzA5NDk2OTE8L3VybD48
L3JlbGF0ZWQtdXJscz48L3VybHM+PGVsZWN0cm9uaWMtcmVzb3VyY2UtbnVtPjEwLjEwOTMvYWpj
bi9ucXkzNTk8L2VsZWN0cm9uaWMtcmVzb3VyY2UtbnVtPjwvcmVjb3JkPjwvQ2l0ZT48L0VuZE5v
dGU+AG==
</w:fldData>
        </w:fldChar>
      </w:r>
      <w:r w:rsidR="002747EA">
        <w:rPr>
          <w:lang w:val="en-AU"/>
        </w:rPr>
        <w:instrText xml:space="preserve"> ADDIN EN.CITE.DATA </w:instrText>
      </w:r>
      <w:r w:rsidR="002747EA">
        <w:rPr>
          <w:lang w:val="en-AU"/>
        </w:rPr>
      </w:r>
      <w:r w:rsidR="002747EA">
        <w:rPr>
          <w:lang w:val="en-AU"/>
        </w:rPr>
        <w:fldChar w:fldCharType="end"/>
      </w:r>
      <w:r>
        <w:rPr>
          <w:lang w:val="en-AU"/>
        </w:rPr>
      </w:r>
      <w:r>
        <w:rPr>
          <w:lang w:val="en-AU"/>
        </w:rPr>
        <w:fldChar w:fldCharType="separate"/>
      </w:r>
      <w:r w:rsidR="002747EA" w:rsidRPr="002747EA">
        <w:rPr>
          <w:noProof/>
          <w:vertAlign w:val="superscript"/>
          <w:lang w:val="en-AU"/>
        </w:rPr>
        <w:t>402,451,482-492,494-500,502,504-508,510,511,513-515,520,522</w:t>
      </w:r>
      <w:r>
        <w:rPr>
          <w:lang w:val="en-AU"/>
        </w:rPr>
        <w:fldChar w:fldCharType="end"/>
      </w:r>
    </w:p>
    <w:p w14:paraId="43FCE8D4" w14:textId="1437CDCB" w:rsidR="00A5540F" w:rsidRDefault="005F5DD8" w:rsidP="00A5540F">
      <w:pPr>
        <w:keepNext/>
        <w:rPr>
          <w:rFonts w:ascii="Century Gothic" w:hAnsi="Century Gothic"/>
          <w:noProof/>
        </w:rPr>
      </w:pPr>
      <w:r>
        <w:rPr>
          <w:lang w:val="en-AU"/>
        </w:rPr>
        <w:t xml:space="preserve">Most studies </w:t>
      </w:r>
      <w:r w:rsidR="00A5540F">
        <w:rPr>
          <w:lang w:val="en-AU"/>
        </w:rPr>
        <w:t>encouraged some form of self-monitoring.</w:t>
      </w:r>
      <w:r w:rsidR="00A5540F">
        <w:fldChar w:fldCharType="begin">
          <w:fldData xml:space="preserve">cmQ+PGtleXdvcmQ+SHVtYW5zPC9rZXl3b3JkPjxrZXl3b3JkPkludGVudGlvbiB0byBUcmVhdCBB
bmFseXNpczwva2V5d29yZD48a2V5d29yZD5PYmVzaXR5L2NvbXBsaWNhdGlvbnMvZXBpZGVtaW9s
b2d5LypwcmV2ZW50aW9uICZhbXA7IGNvbnRyb2w8L2tleXdvcmQ+PGtleXdvcmQ+UG9zdHBhcnR1
bSBQZXJpb2Q8L2tleXdvcmQ+PGtleXdvcmQ+UHJlZ25hbmN5PC9rZXl3b3JkPjxrZXl3b3JkPlBy
ZWduYW5jeSBDb21wbGljYXRpb25zLypwcmV2ZW50aW9uICZhbXA7IGNvbnRyb2w8L2tleXdvcmQ+
PGtleXdvcmQ+UHJldmFsZW5jZTwva2V5d29yZD48a2V5d29yZD5SZWZlcmVuY2UgVmFsdWVzPC9r
ZXl3b3JkPjxrZXl3b3JkPlNpbmdsZS1CbGluZCBNZXRob2Q8L2tleXdvcmQ+PGtleXdvcmQ+U3Rh
bmRhcmQgb2YgQ2FyZTwva2V5d29yZD48a2V5d29yZD5UcmVhdG1lbnQgT3V0Y29tZTwva2V5d29y
ZD48a2V5d29yZD4qV2VpZ2h0IEdhaW48L2tleXdvcmQ+PGtleXdvcmQ+WW91bmcgQWR1bHQ8L2tl
eXdvcmQ+PC9rZXl3b3Jkcz48ZGF0ZXM+PHllYXI+MjAxMTwveWVhcj48cHViLWRhdGVzPjxkYXRl
PkFwcjwvZGF0ZT48L3B1Yi1kYXRlcz48L2RhdGVzPjxpc2JuPjE5MzgtMzIwNyAoRWxlY3Ryb25p
YykmI3hEOzAwMDItOTE2NSAoTGlua2luZyk8L2lzYm4+PGFjY2Vzc2lvbi1udW0+MjEzMTA4MzY8
L2FjY2Vzc2lvbi1udW0+PHVybHM+PHJlbGF0ZWQtdXJscz48dXJsPmh0dHBzOi8vd3d3Lm5jYmku
bmxtLm5paC5nb3YvcHVibWVkLzIxMzEwODM2PC91cmw+PC9yZWxhdGVkLXVybHM+PC91cmxzPjxj
dXN0b20yPlBNQzMwNTc1NDY8L2N1c3RvbTI+PGVsZWN0cm9uaWMtcmVzb3VyY2UtbnVtPjEwLjM5
NDUvYWpjbi4xMTAuMDA1MzA2PC9lbGVjdHJvbmljLXJlc291cmNlLW51bT48L3JlY29yZD48L0Np
dGU+PENpdGU+PEF1dGhvcj5Qb3N0b248L0F1dGhvcj48WWVhcj4yMDE1PC9ZZWFyPjxSZWNOdW0+
NjEyPC9SZWNOdW0+PHJlY29yZD48cmVjLW51bWJlcj42MTI8L3JlYy1udW1iZXI+PGZvcmVpZ24t
a2V5cz48a2V5IGFwcD0iRU4iIGRiLWlkPSJleHZhc3JmeDJkdHJhb2VzYXN4cDJzenN4YTJkZjUw
MjU5MngiIHRpbWVzdGFtcD0iMTUzOTA0ODM0OCI+NjEyPC9rZXk+PGtleSBhcHA9IkVOV2ViIiBk
Yi1pZD0iIj4wPC9rZXk+PC9mb3JlaWduLWtleXM+PHJlZi10eXBlIG5hbWU9IkpvdXJuYWwgQXJ0
aWNsZSI+MTc8L3JlZi10eXBlPjxjb250cmlidXRvcnM+PGF1dGhvcnM+PGF1dGhvcj5Qb3N0b24s
IEwuLDwvYXV0aG9yPjxhdXRob3I+QmVsbCwgUi4sPC9hdXRob3I+PGF1dGhvcj5Dcm9rZXIsIEgu
LDwvYXV0aG9yPjxhdXRob3I+Rmx5bm4sIEEuQy4sPC9hdXRob3I+PGF1dGhvcj5Hb2RmcmV5LCBL
Lk0uLDwvYXV0aG9yPjxhdXRob3I+R29mZiwgTC4sPC9hdXRob3I+PC9hdXRob3JzPjwvY29udHJp
YnV0b3JzPjx0aXRsZXM+PHRpdGxlPkVmZmVjdCBvZiBhIGJlaGF2aW91cmFsIGludGVydmVudGlv
biBpbiBvYmVzZSBwcmVnbmFudCB3b21lbiAodGhlIFVQQkVBVCBzdHVkeSk6IGEgbXVsdGljZW50
cmUsIHJhbmRvbWlzZWQgY29udHJvbGxlZCB0cmlhbDwvdGl0bGU+PHNlY29uZGFyeS10aXRsZT5U
aGUgTGFuY2V0IERpYWJldGVzICZhbXA7IEVuZG9jcmlub2xvZ3k8L3NlY29uZGFyeS10aXRsZT48
L3RpdGxlcz48cGVyaW9kaWNhbD48ZnVsbC10aXRsZT5UaGUgTGFuY2V0IERpYWJldGVzICZhbXA7
IEVuZG9jcmlub2xvZ3k8L2Z1bGwtdGl0bGU+PC9wZXJpb2RpY2FsPjxwYWdlcz43NjctNzc3PC9w
YWdlcz48dm9sdW1lPjM8L3ZvbHVtZT48bnVtYmVyPjEwPC9udW1iZXI+PHNlY3Rpb24+NzY3PC9z
ZWN0aW9uPjxkYXRlcz48eWVhcj4yMDE1PC95ZWFyPjwvZGF0ZXM+PGlzYm4+MjIxMzg1ODc8L2lz
Ym4+PHVybHM+PC91cmxzPjxlbGVjdHJvbmljLXJlc291cmNlLW51bT4xMC4xMDE2L3MyMjEzLTg1
ODcoMTUpMDAyMjctMjwvZWxlY3Ryb25pYy1yZXNvdXJjZS1udW0+PC9yZWNvcmQ+PC9DaXRlPjxD
aXRlPjxBdXRob3I+UmF1aDwvQXV0aG9yPjxZZWFyPjIwMTM8L1llYXI+PFJlY051bT4xMTA5PC9S
ZWNOdW0+PHJlY29yZD48cmVjLW51bWJlcj4xMTA5PC9yZWMtbnVtYmVyPjxmb3JlaWduLWtleXM+
PGtleSBhcHA9IkVOIiBkYi1pZD0iZXh2YXNyZngyZHRyYW9lc2FzeHAyc3pzeGEyZGY1MDI1OTJ4
IiB0aW1lc3RhbXA9IjE1NTI5NDg0ODUiPjExMDk8L2tleT48L2ZvcmVpZ24ta2V5cz48cmVmLXR5
cGUgbmFtZT0iSm91cm5hbCBBcnRpY2xlIj4xNzwvcmVmLXR5cGU+PGNvbnRyaWJ1dG9ycz48YXV0
aG9ycz48YXV0aG9yPlJhdWgsIEsuPC9hdXRob3I+PGF1dGhvcj5HYWJyaWVsLCBFLjwvYXV0aG9y
PjxhdXRob3I+S2Vyc2NoYmF1bSwgRS48L2F1dGhvcj48YXV0aG9yPlNjaHVzdGVyLCBULjwvYXV0
aG9yPjxhdXRob3I+dm9uIEtyaWVzLCBSLjwvYXV0aG9yPjxhdXRob3I+QW1hbm4tR2Fzc25lciwg
VS48L2F1dGhvcj48YXV0aG9yPkhhdW5lciwgSC48L2F1dGhvcj48L2F1dGhvcnM+PC9jb250cmli
dXRvcnM+PHRpdGxlcz48dGl0bGU+U2FmZXR5IGFuZCBlZmZpY2FjeSBvZiBhIGxpZmVzdHlsZSBp
bnRlcnZlbnRpb24gZm9yIHByZWduYW50IHdvbWVuIHRvIHByZXZlbnQgZXhjZXNzaXZlIG1hdGVy
bmFsIHdlaWdodCBnYWluOiBhIGNsdXN0ZXItcmFuZG9taXplZCBjb250cm9sbGVkIHRyaWFsPC90
aXRsZT48c2Vjb25kYXJ5LXRpdGxlPkJNQyBQcmVnbmFuY3kgQ2hpbGRiaXJ0aDwvc2Vjb25kYXJ5
LXRpdGxlPjwvdGl0bGVzPjxwZXJpb2RpY2FsPjxmdWxsLXRpdGxlPkJNQyBQcmVnbmFuY3kgQ2hp
bGRiaXJ0aDwvZnVsbC10aXRsZT48L3BlcmlvZGljYWw+PHBhZ2VzPjE1MTwvcGFnZXM+PHZvbHVt
ZT4xMzwvdm9sdW1lPjxlZGl0aW9uPjIwMTMvMDcvMjA8L2VkaXRpb24+PGtleXdvcmRzPjxrZXl3
b3JkPkFkdWx0PC9rZXl3b3JkPjxrZXl3b3JkPipCaXJ0aCBXZWlnaHQ8L2tleXdvcmQ+PGtleXdv
cmQ+Q291bnNlbGluZy8qbWV0aG9kczwva2V5d29yZD48a2V5d29yZD4qRW5lcmd5IEludGFrZTwv
a2V5d29yZD48a2V5d29yZD5GZWFzaWJpbGl0eSBTdHVkaWVzPC9rZXl3b3JkPjxrZXl3b3JkPkZl
bWFsZTwva2V5d29yZD48a2V5d29yZD5IdW1hbnM8L2tleXdvcmQ+PGtleXdvcmQ+SW5mYW50LCBO
ZXdib3JuPC9rZXl3b3JkPjxrZXl3b3JkPipNb3RvciBBY3Rpdml0eTwva2V5d29yZD48a2V5d29y
ZD5PYmVzaXR5LypwcmV2ZW50aW9uICZhbXA7IGNvbnRyb2w8L2tleXdvcmQ+PGtleXdvcmQ+T3Zl
cndlaWdodC9wcmV2ZW50aW9uICZhbXA7IGNvbnRyb2w8L2tleXdvcmQ+PGtleXdvcmQ+UG9zdHBh
cnR1bSBQZXJpb2Q8L2tleXdvcmQ+PGtleXdvcmQ+UHJlZ25hbmN5PC9rZXl3b3JkPjxrZXl3b3Jk
PlByZWduYW5jeSBDb21wbGljYXRpb25zLypwcmV2ZW50aW9uICZhbXA7IGNvbnRyb2w8L2tleXdv
cmQ+PGtleXdvcmQ+UHJlZ25hbmN5IE91dGNvbWU8L2tleXdvcmQ+PGtleXdvcmQ+KldlaWdodCBH
YWluPC9rZXl3b3JkPjwva2V5d29yZHM+PGRhdGVzPjx5ZWFyPjIwMTM8L3llYXI+PHB1Yi1kYXRl
cz48ZGF0ZT5KdWwgMTY8L2RhdGU+PC9wdWItZGF0ZXM+PC9kYXRlcz48aXNibj4xNDcxLTIzOTMg
KEVsZWN0cm9uaWMpJiN4RDsxNDcxLTIzOTMgKExpbmtpbmcpPC9pc2JuPjxhY2Nlc3Npb24tbnVt
PjIzODY1NjI0PC9hY2Nlc3Npb24tbnVtPjx1cmxzPjxyZWxhdGVkLXVybHM+PHVybD5odHRwczov
L3d3dy5uY2JpLm5sbS5uaWguZ292L3B1Ym1lZC8yMzg2NTYyNDwvdXJsPjwvcmVsYXRlZC11cmxz
PjwvdXJscz48Y3VzdG9tMj5QTUMzNzE4NzA3PC9jdXN0b20yPjxlbGVjdHJvbmljLXJlc291cmNl
LW51bT4xMC4xMTg2LzE0NzEtMjM5My0xMy0xNTE8L2VsZWN0cm9uaWMtcmVzb3VyY2UtbnVtPjwv
cmVjb3JkPjwvQ2l0ZT48Q2l0ZT48QXV0aG9yPlZlc2NvPC9BdXRob3I+PFllYXI+MjAxMjwvWWVh
cj48UmVjTnVtPjExMzA8L1JlY051bT48cmVjb3JkPjxyZWMtbnVtYmVyPjExMzA8L3JlYy1udW1i
ZXI+PGZvcmVpZ24ta2V5cz48a2V5IGFwcD0iRU4iIGRiLWlkPSJleHZhc3JmeDJkdHJhb2VzYXN4
cDJzenN4YTJkZjUwMjU5MngiIHRpbWVzdGFtcD0iMTU1MzQwODk4NiI+MTEzMDwva2V5PjwvZm9y
ZWlnbi1rZXlzPjxyZWYtdHlwZSBuYW1lPSJKb3VybmFsIEFydGljbGUiPjE3PC9yZWYtdHlwZT48
Y29udHJpYnV0b3JzPjxhdXRob3JzPjxhdXRob3I+VmVzY28sIEsuIEsuPC9hdXRob3I+PGF1dGhv
cj5LYXJhbmphLCBOLjwvYXV0aG9yPjxhdXRob3I+S2luZywgSi4gQy48L2F1dGhvcj48YXV0aG9y
PkdpbGxtYW4sIE0uIFcuPC9hdXRob3I+PGF1dGhvcj5QZXJyaW4sIE4uPC9hdXRob3I+PGF1dGhv
cj5NY0V2b3ksIEMuPC9hdXRob3I+PGF1dGhvcj5FY2toYXJkdCwgQy48L2F1dGhvcj48YXV0aG9y
PlNtaXRoLCBLLiBTLjwvYXV0aG9yPjxhdXRob3I+U3RldmVucywgVi4gSi48L2F1dGhvcj48L2F1
dGhvcnM+PC9jb250cmlidXRvcnM+PGF1dGgtYWRkcmVzcz5DZW50ZXIgZm9yIEhlYWx0aCBSZXNl
YXJjaCwgS2Fpc2VyIFBlcm1hbmVudGUsIE5vcnRod2VzdCwgUG9ydGxhbmQsIE9SIDk3MjI3LCBV
U0EuIGtpbWJlcmx5LmsudmVzY29Aa3BjaHIub3JnPC9hdXRoLWFkZHJlc3M+PHRpdGxlcz48dGl0
bGU+SGVhbHRoeSBNb21zLCBhIHJhbmRvbWl6ZWQgdHJpYWwgdG8gcHJvbW90ZSBhbmQgZXZhbHVh
dGUgd2VpZ2h0IG1haW50ZW5hbmNlIGFtb25nIG9iZXNlIHByZWduYW50IHdvbWVuOiBzdHVkeSBk
ZXNpZ24gYW5kIHJhdGlvbmFsZTwvdGl0bGU+PHNlY29uZGFyeS10aXRsZT5Db250ZW1wIENsaW4g
VHJpYWxzPC9zZWNvbmRhcnktdGl0bGU+PC90aXRsZXM+PHBlcmlvZGljYWw+PGZ1bGwtdGl0bGU+
Q29udGVtcCBDbGluIFRyaWFsczwvZnVsbC10aXRsZT48L3BlcmlvZGljYWw+PHBhZ2VzPjc3Ny04
NTwvcGFnZXM+PHZvbHVtZT4zMzwvdm9sdW1lPjxudW1iZXI+NDwvbnVtYmVyPjxlZGl0aW9uPjIw
MTIvMDQvMDM8L2VkaXRpb24+PGtleXdvcmRzPjxrZXl3b3JkPkFkb2xlc2NlbnQ8L2tleXdvcmQ+
PGtleXdvcmQ+QWR1bHQ8L2tleXdvcmQ+PGtleXdvcmQ+QmlydGggV2VpZ2h0PC9rZXl3b3JkPjxr
ZXl3b3JkPkNsaW5pY2FsIFByb3RvY29sczwva2V5d29yZD48a2V5d29yZD5Db21iaW5lZCBNb2Rh
bGl0eSBUaGVyYXB5PC9rZXl3b3JkPjxrZXl3b3JkPkRpZXQgVGhlcmFweS8qbWV0aG9kczwva2V5
d29yZD48a2V5d29yZD5FeGVyY2lzZSBUaGVyYXB5LyptZXRob2RzPC9rZXl3b3JkPjxrZXl3b3Jk
PkZlYXNpYmlsaXR5IFN0dWRpZXM8L2tleXdvcmQ+PGtleXdvcmQ+RmVtYWxlPC9rZXl3b3JkPjxr
ZXl3b3JkPkh1bWFuczwva2V5d29yZD48a2V5d29yZD5JbmZhbnQsIE5ld2Jvcm48L2tleXdvcmQ+
PGtleXdvcmQ+SW50ZW50aW9uIHRvIFRyZWF0IEFuYWx5c2lzPC9rZXl3b3JkPjxrZXl3b3JkPkxv
Z2lzdGljIE1vZGVsczwva2V5d29yZD48a2V5d29yZD5PYmVzaXR5Lyp0aGVyYXB5PC9rZXl3b3Jk
PjxrZXl3b3JkPlByZWduYW5jeTwva2V5d29yZD48a2V5d29yZD5QcmVnbmFuY3kgQ29tcGxpY2F0
aW9ucy8qdGhlcmFweTwva2V5d29yZD48a2V5d29yZD5Qc3ljaG90aGVyYXB5LCBHcm91cC8qbWV0
aG9kczwva2V5d29yZD48a2V5d29yZD5SZXNlYXJjaCBEZXNpZ248L2tleXdvcmQ+PGtleXdvcmQ+
VHJlYXRtZW50IE91dGNvbWU8L2tleXdvcmQ+PGtleXdvcmQ+V2VpZ2h0IEdhaW48L2tleXdvcmQ+
PGtleXdvcmQ+WW91bmcgQWR1bHQ8L2tleXdvcmQ+PC9rZXl3b3Jkcz48ZGF0ZXM+PHllYXI+MjAx
MjwveWVhcj48cHViLWRhdGVzPjxkYXRlPkp1bDwvZGF0ZT48L3B1Yi1kYXRlcz48L2RhdGVzPjxp
c2JuPjE1NTktMjAzMCAoRWxlY3Ryb25pYykmI3hEOzE1NTEtNzE0NCAoTGlua2luZyk8L2lzYm4+
PGFjY2Vzc2lvbi1udW0+MjI0NjUyNTY8L2FjY2Vzc2lvbi1udW0+PHVybHM+PHJlbGF0ZWQtdXJs
cz48dXJsPmh0dHBzOi8vd3d3Lm5jYmkubmxtLm5paC5nb3YvcHVibWVkLzIyNDY1MjU2PC91cmw+
PC9yZWxhdGVkLXVybHM+PC91cmxzPjxjdXN0b20yPlBNQzMzNjE1MTk8L2N1c3RvbTI+PGVsZWN0
cm9uaWMtcmVzb3VyY2UtbnVtPjEwLjEwMTYvai5jY3QuMjAxMi4wMy4wMDY8L2VsZWN0cm9uaWMt
cmVzb3VyY2UtbnVtPjwvcmVjb3JkPjwvQ2l0ZT48Q2l0ZT48QXV0aG9yPkhhcnJpc29uPC9BdXRo
b3I+PFllYXI+MjAxMzwvWWVhcj48UmVjTnVtPjcyNTwvUmVjTnVtPjxyZWNvcmQ+PHJlYy1udW1i
ZXI+NzI1PC9yZWMtbnVtYmVyPjxmb3JlaWduLWtleXM+PGtleSBhcHA9IkVOIiBkYi1pZD0iZXh2
YXNyZngyZHRyYW9lc2FzeHAyc3pzeGEyZGY1MDI1OTJ4IiB0aW1lc3RhbXA9IjE1NDE0NjUwNTAi
PjcyNTwva2V5PjwvZm9yZWlnbi1rZXlzPjxyZWYtdHlwZSBuYW1lPSJKb3VybmFsIEFydGljbGUi
PjE3PC9yZWYtdHlwZT48Y29udHJpYnV0b3JzPjxhdXRob3JzPjxhdXRob3I+SGFycmlzb24sIEMu
IEwuPC9hdXRob3I+PGF1dGhvcj5Mb21iYXJkLCBDLiBCLjwvYXV0aG9yPjxhdXRob3I+U3RyYXVz
cywgQi4gSi48L2F1dGhvcj48YXV0aG9yPlRlZWRlLCBILiBKLjwvYXV0aG9yPjwvYXV0aG9ycz48
L2NvbnRyaWJ1dG9ycz48YXV0aC1hZGRyZXNzPldvbWVuJmFwb3M7cyBSZXByb2R1Y3RpdmUgUmVz
ZWFyY2ggdW5pdCwgU2Nob29sIG9mIFB1YmxpYyBIZWFsdGggYW5kIFByZXZlbnRpdmUgTWVkaWNp
bmUsIE1vbmFzaCBVbml2ZXJzaXR5LCBDbGF5dG9uLCBWaWN0b3JpYSwgQXVzdHJhbGlhLjwvYXV0
aC1hZGRyZXNzPjx0aXRsZXM+PHRpdGxlPk9wdGltaXppbmcgaGVhbHRoeSBnZXN0YXRpb25hbCB3
ZWlnaHQgZ2FpbiBpbiB3b21lbiBhdCBoaWdoIHJpc2sgb2YgZ2VzdGF0aW9uYWwgZGlhYmV0ZXM6
IGEgcmFuZG9taXplZCBjb250cm9sbGVkIHRyaWFsPC90aXRsZT48c2Vjb25kYXJ5LXRpdGxlPk9i
ZXNpdHkgKFNpbHZlciBTcHJpbmcpPC9zZWNvbmRhcnktdGl0bGU+PC90aXRsZXM+PHBlcmlvZGlj
YWw+PGZ1bGwtdGl0bGU+T2Jlc2l0eSAoU2lsdmVyIFNwcmluZyk8L2Z1bGwtdGl0bGU+PC9wZXJp
b2RpY2FsPjxwYWdlcz45MDQtOTwvcGFnZXM+PHZvbHVtZT4yMTwvdm9sdW1lPjxudW1iZXI+NTwv
bnVtYmVyPjxlZGl0aW9uPjIwMTMvMDYvMjE8L2VkaXRpb24+PGtleXdvcmRzPjxrZXl3b3JkPkFk
dWx0PC9rZXl3b3JkPjxrZXl3b3JkPipCb2R5IE1hc3MgSW5kZXg8L2tleXdvcmQ+PGtleXdvcmQ+
RGlhYmV0ZXMsIEdlc3RhdGlvbmFsL2VwaWRlbWlvbG9neS8qcHJldmVudGlvbiAmYW1wOyBjb250
cm9sPC9rZXl3b3JkPjxrZXl3b3JkPkZlbWFsZTwva2V5d29yZD48a2V5d29yZD5IdW1hbnM8L2tl
eXdvcmQ+PGtleXdvcmQ+KkxpZmUgU3R5bGU8L2tleXdvcmQ+PGtleXdvcmQ+TW90b3IgQWN0aXZp
dHk8L2tleXdvcmQ+PGtleXdvcmQ+T2Jlc2l0eS9jb21wbGljYXRpb25zL3RoZXJhcHk8L2tleXdv
cmQ+PGtleXdvcmQ+UHJlZ25hbmN5PC9rZXl3b3JkPjxrZXl3b3JkPlByZW5hdGFsIENhcmU8L2tl
eXdvcmQ+PGtleXdvcmQ+UmlzayBGYWN0b3JzPC9rZXl3b3JkPjxrZXl3b3JkPipXYWxraW5nPC9r
ZXl3b3JkPjxrZXl3b3JkPipXZWlnaHQgR2Fpbjwva2V5d29yZD48L2tleXdvcmRzPjxkYXRlcz48
eWVhcj4yMDEzPC95ZWFyPjxwdWItZGF0ZXM+PGRhdGU+TWF5PC9kYXRlPjwvcHViLWRhdGVzPjwv
ZGF0ZXM+PGlzYm4+MTkzMC03MzlYIChFbGVjdHJvbmljKSYjeEQ7MTkzMC03MzgxIChMaW5raW5n
KTwvaXNibj48YWNjZXNzaW9uLW51bT4yMzc4NDg5MjwvYWNjZXNzaW9uLW51bT48dXJscz48cmVs
YXRlZC11cmxzPjx1cmw+aHR0cHM6Ly93d3cubmNiaS5ubG0ubmloLmdvdi9wdWJtZWQvMjM3ODQ4
OTI8L3VybD48L3JlbGF0ZWQtdXJscz48L3VybHM+PGVsZWN0cm9uaWMtcmVzb3VyY2UtbnVtPjEw
LjEwMDIvb2J5LjIwMTYzPC9lbGVjdHJvbmljLXJlc291cmNlLW51bT48L3JlY29yZD48L0NpdGU+
PENpdGU+PEF1dGhvcj5Qb2xsZXk8L0F1dGhvcj48WWVhcj4yMDAyPC9ZZWFyPjxSZWNOdW0+NzA2
PC9SZWNOdW0+PHJlY29yZD48cmVjLW51bWJlcj43MDY8L3JlYy1udW1iZXI+PGZvcmVpZ24ta2V5
cz48a2V5IGFwcD0iRU4iIGRiLWlkPSJleHZhc3JmeDJkdHJhb2VzYXN4cDJzenN4YTJkZjUwMjU5
MngiIHRpbWVzdGFtcD0iMTU0MDUzMDY3NCI+NzA2PC9rZXk+PC9mb3JlaWduLWtleXM+PHJlZi10
eXBlIG5hbWU9IkpvdXJuYWwgQXJ0aWNsZSI+MTc8L3JlZi10eXBlPjxjb250cmlidXRvcnM+PGF1
dGhvcnM+PGF1dGhvcj5Qb2xsZXksIEIuIEEuPC9hdXRob3I+PGF1dGhvcj5XaW5nLCBSLiBSLjwv
YXV0aG9yPjxhdXRob3I+U2ltcywgQy4gSi48L2F1dGhvcj48L2F1dGhvcnM+PC9jb250cmlidXRv
cnM+PGF1dGgtYWRkcmVzcz5Vbml2ZXJzaXR5IG9mIFBpdHRzYnVyZ2gsIFBpdHRzYnVyZ2gsIFBl
bm5zeWx2YW5pYSwgVVNBLjwvYXV0aC1hZGRyZXNzPjx0aXRsZXM+PHRpdGxlPlJhbmRvbWl6ZWQg
Y29udHJvbGxlZCB0cmlhbCB0byBwcmV2ZW50IGV4Y2Vzc2l2ZSB3ZWlnaHQgZ2FpbiBpbiBwcmVn
bmFudCB3b21lbjwvdGl0bGU+PHNlY29uZGFyeS10aXRsZT5JbnQgSiBPYmVzIFJlbGF0IE1ldGFi
IERpc29yZDwvc2Vjb25kYXJ5LXRpdGxlPjwvdGl0bGVzPjxwZXJpb2RpY2FsPjxmdWxsLXRpdGxl
PkludCBKIE9iZXMgUmVsYXQgTWV0YWIgRGlzb3JkPC9mdWxsLXRpdGxlPjwvcGVyaW9kaWNhbD48
cGFnZXM+MTQ5NC01MDI8L3BhZ2VzPjx2b2x1bWU+MjY8L3ZvbHVtZT48bnVtYmVyPjExPC9udW1i
ZXI+PGVkaXRpb24+MjAwMi8xMS8yMDwvZWRpdGlvbj48a2V5d29yZHM+PGtleXdvcmQ+QWR1bHQ8
L2tleXdvcmQ+PGtleXdvcmQ+RXhlcmNpc2UgVGhlcmFweS8qbWV0aG9kczwva2V5d29yZD48a2V5
d29yZD5GZW1hbGU8L2tleXdvcmQ+PGtleXdvcmQ+SGVhbHRoIEJlaGF2aW9yPC9rZXl3b3JkPjxr
ZXl3b3JkPkh1bWFuczwva2V5d29yZD48a2V5d29yZD5PYmVzaXR5LypwcmV2ZW50aW9uICZhbXA7
IGNvbnRyb2w8L2tleXdvcmQ+PGtleXdvcmQ+UG9zdG5hdGFsIENhcmUvbWV0aG9kczwva2V5d29y
ZD48a2V5d29yZD5QcmVnbmFuY3k8L2tleXdvcmQ+PGtleXdvcmQ+UHJlZ25hbmN5IENvbXBsaWNh
dGlvbnMvKnByZXZlbnRpb24gJmFtcDsgY29udHJvbDwva2V5d29yZD48a2V5d29yZD5QcmVnbmFu
Y3kgT3V0Y29tZTwva2V5d29yZD48a2V5d29yZD5QcmVuYXRhbCBDYXJlL21ldGhvZHM8L2tleXdv
cmQ+PGtleXdvcmQ+V2VpZ2h0IEdhaW48L2tleXdvcmQ+PC9rZXl3b3Jkcz48ZGF0ZXM+PHllYXI+
MjAwMjwveWVhcj48cHViLWRhdGVzPjxkYXRlPk5vdjwvZGF0ZT48L3B1Yi1kYXRlcz48L2RhdGVz
PjxhY2Nlc3Npb24tbnVtPjEyNDM5NjUyPC9hY2Nlc3Npb24tbnVtPjx1cmxzPjxyZWxhdGVkLXVy
bHM+PHVybD5odHRwczovL3d3dy5uY2JpLm5sbS5uaWguZ292L3B1Ym1lZC8xMjQzOTY1MjwvdXJs
PjwvcmVsYXRlZC11cmxzPjwvdXJscz48ZWxlY3Ryb25pYy1yZXNvdXJjZS1udW0+MTAuMTAzOC9z
ai5pam8uMDgwMjEzMDwvZWxlY3Ryb25pYy1yZXNvdXJjZS1udW0+PC9yZWNvcmQ+PC9DaXRlPjxD
aXRlPjxBdXRob3I+Um9ubmJlcmc8L0F1dGhvcj48WWVhcj4yMDE1PC9ZZWFyPjxSZWNOdW0+NzU0
PC9SZWNOdW0+PHJlY29yZD48cmVjLW51bWJlcj43NTQ8L3JlYy1udW1iZXI+PGZvcmVpZ24ta2V5
cz48a2V5IGFwcD0iRU4iIGRiLWlkPSJleHZhc3JmeDJkdHJhb2VzYXN4cDJzenN4YTJkZjUwMjU5
MngiIHRpbWVzdGFtcD0iMTU0MTQ2Nzk1MiI+NzU0PC9rZXk+PGtleSBhcHA9IkVOV2ViIiBkYi1p
ZD0iIj4wPC9rZXk+PC9mb3JlaWduLWtleXM+PHJlZi10eXBlIG5hbWU9IkpvdXJuYWwgQXJ0aWNs
ZSI+MTc8L3JlZi10eXBlPjxjb250cmlidXRvcnM+PGF1dGhvcnM+PGF1dGhvcj5Sb25uYmVyZywg
QS4gSy48L2F1dGhvcj48YXV0aG9yPk9zdGx1bmQsIEkuPC9hdXRob3I+PGF1dGhvcj5GYWRsLCBI
LjwvYXV0aG9yPjxhdXRob3I+R290dHZhbGwsIFQuPC9hdXRob3I+PGF1dGhvcj5OaWxzc29uLCBL
LjwvYXV0aG9yPjwvYXV0aG9ycz48L2NvbnRyaWJ1dG9ycz48dGl0bGVzPjx0aXRsZT5JbnRlcnZl
bnRpb24gZHVyaW5nIHByZWduYW5jeSB0byByZWR1Y2UgZXhjZXNzaXZlIGdlc3RhdGlvbmFsIHdl
aWdodCBnYWluLWEgcmFuZG9taXNlZCBjb250cm9sbGVkIHRyaWFsPC90aXRsZT48c2Vjb25kYXJ5
LXRpdGxlPkJKT0c6IEFuIEludGVybmF0aW9uYWwgSm91cm5hbCBvZiBPYnN0ZXRyaWNzICZhbXA7
IEd5bmFlY29sb2d5PC9zZWNvbmRhcnktdGl0bGU+PC90aXRsZXM+PHBlcmlvZGljYWw+PGZ1bGwt
dGl0bGU+QkpPRzogQW4gSW50ZXJuYXRpb25hbCBKb3VybmFsIG9mIE9ic3RldHJpY3MgJmFtcDsg
R3luYWVjb2xvZ3k8L2Z1bGwtdGl0bGU+PC9wZXJpb2RpY2FsPjxwYWdlcz41MzctNTQ0PC9wYWdl
cz48dm9sdW1lPjEyMjwvdm9sdW1lPjxudW1iZXI+NDwvbnVtYmVyPjxzZWN0aW9uPjUzNzwvc2Vj
dGlvbj48ZGF0ZXM+PHllYXI+MjAxNTwveWVhcj48L2RhdGVzPjxpc2JuPjE0NzAwMzI4PC9pc2Ju
Pjx1cmxzPjwvdXJscz48ZWxlY3Ryb25pYy1yZXNvdXJjZS1udW0+MTAuMTExMS8xNDcxLTA1Mjgu
MTMxMzE8L2VsZWN0cm9uaWMtcmVzb3VyY2UtbnVtPjwvcmVjb3JkPjwvQ2l0ZT48Q2l0ZT48QXV0
aG9yPkRvZGQ8L0F1dGhvcj48WWVhcj4yMDE0PC9ZZWFyPjxSZWNOdW0+NzE4PC9SZWNOdW0+PHJl
Y29yZD48cmVjLW51bWJlcj43MTg8L3JlYy1udW1iZXI+PGZvcmVpZ24ta2V5cz48a2V5IGFwcD0i
RU4iIGRiLWlkPSJleHZhc3JmeDJkdHJhb2VzYXN4cDJzenN4YTJkZjUwMjU5MngiIHRpbWVzdGFt
cD0iMTU0MTQ2NDA4OCI+NzE4PC9rZXk+PC9mb3JlaWduLWtleXM+PHJlZi10eXBlIG5hbWU9Ikpv
dXJuYWwgQXJ0aWNsZSI+MTc8L3JlZi10eXBlPjxjb250cmlidXRvcnM+PGF1dGhvcnM+PGF1dGhv
cj5Eb2RkLCBKLiBNLjwvYXV0aG9yPjxhdXRob3I+VHVybmJ1bGwsIEQuPC9hdXRob3I+PGF1dGhv
cj5NY1BoZWUsIEEuIEouPC9hdXRob3I+PGF1dGhvcj5EZXVzc2VuLCBBLiBSLjwvYXV0aG9yPjxh
dXRob3I+R3JpdmVsbCwgUi4gTS48L2F1dGhvcj48YXV0aG9yPlllbGxhbmQsIEwuIE4uPC9hdXRo
b3I+PGF1dGhvcj5Dcm93dGhlciwgQy4gQS48L2F1dGhvcj48YXV0aG9yPldpdHRlcnQsIEcuPC9h
dXRob3I+PGF1dGhvcj5Pd2VucywgSi4gQS48L2F1dGhvcj48YXV0aG9yPlJvYmluc29uLCBKLiBT
LjwvYXV0aG9yPjxhdXRob3I+TGltaXQgUmFuZG9taXNlZCBUcmlhbCBHcm91cDwvYXV0aG9yPjwv
YXV0aG9ycz48L2NvbnRyaWJ1dG9ycz48YXV0aC1hZGRyZXNzPlJvYmluc29uIEluc3RpdHV0ZSBh
bmQgU2Nob29sIG9mIFBhZWRpYXRyaWNzIGFuZCBSZXByb2R1Y3RpdmUgSGVhbHRoLCBVbml2ZXJz
aXR5IG9mIEFkZWxhaWRlLCA3MiBLaW5nIFdpbGxpYW0gUm9hZCwgTm9ydGggQWRlbGFpZGUsIFNv
dXRoIEF1c3RyYWxpYSwgQXVzdHJhbGlhIDUwMDYuPC9hdXRoLWFkZHJlc3M+PHRpdGxlcz48dGl0
bGU+QW50ZW5hdGFsIGxpZmVzdHlsZSBhZHZpY2UgZm9yIHdvbWVuIHdobyBhcmUgb3ZlcndlaWdo
dCBvciBvYmVzZTogTElNSVQgcmFuZG9taXNlZCB0cmlhbDwvdGl0bGU+PHNlY29uZGFyeS10aXRs
ZT5CTUo8L3NlY29uZGFyeS10aXRsZT48L3RpdGxlcz48cGVyaW9kaWNhbD48ZnVsbC10aXRsZT5C
TUo8L2Z1bGwtdGl0bGU+PC9wZXJpb2RpY2FsPjxwYWdlcz5nMTI4NTwvcGFnZXM+PHZvbHVtZT4z
NDg8L3ZvbHVtZT48ZWRpdGlvbj4yMDE0LzAyLzEyPC9lZGl0aW9uPjxrZXl3b3Jkcz48a2V5d29y
ZD5BZHVsdDwva2V5d29yZD48a2V5d29yZD5CaXJ0aCBXZWlnaHQ8L2tleXdvcmQ+PGtleXdvcmQ+
RGlhYmV0ZXMsIEdlc3RhdGlvbmFsL3ByZXZlbnRpb24gJmFtcDsgY29udHJvbDwva2V5d29yZD48
a2V5d29yZD5GZW1hbGU8L2tleXdvcmQ+PGtleXdvcmQ+RmV0YWwgTWFjcm9zb21pYS9wcmV2ZW50
aW9uICZhbXA7IGNvbnRyb2w8L2tleXdvcmQ+PGtleXdvcmQ+R2VzdGF0aW9uYWwgQWdlPC9rZXl3
b3JkPjxrZXl3b3JkPipIZWFsdGggUHJvbW90aW9uL21ldGhvZHM8L2tleXdvcmQ+PGtleXdvcmQ+
SHVtYW5zPC9rZXl3b3JkPjxrZXl3b3JkPkh5cGVydGVuc2lvbi9jb21wbGljYXRpb25zL3ByZXZl
bnRpb24gJmFtcDsgY29udHJvbDwva2V5d29yZD48a2V5d29yZD5JbmZhbnQsIE5ld2Jvcm48L2tl
eXdvcmQ+PGtleXdvcmQ+TWFsZTwva2V5d29yZD48a2V5d29yZD5PYmVzaXR5Lypjb21wbGljYXRp
b25zL3ByZXZlbnRpb24gJmFtcDsgY29udHJvbDwva2V5d29yZD48a2V5d29yZD5PdmVyd2VpZ2h0
Lypjb21wbGljYXRpb25zL3ByZXZlbnRpb24gJmFtcDsgY29udHJvbDwva2V5d29yZD48a2V5d29y
ZD5QcmUtRWNsYW1wc2lhL3ByZXZlbnRpb24gJmFtcDsgY29udHJvbDwva2V5d29yZD48a2V5d29y
ZD5QcmVnbmFuY3k8L2tleXdvcmQ+PGtleXdvcmQ+UHJlZ25hbmN5IENvbXBsaWNhdGlvbnMvKnBy
ZXZlbnRpb24gJmFtcDsgY29udHJvbDwva2V5d29yZD48a2V5d29yZD5QcmVnbmFuY3kgT3V0Y29t
ZS9lcGlkZW1pb2xvZ3k8L2tleXdvcmQ+PGtleXdvcmQ+UmlzayBSZWR1Y3Rpb24gQmVoYXZpb3I8
L2tleXdvcmQ+PGtleXdvcmQ+V2VpZ2h0IFJlZHVjdGlvbiBQcm9ncmFtcy9tZXRob2RzPC9rZXl3
b3JkPjwva2V5d29yZHM+PGRhdGVzPjx5ZWFyPjIwMTQ8L3llYXI+PHB1Yi1kYXRlcz48ZGF0ZT5G
ZWIgMTA8L2RhdGU+PC9wdWItZGF0ZXM+PC9kYXRlcz48aXNibj4xNzU2LTE4MzMgKEVsZWN0cm9u
aWMpJiN4RDswOTU5LTgxMzggKExpbmtpbmcpPC9pc2JuPjxhY2Nlc3Npb24tbnVtPjI0NTEzNDQy
PC9hY2Nlc3Npb24tbnVtPjx1cmxzPjxyZWxhdGVkLXVybHM+PHVybD5odHRwczovL3d3dy5uY2Jp
Lm5sbS5uaWguZ292L3B1Ym1lZC8yNDUxMzQ0MjwvdXJsPjwvcmVsYXRlZC11cmxzPjwvdXJscz48
Y3VzdG9tMj5QTUMzOTE5MTc5PC9jdXN0b20yPjxlbGVjdHJvbmljLXJlc291cmNlLW51bT4xMC4x
MTM2L2Jtai5nMTI4NTwvZWxlY3Ryb25pYy1yZXNvdXJjZS1udW0+PC9yZWNvcmQ+PC9DaXRlPjxD
aXRlPjxBdXRob3I+R2FsbGFnaGVyPC9BdXRob3I+PFllYXI+MjAxODwvWWVhcj48UmVjTnVtPjc0
NDwvUmVjTnVtPjxyZWNvcmQ+PHJlYy1udW1iZXI+NzQ0PC9yZWMtbnVtYmVyPjxmb3JlaWduLWtl
eXM+PGtleSBhcHA9IkVOIiBkYi1pZD0iZXh2YXNyZngyZHRyYW9lc2FzeHAyc3pzeGEyZGY1MDI1
OTJ4IiB0aW1lc3RhbXA9IjE1NDE0Njc4NzkiPjc0NDwva2V5PjxrZXkgYXBwPSJFTldlYiIgZGIt
aWQ9IiI+MDwva2V5PjwvZm9yZWlnbi1rZXlzPjxyZWYtdHlwZSBuYW1lPSJKb3VybmFsIEFydGlj
bGUiPjE3PC9yZWYtdHlwZT48Y29udHJpYnV0b3JzPjxhdXRob3JzPjxhdXRob3I+R2FsbGFnaGVy
LCBEeW1wbmE8L2F1dGhvcj48YXV0aG9yPlJvc2VubiwgQmFyYWs8L2F1dGhvcj48YXV0aG9yPlRv
cm8tUmFtb3MsIFRhdGlhbmE8L2F1dGhvcj48YXV0aG9yPlBhbGV5LCBDaGFybGVzPC9hdXRob3I+
PGF1dGhvcj5HaWR3YW5pLCBTb25pYTwvYXV0aG9yPjxhdXRob3I+SG9yb3dpdHosIE1pY2hlbGxl
PC9hdXRob3I+PGF1dGhvcj5DcmFuZSwgSmFuZXQ8L2F1dGhvcj48YXV0aG9yPkxpbiwgU3VzYW48
L2F1dGhvcj48YXV0aG9yPlRob3JudG9uLCBKb2huIEMuPC9hdXRob3I+PGF1dGhvcj5QaS1TdW55
ZXIsIFhhdmllcjwvYXV0aG9yPjwvYXV0aG9ycz48L2NvbnRyaWJ1dG9ycz48dGl0bGVzPjx0aXRs
ZT5HcmVhdGVyIE5lb25hdGFsIEZhdC1GcmVlIE1hc3MgYW5kIFNpbWlsYXIgRmF0IE1hc3MgRm9s
bG93aW5nIGEgUmFuZG9taXplZCBUcmlhbCB0byBDb250cm9sIEV4Y2VzcyBHZXN0YXRpb25hbCBX
ZWlnaHQgR2FpbjwvdGl0bGU+PHNlY29uZGFyeS10aXRsZT5PYmVzaXR5PC9zZWNvbmRhcnktdGl0
bGU+PC90aXRsZXM+PHBlcmlvZGljYWw+PGZ1bGwtdGl0bGU+T2Jlc2l0eTwvZnVsbC10aXRsZT48
L3BlcmlvZGljYWw+PHBhZ2VzPjU3OC01ODc8L3BhZ2VzPjx2b2x1bWU+MjY8L3ZvbHVtZT48bnVt
YmVyPjM8L251bWJlcj48c2VjdGlvbj41Nzg8L3NlY3Rpb24+PGRhdGVzPjx5ZWFyPjIwMTg8L3ll
YXI+PC9kYXRlcz48aXNibj4xOTMwNzM4MTwvaXNibj48dXJscz48L3VybHM+PGVsZWN0cm9uaWMt
cmVzb3VyY2UtbnVtPjEwLjEwMDIvb2J5LjIyMDc5PC9lbGVjdHJvbmljLXJlc291cmNlLW51bT48
L3JlY29yZD48L0NpdGU+PENpdGU+PEF1dGhvcj5WYW4gSG9ybjwvQXV0aG9yPjxZZWFyPjIwMTg8
L1llYXI+PFJlY051bT4xMzc2PC9SZWNOdW0+PHJlY29yZD48cmVjLW51bWJlcj4xMzc2PC9yZWMt
bnVtYmVyPjxmb3JlaWduLWtleXM+PGtleSBhcHA9IkVOIiBkYi1pZD0iZXh2YXNyZngyZHRyYW9l
c2FzeHAyc3pzeGEyZGY1MDI1OTJ4IiB0aW1lc3RhbXA9IjE1NjcwMzU5ODciPjEzNzY8L2tleT48
a2V5IGFwcD0iRU5XZWIiIGRiLWlkPSIiPjA8L2tleT48L2ZvcmVpZ24ta2V5cz48cmVmLXR5cGUg
bmFtZT0iSm91cm5hbCBBcnRpY2xlIj4xNzwvcmVmLXR5cGU+PGNvbnRyaWJ1dG9ycz48YXV0aG9y
cz48YXV0aG9yPlZhbiBIb3JuLCBMLjwvYXV0aG9yPjxhdXRob3I+UGVhY2VtYW4sIEEuPC9hdXRo
b3I+PGF1dGhvcj5Ld2FzbnksIE0uPC9hdXRob3I+PGF1dGhvcj5WaW5jZW50LCBFLjwvYXV0aG9y
PjxhdXRob3I+Rm91Z2h0LCBBLjwvYXV0aG9yPjxhdXRob3I+Sm9zZWZzb24sIEouPC9hdXRob3I+
PGF1dGhvcj5TcHJpbmcsIEIuPC9hdXRob3I+PGF1dGhvcj5OZWZmLCBMLiBNLjwvYXV0aG9yPjxh
dXRob3I+R2VybmhvZmVyLCBOLjwvYXV0aG9yPjwvYXV0aG9ycz48L2NvbnRyaWJ1dG9ycz48YXV0
aC1hZGRyZXNzPkRlcGFydG1lbnQgb2YgUHJldmVudGl2ZSBNZWRpY2luZSwgTm9ydGh3ZXN0ZXJu
IFVuaXZlcnNpdHkgRmVpbmJlcmcgU2Nob29sIG9mIE1lZGljaW5lLCBDaGljYWdvLCBJbGxpbm9p
cy4gRWxlY3Ryb25pYyBhZGRyZXNzOiBsdmFuaG9ybkBub3J0aHdlc3Rlcm4uZWR1LiYjeEQ7RGVw
YXJ0bWVudCBvZiBPYnN0ZXRyaWNzIGFuZCBHeW5lY29sb2d5LCBOb3J0aHdlc3Rlcm4gVW5pdmVy
c2l0eSBGZWluYmVyZyBTY2hvb2wgb2YgTWVkaWNpbmUsIENoaWNhZ28sIElsbGlub2lzLiYjeEQ7
RGVwYXJ0bWVudCBvZiBQcmV2ZW50aXZlIE1lZGljaW5lLCBOb3J0aHdlc3Rlcm4gVW5pdmVyc2l0
eSBGZWluYmVyZyBTY2hvb2wgb2YgTWVkaWNpbmUsIENoaWNhZ28sIElsbGlub2lzLiYjeEQ7RGVw
YXJ0bWVudCBvZiBQcmV2ZW50aXZlIE1lZGljaW5lLCBOb3J0aHdlc3Rlcm4gVW5pdmVyc2l0eSBG
ZWluYmVyZyBTY2hvb2wgb2YgTWVkaWNpbmUsIENoaWNhZ28sIElsbGlub2lzOyBBbm4gYW5kIFJv
YmVydCBILiBMdXJpZSBDaGlsZHJlbiZhcG9zO3MgSG9zcGl0YWwgb2YgQ2hpY2FnbywgQ2hpY2Fn
bywgSWxsaW5vaXMuJiN4RDtEZXBhcnRtZW50IG9mIE1lZGljaW5lLCBOb3J0aHdlc3Rlcm4gVW5p
dmVyc2l0eSBGZWluYmVyZyBTY2hvb2wgb2YgTWVkaWNpbmUsIENoaWNhZ28sIElsbGlub2lzLjwv
YXV0aC1hZGRyZXNzPjx0aXRsZXM+PHRpdGxlPkRpZXRhcnkgQXBwcm9hY2hlcyB0byBTdG9wIEh5
cGVydGVuc2lvbiBEaWV0IGFuZCBBY3Rpdml0eSB0byBMaW1pdCBHZXN0YXRpb25hbCBXZWlnaHQ6
IE1hdGVybmFsIE9mZnNwcmluZyBNZXRhYm9saWNzIEZhbWlseSBJbnRlcnZlbnRpb24gVHJpYWws
IGEgVGVjaG5vbG9neSBFbmhhbmNlZCBSYW5kb21pemVkIFRyaWFsPC90aXRsZT48c2Vjb25kYXJ5
LXRpdGxlPkFtIEogUHJldiBNZWQ8L3NlY29uZGFyeS10aXRsZT48L3RpdGxlcz48cGVyaW9kaWNh
bD48ZnVsbC10aXRsZT5BbSBKIFByZXYgTWVkPC9mdWxsLXRpdGxlPjwvcGVyaW9kaWNhbD48cGFn
ZXM+NjAzLTYxNDwvcGFnZXM+PHZvbHVtZT41NTwvdm9sdW1lPjxudW1iZXI+NTwvbnVtYmVyPjxl
ZGl0aW9uPjIwMTgvMDkvMjk8L2VkaXRpb24+PGRhdGVzPjx5ZWFyPjIwMTg8L3llYXI+PHB1Yi1k
YXRlcz48ZGF0ZT5Ob3Y8L2RhdGU+PC9wdWItZGF0ZXM+PC9kYXRlcz48aXNibj4xODczLTI2MDcg
KEVsZWN0cm9uaWMpJiN4RDswNzQ5LTM3OTcgKExpbmtpbmcpPC9pc2JuPjxhY2Nlc3Npb24tbnVt
PjMwMjYyMTQ4PC9hY2Nlc3Npb24tbnVtPjx1cmxzPjxyZWxhdGVkLXVybHM+PHVybD5odHRwczov
L3d3dy5uY2JpLm5sbS5uaWguZ292L3B1Ym1lZC8zMDI2MjE0ODwvdXJsPjwvcmVsYXRlZC11cmxz
PjwvdXJscz48ZWxlY3Ryb25pYy1yZXNvdXJjZS1udW0+MTAuMTAxNi9qLmFtZXByZS4yMDE4LjA2
LjAxNTwvZWxlY3Ryb25pYy1yZXNvdXJjZS1udW0+PC9yZWNvcmQ+PC9DaXRlPjxDaXRlPjxBdXRo
b3I+UGhlbGFuPC9BdXRob3I+PFllYXI+MjAxODwvWWVhcj48UmVjTnVtPjEzODY8L1JlY051bT48
cmVjb3JkPjxyZWMtbnVtYmVyPjEzODY8L3JlYy1udW1iZXI+PGZvcmVpZ24ta2V5cz48a2V5IGFw
cD0iRU4iIGRiLWlkPSJleHZhc3JmeDJkdHJhb2VzYXN4cDJzenN4YTJkZjUwMjU5MngiIHRpbWVz
dGFtcD0iMTU2NzM4MjQ4NSI+MTM4Njwva2V5PjwvZm9yZWlnbi1rZXlzPjxyZWYtdHlwZSBuYW1l
PSJKb3VybmFsIEFydGljbGUiPjE3PC9yZWYtdHlwZT48Y29udHJpYnV0b3JzPjxhdXRob3JzPjxh
dXRob3I+UGhlbGFuLCBTLjwvYXV0aG9yPjxhdXRob3I+V2luZywgUi4gUi48L2F1dGhvcj48YXV0
aG9yPkJyYW5uZW4sIEEuPC9hdXRob3I+PGF1dGhvcj5NY0h1Z2gsIEEuPC9hdXRob3I+PGF1dGhv
cj5IYWdvYmlhbiwgVC4gQS48L2F1dGhvcj48YXV0aG9yPlNjaGFmZm5lciwgQS48L2F1dGhvcj48
YXV0aG9yPkplbGFsaWFuLCBFLjwvYXV0aG9yPjxhdXRob3I+SGFydCwgQy4gTi48L2F1dGhvcj48
YXV0aG9yPlNjaG9sbCwgVC4gTy48L2F1dGhvcj48YXV0aG9yPk11bm96LUNocmlzdGlhbiwgSy48
L2F1dGhvcj48YXV0aG9yPllpbiwgRS48L2F1dGhvcj48YXV0aG9yPlBoaXBwcywgTS4gRy48L2F1
dGhvcj48YXV0aG9yPktlYWRsZSwgUy48L2F1dGhvcj48YXV0aG9yPkFicmFtcywgQi48L2F1dGhv
cj48L2F1dGhvcnM+PC9jb250cmlidXRvcnM+PGF1dGgtYWRkcmVzcz5EZXBhcnRtZW50cyBvZiBL
aW5lc2lvbG9neSwgU3RhdGlzdGljcywgYW5kIE1vZGVybiBMYW5ndWFnZXMsIENhbGlmb3JuaWEg
UG9seXRlY2huaWMgU3RhdGUgVW5pdmVyc2l0eSwgU2FuIEx1aXMgT2Jpc3BvLCBDQS4mI3hEO0Rl
cGFydG1lbnQgb2YgUHN5Y2hpYXRyeSBhbmQgSHVtYW4gQmVoYXZpb3IsIFdhcnJlbiBBbHBlcnQg
TWVkaWNhbCBTY2hvb2wgYXQgQnJvd24gVW5pdmVyc2l0eSwgUHJvdmlkZW5jZSwgUkkuJiN4RDtE
ZXBhcnRtZW50cyBvZiBTdGF0aXN0aWNzLCBhbmQgTW9kZXJuIExhbmd1YWdlcywgQ2FsaWZvcm5p
YSBQb2x5dGVjaG5pYyBTdGF0ZSBVbml2ZXJzaXR5LCBTYW4gTHVpcyBPYmlzcG8sIENBLiYjeEQ7
RGVwYXJ0bWVudCBvZiBTb2NpYWwgYW5kIEJlaGF2aW9yYWwgU2NpZW5jZXMsIFRlbXBsZSBVbml2
ZXJzaXR5IENlbnRlciBmb3IgT2Jlc2l0eSBSZXNlYXJjaCBhbmQgRWR1Y2F0aW9uLCBQaGlsYWRl
bHBoaWEsIFBBLiYjeEQ7RGVwYXJ0bWVudCBvZiBPYnN0ZXRyaWNzIGFuZCBHeW5lY29sb2d5LCBV
bml2ZXJzaXR5IG9mIE1lZGljaW5lIGFuZCBEZW50aXN0cnkgb2YgTmV3IEplcnNleSAobm93IFJv
d2FuKSwgR2xhc3Nib3JvLCBOSi4mI3hEO0RlcGFydG1lbnRzIG9mIE1vZGVybiBMYW5ndWFnZXMs
IENhbGlmb3JuaWEgUG9seXRlY2huaWMgU3RhdGUgVW5pdmVyc2l0eSwgU2FuIEx1aXMgT2Jpc3Bv
LCBDQS4mI3hEO1BhY2lmaWMgQ2VudHJhbCBDb2FzdCBIZWFsdGggQ2VudGVycywgU2FudGEgTWFy
aWEgV29tZW4mYXBvcztzIEhlYWx0aCwgU2FudGEgTWFyaWEsIENBLiYjeEQ7RGVwYXJ0bWVudCBv
ZiBPYnN0ZXRyaWNzIGFuZCBHeW5lY29sb2d5LCBXYXJyZW4gQWxwZXJ0IE1lZGljYWwgU2Nob29s
IG9mIEJyb3duIFVuaXZlcnNpdHkgYW5kIFdvbWVuIGFuZCBJbmZhbnRzIEhvc3BpdGFsLCBQcm92
aWRlbmNlLCBSSS4mI3hEO0RpdmlzaW9uIG9mIEVwaWRlbWlvbG9neSwgVW5pdmVyc2l0eSBvZiBD
YWxpZm9ybmlhIGF0IEJlcmtlbGV5IFNjaG9vbCBvZiBQdWJsaWMgSGVhbHRoLCBCZXJrZWxleSwg
Q0EuPC9hdXRoLWFkZHJlc3M+PHRpdGxlcz48dGl0bGU+UmFuZG9taXplZCBjb250cm9sbGVkIGNs
aW5pY2FsIHRyaWFsIG9mIGJlaGF2aW9yYWwgbGlmZXN0eWxlIGludGVydmVudGlvbiB3aXRoIHBh
cnRpYWwgbWVhbCByZXBsYWNlbWVudCB0byByZWR1Y2UgZXhjZXNzaXZlIGdlc3RhdGlvbmFsIHdl
aWdodCBnYWluPC90aXRsZT48c2Vjb25kYXJ5LXRpdGxlPkFtIEogQ2xpbiBOdXRyPC9zZWNvbmRh
cnktdGl0bGU+PC90aXRsZXM+PHBlcmlvZGljYWw+PGZ1bGwtdGl0bGU+QW0gSiBDbGluIE51dHI8
L2Z1bGwtdGl0bGU+PC9wZXJpb2RpY2FsPjxwYWdlcz4xODMtMTk0PC9wYWdlcz48dm9sdW1lPjEw
Nzwvdm9sdW1lPjxudW1iZXI+MjwvbnVtYmVyPjxlZGl0aW9uPjIwMTgvMDMvMTM8L2VkaXRpb24+
PGtleXdvcmRzPjxrZXl3b3JkPkFkdWx0PC9rZXl3b3JkPjxrZXl3b3JkPkJvZHkgTWFzcyBJbmRl
eDwva2V5d29yZD48a2V5d29yZD5DYWxpZm9ybmlhPC9rZXl3b3JkPjxrZXl3b3JkPkRpZXQ8L2tl
eXdvcmQ+PGtleXdvcmQ+RXRobmljIEdyb3Vwczwva2V5d29yZD48a2V5d29yZD5FeGVyY2lzZTwv
a2V5d29yZD48a2V5d29yZD5GZW1hbGU8L2tleXdvcmQ+PGtleXdvcmQ+Kkdlc3RhdGlvbmFsIFdl
aWdodCBHYWluPC9rZXl3b3JkPjxrZXl3b3JkPipIZWFsdGggQmVoYXZpb3I8L2tleXdvcmQ+PGtl
eXdvcmQ+SHVtYW5zPC9rZXl3b3JkPjxrZXl3b3JkPkluY2lkZW5jZTwva2V5d29yZD48a2V5d29y
ZD4qTGlmZSBTdHlsZTwva2V5d29yZD48a2V5d29yZD5NZWFsczwva2V5d29yZD48a2V5d29yZD5O
dXRyaXRpb24gQXNzZXNzbWVudDwva2V5d29yZD48a2V5d29yZD5PYmVzaXR5LypwcmV2ZW50aW9u
ICZhbXA7IGNvbnRyb2w8L2tleXdvcmQ+PGtleXdvcmQ+T3ZlcndlaWdodC8qcHJldmVudGlvbiAm
YW1wOyBjb250cm9sPC9rZXl3b3JkPjxrZXl3b3JkPlByZWduYW5jeTwva2V5d29yZD48a2V5d29y
ZD5QcmVnbmFuY3kgQ29tcGxpY2F0aW9ucy8qcHJldmVudGlvbiAmYW1wOyBjb250cm9sPC9rZXl3
b3JkPjxrZXl3b3JkPlByZWduYW5jeSBPdXRjb21lPC9rZXl3b3JkPjxrZXl3b3JkPlJpc2sgRmFj
dG9yczwva2V5d29yZD48a2V5d29yZD5Zb3VuZyBBZHVsdDwva2V5d29yZD48L2tleXdvcmRzPjxk
YXRlcz48eWVhcj4yMDE4PC95ZWFyPjxwdWItZGF0ZXM+PGRhdGU+RmViIDE8L2RhdGU+PC9wdWIt
ZGF0ZXM+PC9kYXRlcz48aXNibj4xOTM4LTMyMDcgKEVsZWN0cm9uaWMpJiN4RDswMDAyLTkxNjUg
KExpbmtpbmcpPC9pc2JuPjxhY2Nlc3Npb24tbnVtPjI5NTI5MTU3PC9hY2Nlc3Npb24tbnVtPjx1
cmxzPjxyZWxhdGVkLXVybHM+PHVybD5odHRwczovL3d3dy5uY2JpLm5sbS5uaWguZ292L3B1Ym1l
ZC8yOTUyOTE1NzwvdXJsPjwvcmVsYXRlZC11cmxzPjwvdXJscz48Y3VzdG9tMj5QTUM2NDU1MDMw
PC9jdXN0b20yPjxlbGVjdHJvbmljLXJlc291cmNlLW51bT4xMC4xMDkzL2FqY24vbnF4MDQzPC9l
bGVjdHJvbmljLXJlc291cmNlLW51bT48L3JlY29yZD48L0NpdGU+PENpdGU+PEF1dGhvcj5Eb2Rk
PC9BdXRob3I+PFllYXI+MjAxOTwvWWVhcj48UmVjTnVtPjE5MjI8L1JlY051bT48cmVjb3JkPjxy
ZWMtbnVtYmVyPjE5MjI8L3JlYy1udW1iZXI+PGZvcmVpZ24ta2V5cz48a2V5IGFwcD0iRU4iIGRi
LWlkPSJleHZhc3JmeDJkdHJhb2VzYXN4cDJzenN4YTJkZjUwMjU5MngiIHRpbWVzdGFtcD0iMTU4
ODU2MDM2OCI+MTkyMjwva2V5PjxrZXkgYXBwPSJFTldlYiIgZGItaWQ9IiI+MDwva2V5PjwvZm9y
ZWlnbi1rZXlzPjxyZWYtdHlwZSBuYW1lPSJKb3VybmFsIEFydGljbGUiPjE3PC9yZWYtdHlwZT48
Y29udHJpYnV0b3JzPjxhdXRob3JzPjxhdXRob3I+RG9kZCwgSi4gTS48L2F1dGhvcj48YXV0aG9y
PkRldXNzZW4sIEEuIFIuPC9hdXRob3I+PGF1dGhvcj5Mb3Vpc2UsIEouPC9hdXRob3I+PC9hdXRo
b3JzPjwvY29udHJpYnV0b3JzPjxhdXRoLWFkZHJlc3M+RGlzY2lwbGluZSBvZiBPYnN0ZXRyaWNz
ICZhbXA7IEd5bmFlY29sb2d5LCBhbmQgUm9iaW5zb24gUmVzZWFyY2ggSW5zdGl0dXRlLCBUaGUg
VW5pdmVyc2l0eSBvZiBBZGVsYWlkZSwgQWRlbGFpZGUsIFNBIDUwMDYsIEF1c3RyYWxpYS4mI3hE
O0RlcGFydG1lbnQgb2YgUGVyaW5hdGFsIE1lZGljaW5lIFdvbWVuJmFwb3M7cyBhbmQgQ2hpbGRy
ZW4mYXBvcztzIEhvc3BpdGFsLCBOb3J0aCBBZGVsYWlkZSwgQWRlbGFpZGUsIFNBIDUwMDYsIEF1
c3RyYWxpYS48L2F1dGgtYWRkcmVzcz48dGl0bGVzPjx0aXRsZT5BIHJhbmRvbWlzZWQgdHJpYWwg
dG8gb3B0aW1pc2UgZ2VzdGF0aW9uYWwgd2VpZ2h0IGdhaW4gYW5kIGltcHJvdmUgbWF0ZXJuYWwg
YW5kIGluZmFudCBoZWFsdGggb3V0Y29tZXMgdGhyb3VnaCBhbnRlbmF0YWwgZGlldGFyeSwgbGlm
ZXN0eWxlIGFuZCBleGVyY2lzZSBhZHZpY2U6IFRoZSBPUFRJTUlTRSByYW5kb21pc2VkIHRyaWFs
PC90aXRsZT48c2Vjb25kYXJ5LXRpdGxlPk51dHJpZW50czwvc2Vjb25kYXJ5LXRpdGxlPjwvdGl0
bGVzPjxwZXJpb2RpY2FsPjxmdWxsLXRpdGxlPk51dHJpZW50czwvZnVsbC10aXRsZT48L3Blcmlv
ZGljYWw+PHZvbHVtZT4xMTwvdm9sdW1lPjxudW1iZXI+MTI8L251bWJlcj48ZWRpdGlvbj4yMDE5
LzEyLzA4PC9lZGl0aW9uPjxrZXl3b3Jkcz48a2V5d29yZD5kaWV0YXJ5IGFuZCBsaWZlc3R5bGUg
aW50ZXJ2ZW50aW9uPC9rZXl3b3JkPjxrZXl3b3JkPmdlc3RhdGlvbmFsIHdlaWdodCBnYWluPC9r
ZXl3b3JkPjxrZXl3b3JkPnJhbmRvbWlzZWQgY29udHJvbGxlZCB0cmlhbDwva2V5d29yZD48L2tl
eXdvcmRzPjxkYXRlcz48eWVhcj4yMDE5PC95ZWFyPjxwdWItZGF0ZXM+PGRhdGU+RGVjIDI8L2Rh
dGU+PC9wdWItZGF0ZXM+PC9kYXRlcz48aXNibj4yMDcyLTY2NDMgKEVsZWN0cm9uaWMpJiN4RDsy
MDcyLTY2NDMgKExpbmtpbmcpPC9pc2JuPjxhY2Nlc3Npb24tbnVtPjMxODEwMjE3PC9hY2Nlc3Np
b24tbnVtPjx1cmxzPjxyZWxhdGVkLXVybHM+PHVybD5odHRwczovL3d3dy5uY2JpLm5sbS5uaWgu
Z292L3B1Ym1lZC8zMTgxMDIxNzwvdXJsPjwvcmVsYXRlZC11cmxzPjwvdXJscz48Y3VzdG9tMj5Q
TUM2OTQ5OTMxPC9jdXN0b20yPjxlbGVjdHJvbmljLXJlc291cmNlLW51bT4xMC4zMzkwL251MTEx
MjI5MTE8L2VsZWN0cm9uaWMtcmVzb3VyY2UtbnVtPjwvcmVjb3JkPjwvQ2l0ZT48Q2l0ZT48QXV0
aG9yPkJ1Y2tpbmdoYW0tU2NodXR0PC9BdXRob3I+PFllYXI+MjAxOTwvWWVhcj48UmVjTnVtPjE5
MjY8L1JlY051bT48cmVjb3JkPjxyZWMtbnVtYmVyPjE5MjY8L3JlYy1udW1iZXI+PGZvcmVpZ24t
a2V5cz48a2V5IGFwcD0iRU4iIGRiLWlkPSJleHZhc3JmeDJkdHJhb2VzYXN4cDJzenN4YTJkZjUw
MjU5MngiIHRpbWVzdGFtcD0iMTU4ODU3MDYyNSI+MTkyNjwva2V5PjwvZm9yZWlnbi1rZXlzPjxy
ZWYtdHlwZSBuYW1lPSJKb3VybmFsIEFydGljbGUiPjE3PC9yZWYtdHlwZT48Y29udHJpYnV0b3Jz
PjxhdXRob3JzPjxhdXRob3I+QnVja2luZ2hhbS1TY2h1dHQsIEwuIE0uPC9hdXRob3I+PGF1dGhv
cj5FbGxpbmdzb24sIEwuIEQuPC9hdXRob3I+PGF1dGhvcj5WYXpvdSwgUy48L2F1dGhvcj48YXV0
aG9yPkNhbXBiZWxsLCBDLiBHLjwvYXV0aG9yPjwvYXV0aG9ycz48L2NvbnRyaWJ1dG9ycz48YXV0
aC1hZGRyZXNzPlRoZSBIYXJraW4gSW5zdGl0dXRlLCBEcmFrZSBVbml2ZXJzaXR5LCBEZXMgTW9p
bmVzLCBJQS4mI3hEO0tpbmVzaW9sb2d5IERlcGFydG1lbnQsIElvd2EgU3RhdGUgVW5pdmVyc2l0
eSwgQW1lcywgSUEuJiN4RDtGb29kIFNjaWVuY2UgYW5kIEh1bWFuIE51dHJpdGlvbiBEZXBhcnRt
ZW50LjwvYXV0aC1hZGRyZXNzPjx0aXRsZXM+PHRpdGxlPlRoZSBCZWhhdmlvcmFsIFdlbGxuZXNz
IGluIFByZWduYW5jeSBzdHVkeTogYSByYW5kb21pemVkIGNvbnRyb2xsZWQgdHJpYWwgb2YgYSBt
dWx0aS1jb21wb25lbnQgaW50ZXJ2ZW50aW9uIHRvIHByb21vdGUgYXBwcm9wcmlhdGUgd2VpZ2h0
IGdhaW48L3RpdGxlPjxzZWNvbmRhcnktdGl0bGU+QW0gSiBDbGluIE51dHI8L3NlY29uZGFyeS10
aXRsZT48L3RpdGxlcz48cGVyaW9kaWNhbD48ZnVsbC10aXRsZT5BbSBKIENsaW4gTnV0cjwvZnVs
bC10aXRsZT48L3BlcmlvZGljYWw+PHBhZ2VzPjEwNzEtMTA3OTwvcGFnZXM+PHZvbHVtZT4xMDk8
L3ZvbHVtZT48bnVtYmVyPjQ8L251bWJlcj48ZWRpdGlvbj4yMDE5LzA0LzA2PC9lZGl0aW9uPjxr
ZXl3b3Jkcz48a2V5d29yZD5BZHVsdDwva2V5d29yZD48a2V5d29yZD5EaWV0Lypwc3ljaG9sb2d5
PC9rZXl3b3JkPjxrZXl3b3JkPkV4ZXJjaXNlPC9rZXl3b3JkPjxrZXl3b3JkPkZlZWRpbmcgQmVo
YXZpb3I8L2tleXdvcmQ+PGtleXdvcmQ+RmVtYWxlPC9rZXl3b3JkPjxrZXl3b3JkPipHZXN0YXRp
b25hbCBXZWlnaHQgR2Fpbjwva2V5d29yZD48a2V5d29yZD5IdW1hbnM8L2tleXdvcmQ+PGtleXdv
cmQ+TGlmZSBTdHlsZTwva2V5d29yZD48a2V5d29yZD5NYXRlcm5hbCBCZWhhdmlvcjwva2V5d29y
ZD48a2V5d29yZD5Qb3N0cGFydHVtIFBlcmlvZC9tZXRhYm9saXNtL3BzeWNob2xvZ3k8L2tleXdv
cmQ+PGtleXdvcmQ+UHJlZ25hbmN5L21ldGFib2xpc20vKnBzeWNob2xvZ3k8L2tleXdvcmQ+PGtl
eXdvcmQ+UHJlbmF0YWwgQ2FyZS8qcHN5Y2hvbG9neTwva2V5d29yZD48a2V5d29yZD5QcmVuYXRh
bCBOdXRyaXRpb25hbCBQaHlzaW9sb2dpY2FsIFBoZW5vbWVuYTwva2V5d29yZD48a2V5d29yZD5Z
b3VuZyBBZHVsdDwva2V5d29yZD48a2V5d29yZD4qbXVsdGktY29tcG9uZW50IGludGVydmVudGlv
bjwva2V5d29yZD48a2V5d29yZD4qbnV0cml0aW9uPC9rZXl3b3JkPjxrZXl3b3JkPipwaHlzaWNh
bCBhY3Rpdml0eTwva2V5d29yZD48a2V5d29yZD4qcHJlZ25hbmN5PC9rZXl3b3JkPjwva2V5d29y
ZHM+PGRhdGVzPjx5ZWFyPjIwMTk8L3llYXI+PHB1Yi1kYXRlcz48ZGF0ZT5BcHIgMTwvZGF0ZT48
L3B1Yi1kYXRlcz48L2RhdGVzPjxpc2JuPjE5MzgtMzIwNyAoRWxlY3Ryb25pYykmI3hEOzAwMDIt
OTE2NSAoTGlua2luZyk8L2lzYm4+PGFjY2Vzc2lvbi1udW0+MzA5NDk2OTE8L2FjY2Vzc2lvbi1u
dW0+PHVybHM+PHJlbGF0ZWQtdXJscz48dXJsPmh0dHBzOi8vd3d3Lm5jYmkubmxtLm5paC5nb3Yv
cHVibWVkLzMwOTQ5NjkxPC91cmw+PC9yZWxhdGVkLXVybHM+PC91cmxzPjxlbGVjdHJvbmljLXJl
c291cmNlLW51bT4xMC4xMDkzL2FqY24vbnF5MzU5PC9lbGVjdHJvbmljLXJlc291cmNlLW51bT48
L3JlY29yZD48L0NpdGU+PC9FbmROb3RlPgB=
</w:fldData>
        </w:fldChar>
      </w:r>
      <w:r w:rsidR="002747EA">
        <w:instrText xml:space="preserve"> ADDIN EN.CITE </w:instrText>
      </w:r>
      <w:r w:rsidR="002747EA">
        <w:fldChar w:fldCharType="begin">
          <w:fldData xml:space="preserve">PEVuZE5vdGU+PENpdGU+PEF1dGhvcj5XaWxsY294PC9BdXRob3I+PFllYXI+MjAxNzwvWWVhcj48
UmVjTnVtPjk2NTwvUmVjTnVtPjxEaXNwbGF5VGV4dD48c3R5bGUgZmFjZT0ic3VwZXJzY3JpcHQi
IGZvbnQ9IlRyZWJ1Y2hldCBNUyIgc2l6ZT0iOSI+NDAyLDQ1MSw0ODMsNDg0LDQ4Niw0OTAsNDkx
LDQ5NC00OTYsNTAwLTUwNSw1MDgsNTEzLTUxNSw1MjAsNTIyPC9zdHlsZT48L0Rpc3BsYXlUZXh0
PjxyZWNvcmQ+PHJlYy1udW1iZXI+OTY1PC9yZWMtbnVtYmVyPjxmb3JlaWduLWtleXM+PGtleSBh
cHA9IkVOIiBkYi1pZD0iZXh2YXNyZngyZHRyYW9lc2FzeHAyc3pzeGEyZGY1MDI1OTJ4IiB0aW1l
c3RhbXA9IjE1NTI5NTAwNzkiPjk2NTwva2V5PjxrZXkgYXBwPSJFTldlYiIgZGItaWQ9IiI+MDwv
a2V5PjwvZm9yZWlnbi1rZXlzPjxyZWYtdHlwZSBuYW1lPSJKb3VybmFsIEFydGljbGUiPjE3PC9y
ZWYtdHlwZT48Y29udHJpYnV0b3JzPjxhdXRob3JzPjxhdXRob3I+V2lsbGNveCwgSi5DLiw8L2F1
dGhvcj48YXV0aG9yPldpbGtpbnNvbiwgUy5BLiw8L2F1dGhvcj48YXV0aG9yPkxhcHBhcywgTS4s
PC9hdXRob3I+PGF1dGhvcj5CYWxsLCBLLiw8L2F1dGhvcj48YXV0aG9yPkNyYXdmb3JkLCBELiw8
L2F1dGhvcj48YXV0aG9yPk1jQ2FydGh5LCBFLkEuLDwvYXV0aG9yPjxhdXRob3I+RmplbGRzb2Us
IEIuLDwvYXV0aG9yPjwvYXV0aG9ycz48L2NvbnRyaWJ1dG9ycz48YXV0aC1hZGRyZXNzPkRlcGFy
dG1lbnRzIG9mIE1lZGljaW5lLCBQdWJsaWMgSGVhbHRoLCBhbmQgT2IvR3luLCBUZW1wbGUgVW5p
dmVyc2l0eSwgUGhpbGFkZWxwaGlhLCBQQSwgVVNBLjwvYXV0aC1hZGRyZXNzPjx0aXRsZXM+PHRp
dGxlPkEgbW9iaWxlIGhlYWx0aCBpbnRlcnZlbnRpb24gcHJvbW90aW5nIGhlYWx0aHkgZ2VzdGF0
aW9uYWwgd2VpZ2h0IGdhaW4gZm9yIHdvbWVuIGVudGVyaW5nIHByZWduYW5jeSBhdCBhIGhpZ2gg
Ym9keSBtYXNzIGluZGV4OiB0aGUgdHh0NHR3byBwaWxvdCByYW5kb21pc2VkIGNvbnRyb2xsZWQg
dHJpYWw8L3RpdGxlPjxzZWNvbmRhcnktdGl0bGU+QkpPRzwvc2Vjb25kYXJ5LXRpdGxlPjwvdGl0
bGVzPjxwZXJpb2RpY2FsPjxmdWxsLXRpdGxlPkJKT0c8L2Z1bGwtdGl0bGU+PC9wZXJpb2RpY2Fs
PjxwYWdlcz4xNzE4LTI4PC9wYWdlcz48dm9sdW1lPjEyNDwvdm9sdW1lPjxudW1iZXI+MTE8L251
bWJlcj48ZWRpdGlvbj4yMDE3LzA0LzIwPC9lZGl0aW9uPjxkYXRlcz48eWVhcj4yMDE3PC95ZWFy
PjxwdWItZGF0ZXM+PGRhdGU+T2N0PC9kYXRlPjwvcHViLWRhdGVzPjwvZGF0ZXM+PGlzYm4+MTQ3
MS0wNTI4IChFbGVjdHJvbmljKSYjeEQ7MTQ3MC0wMzI4IChMaW5raW5nKTwvaXNibj48YWNjZXNz
aW9uLW51bT4yODQyMjM5ODwvYWNjZXNzaW9uLW51bT48dXJscz48cmVsYXRlZC11cmxzPjx1cmw+
aHR0cHM6Ly93d3cubmNiaS5ubG0ubmloLmdvdi9wdWJtZWQvMjg0MjIzOTg8L3VybD48L3JlbGF0
ZWQtdXJscz48L3VybHM+PGVsZWN0cm9uaWMtcmVzb3VyY2UtbnVtPjEwLjExMTEvMTQ3MS0wNTI4
LjE0NjkzPC9lbGVjdHJvbmljLXJlc291cmNlLW51bT48L3JlY29yZD48L0NpdGU+PENpdGU+PEF1
dGhvcj5HYWxsYWdoZXI8L0F1dGhvcj48WWVhcj4yMDE4PC9ZZWFyPjxSZWNOdW0+NzQ0PC9SZWNO
dW0+PHJlY29yZD48cmVjLW51bWJlcj43NDQ8L3JlYy1udW1iZXI+PGZvcmVpZ24ta2V5cz48a2V5
IGFwcD0iRU4iIGRiLWlkPSJleHZhc3JmeDJkdHJhb2VzYXN4cDJzenN4YTJkZjUwMjU5MngiIHRp
bWVzdGFtcD0iMTU0MTQ2Nzg3OSI+NzQ0PC9rZXk+PGtleSBhcHA9IkVOV2ViIiBkYi1pZD0iIj4w
PC9rZXk+PC9mb3JlaWduLWtleXM+PHJlZi10eXBlIG5hbWU9IkpvdXJuYWwgQXJ0aWNsZSI+MTc8
L3JlZi10eXBlPjxjb250cmlidXRvcnM+PGF1dGhvcnM+PGF1dGhvcj5HYWxsYWdoZXIsIER5bXBu
YTwvYXV0aG9yPjxhdXRob3I+Um9zZW5uLCBCYXJhazwvYXV0aG9yPjxhdXRob3I+VG9yby1SYW1v
cywgVGF0aWFuYTwvYXV0aG9yPjxhdXRob3I+UGFsZXksIENoYXJsZXM8L2F1dGhvcj48YXV0aG9y
PkdpZHdhbmksIFNvbmlhPC9hdXRob3I+PGF1dGhvcj5Ib3Jvd2l0eiwgTWljaGVsbGU8L2F1dGhv
cj48YXV0aG9yPkNyYW5lLCBKYW5ldDwvYXV0aG9yPjxhdXRob3I+TGluLCBTdXNhbjwvYXV0aG9y
PjxhdXRob3I+VGhvcm50b24sIEpvaG4gQy48L2F1dGhvcj48YXV0aG9yPlBpLVN1bnllciwgWGF2
aWVyPC9hdXRob3I+PC9hdXRob3JzPjwvY29udHJpYnV0b3JzPjx0aXRsZXM+PHRpdGxlPkdyZWF0
ZXIgTmVvbmF0YWwgRmF0LUZyZWUgTWFzcyBhbmQgU2ltaWxhciBGYXQgTWFzcyBGb2xsb3dpbmcg
YSBSYW5kb21pemVkIFRyaWFsIHRvIENvbnRyb2wgRXhjZXNzIEdlc3RhdGlvbmFsIFdlaWdodCBH
YWluPC90aXRsZT48c2Vjb25kYXJ5LXRpdGxlPk9iZXNpdHk8L3NlY29uZGFyeS10aXRsZT48L3Rp
dGxlcz48cGVyaW9kaWNhbD48ZnVsbC10aXRsZT5PYmVzaXR5PC9mdWxsLXRpdGxlPjwvcGVyaW9k
aWNhbD48cGFnZXM+NTc4LTU4NzwvcGFnZXM+PHZvbHVtZT4yNjwvdm9sdW1lPjxudW1iZXI+Mzwv
bnVtYmVyPjxzZWN0aW9uPjU3ODwvc2VjdGlvbj48ZGF0ZXM+PHllYXI+MjAxODwveWVhcj48L2Rh
dGVzPjxpc2JuPjE5MzA3MzgxPC9pc2JuPjx1cmxzPjwvdXJscz48ZWxlY3Ryb25pYy1yZXNvdXJj
ZS1udW0+MTAuMTAwMi9vYnkuMjIwNzk8L2VsZWN0cm9uaWMtcmVzb3VyY2UtbnVtPjwvcmVjb3Jk
PjwvQ2l0ZT48Q2l0ZT48QXV0aG9yPkhhcnJpc29uPC9BdXRob3I+PFllYXI+MjAxMzwvWWVhcj48
UmVjTnVtPjcyNTwvUmVjTnVtPjxyZWNvcmQ+PHJlYy1udW1iZXI+NzI1PC9yZWMtbnVtYmVyPjxm
b3JlaWduLWtleXM+PGtleSBhcHA9IkVOIiBkYi1pZD0iZXh2YXNyZngyZHRyYW9lc2FzeHAyc3pz
eGEyZGY1MDI1OTJ4IiB0aW1lc3RhbXA9IjE1NDE0NjUwNTAiPjcyNTwva2V5PjwvZm9yZWlnbi1r
ZXlzPjxyZWYtdHlwZSBuYW1lPSJKb3VybmFsIEFydGljbGUiPjE3PC9yZWYtdHlwZT48Y29udHJp
YnV0b3JzPjxhdXRob3JzPjxhdXRob3I+SGFycmlzb24sIEMuIEwuPC9hdXRob3I+PGF1dGhvcj5M
b21iYXJkLCBDLiBCLjwvYXV0aG9yPjxhdXRob3I+U3RyYXVzcywgQi4gSi48L2F1dGhvcj48YXV0
aG9yPlRlZWRlLCBILiBKLjwvYXV0aG9yPjwvYXV0aG9ycz48L2NvbnRyaWJ1dG9ycz48YXV0aC1h
ZGRyZXNzPldvbWVuJmFwb3M7cyBSZXByb2R1Y3RpdmUgUmVzZWFyY2ggdW5pdCwgU2Nob29sIG9m
IFB1YmxpYyBIZWFsdGggYW5kIFByZXZlbnRpdmUgTWVkaWNpbmUsIE1vbmFzaCBVbml2ZXJzaXR5
LCBDbGF5dG9uLCBWaWN0b3JpYSwgQXVzdHJhbGlhLjwvYXV0aC1hZGRyZXNzPjx0aXRsZXM+PHRp
dGxlPk9wdGltaXppbmcgaGVhbHRoeSBnZXN0YXRpb25hbCB3ZWlnaHQgZ2FpbiBpbiB3b21lbiBh
dCBoaWdoIHJpc2sgb2YgZ2VzdGF0aW9uYWwgZGlhYmV0ZXM6IGEgcmFuZG9taXplZCBjb250cm9s
bGVkIHRyaWFsPC90aXRsZT48c2Vjb25kYXJ5LXRpdGxlPk9iZXNpdHkgKFNpbHZlciBTcHJpbmcp
PC9zZWNvbmRhcnktdGl0bGU+PC90aXRsZXM+PHBlcmlvZGljYWw+PGZ1bGwtdGl0bGU+T2Jlc2l0
eSAoU2lsdmVyIFNwcmluZyk8L2Z1bGwtdGl0bGU+PC9wZXJpb2RpY2FsPjxwYWdlcz45MDQtOTwv
cGFnZXM+PHZvbHVtZT4yMTwvdm9sdW1lPjxudW1iZXI+NTwvbnVtYmVyPjxlZGl0aW9uPjIwMTMv
MDYvMjE8L2VkaXRpb24+PGtleXdvcmRzPjxrZXl3b3JkPkFkdWx0PC9rZXl3b3JkPjxrZXl3b3Jk
PipCb2R5IE1hc3MgSW5kZXg8L2tleXdvcmQ+PGtleXdvcmQ+RGlhYmV0ZXMsIEdlc3RhdGlvbmFs
L2VwaWRlbWlvbG9neS8qcHJldmVudGlvbiAmYW1wOyBjb250cm9sPC9rZXl3b3JkPjxrZXl3b3Jk
PkZlbWFsZTwva2V5d29yZD48a2V5d29yZD5IdW1hbnM8L2tleXdvcmQ+PGtleXdvcmQ+KkxpZmUg
U3R5bGU8L2tleXdvcmQ+PGtleXdvcmQ+TW90b3IgQWN0aXZpdHk8L2tleXdvcmQ+PGtleXdvcmQ+
T2Jlc2l0eS9jb21wbGljYXRpb25zL3RoZXJhcHk8L2tleXdvcmQ+PGtleXdvcmQ+UHJlZ25hbmN5
PC9rZXl3b3JkPjxrZXl3b3JkPlByZW5hdGFsIENhcmU8L2tleXdvcmQ+PGtleXdvcmQ+UmlzayBG
YWN0b3JzPC9rZXl3b3JkPjxrZXl3b3JkPipXYWxraW5nPC9rZXl3b3JkPjxrZXl3b3JkPipXZWln
aHQgR2Fpbjwva2V5d29yZD48L2tleXdvcmRzPjxkYXRlcz48eWVhcj4yMDEzPC95ZWFyPjxwdWIt
ZGF0ZXM+PGRhdGU+TWF5PC9kYXRlPjwvcHViLWRhdGVzPjwvZGF0ZXM+PGlzYm4+MTkzMC03MzlY
IChFbGVjdHJvbmljKSYjeEQ7MTkzMC03MzgxIChMaW5raW5nKTwvaXNibj48YWNjZXNzaW9uLW51
bT4yMzc4NDg5MjwvYWNjZXNzaW9uLW51bT48dXJscz48cmVsYXRlZC11cmxzPjx1cmw+aHR0cHM6
Ly93d3cubmNiaS5ubG0ubmloLmdvdi9wdWJtZWQvMjM3ODQ4OTI8L3VybD48L3JlbGF0ZWQtdXJs
cz48L3VybHM+PGVsZWN0cm9uaWMtcmVzb3VyY2UtbnVtPjEwLjEwMDIvb2J5LjIwMTYzPC9lbGVj
dHJvbmljLXJlc291cmNlLW51bT48L3JlY29yZD48L0NpdGU+PENpdGU+PEF1dGhvcj5IYXdraW5z
PC9BdXRob3I+PFllYXI+MjAxNTwvWWVhcj48UmVjTnVtPjcyNjwvUmVjTnVtPjxyZWNvcmQ+PHJl
Yy1udW1iZXI+NzI2PC9yZWMtbnVtYmVyPjxmb3JlaWduLWtleXM+PGtleSBhcHA9IkVOIiBkYi1p
ZD0iZXh2YXNyZngyZHRyYW9lc2FzeHAyc3pzeGEyZGY1MDI1OTJ4IiB0aW1lc3RhbXA9IjE1NDE0
NjUzMjIiPjcyNjwva2V5PjwvZm9yZWlnbi1rZXlzPjxyZWYtdHlwZSBuYW1lPSJKb3VybmFsIEFy
dGljbGUiPjE3PC9yZWYtdHlwZT48Y29udHJpYnV0b3JzPjxhdXRob3JzPjxhdXRob3I+SGF3a2lu
cywgTS48L2F1dGhvcj48YXV0aG9yPkhvc2tlciwgTS48L2F1dGhvcj48YXV0aG9yPk1hcmN1cywg
Qi4gSC48L2F1dGhvcj48YXV0aG9yPlJvc2FsLCBNLiBDLjwvYXV0aG9yPjxhdXRob3I+QnJhdW4s
IEIuPC9hdXRob3I+PGF1dGhvcj5TdGFuZWssIEUuIEouLCAzcmQ8L2F1dGhvcj48YXV0aG9yPk1h
cmtlbnNvbiwgRy48L2F1dGhvcj48YXV0aG9yPkNoYXNhbi1UYWJlciwgTC48L2F1dGhvcj48L2F1
dGhvcnM+PC9jb250cmlidXRvcnM+PGF1dGgtYWRkcmVzcz5EaXZpc2lvbiBvZiBCaW9zdGF0aXN0
aWNzIGFuZCBFcGlkZW1pb2xvZ3ksIERlcGFydG1lbnQgb2YgUHVibGljIEhlYWx0aCwgU2Nob29s
IG9mIFB1YmxpYyBIZWFsdGggYW5kIEhlYWx0aCBTY2llbmNlcywgVW5pdmVyc2l0eSBvZiBNYXNz
YWNodXNldHRzLCBBbWhlcnN0LCBNQSwgVVNBLjwvYXV0aC1hZGRyZXNzPjx0aXRsZXM+PHRpdGxl
PkEgcHJlZ25hbmN5IGxpZmVzdHlsZSBpbnRlcnZlbnRpb24gdG8gcHJldmVudCBnZXN0YXRpb25h
bCBkaWFiZXRlcyByaXNrIGZhY3RvcnMgaW4gb3ZlcndlaWdodCBIaXNwYW5pYyB3b21lbjogYSBm
ZWFzaWJpbGl0eSByYW5kb21pemVkIGNvbnRyb2xsZWQgdHJpYWw8L3RpdGxlPjxzZWNvbmRhcnkt
dGl0bGU+RGlhYmV0IE1lZDwvc2Vjb25kYXJ5LXRpdGxlPjwvdGl0bGVzPjxwZXJpb2RpY2FsPjxm
dWxsLXRpdGxlPkRpYWJldCBNZWQ8L2Z1bGwtdGl0bGU+PC9wZXJpb2RpY2FsPjxwYWdlcz4xMDgt
MTU8L3BhZ2VzPjx2b2x1bWU+MzI8L3ZvbHVtZT48bnVtYmVyPjE8L251bWJlcj48ZWRpdGlvbj4y
MDE0LzEwLzE0PC9lZGl0aW9uPjxrZXl3b3Jkcz48a2V5d29yZD5BZHVsdDwva2V5d29yZD48a2V5
d29yZD5CaXJ0aCBXZWlnaHQ8L2tleXdvcmQ+PGtleXdvcmQ+RGlhYmV0ZXMsIEdlc3RhdGlvbmFs
LypwcmV2ZW50aW9uICZhbXA7IGNvbnRyb2w8L2tleXdvcmQ+PGtleXdvcmQ+RGlldDwva2V5d29y
ZD48a2V5d29yZD5FeGVyY2lzZTwva2V5d29yZD48a2V5d29yZD5GZWFzaWJpbGl0eSBTdHVkaWVz
PC9rZXl3b3JkPjxrZXl3b3JkPkZlZWRpbmcgQmVoYXZpb3I8L2tleXdvcmQ+PGtleXdvcmQ+RmVt
YWxlPC9rZXl3b3JkPjxrZXl3b3JkPkhpc3BhbmljIEFtZXJpY2Fucy8qc3RhdGlzdGljcyAmYW1w
OyBudW1lcmljYWwgZGF0YTwva2V5d29yZD48a2V5d29yZD5IdW1hbnM8L2tleXdvcmQ+PGtleXdv
cmQ+SW5mYW50LCBOZXdib3JuPC9rZXl3b3JkPjxrZXl3b3JkPk1hbGU8L2tleXdvcmQ+PGtleXdv
cmQ+T3ZlcndlaWdodC9jb21wbGljYXRpb25zLypwcmV2ZW50aW9uICZhbXA7IGNvbnRyb2w8L2tl
eXdvcmQ+PGtleXdvcmQ+UGF0aWVudCBDb21wbGlhbmNlPC9rZXl3b3JkPjxrZXl3b3JkPlByZWdu
YW5jeTwva2V5d29yZD48a2V5d29yZD5QcmVuYXRhbCBDYXJlPC9rZXl3b3JkPjxrZXl3b3JkPipQ
cmltYXJ5IFByZXZlbnRpb248L2tleXdvcmQ+PGtleXdvcmQ+UmlzayBGYWN0b3JzPC9rZXl3b3Jk
PjxrZXl3b3JkPipSaXNrIFJlZHVjdGlvbiBCZWhhdmlvcjwva2V5d29yZD48a2V5d29yZD5UcmVh
dG1lbnQgT3V0Y29tZTwva2V5d29yZD48a2V5d29yZD5Vbml0ZWQgU3RhdGVzL2VwaWRlbWlvbG9n
eTwva2V5d29yZD48a2V5d29yZD5XZWlnaHQgR2Fpbjwva2V5d29yZD48L2tleXdvcmRzPjxkYXRl
cz48eWVhcj4yMDE1PC95ZWFyPjxwdWItZGF0ZXM+PGRhdGU+SmFuPC9kYXRlPjwvcHViLWRhdGVz
PjwvZGF0ZXM+PGlzYm4+MTQ2NC01NDkxIChFbGVjdHJvbmljKSYjeEQ7MDc0Mi0zMDcxIChMaW5r
aW5nKTwvaXNibj48YWNjZXNzaW9uLW51bT4yNTMwNjkyNTwvYWNjZXNzaW9uLW51bT48dXJscz48
cmVsYXRlZC11cmxzPjx1cmw+aHR0cHM6Ly93d3cubmNiaS5ubG0ubmloLmdvdi9wdWJtZWQvMjUz
MDY5MjU8L3VybD48L3JlbGF0ZWQtdXJscz48L3VybHM+PGVsZWN0cm9uaWMtcmVzb3VyY2UtbnVt
PjEwLjExMTEvZG1lLjEyNjAxPC9lbGVjdHJvbmljLXJlc291cmNlLW51bT48L3JlY29yZD48L0Np
dGU+PENpdGU+PEF1dGhvcj5QZXRyZWxsYTwvQXV0aG9yPjxZZWFyPjIwMTM8L1llYXI+PFJlY051
bT43NTE8L1JlY051bT48cmVjb3JkPjxyZWMtbnVtYmVyPjc1MTwvcmVjLW51bWJlcj48Zm9yZWln
bi1rZXlzPjxrZXkgYXBwPSJFTiIgZGItaWQ9ImV4dmFzcmZ4MmR0cmFvZXNhc3hwMnN6c3hhMmRm
NTAyNTkyeCIgdGltZXN0YW1wPSIxNTQxNDY3OTMxIj43NTE8L2tleT48a2V5IGFwcD0iRU5XZWIi
IGRiLWlkPSIiPjA8L2tleT48L2ZvcmVpZ24ta2V5cz48cmVmLXR5cGUgbmFtZT0iSm91cm5hbCBB
cnRpY2xlIj4xNzwvcmVmLXR5cGU+PGNvbnRyaWJ1dG9ycz48YXV0aG9ycz48YXV0aG9yPlBldHJl
bGxhLCBFLjwvYXV0aG9yPjxhdXRob3I+TWFsYXZvbHRpLCBNLjwvYXV0aG9yPjxhdXRob3I+QmVy
dGFyaW5pLCBWLjwvYXV0aG9yPjxhdXRob3I+UGlnbmF0dGksIEwuPC9hdXRob3I+PGF1dGhvcj5O
ZXJpLCBJLjwvYXV0aG9yPjxhdXRob3I+QmF0dGlzdGluaSwgTi4gQy48L2F1dGhvcj48YXV0aG9y
PkZhY2NoaW5ldHRpLCBGLjwvYXV0aG9yPjwvYXV0aG9ycz48L2NvbnRyaWJ1dG9ycz48dGl0bGVz
Pjx0aXRsZT5HZXN0YXRpb25hbCB3ZWlnaHQgZ2FpbiBpbiBvdmVyd2VpZ2h0IGFuZCBvYmVzZSB3
b21lbiBlbnJvbGxlZCBpbiBhIGhlYWx0aHkgbGlmZXN0eWxlIGFuZCBlYXRpbmcgaGFiaXRzIHBy
b2dyYW08L3RpdGxlPjxzZWNvbmRhcnktdGl0bGU+SiBNYXRlcm5hbC1GZXRhbCAmYW1wOyBOZW9u
YXRhbCBNZWQ8L3NlY29uZGFyeS10aXRsZT48L3RpdGxlcz48cGVyaW9kaWNhbD48ZnVsbC10aXRs
ZT5KIE1hdGVybmFsLUZldGFsICZhbXA7IE5lb25hdGFsIE1lZDwvZnVsbC10aXRsZT48L3Blcmlv
ZGljYWw+PHBhZ2VzPjEzNDgtMTM1MjwvcGFnZXM+PHZvbHVtZT4yNzwvdm9sdW1lPjxudW1iZXI+
MTM8L251bWJlcj48c2VjdGlvbj4xMzQ4PC9zZWN0aW9uPjxkYXRlcz48eWVhcj4yMDEzPC95ZWFy
PjwvZGF0ZXM+PGlzYm4+MTQ3Ni03MDU4JiN4RDsxNDc2LTQ5NTQ8L2lzYm4+PHVybHM+PC91cmxz
PjxlbGVjdHJvbmljLXJlc291cmNlLW51bT4xMC4zMTA5LzE0NzY3MDU4LjIwMTMuODU4MzE4PC9l
bGVjdHJvbmljLXJlc291cmNlLW51bT48L3JlY29yZD48L0NpdGU+PENpdGU+PEF1dGhvcj5QaGVs
YW48L0F1dGhvcj48WWVhcj4yMDExPC9ZZWFyPjxSZWNOdW0+NzA1PC9SZWNOdW0+PHJlY29yZD48
cmVjLW51bWJlcj43MDU8L3JlYy1udW1iZXI+PGZvcmVpZ24ta2V5cz48a2V5IGFwcD0iRU4iIGRi
LWlkPSJleHZhc3JmeDJkdHJhb2VzYXN4cDJzenN4YTJkZjUwMjU5MngiIHRpbWVzdGFtcD0iMTU0
MDUzMDYzNiI+NzA1PC9rZXk+PC9mb3JlaWduLWtleXM+PHJlZi10eXBlIG5hbWU9IkpvdXJuYWwg
QXJ0aWNsZSI+MTc8L3JlZi10eXBlPjxjb250cmlidXRvcnM+PGF1dGhvcnM+PGF1dGhvcj5QaGVs
YW4sIFMuPC9hdXRob3I+PGF1dGhvcj5QaGlwcHMsIE0uIEcuPC9hdXRob3I+PGF1dGhvcj5BYnJh
bXMsIEIuPC9hdXRob3I+PGF1dGhvcj5EYXJyb2NoLCBGLjwvYXV0aG9yPjxhdXRob3I+U2NoYWZm
bmVyLCBBLjwvYXV0aG9yPjxhdXRob3I+V2luZywgUi4gUi48L2F1dGhvcj48L2F1dGhvcnM+PC9j
b250cmlidXRvcnM+PGF1dGgtYWRkcmVzcz5EZXBhcnRtZW50cyBvZiBLaW5lc2lvbG9neSwgQ2Fs
aWZvcm5pYSBQb2x5dGVjaG5pYyBTdGF0ZSBVbml2ZXJzaXR5LCBTYW4gTHVpcyBPYmlzcG8sIDkz
NDA3LTAzODYsIFVTQS4gc3BoZWxhbkBjYWxwb2x5LmVkdTwvYXV0aC1hZGRyZXNzPjx0aXRsZXM+
PHRpdGxlPlJhbmRvbWl6ZWQgdHJpYWwgb2YgYSBiZWhhdmlvcmFsIGludGVydmVudGlvbiB0byBw
cmV2ZW50IGV4Y2Vzc2l2ZSBnZXN0YXRpb25hbCB3ZWlnaHQgZ2FpbjogdGhlIEZpdCBmb3IgRGVs
aXZlcnkgU3R1ZHk8L3RpdGxlPjxzZWNvbmRhcnktdGl0bGU+QW0gSiBDbGluIE51dHI8L3NlY29u
ZGFyeS10aXRsZT48L3RpdGxlcz48cGVyaW9kaWNhbD48ZnVsbC10aXRsZT5BbSBKIENsaW4gTnV0
cjwvZnVsbC10aXRsZT48L3BlcmlvZGljYWw+PHBhZ2VzPjc3Mi05PC9wYWdlcz48dm9sdW1lPjkz
PC92b2x1bWU+PG51bWJlcj40PC9udW1iZXI+PGVkaXRpb24+MjAxMS8wMi8xMjwvZWRpdGlvbj48
a2V5d29yZHM+PGtleXdvcmQ+QWR1bHQ8L2tleXdvcmQ+PGtleXdvcmQ+QmVoYXZpb3I8L2tleXdv
cmQ+PGtleXdvcmQ+KkJlaGF2aW9yIFRoZXJhcHk8L2tleXdvcmQ+PGtleXdvcmQ+KkRpZXQ8L2tl
eXdvcmQ+PGtleXdvcmQ+KkV4ZXJjaXNlPC9rZXl3b3JkPjxrZXl3b3JkPkZlbWFsZTwva2V5d29y
ZD48a2V5d29yZD4qSGVhbHRoIFByb21vdGlvbjwva2V5d29yZD48a2V5d29yZD5IdW1hbnM8L2tl
eXdvcmQ+PGtleXdvcmQ+SW50ZW50aW9uIHRvIFRyZWF0IEFuYWx5c2lzPC9rZXl3b3JkPjxrZXl3
b3JkPk9iZXNpdHkvY29tcGxpY2F0aW9ucy9lcGlkZW1pb2xvZ3kvKnByZXZlbnRpb24gJmFtcDsg
Y29udHJvbDwva2V5d29yZD48a2V5d29yZD5Qb3N0cGFydHVtIFBlcmlvZDwva2V5d29yZD48a2V5
d29yZD5QcmVnbmFuY3k8L2tleXdvcmQ+PGtleXdvcmQ+UHJlZ25hbmN5IENvbXBsaWNhdGlvbnMv
KnByZXZlbnRpb24gJmFtcDsgY29udHJvbDwva2V5d29yZD48a2V5d29yZD5QcmV2YWxlbmNlPC9r
ZXl3b3JkPjxrZXl3b3JkPlJlZmVyZW5jZSBWYWx1ZXM8L2tleXdvcmQ+PGtleXdvcmQ+U2luZ2xl
LUJsaW5kIE1ldGhvZDwva2V5d29yZD48a2V5d29yZD5TdGFuZGFyZCBvZiBDYXJlPC9rZXl3b3Jk
PjxrZXl3b3JkPlRyZWF0bWVudCBPdXRjb21lPC9rZXl3b3JkPjxrZXl3b3JkPipXZWlnaHQgR2Fp
bjwva2V5d29yZD48a2V5d29yZD5Zb3VuZyBBZHVsdDwva2V5d29yZD48L2tleXdvcmRzPjxkYXRl
cz48eWVhcj4yMDExPC95ZWFyPjxwdWItZGF0ZXM+PGRhdGU+QXByPC9kYXRlPjwvcHViLWRhdGVz
PjwvZGF0ZXM+PGlzYm4+MTkzOC0zMjA3IChFbGVjdHJvbmljKSYjeEQ7MDAwMi05MTY1IChMaW5r
aW5nKTwvaXNibj48YWNjZXNzaW9uLW51bT4yMTMxMDgzNjwvYWNjZXNzaW9uLW51bT48dXJscz48
cmVsYXRlZC11cmxzPjx1cmw+aHR0cHM6Ly93d3cubmNiaS5ubG0ubmloLmdvdi9wdWJtZWQvMjEz
MTA4MzY8L3VybD48L3JlbGF0ZWQtdXJscz48L3VybHM+PGN1c3RvbTI+UE1DMzA1NzU0NjwvY3Vz
dG9tMj48ZWxlY3Ryb25pYy1yZXNvdXJjZS1udW0+MTAuMzk0NS9hamNuLjExMC4wMDUzMDY8L2Vs
ZWN0cm9uaWMtcmVzb3VyY2UtbnVtPjwvcmVjb3JkPjwvQ2l0ZT48Q2l0ZT48QXV0aG9yPlBvc3Rv
bjwvQXV0aG9yPjxZZWFyPjIwMTU8L1llYXI+PFJlY051bT42MTI8L1JlY051bT48cmVjb3JkPjxy
ZWMtbnVtYmVyPjYxMjwvcmVjLW51bWJlcj48Zm9yZWlnbi1rZXlzPjxrZXkgYXBwPSJFTiIgZGIt
aWQ9ImV4dmFzcmZ4MmR0cmFvZXNhc3hwMnN6c3hhMmRmNTAyNTkyeCIgdGltZXN0YW1wPSIxNTM5
MDQ4MzQ4Ij42MTI8L2tleT48a2V5IGFwcD0iRU5XZWIiIGRiLWlkPSIiPjA8L2tleT48L2ZvcmVp
Z24ta2V5cz48cmVmLXR5cGUgbmFtZT0iSm91cm5hbCBBcnRpY2xlIj4xNzwvcmVmLXR5cGU+PGNv
bnRyaWJ1dG9ycz48YXV0aG9ycz48YXV0aG9yPlBvc3RvbiwgTC4sPC9hdXRob3I+PGF1dGhvcj5C
ZWxsLCBSLiw8L2F1dGhvcj48YXV0aG9yPkNyb2tlciwgSC4sPC9hdXRob3I+PGF1dGhvcj5GbHlu
biwgQS5DLiw8L2F1dGhvcj48YXV0aG9yPkdvZGZyZXksIEsuTS4sPC9hdXRob3I+PGF1dGhvcj5H
b2ZmLCBMLiw8L2F1dGhvcj48L2F1dGhvcnM+PC9jb250cmlidXRvcnM+PHRpdGxlcz48dGl0bGU+
RWZmZWN0IG9mIGEgYmVoYXZpb3VyYWwgaW50ZXJ2ZW50aW9uIGluIG9iZXNlIHByZWduYW50IHdv
bWVuICh0aGUgVVBCRUFUIHN0dWR5KTogYSBtdWx0aWNlbnRyZSwgcmFuZG9taXNlZCBjb250cm9s
bGVkIHRyaWFsPC90aXRsZT48c2Vjb25kYXJ5LXRpdGxlPlRoZSBMYW5jZXQgRGlhYmV0ZXMgJmFt
cDsgRW5kb2NyaW5vbG9neTwvc2Vjb25kYXJ5LXRpdGxlPjwvdGl0bGVzPjxwZXJpb2RpY2FsPjxm
dWxsLXRpdGxlPlRoZSBMYW5jZXQgRGlhYmV0ZXMgJmFtcDsgRW5kb2NyaW5vbG9neTwvZnVsbC10
aXRsZT48L3BlcmlvZGljYWw+PHBhZ2VzPjc2Ny03Nzc8L3BhZ2VzPjx2b2x1bWU+Mzwvdm9sdW1l
PjxudW1iZXI+MTA8L251bWJlcj48c2VjdGlvbj43Njc8L3NlY3Rpb24+PGRhdGVzPjx5ZWFyPjIw
MTU8L3llYXI+PC9kYXRlcz48aXNibj4yMjEzODU4NzwvaXNibj48dXJscz48L3VybHM+PGVsZWN0
cm9uaWMtcmVzb3VyY2UtbnVtPjEwLjEwMTYvczIyMTMtODU4NygxNSkwMDIyNy0yPC9lbGVjdHJv
bmljLXJlc291cmNlLW51bT48L3JlY29yZD48L0NpdGU+PENpdGU+PEF1dGhvcj5SZW5hdWx0PC9B
dXRob3I+PFllYXI+MjAxNDwvWWVhcj48UmVjTnVtPjkzNzwvUmVjTnVtPjxyZWNvcmQ+PHJlYy1u
dW1iZXI+OTM3PC9yZWMtbnVtYmVyPjxmb3JlaWduLWtleXM+PGtleSBhcHA9IkVOIiBkYi1pZD0i
ZXh2YXNyZngyZHRyYW9lc2FzeHAyc3pzeGEyZGY1MDI1OTJ4IiB0aW1lc3RhbXA9IjE1NDE1NDE4
MTQiPjkzNzwva2V5PjxrZXkgYXBwPSJFTldlYiIgZGItaWQ9IiI+MDwva2V5PjwvZm9yZWlnbi1r
ZXlzPjxyZWYtdHlwZSBuYW1lPSJKb3VybmFsIEFydGljbGUiPjE3PC9yZWYtdHlwZT48Y29udHJp
YnV0b3JzPjxhdXRob3JzPjxhdXRob3I+UmVuYXVsdCwgSy4gTS48L2F1dGhvcj48YXV0aG9yPk5v
cmdhYXJkLCBLLjwvYXV0aG9yPjxhdXRob3I+TmlsYXMsIEwuPC9hdXRob3I+PGF1dGhvcj5DYXJs
c2VuLCBFLiBNLjwvYXV0aG9yPjxhdXRob3I+Q29ydGVzLCBELjwvYXV0aG9yPjxhdXRob3I+UHJ5
ZHMsIE8uPC9hdXRob3I+PGF1dGhvcj5TZWNoZXIsIE4uIEouPC9hdXRob3I+PC9hdXRob3JzPjwv
Y29udHJpYnV0b3JzPjxhdXRoLWFkZHJlc3M+RGVwYXJ0bWVudCBvZiBPYnN0ZXRyaWNzIGFuZCBH
eW5lY29sb2d5LCBIdmlkb3ZyZSBIb3NwaXRhbCwgVW5pdmVyc2l0eSBvZiBDb3BlbmhhZ2VuLCBI
dmlkb3ZyZSwgRGVubWFyay4gRWxlY3Ryb25pYyBhZGRyZXNzOiBLcmVuYXVsdEBkYWRsbmV0LmRr
LiYjeEQ7RGVwYXJ0bWVudCBvZiBFbmRvY3Jpbm9sb2d5LCBIdmlkb3ZyZSBIb3NwaXRhbCwgVW5p
dmVyc2l0eSBvZiBDb3BlbmhhZ2VuLCBIdmlkb3ZyZSwgRGVubWFyay4mI3hEO0RlcGFydG1lbnQg
b2YgT2JzdGV0cmljcyBhbmQgR3luZWNvbG9neSwgSHZpZG92cmUgSG9zcGl0YWwsIFVuaXZlcnNp
dHkgb2YgQ29wZW5oYWdlbiwgSHZpZG92cmUsIERlbm1hcmsuJiN4RDtEZXBhcnRtZW50IG9mIFBl
ZGlhdHJpY3MsIEh2aWRvdnJlIEhvc3BpdGFsLCBVbml2ZXJzaXR5IG9mIENvcGVuaGFnZW4sIEh2
aWRvdnJlLCBEZW5tYXJrLjwvYXV0aC1hZGRyZXNzPjx0aXRsZXM+PHRpdGxlPlRoZSBUcmVhdG1l
bnQgb2YgT2Jlc2UgUHJlZ25hbnQgV29tZW4gKFRPUCkgc3R1ZHk6IGEgcmFuZG9taXplZCBjb250
cm9sbGVkIHRyaWFsIG9mIHRoZSBlZmZlY3Qgb2YgcGh5c2ljYWwgYWN0aXZpdHkgaW50ZXJ2ZW50
aW9uIGFzc2Vzc2VkIGJ5IHBlZG9tZXRlciB3aXRoIG9yIHdpdGhvdXQgZGlldGFyeSBpbnRlcnZl
bnRpb24gaW4gb2Jlc2UgcHJlZ25hbnQgd29tZW48L3RpdGxlPjxzZWNvbmRhcnktdGl0bGU+QW0g
SiBPYnN0ZXQgR3luZWNvbDwvc2Vjb25kYXJ5LXRpdGxlPjwvdGl0bGVzPjxwZXJpb2RpY2FsPjxm
dWxsLXRpdGxlPkFtIEogT2JzdGV0IEd5bmVjb2w8L2Z1bGwtdGl0bGU+PC9wZXJpb2RpY2FsPjxw
YWdlcz4xMzQgZTEtOTwvcGFnZXM+PHZvbHVtZT4yMTA8L3ZvbHVtZT48bnVtYmVyPjI8L251bWJl
cj48ZWRpdGlvbj4yMDEzLzA5LzI2PC9lZGl0aW9uPjxrZXl3b3Jkcz48a2V5d29yZD5BY3RpZ3Jh
cGh5PC9rZXl3b3JkPjxrZXl3b3JkPkFkdWx0PC9rZXl3b3JkPjxrZXl3b3JkPkNvbWJpbmVkIE1v
ZGFsaXR5IFRoZXJhcHk8L2tleXdvcmQ+PGtleXdvcmQ+RGlldCwgTWVkaXRlcnJhbmVhbjwva2V5
d29yZD48a2V5d29yZD5FbmVyZ3kgSW50YWtlPC9rZXl3b3JkPjxrZXl3b3JkPipFeGVyY2lzZTwv
a2V5d29yZD48a2V5d29yZD5GZW1hbGU8L2tleXdvcmQ+PGtleXdvcmQ+SHVtYW5zPC9rZXl3b3Jk
PjxrZXl3b3JkPk9iZXNpdHkvZGlldCB0aGVyYXB5Lyp0aGVyYXB5PC9rZXl3b3JkPjxrZXl3b3Jk
PlByZWduYW5jeTwva2V5d29yZD48a2V5d29yZD5QcmVnbmFuY3kgQ29tcGxpY2F0aW9ucy9kaWV0
IHRoZXJhcHkvKnRoZXJhcHk8L2tleXdvcmQ+PGtleXdvcmQ+ZGlldDwva2V5d29yZD48a2V5d29y
ZD5pbnRlcnZlbnRpb248L2tleXdvcmQ+PGtleXdvcmQ+b2Jlc2l0eTwva2V5d29yZD48a2V5d29y
ZD5wZWRvbWV0ZXI8L2tleXdvcmQ+PGtleXdvcmQ+cGh5c2ljYWwgYWN0aXZpdHk8L2tleXdvcmQ+
PC9rZXl3b3Jkcz48ZGF0ZXM+PHllYXI+MjAxNDwveWVhcj48cHViLWRhdGVzPjxkYXRlPkZlYjwv
ZGF0ZT48L3B1Yi1kYXRlcz48L2RhdGVzPjxpc2JuPjEwOTctNjg2OCAoRWxlY3Ryb25pYykmI3hE
OzAwMDItOTM3OCAoTGlua2luZyk8L2lzYm4+PGFjY2Vzc2lvbi1udW0+MjQwNjA0NDk8L2FjY2Vz
c2lvbi1udW0+PHVybHM+PHJlbGF0ZWQtdXJscz48dXJsPmh0dHBzOi8vd3d3Lm5jYmkubmxtLm5p
aC5nb3YvcHVibWVkLzI0MDYwNDQ5PC91cmw+PC9yZWxhdGVkLXVybHM+PC91cmxzPjxlbGVjdHJv
bmljLXJlc291cmNlLW51bT4xMC4xMDE2L2ouYWpvZy4yMDEzLjA5LjAyOTwvZWxlY3Ryb25pYy1y
ZXNvdXJjZS1udW0+PC9yZWNvcmQ+PC9DaXRlPjxDaXRlPjxBdXRob3I+U2ltbW9uczwvQXV0aG9y
PjxZZWFyPjIwMTc8L1llYXI+PFJlY051bT4xMDU3PC9SZWNOdW0+PHJlY29yZD48cmVjLW51bWJl
cj4xMDU3PC9yZWMtbnVtYmVyPjxmb3JlaWduLWtleXM+PGtleSBhcHA9IkVOIiBkYi1pZD0iZXh2
YXNyZngyZHRyYW9lc2FzeHAyc3pzeGEyZGY1MDI1OTJ4IiB0aW1lc3RhbXA9IjE1NDg5ODM0NzYi
PjEwNTc8L2tleT48L2ZvcmVpZ24ta2V5cz48cmVmLXR5cGUgbmFtZT0iSm91cm5hbCBBcnRpY2xl
Ij4xNzwvcmVmLXR5cGU+PGNvbnRyaWJ1dG9ycz48YXV0aG9ycz48YXV0aG9yPlNpbW1vbnMsIEQu
PC9hdXRob3I+PGF1dGhvcj5EZXZsaWVnZXIsIFIuPC9hdXRob3I+PGF1dGhvcj52YW4gQXNzY2hl
LCBBLjwvYXV0aG9yPjxhdXRob3I+SmFucywgRy48L2F1dGhvcj48YXV0aG9yPkdhbGphYXJkLCBT
LjwvYXV0aG9yPjxhdXRob3I+Q29yY295LCBSLjwvYXV0aG9yPjxhdXRob3I+QWRlbGFudGFkbywg
Si4gTS48L2F1dGhvcj48YXV0aG9yPkR1bm5lLCBGLjwvYXV0aG9yPjxhdXRob3I+RGVzb3llLCBH
LjwvYXV0aG9yPjxhdXRob3I+SGFycmVpdGVyLCBKLjwvYXV0aG9yPjxhdXRob3I+S2F1dHpreS1X
aWxsZXIsIEEuPC9hdXRob3I+PGF1dGhvcj5EYW1tLCBQLjwvYXV0aG9yPjxhdXRob3I+TWF0aGll
c2VuLCBFLiBSLjwvYXV0aG9yPjxhdXRob3I+SmVuc2VuLCBELiBNLjwvYXV0aG9yPjxhdXRob3I+
QW5kZXJzZW4sIEwuPC9hdXRob3I+PGF1dGhvcj5MYXBvbGxhLCBBLjwvYXV0aG9yPjxhdXRob3I+
RGFsZnJhLCBNLiBHLjwvYXV0aG9yPjxhdXRob3I+QmVydG9sb3R0bywgQS48L2F1dGhvcj48YXV0
aG9yPldlbmRlci1PemVnb3dza2EsIEUuPC9hdXRob3I+PGF1dGhvcj5aYXdpZWpza2EsIEEuPC9h
dXRob3I+PGF1dGhvcj5IaWxsLCBELjwvYXV0aG9yPjxhdXRob3I+U25vZWssIEYuIEouPC9hdXRo
b3I+PGF1dGhvcj5KZWxzbWEsIEouIEcuPC9hdXRob3I+PGF1dGhvcj52YW4gUG9wcGVsLCBNLiBO
LjwvYXV0aG9yPjwvYXV0aG9ycz48L2NvbnRyaWJ1dG9ycz48YXV0aC1hZGRyZXNzPldlc3Rlcm4g
U3lkbmV5IFVuaXZlcnNpdHksIENhbXBiZWxsdG93biwgTmV3IFNvdXRoIFdhbGVzIDI1NjAsIEF1
c3RyYWxpYS4mI3hEO0luc3RpdHV0ZSBvZiBNZXRhYm9saWMgU2NpZW5jZSwgQWRkZW5icm9va2Um
YXBvcztzIEhvc3BpdGFsLCBDYW1icmlkZ2UsIENCMiAwUVEgRW5nbGFuZC4mI3hEO0RlcGFydG1l
bnQgb2YgRGV2ZWxvcG1lbnQgYW5kIFJlZ2VuZXJhdGlvbjogUHJlZ25hbmN5LCBGZXR1cyBhbmQg
TmVvbmF0ZSwgR3luYWVjb2xvZ3kgYW5kIE9ic3RldHJpY3MsIFVuaXZlcnNpdHkgSG9zcGl0YWxz
LCBLYXRob2xpZWtlIFVuaXZlcnNpdGVpdCBMZXV2ZW4sIExldXZlbiwgQmVsZ2l1bS4mI3hEO0Rp
dmlzaW9uIG9mIE9ic3RldHJpY3MgYW5kIFByZW5hdGFsIE1lZGljaW5lLCBEZXBhcnRtZW50IG9m
IE9ic3RldHJpY3MgYW5kIEd5bmFlY29sb2d5LCBFcmFzbXVzIFVuaXZlcnNpdHkgTWVkaWNhbCBD
ZW50ZXIgUm90dGVyZGFtLCBSb3R0ZXJkYW0sIFRoZSBOZXRoZXJsYW5kcy4mI3hEO0luc3RpdHV0
IGRlIFJlY2VyY2EgZGUgbCBIb3NwaXRhbCBkZSBsYSBTYW50YSBDcmV1IGkgU2FudCBQYXUsIEJh
cmNlbG9uYSwgU3BhaW4uJiN4RDtDSUJFUiBCaW9lbmdpbmVlcmluZywgQmlvbWF0ZXJpYWxzIGFu
ZCBOYW5vdGVjaG5vbG9neSwgSW5zdGl0dXRvIGRlIFNhbHVkIENhcmxvcyBJSUksIFphcmFnb3ph
LCBTcGFpbi4mI3hEO0dhbHdheSBEaWFiZXRlcyBSZXNlYXJjaCBDZW50cmUgYW5kIENvbGxlZ2Ug
b2YgTWVkaWNpbmUgTnVyc2luZyBhbmQgSGVhbHRoIFNjaWVuY2VzLCBOYXRpb25hbCBVbml2ZXJz
aXR5IG9mIElyZWxhbmQsIEdhbHdheSwgSXJlbGFuZC4mI3hEO0RlcGFydG1lbnQgb2YgT2JzdGV0
cmljcyBhbmQgR3luZWNvbG9neSwgTWVkaXppbmlzY2hlIFVuaXZlcnNpdGFldCBHcmF6LCBHcmF6
LCBBdXN0cmlhLiYjeEQ7R2VuZGVyIE1lZGljaW5lIFVuaXQsIEVuZG9jcmlub2xvZ3kgYW5kIE1l
dGFib2xpc20sIERlcGFydG1lbnQgb2YgSW50ZXJuYWwgTWVkaWNpbmUgSUlJLCBNZWRpY2FsIFVu
aXZlcnNpdHkgb2YgVmllbm5hLCBWaWVubmEsIEF1c3RyaWEuJiN4RDtDZW50ZXIgZm9yIFByZWdu
YW50IFdvbWVuIHdpdGggRGlhYmV0ZXMsIERlcGFydG1lbnRzIG9mIEVuZG9jcmlub2xvZ3kgYW5k
IE9ic3RldHJpY3MsIFJpZ3Nob3NwaXRhbGV0LCBJbnN0aXR1dGUgb2YgQ2xpbmljYWwgTWVkaWNp
bmUsIEZhY3VsdHkgb2YgSGVhbHRoIGFuZCBNZWRpY2FsIFNjaWVuY2VzLCBVbml2ZXJzaXR5IG9m
IENvcGVuaGFnZW4sIENvcGVuaGFnZW4sIERlbm1hcmsuJiN4RDtEZXBhcnRtZW50IG9mIEVuZG9j
cmlub2xvZ3kgYW5kIERlcGFydG1lbnQgb2YgR3luZWNvbG9neSBhbmQgT2JzdGV0cmljcywgT2Rl
bnNlIFVuaXZlcnNpdHkgSG9zcGl0YWwsIE9kZW5zZSwgRGVubWFyay4mI3hEO0RlcGFydG1lbnQg
b2YgQ2xpbmljYWwgUmVzZWFyY2gsIEZhY3VsdHkgb2YgSGVhbHRoIFNjaWVuY2VzLCBVbml2ZXJz
aXR5IG9mIFNvdXRoZXJuIERlbm1hcmssIE9kZW5zZSwgRGVubWFyay4mI3hEO1VuaXZlcnNpdGEg
RGVnbGkgU3R1ZGkgZGkgUGFkb3ZhLCBQYWR1YSwgSXRhbHkuJiN4RDtBemllbmRhIE9zcGVkYWxp
ZXJvIFVuaXZlcnNpdGFyaWEtUGlzYSwgUGlzYSBJdGFseS4mI3hEO01lZGljYWwgRmFjdWx0eSBJ
LCBQb3puYW4gVW5pdmVyc2l0eSBvZiBNZWRpY2FsIFNjaWVuY2VzLCBQb3puYW4sIFBvbGFuZC4m
I3hEO1JlY2hlcmNoZSBlbiBTYW50ZSBMYXdzb24gU0EsIEJyb25zY2hob2ZlbiwgU3dpdHplcmxh
bmQuJiN4RDtEZXBhcnRtZW50IG9mIE1lZGljYWwgUHN5Y2hvbG9neSwgRU1HTysgSW5zdGl0dXRl
IGZvciBIZWFsdGggYW5kIENhcmUgUmVzZWFyY2gsIFZVIFVuaXZlcnNpdHkgTWVkaWNhbCBDZW50
cmUsIEFtc3RlcmRhbSwgVGhlIE5ldGhlcmxhbmRzLiYjeEQ7RGVwYXJ0bWVudCBvZiBNZWRpY2Fs
IFBzeWNob2xvZ3ksIEFjYWRlbWljIE1lZGljYWwgQ2VudHJlLCBBbXN0ZXJkYW0sIFRoZSBOZXRo
ZXJsYW5kcy4mI3hEO0RlcGFydG1lbnQgb2YgUHVibGljIGFuZCBPY2N1cGF0aW9uYWwgSGVhbHRo
LCBFTUdPKyBJbnN0aXR1dGUgZm9yIEhlYWx0aCBhbmQgQ2FyZSBSZXNlYXJjaCwgVlUgVW5pdmVy
c2l0eSBNZWRpY2FsIENlbnRyZSwgQW1zdGVyZGFtLCBUaGUgTmV0aGVybGFuZHM7IGFuZC4mI3hE
O0luc3RpdHV0ZSBvZiBTcG9ydCBTY2llbmNlLCBVbml2ZXJzaXR5IG9mIEdyYXosIEdyYXosIEF1
c3RyaWEuPC9hdXRoLWFkZHJlc3M+PHRpdGxlcz48dGl0bGU+RWZmZWN0IG9mIFBoeXNpY2FsIEFj
dGl2aXR5IGFuZC9vciBIZWFsdGh5IEVhdGluZyBvbiBHRE0gUmlzazogVGhlIERBTEkgTGlmZXN0
eWxlIFN0dWR5PC90aXRsZT48c2Vjb25kYXJ5LXRpdGxlPkogQ2xpbiBFbmRvY3Jpbm9sIE1ldGFi
PC9zZWNvbmRhcnktdGl0bGU+PC90aXRsZXM+PHBlcmlvZGljYWw+PGZ1bGwtdGl0bGU+SiBDbGlu
IEVuZG9jcmlub2wgTWV0YWI8L2Z1bGwtdGl0bGU+PC9wZXJpb2RpY2FsPjxwYWdlcz45MDMtOTEz
PC9wYWdlcz48dm9sdW1lPjEwMjwvdm9sdW1lPjxudW1iZXI+MzwvbnVtYmVyPjxlZGl0aW9uPjIw
MTYvMTIvMTA8L2VkaXRpb24+PGRhdGVzPjx5ZWFyPjIwMTc8L3llYXI+PHB1Yi1kYXRlcz48ZGF0
ZT5NYXIgMTwvZGF0ZT48L3B1Yi1kYXRlcz48L2RhdGVzPjxpc2JuPjE5NDUtNzE5NyAoRWxlY3Ry
b25pYykmI3hEOzAwMjEtOTcyWCAoTGlua2luZyk8L2lzYm4+PGFjY2Vzc2lvbi1udW0+Mjc5MzU3
Njc8L2FjY2Vzc2lvbi1udW0+PHVybHM+PHJlbGF0ZWQtdXJscz48dXJsPmh0dHBzOi8vd3d3Lm5j
YmkubmxtLm5paC5nb3YvcHVibWVkLzI3OTM1NzY3PC91cmw+PC9yZWxhdGVkLXVybHM+PC91cmxz
PjxjdXN0b20yPlBNQzU0NjA2ODg8L2N1c3RvbTI+PGVsZWN0cm9uaWMtcmVzb3VyY2UtbnVtPjEw
LjEyMTAvamMuMjAxNi0zNDU1PC9lbGVjdHJvbmljLXJlc291cmNlLW51bT48L3JlY29yZD48L0Np
dGU+PENpdGU+PEF1dGhvcj5WZXNjbzwvQXV0aG9yPjxZZWFyPjIwMTI8L1llYXI+PFJlY051bT4x
MTMwPC9SZWNOdW0+PHJlY29yZD48cmVjLW51bWJlcj4xMTMwPC9yZWMtbnVtYmVyPjxmb3JlaWdu
LWtleXM+PGtleSBhcHA9IkVOIiBkYi1pZD0iZXh2YXNyZngyZHRyYW9lc2FzeHAyc3pzeGEyZGY1
MDI1OTJ4IiB0aW1lc3RhbXA9IjE1NTM0MDg5ODYiPjExMzA8L2tleT48L2ZvcmVpZ24ta2V5cz48
cmVmLXR5cGUgbmFtZT0iSm91cm5hbCBBcnRpY2xlIj4xNzwvcmVmLXR5cGU+PGNvbnRyaWJ1dG9y
cz48YXV0aG9ycz48YXV0aG9yPlZlc2NvLCBLLiBLLjwvYXV0aG9yPjxhdXRob3I+S2FyYW5qYSwg
Ti48L2F1dGhvcj48YXV0aG9yPktpbmcsIEouIEMuPC9hdXRob3I+PGF1dGhvcj5HaWxsbWFuLCBN
LiBXLjwvYXV0aG9yPjxhdXRob3I+UGVycmluLCBOLjwvYXV0aG9yPjxhdXRob3I+TWNFdm95LCBD
LjwvYXV0aG9yPjxhdXRob3I+RWNraGFyZHQsIEMuPC9hdXRob3I+PGF1dGhvcj5TbWl0aCwgSy4g
Uy48L2F1dGhvcj48YXV0aG9yPlN0ZXZlbnMsIFYuIEouPC9hdXRob3I+PC9hdXRob3JzPjwvY29u
dHJpYnV0b3JzPjxhdXRoLWFkZHJlc3M+Q2VudGVyIGZvciBIZWFsdGggUmVzZWFyY2gsIEthaXNl
ciBQZXJtYW5lbnRlLCBOb3J0aHdlc3QsIFBvcnRsYW5kLCBPUiA5NzIyNywgVVNBLiBraW1iZXJs
eS5rLnZlc2NvQGtwY2hyLm9yZzwvYXV0aC1hZGRyZXNzPjx0aXRsZXM+PHRpdGxlPkhlYWx0aHkg
TW9tcywgYSByYW5kb21pemVkIHRyaWFsIHRvIHByb21vdGUgYW5kIGV2YWx1YXRlIHdlaWdodCBt
YWludGVuYW5jZSBhbW9uZyBvYmVzZSBwcmVnbmFudCB3b21lbjogc3R1ZHkgZGVzaWduIGFuZCBy
YXRpb25hbGU8L3RpdGxlPjxzZWNvbmRhcnktdGl0bGU+Q29udGVtcCBDbGluIFRyaWFsczwvc2Vj
b25kYXJ5LXRpdGxlPjwvdGl0bGVzPjxwZXJpb2RpY2FsPjxmdWxsLXRpdGxlPkNvbnRlbXAgQ2xp
biBUcmlhbHM8L2Z1bGwtdGl0bGU+PC9wZXJpb2RpY2FsPjxwYWdlcz43NzctODU8L3BhZ2VzPjx2
b2x1bWU+MzM8L3ZvbHVtZT48bnVtYmVyPjQ8L251bWJlcj48ZWRpdGlvbj4yMDEyLzA0LzAzPC9l
ZGl0aW9uPjxrZXl3b3Jkcz48a2V5d29yZD5BZG9sZXNjZW50PC9rZXl3b3JkPjxrZXl3b3JkPkFk
dWx0PC9rZXl3b3JkPjxrZXl3b3JkPkJpcnRoIFdlaWdodDwva2V5d29yZD48a2V5d29yZD5DbGlu
aWNhbCBQcm90b2NvbHM8L2tleXdvcmQ+PGtleXdvcmQ+Q29tYmluZWQgTW9kYWxpdHkgVGhlcmFw
eTwva2V5d29yZD48a2V5d29yZD5EaWV0IFRoZXJhcHkvKm1ldGhvZHM8L2tleXdvcmQ+PGtleXdv
cmQ+RXhlcmNpc2UgVGhlcmFweS8qbWV0aG9kczwva2V5d29yZD48a2V5d29yZD5GZWFzaWJpbGl0
eSBTdHVkaWVzPC9rZXl3b3JkPjxrZXl3b3JkPkZlbWFsZTwva2V5d29yZD48a2V5d29yZD5IdW1h
bnM8L2tleXdvcmQ+PGtleXdvcmQ+SW5mYW50LCBOZXdib3JuPC9rZXl3b3JkPjxrZXl3b3JkPklu
dGVudGlvbiB0byBUcmVhdCBBbmFseXNpczwva2V5d29yZD48a2V5d29yZD5Mb2dpc3RpYyBNb2Rl
bHM8L2tleXdvcmQ+PGtleXdvcmQ+T2Jlc2l0eS8qdGhlcmFweTwva2V5d29yZD48a2V5d29yZD5Q
cmVnbmFuY3k8L2tleXdvcmQ+PGtleXdvcmQ+UHJlZ25hbmN5IENvbXBsaWNhdGlvbnMvKnRoZXJh
cHk8L2tleXdvcmQ+PGtleXdvcmQ+UHN5Y2hvdGhlcmFweSwgR3JvdXAvKm1ldGhvZHM8L2tleXdv
cmQ+PGtleXdvcmQ+UmVzZWFyY2ggRGVzaWduPC9rZXl3b3JkPjxrZXl3b3JkPlRyZWF0bWVudCBP
dXRjb21lPC9rZXl3b3JkPjxrZXl3b3JkPldlaWdodCBHYWluPC9rZXl3b3JkPjxrZXl3b3JkPllv
dW5nIEFkdWx0PC9rZXl3b3JkPjwva2V5d29yZHM+PGRhdGVzPjx5ZWFyPjIwMTI8L3llYXI+PHB1
Yi1kYXRlcz48ZGF0ZT5KdWw8L2RhdGU+PC9wdWItZGF0ZXM+PC9kYXRlcz48aXNibj4xNTU5LTIw
MzAgKEVsZWN0cm9uaWMpJiN4RDsxNTUxLTcxNDQgKExpbmtpbmcpPC9pc2JuPjxhY2Nlc3Npb24t
bnVtPjIyNDY1MjU2PC9hY2Nlc3Npb24tbnVtPjx1cmxzPjxyZWxhdGVkLXVybHM+PHVybD5odHRw
czovL3d3dy5uY2JpLm5sbS5uaWguZ292L3B1Ym1lZC8yMjQ2NTI1NjwvdXJsPjwvcmVsYXRlZC11
cmxzPjwvdXJscz48Y3VzdG9tMj5QTUMzMzYxNTE5PC9jdXN0b20yPjxlbGVjdHJvbmljLXJlc291
cmNlLW51bT4xMC4xMDE2L2ouY2N0LjIwMTIuMDMuMDA2PC9lbGVjdHJvbmljLXJlc291cmNlLW51
bT48L3JlY29yZD48L0NpdGU+PENpdGU+PEF1dGhvcj5WaW50ZXI8L0F1dGhvcj48WWVhcj4yMDEx
PC9ZZWFyPjxSZWNOdW0+MTExMTwvUmVjTnVtPjxyZWNvcmQ+PHJlYy1udW1iZXI+MTExMTwvcmVj
LW51bWJlcj48Zm9yZWlnbi1rZXlzPjxrZXkgYXBwPSJFTiIgZGItaWQ9ImV4dmFzcmZ4MmR0cmFv
ZXNhc3hwMnN6c3hhMmRmNTAyNTkyeCIgdGltZXN0YW1wPSIxNTUyOTQ4NjE3Ij4xMTExPC9rZXk+
PC9mb3JlaWduLWtleXM+PHJlZi10eXBlIG5hbWU9IkpvdXJuYWwgQXJ0aWNsZSI+MTc8L3JlZi10
eXBlPjxjb250cmlidXRvcnM+PGF1dGhvcnM+PGF1dGhvcj5WaW50ZXIsIEMuIEEuPC9hdXRob3I+
PGF1dGhvcj5KZW5zZW4sIEQuIE0uPC9hdXRob3I+PGF1dGhvcj5PdmVzZW4sIFAuPC9hdXRob3I+
PGF1dGhvcj5CZWNrLU5pZWxzZW4sIEguPC9hdXRob3I+PGF1dGhvcj5Kb3JnZW5zZW4sIEouIFMu
PC9hdXRob3I+PC9hdXRob3JzPjwvY29udHJpYnV0b3JzPjxhdXRoLWFkZHJlc3M+RGVwYXJ0bWVu
dCBvZiBHeW5lY29sb2d5IGFuZCBPYnN0ZXRyaWNzLCBPZGVuc2UgVW5pdmVyc2l0eSBIb3NwaXRh
bCwgT2RlbnNlLCBEZW5tYXJrLiBjLnZpbnRlckBkYWRsbmV0LmRrPC9hdXRoLWFkZHJlc3M+PHRp
dGxlcz48dGl0bGU+VGhlIExpUCAoTGlmZXN0eWxlIGluIFByZWduYW5jeSkgc3R1ZHk6IGEgcmFu
ZG9taXplZCBjb250cm9sbGVkIHRyaWFsIG9mIGxpZmVzdHlsZSBpbnRlcnZlbnRpb24gaW4gMzYw
IG9iZXNlIHByZWduYW50IHdvbWVuPC90aXRsZT48c2Vjb25kYXJ5LXRpdGxlPkRpYWJldGVzIENh
cmU8L3NlY29uZGFyeS10aXRsZT48L3RpdGxlcz48cGVyaW9kaWNhbD48ZnVsbC10aXRsZT5EaWFi
ZXRlcyBDYXJlPC9mdWxsLXRpdGxlPjwvcGVyaW9kaWNhbD48cGFnZXM+MjUwMi03PC9wYWdlcz48
dm9sdW1lPjM0PC92b2x1bWU+PG51bWJlcj4xMjwvbnVtYmVyPjxlZGl0aW9uPjIwMTEvMTAvMDY8
L2VkaXRpb24+PGtleXdvcmRzPjxrZXl3b3JkPkFkb2xlc2NlbnQ8L2tleXdvcmQ+PGtleXdvcmQ+
QWR1bHQ8L2tleXdvcmQ+PGtleXdvcmQ+RGVubWFyazwva2V5d29yZD48a2V5d29yZD5EaXJlY3Rp
dmUgQ291bnNlbGluZzwva2V5d29yZD48a2V5d29yZD5GZW1hbGU8L2tleXdvcmQ+PGtleXdvcmQ+
SHVtYW5zPC9rZXl3b3JkPjxrZXl3b3JkPipMaWZlIFN0eWxlPC9rZXl3b3JkPjxrZXl3b3JkPk1v
dG9yIEFjdGl2aXR5PC9rZXl3b3JkPjxrZXl3b3JkPk9iZXNpdHkvZGlldCB0aGVyYXB5Lyp0aGVy
YXB5PC9rZXl3b3JkPjxrZXl3b3JkPlBoeXNpY2FsIEVkdWNhdGlvbiBhbmQgVHJhaW5pbmc8L2tl
eXdvcmQ+PGtleXdvcmQ+UHJlZ25hbmN5PC9rZXl3b3JkPjxrZXl3b3JkPlByZWduYW5jeSBDb21w
bGljYXRpb25zL2RpZXQgdGhlcmFweS8qdGhlcmFweTwva2V5d29yZD48a2V5d29yZD5QcmVnbmFu
Y3kgT3V0Y29tZTwva2V5d29yZD48a2V5d29yZD5XZWlnaHQgR2Fpbjwva2V5d29yZD48L2tleXdv
cmRzPjxkYXRlcz48eWVhcj4yMDExPC95ZWFyPjxwdWItZGF0ZXM+PGRhdGU+RGVjPC9kYXRlPjwv
cHViLWRhdGVzPjwvZGF0ZXM+PGlzYm4+MTkzNS01NTQ4IChFbGVjdHJvbmljKSYjeEQ7MDE0OS01
OTkyIChMaW5raW5nKTwvaXNibj48YWNjZXNzaW9uLW51bT4yMTk3MjQxMTwvYWNjZXNzaW9uLW51
bT48dXJscz48cmVsYXRlZC11cmxzPjx1cmw+aHR0cHM6Ly93d3cubmNiaS5ubG0ubmloLmdvdi9w
dWJtZWQvMjE5NzI0MTE8L3VybD48L3JlbGF0ZWQtdXJscz48L3VybHM+PGN1c3RvbTI+UE1DMzIy
MDg0NDwvY3VzdG9tMj48ZWxlY3Ryb25pYy1yZXNvdXJjZS1udW0+MTAuMjMzNy9kYzExLTExNTA8
L2VsZWN0cm9uaWMtcmVzb3VyY2UtbnVtPjwvcmVjb3JkPjwvQ2l0ZT48Q2l0ZT48QXV0aG9yPkhh
d2tpbnM8L0F1dGhvcj48WWVhcj4yMDE1PC9ZZWFyPjxSZWNOdW0+NzI2PC9SZWNOdW0+PHJlY29y
ZD48cmVjLW51bWJlcj43MjY8L3JlYy1udW1iZXI+PGZvcmVpZ24ta2V5cz48a2V5IGFwcD0iRU4i
IGRiLWlkPSJleHZhc3JmeDJkdHJhb2VzYXN4cDJzenN4YTJkZjUwMjU5MngiIHRpbWVzdGFtcD0i
MTU0MTQ2NTMyMiI+NzI2PC9rZXk+PC9mb3JlaWduLWtleXM+PHJlZi10eXBlIG5hbWU9IkpvdXJu
YWwgQXJ0aWNsZSI+MTc8L3JlZi10eXBlPjxjb250cmlidXRvcnM+PGF1dGhvcnM+PGF1dGhvcj5I
YXdraW5zLCBNLjwvYXV0aG9yPjxhdXRob3I+SG9za2VyLCBNLjwvYXV0aG9yPjxhdXRob3I+TWFy
Y3VzLCBCLiBILjwvYXV0aG9yPjxhdXRob3I+Um9zYWwsIE0uIEMuPC9hdXRob3I+PGF1dGhvcj5C
cmF1biwgQi48L2F1dGhvcj48YXV0aG9yPlN0YW5laywgRS4gSi4sIDNyZDwvYXV0aG9yPjxhdXRo
b3I+TWFya2Vuc29uLCBHLjwvYXV0aG9yPjxhdXRob3I+Q2hhc2FuLVRhYmVyLCBMLjwvYXV0aG9y
PjwvYXV0aG9ycz48L2NvbnRyaWJ1dG9ycz48YXV0aC1hZGRyZXNzPkRpdmlzaW9uIG9mIEJpb3N0
YXRpc3RpY3MgYW5kIEVwaWRlbWlvbG9neSwgRGVwYXJ0bWVudCBvZiBQdWJsaWMgSGVhbHRoLCBT
Y2hvb2wgb2YgUHVibGljIEhlYWx0aCBhbmQgSGVhbHRoIFNjaWVuY2VzLCBVbml2ZXJzaXR5IG9m
IE1hc3NhY2h1c2V0dHMsIEFtaGVyc3QsIE1BLCBVU0EuPC9hdXRoLWFkZHJlc3M+PHRpdGxlcz48
dGl0bGU+QSBwcmVnbmFuY3kgbGlmZXN0eWxlIGludGVydmVudGlvbiB0byBwcmV2ZW50IGdlc3Rh
dGlvbmFsIGRpYWJldGVzIHJpc2sgZmFjdG9ycyBpbiBvdmVyd2VpZ2h0IEhpc3BhbmljIHdvbWVu
OiBhIGZlYXNpYmlsaXR5IHJhbmRvbWl6ZWQgY29udHJvbGxlZCB0cmlhbDwvdGl0bGU+PHNlY29u
ZGFyeS10aXRsZT5EaWFiZXQgTWVkPC9zZWNvbmRhcnktdGl0bGU+PC90aXRsZXM+PHBlcmlvZGlj
YWw+PGZ1bGwtdGl0bGU+RGlhYmV0IE1lZDwvZnVsbC10aXRsZT48L3BlcmlvZGljYWw+PHBhZ2Vz
PjEwOC0xNTwvcGFnZXM+PHZvbHVtZT4zMjwvdm9sdW1lPjxudW1iZXI+MTwvbnVtYmVyPjxlZGl0
aW9uPjIwMTQvMTAvMTQ8L2VkaXRpb24+PGtleXdvcmRzPjxrZXl3b3JkPkFkdWx0PC9rZXl3b3Jk
PjxrZXl3b3JkPkJpcnRoIFdlaWdodDwva2V5d29yZD48a2V5d29yZD5EaWFiZXRlcywgR2VzdGF0
aW9uYWwvKnByZXZlbnRpb24gJmFtcDsgY29udHJvbDwva2V5d29yZD48a2V5d29yZD5EaWV0PC9r
ZXl3b3JkPjxrZXl3b3JkPkV4ZXJjaXNlPC9rZXl3b3JkPjxrZXl3b3JkPkZlYXNpYmlsaXR5IFN0
dWRpZXM8L2tleXdvcmQ+PGtleXdvcmQ+RmVlZGluZyBCZWhhdmlvcjwva2V5d29yZD48a2V5d29y
ZD5GZW1hbGU8L2tleXdvcmQ+PGtleXdvcmQ+SGlzcGFuaWMgQW1lcmljYW5zLypzdGF0aXN0aWNz
ICZhbXA7IG51bWVyaWNhbCBkYXRhPC9rZXl3b3JkPjxrZXl3b3JkPkh1bWFuczwva2V5d29yZD48
a2V5d29yZD5JbmZhbnQsIE5ld2Jvcm48L2tleXdvcmQ+PGtleXdvcmQ+TWFsZTwva2V5d29yZD48
a2V5d29yZD5PdmVyd2VpZ2h0L2NvbXBsaWNhdGlvbnMvKnByZXZlbnRpb24gJmFtcDsgY29udHJv
bDwva2V5d29yZD48a2V5d29yZD5QYXRpZW50IENvbXBsaWFuY2U8L2tleXdvcmQ+PGtleXdvcmQ+
UHJlZ25hbmN5PC9rZXl3b3JkPjxrZXl3b3JkPlByZW5hdGFsIENhcmU8L2tleXdvcmQ+PGtleXdv
cmQ+KlByaW1hcnkgUHJldmVudGlvbjwva2V5d29yZD48a2V5d29yZD5SaXNrIEZhY3RvcnM8L2tl
eXdvcmQ+PGtleXdvcmQ+KlJpc2sgUmVkdWN0aW9uIEJlaGF2aW9yPC9rZXl3b3JkPjxrZXl3b3Jk
PlRyZWF0bWVudCBPdXRjb21lPC9rZXl3b3JkPjxrZXl3b3JkPlVuaXRlZCBTdGF0ZXMvZXBpZGVt
aW9sb2d5PC9rZXl3b3JkPjxrZXl3b3JkPldlaWdodCBHYWluPC9rZXl3b3JkPjwva2V5d29yZHM+
PGRhdGVzPjx5ZWFyPjIwMTU8L3llYXI+PHB1Yi1kYXRlcz48ZGF0ZT5KYW48L2RhdGU+PC9wdWIt
ZGF0ZXM+PC9kYXRlcz48aXNibj4xNDY0LTU0OTEgKEVsZWN0cm9uaWMpJiN4RDswNzQyLTMwNzEg
KExpbmtpbmcpPC9pc2JuPjxhY2Nlc3Npb24tbnVtPjI1MzA2OTI1PC9hY2Nlc3Npb24tbnVtPjx1
cmxzPjxyZWxhdGVkLXVybHM+PHVybD5odHRwczovL3d3dy5uY2JpLm5sbS5uaWguZ292L3B1Ym1l
ZC8yNTMwNjkyNTwvdXJsPjwvcmVsYXRlZC11cmxzPjwvdXJscz48ZWxlY3Ryb25pYy1yZXNvdXJj
ZS1udW0+MTAuMTExMS9kbWUuMTI2MDE8L2VsZWN0cm9uaWMtcmVzb3VyY2UtbnVtPjwvcmVjb3Jk
PjwvQ2l0ZT48Q2l0ZT48QXV0aG9yPkh1aTwvQXV0aG9yPjxZZWFyPjIwMTI8L1llYXI+PFJlY051
bT43NDY8L1JlY051bT48cmVjb3JkPjxyZWMtbnVtYmVyPjc0NjwvcmVjLW51bWJlcj48Zm9yZWln
bi1rZXlzPjxrZXkgYXBwPSJFTiIgZGItaWQ9ImV4dmFzcmZ4MmR0cmFvZXNhc3hwMnN6c3hhMmRm
NTAyNTkyeCIgdGltZXN0YW1wPSIxNTQxNDY3ODk0Ij43NDY8L2tleT48a2V5IGFwcD0iRU5XZWIi
IGRiLWlkPSIiPjA8L2tleT48L2ZvcmVpZ24ta2V5cz48cmVmLXR5cGUgbmFtZT0iSm91cm5hbCBB
cnRpY2xlIj4xNzwvcmVmLXR5cGU+PGNvbnRyaWJ1dG9ycz48YXV0aG9ycz48YXV0aG9yPkh1aSwg
QS48L2F1dGhvcj48YXV0aG9yPkJhY2ssIEwuPC9hdXRob3I+PGF1dGhvcj5MdWR3aWcsIFMuPC9h
dXRob3I+PGF1dGhvcj5HYXJkaW5lciwgUC48L2F1dGhvcj48YXV0aG9yPlNldmVuaHV5c2VuLCBH
LjwvYXV0aG9yPjxhdXRob3I+RGVhbiwgSC48L2F1dGhvcj48YXV0aG9yPlNlbGxlcnMsIEUuPC9h
dXRob3I+PGF1dGhvcj5NY0dhdm9jaywgSi48L2F1dGhvcj48YXV0aG9yPk1vcnJpcywgTS48L2F1
dGhvcj48YXV0aG9yPkJydWNlLCBTLjwvYXV0aG9yPjxhdXRob3I+TXVycmF5LCBSLjwvYXV0aG9y
PjxhdXRob3I+U2hlbiwgRy4gWC48L2F1dGhvcj48L2F1dGhvcnM+PC9jb250cmlidXRvcnM+PGF1
dGgtYWRkcmVzcz5EZXBhcnRtZW50IG9mIEludGVybmFsIE1lZGljaW5lLCBVbml2ZXJzaXR5IG9m
IE1hbml0b2JhLCBXaW5uaXBlZywgTWFuaXRvYmEsIENhbmFkYS48L2F1dGgtYWRkcmVzcz48dGl0
bGVzPjx0aXRsZT5MaWZlc3R5bGUgaW50ZXJ2ZW50aW9uIG9uIGRpZXQgYW5kIGV4ZXJjaXNlIHJl
ZHVjZWQgZXhjZXNzaXZlIGdlc3RhdGlvbmFsIHdlaWdodCBnYWluIGluIHByZWduYW50IHdvbWVu
IHVuZGVyIGEgcmFuZG9taXNlZCBjb250cm9sbGVkIHRyaWFsPC90aXRsZT48c2Vjb25kYXJ5LXRp
dGxlPkJKT0c8L3NlY29uZGFyeS10aXRsZT48L3RpdGxlcz48cGVyaW9kaWNhbD48ZnVsbC10aXRs
ZT5CSk9HPC9mdWxsLXRpdGxlPjwvcGVyaW9kaWNhbD48cGFnZXM+NzAtNzwvcGFnZXM+PHZvbHVt
ZT4xMTk8L3ZvbHVtZT48bnVtYmVyPjE8L251bWJlcj48ZWRpdGlvbj4yMDExLzEwLzI1PC9lZGl0
aW9uPjxrZXl3b3Jkcz48a2V5d29yZD5BZHVsdDwva2V5d29yZD48a2V5d29yZD5Db3Vuc2VsaW5n
PC9rZXl3b3JkPjxrZXl3b3JkPipEaWV0PC9rZXl3b3JkPjxrZXl3b3JkPkVuZXJneSBJbnRha2U8
L2tleXdvcmQ+PGtleXdvcmQ+RXhlcmNpc2UgVGhlcmFweS8qbWV0aG9kczwva2V5d29yZD48a2V5
d29yZD5GZW1hbGU8L2tleXdvcmQ+PGtleXdvcmQ+SHVtYW5zPC9rZXl3b3JkPjxrZXl3b3JkPipM
aWZlIFN0eWxlPC9rZXl3b3JkPjxrZXl3b3JkPlBhdGllbnQgRWR1Y2F0aW9uIGFzIFRvcGljPC9r
ZXl3b3JkPjxrZXl3b3JkPlByZWduYW5jeTwva2V5d29yZD48a2V5d29yZD5QcmVnbmFuY3kgQ29t
cGxpY2F0aW9ucy8qcHJldmVudGlvbiAmYW1wOyBjb250cm9sPC9rZXl3b3JkPjxrZXl3b3JkPlBy
ZWduYW5jeSBPdXRjb21lPC9rZXl3b3JkPjxrZXl3b3JkPlByZW5hdGFsIENhcmUvKm1ldGhvZHM8
L2tleXdvcmQ+PGtleXdvcmQ+VXJiYW4gSGVhbHRoPC9rZXl3b3JkPjxrZXl3b3JkPldlaWdodCBH
YWluLypwaHlzaW9sb2d5PC9rZXl3b3JkPjxrZXl3b3JkPllvdW5nIEFkdWx0PC9rZXl3b3JkPjwv
a2V5d29yZHM+PGRhdGVzPjx5ZWFyPjIwMTI8L3llYXI+PHB1Yi1kYXRlcz48ZGF0ZT5KYW48L2Rh
dGU+PC9wdWItZGF0ZXM+PC9kYXRlcz48aXNibj4xNDcxLTA1MjggKEVsZWN0cm9uaWMpJiN4RDsx
NDcwLTAzMjggKExpbmtpbmcpPC9pc2JuPjxhY2Nlc3Npb24tbnVtPjIyMDE3OTY3PC9hY2Nlc3Np
b24tbnVtPjx1cmxzPjxyZWxhdGVkLXVybHM+PHVybD5odHRwczovL3d3dy5uY2JpLm5sbS5uaWgu
Z292L3B1Ym1lZC8yMjAxNzk2NzwvdXJsPjwvcmVsYXRlZC11cmxzPjwvdXJscz48ZWxlY3Ryb25p
Yy1yZXNvdXJjZS1udW0+MTAuMTExMS9qLjE0NzEtMDUyOC4yMDExLjAzMTg0Lng8L2VsZWN0cm9u
aWMtcmVzb3VyY2UtbnVtPjwvcmVjb3JkPjwvQ2l0ZT48Q2l0ZT48QXV0aG9yPkh1aTwvQXV0aG9y
PjxZZWFyPjIwMTQ8L1llYXI+PFJlY051bT43NjM8L1JlY051bT48cmVjb3JkPjxyZWMtbnVtYmVy
Pjc2MzwvcmVjLW51bWJlcj48Zm9yZWlnbi1rZXlzPjxrZXkgYXBwPSJFTiIgZGItaWQ9ImV4dmFz
cmZ4MmR0cmFvZXNhc3hwMnN6c3hhMmRmNTAyNTkyeCIgdGltZXN0YW1wPSIxNTQxNDY4NDQ2Ij43
NjM8L2tleT48L2ZvcmVpZ24ta2V5cz48cmVmLXR5cGUgbmFtZT0iSm91cm5hbCBBcnRpY2xlIj4x
NzwvcmVmLXR5cGU+PGNvbnRyaWJ1dG9ycz48YXV0aG9ycz48YXV0aG9yPkh1aSwgQS4gTC48L2F1
dGhvcj48YXV0aG9yPkJhY2ssIEwuPC9hdXRob3I+PGF1dGhvcj5MdWR3aWcsIFMuPC9hdXRob3I+
PGF1dGhvcj5HYXJkaW5lciwgUC48L2F1dGhvcj48YXV0aG9yPlNldmVuaHV5c2VuLCBHLjwvYXV0
aG9yPjxhdXRob3I+RGVhbiwgSC4gSi48L2F1dGhvcj48YXV0aG9yPlNlbGxlcnMsIEUuPC9hdXRo
b3I+PGF1dGhvcj5NY0dhdm9jaywgSi48L2F1dGhvcj48YXV0aG9yPk1vcnJpcywgTS48L2F1dGhv
cj48YXV0aG9yPkppYW5nLCBELjwvYXV0aG9yPjxhdXRob3I+U2hlbiwgRy4gWC48L2F1dGhvcj48
L2F1dGhvcnM+PC9jb250cmlidXRvcnM+PGF1dGgtYWRkcmVzcz5EZXBhcnRtZW50cyBvZiBJbnRl
cm5hbCBNZWRpY2luZSwgVW5pdmVyc2l0eSBvZiBNYW5pdG9iYSwgUm9vbSA4MDFELCA3MTUgTWNE
ZXJtb3QgQXZlLCwgV2lubmlwZWcsIE1CIFIzRSAzUDQsIENhbmFkYS4gQW15Lkh1aUBtZWQudW1h
bml0b2JhLmNhLjwvYXV0aC1hZGRyZXNzPjx0aXRsZXM+PHRpdGxlPkVmZmVjdHMgb2YgbGlmZXN0
eWxlIGludGVydmVudGlvbiBvbiBkaWV0YXJ5IGludGFrZSwgcGh5c2ljYWwgYWN0aXZpdHkgbGV2
ZWwsIGFuZCBnZXN0YXRpb25hbCB3ZWlnaHQgZ2FpbiBpbiBwcmVnbmFudCB3b21lbiB3aXRoIGRp
ZmZlcmVudCBwcmUtcHJlZ25hbmN5IEJvZHkgTWFzcyBJbmRleCBpbiBhIHJhbmRvbWl6ZWQgY29u
dHJvbCB0cmlhbDwvdGl0bGU+PHNlY29uZGFyeS10aXRsZT5CTUMgUHJlZ25hbmN5IENoaWxkYmly
dGg8L3NlY29uZGFyeS10aXRsZT48L3RpdGxlcz48cGVyaW9kaWNhbD48ZnVsbC10aXRsZT5CTUMg
UHJlZ25hbmN5IENoaWxkYmlydGg8L2Z1bGwtdGl0bGU+PC9wZXJpb2RpY2FsPjxwYWdlcz4zMzE8
L3BhZ2VzPjx2b2x1bWU+MTQ8L3ZvbHVtZT48ZWRpdGlvbj4yMDE0LzA5LzI1PC9lZGl0aW9uPjxr
ZXl3b3Jkcz48a2V5d29yZD5BZHVsdDwva2V5d29yZD48a2V5d29yZD4qQm9keSBNYXNzIEluZGV4
PC9rZXl3b3JkPjxrZXl3b3JkPkNvdW5zZWxpbmc8L2tleXdvcmQ+PGtleXdvcmQ+KkRpZXQ8L2tl
eXdvcmQ+PGtleXdvcmQ+RW5lcmd5IEludGFrZTwva2V5d29yZD48a2V5d29yZD5FeGVyY2lzZSBU
aGVyYXB5LyptZXRob2RzPC9rZXl3b3JkPjxrZXl3b3JkPkZlbWFsZTwva2V5d29yZD48a2V5d29y
ZD5Gb2xsb3ctVXAgU3R1ZGllczwva2V5d29yZD48a2V5d29yZD5HZXN0YXRpb25hbCBBZ2U8L2tl
eXdvcmQ+PGtleXdvcmQ+SHVtYW5zPC9rZXl3b3JkPjxrZXl3b3JkPipMaWZlIFN0eWxlPC9rZXl3
b3JkPjxrZXl3b3JkPk9iZXNpdHkvcHJldmVudGlvbiAmYW1wOyBjb250cm9sLyp0aGVyYXB5PC9r
ZXl3b3JkPjxrZXl3b3JkPlBhdGllbnQgQ29tcGxpYW5jZS9zdGF0aXN0aWNzICZhbXA7IG51bWVy
aWNhbCBkYXRhPC9rZXl3b3JkPjxrZXl3b3JkPlBhdGllbnQgRWR1Y2F0aW9uIGFzIFRvcGljPC9r
ZXl3b3JkPjxrZXl3b3JkPlByZWduYW5jeTwva2V5d29yZD48a2V5d29yZD5QcmVnbmFuY3kgT3V0
Y29tZTwva2V5d29yZD48a2V5d29yZD5QcmVuYXRhbCBDYXJlL21ldGhvZHM8L2tleXdvcmQ+PGtl
eXdvcmQ+KldlaWdodCBHYWluPC9rZXl3b3JkPjxrZXl3b3JkPllvdW5nIEFkdWx0PC9rZXl3b3Jk
Pjwva2V5d29yZHM+PGRhdGVzPjx5ZWFyPjIwMTQ8L3llYXI+PHB1Yi1kYXRlcz48ZGF0ZT5TZXAg
MjQ8L2RhdGU+PC9wdWItZGF0ZXM+PC9kYXRlcz48aXNibj4xNDcxLTIzOTMgKEVsZWN0cm9uaWMp
JiN4RDsxNDcxLTIzOTMgKExpbmtpbmcpPC9pc2JuPjxhY2Nlc3Npb24tbnVtPjI1MjQ4Nzk3PC9h
Y2Nlc3Npb24tbnVtPjx1cmxzPjxyZWxhdGVkLXVybHM+PHVybD5odHRwczovL3d3dy5uY2JpLm5s
bS5uaWguZ292L3B1Ym1lZC8yNTI0ODc5NzwvdXJsPjwvcmVsYXRlZC11cmxzPjwvdXJscz48Y3Vz
dG9tMj5QTUM0Mjg3NDcwPC9jdXN0b20yPjxlbGVjdHJvbmljLXJlc291cmNlLW51bT4xMC4xMTg2
LzE0NzEtMjM5My0xNC0zMzE8L2VsZWN0cm9uaWMtcmVzb3VyY2UtbnVtPjwvcmVjb3JkPjwvQ2l0
ZT48Q2l0ZT48QXV0aG9yPkx1b3RvPC9BdXRob3I+PFllYXI+MjAxMTwvWWVhcj48UmVjTnVtPjEw
ODQ8L1JlY051bT48cmVjb3JkPjxyZWMtbnVtYmVyPjEwODQ8L3JlYy1udW1iZXI+PGZvcmVpZ24t
a2V5cz48a2V5IGFwcD0iRU4iIGRiLWlkPSJleHZhc3JmeDJkdHJhb2VzYXN4cDJzenN4YTJkZjUw
MjU5MngiIHRpbWVzdGFtcD0iMTU1Mjk0NjUwMSI+MTA4NDwva2V5PjxrZXkgYXBwPSJFTldlYiIg
ZGItaWQ9IiI+MDwva2V5PjwvZm9yZWlnbi1rZXlzPjxyZWYtdHlwZSBuYW1lPSJKb3VybmFsIEFy
dGljbGUiPjE3PC9yZWYtdHlwZT48Y29udHJpYnV0b3JzPjxhdXRob3JzPjxhdXRob3I+THVvdG8s
IFIuPC9hdXRob3I+PGF1dGhvcj5LaW5udW5lbiwgVC4gSS48L2F1dGhvcj48YXV0aG9yPkFpdHRh
c2FsbywgTS48L2F1dGhvcj48YXV0aG9yPktvbHUsIFAuPC9hdXRob3I+PGF1dGhvcj5SYWl0YW5l
biwgSi48L2F1dGhvcj48YXV0aG9yPk9qYWxhLCBLLjwvYXV0aG9yPjxhdXRob3I+TWFuc2lra2Ft
YWtpLCBLLjwvYXV0aG9yPjxhdXRob3I+TGFtYmVyZywgUy48L2F1dGhvcj48YXV0aG9yPlZhc2Fu
a2FyaSwgVC48L2F1dGhvcj48YXV0aG9yPktvbXVsYWluZW4sIFQuPC9hdXRob3I+PGF1dGhvcj5U
dWxva2FzLCBTLjwvYXV0aG9yPjwvYXV0aG9ycz48L2NvbnRyaWJ1dG9ycz48YXV0aC1hZGRyZXNz
PlVLSyBJbnN0aXR1dGUgZm9yIEhlYWx0aCBQcm9tb3Rpb24gUmVzZWFyY2gsIFRhbXBlcmUsIEZp
bmxhbmQuIHJpaXR0YS5sdW90b0B1dGEuZmk8L2F1dGgtYWRkcmVzcz48dGl0bGVzPjx0aXRsZT5Q
cmltYXJ5IHByZXZlbnRpb24gb2YgZ2VzdGF0aW9uYWwgZGlhYmV0ZXMgbWVsbGl0dXMgYW5kIGxh
cmdlLWZvci1nZXN0YXRpb25hbC1hZ2UgbmV3Ym9ybnMgYnkgbGlmZXN0eWxlIGNvdW5zZWxpbmc6
IGEgY2x1c3Rlci1yYW5kb21pemVkIGNvbnRyb2xsZWQgdHJpYWw8L3RpdGxlPjxzZWNvbmRhcnkt
dGl0bGU+UExvUyBNZWQ8L3NlY29uZGFyeS10aXRsZT48L3RpdGxlcz48cGVyaW9kaWNhbD48ZnVs
bC10aXRsZT5QTG9TIE1lZDwvZnVsbC10aXRsZT48L3BlcmlvZGljYWw+PHBhZ2VzPmUxMDAxMDM2
PC9wYWdlcz48dm9sdW1lPjg8L3ZvbHVtZT48bnVtYmVyPjU8L251bWJlcj48ZWRpdGlvbj4yMDEx
LzA1LzI2PC9lZGl0aW9uPjxrZXl3b3Jkcz48a2V5d29yZD5BZHVsdDwva2V5d29yZD48a2V5d29y
ZD5CZWhhdmlvci9waHlzaW9sb2d5PC9rZXl3b3JkPjxrZXl3b3JkPkJpcnRoIFdlaWdodC8qcGh5
c2lvbG9neTwva2V5d29yZD48a2V5d29yZD5EaWFiZXRlcywgR2VzdGF0aW9uYWwvKnByZXZlbnRp
b24gJmFtcDsgY29udHJvbDwva2V5d29yZD48a2V5d29yZD5EaWV0PC9rZXl3b3JkPjxrZXl3b3Jk
PkZlbWFsZTwva2V5d29yZD48a2V5d29yZD5GaW5sYW5kPC9rZXl3b3JkPjxrZXl3b3JkPipHZXN0
YXRpb25hbCBBZ2U8L2tleXdvcmQ+PGtleXdvcmQ+R2x1Y29zZSBUb2xlcmFuY2UgVGVzdDwva2V5
d29yZD48a2V5d29yZD4qSGVhbHRoIEVkdWNhdGlvbjwva2V5d29yZD48a2V5d29yZD5IdW1hbnM8
L2tleXdvcmQ+PGtleXdvcmQ+SW5mYW50LCBOZXdib3JuPC9rZXl3b3JkPjxrZXl3b3JkPkluc3Vs
aW4vbWV0YWJvbGlzbTwva2V5d29yZD48a2V5d29yZD4qTGlmZSBTdHlsZTwva2V5d29yZD48a2V5
d29yZD5Nb3RvciBBY3Rpdml0eTwva2V5d29yZD48a2V5d29yZD5QYXRpZW50IENvbXBsaWFuY2U8
L2tleXdvcmQ+PGtleXdvcmQ+UHJlZ25hbmN5PC9rZXl3b3JkPjxrZXl3b3JkPipQcmltYXJ5IFBy
ZXZlbnRpb248L2tleXdvcmQ+PGtleXdvcmQ+VHJlYXRtZW50IE91dGNvbWU8L2tleXdvcmQ+PC9r
ZXl3b3Jkcz48ZGF0ZXM+PHllYXI+MjAxMTwveWVhcj48cHViLWRhdGVzPjxkYXRlPk1heTwvZGF0
ZT48L3B1Yi1kYXRlcz48L2RhdGVzPjxpc2JuPjE1NDktMTY3NiAoRWxlY3Ryb25pYykmI3hEOzE1
NDktMTI3NyAoTGlua2luZyk8L2lzYm4+PGFjY2Vzc2lvbi1udW0+MjE2MTA4NjA8L2FjY2Vzc2lv
bi1udW0+PHVybHM+PHJlbGF0ZWQtdXJscz48dXJsPmh0dHBzOi8vd3d3Lm5jYmkubmxtLm5paC5n
b3YvcHVibWVkLzIxNjEwODYwPC91cmw+PC9yZWxhdGVkLXVybHM+PC91cmxzPjxjdXN0b20yPlBN
QzMwOTY2MTA8L2N1c3RvbTI+PGVsZWN0cm9uaWMtcmVzb3VyY2UtbnVtPjEwLjEzNzEvam91cm5h
bC5wbWVkLjEwMDEwMzY8L2VsZWN0cm9uaWMtcmVzb3VyY2UtbnVtPjwvcmVjb3JkPjwvQ2l0ZT48
Q2l0ZT48QXV0aG9yPlBoZWxhbjwvQXV0aG9yPjxZZWFyPjIwMTE8L1llYXI+PFJlY051bT43MDU8
L1JlY051bT48cmVjb3JkPjxyZWMtbnVtYmVyPjcwNTwvcmVjLW51bWJlcj48Zm9yZWlnbi1rZXlz
PjxrZXkgYXBwPSJFTiIgZGItaWQ9ImV4dmFzcmZ4MmR0cmFvZXNhc3hwMnN6c3hhMmRmNTAyNTky
eCIgdGltZXN0YW1wPSIxNTQwNTMwNjM2Ij43MDU8L2tleT48L2ZvcmVpZ24ta2V5cz48cmVmLXR5
cGUgbmFtZT0iSm91cm5hbCBBcnRpY2xlIj4xNzwvcmVmLXR5cGU+PGNvbnRyaWJ1dG9ycz48YXV0
aG9ycz48YXV0aG9yPlBoZWxhbiwgUy48L2F1dGhvcj48YXV0aG9yPlBoaXBwcywgTS4gRy48L2F1
dGhvcj48YXV0aG9yPkFicmFtcywgQi48L2F1dGhvcj48YXV0aG9yPkRhcnJvY2gsIEYuPC9hdXRo
b3I+PGF1dGhvcj5TY2hhZmZuZXIsIEEuPC9hdXRob3I+PGF1dGhvcj5XaW5nLCBSLiBSLjwvYXV0
aG9yPjwvYXV0aG9ycz48L2NvbnRyaWJ1dG9ycz48YXV0aC1hZGRyZXNzPkRlcGFydG1lbnRzIG9m
IEtpbmVzaW9sb2d5LCBDYWxpZm9ybmlhIFBvbHl0ZWNobmljIFN0YXRlIFVuaXZlcnNpdHksIFNh
biBMdWlzIE9iaXNwbywgOTM0MDctMDM4NiwgVVNBLiBzcGhlbGFuQGNhbHBvbHkuZWR1PC9hdXRo
LWFkZHJlc3M+PHRpdGxlcz48dGl0bGU+UmFuZG9taXplZCB0cmlhbCBvZiBhIGJlaGF2aW9yYWwg
aW50ZXJ2ZW50aW9uIHRvIHByZXZlbnQgZXhjZXNzaXZlIGdlc3RhdGlvbmFsIHdlaWdodCBnYWlu
OiB0aGUgRml0IGZvciBEZWxpdmVyeSBTdHVkeTwvdGl0bGU+PHNlY29uZGFyeS10aXRsZT5BbSBK
IENsaW4gTnV0cjwvc2Vjb25kYXJ5LXRpdGxlPjwvdGl0bGVzPjxwZXJpb2RpY2FsPjxmdWxsLXRp
dGxlPkFtIEogQ2xpbiBOdXRyPC9mdWxsLXRpdGxlPjwvcGVyaW9kaWNhbD48cGFnZXM+NzcyLTk8
L3BhZ2VzPjx2b2x1bWU+OTM8L3ZvbHVtZT48bnVtYmVyPjQ8L251bWJlcj48ZWRpdGlvbj4yMDEx
LzAyLzEyPC9lZGl0aW9uPjxrZXl3b3Jkcz48a2V5d29yZD5BZHVsdDwva2V5d29yZD48a2V5d29y
ZD5CZWhhdmlvcjwva2V5d29yZD48a2V5d29yZD4qQmVoYXZpb3IgVGhlcmFweTwva2V5d29yZD48
a2V5d29yZD4qRGlldDwva2V5d29yZD48a2V5d29yZD4qRXhlcmNpc2U8L2tleXdvcmQ+PGtleXdv
cmQ+RmVtYWxlPC9rZXl3b3JkPjxrZXl3b3JkPipIZWFsdGggUHJvbW90aW9uPC9rZXl3b3==
</w:fldData>
        </w:fldChar>
      </w:r>
      <w:r w:rsidR="002747EA">
        <w:instrText xml:space="preserve"> ADDIN EN.CITE.DATA </w:instrText>
      </w:r>
      <w:r w:rsidR="002747EA">
        <w:fldChar w:fldCharType="end"/>
      </w:r>
      <w:r w:rsidR="002747EA">
        <w:fldChar w:fldCharType="begin">
          <w:fldData xml:space="preserve">cmQ+PGtleXdvcmQ+SHVtYW5zPC9rZXl3b3JkPjxrZXl3b3JkPkludGVudGlvbiB0byBUcmVhdCBB
bmFseXNpczwva2V5d29yZD48a2V5d29yZD5PYmVzaXR5L2NvbXBsaWNhdGlvbnMvZXBpZGVtaW9s
b2d5LypwcmV2ZW50aW9uICZhbXA7IGNvbnRyb2w8L2tleXdvcmQ+PGtleXdvcmQ+UG9zdHBhcnR1
bSBQZXJpb2Q8L2tleXdvcmQ+PGtleXdvcmQ+UHJlZ25hbmN5PC9rZXl3b3JkPjxrZXl3b3JkPlBy
ZWduYW5jeSBDb21wbGljYXRpb25zLypwcmV2ZW50aW9uICZhbXA7IGNvbnRyb2w8L2tleXdvcmQ+
PGtleXdvcmQ+UHJldmFsZW5jZTwva2V5d29yZD48a2V5d29yZD5SZWZlcmVuY2UgVmFsdWVzPC9r
ZXl3b3JkPjxrZXl3b3JkPlNpbmdsZS1CbGluZCBNZXRob2Q8L2tleXdvcmQ+PGtleXdvcmQ+U3Rh
bmRhcmQgb2YgQ2FyZTwva2V5d29yZD48a2V5d29yZD5UcmVhdG1lbnQgT3V0Y29tZTwva2V5d29y
ZD48a2V5d29yZD4qV2VpZ2h0IEdhaW48L2tleXdvcmQ+PGtleXdvcmQ+WW91bmcgQWR1bHQ8L2tl
eXdvcmQ+PC9rZXl3b3Jkcz48ZGF0ZXM+PHllYXI+MjAxMTwveWVhcj48cHViLWRhdGVzPjxkYXRl
PkFwcjwvZGF0ZT48L3B1Yi1kYXRlcz48L2RhdGVzPjxpc2JuPjE5MzgtMzIwNyAoRWxlY3Ryb25p
YykmI3hEOzAwMDItOTE2NSAoTGlua2luZyk8L2lzYm4+PGFjY2Vzc2lvbi1udW0+MjEzMTA4MzY8
L2FjY2Vzc2lvbi1udW0+PHVybHM+PHJlbGF0ZWQtdXJscz48dXJsPmh0dHBzOi8vd3d3Lm5jYmku
bmxtLm5paC5nb3YvcHVibWVkLzIxMzEwODM2PC91cmw+PC9yZWxhdGVkLXVybHM+PC91cmxzPjxj
dXN0b20yPlBNQzMwNTc1NDY8L2N1c3RvbTI+PGVsZWN0cm9uaWMtcmVzb3VyY2UtbnVtPjEwLjM5
NDUvYWpjbi4xMTAuMDA1MzA2PC9lbGVjdHJvbmljLXJlc291cmNlLW51bT48L3JlY29yZD48L0Np
dGU+PENpdGU+PEF1dGhvcj5Qb3N0b248L0F1dGhvcj48WWVhcj4yMDE1PC9ZZWFyPjxSZWNOdW0+
NjEyPC9SZWNOdW0+PHJlY29yZD48cmVjLW51bWJlcj42MTI8L3JlYy1udW1iZXI+PGZvcmVpZ24t
a2V5cz48a2V5IGFwcD0iRU4iIGRiLWlkPSJleHZhc3JmeDJkdHJhb2VzYXN4cDJzenN4YTJkZjUw
MjU5MngiIHRpbWVzdGFtcD0iMTUzOTA0ODM0OCI+NjEyPC9rZXk+PGtleSBhcHA9IkVOV2ViIiBk
Yi1pZD0iIj4wPC9rZXk+PC9mb3JlaWduLWtleXM+PHJlZi10eXBlIG5hbWU9IkpvdXJuYWwgQXJ0
aWNsZSI+MTc8L3JlZi10eXBlPjxjb250cmlidXRvcnM+PGF1dGhvcnM+PGF1dGhvcj5Qb3N0b24s
IEwuLDwvYXV0aG9yPjxhdXRob3I+QmVsbCwgUi4sPC9hdXRob3I+PGF1dGhvcj5Dcm9rZXIsIEgu
LDwvYXV0aG9yPjxhdXRob3I+Rmx5bm4sIEEuQy4sPC9hdXRob3I+PGF1dGhvcj5Hb2RmcmV5LCBL
Lk0uLDwvYXV0aG9yPjxhdXRob3I+R29mZiwgTC4sPC9hdXRob3I+PC9hdXRob3JzPjwvY29udHJp
YnV0b3JzPjx0aXRsZXM+PHRpdGxlPkVmZmVjdCBvZiBhIGJlaGF2aW91cmFsIGludGVydmVudGlv
biBpbiBvYmVzZSBwcmVnbmFudCB3b21lbiAodGhlIFVQQkVBVCBzdHVkeSk6IGEgbXVsdGljZW50
cmUsIHJhbmRvbWlzZWQgY29udHJvbGxlZCB0cmlhbDwvdGl0bGU+PHNlY29uZGFyeS10aXRsZT5U
aGUgTGFuY2V0IERpYWJldGVzICZhbXA7IEVuZG9jcmlub2xvZ3k8L3NlY29uZGFyeS10aXRsZT48
L3RpdGxlcz48cGVyaW9kaWNhbD48ZnVsbC10aXRsZT5UaGUgTGFuY2V0IERpYWJldGVzICZhbXA7
IEVuZG9jcmlub2xvZ3k8L2Z1bGwtdGl0bGU+PC9wZXJpb2RpY2FsPjxwYWdlcz43NjctNzc3PC9w
YWdlcz48dm9sdW1lPjM8L3ZvbHVtZT48bnVtYmVyPjEwPC9udW1iZXI+PHNlY3Rpb24+NzY3PC9z
ZWN0aW9uPjxkYXRlcz48eWVhcj4yMDE1PC95ZWFyPjwvZGF0ZXM+PGlzYm4+MjIxMzg1ODc8L2lz
Ym4+PHVybHM+PC91cmxzPjxlbGVjdHJvbmljLXJlc291cmNlLW51bT4xMC4xMDE2L3MyMjEzLTg1
ODcoMTUpMDAyMjctMjwvZWxlY3Ryb25pYy1yZXNvdXJjZS1udW0+PC9yZWNvcmQ+PC9DaXRlPjxD
aXRlPjxBdXRob3I+UmF1aDwvQXV0aG9yPjxZZWFyPjIwMTM8L1llYXI+PFJlY051bT4xMTA5PC9S
ZWNOdW0+PHJlY29yZD48cmVjLW51bWJlcj4xMTA5PC9yZWMtbnVtYmVyPjxmb3JlaWduLWtleXM+
PGtleSBhcHA9IkVOIiBkYi1pZD0iZXh2YXNyZngyZHRyYW9lc2FzeHAyc3pzeGEyZGY1MDI1OTJ4
IiB0aW1lc3RhbXA9IjE1NTI5NDg0ODUiPjExMDk8L2tleT48L2ZvcmVpZ24ta2V5cz48cmVmLXR5
cGUgbmFtZT0iSm91cm5hbCBBcnRpY2xlIj4xNzwvcmVmLXR5cGU+PGNvbnRyaWJ1dG9ycz48YXV0
aG9ycz48YXV0aG9yPlJhdWgsIEsuPC9hdXRob3I+PGF1dGhvcj5HYWJyaWVsLCBFLjwvYXV0aG9y
PjxhdXRob3I+S2Vyc2NoYmF1bSwgRS48L2F1dGhvcj48YXV0aG9yPlNjaHVzdGVyLCBULjwvYXV0
aG9yPjxhdXRob3I+dm9uIEtyaWVzLCBSLjwvYXV0aG9yPjxhdXRob3I+QW1hbm4tR2Fzc25lciwg
VS48L2F1dGhvcj48YXV0aG9yPkhhdW5lciwgSC48L2F1dGhvcj48L2F1dGhvcnM+PC9jb250cmli
dXRvcnM+PHRpdGxlcz48dGl0bGU+U2FmZXR5IGFuZCBlZmZpY2FjeSBvZiBhIGxpZmVzdHlsZSBp
bnRlcnZlbnRpb24gZm9yIHByZWduYW50IHdvbWVuIHRvIHByZXZlbnQgZXhjZXNzaXZlIG1hdGVy
bmFsIHdlaWdodCBnYWluOiBhIGNsdXN0ZXItcmFuZG9taXplZCBjb250cm9sbGVkIHRyaWFsPC90
aXRsZT48c2Vjb25kYXJ5LXRpdGxlPkJNQyBQcmVnbmFuY3kgQ2hpbGRiaXJ0aDwvc2Vjb25kYXJ5
LXRpdGxlPjwvdGl0bGVzPjxwZXJpb2RpY2FsPjxmdWxsLXRpdGxlPkJNQyBQcmVnbmFuY3kgQ2hp
bGRiaXJ0aDwvZnVsbC10aXRsZT48L3BlcmlvZGljYWw+PHBhZ2VzPjE1MTwvcGFnZXM+PHZvbHVt
ZT4xMzwvdm9sdW1lPjxlZGl0aW9uPjIwMTMvMDcvMjA8L2VkaXRpb24+PGtleXdvcmRzPjxrZXl3
b3JkPkFkdWx0PC9rZXl3b3JkPjxrZXl3b3JkPipCaXJ0aCBXZWlnaHQ8L2tleXdvcmQ+PGtleXdv
cmQ+Q291bnNlbGluZy8qbWV0aG9kczwva2V5d29yZD48a2V5d29yZD4qRW5lcmd5IEludGFrZTwv
a2V5d29yZD48a2V5d29yZD5GZWFzaWJpbGl0eSBTdHVkaWVzPC9rZXl3b3JkPjxrZXl3b3JkPkZl
bWFsZTwva2V5d29yZD48a2V5d29yZD5IdW1hbnM8L2tleXdvcmQ+PGtleXdvcmQ+SW5mYW50LCBO
ZXdib3JuPC9rZXl3b3JkPjxrZXl3b3JkPipNb3RvciBBY3Rpdml0eTwva2V5d29yZD48a2V5d29y
ZD5PYmVzaXR5LypwcmV2ZW50aW9uICZhbXA7IGNvbnRyb2w8L2tleXdvcmQ+PGtleXdvcmQ+T3Zl
cndlaWdodC9wcmV2ZW50aW9uICZhbXA7IGNvbnRyb2w8L2tleXdvcmQ+PGtleXdvcmQ+UG9zdHBh
cnR1bSBQZXJpb2Q8L2tleXdvcmQ+PGtleXdvcmQ+UHJlZ25hbmN5PC9rZXl3b3JkPjxrZXl3b3Jk
PlByZWduYW5jeSBDb21wbGljYXRpb25zLypwcmV2ZW50aW9uICZhbXA7IGNvbnRyb2w8L2tleXdv
cmQ+PGtleXdvcmQ+UHJlZ25hbmN5IE91dGNvbWU8L2tleXdvcmQ+PGtleXdvcmQ+KldlaWdodCBH
YWluPC9rZXl3b3JkPjwva2V5d29yZHM+PGRhdGVzPjx5ZWFyPjIwMTM8L3llYXI+PHB1Yi1kYXRl
cz48ZGF0ZT5KdWwgMTY8L2RhdGU+PC9wdWItZGF0ZXM+PC9kYXRlcz48aXNibj4xNDcxLTIzOTMg
KEVsZWN0cm9uaWMpJiN4RDsxNDcxLTIzOTMgKExpbmtpbmcpPC9pc2JuPjxhY2Nlc3Npb24tbnVt
PjIzODY1NjI0PC9hY2Nlc3Npb24tbnVtPjx1cmxzPjxyZWxhdGVkLXVybHM+PHVybD5odHRwczov
L3d3dy5uY2JpLm5sbS5uaWguZ292L3B1Ym1lZC8yMzg2NTYyNDwvdXJsPjwvcmVsYXRlZC11cmxz
PjwvdXJscz48Y3VzdG9tMj5QTUMzNzE4NzA3PC9jdXN0b20yPjxlbGVjdHJvbmljLXJlc291cmNl
LW51bT4xMC4xMTg2LzE0NzEtMjM5My0xMy0xNTE8L2VsZWN0cm9uaWMtcmVzb3VyY2UtbnVtPjwv
cmVjb3JkPjwvQ2l0ZT48Q2l0ZT48QXV0aG9yPlZlc2NvPC9BdXRob3I+PFllYXI+MjAxMjwvWWVh
cj48UmVjTnVtPjExMzA8L1JlY051bT48cmVjb3JkPjxyZWMtbnVtYmVyPjExMzA8L3JlYy1udW1i
ZXI+PGZvcmVpZ24ta2V5cz48a2V5IGFwcD0iRU4iIGRiLWlkPSJleHZhc3JmeDJkdHJhb2VzYXN4
cDJzenN4YTJkZjUwMjU5MngiIHRpbWVzdGFtcD0iMTU1MzQwODk4NiI+MTEzMDwva2V5PjwvZm9y
ZWlnbi1rZXlzPjxyZWYtdHlwZSBuYW1lPSJKb3VybmFsIEFydGljbGUiPjE3PC9yZWYtdHlwZT48
Y29udHJpYnV0b3JzPjxhdXRob3JzPjxhdXRob3I+VmVzY28sIEsuIEsuPC9hdXRob3I+PGF1dGhv
cj5LYXJhbmphLCBOLjwvYXV0aG9yPjxhdXRob3I+S2luZywgSi4gQy48L2F1dGhvcj48YXV0aG9y
PkdpbGxtYW4sIE0uIFcuPC9hdXRob3I+PGF1dGhvcj5QZXJyaW4sIE4uPC9hdXRob3I+PGF1dGhv
cj5NY0V2b3ksIEMuPC9hdXRob3I+PGF1dGhvcj5FY2toYXJkdCwgQy48L2F1dGhvcj48YXV0aG9y
PlNtaXRoLCBLLiBTLjwvYXV0aG9yPjxhdXRob3I+U3RldmVucywgVi4gSi48L2F1dGhvcj48L2F1
dGhvcnM+PC9jb250cmlidXRvcnM+PGF1dGgtYWRkcmVzcz5DZW50ZXIgZm9yIEhlYWx0aCBSZXNl
YXJjaCwgS2Fpc2VyIFBlcm1hbmVudGUsIE5vcnRod2VzdCwgUG9ydGxhbmQsIE9SIDk3MjI3LCBV
U0EuIGtpbWJlcmx5LmsudmVzY29Aa3BjaHIub3JnPC9hdXRoLWFkZHJlc3M+PHRpdGxlcz48dGl0
bGU+SGVhbHRoeSBNb21zLCBhIHJhbmRvbWl6ZWQgdHJpYWwgdG8gcHJvbW90ZSBhbmQgZXZhbHVh
dGUgd2VpZ2h0IG1haW50ZW5hbmNlIGFtb25nIG9iZXNlIHByZWduYW50IHdvbWVuOiBzdHVkeSBk
ZXNpZ24gYW5kIHJhdGlvbmFsZTwvdGl0bGU+PHNlY29uZGFyeS10aXRsZT5Db250ZW1wIENsaW4g
VHJpYWxzPC9zZWNvbmRhcnktdGl0bGU+PC90aXRsZXM+PHBlcmlvZGljYWw+PGZ1bGwtdGl0bGU+
Q29udGVtcCBDbGluIFRyaWFsczwvZnVsbC10aXRsZT48L3BlcmlvZGljYWw+PHBhZ2VzPjc3Ny04
NTwvcGFnZXM+PHZvbHVtZT4zMzwvdm9sdW1lPjxudW1iZXI+NDwvbnVtYmVyPjxlZGl0aW9uPjIw
MTIvMDQvMDM8L2VkaXRpb24+PGtleXdvcmRzPjxrZXl3b3JkPkFkb2xlc2NlbnQ8L2tleXdvcmQ+
PGtleXdvcmQ+QWR1bHQ8L2tleXdvcmQ+PGtleXdvcmQ+QmlydGggV2VpZ2h0PC9rZXl3b3JkPjxr
ZXl3b3JkPkNsaW5pY2FsIFByb3RvY29sczwva2V5d29yZD48a2V5d29yZD5Db21iaW5lZCBNb2Rh
bGl0eSBUaGVyYXB5PC9rZXl3b3JkPjxrZXl3b3JkPkRpZXQgVGhlcmFweS8qbWV0aG9kczwva2V5
d29yZD48a2V5d29yZD5FeGVyY2lzZSBUaGVyYXB5LyptZXRob2RzPC9rZXl3b3JkPjxrZXl3b3Jk
PkZlYXNpYmlsaXR5IFN0dWRpZXM8L2tleXdvcmQ+PGtleXdvcmQ+RmVtYWxlPC9rZXl3b3JkPjxr
ZXl3b3JkPkh1bWFuczwva2V5d29yZD48a2V5d29yZD5JbmZhbnQsIE5ld2Jvcm48L2tleXdvcmQ+
PGtleXdvcmQ+SW50ZW50aW9uIHRvIFRyZWF0IEFuYWx5c2lzPC9rZXl3b3JkPjxrZXl3b3JkPkxv
Z2lzdGljIE1vZGVsczwva2V5d29yZD48a2V5d29yZD5PYmVzaXR5Lyp0aGVyYXB5PC9rZXl3b3Jk
PjxrZXl3b3JkPlByZWduYW5jeTwva2V5d29yZD48a2V5d29yZD5QcmVnbmFuY3kgQ29tcGxpY2F0
aW9ucy8qdGhlcmFweTwva2V5d29yZD48a2V5d29yZD5Qc3ljaG90aGVyYXB5LCBHcm91cC8qbWV0
aG9kczwva2V5d29yZD48a2V5d29yZD5SZXNlYXJjaCBEZXNpZ248L2tleXdvcmQ+PGtleXdvcmQ+
VHJlYXRtZW50IE91dGNvbWU8L2tleXdvcmQ+PGtleXdvcmQ+V2VpZ2h0IEdhaW48L2tleXdvcmQ+
PGtleXdvcmQ+WW91bmcgQWR1bHQ8L2tleXdvcmQ+PC9rZXl3b3Jkcz48ZGF0ZXM+PHllYXI+MjAx
MjwveWVhcj48cHViLWRhdGVzPjxkYXRlPkp1bDwvZGF0ZT48L3B1Yi1kYXRlcz48L2RhdGVzPjxp
c2JuPjE1NTktMjAzMCAoRWxlY3Ryb25pYykmI3hEOzE1NTEtNzE0NCAoTGlua2luZyk8L2lzYm4+
PGFjY2Vzc2lvbi1udW0+MjI0NjUyNTY8L2FjY2Vzc2lvbi1udW0+PHVybHM+PHJlbGF0ZWQtdXJs
cz48dXJsPmh0dHBzOi8vd3d3Lm5jYmkubmxtLm5paC5nb3YvcHVibWVkLzIyNDY1MjU2PC91cmw+
PC9yZWxhdGVkLXVybHM+PC91cmxzPjxjdXN0b20yPlBNQzMzNjE1MTk8L2N1c3RvbTI+PGVsZWN0
cm9uaWMtcmVzb3VyY2UtbnVtPjEwLjEwMTYvai5jY3QuMjAxMi4wMy4wMDY8L2VsZWN0cm9uaWMt
cmVzb3VyY2UtbnVtPjwvcmVjb3JkPjwvQ2l0ZT48Q2l0ZT48QXV0aG9yPkhhcnJpc29uPC9BdXRo
b3I+PFllYXI+MjAxMzwvWWVhcj48UmVjTnVtPjcyNTwvUmVjTnVtPjxyZWNvcmQ+PHJlYy1udW1i
ZXI+NzI1PC9yZWMtbnVtYmVyPjxmb3JlaWduLWtleXM+PGtleSBhcHA9IkVOIiBkYi1pZD0iZXh2
YXNyZngyZHRyYW9lc2FzeHAyc3pzeGEyZGY1MDI1OTJ4IiB0aW1lc3RhbXA9IjE1NDE0NjUwNTAi
PjcyNTwva2V5PjwvZm9yZWlnbi1rZXlzPjxyZWYtdHlwZSBuYW1lPSJKb3VybmFsIEFydGljbGUi
PjE3PC9yZWYtdHlwZT48Y29udHJpYnV0b3JzPjxhdXRob3JzPjxhdXRob3I+SGFycmlzb24sIEMu
IEwuPC9hdXRob3I+PGF1dGhvcj5Mb21iYXJkLCBDLiBCLjwvYXV0aG9yPjxhdXRob3I+U3RyYXVz
cywgQi4gSi48L2F1dGhvcj48YXV0aG9yPlRlZWRlLCBILiBKLjwvYXV0aG9yPjwvYXV0aG9ycz48
L2NvbnRyaWJ1dG9ycz48YXV0aC1hZGRyZXNzPldvbWVuJmFwb3M7cyBSZXByb2R1Y3RpdmUgUmVz
ZWFyY2ggdW5pdCwgU2Nob29sIG9mIFB1YmxpYyBIZWFsdGggYW5kIFByZXZlbnRpdmUgTWVkaWNp
bmUsIE1vbmFzaCBVbml2ZXJzaXR5LCBDbGF5dG9uLCBWaWN0b3JpYSwgQXVzdHJhbGlhLjwvYXV0
aC1hZGRyZXNzPjx0aXRsZXM+PHRpdGxlPk9wdGltaXppbmcgaGVhbHRoeSBnZXN0YXRpb25hbCB3
ZWlnaHQgZ2FpbiBpbiB3b21lbiBhdCBoaWdoIHJpc2sgb2YgZ2VzdGF0aW9uYWwgZGlhYmV0ZXM6
IGEgcmFuZG9taXplZCBjb250cm9sbGVkIHRyaWFsPC90aXRsZT48c2Vjb25kYXJ5LXRpdGxlPk9i
ZXNpdHkgKFNpbHZlciBTcHJpbmcpPC9zZWNvbmRhcnktdGl0bGU+PC90aXRsZXM+PHBlcmlvZGlj
YWw+PGZ1bGwtdGl0bGU+T2Jlc2l0eSAoU2lsdmVyIFNwcmluZyk8L2Z1bGwtdGl0bGU+PC9wZXJp
b2RpY2FsPjxwYWdlcz45MDQtOTwvcGFnZXM+PHZvbHVtZT4yMTwvdm9sdW1lPjxudW1iZXI+NTwv
bnVtYmVyPjxlZGl0aW9uPjIwMTMvMDYvMjE8L2VkaXRpb24+PGtleXdvcmRzPjxrZXl3b3JkPkFk
dWx0PC9rZXl3b3JkPjxrZXl3b3JkPipCb2R5IE1hc3MgSW5kZXg8L2tleXdvcmQ+PGtleXdvcmQ+
RGlhYmV0ZXMsIEdlc3RhdGlvbmFsL2VwaWRlbWlvbG9neS8qcHJldmVudGlvbiAmYW1wOyBjb250
cm9sPC9rZXl3b3JkPjxrZXl3b3JkPkZlbWFsZTwva2V5d29yZD48a2V5d29yZD5IdW1hbnM8L2tl
eXdvcmQ+PGtleXdvcmQ+KkxpZmUgU3R5bGU8L2tleXdvcmQ+PGtleXdvcmQ+TW90b3IgQWN0aXZp
dHk8L2tleXdvcmQ+PGtleXdvcmQ+T2Jlc2l0eS9jb21wbGljYXRpb25zL3RoZXJhcHk8L2tleXdv
cmQ+PGtleXdvcmQ+UHJlZ25hbmN5PC9rZXl3b3JkPjxrZXl3b3JkPlByZW5hdGFsIENhcmU8L2tl
eXdvcmQ+PGtleXdvcmQ+UmlzayBGYWN0b3JzPC9rZXl3b3JkPjxrZXl3b3JkPipXYWxraW5nPC9r
ZXl3b3JkPjxrZXl3b3JkPipXZWlnaHQgR2Fpbjwva2V5d29yZD48L2tleXdvcmRzPjxkYXRlcz48
eWVhcj4yMDEzPC95ZWFyPjxwdWItZGF0ZXM+PGRhdGU+TWF5PC9kYXRlPjwvcHViLWRhdGVzPjwv
ZGF0ZXM+PGlzYm4+MTkzMC03MzlYIChFbGVjdHJvbmljKSYjeEQ7MTkzMC03MzgxIChMaW5raW5n
KTwvaXNibj48YWNjZXNzaW9uLW51bT4yMzc4NDg5MjwvYWNjZXNzaW9uLW51bT48dXJscz48cmVs
YXRlZC11cmxzPjx1cmw+aHR0cHM6Ly93d3cubmNiaS5ubG0ubmloLmdvdi9wdWJtZWQvMjM3ODQ4
OTI8L3VybD48L3JlbGF0ZWQtdXJscz48L3VybHM+PGVsZWN0cm9uaWMtcmVzb3VyY2UtbnVtPjEw
LjEwMDIvb2J5LjIwMTYzPC9lbGVjdHJvbmljLXJlc291cmNlLW51bT48L3JlY29yZD48L0NpdGU+
PENpdGU+PEF1dGhvcj5Qb2xsZXk8L0F1dGhvcj48WWVhcj4yMDAyPC9ZZWFyPjxSZWNOdW0+NzA2
PC9SZWNOdW0+PHJlY29yZD48cmVjLW51bWJlcj43MDY8L3JlYy1udW1iZXI+PGZvcmVpZ24ta2V5
cz48a2V5IGFwcD0iRU4iIGRiLWlkPSJleHZhc3JmeDJkdHJhb2VzYXN4cDJzenN4YTJkZjUwMjU5
MngiIHRpbWVzdGFtcD0iMTU0MDUzMDY3NCI+NzA2PC9rZXk+PC9mb3JlaWduLWtleXM+PHJlZi10
eXBlIG5hbWU9IkpvdXJuYWwgQXJ0aWNsZSI+MTc8L3JlZi10eXBlPjxjb250cmlidXRvcnM+PGF1
dGhvcnM+PGF1dGhvcj5Qb2xsZXksIEIuIEEuPC9hdXRob3I+PGF1dGhvcj5XaW5nLCBSLiBSLjwv
YXV0aG9yPjxhdXRob3I+U2ltcywgQy4gSi48L2F1dGhvcj48L2F1dGhvcnM+PC9jb250cmlidXRv
cnM+PGF1dGgtYWRkcmVzcz5Vbml2ZXJzaXR5IG9mIFBpdHRzYnVyZ2gsIFBpdHRzYnVyZ2gsIFBl
bm5zeWx2YW5pYSwgVVNBLjwvYXV0aC1hZGRyZXNzPjx0aXRsZXM+PHRpdGxlPlJhbmRvbWl6ZWQg
Y29udHJvbGxlZCB0cmlhbCB0byBwcmV2ZW50IGV4Y2Vzc2l2ZSB3ZWlnaHQgZ2FpbiBpbiBwcmVn
bmFudCB3b21lbjwvdGl0bGU+PHNlY29uZGFyeS10aXRsZT5JbnQgSiBPYmVzIFJlbGF0IE1ldGFi
IERpc29yZDwvc2Vjb25kYXJ5LXRpdGxlPjwvdGl0bGVzPjxwZXJpb2RpY2FsPjxmdWxsLXRpdGxl
PkludCBKIE9iZXMgUmVsYXQgTWV0YWIgRGlzb3JkPC9mdWxsLXRpdGxlPjwvcGVyaW9kaWNhbD48
cGFnZXM+MTQ5NC01MDI8L3BhZ2VzPjx2b2x1bWU+MjY8L3ZvbHVtZT48bnVtYmVyPjExPC9udW1i
ZXI+PGVkaXRpb24+MjAwMi8xMS8yMDwvZWRpdGlvbj48a2V5d29yZHM+PGtleXdvcmQ+QWR1bHQ8
L2tleXdvcmQ+PGtleXdvcmQ+RXhlcmNpc2UgVGhlcmFweS8qbWV0aG9kczwva2V5d29yZD48a2V5
d29yZD5GZW1hbGU8L2tleXdvcmQ+PGtleXdvcmQ+SGVhbHRoIEJlaGF2aW9yPC9rZXl3b3JkPjxr
ZXl3b3JkPkh1bWFuczwva2V5d29yZD48a2V5d29yZD5PYmVzaXR5LypwcmV2ZW50aW9uICZhbXA7
IGNvbnRyb2w8L2tleXdvcmQ+PGtleXdvcmQ+UG9zdG5hdGFsIENhcmUvbWV0aG9kczwva2V5d29y
ZD48a2V5d29yZD5QcmVnbmFuY3k8L2tleXdvcmQ+PGtleXdvcmQ+UHJlZ25hbmN5IENvbXBsaWNh
dGlvbnMvKnByZXZlbnRpb24gJmFtcDsgY29udHJvbDwva2V5d29yZD48a2V5d29yZD5QcmVnbmFu
Y3kgT3V0Y29tZTwva2V5d29yZD48a2V5d29yZD5QcmVuYXRhbCBDYXJlL21ldGhvZHM8L2tleXdv
cmQ+PGtleXdvcmQ+V2VpZ2h0IEdhaW48L2tleXdvcmQ+PC9rZXl3b3Jkcz48ZGF0ZXM+PHllYXI+
MjAwMjwveWVhcj48cHViLWRhdGVzPjxkYXRlPk5vdjwvZGF0ZT48L3B1Yi1kYXRlcz48L2RhdGVz
PjxhY2Nlc3Npb24tbnVtPjEyNDM5NjUyPC9hY2Nlc3Npb24tbnVtPjx1cmxzPjxyZWxhdGVkLXVy
bHM+PHVybD5odHRwczovL3d3dy5uY2JpLm5sbS5uaWguZ292L3B1Ym1lZC8xMjQzOTY1MjwvdXJs
PjwvcmVsYXRlZC11cmxzPjwvdXJscz48ZWxlY3Ryb25pYy1yZXNvdXJjZS1udW0+MTAuMTAzOC9z
ai5pam8uMDgwMjEzMDwvZWxlY3Ryb25pYy1yZXNvdXJjZS1udW0+PC9yZWNvcmQ+PC9DaXRlPjxD
aXRlPjxBdXRob3I+Um9ubmJlcmc8L0F1dGhvcj48WWVhcj4yMDE1PC9ZZWFyPjxSZWNOdW0+NzU0
PC9SZWNOdW0+PHJlY29yZD48cmVjLW51bWJlcj43NTQ8L3JlYy1udW1iZXI+PGZvcmVpZ24ta2V5
cz48a2V5IGFwcD0iRU4iIGRiLWlkPSJleHZhc3JmeDJkdHJhb2VzYXN4cDJzenN4YTJkZjUwMjU5
MngiIHRpbWVzdGFtcD0iMTU0MTQ2Nzk1MiI+NzU0PC9rZXk+PGtleSBhcHA9IkVOV2ViIiBkYi1p
ZD0iIj4wPC9rZXk+PC9mb3JlaWduLWtleXM+PHJlZi10eXBlIG5hbWU9IkpvdXJuYWwgQXJ0aWNs
ZSI+MTc8L3JlZi10eXBlPjxjb250cmlidXRvcnM+PGF1dGhvcnM+PGF1dGhvcj5Sb25uYmVyZywg
QS4gSy48L2F1dGhvcj48YXV0aG9yPk9zdGx1bmQsIEkuPC9hdXRob3I+PGF1dGhvcj5GYWRsLCBI
LjwvYXV0aG9yPjxhdXRob3I+R290dHZhbGwsIFQuPC9hdXRob3I+PGF1dGhvcj5OaWxzc29uLCBL
LjwvYXV0aG9yPjwvYXV0aG9ycz48L2NvbnRyaWJ1dG9ycz48dGl0bGVzPjx0aXRsZT5JbnRlcnZl
bnRpb24gZHVyaW5nIHByZWduYW5jeSB0byByZWR1Y2UgZXhjZXNzaXZlIGdlc3RhdGlvbmFsIHdl
aWdodCBnYWluLWEgcmFuZG9taXNlZCBjb250cm9sbGVkIHRyaWFsPC90aXRsZT48c2Vjb25kYXJ5
LXRpdGxlPkJKT0c6IEFuIEludGVybmF0aW9uYWwgSm91cm5hbCBvZiBPYnN0ZXRyaWNzICZhbXA7
IEd5bmFlY29sb2d5PC9zZWNvbmRhcnktdGl0bGU+PC90aXRsZXM+PHBlcmlvZGljYWw+PGZ1bGwt
dGl0bGU+QkpPRzogQW4gSW50ZXJuYXRpb25hbCBKb3VybmFsIG9mIE9ic3RldHJpY3MgJmFtcDsg
R3luYWVjb2xvZ3k8L2Z1bGwtdGl0bGU+PC9wZXJpb2RpY2FsPjxwYWdlcz41MzctNTQ0PC9wYWdl
cz48dm9sdW1lPjEyMjwvdm9sdW1lPjxudW1iZXI+NDwvbnVtYmVyPjxzZWN0aW9uPjUzNzwvc2Vj
dGlvbj48ZGF0ZXM+PHllYXI+MjAxNTwveWVhcj48L2RhdGVzPjxpc2JuPjE0NzAwMzI4PC9pc2Ju
Pjx1cmxzPjwvdXJscz48ZWxlY3Ryb25pYy1yZXNvdXJjZS1udW0+MTAuMTExMS8xNDcxLTA1Mjgu
MTMxMzE8L2VsZWN0cm9uaWMtcmVzb3VyY2UtbnVtPjwvcmVjb3JkPjwvQ2l0ZT48Q2l0ZT48QXV0
aG9yPkRvZGQ8L0F1dGhvcj48WWVhcj4yMDE0PC9ZZWFyPjxSZWNOdW0+NzE4PC9SZWNOdW0+PHJl
Y29yZD48cmVjLW51bWJlcj43MTg8L3JlYy1udW1iZXI+PGZvcmVpZ24ta2V5cz48a2V5IGFwcD0i
RU4iIGRiLWlkPSJleHZhc3JmeDJkdHJhb2VzYXN4cDJzenN4YTJkZjUwMjU5MngiIHRpbWVzdGFt
cD0iMTU0MTQ2NDA4OCI+NzE4PC9rZXk+PC9mb3JlaWduLWtleXM+PHJlZi10eXBlIG5hbWU9Ikpv
dXJuYWwgQXJ0aWNsZSI+MTc8L3JlZi10eXBlPjxjb250cmlidXRvcnM+PGF1dGhvcnM+PGF1dGhv
cj5Eb2RkLCBKLiBNLjwvYXV0aG9yPjxhdXRob3I+VHVybmJ1bGwsIEQuPC9hdXRob3I+PGF1dGhv
cj5NY1BoZWUsIEEuIEouPC9hdXRob3I+PGF1dGhvcj5EZXVzc2VuLCBBLiBSLjwvYXV0aG9yPjxh
dXRob3I+R3JpdmVsbCwgUi4gTS48L2F1dGhvcj48YXV0aG9yPlllbGxhbmQsIEwuIE4uPC9hdXRo
b3I+PGF1dGhvcj5Dcm93dGhlciwgQy4gQS48L2F1dGhvcj48YXV0aG9yPldpdHRlcnQsIEcuPC9h
dXRob3I+PGF1dGhvcj5Pd2VucywgSi4gQS48L2F1dGhvcj48YXV0aG9yPlJvYmluc29uLCBKLiBT
LjwvYXV0aG9yPjxhdXRob3I+TGltaXQgUmFuZG9taXNlZCBUcmlhbCBHcm91cDwvYXV0aG9yPjwv
YXV0aG9ycz48L2NvbnRyaWJ1dG9ycz48YXV0aC1hZGRyZXNzPlJvYmluc29uIEluc3RpdHV0ZSBh
bmQgU2Nob29sIG9mIFBhZWRpYXRyaWNzIGFuZCBSZXByb2R1Y3RpdmUgSGVhbHRoLCBVbml2ZXJz
aXR5IG9mIEFkZWxhaWRlLCA3MiBLaW5nIFdpbGxpYW0gUm9hZCwgTm9ydGggQWRlbGFpZGUsIFNv
dXRoIEF1c3RyYWxpYSwgQXVzdHJhbGlhIDUwMDYuPC9hdXRoLWFkZHJlc3M+PHRpdGxlcz48dGl0
bGU+QW50ZW5hdGFsIGxpZmVzdHlsZSBhZHZpY2UgZm9yIHdvbWVuIHdobyBhcmUgb3ZlcndlaWdo
dCBvciBvYmVzZTogTElNSVQgcmFuZG9taXNlZCB0cmlhbDwvdGl0bGU+PHNlY29uZGFyeS10aXRs
ZT5CTUo8L3NlY29uZGFyeS10aXRsZT48L3RpdGxlcz48cGVyaW9kaWNhbD48ZnVsbC10aXRsZT5C
TUo8L2Z1bGwtdGl0bGU+PC9wZXJpb2RpY2FsPjxwYWdlcz5nMTI4NTwvcGFnZXM+PHZvbHVtZT4z
NDg8L3ZvbHVtZT48ZWRpdGlvbj4yMDE0LzAyLzEyPC9lZGl0aW9uPjxrZXl3b3Jkcz48a2V5d29y
ZD5BZHVsdDwva2V5d29yZD48a2V5d29yZD5CaXJ0aCBXZWlnaHQ8L2tleXdvcmQ+PGtleXdvcmQ+
RGlhYmV0ZXMsIEdlc3RhdGlvbmFsL3ByZXZlbnRpb24gJmFtcDsgY29udHJvbDwva2V5d29yZD48
a2V5d29yZD5GZW1hbGU8L2tleXdvcmQ+PGtleXdvcmQ+RmV0YWwgTWFjcm9zb21pYS9wcmV2ZW50
aW9uICZhbXA7IGNvbnRyb2w8L2tleXdvcmQ+PGtleXdvcmQ+R2VzdGF0aW9uYWwgQWdlPC9rZXl3
b3JkPjxrZXl3b3JkPipIZWFsdGggUHJvbW90aW9uL21ldGhvZHM8L2tleXdvcmQ+PGtleXdvcmQ+
SHVtYW5zPC9rZXl3b3JkPjxrZXl3b3JkPkh5cGVydGVuc2lvbi9jb21wbGljYXRpb25zL3ByZXZl
bnRpb24gJmFtcDsgY29udHJvbDwva2V5d29yZD48a2V5d29yZD5JbmZhbnQsIE5ld2Jvcm48L2tl
eXdvcmQ+PGtleXdvcmQ+TWFsZTwva2V5d29yZD48a2V5d29yZD5PYmVzaXR5Lypjb21wbGljYXRp
b25zL3ByZXZlbnRpb24gJmFtcDsgY29udHJvbDwva2V5d29yZD48a2V5d29yZD5PdmVyd2VpZ2h0
Lypjb21wbGljYXRpb25zL3ByZXZlbnRpb24gJmFtcDsgY29udHJvbDwva2V5d29yZD48a2V5d29y
ZD5QcmUtRWNsYW1wc2lhL3ByZXZlbnRpb24gJmFtcDsgY29udHJvbDwva2V5d29yZD48a2V5d29y
ZD5QcmVnbmFuY3k8L2tleXdvcmQ+PGtleXdvcmQ+UHJlZ25hbmN5IENvbXBsaWNhdGlvbnMvKnBy
ZXZlbnRpb24gJmFtcDsgY29udHJvbDwva2V5d29yZD48a2V5d29yZD5QcmVnbmFuY3kgT3V0Y29t
ZS9lcGlkZW1pb2xvZ3k8L2tleXdvcmQ+PGtleXdvcmQ+UmlzayBSZWR1Y3Rpb24gQmVoYXZpb3I8
L2tleXdvcmQ+PGtleXdvcmQ+V2VpZ2h0IFJlZHVjdGlvbiBQcm9ncmFtcy9tZXRob2RzPC9rZXl3
b3JkPjwva2V5d29yZHM+PGRhdGVzPjx5ZWFyPjIwMTQ8L3llYXI+PHB1Yi1kYXRlcz48ZGF0ZT5G
ZWIgMTA8L2RhdGU+PC9wdWItZGF0ZXM+PC9kYXRlcz48aXNibj4xNzU2LTE4MzMgKEVsZWN0cm9u
aWMpJiN4RDswOTU5LTgxMzggKExpbmtpbmcpPC9pc2JuPjxhY2Nlc3Npb24tbnVtPjI0NTEzNDQy
PC9hY2Nlc3Npb24tbnVtPjx1cmxzPjxyZWxhdGVkLXVybHM+PHVybD5odHRwczovL3d3dy5uY2Jp
Lm5sbS5uaWguZ292L3B1Ym1lZC8yNDUxMzQ0MjwvdXJsPjwvcmVsYXRlZC11cmxzPjwvdXJscz48
Y3VzdG9tMj5QTUMzOTE5MTc5PC9jdXN0b20yPjxlbGVjdHJvbmljLXJlc291cmNlLW51bT4xMC4x
MTM2L2Jtai5nMTI4NTwvZWxlY3Ryb25pYy1yZXNvdXJjZS1udW0+PC9yZWNvcmQ+PC9DaXRlPjxD
aXRlPjxBdXRob3I+R2FsbGFnaGVyPC9BdXRob3I+PFllYXI+MjAxODwvWWVhcj48UmVjTnVtPjc0
NDwvUmVjTnVtPjxyZWNvcmQ+PHJlYy1udW1iZXI+NzQ0PC9yZWMtbnVtYmVyPjxmb3JlaWduLWtl
eXM+PGtleSBhcHA9IkVOIiBkYi1pZD0iZXh2YXNyZngyZHRyYW9lc2FzeHAyc3pzeGEyZGY1MDI1
OTJ4IiB0aW1lc3RhbXA9IjE1NDE0Njc4NzkiPjc0NDwva2V5PjxrZXkgYXBwPSJFTldlYiIgZGIt
aWQ9IiI+MDwva2V5PjwvZm9yZWlnbi1rZXlzPjxyZWYtdHlwZSBuYW1lPSJKb3VybmFsIEFydGlj
bGUiPjE3PC9yZWYtdHlwZT48Y29udHJpYnV0b3JzPjxhdXRob3JzPjxhdXRob3I+R2FsbGFnaGVy
LCBEeW1wbmE8L2F1dGhvcj48YXV0aG9yPlJvc2VubiwgQmFyYWs8L2F1dGhvcj48YXV0aG9yPlRv
cm8tUmFtb3MsIFRhdGlhbmE8L2F1dGhvcj48YXV0aG9yPlBhbGV5LCBDaGFybGVzPC9hdXRob3I+
PGF1dGhvcj5HaWR3YW5pLCBTb25pYTwvYXV0aG9yPjxhdXRob3I+SG9yb3dpdHosIE1pY2hlbGxl
PC9hdXRob3I+PGF1dGhvcj5DcmFuZSwgSmFuZXQ8L2F1dGhvcj48YXV0aG9yPkxpbiwgU3VzYW48
L2F1dGhvcj48YXV0aG9yPlRob3JudG9uLCBKb2huIEMuPC9hdXRob3I+PGF1dGhvcj5QaS1TdW55
ZXIsIFhhdmllcjwvYXV0aG9yPjwvYXV0aG9ycz48L2NvbnRyaWJ1dG9ycz48dGl0bGVzPjx0aXRs
ZT5HcmVhdGVyIE5lb25hdGFsIEZhdC1GcmVlIE1hc3MgYW5kIFNpbWlsYXIgRmF0IE1hc3MgRm9s
bG93aW5nIGEgUmFuZG9taXplZCBUcmlhbCB0byBDb250cm9sIEV4Y2VzcyBHZXN0YXRpb25hbCBX
ZWlnaHQgR2FpbjwvdGl0bGU+PHNlY29uZGFyeS10aXRsZT5PYmVzaXR5PC9zZWNvbmRhcnktdGl0
bGU+PC90aXRsZXM+PHBlcmlvZGljYWw+PGZ1bGwtdGl0bGU+T2Jlc2l0eTwvZnVsbC10aXRsZT48
L3BlcmlvZGljYWw+PHBhZ2VzPjU3OC01ODc8L3BhZ2VzPjx2b2x1bWU+MjY8L3ZvbHVtZT48bnVt
YmVyPjM8L251bWJlcj48c2VjdGlvbj41Nzg8L3NlY3Rpb24+PGRhdGVzPjx5ZWFyPjIwMTg8L3ll
YXI+PC9kYXRlcz48aXNibj4xOTMwNzM4MTwvaXNibj48dXJscz48L3VybHM+PGVsZWN0cm9uaWMt
cmVzb3VyY2UtbnVtPjEwLjEwMDIvb2J5LjIyMDc5PC9lbGVjdHJvbmljLXJlc291cmNlLW51bT48
L3JlY29yZD48L0NpdGU+PENpdGU+PEF1dGhvcj5WYW4gSG9ybjwvQXV0aG9yPjxZZWFyPjIwMTg8
L1llYXI+PFJlY051bT4xMzc2PC9SZWNOdW0+PHJlY29yZD48cmVjLW51bWJlcj4xMzc2PC9yZWMt
bnVtYmVyPjxmb3JlaWduLWtleXM+PGtleSBhcHA9IkVOIiBkYi1pZD0iZXh2YXNyZngyZHRyYW9l
c2FzeHAyc3pzeGEyZGY1MDI1OTJ4IiB0aW1lc3RhbXA9IjE1NjcwMzU5ODciPjEzNzY8L2tleT48
a2V5IGFwcD0iRU5XZWIiIGRiLWlkPSIiPjA8L2tleT48L2ZvcmVpZ24ta2V5cz48cmVmLXR5cGUg
bmFtZT0iSm91cm5hbCBBcnRpY2xlIj4xNzwvcmVmLXR5cGU+PGNvbnRyaWJ1dG9ycz48YXV0aG9y
cz48YXV0aG9yPlZhbiBIb3JuLCBMLjwvYXV0aG9yPjxhdXRob3I+UGVhY2VtYW4sIEEuPC9hdXRo
b3I+PGF1dGhvcj5Ld2FzbnksIE0uPC9hdXRob3I+PGF1dGhvcj5WaW5jZW50LCBFLjwvYXV0aG9y
PjxhdXRob3I+Rm91Z2h0LCBBLjwvYXV0aG9yPjxhdXRob3I+Sm9zZWZzb24sIEouPC9hdXRob3I+
PGF1dGhvcj5TcHJpbmcsIEIuPC9hdXRob3I+PGF1dGhvcj5OZWZmLCBMLiBNLjwvYXV0aG9yPjxh
dXRob3I+R2VybmhvZmVyLCBOLjwvYXV0aG9yPjwvYXV0aG9ycz48L2NvbnRyaWJ1dG9ycz48YXV0
aC1hZGRyZXNzPkRlcGFydG1lbnQgb2YgUHJldmVudGl2ZSBNZWRpY2luZSwgTm9ydGh3ZXN0ZXJu
IFVuaXZlcnNpdHkgRmVpbmJlcmcgU2Nob29sIG9mIE1lZGljaW5lLCBDaGljYWdvLCBJbGxpbm9p
cy4gRWxlY3Ryb25pYyBhZGRyZXNzOiBsdmFuaG9ybkBub3J0aHdlc3Rlcm4uZWR1LiYjeEQ7RGVw
YXJ0bWVudCBvZiBPYnN0ZXRyaWNzIGFuZCBHeW5lY29sb2d5LCBOb3J0aHdlc3Rlcm4gVW5pdmVy
c2l0eSBGZWluYmVyZyBTY2hvb2wgb2YgTWVkaWNpbmUsIENoaWNhZ28sIElsbGlub2lzLiYjeEQ7
RGVwYXJ0bWVudCBvZiBQcmV2ZW50aXZlIE1lZGljaW5lLCBOb3J0aHdlc3Rlcm4gVW5pdmVyc2l0
eSBGZWluYmVyZyBTY2hvb2wgb2YgTWVkaWNpbmUsIENoaWNhZ28sIElsbGlub2lzLiYjeEQ7RGVw
YXJ0bWVudCBvZiBQcmV2ZW50aXZlIE1lZGljaW5lLCBOb3J0aHdlc3Rlcm4gVW5pdmVyc2l0eSBG
ZWluYmVyZyBTY2hvb2wgb2YgTWVkaWNpbmUsIENoaWNhZ28sIElsbGlub2lzOyBBbm4gYW5kIFJv
YmVydCBILiBMdXJpZSBDaGlsZHJlbiZhcG9zO3MgSG9zcGl0YWwgb2YgQ2hpY2FnbywgQ2hpY2Fn
bywgSWxsaW5vaXMuJiN4RDtEZXBhcnRtZW50IG9mIE1lZGljaW5lLCBOb3J0aHdlc3Rlcm4gVW5p
dmVyc2l0eSBGZWluYmVyZyBTY2hvb2wgb2YgTWVkaWNpbmUsIENoaWNhZ28sIElsbGlub2lzLjwv
YXV0aC1hZGRyZXNzPjx0aXRsZXM+PHRpdGxlPkRpZXRhcnkgQXBwcm9hY2hlcyB0byBTdG9wIEh5
cGVydGVuc2lvbiBEaWV0IGFuZCBBY3Rpdml0eSB0byBMaW1pdCBHZXN0YXRpb25hbCBXZWlnaHQ6
IE1hdGVybmFsIE9mZnNwcmluZyBNZXRhYm9saWNzIEZhbWlseSBJbnRlcnZlbnRpb24gVHJpYWws
IGEgVGVjaG5vbG9neSBFbmhhbmNlZCBSYW5kb21pemVkIFRyaWFsPC90aXRsZT48c2Vjb25kYXJ5
LXRpdGxlPkFtIEogUHJldiBNZWQ8L3NlY29uZGFyeS10aXRsZT48L3RpdGxlcz48cGVyaW9kaWNh
bD48ZnVsbC10aXRsZT5BbSBKIFByZXYgTWVkPC9mdWxsLXRpdGxlPjwvcGVyaW9kaWNhbD48cGFn
ZXM+NjAzLTYxNDwvcGFnZXM+PHZvbHVtZT41NTwvdm9sdW1lPjxudW1iZXI+NTwvbnVtYmVyPjxl
ZGl0aW9uPjIwMTgvMDkvMjk8L2VkaXRpb24+PGRhdGVzPjx5ZWFyPjIwMTg8L3llYXI+PHB1Yi1k
YXRlcz48ZGF0ZT5Ob3Y8L2RhdGU+PC9wdWItZGF0ZXM+PC9kYXRlcz48aXNibj4xODczLTI2MDcg
KEVsZWN0cm9uaWMpJiN4RDswNzQ5LTM3OTcgKExpbmtpbmcpPC9pc2JuPjxhY2Nlc3Npb24tbnVt
PjMwMjYyMTQ4PC9hY2Nlc3Npb24tbnVtPjx1cmxzPjxyZWxhdGVkLXVybHM+PHVybD5odHRwczov
L3d3dy5uY2JpLm5sbS5uaWguZ292L3B1Ym1lZC8zMDI2MjE0ODwvdXJsPjwvcmVsYXRlZC11cmxz
PjwvdXJscz48ZWxlY3Ryb25pYy1yZXNvdXJjZS1udW0+MTAuMTAxNi9qLmFtZXByZS4yMDE4LjA2
LjAxNTwvZWxlY3Ryb25pYy1yZXNvdXJjZS1udW0+PC9yZWNvcmQ+PC9DaXRlPjxDaXRlPjxBdXRo
b3I+UGhlbGFuPC9BdXRob3I+PFllYXI+MjAxODwvWWVhcj48UmVjTnVtPjEzODY8L1JlY051bT48
cmVjb3JkPjxyZWMtbnVtYmVyPjEzODY8L3JlYy1udW1iZXI+PGZvcmVpZ24ta2V5cz48a2V5IGFw
cD0iRU4iIGRiLWlkPSJleHZhc3JmeDJkdHJhb2VzYXN4cDJzenN4YTJkZjUwMjU5MngiIHRpbWVz
dGFtcD0iMTU2NzM4MjQ4NSI+MTM4Njwva2V5PjwvZm9yZWlnbi1rZXlzPjxyZWYtdHlwZSBuYW1l
PSJKb3VybmFsIEFydGljbGUiPjE3PC9yZWYtdHlwZT48Y29udHJpYnV0b3JzPjxhdXRob3JzPjxh
dXRob3I+UGhlbGFuLCBTLjwvYXV0aG9yPjxhdXRob3I+V2luZywgUi4gUi48L2F1dGhvcj48YXV0
aG9yPkJyYW5uZW4sIEEuPC9hdXRob3I+PGF1dGhvcj5NY0h1Z2gsIEEuPC9hdXRob3I+PGF1dGhv
cj5IYWdvYmlhbiwgVC4gQS48L2F1dGhvcj48YXV0aG9yPlNjaGFmZm5lciwgQS48L2F1dGhvcj48
YXV0aG9yPkplbGFsaWFuLCBFLjwvYXV0aG9yPjxhdXRob3I+SGFydCwgQy4gTi48L2F1dGhvcj48
YXV0aG9yPlNjaG9sbCwgVC4gTy48L2F1dGhvcj48YXV0aG9yPk11bm96LUNocmlzdGlhbiwgSy48
L2F1dGhvcj48YXV0aG9yPllpbiwgRS48L2F1dGhvcj48YXV0aG9yPlBoaXBwcywgTS4gRy48L2F1
dGhvcj48YXV0aG9yPktlYWRsZSwgUy48L2F1dGhvcj48YXV0aG9yPkFicmFtcywgQi48L2F1dGhv
cj48L2F1dGhvcnM+PC9jb250cmlidXRvcnM+PGF1dGgtYWRkcmVzcz5EZXBhcnRtZW50cyBvZiBL
aW5lc2lvbG9neSwgU3RhdGlzdGljcywgYW5kIE1vZGVybiBMYW5ndWFnZXMsIENhbGlmb3JuaWEg
UG9seXRlY2huaWMgU3RhdGUgVW5pdmVyc2l0eSwgU2FuIEx1aXMgT2Jpc3BvLCBDQS4mI3hEO0Rl
cGFydG1lbnQgb2YgUHN5Y2hpYXRyeSBhbmQgSHVtYW4gQmVoYXZpb3IsIFdhcnJlbiBBbHBlcnQg
TWVkaWNhbCBTY2hvb2wgYXQgQnJvd24gVW5pdmVyc2l0eSwgUHJvdmlkZW5jZSwgUkkuJiN4RDtE
ZXBhcnRtZW50cyBvZiBTdGF0aXN0aWNzLCBhbmQgTW9kZXJuIExhbmd1YWdlcywgQ2FsaWZvcm5p
YSBQb2x5dGVjaG5pYyBTdGF0ZSBVbml2ZXJzaXR5LCBTYW4gTHVpcyBPYmlzcG8sIENBLiYjeEQ7
RGVwYXJ0bWVudCBvZiBTb2NpYWwgYW5kIEJlaGF2aW9yYWwgU2NpZW5jZXMsIFRlbXBsZSBVbml2
ZXJzaXR5IENlbnRlciBmb3IgT2Jlc2l0eSBSZXNlYXJjaCBhbmQgRWR1Y2F0aW9uLCBQaGlsYWRl
bHBoaWEsIFBBLiYjeEQ7RGVwYXJ0bWVudCBvZiBPYnN0ZXRyaWNzIGFuZCBHeW5lY29sb2d5LCBV
bml2ZXJzaXR5IG9mIE1lZGljaW5lIGFuZCBEZW50aXN0cnkgb2YgTmV3IEplcnNleSAobm93IFJv
d2FuKSwgR2xhc3Nib3JvLCBOSi4mI3hEO0RlcGFydG1lbnRzIG9mIE1vZGVybiBMYW5ndWFnZXMs
IENhbGlmb3JuaWEgUG9seXRlY2huaWMgU3RhdGUgVW5pdmVyc2l0eSwgU2FuIEx1aXMgT2Jpc3Bv
LCBDQS4mI3hEO1BhY2lmaWMgQ2VudHJhbCBDb2FzdCBIZWFsdGggQ2VudGVycywgU2FudGEgTWFy
aWEgV29tZW4mYXBvcztzIEhlYWx0aCwgU2FudGEgTWFyaWEsIENBLiYjeEQ7RGVwYXJ0bWVudCBv
ZiBPYnN0ZXRyaWNzIGFuZCBHeW5lY29sb2d5LCBXYXJyZW4gQWxwZXJ0IE1lZGljYWwgU2Nob29s
IG9mIEJyb3duIFVuaXZlcnNpdHkgYW5kIFdvbWVuIGFuZCBJbmZhbnRzIEhvc3BpdGFsLCBQcm92
aWRlbmNlLCBSSS4mI3hEO0RpdmlzaW9uIG9mIEVwaWRlbWlvbG9neSwgVW5pdmVyc2l0eSBvZiBD
YWxpZm9ybmlhIGF0IEJlcmtlbGV5IFNjaG9vbCBvZiBQdWJsaWMgSGVhbHRoLCBCZXJrZWxleSwg
Q0EuPC9hdXRoLWFkZHJlc3M+PHRpdGxlcz48dGl0bGU+UmFuZG9taXplZCBjb250cm9sbGVkIGNs
aW5pY2FsIHRyaWFsIG9mIGJlaGF2aW9yYWwgbGlmZXN0eWxlIGludGVydmVudGlvbiB3aXRoIHBh
cnRpYWwgbWVhbCByZXBsYWNlbWVudCB0byByZWR1Y2UgZXhjZXNzaXZlIGdlc3RhdGlvbmFsIHdl
aWdodCBnYWluPC90aXRsZT48c2Vjb25kYXJ5LXRpdGxlPkFtIEogQ2xpbiBOdXRyPC9zZWNvbmRh
cnktdGl0bGU+PC90aXRsZXM+PHBlcmlvZGljYWw+PGZ1bGwtdGl0bGU+QW0gSiBDbGluIE51dHI8
L2Z1bGwtdGl0bGU+PC9wZXJpb2RpY2FsPjxwYWdlcz4xODMtMTk0PC9wYWdlcz48dm9sdW1lPjEw
Nzwvdm9sdW1lPjxudW1iZXI+MjwvbnVtYmVyPjxlZGl0aW9uPjIwMTgvMDMvMTM8L2VkaXRpb24+
PGtleXdvcmRzPjxrZXl3b3JkPkFkdWx0PC9rZXl3b3JkPjxrZXl3b3JkPkJvZHkgTWFzcyBJbmRl
eDwva2V5d29yZD48a2V5d29yZD5DYWxpZm9ybmlhPC9rZXl3b3JkPjxrZXl3b3JkPkRpZXQ8L2tl
eXdvcmQ+PGtleXdvcmQ+RXRobmljIEdyb3Vwczwva2V5d29yZD48a2V5d29yZD5FeGVyY2lzZTwv
a2V5d29yZD48a2V5d29yZD5GZW1hbGU8L2tleXdvcmQ+PGtleXdvcmQ+Kkdlc3RhdGlvbmFsIFdl
aWdodCBHYWluPC9rZXl3b3JkPjxrZXl3b3JkPipIZWFsdGggQmVoYXZpb3I8L2tleXdvcmQ+PGtl
eXdvcmQ+SHVtYW5zPC9rZXl3b3JkPjxrZXl3b3JkPkluY2lkZW5jZTwva2V5d29yZD48a2V5d29y
ZD4qTGlmZSBTdHlsZTwva2V5d29yZD48a2V5d29yZD5NZWFsczwva2V5d29yZD48a2V5d29yZD5O
dXRyaXRpb24gQXNzZXNzbWVudDwva2V5d29yZD48a2V5d29yZD5PYmVzaXR5LypwcmV2ZW50aW9u
ICZhbXA7IGNvbnRyb2w8L2tleXdvcmQ+PGtleXdvcmQ+T3ZlcndlaWdodC8qcHJldmVudGlvbiAm
YW1wOyBjb250cm9sPC9rZXl3b3JkPjxrZXl3b3JkPlByZWduYW5jeTwva2V5d29yZD48a2V5d29y
ZD5QcmVnbmFuY3kgQ29tcGxpY2F0aW9ucy8qcHJldmVudGlvbiAmYW1wOyBjb250cm9sPC9rZXl3
b3JkPjxrZXl3b3JkPlByZWduYW5jeSBPdXRjb21lPC9rZXl3b3JkPjxrZXl3b3JkPlJpc2sgRmFj
dG9yczwva2V5d29yZD48a2V5d29yZD5Zb3VuZyBBZHVsdDwva2V5d29yZD48L2tleXdvcmRzPjxk
YXRlcz48eWVhcj4yMDE4PC95ZWFyPjxwdWItZGF0ZXM+PGRhdGU+RmViIDE8L2RhdGU+PC9wdWIt
ZGF0ZXM+PC9kYXRlcz48aXNibj4xOTM4LTMyMDcgKEVsZWN0cm9uaWMpJiN4RDswMDAyLTkxNjUg
KExpbmtpbmcpPC9pc2JuPjxhY2Nlc3Npb24tbnVtPjI5NTI5MTU3PC9hY2Nlc3Npb24tbnVtPjx1
cmxzPjxyZWxhdGVkLXVybHM+PHVybD5odHRwczovL3d3dy5uY2JpLm5sbS5uaWguZ292L3B1Ym1l
ZC8yOTUyOTE1NzwvdXJsPjwvcmVsYXRlZC11cmxzPjwvdXJscz48Y3VzdG9tMj5QTUM2NDU1MDMw
PC9jdXN0b20yPjxlbGVjdHJvbmljLXJlc291cmNlLW51bT4xMC4xMDkzL2FqY24vbnF4MDQzPC9l
bGVjdHJvbmljLXJlc291cmNlLW51bT48L3JlY29yZD48L0NpdGU+PENpdGU+PEF1dGhvcj5Eb2Rk
PC9BdXRob3I+PFllYXI+MjAxOTwvWWVhcj48UmVjTnVtPjE5MjI8L1JlY051bT48cmVjb3JkPjxy
ZWMtbnVtYmVyPjE5MjI8L3JlYy1udW1iZXI+PGZvcmVpZ24ta2V5cz48a2V5IGFwcD0iRU4iIGRi
LWlkPSJleHZhc3JmeDJkdHJhb2VzYXN4cDJzenN4YTJkZjUwMjU5MngiIHRpbWVzdGFtcD0iMTU4
ODU2MDM2OCI+MTkyMjwva2V5PjxrZXkgYXBwPSJFTldlYiIgZGItaWQ9IiI+MDwva2V5PjwvZm9y
ZWlnbi1rZXlzPjxyZWYtdHlwZSBuYW1lPSJKb3VybmFsIEFydGljbGUiPjE3PC9yZWYtdHlwZT48
Y29udHJpYnV0b3JzPjxhdXRob3JzPjxhdXRob3I+RG9kZCwgSi4gTS48L2F1dGhvcj48YXV0aG9y
PkRldXNzZW4sIEEuIFIuPC9hdXRob3I+PGF1dGhvcj5Mb3Vpc2UsIEouPC9hdXRob3I+PC9hdXRo
b3JzPjwvY29udHJpYnV0b3JzPjxhdXRoLWFkZHJlc3M+RGlzY2lwbGluZSBvZiBPYnN0ZXRyaWNz
ICZhbXA7IEd5bmFlY29sb2d5LCBhbmQgUm9iaW5zb24gUmVzZWFyY2ggSW5zdGl0dXRlLCBUaGUg
VW5pdmVyc2l0eSBvZiBBZGVsYWlkZSwgQWRlbGFpZGUsIFNBIDUwMDYsIEF1c3RyYWxpYS4mI3hE
O0RlcGFydG1lbnQgb2YgUGVyaW5hdGFsIE1lZGljaW5lIFdvbWVuJmFwb3M7cyBhbmQgQ2hpbGRy
ZW4mYXBvcztzIEhvc3BpdGFsLCBOb3J0aCBBZGVsYWlkZSwgQWRlbGFpZGUsIFNBIDUwMDYsIEF1
c3RyYWxpYS48L2F1dGgtYWRkcmVzcz48dGl0bGVzPjx0aXRsZT5BIHJhbmRvbWlzZWQgdHJpYWwg
dG8gb3B0aW1pc2UgZ2VzdGF0aW9uYWwgd2VpZ2h0IGdhaW4gYW5kIGltcHJvdmUgbWF0ZXJuYWwg
YW5kIGluZmFudCBoZWFsdGggb3V0Y29tZXMgdGhyb3VnaCBhbnRlbmF0YWwgZGlldGFyeSwgbGlm
ZXN0eWxlIGFuZCBleGVyY2lzZSBhZHZpY2U6IFRoZSBPUFRJTUlTRSByYW5kb21pc2VkIHRyaWFs
PC90aXRsZT48c2Vjb25kYXJ5LXRpdGxlPk51dHJpZW50czwvc2Vjb25kYXJ5LXRpdGxlPjwvdGl0
bGVzPjxwZXJpb2RpY2FsPjxmdWxsLXRpdGxlPk51dHJpZW50czwvZnVsbC10aXRsZT48L3Blcmlv
ZGljYWw+PHZvbHVtZT4xMTwvdm9sdW1lPjxudW1iZXI+MTI8L251bWJlcj48ZWRpdGlvbj4yMDE5
LzEyLzA4PC9lZGl0aW9uPjxrZXl3b3Jkcz48a2V5d29yZD5kaWV0YXJ5IGFuZCBsaWZlc3R5bGUg
aW50ZXJ2ZW50aW9uPC9rZXl3b3JkPjxrZXl3b3JkPmdlc3RhdGlvbmFsIHdlaWdodCBnYWluPC9r
ZXl3b3JkPjxrZXl3b3JkPnJhbmRvbWlzZWQgY29udHJvbGxlZCB0cmlhbDwva2V5d29yZD48L2tl
eXdvcmRzPjxkYXRlcz48eWVhcj4yMDE5PC95ZWFyPjxwdWItZGF0ZXM+PGRhdGU+RGVjIDI8L2Rh
dGU+PC9wdWItZGF0ZXM+PC9kYXRlcz48aXNibj4yMDcyLTY2NDMgKEVsZWN0cm9uaWMpJiN4RDsy
MDcyLTY2NDMgKExpbmtpbmcpPC9pc2JuPjxhY2Nlc3Npb24tbnVtPjMxODEwMjE3PC9hY2Nlc3Np
b24tbnVtPjx1cmxzPjxyZWxhdGVkLXVybHM+PHVybD5odHRwczovL3d3dy5uY2JpLm5sbS5uaWgu
Z292L3B1Ym1lZC8zMTgxMDIxNzwvdXJsPjwvcmVsYXRlZC11cmxzPjwvdXJscz48Y3VzdG9tMj5Q
TUM2OTQ5OTMxPC9jdXN0b20yPjxlbGVjdHJvbmljLXJlc291cmNlLW51bT4xMC4zMzkwL251MTEx
MjI5MTE8L2VsZWN0cm9uaWMtcmVzb3VyY2UtbnVtPjwvcmVjb3JkPjwvQ2l0ZT48Q2l0ZT48QXV0
aG9yPkJ1Y2tpbmdoYW0tU2NodXR0PC9BdXRob3I+PFllYXI+MjAxOTwvWWVhcj48UmVjTnVtPjE5
MjY8L1JlY051bT48cmVjb3JkPjxyZWMtbnVtYmVyPjE5MjY8L3JlYy1udW1iZXI+PGZvcmVpZ24t
a2V5cz48a2V5IGFwcD0iRU4iIGRiLWlkPSJleHZhc3JmeDJkdHJhb2VzYXN4cDJzenN4YTJkZjUw
MjU5MngiIHRpbWVzdGFtcD0iMTU4ODU3MDYyNSI+MTkyNjwva2V5PjwvZm9yZWlnbi1rZXlzPjxy
ZWYtdHlwZSBuYW1lPSJKb3VybmFsIEFydGljbGUiPjE3PC9yZWYtdHlwZT48Y29udHJpYnV0b3Jz
PjxhdXRob3JzPjxhdXRob3I+QnVja2luZ2hhbS1TY2h1dHQsIEwuIE0uPC9hdXRob3I+PGF1dGhv
cj5FbGxpbmdzb24sIEwuIEQuPC9hdXRob3I+PGF1dGhvcj5WYXpvdSwgUy48L2F1dGhvcj48YXV0
aG9yPkNhbXBiZWxsLCBDLiBHLjwvYXV0aG9yPjwvYXV0aG9ycz48L2NvbnRyaWJ1dG9ycz48YXV0
aC1hZGRyZXNzPlRoZSBIYXJraW4gSW5zdGl0dXRlLCBEcmFrZSBVbml2ZXJzaXR5LCBEZXMgTW9p
bmVzLCBJQS4mI3hEO0tpbmVzaW9sb2d5IERlcGFydG1lbnQsIElvd2EgU3RhdGUgVW5pdmVyc2l0
eSwgQW1lcywgSUEuJiN4RDtGb29kIFNjaWVuY2UgYW5kIEh1bWFuIE51dHJpdGlvbiBEZXBhcnRt
ZW50LjwvYXV0aC1hZGRyZXNzPjx0aXRsZXM+PHRpdGxlPlRoZSBCZWhhdmlvcmFsIFdlbGxuZXNz
IGluIFByZWduYW5jeSBzdHVkeTogYSByYW5kb21pemVkIGNvbnRyb2xsZWQgdHJpYWwgb2YgYSBt
dWx0aS1jb21wb25lbnQgaW50ZXJ2ZW50aW9uIHRvIHByb21vdGUgYXBwcm9wcmlhdGUgd2VpZ2h0
IGdhaW48L3RpdGxlPjxzZWNvbmRhcnktdGl0bGU+QW0gSiBDbGluIE51dHI8L3NlY29uZGFyeS10
aXRsZT48L3RpdGxlcz48cGVyaW9kaWNhbD48ZnVsbC10aXRsZT5BbSBKIENsaW4gTnV0cjwvZnVs
bC10aXRsZT48L3BlcmlvZGljYWw+PHBhZ2VzPjEwNzEtMTA3OTwvcGFnZXM+PHZvbHVtZT4xMDk8
L3ZvbHVtZT48bnVtYmVyPjQ8L251bWJlcj48ZWRpdGlvbj4yMDE5LzA0LzA2PC9lZGl0aW9uPjxr
ZXl3b3Jkcz48a2V5d29yZD5BZHVsdDwva2V5d29yZD48a2V5d29yZD5EaWV0Lypwc3ljaG9sb2d5
PC9rZXl3b3JkPjxrZXl3b3JkPkV4ZXJjaXNlPC9rZXl3b3JkPjxrZXl3b3JkPkZlZWRpbmcgQmVo
YXZpb3I8L2tleXdvcmQ+PGtleXdvcmQ+RmVtYWxlPC9rZXl3b3JkPjxrZXl3b3JkPipHZXN0YXRp
b25hbCBXZWlnaHQgR2Fpbjwva2V5d29yZD48a2V5d29yZD5IdW1hbnM8L2tleXdvcmQ+PGtleXdv
cmQ+TGlmZSBTdHlsZTwva2V5d29yZD48a2V5d29yZD5NYXRlcm5hbCBCZWhhdmlvcjwva2V5d29y
ZD48a2V5d29yZD5Qb3N0cGFydHVtIFBlcmlvZC9tZXRhYm9saXNtL3BzeWNob2xvZ3k8L2tleXdv
cmQ+PGtleXdvcmQ+UHJlZ25hbmN5L21ldGFib2xpc20vKnBzeWNob2xvZ3k8L2tleXdvcmQ+PGtl
eXdvcmQ+UHJlbmF0YWwgQ2FyZS8qcHN5Y2hvbG9neTwva2V5d29yZD48a2V5d29yZD5QcmVuYXRh
bCBOdXRyaXRpb25hbCBQaHlzaW9sb2dpY2FsIFBoZW5vbWVuYTwva2V5d29yZD48a2V5d29yZD5Z
b3VuZyBBZHVsdDwva2V5d29yZD48a2V5d29yZD4qbXVsdGktY29tcG9uZW50IGludGVydmVudGlv
bjwva2V5d29yZD48a2V5d29yZD4qbnV0cml0aW9uPC9rZXl3b3JkPjxrZXl3b3JkPipwaHlzaWNh
bCBhY3Rpdml0eTwva2V5d29yZD48a2V5d29yZD4qcHJlZ25hbmN5PC9rZXl3b3JkPjwva2V5d29y
ZHM+PGRhdGVzPjx5ZWFyPjIwMTk8L3llYXI+PHB1Yi1kYXRlcz48ZGF0ZT5BcHIgMTwvZGF0ZT48
L3B1Yi1kYXRlcz48L2RhdGVzPjxpc2JuPjE5MzgtMzIwNyAoRWxlY3Ryb25pYykmI3hEOzAwMDIt
OTE2NSAoTGlua2luZyk8L2lzYm4+PGFjY2Vzc2lvbi1udW0+MzA5NDk2OTE8L2FjY2Vzc2lvbi1u
dW0+PHVybHM+PHJlbGF0ZWQtdXJscz48dXJsPmh0dHBzOi8vd3d3Lm5jYmkubmxtLm5paC5nb3Yv
cHVibWVkLzMwOTQ5NjkxPC91cmw+PC9yZWxhdGVkLXVybHM+PC91cmxzPjxlbGVjdHJvbmljLXJl
c291cmNlLW51bT4xMC4xMDkzL2FqY24vbnF5MzU5PC9lbGVjdHJvbmljLXJlc291cmNlLW51bT48
L3JlY29yZD48L0NpdGU+PC9FbmROb3RlPgB=
</w:fldData>
        </w:fldChar>
      </w:r>
      <w:r w:rsidR="002747EA">
        <w:instrText xml:space="preserve"> ADDIN EN.CITE.DATA </w:instrText>
      </w:r>
      <w:r w:rsidR="002747EA">
        <w:fldChar w:fldCharType="end"/>
      </w:r>
      <w:r w:rsidR="00A5540F">
        <w:fldChar w:fldCharType="separate"/>
      </w:r>
      <w:r w:rsidR="002747EA" w:rsidRPr="002747EA">
        <w:rPr>
          <w:noProof/>
          <w:vertAlign w:val="superscript"/>
        </w:rPr>
        <w:t>402,451,483,484,486,490,491,494-496,500-505,508,513-515,520,522</w:t>
      </w:r>
      <w:r w:rsidR="00A5540F">
        <w:fldChar w:fldCharType="end"/>
      </w:r>
      <w:r w:rsidR="00A5540F">
        <w:rPr>
          <w:lang w:val="en-AU"/>
        </w:rPr>
        <w:t xml:space="preserve"> This included providing women with weight gain charts,</w:t>
      </w:r>
      <w:r w:rsidR="00A5540F">
        <w:rPr>
          <w:rFonts w:ascii="Century Gothic" w:hAnsi="Century Gothic"/>
          <w:noProof/>
        </w:rPr>
        <w:fldChar w:fldCharType="begin">
          <w:fldData xml:space="preserve">PEVuZE5vdGU+PENpdGU+PEF1dGhvcj5IYXJyaXNvbjwvQXV0aG9yPjxZZWFyPjIwMTM8L1llYXI+
PFJlY051bT43MjU8L1JlY051bT48RGlzcGxheVRleHQ+PHN0eWxlIGZhY2U9InN1cGVyc2NyaXB0
IiBmb250PSJUcmVidWNoZXQgTVMiIHNpemU9IjkiPjQ4Niw0OTUsNTA3LDUwOCw1MjA8L3N0eWxl
PjwvRGlzcGxheVRleHQ+PHJlY29yZD48cmVjLW51bWJlcj43MjU8L3JlYy1udW1iZXI+PGZvcmVp
Z24ta2V5cz48a2V5IGFwcD0iRU4iIGRiLWlkPSJleHZhc3JmeDJkdHJhb2VzYXN4cDJzenN4YTJk
ZjUwMjU5MngiIHRpbWVzdGFtcD0iMTU0MTQ2NTA1MCI+NzI1PC9rZXk+PC9mb3JlaWduLWtleXM+
PHJlZi10eXBlIG5hbWU9IkpvdXJuYWwgQXJ0aWNsZSI+MTc8L3JlZi10eXBlPjxjb250cmlidXRv
cnM+PGF1dGhvcnM+PGF1dGhvcj5IYXJyaXNvbiwgQy4gTC48L2F1dGhvcj48YXV0aG9yPkxvbWJh
cmQsIEMuIEIuPC9hdXRob3I+PGF1dGhvcj5TdHJhdXNzLCBCLiBKLjwvYXV0aG9yPjxhdXRob3I+
VGVlZGUsIEguIEouPC9hdXRob3I+PC9hdXRob3JzPjwvY29udHJpYnV0b3JzPjxhdXRoLWFkZHJl
c3M+V29tZW4mYXBvcztzIFJlcHJvZHVjdGl2ZSBSZXNlYXJjaCB1bml0LCBTY2hvb2wgb2YgUHVi
bGljIEhlYWx0aCBhbmQgUHJldmVudGl2ZSBNZWRpY2luZSwgTW9uYXNoIFVuaXZlcnNpdHksIENs
YXl0b24sIFZpY3RvcmlhLCBBdXN0cmFsaWEuPC9hdXRoLWFkZHJlc3M+PHRpdGxlcz48dGl0bGU+
T3B0aW1pemluZyBoZWFsdGh5IGdlc3RhdGlvbmFsIHdlaWdodCBnYWluIGluIHdvbWVuIGF0IGhp
Z2ggcmlzayBvZiBnZXN0YXRpb25hbCBkaWFiZXRlczogYSByYW5kb21pemVkIGNvbnRyb2xsZWQg
dHJpYWw8L3RpdGxlPjxzZWNvbmRhcnktdGl0bGU+T2Jlc2l0eSAoU2lsdmVyIFNwcmluZyk8L3Nl
Y29uZGFyeS10aXRsZT48L3RpdGxlcz48cGVyaW9kaWNhbD48ZnVsbC10aXRsZT5PYmVzaXR5IChT
aWx2ZXIgU3ByaW5nKTwvZnVsbC10aXRsZT48L3BlcmlvZGljYWw+PHBhZ2VzPjkwNC05PC9wYWdl
cz48dm9sdW1lPjIxPC92b2x1bWU+PG51bWJlcj41PC9udW1iZXI+PGVkaXRpb24+MjAxMy8wNi8y
MTwvZWRpdGlvbj48a2V5d29yZHM+PGtleXdvcmQ+QWR1bHQ8L2tleXdvcmQ+PGtleXdvcmQ+KkJv
ZHkgTWFzcyBJbmRleDwva2V5d29yZD48a2V5d29yZD5EaWFiZXRlcywgR2VzdGF0aW9uYWwvZXBp
ZGVtaW9sb2d5LypwcmV2ZW50aW9uICZhbXA7IGNvbnRyb2w8L2tleXdvcmQ+PGtleXdvcmQ+RmVt
YWxlPC9rZXl3b3JkPjxrZXl3b3JkPkh1bWFuczwva2V5d29yZD48a2V5d29yZD4qTGlmZSBTdHls
ZTwva2V5d29yZD48a2V5d29yZD5Nb3RvciBBY3Rpdml0eTwva2V5d29yZD48a2V5d29yZD5PYmVz
aXR5L2NvbXBsaWNhdGlvbnMvdGhlcmFweTwva2V5d29yZD48a2V5d29yZD5QcmVnbmFuY3k8L2tl
eXdvcmQ+PGtleXdvcmQ+UHJlbmF0YWwgQ2FyZTwva2V5d29yZD48a2V5d29yZD5SaXNrIEZhY3Rv
cnM8L2tleXdvcmQ+PGtleXdvcmQ+KldhbGtpbmc8L2tleXdvcmQ+PGtleXdvcmQ+KldlaWdodCBH
YWluPC9rZXl3b3JkPjwva2V5d29yZHM+PGRhdGVzPjx5ZWFyPjIwMTM8L3llYXI+PHB1Yi1kYXRl
cz48ZGF0ZT5NYXk8L2RhdGU+PC9wdWItZGF0ZXM+PC9kYXRlcz48aXNibj4xOTMwLTczOVggKEVs
ZWN0cm9uaWMpJiN4RDsxOTMwLTczODEgKExpbmtpbmcpPC9pc2JuPjxhY2Nlc3Npb24tbnVtPjIz
Nzg0ODkyPC9hY2Nlc3Npb24tbnVtPjx1cmxzPjxyZWxhdGVkLXVybHM+PHVybD5odHRwczovL3d3
dy5uY2JpLm5sbS5uaWguZ292L3B1Ym1lZC8yMzc4NDg5MjwvdXJsPjwvcmVsYXRlZC11cmxzPjwv
dXJscz48ZWxlY3Ryb25pYy1yZXNvdXJjZS1udW0+MTAuMTAwMi9vYnkuMjAxNjM8L2VsZWN0cm9u
aWMtcmVzb3VyY2UtbnVtPjwvcmVjb3JkPjwvQ2l0ZT48Q2l0ZT48QXV0aG9yPlBvbGxleTwvQXV0
aG9yPjxZZWFyPjIwMDI8L1llYXI+PFJlY051bT43MDY8L1JlY051bT48cmVjb3JkPjxyZWMtbnVt
YmVyPjcwNjwvcmVjLW51bWJlcj48Zm9yZWlnbi1rZXlzPjxrZXkgYXBwPSJFTiIgZGItaWQ9ImV4
dmFzcmZ4MmR0cmFvZXNhc3hwMnN6c3hhMmRmNTAyNTkyeCIgdGltZXN0YW1wPSIxNTQwNTMwNjc0
Ij43MDY8L2tleT48L2ZvcmVpZ24ta2V5cz48cmVmLXR5cGUgbmFtZT0iSm91cm5hbCBBcnRpY2xl
Ij4xNzwvcmVmLXR5cGU+PGNvbnRyaWJ1dG9ycz48YXV0aG9ycz48YXV0aG9yPlBvbGxleSwgQi4g
QS48L2F1dGhvcj48YXV0aG9yPldpbmcsIFIuIFIuPC9hdXRob3I+PGF1dGhvcj5TaW1zLCBDLiBK
LjwvYXV0aG9yPjwvYXV0aG9ycz48L2NvbnRyaWJ1dG9ycz48YXV0aC1hZGRyZXNzPlVuaXZlcnNp
dHkgb2YgUGl0dHNidXJnaCwgUGl0dHNidXJnaCwgUGVubnN5bHZhbmlhLCBVU0EuPC9hdXRoLWFk
ZHJlc3M+PHRpdGxlcz48dGl0bGU+UmFuZG9taXplZCBjb250cm9sbGVkIHRyaWFsIHRvIHByZXZl
bnQgZXhjZXNzaXZlIHdlaWdodCBnYWluIGluIHByZWduYW50IHdvbWVuPC90aXRsZT48c2Vjb25k
YXJ5LXRpdGxlPkludCBKIE9iZXMgUmVsYXQgTWV0YWIgRGlzb3JkPC9zZWNvbmRhcnktdGl0bGU+
PC90aXRsZXM+PHBlcmlvZGljYWw+PGZ1bGwtdGl0bGU+SW50IEogT2JlcyBSZWxhdCBNZXRhYiBE
aXNvcmQ8L2Z1bGwtdGl0bGU+PC9wZXJpb2RpY2FsPjxwYWdlcz4xNDk0LTUwMjwvcGFnZXM+PHZv
bHVtZT4yNjwvdm9sdW1lPjxudW1iZXI+MTE8L251bWJlcj48ZWRpdGlvbj4yMDAyLzExLzIwPC9l
ZGl0aW9uPjxrZXl3b3Jkcz48a2V5d29yZD5BZHVsdDwva2V5d29yZD48a2V5d29yZD5FeGVyY2lz
ZSBUaGVyYXB5LyptZXRob2RzPC9rZXl3b3JkPjxrZXl3b3JkPkZlbWFsZTwva2V5d29yZD48a2V5
d29yZD5IZWFsdGggQmVoYXZpb3I8L2tleXdvcmQ+PGtleXdvcmQ+SHVtYW5zPC9rZXl3b3JkPjxr
ZXl3b3JkPk9iZXNpdHkvKnByZXZlbnRpb24gJmFtcDsgY29udHJvbDwva2V5d29yZD48a2V5d29y
ZD5Qb3N0bmF0YWwgQ2FyZS9tZXRob2RzPC9rZXl3b3JkPjxrZXl3b3JkPlByZWduYW5jeTwva2V5
d29yZD48a2V5d29yZD5QcmVnbmFuY3kgQ29tcGxpY2F0aW9ucy8qcHJldmVudGlvbiAmYW1wOyBj
b250cm9sPC9rZXl3b3JkPjxrZXl3b3JkPlByZWduYW5jeSBPdXRjb21lPC9rZXl3b3JkPjxrZXl3
b3JkPlByZW5hdGFsIENhcmUvbWV0aG9kczwva2V5d29yZD48a2V5d29yZD5XZWlnaHQgR2Fpbjwv
a2V5d29yZD48L2tleXdvcmRzPjxkYXRlcz48eWVhcj4yMDAyPC95ZWFyPjxwdWItZGF0ZXM+PGRh
dGU+Tm92PC9kYXRlPjwvcHViLWRhdGVzPjwvZGF0ZXM+PGFjY2Vzc2lvbi1udW0+MTI0Mzk2NTI8
L2FjY2Vzc2lvbi1udW0+PHVybHM+PHJlbGF0ZWQtdXJscz48dXJsPmh0dHBzOi8vd3d3Lm5jYmku
bmxtLm5paC5nb3YvcHVibWVkLzEyNDM5NjUyPC91cmw+PC9yZWxhdGVkLXVybHM+PC91cmxzPjxl
bGVjdHJvbmljLXJlc291cmNlLW51bT4xMC4xMDM4L3NqLmlqby4wODAyMTMwPC9lbGVjdHJvbmlj
LXJlc291cmNlLW51bT48L3JlY29yZD48L0NpdGU+PENpdGU+PEF1dGhvcj5Sb25uYmVyZzwvQXV0
aG9yPjxZZWFyPjIwMTU8L1llYXI+PFJlY051bT43NTQ8L1JlY051bT48cmVjb3JkPjxyZWMtbnVt
YmVyPjc1NDwvcmVjLW51bWJlcj48Zm9yZWlnbi1rZXlzPjxrZXkgYXBwPSJFTiIgZGItaWQ9ImV4
dmFzcmZ4MmR0cmFvZXNhc3hwMnN6c3hhMmRmNTAyNTkyeCIgdGltZXN0YW1wPSIxNTQxNDY3OTUy
Ij43NTQ8L2tleT48a2V5IGFwcD0iRU5XZWIiIGRiLWlkPSIiPjA8L2tleT48L2ZvcmVpZ24ta2V5
cz48cmVmLXR5cGUgbmFtZT0iSm91cm5hbCBBcnRpY2xlIj4xNzwvcmVmLXR5cGU+PGNvbnRyaWJ1
dG9ycz48YXV0aG9ycz48YXV0aG9yPlJvbm5iZXJnLCBBLiBLLjwvYXV0aG9yPjxhdXRob3I+T3N0
bHVuZCwgSS48L2F1dGhvcj48YXV0aG9yPkZhZGwsIEguPC9hdXRob3I+PGF1dGhvcj5Hb3R0dmFs
bCwgVC48L2F1dGhvcj48YXV0aG9yPk5pbHNzb24sIEsuPC9hdXRob3I+PC9hdXRob3JzPjwvY29u
dHJpYnV0b3JzPjx0aXRsZXM+PHRpdGxlPkludGVydmVudGlvbiBkdXJpbmcgcHJlZ25hbmN5IHRv
IHJlZHVjZSBleGNlc3NpdmUgZ2VzdGF0aW9uYWwgd2VpZ2h0IGdhaW4tYSByYW5kb21pc2VkIGNv
bnRyb2xsZWQgdHJpYWw8L3RpdGxlPjxzZWNvbmRhcnktdGl0bGU+QkpPRzogQW4gSW50ZXJuYXRp
b25hbCBKb3VybmFsIG9mIE9ic3RldHJpY3MgJmFtcDsgR3luYWVjb2xvZ3k8L3NlY29uZGFyeS10
aXRsZT48L3RpdGxlcz48cGVyaW9kaWNhbD48ZnVsbC10aXRsZT5CSk9HOiBBbiBJbnRlcm5hdGlv
bmFsIEpvdXJuYWwgb2YgT2JzdGV0cmljcyAmYW1wOyBHeW5hZWNvbG9neTwvZnVsbC10aXRsZT48
L3BlcmlvZGljYWw+PHBhZ2VzPjUzNy01NDQ8L3BhZ2VzPjx2b2x1bWU+MTIyPC92b2x1bWU+PG51
bWJlcj40PC9udW1iZXI+PHNlY3Rpb24+NTM3PC9zZWN0aW9uPjxkYXRlcz48eWVhcj4yMDE1PC95
ZWFyPjwvZGF0ZXM+PGlzYm4+MTQ3MDAzMjg8L2lzYm4+PHVybHM+PC91cmxzPjxlbGVjdHJvbmlj
LXJlc291cmNlLW51bT4xMC4xMTExLzE0NzEtMDUyOC4xMzEzMTwvZWxlY3Ryb25pYy1yZXNvdXJj
ZS1udW0+PC9yZWNvcmQ+PC9DaXRlPjxDaXRlPjxBdXRob3I+QWx0YXphbjwvQXV0aG9yPjxZZWFy
PjIwMTk8L1llYXI+PFJlY051bT4xMzc5PC9SZWNOdW0+PHJlY29yZD48cmVjLW51bWJlcj4xMzc5
PC9yZWMtbnVtYmVyPjxmb3JlaWduLWtleXM+PGtleSBhcHA9IkVOIiBkYi1pZD0iZXh2YXNyZngy
ZHRyYW9lc2FzeHAyc3pzeGEyZGY1MDI1OTJ4IiB0aW1lc3RhbXA9IjE1NjcwNjE1MTQiPjEzNzk8
L2tleT48a2V5IGFwcD0iRU5XZWIiIGRiLWlkPSIiPjA8L2tleT48L2ZvcmVpZ24ta2V5cz48cmVm
LXR5cGUgbmFtZT0iSm91cm5hbCBBcnRpY2xlIj4xNzwvcmVmLXR5cGU+PGNvbnRyaWJ1dG9ycz48
YXV0aG9ycz48YXV0aG9yPkFsdGF6YW4sIEEuIEQuPC9hdXRob3I+PGF1dGhvcj5SZWRtYW4sIEwu
IE0uPC9hdXRob3I+PGF1dGhvcj5CdXJ0b24sIEouIEguPC9hdXRob3I+PGF1dGhvcj5CZXlsLCBS
LiBBLjwvYXV0aG9yPjxhdXRob3I+Q2FpbiwgTC4gRS48L2F1dGhvcj48YXV0aG9yPlN1dHRvbiwg
RS4gRi48L2F1dGhvcj48YXV0aG9yPk1hcnRpbiwgQy4gSy48L2F1dGhvcj48L2F1dGhvcnM+PC9j
b250cmlidXRvcnM+PGF1dGgtYWRkcmVzcz5QZW5uaW5ndG9uIEJpb21lZGljYWwgUmVzZWFyY2gg
Q2VudGVyLCBMb3Vpc2lhbmEgU3RhdGUgVW5pdmVyc2l0eSwgNjQwMCBQZXJraW5zIFJvYWQsIEJh
dG9uIFJvdWdlLCBMQSwgNzA4MDgsIFVTQS4mI3hEO1Blbm5pbmd0b24gQmlvbWVkaWNhbCBSZXNl
YXJjaCBDZW50ZXIsIExvdWlzaWFuYSBTdGF0ZSBVbml2ZXJzaXR5LCA2NDAwIFBlcmtpbnMgUm9h
ZCwgQmF0b24gUm91Z2UsIExBLCA3MDgwOCwgVVNBLiBjb3JieS5tYXJ0aW5AcGJyYy5lZHUuPC9h
dXRoLWFkZHJlc3M+PHRpdGxlcz48dGl0bGU+TW9vZCBhbmQgcXVhbGl0eSBvZiBsaWZlIGNoYW5n
ZXMgaW4gcHJlZ25hbmN5IGFuZCBwb3N0cGFydHVtIGFuZCB0aGUgZWZmZWN0IG9mIGEgYmVoYXZp
b3JhbCBpbnRlcnZlbnRpb24gdGFyZ2V0aW5nIGV4Y2VzcyBnZXN0YXRpb25hbCB3ZWlnaHQgZ2Fp
biBpbiB3b21lbiB3aXRoIG92ZXJ3ZWlnaHQgYW5kIG9iZXNpdHk6IGEgcGFyYWxsZWwtYXJtIHJh
bmRvbWl6ZWQgY29udHJvbGxlZCBwaWxvdCB0cmlhbDwvdGl0bGU+PHNlY29uZGFyeS10aXRsZT5C
TUMgUHJlZ25hbmN5IENoaWxkYmlydGg8L3NlY29uZGFyeS10aXRsZT48L3RpdGxlcz48cGVyaW9k
aWNhbD48ZnVsbC10aXRsZT5CTUMgUHJlZ25hbmN5IENoaWxkYmlydGg8L2Z1bGwtdGl0bGU+PC9w
ZXJpb2RpY2FsPjxwYWdlcz41MDwvcGFnZXM+PHZvbHVtZT4xOTwvdm9sdW1lPjxudW1iZXI+MTwv
bnVtYmVyPjxlZGl0aW9uPjIwMTkvMDEvMzE8L2VkaXRpb24+PGtleXdvcmRzPjxrZXl3b3JkPkFk
dWx0PC9rZXl3b3JkPjxrZXl3b3JkPkJlaGF2aW9yIFRoZXJhcHkvKm1ldGhvZHM8L2tleXdvcmQ+
PGtleXdvcmQ+RmVtYWxlPC9rZXl3b3JkPjxrZXl3b3JkPipHZXN0YXRpb25hbCBXZWlnaHQgR2Fp
bjwva2V5d29yZD48a2V5d29yZD5IdW1hbnM8L2tleXdvcmQ+PGtleXdvcmQ+TGlmZSBTdHlsZTwv
a2V5d29yZD48a2V5d29yZD5PdmVyd2VpZ2h0LypwcmV2ZW50aW9uICZhbXA7IGNvbnRyb2w8L2tl
eXdvcmQ+PGtleXdvcmQ+UGlsb3QgUHJvamVjdHM8L2tleXdvcmQ+PGtleXdvcmQ+UHJlZ25hbmN5
PC9rZXl3b3JkPjxrZXl3b3JkPlByZW5hdGFsIENhcmUvKm1ldGhvZHM8L2tleXdvcmQ+PGtleXdv
cmQ+UXVhbGl0eSBvZiBMaWZlLypwc3ljaG9sb2d5PC9rZXl3b3JkPjxrZXl3b3JkPlRyZWF0bWVu
dCBPdXRjb21lPC9rZXl3b3JkPjxrZXl3b3JkPldlaWdodCBHYWluPC9rZXl3b3JkPjxrZXl3b3Jk
Pkdlc3RhdGlvbmFsIHdlaWdodCBnYWluPC9rZXl3b3JkPjxrZXl3b3JkPk1lbnRhbCBoZWFsdGg8
L2tleXdvcmQ+PGtleXdvcmQ+UXVhbGl0eSBvZiBsaWZlPC9rZXl3b3JkPjwva2V5d29yZHM+PGRh
dGVzPjx5ZWFyPjIwMTk8L3llYXI+PHB1Yi1kYXRlcz48ZGF0ZT5KYW4gMjk8L2RhdGU+PC9wdWIt
ZGF0ZXM+PC9kYXRlcz48aXNibj4xNDcxLTIzOTMgKEVsZWN0cm9uaWMpJiN4RDsxNDcxLTIzOTMg
KExpbmtpbmcpPC9pc2JuPjxhY2Nlc3Npb24tbnVtPjMwNjk2NDA4PC9hY2Nlc3Npb24tbnVtPjx1
cmxzPjxyZWxhdGVkLXVybHM+PHVybD5odHRwczovL3d3dy5uY2JpLm5sbS5uaWguZ292L3B1Ym1l
ZC8zMDY5NjQwODwvdXJsPjwvcmVsYXRlZC11cmxzPjwvdXJscz48Y3VzdG9tMj5QTUM2MzUyMzUy
PC9jdXN0b20yPjxlbGVjdHJvbmljLXJlc291cmNlLW51bT4xMC4xMTg2L3MxMjg4NC0wMTktMjE5
Ni04PC9lbGVjdHJvbmljLXJlc291cmNlLW51bT48L3JlY29yZD48L0NpdGU+PENpdGU+PEF1dGhv
cj5QaGVsYW48L0F1dGhvcj48WWVhcj4yMDE4PC9ZZWFyPjxSZWNOdW0+MTM4NjwvUmVjTnVtPjxy
ZWNvcmQ+PHJlYy1udW1iZXI+MTM4NjwvcmVjLW51bWJlcj48Zm9yZWlnbi1rZXlzPjxrZXkgYXBw
PSJFTiIgZGItaWQ9ImV4dmFzcmZ4MmR0cmFvZXNhc3hwMnN6c3hhMmRmNTAyNTkyeCIgdGltZXN0
YW1wPSIxNTY3MzgyNDg1Ij4xMzg2PC9rZXk+PC9mb3JlaWduLWtleXM+PHJlZi10eXBlIG5hbWU9
IkpvdXJuYWwgQXJ0aWNsZSI+MTc8L3JlZi10eXBlPjxjb250cmlidXRvcnM+PGF1dGhvcnM+PGF1
dGhvcj5QaGVsYW4sIFMuPC9hdXRob3I+PGF1dGhvcj5XaW5nLCBSLiBSLjwvYXV0aG9yPjxhdXRo
b3I+QnJhbm5lbiwgQS48L2F1dGhvcj48YXV0aG9yPk1jSHVnaCwgQS48L2F1dGhvcj48YXV0aG9y
PkhhZ29iaWFuLCBULiBBLjwvYXV0aG9yPjxhdXRob3I+U2NoYWZmbmVyLCBBLjwvYXV0aG9yPjxh
dXRob3I+SmVsYWxpYW4sIEUuPC9hdXRob3I+PGF1dGhvcj5IYXJ0LCBDLiBOLjwvYXV0aG9yPjxh
dXRob3I+U2Nob2xsLCBULiBPLjwvYXV0aG9yPjxhdXRob3I+TXVub3otQ2hyaXN0aWFuLCBLLjwv
YXV0aG9yPjxhdXRob3I+WWluLCBFLjwvYXV0aG9yPjxhdXRob3I+UGhpcHBzLCBNLiBHLjwvYXV0
aG9yPjxhdXRob3I+S2VhZGxlLCBTLjwvYXV0aG9yPjxhdXRob3I+QWJyYW1zLCBCLjwvYXV0aG9y
PjwvYXV0aG9ycz48L2NvbnRyaWJ1dG9ycz48YXV0aC1hZGRyZXNzPkRlcGFydG1lbnRzIG9mIEtp
bmVzaW9sb2d5LCBTdGF0aXN0aWNzLCBhbmQgTW9kZXJuIExhbmd1YWdlcywgQ2FsaWZvcm5pYSBQ
b2x5dGVjaG5pYyBTdGF0ZSBVbml2ZXJzaXR5LCBTYW4gTHVpcyBPYmlzcG8sIENBLiYjeEQ7RGVw
YXJ0bWVudCBvZiBQc3ljaGlhdHJ5IGFuZCBIdW1hbiBCZWhhdmlvciwgV2FycmVuIEFscGVydCBN
ZWRpY2FsIFNjaG9vbCBhdCBCcm93biBVbml2ZXJzaXR5LCBQcm92aWRlbmNlLCBSSS4mI3hEO0Rl
cGFydG1lbnRzIG9mIFN0YXRpc3RpY3MsIGFuZCBNb2Rlcm4gTGFuZ3VhZ2VzLCBDYWxpZm9ybmlh
IFBvbHl0ZWNobmljIFN0YXRlIFVuaXZlcnNpdHksIFNhbiBMdWlzIE9iaXNwbywgQ0EuJiN4RDtE
ZXBhcnRtZW50IG9mIFNvY2lhbCBhbmQgQmVoYXZpb3JhbCBTY2llbmNlcywgVGVtcGxlIFVuaXZl
cnNpdHkgQ2VudGVyIGZvciBPYmVzaXR5IFJlc2VhcmNoIGFuZCBFZHVjYXRpb24sIFBoaWxhZGVs
cGhpYSwgUEEuJiN4RDtEZXBhcnRtZW50IG9mIE9ic3RldHJpY3MgYW5kIEd5bmVjb2xvZ3ksIFVu
aXZlcnNpdHkgb2YgTWVkaWNpbmUgYW5kIERlbnRpc3RyeSBvZiBOZXcgSmVyc2V5IChub3cgUm93
YW4pLCBHbGFzc2Jvcm8sIE5KLiYjeEQ7RGVwYXJ0bWVudHMgb2YgTW9kZXJuIExhbmd1YWdlcywg
Q2FsaWZvcm5pYSBQb2x5dGVjaG5pYyBTdGF0ZSBVbml2ZXJzaXR5LCBTYW4gTHVpcyBPYmlzcG8s
IENBLiYjeEQ7UGFjaWZpYyBDZW50cmFsIENvYXN0IEhlYWx0aCBDZW50ZXJzLCBTYW50YSBNYXJp
YSBXb21lbiZhcG9zO3MgSGVhbHRoLCBTYW50YSBNYXJpYSwgQ0EuJiN4RDtEZXBhcnRtZW50IG9m
IE9ic3RldHJpY3MgYW5kIEd5bmVjb2xvZ3ksIFdhcnJlbiBBbHBlcnQgTWVkaWNhbCBTY2hvb2wg
b2YgQnJvd24gVW5pdmVyc2l0eSBhbmQgV29tZW4gYW5kIEluZmFudHMgSG9zcGl0YWwsIFByb3Zp
ZGVuY2UsIFJJLiYjeEQ7RGl2aXNpb24gb2YgRXBpZGVtaW9sb2d5LCBVbml2ZXJzaXR5IG9mIENh
bGlmb3JuaWEgYXQgQmVya2VsZXkgU2Nob29sIG9mIFB1YmxpYyBIZWFsdGgsIEJlcmtlbGV5LCBD
QS48L2F1dGgtYWRkcmVzcz48dGl0bGVzPjx0aXRsZT5SYW5kb21pemVkIGNvbnRyb2xsZWQgY2xp
bmljYWwgdHJpYWwgb2YgYmVoYXZpb3JhbCBsaWZlc3R5bGUgaW50ZXJ2ZW50aW9uIHdpdGggcGFy
dGlhbCBtZWFsIHJlcGxhY2VtZW50IHRvIHJlZHVjZSBleGNlc3NpdmUgZ2VzdGF0aW9uYWwgd2Vp
Z2h0IGdhaW48L3RpdGxlPjxzZWNvbmRhcnktdGl0bGU+QW0gSiBDbGluIE51dHI8L3NlY29uZGFy
eS10aXRsZT48L3RpdGxlcz48cGVyaW9kaWNhbD48ZnVsbC10aXRsZT5BbSBKIENsaW4gTnV0cjwv
ZnVsbC10aXRsZT48L3BlcmlvZGljYWw+PHBhZ2VzPjE4My0xOTQ8L3BhZ2VzPjx2b2x1bWU+MTA3
PC92b2x1bWU+PG51bWJlcj4yPC9udW1iZXI+PGVkaXRpb24+MjAxOC8wMy8xMzwvZWRpdGlvbj48
a2V5d29yZHM+PGtleXdvcmQ+QWR1bHQ8L2tleXdvcmQ+PGtleXdvcmQ+Qm9keSBNYXNzIEluZGV4
PC9rZXl3b3JkPjxrZXl3b3JkPkNhbGlmb3JuaWE8L2tleXdvcmQ+PGtleXdvcmQ+RGlldDwva2V5
d29yZD48a2V5d29yZD5FdGhuaWMgR3JvdXBzPC9rZXl3b3JkPjxrZXl3b3JkPkV4ZXJjaXNlPC9r
ZXl3b3JkPjxrZXl3b3JkPkZlbWFsZTwva2V5d29yZD48a2V5d29yZD4qR2VzdGF0aW9uYWwgV2Vp
Z2h0IEdhaW48L2tleXdvcmQ+PGtleXdvcmQ+KkhlYWx0aCBCZWhhdmlvcjwva2V5d29yZD48a2V5
d29yZD5IdW1hbnM8L2tleXdvcmQ+PGtleXdvcmQ+SW5jaWRlbmNlPC9rZXl3b3JkPjxrZXl3b3Jk
PipMaWZlIFN0eWxlPC9rZXl3b3JkPjxrZXl3b3JkPk1lYWxzPC9rZXl3b3JkPjxrZXl3b3JkPk51
dHJpdGlvbiBBc3Nlc3NtZW50PC9rZXl3b3JkPjxrZXl3b3JkPk9iZXNpdHkvKnByZXZlbnRpb24g
JmFtcDsgY29udHJvbDwva2V5d29yZD48a2V5d29yZD5PdmVyd2VpZ2h0LypwcmV2ZW50aW9uICZh
bXA7IGNvbnRyb2w8L2tleXdvcmQ+PGtleXdvcmQ+UHJlZ25hbmN5PC9rZXl3b3JkPjxrZXl3b3Jk
PlByZWduYW5jeSBDb21wbGljYXRpb25zLypwcmV2ZW50aW9uICZhbXA7IGNvbnRyb2w8L2tleXdv
cmQ+PGtleXdvcmQ+UHJlZ25hbmN5IE91dGNvbWU8L2tleXdvcmQ+PGtleXdvcmQ+UmlzayBGYWN0
b3JzPC9rZXl3b3JkPjxrZXl3b3JkPllvdW5nIEFkdWx0PC9rZXl3b3JkPjwva2V5d29yZHM+PGRh
dGVzPjx5ZWFyPjIwMTg8L3llYXI+PHB1Yi1kYXRlcz48ZGF0ZT5GZWIgMTwvZGF0ZT48L3B1Yi1k
YXRlcz48L2RhdGVzPjxpc2JuPjE5MzgtMzIwNyAoRWxlY3Ryb25pYykmI3hEOzAwMDItOTE2NSAo
TGlua2luZyk8L2lzYm4+PGFjY2Vzc2lvbi1udW0+Mjk1MjkxNTc8L2FjY2Vzc2lvbi1udW0+PHVy
bHM+PHJlbGF0ZWQtdXJscz48dXJsPmh0dHBzOi8vd3d3Lm5jYmkubmxtLm5paC5nb3YvcHVibWVk
LzI5NTI5MTU3PC91cmw+PC9yZWxhdGVkLXVybHM+PC91cmxzPjxjdXN0b20yPlBNQzY0NTUwMzA8
L2N1c3RvbTI+PGVsZWN0cm9uaWMtcmVzb3VyY2UtbnVtPjEwLjEwOTMvYWpjbi9ucXgwNDM8L2Vs
ZWN0cm9uaWMtcmVzb3VyY2UtbnVtPjwvcmVjb3JkPjwvQ2l0ZT48L0VuZE5vdGU+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PEVuZE5vdGU+PENpdGU+PEF1dGhvcj5IYXJyaXNvbjwvQXV0aG9yPjxZZWFyPjIwMTM8L1llYXI+
PFJlY051bT43MjU8L1JlY051bT48RGlzcGxheVRleHQ+PHN0eWxlIGZhY2U9InN1cGVyc2NyaXB0
IiBmb250PSJUcmVidWNoZXQgTVMiIHNpemU9IjkiPjQ4Niw0OTUsNTA3LDUwOCw1MjA8L3N0eWxl
PjwvRGlzcGxheVRleHQ+PHJlY29yZD48cmVjLW51bWJlcj43MjU8L3JlYy1udW1iZXI+PGZvcmVp
Z24ta2V5cz48a2V5IGFwcD0iRU4iIGRiLWlkPSJleHZhc3JmeDJkdHJhb2VzYXN4cDJzenN4YTJk
ZjUwMjU5MngiIHRpbWVzdGFtcD0iMTU0MTQ2NTA1MCI+NzI1PC9rZXk+PC9mb3JlaWduLWtleXM+
PHJlZi10eXBlIG5hbWU9IkpvdXJuYWwgQXJ0aWNsZSI+MTc8L3JlZi10eXBlPjxjb250cmlidXRv
cnM+PGF1dGhvcnM+PGF1dGhvcj5IYXJyaXNvbiwgQy4gTC48L2F1dGhvcj48YXV0aG9yPkxvbWJh
cmQsIEMuIEIuPC9hdXRob3I+PGF1dGhvcj5TdHJhdXNzLCBCLiBKLjwvYXV0aG9yPjxhdXRob3I+
VGVlZGUsIEguIEouPC9hdXRob3I+PC9hdXRob3JzPjwvY29udHJpYnV0b3JzPjxhdXRoLWFkZHJl
c3M+V29tZW4mYXBvcztzIFJlcHJvZHVjdGl2ZSBSZXNlYXJjaCB1bml0LCBTY2hvb2wgb2YgUHVi
bGljIEhlYWx0aCBhbmQgUHJldmVudGl2ZSBNZWRpY2luZSwgTW9uYXNoIFVuaXZlcnNpdHksIENs
YXl0b24sIFZpY3RvcmlhLCBBdXN0cmFsaWEuPC9hdXRoLWFkZHJlc3M+PHRpdGxlcz48dGl0bGU+
T3B0aW1pemluZyBoZWFsdGh5IGdlc3RhdGlvbmFsIHdlaWdodCBnYWluIGluIHdvbWVuIGF0IGhp
Z2ggcmlzayBvZiBnZXN0YXRpb25hbCBkaWFiZXRlczogYSByYW5kb21pemVkIGNvbnRyb2xsZWQg
dHJpYWw8L3RpdGxlPjxzZWNvbmRhcnktdGl0bGU+T2Jlc2l0eSAoU2lsdmVyIFNwcmluZyk8L3Nl
Y29uZGFyeS10aXRsZT48L3RpdGxlcz48cGVyaW9kaWNhbD48ZnVsbC10aXRsZT5PYmVzaXR5IChT
aWx2ZXIgU3ByaW5nKTwvZnVsbC10aXRsZT48L3BlcmlvZGljYWw+PHBhZ2VzPjkwNC05PC9wYWdl
cz48dm9sdW1lPjIxPC92b2x1bWU+PG51bWJlcj41PC9udW1iZXI+PGVkaXRpb24+MjAxMy8wNi8y
MTwvZWRpdGlvbj48a2V5d29yZHM+PGtleXdvcmQ+QWR1bHQ8L2tleXdvcmQ+PGtleXdvcmQ+KkJv
ZHkgTWFzcyBJbmRleDwva2V5d29yZD48a2V5d29yZD5EaWFiZXRlcywgR2VzdGF0aW9uYWwvZXBp
ZGVtaW9sb2d5LypwcmV2ZW50aW9uICZhbXA7IGNvbnRyb2w8L2tleXdvcmQ+PGtleXdvcmQ+RmVt
YWxlPC9rZXl3b3JkPjxrZXl3b3JkPkh1bWFuczwva2V5d29yZD48a2V5d29yZD4qTGlmZSBTdHls
ZTwva2V5d29yZD48a2V5d29yZD5Nb3RvciBBY3Rpdml0eTwva2V5d29yZD48a2V5d29yZD5PYmVz
aXR5L2NvbXBsaWNhdGlvbnMvdGhlcmFweTwva2V5d29yZD48a2V5d29yZD5QcmVnbmFuY3k8L2tl
eXdvcmQ+PGtleXdvcmQ+UHJlbmF0YWwgQ2FyZTwva2V5d29yZD48a2V5d29yZD5SaXNrIEZhY3Rv
cnM8L2tleXdvcmQ+PGtleXdvcmQ+KldhbGtpbmc8L2tleXdvcmQ+PGtleXdvcmQ+KldlaWdodCBH
YWluPC9rZXl3b3JkPjwva2V5d29yZHM+PGRhdGVzPjx5ZWFyPjIwMTM8L3llYXI+PHB1Yi1kYXRl
cz48ZGF0ZT5NYXk8L2RhdGU+PC9wdWItZGF0ZXM+PC9kYXRlcz48aXNibj4xOTMwLTczOVggKEVs
ZWN0cm9uaWMpJiN4RDsxOTMwLTczODEgKExpbmtpbmcpPC9pc2JuPjxhY2Nlc3Npb24tbnVtPjIz
Nzg0ODkyPC9hY2Nlc3Npb24tbnVtPjx1cmxzPjxyZWxhdGVkLXVybHM+PHVybD5odHRwczovL3d3
dy5uY2JpLm5sbS5uaWguZ292L3B1Ym1lZC8yMzc4NDg5MjwvdXJsPjwvcmVsYXRlZC11cmxzPjwv
dXJscz48ZWxlY3Ryb25pYy1yZXNvdXJjZS1udW0+MTAuMTAwMi9vYnkuMjAxNjM8L2VsZWN0cm9u
aWMtcmVzb3VyY2UtbnVtPjwvcmVjb3JkPjwvQ2l0ZT48Q2l0ZT48QXV0aG9yPlBvbGxleTwvQXV0
aG9yPjxZZWFyPjIwMDI8L1llYXI+PFJlY051bT43MDY8L1JlY051bT48cmVjb3JkPjxyZWMtbnVt
YmVyPjcwNjwvcmVjLW51bWJlcj48Zm9yZWlnbi1rZXlzPjxrZXkgYXBwPSJFTiIgZGItaWQ9ImV4
dmFzcmZ4MmR0cmFvZXNhc3hwMnN6c3hhMmRmNTAyNTkyeCIgdGltZXN0YW1wPSIxNTQwNTMwNjc0
Ij43MDY8L2tleT48L2ZvcmVpZ24ta2V5cz48cmVmLXR5cGUgbmFtZT0iSm91cm5hbCBBcnRpY2xl
Ij4xNzwvcmVmLXR5cGU+PGNvbnRyaWJ1dG9ycz48YXV0aG9ycz48YXV0aG9yPlBvbGxleSwgQi4g
QS48L2F1dGhvcj48YXV0aG9yPldpbmcsIFIuIFIuPC9hdXRob3I+PGF1dGhvcj5TaW1zLCBDLiBK
LjwvYXV0aG9yPjwvYXV0aG9ycz48L2NvbnRyaWJ1dG9ycz48YXV0aC1hZGRyZXNzPlVuaXZlcnNp
dHkgb2YgUGl0dHNidXJnaCwgUGl0dHNidXJnaCwgUGVubnN5bHZhbmlhLCBVU0EuPC9hdXRoLWFk
ZHJlc3M+PHRpdGxlcz48dGl0bGU+UmFuZG9taXplZCBjb250cm9sbGVkIHRyaWFsIHRvIHByZXZl
bnQgZXhjZXNzaXZlIHdlaWdodCBnYWluIGluIHByZWduYW50IHdvbWVuPC90aXRsZT48c2Vjb25k
YXJ5LXRpdGxlPkludCBKIE9iZXMgUmVsYXQgTWV0YWIgRGlzb3JkPC9zZWNvbmRhcnktdGl0bGU+
PC90aXRsZXM+PHBlcmlvZGljYWw+PGZ1bGwtdGl0bGU+SW50IEogT2JlcyBSZWxhdCBNZXRhYiBE
aXNvcmQ8L2Z1bGwtdGl0bGU+PC9wZXJpb2RpY2FsPjxwYWdlcz4xNDk0LTUwMjwvcGFnZXM+PHZv
bHVtZT4yNjwvdm9sdW1lPjxudW1iZXI+MTE8L251bWJlcj48ZWRpdGlvbj4yMDAyLzExLzIwPC9l
ZGl0aW9uPjxrZXl3b3Jkcz48a2V5d29yZD5BZHVsdDwva2V5d29yZD48a2V5d29yZD5FeGVyY2lz
ZSBUaGVyYXB5LyptZXRob2RzPC9rZXl3b3JkPjxrZXl3b3JkPkZlbWFsZTwva2V5d29yZD48a2V5
d29yZD5IZWFsdGggQmVoYXZpb3I8L2tleXdvcmQ+PGtleXdvcmQ+SHVtYW5zPC9rZXl3b3JkPjxr
ZXl3b3JkPk9iZXNpdHkvKnByZXZlbnRpb24gJmFtcDsgY29udHJvbDwva2V5d29yZD48a2V5d29y
ZD5Qb3N0bmF0YWwgQ2FyZS9tZXRob2RzPC9rZXl3b3JkPjxrZXl3b3JkPlByZWduYW5jeTwva2V5
d29yZD48a2V5d29yZD5QcmVnbmFuY3kgQ29tcGxpY2F0aW9ucy8qcHJldmVudGlvbiAmYW1wOyBj
b250cm9sPC9rZXl3b3JkPjxrZXl3b3JkPlByZWduYW5jeSBPdXRjb21lPC9rZXl3b3JkPjxrZXl3
b3JkPlByZW5hdGFsIENhcmUvbWV0aG9kczwva2V5d29yZD48a2V5d29yZD5XZWlnaHQgR2Fpbjwv
a2V5d29yZD48L2tleXdvcmRzPjxkYXRlcz48eWVhcj4yMDAyPC95ZWFyPjxwdWItZGF0ZXM+PGRh
dGU+Tm92PC9kYXRlPjwvcHViLWRhdGVzPjwvZGF0ZXM+PGFjY2Vzc2lvbi1udW0+MTI0Mzk2NTI8
L2FjY2Vzc2lvbi1udW0+PHVybHM+PHJlbGF0ZWQtdXJscz48dXJsPmh0dHBzOi8vd3d3Lm5jYmku
bmxtLm5paC5nb3YvcHVibWVkLzEyNDM5NjUyPC91cmw+PC9yZWxhdGVkLXVybHM+PC91cmxzPjxl
bGVjdHJvbmljLXJlc291cmNlLW51bT4xMC4xMDM4L3NqLmlqby4wODAyMTMwPC9lbGVjdHJvbmlj
LXJlc291cmNlLW51bT48L3JlY29yZD48L0NpdGU+PENpdGU+PEF1dGhvcj5Sb25uYmVyZzwvQXV0
aG9yPjxZZWFyPjIwMTU8L1llYXI+PFJlY051bT43NTQ8L1JlY051bT48cmVjb3JkPjxyZWMtbnVt
YmVyPjc1NDwvcmVjLW51bWJlcj48Zm9yZWlnbi1rZXlzPjxrZXkgYXBwPSJFTiIgZGItaWQ9ImV4
dmFzcmZ4MmR0cmFvZXNhc3hwMnN6c3hhMmRmNTAyNTkyeCIgdGltZXN0YW1wPSIxNTQxNDY3OTUy
Ij43NTQ8L2tleT48a2V5IGFwcD0iRU5XZWIiIGRiLWlkPSIiPjA8L2tleT48L2ZvcmVpZ24ta2V5
cz48cmVmLXR5cGUgbmFtZT0iSm91cm5hbCBBcnRpY2xlIj4xNzwvcmVmLXR5cGU+PGNvbnRyaWJ1
dG9ycz48YXV0aG9ycz48YXV0aG9yPlJvbm5iZXJnLCBBLiBLLjwvYXV0aG9yPjxhdXRob3I+T3N0
bHVuZCwgSS48L2F1dGhvcj48YXV0aG9yPkZhZGwsIEguPC9hdXRob3I+PGF1dGhvcj5Hb3R0dmFs
bCwgVC48L2F1dGhvcj48YXV0aG9yPk5pbHNzb24sIEsuPC9hdXRob3I+PC9hdXRob3JzPjwvY29u
dHJpYnV0b3JzPjx0aXRsZXM+PHRpdGxlPkludGVydmVudGlvbiBkdXJpbmcgcHJlZ25hbmN5IHRv
IHJlZHVjZSBleGNlc3NpdmUgZ2VzdGF0aW9uYWwgd2VpZ2h0IGdhaW4tYSByYW5kb21pc2VkIGNv
bnRyb2xsZWQgdHJpYWw8L3RpdGxlPjxzZWNvbmRhcnktdGl0bGU+QkpPRzogQW4gSW50ZXJuYXRp
b25hbCBKb3VybmFsIG9mIE9ic3RldHJpY3MgJmFtcDsgR3luYWVjb2xvZ3k8L3NlY29uZGFyeS10
aXRsZT48L3RpdGxlcz48cGVyaW9kaWNhbD48ZnVsbC10aXRsZT5CSk9HOiBBbiBJbnRlcm5hdGlv
bmFsIEpvdXJuYWwgb2YgT2JzdGV0cmljcyAmYW1wOyBHeW5hZWNvbG9neTwvZnVsbC10aXRsZT48
L3BlcmlvZGljYWw+PHBhZ2VzPjUzNy01NDQ8L3BhZ2VzPjx2b2x1bWU+MTIyPC92b2x1bWU+PG51
bWJlcj40PC9udW1iZXI+PHNlY3Rpb24+NTM3PC9zZWN0aW9uPjxkYXRlcz48eWVhcj4yMDE1PC95
ZWFyPjwvZGF0ZXM+PGlzYm4+MTQ3MDAzMjg8L2lzYm4+PHVybHM+PC91cmxzPjxlbGVjdHJvbmlj
LXJlc291cmNlLW51bT4xMC4xMTExLzE0NzEtMDUyOC4xMzEzMTwvZWxlY3Ryb25pYy1yZXNvdXJj
ZS1udW0+PC9yZWNvcmQ+PC9DaXRlPjxDaXRlPjxBdXRob3I+QWx0YXphbjwvQXV0aG9yPjxZZWFy
PjIwMTk8L1llYXI+PFJlY051bT4xMzc5PC9SZWNOdW0+PHJlY29yZD48cmVjLW51bWJlcj4xMzc5
PC9yZWMtbnVtYmVyPjxmb3JlaWduLWtleXM+PGtleSBhcHA9IkVOIiBkYi1pZD0iZXh2YXNyZngy
ZHRyYW9lc2FzeHAyc3pzeGEyZGY1MDI1OTJ4IiB0aW1lc3RhbXA9IjE1NjcwNjE1MTQiPjEzNzk8
L2tleT48a2V5IGFwcD0iRU5XZWIiIGRiLWlkPSIiPjA8L2tleT48L2ZvcmVpZ24ta2V5cz48cmVm
LXR5cGUgbmFtZT0iSm91cm5hbCBBcnRpY2xlIj4xNzwvcmVmLXR5cGU+PGNvbnRyaWJ1dG9ycz48
YXV0aG9ycz48YXV0aG9yPkFsdGF6YW4sIEEuIEQuPC9hdXRob3I+PGF1dGhvcj5SZWRtYW4sIEwu
IE0uPC9hdXRob3I+PGF1dGhvcj5CdXJ0b24sIEouIEguPC9hdXRob3I+PGF1dGhvcj5CZXlsLCBS
LiBBLjwvYXV0aG9yPjxhdXRob3I+Q2FpbiwgTC4gRS48L2F1dGhvcj48YXV0aG9yPlN1dHRvbiwg
RS4gRi48L2F1dGhvcj48YXV0aG9yPk1hcnRpbiwgQy4gSy48L2F1dGhvcj48L2F1dGhvcnM+PC9j
b250cmlidXRvcnM+PGF1dGgtYWRkcmVzcz5QZW5uaW5ndG9uIEJpb21lZGljYWwgUmVzZWFyY2gg
Q2VudGVyLCBMb3Vpc2lhbmEgU3RhdGUgVW5pdmVyc2l0eSwgNjQwMCBQZXJraW5zIFJvYWQsIEJh
dG9uIFJvdWdlLCBMQSwgNzA4MDgsIFVTQS4mI3hEO1Blbm5pbmd0b24gQmlvbWVkaWNhbCBSZXNl
YXJjaCBDZW50ZXIsIExvdWlzaWFuYSBTdGF0ZSBVbml2ZXJzaXR5LCA2NDAwIFBlcmtpbnMgUm9h
ZCwgQmF0b24gUm91Z2UsIExBLCA3MDgwOCwgVVNBLiBjb3JieS5tYXJ0aW5AcGJyYy5lZHUuPC9h
dXRoLWFkZHJlc3M+PHRpdGxlcz48dGl0bGU+TW9vZCBhbmQgcXVhbGl0eSBvZiBsaWZlIGNoYW5n
ZXMgaW4gcHJlZ25hbmN5IGFuZCBwb3N0cGFydHVtIGFuZCB0aGUgZWZmZWN0IG9mIGEgYmVoYXZp
b3JhbCBpbnRlcnZlbnRpb24gdGFyZ2V0aW5nIGV4Y2VzcyBnZXN0YXRpb25hbCB3ZWlnaHQgZ2Fp
biBpbiB3b21lbiB3aXRoIG92ZXJ3ZWlnaHQgYW5kIG9iZXNpdHk6IGEgcGFyYWxsZWwtYXJtIHJh
bmRvbWl6ZWQgY29udHJvbGxlZCBwaWxvdCB0cmlhbDwvdGl0bGU+PHNlY29uZGFyeS10aXRsZT5C
TUMgUHJlZ25hbmN5IENoaWxkYmlydGg8L3NlY29uZGFyeS10aXRsZT48L3RpdGxlcz48cGVyaW9k
aWNhbD48ZnVsbC10aXRsZT5CTUMgUHJlZ25hbmN5IENoaWxkYmlydGg8L2Z1bGwtdGl0bGU+PC9w
ZXJpb2RpY2FsPjxwYWdlcz41MDwvcGFnZXM+PHZvbHVtZT4xOTwvdm9sdW1lPjxudW1iZXI+MTwv
bnVtYmVyPjxlZGl0aW9uPjIwMTkvMDEvMzE8L2VkaXRpb24+PGtleXdvcmRzPjxrZXl3b3JkPkFk
dWx0PC9rZXl3b3JkPjxrZXl3b3JkPkJlaGF2aW9yIFRoZXJhcHkvKm1ldGhvZHM8L2tleXdvcmQ+
PGtleXdvcmQ+RmVtYWxlPC9rZXl3b3JkPjxrZXl3b3JkPipHZXN0YXRpb25hbCBXZWlnaHQgR2Fp
bjwva2V5d29yZD48a2V5d29yZD5IdW1hbnM8L2tleXdvcmQ+PGtleXdvcmQ+TGlmZSBTdHlsZTwv
a2V5d29yZD48a2V5d29yZD5PdmVyd2VpZ2h0LypwcmV2ZW50aW9uICZhbXA7IGNvbnRyb2w8L2tl
eXdvcmQ+PGtleXdvcmQ+UGlsb3QgUHJvamVjdHM8L2tleXdvcmQ+PGtleXdvcmQ+UHJlZ25hbmN5
PC9rZXl3b3JkPjxrZXl3b3JkPlByZW5hdGFsIENhcmUvKm1ldGhvZHM8L2tleXdvcmQ+PGtleXdv
cmQ+UXVhbGl0eSBvZiBMaWZlLypwc3ljaG9sb2d5PC9rZXl3b3JkPjxrZXl3b3JkPlRyZWF0bWVu
dCBPdXRjb21lPC9rZXl3b3JkPjxrZXl3b3JkPldlaWdodCBHYWluPC9rZXl3b3JkPjxrZXl3b3Jk
Pkdlc3RhdGlvbmFsIHdlaWdodCBnYWluPC9rZXl3b3JkPjxrZXl3b3JkPk1lbnRhbCBoZWFsdGg8
L2tleXdvcmQ+PGtleXdvcmQ+UXVhbGl0eSBvZiBsaWZlPC9rZXl3b3JkPjwva2V5d29yZHM+PGRh
dGVzPjx5ZWFyPjIwMTk8L3llYXI+PHB1Yi1kYXRlcz48ZGF0ZT5KYW4gMjk8L2RhdGU+PC9wdWIt
ZGF0ZXM+PC9kYXRlcz48aXNibj4xNDcxLTIzOTMgKEVsZWN0cm9uaWMpJiN4RDsxNDcxLTIzOTMg
KExpbmtpbmcpPC9pc2JuPjxhY2Nlc3Npb24tbnVtPjMwNjk2NDA4PC9hY2Nlc3Npb24tbnVtPjx1
cmxzPjxyZWxhdGVkLXVybHM+PHVybD5odHRwczovL3d3dy5uY2JpLm5sbS5uaWguZ292L3B1Ym1l
ZC8zMDY5NjQwODwvdXJsPjwvcmVsYXRlZC11cmxzPjwvdXJscz48Y3VzdG9tMj5QTUM2MzUyMzUy
PC9jdXN0b20yPjxlbGVjdHJvbmljLXJlc291cmNlLW51bT4xMC4xMTg2L3MxMjg4NC0wMTktMjE5
Ni04PC9lbGVjdHJvbmljLXJlc291cmNlLW51bT48L3JlY29yZD48L0NpdGU+PENpdGU+PEF1dGhv
cj5QaGVsYW48L0F1dGhvcj48WWVhcj4yMDE4PC9ZZWFyPjxSZWNOdW0+MTM4NjwvUmVjTnVtPjxy
ZWNvcmQ+PHJlYy1udW1iZXI+MTM4NjwvcmVjLW51bWJlcj48Zm9yZWlnbi1rZXlzPjxrZXkgYXBw
PSJFTiIgZGItaWQ9ImV4dmFzcmZ4MmR0cmFvZXNhc3hwMnN6c3hhMmRmNTAyNTkyeCIgdGltZXN0
YW1wPSIxNTY3MzgyNDg1Ij4xMzg2PC9rZXk+PC9mb3JlaWduLWtleXM+PHJlZi10eXBlIG5hbWU9
IkpvdXJuYWwgQXJ0aWNsZSI+MTc8L3JlZi10eXBlPjxjb250cmlidXRvcnM+PGF1dGhvcnM+PGF1
dGhvcj5QaGVsYW4sIFMuPC9hdXRob3I+PGF1dGhvcj5XaW5nLCBSLiBSLjwvYXV0aG9yPjxhdXRo
b3I+QnJhbm5lbiwgQS48L2F1dGhvcj48YXV0aG9yPk1jSHVnaCwgQS48L2F1dGhvcj48YXV0aG9y
PkhhZ29iaWFuLCBULiBBLjwvYXV0aG9yPjxhdXRob3I+U2NoYWZmbmVyLCBBLjwvYXV0aG9yPjxh
dXRob3I+SmVsYWxpYW4sIEUuPC9hdXRob3I+PGF1dGhvcj5IYXJ0LCBDLiBOLjwvYXV0aG9yPjxh
dXRob3I+U2Nob2xsLCBULiBPLjwvYXV0aG9yPjxhdXRob3I+TXVub3otQ2hyaXN0aWFuLCBLLjwv
YXV0aG9yPjxhdXRob3I+WWluLCBFLjwvYXV0aG9yPjxhdXRob3I+UGhpcHBzLCBNLiBHLjwvYXV0
aG9yPjxhdXRob3I+S2VhZGxlLCBTLjwvYXV0aG9yPjxhdXRob3I+QWJyYW1zLCBCLjwvYXV0aG9y
PjwvYXV0aG9ycz48L2NvbnRyaWJ1dG9ycz48YXV0aC1hZGRyZXNzPkRlcGFydG1lbnRzIG9mIEtp
bmVzaW9sb2d5LCBTdGF0aXN0aWNzLCBhbmQgTW9kZXJuIExhbmd1YWdlcywgQ2FsaWZvcm5pYSBQ
b2x5dGVjaG5pYyBTdGF0ZSBVbml2ZXJzaXR5LCBTYW4gTHVpcyBPYmlzcG8sIENBLiYjeEQ7RGVw
YXJ0bWVudCBvZiBQc3ljaGlhdHJ5IGFuZCBIdW1hbiBCZWhhdmlvciwgV2FycmVuIEFscGVydCBN
ZWRpY2FsIFNjaG9vbCBhdCBCcm93biBVbml2ZXJzaXR5LCBQcm92aWRlbmNlLCBSSS4mI3hEO0Rl
cGFydG1lbnRzIG9mIFN0YXRpc3RpY3MsIGFuZCBNb2Rlcm4gTGFuZ3VhZ2VzLCBDYWxpZm9ybmlh
IFBvbHl0ZWNobmljIFN0YXRlIFVuaXZlcnNpdHksIFNhbiBMdWlzIE9iaXNwbywgQ0EuJiN4RDtE
ZXBhcnRtZW50IG9mIFNvY2lhbCBhbmQgQmVoYXZpb3JhbCBTY2llbmNlcywgVGVtcGxlIFVuaXZl
cnNpdHkgQ2VudGVyIGZvciBPYmVzaXR5IFJlc2VhcmNoIGFuZCBFZHVjYXRpb24sIFBoaWxhZGVs
cGhpYSwgUEEuJiN4RDtEZXBhcnRtZW50IG9mIE9ic3RldHJpY3MgYW5kIEd5bmVjb2xvZ3ksIFVu
aXZlcnNpdHkgb2YgTWVkaWNpbmUgYW5kIERlbnRpc3RyeSBvZiBOZXcgSmVyc2V5IChub3cgUm93
YW4pLCBHbGFzc2Jvcm8sIE5KLiYjeEQ7RGVwYXJ0bWVudHMgb2YgTW9kZXJuIExhbmd1YWdlcywg
Q2FsaWZvcm5pYSBQb2x5dGVjaG5pYyBTdGF0ZSBVbml2ZXJzaXR5LCBTYW4gTHVpcyBPYmlzcG8s
IENBLiYjeEQ7UGFjaWZpYyBDZW50cmFsIENvYXN0IEhlYWx0aCBDZW50ZXJzLCBTYW50YSBNYXJp
YSBXb21lbiZhcG9zO3MgSGVhbHRoLCBTYW50YSBNYXJpYSwgQ0EuJiN4RDtEZXBhcnRtZW50IG9m
IE9ic3RldHJpY3MgYW5kIEd5bmVjb2xvZ3ksIFdhcnJlbiBBbHBlcnQgTWVkaWNhbCBTY2hvb2wg
b2YgQnJvd24gVW5pdmVyc2l0eSBhbmQgV29tZW4gYW5kIEluZmFudHMgSG9zcGl0YWwsIFByb3Zp
ZGVuY2UsIFJJLiYjeEQ7RGl2aXNpb24gb2YgRXBpZGVtaW9sb2d5LCBVbml2ZXJzaXR5IG9mIENh
bGlmb3JuaWEgYXQgQmVya2VsZXkgU2Nob29sIG9mIFB1YmxpYyBIZWFsdGgsIEJlcmtlbGV5LCBD
QS48L2F1dGgtYWRkcmVzcz48dGl0bGVzPjx0aXRsZT5SYW5kb21pemVkIGNvbnRyb2xsZWQgY2xp
bmljYWwgdHJpYWwgb2YgYmVoYXZpb3JhbCBsaWZlc3R5bGUgaW50ZXJ2ZW50aW9uIHdpdGggcGFy
dGlhbCBtZWFsIHJlcGxhY2VtZW50IHRvIHJlZHVjZSBleGNlc3NpdmUgZ2VzdGF0aW9uYWwgd2Vp
Z2h0IGdhaW48L3RpdGxlPjxzZWNvbmRhcnktdGl0bGU+QW0gSiBDbGluIE51dHI8L3NlY29uZGFy
eS10aXRsZT48L3RpdGxlcz48cGVyaW9kaWNhbD48ZnVsbC10aXRsZT5BbSBKIENsaW4gTnV0cjwv
ZnVsbC10aXRsZT48L3BlcmlvZGljYWw+PHBhZ2VzPjE4My0xOTQ8L3BhZ2VzPjx2b2x1bWU+MTA3
PC92b2x1bWU+PG51bWJlcj4yPC9udW1iZXI+PGVkaXRpb24+MjAxOC8wMy8xMzwvZWRpdGlvbj48
a2V5d29yZHM+PGtleXdvcmQ+QWR1bHQ8L2tleXdvcmQ+PGtleXdvcmQ+Qm9keSBNYXNzIEluZGV4
PC9rZXl3b3JkPjxrZXl3b3JkPkNhbGlmb3JuaWE8L2tleXdvcmQ+PGtleXdvcmQ+RGlldDwva2V5
d29yZD48a2V5d29yZD5FdGhuaWMgR3JvdXBzPC9rZXl3b3JkPjxrZXl3b3JkPkV4ZXJjaXNlPC9r
ZXl3b3JkPjxrZXl3b3JkPkZlbWFsZTwva2V5d29yZD48a2V5d29yZD4qR2VzdGF0aW9uYWwgV2Vp
Z2h0IEdhaW48L2tleXdvcmQ+PGtleXdvcmQ+KkhlYWx0aCBCZWhhdmlvcjwva2V5d29yZD48a2V5
d29yZD5IdW1hbnM8L2tleXdvcmQ+PGtleXdvcmQ+SW5jaWRlbmNlPC9rZXl3b3JkPjxrZXl3b3Jk
PipMaWZlIFN0eWxlPC9rZXl3b3JkPjxrZXl3b3JkPk1lYWxzPC9rZXl3b3JkPjxrZXl3b3JkPk51
dHJpdGlvbiBBc3Nlc3NtZW50PC9rZXl3b3JkPjxrZXl3b3JkPk9iZXNpdHkvKnByZXZlbnRpb24g
JmFtcDsgY29udHJvbDwva2V5d29yZD48a2V5d29yZD5PdmVyd2VpZ2h0LypwcmV2ZW50aW9uICZh
bXA7IGNvbnRyb2w8L2tleXdvcmQ+PGtleXdvcmQ+UHJlZ25hbmN5PC9rZXl3b3JkPjxrZXl3b3Jk
PlByZWduYW5jeSBDb21wbGljYXRpb25zLypwcmV2ZW50aW9uICZhbXA7IGNvbnRyb2w8L2tleXdv
cmQ+PGtleXdvcmQ+UHJlZ25hbmN5IE91dGNvbWU8L2tleXdvcmQ+PGtleXdvcmQ+UmlzayBGYWN0
b3JzPC9rZXl3b3JkPjxrZXl3b3JkPllvdW5nIEFkdWx0PC9rZXl3b3JkPjwva2V5d29yZHM+PGRh
dGVzPjx5ZWFyPjIwMTg8L3llYXI+PHB1Yi1kYXRlcz48ZGF0ZT5GZWIgMTwvZGF0ZT48L3B1Yi1k
YXRlcz48L2RhdGVzPjxpc2JuPjE5MzgtMzIwNyAoRWxlY3Ryb25pYykmI3hEOzAwMDItOTE2NSAo
TGlua2luZyk8L2lzYm4+PGFjY2Vzc2lvbi1udW0+Mjk1MjkxNTc8L2FjY2Vzc2lvbi1udW0+PHVy
bHM+PHJlbGF0ZWQtdXJscz48dXJsPmh0dHBzOi8vd3d3Lm5jYmkubmxtLm5paC5nb3YvcHVibWVk
LzI5NTI5MTU3PC91cmw+PC9yZWxhdGVkLXVybHM+PC91cmxzPjxjdXN0b20yPlBNQzY0NTUwMzA8
L2N1c3RvbTI+PGVsZWN0cm9uaWMtcmVzb3VyY2UtbnVtPjEwLjEwOTMvYWpjbi9ucXgwNDM8L2Vs
ZWN0cm9uaWMtcmVzb3VyY2UtbnVtPjwvcmVjb3JkPjwvQ2l0ZT48L0VuZE5vdGU+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A5540F">
        <w:rPr>
          <w:rFonts w:ascii="Century Gothic" w:hAnsi="Century Gothic"/>
          <w:noProof/>
        </w:rPr>
      </w:r>
      <w:r w:rsidR="00A5540F">
        <w:rPr>
          <w:rFonts w:ascii="Century Gothic" w:hAnsi="Century Gothic"/>
          <w:noProof/>
        </w:rPr>
        <w:fldChar w:fldCharType="separate"/>
      </w:r>
      <w:r w:rsidR="002747EA" w:rsidRPr="002747EA">
        <w:rPr>
          <w:noProof/>
          <w:vertAlign w:val="superscript"/>
        </w:rPr>
        <w:t>486,495,507,508,520</w:t>
      </w:r>
      <w:r w:rsidR="00A5540F">
        <w:rPr>
          <w:rFonts w:ascii="Century Gothic" w:hAnsi="Century Gothic"/>
          <w:noProof/>
        </w:rPr>
        <w:fldChar w:fldCharType="end"/>
      </w:r>
      <w:r w:rsidR="00A5540F">
        <w:rPr>
          <w:lang w:val="en-AU"/>
        </w:rPr>
        <w:t xml:space="preserve"> log books,</w:t>
      </w:r>
      <w:r w:rsidR="00A5540F">
        <w:fldChar w:fldCharType="begin">
          <w:fldData xml:space="preserve">PEVuZE5vdGU+PENpdGU+PEF1dGhvcj5IYXdraW5zPC9BdXRob3I+PFllYXI+MjAxNTwvWWVhcj48
UmVjTnVtPjcyNjwvUmVjTnVtPjxEaXNwbGF5VGV4dD48c3R5bGUgZmFjZT0ic3VwZXJzY3JpcHQi
IGZvbnQ9IlRyZWJ1Y2hldCBNUyIgc2l6ZT0iOSI+NDkwLDQ5MSw0OTQsNDk2LDUwMyw1MDgsNTEz
LDUxNCw1MjI8L3N0eWxlPjwvRGlzcGxheVRleHQ+PHJlY29yZD48cmVjLW51bWJlcj43MjY8L3Jl
Yy1udW1iZXI+PGZvcmVpZ24ta2V5cz48a2V5IGFwcD0iRU4iIGRiLWlkPSJleHZhc3JmeDJkdHJh
b2VzYXN4cDJzenN4YTJkZjUwMjU5MngiIHRpbWVzdGFtcD0iMTU0MTQ2NTMyMiI+NzI2PC9rZXk+
PC9mb3JlaWduLWtleXM+PHJlZi10eXBlIG5hbWU9IkpvdXJuYWwgQXJ0aWNsZSI+MTc8L3JlZi10
eXBlPjxjb250cmlidXRvcnM+PGF1dGhvcnM+PGF1dGhvcj5IYXdraW5zLCBNLjwvYXV0aG9yPjxh
dXRob3I+SG9za2VyLCBNLjwvYXV0aG9yPjxhdXRob3I+TWFyY3VzLCBCLiBILjwvYXV0aG9yPjxh
dXRob3I+Um9zYWwsIE0uIEMuPC9hdXRob3I+PGF1dGhvcj5CcmF1biwgQi48L2F1dGhvcj48YXV0
aG9yPlN0YW5laywgRS4gSi4sIDNyZDwvYXV0aG9yPjxhdXRob3I+TWFya2Vuc29uLCBHLjwvYXV0
aG9yPjxhdXRob3I+Q2hhc2FuLVRhYmVyLCBMLjwvYXV0aG9yPjwvYXV0aG9ycz48L2NvbnRyaWJ1
dG9ycz48YXV0aC1hZGRyZXNzPkRpdmlzaW9uIG9mIEJpb3N0YXRpc3RpY3MgYW5kIEVwaWRlbWlv
bG9neSwgRGVwYXJ0bWVudCBvZiBQdWJsaWMgSGVhbHRoLCBTY2hvb2wgb2YgUHVibGljIEhlYWx0
aCBhbmQgSGVhbHRoIFNjaWVuY2VzLCBVbml2ZXJzaXR5IG9mIE1hc3NhY2h1c2V0dHMsIEFtaGVy
c3QsIE1BLCBVU0EuPC9hdXRoLWFkZHJlc3M+PHRpdGxlcz48dGl0bGU+QSBwcmVnbmFuY3kgbGlm
ZXN0eWxlIGludGVydmVudGlvbiB0byBwcmV2ZW50IGdlc3RhdGlvbmFsIGRpYWJldGVzIHJpc2sg
ZmFjdG9ycyBpbiBvdmVyd2VpZ2h0IEhpc3BhbmljIHdvbWVuOiBhIGZlYXNpYmlsaXR5IHJhbmRv
bWl6ZWQgY29udHJvbGxlZCB0cmlhbDwvdGl0bGU+PHNlY29uZGFyeS10aXRsZT5EaWFiZXQgTWVk
PC9zZWNvbmRhcnktdGl0bGU+PC90aXRsZXM+PHBlcmlvZGljYWw+PGZ1bGwtdGl0bGU+RGlhYmV0
IE1lZDwvZnVsbC10aXRsZT48L3BlcmlvZGljYWw+PHBhZ2VzPjEwOC0xNTwvcGFnZXM+PHZvbHVt
ZT4zMjwvdm9sdW1lPjxudW1iZXI+MTwvbnVtYmVyPjxlZGl0aW9uPjIwMTQvMTAvMTQ8L2VkaXRp
b24+PGtleXdvcmRzPjxrZXl3b3JkPkFkdWx0PC9rZXl3b3JkPjxrZXl3b3JkPkJpcnRoIFdlaWdo
dDwva2V5d29yZD48a2V5d29yZD5EaWFiZXRlcywgR2VzdGF0aW9uYWwvKnByZXZlbnRpb24gJmFt
cDsgY29udHJvbDwva2V5d29yZD48a2V5d29yZD5EaWV0PC9rZXl3b3JkPjxrZXl3b3JkPkV4ZXJj
aXNlPC9rZXl3b3JkPjxrZXl3b3JkPkZlYXNpYmlsaXR5IFN0dWRpZXM8L2tleXdvcmQ+PGtleXdv
cmQ+RmVlZGluZyBCZWhhdmlvcjwva2V5d29yZD48a2V5d29yZD5GZW1hbGU8L2tleXdvcmQ+PGtl
eXdvcmQ+SGlzcGFuaWMgQW1lcmljYW5zLypzdGF0aXN0aWNzICZhbXA7IG51bWVyaWNhbCBkYXRh
PC9rZXl3b3JkPjxrZXl3b3JkPkh1bWFuczwva2V5d29yZD48a2V5d29yZD5JbmZhbnQsIE5ld2Jv
cm48L2tleXdvcmQ+PGtleXdvcmQ+TWFsZTwva2V5d29yZD48a2V5d29yZD5PdmVyd2VpZ2h0L2Nv
bXBsaWNhdGlvbnMvKnByZXZlbnRpb24gJmFtcDsgY29udHJvbDwva2V5d29yZD48a2V5d29yZD5Q
YXRpZW50IENvbXBsaWFuY2U8L2tleXdvcmQ+PGtleXdvcmQ+UHJlZ25hbmN5PC9rZXl3b3JkPjxr
ZXl3b3JkPlByZW5hdGFsIENhcmU8L2tleXdvcmQ+PGtleXdvcmQ+KlByaW1hcnkgUHJldmVudGlv
bjwva2V5d29yZD48a2V5d29yZD5SaXNrIEZhY3RvcnM8L2tleXdvcmQ+PGtleXdvcmQ+KlJpc2sg
UmVkdWN0aW9uIEJlaGF2aW9yPC9rZXl3b3JkPjxrZXl3b3JkPlRyZWF0bWVudCBPdXRjb21lPC9r
ZXl3b3JkPjxrZXl3b3JkPlVuaXRlZCBTdGF0ZXMvZXBpZGVtaW9sb2d5PC9rZXl3b3JkPjxrZXl3
b3JkPldlaWdodCBHYWluPC9rZXl3b3JkPjwva2V5d29yZHM+PGRhdGVzPjx5ZWFyPjIwMTU8L3ll
YXI+PHB1Yi1kYXRlcz48ZGF0ZT5KYW48L2RhdGU+PC9wdWItZGF0ZXM+PC9kYXRlcz48aXNibj4x
NDY0LTU0OTEgKEVsZWN0cm9uaWMpJiN4RDswNzQyLTMwNzEgKExpbmtpbmcpPC9pc2JuPjxhY2Nl
c3Npb24tbnVtPjI1MzA2OTI1PC9hY2Nlc3Npb24tbnVtPjx1cmxzPjxyZWxhdGVkLXVybHM+PHVy
bD5odHRwczovL3d3dy5uY2JpLm5sbS5uaWguZ292L3B1Ym1lZC8yNTMwNjkyNTwvdXJsPjwvcmVs
YXRlZC11cmxzPjwvdXJscz48ZWxlY3Ryb25pYy1yZXNvdXJjZS1udW0+MTAuMTExMS9kbWUuMTI2
MDE8L2VsZWN0cm9uaWMtcmVzb3VyY2UtbnVtPjwvcmVjb3JkPjwvQ2l0ZT48Q2l0ZT48QXV0aG9y
Pkh1aTwvQXV0aG9yPjxZZWFyPjIwMTI8L1llYXI+PFJlY051bT43NDY8L1JlY051bT48cmVjb3Jk
PjxyZWMtbnVtYmVyPjc0NjwvcmVjLW51bWJlcj48Zm9yZWlnbi1rZXlzPjxrZXkgYXBwPSJFTiIg
ZGItaWQ9ImV4dmFzcmZ4MmR0cmFvZXNhc3hwMnN6c3hhMmRmNTAyNTkyeCIgdGltZXN0YW1wPSIx
NTQxNDY3ODk0Ij43NDY8L2tleT48a2V5IGFwcD0iRU5XZWIiIGRiLWlkPSIiPjA8L2tleT48L2Zv
cmVpZ24ta2V5cz48cmVmLXR5cGUgbmFtZT0iSm91cm5hbCBBcnRpY2xlIj4xNzwvcmVmLXR5cGU+
PGNvbnRyaWJ1dG9ycz48YXV0aG9ycz48YXV0aG9yPkh1aSwgQS48L2F1dGhvcj48YXV0aG9yPkJh
Y2ssIEwuPC9hdXRob3I+PGF1dGhvcj5MdWR3aWcsIFMuPC9hdXRob3I+PGF1dGhvcj5HYXJkaW5l
ciwgUC48L2F1dGhvcj48YXV0aG9yPlNldmVuaHV5c2VuLCBHLjwvYXV0aG9yPjxhdXRob3I+RGVh
biwgSC48L2F1dGhvcj48YXV0aG9yPlNlbGxlcnMsIEUuPC9hdXRob3I+PGF1dGhvcj5NY0dhdm9j
aywgSi48L2F1dGhvcj48YXV0aG9yPk1vcnJpcywgTS48L2F1dGhvcj48YXV0aG9yPkJydWNlLCBT
LjwvYXV0aG9yPjxhdXRob3I+TXVycmF5LCBSLjwvYXV0aG9yPjxhdXRob3I+U2hlbiwgRy4gWC48
L2F1dGhvcj48L2F1dGhvcnM+PC9jb250cmlidXRvcnM+PGF1dGgtYWRkcmVzcz5EZXBhcnRtZW50
IG9mIEludGVybmFsIE1lZGljaW5lLCBVbml2ZXJzaXR5IG9mIE1hbml0b2JhLCBXaW5uaXBlZywg
TWFuaXRvYmEsIENhbmFkYS48L2F1dGgtYWRkcmVzcz48dGl0bGVzPjx0aXRsZT5MaWZlc3R5bGUg
aW50ZXJ2ZW50aW9uIG9uIGRpZXQgYW5kIGV4ZXJjaXNlIHJlZHVjZWQgZXhjZXNzaXZlIGdlc3Rh
dGlvbmFsIHdlaWdodCBnYWluIGluIHByZWduYW50IHdvbWVuIHVuZGVyIGEgcmFuZG9taXNlZCBj
b250cm9sbGVkIHRyaWFsPC90aXRsZT48c2Vjb25kYXJ5LXRpdGxlPkJKT0c8L3NlY29uZGFyeS10
aXRsZT48L3RpdGxlcz48cGVyaW9kaWNhbD48ZnVsbC10aXRsZT5CSk9HPC9mdWxsLXRpdGxlPjwv
cGVyaW9kaWNhbD48cGFnZXM+NzAtNzwvcGFnZXM+PHZvbHVtZT4xMTk8L3ZvbHVtZT48bnVtYmVy
PjE8L251bWJlcj48ZWRpdGlvbj4yMDExLzEwLzI1PC9lZGl0aW9uPjxrZXl3b3Jkcz48a2V5d29y
ZD5BZHVsdDwva2V5d29yZD48a2V5d29yZD5Db3Vuc2VsaW5nPC9rZXl3b3JkPjxrZXl3b3JkPipE
aWV0PC9rZXl3b3JkPjxrZXl3b3JkPkVuZXJneSBJbnRha2U8L2tleXdvcmQ+PGtleXdvcmQ+RXhl
cmNpc2UgVGhlcmFweS8qbWV0aG9kczwva2V5d29yZD48a2V5d29yZD5GZW1hbGU8L2tleXdvcmQ+
PGtleXdvcmQ+SHVtYW5zPC9rZXl3b3JkPjxrZXl3b3JkPipMaWZlIFN0eWxlPC9rZXl3b3JkPjxr
ZXl3b3JkPlBhdGllbnQgRWR1Y2F0aW9uIGFzIFRvcGljPC9rZXl3b3JkPjxrZXl3b3JkPlByZWdu
YW5jeTwva2V5d29yZD48a2V5d29yZD5QcmVnbmFuY3kgQ29tcGxpY2F0aW9ucy8qcHJldmVudGlv
biAmYW1wOyBjb250cm9sPC9rZXl3b3JkPjxrZXl3b3JkPlByZWduYW5jeSBPdXRjb21lPC9rZXl3
b3JkPjxrZXl3b3JkPlByZW5hdGFsIENhcmUvKm1ldGhvZHM8L2tleXdvcmQ+PGtleXdvcmQ+VXJi
YW4gSGVhbHRoPC9rZXl3b3JkPjxrZXl3b3JkPldlaWdodCBHYWluLypwaHlzaW9sb2d5PC9rZXl3
b3JkPjxrZXl3b3JkPllvdW5nIEFkdWx0PC9rZXl3b3JkPjwva2V5d29yZHM+PGRhdGVzPjx5ZWFy
PjIwMTI8L3llYXI+PHB1Yi1kYXRlcz48ZGF0ZT5KYW48L2RhdGU+PC9wdWItZGF0ZXM+PC9kYXRl
cz48aXNibj4xNDcxLTA1MjggKEVsZWN0cm9uaWMpJiN4RDsxNDcwLTAzMjggKExpbmtpbmcpPC9p
c2JuPjxhY2Nlc3Npb24tbnVtPjIyMDE3OTY3PC9hY2Nlc3Npb24tbnVtPjx1cmxzPjxyZWxhdGVk
LXVybHM+PHVybD5odHRwczovL3d3dy5uY2JpLm5sbS5uaWguZ292L3B1Ym1lZC8yMjAxNzk2Nzwv
dXJsPjwvcmVsYXRlZC11cmxzPjwvdXJscz48ZWxlY3Ryb25pYy1yZXNvdXJjZS1udW0+MTAuMTEx
MS9qLjE0NzEtMDUyOC4yMDExLjAzMTg0Lng8L2VsZWN0cm9uaWMtcmVzb3VyY2UtbnVtPjwvcmVj
b3JkPjwvQ2l0ZT48Q2l0ZT48QXV0aG9yPkh1aTwvQXV0aG9yPjxZZWFyPjIwMTQ8L1llYXI+PFJl
Y051bT43NjM8L1JlY051bT48cmVjb3JkPjxyZWMtbnVtYmVyPjc2MzwvcmVjLW51bWJlcj48Zm9y
ZWlnbi1rZXlzPjxrZXkgYXBwPSJFTiIgZGItaWQ9ImV4dmFzcmZ4MmR0cmFvZXNhc3hwMnN6c3hh
MmRmNTAyNTkyeCIgdGltZXN0YW1wPSIxNTQxNDY4NDQ2Ij43NjM8L2tleT48L2ZvcmVpZ24ta2V5
cz48cmVmLXR5cGUgbmFtZT0iSm91cm5hbCBBcnRpY2xlIj4xNzwvcmVmLXR5cGU+PGNvbnRyaWJ1
dG9ycz48YXV0aG9ycz48YXV0aG9yPkh1aSwgQS4gTC48L2F1dGhvcj48YXV0aG9yPkJhY2ssIEwu
PC9hdXRob3I+PGF1dGhvcj5MdWR3aWcsIFMuPC9hdXRob3I+PGF1dGhvcj5HYXJkaW5lciwgUC48
L2F1dGhvcj48YXV0aG9yPlNldmVuaHV5c2VuLCBHLjwvYXV0aG9yPjxhdXRob3I+RGVhbiwgSC4g
Si48L2F1dGhvcj48YXV0aG9yPlNlbGxlcnMsIEUuPC9hdXRob3I+PGF1dGhvcj5NY0dhdm9jaywg
Si48L2F1dGhvcj48YXV0aG9yPk1vcnJpcywgTS48L2F1dGhvcj48YXV0aG9yPkppYW5nLCBELjwv
YXV0aG9yPjxhdXRob3I+U2hlbiwgRy4gWC48L2F1dGhvcj48L2F1dGhvcnM+PC9jb250cmlidXRv
cnM+PGF1dGgtYWRkcmVzcz5EZXBhcnRtZW50cyBvZiBJbnRlcm5hbCBNZWRpY2luZSwgVW5pdmVy
c2l0eSBvZiBNYW5pdG9iYSwgUm9vbSA4MDFELCA3MTUgTWNEZXJtb3QgQXZlLCwgV2lubmlwZWcs
IE1CIFIzRSAzUDQsIENhbmFkYS4gQW15Lkh1aUBtZWQudW1hbml0b2JhLmNhLjwvYXV0aC1hZGRy
ZXNzPjx0aXRsZXM+PHRpdGxlPkVmZmVjdHMgb2YgbGlmZXN0eWxlIGludGVydmVudGlvbiBvbiBk
aWV0YXJ5IGludGFrZSwgcGh5c2ljYWwgYWN0aXZpdHkgbGV2ZWwsIGFuZCBnZXN0YXRpb25hbCB3
ZWlnaHQgZ2FpbiBpbiBwcmVnbmFudCB3b21lbiB3aXRoIGRpZmZlcmVudCBwcmUtcHJlZ25hbmN5
IEJvZHkgTWFzcyBJbmRleCBpbiBhIHJhbmRvbWl6ZWQgY29udHJvbCB0cmlhbDwvdGl0bGU+PHNl
Y29uZGFyeS10aXRsZT5CTUMgUHJlZ25hbmN5IENoaWxkYmlydGg8L3NlY29uZGFyeS10aXRsZT48
L3RpdGxlcz48cGVyaW9kaWNhbD48ZnVsbC10aXRsZT5CTUMgUHJlZ25hbmN5IENoaWxkYmlydGg8
L2Z1bGwtdGl0bGU+PC9wZXJpb2RpY2FsPjxwYWdlcz4zMzE8L3BhZ2VzPjx2b2x1bWU+MTQ8L3Zv
bHVtZT48ZWRpdGlvbj4yMDE0LzA5LzI1PC9lZGl0aW9uPjxrZXl3b3Jkcz48a2V5d29yZD5BZHVs
dDwva2V5d29yZD48a2V5d29yZD4qQm9keSBNYXNzIEluZGV4PC9rZXl3b3JkPjxrZXl3b3JkPkNv
dW5zZWxpbmc8L2tleXdvcmQ+PGtleXdvcmQ+KkRpZXQ8L2tleXdvcmQ+PGtleXdvcmQ+RW5lcmd5
IEludGFrZTwva2V5d29yZD48a2V5d29yZD5FeGVyY2lzZSBUaGVyYXB5LyptZXRob2RzPC9rZXl3
b3JkPjxrZXl3b3JkPkZlbWFsZTwva2V5d29yZD48a2V5d29yZD5Gb2xsb3ctVXAgU3R1ZGllczwv
a2V5d29yZD48a2V5d29yZD5HZXN0YXRpb25hbCBBZ2U8L2tleXdvcmQ+PGtleXdvcmQ+SHVtYW5z
PC9rZXl3b3JkPjxrZXl3b3JkPipMaWZlIFN0eWxlPC9rZXl3b3JkPjxrZXl3b3JkPk9iZXNpdHkv
cHJldmVudGlvbiAmYW1wOyBjb250cm9sLyp0aGVyYXB5PC9rZXl3b3JkPjxrZXl3b3JkPlBhdGll
bnQgQ29tcGxpYW5jZS9zdGF0aXN0aWNzICZhbXA7IG51bWVyaWNhbCBkYXRhPC9rZXl3b3JkPjxr
ZXl3b3JkPlBhdGllbnQgRWR1Y2F0aW9uIGFzIFRvcGljPC9rZXl3b3JkPjxrZXl3b3JkPlByZWdu
YW5jeTwva2V5d29yZD48a2V5d29yZD5QcmVnbmFuY3kgT3V0Y29tZTwva2V5d29yZD48a2V5d29y
ZD5QcmVuYXRhbCBDYXJlL21ldGhvZHM8L2tleXdvcmQ+PGtleXdvcmQ+KldlaWdodCBHYWluPC9r
ZXl3b3JkPjxrZXl3b3JkPllvdW5nIEFkdWx0PC9rZXl3b3JkPjwva2V5d29yZHM+PGRhdGVzPjx5
ZWFyPjIwMTQ8L3llYXI+PHB1Yi1kYXRlcz48ZGF0ZT5TZXAgMjQ8L2RhdGU+PC9wdWItZGF0ZXM+
PC9kYXRlcz48aXNibj4xNDcxLTIzOTMgKEVsZWN0cm9uaWMpJiN4RDsxNDcxLTIzOTMgKExpbmtp
bmcpPC9pc2JuPjxhY2Nlc3Npb24tbnVtPjI1MjQ4Nzk3PC9hY2Nlc3Npb24tbnVtPjx1cmxzPjxy
ZWxhdGVkLXVybHM+PHVybD5odHRwczovL3d3dy5uY2JpLm5sbS5uaWguZ292L3B1Ym1lZC8yNTI0
ODc5NzwvdXJsPjwvcmVsYXRlZC11cmxzPjwvdXJscz48Y3VzdG9tMj5QTUM0Mjg3NDcwPC9jdXN0
b20yPjxlbGVjdHJvbmljLXJlc291cmNlLW51bT4xMC4xMTg2LzE0NzEtMjM5My0xNC0zMzE8L2Vs
ZWN0cm9uaWMtcmVzb3VyY2UtbnVtPjwvcmVjb3JkPjwvQ2l0ZT48Q2l0ZT48QXV0aG9yPkx1b3Rv
PC9BdXRob3I+PFllYXI+MjAxMTwvWWVhcj48UmVjTnVtPjEwODQ8L1JlY051bT48cmVjb3JkPjxy
ZWMtbnVtYmVyPjEwODQ8L3JlYy1udW1iZXI+PGZvcmVpZ24ta2V5cz48a2V5IGFwcD0iRU4iIGRi
LWlkPSJleHZhc3JmeDJkdHJhb2VzYXN4cDJzenN4YTJkZjUwMjU5MngiIHRpbWVzdGFtcD0iMTU1
Mjk0NjUwMSI+MTA4NDwva2V5PjxrZXkgYXBwPSJFTldlYiIgZGItaWQ9IiI+MDwva2V5PjwvZm9y
ZWlnbi1rZXlzPjxyZWYtdHlwZSBuYW1lPSJKb3VybmFsIEFydGljbGUiPjE3PC9yZWYtdHlwZT48
Y29udHJpYnV0b3JzPjxhdXRob3JzPjxhdXRob3I+THVvdG8sIFIuPC9hdXRob3I+PGF1dGhvcj5L
aW5udW5lbiwgVC4gSS48L2F1dGhvcj48YXV0aG9yPkFpdHRhc2FsbywgTS48L2F1dGhvcj48YXV0
aG9yPktvbHUsIFAuPC9hdXRob3I+PGF1dGhvcj5SYWl0YW5lbiwgSi48L2F1dGhvcj48YXV0aG9y
Pk9qYWxhLCBLLjwvYXV0aG9yPjxhdXRob3I+TWFuc2lra2FtYWtpLCBLLjwvYXV0aG9yPjxhdXRo
b3I+TGFtYmVyZywgUy48L2F1dGhvcj48YXV0aG9yPlZhc2Fua2FyaSwgVC48L2F1dGhvcj48YXV0
aG9yPktvbXVsYWluZW4sIFQuPC9hdXRob3I+PGF1dGhvcj5UdWxva2FzLCBTLjwvYXV0aG9yPjwv
YXV0aG9ycz48L2NvbnRyaWJ1dG9ycz48YXV0aC1hZGRyZXNzPlVLSyBJbnN0aXR1dGUgZm9yIEhl
YWx0aCBQcm9tb3Rpb24gUmVzZWFyY2gsIFRhbXBlcmUsIEZpbmxhbmQuIHJpaXR0YS5sdW90b0B1
dGEuZmk8L2F1dGgtYWRkcmVzcz48dGl0bGVzPjx0aXRsZT5QcmltYXJ5IHByZXZlbnRpb24gb2Yg
Z2VzdGF0aW9uYWwgZGlhYmV0ZXMgbWVsbGl0dXMgYW5kIGxhcmdlLWZvci1nZXN0YXRpb25hbC1h
Z2UgbmV3Ym9ybnMgYnkgbGlmZXN0eWxlIGNvdW5zZWxpbmc6IGEgY2x1c3Rlci1yYW5kb21pemVk
IGNvbnRyb2xsZWQgdHJpYWw8L3RpdGxlPjxzZWNvbmRhcnktdGl0bGU+UExvUyBNZWQ8L3NlY29u
ZGFyeS10aXRsZT48L3RpdGxlcz48cGVyaW9kaWNhbD48ZnVsbC10aXRsZT5QTG9TIE1lZDwvZnVs
bC10aXRsZT48L3BlcmlvZGljYWw+PHBhZ2VzPmUxMDAxMDM2PC9wYWdlcz48dm9sdW1lPjg8L3Zv
bHVtZT48bnVtYmVyPjU8L251bWJlcj48ZWRpdGlvbj4yMDExLzA1LzI2PC9lZGl0aW9uPjxrZXl3
b3Jkcz48a2V5d29yZD5BZHVsdDwva2V5d29yZD48a2V5d29yZD5CZWhhdmlvci9waHlzaW9sb2d5
PC9rZXl3b3JkPjxrZXl3b3JkPkJpcnRoIFdlaWdodC8qcGh5c2lvbG9neTwva2V5d29yZD48a2V5
d29yZD5EaWFiZXRlcywgR2VzdGF0aW9uYWwvKnByZXZlbnRpb24gJmFtcDsgY29udHJvbDwva2V5
d29yZD48a2V5d29yZD5EaWV0PC9rZXl3b3JkPjxrZXl3b3JkPkZlbWFsZTwva2V5d29yZD48a2V5
d29yZD5GaW5sYW5kPC9rZXl3b3JkPjxrZXl3b3JkPipHZXN0YXRpb25hbCBBZ2U8L2tleXdvcmQ+
PGtleXdvcmQ+R2x1Y29zZSBUb2xlcmFuY2UgVGVzdDwva2V5d29yZD48a2V5d29yZD4qSGVhbHRo
IEVkdWNhdGlvbjwva2V5d29yZD48a2V5d29yZD5IdW1hbnM8L2tleXdvcmQ+PGtleXdvcmQ+SW5m
YW50LCBOZXdib3JuPC9rZXl3b3JkPjxrZXl3b3JkPkluc3VsaW4vbWV0YWJvbGlzbTwva2V5d29y
ZD48a2V5d29yZD4qTGlmZSBTdHlsZTwva2V5d29yZD48a2V5d29yZD5Nb3RvciBBY3Rpdml0eTwv
a2V5d29yZD48a2V5d29yZD5QYXRpZW50IENvbXBsaWFuY2U8L2tleXdvcmQ+PGtleXdvcmQ+UHJl
Z25hbmN5PC9rZXl3b3JkPjxrZXl3b3JkPipQcmltYXJ5IFByZXZlbnRpb248L2tleXdvcmQ+PGtl
eXdvcmQ+VHJlYXRtZW50IE91dGNvbWU8L2tleXdvcmQ+PC9rZXl3b3Jkcz48ZGF0ZXM+PHllYXI+
MjAxMTwveWVhcj48cHViLWRhdGVzPjxkYXRlPk1heTwvZGF0ZT48L3B1Yi1kYXRlcz48L2RhdGVz
Pjxpc2JuPjE1NDktMTY3NiAoRWxlY3Ryb25pYykmI3hEOzE1NDktMTI3NyAoTGlua2luZyk8L2lz
Ym4+PGFjY2Vzc2lvbi1udW0+MjE2MTA4NjA8L2FjY2Vzc2lvbi1udW0+PHVybHM+PHJlbGF0ZWQt
dXJscz48dXJsPmh0dHBzOi8vd3d3Lm5jYmkubmxtLm5paC5nb3YvcHVibWVkLzIxNjEwODYwPC91
cmw+PC9yZWxhdGVkLXVybHM+PC91cmxzPjxjdXN0b20yPlBNQzMwOTY2MTA8L2N1c3RvbTI+PGVs
ZWN0cm9uaWMtcmVzb3VyY2UtbnVtPjEwLjEzNzEvam91cm5hbC5wbWVkLjEwMDEwMzY8L2VsZWN0
cm9uaWMtcmVzb3VyY2UtbnVtPjwvcmVjb3JkPjwvQ2l0ZT48Q2l0ZT48QXV0aG9yPlBoZWxhbjwv
QXV0aG9yPjxZZWFyPjIwMTE8L1llYXI+PFJlY051bT43MDU8L1JlY051bT48cmVjb3JkPjxyZWMt
bnVtYmVyPjcwNTwvcmVjLW51bWJlcj48Zm9yZWlnbi1rZXlzPjxrZXkgYXBwPSJFTiIgZGItaWQ9
ImV4dmFzcmZ4MmR0cmFvZXNhc3hwMnN6c3hhMmRmNTAyNTkyeCIgdGltZXN0YW1wPSIxNTQwNTMw
NjM2Ij43MDU8L2tleT48L2ZvcmVpZ24ta2V5cz48cmVmLXR5cGUgbmFtZT0iSm91cm5hbCBBcnRp
Y2xlIj4xNzwvcmVmLXR5cGU+PGNvbnRyaWJ1dG9ycz48YXV0aG9ycz48YXV0aG9yPlBoZWxhbiwg
Uy48L2F1dGhvcj48YXV0aG9yPlBoaXBwcywgTS4gRy48L2F1dGhvcj48YXV0aG9yPkFicmFtcywg
Qi48L2F1dGhvcj48YXV0aG9yPkRhcnJvY2gsIEYuPC9hdXRob3I+PGF1dGhvcj5TY2hhZmZuZXIs
IEEuPC9hdXRob3I+PGF1dGhvcj5XaW5nLCBSLiBSLjwvYXV0aG9yPjwvYXV0aG9ycz48L2NvbnRy
aWJ1dG9ycz48YXV0aC1hZGRyZXNzPkRlcGFydG1lbnRzIG9mIEtpbmVzaW9sb2d5LCBDYWxpZm9y
bmlhIFBvbHl0ZWNobmljIFN0YXRlIFVuaXZlcnNpdHksIFNhbiBMdWlzIE9iaXNwbywgOTM0MDct
MDM4NiwgVVNBLiBzcGhlbGFuQGNhbHBvbHkuZWR1PC9hdXRoLWFkZHJlc3M+PHRpdGxlcz48dGl0
bGU+UmFuZG9taXplZCB0cmlhbCBvZiBhIGJlaGF2aW9yYWwgaW50ZXJ2ZW50aW9uIHRvIHByZXZl
bnQgZXhjZXNzaXZlIGdlc3RhdGlvbmFsIHdlaWdodCBnYWluOiB0aGUgRml0IGZvciBEZWxpdmVy
eSBTdHVkeTwvdGl0bGU+PHNlY29uZGFyeS10aXRsZT5BbSBKIENsaW4gTnV0cjwvc2Vjb25kYXJ5
LXRpdGxlPjwvdGl0bGVzPjxwZXJpb2RpY2FsPjxmdWxsLXRpdGxlPkFtIEogQ2xpbiBOdXRyPC9m
dWxsLXRpdGxlPjwvcGVyaW9kaWNhbD48cGFnZXM+NzcyLTk8L3BhZ2VzPjx2b2x1bWU+OTM8L3Zv
bHVtZT48bnVtYmVyPjQ8L251bWJlcj48ZWRpdGlvbj4yMDExLzAyLzEyPC9lZGl0aW9uPjxrZXl3
b3Jkcz48a2V5d29yZD5BZHVsdDwva2V5d29yZD48a2V5d29yZD5CZWhhdmlvcjwva2V5d29yZD48
a2V5d29yZD4qQmVoYXZpb3IgVGhlcmFweTwva2V5d29yZD48a2V5d29yZD4qRGlldDwva2V5d29y
ZD48a2V5d29yZD4qRXhlcmNpc2U8L2tleXdvcmQ+PGtleXdvcmQ+RmVtYWxlPC9rZXl3b3JkPjxr
ZXl3b3JkPipIZWFsdGggUHJvbW90aW9uPC9rZXl3b3JkPjxrZXl3b3JkPkh1bWFuczwva2V5d29y
ZD48a2V5d29yZD5JbnRlbnRpb24gdG8gVHJlYXQgQW5hbHlzaXM8L2tleXdvcmQ+PGtleXdvcmQ+
T2Jlc2l0eS9jb21wbGljYXRpb25zL2VwaWRlbWlvbG9neS8qcHJldmVudGlvbiAmYW1wOyBjb250
cm9sPC9rZXl3b3JkPjxrZXl3b3JkPlBvc3RwYXJ0dW0gUGVyaW9kPC9rZXl3b3JkPjxrZXl3b3Jk
PlByZWduYW5jeTwva2V5d29yZD48a2V5d29yZD5QcmVnbmFuY3kgQ29tcGxpY2F0aW9ucy8qcHJl
dmVudGlvbiAmYW1wOyBjb250cm9sPC9rZXl3b3JkPjxrZXl3b3JkPlByZXZhbGVuY2U8L2tleXdv
cmQ+PGtleXdvcmQ+UmVmZXJlbmNlIFZhbHVlczwva2V5d29yZD48a2V5d29yZD5TaW5nbGUtQmxp
bmQgTWV0aG9kPC9rZXl3b3JkPjxrZXl3b3JkPlN0YW5kYXJkIG9mIENhcmU8L2tleXdvcmQ+PGtl
eXdvcmQ+VHJlYXRtZW50IE91dGNvbWU8L2tleXdvcmQ+PGtleXdvcmQ+KldlaWdodCBHYWluPC9r
ZXl3b3JkPjxrZXl3b3JkPllvdW5nIEFkdWx0PC9rZXl3b3JkPjwva2V5d29yZHM+PGRhdGVzPjx5
ZWFyPjIwMTE8L3llYXI+PHB1Yi1kYXRlcz48ZGF0ZT5BcHI8L2RhdGU+PC9wdWItZGF0ZXM+PC9k
YXRlcz48aXNibj4xOTM4LTMyMDcgKEVsZWN0cm9uaWMpJiN4RDswMDAyLTkxNjUgKExpbmtpbmcp
PC9pc2JuPjxhY2Nlc3Npb24tbnVtPjIxMzEwODM2PC9hY2Nlc3Npb24tbnVtPjx1cmxzPjxyZWxh
dGVkLXVybHM+PHVybD5odHRwczovL3d3dy5uY2JpLm5sbS5uaWguZ292L3B1Ym1lZC8yMTMxMDgz
NjwvdXJsPjwvcmVsYXRlZC11cmxzPjwvdXJscz48Y3VzdG9tMj5QTUMzMDU3NTQ2PC9jdXN0b20y
PjxlbGVjdHJvbmljLXJlc291cmNlLW51bT4xMC4zOTQ1L2FqY24uMTEwLjAwNTMwNjwvZWxlY3Ry
b25pYy1yZXNvdXJjZS1udW0+PC9yZWNvcmQ+PC9DaXRlPjxDaXRlPjxBdXRob3I+UG9zdG9uPC9B
dXRob3I+PFllYXI+MjAxNTwvWWVhcj48UmVjTnVtPjYxMjwvUmVjTnVtPjxyZWNvcmQ+PHJlYy1u
dW1iZXI+NjEyPC9yZWMtbnVtYmVyPjxmb3JlaWduLWtleXM+PGtleSBhcHA9IkVOIiBkYi1pZD0i
ZXh2YXNyZngyZHRyYW9lc2FzeHAyc3pzeGEyZGY1MDI1OTJ4IiB0aW1lc3RhbXA9IjE1MzkwNDgz
NDgiPjYxMjwva2V5PjxrZXkgYXBwPSJFTldlYiIgZGItaWQ9IiI+MDwva2V5PjwvZm9yZWlnbi1r
ZXlzPjxyZWYtdHlwZSBuYW1lPSJKb3VybmFsIEFydGljbGUiPjE3PC9yZWYtdHlwZT48Y29udHJp
YnV0b3JzPjxhdXRob3JzPjxhdXRob3I+UG9zdG9uLCBMLiw8L2F1dGhvcj48YXV0aG9yPkJlbGws
IFIuLDwvYXV0aG9yPjxhdXRob3I+Q3Jva2VyLCBILiw8L2F1dGhvcj48YXV0aG9yPkZseW5uLCBB
LkMuLDwvYXV0aG9yPjxhdXRob3I+R29kZnJleSwgSy5NLiw8L2F1dGhvcj48YXV0aG9yPkdvZmYs
IEwuLDwvYXV0aG9yPjwvYXV0aG9ycz48L2NvbnRyaWJ1dG9ycz48dGl0bGVzPjx0aXRsZT5FZmZl
Y3Qgb2YgYSBiZWhhdmlvdXJhbCBpbnRlcnZlbnRpb24gaW4gb2Jlc2UgcHJlZ25hbnQgd29tZW4g
KHRoZSBVUEJFQVQgc3R1ZHkpOiBhIG11bHRpY2VudHJlLCByYW5kb21pc2VkIGNvbnRyb2xsZWQg
dHJpYWw8L3RpdGxlPjxzZWNvbmRhcnktdGl0bGU+VGhlIExhbmNldCBEaWFiZXRlcyAmYW1wOyBF
bmRvY3Jpbm9sb2d5PC9zZWNvbmRhcnktdGl0bGU+PC90aXRsZXM+PHBlcmlvZGljYWw+PGZ1bGwt
dGl0bGU+VGhlIExhbmNldCBEaWFiZXRlcyAmYW1wOyBFbmRvY3Jpbm9sb2d5PC9mdWxsLXRpdGxl
PjwvcGVyaW9kaWNhbD48cGFnZXM+NzY3LTc3NzwvcGFnZXM+PHZvbHVtZT4zPC92b2x1bWU+PG51
bWJlcj4xMDwvbnVtYmVyPjxzZWN0aW9uPjc2Nzwvc2VjdGlvbj48ZGF0ZXM+PHllYXI+MjAxNTwv
eWVhcj48L2RhdGVzPjxpc2JuPjIyMTM4NTg3PC9pc2JuPjx1cmxzPjwvdXJscz48ZWxlY3Ryb25p
Yy1yZXNvdXJjZS1udW0+MTAuMTAxNi9zMjIxMy04NTg3KDE1KTAwMjI3LTI8L2VsZWN0cm9uaWMt
cmVzb3VyY2UtbnVtPjwvcmVjb3JkPjwvQ2l0ZT48Q2l0ZT48QXV0aG9yPlJhdWg8L0F1dGhvcj48
WWVhcj4yMDEzPC9ZZWFyPjxSZWNOdW0+MTEwOTwvUmVjTnVtPjxyZWNvcmQ+PHJlYy1udW1iZXI+
MTEwOTwvcmVjLW51bWJlcj48Zm9yZWlnbi1rZXlzPjxrZXkgYXBwPSJFTiIgZGItaWQ9ImV4dmFz
cmZ4MmR0cmFvZXNhc3hwMnN6c3hhMmRmNTAyNTkyeCIgdGltZXN0YW1wPSIxNTUyOTQ4NDg1Ij4x
MTA5PC9rZXk+PC9mb3JlaWduLWtleXM+PHJlZi10eXBlIG5hbWU9IkpvdXJuYWwgQXJ0aWNsZSI+
MTc8L3JlZi10eXBlPjxjb250cmlidXRvcnM+PGF1dGhvcnM+PGF1dGhvcj5SYXVoLCBLLjwvYXV0
aG9yPjxhdXRob3I+R2FicmllbCwgRS48L2F1dGhvcj48YXV0aG9yPktlcnNjaGJhdW0sIEUuPC9h
dXRob3I+PGF1dGhvcj5TY2h1c3RlciwgVC48L2F1dGhvcj48YXV0aG9yPnZvbiBLcmllcywgUi48
L2F1dGhvcj48YXV0aG9yPkFtYW5uLUdhc3NuZXIsIFUuPC9hdXRob3I+PGF1dGhvcj5IYXVuZXIs
IEguPC9hdXRob3I+PC9hdXRob3JzPjwvY29udHJpYnV0b3JzPjx0aXRsZXM+PHRpdGxlPlNhZmV0
eSBhbmQgZWZmaWNhY3kgb2YgYSBsaWZlc3R5bGUgaW50ZXJ2ZW50aW9uIGZvciBwcmVnbmFudCB3
b21lbiB0byBwcmV2ZW50IGV4Y2Vzc2l2ZSBtYXRlcm5hbCB3ZWlnaHQgZ2FpbjogYSBjbHVzdGVy
LXJhbmRvbWl6ZWQgY29udHJvbGxlZCB0cmlhbDwvdGl0bGU+PHNlY29uZGFyeS10aXRsZT5CTUMg
UHJlZ25hbmN5IENoaWxkYmlydGg8L3NlY29uZGFyeS10aXRsZT48L3RpdGxlcz48cGVyaW9kaWNh
bD48ZnVsbC10aXRsZT5CTUMgUHJlZ25hbmN5IENoaWxkYmlydGg8L2Z1bGwtdGl0bGU+PC9wZXJp
b2RpY2FsPjxwYWdlcz4xNTE8L3BhZ2VzPjx2b2x1bWU+MTM8L3ZvbHVtZT48ZWRpdGlvbj4yMDEz
LzA3LzIwPC9lZGl0aW9uPjxrZXl3b3Jkcz48a2V5d29yZD5BZHVsdDwva2V5d29yZD48a2V5d29y
ZD4qQmlydGggV2VpZ2h0PC9rZXl3b3JkPjxrZXl3b3JkPkNvdW5zZWxpbmcvKm1ldGhvZHM8L2tl
eXdvcmQ+PGtleXdvcmQ+KkVuZXJneSBJbnRha2U8L2tleXdvcmQ+PGtleXdvcmQ+RmVhc2liaWxp
dHkgU3R1ZGllczwva2V5d29yZD48a2V5d29yZD5GZW1hbGU8L2tleXdvcmQ+PGtleXdvcmQ+SHVt
YW5zPC9rZXl3b3JkPjxrZXl3b3JkPkluZmFudCwgTmV3Ym9ybjwva2V5d29yZD48a2V5d29yZD4q
TW90b3IgQWN0aXZpdHk8L2tleXdvcmQ+PGtleXdvcmQ+T2Jlc2l0eS8qcHJldmVudGlvbiAmYW1w
OyBjb250cm9sPC9rZXl3b3JkPjxrZXl3b3JkPk92ZXJ3ZWlnaHQvcHJldmVudGlvbiAmYW1wOyBj
b250cm9sPC9rZXl3b3JkPjxrZXl3b3JkPlBvc3RwYXJ0dW0gUGVyaW9kPC9rZXl3b3JkPjxrZXl3
b3JkPlByZWduYW5jeTwva2V5d29yZD48a2V5d29yZD5QcmVnbmFuY3kgQ29tcGxpY2F0aW9ucy8q
cHJldmVudGlvbiAmYW1wOyBjb250cm9sPC9rZXl3b3JkPjxrZXl3b3JkPlByZWduYW5jeSBPdXRj
b21lPC9rZXl3b3JkPjxrZXl3b3JkPipXZWlnaHQgR2Fpbjwva2V5d29yZD48L2tleXdvcmRzPjxk
YXRlcz48eWVhcj4yMDEzPC95ZWFyPjxwdWItZGF0ZXM+PGRhdGU+SnVsIDE2PC9kYXRlPjwvcHVi
LWRhdGVzPjwvZGF0ZXM+PGlzYm4+MTQ3MS0yMzkzIChFbGVjdHJvbmljKSYjeEQ7MTQ3MS0yMzkz
IChMaW5raW5nKTwvaXNibj48YWNjZXNzaW9uLW51bT4yMzg2NTYyNDwvYWNjZXNzaW9uLW51bT48
dXJscz48cmVsYXRlZC11cmxzPjx1cmw+aHR0cHM6Ly93d3cubmNiaS5ubG0ubmloLmdvdi9wdWJt
ZWQvMjM4NjU2MjQ8L3VybD48L3JlbGF0ZWQtdXJscz48L3VybHM+PGN1c3RvbTI+UE1DMzcxODcw
NzwvY3VzdG9tMj48ZWxlY3Ryb25pYy1yZXNvdXJjZS1udW0+MTAuMTE4Ni8xNDcxLTIzOTMtMTMt
MTUxPC9lbGVjdHJvbmljLXJlc291cmNlLW51bT48L3JlY29yZD48L0NpdGU+PENpdGU+PEF1dGhv
cj5WZXNjbzwvQXV0aG9yPjxZZWFyPjIwMTI8L1llYXI+PFJlY051bT4xMTMwPC9SZWNOdW0+PHJl
Y29yZD48cmVjLW51bWJlcj4xMTMwPC9yZWMtbnVtYmVyPjxmb3JlaWduLWtleXM+PGtleSBhcHA9
IkVOIiBkYi1pZD0iZXh2YXNyZngyZHRyYW9lc2FzeHAyc3pzeGEyZGY1MDI1OTJ4IiB0aW1lc3Rh
bXA9IjE1NTM0MDg5ODYiPjExMzA8L2tleT48L2ZvcmVpZ24ta2V5cz48cmVmLXR5cGUgbmFtZT0i
Sm91cm5hbCBBcnRpY2xlIj4xNzwvcmVmLXR5cGU+PGNvbnRyaWJ1dG9ycz48YXV0aG9ycz48YXV0
aG9yPlZlc2NvLCBLLiBLLjwvYXV0aG9yPjxhdXRob3I+S2FyYW5qYSwgTi48L2F1dGhvcj48YXV0
aG9yPktpbmcsIEouIEMuPC9hdXRob3I+PGF1dGhvcj5HaWxsbWFuLCBNLiBXLjwvYXV0aG9yPjxh
dXRob3I+UGVycmluLCBOLjwvYXV0aG9yPjxhdXRob3I+TWNFdm95LCBDLjwvYXV0aG9yPjxhdXRo
b3I+RWNraGFyZHQsIEMuPC9hdXRob3I+PGF1dGhvcj5TbWl0aCwgSy4gUy48L2F1dGhvcj48YXV0
aG9yPlN0ZXZlbnMsIFYuIEouPC9hdXRob3I+PC9hdXRob3JzPjwvY29udHJpYnV0b3JzPjxhdXRo
LWFkZHJlc3M+Q2VudGVyIGZvciBIZWFsdGggUmVzZWFyY2gsIEthaXNlciBQZXJtYW5lbnRlLCBO
b3J0aHdlc3QsIFBvcnRsYW5kLCBPUiA5NzIyNywgVVNBLiBraW1iZXJseS5rLnZlc2NvQGtwY2hy
Lm9yZzwvYXV0aC1hZGRyZXNzPjx0aXRsZXM+PHRpdGxlPkhlYWx0aHkgTW9tcywgYSByYW5kb21p
emVkIHRyaWFsIHRvIHByb21vdGUgYW5kIGV2YWx1YXRlIHdlaWdodCBtYWludGVuYW5jZSBhbW9u
ZyBvYmVzZSBwcmVnbmFudCB3b21lbjogc3R1ZHkgZGVzaWduIGFuZCByYXRpb25hbGU8L3RpdGxl
PjxzZWNvbmRhcnktdGl0bGU+Q29udGVtcCBDbGluIFRyaWFsczwvc2Vjb25kYXJ5LXRpdGxlPjwv
dGl0bGVzPjxwZXJpb2RpY2FsPjxmdWxsLXRpdGxlPkNvbnRlbXAgQ2xpbiBUcmlhbHM8L2Z1bGwt
dGl0bGU+PC9wZXJpb2RpY2FsPjxwYWdlcz43NzctODU8L3BhZ2VzPjx2b2x1bWU+MzM8L3ZvbHVt
ZT48bnVtYmVyPjQ8L251bWJlcj48ZWRpdGlvbj4yMDEyLzA0LzAzPC9lZGl0aW9uPjxrZXl3b3Jk
cz48a2V5d29yZD5BZG9sZXNjZW50PC9rZXl3b3JkPjxrZXl3b3JkPkFkdWx0PC9rZXl3b3JkPjxr
ZXl3b3JkPkJpcnRoIFdlaWdodDwva2V5d29yZD48a2V5d29yZD5DbGluaWNhbCBQcm90b2NvbHM8
L2tleXdvcmQ+PGtleXdvcmQ+Q29tYmluZWQgTW9kYWxpdHkgVGhlcmFweTwva2V5d29yZD48a2V5
d29yZD5EaWV0IFRoZXJhcHkvKm1ldGhvZHM8L2tleXdvcmQ+PGtleXdvcmQ+RXhlcmNpc2UgVGhl
cmFweS8qbWV0aG9kczwva2V5d29yZD48a2V5d29yZD5GZWFzaWJpbGl0eSBTdHVkaWVzPC9rZXl3
b3JkPjxrZXl3b3JkPkZlbWFsZTwva2V5d29yZD48a2V5d29yZD5IdW1hbnM8L2tleXdvcmQ+PGtl
eXdvcmQ+SW5mYW50LCBOZXdib3JuPC9rZXl3b3JkPjxrZXl3b3JkPkludGVudGlvbiB0byBUcmVh
dCBBbmFseXNpczwva2V5d29yZD48a2V5d29yZD5Mb2dpc3RpYyBNb2RlbHM8L2tleXdvcmQ+PGtl
eXdvcmQ+T2Jlc2l0eS8qdGhlcmFweTwva2V5d29yZD48a2V5d29yZD5QcmVnbmFuY3k8L2tleXdv
cmQ+PGtleXdvcmQ+UHJlZ25hbmN5IENvbXBsaWNhdGlvbnMvKnRoZXJhcHk8L2tleXdvcmQ+PGtl
eXdvcmQ+UHN5Y2hvdGhlcmFweSwgR3JvdXAvKm1ldGhvZHM8L2tleXdvcmQ+PGtleXdvcmQ+UmVz
ZWFyY2ggRGVzaWduPC9rZXl3b3JkPjxrZXl3b3JkPlRyZWF0bWVudCBPdXRjb21lPC9rZXl3b3Jk
PjxrZXl3b3JkPldlaWdodCBHYWluPC9rZXl3b3JkPjxrZXl3b3JkPllvdW5nIEFkdWx0PC9rZXl3
b3JkPjwva2V5d29yZHM+PGRhdGVzPjx5ZWFyPjIwMTI8L3llYXI+PHB1Yi1kYXRlcz48ZGF0ZT5K
dWw8L2RhdGU+PC9wdWItZGF0ZXM+PC9kYXRlcz48aXNibj4xNTU5LTIwMzAgKEVsZWN0cm9uaWMp
JiN4RDsxNTUxLTcxNDQgKExpbmtpbmcpPC9pc2JuPjxhY2Nlc3Npb24tbnVtPjIyNDY1MjU2PC9h
Y2Nlc3Npb24tbnVtPjx1cmxzPjxyZWxhdGVkLXVybHM+PHVybD5odHRwczovL3d3dy5uY2JpLm5s
bS5uaWguZ292L3B1Ym1lZC8yMjQ2NTI1NjwvdXJsPjwvcmVsYXRlZC11cmxzPjwvdXJscz48Y3Vz
dG9tMj5QTUMzMzYxNTE5PC9jdXN0b20yPjxlbGVjdHJvbmljLXJlc291cmNlLW51bT4xMC4xMDE2
L2ouY2N0LjIwMTIuMDMuMDA2PC9lbGVjdHJvbmljLXJlc291cmNlLW51bT48L3JlY29yZD48L0Np
dGU+PENpdGU+PEF1dGhvcj5QaGVsYW48L0F1dGhvcj48WWVhcj4yMDE4PC9ZZWFyPjxSZWNOdW0+
MTM4NjwvUmVjTnVtPjxyZWNvcmQ+PHJlYy1udW1iZXI+MTM4NjwvcmVjLW51bWJlcj48Zm9yZWln
bi1rZXlzPjxrZXkgYXBwPSJFTiIgZGItaWQ9ImV4dmFzcmZ4MmR0cmFvZXNhc3hwMnN6c3hhMmRm
NTAyNTkyeCIgdGltZXN0YW1wPSIxNTY3MzgyNDg1Ij4xMzg2PC9rZXk+PC9mb3JlaWduLWtleXM+
PHJlZi10eXBlIG5hbWU9IkpvdXJuYWwgQXJ0aWNsZSI+MTc8L3JlZi10eXBlPjxjb250cmlidXRv
cnM+PGF1dGhvcnM+PGF1dGhvcj5QaGVsYW4sIFMuPC9hdXRob3I+PGF1dGhvcj5XaW5nLCBSLiBS
LjwvYXV0aG9yPjxhdXRob3I+QnJhbm5lbiwgQS48L2F1dGhvcj48YXV0aG9yPk1jSHVnaCwgQS48
L2F1dGhvcj48YXV0aG9yPkhhZ29iaWFuLCBULiBBLjwvYXV0aG9yPjxhdXRob3I+U2NoYWZmbmVy
LCBBLjwvYXV0aG9yPjxhdXRob3I+SmVsYWxpYW4sIEUuPC9hdXRob3I+PGF1dGhvcj5IYXJ0LCBD
LiBOLjwvYXV0aG9yPjxhdXRob3I+U2Nob2xsLCBULiBPLjwvYXV0aG9yPjxhdXRob3I+TXVub3ot
Q2hyaXN0aWFuLCBLLjwvYXV0aG9yPjxhdXRob3I+WWluLCBFLjwvYXV0aG9yPjxhdXRob3I+UGhp
cHBzLCBNLiBHLjwvYXV0aG9yPjxhdXRob3I+S2VhZGxlLCBTLjwvYXV0aG9yPjxhdXRob3I+QWJy
YW1zLCBCLjwvYXV0aG9yPjwvYXV0aG9ycz48L2NvbnRyaWJ1dG9ycz48YXV0aC1hZGRyZXNzPkRl
cGFydG1lbnRzIG9mIEtpbmVzaW9sb2d5LCBTdGF0aXN0aWNzLCBhbmQgTW9kZXJuIExhbmd1YWdl
cywgQ2FsaWZvcm5pYSBQb2x5dGVjaG5pYyBTdGF0ZSBVbml2ZXJzaXR5LCBTYW4gTHVpcyBPYmlz
cG8sIENBLiYjeEQ7RGVwYXJ0bWVudCBvZiBQc3ljaGlhdHJ5IGFuZCBIdW1hbiBCZWhhdmlvciwg
V2FycmVuIEFscGVydCBNZWRpY2FsIFNjaG9vbCBhdCBCcm93biBVbml2ZXJzaXR5LCBQcm92aWRl
bmNlLCBSSS4mI3hEO0RlcGFydG1lbnRzIG9mIFN0YXRpc3RpY3MsIGFuZCBNb2Rlcm4gTGFuZ3Vh
Z2VzLCBDYWxpZm9ybmlhIFBvbHl0ZWNobmljIFN0YXRlIFVuaXZlcnNpdHksIFNhbiBMdWlzIE9i
aXNwbywgQ0EuJiN4RDtEZXBhcnRtZW50IG9mIFNvY2lhbCBhbmQgQmVoYXZpb3JhbCBTY2llbmNl
cywgVGVtcGxlIFVuaXZlcnNpdHkgQ2VudGVyIGZvciBPYmVzaXR5IFJlc2VhcmNoIGFuZCBFZHVj
YXRpb24sIFBoaWxhZGVscGhpYSwgUEEuJiN4RDtEZXBhcnRtZW50IG9mIE9ic3RldHJpY3MgYW5k
IEd5bmVjb2xvZ3ksIFVuaXZlcnNpdHkgb2YgTWVkaWNpbmUgYW5kIERlbnRpc3RyeSBvZiBOZXcg
SmVyc2V5IChub3cgUm93YW4pLCBHbGFzc2Jvcm8sIE5KLiYjeEQ7RGVwYXJ0bWVudHMgb2YgTW9k
ZXJuIExhbmd1YWdlcywgQ2FsaWZvcm5pYSBQb2x5dGVjaG5pYyBTdGF0ZSBVbml2ZXJzaXR5LCBT
YW4gTHVpcyBPYmlzcG8sIENBLiYjeEQ7UGFjaWZpYyBDZW50cmFsIENvYXN0IEhlYWx0aCBDZW50
ZXJzLCBTYW50YSBNYXJpYSBXb21lbiZhcG9zO3MgSGVhbHRoLCBTYW50YSBNYXJpYSwgQ0EuJiN4
RDtEZXBhcnRtZW50IG9mIE9ic3RldHJpY3MgYW5kIEd5bmVjb2xvZ3ksIFdhcnJlbiBBbHBlcnQg
TWVkaWNhbCBTY2hvb2wgb2YgQnJvd24gVW5pdmVyc2l0eSBhbmQgV29tZW4gYW5kIEluZmFudHMg
SG9zcGl0YWwsIFByb3ZpZGVuY2UsIFJJLiYjeEQ7RGl2aXNpb24gb2YgRXBpZGVtaW9sb2d5LCBV
bml2ZXJzaXR5IG9mIENhbGlmb3JuaWEgYXQgQmVya2VsZXkgU2Nob29sIG9mIFB1YmxpYyBIZWFs
dGgsIEJlcmtlbGV5LCBDQS48L2F1dGgtYWRkcmVzcz48dGl0bGVzPjx0aXRsZT5SYW5kb21pemVk
IGNvbnRyb2xsZWQgY2xpbmljYWwgdHJpYWwgb2YgYmVoYXZpb3JhbCBsaWZlc3R5bGUgaW50ZXJ2
ZW50aW9uIHdpdGggcGFydGlhbCBtZWFsIHJlcGxhY2VtZW50IHRvIHJlZHVjZSBleGNlc3NpdmUg
Z2VzdGF0aW9uYWwgd2VpZ2h0IGdhaW48L3RpdGxlPjxzZWNvbmRhcnktdGl0bGU+QW0gSiBDbGlu
IE51dHI8L3NlY29uZGFyeS10aXRsZT48L3RpdGxlcz48cGVyaW9kaWNhbD48ZnVsbC10aXRsZT5B
bSBKIENsaW4gTnV0cjwvZnVsbC10aXRsZT48L3BlcmlvZGljYWw+PHBhZ2VzPjE4My0xOTQ8L3Bh
Z2VzPjx2b2x1bWU+MTA3PC92b2x1bWU+PG51bWJlcj4yPC9udW1iZXI+PGVkaXRpb24+MjAxOC8w
My8xMzwvZWRpdGlvbj48a2V5d29yZHM+PGtleXdvcmQ+QWR1bHQ8L2tleXdvcmQ+PGtleXdvcmQ+
Qm9keSBNYXNzIEluZGV4PC9rZXl3b3JkPjxrZXl3b3JkPkNhbGlmb3JuaWE8L2tleXdvcmQ+PGtl
eXdvcmQ+RGlldDwva2V5d29yZD48a2V5d29yZD5FdGhuaWMgR3JvdXBzPC9rZXl3b3JkPjxrZXl3
b3JkPkV4ZXJjaXNlPC9rZXl3b3JkPjxrZXl3b3JkPkZlbWFsZTwva2V5d29yZD48a2V5d29yZD4q
R2VzdGF0aW9uYWwgV2VpZ2h0IEdhaW48L2tleXdvcmQ+PGtleXdvcmQ+KkhlYWx0aCBCZWhhdmlv
cjwva2V5d29yZD48a2V5d29yZD5IdW1hbnM8L2tleXdvcmQ+PGtleXdvcmQ+SW5jaWRlbmNlPC9r
ZXl3b3JkPjxrZXl3b3JkPipMaWZlIFN0eWxlPC9rZXl3b3JkPjxrZXl3b3JkPk1lYWxzPC9rZXl3
b3JkPjxrZXl3b3JkPk51dHJpdGlvbiBBc3Nlc3NtZW50PC9rZXl3b3JkPjxrZXl3b3JkPk9iZXNp
dHkvKnByZXZlbnRpb24gJmFtcDsgY29udHJvbDwva2V5d29yZD48a2V5d29yZD5PdmVyd2VpZ2h0
LypwcmV2ZW50aW9uICZhbXA7IGNvbnRyb2w8L2tleXdvcmQ+PGtleXdvcmQ+UHJlZ25hbmN5PC9r
ZXl3b3JkPjxrZXl3b3JkPlByZWduYW5jeSBDb21wbGljYXRpb25zLypwcmV2ZW50aW9uICZhbXA7
IGNvbnRyb2w8L2tleXdvcmQ+PGtleXdvcmQ+UHJlZ25hbmN5IE91dGNvbWU8L2tleXdvcmQ+PGtl
eXdvcmQ+UmlzayBGYWN0b3JzPC9rZXl3b3JkPjxrZXl3b3JkPllvdW5nIEFkdWx0PC9rZXl3b3Jk
Pjwva2V5d29yZHM+PGRhdGVzPjx5ZWFyPjIwMTg8L3llYXI+PHB1Yi1kYXRlcz48ZGF0ZT5GZWIg
MTwvZGF0ZT48L3B1Yi1kYXRlcz48L2RhdGVzPjxpc2JuPjE5MzgtMzIwNyAoRWxlY3Ryb25pYykm
I3hEOzAwMDItOTE2NSAoTGlua2luZyk8L2lzYm4+PGFjY2Vzc2lvbi1udW0+Mjk1MjkxNTc8L2Fj
Y2Vzc2lvbi1udW0+PHVybHM+PHJlbGF0ZWQtdXJscz48dXJsPmh0dHBzOi8vd3d3Lm5jYmkubmxt
Lm5paC5nb3YvcHVibWVkLzI5NTI5MTU3PC91cmw+PC9yZWxhdGVkLXVybHM+PC91cmxzPjxjdXN0
b20yPlBNQzY0NTUwMzA8L2N1c3RvbTI+PGVsZWN0cm9uaWMtcmVzb3VyY2UtbnVtPjEwLjEwOTMv
YWpjbi9ucXgwNDM8L2VsZWN0cm9uaWMtcmVzb3VyY2UtbnVtPjwvcmVjb3JkPjwvQ2l0ZT48L0Vu
ZE5vdGU+AG==
</w:fldData>
        </w:fldChar>
      </w:r>
      <w:r w:rsidR="002747EA">
        <w:instrText xml:space="preserve"> ADDIN EN.CITE </w:instrText>
      </w:r>
      <w:r w:rsidR="002747EA">
        <w:fldChar w:fldCharType="begin">
          <w:fldData xml:space="preserve">PEVuZE5vdGU+PENpdGU+PEF1dGhvcj5IYXdraW5zPC9BdXRob3I+PFllYXI+MjAxNTwvWWVhcj48
UmVjTnVtPjcyNjwvUmVjTnVtPjxEaXNwbGF5VGV4dD48c3R5bGUgZmFjZT0ic3VwZXJzY3JpcHQi
IGZvbnQ9IlRyZWJ1Y2hldCBNUyIgc2l6ZT0iOSI+NDkwLDQ5MSw0OTQsNDk2LDUwMyw1MDgsNTEz
LDUxNCw1MjI8L3N0eWxlPjwvRGlzcGxheVRleHQ+PHJlY29yZD48cmVjLW51bWJlcj43MjY8L3Jl
Yy1udW1iZXI+PGZvcmVpZ24ta2V5cz48a2V5IGFwcD0iRU4iIGRiLWlkPSJleHZhc3JmeDJkdHJh
b2VzYXN4cDJzenN4YTJkZjUwMjU5MngiIHRpbWVzdGFtcD0iMTU0MTQ2NTMyMiI+NzI2PC9rZXk+
PC9mb3JlaWduLWtleXM+PHJlZi10eXBlIG5hbWU9IkpvdXJuYWwgQXJ0aWNsZSI+MTc8L3JlZi10
eXBlPjxjb250cmlidXRvcnM+PGF1dGhvcnM+PGF1dGhvcj5IYXdraW5zLCBNLjwvYXV0aG9yPjxh
dXRob3I+SG9za2VyLCBNLjwvYXV0aG9yPjxhdXRob3I+TWFyY3VzLCBCLiBILjwvYXV0aG9yPjxh
dXRob3I+Um9zYWwsIE0uIEMuPC9hdXRob3I+PGF1dGhvcj5CcmF1biwgQi48L2F1dGhvcj48YXV0
aG9yPlN0YW5laywgRS4gSi4sIDNyZDwvYXV0aG9yPjxhdXRob3I+TWFya2Vuc29uLCBHLjwvYXV0
aG9yPjxhdXRob3I+Q2hhc2FuLVRhYmVyLCBMLjwvYXV0aG9yPjwvYXV0aG9ycz48L2NvbnRyaWJ1
dG9ycz48YXV0aC1hZGRyZXNzPkRpdmlzaW9uIG9mIEJpb3N0YXRpc3RpY3MgYW5kIEVwaWRlbWlv
bG9neSwgRGVwYXJ0bWVudCBvZiBQdWJsaWMgSGVhbHRoLCBTY2hvb2wgb2YgUHVibGljIEhlYWx0
aCBhbmQgSGVhbHRoIFNjaWVuY2VzLCBVbml2ZXJzaXR5IG9mIE1hc3NhY2h1c2V0dHMsIEFtaGVy
c3QsIE1BLCBVU0EuPC9hdXRoLWFkZHJlc3M+PHRpdGxlcz48dGl0bGU+QSBwcmVnbmFuY3kgbGlm
ZXN0eWxlIGludGVydmVudGlvbiB0byBwcmV2ZW50IGdlc3RhdGlvbmFsIGRpYWJldGVzIHJpc2sg
ZmFjdG9ycyBpbiBvdmVyd2VpZ2h0IEhpc3BhbmljIHdvbWVuOiBhIGZlYXNpYmlsaXR5IHJhbmRv
bWl6ZWQgY29udHJvbGxlZCB0cmlhbDwvdGl0bGU+PHNlY29uZGFyeS10aXRsZT5EaWFiZXQgTWVk
PC9zZWNvbmRhcnktdGl0bGU+PC90aXRsZXM+PHBlcmlvZGljYWw+PGZ1bGwtdGl0bGU+RGlhYmV0
IE1lZDwvZnVsbC10aXRsZT48L3BlcmlvZGljYWw+PHBhZ2VzPjEwOC0xNTwvcGFnZXM+PHZvbHVt
ZT4zMjwvdm9sdW1lPjxudW1iZXI+MTwvbnVtYmVyPjxlZGl0aW9uPjIwMTQvMTAvMTQ8L2VkaXRp
b24+PGtleXdvcmRzPjxrZXl3b3JkPkFkdWx0PC9rZXl3b3JkPjxrZXl3b3JkPkJpcnRoIFdlaWdo
dDwva2V5d29yZD48a2V5d29yZD5EaWFiZXRlcywgR2VzdGF0aW9uYWwvKnByZXZlbnRpb24gJmFt
cDsgY29udHJvbDwva2V5d29yZD48a2V5d29yZD5EaWV0PC9rZXl3b3JkPjxrZXl3b3JkPkV4ZXJj
aXNlPC9rZXl3b3JkPjxrZXl3b3JkPkZlYXNpYmlsaXR5IFN0dWRpZXM8L2tleXdvcmQ+PGtleXdv
cmQ+RmVlZGluZyBCZWhhdmlvcjwva2V5d29yZD48a2V5d29yZD5GZW1hbGU8L2tleXdvcmQ+PGtl
eXdvcmQ+SGlzcGFuaWMgQW1lcmljYW5zLypzdGF0aXN0aWNzICZhbXA7IG51bWVyaWNhbCBkYXRh
PC9rZXl3b3JkPjxrZXl3b3JkPkh1bWFuczwva2V5d29yZD48a2V5d29yZD5JbmZhbnQsIE5ld2Jv
cm48L2tleXdvcmQ+PGtleXdvcmQ+TWFsZTwva2V5d29yZD48a2V5d29yZD5PdmVyd2VpZ2h0L2Nv
bXBsaWNhdGlvbnMvKnByZXZlbnRpb24gJmFtcDsgY29udHJvbDwva2V5d29yZD48a2V5d29yZD5Q
YXRpZW50IENvbXBsaWFuY2U8L2tleXdvcmQ+PGtleXdvcmQ+UHJlZ25hbmN5PC9rZXl3b3JkPjxr
ZXl3b3JkPlByZW5hdGFsIENhcmU8L2tleXdvcmQ+PGtleXdvcmQ+KlByaW1hcnkgUHJldmVudGlv
bjwva2V5d29yZD48a2V5d29yZD5SaXNrIEZhY3RvcnM8L2tleXdvcmQ+PGtleXdvcmQ+KlJpc2sg
UmVkdWN0aW9uIEJlaGF2aW9yPC9rZXl3b3JkPjxrZXl3b3JkPlRyZWF0bWVudCBPdXRjb21lPC9r
ZXl3b3JkPjxrZXl3b3JkPlVuaXRlZCBTdGF0ZXMvZXBpZGVtaW9sb2d5PC9rZXl3b3JkPjxrZXl3
b3JkPldlaWdodCBHYWluPC9rZXl3b3JkPjwva2V5d29yZHM+PGRhdGVzPjx5ZWFyPjIwMTU8L3ll
YXI+PHB1Yi1kYXRlcz48ZGF0ZT5KYW48L2RhdGU+PC9wdWItZGF0ZXM+PC9kYXRlcz48aXNibj4x
NDY0LTU0OTEgKEVsZWN0cm9uaWMpJiN4RDswNzQyLTMwNzEgKExpbmtpbmcpPC9pc2JuPjxhY2Nl
c3Npb24tbnVtPjI1MzA2OTI1PC9hY2Nlc3Npb24tbnVtPjx1cmxzPjxyZWxhdGVkLXVybHM+PHVy
bD5odHRwczovL3d3dy5uY2JpLm5sbS5uaWguZ292L3B1Ym1lZC8yNTMwNjkyNTwvdXJsPjwvcmVs
YXRlZC11cmxzPjwvdXJscz48ZWxlY3Ryb25pYy1yZXNvdXJjZS1udW0+MTAuMTExMS9kbWUuMTI2
MDE8L2VsZWN0cm9uaWMtcmVzb3VyY2UtbnVtPjwvcmVjb3JkPjwvQ2l0ZT48Q2l0ZT48QXV0aG9y
Pkh1aTwvQXV0aG9yPjxZZWFyPjIwMTI8L1llYXI+PFJlY051bT43NDY8L1JlY051bT48cmVjb3Jk
PjxyZWMtbnVtYmVyPjc0NjwvcmVjLW51bWJlcj48Zm9yZWlnbi1rZXlzPjxrZXkgYXBwPSJFTiIg
ZGItaWQ9ImV4dmFzcmZ4MmR0cmFvZXNhc3hwMnN6c3hhMmRmNTAyNTkyeCIgdGltZXN0YW1wPSIx
NTQxNDY3ODk0Ij43NDY8L2tleT48a2V5IGFwcD0iRU5XZWIiIGRiLWlkPSIiPjA8L2tleT48L2Zv
cmVpZ24ta2V5cz48cmVmLXR5cGUgbmFtZT0iSm91cm5hbCBBcnRpY2xlIj4xNzwvcmVmLXR5cGU+
PGNvbnRyaWJ1dG9ycz48YXV0aG9ycz48YXV0aG9yPkh1aSwgQS48L2F1dGhvcj48YXV0aG9yPkJh
Y2ssIEwuPC9hdXRob3I+PGF1dGhvcj5MdWR3aWcsIFMuPC9hdXRob3I+PGF1dGhvcj5HYXJkaW5l
ciwgUC48L2F1dGhvcj48YXV0aG9yPlNldmVuaHV5c2VuLCBHLjwvYXV0aG9yPjxhdXRob3I+RGVh
biwgSC48L2F1dGhvcj48YXV0aG9yPlNlbGxlcnMsIEUuPC9hdXRob3I+PGF1dGhvcj5NY0dhdm9j
aywgSi48L2F1dGhvcj48YXV0aG9yPk1vcnJpcywgTS48L2F1dGhvcj48YXV0aG9yPkJydWNlLCBT
LjwvYXV0aG9yPjxhdXRob3I+TXVycmF5LCBSLjwvYXV0aG9yPjxhdXRob3I+U2hlbiwgRy4gWC48
L2F1dGhvcj48L2F1dGhvcnM+PC9jb250cmlidXRvcnM+PGF1dGgtYWRkcmVzcz5EZXBhcnRtZW50
IG9mIEludGVybmFsIE1lZGljaW5lLCBVbml2ZXJzaXR5IG9mIE1hbml0b2JhLCBXaW5uaXBlZywg
TWFuaXRvYmEsIENhbmFkYS48L2F1dGgtYWRkcmVzcz48dGl0bGVzPjx0aXRsZT5MaWZlc3R5bGUg
aW50ZXJ2ZW50aW9uIG9uIGRpZXQgYW5kIGV4ZXJjaXNlIHJlZHVjZWQgZXhjZXNzaXZlIGdlc3Rh
dGlvbmFsIHdlaWdodCBnYWluIGluIHByZWduYW50IHdvbWVuIHVuZGVyIGEgcmFuZG9taXNlZCBj
b250cm9sbGVkIHRyaWFsPC90aXRsZT48c2Vjb25kYXJ5LXRpdGxlPkJKT0c8L3NlY29uZGFyeS10
aXRsZT48L3RpdGxlcz48cGVyaW9kaWNhbD48ZnVsbC10aXRsZT5CSk9HPC9mdWxsLXRpdGxlPjwv
cGVyaW9kaWNhbD48cGFnZXM+NzAtNzwvcGFnZXM+PHZvbHVtZT4xMTk8L3ZvbHVtZT48bnVtYmVy
PjE8L251bWJlcj48ZWRpdGlvbj4yMDExLzEwLzI1PC9lZGl0aW9uPjxrZXl3b3Jkcz48a2V5d29y
ZD5BZHVsdDwva2V5d29yZD48a2V5d29yZD5Db3Vuc2VsaW5nPC9rZXl3b3JkPjxrZXl3b3JkPipE
aWV0PC9rZXl3b3JkPjxrZXl3b3JkPkVuZXJneSBJbnRha2U8L2tleXdvcmQ+PGtleXdvcmQ+RXhl
cmNpc2UgVGhlcmFweS8qbWV0aG9kczwva2V5d29yZD48a2V5d29yZD5GZW1hbGU8L2tleXdvcmQ+
PGtleXdvcmQ+SHVtYW5zPC9rZXl3b3JkPjxrZXl3b3JkPipMaWZlIFN0eWxlPC9rZXl3b3JkPjxr
ZXl3b3JkPlBhdGllbnQgRWR1Y2F0aW9uIGFzIFRvcGljPC9rZXl3b3JkPjxrZXl3b3JkPlByZWdu
YW5jeTwva2V5d29yZD48a2V5d29yZD5QcmVnbmFuY3kgQ29tcGxpY2F0aW9ucy8qcHJldmVudGlv
biAmYW1wOyBjb250cm9sPC9rZXl3b3JkPjxrZXl3b3JkPlByZWduYW5jeSBPdXRjb21lPC9rZXl3
b3JkPjxrZXl3b3JkPlByZW5hdGFsIENhcmUvKm1ldGhvZHM8L2tleXdvcmQ+PGtleXdvcmQ+VXJi
YW4gSGVhbHRoPC9rZXl3b3JkPjxrZXl3b3JkPldlaWdodCBHYWluLypwaHlzaW9sb2d5PC9rZXl3
b3JkPjxrZXl3b3JkPllvdW5nIEFkdWx0PC9rZXl3b3JkPjwva2V5d29yZHM+PGRhdGVzPjx5ZWFy
PjIwMTI8L3llYXI+PHB1Yi1kYXRlcz48ZGF0ZT5KYW48L2RhdGU+PC9wdWItZGF0ZXM+PC9kYXRl
cz48aXNibj4xNDcxLTA1MjggKEVsZWN0cm9uaWMpJiN4RDsxNDcwLTAzMjggKExpbmtpbmcpPC9p
c2JuPjxhY2Nlc3Npb24tbnVtPjIyMDE3OTY3PC9hY2Nlc3Npb24tbnVtPjx1cmxzPjxyZWxhdGVk
LXVybHM+PHVybD5odHRwczovL3d3dy5uY2JpLm5sbS5uaWguZ292L3B1Ym1lZC8yMjAxNzk2Nzwv
dXJsPjwvcmVsYXRlZC11cmxzPjwvdXJscz48ZWxlY3Ryb25pYy1yZXNvdXJjZS1udW0+MTAuMTEx
MS9qLjE0NzEtMDUyOC4yMDExLjAzMTg0Lng8L2VsZWN0cm9uaWMtcmVzb3VyY2UtbnVtPjwvcmVj
b3JkPjwvQ2l0ZT48Q2l0ZT48QXV0aG9yPkh1aTwvQXV0aG9yPjxZZWFyPjIwMTQ8L1llYXI+PFJl
Y051bT43NjM8L1JlY051bT48cmVjb3JkPjxyZWMtbnVtYmVyPjc2MzwvcmVjLW51bWJlcj48Zm9y
ZWlnbi1rZXlzPjxrZXkgYXBwPSJFTiIgZGItaWQ9ImV4dmFzcmZ4MmR0cmFvZXNhc3hwMnN6c3hh
MmRmNTAyNTkyeCIgdGltZXN0YW1wPSIxNTQxNDY4NDQ2Ij43NjM8L2tleT48L2ZvcmVpZ24ta2V5
cz48cmVmLXR5cGUgbmFtZT0iSm91cm5hbCBBcnRpY2xlIj4xNzwvcmVmLXR5cGU+PGNvbnRyaWJ1
dG9ycz48YXV0aG9ycz48YXV0aG9yPkh1aSwgQS4gTC48L2F1dGhvcj48YXV0aG9yPkJhY2ssIEwu
PC9hdXRob3I+PGF1dGhvcj5MdWR3aWcsIFMuPC9hdXRob3I+PGF1dGhvcj5HYXJkaW5lciwgUC48
L2F1dGhvcj48YXV0aG9yPlNldmVuaHV5c2VuLCBHLjwvYXV0aG9yPjxhdXRob3I+RGVhbiwgSC4g
Si48L2F1dGhvcj48YXV0aG9yPlNlbGxlcnMsIEUuPC9hdXRob3I+PGF1dGhvcj5NY0dhdm9jaywg
Si48L2F1dGhvcj48YXV0aG9yPk1vcnJpcywgTS48L2F1dGhvcj48YXV0aG9yPkppYW5nLCBELjwv
YXV0aG9yPjxhdXRob3I+U2hlbiwgRy4gWC48L2F1dGhvcj48L2F1dGhvcnM+PC9jb250cmlidXRv
cnM+PGF1dGgtYWRkcmVzcz5EZXBhcnRtZW50cyBvZiBJbnRlcm5hbCBNZWRpY2luZSwgVW5pdmVy
c2l0eSBvZiBNYW5pdG9iYSwgUm9vbSA4MDFELCA3MTUgTWNEZXJtb3QgQXZlLCwgV2lubmlwZWcs
IE1CIFIzRSAzUDQsIENhbmFkYS4gQW15Lkh1aUBtZWQudW1hbml0b2JhLmNhLjwvYXV0aC1hZGRy
ZXNzPjx0aXRsZXM+PHRpdGxlPkVmZmVjdHMgb2YgbGlmZXN0eWxlIGludGVydmVudGlvbiBvbiBk
aWV0YXJ5IGludGFrZSwgcGh5c2ljYWwgYWN0aXZpdHkgbGV2ZWwsIGFuZCBnZXN0YXRpb25hbCB3
ZWlnaHQgZ2FpbiBpbiBwcmVnbmFudCB3b21lbiB3aXRoIGRpZmZlcmVudCBwcmUtcHJlZ25hbmN5
IEJvZHkgTWFzcyBJbmRleCBpbiBhIHJhbmRvbWl6ZWQgY29udHJvbCB0cmlhbDwvdGl0bGU+PHNl
Y29uZGFyeS10aXRsZT5CTUMgUHJlZ25hbmN5IENoaWxkYmlydGg8L3NlY29uZGFyeS10aXRsZT48
L3RpdGxlcz48cGVyaW9kaWNhbD48ZnVsbC10aXRsZT5CTUMgUHJlZ25hbmN5IENoaWxkYmlydGg8
L2Z1bGwtdGl0bGU+PC9wZXJpb2RpY2FsPjxwYWdlcz4zMzE8L3BhZ2VzPjx2b2x1bWU+MTQ8L3Zv
bHVtZT48ZWRpdGlvbj4yMDE0LzA5LzI1PC9lZGl0aW9uPjxrZXl3b3Jkcz48a2V5d29yZD5BZHVs
dDwva2V5d29yZD48a2V5d29yZD4qQm9keSBNYXNzIEluZGV4PC9rZXl3b3JkPjxrZXl3b3JkPkNv
dW5zZWxpbmc8L2tleXdvcmQ+PGtleXdvcmQ+KkRpZXQ8L2tleXdvcmQ+PGtleXdvcmQ+RW5lcmd5
IEludGFrZTwva2V5d29yZD48a2V5d29yZD5FeGVyY2lzZSBUaGVyYXB5LyptZXRob2RzPC9rZXl3
b3JkPjxrZXl3b3JkPkZlbWFsZTwva2V5d29yZD48a2V5d29yZD5Gb2xsb3ctVXAgU3R1ZGllczwv
a2V5d29yZD48a2V5d29yZD5HZXN0YXRpb25hbCBBZ2U8L2tleXdvcmQ+PGtleXdvcmQ+SHVtYW5z
PC9rZXl3b3JkPjxrZXl3b3JkPipMaWZlIFN0eWxlPC9rZXl3b3JkPjxrZXl3b3JkPk9iZXNpdHkv
cHJldmVudGlvbiAmYW1wOyBjb250cm9sLyp0aGVyYXB5PC9rZXl3b3JkPjxrZXl3b3JkPlBhdGll
bnQgQ29tcGxpYW5jZS9zdGF0aXN0aWNzICZhbXA7IG51bWVyaWNhbCBkYXRhPC9rZXl3b3JkPjxr
ZXl3b3JkPlBhdGllbnQgRWR1Y2F0aW9uIGFzIFRvcGljPC9rZXl3b3JkPjxrZXl3b3JkPlByZWdu
YW5jeTwva2V5d29yZD48a2V5d29yZD5QcmVnbmFuY3kgT3V0Y29tZTwva2V5d29yZD48a2V5d29y
ZD5QcmVuYXRhbCBDYXJlL21ldGhvZHM8L2tleXdvcmQ+PGtleXdvcmQ+KldlaWdodCBHYWluPC9r
ZXl3b3JkPjxrZXl3b3JkPllvdW5nIEFkdWx0PC9rZXl3b3JkPjwva2V5d29yZHM+PGRhdGVzPjx5
ZWFyPjIwMTQ8L3llYXI+PHB1Yi1kYXRlcz48ZGF0ZT5TZXAgMjQ8L2RhdGU+PC9wdWItZGF0ZXM+
PC9kYXRlcz48aXNibj4xNDcxLTIzOTMgKEVsZWN0cm9uaWMpJiN4RDsxNDcxLTIzOTMgKExpbmtp
bmcpPC9pc2JuPjxhY2Nlc3Npb24tbnVtPjI1MjQ4Nzk3PC9hY2Nlc3Npb24tbnVtPjx1cmxzPjxy
ZWxhdGVkLXVybHM+PHVybD5odHRwczovL3d3dy5uY2JpLm5sbS5uaWguZ292L3B1Ym1lZC8yNTI0
ODc5NzwvdXJsPjwvcmVsYXRlZC11cmxzPjwvdXJscz48Y3VzdG9tMj5QTUM0Mjg3NDcwPC9jdXN0
b20yPjxlbGVjdHJvbmljLXJlc291cmNlLW51bT4xMC4xMTg2LzE0NzEtMjM5My0xNC0zMzE8L2Vs
ZWN0cm9uaWMtcmVzb3VyY2UtbnVtPjwvcmVjb3JkPjwvQ2l0ZT48Q2l0ZT48QXV0aG9yPkx1b3Rv
PC9BdXRob3I+PFllYXI+MjAxMTwvWWVhcj48UmVjTnVtPjEwODQ8L1JlY051bT48cmVjb3JkPjxy
ZWMtbnVtYmVyPjEwODQ8L3JlYy1udW1iZXI+PGZvcmVpZ24ta2V5cz48a2V5IGFwcD0iRU4iIGRi
LWlkPSJleHZhc3JmeDJkdHJhb2VzYXN4cDJzenN4YTJkZjUwMjU5MngiIHRpbWVzdGFtcD0iMTU1
Mjk0NjUwMSI+MTA4NDwva2V5PjxrZXkgYXBwPSJFTldlYiIgZGItaWQ9IiI+MDwva2V5PjwvZm9y
ZWlnbi1rZXlzPjxyZWYtdHlwZSBuYW1lPSJKb3VybmFsIEFydGljbGUiPjE3PC9yZWYtdHlwZT48
Y29udHJpYnV0b3JzPjxhdXRob3JzPjxhdXRob3I+THVvdG8sIFIuPC9hdXRob3I+PGF1dGhvcj5L
aW5udW5lbiwgVC4gSS48L2F1dGhvcj48YXV0aG9yPkFpdHRhc2FsbywgTS48L2F1dGhvcj48YXV0
aG9yPktvbHUsIFAuPC9hdXRob3I+PGF1dGhvcj5SYWl0YW5lbiwgSi48L2F1dGhvcj48YXV0aG9y
Pk9qYWxhLCBLLjwvYXV0aG9yPjxhdXRob3I+TWFuc2lra2FtYWtpLCBLLjwvYXV0aG9yPjxhdXRo
b3I+TGFtYmVyZywgUy48L2F1dGhvcj48YXV0aG9yPlZhc2Fua2FyaSwgVC48L2F1dGhvcj48YXV0
aG9yPktvbXVsYWluZW4sIFQuPC9hdXRob3I+PGF1dGhvcj5UdWxva2FzLCBTLjwvYXV0aG9yPjwv
YXV0aG9ycz48L2NvbnRyaWJ1dG9ycz48YXV0aC1hZGRyZXNzPlVLSyBJbnN0aXR1dGUgZm9yIEhl
YWx0aCBQcm9tb3Rpb24gUmVzZWFyY2gsIFRhbXBlcmUsIEZpbmxhbmQuIHJpaXR0YS5sdW90b0B1
dGEuZmk8L2F1dGgtYWRkcmVzcz48dGl0bGVzPjx0aXRsZT5QcmltYXJ5IHByZXZlbnRpb24gb2Yg
Z2VzdGF0aW9uYWwgZGlhYmV0ZXMgbWVsbGl0dXMgYW5kIGxhcmdlLWZvci1nZXN0YXRpb25hbC1h
Z2UgbmV3Ym9ybnMgYnkgbGlmZXN0eWxlIGNvdW5zZWxpbmc6IGEgY2x1c3Rlci1yYW5kb21pemVk
IGNvbnRyb2xsZWQgdHJpYWw8L3RpdGxlPjxzZWNvbmRhcnktdGl0bGU+UExvUyBNZWQ8L3NlY29u
ZGFyeS10aXRsZT48L3RpdGxlcz48cGVyaW9kaWNhbD48ZnVsbC10aXRsZT5QTG9TIE1lZDwvZnVs
bC10aXRsZT48L3BlcmlvZGljYWw+PHBhZ2VzPmUxMDAxMDM2PC9wYWdlcz48dm9sdW1lPjg8L3Zv
bHVtZT48bnVtYmVyPjU8L251bWJlcj48ZWRpdGlvbj4yMDExLzA1LzI2PC9lZGl0aW9uPjxrZXl3
b3Jkcz48a2V5d29yZD5BZHVsdDwva2V5d29yZD48a2V5d29yZD5CZWhhdmlvci9waHlzaW9sb2d5
PC9rZXl3b3JkPjxrZXl3b3JkPkJpcnRoIFdlaWdodC8qcGh5c2lvbG9neTwva2V5d29yZD48a2V5
d29yZD5EaWFiZXRlcywgR2VzdGF0aW9uYWwvKnByZXZlbnRpb24gJmFtcDsgY29udHJvbDwva2V5
d29yZD48a2V5d29yZD5EaWV0PC9rZXl3b3JkPjxrZXl3b3JkPkZlbWFsZTwva2V5d29yZD48a2V5
d29yZD5GaW5sYW5kPC9rZXl3b3JkPjxrZXl3b3JkPipHZXN0YXRpb25hbCBBZ2U8L2tleXdvcmQ+
PGtleXdvcmQ+R2x1Y29zZSBUb2xlcmFuY2UgVGVzdDwva2V5d29yZD48a2V5d29yZD4qSGVhbHRo
IEVkdWNhdGlvbjwva2V5d29yZD48a2V5d29yZD5IdW1hbnM8L2tleXdvcmQ+PGtleXdvcmQ+SW5m
YW50LCBOZXdib3JuPC9rZXl3b3JkPjxrZXl3b3JkPkluc3VsaW4vbWV0YWJvbGlzbTwva2V5d29y
ZD48a2V5d29yZD4qTGlmZSBTdHlsZTwva2V5d29yZD48a2V5d29yZD5Nb3RvciBBY3Rpdml0eTwv
a2V5d29yZD48a2V5d29yZD5QYXRpZW50IENvbXBsaWFuY2U8L2tleXdvcmQ+PGtleXdvcmQ+UHJl
Z25hbmN5PC9rZXl3b3JkPjxrZXl3b3JkPipQcmltYXJ5IFByZXZlbnRpb248L2tleXdvcmQ+PGtl
eXdvcmQ+VHJlYXRtZW50IE91dGNvbWU8L2tleXdvcmQ+PC9rZXl3b3Jkcz48ZGF0ZXM+PHllYXI+
MjAxMTwveWVhcj48cHViLWRhdGVzPjxkYXRlPk1heTwvZGF0ZT48L3B1Yi1kYXRlcz48L2RhdGVz
Pjxpc2JuPjE1NDktMTY3NiAoRWxlY3Ryb25pYykmI3hEOzE1NDktMTI3NyAoTGlua2luZyk8L2lz
Ym4+PGFjY2Vzc2lvbi1udW0+MjE2MTA4NjA8L2FjY2Vzc2lvbi1udW0+PHVybHM+PHJlbGF0ZWQt
dXJscz48dXJsPmh0dHBzOi8vd3d3Lm5jYmkubmxtLm5paC5nb3YvcHVibWVkLzIxNjEwODYwPC91
cmw+PC9yZWxhdGVkLXVybHM+PC91cmxzPjxjdXN0b20yPlBNQzMwOTY2MTA8L2N1c3RvbTI+PGVs
ZWN0cm9uaWMtcmVzb3VyY2UtbnVtPjEwLjEzNzEvam91cm5hbC5wbWVkLjEwMDEwMzY8L2VsZWN0
cm9uaWMtcmVzb3VyY2UtbnVtPjwvcmVjb3JkPjwvQ2l0ZT48Q2l0ZT48QXV0aG9yPlBoZWxhbjwv
QXV0aG9yPjxZZWFyPjIwMTE8L1llYXI+PFJlY051bT43MDU8L1JlY051bT48cmVjb3JkPjxyZWMt
bnVtYmVyPjcwNTwvcmVjLW51bWJlcj48Zm9yZWlnbi1rZXlzPjxrZXkgYXBwPSJFTiIgZGItaWQ9
ImV4dmFzcmZ4MmR0cmFvZXNhc3hwMnN6c3hhMmRmNTAyNTkyeCIgdGltZXN0YW1wPSIxNTQwNTMw
NjM2Ij43MDU8L2tleT48L2ZvcmVpZ24ta2V5cz48cmVmLXR5cGUgbmFtZT0iSm91cm5hbCBBcnRp
Y2xlIj4xNzwvcmVmLXR5cGU+PGNvbnRyaWJ1dG9ycz48YXV0aG9ycz48YXV0aG9yPlBoZWxhbiwg
Uy48L2F1dGhvcj48YXV0aG9yPlBoaXBwcywgTS4gRy48L2F1dGhvcj48YXV0aG9yPkFicmFtcywg
Qi48L2F1dGhvcj48YXV0aG9yPkRhcnJvY2gsIEYuPC9hdXRob3I+PGF1dGhvcj5TY2hhZmZuZXIs
IEEuPC9hdXRob3I+PGF1dGhvcj5XaW5nLCBSLiBSLjwvYXV0aG9yPjwvYXV0aG9ycz48L2NvbnRy
aWJ1dG9ycz48YXV0aC1hZGRyZXNzPkRlcGFydG1lbnRzIG9mIEtpbmVzaW9sb2d5LCBDYWxpZm9y
bmlhIFBvbHl0ZWNobmljIFN0YXRlIFVuaXZlcnNpdHksIFNhbiBMdWlzIE9iaXNwbywgOTM0MDct
MDM4NiwgVVNBLiBzcGhlbGFuQGNhbHBvbHkuZWR1PC9hdXRoLWFkZHJlc3M+PHRpdGxlcz48dGl0
bGU+UmFuZG9taXplZCB0cmlhbCBvZiBhIGJlaGF2aW9yYWwgaW50ZXJ2ZW50aW9uIHRvIHByZXZl
bnQgZXhjZXNzaXZlIGdlc3RhdGlvbmFsIHdlaWdodCBnYWluOiB0aGUgRml0IGZvciBEZWxpdmVy
eSBTdHVkeTwvdGl0bGU+PHNlY29uZGFyeS10aXRsZT5BbSBKIENsaW4gTnV0cjwvc2Vjb25kYXJ5
LXRpdGxlPjwvdGl0bGVzPjxwZXJpb2RpY2FsPjxmdWxsLXRpdGxlPkFtIEogQ2xpbiBOdXRyPC9m
dWxsLXRpdGxlPjwvcGVyaW9kaWNhbD48cGFnZXM+NzcyLTk8L3BhZ2VzPjx2b2x1bWU+OTM8L3Zv
bHVtZT48bnVtYmVyPjQ8L251bWJlcj48ZWRpdGlvbj4yMDExLzAyLzEyPC9lZGl0aW9uPjxrZXl3
b3Jkcz48a2V5d29yZD5BZHVsdDwva2V5d29yZD48a2V5d29yZD5CZWhhdmlvcjwva2V5d29yZD48
a2V5d29yZD4qQmVoYXZpb3IgVGhlcmFweTwva2V5d29yZD48a2V5d29yZD4qRGlldDwva2V5d29y
ZD48a2V5d29yZD4qRXhlcmNpc2U8L2tleXdvcmQ+PGtleXdvcmQ+RmVtYWxlPC9rZXl3b3JkPjxr
ZXl3b3JkPipIZWFsdGggUHJvbW90aW9uPC9rZXl3b3JkPjxrZXl3b3JkPkh1bWFuczwva2V5d29y
ZD48a2V5d29yZD5JbnRlbnRpb24gdG8gVHJlYXQgQW5hbHlzaXM8L2tleXdvcmQ+PGtleXdvcmQ+
T2Jlc2l0eS9jb21wbGljYXRpb25zL2VwaWRlbWlvbG9neS8qcHJldmVudGlvbiAmYW1wOyBjb250
cm9sPC9rZXl3b3JkPjxrZXl3b3JkPlBvc3RwYXJ0dW0gUGVyaW9kPC9rZXl3b3JkPjxrZXl3b3Jk
PlByZWduYW5jeTwva2V5d29yZD48a2V5d29yZD5QcmVnbmFuY3kgQ29tcGxpY2F0aW9ucy8qcHJl
dmVudGlvbiAmYW1wOyBjb250cm9sPC9rZXl3b3JkPjxrZXl3b3JkPlByZXZhbGVuY2U8L2tleXdv
cmQ+PGtleXdvcmQ+UmVmZXJlbmNlIFZhbHVlczwva2V5d29yZD48a2V5d29yZD5TaW5nbGUtQmxp
bmQgTWV0aG9kPC9rZXl3b3JkPjxrZXl3b3JkPlN0YW5kYXJkIG9mIENhcmU8L2tleXdvcmQ+PGtl
eXdvcmQ+VHJlYXRtZW50IE91dGNvbWU8L2tleXdvcmQ+PGtleXdvcmQ+KldlaWdodCBHYWluPC9r
ZXl3b3JkPjxrZXl3b3JkPllvdW5nIEFkdWx0PC9rZXl3b3JkPjwva2V5d29yZHM+PGRhdGVzPjx5
ZWFyPjIwMTE8L3llYXI+PHB1Yi1kYXRlcz48ZGF0ZT5BcHI8L2RhdGU+PC9wdWItZGF0ZXM+PC9k
YXRlcz48aXNibj4xOTM4LTMyMDcgKEVsZWN0cm9uaWMpJiN4RDswMDAyLTkxNjUgKExpbmtpbmcp
PC9pc2JuPjxhY2Nlc3Npb24tbnVtPjIxMzEwODM2PC9hY2Nlc3Npb24tbnVtPjx1cmxzPjxyZWxh
dGVkLXVybHM+PHVybD5odHRwczovL3d3dy5uY2JpLm5sbS5uaWguZ292L3B1Ym1lZC8yMTMxMDgz
NjwvdXJsPjwvcmVsYXRlZC11cmxzPjwvdXJscz48Y3VzdG9tMj5QTUMzMDU3NTQ2PC9jdXN0b20y
PjxlbGVjdHJvbmljLXJlc291cmNlLW51bT4xMC4zOTQ1L2FqY24uMTEwLjAwNTMwNjwvZWxlY3Ry
b25pYy1yZXNvdXJjZS1udW0+PC9yZWNvcmQ+PC9DaXRlPjxDaXRlPjxBdXRob3I+UG9zdG9uPC9B
dXRob3I+PFllYXI+MjAxNTwvWWVhcj48UmVjTnVtPjYxMjwvUmVjTnVtPjxyZWNvcmQ+PHJlYy1u
dW1iZXI+NjEyPC9yZWMtbnVtYmVyPjxmb3JlaWduLWtleXM+PGtleSBhcHA9IkVOIiBkYi1pZD0i
ZXh2YXNyZngyZHRyYW9lc2FzeHAyc3pzeGEyZGY1MDI1OTJ4IiB0aW1lc3RhbXA9IjE1MzkwNDgz
NDgiPjYxMjwva2V5PjxrZXkgYXBwPSJFTldlYiIgZGItaWQ9IiI+MDwva2V5PjwvZm9yZWlnbi1r
ZXlzPjxyZWYtdHlwZSBuYW1lPSJKb3VybmFsIEFydGljbGUiPjE3PC9yZWYtdHlwZT48Y29udHJp
YnV0b3JzPjxhdXRob3JzPjxhdXRob3I+UG9zdG9uLCBMLiw8L2F1dGhvcj48YXV0aG9yPkJlbGws
IFIuLDwvYXV0aG9yPjxhdXRob3I+Q3Jva2VyLCBILiw8L2F1dGhvcj48YXV0aG9yPkZseW5uLCBB
LkMuLDwvYXV0aG9yPjxhdXRob3I+R29kZnJleSwgSy5NLiw8L2F1dGhvcj48YXV0aG9yPkdvZmYs
IEwuLDwvYXV0aG9yPjwvYXV0aG9ycz48L2NvbnRyaWJ1dG9ycz48dGl0bGVzPjx0aXRsZT5FZmZl
Y3Qgb2YgYSBiZWhhdmlvdXJhbCBpbnRlcnZlbnRpb24gaW4gb2Jlc2UgcHJlZ25hbnQgd29tZW4g
KHRoZSBVUEJFQVQgc3R1ZHkpOiBhIG11bHRpY2VudHJlLCByYW5kb21pc2VkIGNvbnRyb2xsZWQg
dHJpYWw8L3RpdGxlPjxzZWNvbmRhcnktdGl0bGU+VGhlIExhbmNldCBEaWFiZXRlcyAmYW1wOyBF
bmRvY3Jpbm9sb2d5PC9zZWNvbmRhcnktdGl0bGU+PC90aXRsZXM+PHBlcmlvZGljYWw+PGZ1bGwt
dGl0bGU+VGhlIExhbmNldCBEaWFiZXRlcyAmYW1wOyBFbmRvY3Jpbm9sb2d5PC9mdWxsLXRpdGxl
PjwvcGVyaW9kaWNhbD48cGFnZXM+NzY3LTc3NzwvcGFnZXM+PHZvbHVtZT4zPC92b2x1bWU+PG51
bWJlcj4xMDwvbnVtYmVyPjxzZWN0aW9uPjc2Nzwvc2VjdGlvbj48ZGF0ZXM+PHllYXI+MjAxNTwv
eWVhcj48L2RhdGVzPjxpc2JuPjIyMTM4NTg3PC9pc2JuPjx1cmxzPjwvdXJscz48ZWxlY3Ryb25p
Yy1yZXNvdXJjZS1udW0+MTAuMTAxNi9zMjIxMy04NTg3KDE1KTAwMjI3LTI8L2VsZWN0cm9uaWMt
cmVzb3VyY2UtbnVtPjwvcmVjb3JkPjwvQ2l0ZT48Q2l0ZT48QXV0aG9yPlJhdWg8L0F1dGhvcj48
WWVhcj4yMDEzPC9ZZWFyPjxSZWNOdW0+MTEwOTwvUmVjTnVtPjxyZWNvcmQ+PHJlYy1udW1iZXI+
MTEwOTwvcmVjLW51bWJlcj48Zm9yZWlnbi1rZXlzPjxrZXkgYXBwPSJFTiIgZGItaWQ9ImV4dmFz
cmZ4MmR0cmFvZXNhc3hwMnN6c3hhMmRmNTAyNTkyeCIgdGltZXN0YW1wPSIxNTUyOTQ4NDg1Ij4x
MTA5PC9rZXk+PC9mb3JlaWduLWtleXM+PHJlZi10eXBlIG5hbWU9IkpvdXJuYWwgQXJ0aWNsZSI+
MTc8L3JlZi10eXBlPjxjb250cmlidXRvcnM+PGF1dGhvcnM+PGF1dGhvcj5SYXVoLCBLLjwvYXV0
aG9yPjxhdXRob3I+R2FicmllbCwgRS48L2F1dGhvcj48YXV0aG9yPktlcnNjaGJhdW0sIEUuPC9h
dXRob3I+PGF1dGhvcj5TY2h1c3RlciwgVC48L2F1dGhvcj48YXV0aG9yPnZvbiBLcmllcywgUi48
L2F1dGhvcj48YXV0aG9yPkFtYW5uLUdhc3NuZXIsIFUuPC9hdXRob3I+PGF1dGhvcj5IYXVuZXIs
IEguPC9hdXRob3I+PC9hdXRob3JzPjwvY29udHJpYnV0b3JzPjx0aXRsZXM+PHRpdGxlPlNhZmV0
eSBhbmQgZWZmaWNhY3kgb2YgYSBsaWZlc3R5bGUgaW50ZXJ2ZW50aW9uIGZvciBwcmVnbmFudCB3
b21lbiB0byBwcmV2ZW50IGV4Y2Vzc2l2ZSBtYXRlcm5hbCB3ZWlnaHQgZ2FpbjogYSBjbHVzdGVy
LXJhbmRvbWl6ZWQgY29udHJvbGxlZCB0cmlhbDwvdGl0bGU+PHNlY29uZGFyeS10aXRsZT5CTUMg
UHJlZ25hbmN5IENoaWxkYmlydGg8L3NlY29uZGFyeS10aXRsZT48L3RpdGxlcz48cGVyaW9kaWNh
bD48ZnVsbC10aXRsZT5CTUMgUHJlZ25hbmN5IENoaWxkYmlydGg8L2Z1bGwtdGl0bGU+PC9wZXJp
b2RpY2FsPjxwYWdlcz4xNTE8L3BhZ2VzPjx2b2x1bWU+MTM8L3ZvbHVtZT48ZWRpdGlvbj4yMDEz
LzA3LzIwPC9lZGl0aW9uPjxrZXl3b3Jkcz48a2V5d29yZD5BZHVsdDwva2V5d29yZD48a2V5d29y
ZD4qQmlydGggV2VpZ2h0PC9rZXl3b3JkPjxrZXl3b3JkPkNvdW5zZWxpbmcvKm1ldGhvZHM8L2tl
eXdvcmQ+PGtleXdvcmQ+KkVuZXJneSBJbnRha2U8L2tleXdvcmQ+PGtleXdvcmQ+RmVhc2liaWxp
dHkgU3R1ZGllczwva2V5d29yZD48a2V5d29yZD5GZW1hbGU8L2tleXdvcmQ+PGtleXdvcmQ+SHVt
YW5zPC9rZXl3b3JkPjxrZXl3b3JkPkluZmFudCwgTmV3Ym9ybjwva2V5d29yZD48a2V5d29yZD4q
TW90b3IgQWN0aXZpdHk8L2tleXdvcmQ+PGtleXdvcmQ+T2Jlc2l0eS8qcHJldmVudGlvbiAmYW1w
OyBjb250cm9sPC9rZXl3b3JkPjxrZXl3b3JkPk92ZXJ3ZWlnaHQvcHJldmVudGlvbiAmYW1wOyBj
b250cm9sPC9rZXl3b3JkPjxrZXl3b3JkPlBvc3RwYXJ0dW0gUGVyaW9kPC9rZXl3b3JkPjxrZXl3
b3JkPlByZWduYW5jeTwva2V5d29yZD48a2V5d29yZD5QcmVnbmFuY3kgQ29tcGxpY2F0aW9ucy8q
cHJldmVudGlvbiAmYW1wOyBjb250cm9sPC9rZXl3b3JkPjxrZXl3b3JkPlByZWduYW5jeSBPdXRj
b21lPC9rZXl3b3JkPjxrZXl3b3JkPipXZWlnaHQgR2Fpbjwva2V5d29yZD48L2tleXdvcmRzPjxk
YXRlcz48eWVhcj4yMDEzPC95ZWFyPjxwdWItZGF0ZXM+PGRhdGU+SnVsIDE2PC9kYXRlPjwvcHVi
LWRhdGVzPjwvZGF0ZXM+PGlzYm4+MTQ3MS0yMzkzIChFbGVjdHJvbmljKSYjeEQ7MTQ3MS0yMzkz
IChMaW5raW5nKTwvaXNibj48YWNjZXNzaW9uLW51bT4yMzg2NTYyNDwvYWNjZXNzaW9uLW51bT48
dXJscz48cmVsYXRlZC11cmxzPjx1cmw+aHR0cHM6Ly93d3cubmNiaS5ubG0ubmloLmdvdi9wdWJt
ZWQvMjM4NjU2MjQ8L3VybD48L3JlbGF0ZWQtdXJscz48L3VybHM+PGN1c3RvbTI+UE1DMzcxODcw
NzwvY3VzdG9tMj48ZWxlY3Ryb25pYy1yZXNvdXJjZS1udW0+MTAuMTE4Ni8xNDcxLTIzOTMtMTMt
MTUxPC9lbGVjdHJvbmljLXJlc291cmNlLW51bT48L3JlY29yZD48L0NpdGU+PENpdGU+PEF1dGhv
cj5WZXNjbzwvQXV0aG9yPjxZZWFyPjIwMTI8L1llYXI+PFJlY051bT4xMTMwPC9SZWNOdW0+PHJl
Y29yZD48cmVjLW51bWJlcj4xMTMwPC9yZWMtbnVtYmVyPjxmb3JlaWduLWtleXM+PGtleSBhcHA9
IkVOIiBkYi1pZD0iZXh2YXNyZngyZHRyYW9lc2FzeHAyc3pzeGEyZGY1MDI1OTJ4IiB0aW1lc3Rh
bXA9IjE1NTM0MDg5ODYiPjExMzA8L2tleT48L2ZvcmVpZ24ta2V5cz48cmVmLXR5cGUgbmFtZT0i
Sm91cm5hbCBBcnRpY2xlIj4xNzwvcmVmLXR5cGU+PGNvbnRyaWJ1dG9ycz48YXV0aG9ycz48YXV0
aG9yPlZlc2NvLCBLLiBLLjwvYXV0aG9yPjxhdXRob3I+S2FyYW5qYSwgTi48L2F1dGhvcj48YXV0
aG9yPktpbmcsIEouIEMuPC9hdXRob3I+PGF1dGhvcj5HaWxsbWFuLCBNLiBXLjwvYXV0aG9yPjxh
dXRob3I+UGVycmluLCBOLjwvYXV0aG9yPjxhdXRob3I+TWNFdm95LCBDLjwvYXV0aG9yPjxhdXRo
b3I+RWNraGFyZHQsIEMuPC9hdXRob3I+PGF1dGhvcj5TbWl0aCwgSy4gUy48L2F1dGhvcj48YXV0
aG9yPlN0ZXZlbnMsIFYuIEouPC9hdXRob3I+PC9hdXRob3JzPjwvY29udHJpYnV0b3JzPjxhdXRo
LWFkZHJlc3M+Q2VudGVyIGZvciBIZWFsdGggUmVzZWFyY2gsIEthaXNlciBQZXJtYW5lbnRlLCBO
b3J0aHdlc3QsIFBvcnRsYW5kLCBPUiA5NzIyNywgVVNBLiBraW1iZXJseS5rLnZlc2NvQGtwY2hy
Lm9yZzwvYXV0aC1hZGRyZXNzPjx0aXRsZXM+PHRpdGxlPkhlYWx0aHkgTW9tcywgYSByYW5kb21p
emVkIHRyaWFsIHRvIHByb21vdGUgYW5kIGV2YWx1YXRlIHdlaWdodCBtYWludGVuYW5jZSBhbW9u
ZyBvYmVzZSBwcmVnbmFudCB3b21lbjogc3R1ZHkgZGVzaWduIGFuZCByYXRpb25hbGU8L3RpdGxl
PjxzZWNvbmRhcnktdGl0bGU+Q29udGVtcCBDbGluIFRyaWFsczwvc2Vjb25kYXJ5LXRpdGxlPjwv
dGl0bGVzPjxwZXJpb2RpY2FsPjxmdWxsLXRpdGxlPkNvbnRlbXAgQ2xpbiBUcmlhbHM8L2Z1bGwt
dGl0bGU+PC9wZXJpb2RpY2FsPjxwYWdlcz43NzctODU8L3BhZ2VzPjx2b2x1bWU+MzM8L3ZvbHVt
ZT48bnVtYmVyPjQ8L251bWJlcj48ZWRpdGlvbj4yMDEyLzA0LzAzPC9lZGl0aW9uPjxrZXl3b3Jk
cz48a2V5d29yZD5BZG9sZXNjZW50PC9rZXl3b3JkPjxrZXl3b3JkPkFkdWx0PC9rZXl3b3JkPjxr
ZXl3b3JkPkJpcnRoIFdlaWdodDwva2V5d29yZD48a2V5d29yZD5DbGluaWNhbCBQcm90b2NvbHM8
L2tleXdvcmQ+PGtleXdvcmQ+Q29tYmluZWQgTW9kYWxpdHkgVGhlcmFweTwva2V5d29yZD48a2V5
d29yZD5EaWV0IFRoZXJhcHkvKm1ldGhvZHM8L2tleXdvcmQ+PGtleXdvcmQ+RXhlcmNpc2UgVGhl
cmFweS8qbWV0aG9kczwva2V5d29yZD48a2V5d29yZD5GZWFzaWJpbGl0eSBTdHVkaWVzPC9rZXl3
b3JkPjxrZXl3b3JkPkZlbWFsZTwva2V5d29yZD48a2V5d29yZD5IdW1hbnM8L2tleXdvcmQ+PGtl
eXdvcmQ+SW5mYW50LCBOZXdib3JuPC9rZXl3b3JkPjxrZXl3b3JkPkludGVudGlvbiB0byBUcmVh
dCBBbmFseXNpczwva2V5d29yZD48a2V5d29yZD5Mb2dpc3RpYyBNb2RlbHM8L2tleXdvcmQ+PGtl
eXdvcmQ+T2Jlc2l0eS8qdGhlcmFweTwva2V5d29yZD48a2V5d29yZD5QcmVnbmFuY3k8L2tleXdv
cmQ+PGtleXdvcmQ+UHJlZ25hbmN5IENvbXBsaWNhdGlvbnMvKnRoZXJhcHk8L2tleXdvcmQ+PGtl
eXdvcmQ+UHN5Y2hvdGhlcmFweSwgR3JvdXAvKm1ldGhvZHM8L2tleXdvcmQ+PGtleXdvcmQ+UmVz
ZWFyY2ggRGVzaWduPC9rZXl3b3JkPjxrZXl3b3JkPlRyZWF0bWVudCBPdXRjb21lPC9rZXl3b3Jk
PjxrZXl3b3JkPldlaWdodCBHYWluPC9rZXl3b3JkPjxrZXl3b3JkPllvdW5nIEFkdWx0PC9rZXl3
b3JkPjwva2V5d29yZHM+PGRhdGVzPjx5ZWFyPjIwMTI8L3llYXI+PHB1Yi1kYXRlcz48ZGF0ZT5K
dWw8L2RhdGU+PC9wdWItZGF0ZXM+PC9kYXRlcz48aXNibj4xNTU5LTIwMzAgKEVsZWN0cm9uaWMp
JiN4RDsxNTUxLTcxNDQgKExpbmtpbmcpPC9pc2JuPjxhY2Nlc3Npb24tbnVtPjIyNDY1MjU2PC9h
Y2Nlc3Npb24tbnVtPjx1cmxzPjxyZWxhdGVkLXVybHM+PHVybD5odHRwczovL3d3dy5uY2JpLm5s
bS5uaWguZ292L3B1Ym1lZC8yMjQ2NTI1NjwvdXJsPjwvcmVsYXRlZC11cmxzPjwvdXJscz48Y3Vz
dG9tMj5QTUMzMzYxNTE5PC9jdXN0b20yPjxlbGVjdHJvbmljLXJlc291cmNlLW51bT4xMC4xMDE2
L2ouY2N0LjIwMTIuMDMuMDA2PC9lbGVjdHJvbmljLXJlc291cmNlLW51bT48L3JlY29yZD48L0Np
dGU+PENpdGU+PEF1dGhvcj5QaGVsYW48L0F1dGhvcj48WWVhcj4yMDE4PC9ZZWFyPjxSZWNOdW0+
MTM4NjwvUmVjTnVtPjxyZWNvcmQ+PHJlYy1udW1iZXI+MTM4NjwvcmVjLW51bWJlcj48Zm9yZWln
bi1rZXlzPjxrZXkgYXBwPSJFTiIgZGItaWQ9ImV4dmFzcmZ4MmR0cmFvZXNhc3hwMnN6c3hhMmRm
NTAyNTkyeCIgdGltZXN0YW1wPSIxNTY3MzgyNDg1Ij4xMzg2PC9rZXk+PC9mb3JlaWduLWtleXM+
PHJlZi10eXBlIG5hbWU9IkpvdXJuYWwgQXJ0aWNsZSI+MTc8L3JlZi10eXBlPjxjb250cmlidXRv
cnM+PGF1dGhvcnM+PGF1dGhvcj5QaGVsYW4sIFMuPC9hdXRob3I+PGF1dGhvcj5XaW5nLCBSLiBS
LjwvYXV0aG9yPjxhdXRob3I+QnJhbm5lbiwgQS48L2F1dGhvcj48YXV0aG9yPk1jSHVnaCwgQS48
L2F1dGhvcj48YXV0aG9yPkhhZ29iaWFuLCBULiBBLjwvYXV0aG9yPjxhdXRob3I+U2NoYWZmbmVy
LCBBLjwvYXV0aG9yPjxhdXRob3I+SmVsYWxpYW4sIEUuPC9hdXRob3I+PGF1dGhvcj5IYXJ0LCBD
LiBOLjwvYXV0aG9yPjxhdXRob3I+U2Nob2xsLCBULiBPLjwvYXV0aG9yPjxhdXRob3I+TXVub3ot
Q2hyaXN0aWFuLCBLLjwvYXV0aG9yPjxhdXRob3I+WWluLCBFLjwvYXV0aG9yPjxhdXRob3I+UGhp
cHBzLCBNLiBHLjwvYXV0aG9yPjxhdXRob3I+S2VhZGxlLCBTLjwvYXV0aG9yPjxhdXRob3I+QWJy
YW1zLCBCLjwvYXV0aG9yPjwvYXV0aG9ycz48L2NvbnRyaWJ1dG9ycz48YXV0aC1hZGRyZXNzPkRl
cGFydG1lbnRzIG9mIEtpbmVzaW9sb2d5LCBTdGF0aXN0aWNzLCBhbmQgTW9kZXJuIExhbmd1YWdl
cywgQ2FsaWZvcm5pYSBQb2x5dGVjaG5pYyBTdGF0ZSBVbml2ZXJzaXR5LCBTYW4gTHVpcyBPYmlz
cG8sIENBLiYjeEQ7RGVwYXJ0bWVudCBvZiBQc3ljaGlhdHJ5IGFuZCBIdW1hbiBCZWhhdmlvciwg
V2FycmVuIEFscGVydCBNZWRpY2FsIFNjaG9vbCBhdCBCcm93biBVbml2ZXJzaXR5LCBQcm92aWRl
bmNlLCBSSS4mI3hEO0RlcGFydG1lbnRzIG9mIFN0YXRpc3RpY3MsIGFuZCBNb2Rlcm4gTGFuZ3Vh
Z2VzLCBDYWxpZm9ybmlhIFBvbHl0ZWNobmljIFN0YXRlIFVuaXZlcnNpdHksIFNhbiBMdWlzIE9i
aXNwbywgQ0EuJiN4RDtEZXBhcnRtZW50IG9mIFNvY2lhbCBhbmQgQmVoYXZpb3JhbCBTY2llbmNl
cywgVGVtcGxlIFVuaXZlcnNpdHkgQ2VudGVyIGZvciBPYmVzaXR5IFJlc2VhcmNoIGFuZCBFZHVj
YXRpb24sIFBoaWxhZGVscGhpYSwgUEEuJiN4RDtEZXBhcnRtZW50IG9mIE9ic3RldHJpY3MgYW5k
IEd5bmVjb2xvZ3ksIFVuaXZlcnNpdHkgb2YgTWVkaWNpbmUgYW5kIERlbnRpc3RyeSBvZiBOZXcg
SmVyc2V5IChub3cgUm93YW4pLCBHbGFzc2Jvcm8sIE5KLiYjeEQ7RGVwYXJ0bWVudHMgb2YgTW9k
ZXJuIExhbmd1YWdlcywgQ2FsaWZvcm5pYSBQb2x5dGVjaG5pYyBTdGF0ZSBVbml2ZXJzaXR5LCBT
YW4gTHVpcyBPYmlzcG8sIENBLiYjeEQ7UGFjaWZpYyBDZW50cmFsIENvYXN0IEhlYWx0aCBDZW50
ZXJzLCBTYW50YSBNYXJpYSBXb21lbiZhcG9zO3MgSGVhbHRoLCBTYW50YSBNYXJpYSwgQ0EuJiN4
RDtEZXBhcnRtZW50IG9mIE9ic3RldHJpY3MgYW5kIEd5bmVjb2xvZ3ksIFdhcnJlbiBBbHBlcnQg
TWVkaWNhbCBTY2hvb2wgb2YgQnJvd24gVW5pdmVyc2l0eSBhbmQgV29tZW4gYW5kIEluZmFudHMg
SG9zcGl0YWwsIFByb3ZpZGVuY2UsIFJJLiYjeEQ7RGl2aXNpb24gb2YgRXBpZGVtaW9sb2d5LCBV
bml2ZXJzaXR5IG9mIENhbGlmb3JuaWEgYXQgQmVya2VsZXkgU2Nob29sIG9mIFB1YmxpYyBIZWFs
dGgsIEJlcmtlbGV5LCBDQS48L2F1dGgtYWRkcmVzcz48dGl0bGVzPjx0aXRsZT5SYW5kb21pemVk
IGNvbnRyb2xsZWQgY2xpbmljYWwgdHJpYWwgb2YgYmVoYXZpb3JhbCBsaWZlc3R5bGUgaW50ZXJ2
ZW50aW9uIHdpdGggcGFydGlhbCBtZWFsIHJlcGxhY2VtZW50IHRvIHJlZHVjZSBleGNlc3NpdmUg
Z2VzdGF0aW9uYWwgd2VpZ2h0IGdhaW48L3RpdGxlPjxzZWNvbmRhcnktdGl0bGU+QW0gSiBDbGlu
IE51dHI8L3NlY29uZGFyeS10aXRsZT48L3RpdGxlcz48cGVyaW9kaWNhbD48ZnVsbC10aXRsZT5B
bSBKIENsaW4gTnV0cjwvZnVsbC10aXRsZT48L3BlcmlvZGljYWw+PHBhZ2VzPjE4My0xOTQ8L3Bh
Z2VzPjx2b2x1bWU+MTA3PC92b2x1bWU+PG51bWJlcj4yPC9udW1iZXI+PGVkaXRpb24+MjAxOC8w
My8xMzwvZWRpdGlvbj48a2V5d29yZHM+PGtleXdvcmQ+QWR1bHQ8L2tleXdvcmQ+PGtleXdvcmQ+
Qm9keSBNYXNzIEluZGV4PC9rZXl3b3JkPjxrZXl3b3JkPkNhbGlmb3JuaWE8L2tleXdvcmQ+PGtl
eXdvcmQ+RGlldDwva2V5d29yZD48a2V5d29yZD5FdGhuaWMgR3JvdXBzPC9rZXl3b3JkPjxrZXl3
b3JkPkV4ZXJjaXNlPC9rZXl3b3JkPjxrZXl3b3JkPkZlbWFsZTwva2V5d29yZD48a2V5d29yZD4q
R2VzdGF0aW9uYWwgV2VpZ2h0IEdhaW48L2tleXdvcmQ+PGtleXdvcmQ+KkhlYWx0aCBCZWhhdmlv
cjwva2V5d29yZD48a2V5d29yZD5IdW1hbnM8L2tleXdvcmQ+PGtleXdvcmQ+SW5jaWRlbmNlPC9r
ZXl3b3JkPjxrZXl3b3JkPipMaWZlIFN0eWxlPC9rZXl3b3JkPjxrZXl3b3JkPk1lYWxzPC9rZXl3
b3JkPjxrZXl3b3JkPk51dHJpdGlvbiBBc3Nlc3NtZW50PC9rZXl3b3JkPjxrZXl3b3JkPk9iZXNp
dHkvKnByZXZlbnRpb24gJmFtcDsgY29udHJvbDwva2V5d29yZD48a2V5d29yZD5PdmVyd2VpZ2h0
LypwcmV2ZW50aW9uICZhbXA7IGNvbnRyb2w8L2tleXdvcmQ+PGtleXdvcmQ+UHJlZ25hbmN5PC9r
ZXl3b3JkPjxrZXl3b3JkPlByZWduYW5jeSBDb21wbGljYXRpb25zLypwcmV2ZW50aW9uICZhbXA7
IGNvbnRyb2w8L2tleXdvcmQ+PGtleXdvcmQ+UHJlZ25hbmN5IE91dGNvbWU8L2tleXdvcmQ+PGtl
eXdvcmQ+UmlzayBGYWN0b3JzPC9rZXl3b3JkPjxrZXl3b3JkPllvdW5nIEFkdWx0PC9rZXl3b3Jk
Pjwva2V5d29yZHM+PGRhdGVzPjx5ZWFyPjIwMTg8L3llYXI+PHB1Yi1kYXRlcz48ZGF0ZT5GZWIg
MTwvZGF0ZT48L3B1Yi1kYXRlcz48L2RhdGVzPjxpc2JuPjE5MzgtMzIwNyAoRWxlY3Ryb25pYykm
I3hEOzAwMDItOTE2NSAoTGlua2luZyk8L2lzYm4+PGFjY2Vzc2lvbi1udW0+Mjk1MjkxNTc8L2Fj
Y2Vzc2lvbi1udW0+PHVybHM+PHJlbGF0ZWQtdXJscz48dXJsPmh0dHBzOi8vd3d3Lm5jYmkubmxt
Lm5paC5nb3YvcHVibWVkLzI5NTI5MTU3PC91cmw+PC9yZWxhdGVkLXVybHM+PC91cmxzPjxjdXN0
b20yPlBNQzY0NTUwMzA8L2N1c3RvbTI+PGVsZWN0cm9uaWMtcmVzb3VyY2UtbnVtPjEwLjEwOTMv
YWpjbi9ucXgwNDM8L2VsZWN0cm9uaWMtcmVzb3VyY2UtbnVtPjwvcmVjb3JkPjwvQ2l0ZT48L0Vu
ZE5vdGU+AG==
</w:fldData>
        </w:fldChar>
      </w:r>
      <w:r w:rsidR="002747EA">
        <w:instrText xml:space="preserve"> ADDIN EN.CITE.DATA </w:instrText>
      </w:r>
      <w:r w:rsidR="002747EA">
        <w:fldChar w:fldCharType="end"/>
      </w:r>
      <w:r w:rsidR="00A5540F">
        <w:fldChar w:fldCharType="separate"/>
      </w:r>
      <w:r w:rsidR="002747EA" w:rsidRPr="002747EA">
        <w:rPr>
          <w:noProof/>
          <w:vertAlign w:val="superscript"/>
        </w:rPr>
        <w:t>490,491,494,496,503,508,513,514,522</w:t>
      </w:r>
      <w:r w:rsidR="00A5540F">
        <w:fldChar w:fldCharType="end"/>
      </w:r>
      <w:r w:rsidR="00A5540F">
        <w:rPr>
          <w:lang w:val="en-AU"/>
        </w:rPr>
        <w:t xml:space="preserve"> pedometers</w:t>
      </w:r>
      <w:r w:rsidR="00A95FF7">
        <w:rPr>
          <w:lang w:val="en-AU"/>
        </w:rPr>
        <w:t>,</w:t>
      </w:r>
      <w:r w:rsidR="00A5540F">
        <w:fldChar w:fldCharType="begin">
          <w:fldData xml:space="preserve">PEVuZE5vdGU+PENpdGU+PEF1dGhvcj5HYWxsYWdoZXI8L0F1dGhvcj48WWVhcj4yMDE4PC9ZZWFy
PjxSZWNOdW0+NzQ0PC9SZWNOdW0+PERpc3BsYXlUZXh0PjxzdHlsZSBmYWNlPSJzdXBlcnNjcmlw
dCIgZm9udD0iVHJlYnVjaGV0IE1TIiBzaXplPSI5Ij40MDIsNDUxLDQ5NCw1MDItNTA0LDUwNyw1
MDgsNTEzLTUxNSw1MjA8L3N0eWxlPjwvRGlzcGxheVRleHQ+PHJlY29yZD48cmVjLW51bWJlcj43
NDQ8L3JlYy1udW1iZXI+PGZvcmVpZ24ta2V5cz48a2V5IGFwcD0iRU4iIGRiLWlkPSJleHZhc3Jm
eDJkdHJhb2VzYXN4cDJzenN4YTJkZjUwMjU5MngiIHRpbWVzdGFtcD0iMTU0MTQ2Nzg3OSI+NzQ0
PC9rZXk+PGtleSBhcHA9IkVOV2ViIiBkYi1pZD0iIj4wPC9rZXk+PC9mb3JlaWduLWtleXM+PHJl
Zi10eXBlIG5hbWU9IkpvdXJuYWwgQXJ0aWNsZSI+MTc8L3JlZi10eXBlPjxjb250cmlidXRvcnM+
PGF1dGhvcnM+PGF1dGhvcj5HYWxsYWdoZXIsIER5bXBuYTwvYXV0aG9yPjxhdXRob3I+Um9zZW5u
LCBCYXJhazwvYXV0aG9yPjxhdXRob3I+VG9yby1SYW1vcywgVGF0aWFuYTwvYXV0aG9yPjxhdXRo
b3I+UGFsZXksIENoYXJsZXM8L2F1dGhvcj48YXV0aG9yPkdpZHdhbmksIFNvbmlhPC9hdXRob3I+
PGF1dGhvcj5Ib3Jvd2l0eiwgTWljaGVsbGU8L2F1dGhvcj48YXV0aG9yPkNyYW5lLCBKYW5ldDwv
YXV0aG9yPjxhdXRob3I+TGluLCBTdXNhbjwvYXV0aG9yPjxhdXRob3I+VGhvcm50b24sIEpvaG4g
Qy48L2F1dGhvcj48YXV0aG9yPlBpLVN1bnllciwgWGF2aWVyPC9hdXRob3I+PC9hdXRob3JzPjwv
Y29udHJpYnV0b3JzPjx0aXRsZXM+PHRpdGxlPkdyZWF0ZXIgTmVvbmF0YWwgRmF0LUZyZWUgTWFz
cyBhbmQgU2ltaWxhciBGYXQgTWFzcyBGb2xsb3dpbmcgYSBSYW5kb21pemVkIFRyaWFsIHRvIENv
bnRyb2wgRXhjZXNzIEdlc3RhdGlvbmFsIFdlaWdodCBHYWluPC90aXRsZT48c2Vjb25kYXJ5LXRp
dGxlPk9iZXNpdHk8L3NlY29uZGFyeS10aXRsZT48L3RpdGxlcz48cGVyaW9kaWNhbD48ZnVsbC10
aXRsZT5PYmVzaXR5PC9mdWxsLXRpdGxlPjwvcGVyaW9kaWNhbD48cGFnZXM+NTc4LTU4NzwvcGFn
ZXM+PHZvbHVtZT4yNjwvdm9sdW1lPjxudW1iZXI+MzwvbnVtYmVyPjxzZWN0aW9uPjU3ODwvc2Vj
dGlvbj48ZGF0ZXM+PHllYXI+MjAxODwveWVhcj48L2RhdGVzPjxpc2JuPjE5MzA3MzgxPC9pc2Ju
Pjx1cmxzPjwvdXJscz48ZWxlY3Ryb25pYy1yZXNvdXJjZS1udW0+MTAuMTAwMi9vYnkuMjIwNzk8
L2VsZWN0cm9uaWMtcmVzb3VyY2UtbnVtPjwvcmVjb3JkPjwvQ2l0ZT48Q2l0ZT48QXV0aG9yPkhh
cnJpc29uPC9BdXRob3I+PFllYXI+MjAxMzwvWWVhcj48UmVjTnVtPjcyNTwvUmVjTnVtPjxyZWNv
cmQ+PHJlYy1udW1iZXI+NzI1PC9yZWMtbnVtYmVyPjxmb3JlaWduLWtleXM+PGtleSBhcHA9IkVO
IiBkYi1pZD0iZXh2YXNyZngyZHRyYW9lc2FzeHAyc3pzeGEyZGY1MDI1OTJ4IiB0aW1lc3RhbXA9
IjE1NDE0NjUwNTAiPjcyNTwva2V5PjwvZm9yZWlnbi1rZXlzPjxyZWYtdHlwZSBuYW1lPSJKb3Vy
bmFsIEFydGljbGUiPjE3PC9yZWYtdHlwZT48Y29udHJpYnV0b3JzPjxhdXRob3JzPjxhdXRob3I+
SGFycmlzb24sIEMuIEwuPC9hdXRob3I+PGF1dGhvcj5Mb21iYXJkLCBDLiBCLjwvYXV0aG9yPjxh
dXRob3I+U3RyYXVzcywgQi4gSi48L2F1dGhvcj48YXV0aG9yPlRlZWRlLCBILiBKLjwvYXV0aG9y
PjwvYXV0aG9ycz48L2NvbnRyaWJ1dG9ycz48YXV0aC1hZGRyZXNzPldvbWVuJmFwb3M7cyBSZXBy
b2R1Y3RpdmUgUmVzZWFyY2ggdW5pdCwgU2Nob29sIG9mIFB1YmxpYyBIZWFsdGggYW5kIFByZXZl
bnRpdmUgTWVkaWNpbmUsIE1vbmFzaCBVbml2ZXJzaXR5LCBDbGF5dG9uLCBWaWN0b3JpYSwgQXVz
dHJhbGlhLjwvYXV0aC1hZGRyZXNzPjx0aXRsZXM+PHRpdGxlPk9wdGltaXppbmcgaGVhbHRoeSBn
ZXN0YXRpb25hbCB3ZWlnaHQgZ2FpbiBpbiB3b21lbiBhdCBoaWdoIHJpc2sgb2YgZ2VzdGF0aW9u
YWwgZGlhYmV0ZXM6IGEgcmFuZG9taXplZCBjb250cm9sbGVkIHRyaWFsPC90aXRsZT48c2Vjb25k
YXJ5LXRpdGxlPk9iZXNpdHkgKFNpbHZlciBTcHJpbmcpPC9zZWNvbmRhcnktdGl0bGU+PC90aXRs
ZXM+PHBlcmlvZGljYWw+PGZ1bGwtdGl0bGU+T2Jlc2l0eSAoU2lsdmVyIFNwcmluZyk8L2Z1bGwt
dGl0bGU+PC9wZXJpb2RpY2FsPjxwYWdlcz45MDQtOTwvcGFnZXM+PHZvbHVtZT4yMTwvdm9sdW1l
PjxudW1iZXI+NTwvbnVtYmVyPjxlZGl0aW9uPjIwMTMvMDYvMjE8L2VkaXRpb24+PGtleXdvcmRz
PjxrZXl3b3JkPkFkdWx0PC9rZXl3b3JkPjxrZXl3b3JkPipCb2R5IE1hc3MgSW5kZXg8L2tleXdv
cmQ+PGtleXdvcmQ+RGlhYmV0ZXMsIEdlc3RhdGlvbmFsL2VwaWRlbWlvbG9neS8qcHJldmVudGlv
biAmYW1wOyBjb250cm9sPC9rZXl3b3JkPjxrZXl3b3JkPkZlbWFsZTwva2V5d29yZD48a2V5d29y
ZD5IdW1hbnM8L2tleXdvcmQ+PGtleXdvcmQ+KkxpZmUgU3R5bGU8L2tleXdvcmQ+PGtleXdvcmQ+
TW90b3IgQWN0aXZpdHk8L2tleXdvcmQ+PGtleXdvcmQ+T2Jlc2l0eS9jb21wbGljYXRpb25zL3Ro
ZXJhcHk8L2tleXdvcmQ+PGtleXdvcmQ+UHJlZ25hbmN5PC9rZXl3b3JkPjxrZXl3b3JkPlByZW5h
dGFsIENhcmU8L2tleXdvcmQ+PGtleXdvcmQ+UmlzayBGYWN0b3JzPC9rZXl3b3JkPjxrZXl3b3Jk
PipXYWxraW5nPC9rZXl3b3JkPjxrZXl3b3JkPipXZWlnaHQgR2Fpbjwva2V5d29yZD48L2tleXdv
cmRzPjxkYXRlcz48eWVhcj4yMDEzPC95ZWFyPjxwdWItZGF0ZXM+PGRhdGU+TWF5PC9kYXRlPjwv
cHViLWRhdGVzPjwvZGF0ZXM+PGlzYm4+MTkzMC03MzlYIChFbGVjdHJvbmljKSYjeEQ7MTkzMC03
MzgxIChMaW5raW5nKTwvaXNibj48YWNjZXNzaW9uLW51bT4yMzc4NDg5MjwvYWNjZXNzaW9uLW51
bT48dXJscz48cmVsYXRlZC11cmxzPjx1cmw+aHR0cHM6Ly93d3cubmNiaS5ubG0ubmloLmdvdi9w
dWJtZWQvMjM3ODQ4OTI8L3VybD48L3JlbGF0ZWQtdXJscz48L3VybHM+PGVsZWN0cm9uaWMtcmVz
b3VyY2UtbnVtPjEwLjEwMDIvb2J5LjIwMTYzPC9lbGVjdHJvbmljLXJlc291cmNlLW51bT48L3Jl
Y29yZD48L0NpdGU+PENpdGU+PEF1dGhvcj5IYXdraW5zPC9BdXRob3I+PFllYXI+MjAxNTwvWWVh
cj48UmVjTnVtPjcyNjwvUmVjTnVtPjxyZWNvcmQ+PHJlYy1udW1iZXI+NzI2PC9yZWMtbnVtYmVy
Pjxmb3JlaWduLWtleXM+PGtleSBhcHA9IkVOIiBkYi1pZD0iZXh2YXNyZngyZHRyYW9lc2FzeHAy
c3pzeGEyZGY1MDI1OTJ4IiB0aW1lc3RhbXA9IjE1NDE0NjUzMjIiPjcyNjwva2V5PjwvZm9yZWln
bi1rZXlzPjxyZWYtdHlwZSBuYW1lPSJKb3VybmFsIEFydGljbGUiPjE3PC9yZWYtdHlwZT48Y29u
dHJpYnV0b3JzPjxhdXRob3JzPjxhdXRob3I+SGF3a2lucywgTS48L2F1dGhvcj48YXV0aG9yPkhv
c2tlciwgTS48L2F1dGhvcj48YXV0aG9yPk1hcmN1cywgQi4gSC48L2F1dGhvcj48YXV0aG9yPlJv
c2FsLCBNLiBDLjwvYXV0aG9yPjxhdXRob3I+QnJhdW4sIEIuPC9hdXRob3I+PGF1dGhvcj5TdGFu
ZWssIEUuIEouLCAzcmQ8L2F1dGhvcj48YXV0aG9yPk1hcmtlbnNvbiwgRy48L2F1dGhvcj48YXV0
aG9yPkNoYXNhbi1UYWJlciwgTC48L2F1dGhvcj48L2F1dGhvcnM+PC9jb250cmlidXRvcnM+PGF1
dGgtYWRkcmVzcz5EaXZpc2lvbiBvZiBCaW9zdGF0aXN0aWNzIGFuZCBFcGlkZW1pb2xvZ3ksIERl
cGFydG1lbnQgb2YgUHVibGljIEhlYWx0aCwgU2Nob29sIG9mIFB1YmxpYyBIZWFsdGggYW5kIEhl
YWx0aCBTY2llbmNlcywgVW5pdmVyc2l0eSBvZiBNYXNzYWNodXNldHRzLCBBbWhlcnN0LCBNQSwg
VVNBLjwvYXV0aC1hZGRyZXNzPjx0aXRsZXM+PHRpdGxlPkEgcHJlZ25hbmN5IGxpZmVzdHlsZSBp
bnRlcnZlbnRpb24gdG8gcHJldmVudCBnZXN0YXRpb25hbCBkaWFiZXRlcyByaXNrIGZhY3RvcnMg
aW4gb3ZlcndlaWdodCBIaXNwYW5pYyB3b21lbjogYSBmZWFzaWJpbGl0eSByYW5kb21pemVkIGNv
bnRyb2xsZWQgdHJpYWw8L3RpdGxlPjxzZWNvbmRhcnktdGl0bGU+RGlhYmV0IE1lZDwvc2Vjb25k
YXJ5LXRpdGxlPjwvdGl0bGVzPjxwZXJpb2RpY2FsPjxmdWxsLXRpdGxlPkRpYWJldCBNZWQ8L2Z1
bGwtdGl0bGU+PC9wZXJpb2RpY2FsPjxwYWdlcz4xMDgtMTU8L3BhZ2VzPjx2b2x1bWU+MzI8L3Zv
bHVtZT48bnVtYmVyPjE8L251bWJlcj48ZWRpdGlvbj4yMDE0LzEwLzE0PC9lZGl0aW9uPjxrZXl3
b3Jkcz48a2V5d29yZD5BZHVsdDwva2V5d29yZD48a2V5d29yZD5CaXJ0aCBXZWlnaHQ8L2tleXdv
cmQ+PGtleXdvcmQ+RGlhYmV0ZXMsIEdlc3RhdGlvbmFsLypwcmV2ZW50aW9uICZhbXA7IGNvbnRy
b2w8L2tleXdvcmQ+PGtleXdvcmQ+RGlldDwva2V5d29yZD48a2V5d29yZD5FeGVyY2lzZTwva2V5
d29yZD48a2V5d29yZD5GZWFzaWJpbGl0eSBTdHVkaWVzPC9rZXl3b3JkPjxrZXl3b3JkPkZlZWRp
bmcgQmVoYXZpb3I8L2tleXdvcmQ+PGtleXdvcmQ+RmVtYWxlPC9rZXl3b3JkPjxrZXl3b3JkPkhp
c3BhbmljIEFtZXJpY2Fucy8qc3RhdGlzdGljcyAmYW1wOyBudW1lcmljYWwgZGF0YTwva2V5d29y
ZD48a2V5d29yZD5IdW1hbnM8L2tleXdvcmQ+PGtleXdvcmQ+SW5mYW50LCBOZXdib3JuPC9rZXl3
b3JkPjxrZXl3b3JkPk1hbGU8L2tleXdvcmQ+PGtleXdvcmQ+T3ZlcndlaWdodC9jb21wbGljYXRp
b25zLypwcmV2ZW50aW9uICZhbXA7IGNvbnRyb2w8L2tleXdvcmQ+PGtleXdvcmQ+UGF0aWVudCBD
b21wbGlhbmNlPC9rZXl3b3JkPjxrZXl3b3JkPlByZWduYW5jeTwva2V5d29yZD48a2V5d29yZD5Q
cmVuYXRhbCBDYXJlPC9rZXl3b3JkPjxrZXl3b3JkPipQcmltYXJ5IFByZXZlbnRpb248L2tleXdv
cmQ+PGtleXdvcmQ+UmlzayBGYWN0b3JzPC9rZXl3b3JkPjxrZXl3b3JkPipSaXNrIFJlZHVjdGlv
biBCZWhhdmlvcjwva2V5d29yZD48a2V5d29yZD5UcmVhdG1lbnQgT3V0Y29tZTwva2V5d29yZD48
a2V5d29yZD5Vbml0ZWQgU3RhdGVzL2VwaWRlbWlvbG9neTwva2V5d29yZD48a2V5d29yZD5XZWln
aHQgR2Fpbjwva2V5d29yZD48L2tleXdvcmRzPjxkYXRlcz48eWVhcj4yMDE1PC95ZWFyPjxwdWIt
ZGF0ZXM+PGRhdGU+SmFuPC9kYXRlPjwvcHViLWRhdGVzPjwvZGF0ZXM+PGlzYm4+MTQ2NC01NDkx
IChFbGVjdHJvbmljKSYjeEQ7MDc0Mi0zMDcxIChMaW5raW5nKTwvaXNibj48YWNjZXNzaW9uLW51
bT4yNTMwNjkyNTwvYWNjZXNzaW9uLW51bT48dXJscz48cmVsYXRlZC11cmxzPjx1cmw+aHR0cHM6
Ly93d3cubmNiaS5ubG0ubmloLmdvdi9wdWJtZWQvMjUzMDY5MjU8L3VybD48L3JlbGF0ZWQtdXJs
cz48L3VybHM+PGVsZWN0cm9uaWMtcmVzb3VyY2UtbnVtPjEwLjExMTEvZG1lLjEyNjAxPC9lbGVj
dHJvbmljLXJlc291cmNlLW51bT48L3JlY29yZD48L0NpdGU+PENpdGU+PEF1dGhvcj5QZXRyZWxs
YTwvQXV0aG9yPjxZZWFyPjIwMTM8L1llYXI+PFJlY051bT43NTE8L1JlY051bT48cmVjb3JkPjxy
ZWMtbnVtYmVyPjc1MTwvcmVjLW51bWJlcj48Zm9yZWlnbi1rZXlzPjxrZXkgYXBwPSJFTiIgZGIt
aWQ9ImV4dmFzcmZ4MmR0cmFvZXNhc3hwMnN6c3hhMmRmNTAyNTkyeCIgdGltZXN0YW1wPSIxNTQx
NDY3OTMxIj43NTE8L2tleT48a2V5IGFwcD0iRU5XZWIiIGRiLWlkPSIiPjA8L2tleT48L2ZvcmVp
Z24ta2V5cz48cmVmLXR5cGUgbmFtZT0iSm91cm5hbCBBcnRpY2xlIj4xNzwvcmVmLXR5cGU+PGNv
bnRyaWJ1dG9ycz48YXV0aG9ycz48YXV0aG9yPlBldHJlbGxhLCBFLjwvYXV0aG9yPjxhdXRob3I+
TWFsYXZvbHRpLCBNLjwvYXV0aG9yPjxhdXRob3I+QmVydGFyaW5pLCBWLjwvYXV0aG9yPjxhdXRo
b3I+UGlnbmF0dGksIEwuPC9hdXRob3I+PGF1dGhvcj5OZXJpLCBJLjwvYXV0aG9yPjxhdXRob3I+
QmF0dGlzdGluaSwgTi4gQy48L2F1dGhvcj48YXV0aG9yPkZhY2NoaW5ldHRpLCBGLjwvYXV0aG9y
PjwvYXV0aG9ycz48L2NvbnRyaWJ1dG9ycz48dGl0bGVzPjx0aXRsZT5HZXN0YXRpb25hbCB3ZWln
aHQgZ2FpbiBpbiBvdmVyd2VpZ2h0IGFuZCBvYmVzZSB3b21lbiBlbnJvbGxlZCBpbiBhIGhlYWx0
aHkgbGlmZXN0eWxlIGFuZCBlYXRpbmcgaGFiaXRzIHByb2dyYW08L3RpdGxlPjxzZWNvbmRhcnkt
dGl0bGU+SiBNYXRlcm5hbC1GZXRhbCAmYW1wOyBOZW9uYXRhbCBNZWQ8L3NlY29uZGFyeS10aXRs
ZT48L3RpdGxlcz48cGVyaW9kaWNhbD48ZnVsbC10aXRsZT5KIE1hdGVybmFsLUZldGFsICZhbXA7
IE5lb25hdGFsIE1lZDwvZnVsbC10aXRsZT48L3BlcmlvZGljYWw+PHBhZ2VzPjEzNDgtMTM1Mjwv
cGFnZXM+PHZvbHVtZT4yNzwvdm9sdW1lPjxudW1iZXI+MTM8L251bWJlcj48c2VjdGlvbj4xMzQ4
PC9zZWN0aW9uPjxkYXRlcz48eWVhcj4yMDEzPC95ZWFyPjwvZGF0ZXM+PGlzYm4+MTQ3Ni03MDU4
JiN4RDsxNDc2LTQ5NTQ8L2lzYm4+PHVybHM+PC91cmxzPjxlbGVjdHJvbmljLXJlc291cmNlLW51
bT4xMC4zMTA5LzE0NzY3MDU4LjIwMTMuODU4MzE4PC9lbGVjdHJvbmljLXJlc291cmNlLW51bT48
L3JlY29yZD48L0NpdGU+PENpdGU+PEF1dGhvcj5QaGVsYW48L0F1dGhvcj48WWVhcj4yMDExPC9Z
ZWFyPjxSZWNOdW0+NzA1PC9SZWNOdW0+PHJlY29yZD48cmVjLW51bWJlcj43MDU8L3JlYy1udW1i
ZXI+PGZvcmVpZ24ta2V5cz48a2V5IGFwcD0iRU4iIGRiLWlkPSJleHZhc3JmeDJkdHJhb2VzYXN4
cDJzenN4YTJkZjUwMjU5MngiIHRpbWVzdGFtcD0iMTU0MDUzMDYzNiI+NzA1PC9rZXk+PC9mb3Jl
aWduLWtleXM+PHJlZi10eXBlIG5hbWU9IkpvdXJuYWwgQXJ0aWNsZSI+MTc8L3JlZi10eXBlPjxj
b250cmlidXRvcnM+PGF1dGhvcnM+PGF1dGhvcj5QaGVsYW4sIFMuPC9hdXRob3I+PGF1dGhvcj5Q
aGlwcHMsIE0uIEcuPC9hdXRob3I+PGF1dGhvcj5BYnJhbXMsIEIuPC9hdXRob3I+PGF1dGhvcj5E
YXJyb2NoLCBGLjwvYXV0aG9yPjxhdXRob3I+U2NoYWZmbmVyLCBBLjwvYXV0aG9yPjxhdXRob3I+
V2luZywgUi4gUi48L2F1dGhvcj48L2F1dGhvcnM+PC9jb250cmlidXRvcnM+PGF1dGgtYWRkcmVz
cz5EZXBhcnRtZW50cyBvZiBLaW5lc2lvbG9neSwgQ2FsaWZvcm5pYSBQb2x5dGVjaG5pYyBTdGF0
ZSBVbml2ZXJzaXR5LCBTYW4gTHVpcyBPYmlzcG8sIDkzNDA3LTAzODYsIFVTQS4gc3BoZWxhbkBj
YWxwb2x5LmVkdTwvYXV0aC1hZGRyZXNzPjx0aXRsZXM+PHRpdGxlPlJhbmRvbWl6ZWQgdHJpYWwg
b2YgYSBiZWhhdmlvcmFsIGludGVydmVudGlvbiB0byBwcmV2ZW50IGV4Y2Vzc2l2ZSBnZXN0YXRp
b25hbCB3ZWlnaHQgZ2FpbjogdGhlIEZpdCBmb3IgRGVsaXZlcnkgU3R1ZHk8L3RpdGxlPjxzZWNv
bmRhcnktdGl0bGU+QW0gSiBDbGluIE51dHI8L3NlY29uZGFyeS10aXRsZT48L3RpdGxlcz48cGVy
aW9kaWNhbD48ZnVsbC10aXRsZT5BbSBKIENsaW4gTnV0cjwvZnVsbC10aXRsZT48L3BlcmlvZGlj
YWw+PHBhZ2VzPjc3Mi05PC9wYWdlcz48dm9sdW1lPjkzPC92b2x1bWU+PG51bWJlcj40PC9udW1i
ZXI+PGVkaXRpb24+MjAxMS8wMi8xMjwvZWRpdGlvbj48a2V5d29yZHM+PGtleXdvcmQ+QWR1bHQ8
L2tleXdvcmQ+PGtleXdvcmQ+QmVoYXZpb3I8L2tleXdvcmQ+PGtleXdvcmQ+KkJlaGF2aW9yIFRo
ZXJhcHk8L2tleXdvcmQ+PGtleXdvcmQ+KkRpZXQ8L2tleXdvcmQ+PGtleXdvcmQ+KkV4ZXJjaXNl
PC9rZXl3b3JkPjxrZXl3b3JkPkZlbWFsZTwva2V5d29yZD48a2V5d29yZD4qSGVhbHRoIFByb21v
dGlvbjwva2V5d29yZD48a2V5d29yZD5IdW1hbnM8L2tleXdvcmQ+PGtleXdvcmQ+SW50ZW50aW9u
IHRvIFRyZWF0IEFuYWx5c2lzPC9rZXl3b3JkPjxrZXl3b3JkPk9iZXNpdHkvY29tcGxpY2F0aW9u
cy9lcGlkZW1pb2xvZ3kvKnByZXZlbnRpb24gJmFtcDsgY29udHJvbDwva2V5d29yZD48a2V5d29y
ZD5Qb3N0cGFydHVtIFBlcmlvZDwva2V5d29yZD48a2V5d29yZD5QcmVnbmFuY3k8L2tleXdvcmQ+
PGtleXdvcmQ+UHJlZ25hbmN5IENvbXBsaWNhdGlvbnMvKnByZXZlbnRpb24gJmFtcDsgY29udHJv
bDwva2V5d29yZD48a2V5d29yZD5QcmV2YWxlbmNlPC9rZXl3b3JkPjxrZXl3b3JkPlJlZmVyZW5j
ZSBWYWx1ZXM8L2tleXdvcmQ+PGtleXdvcmQ+U2luZ2xlLUJsaW5kIE1ldGhvZDwva2V5d29yZD48
a2V5d29yZD5TdGFuZGFyZCBvZiBDYXJlPC9rZXl3b3JkPjxrZXl3b3JkPlRyZWF0bWVudCBPdXRj
b21lPC9rZXl3b3JkPjxrZXl3b3JkPipXZWlnaHQgR2Fpbjwva2V5d29yZD48a2V5d29yZD5Zb3Vu
ZyBBZHVsdDwva2V5d29yZD48L2tleXdvcmRzPjxkYXRlcz48eWVhcj4yMDExPC95ZWFyPjxwdWIt
ZGF0ZXM+PGRhdGU+QXByPC9kYXRlPjwvcHViLWRhdGVzPjwvZGF0ZXM+PGlzYm4+MTkzOC0zMjA3
IChFbGVjdHJvbmljKSYjeEQ7MDAwMi05MTY1IChMaW5raW5nKTwvaXNibj48YWNjZXNzaW9uLW51
bT4yMTMxMDgzNjwvYWNjZXNzaW9uLW51bT48dXJscz48cmVsYXRlZC11cmxzPjx1cmw+aHR0cHM6
Ly93d3cubmNiaS5ubG0ubmloLmdvdi9wdWJtZWQvMjEzMTA4MzY8L3VybD48L3JlbGF0ZWQtdXJs
cz48L3VybHM+PGN1c3RvbTI+UE1DMzA1NzU0NjwvY3VzdG9tMj48ZWxlY3Ryb25pYy1yZXNvdXJj
ZS1udW0+MTAuMzk0NS9hamNuLjExMC4wMDUzMDY8L2VsZWN0cm9uaWMtcmVzb3VyY2UtbnVtPjwv
cmVjb3JkPjwvQ2l0ZT48Q2l0ZT48QXV0aG9yPlBvc3RvbjwvQXV0aG9yPjxZZWFyPjIwMTU8L1ll
YXI+PFJlY051bT42MTI8L1JlY051bT48cmVjb3JkPjxyZWMtbnVtYmVyPjYxMjwvcmVjLW51bWJl
cj48Zm9yZWlnbi1rZXlzPjxrZXkgYXBwPSJFTiIgZGItaWQ9ImV4dmFzcmZ4MmR0cmFvZXNhc3hw
MnN6c3hhMmRmNTAyNTkyeCIgdGltZXN0YW1wPSIxNTM5MDQ4MzQ4Ij42MTI8L2tleT48a2V5IGFw
cD0iRU5XZWIiIGRiLWlkPSIiPjA8L2tleT48L2ZvcmVpZ24ta2V5cz48cmVmLXR5cGUgbmFtZT0i
Sm91cm5hbCBBcnRpY2xlIj4xNzwvcmVmLXR5cGU+PGNvbnRyaWJ1dG9ycz48YXV0aG9ycz48YXV0
aG9yPlBvc3RvbiwgTC4sPC9hdXRob3I+PGF1dGhvcj5CZWxsLCBSLiw8L2F1dGhvcj48YXV0aG9y
PkNyb2tlciwgSC4sPC9hdXRob3I+PGF1dGhvcj5GbHlubiwgQS5DLiw8L2F1dGhvcj48YXV0aG9y
PkdvZGZyZXksIEsuTS4sPC9hdXRob3I+PGF1dGhvcj5Hb2ZmLCBMLiw8L2F1dGhvcj48L2F1dGhv
cnM+PC9jb250cmlidXRvcnM+PHRpdGxlcz48dGl0bGU+RWZmZWN0IG9mIGEgYmVoYXZpb3VyYWwg
aW50ZXJ2ZW50aW9uIGluIG9iZXNlIHByZWduYW50IHdvbWVuICh0aGUgVVBCRUFUIHN0dWR5KTog
YSBtdWx0aWNlbnRyZSwgcmFuZG9taXNlZCBjb250cm9sbGVkIHRyaWFsPC90aXRsZT48c2Vjb25k
YXJ5LXRpdGxlPlRoZSBMYW5jZXQgRGlhYmV0ZXMgJmFtcDsgRW5kb2NyaW5vbG9neTwvc2Vjb25k
YXJ5LXRpdGxlPjwvdGl0bGVzPjxwZXJpb2RpY2FsPjxmdWxsLXRpdGxlPlRoZSBMYW5jZXQgRGlh
YmV0ZXMgJmFtcDsgRW5kb2NyaW5vbG9neTwvZnVsbC10aXRsZT48L3BlcmlvZGljYWw+PHBhZ2Vz
Pjc2Ny03Nzc8L3BhZ2VzPjx2b2x1bWU+Mzwvdm9sdW1lPjxudW1iZXI+MTA8L251bWJlcj48c2Vj
dGlvbj43Njc8L3NlY3Rpb24+PGRhdGVzPjx5ZWFyPjIwMTU8L3llYXI+PC9kYXRlcz48aXNibj4y
MjEzODU4NzwvaXNibj48dXJscz48L3VybHM+PGVsZWN0cm9uaWMtcmVzb3VyY2UtbnVtPjEwLjEw
MTYvczIyMTMtODU4NygxNSkwMDIyNy0yPC9lbGVjdHJvbmljLXJlc291cmNlLW51bT48L3JlY29y
ZD48L0NpdGU+PENpdGU+PEF1dGhvcj5SZW5hdWx0PC9BdXRob3I+PFllYXI+MjAxNDwvWWVhcj48
UmVjTnVtPjkzNzwvUmVjTnVtPjxyZWNvcmQ+PHJlYy1udW1iZXI+OTM3PC9yZWMtbnVtYmVyPjxm
b3JlaWduLWtleXM+PGtleSBhcHA9IkVOIiBkYi1pZD0iZXh2YXNyZngyZHRyYW9lc2FzeHAyc3pz
eGEyZGY1MDI1OTJ4IiB0aW1lc3RhbXA9IjE1NDE1NDE4MTQiPjkzNzwva2V5PjxrZXkgYXBwPSJF
TldlYiIgZGItaWQ9IiI+MDwva2V5PjwvZm9yZWlnbi1rZXlzPjxyZWYtdHlwZSBuYW1lPSJKb3Vy
bmFsIEFydGljbGUiPjE3PC9yZWYtdHlwZT48Y29udHJpYnV0b3JzPjxhdXRob3JzPjxhdXRob3I+
UmVuYXVsdCwgSy4gTS48L2F1dGhvcj48YXV0aG9yPk5vcmdhYXJkLCBLLjwvYXV0aG9yPjxhdXRo
b3I+TmlsYXMsIEwuPC9hdXRob3I+PGF1dGhvcj5DYXJsc2VuLCBFLiBNLjwvYXV0aG9yPjxhdXRo
b3I+Q29ydGVzLCBELjwvYXV0aG9yPjxhdXRob3I+UHJ5ZHMsIE8uPC9hdXRob3I+PGF1dGhvcj5T
ZWNoZXIsIE4uIEouPC9hdXRob3I+PC9hdXRob3JzPjwvY29udHJpYnV0b3JzPjxhdXRoLWFkZHJl
c3M+RGVwYXJ0bWVudCBvZiBPYnN0ZXRyaWNzIGFuZCBHeW5lY29sb2d5LCBIdmlkb3ZyZSBIb3Nw
aXRhbCwgVW5pdmVyc2l0eSBvZiBDb3BlbmhhZ2VuLCBIdmlkb3ZyZSwgRGVubWFyay4gRWxlY3Ry
b25pYyBhZGRyZXNzOiBLcmVuYXVsdEBkYWRsbmV0LmRrLiYjeEQ7RGVwYXJ0bWVudCBvZiBFbmRv
Y3Jpbm9sb2d5LCBIdmlkb3ZyZSBIb3NwaXRhbCwgVW5pdmVyc2l0eSBvZiBDb3BlbmhhZ2VuLCBI
dmlkb3ZyZSwgRGVubWFyay4mI3hEO0RlcGFydG1lbnQgb2YgT2JzdGV0cmljcyBhbmQgR3luZWNv
bG9neSwgSHZpZG92cmUgSG9zcGl0YWwsIFVuaXZlcnNpdHkgb2YgQ29wZW5oYWdlbiwgSHZpZG92
cmUsIERlbm1hcmsuJiN4RDtEZXBhcnRtZW50IG9mIFBlZGlhdHJpY3MsIEh2aWRvdnJlIEhvc3Bp
dGFsLCBVbml2ZXJzaXR5IG9mIENvcGVuaGFnZW4sIEh2aWRvdnJlLCBEZW5tYXJrLjwvYXV0aC1h
ZGRyZXNzPjx0aXRsZXM+PHRpdGxlPlRoZSBUcmVhdG1lbnQgb2YgT2Jlc2UgUHJlZ25hbnQgV29t
ZW4gKFRPUCkgc3R1ZHk6IGEgcmFuZG9taXplZCBjb250cm9sbGVkIHRyaWFsIG9mIHRoZSBlZmZl
Y3Qgb2YgcGh5c2ljYWwgYWN0aXZpdHkgaW50ZXJ2ZW50aW9uIGFzc2Vzc2VkIGJ5IHBlZG9tZXRl
ciB3aXRoIG9yIHdpdGhvdXQgZGlldGFyeSBpbnRlcnZlbnRpb24gaW4gb2Jlc2UgcHJlZ25hbnQg
d29tZW48L3RpdGxlPjxzZWNvbmRhcnktdGl0bGU+QW0gSiBPYnN0ZXQgR3luZWNvbDwvc2Vjb25k
YXJ5LXRpdGxlPjwvdGl0bGVzPjxwZXJpb2RpY2FsPjxmdWxsLXRpdGxlPkFtIEogT2JzdGV0IEd5
bmVjb2w8L2Z1bGwtdGl0bGU+PC9wZXJpb2RpY2FsPjxwYWdlcz4xMzQgZTEtOTwvcGFnZXM+PHZv
bHVtZT4yMTA8L3ZvbHVtZT48bnVtYmVyPjI8L251bWJlcj48ZWRpdGlvbj4yMDEzLzA5LzI2PC9l
ZGl0aW9uPjxrZXl3b3Jkcz48a2V5d29yZD5BY3RpZ3JhcGh5PC9rZXl3b3JkPjxrZXl3b3JkPkFk
dWx0PC9rZXl3b3JkPjxrZXl3b3JkPkNvbWJpbmVkIE1vZGFsaXR5IFRoZXJhcHk8L2tleXdvcmQ+
PGtleXdvcmQ+RGlldCwgTWVkaXRlcnJhbmVhbjwva2V5d29yZD48a2V5d29yZD5FbmVyZ3kgSW50
YWtlPC9rZXl3b3JkPjxrZXl3b3JkPipFeGVyY2lzZTwva2V5d29yZD48a2V5d29yZD5GZW1hbGU8
L2tleXdvcmQ+PGtleXdvcmQ+SHVtYW5zPC9rZXl3b3JkPjxrZXl3b3JkPk9iZXNpdHkvZGlldCB0
aGVyYXB5Lyp0aGVyYXB5PC9rZXl3b3JkPjxrZXl3b3JkPlByZWduYW5jeTwva2V5d29yZD48a2V5
d29yZD5QcmVnbmFuY3kgQ29tcGxpY2F0aW9ucy9kaWV0IHRoZXJhcHkvKnRoZXJhcHk8L2tleXdv
cmQ+PGtleXdvcmQ+ZGlldDwva2V5d29yZD48a2V5d29yZD5pbnRlcnZlbnRpb248L2tleXdvcmQ+
PGtleXdvcmQ+b2Jlc2l0eTwva2V5d29yZD48a2V5d29yZD5wZWRvbWV0ZXI8L2tleXdvcmQ+PGtl
eXdvcmQ+cGh5c2ljYWwgYWN0aXZpdHk8L2tleXdvcmQ+PC9rZXl3b3Jkcz48ZGF0ZXM+PHllYXI+
MjAxNDwveWVhcj48cHViLWRhdGVzPjxkYXRlPkZlYjwvZGF0ZT48L3B1Yi1kYXRlcz48L2RhdGVz
Pjxpc2JuPjEwOTctNjg2OCAoRWxlY3Ryb25pYykmI3hEOzAwMDItOTM3OCAoTGlua2luZyk8L2lz
Ym4+PGFjY2Vzc2lvbi1udW0+MjQwNjA0NDk8L2FjY2Vzc2lvbi1udW0+PHVybHM+PHJlbGF0ZWQt
dXJscz48dXJsPmh0dHBzOi8vd3d3Lm5jYmkubmxtLm5paC5nb3YvcHVibWVkLzI0MDYwNDQ5PC91
cmw+PC9yZWxhdGVkLXVybHM+PC91cmxzPjxlbGVjdHJvbmljLXJlc291cmNlLW51bT4xMC4xMDE2
L2ouYWpvZy4yMDEzLjA5LjAyOTwvZWxlY3Ryb25pYy1yZXNvdXJjZS1udW0+PC9yZWNvcmQ+PC9D
aXRlPjxDaXRlPjxBdXRob3I+U2ltbW9uczwvQXV0aG9yPjxZZWFyPjIwMTc8L1llYXI+PFJlY051
bT4xMDU3PC9SZWNOdW0+PHJlY29yZD48cmVjLW51bWJlcj4xMDU3PC9yZWMtbnVtYmVyPjxmb3Jl
aWduLWtleXM+PGtleSBhcHA9IkVOIiBkYi1pZD0iZXh2YXNyZngyZHRyYW9lc2FzeHAyc3pzeGEy
ZGY1MDI1OTJ4IiB0aW1lc3RhbXA9IjE1NDg5ODM0NzYiPjEwNTc8L2tleT48L2ZvcmVpZ24ta2V5
cz48cmVmLXR5cGUgbmFtZT0iSm91cm5hbCBBcnRpY2xlIj4xNzwvcmVmLXR5cGU+PGNvbnRyaWJ1
dG9ycz48YXV0aG9ycz48YXV0aG9yPlNpbW1vbnMsIEQuPC9hdXRob3I+PGF1dGhvcj5EZXZsaWVn
ZXIsIFIuPC9hdXRob3I+PGF1dGhvcj52YW4gQXNzY2hlLCBBLjwvYXV0aG9yPjxhdXRob3I+SmFu
cywgRy48L2F1dGhvcj48YXV0aG9yPkdhbGphYXJkLCBTLjwvYXV0aG9yPjxhdXRob3I+Q29yY295
LCBSLjwvYXV0aG9yPjxhdXRob3I+QWRlbGFudGFkbywgSi4gTS48L2F1dGhvcj48YXV0aG9yPkR1
bm5lLCBGLjwvYXV0aG9yPjxhdXRob3I+RGVzb3llLCBHLjwvYXV0aG9yPjxhdXRob3I+SGFycmVp
dGVyLCBKLjwvYXV0aG9yPjxhdXRob3I+S2F1dHpreS1XaWxsZXIsIEEuPC9hdXRob3I+PGF1dGhv
cj5EYW1tLCBQLjwvYXV0aG9yPjxhdXRob3I+TWF0aGllc2VuLCBFLiBSLjwvYXV0aG9yPjxhdXRo
b3I+SmVuc2VuLCBELiBNLjwvYXV0aG9yPjxhdXRob3I+QW5kZXJzZW4sIEwuPC9hdXRob3I+PGF1
dGhvcj5MYXBvbGxhLCBBLjwvYXV0aG9yPjxhdXRob3I+RGFsZnJhLCBNLiBHLjwvYXV0aG9yPjxh
dXRob3I+QmVydG9sb3R0bywgQS48L2F1dGhvcj48YXV0aG9yPldlbmRlci1PemVnb3dza2EsIEUu
PC9hdXRob3I+PGF1dGhvcj5aYXdpZWpza2EsIEEuPC9hdXRob3I+PGF1dGhvcj5IaWxsLCBELjwv
YXV0aG9yPjxhdXRob3I+U25vZWssIEYuIEouPC9hdXRob3I+PGF1dGhvcj5KZWxzbWEsIEouIEcu
PC9hdXRob3I+PGF1dGhvcj52YW4gUG9wcGVsLCBNLiBOLjwvYXV0aG9yPjwvYXV0aG9ycz48L2Nv
bnRyaWJ1dG9ycz48YXV0aC1hZGRyZXNzPldlc3Rlcm4gU3lkbmV5IFVuaXZlcnNpdHksIENhbXBi
ZWxsdG93biwgTmV3IFNvdXRoIFdhbGVzIDI1NjAsIEF1c3RyYWxpYS4mI3hEO0luc3RpdHV0ZSBv
ZiBNZXRhYm9saWMgU2NpZW5jZSwgQWRkZW5icm9va2UmYXBvcztzIEhvc3BpdGFsLCBDYW1icmlk
Z2UsIENCMiAwUVEgRW5nbGFuZC4mI3hEO0RlcGFydG1lbnQgb2YgRGV2ZWxvcG1lbnQgYW5kIFJl
Z2VuZXJhdGlvbjogUHJlZ25hbmN5LCBGZXR1cyBhbmQgTmVvbmF0ZSwgR3luYWVjb2xvZ3kgYW5k
IE9ic3RldHJpY3MsIFVuaXZlcnNpdHkgSG9zcGl0YWxzLCBLYXRob2xpZWtlIFVuaXZlcnNpdGVp
dCBMZXV2ZW4sIExldXZlbiwgQmVsZ2l1bS4mI3hEO0RpdmlzaW9uIG9mIE9ic3RldHJpY3MgYW5k
IFByZW5hdGFsIE1lZGljaW5lLCBEZXBhcnRtZW50IG9mIE9ic3RldHJpY3MgYW5kIEd5bmFlY29s
b2d5LCBFcmFzbXVzIFVuaXZlcnNpdHkgTWVkaWNhbCBDZW50ZXIgUm90dGVyZGFtLCBSb3R0ZXJk
YW0sIFRoZSBOZXRoZXJsYW5kcy4mI3hEO0luc3RpdHV0IGRlIFJlY2VyY2EgZGUgbCBIb3NwaXRh
bCBkZSBsYSBTYW50YSBDcmV1IGkgU2FudCBQYXUsIEJhcmNlbG9uYSwgU3BhaW4uJiN4RDtDSUJF
UiBCaW9lbmdpbmVlcmluZywgQmlvbWF0ZXJpYWxzIGFuZCBOYW5vdGVjaG5vbG9neSwgSW5zdGl0
dXRvIGRlIFNhbHVkIENhcmxvcyBJSUksIFphcmFnb3phLCBTcGFpbi4mI3hEO0dhbHdheSBEaWFi
ZXRlcyBSZXNlYXJjaCBDZW50cmUgYW5kIENvbGxlZ2Ugb2YgTWVkaWNpbmUgTnVyc2luZyBhbmQg
SGVhbHRoIFNjaWVuY2VzLCBOYXRpb25hbCBVbml2ZXJzaXR5IG9mIElyZWxhbmQsIEdhbHdheSwg
SXJlbGFuZC4mI3hEO0RlcGFydG1lbnQgb2YgT2JzdGV0cmljcyBhbmQgR3luZWNvbG9neSwgTWVk
aXppbmlzY2hlIFVuaXZlcnNpdGFldCBHcmF6LCBHcmF6LCBBdXN0cmlhLiYjeEQ7R2VuZGVyIE1l
ZGljaW5lIFVuaXQsIEVuZG9jcmlub2xvZ3kgYW5kIE1ldGFib2xpc20sIERlcGFydG1lbnQgb2Yg
SW50ZXJuYWwgTWVkaWNpbmUgSUlJLCBNZWRpY2FsIFVuaXZlcnNpdHkgb2YgVmllbm5hLCBWaWVu
bmEsIEF1c3RyaWEuJiN4RDtDZW50ZXIgZm9yIFByZWduYW50IFdvbWVuIHdpdGggRGlhYmV0ZXMs
IERlcGFydG1lbnRzIG9mIEVuZG9jcmlub2xvZ3kgYW5kIE9ic3RldHJpY3MsIFJpZ3Nob3NwaXRh
bGV0LCBJbnN0aXR1dGUgb2YgQ2xpbmljYWwgTWVkaWNpbmUsIEZhY3VsdHkgb2YgSGVhbHRoIGFu
ZCBNZWRpY2FsIFNjaWVuY2VzLCBVbml2ZXJzaXR5IG9mIENvcGVuaGFnZW4sIENvcGVuaGFnZW4s
IERlbm1hcmsuJiN4RDtEZXBhcnRtZW50IG9mIEVuZG9jcmlub2xvZ3kgYW5kIERlcGFydG1lbnQg
b2YgR3luZWNvbG9neSBhbmQgT2JzdGV0cmljcywgT2RlbnNlIFVuaXZlcnNpdHkgSG9zcGl0YWws
IE9kZW5zZSwgRGVubWFyay4mI3hEO0RlcGFydG1lbnQgb2YgQ2xpbmljYWwgUmVzZWFyY2gsIEZh
Y3VsdHkgb2YgSGVhbHRoIFNjaWVuY2VzLCBVbml2ZXJzaXR5IG9mIFNvdXRoZXJuIERlbm1hcmss
IE9kZW5zZSwgRGVubWFyay4mI3hEO1VuaXZlcnNpdGEgRGVnbGkgU3R1ZGkgZGkgUGFkb3ZhLCBQ
YWR1YSwgSXRhbHkuJiN4RDtBemllbmRhIE9zcGVkYWxpZXJvIFVuaXZlcnNpdGFyaWEtUGlzYSwg
UGlzYSBJdGFseS4mI3hEO01lZGljYWwgRmFjdWx0eSBJLCBQb3puYW4gVW5pdmVyc2l0eSBvZiBN
ZWRpY2FsIFNjaWVuY2VzLCBQb3puYW4sIFBvbGFuZC4mI3hEO1JlY2hlcmNoZSBlbiBTYW50ZSBM
YXdzb24gU0EsIEJyb25zY2hob2ZlbiwgU3dpdHplcmxhbmQuJiN4RDtEZXBhcnRtZW50IG9mIE1l
ZGljYWwgUHN5Y2hvbG9neSwgRU1HTysgSW5zdGl0dXRlIGZvciBIZWFsdGggYW5kIENhcmUgUmVz
ZWFyY2gsIFZVIFVuaXZlcnNpdHkgTWVkaWNhbCBDZW50cmUsIEFtc3RlcmRhbSwgVGhlIE5ldGhl
cmxhbmRzLiYjeEQ7RGVwYXJ0bWVudCBvZiBNZWRpY2FsIFBzeWNob2xvZ3ksIEFjYWRlbWljIE1l
ZGljYWwgQ2VudHJlLCBBbXN0ZXJkYW0sIFRoZSBOZXRoZXJsYW5kcy4mI3hEO0RlcGFydG1lbnQg
b2YgUHVibGljIGFuZCBPY2N1cGF0aW9uYWwgSGVhbHRoLCBFTUdPKyBJbnN0aXR1dGUgZm9yIEhl
YWx0aCBhbmQgQ2FyZSBSZXNlYXJjaCwgVlUgVW5pdmVyc2l0eSBNZWRpY2FsIENlbnRyZSwgQW1z
dGVyZGFtLCBUaGUgTmV0aGVybGFuZHM7IGFuZC4mI3hEO0luc3RpdHV0ZSBvZiBTcG9ydCBTY2ll
bmNlLCBVbml2ZXJzaXR5IG9mIEdyYXosIEdyYXosIEF1c3RyaWEuPC9hdXRoLWFkZHJlc3M+PHRp
dGxlcz48dGl0bGU+RWZmZWN0IG9mIFBoeXNpY2FsIEFjdGl2aXR5IGFuZC9vciBIZWFsdGh5IEVh
dGluZyBvbiBHRE0gUmlzazogVGhlIERBTEkgTGlmZXN0eWxlIFN0dWR5PC90aXRsZT48c2Vjb25k
YXJ5LXRpdGxlPkogQ2xpbiBFbmRvY3Jpbm9sIE1ldGFiPC9zZWNvbmRhcnktdGl0bGU+PC90aXRs
ZXM+PHBlcmlvZGljYWw+PGZ1bGwtdGl0bGU+SiBDbGluIEVuZG9jcmlub2wgTWV0YWI8L2Z1bGwt
dGl0bGU+PC9wZXJpb2RpY2FsPjxwYWdlcz45MDMtOTEzPC9wYWdlcz48dm9sdW1lPjEwMjwvdm9s
dW1lPjxudW1iZXI+MzwvbnVtYmVyPjxlZGl0aW9uPjIwMTYvMTIvMTA8L2VkaXRpb24+PGRhdGVz
Pjx5ZWFyPjIwMTc8L3llYXI+PHB1Yi1kYXRlcz48ZGF0ZT5NYXIgMTwvZGF0ZT48L3B1Yi1kYXRl
cz48L2RhdGVzPjxpc2JuPjE5NDUtNzE5NyAoRWxlY3Ryb25pYykmI3hEOzAwMjEtOTcyWCAoTGlu
a2luZyk8L2lzYm4+PGFjY2Vzc2lvbi1udW0+Mjc5MzU3Njc8L2FjY2Vzc2lvbi1udW0+PHVybHM+
PHJlbGF0ZWQtdXJscz48dXJsPmh0dHBzOi8vd3d3Lm5jYmkubmxtLm5paC5nb3YvcHVibWVkLzI3
OTM1NzY3PC91cmw+PC9yZWxhdGVkLXVybHM+PC91cmxzPjxjdXN0b20yPlBNQzU0NjA2ODg8L2N1
c3RvbTI+PGVsZWN0cm9uaWMtcmVzb3VyY2UtbnVtPjEwLjEyMTAvamMuMjAxNi0zNDU1PC9lbGVj
dHJvbmljLXJlc291cmNlLW51bT48L3JlY29yZD48L0NpdGU+PENpdGU+PEF1dGhvcj5WZXNjbzwv
QXV0aG9yPjxZZWFyPjIwMTI8L1llYXI+PFJlY051bT4xMTMwPC9SZWNOdW0+PHJlY29yZD48cmVj
LW51bWJlcj4xMTMwPC9yZWMtbnVtYmVyPjxmb3JlaWduLWtleXM+PGtleSBhcHA9IkVOIiBkYi1p
ZD0iZXh2YXNyZngyZHRyYW9lc2FzeHAyc3pzeGEyZGY1MDI1OTJ4IiB0aW1lc3RhbXA9IjE1NTM0
MDg5ODYiPjExMzA8L2tleT48L2ZvcmVpZ24ta2V5cz48cmVmLXR5cGUgbmFtZT0iSm91cm5hbCBB
cnRpY2xlIj4xNzwvcmVmLXR5cGU+PGNvbnRyaWJ1dG9ycz48YXV0aG9ycz48YXV0aG9yPlZlc2Nv
LCBLLiBLLjwvYXV0aG9yPjxhdXRob3I+S2FyYW5qYSwgTi48L2F1dGhvcj48YXV0aG9yPktpbmcs
IEouIEMuPC9hdXRob3I+PGF1dGhvcj5HaWxsbWFuLCBNLiBXLjwvYXV0aG9yPjxhdXRob3I+UGVy
cmluLCBOLjwvYXV0aG9yPjxhdXRob3I+TWNFdm95LCBDLjwvYXV0aG9yPjxhdXRob3I+RWNraGFy
ZHQsIEMuPC9hdXRob3I+PGF1dGhvcj5TbWl0aCwgSy4gUy48L2F1dGhvcj48YXV0aG9yPlN0ZXZl
bnMsIFYuIEouPC9hdXRob3I+PC9hdXRob3JzPjwvY29udHJpYnV0b3JzPjxhdXRoLWFkZHJlc3M+
Q2VudGVyIGZvciBIZWFsdGggUmVzZWFyY2gsIEthaXNlciBQZXJtYW5lbnRlLCBOb3J0aHdlc3Qs
IFBvcnRsYW5kLCBPUiA5NzIyNywgVVNBLiBraW1iZXJseS5rLnZlc2NvQGtwY2hyLm9yZzwvYXV0
aC1hZGRyZXNzPjx0aXRsZXM+PHRpdGxlPkhlYWx0aHkgTW9tcywgYSByYW5kb21pemVkIHRyaWFs
IHRvIHByb21vdGUgYW5kIGV2YWx1YXRlIHdlaWdodCBtYWludGVuYW5jZSBhbW9uZyBvYmVzZSBw
cmVnbmFudCB3b21lbjogc3R1ZHkgZGVzaWduIGFuZCByYXRpb25hbGU8L3RpdGxlPjxzZWNvbmRh
cnktdGl0bGU+Q29udGVtcCBDbGluIFRyaWFsczwvc2Vjb25kYXJ5LXRpdGxlPjwvdGl0bGVzPjxw
ZXJpb2RpY2FsPjxmdWxsLXRpdGxlPkNvbnRlbXAgQ2xpbiBUcmlhbHM8L2Z1bGwtdGl0bGU+PC9w
ZXJpb2RpY2FsPjxwYWdlcz43NzctODU8L3BhZ2VzPjx2b2x1bWU+MzM8L3ZvbHVtZT48bnVtYmVy
PjQ8L251bWJlcj48ZWRpdGlvbj4yMDEyLzA0LzAzPC9lZGl0aW9uPjxrZXl3b3Jkcz48a2V5d29y
ZD5BZG9sZXNjZW50PC9rZXl3b3JkPjxrZXl3b3JkPkFkdWx0PC9rZXl3b3JkPjxrZXl3b3JkPkJp
cnRoIFdlaWdodDwva2V5d29yZD48a2V5d29yZD5DbGluaWNhbCBQcm90b2NvbHM8L2tleXdvcmQ+
PGtleXdvcmQ+Q29tYmluZWQgTW9kYWxpdHkgVGhlcmFweTwva2V5d29yZD48a2V5d29yZD5EaWV0
IFRoZXJhcHkvKm1ldGhvZHM8L2tleXdvcmQ+PGtleXdvcmQ+RXhlcmNpc2UgVGhlcmFweS8qbWV0
aG9kczwva2V5d29yZD48a2V5d29yZD5GZWFzaWJpbGl0eSBTdHVkaWVzPC9rZXl3b3JkPjxrZXl3
b3JkPkZlbWFsZTwva2V5d29yZD48a2V5d29yZD5IdW1hbnM8L2tleXdvcmQ+PGtleXdvcmQ+SW5m
YW50LCBOZXdib3JuPC9rZXl3b3JkPjxrZXl3b3JkPkludGVudGlvbiB0byBUcmVhdCBBbmFseXNp
czwva2V5d29yZD48a2V5d29yZD5Mb2dpc3RpYyBNb2RlbHM8L2tleXdvcmQ+PGtleXdvcmQ+T2Jl
c2l0eS8qdGhlcmFweTwva2V5d29yZD48a2V5d29yZD5QcmVnbmFuY3k8L2tleXdvcmQ+PGtleXdv
cmQ+UHJlZ25hbmN5IENvbXBsaWNhdGlvbnMvKnRoZXJhcHk8L2tleXdvcmQ+PGtleXdvcmQ+UHN5
Y2hvdGhlcmFweSwgR3JvdXAvKm1ldGhvZHM8L2tleXdvcmQ+PGtleXdvcmQ+UmVzZWFyY2ggRGVz
aWduPC9rZXl3b3JkPjxrZXl3b3JkPlRyZWF0bWVudCBPdXRjb21lPC9rZXl3b3JkPjxrZXl3b3Jk
PldlaWdodCBHYWluPC9rZXl3b3JkPjxrZXl3b3JkPllvdW5nIEFkdWx0PC9rZXl3b3JkPjwva2V5
d29yZHM+PGRhdGVzPjx5ZWFyPjIwMTI8L3llYXI+PHB1Yi1kYXRlcz48ZGF0ZT5KdWw8L2RhdGU+
PC9wdWItZGF0ZXM+PC9kYXRlcz48aXNibj4xNTU5LTIwMzAgKEVsZWN0cm9uaWMpJiN4RDsxNTUx
LTcxNDQgKExpbmtpbmcpPC9pc2JuPjxhY2Nlc3Npb24tbnVtPjIyNDY1MjU2PC9hY2Nlc3Npb24t
bnVtPjx1cmxzPjxyZWxhdGVkLXVybHM+PHVybD5odHRwczovL3d3dy5uY2JpLm5sbS5uaWguZ292
L3B1Ym1lZC8yMjQ2NTI1NjwvdXJsPjwvcmVsYXRlZC11cmxzPjwvdXJscz48Y3VzdG9tMj5QTUMz
MzYxNTE5PC9jdXN0b20yPjxlbGVjdHJvbmljLXJlc291cmNlLW51bT4xMC4xMDE2L2ouY2N0LjIw
MTIuMDMuMDA2PC9lbGVjdHJvbmljLXJlc291cmNlLW51bT48L3JlY29yZD48L0NpdGU+PENpdGU+
PEF1dGhvcj5WaW50ZXI8L0F1dGhvcj48WWVhcj4yMDExPC9ZZWFyPjxSZWNOdW0+MTExMTwvUmVj
TnVtPjxyZWNvcmQ+PHJlYy1udW1iZXI+MTExMTwvcmVjLW51bWJlcj48Zm9yZWlnbi1rZXlzPjxr
ZXkgYXBwPSJFTiIgZGItaWQ9ImV4dmFzcmZ4MmR0cmFvZXNhc3hwMnN6c3hhMmRmNTAyNTkyeCIg
dGltZXN0YW1wPSIxNTUyOTQ4NjE3Ij4xMTExPC9rZXk+PC9mb3JlaWduLWtleXM+PHJlZi10eXBl
IG5hbWU9IkpvdXJuYWwgQXJ0aWNsZSI+MTc8L3JlZi10eXBlPjxjb250cmlidXRvcnM+PGF1dGhv
cnM+PGF1dGhvcj5WaW50ZXIsIEMuIEEuPC9hdXRob3I+PGF1dGhvcj5KZW5zZW4sIEQuIE0uPC9h
dXRob3I+PGF1dGhvcj5PdmVzZW4sIFAuPC9hdXRob3I+PGF1dGhvcj5CZWNrLU5pZWxzZW4sIEgu
PC9hdXRob3I+PGF1dGhvcj5Kb3JnZW5zZW4sIEouIFMuPC9hdXRob3I+PC9hdXRob3JzPjwvY29u
dHJpYnV0b3JzPjxhdXRoLWFkZHJlc3M+RGVwYXJ0bWVudCBvZiBHeW5lY29sb2d5IGFuZCBPYnN0
ZXRyaWNzLCBPZGVuc2UgVW5pdmVyc2l0eSBIb3NwaXRhbCwgT2RlbnNlLCBEZW5tYXJrLiBjLnZp
bnRlckBkYWRsbmV0LmRrPC9hdXRoLWFkZHJlc3M+PHRpdGxlcz48dGl0bGU+VGhlIExpUCAoTGlm
ZXN0eWxlIGluIFByZWduYW5jeSkgc3R1ZHk6IGEgcmFuZG9taXplZCBjb250cm9sbGVkIHRyaWFs
IG9mIGxpZmVzdHlsZSBpbnRlcnZlbnRpb24gaW4gMzYwIG9iZXNlIHByZWduYW50IHdvbWVuPC90
aXRsZT48c2Vjb25kYXJ5LXRpdGxlPkRpYWJldGVzIENhcmU8L3NlY29uZGFyeS10aXRsZT48L3Rp
dGxlcz48cGVyaW9kaWNhbD48ZnVsbC10aXRsZT5EaWFiZXRlcyBDYXJlPC9mdWxsLXRpdGxlPjwv
cGVyaW9kaWNhbD48cGFnZXM+MjUwMi03PC9wYWdlcz48dm9sdW1lPjM0PC92b2x1bWU+PG51bWJl
cj4xMjwvbnVtYmVyPjxlZGl0aW9uPjIwMTEvMTAvMDY8L2VkaXRpb24+PGtleXdvcmRzPjxrZXl3
b3JkPkFkb2xlc2NlbnQ8L2tleXdvcmQ+PGtleXdvcmQ+QWR1bHQ8L2tleXdvcmQ+PGtleXdvcmQ+
RGVubWFyazwva2V5d29yZD48a2V5d29yZD5EaXJlY3RpdmUgQ291bnNlbGluZzwva2V5d29yZD48
a2V5d29yZD5GZW1hbGU8L2tleXdvcmQ+PGtleXdvcmQ+SHVtYW5zPC9rZXl3b3JkPjxrZXl3b3Jk
PipMaWZlIFN0eWxlPC9rZXl3b3JkPjxrZXl3b3JkPk1vdG9yIEFjdGl2aXR5PC9rZXl3b3JkPjxr
ZXl3b3JkPk9iZXNpdHkvZGlldCB0aGVyYXB5Lyp0aGVyYXB5PC9rZXl3b3JkPjxrZXl3b3JkPlBo
eXNpY2FsIEVkdWNhdGlvbiBhbmQgVHJhaW5pbmc8L2tleXdvcmQ+PGtleXdvcmQ+UHJlZ25hbmN5
PC9rZXl3b3JkPjxrZXl3b3JkPlByZWduYW5jeSBDb21wbGljYXRpb25zL2RpZXQgdGhlcmFweS8q
dGhlcmFweTwva2V5d29yZD48a2V5d29yZD5QcmVnbmFuY3kgT3V0Y29tZTwva2V5d29yZD48a2V5
d29yZD5XZWlnaHQgR2Fpbjwva2V5d29yZD48L2tleXdvcmRzPjxkYXRlcz48eWVhcj4yMDExPC95
ZWFyPjxwdWItZGF0ZXM+PGRhdGU+RGVjPC9kYXRlPjwvcHViLWRhdGVzPjwvZGF0ZXM+PGlzYm4+
MTkzNS01NTQ4IChFbGVjdHJvbmljKSYjeEQ7MDE0OS01OTkyIChMaW5raW5nKTwvaXNibj48YWNj
ZXNzaW9uLW51bT4yMTk3MjQxMTwvYWNjZXNzaW9uLW51bT48dXJscz48cmVsYXRlZC11cmxzPjx1
cmw+aHR0cHM6Ly93d3cubmNiaS5ubG0ubmloLmdvdi9wdWJtZWQvMjE5NzI0MTE8L3VybD48L3Jl
bGF0ZWQtdXJscz48L3VybHM+PGN1c3RvbTI+UE1DMzIyMDg0NDwvY3VzdG9tMj48ZWxlY3Ryb25p
Yy1yZXNvdXJjZS1udW0+MTAuMjMzNy9kYzExLTExNTA8L2VsZWN0cm9uaWMtcmVzb3VyY2UtbnVt
PjwvcmVjb3JkPjwvQ2l0ZT48Q2l0ZT48QXV0aG9yPkFsdGF6YW48L0F1dGhvcj48WWVhcj4yMDE5
PC9ZZWFyPjxSZWNOdW0+MTM3OTwvUmVjTnVtPjxyZWNvcmQ+PHJlYy1udW1iZXI+MTM3OTwvcmVj
LW51bWJlcj48Zm9yZWlnbi1rZXlzPjxrZXkgYXBwPSJFTiIgZGItaWQ9ImV4dmFzcmZ4MmR0cmFv
ZXNhc3hwMnN6c3hhMmRmNTAyNTkyeCIgdGltZXN0YW1wPSIxNTY3MDYxNTE0Ij4xMzc5PC9rZXk+
PGtleSBhcHA9IkVOV2ViIiBkYi1pZD0iIj4wPC9rZXk+PC9mb3JlaWduLWtleXM+PHJlZi10eXBl
IG5hbWU9IkpvdXJuYWwgQXJ0aWNsZSI+MTc8L3JlZi10eXBlPjxjb250cmlidXRvcnM+PGF1dGhv
cnM+PGF1dGhvcj5BbHRhemFuLCBBLiBELjwvYXV0aG9yPjxhdXRob3I+UmVkbWFuLCBMLiBNLjwv
YXV0aG9yPjxhdXRob3I+QnVydG9uLCBKLiBILjwvYXV0aG9yPjxhdXRob3I+QmV5bCwgUi4gQS48
L2F1dGhvcj48YXV0aG9yPkNhaW4sIEwuIEUuPC9hdXRob3I+PGF1dGhvcj5TdXR0b24sIEUuIEYu
PC9hdXRob3I+PGF1dGhvcj5NYXJ0aW4sIEMuIEsuPC9hdXRob3I+PC9hdXRob3JzPjwvY29udHJp
YnV0b3JzPjxhdXRoLWFkZHJlc3M+UGVubmluZ3RvbiBCaW9tZWRpY2FsIFJlc2VhcmNoIENlbnRl
ciwgTG91aXNpYW5hIFN0YXRlIFVuaXZlcnNpdHksIDY0MDAgUGVya2lucyBSb2FkLCBCYXRvbiBS
b3VnZSwgTEEsIDcwODA4LCBVU0EuJiN4RDtQZW5uaW5ndG9uIEJpb21lZGljYWwgUmVzZWFyY2gg
Q2VudGVyLCBMb3Vpc2lhbmEgU3RhdGUgVW5pdmVyc2l0eSwgNjQwMCBQZXJraW5zIFJvYWQsIEJh
dG9uIFJvdWdlLCBMQSwgNzA4MDgsIFVTQS4gY29yYnkubWFydGluQHBicmMuZWR1LjwvYXV0aC1h
ZGRyZXNzPjx0aXRsZXM+PHRpdGxlPk1vb2QgYW5kIHF1YWxpdHkgb2YgbGlmZSBjaGFuZ2VzIGlu
IHByZWduYW5jeSBhbmQgcG9zdHBhcnR1bSBhbmQgdGhlIGVmZmVjdCBvZiBhIGJlaGF2aW9yYWwg
aW50ZXJ2ZW50aW9uIHRhcmdldGluZyBleGNlc3MgZ2VzdGF0aW9uYWwgd2VpZ2h0IGdhaW4gaW4g
d29tZW4gd2l0aCBvdmVyd2VpZ2h0IGFuZCBvYmVzaXR5OiBhIHBhcmFsbGVsLWFybSByYW5kb21p
emVkIGNvbnRyb2xsZWQgcGlsb3QgdHJpYWw8L3RpdGxlPjxzZWNvbmRhcnktdGl0bGU+Qk1DIFBy
ZWduYW5jeSBDaGlsZGJpcnRoPC9zZWNvbmRhcnktdGl0bGU+PC90aXRsZXM+PHBlcmlvZGljYWw+
PGZ1bGwtdGl0bGU+Qk1DIFByZWduYW5jeSBDaGlsZGJpcnRoPC9mdWxsLXRpdGxlPjwvcGVyaW9k
aWNhbD48cGFnZXM+NTA8L3BhZ2VzPjx2b2x1bWU+MTk8L3ZvbHVtZT48bnVtYmVyPjE8L251bWJl
cj48ZWRpdGlvbj4yMDE5LzAxLzMxPC9lZGl0aW9uPjxrZXl3b3Jkcz48a2V5d29yZD5BZHVsdDwv
a2V5d29yZD48a2V5d29yZD5CZWhhdmlvciBUaGVyYXB5LyptZXRob2RzPC9rZXl3b3JkPjxrZXl3
b3JkPkZlbWFsZTwva2V5d29yZD48a2V5d29yZD4qR2VzdGF0aW9uYWwgV2VpZ2h0IEdhaW48L2tl
eXdvcmQ+PGtleXdvcmQ+SHVtYW5zPC9rZXl3b3JkPjxrZXl3b3JkPkxpZmUgU3R5bGU8L2tleXdv
cmQ+PGtleXdvcmQ+T3ZlcndlaWdodC8qcHJldmVudGlvbiAmYW1wOyBjb250cm9sPC9rZXl3b3Jk
PjxrZXl3b3JkPlBpbG90IFByb2plY3RzPC9rZXl3b3JkPjxrZXl3b3JkPlByZWduYW5jeTwva2V5
d29yZD48a2V5d29yZD5QcmVuYXRhbCBDYXJlLyptZXRob2RzPC9rZXl3b3JkPjxrZXl3b3JkPlF1
YWxpdHkgb2YgTGlmZS8qcHN5Y2hvbG9neTwva2V5d29yZD48a2V5d29yZD5UcmVhdG1lbnQgT3V0
Y29tZTwva2V5d29yZD48a2V5d29yZD5XZWlnaHQgR2Fpbjwva2V5d29yZD48a2V5d29yZD5HZXN0
YXRpb25hbCB3ZWlnaHQgZ2Fpbjwva2V5d29yZD48a2V5d29yZD5NZW50YWwgaGVhbHRoPC9rZXl3
b3JkPjxrZXl3b3JkPlF1YWxpdHkgb2YgbGlmZTwva2V5d29yZD48L2tleXdvcmRzPjxkYXRlcz48
eWVhcj4yMDE5PC95ZWFyPjxwdWItZGF0ZXM+PGRhdGU+SmFuIDI5PC9kYXRlPjwvcHViLWRhdGVz
PjwvZGF0ZXM+PGlzYm4+MTQ3MS0yMzkzIChFbGVjdHJvbmljKSYjeEQ7MTQ3MS0yMzkzIChMaW5r
aW5nKTwvaXNibj48YWNjZXNzaW9uLW51bT4zMDY5NjQwODwvYWNjZXNzaW9uLW51bT48dXJscz48
cmVsYXRlZC11cmxzPjx1cmw+aHR0cHM6Ly93d3cubmNiaS5ubG0ubmloLmdvdi9wdWJtZWQvMzA2
OTY0MDg8L3VybD48L3JlbGF0ZWQtdXJscz48L3VybHM+PGN1c3RvbTI+UE1DNjM1MjM1MjwvY3Vz
dG9tMj48ZWxlY3Ryb25pYy1yZXNvdXJjZS1udW0+MTAuMTE4Ni9zMTI4ODQtMDE5LTIxOTYtODwv
ZWxlY3Ryb25pYy1yZXNvdXJjZS1udW0+PC9yZWNvcmQ+PC9DaXRlPjxDaXRlPjxBdXRob3I+UGhl
bGFuPC9BdXRob3I+PFllYXI+MjAxODwvWWVhcj48UmVjTnVtPjEzODY8L1JlY051bT48cmVjb3Jk
PjxyZWMtbnVtYmVyPjEzODY8L3JlYy1udW1iZXI+PGZvcmVpZ24ta2V5cz48a2V5IGFwcD0iRU4i
IGRiLWlkPSJleHZhc3JmeDJkdHJhb2VzYXN4cDJzenN4YTJkZjUwMjU5MngiIHRpbWVzdGFtcD0i
MTU2NzM4MjQ4NSI+MTM4Njwva2V5PjwvZm9yZWlnbi1rZXlzPjxyZWYtdHlwZSBuYW1lPSJKb3Vy
bmFsIEFydGljbGUiPjE3PC9yZWYtdHlwZT48Y29udHJpYnV0b3JzPjxhdXRob3JzPjxhdXRob3I+
UGhlbGFuLCBTLjwvYXV0aG9yPjxhdXRob3I+V2luZywgUi4gUi48L2F1dGhvcj48YXV0aG9yPkJy
YW5uZW4sIEEuPC9hdXRob3I+PGF1dGhvcj5NY0h1Z2gsIEEuPC9hdXRob3I+PGF1dGhvcj5IYWdv
YmlhbiwgVC4gQS48L2F1dGhvcj48YXV0aG9yPlNjaGFmZm5lciwgQS48L2F1dGhvcj48YXV0aG9y
PkplbGFsaWFuLCBFLjwvYXV0aG9yPjxhdXRob3I+SGFydCwgQy4gTi48L2F1dGhvcj48YXV0aG9y
PlNjaG9sbCwgVC4gTy48L2F1dGhvcj48YXV0aG9yPk11bm96LUNocmlzdGlhbiwgSy48L2F1dGhv
cj48YXV0aG9yPllpbiwgRS48L2F1dGhvcj48YXV0aG9yPlBoaXBwcywgTS4gRy48L2F1dGhvcj48
YXV0aG9yPktlYWRsZSwgUy48L2F1dGhvcj48YXV0aG9yPkFicmFtcywgQi48L2F1dGhvcj48L2F1
dGhvcnM+PC9jb250cmlidXRvcnM+PGF1dGgtYWRkcmVzcz5EZXBhcnRtZW50cyBvZiBLaW5lc2lv
bG9neSwgU3RhdGlzdGljcywgYW5kIE1vZGVybiBMYW5ndWFnZXMsIENhbGlmb3JuaWEgUG9seXRl
Y2huaWMgU3RhdGUgVW5pdmVyc2l0eSwgU2FuIEx1aXMgT2Jpc3BvLCBDQS4mI3hEO0RlcGFydG1l
bnQgb2YgUHN5Y2hpYXRyeSBhbmQgSHVtYW4gQmVoYXZpb3IsIFdhcnJlbiBBbHBlcnQgTWVkaWNh
bCBTY2hvb2wgYXQgQnJvd24gVW5pdmVyc2l0eSwgUHJvdmlkZW5jZSwgUkkuJiN4RDtEZXBhcnRt
ZW50cyBvZiBTdGF0aXN0aWNzLCBhbmQgTW9kZXJuIExhbmd1YWdlcywgQ2FsaWZvcm5pYSBQb2x5
dGVjaG5pYyBTdGF0ZSBVbml2ZXJzaXR5LCBTYW4gTHVpcyBPYmlzcG8sIENBLiYjeEQ7RGVwYXJ0
bWVudCBvZiBTb2NpYWwgYW5kIEJlaGF2aW9yYWwgU2NpZW5jZXMsIFRlbXBsZSBVbml2ZXJzaXR5
IENlbnRlciBmb3IgT2Jlc2l0eSBSZXNlYXJjaCBhbmQgRWR1Y2F0aW9uLCBQaGlsYWRlbHBoaWEs
IFBBLiYjeEQ7RGVwYXJ0bWVudCBvZiBPYnN0ZXRyaWNzIGFuZCBHeW5lY29sb2d5LCBVbml2ZXJz
aXR5IG9mIE1lZGljaW5lIGFuZCBEZW50aXN0cnkgb2YgTmV3IEplcnNleSAobm93IFJvd2FuKSwg
R2xhc3Nib3JvLCBOSi4mI3hEO0RlcGFydG1lbnRzIG9mIE1vZGVybiBMYW5ndWFnZXMsIENhbGlm
b3JuaWEgUG9seXRlY2huaWMgU3RhdGUgVW5pdmVyc2l0eSwgU2FuIEx1aXMgT2Jpc3BvLCBDQS4m
I3hEO1BhY2lmaWMgQ2VudHJhbCBDb2FzdCBIZWFsdGggQ2VudGVycywgU2FudGEgTWFyaWEgV29t
ZW4mYXBvcztzIEhlYWx0aCwgU2FudGEgTWFyaWEsIENBLiYjeEQ7RGVwYXJ0bWVudCBvZiBPYnN0
ZXRyaWNzIGFuZCBHeW5lY29sb2d5LCBXYXJyZW4gQWxwZXJ0IE1lZGljYWwgU2Nob29sIG9mIEJy
b3duIFVuaXZlcnNpdHkgYW5kIFdvbWVuIGFuZCBJbmZhbnRzIEhvc3BpdGFsLCBQcm92aWRlbmNl
LCBSSS4mI3hEO0RpdmlzaW9uIG9mIEVwaWRlbWlvbG9neSwgVW5pdmVyc2l0eSBvZiBDYWxpZm9y
bmlhIGF0IEJlcmtlbGV5IFNjaG9vbCBvZiBQdWJsaWMgSGVhbHRoLCBCZXJrZWxleSwgQ0EuPC9h
dXRoLWFkZHJlc3M+PHRpdGxlcz48dGl0bGU+UmFuZG9taXplZCBjb250cm9sbGVkIGNsaW5pY2Fs
IHRyaWFsIG9mIGJlaGF2aW9yYWwgbGlmZXN0eWxlIGludGVydmVudGlvbiB3aXRoIHBhcnRpYWwg
bWVhbCByZXBsYWNlbWVudCB0byByZWR1Y2UgZXhjZXNzaXZlIGdlc3RhdGlvbmFsIHdlaWdodCBn
YWluPC90aXRsZT48c2Vjb25kYXJ5LXRpdGxlPkFtIEogQ2xpbiBOdXRyPC9zZWNvbmRhcnktdGl0
bGU+PC90aXRsZXM+PHBlcmlvZGljYWw+PGZ1bGwtdGl0bGU+QW0gSiBDbGluIE51dHI8L2Z1bGwt
dGl0bGU+PC9wZXJpb2RpY2FsPjxwYWdlcz4xODMtMTk0PC9wYWdlcz48dm9sdW1lPjEwNzwvdm9s
dW1lPjxudW1iZXI+MjwvbnVtYmVyPjxlZGl0aW9uPjIwMTgvMDMvMTM8L2VkaXRpb24+PGtleXdv
cmRzPjxrZXl3b3JkPkFkdWx0PC9rZXl3b3JkPjxrZXl3b3JkPkJvZHkgTWFzcyBJbmRleDwva2V5
d29yZD48a2V5d29yZD5DYWxpZm9ybmlhPC9rZXl3b3JkPjxrZXl3b3JkPkRpZXQ8L2tleXdvcmQ+
PGtleXdvcmQ+RXRobmljIEdyb3Vwczwva2V5d29yZD48a2V5d29yZD5FeGVyY2lzZTwva2V5d29y
ZD48a2V5d29yZD5GZW1hbGU8L2tleXdvcmQ+PGtleXdvcmQ+Kkdlc3RhdGlvbmFsIFdlaWdodCBH
YWluPC9rZXl3b3JkPjxrZXl3b3JkPipIZWFsdGggQmVoYXZpb3I8L2tleXdvcmQ+PGtleXdvcmQ+
SHVtYW5zPC9rZXl3b3JkPjxrZXl3b3JkPkluY2lkZW5jZTwva2V5d29yZD48a2V5d29yZD4qTGlm
ZSBTdHlsZTwva2V5d29yZD48a2V5d29yZD5NZWFsczwva2V5d29yZD48a2V5d29yZD5OdXRyaXRp
b24gQXNzZXNzbWVudDwva2V5d29yZD48a2V5d29yZD5PYmVzaXR5LypwcmV2ZW50aW9uICZhbXA7
IGNvbnRyb2w8L2tleXdvcmQ+PGtleXdvcmQ+T3ZlcndlaWdodC8qcHJldmVudGlvbiAmYW1wOyBj
b250cm9sPC9rZXl3b3JkPjxrZXl3b3JkPlByZWduYW5jeTwva2V5d29yZD48a2V5d29yZD5QcmVn
bmFuY3kgQ29tcGxpY2F0aW9ucy8qcHJldmVudGlvbiAmYW1wOyBjb250cm9sPC9rZXl3b3JkPjxr
ZXl3b3JkPlByZWduYW5jeSBPdXRjb21lPC9rZXl3b3JkPjxrZXl3b3JkPlJpc2sgRmFjdG9yczwv
a2V5d29yZD48a2V5d29yZD5Zb3VuZyBBZHVsdDwva2V5d29yZD48L2tleXdvcmRzPjxkYXRlcz48
eWVhcj4yMDE4PC95ZWFyPjxwdWItZGF0ZXM+PGRhdGU+RmViIDE8L2RhdGU+PC9wdWItZGF0ZXM+
PC9kYXRlcz48aXNibj4xOTM4LTMyMDcgKEVsZWN0cm9uaWMpJiN4RDswMDAyLTkxNjUgKExpbmtp
bmcpPC9pc2JuPjxhY2Nlc3Npb24tbnVtPjI5NTI5MTU3PC9hY2Nlc3Npb24tbnVtPjx1cmxzPjxy
ZWxhdGVkLXVybHM+PHVybD5odHRwczovL3d3dy5uY2JpLm5sbS5uaWguZ292L3B1Ym1lZC8yOTUy
OTE1NzwvdXJsPjwvcmVsYXRlZC11cmxzPjwvdXJscz48Y3VzdG9tMj5QTUM2NDU1MDMwPC9jdXN0
b20yPjxlbGVjdHJvbmljLXJlc291cmNlLW51bT4xMC4xMDkzL2FqY24vbnF4MDQzPC9lbGVjdHJv
bmljLXJlc291cmNlLW51bT48L3JlY29yZD48L0NpdGU+PC9FbmROb3RlPgB=
</w:fldData>
        </w:fldChar>
      </w:r>
      <w:r w:rsidR="002747EA">
        <w:instrText xml:space="preserve"> ADDIN EN.CITE </w:instrText>
      </w:r>
      <w:r w:rsidR="002747EA">
        <w:fldChar w:fldCharType="begin">
          <w:fldData xml:space="preserve">PEVuZE5vdGU+PENpdGU+PEF1dGhvcj5HYWxsYWdoZXI8L0F1dGhvcj48WWVhcj4yMDE4PC9ZZWFy
PjxSZWNOdW0+NzQ0PC9SZWNOdW0+PERpc3BsYXlUZXh0PjxzdHlsZSBmYWNlPSJzdXBlcnNjcmlw
dCIgZm9udD0iVHJlYnVjaGV0IE1TIiBzaXplPSI5Ij40MDIsNDUxLDQ5NCw1MDItNTA0LDUwNyw1
MDgsNTEzLTUxNSw1MjA8L3N0eWxlPjwvRGlzcGxheVRleHQ+PHJlY29yZD48cmVjLW51bWJlcj43
NDQ8L3JlYy1udW1iZXI+PGZvcmVpZ24ta2V5cz48a2V5IGFwcD0iRU4iIGRiLWlkPSJleHZhc3Jm
eDJkdHJhb2VzYXN4cDJzenN4YTJkZjUwMjU5MngiIHRpbWVzdGFtcD0iMTU0MTQ2Nzg3OSI+NzQ0
PC9rZXk+PGtleSBhcHA9IkVOV2ViIiBkYi1pZD0iIj4wPC9rZXk+PC9mb3JlaWduLWtleXM+PHJl
Zi10eXBlIG5hbWU9IkpvdXJuYWwgQXJ0aWNsZSI+MTc8L3JlZi10eXBlPjxjb250cmlidXRvcnM+
PGF1dGhvcnM+PGF1dGhvcj5HYWxsYWdoZXIsIER5bXBuYTwvYXV0aG9yPjxhdXRob3I+Um9zZW5u
LCBCYXJhazwvYXV0aG9yPjxhdXRob3I+VG9yby1SYW1vcywgVGF0aWFuYTwvYXV0aG9yPjxhdXRo
b3I+UGFsZXksIENoYXJsZXM8L2F1dGhvcj48YXV0aG9yPkdpZHdhbmksIFNvbmlhPC9hdXRob3I+
PGF1dGhvcj5Ib3Jvd2l0eiwgTWljaGVsbGU8L2F1dGhvcj48YXV0aG9yPkNyYW5lLCBKYW5ldDwv
YXV0aG9yPjxhdXRob3I+TGluLCBTdXNhbjwvYXV0aG9yPjxhdXRob3I+VGhvcm50b24sIEpvaG4g
Qy48L2F1dGhvcj48YXV0aG9yPlBpLVN1bnllciwgWGF2aWVyPC9hdXRob3I+PC9hdXRob3JzPjwv
Y29udHJpYnV0b3JzPjx0aXRsZXM+PHRpdGxlPkdyZWF0ZXIgTmVvbmF0YWwgRmF0LUZyZWUgTWFz
cyBhbmQgU2ltaWxhciBGYXQgTWFzcyBGb2xsb3dpbmcgYSBSYW5kb21pemVkIFRyaWFsIHRvIENv
bnRyb2wgRXhjZXNzIEdlc3RhdGlvbmFsIFdlaWdodCBHYWluPC90aXRsZT48c2Vjb25kYXJ5LXRp
dGxlPk9iZXNpdHk8L3NlY29uZGFyeS10aXRsZT48L3RpdGxlcz48cGVyaW9kaWNhbD48ZnVsbC10
aXRsZT5PYmVzaXR5PC9mdWxsLXRpdGxlPjwvcGVyaW9kaWNhbD48cGFnZXM+NTc4LTU4NzwvcGFn
ZXM+PHZvbHVtZT4yNjwvdm9sdW1lPjxudW1iZXI+MzwvbnVtYmVyPjxzZWN0aW9uPjU3ODwvc2Vj
dGlvbj48ZGF0ZXM+PHllYXI+MjAxODwveWVhcj48L2RhdGVzPjxpc2JuPjE5MzA3MzgxPC9pc2Ju
Pjx1cmxzPjwvdXJscz48ZWxlY3Ryb25pYy1yZXNvdXJjZS1udW0+MTAuMTAwMi9vYnkuMjIwNzk8
L2VsZWN0cm9uaWMtcmVzb3VyY2UtbnVtPjwvcmVjb3JkPjwvQ2l0ZT48Q2l0ZT48QXV0aG9yPkhh
cnJpc29uPC9BdXRob3I+PFllYXI+MjAxMzwvWWVhcj48UmVjTnVtPjcyNTwvUmVjTnVtPjxyZWNv
cmQ+PHJlYy1udW1iZXI+NzI1PC9yZWMtbnVtYmVyPjxmb3JlaWduLWtleXM+PGtleSBhcHA9IkVO
IiBkYi1pZD0iZXh2YXNyZngyZHRyYW9lc2FzeHAyc3pzeGEyZGY1MDI1OTJ4IiB0aW1lc3RhbXA9
IjE1NDE0NjUwNTAiPjcyNTwva2V5PjwvZm9yZWlnbi1rZXlzPjxyZWYtdHlwZSBuYW1lPSJKb3Vy
bmFsIEFydGljbGUiPjE3PC9yZWYtdHlwZT48Y29udHJpYnV0b3JzPjxhdXRob3JzPjxhdXRob3I+
SGFycmlzb24sIEMuIEwuPC9hdXRob3I+PGF1dGhvcj5Mb21iYXJkLCBDLiBCLjwvYXV0aG9yPjxh
dXRob3I+U3RyYXVzcywgQi4gSi48L2F1dGhvcj48YXV0aG9yPlRlZWRlLCBILiBKLjwvYXV0aG9y
PjwvYXV0aG9ycz48L2NvbnRyaWJ1dG9ycz48YXV0aC1hZGRyZXNzPldvbWVuJmFwb3M7cyBSZXBy
b2R1Y3RpdmUgUmVzZWFyY2ggdW5pdCwgU2Nob29sIG9mIFB1YmxpYyBIZWFsdGggYW5kIFByZXZl
bnRpdmUgTWVkaWNpbmUsIE1vbmFzaCBVbml2ZXJzaXR5LCBDbGF5dG9uLCBWaWN0b3JpYSwgQXVz
dHJhbGlhLjwvYXV0aC1hZGRyZXNzPjx0aXRsZXM+PHRpdGxlPk9wdGltaXppbmcgaGVhbHRoeSBn
ZXN0YXRpb25hbCB3ZWlnaHQgZ2FpbiBpbiB3b21lbiBhdCBoaWdoIHJpc2sgb2YgZ2VzdGF0aW9u
YWwgZGlhYmV0ZXM6IGEgcmFuZG9taXplZCBjb250cm9sbGVkIHRyaWFsPC90aXRsZT48c2Vjb25k
YXJ5LXRpdGxlPk9iZXNpdHkgKFNpbHZlciBTcHJpbmcpPC9zZWNvbmRhcnktdGl0bGU+PC90aXRs
ZXM+PHBlcmlvZGljYWw+PGZ1bGwtdGl0bGU+T2Jlc2l0eSAoU2lsdmVyIFNwcmluZyk8L2Z1bGwt
dGl0bGU+PC9wZXJpb2RpY2FsPjxwYWdlcz45MDQtOTwvcGFnZXM+PHZvbHVtZT4yMTwvdm9sdW1l
PjxudW1iZXI+NTwvbnVtYmVyPjxlZGl0aW9uPjIwMTMvMDYvMjE8L2VkaXRpb24+PGtleXdvcmRz
PjxrZXl3b3JkPkFkdWx0PC9rZXl3b3JkPjxrZXl3b3JkPipCb2R5IE1hc3MgSW5kZXg8L2tleXdv
cmQ+PGtleXdvcmQ+RGlhYmV0ZXMsIEdlc3RhdGlvbmFsL2VwaWRlbWlvbG9neS8qcHJldmVudGlv
biAmYW1wOyBjb250cm9sPC9rZXl3b3JkPjxrZXl3b3JkPkZlbWFsZTwva2V5d29yZD48a2V5d29y
ZD5IdW1hbnM8L2tleXdvcmQ+PGtleXdvcmQ+KkxpZmUgU3R5bGU8L2tleXdvcmQ+PGtleXdvcmQ+
TW90b3IgQWN0aXZpdHk8L2tleXdvcmQ+PGtleXdvcmQ+T2Jlc2l0eS9jb21wbGljYXRpb25zL3Ro
ZXJhcHk8L2tleXdvcmQ+PGtleXdvcmQ+UHJlZ25hbmN5PC9rZXl3b3JkPjxrZXl3b3JkPlByZW5h
dGFsIENhcmU8L2tleXdvcmQ+PGtleXdvcmQ+UmlzayBGYWN0b3JzPC9rZXl3b3JkPjxrZXl3b3Jk
PipXYWxraW5nPC9rZXl3b3JkPjxrZXl3b3JkPipXZWlnaHQgR2Fpbjwva2V5d29yZD48L2tleXdv
cmRzPjxkYXRlcz48eWVhcj4yMDEzPC95ZWFyPjxwdWItZGF0ZXM+PGRhdGU+TWF5PC9kYXRlPjwv
cHViLWRhdGVzPjwvZGF0ZXM+PGlzYm4+MTkzMC03MzlYIChFbGVjdHJvbmljKSYjeEQ7MTkzMC03
MzgxIChMaW5raW5nKTwvaXNibj48YWNjZXNzaW9uLW51bT4yMzc4NDg5MjwvYWNjZXNzaW9uLW51
bT48dXJscz48cmVsYXRlZC11cmxzPjx1cmw+aHR0cHM6Ly93d3cubmNiaS5ubG0ubmloLmdvdi9w
dWJtZWQvMjM3ODQ4OTI8L3VybD48L3JlbGF0ZWQtdXJscz48L3VybHM+PGVsZWN0cm9uaWMtcmVz
b3VyY2UtbnVtPjEwLjEwMDIvb2J5LjIwMTYzPC9lbGVjdHJvbmljLXJlc291cmNlLW51bT48L3Jl
Y29yZD48L0NpdGU+PENpdGU+PEF1dGhvcj5IYXdraW5zPC9BdXRob3I+PFllYXI+MjAxNTwvWWVh
cj48UmVjTnVtPjcyNjwvUmVjTnVtPjxyZWNvcmQ+PHJlYy1udW1iZXI+NzI2PC9yZWMtbnVtYmVy
Pjxmb3JlaWduLWtleXM+PGtleSBhcHA9IkVOIiBkYi1pZD0iZXh2YXNyZngyZHRyYW9lc2FzeHAy
c3pzeGEyZGY1MDI1OTJ4IiB0aW1lc3RhbXA9IjE1NDE0NjUzMjIiPjcyNjwva2V5PjwvZm9yZWln
bi1rZXlzPjxyZWYtdHlwZSBuYW1lPSJKb3VybmFsIEFydGljbGUiPjE3PC9yZWYtdHlwZT48Y29u
dHJpYnV0b3JzPjxhdXRob3JzPjxhdXRob3I+SGF3a2lucywgTS48L2F1dGhvcj48YXV0aG9yPkhv
c2tlciwgTS48L2F1dGhvcj48YXV0aG9yPk1hcmN1cywgQi4gSC48L2F1dGhvcj48YXV0aG9yPlJv
c2FsLCBNLiBDLjwvYXV0aG9yPjxhdXRob3I+QnJhdW4sIEIuPC9hdXRob3I+PGF1dGhvcj5TdGFu
ZWssIEUuIEouLCAzcmQ8L2F1dGhvcj48YXV0aG9yPk1hcmtlbnNvbiwgRy48L2F1dGhvcj48YXV0
aG9yPkNoYXNhbi1UYWJlciwgTC48L2F1dGhvcj48L2F1dGhvcnM+PC9jb250cmlidXRvcnM+PGF1
dGgtYWRkcmVzcz5EaXZpc2lvbiBvZiBCaW9zdGF0aXN0aWNzIGFuZCBFcGlkZW1pb2xvZ3ksIERl
cGFydG1lbnQgb2YgUHVibGljIEhlYWx0aCwgU2Nob29sIG9mIFB1YmxpYyBIZWFsdGggYW5kIEhl
YWx0aCBTY2llbmNlcywgVW5pdmVyc2l0eSBvZiBNYXNzYWNodXNldHRzLCBBbWhlcnN0LCBNQSwg
VVNBLjwvYXV0aC1hZGRyZXNzPjx0aXRsZXM+PHRpdGxlPkEgcHJlZ25hbmN5IGxpZmVzdHlsZSBp
bnRlcnZlbnRpb24gdG8gcHJldmVudCBnZXN0YXRpb25hbCBkaWFiZXRlcyByaXNrIGZhY3RvcnMg
aW4gb3ZlcndlaWdodCBIaXNwYW5pYyB3b21lbjogYSBmZWFzaWJpbGl0eSByYW5kb21pemVkIGNv
bnRyb2xsZWQgdHJpYWw8L3RpdGxlPjxzZWNvbmRhcnktdGl0bGU+RGlhYmV0IE1lZDwvc2Vjb25k
YXJ5LXRpdGxlPjwvdGl0bGVzPjxwZXJpb2RpY2FsPjxmdWxsLXRpdGxlPkRpYWJldCBNZWQ8L2Z1
bGwtdGl0bGU+PC9wZXJpb2RpY2FsPjxwYWdlcz4xMDgtMTU8L3BhZ2VzPjx2b2x1bWU+MzI8L3Zv
bHVtZT48bnVtYmVyPjE8L251bWJlcj48ZWRpdGlvbj4yMDE0LzEwLzE0PC9lZGl0aW9uPjxrZXl3
b3Jkcz48a2V5d29yZD5BZHVsdDwva2V5d29yZD48a2V5d29yZD5CaXJ0aCBXZWlnaHQ8L2tleXdv
cmQ+PGtleXdvcmQ+RGlhYmV0ZXMsIEdlc3RhdGlvbmFsLypwcmV2ZW50aW9uICZhbXA7IGNvbnRy
b2w8L2tleXdvcmQ+PGtleXdvcmQ+RGlldDwva2V5d29yZD48a2V5d29yZD5FeGVyY2lzZTwva2V5
d29yZD48a2V5d29yZD5GZWFzaWJpbGl0eSBTdHVkaWVzPC9rZXl3b3JkPjxrZXl3b3JkPkZlZWRp
bmcgQmVoYXZpb3I8L2tleXdvcmQ+PGtleXdvcmQ+RmVtYWxlPC9rZXl3b3JkPjxrZXl3b3JkPkhp
c3BhbmljIEFtZXJpY2Fucy8qc3RhdGlzdGljcyAmYW1wOyBudW1lcmljYWwgZGF0YTwva2V5d29y
ZD48a2V5d29yZD5IdW1hbnM8L2tleXdvcmQ+PGtleXdvcmQ+SW5mYW50LCBOZXdib3JuPC9rZXl3
b3JkPjxrZXl3b3JkPk1hbGU8L2tleXdvcmQ+PGtleXdvcmQ+T3ZlcndlaWdodC9jb21wbGljYXRp
b25zLypwcmV2ZW50aW9uICZhbXA7IGNvbnRyb2w8L2tleXdvcmQ+PGtleXdvcmQ+UGF0aWVudCBD
b21wbGlhbmNlPC9rZXl3b3JkPjxrZXl3b3JkPlByZWduYW5jeTwva2V5d29yZD48a2V5d29yZD5Q
cmVuYXRhbCBDYXJlPC9rZXl3b3JkPjxrZXl3b3JkPipQcmltYXJ5IFByZXZlbnRpb248L2tleXdv
cmQ+PGtleXdvcmQ+UmlzayBGYWN0b3JzPC9rZXl3b3JkPjxrZXl3b3JkPipSaXNrIFJlZHVjdGlv
biBCZWhhdmlvcjwva2V5d29yZD48a2V5d29yZD5UcmVhdG1lbnQgT3V0Y29tZTwva2V5d29yZD48
a2V5d29yZD5Vbml0ZWQgU3RhdGVzL2VwaWRlbWlvbG9neTwva2V5d29yZD48a2V5d29yZD5XZWln
aHQgR2Fpbjwva2V5d29yZD48L2tleXdvcmRzPjxkYXRlcz48eWVhcj4yMDE1PC95ZWFyPjxwdWIt
ZGF0ZXM+PGRhdGU+SmFuPC9kYXRlPjwvcHViLWRhdGVzPjwvZGF0ZXM+PGlzYm4+MTQ2NC01NDkx
IChFbGVjdHJvbmljKSYjeEQ7MDc0Mi0zMDcxIChMaW5raW5nKTwvaXNibj48YWNjZXNzaW9uLW51
bT4yNTMwNjkyNTwvYWNjZXNzaW9uLW51bT48dXJscz48cmVsYXRlZC11cmxzPjx1cmw+aHR0cHM6
Ly93d3cubmNiaS5ubG0ubmloLmdvdi9wdWJtZWQvMjUzMDY5MjU8L3VybD48L3JlbGF0ZWQtdXJs
cz48L3VybHM+PGVsZWN0cm9uaWMtcmVzb3VyY2UtbnVtPjEwLjExMTEvZG1lLjEyNjAxPC9lbGVj
dHJvbmljLXJlc291cmNlLW51bT48L3JlY29yZD48L0NpdGU+PENpdGU+PEF1dGhvcj5QZXRyZWxs
YTwvQXV0aG9yPjxZZWFyPjIwMTM8L1llYXI+PFJlY051bT43NTE8L1JlY051bT48cmVjb3JkPjxy
ZWMtbnVtYmVyPjc1MTwvcmVjLW51bWJlcj48Zm9yZWlnbi1rZXlzPjxrZXkgYXBwPSJFTiIgZGIt
aWQ9ImV4dmFzcmZ4MmR0cmFvZXNhc3hwMnN6c3hhMmRmNTAyNTkyeCIgdGltZXN0YW1wPSIxNTQx
NDY3OTMxIj43NTE8L2tleT48a2V5IGFwcD0iRU5XZWIiIGRiLWlkPSIiPjA8L2tleT48L2ZvcmVp
Z24ta2V5cz48cmVmLXR5cGUgbmFtZT0iSm91cm5hbCBBcnRpY2xlIj4xNzwvcmVmLXR5cGU+PGNv
bnRyaWJ1dG9ycz48YXV0aG9ycz48YXV0aG9yPlBldHJlbGxhLCBFLjwvYXV0aG9yPjxhdXRob3I+
TWFsYXZvbHRpLCBNLjwvYXV0aG9yPjxhdXRob3I+QmVydGFyaW5pLCBWLjwvYXV0aG9yPjxhdXRo
b3I+UGlnbmF0dGksIEwuPC9hdXRob3I+PGF1dGhvcj5OZXJpLCBJLjwvYXV0aG9yPjxhdXRob3I+
QmF0dGlzdGluaSwgTi4gQy48L2F1dGhvcj48YXV0aG9yPkZhY2NoaW5ldHRpLCBGLjwvYXV0aG9y
PjwvYXV0aG9ycz48L2NvbnRyaWJ1dG9ycz48dGl0bGVzPjx0aXRsZT5HZXN0YXRpb25hbCB3ZWln
aHQgZ2FpbiBpbiBvdmVyd2VpZ2h0IGFuZCBvYmVzZSB3b21lbiBlbnJvbGxlZCBpbiBhIGhlYWx0
aHkgbGlmZXN0eWxlIGFuZCBlYXRpbmcgaGFiaXRzIHByb2dyYW08L3RpdGxlPjxzZWNvbmRhcnkt
dGl0bGU+SiBNYXRlcm5hbC1GZXRhbCAmYW1wOyBOZW9uYXRhbCBNZWQ8L3NlY29uZGFyeS10aXRs
ZT48L3RpdGxlcz48cGVyaW9kaWNhbD48ZnVsbC10aXRsZT5KIE1hdGVybmFsLUZldGFsICZhbXA7
IE5lb25hdGFsIE1lZDwvZnVsbC10aXRsZT48L3BlcmlvZGljYWw+PHBhZ2VzPjEzNDgtMTM1Mjwv
cGFnZXM+PHZvbHVtZT4yNzwvdm9sdW1lPjxudW1iZXI+MTM8L251bWJlcj48c2VjdGlvbj4xMzQ4
PC9zZWN0aW9uPjxkYXRlcz48eWVhcj4yMDEzPC95ZWFyPjwvZGF0ZXM+PGlzYm4+MTQ3Ni03MDU4
JiN4RDsxNDc2LTQ5NTQ8L2lzYm4+PHVybHM+PC91cmxzPjxlbGVjdHJvbmljLXJlc291cmNlLW51
bT4xMC4zMTA5LzE0NzY3MDU4LjIwMTMuODU4MzE4PC9lbGVjdHJvbmljLXJlc291cmNlLW51bT48
L3JlY29yZD48L0NpdGU+PENpdGU+PEF1dGhvcj5QaGVsYW48L0F1dGhvcj48WWVhcj4yMDExPC9Z
ZWFyPjxSZWNOdW0+NzA1PC9SZWNOdW0+PHJlY29yZD48cmVjLW51bWJlcj43MDU8L3JlYy1udW1i
ZXI+PGZvcmVpZ24ta2V5cz48a2V5IGFwcD0iRU4iIGRiLWlkPSJleHZhc3JmeDJkdHJhb2VzYXN4
cDJzenN4YTJkZjUwMjU5MngiIHRpbWVzdGFtcD0iMTU0MDUzMDYzNiI+NzA1PC9rZXk+PC9mb3Jl
aWduLWtleXM+PHJlZi10eXBlIG5hbWU9IkpvdXJuYWwgQXJ0aWNsZSI+MTc8L3JlZi10eXBlPjxj
b250cmlidXRvcnM+PGF1dGhvcnM+PGF1dGhvcj5QaGVsYW4sIFMuPC9hdXRob3I+PGF1dGhvcj5Q
aGlwcHMsIE0uIEcuPC9hdXRob3I+PGF1dGhvcj5BYnJhbXMsIEIuPC9hdXRob3I+PGF1dGhvcj5E
YXJyb2NoLCBGLjwvYXV0aG9yPjxhdXRob3I+U2NoYWZmbmVyLCBBLjwvYXV0aG9yPjxhdXRob3I+
V2luZywgUi4gUi48L2F1dGhvcj48L2F1dGhvcnM+PC9jb250cmlidXRvcnM+PGF1dGgtYWRkcmVz
cz5EZXBhcnRtZW50cyBvZiBLaW5lc2lvbG9neSwgQ2FsaWZvcm5pYSBQb2x5dGVjaG5pYyBTdGF0
ZSBVbml2ZXJzaXR5LCBTYW4gTHVpcyBPYmlzcG8sIDkzNDA3LTAzODYsIFVTQS4gc3BoZWxhbkBj
YWxwb2x5LmVkdTwvYXV0aC1hZGRyZXNzPjx0aXRsZXM+PHRpdGxlPlJhbmRvbWl6ZWQgdHJpYWwg
b2YgYSBiZWhhdmlvcmFsIGludGVydmVudGlvbiB0byBwcmV2ZW50IGV4Y2Vzc2l2ZSBnZXN0YXRp
b25hbCB3ZWlnaHQgZ2FpbjogdGhlIEZpdCBmb3IgRGVsaXZlcnkgU3R1ZHk8L3RpdGxlPjxzZWNv
bmRhcnktdGl0bGU+QW0gSiBDbGluIE51dHI8L3NlY29uZGFyeS10aXRsZT48L3RpdGxlcz48cGVy
aW9kaWNhbD48ZnVsbC10aXRsZT5BbSBKIENsaW4gTnV0cjwvZnVsbC10aXRsZT48L3BlcmlvZGlj
YWw+PHBhZ2VzPjc3Mi05PC9wYWdlcz48dm9sdW1lPjkzPC92b2x1bWU+PG51bWJlcj40PC9udW1i
ZXI+PGVkaXRpb24+MjAxMS8wMi8xMjwvZWRpdGlvbj48a2V5d29yZHM+PGtleXdvcmQ+QWR1bHQ8
L2tleXdvcmQ+PGtleXdvcmQ+QmVoYXZpb3I8L2tleXdvcmQ+PGtleXdvcmQ+KkJlaGF2aW9yIFRo
ZXJhcHk8L2tleXdvcmQ+PGtleXdvcmQ+KkRpZXQ8L2tleXdvcmQ+PGtleXdvcmQ+KkV4ZXJjaXNl
PC9rZXl3b3JkPjxrZXl3b3JkPkZlbWFsZTwva2V5d29yZD48a2V5d29yZD4qSGVhbHRoIFByb21v
dGlvbjwva2V5d29yZD48a2V5d29yZD5IdW1hbnM8L2tleXdvcmQ+PGtleXdvcmQ+SW50ZW50aW9u
IHRvIFRyZWF0IEFuYWx5c2lzPC9rZXl3b3JkPjxrZXl3b3JkPk9iZXNpdHkvY29tcGxpY2F0aW9u
cy9lcGlkZW1pb2xvZ3kvKnByZXZlbnRpb24gJmFtcDsgY29udHJvbDwva2V5d29yZD48a2V5d29y
ZD5Qb3N0cGFydHVtIFBlcmlvZDwva2V5d29yZD48a2V5d29yZD5QcmVnbmFuY3k8L2tleXdvcmQ+
PGtleXdvcmQ+UHJlZ25hbmN5IENvbXBsaWNhdGlvbnMvKnByZXZlbnRpb24gJmFtcDsgY29udHJv
bDwva2V5d29yZD48a2V5d29yZD5QcmV2YWxlbmNlPC9rZXl3b3JkPjxrZXl3b3JkPlJlZmVyZW5j
ZSBWYWx1ZXM8L2tleXdvcmQ+PGtleXdvcmQ+U2luZ2xlLUJsaW5kIE1ldGhvZDwva2V5d29yZD48
a2V5d29yZD5TdGFuZGFyZCBvZiBDYXJlPC9rZXl3b3JkPjxrZXl3b3JkPlRyZWF0bWVudCBPdXRj
b21lPC9rZXl3b3JkPjxrZXl3b3JkPipXZWlnaHQgR2Fpbjwva2V5d29yZD48a2V5d29yZD5Zb3Vu
ZyBBZHVsdDwva2V5d29yZD48L2tleXdvcmRzPjxkYXRlcz48eWVhcj4yMDExPC95ZWFyPjxwdWIt
ZGF0ZXM+PGRhdGU+QXByPC9kYXRlPjwvcHViLWRhdGVzPjwvZGF0ZXM+PGlzYm4+MTkzOC0zMjA3
IChFbGVjdHJvbmljKSYjeEQ7MDAwMi05MTY1IChMaW5raW5nKTwvaXNibj48YWNjZXNzaW9uLW51
bT4yMTMxMDgzNjwvYWNjZXNzaW9uLW51bT48dXJscz48cmVsYXRlZC11cmxzPjx1cmw+aHR0cHM6
Ly93d3cubmNiaS5ubG0ubmloLmdvdi9wdWJtZWQvMjEzMTA4MzY8L3VybD48L3JlbGF0ZWQtdXJs
cz48L3VybHM+PGN1c3RvbTI+UE1DMzA1NzU0NjwvY3VzdG9tMj48ZWxlY3Ryb25pYy1yZXNvdXJj
ZS1udW0+MTAuMzk0NS9hamNuLjExMC4wMDUzMDY8L2VsZWN0cm9uaWMtcmVzb3VyY2UtbnVtPjwv
cmVjb3JkPjwvQ2l0ZT48Q2l0ZT48QXV0aG9yPlBvc3RvbjwvQXV0aG9yPjxZZWFyPjIwMTU8L1ll
YXI+PFJlY051bT42MTI8L1JlY051bT48cmVjb3JkPjxyZWMtbnVtYmVyPjYxMjwvcmVjLW51bWJl
cj48Zm9yZWlnbi1rZXlzPjxrZXkgYXBwPSJFTiIgZGItaWQ9ImV4dmFzcmZ4MmR0cmFvZXNhc3hw
MnN6c3hhMmRmNTAyNTkyeCIgdGltZXN0YW1wPSIxNTM5MDQ4MzQ4Ij42MTI8L2tleT48a2V5IGFw
cD0iRU5XZWIiIGRiLWlkPSIiPjA8L2tleT48L2ZvcmVpZ24ta2V5cz48cmVmLXR5cGUgbmFtZT0i
Sm91cm5hbCBBcnRpY2xlIj4xNzwvcmVmLXR5cGU+PGNvbnRyaWJ1dG9ycz48YXV0aG9ycz48YXV0
aG9yPlBvc3RvbiwgTC4sPC9hdXRob3I+PGF1dGhvcj5CZWxsLCBSLiw8L2F1dGhvcj48YXV0aG9y
PkNyb2tlciwgSC4sPC9hdXRob3I+PGF1dGhvcj5GbHlubiwgQS5DLiw8L2F1dGhvcj48YXV0aG9y
PkdvZGZyZXksIEsuTS4sPC9hdXRob3I+PGF1dGhvcj5Hb2ZmLCBMLiw8L2F1dGhvcj48L2F1dGhv
cnM+PC9jb250cmlidXRvcnM+PHRpdGxlcz48dGl0bGU+RWZmZWN0IG9mIGEgYmVoYXZpb3VyYWwg
aW50ZXJ2ZW50aW9uIGluIG9iZXNlIHByZWduYW50IHdvbWVuICh0aGUgVVBCRUFUIHN0dWR5KTog
YSBtdWx0aWNlbnRyZSwgcmFuZG9taXNlZCBjb250cm9sbGVkIHRyaWFsPC90aXRsZT48c2Vjb25k
YXJ5LXRpdGxlPlRoZSBMYW5jZXQgRGlhYmV0ZXMgJmFtcDsgRW5kb2NyaW5vbG9neTwvc2Vjb25k
YXJ5LXRpdGxlPjwvdGl0bGVzPjxwZXJpb2RpY2FsPjxmdWxsLXRpdGxlPlRoZSBMYW5jZXQgRGlh
YmV0ZXMgJmFtcDsgRW5kb2NyaW5vbG9neTwvZnVsbC10aXRsZT48L3BlcmlvZGljYWw+PHBhZ2Vz
Pjc2Ny03Nzc8L3BhZ2VzPjx2b2x1bWU+Mzwvdm9sdW1lPjxudW1iZXI+MTA8L251bWJlcj48c2Vj
dGlvbj43Njc8L3NlY3Rpb24+PGRhdGVzPjx5ZWFyPjIwMTU8L3llYXI+PC9kYXRlcz48aXNibj4y
MjEzODU4NzwvaXNibj48dXJscz48L3VybHM+PGVsZWN0cm9uaWMtcmVzb3VyY2UtbnVtPjEwLjEw
MTYvczIyMTMtODU4NygxNSkwMDIyNy0yPC9lbGVjdHJvbmljLXJlc291cmNlLW51bT48L3JlY29y
ZD48L0NpdGU+PENpdGU+PEF1dGhvcj5SZW5hdWx0PC9BdXRob3I+PFllYXI+MjAxNDwvWWVhcj48
UmVjTnVtPjkzNzwvUmVjTnVtPjxyZWNvcmQ+PHJlYy1udW1iZXI+OTM3PC9yZWMtbnVtYmVyPjxm
b3JlaWduLWtleXM+PGtleSBhcHA9IkVOIiBkYi1pZD0iZXh2YXNyZngyZHRyYW9lc2FzeHAyc3pz
eGEyZGY1MDI1OTJ4IiB0aW1lc3RhbXA9IjE1NDE1NDE4MTQiPjkzNzwva2V5PjxrZXkgYXBwPSJF
TldlYiIgZGItaWQ9IiI+MDwva2V5PjwvZm9yZWlnbi1rZXlzPjxyZWYtdHlwZSBuYW1lPSJKb3Vy
bmFsIEFydGljbGUiPjE3PC9yZWYtdHlwZT48Y29udHJpYnV0b3JzPjxhdXRob3JzPjxhdXRob3I+
UmVuYXVsdCwgSy4gTS48L2F1dGhvcj48YXV0aG9yPk5vcmdhYXJkLCBLLjwvYXV0aG9yPjxhdXRo
b3I+TmlsYXMsIEwuPC9hdXRob3I+PGF1dGhvcj5DYXJsc2VuLCBFLiBNLjwvYXV0aG9yPjxhdXRo
b3I+Q29ydGVzLCBELjwvYXV0aG9yPjxhdXRob3I+UHJ5ZHMsIE8uPC9hdXRob3I+PGF1dGhvcj5T
ZWNoZXIsIE4uIEouPC9hdXRob3I+PC9hdXRob3JzPjwvY29udHJpYnV0b3JzPjxhdXRoLWFkZHJl
c3M+RGVwYXJ0bWVudCBvZiBPYnN0ZXRyaWNzIGFuZCBHeW5lY29sb2d5LCBIdmlkb3ZyZSBIb3Nw
aXRhbCwgVW5pdmVyc2l0eSBvZiBDb3BlbmhhZ2VuLCBIdmlkb3ZyZSwgRGVubWFyay4gRWxlY3Ry
b25pYyBhZGRyZXNzOiBLcmVuYXVsdEBkYWRsbmV0LmRrLiYjeEQ7RGVwYXJ0bWVudCBvZiBFbmRv
Y3Jpbm9sb2d5LCBIdmlkb3ZyZSBIb3NwaXRhbCwgVW5pdmVyc2l0eSBvZiBDb3BlbmhhZ2VuLCBI
dmlkb3ZyZSwgRGVubWFyay4mI3hEO0RlcGFydG1lbnQgb2YgT2JzdGV0cmljcyBhbmQgR3luZWNv
bG9neSwgSHZpZG92cmUgSG9zcGl0YWwsIFVuaXZlcnNpdHkgb2YgQ29wZW5oYWdlbiwgSHZpZG92
cmUsIERlbm1hcmsuJiN4RDtEZXBhcnRtZW50IG9mIFBlZGlhdHJpY3MsIEh2aWRvdnJlIEhvc3Bp
dGFsLCBVbml2ZXJzaXR5IG9mIENvcGVuaGFnZW4sIEh2aWRvdnJlLCBEZW5tYXJrLjwvYXV0aC1h
ZGRyZXNzPjx0aXRsZXM+PHRpdGxlPlRoZSBUcmVhdG1lbnQgb2YgT2Jlc2UgUHJlZ25hbnQgV29t
ZW4gKFRPUCkgc3R1ZHk6IGEgcmFuZG9taXplZCBjb250cm9sbGVkIHRyaWFsIG9mIHRoZSBlZmZl
Y3Qgb2YgcGh5c2ljYWwgYWN0aXZpdHkgaW50ZXJ2ZW50aW9uIGFzc2Vzc2VkIGJ5IHBlZG9tZXRl
ciB3aXRoIG9yIHdpdGhvdXQgZGlldGFyeSBpbnRlcnZlbnRpb24gaW4gb2Jlc2UgcHJlZ25hbnQg
d29tZW48L3RpdGxlPjxzZWNvbmRhcnktdGl0bGU+QW0gSiBPYnN0ZXQgR3luZWNvbDwvc2Vjb25k
YXJ5LXRpdGxlPjwvdGl0bGVzPjxwZXJpb2RpY2FsPjxmdWxsLXRpdGxlPkFtIEogT2JzdGV0IEd5
bmVjb2w8L2Z1bGwtdGl0bGU+PC9wZXJpb2RpY2FsPjxwYWdlcz4xMzQgZTEtOTwvcGFnZXM+PHZv
bHVtZT4yMTA8L3ZvbHVtZT48bnVtYmVyPjI8L251bWJlcj48ZWRpdGlvbj4yMDEzLzA5LzI2PC9l
ZGl0aW9uPjxrZXl3b3Jkcz48a2V5d29yZD5BY3RpZ3JhcGh5PC9rZXl3b3JkPjxrZXl3b3JkPkFk
dWx0PC9rZXl3b3JkPjxrZXl3b3JkPkNvbWJpbmVkIE1vZGFsaXR5IFRoZXJhcHk8L2tleXdvcmQ+
PGtleXdvcmQ+RGlldCwgTWVkaXRlcnJhbmVhbjwva2V5d29yZD48a2V5d29yZD5FbmVyZ3kgSW50
YWtlPC9rZXl3b3JkPjxrZXl3b3JkPipFeGVyY2lzZTwva2V5d29yZD48a2V5d29yZD5GZW1hbGU8
L2tleXdvcmQ+PGtleXdvcmQ+SHVtYW5zPC9rZXl3b3JkPjxrZXl3b3JkPk9iZXNpdHkvZGlldCB0
aGVyYXB5Lyp0aGVyYXB5PC9rZXl3b3JkPjxrZXl3b3JkPlByZWduYW5jeTwva2V5d29yZD48a2V5
d29yZD5QcmVnbmFuY3kgQ29tcGxpY2F0aW9ucy9kaWV0IHRoZXJhcHkvKnRoZXJhcHk8L2tleXdv
cmQ+PGtleXdvcmQ+ZGlldDwva2V5d29yZD48a2V5d29yZD5pbnRlcnZlbnRpb248L2tleXdvcmQ+
PGtleXdvcmQ+b2Jlc2l0eTwva2V5d29yZD48a2V5d29yZD5wZWRvbWV0ZXI8L2tleXdvcmQ+PGtl
eXdvcmQ+cGh5c2ljYWwgYWN0aXZpdHk8L2tleXdvcmQ+PC9rZXl3b3Jkcz48ZGF0ZXM+PHllYXI+
MjAxNDwveWVhcj48cHViLWRhdGVzPjxkYXRlPkZlYjwvZGF0ZT48L3B1Yi1kYXRlcz48L2RhdGVz
Pjxpc2JuPjEwOTctNjg2OCAoRWxlY3Ryb25pYykmI3hEOzAwMDItOTM3OCAoTGlua2luZyk8L2lz
Ym4+PGFjY2Vzc2lvbi1udW0+MjQwNjA0NDk8L2FjY2Vzc2lvbi1udW0+PHVybHM+PHJlbGF0ZWQt
dXJscz48dXJsPmh0dHBzOi8vd3d3Lm5jYmkubmxtLm5paC5nb3YvcHVibWVkLzI0MDYwNDQ5PC91
cmw+PC9yZWxhdGVkLXVybHM+PC91cmxzPjxlbGVjdHJvbmljLXJlc291cmNlLW51bT4xMC4xMDE2
L2ouYWpvZy4yMDEzLjA5LjAyOTwvZWxlY3Ryb25pYy1yZXNvdXJjZS1udW0+PC9yZWNvcmQ+PC9D
aXRlPjxDaXRlPjxBdXRob3I+U2ltbW9uczwvQXV0aG9yPjxZZWFyPjIwMTc8L1llYXI+PFJlY051
bT4xMDU3PC9SZWNOdW0+PHJlY29yZD48cmVjLW51bWJlcj4xMDU3PC9yZWMtbnVtYmVyPjxmb3Jl
aWduLWtleXM+PGtleSBhcHA9IkVOIiBkYi1pZD0iZXh2YXNyZngyZHRyYW9lc2FzeHAyc3pzeGEy
ZGY1MDI1OTJ4IiB0aW1lc3RhbXA9IjE1NDg5ODM0NzYiPjEwNTc8L2tleT48L2ZvcmVpZ24ta2V5
cz48cmVmLXR5cGUgbmFtZT0iSm91cm5hbCBBcnRpY2xlIj4xNzwvcmVmLXR5cGU+PGNvbnRyaWJ1
dG9ycz48YXV0aG9ycz48YXV0aG9yPlNpbW1vbnMsIEQuPC9hdXRob3I+PGF1dGhvcj5EZXZsaWVn
ZXIsIFIuPC9hdXRob3I+PGF1dGhvcj52YW4gQXNzY2hlLCBBLjwvYXV0aG9yPjxhdXRob3I+SmFu
cywgRy48L2F1dGhvcj48YXV0aG9yPkdhbGphYXJkLCBTLjwvYXV0aG9yPjxhdXRob3I+Q29yY295
LCBSLjwvYXV0aG9yPjxhdXRob3I+QWRlbGFudGFkbywgSi4gTS48L2F1dGhvcj48YXV0aG9yPkR1
bm5lLCBGLjwvYXV0aG9yPjxhdXRob3I+RGVzb3llLCBHLjwvYXV0aG9yPjxhdXRob3I+SGFycmVp
dGVyLCBKLjwvYXV0aG9yPjxhdXRob3I+S2F1dHpreS1XaWxsZXIsIEEuPC9hdXRob3I+PGF1dGhv
cj5EYW1tLCBQLjwvYXV0aG9yPjxhdXRob3I+TWF0aGllc2VuLCBFLiBSLjwvYXV0aG9yPjxhdXRo
b3I+SmVuc2VuLCBELiBNLjwvYXV0aG9yPjxhdXRob3I+QW5kZXJzZW4sIEwuPC9hdXRob3I+PGF1
dGhvcj5MYXBvbGxhLCBBLjwvYXV0aG9yPjxhdXRob3I+RGFsZnJhLCBNLiBHLjwvYXV0aG9yPjxh
dXRob3I+QmVydG9sb3R0bywgQS48L2F1dGhvcj48YXV0aG9yPldlbmRlci1PemVnb3dza2EsIEUu
PC9hdXRob3I+PGF1dGhvcj5aYXdpZWpza2EsIEEuPC9hdXRob3I+PGF1dGhvcj5IaWxsLCBELjwv
YXV0aG9yPjxhdXRob3I+U25vZWssIEYuIEouPC9hdXRob3I+PGF1dGhvcj5KZWxzbWEsIEouIEcu
PC9hdXRob3I+PGF1dGhvcj52YW4gUG9wcGVsLCBNLiBOLjwvYXV0aG9yPjwvYXV0aG9ycz48L2Nv
bnRyaWJ1dG9ycz48YXV0aC1hZGRyZXNzPldlc3Rlcm4gU3lkbmV5IFVuaXZlcnNpdHksIENhbXBi
ZWxsdG93biwgTmV3IFNvdXRoIFdhbGVzIDI1NjAsIEF1c3RyYWxpYS4mI3hEO0luc3RpdHV0ZSBv
ZiBNZXRhYm9saWMgU2NpZW5jZSwgQWRkZW5icm9va2UmYXBvcztzIEhvc3BpdGFsLCBDYW1icmlk
Z2UsIENCMiAwUVEgRW5nbGFuZC4mI3hEO0RlcGFydG1lbnQgb2YgRGV2ZWxvcG1lbnQgYW5kIFJl
Z2VuZXJhdGlvbjogUHJlZ25hbmN5LCBGZXR1cyBhbmQgTmVvbmF0ZSwgR3luYWVjb2xvZ3kgYW5k
IE9ic3RldHJpY3MsIFVuaXZlcnNpdHkgSG9zcGl0YWxzLCBLYXRob2xpZWtlIFVuaXZlcnNpdGVp
dCBMZXV2ZW4sIExldXZlbiwgQmVsZ2l1bS4mI3hEO0RpdmlzaW9uIG9mIE9ic3RldHJpY3MgYW5k
IFByZW5hdGFsIE1lZGljaW5lLCBEZXBhcnRtZW50IG9mIE9ic3RldHJpY3MgYW5kIEd5bmFlY29s
b2d5LCBFcmFzbXVzIFVuaXZlcnNpdHkgTWVkaWNhbCBDZW50ZXIgUm90dGVyZGFtLCBSb3R0ZXJk
YW0sIFRoZSBOZXRoZXJsYW5kcy4mI3hEO0luc3RpdHV0IGRlIFJlY2VyY2EgZGUgbCBIb3NwaXRh
bCBkZSBsYSBTYW50YSBDcmV1IGkgU2FudCBQYXUsIEJhcmNlbG9uYSwgU3BhaW4uJiN4RDtDSUJF
UiBCaW9lbmdpbmVlcmluZywgQmlvbWF0ZXJpYWxzIGFuZCBOYW5vdGVjaG5vbG9neSwgSW5zdGl0
dXRvIGRlIFNhbHVkIENhcmxvcyBJSUksIFphcmFnb3phLCBTcGFpbi4mI3hEO0dhbHdheSBEaWFi
ZXRlcyBSZXNlYXJjaCBDZW50cmUgYW5kIENvbGxlZ2Ugb2YgTWVkaWNpbmUgTnVyc2luZyBhbmQg
SGVhbHRoIFNjaWVuY2VzLCBOYXRpb25hbCBVbml2ZXJzaXR5IG9mIElyZWxhbmQsIEdhbHdheSwg
SXJlbGFuZC4mI3hEO0RlcGFydG1lbnQgb2YgT2JzdGV0cmljcyBhbmQgR3luZWNvbG9neSwgTWVk
aXppbmlzY2hlIFVuaXZlcnNpdGFldCBHcmF6LCBHcmF6LCBBdXN0cmlhLiYjeEQ7R2VuZGVyIE1l
ZGljaW5lIFVuaXQsIEVuZG9jcmlub2xvZ3kgYW5kIE1ldGFib2xpc20sIERlcGFydG1lbnQgb2Yg
SW50ZXJuYWwgTWVkaWNpbmUgSUlJLCBNZWRpY2FsIFVuaXZlcnNpdHkgb2YgVmllbm5hLCBWaWVu
bmEsIEF1c3RyaWEuJiN4RDtDZW50ZXIgZm9yIFByZWduYW50IFdvbWVuIHdpdGggRGlhYmV0ZXMs
IERlcGFydG1lbnRzIG9mIEVuZG9jcmlub2xvZ3kgYW5kIE9ic3RldHJpY3MsIFJpZ3Nob3NwaXRh
bGV0LCBJbnN0aXR1dGUgb2YgQ2xpbmljYWwgTWVkaWNpbmUsIEZhY3VsdHkgb2YgSGVhbHRoIGFu
ZCBNZWRpY2FsIFNjaWVuY2VzLCBVbml2ZXJzaXR5IG9mIENvcGVuaGFnZW4sIENvcGVuaGFnZW4s
IERlbm1hcmsuJiN4RDtEZXBhcnRtZW50IG9mIEVuZG9jcmlub2xvZ3kgYW5kIERlcGFydG1lbnQg
b2YgR3luZWNvbG9neSBhbmQgT2JzdGV0cmljcywgT2RlbnNlIFVuaXZlcnNpdHkgSG9zcGl0YWws
IE9kZW5zZSwgRGVubWFyay4mI3hEO0RlcGFydG1lbnQgb2YgQ2xpbmljYWwgUmVzZWFyY2gsIEZh
Y3VsdHkgb2YgSGVhbHRoIFNjaWVuY2VzLCBVbml2ZXJzaXR5IG9mIFNvdXRoZXJuIERlbm1hcmss
IE9kZW5zZSwgRGVubWFyay4mI3hEO1VuaXZlcnNpdGEgRGVnbGkgU3R1ZGkgZGkgUGFkb3ZhLCBQ
YWR1YSwgSXRhbHkuJiN4RDtBemllbmRhIE9zcGVkYWxpZXJvIFVuaXZlcnNpdGFyaWEtUGlzYSwg
UGlzYSBJdGFseS4mI3hEO01lZGljYWwgRmFjdWx0eSBJLCBQb3puYW4gVW5pdmVyc2l0eSBvZiBN
ZWRpY2FsIFNjaWVuY2VzLCBQb3puYW4sIFBvbGFuZC4mI3hEO1JlY2hlcmNoZSBlbiBTYW50ZSBM
YXdzb24gU0EsIEJyb25zY2hob2ZlbiwgU3dpdHplcmxhbmQuJiN4RDtEZXBhcnRtZW50IG9mIE1l
ZGljYWwgUHN5Y2hvbG9neSwgRU1HTysgSW5zdGl0dXRlIGZvciBIZWFsdGggYW5kIENhcmUgUmVz
ZWFyY2gsIFZVIFVuaXZlcnNpdHkgTWVkaWNhbCBDZW50cmUsIEFtc3RlcmRhbSwgVGhlIE5ldGhl
cmxhbmRzLiYjeEQ7RGVwYXJ0bWVudCBvZiBNZWRpY2FsIFBzeWNob2xvZ3ksIEFjYWRlbWljIE1l
ZGljYWwgQ2VudHJlLCBBbXN0ZXJkYW0sIFRoZSBOZXRoZXJsYW5kcy4mI3hEO0RlcGFydG1lbnQg
b2YgUHVibGljIGFuZCBPY2N1cGF0aW9uYWwgSGVhbHRoLCBFTUdPKyBJbnN0aXR1dGUgZm9yIEhl
YWx0aCBhbmQgQ2FyZSBSZXNlYXJjaCwgVlUgVW5pdmVyc2l0eSBNZWRpY2FsIENlbnRyZSwgQW1z
dGVyZGFtLCBUaGUgTmV0aGVybGFuZHM7IGFuZC4mI3hEO0luc3RpdHV0ZSBvZiBTcG9ydCBTY2ll
bmNlLCBVbml2ZXJzaXR5IG9mIEdyYXosIEdyYXosIEF1c3RyaWEuPC9hdXRoLWFkZHJlc3M+PHRp
dGxlcz48dGl0bGU+RWZmZWN0IG9mIFBoeXNpY2FsIEFjdGl2aXR5IGFuZC9vciBIZWFsdGh5IEVh
dGluZyBvbiBHRE0gUmlzazogVGhlIERBTEkgTGlmZXN0eWxlIFN0dWR5PC90aXRsZT48c2Vjb25k
YXJ5LXRpdGxlPkogQ2xpbiBFbmRvY3Jpbm9sIE1ldGFiPC9zZWNvbmRhcnktdGl0bGU+PC90aXRs
ZXM+PHBlcmlvZGljYWw+PGZ1bGwtdGl0bGU+SiBDbGluIEVuZG9jcmlub2wgTWV0YWI8L2Z1bGwt
dGl0bGU+PC9wZXJpb2RpY2FsPjxwYWdlcz45MDMtOTEzPC9wYWdlcz48dm9sdW1lPjEwMjwvdm9s
dW1lPjxudW1iZXI+MzwvbnVtYmVyPjxlZGl0aW9uPjIwMTYvMTIvMTA8L2VkaXRpb24+PGRhdGVz
Pjx5ZWFyPjIwMTc8L3llYXI+PHB1Yi1kYXRlcz48ZGF0ZT5NYXIgMTwvZGF0ZT48L3B1Yi1kYXRl
cz48L2RhdGVzPjxpc2JuPjE5NDUtNzE5NyAoRWxlY3Ryb25pYykmI3hEOzAwMjEtOTcyWCAoTGlu
a2luZyk8L2lzYm4+PGFjY2Vzc2lvbi1udW0+Mjc5MzU3Njc8L2FjY2Vzc2lvbi1udW0+PHVybHM+
PHJlbGF0ZWQtdXJscz48dXJsPmh0dHBzOi8vd3d3Lm5jYmkubmxtLm5paC5nb3YvcHVibWVkLzI3
OTM1NzY3PC91cmw+PC9yZWxhdGVkLXVybHM+PC91cmxzPjxjdXN0b20yPlBNQzU0NjA2ODg8L2N1
c3RvbTI+PGVsZWN0cm9uaWMtcmVzb3VyY2UtbnVtPjEwLjEyMTAvamMuMjAxNi0zNDU1PC9lbGVj
dHJvbmljLXJlc291cmNlLW51bT48L3JlY29yZD48L0NpdGU+PENpdGU+PEF1dGhvcj5WZXNjbzwv
QXV0aG9yPjxZZWFyPjIwMTI8L1llYXI+PFJlY051bT4xMTMwPC9SZWNOdW0+PHJlY29yZD48cmVj
LW51bWJlcj4xMTMwPC9yZWMtbnVtYmVyPjxmb3JlaWduLWtleXM+PGtleSBhcHA9IkVOIiBkYi1p
ZD0iZXh2YXNyZngyZHRyYW9lc2FzeHAyc3pzeGEyZGY1MDI1OTJ4IiB0aW1lc3RhbXA9IjE1NTM0
MDg5ODYiPjExMzA8L2tleT48L2ZvcmVpZ24ta2V5cz48cmVmLXR5cGUgbmFtZT0iSm91cm5hbCBB
cnRpY2xlIj4xNzwvcmVmLXR5cGU+PGNvbnRyaWJ1dG9ycz48YXV0aG9ycz48YXV0aG9yPlZlc2Nv
LCBLLiBLLjwvYXV0aG9yPjxhdXRob3I+S2FyYW5qYSwgTi48L2F1dGhvcj48YXV0aG9yPktpbmcs
IEouIEMuPC9hdXRob3I+PGF1dGhvcj5HaWxsbWFuLCBNLiBXLjwvYXV0aG9yPjxhdXRob3I+UGVy
cmluLCBOLjwvYXV0aG9yPjxhdXRob3I+TWNFdm95LCBDLjwvYXV0aG9yPjxhdXRob3I+RWNraGFy
ZHQsIEMuPC9hdXRob3I+PGF1dGhvcj5TbWl0aCwgSy4gUy48L2F1dGhvcj48YXV0aG9yPlN0ZXZl
bnMsIFYuIEouPC9hdXRob3I+PC9hdXRob3JzPjwvY29udHJpYnV0b3JzPjxhdXRoLWFkZHJlc3M+
Q2VudGVyIGZvciBIZWFsdGggUmVzZWFyY2gsIEthaXNlciBQZXJtYW5lbnRlLCBOb3J0aHdlc3Qs
IFBvcnRsYW5kLCBPUiA5NzIyNywgVVNBLiBraW1iZXJseS5rLnZlc2NvQGtwY2hyLm9yZzwvYXV0
aC1hZGRyZXNzPjx0aXRsZXM+PHRpdGxlPkhlYWx0aHkgTW9tcywgYSByYW5kb21pemVkIHRyaWFs
IHRvIHByb21vdGUgYW5kIGV2YWx1YXRlIHdlaWdodCBtYWludGVuYW5jZSBhbW9uZyBvYmVzZSBw
cmVnbmFudCB3b21lbjogc3R1ZHkgZGVzaWduIGFuZCByYXRpb25hbGU8L3RpdGxlPjxzZWNvbmRh
cnktdGl0bGU+Q29udGVtcCBDbGluIFRyaWFsczwvc2Vjb25kYXJ5LXRpdGxlPjwvdGl0bGVzPjxw
ZXJpb2RpY2FsPjxmdWxsLXRpdGxlPkNvbnRlbXAgQ2xpbiBUcmlhbHM8L2Z1bGwtdGl0bGU+PC9w
ZXJpb2RpY2FsPjxwYWdlcz43NzctODU8L3BhZ2VzPjx2b2x1bWU+MzM8L3ZvbHVtZT48bnVtYmVy
PjQ8L251bWJlcj48ZWRpdGlvbj4yMDEyLzA0LzAzPC9lZGl0aW9uPjxrZXl3b3Jkcz48a2V5d29y
ZD5BZG9sZXNjZW50PC9rZXl3b3JkPjxrZXl3b3JkPkFkdWx0PC9rZXl3b3JkPjxrZXl3b3JkPkJp
cnRoIFdlaWdodDwva2V5d29yZD48a2V5d29yZD5DbGluaWNhbCBQcm90b2NvbHM8L2tleXdvcmQ+
PGtleXdvcmQ+Q29tYmluZWQgTW9kYWxpdHkgVGhlcmFweTwva2V5d29yZD48a2V5d29yZD5EaWV0
IFRoZXJhcHkvKm1ldGhvZHM8L2tleXdvcmQ+PGtleXdvcmQ+RXhlcmNpc2UgVGhlcmFweS8qbWV0
aG9kczwva2V5d29yZD48a2V5d29yZD5GZWFzaWJpbGl0eSBTdHVkaWVzPC9rZXl3b3JkPjxrZXl3
b3JkPkZlbWFsZTwva2V5d29yZD48a2V5d29yZD5IdW1hbnM8L2tleXdvcmQ+PGtleXdvcmQ+SW5m
YW50LCBOZXdib3JuPC9rZXl3b3JkPjxrZXl3b3JkPkludGVudGlvbiB0byBUcmVhdCBBbmFseXNp
czwva2V5d29yZD48a2V5d29yZD5Mb2dpc3RpYyBNb2RlbHM8L2tleXdvcmQ+PGtleXdvcmQ+T2Jl
c2l0eS8qdGhlcmFweTwva2V5d29yZD48a2V5d29yZD5QcmVnbmFuY3k8L2tleXdvcmQ+PGtleXdv
cmQ+UHJlZ25hbmN5IENvbXBsaWNhdGlvbnMvKnRoZXJhcHk8L2tleXdvcmQ+PGtleXdvcmQ+UHN5
Y2hvdGhlcmFweSwgR3JvdXAvKm1ldGhvZHM8L2tleXdvcmQ+PGtleXdvcmQ+UmVzZWFyY2ggRGVz
aWduPC9rZXl3b3JkPjxrZXl3b3JkPlRyZWF0bWVudCBPdXRjb21lPC9rZXl3b3JkPjxrZXl3b3Jk
PldlaWdodCBHYWluPC9rZXl3b3JkPjxrZXl3b3JkPllvdW5nIEFkdWx0PC9rZXl3b3JkPjwva2V5
d29yZHM+PGRhdGVzPjx5ZWFyPjIwMTI8L3llYXI+PHB1Yi1kYXRlcz48ZGF0ZT5KdWw8L2RhdGU+
PC9wdWItZGF0ZXM+PC9kYXRlcz48aXNibj4xNTU5LTIwMzAgKEVsZWN0cm9uaWMpJiN4RDsxNTUx
LTcxNDQgKExpbmtpbmcpPC9pc2JuPjxhY2Nlc3Npb24tbnVtPjIyNDY1MjU2PC9hY2Nlc3Npb24t
bnVtPjx1cmxzPjxyZWxhdGVkLXVybHM+PHVybD5odHRwczovL3d3dy5uY2JpLm5sbS5uaWguZ292
L3B1Ym1lZC8yMjQ2NTI1NjwvdXJsPjwvcmVsYXRlZC11cmxzPjwvdXJscz48Y3VzdG9tMj5QTUMz
MzYxNTE5PC9jdXN0b20yPjxlbGVjdHJvbmljLXJlc291cmNlLW51bT4xMC4xMDE2L2ouY2N0LjIw
MTIuMDMuMDA2PC9lbGVjdHJvbmljLXJlc291cmNlLW51bT48L3JlY29yZD48L0NpdGU+PENpdGU+
PEF1dGhvcj5WaW50ZXI8L0F1dGhvcj48WWVhcj4yMDExPC9ZZWFyPjxSZWNOdW0+MTExMTwvUmVj
TnVtPjxyZWNvcmQ+PHJlYy1udW1iZXI+MTExMTwvcmVjLW51bWJlcj48Zm9yZWlnbi1rZXlzPjxr
ZXkgYXBwPSJFTiIgZGItaWQ9ImV4dmFzcmZ4MmR0cmFvZXNhc3hwMnN6c3hhMmRmNTAyNTkyeCIg
dGltZXN0YW1wPSIxNTUyOTQ4NjE3Ij4xMTExPC9rZXk+PC9mb3JlaWduLWtleXM+PHJlZi10eXBl
IG5hbWU9IkpvdXJuYWwgQXJ0aWNsZSI+MTc8L3JlZi10eXBlPjxjb250cmlidXRvcnM+PGF1dGhv
cnM+PGF1dGhvcj5WaW50ZXIsIEMuIEEuPC9hdXRob3I+PGF1dGhvcj5KZW5zZW4sIEQuIE0uPC9h
dXRob3I+PGF1dGhvcj5PdmVzZW4sIFAuPC9hdXRob3I+PGF1dGhvcj5CZWNrLU5pZWxzZW4sIEgu
PC9hdXRob3I+PGF1dGhvcj5Kb3JnZW5zZW4sIEouIFMuPC9hdXRob3I+PC9hdXRob3JzPjwvY29u
dHJpYnV0b3JzPjxhdXRoLWFkZHJlc3M+RGVwYXJ0bWVudCBvZiBHeW5lY29sb2d5IGFuZCBPYnN0
ZXRyaWNzLCBPZGVuc2UgVW5pdmVyc2l0eSBIb3NwaXRhbCwgT2RlbnNlLCBEZW5tYXJrLiBjLnZp
bnRlckBkYWRsbmV0LmRrPC9hdXRoLWFkZHJlc3M+PHRpdGxlcz48dGl0bGU+VGhlIExpUCAoTGlm
ZXN0eWxlIGluIFByZWduYW5jeSkgc3R1ZHk6IGEgcmFuZG9taXplZCBjb250cm9sbGVkIHRyaWFs
IG9mIGxpZmVzdHlsZSBpbnRlcnZlbnRpb24gaW4gMzYwIG9iZXNlIHByZWduYW50IHdvbWVuPC90
aXRsZT48c2Vjb25kYXJ5LXRpdGxlPkRpYWJldGVzIENhcmU8L3NlY29uZGFyeS10aXRsZT48L3Rp
dGxlcz48cGVyaW9kaWNhbD48ZnVsbC10aXRsZT5EaWFiZXRlcyBDYXJlPC9mdWxsLXRpdGxlPjwv
cGVyaW9kaWNhbD48cGFnZXM+MjUwMi03PC9wYWdlcz48dm9sdW1lPjM0PC92b2x1bWU+PG51bWJl
cj4xMjwvbnVtYmVyPjxlZGl0aW9uPjIwMTEvMTAvMDY8L2VkaXRpb24+PGtleXdvcmRzPjxrZXl3
b3JkPkFkb2xlc2NlbnQ8L2tleXdvcmQ+PGtleXdvcmQ+QWR1bHQ8L2tleXdvcmQ+PGtleXdvcmQ+
RGVubWFyazwva2V5d29yZD48a2V5d29yZD5EaXJlY3RpdmUgQ291bnNlbGluZzwva2V5d29yZD48
a2V5d29yZD5GZW1hbGU8L2tleXdvcmQ+PGtleXdvcmQ+SHVtYW5zPC9rZXl3b3JkPjxrZXl3b3Jk
PipMaWZlIFN0eWxlPC9rZXl3b3JkPjxrZXl3b3JkPk1vdG9yIEFjdGl2aXR5PC9rZXl3b3JkPjxr
ZXl3b3JkPk9iZXNpdHkvZGlldCB0aGVyYXB5Lyp0aGVyYXB5PC9rZXl3b3JkPjxrZXl3b3JkPlBo
eXNpY2FsIEVkdWNhdGlvbiBhbmQgVHJhaW5pbmc8L2tleXdvcmQ+PGtleXdvcmQ+UHJlZ25hbmN5
PC9rZXl3b3JkPjxrZXl3b3JkPlByZWduYW5jeSBDb21wbGljYXRpb25zL2RpZXQgdGhlcmFweS8q
dGhlcmFweTwva2V5d29yZD48a2V5d29yZD5QcmVnbmFuY3kgT3V0Y29tZTwva2V5d29yZD48a2V5
d29yZD5XZWlnaHQgR2Fpbjwva2V5d29yZD48L2tleXdvcmRzPjxkYXRlcz48eWVhcj4yMDExPC95
ZWFyPjxwdWItZGF0ZXM+PGRhdGU+RGVjPC9kYXRlPjwvcHViLWRhdGVzPjwvZGF0ZXM+PGlzYm4+
MTkzNS01NTQ4IChFbGVjdHJvbmljKSYjeEQ7MDE0OS01OTkyIChMaW5raW5nKTwvaXNibj48YWNj
ZXNzaW9uLW51bT4yMTk3MjQxMTwvYWNjZXNzaW9uLW51bT48dXJscz48cmVsYXRlZC11cmxzPjx1
cmw+aHR0cHM6Ly93d3cubmNiaS5ubG0ubmloLmdvdi9wdWJtZWQvMjE5NzI0MTE8L3VybD48L3Jl
bGF0ZWQtdXJscz48L3VybHM+PGN1c3RvbTI+UE1DMzIyMDg0NDwvY3VzdG9tMj48ZWxlY3Ryb25p
Yy1yZXNvdXJjZS1udW0+MTAuMjMzNy9kYzExLTExNTA8L2VsZWN0cm9uaWMtcmVzb3VyY2UtbnVt
PjwvcmVjb3JkPjwvQ2l0ZT48Q2l0ZT48QXV0aG9yPkFsdGF6YW48L0F1dGhvcj48WWVhcj4yMDE5
PC9ZZWFyPjxSZWNOdW0+MTM3OTwvUmVjTnVtPjxyZWNvcmQ+PHJlYy1udW1iZXI+MTM3OTwvcmVj
LW51bWJlcj48Zm9yZWlnbi1rZXlzPjxrZXkgYXBwPSJFTiIgZGItaWQ9ImV4dmFzcmZ4MmR0cmFv
ZXNhc3hwMnN6c3hhMmRmNTAyNTkyeCIgdGltZXN0YW1wPSIxNTY3MDYxNTE0Ij4xMzc5PC9rZXk+
PGtleSBhcHA9IkVOV2ViIiBkYi1pZD0iIj4wPC9rZXk+PC9mb3JlaWduLWtleXM+PHJlZi10eXBl
IG5hbWU9IkpvdXJuYWwgQXJ0aWNsZSI+MTc8L3JlZi10eXBlPjxjb250cmlidXRvcnM+PGF1dGhv
cnM+PGF1dGhvcj5BbHRhemFuLCBBLiBELjwvYXV0aG9yPjxhdXRob3I+UmVkbWFuLCBMLiBNLjwv
YXV0aG9yPjxhdXRob3I+QnVydG9uLCBKLiBILjwvYXV0aG9yPjxhdXRob3I+QmV5bCwgUi4gQS48
L2F1dGhvcj48YXV0aG9yPkNhaW4sIEwuIEUuPC9hdXRob3I+PGF1dGhvcj5TdXR0b24sIEUuIEYu
PC9hdXRob3I+PGF1dGhvcj5NYXJ0aW4sIEMuIEsuPC9hdXRob3I+PC9hdXRob3JzPjwvY29udHJp
YnV0b3JzPjxhdXRoLWFkZHJlc3M+UGVubmluZ3RvbiBCaW9tZWRpY2FsIFJlc2VhcmNoIENlbnRl
ciwgTG91aXNpYW5hIFN0YXRlIFVuaXZlcnNpdHksIDY0MDAgUGVya2lucyBSb2FkLCBCYXRvbiBS
b3VnZSwgTEEsIDcwODA4LCBVU0EuJiN4RDtQZW5uaW5ndG9uIEJpb21lZGljYWwgUmVzZWFyY2gg
Q2VudGVyLCBMb3Vpc2lhbmEgU3RhdGUgVW5pdmVyc2l0eSwgNjQwMCBQZXJraW5zIFJvYWQsIEJh
dG9uIFJvdWdlLCBMQSwgNzA4MDgsIFVTQS4gY29yYnkubWFydGluQHBicmMuZWR1LjwvYXV0aC1h
ZGRyZXNzPjx0aXRsZXM+PHRpdGxlPk1vb2QgYW5kIHF1YWxpdHkgb2YgbGlmZSBjaGFuZ2VzIGlu
IHByZWduYW5jeSBhbmQgcG9zdHBhcnR1bSBhbmQgdGhlIGVmZmVjdCBvZiBhIGJlaGF2aW9yYWwg
aW50ZXJ2ZW50aW9uIHRhcmdldGluZyBleGNlc3MgZ2VzdGF0aW9uYWwgd2VpZ2h0IGdhaW4gaW4g
d29tZW4gd2l0aCBvdmVyd2VpZ2h0IGFuZCBvYmVzaXR5OiBhIHBhcmFsbGVsLWFybSByYW5kb21p
emVkIGNvbnRyb2xsZWQgcGlsb3QgdHJpYWw8L3RpdGxlPjxzZWNvbmRhcnktdGl0bGU+Qk1DIFBy
ZWduYW5jeSBDaGlsZGJpcnRoPC9zZWNvbmRhcnktdGl0bGU+PC90aXRsZXM+PHBlcmlvZGljYWw+
PGZ1bGwtdGl0bGU+Qk1DIFByZWduYW5jeSBDaGlsZGJpcnRoPC9mdWxsLXRpdGxlPjwvcGVyaW9k
aWNhbD48cGFnZXM+NTA8L3BhZ2VzPjx2b2x1bWU+MTk8L3ZvbHVtZT48bnVtYmVyPjE8L251bWJl
cj48ZWRpdGlvbj4yMDE5LzAxLzMxPC9lZGl0aW9uPjxrZXl3b3Jkcz48a2V5d29yZD5BZHVsdDwv
a2V5d29yZD48a2V5d29yZD5CZWhhdmlvciBUaGVyYXB5LyptZXRob2RzPC9rZXl3b3JkPjxrZXl3
b3JkPkZlbWFsZTwva2V5d29yZD48a2V5d29yZD4qR2VzdGF0aW9uYWwgV2VpZ2h0IEdhaW48L2tl
eXdvcmQ+PGtleXdvcmQ+SHVtYW5zPC9rZXl3b3JkPjxrZXl3b3JkPkxpZmUgU3R5bGU8L2tleXdv
cmQ+PGtleXdvcmQ+T3ZlcndlaWdodC8qcHJldmVudGlvbiAmYW1wOyBjb250cm9sPC9rZXl3b3Jk
PjxrZXl3b3JkPlBpbG90IFByb2plY3RzPC9rZXl3b3JkPjxrZXl3b3JkPlByZWduYW5jeTwva2V5
d29yZD48a2V5d29yZD5QcmVuYXRhbCBDYXJlLyptZXRob2RzPC9rZXl3b3JkPjxrZXl3b3JkPlF1
YWxpdHkgb2YgTGlmZS8qcHN5Y2hvbG9neTwva2V5d29yZD48a2V5d29yZD5UcmVhdG1lbnQgT3V0
Y29tZTwva2V5d29yZD48a2V5d29yZD5XZWlnaHQgR2Fpbjwva2V5d29yZD48a2V5d29yZD5HZXN0
YXRpb25hbCB3ZWlnaHQgZ2Fpbjwva2V5d29yZD48a2V5d29yZD5NZW50YWwgaGVhbHRoPC9rZXl3
b3JkPjxrZXl3b3JkPlF1YWxpdHkgb2YgbGlmZTwva2V5d29yZD48L2tleXdvcmRzPjxkYXRlcz48
eWVhcj4yMDE5PC95ZWFyPjxwdWItZGF0ZXM+PGRhdGU+SmFuIDI5PC9kYXRlPjwvcHViLWRhdGVz
PjwvZGF0ZXM+PGlzYm4+MTQ3MS0yMzkzIChFbGVjdHJvbmljKSYjeEQ7MTQ3MS0yMzkzIChMaW5r
aW5nKTwvaXNibj48YWNjZXNzaW9uLW51bT4zMDY5NjQwODwvYWNjZXNzaW9uLW51bT48dXJscz48
cmVsYXRlZC11cmxzPjx1cmw+aHR0cHM6Ly93d3cubmNiaS5ubG0ubmloLmdvdi9wdWJtZWQvMzA2
OTY0MDg8L3VybD48L3JlbGF0ZWQtdXJscz48L3VybHM+PGN1c3RvbTI+UE1DNjM1MjM1MjwvY3Vz
dG9tMj48ZWxlY3Ryb25pYy1yZXNvdXJjZS1udW0+MTAuMTE4Ni9zMTI4ODQtMDE5LTIxOTYtODwv
ZWxlY3Ryb25pYy1yZXNvdXJjZS1udW0+PC9yZWNvcmQ+PC9DaXRlPjxDaXRlPjxBdXRob3I+UGhl
bGFuPC9BdXRob3I+PFllYXI+MjAxODwvWWVhcj48UmVjTnVtPjEzODY8L1JlY051bT48cmVjb3Jk
PjxyZWMtbnVtYmVyPjEzODY8L3JlYy1udW1iZXI+PGZvcmVpZ24ta2V5cz48a2V5IGFwcD0iRU4i
IGRiLWlkPSJleHZhc3JmeDJkdHJhb2VzYXN4cDJzenN4YTJkZjUwMjU5MngiIHRpbWVzdGFtcD0i
MTU2NzM4MjQ4NSI+MTM4Njwva2V5PjwvZm9yZWlnbi1rZXlzPjxyZWYtdHlwZSBuYW1lPSJKb3Vy
bmFsIEFydGljbGUiPjE3PC9yZWYtdHlwZT48Y29udHJpYnV0b3JzPjxhdXRob3JzPjxhdXRob3I+
UGhlbGFuLCBTLjwvYXV0aG9yPjxhdXRob3I+V2luZywgUi4gUi48L2F1dGhvcj48YXV0aG9yPkJy
YW5uZW4sIEEuPC9hdXRob3I+PGF1dGhvcj5NY0h1Z2gsIEEuPC9hdXRob3I+PGF1dGhvcj5IYWdv
YmlhbiwgVC4gQS48L2F1dGhvcj48YXV0aG9yPlNjaGFmZm5lciwgQS48L2F1dGhvcj48YXV0aG9y
PkplbGFsaWFuLCBFLjwvYXV0aG9yPjxhdXRob3I+SGFydCwgQy4gTi48L2F1dGhvcj48YXV0aG9y
PlNjaG9sbCwgVC4gTy48L2F1dGhvcj48YXV0aG9yPk11bm96LUNocmlzdGlhbiwgSy48L2F1dGhv
cj48YXV0aG9yPllpbiwgRS48L2F1dGhvcj48YXV0aG9yPlBoaXBwcywgTS4gRy48L2F1dGhvcj48
YXV0aG9yPktlYWRsZSwgUy48L2F1dGhvcj48YXV0aG9yPkFicmFtcywgQi48L2F1dGhvcj48L2F1
dGhvcnM+PC9jb250cmlidXRvcnM+PGF1dGgtYWRkcmVzcz5EZXBhcnRtZW50cyBvZiBLaW5lc2lv
bG9neSwgU3RhdGlzdGljcywgYW5kIE1vZGVybiBMYW5ndWFnZXMsIENhbGlmb3JuaWEgUG9seXRl
Y2huaWMgU3RhdGUgVW5pdmVyc2l0eSwgU2FuIEx1aXMgT2Jpc3BvLCBDQS4mI3hEO0RlcGFydG1l
bnQgb2YgUHN5Y2hpYXRyeSBhbmQgSHVtYW4gQmVoYXZpb3IsIFdhcnJlbiBBbHBlcnQgTWVkaWNh
bCBTY2hvb2wgYXQgQnJvd24gVW5pdmVyc2l0eSwgUHJvdmlkZW5jZSwgUkkuJiN4RDtEZXBhcnRt
ZW50cyBvZiBTdGF0aXN0aWNzLCBhbmQgTW9kZXJuIExhbmd1YWdlcywgQ2FsaWZvcm5pYSBQb2x5
dGVjaG5pYyBTdGF0ZSBVbml2ZXJzaXR5LCBTYW4gTHVpcyBPYmlzcG8sIENBLiYjeEQ7RGVwYXJ0
bWVudCBvZiBTb2NpYWwgYW5kIEJlaGF2aW9yYWwgU2NpZW5jZXMsIFRlbXBsZSBVbml2ZXJzaXR5
IENlbnRlciBmb3IgT2Jlc2l0eSBSZXNlYXJjaCBhbmQgRWR1Y2F0aW9uLCBQaGlsYWRlbHBoaWEs
IFBBLiYjeEQ7RGVwYXJ0bWVudCBvZiBPYnN0ZXRyaWNzIGFuZCBHeW5lY29sb2d5LCBVbml2ZXJz
aXR5IG9mIE1lZGljaW5lIGFuZCBEZW50aXN0cnkgb2YgTmV3IEplcnNleSAobm93IFJvd2FuKSwg
R2xhc3Nib3JvLCBOSi4mI3hEO0RlcGFydG1lbnRzIG9mIE1vZGVybiBMYW5ndWFnZXMsIENhbGlm
b3JuaWEgUG9seXRlY2huaWMgU3RhdGUgVW5pdmVyc2l0eSwgU2FuIEx1aXMgT2Jpc3BvLCBDQS4m
I3hEO1BhY2lmaWMgQ2VudHJhbCBDb2FzdCBIZWFsdGggQ2VudGVycywgU2FudGEgTWFyaWEgV29t
ZW4mYXBvcztzIEhlYWx0aCwgU2FudGEgTWFyaWEsIENBLiYjeEQ7RGVwYXJ0bWVudCBvZiBPYnN0
ZXRyaWNzIGFuZCBHeW5lY29sb2d5LCBXYXJyZW4gQWxwZXJ0IE1lZGljYWwgU2Nob29sIG9mIEJy
b3duIFVuaXZlcnNpdHkgYW5kIFdvbWVuIGFuZCBJbmZhbnRzIEhvc3BpdGFsLCBQcm92aWRlbmNl
LCBSSS4mI3hEO0RpdmlzaW9uIG9mIEVwaWRlbWlvbG9neSwgVW5pdmVyc2l0eSBvZiBDYWxpZm9y
bmlhIGF0IEJlcmtlbGV5IFNjaG9vbCBvZiBQdWJsaWMgSGVhbHRoLCBCZXJrZWxleSwgQ0EuPC9h
dXRoLWFkZHJlc3M+PHRpdGxlcz48dGl0bGU+UmFuZG9taXplZCBjb250cm9sbGVkIGNsaW5pY2Fs
IHRyaWFsIG9mIGJlaGF2aW9yYWwgbGlmZXN0eWxlIGludGVydmVudGlvbiB3aXRoIHBhcnRpYWwg
bWVhbCByZXBsYWNlbWVudCB0byByZWR1Y2UgZXhjZXNzaXZlIGdlc3RhdGlvbmFsIHdlaWdodCBn
YWluPC90aXRsZT48c2Vjb25kYXJ5LXRpdGxlPkFtIEogQ2xpbiBOdXRyPC9zZWNvbmRhcnktdGl0
bGU+PC90aXRsZXM+PHBlcmlvZGljYWw+PGZ1bGwtdGl0bGU+QW0gSiBDbGluIE51dHI8L2Z1bGwt
dGl0bGU+PC9wZXJpb2RpY2FsPjxwYWdlcz4xODMtMTk0PC9wYWdlcz48dm9sdW1lPjEwNzwvdm9s
dW1lPjxudW1iZXI+MjwvbnVtYmVyPjxlZGl0aW9uPjIwMTgvMDMvMTM8L2VkaXRpb24+PGtleXdv
cmRzPjxrZXl3b3JkPkFkdWx0PC9rZXl3b3JkPjxrZXl3b3JkPkJvZHkgTWFzcyBJbmRleDwva2V5
d29yZD48a2V5d29yZD5DYWxpZm9ybmlhPC9rZXl3b3JkPjxrZXl3b3JkPkRpZXQ8L2tleXdvcmQ+
PGtleXdvcmQ+RXRobmljIEdyb3Vwczwva2V5d29yZD48a2V5d29yZD5FeGVyY2lzZTwva2V5d29y
ZD48a2V5d29yZD5GZW1hbGU8L2tleXdvcmQ+PGtleXdvcmQ+Kkdlc3RhdGlvbmFsIFdlaWdodCBH
YWluPC9rZXl3b3JkPjxrZXl3b3JkPipIZWFsdGggQmVoYXZpb3I8L2tleXdvcmQ+PGtleXdvcmQ+
SHVtYW5zPC9rZXl3b3JkPjxrZXl3b3JkPkluY2lkZW5jZTwva2V5d29yZD48a2V5d29yZD4qTGlm
ZSBTdHlsZTwva2V5d29yZD48a2V5d29yZD5NZWFsczwva2V5d29yZD48a2V5d29yZD5OdXRyaXRp
b24gQXNzZXNzbWVudDwva2V5d29yZD48a2V5d29yZD5PYmVzaXR5LypwcmV2ZW50aW9uICZhbXA7
IGNvbnRyb2w8L2tleXdvcmQ+PGtleXdvcmQ+T3ZlcndlaWdodC8qcHJldmVudGlvbiAmYW1wOyBj
b250cm9sPC9rZXl3b3JkPjxrZXl3b3JkPlByZWduYW5jeTwva2V5d29yZD48a2V5d29yZD5QcmVn
bmFuY3kgQ29tcGxpY2F0aW9ucy8qcHJldmVudGlvbiAmYW1wOyBjb250cm9sPC9rZXl3b3JkPjxr
ZXl3b3JkPlByZWduYW5jeSBPdXRjb21lPC9rZXl3b3JkPjxrZXl3b3JkPlJpc2sgRmFjdG9yczwv
a2V5d29yZD48a2V5d29yZD5Zb3VuZyBBZHVsdDwva2V5d29yZD48L2tleXdvcmRzPjxkYXRlcz48
eWVhcj4yMDE4PC95ZWFyPjxwdWItZGF0ZXM+PGRhdGU+RmViIDE8L2RhdGU+PC9wdWItZGF0ZXM+
PC9kYXRlcz48aXNibj4xOTM4LTMyMDcgKEVsZWN0cm9uaWMpJiN4RDswMDAyLTkxNjUgKExpbmtp
bmcpPC9pc2JuPjxhY2Nlc3Npb24tbnVtPjI5NTI5MTU3PC9hY2Nlc3Npb24tbnVtPjx1cmxzPjxy
ZWxhdGVkLXVybHM+PHVybD5odHRwczovL3d3dy5uY2JpLm5sbS5uaWguZ292L3B1Ym1lZC8yOTUy
OTE1NzwvdXJsPjwvcmVsYXRlZC11cmxzPjwvdXJscz48Y3VzdG9tMj5QTUM2NDU1MDMwPC9jdXN0
b20yPjxlbGVjdHJvbmljLXJlc291cmNlLW51bT4xMC4xMDkzL2FqY24vbnF4MDQzPC9lbGVjdHJv
bmljLXJlc291cmNlLW51bT48L3JlY29yZD48L0NpdGU+PC9FbmROb3RlPgB=
</w:fldData>
        </w:fldChar>
      </w:r>
      <w:r w:rsidR="002747EA">
        <w:instrText xml:space="preserve"> ADDIN EN.CITE.DATA </w:instrText>
      </w:r>
      <w:r w:rsidR="002747EA">
        <w:fldChar w:fldCharType="end"/>
      </w:r>
      <w:r w:rsidR="00A5540F">
        <w:fldChar w:fldCharType="separate"/>
      </w:r>
      <w:r w:rsidR="002747EA" w:rsidRPr="002747EA">
        <w:rPr>
          <w:noProof/>
          <w:vertAlign w:val="superscript"/>
        </w:rPr>
        <w:t>402,451,494,502-504,507,508,513-515,520</w:t>
      </w:r>
      <w:r w:rsidR="00A5540F">
        <w:fldChar w:fldCharType="end"/>
      </w:r>
      <w:r w:rsidR="00A95FF7">
        <w:t xml:space="preserve"> </w:t>
      </w:r>
      <w:r w:rsidR="00A5540F">
        <w:rPr>
          <w:lang w:val="en-AU"/>
        </w:rPr>
        <w:t>self-monitoring text messages</w:t>
      </w:r>
      <w:r w:rsidR="00A5540F">
        <w:fldChar w:fldCharType="begin"/>
      </w:r>
      <w:r w:rsidR="002747EA">
        <w:instrText xml:space="preserve"> ADDIN EN.CITE &lt;EndNote&gt;&lt;Cite&gt;&lt;Author&gt;Willcox&lt;/Author&gt;&lt;Year&gt;2017&lt;/Year&gt;&lt;RecNum&gt;965&lt;/RecNum&gt;&lt;DisplayText&gt;&lt;style face="superscript" font="Trebuchet MS" size="9"&gt;500&lt;/style&gt;&lt;/DisplayText&gt;&lt;record&gt;&lt;rec-number&gt;965&lt;/rec-number&gt;&lt;foreign-keys&gt;&lt;key app="EN" db-id="exvasrfx2dtraoesasxp2szsxa2df502592x" timestamp="1552950079"&gt;965&lt;/key&gt;&lt;key app="ENWeb" db-id=""&gt;0&lt;/key&gt;&lt;/foreign-keys&gt;&lt;ref-type name="Journal Article"&gt;17&lt;/ref-type&gt;&lt;contributors&gt;&lt;authors&gt;&lt;author&gt;Willcox, J.C.,&lt;/author&gt;&lt;author&gt;Wilkinson, S.A.,&lt;/author&gt;&lt;author&gt;Lappas, M.,&lt;/author&gt;&lt;author&gt;Ball, K.,&lt;/author&gt;&lt;author&gt;Crawford, D.,&lt;/author&gt;&lt;author&gt;McCarthy, E.A.,&lt;/author&gt;&lt;author&gt;Fjeldsoe, B.,&lt;/author&gt;&lt;/authors&gt;&lt;/contributors&gt;&lt;auth-address&gt;Departments of Medicine, Public Health, and Ob/Gyn, Temple University, Philadelphia, PA, USA.&lt;/auth-address&gt;&lt;titles&gt;&lt;title&gt;A mobile health intervention promoting healthy gestational weight gain for women entering pregnancy at a high body mass index: the txt4two pilot randomised controlled trial&lt;/title&gt;&lt;secondary-title&gt;BJOG&lt;/secondary-title&gt;&lt;/titles&gt;&lt;periodical&gt;&lt;full-title&gt;BJOG&lt;/full-title&gt;&lt;/periodical&gt;&lt;pages&gt;1718-28&lt;/pages&gt;&lt;volume&gt;124&lt;/volume&gt;&lt;number&gt;11&lt;/number&gt;&lt;edition&gt;2017/04/20&lt;/edition&gt;&lt;dates&gt;&lt;year&gt;2017&lt;/year&gt;&lt;pub-dates&gt;&lt;date&gt;Oct&lt;/date&gt;&lt;/pub-dates&gt;&lt;/dates&gt;&lt;isbn&gt;1471-0528 (Electronic)&amp;#xD;1470-0328 (Linking)&lt;/isbn&gt;&lt;accession-num&gt;28422398&lt;/accession-num&gt;&lt;urls&gt;&lt;related-urls&gt;&lt;url&gt;https://www.ncbi.nlm.nih.gov/pubmed/28422398&lt;/url&gt;&lt;/related-urls&gt;&lt;/urls&gt;&lt;electronic-resource-num&gt;10.1111/1471-0528.14693&lt;/electronic-resource-num&gt;&lt;/record&gt;&lt;/Cite&gt;&lt;/EndNote&gt;</w:instrText>
      </w:r>
      <w:r w:rsidR="00A5540F">
        <w:fldChar w:fldCharType="separate"/>
      </w:r>
      <w:r w:rsidR="002747EA" w:rsidRPr="002747EA">
        <w:rPr>
          <w:noProof/>
          <w:vertAlign w:val="superscript"/>
        </w:rPr>
        <w:t>500</w:t>
      </w:r>
      <w:r w:rsidR="00A5540F">
        <w:fldChar w:fldCharType="end"/>
      </w:r>
      <w:r w:rsidR="00A95FF7">
        <w:t xml:space="preserve"> or a smart phone app.</w:t>
      </w:r>
      <w:r w:rsidR="00A95FF7" w:rsidRPr="005A3ECC">
        <w:rPr>
          <w:rFonts w:ascii="Century Gothic" w:hAnsi="Century Gothic"/>
          <w:noProof/>
        </w:rPr>
        <w:fldChar w:fldCharType="begin">
          <w:fldData xml:space="preserve">PEVuZE5vdGU+PENpdGU+PEF1dGhvcj5WYW4gSG9ybjwvQXV0aG9yPjxZZWFyPjIwMTg8L1llYXI+
PFJlY051bT4xMzc2PC9SZWNOdW0+PERpc3BsYXlUZXh0PjxzdHlsZSBmYWNlPSJzdXBlcnNjcmlw
dCIgZm9udD0iVHJlYnVjaGV0IE1TIiBzaXplPSI5Ij41MDUsNTA2PC9zdHlsZT48L0Rpc3BsYXlU
ZXh0PjxyZWNvcmQ+PHJlYy1udW1iZXI+MTM3NjwvcmVjLW51bWJlcj48Zm9yZWlnbi1rZXlzPjxr
ZXkgYXBwPSJFTiIgZGItaWQ9ImV4dmFzcmZ4MmR0cmFvZXNhc3hwMnN6c3hhMmRmNTAyNTkyeCIg
dGltZXN0YW1wPSIxNTY3MDM1OTg3Ij4xMzc2PC9rZXk+PGtleSBhcHA9IkVOV2ViIiBkYi1pZD0i
Ij4wPC9rZXk+PC9mb3JlaWduLWtleXM+PHJlZi10eXBlIG5hbWU9IkpvdXJuYWwgQXJ0aWNsZSI+
MTc8L3JlZi10eXBlPjxjb250cmlidXRvcnM+PGF1dGhvcnM+PGF1dGhvcj5WYW4gSG9ybiwgTC48
L2F1dGhvcj48YXV0aG9yPlBlYWNlbWFuLCBBLjwvYXV0aG9yPjxhdXRob3I+S3dhc255LCBNLjwv
YXV0aG9yPjxhdXRob3I+VmluY2VudCwgRS48L2F1dGhvcj48YXV0aG9yPkZvdWdodCwgQS48L2F1
dGhvcj48YXV0aG9yPkpvc2Vmc29uLCBKLjwvYXV0aG9yPjxhdXRob3I+U3ByaW5nLCBCLjwvYXV0
aG9yPjxhdXRob3I+TmVmZiwgTC4gTS48L2F1dGhvcj48YXV0aG9yPkdlcm5ob2ZlciwgTi48L2F1
dGhvcj48L2F1dGhvcnM+PC9jb250cmlidXRvcnM+PGF1dGgtYWRkcmVzcz5EZXBhcnRtZW50IG9m
IFByZXZlbnRpdmUgTWVkaWNpbmUsIE5vcnRod2VzdGVybiBVbml2ZXJzaXR5IEZlaW5iZXJnIFNj
aG9vbCBvZiBNZWRpY2luZSwgQ2hpY2FnbywgSWxsaW5vaXMuIEVsZWN0cm9uaWMgYWRkcmVzczog
bHZhbmhvcm5Abm9ydGh3ZXN0ZXJuLmVkdS4mI3hEO0RlcGFydG1lbnQgb2YgT2JzdGV0cmljcyBh
bmQgR3luZWNvbG9neSwgTm9ydGh3ZXN0ZXJuIFVuaXZlcnNpdHkgRmVpbmJlcmcgU2Nob29sIG9m
IE1lZGljaW5lLCBDaGljYWdvLCBJbGxpbm9pcy4mI3hEO0RlcGFydG1lbnQgb2YgUHJldmVudGl2
ZSBNZWRpY2luZSwgTm9ydGh3ZXN0ZXJuIFVuaXZlcnNpdHkgRmVpbmJlcmcgU2Nob29sIG9mIE1l
ZGljaW5lLCBDaGljYWdvLCBJbGxpbm9pcy4mI3hEO0RlcGFydG1lbnQgb2YgUHJldmVudGl2ZSBN
ZWRpY2luZSwgTm9ydGh3ZXN0ZXJuIFVuaXZlcnNpdHkgRmVpbmJlcmcgU2Nob29sIG9mIE1lZGlj
aW5lLCBDaGljYWdvLCBJbGxpbm9pczsgQW5uIGFuZCBSb2JlcnQgSC4gTHVyaWUgQ2hpbGRyZW4m
YXBvcztzIEhvc3BpdGFsIG9mIENoaWNhZ28sIENoaWNhZ28sIElsbGlub2lzLiYjeEQ7RGVwYXJ0
bWVudCBvZiBNZWRpY2luZSwgTm9ydGh3ZXN0ZXJuIFVuaXZlcnNpdHkgRmVpbmJlcmcgU2Nob29s
IG9mIE1lZGljaW5lLCBDaGljYWdvLCBJbGxpbm9pcy48L2F1dGgtYWRkcmVzcz48dGl0bGVzPjx0
aXRsZT5EaWV0YXJ5IEFwcHJvYWNoZXMgdG8gU3RvcCBIeXBlcnRlbnNpb24gRGlldCBhbmQgQWN0
aXZpdHkgdG8gTGltaXQgR2VzdGF0aW9uYWwgV2VpZ2h0OiBNYXRlcm5hbCBPZmZzcHJpbmcgTWV0
YWJvbGljcyBGYW1pbHkgSW50ZXJ2ZW50aW9uIFRyaWFsLCBhIFRlY2hub2xvZ3kgRW5oYW5jZWQg
UmFuZG9taXplZCBUcmlhbDwvdGl0bGU+PHNlY29uZGFyeS10aXRsZT5BbSBKIFByZXYgTWVkPC9z
ZWNvbmRhcnktdGl0bGU+PC90aXRsZXM+PHBlcmlvZGljYWw+PGZ1bGwtdGl0bGU+QW0gSiBQcmV2
IE1lZDwvZnVsbC10aXRsZT48L3BlcmlvZGljYWw+PHBhZ2VzPjYwMy02MTQ8L3BhZ2VzPjx2b2x1
bWU+NTU8L3ZvbHVtZT48bnVtYmVyPjU8L251bWJlcj48ZWRpdGlvbj4yMDE4LzA5LzI5PC9lZGl0
aW9uPjxkYXRlcz48eWVhcj4yMDE4PC95ZWFyPjxwdWItZGF0ZXM+PGRhdGU+Tm92PC9kYXRlPjwv
cHViLWRhdGVzPjwvZGF0ZXM+PGlzYm4+MTg3My0yNjA3IChFbGVjdHJvbmljKSYjeEQ7MDc0OS0z
Nzk3IChMaW5raW5nKTwvaXNibj48YWNjZXNzaW9uLW51bT4zMDI2MjE0ODwvYWNjZXNzaW9uLW51
bT48dXJscz48cmVsYXRlZC11cmxzPjx1cmw+aHR0cHM6Ly93d3cubmNiaS5ubG0ubmloLmdvdi9w
dWJtZWQvMzAyNjIxNDg8L3VybD48L3JlbGF0ZWQtdXJscz48L3VybHM+PGVsZWN0cm9uaWMtcmVz
b3VyY2UtbnVtPjEwLjEwMTYvai5hbWVwcmUuMjAxOC4wNi4wMTU8L2VsZWN0cm9uaWMtcmVzb3Vy
Y2UtbnVtPjwvcmVjb3JkPjwvQ2l0ZT48Q2l0ZT48QXV0aG9yPktlbm5lbGx5PC9BdXRob3I+PFll
YXI+MjAxODwvWWVhcj48UmVjTnVtPjEzNzg8L1JlY051bT48cmVjb3JkPjxyZWMtbnVtYmVyPjEz
Nzg8L3JlYy1udW1iZXI+PGZvcmVpZ24ta2V5cz48a2V5IGFwcD0iRU4iIGRiLWlkPSJleHZhc3Jm
eDJkdHJhb2VzYXN4cDJzenN4YTJkZjUwMjU5MngiIHRpbWVzdGFtcD0iMTU2NzA1NDM5NyI+MTM3
ODwva2V5PjxrZXkgYXBwPSJFTldlYiIgZGItaWQ9IiI+MDwva2V5PjwvZm9yZWlnbi1rZXlzPjxy
ZWYtdHlwZSBuYW1lPSJKb3VybmFsIEFydGljbGUiPjE3PC9yZWYtdHlwZT48Y29udHJpYnV0b3Jz
PjxhdXRob3JzPjxhdXRob3I+S2VubmVsbHksIE0uIEEuPC9hdXRob3I+PGF1dGhvcj5BaW5zY291
Z2gsIEsuPC9hdXRob3I+PGF1dGhvcj5MaW5kc2F5LCBLLiBMLjwvYXV0aG9yPjxhdXRob3I+TyZh
cG9zO1N1bGxpdmFuLCBFLjwvYXV0aG9yPjxhdXRob3I+R2libmV5LCBFLiBSLjwvYXV0aG9yPjxh
dXRob3I+TWNDYXJ0aHksIE0uPC9hdXRob3I+PGF1dGhvcj5TZWd1cmFkbywgUi48L2F1dGhvcj48
YXV0aG9yPkRlVml0bywgRy48L2F1dGhvcj48YXV0aG9yPk1hZ3VpcmUsIE8uPC9hdXRob3I+PGF1
dGhvcj5TbWl0aCwgVC48L2F1dGhvcj48YXV0aG9yPkhhdHVuaWMsIE0uPC9hdXRob3I+PGF1dGhv
cj5NY0F1bGlmZmUsIEYuIE0uPC9hdXRob3I+PC9hdXRob3JzPjwvY29udHJpYnV0b3JzPjxhdXRo
LWFkZHJlc3M+VUNEIFBlcmluYXRhbCBSZXNlYXJjaCBDZW50cmUsIE9ic3RldHJpY3MgYW5kIEd5
bmFlY29sb2d5LCBTY2hvb2wgb2YgTWVkaWNpbmUsIHRoZSBVQ0QgSW5zdGl0dXRlIG9mIEZvb2Qg
YW5kIEhlYWx0aCwgVUNEIENTVEFSLCBhbmQgdGhlIFNjaG9vbCBvZiBQdWJsaWMgSGVhbHRoLCBQ
aHlzaWNhbCAmYW1wOyBTcG9ydHMgU2NpZW5jZXMsIEhlYWx0aCBTY2llbmNlcyBDZW50cmUsIFVu
aXZlcnNpdHkgQ29sbGVnZSBEdWJsaW4sIER1YmxpbiwgdGhlIERlcGFydG1lbnQgb2YgTWFuYWdl
bWVudCAmYW1wOyBNYXJrZXRpbmcsIFVuaXZlcnNpdHkgQ29sbGVnZSBDb3JrLCBDb3JrLCBhbmQg
dGhlIERlcGFydG1lbnQgb2YgRW5kb2NyaW5vbG9neSwgU3QuIFZpbmNlbnQmYXBvcztzIFVuaXZl
cnNpdHkgSG9zcGl0YWwsIGFuZCB0aGUgRGVwYXJ0bWVudCBvZiBFbmRvY3Jpbm9sb2d5LCBOYXRp
b25hbCBNYXRlcm5pdHkgSG9zcGl0YWwsIER1YmxpbiwgSXJlbGFuZC48L2F1dGgtYWRkcmVzcz48
dGl0bGVzPjx0aXRsZT5QcmVnbmFuY3kgRXhlcmNpc2UgYW5kIE51dHJpdGlvbiBXaXRoIFNtYXJ0
cGhvbmUgQXBwbGljYXRpb24gU3VwcG9ydDogQSBSYW5kb21pemVkIENvbnRyb2xsZWQgVHJpYWw8
L3RpdGxlPjxzZWNvbmRhcnktdGl0bGU+T2JzdGV0IEd5bmVjb2w8L3NlY29uZGFyeS10aXRsZT48
L3RpdGxlcz48cGVyaW9kaWNhbD48ZnVsbC10aXRsZT5PYnN0ZXQgR3luZWNvbDwvZnVsbC10aXRs
ZT48L3BlcmlvZGljYWw+PHBhZ2VzPjgxOC04MjY8L3BhZ2VzPjx2b2x1bWU+MTMxPC92b2x1bWU+
PG51bWJlcj41PC9udW1iZXI+PGVkaXRpb24+MjAxOC8wNC8xMDwvZWRpdGlvbj48a2V5d29yZHM+
PGtleXdvcmQ+QWR1bHQ8L2tleXdvcmQ+PGtleXdvcmQ+QmVoYXZpb3IgQ29udHJvbC8qbWV0aG9k
czwva2V5d29yZD48a2V5d29yZD5Cb2R5IE1hc3MgSW5kZXg8L2tleXdvcmQ+PGtleXdvcmQ+KkRp
YWJldGVzLCBHZXN0YXRpb25hbC9kaWFnbm9zaXMvZXBpZGVtaW9sb2d5L3ByZXZlbnRpb24gJmFt
cDsgY29udHJvbC9wc3ljaG9sb2d5PC9rZXl3b3JkPjxrZXl3b3JkPkV4ZXJjaXNlL3BoeXNpb2xv
Z3kvKnBzeWNob2xvZ3k8L2tleXdvcmQ+PGtleXdvcmQ+RmVtYWxlPC9rZXl3b3JkPjxrZXl3b3Jk
PkhlYWx0aCBCZWhhdmlvcjwva2V5d29yZD48a2V5d29yZD5IZWFsdGh5IExpZmVzdHlsZTwva2V5
d29yZD48a2V5d29yZD5IdW1hbnM8L2tleXdvcmQ+PGtleXdvcmQ+SW5jaWRlbmNlPC9rZXl3b3Jk
PjxrZXl3b3JkPk1vYmlsZSBBcHBsaWNhdGlvbnM8L2tleXdvcmQ+PGtleXdvcmQ+Kk9iZXNpdHkv
ZGlhZ25vc2lzL3BzeWNob2xvZ3kvdGhlcmFweTwva2V5d29yZD48a2V5d29yZD5QcmVnbmFuY3k8
L2tleXdvcmQ+PGtleXdvcmQ+KlByZWduYW5jeSBDb21wbGljYXRpb25zL2RpYWdub3Npcy9wc3lj
aG9sb2d5L3RoZXJhcHk8L2tleXdvcmQ+PGtleXdvcmQ+UHJlZ25hbmN5IE91dGNvbWUvZXBpZGVt
aW9sb2d5PC9rZXl3b3JkPjxrZXl3b3JkPlByZW5hdGFsIENhcmUvbWV0aG9kczwva2V5d29yZD48
a2V5d29yZD5QcmVuYXRhbCBOdXRyaXRpb25hbCBQaHlzaW9sb2dpY2FsIFBoZW5vbWVuYS8qcGh5
c2lvbG9neTwva2V5d29yZD48a2V5d29yZD4qU21hcnRwaG9uZTwva2V5d29yZD48L2tleXdvcmRz
PjxkYXRlcz48eWVhcj4yMDE4PC95ZWFyPjxwdWItZGF0ZXM+PGRhdGU+TWF5PC9kYXRlPjwvcHVi
LWRhdGVzPjwvZGF0ZXM+PGlzYm4+MTg3My0yMzNYIChFbGVjdHJvbmljKSYjeEQ7MDAyOS03ODQ0
IChMaW5raW5nKTwvaXNibj48YWNjZXNzaW9uLW51bT4yOTYzMDAwOTwvYWNjZXNzaW9uLW51bT48
dXJscz48cmVsYXRlZC11cmxzPjx1cmw+aHR0cHM6Ly93d3cubmNiaS5ubG0ubmloLmdvdi9wdWJt
ZWQvMjk2MzAwMDk8L3VybD48L3JlbGF0ZWQtdXJscz48L3VybHM+PGVsZWN0cm9uaWMtcmVzb3Vy
Y2UtbnVtPjEwLjEwOTcvQU9HLjAwMDAwMDAwMDAwMDI1ODI8L2VsZWN0cm9uaWMtcmVzb3VyY2Ut
bnVtPjwvcmVjb3JkPjwvQ2l0ZT48L0VuZE5vdGU+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PEVuZE5vdGU+PENpdGU+PEF1dGhvcj5WYW4gSG9ybjwvQXV0aG9yPjxZZWFyPjIwMTg8L1llYXI+
PFJlY051bT4xMzc2PC9SZWNOdW0+PERpc3BsYXlUZXh0PjxzdHlsZSBmYWNlPSJzdXBlcnNjcmlw
dCIgZm9udD0iVHJlYnVjaGV0IE1TIiBzaXplPSI5Ij41MDUsNTA2PC9zdHlsZT48L0Rpc3BsYXlU
ZXh0PjxyZWNvcmQ+PHJlYy1udW1iZXI+MTM3NjwvcmVjLW51bWJlcj48Zm9yZWlnbi1rZXlzPjxr
ZXkgYXBwPSJFTiIgZGItaWQ9ImV4dmFzcmZ4MmR0cmFvZXNhc3hwMnN6c3hhMmRmNTAyNTkyeCIg
dGltZXN0YW1wPSIxNTY3MDM1OTg3Ij4xMzc2PC9rZXk+PGtleSBhcHA9IkVOV2ViIiBkYi1pZD0i
Ij4wPC9rZXk+PC9mb3JlaWduLWtleXM+PHJlZi10eXBlIG5hbWU9IkpvdXJuYWwgQXJ0aWNsZSI+
MTc8L3JlZi10eXBlPjxjb250cmlidXRvcnM+PGF1dGhvcnM+PGF1dGhvcj5WYW4gSG9ybiwgTC48
L2F1dGhvcj48YXV0aG9yPlBlYWNlbWFuLCBBLjwvYXV0aG9yPjxhdXRob3I+S3dhc255LCBNLjwv
YXV0aG9yPjxhdXRob3I+VmluY2VudCwgRS48L2F1dGhvcj48YXV0aG9yPkZvdWdodCwgQS48L2F1
dGhvcj48YXV0aG9yPkpvc2Vmc29uLCBKLjwvYXV0aG9yPjxhdXRob3I+U3ByaW5nLCBCLjwvYXV0
aG9yPjxhdXRob3I+TmVmZiwgTC4gTS48L2F1dGhvcj48YXV0aG9yPkdlcm5ob2ZlciwgTi48L2F1
dGhvcj48L2F1dGhvcnM+PC9jb250cmlidXRvcnM+PGF1dGgtYWRkcmVzcz5EZXBhcnRtZW50IG9m
IFByZXZlbnRpdmUgTWVkaWNpbmUsIE5vcnRod2VzdGVybiBVbml2ZXJzaXR5IEZlaW5iZXJnIFNj
aG9vbCBvZiBNZWRpY2luZSwgQ2hpY2FnbywgSWxsaW5vaXMuIEVsZWN0cm9uaWMgYWRkcmVzczog
bHZhbmhvcm5Abm9ydGh3ZXN0ZXJuLmVkdS4mI3hEO0RlcGFydG1lbnQgb2YgT2JzdGV0cmljcyBh
bmQgR3luZWNvbG9neSwgTm9ydGh3ZXN0ZXJuIFVuaXZlcnNpdHkgRmVpbmJlcmcgU2Nob29sIG9m
IE1lZGljaW5lLCBDaGljYWdvLCBJbGxpbm9pcy4mI3hEO0RlcGFydG1lbnQgb2YgUHJldmVudGl2
ZSBNZWRpY2luZSwgTm9ydGh3ZXN0ZXJuIFVuaXZlcnNpdHkgRmVpbmJlcmcgU2Nob29sIG9mIE1l
ZGljaW5lLCBDaGljYWdvLCBJbGxpbm9pcy4mI3hEO0RlcGFydG1lbnQgb2YgUHJldmVudGl2ZSBN
ZWRpY2luZSwgTm9ydGh3ZXN0ZXJuIFVuaXZlcnNpdHkgRmVpbmJlcmcgU2Nob29sIG9mIE1lZGlj
aW5lLCBDaGljYWdvLCBJbGxpbm9pczsgQW5uIGFuZCBSb2JlcnQgSC4gTHVyaWUgQ2hpbGRyZW4m
YXBvcztzIEhvc3BpdGFsIG9mIENoaWNhZ28sIENoaWNhZ28sIElsbGlub2lzLiYjeEQ7RGVwYXJ0
bWVudCBvZiBNZWRpY2luZSwgTm9ydGh3ZXN0ZXJuIFVuaXZlcnNpdHkgRmVpbmJlcmcgU2Nob29s
IG9mIE1lZGljaW5lLCBDaGljYWdvLCBJbGxpbm9pcy48L2F1dGgtYWRkcmVzcz48dGl0bGVzPjx0
aXRsZT5EaWV0YXJ5IEFwcHJvYWNoZXMgdG8gU3RvcCBIeXBlcnRlbnNpb24gRGlldCBhbmQgQWN0
aXZpdHkgdG8gTGltaXQgR2VzdGF0aW9uYWwgV2VpZ2h0OiBNYXRlcm5hbCBPZmZzcHJpbmcgTWV0
YWJvbGljcyBGYW1pbHkgSW50ZXJ2ZW50aW9uIFRyaWFsLCBhIFRlY2hub2xvZ3kgRW5oYW5jZWQg
UmFuZG9taXplZCBUcmlhbDwvdGl0bGU+PHNlY29uZGFyeS10aXRsZT5BbSBKIFByZXYgTWVkPC9z
ZWNvbmRhcnktdGl0bGU+PC90aXRsZXM+PHBlcmlvZGljYWw+PGZ1bGwtdGl0bGU+QW0gSiBQcmV2
IE1lZDwvZnVsbC10aXRsZT48L3BlcmlvZGljYWw+PHBhZ2VzPjYwMy02MTQ8L3BhZ2VzPjx2b2x1
bWU+NTU8L3ZvbHVtZT48bnVtYmVyPjU8L251bWJlcj48ZWRpdGlvbj4yMDE4LzA5LzI5PC9lZGl0
aW9uPjxkYXRlcz48eWVhcj4yMDE4PC95ZWFyPjxwdWItZGF0ZXM+PGRhdGU+Tm92PC9kYXRlPjwv
cHViLWRhdGVzPjwvZGF0ZXM+PGlzYm4+MTg3My0yNjA3IChFbGVjdHJvbmljKSYjeEQ7MDc0OS0z
Nzk3IChMaW5raW5nKTwvaXNibj48YWNjZXNzaW9uLW51bT4zMDI2MjE0ODwvYWNjZXNzaW9uLW51
bT48dXJscz48cmVsYXRlZC11cmxzPjx1cmw+aHR0cHM6Ly93d3cubmNiaS5ubG0ubmloLmdvdi9w
dWJtZWQvMzAyNjIxNDg8L3VybD48L3JlbGF0ZWQtdXJscz48L3VybHM+PGVsZWN0cm9uaWMtcmVz
b3VyY2UtbnVtPjEwLjEwMTYvai5hbWVwcmUuMjAxOC4wNi4wMTU8L2VsZWN0cm9uaWMtcmVzb3Vy
Y2UtbnVtPjwvcmVjb3JkPjwvQ2l0ZT48Q2l0ZT48QXV0aG9yPktlbm5lbGx5PC9BdXRob3I+PFll
YXI+MjAxODwvWWVhcj48UmVjTnVtPjEzNzg8L1JlY051bT48cmVjb3JkPjxyZWMtbnVtYmVyPjEz
Nzg8L3JlYy1udW1iZXI+PGZvcmVpZ24ta2V5cz48a2V5IGFwcD0iRU4iIGRiLWlkPSJleHZhc3Jm
eDJkdHJhb2VzYXN4cDJzenN4YTJkZjUwMjU5MngiIHRpbWVzdGFtcD0iMTU2NzA1NDM5NyI+MTM3
ODwva2V5PjxrZXkgYXBwPSJFTldlYiIgZGItaWQ9IiI+MDwva2V5PjwvZm9yZWlnbi1rZXlzPjxy
ZWYtdHlwZSBuYW1lPSJKb3VybmFsIEFydGljbGUiPjE3PC9yZWYtdHlwZT48Y29udHJpYnV0b3Jz
PjxhdXRob3JzPjxhdXRob3I+S2VubmVsbHksIE0uIEEuPC9hdXRob3I+PGF1dGhvcj5BaW5zY291
Z2gsIEsuPC9hdXRob3I+PGF1dGhvcj5MaW5kc2F5LCBLLiBMLjwvYXV0aG9yPjxhdXRob3I+TyZh
cG9zO1N1bGxpdmFuLCBFLjwvYXV0aG9yPjxhdXRob3I+R2libmV5LCBFLiBSLjwvYXV0aG9yPjxh
dXRob3I+TWNDYXJ0aHksIE0uPC9hdXRob3I+PGF1dGhvcj5TZWd1cmFkbywgUi48L2F1dGhvcj48
YXV0aG9yPkRlVml0bywgRy48L2F1dGhvcj48YXV0aG9yPk1hZ3VpcmUsIE8uPC9hdXRob3I+PGF1
dGhvcj5TbWl0aCwgVC48L2F1dGhvcj48YXV0aG9yPkhhdHVuaWMsIE0uPC9hdXRob3I+PGF1dGhv
cj5NY0F1bGlmZmUsIEYuIE0uPC9hdXRob3I+PC9hdXRob3JzPjwvY29udHJpYnV0b3JzPjxhdXRo
LWFkZHJlc3M+VUNEIFBlcmluYXRhbCBSZXNlYXJjaCBDZW50cmUsIE9ic3RldHJpY3MgYW5kIEd5
bmFlY29sb2d5LCBTY2hvb2wgb2YgTWVkaWNpbmUsIHRoZSBVQ0QgSW5zdGl0dXRlIG9mIEZvb2Qg
YW5kIEhlYWx0aCwgVUNEIENTVEFSLCBhbmQgdGhlIFNjaG9vbCBvZiBQdWJsaWMgSGVhbHRoLCBQ
aHlzaWNhbCAmYW1wOyBTcG9ydHMgU2NpZW5jZXMsIEhlYWx0aCBTY2llbmNlcyBDZW50cmUsIFVu
aXZlcnNpdHkgQ29sbGVnZSBEdWJsaW4sIER1YmxpbiwgdGhlIERlcGFydG1lbnQgb2YgTWFuYWdl
bWVudCAmYW1wOyBNYXJrZXRpbmcsIFVuaXZlcnNpdHkgQ29sbGVnZSBDb3JrLCBDb3JrLCBhbmQg
dGhlIERlcGFydG1lbnQgb2YgRW5kb2NyaW5vbG9neSwgU3QuIFZpbmNlbnQmYXBvcztzIFVuaXZl
cnNpdHkgSG9zcGl0YWwsIGFuZCB0aGUgRGVwYXJ0bWVudCBvZiBFbmRvY3Jpbm9sb2d5LCBOYXRp
b25hbCBNYXRlcm5pdHkgSG9zcGl0YWwsIER1YmxpbiwgSXJlbGFuZC48L2F1dGgtYWRkcmVzcz48
dGl0bGVzPjx0aXRsZT5QcmVnbmFuY3kgRXhlcmNpc2UgYW5kIE51dHJpdGlvbiBXaXRoIFNtYXJ0
cGhvbmUgQXBwbGljYXRpb24gU3VwcG9ydDogQSBSYW5kb21pemVkIENvbnRyb2xsZWQgVHJpYWw8
L3RpdGxlPjxzZWNvbmRhcnktdGl0bGU+T2JzdGV0IEd5bmVjb2w8L3NlY29uZGFyeS10aXRsZT48
L3RpdGxlcz48cGVyaW9kaWNhbD48ZnVsbC10aXRsZT5PYnN0ZXQgR3luZWNvbDwvZnVsbC10aXRs
ZT48L3BlcmlvZGljYWw+PHBhZ2VzPjgxOC04MjY8L3BhZ2VzPjx2b2x1bWU+MTMxPC92b2x1bWU+
PG51bWJlcj41PC9udW1iZXI+PGVkaXRpb24+MjAxOC8wNC8xMDwvZWRpdGlvbj48a2V5d29yZHM+
PGtleXdvcmQ+QWR1bHQ8L2tleXdvcmQ+PGtleXdvcmQ+QmVoYXZpb3IgQ29udHJvbC8qbWV0aG9k
czwva2V5d29yZD48a2V5d29yZD5Cb2R5IE1hc3MgSW5kZXg8L2tleXdvcmQ+PGtleXdvcmQ+KkRp
YWJldGVzLCBHZXN0YXRpb25hbC9kaWFnbm9zaXMvZXBpZGVtaW9sb2d5L3ByZXZlbnRpb24gJmFt
cDsgY29udHJvbC9wc3ljaG9sb2d5PC9rZXl3b3JkPjxrZXl3b3JkPkV4ZXJjaXNlL3BoeXNpb2xv
Z3kvKnBzeWNob2xvZ3k8L2tleXdvcmQ+PGtleXdvcmQ+RmVtYWxlPC9rZXl3b3JkPjxrZXl3b3Jk
PkhlYWx0aCBCZWhhdmlvcjwva2V5d29yZD48a2V5d29yZD5IZWFsdGh5IExpZmVzdHlsZTwva2V5
d29yZD48a2V5d29yZD5IdW1hbnM8L2tleXdvcmQ+PGtleXdvcmQ+SW5jaWRlbmNlPC9rZXl3b3Jk
PjxrZXl3b3JkPk1vYmlsZSBBcHBsaWNhdGlvbnM8L2tleXdvcmQ+PGtleXdvcmQ+Kk9iZXNpdHkv
ZGlhZ25vc2lzL3BzeWNob2xvZ3kvdGhlcmFweTwva2V5d29yZD48a2V5d29yZD5QcmVnbmFuY3k8
L2tleXdvcmQ+PGtleXdvcmQ+KlByZWduYW5jeSBDb21wbGljYXRpb25zL2RpYWdub3Npcy9wc3lj
aG9sb2d5L3RoZXJhcHk8L2tleXdvcmQ+PGtleXdvcmQ+UHJlZ25hbmN5IE91dGNvbWUvZXBpZGVt
aW9sb2d5PC9rZXl3b3JkPjxrZXl3b3JkPlByZW5hdGFsIENhcmUvbWV0aG9kczwva2V5d29yZD48
a2V5d29yZD5QcmVuYXRhbCBOdXRyaXRpb25hbCBQaHlzaW9sb2dpY2FsIFBoZW5vbWVuYS8qcGh5
c2lvbG9neTwva2V5d29yZD48a2V5d29yZD4qU21hcnRwaG9uZTwva2V5d29yZD48L2tleXdvcmRz
PjxkYXRlcz48eWVhcj4yMDE4PC95ZWFyPjxwdWItZGF0ZXM+PGRhdGU+TWF5PC9kYXRlPjwvcHVi
LWRhdGVzPjwvZGF0ZXM+PGlzYm4+MTg3My0yMzNYIChFbGVjdHJvbmljKSYjeEQ7MDAyOS03ODQ0
IChMaW5raW5nKTwvaXNibj48YWNjZXNzaW9uLW51bT4yOTYzMDAwOTwvYWNjZXNzaW9uLW51bT48
dXJscz48cmVsYXRlZC11cmxzPjx1cmw+aHR0cHM6Ly93d3cubmNiaS5ubG0ubmloLmdvdi9wdWJt
ZWQvMjk2MzAwMDk8L3VybD48L3JlbGF0ZWQtdXJscz48L3VybHM+PGVsZWN0cm9uaWMtcmVzb3Vy
Y2UtbnVtPjEwLjEwOTcvQU9HLjAwMDAwMDAwMDAwMDI1ODI8L2VsZWN0cm9uaWMtcmVzb3VyY2Ut
bnVtPjwvcmVjb3JkPjwvQ2l0ZT48L0VuZE5vdGU+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A95FF7" w:rsidRPr="005A3ECC">
        <w:rPr>
          <w:rFonts w:ascii="Century Gothic" w:hAnsi="Century Gothic"/>
          <w:noProof/>
        </w:rPr>
      </w:r>
      <w:r w:rsidR="00A95FF7" w:rsidRPr="005A3ECC">
        <w:rPr>
          <w:rFonts w:ascii="Century Gothic" w:hAnsi="Century Gothic"/>
          <w:noProof/>
        </w:rPr>
        <w:fldChar w:fldCharType="separate"/>
      </w:r>
      <w:r w:rsidR="002747EA" w:rsidRPr="002747EA">
        <w:rPr>
          <w:noProof/>
          <w:vertAlign w:val="superscript"/>
        </w:rPr>
        <w:t>505,506</w:t>
      </w:r>
      <w:r w:rsidR="00A95FF7" w:rsidRPr="005A3ECC">
        <w:rPr>
          <w:rFonts w:ascii="Century Gothic" w:hAnsi="Century Gothic"/>
          <w:noProof/>
        </w:rPr>
        <w:fldChar w:fldCharType="end"/>
      </w:r>
      <w:r w:rsidR="00063E54">
        <w:rPr>
          <w:rFonts w:ascii="Century Gothic" w:hAnsi="Century Gothic"/>
          <w:noProof/>
        </w:rPr>
        <w:t xml:space="preserve"> </w:t>
      </w:r>
    </w:p>
    <w:p w14:paraId="587CEC40" w14:textId="77777777" w:rsidR="00A5540F" w:rsidRDefault="00A5540F" w:rsidP="00A5540F">
      <w:pPr>
        <w:pStyle w:val="Heading5"/>
      </w:pPr>
      <w:r>
        <w:t xml:space="preserve">Dietary components </w:t>
      </w:r>
    </w:p>
    <w:p w14:paraId="4B8027EB" w14:textId="5BE0F1D7" w:rsidR="00A5540F" w:rsidRDefault="00A5540F" w:rsidP="00A5540F">
      <w:r>
        <w:t>Some studies provided specific recommendations on fat, carbohydrate and protein intake</w:t>
      </w:r>
      <w:r>
        <w:fldChar w:fldCharType="begin">
          <w:fldData xml:space="preserve">PEVuZE5vdGU+PENpdGU+PEF1dGhvcj5Bc2JlZTwvQXV0aG9yPjxZZWFyPjIwMDk8L1llYXI+PFJl
Y051bT42NjY8L1JlY051bT48RGlzcGxheVRleHQ+PHN0eWxlIGZhY2U9InN1cGVyc2NyaXB0IiBm
b250PSJUcmVidWNoZXQgTVMiIHNpemU9IjkiPjQ4Miw0ODgsNTA4LDUxMCw1MTEsNTIyPC9zdHls
ZT48L0Rpc3BsYXlUZXh0PjxyZWNvcmQ+PHJlYy1udW1iZXI+NjY2PC9yZWMtbnVtYmVyPjxmb3Jl
aWduLWtleXM+PGtleSBhcHA9IkVOIiBkYi1pZD0iZXh2YXNyZngyZHRyYW9lc2FzeHAyc3pzeGEy
ZGY1MDI1OTJ4IiB0aW1lc3RhbXA9IjE1NDA1MjY0OTUiPjY2Njwva2V5PjwvZm9yZWlnbi1rZXlz
PjxyZWYtdHlwZSBuYW1lPSJKb3VybmFsIEFydGljbGUiPjE3PC9yZWYtdHlwZT48Y29udHJpYnV0
b3JzPjxhdXRob3JzPjxhdXRob3I+QXNiZWUsIFMuIE0uPC9hdXRob3I+PGF1dGhvcj5KZW5raW5z
LCBULiBSLjwvYXV0aG9yPjxhdXRob3I+QnV0bGVyLCBKLiBSLjwvYXV0aG9yPjxhdXRob3I+V2hp
dGUsIEouPC9hdXRob3I+PGF1dGhvcj5FbGxpb3QsIE0uPC9hdXRob3I+PGF1dGhvcj5SdXRsZWRn
ZSwgQS48L2F1dGhvcj48L2F1dGhvcnM+PC9jb250cmlidXRvcnM+PGF1dGgtYWRkcmVzcz5DYXJv
bGluYXMgTWVkaWNhbCBDZW50ZXIsIENoYXJsb3R0ZSwgTm9ydGggQ2Fyb2xpbmEsIFVTQS4gZHJz
aGVsbHlAZWFydGhsaW5rLm5ldDwvYXV0aC1hZGRyZXNzPjx0aXRsZXM+PHRpdGxlPlByZXZlbnRp
bmcgZXhjZXNzaXZlIHdlaWdodCBnYWluIGR1cmluZyBwcmVnbmFuY3kgdGhyb3VnaCBkaWV0YXJ5
IGFuZCBsaWZlc3R5bGUgY291bnNlbGluZzogYSByYW5kb21pemVkIGNvbnRyb2xsZWQgdHJpYWw8
L3RpdGxlPjxzZWNvbmRhcnktdGl0bGU+T2JzdGV0IEd5bmVjb2w8L3NlY29uZGFyeS10aXRsZT48
L3RpdGxlcz48cGVyaW9kaWNhbD48ZnVsbC10aXRsZT5PYnN0ZXQgR3luZWNvbDwvZnVsbC10aXRs
ZT48L3BlcmlvZGljYWw+PHBhZ2VzPjMwNS0xMjwvcGFnZXM+PHZvbHVtZT4xMTM8L3ZvbHVtZT48
bnVtYmVyPjIgUHQgMTwvbnVtYmVyPjxlZGl0aW9uPjIwMDkvMDEvMjI8L2VkaXRpb24+PGtleXdv
cmRzPjxrZXl3b3JkPkFkdWx0PC9rZXl3b3JkPjxrZXl3b3JkPkJpcnRoIFdlaWdodDwva2V5d29y
ZD48a2V5d29yZD5Cb2R5IE1hc3MgSW5kZXg8L2tleXdvcmQ+PGtleXdvcmQ+KkRpcmVjdGl2ZSBD
b3Vuc2VsaW5nPC9rZXl3b3JkPjxrZXl3b3JkPkZlbWFsZTwva2V5d29yZD48a2V5d29yZD5IdW1h
bnM8L2tleXdvcmQ+PGtleXdvcmQ+SW5mYW50LCBOZXdib3JuPC9rZXl3b3JkPjxrZXl3b3JkPk1p
ZGRsZSBBZ2VkPC9rZXl3b3JkPjxrZXl3b3JkPk9iZXNpdHkvKmRpZXQgdGhlcmFweS8qcHJldmVu
dGlvbiAmYW1wOyBjb250cm9sPC9rZXl3b3JkPjxrZXl3b3JkPlBhdGllbnQgQ29tcGxpYW5jZTwv
a2V5d29yZD48a2V5d29yZD5QcmVnbmFuY3k8L2tleXdvcmQ+PGtleXdvcmQ+UHJlZ25hbmN5IENv
bXBsaWNhdGlvbnMvKmRpZXQgdGhlcmFweS8qcHJldmVudGlvbiAmYW1wOyBjb250cm9sPC9rZXl3
b3JkPjxrZXl3b3JkPlByZW5hdGFsIENhcmUvKm1ldGhvZHM8L2tleXdvcmQ+PGtleXdvcmQ+Umlz
ayBSZWR1Y3Rpb24gQmVoYXZpb3I8L2tleXdvcmQ+PGtleXdvcmQ+V2VpZ2h0IEdhaW48L2tleXdv
cmQ+PGtleXdvcmQ+WW91bmcgQWR1bHQ8L2tleXdvcmQ+PC9rZXl3b3Jkcz48ZGF0ZXM+PHllYXI+
MjAwOTwveWVhcj48cHViLWRhdGVzPjxkYXRlPkZlYjwvZGF0ZT48L3B1Yi1kYXRlcz48L2RhdGVz
Pjxpc2JuPjAwMjktNzg0NCAoUHJpbnQpJiN4RDswMDI5LTc4NDQgKExpbmtpbmcpPC9pc2JuPjxh
Y2Nlc3Npb24tbnVtPjE5MTU1ODk5PC9hY2Nlc3Npb24tbnVtPjx1cmxzPjxyZWxhdGVkLXVybHM+
PHVybD5odHRwczovL3d3dy5uY2JpLm5sbS5uaWguZ292L3B1Ym1lZC8xOTE1NTg5OTwvdXJsPjwv
cmVsYXRlZC11cmxzPjwvdXJscz48ZWxlY3Ryb25pYy1yZXNvdXJjZS1udW0+MTAuMTA5Ny9BT0cu
MGIwMTNlMzE4MTk1YmFlZjwvZWxlY3Ryb25pYy1yZXNvdXJjZS1udW0+PC9yZWNvcmQ+PC9DaXRl
PjxDaXRlPjxBdXRob3I+Qm9nYWVydHM8L0F1dGhvcj48WWVhcj4yMDEzPC9ZZWFyPjxSZWNOdW0+
NzEzPC9SZWNOdW0+PHJlY29yZD48cmVjLW51bWJlcj43MTM8L3JlYy1udW1iZXI+PGZvcmVpZ24t
a2V5cz48a2V5IGFwcD0iRU4iIGRiLWlkPSJleHZhc3JmeDJkdHJhb2VzYXN4cDJzenN4YTJkZjUw
MjU5MngiIHRpbWVzdGFtcD0iMTU0MTQ2MjQ0MyI+NzEzPC9rZXk+PC9mb3JlaWduLWtleXM+PHJl
Zi10eXBlIG5hbWU9IkpvdXJuYWwgQXJ0aWNsZSI+MTc8L3JlZi10eXBlPjxjb250cmlidXRvcnM+
PGF1dGhvcnM+PGF1dGhvcj5Cb2dhZXJ0cywgQS4gRi48L2F1dGhvcj48YXV0aG9yPkRldmxpZWdl
ciwgUi48L2F1dGhvcj48YXV0aG9yPk51eXRzLCBFLjwvYXV0aG9yPjxhdXRob3I+V2l0dGVycywg
SS48L2F1dGhvcj48YXV0aG9yPkd5c2VsYWVycywgVy48L2F1dGhvcj48YXV0aG9yPlZhbiBkZW4g
QmVyZ2gsIEIuIFIuPC9hdXRob3I+PC9hdXRob3JzPjwvY29udHJpYnV0b3JzPjxhdXRoLWFkZHJl
c3M+RGVwYXJ0bWVudCBvZiBIZWFsdGhjYXJlIFJlc2VhcmNoLCBQSEwgVW5pdmVyc2l0eSBDb2xs
ZWdlLCBMaW1idXJnIENhdGhvbGljIFVuaXZlcnNpdHkgQ29sbGVnZSwgSGFzc2VsdCwgQmVsZ2l1
bS48L2F1dGgtYWRkcmVzcz48dGl0bGVzPjx0aXRsZT5FZmZlY3RzIG9mIGxpZmVzdHlsZSBpbnRl
cnZlbnRpb24gaW4gb2Jlc2UgcHJlZ25hbnQgd29tZW4gb24gZ2VzdGF0aW9uYWwgd2VpZ2h0IGdh
aW4gYW5kIG1lbnRhbCBoZWFsdGg6IGEgcmFuZG9taXplZCBjb250cm9sbGVkIHRyaWFsPC90aXRs
ZT48c2Vjb25kYXJ5LXRpdGxlPkludCBKIE9iZXMgKExvbmQpPC9zZWNvbmRhcnktdGl0bGU+PC90
aXRsZXM+PHBlcmlvZGljYWw+PGZ1bGwtdGl0bGU+SW50IEogT2JlcyAoTG9uZCk8L2Z1bGwtdGl0
bGU+PC9wZXJpb2RpY2FsPjxwYWdlcz44MTQtMjE8L3BhZ2VzPjx2b2x1bWU+Mzc8L3ZvbHVtZT48
bnVtYmVyPjY8L251bWJlcj48ZWRpdGlvbj4yMDEyLzEwLzA0PC9lZGl0aW9uPjxrZXl3b3Jkcz48
a2V5d29yZD5BZHVsdDwva2V5d29yZD48a2V5d29yZD5BbnhpZXR5L2VwaWRlbWlvbG9neS8qcHJl
dmVudGlvbiAmYW1wOyBjb250cm9sPC9rZXl3b3JkPjxrZXl3b3JkPkJlbGdpdW0vZXBpZGVtaW9s
b2d5PC9rZXl3b3JkPjxrZXl3b3JkPkJvZHkgTWFzcyBJbmRleDwva2V5d29yZD48a2V5d29yZD5E
ZXByZXNzaW9uL2VwaWRlbWlvbG9neS8qcHJldmVudGlvbiAmYW1wOyBjb250cm9sPC9rZXl3b3Jk
PjxrZXl3b3JkPkZlbWFsZTwva2V5d29yZD48a2V5d29yZD5IZWFsdGggS25vd2xlZGdlLCBBdHRp
dHVkZXMsIFByYWN0aWNlPC9rZXl3b3JkPjxrZXl3b3JkPkh1bWFuczwva2V5d29yZD48a2V5d29y
ZD4qTGlmZSBTdHlsZTwva2V5d29yZD48a2V5d29yZD5Mb25naXR1ZGluYWwgU3R1ZGllczwva2V5
d29yZD48a2V5d29yZD5Nb3RpdmF0aW9uPC9rZXl3b3JkPjxrZXl3b3JkPk9iZXNpdHkvZXBpZGVt
aW9sb2d5L3ByZXZlbnRpb24gJmFtcDsgY29udHJvbC9wc3ljaG9sb2d5Lyp0aGVyYXB5PC9rZXl3
b3JkPjxrZXl3b3JkPlBhdGllbnQgRWR1Y2F0aW9uIGFzIFRvcGljPC9rZXl3b3JkPjxrZXl3b3Jk
PlByZWduYW5jeTwva2V5d29yZD48a2V5d29yZD5QcmVnbmFuY3kgQ29tcGxpY2F0aW9ucy9lcGlk
ZW1pb2xvZ3kvcHJldmVudGlvbiAmYW1wOyBjb250cm9sL3BzeWNob2xvZ3kvKnRoZXJhcHk8L2tl
eXdvcmQ+PGtleXdvcmQ+UHJlbmF0YWwgQ2FyZS8qbWV0aG9kczwva2V5d29yZD48a2V5d29yZD5Q
cmV2YWxlbmNlPC9rZXl3b3JkPjxrZXl3b3JkPlJpc2sgRmFjdG9yczwva2V5d29yZD48a2V5d29y
ZD5SaXNrIFJlZHVjdGlvbiBCZWhhdmlvcjwva2V5d29yZD48a2V5d29yZD5TdXJ2ZXlzIGFuZCBR
dWVzdGlvbm5haXJlczwva2V5d29yZD48a2V5d29yZD4qV2VpZ2h0IEdhaW48L2tleXdvcmQ+PC9r
ZXl3b3Jkcz48ZGF0ZXM+PHllYXI+MjAxMzwveWVhcj48cHViLWRhdGVzPjxkYXRlPkp1bjwvZGF0
ZT48L3B1Yi1kYXRlcz48L2RhdGVzPjxpc2JuPjE0NzYtNTQ5NyAoRWxlY3Ryb25pYykmI3hEOzAz
MDctMDU2NSAoTGlua2luZyk8L2lzYm4+PGFjY2Vzc2lvbi1udW0+MjMwMzI0MDQ8L2FjY2Vzc2lv
bi1udW0+PHVybHM+PHJlbGF0ZWQtdXJscz48dXJsPmh0dHBzOi8vd3d3Lm5jYmkubmxtLm5paC5n
b3YvcHVibWVkLzIzMDMyNDA0PC91cmw+PC9yZWxhdGVkLXVybHM+PC91cmxzPjxlbGVjdHJvbmlj
LXJlc291cmNlLW51bT4xMC4xMDM4L2lqby4yMDEyLjE2MjwvZWxlY3Ryb25pYy1yZXNvdXJjZS1u
dW0+PC9yZWNvcmQ+PC9DaXRlPjxDaXRlPjxBdXRob3I+R3VlbGluY2t4PC9BdXRob3I+PFllYXI+
MjAxMDwvWWVhcj48UmVjTnVtPjcyMjwvUmVjTnVtPjxyZWNvcmQ+PHJlYy1udW1iZXI+NzIyPC9y
ZWMtbnVtYmVyPjxmb3JlaWduLWtleXM+PGtleSBhcHA9IkVOIiBkYi1pZD0iZXh2YXNyZngyZHRy
YW9lc2FzeHAyc3pzeGEyZGY1MDI1OTJ4IiB0aW1lc3RhbXA9IjE1NDE0NjQ3NzciPjcyMjwva2V5
PjwvZm9yZWlnbi1rZXlzPjxyZWYtdHlwZSBuYW1lPSJKb3VybmFsIEFydGljbGUiPjE3PC9yZWYt
dHlwZT48Y29udHJpYnV0b3JzPjxhdXRob3JzPjxhdXRob3I+R3VlbGluY2t4LCBJLjwvYXV0aG9y
PjxhdXRob3I+RGV2bGllZ2VyLCBSLjwvYXV0aG9yPjxhdXRob3I+TXVsbGllLCBQLjwvYXV0aG9y
PjxhdXRob3I+VmFuc2FudCwgRy48L2F1dGhvcj48L2F1dGhvcnM+PC9jb250cmlidXRvcnM+PGF1
dGgtYWRkcmVzcz5EZXBhcnRtZW50IG9mIE51dHJpdGlvbi1QdWJsaWMgSGVhbHRoIE1lZGljaW5l
LCBMRm9SQ2UsIENhdGhvbGljIFVuaXZlcnNpdHkgTGV1dmVuLCBMZXV2ZW4sIEJlbGdpdW0uIGlz
YWJlbGxlLmd1ZWxpbmNreEBtZWQua3VsZXV2ZW4uYmU8L2F1dGgtYWRkcmVzcz48dGl0bGVzPjx0
aXRsZT5FZmZlY3Qgb2YgbGlmZXN0eWxlIGludGVydmVudGlvbiBvbiBkaWV0YXJ5IGhhYml0cywg
cGh5c2ljYWwgYWN0aXZpdHksIGFuZCBnZXN0YXRpb25hbCB3ZWlnaHQgZ2FpbiBpbiBvYmVzZSBw
cmVnbmFudCB3b21lbjogYSByYW5kb21pemVkIGNvbnRyb2xsZWQgdHJpYWw8L3RpdGxlPjxzZWNv
bmRhcnktdGl0bGU+QW0gSiBDbGluIE51dHI8L3NlY29uZGFyeS10aXRsZT48L3RpdGxlcz48cGVy
aW9kaWNhbD48ZnVsbC10aXRsZT5BbSBKIENsaW4gTnV0cjwvZnVsbC10aXRsZT48L3BlcmlvZGlj
YWw+PHBhZ2VzPjM3My04MDwvcGFnZXM+PHZvbHVtZT45MTwvdm9sdW1lPjxudW1iZXI+MjwvbnVt
YmVyPjxlZGl0aW9uPjIwMDkvMTIvMDQ8L2VkaXRpb24+PGtleXdvcmRzPjxrZXl3b3JkPkFkdWx0
PC9rZXl3b3JkPjxrZXl3b3JkPkJlaGF2aW9yIFRoZXJhcHkvKm1ldGhvZHM8L2tleXdvcmQ+PGtl
eXdvcmQ+RmVlZGluZyBCZWhhdmlvci9waHlzaW9sb2d5PC9rZXl3b3JkPjxrZXl3b3JkPkZlbWFs
ZTwva2V5d29yZD48a2V5d29yZD5IdW1hbnM8L2tleXdvcmQ+PGtleXdvcmQ+SW5mYW50LCBOZXdi
b3JuPC9rZXl3b3JkPjxrZXl3b3JkPipMaWZlIFN0eWxlPC9rZXl3b3JkPjxrZXl3b3JkPk1vdG9y
IEFjdGl2aXR5L3BoeXNpb2xvZ3k8L2tleXdvcmQ+PGtleXdvcmQ+T2Jlc2l0eS9waHlzaW9wYXRo
b2xvZ3kvKnRoZXJhcHk8L2tleXdvcmQ+PGtleXdvcmQ+UHJlZ25hbmN5PC9rZXl3b3JkPjxrZXl3
b3JkPlByZWduYW5jeSBDb21wbGljYXRpb25zL3BoeXNpb3BhdGhvbG9neS8qdGhlcmFweTwva2V5
d29yZD48a2V5d29yZD5QcmVuYXRhbCBOdXRyaXRpb25hbCBQaHlzaW9sb2dpY2FsIFBoZW5vbWVu
YTwva2V5d29yZD48a2V5d29yZD5XZWlnaHQgR2Fpbi8qcGh5c2lvbG9neTwva2V5d29yZD48L2tl
eXdvcmRzPjxkYXRlcz48eWVhcj4yMDEwPC95ZWFyPjxwdWItZGF0ZXM+PGRhdGU+RmViPC9kYXRl
PjwvcHViLWRhdGVzPjwvZGF0ZXM+PGlzYm4+MTkzOC0zMjA3IChFbGVjdHJvbmljKSYjeEQ7MDAw
Mi05MTY1IChMaW5raW5nKTwvaXNibj48YWNjZXNzaW9uLW51bT4xOTk1NTM5NzwvYWNjZXNzaW9u
LW51bT48dXJscz48cmVsYXRlZC11cmxzPjx1cmw+aHR0cHM6Ly93d3cubmNiaS5ubG0ubmloLmdv
di9wdWJtZWQvMTk5NTUzOTc8L3VybD48L3JlbGF0ZWQtdXJscz48L3VybHM+PGVsZWN0cm9uaWMt
cmVzb3VyY2UtbnVtPjEwLjM5NDUvYWpjbi4yMDA5LjI4MTY2PC9lbGVjdHJvbmljLXJlc291cmNl
LW51bT48L3JlY29yZD48L0NpdGU+PENpdGU+PEF1dGhvcj5MdW90bzwvQXV0aG9yPjxZZWFyPjIw
MTE8L1llYXI+PFJlY051bT4xMDg0PC9SZWNOdW0+PHJlY29yZD48cmVjLW51bWJlcj4xMDg0PC9y
ZWMtbnVtYmVyPjxmb3JlaWduLWtleXM+PGtleSBhcHA9IkVOIiBkYi1pZD0iZXh2YXNyZngyZHRy
YW9lc2FzeHAyc3pzeGEyZGY1MDI1OTJ4IiB0aW1lc3RhbXA9IjE1NTI5NDY1MDEiPjEwODQ8L2tl
eT48a2V5IGFwcD0iRU5XZWIiIGRiLWlkPSIiPjA8L2tleT48L2ZvcmVpZ24ta2V5cz48cmVmLXR5
cGUgbmFtZT0iSm91cm5hbCBBcnRpY2xlIj4xNzwvcmVmLXR5cGU+PGNvbnRyaWJ1dG9ycz48YXV0
aG9ycz48YXV0aG9yPkx1b3RvLCBSLjwvYXV0aG9yPjxhdXRob3I+S2lubnVuZW4sIFQuIEkuPC9h
dXRob3I+PGF1dGhvcj5BaXR0YXNhbG8sIE0uPC9hdXRob3I+PGF1dGhvcj5Lb2x1LCBQLjwvYXV0
aG9yPjxhdXRob3I+UmFpdGFuZW4sIEouPC9hdXRob3I+PGF1dGhvcj5PamFsYSwgSy48L2F1dGhv
cj48YXV0aG9yPk1hbnNpa2thbWFraSwgSy48L2F1dGhvcj48YXV0aG9yPkxhbWJlcmcsIFMuPC9h
dXRob3I+PGF1dGhvcj5WYXNhbmthcmksIFQuPC9hdXRob3I+PGF1dGhvcj5Lb211bGFpbmVuLCBU
LjwvYXV0aG9yPjxhdXRob3I+VHVsb2thcywgUy48L2F1dGhvcj48L2F1dGhvcnM+PC9jb250cmli
dXRvcnM+PGF1dGgtYWRkcmVzcz5VS0sgSW5zdGl0dXRlIGZvciBIZWFsdGggUHJvbW90aW9uIFJl
c2VhcmNoLCBUYW1wZXJlLCBGaW5sYW5kLiByaWl0dGEubHVvdG9AdXRhLmZpPC9hdXRoLWFkZHJl
c3M+PHRpdGxlcz48dGl0bGU+UHJpbWFyeSBwcmV2ZW50aW9uIG9mIGdlc3RhdGlvbmFsIGRpYWJl
dGVzIG1lbGxpdHVzIGFuZCBsYXJnZS1mb3ItZ2VzdGF0aW9uYWwtYWdlIG5ld2Jvcm5zIGJ5IGxp
ZmVzdHlsZSBjb3Vuc2VsaW5nOiBhIGNsdXN0ZXItcmFuZG9taXplZCBjb250cm9sbGVkIHRyaWFs
PC90aXRsZT48c2Vjb25kYXJ5LXRpdGxlPlBMb1MgTWVkPC9zZWNvbmRhcnktdGl0bGU+PC90aXRs
ZXM+PHBlcmlvZGljYWw+PGZ1bGwtdGl0bGU+UExvUyBNZWQ8L2Z1bGwtdGl0bGU+PC9wZXJpb2Rp
Y2FsPjxwYWdlcz5lMTAwMTAzNjwvcGFnZXM+PHZvbHVtZT44PC92b2x1bWU+PG51bWJlcj41PC9u
dW1iZXI+PGVkaXRpb24+MjAxMS8wNS8yNjwvZWRpdGlvbj48a2V5d29yZHM+PGtleXdvcmQ+QWR1
bHQ8L2tleXdvcmQ+PGtleXdvcmQ+QmVoYXZpb3IvcGh5c2lvbG9neTwva2V5d29yZD48a2V5d29y
ZD5CaXJ0aCBXZWlnaHQvKnBoeXNpb2xvZ3k8L2tleXdvcmQ+PGtleXdvcmQ+RGlhYmV0ZXMsIEdl
c3RhdGlvbmFsLypwcmV2ZW50aW9uICZhbXA7IGNvbnRyb2w8L2tleXdvcmQ+PGtleXdvcmQ+RGll
dDwva2V5d29yZD48a2V5d29yZD5GZW1hbGU8L2tleXdvcmQ+PGtleXdvcmQ+RmlubGFuZDwva2V5
d29yZD48a2V5d29yZD4qR2VzdGF0aW9uYWwgQWdlPC9rZXl3b3JkPjxrZXl3b3JkPkdsdWNvc2Ug
VG9sZXJhbmNlIFRlc3Q8L2tleXdvcmQ+PGtleXdvcmQ+KkhlYWx0aCBFZHVjYXRpb248L2tleXdv
cmQ+PGtleXdvcmQ+SHVtYW5zPC9rZXl3b3JkPjxrZXl3b3JkPkluZmFudCwgTmV3Ym9ybjwva2V5
d29yZD48a2V5d29yZD5JbnN1bGluL21ldGFib2xpc208L2tleXdvcmQ+PGtleXdvcmQ+KkxpZmUg
U3R5bGU8L2tleXdvcmQ+PGtleXdvcmQ+TW90b3IgQWN0aXZpdHk8L2tleXdvcmQ+PGtleXdvcmQ+
UGF0aWVudCBDb21wbGlhbmNlPC9rZXl3b3JkPjxrZXl3b3JkPlByZWduYW5jeTwva2V5d29yZD48
a2V5d29yZD4qUHJpbWFyeSBQcmV2ZW50aW9uPC9rZXl3b3JkPjxrZXl3b3JkPlRyZWF0bWVudCBP
dXRjb21lPC9rZXl3b3JkPjwva2V5d29yZHM+PGRhdGVzPjx5ZWFyPjIwMTE8L3llYXI+PHB1Yi1k
YXRlcz48ZGF0ZT5NYXk8L2RhdGU+PC9wdWItZGF0ZXM+PC9kYXRlcz48aXNibj4xNTQ5LTE2NzYg
KEVsZWN0cm9uaWMpJiN4RDsxNTQ5LTEyNzcgKExpbmtpbmcpPC9pc2JuPjxhY2Nlc3Npb24tbnVt
PjIxNjEwODYwPC9hY2Nlc3Npb24tbnVtPjx1cmxzPjxyZWxhdGVkLXVybHM+PHVybD5odHRwczov
L3d3dy5uY2JpLm5sbS5uaWguZ292L3B1Ym1lZC8yMTYxMDg2MDwvdXJsPjwvcmVsYXRlZC11cmxz
PjwvdXJscz48Y3VzdG9tMj5QTUMzMDk2NjEwPC9jdXN0b20yPjxlbGVjdHJvbmljLXJlc291cmNl
LW51bT4xMC4xMzcxL2pvdXJuYWwucG1lZC4xMDAxMDM2PC9lbGVjdHJvbmljLXJlc291cmNlLW51
bT48L3JlY29yZD48L0NpdGU+PENpdGU+PEF1dGhvcj5QaGVsYW48L0F1dGhvcj48WWVhcj4yMDE4
PC9ZZWFyPjxSZWNOdW0+MTM4NjwvUmVjTnVtPjxyZWNvcmQ+PHJlYy1udW1iZXI+MTM4NjwvcmVj
LW51bWJlcj48Zm9yZWlnbi1rZXlzPjxrZXkgYXBwPSJFTiIgZGItaWQ9ImV4dmFzcmZ4MmR0cmFv
ZXNhc3hwMnN6c3hhMmRmNTAyNTkyeCIgdGltZXN0YW1wPSIxNTY3MzgyNDg1Ij4xMzg2PC9rZXk+
PC9mb3JlaWduLWtleXM+PHJlZi10eXBlIG5hbWU9IkpvdXJuYWwgQXJ0aWNsZSI+MTc8L3JlZi10
eXBlPjxjb250cmlidXRvcnM+PGF1dGhvcnM+PGF1dGhvcj5QaGVsYW4sIFMuPC9hdXRob3I+PGF1
dGhvcj5XaW5nLCBSLiBSLjwvYXV0aG9yPjxhdXRob3I+QnJhbm5lbiwgQS48L2F1dGhvcj48YXV0
aG9yPk1jSHVnaCwgQS48L2F1dGhvcj48YXV0aG9yPkhhZ29iaWFuLCBULiBBLjwvYXV0aG9yPjxh
dXRob3I+U2NoYWZmbmVyLCBBLjwvYXV0aG9yPjxhdXRob3I+SmVsYWxpYW4sIEUuPC9hdXRob3I+
PGF1dGhvcj5IYXJ0LCBDLiBOLjwvYXV0aG9yPjxhdXRob3I+U2Nob2xsLCBULiBPLjwvYXV0aG9y
PjxhdXRob3I+TXVub3otQ2hyaXN0aWFuLCBLLjwvYXV0aG9yPjxhdXRob3I+WWluLCBFLjwvYXV0
aG9yPjxhdXRob3I+UGhpcHBzLCBNLiBHLjwvYXV0aG9yPjxhdXRob3I+S2VhZGxlLCBTLjwvYXV0
aG9yPjxhdXRob3I+QWJyYW1zLCBCLjwvYXV0aG9yPjwvYXV0aG9ycz48L2NvbnRyaWJ1dG9ycz48
YXV0aC1hZGRyZXNzPkRlcGFydG1lbnRzIG9mIEtpbmVzaW9sb2d5LCBTdGF0aXN0aWNzLCBhbmQg
TW9kZXJuIExhbmd1YWdlcywgQ2FsaWZvcm5pYSBQb2x5dGVjaG5pYyBTdGF0ZSBVbml2ZXJzaXR5
LCBTYW4gTHVpcyBPYmlzcG8sIENBLiYjeEQ7RGVwYXJ0bWVudCBvZiBQc3ljaGlhdHJ5IGFuZCBI
dW1hbiBCZWhhdmlvciwgV2FycmVuIEFscGVydCBNZWRpY2FsIFNjaG9vbCBhdCBCcm93biBVbml2
ZXJzaXR5LCBQcm92aWRlbmNlLCBSSS4mI3hEO0RlcGFydG1lbnRzIG9mIFN0YXRpc3RpY3MsIGFu
ZCBNb2Rlcm4gTGFuZ3VhZ2VzLCBDYWxpZm9ybmlhIFBvbHl0ZWNobmljIFN0YXRlIFVuaXZlcnNp
dHksIFNhbiBMdWlzIE9iaXNwbywgQ0EuJiN4RDtEZXBhcnRtZW50IG9mIFNvY2lhbCBhbmQgQmVo
YXZpb3JhbCBTY2llbmNlcywgVGVtcGxlIFVuaXZlcnNpdHkgQ2VudGVyIGZvciBPYmVzaXR5IFJl
c2VhcmNoIGFuZCBFZHVjYXRpb24sIFBoaWxhZGVscGhpYSwgUEEuJiN4RDtEZXBhcnRtZW50IG9m
IE9ic3RldHJpY3MgYW5kIEd5bmVjb2xvZ3ksIFVuaXZlcnNpdHkgb2YgTWVkaWNpbmUgYW5kIERl
bnRpc3RyeSBvZiBOZXcgSmVyc2V5IChub3cgUm93YW4pLCBHbGFzc2Jvcm8sIE5KLiYjeEQ7RGVw
YXJ0bWVudHMgb2YgTW9kZXJuIExhbmd1YWdlcywgQ2FsaWZvcm5pYSBQb2x5dGVjaG5pYyBTdGF0
ZSBVbml2ZXJzaXR5LCBTYW4gTHVpcyBPYmlzcG8sIENBLiYjeEQ7UGFjaWZpYyBDZW50cmFsIENv
YXN0IEhlYWx0aCBDZW50ZXJzLCBTYW50YSBNYXJpYSBXb21lbiZhcG9zO3MgSGVhbHRoLCBTYW50
YSBNYXJpYSwgQ0EuJiN4RDtEZXBhcnRtZW50IG9mIE9ic3RldHJpY3MgYW5kIEd5bmVjb2xvZ3ks
IFdhcnJlbiBBbHBlcnQgTWVkaWNhbCBTY2hvb2wgb2YgQnJvd24gVW5pdmVyc2l0eSBhbmQgV29t
ZW4gYW5kIEluZmFudHMgSG9zcGl0YWwsIFByb3ZpZGVuY2UsIFJJLiYjeEQ7RGl2aXNpb24gb2Yg
RXBpZGVtaW9sb2d5LCBVbml2ZXJzaXR5IG9mIENhbGlmb3JuaWEgYXQgQmVya2VsZXkgU2Nob29s
IG9mIFB1YmxpYyBIZWFsdGgsIEJlcmtlbGV5LCBDQS48L2F1dGgtYWRkcmVzcz48dGl0bGVzPjx0
aXRsZT5SYW5kb21pemVkIGNvbnRyb2xsZWQgY2xpbmljYWwgdHJpYWwgb2YgYmVoYXZpb3JhbCBs
aWZlc3R5bGUgaW50ZXJ2ZW50aW9uIHdpdGggcGFydGlhbCBtZWFsIHJlcGxhY2VtZW50IHRvIHJl
ZHVjZSBleGNlc3NpdmUgZ2VzdGF0aW9uYWwgd2VpZ2h0IGdhaW48L3RpdGxlPjxzZWNvbmRhcnkt
dGl0bGU+QW0gSiBDbGluIE51dHI8L3NlY29uZGFyeS10aXRsZT48L3RpdGxlcz48cGVyaW9kaWNh
bD48ZnVsbC10aXRsZT5BbSBKIENsaW4gTnV0cjwvZnVsbC10aXRsZT48L3BlcmlvZGljYWw+PHBh
Z2VzPjE4My0xOTQ8L3BhZ2VzPjx2b2x1bWU+MTA3PC92b2x1bWU+PG51bWJlcj4yPC9udW1iZXI+
PGVkaXRpb24+MjAxOC8wMy8xMzwvZWRpdGlvbj48a2V5d29yZHM+PGtleXdvcmQ+QWR1bHQ8L2tl
eXdvcmQ+PGtleXdvcmQ+Qm9keSBNYXNzIEluZGV4PC9rZXl3b3JkPjxrZXl3b3JkPkNhbGlmb3Ju
aWE8L2tleXdvcmQ+PGtleXdvcmQ+RGlldDwva2V5d29yZD48a2V5d29yZD5FdGhuaWMgR3JvdXBz
PC9rZXl3b3JkPjxrZXl3b3JkPkV4ZXJjaXNlPC9rZXl3b3JkPjxrZXl3b3JkPkZlbWFsZTwva2V5
d29yZD48a2V5d29yZD4qR2VzdGF0aW9uYWwgV2VpZ2h0IEdhaW48L2tleXdvcmQ+PGtleXdvcmQ+
KkhlYWx0aCBCZWhhdmlvcjwva2V5d29yZD48a2V5d29yZD5IdW1hbnM8L2tleXdvcmQ+PGtleXdv
cmQ+SW5jaWRlbmNlPC9rZXl3b3JkPjxrZXl3b3JkPipMaWZlIFN0eWxlPC9rZXl3b3JkPjxrZXl3
b3JkPk1lYWxzPC9rZXl3b3JkPjxrZXl3b3JkPk51dHJpdGlvbiBBc3Nlc3NtZW50PC9rZXl3b3Jk
PjxrZXl3b3JkPk9iZXNpdHkvKnByZXZlbnRpb24gJmFtcDsgY29udHJvbDwva2V5d29yZD48a2V5
d29yZD5PdmVyd2VpZ2h0LypwcmV2ZW50aW9uICZhbXA7IGNvbnRyb2w8L2tleXdvcmQ+PGtleXdv
cmQ+UHJlZ25hbmN5PC9rZXl3b3JkPjxrZXl3b3JkPlByZWduYW5jeSBDb21wbGljYXRpb25zLypw
cmV2ZW50aW9uICZhbXA7IGNvbnRyb2w8L2tleXdvcmQ+PGtleXdvcmQ+UHJlZ25hbmN5IE91dGNv
bWU8L2tleXdvcmQ+PGtleXdvcmQ+UmlzayBGYWN0b3JzPC9rZXl3b3JkPjxrZXl3b3JkPllvdW5n
IEFkdWx0PC9rZXl3b3JkPjwva2V5d29yZHM+PGRhdGVzPjx5ZWFyPjIwMTg8L3llYXI+PHB1Yi1k
YXRlcz48ZGF0ZT5GZWIgMTwvZGF0ZT48L3B1Yi1kYXRlcz48L2RhdGVzPjxpc2JuPjE5MzgtMzIw
NyAoRWxlY3Ryb25pYykmI3hEOzAwMDItOTE2NSAoTGlua2luZyk8L2lzYm4+PGFjY2Vzc2lvbi1u
dW0+Mjk1MjkxNTc8L2FjY2Vzc2lvbi1udW0+PHVybHM+PHJlbGF0ZWQtdXJscz48dXJsPmh0dHBz
Oi8vd3d3Lm5jYmkubmxtLm5paC5nb3YvcHVibWVkLzI5NTI5MTU3PC91cmw+PC9yZWxhdGVkLXVy
bHM+PC91cmxzPjxjdXN0b20yPlBNQzY0NTUwMzA8L2N1c3RvbTI+PGVsZWN0cm9uaWMtcmVzb3Vy
Y2UtbnVtPjEwLjEwOTMvYWpjbi9ucXgwNDM8L2VsZWN0cm9uaWMtcmVzb3VyY2UtbnVtPjwvcmVj
b3JkPjwvQ2l0ZT48Q2l0ZT48QXV0aG9yPlJ1Y2hhdDwvQXV0aG9yPjxZZWFyPjIwMTI8L1llYXI+
PFJlY051bT43NTY8L1JlY051bT48cmVjb3JkPjxyZWMtbnVtYmVyPjc1NjwvcmVjLW51bWJlcj48
Zm9yZWlnbi1rZXlzPjxrZXkgYXBwPSJFTiIgZGItaWQ9ImV4dmFzcmZ4MmR0cmFvZXNhc3hwMnN6
c3hhMmRmNTAyNTkyeCIgdGltZXN0YW1wPSIxNTQxNDY3OTY1Ij43NTY8L2tleT48a2V5IGFwcD0i
RU5XZWIiIGRiLWlkPSIiPjA8L2tleT48L2ZvcmVpZ24ta2V5cz48cmVmLXR5cGUgbmFtZT0iSm91
cm5hbCBBcnRpY2xlIj4xNzwvcmVmLXR5cGU+PGNvbnRyaWJ1dG9ycz48YXV0aG9ycz48YXV0aG9y
PlJ1Y2hhdCwgUy1NLiw8L2F1dGhvcj48YXV0aG9yPkRhdmVucG9ydCwgTS5ILiw8L2F1dGhvcj48
YXV0aG9yPkdpcm91eCwgSS4sPC9hdXRob3I+PGF1dGhvcj5IaWxsaWVyLCBNLiw8L2F1dGhvcj48
YXV0aG9yPkJhdGFkYSwgQS4sPC9hdXRob3I+PGF1dGhvcj5Tb3BwZXIsIE0uTS4sPC9hdXRob3I+
PGF1dGhvcj5IYW1tb25kLCBKLk0uUy4sPC9hdXRob3I+PGF1dGhvcj5Nb3R0b2xhLCBNLkYuLDwv
YXV0aG9yPjwvYXV0aG9ycz48L2NvbnRyaWJ1dG9ycz48dGl0bGVzPjx0aXRsZT5OdXRyaXRpb24g
YW5kIGV4ZXJjaXNlIHJlZHVjZSBleGNlc3NpdmUgd2VpZ2h0IGdhaW4gaW4gbm9ybWFsLXdlaWdo
dCBwcmVnbmFudCB3b21lbjwvdGl0bGU+PHNlY29uZGFyeS10aXRsZT5NZWRpY2luZSAmYW1wOyBT
Y2llbmNlIGluIFNwb3J0cyAmYW1wOyBFeGVyY2lzZTwvc2Vjb25kYXJ5LXRpdGxlPjwvdGl0bGVz
PjxwZXJpb2RpY2FsPjxmdWxsLXRpdGxlPk1lZGljaW5lICZhbXA7IFNjaWVuY2UgaW4gU3BvcnRz
ICZhbXA7IEV4ZXJjaXNlPC9mdWxsLXRpdGxlPjwvcGVyaW9kaWNhbD48cGFnZXM+MTQxOS0xNDI2
PC9wYWdlcz48dm9sdW1lPjQ0PC92b2x1bWU+PG51bWJlcj44PC9udW1iZXI+PHNlY3Rpb24+MTQx
OTwvc2VjdGlvbj48ZGF0ZXM+PHllYXI+MjAxMjwveWVhcj48L2RhdGVzPjxpc2JuPjAxOTUtOTEz
MTwvaXNibj48dXJscz48L3VybHM+PGVsZWN0cm9uaWMtcmVzb3VyY2UtbnVtPjEwLjEyNDkvTVNT
LjBiMDEzZTMxODI1MzY1ZjE8L2VsZWN0cm9uaWMtcmVzb3VyY2UtbnVtPjwvcmVjb3JkPjwvQ2l0
ZT48L0VuZE5vdGU+
</w:fldData>
        </w:fldChar>
      </w:r>
      <w:r w:rsidR="002747EA">
        <w:instrText xml:space="preserve"> ADDIN EN.CITE </w:instrText>
      </w:r>
      <w:r w:rsidR="002747EA">
        <w:fldChar w:fldCharType="begin">
          <w:fldData xml:space="preserve">PEVuZE5vdGU+PENpdGU+PEF1dGhvcj5Bc2JlZTwvQXV0aG9yPjxZZWFyPjIwMDk8L1llYXI+PFJl
Y051bT42NjY8L1JlY051bT48RGlzcGxheVRleHQ+PHN0eWxlIGZhY2U9InN1cGVyc2NyaXB0IiBm
b250PSJUcmVidWNoZXQgTVMiIHNpemU9IjkiPjQ4Miw0ODgsNTA4LDUxMCw1MTEsNTIyPC9zdHls
ZT48L0Rpc3BsYXlUZXh0PjxyZWNvcmQ+PHJlYy1udW1iZXI+NjY2PC9yZWMtbnVtYmVyPjxmb3Jl
aWduLWtleXM+PGtleSBhcHA9IkVOIiBkYi1pZD0iZXh2YXNyZngyZHRyYW9lc2FzeHAyc3pzeGEy
ZGY1MDI1OTJ4IiB0aW1lc3RhbXA9IjE1NDA1MjY0OTUiPjY2Njwva2V5PjwvZm9yZWlnbi1rZXlz
PjxyZWYtdHlwZSBuYW1lPSJKb3VybmFsIEFydGljbGUiPjE3PC9yZWYtdHlwZT48Y29udHJpYnV0
b3JzPjxhdXRob3JzPjxhdXRob3I+QXNiZWUsIFMuIE0uPC9hdXRob3I+PGF1dGhvcj5KZW5raW5z
LCBULiBSLjwvYXV0aG9yPjxhdXRob3I+QnV0bGVyLCBKLiBSLjwvYXV0aG9yPjxhdXRob3I+V2hp
dGUsIEouPC9hdXRob3I+PGF1dGhvcj5FbGxpb3QsIE0uPC9hdXRob3I+PGF1dGhvcj5SdXRsZWRn
ZSwgQS48L2F1dGhvcj48L2F1dGhvcnM+PC9jb250cmlidXRvcnM+PGF1dGgtYWRkcmVzcz5DYXJv
bGluYXMgTWVkaWNhbCBDZW50ZXIsIENoYXJsb3R0ZSwgTm9ydGggQ2Fyb2xpbmEsIFVTQS4gZHJz
aGVsbHlAZWFydGhsaW5rLm5ldDwvYXV0aC1hZGRyZXNzPjx0aXRsZXM+PHRpdGxlPlByZXZlbnRp
bmcgZXhjZXNzaXZlIHdlaWdodCBnYWluIGR1cmluZyBwcmVnbmFuY3kgdGhyb3VnaCBkaWV0YXJ5
IGFuZCBsaWZlc3R5bGUgY291bnNlbGluZzogYSByYW5kb21pemVkIGNvbnRyb2xsZWQgdHJpYWw8
L3RpdGxlPjxzZWNvbmRhcnktdGl0bGU+T2JzdGV0IEd5bmVjb2w8L3NlY29uZGFyeS10aXRsZT48
L3RpdGxlcz48cGVyaW9kaWNhbD48ZnVsbC10aXRsZT5PYnN0ZXQgR3luZWNvbDwvZnVsbC10aXRs
ZT48L3BlcmlvZGljYWw+PHBhZ2VzPjMwNS0xMjwvcGFnZXM+PHZvbHVtZT4xMTM8L3ZvbHVtZT48
bnVtYmVyPjIgUHQgMTwvbnVtYmVyPjxlZGl0aW9uPjIwMDkvMDEvMjI8L2VkaXRpb24+PGtleXdv
cmRzPjxrZXl3b3JkPkFkdWx0PC9rZXl3b3JkPjxrZXl3b3JkPkJpcnRoIFdlaWdodDwva2V5d29y
ZD48a2V5d29yZD5Cb2R5IE1hc3MgSW5kZXg8L2tleXdvcmQ+PGtleXdvcmQ+KkRpcmVjdGl2ZSBD
b3Vuc2VsaW5nPC9rZXl3b3JkPjxrZXl3b3JkPkZlbWFsZTwva2V5d29yZD48a2V5d29yZD5IdW1h
bnM8L2tleXdvcmQ+PGtleXdvcmQ+SW5mYW50LCBOZXdib3JuPC9rZXl3b3JkPjxrZXl3b3JkPk1p
ZGRsZSBBZ2VkPC9rZXl3b3JkPjxrZXl3b3JkPk9iZXNpdHkvKmRpZXQgdGhlcmFweS8qcHJldmVu
dGlvbiAmYW1wOyBjb250cm9sPC9rZXl3b3JkPjxrZXl3b3JkPlBhdGllbnQgQ29tcGxpYW5jZTwv
a2V5d29yZD48a2V5d29yZD5QcmVnbmFuY3k8L2tleXdvcmQ+PGtleXdvcmQ+UHJlZ25hbmN5IENv
bXBsaWNhdGlvbnMvKmRpZXQgdGhlcmFweS8qcHJldmVudGlvbiAmYW1wOyBjb250cm9sPC9rZXl3
b3JkPjxrZXl3b3JkPlByZW5hdGFsIENhcmUvKm1ldGhvZHM8L2tleXdvcmQ+PGtleXdvcmQ+Umlz
ayBSZWR1Y3Rpb24gQmVoYXZpb3I8L2tleXdvcmQ+PGtleXdvcmQ+V2VpZ2h0IEdhaW48L2tleXdv
cmQ+PGtleXdvcmQ+WW91bmcgQWR1bHQ8L2tleXdvcmQ+PC9rZXl3b3Jkcz48ZGF0ZXM+PHllYXI+
MjAwOTwveWVhcj48cHViLWRhdGVzPjxkYXRlPkZlYjwvZGF0ZT48L3B1Yi1kYXRlcz48L2RhdGVz
Pjxpc2JuPjAwMjktNzg0NCAoUHJpbnQpJiN4RDswMDI5LTc4NDQgKExpbmtpbmcpPC9pc2JuPjxh
Y2Nlc3Npb24tbnVtPjE5MTU1ODk5PC9hY2Nlc3Npb24tbnVtPjx1cmxzPjxyZWxhdGVkLXVybHM+
PHVybD5odHRwczovL3d3dy5uY2JpLm5sbS5uaWguZ292L3B1Ym1lZC8xOTE1NTg5OTwvdXJsPjwv
cmVsYXRlZC11cmxzPjwvdXJscz48ZWxlY3Ryb25pYy1yZXNvdXJjZS1udW0+MTAuMTA5Ny9BT0cu
MGIwMTNlMzE4MTk1YmFlZjwvZWxlY3Ryb25pYy1yZXNvdXJjZS1udW0+PC9yZWNvcmQ+PC9DaXRl
PjxDaXRlPjxBdXRob3I+Qm9nYWVydHM8L0F1dGhvcj48WWVhcj4yMDEzPC9ZZWFyPjxSZWNOdW0+
NzEzPC9SZWNOdW0+PHJlY29yZD48cmVjLW51bWJlcj43MTM8L3JlYy1udW1iZXI+PGZvcmVpZ24t
a2V5cz48a2V5IGFwcD0iRU4iIGRiLWlkPSJleHZhc3JmeDJkdHJhb2VzYXN4cDJzenN4YTJkZjUw
MjU5MngiIHRpbWVzdGFtcD0iMTU0MTQ2MjQ0MyI+NzEzPC9rZXk+PC9mb3JlaWduLWtleXM+PHJl
Zi10eXBlIG5hbWU9IkpvdXJuYWwgQXJ0aWNsZSI+MTc8L3JlZi10eXBlPjxjb250cmlidXRvcnM+
PGF1dGhvcnM+PGF1dGhvcj5Cb2dhZXJ0cywgQS4gRi48L2F1dGhvcj48YXV0aG9yPkRldmxpZWdl
ciwgUi48L2F1dGhvcj48YXV0aG9yPk51eXRzLCBFLjwvYXV0aG9yPjxhdXRob3I+V2l0dGVycywg
SS48L2F1dGhvcj48YXV0aG9yPkd5c2VsYWVycywgVy48L2F1dGhvcj48YXV0aG9yPlZhbiBkZW4g
QmVyZ2gsIEIuIFIuPC9hdXRob3I+PC9hdXRob3JzPjwvY29udHJpYnV0b3JzPjxhdXRoLWFkZHJl
c3M+RGVwYXJ0bWVudCBvZiBIZWFsdGhjYXJlIFJlc2VhcmNoLCBQSEwgVW5pdmVyc2l0eSBDb2xs
ZWdlLCBMaW1idXJnIENhdGhvbGljIFVuaXZlcnNpdHkgQ29sbGVnZSwgSGFzc2VsdCwgQmVsZ2l1
bS48L2F1dGgtYWRkcmVzcz48dGl0bGVzPjx0aXRsZT5FZmZlY3RzIG9mIGxpZmVzdHlsZSBpbnRl
cnZlbnRpb24gaW4gb2Jlc2UgcHJlZ25hbnQgd29tZW4gb24gZ2VzdGF0aW9uYWwgd2VpZ2h0IGdh
aW4gYW5kIG1lbnRhbCBoZWFsdGg6IGEgcmFuZG9taXplZCBjb250cm9sbGVkIHRyaWFsPC90aXRs
ZT48c2Vjb25kYXJ5LXRpdGxlPkludCBKIE9iZXMgKExvbmQpPC9zZWNvbmRhcnktdGl0bGU+PC90
aXRsZXM+PHBlcmlvZGljYWw+PGZ1bGwtdGl0bGU+SW50IEogT2JlcyAoTG9uZCk8L2Z1bGwtdGl0
bGU+PC9wZXJpb2RpY2FsPjxwYWdlcz44MTQtMjE8L3BhZ2VzPjx2b2x1bWU+Mzc8L3ZvbHVtZT48
bnVtYmVyPjY8L251bWJlcj48ZWRpdGlvbj4yMDEyLzEwLzA0PC9lZGl0aW9uPjxrZXl3b3Jkcz48
a2V5d29yZD5BZHVsdDwva2V5d29yZD48a2V5d29yZD5BbnhpZXR5L2VwaWRlbWlvbG9neS8qcHJl
dmVudGlvbiAmYW1wOyBjb250cm9sPC9rZXl3b3JkPjxrZXl3b3JkPkJlbGdpdW0vZXBpZGVtaW9s
b2d5PC9rZXl3b3JkPjxrZXl3b3JkPkJvZHkgTWFzcyBJbmRleDwva2V5d29yZD48a2V5d29yZD5E
ZXByZXNzaW9uL2VwaWRlbWlvbG9neS8qcHJldmVudGlvbiAmYW1wOyBjb250cm9sPC9rZXl3b3Jk
PjxrZXl3b3JkPkZlbWFsZTwva2V5d29yZD48a2V5d29yZD5IZWFsdGggS25vd2xlZGdlLCBBdHRp
dHVkZXMsIFByYWN0aWNlPC9rZXl3b3JkPjxrZXl3b3JkPkh1bWFuczwva2V5d29yZD48a2V5d29y
ZD4qTGlmZSBTdHlsZTwva2V5d29yZD48a2V5d29yZD5Mb25naXR1ZGluYWwgU3R1ZGllczwva2V5
d29yZD48a2V5d29yZD5Nb3RpdmF0aW9uPC9rZXl3b3JkPjxrZXl3b3JkPk9iZXNpdHkvZXBpZGVt
aW9sb2d5L3ByZXZlbnRpb24gJmFtcDsgY29udHJvbC9wc3ljaG9sb2d5Lyp0aGVyYXB5PC9rZXl3
b3JkPjxrZXl3b3JkPlBhdGllbnQgRWR1Y2F0aW9uIGFzIFRvcGljPC9rZXl3b3JkPjxrZXl3b3Jk
PlByZWduYW5jeTwva2V5d29yZD48a2V5d29yZD5QcmVnbmFuY3kgQ29tcGxpY2F0aW9ucy9lcGlk
ZW1pb2xvZ3kvcHJldmVudGlvbiAmYW1wOyBjb250cm9sL3BzeWNob2xvZ3kvKnRoZXJhcHk8L2tl
eXdvcmQ+PGtleXdvcmQ+UHJlbmF0YWwgQ2FyZS8qbWV0aG9kczwva2V5d29yZD48a2V5d29yZD5Q
cmV2YWxlbmNlPC9rZXl3b3JkPjxrZXl3b3JkPlJpc2sgRmFjdG9yczwva2V5d29yZD48a2V5d29y
ZD5SaXNrIFJlZHVjdGlvbiBCZWhhdmlvcjwva2V5d29yZD48a2V5d29yZD5TdXJ2ZXlzIGFuZCBR
dWVzdGlvbm5haXJlczwva2V5d29yZD48a2V5d29yZD4qV2VpZ2h0IEdhaW48L2tleXdvcmQ+PC9r
ZXl3b3Jkcz48ZGF0ZXM+PHllYXI+MjAxMzwveWVhcj48cHViLWRhdGVzPjxkYXRlPkp1bjwvZGF0
ZT48L3B1Yi1kYXRlcz48L2RhdGVzPjxpc2JuPjE0NzYtNTQ5NyAoRWxlY3Ryb25pYykmI3hEOzAz
MDctMDU2NSAoTGlua2luZyk8L2lzYm4+PGFjY2Vzc2lvbi1udW0+MjMwMzI0MDQ8L2FjY2Vzc2lv
bi1udW0+PHVybHM+PHJlbGF0ZWQtdXJscz48dXJsPmh0dHBzOi8vd3d3Lm5jYmkubmxtLm5paC5n
b3YvcHVibWVkLzIzMDMyNDA0PC91cmw+PC9yZWxhdGVkLXVybHM+PC91cmxzPjxlbGVjdHJvbmlj
LXJlc291cmNlLW51bT4xMC4xMDM4L2lqby4yMDEyLjE2MjwvZWxlY3Ryb25pYy1yZXNvdXJjZS1u
dW0+PC9yZWNvcmQ+PC9DaXRlPjxDaXRlPjxBdXRob3I+R3VlbGluY2t4PC9BdXRob3I+PFllYXI+
MjAxMDwvWWVhcj48UmVjTnVtPjcyMjwvUmVjTnVtPjxyZWNvcmQ+PHJlYy1udW1iZXI+NzIyPC9y
ZWMtbnVtYmVyPjxmb3JlaWduLWtleXM+PGtleSBhcHA9IkVOIiBkYi1pZD0iZXh2YXNyZngyZHRy
YW9lc2FzeHAyc3pzeGEyZGY1MDI1OTJ4IiB0aW1lc3RhbXA9IjE1NDE0NjQ3NzciPjcyMjwva2V5
PjwvZm9yZWlnbi1rZXlzPjxyZWYtdHlwZSBuYW1lPSJKb3VybmFsIEFydGljbGUiPjE3PC9yZWYt
dHlwZT48Y29udHJpYnV0b3JzPjxhdXRob3JzPjxhdXRob3I+R3VlbGluY2t4LCBJLjwvYXV0aG9y
PjxhdXRob3I+RGV2bGllZ2VyLCBSLjwvYXV0aG9yPjxhdXRob3I+TXVsbGllLCBQLjwvYXV0aG9y
PjxhdXRob3I+VmFuc2FudCwgRy48L2F1dGhvcj48L2F1dGhvcnM+PC9jb250cmlidXRvcnM+PGF1
dGgtYWRkcmVzcz5EZXBhcnRtZW50IG9mIE51dHJpdGlvbi1QdWJsaWMgSGVhbHRoIE1lZGljaW5l
LCBMRm9SQ2UsIENhdGhvbGljIFVuaXZlcnNpdHkgTGV1dmVuLCBMZXV2ZW4sIEJlbGdpdW0uIGlz
YWJlbGxlLmd1ZWxpbmNreEBtZWQua3VsZXV2ZW4uYmU8L2F1dGgtYWRkcmVzcz48dGl0bGVzPjx0
aXRsZT5FZmZlY3Qgb2YgbGlmZXN0eWxlIGludGVydmVudGlvbiBvbiBkaWV0YXJ5IGhhYml0cywg
cGh5c2ljYWwgYWN0aXZpdHksIGFuZCBnZXN0YXRpb25hbCB3ZWlnaHQgZ2FpbiBpbiBvYmVzZSBw
cmVnbmFudCB3b21lbjogYSByYW5kb21pemVkIGNvbnRyb2xsZWQgdHJpYWw8L3RpdGxlPjxzZWNv
bmRhcnktdGl0bGU+QW0gSiBDbGluIE51dHI8L3NlY29uZGFyeS10aXRsZT48L3RpdGxlcz48cGVy
aW9kaWNhbD48ZnVsbC10aXRsZT5BbSBKIENsaW4gTnV0cjwvZnVsbC10aXRsZT48L3BlcmlvZGlj
YWw+PHBhZ2VzPjM3My04MDwvcGFnZXM+PHZvbHVtZT45MTwvdm9sdW1lPjxudW1iZXI+MjwvbnVt
YmVyPjxlZGl0aW9uPjIwMDkvMTIvMDQ8L2VkaXRpb24+PGtleXdvcmRzPjxrZXl3b3JkPkFkdWx0
PC9rZXl3b3JkPjxrZXl3b3JkPkJlaGF2aW9yIFRoZXJhcHkvKm1ldGhvZHM8L2tleXdvcmQ+PGtl
eXdvcmQ+RmVlZGluZyBCZWhhdmlvci9waHlzaW9sb2d5PC9rZXl3b3JkPjxrZXl3b3JkPkZlbWFs
ZTwva2V5d29yZD48a2V5d29yZD5IdW1hbnM8L2tleXdvcmQ+PGtleXdvcmQ+SW5mYW50LCBOZXdi
b3JuPC9rZXl3b3JkPjxrZXl3b3JkPipMaWZlIFN0eWxlPC9rZXl3b3JkPjxrZXl3b3JkPk1vdG9y
IEFjdGl2aXR5L3BoeXNpb2xvZ3k8L2tleXdvcmQ+PGtleXdvcmQ+T2Jlc2l0eS9waHlzaW9wYXRo
b2xvZ3kvKnRoZXJhcHk8L2tleXdvcmQ+PGtleXdvcmQ+UHJlZ25hbmN5PC9rZXl3b3JkPjxrZXl3
b3JkPlByZWduYW5jeSBDb21wbGljYXRpb25zL3BoeXNpb3BhdGhvbG9neS8qdGhlcmFweTwva2V5
d29yZD48a2V5d29yZD5QcmVuYXRhbCBOdXRyaXRpb25hbCBQaHlzaW9sb2dpY2FsIFBoZW5vbWVu
YTwva2V5d29yZD48a2V5d29yZD5XZWlnaHQgR2Fpbi8qcGh5c2lvbG9neTwva2V5d29yZD48L2tl
eXdvcmRzPjxkYXRlcz48eWVhcj4yMDEwPC95ZWFyPjxwdWItZGF0ZXM+PGRhdGU+RmViPC9kYXRl
PjwvcHViLWRhdGVzPjwvZGF0ZXM+PGlzYm4+MTkzOC0zMjA3IChFbGVjdHJvbmljKSYjeEQ7MDAw
Mi05MTY1IChMaW5raW5nKTwvaXNibj48YWNjZXNzaW9uLW51bT4xOTk1NTM5NzwvYWNjZXNzaW9u
LW51bT48dXJscz48cmVsYXRlZC11cmxzPjx1cmw+aHR0cHM6Ly93d3cubmNiaS5ubG0ubmloLmdv
di9wdWJtZWQvMTk5NTUzOTc8L3VybD48L3JlbGF0ZWQtdXJscz48L3VybHM+PGVsZWN0cm9uaWMt
cmVzb3VyY2UtbnVtPjEwLjM5NDUvYWpjbi4yMDA5LjI4MTY2PC9lbGVjdHJvbmljLXJlc291cmNl
LW51bT48L3JlY29yZD48L0NpdGU+PENpdGU+PEF1dGhvcj5MdW90bzwvQXV0aG9yPjxZZWFyPjIw
MTE8L1llYXI+PFJlY051bT4xMDg0PC9SZWNOdW0+PHJlY29yZD48cmVjLW51bWJlcj4xMDg0PC9y
ZWMtbnVtYmVyPjxmb3JlaWduLWtleXM+PGtleSBhcHA9IkVOIiBkYi1pZD0iZXh2YXNyZngyZHRy
YW9lc2FzeHAyc3pzeGEyZGY1MDI1OTJ4IiB0aW1lc3RhbXA9IjE1NTI5NDY1MDEiPjEwODQ8L2tl
eT48a2V5IGFwcD0iRU5XZWIiIGRiLWlkPSIiPjA8L2tleT48L2ZvcmVpZ24ta2V5cz48cmVmLXR5
cGUgbmFtZT0iSm91cm5hbCBBcnRpY2xlIj4xNzwvcmVmLXR5cGU+PGNvbnRyaWJ1dG9ycz48YXV0
aG9ycz48YXV0aG9yPkx1b3RvLCBSLjwvYXV0aG9yPjxhdXRob3I+S2lubnVuZW4sIFQuIEkuPC9h
dXRob3I+PGF1dGhvcj5BaXR0YXNhbG8sIE0uPC9hdXRob3I+PGF1dGhvcj5Lb2x1LCBQLjwvYXV0
aG9yPjxhdXRob3I+UmFpdGFuZW4sIEouPC9hdXRob3I+PGF1dGhvcj5PamFsYSwgSy48L2F1dGhv
cj48YXV0aG9yPk1hbnNpa2thbWFraSwgSy48L2F1dGhvcj48YXV0aG9yPkxhbWJlcmcsIFMuPC9h
dXRob3I+PGF1dGhvcj5WYXNhbmthcmksIFQuPC9hdXRob3I+PGF1dGhvcj5Lb211bGFpbmVuLCBU
LjwvYXV0aG9yPjxhdXRob3I+VHVsb2thcywgUy48L2F1dGhvcj48L2F1dGhvcnM+PC9jb250cmli
dXRvcnM+PGF1dGgtYWRkcmVzcz5VS0sgSW5zdGl0dXRlIGZvciBIZWFsdGggUHJvbW90aW9uIFJl
c2VhcmNoLCBUYW1wZXJlLCBGaW5sYW5kLiByaWl0dGEubHVvdG9AdXRhLmZpPC9hdXRoLWFkZHJl
c3M+PHRpdGxlcz48dGl0bGU+UHJpbWFyeSBwcmV2ZW50aW9uIG9mIGdlc3RhdGlvbmFsIGRpYWJl
dGVzIG1lbGxpdHVzIGFuZCBsYXJnZS1mb3ItZ2VzdGF0aW9uYWwtYWdlIG5ld2Jvcm5zIGJ5IGxp
ZmVzdHlsZSBjb3Vuc2VsaW5nOiBhIGNsdXN0ZXItcmFuZG9taXplZCBjb250cm9sbGVkIHRyaWFs
PC90aXRsZT48c2Vjb25kYXJ5LXRpdGxlPlBMb1MgTWVkPC9zZWNvbmRhcnktdGl0bGU+PC90aXRs
ZXM+PHBlcmlvZGljYWw+PGZ1bGwtdGl0bGU+UExvUyBNZWQ8L2Z1bGwtdGl0bGU+PC9wZXJpb2Rp
Y2FsPjxwYWdlcz5lMTAwMTAzNjwvcGFnZXM+PHZvbHVtZT44PC92b2x1bWU+PG51bWJlcj41PC9u
dW1iZXI+PGVkaXRpb24+MjAxMS8wNS8yNjwvZWRpdGlvbj48a2V5d29yZHM+PGtleXdvcmQ+QWR1
bHQ8L2tleXdvcmQ+PGtleXdvcmQ+QmVoYXZpb3IvcGh5c2lvbG9neTwva2V5d29yZD48a2V5d29y
ZD5CaXJ0aCBXZWlnaHQvKnBoeXNpb2xvZ3k8L2tleXdvcmQ+PGtleXdvcmQ+RGlhYmV0ZXMsIEdl
c3RhdGlvbmFsLypwcmV2ZW50aW9uICZhbXA7IGNvbnRyb2w8L2tleXdvcmQ+PGtleXdvcmQ+RGll
dDwva2V5d29yZD48a2V5d29yZD5GZW1hbGU8L2tleXdvcmQ+PGtleXdvcmQ+RmlubGFuZDwva2V5
d29yZD48a2V5d29yZD4qR2VzdGF0aW9uYWwgQWdlPC9rZXl3b3JkPjxrZXl3b3JkPkdsdWNvc2Ug
VG9sZXJhbmNlIFRlc3Q8L2tleXdvcmQ+PGtleXdvcmQ+KkhlYWx0aCBFZHVjYXRpb248L2tleXdv
cmQ+PGtleXdvcmQ+SHVtYW5zPC9rZXl3b3JkPjxrZXl3b3JkPkluZmFudCwgTmV3Ym9ybjwva2V5
d29yZD48a2V5d29yZD5JbnN1bGluL21ldGFib2xpc208L2tleXdvcmQ+PGtleXdvcmQ+KkxpZmUg
U3R5bGU8L2tleXdvcmQ+PGtleXdvcmQ+TW90b3IgQWN0aXZpdHk8L2tleXdvcmQ+PGtleXdvcmQ+
UGF0aWVudCBDb21wbGlhbmNlPC9rZXl3b3JkPjxrZXl3b3JkPlByZWduYW5jeTwva2V5d29yZD48
a2V5d29yZD4qUHJpbWFyeSBQcmV2ZW50aW9uPC9rZXl3b3JkPjxrZXl3b3JkPlRyZWF0bWVudCBP
dXRjb21lPC9rZXl3b3JkPjwva2V5d29yZHM+PGRhdGVzPjx5ZWFyPjIwMTE8L3llYXI+PHB1Yi1k
YXRlcz48ZGF0ZT5NYXk8L2RhdGU+PC9wdWItZGF0ZXM+PC9kYXRlcz48aXNibj4xNTQ5LTE2NzYg
KEVsZWN0cm9uaWMpJiN4RDsxNTQ5LTEyNzcgKExpbmtpbmcpPC9pc2JuPjxhY2Nlc3Npb24tbnVt
PjIxNjEwODYwPC9hY2Nlc3Npb24tbnVtPjx1cmxzPjxyZWxhdGVkLXVybHM+PHVybD5odHRwczov
L3d3dy5uY2JpLm5sbS5uaWguZ292L3B1Ym1lZC8yMTYxMDg2MDwvdXJsPjwvcmVsYXRlZC11cmxz
PjwvdXJscz48Y3VzdG9tMj5QTUMzMDk2NjEwPC9jdXN0b20yPjxlbGVjdHJvbmljLXJlc291cmNl
LW51bT4xMC4xMzcxL2pvdXJuYWwucG1lZC4xMDAxMDM2PC9lbGVjdHJvbmljLXJlc291cmNlLW51
bT48L3JlY29yZD48L0NpdGU+PENpdGU+PEF1dGhvcj5QaGVsYW48L0F1dGhvcj48WWVhcj4yMDE4
PC9ZZWFyPjxSZWNOdW0+MTM4NjwvUmVjTnVtPjxyZWNvcmQ+PHJlYy1udW1iZXI+MTM4NjwvcmVj
LW51bWJlcj48Zm9yZWlnbi1rZXlzPjxrZXkgYXBwPSJFTiIgZGItaWQ9ImV4dmFzcmZ4MmR0cmFv
ZXNhc3hwMnN6c3hhMmRmNTAyNTkyeCIgdGltZXN0YW1wPSIxNTY3MzgyNDg1Ij4xMzg2PC9rZXk+
PC9mb3JlaWduLWtleXM+PHJlZi10eXBlIG5hbWU9IkpvdXJuYWwgQXJ0aWNsZSI+MTc8L3JlZi10
eXBlPjxjb250cmlidXRvcnM+PGF1dGhvcnM+PGF1dGhvcj5QaGVsYW4sIFMuPC9hdXRob3I+PGF1
dGhvcj5XaW5nLCBSLiBSLjwvYXV0aG9yPjxhdXRob3I+QnJhbm5lbiwgQS48L2F1dGhvcj48YXV0
aG9yPk1jSHVnaCwgQS48L2F1dGhvcj48YXV0aG9yPkhhZ29iaWFuLCBULiBBLjwvYXV0aG9yPjxh
dXRob3I+U2NoYWZmbmVyLCBBLjwvYXV0aG9yPjxhdXRob3I+SmVsYWxpYW4sIEUuPC9hdXRob3I+
PGF1dGhvcj5IYXJ0LCBDLiBOLjwvYXV0aG9yPjxhdXRob3I+U2Nob2xsLCBULiBPLjwvYXV0aG9y
PjxhdXRob3I+TXVub3otQ2hyaXN0aWFuLCBLLjwvYXV0aG9yPjxhdXRob3I+WWluLCBFLjwvYXV0
aG9yPjxhdXRob3I+UGhpcHBzLCBNLiBHLjwvYXV0aG9yPjxhdXRob3I+S2VhZGxlLCBTLjwvYXV0
aG9yPjxhdXRob3I+QWJyYW1zLCBCLjwvYXV0aG9yPjwvYXV0aG9ycz48L2NvbnRyaWJ1dG9ycz48
YXV0aC1hZGRyZXNzPkRlcGFydG1lbnRzIG9mIEtpbmVzaW9sb2d5LCBTdGF0aXN0aWNzLCBhbmQg
TW9kZXJuIExhbmd1YWdlcywgQ2FsaWZvcm5pYSBQb2x5dGVjaG5pYyBTdGF0ZSBVbml2ZXJzaXR5
LCBTYW4gTHVpcyBPYmlzcG8sIENBLiYjeEQ7RGVwYXJ0bWVudCBvZiBQc3ljaGlhdHJ5IGFuZCBI
dW1hbiBCZWhhdmlvciwgV2FycmVuIEFscGVydCBNZWRpY2FsIFNjaG9vbCBhdCBCcm93biBVbml2
ZXJzaXR5LCBQcm92aWRlbmNlLCBSSS4mI3hEO0RlcGFydG1lbnRzIG9mIFN0YXRpc3RpY3MsIGFu
ZCBNb2Rlcm4gTGFuZ3VhZ2VzLCBDYWxpZm9ybmlhIFBvbHl0ZWNobmljIFN0YXRlIFVuaXZlcnNp
dHksIFNhbiBMdWlzIE9iaXNwbywgQ0EuJiN4RDtEZXBhcnRtZW50IG9mIFNvY2lhbCBhbmQgQmVo
YXZpb3JhbCBTY2llbmNlcywgVGVtcGxlIFVuaXZlcnNpdHkgQ2VudGVyIGZvciBPYmVzaXR5IFJl
c2VhcmNoIGFuZCBFZHVjYXRpb24sIFBoaWxhZGVscGhpYSwgUEEuJiN4RDtEZXBhcnRtZW50IG9m
IE9ic3RldHJpY3MgYW5kIEd5bmVjb2xvZ3ksIFVuaXZlcnNpdHkgb2YgTWVkaWNpbmUgYW5kIERl
bnRpc3RyeSBvZiBOZXcgSmVyc2V5IChub3cgUm93YW4pLCBHbGFzc2Jvcm8sIE5KLiYjeEQ7RGVw
YXJ0bWVudHMgb2YgTW9kZXJuIExhbmd1YWdlcywgQ2FsaWZvcm5pYSBQb2x5dGVjaG5pYyBTdGF0
ZSBVbml2ZXJzaXR5LCBTYW4gTHVpcyBPYmlzcG8sIENBLiYjeEQ7UGFjaWZpYyBDZW50cmFsIENv
YXN0IEhlYWx0aCBDZW50ZXJzLCBTYW50YSBNYXJpYSBXb21lbiZhcG9zO3MgSGVhbHRoLCBTYW50
YSBNYXJpYSwgQ0EuJiN4RDtEZXBhcnRtZW50IG9mIE9ic3RldHJpY3MgYW5kIEd5bmVjb2xvZ3ks
IFdhcnJlbiBBbHBlcnQgTWVkaWNhbCBTY2hvb2wgb2YgQnJvd24gVW5pdmVyc2l0eSBhbmQgV29t
ZW4gYW5kIEluZmFudHMgSG9zcGl0YWwsIFByb3ZpZGVuY2UsIFJJLiYjeEQ7RGl2aXNpb24gb2Yg
RXBpZGVtaW9sb2d5LCBVbml2ZXJzaXR5IG9mIENhbGlmb3JuaWEgYXQgQmVya2VsZXkgU2Nob29s
IG9mIFB1YmxpYyBIZWFsdGgsIEJlcmtlbGV5LCBDQS48L2F1dGgtYWRkcmVzcz48dGl0bGVzPjx0
aXRsZT5SYW5kb21pemVkIGNvbnRyb2xsZWQgY2xpbmljYWwgdHJpYWwgb2YgYmVoYXZpb3JhbCBs
aWZlc3R5bGUgaW50ZXJ2ZW50aW9uIHdpdGggcGFydGlhbCBtZWFsIHJlcGxhY2VtZW50IHRvIHJl
ZHVjZSBleGNlc3NpdmUgZ2VzdGF0aW9uYWwgd2VpZ2h0IGdhaW48L3RpdGxlPjxzZWNvbmRhcnkt
dGl0bGU+QW0gSiBDbGluIE51dHI8L3NlY29uZGFyeS10aXRsZT48L3RpdGxlcz48cGVyaW9kaWNh
bD48ZnVsbC10aXRsZT5BbSBKIENsaW4gTnV0cjwvZnVsbC10aXRsZT48L3BlcmlvZGljYWw+PHBh
Z2VzPjE4My0xOTQ8L3BhZ2VzPjx2b2x1bWU+MTA3PC92b2x1bWU+PG51bWJlcj4yPC9udW1iZXI+
PGVkaXRpb24+MjAxOC8wMy8xMzwvZWRpdGlvbj48a2V5d29yZHM+PGtleXdvcmQ+QWR1bHQ8L2tl
eXdvcmQ+PGtleXdvcmQ+Qm9keSBNYXNzIEluZGV4PC9rZXl3b3JkPjxrZXl3b3JkPkNhbGlmb3Ju
aWE8L2tleXdvcmQ+PGtleXdvcmQ+RGlldDwva2V5d29yZD48a2V5d29yZD5FdGhuaWMgR3JvdXBz
PC9rZXl3b3JkPjxrZXl3b3JkPkV4ZXJjaXNlPC9rZXl3b3JkPjxrZXl3b3JkPkZlbWFsZTwva2V5
d29yZD48a2V5d29yZD4qR2VzdGF0aW9uYWwgV2VpZ2h0IEdhaW48L2tleXdvcmQ+PGtleXdvcmQ+
KkhlYWx0aCBCZWhhdmlvcjwva2V5d29yZD48a2V5d29yZD5IdW1hbnM8L2tleXdvcmQ+PGtleXdv
cmQ+SW5jaWRlbmNlPC9rZXl3b3JkPjxrZXl3b3JkPipMaWZlIFN0eWxlPC9rZXl3b3JkPjxrZXl3
b3JkPk1lYWxzPC9rZXl3b3JkPjxrZXl3b3JkPk51dHJpdGlvbiBBc3Nlc3NtZW50PC9rZXl3b3Jk
PjxrZXl3b3JkPk9iZXNpdHkvKnByZXZlbnRpb24gJmFtcDsgY29udHJvbDwva2V5d29yZD48a2V5
d29yZD5PdmVyd2VpZ2h0LypwcmV2ZW50aW9uICZhbXA7IGNvbnRyb2w8L2tleXdvcmQ+PGtleXdv
cmQ+UHJlZ25hbmN5PC9rZXl3b3JkPjxrZXl3b3JkPlByZWduYW5jeSBDb21wbGljYXRpb25zLypw
cmV2ZW50aW9uICZhbXA7IGNvbnRyb2w8L2tleXdvcmQ+PGtleXdvcmQ+UHJlZ25hbmN5IE91dGNv
bWU8L2tleXdvcmQ+PGtleXdvcmQ+UmlzayBGYWN0b3JzPC9rZXl3b3JkPjxrZXl3b3JkPllvdW5n
IEFkdWx0PC9rZXl3b3JkPjwva2V5d29yZHM+PGRhdGVzPjx5ZWFyPjIwMTg8L3llYXI+PHB1Yi1k
YXRlcz48ZGF0ZT5GZWIgMTwvZGF0ZT48L3B1Yi1kYXRlcz48L2RhdGVzPjxpc2JuPjE5MzgtMzIw
NyAoRWxlY3Ryb25pYykmI3hEOzAwMDItOTE2NSAoTGlua2luZyk8L2lzYm4+PGFjY2Vzc2lvbi1u
dW0+Mjk1MjkxNTc8L2FjY2Vzc2lvbi1udW0+PHVybHM+PHJlbGF0ZWQtdXJscz48dXJsPmh0dHBz
Oi8vd3d3Lm5jYmkubmxtLm5paC5nb3YvcHVibWVkLzI5NTI5MTU3PC91cmw+PC9yZWxhdGVkLXVy
bHM+PC91cmxzPjxjdXN0b20yPlBNQzY0NTUwMzA8L2N1c3RvbTI+PGVsZWN0cm9uaWMtcmVzb3Vy
Y2UtbnVtPjEwLjEwOTMvYWpjbi9ucXgwNDM8L2VsZWN0cm9uaWMtcmVzb3VyY2UtbnVtPjwvcmVj
b3JkPjwvQ2l0ZT48Q2l0ZT48QXV0aG9yPlJ1Y2hhdDwvQXV0aG9yPjxZZWFyPjIwMTI8L1llYXI+
PFJlY051bT43NTY8L1JlY051bT48cmVjb3JkPjxyZWMtbnVtYmVyPjc1NjwvcmVjLW51bWJlcj48
Zm9yZWlnbi1rZXlzPjxrZXkgYXBwPSJFTiIgZGItaWQ9ImV4dmFzcmZ4MmR0cmFvZXNhc3hwMnN6
c3hhMmRmNTAyNTkyeCIgdGltZXN0YW1wPSIxNTQxNDY3OTY1Ij43NTY8L2tleT48a2V5IGFwcD0i
RU5XZWIiIGRiLWlkPSIiPjA8L2tleT48L2ZvcmVpZ24ta2V5cz48cmVmLXR5cGUgbmFtZT0iSm91
cm5hbCBBcnRpY2xlIj4xNzwvcmVmLXR5cGU+PGNvbnRyaWJ1dG9ycz48YXV0aG9ycz48YXV0aG9y
PlJ1Y2hhdCwgUy1NLiw8L2F1dGhvcj48YXV0aG9yPkRhdmVucG9ydCwgTS5ILiw8L2F1dGhvcj48
YXV0aG9yPkdpcm91eCwgSS4sPC9hdXRob3I+PGF1dGhvcj5IaWxsaWVyLCBNLiw8L2F1dGhvcj48
YXV0aG9yPkJhdGFkYSwgQS4sPC9hdXRob3I+PGF1dGhvcj5Tb3BwZXIsIE0uTS4sPC9hdXRob3I+
PGF1dGhvcj5IYW1tb25kLCBKLk0uUy4sPC9hdXRob3I+PGF1dGhvcj5Nb3R0b2xhLCBNLkYuLDwv
YXV0aG9yPjwvYXV0aG9ycz48L2NvbnRyaWJ1dG9ycz48dGl0bGVzPjx0aXRsZT5OdXRyaXRpb24g
YW5kIGV4ZXJjaXNlIHJlZHVjZSBleGNlc3NpdmUgd2VpZ2h0IGdhaW4gaW4gbm9ybWFsLXdlaWdo
dCBwcmVnbmFudCB3b21lbjwvdGl0bGU+PHNlY29uZGFyeS10aXRsZT5NZWRpY2luZSAmYW1wOyBT
Y2llbmNlIGluIFNwb3J0cyAmYW1wOyBFeGVyY2lzZTwvc2Vjb25kYXJ5LXRpdGxlPjwvdGl0bGVz
PjxwZXJpb2RpY2FsPjxmdWxsLXRpdGxlPk1lZGljaW5lICZhbXA7IFNjaWVuY2UgaW4gU3BvcnRz
ICZhbXA7IEV4ZXJjaXNlPC9mdWxsLXRpdGxlPjwvcGVyaW9kaWNhbD48cGFnZXM+MTQxOS0xNDI2
PC9wYWdlcz48dm9sdW1lPjQ0PC92b2x1bWU+PG51bWJlcj44PC9udW1iZXI+PHNlY3Rpb24+MTQx
OTwvc2VjdGlvbj48ZGF0ZXM+PHllYXI+MjAxMjwveWVhcj48L2RhdGVzPjxpc2JuPjAxOTUtOTEz
MTwvaXNibj48dXJscz48L3VybHM+PGVsZWN0cm9uaWMtcmVzb3VyY2UtbnVtPjEwLjEyNDkvTVNT
LjBiMDEzZTMxODI1MzY1ZjE8L2VsZWN0cm9uaWMtcmVzb3VyY2UtbnVtPjwvcmVjb3JkPjwvQ2l0
ZT48L0VuZE5vdGU+
</w:fldData>
        </w:fldChar>
      </w:r>
      <w:r w:rsidR="002747EA">
        <w:instrText xml:space="preserve"> ADDIN EN.CITE.DATA </w:instrText>
      </w:r>
      <w:r w:rsidR="002747EA">
        <w:fldChar w:fldCharType="end"/>
      </w:r>
      <w:r>
        <w:fldChar w:fldCharType="separate"/>
      </w:r>
      <w:r w:rsidR="002747EA" w:rsidRPr="002747EA">
        <w:rPr>
          <w:noProof/>
          <w:vertAlign w:val="superscript"/>
        </w:rPr>
        <w:t>482,488,508,510,511,522</w:t>
      </w:r>
      <w:r>
        <w:fldChar w:fldCharType="end"/>
      </w:r>
      <w:r>
        <w:t xml:space="preserve"> and some on kilocalorie intake.</w:t>
      </w:r>
      <w:r>
        <w:fldChar w:fldCharType="begin">
          <w:fldData xml:space="preserve">PEVuZE5vdGU+PENpdGU+PEF1dGhvcj5QaGVsYW48L0F1dGhvcj48WWVhcj4yMDExPC9ZZWFyPjxS
ZWNOdW0+NzA1PC9SZWNOdW0+PERpc3BsYXlUZXh0PjxzdHlsZSBmYWNlPSJzdXBlcnNjcmlwdCIg
Zm9udD0iVHJlYnVjaGV0IE1TIiBzaXplPSI5Ij40NTEsNDgyLDQ5NCw1MDQsNTA5LDUxNjwvc3R5
bGU+PC9EaXNwbGF5VGV4dD48cmVjb3JkPjxyZWMtbnVtYmVyPjcwNTwvcmVjLW51bWJlcj48Zm9y
ZWlnbi1rZXlzPjxrZXkgYXBwPSJFTiIgZGItaWQ9ImV4dmFzcmZ4MmR0cmFvZXNhc3hwMnN6c3hh
MmRmNTAyNTkyeCIgdGltZXN0YW1wPSIxNTQwNTMwNjM2Ij43MDU8L2tleT48L2ZvcmVpZ24ta2V5
cz48cmVmLXR5cGUgbmFtZT0iSm91cm5hbCBBcnRpY2xlIj4xNzwvcmVmLXR5cGU+PGNvbnRyaWJ1
dG9ycz48YXV0aG9ycz48YXV0aG9yPlBoZWxhbiwgUy48L2F1dGhvcj48YXV0aG9yPlBoaXBwcywg
TS4gRy48L2F1dGhvcj48YXV0aG9yPkFicmFtcywgQi48L2F1dGhvcj48YXV0aG9yPkRhcnJvY2gs
IEYuPC9hdXRob3I+PGF1dGhvcj5TY2hhZmZuZXIsIEEuPC9hdXRob3I+PGF1dGhvcj5XaW5nLCBS
LiBSLjwvYXV0aG9yPjwvYXV0aG9ycz48L2NvbnRyaWJ1dG9ycz48YXV0aC1hZGRyZXNzPkRlcGFy
dG1lbnRzIG9mIEtpbmVzaW9sb2d5LCBDYWxpZm9ybmlhIFBvbHl0ZWNobmljIFN0YXRlIFVuaXZl
cnNpdHksIFNhbiBMdWlzIE9iaXNwbywgOTM0MDctMDM4NiwgVVNBLiBzcGhlbGFuQGNhbHBvbHku
ZWR1PC9hdXRoLWFkZHJlc3M+PHRpdGxlcz48dGl0bGU+UmFuZG9taXplZCB0cmlhbCBvZiBhIGJl
aGF2aW9yYWwgaW50ZXJ2ZW50aW9uIHRvIHByZXZlbnQgZXhjZXNzaXZlIGdlc3RhdGlvbmFsIHdl
aWdodCBnYWluOiB0aGUgRml0IGZvciBEZWxpdmVyeSBTdHVkeTwvdGl0bGU+PHNlY29uZGFyeS10
aXRsZT5BbSBKIENsaW4gTnV0cjwvc2Vjb25kYXJ5LXRpdGxlPjwvdGl0bGVzPjxwZXJpb2RpY2Fs
PjxmdWxsLXRpdGxlPkFtIEogQ2xpbiBOdXRyPC9mdWxsLXRpdGxlPjwvcGVyaW9kaWNhbD48cGFn
ZXM+NzcyLTk8L3BhZ2VzPjx2b2x1bWU+OTM8L3ZvbHVtZT48bnVtYmVyPjQ8L251bWJlcj48ZWRp
dGlvbj4yMDExLzAyLzEyPC9lZGl0aW9uPjxrZXl3b3Jkcz48a2V5d29yZD5BZHVsdDwva2V5d29y
ZD48a2V5d29yZD5CZWhhdmlvcjwva2V5d29yZD48a2V5d29yZD4qQmVoYXZpb3IgVGhlcmFweTwv
a2V5d29yZD48a2V5d29yZD4qRGlldDwva2V5d29yZD48a2V5d29yZD4qRXhlcmNpc2U8L2tleXdv
cmQ+PGtleXdvcmQ+RmVtYWxlPC9rZXl3b3JkPjxrZXl3b3JkPipIZWFsdGggUHJvbW90aW9uPC9r
ZXl3b3JkPjxrZXl3b3JkPkh1bWFuczwva2V5d29yZD48a2V5d29yZD5JbnRlbnRpb24gdG8gVHJl
YXQgQW5hbHlzaXM8L2tleXdvcmQ+PGtleXdvcmQ+T2Jlc2l0eS9jb21wbGljYXRpb25zL2VwaWRl
bWlvbG9neS8qcHJldmVudGlvbiAmYW1wOyBjb250cm9sPC9rZXl3b3JkPjxrZXl3b3JkPlBvc3Rw
YXJ0dW0gUGVyaW9kPC9rZXl3b3JkPjxrZXl3b3JkPlByZWduYW5jeTwva2V5d29yZD48a2V5d29y
ZD5QcmVnbmFuY3kgQ29tcGxpY2F0aW9ucy8qcHJldmVudGlvbiAmYW1wOyBjb250cm9sPC9rZXl3
b3JkPjxrZXl3b3JkPlByZXZhbGVuY2U8L2tleXdvcmQ+PGtleXdvcmQ+UmVmZXJlbmNlIFZhbHVl
czwva2V5d29yZD48a2V5d29yZD5TaW5nbGUtQmxpbmQgTWV0aG9kPC9rZXl3b3JkPjxrZXl3b3Jk
PlN0YW5kYXJkIG9mIENhcmU8L2tleXdvcmQ+PGtleXdvcmQ+VHJlYXRtZW50IE91dGNvbWU8L2tl
eXdvcmQ+PGtleXdvcmQ+KldlaWdodCBHYWluPC9rZXl3b3JkPjxrZXl3b3JkPllvdW5nIEFkdWx0
PC9rZXl3b3JkPjwva2V5d29yZHM+PGRhdGVzPjx5ZWFyPjIwMTE8L3llYXI+PHB1Yi1kYXRlcz48
ZGF0ZT5BcHI8L2RhdGU+PC9wdWItZGF0ZXM+PC9kYXRlcz48aXNibj4xOTM4LTMyMDcgKEVsZWN0
cm9uaWMpJiN4RDswMDAyLTkxNjUgKExpbmtpbmcpPC9pc2JuPjxhY2Nlc3Npb24tbnVtPjIxMzEw
ODM2PC9hY2Nlc3Npb24tbnVtPjx1cmxzPjxyZWxhdGVkLXVybHM+PHVybD5odHRwczovL3d3dy5u
Y2JpLm5sbS5uaWguZ292L3B1Ym1lZC8yMTMxMDgzNjwvdXJsPjwvcmVsYXRlZC11cmxzPjwvdXJs
cz48Y3VzdG9tMj5QTUMzMDU3NTQ2PC9jdXN0b20yPjxlbGVjdHJvbmljLXJlc291cmNlLW51bT4x
MC4zOTQ1L2FqY24uMTEwLjAwNTMwNjwvZWxlY3Ryb25pYy1yZXNvdXJjZS1udW0+PC9yZWNvcmQ+
PC9DaXRlPjxDaXRlPjxBdXRob3I+S29ycGktSHlvdmFsdGk8L0F1dGhvcj48WWVhcj4yMDExPC9Z
ZWFyPjxSZWNOdW0+Njk3PC9SZWNOdW0+PHJlY29yZD48cmVjLW51bWJlcj42OTc8L3JlYy1udW1i
ZXI+PGZvcmVpZ24ta2V5cz48a2V5IGFwcD0iRU4iIGRiLWlkPSJleHZhc3JmeDJkdHJhb2VzYXN4
cDJzenN4YTJkZjUwMjU5MngiIHRpbWVzdGFtcD0iMTU0MDUzMDI2OCI+Njk3PC9rZXk+PC9mb3Jl
aWduLWtleXM+PHJlZi10eXBlIG5hbWU9IkpvdXJuYWwgQXJ0aWNsZSI+MTc8L3JlZi10eXBlPjxj
b250cmlidXRvcnM+PGF1dGhvcnM+PGF1dGhvcj5Lb3JwaS1IeW92YWx0aSwgRS4gQS48L2F1dGhv
cj48YXV0aG9yPkxhYWtzb25lbiwgRC4gRS48L2F1dGhvcj48YXV0aG9yPlNjaHdhYiwgVS4gUy48
L2F1dGhvcj48YXV0aG9yPlZhbmhhcGloYSwgVC4gSC48L2F1dGhvcj48YXV0aG9yPlZpaGxhLCBL
LiBSLjwvYXV0aG9yPjxhdXRob3I+SGVpbm9uZW4sIFMuIFQuPC9hdXRob3I+PGF1dGhvcj5OaXNr
YW5lbiwgTC4gSy48L2F1dGhvcj48L2F1dGhvcnM+PC9jb250cmlidXRvcnM+PGF1dGgtYWRkcmVz
cz5EZXBhcnRtZW50IG9mIEludGVybmFsIE1lZGljaW5lLCBTZWluYWpva2kgQ2VudHJhbCBIb3Nw
aXRhbCwgU2VpbmFqb2tpLCBGaW5sYW5kLiBlZXZhLmtvcnBpLWh5b3ZhbHRpQGVwc2hwLmZpPC9h
dXRoLWFkZHJlc3M+PHRpdGxlcz48dGl0bGU+RmVhc2liaWxpdHkgb2YgYSBsaWZlc3R5bGUgaW50
ZXJ2ZW50aW9uIGluIGVhcmx5IHByZWduYW5jeSB0byBwcmV2ZW50IGRldGVyaW9yYXRpb24gb2Yg
Z2x1Y29zZSB0b2xlcmFuY2U8L3RpdGxlPjxzZWNvbmRhcnktdGl0bGU+Qk1DIFB1YmxpYyBIZWFs
dGg8L3NlY29uZGFyeS10aXRsZT48L3RpdGxlcz48cGVyaW9kaWNhbD48ZnVsbC10aXRsZT5CTUMg
UHVibGljIEhlYWx0aDwvZnVsbC10aXRsZT48L3BlcmlvZGljYWw+PHBhZ2VzPjE3OTwvcGFnZXM+
PHZvbHVtZT4xMTwvdm9sdW1lPjxlZGl0aW9uPjIwMTEvMDMvMjU8L2VkaXRpb24+PGtleXdvcmRz
PjxrZXl3b3JkPkFkdWx0PC9rZXl3b3JkPjxrZXl3b3JkPkRpYWJldGVzLCBHZXN0YXRpb25hbC8q
cHJldmVudGlvbiAmYW1wOyBjb250cm9sPC9rZXl3b3JkPjxrZXl3b3JkPipEaXJlY3RpdmUgQ291
bnNlbGluZzwva2V5d29yZD48a2V5d29yZD5GZWFzaWJpbGl0eSBTdHVkaWVzPC9rZXl3b3JkPjxr
ZXl3b3JkPkZlbWFsZTwva2V5d29yZD48a2V5d29yZD5GaW5sYW5kPC9rZXl3b3JkPjxrZXl3b3Jk
PkZvbGxvdy1VcCBTdHVkaWVzPC9rZXl3b3JkPjxrZXl3b3JkPkdsdWNvc2UgSW50b2xlcmFuY2Uv
KnByZXZlbnRpb24gJmFtcDsgY29udHJvbDwva2V5d29yZD48a2V5d29yZD5HbHVjb3NlIFRvbGVy
YW5jZSBUZXN0PC9rZXl3b3JkPjxrZXl3b3JkPkh1bWFuczwva2V5d29yZD48a2V5d29yZD4qTGlm
ZSBTdHlsZTwva2V5d29yZD48a2V5d29yZD5QcmVnbmFuY3k8L2tleXdvcmQ+PGtleXdvcmQ+Umlz
ayBGYWN0b3JzPC9rZXl3b3JkPjxrZXl3b3JkPlRpbWUgRmFjdG9yczwva2V5d29yZD48L2tleXdv
cmRzPjxkYXRlcz48eWVhcj4yMDExPC95ZWFyPjxwdWItZGF0ZXM+PGRhdGU+TWFyIDI0PC9kYXRl
PjwvcHViLWRhdGVzPjwvZGF0ZXM+PGlzYm4+MTQ3MS0yNDU4IChFbGVjdHJvbmljKSYjeEQ7MTQ3
MS0yNDU4IChMaW5raW5nKTwvaXNibj48YWNjZXNzaW9uLW51bT4yMTQyOTIzNDwvYWNjZXNzaW9u
LW51bT48dXJscz48cmVsYXRlZC11cmxzPjx1cmw+aHR0cHM6Ly93d3cubmNiaS5ubG0ubmloLmdv
di9wdWJtZWQvMjE0MjkyMzQ8L3VybD48L3JlbGF0ZWQtdXJscz48L3VybHM+PGN1c3RvbTI+UE1D
MzA3ODA5NTwvY3VzdG9tMj48ZWxlY3Ryb25pYy1yZXNvdXJjZS1udW0+MTAuMTE4Ni8xNDcxLTI0
NTgtMTEtMTc5PC9lbGVjdHJvbmljLXJlc291cmNlLW51bT48L3JlY29yZD48L0NpdGU+PENpdGU+
PEF1dGhvcj5SZW5hdWx0PC9BdXRob3I+PFllYXI+MjAxNDwvWWVhcj48UmVjTnVtPjkzNzwvUmVj
TnVtPjxyZWNvcmQ+PHJlYy1udW1iZXI+OTM3PC9yZWMtbnVtYmVyPjxmb3JlaWduLWtleXM+PGtl
eSBhcHA9IkVOIiBkYi1pZD0iZXh2YXNyZngyZHRyYW9lc2FzeHAyc3pzeGEyZGY1MDI1OTJ4IiB0
aW1lc3RhbXA9IjE1NDE1NDE4MTQiPjkzNzwva2V5PjxrZXkgYXBwPSJFTldlYiIgZGItaWQ9IiI+
MDwva2V5PjwvZm9yZWlnbi1rZXlzPjxyZWYtdHlwZSBuYW1lPSJKb3VybmFsIEFydGljbGUiPjE3
PC9yZWYtdHlwZT48Y29udHJpYnV0b3JzPjxhdXRob3JzPjxhdXRob3I+UmVuYXVsdCwgSy4gTS48
L2F1dGhvcj48YXV0aG9yPk5vcmdhYXJkLCBLLjwvYXV0aG9yPjxhdXRob3I+TmlsYXMsIEwuPC9h
dXRob3I+PGF1dGhvcj5DYXJsc2VuLCBFLiBNLjwvYXV0aG9yPjxhdXRob3I+Q29ydGVzLCBELjwv
YXV0aG9yPjxhdXRob3I+UHJ5ZHMsIE8uPC9hdXRob3I+PGF1dGhvcj5TZWNoZXIsIE4uIEouPC9h
dXRob3I+PC9hdXRob3JzPjwvY29udHJpYnV0b3JzPjxhdXRoLWFkZHJlc3M+RGVwYXJ0bWVudCBv
ZiBPYnN0ZXRyaWNzIGFuZCBHeW5lY29sb2d5LCBIdmlkb3ZyZSBIb3NwaXRhbCwgVW5pdmVyc2l0
eSBvZiBDb3BlbmhhZ2VuLCBIdmlkb3ZyZSwgRGVubWFyay4gRWxlY3Ryb25pYyBhZGRyZXNzOiBL
cmVuYXVsdEBkYWRsbmV0LmRrLiYjeEQ7RGVwYXJ0bWVudCBvZiBFbmRvY3Jpbm9sb2d5LCBIdmlk
b3ZyZSBIb3NwaXRhbCwgVW5pdmVyc2l0eSBvZiBDb3BlbmhhZ2VuLCBIdmlkb3ZyZSwgRGVubWFy
ay4mI3hEO0RlcGFydG1lbnQgb2YgT2JzdGV0cmljcyBhbmQgR3luZWNvbG9neSwgSHZpZG92cmUg
SG9zcGl0YWwsIFVuaXZlcnNpdHkgb2YgQ29wZW5oYWdlbiwgSHZpZG92cmUsIERlbm1hcmsuJiN4
RDtEZXBhcnRtZW50IG9mIFBlZGlhdHJpY3MsIEh2aWRvdnJlIEhvc3BpdGFsLCBVbml2ZXJzaXR5
IG9mIENvcGVuaGFnZW4sIEh2aWRvdnJlLCBEZW5tYXJrLjwvYXV0aC1hZGRyZXNzPjx0aXRsZXM+
PHRpdGxlPlRoZSBUcmVhdG1lbnQgb2YgT2Jlc2UgUHJlZ25hbnQgV29tZW4gKFRPUCkgc3R1ZHk6
IGEgcmFuZG9taXplZCBjb250cm9sbGVkIHRyaWFsIG9mIHRoZSBlZmZlY3Qgb2YgcGh5c2ljYWwg
YWN0aXZpdHkgaW50ZXJ2ZW50aW9uIGFzc2Vzc2VkIGJ5IHBlZG9tZXRlciB3aXRoIG9yIHdpdGhv
dXQgZGlldGFyeSBpbnRlcnZlbnRpb24gaW4gb2Jlc2UgcHJlZ25hbnQgd29tZW48L3RpdGxlPjxz
ZWNvbmRhcnktdGl0bGU+QW0gSiBPYnN0ZXQgR3luZWNvbDwvc2Vjb25kYXJ5LXRpdGxlPjwvdGl0
bGVzPjxwZXJpb2RpY2FsPjxmdWxsLXRpdGxlPkFtIEogT2JzdGV0IEd5bmVjb2w8L2Z1bGwtdGl0
bGU+PC9wZXJpb2RpY2FsPjxwYWdlcz4xMzQgZTEtOTwvcGFnZXM+PHZvbHVtZT4yMTA8L3ZvbHVt
ZT48bnVtYmVyPjI8L251bWJlcj48ZWRpdGlvbj4yMDEzLzA5LzI2PC9lZGl0aW9uPjxrZXl3b3Jk
cz48a2V5d29yZD5BY3RpZ3JhcGh5PC9rZXl3b3JkPjxrZXl3b3JkPkFkdWx0PC9rZXl3b3JkPjxr
ZXl3b3JkPkNvbWJpbmVkIE1vZGFsaXR5IFRoZXJhcHk8L2tleXdvcmQ+PGtleXdvcmQ+RGlldCwg
TWVkaXRlcnJhbmVhbjwva2V5d29yZD48a2V5d29yZD5FbmVyZ3kgSW50YWtlPC9rZXl3b3JkPjxr
ZXl3b3JkPipFeGVyY2lzZTwva2V5d29yZD48a2V5d29yZD5GZW1hbGU8L2tleXdvcmQ+PGtleXdv
cmQ+SHVtYW5zPC9rZXl3b3JkPjxrZXl3b3JkPk9iZXNpdHkvZGlldCB0aGVyYXB5Lyp0aGVyYXB5
PC9rZXl3b3JkPjxrZXl3b3JkPlByZWduYW5jeTwva2V5d29yZD48a2V5d29yZD5QcmVnbmFuY3kg
Q29tcGxpY2F0aW9ucy9kaWV0IHRoZXJhcHkvKnRoZXJhcHk8L2tleXdvcmQ+PGtleXdvcmQ+ZGll
dDwva2V5d29yZD48a2V5d29yZD5pbnRlcnZlbnRpb248L2tleXdvcmQ+PGtleXdvcmQ+b2Jlc2l0
eTwva2V5d29yZD48a2V5d29yZD5wZWRvbWV0ZXI8L2tleXdvcmQ+PGtleXdvcmQ+cGh5c2ljYWwg
YWN0aXZpdHk8L2tleXdvcmQ+PC9rZXl3b3Jkcz48ZGF0ZXM+PHllYXI+MjAxNDwveWVhcj48cHVi
LWRhdGVzPjxkYXRlPkZlYjwvZGF0ZT48L3B1Yi1kYXRlcz48L2RhdGVzPjxpc2JuPjEwOTctNjg2
OCAoRWxlY3Ryb25pYykmI3hEOzAwMDItOTM3OCAoTGlua2luZyk8L2lzYm4+PGFjY2Vzc2lvbi1u
dW0+MjQwNjA0NDk8L2FjY2Vzc2lvbi1udW0+PHVybHM+PHJlbGF0ZWQtdXJscz48dXJsPmh0dHBz
Oi8vd3d3Lm5jYmkubmxtLm5paC5nb3YvcHVibWVkLzI0MDYwNDQ5PC91cmw+PC9yZWxhdGVkLXVy
bHM+PC91cmxzPjxlbGVjdHJvbmljLXJlc291cmNlLW51bT4xMC4xMDE2L2ouYWpvZy4yMDEzLjA5
LjAyOTwvZWxlY3Ryb25pYy1yZXNvdXJjZS1udW0+PC9yZWNvcmQ+PC9DaXRlPjxDaXRlPjxBdXRo
b3I+UGV0cmVsbGE8L0F1dGhvcj48WWVhcj4yMDEzPC9ZZWFyPjxSZWNOdW0+NzUxPC9SZWNOdW0+
PHJlY29yZD48cmVjLW51bWJlcj43NTE8L3JlYy1udW1iZXI+PGZvcmVpZ24ta2V5cz48a2V5IGFw
cD0iRU4iIGRiLWlkPSJleHZhc3JmeDJkdHJhb2VzYXN4cDJzenN4YTJkZjUwMjU5MngiIHRpbWVz
dGFtcD0iMTU0MTQ2NzkzMSI+NzUxPC9rZXk+PGtleSBhcHA9IkVOV2ViIiBkYi1pZD0iIj4wPC9r
ZXk+PC9mb3JlaWduLWtleXM+PHJlZi10eXBlIG5hbWU9IkpvdXJuYWwgQXJ0aWNsZSI+MTc8L3Jl
Zi10eXBlPjxjb250cmlidXRvcnM+PGF1dGhvcnM+PGF1dGhvcj5QZXRyZWxsYSwgRS48L2F1dGhv
cj48YXV0aG9yPk1hbGF2b2x0aSwgTS48L2F1dGhvcj48YXV0aG9yPkJlcnRhcmluaSwgVi48L2F1
dGhvcj48YXV0aG9yPlBpZ25hdHRpLCBMLjwvYXV0aG9yPjxhdXRob3I+TmVyaSwgSS48L2F1dGhv
cj48YXV0aG9yPkJhdHRpc3RpbmksIE4uIEMuPC9hdXRob3I+PGF1dGhvcj5GYWNjaGluZXR0aSwg
Ri48L2F1dGhvcj48L2F1dGhvcnM+PC9jb250cmlidXRvcnM+PHRpdGxlcz48dGl0bGU+R2VzdGF0
aW9uYWwgd2VpZ2h0IGdhaW4gaW4gb3ZlcndlaWdodCBhbmQgb2Jlc2Ugd29tZW4gZW5yb2xsZWQg
aW4gYSBoZWFsdGh5IGxpZmVzdHlsZSBhbmQgZWF0aW5nIGhhYml0cyBwcm9ncmFtPC90aXRsZT48
c2Vjb25kYXJ5LXRpdGxlPkogTWF0ZXJuYWwtRmV0YWwgJmFtcDsgTmVvbmF0YWwgTWVkPC9zZWNv
bmRhcnktdGl0bGU+PC90aXRsZXM+PHBlcmlvZGljYWw+PGZ1bGwtdGl0bGU+SiBNYXRlcm5hbC1G
ZXRhbCAmYW1wOyBOZW9uYXRhbCBNZWQ8L2Z1bGwtdGl0bGU+PC9wZXJpb2RpY2FsPjxwYWdlcz4x
MzQ4LTEzNTI8L3BhZ2VzPjx2b2x1bWU+Mjc8L3ZvbHVtZT48bnVtYmVyPjEzPC9udW1iZXI+PHNl
Y3Rpb24+MTM0ODwvc2VjdGlvbj48ZGF0ZXM+PHllYXI+MjAxMzwveWVhcj48L2RhdGVzPjxpc2Ju
PjE0NzYtNzA1OCYjeEQ7MTQ3Ni00OTU0PC9pc2JuPjx1cmxzPjwvdXJscz48ZWxlY3Ryb25pYy1y
ZXNvdXJjZS1udW0+MTAuMzEwOS8xNDc2NzA1OC4yMDEzLjg1ODMxODwvZWxlY3Ryb25pYy1yZXNv
dXJjZS1udW0+PC9yZWNvcmQ+PC9DaXRlPjxDaXRlPjxBdXRob3I+UnVjaGF0PC9BdXRob3I+PFll
YXI+MjAxMjwvWWVhcj48UmVjTnVtPjc1NjwvUmVjTnVtPjxyZWNvcmQ+PHJlYy1udW1iZXI+NzU2
PC9yZWMtbnVtYmVyPjxmb3JlaWduLWtleXM+PGtleSBhcHA9IkVOIiBkYi1pZD0iZXh2YXNyZngy
ZHRyYW9lc2FzeHAyc3pzeGEyZGY1MDI1OTJ4IiB0aW1lc3RhbXA9IjE1NDE0Njc5NjUiPjc1Njwv
a2V5PjxrZXkgYXBwPSJFTldlYiIgZGItaWQ9IiI+MDwva2V5PjwvZm9yZWlnbi1rZXlzPjxyZWYt
dHlwZSBuYW1lPSJKb3VybmFsIEFydGljbGUiPjE3PC9yZWYtdHlwZT48Y29udHJpYnV0b3JzPjxh
dXRob3JzPjxhdXRob3I+UnVjaGF0LCBTLU0uLDwvYXV0aG9yPjxhdXRob3I+RGF2ZW5wb3J0LCBN
LkguLDwvYXV0aG9yPjxhdXRob3I+R2lyb3V4LCBJLiw8L2F1dGhvcj48YXV0aG9yPkhpbGxpZXIs
IE0uLDwvYXV0aG9yPjxhdXRob3I+QmF0YWRhLCBBLiw8L2F1dGhvcj48YXV0aG9yPlNvcHBlciwg
TS5NLiw8L2F1dGhvcj48YXV0aG9yPkhhbW1vbmQsIEouTS5TLiw8L2F1dGhvcj48YXV0aG9yPk1v
dHRvbGEsIE0uRi4sPC9hdXRob3I+PC9hdXRob3JzPjwvY29udHJpYnV0b3JzPjx0aXRsZXM+PHRp
dGxlPk51dHJpdGlvbiBhbmQgZXhlcmNpc2UgcmVkdWNlIGV4Y2Vzc2l2ZSB3ZWlnaHQgZ2FpbiBp
biBub3JtYWwtd2VpZ2h0IHByZWduYW50IHdvbWVuPC90aXRsZT48c2Vjb25kYXJ5LXRpdGxlPk1l
ZGljaW5lICZhbXA7IFNjaWVuY2UgaW4gU3BvcnRzICZhbXA7IEV4ZXJjaXNlPC9zZWNvbmRhcnkt
dGl0bGU+PC90aXRsZXM+PHBlcmlvZGljYWw+PGZ1bGwtdGl0bGU+TWVkaWNpbmUgJmFtcDsgU2Np
ZW5jZSBpbiBTcG9ydHMgJmFtcDsgRXhlcmNpc2U8L2Z1bGwtdGl0bGU+PC9wZXJpb2RpY2FsPjxw
YWdlcz4xNDE5LTE0MjY8L3BhZ2VzPjx2b2x1bWU+NDQ8L3ZvbHVtZT48bnVtYmVyPjg8L251bWJl
cj48c2VjdGlvbj4xNDE5PC9zZWN0aW9uPjxkYXRlcz48eWVhcj4yMDEyPC95ZWFyPjwvZGF0ZXM+
PGlzYm4+MDE5NS05MTMxPC9pc2JuPjx1cmxzPjwvdXJscz48ZWxlY3Ryb25pYy1yZXNvdXJjZS1u
dW0+MTAuMTI0OS9NU1MuMGIwMTNlMzE4MjUzNjVmMTwvZWxlY3Ryb25pYy1yZXNvdXJjZS1udW0+
PC9yZWNvcmQ+PC9DaXRlPjxDaXRlPjxBdXRob3I+VHJhay1GZWxsZXJtZWllcjwvQXV0aG9yPjxZ
ZWFyPjIwMTk8L1llYXI+PFJlY051bT4xOTIxPC9SZWNOdW0+PHJlY29yZD48cmVjLW51bWJlcj4x
OTIxPC9yZWMtbnVtYmVyPjxmb3JlaWduLWtleXM+PGtleSBhcHA9IkVOIiBkYi1pZD0iZXh2YXNy
ZngyZHRyYW9lc2FzeHAyc3pzeGEyZGY1MDI1OTJ4IiB0aW1lc3RhbXA9IjE1ODg1NTY1OTUiPjE5
MjE8L2tleT48a2V5IGFwcD0iRU5XZWIiIGRiLWlkPSIiPjA8L2tleT48L2ZvcmVpZ24ta2V5cz48
cmVmLXR5cGUgbmFtZT0iSm91cm5hbCBBcnRpY2xlIj4xNzwvcmVmLXR5cGU+PGNvbnRyaWJ1dG9y
cz48YXV0aG9ycz48YXV0aG9yPlRyYWstRmVsbGVybWVpZXIsIE0uIEEuPC9hdXRob3I+PGF1dGhv
cj5DYW1wb3MsIE0uPC9hdXRob3I+PGF1dGhvcj5NZWxlbmRleiwgTS48L2F1dGhvcj48YXV0aG9y
PlBvbWVyb3ksIEouPC9hdXRob3I+PGF1dGhvcj5QYWxhY2lvcywgQy48L2F1dGhvcj48YXV0aG9y
PlJpdmVyYS1WaW5hcywgSi48L2F1dGhvcj48YXV0aG9yPk1lbmRleiwgSy48L2F1dGhvcj48YXV0
aG9yPkZlYm8sIEkuPC9hdXRob3I+PGF1dGhvcj5XaWxsZXR0LCBXLjwvYXV0aG9yPjxhdXRob3I+
R2lsbG1hbiwgTS4gVy48L2F1dGhvcj48YXV0aG9yPkZyYW5rcywgUC4gVy48L2F1dGhvcj48YXV0
aG9yPkpvc2hpcHVyYSwgSy48L2F1dGhvcj48L2F1dGhvcnM+PC9jb250cmlidXRvcnM+PGF1dGgt
YWRkcmVzcz5DZW50ZXIgZm9yIENsaW5pY2FsIFJlc2VhcmNoIGFuZCBIZWFsdGggUHJvbW90aW9u
LCBTY2hvb2wgb2YgRGVudGFsIE1lZGljaW5lLCBNZWRpY2FsIFNjaWVuY2VzIENhbXB1cywgVW5p
dmVyc2l0eSBvZiBQdWVydG8gUmljbywgU2FuIEp1YW4sIFBSLCBVU0EsIGthdW11ZGkuam9zaGlw
dXJhQHVwci5lZHUuJiN4RDtDbGluaWNhbCBSZXNlYXJjaCBDZW50ZXIsIE1hcnNoZmllbGQgQ2xp
bmljIFJlc2VhcmNoIEluc3RpdHV0ZSwgTWFyc2hmaWVsZCBDbGluaWMgSGVhbHRoIFN5c3RlbSwg
TWFyc2hmaWVsZCwgV0ksIFVTQS4mI3hEO0RlcGFydG1lbnQgb2YgRGlldGV0aWNzIGFuZCBOdXRy
aXRpb24sIFJvYmVydCBTdGVtcGVsIENvbGxlZ2Ugb2YgUHVibGljIEhlYWx0aCAmYW1wOyBTb2Np
YWwgV29yaywgRmxvcmlkYSBJbnRlcm5hdGlvbmFsIFVuaXZlcnNpdHksIE1pYW1pLCBGTCwgVVNB
LiYjeEQ7RGVwYXJ0bWVudCBvZiBPYnN0ZXRyaWNzIGFuZCBHeW5lY29sb2d5LCBTY2hvb2wgb2Yg
TWVkaWNpbmUsIE1lZGljYWwgU2NpZW5jZXMgQ2FtcHVzLCBVbml2ZXJzaXR5IG9mIFB1ZXJ0byBS
aWNvLCBTYW4gSnVhbiwgUFIsIFVTQS4mI3hEO0RlcGFydG1lbnQgb2YgUGVkaWF0cmljcywgU2No
b29sIG9mIE1lZGljaW5lLCBNZWRpY2FsIFNjaWVuY2VzIENhbXB1cywgVW5pdmVyc2l0eSBvZiBQ
dWVydG8gUmljbywgU2FuIEp1YW4sIFBSLCBVU0EuJiN4RDtEZXBhcnRtZW50IG9mIE51dHJpdGlv
biwgSGFydmFyZCBULkguIENoYW4gU2Nob29sIG9mIFB1YmxpYyBIZWFsdGgsIEhhcnZhcmQgVW5p
dmVyc2l0eSwgQm9zdG9uLCBNQSwgVVNBLiYjeEQ7RGl2aXNpb24gb2YgQ2hyb25pYyBEaXNlYXNl
IFJlc2VhcmNoIEFjcm9zcyB0aGUgTGlmZSBDb3Vyc2UsIERlcGFydG1lbnQgb2YgUG9wdWxhdGlv
biBNZWRpY2luZSwgSGFydmFyZCBNZWRpY2FsIFNjaG9vbCBhbmQgSGFydmFyZCBQaWxncmltIEhl
YWx0aCBDYXJlIEluc3RpdHV0ZSwgQm9zdG9uLCBNQS4mI3hEO0RlcGFydG1lbnQgb2YgQ2xpbmlj
YWwgU2NpZW5jZXMsIEdlbmV0aWMgYW5kIE1vbGVjdWxhciBFcGlkZW1pb2xvZ3kgVW5pdCwgTHVu
ZCBVbml2ZXJzaXR5LCBTa2FuZSBVbml2ZXJzaXR5IEhvc3BpdGFsLCBNYWxtbywgU3dlZGVuLiYj
eEQ7RGVwYXJ0bWVudCBvZiBFcGlkZW1pb2xvZ3ksIEhhcnZhcmQgVC5ILiBDaGFuIFB1YmxpYyBI
ZWFsdGggU2Nob29sLCBIYXJ2YXJkIFVuaXZlcnNpdHksIEJvc3RvbiwgTUEsIFVTQSwga2F1bXVk
aS5qb3NoaXB1cmFAdXByLmVkdS48L2F1dGgtYWRkcmVzcz48dGl0bGVzPjx0aXRsZT5QRUFSTFMg
cmFuZG9taXplZCBsaWZlc3R5bGUgdHJpYWwgaW4gcHJlZ25hbnQgSGlzcGFuaWMgd29tZW4gd2l0
aCBvdmVyd2VpZ2h0L29iZXNpdHk6IGdlc3RhdGlvbmFsIHdlaWdodCBnYWluIGFuZCBvZmZzcHJp
bmcgYmlydGh3ZWlnaHQ8L3RpdGxlPjxzZWNvbmRhcnktdGl0bGU+RGlhYmV0ZXMgTWV0YWIgU3lu
ZHIgT2Jlczwvc2Vjb25kYXJ5LXRpdGxlPjwvdGl0bGVzPjxwZXJpb2RpY2FsPjxmdWxsLXRpdGxl
PkRpYWJldGVzIE1ldGFiIFN5bmRyIE9iZXM8L2Z1bGwtdGl0bGU+PC9wZXJpb2RpY2FsPjxwYWdl
cz4yMjUtMjM4PC9wYWdlcz48dm9sdW1lPjEyPC92b2x1bWU+PGVkaXRpb24+MjAxOS8wMy8xMzwv
ZWRpdGlvbj48a2V5d29yZHM+PGtleXdvcmQ+YmlydGh3ZWlnaHQ8L2tleXdvcmQ+PGtleXdvcmQ+
Z2VzdGF0aW9uYWwgd2VpZ2h0IGdhaW48L2tleXdvcmQ+PGtleXdvcmQ+aW50ZXJ2ZW50aW9uPC9r
ZXl3b3JkPjxrZXl3b3JkPmxpZmVzdHlsZSBtb2RpZmljYXRpb248L2tleXdvcmQ+PGtleXdvcmQ+
bmVvbmF0YWw8L2tleXdvcmQ+PGtleXdvcmQ+b2Jlc2U8L2tleXdvcmQ+PGtleXdvcmQ+b3Zlcndl
aWdodDwva2V5d29yZD48a2V5d29yZD5wcmVnbmFuY3k8L2tleXdvcmQ+PGtleXdvcmQ+cmFuZG9t
aXplZCBjb250cm9sbGVkIHRyaWFsPC9rZXl3b3JkPjxrZXl3b3JkPkhlYWx0aCBPdXRjb21lcyAo
RUNITykgUHJvZ3JhbSwgT2ZmaWNlIG9mIHRoZSBEaXJlY3RvciwgTmF0aW9uYWwgSW5zdGl0dXRl
cyBvZjwva2V5d29yZD48a2V5d29yZD5IZWFsdGggKFRoZSB2aWV3cyBleHByZXNzZWQgaW4gdGhp
cyBhcnRpY2xlIGRvIG5vdCBuZWNlc3NhcmlseSByZXByZXNlbnQgdGhlPC9rZXl3b3JkPjxrZXl3
b3JkPnZpZXdzIG9mIHRoZSBVUyBHb3Zlcm5tZW50LCB0aGUgRGVwYXJ0bWVudCBvZiBIZWFsdGgg
YW5kIEh1bWFuIFNlcnZpY2VzIG9yIHRoZTwva2V5d29yZD48a2V5d29yZD5OYXRpb25hbCBJbnN0
aXR1dGVzIG9mIEhlYWx0aCkuIFRoZSBhdXRob3JzIHJlcG9ydCBubyBvdGhlciBjb25mbGljdHMg
b2YgaW50ZXJlc3Q8L2tleXdvcmQ+PGtleXdvcmQ+aW4gdGhpcyB3b3JrLjwva2V5d29yZD48L2tl
eXdvcmRzPjxkYXRlcz48eWVhcj4yMDE5PC95ZWFyPjwvZGF0ZXM+PGlzYm4+MTE3OC03MDA3IChQ
cmludCkmI3hEOzExNzgtNzAwNyAoTGlua2luZyk8L2lzYm4+PGFjY2Vzc2lvbi1udW0+MzA4NTg3
MTU8L2FjY2Vzc2lvbi1udW0+PHVybHM+PHJlbGF0ZWQtdXJscz48dXJsPmh0dHBzOi8vd3d3Lm5j
YmkubmxtLm5paC5nb3YvcHVibWVkLzMwODU4NzE1PC91cmw+PC9yZWxhdGVkLXVybHM+PC91cmxz
PjxjdXN0b20yPlBNQzYzODU3NDM8L2N1c3RvbTI+PGVsZWN0cm9uaWMtcmVzb3VyY2UtbnVtPjEw
LjIxNDcvRE1TTy5TMTc5MDA5PC9lbGVjdHJvbmljLXJlc291cmNlLW51bT48L3JlY29yZD48L0Np
dGU+PC9FbmROb3RlPn==
</w:fldData>
        </w:fldChar>
      </w:r>
      <w:r w:rsidR="002747EA">
        <w:instrText xml:space="preserve"> ADDIN EN.CITE </w:instrText>
      </w:r>
      <w:r w:rsidR="002747EA">
        <w:fldChar w:fldCharType="begin">
          <w:fldData xml:space="preserve">PEVuZE5vdGU+PENpdGU+PEF1dGhvcj5QaGVsYW48L0F1dGhvcj48WWVhcj4yMDExPC9ZZWFyPjxS
ZWNOdW0+NzA1PC9SZWNOdW0+PERpc3BsYXlUZXh0PjxzdHlsZSBmYWNlPSJzdXBlcnNjcmlwdCIg
Zm9udD0iVHJlYnVjaGV0IE1TIiBzaXplPSI5Ij40NTEsNDgyLDQ5NCw1MDQsNTA5LDUxNjwvc3R5
bGU+PC9EaXNwbGF5VGV4dD48cmVjb3JkPjxyZWMtbnVtYmVyPjcwNTwvcmVjLW51bWJlcj48Zm9y
ZWlnbi1rZXlzPjxrZXkgYXBwPSJFTiIgZGItaWQ9ImV4dmFzcmZ4MmR0cmFvZXNhc3hwMnN6c3hh
MmRmNTAyNTkyeCIgdGltZXN0YW1wPSIxNTQwNTMwNjM2Ij43MDU8L2tleT48L2ZvcmVpZ24ta2V5
cz48cmVmLXR5cGUgbmFtZT0iSm91cm5hbCBBcnRpY2xlIj4xNzwvcmVmLXR5cGU+PGNvbnRyaWJ1
dG9ycz48YXV0aG9ycz48YXV0aG9yPlBoZWxhbiwgUy48L2F1dGhvcj48YXV0aG9yPlBoaXBwcywg
TS4gRy48L2F1dGhvcj48YXV0aG9yPkFicmFtcywgQi48L2F1dGhvcj48YXV0aG9yPkRhcnJvY2gs
IEYuPC9hdXRob3I+PGF1dGhvcj5TY2hhZmZuZXIsIEEuPC9hdXRob3I+PGF1dGhvcj5XaW5nLCBS
LiBSLjwvYXV0aG9yPjwvYXV0aG9ycz48L2NvbnRyaWJ1dG9ycz48YXV0aC1hZGRyZXNzPkRlcGFy
dG1lbnRzIG9mIEtpbmVzaW9sb2d5LCBDYWxpZm9ybmlhIFBvbHl0ZWNobmljIFN0YXRlIFVuaXZl
cnNpdHksIFNhbiBMdWlzIE9iaXNwbywgOTM0MDctMDM4NiwgVVNBLiBzcGhlbGFuQGNhbHBvbHku
ZWR1PC9hdXRoLWFkZHJlc3M+PHRpdGxlcz48dGl0bGU+UmFuZG9taXplZCB0cmlhbCBvZiBhIGJl
aGF2aW9yYWwgaW50ZXJ2ZW50aW9uIHRvIHByZXZlbnQgZXhjZXNzaXZlIGdlc3RhdGlvbmFsIHdl
aWdodCBnYWluOiB0aGUgRml0IGZvciBEZWxpdmVyeSBTdHVkeTwvdGl0bGU+PHNlY29uZGFyeS10
aXRsZT5BbSBKIENsaW4gTnV0cjwvc2Vjb25kYXJ5LXRpdGxlPjwvdGl0bGVzPjxwZXJpb2RpY2Fs
PjxmdWxsLXRpdGxlPkFtIEogQ2xpbiBOdXRyPC9mdWxsLXRpdGxlPjwvcGVyaW9kaWNhbD48cGFn
ZXM+NzcyLTk8L3BhZ2VzPjx2b2x1bWU+OTM8L3ZvbHVtZT48bnVtYmVyPjQ8L251bWJlcj48ZWRp
dGlvbj4yMDExLzAyLzEyPC9lZGl0aW9uPjxrZXl3b3Jkcz48a2V5d29yZD5BZHVsdDwva2V5d29y
ZD48a2V5d29yZD5CZWhhdmlvcjwva2V5d29yZD48a2V5d29yZD4qQmVoYXZpb3IgVGhlcmFweTwv
a2V5d29yZD48a2V5d29yZD4qRGlldDwva2V5d29yZD48a2V5d29yZD4qRXhlcmNpc2U8L2tleXdv
cmQ+PGtleXdvcmQ+RmVtYWxlPC9rZXl3b3JkPjxrZXl3b3JkPipIZWFsdGggUHJvbW90aW9uPC9r
ZXl3b3JkPjxrZXl3b3JkPkh1bWFuczwva2V5d29yZD48a2V5d29yZD5JbnRlbnRpb24gdG8gVHJl
YXQgQW5hbHlzaXM8L2tleXdvcmQ+PGtleXdvcmQ+T2Jlc2l0eS9jb21wbGljYXRpb25zL2VwaWRl
bWlvbG9neS8qcHJldmVudGlvbiAmYW1wOyBjb250cm9sPC9rZXl3b3JkPjxrZXl3b3JkPlBvc3Rw
YXJ0dW0gUGVyaW9kPC9rZXl3b3JkPjxrZXl3b3JkPlByZWduYW5jeTwva2V5d29yZD48a2V5d29y
ZD5QcmVnbmFuY3kgQ29tcGxpY2F0aW9ucy8qcHJldmVudGlvbiAmYW1wOyBjb250cm9sPC9rZXl3
b3JkPjxrZXl3b3JkPlByZXZhbGVuY2U8L2tleXdvcmQ+PGtleXdvcmQ+UmVmZXJlbmNlIFZhbHVl
czwva2V5d29yZD48a2V5d29yZD5TaW5nbGUtQmxpbmQgTWV0aG9kPC9rZXl3b3JkPjxrZXl3b3Jk
PlN0YW5kYXJkIG9mIENhcmU8L2tleXdvcmQ+PGtleXdvcmQ+VHJlYXRtZW50IE91dGNvbWU8L2tl
eXdvcmQ+PGtleXdvcmQ+KldlaWdodCBHYWluPC9rZXl3b3JkPjxrZXl3b3JkPllvdW5nIEFkdWx0
PC9rZXl3b3JkPjwva2V5d29yZHM+PGRhdGVzPjx5ZWFyPjIwMTE8L3llYXI+PHB1Yi1kYXRlcz48
ZGF0ZT5BcHI8L2RhdGU+PC9wdWItZGF0ZXM+PC9kYXRlcz48aXNibj4xOTM4LTMyMDcgKEVsZWN0
cm9uaWMpJiN4RDswMDAyLTkxNjUgKExpbmtpbmcpPC9pc2JuPjxhY2Nlc3Npb24tbnVtPjIxMzEw
ODM2PC9hY2Nlc3Npb24tbnVtPjx1cmxzPjxyZWxhdGVkLXVybHM+PHVybD5odHRwczovL3d3dy5u
Y2JpLm5sbS5uaWguZ292L3B1Ym1lZC8yMTMxMDgzNjwvdXJsPjwvcmVsYXRlZC11cmxzPjwvdXJs
cz48Y3VzdG9tMj5QTUMzMDU3NTQ2PC9jdXN0b20yPjxlbGVjdHJvbmljLXJlc291cmNlLW51bT4x
MC4zOTQ1L2FqY24uMTEwLjAwNTMwNjwvZWxlY3Ryb25pYy1yZXNvdXJjZS1udW0+PC9yZWNvcmQ+
PC9DaXRlPjxDaXRlPjxBdXRob3I+S29ycGktSHlvdmFsdGk8L0F1dGhvcj48WWVhcj4yMDExPC9Z
ZWFyPjxSZWNOdW0+Njk3PC9SZWNOdW0+PHJlY29yZD48cmVjLW51bWJlcj42OTc8L3JlYy1udW1i
ZXI+PGZvcmVpZ24ta2V5cz48a2V5IGFwcD0iRU4iIGRiLWlkPSJleHZhc3JmeDJkdHJhb2VzYXN4
cDJzenN4YTJkZjUwMjU5MngiIHRpbWVzdGFtcD0iMTU0MDUzMDI2OCI+Njk3PC9rZXk+PC9mb3Jl
aWduLWtleXM+PHJlZi10eXBlIG5hbWU9IkpvdXJuYWwgQXJ0aWNsZSI+MTc8L3JlZi10eXBlPjxj
b250cmlidXRvcnM+PGF1dGhvcnM+PGF1dGhvcj5Lb3JwaS1IeW92YWx0aSwgRS4gQS48L2F1dGhv
cj48YXV0aG9yPkxhYWtzb25lbiwgRC4gRS48L2F1dGhvcj48YXV0aG9yPlNjaHdhYiwgVS4gUy48
L2F1dGhvcj48YXV0aG9yPlZhbmhhcGloYSwgVC4gSC48L2F1dGhvcj48YXV0aG9yPlZpaGxhLCBL
LiBSLjwvYXV0aG9yPjxhdXRob3I+SGVpbm9uZW4sIFMuIFQuPC9hdXRob3I+PGF1dGhvcj5OaXNr
YW5lbiwgTC4gSy48L2F1dGhvcj48L2F1dGhvcnM+PC9jb250cmlidXRvcnM+PGF1dGgtYWRkcmVz
cz5EZXBhcnRtZW50IG9mIEludGVybmFsIE1lZGljaW5lLCBTZWluYWpva2kgQ2VudHJhbCBIb3Nw
aXRhbCwgU2VpbmFqb2tpLCBGaW5sYW5kLiBlZXZhLmtvcnBpLWh5b3ZhbHRpQGVwc2hwLmZpPC9h
dXRoLWFkZHJlc3M+PHRpdGxlcz48dGl0bGU+RmVhc2liaWxpdHkgb2YgYSBsaWZlc3R5bGUgaW50
ZXJ2ZW50aW9uIGluIGVhcmx5IHByZWduYW5jeSB0byBwcmV2ZW50IGRldGVyaW9yYXRpb24gb2Yg
Z2x1Y29zZSB0b2xlcmFuY2U8L3RpdGxlPjxzZWNvbmRhcnktdGl0bGU+Qk1DIFB1YmxpYyBIZWFs
dGg8L3NlY29uZGFyeS10aXRsZT48L3RpdGxlcz48cGVyaW9kaWNhbD48ZnVsbC10aXRsZT5CTUMg
UHVibGljIEhlYWx0aDwvZnVsbC10aXRsZT48L3BlcmlvZGljYWw+PHBhZ2VzPjE3OTwvcGFnZXM+
PHZvbHVtZT4xMTwvdm9sdW1lPjxlZGl0aW9uPjIwMTEvMDMvMjU8L2VkaXRpb24+PGtleXdvcmRz
PjxrZXl3b3JkPkFkdWx0PC9rZXl3b3JkPjxrZXl3b3JkPkRpYWJldGVzLCBHZXN0YXRpb25hbC8q
cHJldmVudGlvbiAmYW1wOyBjb250cm9sPC9rZXl3b3JkPjxrZXl3b3JkPipEaXJlY3RpdmUgQ291
bnNlbGluZzwva2V5d29yZD48a2V5d29yZD5GZWFzaWJpbGl0eSBTdHVkaWVzPC9rZXl3b3JkPjxr
ZXl3b3JkPkZlbWFsZTwva2V5d29yZD48a2V5d29yZD5GaW5sYW5kPC9rZXl3b3JkPjxrZXl3b3Jk
PkZvbGxvdy1VcCBTdHVkaWVzPC9rZXl3b3JkPjxrZXl3b3JkPkdsdWNvc2UgSW50b2xlcmFuY2Uv
KnByZXZlbnRpb24gJmFtcDsgY29udHJvbDwva2V5d29yZD48a2V5d29yZD5HbHVjb3NlIFRvbGVy
YW5jZSBUZXN0PC9rZXl3b3JkPjxrZXl3b3JkPkh1bWFuczwva2V5d29yZD48a2V5d29yZD4qTGlm
ZSBTdHlsZTwva2V5d29yZD48a2V5d29yZD5QcmVnbmFuY3k8L2tleXdvcmQ+PGtleXdvcmQ+Umlz
ayBGYWN0b3JzPC9rZXl3b3JkPjxrZXl3b3JkPlRpbWUgRmFjdG9yczwva2V5d29yZD48L2tleXdv
cmRzPjxkYXRlcz48eWVhcj4yMDExPC95ZWFyPjxwdWItZGF0ZXM+PGRhdGU+TWFyIDI0PC9kYXRl
PjwvcHViLWRhdGVzPjwvZGF0ZXM+PGlzYm4+MTQ3MS0yNDU4IChFbGVjdHJvbmljKSYjeEQ7MTQ3
MS0yNDU4IChMaW5raW5nKTwvaXNibj48YWNjZXNzaW9uLW51bT4yMTQyOTIzNDwvYWNjZXNzaW9u
LW51bT48dXJscz48cmVsYXRlZC11cmxzPjx1cmw+aHR0cHM6Ly93d3cubmNiaS5ubG0ubmloLmdv
di9wdWJtZWQvMjE0MjkyMzQ8L3VybD48L3JlbGF0ZWQtdXJscz48L3VybHM+PGN1c3RvbTI+UE1D
MzA3ODA5NTwvY3VzdG9tMj48ZWxlY3Ryb25pYy1yZXNvdXJjZS1udW0+MTAuMTE4Ni8xNDcxLTI0
NTgtMTEtMTc5PC9lbGVjdHJvbmljLXJlc291cmNlLW51bT48L3JlY29yZD48L0NpdGU+PENpdGU+
PEF1dGhvcj5SZW5hdWx0PC9BdXRob3I+PFllYXI+MjAxNDwvWWVhcj48UmVjTnVtPjkzNzwvUmVj
TnVtPjxyZWNvcmQ+PHJlYy1udW1iZXI+OTM3PC9yZWMtbnVtYmVyPjxmb3JlaWduLWtleXM+PGtl
eSBhcHA9IkVOIiBkYi1pZD0iZXh2YXNyZngyZHRyYW9lc2FzeHAyc3pzeGEyZGY1MDI1OTJ4IiB0
aW1lc3RhbXA9IjE1NDE1NDE4MTQiPjkzNzwva2V5PjxrZXkgYXBwPSJFTldlYiIgZGItaWQ9IiI+
MDwva2V5PjwvZm9yZWlnbi1rZXlzPjxyZWYtdHlwZSBuYW1lPSJKb3VybmFsIEFydGljbGUiPjE3
PC9yZWYtdHlwZT48Y29udHJpYnV0b3JzPjxhdXRob3JzPjxhdXRob3I+UmVuYXVsdCwgSy4gTS48
L2F1dGhvcj48YXV0aG9yPk5vcmdhYXJkLCBLLjwvYXV0aG9yPjxhdXRob3I+TmlsYXMsIEwuPC9h
dXRob3I+PGF1dGhvcj5DYXJsc2VuLCBFLiBNLjwvYXV0aG9yPjxhdXRob3I+Q29ydGVzLCBELjwv
YXV0aG9yPjxhdXRob3I+UHJ5ZHMsIE8uPC9hdXRob3I+PGF1dGhvcj5TZWNoZXIsIE4uIEouPC9h
dXRob3I+PC9hdXRob3JzPjwvY29udHJpYnV0b3JzPjxhdXRoLWFkZHJlc3M+RGVwYXJ0bWVudCBv
ZiBPYnN0ZXRyaWNzIGFuZCBHeW5lY29sb2d5LCBIdmlkb3ZyZSBIb3NwaXRhbCwgVW5pdmVyc2l0
eSBvZiBDb3BlbmhhZ2VuLCBIdmlkb3ZyZSwgRGVubWFyay4gRWxlY3Ryb25pYyBhZGRyZXNzOiBL
cmVuYXVsdEBkYWRsbmV0LmRrLiYjeEQ7RGVwYXJ0bWVudCBvZiBFbmRvY3Jpbm9sb2d5LCBIdmlk
b3ZyZSBIb3NwaXRhbCwgVW5pdmVyc2l0eSBvZiBDb3BlbmhhZ2VuLCBIdmlkb3ZyZSwgRGVubWFy
ay4mI3hEO0RlcGFydG1lbnQgb2YgT2JzdGV0cmljcyBhbmQgR3luZWNvbG9neSwgSHZpZG92cmUg
SG9zcGl0YWwsIFVuaXZlcnNpdHkgb2YgQ29wZW5oYWdlbiwgSHZpZG92cmUsIERlbm1hcmsuJiN4
RDtEZXBhcnRtZW50IG9mIFBlZGlhdHJpY3MsIEh2aWRvdnJlIEhvc3BpdGFsLCBVbml2ZXJzaXR5
IG9mIENvcGVuaGFnZW4sIEh2aWRvdnJlLCBEZW5tYXJrLjwvYXV0aC1hZGRyZXNzPjx0aXRsZXM+
PHRpdGxlPlRoZSBUcmVhdG1lbnQgb2YgT2Jlc2UgUHJlZ25hbnQgV29tZW4gKFRPUCkgc3R1ZHk6
IGEgcmFuZG9taXplZCBjb250cm9sbGVkIHRyaWFsIG9mIHRoZSBlZmZlY3Qgb2YgcGh5c2ljYWwg
YWN0aXZpdHkgaW50ZXJ2ZW50aW9uIGFzc2Vzc2VkIGJ5IHBlZG9tZXRlciB3aXRoIG9yIHdpdGhv
dXQgZGlldGFyeSBpbnRlcnZlbnRpb24gaW4gb2Jlc2UgcHJlZ25hbnQgd29tZW48L3RpdGxlPjxz
ZWNvbmRhcnktdGl0bGU+QW0gSiBPYnN0ZXQgR3luZWNvbDwvc2Vjb25kYXJ5LXRpdGxlPjwvdGl0
bGVzPjxwZXJpb2RpY2FsPjxmdWxsLXRpdGxlPkFtIEogT2JzdGV0IEd5bmVjb2w8L2Z1bGwtdGl0
bGU+PC9wZXJpb2RpY2FsPjxwYWdlcz4xMzQgZTEtOTwvcGFnZXM+PHZvbHVtZT4yMTA8L3ZvbHVt
ZT48bnVtYmVyPjI8L251bWJlcj48ZWRpdGlvbj4yMDEzLzA5LzI2PC9lZGl0aW9uPjxrZXl3b3Jk
cz48a2V5d29yZD5BY3RpZ3JhcGh5PC9rZXl3b3JkPjxrZXl3b3JkPkFkdWx0PC9rZXl3b3JkPjxr
ZXl3b3JkPkNvbWJpbmVkIE1vZGFsaXR5IFRoZXJhcHk8L2tleXdvcmQ+PGtleXdvcmQ+RGlldCwg
TWVkaXRlcnJhbmVhbjwva2V5d29yZD48a2V5d29yZD5FbmVyZ3kgSW50YWtlPC9rZXl3b3JkPjxr
ZXl3b3JkPipFeGVyY2lzZTwva2V5d29yZD48a2V5d29yZD5GZW1hbGU8L2tleXdvcmQ+PGtleXdv
cmQ+SHVtYW5zPC9rZXl3b3JkPjxrZXl3b3JkPk9iZXNpdHkvZGlldCB0aGVyYXB5Lyp0aGVyYXB5
PC9rZXl3b3JkPjxrZXl3b3JkPlByZWduYW5jeTwva2V5d29yZD48a2V5d29yZD5QcmVnbmFuY3kg
Q29tcGxpY2F0aW9ucy9kaWV0IHRoZXJhcHkvKnRoZXJhcHk8L2tleXdvcmQ+PGtleXdvcmQ+ZGll
dDwva2V5d29yZD48a2V5d29yZD5pbnRlcnZlbnRpb248L2tleXdvcmQ+PGtleXdvcmQ+b2Jlc2l0
eTwva2V5d29yZD48a2V5d29yZD5wZWRvbWV0ZXI8L2tleXdvcmQ+PGtleXdvcmQ+cGh5c2ljYWwg
YWN0aXZpdHk8L2tleXdvcmQ+PC9rZXl3b3Jkcz48ZGF0ZXM+PHllYXI+MjAxNDwveWVhcj48cHVi
LWRhdGVzPjxkYXRlPkZlYjwvZGF0ZT48L3B1Yi1kYXRlcz48L2RhdGVzPjxpc2JuPjEwOTctNjg2
OCAoRWxlY3Ryb25pYykmI3hEOzAwMDItOTM3OCAoTGlua2luZyk8L2lzYm4+PGFjY2Vzc2lvbi1u
dW0+MjQwNjA0NDk8L2FjY2Vzc2lvbi1udW0+PHVybHM+PHJlbGF0ZWQtdXJscz48dXJsPmh0dHBz
Oi8vd3d3Lm5jYmkubmxtLm5paC5nb3YvcHVibWVkLzI0MDYwNDQ5PC91cmw+PC9yZWxhdGVkLXVy
bHM+PC91cmxzPjxlbGVjdHJvbmljLXJlc291cmNlLW51bT4xMC4xMDE2L2ouYWpvZy4yMDEzLjA5
LjAyOTwvZWxlY3Ryb25pYy1yZXNvdXJjZS1udW0+PC9yZWNvcmQ+PC9DaXRlPjxDaXRlPjxBdXRo
b3I+UGV0cmVsbGE8L0F1dGhvcj48WWVhcj4yMDEzPC9ZZWFyPjxSZWNOdW0+NzUxPC9SZWNOdW0+
PHJlY29yZD48cmVjLW51bWJlcj43NTE8L3JlYy1udW1iZXI+PGZvcmVpZ24ta2V5cz48a2V5IGFw
cD0iRU4iIGRiLWlkPSJleHZhc3JmeDJkdHJhb2VzYXN4cDJzenN4YTJkZjUwMjU5MngiIHRpbWVz
dGFtcD0iMTU0MTQ2NzkzMSI+NzUxPC9rZXk+PGtleSBhcHA9IkVOV2ViIiBkYi1pZD0iIj4wPC9r
ZXk+PC9mb3JlaWduLWtleXM+PHJlZi10eXBlIG5hbWU9IkpvdXJuYWwgQXJ0aWNsZSI+MTc8L3Jl
Zi10eXBlPjxjb250cmlidXRvcnM+PGF1dGhvcnM+PGF1dGhvcj5QZXRyZWxsYSwgRS48L2F1dGhv
cj48YXV0aG9yPk1hbGF2b2x0aSwgTS48L2F1dGhvcj48YXV0aG9yPkJlcnRhcmluaSwgVi48L2F1
dGhvcj48YXV0aG9yPlBpZ25hdHRpLCBMLjwvYXV0aG9yPjxhdXRob3I+TmVyaSwgSS48L2F1dGhv
cj48YXV0aG9yPkJhdHRpc3RpbmksIE4uIEMuPC9hdXRob3I+PGF1dGhvcj5GYWNjaGluZXR0aSwg
Ri48L2F1dGhvcj48L2F1dGhvcnM+PC9jb250cmlidXRvcnM+PHRpdGxlcz48dGl0bGU+R2VzdGF0
aW9uYWwgd2VpZ2h0IGdhaW4gaW4gb3ZlcndlaWdodCBhbmQgb2Jlc2Ugd29tZW4gZW5yb2xsZWQg
aW4gYSBoZWFsdGh5IGxpZmVzdHlsZSBhbmQgZWF0aW5nIGhhYml0cyBwcm9ncmFtPC90aXRsZT48
c2Vjb25kYXJ5LXRpdGxlPkogTWF0ZXJuYWwtRmV0YWwgJmFtcDsgTmVvbmF0YWwgTWVkPC9zZWNv
bmRhcnktdGl0bGU+PC90aXRsZXM+PHBlcmlvZGljYWw+PGZ1bGwtdGl0bGU+SiBNYXRlcm5hbC1G
ZXRhbCAmYW1wOyBOZW9uYXRhbCBNZWQ8L2Z1bGwtdGl0bGU+PC9wZXJpb2RpY2FsPjxwYWdlcz4x
MzQ4LTEzNTI8L3BhZ2VzPjx2b2x1bWU+Mjc8L3ZvbHVtZT48bnVtYmVyPjEzPC9udW1iZXI+PHNl
Y3Rpb24+MTM0ODwvc2VjdGlvbj48ZGF0ZXM+PHllYXI+MjAxMzwveWVhcj48L2RhdGVzPjxpc2Ju
PjE0NzYtNzA1OCYjeEQ7MTQ3Ni00OTU0PC9pc2JuPjx1cmxzPjwvdXJscz48ZWxlY3Ryb25pYy1y
ZXNvdXJjZS1udW0+MTAuMzEwOS8xNDc2NzA1OC4yMDEzLjg1ODMxODwvZWxlY3Ryb25pYy1yZXNv
dXJjZS1udW0+PC9yZWNvcmQ+PC9DaXRlPjxDaXRlPjxBdXRob3I+UnVjaGF0PC9BdXRob3I+PFll
YXI+MjAxMjwvWWVhcj48UmVjTnVtPjc1NjwvUmVjTnVtPjxyZWNvcmQ+PHJlYy1udW1iZXI+NzU2
PC9yZWMtbnVtYmVyPjxmb3JlaWduLWtleXM+PGtleSBhcHA9IkVOIiBkYi1pZD0iZXh2YXNyZngy
ZHRyYW9lc2FzeHAyc3pzeGEyZGY1MDI1OTJ4IiB0aW1lc3RhbXA9IjE1NDE0Njc5NjUiPjc1Njwv
a2V5PjxrZXkgYXBwPSJFTldlYiIgZGItaWQ9IiI+MDwva2V5PjwvZm9yZWlnbi1rZXlzPjxyZWYt
dHlwZSBuYW1lPSJKb3VybmFsIEFydGljbGUiPjE3PC9yZWYtdHlwZT48Y29udHJpYnV0b3JzPjxh
dXRob3JzPjxhdXRob3I+UnVjaGF0LCBTLU0uLDwvYXV0aG9yPjxhdXRob3I+RGF2ZW5wb3J0LCBN
LkguLDwvYXV0aG9yPjxhdXRob3I+R2lyb3V4LCBJLiw8L2F1dGhvcj48YXV0aG9yPkhpbGxpZXIs
IE0uLDwvYXV0aG9yPjxhdXRob3I+QmF0YWRhLCBBLiw8L2F1dGhvcj48YXV0aG9yPlNvcHBlciwg
TS5NLiw8L2F1dGhvcj48YXV0aG9yPkhhbW1vbmQsIEouTS5TLiw8L2F1dGhvcj48YXV0aG9yPk1v
dHRvbGEsIE0uRi4sPC9hdXRob3I+PC9hdXRob3JzPjwvY29udHJpYnV0b3JzPjx0aXRsZXM+PHRp
dGxlPk51dHJpdGlvbiBhbmQgZXhlcmNpc2UgcmVkdWNlIGV4Y2Vzc2l2ZSB3ZWlnaHQgZ2FpbiBp
biBub3JtYWwtd2VpZ2h0IHByZWduYW50IHdvbWVuPC90aXRsZT48c2Vjb25kYXJ5LXRpdGxlPk1l
ZGljaW5lICZhbXA7IFNjaWVuY2UgaW4gU3BvcnRzICZhbXA7IEV4ZXJjaXNlPC9zZWNvbmRhcnkt
dGl0bGU+PC90aXRsZXM+PHBlcmlvZGljYWw+PGZ1bGwtdGl0bGU+TWVkaWNpbmUgJmFtcDsgU2Np
ZW5jZSBpbiBTcG9ydHMgJmFtcDsgRXhlcmNpc2U8L2Z1bGwtdGl0bGU+PC9wZXJpb2RpY2FsPjxw
YWdlcz4xNDE5LTE0MjY8L3BhZ2VzPjx2b2x1bWU+NDQ8L3ZvbHVtZT48bnVtYmVyPjg8L251bWJl
cj48c2VjdGlvbj4xNDE5PC9zZWN0aW9uPjxkYXRlcz48eWVhcj4yMDEyPC95ZWFyPjwvZGF0ZXM+
PGlzYm4+MDE5NS05MTMxPC9pc2JuPjx1cmxzPjwvdXJscz48ZWxlY3Ryb25pYy1yZXNvdXJjZS1u
dW0+MTAuMTI0OS9NU1MuMGIwMTNlMzE4MjUzNjVmMTwvZWxlY3Ryb25pYy1yZXNvdXJjZS1udW0+
PC9yZWNvcmQ+PC9DaXRlPjxDaXRlPjxBdXRob3I+VHJhay1GZWxsZXJtZWllcjwvQXV0aG9yPjxZ
ZWFyPjIwMTk8L1llYXI+PFJlY051bT4xOTIxPC9SZWNOdW0+PHJlY29yZD48cmVjLW51bWJlcj4x
OTIxPC9yZWMtbnVtYmVyPjxmb3JlaWduLWtleXM+PGtleSBhcHA9IkVOIiBkYi1pZD0iZXh2YXNy
ZngyZHRyYW9lc2FzeHAyc3pzeGEyZGY1MDI1OTJ4IiB0aW1lc3RhbXA9IjE1ODg1NTY1OTUiPjE5
MjE8L2tleT48a2V5IGFwcD0iRU5XZWIiIGRiLWlkPSIiPjA8L2tleT48L2ZvcmVpZ24ta2V5cz48
cmVmLXR5cGUgbmFtZT0iSm91cm5hbCBBcnRpY2xlIj4xNzwvcmVmLXR5cGU+PGNvbnRyaWJ1dG9y
cz48YXV0aG9ycz48YXV0aG9yPlRyYWstRmVsbGVybWVpZXIsIE0uIEEuPC9hdXRob3I+PGF1dGhv
cj5DYW1wb3MsIE0uPC9hdXRob3I+PGF1dGhvcj5NZWxlbmRleiwgTS48L2F1dGhvcj48YXV0aG9y
PlBvbWVyb3ksIEouPC9hdXRob3I+PGF1dGhvcj5QYWxhY2lvcywgQy48L2F1dGhvcj48YXV0aG9y
PlJpdmVyYS1WaW5hcywgSi48L2F1dGhvcj48YXV0aG9yPk1lbmRleiwgSy48L2F1dGhvcj48YXV0
aG9yPkZlYm8sIEkuPC9hdXRob3I+PGF1dGhvcj5XaWxsZXR0LCBXLjwvYXV0aG9yPjxhdXRob3I+
R2lsbG1hbiwgTS4gVy48L2F1dGhvcj48YXV0aG9yPkZyYW5rcywgUC4gVy48L2F1dGhvcj48YXV0
aG9yPkpvc2hpcHVyYSwgSy48L2F1dGhvcj48L2F1dGhvcnM+PC9jb250cmlidXRvcnM+PGF1dGgt
YWRkcmVzcz5DZW50ZXIgZm9yIENsaW5pY2FsIFJlc2VhcmNoIGFuZCBIZWFsdGggUHJvbW90aW9u
LCBTY2hvb2wgb2YgRGVudGFsIE1lZGljaW5lLCBNZWRpY2FsIFNjaWVuY2VzIENhbXB1cywgVW5p
dmVyc2l0eSBvZiBQdWVydG8gUmljbywgU2FuIEp1YW4sIFBSLCBVU0EsIGthdW11ZGkuam9zaGlw
dXJhQHVwci5lZHUuJiN4RDtDbGluaWNhbCBSZXNlYXJjaCBDZW50ZXIsIE1hcnNoZmllbGQgQ2xp
bmljIFJlc2VhcmNoIEluc3RpdHV0ZSwgTWFyc2hmaWVsZCBDbGluaWMgSGVhbHRoIFN5c3RlbSwg
TWFyc2hmaWVsZCwgV0ksIFVTQS4mI3hEO0RlcGFydG1lbnQgb2YgRGlldGV0aWNzIGFuZCBOdXRy
aXRpb24sIFJvYmVydCBTdGVtcGVsIENvbGxlZ2Ugb2YgUHVibGljIEhlYWx0aCAmYW1wOyBTb2Np
YWwgV29yaywgRmxvcmlkYSBJbnRlcm5hdGlvbmFsIFVuaXZlcnNpdHksIE1pYW1pLCBGTCwgVVNB
LiYjeEQ7RGVwYXJ0bWVudCBvZiBPYnN0ZXRyaWNzIGFuZCBHeW5lY29sb2d5LCBTY2hvb2wgb2Yg
TWVkaWNpbmUsIE1lZGljYWwgU2NpZW5jZXMgQ2FtcHVzLCBVbml2ZXJzaXR5IG9mIFB1ZXJ0byBS
aWNvLCBTYW4gSnVhbiwgUFIsIFVTQS4mI3hEO0RlcGFydG1lbnQgb2YgUGVkaWF0cmljcywgU2No
b29sIG9mIE1lZGljaW5lLCBNZWRpY2FsIFNjaWVuY2VzIENhbXB1cywgVW5pdmVyc2l0eSBvZiBQ
dWVydG8gUmljbywgU2FuIEp1YW4sIFBSLCBVU0EuJiN4RDtEZXBhcnRtZW50IG9mIE51dHJpdGlv
biwgSGFydmFyZCBULkguIENoYW4gU2Nob29sIG9mIFB1YmxpYyBIZWFsdGgsIEhhcnZhcmQgVW5p
dmVyc2l0eSwgQm9zdG9uLCBNQSwgVVNBLiYjeEQ7RGl2aXNpb24gb2YgQ2hyb25pYyBEaXNlYXNl
IFJlc2VhcmNoIEFjcm9zcyB0aGUgTGlmZSBDb3Vyc2UsIERlcGFydG1lbnQgb2YgUG9wdWxhdGlv
biBNZWRpY2luZSwgSGFydmFyZCBNZWRpY2FsIFNjaG9vbCBhbmQgSGFydmFyZCBQaWxncmltIEhl
YWx0aCBDYXJlIEluc3RpdHV0ZSwgQm9zdG9uLCBNQS4mI3hEO0RlcGFydG1lbnQgb2YgQ2xpbmlj
YWwgU2NpZW5jZXMsIEdlbmV0aWMgYW5kIE1vbGVjdWxhciBFcGlkZW1pb2xvZ3kgVW5pdCwgTHVu
ZCBVbml2ZXJzaXR5LCBTa2FuZSBVbml2ZXJzaXR5IEhvc3BpdGFsLCBNYWxtbywgU3dlZGVuLiYj
eEQ7RGVwYXJ0bWVudCBvZiBFcGlkZW1pb2xvZ3ksIEhhcnZhcmQgVC5ILiBDaGFuIFB1YmxpYyBI
ZWFsdGggU2Nob29sLCBIYXJ2YXJkIFVuaXZlcnNpdHksIEJvc3RvbiwgTUEsIFVTQSwga2F1bXVk
aS5qb3NoaXB1cmFAdXByLmVkdS48L2F1dGgtYWRkcmVzcz48dGl0bGVzPjx0aXRsZT5QRUFSTFMg
cmFuZG9taXplZCBsaWZlc3R5bGUgdHJpYWwgaW4gcHJlZ25hbnQgSGlzcGFuaWMgd29tZW4gd2l0
aCBvdmVyd2VpZ2h0L29iZXNpdHk6IGdlc3RhdGlvbmFsIHdlaWdodCBnYWluIGFuZCBvZmZzcHJp
bmcgYmlydGh3ZWlnaHQ8L3RpdGxlPjxzZWNvbmRhcnktdGl0bGU+RGlhYmV0ZXMgTWV0YWIgU3lu
ZHIgT2Jlczwvc2Vjb25kYXJ5LXRpdGxlPjwvdGl0bGVzPjxwZXJpb2RpY2FsPjxmdWxsLXRpdGxl
PkRpYWJldGVzIE1ldGFiIFN5bmRyIE9iZXM8L2Z1bGwtdGl0bGU+PC9wZXJpb2RpY2FsPjxwYWdl
cz4yMjUtMjM4PC9wYWdlcz48dm9sdW1lPjEyPC92b2x1bWU+PGVkaXRpb24+MjAxOS8wMy8xMzwv
ZWRpdGlvbj48a2V5d29yZHM+PGtleXdvcmQ+YmlydGh3ZWlnaHQ8L2tleXdvcmQ+PGtleXdvcmQ+
Z2VzdGF0aW9uYWwgd2VpZ2h0IGdhaW48L2tleXdvcmQ+PGtleXdvcmQ+aW50ZXJ2ZW50aW9uPC9r
ZXl3b3JkPjxrZXl3b3JkPmxpZmVzdHlsZSBtb2RpZmljYXRpb248L2tleXdvcmQ+PGtleXdvcmQ+
bmVvbmF0YWw8L2tleXdvcmQ+PGtleXdvcmQ+b2Jlc2U8L2tleXdvcmQ+PGtleXdvcmQ+b3Zlcndl
aWdodDwva2V5d29yZD48a2V5d29yZD5wcmVnbmFuY3k8L2tleXdvcmQ+PGtleXdvcmQ+cmFuZG9t
aXplZCBjb250cm9sbGVkIHRyaWFsPC9rZXl3b3JkPjxrZXl3b3JkPkhlYWx0aCBPdXRjb21lcyAo
RUNITykgUHJvZ3JhbSwgT2ZmaWNlIG9mIHRoZSBEaXJlY3RvciwgTmF0aW9uYWwgSW5zdGl0dXRl
cyBvZjwva2V5d29yZD48a2V5d29yZD5IZWFsdGggKFRoZSB2aWV3cyBleHByZXNzZWQgaW4gdGhp
cyBhcnRpY2xlIGRvIG5vdCBuZWNlc3NhcmlseSByZXByZXNlbnQgdGhlPC9rZXl3b3JkPjxrZXl3
b3JkPnZpZXdzIG9mIHRoZSBVUyBHb3Zlcm5tZW50LCB0aGUgRGVwYXJ0bWVudCBvZiBIZWFsdGgg
YW5kIEh1bWFuIFNlcnZpY2VzIG9yIHRoZTwva2V5d29yZD48a2V5d29yZD5OYXRpb25hbCBJbnN0
aXR1dGVzIG9mIEhlYWx0aCkuIFRoZSBhdXRob3JzIHJlcG9ydCBubyBvdGhlciBjb25mbGljdHMg
b2YgaW50ZXJlc3Q8L2tleXdvcmQ+PGtleXdvcmQ+aW4gdGhpcyB3b3JrLjwva2V5d29yZD48L2tl
eXdvcmRzPjxkYXRlcz48eWVhcj4yMDE5PC95ZWFyPjwvZGF0ZXM+PGlzYm4+MTE3OC03MDA3IChQ
cmludCkmI3hEOzExNzgtNzAwNyAoTGlua2luZyk8L2lzYm4+PGFjY2Vzc2lvbi1udW0+MzA4NTg3
MTU8L2FjY2Vzc2lvbi1udW0+PHVybHM+PHJlbGF0ZWQtdXJscz48dXJsPmh0dHBzOi8vd3d3Lm5j
YmkubmxtLm5paC5nb3YvcHVibWVkLzMwODU4NzE1PC91cmw+PC9yZWxhdGVkLXVybHM+PC91cmxz
PjxjdXN0b20yPlBNQzYzODU3NDM8L2N1c3RvbTI+PGVsZWN0cm9uaWMtcmVzb3VyY2UtbnVtPjEw
LjIxNDcvRE1TTy5TMTc5MDA5PC9lbGVjdHJvbmljLXJlc291cmNlLW51bT48L3JlY29yZD48L0Np
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451,482,494,504,509,516</w:t>
      </w:r>
      <w:r>
        <w:fldChar w:fldCharType="end"/>
      </w:r>
      <w:r>
        <w:t xml:space="preserve"> There was little consistency in approach between these studies.</w:t>
      </w:r>
    </w:p>
    <w:p w14:paraId="0E8845F4" w14:textId="75766376" w:rsidR="00A5540F" w:rsidRDefault="00A5540F" w:rsidP="00A5540F">
      <w:r>
        <w:rPr>
          <w:shd w:val="clear" w:color="auto" w:fill="FFFFFF"/>
        </w:rPr>
        <w:t>Common themes in other studies included reducing intake of saturated fats</w:t>
      </w:r>
      <w:r>
        <w:fldChar w:fldCharType="begin">
          <w:fldData xml:space="preserve">YXV0aG9yPjwvYXV0aG9ycz48L2NvbnRyaWJ1dG9ycz48YXV0aC1hZGRyZXNzPkRpc2NpcGxpbmUg
b2YgT2JzdGV0cmljcyAmYW1wOyBHeW5hZWNvbG9neSwgYW5kIFJvYmluc29uIFJlc2VhcmNoIElu
c3RpdHV0ZSwgVGhlIFVuaXZlcnNpdHkgb2YgQWRlbGFpZGUsIEFkZWxhaWRlLCBTQSA1MDA2LCBB
dXN0cmFsaWEuJiN4RDtEZXBhcnRtZW50IG9mIFBlcmluYXRhbCBNZWRpY2luZSBXb21lbiZhcG9z
O3MgYW5kIENoaWxkcmVuJmFwb3M7cyBIb3NwaXRhbCwgTm9ydGggQWRlbGFpZGUsIEFkZWxhaWRl
LCBTQSA1MDA2LCBBdXN0cmFsaWEuPC9hdXRoLWFkZHJlc3M+PHRpdGxlcz48dGl0bGU+QSByYW5k
b21pc2VkIHRyaWFsIHRvIG9wdGltaXNlIGdlc3RhdGlvbmFsIHdlaWdodCBnYWluIGFuZCBpbXBy
b3ZlIG1hdGVybmFsIGFuZCBpbmZhbnQgaGVhbHRoIG91dGNvbWVzIHRocm91Z2ggYW50ZW5hdGFs
IGRpZXRhcnksIGxpZmVzdHlsZSBhbmQgZXhlcmNpc2UgYWR2aWNlOiBUaGUgT1BUSU1JU0UgcmFu
ZG9taXNlZCB0cmlhbDwvdGl0bGU+PHNlY29uZGFyeS10aXRsZT5OdXRyaWVudHM8L3NlY29uZGFy
eS10aXRsZT48L3RpdGxlcz48cGVyaW9kaWNhbD48ZnVsbC10aXRsZT5OdXRyaWVudHM8L2Z1bGwt
dGl0bGU+PC9wZXJpb2RpY2FsPjx2b2x1bWU+MTE8L3ZvbHVtZT48bnVtYmVyPjEyPC9udW1iZXI+
PGVkaXRpb24+MjAxOS8xMi8wODwvZWRpdGlvbj48a2V5d29yZHM+PGtleXdvcmQ+ZGlldGFyeSBh
bmQgbGlmZXN0eWxlIGludGVydmVudGlvbjwva2V5d29yZD48a2V5d29yZD5nZXN0YXRpb25hbCB3
ZWlnaHQgZ2Fpbjwva2V5d29yZD48a2V5d29yZD5yYW5kb21pc2VkIGNvbnRyb2xsZWQgdHJpYWw8
L2tleXdvcmQ+PC9rZXl3b3Jkcz48ZGF0ZXM+PHllYXI+MjAxOTwveWVhcj48cHViLWRhdGVzPjxk
YXRlPkRlYyAyPC9kYXRlPjwvcHViLWRhdGVzPjwvZGF0ZXM+PGlzYm4+MjA3Mi02NjQzIChFbGVj
dHJvbmljKSYjeEQ7MjA3Mi02NjQzIChMaW5raW5nKTwvaXNibj48YWNjZXNzaW9uLW51bT4zMTgx
MDIxNzwvYWNjZXNzaW9uLW51bT48dXJscz48cmVsYXRlZC11cmxzPjx1cmw+aHR0cHM6Ly93d3cu
bmNiaS5ubG0ubmloLmdvdi9wdWJtZWQvMzE4MTAyMTc8L3VybD48L3JlbGF0ZWQtdXJscz48L3Vy
bHM+PGN1c3RvbTI+UE1DNjk0OTkzMTwvY3VzdG9tMj48ZWxlY3Ryb25pYy1yZXNvdXJjZS1udW0+
MTAuMzM5MC9udTExMTIyOTExPC9lbGVjdHJvbmljLXJlc291cmNlLW51bT48L3JlY29yZD48L0Np
dGU+PC9FbmROb3RlPgB=
</w:fldData>
        </w:fldChar>
      </w:r>
      <w:r w:rsidR="002747EA">
        <w:instrText xml:space="preserve"> ADDIN EN.CITE </w:instrText>
      </w:r>
      <w:r w:rsidR="002747EA">
        <w:fldChar w:fldCharType="begin">
          <w:fldData xml:space="preserve">PEVuZE5vdGU+PENpdGU+PEF1dGhvcj5BbHRodWl6ZW48L0F1dGhvcj48WWVhcj4yMDEzPC9ZZWFy
PjxSZWNOdW0+NzA5PC9SZWNOdW0+PERpc3BsYXlUZXh0PjxzdHlsZSBmYWNlPSJzdXBlcnNjcmlw
dCIgZm9udD0iVHJlYnVjaGV0IE1TIiBzaXplPSI5Ij40MDIsNDUxLDQ4Miw0ODQsNDg1LDQ5Myw0
OTUsNDk2LDQ5OCw0OTksNTA1LDUwOSw1MTIsNTEzLDUxOSw1MjE8L3N0eWxlPjwvRGlzcGxheVRl
eHQ+PHJlY29yZD48cmVjLW51bWJlcj43MDk8L3JlYy1udW1iZXI+PGZvcmVpZ24ta2V5cz48a2V5
IGFwcD0iRU4iIGRiLWlkPSJleHZhc3JmeDJkdHJhb2VzYXN4cDJzenN4YTJkZjUwMjU5MngiIHRp
bWVzdGFtcD0iMTU0MTQ2MjIxNiI+NzA5PC9rZXk+PC9mb3JlaWduLWtleXM+PHJlZi10eXBlIG5h
bWU9IkpvdXJuYWwgQXJ0aWNsZSI+MTc8L3JlZi10eXBlPjxjb250cmlidXRvcnM+PGF1dGhvcnM+
PGF1dGhvcj5BbHRodWl6ZW4sIEUuPC9hdXRob3I+PGF1dGhvcj52YW4gZGVyIFdpamRlbiwgQy4g
TC48L2F1dGhvcj48YXV0aG9yPnZhbiBNZWNoZWxlbiwgVy48L2F1dGhvcj48YXV0aG9yPlNlaWRl
bGwsIEouIEMuPC9hdXRob3I+PGF1dGhvcj52YW4gUG9wcGVsLCBNLiBOLjwvYXV0aG9yPjwvYXV0
aG9ycz48L2NvbnRyaWJ1dG9ycz48YXV0aC1hZGRyZXNzPkRlcGFydG1lbnQgb2YgUHVibGljIGFu
ZCBPY2N1cGF0aW9uYWwgSGVhbHRoIGFuZCB0aGUgRU1HTyBJbnN0aXR1dGUgZm9yIEhlYWx0aCBh
bmQgQ2FyZSBSZXNlYXJjaCwgVlUgVW5pdmVyc2l0eSBNZWRpY2FsIENlbnRyZSwgQW1zdGVyZGFt
LCBUaGUgTmV0aGVybGFuZHMuPC9hdXRoLWFkZHJlc3M+PHRpdGxlcz48dGl0bGU+VGhlIGVmZmVj
dCBvZiBhIGNvdW5zZWxsaW5nIGludGVydmVudGlvbiBvbiB3ZWlnaHQgY2hhbmdlcyBkdXJpbmcg
YW5kIGFmdGVyIHByZWduYW5jeTogYSByYW5kb21pc2VkIHRyaWFsPC90aXRsZT48c2Vjb25kYXJ5
LXRpdGxlPkJKT0c8L3NlY29uZGFyeS10aXRsZT48L3RpdGxlcz48cGVyaW9kaWNhbD48ZnVsbC10
aXRsZT5CSk9HPC9mdWxsLXRpdGxlPjwvcGVyaW9kaWNhbD48cGFnZXM+OTItOTwvcGFnZXM+PHZv
bHVtZT4xMjA8L3ZvbHVtZT48bnVtYmVyPjE8L251bWJlcj48ZWRpdGlvbj4yMDEyLzExLzA2PC9l
ZGl0aW9uPjxrZXl3b3Jkcz48a2V5d29yZD5BZHVsdDwva2V5d29yZD48a2V5d29yZD5CaXJ0aCBX
ZWlnaHQ8L2tleXdvcmQ+PGtleXdvcmQ+Qm9keSBNYXNzIEluZGV4PC9rZXl3b3JkPjxrZXl3b3Jk
PkNvdW5zZWxpbmcvKm1ldGhvZHM8L2tleXdvcmQ+PGtleXdvcmQ+RmVtYWxlPC9rZXl3b3JkPjxr
ZXl3b3JkPkh1bWFuczwva2V5d29yZD48a2V5d29yZD5OZXRoZXJsYW5kczwva2V5d29yZD48a2V5
d29yZD5PdmVyd2VpZ2h0LypwcmV2ZW50aW9uICZhbXA7IGNvbnRyb2w8L2tleXdvcmQ+PGtleXdv
cmQ+UGF0aWVudCBDb21wbGlhbmNlPC9rZXl3b3JkPjxrZXl3b3JkPlByZWduYW5jeTwva2V5d29y
ZD48a2V5d29yZD5QcmVnbmFuY3kgQ29tcGxpY2F0aW9ucy8qcHJldmVudGlvbiAmYW1wOyBjb250
cm9sPC9rZXl3b3JkPjxrZXl3b3JkPlByZWduYW5jeSBPdXRjb21lPC9rZXl3b3JkPjxrZXl3b3Jk
PlByZW5hdGFsIENhcmUvKm1ldGhvZHM8L2tleXdvcmQ+PGtleXdvcmQ+V2VpZ2h0IEdhaW48L2tl
eXdvcmQ+PC9rZXl3b3Jkcz48ZGF0ZXM+PHllYXI+MjAxMzwveWVhcj48cHViLWRhdGVzPjxkYXRl
PkphbjwvZGF0ZT48L3B1Yi1kYXRlcz48L2RhdGVzPjxpc2JuPjE0NzEtMDUyOCAoRWxlY3Ryb25p
YykmI3hEOzE0NzAtMDMyOCAoTGlua2luZyk8L2lzYm4+PGFjY2Vzc2lvbi1udW0+MjMxMjEwNzQ8
L2FjY2Vzc2lvbi1udW0+PHVybHM+PHJlbGF0ZWQtdXJscz48dXJsPmh0dHBzOi8vd3d3Lm5jYmku
bmxtLm5paC5nb3YvcHVibWVkLzIzMTIxMDc0PC91cmw+PC9yZWxhdGVkLXVybHM+PC91cmxzPjxl
bGVjdHJvbmljLXJlc291cmNlLW51bT4xMC4xMTExLzE0NzEtMDUyOC4xMjAxNDwvZWxlY3Ryb25p
Yy1yZXNvdXJjZS1udW0+PC9yZWNvcmQ+PC9DaXRlPjxDaXRlPjxBdXRob3I+UGF3YWxpYTwvQXV0
aG9yPjxZZWFyPjIwMTc8L1llYXI+PFJlY051bT43NTA8L1JlY051bT48cmVjb3JkPjxyZWMtbnVt
YmVyPjc1MDwvcmVjLW51bWJlcj48Zm9yZWlnbi1rZXlzPjxrZXkgYXBwPSJFTiIgZGItaWQ9ImV4
dmFzcmZ4MmR0cmFvZXNhc3hwMnN6c3hhMmRmNTAyNTkyeCIgdGltZXN0YW1wPSIxNTQxNDY3OTE5
Ij43NTA8L2tleT48a2V5IGFwcD0iRU5XZWIiIGRiLWlkPSIiPjA8L2tleT48L2ZvcmVpZ24ta2V5
cz48cmVmLXR5cGUgbmFtZT0iSm91cm5hbCBBcnRpY2xlIj4xNzwvcmVmLXR5cGU+PGNvbnRyaWJ1
dG9ycz48YXV0aG9ycz48YXV0aG9yPlBhd2FsaWEsIEFsa2E8L2F1dGhvcj48YXV0aG9yPkt1bGFu
ZGFpdmVsYW4sIFNpdmFjaGlkYW1iYXJhbTwvYXV0aG9yPjxhdXRob3I+U2F2YW50LCBTYXR5YTwv
YXV0aG9yPjxhdXRob3I+WWFkYXYsIFZpa3JhbSBTaW5naDwvYXV0aG9yPjwvYXV0aG9ycz48L2Nv
bnRyaWJ1dG9ycz48dGl0bGVzPjx0aXRsZT5FeGVyY2lzZSBpbiBQcmVnbmFuY3k6IEVmZmVjdCBv
biBPYmVzaXR5IFBhcmFtZXRlcnMgaW4gSW5kaWFuIFdvbWVuIOKAkyBBIFJhbmRvbWl6ZWQgQ29u
dHJvbGxlZCBUcmlhbDwvdGl0bGU+PHNlY29uZGFyeS10aXRsZT5Sb21hbmlhbiBKb3VybmFsIG9m
IERpYWJldGVzIE51dHJpdGlvbiBhbmQgTWV0YWJvbGljIERpc2Vhc2VzPC9zZWNvbmRhcnktdGl0
bGU+PC90aXRsZXM+PHBlcmlvZGljYWw+PGZ1bGwtdGl0bGU+Um9tYW5pYW4gSm91cm5hbCBvZiBE
aWFiZXRlcyBOdXRyaXRpb24gYW5kIE1ldGFib2xpYyBEaXNlYXNlczwvZnVsbC10aXRsZT48L3Bl
cmlvZGljYWw+PHZvbHVtZT4yNDwvdm9sdW1lPjxudW1iZXI+NDwvbnVtYmVyPjxkYXRlcz48eWVh
cj4yMDE3PC95ZWFyPjwvZGF0ZXM+PGlzYm4+MjI4NC02NDE3PC9pc2JuPjx1cmxzPjwvdXJscz48
ZWxlY3Ryb25pYy1yZXNvdXJjZS1udW0+MTAuMTUxNS9yamRubWQtMjAxNy0wMDM3PC9lbGVjdHJv
bmljLXJlc291cmNlLW51bT48L3JlY29yZD48L0NpdGU+PENpdGU+PEF1dGhvcj5Eb2RkPC9BdXRo
b3I+PFllYXI+MjAxNDwvWWVhcj48UmVjTnVtPjEwODA8L1JlY051bT48cmVjb3JkPjxyZWMtbnVt
YmVyPjEwODA8L3JlYy1udW1iZXI+PGZvcmVpZ24ta2V5cz48a2V5IGFwcD0iRU4iIGRiLWlkPSJl
eHZhc3JmeDJkdHJhb2VzYXN4cDJzenN4YTJkZjUwMjU5MngiIHRpbWVzdGFtcD0iMTU1Mjk0NjQ3
MiI+MTA4MDwva2V5PjxrZXkgYXBwPSJFTldlYiIgZGItaWQ9IiI+MDwva2V5PjwvZm9yZWlnbi1r
ZXlzPjxyZWYtdHlwZSBuYW1lPSJKb3VybmFsIEFydGljbGUiPjE3PC9yZWYtdHlwZT48Y29udHJp
YnV0b3JzPjxhdXRob3JzPjxhdXRob3I+RG9kZCwgSm9kaWUgTS48L2F1dGhvcj48YXV0aG9yPkdy
aXZlbGwsIFJvc2FsaWUgTS48L2F1dGhvcj48YXV0aG9yPk93ZW5zLCBKdWxpZSBBLjwvYXV0aG9y
PjwvYXV0aG9ycz48L2NvbnRyaWJ1dG9ycz48dGl0bGVzPjx0aXRsZT5BbnRlbmF0YWwgRGlldGFy
eSBhbmQgTGlmZXN0eWxlIEludGVydmVudGlvbnMgZm9yIFdvbWVuIFdobyBhcmUgT3ZlcndlaWdo
dCBvciBPYmVzZTogT3V0Y29tZXMgZnJvbSB0aGUgTElNSVQgUmFuZG9taXplZCBUcmlhbDwvdGl0
bGU+PHNlY29uZGFyeS10aXRsZT5DdXJyZW50IE51dHJpdGlvbiBSZXBvcnRzPC9zZWNvbmRhcnkt
dGl0bGU+PC90aXRsZXM+PHBlcmlvZGljYWw+PGZ1bGwtdGl0bGU+Q3VycmVudCBOdXRyaXRpb24g
UmVwb3J0czwvZnVsbC10aXRsZT48L3BlcmlvZGljYWw+PHBhZ2VzPjM5Mi0zOTk8L3BhZ2VzPjx2
b2x1bWU+Mzwvdm9sdW1lPjxudW1iZXI+NDwvbnVtYmVyPjxzZWN0aW9uPjM5Mjwvc2VjdGlvbj48
ZGF0ZXM+PHllYXI+MjAxNDwveWVhcj48L2RhdGVzPjxpc2JuPjIxNjEtMzMxMTwvaXNibj48dXJs
cz48L3VybHM+PGVsZWN0cm9uaWMtcmVzb3VyY2UtbnVtPjEwLjEwMDcvczEzNjY4LTAxNC0wMTAx
LTc8L2VsZWN0cm9uaWMtcmVzb3VyY2UtbnVtPjwvcmVjb3JkPjwvQ2l0ZT48Q2l0ZT48QXV0aG9y
PlJlbmF1bHQ8L0F1dGhvcj48WWVhcj4yMDE0PC9ZZWFyPjxSZWNOdW0+OTM3PC9SZWNOdW0+PHJl
Y29yZD48cmVjLW51bWJlcj45Mzc8L3JlYy1udW1iZXI+PGZvcmVpZ24ta2V5cz48a2V5IGFwcD0i
RU4iIGRiLWlkPSJleHZhc3JmeDJkdHJhb2VzYXN4cDJzenN4YTJkZjUwMjU5MngiIHRpbWVzdGFt
cD0iMTU0MTU0MTgxNCI+OTM3PC9rZXk+PGtleSBhcHA9IkVOV2ViIiBkYi1pZD0iIj4wPC9rZXk+
PC9mb3JlaWduLWtleXM+PHJlZi10eXBlIG5hbWU9IkpvdXJuYWwgQXJ0aWNsZSI+MTc8L3JlZi10
eXBlPjxjb250cmlidXRvcnM+PGF1dGhvcnM+PGF1dGhvcj5SZW5hdWx0LCBLLiBNLjwvYXV0aG9y
PjxhdXRob3I+Tm9yZ2FhcmQsIEsuPC9hdXRob3I+PGF1dGhvcj5OaWxhcywgTC48L2F1dGhvcj48
YXV0aG9yPkNhcmxzZW4sIEUuIE0uPC9hdXRob3I+PGF1dGhvcj5Db3J0ZXMsIEQuPC9hdXRob3I+
PGF1dGhvcj5QcnlkcywgTy48L2F1dGhvcj48YXV0aG9yPlNlY2hlciwgTi4gSi48L2F1dGhvcj48
L2F1dGhvcnM+PC9jb250cmlidXRvcnM+PGF1dGgtYWRkcmVzcz5EZXBhcnRtZW50IG9mIE9ic3Rl
dHJpY3MgYW5kIEd5bmVjb2xvZ3ksIEh2aWRvdnJlIEhvc3BpdGFsLCBVbml2ZXJzaXR5IG9mIENv
cGVuaGFnZW4sIEh2aWRvdnJlLCBEZW5tYXJrLiBFbGVjdHJvbmljIGFkZHJlc3M6IEtyZW5hdWx0
QGRhZGxuZXQuZGsuJiN4RDtEZXBhcnRtZW50IG9mIEVuZG9jcmlub2xvZ3ksIEh2aWRvdnJlIEhv
c3BpdGFsLCBVbml2ZXJzaXR5IG9mIENvcGVuaGFnZW4sIEh2aWRvdnJlLCBEZW5tYXJrLiYjeEQ7
RGVwYXJ0bWVudCBvZiBPYnN0ZXRyaWNzIGFuZCBHeW5lY29sb2d5LCBIdmlkb3ZyZSBIb3NwaXRh
bCwgVW5pdmVyc2l0eSBvZiBDb3BlbmhhZ2VuLCBIdmlkb3ZyZSwgRGVubWFyay4mI3hEO0RlcGFy
dG1lbnQgb2YgUGVkaWF0cmljcywgSHZpZG92cmUgSG9zcGl0YWwsIFVuaXZlcnNpdHkgb2YgQ29w
ZW5oYWdlbiwgSHZpZG92cmUsIERlbm1hcmsuPC9hdXRoLWFkZHJlc3M+PHRpdGxlcz48dGl0bGU+
VGhlIFRyZWF0bWVudCBvZiBPYmVzZSBQcmVnbmFudCBXb21lbiAoVE9QKSBzdHVkeTogYSByYW5k
b21pemVkIGNvbnRyb2xsZWQgdHJpYWwgb2YgdGhlIGVmZmVjdCBvZiBwaHlzaWNhbCBhY3Rpdml0
eSBpbnRlcnZlbnRpb24gYXNzZXNzZWQgYnkgcGVkb21ldGVyIHdpdGggb3Igd2l0aG91dCBkaWV0
YXJ5IGludGVydmVudGlvbiBpbiBvYmVzZSBwcmVnbmFudCB3b21lbjwvdGl0bGU+PHNlY29uZGFy
eS10aXRsZT5BbSBKIE9ic3RldCBHeW5lY29sPC9zZWNvbmRhcnktdGl0bGU+PC90aXRsZXM+PHBl
cmlvZGljYWw+PGZ1bGwtdGl0bGU+QW0gSiBPYnN0ZXQgR3luZWNvbDwvZnVsbC10aXRsZT48L3Bl
cmlvZGljYWw+PHBhZ2VzPjEzNCBlMS05PC9wYWdlcz48dm9sdW1lPjIxMDwvdm9sdW1lPjxudW1i
ZXI+MjwvbnVtYmVyPjxlZGl0aW9uPjIwMTMvMDkvMjY8L2VkaXRpb24+PGtleXdvcmRzPjxrZXl3
b3JkPkFjdGlncmFwaHk8L2tleXdvcmQ+PGtleXdvcmQ+QWR1bHQ8L2tleXdvcmQ+PGtleXdvcmQ+
Q29tYmluZWQgTW9kYWxpdHkgVGhlcmFweTwva2V5d29yZD48a2V5d29yZD5EaWV0LCBNZWRpdGVy
cmFuZWFuPC9rZXl3b3JkPjxrZXl3b3JkPkVuZXJneSBJbnRha2U8L2tleXdvcmQ+PGtleXdvcmQ+
KkV4ZXJjaXNlPC9rZXl3b3JkPjxrZXl3b3JkPkZlbWFsZTwva2V5d29yZD48a2V5d29yZD5IdW1h
bnM8L2tleXdvcmQ+PGtleXdvcmQ+T2Jlc2l0eS9kaWV0IHRoZXJhcHkvKnRoZXJhcHk8L2tleXdv
cmQ+PGtleXdvcmQ+UHJlZ25hbmN5PC9rZXl3b3JkPjxrZXl3b3JkPlByZWduYW5jeSBDb21wbGlj
YXRpb25zL2RpZXQgdGhlcmFweS8qdGhlcmFweTwva2V5d29yZD48a2V5d29yZD5kaWV0PC9rZXl3
b3JkPjxrZXl3b3JkPmludGVydmVudGlvbjwva2V5d29yZD48a2V5d29yZD5vYmVzaXR5PC9rZXl3
b3JkPjxrZXl3b3JkPnBlZG9tZXRlcjwva2V5d29yZD48a2V5d29yZD5waHlzaWNhbCBhY3Rpdml0
eTwva2V5d29yZD48L2tleXdvcmRzPjxkYXRlcz48eWVhcj4yMDE0PC95ZWFyPjxwdWItZGF0ZXM+
PGRhdGU+RmViPC9kYXRlPjwvcHViLWRhdGVzPjwvZGF0ZXM+PGlzYm4+MTA5Ny02ODY4IChFbGVj
dHJvbmljKSYjeEQ7MDAwMi05Mzc4IChMaW5raW5nKTwvaXNibj48YWNjZXNzaW9uLW51bT4yNDA2
MDQ0OTwvYWNjZXNzaW9uLW51bT48dXJscz48cmVsYXRlZC11cmxzPjx1cmw+aHR0cHM6Ly93d3cu
bmNiaS5ubG0ubmloLmdvdi9wdWJtZWQvMjQwNjA0NDk8L3VybD48L3JlbGF0ZWQtdXJscz48L3Vy
bHM+PGVsZWN0cm9uaWMtcmVzb3VyY2UtbnVtPjEwLjEwMTYvai5ham9nLjIwMTMuMDkuMDI5PC9l
bGVjdHJvbmljLXJlc291cmNlLW51bT48L3JlY29yZD48L0NpdGU+PENpdGU+PEF1dGhvcj5SYXVo
PC9BdXRob3I+PFllYXI+MjAxMzwvWWVhcj48UmVjTnVtPjExMDk8L1JlY051bT48cmVjb3JkPjxy
ZWMtbnVtYmVyPjExMDk8L3JlYy1udW1iZXI+PGZvcmVpZ24ta2V5cz48a2V5IGFwcD0iRU4iIGRi
LWlkPSJleHZhc3JmeDJkdHJhb2VzYXN4cDJzenN4YTJkZjUwMjU5MngiIHRpbWVzdGFtcD0iMTU1
Mjk0ODQ4NSI+MTEwOTwva2V5PjwvZm9yZWlnbi1rZXlzPjxyZWYtdHlwZSBuYW1lPSJKb3VybmFs
IEFydGljbGUiPjE3PC9yZWYtdHlwZT48Y29udHJpYnV0b3JzPjxhdXRob3JzPjxhdXRob3I+UmF1
aCwgSy48L2F1dGhvcj48YXV0aG9yPkdhYnJpZWwsIEUuPC9hdXRob3I+PGF1dGhvcj5LZXJzY2hi
YXVtLCBFLjwvYXV0aG9yPjxhdXRob3I+U2NodXN0ZXIsIFQuPC9hdXRob3I+PGF1dGhvcj52b24g
S3JpZXMsIFIuPC9hdXRob3I+PGF1dGhvcj5BbWFubi1HYXNzbmVyLCBVLjwvYXV0aG9yPjxhdXRo
b3I+SGF1bmVyLCBILjwvYXV0aG9yPjwvYXV0aG9ycz48L2NvbnRyaWJ1dG9ycz48dGl0bGVzPjx0
aXRsZT5TYWZldHkgYW5kIGVmZmljYWN5IG9mIGEgbGlmZXN0eWxlIGludGVydmVudGlvbiBmb3Ig
cHJlZ25hbnQgd29tZW4gdG8gcHJldmVudCBleGNlc3NpdmUgbWF0ZXJuYWwgd2VpZ2h0IGdhaW46
IGEgY2x1c3Rlci1yYW5kb21pemVkIGNvbnRyb2xsZWQgdHJpYWw8L3RpdGxlPjxzZWNvbmRhcnkt
dGl0bGU+Qk1DIFByZWduYW5jeSBDaGlsZGJpcnRoPC9zZWNvbmRhcnktdGl0bGU+PC90aXRsZXM+
PHBlcmlvZGljYWw+PGZ1bGwtdGl0bGU+Qk1DIFByZWduYW5jeSBDaGlsZGJpcnRoPC9mdWxsLXRp
dGxlPjwvcGVyaW9kaWNhbD48cGFnZXM+MTUxPC9wYWdlcz48dm9sdW1lPjEzPC92b2x1bWU+PGVk
aXRpb24+MjAxMy8wNy8yMDwvZWRpdGlvbj48a2V5d29yZHM+PGtleXdvcmQ+QWR1bHQ8L2tleXdv
cmQ+PGtleXdvcmQ+KkJpcnRoIFdlaWdodDwva2V5d29yZD48a2V5d29yZD5Db3Vuc2VsaW5nLypt
ZXRob2RzPC9rZXl3b3JkPjxrZXl3b3JkPipFbmVyZ3kgSW50YWtlPC9rZXl3b3JkPjxrZXl3b3Jk
PkZlYXNpYmlsaXR5IFN0dWRpZXM8L2tleXdvcmQ+PGtleXdvcmQ+RmVtYWxlPC9rZXl3b3JkPjxr
ZXl3b3JkPkh1bWFuczwva2V5d29yZD48a2V5d29yZD5JbmZhbnQsIE5ld2Jvcm48L2tleXdvcmQ+
PGtleXdvcmQ+Kk1vdG9yIEFjdGl2aXR5PC9rZXl3b3JkPjxrZXl3b3JkPk9iZXNpdHkvKnByZXZl
bnRpb24gJmFtcDsgY29udHJvbDwva2V5d29yZD48a2V5d29yZD5PdmVyd2VpZ2h0L3ByZXZlbnRp
b24gJmFtcDsgY29udHJvbDwva2V5d29yZD48a2V5d29yZD5Qb3N0cGFydHVtIFBlcmlvZDwva2V5
d29yZD48a2V5d29yZD5QcmVnbmFuY3k8L2tleXdvcmQ+PGtleXdvcmQ+UHJlZ25hbmN5IENvbXBs
aWNhdGlvbnMvKnByZXZlbnRpb24gJmFtcDsgY29udHJvbDwva2V5d29yZD48a2V5d29yZD5QcmVn
bmFuY3kgT3V0Y29tZTwva2V5d29yZD48a2V5d29yZD4qV2VpZ2h0IEdhaW48L2tleXdvcmQ+PC9r
ZXl3b3Jkcz48ZGF0ZXM+PHllYXI+MjAxMzwveWVhcj48cHViLWRhdGVzPjxkYXRlPkp1bCAxNjwv
ZGF0ZT48L3B1Yi1kYXRlcz48L2RhdGVzPjxpc2JuPjE0NzEtMjM5MyAoRWxlY3Ryb25pYykmI3hE
OzE0NzEtMjM5MyAoTGlua2luZyk8L2lzYm4+PGFjY2Vzc2lvbi1udW0+MjM4NjU2MjQ8L2FjY2Vz
c2lvbi1udW0+PHVybHM+PHJlbGF0ZWQtdXJscz48dXJsPmh0dHBzOi8vd3d3Lm5jYmkubmxtLm5p
aC5nb3YvcHVibWVkLzIzODY1NjI0PC91cmw+PC9yZWxhdGVkLXVybHM+PC91cmxzPjxjdXN0b20y
PlBNQzM3MTg3MDc8L2N1c3RvbTI+PGVsZWN0cm9uaWMtcmVzb3VyY2UtbnVtPjEwLjExODYvMTQ3
MS0yMzkzLTEzLTE1MTwvZWxlY3Ryb25pYy1yZXNvdXJjZS1udW0+PC9yZWNvcmQ+PC9DaXRlPjxD
aXRlPjxBdXRob3I+UG9sbGV5PC9BdXRob3I+PFllYXI+MjAwMjwvWWVhcj48UmVjTnVtPjcwNjwv
UmVjTnVtPjxyZWNvcmQ+PHJlYy1udW1iZXI+NzA2PC9yZWMtbnVtYmVyPjxmb3JlaWduLWtleXM+
PGtleSBhcHA9IkVOIiBkYi1pZD0iZXh2YXNyZngyZHRyYW9lc2FzeHAyc3pzeGEyZGY1MDI1OTJ4
IiB0aW1lc3RhbXA9IjE1NDA1MzA2NzQiPjcwNjwva2V5PjwvZm9yZWlnbi1rZXlzPjxyZWYtdHlw
ZSBuYW1lPSJKb3VybmFsIEFydGljbGUiPjE3PC9yZWYtdHlwZT48Y29udHJpYnV0b3JzPjxhdXRo
b3JzPjxhdXRob3I+UG9sbGV5LCBCLiBBLjwvYXV0aG9yPjxhdXRob3I+V2luZywgUi4gUi48L2F1
dGhvcj48YXV0aG9yPlNpbXMsIEMuIEouPC9hdXRob3I+PC9hdXRob3JzPjwvY29udHJpYnV0b3Jz
PjxhdXRoLWFkZHJlc3M+VW5pdmVyc2l0eSBvZiBQaXR0c2J1cmdoLCBQaXR0c2J1cmdoLCBQZW5u
c3lsdmFuaWEsIFVTQS48L2F1dGgtYWRkcmVzcz48dGl0bGVzPjx0aXRsZT5SYW5kb21pemVkIGNv
bnRyb2xsZWQgdHJpYWwgdG8gcHJldmVudCBleGNlc3NpdmUgd2VpZ2h0IGdhaW4gaW4gcHJlZ25h
bnQgd29tZW48L3RpdGxlPjxzZWNvbmRhcnktdGl0bGU+SW50IEogT2JlcyBSZWxhdCBNZXRhYiBE
aXNvcmQ8L3NlY29uZGFyeS10aXRsZT48L3RpdGxlcz48cGVyaW9kaWNhbD48ZnVsbC10aXRsZT5J
bnQgSiBPYmVzIFJlbGF0IE1ldGFiIERpc29yZDwvZnVsbC10aXRsZT48L3BlcmlvZGljYWw+PHBh
Z2VzPjE0OTQtNTAyPC9wYWdlcz48dm9sdW1lPjI2PC92b2x1bWU+PG51bWJlcj4xMTwvbnVtYmVy
PjxlZGl0aW9uPjIwMDIvMTEvMjA8L2VkaXRpb24+PGtleXdvcmRzPjxrZXl3b3JkPkFkdWx0PC9r
ZXl3b3JkPjxrZXl3b3JkPkV4ZXJjaXNlIFRoZXJhcHkvKm1ldGhvZHM8L2tleXdvcmQ+PGtleXdv
cmQ+RmVtYWxlPC9rZXl3b3JkPjxrZXl3b3JkPkhlYWx0aCBCZWhhdmlvcjwva2V5d29yZD48a2V5
d29yZD5IdW1hbnM8L2tleXdvcmQ+PGtleXdvcmQ+T2Jlc2l0eS8qcHJldmVudGlvbiAmYW1wOyBj
b250cm9sPC9rZXl3b3JkPjxrZXl3b3JkPlBvc3RuYXRhbCBDYXJlL21ldGhvZHM8L2tleXdvcmQ+
PGtleXdvcmQ+UHJlZ25hbmN5PC9rZXl3b3JkPjxrZXl3b3JkPlByZWduYW5jeSBDb21wbGljYXRp
b25zLypwcmV2ZW50aW9uICZhbXA7IGNvbnRyb2w8L2tleXdvcmQ+PGtleXdvcmQ+UHJlZ25hbmN5
IE91dGNvbWU8L2tleXdvcmQ+PGtleXdvcmQ+UHJlbmF0YWwgQ2FyZS9tZXRob2RzPC9rZXl3b3Jk
PjxrZXl3b3JkPldlaWdodCBHYWluPC9rZXl3b3JkPjwva2V5d29yZHM+PGRhdGVzPjx5ZWFyPjIw
MDI8L3llYXI+PHB1Yi1kYXRlcz48ZGF0ZT5Ob3Y8L2RhdGU+PC9wdWItZGF0ZXM+PC9kYXRlcz48
YWNjZXNzaW9uLW51bT4xMjQzOTY1MjwvYWNjZXNzaW9uLW51bT48dXJscz48cmVsYXRlZC11cmxz
Pjx1cmw+aHR0cHM6Ly93d3cubmNiaS5ubG0ubmloLmdvdi9wdWJtZWQvMTI0Mzk2NTI8L3VybD48
L3JlbGF0ZWQtdXJscz48L3VybHM+PGVsZWN0cm9uaWMtcmVzb3VyY2UtbnVtPjEwLjEwMzgvc2ou
aWpvLjA4MDIxMzA8L2VsZWN0cm9uaWMtcmVzb3VyY2UtbnVtPjwvcmVjb3JkPjwvQ2l0ZT48Q2l0
ZT48QXV0aG9yPkRvZGQ8L0F1dGhvcj48WWVhcj4yMDE0PC9ZZWFyPjxSZWNOdW0+MTA4MDwvUmVj
TnVtPjxyZWNvcmQ+PHJlYy1udW1iZXI+MTA4MDwvcmVjLW51bWJlcj48Zm9yZWlnbi1rZXlzPjxr
ZXkgYXBwPSJFTiIgZGItaWQ9ImV4dmFzcmZ4MmR0cmFvZXNhc3hwMnN6c3hhMmRmNTAyNTkyeCIg
dGltZXN0YW1wPSIxNTUyOTQ2NDcyIj4xMDgwPC9rZXk+PGtleSBhcHA9IkVOV2ViIiBkYi1pZD0i
Ij4wPC9rZXk+PC9mb3JlaWduLWtleXM+PHJlZi10eXBlIG5hbWU9IkpvdXJuYWwgQXJ0aWNsZSI+
MTc8L3JlZi10eXBlPjxjb250cmlidXRvcnM+PGF1dGhvcnM+PGF1dGhvcj5Eb2RkLCBKb2RpZSBN
LjwvYXV0aG9yPjxhdXRob3I+R3JpdmVsbCwgUm9zYWxpZSBNLjwvYXV0aG9yPjxhdXRob3I+T3dl
bnMsIEp1bGllIEEuPC9hdXRob3I+PC9hdXRob3JzPjwvY29udHJpYnV0b3JzPjx0aXRsZXM+PHRp
dGxlPkFudGVuYXRhbCBEaWV0YXJ5IGFuZCBMaWZlc3R5bGUgSW50ZXJ2ZW50aW9ucyBmb3IgV29t
ZW4gV2hvIGFyZSBPdmVyd2VpZ2h0IG9yIE9iZXNlOiBPdXRjb21lcyBmcm9tIHRoZSBMSU1JVCBS
YW5kb21pemVkIFRyaWFsPC90aXRsZT48c2Vjb25kYXJ5LXRpdGxlPkN1cnJlbnQgTnV0cml0aW9u
IFJlcG9ydHM8L3NlY29uZGFyeS10aXRsZT48L3RpdGxlcz48cGVyaW9kaWNhbD48ZnVsbC10aXRs
ZT5DdXJyZW50IE51dHJpdGlvbiBSZXBvcnRzPC9mdWxsLXRpdGxlPjwvcGVyaW9kaWNhbD48cGFn
ZXM+MzkyLTM5OTwvcGFnZXM+PHZvbHVtZT4zPC92b2x1bWU+PG51bWJlcj40PC9udW1iZXI+PHNl
Y3Rpb24+MzkyPC9zZWN0aW9uPjxkYXRlcz48eWVhcj4yMDE0PC95ZWFyPjwvZGF0ZXM+PGlzYm4+
MjE2MS0zMzExPC9pc2JuPjx1cmxzPjwvdXJscz48ZWxlY3Ryb25pYy1yZXNvdXJjZS1udW0+MTAu
MTAwNy9zMTM2NjgtMDE0LTAxMDEtNzwvZWxlY3Ryb25pYy1yZXNvdXJjZS1udW0+PC9yZWNvcmQ+
PC9DaXRlPjxDaXRlPjxBdXRob3I+QnJ1bm88L0F1dGhvcj48WWVhcj4yMDE3PC9ZZWFyPjxSZWNO
dW0+NzY1PC9SZWNOdW0+PHJlY29yZD48cmVjLW51bWJlcj43NjU8L3JlYy1udW1iZXI+PGZvcmVp
Z24ta2V5cz48a2V5IGFwcD0iRU4iIGRiLWlkPSJleHZhc3JmeDJkdHJhb2VzYXN4cDJzenN4YTJk
ZjUwMjU5MngiIHRpbWVzdGFtcD0iMTU0MTQ4NzAzNCI+NzY1PC9rZXk+PC9mb3JlaWduLWtleXM+
PHJlZi10eXBlIG5hbWU9IkpvdXJuYWwgQXJ0aWNsZSI+MTc8L3JlZi10eXBlPjxjb250cmlidXRv
cnM+PGF1dGhvcnM+PGF1dGhvcj5CcnVubywgUi48L2F1dGhvcj48YXV0aG9yPlBldHJlbGxhLCBF
LjwvYXV0aG9yPjxhdXRob3I+QmVydGFyaW5pLCBWLjwvYXV0aG9yPjxhdXRob3I+UGVkcmllbGxp
LCBHLjwvYXV0aG9yPjxhdXRob3I+TmVyaSwgSS48L2F1dGhvcj48YXV0aG9yPkZhY2NoaW5ldHRp
LCBGLjwvYXV0aG9yPjwvYXV0aG9ycz48L2NvbnRyaWJ1dG9ycz48YXV0aC1hZGRyZXNzPk1vdGhl
ci1JbmZhbnQgRGVwYXJ0bWVudCwgVW5pdmVyc2l0eSBvZiBNb2RlbmEgYW5kIFJlZ2dpbyBFbWls
aWEsIEl0YWx5LjwvYXV0aC1hZGRyZXNzPjx0aXRsZXM+PHRpdGxlPkFkaGVyZW5jZSB0byBhIGxp
ZmVzdHlsZSBwcm9ncmFtbWUgaW4gb3ZlcndlaWdodC9vYmVzZSBwcmVnbmFudCB3b21lbiBhbmQg
ZWZmZWN0IG9uIGdlc3RhdGlvbmFsIGRpYWJldGVzIG1lbGxpdHVzOiBhIHJhbmRvbWl6ZWQgY29u
dHJvbGxlZCB0cmlhbDwvdGl0bGU+PHNlY29uZGFyeS10aXRsZT5NYXRlcm4gQ2hpbGQgTnV0cjwv
c2Vjb25kYXJ5LXRpdGxlPjwvdGl0bGVzPjxwZXJpb2RpY2FsPjxmdWxsLXRpdGxlPk1hdGVybiBD
aGlsZCBOdXRyPC9mdWxsLXRpdGxlPjwvcGVyaW9kaWNhbD48dm9sdW1lPjEzPC92b2x1bWU+PG51
bWJlcj4zPC9udW1iZXI+PGVkaXRpb24+MjAxNi8wOS8yMTwvZWRpdGlvbj48a2V5d29yZHM+PGtl
eXdvcmQ+QWR1bHQ8L2tleXdvcmQ+PGtleXdvcmQ+QmlydGggV2VpZ2h0PC9rZXl3b3JkPjxrZXl3
b3JkPkJsb29kIEdsdWNvc2UvbWV0YWJvbGlzbTwva2V5d29yZD48a2V5d29yZD5Cb2R5IE1hc3Mg
SW5kZXg8L2tleXdvcmQ+PGtleXdvcmQ+RGlhYmV0ZXMsIEdlc3RhdGlvbmFsLypwcmV2ZW50aW9u
ICZhbXA7IGNvbnRyb2w8L2tleXdvcmQ+PGtleXdvcmQ+RXhlcmNpc2U8L2tleXdvcmQ+PGtleXdv
cmQ+RmVtYWxlPC9rZXl3b3JkPjxrZXl3b3JkPkZvbGxvdy1VcCBTdHVkaWVzPC9rZXl3b3JkPjxr
ZXl3b3JkPipIZWFsdGh5IERpZXQ8L2tleXdvcmQ+PGtleXdvcmQ+SHVtYW5zPC9rZXl3b3JkPjxr
ZXl3b3JkPkh5cGVydGVuc2lvbi9wcmV2ZW50aW9uICZhbXA7IGNvbnRyb2w8L2tleXdvcmQ+PGtl
eXdvcmQ+SXRhbHk8L2tleXdvcmQ+PGtleXdvcmQ+KkxpZmUgU3R5bGU8L2tleXdvcmQ+PGtleXdv
cmQ+T2Jlc2l0eS8qdGhlcmFweTwva2V5d29yZD48a2V5d29yZD5PdmVyd2VpZ2h0Lyp0aGVyYXB5
PC9rZXl3b3JkPjxrZXl3b3JkPipQYXRpZW50IENvbXBsaWFuY2U8L2tleXdvcmQ+PGtleXdvcmQ+
UHJlZ25hbmN5PC9rZXl3b3JkPjxrZXl3b3JkPlByZW1hdHVyZSBCaXJ0aC9wcmV2ZW50aW9uICZh
bXA7IGNvbnRyb2w8L2tleXdvcmQ+PGtleXdvcmQ+UHJvc3BlY3RpdmUgU3R1ZGllczwva2V5d29y
ZD48a2V5d29yZD5TdXJ2ZXlzIGFuZCBRdWVzdGlvbm5haXJlczwva2V5d29yZD48a2V5d29yZD5U
cmVhdG1lbnQgT3V0Y29tZTwva2V5d29yZD48a2V5d29yZD5Zb3VuZyBBZHVsdDwva2V5d29yZD48
a2V5d29yZD4qZGlhYmV0ZXM8L2tleXdvcmQ+PGtleXdvcmQ+KmZldGFsIGdyb3d0aDwva2V5d29y
ZD48a2V5d29yZD4qb2Jlc2l0eTwva2V5d29yZD48a2V5d29yZD4qcGh5c2ljYWwgYWN0aXZpdHk8
L2tleXdvcmQ+PGtleXdvcmQ+KnByZWduYW5jeSBhbmQgbnV0cml0aW9uPC9rZXl3b3JkPjxrZXl3
b3JkPipwcmVnbmFuY3kgb3V0Y29tZTwva2V5d29yZD48L2tleXdvcmRzPjxkYXRlcz48eWVhcj4y
MDE3PC95ZWFyPjxwdWItZGF0ZXM+PGRhdGU+SnVsPC9kYXRlPjwvcHViLWRhdGVzPjwvZGF0ZXM+
PGlzYm4+MTc0MC04NzA5IChFbGVjdHJvbmljKSYjeEQ7MTc0MC04Njk1IChMaW5raW5nKTwvaXNi
bj48YWNjZXNzaW9uLW51bT4yNzY0NzgzNzwvYWNjZXNzaW9uLW51bT48dXJscz48cmVsYXRlZC11
cmxzPjx1cmw+aHR0cHM6Ly93d3cubmNiaS5ubG0ubmloLmdvdi9wdWJtZWQvMjc2NDc4Mzc8L3Vy
bD48L3JlbGF0ZWQtdXJscz48L3VybHM+PGVsZWN0cm9uaWMtcmVzb3VyY2UtbnVtPjEwLjExMTEv
bWNuLjEyMzMzPC9lbGVjdHJvbmljLXJlc291cmNlLW51bT48L3JlY29yZD48L0NpdGU+PENpdGU+
PEF1dGhvcj5Qb3N0b248L0F1dGhvcj48WWVhcj4yMDEzPC9ZZWFyPjxSZWNOdW0+MTEwNTwvUmVj
TnVtPjxyZWNvcmQ+PHJlYy1udW1iZXI+MTEwNTwvcmVjLW51bWJlcj48Zm9yZWlnbi1rZXlzPjxr
ZXkgYXBwPSJFTiIgZGItaWQ9ImV4dmFzcmZ4MmR0cmFvZXNhc3hwMnN6c3hhMmRmNTAyNTkyeCIg
dGltZXN0YW1wPSIxNTUyOTQ4Mjc1Ij4xMTA1PC9rZXk+PC9mb3JlaWduLWtleXM+PHJlZi10eXBl
IG5hbWU9IkpvdXJuYWwgQXJ0aWNsZSI+MTc8L3JlZi10eXBlPjxjb250cmlidXRvcnM+PGF1dGhv
cnM+PGF1dGhvcj5Qb3N0b24sIEwuPC9hdXRob3I+PGF1dGhvcj5CcmlsZXksIEEuIEwuPC9hdXRo
b3I+PGF1dGhvcj5CYXJyLCBTLjwvYXV0aG9yPjxhdXRob3I+QmVsbCwgUi48L2F1dGhvcj48YXV0
aG9yPkNyb2tlciwgSC48L2F1dGhvcj48YXV0aG9yPkNveG9uLCBLLjwvYXV0aG9yPjxhdXRob3I+
RXNzZXgsIEguIE4uPC9hdXRob3I+PGF1dGhvcj5IdW50LCBDLjwvYXV0aG9yPjxhdXRob3I+SGF5
ZXMsIEwuPC9hdXRob3I+PGF1dGhvcj5Ib3dhcmQsIEwuIE0uPC9hdXRob3I+PGF1dGhvcj5LaGF6
YWV6YWRlaCwgTi48L2F1dGhvcj48YXV0aG9yPktpbm51bmVuLCBULjwvYXV0aG9yPjxhdXRob3I+
TmVsc29uLCBTLiBNLjwvYXV0aG9yPjxhdXRob3I+T3RlbmctTnRpbSwgRS48L2F1dGhvcj48YXV0
aG9yPlJvYnNvbiwgUy4gQy48L2F1dGhvcj48YXV0aG9yPlNhdHRhciwgTi48L2F1dGhvcj48YXV0
aG9yPlNlZWQsIFAuIFQuPC9hdXRob3I+PGF1dGhvcj5XYXJkbGUsIEouPC9hdXRob3I+PGF1dGhv
cj5TYW5kZXJzLCBULiBBLjwvYXV0aG9yPjxhdXRob3I+U2FuZGFsbCwgSi48L2F1dGhvcj48L2F1
dGhvcnM+PC9jb250cmlidXRvcnM+PHRpdGxlcz48dGl0bGU+RGV2ZWxvcGluZyBhIGNvbXBsZXgg
aW50ZXJ2ZW50aW9uIGZvciBkaWV0IGFuZCBhY3Rpdml0eSBiZWhhdmlvdXIgY2hhbmdlIGluIG9i
ZXNlIHByZWduYW50IHdvbWVuICh0aGUgVVBCRUFUIHRyaWFsKTsgYXNzZXNzbWVudCBvZiBiZWhh
dmlvdXJhbCBjaGFuZ2UgYW5kIHByb2Nlc3MgZXZhbHVhdGlvbiBpbiBhIHBpbG90IHJhbmRvbWlz
ZWQgY29udHJvbGxlZCB0cmlhbDwvdGl0bGU+PHNlY29uZGFyeS10aXRsZT5CTUMgUHJlZ25hbmN5
IENoaWxkYmlydGg8L3NlY29uZGFyeS10aXRsZT48L3RpdGxlcz48cGVyaW9kaWNhbD48ZnVsbC10
aXRsZT5CTUMgUHJlZ25hbmN5IENoaWxkYmlydGg8L2Z1bGwtdGl0bGU+PC9wZXJpb2RpY2FsPjxw
YWdlcz4xNDg8L3BhZ2VzPjx2b2x1bWU+MTM8L3ZvbHVtZT48ZWRpdGlvbj4yMDEzLzA3LzE3PC9l
ZGl0aW9uPjxrZXl3b3Jkcz48a2V5d29yZD5BY2NlbGVyb21ldHJ5PC9rZXl3b3JkPjxrZXl3b3Jk
PkFkb2xlc2NlbnQ8L2tleXdvcmQ+PGtleXdvcmQ+QWR1bHQ8L2tleXdvcmQ+PGtleXdvcmQ+QmVo
YXZpb3IgVGhlcmFweS8qbWV0aG9kczwva2V5d29yZD48a2V5d29yZD5Cb2R5IE1hc3MgSW5kZXg8
L2tleXdvcmQ+PGtleXdvcmQ+RGlhYmV0ZXMsIEdlc3RhdGlvbmFsLypwcmV2ZW50aW9uICZhbXA7
IGNvbnRyb2w8L2tleXdvcmQ+PGtleXdvcmQ+RGlldCBUaGVyYXB5LyptZXRob2RzPC9rZXl3b3Jk
PjxrZXl3b3JkPkV4ZXJjaXNlIFRoZXJhcHkvKm1ldGhvZHM8L2tleXdvcmQ+PGtleXdvcmQ+RmVh
c2liaWxpdHkgU3R1ZGllczwva2V5d29yZD48a2V5d29yZD5GZW1hbGU8L2tleXdvcmQ+PGtleXdv
cmQ+SHVtYW5zPC9rZXl3b3JkPjxrZXl3b3JkPipNb3RvciBBY3Rpdml0eTwva2V5d29yZD48a2V5
d29yZD5PYmVzaXR5Lyp0aGVyYXB5PC9rZXl3b3JkPjxrZXl3b3JkPlBpbG90IFByb2plY3RzPC9r
ZXl3b3JkPjxrZXl3b3JkPlByZWduYW5jeTwva2V5d29yZD48a2V5d29yZD5QcmVnbmFuY3kgQ29t
cGxpY2F0aW9ucy8qdGhlcmFweTwva2V5d29yZD48a2V5d29yZD5QcmVuYXRhbCBDYXJlL21ldGhv
ZHM8L2tleXdvcmQ+PGtleXdvcmQ+WW91bmcgQWR1bHQ8L2tleXdvcmQ+PC9rZXl3b3Jkcz48ZGF0
ZXM+PHllYXI+MjAxMzwveWVhcj48cHViLWRhdGVzPjxkYXRlPkp1bCAxNTwvZGF0ZT48L3B1Yi1k
YXRlcz48L2RhdGVzPjxpc2JuPjE0NzEtMjM5MyAoRWxlY3Ryb25pYykmI3hEOzE0NzEtMjM5MyAo
TGlua2luZyk8L2lzYm4+PGFjY2Vzc2lvbi1udW0+MjM4NTU3MDg8L2FjY2Vzc2lvbi1udW0+PHVy
bHM+PHJlbGF0ZWQtdXJscz48dXJsPmh0dHBzOi8vd3d3Lm5jYmkubmxtLm5paC5nb3YvcHVibWVk
LzIzODU1NzA4PC91cmw+PC9yZWxhdGVkLXVybHM+PC91cmxzPjxjdXN0b20yPlBNQzM3MTg2MzA8
L2N1c3RvbTI+PGVsZWN0cm9uaWMtcmVzb3VyY2UtbnVtPjEwLjExODYvMTQ3MS0yMzkzLTEzLTE0
ODwvZWxlY3Ryb25pYy1yZXNvdXJjZS1udW0+PC9yZWNvcmQ+PC9DaXRlPjxDaXRlPjxBdXRob3I+
UG9zdG9uPC9BdXRob3I+PFllYXI+MjAxNTwvWWVhcj48UmVjTnVtPjYxMjwvUmVjTnVtPjxyZWNv
cmQ+PHJlYy1udW1iZXI+NjEyPC9yZWMtbnVtYmVyPjxmb3JlaWduLWtleXM+PGtleSBhcHA9IkVO
IiBkYi1pZD0iZXh2YXNyZngyZHRyYW9lc2FzeHAyc3pzeGEyZGY1MDI1OTJ4IiB0aW1lc3RhbXA9
IjE1MzkwNDgzNDgiPjYxMjwva2V5PjxrZXkgYXBwPSJFTldlYiIgZGItaWQ9IiI+MDwva2V5Pjwv
Zm9yZWlnbi1rZXlzPjxyZWYtdHlwZSBuYW1lPSJKb3VybmFsIEFydGljbGUiPjE3PC9yZWYtdHlw
ZT48Y29udHJpYnV0b3JzPjxhdXRob3JzPjxhdXRob3I+UG9zdG9uLCBMLiw8L2F1dGhvcj48YXV0
aG9yPkJlbGwsIFIuLDwvYXV0aG9yPjxhdXRob3I+Q3Jva2VyLCBILiw8L2F1dGhvcj48YXV0aG9y
PkZseW5uLCBBLkMuLDwvYXV0aG9yPjxhdXRob3I+R29kZnJleSwgSy5NLiw8L2F1dGhvcj48YXV0
aG9yPkdvZmYsIEwuLDwvYXV0aG9yPjwvYXV0aG9ycz48L2NvbnRyaWJ1dG9ycz48dGl0bGVzPjx0
aXRsZT5FZmZlY3Qgb2YgYSBiZWhhdmlvdXJhbCBpbnRlcnZlbnRpb24gaW4gb2Jlc2UgcHJlZ25h
bnQgd29tZW4gKHRoZSBVUEJFQVQgc3R1ZHkpOiBhIG11bHRpY2VudHJlLCByYW5kb21pc2VkIGNv
bnRyb2xsZWQgdHJpYWw8L3RpdGxlPjxzZWNvbmRhcnktdGl0bGU+VGhlIExhbmNldCBEaWFiZXRl
cyAmYW1wOyBFbmRvY3Jpbm9sb2d5PC9zZWNvbmRhcnktdGl0bGU+PC90aXRsZXM+PHBlcmlvZGlj
YWw+PGZ1bGwtdGl0bGU+VGhlIExhbmNldCBEaWFiZXRlcyAmYW1wOyBFbmRvY3Jpbm9sb2d5PC9m
dWxsLXRpdGxlPjwvcGVyaW9kaWNhbD48cGFnZXM+NzY3LTc3NzwvcGFnZXM+PHZvbHVtZT4zPC92
b2x1bWU+PG51bWJlcj4xMDwvbnVtYmVyPjxzZWN0aW9uPjc2Nzwvc2VjdGlvbj48ZGF0ZXM+PHll
YXI+MjAxNTwveWVhcj48L2RhdGVzPjxpc2JuPjIyMTM4NTg3PC9pc2JuPjx1cmxzPjwvdXJscz48
ZWxlY3Ryb25pYy1yZXNvdXJjZS1udW0+MTAuMTAxNi9zMjIxMy04NTg3KDE1KTAwMjI3LTI8L2Vs
ZWN0cm9uaWMtcmVzb3VyY2UtbnVtPjwvcmVjb3JkPjwvQ2l0ZT48Q2l0ZT48QXV0aG9yPkRvZGQ8
L0F1dGhvcj48WWVhcj4yMDE0PC9ZZWFyPjxSZWNOdW0+MTA4MDwvUmVjTnVtPjxyZWNvcmQ+PHJl
Yy1udW1iZXI+MTA4MDwvcmVjLW51bWJlcj48Zm9yZWlnbi1rZXlzPjxrZXkgYXBwPSJFTiIgZGIt
aWQ9ImV4dmFzcmZ4MmR0cmFvZXNhc3hwMnN6c3hhMmRmNTAyNTkyeCIgdGltZXN0YW1wPSIxNTUy
OTQ2NDcyIj4xMDgwPC9rZXk+PGtleSBhcHA9IkVOV2ViIiBkYi1pZD0iIj4wPC9rZXk+PC9mb3Jl
aWduLWtleXM+PHJlZi10eXBlIG5hbWU9IkpvdXJuYWwgQXJ0aWNsZSI+MTc8L3JlZi10eXBlPjxj
b250cmlidXRvcnM+PGF1dGhvcnM+PGF1dGhvcj5Eb2RkLCBKb2RpZSBNLjwvYXV0aG9yPjxhdXRo
b3I+R3JpdmVsbCwgUm9zYWxpZSBNLjwvYXV0aG9yPjxhdXRob3I+T3dlbnMsIEp1bGllIEEuPC9h
dXRob3I+PC9hdXRob3JzPjwvY29udHJpYnV0b3JzPjx0aXRsZXM+PHRpdGxlPkFudGVuYXRhbCBE
aWV0YXJ5IGFuZCBMaWZlc3R5bGUgSW50ZXJ2ZW50aW9ucyBmb3IgV29tZW4gV2hvIGFyZSBPdmVy
d2VpZ2h0IG9yIE9iZXNlOiBPdXRjb21lcyBmcm9tIHRoZSBMSU1JVCBSYW5kb21pemVkIFRyaWFs
PC90aXRsZT48c2Vjb25kYXJ5LXRpdGxlPkN1cnJlbnQgTnV0cml0aW9uIFJlcG9ydHM8L3NlY29u
ZGFyeS10aXRsZT48L3RpdGxlcz48cGVyaW9kaWNhbD48ZnVsbC10aXRsZT5DdXJyZW50IE51dHJp
dGlvbiBSZXBvcnRzPC9mdWxsLXRpdGxlPjwvcGVyaW9kaWNhbD48cGFnZXM+MzkyLTM5OTwvcGFn
ZXM+PHZvbHVtZT4zPC92b2x1bWU+PG51bWJlcj40PC9udW1iZXI+PHNlY3Rpb24+MzkyPC9zZWN0
aW9uPjxkYXRlcz48eWVhcj4yMDE0PC95ZWFyPjwvZGF0ZXM+PGlzYm4+MjE2MS0zMzExPC9pc2Ju
Pjx1cmxzPjwvdXJscz48ZWxlY3Ryb25pYy1yZXNvdXJjZS1udW0+MTAuMTAwNy9zMTM2NjgtMDE0
LTAxMDEtNzwvZWxlY3Ryb25pYy1yZXNvdXJjZS1udW0+PC9yZWNvcmQ+PC9DaXRlPjxDaXRlPjxB
dXRob3I+S29pdnVzYWxvPC9BdXRob3I+PFllYXI+MjAxNjwvWWVhcj48UmVjTnVtPjczMzwvUmVj
TnVtPjxyZWNvcmQ+PHJlYy1udW1iZXI+NzMzPC9yZWMtbnVtYmVyPjxmb3JlaWduLWtleXM+PGtl
eSBhcHA9IkVOIiBkYi1pZD0iZXh2YXNyZngyZHRyYW9lc2FzeHAyc3pzeGEyZGY1MDI1OTJ4IiB0
aW1lc3RhbXA9IjE1NDE0Njc3NjYiPjczMzwva2V5PjxrZXkgYXBwPSJFTldlYiIgZGItaWQ9IiI+
MDwva2V5PjwvZm9yZWlnbi1rZXlzPjxyZWYtdHlwZSBuYW1lPSJKb3VybmFsIEFydGljbGUiPjE3
PC9yZWYtdHlwZT48Y29udHJpYnV0b3JzPjxhdXRob3JzPjxhdXRob3I+S29pdnVzYWxvLCBTLkIu
LDwvYXV0aG9yPjxhdXRob3I+UsO2bsO2LCBLLiw8L2F1dGhvcj48YXV0aG9yPktsZW1ldHRpLCBN
Lk0uLDwvYXV0aG9yPjxhdXRob3I+Um9pbmUsIFIuUC4sPC9hdXRob3I+PGF1dGhvcj5MaW5kc3Ry
w7ZtLCBKLiw8L2F1dGhvcj48YXV0aG9yPkVya2tvbGEsIE0uLDwvYXV0aG9yPjwvYXV0aG9ycz48
L2NvbnRyaWJ1dG9ycz48dGl0bGVzPjx0aXRsZT5HZXN0YXRpb25hbCBkaWFiZXRlcyBtZWxsaXR1
cyBjYW4gYmUgcHJldmVudGVkIGJ5IGxpZmVzdHlsZSBpbnRlcnZlbnRpb246IFRoZSBGaW5uaXNo
IEdlc3RhdGlvbmFsIERpYWJldGVzIFByZXZlbnRpb24gU3R1ZHkgKFJBRElFTCk8L3RpdGxlPjxz
ZWNvbmRhcnktdGl0bGU+RGlhYmV0ZXMgQ2FyZTwvc2Vjb25kYXJ5LXRpdGxlPjwvdGl0bGVzPjxw
ZXJpb2RpY2FsPjxmdWxsLXRpdGxlPkRpYWJldGVzIENhcmU8L2Z1bGwtdGl0bGU+PC9wZXJpb2Rp
Y2FsPjxwYWdlcz4yNC0zMDwvcGFnZXM+PHZvbHVtZT4zOTwvdm9sdW1lPjxudW1iZXI+MTwvbnVt
YmVyPjxzZWN0aW9uPjI0PC9zZWN0aW9uPjxkYXRlcz48eWVhcj4yMDE2PC95ZWFyPjwvZGF0ZXM+
PGlzYm4+MDE0OS01OTkyJiN4RDsxOTM1LTU1NDg8L2lzYm4+PHVybHM+PC91cmxzPjxlbGVjdHJv
bmljLXJlc291cmNlLW51bT4xMC4yMzM3L2RjMTUtMDUxMTwvZWxlY3Ryb25pYy1yZXNvdXJjZS1u
dW0+PC9yZWNvcmQ+PC9DaXRlPjxDaXRlPjxBdXRob3I+U2ltbW9uczwvQXV0aG9yPjxZZWFyPjIw
MTc8L1llYXI+PFJlY051bT4xMDU3PC9SZWNOdW0+PHJlY29yZD48cmVjLW51bWJlcj4xMDU3PC9y
ZWMtbnVtYmVyPjxmb3JlaWduLWtleXM+PGtleSBhcHA9IkVOIiBkYi1pZD0iZXh2YXNyZngyZHRy
YW9lc2FzeHAyc3pzeGEyZGY1MDI1OTJ4IiB0aW1lc3RhbXA9IjE1NDg5ODM0NzYiPjEwNTc8L2tl
eT48L2ZvcmVpZ24ta2V5cz48cmVmLXR5cGUgbmFtZT0iSm91cm5hbCBBcnRpY2xlIj4xNzwvcmVm
LXR5cGU+PGNvbnRyaWJ1dG9ycz48YXV0aG9ycz48YXV0aG9yPlNpbW1vbnMsIEQuPC9hdXRob3I+
PGF1dGhvcj5EZXZsaWVnZXIsIFIuPC9hdXRob3I+PGF1dGhvcj52YW4gQXNzY2hlLCBBLjwvYXV0
aG9yPjxhdXRob3I+SmFucywgRy48L2F1dGhvcj48YXV0aG9yPkdhbGphYXJkLCBTLjwvYXV0aG9y
PjxhdXRob3I+Q29yY295LCBSLjwvYXV0aG9yPjxhdXRob3I+QWRlbGFudGFkbywgSi4gTS48L2F1
dGhvcj48YXV0aG9yPkR1bm5lLCBGLjwvYXV0aG9yPjxhdXRob3I+RGVzb3llLCBHLjwvYXV0aG9y
PjxhdXRob3I+SGFycmVpdGVyLCBKLjwvYXV0aG9yPjxhdXRob3I+S2F1dHpreS1XaWxsZXIsIEEu
PC9hdXRob3I+PGF1dGhvcj5EYW1tLCBQLjwvYXV0aG9yPjxhdXRob3I+TWF0aGllc2VuLCBFLiBS
LjwvYXV0aG9yPjxhdXRob3I+SmVuc2VuLCBELiBNLjwvYXV0aG9yPjxhdXRob3I+QW5kZXJzZW4s
IEwuPC9hdXRob3I+PGF1dGhvcj5MYXBvbGxhLCBBLjwvYXV0aG9yPjxhdXRob3I+RGFsZnJhLCBN
LiBHLjwvYXV0aG9yPjxhdXRob3I+QmVydG9sb3R0bywgQS48L2F1dGhvcj48YXV0aG9yPldlbmRl
ci1PemVnb3dza2EsIEUuPC9hdXRob3I+PGF1dGhvcj5aYXdpZWpza2EsIEEuPC9hdXRob3I+PGF1
dGhvcj5IaWxsLCBELjwvYXV0aG9yPjxhdXRob3I+U25vZWssIEYuIEouPC9hdXRob3I+PGF1dGhv
cj5KZWxzbWEsIEouIEcuPC9hdXRob3I+PGF1dGhvcj52YW4gUG9wcGVsLCBNLiBOLjwvYXV0aG9y
PjwvYXV0aG9ycz48L2NvbnRyaWJ1dG9ycz48YXV0aC1hZGRyZXNzPldlc3Rlcm4gU3lkbmV5IFVu
aXZlcnNpdHksIENhbXBiZWxsdG93biwgTmV3IFNvdXRoIFdhbGVzIDI1NjAsIEF1c3RyYWxpYS4m
I3hEO0luc3RpdHV0ZSBvZiBNZXRhYm9saWMgU2NpZW5jZSwgQWRkZW5icm9va2UmYXBvcztzIEhv
c3BpdGFsLCBDYW1icmlkZ2UsIENCMiAwUVEgRW5nbGFuZC4mI3hEO0RlcGFydG1lbnQgb2YgRGV2
ZWxvcG1lbnQgYW5kIFJlZ2VuZXJhdGlvbjogUHJlZ25hbmN5LCBGZXR1cyBhbmQgTmVvbmF0ZSwg
R3luYWVjb2xvZ3kgYW5kIE9ic3RldHJpY3MsIFVuaXZlcnNpdHkgSG9zcGl0YWxzLCBLYXRob2xp
ZWtlIFVuaXZlcnNpdGVpdCBMZXV2ZW4sIExldXZlbiwgQmVsZ2l1bS4mI3hEO0RpdmlzaW9uIG9m
IE9ic3RldHJpY3MgYW5kIFByZW5hdGFsIE1lZGljaW5lLCBEZXBhcnRtZW50IG9mIE9ic3RldHJp
Y3MgYW5kIEd5bmFlY29sb2d5LCBFcmFzbXVzIFVuaXZlcnNpdHkgTWVkaWNhbCBDZW50ZXIgUm90
dGVyZGFtLCBSb3R0ZXJkYW0sIFRoZSBOZXRoZXJsYW5kcy4mI3hEO0luc3RpdHV0IGRlIFJlY2Vy
Y2EgZGUgbCBIb3NwaXRhbCBkZSBsYSBTYW50YSBDcmV1IGkgU2FudCBQYXUsIEJhcmNlbG9uYSwg
U3BhaW4uJiN4RDtDSUJFUiBCaW9lbmdpbmVlcmluZywgQmlvbWF0ZXJpYWxzIGFuZCBOYW5vdGVj
aG5vbG9neSwgSW5zdGl0dXRvIGRlIFNhbHVkIENhcmxvcyBJSUksIFphcmFnb3phLCBTcGFpbi4m
I3hEO0dhbHdheSBEaWFiZXRlcyBSZXNlYXJjaCBDZW50cmUgYW5kIENvbGxlZ2Ugb2YgTWVkaWNp
bmUgTnVyc2luZyBhbmQgSGVhbHRoIFNjaWVuY2VzLCBOYXRpb25hbCBVbml2ZXJzaXR5IG9mIEly
ZWxhbmQsIEdhbHdheSwgSXJlbGFuZC4mI3hEO0RlcGFydG1lbnQgb2YgT2JzdGV0cmljcyBhbmQg
R3luZWNvbG9neSwgTWVkaXppbmlzY2hlIFVuaXZlcnNpdGFldCBHcmF6LCBHcmF6LCBBdXN0cmlh
LiYjeEQ7R2VuZGVyIE1lZGljaW5lIFVuaXQsIEVuZG9jcmlub2xvZ3kgYW5kIE1ldGFib2xpc20s
IERlcGFydG1lbnQgb2YgSW50ZXJuYWwgTWVkaWNpbmUgSUlJLCBNZWRpY2FsIFVuaXZlcnNpdHkg
b2YgVmllbm5hLCBWaWVubmEsIEF1c3RyaWEuJiN4RDtDZW50ZXIgZm9yIFByZWduYW50IFdvbWVu
IHdpdGggRGlhYmV0ZXMsIERlcGFydG1lbnRzIG9mIEVuZG9jcmlub2xvZ3kgYW5kIE9ic3RldHJp
Y3MsIFJpZ3Nob3NwaXRhbGV0LCBJbnN0aXR1dGUgb2YgQ2xpbmljYWwgTWVkaWNpbmUsIEZhY3Vs
dHkgb2YgSGVhbHRoIGFuZCBNZWRpY2FsIFNjaWVuY2VzLCBVbml2ZXJzaXR5IG9mIENvcGVuaGFn
ZW4sIENvcGVuaGFnZW4sIERlbm1hcmsuJiN4RDtEZXBhcnRtZW50IG9mIEVuZG9jcmlub2xvZ3kg
YW5kIERlcGFydG1lbnQgb2YgR3luZWNvbG9neSBhbmQgT2JzdGV0cmljcywgT2RlbnNlIFVuaXZl
cnNpdHkgSG9zcGl0YWwsIE9kZW5zZSwgRGVubWFyay4mI3hEO0RlcGFydG1lbnQgb2YgQ2xpbmlj
YWwgUmVzZWFyY2gsIEZhY3VsdHkgb2YgSGVhbHRoIFNjaWVuY2VzLCBVbml2ZXJzaXR5IG9mIFNv
dXRoZXJuIERlbm1hcmssIE9kZW5zZSwgRGVubWFyay4mI3hEO1VuaXZlcnNpdGEgRGVnbGkgU3R1
ZGkgZGkgUGFkb3ZhLCBQYWR1YSwgSXRhbHkuJiN4RDtBemllbmRhIE9zcGVkYWxpZXJvIFVuaXZl
cnNpdGFyaWEtUGlzYSwgUGlzYSBJdGFseS4mI3hEO01lZGljYWwgRmFjdWx0eSBJLCBQb3puYW4g
VW5pdmVyc2l0eSBvZiBNZWRpY2FsIFNjaWVuY2VzLCBQb3puYW4sIFBvbGFuZC4mI3hEO1JlY2hl
cmNoZSBlbiBTYW50ZSBMYXdzb24gU0EsIEJyb25zY2hob2ZlbiwgU3dpdHplcmxhbmQuJiN4RDtE
ZXBhcnRtZW50IG9mIE1lZGljYWwgUHN5Y2hvbG9neSwgRU1HTysgSW5zdGl0dXRlIGZvciBIZWFs
dGggYW5kIENhcmUgUmVzZWFyY2gsIFZVIFVuaXZlcnNpdHkgTWVkaWNhbCBDZW50cmUsIEFtc3Rl
cmRhbSwgVGhlIE5ldGhlcmxhbmRzLiYjeEQ7RGVwYXJ0bWVudCBvZiBNZWRpY2FsIFBzeWNob2xv
Z3ksIEFjYWRlbWljIE1lZGljYWwgQ2VudHJlLCBBbXN0ZXJkYW0sIFRoZSBOZXRoZXJsYW5kcy4m
I3hEO0RlcGFydG1lbnQgb2YgUHVibGljIGFuZCBPY2N1cGF0aW9uYWwgSGVhbHRoLCBFTUdPKyBJ
bnN0aXR1dGUgZm9yIEhlYWx0aCBhbmQgQ2FyZSBSZXNlYXJjaCwgVlUgVW5pdmVyc2l0eSBNZWRp
Y2FsIENlbnRyZSwgQW1zdGVyZGFtLCBUaGUgTmV0aGVybGFuZHM7IGFuZC4mI3hEO0luc3RpdHV0
ZSBvZiBTcG9ydCBTY2llbmNlLCBVbml2ZXJzaXR5IG9mIEdyYXosIEdyYXosIEF1c3RyaWEuPC9h
dXRoLWFkZHJlc3M+PHRpdGxlcz48dGl0bGU+RWZmZWN0IG9mIFBoeXNpY2FsIEFjdGl2aXR5IGFu
ZC9vciBIZWFsdGh5IEVhdGluZyBvbiBHRE0gUmlzazogVGhlIERBTEkgTGlmZXN0eWxlIFN0dWR5
PC90aXRsZT48c2Vjb25kYXJ5LXRpdGxlPkogQ2xpbiBFbmRvY3Jpbm9sIE1ldGFiPC9zZWNvbmRh
cnktdGl0bGU+PC90aXRsZXM+PHBlcmlvZGljYWw+PGZ1bGwtdGl0bGU+SiBDbGluIEVuZG9jcmlu
b2wgTWV0YWI8L2Z1bGwtdGl0bGU+PC9wZXJpb2RpY2FsPjxwYWdlcz45MDMtOTEzPC9wYWdlcz48
dm9sdW1lPjEwMjwvdm9sdW1lPjxudW1iZXI+MzwvbnVtYmVyPjxlZGl0aW9uPjIwMTYvMTIvMTA8
L2VkaXRpb24+PGRhdGVzPjx5ZWFyPjIwMTc8L3llYXI+PHB1Yi1kYXRlcz48ZGF0ZT5NYXIgMTwv
ZGF0ZT48L3B1Yi1kYXRlcz48L2RhdGVzPjxpc2JuPjE5NDUtNzE5NyAoRWxlY3Ryb25pYykmI3hE
OzAwMjEtOTcyWCAoTGlua2luZyk8L2lzYm4+PGFjY2Vzc2lvbi1udW0+Mjc5MzU3Njc8L2FjY2Vz
c2lvbi1udW0+PHVybHM+PHJlbGF0ZWQtdXJscz48dXJsPmh0dHBzOi8vd3d3Lm5jYmkubmxtLm5p
aC5nb3YvcHVibWVkLzI3OTM1NzY3PC91cmw+PC9yZWxhdGVkLXVybHM+PC91cmxzPjxjdXN0b20y
PlBNQzU0NjA2ODg8L2N1c3RvbTI+PGVsZWN0cm9uaWMtcmVzb3VyY2UtbnVtPjEwLjEyMTAvamMu
MjAxNi0zNDU1PC9lbGVjdHJvbmljLXJlc291cmNlLW51bT48L3JlY29yZD48L0NpdGU+PENpdGU+
PEF1dGhvcj5WYW4gSG9ybjwvQXV0aG9yPjxZZWFyPjIwMTg8L1llYXI+PFJlY051bT4xMzc2PC9S
ZWNOdW0+PHJlY29yZD48cmVjLW51bWJlcj4xMzc2PC9yZWMtbnVtYmVyPjxmb3JlaWduLWtleXM+
PGtleSBhcHA9IkVOIiBkYi1pZD0iZXh2YXNyZngyZHRyYW9lc2FzeHAyc3pzeGEyZGY1MDI1OTJ4
IiB0aW1lc3RhbXA9IjE1NjcwMzU5ODciPjEzNzY8L2tleT48a2V5IGFwcD0iRU5XZWIiIGRiLWlk
PSIiPjA8L2tleT48L2ZvcmVpZ24ta2V5cz48cmVmLXR5cGUgbmFtZT0iSm91cm5hbCBBcnRpY2xl
Ij4xNzwvcmVmLXR5cGU+PGNvbnRyaWJ1dG9ycz48YXV0aG9ycz48YXV0aG9yPlZhbiBIb3JuLCBM
LjwvYXV0aG9yPjxhdXRob3I+UGVhY2VtYW4sIEEuPC9hdXRob3I+PGF1dGhvcj5Ld2FzbnksIE0u
PC9hdXRob3I+PGF1dGhvcj5WaW5jZW50LCBFLjwvYXV0aG9yPjxhdXRob3I+Rm91Z2h0LCBBLjwv
YXV0aG9yPjxhdXRob3I+Sm9zZWZzb24sIEouPC9hdXRob3I+PGF1dGhvcj5TcHJpbmcsIEIuPC9h
dXRob3I+PGF1dGhvcj5OZWZmLCBMLiBNLjwvYXV0aG9yPjxhdXRob3I+R2VybmhvZmVyLCBOLjwv
YXV0aG9yPjwvYXV0aG9ycz48L2NvbnRyaWJ1dG9ycz48YXV0aC1hZGRyZXNzPkRlcGFydG1lbnQg
b2YgUHJldmVudGl2ZSBNZWRpY2luZSwgTm9ydGh3ZXN0ZXJuIFVuaXZlcnNpdHkgRmVpbmJlcmcg
U2Nob29sIG9mIE1lZGljaW5lLCBDaGljYWdvLCBJbGxpbm9pcy4gRWxlY3Ryb25pYyBhZGRyZXNz
OiBsdmFuaG9ybkBub3J0aHdlc3Rlcm4uZWR1LiYjeEQ7RGVwYXJ0bWVudCBvZiBPYnN0ZXRyaWNz
IGFuZCBHeW5lY29sb2d5LCBOb3J0aHdlc3Rlcm4gVW5pdmVyc2l0eSBGZWluYmVyZyBTY2hvb2wg
b2YgTWVkaWNpbmUsIENoaWNhZ28sIElsbGlub2lzLiYjeEQ7RGVwYXJ0bWVudCBvZiBQcmV2ZW50
aXZlIE1lZGljaW5lLCBOb3J0aHdlc3Rlcm4gVW5pdmVyc2l0eSBGZWluYmVyZyBTY2hvb2wgb2Yg
TWVkaWNpbmUsIENoaWNhZ28sIElsbGlub2lzLiYjeEQ7RGVwYXJ0bWVudCBvZiBQcmV2ZW50aXZl
IE1lZGljaW5lLCBOb3J0aHdlc3Rlcm4gVW5pdmVyc2l0eSBGZWluYmVyZyBTY2hvb2wgb2YgTWVk
aWNpbmUsIENoaWNhZ28sIElsbGlub2lzOyBBbm4gYW5kIFJvYmVydCBILiBMdXJpZSBDaGlsZHJl
biZhcG9zO3MgSG9zcGl0YWwgb2YgQ2hpY2FnbywgQ2hpY2FnbywgSWxsaW5vaXMuJiN4RDtEZXBh
cnRtZW50IG9mIE1lZGljaW5lLCBOb3J0aHdlc3Rlcm4gVW5pdmVyc2l0eSBGZWluYmVyZyBTY2hv
b2wgb2YgTWVkaWNpbmUsIENoaWNhZ28sIElsbGlub2lzLjwvYXV0aC1hZGRyZXNzPjx0aXRsZXM+
PHRpdGxlPkRpZXRhcnkgQXBwcm9hY2hlcyB0byBTdG9wIEh5cGVydGVuc2lvbiBEaWV0IGFuZCBB
Y3Rpdml0eSB0byBMaW1pdCBHZXN0YXRpb25hbCBXZWlnaHQ6IE1hdGVybmFsIE9mZnNwcmluZyBN
ZXRhYm9saWNzIEZhbWlseSBJbnRlcnZlbnRpb24gVHJpYWwsIGEgVGVjaG5vbG9neSBFbmhhbmNl
ZCBSYW5kb21pemVkIFRyaWFsPC90aXRsZT48c2Vjb25kYXJ5LXRpdGxlPkFtIEogUHJldiBNZWQ8
L3NlY29uZGFyeS10aXRsZT48L3RpdGxlcz48cGVyaW9kaWNhbD48ZnVsbC10aXRsZT5BbSBKIFBy
ZXYgTWVkPC9mdWxsLXRpdGxlPjwvcGVyaW9kaWNhbD48cGFnZXM+NjAzLTYxNDwvcGFnZXM+PHZv
bHVtZT41NTwvdm9sdW1lPjxudW1iZXI+NTwvbnVtYmVyPjxlZGl0aW9uPjIwMTgvMDkvMjk8L2Vk
aXRpb24+PGRhdGVzPjx5ZWFyPjIwMTg8L3llYXI+PHB1Yi1kYXRlcz48ZGF0ZT5Ob3Y8L2RhdGU+
PC9wdWItZGF0ZXM+PC9kYXRlcz48aXNibj4xODczLTI2MDcgKEVsZWN0cm9uaWMpJiN4RDswNzQ5
LTM3OTcgKExpbmtpbmcpPC9pc2JuPjxhY2Nlc3Npb24tbnVtPjMwMjYyMTQ4PC9hY2Nlc3Npb24t
bnVtPjx1cmxzPjxyZWxhdGVkLXVybHM+PHVybD5odHRwczovL3d3dy5uY2JpLm5sbS5uaWguZ292
L3B1Ym1lZC8zMDI2MjE0ODwvdXJsPjwvcmVsYXRlZC11cmxzPjwvdXJscz48ZWxlY3Ryb25pYy1y
ZXNvdXJjZS1udW0+MTAuMTAxNi9qLmFtZXByZS4yMDE4LjA2LjAxNTwvZWxlY3Ryb25pYy1yZXNv
dXJjZS1udW0+PC9yZWNvcmQ+PC9DaXRlPjxDaXRlPjxBdXRob3I+S2lhbmkgQXNpYWJhcjwvQXV0
aG9yPjxZZWFyPjIwMTg8L1llYXI+PFJlY051bT4xMzgwPC9SZWNOdW0+PHJlY29yZD48cmVjLW51
bWJlcj4xMzgwPC9yZWMtbnVtYmVyPjxmb3JlaWduLWtleXM+PGtleSBhcHA9IkVOIiBkYi1pZD0i
ZXh2YXNyZngyZHRyYW9lc2FzeHAyc3pzeGEyZGY1MDI1OTJ4IiB0aW1lc3RhbXA9IjE1NjcxMjQ1
NzEiPjEzODA8L2tleT48a2V5IGFwcD0iRU5XZWIiIGRiLWlkPSIiPjA8L2tleT48L2ZvcmVpZ24t
a2V5cz48cmVmLXR5cGUgbmFtZT0iSm91cm5hbCBBcnRpY2xlIj4xNzwvcmVmLXR5cGU+PGNvbnRy
aWJ1dG9ycz48YXV0aG9ycz48YXV0aG9yPktpYW5pIEFzaWFiYXIsIEEuPC9hdXRob3I+PGF1dGhv
cj5BbWluIFNob2tyYXZpLCBGLjwvYXV0aG9yPjxhdXRob3I+SGFqaWZhcmFqaSwgTS48L2F1dGhv
cj48YXV0aG9yPlpheWVyaSwgRi48L2F1dGhvcj48L2F1dGhvcnM+PC9jb250cmlidXRvcnM+PGF1
dGgtYWRkcmVzcz5EZXBhcnRtZW50IG9mIEhlYWx0aCBFZHVjYXRpb24gYW5kIEhlYWx0aCBQcm9t
b3Rpb24sIEZhY3VsdHkgb2YgTWVkaWNhbCBTY2llbmNlcywgVGFyYmlhdCBNb2RhcmVzIFVuaXZl
cnNpdHksIFRlaHJhbiwgSXJhbi4mI3hEO0RlcGFydG1lbnQgb2YgTWlkd2lmZXJ5LCBGYWN1bHR5
IG9mIE51cnNpbmcgYW5kIE1pZHdpZmVyeSwgU2hhaGVkIFVuaXZlcnNpdHksIFRlaHJhbiwgSXJh
bi4mI3hEO0RlcGFydG1lbnQgb2YgSGVhbHRoIEVkdWNhdGlvbnMgYW5kIEhlYWx0aCBQcm9tb3Rp
b24sIEZhY3VsdHkgb2YgTWVkaWNhbCBTY2llbmNlcywgVGFyYmlhdCBNb2RhcmVzIFVuaXZlcnNp
dHksIFRlaHJhbiwgSXJhbi4mI3hEO05hdGlvbmFsIE51dHJpdGlvbiBhbmQgRm9vZCBUZWNobm9s
b2d5IFJlc2VhcmNoIEluc3RpdHV0ZSwgU2Nob29sIG9mIE51dHJpdGlvbiBTY2llbmNlcyBhbmQg
Rm9vZCBUZWNobm9sb2d5LCBTaGFoaWQgQmVoZXNodGkgVW5pdmVyc2l0eSBvZiBNZWRpY2FsIFNj
aWVuY2VzLCBUZWhyYW4sIElyYW4uJiN4RDtEZXBhcnRtZW50IG9mIEJpb3N0YXRpc3RpY3MsIEZh
Y3VsdHkgb2YgUGFyYW1lZGljYWwgU2NpZW5jZXMsIFNoYWhpZCBCZWhlc2h0aSBVbml2ZXJzaXR5
IG9mIE1lZGljYWwgU2NpZW5jZXMsIFRlaHJhbiwgSXJhbi48L2F1dGgtYWRkcmVzcz48dGl0bGVz
Pjx0aXRsZT5UaGUgZWZmZWN0IG9mIGFuIGVkdWNhdGlvbmFsIGludGVydmVudGlvbiBpbiBlYXJs
eSBwcmVnbmFuY3kgd2l0aCBzcG91c2UmYXBvcztzIHBhcnRpY2lwYXRpb24gb24gb3B0aW1hbCBn
ZXN0YXRpb25hbCB3ZWlnaHQgZ2FpbiBpbiBwcmVnbmFuY3k6IGEgcmFuZG9taXplZCBjb250cm9s
bGVkIHRyaWFsPC90aXRsZT48c2Vjb25kYXJ5LXRpdGxlPkhlYWx0aCBFZHVjIFJlczwvc2Vjb25k
YXJ5LXRpdGxlPjwvdGl0bGVzPjxwZXJpb2RpY2FsPjxmdWxsLXRpdGxlPkhlYWx0aCBFZHVjIFJl
czwvZnVsbC10aXRsZT48L3BlcmlvZGljYWw+PHBhZ2VzPjUzNS01NDc8L3BhZ2VzPjx2b2x1bWU+
MzM8L3ZvbHVtZT48bnVtYmVyPjY8L251bWJlcj48ZWRpdGlvbj4yMDE4LzExLzMwPC9lZGl0aW9u
PjxkYXRlcz48eWVhcj4yMDE4PC95ZWFyPjxwdWItZGF0ZXM+PGRhdGU+RGVjIDE8L2RhdGU+PC9w
dWItZGF0ZXM+PC9kYXRlcz48aXNibj4xNDY1LTM2NDggKEVsZWN0cm9uaWMpJiN4RDswMjY4LTEx
NTMgKExpbmtpbmcpPC9pc2JuPjxhY2Nlc3Npb24tbnVtPjMwNDk2NDA5PC9hY2Nlc3Npb24tbnVt
Pjx1cmxzPjxyZWxhdGVkLXVybHM+PHVybD5odHRwczovL3d3dy5uY2JpLm5sbS5uaWguZ292L3B1
Ym1lZC8zMDQ5NjQwOTwvdXJsPjwvcmVsYXRlZC11cmxzPjwvdXJscz48ZWxlY3Ryb25pYy1yZXNv
dXJjZS1udW0+MTAuMTA5My9oZXIvY3l5MDQwPC9lbGVjdHJvbmljLXJlc291cmNlLW51bT48L3Jl
Y29yZD48L0NpdGU+PENpdGU+PEF1dGhvcj5SdWNoYXQ8L0F1dGhvcj48WWVhcj4yMDEyPC9ZZWFy
PjxSZWNOdW0+NzU2PC9SZWNOdW0+PHJlY29yZD48cmVjLW51bWJlcj43NTY8L3JlYy1udW1iZXI+
PGZvcmVpZ24ta2V5cz48a2V5IGFwcD0iRU4iIGRiLWlkPSJleHZhc3JmeDJkdHJhb2VzYXN4cDJz
enN4YTJkZjUwMjU5MngiIHRpbWVzdGFtcD0iMTU0MTQ2Nzk2NSI+NzU2PC9rZXk+PGtleSBhcHA9
IkVOV2ViIiBkYi1pZD0iIj4wPC9rZXk+PC9mb3JlaWduLWtleXM+PHJlZi10eXBlIG5hbWU9Ikpv
dXJuYWwgQXJ0aWNsZSI+MTc8L3JlZi10eXBlPjxjb250cmlidXRvcnM+PGF1dGhvcnM+PGF1dGhv
cj5SdWNoYXQsIFMtTS4sPC9hdXRob3I+PGF1dGhvcj5EYXZlbnBvcnQsIE0uSC4sPC9hdXRob3I+
PGF1dGhvcj5HaXJvdXgsIEkuLDwvYXV0aG9yPjxhdXRob3I+SGlsbGllciwgTS4sPC9hdXRob3I+
PGF1dGhvcj5CYXRhZGEsIEEuLDwvYXV0aG9yPjxhdXRob3I+U29wcGVyLCBNLk0uLDwvYXV0aG9y
PjxhdXRob3I+SGFtbW9uZCwgSi5NLlMuLDwvYXV0aG9yPjxhdXRob3I+TW90dG9sYSwgTS5GLiw8
L2F1dGhvcj48L2F1dGhvcnM+PC9jb250cmlidXRvcnM+PHRpdGxlcz48dGl0bGU+TnV0cml0aW9u
IGFuZCBleGVyY2lzZSByZWR1Y2UgZXhjZXNzaXZlIHdlaWdodCBnYWluIGluIG5vcm1hbC13ZWln
aHQgcHJlZ25hbnQgd29tZW48L3RpdGxlPjxzZWNvbmRhcnktdGl0bGU+TWVkaWNpbmUgJmFtcDsg
U2NpZW5jZSBpbiBTcG9ydHMgJmFtcDsgRXhlcmNpc2U8L3NlY29uZGFyeS10aXRsZT48L3RpdGxl
cz48cGVyaW9kaWNhbD48ZnVsbC10aXRsZT5NZWRpY2luZSAmYW1wOyBTY2llbmNlIGluIFNwb3J0
cyAmYW1wOyBFeGVyY2lzZTwvZnVsbC10aXRsZT48L3BlcmlvZGljYWw+PHBhZ2VzPjE0MTktMTQy
NjwvcGFnZXM+PHZvbHVtZT40NDwvdm9sdW1lPjxudW1iZXI+ODwvbnVtYmVyPjxzZWN0aW9uPjE0
MTk8L3NlY3Rpb24+PGRhdGVzPjx5ZWFyPjIwMTI8L3llYXI+PC9kYXRlcz48aXNibj4wMTk1LTkx
MzE8L2lzYm4+PHVybHM+PC91cmxzPjxlbGVjdHJvbmljLXJlc291cmNlLW51bT4xMC4xMjQ5L01T
Uy4wYjAxM2UzMTgyNTM2NWYxPC9lbGVjdHJvbmljLXJlc291cmNlLW51bT48L3JlY29yZD48L0Np
dGU+PENpdGU+PEF1dGhvcj5UcmFrLUZlbGxlcm1laWVyPC9BdXRob3I+PFllYXI+MjAxOTwvWWVh
cj48UmVjTnVtPjE5MjE8L1JlY051bT48cmVjb3JkPjxyZWMtbnVtYmVyPjE5MjE8L3JlYy1udW1i
ZXI+PGZvcmVpZ24ta2V5cz48a2V5IGFwcD0iRU4iIGRiLWlkPSJleHZhc3JmeDJkdHJhb2VzYXN4
cDJzenN4YTJkZjUwMjU5MngiIHRpbWVzdGFtcD0iMTU4ODU1NjU5NSI+MTkyMTwva2V5PjxrZXkg
YXBwPSJFTldlYiIgZGItaWQ9IiI+MDwva2V5PjwvZm9yZWlnbi1rZXlzPjxyZWYtdHlwZSBuYW1l
PSJKb3VybmFsIEFydGljbGUiPjE3PC9yZWYtdHlwZT48Y29udHJpYnV0b3JzPjxhdXRob3JzPjxh
dXRob3I+VHJhay1GZWxsZXJtZWllciwgTS4gQS48L2F1dGhvcj48YXV0aG9yPkNhbXBvcywgTS48
L2F1dGhvcj48YXV0aG9yPk1lbGVuZGV6LCBNLjwvYXV0aG9yPjxhdXRob3I+UG9tZXJveSwgSi48
L2F1dGhvcj48YXV0aG9yPlBhbGFjaW9zLCBDLjwvYXV0aG9yPjxhdXRob3I+Uml2ZXJhLVZpbmFz
LCBKLjwvYXV0aG9yPjxhdXRob3I+TWVuZGV6LCBLLjwvYXV0aG9yPjxhdXRob3I+RmVibywgSS48
L2F1dGhvcj48YXV0aG9yPldpbGxldHQsIFcuPC9hdXRob3I+PGF1dGhvcj5HaWxsbWFuLCBNLiBX
LjwvYXV0aG9yPjxhdXRob3I+RnJhbmtzLCBQLiBXLjwvYXV0aG9yPjxhdXRob3I+Sm9zaGlwdXJh
LCBLLjwvYXV0aG9yPjwvYXV0aG9ycz48L2NvbnRyaWJ1dG9ycz48YXV0aC1hZGRyZXNzPkNlbnRl
ciBmb3IgQ2xpbmljYWwgUmVzZWFyY2ggYW5kIEhlYWx0aCBQcm9tb3Rpb24sIFNjaG9vbCBvZiBE
ZW50YWwgTWVkaWNpbmUsIE1lZGljYWwgU2NpZW5jZXMgQ2FtcHVzLCBVbml2ZXJzaXR5IG9mIFB1
ZXJ0byBSaWNvLCBTYW4gSnVhbiwgUFIsIFVTQSwga2F1bXVkaS5qb3NoaXB1cmFAdXByLmVkdS4m
I3hEO0NsaW5pY2FsIFJlc2VhcmNoIENlbnRlciwgTWFyc2hmaWVsZCBDbGluaWMgUmVzZWFyY2gg
SW5zdGl0dXRlLCBNYXJzaGZpZWxkIENsaW5pYyBIZWFsdGggU3lzdGVtLCBNYXJzaGZpZWxkLCBX
SSwgVVNBLiYjeEQ7RGVwYXJ0bWVudCBvZiBEaWV0ZXRpY3MgYW5kIE51dHJpdGlvbiwgUm9iZXJ0
IFN0ZW1wZWwgQ29sbGVnZSBvZiBQdWJsaWMgSGVhbHRoICZhbXA7IFNvY2lhbCBXb3JrLCBGbG9y
aWRhIEludGVybmF0aW9uYWwgVW5pdmVyc2l0eSwgTWlhbWksIEZMLCBVU0EuJiN4RDtEZXBhcnRt
ZW50IG9mIE9ic3RldHJpY3MgYW5kIEd5bmVjb2xvZ3ksIFNjaG9vbCBvZiBNZWRpY2luZSwgTWVk
aWNhbCBTY2llbmNlcyBDYW1wdXMsIFVuaXZlcnNpdHkgb2YgUHVlcnRvIFJpY28sIFNhbiBKdWFu
LCBQUiwgVVNBLiYjeEQ7RGVwYXJ0bWVudCBvZiBQZWRpYXRyaWNzLCBTY2hvb2wgb2YgTWVkaWNp
bmUsIE1lZGljYWwgU2NpZW5jZXMgQ2FtcHVzLCBVbml2ZXJzaXR5IG9mIFB1ZXJ0byBSaWNvLCBT
YW4gSnVhbiwgUFIsIFVTQS4mI3hEO0RlcGFydG1lbnQgb2YgTnV0cml0aW9uLCBIYXJ2YXJkIFQu
SC4gQ2hhbiBTY2hvb2wgb2YgUHVibGljIEhlYWx0aCwgSGFydmFyZCBVbml2ZXJzaXR5LCBCb3N0
b24sIE1BLCBVU0EuJiN4RDtEaXZpc2lvbiBvZiBDaHJvbmljIERpc2Vhc2UgUmVzZWFyY2ggQWNy
b3NzIHRoZSBMaWZlIENvdXJzZSwgRGVwYXJ0bWVudCBvZiBQb3B1bGF0aW9uIE1lZGljaW5lLCBI
YXJ2YXJkIE1lZGljYWwgU2Nob29sIGFuZCBIYXJ2YXJkIFBpbGdyaW0gSGVhbHRoIENhcmUgSW5z
dGl0dXRlLCBCb3N0b24sIE1BLiYjeEQ7RGVwYXJ0bWVudCBvZiBDbGluaWNhbCBTY2llbmNlcywg
R2VuZXRpYyBhbmQgTW9sZWN1bGFyIEVwaWRlbWlvbG9neSBVbml0LCBMdW5kIFVuaXZlcnNpdHks
IFNrYW5lIFVuaXZlcnNpdHkgSG9zcGl0YWwsIE1hbG1vLCBTd2VkZW4uJiN4RDtEZXBhcnRtZW50
IG9mIEVwaWRlbWlvbG9neSwgSGFydmFyZCBULkguIENoYW4gUHVibGljIEhlYWx0aCBTY2hvb2ws
IEhhcnZhcmQgVW5pdmVyc2l0eSwgQm9zdG9uLCBNQSwgVVNBLCBrYXVtdWRpLmpvc2hpcHVyYUB1
cHIuZWR1LjwvYXV0aC1hZGRyZXNzPjx0aXRsZXM+PHRpdGxlPlBFQVJMUyByYW5kb21pemVkIGxp
ZmVzdHlsZSB0cmlhbCBpbiBwcmVnbmFudCBIaXNwYW5pYyB3b21lbiB3aXRoIG92ZXJ3ZWlnaHQv
b2Jlc2l0eTogZ2VzdGF0aW9uYWwgd2VpZ2h0IGdhaW4gYW5kIG9mZnNwcmluZyBiaXJ0aHdlaWdo
dDwvdGl0bGU+PHNlY29uZGFyeS10aXRsZT5EaWFiZXRlcyBNZXRhYiBTeW5kciBPYmVzPC9zZWNv
bmRhcnktdGl0bGU+PC90aXRsZXM+PHBlcmlvZGljYWw+PGZ1bGwtdGl0bGU+RGlhYmV0ZXMgTWV0
YWIgU3luZHIgT2JlczwvZnVsbC10aXRsZT48L3BlcmlvZGljYWw+PHBhZ2VzPjIyNS0yMzg8L3Bh
Z2VzPjx2b2x1bWU+MTI8L3ZvbHVtZT48ZWRpdGlvbj4yMDE5LzAzLzEzPC9lZGl0aW9uPjxrZXl3
b3Jkcz48a2V5d29yZD5iaXJ0aHdlaWdodDwva2V5d29yZD48a2V5d29yZD5nZXN0YXRpb25hbCB3
ZWlnaHQgZ2Fpbjwva2V5d29yZD48a2V5d29yZD5pbnRlcnZlbnRpb248L2tleXdvcmQ+PGtleXdv
cmQ+bGlmZXN0eWxlIG1vZGlmaWNhdGlvbjwva2V5d29yZD48a2V5d29yZD5uZW9uYXRhbDwva2V5
d29yZD48a2V5d29yZD5vYmVzZTwva2V5d29yZD48a2V5d29yZD5vdmVyd2VpZ2h0PC9rZXl3b3Jk
PjxrZXl3b3JkPnByZWduYW5jeTwva2V5d29yZD48a2V5d29yZD5yYW5kb21pemVkIGNvbnRyb2xs
ZWQgdHJpYWw8L2tleXdvcmQ+PGtleXdvcmQ+SGVhbHRoIE91dGNvbWVzIChFQ0hPKSBQcm9ncmFt
LCBPZmZpY2Ugb2YgdGhlIERpcmVjdG9yLCBOYXRpb25hbCBJbnN0aXR1dGVzIG9mPC9rZXl3b3Jk
PjxrZXl3b3JkPkhlYWx0aCAoVGhlIHZpZXdzIGV4cHJlc3NlZCBpbiB0aGlzIGFydGljbGUgZG8g
bm90IG5lY2Vzc2FyaWx5IHJlcHJlc2VudCB0aGU8L2tleXdvcmQ+PGtleXdvcmQ+dmlld3Mgb2Yg
dGhlIFVTIEdvdmVybm1lbnQsIHRoZSBEZXBhcnRtZW50IG9mIEhlYWx0aCBhbmQgSHVtYW4gU2Vy
dmljZXMgb3IgdGhlPC9rZXl3b3JkPjxrZXl3b3JkPk5hdGlvbmFsIEluc3RpdHV0ZXMgb2YgSGVh
bHRoKS4gVGhlIGF1dGhvcnMgcmVwb3J0IG5vIG90aGVyIGNvbmZsaWN0cyBvZiBpbnRlcmVzdDwv
a2V5d29yZD48a2V5d29yZD5pbiB0aGlzIHdvcmsuPC9rZXl3b3JkPjwva2V5d29yZHM+PGRhdGVz
Pjx5ZWFyPjIwMTk8L3llYXI+PC9kYXRlcz48aXNibj4xMTc4LTcwMDcgKFByaW50KSYjeEQ7MTE3
OC03MDA3IChMaW5raW5nKTwvaXNibj48YWNjZXNzaW9uLW51bT4zMDg1ODcxNTwvYWNjZXNzaW9u
LW51bT48dXJscz48cmVsYXRlZC11cmxzPjx1cmw+aHR0cHM6Ly93d3cubmNiaS5ubG0ubmloLmdv
di9wdWJtZWQvMzA4NTg3MTU8L3VybD48L3JlbGF0ZWQtdXJscz48L3VybHM+PGN1c3RvbTI+UE1D
NjM4NTc0MzwvY3VzdG9tMj48ZWxlY3Ryb25pYy1yZXNvdXJjZS1udW0+MTAuMjE0Ny9ETVNPLlMx
NzkwMDk8L2VsZWN0cm9uaWMtcmVzb3VyY2UtbnVtPjwvcmVjb3JkPjwvQ2l0ZT48Q2l0ZT48QXV0
aG9yPkRvZGQ8L0F1dGhvcj48WWVhcj4yMDE5PC9ZZWFyPjxSZWNOdW0+MTkyMjwvUmVjTnVtPjxy
ZWNvcmQ+PHJlYy1udW1iZXI+MTkyMjwvcmVjLW51bWJlcj48Zm9yZWlnbi1rZXlzPjxrZXkgYXBw
PSJFTiIgZGItaWQ9ImV4dmFzcmZ4MmR0cmFvZXNhc3hwMnN6c3hhMmRmNTAyNTkyeCIgdGltZXN0
YW1wPSIxNTg4NTYwMzY4Ij4xOTIyPC9rZXk+PGtleSBhcHA9IkVOV2ViIiBkYi1pZD0iIj4wPC9r
ZXk+PC9mb3JlaWduLWtleXM+PHJlZi10eXBlIG5hbWU9IkpvdXJuYWwgQXJ0aWNsZSI+MTc8L3Jl
Zi10eXBlPjxjb250cmlidXRvcnM+PGF1dGhvcnM+PGF1dGhvcj5Eb2RkLCBKLiBNLjwvYXV0aG9y
PjxhdXRob3I+RGV1c3NlbiwgQS4gUi48L2F1dGhvcj48YXV0aG9yPkxvdWlzZSwgSi48Ly==
</w:fldData>
        </w:fldChar>
      </w:r>
      <w:r w:rsidR="002747EA">
        <w:instrText xml:space="preserve"> ADDIN EN.CITE.DATA </w:instrText>
      </w:r>
      <w:r w:rsidR="002747EA">
        <w:fldChar w:fldCharType="end"/>
      </w:r>
      <w:r w:rsidR="002747EA">
        <w:fldChar w:fldCharType="begin">
          <w:fldData xml:space="preserve">YXV0aG9yPjwvYXV0aG9ycz48L2NvbnRyaWJ1dG9ycz48YXV0aC1hZGRyZXNzPkRpc2NpcGxpbmUg
b2YgT2JzdGV0cmljcyAmYW1wOyBHeW5hZWNvbG9neSwgYW5kIFJvYmluc29uIFJlc2VhcmNoIElu
c3RpdHV0ZSwgVGhlIFVuaXZlcnNpdHkgb2YgQWRlbGFpZGUsIEFkZWxhaWRlLCBTQSA1MDA2LCBB
dXN0cmFsaWEuJiN4RDtEZXBhcnRtZW50IG9mIFBlcmluYXRhbCBNZWRpY2luZSBXb21lbiZhcG9z
O3MgYW5kIENoaWxkcmVuJmFwb3M7cyBIb3NwaXRhbCwgTm9ydGggQWRlbGFpZGUsIEFkZWxhaWRl
LCBTQSA1MDA2LCBBdXN0cmFsaWEuPC9hdXRoLWFkZHJlc3M+PHRpdGxlcz48dGl0bGU+QSByYW5k
b21pc2VkIHRyaWFsIHRvIG9wdGltaXNlIGdlc3RhdGlvbmFsIHdlaWdodCBnYWluIGFuZCBpbXBy
b3ZlIG1hdGVybmFsIGFuZCBpbmZhbnQgaGVhbHRoIG91dGNvbWVzIHRocm91Z2ggYW50ZW5hdGFs
IGRpZXRhcnksIGxpZmVzdHlsZSBhbmQgZXhlcmNpc2UgYWR2aWNlOiBUaGUgT1BUSU1JU0UgcmFu
ZG9taXNlZCB0cmlhbDwvdGl0bGU+PHNlY29uZGFyeS10aXRsZT5OdXRyaWVudHM8L3NlY29uZGFy
eS10aXRsZT48L3RpdGxlcz48cGVyaW9kaWNhbD48ZnVsbC10aXRsZT5OdXRyaWVudHM8L2Z1bGwt
dGl0bGU+PC9wZXJpb2RpY2FsPjx2b2x1bWU+MTE8L3ZvbHVtZT48bnVtYmVyPjEyPC9udW1iZXI+
PGVkaXRpb24+MjAxOS8xMi8wODwvZWRpdGlvbj48a2V5d29yZHM+PGtleXdvcmQ+ZGlldGFyeSBh
bmQgbGlmZXN0eWxlIGludGVydmVudGlvbjwva2V5d29yZD48a2V5d29yZD5nZXN0YXRpb25hbCB3
ZWlnaHQgZ2Fpbjwva2V5d29yZD48a2V5d29yZD5yYW5kb21pc2VkIGNvbnRyb2xsZWQgdHJpYWw8
L2tleXdvcmQ+PC9rZXl3b3Jkcz48ZGF0ZXM+PHllYXI+MjAxOTwveWVhcj48cHViLWRhdGVzPjxk
YXRlPkRlYyAyPC9kYXRlPjwvcHViLWRhdGVzPjwvZGF0ZXM+PGlzYm4+MjA3Mi02NjQzIChFbGVj
dHJvbmljKSYjeEQ7MjA3Mi02NjQzIChMaW5raW5nKTwvaXNibj48YWNjZXNzaW9uLW51bT4zMTgx
MDIxNzwvYWNjZXNzaW9uLW51bT48dXJscz48cmVsYXRlZC11cmxzPjx1cmw+aHR0cHM6Ly93d3cu
bmNiaS5ubG0ubmloLmdvdi9wdWJtZWQvMzE4MTAyMTc8L3VybD48L3JlbGF0ZWQtdXJscz48L3Vy
bHM+PGN1c3RvbTI+UE1DNjk0OTkzMTwvY3VzdG9tMj48ZWxlY3Ryb25pYy1yZXNvdXJjZS1udW0+
MTAuMzM5MC9udTExMTIyOTExPC9lbGVjdHJvbmljLXJlc291cmNlLW51bT48L3JlY29yZD48L0Np
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402,451,482,484,485,493,495,496,498,499,505,509,512,513,519,521</w:t>
      </w:r>
      <w:r>
        <w:fldChar w:fldCharType="end"/>
      </w:r>
      <w:r>
        <w:t xml:space="preserve"> </w:t>
      </w:r>
      <w:r>
        <w:rPr>
          <w:shd w:val="clear" w:color="auto" w:fill="FFFFFF"/>
        </w:rPr>
        <w:t>and sugar (eg in soft drinks)</w:t>
      </w:r>
      <w:r>
        <w:fldChar w:fldCharType="begin">
          <w:fldData xml:space="preserve">PEVuZE5vdGU+PENpdGU+PEF1dGhvcj5BbHRodWl6ZW48L0F1dGhvcj48WWVhcj4yMDEzPC9ZZWFy
PjxSZWNOdW0+NzA5PC9SZWNOdW0+PERpc3BsYXlUZXh0PjxzdHlsZSBmYWNlPSJzdXBlcnNjcmlw
dCIgZm9udD0iVHJlYnVjaGV0IE1TIiBzaXplPSI5Ij40ODUsNDg3LDQ5Niw0OTgsNTAwLDUwNSw1
MTIsNTEzLDUxOTwvc3R5bGU+PC9EaXNwbGF5VGV4dD48cmVjb3JkPjxyZWMtbnVtYmVyPjcwOTwv
cmVjLW51bWJlcj48Zm9yZWlnbi1rZXlzPjxrZXkgYXBwPSJFTiIgZGItaWQ9ImV4dmFzcmZ4MmR0
cmFvZXNhc3hwMnN6c3hhMmRmNTAyNTkyeCIgdGltZXN0YW1wPSIxNTQxNDYyMjE2Ij43MDk8L2tl
eT48L2ZvcmVpZ24ta2V5cz48cmVmLXR5cGUgbmFtZT0iSm91cm5hbCBBcnRpY2xlIj4xNzwvcmVm
LXR5cGU+PGNvbnRyaWJ1dG9ycz48YXV0aG9ycz48YXV0aG9yPkFsdGh1aXplbiwgRS48L2F1dGhv
cj48YXV0aG9yPnZhbiBkZXIgV2lqZGVuLCBDLiBMLjwvYXV0aG9yPjxhdXRob3I+dmFuIE1lY2hl
bGVuLCBXLjwvYXV0aG9yPjxhdXRob3I+U2VpZGVsbCwgSi4gQy48L2F1dGhvcj48YXV0aG9yPnZh
biBQb3BwZWwsIE0uIE4uPC9hdXRob3I+PC9hdXRob3JzPjwvY29udHJpYnV0b3JzPjxhdXRoLWFk
ZHJlc3M+RGVwYXJ0bWVudCBvZiBQdWJsaWMgYW5kIE9jY3VwYXRpb25hbCBIZWFsdGggYW5kIHRo
ZSBFTUdPIEluc3RpdHV0ZSBmb3IgSGVhbHRoIGFuZCBDYXJlIFJlc2VhcmNoLCBWVSBVbml2ZXJz
aXR5IE1lZGljYWwgQ2VudHJlLCBBbXN0ZXJkYW0sIFRoZSBOZXRoZXJsYW5kcy48L2F1dGgtYWRk
cmVzcz48dGl0bGVzPjx0aXRsZT5UaGUgZWZmZWN0IG9mIGEgY291bnNlbGxpbmcgaW50ZXJ2ZW50
aW9uIG9uIHdlaWdodCBjaGFuZ2VzIGR1cmluZyBhbmQgYWZ0ZXIgcHJlZ25hbmN5OiBhIHJhbmRv
bWlzZWQgdHJpYWw8L3RpdGxlPjxzZWNvbmRhcnktdGl0bGU+QkpPRzwvc2Vjb25kYXJ5LXRpdGxl
PjwvdGl0bGVzPjxwZXJpb2RpY2FsPjxmdWxsLXRpdGxlPkJKT0c8L2Z1bGwtdGl0bGU+PC9wZXJp
b2RpY2FsPjxwYWdlcz45Mi05PC9wYWdlcz48dm9sdW1lPjEyMDwvdm9sdW1lPjxudW1iZXI+MTwv
bnVtYmVyPjxlZGl0aW9uPjIwMTIvMTEvMDY8L2VkaXRpb24+PGtleXdvcmRzPjxrZXl3b3JkPkFk
dWx0PC9rZXl3b3JkPjxrZXl3b3JkPkJpcnRoIFdlaWdodDwva2V5d29yZD48a2V5d29yZD5Cb2R5
IE1hc3MgSW5kZXg8L2tleXdvcmQ+PGtleXdvcmQ+Q291bnNlbGluZy8qbWV0aG9kczwva2V5d29y
ZD48a2V5d29yZD5GZW1hbGU8L2tleXdvcmQ+PGtleXdvcmQ+SHVtYW5zPC9rZXl3b3JkPjxrZXl3
b3JkPk5ldGhlcmxhbmRzPC9rZXl3b3JkPjxrZXl3b3JkPk92ZXJ3ZWlnaHQvKnByZXZlbnRpb24g
JmFtcDsgY29udHJvbDwva2V5d29yZD48a2V5d29yZD5QYXRpZW50IENvbXBsaWFuY2U8L2tleXdv
cmQ+PGtleXdvcmQ+UHJlZ25hbmN5PC9rZXl3b3JkPjxrZXl3b3JkPlByZWduYW5jeSBDb21wbGlj
YXRpb25zLypwcmV2ZW50aW9uICZhbXA7IGNvbnRyb2w8L2tleXdvcmQ+PGtleXdvcmQ+UHJlZ25h
bmN5IE91dGNvbWU8L2tleXdvcmQ+PGtleXdvcmQ+UHJlbmF0YWwgQ2FyZS8qbWV0aG9kczwva2V5
d29yZD48a2V5d29yZD5XZWlnaHQgR2Fpbjwva2V5d29yZD48L2tleXdvcmRzPjxkYXRlcz48eWVh
cj4yMDEzPC95ZWFyPjxwdWItZGF0ZXM+PGRhdGU+SmFuPC9kYXRlPjwvcHViLWRhdGVzPjwvZGF0
ZXM+PGlzYm4+MTQ3MS0wNTI4IChFbGVjdHJvbmljKSYjeEQ7MTQ3MC0wMzI4IChMaW5raW5nKTwv
aXNibj48YWNjZXNzaW9uLW51bT4yMzEyMTA3NDwvYWNjZXNzaW9uLW51bT48dXJscz48cmVsYXRl
ZC11cmxzPjx1cmw+aHR0cHM6Ly93d3cubmNiaS5ubG0ubmloLmdvdi9wdWJtZWQvMjMxMjEwNzQ8
L3VybD48L3JlbGF0ZWQtdXJscz48L3VybHM+PGVsZWN0cm9uaWMtcmVzb3VyY2UtbnVtPjEwLjEx
MTEvMTQ3MS0wNTI4LjEyMDE0PC9lbGVjdHJvbmljLXJlc291cmNlLW51bT48L3JlY29yZD48L0Np
dGU+PENpdGU+PEF1dGhvcj5XaWxsY294PC9BdXRob3I+PFllYXI+MjAxNzwvWWVhcj48UmVjTnVt
Pjk2NTwvUmVjTnVtPjxyZWNvcmQ+PHJlYy1udW1iZXI+OTY1PC9yZWMtbnVtYmVyPjxmb3JlaWdu
LWtleXM+PGtleSBhcHA9IkVOIiBkYi1pZD0iZXh2YXNyZngyZHRyYW9lc2FzeHAyc3pzeGEyZGY1
MDI1OTJ4IiB0aW1lc3RhbXA9IjE1NTI5NTAwNzkiPjk2NTwva2V5PjxrZXkgYXBwPSJFTldlYiIg
ZGItaWQ9IiI+MDwva2V5PjwvZm9yZWlnbi1rZXlzPjxyZWYtdHlwZSBuYW1lPSJKb3VybmFsIEFy
dGljbGUiPjE3PC9yZWYtdHlwZT48Y29udHJpYnV0b3JzPjxhdXRob3JzPjxhdXRob3I+V2lsbGNv
eCwgSi5DLiw8L2F1dGhvcj48YXV0aG9yPldpbGtpbnNvbiwgUy5BLiw8L2F1dGhvcj48YXV0aG9y
PkxhcHBhcywgTS4sPC9hdXRob3I+PGF1dGhvcj5CYWxsLCBLLiw8L2F1dGhvcj48YXV0aG9yPkNy
YXdmb3JkLCBELiw8L2F1dGhvcj48YXV0aG9yPk1jQ2FydGh5LCBFLkEuLDwvYXV0aG9yPjxhdXRo
b3I+RmplbGRzb2UsIEIuLDwvYXV0aG9yPjwvYXV0aG9ycz48L2NvbnRyaWJ1dG9ycz48YXV0aC1h
ZGRyZXNzPkRlcGFydG1lbnRzIG9mIE1lZGljaW5lLCBQdWJsaWMgSGVhbHRoLCBhbmQgT2IvR3lu
LCBUZW1wbGUgVW5pdmVyc2l0eSwgUGhpbGFkZWxwaGlhLCBQQSwgVVNBLjwvYXV0aC1hZGRyZXNz
Pjx0aXRsZXM+PHRpdGxlPkEgbW9iaWxlIGhlYWx0aCBpbnRlcnZlbnRpb24gcHJvbW90aW5nIGhl
YWx0aHkgZ2VzdGF0aW9uYWwgd2VpZ2h0IGdhaW4gZm9yIHdvbWVuIGVudGVyaW5nIHByZWduYW5j
eSBhdCBhIGhpZ2ggYm9keSBtYXNzIGluZGV4OiB0aGUgdHh0NHR3byBwaWxvdCByYW5kb21pc2Vk
IGNvbnRyb2xsZWQgdHJpYWw8L3RpdGxlPjxzZWNvbmRhcnktdGl0bGU+QkpPRzwvc2Vjb25kYXJ5
LXRpdGxlPjwvdGl0bGVzPjxwZXJpb2RpY2FsPjxmdWxsLXRpdGxlPkJKT0c8L2Z1bGwtdGl0bGU+
PC9wZXJpb2RpY2FsPjxwYWdlcz4xNzE4LTI4PC9wYWdlcz48dm9sdW1lPjEyNDwvdm9sdW1lPjxu
dW1iZXI+MTE8L251bWJlcj48ZWRpdGlvbj4yMDE3LzA0LzIwPC9lZGl0aW9uPjxkYXRlcz48eWVh
cj4yMDE3PC95ZWFyPjxwdWItZGF0ZXM+PGRhdGU+T2N0PC9kYXRlPjwvcHViLWRhdGVzPjwvZGF0
ZXM+PGlzYm4+MTQ3MS0wNTI4IChFbGVjdHJvbmljKSYjeEQ7MTQ3MC0wMzI4IChMaW5raW5nKTwv
aXNibj48YWNjZXNzaW9uLW51bT4yODQyMjM5ODwvYWNjZXNzaW9uLW51bT48dXJscz48cmVsYXRl
ZC11cmxzPjx1cmw+aHR0cHM6Ly93d3cubmNiaS5ubG0ubmloLmdvdi9wdWJtZWQvMjg0MjIzOTg8
L3VybD48L3JlbGF0ZWQtdXJscz48L3VybHM+PGVsZWN0cm9uaWMtcmVzb3VyY2UtbnVtPjEwLjEx
MTEvMTQ3MS0wNTI4LjE0NjkzPC9lbGVjdHJvbmljLXJlc291cmNlLW51bT48L3JlY29yZD48L0Np
dGU+PENpdGU+PEF1dGhvcj5SYXVoPC9BdXRob3I+PFllYXI+MjAxMzwvWWVhcj48UmVjTnVtPjEx
MDk8L1JlY051bT48cmVjb3JkPjxyZWMtbnVtYmVyPjExMDk8L3JlYy1udW1iZXI+PGZvcmVpZ24t
a2V5cz48a2V5IGFwcD0iRU4iIGRiLWlkPSJleHZhc3JmeDJkdHJhb2VzYXN4cDJzenN4YTJkZjUw
MjU5MngiIHRpbWVzdGFtcD0iMTU1Mjk0ODQ4NSI+MTEwOTwva2V5PjwvZm9yZWlnbi1rZXlzPjxy
ZWYtdHlwZSBuYW1lPSJKb3VybmFsIEFydGljbGUiPjE3PC9yZWYtdHlwZT48Y29udHJpYnV0b3Jz
PjxhdXRob3JzPjxhdXRob3I+UmF1aCwgSy48L2F1dGhvcj48YXV0aG9yPkdhYnJpZWwsIEUuPC9h
dXRob3I+PGF1dGhvcj5LZXJzY2hiYXVtLCBFLjwvYXV0aG9yPjxhdXRob3I+U2NodXN0ZXIsIFQu
PC9hdXRob3I+PGF1dGhvcj52b24gS3JpZXMsIFIuPC9hdXRob3I+PGF1dGhvcj5BbWFubi1HYXNz
bmVyLCBVLjwvYXV0aG9yPjxhdXRob3I+SGF1bmVyLCBILjwvYXV0aG9yPjwvYXV0aG9ycz48L2Nv
bnRyaWJ1dG9ycz48dGl0bGVzPjx0aXRsZT5TYWZldHkgYW5kIGVmZmljYWN5IG9mIGEgbGlmZXN0
eWxlIGludGVydmVudGlvbiBmb3IgcHJlZ25hbnQgd29tZW4gdG8gcHJldmVudCBleGNlc3NpdmUg
bWF0ZXJuYWwgd2VpZ2h0IGdhaW46IGEgY2x1c3Rlci1yYW5kb21pemVkIGNvbnRyb2xsZWQgdHJp
YWw8L3RpdGxlPjxzZWNvbmRhcnktdGl0bGU+Qk1DIFByZWduYW5jeSBDaGlsZGJpcnRoPC9zZWNv
bmRhcnktdGl0bGU+PC90aXRsZXM+PHBlcmlvZGljYWw+PGZ1bGwtdGl0bGU+Qk1DIFByZWduYW5j
eSBDaGlsZGJpcnRoPC9mdWxsLXRpdGxlPjwvcGVyaW9kaWNhbD48cGFnZXM+MTUxPC9wYWdlcz48
dm9sdW1lPjEzPC92b2x1bWU+PGVkaXRpb24+MjAxMy8wNy8yMDwvZWRpdGlvbj48a2V5d29yZHM+
PGtleXdvcmQ+QWR1bHQ8L2tleXdvcmQ+PGtleXdvcmQ+KkJpcnRoIFdlaWdodDwva2V5d29yZD48
a2V5d29yZD5Db3Vuc2VsaW5nLyptZXRob2RzPC9rZXl3b3JkPjxrZXl3b3JkPipFbmVyZ3kgSW50
YWtlPC9rZXl3b3JkPjxrZXl3b3JkPkZlYXNpYmlsaXR5IFN0dWRpZXM8L2tleXdvcmQ+PGtleXdv
cmQ+RmVtYWxlPC9rZXl3b3JkPjxrZXl3b3JkPkh1bWFuczwva2V5d29yZD48a2V5d29yZD5JbmZh
bnQsIE5ld2Jvcm48L2tleXdvcmQ+PGtleXdvcmQ+Kk1vdG9yIEFjdGl2aXR5PC9rZXl3b3JkPjxr
ZXl3b3JkPk9iZXNpdHkvKnByZXZlbnRpb24gJmFtcDsgY29udHJvbDwva2V5d29yZD48a2V5d29y
ZD5PdmVyd2VpZ2h0L3ByZXZlbnRpb24gJmFtcDsgY29udHJvbDwva2V5d29yZD48a2V5d29yZD5Q
b3N0cGFydHVtIFBlcmlvZDwva2V5d29yZD48a2V5d29yZD5QcmVnbmFuY3k8L2tleXdvcmQ+PGtl
eXdvcmQ+UHJlZ25hbmN5IENvbXBsaWNhdGlvbnMvKnByZXZlbnRpb24gJmFtcDsgY29udHJvbDwv
a2V5d29yZD48a2V5d29yZD5QcmVnbmFuY3kgT3V0Y29tZTwva2V5d29yZD48a2V5d29yZD4qV2Vp
Z2h0IEdhaW48L2tleXdvcmQ+PC9rZXl3b3Jkcz48ZGF0ZXM+PHllYXI+MjAxMzwveWVhcj48cHVi
LWRhdGVzPjxkYXRlPkp1bCAxNjwvZGF0ZT48L3B1Yi1kYXRlcz48L2RhdGVzPjxpc2JuPjE0NzEt
MjM5MyAoRWxlY3Ryb25pYykmI3hEOzE0NzEtMjM5MyAoTGlua2luZyk8L2lzYm4+PGFjY2Vzc2lv
bi1udW0+MjM4NjU2MjQ8L2FjY2Vzc2lvbi1udW0+PHVybHM+PHJlbGF0ZWQtdXJscz48dXJsPmh0
dHBzOi8vd3d3Lm5jYmkubmxtLm5paC5nb3YvcHVibWVkLzIzODY1NjI0PC91cmw+PC9yZWxhdGVk
LXVybHM+PC91cmxzPjxjdXN0b20yPlBNQzM3MTg3MDc8L2N1c3RvbTI+PGVsZWN0cm9uaWMtcmVz
b3VyY2UtbnVtPjEwLjExODYvMTQ3MS0yMzkzLTEzLTE1MTwvZWxlY3Ryb25pYy1yZXNvdXJjZS1u
dW0+PC9yZWNvcmQ+PC9DaXRlPjxDaXRlPjxBdXRob3I+U2FnZWRhbDwvQXV0aG9yPjxZZWFyPjIw
MTc8L1llYXI+PFJlY051bT45Mzk8L1JlY051bT48cmVjb3JkPjxyZWMtbnVtYmVyPjkzOTwvcmVj
LW51bWJlcj48Zm9yZWlnbi1rZXlzPjxrZXkgYXBwPSJFTiIgZGItaWQ9ImV4dmFzcmZ4MmR0cmFv
ZXNhc3hwMnN6c3hhMmRmNTAyNTkyeCIgdGltZXN0YW1wPSIxNTQxNTQxODIyIj45Mzk8L2tleT48
a2V5IGFwcD0iRU5XZWIiIGRiLWlkPSIiPjA8L2tleT48L2ZvcmVpZ24ta2V5cz48cmVmLXR5cGUg
bmFtZT0iSm91cm5hbCBBcnRpY2xlIj4xNzwvcmVmLXR5cGU+PGNvbnRyaWJ1dG9ycz48YXV0aG9y
cz48YXV0aG9yPlNhZ2VkYWwsIEwuIFIuPC9hdXRob3I+PGF1dGhvcj5WaXN0YWQsIEkuPC9hdXRo
b3I+PGF1dGhvcj5PdmVyYnksIE4uIEMuPC9hdXRob3I+PGF1dGhvcj5CZXJlLCBFLjwvYXV0aG9y
PjxhdXRob3I+VG9yc3R2ZWl0LCBNLiBLLjwvYXV0aG9yPjxhdXRob3I+TG9obmUtU2VpbGVyLCBI
LjwvYXV0aG9yPjxhdXRob3I+SGlsbGVzdW5kLCBFLiBSLjwvYXV0aG9yPjxhdXRob3I+UHJpcHAs
IEEuPC9hdXRob3I+PGF1dGhvcj5IZW5yaWtzZW4sIFQuPC9hdXRob3I+PC9hdXRob3JzPjwvY29u
dHJpYnV0b3JzPjxhdXRoLWFkZHJlc3M+RGVwYXJ0bWVudCBvZiBPYnN0ZXRyaWNzIGFuZCBHeW5l
Y29sb2d5L0RlcGFydG1lbnQgb2YgUmVzZWFyY2gsIFNvcmxhbmRldCBIb3NwaXRhbCwgUG9zdGJv
eCA0MTYsIDQ2MDQsIEtyaXN0aWFuc2FuZCwgTm9yd2F5LiBsaW5kYS5zYWdlZGFsQHNzaGYubm8u
JiN4RDtEZXBhcnRtZW50IG9mIE9ic3RldHJpY3MgYW5kIEd5bmVjb2xvZ3kvRGVwYXJ0bWVudCBv
ZiBSZXNlYXJjaCwgU29ybGFuZGV0IEhvc3BpdGFsLCBQb3N0Ym94IDQxNiwgNDYwNCwgS3Jpc3Rp
YW5zYW5kLCBOb3J3YXkuJiN4RDtEZXBhcnRtZW50IG9mIFB1YmxpYyBIZWFsdGgsIFNwb3J0cyBh
bmQgTnV0cml0aW9uLCBVbml2ZXJzaXR5IG9mIEFnZGVyLCBQb3N0Ym94IDQyMiwgNDYwNCwgS3Jp
c3RpYW5zYW5kLCBOb3J3YXkuJiN4RDtEZXBhcnRtZW50IG9mIEJpb3N0YXRpc3RpY3MgYW5kIEVw
aWRlbWlvbG9neSwgT3NsbyBVbml2ZXJzaXR5IEhvc3BpdGFsLCBQb3N0Ym94IDQ5NTAsIE55ZGFs
ZW4sIDA0MjQsIE9zbG8sIE5vcndheS4mI3hEO1NlY3Rpb24gb2YgT2JzdGV0cmljcywgV29tZW4g
YW5kIENoaWxkcmVuJmFwb3M7cyBEaXZpc2lvbiwgT3NsbyBVbml2ZXJzaXR5IEhvc3BpdGFsIGFu
ZCBVbml2ZXJzaXR5IG9mIE9zbG8sIFBvc3Rib3ggNDk1MCwgTnlkYWxlbiwgMDQyNCwgT3Nsbywg
Tm9yd2F5LjwvYXV0aC1hZGRyZXNzPjx0aXRsZXM+PHRpdGxlPlRoZSBlZmZlY3Qgb2YgYSBwcmVu
YXRhbCBsaWZlc3R5bGUgaW50ZXJ2ZW50aW9uIG9uIGdsdWNvc2UgbWV0YWJvbGlzbTogcmVzdWx0
cyBvZiB0aGUgTm9yd2VnaWFuIEZpdCBmb3IgRGVsaXZlcnkgcmFuZG9taXplZCBjb250cm9sbGVk
IHRyaWFsPC90aXRsZT48c2Vjb25kYXJ5LXRpdGxlPkJNQyBQcmVnbmFuY3kgQ2hpbGRiaXJ0aDwv
c2Vjb25kYXJ5LXRpdGxlPjwvdGl0bGVzPjxwZXJpb2RpY2FsPjxmdWxsLXRpdGxlPkJNQyBQcmVn
bmFuY3kgQ2hpbGRiaXJ0aDwvZnVsbC10aXRsZT48L3BlcmlvZGljYWw+PHBhZ2VzPjE2NzwvcGFn
ZXM+PHZvbHVtZT4xNzwvdm9sdW1lPjxudW1iZXI+MTwvbnVtYmVyPjxlZGl0aW9uPjIwMTcvMDYv
MDU8L2VkaXRpb24+PGtleXdvcmRzPjxrZXl3b3JkPkFkdWx0PC9rZXl3b3JkPjxrZXl3b3JkPkJv
ZHkgTWFzcyBJbmRleDwva2V5d29yZD48a2V5d29yZD5EaWFiZXRlcywgR2VzdGF0aW9uYWwvcHJl
dmVudGlvbiAmYW1wOyBjb250cm9sPC9rZXl3b3JkPjxrZXl3b3JkPkZlbWFsZTwva2V5d29yZD48
a2V5d29yZD5IZWFsdGggUHJvbW90aW9uLyptZXRob2RzPC9rZXl3b3JkPjxrZXl3b3JkPkh1bWFu
czwva2V5d29yZD48a2V5d29yZD4qSW5zdWxpbiBSZXNpc3RhbmNlPC9rZXl3b3JkPjxrZXl3b3Jk
Pk5vcndheTwva2V5d29yZD48a2V5d29yZD5PYmVzaXR5L21ldGFib2xpc20vKnByZXZlbnRpb24g
JmFtcDsgY29udHJvbDwva2V5d29yZD48a2V5d29yZD5QcmVnbmFuY3k8L2tleXdvcmQ+PGtleXdv
cmQ+UHJlZ25hbmN5IENvbXBsaWNhdGlvbnMvbWV0YWJvbGlzbS8qcHJldmVudGlvbiAmYW1wOyBj
b250cm9sPC9rZXl3b3JkPjxrZXl3b3JkPlByZW5hdGFsIENhcmUvKm1ldGhvZHM8L2tleXdvcmQ+
PGtleXdvcmQ+WW91bmcgQWR1bHQ8L2tleXdvcmQ+PGtleXdvcmQ+R2VzdGF0aW9uYWwgZGlhYmV0
ZXM8L2tleXdvcmQ+PGtleXdvcmQ+SW50ZXJ2ZW50aW9uPC9rZXl3b3JkPjxrZXl3b3JkPkxpZmVz
dHlsZTwva2V5d29yZD48a2V5d29yZD5PYmVzaXR5PC9rZXl3b3JkPjxrZXl3b3JkPk92ZXJ3ZWln
aHQ8L2tleXdvcmQ+PC9rZXl3b3Jkcz48ZGF0ZXM+PHllYXI+MjAxNzwveWVhcj48cHViLWRhdGVz
PjxkYXRlPkp1biAyPC9kYXRlPjwvcHViLWRhdGVzPjwvZGF0ZXM+PGlzYm4+MTQ3MS0yMzkzIChF
bGVjdHJvbmljKSYjeEQ7MTQ3MS0yMzkzIChMaW5raW5nKTwvaXNibj48YWNjZXNzaW9uLW51bT4y
ODU3NzU0NTwvYWNjZXNzaW9uLW51bT48dXJscz48cmVsYXRlZC11cmxzPjx1cmw+aHR0cHM6Ly93
d3cubmNiaS5ubG0ubmloLmdvdi9wdWJtZWQvMjg1Nzc1NDU8L3VybD48L3JlbGF0ZWQtdXJscz48
L3VybHM+PGN1c3RvbTI+UE1DNTQ1NzU0MzwvY3VzdG9tMj48ZWxlY3Ryb25pYy1yZXNvdXJjZS1u
dW0+MTAuMTE4Ni9zMTI4ODQtMDE3LTEzNDAtNjwvZWxlY3Ryb25pYy1yZXNvdXJjZS1udW0+PC9y
ZWNvcmQ+PC9DaXRlPjxDaXRlPjxBdXRob3I+UG9zdG9uPC9BdXRob3I+PFllYXI+MjAxMzwvWWVh
cj48UmVjTnVtPjExMDU8L1JlY051bT48cmVjb3JkPjxyZWMtbnVtYmVyPjExMDU8L3JlYy1udW1i
ZXI+PGZvcmVpZ24ta2V5cz48a2V5IGFwcD0iRU4iIGRiLWlkPSJleHZhc3JmeDJkdHJhb2VzYXN4
cDJzenN4YTJkZjUwMjU5MngiIHRpbWVzdGFtcD0iMTU1Mjk0ODI3NSI+MTEwNTwva2V5PjwvZm9y
ZWlnbi1rZXlzPjxyZWYtdHlwZSBuYW1lPSJKb3VybmFsIEFydGljbGUiPjE3PC9yZWYtdHlwZT48
Y29udHJpYnV0b3JzPjxhdXRob3JzPjxhdXRob3I+UG9zdG9uLCBMLjwvYXV0aG9yPjxhdXRob3I+
QnJpbGV5LCBBLiBMLjwvYXV0aG9yPjxhdXRob3I+QmFyciwgUy48L2F1dGhvcj48YXV0aG9yPkJl
bGwsIFIuPC9hdXRob3I+PGF1dGhvcj5Dcm9rZXIsIEguPC9hdXRob3I+PGF1dGhvcj5Db3hvbiwg
Sy48L2F1dGhvcj48YXV0aG9yPkVzc2V4LCBILiBOLjwvYXV0aG9yPjxhdXRob3I+SHVudCwgQy48
L2F1dGhvcj48YXV0aG9yPkhheWVzLCBMLjwvYXV0aG9yPjxhdXRob3I+SG93YXJkLCBMLiBNLjwv
YXV0aG9yPjxhdXRob3I+S2hhemFlemFkZWgsIE4uPC9hdXRob3I+PGF1dGhvcj5LaW5udW5lbiwg
VC48L2F1dGhvcj48YXV0aG9yPk5lbHNvbiwgUy4gTS48L2F1dGhvcj48YXV0aG9yPk90ZW5nLU50
aW0sIEUuPC9hdXRob3I+PGF1dGhvcj5Sb2Jzb24sIFMuIEMuPC9hdXRob3I+PGF1dGhvcj5TYXR0
YXIsIE4uPC9hdXRob3I+PGF1dGhvcj5TZWVkLCBQLiBULjwvYXV0aG9yPjxhdXRob3I+V2FyZGxl
LCBKLjwvYXV0aG9yPjxhdXRob3I+U2FuZGVycywgVC4gQS48L2F1dGhvcj48YXV0aG9yPlNhbmRh
bGwsIEouPC9hdXRob3I+PC9hdXRob3JzPjwvY29udHJpYnV0b3JzPjx0aXRsZXM+PHRpdGxlPkRl
dmVsb3BpbmcgYSBjb21wbGV4IGludGVydmVudGlvbiBmb3IgZGlldCBhbmQgYWN0aXZpdHkgYmVo
YXZpb3VyIGNoYW5nZSBpbiBvYmVzZSBwcmVnbmFudCB3b21lbiAodGhlIFVQQkVBVCB0cmlhbCk7
IGFzc2Vzc21lbnQgb2YgYmVoYXZpb3VyYWwgY2hhbmdlIGFuZCBwcm9jZXNzIGV2YWx1YXRpb24g
aW4gYSBwaWxvdCByYW5kb21pc2VkIGNvbnRyb2xsZWQgdHJpYWw8L3RpdGxlPjxzZWNvbmRhcnkt
dGl0bGU+Qk1DIFByZWduYW5jeSBDaGlsZGJpcnRoPC9zZWNvbmRhcnktdGl0bGU+PC90aXRsZXM+
PHBlcmlvZGljYWw+PGZ1bGwtdGl0bGU+Qk1DIFByZWduYW5jeSBDaGlsZGJpcnRoPC9mdWxsLXRp
dGxlPjwvcGVyaW9kaWNhbD48cGFnZXM+MTQ4PC9wYWdlcz48dm9sdW1lPjEzPC92b2x1bWU+PGVk
aXRpb24+MjAxMy8wNy8xNzwvZWRpdGlvbj48a2V5d29yZHM+PGtleXdvcmQ+QWNjZWxlcm9tZXRy
eTwva2V5d29yZD48a2V5d29yZD5BZG9sZXNjZW50PC9rZXl3b3JkPjxrZXl3b3JkPkFkdWx0PC9r
ZXl3b3JkPjxrZXl3b3JkPkJlaGF2aW9yIFRoZXJhcHkvKm1ldGhvZHM8L2tleXdvcmQ+PGtleXdv
cmQ+Qm9keSBNYXNzIEluZGV4PC9rZXl3b3JkPjxrZXl3b3JkPkRpYWJldGVzLCBHZXN0YXRpb25h
bC8qcHJldmVudGlvbiAmYW1wOyBjb250cm9sPC9rZXl3b3JkPjxrZXl3b3JkPkRpZXQgVGhlcmFw
eS8qbWV0aG9kczwva2V5d29yZD48a2V5d29yZD5FeGVyY2lzZSBUaGVyYXB5LyptZXRob2RzPC9r
ZXl3b3JkPjxrZXl3b3JkPkZlYXNpYmlsaXR5IFN0dWRpZXM8L2tleXdvcmQ+PGtleXdvcmQ+RmVt
YWxlPC9rZXl3b3JkPjxrZXl3b3JkPkh1bWFuczwva2V5d29yZD48a2V5d29yZD4qTW90b3IgQWN0
aXZpdHk8L2tleXdvcmQ+PGtleXdvcmQ+T2Jlc2l0eS8qdGhlcmFweTwva2V5d29yZD48a2V5d29y
ZD5QaWxvdCBQcm9qZWN0czwva2V5d29yZD48a2V5d29yZD5QcmVnbmFuY3k8L2tleXdvcmQ+PGtl
eXdvcmQ+UHJlZ25hbmN5IENvbXBsaWNhdGlvbnMvKnRoZXJhcHk8L2tleXdvcmQ+PGtleXdvcmQ+
UHJlbmF0YWwgQ2FyZS9tZXRob2RzPC9rZXl3b3JkPjxrZXl3b3JkPllvdW5nIEFkdWx0PC9rZXl3
b3JkPjwva2V5d29yZHM+PGRhdGVzPjx5ZWFyPjIwMTM8L3llYXI+PHB1Yi1kYXRlcz48ZGF0ZT5K
dWwgMTU8L2RhdGU+PC9wdWItZGF0ZXM+PC9kYXRlcz48aXNibj4xNDcxLTIzOTMgKEVsZWN0cm9u
aWMpJiN4RDsxNDcxLTIzOTMgKExpbmtpbmcpPC9pc2JuPjxhY2Nlc3Npb24tbnVtPjIzODU1NzA4
PC9hY2Nlc3Npb24tbnVtPjx1cmxzPjxyZWxhdGVkLXVybHM+PHVybD5odHRwczovL3d3dy5uY2Jp
Lm5sbS5uaWguZ292L3B1Ym1lZC8yMzg1NTcwODwvdXJsPjwvcmVsYXRlZC11cmxzPjwvdXJscz48
Y3VzdG9tMj5QTUMzNzE4NjMwPC9jdXN0b20yPjxlbGVjdHJvbmljLXJlc291cmNlLW51bT4xMC4x
MTg2LzE0NzEtMjM5My0xMy0xNDg8L2VsZWN0cm9uaWMtcmVzb3VyY2UtbnVtPjwvcmVjb3JkPjwv
Q2l0ZT48Q2l0ZT48QXV0aG9yPlBvc3RvbjwvQXV0aG9yPjxZZWFyPjIwMTU8L1llYXI+PFJlY051
bT42MTI8L1JlY051bT48cmVjb3JkPjxyZWMtbnVtYmVyPjYxMjwvcmVjLW51bWJlcj48Zm9yZWln
bi1rZXlzPjxrZXkgYXBwPSJFTiIgZGItaWQ9ImV4dmFzcmZ4MmR0cmFvZXNhc3hwMnN6c3hhMmRm
NTAyNTkyeCIgdGltZXN0YW1wPSIxNTM5MDQ4MzQ4Ij42MTI8L2tleT48a2V5IGFwcD0iRU5XZWIi
IGRiLWlkPSIiPjA8L2tleT48L2ZvcmVpZ24ta2V5cz48cmVmLXR5cGUgbmFtZT0iSm91cm5hbCBB
cnRpY2xlIj4xNzwvcmVmLXR5cGU+PGNvbnRyaWJ1dG9ycz48YXV0aG9ycz48YXV0aG9yPlBvc3Rv
biwgTC4sPC9hdXRob3I+PGF1dGhvcj5CZWxsLCBSLiw8L2F1dGhvcj48YXV0aG9yPkNyb2tlciwg
SC4sPC9hdXRob3I+PGF1dGhvcj5GbHlubiwgQS5DLiw8L2F1dGhvcj48YXV0aG9yPkdvZGZyZXks
IEsuTS4sPC9hdXRob3I+PGF1dGhvcj5Hb2ZmLCBMLiw8L2F1dGhvcj48L2F1dGhvcnM+PC9jb250
cmlidXRvcnM+PHRpdGxlcz48dGl0bGU+RWZmZWN0IG9mIGEgYmVoYXZpb3VyYWwgaW50ZXJ2ZW50
aW9uIGluIG9iZXNlIHByZWduYW50IHdvbWVuICh0aGUgVVBCRUFUIHN0dWR5KTogYSBtdWx0aWNl
bnRyZSwgcmFuZG9taXNlZCBjb250cm9sbGVkIHRyaWFsPC90aXRsZT48c2Vjb25kYXJ5LXRpdGxl
PlRoZSBMYW5jZXQgRGlhYmV0ZXMgJmFtcDsgRW5kb2NyaW5vbG9neTwvc2Vjb25kYXJ5LXRpdGxl
PjwvdGl0bGVzPjxwZXJpb2RpY2FsPjxmdWxsLXRpdGxlPlRoZSBMYW5jZXQgRGlhYmV0ZXMgJmFt
cDsgRW5kb2NyaW5vbG9neTwvZnVsbC10aXRsZT48L3BlcmlvZGljYWw+PHBhZ2VzPjc2Ny03Nzc8
L3BhZ2VzPjx2b2x1bWU+Mzwvdm9sdW1lPjxudW1iZXI+MTA8L251bWJlcj48c2VjdGlvbj43Njc8
L3NlY3Rpb24+PGRhdGVzPjx5ZWFyPjIwMTU8L3llYXI+PC9kYXRlcz48aXNibj4yMjEzODU4Nzwv
aXNibj48dXJscz48L3VybHM+PGVsZWN0cm9uaWMtcmVzb3VyY2UtbnVtPjEwLjEwMTYvczIyMTMt
ODU4NygxNSkwMDIyNy0yPC9lbGVjdHJvbmljLXJlc291cmNlLW51bT48L3JlY29yZD48L0NpdGU+
PENpdGU+PEF1dGhvcj5Lb2l2dXNhbG88L0F1dGhvcj48WWVhcj4yMDE2PC9ZZWFyPjxSZWNOdW0+
NzMzPC9SZWNOdW0+PHJlY29yZD48cmVjLW51bWJlcj43MzM8L3JlYy1udW1iZXI+PGZvcmVpZ24t
a2V5cz48a2V5IGFwcD0iRU4iIGRiLWlkPSJleHZhc3JmeDJkdHJhb2VzYXN4cDJzenN4YTJkZjUw
MjU5MngiIHRpbWVzdGFtcD0iMTU0MTQ2Nzc2NiI+NzMzPC9rZXk+PGtleSBhcHA9IkVOV2ViIiBk
Yi1pZD0iIj4wPC9rZXk+PC9mb3JlaWduLWtleXM+PHJlZi10eXBlIG5hbWU9IkpvdXJuYWwgQXJ0
aWNsZSI+MTc8L3JlZi10eXBlPjxjb250cmlidXRvcnM+PGF1dGhvcnM+PGF1dGhvcj5Lb2l2dXNh
bG8sIFMuQi4sPC9hdXRob3I+PGF1dGhvcj5Sw7Zuw7YsIEsuLDwvYXV0aG9yPjxhdXRob3I+S2xl
bWV0dGksIE0uTS4sPC9hdXRob3I+PGF1dGhvcj5Sb2luZSwgUi5QLiw8L2F1dGhvcj48YXV0aG9y
PkxpbmRzdHLDtm0sIEouLDwvYXV0aG9yPjxhdXRob3I+RXJra29sYSwgTS4sPC9hdXRob3I+PC9h
dXRob3JzPjwvY29udHJpYnV0b3JzPjx0aXRsZXM+PHRpdGxlPkdlc3RhdGlvbmFsIGRpYWJldGVz
IG1lbGxpdHVzIGNhbiBiZSBwcmV2ZW50ZWQgYnkgbGlmZXN0eWxlIGludGVydmVudGlvbjogVGhl
IEZpbm5pc2ggR2VzdGF0aW9uYWwgRGlhYmV0ZXMgUHJldmVudGlvbiBTdHVkeSAoUkFESUVMKTwv
dGl0bGU+PHNlY29uZGFyeS10aXRsZT5EaWFiZXRlcyBDYXJlPC9zZWNvbmRhcnktdGl0bGU+PC90
aXRsZXM+PHBlcmlvZGljYWw+PGZ1bGwtdGl0bGU+RGlhYmV0ZXMgQ2FyZTwvZnVsbC10aXRsZT48
L3BlcmlvZGljYWw+PHBhZ2VzPjI0LTMwPC9wYWdlcz48dm9sdW1lPjM5PC92b2x1bWU+PG51bWJl
cj4xPC9udW1iZXI+PHNlY3Rpb24+MjQ8L3NlY3Rpb24+PGRhdGVzPjx5ZWFyPjIwMTY8L3llYXI+
PC9kYXRlcz48aXNibj4wMTQ5LTU5OTImI3hEOzE5MzUtNTU0ODwvaXNibj48dXJscz48L3VybHM+
PGVsZWN0cm9uaWMtcmVzb3VyY2UtbnVtPjEwLjIzMzcvZGMxNS0wNTExPC9lbGVjdHJvbmljLXJl
c291cmNlLW51bT48L3JlY29yZD48L0NpdGU+PENpdGU+PEF1dGhvcj5WYW4gSG9ybjwvQXV0aG9y
PjxZZWFyPjIwMTg8L1llYXI+PFJlY051bT4xMzc2PC9SZWNOdW0+PHJlY29yZD48cmVjLW51bWJl
cj4xMzc2PC9yZWMtbnVtYmVyPjxmb3JlaWduLWtleXM+PGtleSBhcHA9IkVOIiBkYi1pZD0iZXh2
YXNyZngyZHRyYW9lc2FzeHAyc3pzeGEyZGY1MDI1OTJ4IiB0aW1lc3RhbXA9IjE1NjcwMzU5ODci
PjEzNzY8L2tleT48a2V5IGFwcD0iRU5XZWIiIGRiLWlkPSIiPjA8L2tleT48L2ZvcmVpZ24ta2V5
cz48cmVmLXR5cGUgbmFtZT0iSm91cm5hbCBBcnRpY2xlIj4xNzwvcmVmLXR5cGU+PGNvbnRyaWJ1
dG9ycz48YXV0aG9ycz48YXV0aG9yPlZhbiBIb3JuLCBMLjwvYXV0aG9yPjxhdXRob3I+UGVhY2Vt
YW4sIEEuPC9hdXRob3I+PGF1dGhvcj5Ld2FzbnksIE0uPC9hdXRob3I+PGF1dGhvcj5WaW5jZW50
LCBFLjwvYXV0aG9yPjxhdXRob3I+Rm91Z2h0LCBBLjwvYXV0aG9yPjxhdXRob3I+Sm9zZWZzb24s
IEouPC9hdXRob3I+PGF1dGhvcj5TcHJpbmcsIEIuPC9hdXRob3I+PGF1dGhvcj5OZWZmLCBMLiBN
LjwvYXV0aG9yPjxhdXRob3I+R2VybmhvZmVyLCBOLjwvYXV0aG9yPjwvYXV0aG9ycz48L2NvbnRy
aWJ1dG9ycz48YXV0aC1hZGRyZXNzPkRlcGFydG1lbnQgb2YgUHJldmVudGl2ZSBNZWRpY2luZSwg
Tm9ydGh3ZXN0ZXJuIFVuaXZlcnNpdHkgRmVpbmJlcmcgU2Nob29sIG9mIE1lZGljaW5lLCBDaGlj
YWdvLCBJbGxpbm9pcy4gRWxlY3Ryb25pYyBhZGRyZXNzOiBsdmFuaG9ybkBub3J0aHdlc3Rlcm4u
ZWR1LiYjeEQ7RGVwYXJ0bWVudCBvZiBPYnN0ZXRyaWNzIGFuZCBHeW5lY29sb2d5LCBOb3J0aHdl
c3Rlcm4gVW5pdmVyc2l0eSBGZWluYmVyZyBTY2hvb2wgb2YgTWVkaWNpbmUsIENoaWNhZ28sIEls
bGlub2lzLiYjeEQ7RGVwYXJ0bWVudCBvZiBQcmV2ZW50aXZlIE1lZGljaW5lLCBOb3J0aHdlc3Rl
cm4gVW5pdmVyc2l0eSBGZWluYmVyZyBTY2hvb2wgb2YgTWVkaWNpbmUsIENoaWNhZ28sIElsbGlu
b2lzLiYjeEQ7RGVwYXJ0bWVudCBvZiBQcmV2ZW50aXZlIE1lZGljaW5lLCBOb3J0aHdlc3Rlcm4g
VW5pdmVyc2l0eSBGZWluYmVyZyBTY2hvb2wgb2YgTWVkaWNpbmUsIENoaWNhZ28sIElsbGlub2lz
OyBBbm4gYW5kIFJvYmVydCBILiBMdXJpZSBDaGlsZHJlbiZhcG9zO3MgSG9zcGl0YWwgb2YgQ2hp
Y2FnbywgQ2hpY2FnbywgSWxsaW5vaXMuJiN4RDtEZXBhcnRtZW50IG9mIE1lZGljaW5lLCBOb3J0
aHdlc3Rlcm4gVW5pdmVyc2l0eSBGZWluYmVyZyBTY2hvb2wgb2YgTWVkaWNpbmUsIENoaWNhZ28s
IElsbGlub2lzLjwvYXV0aC1hZGRyZXNzPjx0aXRsZXM+PHRpdGxlPkRpZXRhcnkgQXBwcm9hY2hl
cyB0byBTdG9wIEh5cGVydGVuc2lvbiBEaWV0IGFuZCBBY3Rpdml0eSB0byBMaW1pdCBHZXN0YXRp
b25hbCBXZWlnaHQ6IE1hdGVybmFsIE9mZnNwcmluZyBNZXRhYm9saWNzIEZhbWlseSBJbnRlcnZl
bnRpb24gVHJpYWwsIGEgVGVjaG5vbG9neSBFbmhhbmNlZCBSYW5kb21pemVkIFRyaWFsPC90aXRs
ZT48c2Vjb25kYXJ5LXRpdGxlPkFtIEogUHJldiBNZWQ8L3NlY29uZGFyeS10aXRsZT48L3RpdGxl
cz48cGVyaW9kaWNhbD48ZnVsbC10aXRsZT5BbSBKIFByZXYgTWVkPC9mdWxsLXRpdGxlPjwvcGVy
aW9kaWNhbD48cGFnZXM+NjAzLTYxNDwvcGFnZXM+PHZvbHVtZT41NTwvdm9sdW1lPjxudW1iZXI+
NTwvbnVtYmVyPjxlZGl0aW9uPjIwMTgvMDkvMjk8L2VkaXRpb24+PGRhdGVzPjx5ZWFyPjIwMTg8
L3llYXI+PHB1Yi1kYXRlcz48ZGF0ZT5Ob3Y8L2RhdGU+PC9wdWItZGF0ZXM+PC9kYXRlcz48aXNi
bj4xODczLTI2MDcgKEVsZWN0cm9uaWMpJiN4RDswNzQ5LTM3OTcgKExpbmtpbmcpPC9pc2JuPjxh
Y2Nlc3Npb24tbnVtPjMwMjYyMTQ4PC9hY2Nlc3Npb24tbnVtPjx1cmxzPjxyZWxhdGVkLXVybHM+
PHVybD5odHRwczovL3d3dy5uY2JpLm5sbS5uaWguZ292L3B1Ym1lZC8zMDI2MjE0ODwvdXJsPjwv
cmVsYXRlZC11cmxzPjwvdXJscz48ZWxlY3Ryb25pYy1yZXNvdXJjZS1udW0+MTAuMTAxNi9qLmFt
ZXByZS4yMDE4LjA2LjAxNTwvZWxlY3Ryb25pYy1yZXNvdXJjZS1udW0+PC9yZWNvcmQ+PC9DaXRl
PjxDaXRlPjxBdXRob3I+S2lhbmkgQXNpYWJhcjwvQXV0aG9yPjxZZWFyPjIwMTg8L1llYXI+PFJl
Y051bT4xMzgwPC9SZWNOdW0+PHJlY29yZD48cmVjLW51bWJlcj4xMzgwPC9yZWMtbnVtYmVyPjxm
b3JlaWduLWtleXM+PGtleSBhcHA9IkVOIiBkYi1pZD0iZXh2YXNyZngyZHRyYW9lc2FzeHAyc3pz
eGEyZGY1MDI1OTJ4IiB0aW1lc3RhbXA9IjE1NjcxMjQ1NzEiPjEzODA8L2tleT48a2V5IGFwcD0i
RU5XZWIiIGRiLWlkPSIiPjA8L2tleT48L2ZvcmVpZ24ta2V5cz48cmVmLXR5cGUgbmFtZT0iSm91
cm5hbCBBcnRpY2xlIj4xNzwvcmVmLXR5cGU+PGNvbnRyaWJ1dG9ycz48YXV0aG9ycz48YXV0aG9y
PktpYW5pIEFzaWFiYXIsIEEuPC9hdXRob3I+PGF1dGhvcj5BbWluIFNob2tyYXZpLCBGLjwvYXV0
aG9yPjxhdXRob3I+SGFqaWZhcmFqaSwgTS48L2F1dGhvcj48YXV0aG9yPlpheWVyaSwgRi48L2F1
dGhvcj48L2F1dGhvcnM+PC9jb250cmlidXRvcnM+PGF1dGgtYWRkcmVzcz5EZXBhcnRtZW50IG9m
IEhlYWx0aCBFZHVjYXRpb24gYW5kIEhlYWx0aCBQcm9tb3Rpb24sIEZhY3VsdHkgb2YgTWVkaWNh
bCBTY2llbmNlcywgVGFyYmlhdCBNb2RhcmVzIFVuaXZlcnNpdHksIFRlaHJhbiwgSXJhbi4mI3hE
O0RlcGFydG1lbnQgb2YgTWlkd2lmZXJ5LCBGYWN1bHR5IG9mIE51cnNpbmcgYW5kIE1pZHdpZmVy
eSwgU2hhaGVkIFVuaXZlcnNpdHksIFRlaHJhbiwgSXJhbi4mI3hEO0RlcGFydG1lbnQgb2YgSGVh
bHRoIEVkdWNhdGlvbnMgYW5kIEhlYWx0aCBQcm9tb3Rpb24sIEZhY3VsdHkgb2YgTWVkaWNhbCBT
Y2llbmNlcywgVGFyYmlhdCBNb2RhcmVzIFVuaXZlcnNpdHksIFRlaHJhbiwgSXJhbi4mI3hEO05h
dGlvbmFsIE51dHJpdGlvbiBhbmQgRm9vZCBUZWNobm9sb2d5IFJlc2VhcmNoIEluc3RpdHV0ZSwg
U2Nob29sIG9mIE51dHJpdGlvbiBTY2llbmNlcyBhbmQgRm9vZCBUZWNobm9sb2d5LCBTaGFoaWQg
QmVoZXNodGkgVW5pdmVyc2l0eSBvZiBNZWRpY2FsIFNjaWVuY2VzLCBUZWhyYW4sIElyYW4uJiN4
RDtEZXBhcnRtZW50IG9mIEJpb3N0YXRpc3RpY3MsIEZhY3VsdHkgb2YgUGFyYW1lZGljYWwgU2Np
ZW5jZXMsIFNoYWhpZCBCZWhlc2h0aSBVbml2ZXJzaXR5IG9mIE1lZGljYWwgU2NpZW5jZXMsIFRl
aHJhbiwgSXJhbi48L2F1dGgtYWRkcmVzcz48dGl0bGVzPjx0aXRsZT5UaGUgZWZmZWN0IG9mIGFu
IGVkdWNhdGlvbmFsIGludGVydmVudGlvbiBpbiBlYXJseSBwcmVnbmFuY3kgd2l0aCBzcG91c2Um
YXBvcztzIHBhcnRpY2lwYXRpb24gb24gb3B0aW1hbCBnZXN0YXRpb25hbCB3ZWlnaHQgZ2FpbiBp
biBwcmVnbmFuY3k6IGEgcmFuZG9taXplZCBjb250cm9sbGVkIHRyaWFsPC90aXRsZT48c2Vjb25k
YXJ5LXRpdGxlPkhlYWx0aCBFZHVjIFJlczwvc2Vjb25kYXJ5LXRpdGxlPjwvdGl0bGVzPjxwZXJp
b2RpY2FsPjxmdWxsLXRpdGxlPkhlYWx0aCBFZHVjIFJlczwvZnVsbC10aXRsZT48L3BlcmlvZGlj
YWw+PHBhZ2VzPjUzNS01NDc8L3BhZ2VzPjx2b2x1bWU+MzM8L3ZvbHVtZT48bnVtYmVyPjY8L251
bWJlcj48ZWRpdGlvbj4yMDE4LzExLzMwPC9lZGl0aW9uPjxkYXRlcz48eWVhcj4yMDE4PC95ZWFy
PjxwdWItZGF0ZXM+PGRhdGU+RGVjIDE8L2RhdGU+PC9wdWItZGF0ZXM+PC9kYXRlcz48aXNibj4x
NDY1LTM2NDggKEVsZWN0cm9uaWMpJiN4RDswMjY4LTExNTMgKExpbmtpbmcpPC9pc2JuPjxhY2Nl
c3Npb24tbnVtPjMwNDk2NDA5PC9hY2Nlc3Npb24tbnVtPjx1cmxzPjxyZWxhdGVkLXVybHM+PHVy
bD5odHRwczovL3d3dy5uY2JpLm5sbS5uaWguZ292L3B1Ym1lZC8zMDQ5NjQwOTwvdXJsPjwvcmVs
YXRlZC11cmxzPjwvdXJscz48ZWxlY3Ryb25pYy1yZXNvdXJjZS1udW0+MTAuMTA5My9oZXIvY3l5
MDQwPC9lbGVjdHJvbmljLXJlc291cmNlLW51bT48L3JlY29yZD48L0NpdGU+PC9FbmROb3RlPn==
</w:fldData>
        </w:fldChar>
      </w:r>
      <w:r w:rsidR="002747EA">
        <w:instrText xml:space="preserve"> ADDIN EN.CITE </w:instrText>
      </w:r>
      <w:r w:rsidR="002747EA">
        <w:fldChar w:fldCharType="begin">
          <w:fldData xml:space="preserve">PEVuZE5vdGU+PENpdGU+PEF1dGhvcj5BbHRodWl6ZW48L0F1dGhvcj48WWVhcj4yMDEzPC9ZZWFy
PjxSZWNOdW0+NzA5PC9SZWNOdW0+PERpc3BsYXlUZXh0PjxzdHlsZSBmYWNlPSJzdXBlcnNjcmlw
dCIgZm9udD0iVHJlYnVjaGV0IE1TIiBzaXplPSI5Ij40ODUsNDg3LDQ5Niw0OTgsNTAwLDUwNSw1
MTIsNTEzLDUxOTwvc3R5bGU+PC9EaXNwbGF5VGV4dD48cmVjb3JkPjxyZWMtbnVtYmVyPjcwOTwv
cmVjLW51bWJlcj48Zm9yZWlnbi1rZXlzPjxrZXkgYXBwPSJFTiIgZGItaWQ9ImV4dmFzcmZ4MmR0
cmFvZXNhc3hwMnN6c3hhMmRmNTAyNTkyeCIgdGltZXN0YW1wPSIxNTQxNDYyMjE2Ij43MDk8L2tl
eT48L2ZvcmVpZ24ta2V5cz48cmVmLXR5cGUgbmFtZT0iSm91cm5hbCBBcnRpY2xlIj4xNzwvcmVm
LXR5cGU+PGNvbnRyaWJ1dG9ycz48YXV0aG9ycz48YXV0aG9yPkFsdGh1aXplbiwgRS48L2F1dGhv
cj48YXV0aG9yPnZhbiBkZXIgV2lqZGVuLCBDLiBMLjwvYXV0aG9yPjxhdXRob3I+dmFuIE1lY2hl
bGVuLCBXLjwvYXV0aG9yPjxhdXRob3I+U2VpZGVsbCwgSi4gQy48L2F1dGhvcj48YXV0aG9yPnZh
biBQb3BwZWwsIE0uIE4uPC9hdXRob3I+PC9hdXRob3JzPjwvY29udHJpYnV0b3JzPjxhdXRoLWFk
ZHJlc3M+RGVwYXJ0bWVudCBvZiBQdWJsaWMgYW5kIE9jY3VwYXRpb25hbCBIZWFsdGggYW5kIHRo
ZSBFTUdPIEluc3RpdHV0ZSBmb3IgSGVhbHRoIGFuZCBDYXJlIFJlc2VhcmNoLCBWVSBVbml2ZXJz
aXR5IE1lZGljYWwgQ2VudHJlLCBBbXN0ZXJkYW0sIFRoZSBOZXRoZXJsYW5kcy48L2F1dGgtYWRk
cmVzcz48dGl0bGVzPjx0aXRsZT5UaGUgZWZmZWN0IG9mIGEgY291bnNlbGxpbmcgaW50ZXJ2ZW50
aW9uIG9uIHdlaWdodCBjaGFuZ2VzIGR1cmluZyBhbmQgYWZ0ZXIgcHJlZ25hbmN5OiBhIHJhbmRv
bWlzZWQgdHJpYWw8L3RpdGxlPjxzZWNvbmRhcnktdGl0bGU+QkpPRzwvc2Vjb25kYXJ5LXRpdGxl
PjwvdGl0bGVzPjxwZXJpb2RpY2FsPjxmdWxsLXRpdGxlPkJKT0c8L2Z1bGwtdGl0bGU+PC9wZXJp
b2RpY2FsPjxwYWdlcz45Mi05PC9wYWdlcz48dm9sdW1lPjEyMDwvdm9sdW1lPjxudW1iZXI+MTwv
bnVtYmVyPjxlZGl0aW9uPjIwMTIvMTEvMDY8L2VkaXRpb24+PGtleXdvcmRzPjxrZXl3b3JkPkFk
dWx0PC9rZXl3b3JkPjxrZXl3b3JkPkJpcnRoIFdlaWdodDwva2V5d29yZD48a2V5d29yZD5Cb2R5
IE1hc3MgSW5kZXg8L2tleXdvcmQ+PGtleXdvcmQ+Q291bnNlbGluZy8qbWV0aG9kczwva2V5d29y
ZD48a2V5d29yZD5GZW1hbGU8L2tleXdvcmQ+PGtleXdvcmQ+SHVtYW5zPC9rZXl3b3JkPjxrZXl3
b3JkPk5ldGhlcmxhbmRzPC9rZXl3b3JkPjxrZXl3b3JkPk92ZXJ3ZWlnaHQvKnByZXZlbnRpb24g
JmFtcDsgY29udHJvbDwva2V5d29yZD48a2V5d29yZD5QYXRpZW50IENvbXBsaWFuY2U8L2tleXdv
cmQ+PGtleXdvcmQ+UHJlZ25hbmN5PC9rZXl3b3JkPjxrZXl3b3JkPlByZWduYW5jeSBDb21wbGlj
YXRpb25zLypwcmV2ZW50aW9uICZhbXA7IGNvbnRyb2w8L2tleXdvcmQ+PGtleXdvcmQ+UHJlZ25h
bmN5IE91dGNvbWU8L2tleXdvcmQ+PGtleXdvcmQ+UHJlbmF0YWwgQ2FyZS8qbWV0aG9kczwva2V5
d29yZD48a2V5d29yZD5XZWlnaHQgR2Fpbjwva2V5d29yZD48L2tleXdvcmRzPjxkYXRlcz48eWVh
cj4yMDEzPC95ZWFyPjxwdWItZGF0ZXM+PGRhdGU+SmFuPC9kYXRlPjwvcHViLWRhdGVzPjwvZGF0
ZXM+PGlzYm4+MTQ3MS0wNTI4IChFbGVjdHJvbmljKSYjeEQ7MTQ3MC0wMzI4IChMaW5raW5nKTwv
aXNibj48YWNjZXNzaW9uLW51bT4yMzEyMTA3NDwvYWNjZXNzaW9uLW51bT48dXJscz48cmVsYXRl
ZC11cmxzPjx1cmw+aHR0cHM6Ly93d3cubmNiaS5ubG0ubmloLmdvdi9wdWJtZWQvMjMxMjEwNzQ8
L3VybD48L3JlbGF0ZWQtdXJscz48L3VybHM+PGVsZWN0cm9uaWMtcmVzb3VyY2UtbnVtPjEwLjEx
MTEvMTQ3MS0wNTI4LjEyMDE0PC9lbGVjdHJvbmljLXJlc291cmNlLW51bT48L3JlY29yZD48L0Np
dGU+PENpdGU+PEF1dGhvcj5XaWxsY294PC9BdXRob3I+PFllYXI+MjAxNzwvWWVhcj48UmVjTnVt
Pjk2NTwvUmVjTnVtPjxyZWNvcmQ+PHJlYy1udW1iZXI+OTY1PC9yZWMtbnVtYmVyPjxmb3JlaWdu
LWtleXM+PGtleSBhcHA9IkVOIiBkYi1pZD0iZXh2YXNyZngyZHRyYW9lc2FzeHAyc3pzeGEyZGY1
MDI1OTJ4IiB0aW1lc3RhbXA9IjE1NTI5NTAwNzkiPjk2NTwva2V5PjxrZXkgYXBwPSJFTldlYiIg
ZGItaWQ9IiI+MDwva2V5PjwvZm9yZWlnbi1rZXlzPjxyZWYtdHlwZSBuYW1lPSJKb3VybmFsIEFy
dGljbGUiPjE3PC9yZWYtdHlwZT48Y29udHJpYnV0b3JzPjxhdXRob3JzPjxhdXRob3I+V2lsbGNv
eCwgSi5DLiw8L2F1dGhvcj48YXV0aG9yPldpbGtpbnNvbiwgUy5BLiw8L2F1dGhvcj48YXV0aG9y
PkxhcHBhcywgTS4sPC9hdXRob3I+PGF1dGhvcj5CYWxsLCBLLiw8L2F1dGhvcj48YXV0aG9yPkNy
YXdmb3JkLCBELiw8L2F1dGhvcj48YXV0aG9yPk1jQ2FydGh5LCBFLkEuLDwvYXV0aG9yPjxhdXRo
b3I+RmplbGRzb2UsIEIuLDwvYXV0aG9yPjwvYXV0aG9ycz48L2NvbnRyaWJ1dG9ycz48YXV0aC1h
ZGRyZXNzPkRlcGFydG1lbnRzIG9mIE1lZGljaW5lLCBQdWJsaWMgSGVhbHRoLCBhbmQgT2IvR3lu
LCBUZW1wbGUgVW5pdmVyc2l0eSwgUGhpbGFkZWxwaGlhLCBQQSwgVVNBLjwvYXV0aC1hZGRyZXNz
Pjx0aXRsZXM+PHRpdGxlPkEgbW9iaWxlIGhlYWx0aCBpbnRlcnZlbnRpb24gcHJvbW90aW5nIGhl
YWx0aHkgZ2VzdGF0aW9uYWwgd2VpZ2h0IGdhaW4gZm9yIHdvbWVuIGVudGVyaW5nIHByZWduYW5j
eSBhdCBhIGhpZ2ggYm9keSBtYXNzIGluZGV4OiB0aGUgdHh0NHR3byBwaWxvdCByYW5kb21pc2Vk
IGNvbnRyb2xsZWQgdHJpYWw8L3RpdGxlPjxzZWNvbmRhcnktdGl0bGU+QkpPRzwvc2Vjb25kYXJ5
LXRpdGxlPjwvdGl0bGVzPjxwZXJpb2RpY2FsPjxmdWxsLXRpdGxlPkJKT0c8L2Z1bGwtdGl0bGU+
PC9wZXJpb2RpY2FsPjxwYWdlcz4xNzE4LTI4PC9wYWdlcz48dm9sdW1lPjEyNDwvdm9sdW1lPjxu
dW1iZXI+MTE8L251bWJlcj48ZWRpdGlvbj4yMDE3LzA0LzIwPC9lZGl0aW9uPjxkYXRlcz48eWVh
cj4yMDE3PC95ZWFyPjxwdWItZGF0ZXM+PGRhdGU+T2N0PC9kYXRlPjwvcHViLWRhdGVzPjwvZGF0
ZXM+PGlzYm4+MTQ3MS0wNTI4IChFbGVjdHJvbmljKSYjeEQ7MTQ3MC0wMzI4IChMaW5raW5nKTwv
aXNibj48YWNjZXNzaW9uLW51bT4yODQyMjM5ODwvYWNjZXNzaW9uLW51bT48dXJscz48cmVsYXRl
ZC11cmxzPjx1cmw+aHR0cHM6Ly93d3cubmNiaS5ubG0ubmloLmdvdi9wdWJtZWQvMjg0MjIzOTg8
L3VybD48L3JlbGF0ZWQtdXJscz48L3VybHM+PGVsZWN0cm9uaWMtcmVzb3VyY2UtbnVtPjEwLjEx
MTEvMTQ3MS0wNTI4LjE0NjkzPC9lbGVjdHJvbmljLXJlc291cmNlLW51bT48L3JlY29yZD48L0Np
dGU+PENpdGU+PEF1dGhvcj5SYXVoPC9BdXRob3I+PFllYXI+MjAxMzwvWWVhcj48UmVjTnVtPjEx
MDk8L1JlY051bT48cmVjb3JkPjxyZWMtbnVtYmVyPjExMDk8L3JlYy1udW1iZXI+PGZvcmVpZ24t
a2V5cz48a2V5IGFwcD0iRU4iIGRiLWlkPSJleHZhc3JmeDJkdHJhb2VzYXN4cDJzenN4YTJkZjUw
MjU5MngiIHRpbWVzdGFtcD0iMTU1Mjk0ODQ4NSI+MTEwOTwva2V5PjwvZm9yZWlnbi1rZXlzPjxy
ZWYtdHlwZSBuYW1lPSJKb3VybmFsIEFydGljbGUiPjE3PC9yZWYtdHlwZT48Y29udHJpYnV0b3Jz
PjxhdXRob3JzPjxhdXRob3I+UmF1aCwgSy48L2F1dGhvcj48YXV0aG9yPkdhYnJpZWwsIEUuPC9h
dXRob3I+PGF1dGhvcj5LZXJzY2hiYXVtLCBFLjwvYXV0aG9yPjxhdXRob3I+U2NodXN0ZXIsIFQu
PC9hdXRob3I+PGF1dGhvcj52b24gS3JpZXMsIFIuPC9hdXRob3I+PGF1dGhvcj5BbWFubi1HYXNz
bmVyLCBVLjwvYXV0aG9yPjxhdXRob3I+SGF1bmVyLCBILjwvYXV0aG9yPjwvYXV0aG9ycz48L2Nv
bnRyaWJ1dG9ycz48dGl0bGVzPjx0aXRsZT5TYWZldHkgYW5kIGVmZmljYWN5IG9mIGEgbGlmZXN0
eWxlIGludGVydmVudGlvbiBmb3IgcHJlZ25hbnQgd29tZW4gdG8gcHJldmVudCBleGNlc3NpdmUg
bWF0ZXJuYWwgd2VpZ2h0IGdhaW46IGEgY2x1c3Rlci1yYW5kb21pemVkIGNvbnRyb2xsZWQgdHJp
YWw8L3RpdGxlPjxzZWNvbmRhcnktdGl0bGU+Qk1DIFByZWduYW5jeSBDaGlsZGJpcnRoPC9zZWNv
bmRhcnktdGl0bGU+PC90aXRsZXM+PHBlcmlvZGljYWw+PGZ1bGwtdGl0bGU+Qk1DIFByZWduYW5j
eSBDaGlsZGJpcnRoPC9mdWxsLXRpdGxlPjwvcGVyaW9kaWNhbD48cGFnZXM+MTUxPC9wYWdlcz48
dm9sdW1lPjEzPC92b2x1bWU+PGVkaXRpb24+MjAxMy8wNy8yMDwvZWRpdGlvbj48a2V5d29yZHM+
PGtleXdvcmQ+QWR1bHQ8L2tleXdvcmQ+PGtleXdvcmQ+KkJpcnRoIFdlaWdodDwva2V5d29yZD48
a2V5d29yZD5Db3Vuc2VsaW5nLyptZXRob2RzPC9rZXl3b3JkPjxrZXl3b3JkPipFbmVyZ3kgSW50
YWtlPC9rZXl3b3JkPjxrZXl3b3JkPkZlYXNpYmlsaXR5IFN0dWRpZXM8L2tleXdvcmQ+PGtleXdv
cmQ+RmVtYWxlPC9rZXl3b3JkPjxrZXl3b3JkPkh1bWFuczwva2V5d29yZD48a2V5d29yZD5JbmZh
bnQsIE5ld2Jvcm48L2tleXdvcmQ+PGtleXdvcmQ+Kk1vdG9yIEFjdGl2aXR5PC9rZXl3b3JkPjxr
ZXl3b3JkPk9iZXNpdHkvKnByZXZlbnRpb24gJmFtcDsgY29udHJvbDwva2V5d29yZD48a2V5d29y
ZD5PdmVyd2VpZ2h0L3ByZXZlbnRpb24gJmFtcDsgY29udHJvbDwva2V5d29yZD48a2V5d29yZD5Q
b3N0cGFydHVtIFBlcmlvZDwva2V5d29yZD48a2V5d29yZD5QcmVnbmFuY3k8L2tleXdvcmQ+PGtl
eXdvcmQ+UHJlZ25hbmN5IENvbXBsaWNhdGlvbnMvKnByZXZlbnRpb24gJmFtcDsgY29udHJvbDwv
a2V5d29yZD48a2V5d29yZD5QcmVnbmFuY3kgT3V0Y29tZTwva2V5d29yZD48a2V5d29yZD4qV2Vp
Z2h0IEdhaW48L2tleXdvcmQ+PC9rZXl3b3Jkcz48ZGF0ZXM+PHllYXI+MjAxMzwveWVhcj48cHVi
LWRhdGVzPjxkYXRlPkp1bCAxNjwvZGF0ZT48L3B1Yi1kYXRlcz48L2RhdGVzPjxpc2JuPjE0NzEt
MjM5MyAoRWxlY3Ryb25pYykmI3hEOzE0NzEtMjM5MyAoTGlua2luZyk8L2lzYm4+PGFjY2Vzc2lv
bi1udW0+MjM4NjU2MjQ8L2FjY2Vzc2lvbi1udW0+PHVybHM+PHJlbGF0ZWQtdXJscz48dXJsPmh0
dHBzOi8vd3d3Lm5jYmkubmxtLm5paC5nb3YvcHVibWVkLzIzODY1NjI0PC91cmw+PC9yZWxhdGVk
LXVybHM+PC91cmxzPjxjdXN0b20yPlBNQzM3MTg3MDc8L2N1c3RvbTI+PGVsZWN0cm9uaWMtcmVz
b3VyY2UtbnVtPjEwLjExODYvMTQ3MS0yMzkzLTEzLTE1MTwvZWxlY3Ryb25pYy1yZXNvdXJjZS1u
dW0+PC9yZWNvcmQ+PC9DaXRlPjxDaXRlPjxBdXRob3I+U2FnZWRhbDwvQXV0aG9yPjxZZWFyPjIw
MTc8L1llYXI+PFJlY051bT45Mzk8L1JlY051bT48cmVjb3JkPjxyZWMtbnVtYmVyPjkzOTwvcmVj
LW51bWJlcj48Zm9yZWlnbi1rZXlzPjxrZXkgYXBwPSJFTiIgZGItaWQ9ImV4dmFzcmZ4MmR0cmFv
ZXNhc3hwMnN6c3hhMmRmNTAyNTkyeCIgdGltZXN0YW1wPSIxNTQxNTQxODIyIj45Mzk8L2tleT48
a2V5IGFwcD0iRU5XZWIiIGRiLWlkPSIiPjA8L2tleT48L2ZvcmVpZ24ta2V5cz48cmVmLXR5cGUg
bmFtZT0iSm91cm5hbCBBcnRpY2xlIj4xNzwvcmVmLXR5cGU+PGNvbnRyaWJ1dG9ycz48YXV0aG9y
cz48YXV0aG9yPlNhZ2VkYWwsIEwuIFIuPC9hdXRob3I+PGF1dGhvcj5WaXN0YWQsIEkuPC9hdXRo
b3I+PGF1dGhvcj5PdmVyYnksIE4uIEMuPC9hdXRob3I+PGF1dGhvcj5CZXJlLCBFLjwvYXV0aG9y
PjxhdXRob3I+VG9yc3R2ZWl0LCBNLiBLLjwvYXV0aG9yPjxhdXRob3I+TG9obmUtU2VpbGVyLCBI
LjwvYXV0aG9yPjxhdXRob3I+SGlsbGVzdW5kLCBFLiBSLjwvYXV0aG9yPjxhdXRob3I+UHJpcHAs
IEEuPC9hdXRob3I+PGF1dGhvcj5IZW5yaWtzZW4sIFQuPC9hdXRob3I+PC9hdXRob3JzPjwvY29u
dHJpYnV0b3JzPjxhdXRoLWFkZHJlc3M+RGVwYXJ0bWVudCBvZiBPYnN0ZXRyaWNzIGFuZCBHeW5l
Y29sb2d5L0RlcGFydG1lbnQgb2YgUmVzZWFyY2gsIFNvcmxhbmRldCBIb3NwaXRhbCwgUG9zdGJv
eCA0MTYsIDQ2MDQsIEtyaXN0aWFuc2FuZCwgTm9yd2F5LiBsaW5kYS5zYWdlZGFsQHNzaGYubm8u
JiN4RDtEZXBhcnRtZW50IG9mIE9ic3RldHJpY3MgYW5kIEd5bmVjb2xvZ3kvRGVwYXJ0bWVudCBv
ZiBSZXNlYXJjaCwgU29ybGFuZGV0IEhvc3BpdGFsLCBQb3N0Ym94IDQxNiwgNDYwNCwgS3Jpc3Rp
YW5zYW5kLCBOb3J3YXkuJiN4RDtEZXBhcnRtZW50IG9mIFB1YmxpYyBIZWFsdGgsIFNwb3J0cyBh
bmQgTnV0cml0aW9uLCBVbml2ZXJzaXR5IG9mIEFnZGVyLCBQb3N0Ym94IDQyMiwgNDYwNCwgS3Jp
c3RpYW5zYW5kLCBOb3J3YXkuJiN4RDtEZXBhcnRtZW50IG9mIEJpb3N0YXRpc3RpY3MgYW5kIEVw
aWRlbWlvbG9neSwgT3NsbyBVbml2ZXJzaXR5IEhvc3BpdGFsLCBQb3N0Ym94IDQ5NTAsIE55ZGFs
ZW4sIDA0MjQsIE9zbG8sIE5vcndheS4mI3hEO1NlY3Rpb24gb2YgT2JzdGV0cmljcywgV29tZW4g
YW5kIENoaWxkcmVuJmFwb3M7cyBEaXZpc2lvbiwgT3NsbyBVbml2ZXJzaXR5IEhvc3BpdGFsIGFu
ZCBVbml2ZXJzaXR5IG9mIE9zbG8sIFBvc3Rib3ggNDk1MCwgTnlkYWxlbiwgMDQyNCwgT3Nsbywg
Tm9yd2F5LjwvYXV0aC1hZGRyZXNzPjx0aXRsZXM+PHRpdGxlPlRoZSBlZmZlY3Qgb2YgYSBwcmVu
YXRhbCBsaWZlc3R5bGUgaW50ZXJ2ZW50aW9uIG9uIGdsdWNvc2UgbWV0YWJvbGlzbTogcmVzdWx0
cyBvZiB0aGUgTm9yd2VnaWFuIEZpdCBmb3IgRGVsaXZlcnkgcmFuZG9taXplZCBjb250cm9sbGVk
IHRyaWFsPC90aXRsZT48c2Vjb25kYXJ5LXRpdGxlPkJNQyBQcmVnbmFuY3kgQ2hpbGRiaXJ0aDwv
c2Vjb25kYXJ5LXRpdGxlPjwvdGl0bGVzPjxwZXJpb2RpY2FsPjxmdWxsLXRpdGxlPkJNQyBQcmVn
bmFuY3kgQ2hpbGRiaXJ0aDwvZnVsbC10aXRsZT48L3BlcmlvZGljYWw+PHBhZ2VzPjE2NzwvcGFn
ZXM+PHZvbHVtZT4xNzwvdm9sdW1lPjxudW1iZXI+MTwvbnVtYmVyPjxlZGl0aW9uPjIwMTcvMDYv
MDU8L2VkaXRpb24+PGtleXdvcmRzPjxrZXl3b3JkPkFkdWx0PC9rZXl3b3JkPjxrZXl3b3JkPkJv
ZHkgTWFzcyBJbmRleDwva2V5d29yZD48a2V5d29yZD5EaWFiZXRlcywgR2VzdGF0aW9uYWwvcHJl
dmVudGlvbiAmYW1wOyBjb250cm9sPC9rZXl3b3JkPjxrZXl3b3JkPkZlbWFsZTwva2V5d29yZD48
a2V5d29yZD5IZWFsdGggUHJvbW90aW9uLyptZXRob2RzPC9rZXl3b3JkPjxrZXl3b3JkPkh1bWFu
czwva2V5d29yZD48a2V5d29yZD4qSW5zdWxpbiBSZXNpc3RhbmNlPC9rZXl3b3JkPjxrZXl3b3Jk
Pk5vcndheTwva2V5d29yZD48a2V5d29yZD5PYmVzaXR5L21ldGFib2xpc20vKnByZXZlbnRpb24g
JmFtcDsgY29udHJvbDwva2V5d29yZD48a2V5d29yZD5QcmVnbmFuY3k8L2tleXdvcmQ+PGtleXdv
cmQ+UHJlZ25hbmN5IENvbXBsaWNhdGlvbnMvbWV0YWJvbGlzbS8qcHJldmVudGlvbiAmYW1wOyBj
b250cm9sPC9rZXl3b3JkPjxrZXl3b3JkPlByZW5hdGFsIENhcmUvKm1ldGhvZHM8L2tleXdvcmQ+
PGtleXdvcmQ+WW91bmcgQWR1bHQ8L2tleXdvcmQ+PGtleXdvcmQ+R2VzdGF0aW9uYWwgZGlhYmV0
ZXM8L2tleXdvcmQ+PGtleXdvcmQ+SW50ZXJ2ZW50aW9uPC9rZXl3b3JkPjxrZXl3b3JkPkxpZmVz
dHlsZTwva2V5d29yZD48a2V5d29yZD5PYmVzaXR5PC9rZXl3b3JkPjxrZXl3b3JkPk92ZXJ3ZWln
aHQ8L2tleXdvcmQ+PC9rZXl3b3Jkcz48ZGF0ZXM+PHllYXI+MjAxNzwveWVhcj48cHViLWRhdGVz
PjxkYXRlPkp1biAyPC9kYXRlPjwvcHViLWRhdGVzPjwvZGF0ZXM+PGlzYm4+MTQ3MS0yMzkzIChF
bGVjdHJvbmljKSYjeEQ7MTQ3MS0yMzkzIChMaW5raW5nKTwvaXNibj48YWNjZXNzaW9uLW51bT4y
ODU3NzU0NTwvYWNjZXNzaW9uLW51bT48dXJscz48cmVsYXRlZC11cmxzPjx1cmw+aHR0cHM6Ly93
d3cubmNiaS5ubG0ubmloLmdvdi9wdWJtZWQvMjg1Nzc1NDU8L3VybD48L3JlbGF0ZWQtdXJscz48
L3VybHM+PGN1c3RvbTI+UE1DNTQ1NzU0MzwvY3VzdG9tMj48ZWxlY3Ryb25pYy1yZXNvdXJjZS1u
dW0+MTAuMTE4Ni9zMTI4ODQtMDE3LTEzNDAtNjwvZWxlY3Ryb25pYy1yZXNvdXJjZS1udW0+PC9y
ZWNvcmQ+PC9DaXRlPjxDaXRlPjxBdXRob3I+UG9zdG9uPC9BdXRob3I+PFllYXI+MjAxMzwvWWVh
cj48UmVjTnVtPjExMDU8L1JlY051bT48cmVjb3JkPjxyZWMtbnVtYmVyPjExMDU8L3JlYy1udW1i
ZXI+PGZvcmVpZ24ta2V5cz48a2V5IGFwcD0iRU4iIGRiLWlkPSJleHZhc3JmeDJkdHJhb2VzYXN4
cDJzenN4YTJkZjUwMjU5MngiIHRpbWVzdGFtcD0iMTU1Mjk0ODI3NSI+MTEwNTwva2V5PjwvZm9y
ZWlnbi1rZXlzPjxyZWYtdHlwZSBuYW1lPSJKb3VybmFsIEFydGljbGUiPjE3PC9yZWYtdHlwZT48
Y29udHJpYnV0b3JzPjxhdXRob3JzPjxhdXRob3I+UG9zdG9uLCBMLjwvYXV0aG9yPjxhdXRob3I+
QnJpbGV5LCBBLiBMLjwvYXV0aG9yPjxhdXRob3I+QmFyciwgUy48L2F1dGhvcj48YXV0aG9yPkJl
bGwsIFIuPC9hdXRob3I+PGF1dGhvcj5Dcm9rZXIsIEguPC9hdXRob3I+PGF1dGhvcj5Db3hvbiwg
Sy48L2F1dGhvcj48YXV0aG9yPkVzc2V4LCBILiBOLjwvYXV0aG9yPjxhdXRob3I+SHVudCwgQy48
L2F1dGhvcj48YXV0aG9yPkhheWVzLCBMLjwvYXV0aG9yPjxhdXRob3I+SG93YXJkLCBMLiBNLjwv
YXV0aG9yPjxhdXRob3I+S2hhemFlemFkZWgsIE4uPC9hdXRob3I+PGF1dGhvcj5LaW5udW5lbiwg
VC48L2F1dGhvcj48YXV0aG9yPk5lbHNvbiwgUy4gTS48L2F1dGhvcj48YXV0aG9yPk90ZW5nLU50
aW0sIEUuPC9hdXRob3I+PGF1dGhvcj5Sb2Jzb24sIFMuIEMuPC9hdXRob3I+PGF1dGhvcj5TYXR0
YXIsIE4uPC9hdXRob3I+PGF1dGhvcj5TZWVkLCBQLiBULjwvYXV0aG9yPjxhdXRob3I+V2FyZGxl
LCBKLjwvYXV0aG9yPjxhdXRob3I+U2FuZGVycywgVC4gQS48L2F1dGhvcj48YXV0aG9yPlNhbmRh
bGwsIEouPC9hdXRob3I+PC9hdXRob3JzPjwvY29udHJpYnV0b3JzPjx0aXRsZXM+PHRpdGxlPkRl
dmVsb3BpbmcgYSBjb21wbGV4IGludGVydmVudGlvbiBmb3IgZGlldCBhbmQgYWN0aXZpdHkgYmVo
YXZpb3VyIGNoYW5nZSBpbiBvYmVzZSBwcmVnbmFudCB3b21lbiAodGhlIFVQQkVBVCB0cmlhbCk7
IGFzc2Vzc21lbnQgb2YgYmVoYXZpb3VyYWwgY2hhbmdlIGFuZCBwcm9jZXNzIGV2YWx1YXRpb24g
aW4gYSBwaWxvdCByYW5kb21pc2VkIGNvbnRyb2xsZWQgdHJpYWw8L3RpdGxlPjxzZWNvbmRhcnkt
dGl0bGU+Qk1DIFByZWduYW5jeSBDaGlsZGJpcnRoPC9zZWNvbmRhcnktdGl0bGU+PC90aXRsZXM+
PHBlcmlvZGljYWw+PGZ1bGwtdGl0bGU+Qk1DIFByZWduYW5jeSBDaGlsZGJpcnRoPC9mdWxsLXRp
dGxlPjwvcGVyaW9kaWNhbD48cGFnZXM+MTQ4PC9wYWdlcz48dm9sdW1lPjEzPC92b2x1bWU+PGVk
aXRpb24+MjAxMy8wNy8xNzwvZWRpdGlvbj48a2V5d29yZHM+PGtleXdvcmQ+QWNjZWxlcm9tZXRy
eTwva2V5d29yZD48a2V5d29yZD5BZG9sZXNjZW50PC9rZXl3b3JkPjxrZXl3b3JkPkFkdWx0PC9r
ZXl3b3JkPjxrZXl3b3JkPkJlaGF2aW9yIFRoZXJhcHkvKm1ldGhvZHM8L2tleXdvcmQ+PGtleXdv
cmQ+Qm9keSBNYXNzIEluZGV4PC9rZXl3b3JkPjxrZXl3b3JkPkRpYWJldGVzLCBHZXN0YXRpb25h
bC8qcHJldmVudGlvbiAmYW1wOyBjb250cm9sPC9rZXl3b3JkPjxrZXl3b3JkPkRpZXQgVGhlcmFw
eS8qbWV0aG9kczwva2V5d29yZD48a2V5d29yZD5FeGVyY2lzZSBUaGVyYXB5LyptZXRob2RzPC9r
ZXl3b3JkPjxrZXl3b3JkPkZlYXNpYmlsaXR5IFN0dWRpZXM8L2tleXdvcmQ+PGtleXdvcmQ+RmVt
YWxlPC9rZXl3b3JkPjxrZXl3b3JkPkh1bWFuczwva2V5d29yZD48a2V5d29yZD4qTW90b3IgQWN0
aXZpdHk8L2tleXdvcmQ+PGtleXdvcmQ+T2Jlc2l0eS8qdGhlcmFweTwva2V5d29yZD48a2V5d29y
ZD5QaWxvdCBQcm9qZWN0czwva2V5d29yZD48a2V5d29yZD5QcmVnbmFuY3k8L2tleXdvcmQ+PGtl
eXdvcmQ+UHJlZ25hbmN5IENvbXBsaWNhdGlvbnMvKnRoZXJhcHk8L2tleXdvcmQ+PGtleXdvcmQ+
UHJlbmF0YWwgQ2FyZS9tZXRob2RzPC9rZXl3b3JkPjxrZXl3b3JkPllvdW5nIEFkdWx0PC9rZXl3
b3JkPjwva2V5d29yZHM+PGRhdGVzPjx5ZWFyPjIwMTM8L3llYXI+PHB1Yi1kYXRlcz48ZGF0ZT5K
dWwgMTU8L2RhdGU+PC9wdWItZGF0ZXM+PC9kYXRlcz48aXNibj4xNDcxLTIzOTMgKEVsZWN0cm9u
aWMpJiN4RDsxNDcxLTIzOTMgKExpbmtpbmcpPC9pc2JuPjxhY2Nlc3Npb24tbnVtPjIzODU1NzA4
PC9hY2Nlc3Npb24tbnVtPjx1cmxzPjxyZWxhdGVkLXVybHM+PHVybD5odHRwczovL3d3dy5uY2Jp
Lm5sbS5uaWguZ292L3B1Ym1lZC8yMzg1NTcwODwvdXJsPjwvcmVsYXRlZC11cmxzPjwvdXJscz48
Y3VzdG9tMj5QTUMzNzE4NjMwPC9jdXN0b20yPjxlbGVjdHJvbmljLXJlc291cmNlLW51bT4xMC4x
MTg2LzE0NzEtMjM5My0xMy0xNDg8L2VsZWN0cm9uaWMtcmVzb3VyY2UtbnVtPjwvcmVjb3JkPjwv
Q2l0ZT48Q2l0ZT48QXV0aG9yPlBvc3RvbjwvQXV0aG9yPjxZZWFyPjIwMTU8L1llYXI+PFJlY051
bT42MTI8L1JlY051bT48cmVjb3JkPjxyZWMtbnVtYmVyPjYxMjwvcmVjLW51bWJlcj48Zm9yZWln
bi1rZXlzPjxrZXkgYXBwPSJFTiIgZGItaWQ9ImV4dmFzcmZ4MmR0cmFvZXNhc3hwMnN6c3hhMmRm
NTAyNTkyeCIgdGltZXN0YW1wPSIxNTM5MDQ4MzQ4Ij42MTI8L2tleT48a2V5IGFwcD0iRU5XZWIi
IGRiLWlkPSIiPjA8L2tleT48L2ZvcmVpZ24ta2V5cz48cmVmLXR5cGUgbmFtZT0iSm91cm5hbCBB
cnRpY2xlIj4xNzwvcmVmLXR5cGU+PGNvbnRyaWJ1dG9ycz48YXV0aG9ycz48YXV0aG9yPlBvc3Rv
biwgTC4sPC9hdXRob3I+PGF1dGhvcj5CZWxsLCBSLiw8L2F1dGhvcj48YXV0aG9yPkNyb2tlciwg
SC4sPC9hdXRob3I+PGF1dGhvcj5GbHlubiwgQS5DLiw8L2F1dGhvcj48YXV0aG9yPkdvZGZyZXks
IEsuTS4sPC9hdXRob3I+PGF1dGhvcj5Hb2ZmLCBMLiw8L2F1dGhvcj48L2F1dGhvcnM+PC9jb250
cmlidXRvcnM+PHRpdGxlcz48dGl0bGU+RWZmZWN0IG9mIGEgYmVoYXZpb3VyYWwgaW50ZXJ2ZW50
aW9uIGluIG9iZXNlIHByZWduYW50IHdvbWVuICh0aGUgVVBCRUFUIHN0dWR5KTogYSBtdWx0aWNl
bnRyZSwgcmFuZG9taXNlZCBjb250cm9sbGVkIHRyaWFsPC90aXRsZT48c2Vjb25kYXJ5LXRpdGxl
PlRoZSBMYW5jZXQgRGlhYmV0ZXMgJmFtcDsgRW5kb2NyaW5vbG9neTwvc2Vjb25kYXJ5LXRpdGxl
PjwvdGl0bGVzPjxwZXJpb2RpY2FsPjxmdWxsLXRpdGxlPlRoZSBMYW5jZXQgRGlhYmV0ZXMgJmFt
cDsgRW5kb2NyaW5vbG9neTwvZnVsbC10aXRsZT48L3BlcmlvZGljYWw+PHBhZ2VzPjc2Ny03Nzc8
L3BhZ2VzPjx2b2x1bWU+Mzwvdm9sdW1lPjxudW1iZXI+MTA8L251bWJlcj48c2VjdGlvbj43Njc8
L3NlY3Rpb24+PGRhdGVzPjx5ZWFyPjIwMTU8L3llYXI+PC9kYXRlcz48aXNibj4yMjEzODU4Nzwv
aXNibj48dXJscz48L3VybHM+PGVsZWN0cm9uaWMtcmVzb3VyY2UtbnVtPjEwLjEwMTYvczIyMTMt
ODU4NygxNSkwMDIyNy0yPC9lbGVjdHJvbmljLXJlc291cmNlLW51bT48L3JlY29yZD48L0NpdGU+
PENpdGU+PEF1dGhvcj5Lb2l2dXNhbG88L0F1dGhvcj48WWVhcj4yMDE2PC9ZZWFyPjxSZWNOdW0+
NzMzPC9SZWNOdW0+PHJlY29yZD48cmVjLW51bWJlcj43MzM8L3JlYy1udW1iZXI+PGZvcmVpZ24t
a2V5cz48a2V5IGFwcD0iRU4iIGRiLWlkPSJleHZhc3JmeDJkdHJhb2VzYXN4cDJzenN4YTJkZjUw
MjU5MngiIHRpbWVzdGFtcD0iMTU0MTQ2Nzc2NiI+NzMzPC9rZXk+PGtleSBhcHA9IkVOV2ViIiBk
Yi1pZD0iIj4wPC9rZXk+PC9mb3JlaWduLWtleXM+PHJlZi10eXBlIG5hbWU9IkpvdXJuYWwgQXJ0
aWNsZSI+MTc8L3JlZi10eXBlPjxjb250cmlidXRvcnM+PGF1dGhvcnM+PGF1dGhvcj5Lb2l2dXNh
bG8sIFMuQi4sPC9hdXRob3I+PGF1dGhvcj5Sw7Zuw7YsIEsuLDwvYXV0aG9yPjxhdXRob3I+S2xl
bWV0dGksIE0uTS4sPC9hdXRob3I+PGF1dGhvcj5Sb2luZSwgUi5QLiw8L2F1dGhvcj48YXV0aG9y
PkxpbmRzdHLDtm0sIEouLDwvYXV0aG9yPjxhdXRob3I+RXJra29sYSwgTS4sPC9hdXRob3I+PC9h
dXRob3JzPjwvY29udHJpYnV0b3JzPjx0aXRsZXM+PHRpdGxlPkdlc3RhdGlvbmFsIGRpYWJldGVz
IG1lbGxpdHVzIGNhbiBiZSBwcmV2ZW50ZWQgYnkgbGlmZXN0eWxlIGludGVydmVudGlvbjogVGhl
IEZpbm5pc2ggR2VzdGF0aW9uYWwgRGlhYmV0ZXMgUHJldmVudGlvbiBTdHVkeSAoUkFESUVMKTwv
dGl0bGU+PHNlY29uZGFyeS10aXRsZT5EaWFiZXRlcyBDYXJlPC9zZWNvbmRhcnktdGl0bGU+PC90
aXRsZXM+PHBlcmlvZGljYWw+PGZ1bGwtdGl0bGU+RGlhYmV0ZXMgQ2FyZTwvZnVsbC10aXRsZT48
L3BlcmlvZGljYWw+PHBhZ2VzPjI0LTMwPC9wYWdlcz48dm9sdW1lPjM5PC92b2x1bWU+PG51bWJl
cj4xPC9udW1iZXI+PHNlY3Rpb24+MjQ8L3NlY3Rpb24+PGRhdGVzPjx5ZWFyPjIwMTY8L3llYXI+
PC9kYXRlcz48aXNibj4wMTQ5LTU5OTImI3hEOzE5MzUtNTU0ODwvaXNibj48dXJscz48L3VybHM+
PGVsZWN0cm9uaWMtcmVzb3VyY2UtbnVtPjEwLjIzMzcvZGMxNS0wNTExPC9lbGVjdHJvbmljLXJl
c291cmNlLW51bT48L3JlY29yZD48L0NpdGU+PENpdGU+PEF1dGhvcj5WYW4gSG9ybjwvQXV0aG9y
PjxZZWFyPjIwMTg8L1llYXI+PFJlY051bT4xMzc2PC9SZWNOdW0+PHJlY29yZD48cmVjLW51bWJl
cj4xMzc2PC9yZWMtbnVtYmVyPjxmb3JlaWduLWtleXM+PGtleSBhcHA9IkVOIiBkYi1pZD0iZXh2
YXNyZngyZHRyYW9lc2FzeHAyc3pzeGEyZGY1MDI1OTJ4IiB0aW1lc3RhbXA9IjE1NjcwMzU5ODci
PjEzNzY8L2tleT48a2V5IGFwcD0iRU5XZWIiIGRiLWlkPSIiPjA8L2tleT48L2ZvcmVpZ24ta2V5
cz48cmVmLXR5cGUgbmFtZT0iSm91cm5hbCBBcnRpY2xlIj4xNzwvcmVmLXR5cGU+PGNvbnRyaWJ1
dG9ycz48YXV0aG9ycz48YXV0aG9yPlZhbiBIb3JuLCBMLjwvYXV0aG9yPjxhdXRob3I+UGVhY2Vt
YW4sIEEuPC9hdXRob3I+PGF1dGhvcj5Ld2FzbnksIE0uPC9hdXRob3I+PGF1dGhvcj5WaW5jZW50
LCBFLjwvYXV0aG9yPjxhdXRob3I+Rm91Z2h0LCBBLjwvYXV0aG9yPjxhdXRob3I+Sm9zZWZzb24s
IEouPC9hdXRob3I+PGF1dGhvcj5TcHJpbmcsIEIuPC9hdXRob3I+PGF1dGhvcj5OZWZmLCBMLiBN
LjwvYXV0aG9yPjxhdXRob3I+R2VybmhvZmVyLCBOLjwvYXV0aG9yPjwvYXV0aG9ycz48L2NvbnRy
aWJ1dG9ycz48YXV0aC1hZGRyZXNzPkRlcGFydG1lbnQgb2YgUHJldmVudGl2ZSBNZWRpY2luZSwg
Tm9ydGh3ZXN0ZXJuIFVuaXZlcnNpdHkgRmVpbmJlcmcgU2Nob29sIG9mIE1lZGljaW5lLCBDaGlj
YWdvLCBJbGxpbm9pcy4gRWxlY3Ryb25pYyBhZGRyZXNzOiBsdmFuaG9ybkBub3J0aHdlc3Rlcm4u
ZWR1LiYjeEQ7RGVwYXJ0bWVudCBvZiBPYnN0ZXRyaWNzIGFuZCBHeW5lY29sb2d5LCBOb3J0aHdl
c3Rlcm4gVW5pdmVyc2l0eSBGZWluYmVyZyBTY2hvb2wgb2YgTWVkaWNpbmUsIENoaWNhZ28sIEls
bGlub2lzLiYjeEQ7RGVwYXJ0bWVudCBvZiBQcmV2ZW50aXZlIE1lZGljaW5lLCBOb3J0aHdlc3Rl
cm4gVW5pdmVyc2l0eSBGZWluYmVyZyBTY2hvb2wgb2YgTWVkaWNpbmUsIENoaWNhZ28sIElsbGlu
b2lzLiYjeEQ7RGVwYXJ0bWVudCBvZiBQcmV2ZW50aXZlIE1lZGljaW5lLCBOb3J0aHdlc3Rlcm4g
VW5pdmVyc2l0eSBGZWluYmVyZyBTY2hvb2wgb2YgTWVkaWNpbmUsIENoaWNhZ28sIElsbGlub2lz
OyBBbm4gYW5kIFJvYmVydCBILiBMdXJpZSBDaGlsZHJlbiZhcG9zO3MgSG9zcGl0YWwgb2YgQ2hp
Y2FnbywgQ2hpY2FnbywgSWxsaW5vaXMuJiN4RDtEZXBhcnRtZW50IG9mIE1lZGljaW5lLCBOb3J0
aHdlc3Rlcm4gVW5pdmVyc2l0eSBGZWluYmVyZyBTY2hvb2wgb2YgTWVkaWNpbmUsIENoaWNhZ28s
IElsbGlub2lzLjwvYXV0aC1hZGRyZXNzPjx0aXRsZXM+PHRpdGxlPkRpZXRhcnkgQXBwcm9hY2hl
cyB0byBTdG9wIEh5cGVydGVuc2lvbiBEaWV0IGFuZCBBY3Rpdml0eSB0byBMaW1pdCBHZXN0YXRp
b25hbCBXZWlnaHQ6IE1hdGVybmFsIE9mZnNwcmluZyBNZXRhYm9saWNzIEZhbWlseSBJbnRlcnZl
bnRpb24gVHJpYWwsIGEgVGVjaG5vbG9neSBFbmhhbmNlZCBSYW5kb21pemVkIFRyaWFsPC90aXRs
ZT48c2Vjb25kYXJ5LXRpdGxlPkFtIEogUHJldiBNZWQ8L3NlY29uZGFyeS10aXRsZT48L3RpdGxl
cz48cGVyaW9kaWNhbD48ZnVsbC10aXRsZT5BbSBKIFByZXYgTWVkPC9mdWxsLXRpdGxlPjwvcGVy
aW9kaWNhbD48cGFnZXM+NjAzLTYxNDwvcGFnZXM+PHZvbHVtZT41NTwvdm9sdW1lPjxudW1iZXI+
NTwvbnVtYmVyPjxlZGl0aW9uPjIwMTgvMDkvMjk8L2VkaXRpb24+PGRhdGVzPjx5ZWFyPjIwMTg8
L3llYXI+PHB1Yi1kYXRlcz48ZGF0ZT5Ob3Y8L2RhdGU+PC9wdWItZGF0ZXM+PC9kYXRlcz48aXNi
bj4xODczLTI2MDcgKEVsZWN0cm9uaWMpJiN4RDswNzQ5LTM3OTcgKExpbmtpbmcpPC9pc2JuPjxh
Y2Nlc3Npb24tbnVtPjMwMjYyMTQ4PC9hY2Nlc3Npb24tbnVtPjx1cmxzPjxyZWxhdGVkLXVybHM+
PHVybD5odHRwczovL3d3dy5uY2JpLm5sbS5uaWguZ292L3B1Ym1lZC8zMDI2MjE0ODwvdXJsPjwv
cmVsYXRlZC11cmxzPjwvdXJscz48ZWxlY3Ryb25pYy1yZXNvdXJjZS1udW0+MTAuMTAxNi9qLmFt
ZXByZS4yMDE4LjA2LjAxNTwvZWxlY3Ryb25pYy1yZXNvdXJjZS1udW0+PC9yZWNvcmQ+PC9DaXRl
PjxDaXRlPjxBdXRob3I+S2lhbmkgQXNpYWJhcjwvQXV0aG9yPjxZZWFyPjIwMTg8L1llYXI+PFJl
Y051bT4xMzgwPC9SZWNOdW0+PHJlY29yZD48cmVjLW51bWJlcj4xMzgwPC9yZWMtbnVtYmVyPjxm
b3JlaWduLWtleXM+PGtleSBhcHA9IkVOIiBkYi1pZD0iZXh2YXNyZngyZHRyYW9lc2FzeHAyc3pz
eGEyZGY1MDI1OTJ4IiB0aW1lc3RhbXA9IjE1NjcxMjQ1NzEiPjEzODA8L2tleT48a2V5IGFwcD0i
RU5XZWIiIGRiLWlkPSIiPjA8L2tleT48L2ZvcmVpZ24ta2V5cz48cmVmLXR5cGUgbmFtZT0iSm91
cm5hbCBBcnRpY2xlIj4xNzwvcmVmLXR5cGU+PGNvbnRyaWJ1dG9ycz48YXV0aG9ycz48YXV0aG9y
PktpYW5pIEFzaWFiYXIsIEEuPC9hdXRob3I+PGF1dGhvcj5BbWluIFNob2tyYXZpLCBGLjwvYXV0
aG9yPjxhdXRob3I+SGFqaWZhcmFqaSwgTS48L2F1dGhvcj48YXV0aG9yPlpheWVyaSwgRi48L2F1
dGhvcj48L2F1dGhvcnM+PC9jb250cmlidXRvcnM+PGF1dGgtYWRkcmVzcz5EZXBhcnRtZW50IG9m
IEhlYWx0aCBFZHVjYXRpb24gYW5kIEhlYWx0aCBQcm9tb3Rpb24sIEZhY3VsdHkgb2YgTWVkaWNh
bCBTY2llbmNlcywgVGFyYmlhdCBNb2RhcmVzIFVuaXZlcnNpdHksIFRlaHJhbiwgSXJhbi4mI3hE
O0RlcGFydG1lbnQgb2YgTWlkd2lmZXJ5LCBGYWN1bHR5IG9mIE51cnNpbmcgYW5kIE1pZHdpZmVy
eSwgU2hhaGVkIFVuaXZlcnNpdHksIFRlaHJhbiwgSXJhbi4mI3hEO0RlcGFydG1lbnQgb2YgSGVh
bHRoIEVkdWNhdGlvbnMgYW5kIEhlYWx0aCBQcm9tb3Rpb24sIEZhY3VsdHkgb2YgTWVkaWNhbCBT
Y2llbmNlcywgVGFyYmlhdCBNb2RhcmVzIFVuaXZlcnNpdHksIFRlaHJhbiwgSXJhbi4mI3hEO05h
dGlvbmFsIE51dHJpdGlvbiBhbmQgRm9vZCBUZWNobm9sb2d5IFJlc2VhcmNoIEluc3RpdHV0ZSwg
U2Nob29sIG9mIE51dHJpdGlvbiBTY2llbmNlcyBhbmQgRm9vZCBUZWNobm9sb2d5LCBTaGFoaWQg
QmVoZXNodGkgVW5pdmVyc2l0eSBvZiBNZWRpY2FsIFNjaWVuY2VzLCBUZWhyYW4sIElyYW4uJiN4
RDtEZXBhcnRtZW50IG9mIEJpb3N0YXRpc3RpY3MsIEZhY3VsdHkgb2YgUGFyYW1lZGljYWwgU2Np
ZW5jZXMsIFNoYWhpZCBCZWhlc2h0aSBVbml2ZXJzaXR5IG9mIE1lZGljYWwgU2NpZW5jZXMsIFRl
aHJhbiwgSXJhbi48L2F1dGgtYWRkcmVzcz48dGl0bGVzPjx0aXRsZT5UaGUgZWZmZWN0IG9mIGFu
IGVkdWNhdGlvbmFsIGludGVydmVudGlvbiBpbiBlYXJseSBwcmVnbmFuY3kgd2l0aCBzcG91c2Um
YXBvcztzIHBhcnRpY2lwYXRpb24gb24gb3B0aW1hbCBnZXN0YXRpb25hbCB3ZWlnaHQgZ2FpbiBp
biBwcmVnbmFuY3k6IGEgcmFuZG9taXplZCBjb250cm9sbGVkIHRyaWFsPC90aXRsZT48c2Vjb25k
YXJ5LXRpdGxlPkhlYWx0aCBFZHVjIFJlczwvc2Vjb25kYXJ5LXRpdGxlPjwvdGl0bGVzPjxwZXJp
b2RpY2FsPjxmdWxsLXRpdGxlPkhlYWx0aCBFZHVjIFJlczwvZnVsbC10aXRsZT48L3BlcmlvZGlj
YWw+PHBhZ2VzPjUzNS01NDc8L3BhZ2VzPjx2b2x1bWU+MzM8L3ZvbHVtZT48bnVtYmVyPjY8L251
bWJlcj48ZWRpdGlvbj4yMDE4LzExLzMwPC9lZGl0aW9uPjxkYXRlcz48eWVhcj4yMDE4PC95ZWFy
PjxwdWItZGF0ZXM+PGRhdGU+RGVjIDE8L2RhdGU+PC9wdWItZGF0ZXM+PC9kYXRlcz48aXNibj4x
NDY1LTM2NDggKEVsZWN0cm9uaWMpJiN4RDswMjY4LTExNTMgKExpbmtpbmcpPC9pc2JuPjxhY2Nl
c3Npb24tbnVtPjMwNDk2NDA5PC9hY2Nlc3Npb24tbnVtPjx1cmxzPjxyZWxhdGVkLXVybHM+PHVy
bD5odHRwczovL3d3dy5uY2JpLm5sbS5uaWguZ292L3B1Ym1lZC8zMDQ5NjQwOTwvdXJsPjwvcmVs
YXRlZC11cmxzPjwvdXJscz48ZWxlY3Ryb25pYy1yZXNvdXJjZS1udW0+MTAuMTA5My9oZXIvY3l5
MDQwPC9lbGVjdHJvbmljLXJlc291cmNlLW51bT48L3JlY29yZD48L0NpdGU+PC9FbmROb3RlPn==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485,487,496,498,500,505,512,513,519</w:t>
      </w:r>
      <w:r>
        <w:fldChar w:fldCharType="end"/>
      </w:r>
      <w:r>
        <w:t xml:space="preserve"> and increasing consumption of fruit and vegetables,</w:t>
      </w:r>
      <w:r>
        <w:rPr>
          <w:sz w:val="16"/>
          <w:szCs w:val="16"/>
        </w:rPr>
        <w:fldChar w:fldCharType="begin">
          <w:fldData xml:space="preserve">PEVuZE5vdGU+PENpdGU+PEF1dGhvcj5QYXdhbGlhPC9BdXRob3I+PFllYXI+MjAxNzwvWWVhcj48
UmVjTnVtPjc1MDwvUmVjTnVtPjxEaXNwbGF5VGV4dD48c3R5bGUgZmFjZT0ic3VwZXJzY3JpcHQi
IGZvbnQ9IlRyZWJ1Y2hldCBNUyIgc2l6ZT0iOSI+NDg0LDQ4Nyw0OTMsNDk1LDQ5Niw0OTgsNTAw
LDUwMyw1MDUsNTE5LDUyMTwvc3R5bGU+PC9EaXNwbGF5VGV4dD48cmVjb3JkPjxyZWMtbnVtYmVy
Pjc1MDwvcmVjLW51bWJlcj48Zm9yZWlnbi1rZXlzPjxrZXkgYXBwPSJFTiIgZGItaWQ9ImV4dmFz
cmZ4MmR0cmFvZXNhc3hwMnN6c3hhMmRmNTAyNTkyeCIgdGltZXN0YW1wPSIxNTQxNDY3OTE5Ij43
NTA8L2tleT48a2V5IGFwcD0iRU5XZWIiIGRiLWlkPSIiPjA8L2tleT48L2ZvcmVpZ24ta2V5cz48
cmVmLXR5cGUgbmFtZT0iSm91cm5hbCBBcnRpY2xlIj4xNzwvcmVmLXR5cGU+PGNvbnRyaWJ1dG9y
cz48YXV0aG9ycz48YXV0aG9yPlBhd2FsaWEsIEFsa2E8L2F1dGhvcj48YXV0aG9yPkt1bGFuZGFp
dmVsYW4sIFNpdmFjaGlkYW1iYXJhbTwvYXV0aG9yPjxhdXRob3I+U2F2YW50LCBTYXR5YTwvYXV0
aG9yPjxhdXRob3I+WWFkYXYsIFZpa3JhbSBTaW5naDwvYXV0aG9yPjwvYXV0aG9ycz48L2NvbnRy
aWJ1dG9ycz48dGl0bGVzPjx0aXRsZT5FeGVyY2lzZSBpbiBQcmVnbmFuY3k6IEVmZmVjdCBvbiBP
YmVzaXR5IFBhcmFtZXRlcnMgaW4gSW5kaWFuIFdvbWVuIOKAkyBBIFJhbmRvbWl6ZWQgQ29udHJv
bGxlZCBUcmlhbDwvdGl0bGU+PHNlY29uZGFyeS10aXRsZT5Sb21hbmlhbiBKb3VybmFsIG9mIERp
YWJldGVzIE51dHJpdGlvbiBhbmQgTWV0YWJvbGljIERpc2Vhc2VzPC9zZWNvbmRhcnktdGl0bGU+
PC90aXRsZXM+PHBlcmlvZGljYWw+PGZ1bGwtdGl0bGU+Um9tYW5pYW4gSm91cm5hbCBvZiBEaWFi
ZXRlcyBOdXRyaXRpb24gYW5kIE1ldGFib2xpYyBEaXNlYXNlczwvZnVsbC10aXRsZT48L3Blcmlv
ZGljYWw+PHZvbHVtZT4yNDwvdm9sdW1lPjxudW1iZXI+NDwvbnVtYmVyPjxkYXRlcz48eWVhcj4y
MDE3PC95ZWFyPjwvZGF0ZXM+PGlzYm4+MjI4NC02NDE3PC9pc2JuPjx1cmxzPjwvdXJscz48ZWxl
Y3Ryb25pYy1yZXNvdXJjZS1udW0+MTAuMTUxNS9yamRubWQtMjAxNy0wMDM3PC9lbGVjdHJvbmlj
LXJlc291cmNlLW51bT48L3JlY29yZD48L0NpdGU+PENpdGU+PEF1dGhvcj5Eb2RkPC9BdXRob3I+
PFllYXI+MjAxNDwvWWVhcj48UmVjTnVtPjEwODA8L1JlY051bT48cmVjb3JkPjxyZWMtbnVtYmVy
PjEwODA8L3JlYy1udW1iZXI+PGZvcmVpZ24ta2V5cz48a2V5IGFwcD0iRU4iIGRiLWlkPSJleHZh
c3JmeDJkdHJhb2VzYXN4cDJzenN4YTJkZjUwMjU5MngiIHRpbWVzdGFtcD0iMTU1Mjk0NjQ3MiI+
MTA4MDwva2V5PjxrZXkgYXBwPSJFTldlYiIgZGItaWQ9IiI+MDwva2V5PjwvZm9yZWlnbi1rZXlz
PjxyZWYtdHlwZSBuYW1lPSJKb3VybmFsIEFydGljbGUiPjE3PC9yZWYtdHlwZT48Y29udHJpYnV0
b3JzPjxhdXRob3JzPjxhdXRob3I+RG9kZCwgSm9kaWUgTS48L2F1dGhvcj48YXV0aG9yPkdyaXZl
bGwsIFJvc2FsaWUgTS48L2F1dGhvcj48YXV0aG9yPk93ZW5zLCBKdWxpZSBBLjwvYXV0aG9yPjwv
YXV0aG9ycz48L2NvbnRyaWJ1dG9ycz48dGl0bGVzPjx0aXRsZT5BbnRlbmF0YWwgRGlldGFyeSBh
bmQgTGlmZXN0eWxlIEludGVydmVudGlvbnMgZm9yIFdvbWVuIFdobyBhcmUgT3ZlcndlaWdodCBv
ciBPYmVzZTogT3V0Y29tZXMgZnJvbSB0aGUgTElNSVQgUmFuZG9taXplZCBUcmlhbDwvdGl0bGU+
PHNlY29uZGFyeS10aXRsZT5DdXJyZW50IE51dHJpdGlvbiBSZXBvcnRzPC9zZWNvbmRhcnktdGl0
bGU+PC90aXRsZXM+PHBlcmlvZGljYWw+PGZ1bGwtdGl0bGU+Q3VycmVudCBOdXRyaXRpb24gUmVw
b3J0czwvZnVsbC10aXRsZT48L3BlcmlvZGljYWw+PHBhZ2VzPjM5Mi0zOTk8L3BhZ2VzPjx2b2x1
bWU+Mzwvdm9sdW1lPjxudW1iZXI+NDwvbnVtYmVyPjxzZWN0aW9uPjM5Mjwvc2VjdGlvbj48ZGF0
ZXM+PHllYXI+MjAxNDwveWVhcj48L2RhdGVzPjxpc2JuPjIxNjEtMzMxMTwvaXNibj48dXJscz48
L3VybHM+PGVsZWN0cm9uaWMtcmVzb3VyY2UtbnVtPjEwLjEwMDcvczEzNjY4LTAxNC0wMTAxLTc8
L2VsZWN0cm9uaWMtcmVzb3VyY2UtbnVtPjwvcmVjb3JkPjwvQ2l0ZT48Q2l0ZT48QXV0aG9yPkRv
ZGQ8L0F1dGhvcj48WWVhcj4yMDE0PC9ZZWFyPjxSZWNOdW0+MTA4MDwvUmVjTnVtPjxyZWNvcmQ+
PHJlYy1udW1iZXI+MTA4MDwvcmVjLW51bWJlcj48Zm9yZWlnbi1rZXlzPjxrZXkgYXBwPSJFTiIg
ZGItaWQ9ImV4dmFzcmZ4MmR0cmFvZXNhc3hwMnN6c3hhMmRmNTAyNTkyeCIgdGltZXN0YW1wPSIx
NTUyOTQ2NDcyIj4xMDgwPC9rZXk+PGtleSBhcHA9IkVOV2ViIiBkYi1pZD0iIj4wPC9rZXk+PC9m
b3JlaWduLWtleXM+PHJlZi10eXBlIG5hbWU9IkpvdXJuYWwgQXJ0aWNsZSI+MTc8L3JlZi10eXBl
Pjxjb250cmlidXRvcnM+PGF1dGhvcnM+PGF1dGhvcj5Eb2RkLCBKb2RpZSBNLjwvYXV0aG9yPjxh
dXRob3I+R3JpdmVsbCwgUm9zYWxpZSBNLjwvYXV0aG9yPjxhdXRob3I+T3dlbnMsIEp1bGllIEEu
PC9hdXRob3I+PC9hdXRob3JzPjwvY29udHJpYnV0b3JzPjx0aXRsZXM+PHRpdGxlPkFudGVuYXRh
bCBEaWV0YXJ5IGFuZCBMaWZlc3R5bGUgSW50ZXJ2ZW50aW9ucyBmb3IgV29tZW4gV2hvIGFyZSBP
dmVyd2VpZ2h0IG9yIE9iZXNlOiBPdXRjb21lcyBmcm9tIHRoZSBMSU1JVCBSYW5kb21pemVkIFRy
aWFsPC90aXRsZT48c2Vjb25kYXJ5LXRpdGxlPkN1cnJlbnQgTnV0cml0aW9uIFJlcG9ydHM8L3Nl
Y29uZGFyeS10aXRsZT48L3RpdGxlcz48cGVyaW9kaWNhbD48ZnVsbC10aXRsZT5DdXJyZW50IE51
dHJpdGlvbiBSZXBvcnRzPC9mdWxsLXRpdGxlPjwvcGVyaW9kaWNhbD48cGFnZXM+MzkyLTM5OTwv
cGFnZXM+PHZvbHVtZT4zPC92b2x1bWU+PG51bWJlcj40PC9udW1iZXI+PHNlY3Rpb24+MzkyPC9z
ZWN0aW9uPjxkYXRlcz48eWVhcj4yMDE0PC95ZWFyPjwvZGF0ZXM+PGlzYm4+MjE2MS0zMzExPC9p
c2JuPjx1cmxzPjwvdXJscz48ZWxlY3Ryb25pYy1yZXNvdXJjZS1udW0+MTAuMTAwNy9zMTM2Njgt
MDE0LTAxMDEtNzwvZWxlY3Ryb25pYy1yZXNvdXJjZS1udW0+PC9yZWNvcmQ+PC9DaXRlPjxDaXRl
PjxBdXRob3I+U2FnZWRhbDwvQXV0aG9yPjxZZWFyPjIwMTc8L1llYXI+PFJlY051bT45Mzk8L1Jl
Y051bT48cmVjb3JkPjxyZWMtbnVtYmVyPjkzOTwvcmVjLW51bWJlcj48Zm9yZWlnbi1rZXlzPjxr
ZXkgYXBwPSJFTiIgZGItaWQ9ImV4dmFzcmZ4MmR0cmFvZXNhc3hwMnN6c3hhMmRmNTAyNTkyeCIg
dGltZXN0YW1wPSIxNTQxNTQxODIyIj45Mzk8L2tleT48a2V5IGFwcD0iRU5XZWIiIGRiLWlkPSIi
PjA8L2tleT48L2ZvcmVpZ24ta2V5cz48cmVmLXR5cGUgbmFtZT0iSm91cm5hbCBBcnRpY2xlIj4x
NzwvcmVmLXR5cGU+PGNvbnRyaWJ1dG9ycz48YXV0aG9ycz48YXV0aG9yPlNhZ2VkYWwsIEwuIFIu
PC9hdXRob3I+PGF1dGhvcj5WaXN0YWQsIEkuPC9hdXRob3I+PGF1dGhvcj5PdmVyYnksIE4uIEMu
PC9hdXRob3I+PGF1dGhvcj5CZXJlLCBFLjwvYXV0aG9yPjxhdXRob3I+VG9yc3R2ZWl0LCBNLiBL
LjwvYXV0aG9yPjxhdXRob3I+TG9obmUtU2VpbGVyLCBILjwvYXV0aG9yPjxhdXRob3I+SGlsbGVz
dW5kLCBFLiBSLjwvYXV0aG9yPjxhdXRob3I+UHJpcHAsIEEuPC9hdXRob3I+PGF1dGhvcj5IZW5y
aWtzZW4sIFQuPC9hdXRob3I+PC9hdXRob3JzPjwvY29udHJpYnV0b3JzPjxhdXRoLWFkZHJlc3M+
RGVwYXJ0bWVudCBvZiBPYnN0ZXRyaWNzIGFuZCBHeW5lY29sb2d5L0RlcGFydG1lbnQgb2YgUmVz
ZWFyY2gsIFNvcmxhbmRldCBIb3NwaXRhbCwgUG9zdGJveCA0MTYsIDQ2MDQsIEtyaXN0aWFuc2Fu
ZCwgTm9yd2F5LiBsaW5kYS5zYWdlZGFsQHNzaGYubm8uJiN4RDtEZXBhcnRtZW50IG9mIE9ic3Rl
dHJpY3MgYW5kIEd5bmVjb2xvZ3kvRGVwYXJ0bWVudCBvZiBSZXNlYXJjaCwgU29ybGFuZGV0IEhv
c3BpdGFsLCBQb3N0Ym94IDQxNiwgNDYwNCwgS3Jpc3RpYW5zYW5kLCBOb3J3YXkuJiN4RDtEZXBh
cnRtZW50IG9mIFB1YmxpYyBIZWFsdGgsIFNwb3J0cyBhbmQgTnV0cml0aW9uLCBVbml2ZXJzaXR5
IG9mIEFnZGVyLCBQb3N0Ym94IDQyMiwgNDYwNCwgS3Jpc3RpYW5zYW5kLCBOb3J3YXkuJiN4RDtE
ZXBhcnRtZW50IG9mIEJpb3N0YXRpc3RpY3MgYW5kIEVwaWRlbWlvbG9neSwgT3NsbyBVbml2ZXJz
aXR5IEhvc3BpdGFsLCBQb3N0Ym94IDQ5NTAsIE55ZGFsZW4sIDA0MjQsIE9zbG8sIE5vcndheS4m
I3hEO1NlY3Rpb24gb2YgT2JzdGV0cmljcywgV29tZW4gYW5kIENoaWxkcmVuJmFwb3M7cyBEaXZp
c2lvbiwgT3NsbyBVbml2ZXJzaXR5IEhvc3BpdGFsIGFuZCBVbml2ZXJzaXR5IG9mIE9zbG8sIFBv
c3Rib3ggNDk1MCwgTnlkYWxlbiwgMDQyNCwgT3NsbywgTm9yd2F5LjwvYXV0aC1hZGRyZXNzPjx0
aXRsZXM+PHRpdGxlPlRoZSBlZmZlY3Qgb2YgYSBwcmVuYXRhbCBsaWZlc3R5bGUgaW50ZXJ2ZW50
aW9uIG9uIGdsdWNvc2UgbWV0YWJvbGlzbTogcmVzdWx0cyBvZiB0aGUgTm9yd2VnaWFuIEZpdCBm
b3IgRGVsaXZlcnkgcmFuZG9taXplZCBjb250cm9sbGVkIHRyaWFsPC90aXRsZT48c2Vjb25kYXJ5
LXRpdGxlPkJNQyBQcmVnbmFuY3kgQ2hpbGRiaXJ0aDwvc2Vjb25kYXJ5LXRpdGxlPjwvdGl0bGVz
PjxwZXJpb2RpY2FsPjxmdWxsLXRpdGxlPkJNQyBQcmVnbmFuY3kgQ2hpbGRiaXJ0aDwvZnVsbC10
aXRsZT48L3BlcmlvZGljYWw+PHBhZ2VzPjE2NzwvcGFnZXM+PHZvbHVtZT4xNzwvdm9sdW1lPjxu
dW1iZXI+MTwvbnVtYmVyPjxlZGl0aW9uPjIwMTcvMDYvMDU8L2VkaXRpb24+PGtleXdvcmRzPjxr
ZXl3b3JkPkFkdWx0PC9rZXl3b3JkPjxrZXl3b3JkPkJvZHkgTWFzcyBJbmRleDwva2V5d29yZD48
a2V5d29yZD5EaWFiZXRlcywgR2VzdGF0aW9uYWwvcHJldmVudGlvbiAmYW1wOyBjb250cm9sPC9r
ZXl3b3JkPjxrZXl3b3JkPkZlbWFsZTwva2V5d29yZD48a2V5d29yZD5IZWFsdGggUHJvbW90aW9u
LyptZXRob2RzPC9rZXl3b3JkPjxrZXl3b3JkPkh1bWFuczwva2V5d29yZD48a2V5d29yZD4qSW5z
dWxpbiBSZXNpc3RhbmNlPC9rZXl3b3JkPjxrZXl3b3JkPk5vcndheTwva2V5d29yZD48a2V5d29y
ZD5PYmVzaXR5L21ldGFib2xpc20vKnByZXZlbnRpb24gJmFtcDsgY29udHJvbDwva2V5d29yZD48
a2V5d29yZD5QcmVnbmFuY3k8L2tleXdvcmQ+PGtleXdvcmQ+UHJlZ25hbmN5IENvbXBsaWNhdGlv
bnMvbWV0YWJvbGlzbS8qcHJldmVudGlvbiAmYW1wOyBjb250cm9sPC9rZXl3b3JkPjxrZXl3b3Jk
PlByZW5hdGFsIENhcmUvKm1ldGhvZHM8L2tleXdvcmQ+PGtleXdvcmQ+WW91bmcgQWR1bHQ8L2tl
eXdvcmQ+PGtleXdvcmQ+R2VzdGF0aW9uYWwgZGlhYmV0ZXM8L2tleXdvcmQ+PGtleXdvcmQ+SW50
ZXJ2ZW50aW9uPC9rZXl3b3JkPjxrZXl3b3JkPkxpZmVzdHlsZTwva2V5d29yZD48a2V5d29yZD5P
YmVzaXR5PC9rZXl3b3JkPjxrZXl3b3JkPk92ZXJ3ZWlnaHQ8L2tleXdvcmQ+PC9rZXl3b3Jkcz48
ZGF0ZXM+PHllYXI+MjAxNzwveWVhcj48cHViLWRhdGVzPjxkYXRlPkp1biAyPC9kYXRlPjwvcHVi
LWRhdGVzPjwvZGF0ZXM+PGlzYm4+MTQ3MS0yMzkzIChFbGVjdHJvbmljKSYjeEQ7MTQ3MS0yMzkz
IChMaW5raW5nKTwvaXNibj48YWNjZXNzaW9uLW51bT4yODU3NzU0NTwvYWNjZXNzaW9uLW51bT48
dXJscz48cmVsYXRlZC11cmxzPjx1cmw+aHR0cHM6Ly93d3cubmNiaS5ubG0ubmloLmdvdi9wdWJt
ZWQvMjg1Nzc1NDU8L3VybD48L3JlbGF0ZWQtdXJscz48L3VybHM+PGN1c3RvbTI+UE1DNTQ1NzU0
MzwvY3VzdG9tMj48ZWxlY3Ryb25pYy1yZXNvdXJjZS1udW0+MTAuMTE4Ni9zMTI4ODQtMDE3LTEz
NDAtNjwvZWxlY3Ryb25pYy1yZXNvdXJjZS1udW0+PC9yZWNvcmQ+PC9DaXRlPjxDaXRlPjxBdXRo
b3I+V2lsbGNveDwvQXV0aG9yPjxZZWFyPjIwMTc8L1llYXI+PFJlY051bT45NjU8L1JlY051bT48
cmVjb3JkPjxyZWMtbnVtYmVyPjk2NTwvcmVjLW51bWJlcj48Zm9yZWlnbi1rZXlzPjxrZXkgYXBw
PSJFTiIgZGItaWQ9ImV4dmFzcmZ4MmR0cmFvZXNhc3hwMnN6c3hhMmRmNTAyNTkyeCIgdGltZXN0
YW1wPSIxNTUyOTUwMDc5Ij45NjU8L2tleT48a2V5IGFwcD0iRU5XZWIiIGRiLWlkPSIiPjA8L2tl
eT48L2ZvcmVpZ24ta2V5cz48cmVmLXR5cGUgbmFtZT0iSm91cm5hbCBBcnRpY2xlIj4xNzwvcmVm
LXR5cGU+PGNvbnRyaWJ1dG9ycz48YXV0aG9ycz48YXV0aG9yPldpbGxjb3gsIEouQy4sPC9hdXRo
b3I+PGF1dGhvcj5XaWxraW5zb24sIFMuQS4sPC9hdXRob3I+PGF1dGhvcj5MYXBwYXMsIE0uLDwv
YXV0aG9yPjxhdXRob3I+QmFsbCwgSy4sPC9hdXRob3I+PGF1dGhvcj5DcmF3Zm9yZCwgRC4sPC9h
dXRob3I+PGF1dGhvcj5NY0NhcnRoeSwgRS5BLiw8L2F1dGhvcj48YXV0aG9yPkZqZWxkc29lLCBC
Liw8L2F1dGhvcj48L2F1dGhvcnM+PC9jb250cmlidXRvcnM+PGF1dGgtYWRkcmVzcz5EZXBhcnRt
ZW50cyBvZiBNZWRpY2luZSwgUHVibGljIEhlYWx0aCwgYW5kIE9iL0d5biwgVGVtcGxlIFVuaXZl
cnNpdHksIFBoaWxhZGVscGhpYSwgUEEsIFVTQS48L2F1dGgtYWRkcmVzcz48dGl0bGVzPjx0aXRs
ZT5BIG1vYmlsZSBoZWFsdGggaW50ZXJ2ZW50aW9uIHByb21vdGluZyBoZWFsdGh5IGdlc3RhdGlv
bmFsIHdlaWdodCBnYWluIGZvciB3b21lbiBlbnRlcmluZyBwcmVnbmFuY3kgYXQgYSBoaWdoIGJv
ZHkgbWFzcyBpbmRleDogdGhlIHR4dDR0d28gcGlsb3QgcmFuZG9taXNlZCBjb250cm9sbGVkIHRy
aWFsPC90aXRsZT48c2Vjb25kYXJ5LXRpdGxlPkJKT0c8L3NlY29uZGFyeS10aXRsZT48L3RpdGxl
cz48cGVyaW9kaWNhbD48ZnVsbC10aXRsZT5CSk9HPC9mdWxsLXRpdGxlPjwvcGVyaW9kaWNhbD48
cGFnZXM+MTcxOC0yODwvcGFnZXM+PHZvbHVtZT4xMjQ8L3ZvbHVtZT48bnVtYmVyPjExPC9udW1i
ZXI+PGVkaXRpb24+MjAxNy8wNC8yMDwvZWRpdGlvbj48ZGF0ZXM+PHllYXI+MjAxNzwveWVhcj48
cHViLWRhdGVzPjxkYXRlPk9jdDwvZGF0ZT48L3B1Yi1kYXRlcz48L2RhdGVzPjxpc2JuPjE0NzEt
MDUyOCAoRWxlY3Ryb25pYykmI3hEOzE0NzAtMDMyOCAoTGlua2luZyk8L2lzYm4+PGFjY2Vzc2lv
bi1udW0+Mjg0MjIzOTg8L2FjY2Vzc2lvbi1udW0+PHVybHM+PHJlbGF0ZWQtdXJscz48dXJsPmh0
dHBzOi8vd3d3Lm5jYmkubmxtLm5paC5nb3YvcHVibWVkLzI4NDIyMzk4PC91cmw+PC9yZWxhdGVk
LXVybHM+PC91cmxzPjxlbGVjdHJvbmljLXJlc291cmNlLW51bT4xMC4xMTExLzE0NzEtMDUyOC4x
NDY5MzwvZWxlY3Ryb25pYy1yZXNvdXJjZS1udW0+PC9yZWNvcmQ+PC9DaXRlPjxDaXRlPjxBdXRo
b3I+UmF1aDwvQXV0aG9yPjxZZWFyPjIwMTM8L1llYXI+PFJlY051bT4xMTA5PC9SZWNOdW0+PHJl
Y29yZD48cmVjLW51bWJlcj4xMTA5PC9yZWMtbnVtYmVyPjxmb3JlaWduLWtleXM+PGtleSBhcHA9
IkVOIiBkYi1pZD0iZXh2YXNyZngyZHRyYW9lc2FzeHAyc3pzeGEyZGY1MDI1OTJ4IiB0aW1lc3Rh
bXA9IjE1NTI5NDg0ODUiPjExMDk8L2tleT48L2ZvcmVpZ24ta2V5cz48cmVmLXR5cGUgbmFtZT0i
Sm91cm5hbCBBcnRpY2xlIj4xNzwvcmVmLXR5cGU+PGNvbnRyaWJ1dG9ycz48YXV0aG9ycz48YXV0
aG9yPlJhdWgsIEsuPC9hdXRob3I+PGF1dGhvcj5HYWJyaWVsLCBFLjwvYXV0aG9yPjxhdXRob3I+
S2Vyc2NoYmF1bSwgRS48L2F1dGhvcj48YXV0aG9yPlNjaHVzdGVyLCBULjwvYXV0aG9yPjxhdXRo
b3I+dm9uIEtyaWVzLCBSLjwvYXV0aG9yPjxhdXRob3I+QW1hbm4tR2Fzc25lciwgVS48L2F1dGhv
cj48YXV0aG9yPkhhdW5lciwgSC48L2F1dGhvcj48L2F1dGhvcnM+PC9jb250cmlidXRvcnM+PHRp
dGxlcz48dGl0bGU+U2FmZXR5IGFuZCBlZmZpY2FjeSBvZiBhIGxpZmVzdHlsZSBpbnRlcnZlbnRp
b24gZm9yIHByZWduYW50IHdvbWVuIHRvIHByZXZlbnQgZXhjZXNzaXZlIG1hdGVybmFsIHdlaWdo
dCBnYWluOiBhIGNsdXN0ZXItcmFuZG9taXplZCBjb250cm9sbGVkIHRyaWFsPC90aXRsZT48c2Vj
b25kYXJ5LXRpdGxlPkJNQyBQcmVnbmFuY3kgQ2hpbGRiaXJ0aDwvc2Vjb25kYXJ5LXRpdGxlPjwv
dGl0bGVzPjxwZXJpb2RpY2FsPjxmdWxsLXRpdGxlPkJNQyBQcmVnbmFuY3kgQ2hpbGRiaXJ0aDwv
ZnVsbC10aXRsZT48L3BlcmlvZGljYWw+PHBhZ2VzPjE1MTwvcGFnZXM+PHZvbHVtZT4xMzwvdm9s
dW1lPjxlZGl0aW9uPjIwMTMvMDcvMjA8L2VkaXRpb24+PGtleXdvcmRzPjxrZXl3b3JkPkFkdWx0
PC9rZXl3b3JkPjxrZXl3b3JkPipCaXJ0aCBXZWlnaHQ8L2tleXdvcmQ+PGtleXdvcmQ+Q291bnNl
bGluZy8qbWV0aG9kczwva2V5d29yZD48a2V5d29yZD4qRW5lcmd5IEludGFrZTwva2V5d29yZD48
a2V5d29yZD5GZWFzaWJpbGl0eSBTdHVkaWVzPC9rZXl3b3JkPjxrZXl3b3JkPkZlbWFsZTwva2V5
d29yZD48a2V5d29yZD5IdW1hbnM8L2tleXdvcmQ+PGtleXdvcmQ+SW5mYW50LCBOZXdib3JuPC9r
ZXl3b3JkPjxrZXl3b3JkPipNb3RvciBBY3Rpdml0eTwva2V5d29yZD48a2V5d29yZD5PYmVzaXR5
LypwcmV2ZW50aW9uICZhbXA7IGNvbnRyb2w8L2tleXdvcmQ+PGtleXdvcmQ+T3ZlcndlaWdodC9w
cmV2ZW50aW9uICZhbXA7IGNvbnRyb2w8L2tleXdvcmQ+PGtleXdvcmQ+UG9zdHBhcnR1bSBQZXJp
b2Q8L2tleXdvcmQ+PGtleXdvcmQ+UHJlZ25hbmN5PC9rZXl3b3JkPjxrZXl3b3JkPlByZWduYW5j
eSBDb21wbGljYXRpb25zLypwcmV2ZW50aW9uICZhbXA7IGNvbnRyb2w8L2tleXdvcmQ+PGtleXdv
cmQ+UHJlZ25hbmN5IE91dGNvbWU8L2tleXdvcmQ+PGtleXdvcmQ+KldlaWdodCBHYWluPC9rZXl3
b3JkPjwva2V5d29yZHM+PGRhdGVzPjx5ZWFyPjIwMTM8L3llYXI+PHB1Yi1kYXRlcz48ZGF0ZT5K
dWwgMTY8L2RhdGU+PC9wdWItZGF0ZXM+PC9kYXRlcz48aXNibj4xNDcxLTIzOTMgKEVsZWN0cm9u
aWMpJiN4RDsxNDcxLTIzOTMgKExpbmtpbmcpPC9pc2JuPjxhY2Nlc3Npb24tbnVtPjIzODY1NjI0
PC9hY2Nlc3Npb24tbnVtPjx1cmxzPjxyZWxhdGVkLXVybHM+PHVybD5odHRwczovL3d3dy5uY2Jp
Lm5sbS5uaWguZ292L3B1Ym1lZC8yMzg2NTYyNDwvdXJsPjwvcmVsYXRlZC11cmxzPjwvdXJscz48
Y3VzdG9tMj5QTUMzNzE4NzA3PC9jdXN0b20yPjxlbGVjdHJvbmljLXJlc291cmNlLW51bT4xMC4x
MTg2LzE0NzEtMjM5My0xMy0xNTE8L2VsZWN0cm9uaWMtcmVzb3VyY2UtbnVtPjwvcmVjb3JkPjwv
Q2l0ZT48Q2l0ZT48QXV0aG9yPlBvbGxleTwvQXV0aG9yPjxZZWFyPjIwMDI8L1llYXI+PFJlY051
bT43MDY8L1JlY051bT48cmVjb3JkPjxyZWMtbnVtYmVyPjcwNjwvcmVjLW51bWJlcj48Zm9yZWln
bi1rZXlzPjxrZXkgYXBwPSJFTiIgZGItaWQ9ImV4dmFzcmZ4MmR0cmFvZXNhc3hwMnN6c3hhMmRm
NTAyNTkyeCIgdGltZXN0YW1wPSIxNTQwNTMwNjc0Ij43MDY8L2tleT48L2ZvcmVpZ24ta2V5cz48
cmVmLXR5cGUgbmFtZT0iSm91cm5hbCBBcnRpY2xlIj4xNzwvcmVmLXR5cGU+PGNvbnRyaWJ1dG9y
cz48YXV0aG9ycz48YXV0aG9yPlBvbGxleSwgQi4gQS48L2F1dGhvcj48YXV0aG9yPldpbmcsIFIu
IFIuPC9hdXRob3I+PGF1dGhvcj5TaW1zLCBDLiBKLjwvYXV0aG9yPjwvYXV0aG9ycz48L2NvbnRy
aWJ1dG9ycz48YXV0aC1hZGRyZXNzPlVuaXZlcnNpdHkgb2YgUGl0dHNidXJnaCwgUGl0dHNidXJn
aCwgUGVubnN5bHZhbmlhLCBVU0EuPC9hdXRoLWFkZHJlc3M+PHRpdGxlcz48dGl0bGU+UmFuZG9t
aXplZCBjb250cm9sbGVkIHRyaWFsIHRvIHByZXZlbnQgZXhjZXNzaXZlIHdlaWdodCBnYWluIGlu
IHByZWduYW50IHdvbWVuPC90aXRsZT48c2Vjb25kYXJ5LXRpdGxlPkludCBKIE9iZXMgUmVsYXQg
TWV0YWIgRGlzb3JkPC9zZWNvbmRhcnktdGl0bGU+PC90aXRsZXM+PHBlcmlvZGljYWw+PGZ1bGwt
dGl0bGU+SW50IEogT2JlcyBSZWxhdCBNZXRhYiBEaXNvcmQ8L2Z1bGwtdGl0bGU+PC9wZXJpb2Rp
Y2FsPjxwYWdlcz4xNDk0LTUwMjwvcGFnZXM+PHZvbHVtZT4yNjwvdm9sdW1lPjxudW1iZXI+MTE8
L251bWJlcj48ZWRpdGlvbj4yMDAyLzExLzIwPC9lZGl0aW9uPjxrZXl3b3Jkcz48a2V5d29yZD5B
ZHVsdDwva2V5d29yZD48a2V5d29yZD5FeGVyY2lzZSBUaGVyYXB5LyptZXRob2RzPC9rZXl3b3Jk
PjxrZXl3b3JkPkZlbWFsZTwva2V5d29yZD48a2V5d29yZD5IZWFsdGggQmVoYXZpb3I8L2tleXdv
cmQ+PGtleXdvcmQ+SHVtYW5zPC9rZXl3b3JkPjxrZXl3b3JkPk9iZXNpdHkvKnByZXZlbnRpb24g
JmFtcDsgY29udHJvbDwva2V5d29yZD48a2V5d29yZD5Qb3N0bmF0YWwgQ2FyZS9tZXRob2RzPC9r
ZXl3b3JkPjxrZXl3b3JkPlByZWduYW5jeTwva2V5d29yZD48a2V5d29yZD5QcmVnbmFuY3kgQ29t
cGxpY2F0aW9ucy8qcHJldmVudGlvbiAmYW1wOyBjb250cm9sPC9rZXl3b3JkPjxrZXl3b3JkPlBy
ZWduYW5jeSBPdXRjb21lPC9rZXl3b3JkPjxrZXl3b3JkPlByZW5hdGFsIENhcmUvbWV0aG9kczwv
a2V5d29yZD48a2V5d29yZD5XZWlnaHQgR2Fpbjwva2V5d29yZD48L2tleXdvcmRzPjxkYXRlcz48
eWVhcj4yMDAyPC95ZWFyPjxwdWItZGF0ZXM+PGRhdGU+Tm92PC9kYXRlPjwvcHViLWRhdGVzPjwv
ZGF0ZXM+PGFjY2Vzc2lvbi1udW0+MTI0Mzk2NTI8L2FjY2Vzc2lvbi1udW0+PHVybHM+PHJlbGF0
ZWQtdXJscz48dXJsPmh0dHBzOi8vd3d3Lm5jYmkubmxtLm5paC5nb3YvcHVibWVkLzEyNDM5NjUy
PC91cmw+PC9yZWxhdGVkLXVybHM+PC91cmxzPjxlbGVjdHJvbmljLXJlc291cmNlLW51bT4xMC4x
MDM4L3NqLmlqby4wODAyMTMwPC9lbGVjdHJvbmljLXJlc291cmNlLW51bT48L3JlY29yZD48L0Np
dGU+PENpdGU+PEF1dGhvcj5IYXdraW5zPC9BdXRob3I+PFllYXI+MjAxNTwvWWVhcj48UmVjTnVt
PjcyNjwvUmVjTnVtPjxyZWNvcmQ+PHJlYy1udW1iZXI+NzI2PC9yZWMtbnVtYmVyPjxmb3JlaWdu
LWtleXM+PGtleSBhcHA9IkVOIiBkYi1pZD0iZXh2YXNyZngyZHRyYW9lc2FzeHAyc3pzeGEyZGY1
MDI1OTJ4IiB0aW1lc3RhbXA9IjE1NDE0NjUzMjIiPjcyNjwva2V5PjwvZm9yZWlnbi1rZXlzPjxy
ZWYtdHlwZSBuYW1lPSJKb3VybmFsIEFydGljbGUiPjE3PC9yZWYtdHlwZT48Y29udHJpYnV0b3Jz
PjxhdXRob3JzPjxhdXRob3I+SGF3a2lucywgTS48L2F1dGhvcj48YXV0aG9yPkhvc2tlciwgTS48
L2F1dGhvcj48YXV0aG9yPk1hcmN1cywgQi4gSC48L2F1dGhvcj48YXV0aG9yPlJvc2FsLCBNLiBD
LjwvYXV0aG9yPjxhdXRob3I+QnJhdW4sIEIuPC9hdXRob3I+PGF1dGhvcj5TdGFuZWssIEUuIEou
LCAzcmQ8L2F1dGhvcj48YXV0aG9yPk1hcmtlbnNvbiwgRy48L2F1dGhvcj48YXV0aG9yPkNoYXNh
bi1UYWJlciwgTC48L2F1dGhvcj48L2F1dGhvcnM+PC9jb250cmlidXRvcnM+PGF1dGgtYWRkcmVz
cz5EaXZpc2lvbiBvZiBCaW9zdGF0aXN0aWNzIGFuZCBFcGlkZW1pb2xvZ3ksIERlcGFydG1lbnQg
b2YgUHVibGljIEhlYWx0aCwgU2Nob29sIG9mIFB1YmxpYyBIZWFsdGggYW5kIEhlYWx0aCBTY2ll
bmNlcywgVW5pdmVyc2l0eSBvZiBNYXNzYWNodXNldHRzLCBBbWhlcnN0LCBNQSwgVVNBLjwvYXV0
aC1hZGRyZXNzPjx0aXRsZXM+PHRpdGxlPkEgcHJlZ25hbmN5IGxpZmVzdHlsZSBpbnRlcnZlbnRp
b24gdG8gcHJldmVudCBnZXN0YXRpb25hbCBkaWFiZXRlcyByaXNrIGZhY3RvcnMgaW4gb3Zlcndl
aWdodCBIaXNwYW5pYyB3b21lbjogYSBmZWFzaWJpbGl0eSByYW5kb21pemVkIGNvbnRyb2xsZWQg
dHJpYWw8L3RpdGxlPjxzZWNvbmRhcnktdGl0bGU+RGlhYmV0IE1lZDwvc2Vjb25kYXJ5LXRpdGxl
PjwvdGl0bGVzPjxwZXJpb2RpY2FsPjxmdWxsLXRpdGxlPkRpYWJldCBNZWQ8L2Z1bGwtdGl0bGU+
PC9wZXJpb2RpY2FsPjxwYWdlcz4xMDgtMTU8L3BhZ2VzPjx2b2x1bWU+MzI8L3ZvbHVtZT48bnVt
YmVyPjE8L251bWJlcj48ZWRpdGlvbj4yMDE0LzEwLzE0PC9lZGl0aW9uPjxrZXl3b3Jkcz48a2V5
d29yZD5BZHVsdDwva2V5d29yZD48a2V5d29yZD5CaXJ0aCBXZWlnaHQ8L2tleXdvcmQ+PGtleXdv
cmQ+RGlhYmV0ZXMsIEdlc3RhdGlvbmFsLypwcmV2ZW50aW9uICZhbXA7IGNvbnRyb2w8L2tleXdv
cmQ+PGtleXdvcmQ+RGlldDwva2V5d29yZD48a2V5d29yZD5FeGVyY2lzZTwva2V5d29yZD48a2V5
d29yZD5GZWFzaWJpbGl0eSBTdHVkaWVzPC9rZXl3b3JkPjxrZXl3b3JkPkZlZWRpbmcgQmVoYXZp
b3I8L2tleXdvcmQ+PGtleXdvcmQ+RmVtYWxlPC9rZXl3b3JkPjxrZXl3b3JkPkhpc3BhbmljIEFt
ZXJpY2Fucy8qc3RhdGlzdGljcyAmYW1wOyBudW1lcmljYWwgZGF0YTwva2V5d29yZD48a2V5d29y
ZD5IdW1hbnM8L2tleXdvcmQ+PGtleXdvcmQ+SW5mYW50LCBOZXdib3JuPC9rZXl3b3JkPjxrZXl3
b3JkPk1hbGU8L2tleXdvcmQ+PGtleXdvcmQ+T3ZlcndlaWdodC9jb21wbGljYXRpb25zLypwcmV2
ZW50aW9uICZhbXA7IGNvbnRyb2w8L2tleXdvcmQ+PGtleXdvcmQ+UGF0aWVudCBDb21wbGlhbmNl
PC9rZXl3b3JkPjxrZXl3b3JkPlByZWduYW5jeTwva2V5d29yZD48a2V5d29yZD5QcmVuYXRhbCBD
YXJlPC9rZXl3b3JkPjxrZXl3b3JkPipQcmltYXJ5IFByZXZlbnRpb248L2tleXdvcmQ+PGtleXdv
cmQ+UmlzayBGYWN0b3JzPC9rZXl3b3JkPjxrZXl3b3JkPipSaXNrIFJlZHVjdGlvbiBCZWhhdmlv
cjwva2V5d29yZD48a2V5d29yZD5UcmVhdG1lbnQgT3V0Y29tZTwva2V5d29yZD48a2V5d29yZD5V
bml0ZWQgU3RhdGVzL2VwaWRlbWlvbG9neTwva2V5d29yZD48a2V5d29yZD5XZWlnaHQgR2Fpbjwv
a2V5d29yZD48L2tleXdvcmRzPjxkYXRlcz48eWVhcj4yMDE1PC95ZWFyPjxwdWItZGF0ZXM+PGRh
dGU+SmFuPC9kYXRlPjwvcHViLWRhdGVzPjwvZGF0ZXM+PGlzYm4+MTQ2NC01NDkxIChFbGVjdHJv
bmljKSYjeEQ7MDc0Mi0zMDcxIChMaW5raW5nKTwvaXNibj48YWNjZXNzaW9uLW51bT4yNTMwNjky
NTwvYWNjZXNzaW9uLW51bT48dXJscz48cmVsYXRlZC11cmxzPjx1cmw+aHR0cHM6Ly93d3cubmNi
aS5ubG0ubmloLmdvdi9wdWJtZWQvMjUzMDY5MjU8L3VybD48L3JlbGF0ZWQtdXJscz48L3VybHM+
PGVsZWN0cm9uaWMtcmVzb3VyY2UtbnVtPjEwLjExMTEvZG1lLjEyNjAxPC9lbGVjdHJvbmljLXJl
c291cmNlLW51bT48L3JlY29yZD48L0NpdGU+PENpdGU+PEF1dGhvcj5Lb2l2dXNhbG88L0F1dGhv
cj48WWVhcj4yMDE2PC9ZZWFyPjxSZWNOdW0+NzMzPC9SZWNOdW0+PHJlY29yZD48cmVjLW51bWJl
cj43MzM8L3JlYy1udW1iZXI+PGZvcmVpZ24ta2V5cz48a2V5IGFwcD0iRU4iIGRiLWlkPSJleHZh
c3JmeDJkdHJhb2VzYXN4cDJzenN4YTJkZjUwMjU5MngiIHRpbWVzdGFtcD0iMTU0MTQ2Nzc2NiI+
NzMzPC9rZXk+PGtleSBhcHA9IkVOV2ViIiBkYi1pZD0iIj4wPC9rZXk+PC9mb3JlaWduLWtleXM+
PHJlZi10eXBlIG5hbWU9IkpvdXJuYWwgQXJ0aWNsZSI+MTc8L3JlZi10eXBlPjxjb250cmlidXRv
cnM+PGF1dGhvcnM+PGF1dGhvcj5Lb2l2dXNhbG8sIFMuQi4sPC9hdXRob3I+PGF1dGhvcj5Sw7Zu
w7YsIEsuLDwvYXV0aG9yPjxhdXRob3I+S2xlbWV0dGksIE0uTS4sPC9hdXRob3I+PGF1dGhvcj5S
b2luZSwgUi5QLiw8L2F1dGhvcj48YXV0aG9yPkxpbmRzdHLDtm0sIEouLDwvYXV0aG9yPjxhdXRo
b3I+RXJra29sYSwgTS4sPC9hdXRob3I+PC9hdXRob3JzPjwvY29udHJpYnV0b3JzPjx0aXRsZXM+
PHRpdGxlPkdlc3RhdGlvbmFsIGRpYWJldGVzIG1lbGxpdHVzIGNhbiBiZSBwcmV2ZW50ZWQgYnkg
bGlmZXN0eWxlIGludGVydmVudGlvbjogVGhlIEZpbm5pc2ggR2VzdGF0aW9uYWwgRGlhYmV0ZXMg
UHJldmVudGlvbiBTdHVkeSAoUkFESUVMKTwvdGl0bGU+PHNlY29uZGFyeS10aXRsZT5EaWFiZXRl
cyBDYXJlPC9zZWNvbmRhcnktdGl0bGU+PC90aXRsZXM+PHBlcmlvZGljYWw+PGZ1bGwtdGl0bGU+
RGlhYmV0ZXMgQ2FyZTwvZnVsbC10aXRsZT48L3BlcmlvZGljYWw+PHBhZ2VzPjI0LTMwPC9wYWdl
cz48dm9sdW1lPjM5PC92b2x1bWU+PG51bWJlcj4xPC9udW1iZXI+PHNlY3Rpb24+MjQ8L3NlY3Rp
b24+PGRhdGVzPjx5ZWFyPjIwMTY8L3llYXI+PC9kYXRlcz48aXNibj4wMTQ5LTU5OTImI3hEOzE5
MzUtNTU0ODwvaXNibj48dXJscz48L3VybHM+PGVsZWN0cm9uaWMtcmVzb3VyY2UtbnVtPjEwLjIz
MzcvZGMxNS0wNTExPC9lbGVjdHJvbmljLXJlc291cmNlLW51bT48L3JlY29yZD48L0NpdGU+PENp
dGU+PEF1dGhvcj5WYW4gSG9ybjwvQXV0aG9yPjxZZWFyPjIwMTg8L1llYXI+PFJlY051bT4xMzc2
PC9SZWNOdW0+PHJlY29yZD48cmVjLW51bWJlcj4xMzc2PC9yZWMtbnVtYmVyPjxmb3JlaWduLWtl
eXM+PGtleSBhcHA9IkVOIiBkYi1pZD0iZXh2YXNyZngyZHRyYW9lc2FzeHAyc3pzeGEyZGY1MDI1
OTJ4IiB0aW1lc3RhbXA9IjE1NjcwMzU5ODciPjEzNzY8L2tleT48a2V5IGFwcD0iRU5XZWIiIGRi
LWlkPSIiPjA8L2tleT48L2ZvcmVpZ24ta2V5cz48cmVmLXR5cGUgbmFtZT0iSm91cm5hbCBBcnRp
Y2xlIj4xNzwvcmVmLXR5cGU+PGNvbnRyaWJ1dG9ycz48YXV0aG9ycz48YXV0aG9yPlZhbiBIb3Ju
LCBMLjwvYXV0aG9yPjxhdXRob3I+UGVhY2VtYW4sIEEuPC9hdXRob3I+PGF1dGhvcj5Ld2Fzbnks
IE0uPC9hdXRob3I+PGF1dGhvcj5WaW5jZW50LCBFLjwvYXV0aG9yPjxhdXRob3I+Rm91Z2h0LCBB
LjwvYXV0aG9yPjxhdXRob3I+Sm9zZWZzb24sIEouPC9hdXRob3I+PGF1dGhvcj5TcHJpbmcsIEIu
PC9hdXRob3I+PGF1dGhvcj5OZWZmLCBMLiBNLjwvYXV0aG9yPjxhdXRob3I+R2VybmhvZmVyLCBO
LjwvYXV0aG9yPjwvYXV0aG9ycz48L2NvbnRyaWJ1dG9ycz48YXV0aC1hZGRyZXNzPkRlcGFydG1l
bnQgb2YgUHJldmVudGl2ZSBNZWRpY2luZSwgTm9ydGh3ZXN0ZXJuIFVuaXZlcnNpdHkgRmVpbmJl
cmcgU2Nob29sIG9mIE1lZGljaW5lLCBDaGljYWdvLCBJbGxpbm9pcy4gRWxlY3Ryb25pYyBhZGRy
ZXNzOiBsdmFuaG9ybkBub3J0aHdlc3Rlcm4uZWR1LiYjeEQ7RGVwYXJ0bWVudCBvZiBPYnN0ZXRy
aWNzIGFuZCBHeW5lY29sb2d5LCBOb3J0aHdlc3Rlcm4gVW5pdmVyc2l0eSBGZWluYmVyZyBTY2hv
b2wgb2YgTWVkaWNpbmUsIENoaWNhZ28sIElsbGlub2lzLiYjeEQ7RGVwYXJ0bWVudCBvZiBQcmV2
ZW50aXZlIE1lZGljaW5lLCBOb3J0aHdlc3Rlcm4gVW5pdmVyc2l0eSBGZWluYmVyZyBTY2hvb2wg
b2YgTWVkaWNpbmUsIENoaWNhZ28sIElsbGlub2lzLiYjeEQ7RGVwYXJ0bWVudCBvZiBQcmV2ZW50
aXZlIE1lZGljaW5lLCBOb3J0aHdlc3Rlcm4gVW5pdmVyc2l0eSBGZWluYmVyZyBTY2hvb2wgb2Yg
TWVkaWNpbmUsIENoaWNhZ28sIElsbGlub2lzOyBBbm4gYW5kIFJvYmVydCBILiBMdXJpZSBDaGls
ZHJlbiZhcG9zO3MgSG9zcGl0YWwgb2YgQ2hpY2FnbywgQ2hpY2FnbywgSWxsaW5vaXMuJiN4RDtE
ZXBhcnRtZW50IG9mIE1lZGljaW5lLCBOb3J0aHdlc3Rlcm4gVW5pdmVyc2l0eSBGZWluYmVyZyBT
Y2hvb2wgb2YgTWVkaWNpbmUsIENoaWNhZ28sIElsbGlub2lzLjwvYXV0aC1hZGRyZXNzPjx0aXRs
ZXM+PHRpdGxlPkRpZXRhcnkgQXBwcm9hY2hlcyB0byBTdG9wIEh5cGVydGVuc2lvbiBEaWV0IGFu
ZCBBY3Rpdml0eSB0byBMaW1pdCBHZXN0YXRpb25hbCBXZWlnaHQ6IE1hdGVybmFsIE9mZnNwcmlu
ZyBNZXRhYm9saWNzIEZhbWlseSBJbnRlcnZlbnRpb24gVHJpYWwsIGEgVGVjaG5vbG9neSBFbmhh
bmNlZCBSYW5kb21pemVkIFRyaWFsPC90aXRsZT48c2Vjb25kYXJ5LXRpdGxlPkFtIEogUHJldiBN
ZWQ8L3NlY29uZGFyeS10aXRsZT48L3RpdGxlcz48cGVyaW9kaWNhbD48ZnVsbC10aXRsZT5BbSBK
IFByZXYgTWVkPC9mdWxsLXRpdGxlPjwvcGVyaW9kaWNhbD48cGFnZXM+NjAzLTYxNDwvcGFnZXM+
PHZvbHVtZT41NTwvdm9sdW1lPjxudW1iZXI+NTwvbnVtYmVyPjxlZGl0aW9uPjIwMTgvMDkvMjk8
L2VkaXRpb24+PGRhdGVzPjx5ZWFyPjIwMTg8L3llYXI+PHB1Yi1kYXRlcz48ZGF0ZT5Ob3Y8L2Rh
dGU+PC9wdWItZGF0ZXM+PC9kYXRlcz48aXNibj4xODczLTI2MDcgKEVsZWN0cm9uaWMpJiN4RDsw
NzQ5LTM3OTcgKExpbmtpbmcpPC9pc2JuPjxhY2Nlc3Npb24tbnVtPjMwMjYyMTQ4PC9hY2Nlc3Np
b24tbnVtPjx1cmxzPjxyZWxhdGVkLXVybHM+PHVybD5odHRwczovL3d3dy5uY2JpLm5sbS5uaWgu
Z292L3B1Ym1lZC8zMDI2MjE0ODwvdXJsPjwvcmVsYXRlZC11cmxzPjwvdXJscz48ZWxlY3Ryb25p
Yy1yZXNvdXJjZS1udW0+MTAuMTAxNi9qLmFtZXByZS4yMDE4LjA2LjAxNTwvZWxlY3Ryb25pYy1y
ZXNvdXJjZS1udW0+PC9yZWNvcmQ+PC9DaXRlPjxDaXRlPjxBdXRob3I+S2lhbmkgQXNpYWJhcjwv
QXV0aG9yPjxZZWFyPjIwMTg8L1llYXI+PFJlY051bT4xMzgwPC9SZWNOdW0+PHJlY29yZD48cmVj
LW51bWJlcj4xMzgwPC9yZWMtbnVtYmVyPjxmb3JlaWduLWtleXM+PGtleSBhcHA9IkVOIiBkYi1p
ZD0iZXh2YXNyZngyZHRyYW9lc2FzeHAyc3pzeGEyZGY1MDI1OTJ4IiB0aW1lc3RhbXA9IjE1Njcx
MjQ1NzEiPjEzODA8L2tleT48a2V5IGFwcD0iRU5XZWIiIGRiLWlkPSIiPjA8L2tleT48L2ZvcmVp
Z24ta2V5cz48cmVmLXR5cGUgbmFtZT0iSm91cm5hbCBBcnRpY2xlIj4xNzwvcmVmLXR5cGU+PGNv
bnRyaWJ1dG9ycz48YXV0aG9ycz48YXV0aG9yPktpYW5pIEFzaWFiYXIsIEEuPC9hdXRob3I+PGF1
dGhvcj5BbWluIFNob2tyYXZpLCBGLjwvYXV0aG9yPjxhdXRob3I+SGFqaWZhcmFqaSwgTS48L2F1
dGhvcj48YXV0aG9yPlpheWVyaSwgRi48L2F1dGhvcj48L2F1dGhvcnM+PC9jb250cmlidXRvcnM+
PGF1dGgtYWRkcmVzcz5EZXBhcnRtZW50IG9mIEhlYWx0aCBFZHVjYXRpb24gYW5kIEhlYWx0aCBQ
cm9tb3Rpb24sIEZhY3VsdHkgb2YgTWVkaWNhbCBTY2llbmNlcywgVGFyYmlhdCBNb2RhcmVzIFVu
aXZlcnNpdHksIFRlaHJhbiwgSXJhbi4mI3hEO0RlcGFydG1lbnQgb2YgTWlkd2lmZXJ5LCBGYWN1
bHR5IG9mIE51cnNpbmcgYW5kIE1pZHdpZmVyeSwgU2hhaGVkIFVuaXZlcnNpdHksIFRlaHJhbiwg
SXJhbi4mI3hEO0RlcGFydG1lbnQgb2YgSGVhbHRoIEVkdWNhdGlvbnMgYW5kIEhlYWx0aCBQcm9t
b3Rpb24sIEZhY3VsdHkgb2YgTWVkaWNhbCBTY2llbmNlcywgVGFyYmlhdCBNb2RhcmVzIFVuaXZl
cnNpdHksIFRlaHJhbiwgSXJhbi4mI3hEO05hdGlvbmFsIE51dHJpdGlvbiBhbmQgRm9vZCBUZWNo
bm9sb2d5IFJlc2VhcmNoIEluc3RpdHV0ZSwgU2Nob29sIG9mIE51dHJpdGlvbiBTY2llbmNlcyBh
bmQgRm9vZCBUZWNobm9sb2d5LCBTaGFoaWQgQmVoZXNodGkgVW5pdmVyc2l0eSBvZiBNZWRpY2Fs
IFNjaWVuY2VzLCBUZWhyYW4sIElyYW4uJiN4RDtEZXBhcnRtZW50IG9mIEJpb3N0YXRpc3RpY3Ms
IEZhY3VsdHkgb2YgUGFyYW1lZGljYWwgU2NpZW5jZXMsIFNoYWhpZCBCZWhlc2h0aSBVbml2ZXJz
aXR5IG9mIE1lZGljYWwgU2NpZW5jZXMsIFRlaHJhbiwgSXJhbi48L2F1dGgtYWRkcmVzcz48dGl0
bGVzPjx0aXRsZT5UaGUgZWZmZWN0IG9mIGFuIGVkdWNhdGlvbmFsIGludGVydmVudGlvbiBpbiBl
YXJseSBwcmVnbmFuY3kgd2l0aCBzcG91c2UmYXBvcztzIHBhcnRpY2lwYXRpb24gb24gb3B0aW1h
bCBnZXN0YXRpb25hbCB3ZWlnaHQgZ2FpbiBpbiBwcmVnbmFuY3k6IGEgcmFuZG9taXplZCBjb250
cm9sbGVkIHRyaWFsPC90aXRsZT48c2Vjb25kYXJ5LXRpdGxlPkhlYWx0aCBFZHVjIFJlczwvc2Vj
b25kYXJ5LXRpdGxlPjwvdGl0bGVzPjxwZXJpb2RpY2FsPjxmdWxsLXRpdGxlPkhlYWx0aCBFZHVj
IFJlczwvZnVsbC10aXRsZT48L3BlcmlvZGljYWw+PHBhZ2VzPjUzNS01NDc8L3BhZ2VzPjx2b2x1
bWU+MzM8L3ZvbHVtZT48bnVtYmVyPjY8L251bWJlcj48ZWRpdGlvbj4yMDE4LzExLzMwPC9lZGl0
aW9uPjxkYXRlcz48eWVhcj4yMDE4PC95ZWFyPjxwdWItZGF0ZXM+PGRhdGU+RGVjIDE8L2RhdGU+
PC9wdWItZGF0ZXM+PC9kYXRlcz48aXNibj4xNDY1LTM2NDggKEVsZWN0cm9uaWMpJiN4RDswMjY4
LTExNTMgKExpbmtpbmcpPC9pc2JuPjxhY2Nlc3Npb24tbnVtPjMwNDk2NDA5PC9hY2Nlc3Npb24t
bnVtPjx1cmxzPjxyZWxhdGVkLXVybHM+PHVybD5odHRwczovL3d3dy5uY2JpLm5sbS5uaWguZ292
L3B1Ym1lZC8zMDQ5NjQwOTwvdXJsPjwvcmVsYXRlZC11cmxzPjwvdXJscz48ZWxlY3Ryb25pYy1y
ZXNvdXJjZS1udW0+MTAuMTA5My9oZXIvY3l5MDQwPC9lbGVjdHJvbmljLXJlc291cmNlLW51bT48
L3JlY29yZD48L0NpdGU+PENpdGU+PEF1dGhvcj5Eb2RkPC9BdXRob3I+PFllYXI+MjAxOTwvWWVh
cj48UmVjTnVtPjE5MjI8L1JlY051bT48cmVjb3JkPjxyZWMtbnVtYmVyPjE5MjI8L3JlYy1udW1i
ZXI+PGZvcmVpZ24ta2V5cz48a2V5IGFwcD0iRU4iIGRiLWlkPSJleHZhc3JmeDJkdHJhb2VzYXN4
cDJzenN4YTJkZjUwMjU5MngiIHRpbWVzdGFtcD0iMTU4ODU2MDM2OCI+MTkyMjwva2V5PjxrZXkg
YXBwPSJFTldlYiIgZGItaWQ9IiI+MDwva2V5PjwvZm9yZWlnbi1rZXlzPjxyZWYtdHlwZSBuYW1l
PSJKb3VybmFsIEFydGljbGUiPjE3PC9yZWYtdHlwZT48Y29udHJpYnV0b3JzPjxhdXRob3JzPjxh
dXRob3I+RG9kZCwgSi4gTS48L2F1dGhvcj48YXV0aG9yPkRldXNzZW4sIEEuIFIuPC9hdXRob3I+
PGF1dGhvcj5Mb3Vpc2UsIEouPC9hdXRob3I+PC9hdXRob3JzPjwvY29udHJpYnV0b3JzPjxhdXRo
LWFkZHJlc3M+RGlzY2lwbGluZSBvZiBPYnN0ZXRyaWNzICZhbXA7IEd5bmFlY29sb2d5LCBhbmQg
Um9iaW5zb24gUmVzZWFyY2ggSW5zdGl0dXRlLCBUaGUgVW5pdmVyc2l0eSBvZiBBZGVsYWlkZSwg
QWRlbGFpZGUsIFNBIDUwMDYsIEF1c3RyYWxpYS4mI3hEO0RlcGFydG1lbnQgb2YgUGVyaW5hdGFs
IE1lZGljaW5lIFdvbWVuJmFwb3M7cyBhbmQgQ2hpbGRyZW4mYXBvcztzIEhvc3BpdGFsLCBOb3J0
aCBBZGVsYWlkZSwgQWRlbGFpZGUsIFNBIDUwMDYsIEF1c3RyYWxpYS48L2F1dGgtYWRkcmVzcz48
dGl0bGVzPjx0aXRsZT5BIHJhbmRvbWlzZWQgdHJpYWwgdG8gb3B0aW1pc2UgZ2VzdGF0aW9uYWwg
d2VpZ2h0IGdhaW4gYW5kIGltcHJvdmUgbWF0ZXJuYWwgYW5kIGluZmFudCBoZWFsdGggb3V0Y29t
ZXMgdGhyb3VnaCBhbnRlbmF0YWwgZGlldGFyeSwgbGlmZXN0eWxlIGFuZCBleGVyY2lzZSBhZHZp
Y2U6IFRoZSBPUFRJTUlTRSByYW5kb21pc2VkIHRyaWFsPC90aXRsZT48c2Vjb25kYXJ5LXRpdGxl
Pk51dHJpZW50czwvc2Vjb25kYXJ5LXRpdGxlPjwvdGl0bGVzPjxwZXJpb2RpY2FsPjxmdWxsLXRp
dGxlPk51dHJpZW50czwvZnVsbC10aXRsZT48L3BlcmlvZGljYWw+PHZvbHVtZT4xMTwvdm9sdW1l
PjxudW1iZXI+MTI8L251bWJlcj48ZWRpdGlvbj4yMDE5LzEyLzA4PC9lZGl0aW9uPjxrZXl3b3Jk
cz48a2V5d29yZD5kaWV0YXJ5IGFuZCBsaWZlc3R5bGUgaW50ZXJ2ZW50aW9uPC9rZXl3b3JkPjxr
ZXl3b3JkPmdlc3RhdGlvbmFsIHdlaWdodCBnYWluPC9rZXl3b3JkPjxrZXl3b3JkPnJhbmRvbWlz
ZWQgY29udHJvbGxlZCB0cmlhbDwva2V5d29yZD48L2tleXdvcmRzPjxkYXRlcz48eWVhcj4yMDE5
PC95ZWFyPjxwdWItZGF0ZXM+PGRhdGU+RGVjIDI8L2RhdGU+PC9wdWItZGF0ZXM+PC9kYXRlcz48
aXNibj4yMDcyLTY2NDMgKEVsZWN0cm9uaWMpJiN4RDsyMDcyLTY2NDMgKExpbmtpbmcpPC9pc2Ju
PjxhY2Nlc3Npb24tbnVtPjMxODEwMjE3PC9hY2Nlc3Npb24tbnVtPjx1cmxzPjxyZWxhdGVkLXVy
bHM+PHVybD5odHRwczovL3d3dy5uY2JpLm5sbS5uaWguZ292L3B1Ym1lZC8zMTgxMDIxNzwvdXJs
PjwvcmVsYXRlZC11cmxzPjwvdXJscz48Y3VzdG9tMj5QTUM2OTQ5OTMxPC9jdXN0b20yPjxlbGVj
dHJvbmljLXJlc291cmNlLW51bT4xMC4zMzkwL251MTExMjI5MTE8L2VsZWN0cm9uaWMtcmVzb3Vy
Y2UtbnVtPjwvcmVjb3JkPjwvQ2l0ZT48L0VuZE5vdGU+AG==
</w:fldData>
        </w:fldChar>
      </w:r>
      <w:r w:rsidR="002747EA">
        <w:rPr>
          <w:sz w:val="16"/>
          <w:szCs w:val="16"/>
        </w:rPr>
        <w:instrText xml:space="preserve"> ADDIN EN.CITE </w:instrText>
      </w:r>
      <w:r w:rsidR="002747EA">
        <w:rPr>
          <w:sz w:val="16"/>
          <w:szCs w:val="16"/>
        </w:rPr>
        <w:fldChar w:fldCharType="begin">
          <w:fldData xml:space="preserve">PEVuZE5vdGU+PENpdGU+PEF1dGhvcj5QYXdhbGlhPC9BdXRob3I+PFllYXI+MjAxNzwvWWVhcj48
UmVjTnVtPjc1MDwvUmVjTnVtPjxEaXNwbGF5VGV4dD48c3R5bGUgZmFjZT0ic3VwZXJzY3JpcHQi
IGZvbnQ9IlRyZWJ1Y2hldCBNUyIgc2l6ZT0iOSI+NDg0LDQ4Nyw0OTMsNDk1LDQ5Niw0OTgsNTAw
LDUwMyw1MDUsNTE5LDUyMTwvc3R5bGU+PC9EaXNwbGF5VGV4dD48cmVjb3JkPjxyZWMtbnVtYmVy
Pjc1MDwvcmVjLW51bWJlcj48Zm9yZWlnbi1rZXlzPjxrZXkgYXBwPSJFTiIgZGItaWQ9ImV4dmFz
cmZ4MmR0cmFvZXNhc3hwMnN6c3hhMmRmNTAyNTkyeCIgdGltZXN0YW1wPSIxNTQxNDY3OTE5Ij43
NTA8L2tleT48a2V5IGFwcD0iRU5XZWIiIGRiLWlkPSIiPjA8L2tleT48L2ZvcmVpZ24ta2V5cz48
cmVmLXR5cGUgbmFtZT0iSm91cm5hbCBBcnRpY2xlIj4xNzwvcmVmLXR5cGU+PGNvbnRyaWJ1dG9y
cz48YXV0aG9ycz48YXV0aG9yPlBhd2FsaWEsIEFsa2E8L2F1dGhvcj48YXV0aG9yPkt1bGFuZGFp
dmVsYW4sIFNpdmFjaGlkYW1iYXJhbTwvYXV0aG9yPjxhdXRob3I+U2F2YW50LCBTYXR5YTwvYXV0
aG9yPjxhdXRob3I+WWFkYXYsIFZpa3JhbSBTaW5naDwvYXV0aG9yPjwvYXV0aG9ycz48L2NvbnRy
aWJ1dG9ycz48dGl0bGVzPjx0aXRsZT5FeGVyY2lzZSBpbiBQcmVnbmFuY3k6IEVmZmVjdCBvbiBP
YmVzaXR5IFBhcmFtZXRlcnMgaW4gSW5kaWFuIFdvbWVuIOKAkyBBIFJhbmRvbWl6ZWQgQ29udHJv
bGxlZCBUcmlhbDwvdGl0bGU+PHNlY29uZGFyeS10aXRsZT5Sb21hbmlhbiBKb3VybmFsIG9mIERp
YWJldGVzIE51dHJpdGlvbiBhbmQgTWV0YWJvbGljIERpc2Vhc2VzPC9zZWNvbmRhcnktdGl0bGU+
PC90aXRsZXM+PHBlcmlvZGljYWw+PGZ1bGwtdGl0bGU+Um9tYW5pYW4gSm91cm5hbCBvZiBEaWFi
ZXRlcyBOdXRyaXRpb24gYW5kIE1ldGFib2xpYyBEaXNlYXNlczwvZnVsbC10aXRsZT48L3Blcmlv
ZGljYWw+PHZvbHVtZT4yNDwvdm9sdW1lPjxudW1iZXI+NDwvbnVtYmVyPjxkYXRlcz48eWVhcj4y
MDE3PC95ZWFyPjwvZGF0ZXM+PGlzYm4+MjI4NC02NDE3PC9pc2JuPjx1cmxzPjwvdXJscz48ZWxl
Y3Ryb25pYy1yZXNvdXJjZS1udW0+MTAuMTUxNS9yamRubWQtMjAxNy0wMDM3PC9lbGVjdHJvbmlj
LXJlc291cmNlLW51bT48L3JlY29yZD48L0NpdGU+PENpdGU+PEF1dGhvcj5Eb2RkPC9BdXRob3I+
PFllYXI+MjAxNDwvWWVhcj48UmVjTnVtPjEwODA8L1JlY051bT48cmVjb3JkPjxyZWMtbnVtYmVy
PjEwODA8L3JlYy1udW1iZXI+PGZvcmVpZ24ta2V5cz48a2V5IGFwcD0iRU4iIGRiLWlkPSJleHZh
c3JmeDJkdHJhb2VzYXN4cDJzenN4YTJkZjUwMjU5MngiIHRpbWVzdGFtcD0iMTU1Mjk0NjQ3MiI+
MTA4MDwva2V5PjxrZXkgYXBwPSJFTldlYiIgZGItaWQ9IiI+MDwva2V5PjwvZm9yZWlnbi1rZXlz
PjxyZWYtdHlwZSBuYW1lPSJKb3VybmFsIEFydGljbGUiPjE3PC9yZWYtdHlwZT48Y29udHJpYnV0
b3JzPjxhdXRob3JzPjxhdXRob3I+RG9kZCwgSm9kaWUgTS48L2F1dGhvcj48YXV0aG9yPkdyaXZl
bGwsIFJvc2FsaWUgTS48L2F1dGhvcj48YXV0aG9yPk93ZW5zLCBKdWxpZSBBLjwvYXV0aG9yPjwv
YXV0aG9ycz48L2NvbnRyaWJ1dG9ycz48dGl0bGVzPjx0aXRsZT5BbnRlbmF0YWwgRGlldGFyeSBh
bmQgTGlmZXN0eWxlIEludGVydmVudGlvbnMgZm9yIFdvbWVuIFdobyBhcmUgT3ZlcndlaWdodCBv
ciBPYmVzZTogT3V0Y29tZXMgZnJvbSB0aGUgTElNSVQgUmFuZG9taXplZCBUcmlhbDwvdGl0bGU+
PHNlY29uZGFyeS10aXRsZT5DdXJyZW50IE51dHJpdGlvbiBSZXBvcnRzPC9zZWNvbmRhcnktdGl0
bGU+PC90aXRsZXM+PHBlcmlvZGljYWw+PGZ1bGwtdGl0bGU+Q3VycmVudCBOdXRyaXRpb24gUmVw
b3J0czwvZnVsbC10aXRsZT48L3BlcmlvZGljYWw+PHBhZ2VzPjM5Mi0zOTk8L3BhZ2VzPjx2b2x1
bWU+Mzwvdm9sdW1lPjxudW1iZXI+NDwvbnVtYmVyPjxzZWN0aW9uPjM5Mjwvc2VjdGlvbj48ZGF0
ZXM+PHllYXI+MjAxNDwveWVhcj48L2RhdGVzPjxpc2JuPjIxNjEtMzMxMTwvaXNibj48dXJscz48
L3VybHM+PGVsZWN0cm9uaWMtcmVzb3VyY2UtbnVtPjEwLjEwMDcvczEzNjY4LTAxNC0wMTAxLTc8
L2VsZWN0cm9uaWMtcmVzb3VyY2UtbnVtPjwvcmVjb3JkPjwvQ2l0ZT48Q2l0ZT48QXV0aG9yPkRv
ZGQ8L0F1dGhvcj48WWVhcj4yMDE0PC9ZZWFyPjxSZWNOdW0+MTA4MDwvUmVjTnVtPjxyZWNvcmQ+
PHJlYy1udW1iZXI+MTA4MDwvcmVjLW51bWJlcj48Zm9yZWlnbi1rZXlzPjxrZXkgYXBwPSJFTiIg
ZGItaWQ9ImV4dmFzcmZ4MmR0cmFvZXNhc3hwMnN6c3hhMmRmNTAyNTkyeCIgdGltZXN0YW1wPSIx
NTUyOTQ2NDcyIj4xMDgwPC9rZXk+PGtleSBhcHA9IkVOV2ViIiBkYi1pZD0iIj4wPC9rZXk+PC9m
b3JlaWduLWtleXM+PHJlZi10eXBlIG5hbWU9IkpvdXJuYWwgQXJ0aWNsZSI+MTc8L3JlZi10eXBl
Pjxjb250cmlidXRvcnM+PGF1dGhvcnM+PGF1dGhvcj5Eb2RkLCBKb2RpZSBNLjwvYXV0aG9yPjxh
dXRob3I+R3JpdmVsbCwgUm9zYWxpZSBNLjwvYXV0aG9yPjxhdXRob3I+T3dlbnMsIEp1bGllIEEu
PC9hdXRob3I+PC9hdXRob3JzPjwvY29udHJpYnV0b3JzPjx0aXRsZXM+PHRpdGxlPkFudGVuYXRh
bCBEaWV0YXJ5IGFuZCBMaWZlc3R5bGUgSW50ZXJ2ZW50aW9ucyBmb3IgV29tZW4gV2hvIGFyZSBP
dmVyd2VpZ2h0IG9yIE9iZXNlOiBPdXRjb21lcyBmcm9tIHRoZSBMSU1JVCBSYW5kb21pemVkIFRy
aWFsPC90aXRsZT48c2Vjb25kYXJ5LXRpdGxlPkN1cnJlbnQgTnV0cml0aW9uIFJlcG9ydHM8L3Nl
Y29uZGFyeS10aXRsZT48L3RpdGxlcz48cGVyaW9kaWNhbD48ZnVsbC10aXRsZT5DdXJyZW50IE51
dHJpdGlvbiBSZXBvcnRzPC9mdWxsLXRpdGxlPjwvcGVyaW9kaWNhbD48cGFnZXM+MzkyLTM5OTwv
cGFnZXM+PHZvbHVtZT4zPC92b2x1bWU+PG51bWJlcj40PC9udW1iZXI+PHNlY3Rpb24+MzkyPC9z
ZWN0aW9uPjxkYXRlcz48eWVhcj4yMDE0PC95ZWFyPjwvZGF0ZXM+PGlzYm4+MjE2MS0zMzExPC9p
c2JuPjx1cmxzPjwvdXJscz48ZWxlY3Ryb25pYy1yZXNvdXJjZS1udW0+MTAuMTAwNy9zMTM2Njgt
MDE0LTAxMDEtNzwvZWxlY3Ryb25pYy1yZXNvdXJjZS1udW0+PC9yZWNvcmQ+PC9DaXRlPjxDaXRl
PjxBdXRob3I+U2FnZWRhbDwvQXV0aG9yPjxZZWFyPjIwMTc8L1llYXI+PFJlY051bT45Mzk8L1Jl
Y051bT48cmVjb3JkPjxyZWMtbnVtYmVyPjkzOTwvcmVjLW51bWJlcj48Zm9yZWlnbi1rZXlzPjxr
ZXkgYXBwPSJFTiIgZGItaWQ9ImV4dmFzcmZ4MmR0cmFvZXNhc3hwMnN6c3hhMmRmNTAyNTkyeCIg
dGltZXN0YW1wPSIxNTQxNTQxODIyIj45Mzk8L2tleT48a2V5IGFwcD0iRU5XZWIiIGRiLWlkPSIi
PjA8L2tleT48L2ZvcmVpZ24ta2V5cz48cmVmLXR5cGUgbmFtZT0iSm91cm5hbCBBcnRpY2xlIj4x
NzwvcmVmLXR5cGU+PGNvbnRyaWJ1dG9ycz48YXV0aG9ycz48YXV0aG9yPlNhZ2VkYWwsIEwuIFIu
PC9hdXRob3I+PGF1dGhvcj5WaXN0YWQsIEkuPC9hdXRob3I+PGF1dGhvcj5PdmVyYnksIE4uIEMu
PC9hdXRob3I+PGF1dGhvcj5CZXJlLCBFLjwvYXV0aG9yPjxhdXRob3I+VG9yc3R2ZWl0LCBNLiBL
LjwvYXV0aG9yPjxhdXRob3I+TG9obmUtU2VpbGVyLCBILjwvYXV0aG9yPjxhdXRob3I+SGlsbGVz
dW5kLCBFLiBSLjwvYXV0aG9yPjxhdXRob3I+UHJpcHAsIEEuPC9hdXRob3I+PGF1dGhvcj5IZW5y
aWtzZW4sIFQuPC9hdXRob3I+PC9hdXRob3JzPjwvY29udHJpYnV0b3JzPjxhdXRoLWFkZHJlc3M+
RGVwYXJ0bWVudCBvZiBPYnN0ZXRyaWNzIGFuZCBHeW5lY29sb2d5L0RlcGFydG1lbnQgb2YgUmVz
ZWFyY2gsIFNvcmxhbmRldCBIb3NwaXRhbCwgUG9zdGJveCA0MTYsIDQ2MDQsIEtyaXN0aWFuc2Fu
ZCwgTm9yd2F5LiBsaW5kYS5zYWdlZGFsQHNzaGYubm8uJiN4RDtEZXBhcnRtZW50IG9mIE9ic3Rl
dHJpY3MgYW5kIEd5bmVjb2xvZ3kvRGVwYXJ0bWVudCBvZiBSZXNlYXJjaCwgU29ybGFuZGV0IEhv
c3BpdGFsLCBQb3N0Ym94IDQxNiwgNDYwNCwgS3Jpc3RpYW5zYW5kLCBOb3J3YXkuJiN4RDtEZXBh
cnRtZW50IG9mIFB1YmxpYyBIZWFsdGgsIFNwb3J0cyBhbmQgTnV0cml0aW9uLCBVbml2ZXJzaXR5
IG9mIEFnZGVyLCBQb3N0Ym94IDQyMiwgNDYwNCwgS3Jpc3RpYW5zYW5kLCBOb3J3YXkuJiN4RDtE
ZXBhcnRtZW50IG9mIEJpb3N0YXRpc3RpY3MgYW5kIEVwaWRlbWlvbG9neSwgT3NsbyBVbml2ZXJz
aXR5IEhvc3BpdGFsLCBQb3N0Ym94IDQ5NTAsIE55ZGFsZW4sIDA0MjQsIE9zbG8sIE5vcndheS4m
I3hEO1NlY3Rpb24gb2YgT2JzdGV0cmljcywgV29tZW4gYW5kIENoaWxkcmVuJmFwb3M7cyBEaXZp
c2lvbiwgT3NsbyBVbml2ZXJzaXR5IEhvc3BpdGFsIGFuZCBVbml2ZXJzaXR5IG9mIE9zbG8sIFBv
c3Rib3ggNDk1MCwgTnlkYWxlbiwgMDQyNCwgT3NsbywgTm9yd2F5LjwvYXV0aC1hZGRyZXNzPjx0
aXRsZXM+PHRpdGxlPlRoZSBlZmZlY3Qgb2YgYSBwcmVuYXRhbCBsaWZlc3R5bGUgaW50ZXJ2ZW50
aW9uIG9uIGdsdWNvc2UgbWV0YWJvbGlzbTogcmVzdWx0cyBvZiB0aGUgTm9yd2VnaWFuIEZpdCBm
b3IgRGVsaXZlcnkgcmFuZG9taXplZCBjb250cm9sbGVkIHRyaWFsPC90aXRsZT48c2Vjb25kYXJ5
LXRpdGxlPkJNQyBQcmVnbmFuY3kgQ2hpbGRiaXJ0aDwvc2Vjb25kYXJ5LXRpdGxlPjwvdGl0bGVz
PjxwZXJpb2RpY2FsPjxmdWxsLXRpdGxlPkJNQyBQcmVnbmFuY3kgQ2hpbGRiaXJ0aDwvZnVsbC10
aXRsZT48L3BlcmlvZGljYWw+PHBhZ2VzPjE2NzwvcGFnZXM+PHZvbHVtZT4xNzwvdm9sdW1lPjxu
dW1iZXI+MTwvbnVtYmVyPjxlZGl0aW9uPjIwMTcvMDYvMDU8L2VkaXRpb24+PGtleXdvcmRzPjxr
ZXl3b3JkPkFkdWx0PC9rZXl3b3JkPjxrZXl3b3JkPkJvZHkgTWFzcyBJbmRleDwva2V5d29yZD48
a2V5d29yZD5EaWFiZXRlcywgR2VzdGF0aW9uYWwvcHJldmVudGlvbiAmYW1wOyBjb250cm9sPC9r
ZXl3b3JkPjxrZXl3b3JkPkZlbWFsZTwva2V5d29yZD48a2V5d29yZD5IZWFsdGggUHJvbW90aW9u
LyptZXRob2RzPC9rZXl3b3JkPjxrZXl3b3JkPkh1bWFuczwva2V5d29yZD48a2V5d29yZD4qSW5z
dWxpbiBSZXNpc3RhbmNlPC9rZXl3b3JkPjxrZXl3b3JkPk5vcndheTwva2V5d29yZD48a2V5d29y
ZD5PYmVzaXR5L21ldGFib2xpc20vKnByZXZlbnRpb24gJmFtcDsgY29udHJvbDwva2V5d29yZD48
a2V5d29yZD5QcmVnbmFuY3k8L2tleXdvcmQ+PGtleXdvcmQ+UHJlZ25hbmN5IENvbXBsaWNhdGlv
bnMvbWV0YWJvbGlzbS8qcHJldmVudGlvbiAmYW1wOyBjb250cm9sPC9rZXl3b3JkPjxrZXl3b3Jk
PlByZW5hdGFsIENhcmUvKm1ldGhvZHM8L2tleXdvcmQ+PGtleXdvcmQ+WW91bmcgQWR1bHQ8L2tl
eXdvcmQ+PGtleXdvcmQ+R2VzdGF0aW9uYWwgZGlhYmV0ZXM8L2tleXdvcmQ+PGtleXdvcmQ+SW50
ZXJ2ZW50aW9uPC9rZXl3b3JkPjxrZXl3b3JkPkxpZmVzdHlsZTwva2V5d29yZD48a2V5d29yZD5P
YmVzaXR5PC9rZXl3b3JkPjxrZXl3b3JkPk92ZXJ3ZWlnaHQ8L2tleXdvcmQ+PC9rZXl3b3Jkcz48
ZGF0ZXM+PHllYXI+MjAxNzwveWVhcj48cHViLWRhdGVzPjxkYXRlPkp1biAyPC9kYXRlPjwvcHVi
LWRhdGVzPjwvZGF0ZXM+PGlzYm4+MTQ3MS0yMzkzIChFbGVjdHJvbmljKSYjeEQ7MTQ3MS0yMzkz
IChMaW5raW5nKTwvaXNibj48YWNjZXNzaW9uLW51bT4yODU3NzU0NTwvYWNjZXNzaW9uLW51bT48
dXJscz48cmVsYXRlZC11cmxzPjx1cmw+aHR0cHM6Ly93d3cubmNiaS5ubG0ubmloLmdvdi9wdWJt
ZWQvMjg1Nzc1NDU8L3VybD48L3JlbGF0ZWQtdXJscz48L3VybHM+PGN1c3RvbTI+UE1DNTQ1NzU0
MzwvY3VzdG9tMj48ZWxlY3Ryb25pYy1yZXNvdXJjZS1udW0+MTAuMTE4Ni9zMTI4ODQtMDE3LTEz
NDAtNjwvZWxlY3Ryb25pYy1yZXNvdXJjZS1udW0+PC9yZWNvcmQ+PC9DaXRlPjxDaXRlPjxBdXRo
b3I+V2lsbGNveDwvQXV0aG9yPjxZZWFyPjIwMTc8L1llYXI+PFJlY051bT45NjU8L1JlY051bT48
cmVjb3JkPjxyZWMtbnVtYmVyPjk2NTwvcmVjLW51bWJlcj48Zm9yZWlnbi1rZXlzPjxrZXkgYXBw
PSJFTiIgZGItaWQ9ImV4dmFzcmZ4MmR0cmFvZXNhc3hwMnN6c3hhMmRmNTAyNTkyeCIgdGltZXN0
YW1wPSIxNTUyOTUwMDc5Ij45NjU8L2tleT48a2V5IGFwcD0iRU5XZWIiIGRiLWlkPSIiPjA8L2tl
eT48L2ZvcmVpZ24ta2V5cz48cmVmLXR5cGUgbmFtZT0iSm91cm5hbCBBcnRpY2xlIj4xNzwvcmVm
LXR5cGU+PGNvbnRyaWJ1dG9ycz48YXV0aG9ycz48YXV0aG9yPldpbGxjb3gsIEouQy4sPC9hdXRo
b3I+PGF1dGhvcj5XaWxraW5zb24sIFMuQS4sPC9hdXRob3I+PGF1dGhvcj5MYXBwYXMsIE0uLDwv
YXV0aG9yPjxhdXRob3I+QmFsbCwgSy4sPC9hdXRob3I+PGF1dGhvcj5DcmF3Zm9yZCwgRC4sPC9h
dXRob3I+PGF1dGhvcj5NY0NhcnRoeSwgRS5BLiw8L2F1dGhvcj48YXV0aG9yPkZqZWxkc29lLCBC
Liw8L2F1dGhvcj48L2F1dGhvcnM+PC9jb250cmlidXRvcnM+PGF1dGgtYWRkcmVzcz5EZXBhcnRt
ZW50cyBvZiBNZWRpY2luZSwgUHVibGljIEhlYWx0aCwgYW5kIE9iL0d5biwgVGVtcGxlIFVuaXZl
cnNpdHksIFBoaWxhZGVscGhpYSwgUEEsIFVTQS48L2F1dGgtYWRkcmVzcz48dGl0bGVzPjx0aXRs
ZT5BIG1vYmlsZSBoZWFsdGggaW50ZXJ2ZW50aW9uIHByb21vdGluZyBoZWFsdGh5IGdlc3RhdGlv
bmFsIHdlaWdodCBnYWluIGZvciB3b21lbiBlbnRlcmluZyBwcmVnbmFuY3kgYXQgYSBoaWdoIGJv
ZHkgbWFzcyBpbmRleDogdGhlIHR4dDR0d28gcGlsb3QgcmFuZG9taXNlZCBjb250cm9sbGVkIHRy
aWFsPC90aXRsZT48c2Vjb25kYXJ5LXRpdGxlPkJKT0c8L3NlY29uZGFyeS10aXRsZT48L3RpdGxl
cz48cGVyaW9kaWNhbD48ZnVsbC10aXRsZT5CSk9HPC9mdWxsLXRpdGxlPjwvcGVyaW9kaWNhbD48
cGFnZXM+MTcxOC0yODwvcGFnZXM+PHZvbHVtZT4xMjQ8L3ZvbHVtZT48bnVtYmVyPjExPC9udW1i
ZXI+PGVkaXRpb24+MjAxNy8wNC8yMDwvZWRpdGlvbj48ZGF0ZXM+PHllYXI+MjAxNzwveWVhcj48
cHViLWRhdGVzPjxkYXRlPk9jdDwvZGF0ZT48L3B1Yi1kYXRlcz48L2RhdGVzPjxpc2JuPjE0NzEt
MDUyOCAoRWxlY3Ryb25pYykmI3hEOzE0NzAtMDMyOCAoTGlua2luZyk8L2lzYm4+PGFjY2Vzc2lv
bi1udW0+Mjg0MjIzOTg8L2FjY2Vzc2lvbi1udW0+PHVybHM+PHJlbGF0ZWQtdXJscz48dXJsPmh0
dHBzOi8vd3d3Lm5jYmkubmxtLm5paC5nb3YvcHVibWVkLzI4NDIyMzk4PC91cmw+PC9yZWxhdGVk
LXVybHM+PC91cmxzPjxlbGVjdHJvbmljLXJlc291cmNlLW51bT4xMC4xMTExLzE0NzEtMDUyOC4x
NDY5MzwvZWxlY3Ryb25pYy1yZXNvdXJjZS1udW0+PC9yZWNvcmQ+PC9DaXRlPjxDaXRlPjxBdXRo
b3I+UmF1aDwvQXV0aG9yPjxZZWFyPjIwMTM8L1llYXI+PFJlY051bT4xMTA5PC9SZWNOdW0+PHJl
Y29yZD48cmVjLW51bWJlcj4xMTA5PC9yZWMtbnVtYmVyPjxmb3JlaWduLWtleXM+PGtleSBhcHA9
IkVOIiBkYi1pZD0iZXh2YXNyZngyZHRyYW9lc2FzeHAyc3pzeGEyZGY1MDI1OTJ4IiB0aW1lc3Rh
bXA9IjE1NTI5NDg0ODUiPjExMDk8L2tleT48L2ZvcmVpZ24ta2V5cz48cmVmLXR5cGUgbmFtZT0i
Sm91cm5hbCBBcnRpY2xlIj4xNzwvcmVmLXR5cGU+PGNvbnRyaWJ1dG9ycz48YXV0aG9ycz48YXV0
aG9yPlJhdWgsIEsuPC9hdXRob3I+PGF1dGhvcj5HYWJyaWVsLCBFLjwvYXV0aG9yPjxhdXRob3I+
S2Vyc2NoYmF1bSwgRS48L2F1dGhvcj48YXV0aG9yPlNjaHVzdGVyLCBULjwvYXV0aG9yPjxhdXRo
b3I+dm9uIEtyaWVzLCBSLjwvYXV0aG9yPjxhdXRob3I+QW1hbm4tR2Fzc25lciwgVS48L2F1dGhv
cj48YXV0aG9yPkhhdW5lciwgSC48L2F1dGhvcj48L2F1dGhvcnM+PC9jb250cmlidXRvcnM+PHRp
dGxlcz48dGl0bGU+U2FmZXR5IGFuZCBlZmZpY2FjeSBvZiBhIGxpZmVzdHlsZSBpbnRlcnZlbnRp
b24gZm9yIHByZWduYW50IHdvbWVuIHRvIHByZXZlbnQgZXhjZXNzaXZlIG1hdGVybmFsIHdlaWdo
dCBnYWluOiBhIGNsdXN0ZXItcmFuZG9taXplZCBjb250cm9sbGVkIHRyaWFsPC90aXRsZT48c2Vj
b25kYXJ5LXRpdGxlPkJNQyBQcmVnbmFuY3kgQ2hpbGRiaXJ0aDwvc2Vjb25kYXJ5LXRpdGxlPjwv
dGl0bGVzPjxwZXJpb2RpY2FsPjxmdWxsLXRpdGxlPkJNQyBQcmVnbmFuY3kgQ2hpbGRiaXJ0aDwv
ZnVsbC10aXRsZT48L3BlcmlvZGljYWw+PHBhZ2VzPjE1MTwvcGFnZXM+PHZvbHVtZT4xMzwvdm9s
dW1lPjxlZGl0aW9uPjIwMTMvMDcvMjA8L2VkaXRpb24+PGtleXdvcmRzPjxrZXl3b3JkPkFkdWx0
PC9rZXl3b3JkPjxrZXl3b3JkPipCaXJ0aCBXZWlnaHQ8L2tleXdvcmQ+PGtleXdvcmQ+Q291bnNl
bGluZy8qbWV0aG9kczwva2V5d29yZD48a2V5d29yZD4qRW5lcmd5IEludGFrZTwva2V5d29yZD48
a2V5d29yZD5GZWFzaWJpbGl0eSBTdHVkaWVzPC9rZXl3b3JkPjxrZXl3b3JkPkZlbWFsZTwva2V5
d29yZD48a2V5d29yZD5IdW1hbnM8L2tleXdvcmQ+PGtleXdvcmQ+SW5mYW50LCBOZXdib3JuPC9r
ZXl3b3JkPjxrZXl3b3JkPipNb3RvciBBY3Rpdml0eTwva2V5d29yZD48a2V5d29yZD5PYmVzaXR5
LypwcmV2ZW50aW9uICZhbXA7IGNvbnRyb2w8L2tleXdvcmQ+PGtleXdvcmQ+T3ZlcndlaWdodC9w
cmV2ZW50aW9uICZhbXA7IGNvbnRyb2w8L2tleXdvcmQ+PGtleXdvcmQ+UG9zdHBhcnR1bSBQZXJp
b2Q8L2tleXdvcmQ+PGtleXdvcmQ+UHJlZ25hbmN5PC9rZXl3b3JkPjxrZXl3b3JkPlByZWduYW5j
eSBDb21wbGljYXRpb25zLypwcmV2ZW50aW9uICZhbXA7IGNvbnRyb2w8L2tleXdvcmQ+PGtleXdv
cmQ+UHJlZ25hbmN5IE91dGNvbWU8L2tleXdvcmQ+PGtleXdvcmQ+KldlaWdodCBHYWluPC9rZXl3
b3JkPjwva2V5d29yZHM+PGRhdGVzPjx5ZWFyPjIwMTM8L3llYXI+PHB1Yi1kYXRlcz48ZGF0ZT5K
dWwgMTY8L2RhdGU+PC9wdWItZGF0ZXM+PC9kYXRlcz48aXNibj4xNDcxLTIzOTMgKEVsZWN0cm9u
aWMpJiN4RDsxNDcxLTIzOTMgKExpbmtpbmcpPC9pc2JuPjxhY2Nlc3Npb24tbnVtPjIzODY1NjI0
PC9hY2Nlc3Npb24tbnVtPjx1cmxzPjxyZWxhdGVkLXVybHM+PHVybD5odHRwczovL3d3dy5uY2Jp
Lm5sbS5uaWguZ292L3B1Ym1lZC8yMzg2NTYyNDwvdXJsPjwvcmVsYXRlZC11cmxzPjwvdXJscz48
Y3VzdG9tMj5QTUMzNzE4NzA3PC9jdXN0b20yPjxlbGVjdHJvbmljLXJlc291cmNlLW51bT4xMC4x
MTg2LzE0NzEtMjM5My0xMy0xNTE8L2VsZWN0cm9uaWMtcmVzb3VyY2UtbnVtPjwvcmVjb3JkPjwv
Q2l0ZT48Q2l0ZT48QXV0aG9yPlBvbGxleTwvQXV0aG9yPjxZZWFyPjIwMDI8L1llYXI+PFJlY051
bT43MDY8L1JlY051bT48cmVjb3JkPjxyZWMtbnVtYmVyPjcwNjwvcmVjLW51bWJlcj48Zm9yZWln
bi1rZXlzPjxrZXkgYXBwPSJFTiIgZGItaWQ9ImV4dmFzcmZ4MmR0cmFvZXNhc3hwMnN6c3hhMmRm
NTAyNTkyeCIgdGltZXN0YW1wPSIxNTQwNTMwNjc0Ij43MDY8L2tleT48L2ZvcmVpZ24ta2V5cz48
cmVmLXR5cGUgbmFtZT0iSm91cm5hbCBBcnRpY2xlIj4xNzwvcmVmLXR5cGU+PGNvbnRyaWJ1dG9y
cz48YXV0aG9ycz48YXV0aG9yPlBvbGxleSwgQi4gQS48L2F1dGhvcj48YXV0aG9yPldpbmcsIFIu
IFIuPC9hdXRob3I+PGF1dGhvcj5TaW1zLCBDLiBKLjwvYXV0aG9yPjwvYXV0aG9ycz48L2NvbnRy
aWJ1dG9ycz48YXV0aC1hZGRyZXNzPlVuaXZlcnNpdHkgb2YgUGl0dHNidXJnaCwgUGl0dHNidXJn
aCwgUGVubnN5bHZhbmlhLCBVU0EuPC9hdXRoLWFkZHJlc3M+PHRpdGxlcz48dGl0bGU+UmFuZG9t
aXplZCBjb250cm9sbGVkIHRyaWFsIHRvIHByZXZlbnQgZXhjZXNzaXZlIHdlaWdodCBnYWluIGlu
IHByZWduYW50IHdvbWVuPC90aXRsZT48c2Vjb25kYXJ5LXRpdGxlPkludCBKIE9iZXMgUmVsYXQg
TWV0YWIgRGlzb3JkPC9zZWNvbmRhcnktdGl0bGU+PC90aXRsZXM+PHBlcmlvZGljYWw+PGZ1bGwt
dGl0bGU+SW50IEogT2JlcyBSZWxhdCBNZXRhYiBEaXNvcmQ8L2Z1bGwtdGl0bGU+PC9wZXJpb2Rp
Y2FsPjxwYWdlcz4xNDk0LTUwMjwvcGFnZXM+PHZvbHVtZT4yNjwvdm9sdW1lPjxudW1iZXI+MTE8
L251bWJlcj48ZWRpdGlvbj4yMDAyLzExLzIwPC9lZGl0aW9uPjxrZXl3b3Jkcz48a2V5d29yZD5B
ZHVsdDwva2V5d29yZD48a2V5d29yZD5FeGVyY2lzZSBUaGVyYXB5LyptZXRob2RzPC9rZXl3b3Jk
PjxrZXl3b3JkPkZlbWFsZTwva2V5d29yZD48a2V5d29yZD5IZWFsdGggQmVoYXZpb3I8L2tleXdv
cmQ+PGtleXdvcmQ+SHVtYW5zPC9rZXl3b3JkPjxrZXl3b3JkPk9iZXNpdHkvKnByZXZlbnRpb24g
JmFtcDsgY29udHJvbDwva2V5d29yZD48a2V5d29yZD5Qb3N0bmF0YWwgQ2FyZS9tZXRob2RzPC9r
ZXl3b3JkPjxrZXl3b3JkPlByZWduYW5jeTwva2V5d29yZD48a2V5d29yZD5QcmVnbmFuY3kgQ29t
cGxpY2F0aW9ucy8qcHJldmVudGlvbiAmYW1wOyBjb250cm9sPC9rZXl3b3JkPjxrZXl3b3JkPlBy
ZWduYW5jeSBPdXRjb21lPC9rZXl3b3JkPjxrZXl3b3JkPlByZW5hdGFsIENhcmUvbWV0aG9kczwv
a2V5d29yZD48a2V5d29yZD5XZWlnaHQgR2Fpbjwva2V5d29yZD48L2tleXdvcmRzPjxkYXRlcz48
eWVhcj4yMDAyPC95ZWFyPjxwdWItZGF0ZXM+PGRhdGU+Tm92PC9kYXRlPjwvcHViLWRhdGVzPjwv
ZGF0ZXM+PGFjY2Vzc2lvbi1udW0+MTI0Mzk2NTI8L2FjY2Vzc2lvbi1udW0+PHVybHM+PHJlbGF0
ZWQtdXJscz48dXJsPmh0dHBzOi8vd3d3Lm5jYmkubmxtLm5paC5nb3YvcHVibWVkLzEyNDM5NjUy
PC91cmw+PC9yZWxhdGVkLXVybHM+PC91cmxzPjxlbGVjdHJvbmljLXJlc291cmNlLW51bT4xMC4x
MDM4L3NqLmlqby4wODAyMTMwPC9lbGVjdHJvbmljLXJlc291cmNlLW51bT48L3JlY29yZD48L0Np
dGU+PENpdGU+PEF1dGhvcj5IYXdraW5zPC9BdXRob3I+PFllYXI+MjAxNTwvWWVhcj48UmVjTnVt
PjcyNjwvUmVjTnVtPjxyZWNvcmQ+PHJlYy1udW1iZXI+NzI2PC9yZWMtbnVtYmVyPjxmb3JlaWdu
LWtleXM+PGtleSBhcHA9IkVOIiBkYi1pZD0iZXh2YXNyZngyZHRyYW9lc2FzeHAyc3pzeGEyZGY1
MDI1OTJ4IiB0aW1lc3RhbXA9IjE1NDE0NjUzMjIiPjcyNjwva2V5PjwvZm9yZWlnbi1rZXlzPjxy
ZWYtdHlwZSBuYW1lPSJKb3VybmFsIEFydGljbGUiPjE3PC9yZWYtdHlwZT48Y29udHJpYnV0b3Jz
PjxhdXRob3JzPjxhdXRob3I+SGF3a2lucywgTS48L2F1dGhvcj48YXV0aG9yPkhvc2tlciwgTS48
L2F1dGhvcj48YXV0aG9yPk1hcmN1cywgQi4gSC48L2F1dGhvcj48YXV0aG9yPlJvc2FsLCBNLiBD
LjwvYXV0aG9yPjxhdXRob3I+QnJhdW4sIEIuPC9hdXRob3I+PGF1dGhvcj5TdGFuZWssIEUuIEou
LCAzcmQ8L2F1dGhvcj48YXV0aG9yPk1hcmtlbnNvbiwgRy48L2F1dGhvcj48YXV0aG9yPkNoYXNh
bi1UYWJlciwgTC48L2F1dGhvcj48L2F1dGhvcnM+PC9jb250cmlidXRvcnM+PGF1dGgtYWRkcmVz
cz5EaXZpc2lvbiBvZiBCaW9zdGF0aXN0aWNzIGFuZCBFcGlkZW1pb2xvZ3ksIERlcGFydG1lbnQg
b2YgUHVibGljIEhlYWx0aCwgU2Nob29sIG9mIFB1YmxpYyBIZWFsdGggYW5kIEhlYWx0aCBTY2ll
bmNlcywgVW5pdmVyc2l0eSBvZiBNYXNzYWNodXNldHRzLCBBbWhlcnN0LCBNQSwgVVNBLjwvYXV0
aC1hZGRyZXNzPjx0aXRsZXM+PHRpdGxlPkEgcHJlZ25hbmN5IGxpZmVzdHlsZSBpbnRlcnZlbnRp
b24gdG8gcHJldmVudCBnZXN0YXRpb25hbCBkaWFiZXRlcyByaXNrIGZhY3RvcnMgaW4gb3Zlcndl
aWdodCBIaXNwYW5pYyB3b21lbjogYSBmZWFzaWJpbGl0eSByYW5kb21pemVkIGNvbnRyb2xsZWQg
dHJpYWw8L3RpdGxlPjxzZWNvbmRhcnktdGl0bGU+RGlhYmV0IE1lZDwvc2Vjb25kYXJ5LXRpdGxl
PjwvdGl0bGVzPjxwZXJpb2RpY2FsPjxmdWxsLXRpdGxlPkRpYWJldCBNZWQ8L2Z1bGwtdGl0bGU+
PC9wZXJpb2RpY2FsPjxwYWdlcz4xMDgtMTU8L3BhZ2VzPjx2b2x1bWU+MzI8L3ZvbHVtZT48bnVt
YmVyPjE8L251bWJlcj48ZWRpdGlvbj4yMDE0LzEwLzE0PC9lZGl0aW9uPjxrZXl3b3Jkcz48a2V5
d29yZD5BZHVsdDwva2V5d29yZD48a2V5d29yZD5CaXJ0aCBXZWlnaHQ8L2tleXdvcmQ+PGtleXdv
cmQ+RGlhYmV0ZXMsIEdlc3RhdGlvbmFsLypwcmV2ZW50aW9uICZhbXA7IGNvbnRyb2w8L2tleXdv
cmQ+PGtleXdvcmQ+RGlldDwva2V5d29yZD48a2V5d29yZD5FeGVyY2lzZTwva2V5d29yZD48a2V5
d29yZD5GZWFzaWJpbGl0eSBTdHVkaWVzPC9rZXl3b3JkPjxrZXl3b3JkPkZlZWRpbmcgQmVoYXZp
b3I8L2tleXdvcmQ+PGtleXdvcmQ+RmVtYWxlPC9rZXl3b3JkPjxrZXl3b3JkPkhpc3BhbmljIEFt
ZXJpY2Fucy8qc3RhdGlzdGljcyAmYW1wOyBudW1lcmljYWwgZGF0YTwva2V5d29yZD48a2V5d29y
ZD5IdW1hbnM8L2tleXdvcmQ+PGtleXdvcmQ+SW5mYW50LCBOZXdib3JuPC9rZXl3b3JkPjxrZXl3
b3JkPk1hbGU8L2tleXdvcmQ+PGtleXdvcmQ+T3ZlcndlaWdodC9jb21wbGljYXRpb25zLypwcmV2
ZW50aW9uICZhbXA7IGNvbnRyb2w8L2tleXdvcmQ+PGtleXdvcmQ+UGF0aWVudCBDb21wbGlhbmNl
PC9rZXl3b3JkPjxrZXl3b3JkPlByZWduYW5jeTwva2V5d29yZD48a2V5d29yZD5QcmVuYXRhbCBD
YXJlPC9rZXl3b3JkPjxrZXl3b3JkPipQcmltYXJ5IFByZXZlbnRpb248L2tleXdvcmQ+PGtleXdv
cmQ+UmlzayBGYWN0b3JzPC9rZXl3b3JkPjxrZXl3b3JkPipSaXNrIFJlZHVjdGlvbiBCZWhhdmlv
cjwva2V5d29yZD48a2V5d29yZD5UcmVhdG1lbnQgT3V0Y29tZTwva2V5d29yZD48a2V5d29yZD5V
bml0ZWQgU3RhdGVzL2VwaWRlbWlvbG9neTwva2V5d29yZD48a2V5d29yZD5XZWlnaHQgR2Fpbjwv
a2V5d29yZD48L2tleXdvcmRzPjxkYXRlcz48eWVhcj4yMDE1PC95ZWFyPjxwdWItZGF0ZXM+PGRh
dGU+SmFuPC9kYXRlPjwvcHViLWRhdGVzPjwvZGF0ZXM+PGlzYm4+MTQ2NC01NDkxIChFbGVjdHJv
bmljKSYjeEQ7MDc0Mi0zMDcxIChMaW5raW5nKTwvaXNibj48YWNjZXNzaW9uLW51bT4yNTMwNjky
NTwvYWNjZXNzaW9uLW51bT48dXJscz48cmVsYXRlZC11cmxzPjx1cmw+aHR0cHM6Ly93d3cubmNi
aS5ubG0ubmloLmdvdi9wdWJtZWQvMjUzMDY5MjU8L3VybD48L3JlbGF0ZWQtdXJscz48L3VybHM+
PGVsZWN0cm9uaWMtcmVzb3VyY2UtbnVtPjEwLjExMTEvZG1lLjEyNjAxPC9lbGVjdHJvbmljLXJl
c291cmNlLW51bT48L3JlY29yZD48L0NpdGU+PENpdGU+PEF1dGhvcj5Lb2l2dXNhbG88L0F1dGhv
cj48WWVhcj4yMDE2PC9ZZWFyPjxSZWNOdW0+NzMzPC9SZWNOdW0+PHJlY29yZD48cmVjLW51bWJl
cj43MzM8L3JlYy1udW1iZXI+PGZvcmVpZ24ta2V5cz48a2V5IGFwcD0iRU4iIGRiLWlkPSJleHZh
c3JmeDJkdHJhb2VzYXN4cDJzenN4YTJkZjUwMjU5MngiIHRpbWVzdGFtcD0iMTU0MTQ2Nzc2NiI+
NzMzPC9rZXk+PGtleSBhcHA9IkVOV2ViIiBkYi1pZD0iIj4wPC9rZXk+PC9mb3JlaWduLWtleXM+
PHJlZi10eXBlIG5hbWU9IkpvdXJuYWwgQXJ0aWNsZSI+MTc8L3JlZi10eXBlPjxjb250cmlidXRv
cnM+PGF1dGhvcnM+PGF1dGhvcj5Lb2l2dXNhbG8sIFMuQi4sPC9hdXRob3I+PGF1dGhvcj5Sw7Zu
w7YsIEsuLDwvYXV0aG9yPjxhdXRob3I+S2xlbWV0dGksIE0uTS4sPC9hdXRob3I+PGF1dGhvcj5S
b2luZSwgUi5QLiw8L2F1dGhvcj48YXV0aG9yPkxpbmRzdHLDtm0sIEouLDwvYXV0aG9yPjxhdXRo
b3I+RXJra29sYSwgTS4sPC9hdXRob3I+PC9hdXRob3JzPjwvY29udHJpYnV0b3JzPjx0aXRsZXM+
PHRpdGxlPkdlc3RhdGlvbmFsIGRpYWJldGVzIG1lbGxpdHVzIGNhbiBiZSBwcmV2ZW50ZWQgYnkg
bGlmZXN0eWxlIGludGVydmVudGlvbjogVGhlIEZpbm5pc2ggR2VzdGF0aW9uYWwgRGlhYmV0ZXMg
UHJldmVudGlvbiBTdHVkeSAoUkFESUVMKTwvdGl0bGU+PHNlY29uZGFyeS10aXRsZT5EaWFiZXRl
cyBDYXJlPC9zZWNvbmRhcnktdGl0bGU+PC90aXRsZXM+PHBlcmlvZGljYWw+PGZ1bGwtdGl0bGU+
RGlhYmV0ZXMgQ2FyZTwvZnVsbC10aXRsZT48L3BlcmlvZGljYWw+PHBhZ2VzPjI0LTMwPC9wYWdl
cz48dm9sdW1lPjM5PC92b2x1bWU+PG51bWJlcj4xPC9udW1iZXI+PHNlY3Rpb24+MjQ8L3NlY3Rp
b24+PGRhdGVzPjx5ZWFyPjIwMTY8L3llYXI+PC9kYXRlcz48aXNibj4wMTQ5LTU5OTImI3hEOzE5
MzUtNTU0ODwvaXNibj48dXJscz48L3VybHM+PGVsZWN0cm9uaWMtcmVzb3VyY2UtbnVtPjEwLjIz
MzcvZGMxNS0wNTExPC9lbGVjdHJvbmljLXJlc291cmNlLW51bT48L3JlY29yZD48L0NpdGU+PENp
dGU+PEF1dGhvcj5WYW4gSG9ybjwvQXV0aG9yPjxZZWFyPjIwMTg8L1llYXI+PFJlY051bT4xMzc2
PC9SZWNOdW0+PHJlY29yZD48cmVjLW51bWJlcj4xMzc2PC9yZWMtbnVtYmVyPjxmb3JlaWduLWtl
eXM+PGtleSBhcHA9IkVOIiBkYi1pZD0iZXh2YXNyZngyZHRyYW9lc2FzeHAyc3pzeGEyZGY1MDI1
OTJ4IiB0aW1lc3RhbXA9IjE1NjcwMzU5ODciPjEzNzY8L2tleT48a2V5IGFwcD0iRU5XZWIiIGRi
LWlkPSIiPjA8L2tleT48L2ZvcmVpZ24ta2V5cz48cmVmLXR5cGUgbmFtZT0iSm91cm5hbCBBcnRp
Y2xlIj4xNzwvcmVmLXR5cGU+PGNvbnRyaWJ1dG9ycz48YXV0aG9ycz48YXV0aG9yPlZhbiBIb3Ju
LCBMLjwvYXV0aG9yPjxhdXRob3I+UGVhY2VtYW4sIEEuPC9hdXRob3I+PGF1dGhvcj5Ld2Fzbnks
IE0uPC9hdXRob3I+PGF1dGhvcj5WaW5jZW50LCBFLjwvYXV0aG9yPjxhdXRob3I+Rm91Z2h0LCBB
LjwvYXV0aG9yPjxhdXRob3I+Sm9zZWZzb24sIEouPC9hdXRob3I+PGF1dGhvcj5TcHJpbmcsIEIu
PC9hdXRob3I+PGF1dGhvcj5OZWZmLCBMLiBNLjwvYXV0aG9yPjxhdXRob3I+R2VybmhvZmVyLCBO
LjwvYXV0aG9yPjwvYXV0aG9ycz48L2NvbnRyaWJ1dG9ycz48YXV0aC1hZGRyZXNzPkRlcGFydG1l
bnQgb2YgUHJldmVudGl2ZSBNZWRpY2luZSwgTm9ydGh3ZXN0ZXJuIFVuaXZlcnNpdHkgRmVpbmJl
cmcgU2Nob29sIG9mIE1lZGljaW5lLCBDaGljYWdvLCBJbGxpbm9pcy4gRWxlY3Ryb25pYyBhZGRy
ZXNzOiBsdmFuaG9ybkBub3J0aHdlc3Rlcm4uZWR1LiYjeEQ7RGVwYXJ0bWVudCBvZiBPYnN0ZXRy
aWNzIGFuZCBHeW5lY29sb2d5LCBOb3J0aHdlc3Rlcm4gVW5pdmVyc2l0eSBGZWluYmVyZyBTY2hv
b2wgb2YgTWVkaWNpbmUsIENoaWNhZ28sIElsbGlub2lzLiYjeEQ7RGVwYXJ0bWVudCBvZiBQcmV2
ZW50aXZlIE1lZGljaW5lLCBOb3J0aHdlc3Rlcm4gVW5pdmVyc2l0eSBGZWluYmVyZyBTY2hvb2wg
b2YgTWVkaWNpbmUsIENoaWNhZ28sIElsbGlub2lzLiYjeEQ7RGVwYXJ0bWVudCBvZiBQcmV2ZW50
aXZlIE1lZGljaW5lLCBOb3J0aHdlc3Rlcm4gVW5pdmVyc2l0eSBGZWluYmVyZyBTY2hvb2wgb2Yg
TWVkaWNpbmUsIENoaWNhZ28sIElsbGlub2lzOyBBbm4gYW5kIFJvYmVydCBILiBMdXJpZSBDaGls
ZHJlbiZhcG9zO3MgSG9zcGl0YWwgb2YgQ2hpY2FnbywgQ2hpY2FnbywgSWxsaW5vaXMuJiN4RDtE
ZXBhcnRtZW50IG9mIE1lZGljaW5lLCBOb3J0aHdlc3Rlcm4gVW5pdmVyc2l0eSBGZWluYmVyZyBT
Y2hvb2wgb2YgTWVkaWNpbmUsIENoaWNhZ28sIElsbGlub2lzLjwvYXV0aC1hZGRyZXNzPjx0aXRs
ZXM+PHRpdGxlPkRpZXRhcnkgQXBwcm9hY2hlcyB0byBTdG9wIEh5cGVydGVuc2lvbiBEaWV0IGFu
ZCBBY3Rpdml0eSB0byBMaW1pdCBHZXN0YXRpb25hbCBXZWlnaHQ6IE1hdGVybmFsIE9mZnNwcmlu
ZyBNZXRhYm9saWNzIEZhbWlseSBJbnRlcnZlbnRpb24gVHJpYWwsIGEgVGVjaG5vbG9neSBFbmhh
bmNlZCBSYW5kb21pemVkIFRyaWFsPC90aXRsZT48c2Vjb25kYXJ5LXRpdGxlPkFtIEogUHJldiBN
ZWQ8L3NlY29uZGFyeS10aXRsZT48L3RpdGxlcz48cGVyaW9kaWNhbD48ZnVsbC10aXRsZT5BbSBK
IFByZXYgTWVkPC9mdWxsLXRpdGxlPjwvcGVyaW9kaWNhbD48cGFnZXM+NjAzLTYxNDwvcGFnZXM+
PHZvbHVtZT41NTwvdm9sdW1lPjxudW1iZXI+NTwvbnVtYmVyPjxlZGl0aW9uPjIwMTgvMDkvMjk8
L2VkaXRpb24+PGRhdGVzPjx5ZWFyPjIwMTg8L3llYXI+PHB1Yi1kYXRlcz48ZGF0ZT5Ob3Y8L2Rh
dGU+PC9wdWItZGF0ZXM+PC9kYXRlcz48aXNibj4xODczLTI2MDcgKEVsZWN0cm9uaWMpJiN4RDsw
NzQ5LTM3OTcgKExpbmtpbmcpPC9pc2JuPjxhY2Nlc3Npb24tbnVtPjMwMjYyMTQ4PC9hY2Nlc3Np
b24tbnVtPjx1cmxzPjxyZWxhdGVkLXVybHM+PHVybD5odHRwczovL3d3dy5uY2JpLm5sbS5uaWgu
Z292L3B1Ym1lZC8zMDI2MjE0ODwvdXJsPjwvcmVsYXRlZC11cmxzPjwvdXJscz48ZWxlY3Ryb25p
Yy1yZXNvdXJjZS1udW0+MTAuMTAxNi9qLmFtZXByZS4yMDE4LjA2LjAxNTwvZWxlY3Ryb25pYy1y
ZXNvdXJjZS1udW0+PC9yZWNvcmQ+PC9DaXRlPjxDaXRlPjxBdXRob3I+S2lhbmkgQXNpYWJhcjwv
QXV0aG9yPjxZZWFyPjIwMTg8L1llYXI+PFJlY051bT4xMzgwPC9SZWNOdW0+PHJlY29yZD48cmVj
LW51bWJlcj4xMzgwPC9yZWMtbnVtYmVyPjxmb3JlaWduLWtleXM+PGtleSBhcHA9IkVOIiBkYi1p
ZD0iZXh2YXNyZngyZHRyYW9lc2FzeHAyc3pzeGEyZGY1MDI1OTJ4IiB0aW1lc3RhbXA9IjE1Njcx
MjQ1NzEiPjEzODA8L2tleT48a2V5IGFwcD0iRU5XZWIiIGRiLWlkPSIiPjA8L2tleT48L2ZvcmVp
Z24ta2V5cz48cmVmLXR5cGUgbmFtZT0iSm91cm5hbCBBcnRpY2xlIj4xNzwvcmVmLXR5cGU+PGNv
bnRyaWJ1dG9ycz48YXV0aG9ycz48YXV0aG9yPktpYW5pIEFzaWFiYXIsIEEuPC9hdXRob3I+PGF1
dGhvcj5BbWluIFNob2tyYXZpLCBGLjwvYXV0aG9yPjxhdXRob3I+SGFqaWZhcmFqaSwgTS48L2F1
dGhvcj48YXV0aG9yPlpheWVyaSwgRi48L2F1dGhvcj48L2F1dGhvcnM+PC9jb250cmlidXRvcnM+
PGF1dGgtYWRkcmVzcz5EZXBhcnRtZW50IG9mIEhlYWx0aCBFZHVjYXRpb24gYW5kIEhlYWx0aCBQ
cm9tb3Rpb24sIEZhY3VsdHkgb2YgTWVkaWNhbCBTY2llbmNlcywgVGFyYmlhdCBNb2RhcmVzIFVu
aXZlcnNpdHksIFRlaHJhbiwgSXJhbi4mI3hEO0RlcGFydG1lbnQgb2YgTWlkd2lmZXJ5LCBGYWN1
bHR5IG9mIE51cnNpbmcgYW5kIE1pZHdpZmVyeSwgU2hhaGVkIFVuaXZlcnNpdHksIFRlaHJhbiwg
SXJhbi4mI3hEO0RlcGFydG1lbnQgb2YgSGVhbHRoIEVkdWNhdGlvbnMgYW5kIEhlYWx0aCBQcm9t
b3Rpb24sIEZhY3VsdHkgb2YgTWVkaWNhbCBTY2llbmNlcywgVGFyYmlhdCBNb2RhcmVzIFVuaXZl
cnNpdHksIFRlaHJhbiwgSXJhbi4mI3hEO05hdGlvbmFsIE51dHJpdGlvbiBhbmQgRm9vZCBUZWNo
bm9sb2d5IFJlc2VhcmNoIEluc3RpdHV0ZSwgU2Nob29sIG9mIE51dHJpdGlvbiBTY2llbmNlcyBh
bmQgRm9vZCBUZWNobm9sb2d5LCBTaGFoaWQgQmVoZXNodGkgVW5pdmVyc2l0eSBvZiBNZWRpY2Fs
IFNjaWVuY2VzLCBUZWhyYW4sIElyYW4uJiN4RDtEZXBhcnRtZW50IG9mIEJpb3N0YXRpc3RpY3Ms
IEZhY3VsdHkgb2YgUGFyYW1lZGljYWwgU2NpZW5jZXMsIFNoYWhpZCBCZWhlc2h0aSBVbml2ZXJz
aXR5IG9mIE1lZGljYWwgU2NpZW5jZXMsIFRlaHJhbiwgSXJhbi48L2F1dGgtYWRkcmVzcz48dGl0
bGVzPjx0aXRsZT5UaGUgZWZmZWN0IG9mIGFuIGVkdWNhdGlvbmFsIGludGVydmVudGlvbiBpbiBl
YXJseSBwcmVnbmFuY3kgd2l0aCBzcG91c2UmYXBvcztzIHBhcnRpY2lwYXRpb24gb24gb3B0aW1h
bCBnZXN0YXRpb25hbCB3ZWlnaHQgZ2FpbiBpbiBwcmVnbmFuY3k6IGEgcmFuZG9taXplZCBjb250
cm9sbGVkIHRyaWFsPC90aXRsZT48c2Vjb25kYXJ5LXRpdGxlPkhlYWx0aCBFZHVjIFJlczwvc2Vj
b25kYXJ5LXRpdGxlPjwvdGl0bGVzPjxwZXJpb2RpY2FsPjxmdWxsLXRpdGxlPkhlYWx0aCBFZHVj
IFJlczwvZnVsbC10aXRsZT48L3BlcmlvZGljYWw+PHBhZ2VzPjUzNS01NDc8L3BhZ2VzPjx2b2x1
bWU+MzM8L3ZvbHVtZT48bnVtYmVyPjY8L251bWJlcj48ZWRpdGlvbj4yMDE4LzExLzMwPC9lZGl0
aW9uPjxkYXRlcz48eWVhcj4yMDE4PC95ZWFyPjxwdWItZGF0ZXM+PGRhdGU+RGVjIDE8L2RhdGU+
PC9wdWItZGF0ZXM+PC9kYXRlcz48aXNibj4xNDY1LTM2NDggKEVsZWN0cm9uaWMpJiN4RDswMjY4
LTExNTMgKExpbmtpbmcpPC9pc2JuPjxhY2Nlc3Npb24tbnVtPjMwNDk2NDA5PC9hY2Nlc3Npb24t
bnVtPjx1cmxzPjxyZWxhdGVkLXVybHM+PHVybD5odHRwczovL3d3dy5uY2JpLm5sbS5uaWguZ292
L3B1Ym1lZC8zMDQ5NjQwOTwvdXJsPjwvcmVsYXRlZC11cmxzPjwvdXJscz48ZWxlY3Ryb25pYy1y
ZXNvdXJjZS1udW0+MTAuMTA5My9oZXIvY3l5MDQwPC9lbGVjdHJvbmljLXJlc291cmNlLW51bT48
L3JlY29yZD48L0NpdGU+PENpdGU+PEF1dGhvcj5Eb2RkPC9BdXRob3I+PFllYXI+MjAxOTwvWWVh
cj48UmVjTnVtPjE5MjI8L1JlY051bT48cmVjb3JkPjxyZWMtbnVtYmVyPjE5MjI8L3JlYy1udW1i
ZXI+PGZvcmVpZ24ta2V5cz48a2V5IGFwcD0iRU4iIGRiLWlkPSJleHZhc3JmeDJkdHJhb2VzYXN4
cDJzenN4YTJkZjUwMjU5MngiIHRpbWVzdGFtcD0iMTU4ODU2MDM2OCI+MTkyMjwva2V5PjxrZXkg
YXBwPSJFTldlYiIgZGItaWQ9IiI+MDwva2V5PjwvZm9yZWlnbi1rZXlzPjxyZWYtdHlwZSBuYW1l
PSJKb3VybmFsIEFydGljbGUiPjE3PC9yZWYtdHlwZT48Y29udHJpYnV0b3JzPjxhdXRob3JzPjxh
dXRob3I+RG9kZCwgSi4gTS48L2F1dGhvcj48YXV0aG9yPkRldXNzZW4sIEEuIFIuPC9hdXRob3I+
PGF1dGhvcj5Mb3Vpc2UsIEouPC9hdXRob3I+PC9hdXRob3JzPjwvY29udHJpYnV0b3JzPjxhdXRo
LWFkZHJlc3M+RGlzY2lwbGluZSBvZiBPYnN0ZXRyaWNzICZhbXA7IEd5bmFlY29sb2d5LCBhbmQg
Um9iaW5zb24gUmVzZWFyY2ggSW5zdGl0dXRlLCBUaGUgVW5pdmVyc2l0eSBvZiBBZGVsYWlkZSwg
QWRlbGFpZGUsIFNBIDUwMDYsIEF1c3RyYWxpYS4mI3hEO0RlcGFydG1lbnQgb2YgUGVyaW5hdGFs
IE1lZGljaW5lIFdvbWVuJmFwb3M7cyBhbmQgQ2hpbGRyZW4mYXBvcztzIEhvc3BpdGFsLCBOb3J0
aCBBZGVsYWlkZSwgQWRlbGFpZGUsIFNBIDUwMDYsIEF1c3RyYWxpYS48L2F1dGgtYWRkcmVzcz48
dGl0bGVzPjx0aXRsZT5BIHJhbmRvbWlzZWQgdHJpYWwgdG8gb3B0aW1pc2UgZ2VzdGF0aW9uYWwg
d2VpZ2h0IGdhaW4gYW5kIGltcHJvdmUgbWF0ZXJuYWwgYW5kIGluZmFudCBoZWFsdGggb3V0Y29t
ZXMgdGhyb3VnaCBhbnRlbmF0YWwgZGlldGFyeSwgbGlmZXN0eWxlIGFuZCBleGVyY2lzZSBhZHZp
Y2U6IFRoZSBPUFRJTUlTRSByYW5kb21pc2VkIHRyaWFsPC90aXRsZT48c2Vjb25kYXJ5LXRpdGxl
Pk51dHJpZW50czwvc2Vjb25kYXJ5LXRpdGxlPjwvdGl0bGVzPjxwZXJpb2RpY2FsPjxmdWxsLXRp
dGxlPk51dHJpZW50czwvZnVsbC10aXRsZT48L3BlcmlvZGljYWw+PHZvbHVtZT4xMTwvdm9sdW1l
PjxudW1iZXI+MTI8L251bWJlcj48ZWRpdGlvbj4yMDE5LzEyLzA4PC9lZGl0aW9uPjxrZXl3b3Jk
cz48a2V5d29yZD5kaWV0YXJ5IGFuZCBsaWZlc3R5bGUgaW50ZXJ2ZW50aW9uPC9rZXl3b3JkPjxr
ZXl3b3JkPmdlc3RhdGlvbmFsIHdlaWdodCBnYWluPC9rZXl3b3JkPjxrZXl3b3JkPnJhbmRvbWlz
ZWQgY29udHJvbGxlZCB0cmlhbDwva2V5d29yZD48L2tleXdvcmRzPjxkYXRlcz48eWVhcj4yMDE5
PC95ZWFyPjxwdWItZGF0ZXM+PGRhdGU+RGVjIDI8L2RhdGU+PC9wdWItZGF0ZXM+PC9kYXRlcz48
aXNibj4yMDcyLTY2NDMgKEVsZWN0cm9uaWMpJiN4RDsyMDcyLTY2NDMgKExpbmtpbmcpPC9pc2Ju
PjxhY2Nlc3Npb24tbnVtPjMxODEwMjE3PC9hY2Nlc3Npb24tbnVtPjx1cmxzPjxyZWxhdGVkLXVy
bHM+PHVybD5odHRwczovL3d3dy5uY2JpLm5sbS5uaWguZ292L3B1Ym1lZC8zMTgxMDIxNzwvdXJs
PjwvcmVsYXRlZC11cmxzPjwvdXJscz48Y3VzdG9tMj5QTUM2OTQ5OTMxPC9jdXN0b20yPjxlbGVj
dHJvbmljLXJlc291cmNlLW51bT4xMC4zMzkwL251MTExMjI5MTE8L2VsZWN0cm9uaWMtcmVzb3Vy
Y2UtbnVtPjwvcmVjb3JkPjwvQ2l0ZT48L0VuZE5vdGU+AG==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484,487,493,495,496,498,500,503,505,519,521</w:t>
      </w:r>
      <w:r>
        <w:rPr>
          <w:sz w:val="16"/>
          <w:szCs w:val="16"/>
        </w:rPr>
        <w:fldChar w:fldCharType="end"/>
      </w:r>
      <w:r>
        <w:t xml:space="preserve"> </w:t>
      </w:r>
      <w:r w:rsidR="00973D70">
        <w:t>low glycaemic index foods,</w:t>
      </w:r>
      <w:r w:rsidR="00767EBF">
        <w:rPr>
          <w:rFonts w:ascii="Century Gothic" w:hAnsi="Century Gothic"/>
          <w:noProof/>
        </w:rPr>
        <w:fldChar w:fldCharType="begin">
          <w:fldData xml:space="preserve">PEVuZE5vdGU+PENpdGU+PEF1dGhvcj5SdWNoYXQ8L0F1dGhvcj48WWVhcj4yMDEyPC9ZZWFyPjxS
ZWNOdW0+NzU2PC9SZWNOdW0+PERpc3BsYXlUZXh0PjxzdHlsZSBmYWNlPSJzdXBlcnNjcmlwdCIg
Zm9udD0iVHJlYnVjaGV0IE1TIiBzaXplPSI5Ij40ODIsNDk5LDUwNjwvc3R5bGU+PC9EaXNwbGF5
VGV4dD48cmVjb3JkPjxyZWMtbnVtYmVyPjc1NjwvcmVjLW51bWJlcj48Zm9yZWlnbi1rZXlzPjxr
ZXkgYXBwPSJFTiIgZGItaWQ9ImV4dmFzcmZ4MmR0cmFvZXNhc3hwMnN6c3hhMmRmNTAyNTkyeCIg
dGltZXN0YW1wPSIxNTQxNDY3OTY1Ij43NTY8L2tleT48a2V5IGFwcD0iRU5XZWIiIGRiLWlkPSIi
PjA8L2tleT48L2ZvcmVpZ24ta2V5cz48cmVmLXR5cGUgbmFtZT0iSm91cm5hbCBBcnRpY2xlIj4x
NzwvcmVmLXR5cGU+PGNvbnRyaWJ1dG9ycz48YXV0aG9ycz48YXV0aG9yPlJ1Y2hhdCwgUy1NLiw8
L2F1dGhvcj48YXV0aG9yPkRhdmVucG9ydCwgTS5ILiw8L2F1dGhvcj48YXV0aG9yPkdpcm91eCwg
SS4sPC9hdXRob3I+PGF1dGhvcj5IaWxsaWVyLCBNLiw8L2F1dGhvcj48YXV0aG9yPkJhdGFkYSwg
QS4sPC9hdXRob3I+PGF1dGhvcj5Tb3BwZXIsIE0uTS4sPC9hdXRob3I+PGF1dGhvcj5IYW1tb25k
LCBKLk0uUy4sPC9hdXRob3I+PGF1dGhvcj5Nb3R0b2xhLCBNLkYuLDwvYXV0aG9yPjwvYXV0aG9y
cz48L2NvbnRyaWJ1dG9ycz48dGl0bGVzPjx0aXRsZT5OdXRyaXRpb24gYW5kIGV4ZXJjaXNlIHJl
ZHVjZSBleGNlc3NpdmUgd2VpZ2h0IGdhaW4gaW4gbm9ybWFsLXdlaWdodCBwcmVnbmFudCB3b21l
bjwvdGl0bGU+PHNlY29uZGFyeS10aXRsZT5NZWRpY2luZSAmYW1wOyBTY2llbmNlIGluIFNwb3J0
cyAmYW1wOyBFeGVyY2lzZTwvc2Vjb25kYXJ5LXRpdGxlPjwvdGl0bGVzPjxwZXJpb2RpY2FsPjxm
dWxsLXRpdGxlPk1lZGljaW5lICZhbXA7IFNjaWVuY2UgaW4gU3BvcnRzICZhbXA7IEV4ZXJjaXNl
PC9mdWxsLXRpdGxlPjwvcGVyaW9kaWNhbD48cGFnZXM+MTQxOS0xNDI2PC9wYWdlcz48dm9sdW1l
PjQ0PC92b2x1bWU+PG51bWJlcj44PC9udW1iZXI+PHNlY3Rpb24+MTQxOTwvc2VjdGlvbj48ZGF0
ZXM+PHllYXI+MjAxMjwveWVhcj48L2RhdGVzPjxpc2JuPjAxOTUtOTEzMTwvaXNibj48dXJscz48
L3VybHM+PGVsZWN0cm9uaWMtcmVzb3VyY2UtbnVtPjEwLjEyNDkvTVNTLjBiMDEzZTMxODI1MzY1
ZjE8L2VsZWN0cm9uaWMtcmVzb3VyY2UtbnVtPjwvcmVjb3JkPjwvQ2l0ZT48Q2l0ZT48QXV0aG9y
Pktlbm5lbGx5PC9BdXRob3I+PFllYXI+MjAxODwvWWVhcj48UmVjTnVtPjEzNzg8L1JlY051bT48
cmVjb3JkPjxyZWMtbnVtYmVyPjEzNzg8L3JlYy1udW1iZXI+PGZvcmVpZ24ta2V5cz48a2V5IGFw
cD0iRU4iIGRiLWlkPSJleHZhc3JmeDJkdHJhb2VzYXN4cDJzenN4YTJkZjUwMjU5MngiIHRpbWVz
dGFtcD0iMTU2NzA1NDM5NyI+MTM3ODwva2V5PjxrZXkgYXBwPSJFTldlYiIgZGItaWQ9IiI+MDwv
a2V5PjwvZm9yZWlnbi1rZXlzPjxyZWYtdHlwZSBuYW1lPSJKb3VybmFsIEFydGljbGUiPjE3PC9y
ZWYtdHlwZT48Y29udHJpYnV0b3JzPjxhdXRob3JzPjxhdXRob3I+S2VubmVsbHksIE0uIEEuPC9h
dXRob3I+PGF1dGhvcj5BaW5zY291Z2gsIEsuPC9hdXRob3I+PGF1dGhvcj5MaW5kc2F5LCBLLiBM
LjwvYXV0aG9yPjxhdXRob3I+TyZhcG9zO1N1bGxpdmFuLCBFLjwvYXV0aG9yPjxhdXRob3I+R2li
bmV5LCBFLiBSLjwvYXV0aG9yPjxhdXRob3I+TWNDYXJ0aHksIE0uPC9hdXRob3I+PGF1dGhvcj5T
ZWd1cmFkbywgUi48L2F1dGhvcj48YXV0aG9yPkRlVml0bywgRy48L2F1dGhvcj48YXV0aG9yPk1h
Z3VpcmUsIE8uPC9hdXRob3I+PGF1dGhvcj5TbWl0aCwgVC48L2F1dGhvcj48YXV0aG9yPkhhdHVu
aWMsIE0uPC9hdXRob3I+PGF1dGhvcj5NY0F1bGlmZmUsIEYuIE0uPC9hdXRob3I+PC9hdXRob3Jz
PjwvY29udHJpYnV0b3JzPjxhdXRoLWFkZHJlc3M+VUNEIFBlcmluYXRhbCBSZXNlYXJjaCBDZW50
cmUsIE9ic3RldHJpY3MgYW5kIEd5bmFlY29sb2d5LCBTY2hvb2wgb2YgTWVkaWNpbmUsIHRoZSBV
Q0QgSW5zdGl0dXRlIG9mIEZvb2QgYW5kIEhlYWx0aCwgVUNEIENTVEFSLCBhbmQgdGhlIFNjaG9v
bCBvZiBQdWJsaWMgSGVhbHRoLCBQaHlzaWNhbCAmYW1wOyBTcG9ydHMgU2NpZW5jZXMsIEhlYWx0
aCBTY2llbmNlcyBDZW50cmUsIFVuaXZlcnNpdHkgQ29sbGVnZSBEdWJsaW4sIER1YmxpbiwgdGhl
IERlcGFydG1lbnQgb2YgTWFuYWdlbWVudCAmYW1wOyBNYXJrZXRpbmcsIFVuaXZlcnNpdHkgQ29s
bGVnZSBDb3JrLCBDb3JrLCBhbmQgdGhlIERlcGFydG1lbnQgb2YgRW5kb2NyaW5vbG9neSwgU3Qu
IFZpbmNlbnQmYXBvcztzIFVuaXZlcnNpdHkgSG9zcGl0YWwsIGFuZCB0aGUgRGVwYXJ0bWVudCBv
ZiBFbmRvY3Jpbm9sb2d5LCBOYXRpb25hbCBNYXRlcm5pdHkgSG9zcGl0YWwsIER1YmxpbiwgSXJl
bGFuZC48L2F1dGgtYWRkcmVzcz48dGl0bGVzPjx0aXRsZT5QcmVnbmFuY3kgRXhlcmNpc2UgYW5k
IE51dHJpdGlvbiBXaXRoIFNtYXJ0cGhvbmUgQXBwbGljYXRpb24gU3VwcG9ydDogQSBSYW5kb21p
emVkIENvbnRyb2xsZWQgVHJpYWw8L3RpdGxlPjxzZWNvbmRhcnktdGl0bGU+T2JzdGV0IEd5bmVj
b2w8L3NlY29uZGFyeS10aXRsZT48L3RpdGxlcz48cGVyaW9kaWNhbD48ZnVsbC10aXRsZT5PYnN0
ZXQgR3luZWNvbDwvZnVsbC10aXRsZT48L3BlcmlvZGljYWw+PHBhZ2VzPjgxOC04MjY8L3BhZ2Vz
Pjx2b2x1bWU+MTMxPC92b2x1bWU+PG51bWJlcj41PC9udW1iZXI+PGVkaXRpb24+MjAxOC8wNC8x
MDwvZWRpdGlvbj48a2V5d29yZHM+PGtleXdvcmQ+QWR1bHQ8L2tleXdvcmQ+PGtleXdvcmQ+QmVo
YXZpb3IgQ29udHJvbC8qbWV0aG9kczwva2V5d29yZD48a2V5d29yZD5Cb2R5IE1hc3MgSW5kZXg8
L2tleXdvcmQ+PGtleXdvcmQ+KkRpYWJldGVzLCBHZXN0YXRpb25hbC9kaWFnbm9zaXMvZXBpZGVt
aW9sb2d5L3ByZXZlbnRpb24gJmFtcDsgY29udHJvbC9wc3ljaG9sb2d5PC9rZXl3b3JkPjxrZXl3
b3JkPkV4ZXJjaXNlL3BoeXNpb2xvZ3kvKnBzeWNob2xvZ3k8L2tleXdvcmQ+PGtleXdvcmQ+RmVt
YWxlPC9rZXl3b3JkPjxrZXl3b3JkPkhlYWx0aCBCZWhhdmlvcjwva2V5d29yZD48a2V5d29yZD5I
ZWFsdGh5IExpZmVzdHlsZTwva2V5d29yZD48a2V5d29yZD5IdW1hbnM8L2tleXdvcmQ+PGtleXdv
cmQ+SW5jaWRlbmNlPC9rZXl3b3JkPjxrZXl3b3JkPk1vYmlsZSBBcHBsaWNhdGlvbnM8L2tleXdv
cmQ+PGtleXdvcmQ+Kk9iZXNpdHkvZGlhZ25vc2lzL3BzeWNob2xvZ3kvdGhlcmFweTwva2V5d29y
ZD48a2V5d29yZD5QcmVnbmFuY3k8L2tleXdvcmQ+PGtleXdvcmQ+KlByZWduYW5jeSBDb21wbGlj
YXRpb25zL2RpYWdub3Npcy9wc3ljaG9sb2d5L3RoZXJhcHk8L2tleXdvcmQ+PGtleXdvcmQ+UHJl
Z25hbmN5IE91dGNvbWUvZXBpZGVtaW9sb2d5PC9rZXl3b3JkPjxrZXl3b3JkPlByZW5hdGFsIENh
cmUvbWV0aG9kczwva2V5d29yZD48a2V5d29yZD5QcmVuYXRhbCBOdXRyaXRpb25hbCBQaHlzaW9s
b2dpY2FsIFBoZW5vbWVuYS8qcGh5c2lvbG9neTwva2V5d29yZD48a2V5d29yZD4qU21hcnRwaG9u
ZTwva2V5d29yZD48L2tleXdvcmRzPjxkYXRlcz48eWVhcj4yMDE4PC95ZWFyPjxwdWItZGF0ZXM+
PGRhdGU+TWF5PC9kYXRlPjwvcHViLWRhdGVzPjwvZGF0ZXM+PGlzYm4+MTg3My0yMzNYIChFbGVj
dHJvbmljKSYjeEQ7MDAyOS03ODQ0IChMaW5raW5nKTwvaXNibj48YWNjZXNzaW9uLW51bT4yOTYz
MDAwOTwvYWNjZXNzaW9uLW51bT48dXJscz48cmVsYXRlZC11cmxzPjx1cmw+aHR0cHM6Ly93d3cu
bmNiaS5ubG0ubmloLmdvdi9wdWJtZWQvMjk2MzAwMDk8L3VybD48L3JlbGF0ZWQtdXJscz48L3Vy
bHM+PGVsZWN0cm9uaWMtcmVzb3VyY2UtbnVtPjEwLjEwOTcvQU9HLjAwMDAwMDAwMDAwMDI1ODI8
L2VsZWN0cm9uaWMtcmVzb3VyY2UtbnVtPjwvcmVjb3JkPjwvQ2l0ZT48Q2l0ZT48QXV0aG9yPkJy
dW5vPC9BdXRob3I+PFllYXI+MjAxNzwvWWVhcj48UmVjTnVtPjc2NTwvUmVjTnVtPjxyZWNvcmQ+
PHJlYy1udW1iZXI+NzY1PC9yZWMtbnVtYmVyPjxmb3JlaWduLWtleXM+PGtleSBhcHA9IkVOIiBk
Yi1pZD0iZXh2YXNyZngyZHRyYW9lc2FzeHAyc3pzeGEyZGY1MDI1OTJ4IiB0aW1lc3RhbXA9IjE1
NDE0ODcwMzQiPjc2NTwva2V5PjwvZm9yZWlnbi1rZXlzPjxyZWYtdHlwZSBuYW1lPSJKb3VybmFs
IEFydGljbGUiPjE3PC9yZWYtdHlwZT48Y29udHJpYnV0b3JzPjxhdXRob3JzPjxhdXRob3I+QnJ1
bm8sIFIuPC9hdXRob3I+PGF1dGhvcj5QZXRyZWxsYSwgRS48L2F1dGhvcj48YXV0aG9yPkJlcnRh
cmluaSwgVi48L2F1dGhvcj48YXV0aG9yPlBlZHJpZWxsaSwgRy48L2F1dGhvcj48YXV0aG9yPk5l
cmksIEkuPC9hdXRob3I+PGF1dGhvcj5GYWNjaGluZXR0aSwgRi48L2F1dGhvcj48L2F1dGhvcnM+
PC9jb250cmlidXRvcnM+PGF1dGgtYWRkcmVzcz5Nb3RoZXItSW5mYW50IERlcGFydG1lbnQsIFVu
aXZlcnNpdHkgb2YgTW9kZW5hIGFuZCBSZWdnaW8gRW1pbGlhLCBJdGFseS48L2F1dGgtYWRkcmVz
cz48dGl0bGVzPjx0aXRsZT5BZGhlcmVuY2UgdG8gYSBsaWZlc3R5bGUgcHJvZ3JhbW1lIGluIG92
ZXJ3ZWlnaHQvb2Jlc2UgcHJlZ25hbnQgd29tZW4gYW5kIGVmZmVjdCBvbiBnZXN0YXRpb25hbCBk
aWFiZXRlcyBtZWxsaXR1czogYSByYW5kb21pemVkIGNvbnRyb2xsZWQgdHJpYWw8L3RpdGxlPjxz
ZWNvbmRhcnktdGl0bGU+TWF0ZXJuIENoaWxkIE51dHI8L3NlY29uZGFyeS10aXRsZT48L3RpdGxl
cz48cGVyaW9kaWNhbD48ZnVsbC10aXRsZT5NYXRlcm4gQ2hpbGQgTnV0cjwvZnVsbC10aXRsZT48
L3BlcmlvZGljYWw+PHZvbHVtZT4xMzwvdm9sdW1lPjxudW1iZXI+MzwvbnVtYmVyPjxlZGl0aW9u
PjIwMTYvMDkvMjE8L2VkaXRpb24+PGtleXdvcmRzPjxrZXl3b3JkPkFkdWx0PC9rZXl3b3JkPjxr
ZXl3b3JkPkJpcnRoIFdlaWdodDwva2V5d29yZD48a2V5d29yZD5CbG9vZCBHbHVjb3NlL21ldGFi
b2xpc208L2tleXdvcmQ+PGtleXdvcmQ+Qm9keSBNYXNzIEluZGV4PC9rZXl3b3JkPjxrZXl3b3Jk
PkRpYWJldGVzLCBHZXN0YXRpb25hbC8qcHJldmVudGlvbiAmYW1wOyBjb250cm9sPC9rZXl3b3Jk
PjxrZXl3b3JkPkV4ZXJjaXNlPC9rZXl3b3JkPjxrZXl3b3JkPkZlbWFsZTwva2V5d29yZD48a2V5
d29yZD5Gb2xsb3ctVXAgU3R1ZGllczwva2V5d29yZD48a2V5d29yZD4qSGVhbHRoeSBEaWV0PC9r
ZXl3b3JkPjxrZXl3b3JkPkh1bWFuczwva2V5d29yZD48a2V5d29yZD5IeXBlcnRlbnNpb24vcHJl
dmVudGlvbiAmYW1wOyBjb250cm9sPC9rZXl3b3JkPjxrZXl3b3JkPkl0YWx5PC9rZXl3b3JkPjxr
ZXl3b3JkPipMaWZlIFN0eWxlPC9rZXl3b3JkPjxrZXl3b3JkPk9iZXNpdHkvKnRoZXJhcHk8L2tl
eXdvcmQ+PGtleXdvcmQ+T3ZlcndlaWdodC8qdGhlcmFweTwva2V5d29yZD48a2V5d29yZD4qUGF0
aWVudCBDb21wbGlhbmNlPC9rZXl3b3JkPjxrZXl3b3JkPlByZWduYW5jeTwva2V5d29yZD48a2V5
d29yZD5QcmVtYXR1cmUgQmlydGgvcHJldmVudGlvbiAmYW1wOyBjb250cm9sPC9rZXl3b3JkPjxr
ZXl3b3JkPlByb3NwZWN0aXZlIFN0dWRpZXM8L2tleXdvcmQ+PGtleXdvcmQ+U3VydmV5cyBhbmQg
UXVlc3Rpb25uYWlyZXM8L2tleXdvcmQ+PGtleXdvcmQ+VHJlYXRtZW50IE91dGNvbWU8L2tleXdv
cmQ+PGtleXdvcmQ+WW91bmcgQWR1bHQ8L2tleXdvcmQ+PGtleXdvcmQ+KmRpYWJldGVzPC9rZXl3
b3JkPjxrZXl3b3JkPipmZXRhbCBncm93dGg8L2tleXdvcmQ+PGtleXdvcmQ+Km9iZXNpdHk8L2tl
eXdvcmQ+PGtleXdvcmQ+KnBoeXNpY2FsIGFjdGl2aXR5PC9rZXl3b3JkPjxrZXl3b3JkPipwcmVn
bmFuY3kgYW5kIG51dHJpdGlvbjwva2V5d29yZD48a2V5d29yZD4qcHJlZ25hbmN5IG91dGNvbWU8
L2tleXdvcmQ+PC9rZXl3b3Jkcz48ZGF0ZXM+PHllYXI+MjAxNzwveWVhcj48cHViLWRhdGVzPjxk
YXRlPkp1bDwvZGF0ZT48L3B1Yi1kYXRlcz48L2RhdGVzPjxpc2JuPjE3NDAtODcwOSAoRWxlY3Ry
b25pYykmI3hEOzE3NDAtODY5NSAoTGlua2luZyk8L2lzYm4+PGFjY2Vzc2lvbi1udW0+Mjc2NDc4
Mzc8L2FjY2Vzc2lvbi1udW0+PHVybHM+PHJlbGF0ZWQtdXJscz48dXJsPmh0dHBzOi8vd3d3Lm5j
YmkubmxtLm5paC5nb3YvcHVibWVkLzI3NjQ3ODM3PC91cmw+PC9yZWxhdGVkLXVybHM+PC91cmxz
PjxlbGVjdHJvbmljLXJlc291cmNlLW51bT4xMC4xMTExL21jbi4xMjMzMzwvZWxlY3Ryb25pYy1y
ZXNvdXJjZS1udW0+PC9yZWNvcmQ+PC9DaXRlPjwvRW5kTm90ZT5=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PEVuZE5vdGU+PENpdGU+PEF1dGhvcj5SdWNoYXQ8L0F1dGhvcj48WWVhcj4yMDEyPC9ZZWFyPjxS
ZWNOdW0+NzU2PC9SZWNOdW0+PERpc3BsYXlUZXh0PjxzdHlsZSBmYWNlPSJzdXBlcnNjcmlwdCIg
Zm9udD0iVHJlYnVjaGV0IE1TIiBzaXplPSI5Ij40ODIsNDk5LDUwNjwvc3R5bGU+PC9EaXNwbGF5
VGV4dD48cmVjb3JkPjxyZWMtbnVtYmVyPjc1NjwvcmVjLW51bWJlcj48Zm9yZWlnbi1rZXlzPjxr
ZXkgYXBwPSJFTiIgZGItaWQ9ImV4dmFzcmZ4MmR0cmFvZXNhc3hwMnN6c3hhMmRmNTAyNTkyeCIg
dGltZXN0YW1wPSIxNTQxNDY3OTY1Ij43NTY8L2tleT48a2V5IGFwcD0iRU5XZWIiIGRiLWlkPSIi
PjA8L2tleT48L2ZvcmVpZ24ta2V5cz48cmVmLXR5cGUgbmFtZT0iSm91cm5hbCBBcnRpY2xlIj4x
NzwvcmVmLXR5cGU+PGNvbnRyaWJ1dG9ycz48YXV0aG9ycz48YXV0aG9yPlJ1Y2hhdCwgUy1NLiw8
L2F1dGhvcj48YXV0aG9yPkRhdmVucG9ydCwgTS5ILiw8L2F1dGhvcj48YXV0aG9yPkdpcm91eCwg
SS4sPC9hdXRob3I+PGF1dGhvcj5IaWxsaWVyLCBNLiw8L2F1dGhvcj48YXV0aG9yPkJhdGFkYSwg
QS4sPC9hdXRob3I+PGF1dGhvcj5Tb3BwZXIsIE0uTS4sPC9hdXRob3I+PGF1dGhvcj5IYW1tb25k
LCBKLk0uUy4sPC9hdXRob3I+PGF1dGhvcj5Nb3R0b2xhLCBNLkYuLDwvYXV0aG9yPjwvYXV0aG9y
cz48L2NvbnRyaWJ1dG9ycz48dGl0bGVzPjx0aXRsZT5OdXRyaXRpb24gYW5kIGV4ZXJjaXNlIHJl
ZHVjZSBleGNlc3NpdmUgd2VpZ2h0IGdhaW4gaW4gbm9ybWFsLXdlaWdodCBwcmVnbmFudCB3b21l
bjwvdGl0bGU+PHNlY29uZGFyeS10aXRsZT5NZWRpY2luZSAmYW1wOyBTY2llbmNlIGluIFNwb3J0
cyAmYW1wOyBFeGVyY2lzZTwvc2Vjb25kYXJ5LXRpdGxlPjwvdGl0bGVzPjxwZXJpb2RpY2FsPjxm
dWxsLXRpdGxlPk1lZGljaW5lICZhbXA7IFNjaWVuY2UgaW4gU3BvcnRzICZhbXA7IEV4ZXJjaXNl
PC9mdWxsLXRpdGxlPjwvcGVyaW9kaWNhbD48cGFnZXM+MTQxOS0xNDI2PC9wYWdlcz48dm9sdW1l
PjQ0PC92b2x1bWU+PG51bWJlcj44PC9udW1iZXI+PHNlY3Rpb24+MTQxOTwvc2VjdGlvbj48ZGF0
ZXM+PHllYXI+MjAxMjwveWVhcj48L2RhdGVzPjxpc2JuPjAxOTUtOTEzMTwvaXNibj48dXJscz48
L3VybHM+PGVsZWN0cm9uaWMtcmVzb3VyY2UtbnVtPjEwLjEyNDkvTVNTLjBiMDEzZTMxODI1MzY1
ZjE8L2VsZWN0cm9uaWMtcmVzb3VyY2UtbnVtPjwvcmVjb3JkPjwvQ2l0ZT48Q2l0ZT48QXV0aG9y
Pktlbm5lbGx5PC9BdXRob3I+PFllYXI+MjAxODwvWWVhcj48UmVjTnVtPjEzNzg8L1JlY051bT48
cmVjb3JkPjxyZWMtbnVtYmVyPjEzNzg8L3JlYy1udW1iZXI+PGZvcmVpZ24ta2V5cz48a2V5IGFw
cD0iRU4iIGRiLWlkPSJleHZhc3JmeDJkdHJhb2VzYXN4cDJzenN4YTJkZjUwMjU5MngiIHRpbWVz
dGFtcD0iMTU2NzA1NDM5NyI+MTM3ODwva2V5PjxrZXkgYXBwPSJFTldlYiIgZGItaWQ9IiI+MDwv
a2V5PjwvZm9yZWlnbi1rZXlzPjxyZWYtdHlwZSBuYW1lPSJKb3VybmFsIEFydGljbGUiPjE3PC9y
ZWYtdHlwZT48Y29udHJpYnV0b3JzPjxhdXRob3JzPjxhdXRob3I+S2VubmVsbHksIE0uIEEuPC9h
dXRob3I+PGF1dGhvcj5BaW5zY291Z2gsIEsuPC9hdXRob3I+PGF1dGhvcj5MaW5kc2F5LCBLLiBM
LjwvYXV0aG9yPjxhdXRob3I+TyZhcG9zO1N1bGxpdmFuLCBFLjwvYXV0aG9yPjxhdXRob3I+R2li
bmV5LCBFLiBSLjwvYXV0aG9yPjxhdXRob3I+TWNDYXJ0aHksIE0uPC9hdXRob3I+PGF1dGhvcj5T
ZWd1cmFkbywgUi48L2F1dGhvcj48YXV0aG9yPkRlVml0bywgRy48L2F1dGhvcj48YXV0aG9yPk1h
Z3VpcmUsIE8uPC9hdXRob3I+PGF1dGhvcj5TbWl0aCwgVC48L2F1dGhvcj48YXV0aG9yPkhhdHVu
aWMsIE0uPC9hdXRob3I+PGF1dGhvcj5NY0F1bGlmZmUsIEYuIE0uPC9hdXRob3I+PC9hdXRob3Jz
PjwvY29udHJpYnV0b3JzPjxhdXRoLWFkZHJlc3M+VUNEIFBlcmluYXRhbCBSZXNlYXJjaCBDZW50
cmUsIE9ic3RldHJpY3MgYW5kIEd5bmFlY29sb2d5LCBTY2hvb2wgb2YgTWVkaWNpbmUsIHRoZSBV
Q0QgSW5zdGl0dXRlIG9mIEZvb2QgYW5kIEhlYWx0aCwgVUNEIENTVEFSLCBhbmQgdGhlIFNjaG9v
bCBvZiBQdWJsaWMgSGVhbHRoLCBQaHlzaWNhbCAmYW1wOyBTcG9ydHMgU2NpZW5jZXMsIEhlYWx0
aCBTY2llbmNlcyBDZW50cmUsIFVuaXZlcnNpdHkgQ29sbGVnZSBEdWJsaW4sIER1YmxpbiwgdGhl
IERlcGFydG1lbnQgb2YgTWFuYWdlbWVudCAmYW1wOyBNYXJrZXRpbmcsIFVuaXZlcnNpdHkgQ29s
bGVnZSBDb3JrLCBDb3JrLCBhbmQgdGhlIERlcGFydG1lbnQgb2YgRW5kb2NyaW5vbG9neSwgU3Qu
IFZpbmNlbnQmYXBvcztzIFVuaXZlcnNpdHkgSG9zcGl0YWwsIGFuZCB0aGUgRGVwYXJ0bWVudCBv
ZiBFbmRvY3Jpbm9sb2d5LCBOYXRpb25hbCBNYXRlcm5pdHkgSG9zcGl0YWwsIER1YmxpbiwgSXJl
bGFuZC48L2F1dGgtYWRkcmVzcz48dGl0bGVzPjx0aXRsZT5QcmVnbmFuY3kgRXhlcmNpc2UgYW5k
IE51dHJpdGlvbiBXaXRoIFNtYXJ0cGhvbmUgQXBwbGljYXRpb24gU3VwcG9ydDogQSBSYW5kb21p
emVkIENvbnRyb2xsZWQgVHJpYWw8L3RpdGxlPjxzZWNvbmRhcnktdGl0bGU+T2JzdGV0IEd5bmVj
b2w8L3NlY29uZGFyeS10aXRsZT48L3RpdGxlcz48cGVyaW9kaWNhbD48ZnVsbC10aXRsZT5PYnN0
ZXQgR3luZWNvbDwvZnVsbC10aXRsZT48L3BlcmlvZGljYWw+PHBhZ2VzPjgxOC04MjY8L3BhZ2Vz
Pjx2b2x1bWU+MTMxPC92b2x1bWU+PG51bWJlcj41PC9udW1iZXI+PGVkaXRpb24+MjAxOC8wNC8x
MDwvZWRpdGlvbj48a2V5d29yZHM+PGtleXdvcmQ+QWR1bHQ8L2tleXdvcmQ+PGtleXdvcmQ+QmVo
YXZpb3IgQ29udHJvbC8qbWV0aG9kczwva2V5d29yZD48a2V5d29yZD5Cb2R5IE1hc3MgSW5kZXg8
L2tleXdvcmQ+PGtleXdvcmQ+KkRpYWJldGVzLCBHZXN0YXRpb25hbC9kaWFnbm9zaXMvZXBpZGVt
aW9sb2d5L3ByZXZlbnRpb24gJmFtcDsgY29udHJvbC9wc3ljaG9sb2d5PC9rZXl3b3JkPjxrZXl3
b3JkPkV4ZXJjaXNlL3BoeXNpb2xvZ3kvKnBzeWNob2xvZ3k8L2tleXdvcmQ+PGtleXdvcmQ+RmVt
YWxlPC9rZXl3b3JkPjxrZXl3b3JkPkhlYWx0aCBCZWhhdmlvcjwva2V5d29yZD48a2V5d29yZD5I
ZWFsdGh5IExpZmVzdHlsZTwva2V5d29yZD48a2V5d29yZD5IdW1hbnM8L2tleXdvcmQ+PGtleXdv
cmQ+SW5jaWRlbmNlPC9rZXl3b3JkPjxrZXl3b3JkPk1vYmlsZSBBcHBsaWNhdGlvbnM8L2tleXdv
cmQ+PGtleXdvcmQ+Kk9iZXNpdHkvZGlhZ25vc2lzL3BzeWNob2xvZ3kvdGhlcmFweTwva2V5d29y
ZD48a2V5d29yZD5QcmVnbmFuY3k8L2tleXdvcmQ+PGtleXdvcmQ+KlByZWduYW5jeSBDb21wbGlj
YXRpb25zL2RpYWdub3Npcy9wc3ljaG9sb2d5L3RoZXJhcHk8L2tleXdvcmQ+PGtleXdvcmQ+UHJl
Z25hbmN5IE91dGNvbWUvZXBpZGVtaW9sb2d5PC9rZXl3b3JkPjxrZXl3b3JkPlByZW5hdGFsIENh
cmUvbWV0aG9kczwva2V5d29yZD48a2V5d29yZD5QcmVuYXRhbCBOdXRyaXRpb25hbCBQaHlzaW9s
b2dpY2FsIFBoZW5vbWVuYS8qcGh5c2lvbG9neTwva2V5d29yZD48a2V5d29yZD4qU21hcnRwaG9u
ZTwva2V5d29yZD48L2tleXdvcmRzPjxkYXRlcz48eWVhcj4yMDE4PC95ZWFyPjxwdWItZGF0ZXM+
PGRhdGU+TWF5PC9kYXRlPjwvcHViLWRhdGVzPjwvZGF0ZXM+PGlzYm4+MTg3My0yMzNYIChFbGVj
dHJvbmljKSYjeEQ7MDAyOS03ODQ0IChMaW5raW5nKTwvaXNibj48YWNjZXNzaW9uLW51bT4yOTYz
MDAwOTwvYWNjZXNzaW9uLW51bT48dXJscz48cmVsYXRlZC11cmxzPjx1cmw+aHR0cHM6Ly93d3cu
bmNiaS5ubG0ubmloLmdvdi9wdWJtZWQvMjk2MzAwMDk8L3VybD48L3JlbGF0ZWQtdXJscz48L3Vy
bHM+PGVsZWN0cm9uaWMtcmVzb3VyY2UtbnVtPjEwLjEwOTcvQU9HLjAwMDAwMDAwMDAwMDI1ODI8
L2VsZWN0cm9uaWMtcmVzb3VyY2UtbnVtPjwvcmVjb3JkPjwvQ2l0ZT48Q2l0ZT48QXV0aG9yPkJy
dW5vPC9BdXRob3I+PFllYXI+MjAxNzwvWWVhcj48UmVjTnVtPjc2NTwvUmVjTnVtPjxyZWNvcmQ+
PHJlYy1udW1iZXI+NzY1PC9yZWMtbnVtYmVyPjxmb3JlaWduLWtleXM+PGtleSBhcHA9IkVOIiBk
Yi1pZD0iZXh2YXNyZngyZHRyYW9lc2FzeHAyc3pzeGEyZGY1MDI1OTJ4IiB0aW1lc3RhbXA9IjE1
NDE0ODcwMzQiPjc2NTwva2V5PjwvZm9yZWlnbi1rZXlzPjxyZWYtdHlwZSBuYW1lPSJKb3VybmFs
IEFydGljbGUiPjE3PC9yZWYtdHlwZT48Y29udHJpYnV0b3JzPjxhdXRob3JzPjxhdXRob3I+QnJ1
bm8sIFIuPC9hdXRob3I+PGF1dGhvcj5QZXRyZWxsYSwgRS48L2F1dGhvcj48YXV0aG9yPkJlcnRh
cmluaSwgVi48L2F1dGhvcj48YXV0aG9yPlBlZHJpZWxsaSwgRy48L2F1dGhvcj48YXV0aG9yPk5l
cmksIEkuPC9hdXRob3I+PGF1dGhvcj5GYWNjaGluZXR0aSwgRi48L2F1dGhvcj48L2F1dGhvcnM+
PC9jb250cmlidXRvcnM+PGF1dGgtYWRkcmVzcz5Nb3RoZXItSW5mYW50IERlcGFydG1lbnQsIFVu
aXZlcnNpdHkgb2YgTW9kZW5hIGFuZCBSZWdnaW8gRW1pbGlhLCBJdGFseS48L2F1dGgtYWRkcmVz
cz48dGl0bGVzPjx0aXRsZT5BZGhlcmVuY2UgdG8gYSBsaWZlc3R5bGUgcHJvZ3JhbW1lIGluIG92
ZXJ3ZWlnaHQvb2Jlc2UgcHJlZ25hbnQgd29tZW4gYW5kIGVmZmVjdCBvbiBnZXN0YXRpb25hbCBk
aWFiZXRlcyBtZWxsaXR1czogYSByYW5kb21pemVkIGNvbnRyb2xsZWQgdHJpYWw8L3RpdGxlPjxz
ZWNvbmRhcnktdGl0bGU+TWF0ZXJuIENoaWxkIE51dHI8L3NlY29uZGFyeS10aXRsZT48L3RpdGxl
cz48cGVyaW9kaWNhbD48ZnVsbC10aXRsZT5NYXRlcm4gQ2hpbGQgTnV0cjwvZnVsbC10aXRsZT48
L3BlcmlvZGljYWw+PHZvbHVtZT4xMzwvdm9sdW1lPjxudW1iZXI+MzwvbnVtYmVyPjxlZGl0aW9u
PjIwMTYvMDkvMjE8L2VkaXRpb24+PGtleXdvcmRzPjxrZXl3b3JkPkFkdWx0PC9rZXl3b3JkPjxr
ZXl3b3JkPkJpcnRoIFdlaWdodDwva2V5d29yZD48a2V5d29yZD5CbG9vZCBHbHVjb3NlL21ldGFi
b2xpc208L2tleXdvcmQ+PGtleXdvcmQ+Qm9keSBNYXNzIEluZGV4PC9rZXl3b3JkPjxrZXl3b3Jk
PkRpYWJldGVzLCBHZXN0YXRpb25hbC8qcHJldmVudGlvbiAmYW1wOyBjb250cm9sPC9rZXl3b3Jk
PjxrZXl3b3JkPkV4ZXJjaXNlPC9rZXl3b3JkPjxrZXl3b3JkPkZlbWFsZTwva2V5d29yZD48a2V5
d29yZD5Gb2xsb3ctVXAgU3R1ZGllczwva2V5d29yZD48a2V5d29yZD4qSGVhbHRoeSBEaWV0PC9r
ZXl3b3JkPjxrZXl3b3JkPkh1bWFuczwva2V5d29yZD48a2V5d29yZD5IeXBlcnRlbnNpb24vcHJl
dmVudGlvbiAmYW1wOyBjb250cm9sPC9rZXl3b3JkPjxrZXl3b3JkPkl0YWx5PC9rZXl3b3JkPjxr
ZXl3b3JkPipMaWZlIFN0eWxlPC9rZXl3b3JkPjxrZXl3b3JkPk9iZXNpdHkvKnRoZXJhcHk8L2tl
eXdvcmQ+PGtleXdvcmQ+T3ZlcndlaWdodC8qdGhlcmFweTwva2V5d29yZD48a2V5d29yZD4qUGF0
aWVudCBDb21wbGlhbmNlPC9rZXl3b3JkPjxrZXl3b3JkPlByZWduYW5jeTwva2V5d29yZD48a2V5
d29yZD5QcmVtYXR1cmUgQmlydGgvcHJldmVudGlvbiAmYW1wOyBjb250cm9sPC9rZXl3b3JkPjxr
ZXl3b3JkPlByb3NwZWN0aXZlIFN0dWRpZXM8L2tleXdvcmQ+PGtleXdvcmQ+U3VydmV5cyBhbmQg
UXVlc3Rpb25uYWlyZXM8L2tleXdvcmQ+PGtleXdvcmQ+VHJlYXRtZW50IE91dGNvbWU8L2tleXdv
cmQ+PGtleXdvcmQ+WW91bmcgQWR1bHQ8L2tleXdvcmQ+PGtleXdvcmQ+KmRpYWJldGVzPC9rZXl3
b3JkPjxrZXl3b3JkPipmZXRhbCBncm93dGg8L2tleXdvcmQ+PGtleXdvcmQ+Km9iZXNpdHk8L2tl
eXdvcmQ+PGtleXdvcmQ+KnBoeXNpY2FsIGFjdGl2aXR5PC9rZXl3b3JkPjxrZXl3b3JkPipwcmVn
bmFuY3kgYW5kIG51dHJpdGlvbjwva2V5d29yZD48a2V5d29yZD4qcHJlZ25hbmN5IG91dGNvbWU8
L2tleXdvcmQ+PC9rZXl3b3Jkcz48ZGF0ZXM+PHllYXI+MjAxNzwveWVhcj48cHViLWRhdGVzPjxk
YXRlPkp1bDwvZGF0ZT48L3B1Yi1kYXRlcz48L2RhdGVzPjxpc2JuPjE3NDAtODcwOSAoRWxlY3Ry
b25pYykmI3hEOzE3NDAtODY5NSAoTGlua2luZyk8L2lzYm4+PGFjY2Vzc2lvbi1udW0+Mjc2NDc4
Mzc8L2FjY2Vzc2lvbi1udW0+PHVybHM+PHJlbGF0ZWQtdXJscz48dXJsPmh0dHBzOi8vd3d3Lm5j
YmkubmxtLm5paC5nb3YvcHVibWVkLzI3NjQ3ODM3PC91cmw+PC9yZWxhdGVkLXVybHM+PC91cmxz
PjxlbGVjdHJvbmljLXJlc291cmNlLW51bT4xMC4xMTExL21jbi4xMjMzMzwvZWxlY3Ryb25pYy1y
ZXNvdXJjZS1udW0+PC9yZWNvcmQ+PC9DaXRlPjwvRW5kTm90ZT5=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767EBF">
        <w:rPr>
          <w:rFonts w:ascii="Century Gothic" w:hAnsi="Century Gothic"/>
          <w:noProof/>
        </w:rPr>
      </w:r>
      <w:r w:rsidR="00767EBF">
        <w:rPr>
          <w:rFonts w:ascii="Century Gothic" w:hAnsi="Century Gothic"/>
          <w:noProof/>
        </w:rPr>
        <w:fldChar w:fldCharType="separate"/>
      </w:r>
      <w:r w:rsidR="002747EA" w:rsidRPr="002747EA">
        <w:rPr>
          <w:noProof/>
          <w:vertAlign w:val="superscript"/>
        </w:rPr>
        <w:t>482,499,506</w:t>
      </w:r>
      <w:r w:rsidR="00767EBF">
        <w:rPr>
          <w:rFonts w:ascii="Century Gothic" w:hAnsi="Century Gothic"/>
          <w:noProof/>
        </w:rPr>
        <w:fldChar w:fldCharType="end"/>
      </w:r>
      <w:r w:rsidR="00973D70">
        <w:t xml:space="preserve"> </w:t>
      </w:r>
      <w:r>
        <w:t>and fibre intake</w:t>
      </w:r>
      <w:r>
        <w:fldChar w:fldCharType="begin">
          <w:fldData xml:space="preserve">PEVuZE5vdGU+PENpdGU+PEF1dGhvcj5Eb2RkPC9BdXRob3I+PFllYXI+MjAxNDwvWWVhcj48UmVj
TnVtPjEwODA8L1JlY051bT48RGlzcGxheVRleHQ+PHN0eWxlIGZhY2U9InN1cGVyc2NyaXB0IiBm
b250PSJUcmVidWNoZXQgTVMiIHNpemU9IjkiPjQwMiw0ODMsNDg0LDQ5Niw1MDMsNTA1LDUwOSw1
MTksNTIxPC9zdHlsZT48L0Rpc3BsYXlUZXh0PjxyZWNvcmQ+PHJlYy1udW1iZXI+MTA4MDwvcmVj
LW51bWJlcj48Zm9yZWlnbi1rZXlzPjxrZXkgYXBwPSJFTiIgZGItaWQ9ImV4dmFzcmZ4MmR0cmFv
ZXNhc3hwMnN6c3hhMmRmNTAyNTkyeCIgdGltZXN0YW1wPSIxNTUyOTQ2NDcyIj4xMDgwPC9rZXk+
PGtleSBhcHA9IkVOV2ViIiBkYi1pZD0iIj4wPC9rZXk+PC9mb3JlaWduLWtleXM+PHJlZi10eXBl
IG5hbWU9IkpvdXJuYWwgQXJ0aWNsZSI+MTc8L3JlZi10eXBlPjxjb250cmlidXRvcnM+PGF1dGhv
cnM+PGF1dGhvcj5Eb2RkLCBKb2RpZSBNLjwvYXV0aG9yPjxhdXRob3I+R3JpdmVsbCwgUm9zYWxp
ZSBNLjwvYXV0aG9yPjxhdXRob3I+T3dlbnMsIEp1bGllIEEuPC9hdXRob3I+PC9hdXRob3JzPjwv
Y29udHJpYnV0b3JzPjx0aXRsZXM+PHRpdGxlPkFudGVuYXRhbCBEaWV0YXJ5IGFuZCBMaWZlc3R5
bGUgSW50ZXJ2ZW50aW9ucyBmb3IgV29tZW4gV2hvIGFyZSBPdmVyd2VpZ2h0IG9yIE9iZXNlOiBP
dXRjb21lcyBmcm9tIHRoZSBMSU1JVCBSYW5kb21pemVkIFRyaWFsPC90aXRsZT48c2Vjb25kYXJ5
LXRpdGxlPkN1cnJlbnQgTnV0cml0aW9uIFJlcG9ydHM8L3NlY29uZGFyeS10aXRsZT48L3RpdGxl
cz48cGVyaW9kaWNhbD48ZnVsbC10aXRsZT5DdXJyZW50IE51dHJpdGlvbiBSZXBvcnRzPC9mdWxs
LXRpdGxlPjwvcGVyaW9kaWNhbD48cGFnZXM+MzkyLTM5OTwvcGFnZXM+PHZvbHVtZT4zPC92b2x1
bWU+PG51bWJlcj40PC9udW1iZXI+PHNlY3Rpb24+MzkyPC9zZWN0aW9uPjxkYXRlcz48eWVhcj4y
MDE0PC95ZWFyPjwvZGF0ZXM+PGlzYm4+MjE2MS0zMzExPC9pc2JuPjx1cmxzPjwvdXJscz48ZWxl
Y3Ryb25pYy1yZXNvdXJjZS1udW0+MTAuMTAwNy9zMTM2NjgtMDE0LTAxMDEtNzwvZWxlY3Ryb25p
Yy1yZXNvdXJjZS1udW0+PC9yZWNvcmQ+PC9DaXRlPjxDaXRlPjxBdXRob3I+UmF1aDwvQXV0aG9y
PjxZZWFyPjIwMTM8L1llYXI+PFJlY051bT4xMTA5PC9SZWNOdW0+PHJlY29yZD48cmVjLW51bWJl
cj4xMTA5PC9yZWMtbnVtYmVyPjxmb3JlaWduLWtleXM+PGtleSBhcHA9IkVOIiBkYi1pZD0iZXh2
YXNyZngyZHRyYW9lc2FzeHAyc3pzeGEyZGY1MDI1OTJ4IiB0aW1lc3RhbXA9IjE1NTI5NDg0ODUi
PjExMDk8L2tleT48L2ZvcmVpZ24ta2V5cz48cmVmLXR5cGUgbmFtZT0iSm91cm5hbCBBcnRpY2xl
Ij4xNzwvcmVmLXR5cGU+PGNvbnRyaWJ1dG9ycz48YXV0aG9ycz48YXV0aG9yPlJhdWgsIEsuPC9h
dXRob3I+PGF1dGhvcj5HYWJyaWVsLCBFLjwvYXV0aG9yPjxhdXRob3I+S2Vyc2NoYmF1bSwgRS48
L2F1dGhvcj48YXV0aG9yPlNjaHVzdGVyLCBULjwvYXV0aG9yPjxhdXRob3I+dm9uIEtyaWVzLCBS
LjwvYXV0aG9yPjxhdXRob3I+QW1hbm4tR2Fzc25lciwgVS48L2F1dGhvcj48YXV0aG9yPkhhdW5l
ciwgSC48L2F1dGhvcj48L2F1dGhvcnM+PC9jb250cmlidXRvcnM+PHRpdGxlcz48dGl0bGU+U2Fm
ZXR5IGFuZCBlZmZpY2FjeSBvZiBhIGxpZmVzdHlsZSBpbnRlcnZlbnRpb24gZm9yIHByZWduYW50
IHdvbWVuIHRvIHByZXZlbnQgZXhjZXNzaXZlIG1hdGVybmFsIHdlaWdodCBnYWluOiBhIGNsdXN0
ZXItcmFuZG9taXplZCBjb250cm9sbGVkIHRyaWFsPC90aXRsZT48c2Vjb25kYXJ5LXRpdGxlPkJN
QyBQcmVnbmFuY3kgQ2hpbGRiaXJ0aDwvc2Vjb25kYXJ5LXRpdGxlPjwvdGl0bGVzPjxwZXJpb2Rp
Y2FsPjxmdWxsLXRpdGxlPkJNQyBQcmVnbmFuY3kgQ2hpbGRiaXJ0aDwvZnVsbC10aXRsZT48L3Bl
cmlvZGljYWw+PHBhZ2VzPjE1MTwvcGFnZXM+PHZvbHVtZT4xMzwvdm9sdW1lPjxlZGl0aW9uPjIw
MTMvMDcvMjA8L2VkaXRpb24+PGtleXdvcmRzPjxrZXl3b3JkPkFkdWx0PC9rZXl3b3JkPjxrZXl3
b3JkPipCaXJ0aCBXZWlnaHQ8L2tleXdvcmQ+PGtleXdvcmQ+Q291bnNlbGluZy8qbWV0aG9kczwv
a2V5d29yZD48a2V5d29yZD4qRW5lcmd5IEludGFrZTwva2V5d29yZD48a2V5d29yZD5GZWFzaWJp
bGl0eSBTdHVkaWVzPC9rZXl3b3JkPjxrZXl3b3JkPkZlbWFsZTwva2V5d29yZD48a2V5d29yZD5I
dW1hbnM8L2tleXdvcmQ+PGtleXdvcmQ+SW5mYW50LCBOZXdib3JuPC9rZXl3b3JkPjxrZXl3b3Jk
PipNb3RvciBBY3Rpdml0eTwva2V5d29yZD48a2V5d29yZD5PYmVzaXR5LypwcmV2ZW50aW9uICZh
bXA7IGNvbnRyb2w8L2tleXdvcmQ+PGtleXdvcmQ+T3ZlcndlaWdodC9wcmV2ZW50aW9uICZhbXA7
IGNvbnRyb2w8L2tleXdvcmQ+PGtleXdvcmQ+UG9zdHBhcnR1bSBQZXJpb2Q8L2tleXdvcmQ+PGtl
eXdvcmQ+UHJlZ25hbmN5PC9rZXl3b3JkPjxrZXl3b3JkPlByZWduYW5jeSBDb21wbGljYXRpb25z
LypwcmV2ZW50aW9uICZhbXA7IGNvbnRyb2w8L2tleXdvcmQ+PGtleXdvcmQ+UHJlZ25hbmN5IE91
dGNvbWU8L2tleXdvcmQ+PGtleXdvcmQ+KldlaWdodCBHYWluPC9rZXl3b3JkPjwva2V5d29yZHM+
PGRhdGVzPjx5ZWFyPjIwMTM8L3llYXI+PHB1Yi1kYXRlcz48ZGF0ZT5KdWwgMTY8L2RhdGU+PC9w
dWItZGF0ZXM+PC9kYXRlcz48aXNibj4xNDcxLTIzOTMgKEVsZWN0cm9uaWMpJiN4RDsxNDcxLTIz
OTMgKExpbmtpbmcpPC9pc2JuPjxhY2Nlc3Npb24tbnVtPjIzODY1NjI0PC9hY2Nlc3Npb24tbnVt
Pjx1cmxzPjxyZWxhdGVkLXVybHM+PHVybD5odHRwczovL3d3dy5uY2JpLm5sbS5uaWguZ292L3B1
Ym1lZC8yMzg2NTYyNDwvdXJsPjwvcmVsYXRlZC11cmxzPjwvdXJscz48Y3VzdG9tMj5QTUMzNzE4
NzA3PC9jdXN0b20yPjxlbGVjdHJvbmljLXJlc291cmNlLW51bT4xMC4xMTg2LzE0NzEtMjM5My0x
My0xNTE8L2VsZWN0cm9uaWMtcmVzb3VyY2UtbnVtPjwvcmVjb3JkPjwvQ2l0ZT48Q2l0ZT48QXV0
aG9yPkhhd2tpbnM8L0F1dGhvcj48WWVhcj4yMDE1PC9ZZWFyPjxSZWNOdW0+NzI2PC9SZWNOdW0+
PHJlY29yZD48cmVjLW51bWJlcj43MjY8L3JlYy1udW1iZXI+PGZvcmVpZ24ta2V5cz48a2V5IGFw
cD0iRU4iIGRiLWlkPSJleHZhc3JmeDJkdHJhb2VzYXN4cDJzenN4YTJkZjUwMjU5MngiIHRpbWVz
dGFtcD0iMTU0MTQ2NTMyMiI+NzI2PC9rZXk+PC9mb3JlaWduLWtleXM+PHJlZi10eXBlIG5hbWU9
IkpvdXJuYWwgQXJ0aWNsZSI+MTc8L3JlZi10eXBlPjxjb250cmlidXRvcnM+PGF1dGhvcnM+PGF1
dGhvcj5IYXdraW5zLCBNLjwvYXV0aG9yPjxhdXRob3I+SG9za2VyLCBNLjwvYXV0aG9yPjxhdXRo
b3I+TWFyY3VzLCBCLiBILjwvYXV0aG9yPjxhdXRob3I+Um9zYWwsIE0uIEMuPC9hdXRob3I+PGF1
dGhvcj5CcmF1biwgQi48L2F1dGhvcj48YXV0aG9yPlN0YW5laywgRS4gSi4sIDNyZDwvYXV0aG9y
PjxhdXRob3I+TWFya2Vuc29uLCBHLjwvYXV0aG9yPjxhdXRob3I+Q2hhc2FuLVRhYmVyLCBMLjwv
YXV0aG9yPjwvYXV0aG9ycz48L2NvbnRyaWJ1dG9ycz48YXV0aC1hZGRyZXNzPkRpdmlzaW9uIG9m
IEJpb3N0YXRpc3RpY3MgYW5kIEVwaWRlbWlvbG9neSwgRGVwYXJ0bWVudCBvZiBQdWJsaWMgSGVh
bHRoLCBTY2hvb2wgb2YgUHVibGljIEhlYWx0aCBhbmQgSGVhbHRoIFNjaWVuY2VzLCBVbml2ZXJz
aXR5IG9mIE1hc3NhY2h1c2V0dHMsIEFtaGVyc3QsIE1BLCBVU0EuPC9hdXRoLWFkZHJlc3M+PHRp
dGxlcz48dGl0bGU+QSBwcmVnbmFuY3kgbGlmZXN0eWxlIGludGVydmVudGlvbiB0byBwcmV2ZW50
IGdlc3RhdGlvbmFsIGRpYWJldGVzIHJpc2sgZmFjdG9ycyBpbiBvdmVyd2VpZ2h0IEhpc3Bhbmlj
IHdvbWVuOiBhIGZlYXNpYmlsaXR5IHJhbmRvbWl6ZWQgY29udHJvbGxlZCB0cmlhbDwvdGl0bGU+
PHNlY29uZGFyeS10aXRsZT5EaWFiZXQgTWVkPC9zZWNvbmRhcnktdGl0bGU+PC90aXRsZXM+PHBl
cmlvZGljYWw+PGZ1bGwtdGl0bGU+RGlhYmV0IE1lZDwvZnVsbC10aXRsZT48L3BlcmlvZGljYWw+
PHBhZ2VzPjEwOC0xNTwvcGFnZXM+PHZvbHVtZT4zMjwvdm9sdW1lPjxudW1iZXI+MTwvbnVtYmVy
PjxlZGl0aW9uPjIwMTQvMTAvMTQ8L2VkaXRpb24+PGtleXdvcmRzPjxrZXl3b3JkPkFkdWx0PC9r
ZXl3b3JkPjxrZXl3b3JkPkJpcnRoIFdlaWdodDwva2V5d29yZD48a2V5d29yZD5EaWFiZXRlcywg
R2VzdGF0aW9uYWwvKnByZXZlbnRpb24gJmFtcDsgY29udHJvbDwva2V5d29yZD48a2V5d29yZD5E
aWV0PC9rZXl3b3JkPjxrZXl3b3JkPkV4ZXJjaXNlPC9rZXl3b3JkPjxrZXl3b3JkPkZlYXNpYmls
aXR5IFN0dWRpZXM8L2tleXdvcmQ+PGtleXdvcmQ+RmVlZGluZyBCZWhhdmlvcjwva2V5d29yZD48
a2V5d29yZD5GZW1hbGU8L2tleXdvcmQ+PGtleXdvcmQ+SGlzcGFuaWMgQW1lcmljYW5zLypzdGF0
aXN0aWNzICZhbXA7IG51bWVyaWNhbCBkYXRhPC9rZXl3b3JkPjxrZXl3b3JkPkh1bWFuczwva2V5
d29yZD48a2V5d29yZD5JbmZhbnQsIE5ld2Jvcm48L2tleXdvcmQ+PGtleXdvcmQ+TWFsZTwva2V5
d29yZD48a2V5d29yZD5PdmVyd2VpZ2h0L2NvbXBsaWNhdGlvbnMvKnByZXZlbnRpb24gJmFtcDsg
Y29udHJvbDwva2V5d29yZD48a2V5d29yZD5QYXRpZW50IENvbXBsaWFuY2U8L2tleXdvcmQ+PGtl
eXdvcmQ+UHJlZ25hbmN5PC9rZXl3b3JkPjxrZXl3b3JkPlByZW5hdGFsIENhcmU8L2tleXdvcmQ+
PGtleXdvcmQ+KlByaW1hcnkgUHJldmVudGlvbjwva2V5d29yZD48a2V5d29yZD5SaXNrIEZhY3Rv
cnM8L2tleXdvcmQ+PGtleXdvcmQ+KlJpc2sgUmVkdWN0aW9uIEJlaGF2aW9yPC9rZXl3b3JkPjxr
ZXl3b3JkPlRyZWF0bWVudCBPdXRjb21lPC9rZXl3b3JkPjxrZXl3b3JkPlVuaXRlZCBTdGF0ZXMv
ZXBpZGVtaW9sb2d5PC9rZXl3b3JkPjxrZXl3b3JkPldlaWdodCBHYWluPC9rZXl3b3JkPjwva2V5
d29yZHM+PGRhdGVzPjx5ZWFyPjIwMTU8L3llYXI+PHB1Yi1kYXRlcz48ZGF0ZT5KYW48L2RhdGU+
PC9wdWItZGF0ZXM+PC9kYXRlcz48aXNibj4xNDY0LTU0OTEgKEVsZWN0cm9uaWMpJiN4RDswNzQy
LTMwNzEgKExpbmtpbmcpPC9pc2JuPjxhY2Nlc3Npb24tbnVtPjI1MzA2OTI1PC9hY2Nlc3Npb24t
bnVtPjx1cmxzPjxyZWxhdGVkLXVybHM+PHVybD5odHRwczovL3d3dy5uY2JpLm5sbS5uaWguZ292
L3B1Ym1lZC8yNTMwNjkyNTwvdXJsPjwvcmVsYXRlZC11cmxzPjwvdXJscz48ZWxlY3Ryb25pYy1y
ZXNvdXJjZS1udW0+MTAuMTExMS9kbWUuMTI2MDE8L2VsZWN0cm9uaWMtcmVzb3VyY2UtbnVtPjwv
cmVjb3JkPjwvQ2l0ZT48Q2l0ZT48QXV0aG9yPlNpbW1vbnM8L0F1dGhvcj48WWVhcj4yMDE3PC9Z
ZWFyPjxSZWNOdW0+MTA1NzwvUmVjTnVtPjxyZWNvcmQ+PHJlYy1udW1iZXI+MTA1NzwvcmVjLW51
bWJlcj48Zm9yZWlnbi1rZXlzPjxrZXkgYXBwPSJFTiIgZGItaWQ9ImV4dmFzcmZ4MmR0cmFvZXNh
c3hwMnN6c3hhMmRmNTAyNTkyeCIgdGltZXN0YW1wPSIxNTQ4OTgzNDc2Ij4xMDU3PC9rZXk+PC9m
b3JlaWduLWtleXM+PHJlZi10eXBlIG5hbWU9IkpvdXJuYWwgQXJ0aWNsZSI+MTc8L3JlZi10eXBl
Pjxjb250cmlidXRvcnM+PGF1dGhvcnM+PGF1dGhvcj5TaW1tb25zLCBELjwvYXV0aG9yPjxhdXRo
b3I+RGV2bGllZ2VyLCBSLjwvYXV0aG9yPjxhdXRob3I+dmFuIEFzc2NoZSwgQS48L2F1dGhvcj48
YXV0aG9yPkphbnMsIEcuPC9hdXRob3I+PGF1dGhvcj5HYWxqYWFyZCwgUy48L2F1dGhvcj48YXV0
aG9yPkNvcmNveSwgUi48L2F1dGhvcj48YXV0aG9yPkFkZWxhbnRhZG8sIEouIE0uPC9hdXRob3I+
PGF1dGhvcj5EdW5uZSwgRi48L2F1dGhvcj48YXV0aG9yPkRlc295ZSwgRy48L2F1dGhvcj48YXV0
aG9yPkhhcnJlaXRlciwgSi48L2F1dGhvcj48YXV0aG9yPkthdXR6a3ktV2lsbGVyLCBBLjwvYXV0
aG9yPjxhdXRob3I+RGFtbSwgUC48L2F1dGhvcj48YXV0aG9yPk1hdGhpZXNlbiwgRS4gUi48L2F1
dGhvcj48YXV0aG9yPkplbnNlbiwgRC4gTS48L2F1dGhvcj48YXV0aG9yPkFuZGVyc2VuLCBMLjwv
YXV0aG9yPjxhdXRob3I+TGFwb2xsYSwgQS48L2F1dGhvcj48YXV0aG9yPkRhbGZyYSwgTS4gRy48
L2F1dGhvcj48YXV0aG9yPkJlcnRvbG90dG8sIEEuPC9hdXRob3I+PGF1dGhvcj5XZW5kZXItT3pl
Z293c2thLCBFLjwvYXV0aG9yPjxhdXRob3I+WmF3aWVqc2thLCBBLjwvYXV0aG9yPjxhdXRob3I+
SGlsbCwgRC48L2F1dGhvcj48YXV0aG9yPlNub2VrLCBGLiBKLjwvYXV0aG9yPjxhdXRob3I+SmVs
c21hLCBKLiBHLjwvYXV0aG9yPjxhdXRob3I+dmFuIFBvcHBlbCwgTS4gTi48L2F1dGhvcj48L2F1
dGhvcnM+PC9jb250cmlidXRvcnM+PGF1dGgtYWRkcmVzcz5XZXN0ZXJuIFN5ZG5leSBVbml2ZXJz
aXR5LCBDYW1wYmVsbHRvd24sIE5ldyBTb3V0aCBXYWxlcyAyNTYwLCBBdXN0cmFsaWEuJiN4RDtJ
bnN0aXR1dGUgb2YgTWV0YWJvbGljIFNjaWVuY2UsIEFkZGVuYnJvb2tlJmFwb3M7cyBIb3NwaXRh
bCwgQ2FtYnJpZGdlLCBDQjIgMFFRIEVuZ2xhbmQuJiN4RDtEZXBhcnRtZW50IG9mIERldmVsb3Bt
ZW50IGFuZCBSZWdlbmVyYXRpb246IFByZWduYW5jeSwgRmV0dXMgYW5kIE5lb25hdGUsIEd5bmFl
Y29sb2d5IGFuZCBPYnN0ZXRyaWNzLCBVbml2ZXJzaXR5IEhvc3BpdGFscywgS2F0aG9saWVrZSBV
bml2ZXJzaXRlaXQgTGV1dmVuLCBMZXV2ZW4sIEJlbGdpdW0uJiN4RDtEaXZpc2lvbiBvZiBPYnN0
ZXRyaWNzIGFuZCBQcmVuYXRhbCBNZWRpY2luZSwgRGVwYXJ0bWVudCBvZiBPYnN0ZXRyaWNzIGFu
ZCBHeW5hZWNvbG9neSwgRXJhc211cyBVbml2ZXJzaXR5IE1lZGljYWwgQ2VudGVyIFJvdHRlcmRh
bSwgUm90dGVyZGFtLCBUaGUgTmV0aGVybGFuZHMuJiN4RDtJbnN0aXR1dCBkZSBSZWNlcmNhIGRl
IGwgSG9zcGl0YWwgZGUgbGEgU2FudGEgQ3JldSBpIFNhbnQgUGF1LCBCYXJjZWxvbmEsIFNwYWlu
LiYjeEQ7Q0lCRVIgQmlvZW5naW5lZXJpbmcsIEJpb21hdGVyaWFscyBhbmQgTmFub3RlY2hub2xv
Z3ksIEluc3RpdHV0byBkZSBTYWx1ZCBDYXJsb3MgSUlJLCBaYXJhZ296YSwgU3BhaW4uJiN4RDtH
YWx3YXkgRGlhYmV0ZXMgUmVzZWFyY2ggQ2VudHJlIGFuZCBDb2xsZWdlIG9mIE1lZGljaW5lIE51
cnNpbmcgYW5kIEhlYWx0aCBTY2llbmNlcywgTmF0aW9uYWwgVW5pdmVyc2l0eSBvZiBJcmVsYW5k
LCBHYWx3YXksIElyZWxhbmQuJiN4RDtEZXBhcnRtZW50IG9mIE9ic3RldHJpY3MgYW5kIEd5bmVj
b2xvZ3ksIE1lZGl6aW5pc2NoZSBVbml2ZXJzaXRhZXQgR3JheiwgR3JheiwgQXVzdHJpYS4mI3hE
O0dlbmRlciBNZWRpY2luZSBVbml0LCBFbmRvY3Jpbm9sb2d5IGFuZCBNZXRhYm9saXNtLCBEZXBh
cnRtZW50IG9mIEludGVybmFsIE1lZGljaW5lIElJSSwgTWVkaWNhbCBVbml2ZXJzaXR5IG9mIFZp
ZW5uYSwgVmllbm5hLCBBdXN0cmlhLiYjeEQ7Q2VudGVyIGZvciBQcmVnbmFudCBXb21lbiB3aXRo
IERpYWJldGVzLCBEZXBhcnRtZW50cyBvZiBFbmRvY3Jpbm9sb2d5IGFuZCBPYnN0ZXRyaWNzLCBS
aWdzaG9zcGl0YWxldCwgSW5zdGl0dXRlIG9mIENsaW5pY2FsIE1lZGljaW5lLCBGYWN1bHR5IG9m
IEhlYWx0aCBhbmQgTWVkaWNhbCBTY2llbmNlcywgVW5pdmVyc2l0eSBvZiBDb3BlbmhhZ2VuLCBD
b3BlbmhhZ2VuLCBEZW5tYXJrLiYjeEQ7RGVwYXJ0bWVudCBvZiBFbmRvY3Jpbm9sb2d5IGFuZCBE
ZXBhcnRtZW50IG9mIEd5bmVjb2xvZ3kgYW5kIE9ic3RldHJpY3MsIE9kZW5zZSBVbml2ZXJzaXR5
IEhvc3BpdGFsLCBPZGVuc2UsIERlbm1hcmsuJiN4RDtEZXBhcnRtZW50IG9mIENsaW5pY2FsIFJl
c2VhcmNoLCBGYWN1bHR5IG9mIEhlYWx0aCBTY2llbmNlcywgVW5pdmVyc2l0eSBvZiBTb3V0aGVy
biBEZW5tYXJrLCBPZGVuc2UsIERlbm1hcmsuJiN4RDtVbml2ZXJzaXRhIERlZ2xpIFN0dWRpIGRp
IFBhZG92YSwgUGFkdWEsIEl0YWx5LiYjeEQ7QXppZW5kYSBPc3BlZGFsaWVybyBVbml2ZXJzaXRh
cmlhLVBpc2EsIFBpc2EgSXRhbHkuJiN4RDtNZWRpY2FsIEZhY3VsdHkgSSwgUG96bmFuIFVuaXZl
cnNpdHkgb2YgTWVkaWNhbCBTY2llbmNlcywgUG96bmFuLCBQb2xhbmQuJiN4RDtSZWNoZXJjaGUg
ZW4gU2FudGUgTGF3c29uIFNBLCBCcm9uc2NoaG9mZW4sIFN3aXR6ZXJsYW5kLiYjeEQ7RGVwYXJ0
bWVudCBvZiBNZWRpY2FsIFBzeWNob2xvZ3ksIEVNR08rIEluc3RpdHV0ZSBmb3IgSGVhbHRoIGFu
ZCBDYXJlIFJlc2VhcmNoLCBWVSBVbml2ZXJzaXR5IE1lZGljYWwgQ2VudHJlLCBBbXN0ZXJkYW0s
IFRoZSBOZXRoZXJsYW5kcy4mI3hEO0RlcGFydG1lbnQgb2YgTWVkaWNhbCBQc3ljaG9sb2d5LCBB
Y2FkZW1pYyBNZWRpY2FsIENlbnRyZSwgQW1zdGVyZGFtLCBUaGUgTmV0aGVybGFuZHMuJiN4RDtE
ZXBhcnRtZW50IG9mIFB1YmxpYyBhbmQgT2NjdXBhdGlvbmFsIEhlYWx0aCwgRU1HTysgSW5zdGl0
dXRlIGZvciBIZWFsdGggYW5kIENhcmUgUmVzZWFyY2gsIFZVIFVuaXZlcnNpdHkgTWVkaWNhbCBD
ZW50cmUsIEFtc3RlcmRhbSwgVGhlIE5ldGhlcmxhbmRzOyBhbmQuJiN4RDtJbnN0aXR1dGUgb2Yg
U3BvcnQgU2NpZW5jZSwgVW5pdmVyc2l0eSBvZiBHcmF6LCBHcmF6LCBBdXN0cmlhLjwvYXV0aC1h
ZGRyZXNzPjx0aXRsZXM+PHRpdGxlPkVmZmVjdCBvZiBQaHlzaWNhbCBBY3Rpdml0eSBhbmQvb3Ig
SGVhbHRoeSBFYXRpbmcgb24gR0RNIFJpc2s6IFRoZSBEQUxJIExpZmVzdHlsZSBTdHVkeTwvdGl0
bGU+PHNlY29uZGFyeS10aXRsZT5KIENsaW4gRW5kb2NyaW5vbCBNZXRhYjwvc2Vjb25kYXJ5LXRp
dGxlPjwvdGl0bGVzPjxwZXJpb2RpY2FsPjxmdWxsLXRpdGxlPkogQ2xpbiBFbmRvY3Jpbm9sIE1l
dGFiPC9mdWxsLXRpdGxlPjwvcGVyaW9kaWNhbD48cGFnZXM+OTAzLTkxMzwvcGFnZXM+PHZvbHVt
ZT4xMDI8L3ZvbHVtZT48bnVtYmVyPjM8L251bWJlcj48ZWRpdGlvbj4yMDE2LzEyLzEwPC9lZGl0
aW9uPjxkYXRlcz48eWVhcj4yMDE3PC95ZWFyPjxwdWItZGF0ZXM+PGRhdGU+TWFyIDE8L2RhdGU+
PC9wdWItZGF0ZXM+PC9kYXRlcz48aXNibj4xOTQ1LTcxOTcgKEVsZWN0cm9uaWMpJiN4RDswMDIx
LTk3MlggKExpbmtpbmcpPC9pc2JuPjxhY2Nlc3Npb24tbnVtPjI3OTM1NzY3PC9hY2Nlc3Npb24t
bnVtPjx1cmxzPjxyZWxhdGVkLXVybHM+PHVybD5odHRwczovL3d3dy5uY2JpLm5sbS5uaWguZ292
L3B1Ym1lZC8yNzkzNTc2NzwvdXJsPjwvcmVsYXRlZC11cmxzPjwvdXJscz48Y3VzdG9tMj5QTUM1
NDYwNjg4PC9jdXN0b20yPjxlbGVjdHJvbmljLXJlc291cmNlLW51bT4xMC4xMjEwL2pjLjIwMTYt
MzQ1NTwvZWxlY3Ryb25pYy1yZXNvdXJjZS1udW0+PC9yZWNvcmQ+PC9DaXRlPjxDaXRlPjxBdXRo
b3I+RG9kZDwvQXV0aG9yPjxZZWFyPjIwMTQ8L1llYXI+PFJlY051bT4xMDgwPC9SZWNOdW0+PHJl
Y29yZD48cmVjLW51bWJlcj4xMDgwPC9yZWMtbnVtYmVyPjxmb3JlaWduLWtleXM+PGtleSBhcHA9
IkVOIiBkYi1pZD0iZXh2YXNyZngyZHRyYW9lc2FzeHAyc3pzeGEyZGY1MDI1OTJ4IiB0aW1lc3Rh
bXA9IjE1NTI5NDY0NzIiPjEwODA8L2tleT48a2V5IGFwcD0iRU5XZWIiIGRiLWlkPSIiPjA8L2tl
eT48L2ZvcmVpZ24ta2V5cz48cmVmLXR5cGUgbmFtZT0iSm91cm5hbCBBcnRpY2xlIj4xNzwvcmVm
LXR5cGU+PGNvbnRyaWJ1dG9ycz48YXV0aG9ycz48YXV0aG9yPkRvZGQsIEpvZGllIE0uPC9hdXRo
b3I+PGF1dGhvcj5Hcml2ZWxsLCBSb3NhbGllIE0uPC9hdXRob3I+PGF1dGhvcj5Pd2VucywgSnVs
aWUgQS48L2F1dGhvcj48L2F1dGhvcnM+PC9jb250cmlidXRvcnM+PHRpdGxlcz48dGl0bGU+QW50
ZW5hdGFsIERpZXRhcnkgYW5kIExpZmVzdHlsZSBJbnRlcnZlbnRpb25zIGZvciBXb21lbiBXaG8g
YXJlIE92ZXJ3ZWlnaHQgb3IgT2Jlc2U6IE91dGNvbWVzIGZyb20gdGhlIExJTUlUIFJhbmRvbWl6
ZWQgVHJpYWw8L3RpdGxlPjxzZWNvbmRhcnktdGl0bGU+Q3VycmVudCBOdXRyaXRpb24gUmVwb3J0
czwvc2Vjb25kYXJ5LXRpdGxlPjwvdGl0bGVzPjxwZXJpb2RpY2FsPjxmdWxsLXRpdGxlPkN1cnJl
bnQgTnV0cml0aW9uIFJlcG9ydHM8L2Z1bGwtdGl0bGU+PC9wZXJpb2RpY2FsPjxwYWdlcz4zOTIt
Mzk5PC9wYWdlcz48dm9sdW1lPjM8L3ZvbHVtZT48bnVtYmVyPjQ8L251bWJlcj48c2VjdGlvbj4z
OTI8L3NlY3Rpb24+PGRhdGVzPjx5ZWFyPjIwMTQ8L3llYXI+PC9kYXRlcz48aXNibj4yMTYxLTMz
MTE8L2lzYm4+PHVybHM+PC91cmxzPjxlbGVjdHJvbmljLXJlc291cmNlLW51bT4xMC4xMDA3L3Mx
MzY2OC0wMTQtMDEwMS03PC9lbGVjdHJvbmljLXJlc291cmNlLW51bT48L3JlY29yZD48L0NpdGU+
PENpdGU+PEF1dGhvcj5Lb2l2dXNhbG88L0F1dGhvcj48WWVhcj4yMDE2PC9ZZWFyPjxSZWNOdW0+
NzMzPC9SZWNOdW0+PHJlY29yZD48cmVjLW51bWJlcj43MzM8L3JlYy1udW1iZXI+PGZvcmVpZ24t
a2V5cz48a2V5IGFwcD0iRU4iIGRiLWlkPSJleHZhc3JmeDJkdHJhb2VzYXN4cDJzenN4YTJkZjUw
MjU5MngiIHRpbWVzdGFtcD0iMTU0MTQ2Nzc2NiI+NzMzPC9rZXk+PGtleSBhcHA9IkVOV2ViIiBk
Yi1pZD0iIj4wPC9rZXk+PC9mb3JlaWduLWtleXM+PHJlZi10eXBlIG5hbWU9IkpvdXJuYWwgQXJ0
aWNsZSI+MTc8L3JlZi10eXBlPjxjb250cmlidXRvcnM+PGF1dGhvcnM+PGF1dGhvcj5Lb2l2dXNh
bG8sIFMuQi4sPC9hdXRob3I+PGF1dGhvcj5Sw7Zuw7YsIEsuLDwvYXV0aG9yPjxhdXRob3I+S2xl
bWV0dGksIE0uTS4sPC9hdXRob3I+PGF1dGhvcj5Sb2luZSwgUi5QLiw8L2F1dGhvcj48YXV0aG9y
PkxpbmRzdHLDtm0sIEouLDwvYXV0aG9yPjxhdXRob3I+RXJra29sYSwgTS4sPC9hdXRob3I+PC9h
dXRob3JzPjwvY29udHJpYnV0b3JzPjx0aXRsZXM+PHRpdGxlPkdlc3RhdGlvbmFsIGRpYWJldGVz
IG1lbGxpdHVzIGNhbiBiZSBwcmV2ZW50ZWQgYnkgbGlmZXN0eWxlIGludGVydmVudGlvbjogVGhl
IEZpbm5pc2ggR2VzdGF0aW9uYWwgRGlhYmV0ZXMgUHJldmVudGlvbiBTdHVkeSAoUkFESUVMKTwv
dGl0bGU+PHNlY29uZGFyeS10aXRsZT5EaWFiZXRlcyBDYXJlPC9zZWNvbmRhcnktdGl0bGU+PC90
aXRsZXM+PHBlcmlvZGljYWw+PGZ1bGwtdGl0bGU+RGlhYmV0ZXMgQ2FyZTwvZnVsbC10aXRsZT48
L3BlcmlvZGljYWw+PHBhZ2VzPjI0LTMwPC9wYWdlcz48dm9sdW1lPjM5PC92b2x1bWU+PG51bWJl
cj4xPC9udW1iZXI+PHNlY3Rpb24+MjQ8L3NlY3Rpb24+PGRhdGVzPjx5ZWFyPjIwMTY8L3llYXI+
PC9kYXRlcz48aXNibj4wMTQ5LTU5OTImI3hEOzE5MzUtNTU0ODwvaXNibj48dXJscz48L3VybHM+
PGVsZWN0cm9uaWMtcmVzb3VyY2UtbnVtPjEwLjIzMzcvZGMxNS0wNTExPC9lbGVjdHJvbmljLXJl
c291cmNlLW51bT48L3JlY29yZD48L0NpdGU+PENpdGU+PEF1dGhvcj5TaW1tb25zPC9BdXRob3I+
PFllYXI+MjAxNzwvWWVhcj48UmVjTnVtPjEwNTc8L1JlY051bT48cmVjb3JkPjxyZWMtbnVtYmVy
PjEwNTc8L3JlYy1udW1iZXI+PGZvcmVpZ24ta2V5cz48a2V5IGFwcD0iRU4iIGRiLWlkPSJleHZh
c3JmeDJkdHJhb2VzYXN4cDJzenN4YTJkZjUwMjU5MngiIHRpbWVzdGFtcD0iMTU0ODk4MzQ3NiI+
MTA1Nzwva2V5PjwvZm9yZWlnbi1rZXlzPjxyZWYtdHlwZSBuYW1lPSJKb3VybmFsIEFydGljbGUi
PjE3PC9yZWYtdHlwZT48Y29udHJpYnV0b3JzPjxhdXRob3JzPjxhdXRob3I+U2ltbW9ucywgRC48
L2F1dGhvcj48YXV0aG9yPkRldmxpZWdlciwgUi48L2F1dGhvcj48YXV0aG9yPnZhbiBBc3NjaGUs
IEEuPC9hdXRob3I+PGF1dGhvcj5KYW5zLCBHLjwvYXV0aG9yPjxhdXRob3I+R2FsamFhcmQsIFMu
PC9hdXRob3I+PGF1dGhvcj5Db3Jjb3ksIFIuPC9hdXRob3I+PGF1dGhvcj5BZGVsYW50YWRvLCBK
LiBNLjwvYXV0aG9yPjxhdXRob3I+RHVubmUsIEYuPC9hdXRob3I+PGF1dGhvcj5EZXNveWUsIEcu
PC9hdXRob3I+PGF1dGhvcj5IYXJyZWl0ZXIsIEouPC9hdXRob3I+PGF1dGhvcj5LYXV0emt5LVdp
bGxlciwgQS48L2F1dGhvcj48YXV0aG9yPkRhbW0sIFAuPC9hdXRob3I+PGF1dGhvcj5NYXRoaWVz
ZW4sIEUuIFIuPC9hdXRob3I+PGF1dGhvcj5KZW5zZW4sIEQuIE0uPC9hdXRob3I+PGF1dGhvcj5B
bmRlcnNlbiwgTC48L2F1dGhvcj48YXV0aG9yPkxhcG9sbGEsIEEuPC9hdXRob3I+PGF1dGhvcj5E
YWxmcmEsIE0uIEcuPC9hdXRob3I+PGF1dGhvcj5CZXJ0b2xvdHRvLCBBLjwvYXV0aG9yPjxhdXRo
b3I+V2VuZGVyLU96ZWdvd3NrYSwgRS48L2F1dGhvcj48YXV0aG9yPlphd2llanNrYSwgQS48L2F1
dGhvcj48YXV0aG9yPkhpbGwsIEQuPC9hdXRob3I+PGF1dGhvcj5Tbm9laywgRi4gSi48L2F1dGhv
cj48YXV0aG9yPkplbHNtYSwgSi4gRy48L2F1dGhvcj48YXV0aG9yPnZhbiBQb3BwZWwsIE0uIE4u
PC9hdXRob3I+PC9hdXRob3JzPjwvY29udHJpYnV0b3JzPjxhdXRoLWFkZHJlc3M+V2VzdGVybiBT
eWRuZXkgVW5pdmVyc2l0eSwgQ2FtcGJlbGx0b3duLCBOZXcgU291dGggV2FsZXMgMjU2MCwgQXVz
dHJhbGlhLiYjeEQ7SW5zdGl0dXRlIG9mIE1ldGFib2xpYyBTY2llbmNlLCBBZGRlbmJyb29rZSZh
cG9zO3MgSG9zcGl0YWwsIENhbWJyaWRnZSwgQ0IyIDBRUSBFbmdsYW5kLiYjeEQ7RGVwYXJ0bWVu
dCBvZiBEZXZlbG9wbWVudCBhbmQgUmVnZW5lcmF0aW9uOiBQcmVnbmFuY3ksIEZldHVzIGFuZCBO
ZW9uYXRlLCBHeW5hZWNvbG9neSBhbmQgT2JzdGV0cmljcywgVW5pdmVyc2l0eSBIb3NwaXRhbHMs
IEthdGhvbGlla2UgVW5pdmVyc2l0ZWl0IExldXZlbiwgTGV1dmVuLCBCZWxnaXVtLiYjeEQ7RGl2
aXNpb24gb2YgT2JzdGV0cmljcyBhbmQgUHJlbmF0YWwgTWVkaWNpbmUsIERlcGFydG1lbnQgb2Yg
T2JzdGV0cmljcyBhbmQgR3luYWVjb2xvZ3ksIEVyYXNtdXMgVW5pdmVyc2l0eSBNZWRpY2FsIENl
bnRlciBSb3R0ZXJkYW0sIFJvdHRlcmRhbSwgVGhlIE5ldGhlcmxhbmRzLiYjeEQ7SW5zdGl0dXQg
ZGUgUmVjZXJjYSBkZSBsIEhvc3BpdGFsIGRlIGxhIFNhbnRhIENyZXUgaSBTYW50IFBhdSwgQmFy
Y2Vsb25hLCBTcGFpbi4mI3hEO0NJQkVSIEJpb2VuZ2luZWVyaW5nLCBCaW9tYXRlcmlhbHMgYW5k
IE5hbm90ZWNobm9sb2d5LCBJbnN0aXR1dG8gZGUgU2FsdWQgQ2FybG9zIElJSSwgWmFyYWdvemEs
IFNwYWluLiYjeEQ7R2Fsd2F5IERpYWJldGVzIFJlc2VhcmNoIENlbnRyZSBhbmQgQ29sbGVnZSBv
ZiBNZWRpY2luZSBOdXJzaW5nIGFuZCBIZWFsdGggU2NpZW5jZXMsIE5hdGlvbmFsIFVuaXZlcnNp
dHkgb2YgSXJlbGFuZCwgR2Fsd2F5LCBJcmVsYW5kLiYjeEQ7RGVwYXJ0bWVudCBvZiBPYnN0ZXRy
aWNzIGFuZCBHeW5lY29sb2d5LCBNZWRpemluaXNjaGUgVW5pdmVyc2l0YWV0IEdyYXosIEdyYXos
IEF1c3RyaWEuJiN4RDtHZW5kZXIgTWVkaWNpbmUgVW5pdCwgRW5kb2NyaW5vbG9neSBhbmQgTWV0
YWJvbGlzbSwgRGVwYXJ0bWVudCBvZiBJbnRlcm5hbCBNZWRpY2luZSBJSUksIE1lZGljYWwgVW5p
dmVyc2l0eSBvZiBWaWVubmEsIFZpZW5uYSwgQXVzdHJpYS4mI3hEO0NlbnRlciBmb3IgUHJlZ25h
bnQgV29tZW4gd2l0aCBEaWFiZXRlcywgRGVwYXJ0bWVudHMgb2YgRW5kb2NyaW5vbG9neSBhbmQg
T2JzdGV0cmljcywgUmlnc2hvc3BpdGFsZXQsIEluc3RpdHV0ZSBvZiBDbGluaWNhbCBNZWRpY2lu
ZSwgRmFjdWx0eSBvZiBIZWFsdGggYW5kIE1lZGljYWwgU2NpZW5jZXMsIFVuaXZlcnNpdHkgb2Yg
Q29wZW5oYWdlbiwgQ29wZW5oYWdlbiwgRGVubWFyay4mI3hEO0RlcGFydG1lbnQgb2YgRW5kb2Ny
aW5vbG9neSBhbmQgRGVwYXJ0bWVudCBvZiBHeW5lY29sb2d5IGFuZCBPYnN0ZXRyaWNzLCBPZGVu
c2UgVW5pdmVyc2l0eSBIb3NwaXRhbCwgT2RlbnNlLCBEZW5tYXJrLiYjeEQ7RGVwYXJ0bWVudCBv
ZiBDbGluaWNhbCBSZXNlYXJjaCwgRmFjdWx0eSBvZiBIZWFsdGggU2NpZW5jZXMsIFVuaXZlcnNp
dHkgb2YgU291dGhlcm4gRGVubWFyaywgT2RlbnNlLCBEZW5tYXJrLiYjeEQ7VW5pdmVyc2l0YSBE
ZWdsaSBTdHVkaSBkaSBQYWRvdmEsIFBhZHVhLCBJdGFseS4mI3hEO0F6aWVuZGEgT3NwZWRhbGll
cm8gVW5pdmVyc2l0YXJpYS1QaXNhLCBQaXNhIEl0YWx5LiYjeEQ7TWVkaWNhbCBGYWN1bHR5IEks
IFBvem5hbiBVbml2ZXJzaXR5IG9mIE1lZGljYWwgU2NpZW5jZXMsIFBvem5hbiwgUG9sYW5kLiYj
eEQ7UmVjaGVyY2hlIGVuIFNhbnRlIExhd3NvbiBTQSwgQnJvbnNjaGhvZmVuLCBTd2l0emVybGFu
ZC4mI3hEO0RlcGFydG1lbnQgb2YgTWVkaWNhbCBQc3ljaG9sb2d5LCBFTUdPKyBJbnN0aXR1dGUg
Zm9yIEhlYWx0aCBhbmQgQ2FyZSBSZXNlYXJjaCwgVlUgVW5pdmVyc2l0eSBNZWRpY2FsIENlbnRy
ZSwgQW1zdGVyZGFtLCBUaGUgTmV0aGVybGFuZHMuJiN4RDtEZXBhcnRtZW50IG9mIE1lZGljYWwg
UHN5Y2hvbG9neSwgQWNhZGVtaWMgTWVkaWNhbCBDZW50cmUsIEFtc3RlcmRhbSwgVGhlIE5ldGhl
cmxhbmRzLiYjeEQ7RGVwYXJ0bWVudCBvZiBQdWJsaWMgYW5kIE9jY3VwYXRpb25hbCBIZWFsdGgs
IEVNR08rIEluc3RpdHV0ZSBmb3IgSGVhbHRoIGFuZCBDYXJlIFJlc2VhcmNoLCBWVSBVbml2ZXJz
aXR5IE1lZGljYWwgQ2VudHJlLCBBbXN0ZXJkYW0sIFRoZSBOZXRoZXJsYW5kczsgYW5kLiYjeEQ7
SW5zdGl0dXRlIG9mIFNwb3J0IFNjaWVuY2UsIFVuaXZlcnNpdHkgb2YgR3JheiwgR3JheiwgQXVz
dHJpYS48L2F1dGgtYWRkcmVzcz48dGl0bGVzPjx0aXRsZT5FZmZlY3Qgb2YgUGh5c2ljYWwgQWN0
aXZpdHkgYW5kL29yIEhlYWx0aHkgRWF0aW5nIG9uIEdETSBSaXNrOiBUaGUgREFMSSBMaWZlc3R5
bGUgU3R1ZHk8L3RpdGxlPjxzZWNvbmRhcnktdGl0bGU+SiBDbGluIEVuZG9jcmlub2wgTWV0YWI8
L3NlY29uZGFyeS10aXRsZT48L3RpdGxlcz48cGVyaW9kaWNhbD48ZnVsbC10aXRsZT5KIENsaW4g
RW5kb2NyaW5vbCBNZXRhYjwvZnVsbC10aXRsZT48L3BlcmlvZGljYWw+PHBhZ2VzPjkwMy05MTM8
L3BhZ2VzPjx2b2x1bWU+MTAyPC92b2x1bWU+PG51bWJlcj4zPC9udW1iZXI+PGVkaXRpb24+MjAx
Ni8xMi8xMDwvZWRpdGlvbj48ZGF0ZXM+PHllYXI+MjAxNzwveWVhcj48cHViLWRhdGVzPjxkYXRl
Pk1hciAxPC9kYXRlPjwvcHViLWRhdGVzPjwvZGF0ZXM+PGlzYm4+MTk0NS03MTk3IChFbGVjdHJv
bmljKSYjeEQ7MDAyMS05NzJYIChMaW5raW5nKTwvaXNibj48YWNjZXNzaW9uLW51bT4yNzkzNTc2
NzwvYWNjZXNzaW9uLW51bT48dXJscz48cmVsYXRlZC11cmxzPjx1cmw+aHR0cHM6Ly93d3cubmNi
aS5ubG0ubmloLmdvdi9wdWJtZWQvMjc5MzU3Njc8L3VybD48L3JlbGF0ZWQtdXJscz48L3VybHM+
PGN1c3RvbTI+UE1DNTQ2MDY4ODwvY3VzdG9tMj48ZWxlY3Ryb25pYy1yZXNvdXJjZS1udW0+MTAu
MTIxMC9qYy4yMDE2LTM0NTU8L2VsZWN0cm9uaWMtcmVzb3VyY2UtbnVtPjwvcmVjb3JkPjwvQ2l0
ZT48Q2l0ZT48QXV0aG9yPlZhbiBIb3JuPC9BdXRob3I+PFllYXI+MjAxODwvWWVhcj48UmVjTnVt
PjEzNzY8L1JlY051bT48cmVjb3JkPjxyZWMtbnVtYmVyPjEzNzY8L3JlYy1udW1iZXI+PGZvcmVp
Z24ta2V5cz48a2V5IGFwcD0iRU4iIGRiLWlkPSJleHZhc3JmeDJkdHJhb2VzYXN4cDJzenN4YTJk
ZjUwMjU5MngiIHRpbWVzdGFtcD0iMTU2NzAzNTk4NyI+MTM3Njwva2V5PjxrZXkgYXBwPSJFTldl
YiIgZGItaWQ9IiI+MDwva2V5PjwvZm9yZWlnbi1rZXlzPjxyZWYtdHlwZSBuYW1lPSJKb3VybmFs
IEFydGljbGUiPjE3PC9yZWYtdHlwZT48Y29udHJpYnV0b3JzPjxhdXRob3JzPjxhdXRob3I+VmFu
IEhvcm4sIEwuPC9hdXRob3I+PGF1dGhvcj5QZWFjZW1hbiwgQS48L2F1dGhvcj48YXV0aG9yPkt3
YXNueSwgTS48L2F1dGhvcj48YXV0aG9yPlZpbmNlbnQsIEUuPC9hdXRob3I+PGF1dGhvcj5Gb3Vn
aHQsIEEuPC9hdXRob3I+PGF1dGhvcj5Kb3NlZnNvbiwgSi48L2F1dGhvcj48YXV0aG9yPlNwcmlu
ZywgQi48L2F1dGhvcj48YXV0aG9yPk5lZmYsIEwuIE0uPC9hdXRob3I+PGF1dGhvcj5HZXJuaG9m
ZXIsIE4uPC9hdXRob3I+PC9hdXRob3JzPjwvY29udHJpYnV0b3JzPjxhdXRoLWFkZHJlc3M+RGVw
YXJ0bWVudCBvZiBQcmV2ZW50aXZlIE1lZGljaW5lLCBOb3J0aHdlc3Rlcm4gVW5pdmVyc2l0eSBG
ZWluYmVyZyBTY2hvb2wgb2YgTWVkaWNpbmUsIENoaWNhZ28sIElsbGlub2lzLiBFbGVjdHJvbmlj
IGFkZHJlc3M6IGx2YW5ob3JuQG5vcnRod2VzdGVybi5lZHUuJiN4RDtEZXBhcnRtZW50IG9mIE9i
c3RldHJpY3MgYW5kIEd5bmVjb2xvZ3ksIE5vcnRod2VzdGVybiBVbml2ZXJzaXR5IEZlaW5iZXJn
IFNjaG9vbCBvZiBNZWRpY2luZSwgQ2hpY2FnbywgSWxsaW5vaXMuJiN4RDtEZXBhcnRtZW50IG9m
IFByZXZlbnRpdmUgTWVkaWNpbmUsIE5vcnRod2VzdGVybiBVbml2ZXJzaXR5IEZlaW5iZXJnIFNj
aG9vbCBvZiBNZWRpY2luZSwgQ2hpY2FnbywgSWxsaW5vaXMuJiN4RDtEZXBhcnRtZW50IG9mIFBy
ZXZlbnRpdmUgTWVkaWNpbmUsIE5vcnRod2VzdGVybiBVbml2ZXJzaXR5IEZlaW5iZXJnIFNjaG9v
bCBvZiBNZWRpY2luZSwgQ2hpY2FnbywgSWxsaW5vaXM7IEFubiBhbmQgUm9iZXJ0IEguIEx1cmll
IENoaWxkcmVuJmFwb3M7cyBIb3NwaXRhbCBvZiBDaGljYWdvLCBDaGljYWdvLCBJbGxpbm9pcy4m
I3hEO0RlcGFydG1lbnQgb2YgTWVkaWNpbmUsIE5vcnRod2VzdGVybiBVbml2ZXJzaXR5IEZlaW5i
ZXJnIFNjaG9vbCBvZiBNZWRpY2luZSwgQ2hpY2FnbywgSWxsaW5vaXMuPC9hdXRoLWFkZHJlc3M+
PHRpdGxlcz48dGl0bGU+RGlldGFyeSBBcHByb2FjaGVzIHRvIFN0b3AgSHlwZXJ0ZW5zaW9uIERp
ZXQgYW5kIEFjdGl2aXR5IHRvIExpbWl0IEdlc3RhdGlvbmFsIFdlaWdodDogTWF0ZXJuYWwgT2Zm
c3ByaW5nIE1ldGFib2xpY3MgRmFtaWx5IEludGVydmVudGlvbiBUcmlhbCwgYSBUZWNobm9sb2d5
IEVuaGFuY2VkIFJhbmRvbWl6ZWQgVHJpYWw8L3RpdGxlPjxzZWNvbmRhcnktdGl0bGU+QW0gSiBQ
cmV2IE1lZDwvc2Vjb25kYXJ5LXRpdGxlPjwvdGl0bGVzPjxwZXJpb2RpY2FsPjxmdWxsLXRpdGxl
PkFtIEogUHJldiBNZWQ8L2Z1bGwtdGl0bGU+PC9wZXJpb2RpY2FsPjxwYWdlcz42MDMtNjE0PC9w
YWdlcz48dm9sdW1lPjU1PC92b2x1bWU+PG51bWJlcj41PC9udW1iZXI+PGVkaXRpb24+MjAxOC8w
OS8yOTwvZWRpdGlvbj48ZGF0ZXM+PHllYXI+MjAxODwveWVhcj48cHViLWRhdGVzPjxkYXRlPk5v
djwvZGF0ZT48L3B1Yi1kYXRlcz48L2RhdGVzPjxpc2JuPjE4NzMtMjYwNyAoRWxlY3Ryb25pYykm
I3hEOzA3NDktMzc5NyAoTGlua2luZyk8L2lzYm4+PGFjY2Vzc2lvbi1udW0+MzAyNjIxNDg8L2Fj
Y2Vzc2lvbi1udW0+PHVybHM+PHJlbGF0ZWQtdXJscz48dXJsPmh0dHBzOi8vd3d3Lm5jYmkubmxt
Lm5paC5nb3YvcHVibWVkLzMwMjYyMTQ4PC91cmw+PC9yZWxhdGVkLXVybHM+PC91cmxzPjxlbGVj
dHJvbmljLXJlc291cmNlLW51bT4xMC4xMDE2L2ouYW1lcHJlLjIwMTguMDYuMDE1PC9lbGVjdHJv
bmljLXJlc291cmNlLW51bT48L3JlY29yZD48L0NpdGU+PENpdGU+PEF1dGhvcj5UcmFrLUZlbGxl
cm1laWVyPC9BdXRob3I+PFllYXI+MjAxOTwvWWVhcj48UmVjTnVtPjE5MjE8L1JlY051bT48cmVj
b3JkPjxyZWMtbnVtYmVyPjE5MjE8L3JlYy1udW1iZXI+PGZvcmVpZ24ta2V5cz48a2V5IGFwcD0i
RU4iIGRiLWlkPSJleHZhc3JmeDJkdHJhb2VzYXN4cDJzenN4YTJkZjUwMjU5MngiIHRpbWVzdGFt
cD0iMTU4ODU1NjU5NSI+MTkyMTwva2V5PjxrZXkgYXBwPSJFTldlYiIgZGItaWQ9IiI+MDwva2V5
PjwvZm9yZWlnbi1rZXlzPjxyZWYtdHlwZSBuYW1lPSJKb3VybmFsIEFydGljbGUiPjE3PC9yZWYt
dHlwZT48Y29udHJpYnV0b3JzPjxhdXRob3JzPjxhdXRob3I+VHJhay1GZWxsZXJtZWllciwgTS4g
QS48L2F1dGhvcj48YXV0aG9yPkNhbXBvcywgTS48L2F1dGhvcj48YXV0aG9yPk1lbGVuZGV6LCBN
LjwvYXV0aG9yPjxhdXRob3I+UG9tZXJveSwgSi48L2F1dGhvcj48YXV0aG9yPlBhbGFjaW9zLCBD
LjwvYXV0aG9yPjxhdXRob3I+Uml2ZXJhLVZpbmFzLCBKLjwvYXV0aG9yPjxhdXRob3I+TWVuZGV6
LCBLLjwvYXV0aG9yPjxhdXRob3I+RmVibywgSS48L2F1dGhvcj48YXV0aG9yPldpbGxldHQsIFcu
PC9hdXRob3I+PGF1dGhvcj5HaWxsbWFuLCBNLiBXLjwvYXV0aG9yPjxhdXRob3I+RnJhbmtzLCBQ
LiBXLjwvYXV0aG9yPjxhdXRob3I+Sm9zaGlwdXJhLCBLLjwvYXV0aG9yPjwvYXV0aG9ycz48L2Nv
bnRyaWJ1dG9ycz48YXV0aC1hZGRyZXNzPkNlbnRlciBmb3IgQ2xpbmljYWwgUmVzZWFyY2ggYW5k
IEhlYWx0aCBQcm9tb3Rpb24sIFNjaG9vbCBvZiBEZW50YWwgTWVkaWNpbmUsIE1lZGljYWwgU2Np
ZW5jZXMgQ2FtcHVzLCBVbml2ZXJzaXR5IG9mIFB1ZXJ0byBSaWNvLCBTYW4gSnVhbiwgUFIsIFVT
QSwga2F1bXVkaS5qb3NoaXB1cmFAdXByLmVkdS4mI3hEO0NsaW5pY2FsIFJlc2VhcmNoIENlbnRl
ciwgTWFyc2hmaWVsZCBDbGluaWMgUmVzZWFyY2ggSW5zdGl0dXRlLCBNYXJzaGZpZWxkIENsaW5p
YyBIZWFsdGggU3lzdGVtLCBNYXJzaGZpZWxkLCBXSSwgVVNBLiYjeEQ7RGVwYXJ0bWVudCBvZiBE
aWV0ZXRpY3MgYW5kIE51dHJpdGlvbiwgUm9iZXJ0IFN0ZW1wZWwgQ29sbGVnZSBvZiBQdWJsaWMg
SGVhbHRoICZhbXA7IFNvY2lhbCBXb3JrLCBGbG9yaWRhIEludGVybmF0aW9uYWwgVW5pdmVyc2l0
eSwgTWlhbWksIEZMLCBVU0EuJiN4RDtEZXBhcnRtZW50IG9mIE9ic3RldHJpY3MgYW5kIEd5bmVj
b2xvZ3ksIFNjaG9vbCBvZiBNZWRpY2luZSwgTWVkaWNhbCBTY2llbmNlcyBDYW1wdXMsIFVuaXZl
cnNpdHkgb2YgUHVlcnRvIFJpY28sIFNhbiBKdWFuLCBQUiwgVVNBLiYjeEQ7RGVwYXJ0bWVudCBv
ZiBQZWRpYXRyaWNzLCBTY2hvb2wgb2YgTWVkaWNpbmUsIE1lZGljYWwgU2NpZW5jZXMgQ2FtcHVz
LCBVbml2ZXJzaXR5IG9mIFB1ZXJ0byBSaWNvLCBTYW4gSnVhbiwgUFIsIFVTQS4mI3hEO0RlcGFy
dG1lbnQgb2YgTnV0cml0aW9uLCBIYXJ2YXJkIFQuSC4gQ2hhbiBTY2hvb2wgb2YgUHVibGljIEhl
YWx0aCwgSGFydmFyZCBVbml2ZXJzaXR5LCBCb3N0b24sIE1BLCBVU0EuJiN4RDtEaXZpc2lvbiBv
ZiBDaHJvbmljIERpc2Vhc2UgUmVzZWFyY2ggQWNyb3NzIHRoZSBMaWZlIENvdXJzZSwgRGVwYXJ0
bWVudCBvZiBQb3B1bGF0aW9uIE1lZGljaW5lLCBIYXJ2YXJkIE1lZGljYWwgU2Nob29sIGFuZCBI
YXJ2YXJkIFBpbGdyaW0gSGVhbHRoIENhcmUgSW5zdGl0dXRlLCBCb3N0b24sIE1BLiYjeEQ7RGVw
YXJ0bWVudCBvZiBDbGluaWNhbCBTY2llbmNlcywgR2VuZXRpYyBhbmQgTW9sZWN1bGFyIEVwaWRl
bWlvbG9neSBVbml0LCBMdW5kIFVuaXZlcnNpdHksIFNrYW5lIFVuaXZlcnNpdHkgSG9zcGl0YWws
IE1hbG1vLCBTd2VkZW4uJiN4RDtEZXBhcnRtZW50IG9mIEVwaWRlbWlvbG9neSwgSGFydmFyZCBU
LkguIENoYW4gUHVibGljIEhlYWx0aCBTY2hvb2wsIEhhcnZhcmQgVW5pdmVyc2l0eSwgQm9zdG9u
LCBNQSwgVVNBLCBrYXVtdWRpLmpvc2hpcHVyYUB1cHIuZWR1LjwvYXV0aC1hZGRyZXNzPjx0aXRs
ZXM+PHRpdGxlPlBFQVJMUyByYW5kb21pemVkIGxpZmVzdHlsZSB0cmlhbCBpbiBwcmVnbmFudCBI
aXNwYW5pYyB3b21lbiB3aXRoIG92ZXJ3ZWlnaHQvb2Jlc2l0eTogZ2VzdGF0aW9uYWwgd2VpZ2h0
IGdhaW4gYW5kIG9mZnNwcmluZyBiaXJ0aHdlaWdodDwvdGl0bGU+PHNlY29uZGFyeS10aXRsZT5E
aWFiZXRlcyBNZXRhYiBTeW5kciBPYmVzPC9zZWNvbmRhcnktdGl0bGU+PC90aXRsZXM+PHBlcmlv
ZGljYWw+PGZ1bGwtdGl0bGU+RGlhYmV0ZXMgTWV0YWIgU3luZHIgT2JlczwvZnVsbC10aXRsZT48
L3BlcmlvZGljYWw+PHBhZ2VzPjIyNS0yMzg8L3BhZ2VzPjx2b2x1bWU+MTI8L3ZvbHVtZT48ZWRp
dGlvbj4yMDE5LzAzLzEzPC9lZGl0aW9uPjxrZXl3b3Jkcz48a2V5d29yZD5iaXJ0aHdlaWdodDwv
a2V5d29yZD48a2V5d29yZD5nZXN0YXRpb25hbCB3ZWlnaHQgZ2Fpbjwva2V5d29yZD48a2V5d29y
ZD5pbnRlcnZlbnRpb248L2tleXdvcmQ+PGtleXdvcmQ+bGlmZXN0eWxlIG1vZGlmaWNhdGlvbjwv
a2V5d29yZD48a2V5d29yZD5uZW9uYXRhbDwva2V5d29yZD48a2V5d29yZD5vYmVzZTwva2V5d29y
ZD48a2V5d29yZD5vdmVyd2VpZ2h0PC9rZXl3b3JkPjxrZXl3b3JkPnByZWduYW5jeTwva2V5d29y
ZD48a2V5d29yZD5yYW5kb21pemVkIGNvbnRyb2xsZWQgdHJpYWw8L2tleXdvcmQ+PGtleXdvcmQ+
SGVhbHRoIE91dGNvbWVzIChFQ0hPKSBQcm9ncmFtLCBPZmZpY2Ugb2YgdGhlIERpcmVjdG9yLCBO
YXRpb25hbCBJbnN0aXR1dGVzIG9mPC9rZXl3b3JkPjxrZXl3b3JkPkhlYWx0aCAoVGhlIHZpZXdz
IGV4cHJlc3NlZCBpbiB0aGlzIGFydGljbGUgZG8gbm90IG5lY2Vzc2FyaWx5IHJlcHJlc2VudCB0
aGU8L2tleXdvcmQ+PGtleXdvcmQ+dmlld3Mgb2YgdGhlIFVTIEdvdmVybm1lbnQsIHRoZSBEZXBh
cnRtZW50IG9mIEhlYWx0aCBhbmQgSHVtYW4gU2VydmljZXMgb3IgdGhlPC9rZXl3b3JkPjxrZXl3
b3JkPk5hdGlvbmFsIEluc3RpdHV0ZXMgb2YgSGVhbHRoKS4gVGhlIGF1dGhvcnMgcmVwb3J0IG5v
IG90aGVyIGNvbmZsaWN0cyBvZiBpbnRlcmVzdDwva2V5d29yZD48a2V5d29yZD5pbiB0aGlzIHdv
cmsuPC9rZXl3b3JkPjwva2V5d29yZHM+PGRhdGVzPjx5ZWFyPjIwMTk8L3llYXI+PC9kYXRlcz48
aXNibj4xMTc4LTcwMDcgKFByaW50KSYjeEQ7MTE3OC03MDA3IChMaW5raW5nKTwvaXNibj48YWNj
ZXNzaW9uLW51bT4zMDg1ODcxNTwvYWNjZXNzaW9uLW51bT48dXJscz48cmVsYXRlZC11cmxzPjx1
cmw+aHR0cHM6Ly93d3cubmNiaS5ubG0ubmloLmdvdi9wdWJtZWQvMzA4NTg3MTU8L3VybD48L3Jl
bGF0ZWQtdXJscz48L3VybHM+PGN1c3RvbTI+UE1DNjM4NTc0MzwvY3VzdG9tMj48ZWxlY3Ryb25p
Yy1yZXNvdXJjZS1udW0+MTAuMjE0Ny9ETVNPLlMxNzkwMDk8L2VsZWN0cm9uaWMtcmVzb3VyY2Ut
bnVtPjwvcmVjb3JkPjwvQ2l0ZT48Q2l0ZT48QXV0aG9yPkRvZGQ8L0F1dGhvcj48WWVhcj4yMDE5
PC9ZZWFyPjxSZWNOdW0+MTkyMjwvUmVjTnVtPjxyZWNvcmQ+PHJlYy1udW1iZXI+MTkyMjwvcmVj
LW51bWJlcj48Zm9yZWlnbi1rZXlzPjxrZXkgYXBwPSJFTiIgZGItaWQ9ImV4dmFzcmZ4MmR0cmFv
ZXNhc3hwMnN6c3hhMmRmNTAyNTkyeCIgdGltZXN0YW1wPSIxNTg4NTYwMzY4Ij4xOTIyPC9rZXk+
PGtleSBhcHA9IkVOV2ViIiBkYi1pZD0iIj4wPC9rZXk+PC9mb3JlaWduLWtleXM+PHJlZi10eXBl
IG5hbWU9IkpvdXJuYWwgQXJ0aWNsZSI+MTc8L3JlZi10eXBlPjxjb250cmlidXRvcnM+PGF1dGhv
cnM+PGF1dGhvcj5Eb2RkLCBKLiBNLjwvYXV0aG9yPjxhdXRob3I+RGV1c3NlbiwgQS4gUi48L2F1
dGhvcj48YXV0aG9yPkxvdWlzZSwgSi48L2F1dGhvcj48L2F1dGhvcnM+PC9jb250cmlidXRvcnM+
PGF1dGgtYWRkcmVzcz5EaXNjaXBsaW5lIG9mIE9ic3RldHJpY3MgJmFtcDsgR3luYWVjb2xvZ3ks
IGFuZCBSb2JpbnNvbiBSZXNlYXJjaCBJbnN0aXR1dGUsIFRoZSBVbml2ZXJzaXR5IG9mIEFkZWxh
aWRlLCBBZGVsYWlkZSwgU0EgNTAwNiwgQXVzdHJhbGlhLiYjeEQ7RGVwYXJ0bWVudCBvZiBQZXJp
bmF0YWwgTWVkaWNpbmUgV29tZW4mYXBvcztzIGFuZCBDaGlsZHJlbiZhcG9zO3MgSG9zcGl0YWws
IE5vcnRoIEFkZWxhaWRlLCBBZGVsYWlkZSwgU0EgNTAwNiwgQXVzdHJhbGlhLjwvYXV0aC1hZGRy
ZXNzPjx0aXRsZXM+PHRpdGxlPkEgcmFuZG9taXNlZCB0cmlhbCB0byBvcHRpbWlzZSBnZXN0YXRp
b25hbCB3ZWlnaHQgZ2FpbiBhbmQgaW1wcm92ZSBtYXRlcm5hbCBhbmQgaW5mYW50IGhlYWx0aCBv
dXRjb21lcyB0aHJvdWdoIGFudGVuYXRhbCBkaWV0YXJ5LCBsaWZlc3R5bGUgYW5kIGV4ZXJjaXNl
IGFkdmljZTogVGhlIE9QVElNSVNFIHJhbmRvbWlzZWQgdHJpYWw8L3RpdGxlPjxzZWNvbmRhcnkt
dGl0bGU+TnV0cmllbnRzPC9zZWNvbmRhcnktdGl0bGU+PC90aXRsZXM+PHBlcmlvZGljYWw+PGZ1
bGwtdGl0bGU+TnV0cmllbnRzPC9mdWxsLXRpdGxlPjwvcGVyaW9kaWNhbD48dm9sdW1lPjExPC92
b2x1bWU+PG51bWJlcj4xMjwvbnVtYmVyPjxlZGl0aW9uPjIwMTkvMTIvMDg8L2VkaXRpb24+PGtl
eXdvcmRzPjxrZXl3b3JkPmRpZXRhcnkgYW5kIGxpZmVzdHlsZSBpbnRlcnZlbnRpb248L2tleXdv
cmQ+PGtleXdvcmQ+Z2VzdGF0aW9uYWwgd2VpZ2h0IGdhaW48L2tleXdvcmQ+PGtleXdvcmQ+cmFu
ZG9taXNlZCBjb250cm9sbGVkIHRyaWFsPC9rZXl3b3JkPjwva2V5d29yZHM+PGRhdGVzPjx5ZWFy
PjIwMTk8L3llYXI+PHB1Yi1kYXRlcz48ZGF0ZT5EZWMgMjwvZGF0ZT48L3B1Yi1kYXRlcz48L2Rh
dGVzPjxpc2JuPjIwNzItNjY0MyAoRWxlY3Ryb25pYykmI3hEOzIwNzItNjY0MyAoTGlua2luZyk8
L2lzYm4+PGFjY2Vzc2lvbi1udW0+MzE4MTAyMTc8L2FjY2Vzc2lvbi1udW0+PHVybHM+PHJlbGF0
ZWQtdXJscz48dXJsPmh0dHBzOi8vd3d3Lm5jYmkubmxtLm5paC5nb3YvcHVibWVkLzMxODEwMjE3
PC91cmw+PC9yZWxhdGVkLXVybHM+PC91cmxzPjxjdXN0b20yPlBNQzY5NDk5MzE8L2N1c3RvbTI+
PGVsZWN0cm9uaWMtcmVzb3VyY2UtbnVtPjEwLjMzOTAvbnUxMTEyMjkxMTwvZWxlY3Ryb25pYy1y
ZXNvdXJjZS1udW0+PC9yZWNvcmQ+PC9DaXRlPjxDaXRlPjxBdXRob3I+QnVja2luZ2hhbS1TY2h1
dHQ8L0F1dGhvcj48WWVhcj4yMDE5PC9ZZWFyPjxSZWNOdW0+MTkyNjwvUmVjTnVtPjxyZWNvcmQ+
PHJlYy1udW1iZXI+MTkyNjwvcmVjLW51bWJlcj48Zm9yZWlnbi1rZXlzPjxrZXkgYXBwPSJFTiIg
ZGItaWQ9ImV4dmFzcmZ4MmR0cmFvZXNhc3hwMnN6c3hhMmRmNTAyNTkyeCIgdGltZXN0YW1wPSIx
NTg4NTcwNjI1Ij4xOTI2PC9rZXk+PC9mb3JlaWduLWtleXM+PHJlZi10eXBlIG5hbWU9IkpvdXJu
YWwgQXJ0aWNsZSI+MTc8L3JlZi10eXBlPjxjb250cmlidXRvcnM+PGF1dGhvcnM+PGF1dGhvcj5C
dWNraW5naGFtLVNjaHV0dCwgTC4gTS48L2F1dGhvcj48YXV0aG9yPkVsbGluZ3NvbiwgTC4gRC48
L2F1dGhvcj48YXV0aG9yPlZhem91LCBTLjwvYXV0aG9yPjxhdXRob3I+Q2FtcGJlbGwsIEMuIEcu
PC9hdXRob3I+PC9hdXRob3JzPjwvY29udHJpYnV0b3JzPjxhdXRoLWFkZHJlc3M+VGhlIEhhcmtp
biBJbnN0aXR1dGUsIERyYWtlIFVuaXZlcnNpdHksIERlcyBNb2luZXMsIElBLiYjeEQ7S2luZXNp
b2xvZ3kgRGVwYXJ0bWVudCwgSW93YSBTdGF0ZSBVbml2ZXJzaXR5LCBBbWVzLCBJQS4mI3hEO0Zv
b2QgU2NpZW5jZSBhbmQgSHVtYW4gTnV0cml0aW9uIERlcGFydG1lbnQuPC9hdXRoLWFkZHJlc3M+
PHRpdGxlcz48dGl0bGU+VGhlIEJlaGF2aW9yYWwgV2VsbG5lc3MgaW4gUHJlZ25hbmN5IHN0dWR5
OiBhIHJhbmRvbWl6ZWQgY29udHJvbGxlZCB0cmlhbCBvZiBhIG11bHRpLWNvbXBvbmVudCBpbnRl
cnZlbnRpb24gdG8gcHJvbW90ZSBhcHByb3ByaWF0ZSB3ZWlnaHQgZ2FpbjwvdGl0bGU+PHNlY29u
ZGFyeS10aXRsZT5BbSBKIENsaW4gTnV0cjwvc2Vjb25kYXJ5LXRpdGxlPjwvdGl0bGVzPjxwZXJp
b2RpY2FsPjxmdWxsLXRpdGxlPkFtIEogQ2xpbiBOdXRyPC9mdWxsLXRpdGxlPjwvcGVyaW9kaWNh
bD48cGFnZXM+MTA3MS0xMDc5PC9wYWdlcz48dm9sdW1lPjEwOTwvdm9sdW1lPjxudW1iZXI+NDwv
bnVtYmVyPjxlZGl0aW9uPjIwMTkvMDQvMDY8L2VkaXRpb24+PGtleXdvcmRzPjxrZXl3b3JkPkFk
dWx0PC9rZXl3b3JkPjxrZXl3b3JkPkRpZXQvKnBzeWNob2xvZ3k8L2tleXdvcmQ+PGtleXdvcmQ+
RXhlcmNpc2U8L2tleXdvcmQ+PGtleXdvcmQ+RmVlZGluZyBCZWhhdmlvcjwva2V5d29yZD48a2V5
d29yZD5GZW1hbGU8L2tleXdvcmQ+PGtleXdvcmQ+Kkdlc3RhdGlvbmFsIFdlaWdodCBHYWluPC9r
ZXl3b3JkPjxrZXl3b3JkPkh1bWFuczwva2V5d29yZD48a2V5d29yZD5MaWZlIFN0eWxlPC9rZXl3
b3JkPjxrZXl3b3JkPk1hdGVybmFsIEJlaGF2aW9yPC9rZXl3b3JkPjxrZXl3b3JkPlBvc3RwYXJ0
dW0gUGVyaW9kL21ldGFib2xpc20vcHN5Y2hvbG9neTwva2V5d29yZD48a2V5d29yZD5QcmVnbmFu
Y3kvbWV0YWJvbGlzbS8qcHN5Y2hvbG9neTwva2V5d29yZD48a2V5d29yZD5QcmVuYXRhbCBDYXJl
Lypwc3ljaG9sb2d5PC9rZXl3b3JkPjxrZXl3b3JkPlByZW5hdGFsIE51dHJpdGlvbmFsIFBoeXNp
b2xvZ2ljYWwgUGhlbm9tZW5hPC9rZXl3b3JkPjxrZXl3b3JkPllvdW5nIEFkdWx0PC9rZXl3b3Jk
PjxrZXl3b3JkPiptdWx0aS1jb21wb25lbnQgaW50ZXJ2ZW50aW9uPC9rZXl3b3JkPjxrZXl3b3Jk
PipudXRyaXRpb248L2tleXdvcmQ+PGtleXdvcmQ+KnBoeXNpY2FsIGFjdGl2aXR5PC9rZXl3b3Jk
PjxrZXl3b3JkPipwcmVnbmFuY3k8L2tleXdvcmQ+PC9rZXl3b3Jkcz48ZGF0ZXM+PHllYXI+MjAx
OTwveWVhcj48cHViLWRhdGVzPjxkYXRlPkFwciAxPC9kYXRlPjwvcHViLWRhdGVzPjwvZGF0ZXM+
PGlzYm4+MTkzOC0zMjA3IChFbGVjdHJvbmljKSYjeEQ7MDAwMi05MTY1IChMaW5raW5nKTwvaXNi
bj48YWNjZXNzaW9uLW51bT4zMDk0OTY5MTwvYWNjZXNzaW9uLW51bT48dXJscz48cmVsYXRlZC11
cmxzPjx1cmw+aHR0cHM6Ly93d3cubmNiaS5ubG0ubmloLmdvdi9wdWJtZWQvMzA5NDk2OTE8L3Vy
bD48L3JlbGF0ZWQtdXJscz48L3VybHM+PGVsZWN0cm9uaWMtcmVzb3VyY2UtbnVtPjEwLjEwOTMv
YWpjbi9ucXkzNTk8L2VsZWN0cm9uaWMtcmVzb3VyY2UtbnVtPjwvcmVjb3JkPjwvQ2l0ZT48L0Vu
ZE5vdGU+AG==
</w:fldData>
        </w:fldChar>
      </w:r>
      <w:r w:rsidR="002747EA">
        <w:instrText xml:space="preserve"> ADDIN EN.CITE </w:instrText>
      </w:r>
      <w:r w:rsidR="002747EA">
        <w:fldChar w:fldCharType="begin">
          <w:fldData xml:space="preserve">PEVuZE5vdGU+PENpdGU+PEF1dGhvcj5Eb2RkPC9BdXRob3I+PFllYXI+MjAxNDwvWWVhcj48UmVj
TnVtPjEwODA8L1JlY051bT48RGlzcGxheVRleHQ+PHN0eWxlIGZhY2U9InN1cGVyc2NyaXB0IiBm
b250PSJUcmVidWNoZXQgTVMiIHNpemU9IjkiPjQwMiw0ODMsNDg0LDQ5Niw1MDMsNTA1LDUwOSw1
MTksNTIxPC9zdHlsZT48L0Rpc3BsYXlUZXh0PjxyZWNvcmQ+PHJlYy1udW1iZXI+MTA4MDwvcmVj
LW51bWJlcj48Zm9yZWlnbi1rZXlzPjxrZXkgYXBwPSJFTiIgZGItaWQ9ImV4dmFzcmZ4MmR0cmFv
ZXNhc3hwMnN6c3hhMmRmNTAyNTkyeCIgdGltZXN0YW1wPSIxNTUyOTQ2NDcyIj4xMDgwPC9rZXk+
PGtleSBhcHA9IkVOV2ViIiBkYi1pZD0iIj4wPC9rZXk+PC9mb3JlaWduLWtleXM+PHJlZi10eXBl
IG5hbWU9IkpvdXJuYWwgQXJ0aWNsZSI+MTc8L3JlZi10eXBlPjxjb250cmlidXRvcnM+PGF1dGhv
cnM+PGF1dGhvcj5Eb2RkLCBKb2RpZSBNLjwvYXV0aG9yPjxhdXRob3I+R3JpdmVsbCwgUm9zYWxp
ZSBNLjwvYXV0aG9yPjxhdXRob3I+T3dlbnMsIEp1bGllIEEuPC9hdXRob3I+PC9hdXRob3JzPjwv
Y29udHJpYnV0b3JzPjx0aXRsZXM+PHRpdGxlPkFudGVuYXRhbCBEaWV0YXJ5IGFuZCBMaWZlc3R5
bGUgSW50ZXJ2ZW50aW9ucyBmb3IgV29tZW4gV2hvIGFyZSBPdmVyd2VpZ2h0IG9yIE9iZXNlOiBP
dXRjb21lcyBmcm9tIHRoZSBMSU1JVCBSYW5kb21pemVkIFRyaWFsPC90aXRsZT48c2Vjb25kYXJ5
LXRpdGxlPkN1cnJlbnQgTnV0cml0aW9uIFJlcG9ydHM8L3NlY29uZGFyeS10aXRsZT48L3RpdGxl
cz48cGVyaW9kaWNhbD48ZnVsbC10aXRsZT5DdXJyZW50IE51dHJpdGlvbiBSZXBvcnRzPC9mdWxs
LXRpdGxlPjwvcGVyaW9kaWNhbD48cGFnZXM+MzkyLTM5OTwvcGFnZXM+PHZvbHVtZT4zPC92b2x1
bWU+PG51bWJlcj40PC9udW1iZXI+PHNlY3Rpb24+MzkyPC9zZWN0aW9uPjxkYXRlcz48eWVhcj4y
MDE0PC95ZWFyPjwvZGF0ZXM+PGlzYm4+MjE2MS0zMzExPC9pc2JuPjx1cmxzPjwvdXJscz48ZWxl
Y3Ryb25pYy1yZXNvdXJjZS1udW0+MTAuMTAwNy9zMTM2NjgtMDE0LTAxMDEtNzwvZWxlY3Ryb25p
Yy1yZXNvdXJjZS1udW0+PC9yZWNvcmQ+PC9DaXRlPjxDaXRlPjxBdXRob3I+UmF1aDwvQXV0aG9y
PjxZZWFyPjIwMTM8L1llYXI+PFJlY051bT4xMTA5PC9SZWNOdW0+PHJlY29yZD48cmVjLW51bWJl
cj4xMTA5PC9yZWMtbnVtYmVyPjxmb3JlaWduLWtleXM+PGtleSBhcHA9IkVOIiBkYi1pZD0iZXh2
YXNyZngyZHRyYW9lc2FzeHAyc3pzeGEyZGY1MDI1OTJ4IiB0aW1lc3RhbXA9IjE1NTI5NDg0ODUi
PjExMDk8L2tleT48L2ZvcmVpZ24ta2V5cz48cmVmLXR5cGUgbmFtZT0iSm91cm5hbCBBcnRpY2xl
Ij4xNzwvcmVmLXR5cGU+PGNvbnRyaWJ1dG9ycz48YXV0aG9ycz48YXV0aG9yPlJhdWgsIEsuPC9h
dXRob3I+PGF1dGhvcj5HYWJyaWVsLCBFLjwvYXV0aG9yPjxhdXRob3I+S2Vyc2NoYmF1bSwgRS48
L2F1dGhvcj48YXV0aG9yPlNjaHVzdGVyLCBULjwvYXV0aG9yPjxhdXRob3I+dm9uIEtyaWVzLCBS
LjwvYXV0aG9yPjxhdXRob3I+QW1hbm4tR2Fzc25lciwgVS48L2F1dGhvcj48YXV0aG9yPkhhdW5l
ciwgSC48L2F1dGhvcj48L2F1dGhvcnM+PC9jb250cmlidXRvcnM+PHRpdGxlcz48dGl0bGU+U2Fm
ZXR5IGFuZCBlZmZpY2FjeSBvZiBhIGxpZmVzdHlsZSBpbnRlcnZlbnRpb24gZm9yIHByZWduYW50
IHdvbWVuIHRvIHByZXZlbnQgZXhjZXNzaXZlIG1hdGVybmFsIHdlaWdodCBnYWluOiBhIGNsdXN0
ZXItcmFuZG9taXplZCBjb250cm9sbGVkIHRyaWFsPC90aXRsZT48c2Vjb25kYXJ5LXRpdGxlPkJN
QyBQcmVnbmFuY3kgQ2hpbGRiaXJ0aDwvc2Vjb25kYXJ5LXRpdGxlPjwvdGl0bGVzPjxwZXJpb2Rp
Y2FsPjxmdWxsLXRpdGxlPkJNQyBQcmVnbmFuY3kgQ2hpbGRiaXJ0aDwvZnVsbC10aXRsZT48L3Bl
cmlvZGljYWw+PHBhZ2VzPjE1MTwvcGFnZXM+PHZvbHVtZT4xMzwvdm9sdW1lPjxlZGl0aW9uPjIw
MTMvMDcvMjA8L2VkaXRpb24+PGtleXdvcmRzPjxrZXl3b3JkPkFkdWx0PC9rZXl3b3JkPjxrZXl3
b3JkPipCaXJ0aCBXZWlnaHQ8L2tleXdvcmQ+PGtleXdvcmQ+Q291bnNlbGluZy8qbWV0aG9kczwv
a2V5d29yZD48a2V5d29yZD4qRW5lcmd5IEludGFrZTwva2V5d29yZD48a2V5d29yZD5GZWFzaWJp
bGl0eSBTdHVkaWVzPC9rZXl3b3JkPjxrZXl3b3JkPkZlbWFsZTwva2V5d29yZD48a2V5d29yZD5I
dW1hbnM8L2tleXdvcmQ+PGtleXdvcmQ+SW5mYW50LCBOZXdib3JuPC9rZXl3b3JkPjxrZXl3b3Jk
PipNb3RvciBBY3Rpdml0eTwva2V5d29yZD48a2V5d29yZD5PYmVzaXR5LypwcmV2ZW50aW9uICZh
bXA7IGNvbnRyb2w8L2tleXdvcmQ+PGtleXdvcmQ+T3ZlcndlaWdodC9wcmV2ZW50aW9uICZhbXA7
IGNvbnRyb2w8L2tleXdvcmQ+PGtleXdvcmQ+UG9zdHBhcnR1bSBQZXJpb2Q8L2tleXdvcmQ+PGtl
eXdvcmQ+UHJlZ25hbmN5PC9rZXl3b3JkPjxrZXl3b3JkPlByZWduYW5jeSBDb21wbGljYXRpb25z
LypwcmV2ZW50aW9uICZhbXA7IGNvbnRyb2w8L2tleXdvcmQ+PGtleXdvcmQ+UHJlZ25hbmN5IE91
dGNvbWU8L2tleXdvcmQ+PGtleXdvcmQ+KldlaWdodCBHYWluPC9rZXl3b3JkPjwva2V5d29yZHM+
PGRhdGVzPjx5ZWFyPjIwMTM8L3llYXI+PHB1Yi1kYXRlcz48ZGF0ZT5KdWwgMTY8L2RhdGU+PC9w
dWItZGF0ZXM+PC9kYXRlcz48aXNibj4xNDcxLTIzOTMgKEVsZWN0cm9uaWMpJiN4RDsxNDcxLTIz
OTMgKExpbmtpbmcpPC9pc2JuPjxhY2Nlc3Npb24tbnVtPjIzODY1NjI0PC9hY2Nlc3Npb24tbnVt
Pjx1cmxzPjxyZWxhdGVkLXVybHM+PHVybD5odHRwczovL3d3dy5uY2JpLm5sbS5uaWguZ292L3B1
Ym1lZC8yMzg2NTYyNDwvdXJsPjwvcmVsYXRlZC11cmxzPjwvdXJscz48Y3VzdG9tMj5QTUMzNzE4
NzA3PC9jdXN0b20yPjxlbGVjdHJvbmljLXJlc291cmNlLW51bT4xMC4xMTg2LzE0NzEtMjM5My0x
My0xNTE8L2VsZWN0cm9uaWMtcmVzb3VyY2UtbnVtPjwvcmVjb3JkPjwvQ2l0ZT48Q2l0ZT48QXV0
aG9yPkhhd2tpbnM8L0F1dGhvcj48WWVhcj4yMDE1PC9ZZWFyPjxSZWNOdW0+NzI2PC9SZWNOdW0+
PHJlY29yZD48cmVjLW51bWJlcj43MjY8L3JlYy1udW1iZXI+PGZvcmVpZ24ta2V5cz48a2V5IGFw
cD0iRU4iIGRiLWlkPSJleHZhc3JmeDJkdHJhb2VzYXN4cDJzenN4YTJkZjUwMjU5MngiIHRpbWVz
dGFtcD0iMTU0MTQ2NTMyMiI+NzI2PC9rZXk+PC9mb3JlaWduLWtleXM+PHJlZi10eXBlIG5hbWU9
IkpvdXJuYWwgQXJ0aWNsZSI+MTc8L3JlZi10eXBlPjxjb250cmlidXRvcnM+PGF1dGhvcnM+PGF1
dGhvcj5IYXdraW5zLCBNLjwvYXV0aG9yPjxhdXRob3I+SG9za2VyLCBNLjwvYXV0aG9yPjxhdXRo
b3I+TWFyY3VzLCBCLiBILjwvYXV0aG9yPjxhdXRob3I+Um9zYWwsIE0uIEMuPC9hdXRob3I+PGF1
dGhvcj5CcmF1biwgQi48L2F1dGhvcj48YXV0aG9yPlN0YW5laywgRS4gSi4sIDNyZDwvYXV0aG9y
PjxhdXRob3I+TWFya2Vuc29uLCBHLjwvYXV0aG9yPjxhdXRob3I+Q2hhc2FuLVRhYmVyLCBMLjwv
YXV0aG9yPjwvYXV0aG9ycz48L2NvbnRyaWJ1dG9ycz48YXV0aC1hZGRyZXNzPkRpdmlzaW9uIG9m
IEJpb3N0YXRpc3RpY3MgYW5kIEVwaWRlbWlvbG9neSwgRGVwYXJ0bWVudCBvZiBQdWJsaWMgSGVh
bHRoLCBTY2hvb2wgb2YgUHVibGljIEhlYWx0aCBhbmQgSGVhbHRoIFNjaWVuY2VzLCBVbml2ZXJz
aXR5IG9mIE1hc3NhY2h1c2V0dHMsIEFtaGVyc3QsIE1BLCBVU0EuPC9hdXRoLWFkZHJlc3M+PHRp
dGxlcz48dGl0bGU+QSBwcmVnbmFuY3kgbGlmZXN0eWxlIGludGVydmVudGlvbiB0byBwcmV2ZW50
IGdlc3RhdGlvbmFsIGRpYWJldGVzIHJpc2sgZmFjdG9ycyBpbiBvdmVyd2VpZ2h0IEhpc3Bhbmlj
IHdvbWVuOiBhIGZlYXNpYmlsaXR5IHJhbmRvbWl6ZWQgY29udHJvbGxlZCB0cmlhbDwvdGl0bGU+
PHNlY29uZGFyeS10aXRsZT5EaWFiZXQgTWVkPC9zZWNvbmRhcnktdGl0bGU+PC90aXRsZXM+PHBl
cmlvZGljYWw+PGZ1bGwtdGl0bGU+RGlhYmV0IE1lZDwvZnVsbC10aXRsZT48L3BlcmlvZGljYWw+
PHBhZ2VzPjEwOC0xNTwvcGFnZXM+PHZvbHVtZT4zMjwvdm9sdW1lPjxudW1iZXI+MTwvbnVtYmVy
PjxlZGl0aW9uPjIwMTQvMTAvMTQ8L2VkaXRpb24+PGtleXdvcmRzPjxrZXl3b3JkPkFkdWx0PC9r
ZXl3b3JkPjxrZXl3b3JkPkJpcnRoIFdlaWdodDwva2V5d29yZD48a2V5d29yZD5EaWFiZXRlcywg
R2VzdGF0aW9uYWwvKnByZXZlbnRpb24gJmFtcDsgY29udHJvbDwva2V5d29yZD48a2V5d29yZD5E
aWV0PC9rZXl3b3JkPjxrZXl3b3JkPkV4ZXJjaXNlPC9rZXl3b3JkPjxrZXl3b3JkPkZlYXNpYmls
aXR5IFN0dWRpZXM8L2tleXdvcmQ+PGtleXdvcmQ+RmVlZGluZyBCZWhhdmlvcjwva2V5d29yZD48
a2V5d29yZD5GZW1hbGU8L2tleXdvcmQ+PGtleXdvcmQ+SGlzcGFuaWMgQW1lcmljYW5zLypzdGF0
aXN0aWNzICZhbXA7IG51bWVyaWNhbCBkYXRhPC9rZXl3b3JkPjxrZXl3b3JkPkh1bWFuczwva2V5
d29yZD48a2V5d29yZD5JbmZhbnQsIE5ld2Jvcm48L2tleXdvcmQ+PGtleXdvcmQ+TWFsZTwva2V5
d29yZD48a2V5d29yZD5PdmVyd2VpZ2h0L2NvbXBsaWNhdGlvbnMvKnByZXZlbnRpb24gJmFtcDsg
Y29udHJvbDwva2V5d29yZD48a2V5d29yZD5QYXRpZW50IENvbXBsaWFuY2U8L2tleXdvcmQ+PGtl
eXdvcmQ+UHJlZ25hbmN5PC9rZXl3b3JkPjxrZXl3b3JkPlByZW5hdGFsIENhcmU8L2tleXdvcmQ+
PGtleXdvcmQ+KlByaW1hcnkgUHJldmVudGlvbjwva2V5d29yZD48a2V5d29yZD5SaXNrIEZhY3Rv
cnM8L2tleXdvcmQ+PGtleXdvcmQ+KlJpc2sgUmVkdWN0aW9uIEJlaGF2aW9yPC9rZXl3b3JkPjxr
ZXl3b3JkPlRyZWF0bWVudCBPdXRjb21lPC9rZXl3b3JkPjxrZXl3b3JkPlVuaXRlZCBTdGF0ZXMv
ZXBpZGVtaW9sb2d5PC9rZXl3b3JkPjxrZXl3b3JkPldlaWdodCBHYWluPC9rZXl3b3JkPjwva2V5
d29yZHM+PGRhdGVzPjx5ZWFyPjIwMTU8L3llYXI+PHB1Yi1kYXRlcz48ZGF0ZT5KYW48L2RhdGU+
PC9wdWItZGF0ZXM+PC9kYXRlcz48aXNibj4xNDY0LTU0OTEgKEVsZWN0cm9uaWMpJiN4RDswNzQy
LTMwNzEgKExpbmtpbmcpPC9pc2JuPjxhY2Nlc3Npb24tbnVtPjI1MzA2OTI1PC9hY2Nlc3Npb24t
bnVtPjx1cmxzPjxyZWxhdGVkLXVybHM+PHVybD5odHRwczovL3d3dy5uY2JpLm5sbS5uaWguZ292
L3B1Ym1lZC8yNTMwNjkyNTwvdXJsPjwvcmVsYXRlZC11cmxzPjwvdXJscz48ZWxlY3Ryb25pYy1y
ZXNvdXJjZS1udW0+MTAuMTExMS9kbWUuMTI2MDE8L2VsZWN0cm9uaWMtcmVzb3VyY2UtbnVtPjwv
cmVjb3JkPjwvQ2l0ZT48Q2l0ZT48QXV0aG9yPlNpbW1vbnM8L0F1dGhvcj48WWVhcj4yMDE3PC9Z
ZWFyPjxSZWNOdW0+MTA1NzwvUmVjTnVtPjxyZWNvcmQ+PHJlYy1udW1iZXI+MTA1NzwvcmVjLW51
bWJlcj48Zm9yZWlnbi1rZXlzPjxrZXkgYXBwPSJFTiIgZGItaWQ9ImV4dmFzcmZ4MmR0cmFvZXNh
c3hwMnN6c3hhMmRmNTAyNTkyeCIgdGltZXN0YW1wPSIxNTQ4OTgzNDc2Ij4xMDU3PC9rZXk+PC9m
b3JlaWduLWtleXM+PHJlZi10eXBlIG5hbWU9IkpvdXJuYWwgQXJ0aWNsZSI+MTc8L3JlZi10eXBl
Pjxjb250cmlidXRvcnM+PGF1dGhvcnM+PGF1dGhvcj5TaW1tb25zLCBELjwvYXV0aG9yPjxhdXRo
b3I+RGV2bGllZ2VyLCBSLjwvYXV0aG9yPjxhdXRob3I+dmFuIEFzc2NoZSwgQS48L2F1dGhvcj48
YXV0aG9yPkphbnMsIEcuPC9hdXRob3I+PGF1dGhvcj5HYWxqYWFyZCwgUy48L2F1dGhvcj48YXV0
aG9yPkNvcmNveSwgUi48L2F1dGhvcj48YXV0aG9yPkFkZWxhbnRhZG8sIEouIE0uPC9hdXRob3I+
PGF1dGhvcj5EdW5uZSwgRi48L2F1dGhvcj48YXV0aG9yPkRlc295ZSwgRy48L2F1dGhvcj48YXV0
aG9yPkhhcnJlaXRlciwgSi48L2F1dGhvcj48YXV0aG9yPkthdXR6a3ktV2lsbGVyLCBBLjwvYXV0
aG9yPjxhdXRob3I+RGFtbSwgUC48L2F1dGhvcj48YXV0aG9yPk1hdGhpZXNlbiwgRS4gUi48L2F1
dGhvcj48YXV0aG9yPkplbnNlbiwgRC4gTS48L2F1dGhvcj48YXV0aG9yPkFuZGVyc2VuLCBMLjwv
YXV0aG9yPjxhdXRob3I+TGFwb2xsYSwgQS48L2F1dGhvcj48YXV0aG9yPkRhbGZyYSwgTS4gRy48
L2F1dGhvcj48YXV0aG9yPkJlcnRvbG90dG8sIEEuPC9hdXRob3I+PGF1dGhvcj5XZW5kZXItT3pl
Z293c2thLCBFLjwvYXV0aG9yPjxhdXRob3I+WmF3aWVqc2thLCBBLjwvYXV0aG9yPjxhdXRob3I+
SGlsbCwgRC48L2F1dGhvcj48YXV0aG9yPlNub2VrLCBGLiBKLjwvYXV0aG9yPjxhdXRob3I+SmVs
c21hLCBKLiBHLjwvYXV0aG9yPjxhdXRob3I+dmFuIFBvcHBlbCwgTS4gTi48L2F1dGhvcj48L2F1
dGhvcnM+PC9jb250cmlidXRvcnM+PGF1dGgtYWRkcmVzcz5XZXN0ZXJuIFN5ZG5leSBVbml2ZXJz
aXR5LCBDYW1wYmVsbHRvd24sIE5ldyBTb3V0aCBXYWxlcyAyNTYwLCBBdXN0cmFsaWEuJiN4RDtJ
bnN0aXR1dGUgb2YgTWV0YWJvbGljIFNjaWVuY2UsIEFkZGVuYnJvb2tlJmFwb3M7cyBIb3NwaXRh
bCwgQ2FtYnJpZGdlLCBDQjIgMFFRIEVuZ2xhbmQuJiN4RDtEZXBhcnRtZW50IG9mIERldmVsb3Bt
ZW50IGFuZCBSZWdlbmVyYXRpb246IFByZWduYW5jeSwgRmV0dXMgYW5kIE5lb25hdGUsIEd5bmFl
Y29sb2d5IGFuZCBPYnN0ZXRyaWNzLCBVbml2ZXJzaXR5IEhvc3BpdGFscywgS2F0aG9saWVrZSBV
bml2ZXJzaXRlaXQgTGV1dmVuLCBMZXV2ZW4sIEJlbGdpdW0uJiN4RDtEaXZpc2lvbiBvZiBPYnN0
ZXRyaWNzIGFuZCBQcmVuYXRhbCBNZWRpY2luZSwgRGVwYXJ0bWVudCBvZiBPYnN0ZXRyaWNzIGFu
ZCBHeW5hZWNvbG9neSwgRXJhc211cyBVbml2ZXJzaXR5IE1lZGljYWwgQ2VudGVyIFJvdHRlcmRh
bSwgUm90dGVyZGFtLCBUaGUgTmV0aGVybGFuZHMuJiN4RDtJbnN0aXR1dCBkZSBSZWNlcmNhIGRl
IGwgSG9zcGl0YWwgZGUgbGEgU2FudGEgQ3JldSBpIFNhbnQgUGF1LCBCYXJjZWxvbmEsIFNwYWlu
LiYjeEQ7Q0lCRVIgQmlvZW5naW5lZXJpbmcsIEJpb21hdGVyaWFscyBhbmQgTmFub3RlY2hub2xv
Z3ksIEluc3RpdHV0byBkZSBTYWx1ZCBDYXJsb3MgSUlJLCBaYXJhZ296YSwgU3BhaW4uJiN4RDtH
YWx3YXkgRGlhYmV0ZXMgUmVzZWFyY2ggQ2VudHJlIGFuZCBDb2xsZWdlIG9mIE1lZGljaW5lIE51
cnNpbmcgYW5kIEhlYWx0aCBTY2llbmNlcywgTmF0aW9uYWwgVW5pdmVyc2l0eSBvZiBJcmVsYW5k
LCBHYWx3YXksIElyZWxhbmQuJiN4RDtEZXBhcnRtZW50IG9mIE9ic3RldHJpY3MgYW5kIEd5bmVj
b2xvZ3ksIE1lZGl6aW5pc2NoZSBVbml2ZXJzaXRhZXQgR3JheiwgR3JheiwgQXVzdHJpYS4mI3hE
O0dlbmRlciBNZWRpY2luZSBVbml0LCBFbmRvY3Jpbm9sb2d5IGFuZCBNZXRhYm9saXNtLCBEZXBh
cnRtZW50IG9mIEludGVybmFsIE1lZGljaW5lIElJSSwgTWVkaWNhbCBVbml2ZXJzaXR5IG9mIFZp
ZW5uYSwgVmllbm5hLCBBdXN0cmlhLiYjeEQ7Q2VudGVyIGZvciBQcmVnbmFudCBXb21lbiB3aXRo
IERpYWJldGVzLCBEZXBhcnRtZW50cyBvZiBFbmRvY3Jpbm9sb2d5IGFuZCBPYnN0ZXRyaWNzLCBS
aWdzaG9zcGl0YWxldCwgSW5zdGl0dXRlIG9mIENsaW5pY2FsIE1lZGljaW5lLCBGYWN1bHR5IG9m
IEhlYWx0aCBhbmQgTWVkaWNhbCBTY2llbmNlcywgVW5pdmVyc2l0eSBvZiBDb3BlbmhhZ2VuLCBD
b3BlbmhhZ2VuLCBEZW5tYXJrLiYjeEQ7RGVwYXJ0bWVudCBvZiBFbmRvY3Jpbm9sb2d5IGFuZCBE
ZXBhcnRtZW50IG9mIEd5bmVjb2xvZ3kgYW5kIE9ic3RldHJpY3MsIE9kZW5zZSBVbml2ZXJzaXR5
IEhvc3BpdGFsLCBPZGVuc2UsIERlbm1hcmsuJiN4RDtEZXBhcnRtZW50IG9mIENsaW5pY2FsIFJl
c2VhcmNoLCBGYWN1bHR5IG9mIEhlYWx0aCBTY2llbmNlcywgVW5pdmVyc2l0eSBvZiBTb3V0aGVy
biBEZW5tYXJrLCBPZGVuc2UsIERlbm1hcmsuJiN4RDtVbml2ZXJzaXRhIERlZ2xpIFN0dWRpIGRp
IFBhZG92YSwgUGFkdWEsIEl0YWx5LiYjeEQ7QXppZW5kYSBPc3BlZGFsaWVybyBVbml2ZXJzaXRh
cmlhLVBpc2EsIFBpc2EgSXRhbHkuJiN4RDtNZWRpY2FsIEZhY3VsdHkgSSwgUG96bmFuIFVuaXZl
cnNpdHkgb2YgTWVkaWNhbCBTY2llbmNlcywgUG96bmFuLCBQb2xhbmQuJiN4RDtSZWNoZXJjaGUg
ZW4gU2FudGUgTGF3c29uIFNBLCBCcm9uc2NoaG9mZW4sIFN3aXR6ZXJsYW5kLiYjeEQ7RGVwYXJ0
bWVudCBvZiBNZWRpY2FsIFBzeWNob2xvZ3ksIEVNR08rIEluc3RpdHV0ZSBmb3IgSGVhbHRoIGFu
ZCBDYXJlIFJlc2VhcmNoLCBWVSBVbml2ZXJzaXR5IE1lZGljYWwgQ2VudHJlLCBBbXN0ZXJkYW0s
IFRoZSBOZXRoZXJsYW5kcy4mI3hEO0RlcGFydG1lbnQgb2YgTWVkaWNhbCBQc3ljaG9sb2d5LCBB
Y2FkZW1pYyBNZWRpY2FsIENlbnRyZSwgQW1zdGVyZGFtLCBUaGUgTmV0aGVybGFuZHMuJiN4RDtE
ZXBhcnRtZW50IG9mIFB1YmxpYyBhbmQgT2NjdXBhdGlvbmFsIEhlYWx0aCwgRU1HTysgSW5zdGl0
dXRlIGZvciBIZWFsdGggYW5kIENhcmUgUmVzZWFyY2gsIFZVIFVuaXZlcnNpdHkgTWVkaWNhbCBD
ZW50cmUsIEFtc3RlcmRhbSwgVGhlIE5ldGhlcmxhbmRzOyBhbmQuJiN4RDtJbnN0aXR1dGUgb2Yg
U3BvcnQgU2NpZW5jZSwgVW5pdmVyc2l0eSBvZiBHcmF6LCBHcmF6LCBBdXN0cmlhLjwvYXV0aC1h
ZGRyZXNzPjx0aXRsZXM+PHRpdGxlPkVmZmVjdCBvZiBQaHlzaWNhbCBBY3Rpdml0eSBhbmQvb3Ig
SGVhbHRoeSBFYXRpbmcgb24gR0RNIFJpc2s6IFRoZSBEQUxJIExpZmVzdHlsZSBTdHVkeTwvdGl0
bGU+PHNlY29uZGFyeS10aXRsZT5KIENsaW4gRW5kb2NyaW5vbCBNZXRhYjwvc2Vjb25kYXJ5LXRp
dGxlPjwvdGl0bGVzPjxwZXJpb2RpY2FsPjxmdWxsLXRpdGxlPkogQ2xpbiBFbmRvY3Jpbm9sIE1l
dGFiPC9mdWxsLXRpdGxlPjwvcGVyaW9kaWNhbD48cGFnZXM+OTAzLTkxMzwvcGFnZXM+PHZvbHVt
ZT4xMDI8L3ZvbHVtZT48bnVtYmVyPjM8L251bWJlcj48ZWRpdGlvbj4yMDE2LzEyLzEwPC9lZGl0
aW9uPjxkYXRlcz48eWVhcj4yMDE3PC95ZWFyPjxwdWItZGF0ZXM+PGRhdGU+TWFyIDE8L2RhdGU+
PC9wdWItZGF0ZXM+PC9kYXRlcz48aXNibj4xOTQ1LTcxOTcgKEVsZWN0cm9uaWMpJiN4RDswMDIx
LTk3MlggKExpbmtpbmcpPC9pc2JuPjxhY2Nlc3Npb24tbnVtPjI3OTM1NzY3PC9hY2Nlc3Npb24t
bnVtPjx1cmxzPjxyZWxhdGVkLXVybHM+PHVybD5odHRwczovL3d3dy5uY2JpLm5sbS5uaWguZ292
L3B1Ym1lZC8yNzkzNTc2NzwvdXJsPjwvcmVsYXRlZC11cmxzPjwvdXJscz48Y3VzdG9tMj5QTUM1
NDYwNjg4PC9jdXN0b20yPjxlbGVjdHJvbmljLXJlc291cmNlLW51bT4xMC4xMjEwL2pjLjIwMTYt
MzQ1NTwvZWxlY3Ryb25pYy1yZXNvdXJjZS1udW0+PC9yZWNvcmQ+PC9DaXRlPjxDaXRlPjxBdXRo
b3I+RG9kZDwvQXV0aG9yPjxZZWFyPjIwMTQ8L1llYXI+PFJlY051bT4xMDgwPC9SZWNOdW0+PHJl
Y29yZD48cmVjLW51bWJlcj4xMDgwPC9yZWMtbnVtYmVyPjxmb3JlaWduLWtleXM+PGtleSBhcHA9
IkVOIiBkYi1pZD0iZXh2YXNyZngyZHRyYW9lc2FzeHAyc3pzeGEyZGY1MDI1OTJ4IiB0aW1lc3Rh
bXA9IjE1NTI5NDY0NzIiPjEwODA8L2tleT48a2V5IGFwcD0iRU5XZWIiIGRiLWlkPSIiPjA8L2tl
eT48L2ZvcmVpZ24ta2V5cz48cmVmLXR5cGUgbmFtZT0iSm91cm5hbCBBcnRpY2xlIj4xNzwvcmVm
LXR5cGU+PGNvbnRyaWJ1dG9ycz48YXV0aG9ycz48YXV0aG9yPkRvZGQsIEpvZGllIE0uPC9hdXRo
b3I+PGF1dGhvcj5Hcml2ZWxsLCBSb3NhbGllIE0uPC9hdXRob3I+PGF1dGhvcj5Pd2VucywgSnVs
aWUgQS48L2F1dGhvcj48L2F1dGhvcnM+PC9jb250cmlidXRvcnM+PHRpdGxlcz48dGl0bGU+QW50
ZW5hdGFsIERpZXRhcnkgYW5kIExpZmVzdHlsZSBJbnRlcnZlbnRpb25zIGZvciBXb21lbiBXaG8g
YXJlIE92ZXJ3ZWlnaHQgb3IgT2Jlc2U6IE91dGNvbWVzIGZyb20gdGhlIExJTUlUIFJhbmRvbWl6
ZWQgVHJpYWw8L3RpdGxlPjxzZWNvbmRhcnktdGl0bGU+Q3VycmVudCBOdXRyaXRpb24gUmVwb3J0
czwvc2Vjb25kYXJ5LXRpdGxlPjwvdGl0bGVzPjxwZXJpb2RpY2FsPjxmdWxsLXRpdGxlPkN1cnJl
bnQgTnV0cml0aW9uIFJlcG9ydHM8L2Z1bGwtdGl0bGU+PC9wZXJpb2RpY2FsPjxwYWdlcz4zOTIt
Mzk5PC9wYWdlcz48dm9sdW1lPjM8L3ZvbHVtZT48bnVtYmVyPjQ8L251bWJlcj48c2VjdGlvbj4z
OTI8L3NlY3Rpb24+PGRhdGVzPjx5ZWFyPjIwMTQ8L3llYXI+PC9kYXRlcz48aXNibj4yMTYxLTMz
MTE8L2lzYm4+PHVybHM+PC91cmxzPjxlbGVjdHJvbmljLXJlc291cmNlLW51bT4xMC4xMDA3L3Mx
MzY2OC0wMTQtMDEwMS03PC9lbGVjdHJvbmljLXJlc291cmNlLW51bT48L3JlY29yZD48L0NpdGU+
PENpdGU+PEF1dGhvcj5Lb2l2dXNhbG88L0F1dGhvcj48WWVhcj4yMDE2PC9ZZWFyPjxSZWNOdW0+
NzMzPC9SZWNOdW0+PHJlY29yZD48cmVjLW51bWJlcj43MzM8L3JlYy1udW1iZXI+PGZvcmVpZ24t
a2V5cz48a2V5IGFwcD0iRU4iIGRiLWlkPSJleHZhc3JmeDJkdHJhb2VzYXN4cDJzenN4YTJkZjUw
MjU5MngiIHRpbWVzdGFtcD0iMTU0MTQ2Nzc2NiI+NzMzPC9rZXk+PGtleSBhcHA9IkVOV2ViIiBk
Yi1pZD0iIj4wPC9rZXk+PC9mb3JlaWduLWtleXM+PHJlZi10eXBlIG5hbWU9IkpvdXJuYWwgQXJ0
aWNsZSI+MTc8L3JlZi10eXBlPjxjb250cmlidXRvcnM+PGF1dGhvcnM+PGF1dGhvcj5Lb2l2dXNh
bG8sIFMuQi4sPC9hdXRob3I+PGF1dGhvcj5Sw7Zuw7YsIEsuLDwvYXV0aG9yPjxhdXRob3I+S2xl
bWV0dGksIE0uTS4sPC9hdXRob3I+PGF1dGhvcj5Sb2luZSwgUi5QLiw8L2F1dGhvcj48YXV0aG9y
PkxpbmRzdHLDtm0sIEouLDwvYXV0aG9yPjxhdXRob3I+RXJra29sYSwgTS4sPC9hdXRob3I+PC9h
dXRob3JzPjwvY29udHJpYnV0b3JzPjx0aXRsZXM+PHRpdGxlPkdlc3RhdGlvbmFsIGRpYWJldGVz
IG1lbGxpdHVzIGNhbiBiZSBwcmV2ZW50ZWQgYnkgbGlmZXN0eWxlIGludGVydmVudGlvbjogVGhl
IEZpbm5pc2ggR2VzdGF0aW9uYWwgRGlhYmV0ZXMgUHJldmVudGlvbiBTdHVkeSAoUkFESUVMKTwv
dGl0bGU+PHNlY29uZGFyeS10aXRsZT5EaWFiZXRlcyBDYXJlPC9zZWNvbmRhcnktdGl0bGU+PC90
aXRsZXM+PHBlcmlvZGljYWw+PGZ1bGwtdGl0bGU+RGlhYmV0ZXMgQ2FyZTwvZnVsbC10aXRsZT48
L3BlcmlvZGljYWw+PHBhZ2VzPjI0LTMwPC9wYWdlcz48dm9sdW1lPjM5PC92b2x1bWU+PG51bWJl
cj4xPC9udW1iZXI+PHNlY3Rpb24+MjQ8L3NlY3Rpb24+PGRhdGVzPjx5ZWFyPjIwMTY8L3llYXI+
PC9kYXRlcz48aXNibj4wMTQ5LTU5OTImI3hEOzE5MzUtNTU0ODwvaXNibj48dXJscz48L3VybHM+
PGVsZWN0cm9uaWMtcmVzb3VyY2UtbnVtPjEwLjIzMzcvZGMxNS0wNTExPC9lbGVjdHJvbmljLXJl
c291cmNlLW51bT48L3JlY29yZD48L0NpdGU+PENpdGU+PEF1dGhvcj5TaW1tb25zPC9BdXRob3I+
PFllYXI+MjAxNzwvWWVhcj48UmVjTnVtPjEwNTc8L1JlY051bT48cmVjb3JkPjxyZWMtbnVtYmVy
PjEwNTc8L3JlYy1udW1iZXI+PGZvcmVpZ24ta2V5cz48a2V5IGFwcD0iRU4iIGRiLWlkPSJleHZh
c3JmeDJkdHJhb2VzYXN4cDJzenN4YTJkZjUwMjU5MngiIHRpbWVzdGFtcD0iMTU0ODk4MzQ3NiI+
MTA1Nzwva2V5PjwvZm9yZWlnbi1rZXlzPjxyZWYtdHlwZSBuYW1lPSJKb3VybmFsIEFydGljbGUi
PjE3PC9yZWYtdHlwZT48Y29udHJpYnV0b3JzPjxhdXRob3JzPjxhdXRob3I+U2ltbW9ucywgRC48
L2F1dGhvcj48YXV0aG9yPkRldmxpZWdlciwgUi48L2F1dGhvcj48YXV0aG9yPnZhbiBBc3NjaGUs
IEEuPC9hdXRob3I+PGF1dGhvcj5KYW5zLCBHLjwvYXV0aG9yPjxhdXRob3I+R2FsamFhcmQsIFMu
PC9hdXRob3I+PGF1dGhvcj5Db3Jjb3ksIFIuPC9hdXRob3I+PGF1dGhvcj5BZGVsYW50YWRvLCBK
LiBNLjwvYXV0aG9yPjxhdXRob3I+RHVubmUsIEYuPC9hdXRob3I+PGF1dGhvcj5EZXNveWUsIEcu
PC9hdXRob3I+PGF1dGhvcj5IYXJyZWl0ZXIsIEouPC9hdXRob3I+PGF1dGhvcj5LYXV0emt5LVdp
bGxlciwgQS48L2F1dGhvcj48YXV0aG9yPkRhbW0sIFAuPC9hdXRob3I+PGF1dGhvcj5NYXRoaWVz
ZW4sIEUuIFIuPC9hdXRob3I+PGF1dGhvcj5KZW5zZW4sIEQuIE0uPC9hdXRob3I+PGF1dGhvcj5B
bmRlcnNlbiwgTC48L2F1dGhvcj48YXV0aG9yPkxhcG9sbGEsIEEuPC9hdXRob3I+PGF1dGhvcj5E
YWxmcmEsIE0uIEcuPC9hdXRob3I+PGF1dGhvcj5CZXJ0b2xvdHRvLCBBLjwvYXV0aG9yPjxhdXRo
b3I+V2VuZGVyLU96ZWdvd3NrYSwgRS48L2F1dGhvcj48YXV0aG9yPlphd2llanNrYSwgQS48L2F1
dGhvcj48YXV0aG9yPkhpbGwsIEQuPC9hdXRob3I+PGF1dGhvcj5Tbm9laywgRi4gSi48L2F1dGhv
cj48YXV0aG9yPkplbHNtYSwgSi4gRy48L2F1dGhvcj48YXV0aG9yPnZhbiBQb3BwZWwsIE0uIE4u
PC9hdXRob3I+PC9hdXRob3JzPjwvY29udHJpYnV0b3JzPjxhdXRoLWFkZHJlc3M+V2VzdGVybiBT
eWRuZXkgVW5pdmVyc2l0eSwgQ2FtcGJlbGx0b3duLCBOZXcgU291dGggV2FsZXMgMjU2MCwgQXVz
dHJhbGlhLiYjeEQ7SW5zdGl0dXRlIG9mIE1ldGFib2xpYyBTY2llbmNlLCBBZGRlbmJyb29rZSZh
cG9zO3MgSG9zcGl0YWwsIENhbWJyaWRnZSwgQ0IyIDBRUSBFbmdsYW5kLiYjeEQ7RGVwYXJ0bWVu
dCBvZiBEZXZlbG9wbWVudCBhbmQgUmVnZW5lcmF0aW9uOiBQcmVnbmFuY3ksIEZldHVzIGFuZCBO
ZW9uYXRlLCBHeW5hZWNvbG9neSBhbmQgT2JzdGV0cmljcywgVW5pdmVyc2l0eSBIb3NwaXRhbHMs
IEthdGhvbGlla2UgVW5pdmVyc2l0ZWl0IExldXZlbiwgTGV1dmVuLCBCZWxnaXVtLiYjeEQ7RGl2
aXNpb24gb2YgT2JzdGV0cmljcyBhbmQgUHJlbmF0YWwgTWVkaWNpbmUsIERlcGFydG1lbnQgb2Yg
T2JzdGV0cmljcyBhbmQgR3luYWVjb2xvZ3ksIEVyYXNtdXMgVW5pdmVyc2l0eSBNZWRpY2FsIENl
bnRlciBSb3R0ZXJkYW0sIFJvdHRlcmRhbSwgVGhlIE5ldGhlcmxhbmRzLiYjeEQ7SW5zdGl0dXQg
ZGUgUmVjZXJjYSBkZSBsIEhvc3BpdGFsIGRlIGxhIFNhbnRhIENyZXUgaSBTYW50IFBhdSwgQmFy
Y2Vsb25hLCBTcGFpbi4mI3hEO0NJQkVSIEJpb2VuZ2luZWVyaW5nLCBCaW9tYXRlcmlhbHMgYW5k
IE5hbm90ZWNobm9sb2d5LCBJbnN0aXR1dG8gZGUgU2FsdWQgQ2FybG9zIElJSSwgWmFyYWdvemEs
IFNwYWluLiYjeEQ7R2Fsd2F5IERpYWJldGVzIFJlc2VhcmNoIENlbnRyZSBhbmQgQ29sbGVnZSBv
ZiBNZWRpY2luZSBOdXJzaW5nIGFuZCBIZWFsdGggU2NpZW5jZXMsIE5hdGlvbmFsIFVuaXZlcnNp
dHkgb2YgSXJlbGFuZCwgR2Fsd2F5LCBJcmVsYW5kLiYjeEQ7RGVwYXJ0bWVudCBvZiBPYnN0ZXRy
aWNzIGFuZCBHeW5lY29sb2d5LCBNZWRpemluaXNjaGUgVW5pdmVyc2l0YWV0IEdyYXosIEdyYXos
IEF1c3RyaWEuJiN4RDtHZW5kZXIgTWVkaWNpbmUgVW5pdCwgRW5kb2NyaW5vbG9neSBhbmQgTWV0
YWJvbGlzbSwgRGVwYXJ0bWVudCBvZiBJbnRlcm5hbCBNZWRpY2luZSBJSUksIE1lZGljYWwgVW5p
dmVyc2l0eSBvZiBWaWVubmEsIFZpZW5uYSwgQXVzdHJpYS4mI3hEO0NlbnRlciBmb3IgUHJlZ25h
bnQgV29tZW4gd2l0aCBEaWFiZXRlcywgRGVwYXJ0bWVudHMgb2YgRW5kb2NyaW5vbG9neSBhbmQg
T2JzdGV0cmljcywgUmlnc2hvc3BpdGFsZXQsIEluc3RpdHV0ZSBvZiBDbGluaWNhbCBNZWRpY2lu
ZSwgRmFjdWx0eSBvZiBIZWFsdGggYW5kIE1lZGljYWwgU2NpZW5jZXMsIFVuaXZlcnNpdHkgb2Yg
Q29wZW5oYWdlbiwgQ29wZW5oYWdlbiwgRGVubWFyay4mI3hEO0RlcGFydG1lbnQgb2YgRW5kb2Ny
aW5vbG9neSBhbmQgRGVwYXJ0bWVudCBvZiBHeW5lY29sb2d5IGFuZCBPYnN0ZXRyaWNzLCBPZGVu
c2UgVW5pdmVyc2l0eSBIb3NwaXRhbCwgT2RlbnNlLCBEZW5tYXJrLiYjeEQ7RGVwYXJ0bWVudCBv
ZiBDbGluaWNhbCBSZXNlYXJjaCwgRmFjdWx0eSBvZiBIZWFsdGggU2NpZW5jZXMsIFVuaXZlcnNp
dHkgb2YgU291dGhlcm4gRGVubWFyaywgT2RlbnNlLCBEZW5tYXJrLiYjeEQ7VW5pdmVyc2l0YSBE
ZWdsaSBTdHVkaSBkaSBQYWRvdmEsIFBhZHVhLCBJdGFseS4mI3hEO0F6aWVuZGEgT3NwZWRhbGll
cm8gVW5pdmVyc2l0YXJpYS1QaXNhLCBQaXNhIEl0YWx5LiYjeEQ7TWVkaWNhbCBGYWN1bHR5IEks
IFBvem5hbiBVbml2ZXJzaXR5IG9mIE1lZGljYWwgU2NpZW5jZXMsIFBvem5hbiwgUG9sYW5kLiYj
eEQ7UmVjaGVyY2hlIGVuIFNhbnRlIExhd3NvbiBTQSwgQnJvbnNjaGhvZmVuLCBTd2l0emVybGFu
ZC4mI3hEO0RlcGFydG1lbnQgb2YgTWVkaWNhbCBQc3ljaG9sb2d5LCBFTUdPKyBJbnN0aXR1dGUg
Zm9yIEhlYWx0aCBhbmQgQ2FyZSBSZXNlYXJjaCwgVlUgVW5pdmVyc2l0eSBNZWRpY2FsIENlbnRy
ZSwgQW1zdGVyZGFtLCBUaGUgTmV0aGVybGFuZHMuJiN4RDtEZXBhcnRtZW50IG9mIE1lZGljYWwg
UHN5Y2hvbG9neSwgQWNhZGVtaWMgTWVkaWNhbCBDZW50cmUsIEFtc3RlcmRhbSwgVGhlIE5ldGhl
cmxhbmRzLiYjeEQ7RGVwYXJ0bWVudCBvZiBQdWJsaWMgYW5kIE9jY3VwYXRpb25hbCBIZWFsdGgs
IEVNR08rIEluc3RpdHV0ZSBmb3IgSGVhbHRoIGFuZCBDYXJlIFJlc2VhcmNoLCBWVSBVbml2ZXJz
aXR5IE1lZGljYWwgQ2VudHJlLCBBbXN0ZXJkYW0sIFRoZSBOZXRoZXJsYW5kczsgYW5kLiYjeEQ7
SW5zdGl0dXRlIG9mIFNwb3J0IFNjaWVuY2UsIFVuaXZlcnNpdHkgb2YgR3JheiwgR3JheiwgQXVz
dHJpYS48L2F1dGgtYWRkcmVzcz48dGl0bGVzPjx0aXRsZT5FZmZlY3Qgb2YgUGh5c2ljYWwgQWN0
aXZpdHkgYW5kL29yIEhlYWx0aHkgRWF0aW5nIG9uIEdETSBSaXNrOiBUaGUgREFMSSBMaWZlc3R5
bGUgU3R1ZHk8L3RpdGxlPjxzZWNvbmRhcnktdGl0bGU+SiBDbGluIEVuZG9jcmlub2wgTWV0YWI8
L3NlY29uZGFyeS10aXRsZT48L3RpdGxlcz48cGVyaW9kaWNhbD48ZnVsbC10aXRsZT5KIENsaW4g
RW5kb2NyaW5vbCBNZXRhYjwvZnVsbC10aXRsZT48L3BlcmlvZGljYWw+PHBhZ2VzPjkwMy05MTM8
L3BhZ2VzPjx2b2x1bWU+MTAyPC92b2x1bWU+PG51bWJlcj4zPC9udW1iZXI+PGVkaXRpb24+MjAx
Ni8xMi8xMDwvZWRpdGlvbj48ZGF0ZXM+PHllYXI+MjAxNzwveWVhcj48cHViLWRhdGVzPjxkYXRl
Pk1hciAxPC9kYXRlPjwvcHViLWRhdGVzPjwvZGF0ZXM+PGlzYm4+MTk0NS03MTk3IChFbGVjdHJv
bmljKSYjeEQ7MDAyMS05NzJYIChMaW5raW5nKTwvaXNibj48YWNjZXNzaW9uLW51bT4yNzkzNTc2
NzwvYWNjZXNzaW9uLW51bT48dXJscz48cmVsYXRlZC11cmxzPjx1cmw+aHR0cHM6Ly93d3cubmNi
aS5ubG0ubmloLmdvdi9wdWJtZWQvMjc5MzU3Njc8L3VybD48L3JlbGF0ZWQtdXJscz48L3VybHM+
PGN1c3RvbTI+UE1DNTQ2MDY4ODwvY3VzdG9tMj48ZWxlY3Ryb25pYy1yZXNvdXJjZS1udW0+MTAu
MTIxMC9qYy4yMDE2LTM0NTU8L2VsZWN0cm9uaWMtcmVzb3VyY2UtbnVtPjwvcmVjb3JkPjwvQ2l0
ZT48Q2l0ZT48QXV0aG9yPlZhbiBIb3JuPC9BdXRob3I+PFllYXI+MjAxODwvWWVhcj48UmVjTnVt
PjEzNzY8L1JlY051bT48cmVjb3JkPjxyZWMtbnVtYmVyPjEzNzY8L3JlYy1udW1iZXI+PGZvcmVp
Z24ta2V5cz48a2V5IGFwcD0iRU4iIGRiLWlkPSJleHZhc3JmeDJkdHJhb2VzYXN4cDJzenN4YTJk
ZjUwMjU5MngiIHRpbWVzdGFtcD0iMTU2NzAzNTk4NyI+MTM3Njwva2V5PjxrZXkgYXBwPSJFTldl
YiIgZGItaWQ9IiI+MDwva2V5PjwvZm9yZWlnbi1rZXlzPjxyZWYtdHlwZSBuYW1lPSJKb3VybmFs
IEFydGljbGUiPjE3PC9yZWYtdHlwZT48Y29udHJpYnV0b3JzPjxhdXRob3JzPjxhdXRob3I+VmFu
IEhvcm4sIEwuPC9hdXRob3I+PGF1dGhvcj5QZWFjZW1hbiwgQS48L2F1dGhvcj48YXV0aG9yPkt3
YXNueSwgTS48L2F1dGhvcj48YXV0aG9yPlZpbmNlbnQsIEUuPC9hdXRob3I+PGF1dGhvcj5Gb3Vn
aHQsIEEuPC9hdXRob3I+PGF1dGhvcj5Kb3NlZnNvbiwgSi48L2F1dGhvcj48YXV0aG9yPlNwcmlu
ZywgQi48L2F1dGhvcj48YXV0aG9yPk5lZmYsIEwuIE0uPC9hdXRob3I+PGF1dGhvcj5HZXJuaG9m
ZXIsIE4uPC9hdXRob3I+PC9hdXRob3JzPjwvY29udHJpYnV0b3JzPjxhdXRoLWFkZHJlc3M+RGVw
YXJ0bWVudCBvZiBQcmV2ZW50aXZlIE1lZGljaW5lLCBOb3J0aHdlc3Rlcm4gVW5pdmVyc2l0eSBG
ZWluYmVyZyBTY2hvb2wgb2YgTWVkaWNpbmUsIENoaWNhZ28sIElsbGlub2lzLiBFbGVjdHJvbmlj
IGFkZHJlc3M6IGx2YW5ob3JuQG5vcnRod2VzdGVybi5lZHUuJiN4RDtEZXBhcnRtZW50IG9mIE9i
c3RldHJpY3MgYW5kIEd5bmVjb2xvZ3ksIE5vcnRod2VzdGVybiBVbml2ZXJzaXR5IEZlaW5iZXJn
IFNjaG9vbCBvZiBNZWRpY2luZSwgQ2hpY2FnbywgSWxsaW5vaXMuJiN4RDtEZXBhcnRtZW50IG9m
IFByZXZlbnRpdmUgTWVkaWNpbmUsIE5vcnRod2VzdGVybiBVbml2ZXJzaXR5IEZlaW5iZXJnIFNj
aG9vbCBvZiBNZWRpY2luZSwgQ2hpY2FnbywgSWxsaW5vaXMuJiN4RDtEZXBhcnRtZW50IG9mIFBy
ZXZlbnRpdmUgTWVkaWNpbmUsIE5vcnRod2VzdGVybiBVbml2ZXJzaXR5IEZlaW5iZXJnIFNjaG9v
bCBvZiBNZWRpY2luZSwgQ2hpY2FnbywgSWxsaW5vaXM7IEFubiBhbmQgUm9iZXJ0IEguIEx1cmll
IENoaWxkcmVuJmFwb3M7cyBIb3NwaXRhbCBvZiBDaGljYWdvLCBDaGljYWdvLCBJbGxpbm9pcy4m
I3hEO0RlcGFydG1lbnQgb2YgTWVkaWNpbmUsIE5vcnRod2VzdGVybiBVbml2ZXJzaXR5IEZlaW5i
ZXJnIFNjaG9vbCBvZiBNZWRpY2luZSwgQ2hpY2FnbywgSWxsaW5vaXMuPC9hdXRoLWFkZHJlc3M+
PHRpdGxlcz48dGl0bGU+RGlldGFyeSBBcHByb2FjaGVzIHRvIFN0b3AgSHlwZXJ0ZW5zaW9uIERp
ZXQgYW5kIEFjdGl2aXR5IHRvIExpbWl0IEdlc3RhdGlvbmFsIFdlaWdodDogTWF0ZXJuYWwgT2Zm
c3ByaW5nIE1ldGFib2xpY3MgRmFtaWx5IEludGVydmVudGlvbiBUcmlhbCwgYSBUZWNobm9sb2d5
IEVuaGFuY2VkIFJhbmRvbWl6ZWQgVHJpYWw8L3RpdGxlPjxzZWNvbmRhcnktdGl0bGU+QW0gSiBQ
cmV2IE1lZDwvc2Vjb25kYXJ5LXRpdGxlPjwvdGl0bGVzPjxwZXJpb2RpY2FsPjxmdWxsLXRpdGxl
PkFtIEogUHJldiBNZWQ8L2Z1bGwtdGl0bGU+PC9wZXJpb2RpY2FsPjxwYWdlcz42MDMtNjE0PC9w
YWdlcz48dm9sdW1lPjU1PC92b2x1bWU+PG51bWJlcj41PC9udW1iZXI+PGVkaXRpb24+MjAxOC8w
OS8yOTwvZWRpdGlvbj48ZGF0ZXM+PHllYXI+MjAxODwveWVhcj48cHViLWRhdGVzPjxkYXRlPk5v
djwvZGF0ZT48L3B1Yi1kYXRlcz48L2RhdGVzPjxpc2JuPjE4NzMtMjYwNyAoRWxlY3Ryb25pYykm
I3hEOzA3NDktMzc5NyAoTGlua2luZyk8L2lzYm4+PGFjY2Vzc2lvbi1udW0+MzAyNjIxNDg8L2Fj
Y2Vzc2lvbi1udW0+PHVybHM+PHJlbGF0ZWQtdXJscz48dXJsPmh0dHBzOi8vd3d3Lm5jYmkubmxt
Lm5paC5nb3YvcHVibWVkLzMwMjYyMTQ4PC91cmw+PC9yZWxhdGVkLXVybHM+PC91cmxzPjxlbGVj
dHJvbmljLXJlc291cmNlLW51bT4xMC4xMDE2L2ouYW1lcHJlLjIwMTguMDYuMDE1PC9lbGVjdHJv
bmljLXJlc291cmNlLW51bT48L3JlY29yZD48L0NpdGU+PENpdGU+PEF1dGhvcj5UcmFrLUZlbGxl
cm1laWVyPC9BdXRob3I+PFllYXI+MjAxOTwvWWVhcj48UmVjTnVtPjE5MjE8L1JlY051bT48cmVj
b3JkPjxyZWMtbnVtYmVyPjE5MjE8L3JlYy1udW1iZXI+PGZvcmVpZ24ta2V5cz48a2V5IGFwcD0i
RU4iIGRiLWlkPSJleHZhc3JmeDJkdHJhb2VzYXN4cDJzenN4YTJkZjUwMjU5MngiIHRpbWVzdGFt
cD0iMTU4ODU1NjU5NSI+MTkyMTwva2V5PjxrZXkgYXBwPSJFTldlYiIgZGItaWQ9IiI+MDwva2V5
PjwvZm9yZWlnbi1rZXlzPjxyZWYtdHlwZSBuYW1lPSJKb3VybmFsIEFydGljbGUiPjE3PC9yZWYt
dHlwZT48Y29udHJpYnV0b3JzPjxhdXRob3JzPjxhdXRob3I+VHJhay1GZWxsZXJtZWllciwgTS4g
QS48L2F1dGhvcj48YXV0aG9yPkNhbXBvcywgTS48L2F1dGhvcj48YXV0aG9yPk1lbGVuZGV6LCBN
LjwvYXV0aG9yPjxhdXRob3I+UG9tZXJveSwgSi48L2F1dGhvcj48YXV0aG9yPlBhbGFjaW9zLCBD
LjwvYXV0aG9yPjxhdXRob3I+Uml2ZXJhLVZpbmFzLCBKLjwvYXV0aG9yPjxhdXRob3I+TWVuZGV6
LCBLLjwvYXV0aG9yPjxhdXRob3I+RmVibywgSS48L2F1dGhvcj48YXV0aG9yPldpbGxldHQsIFcu
PC9hdXRob3I+PGF1dGhvcj5HaWxsbWFuLCBNLiBXLjwvYXV0aG9yPjxhdXRob3I+RnJhbmtzLCBQ
LiBXLjwvYXV0aG9yPjxhdXRob3I+Sm9zaGlwdXJhLCBLLjwvYXV0aG9yPjwvYXV0aG9ycz48L2Nv
bnRyaWJ1dG9ycz48YXV0aC1hZGRyZXNzPkNlbnRlciBmb3IgQ2xpbmljYWwgUmVzZWFyY2ggYW5k
IEhlYWx0aCBQcm9tb3Rpb24sIFNjaG9vbCBvZiBEZW50YWwgTWVkaWNpbmUsIE1lZGljYWwgU2Np
ZW5jZXMgQ2FtcHVzLCBVbml2ZXJzaXR5IG9mIFB1ZXJ0byBSaWNvLCBTYW4gSnVhbiwgUFIsIFVT
QSwga2F1bXVkaS5qb3NoaXB1cmFAdXByLmVkdS4mI3hEO0NsaW5pY2FsIFJlc2VhcmNoIENlbnRl
ciwgTWFyc2hmaWVsZCBDbGluaWMgUmVzZWFyY2ggSW5zdGl0dXRlLCBNYXJzaGZpZWxkIENsaW5p
YyBIZWFsdGggU3lzdGVtLCBNYXJzaGZpZWxkLCBXSSwgVVNBLiYjeEQ7RGVwYXJ0bWVudCBvZiBE
aWV0ZXRpY3MgYW5kIE51dHJpdGlvbiwgUm9iZXJ0IFN0ZW1wZWwgQ29sbGVnZSBvZiBQdWJsaWMg
SGVhbHRoICZhbXA7IFNvY2lhbCBXb3JrLCBGbG9yaWRhIEludGVybmF0aW9uYWwgVW5pdmVyc2l0
eSwgTWlhbWksIEZMLCBVU0EuJiN4RDtEZXBhcnRtZW50IG9mIE9ic3RldHJpY3MgYW5kIEd5bmVj
b2xvZ3ksIFNjaG9vbCBvZiBNZWRpY2luZSwgTWVkaWNhbCBTY2llbmNlcyBDYW1wdXMsIFVuaXZl
cnNpdHkgb2YgUHVlcnRvIFJpY28sIFNhbiBKdWFuLCBQUiwgVVNBLiYjeEQ7RGVwYXJ0bWVudCBv
ZiBQZWRpYXRyaWNzLCBTY2hvb2wgb2YgTWVkaWNpbmUsIE1lZGljYWwgU2NpZW5jZXMgQ2FtcHVz
LCBVbml2ZXJzaXR5IG9mIFB1ZXJ0byBSaWNvLCBTYW4gSnVhbiwgUFIsIFVTQS4mI3hEO0RlcGFy
dG1lbnQgb2YgTnV0cml0aW9uLCBIYXJ2YXJkIFQuSC4gQ2hhbiBTY2hvb2wgb2YgUHVibGljIEhl
YWx0aCwgSGFydmFyZCBVbml2ZXJzaXR5LCBCb3N0b24sIE1BLCBVU0EuJiN4RDtEaXZpc2lvbiBv
ZiBDaHJvbmljIERpc2Vhc2UgUmVzZWFyY2ggQWNyb3NzIHRoZSBMaWZlIENvdXJzZSwgRGVwYXJ0
bWVudCBvZiBQb3B1bGF0aW9uIE1lZGljaW5lLCBIYXJ2YXJkIE1lZGljYWwgU2Nob29sIGFuZCBI
YXJ2YXJkIFBpbGdyaW0gSGVhbHRoIENhcmUgSW5zdGl0dXRlLCBCb3N0b24sIE1BLiYjeEQ7RGVw
YXJ0bWVudCBvZiBDbGluaWNhbCBTY2llbmNlcywgR2VuZXRpYyBhbmQgTW9sZWN1bGFyIEVwaWRl
bWlvbG9neSBVbml0LCBMdW5kIFVuaXZlcnNpdHksIFNrYW5lIFVuaXZlcnNpdHkgSG9zcGl0YWws
IE1hbG1vLCBTd2VkZW4uJiN4RDtEZXBhcnRtZW50IG9mIEVwaWRlbWlvbG9neSwgSGFydmFyZCBU
LkguIENoYW4gUHVibGljIEhlYWx0aCBTY2hvb2wsIEhhcnZhcmQgVW5pdmVyc2l0eSwgQm9zdG9u
LCBNQSwgVVNBLCBrYXVtdWRpLmpvc2hpcHVyYUB1cHIuZWR1LjwvYXV0aC1hZGRyZXNzPjx0aXRs
ZXM+PHRpdGxlPlBFQVJMUyByYW5kb21pemVkIGxpZmVzdHlsZSB0cmlhbCBpbiBwcmVnbmFudCBI
aXNwYW5pYyB3b21lbiB3aXRoIG92ZXJ3ZWlnaHQvb2Jlc2l0eTogZ2VzdGF0aW9uYWwgd2VpZ2h0
IGdhaW4gYW5kIG9mZnNwcmluZyBiaXJ0aHdlaWdodDwvdGl0bGU+PHNlY29uZGFyeS10aXRsZT5E
aWFiZXRlcyBNZXRhYiBTeW5kciBPYmVzPC9zZWNvbmRhcnktdGl0bGU+PC90aXRsZXM+PHBlcmlv
ZGljYWw+PGZ1bGwtdGl0bGU+RGlhYmV0ZXMgTWV0YWIgU3luZHIgT2JlczwvZnVsbC10aXRsZT48
L3BlcmlvZGljYWw+PHBhZ2VzPjIyNS0yMzg8L3BhZ2VzPjx2b2x1bWU+MTI8L3ZvbHVtZT48ZWRp
dGlvbj4yMDE5LzAzLzEzPC9lZGl0aW9uPjxrZXl3b3Jkcz48a2V5d29yZD5iaXJ0aHdlaWdodDwv
a2V5d29yZD48a2V5d29yZD5nZXN0YXRpb25hbCB3ZWlnaHQgZ2Fpbjwva2V5d29yZD48a2V5d29y
ZD5pbnRlcnZlbnRpb248L2tleXdvcmQ+PGtleXdvcmQ+bGlmZXN0eWxlIG1vZGlmaWNhdGlvbjwv
a2V5d29yZD48a2V5d29yZD5uZW9uYXRhbDwva2V5d29yZD48a2V5d29yZD5vYmVzZTwva2V5d29y
ZD48a2V5d29yZD5vdmVyd2VpZ2h0PC9rZXl3b3JkPjxrZXl3b3JkPnByZWduYW5jeTwva2V5d29y
ZD48a2V5d29yZD5yYW5kb21pemVkIGNvbnRyb2xsZWQgdHJpYWw8L2tleXdvcmQ+PGtleXdvcmQ+
SGVhbHRoIE91dGNvbWVzIChFQ0hPKSBQcm9ncmFtLCBPZmZpY2Ugb2YgdGhlIERpcmVjdG9yLCBO
YXRpb25hbCBJbnN0aXR1dGVzIG9mPC9rZXl3b3JkPjxrZXl3b3JkPkhlYWx0aCAoVGhlIHZpZXdz
IGV4cHJlc3NlZCBpbiB0aGlzIGFydGljbGUgZG8gbm90IG5lY2Vzc2FyaWx5IHJlcHJlc2VudCB0
aGU8L2tleXdvcmQ+PGtleXdvcmQ+dmlld3Mgb2YgdGhlIFVTIEdvdmVybm1lbnQsIHRoZSBEZXBh
cnRtZW50IG9mIEhlYWx0aCBhbmQgSHVtYW4gU2VydmljZXMgb3IgdGhlPC9rZXl3b3JkPjxrZXl3
b3JkPk5hdGlvbmFsIEluc3RpdHV0ZXMgb2YgSGVhbHRoKS4gVGhlIGF1dGhvcnMgcmVwb3J0IG5v
IG90aGVyIGNvbmZsaWN0cyBvZiBpbnRlcmVzdDwva2V5d29yZD48a2V5d29yZD5pbiB0aGlzIHdv
cmsuPC9rZXl3b3JkPjwva2V5d29yZHM+PGRhdGVzPjx5ZWFyPjIwMTk8L3llYXI+PC9kYXRlcz48
aXNibj4xMTc4LTcwMDcgKFByaW50KSYjeEQ7MTE3OC03MDA3IChMaW5raW5nKTwvaXNibj48YWNj
ZXNzaW9uLW51bT4zMDg1ODcxNTwvYWNjZXNzaW9uLW51bT48dXJscz48cmVsYXRlZC11cmxzPjx1
cmw+aHR0cHM6Ly93d3cubmNiaS5ubG0ubmloLmdvdi9wdWJtZWQvMzA4NTg3MTU8L3VybD48L3Jl
bGF0ZWQtdXJscz48L3VybHM+PGN1c3RvbTI+UE1DNjM4NTc0MzwvY3VzdG9tMj48ZWxlY3Ryb25p
Yy1yZXNvdXJjZS1udW0+MTAuMjE0Ny9ETVNPLlMxNzkwMDk8L2VsZWN0cm9uaWMtcmVzb3VyY2Ut
bnVtPjwvcmVjb3JkPjwvQ2l0ZT48Q2l0ZT48QXV0aG9yPkRvZGQ8L0F1dGhvcj48WWVhcj4yMDE5
PC9ZZWFyPjxSZWNOdW0+MTkyMjwvUmVjTnVtPjxyZWNvcmQ+PHJlYy1udW1iZXI+MTkyMjwvcmVj
LW51bWJlcj48Zm9yZWlnbi1rZXlzPjxrZXkgYXBwPSJFTiIgZGItaWQ9ImV4dmFzcmZ4MmR0cmFv
ZXNhc3hwMnN6c3hhMmRmNTAyNTkyeCIgdGltZXN0YW1wPSIxNTg4NTYwMzY4Ij4xOTIyPC9rZXk+
PGtleSBhcHA9IkVOV2ViIiBkYi1pZD0iIj4wPC9rZXk+PC9mb3JlaWduLWtleXM+PHJlZi10eXBl
IG5hbWU9IkpvdXJuYWwgQXJ0aWNsZSI+MTc8L3JlZi10eXBlPjxjb250cmlidXRvcnM+PGF1dGhv
cnM+PGF1dGhvcj5Eb2RkLCBKLiBNLjwvYXV0aG9yPjxhdXRob3I+RGV1c3NlbiwgQS4gUi48L2F1
dGhvcj48YXV0aG9yPkxvdWlzZSwgSi48L2F1dGhvcj48L2F1dGhvcnM+PC9jb250cmlidXRvcnM+
PGF1dGgtYWRkcmVzcz5EaXNjaXBsaW5lIG9mIE9ic3RldHJpY3MgJmFtcDsgR3luYWVjb2xvZ3ks
IGFuZCBSb2JpbnNvbiBSZXNlYXJjaCBJbnN0aXR1dGUsIFRoZSBVbml2ZXJzaXR5IG9mIEFkZWxh
aWRlLCBBZGVsYWlkZSwgU0EgNTAwNiwgQXVzdHJhbGlhLiYjeEQ7RGVwYXJ0bWVudCBvZiBQZXJp
bmF0YWwgTWVkaWNpbmUgV29tZW4mYXBvcztzIGFuZCBDaGlsZHJlbiZhcG9zO3MgSG9zcGl0YWws
IE5vcnRoIEFkZWxhaWRlLCBBZGVsYWlkZSwgU0EgNTAwNiwgQXVzdHJhbGlhLjwvYXV0aC1hZGRy
ZXNzPjx0aXRsZXM+PHRpdGxlPkEgcmFuZG9taXNlZCB0cmlhbCB0byBvcHRpbWlzZSBnZXN0YXRp
b25hbCB3ZWlnaHQgZ2FpbiBhbmQgaW1wcm92ZSBtYXRlcm5hbCBhbmQgaW5mYW50IGhlYWx0aCBv
dXRjb21lcyB0aHJvdWdoIGFudGVuYXRhbCBkaWV0YXJ5LCBsaWZlc3R5bGUgYW5kIGV4ZXJjaXNl
IGFkdmljZTogVGhlIE9QVElNSVNFIHJhbmRvbWlzZWQgdHJpYWw8L3RpdGxlPjxzZWNvbmRhcnkt
dGl0bGU+TnV0cmllbnRzPC9zZWNvbmRhcnktdGl0bGU+PC90aXRsZXM+PHBlcmlvZGljYWw+PGZ1
bGwtdGl0bGU+TnV0cmllbnRzPC9mdWxsLXRpdGxlPjwvcGVyaW9kaWNhbD48dm9sdW1lPjExPC92
b2x1bWU+PG51bWJlcj4xMjwvbnVtYmVyPjxlZGl0aW9uPjIwMTkvMTIvMDg8L2VkaXRpb24+PGtl
eXdvcmRzPjxrZXl3b3JkPmRpZXRhcnkgYW5kIGxpZmVzdHlsZSBpbnRlcnZlbnRpb248L2tleXdv
cmQ+PGtleXdvcmQ+Z2VzdGF0aW9uYWwgd2VpZ2h0IGdhaW48L2tleXdvcmQ+PGtleXdvcmQ+cmFu
ZG9taXNlZCBjb250cm9sbGVkIHRyaWFsPC9rZXl3b3JkPjwva2V5d29yZHM+PGRhdGVzPjx5ZWFy
PjIwMTk8L3llYXI+PHB1Yi1kYXRlcz48ZGF0ZT5EZWMgMjwvZGF0ZT48L3B1Yi1kYXRlcz48L2Rh
dGVzPjxpc2JuPjIwNzItNjY0MyAoRWxlY3Ryb25pYykmI3hEOzIwNzItNjY0MyAoTGlua2luZyk8
L2lzYm4+PGFjY2Vzc2lvbi1udW0+MzE4MTAyMTc8L2FjY2Vzc2lvbi1udW0+PHVybHM+PHJlbGF0
ZWQtdXJscz48dXJsPmh0dHBzOi8vd3d3Lm5jYmkubmxtLm5paC5nb3YvcHVibWVkLzMxODEwMjE3
PC91cmw+PC9yZWxhdGVkLXVybHM+PC91cmxzPjxjdXN0b20yPlBNQzY5NDk5MzE8L2N1c3RvbTI+
PGVsZWN0cm9uaWMtcmVzb3VyY2UtbnVtPjEwLjMzOTAvbnUxMTEyMjkxMTwvZWxlY3Ryb25pYy1y
ZXNvdXJjZS1udW0+PC9yZWNvcmQ+PC9DaXRlPjxDaXRlPjxBdXRob3I+QnVja2luZ2hhbS1TY2h1
dHQ8L0F1dGhvcj48WWVhcj4yMDE5PC9ZZWFyPjxSZWNOdW0+MTkyNjwvUmVjTnVtPjxyZWNvcmQ+
PHJlYy1udW1iZXI+MTkyNjwvcmVjLW51bWJlcj48Zm9yZWlnbi1rZXlzPjxrZXkgYXBwPSJFTiIg
ZGItaWQ9ImV4dmFzcmZ4MmR0cmFvZXNhc3hwMnN6c3hhMmRmNTAyNTkyeCIgdGltZXN0YW1wPSIx
NTg4NTcwNjI1Ij4xOTI2PC9rZXk+PC9mb3JlaWduLWtleXM+PHJlZi10eXBlIG5hbWU9IkpvdXJu
YWwgQXJ0aWNsZSI+MTc8L3JlZi10eXBlPjxjb250cmlidXRvcnM+PGF1dGhvcnM+PGF1dGhvcj5C
dWNraW5naGFtLVNjaHV0dCwgTC4gTS48L2F1dGhvcj48YXV0aG9yPkVsbGluZ3NvbiwgTC4gRC48
L2F1dGhvcj48YXV0aG9yPlZhem91LCBTLjwvYXV0aG9yPjxhdXRob3I+Q2FtcGJlbGwsIEMuIEcu
PC9hdXRob3I+PC9hdXRob3JzPjwvY29udHJpYnV0b3JzPjxhdXRoLWFkZHJlc3M+VGhlIEhhcmtp
biBJbnN0aXR1dGUsIERyYWtlIFVuaXZlcnNpdHksIERlcyBNb2luZXMsIElBLiYjeEQ7S2luZXNp
b2xvZ3kgRGVwYXJ0bWVudCwgSW93YSBTdGF0ZSBVbml2ZXJzaXR5LCBBbWVzLCBJQS4mI3hEO0Zv
b2QgU2NpZW5jZSBhbmQgSHVtYW4gTnV0cml0aW9uIERlcGFydG1lbnQuPC9hdXRoLWFkZHJlc3M+
PHRpdGxlcz48dGl0bGU+VGhlIEJlaGF2aW9yYWwgV2VsbG5lc3MgaW4gUHJlZ25hbmN5IHN0dWR5
OiBhIHJhbmRvbWl6ZWQgY29udHJvbGxlZCB0cmlhbCBvZiBhIG11bHRpLWNvbXBvbmVudCBpbnRl
cnZlbnRpb24gdG8gcHJvbW90ZSBhcHByb3ByaWF0ZSB3ZWlnaHQgZ2FpbjwvdGl0bGU+PHNlY29u
ZGFyeS10aXRsZT5BbSBKIENsaW4gTnV0cjwvc2Vjb25kYXJ5LXRpdGxlPjwvdGl0bGVzPjxwZXJp
b2RpY2FsPjxmdWxsLXRpdGxlPkFtIEogQ2xpbiBOdXRyPC9mdWxsLXRpdGxlPjwvcGVyaW9kaWNh
bD48cGFnZXM+MTA3MS0xMDc5PC9wYWdlcz48dm9sdW1lPjEwOTwvdm9sdW1lPjxudW1iZXI+NDwv
bnVtYmVyPjxlZGl0aW9uPjIwMTkvMDQvMDY8L2VkaXRpb24+PGtleXdvcmRzPjxrZXl3b3JkPkFk
dWx0PC9rZXl3b3JkPjxrZXl3b3JkPkRpZXQvKnBzeWNob2xvZ3k8L2tleXdvcmQ+PGtleXdvcmQ+
RXhlcmNpc2U8L2tleXdvcmQ+PGtleXdvcmQ+RmVlZGluZyBCZWhhdmlvcjwva2V5d29yZD48a2V5
d29yZD5GZW1hbGU8L2tleXdvcmQ+PGtleXdvcmQ+Kkdlc3RhdGlvbmFsIFdlaWdodCBHYWluPC9r
ZXl3b3JkPjxrZXl3b3JkPkh1bWFuczwva2V5d29yZD48a2V5d29yZD5MaWZlIFN0eWxlPC9rZXl3
b3JkPjxrZXl3b3JkPk1hdGVybmFsIEJlaGF2aW9yPC9rZXl3b3JkPjxrZXl3b3JkPlBvc3RwYXJ0
dW0gUGVyaW9kL21ldGFib2xpc20vcHN5Y2hvbG9neTwva2V5d29yZD48a2V5d29yZD5QcmVnbmFu
Y3kvbWV0YWJvbGlzbS8qcHN5Y2hvbG9neTwva2V5d29yZD48a2V5d29yZD5QcmVuYXRhbCBDYXJl
Lypwc3ljaG9sb2d5PC9rZXl3b3JkPjxrZXl3b3JkPlByZW5hdGFsIE51dHJpdGlvbmFsIFBoeXNp
b2xvZ2ljYWwgUGhlbm9tZW5hPC9rZXl3b3JkPjxrZXl3b3JkPllvdW5nIEFkdWx0PC9rZXl3b3Jk
PjxrZXl3b3JkPiptdWx0aS1jb21wb25lbnQgaW50ZXJ2ZW50aW9uPC9rZXl3b3JkPjxrZXl3b3Jk
PipudXRyaXRpb248L2tleXdvcmQ+PGtleXdvcmQ+KnBoeXNpY2FsIGFjdGl2aXR5PC9rZXl3b3Jk
PjxrZXl3b3JkPipwcmVnbmFuY3k8L2tleXdvcmQ+PC9rZXl3b3Jkcz48ZGF0ZXM+PHllYXI+MjAx
OTwveWVhcj48cHViLWRhdGVzPjxkYXRlPkFwciAxPC9kYXRlPjwvcHViLWRhdGVzPjwvZGF0ZXM+
PGlzYm4+MTkzOC0zMjA3IChFbGVjdHJvbmljKSYjeEQ7MDAwMi05MTY1IChMaW5raW5nKTwvaXNi
bj48YWNjZXNzaW9uLW51bT4zMDk0OTY5MTwvYWNjZXNzaW9uLW51bT48dXJscz48cmVsYXRlZC11
cmxzPjx1cmw+aHR0cHM6Ly93d3cubmNiaS5ubG0ubmloLmdvdi9wdWJtZWQvMzA5NDk2OTE8L3Vy
bD48L3JlbGF0ZWQtdXJscz48L3VybHM+PGVsZWN0cm9uaWMtcmVzb3VyY2UtbnVtPjEwLjEwOTMv
YWpjbi9ucXkzNTk8L2VsZWN0cm9uaWMtcmVzb3VyY2UtbnVtPjwvcmVjb3JkPjwvQ2l0ZT48L0Vu
ZE5vdGU+AG==
</w:fldData>
        </w:fldChar>
      </w:r>
      <w:r w:rsidR="002747EA">
        <w:instrText xml:space="preserve"> ADDIN EN.CITE.DATA </w:instrText>
      </w:r>
      <w:r w:rsidR="002747EA">
        <w:fldChar w:fldCharType="end"/>
      </w:r>
      <w:r>
        <w:fldChar w:fldCharType="separate"/>
      </w:r>
      <w:r w:rsidR="002747EA" w:rsidRPr="002747EA">
        <w:rPr>
          <w:noProof/>
          <w:vertAlign w:val="superscript"/>
        </w:rPr>
        <w:t>402,483,484,496,503,505,509,519,521</w:t>
      </w:r>
      <w:r>
        <w:fldChar w:fldCharType="end"/>
      </w:r>
    </w:p>
    <w:p w14:paraId="1CF0647B" w14:textId="77777777" w:rsidR="00A5540F" w:rsidRDefault="00A5540F" w:rsidP="00A5540F">
      <w:r>
        <w:t xml:space="preserve">Not all studies provided detail on the diet promoted through the intervention. </w:t>
      </w:r>
    </w:p>
    <w:p w14:paraId="4D4B770F" w14:textId="77777777" w:rsidR="00A5540F" w:rsidRDefault="00A5540F" w:rsidP="00A5540F">
      <w:pPr>
        <w:pStyle w:val="Heading5"/>
      </w:pPr>
      <w:r>
        <w:t>Exercise component</w:t>
      </w:r>
    </w:p>
    <w:p w14:paraId="63235303" w14:textId="4C04809B" w:rsidR="00A5540F" w:rsidRDefault="00A5540F" w:rsidP="00A5540F">
      <w:r>
        <w:t>Six studies included supervised exercise programs, which ranged from 60 minutes of moderate intensity exercises twice weekly</w:t>
      </w:r>
      <w:r>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instrText xml:space="preserve"> ADDIN EN.CITE </w:instrText>
      </w:r>
      <w:r w:rsidR="002747EA">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487</w:t>
      </w:r>
      <w:r>
        <w:fldChar w:fldCharType="end"/>
      </w:r>
      <w:r>
        <w:t xml:space="preserve"> to weekly sessions of 60-90 minutes,</w:t>
      </w:r>
      <w:r>
        <w:rPr>
          <w:sz w:val="16"/>
          <w:szCs w:val="16"/>
        </w:rPr>
        <w:fldChar w:fldCharType="begin"/>
      </w:r>
      <w:r w:rsidR="002747EA">
        <w:rPr>
          <w:sz w:val="16"/>
          <w:szCs w:val="16"/>
        </w:rPr>
        <w:instrText xml:space="preserve"> ADDIN EN.CITE &lt;EndNote&gt;&lt;Cite&gt;&lt;Author&gt;Pawalia&lt;/Author&gt;&lt;Year&gt;2017&lt;/Year&gt;&lt;RecNum&gt;750&lt;/RecNum&gt;&lt;DisplayText&gt;&lt;style face="superscript" font="Trebuchet MS" size="9"&gt;493&lt;/style&gt;&lt;/DisplayText&gt;&lt;record&gt;&lt;rec-number&gt;750&lt;/rec-number&gt;&lt;foreign-keys&gt;&lt;key app="EN" db-id="exvasrfx2dtraoesasxp2szsxa2df502592x" timestamp="1541467919"&gt;750&lt;/key&gt;&lt;key app="ENWeb" db-id=""&gt;0&lt;/key&gt;&lt;/foreign-keys&gt;&lt;ref-type name="Journal Article"&gt;17&lt;/ref-type&gt;&lt;contributors&gt;&lt;authors&gt;&lt;author&gt;Pawalia, Alka&lt;/author&gt;&lt;author&gt;Kulandaivelan, Sivachidambaram&lt;/author&gt;&lt;author&gt;Savant, Satya&lt;/author&gt;&lt;author&gt;Yadav, Vikram Singh&lt;/author&gt;&lt;/authors&gt;&lt;/contributors&gt;&lt;titles&gt;&lt;title&gt;Exercise in Pregnancy: Effect on Obesity Parameters in Indian Women – A Randomized Controlled Trial&lt;/title&gt;&lt;secondary-title&gt;Romanian Journal of Diabetes Nutrition and Metabolic Diseases&lt;/secondary-title&gt;&lt;/titles&gt;&lt;periodical&gt;&lt;full-title&gt;Romanian Journal of Diabetes Nutrition and Metabolic Diseases&lt;/full-title&gt;&lt;/periodical&gt;&lt;volume&gt;24&lt;/volume&gt;&lt;number&gt;4&lt;/number&gt;&lt;dates&gt;&lt;year&gt;2017&lt;/year&gt;&lt;/dates&gt;&lt;isbn&gt;2284-6417&lt;/isbn&gt;&lt;urls&gt;&lt;/urls&gt;&lt;electronic-resource-num&gt;10.1515/rjdnmd-2017-0037&lt;/electronic-resource-num&gt;&lt;/record&gt;&lt;/Cite&gt;&lt;/EndNote&gt;</w:instrText>
      </w:r>
      <w:r>
        <w:rPr>
          <w:sz w:val="16"/>
          <w:szCs w:val="16"/>
        </w:rPr>
        <w:fldChar w:fldCharType="separate"/>
      </w:r>
      <w:r w:rsidR="002747EA" w:rsidRPr="002747EA">
        <w:rPr>
          <w:noProof/>
          <w:szCs w:val="16"/>
          <w:vertAlign w:val="superscript"/>
        </w:rPr>
        <w:t>493</w:t>
      </w:r>
      <w:r>
        <w:rPr>
          <w:sz w:val="16"/>
          <w:szCs w:val="16"/>
        </w:rPr>
        <w:fldChar w:fldCharType="end"/>
      </w:r>
      <w:r>
        <w:rPr>
          <w:sz w:val="16"/>
          <w:szCs w:val="16"/>
        </w:rPr>
        <w:t xml:space="preserve"> </w:t>
      </w:r>
      <w:r w:rsidRPr="00F75AAE">
        <w:t>60 minutes</w:t>
      </w:r>
      <w:r>
        <w:fldChar w:fldCharType="begin"/>
      </w:r>
      <w:r w:rsidR="002747EA">
        <w:instrText xml:space="preserve"> ADDIN EN.CITE &lt;EndNote&gt;&lt;Cite&gt;&lt;Author&gt;Vinter&lt;/Author&gt;&lt;Year&gt;2011&lt;/Year&gt;&lt;RecNum&gt;1111&lt;/RecNum&gt;&lt;DisplayText&gt;&lt;style face="superscript" font="Trebuchet MS" size="9"&gt;515&lt;/style&gt;&lt;/DisplayText&gt;&lt;record&gt;&lt;rec-number&gt;1111&lt;/rec-number&gt;&lt;foreign-keys&gt;&lt;key app="EN" db-id="exvasrfx2dtraoesasxp2szsxa2df502592x" timestamp="1552948617"&gt;1111&lt;/key&gt;&lt;/foreign-keys&gt;&lt;ref-type name="Journal Article"&gt;17&lt;/ref-type&gt;&lt;contributors&gt;&lt;authors&gt;&lt;author&gt;Vinter, C. A.&lt;/author&gt;&lt;author&gt;Jensen, D. M.&lt;/author&gt;&lt;author&gt;Ovesen, P.&lt;/author&gt;&lt;author&gt;Beck-Nielsen, H.&lt;/author&gt;&lt;author&gt;Jorgensen, J. S.&lt;/author&gt;&lt;/authors&gt;&lt;/contributors&gt;&lt;auth-address&gt;Department of Gynecology and Obstetrics, Odense University Hospital, Odense, Denmark. c.vinter@dadlnet.dk&lt;/auth-address&gt;&lt;titles&gt;&lt;title&gt;The LiP (Lifestyle in Pregnancy) study: a randomized controlled trial of lifestyle intervention in 360 obese pregnant women&lt;/title&gt;&lt;secondary-title&gt;Diabetes Care&lt;/secondary-title&gt;&lt;/titles&gt;&lt;periodical&gt;&lt;full-title&gt;Diabetes Care&lt;/full-title&gt;&lt;/periodical&gt;&lt;pages&gt;2502-7&lt;/pages&gt;&lt;volume&gt;34&lt;/volume&gt;&lt;number&gt;12&lt;/number&gt;&lt;edition&gt;2011/10/06&lt;/edition&gt;&lt;keywords&gt;&lt;keyword&gt;Adolescent&lt;/keyword&gt;&lt;keyword&gt;Adult&lt;/keyword&gt;&lt;keyword&gt;Denmark&lt;/keyword&gt;&lt;keyword&gt;Directive Counseling&lt;/keyword&gt;&lt;keyword&gt;Female&lt;/keyword&gt;&lt;keyword&gt;Humans&lt;/keyword&gt;&lt;keyword&gt;*Life Style&lt;/keyword&gt;&lt;keyword&gt;Motor Activity&lt;/keyword&gt;&lt;keyword&gt;Obesity/diet therapy/*therapy&lt;/keyword&gt;&lt;keyword&gt;Physical Education and Training&lt;/keyword&gt;&lt;keyword&gt;Pregnancy&lt;/keyword&gt;&lt;keyword&gt;Pregnancy Complications/diet therapy/*therapy&lt;/keyword&gt;&lt;keyword&gt;Pregnancy Outcome&lt;/keyword&gt;&lt;keyword&gt;Weight Gain&lt;/keyword&gt;&lt;/keywords&gt;&lt;dates&gt;&lt;year&gt;2011&lt;/year&gt;&lt;pub-dates&gt;&lt;date&gt;Dec&lt;/date&gt;&lt;/pub-dates&gt;&lt;/dates&gt;&lt;isbn&gt;1935-5548 (Electronic)&amp;#xD;0149-5992 (Linking)&lt;/isbn&gt;&lt;accession-num&gt;21972411&lt;/accession-num&gt;&lt;urls&gt;&lt;related-urls&gt;&lt;url&gt;https://www.ncbi.nlm.nih.gov/pubmed/21972411&lt;/url&gt;&lt;/related-urls&gt;&lt;/urls&gt;&lt;custom2&gt;PMC3220844&lt;/custom2&gt;&lt;electronic-resource-num&gt;10.2337/dc11-1150&lt;/electronic-resource-num&gt;&lt;/record&gt;&lt;/Cite&gt;&lt;/EndNote&gt;</w:instrText>
      </w:r>
      <w:r>
        <w:fldChar w:fldCharType="separate"/>
      </w:r>
      <w:r w:rsidR="002747EA" w:rsidRPr="002747EA">
        <w:rPr>
          <w:noProof/>
          <w:vertAlign w:val="superscript"/>
        </w:rPr>
        <w:t>515</w:t>
      </w:r>
      <w:r>
        <w:fldChar w:fldCharType="end"/>
      </w:r>
      <w:r>
        <w:t xml:space="preserve"> or 45 minutes.</w:t>
      </w:r>
      <w:r>
        <w:rPr>
          <w:sz w:val="16"/>
          <w:szCs w:val="16"/>
        </w:rPr>
        <w:fldChar w:fldCharType="begin">
          <w:fldData xml:space="preserve">PEVuZE5vdGU+PENpdGU+PEF1dGhvcj5IdWk8L0F1dGhvcj48WWVhcj4yMDEyPC9ZZWFyPjxSZWNO
dW0+NzQ2PC9SZWNOdW0+PERpc3BsYXlUZXh0PjxzdHlsZSBmYWNlPSJzdXBlcnNjcmlwdCIgZm9u
dD0iVHJlYnVjaGV0IE1TIiBzaXplPSI5Ij40OTAsNDkxPC9zdHlsZT48L0Rpc3BsYXlUZXh0Pjxy
ZWNvcmQ+PHJlYy1udW1iZXI+NzQ2PC9yZWMtbnVtYmVyPjxmb3JlaWduLWtleXM+PGtleSBhcHA9
IkVOIiBkYi1pZD0iZXh2YXNyZngyZHRyYW9lc2FzeHAyc3pzeGEyZGY1MDI1OTJ4IiB0aW1lc3Rh
bXA9IjE1NDE0Njc4OTQiPjc0Njwva2V5PjxrZXkgYXBwPSJFTldlYiIgZGItaWQ9IiI+MDwva2V5
PjwvZm9yZWlnbi1rZXlzPjxyZWYtdHlwZSBuYW1lPSJKb3VybmFsIEFydGljbGUiPjE3PC9yZWYt
dHlwZT48Y29udHJpYnV0b3JzPjxhdXRob3JzPjxhdXRob3I+SHVpLCBBLjwvYXV0aG9yPjxhdXRo
b3I+QmFjaywgTC48L2F1dGhvcj48YXV0aG9yPkx1ZHdpZywgUy48L2F1dGhvcj48YXV0aG9yPkdh
cmRpbmVyLCBQLjwvYXV0aG9yPjxhdXRob3I+U2V2ZW5odXlzZW4sIEcuPC9hdXRob3I+PGF1dGhv
cj5EZWFuLCBILjwvYXV0aG9yPjxhdXRob3I+U2VsbGVycywgRS48L2F1dGhvcj48YXV0aG9yPk1j
R2F2b2NrLCBKLjwvYXV0aG9yPjxhdXRob3I+TW9ycmlzLCBNLjwvYXV0aG9yPjxhdXRob3I+QnJ1
Y2UsIFMuPC9hdXRob3I+PGF1dGhvcj5NdXJyYXksIFIuPC9hdXRob3I+PGF1dGhvcj5TaGVuLCBH
LiBYLjwvYXV0aG9yPjwvYXV0aG9ycz48L2NvbnRyaWJ1dG9ycz48YXV0aC1hZGRyZXNzPkRlcGFy
dG1lbnQgb2YgSW50ZXJuYWwgTWVkaWNpbmUsIFVuaXZlcnNpdHkgb2YgTWFuaXRvYmEsIFdpbm5p
cGVnLCBNYW5pdG9iYSwgQ2FuYWRhLjwvYXV0aC1hZGRyZXNzPjx0aXRsZXM+PHRpdGxlPkxpZmVz
dHlsZSBpbnRlcnZlbnRpb24gb24gZGlldCBhbmQgZXhlcmNpc2UgcmVkdWNlZCBleGNlc3NpdmUg
Z2VzdGF0aW9uYWwgd2VpZ2h0IGdhaW4gaW4gcHJlZ25hbnQgd29tZW4gdW5kZXIgYSByYW5kb21p
c2VkIGNvbnRyb2xsZWQgdHJpYWw8L3RpdGxlPjxzZWNvbmRhcnktdGl0bGU+QkpPRzwvc2Vjb25k
YXJ5LXRpdGxlPjwvdGl0bGVzPjxwZXJpb2RpY2FsPjxmdWxsLXRpdGxlPkJKT0c8L2Z1bGwtdGl0
bGU+PC9wZXJpb2RpY2FsPjxwYWdlcz43MC03PC9wYWdlcz48dm9sdW1lPjExOTwvdm9sdW1lPjxu
dW1iZXI+MTwvbnVtYmVyPjxlZGl0aW9uPjIwMTEvMTAvMjU8L2VkaXRpb24+PGtleXdvcmRzPjxr
ZXl3b3JkPkFkdWx0PC9rZXl3b3JkPjxrZXl3b3JkPkNvdW5zZWxpbmc8L2tleXdvcmQ+PGtleXdv
cmQ+KkRpZXQ8L2tleXdvcmQ+PGtleXdvcmQ+RW5lcmd5IEludGFrZTwva2V5d29yZD48a2V5d29y
ZD5FeGVyY2lzZSBUaGVyYXB5LyptZXRob2RzPC9rZXl3b3JkPjxrZXl3b3JkPkZlbWFsZTwva2V5
d29yZD48a2V5d29yZD5IdW1hbnM8L2tleXdvcmQ+PGtleXdvcmQ+KkxpZmUgU3R5bGU8L2tleXdv
cmQ+PGtleXdvcmQ+UGF0aWVudCBFZHVjYXRpb24gYXMgVG9waWM8L2tleXdvcmQ+PGtleXdvcmQ+
UHJlZ25hbmN5PC9rZXl3b3JkPjxrZXl3b3JkPlByZWduYW5jeSBDb21wbGljYXRpb25zLypwcmV2
ZW50aW9uICZhbXA7IGNvbnRyb2w8L2tleXdvcmQ+PGtleXdvcmQ+UHJlZ25hbmN5IE91dGNvbWU8
L2tleXdvcmQ+PGtleXdvcmQ+UHJlbmF0YWwgQ2FyZS8qbWV0aG9kczwva2V5d29yZD48a2V5d29y
ZD5VcmJhbiBIZWFsdGg8L2tleXdvcmQ+PGtleXdvcmQ+V2VpZ2h0IEdhaW4vKnBoeXNpb2xvZ3k8
L2tleXdvcmQ+PGtleXdvcmQ+WW91bmcgQWR1bHQ8L2tleXdvcmQ+PC9rZXl3b3Jkcz48ZGF0ZXM+
PHllYXI+MjAxMjwveWVhcj48cHViLWRhdGVzPjxkYXRlPkphbjwvZGF0ZT48L3B1Yi1kYXRlcz48
L2RhdGVzPjxpc2JuPjE0NzEtMDUyOCAoRWxlY3Ryb25pYykmI3hEOzE0NzAtMDMyOCAoTGlua2lu
Zyk8L2lzYm4+PGFjY2Vzc2lvbi1udW0+MjIwMTc5Njc8L2FjY2Vzc2lvbi1udW0+PHVybHM+PHJl
bGF0ZWQtdXJscz48dXJsPmh0dHBzOi8vd3d3Lm5jYmkubmxtLm5paC5nb3YvcHVibWVkLzIyMDE3
OTY3PC91cmw+PC9yZWxhdGVkLXVybHM+PC91cmxzPjxlbGVjdHJvbmljLXJlc291cmNlLW51bT4x
MC4xMTExL2ouMTQ3MS0wNTI4LjIwMTEuMDMxODQueDwvZWxlY3Ryb25pYy1yZXNvdXJjZS1udW0+
PC9yZWNvcmQ+PC9DaXRlPjxDaXRlPjxBdXRob3I+SHVpPC9BdXRob3I+PFllYXI+MjAxNDwvWWVh
cj48UmVjTnVtPjc2MzwvUmVjTnVtPjxyZWNvcmQ+PHJlYy1udW1iZXI+NzYzPC9yZWMtbnVtYmVy
Pjxmb3JlaWduLWtleXM+PGtleSBhcHA9IkVOIiBkYi1pZD0iZXh2YXNyZngyZHRyYW9lc2FzeHAy
c3pzeGEyZGY1MDI1OTJ4IiB0aW1lc3RhbXA9IjE1NDE0Njg0NDYiPjc2Mzwva2V5PjwvZm9yZWln
bi1rZXlzPjxyZWYtdHlwZSBuYW1lPSJKb3VybmFsIEFydGljbGUiPjE3PC9yZWYtdHlwZT48Y29u
dHJpYnV0b3JzPjxhdXRob3JzPjxhdXRob3I+SHVpLCBBLiBMLjwvYXV0aG9yPjxhdXRob3I+QmFj
aywgTC48L2F1dGhvcj48YXV0aG9yPkx1ZHdpZywgUy48L2F1dGhvcj48YXV0aG9yPkdhcmRpbmVy
LCBQLjwvYXV0aG9yPjxhdXRob3I+U2V2ZW5odXlzZW4sIEcuPC9hdXRob3I+PGF1dGhvcj5EZWFu
LCBILiBKLjwvYXV0aG9yPjxhdXRob3I+U2VsbGVycywgRS48L2F1dGhvcj48YXV0aG9yPk1jR2F2
b2NrLCBKLjwvYXV0aG9yPjxhdXRob3I+TW9ycmlzLCBNLjwvYXV0aG9yPjxhdXRob3I+Smlhbmcs
IEQuPC9hdXRob3I+PGF1dGhvcj5TaGVuLCBHLiBYLjwvYXV0aG9yPjwvYXV0aG9ycz48L2NvbnRy
aWJ1dG9ycz48YXV0aC1hZGRyZXNzPkRlcGFydG1lbnRzIG9mIEludGVybmFsIE1lZGljaW5lLCBV
bml2ZXJzaXR5IG9mIE1hbml0b2JhLCBSb29tIDgwMUQsIDcxNSBNY0Rlcm1vdCBBdmUsLCBXaW5u
aXBlZywgTUIgUjNFIDNQNCwgQ2FuYWRhLiBBbXkuSHVpQG1lZC51bWFuaXRvYmEuY2EuPC9hdXRo
LWFkZHJlc3M+PHRpdGxlcz48dGl0bGU+RWZmZWN0cyBvZiBsaWZlc3R5bGUgaW50ZXJ2ZW50aW9u
IG9uIGRpZXRhcnkgaW50YWtlLCBwaHlzaWNhbCBhY3Rpdml0eSBsZXZlbCwgYW5kIGdlc3RhdGlv
bmFsIHdlaWdodCBnYWluIGluIHByZWduYW50IHdvbWVuIHdpdGggZGlmZmVyZW50IHByZS1wcmVn
bmFuY3kgQm9keSBNYXNzIEluZGV4IGluIGEgcmFuZG9taXplZCBjb250cm9sIHRyaWFsPC90aXRs
ZT48c2Vjb25kYXJ5LXRpdGxlPkJNQyBQcmVnbmFuY3kgQ2hpbGRiaXJ0aDwvc2Vjb25kYXJ5LXRp
dGxlPjwvdGl0bGVzPjxwZXJpb2RpY2FsPjxmdWxsLXRpdGxlPkJNQyBQcmVnbmFuY3kgQ2hpbGRi
aXJ0aDwvZnVsbC10aXRsZT48L3BlcmlvZGljYWw+PHBhZ2VzPjMzMTwvcGFnZXM+PHZvbHVtZT4x
NDwvdm9sdW1lPjxlZGl0aW9uPjIwMTQvMDkvMjU8L2VkaXRpb24+PGtleXdvcmRzPjxrZXl3b3Jk
PkFkdWx0PC9rZXl3b3JkPjxrZXl3b3JkPipCb2R5IE1hc3MgSW5kZXg8L2tleXdvcmQ+PGtleXdv
cmQ+Q291bnNlbGluZzwva2V5d29yZD48a2V5d29yZD4qRGlldDwva2V5d29yZD48a2V5d29yZD5F
bmVyZ3kgSW50YWtlPC9rZXl3b3JkPjxrZXl3b3JkPkV4ZXJjaXNlIFRoZXJhcHkvKm1ldGhvZHM8
L2tleXdvcmQ+PGtleXdvcmQ+RmVtYWxlPC9rZXl3b3JkPjxrZXl3b3JkPkZvbGxvdy1VcCBTdHVk
aWVzPC9rZXl3b3JkPjxrZXl3b3JkPkdlc3RhdGlvbmFsIEFnZTwva2V5d29yZD48a2V5d29yZD5I
dW1hbnM8L2tleXdvcmQ+PGtleXdvcmQ+KkxpZmUgU3R5bGU8L2tleXdvcmQ+PGtleXdvcmQ+T2Jl
c2l0eS9wcmV2ZW50aW9uICZhbXA7IGNvbnRyb2wvKnRoZXJhcHk8L2tleXdvcmQ+PGtleXdvcmQ+
UGF0aWVudCBDb21wbGlhbmNlL3N0YXRpc3RpY3MgJmFtcDsgbnVtZXJpY2FsIGRhdGE8L2tleXdv
cmQ+PGtleXdvcmQ+UGF0aWVudCBFZHVjYXRpb24gYXMgVG9waWM8L2tleXdvcmQ+PGtleXdvcmQ+
UHJlZ25hbmN5PC9rZXl3b3JkPjxrZXl3b3JkPlByZWduYW5jeSBPdXRjb21lPC9rZXl3b3JkPjxr
ZXl3b3JkPlByZW5hdGFsIENhcmUvbWV0aG9kczwva2V5d29yZD48a2V5d29yZD4qV2VpZ2h0IEdh
aW48L2tleXdvcmQ+PGtleXdvcmQ+WW91bmcgQWR1bHQ8L2tleXdvcmQ+PC9rZXl3b3Jkcz48ZGF0
ZXM+PHllYXI+MjAxNDwveWVhcj48cHViLWRhdGVzPjxkYXRlPlNlcCAyNDwvZGF0ZT48L3B1Yi1k
YXRlcz48L2RhdGVzPjxpc2JuPjE0NzEtMjM5MyAoRWxlY3Ryb25pYykmI3hEOzE0NzEtMjM5MyAo
TGlua2luZyk8L2lzYm4+PGFjY2Vzc2lvbi1udW0+MjUyNDg3OTc8L2FjY2Vzc2lvbi1udW0+PHVy
bHM+PHJlbGF0ZWQtdXJscz48dXJsPmh0dHBzOi8vd3d3Lm5jYmkubmxtLm5paC5nb3YvcHVibWVk
LzI1MjQ4Nzk3PC91cmw+PC9yZWxhdGVkLXVybHM+PC91cmxzPjxjdXN0b20yPlBNQzQyODc0NzA8
L2N1c3RvbTI+PGVsZWN0cm9uaWMtcmVzb3VyY2UtbnVtPjEwLjExODYvMTQ3MS0yMzkzLTE0LTMz
MTwvZWxlY3Ryb25pYy1yZXNvdXJjZS1udW0+PC9yZWNvcmQ+PC9DaXRlPjwvRW5kTm90ZT4A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PEVuZE5vdGU+PENpdGU+PEF1dGhvcj5IdWk8L0F1dGhvcj48WWVhcj4yMDEyPC9ZZWFyPjxSZWNO
dW0+NzQ2PC9SZWNOdW0+PERpc3BsYXlUZXh0PjxzdHlsZSBmYWNlPSJzdXBlcnNjcmlwdCIgZm9u
dD0iVHJlYnVjaGV0IE1TIiBzaXplPSI5Ij40OTAsNDkxPC9zdHlsZT48L0Rpc3BsYXlUZXh0Pjxy
ZWNvcmQ+PHJlYy1udW1iZXI+NzQ2PC9yZWMtbnVtYmVyPjxmb3JlaWduLWtleXM+PGtleSBhcHA9
IkVOIiBkYi1pZD0iZXh2YXNyZngyZHRyYW9lc2FzeHAyc3pzeGEyZGY1MDI1OTJ4IiB0aW1lc3Rh
bXA9IjE1NDE0Njc4OTQiPjc0Njwva2V5PjxrZXkgYXBwPSJFTldlYiIgZGItaWQ9IiI+MDwva2V5
PjwvZm9yZWlnbi1rZXlzPjxyZWYtdHlwZSBuYW1lPSJKb3VybmFsIEFydGljbGUiPjE3PC9yZWYt
dHlwZT48Y29udHJpYnV0b3JzPjxhdXRob3JzPjxhdXRob3I+SHVpLCBBLjwvYXV0aG9yPjxhdXRo
b3I+QmFjaywgTC48L2F1dGhvcj48YXV0aG9yPkx1ZHdpZywgUy48L2F1dGhvcj48YXV0aG9yPkdh
cmRpbmVyLCBQLjwvYXV0aG9yPjxhdXRob3I+U2V2ZW5odXlzZW4sIEcuPC9hdXRob3I+PGF1dGhv
cj5EZWFuLCBILjwvYXV0aG9yPjxhdXRob3I+U2VsbGVycywgRS48L2F1dGhvcj48YXV0aG9yPk1j
R2F2b2NrLCBKLjwvYXV0aG9yPjxhdXRob3I+TW9ycmlzLCBNLjwvYXV0aG9yPjxhdXRob3I+QnJ1
Y2UsIFMuPC9hdXRob3I+PGF1dGhvcj5NdXJyYXksIFIuPC9hdXRob3I+PGF1dGhvcj5TaGVuLCBH
LiBYLjwvYXV0aG9yPjwvYXV0aG9ycz48L2NvbnRyaWJ1dG9ycz48YXV0aC1hZGRyZXNzPkRlcGFy
dG1lbnQgb2YgSW50ZXJuYWwgTWVkaWNpbmUsIFVuaXZlcnNpdHkgb2YgTWFuaXRvYmEsIFdpbm5p
cGVnLCBNYW5pdG9iYSwgQ2FuYWRhLjwvYXV0aC1hZGRyZXNzPjx0aXRsZXM+PHRpdGxlPkxpZmVz
dHlsZSBpbnRlcnZlbnRpb24gb24gZGlldCBhbmQgZXhlcmNpc2UgcmVkdWNlZCBleGNlc3NpdmUg
Z2VzdGF0aW9uYWwgd2VpZ2h0IGdhaW4gaW4gcHJlZ25hbnQgd29tZW4gdW5kZXIgYSByYW5kb21p
c2VkIGNvbnRyb2xsZWQgdHJpYWw8L3RpdGxlPjxzZWNvbmRhcnktdGl0bGU+QkpPRzwvc2Vjb25k
YXJ5LXRpdGxlPjwvdGl0bGVzPjxwZXJpb2RpY2FsPjxmdWxsLXRpdGxlPkJKT0c8L2Z1bGwtdGl0
bGU+PC9wZXJpb2RpY2FsPjxwYWdlcz43MC03PC9wYWdlcz48dm9sdW1lPjExOTwvdm9sdW1lPjxu
dW1iZXI+MTwvbnVtYmVyPjxlZGl0aW9uPjIwMTEvMTAvMjU8L2VkaXRpb24+PGtleXdvcmRzPjxr
ZXl3b3JkPkFkdWx0PC9rZXl3b3JkPjxrZXl3b3JkPkNvdW5zZWxpbmc8L2tleXdvcmQ+PGtleXdv
cmQ+KkRpZXQ8L2tleXdvcmQ+PGtleXdvcmQ+RW5lcmd5IEludGFrZTwva2V5d29yZD48a2V5d29y
ZD5FeGVyY2lzZSBUaGVyYXB5LyptZXRob2RzPC9rZXl3b3JkPjxrZXl3b3JkPkZlbWFsZTwva2V5
d29yZD48a2V5d29yZD5IdW1hbnM8L2tleXdvcmQ+PGtleXdvcmQ+KkxpZmUgU3R5bGU8L2tleXdv
cmQ+PGtleXdvcmQ+UGF0aWVudCBFZHVjYXRpb24gYXMgVG9waWM8L2tleXdvcmQ+PGtleXdvcmQ+
UHJlZ25hbmN5PC9rZXl3b3JkPjxrZXl3b3JkPlByZWduYW5jeSBDb21wbGljYXRpb25zLypwcmV2
ZW50aW9uICZhbXA7IGNvbnRyb2w8L2tleXdvcmQ+PGtleXdvcmQ+UHJlZ25hbmN5IE91dGNvbWU8
L2tleXdvcmQ+PGtleXdvcmQ+UHJlbmF0YWwgQ2FyZS8qbWV0aG9kczwva2V5d29yZD48a2V5d29y
ZD5VcmJhbiBIZWFsdGg8L2tleXdvcmQ+PGtleXdvcmQ+V2VpZ2h0IEdhaW4vKnBoeXNpb2xvZ3k8
L2tleXdvcmQ+PGtleXdvcmQ+WW91bmcgQWR1bHQ8L2tleXdvcmQ+PC9rZXl3b3Jkcz48ZGF0ZXM+
PHllYXI+MjAxMjwveWVhcj48cHViLWRhdGVzPjxkYXRlPkphbjwvZGF0ZT48L3B1Yi1kYXRlcz48
L2RhdGVzPjxpc2JuPjE0NzEtMDUyOCAoRWxlY3Ryb25pYykmI3hEOzE0NzAtMDMyOCAoTGlua2lu
Zyk8L2lzYm4+PGFjY2Vzc2lvbi1udW0+MjIwMTc5Njc8L2FjY2Vzc2lvbi1udW0+PHVybHM+PHJl
bGF0ZWQtdXJscz48dXJsPmh0dHBzOi8vd3d3Lm5jYmkubmxtLm5paC5nb3YvcHVibWVkLzIyMDE3
OTY3PC91cmw+PC9yZWxhdGVkLXVybHM+PC91cmxzPjxlbGVjdHJvbmljLXJlc291cmNlLW51bT4x
MC4xMTExL2ouMTQ3MS0wNTI4LjIwMTEuMDMxODQueDwvZWxlY3Ryb25pYy1yZXNvdXJjZS1udW0+
PC9yZWNvcmQ+PC9DaXRlPjxDaXRlPjxBdXRob3I+SHVpPC9BdXRob3I+PFllYXI+MjAxNDwvWWVh
cj48UmVjTnVtPjc2MzwvUmVjTnVtPjxyZWNvcmQ+PHJlYy1udW1iZXI+NzYzPC9yZWMtbnVtYmVy
Pjxmb3JlaWduLWtleXM+PGtleSBhcHA9IkVOIiBkYi1pZD0iZXh2YXNyZngyZHRyYW9lc2FzeHAy
c3pzeGEyZGY1MDI1OTJ4IiB0aW1lc3RhbXA9IjE1NDE0Njg0NDYiPjc2Mzwva2V5PjwvZm9yZWln
bi1rZXlzPjxyZWYtdHlwZSBuYW1lPSJKb3VybmFsIEFydGljbGUiPjE3PC9yZWYtdHlwZT48Y29u
dHJpYnV0b3JzPjxhdXRob3JzPjxhdXRob3I+SHVpLCBBLiBMLjwvYXV0aG9yPjxhdXRob3I+QmFj
aywgTC48L2F1dGhvcj48YXV0aG9yPkx1ZHdpZywgUy48L2F1dGhvcj48YXV0aG9yPkdhcmRpbmVy
LCBQLjwvYXV0aG9yPjxhdXRob3I+U2V2ZW5odXlzZW4sIEcuPC9hdXRob3I+PGF1dGhvcj5EZWFu
LCBILiBKLjwvYXV0aG9yPjxhdXRob3I+U2VsbGVycywgRS48L2F1dGhvcj48YXV0aG9yPk1jR2F2
b2NrLCBKLjwvYXV0aG9yPjxhdXRob3I+TW9ycmlzLCBNLjwvYXV0aG9yPjxhdXRob3I+Smlhbmcs
IEQuPC9hdXRob3I+PGF1dGhvcj5TaGVuLCBHLiBYLjwvYXV0aG9yPjwvYXV0aG9ycz48L2NvbnRy
aWJ1dG9ycz48YXV0aC1hZGRyZXNzPkRlcGFydG1lbnRzIG9mIEludGVybmFsIE1lZGljaW5lLCBV
bml2ZXJzaXR5IG9mIE1hbml0b2JhLCBSb29tIDgwMUQsIDcxNSBNY0Rlcm1vdCBBdmUsLCBXaW5u
aXBlZywgTUIgUjNFIDNQNCwgQ2FuYWRhLiBBbXkuSHVpQG1lZC51bWFuaXRvYmEuY2EuPC9hdXRo
LWFkZHJlc3M+PHRpdGxlcz48dGl0bGU+RWZmZWN0cyBvZiBsaWZlc3R5bGUgaW50ZXJ2ZW50aW9u
IG9uIGRpZXRhcnkgaW50YWtlLCBwaHlzaWNhbCBhY3Rpdml0eSBsZXZlbCwgYW5kIGdlc3RhdGlv
bmFsIHdlaWdodCBnYWluIGluIHByZWduYW50IHdvbWVuIHdpdGggZGlmZmVyZW50IHByZS1wcmVn
bmFuY3kgQm9keSBNYXNzIEluZGV4IGluIGEgcmFuZG9taXplZCBjb250cm9sIHRyaWFsPC90aXRs
ZT48c2Vjb25kYXJ5LXRpdGxlPkJNQyBQcmVnbmFuY3kgQ2hpbGRiaXJ0aDwvc2Vjb25kYXJ5LXRp
dGxlPjwvdGl0bGVzPjxwZXJpb2RpY2FsPjxmdWxsLXRpdGxlPkJNQyBQcmVnbmFuY3kgQ2hpbGRi
aXJ0aDwvZnVsbC10aXRsZT48L3BlcmlvZGljYWw+PHBhZ2VzPjMzMTwvcGFnZXM+PHZvbHVtZT4x
NDwvdm9sdW1lPjxlZGl0aW9uPjIwMTQvMDkvMjU8L2VkaXRpb24+PGtleXdvcmRzPjxrZXl3b3Jk
PkFkdWx0PC9rZXl3b3JkPjxrZXl3b3JkPipCb2R5IE1hc3MgSW5kZXg8L2tleXdvcmQ+PGtleXdv
cmQ+Q291bnNlbGluZzwva2V5d29yZD48a2V5d29yZD4qRGlldDwva2V5d29yZD48a2V5d29yZD5F
bmVyZ3kgSW50YWtlPC9rZXl3b3JkPjxrZXl3b3JkPkV4ZXJjaXNlIFRoZXJhcHkvKm1ldGhvZHM8
L2tleXdvcmQ+PGtleXdvcmQ+RmVtYWxlPC9rZXl3b3JkPjxrZXl3b3JkPkZvbGxvdy1VcCBTdHVk
aWVzPC9rZXl3b3JkPjxrZXl3b3JkPkdlc3RhdGlvbmFsIEFnZTwva2V5d29yZD48a2V5d29yZD5I
dW1hbnM8L2tleXdvcmQ+PGtleXdvcmQ+KkxpZmUgU3R5bGU8L2tleXdvcmQ+PGtleXdvcmQ+T2Jl
c2l0eS9wcmV2ZW50aW9uICZhbXA7IGNvbnRyb2wvKnRoZXJhcHk8L2tleXdvcmQ+PGtleXdvcmQ+
UGF0aWVudCBDb21wbGlhbmNlL3N0YXRpc3RpY3MgJmFtcDsgbnVtZXJpY2FsIGRhdGE8L2tleXdv
cmQ+PGtleXdvcmQ+UGF0aWVudCBFZHVjYXRpb24gYXMgVG9waWM8L2tleXdvcmQ+PGtleXdvcmQ+
UHJlZ25hbmN5PC9rZXl3b3JkPjxrZXl3b3JkPlByZWduYW5jeSBPdXRjb21lPC9rZXl3b3JkPjxr
ZXl3b3JkPlByZW5hdGFsIENhcmUvbWV0aG9kczwva2V5d29yZD48a2V5d29yZD4qV2VpZ2h0IEdh
aW48L2tleXdvcmQ+PGtleXdvcmQ+WW91bmcgQWR1bHQ8L2tleXdvcmQ+PC9rZXl3b3Jkcz48ZGF0
ZXM+PHllYXI+MjAxNDwveWVhcj48cHViLWRhdGVzPjxkYXRlPlNlcCAyNDwvZGF0ZT48L3B1Yi1k
YXRlcz48L2RhdGVzPjxpc2JuPjE0NzEtMjM5MyAoRWxlY3Ryb25pYykmI3hEOzE0NzEtMjM5MyAo
TGlua2luZyk8L2lzYm4+PGFjY2Vzc2lvbi1udW0+MjUyNDg3OTc8L2FjY2Vzc2lvbi1udW0+PHVy
bHM+PHJlbGF0ZWQtdXJscz48dXJsPmh0dHBzOi8vd3d3Lm5jYmkubmxtLm5paC5nb3YvcHVibWVk
LzI1MjQ4Nzk3PC91cmw+PC9yZWxhdGVkLXVybHM+PC91cmxzPjxjdXN0b20yPlBNQzQyODc0NzA8
L2N1c3RvbTI+PGVsZWN0cm9uaWMtcmVzb3VyY2UtbnVtPjEwLjExODYvMTQ3MS0yMzkzLTE0LTMz
MTwvZWxlY3Ryb25pYy1yZXNvdXJjZS1udW0+PC9yZWNvcmQ+PC9DaXRlPjwvRW5kTm90ZT4A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490,491</w:t>
      </w:r>
      <w:r>
        <w:rPr>
          <w:sz w:val="16"/>
          <w:szCs w:val="16"/>
        </w:rPr>
        <w:fldChar w:fldCharType="end"/>
      </w:r>
      <w:r>
        <w:rPr>
          <w:sz w:val="16"/>
          <w:szCs w:val="16"/>
        </w:rPr>
        <w:t xml:space="preserve"> </w:t>
      </w:r>
      <w:r w:rsidRPr="00F75AAE">
        <w:t xml:space="preserve">Two studies described </w:t>
      </w:r>
      <w:r>
        <w:t xml:space="preserve">weekly </w:t>
      </w:r>
      <w:r w:rsidRPr="00F75AAE">
        <w:t>access to swimming pools and/or guided exercise groups</w:t>
      </w:r>
      <w:r>
        <w:fldChar w:fldCharType="begin"/>
      </w:r>
      <w:r w:rsidR="002747EA">
        <w:instrText xml:space="preserve"> ADDIN EN.CITE &lt;EndNote&gt;&lt;Cite&gt;&lt;Author&gt;Koivusalo&lt;/Author&gt;&lt;Year&gt;2016&lt;/Year&gt;&lt;RecNum&gt;733&lt;/RecNum&gt;&lt;DisplayText&gt;&lt;style face="superscript" font="Trebuchet MS" size="9"&gt;519&lt;/style&gt;&lt;/DisplayText&gt;&lt;record&gt;&lt;rec-number&gt;733&lt;/rec-number&gt;&lt;foreign-keys&gt;&lt;key app="EN" db-id="exvasrfx2dtraoesasxp2szsxa2df502592x" timestamp="1541467766"&gt;733&lt;/key&gt;&lt;key app="ENWeb" db-id=""&gt;0&lt;/key&gt;&lt;/foreign-keys&gt;&lt;ref-type name="Journal Article"&gt;17&lt;/ref-type&gt;&lt;contributors&gt;&lt;authors&gt;&lt;author&gt;Koivusalo, S.B.,&lt;/author&gt;&lt;author&gt;Rönö, K.,&lt;/author&gt;&lt;author&gt;Klemetti, M.M.,&lt;/author&gt;&lt;author&gt;Roine, R.P.,&lt;/author&gt;&lt;author&gt;Lindström, J.,&lt;/author&gt;&lt;author&gt;Erkkola, M.,&lt;/author&gt;&lt;/authors&gt;&lt;/contributors&gt;&lt;titles&gt;&lt;title&gt;Gestational diabetes mellitus can be prevented by lifestyle intervention: The Finnish Gestational Diabetes Prevention Study (RADIEL)&lt;/title&gt;&lt;secondary-title&gt;Diabetes Care&lt;/secondary-title&gt;&lt;/titles&gt;&lt;periodical&gt;&lt;full-title&gt;Diabetes Care&lt;/full-title&gt;&lt;/periodical&gt;&lt;pages&gt;24-30&lt;/pages&gt;&lt;volume&gt;39&lt;/volume&gt;&lt;number&gt;1&lt;/number&gt;&lt;section&gt;24&lt;/section&gt;&lt;dates&gt;&lt;year&gt;2016&lt;/year&gt;&lt;/dates&gt;&lt;isbn&gt;0149-5992&amp;#xD;1935-5548&lt;/isbn&gt;&lt;urls&gt;&lt;/urls&gt;&lt;electronic-resource-num&gt;10.2337/dc15-0511&lt;/electronic-resource-num&gt;&lt;/record&gt;&lt;/Cite&gt;&lt;/EndNote&gt;</w:instrText>
      </w:r>
      <w:r>
        <w:fldChar w:fldCharType="separate"/>
      </w:r>
      <w:r w:rsidR="002747EA" w:rsidRPr="002747EA">
        <w:rPr>
          <w:noProof/>
          <w:vertAlign w:val="superscript"/>
        </w:rPr>
        <w:t>519</w:t>
      </w:r>
      <w:r>
        <w:fldChar w:fldCharType="end"/>
      </w:r>
      <w:r>
        <w:t xml:space="preserve"> </w:t>
      </w:r>
      <w:r w:rsidRPr="00F75AAE">
        <w:t>or monthly meetings including group exercise</w:t>
      </w:r>
      <w:r>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instrText xml:space="preserve"> ADDIN EN.CITE </w:instrText>
      </w:r>
      <w:r w:rsidR="002747EA">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522</w:t>
      </w:r>
      <w:r>
        <w:fldChar w:fldCharType="end"/>
      </w:r>
      <w:r>
        <w:t xml:space="preserve"> but did not describe content or duration.</w:t>
      </w:r>
    </w:p>
    <w:p w14:paraId="5D348EC0" w14:textId="77777777" w:rsidR="00A5540F" w:rsidRDefault="00A5540F" w:rsidP="00A5540F">
      <w:r>
        <w:t>The goals of exercise counselling included:</w:t>
      </w:r>
    </w:p>
    <w:p w14:paraId="445554D6" w14:textId="08087EA4" w:rsidR="00A5540F" w:rsidRPr="00C7383C" w:rsidRDefault="00A5540F" w:rsidP="00A5540F">
      <w:pPr>
        <w:pStyle w:val="bullet"/>
      </w:pPr>
      <w:r w:rsidRPr="00640DFE">
        <w:t>30 minutes</w:t>
      </w:r>
      <w:r>
        <w:t xml:space="preserve"> </w:t>
      </w:r>
      <w:r w:rsidRPr="00640DFE">
        <w:t xml:space="preserve">of moderate intensity </w:t>
      </w:r>
      <w:r>
        <w:t>exercise daily,</w:t>
      </w:r>
      <w:r>
        <w:fldChar w:fldCharType="begin">
          <w:fldData xml:space="preserve">PEVuZE5vdGU+PENpdGU+PEF1dGhvcj5WZXNjbzwvQXV0aG9yPjxZZWFyPjIwMTI8L1llYXI+PFJl
Y051bT4xMTMwPC9SZWNOdW0+PERpc3BsYXlUZXh0PjxzdHlsZSBmYWNlPSJzdXBlcnNjcmlwdCIg
Zm9udD0iVHJlYnVjaGV0IE1TIiBzaXplPSI5Ij40ODYsNTA1LDUwNiw1MTQsNTE3PC9zdHlsZT48
L0Rpc3BsYXlUZXh0PjxyZWNvcmQ+PHJlYy1udW1iZXI+MTEzMDwvcmVjLW51bWJlcj48Zm9yZWln
bi1rZXlzPjxrZXkgYXBwPSJFTiIgZGItaWQ9ImV4dmFzcmZ4MmR0cmFvZXNhc3hwMnN6c3hhMmRm
NTAyNTkyeCIgdGltZXN0YW1wPSIxNTUzNDA4OTg2Ij4xMTMwPC9rZXk+PC9mb3JlaWduLWtleXM+
PHJlZi10eXBlIG5hbWU9IkpvdXJuYWwgQXJ0aWNsZSI+MTc8L3JlZi10eXBlPjxjb250cmlidXRv
cnM+PGF1dGhvcnM+PGF1dGhvcj5WZXNjbywgSy4gSy48L2F1dGhvcj48YXV0aG9yPkthcmFuamEs
IE4uPC9hdXRob3I+PGF1dGhvcj5LaW5nLCBKLiBDLjwvYXV0aG9yPjxhdXRob3I+R2lsbG1hbiwg
TS4gVy48L2F1dGhvcj48YXV0aG9yPlBlcnJpbiwgTi48L2F1dGhvcj48YXV0aG9yPk1jRXZveSwg
Qy48L2F1dGhvcj48YXV0aG9yPkVja2hhcmR0LCBDLjwvYXV0aG9yPjxhdXRob3I+U21pdGgsIEsu
IFMuPC9hdXRob3I+PGF1dGhvcj5TdGV2ZW5zLCBWLiBKLjwvYXV0aG9yPjwvYXV0aG9ycz48L2Nv
bnRyaWJ1dG9ycz48YXV0aC1hZGRyZXNzPkNlbnRlciBmb3IgSGVhbHRoIFJlc2VhcmNoLCBLYWlz
ZXIgUGVybWFuZW50ZSwgTm9ydGh3ZXN0LCBQb3J0bGFuZCwgT1IgOTcyMjcsIFVTQS4ga2ltYmVy
bHkuay52ZXNjb0BrcGNoci5vcmc8L2F1dGgtYWRkcmVzcz48dGl0bGVzPjx0aXRsZT5IZWFsdGh5
IE1vbXMsIGEgcmFuZG9taXplZCB0cmlhbCB0byBwcm9tb3RlIGFuZCBldmFsdWF0ZSB3ZWlnaHQg
bWFpbnRlbmFuY2UgYW1vbmcgb2Jlc2UgcHJlZ25hbnQgd29tZW46IHN0dWR5IGRlc2lnbiBhbmQg
cmF0aW9uYWxlPC90aXRsZT48c2Vjb25kYXJ5LXRpdGxlPkNvbnRlbXAgQ2xpbiBUcmlhbHM8L3Nl
Y29uZGFyeS10aXRsZT48L3RpdGxlcz48cGVyaW9kaWNhbD48ZnVsbC10aXRsZT5Db250ZW1wIENs
aW4gVHJpYWxzPC9mdWxsLXRpdGxlPjwvcGVyaW9kaWNhbD48cGFnZXM+Nzc3LTg1PC9wYWdlcz48
dm9sdW1lPjMzPC92b2x1bWU+PG51bWJlcj40PC9udW1iZXI+PGVkaXRpb24+MjAxMi8wNC8wMzwv
ZWRpdGlvbj48a2V5d29yZHM+PGtleXdvcmQ+QWRvbGVzY2VudDwva2V5d29yZD48a2V5d29yZD5B
ZHVsdDwva2V5d29yZD48a2V5d29yZD5CaXJ0aCBXZWlnaHQ8L2tleXdvcmQ+PGtleXdvcmQ+Q2xp
bmljYWwgUHJvdG9jb2xzPC9rZXl3b3JkPjxrZXl3b3JkPkNvbWJpbmVkIE1vZGFsaXR5IFRoZXJh
cHk8L2tleXdvcmQ+PGtleXdvcmQ+RGlldCBUaGVyYXB5LyptZXRob2RzPC9rZXl3b3JkPjxrZXl3
b3JkPkV4ZXJjaXNlIFRoZXJhcHkvKm1ldGhvZHM8L2tleXdvcmQ+PGtleXdvcmQ+RmVhc2liaWxp
dHkgU3R1ZGllczwva2V5d29yZD48a2V5d29yZD5GZW1hbGU8L2tleXdvcmQ+PGtleXdvcmQ+SHVt
YW5zPC9rZXl3b3JkPjxrZXl3b3JkPkluZmFudCwgTmV3Ym9ybjwva2V5d29yZD48a2V5d29yZD5J
bnRlbnRpb24gdG8gVHJlYXQgQW5hbHlzaXM8L2tleXdvcmQ+PGtleXdvcmQ+TG9naXN0aWMgTW9k
ZWxzPC9rZXl3b3JkPjxrZXl3b3JkPk9iZXNpdHkvKnRoZXJhcHk8L2tleXdvcmQ+PGtleXdvcmQ+
UHJlZ25hbmN5PC9rZXl3b3JkPjxrZXl3b3JkPlByZWduYW5jeSBDb21wbGljYXRpb25zLyp0aGVy
YXB5PC9rZXl3b3JkPjxrZXl3b3JkPlBzeWNob3RoZXJhcHksIEdyb3VwLyptZXRob2RzPC9rZXl3
b3JkPjxrZXl3b3JkPlJlc2VhcmNoIERlc2lnbjwva2V5d29yZD48a2V5d29yZD5UcmVhdG1lbnQg
T3V0Y29tZTwva2V5d29yZD48a2V5d29yZD5XZWlnaHQgR2Fpbjwva2V5d29yZD48a2V5d29yZD5Z
b3VuZyBBZHVsdDwva2V5d29yZD48L2tleXdvcmRzPjxkYXRlcz48eWVhcj4yMDEyPC95ZWFyPjxw
dWItZGF0ZXM+PGRhdGU+SnVsPC9kYXRlPjwvcHViLWRhdGVzPjwvZGF0ZXM+PGlzYm4+MTU1OS0y
MDMwIChFbGVjdHJvbmljKSYjeEQ7MTU1MS03MTQ0IChMaW5raW5nKTwvaXNibj48YWNjZXNzaW9u
LW51bT4yMjQ2NTI1NjwvYWNjZXNzaW9uLW51bT48dXJscz48cmVsYXRlZC11cmxzPjx1cmw+aHR0
cHM6Ly93d3cubmNiaS5ubG0ubmloLmdvdi9wdWJtZWQvMjI0NjUyNTY8L3VybD48L3JlbGF0ZWQt
dXJscz48L3VybHM+PGN1c3RvbTI+UE1DMzM2MTUxOTwvY3VzdG9tMj48ZWxlY3Ryb25pYy1yZXNv
dXJjZS1udW0+MTAuMTAxNi9qLmNjdC4yMDEyLjAzLjAwNjwvZWxlY3Ryb25pYy1yZXNvdXJjZS1u
dW0+PC9yZWNvcmQ+PC9DaXRlPjxDaXRlPjxBdXRob3I+V2FuZzwvQXV0aG9yPjxZZWFyPjIwMTU8
L1llYXI+PFJlY051bT43NDA8L1JlY051bT48cmVjb3JkPjxyZWMtbnVtYmVyPjc0MDwvcmVjLW51
bWJlcj48Zm9yZWlnbi1rZXlzPjxrZXkgYXBwPSJFTiIgZGItaWQ9ImV4dmFzcmZ4MmR0cmFvZXNh
c3hwMnN6c3hhMmRmNTAyNTkyeCIgdGltZXN0YW1wPSIxNTQxNDY3ODExIj43NDA8L2tleT48a2V5
IGFwcD0iRU5XZWIiIGRiLWlkPSIiPjA8L2tleT48L2ZvcmVpZ24ta2V5cz48cmVmLXR5cGUgbmFt
ZT0iSm91cm5hbCBBcnRpY2xlIj4xNzwvcmVmLXR5cGU+PGNvbnRyaWJ1dG9ycz48YXV0aG9ycz48
YXV0aG9yPldhbmcsIFNodWFuZzwvYXV0aG9yPjxhdXRob3I+TWEsIEppbmctTWVpPC9hdXRob3I+
PGF1dGhvcj5ZYW5nLCBIdWktWGlhPC9hdXRob3I+PC9hdXRob3JzPjwvY29udHJpYnV0b3JzPjx0
aXRsZXM+PHRpdGxlPkxpZmVzdHlsZSBpbnRlcnZlbnRpb24gZm9yIGdlc3RhdGlvbmFsIGRpYWJl
dGVzIG1lbGxpdHVzIHByZXZlbnRpb246IEHCoGNsdXN0ZXItcmFuZG9taXplZCBjb250cm9sbGVk
IHN0dWR5PC90aXRsZT48c2Vjb25kYXJ5LXRpdGxlPkNocm9uaWMgRGlzZWFzZXMgYW5kIFRyYW5z
bGF0aW9uYWwgTWVkaWNpbmU8L3NlY29uZGFyeS10aXRsZT48L3RpdGxlcz48cGVyaW9kaWNhbD48
ZnVsbC10aXRsZT5DaHJvbmljIERpc2Vhc2VzIGFuZCBUcmFuc2xhdGlvbmFsIE1lZGljaW5lPC9m
dWxsLXRpdGxlPjwvcGVyaW9kaWNhbD48cGFnZXM+MTY5LTE3NDwvcGFnZXM+PHZvbHVtZT4xPC92
b2x1bWU+PG51bWJlcj4zPC9udW1iZXI+PHNlY3Rpb24+MTY5PC9zZWN0aW9uPjxkYXRlcz48eWVh
cj4yMDE1PC95ZWFyPjwvZGF0ZXM+PGlzYm4+MjA5NTg4Mlg8L2lzYm4+PHVybHM+PC91cmxzPjxl
bGVjdHJvbmljLXJlc291cmNlLW51bT4xMC4xMDE2L2ouY2R0bS4yMDE1LjA5LjAwMTwvZWxlY3Ry
b25pYy1yZXNvdXJjZS1udW0+PC9yZWNvcmQ+PC9DaXRlPjxDaXRlPjxBdXRob3I+Um9ubmJlcmc8
L0F1dGhvcj48WWVhcj4yMDE1PC9ZZWFyPjxSZWNOdW0+NzU0PC9SZWNOdW0+PHJlY29yZD48cmVj
LW51bWJlcj43NTQ8L3JlYy1udW1iZXI+PGZvcmVpZ24ta2V5cz48a2V5IGFwcD0iRU4iIGRiLWlk
PSJleHZhc3JmeDJkdHJhb2VzYXN4cDJzenN4YTJkZjUwMjU5MngiIHRpbWVzdGFtcD0iMTU0MTQ2
Nzk1MiI+NzU0PC9rZXk+PGtleSBhcHA9IkVOV2ViIiBkYi1pZD0iIj4wPC9rZXk+PC9mb3JlaWdu
LWtleXM+PHJlZi10eXBlIG5hbWU9IkpvdXJuYWwgQXJ0aWNsZSI+MTc8L3JlZi10eXBlPjxjb250
cmlidXRvcnM+PGF1dGhvcnM+PGF1dGhvcj5Sb25uYmVyZywgQS4gSy48L2F1dGhvcj48YXV0aG9y
Pk9zdGx1bmQsIEkuPC9hdXRob3I+PGF1dGhvcj5GYWRsLCBILjwvYXV0aG9yPjxhdXRob3I+R290
dHZhbGwsIFQuPC9hdXRob3I+PGF1dGhvcj5OaWxzc29uLCBLLjwvYXV0aG9yPjwvYXV0aG9ycz48
L2NvbnRyaWJ1dG9ycz48dGl0bGVzPjx0aXRsZT5JbnRlcnZlbnRpb24gZHVyaW5nIHByZWduYW5j
eSB0byByZWR1Y2UgZXhjZXNzaXZlIGdlc3RhdGlvbmFsIHdlaWdodCBnYWluLWEgcmFuZG9taXNl
ZCBjb250cm9sbGVkIHRyaWFsPC90aXRsZT48c2Vjb25kYXJ5LXRpdGxlPkJKT0c6IEFuIEludGVy
bmF0aW9uYWwgSm91cm5hbCBvZiBPYnN0ZXRyaWNzICZhbXA7IEd5bmFlY29sb2d5PC9zZWNvbmRh
cnktdGl0bGU+PC90aXRsZXM+PHBlcmlvZGljYWw+PGZ1bGwtdGl0bGU+QkpPRzogQW4gSW50ZXJu
YXRpb25hbCBKb3VybmFsIG9mIE9ic3RldHJpY3MgJmFtcDsgR3luYWVjb2xvZ3k8L2Z1bGwtdGl0
bGU+PC9wZXJpb2RpY2FsPjxwYWdlcz41MzctNTQ0PC9wYWdlcz48dm9sdW1lPjEyMjwvdm9sdW1l
PjxudW1iZXI+NDwvbnVtYmVyPjxzZWN0aW9uPjUzNzwvc2VjdGlvbj48ZGF0ZXM+PHllYXI+MjAx
NTwveWVhcj48L2RhdGVzPjxpc2JuPjE0NzAwMzI4PC9pc2JuPjx1cmxzPjwvdXJscz48ZWxlY3Ry
b25pYy1yZXNvdXJjZS1udW0+MTAuMTExMS8xNDcxLTA1MjguMTMxMzE8L2VsZWN0cm9uaWMtcmVz
b3VyY2UtbnVtPjwvcmVjb3JkPjwvQ2l0ZT48Q2l0ZT48QXV0aG9yPlZhbiBIb3JuPC9BdXRob3I+
PFllYXI+MjAxODwvWWVhcj48UmVjTnVtPjEzNzY8L1JlY051bT48cmVjb3JkPjxyZWMtbnVtYmVy
PjEzNzY8L3JlYy1udW1iZXI+PGZvcmVpZ24ta2V5cz48a2V5IGFwcD0iRU4iIGRiLWlkPSJleHZh
c3JmeDJkdHJhb2VzYXN4cDJzenN4YTJkZjUwMjU5MngiIHRpbWVzdGFtcD0iMTU2NzAzNTk4NyI+
MTM3Njwva2V5PjxrZXkgYXBwPSJFTldlYiIgZGItaWQ9IiI+MDwva2V5PjwvZm9yZWlnbi1rZXlz
PjxyZWYtdHlwZSBuYW1lPSJKb3VybmFsIEFydGljbGUiPjE3PC9yZWYtdHlwZT48Y29udHJpYnV0
b3JzPjxhdXRob3JzPjxhdXRob3I+VmFuIEhvcm4sIEwuPC9hdXRob3I+PGF1dGhvcj5QZWFjZW1h
biwgQS48L2F1dGhvcj48YXV0aG9yPkt3YXNueSwgTS48L2F1dGhvcj48YXV0aG9yPlZpbmNlbnQs
IEUuPC9hdXRob3I+PGF1dGhvcj5Gb3VnaHQsIEEuPC9hdXRob3I+PGF1dGhvcj5Kb3NlZnNvbiwg
Si48L2F1dGhvcj48YXV0aG9yPlNwcmluZywgQi48L2F1dGhvcj48YXV0aG9yPk5lZmYsIEwuIE0u
PC9hdXRob3I+PGF1dGhvcj5HZXJuaG9mZXIsIE4uPC9hdXRob3I+PC9hdXRob3JzPjwvY29udHJp
YnV0b3JzPjxhdXRoLWFkZHJlc3M+RGVwYXJ0bWVudCBvZiBQcmV2ZW50aXZlIE1lZGljaW5lLCBO
b3J0aHdlc3Rlcm4gVW5pdmVyc2l0eSBGZWluYmVyZyBTY2hvb2wgb2YgTWVkaWNpbmUsIENoaWNh
Z28sIElsbGlub2lzLiBFbGVjdHJvbmljIGFkZHJlc3M6IGx2YW5ob3JuQG5vcnRod2VzdGVybi5l
ZHUuJiN4RDtEZXBhcnRtZW50IG9mIE9ic3RldHJpY3MgYW5kIEd5bmVjb2xvZ3ksIE5vcnRod2Vz
dGVybiBVbml2ZXJzaXR5IEZlaW5iZXJnIFNjaG9vbCBvZiBNZWRpY2luZSwgQ2hpY2FnbywgSWxs
aW5vaXMuJiN4RDtEZXBhcnRtZW50IG9mIFByZXZlbnRpdmUgTWVkaWNpbmUsIE5vcnRod2VzdGVy
biBVbml2ZXJzaXR5IEZlaW5iZXJnIFNjaG9vbCBvZiBNZWRpY2luZSwgQ2hpY2FnbywgSWxsaW5v
aXMuJiN4RDtEZXBhcnRtZW50IG9mIFByZXZlbnRpdmUgTWVkaWNpbmUsIE5vcnRod2VzdGVybiBV
bml2ZXJzaXR5IEZlaW5iZXJnIFNjaG9vbCBvZiBNZWRpY2luZSwgQ2hpY2FnbywgSWxsaW5vaXM7
IEFubiBhbmQgUm9iZXJ0IEguIEx1cmllIENoaWxkcmVuJmFwb3M7cyBIb3NwaXRhbCBvZiBDaGlj
YWdvLCBDaGljYWdvLCBJbGxpbm9pcy4mI3hEO0RlcGFydG1lbnQgb2YgTWVkaWNpbmUsIE5vcnRo
d2VzdGVybiBVbml2ZXJzaXR5IEZlaW5iZXJnIFNjaG9vbCBvZiBNZWRpY2luZSwgQ2hpY2Fnbywg
SWxsaW5vaXMuPC9hdXRoLWFkZHJlc3M+PHRpdGxlcz48dGl0bGU+RGlldGFyeSBBcHByb2FjaGVz
IHRvIFN0b3AgSHlwZXJ0ZW5zaW9uIERpZXQgYW5kIEFjdGl2aXR5IHRvIExpbWl0IEdlc3RhdGlv
bmFsIFdlaWdodDogTWF0ZXJuYWwgT2Zmc3ByaW5nIE1ldGFib2xpY3MgRmFtaWx5IEludGVydmVu
dGlvbiBUcmlhbCwgYSBUZWNobm9sb2d5IEVuaGFuY2VkIFJhbmRvbWl6ZWQgVHJpYWw8L3RpdGxl
PjxzZWNvbmRhcnktdGl0bGU+QW0gSiBQcmV2IE1lZDwvc2Vjb25kYXJ5LXRpdGxlPjwvdGl0bGVz
PjxwZXJpb2RpY2FsPjxmdWxsLXRpdGxlPkFtIEogUHJldiBNZWQ8L2Z1bGwtdGl0bGU+PC9wZXJp
b2RpY2FsPjxwYWdlcz42MDMtNjE0PC9wYWdlcz48dm9sdW1lPjU1PC92b2x1bWU+PG51bWJlcj41
PC9udW1iZXI+PGVkaXRpb24+MjAxOC8wOS8yOTwvZWRpdGlvbj48ZGF0ZXM+PHllYXI+MjAxODwv
eWVhcj48cHViLWRhdGVzPjxkYXRlPk5vdjwvZGF0ZT48L3B1Yi1kYXRlcz48L2RhdGVzPjxpc2Ju
PjE4NzMtMjYwNyAoRWxlY3Ryb25pYykmI3hEOzA3NDktMzc5NyAoTGlua2luZyk8L2lzYm4+PGFj
Y2Vzc2lvbi1udW0+MzAyNjIxNDg8L2FjY2Vzc2lvbi1udW0+PHVybHM+PHJlbGF0ZWQtdXJscz48
dXJsPmh0dHBzOi8vd3d3Lm5jYmkubmxtLm5paC5nb3YvcHVibWVkLzMwMjYyMTQ4PC91cmw+PC9y
ZWxhdGVkLXVybHM+PC91cmxzPjxlbGVjdHJvbmljLXJlc291cmNlLW51bT4xMC4xMDE2L2ouYW1l
cHJlLjIwMTguMDYuMDE1PC9lbGVjdHJvbmljLXJlc291cmNlLW51bT48L3JlY29yZD48L0NpdGU+
PENpdGU+PEF1dGhvcj5LZW5uZWxseTwvQXV0aG9yPjxZZWFyPjIwMTg8L1llYXI+PFJlY051bT4x
Mzc4PC9SZWNOdW0+PHJlY29yZD48cmVjLW51bWJlcj4xMzc4PC9yZWMtbnVtYmVyPjxmb3JlaWdu
LWtleXM+PGtleSBhcHA9IkVOIiBkYi1pZD0iZXh2YXNyZngyZHRyYW9lc2FzeHAyc3pzeGEyZGY1
MDI1OTJ4IiB0aW1lc3RhbXA9IjE1NjcwNTQzOTciPjEzNzg8L2tleT48a2V5IGFwcD0iRU5XZWIi
IGRiLWlkPSIiPjA8L2tleT48L2ZvcmVpZ24ta2V5cz48cmVmLXR5cGUgbmFtZT0iSm91cm5hbCBB
cnRpY2xlIj4xNzwvcmVmLXR5cGU+PGNvbnRyaWJ1dG9ycz48YXV0aG9ycz48YXV0aG9yPktlbm5l
bGx5LCBNLiBBLjwvYXV0aG9yPjxhdXRob3I+QWluc2NvdWdoLCBLLjwvYXV0aG9yPjxhdXRob3I+
TGluZHNheSwgSy4gTC48L2F1dGhvcj48YXV0aG9yPk8mYXBvcztTdWxsaXZhbiwgRS48L2F1dGhv
cj48YXV0aG9yPkdpYm5leSwgRS4gUi48L2F1dGhvcj48YXV0aG9yPk1jQ2FydGh5LCBNLjwvYXV0
aG9yPjxhdXRob3I+U2VndXJhZG8sIFIuPC9hdXRob3I+PGF1dGhvcj5EZVZpdG8sIEcuPC9hdXRo
b3I+PGF1dGhvcj5NYWd1aXJlLCBPLjwvYXV0aG9yPjxhdXRob3I+U21pdGgsIFQuPC9hdXRob3I+
PGF1dGhvcj5IYXR1bmljLCBNLjwvYXV0aG9yPjxhdXRob3I+TWNBdWxpZmZlLCBGLiBNLjwvYXV0
aG9yPjwvYXV0aG9ycz48L2NvbnRyaWJ1dG9ycz48YXV0aC1hZGRyZXNzPlVDRCBQZXJpbmF0YWwg
UmVzZWFyY2ggQ2VudHJlLCBPYnN0ZXRyaWNzIGFuZCBHeW5hZWNvbG9neSwgU2Nob29sIG9mIE1l
ZGljaW5lLCB0aGUgVUNEIEluc3RpdHV0ZSBvZiBGb29kIGFuZCBIZWFsdGgsIFVDRCBDU1RBUiwg
YW5kIHRoZSBTY2hvb2wgb2YgUHVibGljIEhlYWx0aCwgUGh5c2ljYWwgJmFtcDsgU3BvcnRzIFNj
aWVuY2VzLCBIZWFsdGggU2NpZW5jZXMgQ2VudHJlLCBVbml2ZXJzaXR5IENvbGxlZ2UgRHVibGlu
LCBEdWJsaW4sIHRoZSBEZXBhcnRtZW50IG9mIE1hbmFnZW1lbnQgJmFtcDsgTWFya2V0aW5nLCBV
bml2ZXJzaXR5IENvbGxlZ2UgQ29yaywgQ29yaywgYW5kIHRoZSBEZXBhcnRtZW50IG9mIEVuZG9j
cmlub2xvZ3ksIFN0LiBWaW5jZW50JmFwb3M7cyBVbml2ZXJzaXR5IEhvc3BpdGFsLCBhbmQgdGhl
IERlcGFydG1lbnQgb2YgRW5kb2NyaW5vbG9neSwgTmF0aW9uYWwgTWF0ZXJuaXR5IEhvc3BpdGFs
LCBEdWJsaW4sIElyZWxhbmQuPC9hdXRoLWFkZHJlc3M+PHRpdGxlcz48dGl0bGU+UHJlZ25hbmN5
IEV4ZXJjaXNlIGFuZCBOdXRyaXRpb24gV2l0aCBTbWFydHBob25lIEFwcGxpY2F0aW9uIFN1cHBv
cnQ6IEEgUmFuZG9taXplZCBDb250cm9sbGVkIFRyaWFsPC90aXRsZT48c2Vjb25kYXJ5LXRpdGxl
Pk9ic3RldCBHeW5lY29sPC9zZWNvbmRhcnktdGl0bGU+PC90aXRsZXM+PHBlcmlvZGljYWw+PGZ1
bGwtdGl0bGU+T2JzdGV0IEd5bmVjb2w8L2Z1bGwtdGl0bGU+PC9wZXJpb2RpY2FsPjxwYWdlcz44
MTgtODI2PC9wYWdlcz48dm9sdW1lPjEzMTwvdm9sdW1lPjxudW1iZXI+NTwvbnVtYmVyPjxlZGl0
aW9uPjIwMTgvMDQvMTA8L2VkaXRpb24+PGtleXdvcmRzPjxrZXl3b3JkPkFkdWx0PC9rZXl3b3Jk
PjxrZXl3b3JkPkJlaGF2aW9yIENvbnRyb2wvKm1ldGhvZHM8L2tleXdvcmQ+PGtleXdvcmQ+Qm9k
eSBNYXNzIEluZGV4PC9rZXl3b3JkPjxrZXl3b3JkPipEaWFiZXRlcywgR2VzdGF0aW9uYWwvZGlh
Z25vc2lzL2VwaWRlbWlvbG9neS9wcmV2ZW50aW9uICZhbXA7IGNvbnRyb2wvcHN5Y2hvbG9neTwv
a2V5d29yZD48a2V5d29yZD5FeGVyY2lzZS9waHlzaW9sb2d5Lypwc3ljaG9sb2d5PC9rZXl3b3Jk
PjxrZXl3b3JkPkZlbWFsZTwva2V5d29yZD48a2V5d29yZD5IZWFsdGggQmVoYXZpb3I8L2tleXdv
cmQ+PGtleXdvcmQ+SGVhbHRoeSBMaWZlc3R5bGU8L2tleXdvcmQ+PGtleXdvcmQ+SHVtYW5zPC9r
ZXl3b3JkPjxrZXl3b3JkPkluY2lkZW5jZTwva2V5d29yZD48a2V5d29yZD5Nb2JpbGUgQXBwbGlj
YXRpb25zPC9rZXl3b3JkPjxrZXl3b3JkPipPYmVzaXR5L2RpYWdub3Npcy9wc3ljaG9sb2d5L3Ro
ZXJhcHk8L2tleXdvcmQ+PGtleXdvcmQ+UHJlZ25hbmN5PC9rZXl3b3JkPjxrZXl3b3JkPipQcmVn
bmFuY3kgQ29tcGxpY2F0aW9ucy9kaWFnbm9zaXMvcHN5Y2hvbG9neS90aGVyYXB5PC9rZXl3b3Jk
PjxrZXl3b3JkPlByZWduYW5jeSBPdXRjb21lL2VwaWRlbWlvbG9neTwva2V5d29yZD48a2V5d29y
ZD5QcmVuYXRhbCBDYXJlL21ldGhvZHM8L2tleXdvcmQ+PGtleXdvcmQ+UHJlbmF0YWwgTnV0cml0
aW9uYWwgUGh5c2lvbG9naWNhbCBQaGVub21lbmEvKnBoeXNpb2xvZ3k8L2tleXdvcmQ+PGtleXdv
cmQ+KlNtYXJ0cGhvbmU8L2tleXdvcmQ+PC9rZXl3b3Jkcz48ZGF0ZXM+PHllYXI+MjAxODwveWVh
cj48cHViLWRhdGVzPjxkYXRlPk1heTwvZGF0ZT48L3B1Yi1kYXRlcz48L2RhdGVzPjxpc2JuPjE4
NzMtMjMzWCAoRWxlY3Ryb25pYykmI3hEOzAwMjktNzg0NCAoTGlua2luZyk8L2lzYm4+PGFjY2Vz
c2lvbi1udW0+Mjk2MzAwMDk8L2FjY2Vzc2lvbi1udW0+PHVybHM+PHJlbGF0ZWQtdXJscz48dXJs
Pmh0dHBzOi8vd3d3Lm5jYmkubmxtLm5paC5nb3YvcHVibWVkLzI5NjMwMDA5PC91cmw+PC9yZWxh
dGVkLXVybHM+PC91cmxzPjxlbGVjdHJvbmljLXJlc291cmNlLW51bT4xMC4xMDk3L0FPRy4wMDAw
MDAwMDAwMDAyNTgyPC9lbGVjdHJvbmljLXJlc291cmNlLW51bT48L3JlY29yZD48L0NpdGU+PC9F
bmROb3RlPgB=
</w:fldData>
        </w:fldChar>
      </w:r>
      <w:r w:rsidR="002747EA">
        <w:instrText xml:space="preserve"> ADDIN EN.CITE </w:instrText>
      </w:r>
      <w:r w:rsidR="002747EA">
        <w:fldChar w:fldCharType="begin">
          <w:fldData xml:space="preserve">PEVuZE5vdGU+PENpdGU+PEF1dGhvcj5WZXNjbzwvQXV0aG9yPjxZZWFyPjIwMTI8L1llYXI+PFJl
Y051bT4xMTMwPC9SZWNOdW0+PERpc3BsYXlUZXh0PjxzdHlsZSBmYWNlPSJzdXBlcnNjcmlwdCIg
Zm9udD0iVHJlYnVjaGV0IE1TIiBzaXplPSI5Ij40ODYsNTA1LDUwNiw1MTQsNTE3PC9zdHlsZT48
L0Rpc3BsYXlUZXh0PjxyZWNvcmQ+PHJlYy1udW1iZXI+MTEzMDwvcmVjLW51bWJlcj48Zm9yZWln
bi1rZXlzPjxrZXkgYXBwPSJFTiIgZGItaWQ9ImV4dmFzcmZ4MmR0cmFvZXNhc3hwMnN6c3hhMmRm
NTAyNTkyeCIgdGltZXN0YW1wPSIxNTUzNDA4OTg2Ij4xMTMwPC9rZXk+PC9mb3JlaWduLWtleXM+
PHJlZi10eXBlIG5hbWU9IkpvdXJuYWwgQXJ0aWNsZSI+MTc8L3JlZi10eXBlPjxjb250cmlidXRv
cnM+PGF1dGhvcnM+PGF1dGhvcj5WZXNjbywgSy4gSy48L2F1dGhvcj48YXV0aG9yPkthcmFuamEs
IE4uPC9hdXRob3I+PGF1dGhvcj5LaW5nLCBKLiBDLjwvYXV0aG9yPjxhdXRob3I+R2lsbG1hbiwg
TS4gVy48L2F1dGhvcj48YXV0aG9yPlBlcnJpbiwgTi48L2F1dGhvcj48YXV0aG9yPk1jRXZveSwg
Qy48L2F1dGhvcj48YXV0aG9yPkVja2hhcmR0LCBDLjwvYXV0aG9yPjxhdXRob3I+U21pdGgsIEsu
IFMuPC9hdXRob3I+PGF1dGhvcj5TdGV2ZW5zLCBWLiBKLjwvYXV0aG9yPjwvYXV0aG9ycz48L2Nv
bnRyaWJ1dG9ycz48YXV0aC1hZGRyZXNzPkNlbnRlciBmb3IgSGVhbHRoIFJlc2VhcmNoLCBLYWlz
ZXIgUGVybWFuZW50ZSwgTm9ydGh3ZXN0LCBQb3J0bGFuZCwgT1IgOTcyMjcsIFVTQS4ga2ltYmVy
bHkuay52ZXNjb0BrcGNoci5vcmc8L2F1dGgtYWRkcmVzcz48dGl0bGVzPjx0aXRsZT5IZWFsdGh5
IE1vbXMsIGEgcmFuZG9taXplZCB0cmlhbCB0byBwcm9tb3RlIGFuZCBldmFsdWF0ZSB3ZWlnaHQg
bWFpbnRlbmFuY2UgYW1vbmcgb2Jlc2UgcHJlZ25hbnQgd29tZW46IHN0dWR5IGRlc2lnbiBhbmQg
cmF0aW9uYWxlPC90aXRsZT48c2Vjb25kYXJ5LXRpdGxlPkNvbnRlbXAgQ2xpbiBUcmlhbHM8L3Nl
Y29uZGFyeS10aXRsZT48L3RpdGxlcz48cGVyaW9kaWNhbD48ZnVsbC10aXRsZT5Db250ZW1wIENs
aW4gVHJpYWxzPC9mdWxsLXRpdGxlPjwvcGVyaW9kaWNhbD48cGFnZXM+Nzc3LTg1PC9wYWdlcz48
dm9sdW1lPjMzPC92b2x1bWU+PG51bWJlcj40PC9udW1iZXI+PGVkaXRpb24+MjAxMi8wNC8wMzwv
ZWRpdGlvbj48a2V5d29yZHM+PGtleXdvcmQ+QWRvbGVzY2VudDwva2V5d29yZD48a2V5d29yZD5B
ZHVsdDwva2V5d29yZD48a2V5d29yZD5CaXJ0aCBXZWlnaHQ8L2tleXdvcmQ+PGtleXdvcmQ+Q2xp
bmljYWwgUHJvdG9jb2xzPC9rZXl3b3JkPjxrZXl3b3JkPkNvbWJpbmVkIE1vZGFsaXR5IFRoZXJh
cHk8L2tleXdvcmQ+PGtleXdvcmQ+RGlldCBUaGVyYXB5LyptZXRob2RzPC9rZXl3b3JkPjxrZXl3
b3JkPkV4ZXJjaXNlIFRoZXJhcHkvKm1ldGhvZHM8L2tleXdvcmQ+PGtleXdvcmQ+RmVhc2liaWxp
dHkgU3R1ZGllczwva2V5d29yZD48a2V5d29yZD5GZW1hbGU8L2tleXdvcmQ+PGtleXdvcmQ+SHVt
YW5zPC9rZXl3b3JkPjxrZXl3b3JkPkluZmFudCwgTmV3Ym9ybjwva2V5d29yZD48a2V5d29yZD5J
bnRlbnRpb24gdG8gVHJlYXQgQW5hbHlzaXM8L2tleXdvcmQ+PGtleXdvcmQ+TG9naXN0aWMgTW9k
ZWxzPC9rZXl3b3JkPjxrZXl3b3JkPk9iZXNpdHkvKnRoZXJhcHk8L2tleXdvcmQ+PGtleXdvcmQ+
UHJlZ25hbmN5PC9rZXl3b3JkPjxrZXl3b3JkPlByZWduYW5jeSBDb21wbGljYXRpb25zLyp0aGVy
YXB5PC9rZXl3b3JkPjxrZXl3b3JkPlBzeWNob3RoZXJhcHksIEdyb3VwLyptZXRob2RzPC9rZXl3
b3JkPjxrZXl3b3JkPlJlc2VhcmNoIERlc2lnbjwva2V5d29yZD48a2V5d29yZD5UcmVhdG1lbnQg
T3V0Y29tZTwva2V5d29yZD48a2V5d29yZD5XZWlnaHQgR2Fpbjwva2V5d29yZD48a2V5d29yZD5Z
b3VuZyBBZHVsdDwva2V5d29yZD48L2tleXdvcmRzPjxkYXRlcz48eWVhcj4yMDEyPC95ZWFyPjxw
dWItZGF0ZXM+PGRhdGU+SnVsPC9kYXRlPjwvcHViLWRhdGVzPjwvZGF0ZXM+PGlzYm4+MTU1OS0y
MDMwIChFbGVjdHJvbmljKSYjeEQ7MTU1MS03MTQ0IChMaW5raW5nKTwvaXNibj48YWNjZXNzaW9u
LW51bT4yMjQ2NTI1NjwvYWNjZXNzaW9uLW51bT48dXJscz48cmVsYXRlZC11cmxzPjx1cmw+aHR0
cHM6Ly93d3cubmNiaS5ubG0ubmloLmdvdi9wdWJtZWQvMjI0NjUyNTY8L3VybD48L3JlbGF0ZWQt
dXJscz48L3VybHM+PGN1c3RvbTI+UE1DMzM2MTUxOTwvY3VzdG9tMj48ZWxlY3Ryb25pYy1yZXNv
dXJjZS1udW0+MTAuMTAxNi9qLmNjdC4yMDEyLjAzLjAwNjwvZWxlY3Ryb25pYy1yZXNvdXJjZS1u
dW0+PC9yZWNvcmQ+PC9DaXRlPjxDaXRlPjxBdXRob3I+V2FuZzwvQXV0aG9yPjxZZWFyPjIwMTU8
L1llYXI+PFJlY051bT43NDA8L1JlY051bT48cmVjb3JkPjxyZWMtbnVtYmVyPjc0MDwvcmVjLW51
bWJlcj48Zm9yZWlnbi1rZXlzPjxrZXkgYXBwPSJFTiIgZGItaWQ9ImV4dmFzcmZ4MmR0cmFvZXNh
c3hwMnN6c3hhMmRmNTAyNTkyeCIgdGltZXN0YW1wPSIxNTQxNDY3ODExIj43NDA8L2tleT48a2V5
IGFwcD0iRU5XZWIiIGRiLWlkPSIiPjA8L2tleT48L2ZvcmVpZ24ta2V5cz48cmVmLXR5cGUgbmFt
ZT0iSm91cm5hbCBBcnRpY2xlIj4xNzwvcmVmLXR5cGU+PGNvbnRyaWJ1dG9ycz48YXV0aG9ycz48
YXV0aG9yPldhbmcsIFNodWFuZzwvYXV0aG9yPjxhdXRob3I+TWEsIEppbmctTWVpPC9hdXRob3I+
PGF1dGhvcj5ZYW5nLCBIdWktWGlhPC9hdXRob3I+PC9hdXRob3JzPjwvY29udHJpYnV0b3JzPjx0
aXRsZXM+PHRpdGxlPkxpZmVzdHlsZSBpbnRlcnZlbnRpb24gZm9yIGdlc3RhdGlvbmFsIGRpYWJl
dGVzIG1lbGxpdHVzIHByZXZlbnRpb246IEHCoGNsdXN0ZXItcmFuZG9taXplZCBjb250cm9sbGVk
IHN0dWR5PC90aXRsZT48c2Vjb25kYXJ5LXRpdGxlPkNocm9uaWMgRGlzZWFzZXMgYW5kIFRyYW5z
bGF0aW9uYWwgTWVkaWNpbmU8L3NlY29uZGFyeS10aXRsZT48L3RpdGxlcz48cGVyaW9kaWNhbD48
ZnVsbC10aXRsZT5DaHJvbmljIERpc2Vhc2VzIGFuZCBUcmFuc2xhdGlvbmFsIE1lZGljaW5lPC9m
dWxsLXRpdGxlPjwvcGVyaW9kaWNhbD48cGFnZXM+MTY5LTE3NDwvcGFnZXM+PHZvbHVtZT4xPC92
b2x1bWU+PG51bWJlcj4zPC9udW1iZXI+PHNlY3Rpb24+MTY5PC9zZWN0aW9uPjxkYXRlcz48eWVh
cj4yMDE1PC95ZWFyPjwvZGF0ZXM+PGlzYm4+MjA5NTg4Mlg8L2lzYm4+PHVybHM+PC91cmxzPjxl
bGVjdHJvbmljLXJlc291cmNlLW51bT4xMC4xMDE2L2ouY2R0bS4yMDE1LjA5LjAwMTwvZWxlY3Ry
b25pYy1yZXNvdXJjZS1udW0+PC9yZWNvcmQ+PC9DaXRlPjxDaXRlPjxBdXRob3I+Um9ubmJlcmc8
L0F1dGhvcj48WWVhcj4yMDE1PC9ZZWFyPjxSZWNOdW0+NzU0PC9SZWNOdW0+PHJlY29yZD48cmVj
LW51bWJlcj43NTQ8L3JlYy1udW1iZXI+PGZvcmVpZ24ta2V5cz48a2V5IGFwcD0iRU4iIGRiLWlk
PSJleHZhc3JmeDJkdHJhb2VzYXN4cDJzenN4YTJkZjUwMjU5MngiIHRpbWVzdGFtcD0iMTU0MTQ2
Nzk1MiI+NzU0PC9rZXk+PGtleSBhcHA9IkVOV2ViIiBkYi1pZD0iIj4wPC9rZXk+PC9mb3JlaWdu
LWtleXM+PHJlZi10eXBlIG5hbWU9IkpvdXJuYWwgQXJ0aWNsZSI+MTc8L3JlZi10eXBlPjxjb250
cmlidXRvcnM+PGF1dGhvcnM+PGF1dGhvcj5Sb25uYmVyZywgQS4gSy48L2F1dGhvcj48YXV0aG9y
Pk9zdGx1bmQsIEkuPC9hdXRob3I+PGF1dGhvcj5GYWRsLCBILjwvYXV0aG9yPjxhdXRob3I+R290
dHZhbGwsIFQuPC9hdXRob3I+PGF1dGhvcj5OaWxzc29uLCBLLjwvYXV0aG9yPjwvYXV0aG9ycz48
L2NvbnRyaWJ1dG9ycz48dGl0bGVzPjx0aXRsZT5JbnRlcnZlbnRpb24gZHVyaW5nIHByZWduYW5j
eSB0byByZWR1Y2UgZXhjZXNzaXZlIGdlc3RhdGlvbmFsIHdlaWdodCBnYWluLWEgcmFuZG9taXNl
ZCBjb250cm9sbGVkIHRyaWFsPC90aXRsZT48c2Vjb25kYXJ5LXRpdGxlPkJKT0c6IEFuIEludGVy
bmF0aW9uYWwgSm91cm5hbCBvZiBPYnN0ZXRyaWNzICZhbXA7IEd5bmFlY29sb2d5PC9zZWNvbmRh
cnktdGl0bGU+PC90aXRsZXM+PHBlcmlvZGljYWw+PGZ1bGwtdGl0bGU+QkpPRzogQW4gSW50ZXJu
YXRpb25hbCBKb3VybmFsIG9mIE9ic3RldHJpY3MgJmFtcDsgR3luYWVjb2xvZ3k8L2Z1bGwtdGl0
bGU+PC9wZXJpb2RpY2FsPjxwYWdlcz41MzctNTQ0PC9wYWdlcz48dm9sdW1lPjEyMjwvdm9sdW1l
PjxudW1iZXI+NDwvbnVtYmVyPjxzZWN0aW9uPjUzNzwvc2VjdGlvbj48ZGF0ZXM+PHllYXI+MjAx
NTwveWVhcj48L2RhdGVzPjxpc2JuPjE0NzAwMzI4PC9pc2JuPjx1cmxzPjwvdXJscz48ZWxlY3Ry
b25pYy1yZXNvdXJjZS1udW0+MTAuMTExMS8xNDcxLTA1MjguMTMxMzE8L2VsZWN0cm9uaWMtcmVz
b3VyY2UtbnVtPjwvcmVjb3JkPjwvQ2l0ZT48Q2l0ZT48QXV0aG9yPlZhbiBIb3JuPC9BdXRob3I+
PFllYXI+MjAxODwvWWVhcj48UmVjTnVtPjEzNzY8L1JlY051bT48cmVjb3JkPjxyZWMtbnVtYmVy
PjEzNzY8L3JlYy1udW1iZXI+PGZvcmVpZ24ta2V5cz48a2V5IGFwcD0iRU4iIGRiLWlkPSJleHZh
c3JmeDJkdHJhb2VzYXN4cDJzenN4YTJkZjUwMjU5MngiIHRpbWVzdGFtcD0iMTU2NzAzNTk4NyI+
MTM3Njwva2V5PjxrZXkgYXBwPSJFTldlYiIgZGItaWQ9IiI+MDwva2V5PjwvZm9yZWlnbi1rZXlz
PjxyZWYtdHlwZSBuYW1lPSJKb3VybmFsIEFydGljbGUiPjE3PC9yZWYtdHlwZT48Y29udHJpYnV0
b3JzPjxhdXRob3JzPjxhdXRob3I+VmFuIEhvcm4sIEwuPC9hdXRob3I+PGF1dGhvcj5QZWFjZW1h
biwgQS48L2F1dGhvcj48YXV0aG9yPkt3YXNueSwgTS48L2F1dGhvcj48YXV0aG9yPlZpbmNlbnQs
IEUuPC9hdXRob3I+PGF1dGhvcj5Gb3VnaHQsIEEuPC9hdXRob3I+PGF1dGhvcj5Kb3NlZnNvbiwg
Si48L2F1dGhvcj48YXV0aG9yPlNwcmluZywgQi48L2F1dGhvcj48YXV0aG9yPk5lZmYsIEwuIE0u
PC9hdXRob3I+PGF1dGhvcj5HZXJuaG9mZXIsIE4uPC9hdXRob3I+PC9hdXRob3JzPjwvY29udHJp
YnV0b3JzPjxhdXRoLWFkZHJlc3M+RGVwYXJ0bWVudCBvZiBQcmV2ZW50aXZlIE1lZGljaW5lLCBO
b3J0aHdlc3Rlcm4gVW5pdmVyc2l0eSBGZWluYmVyZyBTY2hvb2wgb2YgTWVkaWNpbmUsIENoaWNh
Z28sIElsbGlub2lzLiBFbGVjdHJvbmljIGFkZHJlc3M6IGx2YW5ob3JuQG5vcnRod2VzdGVybi5l
ZHUuJiN4RDtEZXBhcnRtZW50IG9mIE9ic3RldHJpY3MgYW5kIEd5bmVjb2xvZ3ksIE5vcnRod2Vz
dGVybiBVbml2ZXJzaXR5IEZlaW5iZXJnIFNjaG9vbCBvZiBNZWRpY2luZSwgQ2hpY2FnbywgSWxs
aW5vaXMuJiN4RDtEZXBhcnRtZW50IG9mIFByZXZlbnRpdmUgTWVkaWNpbmUsIE5vcnRod2VzdGVy
biBVbml2ZXJzaXR5IEZlaW5iZXJnIFNjaG9vbCBvZiBNZWRpY2luZSwgQ2hpY2FnbywgSWxsaW5v
aXMuJiN4RDtEZXBhcnRtZW50IG9mIFByZXZlbnRpdmUgTWVkaWNpbmUsIE5vcnRod2VzdGVybiBV
bml2ZXJzaXR5IEZlaW5iZXJnIFNjaG9vbCBvZiBNZWRpY2luZSwgQ2hpY2FnbywgSWxsaW5vaXM7
IEFubiBhbmQgUm9iZXJ0IEguIEx1cmllIENoaWxkcmVuJmFwb3M7cyBIb3NwaXRhbCBvZiBDaGlj
YWdvLCBDaGljYWdvLCBJbGxpbm9pcy4mI3hEO0RlcGFydG1lbnQgb2YgTWVkaWNpbmUsIE5vcnRo
d2VzdGVybiBVbml2ZXJzaXR5IEZlaW5iZXJnIFNjaG9vbCBvZiBNZWRpY2luZSwgQ2hpY2Fnbywg
SWxsaW5vaXMuPC9hdXRoLWFkZHJlc3M+PHRpdGxlcz48dGl0bGU+RGlldGFyeSBBcHByb2FjaGVz
IHRvIFN0b3AgSHlwZXJ0ZW5zaW9uIERpZXQgYW5kIEFjdGl2aXR5IHRvIExpbWl0IEdlc3RhdGlv
bmFsIFdlaWdodDogTWF0ZXJuYWwgT2Zmc3ByaW5nIE1ldGFib2xpY3MgRmFtaWx5IEludGVydmVu
dGlvbiBUcmlhbCwgYSBUZWNobm9sb2d5IEVuaGFuY2VkIFJhbmRvbWl6ZWQgVHJpYWw8L3RpdGxl
PjxzZWNvbmRhcnktdGl0bGU+QW0gSiBQcmV2IE1lZDwvc2Vjb25kYXJ5LXRpdGxlPjwvdGl0bGVz
PjxwZXJpb2RpY2FsPjxmdWxsLXRpdGxlPkFtIEogUHJldiBNZWQ8L2Z1bGwtdGl0bGU+PC9wZXJp
b2RpY2FsPjxwYWdlcz42MDMtNjE0PC9wYWdlcz48dm9sdW1lPjU1PC92b2x1bWU+PG51bWJlcj41
PC9udW1iZXI+PGVkaXRpb24+MjAxOC8wOS8yOTwvZWRpdGlvbj48ZGF0ZXM+PHllYXI+MjAxODwv
eWVhcj48cHViLWRhdGVzPjxkYXRlPk5vdjwvZGF0ZT48L3B1Yi1kYXRlcz48L2RhdGVzPjxpc2Ju
PjE4NzMtMjYwNyAoRWxlY3Ryb25pYykmI3hEOzA3NDktMzc5NyAoTGlua2luZyk8L2lzYm4+PGFj
Y2Vzc2lvbi1udW0+MzAyNjIxNDg8L2FjY2Vzc2lvbi1udW0+PHVybHM+PHJlbGF0ZWQtdXJscz48
dXJsPmh0dHBzOi8vd3d3Lm5jYmkubmxtLm5paC5nb3YvcHVibWVkLzMwMjYyMTQ4PC91cmw+PC9y
ZWxhdGVkLXVybHM+PC91cmxzPjxlbGVjdHJvbmljLXJlc291cmNlLW51bT4xMC4xMDE2L2ouYW1l
cHJlLjIwMTguMDYuMDE1PC9lbGVjdHJvbmljLXJlc291cmNlLW51bT48L3JlY29yZD48L0NpdGU+
PENpdGU+PEF1dGhvcj5LZW5uZWxseTwvQXV0aG9yPjxZZWFyPjIwMTg8L1llYXI+PFJlY051bT4x
Mzc4PC9SZWNOdW0+PHJlY29yZD48cmVjLW51bWJlcj4xMzc4PC9yZWMtbnVtYmVyPjxmb3JlaWdu
LWtleXM+PGtleSBhcHA9IkVOIiBkYi1pZD0iZXh2YXNyZngyZHRyYW9lc2FzeHAyc3pzeGEyZGY1
MDI1OTJ4IiB0aW1lc3RhbXA9IjE1NjcwNTQzOTciPjEzNzg8L2tleT48a2V5IGFwcD0iRU5XZWIi
IGRiLWlkPSIiPjA8L2tleT48L2ZvcmVpZ24ta2V5cz48cmVmLXR5cGUgbmFtZT0iSm91cm5hbCBB
cnRpY2xlIj4xNzwvcmVmLXR5cGU+PGNvbnRyaWJ1dG9ycz48YXV0aG9ycz48YXV0aG9yPktlbm5l
bGx5LCBNLiBBLjwvYXV0aG9yPjxhdXRob3I+QWluc2NvdWdoLCBLLjwvYXV0aG9yPjxhdXRob3I+
TGluZHNheSwgSy4gTC48L2F1dGhvcj48YXV0aG9yPk8mYXBvcztTdWxsaXZhbiwgRS48L2F1dGhv
cj48YXV0aG9yPkdpYm5leSwgRS4gUi48L2F1dGhvcj48YXV0aG9yPk1jQ2FydGh5LCBNLjwvYXV0
aG9yPjxhdXRob3I+U2VndXJhZG8sIFIuPC9hdXRob3I+PGF1dGhvcj5EZVZpdG8sIEcuPC9hdXRo
b3I+PGF1dGhvcj5NYWd1aXJlLCBPLjwvYXV0aG9yPjxhdXRob3I+U21pdGgsIFQuPC9hdXRob3I+
PGF1dGhvcj5IYXR1bmljLCBNLjwvYXV0aG9yPjxhdXRob3I+TWNBdWxpZmZlLCBGLiBNLjwvYXV0
aG9yPjwvYXV0aG9ycz48L2NvbnRyaWJ1dG9ycz48YXV0aC1hZGRyZXNzPlVDRCBQZXJpbmF0YWwg
UmVzZWFyY2ggQ2VudHJlLCBPYnN0ZXRyaWNzIGFuZCBHeW5hZWNvbG9neSwgU2Nob29sIG9mIE1l
ZGljaW5lLCB0aGUgVUNEIEluc3RpdHV0ZSBvZiBGb29kIGFuZCBIZWFsdGgsIFVDRCBDU1RBUiwg
YW5kIHRoZSBTY2hvb2wgb2YgUHVibGljIEhlYWx0aCwgUGh5c2ljYWwgJmFtcDsgU3BvcnRzIFNj
aWVuY2VzLCBIZWFsdGggU2NpZW5jZXMgQ2VudHJlLCBVbml2ZXJzaXR5IENvbGxlZ2UgRHVibGlu
LCBEdWJsaW4sIHRoZSBEZXBhcnRtZW50IG9mIE1hbmFnZW1lbnQgJmFtcDsgTWFya2V0aW5nLCBV
bml2ZXJzaXR5IENvbGxlZ2UgQ29yaywgQ29yaywgYW5kIHRoZSBEZXBhcnRtZW50IG9mIEVuZG9j
cmlub2xvZ3ksIFN0LiBWaW5jZW50JmFwb3M7cyBVbml2ZXJzaXR5IEhvc3BpdGFsLCBhbmQgdGhl
IERlcGFydG1lbnQgb2YgRW5kb2NyaW5vbG9neSwgTmF0aW9uYWwgTWF0ZXJuaXR5IEhvc3BpdGFs
LCBEdWJsaW4sIElyZWxhbmQuPC9hdXRoLWFkZHJlc3M+PHRpdGxlcz48dGl0bGU+UHJlZ25hbmN5
IEV4ZXJjaXNlIGFuZCBOdXRyaXRpb24gV2l0aCBTbWFydHBob25lIEFwcGxpY2F0aW9uIFN1cHBv
cnQ6IEEgUmFuZG9taXplZCBDb250cm9sbGVkIFRyaWFsPC90aXRsZT48c2Vjb25kYXJ5LXRpdGxl
Pk9ic3RldCBHeW5lY29sPC9zZWNvbmRhcnktdGl0bGU+PC90aXRsZXM+PHBlcmlvZGljYWw+PGZ1
bGwtdGl0bGU+T2JzdGV0IEd5bmVjb2w8L2Z1bGwtdGl0bGU+PC9wZXJpb2RpY2FsPjxwYWdlcz44
MTgtODI2PC9wYWdlcz48dm9sdW1lPjEzMTwvdm9sdW1lPjxudW1iZXI+NTwvbnVtYmVyPjxlZGl0
aW9uPjIwMTgvMDQvMTA8L2VkaXRpb24+PGtleXdvcmRzPjxrZXl3b3JkPkFkdWx0PC9rZXl3b3Jk
PjxrZXl3b3JkPkJlaGF2aW9yIENvbnRyb2wvKm1ldGhvZHM8L2tleXdvcmQ+PGtleXdvcmQ+Qm9k
eSBNYXNzIEluZGV4PC9rZXl3b3JkPjxrZXl3b3JkPipEaWFiZXRlcywgR2VzdGF0aW9uYWwvZGlh
Z25vc2lzL2VwaWRlbWlvbG9neS9wcmV2ZW50aW9uICZhbXA7IGNvbnRyb2wvcHN5Y2hvbG9neTwv
a2V5d29yZD48a2V5d29yZD5FeGVyY2lzZS9waHlzaW9sb2d5Lypwc3ljaG9sb2d5PC9rZXl3b3Jk
PjxrZXl3b3JkPkZlbWFsZTwva2V5d29yZD48a2V5d29yZD5IZWFsdGggQmVoYXZpb3I8L2tleXdv
cmQ+PGtleXdvcmQ+SGVhbHRoeSBMaWZlc3R5bGU8L2tleXdvcmQ+PGtleXdvcmQ+SHVtYW5zPC9r
ZXl3b3JkPjxrZXl3b3JkPkluY2lkZW5jZTwva2V5d29yZD48a2V5d29yZD5Nb2JpbGUgQXBwbGlj
YXRpb25zPC9rZXl3b3JkPjxrZXl3b3JkPipPYmVzaXR5L2RpYWdub3Npcy9wc3ljaG9sb2d5L3Ro
ZXJhcHk8L2tleXdvcmQ+PGtleXdvcmQ+UHJlZ25hbmN5PC9rZXl3b3JkPjxrZXl3b3JkPipQcmVn
bmFuY3kgQ29tcGxpY2F0aW9ucy9kaWFnbm9zaXMvcHN5Y2hvbG9neS90aGVyYXB5PC9rZXl3b3Jk
PjxrZXl3b3JkPlByZWduYW5jeSBPdXRjb21lL2VwaWRlbWlvbG9neTwva2V5d29yZD48a2V5d29y
ZD5QcmVuYXRhbCBDYXJlL21ldGhvZHM8L2tleXdvcmQ+PGtleXdvcmQ+UHJlbmF0YWwgTnV0cml0
aW9uYWwgUGh5c2lvbG9naWNhbCBQaGVub21lbmEvKnBoeXNpb2xvZ3k8L2tleXdvcmQ+PGtleXdv
cmQ+KlNtYXJ0cGhvbmU8L2tleXdvcmQ+PC9rZXl3b3Jkcz48ZGF0ZXM+PHllYXI+MjAxODwveWVh
cj48cHViLWRhdGVzPjxkYXRlPk1heTwvZGF0ZT48L3B1Yi1kYXRlcz48L2RhdGVzPjxpc2JuPjE4
NzMtMjMzWCAoRWxlY3Ryb25pYykmI3hEOzAwMjktNzg0NCAoTGlua2luZyk8L2lzYm4+PGFjY2Vz
c2lvbi1udW0+Mjk2MzAwMDk8L2FjY2Vzc2lvbi1udW0+PHVybHM+PHJlbGF0ZWQtdXJscz48dXJs
Pmh0dHBzOi8vd3d3Lm5jYmkubmxtLm5paC5nb3YvcHVibWVkLzI5NjMwMDA5PC91cmw+PC9yZWxh
dGVkLXVybHM+PC91cmxzPjxlbGVjdHJvbmljLXJlc291cmNlLW51bT4xMC4xMDk3L0FPRy4wMDAw
MDAwMDAwMDAyNTgyPC9lbGVjdHJvbmljLXJlc291cmNlLW51bT48L3JlY29yZD48L0NpdGU+PC9F
bmROb3RlPgB=
</w:fldData>
        </w:fldChar>
      </w:r>
      <w:r w:rsidR="002747EA">
        <w:instrText xml:space="preserve"> ADDIN EN.CITE.DATA </w:instrText>
      </w:r>
      <w:r w:rsidR="002747EA">
        <w:fldChar w:fldCharType="end"/>
      </w:r>
      <w:r>
        <w:fldChar w:fldCharType="separate"/>
      </w:r>
      <w:r w:rsidR="002747EA" w:rsidRPr="002747EA">
        <w:rPr>
          <w:noProof/>
          <w:vertAlign w:val="superscript"/>
        </w:rPr>
        <w:t>486,505,506,514,517</w:t>
      </w:r>
      <w:r>
        <w:fldChar w:fldCharType="end"/>
      </w:r>
      <w:r>
        <w:t xml:space="preserve"> most days,</w:t>
      </w:r>
      <w:r>
        <w:fldChar w:fldCharType="begin">
          <w:fldData xml:space="preserve">PEVuZE5vdGU+PENpdGU+PEF1dGhvcj5QaGVsYW48L0F1dGhvcj48WWVhcj4yMDExPC9ZZWFyPjxS
ZWNOdW0+NzA1PC9SZWNOdW0+PERpc3BsYXlUZXh0PjxzdHlsZSBmYWNlPSJzdXBlcnNjcmlwdCIg
Zm9udD0iVHJlYnVjaGV0IE1TIiBzaXplPSI5Ij40ODUsNDk0LDQ5Niw0OTgsNTAwLDUwMyw1MDgs
NTE2PC9zdHlsZT48L0Rpc3BsYXlUZXh0PjxyZWNvcmQ+PHJlYy1udW1iZXI+NzA1PC9yZWMtbnVt
YmVyPjxmb3JlaWduLWtleXM+PGtleSBhcHA9IkVOIiBkYi1pZD0iZXh2YXNyZngyZHRyYW9lc2Fz
eHAyc3pzeGEyZGY1MDI1OTJ4IiB0aW1lc3RhbXA9IjE1NDA1MzA2MzYiPjcwNTwva2V5PjwvZm9y
ZWlnbi1rZXlzPjxyZWYtdHlwZSBuYW1lPSJKb3VybmFsIEFydGljbGUiPjE3PC9yZWYtdHlwZT48
Y29udHJpYnV0b3JzPjxhdXRob3JzPjxhdXRob3I+UGhlbGFuLCBTLjwvYXV0aG9yPjxhdXRob3I+
UGhpcHBzLCBNLiBHLjwvYXV0aG9yPjxhdXRob3I+QWJyYW1zLCBCLjwvYXV0aG9yPjxhdXRob3I+
RGFycm9jaCwgRi48L2F1dGhvcj48YXV0aG9yPlNjaGFmZm5lciwgQS48L2F1dGhvcj48YXV0aG9y
PldpbmcsIFIuIFIuPC9hdXRob3I+PC9hdXRob3JzPjwvY29udHJpYnV0b3JzPjxhdXRoLWFkZHJl
c3M+RGVwYXJ0bWVudHMgb2YgS2luZXNpb2xvZ3ksIENhbGlmb3JuaWEgUG9seXRlY2huaWMgU3Rh
dGUgVW5pdmVyc2l0eSwgU2FuIEx1aXMgT2Jpc3BvLCA5MzQwNy0wMzg2LCBVU0EuIHNwaGVsYW5A
Y2FscG9seS5lZHU8L2F1dGgtYWRkcmVzcz48dGl0bGVzPjx0aXRsZT5SYW5kb21pemVkIHRyaWFs
IG9mIGEgYmVoYXZpb3JhbCBpbnRlcnZlbnRpb24gdG8gcHJldmVudCBleGNlc3NpdmUgZ2VzdGF0
aW9uYWwgd2VpZ2h0IGdhaW46IHRoZSBGaXQgZm9yIERlbGl2ZXJ5IFN0dWR5PC90aXRsZT48c2Vj
b25kYXJ5LXRpdGxlPkFtIEogQ2xpbiBOdXRyPC9zZWNvbmRhcnktdGl0bGU+PC90aXRsZXM+PHBl
cmlvZGljYWw+PGZ1bGwtdGl0bGU+QW0gSiBDbGluIE51dHI8L2Z1bGwtdGl0bGU+PC9wZXJpb2Rp
Y2FsPjxwYWdlcz43NzItOTwvcGFnZXM+PHZvbHVtZT45Mzwvdm9sdW1lPjxudW1iZXI+NDwvbnVt
YmVyPjxlZGl0aW9uPjIwMTEvMDIvMTI8L2VkaXRpb24+PGtleXdvcmRzPjxrZXl3b3JkPkFkdWx0
PC9rZXl3b3JkPjxrZXl3b3JkPkJlaGF2aW9yPC9rZXl3b3JkPjxrZXl3b3JkPipCZWhhdmlvciBU
aGVyYXB5PC9rZXl3b3JkPjxrZXl3b3JkPipEaWV0PC9rZXl3b3JkPjxrZXl3b3JkPipFeGVyY2lz
ZTwva2V5d29yZD48a2V5d29yZD5GZW1hbGU8L2tleXdvcmQ+PGtleXdvcmQ+KkhlYWx0aCBQcm9t
b3Rpb248L2tleXdvcmQ+PGtleXdvcmQ+SHVtYW5zPC9rZXl3b3JkPjxrZXl3b3JkPkludGVudGlv
biB0byBUcmVhdCBBbmFseXNpczwva2V5d29yZD48a2V5d29yZD5PYmVzaXR5L2NvbXBsaWNhdGlv
bnMvZXBpZGVtaW9sb2d5LypwcmV2ZW50aW9uICZhbXA7IGNvbnRyb2w8L2tleXdvcmQ+PGtleXdv
cmQ+UG9zdHBhcnR1bSBQZXJpb2Q8L2tleXdvcmQ+PGtleXdvcmQ+UHJlZ25hbmN5PC9rZXl3b3Jk
PjxrZXl3b3JkPlByZWduYW5jeSBDb21wbGljYXRpb25zLypwcmV2ZW50aW9uICZhbXA7IGNvbnRy
b2w8L2tleXdvcmQ+PGtleXdvcmQ+UHJldmFsZW5jZTwva2V5d29yZD48a2V5d29yZD5SZWZlcmVu
Y2UgVmFsdWVzPC9rZXl3b3JkPjxrZXl3b3JkPlNpbmdsZS1CbGluZCBNZXRob2Q8L2tleXdvcmQ+
PGtleXdvcmQ+U3RhbmRhcmQgb2YgQ2FyZTwva2V5d29yZD48a2V5d29yZD5UcmVhdG1lbnQgT3V0
Y29tZTwva2V5d29yZD48a2V5d29yZD4qV2VpZ2h0IEdhaW48L2tleXdvcmQ+PGtleXdvcmQ+WW91
bmcgQWR1bHQ8L2tleXdvcmQ+PC9rZXl3b3Jkcz48ZGF0ZXM+PHllYXI+MjAxMTwveWVhcj48cHVi
LWRhdGVzPjxkYXRlPkFwcjwvZGF0ZT48L3B1Yi1kYXRlcz48L2RhdGVzPjxpc2JuPjE5MzgtMzIw
NyAoRWxlY3Ryb25pYykmI3hEOzAwMDItOTE2NSAoTGlua2luZyk8L2lzYm4+PGFjY2Vzc2lvbi1u
dW0+MjEzMTA4MzY8L2FjY2Vzc2lvbi1udW0+PHVybHM+PHJlbGF0ZWQtdXJscz48dXJsPmh0dHBz
Oi8vd3d3Lm5jYmkubmxtLm5paC5nb3YvcHVibWVkLzIxMzEwODM2PC91cmw+PC9yZWxhdGVkLXVy
bHM+PC91cmxzPjxjdXN0b20yPlBNQzMwNTc1NDY8L2N1c3RvbTI+PGVsZWN0cm9uaWMtcmVzb3Vy
Y2UtbnVtPjEwLjM5NDUvYWpjbi4xMTAuMDA1MzA2PC9lbGVjdHJvbmljLXJlc291cmNlLW51bT48
L3JlY29yZD48L0NpdGU+PENpdGU+PEF1dGhvcj5SYXVoPC9BdXRob3I+PFllYXI+MjAxMzwvWWVh
cj48UmVjTnVtPjExMDk8L1JlY051bT48cmVjb3JkPjxyZWMtbnVtYmVyPjExMDk8L3JlYy1udW1i
ZXI+PGZvcmVpZ24ta2V5cz48a2V5IGFwcD0iRU4iIGRiLWlkPSJleHZhc3JmeDJkdHJhb2VzYXN4
cDJzenN4YTJkZjUwMjU5MngiIHRpbWVzdGFtcD0iMTU1Mjk0ODQ4NSI+MTEwOTwva2V5PjwvZm9y
ZWlnbi1rZXlzPjxyZWYtdHlwZSBuYW1lPSJKb3VybmFsIEFydGljbGUiPjE3PC9yZWYtdHlwZT48
Y29udHJpYnV0b3JzPjxhdXRob3JzPjxhdXRob3I+UmF1aCwgSy48L2F1dGhvcj48YXV0aG9yPkdh
YnJpZWwsIEUuPC9hdXRob3I+PGF1dGhvcj5LZXJzY2hiYXVtLCBFLjwvYXV0aG9yPjxhdXRob3I+
U2NodXN0ZXIsIFQuPC9hdXRob3I+PGF1dGhvcj52b24gS3JpZXMsIFIuPC9hdXRob3I+PGF1dGhv
cj5BbWFubi1HYXNzbmVyLCBVLjwvYXV0aG9yPjxhdXRob3I+SGF1bmVyLCBILjwvYXV0aG9yPjwv
YXV0aG9ycz48L2NvbnRyaWJ1dG9ycz48dGl0bGVzPjx0aXRsZT5TYWZldHkgYW5kIGVmZmljYWN5
IG9mIGEgbGlmZXN0eWxlIGludGVydmVudGlvbiBmb3IgcHJlZ25hbnQgd29tZW4gdG8gcHJldmVu
dCBleGNlc3NpdmUgbWF0ZXJuYWwgd2VpZ2h0IGdhaW46IGEgY2x1c3Rlci1yYW5kb21pemVkIGNv
bnRyb2xsZWQgdHJpYWw8L3RpdGxlPjxzZWNvbmRhcnktdGl0bGU+Qk1DIFByZWduYW5jeSBDaGls
ZGJpcnRoPC9zZWNvbmRhcnktdGl0bGU+PC90aXRsZXM+PHBlcmlvZGljYWw+PGZ1bGwtdGl0bGU+
Qk1DIFByZWduYW5jeSBDaGlsZGJpcnRoPC9mdWxsLXRpdGxlPjwvcGVyaW9kaWNhbD48cGFnZXM+
MTUxPC9wYWdlcz48dm9sdW1lPjEzPC92b2x1bWU+PGVkaXRpb24+MjAxMy8wNy8yMDwvZWRpdGlv
bj48a2V5d29yZHM+PGtleXdvcmQ+QWR1bHQ8L2tleXdvcmQ+PGtleXdvcmQ+KkJpcnRoIFdlaWdo
dDwva2V5d29yZD48a2V5d29yZD5Db3Vuc2VsaW5nLyptZXRob2RzPC9rZXl3b3JkPjxrZXl3b3Jk
PipFbmVyZ3kgSW50YWtlPC9rZXl3b3JkPjxrZXl3b3JkPkZlYXNpYmlsaXR5IFN0dWRpZXM8L2tl
eXdvcmQ+PGtleXdvcmQ+RmVtYWxlPC9rZXl3b3JkPjxrZXl3b3JkPkh1bWFuczwva2V5d29yZD48
a2V5d29yZD5JbmZhbnQsIE5ld2Jvcm48L2tleXdvcmQ+PGtleXdvcmQ+Kk1vdG9yIEFjdGl2aXR5
PC9rZXl3b3JkPjxrZXl3b3JkPk9iZXNpdHkvKnByZXZlbnRpb24gJmFtcDsgY29udHJvbDwva2V5
d29yZD48a2V5d29yZD5PdmVyd2VpZ2h0L3ByZXZlbnRpb24gJmFtcDsgY29udHJvbDwva2V5d29y
ZD48a2V5d29yZD5Qb3N0cGFydHVtIFBlcmlvZDwva2V5d29yZD48a2V5d29yZD5QcmVnbmFuY3k8
L2tleXdvcmQ+PGtleXdvcmQ+UHJlZ25hbmN5IENvbXBsaWNhdGlvbnMvKnByZXZlbnRpb24gJmFt
cDsgY29udHJvbDwva2V5d29yZD48a2V5d29yZD5QcmVnbmFuY3kgT3V0Y29tZTwva2V5d29yZD48
a2V5d29yZD4qV2VpZ2h0IEdhaW48L2tleXdvcmQ+PC9rZXl3b3Jkcz48ZGF0ZXM+PHllYXI+MjAx
MzwveWVhcj48cHViLWRhdGVzPjxkYXRlPkp1bCAxNjwvZGF0ZT48L3B1Yi1kYXRlcz48L2RhdGVz
Pjxpc2JuPjE0NzEtMjM5MyAoRWxlY3Ryb25pYykmI3hEOzE0NzEtMjM5MyAoTGlua2luZyk8L2lz
Ym4+PGFjY2Vzc2lvbi1udW0+MjM4NjU2MjQ8L2FjY2Vzc2lvbi1udW0+PHVybHM+PHJlbGF0ZWQt
dXJscz48dXJsPmh0dHBzOi8vd3d3Lm5jYmkubmxtLm5paC5nb3YvcHVibWVkLzIzODY1NjI0PC91
cmw+PC9yZWxhdGVkLXVybHM+PC91cmxzPjxjdXN0b20yPlBNQzM3MTg3MDc8L2N1c3RvbTI+PGVs
ZWN0cm9uaWMtcmVzb3VyY2UtbnVtPjEwLjExODYvMTQ3MS0yMzkzLTEzLTE1MTwvZWxlY3Ryb25p
Yy1yZXNvdXJjZS1udW0+PC9yZWNvcmQ+PC9DaXRlPjxDaXRlPjxBdXRob3I+V2lsbGNveDwvQXV0
aG9yPjxZZWFyPjIwMTc8L1llYXI+PFJlY051bT45NjU8L1JlY051bT48cmVjb3JkPjxyZWMtbnVt
YmVyPjk2NTwvcmVjLW51bWJlcj48Zm9yZWlnbi1rZXlzPjxrZXkgYXBwPSJFTiIgZGItaWQ9ImV4
dmFzcmZ4MmR0cmFvZXNhc3hwMnN6c3hhMmRmNTAyNTkyeCIgdGltZXN0YW1wPSIxNTUyOTUwMDc5
Ij45NjU8L2tleT48a2V5IGFwcD0iRU5XZWIiIGRiLWlkPSIiPjA8L2tleT48L2ZvcmVpZ24ta2V5
cz48cmVmLXR5cGUgbmFtZT0iSm91cm5hbCBBcnRpY2xlIj4xNzwvcmVmLXR5cGU+PGNvbnRyaWJ1
dG9ycz48YXV0aG9ycz48YXV0aG9yPldpbGxjb3gsIEouQy4sPC9hdXRob3I+PGF1dGhvcj5XaWxr
aW5zb24sIFMuQS4sPC9hdXRob3I+PGF1dGhvcj5MYXBwYXMsIE0uLDwvYXV0aG9yPjxhdXRob3I+
QmFsbCwgSy4sPC9hdXRob3I+PGF1dGhvcj5DcmF3Zm9yZCwgRC4sPC9hdXRob3I+PGF1dGhvcj5N
Y0NhcnRoeSwgRS5BLiw8L2F1dGhvcj48YXV0aG9yPkZqZWxkc29lLCBCLiw8L2F1dGhvcj48L2F1
dGhvcnM+PC9jb250cmlidXRvcnM+PGF1dGgtYWRkcmVzcz5EZXBhcnRtZW50cyBvZiBNZWRpY2lu
ZSwgUHVibGljIEhlYWx0aCwgYW5kIE9iL0d5biwgVGVtcGxlIFVuaXZlcnNpdHksIFBoaWxhZGVs
cGhpYSwgUEEsIFVTQS48L2F1dGgtYWRkcmVzcz48dGl0bGVzPjx0aXRsZT5BIG1vYmlsZSBoZWFs
dGggaW50ZXJ2ZW50aW9uIHByb21vdGluZyBoZWFsdGh5IGdlc3RhdGlvbmFsIHdlaWdodCBnYWlu
IGZvciB3b21lbiBlbnRlcmluZyBwcmVnbmFuY3kgYXQgYSBoaWdoIGJvZHkgbWFzcyBpbmRleDog
dGhlIHR4dDR0d28gcGlsb3QgcmFuZG9taXNlZCBjb250cm9sbGVkIHRyaWFsPC90aXRsZT48c2Vj
b25kYXJ5LXRpdGxlPkJKT0c8L3NlY29uZGFyeS10aXRsZT48L3RpdGxlcz48cGVyaW9kaWNhbD48
ZnVsbC10aXRsZT5CSk9HPC9mdWxsLXRpdGxlPjwvcGVyaW9kaWNhbD48cGFnZXM+MTcxOC0yODwv
cGFnZXM+PHZvbHVtZT4xMjQ8L3ZvbHVtZT48bnVtYmVyPjExPC9udW1iZXI+PGVkaXRpb24+MjAx
Ny8wNC8yMDwvZWRpdGlvbj48ZGF0ZXM+PHllYXI+MjAxNzwveWVhcj48cHViLWRhdGVzPjxkYXRl
Pk9jdDwvZGF0ZT48L3B1Yi1kYXRlcz48L2RhdGVzPjxpc2JuPjE0NzEtMDUyOCAoRWxlY3Ryb25p
YykmI3hEOzE0NzAtMDMyOCAoTGlua2luZyk8L2lzYm4+PGFjY2Vzc2lvbi1udW0+Mjg0MjIzOTg8
L2FjY2Vzc2lvbi1udW0+PHVybHM+PHJlbGF0ZWQtdXJscz48dXJsPmh0dHBzOi8vd3d3Lm5jYmku
bmxtLm5paC5nb3YvcHVibWVkLzI4NDIyMzk4PC91cmw+PC9yZWxhdGVkLXVybHM+PC91cmxzPjxl
bGVjdHJvbmljLXJlc291cmNlLW51bT4xMC4xMTExLzE0NzEtMDUyOC4xNDY5MzwvZWxlY3Ryb25p
Yy1yZXNvdXJjZS1udW0+PC9yZWNvcmQ+PC9DaXRlPjxDaXRlPjxBdXRob3I+SGF3a2luczwvQXV0
aG9yPjxZZWFyPjIwMTU8L1llYXI+PFJlY051bT43MjY8L1JlY051bT48cmVjb3JkPjxyZWMtbnVt
YmVyPjcyNjwvcmVjLW51bWJlcj48Zm9yZWlnbi1rZXlzPjxrZXkgYXBwPSJFTiIgZGItaWQ9ImV4
dmFzcmZ4MmR0cmFvZXNhc3hwMnN6c3hhMmRmNTAyNTkyeCIgdGltZXN0YW1wPSIxNTQxNDY1MzIy
Ij43MjY8L2tleT48L2ZvcmVpZ24ta2V5cz48cmVmLXR5cGUgbmFtZT0iSm91cm5hbCBBcnRpY2xl
Ij4xNzwvcmVmLXR5cGU+PGNvbnRyaWJ1dG9ycz48YXV0aG9ycz48YXV0aG9yPkhhd2tpbnMsIE0u
PC9hdXRob3I+PGF1dGhvcj5Ib3NrZXIsIE0uPC9hdXRob3I+PGF1dGhvcj5NYXJjdXMsIEIuIEgu
PC9hdXRob3I+PGF1dGhvcj5Sb3NhbCwgTS4gQy48L2F1dGhvcj48YXV0aG9yPkJyYXVuLCBCLjwv
YXV0aG9yPjxhdXRob3I+U3RhbmVrLCBFLiBKLiwgM3JkPC9hdXRob3I+PGF1dGhvcj5NYXJrZW5z
b24sIEcuPC9hdXRob3I+PGF1dGhvcj5DaGFzYW4tVGFiZXIsIEwuPC9hdXRob3I+PC9hdXRob3Jz
PjwvY29udHJpYnV0b3JzPjxhdXRoLWFkZHJlc3M+RGl2aXNpb24gb2YgQmlvc3RhdGlzdGljcyBh
bmQgRXBpZGVtaW9sb2d5LCBEZXBhcnRtZW50IG9mIFB1YmxpYyBIZWFsdGgsIFNjaG9vbCBvZiBQ
dWJsaWMgSGVhbHRoIGFuZCBIZWFsdGggU2NpZW5jZXMsIFVuaXZlcnNpdHkgb2YgTWFzc2FjaHVz
ZXR0cywgQW1oZXJzdCwgTUEsIFVTQS48L2F1dGgtYWRkcmVzcz48dGl0bGVzPjx0aXRsZT5BIHBy
ZWduYW5jeSBsaWZlc3R5bGUgaW50ZXJ2ZW50aW9uIHRvIHByZXZlbnQgZ2VzdGF0aW9uYWwgZGlh
YmV0ZXMgcmlzayBmYWN0b3JzIGluIG92ZXJ3ZWlnaHQgSGlzcGFuaWMgd29tZW46IGEgZmVhc2li
aWxpdHkgcmFuZG9taXplZCBjb250cm9sbGVkIHRyaWFsPC90aXRsZT48c2Vjb25kYXJ5LXRpdGxl
PkRpYWJldCBNZWQ8L3NlY29uZGFyeS10aXRsZT48L3RpdGxlcz48cGVyaW9kaWNhbD48ZnVsbC10
aXRsZT5EaWFiZXQgTWVkPC9mdWxsLXRpdGxlPjwvcGVyaW9kaWNhbD48cGFnZXM+MTA4LTE1PC9w
YWdlcz48dm9sdW1lPjMyPC92b2x1bWU+PG51bWJlcj4xPC9udW1iZXI+PGVkaXRpb24+MjAxNC8x
MC8xNDwvZWRpdGlvbj48a2V5d29yZHM+PGtleXdvcmQ+QWR1bHQ8L2tleXdvcmQ+PGtleXdvcmQ+
QmlydGggV2VpZ2h0PC9rZXl3b3JkPjxrZXl3b3JkPkRpYWJldGVzLCBHZXN0YXRpb25hbC8qcHJl
dmVudGlvbiAmYW1wOyBjb250cm9sPC9rZXl3b3JkPjxrZXl3b3JkPkRpZXQ8L2tleXdvcmQ+PGtl
eXdvcmQ+RXhlcmNpc2U8L2tleXdvcmQ+PGtleXdvcmQ+RmVhc2liaWxpdHkgU3R1ZGllczwva2V5
d29yZD48a2V5d29yZD5GZWVkaW5nIEJlaGF2aW9yPC9rZXl3b3JkPjxrZXl3b3JkPkZlbWFsZTwv
a2V5d29yZD48a2V5d29yZD5IaXNwYW5pYyBBbWVyaWNhbnMvKnN0YXRpc3RpY3MgJmFtcDsgbnVt
ZXJpY2FsIGRhdGE8L2tleXdvcmQ+PGtleXdvcmQ+SHVtYW5zPC9rZXl3b3JkPjxrZXl3b3JkPklu
ZmFudCwgTmV3Ym9ybjwva2V5d29yZD48a2V5d29yZD5NYWxlPC9rZXl3b3JkPjxrZXl3b3JkPk92
ZXJ3ZWlnaHQvY29tcGxpY2F0aW9ucy8qcHJldmVudGlvbiAmYW1wOyBjb250cm9sPC9rZXl3b3Jk
PjxrZXl3b3JkPlBhdGllbnQgQ29tcGxpYW5jZTwva2V5d29yZD48a2V5d29yZD5QcmVnbmFuY3k8
L2tleXdvcmQ+PGtleXdvcmQ+UHJlbmF0YWwgQ2FyZTwva2V5d29yZD48a2V5d29yZD4qUHJpbWFy
eSBQcmV2ZW50aW9uPC9rZXl3b3JkPjxrZXl3b3JkPlJpc2sgRmFjdG9yczwva2V5d29yZD48a2V5
d29yZD4qUmlzayBSZWR1Y3Rpb24gQmVoYXZpb3I8L2tleXdvcmQ+PGtleXdvcmQ+VHJlYXRtZW50
IE91dGNvbWU8L2tleXdvcmQ+PGtleXdvcmQ+VW5pdGVkIFN0YXRlcy9lcGlkZW1pb2xvZ3k8L2tl
eXdvcmQ+PGtleXdvcmQ+V2VpZ2h0IEdhaW48L2tleXdvcmQ+PC9rZXl3b3Jkcz48ZGF0ZXM+PHll
YXI+MjAxNTwveWVhcj48cHViLWRhdGVzPjxkYXRlPkphbjwvZGF0ZT48L3B1Yi1kYXRlcz48L2Rh
dGVzPjxpc2JuPjE0NjQtNTQ5MSAoRWxlY3Ryb25pYykmI3hEOzA3NDItMzA3MSAoTGlua2luZyk8
L2lzYm4+PGFjY2Vzc2lvbi1udW0+MjUzMDY5MjU8L2FjY2Vzc2lvbi1udW0+PHVybHM+PHJlbGF0
ZWQtdXJscz48dXJsPmh0dHBzOi8vd3d3Lm5jYmkubmxtLm5paC5nb3YvcHVibWVkLzI1MzA2OTI1
PC91cmw+PC9yZWxhdGVkLXVybHM+PC91cmxzPjxlbGVjdHJvbmljLXJlc291cmNlLW51bT4xMC4x
MTExL2RtZS4xMjYwMTwvZWxlY3Ryb25pYy1yZXNvdXJjZS1udW0+PC9yZWNvcmQ+PC9DaXRlPjxD
aXRlPjxBdXRob3I+QWx0aHVpemVuPC9BdXRob3I+PFllYXI+MjAxMzwvWWVhcj48UmVjTnVtPjcw
OTwvUmVjTnVtPjxyZWNvcmQ+PHJlYy1udW1iZXI+NzA5PC9yZWMtbnVtYmVyPjxmb3JlaWduLWtl
eXM+PGtleSBhcHA9IkVOIiBkYi1pZD0iZXh2YXNyZngyZHRyYW9lc2FzeHAyc3pzeGEyZGY1MDI1
OTJ4IiB0aW1lc3RhbXA9IjE1NDE0NjIyMTYiPjcwOTwva2V5PjwvZm9yZWlnbi1rZXlzPjxyZWYt
dHlwZSBuYW1lPSJKb3VybmFsIEFydGljbGUiPjE3PC9yZWYtdHlwZT48Y29udHJpYnV0b3JzPjxh
dXRob3JzPjxhdXRob3I+QWx0aHVpemVuLCBFLjwvYXV0aG9yPjxhdXRob3I+dmFuIGRlciBXaWpk
ZW4sIEMuIEwuPC9hdXRob3I+PGF1dGhvcj52YW4gTWVjaGVsZW4sIFcuPC9hdXRob3I+PGF1dGhv
cj5TZWlkZWxsLCBKLiBDLjwvYXV0aG9yPjxhdXRob3I+dmFuIFBvcHBlbCwgTS4gTi48L2F1dGhv
cj48L2F1dGhvcnM+PC9jb250cmlidXRvcnM+PGF1dGgtYWRkcmVzcz5EZXBhcnRtZW50IG9mIFB1
YmxpYyBhbmQgT2NjdXBhdGlvbmFsIEhlYWx0aCBhbmQgdGhlIEVNR08gSW5zdGl0dXRlIGZvciBI
ZWFsdGggYW5kIENhcmUgUmVzZWFyY2gsIFZVIFVuaXZlcnNpdHkgTWVkaWNhbCBDZW50cmUsIEFt
c3RlcmRhbSwgVGhlIE5ldGhlcmxhbmRzLjwvYXV0aC1hZGRyZXNzPjx0aXRsZXM+PHRpdGxlPlRo
ZSBlZmZlY3Qgb2YgYSBjb3Vuc2VsbGluZyBpbnRlcnZlbnRpb24gb24gd2VpZ2h0IGNoYW5nZXMg
ZHVyaW5nIGFuZCBhZnRlciBwcmVnbmFuY3k6IGEgcmFuZG9taXNlZCB0cmlhbDwvdGl0bGU+PHNl
Y29uZGFyeS10aXRsZT5CSk9HPC9zZWNvbmRhcnktdGl0bGU+PC90aXRsZXM+PHBlcmlvZGljYWw+
PGZ1bGwtdGl0bGU+QkpPRzwvZnVsbC10aXRsZT48L3BlcmlvZGljYWw+PHBhZ2VzPjkyLTk8L3Bh
Z2VzPjx2b2x1bWU+MTIwPC92b2x1bWU+PG51bWJlcj4xPC9udW1iZXI+PGVkaXRpb24+MjAxMi8x
MS8wNjwvZWRpdGlvbj48a2V5d29yZHM+PGtleXdvcmQ+QWR1bHQ8L2tleXdvcmQ+PGtleXdvcmQ+
QmlydGggV2VpZ2h0PC9rZXl3b3JkPjxrZXl3b3JkPkJvZHkgTWFzcyBJbmRleDwva2V5d29yZD48
a2V5d29yZD5Db3Vuc2VsaW5nLyptZXRob2RzPC9rZXl3b3JkPjxrZXl3b3JkPkZlbWFsZTwva2V5
d29yZD48a2V5d29yZD5IdW1hbnM8L2tleXdvcmQ+PGtleXdvcmQ+TmV0aGVybGFuZHM8L2tleXdv
cmQ+PGtleXdvcmQ+T3ZlcndlaWdodC8qcHJldmVudGlvbiAmYW1wOyBjb250cm9sPC9rZXl3b3Jk
PjxrZXl3b3JkPlBhdGllbnQgQ29tcGxpYW5jZTwva2V5d29yZD48a2V5d29yZD5QcmVnbmFuY3k8
L2tleXdvcmQ+PGtleXdvcmQ+UHJlZ25hbmN5IENvbXBsaWNhdGlvbnMvKnByZXZlbnRpb24gJmFt
cDsgY29udHJvbDwva2V5d29yZD48a2V5d29yZD5QcmVnbmFuY3kgT3V0Y29tZTwva2V5d29yZD48
a2V5d29yZD5QcmVuYXRhbCBDYXJlLyptZXRob2RzPC9rZXl3b3JkPjxrZXl3b3JkPldlaWdodCBH
YWluPC9rZXl3b3JkPjwva2V5d29yZHM+PGRhdGVzPjx5ZWFyPjIwMTM8L3llYXI+PHB1Yi1kYXRl
cz48ZGF0ZT5KYW48L2RhdGU+PC9wdWItZGF0ZXM+PC9kYXRlcz48aXNibj4xNDcxLTA1MjggKEVs
ZWN0cm9uaWMpJiN4RDsxNDcwLTAzMjggKExpbmtpbmcpPC9pc2JuPjxhY2Nlc3Npb24tbnVtPjIz
MTIxMDc0PC9hY2Nlc3Npb24tbnVtPjx1cmxzPjxyZWxhdGVkLXVybHM+PHVybD5odHRwczovL3d3
dy5uY2JpLm5sbS5uaWguZ292L3B1Ym1lZC8yMzEyMTA3NDwvdXJsPjwvcmVsYXRlZC11cmxzPjwv
dXJscz48ZWxlY3Ryb25pYy1yZXNvdXJjZS1udW0+MTAuMTExMS8xNDcxLTA1MjguMTIwMTQ8L2Vs
ZWN0cm9uaWMtcmVzb3VyY2UtbnVtPjwvcmVjb3JkPjwvQ2l0ZT48Q2l0ZT48QXV0aG9yPktvcnBp
LUh5b3ZhbHRpPC9BdXRob3I+PFllYXI+MjAxMTwvWWVhcj48UmVjTnVtPjY5NzwvUmVjTnVtPjxy
ZWNvcmQ+PHJlYy1udW1iZXI+Njk3PC9yZWMtbnVtYmVyPjxmb3JlaWduLWtleXM+PGtleSBhcHA9
IkVOIiBkYi1pZD0iZXh2YXNyZngyZHRyYW9lc2FzeHAyc3pzeGEyZGY1MDI1OTJ4IiB0aW1lc3Rh
bXA9IjE1NDA1MzAyNjgiPjY5Nzwva2V5PjwvZm9yZWlnbi1rZXlzPjxyZWYtdHlwZSBuYW1lPSJK
b3VybmFsIEFydGljbGUiPjE3PC9yZWYtdHlwZT48Y29udHJpYnV0b3JzPjxhdXRob3JzPjxhdXRo
b3I+S29ycGktSHlvdmFsdGksIEUuIEEuPC9hdXRob3I+PGF1dGhvcj5MYWFrc29uZW4sIEQuIEUu
PC9hdXRob3I+PGF1dGhvcj5TY2h3YWIsIFUuIFMuPC9hdXRob3I+PGF1dGhvcj5WYW5oYXBpaGEs
IFQuIEguPC9hdXRob3I+PGF1dGhvcj5WaWhsYSwgSy4gUi48L2F1dGhvcj48YXV0aG9yPkhlaW5v
bmVuLCBTLiBULjwvYXV0aG9yPjxhdXRob3I+Tmlza2FuZW4sIEwuIEsuPC9hdXRob3I+PC9hdXRo
b3JzPjwvY29udHJpYnV0b3JzPjxhdXRoLWFkZHJlc3M+RGVwYXJ0bWVudCBvZiBJbnRlcm5hbCBN
ZWRpY2luZSwgU2VpbmFqb2tpIENlbnRyYWwgSG9zcGl0YWwsIFNlaW5ham9raSwgRmlubGFuZC4g
ZWV2YS5rb3JwaS1oeW92YWx0aUBlcHNocC5maTwvYXV0aC1hZGRyZXNzPjx0aXRsZXM+PHRpdGxl
PkZlYXNpYmlsaXR5IG9mIGEgbGlmZXN0eWxlIGludGVydmVudGlvbiBpbiBlYXJseSBwcmVnbmFu
Y3kgdG8gcHJldmVudCBkZXRlcmlvcmF0aW9uIG9mIGdsdWNvc2UgdG9sZXJhbmNlPC90aXRsZT48
c2Vjb25kYXJ5LXRpdGxlPkJNQyBQdWJsaWMgSGVhbHRoPC9zZWNvbmRhcnktdGl0bGU+PC90aXRs
ZXM+PHBlcmlvZGljYWw+PGZ1bGwtdGl0bGU+Qk1DIFB1YmxpYyBIZWFsdGg8L2Z1bGwtdGl0bGU+
PC9wZXJpb2RpY2FsPjxwYWdlcz4xNzk8L3BhZ2VzPjx2b2x1bWU+MTE8L3ZvbHVtZT48ZWRpdGlv
bj4yMDExLzAzLzI1PC9lZGl0aW9uPjxrZXl3b3Jkcz48a2V5d29yZD5BZHVsdDwva2V5d29yZD48
a2V5d29yZD5EaWFiZXRlcywgR2VzdGF0aW9uYWwvKnByZXZlbnRpb24gJmFtcDsgY29udHJvbDwv
a2V5d29yZD48a2V5d29yZD4qRGlyZWN0aXZlIENvdW5zZWxpbmc8L2tleXdvcmQ+PGtleXdvcmQ+
RmVhc2liaWxpdHkgU3R1ZGllczwva2V5d29yZD48a2V5d29yZD5GZW1hbGU8L2tleXdvcmQ+PGtl
eXdvcmQ+RmlubGFuZDwva2V5d29yZD48a2V5d29yZD5Gb2xsb3ctVXAgU3R1ZGllczwva2V5d29y
ZD48a2V5d29yZD5HbHVjb3NlIEludG9sZXJhbmNlLypwcmV2ZW50aW9uICZhbXA7IGNvbnRyb2w8
L2tleXdvcmQ+PGtleXdvcmQ+R2x1Y29zZSBUb2xlcmFuY2UgVGVzdDwva2V5d29yZD48a2V5d29y
ZD5IdW1hbnM8L2tleXdvcmQ+PGtleXdvcmQ+KkxpZmUgU3R5bGU8L2tleXdvcmQ+PGtleXdvcmQ+
UHJlZ25hbmN5PC9rZXl3b3JkPjxrZXl3b3JkPlJpc2sgRmFjdG9yczwva2V5d29yZD48a2V5d29y
ZD5UaW1lIEZhY3RvcnM8L2tleXdvcmQ+PC9rZXl3b3Jkcz48ZGF0ZXM+PHllYXI+MjAxMTwveWVh
cj48cHViLWRhdGVzPjxkYXRlPk1hciAyNDwvZGF0ZT48L3B1Yi1kYXRlcz48L2RhdGVzPjxpc2Ju
PjE0NzEtMjQ1OCAoRWxlY3Ryb25pYykmI3hEOzE0NzEtMjQ1OCAoTGlua2luZyk8L2lzYm4+PGFj
Y2Vzc2lvbi1udW0+MjE0MjkyMzQ8L2FjY2Vzc2lvbi1udW0+PHVybHM+PHJlbGF0ZWQtdXJscz48
dXJsPmh0dHBzOi8vd3d3Lm5jYmkubmxtLm5paC5nb3YvcHVibWVkLzIxNDI5MjM0PC91cmw+PC9y
ZWxhdGVkLXVybHM+PC91cmxzPjxjdXN0b20yPlBNQzMwNzgwOTU8L2N1c3RvbTI+PGVsZWN0cm9u
aWMtcmVzb3VyY2UtbnVtPjEwLjExODYvMTQ3MS0yNDU4LTExLTE3OTwvZWxlY3Ryb25pYy1yZXNv
dXJjZS1udW0+PC9yZWNvcmQ+PC9DaXRlPjxDaXRlPjxBdXRob3I+S2lhbmkgQXNpYWJhcjwvQXV0
aG9yPjxZZWFyPjIwMTg8L1llYXI+PFJlY051bT4xMzgwPC9SZWNOdW0+PHJlY29yZD48cmVjLW51
bWJlcj4xMzgwPC9yZWMtbnVtYmVyPjxmb3JlaWduLWtleXM+PGtleSBhcHA9IkVOIiBkYi1pZD0i
ZXh2YXNyZngyZHRyYW9lc2FzeHAyc3pzeGEyZGY1MDI1OTJ4IiB0aW1lc3RhbXA9IjE1NjcxMjQ1
NzEiPjEzODA8L2tleT48a2V5IGFwcD0iRU5XZWIiIGRiLWlkPSIiPjA8L2tleT48L2ZvcmVpZ24t
a2V5cz48cmVmLXR5cGUgbmFtZT0iSm91cm5hbCBBcnRpY2xlIj4xNzwvcmVmLXR5cGU+PGNvbnRy
aWJ1dG9ycz48YXV0aG9ycz48YXV0aG9yPktpYW5pIEFzaWFiYXIsIEEuPC9hdXRob3I+PGF1dGhv
cj5BbWluIFNob2tyYXZpLCBGLjwvYXV0aG9yPjxhdXRob3I+SGFqaWZhcmFqaSwgTS48L2F1dGhv
cj48YXV0aG9yPlpheWVyaSwgRi48L2F1dGhvcj48L2F1dGhvcnM+PC9jb250cmlidXRvcnM+PGF1
dGgtYWRkcmVzcz5EZXBhcnRtZW50IG9mIEhlYWx0aCBFZHVjYXRpb24gYW5kIEhlYWx0aCBQcm9t
b3Rpb24sIEZhY3VsdHkgb2YgTWVkaWNhbCBTY2llbmNlcywgVGFyYmlhdCBNb2RhcmVzIFVuaXZl
cnNpdHksIFRlaHJhbiwgSXJhbi4mI3hEO0RlcGFydG1lbnQgb2YgTWlkd2lmZXJ5LCBGYWN1bHR5
IG9mIE51cnNpbmcgYW5kIE1pZHdpZmVyeSwgU2hhaGVkIFVuaXZlcnNpdHksIFRlaHJhbiwgSXJh
bi4mI3hEO0RlcGFydG1lbnQgb2YgSGVhbHRoIEVkdWNhdGlvbnMgYW5kIEhlYWx0aCBQcm9tb3Rp
b24sIEZhY3VsdHkgb2YgTWVkaWNhbCBTY2llbmNlcywgVGFyYmlhdCBNb2RhcmVzIFVuaXZlcnNp
dHksIFRlaHJhbiwgSXJhbi4mI3hEO05hdGlvbmFsIE51dHJpdGlvbiBhbmQgRm9vZCBUZWNobm9s
b2d5IFJlc2VhcmNoIEluc3RpdHV0ZSwgU2Nob29sIG9mIE51dHJpdGlvbiBTY2llbmNlcyBhbmQg
Rm9vZCBUZWNobm9sb2d5LCBTaGFoaWQgQmVoZXNodGkgVW5pdmVyc2l0eSBvZiBNZWRpY2FsIFNj
aWVuY2VzLCBUZWhyYW4sIElyYW4uJiN4RDtEZXBhcnRtZW50IG9mIEJpb3N0YXRpc3RpY3MsIEZh
Y3VsdHkgb2YgUGFyYW1lZGljYWwgU2NpZW5jZXMsIFNoYWhpZCBCZWhlc2h0aSBVbml2ZXJzaXR5
IG9mIE1lZGljYWwgU2NpZW5jZXMsIFRlaHJhbiwgSXJhbi48L2F1dGgtYWRkcmVzcz48dGl0bGVz
Pjx0aXRsZT5UaGUgZWZmZWN0IG9mIGFuIGVkdWNhdGlvbmFsIGludGVydmVudGlvbiBpbiBlYXJs
eSBwcmVnbmFuY3kgd2l0aCBzcG91c2UmYXBvcztzIHBhcnRpY2lwYXRpb24gb24gb3B0aW1hbCBn
ZXN0YXRpb25hbCB3ZWlnaHQgZ2FpbiBpbiBwcmVnbmFuY3k6IGEgcmFuZG9taXplZCBjb250cm9s
bGVkIHRyaWFsPC90aXRsZT48c2Vjb25kYXJ5LXRpdGxlPkhlYWx0aCBFZHVjIFJlczwvc2Vjb25k
YXJ5LXRpdGxlPjwvdGl0bGVzPjxwZXJpb2RpY2FsPjxmdWxsLXRpdGxlPkhlYWx0aCBFZHVjIFJl
czwvZnVsbC10aXRsZT48L3BlcmlvZGljYWw+PHBhZ2VzPjUzNS01NDc8L3BhZ2VzPjx2b2x1bWU+
MzM8L3ZvbHVtZT48bnVtYmVyPjY8L251bWJlcj48ZWRpdGlvbj4yMDE4LzExLzMwPC9lZGl0aW9u
PjxkYXRlcz48eWVhcj4yMDE4PC95ZWFyPjxwdWItZGF0ZXM+PGRhdGU+RGVjIDE8L2RhdGU+PC9w
dWItZGF0ZXM+PC9kYXRlcz48aXNibj4xNDY1LTM2NDggKEVsZWN0cm9uaWMpJiN4RDswMjY4LTEx
NTMgKExpbmtpbmcpPC9pc2JuPjxhY2Nlc3Npb24tbnVtPjMwNDk2NDA5PC9hY2Nlc3Npb24tbnVt
Pjx1cmxzPjxyZWxhdGVkLXVybHM+PHVybD5odHRwczovL3d3dy5uY2JpLm5sbS5uaWguZ292L3B1
Ym1lZC8zMDQ5NjQwOTwvdXJsPjwvcmVsYXRlZC11cmxzPjwvdXJscz48ZWxlY3Ryb25pYy1yZXNv
dXJjZS1udW0+MTAuMTA5My9oZXIvY3l5MDQwPC9lbGVjdHJvbmljLXJlc291cmNlLW51bT48L3Jl
Y29yZD48L0NpdGU+PENpdGU+PEF1dGhvcj5QaGVsYW48L0F1dGhvcj48WWVhcj4yMDE4PC9ZZWFy
PjxSZWNOdW0+MTM4NjwvUmVjTnVtPjxyZWNvcmQ+PHJlYy1udW1iZXI+MTM4NjwvcmVjLW51bWJl
cj48Zm9yZWlnbi1rZXlzPjxrZXkgYXBwPSJFTiIgZGItaWQ9ImV4dmFzcmZ4MmR0cmFvZXNhc3hw
MnN6c3hhMmRmNTAyNTkyeCIgdGltZXN0YW1wPSIxNTY3MzgyNDg1Ij4xMzg2PC9rZXk+PC9mb3Jl
aWduLWtleXM+PHJlZi10eXBlIG5hbWU9IkpvdXJuYWwgQXJ0aWNsZSI+MTc8L3JlZi10eXBlPjxj
b250cmlidXRvcnM+PGF1dGhvcnM+PGF1dGhvcj5QaGVsYW4sIFMuPC9hdXRob3I+PGF1dGhvcj5X
aW5nLCBSLiBSLjwvYXV0aG9yPjxhdXRob3I+QnJhbm5lbiwgQS48L2F1dGhvcj48YXV0aG9yPk1j
SHVnaCwgQS48L2F1dGhvcj48YXV0aG9yPkhhZ29iaWFuLCBULiBBLjwvYXV0aG9yPjxhdXRob3I+
U2NoYWZmbmVyLCBBLjwvYXV0aG9yPjxhdXRob3I+SmVsYWxpYW4sIEUuPC9hdXRob3I+PGF1dGhv
cj5IYXJ0LCBDLiBOLjwvYXV0aG9yPjxhdXRob3I+U2Nob2xsLCBULiBPLjwvYXV0aG9yPjxhdXRo
b3I+TXVub3otQ2hyaXN0aWFuLCBLLjwvYXV0aG9yPjxhdXRob3I+WWluLCBFLjwvYXV0aG9yPjxh
dXRob3I+UGhpcHBzLCBNLiBHLjwvYXV0aG9yPjxhdXRob3I+S2VhZGxlLCBTLjwvYXV0aG9yPjxh
dXRob3I+QWJyYW1zLCBCLjwvYXV0aG9yPjwvYXV0aG9ycz48L2NvbnRyaWJ1dG9ycz48YXV0aC1h
ZGRyZXNzPkRlcGFydG1lbnRzIG9mIEtpbmVzaW9sb2d5LCBTdGF0aXN0aWNzLCBhbmQgTW9kZXJu
IExhbmd1YWdlcywgQ2FsaWZvcm5pYSBQb2x5dGVjaG5pYyBTdGF0ZSBVbml2ZXJzaXR5LCBTYW4g
THVpcyBPYmlzcG8sIENBLiYjeEQ7RGVwYXJ0bWVudCBvZiBQc3ljaGlhdHJ5IGFuZCBIdW1hbiBC
ZWhhdmlvciwgV2FycmVuIEFscGVydCBNZWRpY2FsIFNjaG9vbCBhdCBCcm93biBVbml2ZXJzaXR5
LCBQcm92aWRlbmNlLCBSSS4mI3hEO0RlcGFydG1lbnRzIG9mIFN0YXRpc3RpY3MsIGFuZCBNb2Rl
cm4gTGFuZ3VhZ2VzLCBDYWxpZm9ybmlhIFBvbHl0ZWNobmljIFN0YXRlIFVuaXZlcnNpdHksIFNh
biBMdWlzIE9iaXNwbywgQ0EuJiN4RDtEZXBhcnRtZW50IG9mIFNvY2lhbCBhbmQgQmVoYXZpb3Jh
bCBTY2llbmNlcywgVGVtcGxlIFVuaXZlcnNpdHkgQ2VudGVyIGZvciBPYmVzaXR5IFJlc2VhcmNo
IGFuZCBFZHVjYXRpb24sIFBoaWxhZGVscGhpYSwgUEEuJiN4RDtEZXBhcnRtZW50IG9mIE9ic3Rl
dHJpY3MgYW5kIEd5bmVjb2xvZ3ksIFVuaXZlcnNpdHkgb2YgTWVkaWNpbmUgYW5kIERlbnRpc3Ry
eSBvZiBOZXcgSmVyc2V5IChub3cgUm93YW4pLCBHbGFzc2Jvcm8sIE5KLiYjeEQ7RGVwYXJ0bWVu
dHMgb2YgTW9kZXJuIExhbmd1YWdlcywgQ2FsaWZvcm5pYSBQb2x5dGVjaG5pYyBTdGF0ZSBVbml2
ZXJzaXR5LCBTYW4gTHVpcyBPYmlzcG8sIENBLiYjeEQ7UGFjaWZpYyBDZW50cmFsIENvYXN0IEhl
YWx0aCBDZW50ZXJzLCBTYW50YSBNYXJpYSBXb21lbiZhcG9zO3MgSGVhbHRoLCBTYW50YSBNYXJp
YSwgQ0EuJiN4RDtEZXBhcnRtZW50IG9mIE9ic3RldHJpY3MgYW5kIEd5bmVjb2xvZ3ksIFdhcnJl
biBBbHBlcnQgTWVkaWNhbCBTY2hvb2wgb2YgQnJvd24gVW5pdmVyc2l0eSBhbmQgV29tZW4gYW5k
IEluZmFudHMgSG9zcGl0YWwsIFByb3ZpZGVuY2UsIFJJLiYjeEQ7RGl2aXNpb24gb2YgRXBpZGVt
aW9sb2d5LCBVbml2ZXJzaXR5IG9mIENhbGlmb3JuaWEgYXQgQmVya2VsZXkgU2Nob29sIG9mIFB1
YmxpYyBIZWFsdGgsIEJlcmtlbGV5LCBDQS48L2F1dGgtYWRkcmVzcz48dGl0bGVzPjx0aXRsZT5S
YW5kb21pemVkIGNvbnRyb2xsZWQgY2xpbmljYWwgdHJpYWwgb2YgYmVoYXZpb3JhbCBsaWZlc3R5
bGUgaW50ZXJ2ZW50aW9uIHdpdGggcGFydGlhbCBtZWFsIHJlcGxhY2VtZW50IHRvIHJlZHVjZSBl
eGNlc3NpdmUgZ2VzdGF0aW9uYWwgd2VpZ2h0IGdhaW48L3RpdGxlPjxzZWNvbmRhcnktdGl0bGU+
QW0gSiBDbGluIE51dHI8L3NlY29uZGFyeS10aXRsZT48L3RpdGxlcz48cGVyaW9kaWNhbD48ZnVs
bC10aXRsZT5BbSBKIENsaW4gTnV0cjwvZnVsbC10aXRsZT48L3BlcmlvZGljYWw+PHBhZ2VzPjE4
My0xOTQ8L3BhZ2VzPjx2b2x1bWU+MTA3PC92b2x1bWU+PG51bWJlcj4yPC9udW1iZXI+PGVkaXRp
b24+MjAxOC8wMy8xMzwvZWRpdGlvbj48a2V5d29yZHM+PGtleXdvcmQ+QWR1bHQ8L2tleXdvcmQ+
PGtleXdvcmQ+Qm9keSBNYXNzIEluZGV4PC9rZXl3b3JkPjxrZXl3b3JkPkNhbGlmb3JuaWE8L2tl
eXdvcmQ+PGtleXdvcmQ+RGlldDwva2V5d29yZD48a2V5d29yZD5FdGhuaWMgR3JvdXBzPC9rZXl3
b3JkPjxrZXl3b3JkPkV4ZXJjaXNlPC9rZXl3b3JkPjxrZXl3b3JkPkZlbWFsZTwva2V5d29yZD48
a2V5d29yZD4qR2VzdGF0aW9uYWwgV2VpZ2h0IEdhaW48L2tleXdvcmQ+PGtleXdvcmQ+KkhlYWx0
aCBCZWhhdmlvcjwva2V5d29yZD48a2V5d29yZD5IdW1hbnM8L2tleXdvcmQ+PGtleXdvcmQ+SW5j
aWRlbmNlPC9rZXl3b3JkPjxrZXl3b3JkPipMaWZlIFN0eWxlPC9rZXl3b3JkPjxrZXl3b3JkPk1l
YWxzPC9rZXl3b3JkPjxrZXl3b3JkPk51dHJpdGlvbiBBc3Nlc3NtZW50PC9rZXl3b3JkPjxrZXl3
b3JkPk9iZXNpdHkvKnByZXZlbnRpb24gJmFtcDsgY29udHJvbDwva2V5d29yZD48a2V5d29yZD5P
dmVyd2VpZ2h0LypwcmV2ZW50aW9uICZhbXA7IGNvbnRyb2w8L2tleXdvcmQ+PGtleXdvcmQ+UHJl
Z25hbmN5PC9rZXl3b3JkPjxrZXl3b3JkPlByZWduYW5jeSBDb21wbGljYXRpb25zLypwcmV2ZW50
aW9uICZhbXA7IGNvbnRyb2w8L2tleXdvcmQ+PGtleXdvcmQ+UHJlZ25hbmN5IE91dGNvbWU8L2tl
eXdvcmQ+PGtleXdvcmQ+UmlzayBGYWN0b3JzPC9rZXl3b3JkPjxrZXl3b3JkPllvdW5nIEFkdWx0
PC9rZXl3b3JkPjwva2V5d29yZHM+PGRhdGVzPjx5ZWFyPjIwMTg8L3llYXI+PHB1Yi1kYXRlcz48
ZGF0ZT5GZWIgMTwvZGF0ZT48L3B1Yi1kYXRlcz48L2RhdGVzPjxpc2JuPjE5MzgtMzIwNyAoRWxl
Y3Ryb25pYykmI3hEOzAwMDItOTE2NSAoTGlua2luZyk8L2lzYm4+PGFjY2Vzc2lvbi1udW0+Mjk1
MjkxNTc8L2FjY2Vzc2lvbi1udW0+PHVybHM+PHJlbGF0ZWQtdXJscz48dXJsPmh0dHBzOi8vd3d3
Lm5jYmkubmxtLm5paC5nb3YvcHVibWVkLzI5NTI5MTU3PC91cmw+PC9yZWxhdGVkLXVybHM+PC91
cmxzPjxjdXN0b20yPlBNQzY0NTUwMzA8L2N1c3RvbTI+PGVsZWN0cm9uaWMtcmVzb3VyY2UtbnVt
PjEwLjEwOTMvYWpjbi9ucXgwNDM8L2VsZWN0cm9uaWMtcmVzb3VyY2UtbnVtPjwvcmVjb3JkPjwv
Q2l0ZT48L0VuZE5vdGU+AG==
</w:fldData>
        </w:fldChar>
      </w:r>
      <w:r w:rsidR="002747EA">
        <w:instrText xml:space="preserve"> ADDIN EN.CITE </w:instrText>
      </w:r>
      <w:r w:rsidR="002747EA">
        <w:fldChar w:fldCharType="begin">
          <w:fldData xml:space="preserve">PEVuZE5vdGU+PENpdGU+PEF1dGhvcj5QaGVsYW48L0F1dGhvcj48WWVhcj4yMDExPC9ZZWFyPjxS
ZWNOdW0+NzA1PC9SZWNOdW0+PERpc3BsYXlUZXh0PjxzdHlsZSBmYWNlPSJzdXBlcnNjcmlwdCIg
Zm9udD0iVHJlYnVjaGV0IE1TIiBzaXplPSI5Ij40ODUsNDk0LDQ5Niw0OTgsNTAwLDUwMyw1MDgs
NTE2PC9zdHlsZT48L0Rpc3BsYXlUZXh0PjxyZWNvcmQ+PHJlYy1udW1iZXI+NzA1PC9yZWMtbnVt
YmVyPjxmb3JlaWduLWtleXM+PGtleSBhcHA9IkVOIiBkYi1pZD0iZXh2YXNyZngyZHRyYW9lc2Fz
eHAyc3pzeGEyZGY1MDI1OTJ4IiB0aW1lc3RhbXA9IjE1NDA1MzA2MzYiPjcwNTwva2V5PjwvZm9y
ZWlnbi1rZXlzPjxyZWYtdHlwZSBuYW1lPSJKb3VybmFsIEFydGljbGUiPjE3PC9yZWYtdHlwZT48
Y29udHJpYnV0b3JzPjxhdXRob3JzPjxhdXRob3I+UGhlbGFuLCBTLjwvYXV0aG9yPjxhdXRob3I+
UGhpcHBzLCBNLiBHLjwvYXV0aG9yPjxhdXRob3I+QWJyYW1zLCBCLjwvYXV0aG9yPjxhdXRob3I+
RGFycm9jaCwgRi48L2F1dGhvcj48YXV0aG9yPlNjaGFmZm5lciwgQS48L2F1dGhvcj48YXV0aG9y
PldpbmcsIFIuIFIuPC9hdXRob3I+PC9hdXRob3JzPjwvY29udHJpYnV0b3JzPjxhdXRoLWFkZHJl
c3M+RGVwYXJ0bWVudHMgb2YgS2luZXNpb2xvZ3ksIENhbGlmb3JuaWEgUG9seXRlY2huaWMgU3Rh
dGUgVW5pdmVyc2l0eSwgU2FuIEx1aXMgT2Jpc3BvLCA5MzQwNy0wMzg2LCBVU0EuIHNwaGVsYW5A
Y2FscG9seS5lZHU8L2F1dGgtYWRkcmVzcz48dGl0bGVzPjx0aXRsZT5SYW5kb21pemVkIHRyaWFs
IG9mIGEgYmVoYXZpb3JhbCBpbnRlcnZlbnRpb24gdG8gcHJldmVudCBleGNlc3NpdmUgZ2VzdGF0
aW9uYWwgd2VpZ2h0IGdhaW46IHRoZSBGaXQgZm9yIERlbGl2ZXJ5IFN0dWR5PC90aXRsZT48c2Vj
b25kYXJ5LXRpdGxlPkFtIEogQ2xpbiBOdXRyPC9zZWNvbmRhcnktdGl0bGU+PC90aXRsZXM+PHBl
cmlvZGljYWw+PGZ1bGwtdGl0bGU+QW0gSiBDbGluIE51dHI8L2Z1bGwtdGl0bGU+PC9wZXJpb2Rp
Y2FsPjxwYWdlcz43NzItOTwvcGFnZXM+PHZvbHVtZT45Mzwvdm9sdW1lPjxudW1iZXI+NDwvbnVt
YmVyPjxlZGl0aW9uPjIwMTEvMDIvMTI8L2VkaXRpb24+PGtleXdvcmRzPjxrZXl3b3JkPkFkdWx0
PC9rZXl3b3JkPjxrZXl3b3JkPkJlaGF2aW9yPC9rZXl3b3JkPjxrZXl3b3JkPipCZWhhdmlvciBU
aGVyYXB5PC9rZXl3b3JkPjxrZXl3b3JkPipEaWV0PC9rZXl3b3JkPjxrZXl3b3JkPipFeGVyY2lz
ZTwva2V5d29yZD48a2V5d29yZD5GZW1hbGU8L2tleXdvcmQ+PGtleXdvcmQ+KkhlYWx0aCBQcm9t
b3Rpb248L2tleXdvcmQ+PGtleXdvcmQ+SHVtYW5zPC9rZXl3b3JkPjxrZXl3b3JkPkludGVudGlv
biB0byBUcmVhdCBBbmFseXNpczwva2V5d29yZD48a2V5d29yZD5PYmVzaXR5L2NvbXBsaWNhdGlv
bnMvZXBpZGVtaW9sb2d5LypwcmV2ZW50aW9uICZhbXA7IGNvbnRyb2w8L2tleXdvcmQ+PGtleXdv
cmQ+UG9zdHBhcnR1bSBQZXJpb2Q8L2tleXdvcmQ+PGtleXdvcmQ+UHJlZ25hbmN5PC9rZXl3b3Jk
PjxrZXl3b3JkPlByZWduYW5jeSBDb21wbGljYXRpb25zLypwcmV2ZW50aW9uICZhbXA7IGNvbnRy
b2w8L2tleXdvcmQ+PGtleXdvcmQ+UHJldmFsZW5jZTwva2V5d29yZD48a2V5d29yZD5SZWZlcmVu
Y2UgVmFsdWVzPC9rZXl3b3JkPjxrZXl3b3JkPlNpbmdsZS1CbGluZCBNZXRob2Q8L2tleXdvcmQ+
PGtleXdvcmQ+U3RhbmRhcmQgb2YgQ2FyZTwva2V5d29yZD48a2V5d29yZD5UcmVhdG1lbnQgT3V0
Y29tZTwva2V5d29yZD48a2V5d29yZD4qV2VpZ2h0IEdhaW48L2tleXdvcmQ+PGtleXdvcmQ+WW91
bmcgQWR1bHQ8L2tleXdvcmQ+PC9rZXl3b3Jkcz48ZGF0ZXM+PHllYXI+MjAxMTwveWVhcj48cHVi
LWRhdGVzPjxkYXRlPkFwcjwvZGF0ZT48L3B1Yi1kYXRlcz48L2RhdGVzPjxpc2JuPjE5MzgtMzIw
NyAoRWxlY3Ryb25pYykmI3hEOzAwMDItOTE2NSAoTGlua2luZyk8L2lzYm4+PGFjY2Vzc2lvbi1u
dW0+MjEzMTA4MzY8L2FjY2Vzc2lvbi1udW0+PHVybHM+PHJlbGF0ZWQtdXJscz48dXJsPmh0dHBz
Oi8vd3d3Lm5jYmkubmxtLm5paC5nb3YvcHVibWVkLzIxMzEwODM2PC91cmw+PC9yZWxhdGVkLXVy
bHM+PC91cmxzPjxjdXN0b20yPlBNQzMwNTc1NDY8L2N1c3RvbTI+PGVsZWN0cm9uaWMtcmVzb3Vy
Y2UtbnVtPjEwLjM5NDUvYWpjbi4xMTAuMDA1MzA2PC9lbGVjdHJvbmljLXJlc291cmNlLW51bT48
L3JlY29yZD48L0NpdGU+PENpdGU+PEF1dGhvcj5SYXVoPC9BdXRob3I+PFllYXI+MjAxMzwvWWVh
cj48UmVjTnVtPjExMDk8L1JlY051bT48cmVjb3JkPjxyZWMtbnVtYmVyPjExMDk8L3JlYy1udW1i
ZXI+PGZvcmVpZ24ta2V5cz48a2V5IGFwcD0iRU4iIGRiLWlkPSJleHZhc3JmeDJkdHJhb2VzYXN4
cDJzenN4YTJkZjUwMjU5MngiIHRpbWVzdGFtcD0iMTU1Mjk0ODQ4NSI+MTEwOTwva2V5PjwvZm9y
ZWlnbi1rZXlzPjxyZWYtdHlwZSBuYW1lPSJKb3VybmFsIEFydGljbGUiPjE3PC9yZWYtdHlwZT48
Y29udHJpYnV0b3JzPjxhdXRob3JzPjxhdXRob3I+UmF1aCwgSy48L2F1dGhvcj48YXV0aG9yPkdh
YnJpZWwsIEUuPC9hdXRob3I+PGF1dGhvcj5LZXJzY2hiYXVtLCBFLjwvYXV0aG9yPjxhdXRob3I+
U2NodXN0ZXIsIFQuPC9hdXRob3I+PGF1dGhvcj52b24gS3JpZXMsIFIuPC9hdXRob3I+PGF1dGhv
cj5BbWFubi1HYXNzbmVyLCBVLjwvYXV0aG9yPjxhdXRob3I+SGF1bmVyLCBILjwvYXV0aG9yPjwv
YXV0aG9ycz48L2NvbnRyaWJ1dG9ycz48dGl0bGVzPjx0aXRsZT5TYWZldHkgYW5kIGVmZmljYWN5
IG9mIGEgbGlmZXN0eWxlIGludGVydmVudGlvbiBmb3IgcHJlZ25hbnQgd29tZW4gdG8gcHJldmVu
dCBleGNlc3NpdmUgbWF0ZXJuYWwgd2VpZ2h0IGdhaW46IGEgY2x1c3Rlci1yYW5kb21pemVkIGNv
bnRyb2xsZWQgdHJpYWw8L3RpdGxlPjxzZWNvbmRhcnktdGl0bGU+Qk1DIFByZWduYW5jeSBDaGls
ZGJpcnRoPC9zZWNvbmRhcnktdGl0bGU+PC90aXRsZXM+PHBlcmlvZGljYWw+PGZ1bGwtdGl0bGU+
Qk1DIFByZWduYW5jeSBDaGlsZGJpcnRoPC9mdWxsLXRpdGxlPjwvcGVyaW9kaWNhbD48cGFnZXM+
MTUxPC9wYWdlcz48dm9sdW1lPjEzPC92b2x1bWU+PGVkaXRpb24+MjAxMy8wNy8yMDwvZWRpdGlv
bj48a2V5d29yZHM+PGtleXdvcmQ+QWR1bHQ8L2tleXdvcmQ+PGtleXdvcmQ+KkJpcnRoIFdlaWdo
dDwva2V5d29yZD48a2V5d29yZD5Db3Vuc2VsaW5nLyptZXRob2RzPC9rZXl3b3JkPjxrZXl3b3Jk
PipFbmVyZ3kgSW50YWtlPC9rZXl3b3JkPjxrZXl3b3JkPkZlYXNpYmlsaXR5IFN0dWRpZXM8L2tl
eXdvcmQ+PGtleXdvcmQ+RmVtYWxlPC9rZXl3b3JkPjxrZXl3b3JkPkh1bWFuczwva2V5d29yZD48
a2V5d29yZD5JbmZhbnQsIE5ld2Jvcm48L2tleXdvcmQ+PGtleXdvcmQ+Kk1vdG9yIEFjdGl2aXR5
PC9rZXl3b3JkPjxrZXl3b3JkPk9iZXNpdHkvKnByZXZlbnRpb24gJmFtcDsgY29udHJvbDwva2V5
d29yZD48a2V5d29yZD5PdmVyd2VpZ2h0L3ByZXZlbnRpb24gJmFtcDsgY29udHJvbDwva2V5d29y
ZD48a2V5d29yZD5Qb3N0cGFydHVtIFBlcmlvZDwva2V5d29yZD48a2V5d29yZD5QcmVnbmFuY3k8
L2tleXdvcmQ+PGtleXdvcmQ+UHJlZ25hbmN5IENvbXBsaWNhdGlvbnMvKnByZXZlbnRpb24gJmFt
cDsgY29udHJvbDwva2V5d29yZD48a2V5d29yZD5QcmVnbmFuY3kgT3V0Y29tZTwva2V5d29yZD48
a2V5d29yZD4qV2VpZ2h0IEdhaW48L2tleXdvcmQ+PC9rZXl3b3Jkcz48ZGF0ZXM+PHllYXI+MjAx
MzwveWVhcj48cHViLWRhdGVzPjxkYXRlPkp1bCAxNjwvZGF0ZT48L3B1Yi1kYXRlcz48L2RhdGVz
Pjxpc2JuPjE0NzEtMjM5MyAoRWxlY3Ryb25pYykmI3hEOzE0NzEtMjM5MyAoTGlua2luZyk8L2lz
Ym4+PGFjY2Vzc2lvbi1udW0+MjM4NjU2MjQ8L2FjY2Vzc2lvbi1udW0+PHVybHM+PHJlbGF0ZWQt
dXJscz48dXJsPmh0dHBzOi8vd3d3Lm5jYmkubmxtLm5paC5nb3YvcHVibWVkLzIzODY1NjI0PC91
cmw+PC9yZWxhdGVkLXVybHM+PC91cmxzPjxjdXN0b20yPlBNQzM3MTg3MDc8L2N1c3RvbTI+PGVs
ZWN0cm9uaWMtcmVzb3VyY2UtbnVtPjEwLjExODYvMTQ3MS0yMzkzLTEzLTE1MTwvZWxlY3Ryb25p
Yy1yZXNvdXJjZS1udW0+PC9yZWNvcmQ+PC9DaXRlPjxDaXRlPjxBdXRob3I+V2lsbGNveDwvQXV0
aG9yPjxZZWFyPjIwMTc8L1llYXI+PFJlY051bT45NjU8L1JlY051bT48cmVjb3JkPjxyZWMtbnVt
YmVyPjk2NTwvcmVjLW51bWJlcj48Zm9yZWlnbi1rZXlzPjxrZXkgYXBwPSJFTiIgZGItaWQ9ImV4
dmFzcmZ4MmR0cmFvZXNhc3hwMnN6c3hhMmRmNTAyNTkyeCIgdGltZXN0YW1wPSIxNTUyOTUwMDc5
Ij45NjU8L2tleT48a2V5IGFwcD0iRU5XZWIiIGRiLWlkPSIiPjA8L2tleT48L2ZvcmVpZ24ta2V5
cz48cmVmLXR5cGUgbmFtZT0iSm91cm5hbCBBcnRpY2xlIj4xNzwvcmVmLXR5cGU+PGNvbnRyaWJ1
dG9ycz48YXV0aG9ycz48YXV0aG9yPldpbGxjb3gsIEouQy4sPC9hdXRob3I+PGF1dGhvcj5XaWxr
aW5zb24sIFMuQS4sPC9hdXRob3I+PGF1dGhvcj5MYXBwYXMsIE0uLDwvYXV0aG9yPjxhdXRob3I+
QmFsbCwgSy4sPC9hdXRob3I+PGF1dGhvcj5DcmF3Zm9yZCwgRC4sPC9hdXRob3I+PGF1dGhvcj5N
Y0NhcnRoeSwgRS5BLiw8L2F1dGhvcj48YXV0aG9yPkZqZWxkc29lLCBCLiw8L2F1dGhvcj48L2F1
dGhvcnM+PC9jb250cmlidXRvcnM+PGF1dGgtYWRkcmVzcz5EZXBhcnRtZW50cyBvZiBNZWRpY2lu
ZSwgUHVibGljIEhlYWx0aCwgYW5kIE9iL0d5biwgVGVtcGxlIFVuaXZlcnNpdHksIFBoaWxhZGVs
cGhpYSwgUEEsIFVTQS48L2F1dGgtYWRkcmVzcz48dGl0bGVzPjx0aXRsZT5BIG1vYmlsZSBoZWFs
dGggaW50ZXJ2ZW50aW9uIHByb21vdGluZyBoZWFsdGh5IGdlc3RhdGlvbmFsIHdlaWdodCBnYWlu
IGZvciB3b21lbiBlbnRlcmluZyBwcmVnbmFuY3kgYXQgYSBoaWdoIGJvZHkgbWFzcyBpbmRleDog
dGhlIHR4dDR0d28gcGlsb3QgcmFuZG9taXNlZCBjb250cm9sbGVkIHRyaWFsPC90aXRsZT48c2Vj
b25kYXJ5LXRpdGxlPkJKT0c8L3NlY29uZGFyeS10aXRsZT48L3RpdGxlcz48cGVyaW9kaWNhbD48
ZnVsbC10aXRsZT5CSk9HPC9mdWxsLXRpdGxlPjwvcGVyaW9kaWNhbD48cGFnZXM+MTcxOC0yODwv
cGFnZXM+PHZvbHVtZT4xMjQ8L3ZvbHVtZT48bnVtYmVyPjExPC9udW1iZXI+PGVkaXRpb24+MjAx
Ny8wNC8yMDwvZWRpdGlvbj48ZGF0ZXM+PHllYXI+MjAxNzwveWVhcj48cHViLWRhdGVzPjxkYXRl
Pk9jdDwvZGF0ZT48L3B1Yi1kYXRlcz48L2RhdGVzPjxpc2JuPjE0NzEtMDUyOCAoRWxlY3Ryb25p
YykmI3hEOzE0NzAtMDMyOCAoTGlua2luZyk8L2lzYm4+PGFjY2Vzc2lvbi1udW0+Mjg0MjIzOTg8
L2FjY2Vzc2lvbi1udW0+PHVybHM+PHJlbGF0ZWQtdXJscz48dXJsPmh0dHBzOi8vd3d3Lm5jYmku
bmxtLm5paC5nb3YvcHVibWVkLzI4NDIyMzk4PC91cmw+PC9yZWxhdGVkLXVybHM+PC91cmxzPjxl
bGVjdHJvbmljLXJlc291cmNlLW51bT4xMC4xMTExLzE0NzEtMDUyOC4xNDY5MzwvZWxlY3Ryb25p
Yy1yZXNvdXJjZS1udW0+PC9yZWNvcmQ+PC9DaXRlPjxDaXRlPjxBdXRob3I+SGF3a2luczwvQXV0
aG9yPjxZZWFyPjIwMTU8L1llYXI+PFJlY051bT43MjY8L1JlY051bT48cmVjb3JkPjxyZWMtbnVt
YmVyPjcyNjwvcmVjLW51bWJlcj48Zm9yZWlnbi1rZXlzPjxrZXkgYXBwPSJFTiIgZGItaWQ9ImV4
dmFzcmZ4MmR0cmFvZXNhc3hwMnN6c3hhMmRmNTAyNTkyeCIgdGltZXN0YW1wPSIxNTQxNDY1MzIy
Ij43MjY8L2tleT48L2ZvcmVpZ24ta2V5cz48cmVmLXR5cGUgbmFtZT0iSm91cm5hbCBBcnRpY2xl
Ij4xNzwvcmVmLXR5cGU+PGNvbnRyaWJ1dG9ycz48YXV0aG9ycz48YXV0aG9yPkhhd2tpbnMsIE0u
PC9hdXRob3I+PGF1dGhvcj5Ib3NrZXIsIE0uPC9hdXRob3I+PGF1dGhvcj5NYXJjdXMsIEIuIEgu
PC9hdXRob3I+PGF1dGhvcj5Sb3NhbCwgTS4gQy48L2F1dGhvcj48YXV0aG9yPkJyYXVuLCBCLjwv
YXV0aG9yPjxhdXRob3I+U3RhbmVrLCBFLiBKLiwgM3JkPC9hdXRob3I+PGF1dGhvcj5NYXJrZW5z
b24sIEcuPC9hdXRob3I+PGF1dGhvcj5DaGFzYW4tVGFiZXIsIEwuPC9hdXRob3I+PC9hdXRob3Jz
PjwvY29udHJpYnV0b3JzPjxhdXRoLWFkZHJlc3M+RGl2aXNpb24gb2YgQmlvc3RhdGlzdGljcyBh
bmQgRXBpZGVtaW9sb2d5LCBEZXBhcnRtZW50IG9mIFB1YmxpYyBIZWFsdGgsIFNjaG9vbCBvZiBQ
dWJsaWMgSGVhbHRoIGFuZCBIZWFsdGggU2NpZW5jZXMsIFVuaXZlcnNpdHkgb2YgTWFzc2FjaHVz
ZXR0cywgQW1oZXJzdCwgTUEsIFVTQS48L2F1dGgtYWRkcmVzcz48dGl0bGVzPjx0aXRsZT5BIHBy
ZWduYW5jeSBsaWZlc3R5bGUgaW50ZXJ2ZW50aW9uIHRvIHByZXZlbnQgZ2VzdGF0aW9uYWwgZGlh
YmV0ZXMgcmlzayBmYWN0b3JzIGluIG92ZXJ3ZWlnaHQgSGlzcGFuaWMgd29tZW46IGEgZmVhc2li
aWxpdHkgcmFuZG9taXplZCBjb250cm9sbGVkIHRyaWFsPC90aXRsZT48c2Vjb25kYXJ5LXRpdGxl
PkRpYWJldCBNZWQ8L3NlY29uZGFyeS10aXRsZT48L3RpdGxlcz48cGVyaW9kaWNhbD48ZnVsbC10
aXRsZT5EaWFiZXQgTWVkPC9mdWxsLXRpdGxlPjwvcGVyaW9kaWNhbD48cGFnZXM+MTA4LTE1PC9w
YWdlcz48dm9sdW1lPjMyPC92b2x1bWU+PG51bWJlcj4xPC9udW1iZXI+PGVkaXRpb24+MjAxNC8x
MC8xNDwvZWRpdGlvbj48a2V5d29yZHM+PGtleXdvcmQ+QWR1bHQ8L2tleXdvcmQ+PGtleXdvcmQ+
QmlydGggV2VpZ2h0PC9rZXl3b3JkPjxrZXl3b3JkPkRpYWJldGVzLCBHZXN0YXRpb25hbC8qcHJl
dmVudGlvbiAmYW1wOyBjb250cm9sPC9rZXl3b3JkPjxrZXl3b3JkPkRpZXQ8L2tleXdvcmQ+PGtl
eXdvcmQ+RXhlcmNpc2U8L2tleXdvcmQ+PGtleXdvcmQ+RmVhc2liaWxpdHkgU3R1ZGllczwva2V5
d29yZD48a2V5d29yZD5GZWVkaW5nIEJlaGF2aW9yPC9rZXl3b3JkPjxrZXl3b3JkPkZlbWFsZTwv
a2V5d29yZD48a2V5d29yZD5IaXNwYW5pYyBBbWVyaWNhbnMvKnN0YXRpc3RpY3MgJmFtcDsgbnVt
ZXJpY2FsIGRhdGE8L2tleXdvcmQ+PGtleXdvcmQ+SHVtYW5zPC9rZXl3b3JkPjxrZXl3b3JkPklu
ZmFudCwgTmV3Ym9ybjwva2V5d29yZD48a2V5d29yZD5NYWxlPC9rZXl3b3JkPjxrZXl3b3JkPk92
ZXJ3ZWlnaHQvY29tcGxpY2F0aW9ucy8qcHJldmVudGlvbiAmYW1wOyBjb250cm9sPC9rZXl3b3Jk
PjxrZXl3b3JkPlBhdGllbnQgQ29tcGxpYW5jZTwva2V5d29yZD48a2V5d29yZD5QcmVnbmFuY3k8
L2tleXdvcmQ+PGtleXdvcmQ+UHJlbmF0YWwgQ2FyZTwva2V5d29yZD48a2V5d29yZD4qUHJpbWFy
eSBQcmV2ZW50aW9uPC9rZXl3b3JkPjxrZXl3b3JkPlJpc2sgRmFjdG9yczwva2V5d29yZD48a2V5
d29yZD4qUmlzayBSZWR1Y3Rpb24gQmVoYXZpb3I8L2tleXdvcmQ+PGtleXdvcmQ+VHJlYXRtZW50
IE91dGNvbWU8L2tleXdvcmQ+PGtleXdvcmQ+VW5pdGVkIFN0YXRlcy9lcGlkZW1pb2xvZ3k8L2tl
eXdvcmQ+PGtleXdvcmQ+V2VpZ2h0IEdhaW48L2tleXdvcmQ+PC9rZXl3b3Jkcz48ZGF0ZXM+PHll
YXI+MjAxNTwveWVhcj48cHViLWRhdGVzPjxkYXRlPkphbjwvZGF0ZT48L3B1Yi1kYXRlcz48L2Rh
dGVzPjxpc2JuPjE0NjQtNTQ5MSAoRWxlY3Ryb25pYykmI3hEOzA3NDItMzA3MSAoTGlua2luZyk8
L2lzYm4+PGFjY2Vzc2lvbi1udW0+MjUzMDY5MjU8L2FjY2Vzc2lvbi1udW0+PHVybHM+PHJlbGF0
ZWQtdXJscz48dXJsPmh0dHBzOi8vd3d3Lm5jYmkubmxtLm5paC5nb3YvcHVibWVkLzI1MzA2OTI1
PC91cmw+PC9yZWxhdGVkLXVybHM+PC91cmxzPjxlbGVjdHJvbmljLXJlc291cmNlLW51bT4xMC4x
MTExL2RtZS4xMjYwMTwvZWxlY3Ryb25pYy1yZXNvdXJjZS1udW0+PC9yZWNvcmQ+PC9DaXRlPjxD
aXRlPjxBdXRob3I+QWx0aHVpemVuPC9BdXRob3I+PFllYXI+MjAxMzwvWWVhcj48UmVjTnVtPjcw
OTwvUmVjTnVtPjxyZWNvcmQ+PHJlYy1udW1iZXI+NzA5PC9yZWMtbnVtYmVyPjxmb3JlaWduLWtl
eXM+PGtleSBhcHA9IkVOIiBkYi1pZD0iZXh2YXNyZngyZHRyYW9lc2FzeHAyc3pzeGEyZGY1MDI1
OTJ4IiB0aW1lc3RhbXA9IjE1NDE0NjIyMTYiPjcwOTwva2V5PjwvZm9yZWlnbi1rZXlzPjxyZWYt
dHlwZSBuYW1lPSJKb3VybmFsIEFydGljbGUiPjE3PC9yZWYtdHlwZT48Y29udHJpYnV0b3JzPjxh
dXRob3JzPjxhdXRob3I+QWx0aHVpemVuLCBFLjwvYXV0aG9yPjxhdXRob3I+dmFuIGRlciBXaWpk
ZW4sIEMuIEwuPC9hdXRob3I+PGF1dGhvcj52YW4gTWVjaGVsZW4sIFcuPC9hdXRob3I+PGF1dGhv
cj5TZWlkZWxsLCBKLiBDLjwvYXV0aG9yPjxhdXRob3I+dmFuIFBvcHBlbCwgTS4gTi48L2F1dGhv
cj48L2F1dGhvcnM+PC9jb250cmlidXRvcnM+PGF1dGgtYWRkcmVzcz5EZXBhcnRtZW50IG9mIFB1
YmxpYyBhbmQgT2NjdXBhdGlvbmFsIEhlYWx0aCBhbmQgdGhlIEVNR08gSW5zdGl0dXRlIGZvciBI
ZWFsdGggYW5kIENhcmUgUmVzZWFyY2gsIFZVIFVuaXZlcnNpdHkgTWVkaWNhbCBDZW50cmUsIEFt
c3RlcmRhbSwgVGhlIE5ldGhlcmxhbmRzLjwvYXV0aC1hZGRyZXNzPjx0aXRsZXM+PHRpdGxlPlRo
ZSBlZmZlY3Qgb2YgYSBjb3Vuc2VsbGluZyBpbnRlcnZlbnRpb24gb24gd2VpZ2h0IGNoYW5nZXMg
ZHVyaW5nIGFuZCBhZnRlciBwcmVnbmFuY3k6IGEgcmFuZG9taXNlZCB0cmlhbDwvdGl0bGU+PHNl
Y29uZGFyeS10aXRsZT5CSk9HPC9zZWNvbmRhcnktdGl0bGU+PC90aXRsZXM+PHBlcmlvZGljYWw+
PGZ1bGwtdGl0bGU+QkpPRzwvZnVsbC10aXRsZT48L3BlcmlvZGljYWw+PHBhZ2VzPjkyLTk8L3Bh
Z2VzPjx2b2x1bWU+MTIwPC92b2x1bWU+PG51bWJlcj4xPC9udW1iZXI+PGVkaXRpb24+MjAxMi8x
MS8wNjwvZWRpdGlvbj48a2V5d29yZHM+PGtleXdvcmQ+QWR1bHQ8L2tleXdvcmQ+PGtleXdvcmQ+
QmlydGggV2VpZ2h0PC9rZXl3b3JkPjxrZXl3b3JkPkJvZHkgTWFzcyBJbmRleDwva2V5d29yZD48
a2V5d29yZD5Db3Vuc2VsaW5nLyptZXRob2RzPC9rZXl3b3JkPjxrZXl3b3JkPkZlbWFsZTwva2V5
d29yZD48a2V5d29yZD5IdW1hbnM8L2tleXdvcmQ+PGtleXdvcmQ+TmV0aGVybGFuZHM8L2tleXdv
cmQ+PGtleXdvcmQ+T3ZlcndlaWdodC8qcHJldmVudGlvbiAmYW1wOyBjb250cm9sPC9rZXl3b3Jk
PjxrZXl3b3JkPlBhdGllbnQgQ29tcGxpYW5jZTwva2V5d29yZD48a2V5d29yZD5QcmVnbmFuY3k8
L2tleXdvcmQ+PGtleXdvcmQ+UHJlZ25hbmN5IENvbXBsaWNhdGlvbnMvKnByZXZlbnRpb24gJmFt
cDsgY29udHJvbDwva2V5d29yZD48a2V5d29yZD5QcmVnbmFuY3kgT3V0Y29tZTwva2V5d29yZD48
a2V5d29yZD5QcmVuYXRhbCBDYXJlLyptZXRob2RzPC9rZXl3b3JkPjxrZXl3b3JkPldlaWdodCBH
YWluPC9rZXl3b3JkPjwva2V5d29yZHM+PGRhdGVzPjx5ZWFyPjIwMTM8L3llYXI+PHB1Yi1kYXRl
cz48ZGF0ZT5KYW48L2RhdGU+PC9wdWItZGF0ZXM+PC9kYXRlcz48aXNibj4xNDcxLTA1MjggKEVs
ZWN0cm9uaWMpJiN4RDsxNDcwLTAzMjggKExpbmtpbmcpPC9pc2JuPjxhY2Nlc3Npb24tbnVtPjIz
MTIxMDc0PC9hY2Nlc3Npb24tbnVtPjx1cmxzPjxyZWxhdGVkLXVybHM+PHVybD5odHRwczovL3d3
dy5uY2JpLm5sbS5uaWguZ292L3B1Ym1lZC8yMzEyMTA3NDwvdXJsPjwvcmVsYXRlZC11cmxzPjwv
dXJscz48ZWxlY3Ryb25pYy1yZXNvdXJjZS1udW0+MTAuMTExMS8xNDcxLTA1MjguMTIwMTQ8L2Vs
ZWN0cm9uaWMtcmVzb3VyY2UtbnVtPjwvcmVjb3JkPjwvQ2l0ZT48Q2l0ZT48QXV0aG9yPktvcnBp
LUh5b3ZhbHRpPC9BdXRob3I+PFllYXI+MjAxMTwvWWVhcj48UmVjTnVtPjY5NzwvUmVjTnVtPjxy
ZWNvcmQ+PHJlYy1udW1iZXI+Njk3PC9yZWMtbnVtYmVyPjxmb3JlaWduLWtleXM+PGtleSBhcHA9
IkVOIiBkYi1pZD0iZXh2YXNyZngyZHRyYW9lc2FzeHAyc3pzeGEyZGY1MDI1OTJ4IiB0aW1lc3Rh
bXA9IjE1NDA1MzAyNjgiPjY5Nzwva2V5PjwvZm9yZWlnbi1rZXlzPjxyZWYtdHlwZSBuYW1lPSJK
b3VybmFsIEFydGljbGUiPjE3PC9yZWYtdHlwZT48Y29udHJpYnV0b3JzPjxhdXRob3JzPjxhdXRo
b3I+S29ycGktSHlvdmFsdGksIEUuIEEuPC9hdXRob3I+PGF1dGhvcj5MYWFrc29uZW4sIEQuIEUu
PC9hdXRob3I+PGF1dGhvcj5TY2h3YWIsIFUuIFMuPC9hdXRob3I+PGF1dGhvcj5WYW5oYXBpaGEs
IFQuIEguPC9hdXRob3I+PGF1dGhvcj5WaWhsYSwgSy4gUi48L2F1dGhvcj48YXV0aG9yPkhlaW5v
bmVuLCBTLiBULjwvYXV0aG9yPjxhdXRob3I+Tmlza2FuZW4sIEwuIEsuPC9hdXRob3I+PC9hdXRo
b3JzPjwvY29udHJpYnV0b3JzPjxhdXRoLWFkZHJlc3M+RGVwYXJ0bWVudCBvZiBJbnRlcm5hbCBN
ZWRpY2luZSwgU2VpbmFqb2tpIENlbnRyYWwgSG9zcGl0YWwsIFNlaW5ham9raSwgRmlubGFuZC4g
ZWV2YS5rb3JwaS1oeW92YWx0aUBlcHNocC5maTwvYXV0aC1hZGRyZXNzPjx0aXRsZXM+PHRpdGxl
PkZlYXNpYmlsaXR5IG9mIGEgbGlmZXN0eWxlIGludGVydmVudGlvbiBpbiBlYXJseSBwcmVnbmFu
Y3kgdG8gcHJldmVudCBkZXRlcmlvcmF0aW9uIG9mIGdsdWNvc2UgdG9sZXJhbmNlPC90aXRsZT48
c2Vjb25kYXJ5LXRpdGxlPkJNQyBQdWJsaWMgSGVhbHRoPC9zZWNvbmRhcnktdGl0bGU+PC90aXRs
ZXM+PHBlcmlvZGljYWw+PGZ1bGwtdGl0bGU+Qk1DIFB1YmxpYyBIZWFsdGg8L2Z1bGwtdGl0bGU+
PC9wZXJpb2RpY2FsPjxwYWdlcz4xNzk8L3BhZ2VzPjx2b2x1bWU+MTE8L3ZvbHVtZT48ZWRpdGlv
bj4yMDExLzAzLzI1PC9lZGl0aW9uPjxrZXl3b3Jkcz48a2V5d29yZD5BZHVsdDwva2V5d29yZD48
a2V5d29yZD5EaWFiZXRlcywgR2VzdGF0aW9uYWwvKnByZXZlbnRpb24gJmFtcDsgY29udHJvbDwv
a2V5d29yZD48a2V5d29yZD4qRGlyZWN0aXZlIENvdW5zZWxpbmc8L2tleXdvcmQ+PGtleXdvcmQ+
RmVhc2liaWxpdHkgU3R1ZGllczwva2V5d29yZD48a2V5d29yZD5GZW1hbGU8L2tleXdvcmQ+PGtl
eXdvcmQ+RmlubGFuZDwva2V5d29yZD48a2V5d29yZD5Gb2xsb3ctVXAgU3R1ZGllczwva2V5d29y
ZD48a2V5d29yZD5HbHVjb3NlIEludG9sZXJhbmNlLypwcmV2ZW50aW9uICZhbXA7IGNvbnRyb2w8
L2tleXdvcmQ+PGtleXdvcmQ+R2x1Y29zZSBUb2xlcmFuY2UgVGVzdDwva2V5d29yZD48a2V5d29y
ZD5IdW1hbnM8L2tleXdvcmQ+PGtleXdvcmQ+KkxpZmUgU3R5bGU8L2tleXdvcmQ+PGtleXdvcmQ+
UHJlZ25hbmN5PC9rZXl3b3JkPjxrZXl3b3JkPlJpc2sgRmFjdG9yczwva2V5d29yZD48a2V5d29y
ZD5UaW1lIEZhY3RvcnM8L2tleXdvcmQ+PC9rZXl3b3Jkcz48ZGF0ZXM+PHllYXI+MjAxMTwveWVh
cj48cHViLWRhdGVzPjxkYXRlPk1hciAyNDwvZGF0ZT48L3B1Yi1kYXRlcz48L2RhdGVzPjxpc2Ju
PjE0NzEtMjQ1OCAoRWxlY3Ryb25pYykmI3hEOzE0NzEtMjQ1OCAoTGlua2luZyk8L2lzYm4+PGFj
Y2Vzc2lvbi1udW0+MjE0MjkyMzQ8L2FjY2Vzc2lvbi1udW0+PHVybHM+PHJlbGF0ZWQtdXJscz48
dXJsPmh0dHBzOi8vd3d3Lm5jYmkubmxtLm5paC5nb3YvcHVibWVkLzIxNDI5MjM0PC91cmw+PC9y
ZWxhdGVkLXVybHM+PC91cmxzPjxjdXN0b20yPlBNQzMwNzgwOTU8L2N1c3RvbTI+PGVsZWN0cm9u
aWMtcmVzb3VyY2UtbnVtPjEwLjExODYvMTQ3MS0yNDU4LTExLTE3OTwvZWxlY3Ryb25pYy1yZXNv
dXJjZS1udW0+PC9yZWNvcmQ+PC9DaXRlPjxDaXRlPjxBdXRob3I+S2lhbmkgQXNpYWJhcjwvQXV0
aG9yPjxZZWFyPjIwMTg8L1llYXI+PFJlY051bT4xMzgwPC9SZWNOdW0+PHJlY29yZD48cmVjLW51
bWJlcj4xMzgwPC9yZWMtbnVtYmVyPjxmb3JlaWduLWtleXM+PGtleSBhcHA9IkVOIiBkYi1pZD0i
ZXh2YXNyZngyZHRyYW9lc2FzeHAyc3pzeGEyZGY1MDI1OTJ4IiB0aW1lc3RhbXA9IjE1NjcxMjQ1
NzEiPjEzODA8L2tleT48a2V5IGFwcD0iRU5XZWIiIGRiLWlkPSIiPjA8L2tleT48L2ZvcmVpZ24t
a2V5cz48cmVmLXR5cGUgbmFtZT0iSm91cm5hbCBBcnRpY2xlIj4xNzwvcmVmLXR5cGU+PGNvbnRy
aWJ1dG9ycz48YXV0aG9ycz48YXV0aG9yPktpYW5pIEFzaWFiYXIsIEEuPC9hdXRob3I+PGF1dGhv
cj5BbWluIFNob2tyYXZpLCBGLjwvYXV0aG9yPjxhdXRob3I+SGFqaWZhcmFqaSwgTS48L2F1dGhv
cj48YXV0aG9yPlpheWVyaSwgRi48L2F1dGhvcj48L2F1dGhvcnM+PC9jb250cmlidXRvcnM+PGF1
dGgtYWRkcmVzcz5EZXBhcnRtZW50IG9mIEhlYWx0aCBFZHVjYXRpb24gYW5kIEhlYWx0aCBQcm9t
b3Rpb24sIEZhY3VsdHkgb2YgTWVkaWNhbCBTY2llbmNlcywgVGFyYmlhdCBNb2RhcmVzIFVuaXZl
cnNpdHksIFRlaHJhbiwgSXJhbi4mI3hEO0RlcGFydG1lbnQgb2YgTWlkd2lmZXJ5LCBGYWN1bHR5
IG9mIE51cnNpbmcgYW5kIE1pZHdpZmVyeSwgU2hhaGVkIFVuaXZlcnNpdHksIFRlaHJhbiwgSXJh
bi4mI3hEO0RlcGFydG1lbnQgb2YgSGVhbHRoIEVkdWNhdGlvbnMgYW5kIEhlYWx0aCBQcm9tb3Rp
b24sIEZhY3VsdHkgb2YgTWVkaWNhbCBTY2llbmNlcywgVGFyYmlhdCBNb2RhcmVzIFVuaXZlcnNp
dHksIFRlaHJhbiwgSXJhbi4mI3hEO05hdGlvbmFsIE51dHJpdGlvbiBhbmQgRm9vZCBUZWNobm9s
b2d5IFJlc2VhcmNoIEluc3RpdHV0ZSwgU2Nob29sIG9mIE51dHJpdGlvbiBTY2llbmNlcyBhbmQg
Rm9vZCBUZWNobm9sb2d5LCBTaGFoaWQgQmVoZXNodGkgVW5pdmVyc2l0eSBvZiBNZWRpY2FsIFNj
aWVuY2VzLCBUZWhyYW4sIElyYW4uJiN4RDtEZXBhcnRtZW50IG9mIEJpb3N0YXRpc3RpY3MsIEZh
Y3VsdHkgb2YgUGFyYW1lZGljYWwgU2NpZW5jZXMsIFNoYWhpZCBCZWhlc2h0aSBVbml2ZXJzaXR5
IG9mIE1lZGljYWwgU2NpZW5jZXMsIFRlaHJhbiwgSXJhbi48L2F1dGgtYWRkcmVzcz48dGl0bGVz
Pjx0aXRsZT5UaGUgZWZmZWN0IG9mIGFuIGVkdWNhdGlvbmFsIGludGVydmVudGlvbiBpbiBlYXJs
eSBwcmVnbmFuY3kgd2l0aCBzcG91c2UmYXBvcztzIHBhcnRpY2lwYXRpb24gb24gb3B0aW1hbCBn
ZXN0YXRpb25hbCB3ZWlnaHQgZ2FpbiBpbiBwcmVnbmFuY3k6IGEgcmFuZG9taXplZCBjb250cm9s
bGVkIHRyaWFsPC90aXRsZT48c2Vjb25kYXJ5LXRpdGxlPkhlYWx0aCBFZHVjIFJlczwvc2Vjb25k
YXJ5LXRpdGxlPjwvdGl0bGVzPjxwZXJpb2RpY2FsPjxmdWxsLXRpdGxlPkhlYWx0aCBFZHVjIFJl
czwvZnVsbC10aXRsZT48L3BlcmlvZGljYWw+PHBhZ2VzPjUzNS01NDc8L3BhZ2VzPjx2b2x1bWU+
MzM8L3ZvbHVtZT48bnVtYmVyPjY8L251bWJlcj48ZWRpdGlvbj4yMDE4LzExLzMwPC9lZGl0aW9u
PjxkYXRlcz48eWVhcj4yMDE4PC95ZWFyPjxwdWItZGF0ZXM+PGRhdGU+RGVjIDE8L2RhdGU+PC9w
dWItZGF0ZXM+PC9kYXRlcz48aXNibj4xNDY1LTM2NDggKEVsZWN0cm9uaWMpJiN4RDswMjY4LTEx
NTMgKExpbmtpbmcpPC9pc2JuPjxhY2Nlc3Npb24tbnVtPjMwNDk2NDA5PC9hY2Nlc3Npb24tbnVt
Pjx1cmxzPjxyZWxhdGVkLXVybHM+PHVybD5odHRwczovL3d3dy5uY2JpLm5sbS5uaWguZ292L3B1
Ym1lZC8zMDQ5NjQwOTwvdXJsPjwvcmVsYXRlZC11cmxzPjwvdXJscz48ZWxlY3Ryb25pYy1yZXNv
dXJjZS1udW0+MTAuMTA5My9oZXIvY3l5MDQwPC9lbGVjdHJvbmljLXJlc291cmNlLW51bT48L3Jl
Y29yZD48L0NpdGU+PENpdGU+PEF1dGhvcj5QaGVsYW48L0F1dGhvcj48WWVhcj4yMDE4PC9ZZWFy
PjxSZWNOdW0+MTM4NjwvUmVjTnVtPjxyZWNvcmQ+PHJlYy1udW1iZXI+MTM4NjwvcmVjLW51bWJl
cj48Zm9yZWlnbi1rZXlzPjxrZXkgYXBwPSJFTiIgZGItaWQ9ImV4dmFzcmZ4MmR0cmFvZXNhc3hw
MnN6c3hhMmRmNTAyNTkyeCIgdGltZXN0YW1wPSIxNTY3MzgyNDg1Ij4xMzg2PC9rZXk+PC9mb3Jl
aWduLWtleXM+PHJlZi10eXBlIG5hbWU9IkpvdXJuYWwgQXJ0aWNsZSI+MTc8L3JlZi10eXBlPjxj
b250cmlidXRvcnM+PGF1dGhvcnM+PGF1dGhvcj5QaGVsYW4sIFMuPC9hdXRob3I+PGF1dGhvcj5X
aW5nLCBSLiBSLjwvYXV0aG9yPjxhdXRob3I+QnJhbm5lbiwgQS48L2F1dGhvcj48YXV0aG9yPk1j
SHVnaCwgQS48L2F1dGhvcj48YXV0aG9yPkhhZ29iaWFuLCBULiBBLjwvYXV0aG9yPjxhdXRob3I+
U2NoYWZmbmVyLCBBLjwvYXV0aG9yPjxhdXRob3I+SmVsYWxpYW4sIEUuPC9hdXRob3I+PGF1dGhv
cj5IYXJ0LCBDLiBOLjwvYXV0aG9yPjxhdXRob3I+U2Nob2xsLCBULiBPLjwvYXV0aG9yPjxhdXRo
b3I+TXVub3otQ2hyaXN0aWFuLCBLLjwvYXV0aG9yPjxhdXRob3I+WWluLCBFLjwvYXV0aG9yPjxh
dXRob3I+UGhpcHBzLCBNLiBHLjwvYXV0aG9yPjxhdXRob3I+S2VhZGxlLCBTLjwvYXV0aG9yPjxh
dXRob3I+QWJyYW1zLCBCLjwvYXV0aG9yPjwvYXV0aG9ycz48L2NvbnRyaWJ1dG9ycz48YXV0aC1h
ZGRyZXNzPkRlcGFydG1lbnRzIG9mIEtpbmVzaW9sb2d5LCBTdGF0aXN0aWNzLCBhbmQgTW9kZXJu
IExhbmd1YWdlcywgQ2FsaWZvcm5pYSBQb2x5dGVjaG5pYyBTdGF0ZSBVbml2ZXJzaXR5LCBTYW4g
THVpcyBPYmlzcG8sIENBLiYjeEQ7RGVwYXJ0bWVudCBvZiBQc3ljaGlhdHJ5IGFuZCBIdW1hbiBC
ZWhhdmlvciwgV2FycmVuIEFscGVydCBNZWRpY2FsIFNjaG9vbCBhdCBCcm93biBVbml2ZXJzaXR5
LCBQcm92aWRlbmNlLCBSSS4mI3hEO0RlcGFydG1lbnRzIG9mIFN0YXRpc3RpY3MsIGFuZCBNb2Rl
cm4gTGFuZ3VhZ2VzLCBDYWxpZm9ybmlhIFBvbHl0ZWNobmljIFN0YXRlIFVuaXZlcnNpdHksIFNh
biBMdWlzIE9iaXNwbywgQ0EuJiN4RDtEZXBhcnRtZW50IG9mIFNvY2lhbCBhbmQgQmVoYXZpb3Jh
bCBTY2llbmNlcywgVGVtcGxlIFVuaXZlcnNpdHkgQ2VudGVyIGZvciBPYmVzaXR5IFJlc2VhcmNo
IGFuZCBFZHVjYXRpb24sIFBoaWxhZGVscGhpYSwgUEEuJiN4RDtEZXBhcnRtZW50IG9mIE9ic3Rl
dHJpY3MgYW5kIEd5bmVjb2xvZ3ksIFVuaXZlcnNpdHkgb2YgTWVkaWNpbmUgYW5kIERlbnRpc3Ry
eSBvZiBOZXcgSmVyc2V5IChub3cgUm93YW4pLCBHbGFzc2Jvcm8sIE5KLiYjeEQ7RGVwYXJ0bWVu
dHMgb2YgTW9kZXJuIExhbmd1YWdlcywgQ2FsaWZvcm5pYSBQb2x5dGVjaG5pYyBTdGF0ZSBVbml2
ZXJzaXR5LCBTYW4gTHVpcyBPYmlzcG8sIENBLiYjeEQ7UGFjaWZpYyBDZW50cmFsIENvYXN0IEhl
YWx0aCBDZW50ZXJzLCBTYW50YSBNYXJpYSBXb21lbiZhcG9zO3MgSGVhbHRoLCBTYW50YSBNYXJp
YSwgQ0EuJiN4RDtEZXBhcnRtZW50IG9mIE9ic3RldHJpY3MgYW5kIEd5bmVjb2xvZ3ksIFdhcnJl
biBBbHBlcnQgTWVkaWNhbCBTY2hvb2wgb2YgQnJvd24gVW5pdmVyc2l0eSBhbmQgV29tZW4gYW5k
IEluZmFudHMgSG9zcGl0YWwsIFByb3ZpZGVuY2UsIFJJLiYjeEQ7RGl2aXNpb24gb2YgRXBpZGVt
aW9sb2d5LCBVbml2ZXJzaXR5IG9mIENhbGlmb3JuaWEgYXQgQmVya2VsZXkgU2Nob29sIG9mIFB1
YmxpYyBIZWFsdGgsIEJlcmtlbGV5LCBDQS48L2F1dGgtYWRkcmVzcz48dGl0bGVzPjx0aXRsZT5S
YW5kb21pemVkIGNvbnRyb2xsZWQgY2xpbmljYWwgdHJpYWwgb2YgYmVoYXZpb3JhbCBsaWZlc3R5
bGUgaW50ZXJ2ZW50aW9uIHdpdGggcGFydGlhbCBtZWFsIHJlcGxhY2VtZW50IHRvIHJlZHVjZSBl
eGNlc3NpdmUgZ2VzdGF0aW9uYWwgd2VpZ2h0IGdhaW48L3RpdGxlPjxzZWNvbmRhcnktdGl0bGU+
QW0gSiBDbGluIE51dHI8L3NlY29uZGFyeS10aXRsZT48L3RpdGxlcz48cGVyaW9kaWNhbD48ZnVs
bC10aXRsZT5BbSBKIENsaW4gTnV0cjwvZnVsbC10aXRsZT48L3BlcmlvZGljYWw+PHBhZ2VzPjE4
My0xOTQ8L3BhZ2VzPjx2b2x1bWU+MTA3PC92b2x1bWU+PG51bWJlcj4yPC9udW1iZXI+PGVkaXRp
b24+MjAxOC8wMy8xMzwvZWRpdGlvbj48a2V5d29yZHM+PGtleXdvcmQ+QWR1bHQ8L2tleXdvcmQ+
PGtleXdvcmQ+Qm9keSBNYXNzIEluZGV4PC9rZXl3b3JkPjxrZXl3b3JkPkNhbGlmb3JuaWE8L2tl
eXdvcmQ+PGtleXdvcmQ+RGlldDwva2V5d29yZD48a2V5d29yZD5FdGhuaWMgR3JvdXBzPC9rZXl3
b3JkPjxrZXl3b3JkPkV4ZXJjaXNlPC9rZXl3b3JkPjxrZXl3b3JkPkZlbWFsZTwva2V5d29yZD48
a2V5d29yZD4qR2VzdGF0aW9uYWwgV2VpZ2h0IEdhaW48L2tleXdvcmQ+PGtleXdvcmQ+KkhlYWx0
aCBCZWhhdmlvcjwva2V5d29yZD48a2V5d29yZD5IdW1hbnM8L2tleXdvcmQ+PGtleXdvcmQ+SW5j
aWRlbmNlPC9rZXl3b3JkPjxrZXl3b3JkPipMaWZlIFN0eWxlPC9rZXl3b3JkPjxrZXl3b3JkPk1l
YWxzPC9rZXl3b3JkPjxrZXl3b3JkPk51dHJpdGlvbiBBc3Nlc3NtZW50PC9rZXl3b3JkPjxrZXl3
b3JkPk9iZXNpdHkvKnByZXZlbnRpb24gJmFtcDsgY29udHJvbDwva2V5d29yZD48a2V5d29yZD5P
dmVyd2VpZ2h0LypwcmV2ZW50aW9uICZhbXA7IGNvbnRyb2w8L2tleXdvcmQ+PGtleXdvcmQ+UHJl
Z25hbmN5PC9rZXl3b3JkPjxrZXl3b3JkPlByZWduYW5jeSBDb21wbGljYXRpb25zLypwcmV2ZW50
aW9uICZhbXA7IGNvbnRyb2w8L2tleXdvcmQ+PGtleXdvcmQ+UHJlZ25hbmN5IE91dGNvbWU8L2tl
eXdvcmQ+PGtleXdvcmQ+UmlzayBGYWN0b3JzPC9rZXl3b3JkPjxrZXl3b3JkPllvdW5nIEFkdWx0
PC9rZXl3b3JkPjwva2V5d29yZHM+PGRhdGVzPjx5ZWFyPjIwMTg8L3llYXI+PHB1Yi1kYXRlcz48
ZGF0ZT5GZWIgMTwvZGF0ZT48L3B1Yi1kYXRlcz48L2RhdGVzPjxpc2JuPjE5MzgtMzIwNyAoRWxl
Y3Ryb25pYykmI3hEOzAwMDItOTE2NSAoTGlua2luZyk8L2lzYm4+PGFjY2Vzc2lvbi1udW0+Mjk1
MjkxNTc8L2FjY2Vzc2lvbi1udW0+PHVybHM+PHJlbGF0ZWQtdXJscz48dXJsPmh0dHBzOi8vd3d3
Lm5jYmkubmxtLm5paC5nb3YvcHVibWVkLzI5NTI5MTU3PC91cmw+PC9yZWxhdGVkLXVybHM+PC91
cmxzPjxjdXN0b20yPlBNQzY0NTUwMzA8L2N1c3RvbTI+PGVsZWN0cm9uaWMtcmVzb3VyY2UtbnVt
PjEwLjEwOTMvYWpjbi9ucXgwNDM8L2VsZWN0cm9uaWMtcmVzb3VyY2UtbnVtPjwvcmVjb3JkPjwv
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485,494,496,498,500,503,508,516</w:t>
      </w:r>
      <w:r>
        <w:fldChar w:fldCharType="end"/>
      </w:r>
      <w:r w:rsidRPr="00C30474">
        <w:t xml:space="preserve"> every second day,</w:t>
      </w:r>
      <w:r>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 </w:instrText>
      </w:r>
      <w:r w:rsidR="002747EA">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489</w:t>
      </w:r>
      <w:r>
        <w:fldChar w:fldCharType="end"/>
      </w:r>
      <w:r>
        <w:t xml:space="preserve"> three or more times a week,</w:t>
      </w:r>
      <w:r>
        <w:fldChar w:fldCharType="begin">
          <w:fldData xml:space="preserve">PEVuZE5vdGU+PENpdGU+PEF1dGhvcj5CcnVubzwvQXV0aG9yPjxZZWFyPjIwMTc8L1llYXI+PFJl
Y051bT43NjU8L1JlY051bT48RGlzcGxheVRleHQ+PHN0eWxlIGZhY2U9InN1cGVyc2NyaXB0IiBm
b250PSJUcmVidWNoZXQgTVMiIHNpemU9IjkiPjQ4Miw0ODgsNDk5LDUxODwvc3R5bGU+PC9EaXNw
bGF5VGV4dD48cmVjb3JkPjxyZWMtbnVtYmVyPjc2NTwvcmVjLW51bWJlcj48Zm9yZWlnbi1rZXlz
PjxrZXkgYXBwPSJFTiIgZGItaWQ9ImV4dmFzcmZ4MmR0cmFvZXNhc3hwMnN6c3hhMmRmNTAyNTky
eCIgdGltZXN0YW1wPSIxNTQxNDg3MDM0Ij43NjU8L2tleT48L2ZvcmVpZ24ta2V5cz48cmVmLXR5
cGUgbmFtZT0iSm91cm5hbCBBcnRpY2xlIj4xNzwvcmVmLXR5cGU+PGNvbnRyaWJ1dG9ycz48YXV0
aG9ycz48YXV0aG9yPkJydW5vLCBSLjwvYXV0aG9yPjxhdXRob3I+UGV0cmVsbGEsIEUuPC9hdXRo
b3I+PGF1dGhvcj5CZXJ0YXJpbmksIFYuPC9hdXRob3I+PGF1dGhvcj5QZWRyaWVsbGksIEcuPC9h
dXRob3I+PGF1dGhvcj5OZXJpLCBJLjwvYXV0aG9yPjxhdXRob3I+RmFjY2hpbmV0dGksIEYuPC9h
dXRob3I+PC9hdXRob3JzPjwvY29udHJpYnV0b3JzPjxhdXRoLWFkZHJlc3M+TW90aGVyLUluZmFu
dCBEZXBhcnRtZW50LCBVbml2ZXJzaXR5IG9mIE1vZGVuYSBhbmQgUmVnZ2lvIEVtaWxpYSwgSXRh
bHkuPC9hdXRoLWFkZHJlc3M+PHRpdGxlcz48dGl0bGU+QWRoZXJlbmNlIHRvIGEgbGlmZXN0eWxl
IHByb2dyYW1tZSBpbiBvdmVyd2VpZ2h0L29iZXNlIHByZWduYW50IHdvbWVuIGFuZCBlZmZlY3Qg
b24gZ2VzdGF0aW9uYWwgZGlhYmV0ZXMgbWVsbGl0dXM6IGEgcmFuZG9taXplZCBjb250cm9sbGVk
IHRyaWFsPC90aXRsZT48c2Vjb25kYXJ5LXRpdGxlPk1hdGVybiBDaGlsZCBOdXRyPC9zZWNvbmRh
cnktdGl0bGU+PC90aXRsZXM+PHBlcmlvZGljYWw+PGZ1bGwtdGl0bGU+TWF0ZXJuIENoaWxkIE51
dHI8L2Z1bGwtdGl0bGU+PC9wZXJpb2RpY2FsPjx2b2x1bWU+MTM8L3ZvbHVtZT48bnVtYmVyPjM8
L251bWJlcj48ZWRpdGlvbj4yMDE2LzA5LzIxPC9lZGl0aW9uPjxrZXl3b3Jkcz48a2V5d29yZD5B
ZHVsdDwva2V5d29yZD48a2V5d29yZD5CaXJ0aCBXZWlnaHQ8L2tleXdvcmQ+PGtleXdvcmQ+Qmxv
b2QgR2x1Y29zZS9tZXRhYm9saXNtPC9rZXl3b3JkPjxrZXl3b3JkPkJvZHkgTWFzcyBJbmRleDwv
a2V5d29yZD48a2V5d29yZD5EaWFiZXRlcywgR2VzdGF0aW9uYWwvKnByZXZlbnRpb24gJmFtcDsg
Y29udHJvbDwva2V5d29yZD48a2V5d29yZD5FeGVyY2lzZTwva2V5d29yZD48a2V5d29yZD5GZW1h
bGU8L2tleXdvcmQ+PGtleXdvcmQ+Rm9sbG93LVVwIFN0dWRpZXM8L2tleXdvcmQ+PGtleXdvcmQ+
KkhlYWx0aHkgRGlldDwva2V5d29yZD48a2V5d29yZD5IdW1hbnM8L2tleXdvcmQ+PGtleXdvcmQ+
SHlwZXJ0ZW5zaW9uL3ByZXZlbnRpb24gJmFtcDsgY29udHJvbDwva2V5d29yZD48a2V5d29yZD5J
dGFseTwva2V5d29yZD48a2V5d29yZD4qTGlmZSBTdHlsZTwva2V5d29yZD48a2V5d29yZD5PYmVz
aXR5Lyp0aGVyYXB5PC9rZXl3b3JkPjxrZXl3b3JkPk92ZXJ3ZWlnaHQvKnRoZXJhcHk8L2tleXdv
cmQ+PGtleXdvcmQ+KlBhdGllbnQgQ29tcGxpYW5jZTwva2V5d29yZD48a2V5d29yZD5QcmVnbmFu
Y3k8L2tleXdvcmQ+PGtleXdvcmQ+UHJlbWF0dXJlIEJpcnRoL3ByZXZlbnRpb24gJmFtcDsgY29u
dHJvbDwva2V5d29yZD48a2V5d29yZD5Qcm9zcGVjdGl2ZSBTdHVkaWVzPC9rZXl3b3JkPjxrZXl3
b3JkPlN1cnZleXMgYW5kIFF1ZXN0aW9ubmFpcmVzPC9rZXl3b3JkPjxrZXl3b3JkPlRyZWF0bWVu
dCBPdXRjb21lPC9rZXl3b3JkPjxrZXl3b3JkPllvdW5nIEFkdWx0PC9rZXl3b3JkPjxrZXl3b3Jk
PipkaWFiZXRlczwva2V5d29yZD48a2V5d29yZD4qZmV0YWwgZ3Jvd3RoPC9rZXl3b3JkPjxrZXl3
b3JkPipvYmVzaXR5PC9rZXl3b3JkPjxrZXl3b3JkPipwaHlzaWNhbCBhY3Rpdml0eTwva2V5d29y
ZD48a2V5d29yZD4qcHJlZ25hbmN5IGFuZCBudXRyaXRpb248L2tleXdvcmQ+PGtleXdvcmQ+KnBy
ZWduYW5jeSBvdXRjb21lPC9rZXl3b3JkPjwva2V5d29yZHM+PGRhdGVzPjx5ZWFyPjIwMTc8L3ll
YXI+PHB1Yi1kYXRlcz48ZGF0ZT5KdWw8L2RhdGU+PC9wdWItZGF0ZXM+PC9kYXRlcz48aXNibj4x
NzQwLTg3MDkgKEVsZWN0cm9uaWMpJiN4RDsxNzQwLTg2OTUgKExpbmtpbmcpPC9pc2JuPjxhY2Nl
c3Npb24tbnVtPjI3NjQ3ODM3PC9hY2Nlc3Npb24tbnVtPjx1cmxzPjxyZWxhdGVkLXVybHM+PHVy
bD5odHRwczovL3d3dy5uY2JpLm5sbS5uaWguZ292L3B1Ym1lZC8yNzY0NzgzNzwvdXJsPjwvcmVs
YXRlZC11cmxzPjwvdXJscz48ZWxlY3Ryb25pYy1yZXNvdXJjZS1udW0+MTAuMTExMS9tY24uMTIz
MzM8L2VsZWN0cm9uaWMtcmVzb3VyY2UtbnVtPjwvcmVjb3JkPjwvQ2l0ZT48Q2l0ZT48QXV0aG9y
PkFzYmVlPC9BdXRob3I+PFllYXI+MjAwOTwvWWVhcj48UmVjTnVtPjY2NjwvUmVjTnVtPjxyZWNv
cmQ+PHJlYy1udW1iZXI+NjY2PC9yZWMtbnVtYmVyPjxmb3JlaWduLWtleXM+PGtleSBhcHA9IkVO
IiBkYi1pZD0iZXh2YXNyZngyZHRyYW9lc2FzeHAyc3pzeGEyZGY1MDI1OTJ4IiB0aW1lc3RhbXA9
IjE1NDA1MjY0OTUiPjY2Njwva2V5PjwvZm9yZWlnbi1rZXlzPjxyZWYtdHlwZSBuYW1lPSJKb3Vy
bmFsIEFydGljbGUiPjE3PC9yZWYtdHlwZT48Y29udHJpYnV0b3JzPjxhdXRob3JzPjxhdXRob3I+
QXNiZWUsIFMuIE0uPC9hdXRob3I+PGF1dGhvcj5KZW5raW5zLCBULiBSLjwvYXV0aG9yPjxhdXRo
b3I+QnV0bGVyLCBKLiBSLjwvYXV0aG9yPjxhdXRob3I+V2hpdGUsIEouPC9hdXRob3I+PGF1dGhv
cj5FbGxpb3QsIE0uPC9hdXRob3I+PGF1dGhvcj5SdXRsZWRnZSwgQS48L2F1dGhvcj48L2F1dGhv
cnM+PC9jb250cmlidXRvcnM+PGF1dGgtYWRkcmVzcz5DYXJvbGluYXMgTWVkaWNhbCBDZW50ZXIs
IENoYXJsb3R0ZSwgTm9ydGggQ2Fyb2xpbmEsIFVTQS4gZHJzaGVsbHlAZWFydGhsaW5rLm5ldDwv
YXV0aC1hZGRyZXNzPjx0aXRsZXM+PHRpdGxlPlByZXZlbnRpbmcgZXhjZXNzaXZlIHdlaWdodCBn
YWluIGR1cmluZyBwcmVnbmFuY3kgdGhyb3VnaCBkaWV0YXJ5IGFuZCBsaWZlc3R5bGUgY291bnNl
bGluZzogYSByYW5kb21pemVkIGNvbnRyb2xsZWQgdHJpYWw8L3RpdGxlPjxzZWNvbmRhcnktdGl0
bGU+T2JzdGV0IEd5bmVjb2w8L3NlY29uZGFyeS10aXRsZT48L3RpdGxlcz48cGVyaW9kaWNhbD48
ZnVsbC10aXRsZT5PYnN0ZXQgR3luZWNvbDwvZnVsbC10aXRsZT48L3BlcmlvZGljYWw+PHBhZ2Vz
PjMwNS0xMjwvcGFnZXM+PHZvbHVtZT4xMTM8L3ZvbHVtZT48bnVtYmVyPjIgUHQgMTwvbnVtYmVy
PjxlZGl0aW9uPjIwMDkvMDEvMjI8L2VkaXRpb24+PGtleXdvcmRzPjxrZXl3b3JkPkFkdWx0PC9r
ZXl3b3JkPjxrZXl3b3JkPkJpcnRoIFdlaWdodDwva2V5d29yZD48a2V5d29yZD5Cb2R5IE1hc3Mg
SW5kZXg8L2tleXdvcmQ+PGtleXdvcmQ+KkRpcmVjdGl2ZSBDb3Vuc2VsaW5nPC9rZXl3b3JkPjxr
ZXl3b3JkPkZlbWFsZTwva2V5d29yZD48a2V5d29yZD5IdW1hbnM8L2tleXdvcmQ+PGtleXdvcmQ+
SW5mYW50LCBOZXdib3JuPC9rZXl3b3JkPjxrZXl3b3JkPk1pZGRsZSBBZ2VkPC9rZXl3b3JkPjxr
ZXl3b3JkPk9iZXNpdHkvKmRpZXQgdGhlcmFweS8qcHJldmVudGlvbiAmYW1wOyBjb250cm9sPC9r
ZXl3b3JkPjxrZXl3b3JkPlBhdGllbnQgQ29tcGxpYW5jZTwva2V5d29yZD48a2V5d29yZD5QcmVn
bmFuY3k8L2tleXdvcmQ+PGtleXdvcmQ+UHJlZ25hbmN5IENvbXBsaWNhdGlvbnMvKmRpZXQgdGhl
cmFweS8qcHJldmVudGlvbiAmYW1wOyBjb250cm9sPC9rZXl3b3JkPjxrZXl3b3JkPlByZW5hdGFs
IENhcmUvKm1ldGhvZHM8L2tleXdvcmQ+PGtleXdvcmQ+UmlzayBSZWR1Y3Rpb24gQmVoYXZpb3I8
L2tleXdvcmQ+PGtleXdvcmQ+V2VpZ2h0IEdhaW48L2tleXdvcmQ+PGtleXdvcmQ+WW91bmcgQWR1
bHQ8L2tleXdvcmQ+PC9rZXl3b3Jkcz48ZGF0ZXM+PHllYXI+MjAwOTwveWVhcj48cHViLWRhdGVz
PjxkYXRlPkZlYjwvZGF0ZT48L3B1Yi1kYXRlcz48L2RhdGVzPjxpc2JuPjAwMjktNzg0NCAoUHJp
bnQpJiN4RDswMDI5LTc4NDQgKExpbmtpbmcpPC9pc2JuPjxhY2Nlc3Npb24tbnVtPjE5MTU1ODk5
PC9hY2Nlc3Npb24tbnVtPjx1cmxzPjxyZWxhdGVkLXVybHM+PHVybD5odHRwczovL3d3dy5uY2Jp
Lm5sbS5uaWguZ292L3B1Ym1lZC8xOTE1NTg5OTwvdXJsPjwvcmVsYXRlZC11cmxzPjwvdXJscz48
ZWxlY3Ryb25pYy1yZXNvdXJjZS1udW0+MTAuMTA5Ny9BT0cuMGIwMTNlMzE4MTk1YmFlZjwvZWxl
Y3Ryb25pYy1yZXNvdXJjZS1udW0+PC9yZWNvcmQ+PC9DaXRlPjxDaXRlPjxBdXRob3I+UnVjaGF0
PC9BdXRob3I+PFllYXI+MjAxMjwvWWVhcj48UmVjTnVtPjc1NjwvUmVjTnVtPjxyZWNvcmQ+PHJl
Yy1udW1iZXI+NzU2PC9yZWMtbnVtYmVyPjxmb3JlaWduLWtleXM+PGtleSBhcHA9IkVOIiBkYi1p
ZD0iZXh2YXNyZngyZHRyYW9lc2FzeHAyc3pzeGEyZGY1MDI1OTJ4IiB0aW1lc3RhbXA9IjE1NDE0
Njc5NjUiPjc1Njwva2V5PjxrZXkgYXBwPSJFTldlYiIgZGItaWQ9IiI+MDwva2V5PjwvZm9yZWln
bi1rZXlzPjxyZWYtdHlwZSBuYW1lPSJKb3VybmFsIEFydGljbGUiPjE3PC9yZWYtdHlwZT48Y29u
dHJpYnV0b3JzPjxhdXRob3JzPjxhdXRob3I+UnVjaGF0LCBTLU0uLDwvYXV0aG9yPjxhdXRob3I+
RGF2ZW5wb3J0LCBNLkguLDwvYXV0aG9yPjxhdXRob3I+R2lyb3V4LCBJLiw8L2F1dGhvcj48YXV0
aG9yPkhpbGxpZXIsIE0uLDwvYXV0aG9yPjxhdXRob3I+QmF0YWRhLCBBLiw8L2F1dGhvcj48YXV0
aG9yPlNvcHBlciwgTS5NLiw8L2F1dGhvcj48YXV0aG9yPkhhbW1vbmQsIEouTS5TLiw8L2F1dGhv
cj48YXV0aG9yPk1vdHRvbGEsIE0uRi4sPC9hdXRob3I+PC9hdXRob3JzPjwvY29udHJpYnV0b3Jz
Pjx0aXRsZXM+PHRpdGxlPk51dHJpdGlvbiBhbmQgZXhlcmNpc2UgcmVkdWNlIGV4Y2Vzc2l2ZSB3
ZWlnaHQgZ2FpbiBpbiBub3JtYWwtd2VpZ2h0IHByZWduYW50IHdvbWVuPC90aXRsZT48c2Vjb25k
YXJ5LXRpdGxlPk1lZGljaW5lICZhbXA7IFNjaWVuY2UgaW4gU3BvcnRzICZhbXA7IEV4ZXJjaXNl
PC9zZWNvbmRhcnktdGl0bGU+PC90aXRsZXM+PHBlcmlvZGljYWw+PGZ1bGwtdGl0bGU+TWVkaWNp
bmUgJmFtcDsgU2NpZW5jZSBpbiBTcG9ydHMgJmFtcDsgRXhlcmNpc2U8L2Z1bGwtdGl0bGU+PC9w
ZXJpb2RpY2FsPjxwYWdlcz4xNDE5LTE0MjY8L3BhZ2VzPjx2b2x1bWU+NDQ8L3ZvbHVtZT48bnVt
YmVyPjg8L251bWJlcj48c2VjdGlvbj4xNDE5PC9zZWN0aW9uPjxkYXRlcz48eWVhcj4yMDEyPC95
ZWFyPjwvZGF0ZXM+PGlzYm4+MDE5NS05MTMxPC9pc2JuPjx1cmxzPjwvdXJscz48ZWxlY3Ryb25p
Yy1yZXNvdXJjZS1udW0+MTAuMTI0OS9NU1MuMGIwMTNlMzE4MjUzNjVmMTwvZWxlY3Ryb25pYy1y
ZXNvdXJjZS1udW0+PC9yZWNvcmQ+PC9DaXRlPjxDaXRlPjxBdXRob3I+Q2hhbjwvQXV0aG9yPjxZ
ZWFyPjIwMTg8L1llYXI+PFJlY051bT4xOTIzPC9SZWNOdW0+PHJlY29yZD48cmVjLW51bWJlcj4x
OTIzPC9yZWMtbnVtYmVyPjxmb3JlaWduLWtleXM+PGtleSBhcHA9IkVOIiBkYi1pZD0iZXh2YXNy
ZngyZHRyYW9lc2FzeHAyc3pzeGEyZGY1MDI1OTJ4IiB0aW1lc3RhbXA9IjE1ODg1NjYyMzQiPjE5
MjM8L2tleT48a2V5IGFwcD0iRU5XZWIiIGRiLWlkPSIiPjA8L2tleT48L2ZvcmVpZ24ta2V5cz48
cmVmLXR5cGUgbmFtZT0iSm91cm5hbCBBcnRpY2xlIj4xNzwvcmVmLXR5cGU+PGNvbnRyaWJ1dG9y
cz48YXV0aG9ycz48YXV0aG9yPkNoYW4sIFIuIFMuPC9hdXRob3I+PGF1dGhvcj5UYW0sIFcuIEgu
PC9hdXRob3I+PGF1dGhvcj5IbywgSS4gQy48L2F1dGhvcj48YXV0aG9yPkt3YW4sIE0uIFcuPC9h
dXRob3I+PGF1dGhvcj5MaSwgTC4gUy48L2F1dGhvcj48YXV0aG9yPlNlYSwgTS4gTS48L2F1dGhv
cj48YXV0aG9yPldvbywgSi48L2F1dGhvcj48L2F1dGhvcnM+PC9jb250cmlidXRvcnM+PGF1dGgt
YWRkcmVzcz5EZXBhcnRtZW50IG9mIE1lZGljaW5lIGFuZCBUaGVyYXBldXRpY3MsIFRoZSBDaGlu
ZXNlIFVuaXZlcnNpdHkgb2YgSG9uZyBLb25nLCBIb25nIEtvbmcsIENoaW5hLiBydXRoY2hhbnNt
QGN1aGsuZWR1LmhrLiYjeEQ7RGVwYXJ0bWVudCBvZiBPYnN0ZXRyaWNzIGFuZCBHeW5hZWNvbG9n
eSwgVGhlIENoaW5lc2UgVW5pdmVyc2l0eSBvZiBIb25nIEtvbmcsIEhvbmcgS29uZywgQ2hpbmEu
JiN4RDtEZXBhcnRtZW50IG9mIE1lZGljaW5lIGFuZCBUaGVyYXBldXRpY3MsIFRoZSBDaGluZXNl
IFVuaXZlcnNpdHkgb2YgSG9uZyBLb25nLCBIb25nIEtvbmcsIENoaW5hLiYjeEQ7Q2VudHJlIGZv
ciBOdXRyaXRpb25hbCBTdHVkaWVzLCBUaGUgQ2hpbmVzZSBVbml2ZXJzaXR5IG9mIEhvbmcgS29u
ZywgSG9uZyBLb25nLCBDaGluYS48L2F1dGgtYWRkcmVzcz48dGl0bGVzPjx0aXRsZT5SYW5kb21p
emVkIHRyaWFsIGV4YW1pbmluZyBlZmZlY3RpdmVuZXNzIG9mIGxpZmVzdHlsZSBpbnRlcnZlbnRp
b24gaW4gcmVkdWNpbmcgZ2VzdGF0aW9uYWwgZGlhYmV0ZXMgaW4gaGlnaCByaXNrIENoaW5lc2Ug
cHJlZ25hbnQgd29tZW4gaW4gSG9uZyBLb25nPC90aXRsZT48c2Vjb25kYXJ5LXRpdGxlPlNjaSBS
ZXA8L3NlY29uZGFyeS10aXRsZT48L3RpdGxlcz48cGVyaW9kaWNhbD48ZnVsbC10aXRsZT5TY2kg
UmVwPC9mdWxsLXRpdGxlPjwvcGVyaW9kaWNhbD48cGFnZXM+MTM4NDk8L3BhZ2VzPjx2b2x1bWU+
ODwvdm9sdW1lPjxudW1iZXI+MTwvbnVtYmVyPjxlZGl0aW9uPjIwMTgvMDkvMTY8L2VkaXRpb24+
PGtleXdvcmRzPjxrZXl3b3JkPkFkdWx0PC9rZXl3b3JkPjxrZXl3b3JkPkRpYWJldGVzLCBHZXN0
YXRpb25hbC8qcHJldmVudGlvbiAmYW1wOyBjb250cm9sPC9rZXl3b3JkPjxrZXl3b3JkPkZlbWFs
ZTwva2V5d29yZD48a2V5d29yZD5Ib25nIEtvbmc8L2tleXdvcmQ+PGtleXdvcmQ+SHVtYW5zPC9r
ZXl3b3JkPjxrZXl3b3JkPipMaWZlIFN0eWxlPC9rZXl3b3JkPjxrZXl3b3JkPk91dGNvbWUgQXNz
ZXNzbWVudCwgSGVhbHRoIENhcmU8L2tleXdvcmQ+PGtleXdvcmQ+UHJlZ25hbmN5PC9rZXl3b3Jk
PjxrZXl3b3JkPlJpc2s8L2tleXdvcmQ+PC9rZXl3b3Jkcz48ZGF0ZXM+PHllYXI+MjAxODwveWVh
cj48cHViLWRhdGVzPjxkYXRlPlNlcCAxNDwvZGF0ZT48L3B1Yi1kYXRlcz48L2RhdGVzPjxpc2Ju
PjIwNDUtMjMyMiAoRWxlY3Ryb25pYykmI3hEOzIwNDUtMjMyMiAoTGlua2luZyk8L2lzYm4+PGFj
Y2Vzc2lvbi1udW0+MzAyMTgwMTI8L2FjY2Vzc2lvbi1udW0+PHVybHM+PHJlbGF0ZWQtdXJscz48
dXJsPmh0dHBzOi8vd3d3Lm5jYmkubmxtLm5paC5nb3YvcHVibWVkLzMwMjE4MDEyPC91cmw+PC9y
ZWxhdGVkLXVybHM+PC91cmxzPjxjdXN0b20yPlBNQzYxMzg3MDg8L2N1c3RvbTI+PGVsZWN0cm9u
aWMtcmVzb3VyY2UtbnVtPjEwLjEwMzgvczQxNTk4LTAxOC0zMjI4NS02PC9lbGVjdHJvbmljLXJl
c291cmNlLW51bT48L3JlY29yZD48L0NpdGU+PC9FbmROb3RlPgB=
</w:fldData>
        </w:fldChar>
      </w:r>
      <w:r w:rsidR="002747EA">
        <w:instrText xml:space="preserve"> ADDIN EN.CITE </w:instrText>
      </w:r>
      <w:r w:rsidR="002747EA">
        <w:fldChar w:fldCharType="begin">
          <w:fldData xml:space="preserve">PEVuZE5vdGU+PENpdGU+PEF1dGhvcj5CcnVubzwvQXV0aG9yPjxZZWFyPjIwMTc8L1llYXI+PFJl
Y051bT43NjU8L1JlY051bT48RGlzcGxheVRleHQ+PHN0eWxlIGZhY2U9InN1cGVyc2NyaXB0IiBm
b250PSJUcmVidWNoZXQgTVMiIHNpemU9IjkiPjQ4Miw0ODgsNDk5LDUxODwvc3R5bGU+PC9EaXNw
bGF5VGV4dD48cmVjb3JkPjxyZWMtbnVtYmVyPjc2NTwvcmVjLW51bWJlcj48Zm9yZWlnbi1rZXlz
PjxrZXkgYXBwPSJFTiIgZGItaWQ9ImV4dmFzcmZ4MmR0cmFvZXNhc3hwMnN6c3hhMmRmNTAyNTky
eCIgdGltZXN0YW1wPSIxNTQxNDg3MDM0Ij43NjU8L2tleT48L2ZvcmVpZ24ta2V5cz48cmVmLXR5
cGUgbmFtZT0iSm91cm5hbCBBcnRpY2xlIj4xNzwvcmVmLXR5cGU+PGNvbnRyaWJ1dG9ycz48YXV0
aG9ycz48YXV0aG9yPkJydW5vLCBSLjwvYXV0aG9yPjxhdXRob3I+UGV0cmVsbGEsIEUuPC9hdXRo
b3I+PGF1dGhvcj5CZXJ0YXJpbmksIFYuPC9hdXRob3I+PGF1dGhvcj5QZWRyaWVsbGksIEcuPC9h
dXRob3I+PGF1dGhvcj5OZXJpLCBJLjwvYXV0aG9yPjxhdXRob3I+RmFjY2hpbmV0dGksIEYuPC9h
dXRob3I+PC9hdXRob3JzPjwvY29udHJpYnV0b3JzPjxhdXRoLWFkZHJlc3M+TW90aGVyLUluZmFu
dCBEZXBhcnRtZW50LCBVbml2ZXJzaXR5IG9mIE1vZGVuYSBhbmQgUmVnZ2lvIEVtaWxpYSwgSXRh
bHkuPC9hdXRoLWFkZHJlc3M+PHRpdGxlcz48dGl0bGU+QWRoZXJlbmNlIHRvIGEgbGlmZXN0eWxl
IHByb2dyYW1tZSBpbiBvdmVyd2VpZ2h0L29iZXNlIHByZWduYW50IHdvbWVuIGFuZCBlZmZlY3Qg
b24gZ2VzdGF0aW9uYWwgZGlhYmV0ZXMgbWVsbGl0dXM6IGEgcmFuZG9taXplZCBjb250cm9sbGVk
IHRyaWFsPC90aXRsZT48c2Vjb25kYXJ5LXRpdGxlPk1hdGVybiBDaGlsZCBOdXRyPC9zZWNvbmRh
cnktdGl0bGU+PC90aXRsZXM+PHBlcmlvZGljYWw+PGZ1bGwtdGl0bGU+TWF0ZXJuIENoaWxkIE51
dHI8L2Z1bGwtdGl0bGU+PC9wZXJpb2RpY2FsPjx2b2x1bWU+MTM8L3ZvbHVtZT48bnVtYmVyPjM8
L251bWJlcj48ZWRpdGlvbj4yMDE2LzA5LzIxPC9lZGl0aW9uPjxrZXl3b3Jkcz48a2V5d29yZD5B
ZHVsdDwva2V5d29yZD48a2V5d29yZD5CaXJ0aCBXZWlnaHQ8L2tleXdvcmQ+PGtleXdvcmQ+Qmxv
b2QgR2x1Y29zZS9tZXRhYm9saXNtPC9rZXl3b3JkPjxrZXl3b3JkPkJvZHkgTWFzcyBJbmRleDwv
a2V5d29yZD48a2V5d29yZD5EaWFiZXRlcywgR2VzdGF0aW9uYWwvKnByZXZlbnRpb24gJmFtcDsg
Y29udHJvbDwva2V5d29yZD48a2V5d29yZD5FeGVyY2lzZTwva2V5d29yZD48a2V5d29yZD5GZW1h
bGU8L2tleXdvcmQ+PGtleXdvcmQ+Rm9sbG93LVVwIFN0dWRpZXM8L2tleXdvcmQ+PGtleXdvcmQ+
KkhlYWx0aHkgRGlldDwva2V5d29yZD48a2V5d29yZD5IdW1hbnM8L2tleXdvcmQ+PGtleXdvcmQ+
SHlwZXJ0ZW5zaW9uL3ByZXZlbnRpb24gJmFtcDsgY29udHJvbDwva2V5d29yZD48a2V5d29yZD5J
dGFseTwva2V5d29yZD48a2V5d29yZD4qTGlmZSBTdHlsZTwva2V5d29yZD48a2V5d29yZD5PYmVz
aXR5Lyp0aGVyYXB5PC9rZXl3b3JkPjxrZXl3b3JkPk92ZXJ3ZWlnaHQvKnRoZXJhcHk8L2tleXdv
cmQ+PGtleXdvcmQ+KlBhdGllbnQgQ29tcGxpYW5jZTwva2V5d29yZD48a2V5d29yZD5QcmVnbmFu
Y3k8L2tleXdvcmQ+PGtleXdvcmQ+UHJlbWF0dXJlIEJpcnRoL3ByZXZlbnRpb24gJmFtcDsgY29u
dHJvbDwva2V5d29yZD48a2V5d29yZD5Qcm9zcGVjdGl2ZSBTdHVkaWVzPC9rZXl3b3JkPjxrZXl3
b3JkPlN1cnZleXMgYW5kIFF1ZXN0aW9ubmFpcmVzPC9rZXl3b3JkPjxrZXl3b3JkPlRyZWF0bWVu
dCBPdXRjb21lPC9rZXl3b3JkPjxrZXl3b3JkPllvdW5nIEFkdWx0PC9rZXl3b3JkPjxrZXl3b3Jk
PipkaWFiZXRlczwva2V5d29yZD48a2V5d29yZD4qZmV0YWwgZ3Jvd3RoPC9rZXl3b3JkPjxrZXl3
b3JkPipvYmVzaXR5PC9rZXl3b3JkPjxrZXl3b3JkPipwaHlzaWNhbCBhY3Rpdml0eTwva2V5d29y
ZD48a2V5d29yZD4qcHJlZ25hbmN5IGFuZCBudXRyaXRpb248L2tleXdvcmQ+PGtleXdvcmQ+KnBy
ZWduYW5jeSBvdXRjb21lPC9rZXl3b3JkPjwva2V5d29yZHM+PGRhdGVzPjx5ZWFyPjIwMTc8L3ll
YXI+PHB1Yi1kYXRlcz48ZGF0ZT5KdWw8L2RhdGU+PC9wdWItZGF0ZXM+PC9kYXRlcz48aXNibj4x
NzQwLTg3MDkgKEVsZWN0cm9uaWMpJiN4RDsxNzQwLTg2OTUgKExpbmtpbmcpPC9pc2JuPjxhY2Nl
c3Npb24tbnVtPjI3NjQ3ODM3PC9hY2Nlc3Npb24tbnVtPjx1cmxzPjxyZWxhdGVkLXVybHM+PHVy
bD5odHRwczovL3d3dy5uY2JpLm5sbS5uaWguZ292L3B1Ym1lZC8yNzY0NzgzNzwvdXJsPjwvcmVs
YXRlZC11cmxzPjwvdXJscz48ZWxlY3Ryb25pYy1yZXNvdXJjZS1udW0+MTAuMTExMS9tY24uMTIz
MzM8L2VsZWN0cm9uaWMtcmVzb3VyY2UtbnVtPjwvcmVjb3JkPjwvQ2l0ZT48Q2l0ZT48QXV0aG9y
PkFzYmVlPC9BdXRob3I+PFllYXI+MjAwOTwvWWVhcj48UmVjTnVtPjY2NjwvUmVjTnVtPjxyZWNv
cmQ+PHJlYy1udW1iZXI+NjY2PC9yZWMtbnVtYmVyPjxmb3JlaWduLWtleXM+PGtleSBhcHA9IkVO
IiBkYi1pZD0iZXh2YXNyZngyZHRyYW9lc2FzeHAyc3pzeGEyZGY1MDI1OTJ4IiB0aW1lc3RhbXA9
IjE1NDA1MjY0OTUiPjY2Njwva2V5PjwvZm9yZWlnbi1rZXlzPjxyZWYtdHlwZSBuYW1lPSJKb3Vy
bmFsIEFydGljbGUiPjE3PC9yZWYtdHlwZT48Y29udHJpYnV0b3JzPjxhdXRob3JzPjxhdXRob3I+
QXNiZWUsIFMuIE0uPC9hdXRob3I+PGF1dGhvcj5KZW5raW5zLCBULiBSLjwvYXV0aG9yPjxhdXRo
b3I+QnV0bGVyLCBKLiBSLjwvYXV0aG9yPjxhdXRob3I+V2hpdGUsIEouPC9hdXRob3I+PGF1dGhv
cj5FbGxpb3QsIE0uPC9hdXRob3I+PGF1dGhvcj5SdXRsZWRnZSwgQS48L2F1dGhvcj48L2F1dGhv
cnM+PC9jb250cmlidXRvcnM+PGF1dGgtYWRkcmVzcz5DYXJvbGluYXMgTWVkaWNhbCBDZW50ZXIs
IENoYXJsb3R0ZSwgTm9ydGggQ2Fyb2xpbmEsIFVTQS4gZHJzaGVsbHlAZWFydGhsaW5rLm5ldDwv
YXV0aC1hZGRyZXNzPjx0aXRsZXM+PHRpdGxlPlByZXZlbnRpbmcgZXhjZXNzaXZlIHdlaWdodCBn
YWluIGR1cmluZyBwcmVnbmFuY3kgdGhyb3VnaCBkaWV0YXJ5IGFuZCBsaWZlc3R5bGUgY291bnNl
bGluZzogYSByYW5kb21pemVkIGNvbnRyb2xsZWQgdHJpYWw8L3RpdGxlPjxzZWNvbmRhcnktdGl0
bGU+T2JzdGV0IEd5bmVjb2w8L3NlY29uZGFyeS10aXRsZT48L3RpdGxlcz48cGVyaW9kaWNhbD48
ZnVsbC10aXRsZT5PYnN0ZXQgR3luZWNvbDwvZnVsbC10aXRsZT48L3BlcmlvZGljYWw+PHBhZ2Vz
PjMwNS0xMjwvcGFnZXM+PHZvbHVtZT4xMTM8L3ZvbHVtZT48bnVtYmVyPjIgUHQgMTwvbnVtYmVy
PjxlZGl0aW9uPjIwMDkvMDEvMjI8L2VkaXRpb24+PGtleXdvcmRzPjxrZXl3b3JkPkFkdWx0PC9r
ZXl3b3JkPjxrZXl3b3JkPkJpcnRoIFdlaWdodDwva2V5d29yZD48a2V5d29yZD5Cb2R5IE1hc3Mg
SW5kZXg8L2tleXdvcmQ+PGtleXdvcmQ+KkRpcmVjdGl2ZSBDb3Vuc2VsaW5nPC9rZXl3b3JkPjxr
ZXl3b3JkPkZlbWFsZTwva2V5d29yZD48a2V5d29yZD5IdW1hbnM8L2tleXdvcmQ+PGtleXdvcmQ+
SW5mYW50LCBOZXdib3JuPC9rZXl3b3JkPjxrZXl3b3JkPk1pZGRsZSBBZ2VkPC9rZXl3b3JkPjxr
ZXl3b3JkPk9iZXNpdHkvKmRpZXQgdGhlcmFweS8qcHJldmVudGlvbiAmYW1wOyBjb250cm9sPC9r
ZXl3b3JkPjxrZXl3b3JkPlBhdGllbnQgQ29tcGxpYW5jZTwva2V5d29yZD48a2V5d29yZD5QcmVn
bmFuY3k8L2tleXdvcmQ+PGtleXdvcmQ+UHJlZ25hbmN5IENvbXBsaWNhdGlvbnMvKmRpZXQgdGhl
cmFweS8qcHJldmVudGlvbiAmYW1wOyBjb250cm9sPC9rZXl3b3JkPjxrZXl3b3JkPlByZW5hdGFs
IENhcmUvKm1ldGhvZHM8L2tleXdvcmQ+PGtleXdvcmQ+UmlzayBSZWR1Y3Rpb24gQmVoYXZpb3I8
L2tleXdvcmQ+PGtleXdvcmQ+V2VpZ2h0IEdhaW48L2tleXdvcmQ+PGtleXdvcmQ+WW91bmcgQWR1
bHQ8L2tleXdvcmQ+PC9rZXl3b3Jkcz48ZGF0ZXM+PHllYXI+MjAwOTwveWVhcj48cHViLWRhdGVz
PjxkYXRlPkZlYjwvZGF0ZT48L3B1Yi1kYXRlcz48L2RhdGVzPjxpc2JuPjAwMjktNzg0NCAoUHJp
bnQpJiN4RDswMDI5LTc4NDQgKExpbmtpbmcpPC9pc2JuPjxhY2Nlc3Npb24tbnVtPjE5MTU1ODk5
PC9hY2Nlc3Npb24tbnVtPjx1cmxzPjxyZWxhdGVkLXVybHM+PHVybD5odHRwczovL3d3dy5uY2Jp
Lm5sbS5uaWguZ292L3B1Ym1lZC8xOTE1NTg5OTwvdXJsPjwvcmVsYXRlZC11cmxzPjwvdXJscz48
ZWxlY3Ryb25pYy1yZXNvdXJjZS1udW0+MTAuMTA5Ny9BT0cuMGIwMTNlMzE4MTk1YmFlZjwvZWxl
Y3Ryb25pYy1yZXNvdXJjZS1udW0+PC9yZWNvcmQ+PC9DaXRlPjxDaXRlPjxBdXRob3I+UnVjaGF0
PC9BdXRob3I+PFllYXI+MjAxMjwvWWVhcj48UmVjTnVtPjc1NjwvUmVjTnVtPjxyZWNvcmQ+PHJl
Yy1udW1iZXI+NzU2PC9yZWMtbnVtYmVyPjxmb3JlaWduLWtleXM+PGtleSBhcHA9IkVOIiBkYi1p
ZD0iZXh2YXNyZngyZHRyYW9lc2FzeHAyc3pzeGEyZGY1MDI1OTJ4IiB0aW1lc3RhbXA9IjE1NDE0
Njc5NjUiPjc1Njwva2V5PjxrZXkgYXBwPSJFTldlYiIgZGItaWQ9IiI+MDwva2V5PjwvZm9yZWln
bi1rZXlzPjxyZWYtdHlwZSBuYW1lPSJKb3VybmFsIEFydGljbGUiPjE3PC9yZWYtdHlwZT48Y29u
dHJpYnV0b3JzPjxhdXRob3JzPjxhdXRob3I+UnVjaGF0LCBTLU0uLDwvYXV0aG9yPjxhdXRob3I+
RGF2ZW5wb3J0LCBNLkguLDwvYXV0aG9yPjxhdXRob3I+R2lyb3V4LCBJLiw8L2F1dGhvcj48YXV0
aG9yPkhpbGxpZXIsIE0uLDwvYXV0aG9yPjxhdXRob3I+QmF0YWRhLCBBLiw8L2F1dGhvcj48YXV0
aG9yPlNvcHBlciwgTS5NLiw8L2F1dGhvcj48YXV0aG9yPkhhbW1vbmQsIEouTS5TLiw8L2F1dGhv
cj48YXV0aG9yPk1vdHRvbGEsIE0uRi4sPC9hdXRob3I+PC9hdXRob3JzPjwvY29udHJpYnV0b3Jz
Pjx0aXRsZXM+PHRpdGxlPk51dHJpdGlvbiBhbmQgZXhlcmNpc2UgcmVkdWNlIGV4Y2Vzc2l2ZSB3
ZWlnaHQgZ2FpbiBpbiBub3JtYWwtd2VpZ2h0IHByZWduYW50IHdvbWVuPC90aXRsZT48c2Vjb25k
YXJ5LXRpdGxlPk1lZGljaW5lICZhbXA7IFNjaWVuY2UgaW4gU3BvcnRzICZhbXA7IEV4ZXJjaXNl
PC9zZWNvbmRhcnktdGl0bGU+PC90aXRsZXM+PHBlcmlvZGljYWw+PGZ1bGwtdGl0bGU+TWVkaWNp
bmUgJmFtcDsgU2NpZW5jZSBpbiBTcG9ydHMgJmFtcDsgRXhlcmNpc2U8L2Z1bGwtdGl0bGU+PC9w
ZXJpb2RpY2FsPjxwYWdlcz4xNDE5LTE0MjY8L3BhZ2VzPjx2b2x1bWU+NDQ8L3ZvbHVtZT48bnVt
YmVyPjg8L251bWJlcj48c2VjdGlvbj4xNDE5PC9zZWN0aW9uPjxkYXRlcz48eWVhcj4yMDEyPC95
ZWFyPjwvZGF0ZXM+PGlzYm4+MDE5NS05MTMxPC9pc2JuPjx1cmxzPjwvdXJscz48ZWxlY3Ryb25p
Yy1yZXNvdXJjZS1udW0+MTAuMTI0OS9NU1MuMGIwMTNlMzE4MjUzNjVmMTwvZWxlY3Ryb25pYy1y
ZXNvdXJjZS1udW0+PC9yZWNvcmQ+PC9DaXRlPjxDaXRlPjxBdXRob3I+Q2hhbjwvQXV0aG9yPjxZ
ZWFyPjIwMTg8L1llYXI+PFJlY051bT4xOTIzPC9SZWNOdW0+PHJlY29yZD48cmVjLW51bWJlcj4x
OTIzPC9yZWMtbnVtYmVyPjxmb3JlaWduLWtleXM+PGtleSBhcHA9IkVOIiBkYi1pZD0iZXh2YXNy
ZngyZHRyYW9lc2FzeHAyc3pzeGEyZGY1MDI1OTJ4IiB0aW1lc3RhbXA9IjE1ODg1NjYyMzQiPjE5
MjM8L2tleT48a2V5IGFwcD0iRU5XZWIiIGRiLWlkPSIiPjA8L2tleT48L2ZvcmVpZ24ta2V5cz48
cmVmLXR5cGUgbmFtZT0iSm91cm5hbCBBcnRpY2xlIj4xNzwvcmVmLXR5cGU+PGNvbnRyaWJ1dG9y
cz48YXV0aG9ycz48YXV0aG9yPkNoYW4sIFIuIFMuPC9hdXRob3I+PGF1dGhvcj5UYW0sIFcuIEgu
PC9hdXRob3I+PGF1dGhvcj5IbywgSS4gQy48L2F1dGhvcj48YXV0aG9yPkt3YW4sIE0uIFcuPC9h
dXRob3I+PGF1dGhvcj5MaSwgTC4gUy48L2F1dGhvcj48YXV0aG9yPlNlYSwgTS4gTS48L2F1dGhv
cj48YXV0aG9yPldvbywgSi48L2F1dGhvcj48L2F1dGhvcnM+PC9jb250cmlidXRvcnM+PGF1dGgt
YWRkcmVzcz5EZXBhcnRtZW50IG9mIE1lZGljaW5lIGFuZCBUaGVyYXBldXRpY3MsIFRoZSBDaGlu
ZXNlIFVuaXZlcnNpdHkgb2YgSG9uZyBLb25nLCBIb25nIEtvbmcsIENoaW5hLiBydXRoY2hhbnNt
QGN1aGsuZWR1LmhrLiYjeEQ7RGVwYXJ0bWVudCBvZiBPYnN0ZXRyaWNzIGFuZCBHeW5hZWNvbG9n
eSwgVGhlIENoaW5lc2UgVW5pdmVyc2l0eSBvZiBIb25nIEtvbmcsIEhvbmcgS29uZywgQ2hpbmEu
JiN4RDtEZXBhcnRtZW50IG9mIE1lZGljaW5lIGFuZCBUaGVyYXBldXRpY3MsIFRoZSBDaGluZXNl
IFVuaXZlcnNpdHkgb2YgSG9uZyBLb25nLCBIb25nIEtvbmcsIENoaW5hLiYjeEQ7Q2VudHJlIGZv
ciBOdXRyaXRpb25hbCBTdHVkaWVzLCBUaGUgQ2hpbmVzZSBVbml2ZXJzaXR5IG9mIEhvbmcgS29u
ZywgSG9uZyBLb25nLCBDaGluYS48L2F1dGgtYWRkcmVzcz48dGl0bGVzPjx0aXRsZT5SYW5kb21p
emVkIHRyaWFsIGV4YW1pbmluZyBlZmZlY3RpdmVuZXNzIG9mIGxpZmVzdHlsZSBpbnRlcnZlbnRp
b24gaW4gcmVkdWNpbmcgZ2VzdGF0aW9uYWwgZGlhYmV0ZXMgaW4gaGlnaCByaXNrIENoaW5lc2Ug
cHJlZ25hbnQgd29tZW4gaW4gSG9uZyBLb25nPC90aXRsZT48c2Vjb25kYXJ5LXRpdGxlPlNjaSBS
ZXA8L3NlY29uZGFyeS10aXRsZT48L3RpdGxlcz48cGVyaW9kaWNhbD48ZnVsbC10aXRsZT5TY2kg
UmVwPC9mdWxsLXRpdGxlPjwvcGVyaW9kaWNhbD48cGFnZXM+MTM4NDk8L3BhZ2VzPjx2b2x1bWU+
ODwvdm9sdW1lPjxudW1iZXI+MTwvbnVtYmVyPjxlZGl0aW9uPjIwMTgvMDkvMTY8L2VkaXRpb24+
PGtleXdvcmRzPjxrZXl3b3JkPkFkdWx0PC9rZXl3b3JkPjxrZXl3b3JkPkRpYWJldGVzLCBHZXN0
YXRpb25hbC8qcHJldmVudGlvbiAmYW1wOyBjb250cm9sPC9rZXl3b3JkPjxrZXl3b3JkPkZlbWFs
ZTwva2V5d29yZD48a2V5d29yZD5Ib25nIEtvbmc8L2tleXdvcmQ+PGtleXdvcmQ+SHVtYW5zPC9r
ZXl3b3JkPjxrZXl3b3JkPipMaWZlIFN0eWxlPC9rZXl3b3JkPjxrZXl3b3JkPk91dGNvbWUgQXNz
ZXNzbWVudCwgSGVhbHRoIENhcmU8L2tleXdvcmQ+PGtleXdvcmQ+UHJlZ25hbmN5PC9rZXl3b3Jk
PjxrZXl3b3JkPlJpc2s8L2tleXdvcmQ+PC9rZXl3b3Jkcz48ZGF0ZXM+PHllYXI+MjAxODwveWVh
cj48cHViLWRhdGVzPjxkYXRlPlNlcCAxNDwvZGF0ZT48L3B1Yi1kYXRlcz48L2RhdGVzPjxpc2Ju
PjIwNDUtMjMyMiAoRWxlY3Ryb25pYykmI3hEOzIwNDUtMjMyMiAoTGlua2luZyk8L2lzYm4+PGFj
Y2Vzc2lvbi1udW0+MzAyMTgwMTI8L2FjY2Vzc2lvbi1udW0+PHVybHM+PHJlbGF0ZWQtdXJscz48
dXJsPmh0dHBzOi8vd3d3Lm5jYmkubmxtLm5paC5nb3YvcHVibWVkLzMwMjE4MDEyPC91cmw+PC9y
ZWxhdGVkLXVybHM+PC91cmxzPjxjdXN0b20yPlBNQzYxMzg3MDg8L2N1c3RvbTI+PGVsZWN0cm9u
aWMtcmVzb3VyY2UtbnVtPjEwLjEwMzgvczQxNTk4LTAxOC0zMjI4NS02PC9lbGVjdHJvbmljLXJl
c291cmNlLW51bT48L3JlY29yZD48L0NpdGU+PC9FbmROb3RlPgB=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482,488,499,518</w:t>
      </w:r>
      <w:r>
        <w:fldChar w:fldCharType="end"/>
      </w:r>
      <w:r>
        <w:t xml:space="preserve"> or three times a week</w:t>
      </w:r>
      <w:r>
        <w:fldChar w:fldCharType="begin"/>
      </w:r>
      <w:r w:rsidR="002747EA">
        <w:instrText xml:space="preserve"> ADDIN EN.CITE &lt;EndNote&gt;&lt;Cite&gt;&lt;Author&gt;Petrella&lt;/Author&gt;&lt;Year&gt;2013&lt;/Year&gt;&lt;RecNum&gt;751&lt;/RecNum&gt;&lt;DisplayText&gt;&lt;style face="superscript" font="Trebuchet MS" size="9"&gt;504&lt;/style&gt;&lt;/DisplayText&gt;&lt;record&gt;&lt;rec-number&gt;751&lt;/rec-number&gt;&lt;foreign-keys&gt;&lt;key app="EN" db-id="exvasrfx2dtraoesasxp2szsxa2df502592x" timestamp="1541467931"&gt;751&lt;/key&gt;&lt;key app="ENWeb" db-id=""&gt;0&lt;/key&gt;&lt;/foreign-keys&gt;&lt;ref-type name="Journal Article"&gt;17&lt;/ref-type&gt;&lt;contributors&gt;&lt;authors&gt;&lt;author&gt;Petrella, E.&lt;/author&gt;&lt;author&gt;Malavolti, M.&lt;/author&gt;&lt;author&gt;Bertarini, V.&lt;/author&gt;&lt;author&gt;Pignatti, L.&lt;/author&gt;&lt;author&gt;Neri, I.&lt;/author&gt;&lt;author&gt;Battistini, N. C.&lt;/author&gt;&lt;author&gt;Facchinetti, F.&lt;/author&gt;&lt;/authors&gt;&lt;/contributors&gt;&lt;titles&gt;&lt;title&gt;Gestational weight gain in overweight and obese women enrolled in a healthy lifestyle and eating habits program&lt;/title&gt;&lt;secondary-title&gt;J Maternal-Fetal &amp;amp; Neonatal Med&lt;/secondary-title&gt;&lt;/titles&gt;&lt;periodical&gt;&lt;full-title&gt;J Maternal-Fetal &amp;amp; Neonatal Med&lt;/full-title&gt;&lt;/periodical&gt;&lt;pages&gt;1348-1352&lt;/pages&gt;&lt;volume&gt;27&lt;/volume&gt;&lt;number&gt;13&lt;/number&gt;&lt;section&gt;1348&lt;/section&gt;&lt;dates&gt;&lt;year&gt;2013&lt;/year&gt;&lt;/dates&gt;&lt;isbn&gt;1476-7058&amp;#xD;1476-4954&lt;/isbn&gt;&lt;urls&gt;&lt;/urls&gt;&lt;electronic-resource-num&gt;10.3109/14767058.2013.858318&lt;/electronic-resource-num&gt;&lt;/record&gt;&lt;/Cite&gt;&lt;/EndNote&gt;</w:instrText>
      </w:r>
      <w:r>
        <w:fldChar w:fldCharType="separate"/>
      </w:r>
      <w:r w:rsidR="002747EA" w:rsidRPr="002747EA">
        <w:rPr>
          <w:noProof/>
          <w:vertAlign w:val="superscript"/>
        </w:rPr>
        <w:t>504</w:t>
      </w:r>
      <w:r>
        <w:fldChar w:fldCharType="end"/>
      </w:r>
    </w:p>
    <w:p w14:paraId="18A45D9A" w14:textId="5FFC8089" w:rsidR="00A5540F" w:rsidRPr="009523B0" w:rsidRDefault="00A5540F" w:rsidP="00A5540F">
      <w:pPr>
        <w:pStyle w:val="bullet"/>
      </w:pPr>
      <w:r>
        <w:t>moderate</w:t>
      </w:r>
      <w:r w:rsidRPr="00117DC3">
        <w:t xml:space="preserve"> </w:t>
      </w:r>
      <w:r>
        <w:t>intensity exercise</w:t>
      </w:r>
      <w:r w:rsidRPr="00117DC3">
        <w:t xml:space="preserve"> 30 to</w:t>
      </w:r>
      <w:r>
        <w:t xml:space="preserve"> </w:t>
      </w:r>
      <w:r w:rsidRPr="00117DC3">
        <w:t>60 minutes daily</w:t>
      </w:r>
      <w:r>
        <w:fldChar w:fldCharType="begin"/>
      </w:r>
      <w:r w:rsidR="002747EA">
        <w:instrText xml:space="preserve"> ADDIN EN.CITE &lt;EndNote&gt;&lt;Cite&gt;&lt;Author&gt;Vinter&lt;/Author&gt;&lt;Year&gt;2011&lt;/Year&gt;&lt;RecNum&gt;1111&lt;/RecNum&gt;&lt;DisplayText&gt;&lt;style face="superscript" font="Trebuchet MS" size="9"&gt;515&lt;/style&gt;&lt;/DisplayText&gt;&lt;record&gt;&lt;rec-number&gt;1111&lt;/rec-number&gt;&lt;foreign-keys&gt;&lt;key app="EN" db-id="exvasrfx2dtraoesasxp2szsxa2df502592x" timestamp="1552948617"&gt;1111&lt;/key&gt;&lt;/foreign-keys&gt;&lt;ref-type name="Journal Article"&gt;17&lt;/ref-type&gt;&lt;contributors&gt;&lt;authors&gt;&lt;author&gt;Vinter, C. A.&lt;/author&gt;&lt;author&gt;Jensen, D. M.&lt;/author&gt;&lt;author&gt;Ovesen, P.&lt;/author&gt;&lt;author&gt;Beck-Nielsen, H.&lt;/author&gt;&lt;author&gt;Jorgensen, J. S.&lt;/author&gt;&lt;/authors&gt;&lt;/contributors&gt;&lt;auth-address&gt;Department of Gynecology and Obstetrics, Odense University Hospital, Odense, Denmark. c.vinter@dadlnet.dk&lt;/auth-address&gt;&lt;titles&gt;&lt;title&gt;The LiP (Lifestyle in Pregnancy) study: a randomized controlled trial of lifestyle intervention in 360 obese pregnant women&lt;/title&gt;&lt;secondary-title&gt;Diabetes Care&lt;/secondary-title&gt;&lt;/titles&gt;&lt;periodical&gt;&lt;full-title&gt;Diabetes Care&lt;/full-title&gt;&lt;/periodical&gt;&lt;pages&gt;2502-7&lt;/pages&gt;&lt;volume&gt;34&lt;/volume&gt;&lt;number&gt;12&lt;/number&gt;&lt;edition&gt;2011/10/06&lt;/edition&gt;&lt;keywords&gt;&lt;keyword&gt;Adolescent&lt;/keyword&gt;&lt;keyword&gt;Adult&lt;/keyword&gt;&lt;keyword&gt;Denmark&lt;/keyword&gt;&lt;keyword&gt;Directive Counseling&lt;/keyword&gt;&lt;keyword&gt;Female&lt;/keyword&gt;&lt;keyword&gt;Humans&lt;/keyword&gt;&lt;keyword&gt;*Life Style&lt;/keyword&gt;&lt;keyword&gt;Motor Activity&lt;/keyword&gt;&lt;keyword&gt;Obesity/diet therapy/*therapy&lt;/keyword&gt;&lt;keyword&gt;Physical Education and Training&lt;/keyword&gt;&lt;keyword&gt;Pregnancy&lt;/keyword&gt;&lt;keyword&gt;Pregnancy Complications/diet therapy/*therapy&lt;/keyword&gt;&lt;keyword&gt;Pregnancy Outcome&lt;/keyword&gt;&lt;keyword&gt;Weight Gain&lt;/keyword&gt;&lt;/keywords&gt;&lt;dates&gt;&lt;year&gt;2011&lt;/year&gt;&lt;pub-dates&gt;&lt;date&gt;Dec&lt;/date&gt;&lt;/pub-dates&gt;&lt;/dates&gt;&lt;isbn&gt;1935-5548 (Electronic)&amp;#xD;0149-5992 (Linking)&lt;/isbn&gt;&lt;accession-num&gt;21972411&lt;/accession-num&gt;&lt;urls&gt;&lt;related-urls&gt;&lt;url&gt;https://www.ncbi.nlm.nih.gov/pubmed/21972411&lt;/url&gt;&lt;/related-urls&gt;&lt;/urls&gt;&lt;custom2&gt;PMC3220844&lt;/custom2&gt;&lt;electronic-resource-num&gt;10.2337/dc11-1150&lt;/electronic-resource-num&gt;&lt;/record&gt;&lt;/Cite&gt;&lt;/EndNote&gt;</w:instrText>
      </w:r>
      <w:r>
        <w:fldChar w:fldCharType="separate"/>
      </w:r>
      <w:r w:rsidR="002747EA" w:rsidRPr="002747EA">
        <w:rPr>
          <w:noProof/>
          <w:vertAlign w:val="superscript"/>
        </w:rPr>
        <w:t>515</w:t>
      </w:r>
      <w:r>
        <w:fldChar w:fldCharType="end"/>
      </w:r>
    </w:p>
    <w:p w14:paraId="74A797D6" w14:textId="556B4460" w:rsidR="00A5540F" w:rsidRDefault="00A5540F" w:rsidP="00A5540F">
      <w:pPr>
        <w:pStyle w:val="bullet"/>
      </w:pPr>
      <w:r>
        <w:t>a</w:t>
      </w:r>
      <w:r w:rsidRPr="00C345D3">
        <w:t xml:space="preserve"> minimum </w:t>
      </w:r>
      <w:r>
        <w:t xml:space="preserve">of </w:t>
      </w:r>
      <w:r w:rsidRPr="00C345D3">
        <w:t>800 MET (multiples of</w:t>
      </w:r>
      <w:r>
        <w:t xml:space="preserve"> </w:t>
      </w:r>
      <w:r w:rsidRPr="00C345D3">
        <w:t>resting metabolic equivalents) minutes weekly</w:t>
      </w:r>
      <w:r>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instrText xml:space="preserve"> ADDIN EN.CITE </w:instrText>
      </w:r>
      <w:r w:rsidR="002747EA">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522</w:t>
      </w:r>
      <w:r>
        <w:fldChar w:fldCharType="end"/>
      </w:r>
    </w:p>
    <w:p w14:paraId="5C78E41A" w14:textId="48FCFC12" w:rsidR="00A5540F" w:rsidRPr="00F57D12" w:rsidRDefault="00A5540F" w:rsidP="00A5540F">
      <w:pPr>
        <w:pStyle w:val="bullet"/>
        <w:rPr>
          <w:szCs w:val="24"/>
        </w:rPr>
      </w:pPr>
      <w:r w:rsidRPr="0052477A">
        <w:t>a daily step count of</w:t>
      </w:r>
      <w:r>
        <w:t xml:space="preserve"> 5,000 (women with BMI≥25) or </w:t>
      </w:r>
      <w:r w:rsidRPr="0052477A">
        <w:t>11,000</w:t>
      </w:r>
      <w:r>
        <w:t xml:space="preserve"> (women with BMI≥30)</w:t>
      </w:r>
      <w:r>
        <w:rPr>
          <w:sz w:val="16"/>
          <w:szCs w:val="16"/>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451</w:t>
      </w:r>
      <w:r>
        <w:rPr>
          <w:sz w:val="16"/>
          <w:szCs w:val="16"/>
        </w:rPr>
        <w:fldChar w:fldCharType="end"/>
      </w:r>
    </w:p>
    <w:p w14:paraId="24D3A0EC" w14:textId="1AFA5A53" w:rsidR="00A5540F" w:rsidRPr="005C786C" w:rsidRDefault="00A5540F" w:rsidP="00A5540F">
      <w:pPr>
        <w:pStyle w:val="bullet"/>
      </w:pPr>
      <w:r w:rsidRPr="008C5389">
        <w:t>150 min</w:t>
      </w:r>
      <w:r>
        <w:t xml:space="preserve"> </w:t>
      </w:r>
      <w:r w:rsidRPr="008C5389">
        <w:t xml:space="preserve">of moderate-intensity </w:t>
      </w:r>
      <w:r>
        <w:t xml:space="preserve">exercise </w:t>
      </w:r>
      <w:r w:rsidRPr="008C5389">
        <w:t>per week</w:t>
      </w:r>
      <w:r>
        <w:t>.</w:t>
      </w:r>
      <w:r>
        <w:fldChar w:fldCharType="begin"/>
      </w:r>
      <w:r w:rsidR="002747EA">
        <w:instrText xml:space="preserve"> ADDIN EN.CITE &lt;EndNote&gt;&lt;Cite&gt;&lt;Author&gt;Koivusalo&lt;/Author&gt;&lt;Year&gt;2016&lt;/Year&gt;&lt;RecNum&gt;733&lt;/RecNum&gt;&lt;DisplayText&gt;&lt;style face="superscript" font="Trebuchet MS" size="9"&gt;519&lt;/style&gt;&lt;/DisplayText&gt;&lt;record&gt;&lt;rec-number&gt;733&lt;/rec-number&gt;&lt;foreign-keys&gt;&lt;key app="EN" db-id="exvasrfx2dtraoesasxp2szsxa2df502592x" timestamp="1541467766"&gt;733&lt;/key&gt;&lt;key app="ENWeb" db-id=""&gt;0&lt;/key&gt;&lt;/foreign-keys&gt;&lt;ref-type name="Journal Article"&gt;17&lt;/ref-type&gt;&lt;contributors&gt;&lt;authors&gt;&lt;author&gt;Koivusalo, S.B.,&lt;/author&gt;&lt;author&gt;Rönö, K.,&lt;/author&gt;&lt;author&gt;Klemetti, M.M.,&lt;/author&gt;&lt;author&gt;Roine, R.P.,&lt;/author&gt;&lt;author&gt;Lindström, J.,&lt;/author&gt;&lt;author&gt;Erkkola, M.,&lt;/author&gt;&lt;/authors&gt;&lt;/contributors&gt;&lt;titles&gt;&lt;title&gt;Gestational diabetes mellitus can be prevented by lifestyle intervention: The Finnish Gestational Diabetes Prevention Study (RADIEL)&lt;/title&gt;&lt;secondary-title&gt;Diabetes Care&lt;/secondary-title&gt;&lt;/titles&gt;&lt;periodical&gt;&lt;full-title&gt;Diabetes Care&lt;/full-title&gt;&lt;/periodical&gt;&lt;pages&gt;24-30&lt;/pages&gt;&lt;volume&gt;39&lt;/volume&gt;&lt;number&gt;1&lt;/number&gt;&lt;section&gt;24&lt;/section&gt;&lt;dates&gt;&lt;year&gt;2016&lt;/year&gt;&lt;/dates&gt;&lt;isbn&gt;0149-5992&amp;#xD;1935-5548&lt;/isbn&gt;&lt;urls&gt;&lt;/urls&gt;&lt;electronic-resource-num&gt;10.2337/dc15-0511&lt;/electronic-resource-num&gt;&lt;/record&gt;&lt;/Cite&gt;&lt;/EndNote&gt;</w:instrText>
      </w:r>
      <w:r>
        <w:fldChar w:fldCharType="separate"/>
      </w:r>
      <w:r w:rsidR="002747EA" w:rsidRPr="002747EA">
        <w:rPr>
          <w:noProof/>
          <w:vertAlign w:val="superscript"/>
        </w:rPr>
        <w:t>519</w:t>
      </w:r>
      <w:r>
        <w:fldChar w:fldCharType="end"/>
      </w:r>
    </w:p>
    <w:p w14:paraId="65D151A7" w14:textId="6230B54A" w:rsidR="00A5540F" w:rsidRDefault="00A5540F" w:rsidP="00A5540F">
      <w:r>
        <w:t>Other studies did not specify the amount of exercise but were consistent in promoting an increase in physical activity in general</w:t>
      </w:r>
      <w:r>
        <w:fldChar w:fldCharType="begin">
          <w:fldData xml:space="preserve">PEVuZE5vdGU+PENpdGU+PEF1dGhvcj5TaW1tb25zPC9BdXRob3I+PFllYXI+MjAxNzwvWWVhcj48
UmVjTnVtPjEwNTc8L1JlY051bT48RGlzcGxheVRleHQ+PHN0eWxlIGZhY2U9InN1cGVyc2NyaXB0
IiBmb250PSJUcmVidWNoZXQgTVMiIHNpemU9IjkiPjQwMiw0ODMsNDg0LDUwMiw1MDktNTEzLDUy
MDwvc3R5bGU+PC9EaXNwbGF5VGV4dD48cmVjb3JkPjxyZWMtbnVtYmVyPjEwNTc8L3JlYy1udW1i
ZXI+PGZvcmVpZ24ta2V5cz48a2V5IGFwcD0iRU4iIGRiLWlkPSJleHZhc3JmeDJkdHJhb2VzYXN4
cDJzenN4YTJkZjUwMjU5MngiIHRpbWVzdGFtcD0iMTU0ODk4MzQ3NiI+MTA1Nzwva2V5PjwvZm9y
ZWlnbi1rZXlzPjxyZWYtdHlwZSBuYW1lPSJKb3VybmFsIEFydGljbGUiPjE3PC9yZWYtdHlwZT48
Y29udHJpYnV0b3JzPjxhdXRob3JzPjxhdXRob3I+U2ltbW9ucywgRC48L2F1dGhvcj48YXV0aG9y
PkRldmxpZWdlciwgUi48L2F1dGhvcj48YXV0aG9yPnZhbiBBc3NjaGUsIEEuPC9hdXRob3I+PGF1
dGhvcj5KYW5zLCBHLjwvYXV0aG9yPjxhdXRob3I+R2FsamFhcmQsIFMuPC9hdXRob3I+PGF1dGhv
cj5Db3Jjb3ksIFIuPC9hdXRob3I+PGF1dGhvcj5BZGVsYW50YWRvLCBKLiBNLjwvYXV0aG9yPjxh
dXRob3I+RHVubmUsIEYuPC9hdXRob3I+PGF1dGhvcj5EZXNveWUsIEcuPC9hdXRob3I+PGF1dGhv
cj5IYXJyZWl0ZXIsIEouPC9hdXRob3I+PGF1dGhvcj5LYXV0emt5LVdpbGxlciwgQS48L2F1dGhv
cj48YXV0aG9yPkRhbW0sIFAuPC9hdXRob3I+PGF1dGhvcj5NYXRoaWVzZW4sIEUuIFIuPC9hdXRo
b3I+PGF1dGhvcj5KZW5zZW4sIEQuIE0uPC9hdXRob3I+PGF1dGhvcj5BbmRlcnNlbiwgTC48L2F1
dGhvcj48YXV0aG9yPkxhcG9sbGEsIEEuPC9hdXRob3I+PGF1dGhvcj5EYWxmcmEsIE0uIEcuPC9h
dXRob3I+PGF1dGhvcj5CZXJ0b2xvdHRvLCBBLjwvYXV0aG9yPjxhdXRob3I+V2VuZGVyLU96ZWdv
d3NrYSwgRS48L2F1dGhvcj48YXV0aG9yPlphd2llanNrYSwgQS48L2F1dGhvcj48YXV0aG9yPkhp
bGwsIEQuPC9hdXRob3I+PGF1dGhvcj5Tbm9laywgRi4gSi48L2F1dGhvcj48YXV0aG9yPkplbHNt
YSwgSi4gRy48L2F1dGhvcj48YXV0aG9yPnZhbiBQb3BwZWwsIE0uIE4uPC9hdXRob3I+PC9hdXRo
b3JzPjwvY29udHJpYnV0b3JzPjxhdXRoLWFkZHJlc3M+V2VzdGVybiBTeWRuZXkgVW5pdmVyc2l0
eSwgQ2FtcGJlbGx0b3duLCBOZXcgU291dGggV2FsZXMgMjU2MCwgQXVzdHJhbGlhLiYjeEQ7SW5z
dGl0dXRlIG9mIE1ldGFib2xpYyBTY2llbmNlLCBBZGRlbmJyb29rZSZhcG9zO3MgSG9zcGl0YWws
IENhbWJyaWRnZSwgQ0IyIDBRUSBFbmdsYW5kLiYjeEQ7RGVwYXJ0bWVudCBvZiBEZXZlbG9wbWVu
dCBhbmQgUmVnZW5lcmF0aW9uOiBQcmVnbmFuY3ksIEZldHVzIGFuZCBOZW9uYXRlLCBHeW5hZWNv
bG9neSBhbmQgT2JzdGV0cmljcywgVW5pdmVyc2l0eSBIb3NwaXRhbHMsIEthdGhvbGlla2UgVW5p
dmVyc2l0ZWl0IExldXZlbiwgTGV1dmVuLCBCZWxnaXVtLiYjeEQ7RGl2aXNpb24gb2YgT2JzdGV0
cmljcyBhbmQgUHJlbmF0YWwgTWVkaWNpbmUsIERlcGFydG1lbnQgb2YgT2JzdGV0cmljcyBhbmQg
R3luYWVjb2xvZ3ksIEVyYXNtdXMgVW5pdmVyc2l0eSBNZWRpY2FsIENlbnRlciBSb3R0ZXJkYW0s
IFJvdHRlcmRhbSwgVGhlIE5ldGhlcmxhbmRzLiYjeEQ7SW5zdGl0dXQgZGUgUmVjZXJjYSBkZSBs
IEhvc3BpdGFsIGRlIGxhIFNhbnRhIENyZXUgaSBTYW50IFBhdSwgQmFyY2Vsb25hLCBTcGFpbi4m
I3hEO0NJQkVSIEJpb2VuZ2luZWVyaW5nLCBCaW9tYXRlcmlhbHMgYW5kIE5hbm90ZWNobm9sb2d5
LCBJbnN0aXR1dG8gZGUgU2FsdWQgQ2FybG9zIElJSSwgWmFyYWdvemEsIFNwYWluLiYjeEQ7R2Fs
d2F5IERpYWJldGVzIFJlc2VhcmNoIENlbnRyZSBhbmQgQ29sbGVnZSBvZiBNZWRpY2luZSBOdXJz
aW5nIGFuZCBIZWFsdGggU2NpZW5jZXMsIE5hdGlvbmFsIFVuaXZlcnNpdHkgb2YgSXJlbGFuZCwg
R2Fsd2F5LCBJcmVsYW5kLiYjeEQ7RGVwYXJ0bWVudCBvZiBPYnN0ZXRyaWNzIGFuZCBHeW5lY29s
b2d5LCBNZWRpemluaXNjaGUgVW5pdmVyc2l0YWV0IEdyYXosIEdyYXosIEF1c3RyaWEuJiN4RDtH
ZW5kZXIgTWVkaWNpbmUgVW5pdCwgRW5kb2NyaW5vbG9neSBhbmQgTWV0YWJvbGlzbSwgRGVwYXJ0
bWVudCBvZiBJbnRlcm5hbCBNZWRpY2luZSBJSUksIE1lZGljYWwgVW5pdmVyc2l0eSBvZiBWaWVu
bmEsIFZpZW5uYSwgQXVzdHJpYS4mI3hEO0NlbnRlciBmb3IgUHJlZ25hbnQgV29tZW4gd2l0aCBE
aWFiZXRlcywgRGVwYXJ0bWVudHMgb2YgRW5kb2NyaW5vbG9neSBhbmQgT2JzdGV0cmljcywgUmln
c2hvc3BpdGFsZXQsIEluc3RpdHV0ZSBvZiBDbGluaWNhbCBNZWRpY2luZSwgRmFjdWx0eSBvZiBI
ZWFsdGggYW5kIE1lZGljYWwgU2NpZW5jZXMsIFVuaXZlcnNpdHkgb2YgQ29wZW5oYWdlbiwgQ29w
ZW5oYWdlbiwgRGVubWFyay4mI3hEO0RlcGFydG1lbnQgb2YgRW5kb2NyaW5vbG9neSBhbmQgRGVw
YXJ0bWVudCBvZiBHeW5lY29sb2d5IGFuZCBPYnN0ZXRyaWNzLCBPZGVuc2UgVW5pdmVyc2l0eSBI
b3NwaXRhbCwgT2RlbnNlLCBEZW5tYXJrLiYjeEQ7RGVwYXJ0bWVudCBvZiBDbGluaWNhbCBSZXNl
YXJjaCwgRmFjdWx0eSBvZiBIZWFsdGggU2NpZW5jZXMsIFVuaXZlcnNpdHkgb2YgU291dGhlcm4g
RGVubWFyaywgT2RlbnNlLCBEZW5tYXJrLiYjeEQ7VW5pdmVyc2l0YSBEZWdsaSBTdHVkaSBkaSBQ
YWRvdmEsIFBhZHVhLCBJdGFseS4mI3hEO0F6aWVuZGEgT3NwZWRhbGllcm8gVW5pdmVyc2l0YXJp
YS1QaXNhLCBQaXNhIEl0YWx5LiYjeEQ7TWVkaWNhbCBGYWN1bHR5IEksIFBvem5hbiBVbml2ZXJz
aXR5IG9mIE1lZGljYWwgU2NpZW5jZXMsIFBvem5hbiwgUG9sYW5kLiYjeEQ7UmVjaGVyY2hlIGVu
IFNhbnRlIExhd3NvbiBTQSwgQnJvbnNjaGhvZmVuLCBTd2l0emVybGFuZC4mI3hEO0RlcGFydG1l
bnQgb2YgTWVkaWNhbCBQc3ljaG9sb2d5LCBFTUdPKyBJbnN0aXR1dGUgZm9yIEhlYWx0aCBhbmQg
Q2FyZSBSZXNlYXJjaCwgVlUgVW5pdmVyc2l0eSBNZWRpY2FsIENlbnRyZSwgQW1zdGVyZGFtLCBU
aGUgTmV0aGVybGFuZHMuJiN4RDtEZXBhcnRtZW50IG9mIE1lZGljYWwgUHN5Y2hvbG9neSwgQWNh
ZGVtaWMgTWVkaWNhbCBDZW50cmUsIEFtc3RlcmRhbSwgVGhlIE5ldGhlcmxhbmRzLiYjeEQ7RGVw
YXJ0bWVudCBvZiBQdWJsaWMgYW5kIE9jY3VwYXRpb25hbCBIZWFsdGgsIEVNR08rIEluc3RpdHV0
ZSBmb3IgSGVhbHRoIGFuZCBDYXJlIFJlc2VhcmNoLCBWVSBVbml2ZXJzaXR5IE1lZGljYWwgQ2Vu
dHJlLCBBbXN0ZXJkYW0sIFRoZSBOZXRoZXJsYW5kczsgYW5kLiYjeEQ7SW5zdGl0dXRlIG9mIFNw
b3J0IFNjaWVuY2UsIFVuaXZlcnNpdHkgb2YgR3JheiwgR3JheiwgQXVzdHJpYS48L2F1dGgtYWRk
cmVzcz48dGl0bGVzPjx0aXRsZT5FZmZlY3Qgb2YgUGh5c2ljYWwgQWN0aXZpdHkgYW5kL29yIEhl
YWx0aHkgRWF0aW5nIG9uIEdETSBSaXNrOiBUaGUgREFMSSBMaWZlc3R5bGUgU3R1ZHk8L3RpdGxl
PjxzZWNvbmRhcnktdGl0bGU+SiBDbGluIEVuZG9jcmlub2wgTWV0YWI8L3NlY29uZGFyeS10aXRs
ZT48L3RpdGxlcz48cGVyaW9kaWNhbD48ZnVsbC10aXRsZT5KIENsaW4gRW5kb2NyaW5vbCBNZXRh
YjwvZnVsbC10aXRsZT48L3BlcmlvZGljYWw+PHBhZ2VzPjkwMy05MTM8L3BhZ2VzPjx2b2x1bWU+
MTAyPC92b2x1bWU+PG51bWJlcj4zPC9udW1iZXI+PGVkaXRpb24+MjAxNi8xMi8xMDwvZWRpdGlv
bj48ZGF0ZXM+PHllYXI+MjAxNzwveWVhcj48cHViLWRhdGVzPjxkYXRlPk1hciAxPC9kYXRlPjwv
cHViLWRhdGVzPjwvZGF0ZXM+PGlzYm4+MTk0NS03MTk3IChFbGVjdHJvbmljKSYjeEQ7MDAyMS05
NzJYIChMaW5raW5nKTwvaXNibj48YWNjZXNzaW9uLW51bT4yNzkzNTc2NzwvYWNjZXNzaW9uLW51
bT48dXJscz48cmVsYXRlZC11cmxzPjx1cmw+aHR0cHM6Ly93d3cubmNiaS5ubG0ubmloLmdvdi9w
dWJtZWQvMjc5MzU3Njc8L3VybD48L3JlbGF0ZWQtdXJscz48L3VybHM+PGN1c3RvbTI+UE1DNTQ2
MDY4ODwvY3VzdG9tMj48ZWxlY3Ryb25pYy1yZXNvdXJjZS1udW0+MTAuMTIxMC9qYy4yMDE2LTM0
NTU8L2VsZWN0cm9uaWMtcmVzb3VyY2UtbnVtPjwvcmVjb3JkPjwvQ2l0ZT48Q2l0ZT48QXV0aG9y
PlBvc3RvbjwvQXV0aG9yPjxZZWFyPjIwMTM8L1llYXI+PFJlY051bT4xMTA1PC9SZWNOdW0+PHJl
Y29yZD48cmVjLW51bWJlcj4xMTA1PC9yZWMtbnVtYmVyPjxmb3JlaWduLWtleXM+PGtleSBhcHA9
IkVOIiBkYi1pZD0iZXh2YXNyZngyZHRyYW9lc2FzeHAyc3pzeGEyZGY1MDI1OTJ4IiB0aW1lc3Rh
bXA9IjE1NTI5NDgyNzUiPjExMDU8L2tleT48L2ZvcmVpZ24ta2V5cz48cmVmLXR5cGUgbmFtZT0i
Sm91cm5hbCBBcnRpY2xlIj4xNzwvcmVmLXR5cGU+PGNvbnRyaWJ1dG9ycz48YXV0aG9ycz48YXV0
aG9yPlBvc3RvbiwgTC48L2F1dGhvcj48YXV0aG9yPkJyaWxleSwgQS4gTC48L2F1dGhvcj48YXV0
aG9yPkJhcnIsIFMuPC9hdXRob3I+PGF1dGhvcj5CZWxsLCBSLjwvYXV0aG9yPjxhdXRob3I+Q3Jv
a2VyLCBILjwvYXV0aG9yPjxhdXRob3I+Q294b24sIEsuPC9hdXRob3I+PGF1dGhvcj5Fc3NleCwg
SC4gTi48L2F1dGhvcj48YXV0aG9yPkh1bnQsIEMuPC9hdXRob3I+PGF1dGhvcj5IYXllcywgTC48
L2F1dGhvcj48YXV0aG9yPkhvd2FyZCwgTC4gTS48L2F1dGhvcj48YXV0aG9yPktoYXphZXphZGVo
LCBOLjwvYXV0aG9yPjxhdXRob3I+S2lubnVuZW4sIFQuPC9hdXRob3I+PGF1dGhvcj5OZWxzb24s
IFMuIE0uPC9hdXRob3I+PGF1dGhvcj5PdGVuZy1OdGltLCBFLjwvYXV0aG9yPjxhdXRob3I+Um9i
c29uLCBTLiBDLjwvYXV0aG9yPjxhdXRob3I+U2F0dGFyLCBOLjwvYXV0aG9yPjxhdXRob3I+U2Vl
ZCwgUC4gVC48L2F1dGhvcj48YXV0aG9yPldhcmRsZSwgSi48L2F1dGhvcj48YXV0aG9yPlNhbmRl
cnMsIFQuIEEuPC9hdXRob3I+PGF1dGhvcj5TYW5kYWxsLCBKLjwvYXV0aG9yPjwvYXV0aG9ycz48
L2NvbnRyaWJ1dG9ycz48dGl0bGVzPjx0aXRsZT5EZXZlbG9waW5nIGEgY29tcGxleCBpbnRlcnZl
bnRpb24gZm9yIGRpZXQgYW5kIGFjdGl2aXR5IGJlaGF2aW91ciBjaGFuZ2UgaW4gb2Jlc2UgcHJl
Z25hbnQgd29tZW4gKHRoZSBVUEJFQVQgdHJpYWwpOyBhc3Nlc3NtZW50IG9mIGJlaGF2aW91cmFs
IGNoYW5nZSBhbmQgcHJvY2VzcyBldmFsdWF0aW9uIGluIGEgcGlsb3QgcmFuZG9taXNlZCBjb250
cm9sbGVkIHRyaWFsPC90aXRsZT48c2Vjb25kYXJ5LXRpdGxlPkJNQyBQcmVnbmFuY3kgQ2hpbGRi
aXJ0aDwvc2Vjb25kYXJ5LXRpdGxlPjwvdGl0bGVzPjxwZXJpb2RpY2FsPjxmdWxsLXRpdGxlPkJN
QyBQcmVnbmFuY3kgQ2hpbGRiaXJ0aDwvZnVsbC10aXRsZT48L3BlcmlvZGljYWw+PHBhZ2VzPjE0
ODwvcGFnZXM+PHZvbHVtZT4xMzwvdm9sdW1lPjxlZGl0aW9uPjIwMTMvMDcvMTc8L2VkaXRpb24+
PGtleXdvcmRzPjxrZXl3b3JkPkFjY2VsZXJvbWV0cnk8L2tleXdvcmQ+PGtleXdvcmQ+QWRvbGVz
Y2VudDwva2V5d29yZD48a2V5d29yZD5BZHVsdDwva2V5d29yZD48a2V5d29yZD5CZWhhdmlvciBU
aGVyYXB5LyptZXRob2RzPC9rZXl3b3JkPjxrZXl3b3JkPkJvZHkgTWFzcyBJbmRleDwva2V5d29y
ZD48a2V5d29yZD5EaWFiZXRlcywgR2VzdGF0aW9uYWwvKnByZXZlbnRpb24gJmFtcDsgY29udHJv
bDwva2V5d29yZD48a2V5d29yZD5EaWV0IFRoZXJhcHkvKm1ldGhvZHM8L2tleXdvcmQ+PGtleXdv
cmQ+RXhlcmNpc2UgVGhlcmFweS8qbWV0aG9kczwva2V5d29yZD48a2V5d29yZD5GZWFzaWJpbGl0
eSBTdHVkaWVzPC9rZXl3b3JkPjxrZXl3b3JkPkZlbWFsZTwva2V5d29yZD48a2V5d29yZD5IdW1h
bnM8L2tleXdvcmQ+PGtleXdvcmQ+Kk1vdG9yIEFjdGl2aXR5PC9rZXl3b3JkPjxrZXl3b3JkPk9i
ZXNpdHkvKnRoZXJhcHk8L2tleXdvcmQ+PGtleXdvcmQ+UGlsb3QgUHJvamVjdHM8L2tleXdvcmQ+
PGtleXdvcmQ+UHJlZ25hbmN5PC9rZXl3b3JkPjxrZXl3b3JkPlByZWduYW5jeSBDb21wbGljYXRp
b25zLyp0aGVyYXB5PC9rZXl3b3JkPjxrZXl3b3JkPlByZW5hdGFsIENhcmUvbWV0aG9kczwva2V5
d29yZD48a2V5d29yZD5Zb3VuZyBBZHVsdDwva2V5d29yZD48L2tleXdvcmRzPjxkYXRlcz48eWVh
cj4yMDEzPC95ZWFyPjxwdWItZGF0ZXM+PGRhdGU+SnVsIDE1PC9kYXRlPjwvcHViLWRhdGVzPjwv
ZGF0ZXM+PGlzYm4+MTQ3MS0yMzkzIChFbGVjdHJvbmljKSYjeEQ7MTQ3MS0yMzkzIChMaW5raW5n
KTwvaXNibj48YWNjZXNzaW9uLW51bT4yMzg1NTcwODwvYWNjZXNzaW9uLW51bT48dXJscz48cmVs
YXRlZC11cmxzPjx1cmw+aHR0cHM6Ly93d3cubmNiaS5ubG0ubmloLmdvdi9wdWJtZWQvMjM4NTU3
MDg8L3VybD48L3JlbGF0ZWQtdXJscz48L3VybHM+PGN1c3RvbTI+UE1DMzcxODYzMDwvY3VzdG9t
Mj48ZWxlY3Ryb25pYy1yZXNvdXJjZS1udW0+MTAuMTE4Ni8xNDcxLTIzOTMtMTMtMTQ4PC9lbGVj
dHJvbmljLXJlc291cmNlLW51bT48L3JlY29yZD48L0NpdGU+PENpdGU+PEF1dGhvcj5Qb3N0b248
L0F1dGhvcj48WWVhcj4yMDE1PC9ZZWFyPjxSZWNOdW0+NjEyPC9SZWNOdW0+PHJlY29yZD48cmVj
LW51bWJlcj42MTI8L3JlYy1udW1iZXI+PGZvcmVpZ24ta2V5cz48a2V5IGFwcD0iRU4iIGRiLWlk
PSJleHZhc3JmeDJkdHJhb2VzYXN4cDJzenN4YTJkZjUwMjU5MngiIHRpbWVzdGFtcD0iMTUzOTA0
ODM0OCI+NjEyPC9rZXk+PGtleSBhcHA9IkVOV2ViIiBkYi1pZD0iIj4wPC9rZXk+PC9mb3JlaWdu
LWtleXM+PHJlZi10eXBlIG5hbWU9IkpvdXJuYWwgQXJ0aWNsZSI+MTc8L3JlZi10eXBlPjxjb250
cmlidXRvcnM+PGF1dGhvcnM+PGF1dGhvcj5Qb3N0b24sIEwuLDwvYXV0aG9yPjxhdXRob3I+QmVs
bCwgUi4sPC9hdXRob3I+PGF1dGhvcj5Dcm9rZXIsIEguLDwvYXV0aG9yPjxhdXRob3I+Rmx5bm4s
IEEuQy4sPC9hdXRob3I+PGF1dGhvcj5Hb2RmcmV5LCBLLk0uLDwvYXV0aG9yPjxhdXRob3I+R29m
ZiwgTC4sPC9hdXRob3I+PC9hdXRob3JzPjwvY29udHJpYnV0b3JzPjx0aXRsZXM+PHRpdGxlPkVm
ZmVjdCBvZiBhIGJlaGF2aW91cmFsIGludGVydmVudGlvbiBpbiBvYmVzZSBwcmVnbmFudCB3b21l
biAodGhlIFVQQkVBVCBzdHVkeSk6IGEgbXVsdGljZW50cmUsIHJhbmRvbWlzZWQgY29udHJvbGxl
ZCB0cmlhbDwvdGl0bGU+PHNlY29uZGFyeS10aXRsZT5UaGUgTGFuY2V0IERpYWJldGVzICZhbXA7
IEVuZG9jcmlub2xvZ3k8L3NlY29uZGFyeS10aXRsZT48L3RpdGxlcz48cGVyaW9kaWNhbD48ZnVs
bC10aXRsZT5UaGUgTGFuY2V0IERpYWJldGVzICZhbXA7IEVuZG9jcmlub2xvZ3k8L2Z1bGwtdGl0
bGU+PC9wZXJpb2RpY2FsPjxwYWdlcz43NjctNzc3PC9wYWdlcz48dm9sdW1lPjM8L3ZvbHVtZT48
bnVtYmVyPjEwPC9udW1iZXI+PHNlY3Rpb24+NzY3PC9zZWN0aW9uPjxkYXRlcz48eWVhcj4yMDE1
PC95ZWFyPjwvZGF0ZXM+PGlzYm4+MjIxMzg1ODc8L2lzYm4+PHVybHM+PC91cmxzPjxlbGVjdHJv
bmljLXJlc291cmNlLW51bT4xMC4xMDE2L3MyMjEzLTg1ODcoMTUpMDAyMjctMjwvZWxlY3Ryb25p
Yy1yZXNvdXJjZS1udW0+PC9yZWNvcmQ+PC9DaXRlPjxDaXRlPjxBdXRob3I+Qm9nYWVydHM8L0F1
dGhvcj48WWVhcj4yMDEzPC9ZZWFyPjxSZWNOdW0+NzEzPC9SZWNOdW0+PHJlY29yZD48cmVjLW51
bWJlcj43MTM8L3JlYy1udW1iZXI+PGZvcmVpZ24ta2V5cz48a2V5IGFwcD0iRU4iIGRiLWlkPSJl
eHZhc3JmeDJkdHJhb2VzYXN4cDJzenN4YTJkZjUwMjU5MngiIHRpbWVzdGFtcD0iMTU0MTQ2MjQ0
MyI+NzEzPC9rZXk+PC9mb3JlaWduLWtleXM+PHJlZi10eXBlIG5hbWU9IkpvdXJuYWwgQXJ0aWNs
ZSI+MTc8L3JlZi10eXBlPjxjb250cmlidXRvcnM+PGF1dGhvcnM+PGF1dGhvcj5Cb2dhZXJ0cywg
QS4gRi48L2F1dGhvcj48YXV0aG9yPkRldmxpZWdlciwgUi48L2F1dGhvcj48YXV0aG9yPk51eXRz
LCBFLjwvYXV0aG9yPjxhdXRob3I+V2l0dGVycywgSS48L2F1dGhvcj48YXV0aG9yPkd5c2VsYWVy
cywgVy48L2F1dGhvcj48YXV0aG9yPlZhbiBkZW4gQmVyZ2gsIEIuIFIuPC9hdXRob3I+PC9hdXRo
b3JzPjwvY29udHJpYnV0b3JzPjxhdXRoLWFkZHJlc3M+RGVwYXJ0bWVudCBvZiBIZWFsdGhjYXJl
IFJlc2VhcmNoLCBQSEwgVW5pdmVyc2l0eSBDb2xsZWdlLCBMaW1idXJnIENhdGhvbGljIFVuaXZl
cnNpdHkgQ29sbGVnZSwgSGFzc2VsdCwgQmVsZ2l1bS48L2F1dGgtYWRkcmVzcz48dGl0bGVzPjx0
aXRsZT5FZmZlY3RzIG9mIGxpZmVzdHlsZSBpbnRlcnZlbnRpb24gaW4gb2Jlc2UgcHJlZ25hbnQg
d29tZW4gb24gZ2VzdGF0aW9uYWwgd2VpZ2h0IGdhaW4gYW5kIG1lbnRhbCBoZWFsdGg6IGEgcmFu
ZG9taXplZCBjb250cm9sbGVkIHRyaWFsPC90aXRsZT48c2Vjb25kYXJ5LXRpdGxlPkludCBKIE9i
ZXMgKExvbmQpPC9zZWNvbmRhcnktdGl0bGU+PC90aXRsZXM+PHBlcmlvZGljYWw+PGZ1bGwtdGl0
bGU+SW50IEogT2JlcyAoTG9uZCk8L2Z1bGwtdGl0bGU+PC9wZXJpb2RpY2FsPjxwYWdlcz44MTQt
MjE8L3BhZ2VzPjx2b2x1bWU+Mzc8L3ZvbHVtZT48bnVtYmVyPjY8L251bWJlcj48ZWRpdGlvbj4y
MDEyLzEwLzA0PC9lZGl0aW9uPjxrZXl3b3Jkcz48a2V5d29yZD5BZHVsdDwva2V5d29yZD48a2V5
d29yZD5BbnhpZXR5L2VwaWRlbWlvbG9neS8qcHJldmVudGlvbiAmYW1wOyBjb250cm9sPC9rZXl3
b3JkPjxrZXl3b3JkPkJlbGdpdW0vZXBpZGVtaW9sb2d5PC9rZXl3b3JkPjxrZXl3b3JkPkJvZHkg
TWFzcyBJbmRleDwva2V5d29yZD48a2V5d29yZD5EZXByZXNzaW9uL2VwaWRlbWlvbG9neS8qcHJl
dmVudGlvbiAmYW1wOyBjb250cm9sPC9rZXl3b3JkPjxrZXl3b3JkPkZlbWFsZTwva2V5d29yZD48
a2V5d29yZD5IZWFsdGggS25vd2xlZGdlLCBBdHRpdHVkZXMsIFByYWN0aWNlPC9rZXl3b3JkPjxr
ZXl3b3JkPkh1bWFuczwva2V5d29yZD48a2V5d29yZD4qTGlmZSBTdHlsZTwva2V5d29yZD48a2V5
d29yZD5Mb25naXR1ZGluYWwgU3R1ZGllczwva2V5d29yZD48a2V5d29yZD5Nb3RpdmF0aW9uPC9r
ZXl3b3JkPjxrZXl3b3JkPk9iZXNpdHkvZXBpZGVtaW9sb2d5L3ByZXZlbnRpb24gJmFtcDsgY29u
dHJvbC9wc3ljaG9sb2d5Lyp0aGVyYXB5PC9rZXl3b3JkPjxrZXl3b3JkPlBhdGllbnQgRWR1Y2F0
aW9uIGFzIFRvcGljPC9rZXl3b3JkPjxrZXl3b3JkPlByZWduYW5jeTwva2V5d29yZD48a2V5d29y
ZD5QcmVnbmFuY3kgQ29tcGxpY2F0aW9ucy9lcGlkZW1pb2xvZ3kvcHJldmVudGlvbiAmYW1wOyBj
b250cm9sL3BzeWNob2xvZ3kvKnRoZXJhcHk8L2tleXdvcmQ+PGtleXdvcmQ+UHJlbmF0YWwgQ2Fy
ZS8qbWV0aG9kczwva2V5d29yZD48a2V5d29yZD5QcmV2YWxlbmNlPC9rZXl3b3JkPjxrZXl3b3Jk
PlJpc2sgRmFjdG9yczwva2V5d29yZD48a2V5d29yZD5SaXNrIFJlZHVjdGlvbiBCZWhhdmlvcjwv
a2V5d29yZD48a2V5d29yZD5TdXJ2ZXlzIGFuZCBRdWVzdGlvbm5haXJlczwva2V5d29yZD48a2V5
d29yZD4qV2VpZ2h0IEdhaW48L2tleXdvcmQ+PC9rZXl3b3Jkcz48ZGF0ZXM+PHllYXI+MjAxMzwv
eWVhcj48cHViLWRhdGVzPjxkYXRlPkp1bjwvZGF0ZT48L3B1Yi1kYXRlcz48L2RhdGVzPjxpc2Ju
PjE0NzYtNTQ5NyAoRWxlY3Ryb25pYykmI3hEOzAzMDctMDU2NSAoTGlua2luZyk8L2lzYm4+PGFj
Y2Vzc2lvbi1udW0+MjMwMzI0MDQ8L2FjY2Vzc2lvbi1udW0+PHVybHM+PHJlbGF0ZWQtdXJscz48
dXJsPmh0dHBzOi8vd3d3Lm5jYmkubmxtLm5paC5nb3YvcHVibWVkLzIzMDMyNDA0PC91cmw+PC9y
ZWxhdGVkLXVybHM+PC91cmxzPjxlbGVjdHJvbmljLXJlc291cmNlLW51bT4xMC4xMDM4L2lqby4y
MDEyLjE2MjwvZWxlY3Ryb25pYy1yZXNvdXJjZS1udW0+PC9yZWNvcmQ+PC9DaXRlPjxDaXRlPjxB
dXRob3I+R3VlbGluY2t4PC9BdXRob3I+PFllYXI+MjAxMDwvWWVhcj48UmVjTnVtPjcyMjwvUmVj
TnVtPjxyZWNvcmQ+PHJlYy1udW1iZXI+NzIyPC9yZWMtbnVtYmVyPjxmb3JlaWduLWtleXM+PGtl
eSBhcHA9IkVOIiBkYi1pZD0iZXh2YXNyZngyZHRyYW9lc2FzeHAyc3pzeGEyZGY1MDI1OTJ4IiB0
aW1lc3RhbXA9IjE1NDE0NjQ3NzciPjcyMjwva2V5PjwvZm9yZWlnbi1rZXlzPjxyZWYtdHlwZSBu
YW1lPSJKb3VybmFsIEFydGljbGUiPjE3PC9yZWYtdHlwZT48Y29udHJpYnV0b3JzPjxhdXRob3Jz
PjxhdXRob3I+R3VlbGluY2t4LCBJLjwvYXV0aG9yPjxhdXRob3I+RGV2bGllZ2VyLCBSLjwvYXV0
aG9yPjxhdXRob3I+TXVsbGllLCBQLjwvYXV0aG9yPjxhdXRob3I+VmFuc2FudCwgRy48L2F1dGhv
cj48L2F1dGhvcnM+PC9jb250cmlidXRvcnM+PGF1dGgtYWRkcmVzcz5EZXBhcnRtZW50IG9mIE51
dHJpdGlvbi1QdWJsaWMgSGVhbHRoIE1lZGljaW5lLCBMRm9SQ2UsIENhdGhvbGljIFVuaXZlcnNp
dHkgTGV1dmVuLCBMZXV2ZW4sIEJlbGdpdW0uIGlzYWJlbGxlLmd1ZWxpbmNreEBtZWQua3VsZXV2
ZW4uYmU8L2F1dGgtYWRkcmVzcz48dGl0bGVzPjx0aXRsZT5FZmZlY3Qgb2YgbGlmZXN0eWxlIGlu
dGVydmVudGlvbiBvbiBkaWV0YXJ5IGhhYml0cywgcGh5c2ljYWwgYWN0aXZpdHksIGFuZCBnZXN0
YXRpb25hbCB3ZWlnaHQgZ2FpbiBpbiBvYmVzZSBwcmVnbmFudCB3b21lbjogYSByYW5kb21pemVk
IGNvbnRyb2xsZWQgdHJpYWw8L3RpdGxlPjxzZWNvbmRhcnktdGl0bGU+QW0gSiBDbGluIE51dHI8
L3NlY29uZGFyeS10aXRsZT48L3RpdGxlcz48cGVyaW9kaWNhbD48ZnVsbC10aXRsZT5BbSBKIENs
aW4gTnV0cjwvZnVsbC10aXRsZT48L3BlcmlvZGljYWw+PHBhZ2VzPjM3My04MDwvcGFnZXM+PHZv
bHVtZT45MTwvdm9sdW1lPjxudW1iZXI+MjwvbnVtYmVyPjxlZGl0aW9uPjIwMDkvMTIvMDQ8L2Vk
aXRpb24+PGtleXdvcmRzPjxrZXl3b3JkPkFkdWx0PC9rZXl3b3JkPjxrZXl3b3JkPkJlaGF2aW9y
IFRoZXJhcHkvKm1ldGhvZHM8L2tleXdvcmQ+PGtleXdvcmQ+RmVlZGluZyBCZWhhdmlvci9waHlz
aW9sb2d5PC9rZXl3b3JkPjxrZXl3b3JkPkZlbWFsZTwva2V5d29yZD48a2V5d29yZD5IdW1hbnM8
L2tleXdvcmQ+PGtleXdvcmQ+SW5mYW50LCBOZXdib3JuPC9rZXl3b3JkPjxrZXl3b3JkPipMaWZl
IFN0eWxlPC9rZXl3b3JkPjxrZXl3b3JkPk1vdG9yIEFjdGl2aXR5L3BoeXNpb2xvZ3k8L2tleXdv
cmQ+PGtleXdvcmQ+T2Jlc2l0eS9waHlzaW9wYXRob2xvZ3kvKnRoZXJhcHk8L2tleXdvcmQ+PGtl
eXdvcmQ+UHJlZ25hbmN5PC9rZXl3b3JkPjxrZXl3b3JkPlByZWduYW5jeSBDb21wbGljYXRpb25z
L3BoeXNpb3BhdGhvbG9neS8qdGhlcmFweTwva2V5d29yZD48a2V5d29yZD5QcmVuYXRhbCBOdXRy
aXRpb25hbCBQaHlzaW9sb2dpY2FsIFBoZW5vbWVuYTwva2V5d29yZD48a2V5d29yZD5XZWlnaHQg
R2Fpbi8qcGh5c2lvbG9neTwva2V5d29yZD48L2tleXdvcmRzPjxkYXRlcz48eWVhcj4yMDEwPC95
ZWFyPjxwdWItZGF0ZXM+PGRhdGU+RmViPC9kYXRlPjwvcHViLWRhdGVzPjwvZGF0ZXM+PGlzYm4+
MTkzOC0zMjA3IChFbGVjdHJvbmljKSYjeEQ7MDAwMi05MTY1IChMaW5raW5nKTwvaXNibj48YWNj
ZXNzaW9uLW51bT4xOTk1NTM5NzwvYWNjZXNzaW9uLW51bT48dXJscz48cmVsYXRlZC11cmxzPjx1
cmw+aHR0cHM6Ly93d3cubmNiaS5ubG0ubmloLmdvdi9wdWJtZWQvMTk5NTUzOTc8L3VybD48L3Jl
bGF0ZWQtdXJscz48L3VybHM+PGVsZWN0cm9uaWMtcmVzb3VyY2UtbnVtPjEwLjM5NDUvYWpjbi4y
MDA5LjI4MTY2PC9lbGVjdHJvbmljLXJlc291cmNlLW51bT48L3JlY29yZD48L0NpdGU+PENpdGU+
PEF1dGhvcj5HYWxsYWdoZXI8L0F1dGhvcj48WWVhcj4yMDE4PC9ZZWFyPjxSZWNOdW0+NzQ0PC9S
ZWNOdW0+PHJlY29yZD48cmVjLW51bWJlcj43NDQ8L3JlYy1udW1iZXI+PGZvcmVpZ24ta2V5cz48
a2V5IGFwcD0iRU4iIGRiLWlkPSJleHZhc3JmeDJkdHJhb2VzYXN4cDJzenN4YTJkZjUwMjU5Mngi
IHRpbWVzdGFtcD0iMTU0MTQ2Nzg3OSI+NzQ0PC9rZXk+PGtleSBhcHA9IkVOV2ViIiBkYi1pZD0i
Ij4wPC9rZXk+PC9mb3JlaWduLWtleXM+PHJlZi10eXBlIG5hbWU9IkpvdXJuYWwgQXJ0aWNsZSI+
MTc8L3JlZi10eXBlPjxjb250cmlidXRvcnM+PGF1dGhvcnM+PGF1dGhvcj5HYWxsYWdoZXIsIER5
bXBuYTwvYXV0aG9yPjxhdXRob3I+Um9zZW5uLCBCYXJhazwvYXV0aG9yPjxhdXRob3I+VG9yby1S
YW1vcywgVGF0aWFuYTwvYXV0aG9yPjxhdXRob3I+UGFsZXksIENoYXJsZXM8L2F1dGhvcj48YXV0
aG9yPkdpZHdhbmksIFNvbmlhPC9hdXRob3I+PGF1dGhvcj5Ib3Jvd2l0eiwgTWljaGVsbGU8L2F1
dGhvcj48YXV0aG9yPkNyYW5lLCBKYW5ldDwvYXV0aG9yPjxhdXRob3I+TGluLCBTdXNhbjwvYXV0
aG9yPjxhdXRob3I+VGhvcm50b24sIEpvaG4gQy48L2F1dGhvcj48YXV0aG9yPlBpLVN1bnllciwg
WGF2aWVyPC9hdXRob3I+PC9hdXRob3JzPjwvY29udHJpYnV0b3JzPjx0aXRsZXM+PHRpdGxlPkdy
ZWF0ZXIgTmVvbmF0YWwgRmF0LUZyZWUgTWFzcyBhbmQgU2ltaWxhciBGYXQgTWFzcyBGb2xsb3dp
bmcgYSBSYW5kb21pemVkIFRyaWFsIHRvIENvbnRyb2wgRXhjZXNzIEdlc3RhdGlvbmFsIFdlaWdo
dCBHYWluPC90aXRsZT48c2Vjb25kYXJ5LXRpdGxlPk9iZXNpdHk8L3NlY29uZGFyeS10aXRsZT48
L3RpdGxlcz48cGVyaW9kaWNhbD48ZnVsbC10aXRsZT5PYmVzaXR5PC9mdWxsLXRpdGxlPjwvcGVy
aW9kaWNhbD48cGFnZXM+NTc4LTU4NzwvcGFnZXM+PHZvbHVtZT4yNjwvdm9sdW1lPjxudW1iZXI+
MzwvbnVtYmVyPjxzZWN0aW9uPjU3ODwvc2VjdGlvbj48ZGF0ZXM+PHllYXI+MjAxODwveWVhcj48
L2RhdGVzPjxpc2JuPjE5MzA3MzgxPC9pc2JuPjx1cmxzPjwvdXJscz48ZWxlY3Ryb25pYy1yZXNv
dXJjZS1udW0+MTAuMTAwMi9vYnkuMjIwNzk8L2VsZWN0cm9uaWMtcmVzb3VyY2UtbnVtPjwvcmVj
b3JkPjwvQ2l0ZT48Q2l0ZT48QXV0aG9yPkhhcnJpc29uPC9BdXRob3I+PFllYXI+MjAxMzwvWWVh
cj48UmVjTnVtPjcyNTwvUmVjTnVtPjxyZWNvcmQ+PHJlYy1udW1iZXI+NzI1PC9yZWMtbnVtYmVy
Pjxmb3JlaWduLWtleXM+PGtleSBhcHA9IkVOIiBkYi1pZD0iZXh2YXNyZngyZHRyYW9lc2FzeHAy
c3pzeGEyZGY1MDI1OTJ4IiB0aW1lc3RhbXA9IjE1NDE0NjUwNTAiPjcyNTwva2V5PjwvZm9yZWln
bi1rZXlzPjxyZWYtdHlwZSBuYW1lPSJKb3VybmFsIEFydGljbGUiPjE3PC9yZWYtdHlwZT48Y29u
dHJpYnV0b3JzPjxhdXRob3JzPjxhdXRob3I+SGFycmlzb24sIEMuIEwuPC9hdXRob3I+PGF1dGhv
cj5Mb21iYXJkLCBDLiBCLjwvYXV0aG9yPjxhdXRob3I+U3RyYXVzcywgQi4gSi48L2F1dGhvcj48
YXV0aG9yPlRlZWRlLCBILiBKLjwvYXV0aG9yPjwvYXV0aG9ycz48L2NvbnRyaWJ1dG9ycz48YXV0
aC1hZGRyZXNzPldvbWVuJmFwb3M7cyBSZXByb2R1Y3RpdmUgUmVzZWFyY2ggdW5pdCwgU2Nob29s
IG9mIFB1YmxpYyBIZWFsdGggYW5kIFByZXZlbnRpdmUgTWVkaWNpbmUsIE1vbmFzaCBVbml2ZXJz
aXR5LCBDbGF5dG9uLCBWaWN0b3JpYSwgQXVzdHJhbGlhLjwvYXV0aC1hZGRyZXNzPjx0aXRsZXM+
PHRpdGxlPk9wdGltaXppbmcgaGVhbHRoeSBnZXN0YXRpb25hbCB3ZWlnaHQgZ2FpbiBpbiB3b21l
biBhdCBoaWdoIHJpc2sgb2YgZ2VzdGF0aW9uYWwgZGlhYmV0ZXM6IGEgcmFuZG9taXplZCBjb250
cm9sbGVkIHRyaWFsPC90aXRsZT48c2Vjb25kYXJ5LXRpdGxlPk9iZXNpdHkgKFNpbHZlciBTcHJp
bmcpPC9zZWNvbmRhcnktdGl0bGU+PC90aXRsZXM+PHBlcmlvZGljYWw+PGZ1bGwtdGl0bGU+T2Jl
c2l0eSAoU2lsdmVyIFNwcmluZyk8L2Z1bGwtdGl0bGU+PC9wZXJpb2RpY2FsPjxwYWdlcz45MDQt
OTwvcGFnZXM+PHZvbHVtZT4yMTwvdm9sdW1lPjxudW1iZXI+NTwvbnVtYmVyPjxlZGl0aW9uPjIw
MTMvMDYvMjE8L2VkaXRpb24+PGtleXdvcmRzPjxrZXl3b3JkPkFkdWx0PC9rZXl3b3JkPjxrZXl3
b3JkPipCb2R5IE1hc3MgSW5kZXg8L2tleXdvcmQ+PGtleXdvcmQ+RGlhYmV0ZXMsIEdlc3RhdGlv
bmFsL2VwaWRlbWlvbG9neS8qcHJldmVudGlvbiAmYW1wOyBjb250cm9sPC9rZXl3b3JkPjxrZXl3
b3JkPkZlbWFsZTwva2V5d29yZD48a2V5d29yZD5IdW1hbnM8L2tleXdvcmQ+PGtleXdvcmQ+Kkxp
ZmUgU3R5bGU8L2tleXdvcmQ+PGtleXdvcmQ+TW90b3IgQWN0aXZpdHk8L2tleXdvcmQ+PGtleXdv
cmQ+T2Jlc2l0eS9jb21wbGljYXRpb25zL3RoZXJhcHk8L2tleXdvcmQ+PGtleXdvcmQ+UHJlZ25h
bmN5PC9rZXl3b3JkPjxrZXl3b3JkPlByZW5hdGFsIENhcmU8L2tleXdvcmQ+PGtleXdvcmQ+Umlz
ayBGYWN0b3JzPC9rZXl3b3JkPjxrZXl3b3JkPipXYWxraW5nPC9rZXl3b3JkPjxrZXl3b3JkPipX
ZWlnaHQgR2Fpbjwva2V5d29yZD48L2tleXdvcmRzPjxkYXRlcz48eWVhcj4yMDEzPC95ZWFyPjxw
dWItZGF0ZXM+PGRhdGU+TWF5PC9kYXRlPjwvcHViLWRhdGVzPjwvZGF0ZXM+PGlzYm4+MTkzMC03
MzlYIChFbGVjdHJvbmljKSYjeEQ7MTkzMC03MzgxIChMaW5raW5nKTwvaXNibj48YWNjZXNzaW9u
LW51bT4yMzc4NDg5MjwvYWNjZXNzaW9uLW51bT48dXJscz48cmVsYXRlZC11cmxzPjx1cmw+aHR0
cHM6Ly93d3cubmNiaS5ubG0ubmloLmdvdi9wdWJtZWQvMjM3ODQ4OTI8L3VybD48L3JlbGF0ZWQt
dXJscz48L3VybHM+PGVsZWN0cm9uaWMtcmVzb3VyY2UtbnVtPjEwLjEwMDIvb2J5LjIwMTYzPC9l
bGVjdHJvbmljLXJlc291cmNlLW51bT48L3JlY29yZD48L0NpdGU+PENpdGU+PEF1dGhvcj5UcmFr
LUZlbGxlcm1laWVyPC9BdXRob3I+PFllYXI+MjAxOTwvWWVhcj48UmVjTnVtPjE5MjE8L1JlY051
bT48cmVjb3JkPjxyZWMtbnVtYmVyPjE5MjE8L3JlYy1udW1iZXI+PGZvcmVpZ24ta2V5cz48a2V5
IGFwcD0iRU4iIGRiLWlkPSJleHZhc3JmeDJkdHJhb2VzYXN4cDJzenN4YTJkZjUwMjU5MngiIHRp
bWVzdGFtcD0iMTU4ODU1NjU5NSI+MTkyMTwva2V5PjxrZXkgYXBwPSJFTldlYiIgZGItaWQ9IiI+
MDwva2V5PjwvZm9yZWlnbi1rZXlzPjxyZWYtdHlwZSBuYW1lPSJKb3VybmFsIEFydGljbGUiPjE3
PC9yZWYtdHlwZT48Y29udHJpYnV0b3JzPjxhdXRob3JzPjxhdXRob3I+VHJhay1GZWxsZXJtZWll
ciwgTS4gQS48L2F1dGhvcj48YXV0aG9yPkNhbXBvcywgTS48L2F1dGhvcj48YXV0aG9yPk1lbGVu
ZGV6LCBNLjwvYXV0aG9yPjxhdXRob3I+UG9tZXJveSwgSi48L2F1dGhvcj48YXV0aG9yPlBhbGFj
aW9zLCBDLjwvYXV0aG9yPjxhdXRob3I+Uml2ZXJhLVZpbmFzLCBKLjwvYXV0aG9yPjxhdXRob3I+
TWVuZGV6LCBLLjwvYXV0aG9yPjxhdXRob3I+RmVibywgSS48L2F1dGhvcj48YXV0aG9yPldpbGxl
dHQsIFcuPC9hdXRob3I+PGF1dGhvcj5HaWxsbWFuLCBNLiBXLjwvYXV0aG9yPjxhdXRob3I+RnJh
bmtzLCBQLiBXLjwvYXV0aG9yPjxhdXRob3I+Sm9zaGlwdXJhLCBLLjwvYXV0aG9yPjwvYXV0aG9y
cz48L2NvbnRyaWJ1dG9ycz48YXV0aC1hZGRyZXNzPkNlbnRlciBmb3IgQ2xpbmljYWwgUmVzZWFy
Y2ggYW5kIEhlYWx0aCBQcm9tb3Rpb24sIFNjaG9vbCBvZiBEZW50YWwgTWVkaWNpbmUsIE1lZGlj
YWwgU2NpZW5jZXMgQ2FtcHVzLCBVbml2ZXJzaXR5IG9mIFB1ZXJ0byBSaWNvLCBTYW4gSnVhbiwg
UFIsIFVTQSwga2F1bXVkaS5qb3NoaXB1cmFAdXByLmVkdS4mI3hEO0NsaW5pY2FsIFJlc2VhcmNo
IENlbnRlciwgTWFyc2hmaWVsZCBDbGluaWMgUmVzZWFyY2ggSW5zdGl0dXRlLCBNYXJzaGZpZWxk
IENsaW5pYyBIZWFsdGggU3lzdGVtLCBNYXJzaGZpZWxkLCBXSSwgVVNBLiYjeEQ7RGVwYXJ0bWVu
dCBvZiBEaWV0ZXRpY3MgYW5kIE51dHJpdGlvbiwgUm9iZXJ0IFN0ZW1wZWwgQ29sbGVnZSBvZiBQ
dWJsaWMgSGVhbHRoICZhbXA7IFNvY2lhbCBXb3JrLCBGbG9yaWRhIEludGVybmF0aW9uYWwgVW5p
dmVyc2l0eSwgTWlhbWksIEZMLCBVU0EuJiN4RDtEZXBhcnRtZW50IG9mIE9ic3RldHJpY3MgYW5k
IEd5bmVjb2xvZ3ksIFNjaG9vbCBvZiBNZWRpY2luZSwgTWVkaWNhbCBTY2llbmNlcyBDYW1wdXMs
IFVuaXZlcnNpdHkgb2YgUHVlcnRvIFJpY28sIFNhbiBKdWFuLCBQUiwgVVNBLiYjeEQ7RGVwYXJ0
bWVudCBvZiBQZWRpYXRyaWNzLCBTY2hvb2wgb2YgTWVkaWNpbmUsIE1lZGljYWwgU2NpZW5jZXMg
Q2FtcHVzLCBVbml2ZXJzaXR5IG9mIFB1ZXJ0byBSaWNvLCBTYW4gSnVhbiwgUFIsIFVTQS4mI3hE
O0RlcGFydG1lbnQgb2YgTnV0cml0aW9uLCBIYXJ2YXJkIFQuSC4gQ2hhbiBTY2hvb2wgb2YgUHVi
bGljIEhlYWx0aCwgSGFydmFyZCBVbml2ZXJzaXR5LCBCb3N0b24sIE1BLCBVU0EuJiN4RDtEaXZp
c2lvbiBvZiBDaHJvbmljIERpc2Vhc2UgUmVzZWFyY2ggQWNyb3NzIHRoZSBMaWZlIENvdXJzZSwg
RGVwYXJ0bWVudCBvZiBQb3B1bGF0aW9uIE1lZGljaW5lLCBIYXJ2YXJkIE1lZGljYWwgU2Nob29s
IGFuZCBIYXJ2YXJkIFBpbGdyaW0gSGVhbHRoIENhcmUgSW5zdGl0dXRlLCBCb3N0b24sIE1BLiYj
eEQ7RGVwYXJ0bWVudCBvZiBDbGluaWNhbCBTY2llbmNlcywgR2VuZXRpYyBhbmQgTW9sZWN1bGFy
IEVwaWRlbWlvbG9neSBVbml0LCBMdW5kIFVuaXZlcnNpdHksIFNrYW5lIFVuaXZlcnNpdHkgSG9z
cGl0YWwsIE1hbG1vLCBTd2VkZW4uJiN4RDtEZXBhcnRtZW50IG9mIEVwaWRlbWlvbG9neSwgSGFy
dmFyZCBULkguIENoYW4gUHVibGljIEhlYWx0aCBTY2hvb2wsIEhhcnZhcmQgVW5pdmVyc2l0eSwg
Qm9zdG9uLCBNQSwgVVNBLCBrYXVtdWRpLmpvc2hpcHVyYUB1cHIuZWR1LjwvYXV0aC1hZGRyZXNz
Pjx0aXRsZXM+PHRpdGxlPlBFQVJMUyByYW5kb21pemVkIGxpZmVzdHlsZSB0cmlhbCBpbiBwcmVn
bmFudCBIaXNwYW5pYyB3b21lbiB3aXRoIG92ZXJ3ZWlnaHQvb2Jlc2l0eTogZ2VzdGF0aW9uYWwg
d2VpZ2h0IGdhaW4gYW5kIG9mZnNwcmluZyBiaXJ0aHdlaWdodDwvdGl0bGU+PHNlY29uZGFyeS10
aXRsZT5EaWFiZXRlcyBNZXRhYiBTeW5kciBPYmVzPC9zZWNvbmRhcnktdGl0bGU+PC90aXRsZXM+
PHBlcmlvZGljYWw+PGZ1bGwtdGl0bGU+RGlhYmV0ZXMgTWV0YWIgU3luZHIgT2JlczwvZnVsbC10
aXRsZT48L3BlcmlvZGljYWw+PHBhZ2VzPjIyNS0yMzg8L3BhZ2VzPjx2b2x1bWU+MTI8L3ZvbHVt
ZT48ZWRpdGlvbj4yMDE5LzAzLzEzPC9lZGl0aW9uPjxrZXl3b3Jkcz48a2V5d29yZD5iaXJ0aHdl
aWdodDwva2V5d29yZD48a2V5d29yZD5nZXN0YXRpb25hbCB3ZWlnaHQgZ2Fpbjwva2V5d29yZD48
a2V5d29yZD5pbnRlcnZlbnRpb248L2tleXdvcmQ+PGtleXdvcmQ+bGlmZXN0eWxlIG1vZGlmaWNh
dGlvbjwva2V5d29yZD48a2V5d29yZD5uZW9uYXRhbDwva2V5d29yZD48a2V5d29yZD5vYmVzZTwv
a2V5d29yZD48a2V5d29yZD5vdmVyd2VpZ2h0PC9rZXl3b3JkPjxrZXl3b3JkPnByZWduYW5jeTwv
a2V5d29yZD48a2V5d29yZD5yYW5kb21pemVkIGNvbnRyb2xsZWQgdHJpYWw8L2tleXdvcmQ+PGtl
eXdvcmQ+SGVhbHRoIE91dGNvbWVzIChFQ0hPKSBQcm9ncmFtLCBPZmZpY2Ugb2YgdGhlIERpcmVj
dG9yLCBOYXRpb25hbCBJbnN0aXR1dGVzIG9mPC9rZXl3b3JkPjxrZXl3b3JkPkhlYWx0aCAoVGhl
IHZpZXdzIGV4cHJlc3NlZCBpbiB0aGlzIGFydGljbGUgZG8gbm90IG5lY2Vzc2FyaWx5IHJlcHJl
c2VudCB0aGU8L2tleXdvcmQ+PGtleXdvcmQ+dmlld3Mgb2YgdGhlIFVTIEdvdmVybm1lbnQsIHRo
ZSBEZXBhcnRtZW50IG9mIEhlYWx0aCBhbmQgSHVtYW4gU2VydmljZXMgb3IgdGhlPC9rZXl3b3Jk
PjxrZXl3b3JkPk5hdGlvbmFsIEluc3RpdHV0ZXMgb2YgSGVhbHRoKS4gVGhlIGF1dGhvcnMgcmVw
b3J0IG5vIG90aGVyIGNvbmZsaWN0cyBvZiBpbnRlcmVzdDwva2V5d29yZD48a2V5d29yZD5pbiB0
aGlzIHdvcmsuPC9rZXl3b3JkPjwva2V5d29yZHM+PGRhdGVzPjx5ZWFyPjIwMTk8L3llYXI+PC9k
YXRlcz48aXNibj4xMTc4LTcwMDcgKFByaW50KSYjeEQ7MTE3OC03MDA3IChMaW5raW5nKTwvaXNi
bj48YWNjZXNzaW9uLW51bT4zMDg1ODcxNTwvYWNjZXNzaW9uLW51bT48dXJscz48cmVsYXRlZC11
cmxzPjx1cmw+aHR0cHM6Ly93d3cubmNiaS5ubG0ubmloLmdvdi9wdWJtZWQvMzA4NTg3MTU8L3Vy
bD48L3JlbGF0ZWQtdXJscz48L3VybHM+PGN1c3RvbTI+UE1DNjM4NTc0MzwvY3VzdG9tMj48ZWxl
Y3Ryb25pYy1yZXNvdXJjZS1udW0+MTAuMjE0Ny9ETVNPLlMxNzkwMDk8L2VsZWN0cm9uaWMtcmVz
b3VyY2UtbnVtPjwvcmVjb3JkPjwvQ2l0ZT48Q2l0ZT48QXV0aG9yPkRvZGQ8L0F1dGhvcj48WWVh
cj4yMDE5PC9ZZWFyPjxSZWNOdW0+MTkyMjwvUmVjTnVtPjxyZWNvcmQ+PHJlYy1udW1iZXI+MTky
MjwvcmVjLW51bWJlcj48Zm9yZWlnbi1rZXlzPjxrZXkgYXBwPSJFTiIgZGItaWQ9ImV4dmFzcmZ4
MmR0cmFvZXNhc3hwMnN6c3hhMmRmNTAyNTkyeCIgdGltZXN0YW1wPSIxNTg4NTYwMzY4Ij4xOTIy
PC9rZXk+PGtleSBhcHA9IkVOV2ViIiBkYi1pZD0iIj4wPC9rZXk+PC9mb3JlaWduLWtleXM+PHJl
Zi10eXBlIG5hbWU9IkpvdXJuYWwgQXJ0aWNsZSI+MTc8L3JlZi10eXBlPjxjb250cmlidXRvcnM+
PGF1dGhvcnM+PGF1dGhvcj5Eb2RkLCBKLiBNLjwvYXV0aG9yPjxhdXRob3I+RGV1c3NlbiwgQS4g
Ui48L2F1dGhvcj48YXV0aG9yPkxvdWlzZSwgSi48L2F1dGhvcj48L2F1dGhvcnM+PC9jb250cmli
dXRvcnM+PGF1dGgtYWRkcmVzcz5EaXNjaXBsaW5lIG9mIE9ic3RldHJpY3MgJmFtcDsgR3luYWVj
b2xvZ3ksIGFuZCBSb2JpbnNvbiBSZXNlYXJjaCBJbnN0aXR1dGUsIFRoZSBVbml2ZXJzaXR5IG9m
IEFkZWxhaWRlLCBBZGVsYWlkZSwgU0EgNTAwNiwgQXVzdHJhbGlhLiYjeEQ7RGVwYXJ0bWVudCBv
ZiBQZXJpbmF0YWwgTWVkaWNpbmUgV29tZW4mYXBvcztzIGFuZCBDaGlsZHJlbiZhcG9zO3MgSG9z
cGl0YWwsIE5vcnRoIEFkZWxhaWRlLCBBZGVsYWlkZSwgU0EgNTAwNiwgQXVzdHJhbGlhLjwvYXV0
aC1hZGRyZXNzPjx0aXRsZXM+PHRpdGxlPkEgcmFuZG9taXNlZCB0cmlhbCB0byBvcHRpbWlzZSBn
ZXN0YXRpb25hbCB3ZWlnaHQgZ2FpbiBhbmQgaW1wcm92ZSBtYXRlcm5hbCBhbmQgaW5mYW50IGhl
YWx0aCBvdXRjb21lcyB0aHJvdWdoIGFudGVuYXRhbCBkaWV0YXJ5LCBsaWZlc3R5bGUgYW5kIGV4
ZXJjaXNlIGFkdmljZTogVGhlIE9QVElNSVNFIHJhbmRvbWlzZWQgdHJpYWw8L3RpdGxlPjxzZWNv
bmRhcnktdGl0bGU+TnV0cmllbnRzPC9zZWNvbmRhcnktdGl0bGU+PC90aXRsZXM+PHBlcmlvZGlj
YWw+PGZ1bGwtdGl0bGU+TnV0cmllbnRzPC9mdWxsLXRpdGxlPjwvcGVyaW9kaWNhbD48dm9sdW1l
PjExPC92b2x1bWU+PG51bWJlcj4xMjwvbnVtYmVyPjxlZGl0aW9uPjIwMTkvMTIvMDg8L2VkaXRp
b24+PGtleXdvcmRzPjxrZXl3b3JkPmRpZXRhcnkgYW5kIGxpZmVzdHlsZSBpbnRlcnZlbnRpb248
L2tleXdvcmQ+PGtleXdvcmQ+Z2VzdGF0aW9uYWwgd2VpZ2h0IGdhaW48L2tleXdvcmQ+PGtleXdv
cmQ+cmFuZG9taXNlZCBjb250cm9sbGVkIHRyaWFsPC9rZXl3b3JkPjwva2V5d29yZHM+PGRhdGVz
Pjx5ZWFyPjIwMTk8L3llYXI+PHB1Yi1kYXRlcz48ZGF0ZT5EZWMgMjwvZGF0ZT48L3B1Yi1kYXRl
cz48L2RhdGVzPjxpc2JuPjIwNzItNjY0MyAoRWxlY3Ryb25pYykmI3hEOzIwNzItNjY0MyAoTGlu
a2luZyk8L2lzYm4+PGFjY2Vzc2lvbi1udW0+MzE4MTAyMTc8L2FjY2Vzc2lvbi1udW0+PHVybHM+
PHJlbGF0ZWQtdXJscz48dXJsPmh0dHBzOi8vd3d3Lm5jYmkubmxtLm5paC5nb3YvcHVibWVkLzMx
ODEwMjE3PC91cmw+PC9yZWxhdGVkLXVybHM+PC91cmxzPjxjdXN0b20yPlBNQzY5NDk5MzE8L2N1
c3RvbTI+PGVsZWN0cm9uaWMtcmVzb3VyY2UtbnVtPjEwLjMzOTAvbnUxMTEyMjkxMTwvZWxlY3Ry
b25pYy1yZXNvdXJjZS1udW0+PC9yZWNvcmQ+PC9DaXRlPjxDaXRlPjxBdXRob3I+QnVja2luZ2hh
bS1TY2h1dHQ8L0F1dGhvcj48WWVhcj4yMDE5PC9ZZWFyPjxSZWNOdW0+MTkyNjwvUmVjTnVtPjxy
ZWNvcmQ+PHJlYy1udW1iZXI+MTkyNjwvcmVjLW51bWJlcj48Zm9yZWlnbi1rZXlzPjxrZXkgYXBw
PSJFTiIgZGItaWQ9ImV4dmFzcmZ4MmR0cmFvZXNhc3hwMnN6c3hhMmRmNTAyNTkyeCIgdGltZXN0
YW1wPSIxNTg4NTcwNjI1Ij4xOTI2PC9rZXk+PC9mb3JlaWduLWtleXM+PHJlZi10eXBlIG5hbWU9
IkpvdXJuYWwgQXJ0aWNsZSI+MTc8L3JlZi10eXBlPjxjb250cmlidXRvcnM+PGF1dGhvcnM+PGF1
dGhvcj5CdWNraW5naGFtLVNjaHV0dCwgTC4gTS48L2F1dGhvcj48YXV0aG9yPkVsbGluZ3Nvbiwg
TC4gRC48L2F1dGhvcj48YXV0aG9yPlZhem91LCBTLjwvYXV0aG9yPjxhdXRob3I+Q2FtcGJlbGws
IEMuIEcuPC9hdXRob3I+PC9hdXRob3JzPjwvY29udHJpYnV0b3JzPjxhdXRoLWFkZHJlc3M+VGhl
IEhhcmtpbiBJbnN0aXR1dGUsIERyYWtlIFVuaXZlcnNpdHksIERlcyBNb2luZXMsIElBLiYjeEQ7
S2luZXNpb2xvZ3kgRGVwYXJ0bWVudCwgSW93YSBTdGF0ZSBVbml2ZXJzaXR5LCBBbWVzLCBJQS4m
I3hEO0Zvb2QgU2NpZW5jZSBhbmQgSHVtYW4gTnV0cml0aW9uIERlcGFydG1lbnQuPC9hdXRoLWFk
ZHJlc3M+PHRpdGxlcz48dGl0bGU+VGhlIEJlaGF2aW9yYWwgV2VsbG5lc3MgaW4gUHJlZ25hbmN5
IHN0dWR5OiBhIHJhbmRvbWl6ZWQgY29udHJvbGxlZCB0cmlhbCBvZiBhIG11bHRpLWNvbXBvbmVu
dCBpbnRlcnZlbnRpb24gdG8gcHJvbW90ZSBhcHByb3ByaWF0ZSB3ZWlnaHQgZ2FpbjwvdGl0bGU+
PHNlY29uZGFyeS10aXRsZT5BbSBKIENsaW4gTnV0cjwvc2Vjb25kYXJ5LXRpdGxlPjwvdGl0bGVz
PjxwZXJpb2RpY2FsPjxmdWxsLXRpdGxlPkFtIEogQ2xpbiBOdXRyPC9mdWxsLXRpdGxlPjwvcGVy
aW9kaWNhbD48cGFnZXM+MTA3MS0xMDc5PC9wYWdlcz48dm9sdW1lPjEwOTwvdm9sdW1lPjxudW1i
ZXI+NDwvbnVtYmVyPjxlZGl0aW9uPjIwMTkvMDQvMDY8L2VkaXRpb24+PGtleXdvcmRzPjxrZXl3
b3JkPkFkdWx0PC9rZXl3b3JkPjxrZXl3b3JkPkRpZXQvKnBzeWNob2xvZ3k8L2tleXdvcmQ+PGtl
eXdvcmQ+RXhlcmNpc2U8L2tleXdvcmQ+PGtleXdvcmQ+RmVlZGluZyBCZWhhdmlvcjwva2V5d29y
ZD48a2V5d29yZD5GZW1hbGU8L2tleXdvcmQ+PGtleXdvcmQ+Kkdlc3RhdGlvbmFsIFdlaWdodCBH
YWluPC9rZXl3b3JkPjxrZXl3b3JkPkh1bWFuczwva2V5d29yZD48a2V5d29yZD5MaWZlIFN0eWxl
PC9rZXl3b3JkPjxrZXl3b3JkPk1hdGVybmFsIEJlaGF2aW9yPC9rZXl3b3JkPjxrZXl3b3JkPlBv
c3RwYXJ0dW0gUGVyaW9kL21ldGFib2xpc20vcHN5Y2hvbG9neTwva2V5d29yZD48a2V5d29yZD5Q
cmVnbmFuY3kvbWV0YWJvbGlzbS8qcHN5Y2hvbG9neTwva2V5d29yZD48a2V5d29yZD5QcmVuYXRh
bCBDYXJlLypwc3ljaG9sb2d5PC9rZXl3b3JkPjxrZXl3b3JkPlByZW5hdGFsIE51dHJpdGlvbmFs
IFBoeXNpb2xvZ2ljYWwgUGhlbm9tZW5hPC9rZXl3b3JkPjxrZXl3b3JkPllvdW5nIEFkdWx0PC9r
ZXl3b3JkPjxrZXl3b3JkPiptdWx0aS1jb21wb25lbnQgaW50ZXJ2ZW50aW9uPC9rZXl3b3JkPjxr
ZXl3b3JkPipudXRyaXRpb248L2tleXdvcmQ+PGtleXdvcmQ+KnBoeXNpY2FsIGFjdGl2aXR5PC9r
ZXl3b3JkPjxrZXl3b3JkPipwcmVnbmFuY3k8L2tleXdvcmQ+PC9rZXl3b3Jkcz48ZGF0ZXM+PHll
YXI+MjAxOTwveWVhcj48cHViLWRhdGVzPjxkYXRlPkFwciAxPC9kYXRlPjwvcHViLWRhdGVzPjwv
ZGF0ZXM+PGlzYm4+MTkzOC0zMjA3IChFbGVjdHJvbmljKSYjeEQ7MDAwMi05MTY1IChMaW5raW5n
KTwvaXNibj48YWNjZXNzaW9uLW51bT4zMDk0OTY5MTwvYWNjZXNzaW9uLW51bT48dXJscz48cmVs
YXRlZC11cmxzPjx1cmw+aHR0cHM6Ly93d3cubmNiaS5ubG0ubmloLmdvdi9wdWJtZWQvMzA5NDk2
OTE8L3VybD48L3JlbGF0ZWQtdXJscz48L3VybHM+PGVsZWN0cm9uaWMtcmVzb3VyY2UtbnVtPjEw
LjEwOTMvYWpjbi9ucXkzNTk8L2VsZWN0cm9uaWMtcmVzb3VyY2UtbnVtPjwvcmVjb3JkPjwvQ2l0
ZT48L0VuZE5vdGU+AG==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IiBmb250PSJUcmVidWNoZXQgTVMiIHNpemU9IjkiPjQwMiw0ODMsNDg0LDUwMiw1MDktNTEzLDUy
MDwvc3R5bGU+PC9EaXNwbGF5VGV4dD48cmVjb3JkPjxyZWMtbnVtYmVyPjEwNTc8L3JlYy1udW1i
ZXI+PGZvcmVpZ24ta2V5cz48a2V5IGFwcD0iRU4iIGRiLWlkPSJleHZhc3JmeDJkdHJhb2VzYXN4
cDJzenN4YTJkZjUwMjU5MngiIHRpbWVzdGFtcD0iMTU0ODk4MzQ3NiI+MTA1Nzwva2V5PjwvZm9y
ZWlnbi1rZXlzPjxyZWYtdHlwZSBuYW1lPSJKb3VybmFsIEFydGljbGUiPjE3PC9yZWYtdHlwZT48
Y29udHJpYnV0b3JzPjxhdXRob3JzPjxhdXRob3I+U2ltbW9ucywgRC48L2F1dGhvcj48YXV0aG9y
PkRldmxpZWdlciwgUi48L2F1dGhvcj48YXV0aG9yPnZhbiBBc3NjaGUsIEEuPC9hdXRob3I+PGF1
dGhvcj5KYW5zLCBHLjwvYXV0aG9yPjxhdXRob3I+R2FsamFhcmQsIFMuPC9hdXRob3I+PGF1dGhv
cj5Db3Jjb3ksIFIuPC9hdXRob3I+PGF1dGhvcj5BZGVsYW50YWRvLCBKLiBNLjwvYXV0aG9yPjxh
dXRob3I+RHVubmUsIEYuPC9hdXRob3I+PGF1dGhvcj5EZXNveWUsIEcuPC9hdXRob3I+PGF1dGhv
cj5IYXJyZWl0ZXIsIEouPC9hdXRob3I+PGF1dGhvcj5LYXV0emt5LVdpbGxlciwgQS48L2F1dGhv
cj48YXV0aG9yPkRhbW0sIFAuPC9hdXRob3I+PGF1dGhvcj5NYXRoaWVzZW4sIEUuIFIuPC9hdXRo
b3I+PGF1dGhvcj5KZW5zZW4sIEQuIE0uPC9hdXRob3I+PGF1dGhvcj5BbmRlcnNlbiwgTC48L2F1
dGhvcj48YXV0aG9yPkxhcG9sbGEsIEEuPC9hdXRob3I+PGF1dGhvcj5EYWxmcmEsIE0uIEcuPC9h
dXRob3I+PGF1dGhvcj5CZXJ0b2xvdHRvLCBBLjwvYXV0aG9yPjxhdXRob3I+V2VuZGVyLU96ZWdv
d3NrYSwgRS48L2F1dGhvcj48YXV0aG9yPlphd2llanNrYSwgQS48L2F1dGhvcj48YXV0aG9yPkhp
bGwsIEQuPC9hdXRob3I+PGF1dGhvcj5Tbm9laywgRi4gSi48L2F1dGhvcj48YXV0aG9yPkplbHNt
YSwgSi4gRy48L2F1dGhvcj48YXV0aG9yPnZhbiBQb3BwZWwsIE0uIE4uPC9hdXRob3I+PC9hdXRo
b3JzPjwvY29udHJpYnV0b3JzPjxhdXRoLWFkZHJlc3M+V2VzdGVybiBTeWRuZXkgVW5pdmVyc2l0
eSwgQ2FtcGJlbGx0b3duLCBOZXcgU291dGggV2FsZXMgMjU2MCwgQXVzdHJhbGlhLiYjeEQ7SW5z
dGl0dXRlIG9mIE1ldGFib2xpYyBTY2llbmNlLCBBZGRlbmJyb29rZSZhcG9zO3MgSG9zcGl0YWws
IENhbWJyaWRnZSwgQ0IyIDBRUSBFbmdsYW5kLiYjeEQ7RGVwYXJ0bWVudCBvZiBEZXZlbG9wbWVu
dCBhbmQgUmVnZW5lcmF0aW9uOiBQcmVnbmFuY3ksIEZldHVzIGFuZCBOZW9uYXRlLCBHeW5hZWNv
bG9neSBhbmQgT2JzdGV0cmljcywgVW5pdmVyc2l0eSBIb3NwaXRhbHMsIEthdGhvbGlla2UgVW5p
dmVyc2l0ZWl0IExldXZlbiwgTGV1dmVuLCBCZWxnaXVtLiYjeEQ7RGl2aXNpb24gb2YgT2JzdGV0
cmljcyBhbmQgUHJlbmF0YWwgTWVkaWNpbmUsIERlcGFydG1lbnQgb2YgT2JzdGV0cmljcyBhbmQg
R3luYWVjb2xvZ3ksIEVyYXNtdXMgVW5pdmVyc2l0eSBNZWRpY2FsIENlbnRlciBSb3R0ZXJkYW0s
IFJvdHRlcmRhbSwgVGhlIE5ldGhlcmxhbmRzLiYjeEQ7SW5zdGl0dXQgZGUgUmVjZXJjYSBkZSBs
IEhvc3BpdGFsIGRlIGxhIFNhbnRhIENyZXUgaSBTYW50IFBhdSwgQmFyY2Vsb25hLCBTcGFpbi4m
I3hEO0NJQkVSIEJpb2VuZ2luZWVyaW5nLCBCaW9tYXRlcmlhbHMgYW5kIE5hbm90ZWNobm9sb2d5
LCBJbnN0aXR1dG8gZGUgU2FsdWQgQ2FybG9zIElJSSwgWmFyYWdvemEsIFNwYWluLiYjeEQ7R2Fs
d2F5IERpYWJldGVzIFJlc2VhcmNoIENlbnRyZSBhbmQgQ29sbGVnZSBvZiBNZWRpY2luZSBOdXJz
aW5nIGFuZCBIZWFsdGggU2NpZW5jZXMsIE5hdGlvbmFsIFVuaXZlcnNpdHkgb2YgSXJlbGFuZCwg
R2Fsd2F5LCBJcmVsYW5kLiYjeEQ7RGVwYXJ0bWVudCBvZiBPYnN0ZXRyaWNzIGFuZCBHeW5lY29s
b2d5LCBNZWRpemluaXNjaGUgVW5pdmVyc2l0YWV0IEdyYXosIEdyYXosIEF1c3RyaWEuJiN4RDtH
ZW5kZXIgTWVkaWNpbmUgVW5pdCwgRW5kb2NyaW5vbG9neSBhbmQgTWV0YWJvbGlzbSwgRGVwYXJ0
bWVudCBvZiBJbnRlcm5hbCBNZWRpY2luZSBJSUksIE1lZGljYWwgVW5pdmVyc2l0eSBvZiBWaWVu
bmEsIFZpZW5uYSwgQXVzdHJpYS4mI3hEO0NlbnRlciBmb3IgUHJlZ25hbnQgV29tZW4gd2l0aCBE
aWFiZXRlcywgRGVwYXJ0bWVudHMgb2YgRW5kb2NyaW5vbG9neSBhbmQgT2JzdGV0cmljcywgUmln
c2hvc3BpdGFsZXQsIEluc3RpdHV0ZSBvZiBDbGluaWNhbCBNZWRpY2luZSwgRmFjdWx0eSBvZiBI
ZWFsdGggYW5kIE1lZGljYWwgU2NpZW5jZXMsIFVuaXZlcnNpdHkgb2YgQ29wZW5oYWdlbiwgQ29w
ZW5oYWdlbiwgRGVubWFyay4mI3hEO0RlcGFydG1lbnQgb2YgRW5kb2NyaW5vbG9neSBhbmQgRGVw
YXJ0bWVudCBvZiBHeW5lY29sb2d5IGFuZCBPYnN0ZXRyaWNzLCBPZGVuc2UgVW5pdmVyc2l0eSBI
b3NwaXRhbCwgT2RlbnNlLCBEZW5tYXJrLiYjeEQ7RGVwYXJ0bWVudCBvZiBDbGluaWNhbCBSZXNl
YXJjaCwgRmFjdWx0eSBvZiBIZWFsdGggU2NpZW5jZXMsIFVuaXZlcnNpdHkgb2YgU291dGhlcm4g
RGVubWFyaywgT2RlbnNlLCBEZW5tYXJrLiYjeEQ7VW5pdmVyc2l0YSBEZWdsaSBTdHVkaSBkaSBQ
YWRvdmEsIFBhZHVhLCBJdGFseS4mI3hEO0F6aWVuZGEgT3NwZWRhbGllcm8gVW5pdmVyc2l0YXJp
YS1QaXNhLCBQaXNhIEl0YWx5LiYjeEQ7TWVkaWNhbCBGYWN1bHR5IEksIFBvem5hbiBVbml2ZXJz
aXR5IG9mIE1lZGljYWwgU2NpZW5jZXMsIFBvem5hbiwgUG9sYW5kLiYjeEQ7UmVjaGVyY2hlIGVu
IFNhbnRlIExhd3NvbiBTQSwgQnJvbnNjaGhvZmVuLCBTd2l0emVybGFuZC4mI3hEO0RlcGFydG1l
bnQgb2YgTWVkaWNhbCBQc3ljaG9sb2d5LCBFTUdPKyBJbnN0aXR1dGUgZm9yIEhlYWx0aCBhbmQg
Q2FyZSBSZXNlYXJjaCwgVlUgVW5pdmVyc2l0eSBNZWRpY2FsIENlbnRyZSwgQW1zdGVyZGFtLCBU
aGUgTmV0aGVybGFuZHMuJiN4RDtEZXBhcnRtZW50IG9mIE1lZGljYWwgUHN5Y2hvbG9neSwgQWNh
ZGVtaWMgTWVkaWNhbCBDZW50cmUsIEFtc3RlcmRhbSwgVGhlIE5ldGhlcmxhbmRzLiYjeEQ7RGVw
YXJ0bWVudCBvZiBQdWJsaWMgYW5kIE9jY3VwYXRpb25hbCBIZWFsdGgsIEVNR08rIEluc3RpdHV0
ZSBmb3IgSGVhbHRoIGFuZCBDYXJlIFJlc2VhcmNoLCBWVSBVbml2ZXJzaXR5IE1lZGljYWwgQ2Vu
dHJlLCBBbXN0ZXJkYW0sIFRoZSBOZXRoZXJsYW5kczsgYW5kLiYjeEQ7SW5zdGl0dXRlIG9mIFNw
b3J0IFNjaWVuY2UsIFVuaXZlcnNpdHkgb2YgR3JheiwgR3JheiwgQXVzdHJpYS48L2F1dGgtYWRk
cmVzcz48dGl0bGVzPjx0aXRsZT5FZmZlY3Qgb2YgUGh5c2ljYWwgQWN0aXZpdHkgYW5kL29yIEhl
YWx0aHkgRWF0aW5nIG9uIEdETSBSaXNrOiBUaGUgREFMSSBMaWZlc3R5bGUgU3R1ZHk8L3RpdGxl
PjxzZWNvbmRhcnktdGl0bGU+SiBDbGluIEVuZG9jcmlub2wgTWV0YWI8L3NlY29uZGFyeS10aXRs
ZT48L3RpdGxlcz48cGVyaW9kaWNhbD48ZnVsbC10aXRsZT5KIENsaW4gRW5kb2NyaW5vbCBNZXRh
YjwvZnVsbC10aXRsZT48L3BlcmlvZGljYWw+PHBhZ2VzPjkwMy05MTM8L3BhZ2VzPjx2b2x1bWU+
MTAyPC92b2x1bWU+PG51bWJlcj4zPC9udW1iZXI+PGVkaXRpb24+MjAxNi8xMi8xMDwvZWRpdGlv
bj48ZGF0ZXM+PHllYXI+MjAxNzwveWVhcj48cHViLWRhdGVzPjxkYXRlPk1hciAxPC9kYXRlPjwv
cHViLWRhdGVzPjwvZGF0ZXM+PGlzYm4+MTk0NS03MTk3IChFbGVjdHJvbmljKSYjeEQ7MDAyMS05
NzJYIChMaW5raW5nKTwvaXNibj48YWNjZXNzaW9uLW51bT4yNzkzNTc2NzwvYWNjZXNzaW9uLW51
bT48dXJscz48cmVsYXRlZC11cmxzPjx1cmw+aHR0cHM6Ly93d3cubmNiaS5ubG0ubmloLmdvdi9w
dWJtZWQvMjc5MzU3Njc8L3VybD48L3JlbGF0ZWQtdXJscz48L3VybHM+PGN1c3RvbTI+UE1DNTQ2
MDY4ODwvY3VzdG9tMj48ZWxlY3Ryb25pYy1yZXNvdXJjZS1udW0+MTAuMTIxMC9qYy4yMDE2LTM0
NTU8L2VsZWN0cm9uaWMtcmVzb3VyY2UtbnVtPjwvcmVjb3JkPjwvQ2l0ZT48Q2l0ZT48QXV0aG9y
PlBvc3RvbjwvQXV0aG9yPjxZZWFyPjIwMTM8L1llYXI+PFJlY051bT4xMTA1PC9SZWNOdW0+PHJl
Y29yZD48cmVjLW51bWJlcj4xMTA1PC9yZWMtbnVtYmVyPjxmb3JlaWduLWtleXM+PGtleSBhcHA9
IkVOIiBkYi1pZD0iZXh2YXNyZngyZHRyYW9lc2FzeHAyc3pzeGEyZGY1MDI1OTJ4IiB0aW1lc3Rh
bXA9IjE1NTI5NDgyNzUiPjExMDU8L2tleT48L2ZvcmVpZ24ta2V5cz48cmVmLXR5cGUgbmFtZT0i
Sm91cm5hbCBBcnRpY2xlIj4xNzwvcmVmLXR5cGU+PGNvbnRyaWJ1dG9ycz48YXV0aG9ycz48YXV0
aG9yPlBvc3RvbiwgTC48L2F1dGhvcj48YXV0aG9yPkJyaWxleSwgQS4gTC48L2F1dGhvcj48YXV0
aG9yPkJhcnIsIFMuPC9hdXRob3I+PGF1dGhvcj5CZWxsLCBSLjwvYXV0aG9yPjxhdXRob3I+Q3Jv
a2VyLCBILjwvYXV0aG9yPjxhdXRob3I+Q294b24sIEsuPC9hdXRob3I+PGF1dGhvcj5Fc3NleCwg
SC4gTi48L2F1dGhvcj48YXV0aG9yPkh1bnQsIEMuPC9hdXRob3I+PGF1dGhvcj5IYXllcywgTC48
L2F1dGhvcj48YXV0aG9yPkhvd2FyZCwgTC4gTS48L2F1dGhvcj48YXV0aG9yPktoYXphZXphZGVo
LCBOLjwvYXV0aG9yPjxhdXRob3I+S2lubnVuZW4sIFQuPC9hdXRob3I+PGF1dGhvcj5OZWxzb24s
IFMuIE0uPC9hdXRob3I+PGF1dGhvcj5PdGVuZy1OdGltLCBFLjwvYXV0aG9yPjxhdXRob3I+Um9i
c29uLCBTLiBDLjwvYXV0aG9yPjxhdXRob3I+U2F0dGFyLCBOLjwvYXV0aG9yPjxhdXRob3I+U2Vl
ZCwgUC4gVC48L2F1dGhvcj48YXV0aG9yPldhcmRsZSwgSi48L2F1dGhvcj48YXV0aG9yPlNhbmRl
cnMsIFQuIEEuPC9hdXRob3I+PGF1dGhvcj5TYW5kYWxsLCBKLjwvYXV0aG9yPjwvYXV0aG9ycz48
L2NvbnRyaWJ1dG9ycz48dGl0bGVzPjx0aXRsZT5EZXZlbG9waW5nIGEgY29tcGxleCBpbnRlcnZl
bnRpb24gZm9yIGRpZXQgYW5kIGFjdGl2aXR5IGJlaGF2aW91ciBjaGFuZ2UgaW4gb2Jlc2UgcHJl
Z25hbnQgd29tZW4gKHRoZSBVUEJFQVQgdHJpYWwpOyBhc3Nlc3NtZW50IG9mIGJlaGF2aW91cmFs
IGNoYW5nZSBhbmQgcHJvY2VzcyBldmFsdWF0aW9uIGluIGEgcGlsb3QgcmFuZG9taXNlZCBjb250
cm9sbGVkIHRyaWFsPC90aXRsZT48c2Vjb25kYXJ5LXRpdGxlPkJNQyBQcmVnbmFuY3kgQ2hpbGRi
aXJ0aDwvc2Vjb25kYXJ5LXRpdGxlPjwvdGl0bGVzPjxwZXJpb2RpY2FsPjxmdWxsLXRpdGxlPkJN
QyBQcmVnbmFuY3kgQ2hpbGRiaXJ0aDwvZnVsbC10aXRsZT48L3BlcmlvZGljYWw+PHBhZ2VzPjE0
ODwvcGFnZXM+PHZvbHVtZT4xMzwvdm9sdW1lPjxlZGl0aW9uPjIwMTMvMDcvMTc8L2VkaXRpb24+
PGtleXdvcmRzPjxrZXl3b3JkPkFjY2VsZXJvbWV0cnk8L2tleXdvcmQ+PGtleXdvcmQ+QWRvbGVz
Y2VudDwva2V5d29yZD48a2V5d29yZD5BZHVsdDwva2V5d29yZD48a2V5d29yZD5CZWhhdmlvciBU
aGVyYXB5LyptZXRob2RzPC9rZXl3b3JkPjxrZXl3b3JkPkJvZHkgTWFzcyBJbmRleDwva2V5d29y
ZD48a2V5d29yZD5EaWFiZXRlcywgR2VzdGF0aW9uYWwvKnByZXZlbnRpb24gJmFtcDsgY29udHJv
bDwva2V5d29yZD48a2V5d29yZD5EaWV0IFRoZXJhcHkvKm1ldGhvZHM8L2tleXdvcmQ+PGtleXdv
cmQ+RXhlcmNpc2UgVGhlcmFweS8qbWV0aG9kczwva2V5d29yZD48a2V5d29yZD5GZWFzaWJpbGl0
eSBTdHVkaWVzPC9rZXl3b3JkPjxrZXl3b3JkPkZlbWFsZTwva2V5d29yZD48a2V5d29yZD5IdW1h
bnM8L2tleXdvcmQ+PGtleXdvcmQ+Kk1vdG9yIEFjdGl2aXR5PC9rZXl3b3JkPjxrZXl3b3JkPk9i
ZXNpdHkvKnRoZXJhcHk8L2tleXdvcmQ+PGtleXdvcmQ+UGlsb3QgUHJvamVjdHM8L2tleXdvcmQ+
PGtleXdvcmQ+UHJlZ25hbmN5PC9rZXl3b3JkPjxrZXl3b3JkPlByZWduYW5jeSBDb21wbGljYXRp
b25zLyp0aGVyYXB5PC9rZXl3b3JkPjxrZXl3b3JkPlByZW5hdGFsIENhcmUvbWV0aG9kczwva2V5
d29yZD48a2V5d29yZD5Zb3VuZyBBZHVsdDwva2V5d29yZD48L2tleXdvcmRzPjxkYXRlcz48eWVh
cj4yMDEzPC95ZWFyPjxwdWItZGF0ZXM+PGRhdGU+SnVsIDE1PC9kYXRlPjwvcHViLWRhdGVzPjwv
ZGF0ZXM+PGlzYm4+MTQ3MS0yMzkzIChFbGVjdHJvbmljKSYjeEQ7MTQ3MS0yMzkzIChMaW5raW5n
KTwvaXNibj48YWNjZXNzaW9uLW51bT4yMzg1NTcwODwvYWNjZXNzaW9uLW51bT48dXJscz48cmVs
YXRlZC11cmxzPjx1cmw+aHR0cHM6Ly93d3cubmNiaS5ubG0ubmloLmdvdi9wdWJtZWQvMjM4NTU3
MDg8L3VybD48L3JlbGF0ZWQtdXJscz48L3VybHM+PGN1c3RvbTI+UE1DMzcxODYzMDwvY3VzdG9t
Mj48ZWxlY3Ryb25pYy1yZXNvdXJjZS1udW0+MTAuMTE4Ni8xNDcxLTIzOTMtMTMtMTQ4PC9lbGVj
dHJvbmljLXJlc291cmNlLW51bT48L3JlY29yZD48L0NpdGU+PENpdGU+PEF1dGhvcj5Qb3N0b248
L0F1dGhvcj48WWVhcj4yMDE1PC9ZZWFyPjxSZWNOdW0+NjEyPC9SZWNOdW0+PHJlY29yZD48cmVj
LW51bWJlcj42MTI8L3JlYy1udW1iZXI+PGZvcmVpZ24ta2V5cz48a2V5IGFwcD0iRU4iIGRiLWlk
PSJleHZhc3JmeDJkdHJhb2VzYXN4cDJzenN4YTJkZjUwMjU5MngiIHRpbWVzdGFtcD0iMTUzOTA0
ODM0OCI+NjEyPC9rZXk+PGtleSBhcHA9IkVOV2ViIiBkYi1pZD0iIj4wPC9rZXk+PC9mb3JlaWdu
LWtleXM+PHJlZi10eXBlIG5hbWU9IkpvdXJuYWwgQXJ0aWNsZSI+MTc8L3JlZi10eXBlPjxjb250
cmlidXRvcnM+PGF1dGhvcnM+PGF1dGhvcj5Qb3N0b24sIEwuLDwvYXV0aG9yPjxhdXRob3I+QmVs
bCwgUi4sPC9hdXRob3I+PGF1dGhvcj5Dcm9rZXIsIEguLDwvYXV0aG9yPjxhdXRob3I+Rmx5bm4s
IEEuQy4sPC9hdXRob3I+PGF1dGhvcj5Hb2RmcmV5LCBLLk0uLDwvYXV0aG9yPjxhdXRob3I+R29m
ZiwgTC4sPC9hdXRob3I+PC9hdXRob3JzPjwvY29udHJpYnV0b3JzPjx0aXRsZXM+PHRpdGxlPkVm
ZmVjdCBvZiBhIGJlaGF2aW91cmFsIGludGVydmVudGlvbiBpbiBvYmVzZSBwcmVnbmFudCB3b21l
biAodGhlIFVQQkVBVCBzdHVkeSk6IGEgbXVsdGljZW50cmUsIHJhbmRvbWlzZWQgY29udHJvbGxl
ZCB0cmlhbDwvdGl0bGU+PHNlY29uZGFyeS10aXRsZT5UaGUgTGFuY2V0IERpYWJldGVzICZhbXA7
IEVuZG9jcmlub2xvZ3k8L3NlY29uZGFyeS10aXRsZT48L3RpdGxlcz48cGVyaW9kaWNhbD48ZnVs
bC10aXRsZT5UaGUgTGFuY2V0IERpYWJldGVzICZhbXA7IEVuZG9jcmlub2xvZ3k8L2Z1bGwtdGl0
bGU+PC9wZXJpb2RpY2FsPjxwYWdlcz43NjctNzc3PC9wYWdlcz48dm9sdW1lPjM8L3ZvbHVtZT48
bnVtYmVyPjEwPC9udW1iZXI+PHNlY3Rpb24+NzY3PC9zZWN0aW9uPjxkYXRlcz48eWVhcj4yMDE1
PC95ZWFyPjwvZGF0ZXM+PGlzYm4+MjIxMzg1ODc8L2lzYm4+PHVybHM+PC91cmxzPjxlbGVjdHJv
bmljLXJlc291cmNlLW51bT4xMC4xMDE2L3MyMjEzLTg1ODcoMTUpMDAyMjctMjwvZWxlY3Ryb25p
Yy1yZXNvdXJjZS1udW0+PC9yZWNvcmQ+PC9DaXRlPjxDaXRlPjxBdXRob3I+Qm9nYWVydHM8L0F1
dGhvcj48WWVhcj4yMDEzPC9ZZWFyPjxSZWNOdW0+NzEzPC9SZWNOdW0+PHJlY29yZD48cmVjLW51
bWJlcj43MTM8L3JlYy1udW1iZXI+PGZvcmVpZ24ta2V5cz48a2V5IGFwcD0iRU4iIGRiLWlkPSJl
eHZhc3JmeDJkdHJhb2VzYXN4cDJzenN4YTJkZjUwMjU5MngiIHRpbWVzdGFtcD0iMTU0MTQ2MjQ0
MyI+NzEzPC9rZXk+PC9mb3JlaWduLWtleXM+PHJlZi10eXBlIG5hbWU9IkpvdXJuYWwgQXJ0aWNs
ZSI+MTc8L3JlZi10eXBlPjxjb250cmlidXRvcnM+PGF1dGhvcnM+PGF1dGhvcj5Cb2dhZXJ0cywg
QS4gRi48L2F1dGhvcj48YXV0aG9yPkRldmxpZWdlciwgUi48L2F1dGhvcj48YXV0aG9yPk51eXRz
LCBFLjwvYXV0aG9yPjxhdXRob3I+V2l0dGVycywgSS48L2F1dGhvcj48YXV0aG9yPkd5c2VsYWVy
cywgVy48L2F1dGhvcj48YXV0aG9yPlZhbiBkZW4gQmVyZ2gsIEIuIFIuPC9hdXRob3I+PC9hdXRo
b3JzPjwvY29udHJpYnV0b3JzPjxhdXRoLWFkZHJlc3M+RGVwYXJ0bWVudCBvZiBIZWFsdGhjYXJl
IFJlc2VhcmNoLCBQSEwgVW5pdmVyc2l0eSBDb2xsZWdlLCBMaW1idXJnIENhdGhvbGljIFVuaXZl
cnNpdHkgQ29sbGVnZSwgSGFzc2VsdCwgQmVsZ2l1bS48L2F1dGgtYWRkcmVzcz48dGl0bGVzPjx0
aXRsZT5FZmZlY3RzIG9mIGxpZmVzdHlsZSBpbnRlcnZlbnRpb24gaW4gb2Jlc2UgcHJlZ25hbnQg
d29tZW4gb24gZ2VzdGF0aW9uYWwgd2VpZ2h0IGdhaW4gYW5kIG1lbnRhbCBoZWFsdGg6IGEgcmFu
ZG9taXplZCBjb250cm9sbGVkIHRyaWFsPC90aXRsZT48c2Vjb25kYXJ5LXRpdGxlPkludCBKIE9i
ZXMgKExvbmQpPC9zZWNvbmRhcnktdGl0bGU+PC90aXRsZXM+PHBlcmlvZGljYWw+PGZ1bGwtdGl0
bGU+SW50IEogT2JlcyAoTG9uZCk8L2Z1bGwtdGl0bGU+PC9wZXJpb2RpY2FsPjxwYWdlcz44MTQt
MjE8L3BhZ2VzPjx2b2x1bWU+Mzc8L3ZvbHVtZT48bnVtYmVyPjY8L251bWJlcj48ZWRpdGlvbj4y
MDEyLzEwLzA0PC9lZGl0aW9uPjxrZXl3b3Jkcz48a2V5d29yZD5BZHVsdDwva2V5d29yZD48a2V5
d29yZD5BbnhpZXR5L2VwaWRlbWlvbG9neS8qcHJldmVudGlvbiAmYW1wOyBjb250cm9sPC9rZXl3
b3JkPjxrZXl3b3JkPkJlbGdpdW0vZXBpZGVtaW9sb2d5PC9rZXl3b3JkPjxrZXl3b3JkPkJvZHkg
TWFzcyBJbmRleDwva2V5d29yZD48a2V5d29yZD5EZXByZXNzaW9uL2VwaWRlbWlvbG9neS8qcHJl
dmVudGlvbiAmYW1wOyBjb250cm9sPC9rZXl3b3JkPjxrZXl3b3JkPkZlbWFsZTwva2V5d29yZD48
a2V5d29yZD5IZWFsdGggS25vd2xlZGdlLCBBdHRpdHVkZXMsIFByYWN0aWNlPC9rZXl3b3JkPjxr
ZXl3b3JkPkh1bWFuczwva2V5d29yZD48a2V5d29yZD4qTGlmZSBTdHlsZTwva2V5d29yZD48a2V5
d29yZD5Mb25naXR1ZGluYWwgU3R1ZGllczwva2V5d29yZD48a2V5d29yZD5Nb3RpdmF0aW9uPC9r
ZXl3b3JkPjxrZXl3b3JkPk9iZXNpdHkvZXBpZGVtaW9sb2d5L3ByZXZlbnRpb24gJmFtcDsgY29u
dHJvbC9wc3ljaG9sb2d5Lyp0aGVyYXB5PC9rZXl3b3JkPjxrZXl3b3JkPlBhdGllbnQgRWR1Y2F0
aW9uIGFzIFRvcGljPC9rZXl3b3JkPjxrZXl3b3JkPlByZWduYW5jeTwva2V5d29yZD48a2V5d29y
ZD5QcmVnbmFuY3kgQ29tcGxpY2F0aW9ucy9lcGlkZW1pb2xvZ3kvcHJldmVudGlvbiAmYW1wOyBj
b250cm9sL3BzeWNob2xvZ3kvKnRoZXJhcHk8L2tleXdvcmQ+PGtleXdvcmQ+UHJlbmF0YWwgQ2Fy
ZS8qbWV0aG9kczwva2V5d29yZD48a2V5d29yZD5QcmV2YWxlbmNlPC9rZXl3b3JkPjxrZXl3b3Jk
PlJpc2sgRmFjdG9yczwva2V5d29yZD48a2V5d29yZD5SaXNrIFJlZHVjdGlvbiBCZWhhdmlvcjwv
a2V5d29yZD48a2V5d29yZD5TdXJ2ZXlzIGFuZCBRdWVzdGlvbm5haXJlczwva2V5d29yZD48a2V5
d29yZD4qV2VpZ2h0IEdhaW48L2tleXdvcmQ+PC9rZXl3b3Jkcz48ZGF0ZXM+PHllYXI+MjAxMzwv
eWVhcj48cHViLWRhdGVzPjxkYXRlPkp1bjwvZGF0ZT48L3B1Yi1kYXRlcz48L2RhdGVzPjxpc2Ju
PjE0NzYtNTQ5NyAoRWxlY3Ryb25pYykmI3hEOzAzMDctMDU2NSAoTGlua2luZyk8L2lzYm4+PGFj
Y2Vzc2lvbi1udW0+MjMwMzI0MDQ8L2FjY2Vzc2lvbi1udW0+PHVybHM+PHJlbGF0ZWQtdXJscz48
dXJsPmh0dHBzOi8vd3d3Lm5jYmkubmxtLm5paC5nb3YvcHVibWVkLzIzMDMyNDA0PC91cmw+PC9y
ZWxhdGVkLXVybHM+PC91cmxzPjxlbGVjdHJvbmljLXJlc291cmNlLW51bT4xMC4xMDM4L2lqby4y
MDEyLjE2MjwvZWxlY3Ryb25pYy1yZXNvdXJjZS1udW0+PC9yZWNvcmQ+PC9DaXRlPjxDaXRlPjxB
dXRob3I+R3VlbGluY2t4PC9BdXRob3I+PFllYXI+MjAxMDwvWWVhcj48UmVjTnVtPjcyMjwvUmVj
TnVtPjxyZWNvcmQ+PHJlYy1udW1iZXI+NzIyPC9yZWMtbnVtYmVyPjxmb3JlaWduLWtleXM+PGtl
eSBhcHA9IkVOIiBkYi1pZD0iZXh2YXNyZngyZHRyYW9lc2FzeHAyc3pzeGEyZGY1MDI1OTJ4IiB0
aW1lc3RhbXA9IjE1NDE0NjQ3NzciPjcyMjwva2V5PjwvZm9yZWlnbi1rZXlzPjxyZWYtdHlwZSBu
YW1lPSJKb3VybmFsIEFydGljbGUiPjE3PC9yZWYtdHlwZT48Y29udHJpYnV0b3JzPjxhdXRob3Jz
PjxhdXRob3I+R3VlbGluY2t4LCBJLjwvYXV0aG9yPjxhdXRob3I+RGV2bGllZ2VyLCBSLjwvYXV0
aG9yPjxhdXRob3I+TXVsbGllLCBQLjwvYXV0aG9yPjxhdXRob3I+VmFuc2FudCwgRy48L2F1dGhv
cj48L2F1dGhvcnM+PC9jb250cmlidXRvcnM+PGF1dGgtYWRkcmVzcz5EZXBhcnRtZW50IG9mIE51
dHJpdGlvbi1QdWJsaWMgSGVhbHRoIE1lZGljaW5lLCBMRm9SQ2UsIENhdGhvbGljIFVuaXZlcnNp
dHkgTGV1dmVuLCBMZXV2ZW4sIEJlbGdpdW0uIGlzYWJlbGxlLmd1ZWxpbmNreEBtZWQua3VsZXV2
ZW4uYmU8L2F1dGgtYWRkcmVzcz48dGl0bGVzPjx0aXRsZT5FZmZlY3Qgb2YgbGlmZXN0eWxlIGlu
dGVydmVudGlvbiBvbiBkaWV0YXJ5IGhhYml0cywgcGh5c2ljYWwgYWN0aXZpdHksIGFuZCBnZXN0
YXRpb25hbCB3ZWlnaHQgZ2FpbiBpbiBvYmVzZSBwcmVnbmFudCB3b21lbjogYSByYW5kb21pemVk
IGNvbnRyb2xsZWQgdHJpYWw8L3RpdGxlPjxzZWNvbmRhcnktdGl0bGU+QW0gSiBDbGluIE51dHI8
L3NlY29uZGFyeS10aXRsZT48L3RpdGxlcz48cGVyaW9kaWNhbD48ZnVsbC10aXRsZT5BbSBKIENs
aW4gTnV0cjwvZnVsbC10aXRsZT48L3BlcmlvZGljYWw+PHBhZ2VzPjM3My04MDwvcGFnZXM+PHZv
bHVtZT45MTwvdm9sdW1lPjxudW1iZXI+MjwvbnVtYmVyPjxlZGl0aW9uPjIwMDkvMTIvMDQ8L2Vk
aXRpb24+PGtleXdvcmRzPjxrZXl3b3JkPkFkdWx0PC9rZXl3b3JkPjxrZXl3b3JkPkJlaGF2aW9y
IFRoZXJhcHkvKm1ldGhvZHM8L2tleXdvcmQ+PGtleXdvcmQ+RmVlZGluZyBCZWhhdmlvci9waHlz
aW9sb2d5PC9rZXl3b3JkPjxrZXl3b3JkPkZlbWFsZTwva2V5d29yZD48a2V5d29yZD5IdW1hbnM8
L2tleXdvcmQ+PGtleXdvcmQ+SW5mYW50LCBOZXdib3JuPC9rZXl3b3JkPjxrZXl3b3JkPipMaWZl
IFN0eWxlPC9rZXl3b3JkPjxrZXl3b3JkPk1vdG9yIEFjdGl2aXR5L3BoeXNpb2xvZ3k8L2tleXdv
cmQ+PGtleXdvcmQ+T2Jlc2l0eS9waHlzaW9wYXRob2xvZ3kvKnRoZXJhcHk8L2tleXdvcmQ+PGtl
eXdvcmQ+UHJlZ25hbmN5PC9rZXl3b3JkPjxrZXl3b3JkPlByZWduYW5jeSBDb21wbGljYXRpb25z
L3BoeXNpb3BhdGhvbG9neS8qdGhlcmFweTwva2V5d29yZD48a2V5d29yZD5QcmVuYXRhbCBOdXRy
aXRpb25hbCBQaHlzaW9sb2dpY2FsIFBoZW5vbWVuYTwva2V5d29yZD48a2V5d29yZD5XZWlnaHQg
R2Fpbi8qcGh5c2lvbG9neTwva2V5d29yZD48L2tleXdvcmRzPjxkYXRlcz48eWVhcj4yMDEwPC95
ZWFyPjxwdWItZGF0ZXM+PGRhdGU+RmViPC9kYXRlPjwvcHViLWRhdGVzPjwvZGF0ZXM+PGlzYm4+
MTkzOC0zMjA3IChFbGVjdHJvbmljKSYjeEQ7MDAwMi05MTY1IChMaW5raW5nKTwvaXNibj48YWNj
ZXNzaW9uLW51bT4xOTk1NTM5NzwvYWNjZXNzaW9uLW51bT48dXJscz48cmVsYXRlZC11cmxzPjx1
cmw+aHR0cHM6Ly93d3cubmNiaS5ubG0ubmloLmdvdi9wdWJtZWQvMTk5NTUzOTc8L3VybD48L3Jl
bGF0ZWQtdXJscz48L3VybHM+PGVsZWN0cm9uaWMtcmVzb3VyY2UtbnVtPjEwLjM5NDUvYWpjbi4y
MDA5LjI4MTY2PC9lbGVjdHJvbmljLXJlc291cmNlLW51bT48L3JlY29yZD48L0NpdGU+PENpdGU+
PEF1dGhvcj5HYWxsYWdoZXI8L0F1dGhvcj48WWVhcj4yMDE4PC9ZZWFyPjxSZWNOdW0+NzQ0PC9S
ZWNOdW0+PHJlY29yZD48cmVjLW51bWJlcj43NDQ8L3JlYy1udW1iZXI+PGZvcmVpZ24ta2V5cz48
a2V5IGFwcD0iRU4iIGRiLWlkPSJleHZhc3JmeDJkdHJhb2VzYXN4cDJzenN4YTJkZjUwMjU5Mngi
IHRpbWVzdGFtcD0iMTU0MTQ2Nzg3OSI+NzQ0PC9rZXk+PGtleSBhcHA9IkVOV2ViIiBkYi1pZD0i
Ij4wPC9rZXk+PC9mb3JlaWduLWtleXM+PHJlZi10eXBlIG5hbWU9IkpvdXJuYWwgQXJ0aWNsZSI+
MTc8L3JlZi10eXBlPjxjb250cmlidXRvcnM+PGF1dGhvcnM+PGF1dGhvcj5HYWxsYWdoZXIsIER5
bXBuYTwvYXV0aG9yPjxhdXRob3I+Um9zZW5uLCBCYXJhazwvYXV0aG9yPjxhdXRob3I+VG9yby1S
YW1vcywgVGF0aWFuYTwvYXV0aG9yPjxhdXRob3I+UGFsZXksIENoYXJsZXM8L2F1dGhvcj48YXV0
aG9yPkdpZHdhbmksIFNvbmlhPC9hdXRob3I+PGF1dGhvcj5Ib3Jvd2l0eiwgTWljaGVsbGU8L2F1
dGhvcj48YXV0aG9yPkNyYW5lLCBKYW5ldDwvYXV0aG9yPjxhdXRob3I+TGluLCBTdXNhbjwvYXV0
aG9yPjxhdXRob3I+VGhvcm50b24sIEpvaG4gQy48L2F1dGhvcj48YXV0aG9yPlBpLVN1bnllciwg
WGF2aWVyPC9hdXRob3I+PC9hdXRob3JzPjwvY29udHJpYnV0b3JzPjx0aXRsZXM+PHRpdGxlPkdy
ZWF0ZXIgTmVvbmF0YWwgRmF0LUZyZWUgTWFzcyBhbmQgU2ltaWxhciBGYXQgTWFzcyBGb2xsb3dp
bmcgYSBSYW5kb21pemVkIFRyaWFsIHRvIENvbnRyb2wgRXhjZXNzIEdlc3RhdGlvbmFsIFdlaWdo
dCBHYWluPC90aXRsZT48c2Vjb25kYXJ5LXRpdGxlPk9iZXNpdHk8L3NlY29uZGFyeS10aXRsZT48
L3RpdGxlcz48cGVyaW9kaWNhbD48ZnVsbC10aXRsZT5PYmVzaXR5PC9mdWxsLXRpdGxlPjwvcGVy
aW9kaWNhbD48cGFnZXM+NTc4LTU4NzwvcGFnZXM+PHZvbHVtZT4yNjwvdm9sdW1lPjxudW1iZXI+
MzwvbnVtYmVyPjxzZWN0aW9uPjU3ODwvc2VjdGlvbj48ZGF0ZXM+PHllYXI+MjAxODwveWVhcj48
L2RhdGVzPjxpc2JuPjE5MzA3MzgxPC9pc2JuPjx1cmxzPjwvdXJscz48ZWxlY3Ryb25pYy1yZXNv
dXJjZS1udW0+MTAuMTAwMi9vYnkuMjIwNzk8L2VsZWN0cm9uaWMtcmVzb3VyY2UtbnVtPjwvcmVj
b3JkPjwvQ2l0ZT48Q2l0ZT48QXV0aG9yPkhhcnJpc29uPC9BdXRob3I+PFllYXI+MjAxMzwvWWVh
cj48UmVjTnVtPjcyNTwvUmVjTnVtPjxyZWNvcmQ+PHJlYy1udW1iZXI+NzI1PC9yZWMtbnVtYmVy
Pjxmb3JlaWduLWtleXM+PGtleSBhcHA9IkVOIiBkYi1pZD0iZXh2YXNyZngyZHRyYW9lc2FzeHAy
c3pzeGEyZGY1MDI1OTJ4IiB0aW1lc3RhbXA9IjE1NDE0NjUwNTAiPjcyNTwva2V5PjwvZm9yZWln
bi1rZXlzPjxyZWYtdHlwZSBuYW1lPSJKb3VybmFsIEFydGljbGUiPjE3PC9yZWYtdHlwZT48Y29u
dHJpYnV0b3JzPjxhdXRob3JzPjxhdXRob3I+SGFycmlzb24sIEMuIEwuPC9hdXRob3I+PGF1dGhv
cj5Mb21iYXJkLCBDLiBCLjwvYXV0aG9yPjxhdXRob3I+U3RyYXVzcywgQi4gSi48L2F1dGhvcj48
YXV0aG9yPlRlZWRlLCBILiBKLjwvYXV0aG9yPjwvYXV0aG9ycz48L2NvbnRyaWJ1dG9ycz48YXV0
aC1hZGRyZXNzPldvbWVuJmFwb3M7cyBSZXByb2R1Y3RpdmUgUmVzZWFyY2ggdW5pdCwgU2Nob29s
IG9mIFB1YmxpYyBIZWFsdGggYW5kIFByZXZlbnRpdmUgTWVkaWNpbmUsIE1vbmFzaCBVbml2ZXJz
aXR5LCBDbGF5dG9uLCBWaWN0b3JpYSwgQXVzdHJhbGlhLjwvYXV0aC1hZGRyZXNzPjx0aXRsZXM+
PHRpdGxlPk9wdGltaXppbmcgaGVhbHRoeSBnZXN0YXRpb25hbCB3ZWlnaHQgZ2FpbiBpbiB3b21l
biBhdCBoaWdoIHJpc2sgb2YgZ2VzdGF0aW9uYWwgZGlhYmV0ZXM6IGEgcmFuZG9taXplZCBjb250
cm9sbGVkIHRyaWFsPC90aXRsZT48c2Vjb25kYXJ5LXRpdGxlPk9iZXNpdHkgKFNpbHZlciBTcHJp
bmcpPC9zZWNvbmRhcnktdGl0bGU+PC90aXRsZXM+PHBlcmlvZGljYWw+PGZ1bGwtdGl0bGU+T2Jl
c2l0eSAoU2lsdmVyIFNwcmluZyk8L2Z1bGwtdGl0bGU+PC9wZXJpb2RpY2FsPjxwYWdlcz45MDQt
OTwvcGFnZXM+PHZvbHVtZT4yMTwvdm9sdW1lPjxudW1iZXI+NTwvbnVtYmVyPjxlZGl0aW9uPjIw
MTMvMDYvMjE8L2VkaXRpb24+PGtleXdvcmRzPjxrZXl3b3JkPkFkdWx0PC9rZXl3b3JkPjxrZXl3
b3JkPipCb2R5IE1hc3MgSW5kZXg8L2tleXdvcmQ+PGtleXdvcmQ+RGlhYmV0ZXMsIEdlc3RhdGlv
bmFsL2VwaWRlbWlvbG9neS8qcHJldmVudGlvbiAmYW1wOyBjb250cm9sPC9rZXl3b3JkPjxrZXl3
b3JkPkZlbWFsZTwva2V5d29yZD48a2V5d29yZD5IdW1hbnM8L2tleXdvcmQ+PGtleXdvcmQ+Kkxp
ZmUgU3R5bGU8L2tleXdvcmQ+PGtleXdvcmQ+TW90b3IgQWN0aXZpdHk8L2tleXdvcmQ+PGtleXdv
cmQ+T2Jlc2l0eS9jb21wbGljYXRpb25zL3RoZXJhcHk8L2tleXdvcmQ+PGtleXdvcmQ+UHJlZ25h
bmN5PC9rZXl3b3JkPjxrZXl3b3JkPlByZW5hdGFsIENhcmU8L2tleXdvcmQ+PGtleXdvcmQ+Umlz
ayBGYWN0b3JzPC9rZXl3b3JkPjxrZXl3b3JkPipXYWxraW5nPC9rZXl3b3JkPjxrZXl3b3JkPipX
ZWlnaHQgR2Fpbjwva2V5d29yZD48L2tleXdvcmRzPjxkYXRlcz48eWVhcj4yMDEzPC95ZWFyPjxw
dWItZGF0ZXM+PGRhdGU+TWF5PC9kYXRlPjwvcHViLWRhdGVzPjwvZGF0ZXM+PGlzYm4+MTkzMC03
MzlYIChFbGVjdHJvbmljKSYjeEQ7MTkzMC03MzgxIChMaW5raW5nKTwvaXNibj48YWNjZXNzaW9u
LW51bT4yMzc4NDg5MjwvYWNjZXNzaW9uLW51bT48dXJscz48cmVsYXRlZC11cmxzPjx1cmw+aHR0
cHM6Ly93d3cubmNiaS5ubG0ubmloLmdvdi9wdWJtZWQvMjM3ODQ4OTI8L3VybD48L3JlbGF0ZWQt
dXJscz48L3VybHM+PGVsZWN0cm9uaWMtcmVzb3VyY2UtbnVtPjEwLjEwMDIvb2J5LjIwMTYzPC9l
bGVjdHJvbmljLXJlc291cmNlLW51bT48L3JlY29yZD48L0NpdGU+PENpdGU+PEF1dGhvcj5UcmFr
LUZlbGxlcm1laWVyPC9BdXRob3I+PFllYXI+MjAxOTwvWWVhcj48UmVjTnVtPjE5MjE8L1JlY051
bT48cmVjb3JkPjxyZWMtbnVtYmVyPjE5MjE8L3JlYy1udW1iZXI+PGZvcmVpZ24ta2V5cz48a2V5
IGFwcD0iRU4iIGRiLWlkPSJleHZhc3JmeDJkdHJhb2VzYXN4cDJzenN4YTJkZjUwMjU5MngiIHRp
bWVzdGFtcD0iMTU4ODU1NjU5NSI+MTkyMTwva2V5PjxrZXkgYXBwPSJFTldlYiIgZGItaWQ9IiI+
MDwva2V5PjwvZm9yZWlnbi1rZXlzPjxyZWYtdHlwZSBuYW1lPSJKb3VybmFsIEFydGljbGUiPjE3
PC9yZWYtdHlwZT48Y29udHJpYnV0b3JzPjxhdXRob3JzPjxhdXRob3I+VHJhay1GZWxsZXJtZWll
ciwgTS4gQS48L2F1dGhvcj48YXV0aG9yPkNhbXBvcywgTS48L2F1dGhvcj48YXV0aG9yPk1lbGVu
ZGV6LCBNLjwvYXV0aG9yPjxhdXRob3I+UG9tZXJveSwgSi48L2F1dGhvcj48YXV0aG9yPlBhbGFj
aW9zLCBDLjwvYXV0aG9yPjxhdXRob3I+Uml2ZXJhLVZpbmFzLCBKLjwvYXV0aG9yPjxhdXRob3I+
TWVuZGV6LCBLLjwvYXV0aG9yPjxhdXRob3I+RmVibywgSS48L2F1dGhvcj48YXV0aG9yPldpbGxl
dHQsIFcuPC9hdXRob3I+PGF1dGhvcj5HaWxsbWFuLCBNLiBXLjwvYXV0aG9yPjxhdXRob3I+RnJh
bmtzLCBQLiBXLjwvYXV0aG9yPjxhdXRob3I+Sm9zaGlwdXJhLCBLLjwvYXV0aG9yPjwvYXV0aG9y
cz48L2NvbnRyaWJ1dG9ycz48YXV0aC1hZGRyZXNzPkNlbnRlciBmb3IgQ2xpbmljYWwgUmVzZWFy
Y2ggYW5kIEhlYWx0aCBQcm9tb3Rpb24sIFNjaG9vbCBvZiBEZW50YWwgTWVkaWNpbmUsIE1lZGlj
YWwgU2NpZW5jZXMgQ2FtcHVzLCBVbml2ZXJzaXR5IG9mIFB1ZXJ0byBSaWNvLCBTYW4gSnVhbiwg
UFIsIFVTQSwga2F1bXVkaS5qb3NoaXB1cmFAdXByLmVkdS4mI3hEO0NsaW5pY2FsIFJlc2VhcmNo
IENlbnRlciwgTWFyc2hmaWVsZCBDbGluaWMgUmVzZWFyY2ggSW5zdGl0dXRlLCBNYXJzaGZpZWxk
IENsaW5pYyBIZWFsdGggU3lzdGVtLCBNYXJzaGZpZWxkLCBXSSwgVVNBLiYjeEQ7RGVwYXJ0bWVu
dCBvZiBEaWV0ZXRpY3MgYW5kIE51dHJpdGlvbiwgUm9iZXJ0IFN0ZW1wZWwgQ29sbGVnZSBvZiBQ
dWJsaWMgSGVhbHRoICZhbXA7IFNvY2lhbCBXb3JrLCBGbG9yaWRhIEludGVybmF0aW9uYWwgVW5p
dmVyc2l0eSwgTWlhbWksIEZMLCBVU0EuJiN4RDtEZXBhcnRtZW50IG9mIE9ic3RldHJpY3MgYW5k
IEd5bmVjb2xvZ3ksIFNjaG9vbCBvZiBNZWRpY2luZSwgTWVkaWNhbCBTY2llbmNlcyBDYW1wdXMs
IFVuaXZlcnNpdHkgb2YgUHVlcnRvIFJpY28sIFNhbiBKdWFuLCBQUiwgVVNBLiYjeEQ7RGVwYXJ0
bWVudCBvZiBQZWRpYXRyaWNzLCBTY2hvb2wgb2YgTWVkaWNpbmUsIE1lZGljYWwgU2NpZW5jZXMg
Q2FtcHVzLCBVbml2ZXJzaXR5IG9mIFB1ZXJ0byBSaWNvLCBTYW4gSnVhbiwgUFIsIFVTQS4mI3hE
O0RlcGFydG1lbnQgb2YgTnV0cml0aW9uLCBIYXJ2YXJkIFQuSC4gQ2hhbiBTY2hvb2wgb2YgUHVi
bGljIEhlYWx0aCwgSGFydmFyZCBVbml2ZXJzaXR5LCBCb3N0b24sIE1BLCBVU0EuJiN4RDtEaXZp
c2lvbiBvZiBDaHJvbmljIERpc2Vhc2UgUmVzZWFyY2ggQWNyb3NzIHRoZSBMaWZlIENvdXJzZSwg
RGVwYXJ0bWVudCBvZiBQb3B1bGF0aW9uIE1lZGljaW5lLCBIYXJ2YXJkIE1lZGljYWwgU2Nob29s
IGFuZCBIYXJ2YXJkIFBpbGdyaW0gSGVhbHRoIENhcmUgSW5zdGl0dXRlLCBCb3N0b24sIE1BLiYj
eEQ7RGVwYXJ0bWVudCBvZiBDbGluaWNhbCBTY2llbmNlcywgR2VuZXRpYyBhbmQgTW9sZWN1bGFy
IEVwaWRlbWlvbG9neSBVbml0LCBMdW5kIFVuaXZlcnNpdHksIFNrYW5lIFVuaXZlcnNpdHkgSG9z
cGl0YWwsIE1hbG1vLCBTd2VkZW4uJiN4RDtEZXBhcnRtZW50IG9mIEVwaWRlbWlvbG9neSwgSGFy
dmFyZCBULkguIENoYW4gUHVibGljIEhlYWx0aCBTY2hvb2wsIEhhcnZhcmQgVW5pdmVyc2l0eSwg
Qm9zdG9uLCBNQSwgVVNBLCBrYXVtdWRpLmpvc2hpcHVyYUB1cHIuZWR1LjwvYXV0aC1hZGRyZXNz
Pjx0aXRsZXM+PHRpdGxlPlBFQVJMUyByYW5kb21pemVkIGxpZmVzdHlsZSB0cmlhbCBpbiBwcmVn
bmFudCBIaXNwYW5pYyB3b21lbiB3aXRoIG92ZXJ3ZWlnaHQvb2Jlc2l0eTogZ2VzdGF0aW9uYWwg
d2VpZ2h0IGdhaW4gYW5kIG9mZnNwcmluZyBiaXJ0aHdlaWdodDwvdGl0bGU+PHNlY29uZGFyeS10
aXRsZT5EaWFiZXRlcyBNZXRhYiBTeW5kciBPYmVzPC9zZWNvbmRhcnktdGl0bGU+PC90aXRsZXM+
PHBlcmlvZGljYWw+PGZ1bGwtdGl0bGU+RGlhYmV0ZXMgTWV0YWIgU3luZHIgT2JlczwvZnVsbC10
aXRsZT48L3BlcmlvZGljYWw+PHBhZ2VzPjIyNS0yMzg8L3BhZ2VzPjx2b2x1bWU+MTI8L3ZvbHVt
ZT48ZWRpdGlvbj4yMDE5LzAzLzEzPC9lZGl0aW9uPjxrZXl3b3Jkcz48a2V5d29yZD5iaXJ0aHdl
aWdodDwva2V5d29yZD48a2V5d29yZD5nZXN0YXRpb25hbCB3ZWlnaHQgZ2Fpbjwva2V5d29yZD48
a2V5d29yZD5pbnRlcnZlbnRpb248L2tleXdvcmQ+PGtleXdvcmQ+bGlmZXN0eWxlIG1vZGlmaWNh
dGlvbjwva2V5d29yZD48a2V5d29yZD5uZW9uYXRhbDwva2V5d29yZD48a2V5d29yZD5vYmVzZTwv
a2V5d29yZD48a2V5d29yZD5vdmVyd2VpZ2h0PC9rZXl3b3JkPjxrZXl3b3JkPnByZWduYW5jeTwv
a2V5d29yZD48a2V5d29yZD5yYW5kb21pemVkIGNvbnRyb2xsZWQgdHJpYWw8L2tleXdvcmQ+PGtl
eXdvcmQ+SGVhbHRoIE91dGNvbWVzIChFQ0hPKSBQcm9ncmFtLCBPZmZpY2Ugb2YgdGhlIERpcmVj
dG9yLCBOYXRpb25hbCBJbnN0aXR1dGVzIG9mPC9rZXl3b3JkPjxrZXl3b3JkPkhlYWx0aCAoVGhl
IHZpZXdzIGV4cHJlc3NlZCBpbiB0aGlzIGFydGljbGUgZG8gbm90IG5lY2Vzc2FyaWx5IHJlcHJl
c2VudCB0aGU8L2tleXdvcmQ+PGtleXdvcmQ+dmlld3Mgb2YgdGhlIFVTIEdvdmVybm1lbnQsIHRo
ZSBEZXBhcnRtZW50IG9mIEhlYWx0aCBhbmQgSHVtYW4gU2VydmljZXMgb3IgdGhlPC9rZXl3b3Jk
PjxrZXl3b3JkPk5hdGlvbmFsIEluc3RpdHV0ZXMgb2YgSGVhbHRoKS4gVGhlIGF1dGhvcnMgcmVw
b3J0IG5vIG90aGVyIGNvbmZsaWN0cyBvZiBpbnRlcmVzdDwva2V5d29yZD48a2V5d29yZD5pbiB0
aGlzIHdvcmsuPC9rZXl3b3JkPjwva2V5d29yZHM+PGRhdGVzPjx5ZWFyPjIwMTk8L3llYXI+PC9k
YXRlcz48aXNibj4xMTc4LTcwMDcgKFByaW50KSYjeEQ7MTE3OC03MDA3IChMaW5raW5nKTwvaXNi
bj48YWNjZXNzaW9uLW51bT4zMDg1ODcxNTwvYWNjZXNzaW9uLW51bT48dXJscz48cmVsYXRlZC11
cmxzPjx1cmw+aHR0cHM6Ly93d3cubmNiaS5ubG0ubmloLmdvdi9wdWJtZWQvMzA4NTg3MTU8L3Vy
bD48L3JlbGF0ZWQtdXJscz48L3VybHM+PGN1c3RvbTI+UE1DNjM4NTc0MzwvY3VzdG9tMj48ZWxl
Y3Ryb25pYy1yZXNvdXJjZS1udW0+MTAuMjE0Ny9ETVNPLlMxNzkwMDk8L2VsZWN0cm9uaWMtcmVz
b3VyY2UtbnVtPjwvcmVjb3JkPjwvQ2l0ZT48Q2l0ZT48QXV0aG9yPkRvZGQ8L0F1dGhvcj48WWVh
cj4yMDE5PC9ZZWFyPjxSZWNOdW0+MTkyMjwvUmVjTnVtPjxyZWNvcmQ+PHJlYy1udW1iZXI+MTky
MjwvcmVjLW51bWJlcj48Zm9yZWlnbi1rZXlzPjxrZXkgYXBwPSJFTiIgZGItaWQ9ImV4dmFzcmZ4
MmR0cmFvZXNhc3hwMnN6c3hhMmRmNTAyNTkyeCIgdGltZXN0YW1wPSIxNTg4NTYwMzY4Ij4xOTIy
PC9rZXk+PGtleSBhcHA9IkVOV2ViIiBkYi1pZD0iIj4wPC9rZXk+PC9mb3JlaWduLWtleXM+PHJl
Zi10eXBlIG5hbWU9IkpvdXJuYWwgQXJ0aWNsZSI+MTc8L3JlZi10eXBlPjxjb250cmlidXRvcnM+
PGF1dGhvcnM+PGF1dGhvcj5Eb2RkLCBKLiBNLjwvYXV0aG9yPjxhdXRob3I+RGV1c3NlbiwgQS4g
Ui48L2F1dGhvcj48YXV0aG9yPkxvdWlzZSwgSi48L2F1dGhvcj48L2F1dGhvcnM+PC9jb250cmli
dXRvcnM+PGF1dGgtYWRkcmVzcz5EaXNjaXBsaW5lIG9mIE9ic3RldHJpY3MgJmFtcDsgR3luYWVj
b2xvZ3ksIGFuZCBSb2JpbnNvbiBSZXNlYXJjaCBJbnN0aXR1dGUsIFRoZSBVbml2ZXJzaXR5IG9m
IEFkZWxhaWRlLCBBZGVsYWlkZSwgU0EgNTAwNiwgQXVzdHJhbGlhLiYjeEQ7RGVwYXJ0bWVudCBv
ZiBQZXJpbmF0YWwgTWVkaWNpbmUgV29tZW4mYXBvcztzIGFuZCBDaGlsZHJlbiZhcG9zO3MgSG9z
cGl0YWwsIE5vcnRoIEFkZWxhaWRlLCBBZGVsYWlkZSwgU0EgNTAwNiwgQXVzdHJhbGlhLjwvYXV0
aC1hZGRyZXNzPjx0aXRsZXM+PHRpdGxlPkEgcmFuZG9taXNlZCB0cmlhbCB0byBvcHRpbWlzZSBn
ZXN0YXRpb25hbCB3ZWlnaHQgZ2FpbiBhbmQgaW1wcm92ZSBtYXRlcm5hbCBhbmQgaW5mYW50IGhl
YWx0aCBvdXRjb21lcyB0aHJvdWdoIGFudGVuYXRhbCBkaWV0YXJ5LCBsaWZlc3R5bGUgYW5kIGV4
ZXJjaXNlIGFkdmljZTogVGhlIE9QVElNSVNFIHJhbmRvbWlzZWQgdHJpYWw8L3RpdGxlPjxzZWNv
bmRhcnktdGl0bGU+TnV0cmllbnRzPC9zZWNvbmRhcnktdGl0bGU+PC90aXRsZXM+PHBlcmlvZGlj
YWw+PGZ1bGwtdGl0bGU+TnV0cmllbnRzPC9mdWxsLXRpdGxlPjwvcGVyaW9kaWNhbD48dm9sdW1l
PjExPC92b2x1bWU+PG51bWJlcj4xMjwvbnVtYmVyPjxlZGl0aW9uPjIwMTkvMTIvMDg8L2VkaXRp
b24+PGtleXdvcmRzPjxrZXl3b3JkPmRpZXRhcnkgYW5kIGxpZmVzdHlsZSBpbnRlcnZlbnRpb248
L2tleXdvcmQ+PGtleXdvcmQ+Z2VzdGF0aW9uYWwgd2VpZ2h0IGdhaW48L2tleXdvcmQ+PGtleXdv
cmQ+cmFuZG9taXNlZCBjb250cm9sbGVkIHRyaWFsPC9rZXl3b3JkPjwva2V5d29yZHM+PGRhdGVz
Pjx5ZWFyPjIwMTk8L3llYXI+PHB1Yi1kYXRlcz48ZGF0ZT5EZWMgMjwvZGF0ZT48L3B1Yi1kYXRl
cz48L2RhdGVzPjxpc2JuPjIwNzItNjY0MyAoRWxlY3Ryb25pYykmI3hEOzIwNzItNjY0MyAoTGlu
a2luZyk8L2lzYm4+PGFjY2Vzc2lvbi1udW0+MzE4MTAyMTc8L2FjY2Vzc2lvbi1udW0+PHVybHM+
PHJlbGF0ZWQtdXJscz48dXJsPmh0dHBzOi8vd3d3Lm5jYmkubmxtLm5paC5nb3YvcHVibWVkLzMx
ODEwMjE3PC91cmw+PC9yZWxhdGVkLXVybHM+PC91cmxzPjxjdXN0b20yPlBNQzY5NDk5MzE8L2N1
c3RvbTI+PGVsZWN0cm9uaWMtcmVzb3VyY2UtbnVtPjEwLjMzOTAvbnUxMTEyMjkxMTwvZWxlY3Ry
b25pYy1yZXNvdXJjZS1udW0+PC9yZWNvcmQ+PC9DaXRlPjxDaXRlPjxBdXRob3I+QnVja2luZ2hh
bS1TY2h1dHQ8L0F1dGhvcj48WWVhcj4yMDE5PC9ZZWFyPjxSZWNOdW0+MTkyNjwvUmVjTnVtPjxy
ZWNvcmQ+PHJlYy1udW1iZXI+MTkyNjwvcmVjLW51bWJlcj48Zm9yZWlnbi1rZXlzPjxrZXkgYXBw
PSJFTiIgZGItaWQ9ImV4dmFzcmZ4MmR0cmFvZXNhc3hwMnN6c3hhMmRmNTAyNTkyeCIgdGltZXN0
YW1wPSIxNTg4NTcwNjI1Ij4xOTI2PC9rZXk+PC9mb3JlaWduLWtleXM+PHJlZi10eXBlIG5hbWU9
IkpvdXJuYWwgQXJ0aWNsZSI+MTc8L3JlZi10eXBlPjxjb250cmlidXRvcnM+PGF1dGhvcnM+PGF1
dGhvcj5CdWNraW5naGFtLVNjaHV0dCwgTC4gTS48L2F1dGhvcj48YXV0aG9yPkVsbGluZ3Nvbiwg
TC4gRC48L2F1dGhvcj48YXV0aG9yPlZhem91LCBTLjwvYXV0aG9yPjxhdXRob3I+Q2FtcGJlbGws
IEMuIEcuPC9hdXRob3I+PC9hdXRob3JzPjwvY29udHJpYnV0b3JzPjxhdXRoLWFkZHJlc3M+VGhl
IEhhcmtpbiBJbnN0aXR1dGUsIERyYWtlIFVuaXZlcnNpdHksIERlcyBNb2luZXMsIElBLiYjeEQ7
S2luZXNpb2xvZ3kgRGVwYXJ0bWVudCwgSW93YSBTdGF0ZSBVbml2ZXJzaXR5LCBBbWVzLCBJQS4m
I3hEO0Zvb2QgU2NpZW5jZSBhbmQgSHVtYW4gTnV0cml0aW9uIERlcGFydG1lbnQuPC9hdXRoLWFk
ZHJlc3M+PHRpdGxlcz48dGl0bGU+VGhlIEJlaGF2aW9yYWwgV2VsbG5lc3MgaW4gUHJlZ25hbmN5
IHN0dWR5OiBhIHJhbmRvbWl6ZWQgY29udHJvbGxlZCB0cmlhbCBvZiBhIG11bHRpLWNvbXBvbmVu
dCBpbnRlcnZlbnRpb24gdG8gcHJvbW90ZSBhcHByb3ByaWF0ZSB3ZWlnaHQgZ2FpbjwvdGl0bGU+
PHNlY29uZGFyeS10aXRsZT5BbSBKIENsaW4gTnV0cjwvc2Vjb25kYXJ5LXRpdGxlPjwvdGl0bGVz
PjxwZXJpb2RpY2FsPjxmdWxsLXRpdGxlPkFtIEogQ2xpbiBOdXRyPC9mdWxsLXRpdGxlPjwvcGVy
aW9kaWNhbD48cGFnZXM+MTA3MS0xMDc5PC9wYWdlcz48dm9sdW1lPjEwOTwvdm9sdW1lPjxudW1i
ZXI+NDwvbnVtYmVyPjxlZGl0aW9uPjIwMTkvMDQvMDY8L2VkaXRpb24+PGtleXdvcmRzPjxrZXl3
b3JkPkFkdWx0PC9rZXl3b3JkPjxrZXl3b3JkPkRpZXQvKnBzeWNob2xvZ3k8L2tleXdvcmQ+PGtl
eXdvcmQ+RXhlcmNpc2U8L2tleXdvcmQ+PGtleXdvcmQ+RmVlZGluZyBCZWhhdmlvcjwva2V5d29y
ZD48a2V5d29yZD5GZW1hbGU8L2tleXdvcmQ+PGtleXdvcmQ+Kkdlc3RhdGlvbmFsIFdlaWdodCBH
YWluPC9rZXl3b3JkPjxrZXl3b3JkPkh1bWFuczwva2V5d29yZD48a2V5d29yZD5MaWZlIFN0eWxl
PC9rZXl3b3JkPjxrZXl3b3JkPk1hdGVybmFsIEJlaGF2aW9yPC9rZXl3b3JkPjxrZXl3b3JkPlBv
c3RwYXJ0dW0gUGVyaW9kL21ldGFib2xpc20vcHN5Y2hvbG9neTwva2V5d29yZD48a2V5d29yZD5Q
cmVnbmFuY3kvbWV0YWJvbGlzbS8qcHN5Y2hvbG9neTwva2V5d29yZD48a2V5d29yZD5QcmVuYXRh
bCBDYXJlLypwc3ljaG9sb2d5PC9rZXl3b3JkPjxrZXl3b3JkPlByZW5hdGFsIE51dHJpdGlvbmFs
IFBoeXNpb2xvZ2ljYWwgUGhlbm9tZW5hPC9rZXl3b3JkPjxrZXl3b3JkPllvdW5nIEFkdWx0PC9r
ZXl3b3JkPjxrZXl3b3JkPiptdWx0aS1jb21wb25lbnQgaW50ZXJ2ZW50aW9uPC9rZXl3b3JkPjxr
ZXl3b3JkPipudXRyaXRpb248L2tleXdvcmQ+PGtleXdvcmQ+KnBoeXNpY2FsIGFjdGl2aXR5PC9r
ZXl3b3JkPjxrZXl3b3JkPipwcmVnbmFuY3k8L2tleXdvcmQ+PC9rZXl3b3Jkcz48ZGF0ZXM+PHll
YXI+MjAxOTwveWVhcj48cHViLWRhdGVzPjxkYXRlPkFwciAxPC9kYXRlPjwvcHViLWRhdGVzPjwv
ZGF0ZXM+PGlzYm4+MTkzOC0zMjA3IChFbGVjdHJvbmljKSYjeEQ7MDAwMi05MTY1IChMaW5raW5n
KTwvaXNibj48YWNjZXNzaW9uLW51bT4zMDk0OTY5MTwvYWNjZXNzaW9uLW51bT48dXJscz48cmVs
YXRlZC11cmxzPjx1cmw+aHR0cHM6Ly93d3cubmNiaS5ubG0ubmloLmdvdi9wdWJtZWQvMzA5NDk2
OTE8L3VybD48L3JlbGF0ZWQtdXJscz48L3VybHM+PGVsZWN0cm9uaWMtcmVzb3VyY2UtbnVtPjEw
LjEwOTMvYWpjbi9ucXkzNTk8L2VsZWN0cm9uaWMtcmVzb3VyY2UtbnVtPjwvcmVjb3JkPjwvQ2l0
ZT48L0VuZE5vdGU+AG==
</w:fldData>
        </w:fldChar>
      </w:r>
      <w:r w:rsidR="002747EA">
        <w:instrText xml:space="preserve"> ADDIN EN.CITE.DATA </w:instrText>
      </w:r>
      <w:r w:rsidR="002747EA">
        <w:fldChar w:fldCharType="end"/>
      </w:r>
      <w:r>
        <w:fldChar w:fldCharType="separate"/>
      </w:r>
      <w:r w:rsidR="002747EA" w:rsidRPr="002747EA">
        <w:rPr>
          <w:noProof/>
          <w:vertAlign w:val="superscript"/>
        </w:rPr>
        <w:t>402,483,484,502,509-513,520</w:t>
      </w:r>
      <w:r>
        <w:fldChar w:fldCharType="end"/>
      </w:r>
      <w:r>
        <w:t xml:space="preserve"> and walking specifically.</w:t>
      </w:r>
      <w:r>
        <w:fldChar w:fldCharType="begin">
          <w:fldData xml:space="preserve">PEVuZE5vdGU+PENpdGU+PEF1dGhvcj5Qb3N0b248L0F1dGhvcj48WWVhcj4yMDEzPC9ZZWFyPjxS
ZWNOdW0+MTEwNTwvUmVjTnVtPjxEaXNwbGF5VGV4dD48c3R5bGUgZmFjZT0ic3VwZXJzY3JpcHQi
IGZvbnQ9IlRyZWJ1Y2hldCBNUyIgc2l6ZT0iOSI+NDk1LDUxMiw1MTMsNTIxPC9zdHlsZT48L0Rp
c3BsYXlUZXh0PjxyZWNvcmQ+PHJlYy1udW1iZXI+MTEwNTwvcmVjLW51bWJlcj48Zm9yZWlnbi1r
ZXlzPjxrZXkgYXBwPSJFTiIgZGItaWQ9ImV4dmFzcmZ4MmR0cmFvZXNhc3hwMnN6c3hhMmRmNTAy
NTkyeCIgdGltZXN0YW1wPSIxNTUyOTQ4Mjc1Ij4xMTA1PC9rZXk+PC9mb3JlaWduLWtleXM+PHJl
Zi10eXBlIG5hbWU9IkpvdXJuYWwgQXJ0aWNsZSI+MTc8L3JlZi10eXBlPjxjb250cmlidXRvcnM+
PGF1dGhvcnM+PGF1dGhvcj5Qb3N0b24sIEwuPC9hdXRob3I+PGF1dGhvcj5CcmlsZXksIEEuIEwu
PC9hdXRob3I+PGF1dGhvcj5CYXJyLCBTLjwvYXV0aG9yPjxhdXRob3I+QmVsbCwgUi48L2F1dGhv
cj48YXV0aG9yPkNyb2tlciwgSC48L2F1dGhvcj48YXV0aG9yPkNveG9uLCBLLjwvYXV0aG9yPjxh
dXRob3I+RXNzZXgsIEguIE4uPC9hdXRob3I+PGF1dGhvcj5IdW50LCBDLjwvYXV0aG9yPjxhdXRo
b3I+SGF5ZXMsIEwuPC9hdXRob3I+PGF1dGhvcj5Ib3dhcmQsIEwuIE0uPC9hdXRob3I+PGF1dGhv
cj5LaGF6YWV6YWRlaCwgTi48L2F1dGhvcj48YXV0aG9yPktpbm51bmVuLCBULjwvYXV0aG9yPjxh
dXRob3I+TmVsc29uLCBTLiBNLjwvYXV0aG9yPjxhdXRob3I+T3RlbmctTnRpbSwgRS48L2F1dGhv
cj48YXV0aG9yPlJvYnNvbiwgUy4gQy48L2F1dGhvcj48YXV0aG9yPlNhdHRhciwgTi48L2F1dGhv
cj48YXV0aG9yPlNlZWQsIFAuIFQuPC9hdXRob3I+PGF1dGhvcj5XYXJkbGUsIEouPC9hdXRob3I+
PGF1dGhvcj5TYW5kZXJzLCBULiBBLjwvYXV0aG9yPjxhdXRob3I+U2FuZGFsbCwgSi48L2F1dGhv
cj48L2F1dGhvcnM+PC9jb250cmlidXRvcnM+PHRpdGxlcz48dGl0bGU+RGV2ZWxvcGluZyBhIGNv
bXBsZXggaW50ZXJ2ZW50aW9uIGZvciBkaWV0IGFuZCBhY3Rpdml0eSBiZWhhdmlvdXIgY2hhbmdl
IGluIG9iZXNlIHByZWduYW50IHdvbWVuICh0aGUgVVBCRUFUIHRyaWFsKTsgYXNzZXNzbWVudCBv
ZiBiZWhhdmlvdXJhbCBjaGFuZ2UgYW5kIHByb2Nlc3MgZXZhbHVhdGlvbiBpbiBhIHBpbG90IHJh
bmRvbWlzZWQgY29udHJvbGxlZCB0cmlhbDwvdGl0bGU+PHNlY29uZGFyeS10aXRsZT5CTUMgUHJl
Z25hbmN5IENoaWxkYmlydGg8L3NlY29uZGFyeS10aXRsZT48L3RpdGxlcz48cGVyaW9kaWNhbD48
ZnVsbC10aXRsZT5CTUMgUHJlZ25hbmN5IENoaWxkYmlydGg8L2Z1bGwtdGl0bGU+PC9wZXJpb2Rp
Y2FsPjxwYWdlcz4xNDg8L3BhZ2VzPjx2b2x1bWU+MTM8L3ZvbHVtZT48ZWRpdGlvbj4yMDEzLzA3
LzE3PC9lZGl0aW9uPjxrZXl3b3Jkcz48a2V5d29yZD5BY2NlbGVyb21ldHJ5PC9rZXl3b3JkPjxr
ZXl3b3JkPkFkb2xlc2NlbnQ8L2tleXdvcmQ+PGtleXdvcmQ+QWR1bHQ8L2tleXdvcmQ+PGtleXdv
cmQ+QmVoYXZpb3IgVGhlcmFweS8qbWV0aG9kczwva2V5d29yZD48a2V5d29yZD5Cb2R5IE1hc3Mg
SW5kZXg8L2tleXdvcmQ+PGtleXdvcmQ+RGlhYmV0ZXMsIEdlc3RhdGlvbmFsLypwcmV2ZW50aW9u
ICZhbXA7IGNvbnRyb2w8L2tleXdvcmQ+PGtleXdvcmQ+RGlldCBUaGVyYXB5LyptZXRob2RzPC9r
ZXl3b3JkPjxrZXl3b3JkPkV4ZXJjaXNlIFRoZXJhcHkvKm1ldGhvZHM8L2tleXdvcmQ+PGtleXdv
cmQ+RmVhc2liaWxpdHkgU3R1ZGllczwva2V5d29yZD48a2V5d29yZD5GZW1hbGU8L2tleXdvcmQ+
PGtleXdvcmQ+SHVtYW5zPC9rZXl3b3JkPjxrZXl3b3JkPipNb3RvciBBY3Rpdml0eTwva2V5d29y
ZD48a2V5d29yZD5PYmVzaXR5Lyp0aGVyYXB5PC9rZXl3b3JkPjxrZXl3b3JkPlBpbG90IFByb2pl
Y3RzPC9rZXl3b3JkPjxrZXl3b3JkPlByZWduYW5jeTwva2V5d29yZD48a2V5d29yZD5QcmVnbmFu
Y3kgQ29tcGxpY2F0aW9ucy8qdGhlcmFweTwva2V5d29yZD48a2V5d29yZD5QcmVuYXRhbCBDYXJl
L21ldGhvZHM8L2tleXdvcmQ+PGtleXdvcmQ+WW91bmcgQWR1bHQ8L2tleXdvcmQ+PC9rZXl3b3Jk
cz48ZGF0ZXM+PHllYXI+MjAxMzwveWVhcj48cHViLWRhdGVzPjxkYXRlPkp1bCAxNTwvZGF0ZT48
L3B1Yi1kYXRlcz48L2RhdGVzPjxpc2JuPjE0NzEtMjM5MyAoRWxlY3Ryb25pYykmI3hEOzE0NzEt
MjM5MyAoTGlua2luZyk8L2lzYm4+PGFjY2Vzc2lvbi1udW0+MjM4NTU3MDg8L2FjY2Vzc2lvbi1u
dW0+PHVybHM+PHJlbGF0ZWQtdXJscz48dXJsPmh0dHBzOi8vd3d3Lm5jYmkubmxtLm5paC5nb3Yv
cHVibWVkLzIzODU1NzA4PC91cmw+PC9yZWxhdGVkLXVybHM+PC91cmxzPjxjdXN0b20yPlBNQzM3
MTg2MzA8L2N1c3RvbTI+PGVsZWN0cm9uaWMtcmVzb3VyY2UtbnVtPjEwLjExODYvMTQ3MS0yMzkz
LTEzLTE0ODwvZWxlY3Ryb25pYy1yZXNvdXJjZS1udW0+PC9yZWNvcmQ+PC9DaXRlPjxDaXRlPjxB
dXRob3I+UG9zdG9uPC9BdXRob3I+PFllYXI+MjAxNTwvWWVhcj48UmVjTnVtPjYxMjwvUmVjTnVt
PjxyZWNvcmQ+PHJlYy1udW1iZXI+NjEyPC9yZWMtbnVtYmVyPjxmb3JlaWduLWtleXM+PGtleSBh
cHA9IkVOIiBkYi1pZD0iZXh2YXNyZngyZHRyYW9lc2FzeHAyc3pzeGEyZGY1MDI1OTJ4IiB0aW1l
c3RhbXA9IjE1MzkwNDgzNDgiPjYxMjwva2V5PjxrZXkgYXBwPSJFTldlYiIgZGItaWQ9IiI+MDwv
a2V5PjwvZm9yZWlnbi1rZXlzPjxyZWYtdHlwZSBuYW1lPSJKb3VybmFsIEFydGljbGUiPjE3PC9y
ZWYtdHlwZT48Y29udHJpYnV0b3JzPjxhdXRob3JzPjxhdXRob3I+UG9zdG9uLCBMLiw8L2F1dGhv
cj48YXV0aG9yPkJlbGwsIFIuLDwvYXV0aG9yPjxhdXRob3I+Q3Jva2VyLCBILiw8L2F1dGhvcj48
YXV0aG9yPkZseW5uLCBBLkMuLDwvYXV0aG9yPjxhdXRob3I+R29kZnJleSwgSy5NLiw8L2F1dGhv
cj48YXV0aG9yPkdvZmYsIEwuLDwvYXV0aG9yPjwvYXV0aG9ycz48L2NvbnRyaWJ1dG9ycz48dGl0
bGVzPjx0aXRsZT5FZmZlY3Qgb2YgYSBiZWhhdmlvdXJhbCBpbnRlcnZlbnRpb24gaW4gb2Jlc2Ug
cHJlZ25hbnQgd29tZW4gKHRoZSBVUEJFQVQgc3R1ZHkpOiBhIG11bHRpY2VudHJlLCByYW5kb21p
c2VkIGNvbnRyb2xsZWQgdHJpYWw8L3RpdGxlPjxzZWNvbmRhcnktdGl0bGU+VGhlIExhbmNldCBE
aWFiZXRlcyAmYW1wOyBFbmRvY3Jpbm9sb2d5PC9zZWNvbmRhcnktdGl0bGU+PC90aXRsZXM+PHBl
cmlvZGljYWw+PGZ1bGwtdGl0bGU+VGhlIExhbmNldCBEaWFiZXRlcyAmYW1wOyBFbmRvY3Jpbm9s
b2d5PC9mdWxsLXRpdGxlPjwvcGVyaW9kaWNhbD48cGFnZXM+NzY3LTc3NzwvcGFnZXM+PHZvbHVt
ZT4zPC92b2x1bWU+PG51bWJlcj4xMDwvbnVtYmVyPjxzZWN0aW9uPjc2Nzwvc2VjdGlvbj48ZGF0
ZXM+PHllYXI+MjAxNTwveWVhcj48L2RhdGVzPjxpc2JuPjIyMTM4NTg3PC9pc2JuPjx1cmxzPjwv
dXJscz48ZWxlY3Ryb25pYy1yZXNvdXJjZS1udW0+MTAuMTAxNi9zMjIxMy04NTg3KDE1KTAwMjI3
LTI8L2VsZWN0cm9uaWMtcmVzb3VyY2UtbnVtPjwvcmVjb3JkPjwvQ2l0ZT48Q2l0ZT48QXV0aG9y
PlBvbGxleTwvQXV0aG9yPjxZZWFyPjIwMDI8L1llYXI+PFJlY051bT43MDY8L1JlY051bT48cmVj
b3JkPjxyZWMtbnVtYmVyPjcwNjwvcmVjLW51bWJlcj48Zm9yZWlnbi1rZXlzPjxrZXkgYXBwPSJF
TiIgZGItaWQ9ImV4dmFzcmZ4MmR0cmFvZXNhc3hwMnN6c3hhMmRmNTAyNTkyeCIgdGltZXN0YW1w
PSIxNTQwNTMwNjc0Ij43MDY8L2tleT48L2ZvcmVpZ24ta2V5cz48cmVmLXR5cGUgbmFtZT0iSm91
cm5hbCBBcnRpY2xlIj4xNzwvcmVmLXR5cGU+PGNvbnRyaWJ1dG9ycz48YXV0aG9ycz48YXV0aG9y
PlBvbGxleSwgQi4gQS48L2F1dGhvcj48YXV0aG9yPldpbmcsIFIuIFIuPC9hdXRob3I+PGF1dGhv
cj5TaW1zLCBDLiBKLjwvYXV0aG9yPjwvYXV0aG9ycz48L2NvbnRyaWJ1dG9ycz48YXV0aC1hZGRy
ZXNzPlVuaXZlcnNpdHkgb2YgUGl0dHNidXJnaCwgUGl0dHNidXJnaCwgUGVubnN5bHZhbmlhLCBV
U0EuPC9hdXRoLWFkZHJlc3M+PHRpdGxlcz48dGl0bGU+UmFuZG9taXplZCBjb250cm9sbGVkIHRy
aWFsIHRvIHByZXZlbnQgZXhjZXNzaXZlIHdlaWdodCBnYWluIGluIHByZWduYW50IHdvbWVuPC90
aXRsZT48c2Vjb25kYXJ5LXRpdGxlPkludCBKIE9iZXMgUmVsYXQgTWV0YWIgRGlzb3JkPC9zZWNv
bmRhcnktdGl0bGU+PC90aXRsZXM+PHBlcmlvZGljYWw+PGZ1bGwtdGl0bGU+SW50IEogT2JlcyBS
ZWxhdCBNZXRhYiBEaXNvcmQ8L2Z1bGwtdGl0bGU+PC9wZXJpb2RpY2FsPjxwYWdlcz4xNDk0LTUw
MjwvcGFnZXM+PHZvbHVtZT4yNjwvdm9sdW1lPjxudW1iZXI+MTE8L251bWJlcj48ZWRpdGlvbj4y
MDAyLzExLzIwPC9lZGl0aW9uPjxrZXl3b3Jkcz48a2V5d29yZD5BZHVsdDwva2V5d29yZD48a2V5
d29yZD5FeGVyY2lzZSBUaGVyYXB5LyptZXRob2RzPC9rZXl3b3JkPjxrZXl3b3JkPkZlbWFsZTwv
a2V5d29yZD48a2V5d29yZD5IZWFsdGggQmVoYXZpb3I8L2tleXdvcmQ+PGtleXdvcmQ+SHVtYW5z
PC9rZXl3b3JkPjxrZXl3b3JkPk9iZXNpdHkvKnByZXZlbnRpb24gJmFtcDsgY29udHJvbDwva2V5
d29yZD48a2V5d29yZD5Qb3N0bmF0YWwgQ2FyZS9tZXRob2RzPC9rZXl3b3JkPjxrZXl3b3JkPlBy
ZWduYW5jeTwva2V5d29yZD48a2V5d29yZD5QcmVnbmFuY3kgQ29tcGxpY2F0aW9ucy8qcHJldmVu
dGlvbiAmYW1wOyBjb250cm9sPC9rZXl3b3JkPjxrZXl3b3JkPlByZWduYW5jeSBPdXRjb21lPC9r
ZXl3b3JkPjxrZXl3b3JkPlByZW5hdGFsIENhcmUvbWV0aG9kczwva2V5d29yZD48a2V5d29yZD5X
ZWlnaHQgR2Fpbjwva2V5d29yZD48L2tleXdvcmRzPjxkYXRlcz48eWVhcj4yMDAyPC95ZWFyPjxw
dWItZGF0ZXM+PGRhdGU+Tm92PC9kYXRlPjwvcHViLWRhdGVzPjwvZGF0ZXM+PGFjY2Vzc2lvbi1u
dW0+MTI0Mzk2NTI8L2FjY2Vzc2lvbi1udW0+PHVybHM+PHJlbGF0ZWQtdXJscz48dXJsPmh0dHBz
Oi8vd3d3Lm5jYmkubmxtLm5paC5nb3YvcHVibWVkLzEyNDM5NjUyPC91cmw+PC9yZWxhdGVkLXVy
bHM+PC91cmxzPjxlbGVjdHJvbmljLXJlc291cmNlLW51bT4xMC4xMDM4L3NqLmlqby4wODAyMTMw
PC9lbGVjdHJvbmljLXJlc291cmNlLW51bT48L3JlY29yZD48L0NpdGU+PENpdGU+PEF1dGhvcj5E
b2RkPC9BdXRob3I+PFllYXI+MjAxNDwvWWVhcj48UmVjTnVtPjEwODA8L1JlY051bT48cmVjb3Jk
PjxyZWMtbnVtYmVyPjEwODA8L3JlYy1udW1iZXI+PGZvcmVpZ24ta2V5cz48a2V5IGFwcD0iRU4i
IGRiLWlkPSJleHZhc3JmeDJkdHJhb2VzYXN4cDJzenN4YTJkZjUwMjU5MngiIHRpbWVzdGFtcD0i
MTU1Mjk0NjQ3MiI+MTA4MDwva2V5PjxrZXkgYXBwPSJFTldlYiIgZGItaWQ9IiI+MDwva2V5Pjwv
Zm9yZWlnbi1rZXlzPjxyZWYtdHlwZSBuYW1lPSJKb3VybmFsIEFydGljbGUiPjE3PC9yZWYtdHlw
ZT48Y29udHJpYnV0b3JzPjxhdXRob3JzPjxhdXRob3I+RG9kZCwgSm9kaWUgTS48L2F1dGhvcj48
YXV0aG9yPkdyaXZlbGwsIFJvc2FsaWUgTS48L2F1dGhvcj48YXV0aG9yPk93ZW5zLCBKdWxpZSBB
LjwvYXV0aG9yPjwvYXV0aG9ycz48L2NvbnRyaWJ1dG9ycz48dGl0bGVzPjx0aXRsZT5BbnRlbmF0
YWwgRGlldGFyeSBhbmQgTGlmZXN0eWxlIEludGVydmVudGlvbnMgZm9yIFdvbWVuIFdobyBhcmUg
T3ZlcndlaWdodCBvciBPYmVzZTogT3V0Y29tZXMgZnJvbSB0aGUgTElNSVQgUmFuZG9taXplZCBU
cmlhbDwvdGl0bGU+PHNlY29uZGFyeS10aXRsZT5DdXJyZW50IE51dHJpdGlvbiBSZXBvcnRzPC9z
ZWNvbmRhcnktdGl0bGU+PC90aXRsZXM+PHBlcmlvZGljYWw+PGZ1bGwtdGl0bGU+Q3VycmVudCBO
dXRyaXRpb24gUmVwb3J0czwvZnVsbC10aXRsZT48L3BlcmlvZGljYWw+PHBhZ2VzPjM5Mi0zOTk8
L3BhZ2VzPjx2b2x1bWU+Mzwvdm9sdW1lPjxudW1iZXI+NDwvbnVtYmVyPjxzZWN0aW9uPjM5Mjwv
c2VjdGlvbj48ZGF0ZXM+PHllYXI+MjAxNDwveWVhcj48L2RhdGVzPjxpc2JuPjIxNjEtMzMxMTwv
aXNibj48dXJscz48L3VybHM+PGVsZWN0cm9uaWMtcmVzb3VyY2UtbnVtPjEwLjEwMDcvczEzNjY4
LTAxNC0wMTAxLTc8L2VsZWN0cm9uaWMtcmVzb3VyY2UtbnVtPjwvcmVjb3JkPjwvQ2l0ZT48L0Vu
ZE5vdGU+
</w:fldData>
        </w:fldChar>
      </w:r>
      <w:r w:rsidR="002747EA">
        <w:instrText xml:space="preserve"> ADDIN EN.CITE </w:instrText>
      </w:r>
      <w:r w:rsidR="002747EA">
        <w:fldChar w:fldCharType="begin">
          <w:fldData xml:space="preserve">PEVuZE5vdGU+PENpdGU+PEF1dGhvcj5Qb3N0b248L0F1dGhvcj48WWVhcj4yMDEzPC9ZZWFyPjxS
ZWNOdW0+MTEwNTwvUmVjTnVtPjxEaXNwbGF5VGV4dD48c3R5bGUgZmFjZT0ic3VwZXJzY3JpcHQi
IGZvbnQ9IlRyZWJ1Y2hldCBNUyIgc2l6ZT0iOSI+NDk1LDUxMiw1MTMsNTIxPC9zdHlsZT48L0Rp
c3BsYXlUZXh0PjxyZWNvcmQ+PHJlYy1udW1iZXI+MTEwNTwvcmVjLW51bWJlcj48Zm9yZWlnbi1r
ZXlzPjxrZXkgYXBwPSJFTiIgZGItaWQ9ImV4dmFzcmZ4MmR0cmFvZXNhc3hwMnN6c3hhMmRmNTAy
NTkyeCIgdGltZXN0YW1wPSIxNTUyOTQ4Mjc1Ij4xMTA1PC9rZXk+PC9mb3JlaWduLWtleXM+PHJl
Zi10eXBlIG5hbWU9IkpvdXJuYWwgQXJ0aWNsZSI+MTc8L3JlZi10eXBlPjxjb250cmlidXRvcnM+
PGF1dGhvcnM+PGF1dGhvcj5Qb3N0b24sIEwuPC9hdXRob3I+PGF1dGhvcj5CcmlsZXksIEEuIEwu
PC9hdXRob3I+PGF1dGhvcj5CYXJyLCBTLjwvYXV0aG9yPjxhdXRob3I+QmVsbCwgUi48L2F1dGhv
cj48YXV0aG9yPkNyb2tlciwgSC48L2F1dGhvcj48YXV0aG9yPkNveG9uLCBLLjwvYXV0aG9yPjxh
dXRob3I+RXNzZXgsIEguIE4uPC9hdXRob3I+PGF1dGhvcj5IdW50LCBDLjwvYXV0aG9yPjxhdXRo
b3I+SGF5ZXMsIEwuPC9hdXRob3I+PGF1dGhvcj5Ib3dhcmQsIEwuIE0uPC9hdXRob3I+PGF1dGhv
cj5LaGF6YWV6YWRlaCwgTi48L2F1dGhvcj48YXV0aG9yPktpbm51bmVuLCBULjwvYXV0aG9yPjxh
dXRob3I+TmVsc29uLCBTLiBNLjwvYXV0aG9yPjxhdXRob3I+T3RlbmctTnRpbSwgRS48L2F1dGhv
cj48YXV0aG9yPlJvYnNvbiwgUy4gQy48L2F1dGhvcj48YXV0aG9yPlNhdHRhciwgTi48L2F1dGhv
cj48YXV0aG9yPlNlZWQsIFAuIFQuPC9hdXRob3I+PGF1dGhvcj5XYXJkbGUsIEouPC9hdXRob3I+
PGF1dGhvcj5TYW5kZXJzLCBULiBBLjwvYXV0aG9yPjxhdXRob3I+U2FuZGFsbCwgSi48L2F1dGhv
cj48L2F1dGhvcnM+PC9jb250cmlidXRvcnM+PHRpdGxlcz48dGl0bGU+RGV2ZWxvcGluZyBhIGNv
bXBsZXggaW50ZXJ2ZW50aW9uIGZvciBkaWV0IGFuZCBhY3Rpdml0eSBiZWhhdmlvdXIgY2hhbmdl
IGluIG9iZXNlIHByZWduYW50IHdvbWVuICh0aGUgVVBCRUFUIHRyaWFsKTsgYXNzZXNzbWVudCBv
ZiBiZWhhdmlvdXJhbCBjaGFuZ2UgYW5kIHByb2Nlc3MgZXZhbHVhdGlvbiBpbiBhIHBpbG90IHJh
bmRvbWlzZWQgY29udHJvbGxlZCB0cmlhbDwvdGl0bGU+PHNlY29uZGFyeS10aXRsZT5CTUMgUHJl
Z25hbmN5IENoaWxkYmlydGg8L3NlY29uZGFyeS10aXRsZT48L3RpdGxlcz48cGVyaW9kaWNhbD48
ZnVsbC10aXRsZT5CTUMgUHJlZ25hbmN5IENoaWxkYmlydGg8L2Z1bGwtdGl0bGU+PC9wZXJpb2Rp
Y2FsPjxwYWdlcz4xNDg8L3BhZ2VzPjx2b2x1bWU+MTM8L3ZvbHVtZT48ZWRpdGlvbj4yMDEzLzA3
LzE3PC9lZGl0aW9uPjxrZXl3b3Jkcz48a2V5d29yZD5BY2NlbGVyb21ldHJ5PC9rZXl3b3JkPjxr
ZXl3b3JkPkFkb2xlc2NlbnQ8L2tleXdvcmQ+PGtleXdvcmQ+QWR1bHQ8L2tleXdvcmQ+PGtleXdv
cmQ+QmVoYXZpb3IgVGhlcmFweS8qbWV0aG9kczwva2V5d29yZD48a2V5d29yZD5Cb2R5IE1hc3Mg
SW5kZXg8L2tleXdvcmQ+PGtleXdvcmQ+RGlhYmV0ZXMsIEdlc3RhdGlvbmFsLypwcmV2ZW50aW9u
ICZhbXA7IGNvbnRyb2w8L2tleXdvcmQ+PGtleXdvcmQ+RGlldCBUaGVyYXB5LyptZXRob2RzPC9r
ZXl3b3JkPjxrZXl3b3JkPkV4ZXJjaXNlIFRoZXJhcHkvKm1ldGhvZHM8L2tleXdvcmQ+PGtleXdv
cmQ+RmVhc2liaWxpdHkgU3R1ZGllczwva2V5d29yZD48a2V5d29yZD5GZW1hbGU8L2tleXdvcmQ+
PGtleXdvcmQ+SHVtYW5zPC9rZXl3b3JkPjxrZXl3b3JkPipNb3RvciBBY3Rpdml0eTwva2V5d29y
ZD48a2V5d29yZD5PYmVzaXR5Lyp0aGVyYXB5PC9rZXl3b3JkPjxrZXl3b3JkPlBpbG90IFByb2pl
Y3RzPC9rZXl3b3JkPjxrZXl3b3JkPlByZWduYW5jeTwva2V5d29yZD48a2V5d29yZD5QcmVnbmFu
Y3kgQ29tcGxpY2F0aW9ucy8qdGhlcmFweTwva2V5d29yZD48a2V5d29yZD5QcmVuYXRhbCBDYXJl
L21ldGhvZHM8L2tleXdvcmQ+PGtleXdvcmQ+WW91bmcgQWR1bHQ8L2tleXdvcmQ+PC9rZXl3b3Jk
cz48ZGF0ZXM+PHllYXI+MjAxMzwveWVhcj48cHViLWRhdGVzPjxkYXRlPkp1bCAxNTwvZGF0ZT48
L3B1Yi1kYXRlcz48L2RhdGVzPjxpc2JuPjE0NzEtMjM5MyAoRWxlY3Ryb25pYykmI3hEOzE0NzEt
MjM5MyAoTGlua2luZyk8L2lzYm4+PGFjY2Vzc2lvbi1udW0+MjM4NTU3MDg8L2FjY2Vzc2lvbi1u
dW0+PHVybHM+PHJlbGF0ZWQtdXJscz48dXJsPmh0dHBzOi8vd3d3Lm5jYmkubmxtLm5paC5nb3Yv
cHVibWVkLzIzODU1NzA4PC91cmw+PC9yZWxhdGVkLXVybHM+PC91cmxzPjxjdXN0b20yPlBNQzM3
MTg2MzA8L2N1c3RvbTI+PGVsZWN0cm9uaWMtcmVzb3VyY2UtbnVtPjEwLjExODYvMTQ3MS0yMzkz
LTEzLTE0ODwvZWxlY3Ryb25pYy1yZXNvdXJjZS1udW0+PC9yZWNvcmQ+PC9DaXRlPjxDaXRlPjxB
dXRob3I+UG9zdG9uPC9BdXRob3I+PFllYXI+MjAxNTwvWWVhcj48UmVjTnVtPjYxMjwvUmVjTnVt
PjxyZWNvcmQ+PHJlYy1udW1iZXI+NjEyPC9yZWMtbnVtYmVyPjxmb3JlaWduLWtleXM+PGtleSBh
cHA9IkVOIiBkYi1pZD0iZXh2YXNyZngyZHRyYW9lc2FzeHAyc3pzeGEyZGY1MDI1OTJ4IiB0aW1l
c3RhbXA9IjE1MzkwNDgzNDgiPjYxMjwva2V5PjxrZXkgYXBwPSJFTldlYiIgZGItaWQ9IiI+MDwv
a2V5PjwvZm9yZWlnbi1rZXlzPjxyZWYtdHlwZSBuYW1lPSJKb3VybmFsIEFydGljbGUiPjE3PC9y
ZWYtdHlwZT48Y29udHJpYnV0b3JzPjxhdXRob3JzPjxhdXRob3I+UG9zdG9uLCBMLiw8L2F1dGhv
cj48YXV0aG9yPkJlbGwsIFIuLDwvYXV0aG9yPjxhdXRob3I+Q3Jva2VyLCBILiw8L2F1dGhvcj48
YXV0aG9yPkZseW5uLCBBLkMuLDwvYXV0aG9yPjxhdXRob3I+R29kZnJleSwgSy5NLiw8L2F1dGhv
cj48YXV0aG9yPkdvZmYsIEwuLDwvYXV0aG9yPjwvYXV0aG9ycz48L2NvbnRyaWJ1dG9ycz48dGl0
bGVzPjx0aXRsZT5FZmZlY3Qgb2YgYSBiZWhhdmlvdXJhbCBpbnRlcnZlbnRpb24gaW4gb2Jlc2Ug
cHJlZ25hbnQgd29tZW4gKHRoZSBVUEJFQVQgc3R1ZHkpOiBhIG11bHRpY2VudHJlLCByYW5kb21p
c2VkIGNvbnRyb2xsZWQgdHJpYWw8L3RpdGxlPjxzZWNvbmRhcnktdGl0bGU+VGhlIExhbmNldCBE
aWFiZXRlcyAmYW1wOyBFbmRvY3Jpbm9sb2d5PC9zZWNvbmRhcnktdGl0bGU+PC90aXRsZXM+PHBl
cmlvZGljYWw+PGZ1bGwtdGl0bGU+VGhlIExhbmNldCBEaWFiZXRlcyAmYW1wOyBFbmRvY3Jpbm9s
b2d5PC9mdWxsLXRpdGxlPjwvcGVyaW9kaWNhbD48cGFnZXM+NzY3LTc3NzwvcGFnZXM+PHZvbHVt
ZT4zPC92b2x1bWU+PG51bWJlcj4xMDwvbnVtYmVyPjxzZWN0aW9uPjc2Nzwvc2VjdGlvbj48ZGF0
ZXM+PHllYXI+MjAxNTwveWVhcj48L2RhdGVzPjxpc2JuPjIyMTM4NTg3PC9pc2JuPjx1cmxzPjwv
dXJscz48ZWxlY3Ryb25pYy1yZXNvdXJjZS1udW0+MTAuMTAxNi9zMjIxMy04NTg3KDE1KTAwMjI3
LTI8L2VsZWN0cm9uaWMtcmVzb3VyY2UtbnVtPjwvcmVjb3JkPjwvQ2l0ZT48Q2l0ZT48QXV0aG9y
PlBvbGxleTwvQXV0aG9yPjxZZWFyPjIwMDI8L1llYXI+PFJlY051bT43MDY8L1JlY051bT48cmVj
b3JkPjxyZWMtbnVtYmVyPjcwNjwvcmVjLW51bWJlcj48Zm9yZWlnbi1rZXlzPjxrZXkgYXBwPSJF
TiIgZGItaWQ9ImV4dmFzcmZ4MmR0cmFvZXNhc3hwMnN6c3hhMmRmNTAyNTkyeCIgdGltZXN0YW1w
PSIxNTQwNTMwNjc0Ij43MDY8L2tleT48L2ZvcmVpZ24ta2V5cz48cmVmLXR5cGUgbmFtZT0iSm91
cm5hbCBBcnRpY2xlIj4xNzwvcmVmLXR5cGU+PGNvbnRyaWJ1dG9ycz48YXV0aG9ycz48YXV0aG9y
PlBvbGxleSwgQi4gQS48L2F1dGhvcj48YXV0aG9yPldpbmcsIFIuIFIuPC9hdXRob3I+PGF1dGhv
cj5TaW1zLCBDLiBKLjwvYXV0aG9yPjwvYXV0aG9ycz48L2NvbnRyaWJ1dG9ycz48YXV0aC1hZGRy
ZXNzPlVuaXZlcnNpdHkgb2YgUGl0dHNidXJnaCwgUGl0dHNidXJnaCwgUGVubnN5bHZhbmlhLCBV
U0EuPC9hdXRoLWFkZHJlc3M+PHRpdGxlcz48dGl0bGU+UmFuZG9taXplZCBjb250cm9sbGVkIHRy
aWFsIHRvIHByZXZlbnQgZXhjZXNzaXZlIHdlaWdodCBnYWluIGluIHByZWduYW50IHdvbWVuPC90
aXRsZT48c2Vjb25kYXJ5LXRpdGxlPkludCBKIE9iZXMgUmVsYXQgTWV0YWIgRGlzb3JkPC9zZWNv
bmRhcnktdGl0bGU+PC90aXRsZXM+PHBlcmlvZGljYWw+PGZ1bGwtdGl0bGU+SW50IEogT2JlcyBS
ZWxhdCBNZXRhYiBEaXNvcmQ8L2Z1bGwtdGl0bGU+PC9wZXJpb2RpY2FsPjxwYWdlcz4xNDk0LTUw
MjwvcGFnZXM+PHZvbHVtZT4yNjwvdm9sdW1lPjxudW1iZXI+MTE8L251bWJlcj48ZWRpdGlvbj4y
MDAyLzExLzIwPC9lZGl0aW9uPjxrZXl3b3Jkcz48a2V5d29yZD5BZHVsdDwva2V5d29yZD48a2V5
d29yZD5FeGVyY2lzZSBUaGVyYXB5LyptZXRob2RzPC9rZXl3b3JkPjxrZXl3b3JkPkZlbWFsZTwv
a2V5d29yZD48a2V5d29yZD5IZWFsdGggQmVoYXZpb3I8L2tleXdvcmQ+PGtleXdvcmQ+SHVtYW5z
PC9rZXl3b3JkPjxrZXl3b3JkPk9iZXNpdHkvKnByZXZlbnRpb24gJmFtcDsgY29udHJvbDwva2V5
d29yZD48a2V5d29yZD5Qb3N0bmF0YWwgQ2FyZS9tZXRob2RzPC9rZXl3b3JkPjxrZXl3b3JkPlBy
ZWduYW5jeTwva2V5d29yZD48a2V5d29yZD5QcmVnbmFuY3kgQ29tcGxpY2F0aW9ucy8qcHJldmVu
dGlvbiAmYW1wOyBjb250cm9sPC9rZXl3b3JkPjxrZXl3b3JkPlByZWduYW5jeSBPdXRjb21lPC9r
ZXl3b3JkPjxrZXl3b3JkPlByZW5hdGFsIENhcmUvbWV0aG9kczwva2V5d29yZD48a2V5d29yZD5X
ZWlnaHQgR2Fpbjwva2V5d29yZD48L2tleXdvcmRzPjxkYXRlcz48eWVhcj4yMDAyPC95ZWFyPjxw
dWItZGF0ZXM+PGRhdGU+Tm92PC9kYXRlPjwvcHViLWRhdGVzPjwvZGF0ZXM+PGFjY2Vzc2lvbi1u
dW0+MTI0Mzk2NTI8L2FjY2Vzc2lvbi1udW0+PHVybHM+PHJlbGF0ZWQtdXJscz48dXJsPmh0dHBz
Oi8vd3d3Lm5jYmkubmxtLm5paC5nb3YvcHVibWVkLzEyNDM5NjUyPC91cmw+PC9yZWxhdGVkLXVy
bHM+PC91cmxzPjxlbGVjdHJvbmljLXJlc291cmNlLW51bT4xMC4xMDM4L3NqLmlqby4wODAyMTMw
PC9lbGVjdHJvbmljLXJlc291cmNlLW51bT48L3JlY29yZD48L0NpdGU+PENpdGU+PEF1dGhvcj5E
b2RkPC9BdXRob3I+PFllYXI+MjAxNDwvWWVhcj48UmVjTnVtPjEwODA8L1JlY051bT48cmVjb3Jk
PjxyZWMtbnVtYmVyPjEwODA8L3JlYy1udW1iZXI+PGZvcmVpZ24ta2V5cz48a2V5IGFwcD0iRU4i
IGRiLWlkPSJleHZhc3JmeDJkdHJhb2VzYXN4cDJzenN4YTJkZjUwMjU5MngiIHRpbWVzdGFtcD0i
MTU1Mjk0NjQ3MiI+MTA4MDwva2V5PjxrZXkgYXBwPSJFTldlYiIgZGItaWQ9IiI+MDwva2V5Pjwv
Zm9yZWlnbi1rZXlzPjxyZWYtdHlwZSBuYW1lPSJKb3VybmFsIEFydGljbGUiPjE3PC9yZWYtdHlw
ZT48Y29udHJpYnV0b3JzPjxhdXRob3JzPjxhdXRob3I+RG9kZCwgSm9kaWUgTS48L2F1dGhvcj48
YXV0aG9yPkdyaXZlbGwsIFJvc2FsaWUgTS48L2F1dGhvcj48YXV0aG9yPk93ZW5zLCBKdWxpZSBB
LjwvYXV0aG9yPjwvYXV0aG9ycz48L2NvbnRyaWJ1dG9ycz48dGl0bGVzPjx0aXRsZT5BbnRlbmF0
YWwgRGlldGFyeSBhbmQgTGlmZXN0eWxlIEludGVydmVudGlvbnMgZm9yIFdvbWVuIFdobyBhcmUg
T3ZlcndlaWdodCBvciBPYmVzZTogT3V0Y29tZXMgZnJvbSB0aGUgTElNSVQgUmFuZG9taXplZCBU
cmlhbDwvdGl0bGU+PHNlY29uZGFyeS10aXRsZT5DdXJyZW50IE51dHJpdGlvbiBSZXBvcnRzPC9z
ZWNvbmRhcnktdGl0bGU+PC90aXRsZXM+PHBlcmlvZGljYWw+PGZ1bGwtdGl0bGU+Q3VycmVudCBO
dXRyaXRpb24gUmVwb3J0czwvZnVsbC10aXRsZT48L3BlcmlvZGljYWw+PHBhZ2VzPjM5Mi0zOTk8
L3BhZ2VzPjx2b2x1bWU+Mzwvdm9sdW1lPjxudW1iZXI+NDwvbnVtYmVyPjxzZWN0aW9uPjM5Mjwv
c2VjdGlvbj48ZGF0ZXM+PHllYXI+MjAxNDwveWVhcj48L2RhdGVzPjxpc2JuPjIxNjEtMzMxMTwv
aXNibj48dXJscz48L3VybHM+PGVsZWN0cm9uaWMtcmVzb3VyY2UtbnVtPjEwLjEwMDcvczEzNjY4
LTAxNC0wMTAxLTc8L2VsZWN0cm9uaWMtcmVzb3VyY2UtbnVtPjwvcmVjb3JkPjwvQ2l0ZT48L0Vu
ZE5vdGU+
</w:fldData>
        </w:fldChar>
      </w:r>
      <w:r w:rsidR="002747EA">
        <w:instrText xml:space="preserve"> ADDIN EN.CITE.DATA </w:instrText>
      </w:r>
      <w:r w:rsidR="002747EA">
        <w:fldChar w:fldCharType="end"/>
      </w:r>
      <w:r>
        <w:fldChar w:fldCharType="separate"/>
      </w:r>
      <w:r w:rsidR="002747EA" w:rsidRPr="002747EA">
        <w:rPr>
          <w:noProof/>
          <w:vertAlign w:val="superscript"/>
        </w:rPr>
        <w:t>495,512,513,521</w:t>
      </w:r>
      <w:r>
        <w:fldChar w:fldCharType="end"/>
      </w:r>
    </w:p>
    <w:p w14:paraId="2A365E4B" w14:textId="77777777" w:rsidR="00A5540F" w:rsidRPr="00C12274" w:rsidRDefault="00A5540F" w:rsidP="00A5540F">
      <w:pPr>
        <w:pStyle w:val="Heading4"/>
      </w:pPr>
      <w:bookmarkStart w:id="220" w:name="_Toc5978447"/>
      <w:r w:rsidRPr="00C12274">
        <w:t>Maternal outcomes</w:t>
      </w:r>
      <w:bookmarkEnd w:id="220"/>
    </w:p>
    <w:p w14:paraId="02CC28EF" w14:textId="7A7EA537" w:rsidR="00A5540F" w:rsidRPr="00C12274" w:rsidRDefault="00A5540F" w:rsidP="00A5540F">
      <w:r w:rsidRPr="00C12274">
        <w:t xml:space="preserve">Mean gestational weight gain was significantly lower in the intervention groups than in the </w:t>
      </w:r>
      <w:r>
        <w:t>usual</w:t>
      </w:r>
      <w:r w:rsidRPr="00C12274">
        <w:t xml:space="preserve"> care groups (</w:t>
      </w:r>
      <w:r w:rsidRPr="00C12274">
        <w:rPr>
          <w:sz w:val="16"/>
          <w:szCs w:val="16"/>
        </w:rPr>
        <w:t>MD -</w:t>
      </w:r>
      <w:r>
        <w:rPr>
          <w:sz w:val="16"/>
          <w:szCs w:val="16"/>
        </w:rPr>
        <w:t>1.</w:t>
      </w:r>
      <w:r w:rsidR="00A669A5">
        <w:rPr>
          <w:sz w:val="16"/>
          <w:szCs w:val="16"/>
        </w:rPr>
        <w:t>25</w:t>
      </w:r>
      <w:r w:rsidR="00A669A5" w:rsidRPr="00C12274">
        <w:rPr>
          <w:sz w:val="16"/>
          <w:szCs w:val="16"/>
        </w:rPr>
        <w:t xml:space="preserve"> </w:t>
      </w:r>
      <w:r w:rsidRPr="00C12274">
        <w:rPr>
          <w:sz w:val="16"/>
          <w:szCs w:val="16"/>
        </w:rPr>
        <w:t>kg; 95%CI -1.</w:t>
      </w:r>
      <w:r w:rsidR="00A669A5">
        <w:rPr>
          <w:sz w:val="16"/>
          <w:szCs w:val="16"/>
        </w:rPr>
        <w:t>64</w:t>
      </w:r>
      <w:r w:rsidR="00A669A5" w:rsidRPr="00C12274">
        <w:rPr>
          <w:sz w:val="16"/>
          <w:szCs w:val="16"/>
        </w:rPr>
        <w:t xml:space="preserve"> </w:t>
      </w:r>
      <w:r w:rsidRPr="00C12274">
        <w:rPr>
          <w:sz w:val="16"/>
          <w:szCs w:val="16"/>
        </w:rPr>
        <w:t>to -0.</w:t>
      </w:r>
      <w:r w:rsidR="00A669A5">
        <w:rPr>
          <w:sz w:val="16"/>
          <w:szCs w:val="16"/>
        </w:rPr>
        <w:t>86</w:t>
      </w:r>
      <w:r w:rsidRPr="00C12274">
        <w:rPr>
          <w:sz w:val="16"/>
          <w:szCs w:val="16"/>
        </w:rPr>
        <w:t xml:space="preserve">; </w:t>
      </w:r>
      <w:r w:rsidR="004A360B">
        <w:rPr>
          <w:sz w:val="16"/>
          <w:szCs w:val="16"/>
        </w:rPr>
        <w:t>3</w:t>
      </w:r>
      <w:r w:rsidR="00A669A5">
        <w:rPr>
          <w:sz w:val="16"/>
          <w:szCs w:val="16"/>
        </w:rPr>
        <w:t>6</w:t>
      </w:r>
      <w:r w:rsidR="00FF064B" w:rsidRPr="00C12274">
        <w:rPr>
          <w:sz w:val="16"/>
          <w:szCs w:val="16"/>
        </w:rPr>
        <w:t xml:space="preserve"> </w:t>
      </w:r>
      <w:r w:rsidRPr="00C12274">
        <w:rPr>
          <w:sz w:val="16"/>
          <w:szCs w:val="16"/>
        </w:rPr>
        <w:t>RCTs; n=</w:t>
      </w:r>
      <w:r w:rsidR="00A669A5">
        <w:rPr>
          <w:sz w:val="16"/>
          <w:szCs w:val="16"/>
        </w:rPr>
        <w:t>9,083</w:t>
      </w:r>
      <w:r w:rsidRPr="00C12274">
        <w:rPr>
          <w:sz w:val="16"/>
          <w:szCs w:val="16"/>
        </w:rPr>
        <w:t xml:space="preserve">; </w:t>
      </w:r>
      <w:r>
        <w:rPr>
          <w:sz w:val="16"/>
          <w:szCs w:val="16"/>
        </w:rPr>
        <w:t>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5</w:t>
      </w:r>
      <w:r w:rsidRPr="00C12274">
        <w:rPr>
          <w:sz w:val="16"/>
          <w:szCs w:val="16"/>
        </w:rPr>
        <w:t xml:space="preserve">.1; page </w:t>
      </w:r>
      <w:r w:rsidRPr="00C12274">
        <w:rPr>
          <w:sz w:val="16"/>
          <w:szCs w:val="16"/>
        </w:rPr>
        <w:fldChar w:fldCharType="begin"/>
      </w:r>
      <w:r w:rsidRPr="00C12274">
        <w:rPr>
          <w:sz w:val="16"/>
          <w:szCs w:val="16"/>
        </w:rPr>
        <w:instrText xml:space="preserve"> PAGEREF _Ref2167603 \h </w:instrText>
      </w:r>
      <w:r w:rsidRPr="00C12274">
        <w:rPr>
          <w:sz w:val="16"/>
          <w:szCs w:val="16"/>
        </w:rPr>
      </w:r>
      <w:r w:rsidRPr="00C12274">
        <w:rPr>
          <w:sz w:val="16"/>
          <w:szCs w:val="16"/>
        </w:rPr>
        <w:fldChar w:fldCharType="separate"/>
      </w:r>
      <w:r w:rsidR="00BA7CBD">
        <w:rPr>
          <w:noProof/>
          <w:sz w:val="16"/>
          <w:szCs w:val="16"/>
        </w:rPr>
        <w:t>423</w:t>
      </w:r>
      <w:r w:rsidRPr="00C12274">
        <w:rPr>
          <w:sz w:val="16"/>
          <w:szCs w:val="16"/>
        </w:rPr>
        <w:fldChar w:fldCharType="end"/>
      </w:r>
      <w:r w:rsidRPr="00C12274">
        <w:t>).</w:t>
      </w:r>
    </w:p>
    <w:p w14:paraId="6D4B0973" w14:textId="77777777" w:rsidR="00A5540F" w:rsidRPr="00C12274" w:rsidRDefault="00A5540F" w:rsidP="00A5540F">
      <w:r w:rsidRPr="00C12274">
        <w:t>Compared to women in the control groups, among women in the intervention groups, there was a clear reduction in risk of:</w:t>
      </w:r>
    </w:p>
    <w:p w14:paraId="72B67C8F" w14:textId="07042411" w:rsidR="00A5540F" w:rsidRDefault="00A5540F" w:rsidP="00A5540F">
      <w:pPr>
        <w:pStyle w:val="bullet"/>
      </w:pPr>
      <w:r w:rsidRPr="00C12274">
        <w:t>weight gain exceeding IOM guidelines (</w:t>
      </w:r>
      <w:r w:rsidRPr="00C12274">
        <w:rPr>
          <w:sz w:val="16"/>
          <w:szCs w:val="16"/>
        </w:rPr>
        <w:t>RR 0.</w:t>
      </w:r>
      <w:r>
        <w:rPr>
          <w:sz w:val="16"/>
          <w:szCs w:val="16"/>
        </w:rPr>
        <w:t>8</w:t>
      </w:r>
      <w:r w:rsidR="00A669A5">
        <w:rPr>
          <w:sz w:val="16"/>
          <w:szCs w:val="16"/>
        </w:rPr>
        <w:t>3</w:t>
      </w:r>
      <w:r w:rsidRPr="00C12274">
        <w:rPr>
          <w:sz w:val="16"/>
          <w:szCs w:val="16"/>
        </w:rPr>
        <w:t>; 95%CI 0.</w:t>
      </w:r>
      <w:r>
        <w:rPr>
          <w:sz w:val="16"/>
          <w:szCs w:val="16"/>
        </w:rPr>
        <w:t>7</w:t>
      </w:r>
      <w:r w:rsidR="00463682">
        <w:rPr>
          <w:sz w:val="16"/>
          <w:szCs w:val="16"/>
        </w:rPr>
        <w:t>8</w:t>
      </w:r>
      <w:r w:rsidRPr="00C12274">
        <w:rPr>
          <w:sz w:val="16"/>
          <w:szCs w:val="16"/>
        </w:rPr>
        <w:t xml:space="preserve"> to 0.</w:t>
      </w:r>
      <w:r w:rsidR="00A669A5">
        <w:rPr>
          <w:sz w:val="16"/>
          <w:szCs w:val="16"/>
        </w:rPr>
        <w:t>89</w:t>
      </w:r>
      <w:r w:rsidRPr="00C12274">
        <w:rPr>
          <w:sz w:val="16"/>
          <w:szCs w:val="16"/>
        </w:rPr>
        <w:t xml:space="preserve">; </w:t>
      </w:r>
      <w:r>
        <w:rPr>
          <w:sz w:val="16"/>
          <w:szCs w:val="16"/>
        </w:rPr>
        <w:t>2</w:t>
      </w:r>
      <w:r w:rsidR="00A669A5">
        <w:rPr>
          <w:sz w:val="16"/>
          <w:szCs w:val="16"/>
        </w:rPr>
        <w:t>9</w:t>
      </w:r>
      <w:r w:rsidRPr="00C12274">
        <w:rPr>
          <w:sz w:val="16"/>
          <w:szCs w:val="16"/>
        </w:rPr>
        <w:t xml:space="preserve"> RCTs; n=</w:t>
      </w:r>
      <w:r w:rsidR="004A360B">
        <w:rPr>
          <w:sz w:val="16"/>
          <w:szCs w:val="16"/>
        </w:rPr>
        <w:t>7,</w:t>
      </w:r>
      <w:r w:rsidR="00A669A5">
        <w:rPr>
          <w:sz w:val="16"/>
          <w:szCs w:val="16"/>
        </w:rPr>
        <w:t>905</w:t>
      </w:r>
      <w:r w:rsidRPr="00C12274">
        <w:rPr>
          <w:sz w:val="16"/>
          <w:szCs w:val="16"/>
        </w:rPr>
        <w:t xml:space="preserve">; </w:t>
      </w:r>
      <w:r>
        <w:rPr>
          <w:sz w:val="16"/>
          <w:szCs w:val="16"/>
        </w:rPr>
        <w:t>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5</w:t>
      </w:r>
      <w:r w:rsidRPr="00C12274">
        <w:rPr>
          <w:sz w:val="16"/>
          <w:szCs w:val="16"/>
        </w:rPr>
        <w:t xml:space="preserve">.2; page </w:t>
      </w:r>
      <w:r w:rsidRPr="00C12274">
        <w:rPr>
          <w:sz w:val="16"/>
          <w:szCs w:val="16"/>
        </w:rPr>
        <w:fldChar w:fldCharType="begin"/>
      </w:r>
      <w:r w:rsidRPr="00C12274">
        <w:rPr>
          <w:sz w:val="16"/>
          <w:szCs w:val="16"/>
        </w:rPr>
        <w:instrText xml:space="preserve"> PAGEREF _Ref2168000 \h </w:instrText>
      </w:r>
      <w:r w:rsidRPr="00C12274">
        <w:rPr>
          <w:sz w:val="16"/>
          <w:szCs w:val="16"/>
        </w:rPr>
      </w:r>
      <w:r w:rsidRPr="00C12274">
        <w:rPr>
          <w:sz w:val="16"/>
          <w:szCs w:val="16"/>
        </w:rPr>
        <w:fldChar w:fldCharType="separate"/>
      </w:r>
      <w:r w:rsidR="00BA7CBD">
        <w:rPr>
          <w:noProof/>
          <w:sz w:val="16"/>
          <w:szCs w:val="16"/>
        </w:rPr>
        <w:t>424</w:t>
      </w:r>
      <w:r w:rsidRPr="00C12274">
        <w:rPr>
          <w:sz w:val="16"/>
          <w:szCs w:val="16"/>
        </w:rPr>
        <w:fldChar w:fldCharType="end"/>
      </w:r>
      <w:r w:rsidRPr="00C12274">
        <w:t>)</w:t>
      </w:r>
    </w:p>
    <w:p w14:paraId="5DD56D90" w14:textId="44E85513" w:rsidR="00A5540F" w:rsidRDefault="00A5540F" w:rsidP="00A5540F">
      <w:pPr>
        <w:pStyle w:val="bullet"/>
      </w:pPr>
      <w:r>
        <w:t>postnatal weight retention (at last time reported) (</w:t>
      </w:r>
      <w:r w:rsidRPr="00B872CE">
        <w:rPr>
          <w:sz w:val="16"/>
          <w:szCs w:val="16"/>
        </w:rPr>
        <w:t>MD -1.1</w:t>
      </w:r>
      <w:r w:rsidR="00FF064B">
        <w:rPr>
          <w:sz w:val="16"/>
          <w:szCs w:val="16"/>
        </w:rPr>
        <w:t>9</w:t>
      </w:r>
      <w:r w:rsidRPr="00B872CE">
        <w:rPr>
          <w:sz w:val="16"/>
          <w:szCs w:val="16"/>
        </w:rPr>
        <w:t>; 95%CI -1.</w:t>
      </w:r>
      <w:r w:rsidR="00FF064B">
        <w:rPr>
          <w:sz w:val="16"/>
          <w:szCs w:val="16"/>
        </w:rPr>
        <w:t>62</w:t>
      </w:r>
      <w:r w:rsidRPr="00B872CE">
        <w:rPr>
          <w:sz w:val="16"/>
          <w:szCs w:val="16"/>
        </w:rPr>
        <w:t xml:space="preserve"> to -0.</w:t>
      </w:r>
      <w:r w:rsidR="00FF064B">
        <w:rPr>
          <w:sz w:val="16"/>
          <w:szCs w:val="16"/>
        </w:rPr>
        <w:t>76</w:t>
      </w:r>
      <w:r w:rsidRPr="00B872CE">
        <w:rPr>
          <w:sz w:val="16"/>
          <w:szCs w:val="16"/>
        </w:rPr>
        <w:t xml:space="preserve">; </w:t>
      </w:r>
      <w:r w:rsidR="00AF693E">
        <w:rPr>
          <w:sz w:val="16"/>
          <w:szCs w:val="16"/>
        </w:rPr>
        <w:t>11</w:t>
      </w:r>
      <w:r w:rsidRPr="00B872CE">
        <w:rPr>
          <w:sz w:val="16"/>
          <w:szCs w:val="16"/>
        </w:rPr>
        <w:t xml:space="preserve"> RCTs; n=2,</w:t>
      </w:r>
      <w:r w:rsidR="00FF064B">
        <w:rPr>
          <w:sz w:val="16"/>
          <w:szCs w:val="16"/>
        </w:rPr>
        <w:t>483</w:t>
      </w:r>
      <w:r w:rsidRPr="00B872CE">
        <w:rPr>
          <w:sz w:val="16"/>
          <w:szCs w:val="16"/>
        </w:rPr>
        <w:t xml:space="preserve">; moderate </w:t>
      </w:r>
      <w:r w:rsidR="00343BBE">
        <w:rPr>
          <w:sz w:val="16"/>
          <w:szCs w:val="16"/>
        </w:rPr>
        <w:t>certainty</w:t>
      </w:r>
      <w:r w:rsidRPr="00B872CE">
        <w:rPr>
          <w:sz w:val="16"/>
          <w:szCs w:val="16"/>
        </w:rPr>
        <w:t xml:space="preserve">; analysis </w:t>
      </w:r>
      <w:r w:rsidR="00BA7CBD">
        <w:rPr>
          <w:sz w:val="16"/>
          <w:szCs w:val="16"/>
        </w:rPr>
        <w:t>5</w:t>
      </w:r>
      <w:r w:rsidRPr="00B872CE">
        <w:rPr>
          <w:sz w:val="16"/>
          <w:szCs w:val="16"/>
        </w:rPr>
        <w:t>.</w:t>
      </w:r>
      <w:r w:rsidR="00A669A5">
        <w:rPr>
          <w:sz w:val="16"/>
          <w:szCs w:val="16"/>
        </w:rPr>
        <w:t>8</w:t>
      </w:r>
      <w:r w:rsidRPr="00B872CE">
        <w:rPr>
          <w:sz w:val="16"/>
          <w:szCs w:val="16"/>
        </w:rPr>
        <w:t xml:space="preserve">; page </w:t>
      </w:r>
      <w:r w:rsidRPr="00B872CE">
        <w:rPr>
          <w:sz w:val="16"/>
          <w:szCs w:val="16"/>
          <w:highlight w:val="yellow"/>
        </w:rPr>
        <w:fldChar w:fldCharType="begin"/>
      </w:r>
      <w:r w:rsidRPr="00B872CE">
        <w:rPr>
          <w:sz w:val="16"/>
          <w:szCs w:val="16"/>
        </w:rPr>
        <w:instrText xml:space="preserve"> PAGEREF _Ref5615452 \h </w:instrText>
      </w:r>
      <w:r w:rsidRPr="00B872CE">
        <w:rPr>
          <w:sz w:val="16"/>
          <w:szCs w:val="16"/>
          <w:highlight w:val="yellow"/>
        </w:rPr>
      </w:r>
      <w:r w:rsidRPr="00B872CE">
        <w:rPr>
          <w:sz w:val="16"/>
          <w:szCs w:val="16"/>
          <w:highlight w:val="yellow"/>
        </w:rPr>
        <w:fldChar w:fldCharType="separate"/>
      </w:r>
      <w:r w:rsidR="00BA7CBD">
        <w:rPr>
          <w:noProof/>
          <w:sz w:val="16"/>
          <w:szCs w:val="16"/>
        </w:rPr>
        <w:t>427</w:t>
      </w:r>
      <w:r w:rsidRPr="00B872CE">
        <w:rPr>
          <w:sz w:val="16"/>
          <w:szCs w:val="16"/>
          <w:highlight w:val="yellow"/>
        </w:rPr>
        <w:fldChar w:fldCharType="end"/>
      </w:r>
      <w:r>
        <w:t>).</w:t>
      </w:r>
    </w:p>
    <w:p w14:paraId="5FD911A4" w14:textId="77777777" w:rsidR="00A5540F" w:rsidRPr="00C12274" w:rsidRDefault="00A5540F" w:rsidP="00A5540F">
      <w:r>
        <w:t>There was a probable reduction in risk of:</w:t>
      </w:r>
    </w:p>
    <w:p w14:paraId="2586A2BC" w14:textId="577968A5" w:rsidR="00A5540F" w:rsidRPr="00C12274" w:rsidRDefault="00A5540F" w:rsidP="00A5540F">
      <w:pPr>
        <w:pStyle w:val="bullet"/>
      </w:pPr>
      <w:r w:rsidRPr="00C12274">
        <w:t>gestational diabetes (</w:t>
      </w:r>
      <w:r w:rsidRPr="00C12274">
        <w:rPr>
          <w:sz w:val="16"/>
          <w:szCs w:val="16"/>
        </w:rPr>
        <w:t>RR 0.</w:t>
      </w:r>
      <w:r w:rsidR="00A669A5">
        <w:rPr>
          <w:sz w:val="16"/>
          <w:szCs w:val="16"/>
        </w:rPr>
        <w:t>90</w:t>
      </w:r>
      <w:r w:rsidRPr="00C12274">
        <w:rPr>
          <w:sz w:val="16"/>
          <w:szCs w:val="16"/>
        </w:rPr>
        <w:t>; 95%CI 0.</w:t>
      </w:r>
      <w:r w:rsidR="00A669A5">
        <w:rPr>
          <w:sz w:val="16"/>
          <w:szCs w:val="16"/>
        </w:rPr>
        <w:t>81</w:t>
      </w:r>
      <w:r w:rsidR="00A669A5" w:rsidRPr="00C12274">
        <w:rPr>
          <w:sz w:val="16"/>
          <w:szCs w:val="16"/>
        </w:rPr>
        <w:t xml:space="preserve"> </w:t>
      </w:r>
      <w:r w:rsidRPr="00C12274">
        <w:rPr>
          <w:sz w:val="16"/>
          <w:szCs w:val="16"/>
        </w:rPr>
        <w:t xml:space="preserve">to </w:t>
      </w:r>
      <w:r>
        <w:rPr>
          <w:sz w:val="16"/>
          <w:szCs w:val="16"/>
        </w:rPr>
        <w:t>1.0</w:t>
      </w:r>
      <w:r w:rsidR="00FF064B">
        <w:rPr>
          <w:sz w:val="16"/>
          <w:szCs w:val="16"/>
        </w:rPr>
        <w:t>1</w:t>
      </w:r>
      <w:r w:rsidRPr="00C12274">
        <w:rPr>
          <w:sz w:val="16"/>
          <w:szCs w:val="16"/>
        </w:rPr>
        <w:t xml:space="preserve">; </w:t>
      </w:r>
      <w:r>
        <w:rPr>
          <w:sz w:val="16"/>
          <w:szCs w:val="16"/>
        </w:rPr>
        <w:t>2</w:t>
      </w:r>
      <w:r w:rsidR="00A669A5">
        <w:rPr>
          <w:sz w:val="16"/>
          <w:szCs w:val="16"/>
        </w:rPr>
        <w:t>6</w:t>
      </w:r>
      <w:r w:rsidRPr="00C12274">
        <w:rPr>
          <w:sz w:val="16"/>
          <w:szCs w:val="16"/>
        </w:rPr>
        <w:t xml:space="preserve"> RCTs; n=</w:t>
      </w:r>
      <w:r w:rsidR="00A669A5">
        <w:rPr>
          <w:sz w:val="16"/>
          <w:szCs w:val="16"/>
        </w:rPr>
        <w:t>9,011</w:t>
      </w:r>
      <w:r w:rsidRPr="00C12274">
        <w:rPr>
          <w:sz w:val="16"/>
          <w:szCs w:val="16"/>
        </w:rPr>
        <w:t xml:space="preserve">; </w:t>
      </w:r>
      <w:r>
        <w:rPr>
          <w:sz w:val="16"/>
          <w:szCs w:val="16"/>
        </w:rPr>
        <w:t>moderate</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5</w:t>
      </w:r>
      <w:r w:rsidRPr="00C12274">
        <w:rPr>
          <w:sz w:val="16"/>
          <w:szCs w:val="16"/>
        </w:rPr>
        <w:t xml:space="preserve">.3; page </w:t>
      </w:r>
      <w:r w:rsidRPr="00C12274">
        <w:rPr>
          <w:sz w:val="16"/>
          <w:szCs w:val="16"/>
        </w:rPr>
        <w:fldChar w:fldCharType="begin"/>
      </w:r>
      <w:r w:rsidRPr="00C12274">
        <w:rPr>
          <w:sz w:val="16"/>
          <w:szCs w:val="16"/>
        </w:rPr>
        <w:instrText xml:space="preserve"> PAGEREF _Ref2168025 \h </w:instrText>
      </w:r>
      <w:r w:rsidRPr="00C12274">
        <w:rPr>
          <w:sz w:val="16"/>
          <w:szCs w:val="16"/>
        </w:rPr>
      </w:r>
      <w:r w:rsidRPr="00C12274">
        <w:rPr>
          <w:sz w:val="16"/>
          <w:szCs w:val="16"/>
        </w:rPr>
        <w:fldChar w:fldCharType="separate"/>
      </w:r>
      <w:r w:rsidR="00BA7CBD">
        <w:rPr>
          <w:noProof/>
          <w:sz w:val="16"/>
          <w:szCs w:val="16"/>
        </w:rPr>
        <w:t>425</w:t>
      </w:r>
      <w:r w:rsidRPr="00C12274">
        <w:rPr>
          <w:sz w:val="16"/>
          <w:szCs w:val="16"/>
        </w:rPr>
        <w:fldChar w:fldCharType="end"/>
      </w:r>
      <w:r w:rsidRPr="00C12274">
        <w:t>)</w:t>
      </w:r>
    </w:p>
    <w:p w14:paraId="391DDE30" w14:textId="4699A884" w:rsidR="00A5540F" w:rsidRPr="00C12274" w:rsidRDefault="00A5540F" w:rsidP="00A5540F">
      <w:pPr>
        <w:pStyle w:val="bullet"/>
      </w:pPr>
      <w:r w:rsidRPr="00C12274">
        <w:t>caesarean section (</w:t>
      </w:r>
      <w:r w:rsidRPr="00C12274">
        <w:rPr>
          <w:sz w:val="16"/>
          <w:szCs w:val="16"/>
        </w:rPr>
        <w:t>RR 0.</w:t>
      </w:r>
      <w:r>
        <w:rPr>
          <w:sz w:val="16"/>
          <w:szCs w:val="16"/>
        </w:rPr>
        <w:t>9</w:t>
      </w:r>
      <w:r w:rsidR="00FF064B">
        <w:rPr>
          <w:sz w:val="16"/>
          <w:szCs w:val="16"/>
        </w:rPr>
        <w:t>5</w:t>
      </w:r>
      <w:r w:rsidRPr="00C12274">
        <w:rPr>
          <w:sz w:val="16"/>
          <w:szCs w:val="16"/>
        </w:rPr>
        <w:t>; 95%CI 0.</w:t>
      </w:r>
      <w:r>
        <w:rPr>
          <w:sz w:val="16"/>
          <w:szCs w:val="16"/>
        </w:rPr>
        <w:t>8</w:t>
      </w:r>
      <w:r w:rsidR="00FF064B">
        <w:rPr>
          <w:sz w:val="16"/>
          <w:szCs w:val="16"/>
        </w:rPr>
        <w:t>9</w:t>
      </w:r>
      <w:r w:rsidRPr="00C12274">
        <w:rPr>
          <w:sz w:val="16"/>
          <w:szCs w:val="16"/>
        </w:rPr>
        <w:t xml:space="preserve"> to </w:t>
      </w:r>
      <w:r>
        <w:rPr>
          <w:sz w:val="16"/>
          <w:szCs w:val="16"/>
        </w:rPr>
        <w:t>1.0</w:t>
      </w:r>
      <w:r w:rsidR="00A669A5">
        <w:rPr>
          <w:sz w:val="16"/>
          <w:szCs w:val="16"/>
        </w:rPr>
        <w:t>2</w:t>
      </w:r>
      <w:r w:rsidRPr="00C12274">
        <w:rPr>
          <w:sz w:val="16"/>
          <w:szCs w:val="16"/>
        </w:rPr>
        <w:t>; 2</w:t>
      </w:r>
      <w:r w:rsidR="00A669A5">
        <w:rPr>
          <w:sz w:val="16"/>
          <w:szCs w:val="16"/>
        </w:rPr>
        <w:t>5</w:t>
      </w:r>
      <w:r w:rsidRPr="00C12274">
        <w:rPr>
          <w:sz w:val="16"/>
          <w:szCs w:val="16"/>
        </w:rPr>
        <w:t xml:space="preserve"> RCTs; n=</w:t>
      </w:r>
      <w:r w:rsidR="00A669A5">
        <w:rPr>
          <w:sz w:val="16"/>
          <w:szCs w:val="16"/>
        </w:rPr>
        <w:t>9,049</w:t>
      </w:r>
      <w:r w:rsidRPr="00C12274">
        <w:rPr>
          <w:sz w:val="16"/>
          <w:szCs w:val="16"/>
        </w:rPr>
        <w:t xml:space="preserve">; </w:t>
      </w:r>
      <w:r w:rsidR="007633BB">
        <w:rPr>
          <w:sz w:val="16"/>
          <w:szCs w:val="16"/>
        </w:rPr>
        <w:t>low</w:t>
      </w:r>
      <w:r w:rsidR="007633BB"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5</w:t>
      </w:r>
      <w:r w:rsidRPr="00C12274">
        <w:rPr>
          <w:sz w:val="16"/>
          <w:szCs w:val="16"/>
        </w:rPr>
        <w:t xml:space="preserve">.6; page </w:t>
      </w:r>
      <w:r w:rsidRPr="00C12274">
        <w:rPr>
          <w:sz w:val="16"/>
          <w:szCs w:val="16"/>
        </w:rPr>
        <w:fldChar w:fldCharType="begin"/>
      </w:r>
      <w:r w:rsidRPr="00C12274">
        <w:rPr>
          <w:sz w:val="16"/>
          <w:szCs w:val="16"/>
        </w:rPr>
        <w:instrText xml:space="preserve"> PAGEREF _Ref2168506 \h </w:instrText>
      </w:r>
      <w:r w:rsidRPr="00C12274">
        <w:rPr>
          <w:sz w:val="16"/>
          <w:szCs w:val="16"/>
        </w:rPr>
      </w:r>
      <w:r w:rsidRPr="00C12274">
        <w:rPr>
          <w:sz w:val="16"/>
          <w:szCs w:val="16"/>
        </w:rPr>
        <w:fldChar w:fldCharType="separate"/>
      </w:r>
      <w:r w:rsidR="00BA7CBD">
        <w:rPr>
          <w:noProof/>
          <w:sz w:val="16"/>
          <w:szCs w:val="16"/>
        </w:rPr>
        <w:t>426</w:t>
      </w:r>
      <w:r w:rsidRPr="00C12274">
        <w:rPr>
          <w:sz w:val="16"/>
          <w:szCs w:val="16"/>
        </w:rPr>
        <w:fldChar w:fldCharType="end"/>
      </w:r>
      <w:r w:rsidRPr="00C12274">
        <w:t>).</w:t>
      </w:r>
    </w:p>
    <w:p w14:paraId="49E1B3C0" w14:textId="77777777" w:rsidR="00A5540F" w:rsidRDefault="00A5540F" w:rsidP="00A5540F">
      <w:r>
        <w:t>There was no clear difference in:</w:t>
      </w:r>
    </w:p>
    <w:p w14:paraId="72B99E32" w14:textId="2B16A87A" w:rsidR="00A5540F" w:rsidRDefault="00A5540F" w:rsidP="00A5540F">
      <w:pPr>
        <w:pStyle w:val="bullet"/>
      </w:pPr>
      <w:r w:rsidRPr="00C12274">
        <w:t>gestational hypertension (</w:t>
      </w:r>
      <w:r w:rsidRPr="00C12274">
        <w:rPr>
          <w:sz w:val="16"/>
          <w:szCs w:val="16"/>
        </w:rPr>
        <w:t>RR 0.</w:t>
      </w:r>
      <w:r w:rsidR="00E1758C">
        <w:rPr>
          <w:sz w:val="16"/>
          <w:szCs w:val="16"/>
        </w:rPr>
        <w:t>9</w:t>
      </w:r>
      <w:r w:rsidR="00A669A5">
        <w:rPr>
          <w:sz w:val="16"/>
          <w:szCs w:val="16"/>
        </w:rPr>
        <w:t>9</w:t>
      </w:r>
      <w:r w:rsidRPr="00C12274">
        <w:rPr>
          <w:sz w:val="16"/>
          <w:szCs w:val="16"/>
        </w:rPr>
        <w:t>; 95%CI 0.</w:t>
      </w:r>
      <w:r w:rsidR="00A669A5">
        <w:rPr>
          <w:sz w:val="16"/>
          <w:szCs w:val="16"/>
        </w:rPr>
        <w:t>7</w:t>
      </w:r>
      <w:r w:rsidR="00E1758C">
        <w:rPr>
          <w:sz w:val="16"/>
          <w:szCs w:val="16"/>
        </w:rPr>
        <w:t>7</w:t>
      </w:r>
      <w:r w:rsidRPr="00C12274">
        <w:rPr>
          <w:sz w:val="16"/>
          <w:szCs w:val="16"/>
        </w:rPr>
        <w:t xml:space="preserve"> to </w:t>
      </w:r>
      <w:r>
        <w:rPr>
          <w:sz w:val="16"/>
          <w:szCs w:val="16"/>
        </w:rPr>
        <w:t>1.2</w:t>
      </w:r>
      <w:r w:rsidR="00A669A5">
        <w:rPr>
          <w:sz w:val="16"/>
          <w:szCs w:val="16"/>
        </w:rPr>
        <w:t>8</w:t>
      </w:r>
      <w:r w:rsidRPr="00C12274">
        <w:rPr>
          <w:sz w:val="16"/>
          <w:szCs w:val="16"/>
        </w:rPr>
        <w:t xml:space="preserve">; </w:t>
      </w:r>
      <w:r>
        <w:rPr>
          <w:sz w:val="16"/>
          <w:szCs w:val="16"/>
        </w:rPr>
        <w:t>1</w:t>
      </w:r>
      <w:r w:rsidR="00A669A5">
        <w:rPr>
          <w:sz w:val="16"/>
          <w:szCs w:val="16"/>
        </w:rPr>
        <w:t>3</w:t>
      </w:r>
      <w:r w:rsidRPr="00C12274">
        <w:rPr>
          <w:sz w:val="16"/>
          <w:szCs w:val="16"/>
        </w:rPr>
        <w:t xml:space="preserve"> RCTs; n=</w:t>
      </w:r>
      <w:r w:rsidR="00A669A5">
        <w:rPr>
          <w:sz w:val="16"/>
          <w:szCs w:val="16"/>
        </w:rPr>
        <w:t>4,890</w:t>
      </w:r>
      <w:r w:rsidRPr="00C12274">
        <w:rPr>
          <w:sz w:val="16"/>
          <w:szCs w:val="16"/>
        </w:rPr>
        <w:t xml:space="preserve">; </w:t>
      </w:r>
      <w:r>
        <w:rPr>
          <w:sz w:val="16"/>
          <w:szCs w:val="16"/>
        </w:rPr>
        <w:t>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5</w:t>
      </w:r>
      <w:r w:rsidRPr="00C12274">
        <w:rPr>
          <w:sz w:val="16"/>
          <w:szCs w:val="16"/>
        </w:rPr>
        <w:t xml:space="preserve">.4; page </w:t>
      </w:r>
      <w:r w:rsidRPr="00C12274">
        <w:rPr>
          <w:sz w:val="16"/>
          <w:szCs w:val="16"/>
        </w:rPr>
        <w:fldChar w:fldCharType="begin"/>
      </w:r>
      <w:r w:rsidRPr="00C12274">
        <w:rPr>
          <w:sz w:val="16"/>
          <w:szCs w:val="16"/>
        </w:rPr>
        <w:instrText xml:space="preserve"> PAGEREF _Ref2168446 \h </w:instrText>
      </w:r>
      <w:r w:rsidRPr="00C12274">
        <w:rPr>
          <w:sz w:val="16"/>
          <w:szCs w:val="16"/>
        </w:rPr>
      </w:r>
      <w:r w:rsidRPr="00C12274">
        <w:rPr>
          <w:sz w:val="16"/>
          <w:szCs w:val="16"/>
        </w:rPr>
        <w:fldChar w:fldCharType="separate"/>
      </w:r>
      <w:r w:rsidR="00BA7CBD">
        <w:rPr>
          <w:noProof/>
          <w:sz w:val="16"/>
          <w:szCs w:val="16"/>
        </w:rPr>
        <w:t>425</w:t>
      </w:r>
      <w:r w:rsidRPr="00C12274">
        <w:rPr>
          <w:sz w:val="16"/>
          <w:szCs w:val="16"/>
        </w:rPr>
        <w:fldChar w:fldCharType="end"/>
      </w:r>
      <w:r w:rsidRPr="00C12274">
        <w:t>)</w:t>
      </w:r>
    </w:p>
    <w:p w14:paraId="252B1813" w14:textId="5AD902B1" w:rsidR="00A669A5" w:rsidRPr="008E1F6E" w:rsidRDefault="00A5540F" w:rsidP="00A5540F">
      <w:pPr>
        <w:pStyle w:val="bullet"/>
      </w:pPr>
      <w:r>
        <w:t>pre-eclampsia (</w:t>
      </w:r>
      <w:r w:rsidRPr="000C72DB">
        <w:rPr>
          <w:sz w:val="16"/>
          <w:szCs w:val="16"/>
        </w:rPr>
        <w:t>RR 1.0</w:t>
      </w:r>
      <w:r w:rsidR="00303B86">
        <w:rPr>
          <w:sz w:val="16"/>
          <w:szCs w:val="16"/>
        </w:rPr>
        <w:t>6</w:t>
      </w:r>
      <w:r w:rsidRPr="000C72DB">
        <w:rPr>
          <w:sz w:val="16"/>
          <w:szCs w:val="16"/>
        </w:rPr>
        <w:t>; 95%CI 0.</w:t>
      </w:r>
      <w:r w:rsidR="00303B86" w:rsidRPr="000C72DB">
        <w:rPr>
          <w:sz w:val="16"/>
          <w:szCs w:val="16"/>
        </w:rPr>
        <w:t>8</w:t>
      </w:r>
      <w:r w:rsidR="00303B86">
        <w:rPr>
          <w:sz w:val="16"/>
          <w:szCs w:val="16"/>
        </w:rPr>
        <w:t>7</w:t>
      </w:r>
      <w:r w:rsidR="00303B86" w:rsidRPr="000C72DB">
        <w:rPr>
          <w:sz w:val="16"/>
          <w:szCs w:val="16"/>
        </w:rPr>
        <w:t xml:space="preserve"> </w:t>
      </w:r>
      <w:r w:rsidRPr="000C72DB">
        <w:rPr>
          <w:sz w:val="16"/>
          <w:szCs w:val="16"/>
        </w:rPr>
        <w:t>to 1.</w:t>
      </w:r>
      <w:r w:rsidR="00E1758C">
        <w:rPr>
          <w:sz w:val="16"/>
          <w:szCs w:val="16"/>
        </w:rPr>
        <w:t>29</w:t>
      </w:r>
      <w:r w:rsidRPr="000C72DB">
        <w:rPr>
          <w:sz w:val="16"/>
          <w:szCs w:val="16"/>
        </w:rPr>
        <w:t xml:space="preserve">; </w:t>
      </w:r>
      <w:r w:rsidR="00303B86">
        <w:rPr>
          <w:sz w:val="16"/>
          <w:szCs w:val="16"/>
        </w:rPr>
        <w:t>14</w:t>
      </w:r>
      <w:r w:rsidR="00303B86" w:rsidRPr="000C72DB">
        <w:rPr>
          <w:sz w:val="16"/>
          <w:szCs w:val="16"/>
        </w:rPr>
        <w:t xml:space="preserve"> </w:t>
      </w:r>
      <w:r w:rsidRPr="000C72DB">
        <w:rPr>
          <w:sz w:val="16"/>
          <w:szCs w:val="16"/>
        </w:rPr>
        <w:t>RCTs; n=</w:t>
      </w:r>
      <w:r w:rsidR="00303B86">
        <w:rPr>
          <w:sz w:val="16"/>
          <w:szCs w:val="16"/>
        </w:rPr>
        <w:t>7,069</w:t>
      </w:r>
      <w:r w:rsidRPr="000C72DB">
        <w:rPr>
          <w:sz w:val="16"/>
          <w:szCs w:val="16"/>
        </w:rPr>
        <w:t xml:space="preserve">; low </w:t>
      </w:r>
      <w:r w:rsidR="00343BBE">
        <w:rPr>
          <w:sz w:val="16"/>
          <w:szCs w:val="16"/>
        </w:rPr>
        <w:t>certainty</w:t>
      </w:r>
      <w:r w:rsidRPr="000C72DB">
        <w:rPr>
          <w:sz w:val="16"/>
          <w:szCs w:val="16"/>
        </w:rPr>
        <w:t>; analysi</w:t>
      </w:r>
      <w:r w:rsidRPr="00B872CE">
        <w:rPr>
          <w:sz w:val="16"/>
          <w:szCs w:val="16"/>
        </w:rPr>
        <w:t xml:space="preserve">s </w:t>
      </w:r>
      <w:r w:rsidR="00BA7CBD">
        <w:rPr>
          <w:sz w:val="16"/>
          <w:szCs w:val="16"/>
        </w:rPr>
        <w:t>5</w:t>
      </w:r>
      <w:r w:rsidRPr="00B872CE">
        <w:rPr>
          <w:sz w:val="16"/>
          <w:szCs w:val="16"/>
        </w:rPr>
        <w:t xml:space="preserve">.5; page </w:t>
      </w:r>
      <w:r w:rsidRPr="00B872CE">
        <w:rPr>
          <w:sz w:val="16"/>
          <w:szCs w:val="16"/>
        </w:rPr>
        <w:fldChar w:fldCharType="begin"/>
      </w:r>
      <w:r w:rsidRPr="00B872CE">
        <w:rPr>
          <w:sz w:val="16"/>
          <w:szCs w:val="16"/>
        </w:rPr>
        <w:instrText xml:space="preserve"> PAGEREF _Ref5615491 \h </w:instrText>
      </w:r>
      <w:r w:rsidRPr="00B872CE">
        <w:rPr>
          <w:sz w:val="16"/>
          <w:szCs w:val="16"/>
        </w:rPr>
      </w:r>
      <w:r w:rsidRPr="00B872CE">
        <w:rPr>
          <w:sz w:val="16"/>
          <w:szCs w:val="16"/>
        </w:rPr>
        <w:fldChar w:fldCharType="separate"/>
      </w:r>
      <w:r w:rsidR="00303B86">
        <w:rPr>
          <w:noProof/>
          <w:sz w:val="16"/>
          <w:szCs w:val="16"/>
        </w:rPr>
        <w:t>487</w:t>
      </w:r>
      <w:r w:rsidRPr="00B872CE">
        <w:rPr>
          <w:sz w:val="16"/>
          <w:szCs w:val="16"/>
        </w:rPr>
        <w:fldChar w:fldCharType="end"/>
      </w:r>
      <w:r>
        <w:rPr>
          <w:sz w:val="16"/>
          <w:szCs w:val="16"/>
        </w:rPr>
        <w:t>)</w:t>
      </w:r>
    </w:p>
    <w:p w14:paraId="55F6CF03" w14:textId="52492E98" w:rsidR="00A5540F" w:rsidRPr="00C12274" w:rsidRDefault="00A669A5" w:rsidP="00A5540F">
      <w:pPr>
        <w:pStyle w:val="bullet"/>
      </w:pPr>
      <w:r w:rsidRPr="008E1F6E">
        <w:t>antenatal depression</w:t>
      </w:r>
      <w:r>
        <w:t xml:space="preserve"> (</w:t>
      </w:r>
      <w:r w:rsidRPr="000737A5">
        <w:rPr>
          <w:sz w:val="16"/>
          <w:szCs w:val="16"/>
        </w:rPr>
        <w:t xml:space="preserve">RR </w:t>
      </w:r>
      <w:r>
        <w:rPr>
          <w:sz w:val="16"/>
          <w:szCs w:val="16"/>
        </w:rPr>
        <w:t>0.99</w:t>
      </w:r>
      <w:r w:rsidRPr="000737A5">
        <w:rPr>
          <w:sz w:val="16"/>
          <w:szCs w:val="16"/>
        </w:rPr>
        <w:t>; 95%CI 0.</w:t>
      </w:r>
      <w:r>
        <w:rPr>
          <w:sz w:val="16"/>
          <w:szCs w:val="16"/>
        </w:rPr>
        <w:t>80</w:t>
      </w:r>
      <w:r w:rsidRPr="000737A5">
        <w:rPr>
          <w:sz w:val="16"/>
          <w:szCs w:val="16"/>
        </w:rPr>
        <w:t xml:space="preserve"> to 1.</w:t>
      </w:r>
      <w:r>
        <w:rPr>
          <w:sz w:val="16"/>
          <w:szCs w:val="16"/>
        </w:rPr>
        <w:t xml:space="preserve">22; 2 RCTs; n=2,908; low certainty; analysis 5.7; </w:t>
      </w:r>
      <w:r w:rsidR="00303B86">
        <w:rPr>
          <w:sz w:val="16"/>
          <w:szCs w:val="16"/>
        </w:rPr>
        <w:t xml:space="preserve">page </w:t>
      </w:r>
      <w:r w:rsidR="00303B86">
        <w:rPr>
          <w:sz w:val="16"/>
          <w:szCs w:val="16"/>
        </w:rPr>
        <w:fldChar w:fldCharType="begin"/>
      </w:r>
      <w:r w:rsidR="00303B86">
        <w:rPr>
          <w:sz w:val="16"/>
          <w:szCs w:val="16"/>
        </w:rPr>
        <w:instrText xml:space="preserve"> PAGEREF _Ref40449458 \h </w:instrText>
      </w:r>
      <w:r w:rsidR="00303B86">
        <w:rPr>
          <w:sz w:val="16"/>
          <w:szCs w:val="16"/>
        </w:rPr>
      </w:r>
      <w:r w:rsidR="00303B86">
        <w:rPr>
          <w:sz w:val="16"/>
          <w:szCs w:val="16"/>
        </w:rPr>
        <w:fldChar w:fldCharType="separate"/>
      </w:r>
      <w:r w:rsidR="00303B86">
        <w:rPr>
          <w:noProof/>
          <w:sz w:val="16"/>
          <w:szCs w:val="16"/>
        </w:rPr>
        <w:t>488</w:t>
      </w:r>
      <w:r w:rsidR="00303B86">
        <w:rPr>
          <w:sz w:val="16"/>
          <w:szCs w:val="16"/>
        </w:rPr>
        <w:fldChar w:fldCharType="end"/>
      </w:r>
      <w:r>
        <w:t>)</w:t>
      </w:r>
    </w:p>
    <w:p w14:paraId="787080D3" w14:textId="4E1465A8" w:rsidR="00A5540F" w:rsidRPr="00C12274" w:rsidRDefault="00A5540F" w:rsidP="00A5540F">
      <w:r w:rsidRPr="00C12274">
        <w:t xml:space="preserve">A single study </w:t>
      </w:r>
      <w:r>
        <w:t>found no clear difference in antenatal anxiety (</w:t>
      </w:r>
      <w:r>
        <w:rPr>
          <w:sz w:val="16"/>
          <w:szCs w:val="16"/>
        </w:rPr>
        <w:t>RR 1.1</w:t>
      </w:r>
      <w:r w:rsidRPr="000C72DB">
        <w:rPr>
          <w:sz w:val="16"/>
          <w:szCs w:val="16"/>
        </w:rPr>
        <w:t>4; 95%CI 0.88 to 1.46; n=1,382</w:t>
      </w:r>
      <w:r>
        <w:t>) or postnatal (at 4 months) depression (</w:t>
      </w:r>
      <w:r w:rsidRPr="000C72DB">
        <w:rPr>
          <w:sz w:val="16"/>
          <w:szCs w:val="16"/>
        </w:rPr>
        <w:t>RR</w:t>
      </w:r>
      <w:r>
        <w:rPr>
          <w:sz w:val="16"/>
          <w:szCs w:val="16"/>
        </w:rPr>
        <w:t xml:space="preserve"> </w:t>
      </w:r>
      <w:r w:rsidRPr="000C72DB">
        <w:rPr>
          <w:sz w:val="16"/>
          <w:szCs w:val="16"/>
        </w:rPr>
        <w:t>1.20; 95%CI 0.8 to 1.79; n=1,221</w:t>
      </w:r>
      <w:r>
        <w:t>) or anxiety (</w:t>
      </w:r>
      <w:r w:rsidRPr="000C72DB">
        <w:rPr>
          <w:sz w:val="16"/>
          <w:szCs w:val="16"/>
        </w:rPr>
        <w:t>RR 1.24; 95%CI 0.92 to 1.67; n=1,220</w:t>
      </w:r>
      <w:r>
        <w:t>).</w:t>
      </w:r>
    </w:p>
    <w:p w14:paraId="0F0B1D96" w14:textId="77777777" w:rsidR="00A5540F" w:rsidRPr="00C12274" w:rsidRDefault="00A5540F" w:rsidP="00A5540F">
      <w:pPr>
        <w:pStyle w:val="Heading4"/>
      </w:pPr>
      <w:bookmarkStart w:id="221" w:name="_Toc5978448"/>
      <w:r w:rsidRPr="00C12274">
        <w:t>Infant outcomes</w:t>
      </w:r>
      <w:bookmarkEnd w:id="221"/>
    </w:p>
    <w:p w14:paraId="287C6E37" w14:textId="1631F1A7" w:rsidR="00A5540F" w:rsidRPr="00945318" w:rsidRDefault="00A5540F" w:rsidP="008E1F6E">
      <w:r w:rsidRPr="00C12274">
        <w:t xml:space="preserve">Compared to </w:t>
      </w:r>
      <w:r>
        <w:t>usual care</w:t>
      </w:r>
      <w:r w:rsidRPr="00C12274">
        <w:t>, among women in the intervention groups, there was a clear reduction in risk of</w:t>
      </w:r>
      <w:r w:rsidR="00B04E28">
        <w:t xml:space="preserve"> </w:t>
      </w:r>
      <w:r w:rsidRPr="00945318">
        <w:t>macrosomia &gt;4,500 g (</w:t>
      </w:r>
      <w:r w:rsidRPr="00945318">
        <w:rPr>
          <w:sz w:val="16"/>
          <w:szCs w:val="16"/>
        </w:rPr>
        <w:t xml:space="preserve">RR 0.67; 95%CI 0.46 to 0.97; 5 RCTs; n=3,435; moderate </w:t>
      </w:r>
      <w:r w:rsidR="00343BBE">
        <w:rPr>
          <w:sz w:val="16"/>
          <w:szCs w:val="16"/>
        </w:rPr>
        <w:t>certainty</w:t>
      </w:r>
      <w:r w:rsidR="00BA7CBD">
        <w:rPr>
          <w:sz w:val="16"/>
          <w:szCs w:val="16"/>
        </w:rPr>
        <w:t>; analysis 5</w:t>
      </w:r>
      <w:r>
        <w:rPr>
          <w:sz w:val="16"/>
          <w:szCs w:val="16"/>
        </w:rPr>
        <w:t>.1</w:t>
      </w:r>
      <w:r w:rsidR="00C05019">
        <w:rPr>
          <w:sz w:val="16"/>
          <w:szCs w:val="16"/>
        </w:rPr>
        <w:t>1</w:t>
      </w:r>
      <w:r>
        <w:rPr>
          <w:sz w:val="16"/>
          <w:szCs w:val="16"/>
        </w:rPr>
        <w:t xml:space="preserve">; page </w:t>
      </w:r>
      <w:r>
        <w:rPr>
          <w:sz w:val="16"/>
          <w:szCs w:val="16"/>
        </w:rPr>
        <w:fldChar w:fldCharType="begin"/>
      </w:r>
      <w:r>
        <w:rPr>
          <w:sz w:val="16"/>
          <w:szCs w:val="16"/>
        </w:rPr>
        <w:instrText xml:space="preserve"> PAGEREF _Ref9000948 \h </w:instrText>
      </w:r>
      <w:r>
        <w:rPr>
          <w:sz w:val="16"/>
          <w:szCs w:val="16"/>
        </w:rPr>
      </w:r>
      <w:r>
        <w:rPr>
          <w:sz w:val="16"/>
          <w:szCs w:val="16"/>
        </w:rPr>
        <w:fldChar w:fldCharType="separate"/>
      </w:r>
      <w:r w:rsidR="00BA7CBD">
        <w:rPr>
          <w:noProof/>
          <w:sz w:val="16"/>
          <w:szCs w:val="16"/>
        </w:rPr>
        <w:t>428</w:t>
      </w:r>
      <w:r>
        <w:rPr>
          <w:sz w:val="16"/>
          <w:szCs w:val="16"/>
        </w:rPr>
        <w:fldChar w:fldCharType="end"/>
      </w:r>
      <w:r w:rsidRPr="00945318">
        <w:t>).</w:t>
      </w:r>
    </w:p>
    <w:p w14:paraId="489CEFA0" w14:textId="77777777" w:rsidR="00A5540F" w:rsidRDefault="00A5540F" w:rsidP="00A5540F">
      <w:r>
        <w:t>There was a probable reduction in risk of:</w:t>
      </w:r>
    </w:p>
    <w:p w14:paraId="0B1C05DA" w14:textId="6AC70524" w:rsidR="00A669A5" w:rsidRDefault="00A669A5" w:rsidP="00A669A5">
      <w:pPr>
        <w:pStyle w:val="bullet"/>
      </w:pPr>
      <w:r>
        <w:t>preterm birth (</w:t>
      </w:r>
      <w:r w:rsidRPr="00062CDA">
        <w:rPr>
          <w:sz w:val="16"/>
          <w:szCs w:val="16"/>
        </w:rPr>
        <w:t>RR 0.8</w:t>
      </w:r>
      <w:r>
        <w:rPr>
          <w:sz w:val="16"/>
          <w:szCs w:val="16"/>
        </w:rPr>
        <w:t>5</w:t>
      </w:r>
      <w:r w:rsidRPr="00062CDA">
        <w:rPr>
          <w:sz w:val="16"/>
          <w:szCs w:val="16"/>
        </w:rPr>
        <w:t>; 95%CI 0.</w:t>
      </w:r>
      <w:r>
        <w:rPr>
          <w:sz w:val="16"/>
          <w:szCs w:val="16"/>
        </w:rPr>
        <w:t>72</w:t>
      </w:r>
      <w:r w:rsidRPr="00062CDA">
        <w:rPr>
          <w:sz w:val="16"/>
          <w:szCs w:val="16"/>
        </w:rPr>
        <w:t xml:space="preserve"> to </w:t>
      </w:r>
      <w:r>
        <w:rPr>
          <w:sz w:val="16"/>
          <w:szCs w:val="16"/>
        </w:rPr>
        <w:t>1.01</w:t>
      </w:r>
      <w:r w:rsidRPr="00062CDA">
        <w:rPr>
          <w:sz w:val="16"/>
          <w:szCs w:val="16"/>
        </w:rPr>
        <w:t>; 1</w:t>
      </w:r>
      <w:r>
        <w:rPr>
          <w:sz w:val="16"/>
          <w:szCs w:val="16"/>
        </w:rPr>
        <w:t>8</w:t>
      </w:r>
      <w:r w:rsidRPr="00062CDA">
        <w:rPr>
          <w:sz w:val="16"/>
          <w:szCs w:val="16"/>
        </w:rPr>
        <w:t xml:space="preserve"> RCTs; n=</w:t>
      </w:r>
      <w:r>
        <w:rPr>
          <w:sz w:val="16"/>
          <w:szCs w:val="16"/>
        </w:rPr>
        <w:t xml:space="preserve">7,497; moderate </w:t>
      </w:r>
      <w:r w:rsidR="00343BBE">
        <w:rPr>
          <w:sz w:val="16"/>
          <w:szCs w:val="16"/>
        </w:rPr>
        <w:t>certainty</w:t>
      </w:r>
      <w:r>
        <w:rPr>
          <w:sz w:val="16"/>
          <w:szCs w:val="16"/>
        </w:rPr>
        <w:t xml:space="preserve">; analysis 5.9; page </w:t>
      </w:r>
      <w:r>
        <w:rPr>
          <w:sz w:val="16"/>
          <w:szCs w:val="16"/>
        </w:rPr>
        <w:fldChar w:fldCharType="begin"/>
      </w:r>
      <w:r>
        <w:rPr>
          <w:sz w:val="16"/>
          <w:szCs w:val="16"/>
        </w:rPr>
        <w:instrText xml:space="preserve"> PAGEREF _Ref5615556 \h </w:instrText>
      </w:r>
      <w:r>
        <w:rPr>
          <w:sz w:val="16"/>
          <w:szCs w:val="16"/>
        </w:rPr>
      </w:r>
      <w:r>
        <w:rPr>
          <w:sz w:val="16"/>
          <w:szCs w:val="16"/>
        </w:rPr>
        <w:fldChar w:fldCharType="separate"/>
      </w:r>
      <w:r>
        <w:rPr>
          <w:noProof/>
          <w:sz w:val="16"/>
          <w:szCs w:val="16"/>
        </w:rPr>
        <w:t>427</w:t>
      </w:r>
      <w:r>
        <w:rPr>
          <w:sz w:val="16"/>
          <w:szCs w:val="16"/>
        </w:rPr>
        <w:fldChar w:fldCharType="end"/>
      </w:r>
      <w:r>
        <w:t>)</w:t>
      </w:r>
    </w:p>
    <w:p w14:paraId="47A19714" w14:textId="4F845407" w:rsidR="00A5540F" w:rsidRPr="00945318" w:rsidRDefault="00A5540F" w:rsidP="00A5540F">
      <w:pPr>
        <w:pStyle w:val="bullet"/>
      </w:pPr>
      <w:r w:rsidRPr="00945318">
        <w:t>macrosomia &gt;4,000 g (</w:t>
      </w:r>
      <w:r w:rsidRPr="00945318">
        <w:rPr>
          <w:sz w:val="16"/>
          <w:szCs w:val="16"/>
        </w:rPr>
        <w:t>RR 0.9</w:t>
      </w:r>
      <w:r w:rsidR="00865024">
        <w:rPr>
          <w:sz w:val="16"/>
          <w:szCs w:val="16"/>
        </w:rPr>
        <w:t>1</w:t>
      </w:r>
      <w:r w:rsidRPr="00945318">
        <w:rPr>
          <w:sz w:val="16"/>
          <w:szCs w:val="16"/>
        </w:rPr>
        <w:t>; 95%CI 0.82 to 1.0</w:t>
      </w:r>
      <w:r w:rsidR="00A669A5">
        <w:rPr>
          <w:sz w:val="16"/>
          <w:szCs w:val="16"/>
        </w:rPr>
        <w:t>1</w:t>
      </w:r>
      <w:r w:rsidRPr="00945318">
        <w:rPr>
          <w:sz w:val="16"/>
          <w:szCs w:val="16"/>
        </w:rPr>
        <w:t xml:space="preserve">; </w:t>
      </w:r>
      <w:r w:rsidR="00865024">
        <w:rPr>
          <w:sz w:val="16"/>
          <w:szCs w:val="16"/>
        </w:rPr>
        <w:t>1</w:t>
      </w:r>
      <w:r w:rsidR="00A669A5">
        <w:rPr>
          <w:sz w:val="16"/>
          <w:szCs w:val="16"/>
        </w:rPr>
        <w:t>7</w:t>
      </w:r>
      <w:r w:rsidR="00865024">
        <w:rPr>
          <w:sz w:val="16"/>
          <w:szCs w:val="16"/>
        </w:rPr>
        <w:t xml:space="preserve"> RCTs; n=</w:t>
      </w:r>
      <w:r w:rsidR="00C05019">
        <w:rPr>
          <w:sz w:val="16"/>
          <w:szCs w:val="16"/>
        </w:rPr>
        <w:t>7,644</w:t>
      </w:r>
      <w:r w:rsidR="00865024">
        <w:rPr>
          <w:sz w:val="16"/>
          <w:szCs w:val="16"/>
        </w:rPr>
        <w:t xml:space="preserve">; </w:t>
      </w:r>
      <w:r w:rsidR="007633BB">
        <w:rPr>
          <w:sz w:val="16"/>
          <w:szCs w:val="16"/>
        </w:rPr>
        <w:t>low</w:t>
      </w:r>
      <w:r w:rsidR="007633BB" w:rsidRPr="00945318">
        <w:rPr>
          <w:sz w:val="16"/>
          <w:szCs w:val="16"/>
        </w:rPr>
        <w:t xml:space="preserve"> </w:t>
      </w:r>
      <w:r w:rsidR="00343BBE">
        <w:rPr>
          <w:sz w:val="16"/>
          <w:szCs w:val="16"/>
        </w:rPr>
        <w:t>certainty</w:t>
      </w:r>
      <w:r w:rsidR="00BA7CBD">
        <w:rPr>
          <w:sz w:val="16"/>
          <w:szCs w:val="16"/>
        </w:rPr>
        <w:t>; analysis 5</w:t>
      </w:r>
      <w:r>
        <w:rPr>
          <w:sz w:val="16"/>
          <w:szCs w:val="16"/>
        </w:rPr>
        <w:t>.1</w:t>
      </w:r>
      <w:r w:rsidR="00C05019">
        <w:rPr>
          <w:sz w:val="16"/>
          <w:szCs w:val="16"/>
        </w:rPr>
        <w:t>1</w:t>
      </w:r>
      <w:r>
        <w:rPr>
          <w:sz w:val="16"/>
          <w:szCs w:val="16"/>
        </w:rPr>
        <w:t xml:space="preserve">; page </w:t>
      </w:r>
      <w:r>
        <w:rPr>
          <w:sz w:val="16"/>
          <w:szCs w:val="16"/>
        </w:rPr>
        <w:fldChar w:fldCharType="begin"/>
      </w:r>
      <w:r>
        <w:rPr>
          <w:sz w:val="16"/>
          <w:szCs w:val="16"/>
        </w:rPr>
        <w:instrText xml:space="preserve"> PAGEREF _Ref9000948 \h </w:instrText>
      </w:r>
      <w:r>
        <w:rPr>
          <w:sz w:val="16"/>
          <w:szCs w:val="16"/>
        </w:rPr>
      </w:r>
      <w:r>
        <w:rPr>
          <w:sz w:val="16"/>
          <w:szCs w:val="16"/>
        </w:rPr>
        <w:fldChar w:fldCharType="separate"/>
      </w:r>
      <w:r w:rsidR="00BA7CBD">
        <w:rPr>
          <w:noProof/>
          <w:sz w:val="16"/>
          <w:szCs w:val="16"/>
        </w:rPr>
        <w:t>428</w:t>
      </w:r>
      <w:r>
        <w:rPr>
          <w:sz w:val="16"/>
          <w:szCs w:val="16"/>
        </w:rPr>
        <w:fldChar w:fldCharType="end"/>
      </w:r>
      <w:r w:rsidRPr="00945318">
        <w:t>)</w:t>
      </w:r>
    </w:p>
    <w:p w14:paraId="1D2DBED2" w14:textId="7C99030F" w:rsidR="00A5540F" w:rsidRPr="00C12274" w:rsidRDefault="00A5540F" w:rsidP="00A5540F">
      <w:pPr>
        <w:pStyle w:val="bullet"/>
      </w:pPr>
      <w:r w:rsidRPr="00C12274">
        <w:t>low birth weight (</w:t>
      </w:r>
      <w:r w:rsidRPr="00C12274">
        <w:rPr>
          <w:sz w:val="16"/>
          <w:szCs w:val="16"/>
        </w:rPr>
        <w:t>RR 0.</w:t>
      </w:r>
      <w:r w:rsidR="00C05019">
        <w:rPr>
          <w:sz w:val="16"/>
          <w:szCs w:val="16"/>
        </w:rPr>
        <w:t>87</w:t>
      </w:r>
      <w:r w:rsidRPr="00C12274">
        <w:rPr>
          <w:sz w:val="16"/>
          <w:szCs w:val="16"/>
        </w:rPr>
        <w:t>; 95%CI 0.</w:t>
      </w:r>
      <w:r w:rsidR="00C05019">
        <w:rPr>
          <w:sz w:val="16"/>
          <w:szCs w:val="16"/>
        </w:rPr>
        <w:t>65</w:t>
      </w:r>
      <w:r w:rsidRPr="00C12274">
        <w:rPr>
          <w:sz w:val="16"/>
          <w:szCs w:val="16"/>
        </w:rPr>
        <w:t xml:space="preserve"> to 1.</w:t>
      </w:r>
      <w:r w:rsidR="00C05019">
        <w:rPr>
          <w:sz w:val="16"/>
          <w:szCs w:val="16"/>
        </w:rPr>
        <w:t>17</w:t>
      </w:r>
      <w:r w:rsidRPr="00C12274">
        <w:rPr>
          <w:sz w:val="16"/>
          <w:szCs w:val="16"/>
        </w:rPr>
        <w:t xml:space="preserve">; </w:t>
      </w:r>
      <w:r w:rsidR="00F6067E">
        <w:rPr>
          <w:sz w:val="16"/>
          <w:szCs w:val="16"/>
        </w:rPr>
        <w:t>3</w:t>
      </w:r>
      <w:r w:rsidRPr="00C12274">
        <w:rPr>
          <w:sz w:val="16"/>
          <w:szCs w:val="16"/>
        </w:rPr>
        <w:t> RCTs; n=</w:t>
      </w:r>
      <w:r w:rsidR="00F6067E">
        <w:rPr>
          <w:sz w:val="16"/>
          <w:szCs w:val="16"/>
        </w:rPr>
        <w:t>3,</w:t>
      </w:r>
      <w:r w:rsidR="00C05019">
        <w:rPr>
          <w:sz w:val="16"/>
          <w:szCs w:val="16"/>
        </w:rPr>
        <w:t>665</w:t>
      </w:r>
      <w:r w:rsidRPr="00C12274">
        <w:rPr>
          <w:sz w:val="16"/>
          <w:szCs w:val="16"/>
        </w:rPr>
        <w:t xml:space="preserve">; </w:t>
      </w:r>
      <w:r>
        <w:rPr>
          <w:sz w:val="16"/>
          <w:szCs w:val="16"/>
        </w:rPr>
        <w:t>low</w:t>
      </w:r>
      <w:r w:rsidRPr="00C12274">
        <w:rPr>
          <w:sz w:val="16"/>
          <w:szCs w:val="16"/>
        </w:rPr>
        <w:t xml:space="preserve"> </w:t>
      </w:r>
      <w:r w:rsidR="00343BBE">
        <w:rPr>
          <w:sz w:val="16"/>
          <w:szCs w:val="16"/>
        </w:rPr>
        <w:t>certainty</w:t>
      </w:r>
      <w:r w:rsidRPr="00C12274">
        <w:rPr>
          <w:sz w:val="16"/>
          <w:szCs w:val="16"/>
        </w:rPr>
        <w:t xml:space="preserve">; analysis </w:t>
      </w:r>
      <w:r w:rsidR="00BA7CBD">
        <w:rPr>
          <w:sz w:val="16"/>
          <w:szCs w:val="16"/>
        </w:rPr>
        <w:t>5</w:t>
      </w:r>
      <w:r w:rsidRPr="00C12274">
        <w:rPr>
          <w:sz w:val="16"/>
          <w:szCs w:val="16"/>
        </w:rPr>
        <w:t>.</w:t>
      </w:r>
      <w:r w:rsidR="00C05019">
        <w:rPr>
          <w:sz w:val="16"/>
          <w:szCs w:val="16"/>
        </w:rPr>
        <w:t>10</w:t>
      </w:r>
      <w:r w:rsidRPr="00C12274">
        <w:rPr>
          <w:sz w:val="16"/>
          <w:szCs w:val="16"/>
        </w:rPr>
        <w:t xml:space="preserve">; page </w:t>
      </w:r>
      <w:r w:rsidRPr="00C12274">
        <w:rPr>
          <w:sz w:val="16"/>
          <w:szCs w:val="16"/>
        </w:rPr>
        <w:fldChar w:fldCharType="begin"/>
      </w:r>
      <w:r w:rsidRPr="00C12274">
        <w:rPr>
          <w:sz w:val="16"/>
          <w:szCs w:val="16"/>
        </w:rPr>
        <w:instrText xml:space="preserve"> PAGEREF _Ref2168616 \h </w:instrText>
      </w:r>
      <w:r w:rsidRPr="00C12274">
        <w:rPr>
          <w:sz w:val="16"/>
          <w:szCs w:val="16"/>
        </w:rPr>
      </w:r>
      <w:r w:rsidRPr="00C12274">
        <w:rPr>
          <w:sz w:val="16"/>
          <w:szCs w:val="16"/>
        </w:rPr>
        <w:fldChar w:fldCharType="separate"/>
      </w:r>
      <w:r w:rsidR="00BA7CBD">
        <w:rPr>
          <w:noProof/>
          <w:sz w:val="16"/>
          <w:szCs w:val="16"/>
        </w:rPr>
        <w:t>428</w:t>
      </w:r>
      <w:r w:rsidRPr="00C12274">
        <w:rPr>
          <w:sz w:val="16"/>
          <w:szCs w:val="16"/>
        </w:rPr>
        <w:fldChar w:fldCharType="end"/>
      </w:r>
      <w:r w:rsidRPr="00C12274">
        <w:t>)</w:t>
      </w:r>
    </w:p>
    <w:p w14:paraId="7EFE4EFC" w14:textId="628AE1BC" w:rsidR="00A5540F" w:rsidRPr="00C12274" w:rsidRDefault="00A5540F" w:rsidP="00A5540F">
      <w:pPr>
        <w:pStyle w:val="bullet"/>
      </w:pPr>
      <w:r w:rsidRPr="00C12274">
        <w:t>large for gestational age (</w:t>
      </w:r>
      <w:r w:rsidRPr="00C12274">
        <w:rPr>
          <w:sz w:val="16"/>
          <w:szCs w:val="16"/>
        </w:rPr>
        <w:t>RR 0.</w:t>
      </w:r>
      <w:r w:rsidR="00F6067E">
        <w:rPr>
          <w:sz w:val="16"/>
          <w:szCs w:val="16"/>
        </w:rPr>
        <w:t>89</w:t>
      </w:r>
      <w:r w:rsidRPr="00C12274">
        <w:rPr>
          <w:sz w:val="16"/>
          <w:szCs w:val="16"/>
        </w:rPr>
        <w:t>; 95%CI 0.</w:t>
      </w:r>
      <w:r w:rsidR="00F6067E">
        <w:rPr>
          <w:sz w:val="16"/>
          <w:szCs w:val="16"/>
        </w:rPr>
        <w:t>7</w:t>
      </w:r>
      <w:r w:rsidR="00C05019">
        <w:rPr>
          <w:sz w:val="16"/>
          <w:szCs w:val="16"/>
        </w:rPr>
        <w:t>9</w:t>
      </w:r>
      <w:r w:rsidR="00F6067E" w:rsidRPr="00C12274">
        <w:rPr>
          <w:sz w:val="16"/>
          <w:szCs w:val="16"/>
        </w:rPr>
        <w:t xml:space="preserve"> </w:t>
      </w:r>
      <w:r w:rsidRPr="00C12274">
        <w:rPr>
          <w:sz w:val="16"/>
          <w:szCs w:val="16"/>
        </w:rPr>
        <w:t>to 1.</w:t>
      </w:r>
      <w:r>
        <w:rPr>
          <w:sz w:val="16"/>
          <w:szCs w:val="16"/>
        </w:rPr>
        <w:t>0</w:t>
      </w:r>
      <w:r w:rsidR="00C05019">
        <w:rPr>
          <w:sz w:val="16"/>
          <w:szCs w:val="16"/>
        </w:rPr>
        <w:t>0</w:t>
      </w:r>
      <w:r w:rsidRPr="00C12274">
        <w:rPr>
          <w:sz w:val="16"/>
          <w:szCs w:val="16"/>
        </w:rPr>
        <w:t xml:space="preserve">; </w:t>
      </w:r>
      <w:r w:rsidR="00C05019">
        <w:rPr>
          <w:sz w:val="16"/>
          <w:szCs w:val="16"/>
        </w:rPr>
        <w:t>22</w:t>
      </w:r>
      <w:r w:rsidRPr="00C12274">
        <w:rPr>
          <w:sz w:val="16"/>
          <w:szCs w:val="16"/>
        </w:rPr>
        <w:t> RCTs; n=</w:t>
      </w:r>
      <w:r w:rsidR="00C05019">
        <w:rPr>
          <w:sz w:val="16"/>
          <w:szCs w:val="16"/>
        </w:rPr>
        <w:t>8,455</w:t>
      </w:r>
      <w:r>
        <w:rPr>
          <w:sz w:val="16"/>
          <w:szCs w:val="16"/>
        </w:rPr>
        <w:t xml:space="preserve">; moderate </w:t>
      </w:r>
      <w:r w:rsidR="00343BBE">
        <w:rPr>
          <w:sz w:val="16"/>
          <w:szCs w:val="16"/>
        </w:rPr>
        <w:t>certainty</w:t>
      </w:r>
      <w:r w:rsidR="00BA7CBD">
        <w:rPr>
          <w:sz w:val="16"/>
          <w:szCs w:val="16"/>
        </w:rPr>
        <w:t>; analysis 5</w:t>
      </w:r>
      <w:r w:rsidRPr="00C12274">
        <w:rPr>
          <w:sz w:val="16"/>
          <w:szCs w:val="16"/>
        </w:rPr>
        <w:t>.1</w:t>
      </w:r>
      <w:r w:rsidR="00C05019">
        <w:rPr>
          <w:sz w:val="16"/>
          <w:szCs w:val="16"/>
        </w:rPr>
        <w:t>3</w:t>
      </w:r>
      <w:r w:rsidRPr="00C12274">
        <w:rPr>
          <w:sz w:val="16"/>
          <w:szCs w:val="16"/>
        </w:rPr>
        <w:t>; page </w:t>
      </w:r>
      <w:r w:rsidRPr="00C12274">
        <w:rPr>
          <w:sz w:val="16"/>
          <w:szCs w:val="16"/>
        </w:rPr>
        <w:fldChar w:fldCharType="begin"/>
      </w:r>
      <w:r w:rsidRPr="00C12274">
        <w:rPr>
          <w:sz w:val="16"/>
          <w:szCs w:val="16"/>
        </w:rPr>
        <w:instrText xml:space="preserve"> PAGEREF _Ref2168674 \h </w:instrText>
      </w:r>
      <w:r w:rsidRPr="00C12274">
        <w:rPr>
          <w:sz w:val="16"/>
          <w:szCs w:val="16"/>
        </w:rPr>
      </w:r>
      <w:r w:rsidRPr="00C12274">
        <w:rPr>
          <w:sz w:val="16"/>
          <w:szCs w:val="16"/>
        </w:rPr>
        <w:fldChar w:fldCharType="separate"/>
      </w:r>
      <w:r w:rsidR="00BA7CBD">
        <w:rPr>
          <w:noProof/>
          <w:sz w:val="16"/>
          <w:szCs w:val="16"/>
        </w:rPr>
        <w:t>429</w:t>
      </w:r>
      <w:r w:rsidRPr="00C12274">
        <w:rPr>
          <w:sz w:val="16"/>
          <w:szCs w:val="16"/>
        </w:rPr>
        <w:fldChar w:fldCharType="end"/>
      </w:r>
      <w:r w:rsidRPr="00C12274">
        <w:t>)</w:t>
      </w:r>
    </w:p>
    <w:p w14:paraId="7D290B6F" w14:textId="77777777" w:rsidR="00A5540F" w:rsidRPr="00C12274" w:rsidRDefault="00A5540F" w:rsidP="00A5540F">
      <w:r w:rsidRPr="00C12274">
        <w:t>There was no clear difference in risk of:</w:t>
      </w:r>
    </w:p>
    <w:p w14:paraId="2AA8A520" w14:textId="6C013D50" w:rsidR="00A5540F" w:rsidRPr="00C12274" w:rsidRDefault="00A5540F" w:rsidP="00A5540F">
      <w:pPr>
        <w:pStyle w:val="bullet"/>
      </w:pPr>
      <w:r w:rsidRPr="00C12274">
        <w:t>small for gestational age (</w:t>
      </w:r>
      <w:r w:rsidRPr="00C12274">
        <w:rPr>
          <w:sz w:val="16"/>
          <w:szCs w:val="16"/>
        </w:rPr>
        <w:t xml:space="preserve">RR </w:t>
      </w:r>
      <w:r>
        <w:rPr>
          <w:sz w:val="16"/>
          <w:szCs w:val="16"/>
        </w:rPr>
        <w:t>1.</w:t>
      </w:r>
      <w:r w:rsidR="007444FB">
        <w:rPr>
          <w:sz w:val="16"/>
          <w:szCs w:val="16"/>
        </w:rPr>
        <w:t>05</w:t>
      </w:r>
      <w:r w:rsidRPr="00C12274">
        <w:rPr>
          <w:sz w:val="16"/>
          <w:szCs w:val="16"/>
        </w:rPr>
        <w:t>; 95%CI 0.</w:t>
      </w:r>
      <w:r w:rsidR="007444FB">
        <w:rPr>
          <w:sz w:val="16"/>
          <w:szCs w:val="16"/>
        </w:rPr>
        <w:t>89</w:t>
      </w:r>
      <w:r w:rsidRPr="00C12274">
        <w:rPr>
          <w:sz w:val="16"/>
          <w:szCs w:val="16"/>
        </w:rPr>
        <w:t xml:space="preserve"> to 1.</w:t>
      </w:r>
      <w:r w:rsidR="007444FB">
        <w:rPr>
          <w:sz w:val="16"/>
          <w:szCs w:val="16"/>
        </w:rPr>
        <w:t>25</w:t>
      </w:r>
      <w:r>
        <w:rPr>
          <w:sz w:val="16"/>
          <w:szCs w:val="16"/>
        </w:rPr>
        <w:t>; 1</w:t>
      </w:r>
      <w:r w:rsidR="007444FB">
        <w:rPr>
          <w:sz w:val="16"/>
          <w:szCs w:val="16"/>
        </w:rPr>
        <w:t>6</w:t>
      </w:r>
      <w:r w:rsidRPr="00C12274">
        <w:rPr>
          <w:sz w:val="16"/>
          <w:szCs w:val="16"/>
        </w:rPr>
        <w:t> RCTs; n=</w:t>
      </w:r>
      <w:r w:rsidR="007444FB">
        <w:rPr>
          <w:sz w:val="16"/>
          <w:szCs w:val="16"/>
        </w:rPr>
        <w:t>5,072</w:t>
      </w:r>
      <w:r w:rsidRPr="00C12274">
        <w:rPr>
          <w:sz w:val="16"/>
          <w:szCs w:val="16"/>
        </w:rPr>
        <w:t xml:space="preserve">; </w:t>
      </w:r>
      <w:r>
        <w:rPr>
          <w:sz w:val="16"/>
          <w:szCs w:val="16"/>
        </w:rPr>
        <w:t>low</w:t>
      </w:r>
      <w:r w:rsidRPr="00C12274">
        <w:rPr>
          <w:sz w:val="16"/>
          <w:szCs w:val="16"/>
        </w:rPr>
        <w:t xml:space="preserve"> </w:t>
      </w:r>
      <w:r w:rsidR="00343BBE">
        <w:rPr>
          <w:sz w:val="16"/>
          <w:szCs w:val="16"/>
        </w:rPr>
        <w:t>certainty</w:t>
      </w:r>
      <w:r w:rsidRPr="00C12274">
        <w:rPr>
          <w:sz w:val="16"/>
          <w:szCs w:val="16"/>
        </w:rPr>
        <w:t>;</w:t>
      </w:r>
      <w:r w:rsidR="00BA7CBD">
        <w:rPr>
          <w:sz w:val="16"/>
          <w:szCs w:val="16"/>
        </w:rPr>
        <w:t xml:space="preserve"> analysis 5</w:t>
      </w:r>
      <w:r w:rsidRPr="00C12274">
        <w:rPr>
          <w:sz w:val="16"/>
          <w:szCs w:val="16"/>
        </w:rPr>
        <w:t>.1</w:t>
      </w:r>
      <w:r w:rsidR="00B04E28">
        <w:rPr>
          <w:sz w:val="16"/>
          <w:szCs w:val="16"/>
        </w:rPr>
        <w:t>2</w:t>
      </w:r>
      <w:r w:rsidRPr="00C12274">
        <w:rPr>
          <w:sz w:val="16"/>
          <w:szCs w:val="16"/>
        </w:rPr>
        <w:t xml:space="preserve">; page </w:t>
      </w:r>
      <w:r w:rsidRPr="00C12274">
        <w:rPr>
          <w:sz w:val="16"/>
          <w:szCs w:val="16"/>
        </w:rPr>
        <w:fldChar w:fldCharType="begin"/>
      </w:r>
      <w:r w:rsidRPr="00C12274">
        <w:rPr>
          <w:sz w:val="16"/>
          <w:szCs w:val="16"/>
        </w:rPr>
        <w:instrText xml:space="preserve"> PAGEREF _Ref2168646 \h </w:instrText>
      </w:r>
      <w:r w:rsidRPr="00C12274">
        <w:rPr>
          <w:sz w:val="16"/>
          <w:szCs w:val="16"/>
        </w:rPr>
      </w:r>
      <w:r w:rsidRPr="00C12274">
        <w:rPr>
          <w:sz w:val="16"/>
          <w:szCs w:val="16"/>
        </w:rPr>
        <w:fldChar w:fldCharType="separate"/>
      </w:r>
      <w:r w:rsidR="00BA7CBD">
        <w:rPr>
          <w:noProof/>
          <w:sz w:val="16"/>
          <w:szCs w:val="16"/>
        </w:rPr>
        <w:t>429</w:t>
      </w:r>
      <w:r w:rsidRPr="00C12274">
        <w:rPr>
          <w:sz w:val="16"/>
          <w:szCs w:val="16"/>
        </w:rPr>
        <w:fldChar w:fldCharType="end"/>
      </w:r>
      <w:r w:rsidRPr="00C12274">
        <w:t>)</w:t>
      </w:r>
    </w:p>
    <w:p w14:paraId="22D38396" w14:textId="069A0DFE" w:rsidR="00A5540F" w:rsidRDefault="00A5540F" w:rsidP="00A5540F">
      <w:pPr>
        <w:pStyle w:val="bullet"/>
      </w:pPr>
      <w:r w:rsidRPr="00C12274">
        <w:t>Apgar score &lt;7 at 5 minutes (</w:t>
      </w:r>
      <w:r w:rsidRPr="00C12274">
        <w:rPr>
          <w:sz w:val="16"/>
          <w:szCs w:val="16"/>
        </w:rPr>
        <w:t xml:space="preserve">RR </w:t>
      </w:r>
      <w:r>
        <w:rPr>
          <w:sz w:val="16"/>
          <w:szCs w:val="16"/>
        </w:rPr>
        <w:t>0.80</w:t>
      </w:r>
      <w:r w:rsidRPr="00C12274">
        <w:rPr>
          <w:sz w:val="16"/>
          <w:szCs w:val="16"/>
        </w:rPr>
        <w:t>; 95%CI 0.4</w:t>
      </w:r>
      <w:r>
        <w:rPr>
          <w:sz w:val="16"/>
          <w:szCs w:val="16"/>
        </w:rPr>
        <w:t>8</w:t>
      </w:r>
      <w:r w:rsidRPr="00C12274">
        <w:rPr>
          <w:sz w:val="16"/>
          <w:szCs w:val="16"/>
        </w:rPr>
        <w:t xml:space="preserve"> to </w:t>
      </w:r>
      <w:r>
        <w:rPr>
          <w:sz w:val="16"/>
          <w:szCs w:val="16"/>
        </w:rPr>
        <w:t>1.3</w:t>
      </w:r>
      <w:r w:rsidRPr="00C12274">
        <w:rPr>
          <w:sz w:val="16"/>
          <w:szCs w:val="16"/>
        </w:rPr>
        <w:t xml:space="preserve">2; </w:t>
      </w:r>
      <w:r>
        <w:rPr>
          <w:sz w:val="16"/>
          <w:szCs w:val="16"/>
        </w:rPr>
        <w:t>3</w:t>
      </w:r>
      <w:r w:rsidRPr="00C12274">
        <w:rPr>
          <w:sz w:val="16"/>
          <w:szCs w:val="16"/>
        </w:rPr>
        <w:t> RCTs; n=</w:t>
      </w:r>
      <w:r>
        <w:rPr>
          <w:sz w:val="16"/>
          <w:szCs w:val="16"/>
        </w:rPr>
        <w:t>2,864</w:t>
      </w:r>
      <w:r w:rsidRPr="00C12274">
        <w:rPr>
          <w:sz w:val="16"/>
          <w:szCs w:val="16"/>
        </w:rPr>
        <w:t xml:space="preserve">; </w:t>
      </w:r>
      <w:r>
        <w:rPr>
          <w:sz w:val="16"/>
          <w:szCs w:val="16"/>
        </w:rPr>
        <w:t xml:space="preserve">low </w:t>
      </w:r>
      <w:r w:rsidR="00343BBE">
        <w:rPr>
          <w:sz w:val="16"/>
          <w:szCs w:val="16"/>
        </w:rPr>
        <w:t>certainty</w:t>
      </w:r>
      <w:r w:rsidR="00BA7CBD">
        <w:rPr>
          <w:sz w:val="16"/>
          <w:szCs w:val="16"/>
        </w:rPr>
        <w:t>; analysis 5</w:t>
      </w:r>
      <w:r w:rsidRPr="00C12274">
        <w:rPr>
          <w:sz w:val="16"/>
          <w:szCs w:val="16"/>
        </w:rPr>
        <w:t>.1</w:t>
      </w:r>
      <w:r w:rsidR="00B04E28">
        <w:rPr>
          <w:sz w:val="16"/>
          <w:szCs w:val="16"/>
        </w:rPr>
        <w:t>4</w:t>
      </w:r>
      <w:r w:rsidRPr="00C12274">
        <w:rPr>
          <w:sz w:val="16"/>
          <w:szCs w:val="16"/>
        </w:rPr>
        <w:t>; page </w:t>
      </w:r>
      <w:r w:rsidRPr="00C12274">
        <w:rPr>
          <w:sz w:val="16"/>
          <w:szCs w:val="16"/>
        </w:rPr>
        <w:fldChar w:fldCharType="begin"/>
      </w:r>
      <w:r w:rsidRPr="00C12274">
        <w:rPr>
          <w:sz w:val="16"/>
          <w:szCs w:val="16"/>
        </w:rPr>
        <w:instrText xml:space="preserve"> PAGEREF _Ref2168696 \h </w:instrText>
      </w:r>
      <w:r w:rsidRPr="00C12274">
        <w:rPr>
          <w:sz w:val="16"/>
          <w:szCs w:val="16"/>
        </w:rPr>
      </w:r>
      <w:r w:rsidRPr="00C12274">
        <w:rPr>
          <w:sz w:val="16"/>
          <w:szCs w:val="16"/>
        </w:rPr>
        <w:fldChar w:fldCharType="separate"/>
      </w:r>
      <w:r w:rsidR="00BA7CBD">
        <w:rPr>
          <w:noProof/>
          <w:sz w:val="16"/>
          <w:szCs w:val="16"/>
        </w:rPr>
        <w:t>430</w:t>
      </w:r>
      <w:r w:rsidRPr="00C12274">
        <w:rPr>
          <w:sz w:val="16"/>
          <w:szCs w:val="16"/>
        </w:rPr>
        <w:fldChar w:fldCharType="end"/>
      </w:r>
      <w:r w:rsidRPr="00C12274">
        <w:t>)</w:t>
      </w:r>
    </w:p>
    <w:p w14:paraId="276BC57F" w14:textId="5F177A5A" w:rsidR="00A5540F" w:rsidRPr="00C12274" w:rsidRDefault="00A5540F" w:rsidP="00A5540F">
      <w:pPr>
        <w:pStyle w:val="bullet"/>
      </w:pPr>
      <w:r>
        <w:t xml:space="preserve">weight in early childhood </w:t>
      </w:r>
      <w:r w:rsidRPr="00C12274">
        <w:t>(</w:t>
      </w:r>
      <w:r w:rsidRPr="00C12274">
        <w:rPr>
          <w:sz w:val="16"/>
          <w:szCs w:val="16"/>
        </w:rPr>
        <w:t>MD –0.</w:t>
      </w:r>
      <w:r>
        <w:rPr>
          <w:sz w:val="16"/>
          <w:szCs w:val="16"/>
        </w:rPr>
        <w:t>09</w:t>
      </w:r>
      <w:r w:rsidRPr="00C12274">
        <w:rPr>
          <w:sz w:val="16"/>
          <w:szCs w:val="16"/>
        </w:rPr>
        <w:t>; 95%CI –0.</w:t>
      </w:r>
      <w:r>
        <w:rPr>
          <w:sz w:val="16"/>
          <w:szCs w:val="16"/>
        </w:rPr>
        <w:t>26</w:t>
      </w:r>
      <w:r w:rsidRPr="00C12274">
        <w:rPr>
          <w:sz w:val="16"/>
          <w:szCs w:val="16"/>
        </w:rPr>
        <w:t xml:space="preserve"> to 0.</w:t>
      </w:r>
      <w:r>
        <w:rPr>
          <w:sz w:val="16"/>
          <w:szCs w:val="16"/>
        </w:rPr>
        <w:t>08</w:t>
      </w:r>
      <w:r w:rsidRPr="00C12274">
        <w:rPr>
          <w:sz w:val="16"/>
          <w:szCs w:val="16"/>
        </w:rPr>
        <w:t xml:space="preserve">; </w:t>
      </w:r>
      <w:r>
        <w:rPr>
          <w:sz w:val="16"/>
          <w:szCs w:val="16"/>
        </w:rPr>
        <w:t xml:space="preserve">4 RCTs; n=985; </w:t>
      </w:r>
      <w:r w:rsidR="007633BB">
        <w:rPr>
          <w:sz w:val="16"/>
          <w:szCs w:val="16"/>
        </w:rPr>
        <w:t xml:space="preserve">low </w:t>
      </w:r>
      <w:r w:rsidR="00343BBE">
        <w:rPr>
          <w:sz w:val="16"/>
          <w:szCs w:val="16"/>
        </w:rPr>
        <w:t>certainty</w:t>
      </w:r>
      <w:r w:rsidR="00BA7CBD">
        <w:rPr>
          <w:sz w:val="16"/>
          <w:szCs w:val="16"/>
        </w:rPr>
        <w:t>; analysis 5</w:t>
      </w:r>
      <w:r>
        <w:rPr>
          <w:sz w:val="16"/>
          <w:szCs w:val="16"/>
        </w:rPr>
        <w:t>.1</w:t>
      </w:r>
      <w:r w:rsidR="00B04E28">
        <w:rPr>
          <w:sz w:val="16"/>
          <w:szCs w:val="16"/>
        </w:rPr>
        <w:t>5</w:t>
      </w:r>
      <w:r>
        <w:rPr>
          <w:sz w:val="16"/>
          <w:szCs w:val="16"/>
        </w:rPr>
        <w:t>; page </w:t>
      </w:r>
      <w:r>
        <w:rPr>
          <w:sz w:val="16"/>
          <w:szCs w:val="16"/>
        </w:rPr>
        <w:fldChar w:fldCharType="begin"/>
      </w:r>
      <w:r>
        <w:rPr>
          <w:sz w:val="16"/>
          <w:szCs w:val="16"/>
        </w:rPr>
        <w:instrText xml:space="preserve"> PAGEREF _Ref5615643 \h </w:instrText>
      </w:r>
      <w:r>
        <w:rPr>
          <w:sz w:val="16"/>
          <w:szCs w:val="16"/>
        </w:rPr>
      </w:r>
      <w:r>
        <w:rPr>
          <w:sz w:val="16"/>
          <w:szCs w:val="16"/>
        </w:rPr>
        <w:fldChar w:fldCharType="separate"/>
      </w:r>
      <w:r w:rsidR="00BA7CBD">
        <w:rPr>
          <w:noProof/>
          <w:sz w:val="16"/>
          <w:szCs w:val="16"/>
        </w:rPr>
        <w:t>430</w:t>
      </w:r>
      <w:r>
        <w:rPr>
          <w:sz w:val="16"/>
          <w:szCs w:val="16"/>
        </w:rPr>
        <w:fldChar w:fldCharType="end"/>
      </w:r>
      <w:r w:rsidRPr="00C12274">
        <w:t>)</w:t>
      </w:r>
      <w:r>
        <w:t>.</w:t>
      </w:r>
    </w:p>
    <w:p w14:paraId="6C844EDC" w14:textId="77777777" w:rsidR="00A5540F" w:rsidRDefault="00A5540F" w:rsidP="00A5540F">
      <w:pPr>
        <w:pStyle w:val="Heading4"/>
      </w:pPr>
      <w:bookmarkStart w:id="222" w:name="_Toc5978449"/>
      <w:r>
        <w:t>Cost-effectiveness</w:t>
      </w:r>
      <w:bookmarkEnd w:id="222"/>
    </w:p>
    <w:p w14:paraId="2AD230D4" w14:textId="03E35E2B" w:rsidR="00A5540F" w:rsidRPr="00687508" w:rsidRDefault="00A5540F" w:rsidP="00A5540F">
      <w:r w:rsidRPr="00E725BA">
        <w:t>One study</w:t>
      </w:r>
      <w:r>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instrText xml:space="preserve"> ADDIN EN.CITE </w:instrText>
      </w:r>
      <w:r w:rsidR="002747EA">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instrText xml:space="preserve"> ADDIN EN.CITE.DATA </w:instrText>
      </w:r>
      <w:r w:rsidR="002747EA">
        <w:fldChar w:fldCharType="end"/>
      </w:r>
      <w:r>
        <w:fldChar w:fldCharType="separate"/>
      </w:r>
      <w:r w:rsidR="002747EA" w:rsidRPr="002747EA">
        <w:rPr>
          <w:noProof/>
          <w:vertAlign w:val="superscript"/>
        </w:rPr>
        <w:t>522</w:t>
      </w:r>
      <w:r>
        <w:fldChar w:fldCharType="end"/>
      </w:r>
      <w:r w:rsidRPr="00E725BA">
        <w:t xml:space="preserve"> </w:t>
      </w:r>
      <w:r>
        <w:t>(n=93)</w:t>
      </w:r>
      <w:r w:rsidRPr="00E725BA">
        <w:t xml:space="preserve"> reported on costs associated with counselling sessions during routine antenatal visits</w:t>
      </w:r>
      <w:r>
        <w:t xml:space="preserve"> among women at risk of gestational diabetes in Finland.</w:t>
      </w:r>
      <w:r w:rsidRPr="00E725BA">
        <w:t xml:space="preserve"> The study found no clear difference in costs to families for care </w:t>
      </w:r>
      <w:r>
        <w:t xml:space="preserve">during labour and birth </w:t>
      </w:r>
      <w:r w:rsidRPr="00E725BA">
        <w:t>(</w:t>
      </w:r>
      <w:r w:rsidRPr="005B2FA7">
        <w:rPr>
          <w:sz w:val="16"/>
          <w:szCs w:val="16"/>
        </w:rPr>
        <w:t>MD3.00€; 95%CI –10.82 to 16.82</w:t>
      </w:r>
      <w:r w:rsidRPr="00E725BA">
        <w:t>) or neonatal care (</w:t>
      </w:r>
      <w:r w:rsidRPr="005B2FA7">
        <w:rPr>
          <w:sz w:val="16"/>
          <w:szCs w:val="16"/>
        </w:rPr>
        <w:t>MD3.00€ 95%CI –13.67 to 19.67</w:t>
      </w:r>
      <w:r w:rsidRPr="00E725BA">
        <w:t>). There were also no clear differences in total intervention costs (</w:t>
      </w:r>
      <w:r w:rsidRPr="005B2FA7">
        <w:rPr>
          <w:sz w:val="16"/>
          <w:szCs w:val="16"/>
        </w:rPr>
        <w:t>MD 769.00€; 95%CI –1032.23 to 2570.23</w:t>
      </w:r>
      <w:r>
        <w:t xml:space="preserve">) or in </w:t>
      </w:r>
      <w:r w:rsidRPr="00687508">
        <w:t xml:space="preserve">costs of </w:t>
      </w:r>
      <w:r>
        <w:t xml:space="preserve">maternal </w:t>
      </w:r>
      <w:r w:rsidRPr="00687508">
        <w:t>primary health</w:t>
      </w:r>
      <w:r>
        <w:t xml:space="preserve"> </w:t>
      </w:r>
      <w:r w:rsidRPr="00687508">
        <w:t>care</w:t>
      </w:r>
      <w:r>
        <w:t xml:space="preserve"> (</w:t>
      </w:r>
      <w:r w:rsidRPr="005B2FA7">
        <w:rPr>
          <w:sz w:val="16"/>
          <w:szCs w:val="16"/>
        </w:rPr>
        <w:t xml:space="preserve">MD </w:t>
      </w:r>
      <w:r w:rsidRPr="005B2FA7">
        <w:rPr>
          <w:sz w:val="16"/>
          <w:szCs w:val="16"/>
        </w:rPr>
        <w:noBreakHyphen/>
        <w:t>43.00€; 95%CI -127.61 to 41.61</w:t>
      </w:r>
      <w:r>
        <w:t>),</w:t>
      </w:r>
      <w:r w:rsidRPr="00687508">
        <w:t xml:space="preserve"> </w:t>
      </w:r>
      <w:r>
        <w:t>maternal</w:t>
      </w:r>
      <w:r w:rsidRPr="00687508">
        <w:t xml:space="preserve"> specialist health care (</w:t>
      </w:r>
      <w:r w:rsidRPr="005B2FA7">
        <w:rPr>
          <w:sz w:val="16"/>
          <w:szCs w:val="16"/>
        </w:rPr>
        <w:t xml:space="preserve">MD -47.00€; 95%CI </w:t>
      </w:r>
      <w:r w:rsidRPr="005B2FA7">
        <w:rPr>
          <w:sz w:val="16"/>
          <w:szCs w:val="16"/>
        </w:rPr>
        <w:noBreakHyphen/>
        <w:t>195.33 to 101.33</w:t>
      </w:r>
      <w:r w:rsidRPr="00687508">
        <w:t>), diabetes nurse</w:t>
      </w:r>
      <w:r>
        <w:t xml:space="preserve"> visits</w:t>
      </w:r>
      <w:r w:rsidRPr="00687508">
        <w:t xml:space="preserve"> (</w:t>
      </w:r>
      <w:r w:rsidRPr="005B2FA7">
        <w:rPr>
          <w:sz w:val="16"/>
          <w:szCs w:val="16"/>
        </w:rPr>
        <w:t>MD 6.00€; 95% CI -7.02 to 19.02</w:t>
      </w:r>
      <w:r w:rsidRPr="00687508">
        <w:t xml:space="preserve">), dietitian </w:t>
      </w:r>
      <w:r>
        <w:t xml:space="preserve">visits </w:t>
      </w:r>
      <w:r w:rsidRPr="00687508">
        <w:t>(not</w:t>
      </w:r>
      <w:r>
        <w:t xml:space="preserve"> </w:t>
      </w:r>
      <w:r w:rsidRPr="00687508">
        <w:t>estimable), costs of use of insulin/other diabetes</w:t>
      </w:r>
      <w:r>
        <w:t xml:space="preserve"> </w:t>
      </w:r>
      <w:r w:rsidRPr="00687508">
        <w:t>medications (</w:t>
      </w:r>
      <w:r w:rsidRPr="005B2FA7">
        <w:rPr>
          <w:sz w:val="16"/>
          <w:szCs w:val="16"/>
        </w:rPr>
        <w:t>MD -1.00€; 95%CI -7.83 to 5.83</w:t>
      </w:r>
      <w:r w:rsidRPr="00687508">
        <w:t>), costs</w:t>
      </w:r>
      <w:r>
        <w:t xml:space="preserve"> </w:t>
      </w:r>
      <w:r w:rsidRPr="00687508">
        <w:t xml:space="preserve">of hospital days before and after </w:t>
      </w:r>
      <w:r>
        <w:t>birth</w:t>
      </w:r>
      <w:r w:rsidRPr="00687508">
        <w:t xml:space="preserve"> (</w:t>
      </w:r>
      <w:r w:rsidRPr="005B2FA7">
        <w:rPr>
          <w:sz w:val="16"/>
          <w:szCs w:val="16"/>
        </w:rPr>
        <w:t>MD 101.00€; 95% CI -206.71 to 408.71</w:t>
      </w:r>
      <w:r w:rsidRPr="00687508">
        <w:t xml:space="preserve">), </w:t>
      </w:r>
      <w:r>
        <w:t xml:space="preserve">birthing </w:t>
      </w:r>
      <w:r w:rsidRPr="00687508">
        <w:t>cost to the municipality (</w:t>
      </w:r>
      <w:r w:rsidRPr="005B2FA7">
        <w:rPr>
          <w:sz w:val="16"/>
          <w:szCs w:val="16"/>
        </w:rPr>
        <w:t>MD 22.00€; 95% CI -234.43 to 278.43</w:t>
      </w:r>
      <w:r w:rsidRPr="00687508">
        <w:t>), costs of absence from work (</w:t>
      </w:r>
      <w:r w:rsidRPr="005B2FA7">
        <w:rPr>
          <w:sz w:val="16"/>
          <w:szCs w:val="16"/>
        </w:rPr>
        <w:t xml:space="preserve">MD 128.00€; 95%CI </w:t>
      </w:r>
      <w:r w:rsidRPr="005B2FA7">
        <w:rPr>
          <w:sz w:val="16"/>
          <w:szCs w:val="16"/>
        </w:rPr>
        <w:noBreakHyphen/>
        <w:t>1295.58 to 1551.58</w:t>
      </w:r>
      <w:r w:rsidRPr="00687508">
        <w:t>)</w:t>
      </w:r>
      <w:r>
        <w:t xml:space="preserve"> or</w:t>
      </w:r>
      <w:r w:rsidRPr="00687508">
        <w:t xml:space="preserve"> neonatal care cost to municipality (</w:t>
      </w:r>
      <w:r w:rsidRPr="005B2FA7">
        <w:rPr>
          <w:sz w:val="16"/>
          <w:szCs w:val="16"/>
        </w:rPr>
        <w:t>MD 453.00€; 95%CI -298.20 to 1204.20</w:t>
      </w:r>
      <w:r w:rsidRPr="00687508">
        <w:t>).</w:t>
      </w:r>
    </w:p>
    <w:p w14:paraId="5CA805DD" w14:textId="77777777" w:rsidR="00A5540F" w:rsidRPr="00D92560" w:rsidRDefault="00A5540F" w:rsidP="00A5540F">
      <w:r w:rsidRPr="00D92560">
        <w:t>The study indicated that intensive</w:t>
      </w:r>
      <w:r>
        <w:t xml:space="preserve"> </w:t>
      </w:r>
      <w:r w:rsidRPr="00D92560">
        <w:t xml:space="preserve">lifestyle counselling among </w:t>
      </w:r>
      <w:r>
        <w:t>women at risk of gestational diabetes</w:t>
      </w:r>
      <w:r w:rsidRPr="00D92560">
        <w:t xml:space="preserve"> was not significantly</w:t>
      </w:r>
      <w:r>
        <w:t xml:space="preserve"> </w:t>
      </w:r>
      <w:r w:rsidRPr="00D92560">
        <w:t xml:space="preserve">cost-effective compared to </w:t>
      </w:r>
      <w:r>
        <w:t>usual</w:t>
      </w:r>
      <w:r w:rsidRPr="00D92560">
        <w:t xml:space="preserve"> care for birth weight</w:t>
      </w:r>
      <w:r>
        <w:t xml:space="preserve">, </w:t>
      </w:r>
      <w:r w:rsidRPr="00D92560">
        <w:t>quality</w:t>
      </w:r>
      <w:r>
        <w:t xml:space="preserve"> </w:t>
      </w:r>
      <w:r w:rsidRPr="00D92560">
        <w:t xml:space="preserve">of life </w:t>
      </w:r>
      <w:r>
        <w:t>on</w:t>
      </w:r>
      <w:r w:rsidRPr="00D92560">
        <w:t xml:space="preserve"> a 15-dimension questionnaire</w:t>
      </w:r>
      <w:r>
        <w:t xml:space="preserve"> or perceived health as measured with a visual analogue scale</w:t>
      </w:r>
      <w:r w:rsidRPr="00D92560">
        <w:t>.</w:t>
      </w:r>
    </w:p>
    <w:p w14:paraId="34F5C8C0" w14:textId="77777777" w:rsidR="00A5540F" w:rsidRDefault="00A5540F" w:rsidP="00A5540F">
      <w:pPr>
        <w:pStyle w:val="Heading4"/>
        <w:sectPr w:rsidR="00A5540F" w:rsidSect="008A6B17">
          <w:pgSz w:w="11901" w:h="16817"/>
          <w:pgMar w:top="1134" w:right="1418" w:bottom="1134" w:left="1418" w:header="709" w:footer="709" w:gutter="0"/>
          <w:cols w:space="708"/>
          <w:docGrid w:linePitch="360"/>
        </w:sectPr>
      </w:pPr>
      <w:bookmarkStart w:id="223" w:name="_Toc5978450"/>
    </w:p>
    <w:p w14:paraId="542342F1" w14:textId="77777777" w:rsidR="00A5540F" w:rsidRPr="00C12274" w:rsidRDefault="00A5540F" w:rsidP="00A5540F">
      <w:pPr>
        <w:pStyle w:val="Heading4"/>
      </w:pPr>
      <w:r w:rsidRPr="00C12274">
        <w:t>Summary of findings</w:t>
      </w:r>
      <w:bookmarkEnd w:id="223"/>
    </w:p>
    <w:tbl>
      <w:tblPr>
        <w:tblW w:w="5285" w:type="pct"/>
        <w:tblCellMar>
          <w:top w:w="100" w:type="dxa"/>
          <w:left w:w="100" w:type="dxa"/>
          <w:bottom w:w="100" w:type="dxa"/>
          <w:right w:w="100" w:type="dxa"/>
        </w:tblCellMar>
        <w:tblLook w:val="04A0" w:firstRow="1" w:lastRow="0" w:firstColumn="1" w:lastColumn="0" w:noHBand="0" w:noVBand="1"/>
      </w:tblPr>
      <w:tblGrid>
        <w:gridCol w:w="1246"/>
        <w:gridCol w:w="1612"/>
        <w:gridCol w:w="2734"/>
        <w:gridCol w:w="1062"/>
        <w:gridCol w:w="1257"/>
        <w:gridCol w:w="1872"/>
        <w:gridCol w:w="10"/>
      </w:tblGrid>
      <w:tr w:rsidR="00A5540F" w14:paraId="18FD9837" w14:textId="77777777" w:rsidTr="008E1F6E">
        <w:trPr>
          <w:cantSplit/>
          <w:tblHeader/>
        </w:trPr>
        <w:tc>
          <w:tcPr>
            <w:tcW w:w="5000" w:type="pct"/>
            <w:gridSpan w:val="7"/>
            <w:tcBorders>
              <w:top w:val="single" w:sz="12" w:space="0" w:color="000000"/>
              <w:left w:val="nil"/>
              <w:bottom w:val="single" w:sz="12" w:space="0" w:color="000000"/>
              <w:right w:val="nil"/>
            </w:tcBorders>
            <w:vAlign w:val="center"/>
            <w:hideMark/>
          </w:tcPr>
          <w:p w14:paraId="67CC058B" w14:textId="77777777" w:rsidR="00A5540F" w:rsidRDefault="00A5540F" w:rsidP="00A5540F">
            <w:pPr>
              <w:pStyle w:val="Heading5"/>
              <w:rPr>
                <w:rFonts w:eastAsiaTheme="minorEastAsia"/>
              </w:rPr>
            </w:pPr>
            <w:r>
              <w:t>Lifestyle counselling (weight, diet, exercise, self-monitoring) compared to usual pregnancy care — maternal outcomes</w:t>
            </w:r>
          </w:p>
        </w:tc>
      </w:tr>
      <w:tr w:rsidR="00A5540F" w14:paraId="70A0C48F" w14:textId="77777777" w:rsidTr="008E1F6E">
        <w:trPr>
          <w:cantSplit/>
          <w:tblHeader/>
        </w:trPr>
        <w:tc>
          <w:tcPr>
            <w:tcW w:w="5000" w:type="pct"/>
            <w:gridSpan w:val="7"/>
            <w:tcBorders>
              <w:top w:val="single" w:sz="12" w:space="0" w:color="000000"/>
              <w:left w:val="nil"/>
              <w:bottom w:val="single" w:sz="12" w:space="0" w:color="000000"/>
              <w:right w:val="nil"/>
            </w:tcBorders>
            <w:vAlign w:val="center"/>
            <w:hideMark/>
          </w:tcPr>
          <w:p w14:paraId="53C52CFA" w14:textId="77777777"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Population</w:t>
            </w:r>
            <w:r>
              <w:rPr>
                <w:rFonts w:ascii="Arial Narrow" w:eastAsia="Times New Roman" w:hAnsi="Arial Narrow"/>
                <w:sz w:val="16"/>
                <w:szCs w:val="16"/>
              </w:rPr>
              <w:t xml:space="preserve">: Pregnant women </w:t>
            </w:r>
          </w:p>
          <w:p w14:paraId="4E5B5919" w14:textId="55E05580"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Setting</w:t>
            </w:r>
            <w:r>
              <w:rPr>
                <w:rFonts w:ascii="Arial Narrow" w:eastAsia="Times New Roman" w:hAnsi="Arial Narrow"/>
                <w:sz w:val="16"/>
                <w:szCs w:val="16"/>
              </w:rPr>
              <w:t xml:space="preserve">: Australia, Austria, Belgium, Canada, China, Denmark, Finland, Germany, </w:t>
            </w:r>
            <w:r w:rsidR="00317B34">
              <w:rPr>
                <w:rFonts w:ascii="Arial Narrow" w:eastAsia="Times New Roman" w:hAnsi="Arial Narrow"/>
                <w:sz w:val="16"/>
                <w:szCs w:val="16"/>
              </w:rPr>
              <w:t xml:space="preserve">Hong Kong, </w:t>
            </w:r>
            <w:r>
              <w:rPr>
                <w:rFonts w:ascii="Arial Narrow" w:eastAsia="Times New Roman" w:hAnsi="Arial Narrow"/>
                <w:sz w:val="16"/>
                <w:szCs w:val="16"/>
              </w:rPr>
              <w:t xml:space="preserve">India, Ireland, Italy, Netherlands, Norway, </w:t>
            </w:r>
            <w:r w:rsidR="00317B34">
              <w:rPr>
                <w:rFonts w:ascii="Arial Narrow" w:eastAsia="Times New Roman" w:hAnsi="Arial Narrow"/>
                <w:sz w:val="16"/>
                <w:szCs w:val="16"/>
              </w:rPr>
              <w:t xml:space="preserve">Puerto Rico, </w:t>
            </w:r>
            <w:r>
              <w:rPr>
                <w:rFonts w:ascii="Arial Narrow" w:eastAsia="Times New Roman" w:hAnsi="Arial Narrow"/>
                <w:sz w:val="16"/>
                <w:szCs w:val="16"/>
              </w:rPr>
              <w:t>Poland, Spain, Sweden, Turkey, United Kingdom, United States</w:t>
            </w:r>
          </w:p>
          <w:p w14:paraId="2175EB9A" w14:textId="77777777"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Intervention</w:t>
            </w:r>
            <w:r>
              <w:rPr>
                <w:rFonts w:ascii="Arial Narrow" w:eastAsia="Times New Roman" w:hAnsi="Arial Narrow"/>
                <w:sz w:val="16"/>
                <w:szCs w:val="16"/>
              </w:rPr>
              <w:t xml:space="preserve">: Diet and exercise intervention </w:t>
            </w:r>
          </w:p>
          <w:p w14:paraId="43DC2C6A" w14:textId="77777777"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Comparison</w:t>
            </w:r>
            <w:r>
              <w:rPr>
                <w:rFonts w:ascii="Arial Narrow" w:eastAsia="Times New Roman" w:hAnsi="Arial Narrow"/>
                <w:sz w:val="16"/>
                <w:szCs w:val="16"/>
              </w:rPr>
              <w:t xml:space="preserve">: Usual care </w:t>
            </w:r>
          </w:p>
        </w:tc>
      </w:tr>
      <w:tr w:rsidR="00BD2A1D" w14:paraId="586189A2" w14:textId="77777777" w:rsidTr="00BD2A1D">
        <w:trPr>
          <w:gridAfter w:val="1"/>
          <w:wAfter w:w="5" w:type="pct"/>
          <w:cantSplit/>
          <w:tblHeader/>
        </w:trPr>
        <w:tc>
          <w:tcPr>
            <w:tcW w:w="636" w:type="pct"/>
            <w:vMerge w:val="restart"/>
            <w:tcBorders>
              <w:right w:val="single" w:sz="6" w:space="0" w:color="EFEFEF"/>
            </w:tcBorders>
            <w:shd w:val="clear" w:color="auto" w:fill="3271AA"/>
            <w:vAlign w:val="center"/>
            <w:hideMark/>
          </w:tcPr>
          <w:p w14:paraId="62A18AEC" w14:textId="77777777" w:rsidR="00A5540F" w:rsidRDefault="00A5540F" w:rsidP="00A5540F">
            <w:pPr>
              <w:pStyle w:val="NormalWeb"/>
              <w:spacing w:before="0" w:beforeAutospacing="0" w:after="0" w:afterAutospacing="0"/>
              <w:jc w:val="center"/>
              <w:rPr>
                <w:rFonts w:ascii="Arial Narrow" w:eastAsiaTheme="minorEastAsia" w:hAnsi="Arial Narrow"/>
                <w:color w:val="FFFFFF"/>
                <w:sz w:val="16"/>
                <w:szCs w:val="16"/>
              </w:rPr>
            </w:pPr>
            <w:r>
              <w:rPr>
                <w:rFonts w:ascii="Arial Narrow" w:hAnsi="Arial Narrow"/>
                <w:color w:val="FFFFFF"/>
                <w:sz w:val="16"/>
                <w:szCs w:val="16"/>
              </w:rPr>
              <w:t>Outcomes</w:t>
            </w:r>
          </w:p>
        </w:tc>
        <w:tc>
          <w:tcPr>
            <w:tcW w:w="2219" w:type="pct"/>
            <w:gridSpan w:val="2"/>
            <w:tcBorders>
              <w:top w:val="single" w:sz="6" w:space="0" w:color="EFEFEF"/>
              <w:right w:val="single" w:sz="6" w:space="0" w:color="EFEFEF"/>
            </w:tcBorders>
            <w:shd w:val="clear" w:color="auto" w:fill="E0E0E0"/>
            <w:hideMark/>
          </w:tcPr>
          <w:p w14:paraId="6A5B6C01" w14:textId="77777777" w:rsidR="00A5540F" w:rsidRDefault="00A5540F" w:rsidP="00A5540F">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542" w:type="pct"/>
            <w:vMerge w:val="restart"/>
            <w:tcBorders>
              <w:right w:val="single" w:sz="6" w:space="0" w:color="EFEFEF"/>
            </w:tcBorders>
            <w:shd w:val="clear" w:color="auto" w:fill="3271AA"/>
            <w:vAlign w:val="center"/>
            <w:hideMark/>
          </w:tcPr>
          <w:p w14:paraId="504B4E42"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642" w:type="pct"/>
            <w:vMerge w:val="restart"/>
            <w:tcBorders>
              <w:right w:val="single" w:sz="6" w:space="0" w:color="EFEFEF"/>
            </w:tcBorders>
            <w:shd w:val="clear" w:color="auto" w:fill="3271AA"/>
            <w:vAlign w:val="center"/>
            <w:hideMark/>
          </w:tcPr>
          <w:p w14:paraId="74062964"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956" w:type="pct"/>
            <w:vMerge w:val="restart"/>
            <w:tcBorders>
              <w:right w:val="single" w:sz="6" w:space="0" w:color="EFEFEF"/>
            </w:tcBorders>
            <w:shd w:val="clear" w:color="auto" w:fill="3271AA"/>
            <w:vAlign w:val="center"/>
            <w:hideMark/>
          </w:tcPr>
          <w:p w14:paraId="2B6EE55A"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BD2A1D" w14:paraId="1DFA7C7E" w14:textId="77777777" w:rsidTr="00BD2A1D">
        <w:trPr>
          <w:gridAfter w:val="1"/>
          <w:wAfter w:w="5" w:type="pct"/>
          <w:cantSplit/>
          <w:tblHeader/>
        </w:trPr>
        <w:tc>
          <w:tcPr>
            <w:tcW w:w="636" w:type="pct"/>
            <w:vMerge/>
            <w:tcBorders>
              <w:right w:val="single" w:sz="6" w:space="0" w:color="EFEFEF"/>
            </w:tcBorders>
            <w:vAlign w:val="center"/>
            <w:hideMark/>
          </w:tcPr>
          <w:p w14:paraId="30E9E0D2" w14:textId="77777777" w:rsidR="00A5540F" w:rsidRDefault="00A5540F" w:rsidP="00A5540F">
            <w:pPr>
              <w:rPr>
                <w:rFonts w:ascii="Arial Narrow" w:eastAsiaTheme="minorEastAsia" w:hAnsi="Arial Narrow"/>
                <w:color w:val="FFFFFF"/>
                <w:sz w:val="16"/>
                <w:szCs w:val="16"/>
              </w:rPr>
            </w:pPr>
          </w:p>
        </w:tc>
        <w:tc>
          <w:tcPr>
            <w:tcW w:w="823" w:type="pct"/>
            <w:tcBorders>
              <w:top w:val="single" w:sz="6" w:space="0" w:color="EFEFEF"/>
              <w:right w:val="single" w:sz="6" w:space="0" w:color="EFEFEF"/>
            </w:tcBorders>
            <w:shd w:val="clear" w:color="auto" w:fill="E0E0E0"/>
            <w:hideMark/>
          </w:tcPr>
          <w:p w14:paraId="1762B162" w14:textId="77777777" w:rsidR="00A5540F" w:rsidRDefault="00A5540F" w:rsidP="00A5540F">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usual care</w:t>
            </w:r>
          </w:p>
        </w:tc>
        <w:tc>
          <w:tcPr>
            <w:tcW w:w="1396" w:type="pct"/>
            <w:tcBorders>
              <w:top w:val="single" w:sz="6" w:space="0" w:color="EFEFEF"/>
              <w:right w:val="single" w:sz="6" w:space="0" w:color="EFEFEF"/>
            </w:tcBorders>
            <w:shd w:val="clear" w:color="auto" w:fill="E0E0E0"/>
            <w:hideMark/>
          </w:tcPr>
          <w:p w14:paraId="403BAEF4" w14:textId="77777777" w:rsidR="00A5540F" w:rsidRDefault="00A5540F" w:rsidP="00A5540F">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diet and exercise intervention</w:t>
            </w:r>
          </w:p>
        </w:tc>
        <w:tc>
          <w:tcPr>
            <w:tcW w:w="542" w:type="pct"/>
            <w:vMerge/>
            <w:tcBorders>
              <w:right w:val="single" w:sz="6" w:space="0" w:color="EFEFEF"/>
            </w:tcBorders>
            <w:vAlign w:val="center"/>
            <w:hideMark/>
          </w:tcPr>
          <w:p w14:paraId="4CB3A2E0" w14:textId="77777777" w:rsidR="00A5540F" w:rsidRDefault="00A5540F" w:rsidP="00A5540F">
            <w:pPr>
              <w:rPr>
                <w:rFonts w:ascii="Arial Narrow" w:eastAsiaTheme="minorEastAsia" w:hAnsi="Arial Narrow"/>
                <w:color w:val="FFFFFF"/>
                <w:sz w:val="16"/>
                <w:szCs w:val="16"/>
              </w:rPr>
            </w:pPr>
          </w:p>
        </w:tc>
        <w:tc>
          <w:tcPr>
            <w:tcW w:w="642" w:type="pct"/>
            <w:vMerge/>
            <w:tcBorders>
              <w:right w:val="single" w:sz="6" w:space="0" w:color="EFEFEF"/>
            </w:tcBorders>
            <w:vAlign w:val="center"/>
            <w:hideMark/>
          </w:tcPr>
          <w:p w14:paraId="227C5C38" w14:textId="77777777" w:rsidR="00A5540F" w:rsidRDefault="00A5540F" w:rsidP="00A5540F">
            <w:pPr>
              <w:rPr>
                <w:rFonts w:ascii="Arial Narrow" w:eastAsiaTheme="minorEastAsia" w:hAnsi="Arial Narrow"/>
                <w:color w:val="FFFFFF"/>
                <w:sz w:val="16"/>
                <w:szCs w:val="16"/>
              </w:rPr>
            </w:pPr>
          </w:p>
        </w:tc>
        <w:tc>
          <w:tcPr>
            <w:tcW w:w="956" w:type="pct"/>
            <w:vMerge/>
            <w:tcBorders>
              <w:right w:val="single" w:sz="6" w:space="0" w:color="EFEFEF"/>
            </w:tcBorders>
            <w:vAlign w:val="center"/>
            <w:hideMark/>
          </w:tcPr>
          <w:p w14:paraId="17EA98F4" w14:textId="77777777" w:rsidR="00A5540F" w:rsidRDefault="00A5540F" w:rsidP="00A5540F">
            <w:pPr>
              <w:rPr>
                <w:rFonts w:ascii="Arial Narrow" w:eastAsiaTheme="minorEastAsia" w:hAnsi="Arial Narrow"/>
                <w:color w:val="FFFFFF"/>
                <w:sz w:val="16"/>
                <w:szCs w:val="16"/>
              </w:rPr>
            </w:pPr>
          </w:p>
        </w:tc>
      </w:tr>
      <w:tr w:rsidR="00BD2A1D" w14:paraId="7017FEA1"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hideMark/>
          </w:tcPr>
          <w:p w14:paraId="2D86BBED"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Gestational weight gain</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shd w:val="clear" w:color="auto" w:fill="EBEBEB"/>
            <w:vAlign w:val="center"/>
            <w:hideMark/>
          </w:tcPr>
          <w:p w14:paraId="24E437E2" w14:textId="77777777" w:rsidR="00A5540F" w:rsidRDefault="00A5540F" w:rsidP="00A5540F">
            <w:pPr>
              <w:spacing w:line="240" w:lineRule="exact"/>
              <w:jc w:val="center"/>
              <w:rPr>
                <w:rFonts w:ascii="Arial Narrow" w:eastAsia="Times New Roman" w:hAnsi="Arial Narrow"/>
                <w:sz w:val="16"/>
                <w:szCs w:val="16"/>
              </w:rPr>
            </w:pPr>
          </w:p>
        </w:tc>
        <w:tc>
          <w:tcPr>
            <w:tcW w:w="1396" w:type="pct"/>
            <w:tcBorders>
              <w:top w:val="single" w:sz="6" w:space="0" w:color="000000"/>
              <w:left w:val="nil"/>
              <w:bottom w:val="single" w:sz="6" w:space="0" w:color="000000"/>
              <w:right w:val="nil"/>
            </w:tcBorders>
            <w:shd w:val="clear" w:color="auto" w:fill="EBEBEB"/>
            <w:hideMark/>
          </w:tcPr>
          <w:p w14:paraId="6240A933" w14:textId="5F6F7574" w:rsidR="00A5540F" w:rsidRDefault="00A5540F" w:rsidP="007D3B98">
            <w:pPr>
              <w:spacing w:line="240" w:lineRule="exact"/>
              <w:jc w:val="center"/>
              <w:rPr>
                <w:rFonts w:ascii="Arial Narrow" w:eastAsia="Times New Roman" w:hAnsi="Arial Narrow"/>
                <w:sz w:val="16"/>
                <w:szCs w:val="16"/>
              </w:rPr>
            </w:pPr>
            <w:r>
              <w:rPr>
                <w:rStyle w:val="cell-value"/>
                <w:rFonts w:ascii="Arial Narrow" w:eastAsia="Times New Roman" w:hAnsi="Arial Narrow"/>
                <w:sz w:val="16"/>
                <w:szCs w:val="16"/>
              </w:rPr>
              <w:t>The mean gestational weight gain in the intervention group was 1.</w:t>
            </w:r>
            <w:r w:rsidR="007D3B98">
              <w:rPr>
                <w:rStyle w:val="cell-value"/>
                <w:rFonts w:ascii="Arial Narrow" w:eastAsia="Times New Roman" w:hAnsi="Arial Narrow"/>
                <w:sz w:val="16"/>
                <w:szCs w:val="16"/>
              </w:rPr>
              <w:t>25 </w:t>
            </w:r>
            <w:r>
              <w:rPr>
                <w:rStyle w:val="cell-value"/>
                <w:rFonts w:ascii="Arial Narrow" w:eastAsia="Times New Roman" w:hAnsi="Arial Narrow"/>
                <w:sz w:val="16"/>
                <w:szCs w:val="16"/>
              </w:rPr>
              <w:t xml:space="preserve">kg lower </w:t>
            </w:r>
            <w:r>
              <w:rPr>
                <w:rStyle w:val="cell-value"/>
                <w:rFonts w:ascii="Arial Narrow" w:eastAsia="Times New Roman" w:hAnsi="Arial Narrow"/>
                <w:sz w:val="16"/>
                <w:szCs w:val="16"/>
              </w:rPr>
              <w:br/>
              <w:t>(1.</w:t>
            </w:r>
            <w:r w:rsidR="009642E2">
              <w:rPr>
                <w:rStyle w:val="cell-value"/>
                <w:rFonts w:ascii="Arial Narrow" w:eastAsia="Times New Roman" w:hAnsi="Arial Narrow"/>
                <w:sz w:val="16"/>
                <w:szCs w:val="16"/>
              </w:rPr>
              <w:t>6</w:t>
            </w:r>
            <w:r w:rsidR="00AD1656">
              <w:rPr>
                <w:rStyle w:val="cell-value"/>
                <w:rFonts w:ascii="Arial Narrow" w:eastAsia="Times New Roman" w:hAnsi="Arial Narrow"/>
                <w:sz w:val="16"/>
                <w:szCs w:val="16"/>
              </w:rPr>
              <w:t>4</w:t>
            </w:r>
            <w:r w:rsidR="001240F7">
              <w:rPr>
                <w:rStyle w:val="cell-value"/>
                <w:rFonts w:ascii="Arial Narrow" w:eastAsia="Times New Roman" w:hAnsi="Arial Narrow"/>
                <w:sz w:val="16"/>
                <w:szCs w:val="16"/>
              </w:rPr>
              <w:t xml:space="preserve"> </w:t>
            </w:r>
            <w:r>
              <w:rPr>
                <w:rStyle w:val="cell-value"/>
                <w:rFonts w:ascii="Arial Narrow" w:eastAsia="Times New Roman" w:hAnsi="Arial Narrow"/>
                <w:sz w:val="16"/>
                <w:szCs w:val="16"/>
              </w:rPr>
              <w:t>lower to 0.</w:t>
            </w:r>
            <w:r w:rsidR="009642E2">
              <w:rPr>
                <w:rStyle w:val="cell-value"/>
                <w:rFonts w:ascii="Arial Narrow" w:eastAsia="Times New Roman" w:hAnsi="Arial Narrow"/>
                <w:sz w:val="16"/>
                <w:szCs w:val="16"/>
              </w:rPr>
              <w:t>86</w:t>
            </w:r>
            <w:r>
              <w:rPr>
                <w:rStyle w:val="cell-value"/>
                <w:rFonts w:ascii="Arial Narrow" w:eastAsia="Times New Roman" w:hAnsi="Arial Narrow"/>
                <w:sz w:val="16"/>
                <w:szCs w:val="16"/>
              </w:rPr>
              <w:t xml:space="preserve"> lower)</w:t>
            </w:r>
            <w:r>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65A7EA08" w14:textId="77777777" w:rsidR="00A5540F" w:rsidRDefault="00A5540F" w:rsidP="00A5540F">
            <w:pPr>
              <w:spacing w:line="240" w:lineRule="exact"/>
              <w:jc w:val="center"/>
              <w:rPr>
                <w:rFonts w:ascii="Arial Narrow" w:eastAsia="Times New Roman" w:hAnsi="Arial Narrow"/>
                <w:sz w:val="16"/>
                <w:szCs w:val="16"/>
              </w:rPr>
            </w:pP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75CA334F" w14:textId="78013641" w:rsidR="00A5540F" w:rsidRDefault="009642E2" w:rsidP="00F55670">
            <w:pPr>
              <w:spacing w:line="240" w:lineRule="exact"/>
              <w:jc w:val="center"/>
              <w:rPr>
                <w:rFonts w:ascii="Arial Narrow" w:eastAsia="Times New Roman" w:hAnsi="Arial Narrow"/>
                <w:sz w:val="16"/>
                <w:szCs w:val="16"/>
              </w:rPr>
            </w:pPr>
            <w:r>
              <w:rPr>
                <w:rFonts w:ascii="Arial Narrow" w:eastAsia="Times New Roman" w:hAnsi="Arial Narrow"/>
                <w:sz w:val="16"/>
                <w:szCs w:val="16"/>
              </w:rPr>
              <w:t>9,083</w:t>
            </w:r>
            <w:r w:rsidR="00A5540F">
              <w:rPr>
                <w:rFonts w:ascii="Arial Narrow" w:eastAsia="Times New Roman" w:hAnsi="Arial Narrow"/>
                <w:sz w:val="16"/>
                <w:szCs w:val="16"/>
              </w:rPr>
              <w:br/>
              <w:t>(</w:t>
            </w:r>
            <w:r w:rsidR="004A360B">
              <w:rPr>
                <w:rFonts w:ascii="Arial Narrow" w:eastAsia="Times New Roman" w:hAnsi="Arial Narrow"/>
                <w:sz w:val="16"/>
                <w:szCs w:val="16"/>
              </w:rPr>
              <w:t>3</w:t>
            </w:r>
            <w:r>
              <w:rPr>
                <w:rFonts w:ascii="Arial Narrow" w:eastAsia="Times New Roman" w:hAnsi="Arial Narrow"/>
                <w:sz w:val="16"/>
                <w:szCs w:val="16"/>
              </w:rPr>
              <w:t>6</w:t>
            </w:r>
            <w:r w:rsidR="00F55670">
              <w:rPr>
                <w:rFonts w:ascii="Arial Narrow" w:eastAsia="Times New Roman" w:hAnsi="Arial Narrow"/>
                <w:sz w:val="16"/>
                <w:szCs w:val="16"/>
              </w:rPr>
              <w:t xml:space="preserve"> </w:t>
            </w:r>
            <w:r w:rsidR="00A5540F">
              <w:rPr>
                <w:rFonts w:ascii="Arial Narrow" w:eastAsia="Times New Roman" w:hAnsi="Arial Narrow"/>
                <w:sz w:val="16"/>
                <w:szCs w:val="16"/>
              </w:rPr>
              <w:t xml:space="preserve">RCTs) </w:t>
            </w:r>
          </w:p>
        </w:tc>
        <w:tc>
          <w:tcPr>
            <w:tcW w:w="956" w:type="pct"/>
            <w:tcBorders>
              <w:top w:val="single" w:sz="6" w:space="0" w:color="000000"/>
              <w:left w:val="nil"/>
              <w:bottom w:val="single" w:sz="6" w:space="0" w:color="000000"/>
              <w:right w:val="nil"/>
            </w:tcBorders>
            <w:vAlign w:val="center"/>
            <w:hideMark/>
          </w:tcPr>
          <w:p w14:paraId="691F47F2" w14:textId="1EE91F73" w:rsidR="00A5540F" w:rsidRDefault="00A5540F" w:rsidP="000916D9">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sidR="000916D9">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BD2A1D" w14:paraId="64E79799"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hideMark/>
          </w:tcPr>
          <w:p w14:paraId="63906005"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Weight gain &gt;IOM guidelines</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vAlign w:val="center"/>
            <w:hideMark/>
          </w:tcPr>
          <w:p w14:paraId="34C091A2" w14:textId="5EFE33E6" w:rsidR="00A5540F" w:rsidRDefault="00F30B0A" w:rsidP="00A5540F">
            <w:pPr>
              <w:spacing w:line="240" w:lineRule="exact"/>
              <w:rPr>
                <w:rFonts w:ascii="Arial Narrow" w:eastAsia="Times New Roman" w:hAnsi="Arial Narrow"/>
                <w:sz w:val="16"/>
                <w:szCs w:val="16"/>
              </w:rPr>
            </w:pPr>
            <w:r>
              <w:rPr>
                <w:rFonts w:ascii="Arial Narrow" w:eastAsia="Times New Roman" w:hAnsi="Arial Narrow"/>
                <w:sz w:val="16"/>
                <w:szCs w:val="16"/>
              </w:rPr>
              <w:t xml:space="preserve">481 </w:t>
            </w:r>
            <w:r w:rsidR="00A5540F">
              <w:rPr>
                <w:rFonts w:ascii="Arial Narrow" w:eastAsia="Times New Roman" w:hAnsi="Arial Narrow"/>
                <w:sz w:val="16"/>
                <w:szCs w:val="16"/>
              </w:rPr>
              <w:t xml:space="preserve">per 1,000 </w:t>
            </w:r>
          </w:p>
        </w:tc>
        <w:tc>
          <w:tcPr>
            <w:tcW w:w="1396" w:type="pct"/>
            <w:tcBorders>
              <w:top w:val="single" w:sz="6" w:space="0" w:color="000000"/>
              <w:left w:val="nil"/>
              <w:bottom w:val="single" w:sz="6" w:space="0" w:color="000000"/>
              <w:right w:val="nil"/>
            </w:tcBorders>
            <w:shd w:val="clear" w:color="auto" w:fill="EBEBEB"/>
            <w:hideMark/>
          </w:tcPr>
          <w:p w14:paraId="5A9FCA51" w14:textId="30B952FA" w:rsidR="00A5540F" w:rsidRDefault="00F30B0A"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 xml:space="preserve">399 </w:t>
            </w:r>
            <w:r w:rsidR="00A5540F">
              <w:rPr>
                <w:rStyle w:val="cell-value"/>
                <w:rFonts w:ascii="Arial Narrow" w:eastAsia="Times New Roman" w:hAnsi="Arial Narrow"/>
                <w:b/>
                <w:bCs/>
                <w:szCs w:val="18"/>
              </w:rPr>
              <w:t>per 1,000</w:t>
            </w:r>
            <w:r w:rsidR="00A5540F">
              <w:rPr>
                <w:rFonts w:ascii="Arial Narrow" w:eastAsia="Times New Roman" w:hAnsi="Arial Narrow"/>
                <w:szCs w:val="18"/>
              </w:rPr>
              <w:br/>
            </w:r>
            <w:r w:rsidR="00A5540F">
              <w:rPr>
                <w:rStyle w:val="cell-value"/>
                <w:rFonts w:ascii="Arial Narrow" w:eastAsia="Times New Roman" w:hAnsi="Arial Narrow"/>
                <w:szCs w:val="18"/>
              </w:rPr>
              <w:t>(</w:t>
            </w:r>
            <w:r>
              <w:rPr>
                <w:rStyle w:val="cell-value"/>
                <w:rFonts w:ascii="Arial Narrow" w:eastAsia="Times New Roman" w:hAnsi="Arial Narrow"/>
                <w:szCs w:val="18"/>
              </w:rPr>
              <w:t xml:space="preserve">375 </w:t>
            </w:r>
            <w:r w:rsidR="00A5540F">
              <w:rPr>
                <w:rStyle w:val="cell-value"/>
                <w:rFonts w:ascii="Arial Narrow" w:eastAsia="Times New Roman" w:hAnsi="Arial Narrow"/>
                <w:szCs w:val="18"/>
              </w:rPr>
              <w:t xml:space="preserve">to </w:t>
            </w:r>
            <w:r>
              <w:rPr>
                <w:rStyle w:val="cell-value"/>
                <w:rFonts w:ascii="Arial Narrow" w:eastAsia="Times New Roman" w:hAnsi="Arial Narrow"/>
                <w:szCs w:val="18"/>
              </w:rPr>
              <w:t>428</w:t>
            </w:r>
            <w:r w:rsidR="00A5540F">
              <w:rPr>
                <w:rStyle w:val="cell-value"/>
                <w:rFonts w:ascii="Arial Narrow" w:eastAsia="Times New Roman" w:hAnsi="Arial Narrow"/>
                <w:szCs w:val="18"/>
              </w:rPr>
              <w:t>)</w:t>
            </w:r>
            <w:r w:rsidR="00A5540F">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3F2176CB" w14:textId="2C880C35" w:rsidR="00A5540F" w:rsidRDefault="00A5540F" w:rsidP="009C7391">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0.8</w:t>
            </w:r>
            <w:r w:rsidR="00160CCC">
              <w:rPr>
                <w:rStyle w:val="block"/>
                <w:rFonts w:ascii="Arial Narrow" w:eastAsia="Times New Roman" w:hAnsi="Arial Narrow"/>
                <w:b/>
                <w:bCs/>
                <w:sz w:val="16"/>
                <w:szCs w:val="16"/>
              </w:rPr>
              <w:t>3</w:t>
            </w:r>
            <w:r>
              <w:rPr>
                <w:rFonts w:ascii="Arial Narrow" w:eastAsia="Times New Roman" w:hAnsi="Arial Narrow"/>
                <w:sz w:val="16"/>
                <w:szCs w:val="16"/>
              </w:rPr>
              <w:br/>
            </w:r>
            <w:r>
              <w:rPr>
                <w:rStyle w:val="cell"/>
                <w:rFonts w:ascii="Arial Narrow" w:eastAsia="Times New Roman" w:hAnsi="Arial Narrow"/>
                <w:sz w:val="16"/>
                <w:szCs w:val="16"/>
              </w:rPr>
              <w:t>(0.</w:t>
            </w:r>
            <w:r w:rsidR="00160CCC">
              <w:rPr>
                <w:rStyle w:val="cell"/>
                <w:rFonts w:ascii="Arial Narrow" w:eastAsia="Times New Roman" w:hAnsi="Arial Narrow"/>
                <w:sz w:val="16"/>
                <w:szCs w:val="16"/>
              </w:rPr>
              <w:t>78</w:t>
            </w:r>
            <w:r w:rsidR="009C7391">
              <w:rPr>
                <w:rStyle w:val="cell"/>
                <w:rFonts w:ascii="Arial Narrow" w:eastAsia="Times New Roman" w:hAnsi="Arial Narrow"/>
                <w:sz w:val="16"/>
                <w:szCs w:val="16"/>
              </w:rPr>
              <w:t xml:space="preserve"> </w:t>
            </w:r>
            <w:r w:rsidR="004A360B">
              <w:rPr>
                <w:rStyle w:val="cell"/>
                <w:rFonts w:ascii="Arial Narrow" w:eastAsia="Times New Roman" w:hAnsi="Arial Narrow"/>
                <w:sz w:val="16"/>
                <w:szCs w:val="16"/>
              </w:rPr>
              <w:t>to 0.</w:t>
            </w:r>
            <w:r w:rsidR="00160CCC">
              <w:rPr>
                <w:rStyle w:val="cell"/>
                <w:rFonts w:ascii="Arial Narrow" w:eastAsia="Times New Roman" w:hAnsi="Arial Narrow"/>
                <w:sz w:val="16"/>
                <w:szCs w:val="16"/>
              </w:rPr>
              <w:t>89</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01D71CC5" w14:textId="60D87322" w:rsidR="00A5540F" w:rsidRDefault="00AD1656" w:rsidP="00160CCC">
            <w:pPr>
              <w:spacing w:line="240" w:lineRule="exact"/>
              <w:jc w:val="center"/>
              <w:rPr>
                <w:rFonts w:ascii="Arial Narrow" w:eastAsia="Times New Roman" w:hAnsi="Arial Narrow"/>
                <w:sz w:val="16"/>
                <w:szCs w:val="16"/>
              </w:rPr>
            </w:pPr>
            <w:r>
              <w:rPr>
                <w:rFonts w:ascii="Arial Narrow" w:eastAsia="Times New Roman" w:hAnsi="Arial Narrow"/>
                <w:sz w:val="16"/>
                <w:szCs w:val="16"/>
              </w:rPr>
              <w:t>7,</w:t>
            </w:r>
            <w:r w:rsidR="00160CCC">
              <w:rPr>
                <w:rFonts w:ascii="Arial Narrow" w:eastAsia="Times New Roman" w:hAnsi="Arial Narrow"/>
                <w:sz w:val="16"/>
                <w:szCs w:val="16"/>
              </w:rPr>
              <w:t>905</w:t>
            </w:r>
            <w:r w:rsidR="00A5540F">
              <w:rPr>
                <w:rFonts w:ascii="Arial Narrow" w:eastAsia="Times New Roman" w:hAnsi="Arial Narrow"/>
                <w:sz w:val="16"/>
                <w:szCs w:val="16"/>
              </w:rPr>
              <w:br/>
              <w:t>(2</w:t>
            </w:r>
            <w:r w:rsidR="00160CCC">
              <w:rPr>
                <w:rFonts w:ascii="Arial Narrow" w:eastAsia="Times New Roman" w:hAnsi="Arial Narrow"/>
                <w:sz w:val="16"/>
                <w:szCs w:val="16"/>
              </w:rPr>
              <w:t>9</w:t>
            </w:r>
            <w:r w:rsidR="00A5540F">
              <w:rPr>
                <w:rFonts w:ascii="Arial Narrow" w:eastAsia="Times New Roman" w:hAnsi="Arial Narrow"/>
                <w:sz w:val="16"/>
                <w:szCs w:val="16"/>
              </w:rPr>
              <w:t xml:space="preserve"> RCTs) </w:t>
            </w:r>
          </w:p>
        </w:tc>
        <w:tc>
          <w:tcPr>
            <w:tcW w:w="956" w:type="pct"/>
            <w:tcBorders>
              <w:top w:val="single" w:sz="6" w:space="0" w:color="000000"/>
              <w:left w:val="nil"/>
              <w:bottom w:val="single" w:sz="6" w:space="0" w:color="000000"/>
              <w:right w:val="nil"/>
            </w:tcBorders>
            <w:vAlign w:val="center"/>
            <w:hideMark/>
          </w:tcPr>
          <w:p w14:paraId="34776EEF"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BD2A1D" w14:paraId="49FE8526"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hideMark/>
          </w:tcPr>
          <w:p w14:paraId="23AFB215"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Gestational diabetes</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vAlign w:val="center"/>
            <w:hideMark/>
          </w:tcPr>
          <w:p w14:paraId="264F9FE1" w14:textId="1F466293" w:rsidR="00A5540F" w:rsidRDefault="00F30B0A" w:rsidP="00F30B0A">
            <w:pPr>
              <w:spacing w:line="240" w:lineRule="exact"/>
              <w:rPr>
                <w:rFonts w:ascii="Arial Narrow" w:eastAsia="Times New Roman" w:hAnsi="Arial Narrow"/>
                <w:sz w:val="16"/>
                <w:szCs w:val="16"/>
              </w:rPr>
            </w:pPr>
            <w:r>
              <w:rPr>
                <w:rFonts w:ascii="Arial Narrow" w:eastAsia="Times New Roman" w:hAnsi="Arial Narrow"/>
                <w:sz w:val="16"/>
                <w:szCs w:val="16"/>
              </w:rPr>
              <w:t xml:space="preserve">180 </w:t>
            </w:r>
            <w:r w:rsidR="00A5540F">
              <w:rPr>
                <w:rFonts w:ascii="Arial Narrow" w:eastAsia="Times New Roman" w:hAnsi="Arial Narrow"/>
                <w:sz w:val="16"/>
                <w:szCs w:val="16"/>
              </w:rPr>
              <w:t xml:space="preserve">per 1,000 </w:t>
            </w:r>
          </w:p>
        </w:tc>
        <w:tc>
          <w:tcPr>
            <w:tcW w:w="1396" w:type="pct"/>
            <w:tcBorders>
              <w:top w:val="single" w:sz="6" w:space="0" w:color="000000"/>
              <w:left w:val="nil"/>
              <w:bottom w:val="single" w:sz="6" w:space="0" w:color="000000"/>
              <w:right w:val="nil"/>
            </w:tcBorders>
            <w:shd w:val="clear" w:color="auto" w:fill="EBEBEB"/>
            <w:hideMark/>
          </w:tcPr>
          <w:p w14:paraId="57B542D1" w14:textId="0A0BA4EC" w:rsidR="00A5540F" w:rsidRDefault="00F30B0A"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 xml:space="preserve">162 </w:t>
            </w:r>
            <w:r w:rsidR="00A5540F">
              <w:rPr>
                <w:rStyle w:val="cell-value"/>
                <w:rFonts w:ascii="Arial Narrow" w:eastAsia="Times New Roman" w:hAnsi="Arial Narrow"/>
                <w:b/>
                <w:bCs/>
                <w:szCs w:val="18"/>
              </w:rPr>
              <w:t>per 1,000</w:t>
            </w:r>
            <w:r w:rsidR="00A5540F">
              <w:rPr>
                <w:rFonts w:ascii="Arial Narrow" w:eastAsia="Times New Roman" w:hAnsi="Arial Narrow"/>
                <w:szCs w:val="18"/>
              </w:rPr>
              <w:br/>
            </w:r>
            <w:r w:rsidR="00A5540F">
              <w:rPr>
                <w:rStyle w:val="cell-value"/>
                <w:rFonts w:ascii="Arial Narrow" w:eastAsia="Times New Roman" w:hAnsi="Arial Narrow"/>
                <w:szCs w:val="18"/>
              </w:rPr>
              <w:t>(</w:t>
            </w:r>
            <w:r>
              <w:rPr>
                <w:rStyle w:val="cell-value"/>
                <w:rFonts w:ascii="Arial Narrow" w:eastAsia="Times New Roman" w:hAnsi="Arial Narrow"/>
                <w:szCs w:val="18"/>
              </w:rPr>
              <w:t xml:space="preserve">145 </w:t>
            </w:r>
            <w:r w:rsidR="00A5540F">
              <w:rPr>
                <w:rStyle w:val="cell-value"/>
                <w:rFonts w:ascii="Arial Narrow" w:eastAsia="Times New Roman" w:hAnsi="Arial Narrow"/>
                <w:szCs w:val="18"/>
              </w:rPr>
              <w:t xml:space="preserve">to </w:t>
            </w:r>
            <w:r>
              <w:rPr>
                <w:rStyle w:val="cell-value"/>
                <w:rFonts w:ascii="Arial Narrow" w:eastAsia="Times New Roman" w:hAnsi="Arial Narrow"/>
                <w:szCs w:val="18"/>
              </w:rPr>
              <w:t>181</w:t>
            </w:r>
            <w:r w:rsidR="00A5540F">
              <w:rPr>
                <w:rStyle w:val="cell-value"/>
                <w:rFonts w:ascii="Arial Narrow" w:eastAsia="Times New Roman" w:hAnsi="Arial Narrow"/>
                <w:szCs w:val="18"/>
              </w:rPr>
              <w:t>)</w:t>
            </w:r>
            <w:r w:rsidR="00A5540F">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5FD14216" w14:textId="556D0B1D" w:rsidR="00A5540F" w:rsidRDefault="00A5540F" w:rsidP="00160CCC">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w:t>
            </w:r>
            <w:r w:rsidR="00160CCC">
              <w:rPr>
                <w:rStyle w:val="block"/>
                <w:rFonts w:ascii="Arial Narrow" w:eastAsia="Times New Roman" w:hAnsi="Arial Narrow"/>
                <w:b/>
                <w:bCs/>
                <w:sz w:val="16"/>
                <w:szCs w:val="16"/>
              </w:rPr>
              <w:t>90</w:t>
            </w:r>
            <w:r>
              <w:rPr>
                <w:rFonts w:ascii="Arial Narrow" w:eastAsia="Times New Roman" w:hAnsi="Arial Narrow"/>
                <w:sz w:val="16"/>
                <w:szCs w:val="16"/>
              </w:rPr>
              <w:br/>
            </w:r>
            <w:r>
              <w:rPr>
                <w:rStyle w:val="cell"/>
                <w:rFonts w:ascii="Arial Narrow" w:eastAsia="Times New Roman" w:hAnsi="Arial Narrow"/>
                <w:sz w:val="16"/>
                <w:szCs w:val="16"/>
              </w:rPr>
              <w:t>(0.</w:t>
            </w:r>
            <w:r w:rsidR="00160CCC">
              <w:rPr>
                <w:rStyle w:val="cell"/>
                <w:rFonts w:ascii="Arial Narrow" w:eastAsia="Times New Roman" w:hAnsi="Arial Narrow"/>
                <w:sz w:val="16"/>
                <w:szCs w:val="16"/>
              </w:rPr>
              <w:t>81</w:t>
            </w:r>
            <w:r w:rsidR="005E1FF5">
              <w:rPr>
                <w:rStyle w:val="cell"/>
                <w:rFonts w:ascii="Arial Narrow" w:eastAsia="Times New Roman" w:hAnsi="Arial Narrow"/>
                <w:sz w:val="16"/>
                <w:szCs w:val="16"/>
              </w:rPr>
              <w:t xml:space="preserve"> </w:t>
            </w:r>
            <w:r>
              <w:rPr>
                <w:rStyle w:val="cell"/>
                <w:rFonts w:ascii="Arial Narrow" w:eastAsia="Times New Roman" w:hAnsi="Arial Narrow"/>
                <w:sz w:val="16"/>
                <w:szCs w:val="16"/>
              </w:rPr>
              <w:t>to 1.</w:t>
            </w:r>
            <w:r w:rsidR="00CE7A0A">
              <w:rPr>
                <w:rStyle w:val="cell"/>
                <w:rFonts w:ascii="Arial Narrow" w:eastAsia="Times New Roman" w:hAnsi="Arial Narrow"/>
                <w:sz w:val="16"/>
                <w:szCs w:val="16"/>
              </w:rPr>
              <w:t>01</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79E130FD" w14:textId="6F623131" w:rsidR="00A5540F" w:rsidRDefault="00160CCC"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9,011</w:t>
            </w:r>
            <w:r w:rsidR="00A5540F">
              <w:rPr>
                <w:rFonts w:ascii="Arial Narrow" w:eastAsia="Times New Roman" w:hAnsi="Arial Narrow"/>
                <w:sz w:val="16"/>
                <w:szCs w:val="16"/>
              </w:rPr>
              <w:br/>
              <w:t>(2</w:t>
            </w:r>
            <w:r>
              <w:rPr>
                <w:rFonts w:ascii="Arial Narrow" w:eastAsia="Times New Roman" w:hAnsi="Arial Narrow"/>
                <w:sz w:val="16"/>
                <w:szCs w:val="16"/>
              </w:rPr>
              <w:t>6</w:t>
            </w:r>
            <w:r w:rsidR="00A5540F">
              <w:rPr>
                <w:rFonts w:ascii="Arial Narrow" w:eastAsia="Times New Roman" w:hAnsi="Arial Narrow"/>
                <w:sz w:val="16"/>
                <w:szCs w:val="16"/>
              </w:rPr>
              <w:t xml:space="preserve"> RCTs) </w:t>
            </w:r>
          </w:p>
        </w:tc>
        <w:tc>
          <w:tcPr>
            <w:tcW w:w="956" w:type="pct"/>
            <w:tcBorders>
              <w:top w:val="single" w:sz="6" w:space="0" w:color="000000"/>
              <w:left w:val="nil"/>
              <w:bottom w:val="single" w:sz="6" w:space="0" w:color="000000"/>
              <w:right w:val="nil"/>
            </w:tcBorders>
            <w:vAlign w:val="center"/>
            <w:hideMark/>
          </w:tcPr>
          <w:p w14:paraId="4F21426F"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p>
        </w:tc>
      </w:tr>
      <w:tr w:rsidR="00BD2A1D" w14:paraId="6585ED78"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hideMark/>
          </w:tcPr>
          <w:p w14:paraId="4446E111"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Gestational hypertension</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vAlign w:val="center"/>
            <w:hideMark/>
          </w:tcPr>
          <w:p w14:paraId="6E350FFB" w14:textId="25061F16" w:rsidR="00A5540F" w:rsidRDefault="00F30B0A" w:rsidP="00A5540F">
            <w:pPr>
              <w:spacing w:line="240" w:lineRule="exact"/>
              <w:rPr>
                <w:rFonts w:ascii="Arial Narrow" w:eastAsia="Times New Roman" w:hAnsi="Arial Narrow"/>
                <w:sz w:val="16"/>
                <w:szCs w:val="16"/>
              </w:rPr>
            </w:pPr>
            <w:r>
              <w:rPr>
                <w:rFonts w:ascii="Arial Narrow" w:eastAsia="Times New Roman" w:hAnsi="Arial Narrow"/>
                <w:sz w:val="16"/>
                <w:szCs w:val="16"/>
              </w:rPr>
              <w:t>8</w:t>
            </w:r>
            <w:r w:rsidR="004D020C">
              <w:rPr>
                <w:rFonts w:ascii="Arial Narrow" w:eastAsia="Times New Roman" w:hAnsi="Arial Narrow"/>
                <w:sz w:val="16"/>
                <w:szCs w:val="16"/>
              </w:rPr>
              <w:t>4</w:t>
            </w:r>
            <w:r w:rsidR="00A5540F">
              <w:rPr>
                <w:rFonts w:ascii="Arial Narrow" w:eastAsia="Times New Roman" w:hAnsi="Arial Narrow"/>
                <w:sz w:val="16"/>
                <w:szCs w:val="16"/>
              </w:rPr>
              <w:t xml:space="preserve"> per 1,000 </w:t>
            </w:r>
          </w:p>
        </w:tc>
        <w:tc>
          <w:tcPr>
            <w:tcW w:w="1396" w:type="pct"/>
            <w:tcBorders>
              <w:top w:val="single" w:sz="6" w:space="0" w:color="000000"/>
              <w:left w:val="nil"/>
              <w:bottom w:val="single" w:sz="6" w:space="0" w:color="000000"/>
              <w:right w:val="nil"/>
            </w:tcBorders>
            <w:shd w:val="clear" w:color="auto" w:fill="EBEBEB"/>
            <w:hideMark/>
          </w:tcPr>
          <w:p w14:paraId="04B302FA" w14:textId="13E5211B" w:rsidR="00A5540F" w:rsidRDefault="00F30B0A"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 xml:space="preserve">83 </w:t>
            </w:r>
            <w:r w:rsidR="00A5540F">
              <w:rPr>
                <w:rStyle w:val="cell-value"/>
                <w:rFonts w:ascii="Arial Narrow" w:eastAsia="Times New Roman" w:hAnsi="Arial Narrow"/>
                <w:b/>
                <w:bCs/>
                <w:szCs w:val="18"/>
              </w:rPr>
              <w:t>per 1,000</w:t>
            </w:r>
            <w:r w:rsidR="00A5540F">
              <w:rPr>
                <w:rFonts w:ascii="Arial Narrow" w:eastAsia="Times New Roman" w:hAnsi="Arial Narrow"/>
                <w:szCs w:val="18"/>
              </w:rPr>
              <w:br/>
            </w:r>
            <w:r w:rsidR="00A5540F">
              <w:rPr>
                <w:rStyle w:val="cell-value"/>
                <w:rFonts w:ascii="Arial Narrow" w:eastAsia="Times New Roman" w:hAnsi="Arial Narrow"/>
                <w:szCs w:val="18"/>
              </w:rPr>
              <w:t>(</w:t>
            </w:r>
            <w:r>
              <w:rPr>
                <w:rStyle w:val="cell-value"/>
                <w:rFonts w:ascii="Arial Narrow" w:eastAsia="Times New Roman" w:hAnsi="Arial Narrow"/>
                <w:szCs w:val="18"/>
              </w:rPr>
              <w:t xml:space="preserve">64 </w:t>
            </w:r>
            <w:r w:rsidR="00A5540F">
              <w:rPr>
                <w:rStyle w:val="cell-value"/>
                <w:rFonts w:ascii="Arial Narrow" w:eastAsia="Times New Roman" w:hAnsi="Arial Narrow"/>
                <w:szCs w:val="18"/>
              </w:rPr>
              <w:t xml:space="preserve">to </w:t>
            </w:r>
            <w:r>
              <w:rPr>
                <w:rStyle w:val="cell-value"/>
                <w:rFonts w:ascii="Arial Narrow" w:eastAsia="Times New Roman" w:hAnsi="Arial Narrow"/>
                <w:szCs w:val="18"/>
              </w:rPr>
              <w:t>107</w:t>
            </w:r>
            <w:r w:rsidR="00A5540F">
              <w:rPr>
                <w:rStyle w:val="cell-value"/>
                <w:rFonts w:ascii="Arial Narrow" w:eastAsia="Times New Roman" w:hAnsi="Arial Narrow"/>
                <w:szCs w:val="18"/>
              </w:rPr>
              <w:t>)</w:t>
            </w:r>
            <w:r w:rsidR="00A5540F">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6285EEC9" w14:textId="70C2AD0E" w:rsidR="00A5540F" w:rsidRDefault="00A5540F" w:rsidP="00213A2E">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w:t>
            </w:r>
            <w:r w:rsidR="00213A2E">
              <w:rPr>
                <w:rStyle w:val="block"/>
                <w:rFonts w:ascii="Arial Narrow" w:eastAsia="Times New Roman" w:hAnsi="Arial Narrow"/>
                <w:b/>
                <w:bCs/>
                <w:sz w:val="16"/>
                <w:szCs w:val="16"/>
              </w:rPr>
              <w:t>9</w:t>
            </w:r>
            <w:r w:rsidR="00160CCC">
              <w:rPr>
                <w:rStyle w:val="block"/>
                <w:rFonts w:ascii="Arial Narrow" w:eastAsia="Times New Roman" w:hAnsi="Arial Narrow"/>
                <w:b/>
                <w:bCs/>
                <w:sz w:val="16"/>
                <w:szCs w:val="16"/>
              </w:rPr>
              <w:t>9</w:t>
            </w:r>
            <w:r>
              <w:rPr>
                <w:rFonts w:ascii="Arial Narrow" w:eastAsia="Times New Roman" w:hAnsi="Arial Narrow"/>
                <w:sz w:val="16"/>
                <w:szCs w:val="16"/>
              </w:rPr>
              <w:br/>
            </w:r>
            <w:r>
              <w:rPr>
                <w:rStyle w:val="cell"/>
                <w:rFonts w:ascii="Arial Narrow" w:eastAsia="Times New Roman" w:hAnsi="Arial Narrow"/>
                <w:sz w:val="16"/>
                <w:szCs w:val="16"/>
              </w:rPr>
              <w:t>(0.</w:t>
            </w:r>
            <w:r w:rsidR="00160CCC">
              <w:rPr>
                <w:rStyle w:val="cell"/>
                <w:rFonts w:ascii="Arial Narrow" w:eastAsia="Times New Roman" w:hAnsi="Arial Narrow"/>
                <w:sz w:val="16"/>
                <w:szCs w:val="16"/>
              </w:rPr>
              <w:t>77</w:t>
            </w:r>
            <w:r w:rsidR="00213A2E">
              <w:rPr>
                <w:rStyle w:val="cell"/>
                <w:rFonts w:ascii="Arial Narrow" w:eastAsia="Times New Roman" w:hAnsi="Arial Narrow"/>
                <w:sz w:val="16"/>
                <w:szCs w:val="16"/>
              </w:rPr>
              <w:t xml:space="preserve"> </w:t>
            </w:r>
            <w:r>
              <w:rPr>
                <w:rStyle w:val="cell"/>
                <w:rFonts w:ascii="Arial Narrow" w:eastAsia="Times New Roman" w:hAnsi="Arial Narrow"/>
                <w:sz w:val="16"/>
                <w:szCs w:val="16"/>
              </w:rPr>
              <w:t>to 1.</w:t>
            </w:r>
            <w:r w:rsidR="00160CCC">
              <w:rPr>
                <w:rStyle w:val="cell"/>
                <w:rFonts w:ascii="Arial Narrow" w:eastAsia="Times New Roman" w:hAnsi="Arial Narrow"/>
                <w:sz w:val="16"/>
                <w:szCs w:val="16"/>
              </w:rPr>
              <w:t>28</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4726772D" w14:textId="0221FB1D" w:rsidR="00A5540F" w:rsidRDefault="00160CCC" w:rsidP="00213A2E">
            <w:pPr>
              <w:spacing w:line="240" w:lineRule="exact"/>
              <w:jc w:val="center"/>
              <w:rPr>
                <w:rFonts w:ascii="Arial Narrow" w:eastAsia="Times New Roman" w:hAnsi="Arial Narrow"/>
                <w:sz w:val="16"/>
                <w:szCs w:val="16"/>
              </w:rPr>
            </w:pPr>
            <w:r>
              <w:rPr>
                <w:rFonts w:ascii="Arial Narrow" w:eastAsia="Times New Roman" w:hAnsi="Arial Narrow"/>
                <w:sz w:val="16"/>
                <w:szCs w:val="16"/>
              </w:rPr>
              <w:t>4,980</w:t>
            </w:r>
            <w:r w:rsidR="00A5540F">
              <w:rPr>
                <w:rFonts w:ascii="Arial Narrow" w:eastAsia="Times New Roman" w:hAnsi="Arial Narrow"/>
                <w:sz w:val="16"/>
                <w:szCs w:val="16"/>
              </w:rPr>
              <w:br/>
              <w:t>(1</w:t>
            </w:r>
            <w:r>
              <w:rPr>
                <w:rFonts w:ascii="Arial Narrow" w:eastAsia="Times New Roman" w:hAnsi="Arial Narrow"/>
                <w:sz w:val="16"/>
                <w:szCs w:val="16"/>
              </w:rPr>
              <w:t>3</w:t>
            </w:r>
            <w:r w:rsidR="00A5540F">
              <w:rPr>
                <w:rFonts w:ascii="Arial Narrow" w:eastAsia="Times New Roman" w:hAnsi="Arial Narrow"/>
                <w:sz w:val="16"/>
                <w:szCs w:val="16"/>
              </w:rPr>
              <w:t xml:space="preserve"> RCTs) </w:t>
            </w:r>
          </w:p>
        </w:tc>
        <w:tc>
          <w:tcPr>
            <w:tcW w:w="956" w:type="pct"/>
            <w:tcBorders>
              <w:top w:val="single" w:sz="6" w:space="0" w:color="000000"/>
              <w:left w:val="nil"/>
              <w:bottom w:val="single" w:sz="6" w:space="0" w:color="000000"/>
              <w:right w:val="nil"/>
            </w:tcBorders>
            <w:vAlign w:val="center"/>
            <w:hideMark/>
          </w:tcPr>
          <w:p w14:paraId="29B6D13D" w14:textId="5E587B5A" w:rsidR="00A5540F" w:rsidRDefault="00A5540F" w:rsidP="007E786A">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sidR="007E786A">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BD2A1D" w14:paraId="31C30F12" w14:textId="77777777" w:rsidTr="008E1F6E">
        <w:trPr>
          <w:gridAfter w:val="1"/>
          <w:wAfter w:w="5" w:type="pct"/>
          <w:cantSplit/>
          <w:trHeight w:val="694"/>
        </w:trPr>
        <w:tc>
          <w:tcPr>
            <w:tcW w:w="636" w:type="pct"/>
            <w:tcBorders>
              <w:top w:val="single" w:sz="6" w:space="0" w:color="000000"/>
              <w:left w:val="nil"/>
              <w:bottom w:val="single" w:sz="6" w:space="0" w:color="000000"/>
              <w:right w:val="nil"/>
            </w:tcBorders>
            <w:vAlign w:val="center"/>
            <w:hideMark/>
          </w:tcPr>
          <w:p w14:paraId="5DF40C67"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Pre-eclampsia</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vAlign w:val="center"/>
            <w:hideMark/>
          </w:tcPr>
          <w:p w14:paraId="768CB643" w14:textId="6CAB47E5" w:rsidR="00A5540F" w:rsidRDefault="00A5540F" w:rsidP="00A5540F">
            <w:pPr>
              <w:spacing w:line="240" w:lineRule="exact"/>
              <w:rPr>
                <w:rFonts w:ascii="Arial Narrow" w:eastAsia="Times New Roman" w:hAnsi="Arial Narrow"/>
                <w:sz w:val="16"/>
                <w:szCs w:val="16"/>
              </w:rPr>
            </w:pPr>
            <w:r>
              <w:rPr>
                <w:rFonts w:ascii="Arial Narrow" w:eastAsia="Times New Roman" w:hAnsi="Arial Narrow"/>
                <w:sz w:val="16"/>
                <w:szCs w:val="16"/>
              </w:rPr>
              <w:t>5</w:t>
            </w:r>
            <w:r w:rsidR="00F30B0A">
              <w:rPr>
                <w:rFonts w:ascii="Arial Narrow" w:eastAsia="Times New Roman" w:hAnsi="Arial Narrow"/>
                <w:sz w:val="16"/>
                <w:szCs w:val="16"/>
              </w:rPr>
              <w:t>1</w:t>
            </w:r>
            <w:r>
              <w:rPr>
                <w:rFonts w:ascii="Arial Narrow" w:eastAsia="Times New Roman" w:hAnsi="Arial Narrow"/>
                <w:sz w:val="16"/>
                <w:szCs w:val="16"/>
              </w:rPr>
              <w:t xml:space="preserve"> per 1,000 </w:t>
            </w:r>
          </w:p>
        </w:tc>
        <w:tc>
          <w:tcPr>
            <w:tcW w:w="1396" w:type="pct"/>
            <w:tcBorders>
              <w:top w:val="single" w:sz="6" w:space="0" w:color="000000"/>
              <w:left w:val="nil"/>
              <w:bottom w:val="single" w:sz="6" w:space="0" w:color="000000"/>
              <w:right w:val="nil"/>
            </w:tcBorders>
            <w:shd w:val="clear" w:color="auto" w:fill="EBEBEB"/>
            <w:hideMark/>
          </w:tcPr>
          <w:p w14:paraId="0F39294B" w14:textId="3DD3F5B4" w:rsidR="00A5540F" w:rsidRDefault="00A5540F"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5</w:t>
            </w:r>
            <w:r w:rsidR="00F30B0A">
              <w:rPr>
                <w:rStyle w:val="cell-value"/>
                <w:rFonts w:ascii="Arial Narrow" w:eastAsia="Times New Roman" w:hAnsi="Arial Narrow"/>
                <w:b/>
                <w:bCs/>
                <w:szCs w:val="18"/>
              </w:rPr>
              <w:t>4</w:t>
            </w:r>
            <w:r>
              <w:rPr>
                <w:rStyle w:val="cell-value"/>
                <w:rFonts w:ascii="Arial Narrow" w:eastAsia="Times New Roman" w:hAnsi="Arial Narrow"/>
                <w:b/>
                <w:bCs/>
                <w:szCs w:val="18"/>
              </w:rPr>
              <w:t xml:space="preserve"> per 1,000</w:t>
            </w:r>
            <w:r>
              <w:rPr>
                <w:rFonts w:ascii="Arial Narrow" w:eastAsia="Times New Roman" w:hAnsi="Arial Narrow"/>
                <w:szCs w:val="18"/>
              </w:rPr>
              <w:br/>
            </w:r>
            <w:r>
              <w:rPr>
                <w:rStyle w:val="cell-value"/>
                <w:rFonts w:ascii="Arial Narrow" w:eastAsia="Times New Roman" w:hAnsi="Arial Narrow"/>
                <w:szCs w:val="18"/>
              </w:rPr>
              <w:t>(</w:t>
            </w:r>
            <w:r w:rsidR="00F30B0A">
              <w:rPr>
                <w:rStyle w:val="cell-value"/>
                <w:rFonts w:ascii="Arial Narrow" w:eastAsia="Times New Roman" w:hAnsi="Arial Narrow"/>
                <w:szCs w:val="18"/>
              </w:rPr>
              <w:t xml:space="preserve">44 </w:t>
            </w:r>
            <w:r>
              <w:rPr>
                <w:rStyle w:val="cell-value"/>
                <w:rFonts w:ascii="Arial Narrow" w:eastAsia="Times New Roman" w:hAnsi="Arial Narrow"/>
                <w:szCs w:val="18"/>
              </w:rPr>
              <w:t xml:space="preserve">to </w:t>
            </w:r>
            <w:r w:rsidR="00F30B0A">
              <w:rPr>
                <w:rStyle w:val="cell-value"/>
                <w:rFonts w:ascii="Arial Narrow" w:eastAsia="Times New Roman" w:hAnsi="Arial Narrow"/>
                <w:szCs w:val="18"/>
              </w:rPr>
              <w:t>65</w:t>
            </w:r>
            <w:r>
              <w:rPr>
                <w:rStyle w:val="cell-value"/>
                <w:rFonts w:ascii="Arial Narrow" w:eastAsia="Times New Roman" w:hAnsi="Arial Narrow"/>
                <w:szCs w:val="18"/>
              </w:rPr>
              <w:t>)</w:t>
            </w:r>
            <w:r>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1EF1ECF4" w14:textId="3639B571" w:rsidR="00A5540F" w:rsidRDefault="00A5540F" w:rsidP="00A5540F">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1.0</w:t>
            </w:r>
            <w:r w:rsidR="00160CCC">
              <w:rPr>
                <w:rStyle w:val="block"/>
                <w:rFonts w:ascii="Arial Narrow" w:eastAsia="Times New Roman" w:hAnsi="Arial Narrow"/>
                <w:b/>
                <w:bCs/>
                <w:sz w:val="16"/>
                <w:szCs w:val="16"/>
              </w:rPr>
              <w:t>6</w:t>
            </w:r>
            <w:r>
              <w:rPr>
                <w:rFonts w:ascii="Arial Narrow" w:eastAsia="Times New Roman" w:hAnsi="Arial Narrow"/>
                <w:sz w:val="16"/>
                <w:szCs w:val="16"/>
              </w:rPr>
              <w:br/>
            </w:r>
            <w:r>
              <w:rPr>
                <w:rStyle w:val="cell"/>
                <w:rFonts w:ascii="Arial Narrow" w:eastAsia="Times New Roman" w:hAnsi="Arial Narrow"/>
                <w:sz w:val="16"/>
                <w:szCs w:val="16"/>
              </w:rPr>
              <w:t>(0.8</w:t>
            </w:r>
            <w:r w:rsidR="00160CCC">
              <w:rPr>
                <w:rStyle w:val="cell"/>
                <w:rFonts w:ascii="Arial Narrow" w:eastAsia="Times New Roman" w:hAnsi="Arial Narrow"/>
                <w:sz w:val="16"/>
                <w:szCs w:val="16"/>
              </w:rPr>
              <w:t>7</w:t>
            </w:r>
            <w:r>
              <w:rPr>
                <w:rStyle w:val="cell"/>
                <w:rFonts w:ascii="Arial Narrow" w:eastAsia="Times New Roman" w:hAnsi="Arial Narrow"/>
                <w:sz w:val="16"/>
                <w:szCs w:val="16"/>
              </w:rPr>
              <w:t xml:space="preserve"> to 1.</w:t>
            </w:r>
            <w:r w:rsidR="00213A2E">
              <w:rPr>
                <w:rStyle w:val="cell"/>
                <w:rFonts w:ascii="Arial Narrow" w:eastAsia="Times New Roman" w:hAnsi="Arial Narrow"/>
                <w:sz w:val="16"/>
                <w:szCs w:val="16"/>
              </w:rPr>
              <w:t>29</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421C03CA" w14:textId="15C6CDDD" w:rsidR="00A5540F" w:rsidRDefault="00160CCC" w:rsidP="00213A2E">
            <w:pPr>
              <w:spacing w:line="240" w:lineRule="exact"/>
              <w:jc w:val="center"/>
              <w:rPr>
                <w:rFonts w:ascii="Arial Narrow" w:eastAsia="Times New Roman" w:hAnsi="Arial Narrow"/>
                <w:sz w:val="16"/>
                <w:szCs w:val="16"/>
              </w:rPr>
            </w:pPr>
            <w:r>
              <w:rPr>
                <w:rFonts w:ascii="Arial Narrow" w:eastAsia="Times New Roman" w:hAnsi="Arial Narrow"/>
                <w:sz w:val="16"/>
                <w:szCs w:val="16"/>
              </w:rPr>
              <w:t>7,069</w:t>
            </w:r>
            <w:r w:rsidR="00A5540F">
              <w:rPr>
                <w:rFonts w:ascii="Arial Narrow" w:eastAsia="Times New Roman" w:hAnsi="Arial Narrow"/>
                <w:sz w:val="16"/>
                <w:szCs w:val="16"/>
              </w:rPr>
              <w:br/>
              <w:t>(1</w:t>
            </w:r>
            <w:r>
              <w:rPr>
                <w:rFonts w:ascii="Arial Narrow" w:eastAsia="Times New Roman" w:hAnsi="Arial Narrow"/>
                <w:sz w:val="16"/>
                <w:szCs w:val="16"/>
              </w:rPr>
              <w:t>4</w:t>
            </w:r>
            <w:r w:rsidR="00A5540F">
              <w:rPr>
                <w:rFonts w:ascii="Arial Narrow" w:eastAsia="Times New Roman" w:hAnsi="Arial Narrow"/>
                <w:sz w:val="16"/>
                <w:szCs w:val="16"/>
              </w:rPr>
              <w:t xml:space="preserve"> RCTs) </w:t>
            </w:r>
          </w:p>
        </w:tc>
        <w:tc>
          <w:tcPr>
            <w:tcW w:w="956" w:type="pct"/>
            <w:tcBorders>
              <w:top w:val="single" w:sz="6" w:space="0" w:color="000000"/>
              <w:left w:val="nil"/>
              <w:bottom w:val="single" w:sz="6" w:space="0" w:color="000000"/>
              <w:right w:val="nil"/>
            </w:tcBorders>
            <w:vAlign w:val="center"/>
            <w:hideMark/>
          </w:tcPr>
          <w:p w14:paraId="47CA2A3C"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c</w:t>
            </w:r>
          </w:p>
        </w:tc>
      </w:tr>
      <w:tr w:rsidR="00BD2A1D" w14:paraId="38B8569F"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hideMark/>
          </w:tcPr>
          <w:p w14:paraId="23260620"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Caesarean section</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vAlign w:val="center"/>
            <w:hideMark/>
          </w:tcPr>
          <w:p w14:paraId="04C5B246" w14:textId="06D44465" w:rsidR="00A5540F" w:rsidRDefault="00F30B0A" w:rsidP="00F30B0A">
            <w:pPr>
              <w:spacing w:line="240" w:lineRule="exact"/>
              <w:rPr>
                <w:rFonts w:ascii="Arial Narrow" w:eastAsia="Times New Roman" w:hAnsi="Arial Narrow"/>
                <w:sz w:val="16"/>
                <w:szCs w:val="16"/>
              </w:rPr>
            </w:pPr>
            <w:r>
              <w:rPr>
                <w:rFonts w:ascii="Arial Narrow" w:eastAsia="Times New Roman" w:hAnsi="Arial Narrow"/>
                <w:sz w:val="16"/>
                <w:szCs w:val="16"/>
              </w:rPr>
              <w:t xml:space="preserve">282 </w:t>
            </w:r>
            <w:r w:rsidR="00A5540F">
              <w:rPr>
                <w:rFonts w:ascii="Arial Narrow" w:eastAsia="Times New Roman" w:hAnsi="Arial Narrow"/>
                <w:sz w:val="16"/>
                <w:szCs w:val="16"/>
              </w:rPr>
              <w:t xml:space="preserve">per 1,000 </w:t>
            </w:r>
          </w:p>
        </w:tc>
        <w:tc>
          <w:tcPr>
            <w:tcW w:w="1396" w:type="pct"/>
            <w:tcBorders>
              <w:top w:val="single" w:sz="6" w:space="0" w:color="000000"/>
              <w:left w:val="nil"/>
              <w:bottom w:val="single" w:sz="6" w:space="0" w:color="000000"/>
              <w:right w:val="nil"/>
            </w:tcBorders>
            <w:shd w:val="clear" w:color="auto" w:fill="EBEBEB"/>
            <w:hideMark/>
          </w:tcPr>
          <w:p w14:paraId="2F54E732" w14:textId="7947C596" w:rsidR="00A5540F" w:rsidRDefault="00F30B0A"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 xml:space="preserve">268 </w:t>
            </w:r>
            <w:r w:rsidR="00A5540F">
              <w:rPr>
                <w:rStyle w:val="cell-value"/>
                <w:rFonts w:ascii="Arial Narrow" w:eastAsia="Times New Roman" w:hAnsi="Arial Narrow"/>
                <w:b/>
                <w:bCs/>
                <w:szCs w:val="18"/>
              </w:rPr>
              <w:t>per 1,000</w:t>
            </w:r>
            <w:r w:rsidR="00A5540F">
              <w:rPr>
                <w:rFonts w:ascii="Arial Narrow" w:eastAsia="Times New Roman" w:hAnsi="Arial Narrow"/>
                <w:szCs w:val="18"/>
              </w:rPr>
              <w:br/>
            </w:r>
            <w:r w:rsidR="00A5540F">
              <w:rPr>
                <w:rStyle w:val="cell-value"/>
                <w:rFonts w:ascii="Arial Narrow" w:eastAsia="Times New Roman" w:hAnsi="Arial Narrow"/>
                <w:szCs w:val="18"/>
              </w:rPr>
              <w:t>(</w:t>
            </w:r>
            <w:r>
              <w:rPr>
                <w:rStyle w:val="cell-value"/>
                <w:rFonts w:ascii="Arial Narrow" w:eastAsia="Times New Roman" w:hAnsi="Arial Narrow"/>
                <w:szCs w:val="18"/>
              </w:rPr>
              <w:t xml:space="preserve">251 </w:t>
            </w:r>
            <w:r w:rsidR="00A5540F">
              <w:rPr>
                <w:rStyle w:val="cell-value"/>
                <w:rFonts w:ascii="Arial Narrow" w:eastAsia="Times New Roman" w:hAnsi="Arial Narrow"/>
                <w:szCs w:val="18"/>
              </w:rPr>
              <w:t xml:space="preserve">to </w:t>
            </w:r>
            <w:r>
              <w:rPr>
                <w:rStyle w:val="cell-value"/>
                <w:rFonts w:ascii="Arial Narrow" w:eastAsia="Times New Roman" w:hAnsi="Arial Narrow"/>
                <w:szCs w:val="18"/>
              </w:rPr>
              <w:t>287</w:t>
            </w:r>
            <w:r w:rsidR="00A5540F">
              <w:rPr>
                <w:rStyle w:val="cell-value"/>
                <w:rFonts w:ascii="Arial Narrow" w:eastAsia="Times New Roman" w:hAnsi="Arial Narrow"/>
                <w:szCs w:val="18"/>
              </w:rPr>
              <w:t>)</w:t>
            </w:r>
            <w:r w:rsidR="00A5540F">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673632BE" w14:textId="51740E8B" w:rsidR="00A5540F" w:rsidRDefault="00A5540F" w:rsidP="00A5540F">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0.9</w:t>
            </w:r>
            <w:r w:rsidR="004D020C">
              <w:rPr>
                <w:rStyle w:val="block"/>
                <w:rFonts w:ascii="Arial Narrow" w:eastAsia="Times New Roman" w:hAnsi="Arial Narrow"/>
                <w:b/>
                <w:bCs/>
                <w:sz w:val="16"/>
                <w:szCs w:val="16"/>
              </w:rPr>
              <w:t>5</w:t>
            </w:r>
            <w:r>
              <w:rPr>
                <w:rFonts w:ascii="Arial Narrow" w:eastAsia="Times New Roman" w:hAnsi="Arial Narrow"/>
                <w:sz w:val="16"/>
                <w:szCs w:val="16"/>
              </w:rPr>
              <w:br/>
            </w:r>
            <w:r>
              <w:rPr>
                <w:rStyle w:val="cell"/>
                <w:rFonts w:ascii="Arial Narrow" w:eastAsia="Times New Roman" w:hAnsi="Arial Narrow"/>
                <w:sz w:val="16"/>
                <w:szCs w:val="16"/>
              </w:rPr>
              <w:t>(0.8</w:t>
            </w:r>
            <w:r w:rsidR="004D020C">
              <w:rPr>
                <w:rStyle w:val="cell"/>
                <w:rFonts w:ascii="Arial Narrow" w:eastAsia="Times New Roman" w:hAnsi="Arial Narrow"/>
                <w:sz w:val="16"/>
                <w:szCs w:val="16"/>
              </w:rPr>
              <w:t>9</w:t>
            </w:r>
            <w:r>
              <w:rPr>
                <w:rStyle w:val="cell"/>
                <w:rFonts w:ascii="Arial Narrow" w:eastAsia="Times New Roman" w:hAnsi="Arial Narrow"/>
                <w:sz w:val="16"/>
                <w:szCs w:val="16"/>
              </w:rPr>
              <w:t xml:space="preserve"> to 1.0</w:t>
            </w:r>
            <w:r w:rsidR="00160CCC">
              <w:rPr>
                <w:rStyle w:val="cell"/>
                <w:rFonts w:ascii="Arial Narrow" w:eastAsia="Times New Roman" w:hAnsi="Arial Narrow"/>
                <w:sz w:val="16"/>
                <w:szCs w:val="16"/>
              </w:rPr>
              <w:t>2</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25458B1A" w14:textId="08D8BD5A" w:rsidR="00A5540F" w:rsidRDefault="00160CCC"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9,04</w:t>
            </w:r>
            <w:r w:rsidR="00862BCC">
              <w:rPr>
                <w:rFonts w:ascii="Arial Narrow" w:eastAsia="Times New Roman" w:hAnsi="Arial Narrow"/>
                <w:sz w:val="16"/>
                <w:szCs w:val="16"/>
              </w:rPr>
              <w:t>9</w:t>
            </w:r>
            <w:r w:rsidR="00A5540F">
              <w:rPr>
                <w:rFonts w:ascii="Arial Narrow" w:eastAsia="Times New Roman" w:hAnsi="Arial Narrow"/>
                <w:sz w:val="16"/>
                <w:szCs w:val="16"/>
              </w:rPr>
              <w:br/>
              <w:t>(2</w:t>
            </w:r>
            <w:r>
              <w:rPr>
                <w:rFonts w:ascii="Arial Narrow" w:eastAsia="Times New Roman" w:hAnsi="Arial Narrow"/>
                <w:sz w:val="16"/>
                <w:szCs w:val="16"/>
              </w:rPr>
              <w:t>5</w:t>
            </w:r>
            <w:r w:rsidR="00A5540F">
              <w:rPr>
                <w:rFonts w:ascii="Arial Narrow" w:eastAsia="Times New Roman" w:hAnsi="Arial Narrow"/>
                <w:sz w:val="16"/>
                <w:szCs w:val="16"/>
              </w:rPr>
              <w:t xml:space="preserve"> RCTs) </w:t>
            </w:r>
          </w:p>
        </w:tc>
        <w:tc>
          <w:tcPr>
            <w:tcW w:w="956" w:type="pct"/>
            <w:tcBorders>
              <w:top w:val="single" w:sz="6" w:space="0" w:color="000000"/>
              <w:left w:val="nil"/>
              <w:bottom w:val="single" w:sz="6" w:space="0" w:color="000000"/>
              <w:right w:val="nil"/>
            </w:tcBorders>
            <w:vAlign w:val="center"/>
            <w:hideMark/>
          </w:tcPr>
          <w:p w14:paraId="77F62362" w14:textId="527CDBA3" w:rsidR="00A5540F" w:rsidRDefault="00A5540F" w:rsidP="00C812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sidR="00C8120F">
              <w:rPr>
                <w:rStyle w:val="quality-sign"/>
                <w:rFonts w:ascii="MS Mincho" w:eastAsia="MS Mincho" w:hAnsi="MS Mincho" w:cs="MS Mincho"/>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sidR="00C8120F">
              <w:rPr>
                <w:rStyle w:val="quality-text"/>
                <w:rFonts w:ascii="Arial Narrow" w:eastAsia="Times New Roman" w:hAnsi="Arial Narrow"/>
                <w:sz w:val="16"/>
                <w:szCs w:val="16"/>
              </w:rPr>
              <w:t>LOW</w:t>
            </w:r>
            <w:r w:rsidR="00C8120F">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sidR="00C8120F">
              <w:rPr>
                <w:rFonts w:ascii="Arial Narrow" w:eastAsia="Times New Roman" w:hAnsi="Arial Narrow"/>
                <w:sz w:val="16"/>
                <w:szCs w:val="16"/>
                <w:vertAlign w:val="superscript"/>
              </w:rPr>
              <w:t>,c</w:t>
            </w:r>
          </w:p>
        </w:tc>
      </w:tr>
      <w:tr w:rsidR="00BD2A1D" w14:paraId="6A5432F7"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tcPr>
          <w:p w14:paraId="13542463" w14:textId="3B3423E5" w:rsidR="00160CCC" w:rsidRDefault="00160CCC" w:rsidP="00A5540F">
            <w:pPr>
              <w:spacing w:line="240" w:lineRule="exact"/>
              <w:jc w:val="center"/>
              <w:rPr>
                <w:rStyle w:val="label"/>
                <w:rFonts w:ascii="Arial Narrow" w:eastAsia="Times New Roman" w:hAnsi="Arial Narrow"/>
                <w:szCs w:val="18"/>
              </w:rPr>
            </w:pPr>
            <w:r>
              <w:rPr>
                <w:rStyle w:val="label"/>
                <w:rFonts w:ascii="Arial Narrow" w:eastAsia="Times New Roman" w:hAnsi="Arial Narrow"/>
                <w:szCs w:val="18"/>
              </w:rPr>
              <w:t>Antenatal depression</w:t>
            </w:r>
          </w:p>
        </w:tc>
        <w:tc>
          <w:tcPr>
            <w:tcW w:w="823" w:type="pct"/>
            <w:tcBorders>
              <w:top w:val="single" w:sz="6" w:space="0" w:color="000000"/>
              <w:left w:val="nil"/>
              <w:bottom w:val="single" w:sz="6" w:space="0" w:color="000000"/>
              <w:right w:val="nil"/>
            </w:tcBorders>
            <w:vAlign w:val="center"/>
          </w:tcPr>
          <w:p w14:paraId="1E04938D" w14:textId="10EDFBE6" w:rsidR="00160CCC" w:rsidRDefault="00F30B0A" w:rsidP="00A5540F">
            <w:pPr>
              <w:spacing w:line="240" w:lineRule="exact"/>
              <w:rPr>
                <w:rFonts w:ascii="Arial Narrow" w:eastAsia="Times New Roman" w:hAnsi="Arial Narrow"/>
                <w:sz w:val="16"/>
                <w:szCs w:val="16"/>
              </w:rPr>
            </w:pPr>
            <w:r>
              <w:rPr>
                <w:rFonts w:ascii="Arial Narrow" w:eastAsia="Times New Roman" w:hAnsi="Arial Narrow"/>
                <w:sz w:val="16"/>
                <w:szCs w:val="16"/>
              </w:rPr>
              <w:t>104 per 1,000</w:t>
            </w:r>
          </w:p>
        </w:tc>
        <w:tc>
          <w:tcPr>
            <w:tcW w:w="1396" w:type="pct"/>
            <w:tcBorders>
              <w:top w:val="single" w:sz="6" w:space="0" w:color="000000"/>
              <w:left w:val="nil"/>
              <w:bottom w:val="single" w:sz="6" w:space="0" w:color="000000"/>
              <w:right w:val="nil"/>
            </w:tcBorders>
            <w:shd w:val="clear" w:color="auto" w:fill="EBEBEB"/>
          </w:tcPr>
          <w:p w14:paraId="309D5ACB" w14:textId="7E6F114D" w:rsidR="00160CCC" w:rsidRPr="008E1F6E" w:rsidRDefault="00F30B0A" w:rsidP="006F4733">
            <w:pPr>
              <w:spacing w:line="240" w:lineRule="exact"/>
              <w:jc w:val="center"/>
              <w:rPr>
                <w:rStyle w:val="cell-value"/>
                <w:rFonts w:ascii="Arial Narrow" w:eastAsia="Times New Roman" w:hAnsi="Arial Narrow"/>
                <w:bCs/>
                <w:szCs w:val="18"/>
              </w:rPr>
            </w:pPr>
            <w:r>
              <w:rPr>
                <w:rStyle w:val="cell-value"/>
                <w:rFonts w:ascii="Arial Narrow" w:eastAsia="Times New Roman" w:hAnsi="Arial Narrow"/>
                <w:b/>
                <w:bCs/>
                <w:szCs w:val="18"/>
              </w:rPr>
              <w:t>103 per 1,000</w:t>
            </w:r>
            <w:r>
              <w:rPr>
                <w:rStyle w:val="cell-value"/>
                <w:rFonts w:ascii="Arial Narrow" w:eastAsia="Times New Roman" w:hAnsi="Arial Narrow"/>
                <w:b/>
                <w:bCs/>
                <w:szCs w:val="18"/>
              </w:rPr>
              <w:br/>
            </w:r>
            <w:r>
              <w:rPr>
                <w:rStyle w:val="cell-value"/>
                <w:rFonts w:ascii="Arial Narrow" w:eastAsia="Times New Roman" w:hAnsi="Arial Narrow"/>
                <w:bCs/>
                <w:szCs w:val="18"/>
              </w:rPr>
              <w:t>(83 to 127)</w:t>
            </w:r>
          </w:p>
        </w:tc>
        <w:tc>
          <w:tcPr>
            <w:tcW w:w="542" w:type="pct"/>
            <w:tcBorders>
              <w:top w:val="single" w:sz="6" w:space="0" w:color="000000"/>
              <w:left w:val="nil"/>
              <w:bottom w:val="single" w:sz="6" w:space="0" w:color="000000"/>
              <w:right w:val="nil"/>
            </w:tcBorders>
            <w:vAlign w:val="center"/>
          </w:tcPr>
          <w:p w14:paraId="1FB0FE08" w14:textId="181FDE1A" w:rsidR="00160CCC" w:rsidRPr="008E1F6E" w:rsidRDefault="00160CCC" w:rsidP="00A5540F">
            <w:pPr>
              <w:spacing w:line="240" w:lineRule="exact"/>
              <w:jc w:val="center"/>
              <w:rPr>
                <w:rStyle w:val="block"/>
                <w:rFonts w:ascii="Arial Narrow" w:eastAsia="Times New Roman" w:hAnsi="Arial Narrow"/>
                <w:bCs/>
                <w:sz w:val="16"/>
                <w:szCs w:val="16"/>
              </w:rPr>
            </w:pPr>
            <w:r>
              <w:rPr>
                <w:rStyle w:val="block"/>
                <w:rFonts w:ascii="Arial Narrow" w:eastAsia="Times New Roman" w:hAnsi="Arial Narrow"/>
                <w:b/>
                <w:bCs/>
                <w:sz w:val="16"/>
                <w:szCs w:val="16"/>
              </w:rPr>
              <w:t>RR 0.99</w:t>
            </w:r>
            <w:r>
              <w:rPr>
                <w:rStyle w:val="block"/>
                <w:rFonts w:ascii="Arial Narrow" w:eastAsia="Times New Roman" w:hAnsi="Arial Narrow"/>
                <w:b/>
                <w:bCs/>
                <w:sz w:val="16"/>
                <w:szCs w:val="16"/>
              </w:rPr>
              <w:br/>
            </w:r>
            <w:r>
              <w:rPr>
                <w:rStyle w:val="block"/>
                <w:rFonts w:ascii="Arial Narrow" w:eastAsia="Times New Roman" w:hAnsi="Arial Narrow"/>
                <w:bCs/>
                <w:sz w:val="16"/>
                <w:szCs w:val="16"/>
              </w:rPr>
              <w:t>(0.80 to 1.22)</w:t>
            </w:r>
          </w:p>
        </w:tc>
        <w:tc>
          <w:tcPr>
            <w:tcW w:w="642" w:type="pct"/>
            <w:tcBorders>
              <w:top w:val="single" w:sz="6" w:space="0" w:color="000000"/>
              <w:left w:val="nil"/>
              <w:bottom w:val="single" w:sz="6" w:space="0" w:color="000000"/>
              <w:right w:val="nil"/>
            </w:tcBorders>
            <w:vAlign w:val="center"/>
          </w:tcPr>
          <w:p w14:paraId="640E3C0A" w14:textId="0050F9CF" w:rsidR="00160CCC" w:rsidDel="00160CCC" w:rsidRDefault="00160CCC"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2,908</w:t>
            </w:r>
            <w:r>
              <w:rPr>
                <w:rFonts w:ascii="Arial Narrow" w:eastAsia="Times New Roman" w:hAnsi="Arial Narrow"/>
                <w:sz w:val="16"/>
                <w:szCs w:val="16"/>
              </w:rPr>
              <w:br/>
              <w:t>(2 RCTs)</w:t>
            </w:r>
          </w:p>
        </w:tc>
        <w:tc>
          <w:tcPr>
            <w:tcW w:w="956" w:type="pct"/>
            <w:tcBorders>
              <w:top w:val="single" w:sz="6" w:space="0" w:color="000000"/>
              <w:left w:val="nil"/>
              <w:bottom w:val="single" w:sz="6" w:space="0" w:color="000000"/>
              <w:right w:val="nil"/>
            </w:tcBorders>
            <w:vAlign w:val="center"/>
          </w:tcPr>
          <w:p w14:paraId="1122423F" w14:textId="43B02F51" w:rsidR="00160CCC" w:rsidRDefault="00160CCC" w:rsidP="00C8120F">
            <w:pPr>
              <w:spacing w:line="240" w:lineRule="exact"/>
              <w:jc w:val="center"/>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a,c</w:t>
            </w:r>
          </w:p>
        </w:tc>
      </w:tr>
      <w:tr w:rsidR="00BD2A1D" w14:paraId="73A50711" w14:textId="77777777" w:rsidTr="00BD2A1D">
        <w:trPr>
          <w:gridAfter w:val="1"/>
          <w:wAfter w:w="5" w:type="pct"/>
          <w:cantSplit/>
        </w:trPr>
        <w:tc>
          <w:tcPr>
            <w:tcW w:w="636" w:type="pct"/>
            <w:tcBorders>
              <w:top w:val="single" w:sz="6" w:space="0" w:color="000000"/>
              <w:left w:val="nil"/>
              <w:bottom w:val="single" w:sz="6" w:space="0" w:color="000000"/>
              <w:right w:val="nil"/>
            </w:tcBorders>
            <w:vAlign w:val="center"/>
            <w:hideMark/>
          </w:tcPr>
          <w:p w14:paraId="12DFDA85"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Postnatal weight retention (latest time reported)</w:t>
            </w:r>
            <w:r>
              <w:rPr>
                <w:rFonts w:ascii="Arial Narrow" w:eastAsia="Times New Roman" w:hAnsi="Arial Narrow"/>
                <w:sz w:val="16"/>
                <w:szCs w:val="16"/>
              </w:rPr>
              <w:t xml:space="preserve"> </w:t>
            </w:r>
          </w:p>
        </w:tc>
        <w:tc>
          <w:tcPr>
            <w:tcW w:w="823" w:type="pct"/>
            <w:tcBorders>
              <w:top w:val="single" w:sz="6" w:space="0" w:color="000000"/>
              <w:left w:val="nil"/>
              <w:bottom w:val="single" w:sz="6" w:space="0" w:color="000000"/>
              <w:right w:val="nil"/>
            </w:tcBorders>
            <w:shd w:val="clear" w:color="auto" w:fill="EBEBEB"/>
            <w:vAlign w:val="center"/>
            <w:hideMark/>
          </w:tcPr>
          <w:p w14:paraId="30CEE21B" w14:textId="77777777" w:rsidR="00A5540F" w:rsidRDefault="00A5540F" w:rsidP="00A5540F">
            <w:pPr>
              <w:spacing w:line="240" w:lineRule="exact"/>
              <w:jc w:val="center"/>
              <w:rPr>
                <w:rFonts w:ascii="Arial Narrow" w:eastAsia="Times New Roman" w:hAnsi="Arial Narrow"/>
                <w:sz w:val="16"/>
                <w:szCs w:val="16"/>
              </w:rPr>
            </w:pPr>
          </w:p>
        </w:tc>
        <w:tc>
          <w:tcPr>
            <w:tcW w:w="1396" w:type="pct"/>
            <w:tcBorders>
              <w:top w:val="single" w:sz="6" w:space="0" w:color="000000"/>
              <w:left w:val="nil"/>
              <w:bottom w:val="single" w:sz="6" w:space="0" w:color="000000"/>
              <w:right w:val="nil"/>
            </w:tcBorders>
            <w:shd w:val="clear" w:color="auto" w:fill="EBEBEB"/>
            <w:hideMark/>
          </w:tcPr>
          <w:p w14:paraId="0BC4EBB8" w14:textId="34D81910" w:rsidR="00A5540F" w:rsidRDefault="00A5540F" w:rsidP="00A5540F">
            <w:pPr>
              <w:spacing w:line="240" w:lineRule="exact"/>
              <w:jc w:val="center"/>
              <w:rPr>
                <w:rFonts w:ascii="Arial Narrow" w:eastAsia="Times New Roman" w:hAnsi="Arial Narrow"/>
                <w:sz w:val="16"/>
                <w:szCs w:val="16"/>
              </w:rPr>
            </w:pPr>
            <w:r>
              <w:rPr>
                <w:rStyle w:val="cell-value"/>
                <w:rFonts w:ascii="Arial Narrow" w:eastAsia="Times New Roman" w:hAnsi="Arial Narrow"/>
                <w:sz w:val="16"/>
                <w:szCs w:val="16"/>
              </w:rPr>
              <w:t>The mean postnatal weight retention (latest time reported) in the intervention group was 1.1</w:t>
            </w:r>
            <w:r w:rsidR="004D020C">
              <w:rPr>
                <w:rStyle w:val="cell-value"/>
                <w:rFonts w:ascii="Arial Narrow" w:eastAsia="Times New Roman" w:hAnsi="Arial Narrow"/>
                <w:sz w:val="16"/>
                <w:szCs w:val="16"/>
              </w:rPr>
              <w:t>9</w:t>
            </w:r>
            <w:r>
              <w:rPr>
                <w:rStyle w:val="cell-value"/>
                <w:rFonts w:ascii="Arial Narrow" w:eastAsia="Times New Roman" w:hAnsi="Arial Narrow"/>
                <w:sz w:val="16"/>
                <w:szCs w:val="16"/>
              </w:rPr>
              <w:t xml:space="preserve"> kg lower </w:t>
            </w:r>
            <w:r>
              <w:rPr>
                <w:rStyle w:val="cell-value"/>
                <w:rFonts w:ascii="Arial Narrow" w:eastAsia="Times New Roman" w:hAnsi="Arial Narrow"/>
                <w:sz w:val="16"/>
                <w:szCs w:val="16"/>
              </w:rPr>
              <w:br/>
              <w:t>(1.</w:t>
            </w:r>
            <w:r w:rsidR="004D020C">
              <w:rPr>
                <w:rStyle w:val="cell-value"/>
                <w:rFonts w:ascii="Arial Narrow" w:eastAsia="Times New Roman" w:hAnsi="Arial Narrow"/>
                <w:sz w:val="16"/>
                <w:szCs w:val="16"/>
              </w:rPr>
              <w:t>62</w:t>
            </w:r>
            <w:r>
              <w:rPr>
                <w:rStyle w:val="cell-value"/>
                <w:rFonts w:ascii="Arial Narrow" w:eastAsia="Times New Roman" w:hAnsi="Arial Narrow"/>
                <w:sz w:val="16"/>
                <w:szCs w:val="16"/>
              </w:rPr>
              <w:t xml:space="preserve"> lower to 0.</w:t>
            </w:r>
            <w:r w:rsidR="004D020C">
              <w:rPr>
                <w:rStyle w:val="cell-value"/>
                <w:rFonts w:ascii="Arial Narrow" w:eastAsia="Times New Roman" w:hAnsi="Arial Narrow"/>
                <w:sz w:val="16"/>
                <w:szCs w:val="16"/>
              </w:rPr>
              <w:t>76</w:t>
            </w:r>
            <w:r>
              <w:rPr>
                <w:rStyle w:val="cell-value"/>
                <w:rFonts w:ascii="Arial Narrow" w:eastAsia="Times New Roman" w:hAnsi="Arial Narrow"/>
                <w:sz w:val="16"/>
                <w:szCs w:val="16"/>
              </w:rPr>
              <w:t xml:space="preserve"> lower)</w:t>
            </w:r>
            <w:r>
              <w:rPr>
                <w:rFonts w:ascii="Arial Narrow" w:eastAsia="Times New Roman" w:hAnsi="Arial Narrow"/>
                <w:sz w:val="16"/>
                <w:szCs w:val="16"/>
              </w:rPr>
              <w:t xml:space="preserve"> </w:t>
            </w:r>
          </w:p>
        </w:tc>
        <w:tc>
          <w:tcPr>
            <w:tcW w:w="542" w:type="pct"/>
            <w:tcBorders>
              <w:top w:val="single" w:sz="6" w:space="0" w:color="000000"/>
              <w:left w:val="nil"/>
              <w:bottom w:val="single" w:sz="6" w:space="0" w:color="000000"/>
              <w:right w:val="nil"/>
            </w:tcBorders>
            <w:vAlign w:val="center"/>
            <w:hideMark/>
          </w:tcPr>
          <w:p w14:paraId="1C93B761" w14:textId="77777777" w:rsidR="00A5540F" w:rsidRDefault="00A5540F" w:rsidP="00A5540F">
            <w:pPr>
              <w:spacing w:line="240" w:lineRule="exact"/>
              <w:jc w:val="center"/>
              <w:rPr>
                <w:rFonts w:ascii="Arial Narrow" w:eastAsia="Times New Roman" w:hAnsi="Arial Narrow"/>
                <w:sz w:val="16"/>
                <w:szCs w:val="16"/>
              </w:rPr>
            </w:pP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642" w:type="pct"/>
            <w:tcBorders>
              <w:top w:val="single" w:sz="6" w:space="0" w:color="000000"/>
              <w:left w:val="nil"/>
              <w:bottom w:val="single" w:sz="6" w:space="0" w:color="000000"/>
              <w:right w:val="nil"/>
            </w:tcBorders>
            <w:vAlign w:val="center"/>
            <w:hideMark/>
          </w:tcPr>
          <w:p w14:paraId="69EECD4B" w14:textId="5E956598" w:rsidR="00A5540F" w:rsidRDefault="004D020C" w:rsidP="004D020C">
            <w:pPr>
              <w:spacing w:line="240" w:lineRule="exact"/>
              <w:jc w:val="center"/>
              <w:rPr>
                <w:rFonts w:ascii="Arial Narrow" w:eastAsia="Times New Roman" w:hAnsi="Arial Narrow"/>
                <w:sz w:val="16"/>
                <w:szCs w:val="16"/>
              </w:rPr>
            </w:pPr>
            <w:r>
              <w:rPr>
                <w:rFonts w:ascii="Arial Narrow" w:eastAsia="Times New Roman" w:hAnsi="Arial Narrow"/>
                <w:sz w:val="16"/>
                <w:szCs w:val="16"/>
              </w:rPr>
              <w:t>2,483</w:t>
            </w:r>
            <w:r w:rsidR="00A5540F">
              <w:rPr>
                <w:rFonts w:ascii="Arial Narrow" w:eastAsia="Times New Roman" w:hAnsi="Arial Narrow"/>
                <w:sz w:val="16"/>
                <w:szCs w:val="16"/>
              </w:rPr>
              <w:br/>
              <w:t>(</w:t>
            </w:r>
            <w:r>
              <w:rPr>
                <w:rFonts w:ascii="Arial Narrow" w:eastAsia="Times New Roman" w:hAnsi="Arial Narrow"/>
                <w:sz w:val="16"/>
                <w:szCs w:val="16"/>
              </w:rPr>
              <w:t>11</w:t>
            </w:r>
            <w:r w:rsidR="00A5540F">
              <w:rPr>
                <w:rFonts w:ascii="Arial Narrow" w:eastAsia="Times New Roman" w:hAnsi="Arial Narrow"/>
                <w:sz w:val="16"/>
                <w:szCs w:val="16"/>
              </w:rPr>
              <w:t xml:space="preserve"> RCTs) </w:t>
            </w:r>
          </w:p>
        </w:tc>
        <w:tc>
          <w:tcPr>
            <w:tcW w:w="956" w:type="pct"/>
            <w:tcBorders>
              <w:top w:val="single" w:sz="6" w:space="0" w:color="000000"/>
              <w:left w:val="nil"/>
              <w:bottom w:val="single" w:sz="6" w:space="0" w:color="000000"/>
              <w:right w:val="nil"/>
            </w:tcBorders>
            <w:vAlign w:val="center"/>
            <w:hideMark/>
          </w:tcPr>
          <w:p w14:paraId="094693E9"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p>
        </w:tc>
      </w:tr>
      <w:tr w:rsidR="00A5540F" w14:paraId="17753660" w14:textId="77777777" w:rsidTr="008E1F6E">
        <w:trPr>
          <w:cantSplit/>
        </w:trPr>
        <w:tc>
          <w:tcPr>
            <w:tcW w:w="5000" w:type="pct"/>
            <w:gridSpan w:val="7"/>
            <w:tcBorders>
              <w:top w:val="single" w:sz="6" w:space="0" w:color="000000"/>
              <w:left w:val="nil"/>
              <w:bottom w:val="single" w:sz="6" w:space="0" w:color="000000"/>
              <w:right w:val="nil"/>
            </w:tcBorders>
            <w:vAlign w:val="center"/>
            <w:hideMark/>
          </w:tcPr>
          <w:p w14:paraId="1D0D0493" w14:textId="77777777" w:rsidR="00A5540F" w:rsidRDefault="00A5540F" w:rsidP="00A5540F">
            <w:pPr>
              <w:spacing w:before="0" w:after="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A5540F" w14:paraId="36D2D59A" w14:textId="77777777" w:rsidTr="008E1F6E">
        <w:trPr>
          <w:cantSplit/>
        </w:trPr>
        <w:tc>
          <w:tcPr>
            <w:tcW w:w="5000" w:type="pct"/>
            <w:gridSpan w:val="7"/>
            <w:tcBorders>
              <w:top w:val="single" w:sz="6" w:space="0" w:color="000000"/>
              <w:left w:val="nil"/>
              <w:bottom w:val="single" w:sz="6" w:space="0" w:color="000000"/>
              <w:right w:val="nil"/>
            </w:tcBorders>
            <w:vAlign w:val="center"/>
            <w:hideMark/>
          </w:tcPr>
          <w:p w14:paraId="06B3B27B" w14:textId="77777777" w:rsidR="00A5540F" w:rsidRDefault="00A5540F" w:rsidP="00A5540F">
            <w:pPr>
              <w:spacing w:before="0" w:after="0"/>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51594245" w14:textId="77777777" w:rsidR="00A5540F" w:rsidRDefault="00A5540F"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 xml:space="preserve">a. Risk of performance bias high or unclear in all studies </w:t>
      </w:r>
    </w:p>
    <w:p w14:paraId="4A504BAF" w14:textId="77777777" w:rsidR="00F74873" w:rsidRDefault="00A5540F"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 xml:space="preserve">b. </w:t>
      </w:r>
      <w:r w:rsidR="00F74873">
        <w:rPr>
          <w:rFonts w:ascii="Arial Narrow" w:eastAsia="Times New Roman" w:hAnsi="Arial Narrow"/>
          <w:color w:val="000000"/>
          <w:sz w:val="16"/>
          <w:szCs w:val="16"/>
        </w:rPr>
        <w:t>Considerable heterogeneity</w:t>
      </w:r>
    </w:p>
    <w:p w14:paraId="11E54BB3" w14:textId="329B8A2F" w:rsidR="007E786A" w:rsidRDefault="00F74873"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 xml:space="preserve">c. </w:t>
      </w:r>
      <w:r w:rsidR="007E786A">
        <w:rPr>
          <w:rFonts w:ascii="Arial Narrow" w:eastAsia="Times New Roman" w:hAnsi="Arial Narrow"/>
          <w:color w:val="000000"/>
          <w:sz w:val="16"/>
          <w:szCs w:val="16"/>
        </w:rPr>
        <w:t xml:space="preserve">Confidence interval crosses line of no effect </w:t>
      </w:r>
    </w:p>
    <w:p w14:paraId="6925B9F3" w14:textId="24386ABA" w:rsidR="00A5540F" w:rsidRDefault="00A5540F"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 xml:space="preserve"> </w:t>
      </w:r>
    </w:p>
    <w:tbl>
      <w:tblPr>
        <w:tblW w:w="4999" w:type="pct"/>
        <w:tblCellMar>
          <w:top w:w="100" w:type="dxa"/>
          <w:left w:w="100" w:type="dxa"/>
          <w:bottom w:w="100" w:type="dxa"/>
          <w:right w:w="100" w:type="dxa"/>
        </w:tblCellMar>
        <w:tblLook w:val="04A0" w:firstRow="1" w:lastRow="0" w:firstColumn="1" w:lastColumn="0" w:noHBand="0" w:noVBand="1"/>
      </w:tblPr>
      <w:tblGrid>
        <w:gridCol w:w="1438"/>
        <w:gridCol w:w="1743"/>
        <w:gridCol w:w="2501"/>
        <w:gridCol w:w="1362"/>
        <w:gridCol w:w="939"/>
        <w:gridCol w:w="1280"/>
      </w:tblGrid>
      <w:tr w:rsidR="00A5540F" w14:paraId="3BA4012C" w14:textId="77777777" w:rsidTr="00A5540F">
        <w:trPr>
          <w:cantSplit/>
          <w:tblHeader/>
        </w:trPr>
        <w:tc>
          <w:tcPr>
            <w:tcW w:w="5000" w:type="pct"/>
            <w:gridSpan w:val="6"/>
            <w:tcBorders>
              <w:top w:val="single" w:sz="12" w:space="0" w:color="000000"/>
              <w:left w:val="nil"/>
              <w:bottom w:val="single" w:sz="12" w:space="0" w:color="000000"/>
              <w:right w:val="nil"/>
            </w:tcBorders>
            <w:vAlign w:val="center"/>
            <w:hideMark/>
          </w:tcPr>
          <w:p w14:paraId="675B7BA9" w14:textId="77777777" w:rsidR="00A5540F" w:rsidRDefault="00A5540F" w:rsidP="00A5540F">
            <w:pPr>
              <w:pStyle w:val="Heading5"/>
            </w:pPr>
            <w:r>
              <w:t>Lifestyle counselling (weight, diet, exercise, self-monitoring) compared to usual pregnancy care — infant outcomes</w:t>
            </w:r>
          </w:p>
        </w:tc>
      </w:tr>
      <w:tr w:rsidR="00A5540F" w14:paraId="4384A14C" w14:textId="77777777" w:rsidTr="00A5540F">
        <w:trPr>
          <w:cantSplit/>
          <w:tblHeader/>
        </w:trPr>
        <w:tc>
          <w:tcPr>
            <w:tcW w:w="5000" w:type="pct"/>
            <w:gridSpan w:val="6"/>
            <w:tcBorders>
              <w:top w:val="single" w:sz="12" w:space="0" w:color="000000"/>
              <w:left w:val="nil"/>
              <w:bottom w:val="single" w:sz="12" w:space="0" w:color="000000"/>
              <w:right w:val="nil"/>
            </w:tcBorders>
            <w:vAlign w:val="center"/>
            <w:hideMark/>
          </w:tcPr>
          <w:p w14:paraId="1DCDDBB7" w14:textId="77777777"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Population</w:t>
            </w:r>
            <w:r>
              <w:rPr>
                <w:rFonts w:ascii="Arial Narrow" w:eastAsia="Times New Roman" w:hAnsi="Arial Narrow"/>
                <w:sz w:val="16"/>
                <w:szCs w:val="16"/>
              </w:rPr>
              <w:t xml:space="preserve">: Pregnant women </w:t>
            </w:r>
          </w:p>
          <w:p w14:paraId="7D72B014" w14:textId="74EB7DD9"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Setting</w:t>
            </w:r>
            <w:r>
              <w:rPr>
                <w:rFonts w:ascii="Arial Narrow" w:eastAsia="Times New Roman" w:hAnsi="Arial Narrow"/>
                <w:sz w:val="16"/>
                <w:szCs w:val="16"/>
              </w:rPr>
              <w:t xml:space="preserve">: Australia, Austria, Belgium, Canada, Denmark, Finland, Germany, </w:t>
            </w:r>
            <w:r w:rsidR="0028280C">
              <w:rPr>
                <w:rFonts w:ascii="Arial Narrow" w:eastAsia="Times New Roman" w:hAnsi="Arial Narrow"/>
                <w:sz w:val="16"/>
                <w:szCs w:val="16"/>
              </w:rPr>
              <w:t xml:space="preserve">Hong Kong, </w:t>
            </w:r>
            <w:r>
              <w:rPr>
                <w:rFonts w:ascii="Arial Narrow" w:eastAsia="Times New Roman" w:hAnsi="Arial Narrow"/>
                <w:sz w:val="16"/>
                <w:szCs w:val="16"/>
              </w:rPr>
              <w:t xml:space="preserve">Ireland, Italy, Netherlands, Norway, </w:t>
            </w:r>
            <w:r w:rsidR="0028280C">
              <w:rPr>
                <w:rFonts w:ascii="Arial Narrow" w:eastAsia="Times New Roman" w:hAnsi="Arial Narrow"/>
                <w:sz w:val="16"/>
                <w:szCs w:val="16"/>
              </w:rPr>
              <w:t xml:space="preserve">Puerto Rico, </w:t>
            </w:r>
            <w:r>
              <w:rPr>
                <w:rFonts w:ascii="Arial Narrow" w:eastAsia="Times New Roman" w:hAnsi="Arial Narrow"/>
                <w:sz w:val="16"/>
                <w:szCs w:val="16"/>
              </w:rPr>
              <w:t>Poland, Spain, Sweden, United Kingdom, United States</w:t>
            </w:r>
          </w:p>
          <w:p w14:paraId="33D9DCBD" w14:textId="77777777"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Intervention</w:t>
            </w:r>
            <w:r>
              <w:rPr>
                <w:rFonts w:ascii="Arial Narrow" w:eastAsia="Times New Roman" w:hAnsi="Arial Narrow"/>
                <w:sz w:val="16"/>
                <w:szCs w:val="16"/>
              </w:rPr>
              <w:t xml:space="preserve">: Diet and exercise intervention </w:t>
            </w:r>
          </w:p>
          <w:p w14:paraId="47F600AC" w14:textId="77777777" w:rsidR="00A5540F" w:rsidRDefault="00A5540F" w:rsidP="00A5540F">
            <w:pPr>
              <w:spacing w:before="40" w:after="40" w:line="240" w:lineRule="auto"/>
              <w:rPr>
                <w:rFonts w:ascii="Arial Narrow" w:eastAsia="Times New Roman" w:hAnsi="Arial Narrow"/>
                <w:sz w:val="16"/>
                <w:szCs w:val="16"/>
              </w:rPr>
            </w:pPr>
            <w:r>
              <w:rPr>
                <w:rFonts w:ascii="Arial Narrow" w:eastAsia="Times New Roman" w:hAnsi="Arial Narrow"/>
                <w:b/>
                <w:bCs/>
                <w:sz w:val="16"/>
                <w:szCs w:val="16"/>
              </w:rPr>
              <w:t>Comparison</w:t>
            </w:r>
            <w:r>
              <w:rPr>
                <w:rFonts w:ascii="Arial Narrow" w:eastAsia="Times New Roman" w:hAnsi="Arial Narrow"/>
                <w:sz w:val="16"/>
                <w:szCs w:val="16"/>
              </w:rPr>
              <w:t xml:space="preserve">: Usual care </w:t>
            </w:r>
          </w:p>
        </w:tc>
      </w:tr>
      <w:tr w:rsidR="00A5540F" w14:paraId="3536E26F" w14:textId="77777777" w:rsidTr="00A5540F">
        <w:trPr>
          <w:cantSplit/>
          <w:tblHeader/>
        </w:trPr>
        <w:tc>
          <w:tcPr>
            <w:tcW w:w="776" w:type="pct"/>
            <w:vMerge w:val="restart"/>
            <w:tcBorders>
              <w:right w:val="single" w:sz="6" w:space="0" w:color="EFEFEF"/>
            </w:tcBorders>
            <w:shd w:val="clear" w:color="auto" w:fill="3271AA"/>
            <w:vAlign w:val="center"/>
            <w:hideMark/>
          </w:tcPr>
          <w:p w14:paraId="522CC024"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Outcomes</w:t>
            </w:r>
          </w:p>
        </w:tc>
        <w:tc>
          <w:tcPr>
            <w:tcW w:w="2291" w:type="pct"/>
            <w:gridSpan w:val="2"/>
            <w:tcBorders>
              <w:top w:val="single" w:sz="6" w:space="0" w:color="EFEFEF"/>
              <w:right w:val="single" w:sz="6" w:space="0" w:color="EFEFEF"/>
            </w:tcBorders>
            <w:shd w:val="clear" w:color="auto" w:fill="E0E0E0"/>
            <w:hideMark/>
          </w:tcPr>
          <w:p w14:paraId="19D415A0" w14:textId="77777777" w:rsidR="00A5540F" w:rsidRDefault="00A5540F" w:rsidP="00A5540F">
            <w:pPr>
              <w:pStyle w:val="NormalWeb"/>
              <w:spacing w:before="0" w:beforeAutospacing="0" w:after="0" w:afterAutospacing="0"/>
              <w:jc w:val="center"/>
              <w:rPr>
                <w:rFonts w:ascii="Arial Narrow" w:hAnsi="Arial Narrow"/>
                <w:b/>
                <w:bCs/>
                <w:sz w:val="16"/>
                <w:szCs w:val="16"/>
              </w:rPr>
            </w:pPr>
            <w:r>
              <w:rPr>
                <w:rFonts w:ascii="Arial Narrow" w:hAnsi="Arial Narrow"/>
                <w:b/>
                <w:bCs/>
                <w:sz w:val="16"/>
                <w:szCs w:val="16"/>
              </w:rPr>
              <w:t>Anticipated absolute effects</w:t>
            </w:r>
            <w:r>
              <w:rPr>
                <w:rFonts w:ascii="Arial Narrow" w:hAnsi="Arial Narrow"/>
                <w:b/>
                <w:bCs/>
                <w:sz w:val="16"/>
                <w:szCs w:val="16"/>
                <w:vertAlign w:val="superscript"/>
              </w:rPr>
              <w:t>*</w:t>
            </w:r>
            <w:r>
              <w:rPr>
                <w:rFonts w:ascii="Arial Narrow" w:hAnsi="Arial Narrow"/>
                <w:b/>
                <w:bCs/>
                <w:sz w:val="16"/>
                <w:szCs w:val="16"/>
              </w:rPr>
              <w:t xml:space="preserve"> </w:t>
            </w:r>
            <w:r>
              <w:rPr>
                <w:rFonts w:ascii="Arial Narrow" w:hAnsi="Arial Narrow"/>
                <w:sz w:val="16"/>
                <w:szCs w:val="16"/>
              </w:rPr>
              <w:t>(95% CI)</w:t>
            </w:r>
            <w:r>
              <w:rPr>
                <w:rFonts w:ascii="Arial Narrow" w:hAnsi="Arial Narrow"/>
                <w:b/>
                <w:bCs/>
                <w:sz w:val="16"/>
                <w:szCs w:val="16"/>
              </w:rPr>
              <w:t xml:space="preserve"> </w:t>
            </w:r>
          </w:p>
        </w:tc>
        <w:tc>
          <w:tcPr>
            <w:tcW w:w="735" w:type="pct"/>
            <w:vMerge w:val="restart"/>
            <w:tcBorders>
              <w:right w:val="single" w:sz="6" w:space="0" w:color="EFEFEF"/>
            </w:tcBorders>
            <w:shd w:val="clear" w:color="auto" w:fill="3271AA"/>
            <w:vAlign w:val="center"/>
            <w:hideMark/>
          </w:tcPr>
          <w:p w14:paraId="784E47DB"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Relative effect</w:t>
            </w:r>
            <w:r>
              <w:rPr>
                <w:rFonts w:ascii="Arial Narrow" w:hAnsi="Arial Narrow"/>
                <w:color w:val="FFFFFF"/>
                <w:sz w:val="16"/>
                <w:szCs w:val="16"/>
              </w:rPr>
              <w:br/>
              <w:t xml:space="preserve">(95% CI) </w:t>
            </w:r>
          </w:p>
        </w:tc>
        <w:tc>
          <w:tcPr>
            <w:tcW w:w="507" w:type="pct"/>
            <w:vMerge w:val="restart"/>
            <w:tcBorders>
              <w:right w:val="single" w:sz="6" w:space="0" w:color="EFEFEF"/>
            </w:tcBorders>
            <w:shd w:val="clear" w:color="auto" w:fill="3271AA"/>
            <w:vAlign w:val="center"/>
            <w:hideMark/>
          </w:tcPr>
          <w:p w14:paraId="6E278741"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 xml:space="preserve">№ of participants </w:t>
            </w:r>
            <w:r>
              <w:rPr>
                <w:rFonts w:ascii="Arial Narrow" w:hAnsi="Arial Narrow"/>
                <w:color w:val="FFFFFF"/>
                <w:sz w:val="16"/>
                <w:szCs w:val="16"/>
              </w:rPr>
              <w:br/>
              <w:t xml:space="preserve">(studies) </w:t>
            </w:r>
          </w:p>
        </w:tc>
        <w:tc>
          <w:tcPr>
            <w:tcW w:w="691" w:type="pct"/>
            <w:vMerge w:val="restart"/>
            <w:tcBorders>
              <w:right w:val="single" w:sz="6" w:space="0" w:color="EFEFEF"/>
            </w:tcBorders>
            <w:shd w:val="clear" w:color="auto" w:fill="3271AA"/>
            <w:vAlign w:val="center"/>
            <w:hideMark/>
          </w:tcPr>
          <w:p w14:paraId="7D7CBBA0" w14:textId="77777777" w:rsidR="00A5540F" w:rsidRDefault="00A5540F" w:rsidP="00A5540F">
            <w:pPr>
              <w:pStyle w:val="NormalWeb"/>
              <w:spacing w:before="0" w:beforeAutospacing="0" w:after="0" w:afterAutospacing="0"/>
              <w:jc w:val="center"/>
              <w:rPr>
                <w:rFonts w:ascii="Arial Narrow" w:hAnsi="Arial Narrow"/>
                <w:color w:val="FFFFFF"/>
                <w:sz w:val="16"/>
                <w:szCs w:val="16"/>
              </w:rPr>
            </w:pPr>
            <w:r>
              <w:rPr>
                <w:rFonts w:ascii="Arial Narrow" w:hAnsi="Arial Narrow"/>
                <w:color w:val="FFFFFF"/>
                <w:sz w:val="16"/>
                <w:szCs w:val="16"/>
              </w:rPr>
              <w:t>Certainty of the evidence</w:t>
            </w:r>
            <w:r>
              <w:rPr>
                <w:rFonts w:ascii="Arial Narrow" w:hAnsi="Arial Narrow"/>
                <w:color w:val="FFFFFF"/>
                <w:sz w:val="16"/>
                <w:szCs w:val="16"/>
              </w:rPr>
              <w:br/>
              <w:t xml:space="preserve">(GRADE) </w:t>
            </w:r>
          </w:p>
        </w:tc>
      </w:tr>
      <w:tr w:rsidR="00A5540F" w14:paraId="48E4E62A" w14:textId="77777777" w:rsidTr="00A5540F">
        <w:trPr>
          <w:cantSplit/>
          <w:tblHeader/>
        </w:trPr>
        <w:tc>
          <w:tcPr>
            <w:tcW w:w="776" w:type="pct"/>
            <w:vMerge/>
            <w:tcBorders>
              <w:right w:val="single" w:sz="6" w:space="0" w:color="EFEFEF"/>
            </w:tcBorders>
            <w:vAlign w:val="center"/>
            <w:hideMark/>
          </w:tcPr>
          <w:p w14:paraId="1599992A" w14:textId="77777777" w:rsidR="00A5540F" w:rsidRDefault="00A5540F" w:rsidP="00A5540F">
            <w:pPr>
              <w:rPr>
                <w:rFonts w:ascii="Arial Narrow" w:hAnsi="Arial Narrow"/>
                <w:color w:val="FFFFFF"/>
                <w:sz w:val="16"/>
                <w:szCs w:val="16"/>
              </w:rPr>
            </w:pPr>
          </w:p>
        </w:tc>
        <w:tc>
          <w:tcPr>
            <w:tcW w:w="941" w:type="pct"/>
            <w:tcBorders>
              <w:top w:val="single" w:sz="6" w:space="0" w:color="EFEFEF"/>
              <w:right w:val="single" w:sz="6" w:space="0" w:color="EFEFEF"/>
            </w:tcBorders>
            <w:shd w:val="clear" w:color="auto" w:fill="E0E0E0"/>
            <w:hideMark/>
          </w:tcPr>
          <w:p w14:paraId="409595C2" w14:textId="77777777" w:rsidR="00A5540F" w:rsidRDefault="00A5540F" w:rsidP="00A5540F">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usual care</w:t>
            </w:r>
          </w:p>
        </w:tc>
        <w:tc>
          <w:tcPr>
            <w:tcW w:w="1350" w:type="pct"/>
            <w:tcBorders>
              <w:top w:val="single" w:sz="6" w:space="0" w:color="EFEFEF"/>
              <w:right w:val="single" w:sz="6" w:space="0" w:color="EFEFEF"/>
            </w:tcBorders>
            <w:shd w:val="clear" w:color="auto" w:fill="E0E0E0"/>
            <w:hideMark/>
          </w:tcPr>
          <w:p w14:paraId="459F017A" w14:textId="77777777" w:rsidR="00A5540F" w:rsidRDefault="00A5540F" w:rsidP="00A5540F">
            <w:pPr>
              <w:pStyle w:val="first-letter"/>
              <w:spacing w:before="0" w:beforeAutospacing="0" w:after="0" w:afterAutospacing="0"/>
              <w:jc w:val="center"/>
              <w:rPr>
                <w:rFonts w:ascii="Arial Narrow" w:hAnsi="Arial Narrow"/>
                <w:b/>
                <w:bCs/>
                <w:sz w:val="16"/>
                <w:szCs w:val="16"/>
              </w:rPr>
            </w:pPr>
            <w:r>
              <w:rPr>
                <w:rFonts w:ascii="Arial Narrow" w:hAnsi="Arial Narrow"/>
                <w:b/>
                <w:bCs/>
                <w:sz w:val="16"/>
                <w:szCs w:val="16"/>
              </w:rPr>
              <w:t>Risk with lifestyle counselling</w:t>
            </w:r>
          </w:p>
        </w:tc>
        <w:tc>
          <w:tcPr>
            <w:tcW w:w="735" w:type="pct"/>
            <w:vMerge/>
            <w:tcBorders>
              <w:right w:val="single" w:sz="6" w:space="0" w:color="EFEFEF"/>
            </w:tcBorders>
            <w:vAlign w:val="center"/>
            <w:hideMark/>
          </w:tcPr>
          <w:p w14:paraId="00088289" w14:textId="77777777" w:rsidR="00A5540F" w:rsidRDefault="00A5540F" w:rsidP="00A5540F">
            <w:pPr>
              <w:rPr>
                <w:rFonts w:ascii="Arial Narrow" w:hAnsi="Arial Narrow"/>
                <w:color w:val="FFFFFF"/>
                <w:sz w:val="16"/>
                <w:szCs w:val="16"/>
              </w:rPr>
            </w:pPr>
          </w:p>
        </w:tc>
        <w:tc>
          <w:tcPr>
            <w:tcW w:w="507" w:type="pct"/>
            <w:vMerge/>
            <w:tcBorders>
              <w:right w:val="single" w:sz="6" w:space="0" w:color="EFEFEF"/>
            </w:tcBorders>
            <w:vAlign w:val="center"/>
            <w:hideMark/>
          </w:tcPr>
          <w:p w14:paraId="618473BF" w14:textId="77777777" w:rsidR="00A5540F" w:rsidRDefault="00A5540F" w:rsidP="00A5540F">
            <w:pPr>
              <w:rPr>
                <w:rFonts w:ascii="Arial Narrow" w:hAnsi="Arial Narrow"/>
                <w:color w:val="FFFFFF"/>
                <w:sz w:val="16"/>
                <w:szCs w:val="16"/>
              </w:rPr>
            </w:pPr>
          </w:p>
        </w:tc>
        <w:tc>
          <w:tcPr>
            <w:tcW w:w="691" w:type="pct"/>
            <w:vMerge/>
            <w:tcBorders>
              <w:right w:val="single" w:sz="6" w:space="0" w:color="EFEFEF"/>
            </w:tcBorders>
            <w:vAlign w:val="center"/>
            <w:hideMark/>
          </w:tcPr>
          <w:p w14:paraId="31594626" w14:textId="77777777" w:rsidR="00A5540F" w:rsidRDefault="00A5540F" w:rsidP="00A5540F">
            <w:pPr>
              <w:rPr>
                <w:rFonts w:ascii="Arial Narrow" w:hAnsi="Arial Narrow"/>
                <w:color w:val="FFFFFF"/>
                <w:sz w:val="16"/>
                <w:szCs w:val="16"/>
              </w:rPr>
            </w:pPr>
          </w:p>
        </w:tc>
      </w:tr>
      <w:tr w:rsidR="00A5540F" w14:paraId="0156F2F0" w14:textId="77777777" w:rsidTr="00A5540F">
        <w:trPr>
          <w:cantSplit/>
        </w:trPr>
        <w:tc>
          <w:tcPr>
            <w:tcW w:w="776" w:type="pct"/>
            <w:tcBorders>
              <w:top w:val="single" w:sz="6" w:space="0" w:color="000000"/>
              <w:left w:val="nil"/>
              <w:bottom w:val="single" w:sz="6" w:space="0" w:color="000000"/>
              <w:right w:val="nil"/>
            </w:tcBorders>
            <w:vAlign w:val="center"/>
            <w:hideMark/>
          </w:tcPr>
          <w:p w14:paraId="105EA23E"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Preterm birth</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hideMark/>
          </w:tcPr>
          <w:p w14:paraId="1982D4DB" w14:textId="7DE4D7AB" w:rsidR="00A5540F" w:rsidRDefault="00F30B0A" w:rsidP="00A5540F">
            <w:pPr>
              <w:spacing w:line="240" w:lineRule="exact"/>
              <w:rPr>
                <w:rFonts w:ascii="Arial Narrow" w:eastAsia="Times New Roman" w:hAnsi="Arial Narrow"/>
                <w:sz w:val="16"/>
                <w:szCs w:val="16"/>
              </w:rPr>
            </w:pPr>
            <w:r>
              <w:rPr>
                <w:rFonts w:ascii="Arial Narrow" w:eastAsia="Times New Roman" w:hAnsi="Arial Narrow"/>
                <w:sz w:val="16"/>
                <w:szCs w:val="16"/>
              </w:rPr>
              <w:t xml:space="preserve">68 </w:t>
            </w:r>
            <w:r w:rsidR="00A5540F">
              <w:rPr>
                <w:rFonts w:ascii="Arial Narrow" w:eastAsia="Times New Roman" w:hAnsi="Arial Narrow"/>
                <w:sz w:val="16"/>
                <w:szCs w:val="16"/>
              </w:rPr>
              <w:t xml:space="preserve">per 1,000 </w:t>
            </w:r>
          </w:p>
        </w:tc>
        <w:tc>
          <w:tcPr>
            <w:tcW w:w="1350" w:type="pct"/>
            <w:tcBorders>
              <w:top w:val="single" w:sz="6" w:space="0" w:color="000000"/>
              <w:left w:val="nil"/>
              <w:bottom w:val="single" w:sz="6" w:space="0" w:color="000000"/>
              <w:right w:val="nil"/>
            </w:tcBorders>
            <w:shd w:val="clear" w:color="auto" w:fill="EBEBEB"/>
            <w:hideMark/>
          </w:tcPr>
          <w:p w14:paraId="4B2C8F1A" w14:textId="2F065006" w:rsidR="00A5540F" w:rsidRDefault="00F30B0A"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 xml:space="preserve">58 </w:t>
            </w:r>
            <w:r w:rsidR="00A5540F">
              <w:rPr>
                <w:rStyle w:val="cell-value"/>
                <w:rFonts w:ascii="Arial Narrow" w:eastAsia="Times New Roman" w:hAnsi="Arial Narrow"/>
                <w:b/>
                <w:bCs/>
                <w:szCs w:val="18"/>
              </w:rPr>
              <w:t>per 1,000</w:t>
            </w:r>
            <w:r w:rsidR="00A5540F">
              <w:rPr>
                <w:rFonts w:ascii="Arial Narrow" w:eastAsia="Times New Roman" w:hAnsi="Arial Narrow"/>
                <w:szCs w:val="18"/>
              </w:rPr>
              <w:br/>
            </w:r>
            <w:r w:rsidR="00A5540F">
              <w:rPr>
                <w:rStyle w:val="cell-value"/>
                <w:rFonts w:ascii="Arial Narrow" w:eastAsia="Times New Roman" w:hAnsi="Arial Narrow"/>
                <w:szCs w:val="18"/>
              </w:rPr>
              <w:t>(</w:t>
            </w:r>
            <w:r>
              <w:rPr>
                <w:rStyle w:val="cell-value"/>
                <w:rFonts w:ascii="Arial Narrow" w:eastAsia="Times New Roman" w:hAnsi="Arial Narrow"/>
                <w:szCs w:val="18"/>
              </w:rPr>
              <w:t xml:space="preserve">49 </w:t>
            </w:r>
            <w:r w:rsidR="00A5540F">
              <w:rPr>
                <w:rStyle w:val="cell-value"/>
                <w:rFonts w:ascii="Arial Narrow" w:eastAsia="Times New Roman" w:hAnsi="Arial Narrow"/>
                <w:szCs w:val="18"/>
              </w:rPr>
              <w:t xml:space="preserve">to </w:t>
            </w:r>
            <w:r w:rsidR="00CE30DB">
              <w:rPr>
                <w:rStyle w:val="cell-value"/>
                <w:rFonts w:ascii="Arial Narrow" w:eastAsia="Times New Roman" w:hAnsi="Arial Narrow"/>
                <w:szCs w:val="18"/>
              </w:rPr>
              <w:t>69</w:t>
            </w:r>
            <w:r w:rsidR="00A5540F">
              <w:rPr>
                <w:rStyle w:val="cell-value"/>
                <w:rFonts w:ascii="Arial Narrow" w:eastAsia="Times New Roman" w:hAnsi="Arial Narrow"/>
                <w:szCs w:val="18"/>
              </w:rPr>
              <w:t>)</w:t>
            </w:r>
            <w:r w:rsidR="00A5540F">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hideMark/>
          </w:tcPr>
          <w:p w14:paraId="077AC578" w14:textId="52A5DF7F" w:rsidR="00A5540F" w:rsidRDefault="00A5540F" w:rsidP="00A5540F">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0.8</w:t>
            </w:r>
            <w:r w:rsidR="00160CCC">
              <w:rPr>
                <w:rStyle w:val="block"/>
                <w:rFonts w:ascii="Arial Narrow" w:eastAsia="Times New Roman" w:hAnsi="Arial Narrow"/>
                <w:b/>
                <w:bCs/>
                <w:sz w:val="16"/>
                <w:szCs w:val="16"/>
              </w:rPr>
              <w:t>5</w:t>
            </w:r>
            <w:r>
              <w:rPr>
                <w:rFonts w:ascii="Arial Narrow" w:eastAsia="Times New Roman" w:hAnsi="Arial Narrow"/>
                <w:sz w:val="16"/>
                <w:szCs w:val="16"/>
              </w:rPr>
              <w:br/>
            </w:r>
            <w:r>
              <w:rPr>
                <w:rStyle w:val="cell"/>
                <w:rFonts w:ascii="Arial Narrow" w:eastAsia="Times New Roman" w:hAnsi="Arial Narrow"/>
                <w:sz w:val="16"/>
                <w:szCs w:val="16"/>
              </w:rPr>
              <w:t>(0.</w:t>
            </w:r>
            <w:r w:rsidR="00160CCC">
              <w:rPr>
                <w:rStyle w:val="cell"/>
                <w:rFonts w:ascii="Arial Narrow" w:eastAsia="Times New Roman" w:hAnsi="Arial Narrow"/>
                <w:sz w:val="16"/>
                <w:szCs w:val="16"/>
              </w:rPr>
              <w:t>72</w:t>
            </w:r>
            <w:r>
              <w:rPr>
                <w:rStyle w:val="cell"/>
                <w:rFonts w:ascii="Arial Narrow" w:eastAsia="Times New Roman" w:hAnsi="Arial Narrow"/>
                <w:sz w:val="16"/>
                <w:szCs w:val="16"/>
              </w:rPr>
              <w:t xml:space="preserve"> to </w:t>
            </w:r>
            <w:r w:rsidR="00160CCC">
              <w:rPr>
                <w:rStyle w:val="cell"/>
                <w:rFonts w:ascii="Arial Narrow" w:eastAsia="Times New Roman" w:hAnsi="Arial Narrow"/>
                <w:sz w:val="16"/>
                <w:szCs w:val="16"/>
              </w:rPr>
              <w:t>1.01</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hideMark/>
          </w:tcPr>
          <w:p w14:paraId="0BF64B16" w14:textId="527E696C" w:rsidR="00A5540F" w:rsidRDefault="00160CCC" w:rsidP="000D4B4D">
            <w:pPr>
              <w:spacing w:line="240" w:lineRule="exact"/>
              <w:jc w:val="center"/>
              <w:rPr>
                <w:rFonts w:ascii="Arial Narrow" w:eastAsia="Times New Roman" w:hAnsi="Arial Narrow"/>
                <w:sz w:val="16"/>
                <w:szCs w:val="16"/>
              </w:rPr>
            </w:pPr>
            <w:r>
              <w:rPr>
                <w:rFonts w:ascii="Arial Narrow" w:eastAsia="Times New Roman" w:hAnsi="Arial Narrow"/>
                <w:sz w:val="16"/>
                <w:szCs w:val="16"/>
              </w:rPr>
              <w:t>7,497</w:t>
            </w:r>
            <w:r w:rsidR="00A5540F">
              <w:rPr>
                <w:rFonts w:ascii="Arial Narrow" w:eastAsia="Times New Roman" w:hAnsi="Arial Narrow"/>
                <w:sz w:val="16"/>
                <w:szCs w:val="16"/>
              </w:rPr>
              <w:br/>
              <w:t>(1</w:t>
            </w:r>
            <w:r>
              <w:rPr>
                <w:rFonts w:ascii="Arial Narrow" w:eastAsia="Times New Roman" w:hAnsi="Arial Narrow"/>
                <w:sz w:val="16"/>
                <w:szCs w:val="16"/>
              </w:rPr>
              <w:t>8</w:t>
            </w:r>
            <w:r w:rsidR="00A5540F">
              <w:rPr>
                <w:rFonts w:ascii="Arial Narrow" w:eastAsia="Times New Roman" w:hAnsi="Arial Narrow"/>
                <w:sz w:val="16"/>
                <w:szCs w:val="16"/>
              </w:rPr>
              <w:t xml:space="preserve"> RCTs) </w:t>
            </w:r>
          </w:p>
        </w:tc>
        <w:tc>
          <w:tcPr>
            <w:tcW w:w="691" w:type="pct"/>
            <w:tcBorders>
              <w:top w:val="single" w:sz="6" w:space="0" w:color="000000"/>
              <w:left w:val="nil"/>
              <w:bottom w:val="single" w:sz="6" w:space="0" w:color="000000"/>
              <w:right w:val="nil"/>
            </w:tcBorders>
            <w:vAlign w:val="center"/>
            <w:hideMark/>
          </w:tcPr>
          <w:p w14:paraId="02AB5134"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p>
        </w:tc>
      </w:tr>
      <w:tr w:rsidR="00A5540F" w14:paraId="4659F5CD" w14:textId="77777777" w:rsidTr="00A5540F">
        <w:trPr>
          <w:cantSplit/>
        </w:trPr>
        <w:tc>
          <w:tcPr>
            <w:tcW w:w="776" w:type="pct"/>
            <w:tcBorders>
              <w:top w:val="single" w:sz="6" w:space="0" w:color="000000"/>
              <w:left w:val="nil"/>
              <w:bottom w:val="single" w:sz="6" w:space="0" w:color="000000"/>
              <w:right w:val="nil"/>
            </w:tcBorders>
            <w:vAlign w:val="center"/>
            <w:hideMark/>
          </w:tcPr>
          <w:p w14:paraId="7FB299C2"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Low birth weight</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hideMark/>
          </w:tcPr>
          <w:p w14:paraId="01C19DA3" w14:textId="569F3BB6" w:rsidR="00A5540F" w:rsidRDefault="00A5540F" w:rsidP="00A5540F">
            <w:pPr>
              <w:spacing w:line="240" w:lineRule="exact"/>
              <w:rPr>
                <w:rFonts w:ascii="Arial Narrow" w:eastAsia="Times New Roman" w:hAnsi="Arial Narrow"/>
                <w:sz w:val="16"/>
                <w:szCs w:val="16"/>
              </w:rPr>
            </w:pPr>
            <w:r>
              <w:rPr>
                <w:rFonts w:ascii="Arial Narrow" w:eastAsia="Times New Roman" w:hAnsi="Arial Narrow"/>
                <w:sz w:val="16"/>
                <w:szCs w:val="16"/>
              </w:rPr>
              <w:t>5</w:t>
            </w:r>
            <w:r w:rsidR="00F30B0A">
              <w:rPr>
                <w:rFonts w:ascii="Arial Narrow" w:eastAsia="Times New Roman" w:hAnsi="Arial Narrow"/>
                <w:sz w:val="16"/>
                <w:szCs w:val="16"/>
              </w:rPr>
              <w:t>0</w:t>
            </w:r>
            <w:r>
              <w:rPr>
                <w:rFonts w:ascii="Arial Narrow" w:eastAsia="Times New Roman" w:hAnsi="Arial Narrow"/>
                <w:sz w:val="16"/>
                <w:szCs w:val="16"/>
              </w:rPr>
              <w:t xml:space="preserve"> per 1,000 </w:t>
            </w:r>
          </w:p>
        </w:tc>
        <w:tc>
          <w:tcPr>
            <w:tcW w:w="1350" w:type="pct"/>
            <w:tcBorders>
              <w:top w:val="single" w:sz="6" w:space="0" w:color="000000"/>
              <w:left w:val="nil"/>
              <w:bottom w:val="single" w:sz="6" w:space="0" w:color="000000"/>
              <w:right w:val="nil"/>
            </w:tcBorders>
            <w:shd w:val="clear" w:color="auto" w:fill="EBEBEB"/>
            <w:hideMark/>
          </w:tcPr>
          <w:p w14:paraId="7BC927BD" w14:textId="112D3893" w:rsidR="00A5540F" w:rsidRDefault="00A5540F" w:rsidP="00F30B0A">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4</w:t>
            </w:r>
            <w:r w:rsidR="00F30B0A">
              <w:rPr>
                <w:rStyle w:val="cell-value"/>
                <w:rFonts w:ascii="Arial Narrow" w:eastAsia="Times New Roman" w:hAnsi="Arial Narrow"/>
                <w:b/>
                <w:bCs/>
                <w:szCs w:val="18"/>
              </w:rPr>
              <w:t>4</w:t>
            </w:r>
            <w:r>
              <w:rPr>
                <w:rStyle w:val="cell-value"/>
                <w:rFonts w:ascii="Arial Narrow" w:eastAsia="Times New Roman" w:hAnsi="Arial Narrow"/>
                <w:b/>
                <w:bCs/>
                <w:szCs w:val="18"/>
              </w:rPr>
              <w:t xml:space="preserve"> per 1,000</w:t>
            </w:r>
            <w:r>
              <w:rPr>
                <w:rFonts w:ascii="Arial Narrow" w:eastAsia="Times New Roman" w:hAnsi="Arial Narrow"/>
                <w:szCs w:val="18"/>
              </w:rPr>
              <w:br/>
            </w:r>
            <w:r>
              <w:rPr>
                <w:rStyle w:val="cell-value"/>
                <w:rFonts w:ascii="Arial Narrow" w:eastAsia="Times New Roman" w:hAnsi="Arial Narrow"/>
                <w:szCs w:val="18"/>
              </w:rPr>
              <w:t>(</w:t>
            </w:r>
            <w:r w:rsidR="00F30B0A">
              <w:rPr>
                <w:rStyle w:val="cell-value"/>
                <w:rFonts w:ascii="Arial Narrow" w:eastAsia="Times New Roman" w:hAnsi="Arial Narrow"/>
                <w:szCs w:val="18"/>
              </w:rPr>
              <w:t xml:space="preserve">33 </w:t>
            </w:r>
            <w:r>
              <w:rPr>
                <w:rStyle w:val="cell-value"/>
                <w:rFonts w:ascii="Arial Narrow" w:eastAsia="Times New Roman" w:hAnsi="Arial Narrow"/>
                <w:szCs w:val="18"/>
              </w:rPr>
              <w:t>to 5</w:t>
            </w:r>
            <w:r w:rsidR="00F30B0A">
              <w:rPr>
                <w:rStyle w:val="cell-value"/>
                <w:rFonts w:ascii="Arial Narrow" w:eastAsia="Times New Roman" w:hAnsi="Arial Narrow"/>
                <w:szCs w:val="18"/>
              </w:rPr>
              <w:t>9</w:t>
            </w:r>
            <w:r>
              <w:rPr>
                <w:rStyle w:val="cell-value"/>
                <w:rFonts w:ascii="Arial Narrow" w:eastAsia="Times New Roman" w:hAnsi="Arial Narrow"/>
                <w:szCs w:val="18"/>
              </w:rPr>
              <w:t>)</w:t>
            </w:r>
            <w:r>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hideMark/>
          </w:tcPr>
          <w:p w14:paraId="6F068056" w14:textId="1CA47443" w:rsidR="00A5540F" w:rsidRDefault="00A5540F" w:rsidP="00A5540F">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w:t>
            </w:r>
            <w:r w:rsidR="00160CCC">
              <w:rPr>
                <w:rStyle w:val="block"/>
                <w:rFonts w:ascii="Arial Narrow" w:eastAsia="Times New Roman" w:hAnsi="Arial Narrow"/>
                <w:b/>
                <w:bCs/>
                <w:sz w:val="16"/>
                <w:szCs w:val="16"/>
              </w:rPr>
              <w:t>87</w:t>
            </w:r>
            <w:r>
              <w:rPr>
                <w:rFonts w:ascii="Arial Narrow" w:eastAsia="Times New Roman" w:hAnsi="Arial Narrow"/>
                <w:sz w:val="16"/>
                <w:szCs w:val="16"/>
              </w:rPr>
              <w:br/>
            </w:r>
            <w:r>
              <w:rPr>
                <w:rStyle w:val="cell"/>
                <w:rFonts w:ascii="Arial Narrow" w:eastAsia="Times New Roman" w:hAnsi="Arial Narrow"/>
                <w:sz w:val="16"/>
                <w:szCs w:val="16"/>
              </w:rPr>
              <w:t>(0.</w:t>
            </w:r>
            <w:r w:rsidR="00160CCC">
              <w:rPr>
                <w:rStyle w:val="cell"/>
                <w:rFonts w:ascii="Arial Narrow" w:eastAsia="Times New Roman" w:hAnsi="Arial Narrow"/>
                <w:sz w:val="16"/>
                <w:szCs w:val="16"/>
              </w:rPr>
              <w:t>65</w:t>
            </w:r>
            <w:r>
              <w:rPr>
                <w:rStyle w:val="cell"/>
                <w:rFonts w:ascii="Arial Narrow" w:eastAsia="Times New Roman" w:hAnsi="Arial Narrow"/>
                <w:sz w:val="16"/>
                <w:szCs w:val="16"/>
              </w:rPr>
              <w:t xml:space="preserve"> to 1.</w:t>
            </w:r>
            <w:r w:rsidR="00160CCC">
              <w:rPr>
                <w:rStyle w:val="cell"/>
                <w:rFonts w:ascii="Arial Narrow" w:eastAsia="Times New Roman" w:hAnsi="Arial Narrow"/>
                <w:sz w:val="16"/>
                <w:szCs w:val="16"/>
              </w:rPr>
              <w:t>17</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hideMark/>
          </w:tcPr>
          <w:p w14:paraId="67764BC4" w14:textId="6C0CE316" w:rsidR="00A5540F" w:rsidRDefault="00D41331"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3,6</w:t>
            </w:r>
            <w:r w:rsidR="00160CCC">
              <w:rPr>
                <w:rFonts w:ascii="Arial Narrow" w:eastAsia="Times New Roman" w:hAnsi="Arial Narrow"/>
                <w:sz w:val="16"/>
                <w:szCs w:val="16"/>
              </w:rPr>
              <w:t>65</w:t>
            </w:r>
            <w:r w:rsidR="00A5540F">
              <w:rPr>
                <w:rFonts w:ascii="Arial Narrow" w:eastAsia="Times New Roman" w:hAnsi="Arial Narrow"/>
                <w:sz w:val="16"/>
                <w:szCs w:val="16"/>
              </w:rPr>
              <w:br/>
              <w:t>(</w:t>
            </w:r>
            <w:r>
              <w:rPr>
                <w:rFonts w:ascii="Arial Narrow" w:eastAsia="Times New Roman" w:hAnsi="Arial Narrow"/>
                <w:sz w:val="16"/>
                <w:szCs w:val="16"/>
              </w:rPr>
              <w:t>3</w:t>
            </w:r>
            <w:r w:rsidR="00A5540F">
              <w:rPr>
                <w:rFonts w:ascii="Arial Narrow" w:eastAsia="Times New Roman" w:hAnsi="Arial Narrow"/>
                <w:sz w:val="16"/>
                <w:szCs w:val="16"/>
              </w:rPr>
              <w:t xml:space="preserve"> RCTs) </w:t>
            </w:r>
          </w:p>
        </w:tc>
        <w:tc>
          <w:tcPr>
            <w:tcW w:w="691" w:type="pct"/>
            <w:tcBorders>
              <w:top w:val="single" w:sz="6" w:space="0" w:color="000000"/>
              <w:left w:val="nil"/>
              <w:bottom w:val="single" w:sz="6" w:space="0" w:color="000000"/>
              <w:right w:val="nil"/>
            </w:tcBorders>
            <w:vAlign w:val="center"/>
            <w:hideMark/>
          </w:tcPr>
          <w:p w14:paraId="40458707"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A5540F" w14:paraId="106B12E9" w14:textId="77777777" w:rsidTr="00A5540F">
        <w:trPr>
          <w:cantSplit/>
        </w:trPr>
        <w:tc>
          <w:tcPr>
            <w:tcW w:w="776" w:type="pct"/>
            <w:tcBorders>
              <w:top w:val="single" w:sz="6" w:space="0" w:color="000000"/>
              <w:left w:val="nil"/>
              <w:bottom w:val="single" w:sz="6" w:space="0" w:color="000000"/>
              <w:right w:val="nil"/>
            </w:tcBorders>
            <w:vAlign w:val="center"/>
          </w:tcPr>
          <w:p w14:paraId="0437A6A6" w14:textId="77777777" w:rsidR="00A5540F" w:rsidRDefault="00A5540F" w:rsidP="00A5540F">
            <w:pPr>
              <w:spacing w:line="240" w:lineRule="exact"/>
              <w:jc w:val="center"/>
              <w:rPr>
                <w:rStyle w:val="label"/>
                <w:rFonts w:ascii="Arial Narrow" w:eastAsia="Times New Roman" w:hAnsi="Arial Narrow"/>
                <w:szCs w:val="18"/>
              </w:rPr>
            </w:pPr>
            <w:r>
              <w:rPr>
                <w:rStyle w:val="label"/>
                <w:rFonts w:ascii="Arial Narrow" w:eastAsia="Times New Roman" w:hAnsi="Arial Narrow"/>
                <w:szCs w:val="18"/>
              </w:rPr>
              <w:t>Macrosomia - &gt;4000 g</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tcPr>
          <w:p w14:paraId="6600D45E" w14:textId="26302000" w:rsidR="00A5540F" w:rsidRDefault="00F30B0A" w:rsidP="00F30B0A">
            <w:pPr>
              <w:spacing w:line="240" w:lineRule="exact"/>
              <w:rPr>
                <w:rFonts w:ascii="Arial Narrow" w:eastAsia="Times New Roman" w:hAnsi="Arial Narrow"/>
                <w:sz w:val="16"/>
                <w:szCs w:val="16"/>
              </w:rPr>
            </w:pPr>
            <w:r>
              <w:rPr>
                <w:rFonts w:ascii="Arial Narrow" w:eastAsia="Times New Roman" w:hAnsi="Arial Narrow"/>
                <w:sz w:val="16"/>
                <w:szCs w:val="16"/>
              </w:rPr>
              <w:t xml:space="preserve">160 </w:t>
            </w:r>
            <w:r w:rsidR="00A5540F">
              <w:rPr>
                <w:rFonts w:ascii="Arial Narrow" w:eastAsia="Times New Roman" w:hAnsi="Arial Narrow"/>
                <w:sz w:val="16"/>
                <w:szCs w:val="16"/>
              </w:rPr>
              <w:t xml:space="preserve">per 1,000 </w:t>
            </w:r>
          </w:p>
        </w:tc>
        <w:tc>
          <w:tcPr>
            <w:tcW w:w="1350" w:type="pct"/>
            <w:tcBorders>
              <w:top w:val="single" w:sz="6" w:space="0" w:color="000000"/>
              <w:left w:val="nil"/>
              <w:bottom w:val="single" w:sz="6" w:space="0" w:color="000000"/>
              <w:right w:val="nil"/>
            </w:tcBorders>
            <w:shd w:val="clear" w:color="auto" w:fill="EBEBEB"/>
          </w:tcPr>
          <w:p w14:paraId="48DFFE7A" w14:textId="5CDFF0BB" w:rsidR="00A5540F" w:rsidRDefault="00A5540F" w:rsidP="00F30B0A">
            <w:pPr>
              <w:spacing w:line="240" w:lineRule="exact"/>
              <w:jc w:val="center"/>
              <w:rPr>
                <w:rStyle w:val="cell-value"/>
                <w:rFonts w:ascii="Arial Narrow" w:eastAsia="Times New Roman" w:hAnsi="Arial Narrow"/>
                <w:b/>
                <w:bCs/>
                <w:szCs w:val="18"/>
              </w:rPr>
            </w:pPr>
            <w:r>
              <w:rPr>
                <w:rStyle w:val="cell-value"/>
                <w:rFonts w:ascii="Arial Narrow" w:eastAsia="Times New Roman" w:hAnsi="Arial Narrow"/>
                <w:b/>
                <w:bCs/>
                <w:szCs w:val="18"/>
              </w:rPr>
              <w:t>1</w:t>
            </w:r>
            <w:r w:rsidR="00F30B0A">
              <w:rPr>
                <w:rStyle w:val="cell-value"/>
                <w:rFonts w:ascii="Arial Narrow" w:eastAsia="Times New Roman" w:hAnsi="Arial Narrow"/>
                <w:b/>
                <w:bCs/>
                <w:szCs w:val="18"/>
              </w:rPr>
              <w:t>4</w:t>
            </w:r>
            <w:r w:rsidR="00CE30DB">
              <w:rPr>
                <w:rStyle w:val="cell-value"/>
                <w:rFonts w:ascii="Arial Narrow" w:eastAsia="Times New Roman" w:hAnsi="Arial Narrow"/>
                <w:b/>
                <w:bCs/>
                <w:szCs w:val="18"/>
              </w:rPr>
              <w:t>6</w:t>
            </w:r>
            <w:r>
              <w:rPr>
                <w:rStyle w:val="cell-value"/>
                <w:rFonts w:ascii="Arial Narrow" w:eastAsia="Times New Roman" w:hAnsi="Arial Narrow"/>
                <w:b/>
                <w:bCs/>
                <w:szCs w:val="18"/>
              </w:rPr>
              <w:t xml:space="preserve"> per 1,000</w:t>
            </w:r>
            <w:r>
              <w:rPr>
                <w:rFonts w:ascii="Arial Narrow" w:eastAsia="Times New Roman" w:hAnsi="Arial Narrow"/>
                <w:szCs w:val="18"/>
              </w:rPr>
              <w:br/>
            </w:r>
            <w:r>
              <w:rPr>
                <w:rStyle w:val="cell-value"/>
                <w:rFonts w:ascii="Arial Narrow" w:eastAsia="Times New Roman" w:hAnsi="Arial Narrow"/>
                <w:szCs w:val="18"/>
              </w:rPr>
              <w:t>(</w:t>
            </w:r>
            <w:r w:rsidR="00F30B0A">
              <w:rPr>
                <w:rStyle w:val="cell-value"/>
                <w:rFonts w:ascii="Arial Narrow" w:eastAsia="Times New Roman" w:hAnsi="Arial Narrow"/>
                <w:szCs w:val="18"/>
              </w:rPr>
              <w:t xml:space="preserve">132 </w:t>
            </w:r>
            <w:r>
              <w:rPr>
                <w:rStyle w:val="cell-value"/>
                <w:rFonts w:ascii="Arial Narrow" w:eastAsia="Times New Roman" w:hAnsi="Arial Narrow"/>
                <w:szCs w:val="18"/>
              </w:rPr>
              <w:t xml:space="preserve">to </w:t>
            </w:r>
            <w:r w:rsidR="00F30B0A">
              <w:rPr>
                <w:rStyle w:val="cell-value"/>
                <w:rFonts w:ascii="Arial Narrow" w:eastAsia="Times New Roman" w:hAnsi="Arial Narrow"/>
                <w:szCs w:val="18"/>
              </w:rPr>
              <w:t>162</w:t>
            </w:r>
            <w:r>
              <w:rPr>
                <w:rStyle w:val="cell-value"/>
                <w:rFonts w:ascii="Arial Narrow" w:eastAsia="Times New Roman" w:hAnsi="Arial Narrow"/>
                <w:szCs w:val="18"/>
              </w:rPr>
              <w:t>)</w:t>
            </w:r>
            <w:r>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tcPr>
          <w:p w14:paraId="5432707A" w14:textId="16231B77" w:rsidR="00A5540F" w:rsidRDefault="00A5540F" w:rsidP="00A5540F">
            <w:pPr>
              <w:spacing w:line="240" w:lineRule="exact"/>
              <w:jc w:val="center"/>
              <w:rPr>
                <w:rStyle w:val="block"/>
                <w:rFonts w:ascii="Arial Narrow" w:eastAsia="Times New Roman" w:hAnsi="Arial Narrow"/>
                <w:b/>
                <w:bCs/>
                <w:sz w:val="16"/>
                <w:szCs w:val="16"/>
              </w:rPr>
            </w:pPr>
            <w:r>
              <w:rPr>
                <w:rStyle w:val="block"/>
                <w:rFonts w:ascii="Arial Narrow" w:eastAsia="Times New Roman" w:hAnsi="Arial Narrow"/>
                <w:b/>
                <w:bCs/>
                <w:sz w:val="16"/>
                <w:szCs w:val="16"/>
              </w:rPr>
              <w:t>RR 0.9</w:t>
            </w:r>
            <w:r w:rsidR="00D41331">
              <w:rPr>
                <w:rStyle w:val="block"/>
                <w:rFonts w:ascii="Arial Narrow" w:eastAsia="Times New Roman" w:hAnsi="Arial Narrow"/>
                <w:b/>
                <w:bCs/>
                <w:sz w:val="16"/>
                <w:szCs w:val="16"/>
              </w:rPr>
              <w:t>1</w:t>
            </w:r>
            <w:r>
              <w:rPr>
                <w:rFonts w:ascii="Arial Narrow" w:eastAsia="Times New Roman" w:hAnsi="Arial Narrow"/>
                <w:sz w:val="16"/>
                <w:szCs w:val="16"/>
              </w:rPr>
              <w:br/>
            </w:r>
            <w:r>
              <w:rPr>
                <w:rStyle w:val="cell"/>
                <w:rFonts w:ascii="Arial Narrow" w:eastAsia="Times New Roman" w:hAnsi="Arial Narrow"/>
                <w:sz w:val="16"/>
                <w:szCs w:val="16"/>
              </w:rPr>
              <w:t>(0.82 to 1.0</w:t>
            </w:r>
            <w:r w:rsidR="00160CCC">
              <w:rPr>
                <w:rStyle w:val="cell"/>
                <w:rFonts w:ascii="Arial Narrow" w:eastAsia="Times New Roman" w:hAnsi="Arial Narrow"/>
                <w:sz w:val="16"/>
                <w:szCs w:val="16"/>
              </w:rPr>
              <w:t>1</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tcPr>
          <w:p w14:paraId="2E11D036" w14:textId="6FA3A447" w:rsidR="00A5540F" w:rsidRDefault="00160CCC" w:rsidP="00D41331">
            <w:pPr>
              <w:spacing w:line="240" w:lineRule="exact"/>
              <w:jc w:val="center"/>
              <w:rPr>
                <w:rFonts w:ascii="Arial Narrow" w:eastAsia="Times New Roman" w:hAnsi="Arial Narrow"/>
                <w:sz w:val="16"/>
                <w:szCs w:val="16"/>
              </w:rPr>
            </w:pPr>
            <w:r>
              <w:rPr>
                <w:rFonts w:ascii="Arial Narrow" w:eastAsia="Times New Roman" w:hAnsi="Arial Narrow"/>
                <w:sz w:val="16"/>
                <w:szCs w:val="16"/>
              </w:rPr>
              <w:t>7,664</w:t>
            </w:r>
            <w:r w:rsidR="00A5540F">
              <w:rPr>
                <w:rFonts w:ascii="Arial Narrow" w:eastAsia="Times New Roman" w:hAnsi="Arial Narrow"/>
                <w:sz w:val="16"/>
                <w:szCs w:val="16"/>
              </w:rPr>
              <w:br/>
              <w:t>(1</w:t>
            </w:r>
            <w:r>
              <w:rPr>
                <w:rFonts w:ascii="Arial Narrow" w:eastAsia="Times New Roman" w:hAnsi="Arial Narrow"/>
                <w:sz w:val="16"/>
                <w:szCs w:val="16"/>
              </w:rPr>
              <w:t>7</w:t>
            </w:r>
            <w:r w:rsidR="00A5540F">
              <w:rPr>
                <w:rFonts w:ascii="Arial Narrow" w:eastAsia="Times New Roman" w:hAnsi="Arial Narrow"/>
                <w:sz w:val="16"/>
                <w:szCs w:val="16"/>
              </w:rPr>
              <w:t xml:space="preserve"> RCTs) </w:t>
            </w:r>
          </w:p>
        </w:tc>
        <w:tc>
          <w:tcPr>
            <w:tcW w:w="691" w:type="pct"/>
            <w:tcBorders>
              <w:top w:val="single" w:sz="6" w:space="0" w:color="000000"/>
              <w:left w:val="nil"/>
              <w:bottom w:val="single" w:sz="6" w:space="0" w:color="000000"/>
              <w:right w:val="nil"/>
            </w:tcBorders>
            <w:vAlign w:val="center"/>
          </w:tcPr>
          <w:p w14:paraId="7C6D83ED" w14:textId="5080FA7F" w:rsidR="00A5540F" w:rsidRDefault="005D0706" w:rsidP="00A5540F">
            <w:pPr>
              <w:spacing w:line="240" w:lineRule="exact"/>
              <w:jc w:val="center"/>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A5540F" w14:paraId="5EB3AF52" w14:textId="77777777" w:rsidTr="00A5540F">
        <w:trPr>
          <w:cantSplit/>
        </w:trPr>
        <w:tc>
          <w:tcPr>
            <w:tcW w:w="776" w:type="pct"/>
            <w:tcBorders>
              <w:top w:val="single" w:sz="6" w:space="0" w:color="000000"/>
              <w:left w:val="nil"/>
              <w:bottom w:val="single" w:sz="6" w:space="0" w:color="000000"/>
              <w:right w:val="nil"/>
            </w:tcBorders>
            <w:vAlign w:val="center"/>
          </w:tcPr>
          <w:p w14:paraId="76C13933" w14:textId="77777777" w:rsidR="00A5540F" w:rsidRDefault="00A5540F" w:rsidP="00A5540F">
            <w:pPr>
              <w:spacing w:line="240" w:lineRule="exact"/>
              <w:jc w:val="center"/>
              <w:rPr>
                <w:rStyle w:val="label"/>
                <w:rFonts w:ascii="Arial Narrow" w:eastAsia="Times New Roman" w:hAnsi="Arial Narrow"/>
                <w:szCs w:val="18"/>
              </w:rPr>
            </w:pPr>
            <w:r>
              <w:rPr>
                <w:rStyle w:val="label"/>
                <w:rFonts w:ascii="Arial Narrow" w:eastAsia="Times New Roman" w:hAnsi="Arial Narrow"/>
                <w:szCs w:val="18"/>
              </w:rPr>
              <w:t>Macrosomia - &gt;4500 g</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tcPr>
          <w:p w14:paraId="6DBC6172" w14:textId="77777777" w:rsidR="00A5540F" w:rsidRDefault="00A5540F" w:rsidP="00A5540F">
            <w:pPr>
              <w:spacing w:line="240" w:lineRule="exact"/>
              <w:rPr>
                <w:rFonts w:ascii="Arial Narrow" w:eastAsia="Times New Roman" w:hAnsi="Arial Narrow"/>
                <w:sz w:val="16"/>
                <w:szCs w:val="16"/>
              </w:rPr>
            </w:pPr>
            <w:r>
              <w:rPr>
                <w:rFonts w:ascii="Arial Narrow" w:eastAsia="Times New Roman" w:hAnsi="Arial Narrow"/>
                <w:sz w:val="16"/>
                <w:szCs w:val="16"/>
              </w:rPr>
              <w:t xml:space="preserve">38 per 1,000 </w:t>
            </w:r>
          </w:p>
        </w:tc>
        <w:tc>
          <w:tcPr>
            <w:tcW w:w="1350" w:type="pct"/>
            <w:tcBorders>
              <w:top w:val="single" w:sz="6" w:space="0" w:color="000000"/>
              <w:left w:val="nil"/>
              <w:bottom w:val="single" w:sz="6" w:space="0" w:color="000000"/>
              <w:right w:val="nil"/>
            </w:tcBorders>
            <w:shd w:val="clear" w:color="auto" w:fill="EBEBEB"/>
          </w:tcPr>
          <w:p w14:paraId="6EF33F6F" w14:textId="77777777" w:rsidR="00A5540F" w:rsidRDefault="00A5540F" w:rsidP="00A5540F">
            <w:pPr>
              <w:spacing w:line="240" w:lineRule="exact"/>
              <w:jc w:val="center"/>
              <w:rPr>
                <w:rStyle w:val="cell-value"/>
                <w:rFonts w:ascii="Arial Narrow" w:eastAsia="Times New Roman" w:hAnsi="Arial Narrow"/>
                <w:b/>
                <w:bCs/>
                <w:szCs w:val="18"/>
              </w:rPr>
            </w:pPr>
            <w:r>
              <w:rPr>
                <w:rStyle w:val="cell-value"/>
                <w:rFonts w:ascii="Arial Narrow" w:eastAsia="Times New Roman" w:hAnsi="Arial Narrow"/>
                <w:b/>
                <w:bCs/>
                <w:szCs w:val="18"/>
              </w:rPr>
              <w:t>26 per 1,000</w:t>
            </w:r>
            <w:r>
              <w:rPr>
                <w:rFonts w:ascii="Arial Narrow" w:eastAsia="Times New Roman" w:hAnsi="Arial Narrow"/>
                <w:szCs w:val="18"/>
              </w:rPr>
              <w:br/>
            </w:r>
            <w:r>
              <w:rPr>
                <w:rStyle w:val="cell-value"/>
                <w:rFonts w:ascii="Arial Narrow" w:eastAsia="Times New Roman" w:hAnsi="Arial Narrow"/>
                <w:szCs w:val="18"/>
              </w:rPr>
              <w:t>(18 to 37)</w:t>
            </w:r>
            <w:r>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tcPr>
          <w:p w14:paraId="04D56A42" w14:textId="77777777" w:rsidR="00A5540F" w:rsidRDefault="00A5540F" w:rsidP="00A5540F">
            <w:pPr>
              <w:spacing w:line="240" w:lineRule="exact"/>
              <w:jc w:val="center"/>
              <w:rPr>
                <w:rStyle w:val="block"/>
                <w:rFonts w:ascii="Arial Narrow" w:eastAsia="Times New Roman" w:hAnsi="Arial Narrow"/>
                <w:b/>
                <w:bCs/>
                <w:sz w:val="16"/>
                <w:szCs w:val="16"/>
              </w:rPr>
            </w:pPr>
            <w:r>
              <w:rPr>
                <w:rStyle w:val="block"/>
                <w:rFonts w:ascii="Arial Narrow" w:eastAsia="Times New Roman" w:hAnsi="Arial Narrow"/>
                <w:b/>
                <w:bCs/>
                <w:sz w:val="16"/>
                <w:szCs w:val="16"/>
              </w:rPr>
              <w:t>RR 0.67</w:t>
            </w:r>
            <w:r>
              <w:rPr>
                <w:rFonts w:ascii="Arial Narrow" w:eastAsia="Times New Roman" w:hAnsi="Arial Narrow"/>
                <w:sz w:val="16"/>
                <w:szCs w:val="16"/>
              </w:rPr>
              <w:br/>
            </w:r>
            <w:r>
              <w:rPr>
                <w:rStyle w:val="cell"/>
                <w:rFonts w:ascii="Arial Narrow" w:eastAsia="Times New Roman" w:hAnsi="Arial Narrow"/>
                <w:sz w:val="16"/>
                <w:szCs w:val="16"/>
              </w:rPr>
              <w:t>(0.46 to 0.97)</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tcPr>
          <w:p w14:paraId="0A5A0CDE" w14:textId="00B496F5" w:rsidR="00A5540F" w:rsidRDefault="00A5540F"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3</w:t>
            </w:r>
            <w:r w:rsidR="007633BB">
              <w:rPr>
                <w:rFonts w:ascii="Arial Narrow" w:eastAsia="Times New Roman" w:hAnsi="Arial Narrow"/>
                <w:sz w:val="16"/>
                <w:szCs w:val="16"/>
              </w:rPr>
              <w:t>,</w:t>
            </w:r>
            <w:r>
              <w:rPr>
                <w:rFonts w:ascii="Arial Narrow" w:eastAsia="Times New Roman" w:hAnsi="Arial Narrow"/>
                <w:sz w:val="16"/>
                <w:szCs w:val="16"/>
              </w:rPr>
              <w:t>435</w:t>
            </w:r>
            <w:r>
              <w:rPr>
                <w:rFonts w:ascii="Arial Narrow" w:eastAsia="Times New Roman" w:hAnsi="Arial Narrow"/>
                <w:sz w:val="16"/>
                <w:szCs w:val="16"/>
              </w:rPr>
              <w:br/>
              <w:t xml:space="preserve">(5 RCTs) </w:t>
            </w:r>
          </w:p>
        </w:tc>
        <w:tc>
          <w:tcPr>
            <w:tcW w:w="691" w:type="pct"/>
            <w:tcBorders>
              <w:top w:val="single" w:sz="6" w:space="0" w:color="000000"/>
              <w:left w:val="nil"/>
              <w:bottom w:val="single" w:sz="6" w:space="0" w:color="000000"/>
              <w:right w:val="nil"/>
            </w:tcBorders>
            <w:vAlign w:val="center"/>
          </w:tcPr>
          <w:p w14:paraId="3BAC5E8A" w14:textId="79184BC5" w:rsidR="00A5540F" w:rsidRDefault="005D0706" w:rsidP="005D0706">
            <w:pPr>
              <w:spacing w:line="240" w:lineRule="exact"/>
              <w:jc w:val="center"/>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sidDel="005D0706">
              <w:rPr>
                <w:rStyle w:val="quality-sign"/>
                <w:rFonts w:ascii="Cambria" w:eastAsia="Cambria" w:hAnsi="Cambria" w:cs="Cambria"/>
                <w:sz w:val="21"/>
                <w:szCs w:val="21"/>
              </w:rPr>
              <w:t xml:space="preserve"> </w:t>
            </w:r>
          </w:p>
        </w:tc>
      </w:tr>
      <w:tr w:rsidR="00A5540F" w14:paraId="35F77273" w14:textId="77777777" w:rsidTr="00A5540F">
        <w:trPr>
          <w:cantSplit/>
        </w:trPr>
        <w:tc>
          <w:tcPr>
            <w:tcW w:w="776" w:type="pct"/>
            <w:tcBorders>
              <w:top w:val="single" w:sz="6" w:space="0" w:color="000000"/>
              <w:left w:val="nil"/>
              <w:bottom w:val="single" w:sz="6" w:space="0" w:color="000000"/>
              <w:right w:val="nil"/>
            </w:tcBorders>
            <w:vAlign w:val="center"/>
            <w:hideMark/>
          </w:tcPr>
          <w:p w14:paraId="2E59B8CD"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Small for gestational age</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hideMark/>
          </w:tcPr>
          <w:p w14:paraId="43136C69" w14:textId="73E21A19" w:rsidR="00A5540F" w:rsidRDefault="00CE30DB" w:rsidP="00A5540F">
            <w:pPr>
              <w:spacing w:line="240" w:lineRule="exact"/>
              <w:rPr>
                <w:rFonts w:ascii="Arial Narrow" w:eastAsia="Times New Roman" w:hAnsi="Arial Narrow"/>
                <w:sz w:val="16"/>
                <w:szCs w:val="16"/>
              </w:rPr>
            </w:pPr>
            <w:r>
              <w:rPr>
                <w:rFonts w:ascii="Arial Narrow" w:eastAsia="Times New Roman" w:hAnsi="Arial Narrow"/>
                <w:sz w:val="16"/>
                <w:szCs w:val="16"/>
              </w:rPr>
              <w:t>9</w:t>
            </w:r>
            <w:r w:rsidR="00F30B0A">
              <w:rPr>
                <w:rFonts w:ascii="Arial Narrow" w:eastAsia="Times New Roman" w:hAnsi="Arial Narrow"/>
                <w:sz w:val="16"/>
                <w:szCs w:val="16"/>
              </w:rPr>
              <w:t>4</w:t>
            </w:r>
            <w:r w:rsidR="00A5540F">
              <w:rPr>
                <w:rFonts w:ascii="Arial Narrow" w:eastAsia="Times New Roman" w:hAnsi="Arial Narrow"/>
                <w:sz w:val="16"/>
                <w:szCs w:val="16"/>
              </w:rPr>
              <w:t xml:space="preserve"> per 1,000 </w:t>
            </w:r>
          </w:p>
        </w:tc>
        <w:tc>
          <w:tcPr>
            <w:tcW w:w="1350" w:type="pct"/>
            <w:tcBorders>
              <w:top w:val="single" w:sz="6" w:space="0" w:color="000000"/>
              <w:left w:val="nil"/>
              <w:bottom w:val="single" w:sz="6" w:space="0" w:color="000000"/>
              <w:right w:val="nil"/>
            </w:tcBorders>
            <w:shd w:val="clear" w:color="auto" w:fill="EBEBEB"/>
            <w:hideMark/>
          </w:tcPr>
          <w:p w14:paraId="5B32CD1D" w14:textId="41825C8B" w:rsidR="00A5540F" w:rsidRDefault="00F30B0A" w:rsidP="00A5540F">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 xml:space="preserve">98 </w:t>
            </w:r>
            <w:r w:rsidR="00A5540F">
              <w:rPr>
                <w:rStyle w:val="cell-value"/>
                <w:rFonts w:ascii="Arial Narrow" w:eastAsia="Times New Roman" w:hAnsi="Arial Narrow"/>
                <w:b/>
                <w:bCs/>
                <w:szCs w:val="18"/>
              </w:rPr>
              <w:t>per 1,000</w:t>
            </w:r>
            <w:r w:rsidR="00A5540F">
              <w:rPr>
                <w:rFonts w:ascii="Arial Narrow" w:eastAsia="Times New Roman" w:hAnsi="Arial Narrow"/>
                <w:szCs w:val="18"/>
              </w:rPr>
              <w:br/>
            </w:r>
            <w:r w:rsidR="00A5540F">
              <w:rPr>
                <w:rStyle w:val="cell-value"/>
                <w:rFonts w:ascii="Arial Narrow" w:eastAsia="Times New Roman" w:hAnsi="Arial Narrow"/>
                <w:szCs w:val="18"/>
              </w:rPr>
              <w:t>(</w:t>
            </w:r>
            <w:r w:rsidR="00CE30DB">
              <w:rPr>
                <w:rStyle w:val="cell-value"/>
                <w:rFonts w:ascii="Arial Narrow" w:eastAsia="Times New Roman" w:hAnsi="Arial Narrow"/>
                <w:szCs w:val="18"/>
              </w:rPr>
              <w:t>8</w:t>
            </w:r>
            <w:r>
              <w:rPr>
                <w:rStyle w:val="cell-value"/>
                <w:rFonts w:ascii="Arial Narrow" w:eastAsia="Times New Roman" w:hAnsi="Arial Narrow"/>
                <w:szCs w:val="18"/>
              </w:rPr>
              <w:t>3</w:t>
            </w:r>
            <w:r w:rsidR="00A5540F">
              <w:rPr>
                <w:rStyle w:val="cell-value"/>
                <w:rFonts w:ascii="Arial Narrow" w:eastAsia="Times New Roman" w:hAnsi="Arial Narrow"/>
                <w:szCs w:val="18"/>
              </w:rPr>
              <w:t xml:space="preserve"> to 1</w:t>
            </w:r>
            <w:r>
              <w:rPr>
                <w:rStyle w:val="cell-value"/>
                <w:rFonts w:ascii="Arial Narrow" w:eastAsia="Times New Roman" w:hAnsi="Arial Narrow"/>
                <w:szCs w:val="18"/>
              </w:rPr>
              <w:t>17</w:t>
            </w:r>
            <w:r w:rsidR="00A5540F">
              <w:rPr>
                <w:rStyle w:val="cell-value"/>
                <w:rFonts w:ascii="Arial Narrow" w:eastAsia="Times New Roman" w:hAnsi="Arial Narrow"/>
                <w:szCs w:val="18"/>
              </w:rPr>
              <w:t>)</w:t>
            </w:r>
            <w:r w:rsidR="00A5540F">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hideMark/>
          </w:tcPr>
          <w:p w14:paraId="46F3AAA0" w14:textId="55A93717" w:rsidR="00A5540F" w:rsidRDefault="00A5540F" w:rsidP="007444FB">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1.</w:t>
            </w:r>
            <w:r w:rsidR="007444FB">
              <w:rPr>
                <w:rStyle w:val="block"/>
                <w:rFonts w:ascii="Arial Narrow" w:eastAsia="Times New Roman" w:hAnsi="Arial Narrow"/>
                <w:b/>
                <w:bCs/>
                <w:sz w:val="16"/>
                <w:szCs w:val="16"/>
              </w:rPr>
              <w:t>05</w:t>
            </w:r>
            <w:r>
              <w:rPr>
                <w:rFonts w:ascii="Arial Narrow" w:eastAsia="Times New Roman" w:hAnsi="Arial Narrow"/>
                <w:sz w:val="16"/>
                <w:szCs w:val="16"/>
              </w:rPr>
              <w:br/>
            </w:r>
            <w:r>
              <w:rPr>
                <w:rStyle w:val="cell"/>
                <w:rFonts w:ascii="Arial Narrow" w:eastAsia="Times New Roman" w:hAnsi="Arial Narrow"/>
                <w:sz w:val="16"/>
                <w:szCs w:val="16"/>
              </w:rPr>
              <w:t>(0.</w:t>
            </w:r>
            <w:r w:rsidR="007444FB">
              <w:rPr>
                <w:rStyle w:val="cell"/>
                <w:rFonts w:ascii="Arial Narrow" w:eastAsia="Times New Roman" w:hAnsi="Arial Narrow"/>
                <w:sz w:val="16"/>
                <w:szCs w:val="16"/>
              </w:rPr>
              <w:t xml:space="preserve">89 </w:t>
            </w:r>
            <w:r>
              <w:rPr>
                <w:rStyle w:val="cell"/>
                <w:rFonts w:ascii="Arial Narrow" w:eastAsia="Times New Roman" w:hAnsi="Arial Narrow"/>
                <w:sz w:val="16"/>
                <w:szCs w:val="16"/>
              </w:rPr>
              <w:t>to 1.</w:t>
            </w:r>
            <w:r w:rsidR="007444FB">
              <w:rPr>
                <w:rStyle w:val="cell"/>
                <w:rFonts w:ascii="Arial Narrow" w:eastAsia="Times New Roman" w:hAnsi="Arial Narrow"/>
                <w:sz w:val="16"/>
                <w:szCs w:val="16"/>
              </w:rPr>
              <w:t>25</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hideMark/>
          </w:tcPr>
          <w:p w14:paraId="0CE594D8" w14:textId="5451E1BC" w:rsidR="00A5540F" w:rsidRDefault="007444FB" w:rsidP="00090563">
            <w:pPr>
              <w:spacing w:line="240" w:lineRule="exact"/>
              <w:jc w:val="center"/>
              <w:rPr>
                <w:rFonts w:ascii="Arial Narrow" w:eastAsia="Times New Roman" w:hAnsi="Arial Narrow"/>
                <w:sz w:val="16"/>
                <w:szCs w:val="16"/>
              </w:rPr>
            </w:pPr>
            <w:r>
              <w:rPr>
                <w:rFonts w:ascii="Arial Narrow" w:eastAsia="Times New Roman" w:hAnsi="Arial Narrow"/>
                <w:sz w:val="16"/>
                <w:szCs w:val="16"/>
              </w:rPr>
              <w:t>5,072</w:t>
            </w:r>
            <w:r w:rsidR="00A5540F">
              <w:rPr>
                <w:rFonts w:ascii="Arial Narrow" w:eastAsia="Times New Roman" w:hAnsi="Arial Narrow"/>
                <w:sz w:val="16"/>
                <w:szCs w:val="16"/>
              </w:rPr>
              <w:br/>
              <w:t>(1</w:t>
            </w:r>
            <w:r>
              <w:rPr>
                <w:rFonts w:ascii="Arial Narrow" w:eastAsia="Times New Roman" w:hAnsi="Arial Narrow"/>
                <w:sz w:val="16"/>
                <w:szCs w:val="16"/>
              </w:rPr>
              <w:t>6</w:t>
            </w:r>
            <w:r w:rsidR="00A5540F">
              <w:rPr>
                <w:rFonts w:ascii="Arial Narrow" w:eastAsia="Times New Roman" w:hAnsi="Arial Narrow"/>
                <w:sz w:val="16"/>
                <w:szCs w:val="16"/>
              </w:rPr>
              <w:t xml:space="preserve"> RCTs) </w:t>
            </w:r>
          </w:p>
        </w:tc>
        <w:tc>
          <w:tcPr>
            <w:tcW w:w="691" w:type="pct"/>
            <w:tcBorders>
              <w:top w:val="single" w:sz="6" w:space="0" w:color="000000"/>
              <w:left w:val="nil"/>
              <w:bottom w:val="single" w:sz="6" w:space="0" w:color="000000"/>
              <w:right w:val="nil"/>
            </w:tcBorders>
            <w:vAlign w:val="center"/>
            <w:hideMark/>
          </w:tcPr>
          <w:p w14:paraId="5E8BD857"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Pr>
                <w:rFonts w:ascii="Arial Narrow" w:eastAsia="Times New Roman" w:hAnsi="Arial Narrow"/>
                <w:sz w:val="16"/>
                <w:szCs w:val="16"/>
                <w:vertAlign w:val="superscript"/>
              </w:rPr>
              <w:t>b</w:t>
            </w:r>
          </w:p>
        </w:tc>
      </w:tr>
      <w:tr w:rsidR="00A5540F" w14:paraId="1B421B06" w14:textId="77777777" w:rsidTr="00A5540F">
        <w:trPr>
          <w:cantSplit/>
        </w:trPr>
        <w:tc>
          <w:tcPr>
            <w:tcW w:w="776" w:type="pct"/>
            <w:tcBorders>
              <w:top w:val="single" w:sz="6" w:space="0" w:color="000000"/>
              <w:left w:val="nil"/>
              <w:bottom w:val="single" w:sz="6" w:space="0" w:color="000000"/>
              <w:right w:val="nil"/>
            </w:tcBorders>
            <w:vAlign w:val="center"/>
            <w:hideMark/>
          </w:tcPr>
          <w:p w14:paraId="70EE6E61"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Large for gestational age</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hideMark/>
          </w:tcPr>
          <w:p w14:paraId="060D7FD2" w14:textId="150A957C" w:rsidR="00A5540F" w:rsidRDefault="00A5540F" w:rsidP="00A5540F">
            <w:pPr>
              <w:spacing w:line="240" w:lineRule="exact"/>
              <w:rPr>
                <w:rFonts w:ascii="Arial Narrow" w:eastAsia="Times New Roman" w:hAnsi="Arial Narrow"/>
                <w:sz w:val="16"/>
                <w:szCs w:val="16"/>
              </w:rPr>
            </w:pPr>
            <w:r>
              <w:rPr>
                <w:rFonts w:ascii="Arial Narrow" w:eastAsia="Times New Roman" w:hAnsi="Arial Narrow"/>
                <w:sz w:val="16"/>
                <w:szCs w:val="16"/>
              </w:rPr>
              <w:t>1</w:t>
            </w:r>
            <w:r w:rsidR="00F30B0A">
              <w:rPr>
                <w:rFonts w:ascii="Arial Narrow" w:eastAsia="Times New Roman" w:hAnsi="Arial Narrow"/>
                <w:sz w:val="16"/>
                <w:szCs w:val="16"/>
              </w:rPr>
              <w:t>17</w:t>
            </w:r>
            <w:r>
              <w:rPr>
                <w:rFonts w:ascii="Arial Narrow" w:eastAsia="Times New Roman" w:hAnsi="Arial Narrow"/>
                <w:sz w:val="16"/>
                <w:szCs w:val="16"/>
              </w:rPr>
              <w:t xml:space="preserve"> per 1,000 </w:t>
            </w:r>
          </w:p>
        </w:tc>
        <w:tc>
          <w:tcPr>
            <w:tcW w:w="1350" w:type="pct"/>
            <w:tcBorders>
              <w:top w:val="single" w:sz="6" w:space="0" w:color="000000"/>
              <w:left w:val="nil"/>
              <w:bottom w:val="single" w:sz="6" w:space="0" w:color="000000"/>
              <w:right w:val="nil"/>
            </w:tcBorders>
            <w:shd w:val="clear" w:color="auto" w:fill="EBEBEB"/>
            <w:hideMark/>
          </w:tcPr>
          <w:p w14:paraId="4EED4313" w14:textId="05E6D39C" w:rsidR="00A5540F" w:rsidRDefault="00A5540F" w:rsidP="00A5540F">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1</w:t>
            </w:r>
            <w:r w:rsidR="00F30B0A">
              <w:rPr>
                <w:rStyle w:val="cell-value"/>
                <w:rFonts w:ascii="Arial Narrow" w:eastAsia="Times New Roman" w:hAnsi="Arial Narrow"/>
                <w:b/>
                <w:bCs/>
                <w:szCs w:val="18"/>
              </w:rPr>
              <w:t>04</w:t>
            </w:r>
            <w:r>
              <w:rPr>
                <w:rStyle w:val="cell-value"/>
                <w:rFonts w:ascii="Arial Narrow" w:eastAsia="Times New Roman" w:hAnsi="Arial Narrow"/>
                <w:b/>
                <w:bCs/>
                <w:szCs w:val="18"/>
              </w:rPr>
              <w:t xml:space="preserve"> per 1,000</w:t>
            </w:r>
            <w:r>
              <w:rPr>
                <w:rFonts w:ascii="Arial Narrow" w:eastAsia="Times New Roman" w:hAnsi="Arial Narrow"/>
                <w:szCs w:val="18"/>
              </w:rPr>
              <w:br/>
            </w:r>
            <w:r>
              <w:rPr>
                <w:rStyle w:val="cell-value"/>
                <w:rFonts w:ascii="Arial Narrow" w:eastAsia="Times New Roman" w:hAnsi="Arial Narrow"/>
                <w:szCs w:val="18"/>
              </w:rPr>
              <w:t>(</w:t>
            </w:r>
            <w:r w:rsidR="00CE30DB">
              <w:rPr>
                <w:rStyle w:val="cell-value"/>
                <w:rFonts w:ascii="Arial Narrow" w:eastAsia="Times New Roman" w:hAnsi="Arial Narrow"/>
                <w:szCs w:val="18"/>
              </w:rPr>
              <w:t>9</w:t>
            </w:r>
            <w:r w:rsidR="00F30B0A">
              <w:rPr>
                <w:rStyle w:val="cell-value"/>
                <w:rFonts w:ascii="Arial Narrow" w:eastAsia="Times New Roman" w:hAnsi="Arial Narrow"/>
                <w:szCs w:val="18"/>
              </w:rPr>
              <w:t>2</w:t>
            </w:r>
            <w:r>
              <w:rPr>
                <w:rStyle w:val="cell-value"/>
                <w:rFonts w:ascii="Arial Narrow" w:eastAsia="Times New Roman" w:hAnsi="Arial Narrow"/>
                <w:szCs w:val="18"/>
              </w:rPr>
              <w:t xml:space="preserve"> to 1</w:t>
            </w:r>
            <w:r w:rsidR="00F30B0A">
              <w:rPr>
                <w:rStyle w:val="cell-value"/>
                <w:rFonts w:ascii="Arial Narrow" w:eastAsia="Times New Roman" w:hAnsi="Arial Narrow"/>
                <w:szCs w:val="18"/>
              </w:rPr>
              <w:t>1</w:t>
            </w:r>
            <w:r w:rsidR="008A5E30">
              <w:rPr>
                <w:rStyle w:val="cell-value"/>
                <w:rFonts w:ascii="Arial Narrow" w:eastAsia="Times New Roman" w:hAnsi="Arial Narrow"/>
                <w:szCs w:val="18"/>
              </w:rPr>
              <w:t>7</w:t>
            </w:r>
            <w:r>
              <w:rPr>
                <w:rStyle w:val="cell-value"/>
                <w:rFonts w:ascii="Arial Narrow" w:eastAsia="Times New Roman" w:hAnsi="Arial Narrow"/>
                <w:szCs w:val="18"/>
              </w:rPr>
              <w:t>)</w:t>
            </w:r>
            <w:r>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hideMark/>
          </w:tcPr>
          <w:p w14:paraId="7F331B0C" w14:textId="0350B5D5" w:rsidR="00A5540F" w:rsidRDefault="00A5540F" w:rsidP="004B435A">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w:t>
            </w:r>
            <w:r w:rsidR="004B435A">
              <w:rPr>
                <w:rStyle w:val="block"/>
                <w:rFonts w:ascii="Arial Narrow" w:eastAsia="Times New Roman" w:hAnsi="Arial Narrow"/>
                <w:b/>
                <w:bCs/>
                <w:sz w:val="16"/>
                <w:szCs w:val="16"/>
              </w:rPr>
              <w:t>89</w:t>
            </w:r>
            <w:r>
              <w:rPr>
                <w:rFonts w:ascii="Arial Narrow" w:eastAsia="Times New Roman" w:hAnsi="Arial Narrow"/>
                <w:sz w:val="16"/>
                <w:szCs w:val="16"/>
              </w:rPr>
              <w:br/>
            </w:r>
            <w:r>
              <w:rPr>
                <w:rStyle w:val="cell"/>
                <w:rFonts w:ascii="Arial Narrow" w:eastAsia="Times New Roman" w:hAnsi="Arial Narrow"/>
                <w:sz w:val="16"/>
                <w:szCs w:val="16"/>
              </w:rPr>
              <w:t>(0.</w:t>
            </w:r>
            <w:r w:rsidR="004B435A">
              <w:rPr>
                <w:rStyle w:val="cell"/>
                <w:rFonts w:ascii="Arial Narrow" w:eastAsia="Times New Roman" w:hAnsi="Arial Narrow"/>
                <w:sz w:val="16"/>
                <w:szCs w:val="16"/>
              </w:rPr>
              <w:t>79</w:t>
            </w:r>
            <w:r>
              <w:rPr>
                <w:rStyle w:val="cell"/>
                <w:rFonts w:ascii="Arial Narrow" w:eastAsia="Times New Roman" w:hAnsi="Arial Narrow"/>
                <w:sz w:val="16"/>
                <w:szCs w:val="16"/>
              </w:rPr>
              <w:t xml:space="preserve"> to 1.0</w:t>
            </w:r>
            <w:r w:rsidR="00160CCC">
              <w:rPr>
                <w:rStyle w:val="cell"/>
                <w:rFonts w:ascii="Arial Narrow" w:eastAsia="Times New Roman" w:hAnsi="Arial Narrow"/>
                <w:sz w:val="16"/>
                <w:szCs w:val="16"/>
              </w:rPr>
              <w:t>0</w:t>
            </w: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hideMark/>
          </w:tcPr>
          <w:p w14:paraId="66A191D2" w14:textId="171E6BF4" w:rsidR="00A5540F" w:rsidRDefault="00160CCC"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8,445</w:t>
            </w:r>
            <w:r w:rsidR="00A5540F">
              <w:rPr>
                <w:rFonts w:ascii="Arial Narrow" w:eastAsia="Times New Roman" w:hAnsi="Arial Narrow"/>
                <w:sz w:val="16"/>
                <w:szCs w:val="16"/>
              </w:rPr>
              <w:br/>
              <w:t>(</w:t>
            </w:r>
            <w:r>
              <w:rPr>
                <w:rFonts w:ascii="Arial Narrow" w:eastAsia="Times New Roman" w:hAnsi="Arial Narrow"/>
                <w:sz w:val="16"/>
                <w:szCs w:val="16"/>
              </w:rPr>
              <w:t>22</w:t>
            </w:r>
            <w:r w:rsidR="00A5540F">
              <w:rPr>
                <w:rFonts w:ascii="Arial Narrow" w:eastAsia="Times New Roman" w:hAnsi="Arial Narrow"/>
                <w:sz w:val="16"/>
                <w:szCs w:val="16"/>
              </w:rPr>
              <w:t xml:space="preserve"> RCTs) </w:t>
            </w:r>
          </w:p>
        </w:tc>
        <w:tc>
          <w:tcPr>
            <w:tcW w:w="691" w:type="pct"/>
            <w:tcBorders>
              <w:top w:val="single" w:sz="6" w:space="0" w:color="000000"/>
              <w:left w:val="nil"/>
              <w:bottom w:val="single" w:sz="6" w:space="0" w:color="000000"/>
              <w:right w:val="nil"/>
            </w:tcBorders>
            <w:vAlign w:val="center"/>
            <w:hideMark/>
          </w:tcPr>
          <w:p w14:paraId="5F6405DF" w14:textId="77777777"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MODERATE</w:t>
            </w:r>
            <w:r>
              <w:rPr>
                <w:rFonts w:ascii="Arial Narrow" w:eastAsia="Times New Roman" w:hAnsi="Arial Narrow"/>
                <w:sz w:val="16"/>
                <w:szCs w:val="16"/>
              </w:rPr>
              <w:t xml:space="preserve"> </w:t>
            </w:r>
            <w:r>
              <w:rPr>
                <w:rFonts w:ascii="Arial Narrow" w:eastAsia="Times New Roman" w:hAnsi="Arial Narrow"/>
                <w:sz w:val="16"/>
                <w:szCs w:val="16"/>
                <w:vertAlign w:val="superscript"/>
              </w:rPr>
              <w:t>a</w:t>
            </w:r>
          </w:p>
        </w:tc>
      </w:tr>
      <w:tr w:rsidR="00A5540F" w14:paraId="0D53D9FC" w14:textId="77777777" w:rsidTr="00A5540F">
        <w:trPr>
          <w:cantSplit/>
        </w:trPr>
        <w:tc>
          <w:tcPr>
            <w:tcW w:w="776" w:type="pct"/>
            <w:tcBorders>
              <w:top w:val="single" w:sz="6" w:space="0" w:color="000000"/>
              <w:left w:val="nil"/>
              <w:bottom w:val="single" w:sz="6" w:space="0" w:color="000000"/>
              <w:right w:val="nil"/>
            </w:tcBorders>
            <w:vAlign w:val="center"/>
            <w:hideMark/>
          </w:tcPr>
          <w:p w14:paraId="521374F1"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Apgar score &lt;7 at 5 minutes</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vAlign w:val="center"/>
            <w:hideMark/>
          </w:tcPr>
          <w:p w14:paraId="4F7A317E" w14:textId="77777777" w:rsidR="00A5540F" w:rsidRDefault="00A5540F" w:rsidP="00A5540F">
            <w:pPr>
              <w:spacing w:line="240" w:lineRule="exact"/>
              <w:rPr>
                <w:rFonts w:ascii="Arial Narrow" w:eastAsia="Times New Roman" w:hAnsi="Arial Narrow"/>
                <w:sz w:val="16"/>
                <w:szCs w:val="16"/>
              </w:rPr>
            </w:pPr>
            <w:r>
              <w:rPr>
                <w:rFonts w:ascii="Arial Narrow" w:eastAsia="Times New Roman" w:hAnsi="Arial Narrow"/>
                <w:sz w:val="16"/>
                <w:szCs w:val="16"/>
              </w:rPr>
              <w:t xml:space="preserve">23 per 1,000 </w:t>
            </w:r>
          </w:p>
        </w:tc>
        <w:tc>
          <w:tcPr>
            <w:tcW w:w="1350" w:type="pct"/>
            <w:tcBorders>
              <w:top w:val="single" w:sz="6" w:space="0" w:color="000000"/>
              <w:left w:val="nil"/>
              <w:bottom w:val="single" w:sz="6" w:space="0" w:color="000000"/>
              <w:right w:val="nil"/>
            </w:tcBorders>
            <w:shd w:val="clear" w:color="auto" w:fill="EBEBEB"/>
            <w:hideMark/>
          </w:tcPr>
          <w:p w14:paraId="1DC996DA" w14:textId="77777777" w:rsidR="00A5540F" w:rsidRDefault="00A5540F" w:rsidP="00A5540F">
            <w:pPr>
              <w:spacing w:line="240" w:lineRule="exact"/>
              <w:jc w:val="center"/>
              <w:rPr>
                <w:rFonts w:ascii="Arial Narrow" w:eastAsia="Times New Roman" w:hAnsi="Arial Narrow"/>
                <w:sz w:val="16"/>
                <w:szCs w:val="16"/>
              </w:rPr>
            </w:pPr>
            <w:r>
              <w:rPr>
                <w:rStyle w:val="cell-value"/>
                <w:rFonts w:ascii="Arial Narrow" w:eastAsia="Times New Roman" w:hAnsi="Arial Narrow"/>
                <w:b/>
                <w:bCs/>
                <w:szCs w:val="18"/>
              </w:rPr>
              <w:t>19 per 1,000</w:t>
            </w:r>
            <w:r>
              <w:rPr>
                <w:rFonts w:ascii="Arial Narrow" w:eastAsia="Times New Roman" w:hAnsi="Arial Narrow"/>
                <w:szCs w:val="18"/>
              </w:rPr>
              <w:br/>
            </w:r>
            <w:r>
              <w:rPr>
                <w:rStyle w:val="cell-value"/>
                <w:rFonts w:ascii="Arial Narrow" w:eastAsia="Times New Roman" w:hAnsi="Arial Narrow"/>
                <w:szCs w:val="18"/>
              </w:rPr>
              <w:t>(11 to 31)</w:t>
            </w:r>
            <w:r>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hideMark/>
          </w:tcPr>
          <w:p w14:paraId="59ACE822" w14:textId="77777777" w:rsidR="00A5540F" w:rsidRDefault="00A5540F" w:rsidP="00A5540F">
            <w:pPr>
              <w:spacing w:line="240" w:lineRule="exact"/>
              <w:jc w:val="center"/>
              <w:rPr>
                <w:rFonts w:ascii="Arial Narrow" w:eastAsia="Times New Roman" w:hAnsi="Arial Narrow"/>
                <w:sz w:val="16"/>
                <w:szCs w:val="16"/>
              </w:rPr>
            </w:pPr>
            <w:r>
              <w:rPr>
                <w:rStyle w:val="block"/>
                <w:rFonts w:ascii="Arial Narrow" w:eastAsia="Times New Roman" w:hAnsi="Arial Narrow"/>
                <w:b/>
                <w:bCs/>
                <w:sz w:val="16"/>
                <w:szCs w:val="16"/>
              </w:rPr>
              <w:t>RR 0.80</w:t>
            </w:r>
            <w:r>
              <w:rPr>
                <w:rFonts w:ascii="Arial Narrow" w:eastAsia="Times New Roman" w:hAnsi="Arial Narrow"/>
                <w:sz w:val="16"/>
                <w:szCs w:val="16"/>
              </w:rPr>
              <w:br/>
            </w:r>
            <w:r>
              <w:rPr>
                <w:rStyle w:val="cell"/>
                <w:rFonts w:ascii="Arial Narrow" w:eastAsia="Times New Roman" w:hAnsi="Arial Narrow"/>
                <w:sz w:val="16"/>
                <w:szCs w:val="16"/>
              </w:rPr>
              <w:t>(0.48 to 1.32)</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hideMark/>
          </w:tcPr>
          <w:p w14:paraId="5952505E" w14:textId="77777777" w:rsidR="00A5540F" w:rsidRDefault="00A5540F"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2864</w:t>
            </w:r>
            <w:r>
              <w:rPr>
                <w:rFonts w:ascii="Arial Narrow" w:eastAsia="Times New Roman" w:hAnsi="Arial Narrow"/>
                <w:sz w:val="16"/>
                <w:szCs w:val="16"/>
              </w:rPr>
              <w:br/>
              <w:t xml:space="preserve">(3 RCTs) </w:t>
            </w:r>
          </w:p>
        </w:tc>
        <w:tc>
          <w:tcPr>
            <w:tcW w:w="691" w:type="pct"/>
            <w:tcBorders>
              <w:top w:val="single" w:sz="6" w:space="0" w:color="000000"/>
              <w:left w:val="nil"/>
              <w:bottom w:val="single" w:sz="6" w:space="0" w:color="000000"/>
              <w:right w:val="nil"/>
            </w:tcBorders>
            <w:vAlign w:val="center"/>
            <w:hideMark/>
          </w:tcPr>
          <w:p w14:paraId="45E21531" w14:textId="27910922" w:rsidR="00A5540F" w:rsidRDefault="00A5540F" w:rsidP="007633BB">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LOW</w:t>
            </w:r>
            <w:r>
              <w:rPr>
                <w:rFonts w:ascii="Arial Narrow" w:eastAsia="Times New Roman" w:hAnsi="Arial Narrow"/>
                <w:sz w:val="16"/>
                <w:szCs w:val="16"/>
              </w:rPr>
              <w:t xml:space="preserve"> </w:t>
            </w:r>
            <w:r w:rsidR="007633BB">
              <w:rPr>
                <w:rFonts w:ascii="Arial Narrow" w:eastAsia="Times New Roman" w:hAnsi="Arial Narrow"/>
                <w:sz w:val="16"/>
                <w:szCs w:val="16"/>
                <w:vertAlign w:val="superscript"/>
              </w:rPr>
              <w:t>a</w:t>
            </w:r>
            <w:r>
              <w:rPr>
                <w:rStyle w:val="comma"/>
                <w:rFonts w:ascii="Arial Narrow" w:eastAsia="Times New Roman" w:hAnsi="Arial Narrow"/>
                <w:sz w:val="16"/>
                <w:szCs w:val="16"/>
                <w:vertAlign w:val="superscript"/>
              </w:rPr>
              <w:t>,</w:t>
            </w:r>
            <w:r w:rsidR="007633BB">
              <w:rPr>
                <w:rFonts w:ascii="Arial Narrow" w:eastAsia="Times New Roman" w:hAnsi="Arial Narrow"/>
                <w:sz w:val="16"/>
                <w:szCs w:val="16"/>
                <w:vertAlign w:val="superscript"/>
              </w:rPr>
              <w:t>b</w:t>
            </w:r>
          </w:p>
        </w:tc>
      </w:tr>
      <w:tr w:rsidR="00A5540F" w14:paraId="21D14353" w14:textId="77777777" w:rsidTr="00A5540F">
        <w:trPr>
          <w:cantSplit/>
        </w:trPr>
        <w:tc>
          <w:tcPr>
            <w:tcW w:w="776" w:type="pct"/>
            <w:tcBorders>
              <w:top w:val="single" w:sz="6" w:space="0" w:color="000000"/>
              <w:left w:val="nil"/>
              <w:bottom w:val="single" w:sz="6" w:space="0" w:color="000000"/>
              <w:right w:val="nil"/>
            </w:tcBorders>
            <w:vAlign w:val="center"/>
            <w:hideMark/>
          </w:tcPr>
          <w:p w14:paraId="64DE6293" w14:textId="77777777" w:rsidR="00A5540F" w:rsidRDefault="00A5540F" w:rsidP="00A5540F">
            <w:pPr>
              <w:spacing w:line="240" w:lineRule="exact"/>
              <w:jc w:val="center"/>
              <w:rPr>
                <w:rFonts w:ascii="Arial Narrow" w:eastAsia="Times New Roman" w:hAnsi="Arial Narrow"/>
                <w:sz w:val="16"/>
                <w:szCs w:val="16"/>
              </w:rPr>
            </w:pPr>
            <w:r>
              <w:rPr>
                <w:rStyle w:val="label"/>
                <w:rFonts w:ascii="Arial Narrow" w:eastAsia="Times New Roman" w:hAnsi="Arial Narrow"/>
                <w:szCs w:val="18"/>
              </w:rPr>
              <w:t>Childhood weight</w:t>
            </w:r>
            <w:r>
              <w:rPr>
                <w:rFonts w:ascii="Arial Narrow" w:eastAsia="Times New Roman" w:hAnsi="Arial Narrow"/>
                <w:sz w:val="16"/>
                <w:szCs w:val="16"/>
              </w:rPr>
              <w:t xml:space="preserve"> </w:t>
            </w:r>
          </w:p>
        </w:tc>
        <w:tc>
          <w:tcPr>
            <w:tcW w:w="941" w:type="pct"/>
            <w:tcBorders>
              <w:top w:val="single" w:sz="6" w:space="0" w:color="000000"/>
              <w:left w:val="nil"/>
              <w:bottom w:val="single" w:sz="6" w:space="0" w:color="000000"/>
              <w:right w:val="nil"/>
            </w:tcBorders>
            <w:shd w:val="clear" w:color="auto" w:fill="EBEBEB"/>
            <w:vAlign w:val="center"/>
            <w:hideMark/>
          </w:tcPr>
          <w:p w14:paraId="42788CED" w14:textId="77777777" w:rsidR="00A5540F" w:rsidRDefault="00A5540F" w:rsidP="00A5540F">
            <w:pPr>
              <w:spacing w:line="240" w:lineRule="exact"/>
              <w:jc w:val="center"/>
              <w:rPr>
                <w:rFonts w:ascii="Arial Narrow" w:eastAsia="Times New Roman" w:hAnsi="Arial Narrow"/>
                <w:sz w:val="16"/>
                <w:szCs w:val="16"/>
              </w:rPr>
            </w:pPr>
          </w:p>
        </w:tc>
        <w:tc>
          <w:tcPr>
            <w:tcW w:w="1350" w:type="pct"/>
            <w:tcBorders>
              <w:top w:val="single" w:sz="6" w:space="0" w:color="000000"/>
              <w:left w:val="nil"/>
              <w:bottom w:val="single" w:sz="6" w:space="0" w:color="000000"/>
              <w:right w:val="nil"/>
            </w:tcBorders>
            <w:shd w:val="clear" w:color="auto" w:fill="EBEBEB"/>
            <w:hideMark/>
          </w:tcPr>
          <w:p w14:paraId="25C32CAD" w14:textId="77777777" w:rsidR="00A5540F" w:rsidRDefault="00A5540F" w:rsidP="00A5540F">
            <w:pPr>
              <w:spacing w:line="240" w:lineRule="exact"/>
              <w:jc w:val="center"/>
              <w:rPr>
                <w:rFonts w:ascii="Arial Narrow" w:eastAsia="Times New Roman" w:hAnsi="Arial Narrow"/>
                <w:sz w:val="16"/>
                <w:szCs w:val="16"/>
              </w:rPr>
            </w:pPr>
            <w:r>
              <w:rPr>
                <w:rStyle w:val="cell-value"/>
                <w:rFonts w:ascii="Arial Narrow" w:eastAsia="Times New Roman" w:hAnsi="Arial Narrow"/>
                <w:sz w:val="16"/>
                <w:szCs w:val="16"/>
              </w:rPr>
              <w:t xml:space="preserve">The mean childhood weight in the intervention group was 0.09 kg lower </w:t>
            </w:r>
            <w:r>
              <w:rPr>
                <w:rStyle w:val="cell-value"/>
                <w:rFonts w:ascii="Arial Narrow" w:eastAsia="Times New Roman" w:hAnsi="Arial Narrow"/>
                <w:sz w:val="16"/>
                <w:szCs w:val="16"/>
              </w:rPr>
              <w:br/>
              <w:t>(0.26 lower to 0.08 higher)</w:t>
            </w:r>
            <w:r>
              <w:rPr>
                <w:rFonts w:ascii="Arial Narrow" w:eastAsia="Times New Roman" w:hAnsi="Arial Narrow"/>
                <w:sz w:val="16"/>
                <w:szCs w:val="16"/>
              </w:rPr>
              <w:t xml:space="preserve"> </w:t>
            </w:r>
          </w:p>
        </w:tc>
        <w:tc>
          <w:tcPr>
            <w:tcW w:w="735" w:type="pct"/>
            <w:tcBorders>
              <w:top w:val="single" w:sz="6" w:space="0" w:color="000000"/>
              <w:left w:val="nil"/>
              <w:bottom w:val="single" w:sz="6" w:space="0" w:color="000000"/>
              <w:right w:val="nil"/>
            </w:tcBorders>
            <w:vAlign w:val="center"/>
            <w:hideMark/>
          </w:tcPr>
          <w:p w14:paraId="4B95B4C0" w14:textId="77777777" w:rsidR="00A5540F" w:rsidRDefault="00A5540F" w:rsidP="00A5540F">
            <w:pPr>
              <w:spacing w:line="240" w:lineRule="exact"/>
              <w:jc w:val="center"/>
              <w:rPr>
                <w:rFonts w:ascii="Arial Narrow" w:eastAsia="Times New Roman" w:hAnsi="Arial Narrow"/>
                <w:sz w:val="16"/>
                <w:szCs w:val="16"/>
              </w:rPr>
            </w:pPr>
            <w:r>
              <w:rPr>
                <w:rStyle w:val="cell"/>
                <w:rFonts w:ascii="Arial Narrow" w:eastAsia="Times New Roman" w:hAnsi="Arial Narrow"/>
                <w:sz w:val="16"/>
                <w:szCs w:val="16"/>
              </w:rPr>
              <w:t>-</w:t>
            </w:r>
            <w:r>
              <w:rPr>
                <w:rFonts w:ascii="Arial Narrow" w:eastAsia="Times New Roman" w:hAnsi="Arial Narrow"/>
                <w:sz w:val="16"/>
                <w:szCs w:val="16"/>
              </w:rPr>
              <w:t xml:space="preserve"> </w:t>
            </w:r>
          </w:p>
        </w:tc>
        <w:tc>
          <w:tcPr>
            <w:tcW w:w="507" w:type="pct"/>
            <w:tcBorders>
              <w:top w:val="single" w:sz="6" w:space="0" w:color="000000"/>
              <w:left w:val="nil"/>
              <w:bottom w:val="single" w:sz="6" w:space="0" w:color="000000"/>
              <w:right w:val="nil"/>
            </w:tcBorders>
            <w:vAlign w:val="center"/>
            <w:hideMark/>
          </w:tcPr>
          <w:p w14:paraId="494403AA" w14:textId="77777777" w:rsidR="00A5540F" w:rsidRDefault="00A5540F" w:rsidP="00A5540F">
            <w:pPr>
              <w:spacing w:line="240" w:lineRule="exact"/>
              <w:jc w:val="center"/>
              <w:rPr>
                <w:rFonts w:ascii="Arial Narrow" w:eastAsia="Times New Roman" w:hAnsi="Arial Narrow"/>
                <w:sz w:val="16"/>
                <w:szCs w:val="16"/>
              </w:rPr>
            </w:pPr>
            <w:r>
              <w:rPr>
                <w:rFonts w:ascii="Arial Narrow" w:eastAsia="Times New Roman" w:hAnsi="Arial Narrow"/>
                <w:sz w:val="16"/>
                <w:szCs w:val="16"/>
              </w:rPr>
              <w:t>985</w:t>
            </w:r>
            <w:r>
              <w:rPr>
                <w:rFonts w:ascii="Arial Narrow" w:eastAsia="Times New Roman" w:hAnsi="Arial Narrow"/>
                <w:sz w:val="16"/>
                <w:szCs w:val="16"/>
              </w:rPr>
              <w:br/>
              <w:t xml:space="preserve">(4 RCTs) </w:t>
            </w:r>
          </w:p>
        </w:tc>
        <w:tc>
          <w:tcPr>
            <w:tcW w:w="691" w:type="pct"/>
            <w:tcBorders>
              <w:top w:val="single" w:sz="6" w:space="0" w:color="000000"/>
              <w:left w:val="nil"/>
              <w:bottom w:val="single" w:sz="6" w:space="0" w:color="000000"/>
              <w:right w:val="nil"/>
            </w:tcBorders>
            <w:vAlign w:val="center"/>
            <w:hideMark/>
          </w:tcPr>
          <w:p w14:paraId="514D6966" w14:textId="021821C4" w:rsidR="00A5540F" w:rsidRDefault="00A5540F" w:rsidP="00A5540F">
            <w:pPr>
              <w:spacing w:line="240" w:lineRule="exact"/>
              <w:jc w:val="center"/>
              <w:rPr>
                <w:rFonts w:ascii="Arial Narrow" w:eastAsia="Times New Roman" w:hAnsi="Arial Narrow"/>
                <w:sz w:val="16"/>
                <w:szCs w:val="16"/>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6"/>
                <w:szCs w:val="16"/>
              </w:rPr>
              <w:br/>
            </w:r>
            <w:r>
              <w:rPr>
                <w:rStyle w:val="quality-text"/>
                <w:rFonts w:ascii="Arial Narrow" w:eastAsia="Times New Roman" w:hAnsi="Arial Narrow"/>
                <w:sz w:val="16"/>
                <w:szCs w:val="16"/>
              </w:rPr>
              <w:t xml:space="preserve">LOW </w:t>
            </w:r>
            <w:r>
              <w:rPr>
                <w:rFonts w:ascii="Arial Narrow" w:eastAsia="Times New Roman" w:hAnsi="Arial Narrow"/>
                <w:sz w:val="16"/>
                <w:szCs w:val="16"/>
                <w:vertAlign w:val="superscript"/>
              </w:rPr>
              <w:t>a,</w:t>
            </w:r>
            <w:r w:rsidR="007633BB">
              <w:rPr>
                <w:rFonts w:ascii="Arial Narrow" w:eastAsia="Times New Roman" w:hAnsi="Arial Narrow"/>
                <w:sz w:val="16"/>
                <w:szCs w:val="16"/>
                <w:vertAlign w:val="superscript"/>
              </w:rPr>
              <w:t>c</w:t>
            </w:r>
          </w:p>
        </w:tc>
      </w:tr>
      <w:tr w:rsidR="00A5540F" w14:paraId="3B4DD558" w14:textId="77777777" w:rsidTr="00A5540F">
        <w:trPr>
          <w:cantSplit/>
        </w:trPr>
        <w:tc>
          <w:tcPr>
            <w:tcW w:w="5000" w:type="pct"/>
            <w:gridSpan w:val="6"/>
            <w:tcBorders>
              <w:top w:val="single" w:sz="6" w:space="0" w:color="000000"/>
              <w:left w:val="nil"/>
              <w:bottom w:val="single" w:sz="6" w:space="0" w:color="000000"/>
              <w:right w:val="nil"/>
            </w:tcBorders>
            <w:vAlign w:val="center"/>
            <w:hideMark/>
          </w:tcPr>
          <w:p w14:paraId="741095C0" w14:textId="77777777" w:rsidR="00A5540F" w:rsidRDefault="00A5540F" w:rsidP="00A5540F">
            <w:pPr>
              <w:spacing w:before="0" w:after="0"/>
              <w:rPr>
                <w:rFonts w:ascii="Arial Narrow" w:eastAsia="Times New Roman" w:hAnsi="Arial Narrow"/>
                <w:sz w:val="16"/>
                <w:szCs w:val="16"/>
              </w:rPr>
            </w:pPr>
            <w:r>
              <w:rPr>
                <w:rFonts w:ascii="Arial Narrow" w:eastAsia="Times New Roman" w:hAnsi="Arial Narrow"/>
                <w:sz w:val="16"/>
                <w:szCs w:val="16"/>
              </w:rPr>
              <w:t>*</w:t>
            </w:r>
            <w:r>
              <w:rPr>
                <w:rFonts w:ascii="Arial Narrow" w:eastAsia="Times New Roman" w:hAnsi="Arial Narrow"/>
                <w:b/>
                <w:bCs/>
                <w:sz w:val="16"/>
                <w:szCs w:val="16"/>
              </w:rPr>
              <w:t>The risk in the intervention group</w:t>
            </w:r>
            <w:r>
              <w:rPr>
                <w:rFonts w:ascii="Arial Narrow" w:eastAsia="Times New Roman" w:hAnsi="Arial Narrow"/>
                <w:sz w:val="16"/>
                <w:szCs w:val="16"/>
              </w:rPr>
              <w:t xml:space="preserve"> (and its 95% confidence interval) is based on the assumed risk in the comparison group and the </w:t>
            </w:r>
            <w:r>
              <w:rPr>
                <w:rFonts w:ascii="Arial Narrow" w:eastAsia="Times New Roman" w:hAnsi="Arial Narrow"/>
                <w:b/>
                <w:bCs/>
                <w:sz w:val="16"/>
                <w:szCs w:val="16"/>
              </w:rPr>
              <w:t>relative effect</w:t>
            </w:r>
            <w:r>
              <w:rPr>
                <w:rFonts w:ascii="Arial Narrow" w:eastAsia="Times New Roman" w:hAnsi="Arial Narrow"/>
                <w:sz w:val="16"/>
                <w:szCs w:val="16"/>
              </w:rPr>
              <w:t xml:space="preserve"> of the intervention (and its 95% CI). </w:t>
            </w:r>
            <w:r>
              <w:rPr>
                <w:rFonts w:ascii="Arial Narrow" w:eastAsia="Times New Roman" w:hAnsi="Arial Narrow"/>
                <w:sz w:val="16"/>
                <w:szCs w:val="16"/>
              </w:rPr>
              <w:br/>
            </w:r>
            <w:r>
              <w:rPr>
                <w:rFonts w:ascii="Arial Narrow" w:eastAsia="Times New Roman" w:hAnsi="Arial Narrow"/>
                <w:b/>
                <w:bCs/>
                <w:sz w:val="16"/>
                <w:szCs w:val="16"/>
              </w:rPr>
              <w:t>CI:</w:t>
            </w:r>
            <w:r>
              <w:rPr>
                <w:rFonts w:ascii="Arial Narrow" w:eastAsia="Times New Roman" w:hAnsi="Arial Narrow"/>
                <w:sz w:val="16"/>
                <w:szCs w:val="16"/>
              </w:rPr>
              <w:t xml:space="preserve"> Confidence interval; </w:t>
            </w:r>
            <w:r>
              <w:rPr>
                <w:rFonts w:ascii="Arial Narrow" w:eastAsia="Times New Roman" w:hAnsi="Arial Narrow"/>
                <w:b/>
                <w:bCs/>
                <w:sz w:val="16"/>
                <w:szCs w:val="16"/>
              </w:rPr>
              <w:t>MD:</w:t>
            </w:r>
            <w:r>
              <w:rPr>
                <w:rFonts w:ascii="Arial Narrow" w:eastAsia="Times New Roman" w:hAnsi="Arial Narrow"/>
                <w:sz w:val="16"/>
                <w:szCs w:val="16"/>
              </w:rPr>
              <w:t xml:space="preserve"> Mean difference; </w:t>
            </w:r>
            <w:r>
              <w:rPr>
                <w:rFonts w:ascii="Arial Narrow" w:eastAsia="Times New Roman" w:hAnsi="Arial Narrow"/>
                <w:b/>
                <w:bCs/>
                <w:sz w:val="16"/>
                <w:szCs w:val="16"/>
              </w:rPr>
              <w:t>RR:</w:t>
            </w:r>
            <w:r>
              <w:rPr>
                <w:rFonts w:ascii="Arial Narrow" w:eastAsia="Times New Roman" w:hAnsi="Arial Narrow"/>
                <w:sz w:val="16"/>
                <w:szCs w:val="16"/>
              </w:rPr>
              <w:t xml:space="preserve"> Risk ratio </w:t>
            </w:r>
          </w:p>
        </w:tc>
      </w:tr>
      <w:tr w:rsidR="00A5540F" w14:paraId="42E9D225" w14:textId="77777777" w:rsidTr="00A5540F">
        <w:trPr>
          <w:cantSplit/>
        </w:trPr>
        <w:tc>
          <w:tcPr>
            <w:tcW w:w="5000" w:type="pct"/>
            <w:gridSpan w:val="6"/>
            <w:tcBorders>
              <w:top w:val="single" w:sz="6" w:space="0" w:color="000000"/>
              <w:left w:val="nil"/>
              <w:bottom w:val="single" w:sz="6" w:space="0" w:color="000000"/>
              <w:right w:val="nil"/>
            </w:tcBorders>
            <w:vAlign w:val="center"/>
            <w:hideMark/>
          </w:tcPr>
          <w:p w14:paraId="33FE6EB5" w14:textId="77777777" w:rsidR="00A5540F" w:rsidRDefault="00A5540F" w:rsidP="00A5540F">
            <w:pPr>
              <w:spacing w:before="0" w:after="0"/>
              <w:rPr>
                <w:rFonts w:ascii="Arial Narrow" w:eastAsia="Times New Roman" w:hAnsi="Arial Narrow"/>
                <w:sz w:val="16"/>
                <w:szCs w:val="16"/>
              </w:rPr>
            </w:pPr>
            <w:r>
              <w:rPr>
                <w:rFonts w:ascii="Arial Narrow" w:eastAsia="Times New Roman" w:hAnsi="Arial Narrow"/>
                <w:b/>
                <w:bCs/>
                <w:sz w:val="16"/>
                <w:szCs w:val="16"/>
              </w:rPr>
              <w:t>GRADE Working Group grades of evidence</w:t>
            </w:r>
            <w:r>
              <w:rPr>
                <w:rFonts w:ascii="Arial Narrow" w:eastAsia="Times New Roman" w:hAnsi="Arial Narrow"/>
                <w:sz w:val="16"/>
                <w:szCs w:val="16"/>
              </w:rPr>
              <w:br/>
            </w:r>
            <w:r>
              <w:rPr>
                <w:rFonts w:ascii="Arial Narrow" w:eastAsia="Times New Roman" w:hAnsi="Arial Narrow"/>
                <w:b/>
                <w:bCs/>
                <w:sz w:val="16"/>
                <w:szCs w:val="16"/>
              </w:rPr>
              <w:t>High certainty:</w:t>
            </w:r>
            <w:r>
              <w:rPr>
                <w:rFonts w:ascii="Arial Narrow" w:eastAsia="Times New Roman" w:hAnsi="Arial Narrow"/>
                <w:sz w:val="16"/>
                <w:szCs w:val="16"/>
              </w:rPr>
              <w:t xml:space="preserve"> We are very confident that the true effect lies close to that of the estimate of the effect</w:t>
            </w:r>
            <w:r>
              <w:rPr>
                <w:rFonts w:ascii="Arial Narrow" w:eastAsia="Times New Roman" w:hAnsi="Arial Narrow"/>
                <w:sz w:val="16"/>
                <w:szCs w:val="16"/>
              </w:rPr>
              <w:br/>
            </w:r>
            <w:r>
              <w:rPr>
                <w:rFonts w:ascii="Arial Narrow" w:eastAsia="Times New Roman" w:hAnsi="Arial Narrow"/>
                <w:b/>
                <w:bCs/>
                <w:sz w:val="16"/>
                <w:szCs w:val="16"/>
              </w:rPr>
              <w:t>Moderate certainty:</w:t>
            </w:r>
            <w:r>
              <w:rPr>
                <w:rFonts w:ascii="Arial Narrow" w:eastAsia="Times New Roman" w:hAnsi="Arial Narrow"/>
                <w:sz w:val="16"/>
                <w:szCs w:val="16"/>
              </w:rPr>
              <w:t xml:space="preserve"> We are moderately confident in the effect estimate: The true effect is likely to be close to the estimate of the effect, but there is a possibility that it is substantially different</w:t>
            </w:r>
            <w:r>
              <w:rPr>
                <w:rFonts w:ascii="Arial Narrow" w:eastAsia="Times New Roman" w:hAnsi="Arial Narrow"/>
                <w:sz w:val="16"/>
                <w:szCs w:val="16"/>
              </w:rPr>
              <w:br/>
            </w:r>
            <w:r>
              <w:rPr>
                <w:rFonts w:ascii="Arial Narrow" w:eastAsia="Times New Roman" w:hAnsi="Arial Narrow"/>
                <w:b/>
                <w:bCs/>
                <w:sz w:val="16"/>
                <w:szCs w:val="16"/>
              </w:rPr>
              <w:t>Low certainty:</w:t>
            </w:r>
            <w:r>
              <w:rPr>
                <w:rFonts w:ascii="Arial Narrow" w:eastAsia="Times New Roman" w:hAnsi="Arial Narrow"/>
                <w:sz w:val="16"/>
                <w:szCs w:val="16"/>
              </w:rPr>
              <w:t xml:space="preserve"> Our confidence in the effect estimate is limited: The true effect may be substantially different from the estimate of the effect</w:t>
            </w:r>
            <w:r>
              <w:rPr>
                <w:rFonts w:ascii="Arial Narrow" w:eastAsia="Times New Roman" w:hAnsi="Arial Narrow"/>
                <w:sz w:val="16"/>
                <w:szCs w:val="16"/>
              </w:rPr>
              <w:br/>
            </w:r>
            <w:r>
              <w:rPr>
                <w:rFonts w:ascii="Arial Narrow" w:eastAsia="Times New Roman" w:hAnsi="Arial Narrow"/>
                <w:b/>
                <w:bCs/>
                <w:sz w:val="16"/>
                <w:szCs w:val="16"/>
              </w:rPr>
              <w:t>Very low certainty:</w:t>
            </w:r>
            <w:r>
              <w:rPr>
                <w:rFonts w:ascii="Arial Narrow" w:eastAsia="Times New Roman" w:hAnsi="Arial Narrow"/>
                <w:sz w:val="16"/>
                <w:szCs w:val="16"/>
              </w:rPr>
              <w:t xml:space="preserve"> We have very little confidence in the effect estimate: The true effect is likely to be substantially different from the estimate of effect </w:t>
            </w:r>
          </w:p>
        </w:tc>
      </w:tr>
    </w:tbl>
    <w:p w14:paraId="1F2FBEB8" w14:textId="77777777" w:rsidR="00A5540F" w:rsidRDefault="00A5540F"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 xml:space="preserve">a. Risk of performance bias high or unclear in all studies </w:t>
      </w:r>
    </w:p>
    <w:p w14:paraId="05B45431" w14:textId="1D06CCAF" w:rsidR="00A5540F" w:rsidRDefault="00A5540F"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 xml:space="preserve">b. </w:t>
      </w:r>
      <w:r w:rsidR="005D0706">
        <w:rPr>
          <w:rFonts w:ascii="Arial Narrow" w:eastAsia="Times New Roman" w:hAnsi="Arial Narrow"/>
          <w:color w:val="000000"/>
          <w:sz w:val="16"/>
          <w:szCs w:val="16"/>
        </w:rPr>
        <w:t>C</w:t>
      </w:r>
      <w:r>
        <w:rPr>
          <w:rFonts w:ascii="Arial Narrow" w:eastAsia="Times New Roman" w:hAnsi="Arial Narrow"/>
          <w:color w:val="000000"/>
          <w:sz w:val="16"/>
          <w:szCs w:val="16"/>
        </w:rPr>
        <w:t>onfidence interval cross</w:t>
      </w:r>
      <w:r w:rsidR="005D0706">
        <w:rPr>
          <w:rFonts w:ascii="Arial Narrow" w:eastAsia="Times New Roman" w:hAnsi="Arial Narrow"/>
          <w:color w:val="000000"/>
          <w:sz w:val="16"/>
          <w:szCs w:val="16"/>
        </w:rPr>
        <w:t>es</w:t>
      </w:r>
      <w:r>
        <w:rPr>
          <w:rFonts w:ascii="Arial Narrow" w:eastAsia="Times New Roman" w:hAnsi="Arial Narrow"/>
          <w:color w:val="000000"/>
          <w:sz w:val="16"/>
          <w:szCs w:val="16"/>
        </w:rPr>
        <w:t xml:space="preserve"> line of no effect </w:t>
      </w:r>
    </w:p>
    <w:p w14:paraId="32CC71C7" w14:textId="744F16DD" w:rsidR="00A5540F" w:rsidRDefault="00A5540F" w:rsidP="00A5540F">
      <w:pPr>
        <w:spacing w:line="240" w:lineRule="auto"/>
        <w:rPr>
          <w:rFonts w:ascii="Arial Narrow" w:eastAsia="Times New Roman" w:hAnsi="Arial Narrow"/>
          <w:color w:val="000000"/>
          <w:sz w:val="16"/>
          <w:szCs w:val="16"/>
        </w:rPr>
      </w:pPr>
      <w:r>
        <w:rPr>
          <w:rFonts w:ascii="Arial Narrow" w:eastAsia="Times New Roman" w:hAnsi="Arial Narrow"/>
          <w:color w:val="000000"/>
          <w:sz w:val="16"/>
          <w:szCs w:val="16"/>
        </w:rPr>
        <w:t>c. Weights measured at different times</w:t>
      </w:r>
    </w:p>
    <w:p w14:paraId="6835AEA4" w14:textId="77777777" w:rsidR="00A5540F" w:rsidRPr="00C12274" w:rsidRDefault="00A5540F" w:rsidP="00A5540F">
      <w:pPr>
        <w:spacing w:before="20" w:after="20" w:line="240" w:lineRule="auto"/>
        <w:rPr>
          <w:rFonts w:ascii="Arial Narrow" w:eastAsia="Times New Roman" w:hAnsi="Arial Narrow"/>
          <w:color w:val="000000"/>
          <w:sz w:val="16"/>
          <w:szCs w:val="16"/>
        </w:rPr>
      </w:pPr>
    </w:p>
    <w:p w14:paraId="6E79B120" w14:textId="77777777" w:rsidR="00A5540F" w:rsidRPr="00C12274" w:rsidRDefault="00A5540F" w:rsidP="00A5540F">
      <w:pPr>
        <w:pStyle w:val="Heading2"/>
        <w:ind w:left="851" w:hanging="851"/>
        <w:sectPr w:rsidR="00A5540F" w:rsidRPr="00C12274" w:rsidSect="008A6B17">
          <w:pgSz w:w="11901" w:h="16817"/>
          <w:pgMar w:top="1134" w:right="1418" w:bottom="1134" w:left="1418" w:header="709" w:footer="709" w:gutter="0"/>
          <w:cols w:space="708"/>
          <w:docGrid w:linePitch="360"/>
        </w:sectPr>
      </w:pPr>
    </w:p>
    <w:p w14:paraId="4D8D19E0" w14:textId="77777777" w:rsidR="00A5540F" w:rsidRPr="00C12274" w:rsidRDefault="00A5540F" w:rsidP="00A5540F">
      <w:pPr>
        <w:pStyle w:val="Heading4"/>
      </w:pPr>
      <w:bookmarkStart w:id="224" w:name="_Toc5978451"/>
      <w:r w:rsidRPr="00C12274">
        <w:t>Comparability of results with other reviews</w:t>
      </w:r>
      <w:bookmarkEnd w:id="224"/>
      <w:r w:rsidRPr="00C12274">
        <w:t xml:space="preserve">  </w:t>
      </w:r>
    </w:p>
    <w:p w14:paraId="39268CF4" w14:textId="77777777" w:rsidR="00A5540F" w:rsidRDefault="00A5540F" w:rsidP="00A5540F">
      <w:r w:rsidRPr="00C12274">
        <w:t xml:space="preserve">Other systematic reviews have included some RCTs that were excluded from this review due to </w:t>
      </w:r>
      <w:r>
        <w:t xml:space="preserve">being outside the timeframe of this review, </w:t>
      </w:r>
      <w:r w:rsidRPr="00C12274">
        <w:t xml:space="preserve">wrong study population (eg women with high risk pregnancies for reasons other than BMI) or wrong comparator (eg not </w:t>
      </w:r>
      <w:r>
        <w:t>usual</w:t>
      </w:r>
      <w:r w:rsidRPr="00C12274">
        <w:t xml:space="preserve"> care). However, the results </w:t>
      </w:r>
      <w:r>
        <w:t xml:space="preserve">for the primary outcome </w:t>
      </w:r>
      <w:r w:rsidRPr="00C12274">
        <w:t>are largely comparable</w:t>
      </w:r>
      <w:r>
        <w:t xml:space="preserve"> with those of this review</w:t>
      </w:r>
      <w:r w:rsidRPr="00C12274">
        <w:t>, with most reviews finding a lower wei</w:t>
      </w:r>
      <w:r>
        <w:t>ght gain in women in the intervention groups</w:t>
      </w:r>
      <w:r w:rsidRPr="00C12274">
        <w:t>.</w:t>
      </w:r>
      <w:r>
        <w:t xml:space="preserve"> </w:t>
      </w:r>
    </w:p>
    <w:p w14:paraId="2233C7FB" w14:textId="14220D62" w:rsidR="00A5540F" w:rsidRPr="00C12274" w:rsidRDefault="00932C6D" w:rsidP="008E1F6E">
      <w:pPr>
        <w:pStyle w:val="TableName"/>
        <w:ind w:left="1134" w:hanging="1134"/>
      </w:pPr>
      <w:bookmarkStart w:id="225" w:name="_Toc40956683"/>
      <w:r>
        <w:t xml:space="preserve">Q9 </w:t>
      </w:r>
      <w:r w:rsidR="004A0E1A">
        <w:t>Findings</w:t>
      </w:r>
      <w:r w:rsidR="00A5540F" w:rsidRPr="00C12274">
        <w:t xml:space="preserve"> of </w:t>
      </w:r>
      <w:r w:rsidR="004A0E1A">
        <w:t xml:space="preserve">systematic </w:t>
      </w:r>
      <w:r w:rsidR="00A5540F" w:rsidRPr="00C12274">
        <w:t xml:space="preserve">reviews </w:t>
      </w:r>
      <w:r w:rsidR="00A5540F">
        <w:t xml:space="preserve">of lifestyle counselling interventions </w:t>
      </w:r>
      <w:r w:rsidR="004A0E1A">
        <w:t>—</w:t>
      </w:r>
      <w:r w:rsidR="00A5540F">
        <w:t xml:space="preserve"> maternal</w:t>
      </w:r>
      <w:r w:rsidR="00A5540F" w:rsidRPr="00C12274">
        <w:t xml:space="preserve"> outcome</w:t>
      </w:r>
      <w:r w:rsidR="00A5540F">
        <w:t>s</w:t>
      </w:r>
      <w:bookmarkEnd w:id="225"/>
    </w:p>
    <w:tbl>
      <w:tblPr>
        <w:tblStyle w:val="TableGrid"/>
        <w:tblW w:w="9504" w:type="dxa"/>
        <w:tblLook w:val="04A0" w:firstRow="1" w:lastRow="0" w:firstColumn="1" w:lastColumn="0" w:noHBand="0" w:noVBand="1"/>
        <w:tblCaption w:val="Table 105: Q9 Findings of systematic reviews of lifestyle counselling interventions — maternal outcomes"/>
      </w:tblPr>
      <w:tblGrid>
        <w:gridCol w:w="2841"/>
        <w:gridCol w:w="2547"/>
        <w:gridCol w:w="2982"/>
        <w:gridCol w:w="1134"/>
      </w:tblGrid>
      <w:tr w:rsidR="00A5540F" w:rsidRPr="00B87066" w14:paraId="374215F8" w14:textId="77777777" w:rsidTr="00A5540F">
        <w:trPr>
          <w:tblHeader/>
        </w:trPr>
        <w:tc>
          <w:tcPr>
            <w:tcW w:w="2841" w:type="dxa"/>
            <w:tcBorders>
              <w:bottom w:val="single" w:sz="4" w:space="0" w:color="3B3474"/>
            </w:tcBorders>
          </w:tcPr>
          <w:p w14:paraId="378BBFA0" w14:textId="77777777" w:rsidR="00A5540F" w:rsidRPr="00B87066" w:rsidRDefault="00A5540F" w:rsidP="00A5540F">
            <w:pPr>
              <w:spacing w:before="40" w:after="40" w:line="240" w:lineRule="auto"/>
              <w:rPr>
                <w:b/>
                <w:sz w:val="16"/>
                <w:szCs w:val="16"/>
              </w:rPr>
            </w:pPr>
            <w:r w:rsidRPr="00B87066">
              <w:rPr>
                <w:b/>
                <w:sz w:val="16"/>
                <w:szCs w:val="16"/>
              </w:rPr>
              <w:t>Ref</w:t>
            </w:r>
          </w:p>
        </w:tc>
        <w:tc>
          <w:tcPr>
            <w:tcW w:w="2547" w:type="dxa"/>
            <w:tcBorders>
              <w:bottom w:val="single" w:sz="4" w:space="0" w:color="3B3474"/>
            </w:tcBorders>
          </w:tcPr>
          <w:p w14:paraId="0743417F" w14:textId="77777777" w:rsidR="00A5540F" w:rsidRPr="00B87066" w:rsidRDefault="00A5540F" w:rsidP="00A5540F">
            <w:pPr>
              <w:spacing w:before="40" w:after="40" w:line="240" w:lineRule="auto"/>
              <w:rPr>
                <w:b/>
                <w:sz w:val="16"/>
                <w:szCs w:val="16"/>
              </w:rPr>
            </w:pPr>
            <w:r w:rsidRPr="00B87066">
              <w:rPr>
                <w:b/>
                <w:sz w:val="16"/>
                <w:szCs w:val="16"/>
              </w:rPr>
              <w:t>Population</w:t>
            </w:r>
          </w:p>
        </w:tc>
        <w:tc>
          <w:tcPr>
            <w:tcW w:w="2982" w:type="dxa"/>
            <w:tcBorders>
              <w:bottom w:val="single" w:sz="4" w:space="0" w:color="3B3474"/>
            </w:tcBorders>
          </w:tcPr>
          <w:p w14:paraId="3A345132" w14:textId="1CBEA5E9" w:rsidR="00A5540F" w:rsidRPr="00B87066" w:rsidRDefault="008E1F6E" w:rsidP="008E1F6E">
            <w:pPr>
              <w:spacing w:before="40" w:after="40" w:line="240" w:lineRule="auto"/>
              <w:jc w:val="center"/>
              <w:rPr>
                <w:b/>
                <w:sz w:val="16"/>
                <w:szCs w:val="16"/>
              </w:rPr>
            </w:pPr>
            <w:r>
              <w:rPr>
                <w:b/>
                <w:sz w:val="16"/>
                <w:szCs w:val="16"/>
              </w:rPr>
              <w:t>Effect</w:t>
            </w:r>
            <w:r w:rsidR="00A5540F" w:rsidRPr="00B87066">
              <w:rPr>
                <w:b/>
                <w:sz w:val="16"/>
                <w:szCs w:val="16"/>
              </w:rPr>
              <w:t xml:space="preserve"> (95% CI)</w:t>
            </w:r>
          </w:p>
        </w:tc>
        <w:tc>
          <w:tcPr>
            <w:tcW w:w="1134" w:type="dxa"/>
            <w:tcBorders>
              <w:bottom w:val="single" w:sz="4" w:space="0" w:color="3B3474"/>
            </w:tcBorders>
          </w:tcPr>
          <w:p w14:paraId="041BBD84" w14:textId="77777777" w:rsidR="00A5540F" w:rsidRPr="00B87066" w:rsidRDefault="00A5540F" w:rsidP="00A5540F">
            <w:pPr>
              <w:spacing w:before="40" w:after="40" w:line="240" w:lineRule="auto"/>
              <w:jc w:val="center"/>
              <w:rPr>
                <w:b/>
                <w:sz w:val="16"/>
                <w:szCs w:val="16"/>
              </w:rPr>
            </w:pPr>
            <w:r w:rsidRPr="00B87066">
              <w:rPr>
                <w:b/>
                <w:sz w:val="16"/>
                <w:szCs w:val="16"/>
              </w:rPr>
              <w:t>Number of studies</w:t>
            </w:r>
          </w:p>
        </w:tc>
      </w:tr>
      <w:tr w:rsidR="004A0E1A" w:rsidRPr="00B87066" w14:paraId="7C7ABEBA" w14:textId="77777777" w:rsidTr="004A0E1A">
        <w:tc>
          <w:tcPr>
            <w:tcW w:w="9504" w:type="dxa"/>
            <w:gridSpan w:val="4"/>
            <w:shd w:val="clear" w:color="auto" w:fill="D9E2F3" w:themeFill="accent1" w:themeFillTint="33"/>
          </w:tcPr>
          <w:p w14:paraId="09AE3D85" w14:textId="495738CA" w:rsidR="004A0E1A" w:rsidRPr="00B87066" w:rsidRDefault="004A0E1A" w:rsidP="004A0E1A">
            <w:pPr>
              <w:pStyle w:val="RCTstable"/>
              <w:rPr>
                <w:i/>
              </w:rPr>
            </w:pPr>
            <w:r>
              <w:rPr>
                <w:i/>
              </w:rPr>
              <w:t>Mean gestational w</w:t>
            </w:r>
            <w:r w:rsidRPr="00B87066">
              <w:rPr>
                <w:i/>
              </w:rPr>
              <w:t>eight gain</w:t>
            </w:r>
          </w:p>
        </w:tc>
      </w:tr>
      <w:tr w:rsidR="004A0E1A" w:rsidRPr="00C12274" w14:paraId="2C9B5923" w14:textId="77777777" w:rsidTr="004A0E1A">
        <w:tc>
          <w:tcPr>
            <w:tcW w:w="2841" w:type="dxa"/>
            <w:shd w:val="clear" w:color="auto" w:fill="F2F2F2" w:themeFill="background1" w:themeFillShade="F2"/>
          </w:tcPr>
          <w:p w14:paraId="7FCBAA34" w14:textId="77777777" w:rsidR="004A0E1A" w:rsidRPr="00916B76" w:rsidRDefault="004A0E1A" w:rsidP="004A0E1A">
            <w:pPr>
              <w:pStyle w:val="RCTstable"/>
            </w:pPr>
            <w:r w:rsidRPr="00916B76">
              <w:t>Current review</w:t>
            </w:r>
          </w:p>
        </w:tc>
        <w:tc>
          <w:tcPr>
            <w:tcW w:w="2547" w:type="dxa"/>
            <w:shd w:val="clear" w:color="auto" w:fill="F2F2F2" w:themeFill="background1" w:themeFillShade="F2"/>
          </w:tcPr>
          <w:p w14:paraId="434D7C29" w14:textId="77777777" w:rsidR="004A0E1A" w:rsidRPr="00C12274" w:rsidRDefault="004A0E1A" w:rsidP="004A0E1A">
            <w:pPr>
              <w:pStyle w:val="RCTstable"/>
            </w:pPr>
            <w:r>
              <w:t>Mixed BMIs</w:t>
            </w:r>
          </w:p>
        </w:tc>
        <w:tc>
          <w:tcPr>
            <w:tcW w:w="2982" w:type="dxa"/>
            <w:shd w:val="clear" w:color="auto" w:fill="F2F2F2" w:themeFill="background1" w:themeFillShade="F2"/>
          </w:tcPr>
          <w:p w14:paraId="0EA100B2" w14:textId="05CBE064" w:rsidR="004A0E1A" w:rsidRPr="00991C4E" w:rsidRDefault="008E1F6E" w:rsidP="00E01ACF">
            <w:pPr>
              <w:pStyle w:val="RCTstable"/>
              <w:jc w:val="center"/>
            </w:pPr>
            <w:r>
              <w:t xml:space="preserve">MD </w:t>
            </w:r>
            <w:r w:rsidR="004627A3">
              <w:t>-1.</w:t>
            </w:r>
            <w:r w:rsidR="00E01ACF">
              <w:t>25</w:t>
            </w:r>
            <w:r w:rsidR="00E01ACF" w:rsidRPr="00D9380A">
              <w:t xml:space="preserve"> </w:t>
            </w:r>
            <w:r w:rsidR="004A0E1A" w:rsidRPr="00D9380A">
              <w:t>kg</w:t>
            </w:r>
            <w:r w:rsidR="004A0E1A">
              <w:t xml:space="preserve"> (</w:t>
            </w:r>
            <w:r w:rsidR="004627A3">
              <w:t>-1.</w:t>
            </w:r>
            <w:r w:rsidR="00E01ACF">
              <w:t>6</w:t>
            </w:r>
            <w:r w:rsidR="00D807F2">
              <w:t>4</w:t>
            </w:r>
            <w:r w:rsidR="004627A3">
              <w:t xml:space="preserve"> to -0.</w:t>
            </w:r>
            <w:r w:rsidR="00E01ACF">
              <w:t>86</w:t>
            </w:r>
            <w:r w:rsidR="004A0E1A">
              <w:t>)</w:t>
            </w:r>
          </w:p>
        </w:tc>
        <w:tc>
          <w:tcPr>
            <w:tcW w:w="1134" w:type="dxa"/>
            <w:shd w:val="clear" w:color="auto" w:fill="F2F2F2" w:themeFill="background1" w:themeFillShade="F2"/>
          </w:tcPr>
          <w:p w14:paraId="51A4714C" w14:textId="796C04DC" w:rsidR="004A0E1A" w:rsidRPr="008C6CCE" w:rsidRDefault="00D807F2" w:rsidP="004A0E1A">
            <w:pPr>
              <w:pStyle w:val="RCTstable"/>
              <w:jc w:val="center"/>
            </w:pPr>
            <w:r>
              <w:t>3</w:t>
            </w:r>
            <w:r w:rsidR="00E01ACF">
              <w:t>6</w:t>
            </w:r>
          </w:p>
        </w:tc>
      </w:tr>
      <w:tr w:rsidR="004A0E1A" w:rsidRPr="00C12274" w14:paraId="6F418F21" w14:textId="77777777" w:rsidTr="004A0E1A">
        <w:tc>
          <w:tcPr>
            <w:tcW w:w="2841" w:type="dxa"/>
          </w:tcPr>
          <w:p w14:paraId="5EB7561A" w14:textId="307EECF2" w:rsidR="004A0E1A" w:rsidRPr="00916B76" w:rsidRDefault="004A0E1A" w:rsidP="002747EA">
            <w:pPr>
              <w:pStyle w:val="RCTstable"/>
            </w:pPr>
            <w:r w:rsidRPr="00916B76">
              <w:t>O’Brien</w:t>
            </w:r>
            <w:r w:rsidR="00632FE5">
              <w:t xml:space="preserve"> et al 2016</w:t>
            </w:r>
            <w:r w:rsidR="00E51743">
              <w:fldChar w:fldCharType="begin">
                <w:fldData xml:space="preserve">PEVuZE5vdGU+PENpdGU+PEF1dGhvcj5PJmFwb3M7QnJpZW48L0F1dGhvcj48WWVhcj4yMDE2PC9Z
ZWFyPjxSZWNOdW0+MTI3MzwvUmVjTnVtPjxEaXNwbGF5VGV4dD48c3R5bGUgZmFjZT0ic3VwZXJz
Y3JpcHQiIGZvbnQ9IlRyZWJ1Y2hldCBNUyIgc2l6ZT0iOSI+NTIzPC9zdHlsZT48L0Rpc3BsYXlU
ZXh0PjxyZWNvcmQ+PHJlYy1udW1iZXI+MTI3MzwvcmVjLW51bWJlcj48Zm9yZWlnbi1rZXlzPjxr
ZXkgYXBwPSJFTiIgZGItaWQ9ImV4dmFzcmZ4MmR0cmFvZXNhc3hwMnN6c3hhMmRmNTAyNTkyeCIg
dGltZXN0YW1wPSIxNTYzMTYzNDcxIj4xMjczPC9rZXk+PGtleSBhcHA9IkVOV2ViIiBkYi1pZD0i
Ij4wPC9rZXk+PC9mb3JlaWduLWtleXM+PHJlZi10eXBlIG5hbWU9IkpvdXJuYWwgQXJ0aWNsZSI+
MTc8L3JlZi10eXBlPjxjb250cmlidXRvcnM+PGF1dGhvcnM+PGF1dGhvcj5PJmFwb3M7QnJpZW4s
IEMuIE0uPC9hdXRob3I+PGF1dGhvcj5Hcml2ZWxsLCBSLiBNLjwvYXV0aG9yPjxhdXRob3I+RG9k
ZCwgSi4gTS48L2F1dGhvcj48L2F1dGhvcnM+PC9jb250cmlidXRvcnM+PGF1dGgtYWRkcmVzcz5T
Y2hvb2wgb2YgUGFlZGlhdHJpY3MgYW5kIFJlcHJvZHVjdGl2ZSBIZWFsdGgsIGFuZCBSb2JpbnNv
biBSZXNlYXJjaCBJbnN0aXR1dGUsIFVuaXZlcnNpdHkgb2YgQWRlbGFpZGUsIE5vcnRoIEFkZWxh
aWRlLCBTb3V0aCBBdXN0cmFsaWEsIEF1c3RyYWxpYS4mI3hEO0RlcGFydG1lbnQgb2YgUGVyaW5h
dGFsIE1lZGljaW5lLCBXb21lbiZhcG9zO3MgYW5kIEJhYmllcyZhcG9zOyBEaXZpc2lvbiwgV29t
ZW4mYXBvcztzIGFuZCBDaGlsZHJlbiZhcG9zO3MgSG9zcGl0YWwsIE5vcnRoIEFkZWxhaWRlLCBT
b3V0aCBBdXN0cmFsaWEsIEF1c3RyYWxpYS48L2F1dGgtYWRkcmVzcz48dGl0bGVzPjx0aXRsZT5T
eXN0ZW1hdGljIHJldmlldyBvZiBhbnRlbmF0YWwgZGlldGFyeSBhbmQgbGlmZXN0eWxlIGludGVy
dmVudGlvbnMgaW4gd29tZW4gd2l0aCBhIG5vcm1hbCBib2R5IG1hc3MgaW5kZXg8L3RpdGxlPjxz
ZWNvbmRhcnktdGl0bGU+QWN0YSBPYnN0ZXQgR3luZWNvbCBTY2FuZDwvc2Vjb25kYXJ5LXRpdGxl
PjwvdGl0bGVzPjxwZXJpb2RpY2FsPjxmdWxsLXRpdGxlPkFjdGEgT2JzdGV0IEd5bmVjb2wgU2Nh
bmQ8L2Z1bGwtdGl0bGU+PC9wZXJpb2RpY2FsPjxwYWdlcz4yNTktNjk8L3BhZ2VzPjx2b2x1bWU+
OTU8L3ZvbHVtZT48bnVtYmVyPjM8L251bWJlcj48ZWRpdGlvbj4yMDE1LzExLzI3PC9lZGl0aW9u
PjxrZXl3b3Jkcz48a2V5d29yZD4qQm9keSBNYXNzIEluZGV4PC9rZXl3b3JkPjxrZXl3b3JkPipE
aWV0PC9rZXl3b3JkPjxrZXl3b3JkPkZlbWFsZTwva2V5d29yZD48a2V5d29yZD5IZWFsdGggUHJv
bW90aW9uLyptZXRob2RzPC9rZXl3b3JkPjxrZXl3b3JkPkh1bWFuczwva2V5d29yZD48a2V5d29y
ZD5IeXBlcnRlbnNpb24sIFByZWduYW5jeS1JbmR1Y2VkL3ByZXZlbnRpb24gJmFtcDsgY29udHJv
bDwva2V5d29yZD48a2V5d29yZD4qTGlmZSBTdHlsZTwva2V5d29yZD48a2V5d29yZD5Qb3N0cGFy
dHVtIFBlcmlvZDwva2V5d29yZD48a2V5d29yZD5QcmVnbmFuY3k8L2tleXdvcmQ+PGtleXdvcmQ+
UHJlbmF0YWwgQ2FyZS8qbWV0aG9kczwva2V5d29yZD48a2V5d29yZD5SYW5kb21pemVkIENvbnRy
b2xsZWQgVHJpYWxzIGFzIFRvcGljPC9rZXl3b3JkPjxrZXl3b3JkPldlaWdodCBHYWluPC9rZXl3
b3JkPjxrZXl3b3JkPkFudGVuYXRhbCBkaWV0YXJ5IGFuZCBsaWZlc3R5bGUgaW50ZXJ2ZW50aW9u
PC9rZXl3b3JkPjxrZXl3b3JkPmdlc3RhdGlvbmFsIHdlaWdodCBnYWluPC9rZXl3b3JkPjxrZXl3
b3JkPm1hdGVybmFsIGFuZCBpbmZhbnQgaGVhbHRoIG91dGNvbWVzPC9rZXl3b3JkPjxrZXl3b3Jk
PnBvc3RwYXJ0dW0gd2VpZ2h0IHJldGVudGlvbjwva2V5d29yZD48a2V5d29yZD5yYW5kb21pemVk
IGNvbnRyb2xsZWQgdHJpYWw8L2tleXdvcmQ+PGtleXdvcmQ+c3lzdGVtYXRpYyByZXZpZXc8L2tl
eXdvcmQ+PC9rZXl3b3Jkcz48ZGF0ZXM+PHllYXI+MjAxNjwveWVhcj48cHViLWRhdGVzPjxkYXRl
Pk1hcjwvZGF0ZT48L3B1Yi1kYXRlcz48L2RhdGVzPjxpc2JuPjE2MDAtMDQxMiAoRWxlY3Ryb25p
YykmI3hEOzAwMDEtNjM0OSAoTGlua2luZyk8L2lzYm4+PGFjY2Vzc2lvbi1udW0+MjY2MTAxNjk8
L2FjY2Vzc2lvbi1udW0+PHVybHM+PHJlbGF0ZWQtdXJscz48dXJsPmh0dHBzOi8vd3d3Lm5jYmku
bmxtLm5paC5nb3YvcHVibWVkLzI2NjEwMTY5PC91cmw+PC9yZWxhdGVkLXVybHM+PC91cmxzPjxl
bGVjdHJvbmljLXJlc291cmNlLW51bT4xMC4xMTExL2FvZ3MuMTI4Mjk8L2VsZWN0cm9uaWMtcmVz
b3VyY2UtbnVtPjwvcmVjb3JkPjwvQ2l0ZT48L0VuZE5vdGU+AG==
</w:fldData>
              </w:fldChar>
            </w:r>
            <w:r w:rsidR="002747EA">
              <w:instrText xml:space="preserve"> ADDIN EN.CITE </w:instrText>
            </w:r>
            <w:r w:rsidR="002747EA">
              <w:fldChar w:fldCharType="begin">
                <w:fldData xml:space="preserve">PEVuZE5vdGU+PENpdGU+PEF1dGhvcj5PJmFwb3M7QnJpZW48L0F1dGhvcj48WWVhcj4yMDE2PC9Z
ZWFyPjxSZWNOdW0+MTI3MzwvUmVjTnVtPjxEaXNwbGF5VGV4dD48c3R5bGUgZmFjZT0ic3VwZXJz
Y3JpcHQiIGZvbnQ9IlRyZWJ1Y2hldCBNUyIgc2l6ZT0iOSI+NTIzPC9zdHlsZT48L0Rpc3BsYXlU
ZXh0PjxyZWNvcmQ+PHJlYy1udW1iZXI+MTI3MzwvcmVjLW51bWJlcj48Zm9yZWlnbi1rZXlzPjxr
ZXkgYXBwPSJFTiIgZGItaWQ9ImV4dmFzcmZ4MmR0cmFvZXNhc3hwMnN6c3hhMmRmNTAyNTkyeCIg
dGltZXN0YW1wPSIxNTYzMTYzNDcxIj4xMjczPC9rZXk+PGtleSBhcHA9IkVOV2ViIiBkYi1pZD0i
Ij4wPC9rZXk+PC9mb3JlaWduLWtleXM+PHJlZi10eXBlIG5hbWU9IkpvdXJuYWwgQXJ0aWNsZSI+
MTc8L3JlZi10eXBlPjxjb250cmlidXRvcnM+PGF1dGhvcnM+PGF1dGhvcj5PJmFwb3M7QnJpZW4s
IEMuIE0uPC9hdXRob3I+PGF1dGhvcj5Hcml2ZWxsLCBSLiBNLjwvYXV0aG9yPjxhdXRob3I+RG9k
ZCwgSi4gTS48L2F1dGhvcj48L2F1dGhvcnM+PC9jb250cmlidXRvcnM+PGF1dGgtYWRkcmVzcz5T
Y2hvb2wgb2YgUGFlZGlhdHJpY3MgYW5kIFJlcHJvZHVjdGl2ZSBIZWFsdGgsIGFuZCBSb2JpbnNv
biBSZXNlYXJjaCBJbnN0aXR1dGUsIFVuaXZlcnNpdHkgb2YgQWRlbGFpZGUsIE5vcnRoIEFkZWxh
aWRlLCBTb3V0aCBBdXN0cmFsaWEsIEF1c3RyYWxpYS4mI3hEO0RlcGFydG1lbnQgb2YgUGVyaW5h
dGFsIE1lZGljaW5lLCBXb21lbiZhcG9zO3MgYW5kIEJhYmllcyZhcG9zOyBEaXZpc2lvbiwgV29t
ZW4mYXBvcztzIGFuZCBDaGlsZHJlbiZhcG9zO3MgSG9zcGl0YWwsIE5vcnRoIEFkZWxhaWRlLCBT
b3V0aCBBdXN0cmFsaWEsIEF1c3RyYWxpYS48L2F1dGgtYWRkcmVzcz48dGl0bGVzPjx0aXRsZT5T
eXN0ZW1hdGljIHJldmlldyBvZiBhbnRlbmF0YWwgZGlldGFyeSBhbmQgbGlmZXN0eWxlIGludGVy
dmVudGlvbnMgaW4gd29tZW4gd2l0aCBhIG5vcm1hbCBib2R5IG1hc3MgaW5kZXg8L3RpdGxlPjxz
ZWNvbmRhcnktdGl0bGU+QWN0YSBPYnN0ZXQgR3luZWNvbCBTY2FuZDwvc2Vjb25kYXJ5LXRpdGxl
PjwvdGl0bGVzPjxwZXJpb2RpY2FsPjxmdWxsLXRpdGxlPkFjdGEgT2JzdGV0IEd5bmVjb2wgU2Nh
bmQ8L2Z1bGwtdGl0bGU+PC9wZXJpb2RpY2FsPjxwYWdlcz4yNTktNjk8L3BhZ2VzPjx2b2x1bWU+
OTU8L3ZvbHVtZT48bnVtYmVyPjM8L251bWJlcj48ZWRpdGlvbj4yMDE1LzExLzI3PC9lZGl0aW9u
PjxrZXl3b3Jkcz48a2V5d29yZD4qQm9keSBNYXNzIEluZGV4PC9rZXl3b3JkPjxrZXl3b3JkPipE
aWV0PC9rZXl3b3JkPjxrZXl3b3JkPkZlbWFsZTwva2V5d29yZD48a2V5d29yZD5IZWFsdGggUHJv
bW90aW9uLyptZXRob2RzPC9rZXl3b3JkPjxrZXl3b3JkPkh1bWFuczwva2V5d29yZD48a2V5d29y
ZD5IeXBlcnRlbnNpb24sIFByZWduYW5jeS1JbmR1Y2VkL3ByZXZlbnRpb24gJmFtcDsgY29udHJv
bDwva2V5d29yZD48a2V5d29yZD4qTGlmZSBTdHlsZTwva2V5d29yZD48a2V5d29yZD5Qb3N0cGFy
dHVtIFBlcmlvZDwva2V5d29yZD48a2V5d29yZD5QcmVnbmFuY3k8L2tleXdvcmQ+PGtleXdvcmQ+
UHJlbmF0YWwgQ2FyZS8qbWV0aG9kczwva2V5d29yZD48a2V5d29yZD5SYW5kb21pemVkIENvbnRy
b2xsZWQgVHJpYWxzIGFzIFRvcGljPC9rZXl3b3JkPjxrZXl3b3JkPldlaWdodCBHYWluPC9rZXl3
b3JkPjxrZXl3b3JkPkFudGVuYXRhbCBkaWV0YXJ5IGFuZCBsaWZlc3R5bGUgaW50ZXJ2ZW50aW9u
PC9rZXl3b3JkPjxrZXl3b3JkPmdlc3RhdGlvbmFsIHdlaWdodCBnYWluPC9rZXl3b3JkPjxrZXl3
b3JkPm1hdGVybmFsIGFuZCBpbmZhbnQgaGVhbHRoIG91dGNvbWVzPC9rZXl3b3JkPjxrZXl3b3Jk
PnBvc3RwYXJ0dW0gd2VpZ2h0IHJldGVudGlvbjwva2V5d29yZD48a2V5d29yZD5yYW5kb21pemVk
IGNvbnRyb2xsZWQgdHJpYWw8L2tleXdvcmQ+PGtleXdvcmQ+c3lzdGVtYXRpYyByZXZpZXc8L2tl
eXdvcmQ+PC9rZXl3b3Jkcz48ZGF0ZXM+PHllYXI+MjAxNjwveWVhcj48cHViLWRhdGVzPjxkYXRl
Pk1hcjwvZGF0ZT48L3B1Yi1kYXRlcz48L2RhdGVzPjxpc2JuPjE2MDAtMDQxMiAoRWxlY3Ryb25p
YykmI3hEOzAwMDEtNjM0OSAoTGlua2luZyk8L2lzYm4+PGFjY2Vzc2lvbi1udW0+MjY2MTAxNjk8
L2FjY2Vzc2lvbi1udW0+PHVybHM+PHJlbGF0ZWQtdXJscz48dXJsPmh0dHBzOi8vd3d3Lm5jYmku
bmxtLm5paC5nb3YvcHVibWVkLzI2NjEwMTY5PC91cmw+PC9yZWxhdGVkLXVybHM+PC91cmxzPjxl
bGVjdHJvbmljLXJlc291cmNlLW51bT4xMC4xMTExL2FvZ3MuMTI4Mjk8L2VsZWN0cm9uaWMtcmVz
b3VyY2UtbnVtPjwvcmVjb3JkPjwvQ2l0ZT48L0VuZE5vdGU+AG==
</w:fldData>
              </w:fldChar>
            </w:r>
            <w:r w:rsidR="002747EA">
              <w:instrText xml:space="preserve"> ADDIN EN.CITE.DATA </w:instrText>
            </w:r>
            <w:r w:rsidR="002747EA">
              <w:fldChar w:fldCharType="end"/>
            </w:r>
            <w:r w:rsidR="00E51743">
              <w:fldChar w:fldCharType="separate"/>
            </w:r>
            <w:r w:rsidR="002747EA" w:rsidRPr="002747EA">
              <w:rPr>
                <w:noProof/>
                <w:sz w:val="18"/>
                <w:vertAlign w:val="superscript"/>
              </w:rPr>
              <w:t>523</w:t>
            </w:r>
            <w:r w:rsidR="00E51743">
              <w:fldChar w:fldCharType="end"/>
            </w:r>
          </w:p>
        </w:tc>
        <w:tc>
          <w:tcPr>
            <w:tcW w:w="2547" w:type="dxa"/>
          </w:tcPr>
          <w:p w14:paraId="3A6EFABD" w14:textId="40037664" w:rsidR="004A0E1A" w:rsidRPr="00C12274" w:rsidRDefault="004A0E1A" w:rsidP="00A02D85">
            <w:pPr>
              <w:pStyle w:val="RCTstable"/>
            </w:pPr>
            <w:r>
              <w:t xml:space="preserve">BMI in </w:t>
            </w:r>
            <w:r w:rsidR="00A02D85">
              <w:t xml:space="preserve">healthy </w:t>
            </w:r>
            <w:r>
              <w:t>range</w:t>
            </w:r>
          </w:p>
        </w:tc>
        <w:tc>
          <w:tcPr>
            <w:tcW w:w="2982" w:type="dxa"/>
          </w:tcPr>
          <w:p w14:paraId="4E95EF96" w14:textId="645881B0" w:rsidR="004A0E1A" w:rsidRPr="00991C4E" w:rsidRDefault="008E1F6E" w:rsidP="004A0E1A">
            <w:pPr>
              <w:pStyle w:val="RCTstable"/>
              <w:jc w:val="center"/>
            </w:pPr>
            <w:r>
              <w:t xml:space="preserve">MD </w:t>
            </w:r>
            <w:r w:rsidR="004A0E1A">
              <w:t>-1.25 kg (-2.39 to -0.11)</w:t>
            </w:r>
          </w:p>
        </w:tc>
        <w:tc>
          <w:tcPr>
            <w:tcW w:w="1134" w:type="dxa"/>
          </w:tcPr>
          <w:p w14:paraId="69153FE8" w14:textId="77777777" w:rsidR="004A0E1A" w:rsidRPr="008C6CCE" w:rsidRDefault="004A0E1A" w:rsidP="004A0E1A">
            <w:pPr>
              <w:pStyle w:val="RCTstable"/>
              <w:jc w:val="center"/>
            </w:pPr>
            <w:r>
              <w:t>4</w:t>
            </w:r>
          </w:p>
        </w:tc>
      </w:tr>
      <w:tr w:rsidR="004A0E1A" w:rsidRPr="00C12274" w14:paraId="7FE4727B" w14:textId="77777777" w:rsidTr="004A0E1A">
        <w:tc>
          <w:tcPr>
            <w:tcW w:w="2841" w:type="dxa"/>
          </w:tcPr>
          <w:p w14:paraId="411CDBC0" w14:textId="6DADE50C" w:rsidR="004A0E1A" w:rsidRPr="00916B76" w:rsidRDefault="004A0E1A" w:rsidP="002747EA">
            <w:pPr>
              <w:pStyle w:val="RCTstable"/>
            </w:pPr>
            <w:r w:rsidRPr="00916B76">
              <w:t>Muktab</w:t>
            </w:r>
            <w:r>
              <w:t>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0B272AD9" w14:textId="77777777" w:rsidR="004A0E1A" w:rsidRPr="00C12274" w:rsidRDefault="004A0E1A" w:rsidP="004A0E1A">
            <w:pPr>
              <w:pStyle w:val="RCTstable"/>
            </w:pPr>
            <w:r>
              <w:t xml:space="preserve">Low risk </w:t>
            </w:r>
          </w:p>
        </w:tc>
        <w:tc>
          <w:tcPr>
            <w:tcW w:w="2982" w:type="dxa"/>
          </w:tcPr>
          <w:p w14:paraId="78A36EFE" w14:textId="1AAC0BA1" w:rsidR="004A0E1A" w:rsidRPr="00624702" w:rsidRDefault="008E1F6E" w:rsidP="004A0E1A">
            <w:pPr>
              <w:pStyle w:val="RCTstable"/>
              <w:jc w:val="center"/>
            </w:pPr>
            <w:r>
              <w:t xml:space="preserve">MD </w:t>
            </w:r>
            <w:r w:rsidR="004A0E1A">
              <w:t>-0.92 kg (-2.12 to</w:t>
            </w:r>
            <w:r w:rsidR="004A0E1A" w:rsidRPr="00624702">
              <w:t xml:space="preserve"> 0.29</w:t>
            </w:r>
            <w:r w:rsidR="004A0E1A">
              <w:t>)</w:t>
            </w:r>
          </w:p>
        </w:tc>
        <w:tc>
          <w:tcPr>
            <w:tcW w:w="1134" w:type="dxa"/>
          </w:tcPr>
          <w:p w14:paraId="30E5EDE7" w14:textId="77777777" w:rsidR="004A0E1A" w:rsidRPr="008C6CCE" w:rsidRDefault="004A0E1A" w:rsidP="004A0E1A">
            <w:pPr>
              <w:pStyle w:val="RCTstable"/>
              <w:jc w:val="center"/>
            </w:pPr>
            <w:r>
              <w:t>2</w:t>
            </w:r>
          </w:p>
        </w:tc>
      </w:tr>
      <w:tr w:rsidR="004A0E1A" w:rsidRPr="00C12274" w14:paraId="779DE4B3" w14:textId="77777777" w:rsidTr="004A0E1A">
        <w:tc>
          <w:tcPr>
            <w:tcW w:w="2841" w:type="dxa"/>
            <w:vMerge w:val="restart"/>
          </w:tcPr>
          <w:p w14:paraId="7A08E865" w14:textId="0932451A" w:rsidR="004A0E1A" w:rsidRPr="00916B76" w:rsidRDefault="004A0E1A" w:rsidP="002747EA">
            <w:pPr>
              <w:pStyle w:val="RCTstable"/>
            </w:pPr>
            <w:r>
              <w:t>Choi et al 2013</w:t>
            </w:r>
            <w:r>
              <w:fldChar w:fldCharType="begin">
                <w:fldData xml:space="preserve">PEVuZE5vdGU+PENpdGU+PEF1dGhvcj5DaG9pPC9BdXRob3I+PFllYXI+MjAxMzwvWWVhcj48UmVj
TnVtPjEwNzQ8L1JlY051bT48RGlzcGxheVRleHQ+PHN0eWxlIGZhY2U9InN1cGVyc2NyaXB0IiBm
b250PSJUcmVidWNoZXQgTVMiIHNpemU9IjkiPjQ2MDwvc3R5bGU+PC9EaXNwbGF5VGV4dD48cmVj
b3JkPjxyZWMtbnVtYmVyPjEwNzQ8L3JlYy1udW1iZXI+PGZvcmVpZ24ta2V5cz48a2V5IGFwcD0i
RU4iIGRiLWlkPSJleHZhc3JmeDJkdHJhb2VzYXN4cDJzenN4YTJkZjUwMjU5MngiIHRpbWVzdGFt
cD0iMTU1MTI0MzE4MyI+MTA3NDwva2V5PjxrZXkgYXBwPSJFTldlYiIgZGItaWQ9IiI+MDwva2V5
PjwvZm9yZWlnbi1rZXlzPjxyZWYtdHlwZSBuYW1lPSJKb3VybmFsIEFydGljbGUiPjE3PC9yZWYt
dHlwZT48Y29udHJpYnV0b3JzPjxhdXRob3JzPjxhdXRob3I+Q2hvaSwgSi48L2F1dGhvcj48YXV0
aG9yPkZ1a3Vva2EsIFkuPC9hdXRob3I+PGF1dGhvcj5MZWUsIEouIEguPC9hdXRob3I+PC9hdXRo
b3JzPjwvY29udHJpYnV0b3JzPjxhdXRoLWFkZHJlc3M+VW5pdmVyc2l0eSBvZiBDYWxpZm9ybmlh
IGF0IFNhbiBGcmFuY2lzY28sIEluc3RpdHV0ZSBvZiBIZWFsdGggJmFtcDsgQWdpbmcsIFNhbiBG
cmFuY2lzY28sIENBIDk0MTE4LCBVU0EuIGppd29uLmNob2lAbnVyc2luZy51Y3NmLmVkdTwvYXV0
aC1hZGRyZXNzPjx0aXRsZXM+PHRpdGxlPlRoZSBlZmZlY3RzIG9mIHBoeXNpY2FsIGFjdGl2aXR5
IGFuZCBwaHlzaWNhbCBhY3Rpdml0eSBwbHVzIGRpZXQgaW50ZXJ2ZW50aW9ucyBvbiBib2R5IHdl
aWdodCBpbiBvdmVyd2VpZ2h0IG9yIG9iZXNlIHdvbWVuIHdobyBhcmUgcHJlZ25hbnQgb3IgaW4g
cG9zdHBhcnR1bTogYSBzeXN0ZW1hdGljIHJldmlldyBhbmQgbWV0YS1hbmFseXNpcyBvZiByYW5k
b21pemVkIGNvbnRyb2xsZWQgdHJpYWxzPC90aXRsZT48c2Vjb25kYXJ5LXRpdGxlPlByZXYgTWVk
PC9zZWNvbmRhcnktdGl0bGU+PC90aXRsZXM+PHBlcmlvZGljYWw+PGZ1bGwtdGl0bGU+UHJldiBN
ZWQ8L2Z1bGwtdGl0bGU+PC9wZXJpb2RpY2FsPjxwYWdlcz4zNTEtNjQ8L3BhZ2VzPjx2b2x1bWU+
NTY8L3ZvbHVtZT48bnVtYmVyPjY8L251bWJlcj48ZWRpdGlvbj4yMDEzLzAzLzE0PC9lZGl0aW9u
PjxrZXl3b3Jkcz48a2V5d29yZD5Cb2R5IE1hc3MgSW5kZXg8L2tleXdvcmQ+PGtleXdvcmQ+KkV4
ZXJjaXNlPC9rZXl3b3JkPjxrZXl3b3JkPkZlbWFsZTwva2V5d29yZD48a2V5d29yZD5IZWFsdGgg
QmVoYXZpb3I8L2tleXdvcmQ+PGtleXdvcmQ+SHVtYW5zPC9rZXl3b3JkPjxrZXl3b3JkPipNb3Rv
ciBBY3Rpdml0eTwva2V5d29yZD48a2V5d29yZD5PYmVzaXR5L2RpZXQgdGhlcmFweS90aGVyYXB5
PC9rZXl3b3JkPjxrZXl3b3JkPk92ZXJ3ZWlnaHQvZGlldCB0aGVyYXB5Lyp0aGVyYXB5PC9rZXl3
b3JkPjxrZXl3b3JkPlBvc3RwYXJ0dW0gUGVyaW9kPC9rZXl3b3JkPjxrZXl3b3JkPlByZWduYW5j
eTwva2V5d29yZD48a2V5d29yZD5QcmVnbmFuY3kgQ29tcGxpY2F0aW9ucy9kaWV0IHRoZXJhcHkv
KnRoZXJhcHk8L2tleXdvcmQ+PGtleXdvcmQ+UmFuZG9taXplZCBDb250cm9sbGVkIFRyaWFscyBh
cyBUb3BpYzwva2V5d29yZD48a2V5d29yZD5XZWlnaHQgR2Fpbjwva2V5d29yZD48L2tleXdvcmRz
PjxkYXRlcz48eWVhcj4yMDEzPC95ZWFyPjxwdWItZGF0ZXM+PGRhdGU+SnVuPC9kYXRlPjwvcHVi
LWRhdGVzPjwvZGF0ZXM+PGlzYm4+MTA5Ni0wMjYwIChFbGVjdHJvbmljKSYjeEQ7MDA5MS03NDM1
IChMaW5raW5nKTwvaXNibj48YWNjZXNzaW9uLW51bT4yMzQ4MDk3MTwvYWNjZXNzaW9uLW51bT48
dXJscz48cmVsYXRlZC11cmxzPjx1cmw+aHR0cHM6Ly93d3cubmNiaS5ubG0ubmloLmdvdi9wdWJt
ZWQvMjM0ODA5NzE8L3VybD48L3JlbGF0ZWQtdXJscz48L3VybHM+PGN1c3RvbTI+UE1DMzY3MDk0
OTwvY3VzdG9tMj48ZWxlY3Ryb25pYy1yZXNvdXJjZS1udW0+MTAuMTAxNi9qLnlwbWVkLjIwMTMu
MDIuMDIxPC9lbGVjdHJvbmljLXJlc291cmNlLW51bT48L3JlY29yZD48L0NpdGU+PC9FbmROb3Rl
PgB=
</w:fldData>
              </w:fldChar>
            </w:r>
            <w:r w:rsidR="002747EA">
              <w:instrText xml:space="preserve"> ADDIN EN.CITE </w:instrText>
            </w:r>
            <w:r w:rsidR="002747EA">
              <w:fldChar w:fldCharType="begin">
                <w:fldData xml:space="preserve">PEVuZE5vdGU+PENpdGU+PEF1dGhvcj5DaG9pPC9BdXRob3I+PFllYXI+MjAxMzwvWWVhcj48UmVj
TnVtPjEwNzQ8L1JlY051bT48RGlzcGxheVRleHQ+PHN0eWxlIGZhY2U9InN1cGVyc2NyaXB0IiBm
b250PSJUcmVidWNoZXQgTVMiIHNpemU9IjkiPjQ2MDwvc3R5bGU+PC9EaXNwbGF5VGV4dD48cmVj
b3JkPjxyZWMtbnVtYmVyPjEwNzQ8L3JlYy1udW1iZXI+PGZvcmVpZ24ta2V5cz48a2V5IGFwcD0i
RU4iIGRiLWlkPSJleHZhc3JmeDJkdHJhb2VzYXN4cDJzenN4YTJkZjUwMjU5MngiIHRpbWVzdGFt
cD0iMTU1MTI0MzE4MyI+MTA3NDwva2V5PjxrZXkgYXBwPSJFTldlYiIgZGItaWQ9IiI+MDwva2V5
PjwvZm9yZWlnbi1rZXlzPjxyZWYtdHlwZSBuYW1lPSJKb3VybmFsIEFydGljbGUiPjE3PC9yZWYt
dHlwZT48Y29udHJpYnV0b3JzPjxhdXRob3JzPjxhdXRob3I+Q2hvaSwgSi48L2F1dGhvcj48YXV0
aG9yPkZ1a3Vva2EsIFkuPC9hdXRob3I+PGF1dGhvcj5MZWUsIEouIEguPC9hdXRob3I+PC9hdXRo
b3JzPjwvY29udHJpYnV0b3JzPjxhdXRoLWFkZHJlc3M+VW5pdmVyc2l0eSBvZiBDYWxpZm9ybmlh
IGF0IFNhbiBGcmFuY2lzY28sIEluc3RpdHV0ZSBvZiBIZWFsdGggJmFtcDsgQWdpbmcsIFNhbiBG
cmFuY2lzY28sIENBIDk0MTE4LCBVU0EuIGppd29uLmNob2lAbnVyc2luZy51Y3NmLmVkdTwvYXV0
aC1hZGRyZXNzPjx0aXRsZXM+PHRpdGxlPlRoZSBlZmZlY3RzIG9mIHBoeXNpY2FsIGFjdGl2aXR5
IGFuZCBwaHlzaWNhbCBhY3Rpdml0eSBwbHVzIGRpZXQgaW50ZXJ2ZW50aW9ucyBvbiBib2R5IHdl
aWdodCBpbiBvdmVyd2VpZ2h0IG9yIG9iZXNlIHdvbWVuIHdobyBhcmUgcHJlZ25hbnQgb3IgaW4g
cG9zdHBhcnR1bTogYSBzeXN0ZW1hdGljIHJldmlldyBhbmQgbWV0YS1hbmFseXNpcyBvZiByYW5k
b21pemVkIGNvbnRyb2xsZWQgdHJpYWxzPC90aXRsZT48c2Vjb25kYXJ5LXRpdGxlPlByZXYgTWVk
PC9zZWNvbmRhcnktdGl0bGU+PC90aXRsZXM+PHBlcmlvZGljYWw+PGZ1bGwtdGl0bGU+UHJldiBN
ZWQ8L2Z1bGwtdGl0bGU+PC9wZXJpb2RpY2FsPjxwYWdlcz4zNTEtNjQ8L3BhZ2VzPjx2b2x1bWU+
NTY8L3ZvbHVtZT48bnVtYmVyPjY8L251bWJlcj48ZWRpdGlvbj4yMDEzLzAzLzE0PC9lZGl0aW9u
PjxrZXl3b3Jkcz48a2V5d29yZD5Cb2R5IE1hc3MgSW5kZXg8L2tleXdvcmQ+PGtleXdvcmQ+KkV4
ZXJjaXNlPC9rZXl3b3JkPjxrZXl3b3JkPkZlbWFsZTwva2V5d29yZD48a2V5d29yZD5IZWFsdGgg
QmVoYXZpb3I8L2tleXdvcmQ+PGtleXdvcmQ+SHVtYW5zPC9rZXl3b3JkPjxrZXl3b3JkPipNb3Rv
ciBBY3Rpdml0eTwva2V5d29yZD48a2V5d29yZD5PYmVzaXR5L2RpZXQgdGhlcmFweS90aGVyYXB5
PC9rZXl3b3JkPjxrZXl3b3JkPk92ZXJ3ZWlnaHQvZGlldCB0aGVyYXB5Lyp0aGVyYXB5PC9rZXl3
b3JkPjxrZXl3b3JkPlBvc3RwYXJ0dW0gUGVyaW9kPC9rZXl3b3JkPjxrZXl3b3JkPlByZWduYW5j
eTwva2V5d29yZD48a2V5d29yZD5QcmVnbmFuY3kgQ29tcGxpY2F0aW9ucy9kaWV0IHRoZXJhcHkv
KnRoZXJhcHk8L2tleXdvcmQ+PGtleXdvcmQ+UmFuZG9taXplZCBDb250cm9sbGVkIFRyaWFscyBh
cyBUb3BpYzwva2V5d29yZD48a2V5d29yZD5XZWlnaHQgR2Fpbjwva2V5d29yZD48L2tleXdvcmRz
PjxkYXRlcz48eWVhcj4yMDEzPC95ZWFyPjxwdWItZGF0ZXM+PGRhdGU+SnVuPC9kYXRlPjwvcHVi
LWRhdGVzPjwvZGF0ZXM+PGlzYm4+MTA5Ni0wMjYwIChFbGVjdHJvbmljKSYjeEQ7MDA5MS03NDM1
IChMaW5raW5nKTwvaXNibj48YWNjZXNzaW9uLW51bT4yMzQ4MDk3MTwvYWNjZXNzaW9uLW51bT48
dXJscz48cmVsYXRlZC11cmxzPjx1cmw+aHR0cHM6Ly93d3cubmNiaS5ubG0ubmloLmdvdi9wdWJt
ZWQvMjM0ODA5NzE8L3VybD48L3JlbGF0ZWQtdXJscz48L3VybHM+PGN1c3RvbTI+UE1DMzY3MDk0
OTwvY3VzdG9tMj48ZWxlY3Ryb25pYy1yZXNvdXJjZS1udW0+MTAuMTAxNi9qLnlwbWVkLjIwMTMu
MDIuMDIxPC9lbGVjdHJvbmljLXJlc291cmNlLW51bT48L3JlY29yZD48L0NpdGU+PC9FbmROb3Rl
PgB=
</w:fldData>
              </w:fldChar>
            </w:r>
            <w:r w:rsidR="002747EA">
              <w:instrText xml:space="preserve"> ADDIN EN.CITE.DATA </w:instrText>
            </w:r>
            <w:r w:rsidR="002747EA">
              <w:fldChar w:fldCharType="end"/>
            </w:r>
            <w:r>
              <w:fldChar w:fldCharType="separate"/>
            </w:r>
            <w:r w:rsidR="002747EA" w:rsidRPr="002747EA">
              <w:rPr>
                <w:noProof/>
                <w:sz w:val="18"/>
                <w:vertAlign w:val="superscript"/>
              </w:rPr>
              <w:t>460</w:t>
            </w:r>
            <w:r>
              <w:fldChar w:fldCharType="end"/>
            </w:r>
          </w:p>
        </w:tc>
        <w:tc>
          <w:tcPr>
            <w:tcW w:w="2547" w:type="dxa"/>
          </w:tcPr>
          <w:p w14:paraId="42C85384" w14:textId="77777777" w:rsidR="004A0E1A" w:rsidRDefault="004A0E1A" w:rsidP="004A0E1A">
            <w:pPr>
              <w:pStyle w:val="RCTstable"/>
            </w:pPr>
            <w:r>
              <w:t>Mixed BMIs; supervised</w:t>
            </w:r>
          </w:p>
        </w:tc>
        <w:tc>
          <w:tcPr>
            <w:tcW w:w="2982" w:type="dxa"/>
          </w:tcPr>
          <w:p w14:paraId="1A38CD4A" w14:textId="4F8746A7" w:rsidR="004A0E1A" w:rsidRDefault="008E1F6E" w:rsidP="004A0E1A">
            <w:pPr>
              <w:pStyle w:val="RCTstable"/>
              <w:jc w:val="center"/>
            </w:pPr>
            <w:r>
              <w:t xml:space="preserve">MD </w:t>
            </w:r>
            <w:r w:rsidR="004A0E1A">
              <w:t>-1.17 (-2.14 to -0.21)</w:t>
            </w:r>
          </w:p>
        </w:tc>
        <w:tc>
          <w:tcPr>
            <w:tcW w:w="1134" w:type="dxa"/>
          </w:tcPr>
          <w:p w14:paraId="10285DA9" w14:textId="77777777" w:rsidR="004A0E1A" w:rsidRPr="008C6CCE" w:rsidRDefault="004A0E1A" w:rsidP="004A0E1A">
            <w:pPr>
              <w:pStyle w:val="RCTstable"/>
              <w:jc w:val="center"/>
            </w:pPr>
            <w:r>
              <w:t>2</w:t>
            </w:r>
          </w:p>
        </w:tc>
      </w:tr>
      <w:tr w:rsidR="004A0E1A" w:rsidRPr="00C12274" w14:paraId="75051C34" w14:textId="77777777" w:rsidTr="004A0E1A">
        <w:tc>
          <w:tcPr>
            <w:tcW w:w="2841" w:type="dxa"/>
            <w:vMerge/>
          </w:tcPr>
          <w:p w14:paraId="7F5B8BBA" w14:textId="77777777" w:rsidR="004A0E1A" w:rsidRPr="00916B76" w:rsidRDefault="004A0E1A" w:rsidP="004A0E1A">
            <w:pPr>
              <w:pStyle w:val="RCTstable"/>
            </w:pPr>
          </w:p>
        </w:tc>
        <w:tc>
          <w:tcPr>
            <w:tcW w:w="2547" w:type="dxa"/>
          </w:tcPr>
          <w:p w14:paraId="760C6391" w14:textId="77777777" w:rsidR="004A0E1A" w:rsidRDefault="004A0E1A" w:rsidP="004A0E1A">
            <w:pPr>
              <w:pStyle w:val="RCTstable"/>
            </w:pPr>
            <w:r>
              <w:t>Mixed BMIs; unsupervised</w:t>
            </w:r>
          </w:p>
        </w:tc>
        <w:tc>
          <w:tcPr>
            <w:tcW w:w="2982" w:type="dxa"/>
          </w:tcPr>
          <w:p w14:paraId="54549B66" w14:textId="6A25C132" w:rsidR="004A0E1A" w:rsidRDefault="008E1F6E" w:rsidP="004A0E1A">
            <w:pPr>
              <w:pStyle w:val="RCTstable"/>
              <w:jc w:val="center"/>
            </w:pPr>
            <w:r>
              <w:t xml:space="preserve">MD </w:t>
            </w:r>
            <w:r w:rsidR="004A0E1A">
              <w:t>0.44 (-1.86 to 2.74)</w:t>
            </w:r>
          </w:p>
        </w:tc>
        <w:tc>
          <w:tcPr>
            <w:tcW w:w="1134" w:type="dxa"/>
          </w:tcPr>
          <w:p w14:paraId="4CDA7D48" w14:textId="77777777" w:rsidR="004A0E1A" w:rsidRPr="008C6CCE" w:rsidRDefault="004A0E1A" w:rsidP="004A0E1A">
            <w:pPr>
              <w:pStyle w:val="RCTstable"/>
              <w:jc w:val="center"/>
            </w:pPr>
            <w:r>
              <w:t>3</w:t>
            </w:r>
          </w:p>
        </w:tc>
      </w:tr>
      <w:tr w:rsidR="004A0E1A" w:rsidRPr="00C12274" w14:paraId="69499F49" w14:textId="77777777" w:rsidTr="004A0E1A">
        <w:tc>
          <w:tcPr>
            <w:tcW w:w="2841" w:type="dxa"/>
          </w:tcPr>
          <w:p w14:paraId="6017EA0E" w14:textId="76F141D6" w:rsidR="004A0E1A" w:rsidRPr="00916B76" w:rsidRDefault="004A0E1A" w:rsidP="002747EA">
            <w:pPr>
              <w:pStyle w:val="RCTstable"/>
            </w:pPr>
            <w:r w:rsidRPr="00916B76">
              <w:t xml:space="preserve">Gardner </w:t>
            </w:r>
            <w:r>
              <w:t>et al 2011</w:t>
            </w:r>
            <w:r>
              <w:fldChar w:fldCharType="begin"/>
            </w:r>
            <w:r w:rsidR="002747EA">
              <w:instrText xml:space="preserve"> ADDIN EN.CITE &lt;EndNote&gt;&lt;Cite&gt;&lt;Author&gt;Gardner&lt;/Author&gt;&lt;Year&gt;2011&lt;/Year&gt;&lt;RecNum&gt;1136&lt;/RecNum&gt;&lt;DisplayText&gt;&lt;style face="superscript" font="Trebuchet MS" size="9"&gt;524&lt;/style&gt;&lt;/DisplayText&gt;&lt;record&gt;&lt;rec-number&gt;1136&lt;/rec-number&gt;&lt;foreign-keys&gt;&lt;key app="EN" db-id="exvasrfx2dtraoesasxp2szsxa2df502592x" timestamp="1555051743"&gt;1136&lt;/key&gt;&lt;key app="ENWeb" db-id=""&gt;0&lt;/key&gt;&lt;/foreign-keys&gt;&lt;ref-type name="Journal Article"&gt;17&lt;/ref-type&gt;&lt;contributors&gt;&lt;authors&gt;&lt;author&gt;Gardner, B.&lt;/author&gt;&lt;author&gt;Wardle, J.&lt;/author&gt;&lt;author&gt;Poston, L.&lt;/author&gt;&lt;author&gt;Croker, H.&lt;/author&gt;&lt;/authors&gt;&lt;/contributors&gt;&lt;auth-address&gt;Health Behaviour Research Centre, Department of Epidemiology &amp;amp; Public Health, University College London, London, UK. b.gardnersood@ucl.ac.uk&lt;/auth-address&gt;&lt;titles&gt;&lt;title&gt;Changing diet and physical activity to reduce gestational weight gain: a meta-analysis&lt;/title&gt;&lt;secondary-title&gt;Obes Rev&lt;/secondary-title&gt;&lt;/titles&gt;&lt;periodical&gt;&lt;full-title&gt;Obes Rev&lt;/full-title&gt;&lt;/periodical&gt;&lt;pages&gt;e602-20&lt;/pages&gt;&lt;volume&gt;12&lt;/volume&gt;&lt;number&gt;7&lt;/number&gt;&lt;edition&gt;2011/04/28&lt;/edition&gt;&lt;keywords&gt;&lt;keyword&gt;Behavior Therapy&lt;/keyword&gt;&lt;keyword&gt;*Diet&lt;/keyword&gt;&lt;keyword&gt;Female&lt;/keyword&gt;&lt;keyword&gt;Health Knowledge, Attitudes, Practice&lt;/keyword&gt;&lt;keyword&gt;Humans&lt;/keyword&gt;&lt;keyword&gt;*Motor Activity&lt;/keyword&gt;&lt;keyword&gt;Obesity/prevention &amp;amp; control&lt;/keyword&gt;&lt;keyword&gt;*Pregnancy&lt;/keyword&gt;&lt;keyword&gt;Randomized Controlled Trials as Topic&lt;/keyword&gt;&lt;keyword&gt;*Weight Gain&lt;/keyword&gt;&lt;/keywords&gt;&lt;dates&gt;&lt;year&gt;2011&lt;/year&gt;&lt;pub-dates&gt;&lt;date&gt;Jul&lt;/date&gt;&lt;/pub-dates&gt;&lt;/dates&gt;&lt;isbn&gt;1467-789X (Electronic)&amp;#xD;1467-7881 (Linking)&lt;/isbn&gt;&lt;accession-num&gt;21521451&lt;/accession-num&gt;&lt;urls&gt;&lt;related-urls&gt;&lt;url&gt;https://www.ncbi.nlm.nih.gov/pubmed/21521451&lt;/url&gt;&lt;/related-urls&gt;&lt;/urls&gt;&lt;electronic-resource-num&gt;10.1111/j.1467-789X.2011.00884.x&lt;/electronic-resource-num&gt;&lt;/record&gt;&lt;/Cite&gt;&lt;/EndNote&gt;</w:instrText>
            </w:r>
            <w:r>
              <w:fldChar w:fldCharType="separate"/>
            </w:r>
            <w:r w:rsidR="002747EA" w:rsidRPr="002747EA">
              <w:rPr>
                <w:noProof/>
                <w:sz w:val="18"/>
                <w:vertAlign w:val="superscript"/>
              </w:rPr>
              <w:t>524</w:t>
            </w:r>
            <w:r>
              <w:fldChar w:fldCharType="end"/>
            </w:r>
          </w:p>
        </w:tc>
        <w:tc>
          <w:tcPr>
            <w:tcW w:w="2547" w:type="dxa"/>
          </w:tcPr>
          <w:p w14:paraId="107AFBF9" w14:textId="77777777" w:rsidR="004A0E1A" w:rsidRPr="00C12274" w:rsidRDefault="004A0E1A" w:rsidP="004A0E1A">
            <w:pPr>
              <w:pStyle w:val="RCTstable"/>
            </w:pPr>
            <w:r>
              <w:t>Mixed BMIs</w:t>
            </w:r>
          </w:p>
        </w:tc>
        <w:tc>
          <w:tcPr>
            <w:tcW w:w="2982" w:type="dxa"/>
          </w:tcPr>
          <w:p w14:paraId="59212D9D" w14:textId="0131964A" w:rsidR="004A0E1A" w:rsidRPr="00991C4E" w:rsidRDefault="008E1F6E" w:rsidP="004A0E1A">
            <w:pPr>
              <w:pStyle w:val="RCTstable"/>
              <w:jc w:val="center"/>
            </w:pPr>
            <w:r>
              <w:t xml:space="preserve">MD </w:t>
            </w:r>
            <w:r w:rsidR="004A0E1A">
              <w:t>-1.19 kg (-1.74 to -0.65)</w:t>
            </w:r>
          </w:p>
        </w:tc>
        <w:tc>
          <w:tcPr>
            <w:tcW w:w="1134" w:type="dxa"/>
          </w:tcPr>
          <w:p w14:paraId="68DFB5AD" w14:textId="77777777" w:rsidR="004A0E1A" w:rsidRPr="008C6CCE" w:rsidRDefault="004A0E1A" w:rsidP="004A0E1A">
            <w:pPr>
              <w:pStyle w:val="RCTstable"/>
              <w:jc w:val="center"/>
            </w:pPr>
            <w:r w:rsidRPr="008C6CCE">
              <w:t>10</w:t>
            </w:r>
          </w:p>
        </w:tc>
      </w:tr>
      <w:tr w:rsidR="004A0E1A" w:rsidRPr="002A31B3" w14:paraId="5588269F" w14:textId="77777777" w:rsidTr="004A0E1A">
        <w:tc>
          <w:tcPr>
            <w:tcW w:w="2841" w:type="dxa"/>
            <w:vMerge w:val="restart"/>
          </w:tcPr>
          <w:p w14:paraId="4870B3DF" w14:textId="4C2A5BC0" w:rsidR="004A0E1A" w:rsidRPr="00591E70" w:rsidRDefault="004A0E1A" w:rsidP="002747EA">
            <w:pPr>
              <w:spacing w:before="40" w:after="40" w:line="240" w:lineRule="auto"/>
              <w:rPr>
                <w:sz w:val="16"/>
                <w:szCs w:val="16"/>
              </w:rPr>
            </w:pPr>
            <w:r w:rsidRPr="00591E70">
              <w:rPr>
                <w:noProof/>
                <w:sz w:val="16"/>
                <w:szCs w:val="16"/>
              </w:rPr>
              <w:t>International Weight Management in Pregnancy Collaborative 2017</w:t>
            </w:r>
            <w:r w:rsidRPr="00591E70">
              <w:rPr>
                <w:noProof/>
                <w:sz w:val="16"/>
                <w:szCs w:val="16"/>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Pr="00591E70">
              <w:rPr>
                <w:noProof/>
                <w:sz w:val="16"/>
                <w:szCs w:val="16"/>
              </w:rPr>
            </w:r>
            <w:r w:rsidRPr="00591E70">
              <w:rPr>
                <w:noProof/>
                <w:sz w:val="16"/>
                <w:szCs w:val="16"/>
              </w:rPr>
              <w:fldChar w:fldCharType="separate"/>
            </w:r>
            <w:r w:rsidR="002747EA" w:rsidRPr="002747EA">
              <w:rPr>
                <w:noProof/>
                <w:szCs w:val="16"/>
                <w:vertAlign w:val="superscript"/>
              </w:rPr>
              <w:t>415</w:t>
            </w:r>
            <w:r w:rsidRPr="00591E70">
              <w:rPr>
                <w:noProof/>
                <w:sz w:val="16"/>
                <w:szCs w:val="16"/>
              </w:rPr>
              <w:fldChar w:fldCharType="end"/>
            </w:r>
          </w:p>
        </w:tc>
        <w:tc>
          <w:tcPr>
            <w:tcW w:w="2547" w:type="dxa"/>
          </w:tcPr>
          <w:p w14:paraId="26B1519F" w14:textId="77777777" w:rsidR="004A0E1A" w:rsidRPr="0007696D" w:rsidRDefault="004A0E1A" w:rsidP="004A0E1A">
            <w:pPr>
              <w:spacing w:before="40" w:after="40" w:line="240" w:lineRule="auto"/>
              <w:rPr>
                <w:sz w:val="16"/>
                <w:szCs w:val="16"/>
              </w:rPr>
            </w:pPr>
            <w:r w:rsidRPr="0007696D">
              <w:rPr>
                <w:sz w:val="16"/>
                <w:szCs w:val="16"/>
              </w:rPr>
              <w:t>Mixed BMIs; IPD</w:t>
            </w:r>
          </w:p>
        </w:tc>
        <w:tc>
          <w:tcPr>
            <w:tcW w:w="2982" w:type="dxa"/>
          </w:tcPr>
          <w:p w14:paraId="7B9511E8" w14:textId="3A955E4A" w:rsidR="004A0E1A" w:rsidRPr="002A31B3" w:rsidRDefault="008E1F6E" w:rsidP="004A0E1A">
            <w:pPr>
              <w:pStyle w:val="RCTstable"/>
              <w:jc w:val="center"/>
              <w:rPr>
                <w:sz w:val="11"/>
                <w:szCs w:val="11"/>
              </w:rPr>
            </w:pPr>
            <w:r>
              <w:t xml:space="preserve">MD </w:t>
            </w:r>
            <w:r w:rsidR="004A0E1A" w:rsidRPr="00591E70">
              <w:t xml:space="preserve">−0.71 (−1.10 to </w:t>
            </w:r>
            <w:r w:rsidR="004A0E1A" w:rsidRPr="002A31B3">
              <w:t>−0.31)</w:t>
            </w:r>
          </w:p>
        </w:tc>
        <w:tc>
          <w:tcPr>
            <w:tcW w:w="1134" w:type="dxa"/>
          </w:tcPr>
          <w:p w14:paraId="20DCE69F" w14:textId="77777777" w:rsidR="004A0E1A" w:rsidRPr="002A31B3" w:rsidRDefault="004A0E1A" w:rsidP="004A0E1A">
            <w:pPr>
              <w:spacing w:before="40" w:after="40" w:line="240" w:lineRule="auto"/>
              <w:jc w:val="center"/>
              <w:rPr>
                <w:sz w:val="16"/>
                <w:szCs w:val="16"/>
              </w:rPr>
            </w:pPr>
            <w:r w:rsidRPr="002A31B3">
              <w:rPr>
                <w:sz w:val="16"/>
                <w:szCs w:val="16"/>
              </w:rPr>
              <w:t>15</w:t>
            </w:r>
          </w:p>
        </w:tc>
      </w:tr>
      <w:tr w:rsidR="004A0E1A" w:rsidRPr="002A31B3" w14:paraId="05130CC7" w14:textId="77777777" w:rsidTr="004A0E1A">
        <w:tc>
          <w:tcPr>
            <w:tcW w:w="2841" w:type="dxa"/>
            <w:vMerge/>
          </w:tcPr>
          <w:p w14:paraId="633E78D4" w14:textId="77777777" w:rsidR="004A0E1A" w:rsidRPr="002A31B3" w:rsidRDefault="004A0E1A" w:rsidP="004A0E1A">
            <w:pPr>
              <w:spacing w:before="40" w:after="40" w:line="240" w:lineRule="auto"/>
              <w:rPr>
                <w:sz w:val="16"/>
                <w:szCs w:val="16"/>
              </w:rPr>
            </w:pPr>
          </w:p>
        </w:tc>
        <w:tc>
          <w:tcPr>
            <w:tcW w:w="2547" w:type="dxa"/>
          </w:tcPr>
          <w:p w14:paraId="6EAE3966" w14:textId="77777777" w:rsidR="004A0E1A" w:rsidRPr="0007696D" w:rsidRDefault="004A0E1A" w:rsidP="004A0E1A">
            <w:pPr>
              <w:spacing w:before="40" w:after="40" w:line="240" w:lineRule="auto"/>
              <w:rPr>
                <w:sz w:val="16"/>
                <w:szCs w:val="16"/>
              </w:rPr>
            </w:pPr>
            <w:r w:rsidRPr="0007696D">
              <w:rPr>
                <w:sz w:val="16"/>
                <w:szCs w:val="16"/>
              </w:rPr>
              <w:t>Mixed BMIs; IPD and non-IPD</w:t>
            </w:r>
          </w:p>
        </w:tc>
        <w:tc>
          <w:tcPr>
            <w:tcW w:w="2982" w:type="dxa"/>
          </w:tcPr>
          <w:p w14:paraId="2CDCFCD6" w14:textId="25DADA82" w:rsidR="004A0E1A" w:rsidRPr="00591E70" w:rsidRDefault="008E1F6E" w:rsidP="004A0E1A">
            <w:pPr>
              <w:pStyle w:val="RCTstable"/>
              <w:jc w:val="center"/>
            </w:pPr>
            <w:r>
              <w:t xml:space="preserve">MD </w:t>
            </w:r>
            <w:r w:rsidR="004A0E1A" w:rsidRPr="00591E70">
              <w:t>−1.00 (−1.39 to −0.61)</w:t>
            </w:r>
          </w:p>
        </w:tc>
        <w:tc>
          <w:tcPr>
            <w:tcW w:w="1134" w:type="dxa"/>
          </w:tcPr>
          <w:p w14:paraId="34DC5E1B" w14:textId="77777777" w:rsidR="004A0E1A" w:rsidRPr="002A31B3" w:rsidRDefault="004A0E1A" w:rsidP="004A0E1A">
            <w:pPr>
              <w:spacing w:before="40" w:after="40" w:line="240" w:lineRule="auto"/>
              <w:jc w:val="center"/>
              <w:rPr>
                <w:sz w:val="16"/>
                <w:szCs w:val="16"/>
              </w:rPr>
            </w:pPr>
            <w:r w:rsidRPr="002A31B3">
              <w:rPr>
                <w:sz w:val="16"/>
                <w:szCs w:val="16"/>
              </w:rPr>
              <w:t>35</w:t>
            </w:r>
          </w:p>
        </w:tc>
      </w:tr>
      <w:tr w:rsidR="00A02D85" w:rsidRPr="00C12274" w14:paraId="4AA0C4AB" w14:textId="77777777" w:rsidTr="004A0E1A">
        <w:tc>
          <w:tcPr>
            <w:tcW w:w="2841" w:type="dxa"/>
          </w:tcPr>
          <w:p w14:paraId="043F4AEB" w14:textId="1BCB36AA" w:rsidR="00A02D85" w:rsidRPr="00916B76" w:rsidRDefault="00A02D85" w:rsidP="002747EA">
            <w:pPr>
              <w:pStyle w:val="RCTstable"/>
            </w:pPr>
            <w:r>
              <w:t>Morison et al 2018</w:t>
            </w:r>
            <w:r w:rsidR="00D07346">
              <w:fldChar w:fldCharType="begin"/>
            </w:r>
            <w:r w:rsidR="002747EA">
              <w:instrText xml:space="preserve"> ADDIN EN.CITE &lt;EndNote&gt;&lt;Cite&gt;&lt;Author&gt;Morison&lt;/Author&gt;&lt;Year&gt;2018&lt;/Year&gt;&lt;RecNum&gt;1944&lt;/RecNum&gt;&lt;DisplayText&gt;&lt;style face="superscript" font="Trebuchet MS" size="9"&gt;525&lt;/style&gt;&lt;/DisplayText&gt;&lt;record&gt;&lt;rec-number&gt;1944&lt;/rec-number&gt;&lt;foreign-keys&gt;&lt;key app="EN" db-id="exvasrfx2dtraoesasxp2szsxa2df502592x" timestamp="1588728443"&gt;1944&lt;/key&gt;&lt;key app="ENWeb" db-id=""&gt;0&lt;/key&gt;&lt;/foreign-keys&gt;&lt;ref-type name="Journal Article"&gt;17&lt;/ref-type&gt;&lt;contributors&gt;&lt;authors&gt;&lt;author&gt;Morison, P. N.&lt;/author&gt;&lt;author&gt;Bacardi-Gascon, M.&lt;/author&gt;&lt;author&gt;Lopez-Corrales, M.&lt;/author&gt;&lt;author&gt;Jimenez-Cruz, A.&lt;/author&gt;&lt;/authors&gt;&lt;/contributors&gt;&lt;auth-address&gt;Autonomous University of Baja California, Medical and Psychology School, Calzada Universidad, Parque Industrial Internacional Tijuana, Baja California, Mexico.&amp;#xD;Autonomous University of Baja California, Medical and Psychology School, Calzada Universidad, Parque Industrial Internacional Tijuana, Baja California, Mexico. ajimenez@uabc.edu.mx.&lt;/auth-address&gt;&lt;titles&gt;&lt;title&gt;Combined dietary-exercise intervention for gestational weight gain and birthweight: a meta-analysis&lt;/title&gt;&lt;secondary-title&gt;Asia Pac J Clin Nutr&lt;/secondary-title&gt;&lt;/titles&gt;&lt;periodical&gt;&lt;full-title&gt;Asia Pac J Clin Nutr&lt;/full-title&gt;&lt;/periodical&gt;&lt;pages&gt;860-868&lt;/pages&gt;&lt;volume&gt;27&lt;/volume&gt;&lt;number&gt;4&lt;/number&gt;&lt;edition&gt;2018/07/27&lt;/edition&gt;&lt;keywords&gt;&lt;keyword&gt;Adult&lt;/keyword&gt;&lt;keyword&gt;*Birth Weight&lt;/keyword&gt;&lt;keyword&gt;*Diet&lt;/keyword&gt;&lt;keyword&gt;*Exercise&lt;/keyword&gt;&lt;keyword&gt;Female&lt;/keyword&gt;&lt;keyword&gt;*Gestational Weight Gain&lt;/keyword&gt;&lt;keyword&gt;Humans&lt;/keyword&gt;&lt;keyword&gt;Infant, Newborn&lt;/keyword&gt;&lt;keyword&gt;Overweight/prevention &amp;amp; control&lt;/keyword&gt;&lt;keyword&gt;Pregnancy&lt;/keyword&gt;&lt;/keywords&gt;&lt;dates&gt;&lt;year&gt;2018&lt;/year&gt;&lt;/dates&gt;&lt;isbn&gt;0964-7058 (Print)&amp;#xD;0964-7058 (Linking)&lt;/isbn&gt;&lt;accession-num&gt;30045432&lt;/accession-num&gt;&lt;urls&gt;&lt;related-urls&gt;&lt;url&gt;https://www.ncbi.nlm.nih.gov/pubmed/30045432&lt;/url&gt;&lt;/related-urls&gt;&lt;/urls&gt;&lt;electronic-resource-num&gt;10.6133/apjcn.112017.02&lt;/electronic-resource-num&gt;&lt;/record&gt;&lt;/Cite&gt;&lt;/EndNote&gt;</w:instrText>
            </w:r>
            <w:r w:rsidR="00D07346">
              <w:fldChar w:fldCharType="separate"/>
            </w:r>
            <w:r w:rsidR="002747EA" w:rsidRPr="002747EA">
              <w:rPr>
                <w:noProof/>
                <w:sz w:val="18"/>
                <w:vertAlign w:val="superscript"/>
              </w:rPr>
              <w:t>525</w:t>
            </w:r>
            <w:r w:rsidR="00D07346">
              <w:fldChar w:fldCharType="end"/>
            </w:r>
          </w:p>
        </w:tc>
        <w:tc>
          <w:tcPr>
            <w:tcW w:w="2547" w:type="dxa"/>
          </w:tcPr>
          <w:p w14:paraId="0B29D312" w14:textId="79CFA641" w:rsidR="00A02D85" w:rsidRDefault="00A02D85" w:rsidP="004A0E1A">
            <w:pPr>
              <w:pStyle w:val="RCTstable"/>
            </w:pPr>
            <w:r>
              <w:t>Mixed BMIs</w:t>
            </w:r>
          </w:p>
        </w:tc>
        <w:tc>
          <w:tcPr>
            <w:tcW w:w="2982" w:type="dxa"/>
          </w:tcPr>
          <w:p w14:paraId="5E9307C5" w14:textId="39A5533F" w:rsidR="00A02D85" w:rsidRDefault="008E1F6E" w:rsidP="004A0E1A">
            <w:pPr>
              <w:pStyle w:val="RCTstable"/>
              <w:jc w:val="center"/>
            </w:pPr>
            <w:r>
              <w:t xml:space="preserve">MD </w:t>
            </w:r>
            <w:r w:rsidR="00A02D85" w:rsidRPr="00591E70">
              <w:t>−</w:t>
            </w:r>
            <w:r w:rsidR="00A02D85">
              <w:t>0.21 (</w:t>
            </w:r>
            <w:r w:rsidR="00A02D85" w:rsidRPr="00591E70">
              <w:t>−</w:t>
            </w:r>
            <w:r w:rsidR="00A02D85">
              <w:t xml:space="preserve">0.34 to </w:t>
            </w:r>
            <w:r w:rsidR="00A02D85" w:rsidRPr="00591E70">
              <w:t>−</w:t>
            </w:r>
            <w:r w:rsidR="00A02D85">
              <w:t>0.08)</w:t>
            </w:r>
          </w:p>
        </w:tc>
        <w:tc>
          <w:tcPr>
            <w:tcW w:w="1134" w:type="dxa"/>
          </w:tcPr>
          <w:p w14:paraId="499DED2D" w14:textId="4DB6CE3B" w:rsidR="00A02D85" w:rsidRDefault="00A02D85" w:rsidP="004A0E1A">
            <w:pPr>
              <w:pStyle w:val="RCTstable"/>
              <w:jc w:val="center"/>
            </w:pPr>
            <w:r>
              <w:t>10</w:t>
            </w:r>
          </w:p>
        </w:tc>
      </w:tr>
      <w:tr w:rsidR="004A0E1A" w:rsidRPr="00C12274" w14:paraId="5B5D9148" w14:textId="77777777" w:rsidTr="004A0E1A">
        <w:tc>
          <w:tcPr>
            <w:tcW w:w="2841" w:type="dxa"/>
          </w:tcPr>
          <w:p w14:paraId="46DDCF09" w14:textId="0B43624A" w:rsidR="004A0E1A" w:rsidRPr="00916B76" w:rsidRDefault="004A0E1A" w:rsidP="002747EA">
            <w:pPr>
              <w:pStyle w:val="RCTstable"/>
            </w:pPr>
            <w:r w:rsidRPr="00916B76">
              <w:t>Muktab</w:t>
            </w:r>
            <w:r>
              <w:t>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465C7492" w14:textId="77777777" w:rsidR="004A0E1A" w:rsidRPr="00C12274" w:rsidRDefault="004A0E1A" w:rsidP="004A0E1A">
            <w:pPr>
              <w:pStyle w:val="RCTstable"/>
            </w:pPr>
            <w:r>
              <w:t xml:space="preserve">Mixed risk </w:t>
            </w:r>
          </w:p>
        </w:tc>
        <w:tc>
          <w:tcPr>
            <w:tcW w:w="2982" w:type="dxa"/>
          </w:tcPr>
          <w:p w14:paraId="63F0D8E2" w14:textId="07150C83" w:rsidR="004A0E1A" w:rsidRPr="00624702" w:rsidRDefault="008E1F6E" w:rsidP="004A0E1A">
            <w:pPr>
              <w:pStyle w:val="RCTstable"/>
              <w:jc w:val="center"/>
            </w:pPr>
            <w:r>
              <w:t xml:space="preserve">MD </w:t>
            </w:r>
            <w:r w:rsidR="004A0E1A">
              <w:t>-1.80 kg (-3.36 to -0.24)</w:t>
            </w:r>
          </w:p>
        </w:tc>
        <w:tc>
          <w:tcPr>
            <w:tcW w:w="1134" w:type="dxa"/>
          </w:tcPr>
          <w:p w14:paraId="29BD39C2" w14:textId="77777777" w:rsidR="004A0E1A" w:rsidRPr="008C6CCE" w:rsidRDefault="004A0E1A" w:rsidP="004A0E1A">
            <w:pPr>
              <w:pStyle w:val="RCTstable"/>
              <w:jc w:val="center"/>
            </w:pPr>
            <w:r>
              <w:t>3</w:t>
            </w:r>
          </w:p>
        </w:tc>
      </w:tr>
      <w:tr w:rsidR="004A0E1A" w:rsidRPr="00C12274" w14:paraId="66199AC1" w14:textId="77777777" w:rsidTr="004A0E1A">
        <w:tc>
          <w:tcPr>
            <w:tcW w:w="2841" w:type="dxa"/>
          </w:tcPr>
          <w:p w14:paraId="2F9B4DC6" w14:textId="0DF2C36F" w:rsidR="004A0E1A" w:rsidRPr="00916B76" w:rsidRDefault="004A0E1A" w:rsidP="002747EA">
            <w:pPr>
              <w:pStyle w:val="RCTstable"/>
            </w:pPr>
            <w:r w:rsidRPr="00916B76">
              <w:t>Rogozińska et al 2017</w:t>
            </w:r>
            <w:r>
              <w:fldChar w:fldCharType="begin">
                <w:fldData xml:space="preserve">PEVuZE5vdGU+PENpdGU+PEF1dGhvcj5Sb2dvemnFhHNrYTwvQXV0aG9yPjxZZWFyPjIwMTc8L1ll
YXI+PFJlY051bT41Nzk8L1JlY051bT48RGlzcGxheVRleHQ+PHN0eWxlIGZhY2U9InN1cGVyc2Ny
aXB0IiBmb250PSJUcmVidWNoZXQgTVMiIHNpemU9IjkiPjQwOTwvc3R5bGU+PC9EaXNwbGF5VGV4
dD48cmVjb3JkPjxyZWMtbnVtYmVyPjU3OTwvcmVjLW51bWJlcj48Zm9yZWlnbi1rZXlzPjxrZXkg
YXBwPSJFTiIgZGItaWQ9ImV4dmFzcmZ4MmR0cmFvZXNhc3hwMnN6c3hhMmRmNTAyNTkyeCIgdGlt
ZXN0YW1wPSIxNTM2MTkyNDQzIj41Nzk8L2tleT48a2V5IGFwcD0iRU5XZWIiIGRiLWlkPSIiPjA8
L2tleT48L2ZvcmVpZ24ta2V5cz48cmVmLXR5cGUgbmFtZT0iSm91cm5hbCBBcnRpY2xlIj4xNzwv
cmVmLXR5cGU+PGNvbnRyaWJ1dG9ycz48YXV0aG9ycz48YXV0aG9yPlJvZ296acWEc2thLCBFd2Vs
aW5hPC9hdXRob3I+PGF1dGhvcj5NYXJsaW4sIE5hZGluZTwvYXV0aG9yPjxhdXRob3I+SmFja3Nv
biwgTG91aXNlPC9hdXRob3I+PGF1dGhvcj5SYXlhbmFnb3VkYXIsIEdpcmlzaDwvYXV0aG9yPjxh
dXRob3I+UnVpZnJvaywgQW5uZWxvZXMgRS48L2F1dGhvcj48YXV0aG9yPkRvZGRzLCBKdWxpZTwv
YXV0aG9yPjxhdXRob3I+TW9seW5lYXV4LCBFbW1hPC9hdXRob3I+PGF1dGhvcj52YW4gUG9wcGVs
LCBNaXJlaWxsZSBOLiBNLjwvYXV0aG9yPjxhdXRob3I+UG9zdG9uLCBMdWNpbGxhPC9hdXRob3I+
PGF1dGhvcj5WaW50ZXIsIENocmlzdGluYSBBLjwvYXV0aG9yPjxhdXRob3I+TWNBdWxpZmZlLCBG
aW9ubnVhbGE8L2F1dGhvcj48YXV0aG9yPkRvZGQsIEpvZGllIE0uPC9hdXRob3I+PGF1dGhvcj5P
d2VucywgSnVsaWU8L2F1dGhvcj48YXV0aG9yPkJhcmFrYXQsIFJ1YmVuPC9hdXRob3I+PGF1dGhv
cj5QZXJhbGVzLCBNYXJpYTwvYXV0aG9yPjxhdXRob3I+Q2VjYXR0aSwgSm9zZSBHLjwvYXV0aG9y
PjxhdXRob3I+U3VyaXRhLCBGZXJuYW5kYTwvYXV0aG9yPjxhdXRob3I+WWVvLCBTZW9uQWU8L2F1
dGhvcj48YXV0aG9yPkJvZ2FlcnRzLCBBbm5pY2s8L2F1dGhvcj48YXV0aG9yPkRldmxpZWdlciwg
Um9sYW5kPC9hdXRob3I+PGF1dGhvcj5UZWVkZSwgSGVsZW5hPC9hdXRob3I+PGF1dGhvcj5IYXJy
aXNvbiwgQ2hlcnljZTwvYXV0aG9yPjxhdXRob3I+SGFha3N0YWQsIExlbmU8L2F1dGhvcj48YXV0
aG9yPlNoZW4sIEdhcnJ5IFguPC9hdXRob3I+PGF1dGhvcj5TaHViLCBBbGV4aXM8L2F1dGhvcj48
YXV0aG9yPkJlbHRhZ3ksIE5lcm1lZW4gRWw8L2F1dGhvcj48YXV0aG9yPk1vdGFoYXJpLCBOYXJn
ZXM8L2F1dGhvcj48YXV0aG9yPktob3VyeSwgSmFuZXR0ZTwvYXV0aG9yPjxhdXRob3I+VG9uc3Rh
ZCwgU2VyZW5hPC9hdXRob3I+PGF1dGhvcj5MdW90bywgUmlpdHRhPC9hdXRob3I+PGF1dGhvcj5L
aW5udW5lbiwgVGFyamEgSS48L2F1dGhvcj48YXV0aG9yPkd1ZWxmaSwgS3ltPC9hdXRob3I+PGF1
dGhvcj5GYWNjaGluZXR0aSwgRmFiaW88L2F1dGhvcj48YXV0aG9yPlBldHJlbGxhLCBFbGlzYWJl
dHRhPC9hdXRob3I+PGF1dGhvcj5QaGVsYW4sIFN1emFubmU8L2F1dGhvcj48YXV0aG9yPlNjdWRl
bGxlciwgVMOibmlhIFQuPC9hdXRob3I+PGF1dGhvcj5SYXVoLCBLYXRocmluPC9hdXRob3I+PGF1
dGhvcj5IYXVuZXIsIEhhbnM8L2F1dGhvcj48YXV0aG9yPlJlbmF1bHQsIEtyaXN0aW5hPC9hdXRo
b3I+PGF1dGhvcj5kZSBHcm9vdCwgQ2hyaXN0aWFubmUgSi4gTS48L2F1dGhvcj48YXV0aG9yPlNh
Z2VkYWwsIExpbmRhIFIuPC9hdXRob3I+PGF1dGhvcj5WaXN0YWQsIEluZ3ZpbGQ8L2F1dGhvcj48
YXV0aG9yPlN0YWZuZSwgU2lnbmUgTmlsc3NlbjwvYXV0aG9yPjxhdXRob3I+TcO4cmt2ZWQsIFNp
djwvYXV0aG9yPjxhdXRob3I+U2FsdmVzZW4sIEtqZWxsIMOFPC9hdXRob3I+PGF1dGhvcj5KZW5z
ZW4sIERvcnRlIE0uPC9hdXRob3I+PGF1dGhvcj5WaXRvbG8sIE3DoXJjaWE8L2F1dGhvcj48YXV0
aG9yPkFzdHJ1cCwgQXJuZTwvYXV0aG9yPjxhdXRob3I+R2Vpa2VyLCBOaW5hIFIuIFcuPC9hdXRo
b3I+PGF1dGhvcj5LZXJyeSwgU2FsbHk8L2F1dGhvcj48YXV0aG9yPkJhcnRvbiwgUGVsaGFtPC9h
dXRob3I+PGF1dGhvcj5Sb2JlcnRzLCBUcmFjeTwvYXV0aG9yPjxhdXRob3I+UmlsZXksIFJpY2hh
cmQgRC48L2F1dGhvcj48YXV0aG9yPkNvb21hcmFzYW15LCBBcnJpPC9hdXRob3I+PGF1dGhvcj5N
b2wsIEJlbiBXaWxsZW08L2F1dGhvcj48YXV0aG9yPktoYW4sIEtoYWxpZCBTLjwvYXV0aG9yPjxh
dXRob3I+VGhhbmdhcmF0aW5hbSwgU2hha2lsYTwvYXV0aG9yPjwvYXV0aG9ycz48L2NvbnRyaWJ1
dG9ycz48dGl0bGVzPjx0aXRsZT5FZmZlY3RzIG9mIGFudGVuYXRhbCBkaWV0IGFuZCBwaHlzaWNh
bCBhY3Rpdml0eSBvbiBtYXRlcm5hbCBhbmQgZmV0YWwgb3V0Y29tZXM6IGluZGl2aWR1YWwgcGF0
aWVudCBkYXRhIG1ldGEtYW5hbHlzaXMgYW5kIGhlYWx0aCBlY29ub21pYyBldmFsdWF0aW9uPC90
aXRsZT48c2Vjb25kYXJ5LXRpdGxlPkhlYWx0aCBUZWNobm9sb2d5IEFzc2Vzc21lbnQ8L3NlY29u
ZGFyeS10aXRsZT48L3RpdGxlcz48cGVyaW9kaWNhbD48ZnVsbC10aXRsZT5IZWFsdGggVGVjaG5v
bG9neSBBc3Nlc3NtZW50PC9mdWxsLXRpdGxlPjwvcGVyaW9kaWNhbD48cGFnZXM+MS0xNTg8L3Bh
Z2VzPjx2b2x1bWU+MjE8L3ZvbHVtZT48bnVtYmVyPjQxPC9udW1iZXI+PHNlY3Rpb24+MTwvc2Vj
dGlvbj48ZGF0ZXM+PHllYXI+MjAxNzwveWVhcj48L2RhdGVzPjxpc2JuPjEzNjYtNTI3OCYjeEQ7
MjA0Ni00OTI0PC9pc2JuPjx1cmxzPjwvdXJscz48ZWxlY3Ryb25pYy1yZXNvdXJjZS1udW0+MTAu
MzMxMC9odGEyMTQxMDwvZWxlY3Ryb25pYy1yZXNvdXJjZS1udW0+PC9yZWNvcmQ+PC9DaXRlPjwv
RW5kTm90ZT4A
</w:fldData>
              </w:fldChar>
            </w:r>
            <w:r w:rsidR="002747EA">
              <w:instrText xml:space="preserve"> ADDIN EN.CITE </w:instrText>
            </w:r>
            <w:r w:rsidR="002747EA">
              <w:fldChar w:fldCharType="begin">
                <w:fldData xml:space="preserve">PEVuZE5vdGU+PENpdGU+PEF1dGhvcj5Sb2dvemnFhHNrYTwvQXV0aG9yPjxZZWFyPjIwMTc8L1ll
YXI+PFJlY051bT41Nzk8L1JlY051bT48RGlzcGxheVRleHQ+PHN0eWxlIGZhY2U9InN1cGVyc2Ny
aXB0IiBmb250PSJUcmVidWNoZXQgTVMiIHNpemU9IjkiPjQwOTwvc3R5bGU+PC9EaXNwbGF5VGV4
dD48cmVjb3JkPjxyZWMtbnVtYmVyPjU3OTwvcmVjLW51bWJlcj48Zm9yZWlnbi1rZXlzPjxrZXkg
YXBwPSJFTiIgZGItaWQ9ImV4dmFzcmZ4MmR0cmFvZXNhc3hwMnN6c3hhMmRmNTAyNTkyeCIgdGlt
ZXN0YW1wPSIxNTM2MTkyNDQzIj41Nzk8L2tleT48a2V5IGFwcD0iRU5XZWIiIGRiLWlkPSIiPjA8
L2tleT48L2ZvcmVpZ24ta2V5cz48cmVmLXR5cGUgbmFtZT0iSm91cm5hbCBBcnRpY2xlIj4xNzwv
cmVmLXR5cGU+PGNvbnRyaWJ1dG9ycz48YXV0aG9ycz48YXV0aG9yPlJvZ296acWEc2thLCBFd2Vs
aW5hPC9hdXRob3I+PGF1dGhvcj5NYXJsaW4sIE5hZGluZTwvYXV0aG9yPjxhdXRob3I+SmFja3Nv
biwgTG91aXNlPC9hdXRob3I+PGF1dGhvcj5SYXlhbmFnb3VkYXIsIEdpcmlzaDwvYXV0aG9yPjxh
dXRob3I+UnVpZnJvaywgQW5uZWxvZXMgRS48L2F1dGhvcj48YXV0aG9yPkRvZGRzLCBKdWxpZTwv
YXV0aG9yPjxhdXRob3I+TW9seW5lYXV4LCBFbW1hPC9hdXRob3I+PGF1dGhvcj52YW4gUG9wcGVs
LCBNaXJlaWxsZSBOLiBNLjwvYXV0aG9yPjxhdXRob3I+UG9zdG9uLCBMdWNpbGxhPC9hdXRob3I+
PGF1dGhvcj5WaW50ZXIsIENocmlzdGluYSBBLjwvYXV0aG9yPjxhdXRob3I+TWNBdWxpZmZlLCBG
aW9ubnVhbGE8L2F1dGhvcj48YXV0aG9yPkRvZGQsIEpvZGllIE0uPC9hdXRob3I+PGF1dGhvcj5P
d2VucywgSnVsaWU8L2F1dGhvcj48YXV0aG9yPkJhcmFrYXQsIFJ1YmVuPC9hdXRob3I+PGF1dGhv
cj5QZXJhbGVzLCBNYXJpYTwvYXV0aG9yPjxhdXRob3I+Q2VjYXR0aSwgSm9zZSBHLjwvYXV0aG9y
PjxhdXRob3I+U3VyaXRhLCBGZXJuYW5kYTwvYXV0aG9yPjxhdXRob3I+WWVvLCBTZW9uQWU8L2F1
dGhvcj48YXV0aG9yPkJvZ2FlcnRzLCBBbm5pY2s8L2F1dGhvcj48YXV0aG9yPkRldmxpZWdlciwg
Um9sYW5kPC9hdXRob3I+PGF1dGhvcj5UZWVkZSwgSGVsZW5hPC9hdXRob3I+PGF1dGhvcj5IYXJy
aXNvbiwgQ2hlcnljZTwvYXV0aG9yPjxhdXRob3I+SGFha3N0YWQsIExlbmU8L2F1dGhvcj48YXV0
aG9yPlNoZW4sIEdhcnJ5IFguPC9hdXRob3I+PGF1dGhvcj5TaHViLCBBbGV4aXM8L2F1dGhvcj48
YXV0aG9yPkJlbHRhZ3ksIE5lcm1lZW4gRWw8L2F1dGhvcj48YXV0aG9yPk1vdGFoYXJpLCBOYXJn
ZXM8L2F1dGhvcj48YXV0aG9yPktob3VyeSwgSmFuZXR0ZTwvYXV0aG9yPjxhdXRob3I+VG9uc3Rh
ZCwgU2VyZW5hPC9hdXRob3I+PGF1dGhvcj5MdW90bywgUmlpdHRhPC9hdXRob3I+PGF1dGhvcj5L
aW5udW5lbiwgVGFyamEgSS48L2F1dGhvcj48YXV0aG9yPkd1ZWxmaSwgS3ltPC9hdXRob3I+PGF1
dGhvcj5GYWNjaGluZXR0aSwgRmFiaW88L2F1dGhvcj48YXV0aG9yPlBldHJlbGxhLCBFbGlzYWJl
dHRhPC9hdXRob3I+PGF1dGhvcj5QaGVsYW4sIFN1emFubmU8L2F1dGhvcj48YXV0aG9yPlNjdWRl
bGxlciwgVMOibmlhIFQuPC9hdXRob3I+PGF1dGhvcj5SYXVoLCBLYXRocmluPC9hdXRob3I+PGF1
dGhvcj5IYXVuZXIsIEhhbnM8L2F1dGhvcj48YXV0aG9yPlJlbmF1bHQsIEtyaXN0aW5hPC9hdXRo
b3I+PGF1dGhvcj5kZSBHcm9vdCwgQ2hyaXN0aWFubmUgSi4gTS48L2F1dGhvcj48YXV0aG9yPlNh
Z2VkYWwsIExpbmRhIFIuPC9hdXRob3I+PGF1dGhvcj5WaXN0YWQsIEluZ3ZpbGQ8L2F1dGhvcj48
YXV0aG9yPlN0YWZuZSwgU2lnbmUgTmlsc3NlbjwvYXV0aG9yPjxhdXRob3I+TcO4cmt2ZWQsIFNp
djwvYXV0aG9yPjxhdXRob3I+U2FsdmVzZW4sIEtqZWxsIMOFPC9hdXRob3I+PGF1dGhvcj5KZW5z
ZW4sIERvcnRlIE0uPC9hdXRob3I+PGF1dGhvcj5WaXRvbG8sIE3DoXJjaWE8L2F1dGhvcj48YXV0
aG9yPkFzdHJ1cCwgQXJuZTwvYXV0aG9yPjxhdXRob3I+R2Vpa2VyLCBOaW5hIFIuIFcuPC9hdXRo
b3I+PGF1dGhvcj5LZXJyeSwgU2FsbHk8L2F1dGhvcj48YXV0aG9yPkJhcnRvbiwgUGVsaGFtPC9h
dXRob3I+PGF1dGhvcj5Sb2JlcnRzLCBUcmFjeTwvYXV0aG9yPjxhdXRob3I+UmlsZXksIFJpY2hh
cmQgRC48L2F1dGhvcj48YXV0aG9yPkNvb21hcmFzYW15LCBBcnJpPC9hdXRob3I+PGF1dGhvcj5N
b2wsIEJlbiBXaWxsZW08L2F1dGhvcj48YXV0aG9yPktoYW4sIEtoYWxpZCBTLjwvYXV0aG9yPjxh
dXRob3I+VGhhbmdhcmF0aW5hbSwgU2hha2lsYTwvYXV0aG9yPjwvYXV0aG9ycz48L2NvbnRyaWJ1
dG9ycz48dGl0bGVzPjx0aXRsZT5FZmZlY3RzIG9mIGFudGVuYXRhbCBkaWV0IGFuZCBwaHlzaWNh
bCBhY3Rpdml0eSBvbiBtYXRlcm5hbCBhbmQgZmV0YWwgb3V0Y29tZXM6IGluZGl2aWR1YWwgcGF0
aWVudCBkYXRhIG1ldGEtYW5hbHlzaXMgYW5kIGhlYWx0aCBlY29ub21pYyBldmFsdWF0aW9uPC90
aXRsZT48c2Vjb25kYXJ5LXRpdGxlPkhlYWx0aCBUZWNobm9sb2d5IEFzc2Vzc21lbnQ8L3NlY29u
ZGFyeS10aXRsZT48L3RpdGxlcz48cGVyaW9kaWNhbD48ZnVsbC10aXRsZT5IZWFsdGggVGVjaG5v
bG9neSBBc3Nlc3NtZW50PC9mdWxsLXRpdGxlPjwvcGVyaW9kaWNhbD48cGFnZXM+MS0xNTg8L3Bh
Z2VzPjx2b2x1bWU+MjE8L3ZvbHVtZT48bnVtYmVyPjQxPC9udW1iZXI+PHNlY3Rpb24+MTwvc2Vj
dGlvbj48ZGF0ZXM+PHllYXI+MjAxNzwveWVhcj48L2RhdGVzPjxpc2JuPjEzNjYtNTI3OCYjeEQ7
MjA0Ni00OTI0PC9pc2JuPjx1cmxzPjwvdXJscz48ZWxlY3Ryb25pYy1yZXNvdXJjZS1udW0+MTAu
MzMxMC9odGEyMTQxMDwvZWxlY3Ryb25pYy1yZXNvdXJjZS1udW0+PC9yZWNvcmQ+PC9DaXRlPjwv
RW5kTm90ZT4A
</w:fldData>
              </w:fldChar>
            </w:r>
            <w:r w:rsidR="002747EA">
              <w:instrText xml:space="preserve"> ADDIN EN.CITE.DATA </w:instrText>
            </w:r>
            <w:r w:rsidR="002747EA">
              <w:fldChar w:fldCharType="end"/>
            </w:r>
            <w:r>
              <w:fldChar w:fldCharType="separate"/>
            </w:r>
            <w:r w:rsidR="002747EA" w:rsidRPr="002747EA">
              <w:rPr>
                <w:noProof/>
                <w:sz w:val="18"/>
                <w:vertAlign w:val="superscript"/>
              </w:rPr>
              <w:t>409</w:t>
            </w:r>
            <w:r>
              <w:fldChar w:fldCharType="end"/>
            </w:r>
          </w:p>
        </w:tc>
        <w:tc>
          <w:tcPr>
            <w:tcW w:w="2547" w:type="dxa"/>
          </w:tcPr>
          <w:p w14:paraId="74037DDE" w14:textId="77777777" w:rsidR="004A0E1A" w:rsidRPr="00C12274" w:rsidRDefault="004A0E1A" w:rsidP="004A0E1A">
            <w:pPr>
              <w:pStyle w:val="RCTstable"/>
            </w:pPr>
            <w:r>
              <w:t>Mixed BMIs</w:t>
            </w:r>
          </w:p>
        </w:tc>
        <w:tc>
          <w:tcPr>
            <w:tcW w:w="2982" w:type="dxa"/>
          </w:tcPr>
          <w:p w14:paraId="45009ECA" w14:textId="0CF0BDD5" w:rsidR="004A0E1A" w:rsidRPr="009A5038" w:rsidRDefault="008E1F6E" w:rsidP="004A0E1A">
            <w:pPr>
              <w:pStyle w:val="RCTstable"/>
              <w:jc w:val="center"/>
            </w:pPr>
            <w:r>
              <w:t xml:space="preserve">MD </w:t>
            </w:r>
            <w:r w:rsidR="004A0E1A" w:rsidRPr="009A5038">
              <w:t>–0.71 (–1.10 to –0.31)</w:t>
            </w:r>
          </w:p>
        </w:tc>
        <w:tc>
          <w:tcPr>
            <w:tcW w:w="1134" w:type="dxa"/>
          </w:tcPr>
          <w:p w14:paraId="43D89003" w14:textId="77777777" w:rsidR="004A0E1A" w:rsidRPr="008C6CCE" w:rsidRDefault="004A0E1A" w:rsidP="004A0E1A">
            <w:pPr>
              <w:pStyle w:val="RCTstable"/>
              <w:jc w:val="center"/>
            </w:pPr>
            <w:r>
              <w:t>15</w:t>
            </w:r>
          </w:p>
        </w:tc>
      </w:tr>
      <w:tr w:rsidR="004A0E1A" w:rsidRPr="00C12274" w14:paraId="167F7135" w14:textId="77777777" w:rsidTr="004A0E1A">
        <w:tc>
          <w:tcPr>
            <w:tcW w:w="2841" w:type="dxa"/>
          </w:tcPr>
          <w:p w14:paraId="7F52CBE1" w14:textId="40DF0A0B" w:rsidR="004A0E1A" w:rsidRPr="00916B76" w:rsidRDefault="004A0E1A"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Pr>
          <w:p w14:paraId="26647AEA" w14:textId="77777777" w:rsidR="004A0E1A" w:rsidRPr="00C12274" w:rsidRDefault="004A0E1A" w:rsidP="004A0E1A">
            <w:pPr>
              <w:pStyle w:val="RCTstable"/>
            </w:pPr>
            <w:r>
              <w:t>Mixed BMIs</w:t>
            </w:r>
          </w:p>
        </w:tc>
        <w:tc>
          <w:tcPr>
            <w:tcW w:w="2982" w:type="dxa"/>
          </w:tcPr>
          <w:p w14:paraId="77CC265E" w14:textId="1A9C154C" w:rsidR="004A0E1A" w:rsidRPr="00991C4E" w:rsidRDefault="008E1F6E" w:rsidP="004A0E1A">
            <w:pPr>
              <w:pStyle w:val="RCTstable"/>
              <w:jc w:val="center"/>
            </w:pPr>
            <w:r>
              <w:t xml:space="preserve">MD </w:t>
            </w:r>
            <w:r w:rsidR="004A0E1A" w:rsidRPr="009C5D86">
              <w:t>-0.89 kg</w:t>
            </w:r>
            <w:r w:rsidR="004A0E1A">
              <w:t xml:space="preserve"> (</w:t>
            </w:r>
            <w:r w:rsidR="004A0E1A" w:rsidRPr="009C5D86">
              <w:t>-1.39 to -0.40</w:t>
            </w:r>
            <w:r w:rsidR="004A0E1A">
              <w:t>)</w:t>
            </w:r>
          </w:p>
        </w:tc>
        <w:tc>
          <w:tcPr>
            <w:tcW w:w="1134" w:type="dxa"/>
          </w:tcPr>
          <w:p w14:paraId="6DE8C94D" w14:textId="77777777" w:rsidR="004A0E1A" w:rsidRPr="008C6CCE" w:rsidRDefault="004A0E1A" w:rsidP="004A0E1A">
            <w:pPr>
              <w:pStyle w:val="RCTstable"/>
              <w:jc w:val="center"/>
            </w:pPr>
            <w:r w:rsidRPr="008C6CCE">
              <w:t>16</w:t>
            </w:r>
          </w:p>
        </w:tc>
      </w:tr>
      <w:tr w:rsidR="004A0E1A" w:rsidRPr="00C12274" w14:paraId="0306DA76" w14:textId="77777777" w:rsidTr="004A0E1A">
        <w:tc>
          <w:tcPr>
            <w:tcW w:w="2841" w:type="dxa"/>
          </w:tcPr>
          <w:p w14:paraId="3226B6D3" w14:textId="43F0EA42" w:rsidR="004A0E1A" w:rsidRPr="00916B76" w:rsidRDefault="004A0E1A" w:rsidP="002747EA">
            <w:pPr>
              <w:pStyle w:val="RCTstable"/>
            </w:pPr>
            <w:r w:rsidRPr="00916B76">
              <w:t>Thangaratinam</w:t>
            </w:r>
            <w:r>
              <w:t xml:space="preserve"> et al 2012a</w:t>
            </w:r>
            <w: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 </w:instrText>
            </w:r>
            <w:r w:rsidR="002747EA">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411</w:t>
            </w:r>
            <w:r>
              <w:fldChar w:fldCharType="end"/>
            </w:r>
          </w:p>
        </w:tc>
        <w:tc>
          <w:tcPr>
            <w:tcW w:w="2547" w:type="dxa"/>
          </w:tcPr>
          <w:p w14:paraId="12409BD0" w14:textId="77777777" w:rsidR="004A0E1A" w:rsidRPr="00C12274" w:rsidRDefault="004A0E1A" w:rsidP="004A0E1A">
            <w:pPr>
              <w:pStyle w:val="RCTstable"/>
            </w:pPr>
            <w:r>
              <w:t>Mixed BMIs</w:t>
            </w:r>
          </w:p>
        </w:tc>
        <w:tc>
          <w:tcPr>
            <w:tcW w:w="2982" w:type="dxa"/>
          </w:tcPr>
          <w:p w14:paraId="53A64843" w14:textId="627391A8" w:rsidR="004A0E1A" w:rsidRPr="00586D62" w:rsidRDefault="008E1F6E" w:rsidP="004A0E1A">
            <w:pPr>
              <w:pStyle w:val="RCTstable"/>
              <w:jc w:val="center"/>
            </w:pPr>
            <w:r>
              <w:t xml:space="preserve">MD </w:t>
            </w:r>
            <w:r w:rsidR="004A0E1A" w:rsidRPr="00586D62">
              <w:t>–0.57 (–1.60 to 0.65)</w:t>
            </w:r>
          </w:p>
        </w:tc>
        <w:tc>
          <w:tcPr>
            <w:tcW w:w="1134" w:type="dxa"/>
          </w:tcPr>
          <w:p w14:paraId="2D2F1A0B" w14:textId="77777777" w:rsidR="004A0E1A" w:rsidRPr="008C6CCE" w:rsidRDefault="004A0E1A" w:rsidP="004A0E1A">
            <w:pPr>
              <w:pStyle w:val="RCTstable"/>
              <w:jc w:val="center"/>
            </w:pPr>
            <w:r>
              <w:t>7</w:t>
            </w:r>
          </w:p>
        </w:tc>
      </w:tr>
      <w:tr w:rsidR="004A0E1A" w:rsidRPr="00C12274" w14:paraId="7BA671BE" w14:textId="77777777" w:rsidTr="00E025F9">
        <w:trPr>
          <w:trHeight w:val="337"/>
        </w:trPr>
        <w:tc>
          <w:tcPr>
            <w:tcW w:w="2841" w:type="dxa"/>
          </w:tcPr>
          <w:p w14:paraId="38F798C4" w14:textId="4DA71C00" w:rsidR="004A0E1A" w:rsidRPr="00916B76" w:rsidRDefault="004A0E1A" w:rsidP="002747EA">
            <w:pPr>
              <w:pStyle w:val="RCTstable"/>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Pr>
          <w:p w14:paraId="0DAC5E04" w14:textId="77777777" w:rsidR="004A0E1A" w:rsidRPr="00C12274" w:rsidRDefault="004A0E1A" w:rsidP="004A0E1A">
            <w:pPr>
              <w:pStyle w:val="RCTstable"/>
            </w:pPr>
            <w:r>
              <w:t>Mixed BMIs</w:t>
            </w:r>
          </w:p>
        </w:tc>
        <w:tc>
          <w:tcPr>
            <w:tcW w:w="2982" w:type="dxa"/>
          </w:tcPr>
          <w:p w14:paraId="289F7C85" w14:textId="3B9063B7" w:rsidR="004A0E1A" w:rsidRPr="00B063FF" w:rsidRDefault="008E1F6E" w:rsidP="004A0E1A">
            <w:pPr>
              <w:pStyle w:val="RCTstable"/>
              <w:jc w:val="center"/>
            </w:pPr>
            <w:r>
              <w:t xml:space="preserve">MD </w:t>
            </w:r>
            <w:r w:rsidR="004A0E1A">
              <w:t>−1.06</w:t>
            </w:r>
            <w:r w:rsidR="004A0E1A" w:rsidRPr="00B063FF">
              <w:t xml:space="preserve"> (−1.67 to −0.46)</w:t>
            </w:r>
          </w:p>
        </w:tc>
        <w:tc>
          <w:tcPr>
            <w:tcW w:w="1134" w:type="dxa"/>
          </w:tcPr>
          <w:p w14:paraId="0978D595" w14:textId="77777777" w:rsidR="004A0E1A" w:rsidRPr="008C6CCE" w:rsidRDefault="004A0E1A" w:rsidP="004A0E1A">
            <w:pPr>
              <w:pStyle w:val="RCTstable"/>
              <w:jc w:val="center"/>
            </w:pPr>
            <w:r>
              <w:t>10</w:t>
            </w:r>
          </w:p>
        </w:tc>
      </w:tr>
      <w:tr w:rsidR="00E025F9" w:rsidRPr="00C12274" w14:paraId="3B8D8700" w14:textId="77777777" w:rsidTr="004A0E1A">
        <w:tc>
          <w:tcPr>
            <w:tcW w:w="2841" w:type="dxa"/>
          </w:tcPr>
          <w:p w14:paraId="5D4BC84E" w14:textId="309F642F" w:rsidR="00E025F9" w:rsidRDefault="00E025F9" w:rsidP="002747EA">
            <w:pPr>
              <w:pStyle w:val="RCTstable"/>
            </w:pPr>
            <w:r>
              <w:t>Craemer et al 2019</w:t>
            </w:r>
            <w:r w:rsidR="00E37D04">
              <w:fldChar w:fldCharType="begin">
                <w:fldData xml:space="preserve">PEVuZE5vdGU+PENpdGU+PEF1dGhvcj5DcmFlbWVyPC9BdXRob3I+PFllYXI+MjAxOTwvWWVhcj48
UmVjTnVtPjEzODI8L1JlY051bT48RGlzcGxheVRleHQ+PHN0eWxlIGZhY2U9InN1cGVyc2NyaXB0
IiBmb250PSJUcmVidWNoZXQgTVMiIHNpemU9IjkiPjQxNDwvc3R5bGU+PC9EaXNwbGF5VGV4dD48
cmVjb3JkPjxyZWMtbnVtYmVyPjEzODI8L3JlYy1udW1iZXI+PGZvcmVpZ24ta2V5cz48a2V5IGFw
cD0iRU4iIGRiLWlkPSJleHZhc3JmeDJkdHJhb2VzYXN4cDJzenN4YTJkZjUwMjU5MngiIHRpbWVz
dGFtcD0iMTU2NzEzODY4MSI+MTM4Mjwva2V5PjxrZXkgYXBwPSJFTldlYiIgZGItaWQ9IiI+MDwv
a2V5PjwvZm9yZWlnbi1rZXlzPjxyZWYtdHlwZSBuYW1lPSJKb3VybmFsIEFydGljbGUiPjE3PC9y
ZWYtdHlwZT48Y29udHJpYnV0b3JzPjxhdXRob3JzPjxhdXRob3I+Q3JhZW1lciwgSy4gQS48L2F1
dGhvcj48YXV0aG9yPlNhbXBlbmUsIEUuPC9hdXRob3I+PGF1dGhvcj5TYWZkYXIsIE4uPC9hdXRo
b3I+PGF1dGhvcj5BbnRvbnksIEsuIE0uPC9hdXRob3I+PGF1dGhvcj5XYXV0bGV0LCBDLiBLLjwv
YXV0aG9yPjwvYXV0aG9ycz48L2NvbnRyaWJ1dG9ycz48YXV0aC1hZGRyZXNzPkRlcGFydG1lbnQg
b2YgSW50ZWdyYXRlZCBCaW9sb2d5LCBVbml2ZXJzaXR5IG9mIFdpc2NvbnNpbiAtIE1hZGlzb24s
IE1hZGlzb24sIFdpc2NvbnNpbi4mI3hEO0RlcGFydG1lbnQgb2YgT2JzdGV0cmljcyBhbmQgR3lu
ZWNvbG9neSwgVW5pdmVyc2l0eSBvZiBXaXNjb25zaW4gLSBNYWRpc29uLCBNYWRpc29uLCBXaXNj
b25zaW4uJiN4RDtEZXBhcnRtZW50IG9mIEJpb3N0YXRpc3RpY3MgYW5kIE1lZGljYWwgSW5mb3Jt
YXRpY3MsIFVuaXZlcnNpdHkgb2YgV2lzY29uc2luIC0gTWFkaXNvbiwgTWFkaXNvbiwgV2lzY29u
c2luLiYjeEQ7RGl2aXNpb24gb2YgSW5mZWN0aW91cyBEaXNlYXNlLCBEZXBhcnRtZW50IG9mIE1l
ZGljaW5lLCBVbml2ZXJzaXR5IG9mIFdpc2NvbnNpbi1NYWRpc29uIFNjaG9vbCBvZiBNZWRpY2lu
ZSBhbmQgUHVibGljIEhlYWx0aCwgTWFkaXNvbiwgV2lzY29uc2luLiYjeEQ7RGVwYXJ0bWVudCBv
ZiBNZWRpY2luZSwgV2lsbGlhbSBTLiBNaWRkbGV0b24gTWVtb3JpYWwgVmV0ZXJhbnMgSG9zcGl0
YWwsIE1hZGlzb24sIFdpc2NvbnNpbi48L2F1dGgtYWRkcmVzcz48dGl0bGVzPjx0aXRsZT5OdXRy
aXRpb24gYW5kIEV4ZXJjaXNlIFN0cmF0ZWdpZXMgdG8gUHJldmVudCBFeGNlc3NpdmUgUHJlZ25h
bmN5IFdlaWdodCBHYWluOiBBIE1ldGEtYW5hbHlzaXM8L3RpdGxlPjxzZWNvbmRhcnktdGl0bGU+
QUpQIFJlcDwvc2Vjb25kYXJ5LXRpdGxlPjwvdGl0bGVzPjxwZXJpb2RpY2FsPjxmdWxsLXRpdGxl
PkFKUCBSZXA8L2Z1bGwtdGl0bGU+PC9wZXJpb2RpY2FsPjxwYWdlcz5lOTItZTEyMDwvcGFnZXM+
PHZvbHVtZT45PC92b2x1bWU+PG51bWJlcj4xPC9udW1iZXI+PGVkaXRpb24+MjAxOS8wNS8wMjwv
ZWRpdGlvbj48a2V5d29yZHM+PGtleXdvcmQ+ZXhlcmNpc2UgaW50ZXJ2ZW50aW9uPC9rZXl3b3Jk
PjxrZXl3b3JkPm51dHJpdGlvbiBpbnRlcnZlbnRpb248L2tleXdvcmQ+PGtleXdvcmQ+b2Jlc2l0
eTwva2V5d29yZD48a2V5d29yZD5wcmVnbmFuY3k8L2tleXdvcmQ+PGtleXdvcmQ+d2VpZ2h0IGdh
aW48L2tleXdvcmQ+PC9rZXl3b3Jkcz48ZGF0ZXM+PHllYXI+MjAxOTwveWVhcj48cHViLWRhdGVz
PjxkYXRlPkphbjwvZGF0ZT48L3B1Yi1kYXRlcz48L2RhdGVzPjxpc2JuPjIxNTctNjk5OCAoUHJp
bnQpJiN4RDsyMTU3LTcwMDUgKExpbmtpbmcpPC9pc2JuPjxhY2Nlc3Npb24tbnVtPjMxMDQxMTE4
PC9hY2Nlc3Npb24tbnVtPjx1cmxzPjxyZWxhdGVkLXVybHM+PHVybD5odHRwczovL3d3dy5uY2Jp
Lm5sbS5uaWguZ292L3B1Ym1lZC8zMTA0MTExODwvdXJsPjwvcmVsYXRlZC11cmxzPjwvdXJscz48
Y3VzdG9tMj5QTUM2NDI0ODE3PC9jdXN0b20yPjxlbGVjdHJvbmljLXJlc291cmNlLW51bT4xMC4x
MDU1L3MtMDAzOS0xNjgzMzc3PC9lbGVjdHJvbmljLXJlc291cmNlLW51bT48L3JlY29yZD48L0Np
dGU+PC9FbmROb3RlPgB=
</w:fldData>
              </w:fldChar>
            </w:r>
            <w:r w:rsidR="002747EA">
              <w:instrText xml:space="preserve"> ADDIN EN.CITE </w:instrText>
            </w:r>
            <w:r w:rsidR="002747EA">
              <w:fldChar w:fldCharType="begin">
                <w:fldData xml:space="preserve">PEVuZE5vdGU+PENpdGU+PEF1dGhvcj5DcmFlbWVyPC9BdXRob3I+PFllYXI+MjAxOTwvWWVhcj48
UmVjTnVtPjEzODI8L1JlY051bT48RGlzcGxheVRleHQ+PHN0eWxlIGZhY2U9InN1cGVyc2NyaXB0
IiBmb250PSJUcmVidWNoZXQgTVMiIHNpemU9IjkiPjQxNDwvc3R5bGU+PC9EaXNwbGF5VGV4dD48
cmVjb3JkPjxyZWMtbnVtYmVyPjEzODI8L3JlYy1udW1iZXI+PGZvcmVpZ24ta2V5cz48a2V5IGFw
cD0iRU4iIGRiLWlkPSJleHZhc3JmeDJkdHJhb2VzYXN4cDJzenN4YTJkZjUwMjU5MngiIHRpbWVz
dGFtcD0iMTU2NzEzODY4MSI+MTM4Mjwva2V5PjxrZXkgYXBwPSJFTldlYiIgZGItaWQ9IiI+MDwv
a2V5PjwvZm9yZWlnbi1rZXlzPjxyZWYtdHlwZSBuYW1lPSJKb3VybmFsIEFydGljbGUiPjE3PC9y
ZWYtdHlwZT48Y29udHJpYnV0b3JzPjxhdXRob3JzPjxhdXRob3I+Q3JhZW1lciwgSy4gQS48L2F1
dGhvcj48YXV0aG9yPlNhbXBlbmUsIEUuPC9hdXRob3I+PGF1dGhvcj5TYWZkYXIsIE4uPC9hdXRo
b3I+PGF1dGhvcj5BbnRvbnksIEsuIE0uPC9hdXRob3I+PGF1dGhvcj5XYXV0bGV0LCBDLiBLLjwv
YXV0aG9yPjwvYXV0aG9ycz48L2NvbnRyaWJ1dG9ycz48YXV0aC1hZGRyZXNzPkRlcGFydG1lbnQg
b2YgSW50ZWdyYXRlZCBCaW9sb2d5LCBVbml2ZXJzaXR5IG9mIFdpc2NvbnNpbiAtIE1hZGlzb24s
IE1hZGlzb24sIFdpc2NvbnNpbi4mI3hEO0RlcGFydG1lbnQgb2YgT2JzdGV0cmljcyBhbmQgR3lu
ZWNvbG9neSwgVW5pdmVyc2l0eSBvZiBXaXNjb25zaW4gLSBNYWRpc29uLCBNYWRpc29uLCBXaXNj
b25zaW4uJiN4RDtEZXBhcnRtZW50IG9mIEJpb3N0YXRpc3RpY3MgYW5kIE1lZGljYWwgSW5mb3Jt
YXRpY3MsIFVuaXZlcnNpdHkgb2YgV2lzY29uc2luIC0gTWFkaXNvbiwgTWFkaXNvbiwgV2lzY29u
c2luLiYjeEQ7RGl2aXNpb24gb2YgSW5mZWN0aW91cyBEaXNlYXNlLCBEZXBhcnRtZW50IG9mIE1l
ZGljaW5lLCBVbml2ZXJzaXR5IG9mIFdpc2NvbnNpbi1NYWRpc29uIFNjaG9vbCBvZiBNZWRpY2lu
ZSBhbmQgUHVibGljIEhlYWx0aCwgTWFkaXNvbiwgV2lzY29uc2luLiYjeEQ7RGVwYXJ0bWVudCBv
ZiBNZWRpY2luZSwgV2lsbGlhbSBTLiBNaWRkbGV0b24gTWVtb3JpYWwgVmV0ZXJhbnMgSG9zcGl0
YWwsIE1hZGlzb24sIFdpc2NvbnNpbi48L2F1dGgtYWRkcmVzcz48dGl0bGVzPjx0aXRsZT5OdXRy
aXRpb24gYW5kIEV4ZXJjaXNlIFN0cmF0ZWdpZXMgdG8gUHJldmVudCBFeGNlc3NpdmUgUHJlZ25h
bmN5IFdlaWdodCBHYWluOiBBIE1ldGEtYW5hbHlzaXM8L3RpdGxlPjxzZWNvbmRhcnktdGl0bGU+
QUpQIFJlcDwvc2Vjb25kYXJ5LXRpdGxlPjwvdGl0bGVzPjxwZXJpb2RpY2FsPjxmdWxsLXRpdGxl
PkFKUCBSZXA8L2Z1bGwtdGl0bGU+PC9wZXJpb2RpY2FsPjxwYWdlcz5lOTItZTEyMDwvcGFnZXM+
PHZvbHVtZT45PC92b2x1bWU+PG51bWJlcj4xPC9udW1iZXI+PGVkaXRpb24+MjAxOS8wNS8wMjwv
ZWRpdGlvbj48a2V5d29yZHM+PGtleXdvcmQ+ZXhlcmNpc2UgaW50ZXJ2ZW50aW9uPC9rZXl3b3Jk
PjxrZXl3b3JkPm51dHJpdGlvbiBpbnRlcnZlbnRpb248L2tleXdvcmQ+PGtleXdvcmQ+b2Jlc2l0
eTwva2V5d29yZD48a2V5d29yZD5wcmVnbmFuY3k8L2tleXdvcmQ+PGtleXdvcmQ+d2VpZ2h0IGdh
aW48L2tleXdvcmQ+PC9rZXl3b3Jkcz48ZGF0ZXM+PHllYXI+MjAxOTwveWVhcj48cHViLWRhdGVz
PjxkYXRlPkphbjwvZGF0ZT48L3B1Yi1kYXRlcz48L2RhdGVzPjxpc2JuPjIxNTctNjk5OCAoUHJp
bnQpJiN4RDsyMTU3LTcwMDUgKExpbmtpbmcpPC9pc2JuPjxhY2Nlc3Npb24tbnVtPjMxMDQxMTE4
PC9hY2Nlc3Npb24tbnVtPjx1cmxzPjxyZWxhdGVkLXVybHM+PHVybD5odHRwczovL3d3dy5uY2Jp
Lm5sbS5uaWguZ292L3B1Ym1lZC8zMTA0MTExODwvdXJsPjwvcmVsYXRlZC11cmxzPjwvdXJscz48
Y3VzdG9tMj5QTUM2NDI0ODE3PC9jdXN0b20yPjxlbGVjdHJvbmljLXJlc291cmNlLW51bT4xMC4x
MDU1L3MtMDAzOS0xNjgzMzc3PC9lbGVjdHJvbmljLXJlc291cmNlLW51bT48L3JlY29yZD48L0Np
dGU+PC9FbmROb3RlPgB=
</w:fldData>
              </w:fldChar>
            </w:r>
            <w:r w:rsidR="002747EA">
              <w:instrText xml:space="preserve"> ADDIN EN.CITE.DATA </w:instrText>
            </w:r>
            <w:r w:rsidR="002747EA">
              <w:fldChar w:fldCharType="end"/>
            </w:r>
            <w:r w:rsidR="00E37D04">
              <w:fldChar w:fldCharType="separate"/>
            </w:r>
            <w:r w:rsidR="002747EA" w:rsidRPr="002747EA">
              <w:rPr>
                <w:noProof/>
                <w:sz w:val="18"/>
                <w:vertAlign w:val="superscript"/>
              </w:rPr>
              <w:t>414</w:t>
            </w:r>
            <w:r w:rsidR="00E37D04">
              <w:fldChar w:fldCharType="end"/>
            </w:r>
          </w:p>
        </w:tc>
        <w:tc>
          <w:tcPr>
            <w:tcW w:w="2547" w:type="dxa"/>
          </w:tcPr>
          <w:p w14:paraId="3F503553" w14:textId="4B42E708" w:rsidR="00E025F9" w:rsidRDefault="00E025F9" w:rsidP="004A0E1A">
            <w:pPr>
              <w:pStyle w:val="RCTstable"/>
            </w:pPr>
            <w:r>
              <w:t>Mixed BMIs</w:t>
            </w:r>
          </w:p>
        </w:tc>
        <w:tc>
          <w:tcPr>
            <w:tcW w:w="2982" w:type="dxa"/>
          </w:tcPr>
          <w:p w14:paraId="031A7498" w14:textId="62803586" w:rsidR="00E025F9" w:rsidRDefault="008E1F6E" w:rsidP="004A0E1A">
            <w:pPr>
              <w:pStyle w:val="RCTstable"/>
              <w:jc w:val="center"/>
            </w:pPr>
            <w:r>
              <w:t xml:space="preserve">MD </w:t>
            </w:r>
            <w:r w:rsidR="00266B21">
              <w:t>−0.37 (−0.49 to −0.24)</w:t>
            </w:r>
          </w:p>
        </w:tc>
        <w:tc>
          <w:tcPr>
            <w:tcW w:w="1134" w:type="dxa"/>
          </w:tcPr>
          <w:p w14:paraId="28F78A9E" w14:textId="38D06A04" w:rsidR="00E025F9" w:rsidRDefault="00266B21" w:rsidP="004A0E1A">
            <w:pPr>
              <w:pStyle w:val="RCTstable"/>
              <w:jc w:val="center"/>
            </w:pPr>
            <w:r>
              <w:t>22</w:t>
            </w:r>
          </w:p>
        </w:tc>
      </w:tr>
      <w:tr w:rsidR="006F18DA" w:rsidRPr="00C12274" w14:paraId="09720CA2" w14:textId="77777777" w:rsidTr="004A0E1A">
        <w:tc>
          <w:tcPr>
            <w:tcW w:w="2841" w:type="dxa"/>
          </w:tcPr>
          <w:p w14:paraId="5A50118B" w14:textId="75BD843C" w:rsidR="006F18DA" w:rsidRDefault="00833DAF" w:rsidP="002747EA">
            <w:pPr>
              <w:pStyle w:val="RCTstable"/>
            </w:pPr>
            <w:r>
              <w:t>*</w:t>
            </w:r>
            <w:r w:rsidR="006F18DA">
              <w:t>Vincze et al 2019</w:t>
            </w:r>
            <w:r w:rsidR="00E37D04">
              <w:fldChar w:fldCharType="begin">
                <w:fldData xml:space="preserve">PEVuZE5vdGU+PENpdGU+PEF1dGhvcj5WaW5jemU8L0F1dGhvcj48WWVhcj4yMDE5PC9ZZWFyPjxS
ZWNOdW0+MTM4MTwvUmVjTnVtPjxEaXNwbGF5VGV4dD48c3R5bGUgZmFjZT0ic3VwZXJzY3JpcHQi
IGZvbnQ9IlRyZWJ1Y2hldCBNUyIgc2l6ZT0iOSI+NTI3PC9zdHlsZT48L0Rpc3BsYXlUZXh0Pjxy
ZWNvcmQ+PHJlYy1udW1iZXI+MTM4MTwvcmVjLW51bWJlcj48Zm9yZWlnbi1rZXlzPjxrZXkgYXBw
PSJFTiIgZGItaWQ9ImV4dmFzcmZ4MmR0cmFvZXNhc3hwMnN6c3hhMmRmNTAyNTkyeCIgdGltZXN0
YW1wPSIxNTY3MTI4NzU4Ij4xMzgxPC9rZXk+PGtleSBhcHA9IkVOV2ViIiBkYi1pZD0iIj4wPC9r
ZXk+PC9mb3JlaWduLWtleXM+PHJlZi10eXBlIG5hbWU9IkpvdXJuYWwgQXJ0aWNsZSI+MTc8L3Jl
Zi10eXBlPjxjb250cmlidXRvcnM+PGF1dGhvcnM+PGF1dGhvcj5WaW5jemUsIEwuPC9hdXRob3I+
PGF1dGhvcj5Sb2xsbywgTS48L2F1dGhvcj48YXV0aG9yPkh1dGNoZXNzb24sIE0uPC9hdXRob3I+
PGF1dGhvcj5IYXVjaywgWS48L2F1dGhvcj48YXV0aG9yPk1hY0RvbmFsZC1XaWNrcywgTC48L2F1
dGhvcj48YXV0aG9yPldvb2QsIEwuPC9hdXRob3I+PGF1dGhvcj5DYWxsaXN0ZXIsIFIuPC9hdXRo
b3I+PGF1dGhvcj5Db2xsaW5zLCBDLjwvYXV0aG9yPjwvYXV0aG9ycz48L2NvbnRyaWJ1dG9ycz48
YXV0aC1hZGRyZXNzPlNjaG9vbCBvZiBBbGxpZWQgSGVhbHRoIFNjaWVuY2VzLCBHcmlmZml0aCBV
bml2ZXJzaXR5LCBHb2xkIENvYXN0LCBBdXN0cmFsaWEuJiN4RDtQcmlvcml0eSBSZXNlYXJjaCBD
ZW50cmUgZm9yIFBoeXNpY2FsIEFjdGl2aXR5IGFuZCBOdXRyaXRpb24sIFVuaXZlcnNpdHkgb2Yg
TmV3Y2FzdGxlLCBBdXN0cmFsaWEuJiN4RDtTY2hvb2wgb2YgSGVhbHRoIFNjaWVuY2VzLCBGYWN1
bHR5IG9mIEhlYWx0aCBhbmQgTWVkaWNpbmUsIFVuaXZlcnNpdHkgb2YgTmV3Y2FzdGxlLCBBdXN0
cmFsaWEuJiN4RDtTY2hvb2wgb2YgTnVyc2luZywgTWlkd2lmZXJ5IGFuZCBQYXJhbWVkaWNpbmUs
IEN1cnRpbiBVbml2ZXJzaXR5LCBQZXJ0aCwgQXVzdHJhbGlhLiYjeEQ7RGVwYXJ0bWVudCBOdXJz
aW5nIE1pZHdpZmVyeSBFZHVjYXRpb24gYW5kIFJlc2VhcmNoLCBLaW5nIEVkd2FyZCBNZW1vcmlh
bCBIb3NwaXRhbCwgUGVydGgsIEF1c3RyYWxpYS4mI3hEO1NjaG9vbCBvZiBCaW9tZWRpY2FsIFNj
aWVuY2VzLCBGYWN1bHR5IG9mIEhlYWx0aCBhbmQgTWVkaWNpbmUsIFVuaXZlcnNpdHkgb2YgTmV3
Y2FzdGxlLCBBdXN0cmFsaWEuJiN4RDtQcmlvcml0eSBSZXNlYXJjaCBDZW50cmUgR3JvdyBVcCBX
ZWxsIGFuZCBQcmlvcml0eSBSZXNlYXJjaCBDZW50cmUgSGVhbHRoeSBMdW5ncywgVW5pdmVyc2l0
eSBvZiBOZXdjYXN0bGUsIEF1c3RyYWxpYS4mI3hEO1RoZSBVbml2ZXJzaXR5IG9mIE5ld2Nhc3Rs
ZSBDZW50cmUgZm9yIEV2aWRlbmNlIEJhc2VkIEhlYWx0aGNhcmUgSW5mb3JtaW5nIFJlc2VhcmNo
IChDRUJISVIpOiBhIEpvYW5uYSBCcmlnZ3MgSW5zdGl0dXRlIENlbnRyZSBvZiBFeGNlbGxlbmNl
LjwvYXV0aC1hZGRyZXNzPjx0aXRsZXM+PHRpdGxlPkludGVydmVudGlvbnMgaW5jbHVkaW5nIGEg
bnV0cml0aW9uIGNvbXBvbmVudCBhaW1lZCBhdCBtYW5hZ2luZyBnZXN0YXRpb25hbCB3ZWlnaHQg
Z2FpbiBvciBwb3N0cGFydHVtIHdlaWdodCByZXRlbnRpb246IGEgc3lzdGVtYXRpYyByZXZpZXcg
YW5kIG1ldGEtYW5hbHlzaXM8L3RpdGxlPjxzZWNvbmRhcnktdGl0bGU+SkJJIERhdGFiYXNlIFN5
c3RlbSBSZXYgSW1wbGVtZW50IFJlcDwvc2Vjb25kYXJ5LXRpdGxlPjwvdGl0bGVzPjxwZXJpb2Rp
Y2FsPjxmdWxsLXRpdGxlPkpCSSBEYXRhYmFzZSBTeXN0ZW0gUmV2IEltcGxlbWVudCBSZXA8L2Z1
bGwtdGl0bGU+PC9wZXJpb2RpY2FsPjxwYWdlcz4yOTctMzY0PC9wYWdlcz48dm9sdW1lPjE3PC92
b2x1bWU+PG51bWJlcj4zPC9udW1iZXI+PGVkaXRpb24+MjAxOS8wMy8xNTwvZWRpdGlvbj48ZGF0
ZXM+PHllYXI+MjAxOTwveWVhcj48cHViLWRhdGVzPjxkYXRlPk1hcjwvZGF0ZT48L3B1Yi1kYXRl
cz48L2RhdGVzPjxpc2JuPjIyMDItNDQzMyAoRWxlY3Ryb25pYykmI3hEOzIyMDItNDQzMyAoTGlu
a2luZyk8L2lzYm4+PGFjY2Vzc2lvbi1udW0+MzA4NzAzMjk8L2FjY2Vzc2lvbi1udW0+PHVybHM+
PHJlbGF0ZWQtdXJscz48dXJsPmh0dHBzOi8vd3d3Lm5jYmkubmxtLm5paC5nb3YvcHVibWVkLzMw
ODcwMzI5PC91cmw+PC9yZWxhdGVkLXVybHM+PC91cmxzPjxlbGVjdHJvbmljLXJlc291cmNlLW51
bT4xMC4xMTEyNC9KQklTUklSLTIwMTctMDAzNTkzPC9lbGVjdHJvbmljLXJlc291cmNlLW51bT48
L3JlY29yZD48L0NpdGU+PC9FbmROb3RlPn==
</w:fldData>
              </w:fldChar>
            </w:r>
            <w:r w:rsidR="002747EA">
              <w:instrText xml:space="preserve"> ADDIN EN.CITE </w:instrText>
            </w:r>
            <w:r w:rsidR="002747EA">
              <w:fldChar w:fldCharType="begin">
                <w:fldData xml:space="preserve">PEVuZE5vdGU+PENpdGU+PEF1dGhvcj5WaW5jemU8L0F1dGhvcj48WWVhcj4yMDE5PC9ZZWFyPjxS
ZWNOdW0+MTM4MTwvUmVjTnVtPjxEaXNwbGF5VGV4dD48c3R5bGUgZmFjZT0ic3VwZXJzY3JpcHQi
IGZvbnQ9IlRyZWJ1Y2hldCBNUyIgc2l6ZT0iOSI+NTI3PC9zdHlsZT48L0Rpc3BsYXlUZXh0Pjxy
ZWNvcmQ+PHJlYy1udW1iZXI+MTM4MTwvcmVjLW51bWJlcj48Zm9yZWlnbi1rZXlzPjxrZXkgYXBw
PSJFTiIgZGItaWQ9ImV4dmFzcmZ4MmR0cmFvZXNhc3hwMnN6c3hhMmRmNTAyNTkyeCIgdGltZXN0
YW1wPSIxNTY3MTI4NzU4Ij4xMzgxPC9rZXk+PGtleSBhcHA9IkVOV2ViIiBkYi1pZD0iIj4wPC9r
ZXk+PC9mb3JlaWduLWtleXM+PHJlZi10eXBlIG5hbWU9IkpvdXJuYWwgQXJ0aWNsZSI+MTc8L3Jl
Zi10eXBlPjxjb250cmlidXRvcnM+PGF1dGhvcnM+PGF1dGhvcj5WaW5jemUsIEwuPC9hdXRob3I+
PGF1dGhvcj5Sb2xsbywgTS48L2F1dGhvcj48YXV0aG9yPkh1dGNoZXNzb24sIE0uPC9hdXRob3I+
PGF1dGhvcj5IYXVjaywgWS48L2F1dGhvcj48YXV0aG9yPk1hY0RvbmFsZC1XaWNrcywgTC48L2F1
dGhvcj48YXV0aG9yPldvb2QsIEwuPC9hdXRob3I+PGF1dGhvcj5DYWxsaXN0ZXIsIFIuPC9hdXRo
b3I+PGF1dGhvcj5Db2xsaW5zLCBDLjwvYXV0aG9yPjwvYXV0aG9ycz48L2NvbnRyaWJ1dG9ycz48
YXV0aC1hZGRyZXNzPlNjaG9vbCBvZiBBbGxpZWQgSGVhbHRoIFNjaWVuY2VzLCBHcmlmZml0aCBV
bml2ZXJzaXR5LCBHb2xkIENvYXN0LCBBdXN0cmFsaWEuJiN4RDtQcmlvcml0eSBSZXNlYXJjaCBD
ZW50cmUgZm9yIFBoeXNpY2FsIEFjdGl2aXR5IGFuZCBOdXRyaXRpb24sIFVuaXZlcnNpdHkgb2Yg
TmV3Y2FzdGxlLCBBdXN0cmFsaWEuJiN4RDtTY2hvb2wgb2YgSGVhbHRoIFNjaWVuY2VzLCBGYWN1
bHR5IG9mIEhlYWx0aCBhbmQgTWVkaWNpbmUsIFVuaXZlcnNpdHkgb2YgTmV3Y2FzdGxlLCBBdXN0
cmFsaWEuJiN4RDtTY2hvb2wgb2YgTnVyc2luZywgTWlkd2lmZXJ5IGFuZCBQYXJhbWVkaWNpbmUs
IEN1cnRpbiBVbml2ZXJzaXR5LCBQZXJ0aCwgQXVzdHJhbGlhLiYjeEQ7RGVwYXJ0bWVudCBOdXJz
aW5nIE1pZHdpZmVyeSBFZHVjYXRpb24gYW5kIFJlc2VhcmNoLCBLaW5nIEVkd2FyZCBNZW1vcmlh
bCBIb3NwaXRhbCwgUGVydGgsIEF1c3RyYWxpYS4mI3hEO1NjaG9vbCBvZiBCaW9tZWRpY2FsIFNj
aWVuY2VzLCBGYWN1bHR5IG9mIEhlYWx0aCBhbmQgTWVkaWNpbmUsIFVuaXZlcnNpdHkgb2YgTmV3
Y2FzdGxlLCBBdXN0cmFsaWEuJiN4RDtQcmlvcml0eSBSZXNlYXJjaCBDZW50cmUgR3JvdyBVcCBX
ZWxsIGFuZCBQcmlvcml0eSBSZXNlYXJjaCBDZW50cmUgSGVhbHRoeSBMdW5ncywgVW5pdmVyc2l0
eSBvZiBOZXdjYXN0bGUsIEF1c3RyYWxpYS4mI3hEO1RoZSBVbml2ZXJzaXR5IG9mIE5ld2Nhc3Rs
ZSBDZW50cmUgZm9yIEV2aWRlbmNlIEJhc2VkIEhlYWx0aGNhcmUgSW5mb3JtaW5nIFJlc2VhcmNo
IChDRUJISVIpOiBhIEpvYW5uYSBCcmlnZ3MgSW5zdGl0dXRlIENlbnRyZSBvZiBFeGNlbGxlbmNl
LjwvYXV0aC1hZGRyZXNzPjx0aXRsZXM+PHRpdGxlPkludGVydmVudGlvbnMgaW5jbHVkaW5nIGEg
bnV0cml0aW9uIGNvbXBvbmVudCBhaW1lZCBhdCBtYW5hZ2luZyBnZXN0YXRpb25hbCB3ZWlnaHQg
Z2FpbiBvciBwb3N0cGFydHVtIHdlaWdodCByZXRlbnRpb246IGEgc3lzdGVtYXRpYyByZXZpZXcg
YW5kIG1ldGEtYW5hbHlzaXM8L3RpdGxlPjxzZWNvbmRhcnktdGl0bGU+SkJJIERhdGFiYXNlIFN5
c3RlbSBSZXYgSW1wbGVtZW50IFJlcDwvc2Vjb25kYXJ5LXRpdGxlPjwvdGl0bGVzPjxwZXJpb2Rp
Y2FsPjxmdWxsLXRpdGxlPkpCSSBEYXRhYmFzZSBTeXN0ZW0gUmV2IEltcGxlbWVudCBSZXA8L2Z1
bGwtdGl0bGU+PC9wZXJpb2RpY2FsPjxwYWdlcz4yOTctMzY0PC9wYWdlcz48dm9sdW1lPjE3PC92
b2x1bWU+PG51bWJlcj4zPC9udW1iZXI+PGVkaXRpb24+MjAxOS8wMy8xNTwvZWRpdGlvbj48ZGF0
ZXM+PHllYXI+MjAxOTwveWVhcj48cHViLWRhdGVzPjxkYXRlPk1hcjwvZGF0ZT48L3B1Yi1kYXRl
cz48L2RhdGVzPjxpc2JuPjIyMDItNDQzMyAoRWxlY3Ryb25pYykmI3hEOzIyMDItNDQzMyAoTGlu
a2luZyk8L2lzYm4+PGFjY2Vzc2lvbi1udW0+MzA4NzAzMjk8L2FjY2Vzc2lvbi1udW0+PHVybHM+
PHJlbGF0ZWQtdXJscz48dXJsPmh0dHBzOi8vd3d3Lm5jYmkubmxtLm5paC5nb3YvcHVibWVkLzMw
ODcwMzI5PC91cmw+PC9yZWxhdGVkLXVybHM+PC91cmxzPjxlbGVjdHJvbmljLXJlc291cmNlLW51
bT4xMC4xMTEyNC9KQklTUklSLTIwMTctMDAzNTkzPC9lbGVjdHJvbmljLXJlc291cmNlLW51bT48
L3JlY29yZD48L0NpdGU+PC9FbmROb3RlPn==
</w:fldData>
              </w:fldChar>
            </w:r>
            <w:r w:rsidR="002747EA">
              <w:instrText xml:space="preserve"> ADDIN EN.CITE.DATA </w:instrText>
            </w:r>
            <w:r w:rsidR="002747EA">
              <w:fldChar w:fldCharType="end"/>
            </w:r>
            <w:r w:rsidR="00E37D04">
              <w:fldChar w:fldCharType="separate"/>
            </w:r>
            <w:r w:rsidR="002747EA" w:rsidRPr="002747EA">
              <w:rPr>
                <w:noProof/>
                <w:sz w:val="18"/>
                <w:vertAlign w:val="superscript"/>
              </w:rPr>
              <w:t>527</w:t>
            </w:r>
            <w:r w:rsidR="00E37D04">
              <w:fldChar w:fldCharType="end"/>
            </w:r>
          </w:p>
        </w:tc>
        <w:tc>
          <w:tcPr>
            <w:tcW w:w="2547" w:type="dxa"/>
          </w:tcPr>
          <w:p w14:paraId="4CBDEA3F" w14:textId="08252E02" w:rsidR="006F18DA" w:rsidRDefault="006F18DA" w:rsidP="004A0E1A">
            <w:pPr>
              <w:pStyle w:val="RCTstable"/>
            </w:pPr>
            <w:r>
              <w:t>Mixed BMIs</w:t>
            </w:r>
          </w:p>
        </w:tc>
        <w:tc>
          <w:tcPr>
            <w:tcW w:w="2982" w:type="dxa"/>
          </w:tcPr>
          <w:p w14:paraId="2CD04A2E" w14:textId="5FE1A794" w:rsidR="006F18DA" w:rsidRDefault="008E1F6E" w:rsidP="004A0E1A">
            <w:pPr>
              <w:pStyle w:val="RCTstable"/>
              <w:jc w:val="center"/>
            </w:pPr>
            <w:r>
              <w:t xml:space="preserve">MD </w:t>
            </w:r>
            <w:r w:rsidR="00833DAF">
              <w:t xml:space="preserve">–0.76 (–2.01 </w:t>
            </w:r>
            <w:r w:rsidR="008230A4">
              <w:t>t</w:t>
            </w:r>
            <w:r w:rsidR="00833DAF">
              <w:t>o 0.49)</w:t>
            </w:r>
          </w:p>
        </w:tc>
        <w:tc>
          <w:tcPr>
            <w:tcW w:w="1134" w:type="dxa"/>
          </w:tcPr>
          <w:p w14:paraId="4DBA91A4" w14:textId="7C0C027D" w:rsidR="006F18DA" w:rsidRDefault="00833DAF" w:rsidP="004A0E1A">
            <w:pPr>
              <w:pStyle w:val="RCTstable"/>
              <w:jc w:val="center"/>
            </w:pPr>
            <w:r>
              <w:t>13</w:t>
            </w:r>
          </w:p>
        </w:tc>
      </w:tr>
      <w:tr w:rsidR="004A0E1A" w:rsidRPr="00C12274" w14:paraId="00528317" w14:textId="77777777" w:rsidTr="004A0E1A">
        <w:tc>
          <w:tcPr>
            <w:tcW w:w="2841" w:type="dxa"/>
          </w:tcPr>
          <w:p w14:paraId="3B668434" w14:textId="3AF69241" w:rsidR="004A0E1A" w:rsidRPr="00916B76" w:rsidRDefault="004A0E1A" w:rsidP="002747EA">
            <w:pPr>
              <w:pStyle w:val="RCTstable"/>
            </w:pPr>
            <w:r>
              <w:t>Walker et al 2018</w:t>
            </w:r>
            <w:r>
              <w:fldChar w:fldCharType="begin">
                <w:fldData xml:space="preserve">PEVuZE5vdGU+PENpdGU+PEF1dGhvcj5XYWxrZXI8L0F1dGhvcj48WWVhcj4yMDE4PC9ZZWFyPjxS
ZWNOdW0+NTkwPC9SZWNOdW0+PERpc3BsYXlUZXh0PjxzdHlsZSBmYWNlPSJzdXBlcnNjcmlwdCIg
Zm9udD0iVHJlYnVjaGV0IE1TIiBzaXplPSI5Ij40NjM8L3N0eWxlPjwvRGlzcGxheVRleHQ+PHJl
Y29yZD48cmVjLW51bWJlcj41OTA8L3JlYy1udW1iZXI+PGZvcmVpZ24ta2V5cz48a2V5IGFwcD0i
RU4iIGRiLWlkPSJleHZhc3JmeDJkdHJhb2VzYXN4cDJzenN4YTJkZjUwMjU5MngiIHRpbWVzdGFt
cD0iMTUzNjczMjg0MyI+NTkwPC9rZXk+PGtleSBhcHA9IkVOV2ViIiBkYi1pZD0iIj4wPC9rZXk+
PC9mb3JlaWduLWtleXM+PHJlZi10eXBlIG5hbWU9IkpvdXJuYWwgQXJ0aWNsZSI+MTc8L3JlZi10
eXBlPjxjb250cmlidXRvcnM+PGF1dGhvcnM+PGF1dGhvcj5XYWxrZXIsIFIuPC9hdXRob3I+PGF1
dGhvcj5CZW5uZXR0LCBDLjwvYXV0aG9yPjxhdXRob3I+Qmx1bWZpZWxkLCBNLjwvYXV0aG9yPjxh
dXRob3I+R3dpbmksIFMuPC9hdXRob3I+PGF1dGhvcj5NYSwgSi48L2F1dGhvcj48YXV0aG9yPldh
bmcsIEYuPC9hdXRob3I+PGF1dGhvcj5XYW4sIFkuPC9hdXRob3I+PGF1dGhvcj5UcnVieSwgSC48
L2F1dGhvcj48L2F1dGhvcnM+PC9jb250cmlidXRvcnM+PGF1dGgtYWRkcmVzcz5EZXBhcnRtZW50
IG9mIE51dHJpdGlvbiBhbmQgRGlldGV0aWNzIGFuZCBGb29kLCBTY2hvb2wgb2YgQ2xpbmljYWwg
U2NpZW5jZXMsIE1vbmFzaCBVbml2ZXJzaXR5LCBDbGF5dG9uIFZJQyAzMTY4LCBBdXN0cmFsaWEu
IHJ1dGgud2Fsa2VyQG1vbmFzaC5lZHUuJiN4RDtEZXBhcnRtZW50IG9mIE51dHJpdGlvbiBhbmQg
RGlldGV0aWNzIGFuZCBGb29kLCBTY2hvb2wgb2YgQ2xpbmljYWwgU2NpZW5jZXMsIE1vbmFzaCBV
bml2ZXJzaXR5LCBDbGF5dG9uIFZJQyAzMTY4LCBBdXN0cmFsaWEuIGNocmlzdGllLmJlbm5ldHRA
bW9uYXNoLmVkdS4mI3hEO0RlcGFydG1lbnQgb2YgTnV0cml0aW9uIGFuZCBEaWV0ZXRpY3MgYW5k
IEZvb2QsIFNjaG9vbCBvZiBDbGluaWNhbCBTY2llbmNlcywgTW9uYXNoIFVuaXZlcnNpdHksIENs
YXl0b24gVklDIDMxNjgsIEF1c3RyYWxpYS4gbWljaGVsbGUuYmx1bWZpZWxkQG1vbmFzaC5lZHUu
JiN4RDtEZXBhcnRtZW50IG9mIEVwaWRlbWlvbG9neSBhbmQgUHJldmVudGl2ZSBNZWRpY2luZSwg
U2Nob29sIG9mIFB1YmxpYyBIZWFsdGggYW5kIFByZXZlbnRpdmUgTWVkaWNpbmUsIE1vbmFzaCBV
bml2ZXJzaXR5LCBNZWxib3VybmUgVklDIDMwMDQsIEF1c3RyYWxpYS4gc3RlbGxhLmd3aW5pQG1v
bmFzaC5lZHUuJiN4RDtJbnN0aXR1dGUgb2YgTnV0cml0aW9uIGFuZCBGb29kIEh5Z2llbmUsIFNj
aG9vbCBvZiBQdWJsaWMgSGVhbHRoLCBMYW56aG91IFVuaXZlcnNpdHksIExhbnpob3UgNzMwMDAw
LCBDaGluYS4gbmFuY3ltYXpob3VAaG90bWFpbC5jb20uJiN4RDtEZXBhcnRtZW50IG9mIEZvb2Qg
U2NpZW5jZSBhbmQgTnV0cml0aW9uLCBaaGVqaWFuZyBVbml2ZXJzaXR5LCBIYW5nemhvdSAzMTAw
NTgsIENoaW5hLiBmZW5nbGVpd2FuZ0BnLmhhcnZhcmQuZWR1LiYjeEQ7RGVwYXJ0bWVudCBvZiBG
b29kIFNjaWVuY2UgYW5kIE51dHJpdGlvbiwgWmhlamlhbmcgVW5pdmVyc2l0eSwgSGFuZ3pob3Ug
MzEwMDU4LCBDaGluYS4geWl3YW5Aemp1LmNuLiYjeEQ7RGVwYXJ0bWVudCBvZiBOdXRyaXRpb24g
YW5kIERpZXRldGljcyBhbmQgRm9vZCwgU2Nob29sIG9mIENsaW5pY2FsIFNjaWVuY2VzLCBNb25h
c2ggVW5pdmVyc2l0eSwgQ2xheXRvbiBWSUMgMzE2OCwgQXVzdHJhbGlhLiBoZWxlbi50cnVieUBt
b25hc2guZWR1LjwvYXV0aC1hZGRyZXNzPjx0aXRsZXM+PHRpdGxlPkF0dGVudWF0aW5nIFByZWdu
YW5jeSBXZWlnaHQgR2Fpbi1XaGF0IFdvcmtzIGFuZCBXaHk6IEEgU3lzdGVtYXRpYyBSZXZpZXcg
YW5kIE1ldGEtQW5hbHlzaXM8L3RpdGxlPjxzZWNvbmRhcnktdGl0bGU+TnV0cmllbnRzPC9zZWNv
bmRhcnktdGl0bGU+PC90aXRsZXM+PHBlcmlvZGljYWw+PGZ1bGwtdGl0bGU+TnV0cmllbnRzPC9m
dWxsLXRpdGxlPjwvcGVyaW9kaWNhbD48dm9sdW1lPjEwPC92b2x1bWU+PG51bWJlcj43PC9udW1i
ZXI+PGVkaXRpb24+MjAxOC8wNy8yNTwvZWRpdGlvbj48a2V5d29yZHM+PGtleXdvcmQ+ZGlldDwv
a2V5d29yZD48a2V5d29yZD5nZXN0YXRpb25hbCB3ZWlnaHQgZ2Fpbjwva2V5d29yZD48a2V5d29y
ZD5pbnRlcnZlbnRpb25zPC9rZXl3b3JkPjxrZXl3b3JkPmxpZmVzdHlsZTwva2V5d29yZD48a2V5
d29yZD5tYXRlcm5hbDwva2V5d29yZD48a2V5d29yZD5waHlzaWNhbCBhY3Rpdml0eTwva2V5d29y
ZD48a2V5d29yZD5wcmVnbmFuY3k8L2tleXdvcmQ+PC9rZXl3b3Jkcz48ZGF0ZXM+PHllYXI+MjAx
ODwveWVhcj48cHViLWRhdGVzPjxkYXRlPkp1bCAyMjwvZGF0ZT48L3B1Yi1kYXRlcz48L2RhdGVz
Pjxpc2JuPjIwNzItNjY0MyAoRWxlY3Ryb25pYykmI3hEOzIwNzItNjY0MyAoTGlua2luZyk8L2lz
Ym4+PGFjY2Vzc2lvbi1udW0+MzAwMzcxMjY8L2FjY2Vzc2lvbi1udW0+PHVybHM+PHJlbGF0ZWQt
dXJscz48dXJsPmh0dHBzOi8vd3d3Lm5jYmkubmxtLm5paC5nb3YvcHVibWVkLzMwMDM3MTI2PC91
cmw+PC9yZWxhdGVkLXVybHM+PC91cmxzPjxjdXN0b20yPlBNQzYwNzM2MTc8L2N1c3RvbTI+PGVs
ZWN0cm9uaWMtcmVzb3VyY2UtbnVtPjEwLjMzOTAvbnUxMDA3MDk0NDwvZWxlY3Ryb25pYy1yZXNv
dXJjZS1udW0+PC9yZWNvcmQ+PC9DaXRlPjwvRW5kTm90ZT4A
</w:fldData>
              </w:fldChar>
            </w:r>
            <w:r w:rsidR="002747EA">
              <w:instrText xml:space="preserve"> ADDIN EN.CITE </w:instrText>
            </w:r>
            <w:r w:rsidR="002747EA">
              <w:fldChar w:fldCharType="begin">
                <w:fldData xml:space="preserve">PEVuZE5vdGU+PENpdGU+PEF1dGhvcj5XYWxrZXI8L0F1dGhvcj48WWVhcj4yMDE4PC9ZZWFyPjxS
ZWNOdW0+NTkwPC9SZWNOdW0+PERpc3BsYXlUZXh0PjxzdHlsZSBmYWNlPSJzdXBlcnNjcmlwdCIg
Zm9udD0iVHJlYnVjaGV0IE1TIiBzaXplPSI5Ij40NjM8L3N0eWxlPjwvRGlzcGxheVRleHQ+PHJl
Y29yZD48cmVjLW51bWJlcj41OTA8L3JlYy1udW1iZXI+PGZvcmVpZ24ta2V5cz48a2V5IGFwcD0i
RU4iIGRiLWlkPSJleHZhc3JmeDJkdHJhb2VzYXN4cDJzenN4YTJkZjUwMjU5MngiIHRpbWVzdGFt
cD0iMTUzNjczMjg0MyI+NTkwPC9rZXk+PGtleSBhcHA9IkVOV2ViIiBkYi1pZD0iIj4wPC9rZXk+
PC9mb3JlaWduLWtleXM+PHJlZi10eXBlIG5hbWU9IkpvdXJuYWwgQXJ0aWNsZSI+MTc8L3JlZi10
eXBlPjxjb250cmlidXRvcnM+PGF1dGhvcnM+PGF1dGhvcj5XYWxrZXIsIFIuPC9hdXRob3I+PGF1
dGhvcj5CZW5uZXR0LCBDLjwvYXV0aG9yPjxhdXRob3I+Qmx1bWZpZWxkLCBNLjwvYXV0aG9yPjxh
dXRob3I+R3dpbmksIFMuPC9hdXRob3I+PGF1dGhvcj5NYSwgSi48L2F1dGhvcj48YXV0aG9yPldh
bmcsIEYuPC9hdXRob3I+PGF1dGhvcj5XYW4sIFkuPC9hdXRob3I+PGF1dGhvcj5UcnVieSwgSC48
L2F1dGhvcj48L2F1dGhvcnM+PC9jb250cmlidXRvcnM+PGF1dGgtYWRkcmVzcz5EZXBhcnRtZW50
IG9mIE51dHJpdGlvbiBhbmQgRGlldGV0aWNzIGFuZCBGb29kLCBTY2hvb2wgb2YgQ2xpbmljYWwg
U2NpZW5jZXMsIE1vbmFzaCBVbml2ZXJzaXR5LCBDbGF5dG9uIFZJQyAzMTY4LCBBdXN0cmFsaWEu
IHJ1dGgud2Fsa2VyQG1vbmFzaC5lZHUuJiN4RDtEZXBhcnRtZW50IG9mIE51dHJpdGlvbiBhbmQg
RGlldGV0aWNzIGFuZCBGb29kLCBTY2hvb2wgb2YgQ2xpbmljYWwgU2NpZW5jZXMsIE1vbmFzaCBV
bml2ZXJzaXR5LCBDbGF5dG9uIFZJQyAzMTY4LCBBdXN0cmFsaWEuIGNocmlzdGllLmJlbm5ldHRA
bW9uYXNoLmVkdS4mI3hEO0RlcGFydG1lbnQgb2YgTnV0cml0aW9uIGFuZCBEaWV0ZXRpY3MgYW5k
IEZvb2QsIFNjaG9vbCBvZiBDbGluaWNhbCBTY2llbmNlcywgTW9uYXNoIFVuaXZlcnNpdHksIENs
YXl0b24gVklDIDMxNjgsIEF1c3RyYWxpYS4gbWljaGVsbGUuYmx1bWZpZWxkQG1vbmFzaC5lZHUu
JiN4RDtEZXBhcnRtZW50IG9mIEVwaWRlbWlvbG9neSBhbmQgUHJldmVudGl2ZSBNZWRpY2luZSwg
U2Nob29sIG9mIFB1YmxpYyBIZWFsdGggYW5kIFByZXZlbnRpdmUgTWVkaWNpbmUsIE1vbmFzaCBV
bml2ZXJzaXR5LCBNZWxib3VybmUgVklDIDMwMDQsIEF1c3RyYWxpYS4gc3RlbGxhLmd3aW5pQG1v
bmFzaC5lZHUuJiN4RDtJbnN0aXR1dGUgb2YgTnV0cml0aW9uIGFuZCBGb29kIEh5Z2llbmUsIFNj
aG9vbCBvZiBQdWJsaWMgSGVhbHRoLCBMYW56aG91IFVuaXZlcnNpdHksIExhbnpob3UgNzMwMDAw
LCBDaGluYS4gbmFuY3ltYXpob3VAaG90bWFpbC5jb20uJiN4RDtEZXBhcnRtZW50IG9mIEZvb2Qg
U2NpZW5jZSBhbmQgTnV0cml0aW9uLCBaaGVqaWFuZyBVbml2ZXJzaXR5LCBIYW5nemhvdSAzMTAw
NTgsIENoaW5hLiBmZW5nbGVpd2FuZ0BnLmhhcnZhcmQuZWR1LiYjeEQ7RGVwYXJ0bWVudCBvZiBG
b29kIFNjaWVuY2UgYW5kIE51dHJpdGlvbiwgWmhlamlhbmcgVW5pdmVyc2l0eSwgSGFuZ3pob3Ug
MzEwMDU4LCBDaGluYS4geWl3YW5Aemp1LmNuLiYjeEQ7RGVwYXJ0bWVudCBvZiBOdXRyaXRpb24g
YW5kIERpZXRldGljcyBhbmQgRm9vZCwgU2Nob29sIG9mIENsaW5pY2FsIFNjaWVuY2VzLCBNb25h
c2ggVW5pdmVyc2l0eSwgQ2xheXRvbiBWSUMgMzE2OCwgQXVzdHJhbGlhLiBoZWxlbi50cnVieUBt
b25hc2guZWR1LjwvYXV0aC1hZGRyZXNzPjx0aXRsZXM+PHRpdGxlPkF0dGVudWF0aW5nIFByZWdu
YW5jeSBXZWlnaHQgR2Fpbi1XaGF0IFdvcmtzIGFuZCBXaHk6IEEgU3lzdGVtYXRpYyBSZXZpZXcg
YW5kIE1ldGEtQW5hbHlzaXM8L3RpdGxlPjxzZWNvbmRhcnktdGl0bGU+TnV0cmllbnRzPC9zZWNv
bmRhcnktdGl0bGU+PC90aXRsZXM+PHBlcmlvZGljYWw+PGZ1bGwtdGl0bGU+TnV0cmllbnRzPC9m
dWxsLXRpdGxlPjwvcGVyaW9kaWNhbD48dm9sdW1lPjEwPC92b2x1bWU+PG51bWJlcj43PC9udW1i
ZXI+PGVkaXRpb24+MjAxOC8wNy8yNTwvZWRpdGlvbj48a2V5d29yZHM+PGtleXdvcmQ+ZGlldDwv
a2V5d29yZD48a2V5d29yZD5nZXN0YXRpb25hbCB3ZWlnaHQgZ2Fpbjwva2V5d29yZD48a2V5d29y
ZD5pbnRlcnZlbnRpb25zPC9rZXl3b3JkPjxrZXl3b3JkPmxpZmVzdHlsZTwva2V5d29yZD48a2V5
d29yZD5tYXRlcm5hbDwva2V5d29yZD48a2V5d29yZD5waHlzaWNhbCBhY3Rpdml0eTwva2V5d29y
ZD48a2V5d29yZD5wcmVnbmFuY3k8L2tleXdvcmQ+PC9rZXl3b3Jkcz48ZGF0ZXM+PHllYXI+MjAx
ODwveWVhcj48cHViLWRhdGVzPjxkYXRlPkp1bCAyMjwvZGF0ZT48L3B1Yi1kYXRlcz48L2RhdGVz
Pjxpc2JuPjIwNzItNjY0MyAoRWxlY3Ryb25pYykmI3hEOzIwNzItNjY0MyAoTGlua2luZyk8L2lz
Ym4+PGFjY2Vzc2lvbi1udW0+MzAwMzcxMjY8L2FjY2Vzc2lvbi1udW0+PHVybHM+PHJlbGF0ZWQt
dXJscz48dXJsPmh0dHBzOi8vd3d3Lm5jYmkubmxtLm5paC5nb3YvcHVibWVkLzMwMDM3MTI2PC91
cmw+PC9yZWxhdGVkLXVybHM+PC91cmxzPjxjdXN0b20yPlBNQzYwNzM2MTc8L2N1c3RvbTI+PGVs
ZWN0cm9uaWMtcmVzb3VyY2UtbnVtPjEwLjMzOTAvbnUxMDA3MDk0NDwvZWxlY3Ryb25pYy1yZXNv
dXJjZS1udW0+PC9yZWNvcmQ+PC9DaXRlPjwvRW5kTm90ZT4A
</w:fldData>
              </w:fldChar>
            </w:r>
            <w:r w:rsidR="002747EA">
              <w:instrText xml:space="preserve"> ADDIN EN.CITE.DATA </w:instrText>
            </w:r>
            <w:r w:rsidR="002747EA">
              <w:fldChar w:fldCharType="end"/>
            </w:r>
            <w:r>
              <w:fldChar w:fldCharType="separate"/>
            </w:r>
            <w:r w:rsidR="002747EA" w:rsidRPr="002747EA">
              <w:rPr>
                <w:noProof/>
                <w:sz w:val="18"/>
                <w:vertAlign w:val="superscript"/>
              </w:rPr>
              <w:t>463</w:t>
            </w:r>
            <w:r>
              <w:fldChar w:fldCharType="end"/>
            </w:r>
          </w:p>
        </w:tc>
        <w:tc>
          <w:tcPr>
            <w:tcW w:w="2547" w:type="dxa"/>
          </w:tcPr>
          <w:p w14:paraId="66EA943B" w14:textId="77777777" w:rsidR="004A0E1A" w:rsidRDefault="004A0E1A" w:rsidP="004A0E1A">
            <w:pPr>
              <w:pStyle w:val="RCTstable"/>
            </w:pPr>
            <w:r>
              <w:t>Mixed BMIs</w:t>
            </w:r>
          </w:p>
        </w:tc>
        <w:tc>
          <w:tcPr>
            <w:tcW w:w="2982" w:type="dxa"/>
          </w:tcPr>
          <w:p w14:paraId="5045975D" w14:textId="583CCD76" w:rsidR="004A0E1A" w:rsidRDefault="008E1F6E" w:rsidP="004A0E1A">
            <w:pPr>
              <w:pStyle w:val="RCTstable"/>
              <w:jc w:val="center"/>
            </w:pPr>
            <w:r>
              <w:t xml:space="preserve">MD </w:t>
            </w:r>
            <w:r w:rsidR="004A0E1A">
              <w:t>-0.84 (-1.29 to -0.39)</w:t>
            </w:r>
          </w:p>
        </w:tc>
        <w:tc>
          <w:tcPr>
            <w:tcW w:w="1134" w:type="dxa"/>
          </w:tcPr>
          <w:p w14:paraId="18CCB543" w14:textId="77777777" w:rsidR="004A0E1A" w:rsidRDefault="004A0E1A" w:rsidP="004A0E1A">
            <w:pPr>
              <w:pStyle w:val="RCTstable"/>
              <w:jc w:val="center"/>
            </w:pPr>
            <w:r>
              <w:t>24</w:t>
            </w:r>
          </w:p>
        </w:tc>
      </w:tr>
      <w:tr w:rsidR="004A0E1A" w:rsidRPr="00C12274" w14:paraId="557F292B" w14:textId="77777777" w:rsidTr="004A0E1A">
        <w:tc>
          <w:tcPr>
            <w:tcW w:w="2841" w:type="dxa"/>
          </w:tcPr>
          <w:p w14:paraId="787BC239" w14:textId="289BCF19" w:rsidR="004A0E1A" w:rsidRPr="00916B76" w:rsidRDefault="004A0E1A" w:rsidP="002747EA">
            <w:pPr>
              <w:pStyle w:val="RCTstable"/>
            </w:pPr>
            <w:r>
              <w:t>Shieh et al 2018</w:t>
            </w:r>
            <w:r>
              <w:fldChar w:fldCharType="begin"/>
            </w:r>
            <w:r w:rsidR="002747EA">
              <w:instrText xml:space="preserve"> ADDIN EN.CITE &lt;EndNote&gt;&lt;Cite&gt;&lt;Author&gt;Shieh&lt;/Author&gt;&lt;Year&gt;2018&lt;/Year&gt;&lt;RecNum&gt;1075&lt;/RecNum&gt;&lt;DisplayText&gt;&lt;style face="superscript" font="Trebuchet MS" size="9"&gt;410&lt;/style&gt;&lt;/DisplayText&gt;&lt;record&gt;&lt;rec-number&gt;1075&lt;/rec-number&gt;&lt;foreign-keys&gt;&lt;key app="EN" db-id="exvasrfx2dtraoesasxp2szsxa2df502592x" timestamp="1551246740"&gt;1075&lt;/key&gt;&lt;key app="ENWeb" db-id=""&gt;0&lt;/key&gt;&lt;/foreign-keys&gt;&lt;ref-type name="Journal Article"&gt;17&lt;/ref-type&gt;&lt;contributors&gt;&lt;authors&gt;&lt;author&gt;Shieh, C.&lt;/author&gt;&lt;author&gt;Cullen, D. L.&lt;/author&gt;&lt;author&gt;Pike, C.&lt;/author&gt;&lt;author&gt;Pressler, S. J.&lt;/author&gt;&lt;/authors&gt;&lt;/contributors&gt;&lt;titles&gt;&lt;title&gt;Intervention strategies for preventing excessive gestational weight gain: systematic review and meta-analysis&lt;/title&gt;&lt;secondary-title&gt;Obesity Reviews&lt;/secondary-title&gt;&lt;/titles&gt;&lt;periodical&gt;&lt;full-title&gt;Obesity Reviews&lt;/full-title&gt;&lt;/periodical&gt;&lt;pages&gt;1093-1109&lt;/pages&gt;&lt;volume&gt;19&lt;/volume&gt;&lt;number&gt;8&lt;/number&gt;&lt;section&gt;1093&lt;/section&gt;&lt;dates&gt;&lt;year&gt;2018&lt;/year&gt;&lt;/dates&gt;&lt;isbn&gt;14677881&lt;/isbn&gt;&lt;urls&gt;&lt;/urls&gt;&lt;electronic-resource-num&gt;10.1111/obr.12691&lt;/electronic-resource-num&gt;&lt;/record&gt;&lt;/Cite&gt;&lt;/EndNote&gt;</w:instrText>
            </w:r>
            <w:r>
              <w:fldChar w:fldCharType="separate"/>
            </w:r>
            <w:r w:rsidR="002747EA" w:rsidRPr="002747EA">
              <w:rPr>
                <w:noProof/>
                <w:sz w:val="18"/>
                <w:vertAlign w:val="superscript"/>
              </w:rPr>
              <w:t>410</w:t>
            </w:r>
            <w:r>
              <w:fldChar w:fldCharType="end"/>
            </w:r>
          </w:p>
        </w:tc>
        <w:tc>
          <w:tcPr>
            <w:tcW w:w="2547" w:type="dxa"/>
          </w:tcPr>
          <w:p w14:paraId="3ED6FFBE" w14:textId="77777777" w:rsidR="004A0E1A" w:rsidRDefault="004A0E1A" w:rsidP="004A0E1A">
            <w:pPr>
              <w:pStyle w:val="RCTstable"/>
            </w:pPr>
            <w:r>
              <w:t>BMI≥25</w:t>
            </w:r>
          </w:p>
        </w:tc>
        <w:tc>
          <w:tcPr>
            <w:tcW w:w="2982" w:type="dxa"/>
          </w:tcPr>
          <w:p w14:paraId="591DE7A0" w14:textId="31B69E25" w:rsidR="004A0E1A" w:rsidRPr="009C5D86" w:rsidRDefault="008E1F6E" w:rsidP="004A0E1A">
            <w:pPr>
              <w:pStyle w:val="RCTstable"/>
              <w:jc w:val="center"/>
            </w:pPr>
            <w:r>
              <w:t xml:space="preserve">MD </w:t>
            </w:r>
            <w:r w:rsidR="004A0E1A">
              <w:t>-0.82 (-1.28 to -0.36)</w:t>
            </w:r>
          </w:p>
        </w:tc>
        <w:tc>
          <w:tcPr>
            <w:tcW w:w="1134" w:type="dxa"/>
          </w:tcPr>
          <w:p w14:paraId="6B4BC987" w14:textId="77777777" w:rsidR="004A0E1A" w:rsidRPr="008C6CCE" w:rsidRDefault="004A0E1A" w:rsidP="004A0E1A">
            <w:pPr>
              <w:pStyle w:val="RCTstable"/>
              <w:jc w:val="center"/>
            </w:pPr>
            <w:r>
              <w:t>11</w:t>
            </w:r>
          </w:p>
        </w:tc>
      </w:tr>
      <w:tr w:rsidR="004A0E1A" w:rsidRPr="00C12274" w14:paraId="0CC30B84" w14:textId="77777777" w:rsidTr="004A0E1A">
        <w:tc>
          <w:tcPr>
            <w:tcW w:w="2841" w:type="dxa"/>
          </w:tcPr>
          <w:p w14:paraId="0A5B2A78" w14:textId="2FB9A940" w:rsidR="004A0E1A" w:rsidRPr="00916B76" w:rsidRDefault="004A0E1A" w:rsidP="002747EA">
            <w:pPr>
              <w:pStyle w:val="RCTstable"/>
            </w:pPr>
            <w:r w:rsidRPr="00916B76">
              <w:t>Muktab</w:t>
            </w:r>
            <w:r>
              <w:t>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Pr>
          <w:p w14:paraId="6678FAE2" w14:textId="77777777" w:rsidR="004A0E1A" w:rsidRPr="00C12274" w:rsidRDefault="004A0E1A" w:rsidP="004A0E1A">
            <w:pPr>
              <w:pStyle w:val="RCTstable"/>
            </w:pPr>
            <w:r>
              <w:t xml:space="preserve">High risk </w:t>
            </w:r>
          </w:p>
        </w:tc>
        <w:tc>
          <w:tcPr>
            <w:tcW w:w="2982" w:type="dxa"/>
          </w:tcPr>
          <w:p w14:paraId="4A3DA045" w14:textId="231C1DEA" w:rsidR="004A0E1A" w:rsidRPr="00624702" w:rsidRDefault="008E1F6E" w:rsidP="004A0E1A">
            <w:pPr>
              <w:pStyle w:val="RCTstable"/>
              <w:jc w:val="center"/>
            </w:pPr>
            <w:r>
              <w:t xml:space="preserve">MD </w:t>
            </w:r>
            <w:r w:rsidR="004A0E1A">
              <w:t>-0.71 kg (-1.34 to -0.08)</w:t>
            </w:r>
          </w:p>
        </w:tc>
        <w:tc>
          <w:tcPr>
            <w:tcW w:w="1134" w:type="dxa"/>
          </w:tcPr>
          <w:p w14:paraId="393A4DAF" w14:textId="77777777" w:rsidR="004A0E1A" w:rsidRPr="008C6CCE" w:rsidRDefault="004A0E1A" w:rsidP="004A0E1A">
            <w:pPr>
              <w:pStyle w:val="RCTstable"/>
              <w:jc w:val="center"/>
            </w:pPr>
            <w:r>
              <w:t>11</w:t>
            </w:r>
          </w:p>
        </w:tc>
      </w:tr>
      <w:tr w:rsidR="004A0E1A" w:rsidRPr="00C12274" w14:paraId="604D2842" w14:textId="77777777" w:rsidTr="004A0E1A">
        <w:tc>
          <w:tcPr>
            <w:tcW w:w="2841" w:type="dxa"/>
          </w:tcPr>
          <w:p w14:paraId="319D91BC" w14:textId="062D28F0" w:rsidR="004A0E1A" w:rsidRPr="00916B76" w:rsidRDefault="004A0E1A" w:rsidP="002747EA">
            <w:pPr>
              <w:pStyle w:val="RCTstable"/>
            </w:pPr>
            <w:r w:rsidRPr="00916B76">
              <w:t>Oteng-Ntim 2012</w:t>
            </w:r>
            <w:r>
              <w:fldChar w:fldCharType="begin"/>
            </w:r>
            <w:r w:rsidR="002747EA">
              <w:instrText xml:space="preserve"> ADDIN EN.CITE &lt;EndNote&gt;&lt;Cite&gt;&lt;Author&gt;Oteng-Ntim&lt;/Author&gt;&lt;Year&gt;2012&lt;/Year&gt;&lt;RecNum&gt;1137&lt;/RecNum&gt;&lt;DisplayText&gt;&lt;style face="superscript" font="Trebuchet MS" size="9"&gt;528&lt;/style&gt;&lt;/DisplayText&gt;&lt;record&gt;&lt;rec-number&gt;1137&lt;/rec-number&gt;&lt;foreign-keys&gt;&lt;key app="EN" db-id="exvasrfx2dtraoesasxp2szsxa2df502592x" timestamp="1555051770"&gt;1137&lt;/key&gt;&lt;key app="ENWeb" db-id=""&gt;0&lt;/key&gt;&lt;/foreign-keys&gt;&lt;ref-type name="Journal Article"&gt;17&lt;/ref-type&gt;&lt;contributors&gt;&lt;authors&gt;&lt;author&gt;Oteng-Ntim, E.&lt;/author&gt;&lt;author&gt;Varma, R.&lt;/author&gt;&lt;author&gt;Croker, H.&lt;/author&gt;&lt;author&gt;Poston, L.&lt;/author&gt;&lt;author&gt;Doyle, P.&lt;/author&gt;&lt;/authors&gt;&lt;/contributors&gt;&lt;auth-address&gt;Department of Women&amp;apos;s Health, Guy&amp;apos;s and St Thomas&amp;apos; NHS Foundation Trust (King&amp;apos;s Health Partners), St Thomas&amp;apos; Hospital, Westminster Bridge Road, London, SE 1 7EH, UK. Eugene.oteng-ntim@gstt.nhs.uk&lt;/auth-address&gt;&lt;titles&gt;&lt;title&gt;Lifestyle interventions for overweight and obese pregnant women to improve pregnancy outcome: systematic review and meta-analysis&lt;/title&gt;&lt;secondary-title&gt;BMC Med&lt;/secondary-title&gt;&lt;/titles&gt;&lt;periodical&gt;&lt;full-title&gt;BMC Med&lt;/full-title&gt;&lt;/periodical&gt;&lt;pages&gt;47&lt;/pages&gt;&lt;volume&gt;10&lt;/volume&gt;&lt;edition&gt;2012/05/12&lt;/edition&gt;&lt;keywords&gt;&lt;keyword&gt;Behavior Therapy/methods&lt;/keyword&gt;&lt;keyword&gt;Clinical Trials as Topic&lt;/keyword&gt;&lt;keyword&gt;Diet/methods&lt;/keyword&gt;&lt;keyword&gt;Exercise&lt;/keyword&gt;&lt;keyword&gt;Female&lt;/keyword&gt;&lt;keyword&gt;Humans&lt;/keyword&gt;&lt;keyword&gt;*Life Style&lt;/keyword&gt;&lt;keyword&gt;Overweight/*prevention &amp;amp; control/*therapy&lt;/keyword&gt;&lt;keyword&gt;Pregnancy&lt;/keyword&gt;&lt;keyword&gt;Pregnancy Complications/*prevention &amp;amp; control/*therapy&lt;/keyword&gt;&lt;keyword&gt;Pregnancy Outcome&lt;/keyword&gt;&lt;/keywords&gt;&lt;dates&gt;&lt;year&gt;2012&lt;/year&gt;&lt;pub-dates&gt;&lt;date&gt;May 10&lt;/date&gt;&lt;/pub-dates&gt;&lt;/dates&gt;&lt;isbn&gt;1741-7015 (Electronic)&amp;#xD;1741-7015 (Linking)&lt;/isbn&gt;&lt;accession-num&gt;22574949&lt;/accession-num&gt;&lt;urls&gt;&lt;related-urls&gt;&lt;url&gt;https://www.ncbi.nlm.nih.gov/pubmed/22574949&lt;/url&gt;&lt;/related-urls&gt;&lt;/urls&gt;&lt;custom2&gt;PMC3355057&lt;/custom2&gt;&lt;electronic-resource-num&gt;10.1186/1741-7015-10-47&lt;/electronic-resource-num&gt;&lt;/record&gt;&lt;/Cite&gt;&lt;/EndNote&gt;</w:instrText>
            </w:r>
            <w:r>
              <w:fldChar w:fldCharType="separate"/>
            </w:r>
            <w:r w:rsidR="002747EA" w:rsidRPr="002747EA">
              <w:rPr>
                <w:noProof/>
                <w:sz w:val="18"/>
                <w:vertAlign w:val="superscript"/>
              </w:rPr>
              <w:t>528</w:t>
            </w:r>
            <w:r>
              <w:fldChar w:fldCharType="end"/>
            </w:r>
          </w:p>
        </w:tc>
        <w:tc>
          <w:tcPr>
            <w:tcW w:w="2547" w:type="dxa"/>
          </w:tcPr>
          <w:p w14:paraId="04EC976B" w14:textId="77777777" w:rsidR="004A0E1A" w:rsidRPr="00C12274" w:rsidRDefault="004A0E1A" w:rsidP="004A0E1A">
            <w:pPr>
              <w:pStyle w:val="RCTstable"/>
            </w:pPr>
            <w:r>
              <w:t>Overweight and obese women</w:t>
            </w:r>
          </w:p>
        </w:tc>
        <w:tc>
          <w:tcPr>
            <w:tcW w:w="2982" w:type="dxa"/>
          </w:tcPr>
          <w:p w14:paraId="0379873E" w14:textId="660593FB" w:rsidR="004A0E1A" w:rsidRPr="00916B76" w:rsidRDefault="008E1F6E" w:rsidP="004A0E1A">
            <w:pPr>
              <w:pStyle w:val="RCTstable"/>
              <w:jc w:val="center"/>
            </w:pPr>
            <w:r>
              <w:t xml:space="preserve">MD </w:t>
            </w:r>
            <w:r w:rsidR="004A0E1A" w:rsidRPr="00916B76">
              <w:t>-2.21 kg (</w:t>
            </w:r>
            <w:r w:rsidR="004A0E1A">
              <w:t>-</w:t>
            </w:r>
            <w:r w:rsidR="004A0E1A" w:rsidRPr="00916B76">
              <w:t>2.86 kg</w:t>
            </w:r>
            <w:r w:rsidR="004A0E1A">
              <w:t xml:space="preserve"> to -1.59)</w:t>
            </w:r>
          </w:p>
        </w:tc>
        <w:tc>
          <w:tcPr>
            <w:tcW w:w="1134" w:type="dxa"/>
          </w:tcPr>
          <w:p w14:paraId="6845FECF" w14:textId="77777777" w:rsidR="004A0E1A" w:rsidRPr="008C6CCE" w:rsidRDefault="004A0E1A" w:rsidP="004A0E1A">
            <w:pPr>
              <w:pStyle w:val="RCTstable"/>
              <w:jc w:val="center"/>
            </w:pPr>
            <w:r>
              <w:t>10</w:t>
            </w:r>
          </w:p>
        </w:tc>
      </w:tr>
      <w:tr w:rsidR="00A5540F" w:rsidRPr="00B87066" w14:paraId="3EA48858" w14:textId="77777777" w:rsidTr="00A5540F">
        <w:tc>
          <w:tcPr>
            <w:tcW w:w="9504" w:type="dxa"/>
            <w:gridSpan w:val="4"/>
            <w:shd w:val="clear" w:color="auto" w:fill="D9E2F3" w:themeFill="accent1" w:themeFillTint="33"/>
          </w:tcPr>
          <w:p w14:paraId="7D519A97" w14:textId="77777777" w:rsidR="00A5540F" w:rsidRPr="00B87066" w:rsidRDefault="00A5540F" w:rsidP="00A5540F">
            <w:pPr>
              <w:pStyle w:val="RCTstable"/>
              <w:rPr>
                <w:i/>
              </w:rPr>
            </w:pPr>
            <w:r w:rsidRPr="00B87066">
              <w:rPr>
                <w:i/>
              </w:rPr>
              <w:t>Weight gain exceeding IOM guidelines</w:t>
            </w:r>
          </w:p>
        </w:tc>
      </w:tr>
      <w:tr w:rsidR="00A5540F" w:rsidRPr="00B87066" w14:paraId="09CC9E25" w14:textId="77777777" w:rsidTr="00A5540F">
        <w:tc>
          <w:tcPr>
            <w:tcW w:w="2841" w:type="dxa"/>
            <w:tcBorders>
              <w:bottom w:val="single" w:sz="4" w:space="0" w:color="3B3474"/>
            </w:tcBorders>
            <w:shd w:val="clear" w:color="auto" w:fill="F2F2F2" w:themeFill="background1" w:themeFillShade="F2"/>
          </w:tcPr>
          <w:p w14:paraId="490F6A9D"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6F79F049"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340405E6" w14:textId="24EE4402" w:rsidR="00A5540F" w:rsidRPr="00B87066" w:rsidRDefault="00A5540F" w:rsidP="00E01ACF">
            <w:pPr>
              <w:pStyle w:val="RCTstable"/>
              <w:jc w:val="center"/>
            </w:pPr>
            <w:r w:rsidRPr="00B87066">
              <w:rPr>
                <w:rStyle w:val="block"/>
                <w:bCs/>
              </w:rPr>
              <w:t>RR 0.8</w:t>
            </w:r>
            <w:r w:rsidR="00E01ACF">
              <w:rPr>
                <w:rStyle w:val="block"/>
                <w:bCs/>
              </w:rPr>
              <w:t>3</w:t>
            </w:r>
            <w:r w:rsidRPr="00B87066">
              <w:t xml:space="preserve"> </w:t>
            </w:r>
            <w:r w:rsidR="004627A3">
              <w:rPr>
                <w:rStyle w:val="cell"/>
              </w:rPr>
              <w:t>(0.78</w:t>
            </w:r>
            <w:r w:rsidRPr="00B87066">
              <w:rPr>
                <w:rStyle w:val="cell"/>
              </w:rPr>
              <w:t xml:space="preserve"> to 0.</w:t>
            </w:r>
            <w:r w:rsidR="00E01ACF">
              <w:rPr>
                <w:rStyle w:val="cell"/>
              </w:rPr>
              <w:t>89</w:t>
            </w:r>
            <w:r w:rsidRPr="00B87066">
              <w:rPr>
                <w:rStyle w:val="cell"/>
              </w:rPr>
              <w:t>)</w:t>
            </w:r>
          </w:p>
        </w:tc>
        <w:tc>
          <w:tcPr>
            <w:tcW w:w="1134" w:type="dxa"/>
            <w:tcBorders>
              <w:bottom w:val="single" w:sz="4" w:space="0" w:color="3B3474"/>
            </w:tcBorders>
            <w:shd w:val="clear" w:color="auto" w:fill="F2F2F2" w:themeFill="background1" w:themeFillShade="F2"/>
          </w:tcPr>
          <w:p w14:paraId="19631941" w14:textId="63B3B673" w:rsidR="00A5540F" w:rsidRPr="00B87066" w:rsidRDefault="00A5540F" w:rsidP="00A5540F">
            <w:pPr>
              <w:pStyle w:val="RCTstable"/>
              <w:jc w:val="center"/>
            </w:pPr>
            <w:r w:rsidRPr="00B87066">
              <w:t>2</w:t>
            </w:r>
            <w:r w:rsidR="00E01ACF">
              <w:t>9</w:t>
            </w:r>
          </w:p>
        </w:tc>
      </w:tr>
      <w:tr w:rsidR="00A5540F" w:rsidRPr="00B87066" w14:paraId="6508E143" w14:textId="77777777" w:rsidTr="00A5540F">
        <w:tc>
          <w:tcPr>
            <w:tcW w:w="2841" w:type="dxa"/>
            <w:shd w:val="clear" w:color="auto" w:fill="auto"/>
          </w:tcPr>
          <w:p w14:paraId="09DBA884" w14:textId="78946856"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4ADC96D6" w14:textId="77777777" w:rsidR="00A5540F" w:rsidRPr="00B87066" w:rsidRDefault="00A5540F" w:rsidP="00A5540F">
            <w:pPr>
              <w:pStyle w:val="RCTstable"/>
            </w:pPr>
            <w:r>
              <w:t>Low risk</w:t>
            </w:r>
          </w:p>
        </w:tc>
        <w:tc>
          <w:tcPr>
            <w:tcW w:w="2982" w:type="dxa"/>
            <w:shd w:val="clear" w:color="auto" w:fill="auto"/>
          </w:tcPr>
          <w:p w14:paraId="0B936324" w14:textId="77777777" w:rsidR="00A5540F" w:rsidRPr="00B87066" w:rsidRDefault="00A5540F" w:rsidP="00A5540F">
            <w:pPr>
              <w:pStyle w:val="RCTstable"/>
              <w:jc w:val="center"/>
            </w:pPr>
            <w:r>
              <w:t>RR 0.72 (0.55 to 0.95)</w:t>
            </w:r>
          </w:p>
        </w:tc>
        <w:tc>
          <w:tcPr>
            <w:tcW w:w="1134" w:type="dxa"/>
            <w:shd w:val="clear" w:color="auto" w:fill="auto"/>
          </w:tcPr>
          <w:p w14:paraId="304F15ED" w14:textId="77777777" w:rsidR="00A5540F" w:rsidRPr="00B87066" w:rsidRDefault="00A5540F" w:rsidP="00A5540F">
            <w:pPr>
              <w:pStyle w:val="RCTstable"/>
              <w:jc w:val="center"/>
            </w:pPr>
            <w:r>
              <w:t>2</w:t>
            </w:r>
          </w:p>
        </w:tc>
      </w:tr>
      <w:tr w:rsidR="00A5540F" w:rsidRPr="00C12274" w14:paraId="3AD8BA3E" w14:textId="77777777" w:rsidTr="00A5540F">
        <w:tc>
          <w:tcPr>
            <w:tcW w:w="2841" w:type="dxa"/>
          </w:tcPr>
          <w:p w14:paraId="20B6C213" w14:textId="3E605C2B" w:rsidR="00A5540F" w:rsidRPr="00916B76" w:rsidRDefault="00A5540F" w:rsidP="002747EA">
            <w:pPr>
              <w:pStyle w:val="RCTstable"/>
            </w:pPr>
            <w:r w:rsidRPr="00916B76">
              <w:t>O’Brien</w:t>
            </w:r>
            <w:r w:rsidR="00387849">
              <w:t xml:space="preserve"> et al 2016</w:t>
            </w:r>
            <w:r w:rsidR="00E51743">
              <w:fldChar w:fldCharType="begin">
                <w:fldData xml:space="preserve">PEVuZE5vdGU+PENpdGU+PEF1dGhvcj5PJmFwb3M7QnJpZW48L0F1dGhvcj48WWVhcj4yMDE2PC9Z
ZWFyPjxSZWNOdW0+MTI3MzwvUmVjTnVtPjxEaXNwbGF5VGV4dD48c3R5bGUgZmFjZT0ic3VwZXJz
Y3JpcHQiIGZvbnQ9IlRyZWJ1Y2hldCBNUyIgc2l6ZT0iOSI+NTIzPC9zdHlsZT48L0Rpc3BsYXlU
ZXh0PjxyZWNvcmQ+PHJlYy1udW1iZXI+MTI3MzwvcmVjLW51bWJlcj48Zm9yZWlnbi1rZXlzPjxr
ZXkgYXBwPSJFTiIgZGItaWQ9ImV4dmFzcmZ4MmR0cmFvZXNhc3hwMnN6c3hhMmRmNTAyNTkyeCIg
dGltZXN0YW1wPSIxNTYzMTYzNDcxIj4xMjczPC9rZXk+PGtleSBhcHA9IkVOV2ViIiBkYi1pZD0i
Ij4wPC9rZXk+PC9mb3JlaWduLWtleXM+PHJlZi10eXBlIG5hbWU9IkpvdXJuYWwgQXJ0aWNsZSI+
MTc8L3JlZi10eXBlPjxjb250cmlidXRvcnM+PGF1dGhvcnM+PGF1dGhvcj5PJmFwb3M7QnJpZW4s
IEMuIE0uPC9hdXRob3I+PGF1dGhvcj5Hcml2ZWxsLCBSLiBNLjwvYXV0aG9yPjxhdXRob3I+RG9k
ZCwgSi4gTS48L2F1dGhvcj48L2F1dGhvcnM+PC9jb250cmlidXRvcnM+PGF1dGgtYWRkcmVzcz5T
Y2hvb2wgb2YgUGFlZGlhdHJpY3MgYW5kIFJlcHJvZHVjdGl2ZSBIZWFsdGgsIGFuZCBSb2JpbnNv
biBSZXNlYXJjaCBJbnN0aXR1dGUsIFVuaXZlcnNpdHkgb2YgQWRlbGFpZGUsIE5vcnRoIEFkZWxh
aWRlLCBTb3V0aCBBdXN0cmFsaWEsIEF1c3RyYWxpYS4mI3hEO0RlcGFydG1lbnQgb2YgUGVyaW5h
dGFsIE1lZGljaW5lLCBXb21lbiZhcG9zO3MgYW5kIEJhYmllcyZhcG9zOyBEaXZpc2lvbiwgV29t
ZW4mYXBvcztzIGFuZCBDaGlsZHJlbiZhcG9zO3MgSG9zcGl0YWwsIE5vcnRoIEFkZWxhaWRlLCBT
b3V0aCBBdXN0cmFsaWEsIEF1c3RyYWxpYS48L2F1dGgtYWRkcmVzcz48dGl0bGVzPjx0aXRsZT5T
eXN0ZW1hdGljIHJldmlldyBvZiBhbnRlbmF0YWwgZGlldGFyeSBhbmQgbGlmZXN0eWxlIGludGVy
dmVudGlvbnMgaW4gd29tZW4gd2l0aCBhIG5vcm1hbCBib2R5IG1hc3MgaW5kZXg8L3RpdGxlPjxz
ZWNvbmRhcnktdGl0bGU+QWN0YSBPYnN0ZXQgR3luZWNvbCBTY2FuZDwvc2Vjb25kYXJ5LXRpdGxl
PjwvdGl0bGVzPjxwZXJpb2RpY2FsPjxmdWxsLXRpdGxlPkFjdGEgT2JzdGV0IEd5bmVjb2wgU2Nh
bmQ8L2Z1bGwtdGl0bGU+PC9wZXJpb2RpY2FsPjxwYWdlcz4yNTktNjk8L3BhZ2VzPjx2b2x1bWU+
OTU8L3ZvbHVtZT48bnVtYmVyPjM8L251bWJlcj48ZWRpdGlvbj4yMDE1LzExLzI3PC9lZGl0aW9u
PjxrZXl3b3Jkcz48a2V5d29yZD4qQm9keSBNYXNzIEluZGV4PC9rZXl3b3JkPjxrZXl3b3JkPipE
aWV0PC9rZXl3b3JkPjxrZXl3b3JkPkZlbWFsZTwva2V5d29yZD48a2V5d29yZD5IZWFsdGggUHJv
bW90aW9uLyptZXRob2RzPC9rZXl3b3JkPjxrZXl3b3JkPkh1bWFuczwva2V5d29yZD48a2V5d29y
ZD5IeXBlcnRlbnNpb24sIFByZWduYW5jeS1JbmR1Y2VkL3ByZXZlbnRpb24gJmFtcDsgY29udHJv
bDwva2V5d29yZD48a2V5d29yZD4qTGlmZSBTdHlsZTwva2V5d29yZD48a2V5d29yZD5Qb3N0cGFy
dHVtIFBlcmlvZDwva2V5d29yZD48a2V5d29yZD5QcmVnbmFuY3k8L2tleXdvcmQ+PGtleXdvcmQ+
UHJlbmF0YWwgQ2FyZS8qbWV0aG9kczwva2V5d29yZD48a2V5d29yZD5SYW5kb21pemVkIENvbnRy
b2xsZWQgVHJpYWxzIGFzIFRvcGljPC9rZXl3b3JkPjxrZXl3b3JkPldlaWdodCBHYWluPC9rZXl3
b3JkPjxrZXl3b3JkPkFudGVuYXRhbCBkaWV0YXJ5IGFuZCBsaWZlc3R5bGUgaW50ZXJ2ZW50aW9u
PC9rZXl3b3JkPjxrZXl3b3JkPmdlc3RhdGlvbmFsIHdlaWdodCBnYWluPC9rZXl3b3JkPjxrZXl3
b3JkPm1hdGVybmFsIGFuZCBpbmZhbnQgaGVhbHRoIG91dGNvbWVzPC9rZXl3b3JkPjxrZXl3b3Jk
PnBvc3RwYXJ0dW0gd2VpZ2h0IHJldGVudGlvbjwva2V5d29yZD48a2V5d29yZD5yYW5kb21pemVk
IGNvbnRyb2xsZWQgdHJpYWw8L2tleXdvcmQ+PGtleXdvcmQ+c3lzdGVtYXRpYyByZXZpZXc8L2tl
eXdvcmQ+PC9rZXl3b3Jkcz48ZGF0ZXM+PHllYXI+MjAxNjwveWVhcj48cHViLWRhdGVzPjxkYXRl
Pk1hcjwvZGF0ZT48L3B1Yi1kYXRlcz48L2RhdGVzPjxpc2JuPjE2MDAtMDQxMiAoRWxlY3Ryb25p
YykmI3hEOzAwMDEtNjM0OSAoTGlua2luZyk8L2lzYm4+PGFjY2Vzc2lvbi1udW0+MjY2MTAxNjk8
L2FjY2Vzc2lvbi1udW0+PHVybHM+PHJlbGF0ZWQtdXJscz48dXJsPmh0dHBzOi8vd3d3Lm5jYmku
bmxtLm5paC5nb3YvcHVibWVkLzI2NjEwMTY5PC91cmw+PC9yZWxhdGVkLXVybHM+PC91cmxzPjxl
bGVjdHJvbmljLXJlc291cmNlLW51bT4xMC4xMTExL2FvZ3MuMTI4Mjk8L2VsZWN0cm9uaWMtcmVz
b3VyY2UtbnVtPjwvcmVjb3JkPjwvQ2l0ZT48L0VuZE5vdGU+AG==
</w:fldData>
              </w:fldChar>
            </w:r>
            <w:r w:rsidR="002747EA">
              <w:instrText xml:space="preserve"> ADDIN EN.CITE </w:instrText>
            </w:r>
            <w:r w:rsidR="002747EA">
              <w:fldChar w:fldCharType="begin">
                <w:fldData xml:space="preserve">PEVuZE5vdGU+PENpdGU+PEF1dGhvcj5PJmFwb3M7QnJpZW48L0F1dGhvcj48WWVhcj4yMDE2PC9Z
ZWFyPjxSZWNOdW0+MTI3MzwvUmVjTnVtPjxEaXNwbGF5VGV4dD48c3R5bGUgZmFjZT0ic3VwZXJz
Y3JpcHQiIGZvbnQ9IlRyZWJ1Y2hldCBNUyIgc2l6ZT0iOSI+NTIzPC9zdHlsZT48L0Rpc3BsYXlU
ZXh0PjxyZWNvcmQ+PHJlYy1udW1iZXI+MTI3MzwvcmVjLW51bWJlcj48Zm9yZWlnbi1rZXlzPjxr
ZXkgYXBwPSJFTiIgZGItaWQ9ImV4dmFzcmZ4MmR0cmFvZXNhc3hwMnN6c3hhMmRmNTAyNTkyeCIg
dGltZXN0YW1wPSIxNTYzMTYzNDcxIj4xMjczPC9rZXk+PGtleSBhcHA9IkVOV2ViIiBkYi1pZD0i
Ij4wPC9rZXk+PC9mb3JlaWduLWtleXM+PHJlZi10eXBlIG5hbWU9IkpvdXJuYWwgQXJ0aWNsZSI+
MTc8L3JlZi10eXBlPjxjb250cmlidXRvcnM+PGF1dGhvcnM+PGF1dGhvcj5PJmFwb3M7QnJpZW4s
IEMuIE0uPC9hdXRob3I+PGF1dGhvcj5Hcml2ZWxsLCBSLiBNLjwvYXV0aG9yPjxhdXRob3I+RG9k
ZCwgSi4gTS48L2F1dGhvcj48L2F1dGhvcnM+PC9jb250cmlidXRvcnM+PGF1dGgtYWRkcmVzcz5T
Y2hvb2wgb2YgUGFlZGlhdHJpY3MgYW5kIFJlcHJvZHVjdGl2ZSBIZWFsdGgsIGFuZCBSb2JpbnNv
biBSZXNlYXJjaCBJbnN0aXR1dGUsIFVuaXZlcnNpdHkgb2YgQWRlbGFpZGUsIE5vcnRoIEFkZWxh
aWRlLCBTb3V0aCBBdXN0cmFsaWEsIEF1c3RyYWxpYS4mI3hEO0RlcGFydG1lbnQgb2YgUGVyaW5h
dGFsIE1lZGljaW5lLCBXb21lbiZhcG9zO3MgYW5kIEJhYmllcyZhcG9zOyBEaXZpc2lvbiwgV29t
ZW4mYXBvcztzIGFuZCBDaGlsZHJlbiZhcG9zO3MgSG9zcGl0YWwsIE5vcnRoIEFkZWxhaWRlLCBT
b3V0aCBBdXN0cmFsaWEsIEF1c3RyYWxpYS48L2F1dGgtYWRkcmVzcz48dGl0bGVzPjx0aXRsZT5T
eXN0ZW1hdGljIHJldmlldyBvZiBhbnRlbmF0YWwgZGlldGFyeSBhbmQgbGlmZXN0eWxlIGludGVy
dmVudGlvbnMgaW4gd29tZW4gd2l0aCBhIG5vcm1hbCBib2R5IG1hc3MgaW5kZXg8L3RpdGxlPjxz
ZWNvbmRhcnktdGl0bGU+QWN0YSBPYnN0ZXQgR3luZWNvbCBTY2FuZDwvc2Vjb25kYXJ5LXRpdGxl
PjwvdGl0bGVzPjxwZXJpb2RpY2FsPjxmdWxsLXRpdGxlPkFjdGEgT2JzdGV0IEd5bmVjb2wgU2Nh
bmQ8L2Z1bGwtdGl0bGU+PC9wZXJpb2RpY2FsPjxwYWdlcz4yNTktNjk8L3BhZ2VzPjx2b2x1bWU+
OTU8L3ZvbHVtZT48bnVtYmVyPjM8L251bWJlcj48ZWRpdGlvbj4yMDE1LzExLzI3PC9lZGl0aW9u
PjxrZXl3b3Jkcz48a2V5d29yZD4qQm9keSBNYXNzIEluZGV4PC9rZXl3b3JkPjxrZXl3b3JkPipE
aWV0PC9rZXl3b3JkPjxrZXl3b3JkPkZlbWFsZTwva2V5d29yZD48a2V5d29yZD5IZWFsdGggUHJv
bW90aW9uLyptZXRob2RzPC9rZXl3b3JkPjxrZXl3b3JkPkh1bWFuczwva2V5d29yZD48a2V5d29y
ZD5IeXBlcnRlbnNpb24sIFByZWduYW5jeS1JbmR1Y2VkL3ByZXZlbnRpb24gJmFtcDsgY29udHJv
bDwva2V5d29yZD48a2V5d29yZD4qTGlmZSBTdHlsZTwva2V5d29yZD48a2V5d29yZD5Qb3N0cGFy
dHVtIFBlcmlvZDwva2V5d29yZD48a2V5d29yZD5QcmVnbmFuY3k8L2tleXdvcmQ+PGtleXdvcmQ+
UHJlbmF0YWwgQ2FyZS8qbWV0aG9kczwva2V5d29yZD48a2V5d29yZD5SYW5kb21pemVkIENvbnRy
b2xsZWQgVHJpYWxzIGFzIFRvcGljPC9rZXl3b3JkPjxrZXl3b3JkPldlaWdodCBHYWluPC9rZXl3
b3JkPjxrZXl3b3JkPkFudGVuYXRhbCBkaWV0YXJ5IGFuZCBsaWZlc3R5bGUgaW50ZXJ2ZW50aW9u
PC9rZXl3b3JkPjxrZXl3b3JkPmdlc3RhdGlvbmFsIHdlaWdodCBnYWluPC9rZXl3b3JkPjxrZXl3
b3JkPm1hdGVybmFsIGFuZCBpbmZhbnQgaGVhbHRoIG91dGNvbWVzPC9rZXl3b3JkPjxrZXl3b3Jk
PnBvc3RwYXJ0dW0gd2VpZ2h0IHJldGVudGlvbjwva2V5d29yZD48a2V5d29yZD5yYW5kb21pemVk
IGNvbnRyb2xsZWQgdHJpYWw8L2tleXdvcmQ+PGtleXdvcmQ+c3lzdGVtYXRpYyByZXZpZXc8L2tl
eXdvcmQ+PC9rZXl3b3Jkcz48ZGF0ZXM+PHllYXI+MjAxNjwveWVhcj48cHViLWRhdGVzPjxkYXRl
Pk1hcjwvZGF0ZT48L3B1Yi1kYXRlcz48L2RhdGVzPjxpc2JuPjE2MDAtMDQxMiAoRWxlY3Ryb25p
YykmI3hEOzAwMDEtNjM0OSAoTGlua2luZyk8L2lzYm4+PGFjY2Vzc2lvbi1udW0+MjY2MTAxNjk8
L2FjY2Vzc2lvbi1udW0+PHVybHM+PHJlbGF0ZWQtdXJscz48dXJsPmh0dHBzOi8vd3d3Lm5jYmku
bmxtLm5paC5nb3YvcHVibWVkLzI2NjEwMTY5PC91cmw+PC9yZWxhdGVkLXVybHM+PC91cmxzPjxl
bGVjdHJvbmljLXJlc291cmNlLW51bT4xMC4xMTExL2FvZ3MuMTI4Mjk8L2VsZWN0cm9uaWMtcmVz
b3VyY2UtbnVtPjwvcmVjb3JkPjwvQ2l0ZT48L0VuZE5vdGU+AG==
</w:fldData>
              </w:fldChar>
            </w:r>
            <w:r w:rsidR="002747EA">
              <w:instrText xml:space="preserve"> ADDIN EN.CITE.DATA </w:instrText>
            </w:r>
            <w:r w:rsidR="002747EA">
              <w:fldChar w:fldCharType="end"/>
            </w:r>
            <w:r w:rsidR="00E51743">
              <w:fldChar w:fldCharType="separate"/>
            </w:r>
            <w:r w:rsidR="002747EA" w:rsidRPr="002747EA">
              <w:rPr>
                <w:noProof/>
                <w:sz w:val="18"/>
                <w:vertAlign w:val="superscript"/>
              </w:rPr>
              <w:t>523</w:t>
            </w:r>
            <w:r w:rsidR="00E51743">
              <w:fldChar w:fldCharType="end"/>
            </w:r>
          </w:p>
        </w:tc>
        <w:tc>
          <w:tcPr>
            <w:tcW w:w="2547" w:type="dxa"/>
          </w:tcPr>
          <w:p w14:paraId="1E401A9C" w14:textId="77777777" w:rsidR="00A5540F" w:rsidRDefault="00A5540F" w:rsidP="00A5540F">
            <w:pPr>
              <w:pStyle w:val="RCTstable"/>
            </w:pPr>
            <w:r>
              <w:t>BMI in normal range</w:t>
            </w:r>
          </w:p>
        </w:tc>
        <w:tc>
          <w:tcPr>
            <w:tcW w:w="2982" w:type="dxa"/>
          </w:tcPr>
          <w:p w14:paraId="1C49A5FF" w14:textId="77777777" w:rsidR="00A5540F" w:rsidRDefault="00A5540F" w:rsidP="00A5540F">
            <w:pPr>
              <w:pStyle w:val="RCTstable"/>
              <w:jc w:val="center"/>
            </w:pPr>
            <w:r>
              <w:t>RR 0.72 (0.60 to 0.86)</w:t>
            </w:r>
          </w:p>
        </w:tc>
        <w:tc>
          <w:tcPr>
            <w:tcW w:w="1134" w:type="dxa"/>
          </w:tcPr>
          <w:p w14:paraId="5071DA83" w14:textId="77777777" w:rsidR="00A5540F" w:rsidRDefault="00A5540F" w:rsidP="00A5540F">
            <w:pPr>
              <w:pStyle w:val="RCTstable"/>
              <w:jc w:val="center"/>
            </w:pPr>
            <w:r>
              <w:t>5</w:t>
            </w:r>
          </w:p>
        </w:tc>
      </w:tr>
      <w:tr w:rsidR="00A5540F" w:rsidRPr="00B87066" w14:paraId="2263FCD8" w14:textId="77777777" w:rsidTr="00A5540F">
        <w:tc>
          <w:tcPr>
            <w:tcW w:w="2841" w:type="dxa"/>
            <w:shd w:val="clear" w:color="auto" w:fill="auto"/>
          </w:tcPr>
          <w:p w14:paraId="276DB085" w14:textId="3A2F1F6D"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3619A98C" w14:textId="77777777" w:rsidR="00A5540F" w:rsidRPr="00B87066" w:rsidRDefault="00A5540F" w:rsidP="00A5540F">
            <w:pPr>
              <w:pStyle w:val="RCTstable"/>
            </w:pPr>
            <w:r>
              <w:t>Mixed risk</w:t>
            </w:r>
          </w:p>
        </w:tc>
        <w:tc>
          <w:tcPr>
            <w:tcW w:w="2982" w:type="dxa"/>
            <w:shd w:val="clear" w:color="auto" w:fill="auto"/>
          </w:tcPr>
          <w:p w14:paraId="118A216D" w14:textId="77777777" w:rsidR="00A5540F" w:rsidRPr="00B87066" w:rsidRDefault="00A5540F" w:rsidP="00A5540F">
            <w:pPr>
              <w:pStyle w:val="RCTstable"/>
              <w:jc w:val="center"/>
            </w:pPr>
            <w:r>
              <w:t>RR 0.98 (0.83 to 1.15)</w:t>
            </w:r>
          </w:p>
        </w:tc>
        <w:tc>
          <w:tcPr>
            <w:tcW w:w="1134" w:type="dxa"/>
            <w:shd w:val="clear" w:color="auto" w:fill="auto"/>
          </w:tcPr>
          <w:p w14:paraId="7B310399" w14:textId="77777777" w:rsidR="00A5540F" w:rsidRPr="00B87066" w:rsidRDefault="00A5540F" w:rsidP="00A5540F">
            <w:pPr>
              <w:pStyle w:val="RCTstable"/>
              <w:jc w:val="center"/>
            </w:pPr>
            <w:r>
              <w:t>1</w:t>
            </w:r>
          </w:p>
        </w:tc>
      </w:tr>
      <w:tr w:rsidR="00B1692B" w:rsidRPr="00C12274" w14:paraId="650501CD" w14:textId="77777777" w:rsidTr="00A5540F">
        <w:tc>
          <w:tcPr>
            <w:tcW w:w="2841" w:type="dxa"/>
          </w:tcPr>
          <w:p w14:paraId="6A015567" w14:textId="252E114B" w:rsidR="00B1692B" w:rsidRPr="00916B76" w:rsidRDefault="00B1692B" w:rsidP="002747EA">
            <w:pPr>
              <w:pStyle w:val="RCTstable"/>
            </w:pPr>
            <w:r>
              <w:t>Ruchat et al 2018</w:t>
            </w:r>
            <w:r w:rsidR="00D07346">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instrText xml:space="preserve"> ADDIN EN.CITE </w:instrText>
            </w:r>
            <w:r w:rsidR="002747EA">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465</w:t>
            </w:r>
            <w:r w:rsidR="00D07346">
              <w:fldChar w:fldCharType="end"/>
            </w:r>
          </w:p>
        </w:tc>
        <w:tc>
          <w:tcPr>
            <w:tcW w:w="2547" w:type="dxa"/>
          </w:tcPr>
          <w:p w14:paraId="503642FC" w14:textId="387C7BAA" w:rsidR="00B1692B" w:rsidRDefault="00B1692B" w:rsidP="00A5540F">
            <w:pPr>
              <w:pStyle w:val="RCTstable"/>
            </w:pPr>
            <w:r>
              <w:t>Mixed risk</w:t>
            </w:r>
          </w:p>
        </w:tc>
        <w:tc>
          <w:tcPr>
            <w:tcW w:w="2982" w:type="dxa"/>
          </w:tcPr>
          <w:p w14:paraId="4CB48CF8" w14:textId="2A754138" w:rsidR="00B1692B" w:rsidRDefault="00B1692B" w:rsidP="00A5540F">
            <w:pPr>
              <w:pStyle w:val="RCTstable"/>
              <w:jc w:val="center"/>
            </w:pPr>
            <w:r>
              <w:t>RR 0.66 (0.54 to 0.82)</w:t>
            </w:r>
          </w:p>
        </w:tc>
        <w:tc>
          <w:tcPr>
            <w:tcW w:w="1134" w:type="dxa"/>
          </w:tcPr>
          <w:p w14:paraId="4590F49D" w14:textId="6F53BBC9" w:rsidR="00B1692B" w:rsidRDefault="00B1692B" w:rsidP="00A5540F">
            <w:pPr>
              <w:pStyle w:val="RCTstable"/>
              <w:jc w:val="center"/>
            </w:pPr>
            <w:r>
              <w:t>19</w:t>
            </w:r>
          </w:p>
        </w:tc>
      </w:tr>
      <w:tr w:rsidR="00A5540F" w:rsidRPr="00C12274" w14:paraId="7D5F225F" w14:textId="77777777" w:rsidTr="00A5540F">
        <w:tc>
          <w:tcPr>
            <w:tcW w:w="2841" w:type="dxa"/>
          </w:tcPr>
          <w:p w14:paraId="70E7B279" w14:textId="3147C651"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Pr>
          <w:p w14:paraId="03B6BB28" w14:textId="77777777" w:rsidR="00A5540F" w:rsidRDefault="00A5540F" w:rsidP="00A5540F">
            <w:pPr>
              <w:pStyle w:val="RCTstable"/>
            </w:pPr>
            <w:r>
              <w:t>Mixed BMIs</w:t>
            </w:r>
          </w:p>
        </w:tc>
        <w:tc>
          <w:tcPr>
            <w:tcW w:w="2982" w:type="dxa"/>
          </w:tcPr>
          <w:p w14:paraId="14368FED" w14:textId="77777777" w:rsidR="00A5540F" w:rsidRDefault="00A5540F" w:rsidP="00A5540F">
            <w:pPr>
              <w:pStyle w:val="RCTstable"/>
              <w:jc w:val="center"/>
            </w:pPr>
            <w:r>
              <w:t>RR 0.87 (0.79 to 0.96)</w:t>
            </w:r>
          </w:p>
        </w:tc>
        <w:tc>
          <w:tcPr>
            <w:tcW w:w="1134" w:type="dxa"/>
          </w:tcPr>
          <w:p w14:paraId="0C3C38E3" w14:textId="77777777" w:rsidR="00A5540F" w:rsidRDefault="00A5540F" w:rsidP="00A5540F">
            <w:pPr>
              <w:pStyle w:val="RCTstable"/>
              <w:jc w:val="center"/>
            </w:pPr>
            <w:r>
              <w:t>11</w:t>
            </w:r>
          </w:p>
        </w:tc>
      </w:tr>
      <w:tr w:rsidR="00A5540F" w:rsidRPr="00C12274" w14:paraId="5724FE1A" w14:textId="77777777" w:rsidTr="00A5540F">
        <w:tc>
          <w:tcPr>
            <w:tcW w:w="2841" w:type="dxa"/>
          </w:tcPr>
          <w:p w14:paraId="45B68269" w14:textId="54E1C685" w:rsidR="00A5540F" w:rsidRPr="00916B76" w:rsidRDefault="00A5540F" w:rsidP="002747EA">
            <w:pPr>
              <w:pStyle w:val="RCTstable"/>
            </w:pPr>
            <w:r w:rsidRPr="00916B76">
              <w:t>Thangaratinam</w:t>
            </w:r>
            <w:r>
              <w:t xml:space="preserve"> 2012a</w:t>
            </w:r>
            <w: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 </w:instrText>
            </w:r>
            <w:r w:rsidR="002747EA">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411</w:t>
            </w:r>
            <w:r>
              <w:fldChar w:fldCharType="end"/>
            </w:r>
          </w:p>
        </w:tc>
        <w:tc>
          <w:tcPr>
            <w:tcW w:w="2547" w:type="dxa"/>
          </w:tcPr>
          <w:p w14:paraId="05B5BF34" w14:textId="77777777" w:rsidR="00A5540F" w:rsidRPr="00C12274" w:rsidRDefault="00A5540F" w:rsidP="00A5540F">
            <w:pPr>
              <w:pStyle w:val="RCTstable"/>
            </w:pPr>
            <w:r>
              <w:t>Mixed BMIs</w:t>
            </w:r>
          </w:p>
        </w:tc>
        <w:tc>
          <w:tcPr>
            <w:tcW w:w="2982" w:type="dxa"/>
          </w:tcPr>
          <w:p w14:paraId="2874E531" w14:textId="77777777" w:rsidR="00A5540F" w:rsidRPr="00586D62" w:rsidRDefault="00A5540F" w:rsidP="00A5540F">
            <w:pPr>
              <w:pStyle w:val="RCTstable"/>
              <w:jc w:val="center"/>
            </w:pPr>
            <w:r>
              <w:t>RR 0.92</w:t>
            </w:r>
            <w:r w:rsidRPr="00586D62">
              <w:t xml:space="preserve"> (</w:t>
            </w:r>
            <w:r>
              <w:t>0.49 to 1.72</w:t>
            </w:r>
            <w:r w:rsidRPr="00586D62">
              <w:t>)</w:t>
            </w:r>
          </w:p>
        </w:tc>
        <w:tc>
          <w:tcPr>
            <w:tcW w:w="1134" w:type="dxa"/>
          </w:tcPr>
          <w:p w14:paraId="27893E3A" w14:textId="77777777" w:rsidR="00A5540F" w:rsidRPr="008C6CCE" w:rsidRDefault="00A5540F" w:rsidP="00A5540F">
            <w:pPr>
              <w:pStyle w:val="RCTstable"/>
              <w:jc w:val="center"/>
            </w:pPr>
            <w:r>
              <w:t>2</w:t>
            </w:r>
          </w:p>
        </w:tc>
      </w:tr>
      <w:tr w:rsidR="00A5540F" w:rsidRPr="00C12274" w14:paraId="6E321F31" w14:textId="77777777" w:rsidTr="00A5540F">
        <w:tc>
          <w:tcPr>
            <w:tcW w:w="2841" w:type="dxa"/>
          </w:tcPr>
          <w:p w14:paraId="41350CC7" w14:textId="20358CBF" w:rsidR="00A5540F" w:rsidRPr="00916B76" w:rsidRDefault="00A5540F" w:rsidP="002747EA">
            <w:pPr>
              <w:pStyle w:val="RCTstable"/>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Pr>
          <w:p w14:paraId="2B380643" w14:textId="77777777" w:rsidR="00A5540F" w:rsidRDefault="00A5540F" w:rsidP="00A5540F">
            <w:pPr>
              <w:pStyle w:val="RCTstable"/>
            </w:pPr>
            <w:r>
              <w:t>Mixed BMIs</w:t>
            </w:r>
          </w:p>
        </w:tc>
        <w:tc>
          <w:tcPr>
            <w:tcW w:w="2982" w:type="dxa"/>
          </w:tcPr>
          <w:p w14:paraId="1F54F542" w14:textId="77777777" w:rsidR="00A5540F" w:rsidRDefault="00A5540F" w:rsidP="00A5540F">
            <w:pPr>
              <w:pStyle w:val="RCTstable"/>
              <w:jc w:val="center"/>
            </w:pPr>
            <w:r>
              <w:t>RR 0.89 (0.71 to 1.13)</w:t>
            </w:r>
          </w:p>
        </w:tc>
        <w:tc>
          <w:tcPr>
            <w:tcW w:w="1134" w:type="dxa"/>
          </w:tcPr>
          <w:p w14:paraId="1951B24E" w14:textId="77777777" w:rsidR="00A5540F" w:rsidRDefault="00A5540F" w:rsidP="00A5540F">
            <w:pPr>
              <w:pStyle w:val="RCTstable"/>
              <w:jc w:val="center"/>
            </w:pPr>
            <w:r>
              <w:t>4</w:t>
            </w:r>
          </w:p>
        </w:tc>
      </w:tr>
      <w:tr w:rsidR="00A5540F" w:rsidRPr="00B87066" w14:paraId="7A7CC144" w14:textId="77777777" w:rsidTr="00A5540F">
        <w:tc>
          <w:tcPr>
            <w:tcW w:w="2841" w:type="dxa"/>
            <w:tcBorders>
              <w:bottom w:val="single" w:sz="4" w:space="0" w:color="3B3474"/>
            </w:tcBorders>
            <w:shd w:val="clear" w:color="auto" w:fill="auto"/>
          </w:tcPr>
          <w:p w14:paraId="13E3983C" w14:textId="3DD4F896"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tcBorders>
              <w:bottom w:val="single" w:sz="4" w:space="0" w:color="3B3474"/>
            </w:tcBorders>
            <w:shd w:val="clear" w:color="auto" w:fill="auto"/>
          </w:tcPr>
          <w:p w14:paraId="1D53EBF9" w14:textId="77777777" w:rsidR="00A5540F" w:rsidRPr="00B87066" w:rsidRDefault="00A5540F" w:rsidP="00A5540F">
            <w:pPr>
              <w:pStyle w:val="RCTstable"/>
            </w:pPr>
            <w:r>
              <w:t>High risk</w:t>
            </w:r>
          </w:p>
        </w:tc>
        <w:tc>
          <w:tcPr>
            <w:tcW w:w="2982" w:type="dxa"/>
            <w:tcBorders>
              <w:bottom w:val="single" w:sz="4" w:space="0" w:color="3B3474"/>
            </w:tcBorders>
            <w:shd w:val="clear" w:color="auto" w:fill="auto"/>
          </w:tcPr>
          <w:p w14:paraId="37906F72" w14:textId="77777777" w:rsidR="00A5540F" w:rsidRPr="00B87066" w:rsidRDefault="00A5540F" w:rsidP="00A5540F">
            <w:pPr>
              <w:pStyle w:val="RCTstable"/>
              <w:jc w:val="center"/>
            </w:pPr>
            <w:r>
              <w:t>RR 0.85 (0.71 to 1.02)</w:t>
            </w:r>
          </w:p>
        </w:tc>
        <w:tc>
          <w:tcPr>
            <w:tcW w:w="1134" w:type="dxa"/>
            <w:tcBorders>
              <w:bottom w:val="single" w:sz="4" w:space="0" w:color="3B3474"/>
            </w:tcBorders>
            <w:shd w:val="clear" w:color="auto" w:fill="auto"/>
          </w:tcPr>
          <w:p w14:paraId="3B1046E6" w14:textId="77777777" w:rsidR="00A5540F" w:rsidRPr="00B87066" w:rsidRDefault="00A5540F" w:rsidP="00A5540F">
            <w:pPr>
              <w:pStyle w:val="RCTstable"/>
              <w:jc w:val="center"/>
            </w:pPr>
            <w:r>
              <w:t>9</w:t>
            </w:r>
          </w:p>
        </w:tc>
      </w:tr>
      <w:tr w:rsidR="00A5540F" w:rsidRPr="00FC0771" w14:paraId="254FBB85" w14:textId="77777777" w:rsidTr="00A5540F">
        <w:tc>
          <w:tcPr>
            <w:tcW w:w="9504" w:type="dxa"/>
            <w:gridSpan w:val="4"/>
            <w:shd w:val="clear" w:color="auto" w:fill="D9E2F3" w:themeFill="accent1" w:themeFillTint="33"/>
          </w:tcPr>
          <w:p w14:paraId="1F0F3422" w14:textId="77777777" w:rsidR="00A5540F" w:rsidRPr="00FC0771" w:rsidRDefault="00A5540F" w:rsidP="00A5540F">
            <w:pPr>
              <w:pStyle w:val="RCTstable"/>
              <w:rPr>
                <w:i/>
              </w:rPr>
            </w:pPr>
            <w:r w:rsidRPr="00FC0771">
              <w:rPr>
                <w:i/>
              </w:rPr>
              <w:t>Gestational diabetes</w:t>
            </w:r>
          </w:p>
        </w:tc>
      </w:tr>
      <w:tr w:rsidR="00A5540F" w:rsidRPr="00B87066" w14:paraId="4FF37B70" w14:textId="77777777" w:rsidTr="00A5540F">
        <w:tc>
          <w:tcPr>
            <w:tcW w:w="2841" w:type="dxa"/>
            <w:tcBorders>
              <w:bottom w:val="single" w:sz="4" w:space="0" w:color="3B3474"/>
            </w:tcBorders>
            <w:shd w:val="clear" w:color="auto" w:fill="F2F2F2" w:themeFill="background1" w:themeFillShade="F2"/>
          </w:tcPr>
          <w:p w14:paraId="7ED99582"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7C49A544"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30562A73" w14:textId="1AE4A1BA" w:rsidR="00A5540F" w:rsidRPr="00B87066" w:rsidRDefault="00A5540F" w:rsidP="00E01ACF">
            <w:pPr>
              <w:pStyle w:val="RCTstable"/>
              <w:jc w:val="center"/>
            </w:pPr>
            <w:r w:rsidRPr="00B87066">
              <w:rPr>
                <w:rStyle w:val="block"/>
                <w:bCs/>
              </w:rPr>
              <w:t>RR 0.</w:t>
            </w:r>
            <w:r w:rsidR="00E01ACF">
              <w:rPr>
                <w:rStyle w:val="block"/>
                <w:bCs/>
              </w:rPr>
              <w:t>90</w:t>
            </w:r>
            <w:r w:rsidR="00E01ACF" w:rsidRPr="00B87066">
              <w:t xml:space="preserve"> </w:t>
            </w:r>
            <w:r w:rsidR="00690F45">
              <w:rPr>
                <w:rStyle w:val="cell"/>
              </w:rPr>
              <w:t>(0.</w:t>
            </w:r>
            <w:r w:rsidR="00E01ACF">
              <w:rPr>
                <w:rStyle w:val="cell"/>
              </w:rPr>
              <w:t>81</w:t>
            </w:r>
            <w:r w:rsidR="00690F45">
              <w:rPr>
                <w:rStyle w:val="cell"/>
              </w:rPr>
              <w:t xml:space="preserve"> to 1.01</w:t>
            </w:r>
            <w:r w:rsidRPr="00B87066">
              <w:rPr>
                <w:rStyle w:val="cell"/>
              </w:rPr>
              <w:t>)</w:t>
            </w:r>
          </w:p>
        </w:tc>
        <w:tc>
          <w:tcPr>
            <w:tcW w:w="1134" w:type="dxa"/>
            <w:tcBorders>
              <w:bottom w:val="single" w:sz="4" w:space="0" w:color="3B3474"/>
            </w:tcBorders>
            <w:shd w:val="clear" w:color="auto" w:fill="F2F2F2" w:themeFill="background1" w:themeFillShade="F2"/>
          </w:tcPr>
          <w:p w14:paraId="74A74448" w14:textId="501D0C7C" w:rsidR="00A5540F" w:rsidRPr="00B87066" w:rsidRDefault="00690F45" w:rsidP="00A5540F">
            <w:pPr>
              <w:pStyle w:val="RCTstable"/>
              <w:jc w:val="center"/>
            </w:pPr>
            <w:r>
              <w:t>2</w:t>
            </w:r>
            <w:r w:rsidR="00E01ACF">
              <w:t>6</w:t>
            </w:r>
          </w:p>
        </w:tc>
      </w:tr>
      <w:tr w:rsidR="00A5540F" w:rsidRPr="00B87066" w14:paraId="69874ED3" w14:textId="77777777" w:rsidTr="00A5540F">
        <w:tc>
          <w:tcPr>
            <w:tcW w:w="2841" w:type="dxa"/>
            <w:shd w:val="clear" w:color="auto" w:fill="auto"/>
          </w:tcPr>
          <w:p w14:paraId="4AD34623" w14:textId="754ADC97" w:rsidR="00A5540F" w:rsidRPr="00B87066" w:rsidRDefault="00A5540F" w:rsidP="002747EA">
            <w:pPr>
              <w:pStyle w:val="RCTstable"/>
            </w:pPr>
            <w:r w:rsidRPr="00B87066">
              <w:t>Benne</w:t>
            </w:r>
            <w:r>
              <w:t>t</w:t>
            </w:r>
            <w:r w:rsidRPr="00B87066">
              <w:t>t et al 2018</w:t>
            </w:r>
            <w:r w:rsidRPr="00B87066">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rsidRPr="00B87066">
              <w:fldChar w:fldCharType="separate"/>
            </w:r>
            <w:r w:rsidR="002747EA" w:rsidRPr="002747EA">
              <w:rPr>
                <w:noProof/>
                <w:sz w:val="18"/>
                <w:vertAlign w:val="superscript"/>
              </w:rPr>
              <w:t>418</w:t>
            </w:r>
            <w:r w:rsidRPr="00B87066">
              <w:fldChar w:fldCharType="end"/>
            </w:r>
          </w:p>
        </w:tc>
        <w:tc>
          <w:tcPr>
            <w:tcW w:w="2547" w:type="dxa"/>
            <w:shd w:val="clear" w:color="auto" w:fill="auto"/>
          </w:tcPr>
          <w:p w14:paraId="26368D60" w14:textId="77777777" w:rsidR="00A5540F" w:rsidRPr="00B87066" w:rsidRDefault="00A5540F" w:rsidP="00A5540F">
            <w:pPr>
              <w:pStyle w:val="RCTstable"/>
            </w:pPr>
            <w:r w:rsidRPr="00B87066">
              <w:t>Normal weight range</w:t>
            </w:r>
          </w:p>
        </w:tc>
        <w:tc>
          <w:tcPr>
            <w:tcW w:w="2982" w:type="dxa"/>
            <w:shd w:val="clear" w:color="auto" w:fill="auto"/>
          </w:tcPr>
          <w:p w14:paraId="15DA5B7E" w14:textId="77777777" w:rsidR="00A5540F" w:rsidRPr="00B87066" w:rsidRDefault="00A5540F" w:rsidP="00A5540F">
            <w:pPr>
              <w:pStyle w:val="RCTstable"/>
              <w:jc w:val="center"/>
              <w:rPr>
                <w:rStyle w:val="block"/>
                <w:bCs/>
              </w:rPr>
            </w:pPr>
            <w:r w:rsidRPr="00B87066">
              <w:rPr>
                <w:rStyle w:val="block"/>
                <w:bCs/>
              </w:rPr>
              <w:t>RR 0.79 (0.51 to 1.22)</w:t>
            </w:r>
          </w:p>
        </w:tc>
        <w:tc>
          <w:tcPr>
            <w:tcW w:w="1134" w:type="dxa"/>
            <w:shd w:val="clear" w:color="auto" w:fill="auto"/>
          </w:tcPr>
          <w:p w14:paraId="74F4AC6A" w14:textId="77777777" w:rsidR="00A5540F" w:rsidRPr="00B87066" w:rsidRDefault="00A5540F" w:rsidP="00A5540F">
            <w:pPr>
              <w:pStyle w:val="RCTstable"/>
              <w:jc w:val="center"/>
            </w:pPr>
            <w:r w:rsidRPr="00B87066">
              <w:t>4</w:t>
            </w:r>
          </w:p>
        </w:tc>
      </w:tr>
      <w:tr w:rsidR="002345B7" w:rsidRPr="00C12274" w14:paraId="0A223D92" w14:textId="77777777" w:rsidTr="00A62BCD">
        <w:tc>
          <w:tcPr>
            <w:tcW w:w="2841" w:type="dxa"/>
          </w:tcPr>
          <w:p w14:paraId="40DBF50B" w14:textId="56D5E144" w:rsidR="002345B7" w:rsidRDefault="002345B7" w:rsidP="002747EA">
            <w:pPr>
              <w:pStyle w:val="RCTstable"/>
              <w:rPr>
                <w:noProof/>
              </w:rPr>
            </w:pPr>
            <w:r>
              <w:rPr>
                <w:noProof/>
              </w:rPr>
              <w:t>Davenport et al 2018a</w:t>
            </w:r>
            <w:r w:rsidR="00D07346">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466</w:t>
            </w:r>
            <w:r w:rsidR="00D07346">
              <w:rPr>
                <w:noProof/>
              </w:rPr>
              <w:fldChar w:fldCharType="end"/>
            </w:r>
          </w:p>
        </w:tc>
        <w:tc>
          <w:tcPr>
            <w:tcW w:w="2547" w:type="dxa"/>
          </w:tcPr>
          <w:p w14:paraId="515485EE" w14:textId="6E7287A5" w:rsidR="002345B7" w:rsidRDefault="002345B7" w:rsidP="00A62BCD">
            <w:pPr>
              <w:pStyle w:val="RCTstable"/>
            </w:pPr>
            <w:r>
              <w:t>Mixed BMIs</w:t>
            </w:r>
          </w:p>
        </w:tc>
        <w:tc>
          <w:tcPr>
            <w:tcW w:w="2982" w:type="dxa"/>
          </w:tcPr>
          <w:p w14:paraId="32A2DA9F" w14:textId="0DF76544" w:rsidR="002345B7" w:rsidRDefault="002345B7" w:rsidP="004F111C">
            <w:pPr>
              <w:pStyle w:val="RCTstable"/>
              <w:jc w:val="center"/>
              <w:rPr>
                <w:rFonts w:eastAsiaTheme="majorEastAsia"/>
              </w:rPr>
            </w:pPr>
            <w:r>
              <w:rPr>
                <w:rFonts w:eastAsiaTheme="majorEastAsia"/>
              </w:rPr>
              <w:t>RR 0.90 (0.74 to 1.10)</w:t>
            </w:r>
          </w:p>
        </w:tc>
        <w:tc>
          <w:tcPr>
            <w:tcW w:w="1134" w:type="dxa"/>
          </w:tcPr>
          <w:p w14:paraId="2CA9D377" w14:textId="66F49D7E" w:rsidR="002345B7" w:rsidRDefault="002345B7" w:rsidP="00A62BCD">
            <w:pPr>
              <w:pStyle w:val="RCTstable"/>
              <w:jc w:val="center"/>
            </w:pPr>
            <w:r>
              <w:t>22</w:t>
            </w:r>
          </w:p>
        </w:tc>
      </w:tr>
      <w:tr w:rsidR="004F111C" w:rsidRPr="00C12274" w14:paraId="24F73271" w14:textId="77777777" w:rsidTr="00A62BCD">
        <w:tc>
          <w:tcPr>
            <w:tcW w:w="2841" w:type="dxa"/>
          </w:tcPr>
          <w:p w14:paraId="0D85E721" w14:textId="69D6D1FE" w:rsidR="004F111C" w:rsidRPr="00C12274" w:rsidRDefault="004F111C" w:rsidP="002747EA">
            <w:pPr>
              <w:pStyle w:val="RCTstable"/>
              <w:rPr>
                <w:noProof/>
              </w:rPr>
            </w:pPr>
            <w:r>
              <w:rPr>
                <w:noProof/>
              </w:rPr>
              <w:t>Guo et al 2019</w:t>
            </w:r>
            <w:r w:rsidR="00767EBF">
              <w:rPr>
                <w:noProof/>
              </w:rPr>
              <w:fldChar w:fldCharType="begin">
                <w:fldData xml:space="preserve">PEVuZE5vdGU+PENpdGU+PEF1dGhvcj5HdW88L0F1dGhvcj48WWVhcj4yMDE5PC9ZZWFyPjxSZWNO
dW0+MTQyMDwvUmVjTnVtPjxEaXNwbGF5VGV4dD48c3R5bGUgZmFjZT0ic3VwZXJzY3JpcHQiIGZv
bnQ9IlRyZWJ1Y2hldCBNUyIgc2l6ZT0iOSI+NDE5PC9zdHlsZT48L0Rpc3BsYXlUZXh0PjxyZWNv
cmQ+PHJlYy1udW1iZXI+MTQyMDwvcmVjLW51bWJlcj48Zm9yZWlnbi1rZXlzPjxrZXkgYXBwPSJF
TiIgZGItaWQ9ImV4dmFzcmZ4MmR0cmFvZXNhc3hwMnN6c3hhMmRmNTAyNTkyeCIgdGltZXN0YW1w
PSIxNTY4MzUxOTY0Ij4xNDIwPC9rZXk+PC9mb3JlaWduLWtleXM+PHJlZi10eXBlIG5hbWU9Ikpv
dXJuYWwgQXJ0aWNsZSI+MTc8L3JlZi10eXBlPjxjb250cmlidXRvcnM+PGF1dGhvcnM+PGF1dGhv
cj5HdW8sIFguIFkuPC9hdXRob3I+PGF1dGhvcj5TaHUsIEouPC9hdXRob3I+PGF1dGhvcj5GdSwg
WC4gSC48L2F1dGhvcj48YXV0aG9yPkNoZW4sIFguIFAuPC9hdXRob3I+PGF1dGhvcj5aaGFuZywg
TC48L2F1dGhvcj48YXV0aG9yPkppLCBNLiBYLjwvYXV0aG9yPjxhdXRob3I+TGl1LCBYLiBNLjwv
YXV0aG9yPjxhdXRob3I+WXUsIFQuIFQuPC9hdXRob3I+PGF1dGhvcj5TaGVuZywgSi4gWi48L2F1
dGhvcj48YXV0aG9yPkh1YW5nLCBILiBGLjwvYXV0aG9yPjwvYXV0aG9ycz48L2NvbnRyaWJ1dG9y
cz48YXV0aC1hZGRyZXNzPkRlcGFydG1lbnQgb2YgUmVwcm9kdWN0aXZlIEVuZG9jcmlub2xvZ3ks
IFpoZWppYW5nIFByb3ZpbmNpYWwgUGVvcGxlJmFwb3M7cyBIb3NwaXRhbCwgUGVvcGxlJmFwb3M7
cyBIb3NwaXRhbCBvZiBIYW5nemhvdSBNZWRpY2FsIENvbGxlZ2UsIEhhbmd6aG91LCBDaGluYS4m
I3hEO0ludGVybmF0aW9uYWwgUGVhY2UgTWF0ZXJuaXR5IGFuZCBDaGlsZCBIZWFsdGggSG9zcGl0
YWwsIFNjaG9vbCBvZiBNZWRpY2luZSwgU2hhbmdoYWkgSmlhbyBUb25nIFVuaXZlcnNpdHksIFNo
YW5naGFpLCBDaGluYS4mI3hEO0luc3RpdHV0ZSBvZiBFbWJyeW8tRmV0YWwgT3JpZ2luYWwgQWR1
bHQgRGlzZWFzZSwgU2Nob29sIG9mIE1lZGljaW5lLCBTaGFuZ2hhaSBKaWFvIFRvbmcgVW5pdmVy
c2l0eSwgU2hhbmdoYWksIENoaW5hLiYjeEQ7RGVwYXJ0bWVudCBvZiBQYXRob3BoeXNpb2xvZ3ks
IFNjaG9vbCBvZiBNZWRpY2luZSwgWmhlamlhbmcgVW5pdmVyc2l0eSwgSGFuZ3pob3UsIENoaW5h
LjwvYXV0aC1hZGRyZXNzPjx0aXRsZXM+PHRpdGxlPkltcHJvdmluZyB0aGUgZWZmZWN0aXZlbmVz
cyBvZiBsaWZlc3R5bGUgaW50ZXJ2ZW50aW9ucyBmb3IgZ2VzdGF0aW9uYWwgZGlhYmV0ZXMgcHJl
dmVudGlvbjogYSBtZXRhLWFuYWx5c2lzIGFuZCBtZXRhLXJlZ3Jlc3Npb248L3RpdGxlPjxzZWNv
bmRhcnktdGl0bGU+QkpPRzwvc2Vjb25kYXJ5LXRpdGxlPjwvdGl0bGVzPjxwZXJpb2RpY2FsPjxm
dWxsLXRpdGxlPkJKT0c8L2Z1bGwtdGl0bGU+PC9wZXJpb2RpY2FsPjxwYWdlcz4zMTEtMzIwPC9w
YWdlcz48dm9sdW1lPjEyNjwvdm9sdW1lPjxudW1iZXI+MzwvbnVtYmVyPjxlZGl0aW9uPjIwMTgv
MDkvMTU8L2VkaXRpb24+PGtleXdvcmRzPjxrZXl3b3JkPkRpYWJldGVzLCBHZXN0YXRpb25hbC8q
cHJldmVudGlvbiAmYW1wOyBjb250cm9sPC9rZXl3b3JkPjxrZXl3b3JkPipEaWV0IFRoZXJhcHk8
L2tleXdvcmQ+PGtleXdvcmQ+KkV4ZXJjaXNlIFRoZXJhcHk8L2tleXdvcmQ+PGtleXdvcmQ+RmVt
YWxlPC9rZXl3b3JkPjxrZXl3b3JkPkh1bWFuczwva2V5d29yZD48a2V5d29yZD5PYmVzaXR5Lyp0
aGVyYXB5PC9rZXl3b3JkPjxrZXl3b3JkPk92ZXJ3ZWlnaHQvdGhlcmFweTwva2V5d29yZD48a2V5
d29yZD5QcmVnbmFuY3k8L2tleXdvcmQ+PGtleXdvcmQ+UHJlZ25hbmN5IENvbXBsaWNhdGlvbnMv
KnRoZXJhcHk8L2tleXdvcmQ+PGtleXdvcmQ+UmVncmVzc2lvbiBBbmFseXNpczwva2V5d29yZD48
a2V5d29yZD5FZmZlY3RpdmVuZXNzPC9rZXl3b3JkPjxrZXl3b3JkPmdlc3RhdGlvbmFsIGRpYWJl
dGVzIG1lbGxpdHVzPC9rZXl3b3JkPjxrZXl3b3JkPmxpZmVzdHlsZSBpbnRlcnZlbnRpb248L2tl
eXdvcmQ+PGtleXdvcmQ+bWV0YS1hbmFseXNpczwva2V5d29yZD48a2V5d29yZD5tZXRhLXJlZ3Jl
c3Npb248L2tleXdvcmQ+PGtleXdvcmQ+cHJldmVudGlvbjwva2V5d29yZD48L2tleXdvcmRzPjxk
YXRlcz48eWVhcj4yMDE5PC95ZWFyPjxwdWItZGF0ZXM+PGRhdGU+RmViPC9kYXRlPjwvcHViLWRh
dGVzPjwvZGF0ZXM+PGlzYm4+MTQ3MS0wNTI4IChFbGVjdHJvbmljKSYjeEQ7MTQ3MC0wMzI4IChM
aW5raW5nKTwvaXNibj48YWNjZXNzaW9uLW51bT4zMDIxNjYzNTwvYWNjZXNzaW9uLW51bT48dXJs
cz48cmVsYXRlZC11cmxzPjx1cmw+aHR0cHM6Ly93d3cubmNiaS5ubG0ubmloLmdvdi9wdWJtZWQv
MzAyMTY2MzU8L3VybD48L3JlbGF0ZWQtdXJscz48L3VybHM+PGVsZWN0cm9uaWMtcmVzb3VyY2Ut
bnVtPjEwLjExMTEvMTQ3MS0wNTI4LjE1NDY3PC9lbGVjdHJvbmljLXJlc291cmNlLW51bT48L3Jl
Y29yZD48L0NpdGU+PC9FbmROb3RlPn==
</w:fldData>
              </w:fldChar>
            </w:r>
            <w:r w:rsidR="002747EA">
              <w:rPr>
                <w:noProof/>
              </w:rPr>
              <w:instrText xml:space="preserve"> ADDIN EN.CITE </w:instrText>
            </w:r>
            <w:r w:rsidR="002747EA">
              <w:rPr>
                <w:noProof/>
              </w:rPr>
              <w:fldChar w:fldCharType="begin">
                <w:fldData xml:space="preserve">PEVuZE5vdGU+PENpdGU+PEF1dGhvcj5HdW88L0F1dGhvcj48WWVhcj4yMDE5PC9ZZWFyPjxSZWNO
dW0+MTQyMDwvUmVjTnVtPjxEaXNwbGF5VGV4dD48c3R5bGUgZmFjZT0ic3VwZXJzY3JpcHQiIGZv
bnQ9IlRyZWJ1Y2hldCBNUyIgc2l6ZT0iOSI+NDE5PC9zdHlsZT48L0Rpc3BsYXlUZXh0PjxyZWNv
cmQ+PHJlYy1udW1iZXI+MTQyMDwvcmVjLW51bWJlcj48Zm9yZWlnbi1rZXlzPjxrZXkgYXBwPSJF
TiIgZGItaWQ9ImV4dmFzcmZ4MmR0cmFvZXNhc3hwMnN6c3hhMmRmNTAyNTkyeCIgdGltZXN0YW1w
PSIxNTY4MzUxOTY0Ij4xNDIwPC9rZXk+PC9mb3JlaWduLWtleXM+PHJlZi10eXBlIG5hbWU9Ikpv
dXJuYWwgQXJ0aWNsZSI+MTc8L3JlZi10eXBlPjxjb250cmlidXRvcnM+PGF1dGhvcnM+PGF1dGhv
cj5HdW8sIFguIFkuPC9hdXRob3I+PGF1dGhvcj5TaHUsIEouPC9hdXRob3I+PGF1dGhvcj5GdSwg
WC4gSC48L2F1dGhvcj48YXV0aG9yPkNoZW4sIFguIFAuPC9hdXRob3I+PGF1dGhvcj5aaGFuZywg
TC48L2F1dGhvcj48YXV0aG9yPkppLCBNLiBYLjwvYXV0aG9yPjxhdXRob3I+TGl1LCBYLiBNLjwv
YXV0aG9yPjxhdXRob3I+WXUsIFQuIFQuPC9hdXRob3I+PGF1dGhvcj5TaGVuZywgSi4gWi48L2F1
dGhvcj48YXV0aG9yPkh1YW5nLCBILiBGLjwvYXV0aG9yPjwvYXV0aG9ycz48L2NvbnRyaWJ1dG9y
cz48YXV0aC1hZGRyZXNzPkRlcGFydG1lbnQgb2YgUmVwcm9kdWN0aXZlIEVuZG9jcmlub2xvZ3ks
IFpoZWppYW5nIFByb3ZpbmNpYWwgUGVvcGxlJmFwb3M7cyBIb3NwaXRhbCwgUGVvcGxlJmFwb3M7
cyBIb3NwaXRhbCBvZiBIYW5nemhvdSBNZWRpY2FsIENvbGxlZ2UsIEhhbmd6aG91LCBDaGluYS4m
I3hEO0ludGVybmF0aW9uYWwgUGVhY2UgTWF0ZXJuaXR5IGFuZCBDaGlsZCBIZWFsdGggSG9zcGl0
YWwsIFNjaG9vbCBvZiBNZWRpY2luZSwgU2hhbmdoYWkgSmlhbyBUb25nIFVuaXZlcnNpdHksIFNo
YW5naGFpLCBDaGluYS4mI3hEO0luc3RpdHV0ZSBvZiBFbWJyeW8tRmV0YWwgT3JpZ2luYWwgQWR1
bHQgRGlzZWFzZSwgU2Nob29sIG9mIE1lZGljaW5lLCBTaGFuZ2hhaSBKaWFvIFRvbmcgVW5pdmVy
c2l0eSwgU2hhbmdoYWksIENoaW5hLiYjeEQ7RGVwYXJ0bWVudCBvZiBQYXRob3BoeXNpb2xvZ3ks
IFNjaG9vbCBvZiBNZWRpY2luZSwgWmhlamlhbmcgVW5pdmVyc2l0eSwgSGFuZ3pob3UsIENoaW5h
LjwvYXV0aC1hZGRyZXNzPjx0aXRsZXM+PHRpdGxlPkltcHJvdmluZyB0aGUgZWZmZWN0aXZlbmVz
cyBvZiBsaWZlc3R5bGUgaW50ZXJ2ZW50aW9ucyBmb3IgZ2VzdGF0aW9uYWwgZGlhYmV0ZXMgcHJl
dmVudGlvbjogYSBtZXRhLWFuYWx5c2lzIGFuZCBtZXRhLXJlZ3Jlc3Npb248L3RpdGxlPjxzZWNv
bmRhcnktdGl0bGU+QkpPRzwvc2Vjb25kYXJ5LXRpdGxlPjwvdGl0bGVzPjxwZXJpb2RpY2FsPjxm
dWxsLXRpdGxlPkJKT0c8L2Z1bGwtdGl0bGU+PC9wZXJpb2RpY2FsPjxwYWdlcz4zMTEtMzIwPC9w
YWdlcz48dm9sdW1lPjEyNjwvdm9sdW1lPjxudW1iZXI+MzwvbnVtYmVyPjxlZGl0aW9uPjIwMTgv
MDkvMTU8L2VkaXRpb24+PGtleXdvcmRzPjxrZXl3b3JkPkRpYWJldGVzLCBHZXN0YXRpb25hbC8q
cHJldmVudGlvbiAmYW1wOyBjb250cm9sPC9rZXl3b3JkPjxrZXl3b3JkPipEaWV0IFRoZXJhcHk8
L2tleXdvcmQ+PGtleXdvcmQ+KkV4ZXJjaXNlIFRoZXJhcHk8L2tleXdvcmQ+PGtleXdvcmQ+RmVt
YWxlPC9rZXl3b3JkPjxrZXl3b3JkPkh1bWFuczwva2V5d29yZD48a2V5d29yZD5PYmVzaXR5Lyp0
aGVyYXB5PC9rZXl3b3JkPjxrZXl3b3JkPk92ZXJ3ZWlnaHQvdGhlcmFweTwva2V5d29yZD48a2V5
d29yZD5QcmVnbmFuY3k8L2tleXdvcmQ+PGtleXdvcmQ+UHJlZ25hbmN5IENvbXBsaWNhdGlvbnMv
KnRoZXJhcHk8L2tleXdvcmQ+PGtleXdvcmQ+UmVncmVzc2lvbiBBbmFseXNpczwva2V5d29yZD48
a2V5d29yZD5FZmZlY3RpdmVuZXNzPC9rZXl3b3JkPjxrZXl3b3JkPmdlc3RhdGlvbmFsIGRpYWJl
dGVzIG1lbGxpdHVzPC9rZXl3b3JkPjxrZXl3b3JkPmxpZmVzdHlsZSBpbnRlcnZlbnRpb248L2tl
eXdvcmQ+PGtleXdvcmQ+bWV0YS1hbmFseXNpczwva2V5d29yZD48a2V5d29yZD5tZXRhLXJlZ3Jl
c3Npb248L2tleXdvcmQ+PGtleXdvcmQ+cHJldmVudGlvbjwva2V5d29yZD48L2tleXdvcmRzPjxk
YXRlcz48eWVhcj4yMDE5PC95ZWFyPjxwdWItZGF0ZXM+PGRhdGU+RmViPC9kYXRlPjwvcHViLWRh
dGVzPjwvZGF0ZXM+PGlzYm4+MTQ3MS0wNTI4IChFbGVjdHJvbmljKSYjeEQ7MTQ3MC0wMzI4IChM
aW5raW5nKTwvaXNibj48YWNjZXNzaW9uLW51bT4zMDIxNjYzNTwvYWNjZXNzaW9uLW51bT48dXJs
cz48cmVsYXRlZC11cmxzPjx1cmw+aHR0cHM6Ly93d3cubmNiaS5ubG0ubmloLmdvdi9wdWJtZWQv
MzAyMTY2MzU8L3VybD48L3JlbGF0ZWQtdXJscz48L3VybHM+PGVsZWN0cm9uaWMtcmVzb3VyY2Ut
bnVtPjEwLjExMTEvMTQ3MS0wNTI4LjE1NDY3PC9lbGVjdHJvbmljLXJlc291cmNlLW51bT48L3Jl
Y29yZD48L0NpdGU+PC9FbmROb3RlPn==
</w:fldData>
              </w:fldChar>
            </w:r>
            <w:r w:rsidR="002747EA">
              <w:rPr>
                <w:noProof/>
              </w:rPr>
              <w:instrText xml:space="preserve"> ADDIN EN.CITE.DATA </w:instrText>
            </w:r>
            <w:r w:rsidR="002747EA">
              <w:rPr>
                <w:noProof/>
              </w:rPr>
            </w:r>
            <w:r w:rsidR="002747EA">
              <w:rPr>
                <w:noProof/>
              </w:rPr>
              <w:fldChar w:fldCharType="end"/>
            </w:r>
            <w:r w:rsidR="00767EBF">
              <w:rPr>
                <w:noProof/>
              </w:rPr>
            </w:r>
            <w:r w:rsidR="00767EBF">
              <w:rPr>
                <w:noProof/>
              </w:rPr>
              <w:fldChar w:fldCharType="separate"/>
            </w:r>
            <w:r w:rsidR="002747EA" w:rsidRPr="002747EA">
              <w:rPr>
                <w:noProof/>
                <w:sz w:val="18"/>
                <w:vertAlign w:val="superscript"/>
              </w:rPr>
              <w:t>419</w:t>
            </w:r>
            <w:r w:rsidR="00767EBF">
              <w:rPr>
                <w:noProof/>
              </w:rPr>
              <w:fldChar w:fldCharType="end"/>
            </w:r>
          </w:p>
        </w:tc>
        <w:tc>
          <w:tcPr>
            <w:tcW w:w="2547" w:type="dxa"/>
          </w:tcPr>
          <w:p w14:paraId="6500835A" w14:textId="77777777" w:rsidR="004F111C" w:rsidRDefault="004F111C" w:rsidP="00A62BCD">
            <w:pPr>
              <w:pStyle w:val="RCTstable"/>
            </w:pPr>
            <w:r>
              <w:t>Mixed BMIs</w:t>
            </w:r>
          </w:p>
        </w:tc>
        <w:tc>
          <w:tcPr>
            <w:tcW w:w="2982" w:type="dxa"/>
          </w:tcPr>
          <w:p w14:paraId="5FBBED88" w14:textId="5F47BF95" w:rsidR="004F111C" w:rsidRDefault="004F111C" w:rsidP="004F111C">
            <w:pPr>
              <w:pStyle w:val="RCTstable"/>
              <w:jc w:val="center"/>
              <w:rPr>
                <w:rFonts w:eastAsiaTheme="majorEastAsia"/>
              </w:rPr>
            </w:pPr>
            <w:r>
              <w:rPr>
                <w:rFonts w:eastAsiaTheme="majorEastAsia"/>
              </w:rPr>
              <w:t>RR 0.86 (0.71 to 1.04)</w:t>
            </w:r>
          </w:p>
        </w:tc>
        <w:tc>
          <w:tcPr>
            <w:tcW w:w="1134" w:type="dxa"/>
          </w:tcPr>
          <w:p w14:paraId="47947271" w14:textId="7B88C306" w:rsidR="004F111C" w:rsidRDefault="004F111C" w:rsidP="00A62BCD">
            <w:pPr>
              <w:pStyle w:val="RCTstable"/>
              <w:jc w:val="center"/>
            </w:pPr>
            <w:r>
              <w:t>18</w:t>
            </w:r>
          </w:p>
        </w:tc>
      </w:tr>
      <w:tr w:rsidR="00A5540F" w:rsidRPr="00B87066" w14:paraId="20E1BAB4" w14:textId="77777777" w:rsidTr="00A5540F">
        <w:tc>
          <w:tcPr>
            <w:tcW w:w="2841" w:type="dxa"/>
            <w:shd w:val="clear" w:color="auto" w:fill="auto"/>
          </w:tcPr>
          <w:p w14:paraId="06E7D949" w14:textId="1408B4FD" w:rsidR="00A5540F" w:rsidRPr="00B87066" w:rsidRDefault="00A5540F" w:rsidP="002747EA">
            <w:pPr>
              <w:pStyle w:val="RCTstable"/>
            </w:pPr>
            <w:r w:rsidRPr="00B87066">
              <w:t>Benne</w:t>
            </w:r>
            <w:r>
              <w:t>t</w:t>
            </w:r>
            <w:r w:rsidRPr="00B87066">
              <w:t>t et al 2018</w:t>
            </w:r>
            <w:r w:rsidRPr="00B87066">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rsidRPr="00B87066">
              <w:fldChar w:fldCharType="separate"/>
            </w:r>
            <w:r w:rsidR="002747EA" w:rsidRPr="002747EA">
              <w:rPr>
                <w:noProof/>
                <w:sz w:val="18"/>
                <w:vertAlign w:val="superscript"/>
              </w:rPr>
              <w:t>418</w:t>
            </w:r>
            <w:r w:rsidRPr="00B87066">
              <w:fldChar w:fldCharType="end"/>
            </w:r>
          </w:p>
        </w:tc>
        <w:tc>
          <w:tcPr>
            <w:tcW w:w="2547" w:type="dxa"/>
            <w:shd w:val="clear" w:color="auto" w:fill="auto"/>
          </w:tcPr>
          <w:p w14:paraId="078776D3" w14:textId="77777777" w:rsidR="00A5540F" w:rsidRPr="00B87066" w:rsidRDefault="00A5540F" w:rsidP="00A5540F">
            <w:pPr>
              <w:pStyle w:val="RCTstable"/>
            </w:pPr>
            <w:r w:rsidRPr="00B87066">
              <w:t>Mixed BMIs</w:t>
            </w:r>
          </w:p>
        </w:tc>
        <w:tc>
          <w:tcPr>
            <w:tcW w:w="2982" w:type="dxa"/>
            <w:shd w:val="clear" w:color="auto" w:fill="auto"/>
          </w:tcPr>
          <w:p w14:paraId="72E6440E" w14:textId="77777777" w:rsidR="00A5540F" w:rsidRPr="00B87066" w:rsidRDefault="00A5540F" w:rsidP="00A5540F">
            <w:pPr>
              <w:pStyle w:val="RCTstable"/>
              <w:jc w:val="center"/>
            </w:pPr>
            <w:r w:rsidRPr="00B87066">
              <w:rPr>
                <w:rStyle w:val="block"/>
                <w:bCs/>
              </w:rPr>
              <w:t>RR 0.73 (0.43 to 1.22)</w:t>
            </w:r>
          </w:p>
        </w:tc>
        <w:tc>
          <w:tcPr>
            <w:tcW w:w="1134" w:type="dxa"/>
            <w:shd w:val="clear" w:color="auto" w:fill="auto"/>
          </w:tcPr>
          <w:p w14:paraId="06CDD143" w14:textId="77777777" w:rsidR="00A5540F" w:rsidRPr="00B87066" w:rsidRDefault="00A5540F" w:rsidP="00A5540F">
            <w:pPr>
              <w:pStyle w:val="RCTstable"/>
              <w:jc w:val="center"/>
            </w:pPr>
            <w:r>
              <w:t>4</w:t>
            </w:r>
          </w:p>
        </w:tc>
      </w:tr>
      <w:tr w:rsidR="00A5540F" w:rsidRPr="00B87066" w14:paraId="2775FCA9" w14:textId="77777777" w:rsidTr="00A5540F">
        <w:tc>
          <w:tcPr>
            <w:tcW w:w="2841" w:type="dxa"/>
            <w:vMerge w:val="restart"/>
          </w:tcPr>
          <w:p w14:paraId="0EC44A2F" w14:textId="25FD5583" w:rsidR="00A5540F" w:rsidRPr="00B87066" w:rsidRDefault="00A5540F" w:rsidP="002747EA">
            <w:pPr>
              <w:pStyle w:val="RCTstable"/>
            </w:pPr>
            <w:r w:rsidRPr="00B87066">
              <w:rPr>
                <w:noProof/>
              </w:rPr>
              <w:t>International Weight Management in Pregnancy Collaborative 2017</w:t>
            </w:r>
            <w:r w:rsidRPr="00B87066">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Pr="00B87066">
              <w:rPr>
                <w:noProof/>
              </w:rPr>
            </w:r>
            <w:r w:rsidRPr="00B87066">
              <w:rPr>
                <w:noProof/>
              </w:rPr>
              <w:fldChar w:fldCharType="separate"/>
            </w:r>
            <w:r w:rsidR="002747EA" w:rsidRPr="002747EA">
              <w:rPr>
                <w:noProof/>
                <w:sz w:val="18"/>
                <w:vertAlign w:val="superscript"/>
              </w:rPr>
              <w:t>415</w:t>
            </w:r>
            <w:r w:rsidRPr="00B87066">
              <w:rPr>
                <w:noProof/>
              </w:rPr>
              <w:fldChar w:fldCharType="end"/>
            </w:r>
            <w:r w:rsidRPr="00B87066">
              <w:rPr>
                <w:noProof/>
              </w:rPr>
              <w:t xml:space="preserve"> </w:t>
            </w:r>
          </w:p>
        </w:tc>
        <w:tc>
          <w:tcPr>
            <w:tcW w:w="2547" w:type="dxa"/>
          </w:tcPr>
          <w:p w14:paraId="1B5EA8CB" w14:textId="77777777" w:rsidR="00A5540F" w:rsidRPr="00B87066" w:rsidRDefault="00A5540F" w:rsidP="00A5540F">
            <w:pPr>
              <w:pStyle w:val="RCTstable"/>
            </w:pPr>
            <w:r w:rsidRPr="00B87066">
              <w:t>Mixed BMIs; IPD</w:t>
            </w:r>
          </w:p>
        </w:tc>
        <w:tc>
          <w:tcPr>
            <w:tcW w:w="2982" w:type="dxa"/>
          </w:tcPr>
          <w:p w14:paraId="197E44AC" w14:textId="77777777" w:rsidR="00A5540F" w:rsidRPr="00B87066" w:rsidRDefault="00A5540F" w:rsidP="00A5540F">
            <w:pPr>
              <w:pStyle w:val="RCTstable"/>
              <w:jc w:val="center"/>
            </w:pPr>
            <w:r>
              <w:t>OR 1.02 (0.79 to 1.32)</w:t>
            </w:r>
          </w:p>
        </w:tc>
        <w:tc>
          <w:tcPr>
            <w:tcW w:w="1134" w:type="dxa"/>
          </w:tcPr>
          <w:p w14:paraId="1C1D348E" w14:textId="77777777" w:rsidR="00A5540F" w:rsidRPr="00B87066" w:rsidRDefault="00A5540F" w:rsidP="00A5540F">
            <w:pPr>
              <w:pStyle w:val="RCTstable"/>
              <w:jc w:val="center"/>
            </w:pPr>
            <w:r>
              <w:t>14</w:t>
            </w:r>
          </w:p>
        </w:tc>
      </w:tr>
      <w:tr w:rsidR="00A5540F" w:rsidRPr="00B87066" w14:paraId="57F472DC" w14:textId="77777777" w:rsidTr="00A5540F">
        <w:tc>
          <w:tcPr>
            <w:tcW w:w="2841" w:type="dxa"/>
            <w:vMerge/>
          </w:tcPr>
          <w:p w14:paraId="746AA766" w14:textId="77777777" w:rsidR="00A5540F" w:rsidRPr="00B87066" w:rsidRDefault="00A5540F" w:rsidP="00A5540F">
            <w:pPr>
              <w:pStyle w:val="RCTstable"/>
            </w:pPr>
          </w:p>
        </w:tc>
        <w:tc>
          <w:tcPr>
            <w:tcW w:w="2547" w:type="dxa"/>
          </w:tcPr>
          <w:p w14:paraId="3AA4E340" w14:textId="77777777" w:rsidR="00A5540F" w:rsidRPr="00B87066" w:rsidRDefault="00A5540F" w:rsidP="00A5540F">
            <w:pPr>
              <w:pStyle w:val="RCTstable"/>
            </w:pPr>
            <w:r w:rsidRPr="00B87066">
              <w:t>Mixed BMIs; IPD and non-IPD</w:t>
            </w:r>
          </w:p>
        </w:tc>
        <w:tc>
          <w:tcPr>
            <w:tcW w:w="2982" w:type="dxa"/>
          </w:tcPr>
          <w:p w14:paraId="62AED701" w14:textId="77777777" w:rsidR="00A5540F" w:rsidRPr="00B87066" w:rsidRDefault="00A5540F" w:rsidP="00A5540F">
            <w:pPr>
              <w:pStyle w:val="RCTstable"/>
              <w:jc w:val="center"/>
              <w:rPr>
                <w:rFonts w:eastAsiaTheme="majorEastAsia"/>
              </w:rPr>
            </w:pPr>
            <w:r>
              <w:rPr>
                <w:rFonts w:eastAsiaTheme="majorEastAsia"/>
              </w:rPr>
              <w:t>OR 0.88 (0.72 to 1.07)</w:t>
            </w:r>
          </w:p>
        </w:tc>
        <w:tc>
          <w:tcPr>
            <w:tcW w:w="1134" w:type="dxa"/>
          </w:tcPr>
          <w:p w14:paraId="687B2983" w14:textId="77777777" w:rsidR="00A5540F" w:rsidRPr="00B87066" w:rsidRDefault="00A5540F" w:rsidP="00A5540F">
            <w:pPr>
              <w:pStyle w:val="RCTstable"/>
              <w:jc w:val="center"/>
            </w:pPr>
            <w:r>
              <w:t>27</w:t>
            </w:r>
          </w:p>
        </w:tc>
      </w:tr>
      <w:tr w:rsidR="00A5540F" w:rsidRPr="00B87066" w14:paraId="4C724DD3" w14:textId="77777777" w:rsidTr="00A5540F">
        <w:tc>
          <w:tcPr>
            <w:tcW w:w="2841" w:type="dxa"/>
            <w:shd w:val="clear" w:color="auto" w:fill="auto"/>
          </w:tcPr>
          <w:p w14:paraId="57E74DD1" w14:textId="59668C57" w:rsidR="00A5540F" w:rsidRPr="00B87066" w:rsidRDefault="00A5540F" w:rsidP="002747EA">
            <w:pPr>
              <w:pStyle w:val="RCTstable"/>
            </w:pPr>
            <w:r w:rsidRPr="00B87066">
              <w:t>Madhuvrata et al 2015</w:t>
            </w:r>
            <w:r w:rsidRPr="00B87066">
              <w:fldChar w:fldCharType="begin"/>
            </w:r>
            <w:r w:rsidR="002747EA">
              <w:instrText xml:space="preserve"> ADDIN EN.CITE &lt;EndNote&gt;&lt;Cite&gt;&lt;Author&gt;Madhuvrata&lt;/Author&gt;&lt;Year&gt;2015&lt;/Year&gt;&lt;RecNum&gt;1184&lt;/RecNum&gt;&lt;DisplayText&gt;&lt;style face="superscript" font="Trebuchet MS" size="9"&gt;420&lt;/style&gt;&lt;/DisplayText&gt;&lt;record&gt;&lt;rec-number&gt;1184&lt;/rec-number&gt;&lt;foreign-keys&gt;&lt;key app="EN" db-id="exvasrfx2dtraoesasxp2szsxa2df502592x" timestamp="1558928434"&gt;1184&lt;/key&gt;&lt;key app="ENWeb" db-id=""&gt;0&lt;/key&gt;&lt;/foreign-keys&gt;&lt;ref-type name="Journal Article"&gt;17&lt;/ref-type&gt;&lt;contributors&gt;&lt;authors&gt;&lt;author&gt;Madhuvrata, P.&lt;/author&gt;&lt;author&gt;Govinden, G.&lt;/author&gt;&lt;author&gt;Bustani, R.&lt;/author&gt;&lt;author&gt;Song, S.&lt;/author&gt;&lt;author&gt;Farrell, T. A.&lt;/author&gt;&lt;/authors&gt;&lt;/contributors&gt;&lt;auth-address&gt;Department of Obstetrics and Gynaecology, Jessop Wing, Sheffield Teaching Hospitals NHS Trust, Sheffield, UK.&amp;#xD;Department of Diabetes and Endocrinology, Sheffield Teaching Hospitals NHS Trust, Sheffield, UK.&lt;/auth-address&gt;&lt;titles&gt;&lt;title&gt;Prevention of gestational diabetes in pregnant women with risk factors for gestational diabetes: a systematic review and meta-analysis of randomised trials&lt;/title&gt;&lt;secondary-title&gt;Obstet Med&lt;/secondary-title&gt;&lt;/titles&gt;&lt;periodical&gt;&lt;full-title&gt;Obstet Med&lt;/full-title&gt;&lt;/periodical&gt;&lt;pages&gt;68-85&lt;/pages&gt;&lt;volume&gt;8&lt;/volume&gt;&lt;number&gt;2&lt;/number&gt;&lt;edition&gt;2015/06/01&lt;/edition&gt;&lt;keywords&gt;&lt;keyword&gt;Gestational diabetes&lt;/keyword&gt;&lt;keyword&gt;diet&lt;/keyword&gt;&lt;keyword&gt;exercise&lt;/keyword&gt;&lt;keyword&gt;lifestyle and pharmacological intervention&lt;/keyword&gt;&lt;keyword&gt;prevention&lt;/keyword&gt;&lt;/keywords&gt;&lt;dates&gt;&lt;year&gt;2015&lt;/year&gt;&lt;pub-dates&gt;&lt;date&gt;Jun&lt;/date&gt;&lt;/pub-dates&gt;&lt;/dates&gt;&lt;isbn&gt;1753-495X (Print)&amp;#xD;1753-495X (Linking)&lt;/isbn&gt;&lt;accession-num&gt;27512459&lt;/accession-num&gt;&lt;urls&gt;&lt;related-urls&gt;&lt;url&gt;https://www.ncbi.nlm.nih.gov/pubmed/27512459&lt;/url&gt;&lt;/related-urls&gt;&lt;/urls&gt;&lt;custom2&gt;PMC4935009&lt;/custom2&gt;&lt;electronic-resource-num&gt;10.1177/1753495X15576673&lt;/electronic-resource-num&gt;&lt;/record&gt;&lt;/Cite&gt;&lt;/EndNote&gt;</w:instrText>
            </w:r>
            <w:r w:rsidRPr="00B87066">
              <w:fldChar w:fldCharType="separate"/>
            </w:r>
            <w:r w:rsidR="002747EA" w:rsidRPr="002747EA">
              <w:rPr>
                <w:noProof/>
                <w:sz w:val="18"/>
                <w:vertAlign w:val="superscript"/>
              </w:rPr>
              <w:t>420</w:t>
            </w:r>
            <w:r w:rsidRPr="00B87066">
              <w:fldChar w:fldCharType="end"/>
            </w:r>
          </w:p>
        </w:tc>
        <w:tc>
          <w:tcPr>
            <w:tcW w:w="2547" w:type="dxa"/>
            <w:shd w:val="clear" w:color="auto" w:fill="auto"/>
          </w:tcPr>
          <w:p w14:paraId="5FA13A58" w14:textId="77777777" w:rsidR="00A5540F" w:rsidRPr="00B87066" w:rsidRDefault="00A5540F" w:rsidP="00A5540F">
            <w:pPr>
              <w:pStyle w:val="RCTstable"/>
            </w:pPr>
            <w:r w:rsidRPr="00B87066">
              <w:t>Mixed BMIs</w:t>
            </w:r>
          </w:p>
        </w:tc>
        <w:tc>
          <w:tcPr>
            <w:tcW w:w="2982" w:type="dxa"/>
            <w:shd w:val="clear" w:color="auto" w:fill="auto"/>
          </w:tcPr>
          <w:p w14:paraId="47481FA1" w14:textId="77777777" w:rsidR="00A5540F" w:rsidRPr="00B87066" w:rsidRDefault="00A5540F" w:rsidP="00A5540F">
            <w:pPr>
              <w:pStyle w:val="RCTstable"/>
              <w:jc w:val="center"/>
              <w:rPr>
                <w:rStyle w:val="block"/>
                <w:bCs/>
              </w:rPr>
            </w:pPr>
            <w:r w:rsidRPr="00B87066">
              <w:rPr>
                <w:rStyle w:val="block"/>
                <w:bCs/>
              </w:rPr>
              <w:t>OR 1.44 (0.96 to 2.14)</w:t>
            </w:r>
          </w:p>
        </w:tc>
        <w:tc>
          <w:tcPr>
            <w:tcW w:w="1134" w:type="dxa"/>
            <w:shd w:val="clear" w:color="auto" w:fill="auto"/>
          </w:tcPr>
          <w:p w14:paraId="34F23F47" w14:textId="77777777" w:rsidR="00A5540F" w:rsidRPr="00B87066" w:rsidRDefault="00A5540F" w:rsidP="00A5540F">
            <w:pPr>
              <w:pStyle w:val="RCTstable"/>
              <w:jc w:val="center"/>
              <w:rPr>
                <w:rStyle w:val="block"/>
                <w:bCs/>
              </w:rPr>
            </w:pPr>
            <w:r w:rsidRPr="00B87066">
              <w:rPr>
                <w:rStyle w:val="block"/>
                <w:bCs/>
              </w:rPr>
              <w:t>6</w:t>
            </w:r>
          </w:p>
        </w:tc>
      </w:tr>
      <w:tr w:rsidR="00A5540F" w:rsidRPr="00C12274" w14:paraId="7611A955" w14:textId="77777777" w:rsidTr="00A5540F">
        <w:tc>
          <w:tcPr>
            <w:tcW w:w="2841" w:type="dxa"/>
          </w:tcPr>
          <w:p w14:paraId="582078FC" w14:textId="0980A0FE"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Pr>
          <w:p w14:paraId="70CE3383" w14:textId="77777777" w:rsidR="00A5540F" w:rsidRPr="00C12274" w:rsidRDefault="00A5540F" w:rsidP="00A5540F">
            <w:pPr>
              <w:pStyle w:val="RCTstable"/>
            </w:pPr>
            <w:r>
              <w:t>Mixed BMIs</w:t>
            </w:r>
          </w:p>
        </w:tc>
        <w:tc>
          <w:tcPr>
            <w:tcW w:w="2982" w:type="dxa"/>
          </w:tcPr>
          <w:p w14:paraId="319B0BDF" w14:textId="77777777" w:rsidR="00A5540F" w:rsidRPr="00991C4E" w:rsidRDefault="00A5540F" w:rsidP="00A5540F">
            <w:pPr>
              <w:pStyle w:val="RCTstable"/>
              <w:jc w:val="center"/>
            </w:pPr>
            <w:r>
              <w:t>RR 0.85 (0.71 to 1.01)</w:t>
            </w:r>
          </w:p>
        </w:tc>
        <w:tc>
          <w:tcPr>
            <w:tcW w:w="1134" w:type="dxa"/>
          </w:tcPr>
          <w:p w14:paraId="2423376A" w14:textId="77777777" w:rsidR="00A5540F" w:rsidRPr="008C6CCE" w:rsidRDefault="00A5540F" w:rsidP="00A5540F">
            <w:pPr>
              <w:pStyle w:val="RCTstable"/>
              <w:jc w:val="center"/>
            </w:pPr>
            <w:r>
              <w:t>19</w:t>
            </w:r>
          </w:p>
        </w:tc>
      </w:tr>
      <w:tr w:rsidR="00A5540F" w:rsidRPr="00B87066" w14:paraId="067F7F1A" w14:textId="77777777" w:rsidTr="00A5540F">
        <w:tc>
          <w:tcPr>
            <w:tcW w:w="2841" w:type="dxa"/>
            <w:shd w:val="clear" w:color="auto" w:fill="auto"/>
          </w:tcPr>
          <w:p w14:paraId="1E9A1B31" w14:textId="7F174343" w:rsidR="00A5540F" w:rsidRPr="00B87066" w:rsidRDefault="00A5540F" w:rsidP="002747EA">
            <w:pPr>
              <w:pStyle w:val="RCTstable"/>
            </w:pPr>
            <w:r w:rsidRPr="00B87066">
              <w:t>Song et al 2016</w:t>
            </w:r>
            <w:r w:rsidRPr="00B87066">
              <w:fldChar w:fldCharType="begin">
                <w:fldData xml:space="preserve">PEVuZE5vdGU+PENpdGU+PEF1dGhvcj5Tb25nPC9BdXRob3I+PFllYXI+MjAxNjwvWWVhcj48UmVj
TnVtPjU4MTwvUmVjTnVtPjxEaXNwbGF5VGV4dD48c3R5bGUgZmFjZT0ic3VwZXJzY3JpcHQiIGZv
bnQ9IlRyZWJ1Y2hldCBNUyIgc2l6ZT0iOSI+NDIxPC9zdHlsZT48L0Rpc3BsYXlUZXh0PjxyZWNv
cmQ+PHJlYy1udW1iZXI+NTgxPC9yZWMtbnVtYmVyPjxmb3JlaWduLWtleXM+PGtleSBhcHA9IkVO
IiBkYi1pZD0iZXh2YXNyZngyZHRyYW9lc2FzeHAyc3pzeGEyZGY1MDI1OTJ4IiB0aW1lc3RhbXA9
IjE1MzYyMDk4NDUiPjU4MTwva2V5PjwvZm9yZWlnbi1rZXlzPjxyZWYtdHlwZSBuYW1lPSJKb3Vy
bmFsIEFydGljbGUiPjE3PC9yZWYtdHlwZT48Y29udHJpYnV0b3JzPjxhdXRob3JzPjxhdXRob3I+
U29uZywgQy48L2F1dGhvcj48YXV0aG9yPkxpLCBKLjwvYXV0aG9yPjxhdXRob3I+TGVuZywgSi48
L2F1dGhvcj48YXV0aG9yPk1hLCBSLiBDLjwvYXV0aG9yPjxhdXRob3I+WWFuZywgWC48L2F1dGhv
cj48L2F1dGhvcnM+PC9jb250cmlidXRvcnM+PGF1dGgtYWRkcmVzcz5EZXBhcnRtZW50IG9mIEVw
aWRlbWlvbG9neSBhbmQgQmlvc3RhdGlzdGljcywgU2Nob29sIG9mIFB1YmxpYyBIZWFsdGgsIFRp
YW5qaW4gTWVkaWNhbCBVbml2ZXJzaXR5LCBUaWFuamluLCBDaGluYS4mI3hEO0NlbnRlciBmb3Ig
RGlzZWFzZSBDb250cm9sIGFuZCBQcmV2ZW50aW9uIG9mIFRpYW5qaW4gRWNvbm9taWMtVGVjaG5v
bG9naWNhbCBEZXZlbG9wbWVudCBBcmVhLCBURURBLCBUaWFuamluLCBDaGluYS4mI3hEO1RpYW5q
aW4gV29tZW4gYW5kIENoaWxkcmVuJmFwb3M7cyBIZWFsdGggQ2VudHJlLCBUaWFuamluLCBDaGlu
YS4mI3hEO0RlcGFydG1lbnQgb2YgTWVkaWNpbmUgYW5kIFRoZXJhcGV1dGljcywgUHJpbmNlIG9m
IFdhbGVzIEhvc3BpdGFsLCBhbmQgdGhlIEhvbmcgS29uZyBJbnN0aXR1dGUgb2YgRGlhYmV0ZXMg
YW5kIE9iZXNpdHksIFRoZSBDaGluZXNlIFVuaXZlcnNpdHkgb2YgSG9uZyBLb25nLCBIb25nIEtv
bmcsIENoaW5hLiYjeEQ7RGVwYXJ0bWVudCBvZiBFcGlkZW1pb2xvZ3kgYW5kIEJpb3N0YXRpc3Rp
Y3MsIFNjaG9vbCBvZiBQdWJsaWMgSGVhbHRoLCBUaWFuamluIE1lZGljYWwgVW5pdmVyc2l0eSwg
VGlhbmppbiwgQ2hpbmEuIHlhbmd4aWxpbkB0bXUuZWR1LmNuLCB5eGxAaG90bWFpbC5jb20uPC9h
dXRoLWFkZHJlc3M+PHRpdGxlcz48dGl0bGU+TGlmZXN0eWxlIGludGVydmVudGlvbiBjYW4gcmVk
dWNlIHRoZSByaXNrIG9mIGdlc3RhdGlvbmFsIGRpYWJldGVzOiBhIG1ldGEtYW5hbHlzaXMgb2Yg
cmFuZG9taXplZCBjb250cm9sbGVkIHRyaWFsczwvdGl0bGU+PHNlY29uZGFyeS10aXRsZT5PYmVz
IFJldjwvc2Vjb25kYXJ5LXRpdGxlPjwvdGl0bGVzPjxwZXJpb2RpY2FsPjxmdWxsLXRpdGxlPk9i
ZXMgUmV2PC9mdWxsLXRpdGxlPjwvcGVyaW9kaWNhbD48cGFnZXM+OTYwLTk8L3BhZ2VzPjx2b2x1
bWU+MTc8L3ZvbHVtZT48bnVtYmVyPjEwPC9udW1iZXI+PGVkaXRpb24+MjAxNi8wNy8xNjwvZWRp
dGlvbj48a2V5d29yZHM+PGtleXdvcmQ+RGlhYmV0ZXMsIEdlc3RhdGlvbmFsL2V0aW9sb2d5Lypw
cmV2ZW50aW9uICZhbXA7IGNvbnRyb2wvdGhlcmFweTwva2V5d29yZD48a2V5d29yZD5EaWV0PC9r
ZXl3b3JkPjxrZXl3b3JkPkV4ZXJjaXNlPC9rZXl3b3JkPjxrZXl3b3JkPkZlbWFsZTwva2V5d29y
ZD48a2V5d29yZD5IZWFsdGggRWR1Y2F0aW9uPC9rZXl3b3JkPjxrZXl3b3JkPkh1bWFuczwva2V5
d29yZD48a2V5d29yZD5PYmVzaXR5Lypjb21wbGljYXRpb25zL3RoZXJhcHk8L2tleXdvcmQ+PGtl
eXdvcmQ+UGF0aWVudCBDb21wbGlhbmNlPC9rZXl3b3JkPjxrZXl3b3JkPlByZWduYW5jeTwva2V5
d29yZD48a2V5d29yZD5QcmVuYXRhbCBDYXJlL21ldGhvZHM8L2tleXdvcmQ+PGtleXdvcmQ+UHJp
bWFyeSBQcmV2ZW50aW9uLyptZXRob2RzPC9rZXl3b3JkPjxrZXl3b3JkPlJhbmRvbWl6ZWQgQ29u
dHJvbGxlZCBUcmlhbHMgYXMgVG9waWM8L2tleXdvcmQ+PGtleXdvcmQ+KlJpc2sgUmVkdWN0aW9u
IEJlaGF2aW9yPC9rZXl3b3JkPjxrZXl3b3JkPipnZXN0YXRpb25hbCBkaWFiZXRlczwva2V5d29y
ZD48a2V5d29yZD4qbGlmZXN0eWxlIGludGVydmVudGlvbjwva2V5d29yZD48a2V5d29yZD4qb2Jl
c2l0eTwva2V5d29yZD48a2V5d29yZD4qb3ZlcndlaWdodDwva2V5d29yZD48L2tleXdvcmRzPjxk
YXRlcz48eWVhcj4yMDE2PC95ZWFyPjxwdWItZGF0ZXM+PGRhdGU+T2N0PC9kYXRlPjwvcHViLWRh
dGVzPjwvZGF0ZXM+PGlzYm4+MTQ2Ny03ODlYIChFbGVjdHJvbmljKSYjeEQ7MTQ2Ny03ODgxIChM
aW5raW5nKTwvaXNibj48YWNjZXNzaW9uLW51bT4yNzQxNzY4MDwvYWNjZXNzaW9uLW51bT48dXJs
cz48cmVsYXRlZC11cmxzPjx1cmw+aHR0cHM6Ly93d3cubmNiaS5ubG0ubmloLmdvdi9wdWJtZWQv
Mjc0MTc2ODA8L3VybD48L3JlbGF0ZWQtdXJscz48L3VybHM+PGVsZWN0cm9uaWMtcmVzb3VyY2Ut
bnVtPjEwLjExMTEvb2JyLjEyNDQyPC9lbGVjdHJvbmljLXJlc291cmNlLW51bT48L3JlY29yZD48
L0NpdGU+PC9FbmROb3RlPgB=
</w:fldData>
              </w:fldChar>
            </w:r>
            <w:r w:rsidR="002747EA">
              <w:instrText xml:space="preserve"> ADDIN EN.CITE </w:instrText>
            </w:r>
            <w:r w:rsidR="002747EA">
              <w:fldChar w:fldCharType="begin">
                <w:fldData xml:space="preserve">PEVuZE5vdGU+PENpdGU+PEF1dGhvcj5Tb25nPC9BdXRob3I+PFllYXI+MjAxNjwvWWVhcj48UmVj
TnVtPjU4MTwvUmVjTnVtPjxEaXNwbGF5VGV4dD48c3R5bGUgZmFjZT0ic3VwZXJzY3JpcHQiIGZv
bnQ9IlRyZWJ1Y2hldCBNUyIgc2l6ZT0iOSI+NDIxPC9zdHlsZT48L0Rpc3BsYXlUZXh0PjxyZWNv
cmQ+PHJlYy1udW1iZXI+NTgxPC9yZWMtbnVtYmVyPjxmb3JlaWduLWtleXM+PGtleSBhcHA9IkVO
IiBkYi1pZD0iZXh2YXNyZngyZHRyYW9lc2FzeHAyc3pzeGEyZGY1MDI1OTJ4IiB0aW1lc3RhbXA9
IjE1MzYyMDk4NDUiPjU4MTwva2V5PjwvZm9yZWlnbi1rZXlzPjxyZWYtdHlwZSBuYW1lPSJKb3Vy
bmFsIEFydGljbGUiPjE3PC9yZWYtdHlwZT48Y29udHJpYnV0b3JzPjxhdXRob3JzPjxhdXRob3I+
U29uZywgQy48L2F1dGhvcj48YXV0aG9yPkxpLCBKLjwvYXV0aG9yPjxhdXRob3I+TGVuZywgSi48
L2F1dGhvcj48YXV0aG9yPk1hLCBSLiBDLjwvYXV0aG9yPjxhdXRob3I+WWFuZywgWC48L2F1dGhv
cj48L2F1dGhvcnM+PC9jb250cmlidXRvcnM+PGF1dGgtYWRkcmVzcz5EZXBhcnRtZW50IG9mIEVw
aWRlbWlvbG9neSBhbmQgQmlvc3RhdGlzdGljcywgU2Nob29sIG9mIFB1YmxpYyBIZWFsdGgsIFRp
YW5qaW4gTWVkaWNhbCBVbml2ZXJzaXR5LCBUaWFuamluLCBDaGluYS4mI3hEO0NlbnRlciBmb3Ig
RGlzZWFzZSBDb250cm9sIGFuZCBQcmV2ZW50aW9uIG9mIFRpYW5qaW4gRWNvbm9taWMtVGVjaG5v
bG9naWNhbCBEZXZlbG9wbWVudCBBcmVhLCBURURBLCBUaWFuamluLCBDaGluYS4mI3hEO1RpYW5q
aW4gV29tZW4gYW5kIENoaWxkcmVuJmFwb3M7cyBIZWFsdGggQ2VudHJlLCBUaWFuamluLCBDaGlu
YS4mI3hEO0RlcGFydG1lbnQgb2YgTWVkaWNpbmUgYW5kIFRoZXJhcGV1dGljcywgUHJpbmNlIG9m
IFdhbGVzIEhvc3BpdGFsLCBhbmQgdGhlIEhvbmcgS29uZyBJbnN0aXR1dGUgb2YgRGlhYmV0ZXMg
YW5kIE9iZXNpdHksIFRoZSBDaGluZXNlIFVuaXZlcnNpdHkgb2YgSG9uZyBLb25nLCBIb25nIEtv
bmcsIENoaW5hLiYjeEQ7RGVwYXJ0bWVudCBvZiBFcGlkZW1pb2xvZ3kgYW5kIEJpb3N0YXRpc3Rp
Y3MsIFNjaG9vbCBvZiBQdWJsaWMgSGVhbHRoLCBUaWFuamluIE1lZGljYWwgVW5pdmVyc2l0eSwg
VGlhbmppbiwgQ2hpbmEuIHlhbmd4aWxpbkB0bXUuZWR1LmNuLCB5eGxAaG90bWFpbC5jb20uPC9h
dXRoLWFkZHJlc3M+PHRpdGxlcz48dGl0bGU+TGlmZXN0eWxlIGludGVydmVudGlvbiBjYW4gcmVk
dWNlIHRoZSByaXNrIG9mIGdlc3RhdGlvbmFsIGRpYWJldGVzOiBhIG1ldGEtYW5hbHlzaXMgb2Yg
cmFuZG9taXplZCBjb250cm9sbGVkIHRyaWFsczwvdGl0bGU+PHNlY29uZGFyeS10aXRsZT5PYmVz
IFJldjwvc2Vjb25kYXJ5LXRpdGxlPjwvdGl0bGVzPjxwZXJpb2RpY2FsPjxmdWxsLXRpdGxlPk9i
ZXMgUmV2PC9mdWxsLXRpdGxlPjwvcGVyaW9kaWNhbD48cGFnZXM+OTYwLTk8L3BhZ2VzPjx2b2x1
bWU+MTc8L3ZvbHVtZT48bnVtYmVyPjEwPC9udW1iZXI+PGVkaXRpb24+MjAxNi8wNy8xNjwvZWRp
dGlvbj48a2V5d29yZHM+PGtleXdvcmQ+RGlhYmV0ZXMsIEdlc3RhdGlvbmFsL2V0aW9sb2d5Lypw
cmV2ZW50aW9uICZhbXA7IGNvbnRyb2wvdGhlcmFweTwva2V5d29yZD48a2V5d29yZD5EaWV0PC9r
ZXl3b3JkPjxrZXl3b3JkPkV4ZXJjaXNlPC9rZXl3b3JkPjxrZXl3b3JkPkZlbWFsZTwva2V5d29y
ZD48a2V5d29yZD5IZWFsdGggRWR1Y2F0aW9uPC9rZXl3b3JkPjxrZXl3b3JkPkh1bWFuczwva2V5
d29yZD48a2V5d29yZD5PYmVzaXR5Lypjb21wbGljYXRpb25zL3RoZXJhcHk8L2tleXdvcmQ+PGtl
eXdvcmQ+UGF0aWVudCBDb21wbGlhbmNlPC9rZXl3b3JkPjxrZXl3b3JkPlByZWduYW5jeTwva2V5
d29yZD48a2V5d29yZD5QcmVuYXRhbCBDYXJlL21ldGhvZHM8L2tleXdvcmQ+PGtleXdvcmQ+UHJp
bWFyeSBQcmV2ZW50aW9uLyptZXRob2RzPC9rZXl3b3JkPjxrZXl3b3JkPlJhbmRvbWl6ZWQgQ29u
dHJvbGxlZCBUcmlhbHMgYXMgVG9waWM8L2tleXdvcmQ+PGtleXdvcmQ+KlJpc2sgUmVkdWN0aW9u
IEJlaGF2aW9yPC9rZXl3b3JkPjxrZXl3b3JkPipnZXN0YXRpb25hbCBkaWFiZXRlczwva2V5d29y
ZD48a2V5d29yZD4qbGlmZXN0eWxlIGludGVydmVudGlvbjwva2V5d29yZD48a2V5d29yZD4qb2Jl
c2l0eTwva2V5d29yZD48a2V5d29yZD4qb3ZlcndlaWdodDwva2V5d29yZD48L2tleXdvcmRzPjxk
YXRlcz48eWVhcj4yMDE2PC95ZWFyPjxwdWItZGF0ZXM+PGRhdGU+T2N0PC9kYXRlPjwvcHViLWRh
dGVzPjwvZGF0ZXM+PGlzYm4+MTQ2Ny03ODlYIChFbGVjdHJvbmljKSYjeEQ7MTQ2Ny03ODgxIChM
aW5raW5nKTwvaXNibj48YWNjZXNzaW9uLW51bT4yNzQxNzY4MDwvYWNjZXNzaW9uLW51bT48dXJs
cz48cmVsYXRlZC11cmxzPjx1cmw+aHR0cHM6Ly93d3cubmNiaS5ubG0ubmloLmdvdi9wdWJtZWQv
Mjc0MTc2ODA8L3VybD48L3JlbGF0ZWQtdXJscz48L3VybHM+PGVsZWN0cm9uaWMtcmVzb3VyY2Ut
bnVtPjEwLjExMTEvb2JyLjEyNDQyPC9lbGVjdHJvbmljLXJlc291cmNlLW51bT48L3JlY29yZD48
L0NpdGU+PC9FbmROb3RlPgB=
</w:fldData>
              </w:fldChar>
            </w:r>
            <w:r w:rsidR="002747EA">
              <w:instrText xml:space="preserve"> ADDIN EN.CITE.DATA </w:instrText>
            </w:r>
            <w:r w:rsidR="002747EA">
              <w:fldChar w:fldCharType="end"/>
            </w:r>
            <w:r w:rsidRPr="00B87066">
              <w:fldChar w:fldCharType="separate"/>
            </w:r>
            <w:r w:rsidR="002747EA" w:rsidRPr="002747EA">
              <w:rPr>
                <w:noProof/>
                <w:sz w:val="18"/>
                <w:vertAlign w:val="superscript"/>
              </w:rPr>
              <w:t>421</w:t>
            </w:r>
            <w:r w:rsidRPr="00B87066">
              <w:fldChar w:fldCharType="end"/>
            </w:r>
          </w:p>
        </w:tc>
        <w:tc>
          <w:tcPr>
            <w:tcW w:w="2547" w:type="dxa"/>
            <w:shd w:val="clear" w:color="auto" w:fill="auto"/>
          </w:tcPr>
          <w:p w14:paraId="1911DD47" w14:textId="77777777" w:rsidR="00A5540F" w:rsidRPr="00B87066" w:rsidRDefault="00A5540F" w:rsidP="00A5540F">
            <w:pPr>
              <w:pStyle w:val="RCTstable"/>
            </w:pPr>
            <w:r w:rsidRPr="00B87066">
              <w:t>Mixed BMIs</w:t>
            </w:r>
          </w:p>
        </w:tc>
        <w:tc>
          <w:tcPr>
            <w:tcW w:w="2982" w:type="dxa"/>
            <w:shd w:val="clear" w:color="auto" w:fill="auto"/>
          </w:tcPr>
          <w:p w14:paraId="5D62A24A" w14:textId="77777777" w:rsidR="00A5540F" w:rsidRPr="00B87066" w:rsidRDefault="00A5540F" w:rsidP="00A5540F">
            <w:pPr>
              <w:pStyle w:val="RCTstable"/>
              <w:jc w:val="center"/>
              <w:rPr>
                <w:rStyle w:val="block"/>
                <w:bCs/>
              </w:rPr>
            </w:pPr>
            <w:r w:rsidRPr="00B87066">
              <w:rPr>
                <w:rStyle w:val="block"/>
                <w:bCs/>
              </w:rPr>
              <w:t>RR 0.85 (0.70 to 1.03)</w:t>
            </w:r>
          </w:p>
        </w:tc>
        <w:tc>
          <w:tcPr>
            <w:tcW w:w="1134" w:type="dxa"/>
            <w:shd w:val="clear" w:color="auto" w:fill="auto"/>
          </w:tcPr>
          <w:p w14:paraId="2BF8E53F" w14:textId="77777777" w:rsidR="00A5540F" w:rsidRPr="00B87066" w:rsidRDefault="00A5540F" w:rsidP="00A5540F">
            <w:pPr>
              <w:pStyle w:val="RCTstable"/>
              <w:jc w:val="center"/>
              <w:rPr>
                <w:rStyle w:val="block"/>
                <w:bCs/>
              </w:rPr>
            </w:pPr>
            <w:r w:rsidRPr="00B87066">
              <w:rPr>
                <w:rStyle w:val="block"/>
                <w:bCs/>
              </w:rPr>
              <w:t>14</w:t>
            </w:r>
          </w:p>
        </w:tc>
      </w:tr>
      <w:tr w:rsidR="00A5540F" w:rsidRPr="00B87066" w14:paraId="0CA3DAFE" w14:textId="77777777" w:rsidTr="00A5540F">
        <w:tc>
          <w:tcPr>
            <w:tcW w:w="2841" w:type="dxa"/>
            <w:shd w:val="clear" w:color="auto" w:fill="auto"/>
          </w:tcPr>
          <w:p w14:paraId="643BBA6C" w14:textId="4EC3AE5D" w:rsidR="00A5540F" w:rsidRPr="00B87066"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shd w:val="clear" w:color="auto" w:fill="auto"/>
          </w:tcPr>
          <w:p w14:paraId="626BA0FE" w14:textId="77777777" w:rsidR="00A5540F" w:rsidRPr="00B87066" w:rsidRDefault="00A5540F" w:rsidP="00A5540F">
            <w:pPr>
              <w:pStyle w:val="RCTstable"/>
            </w:pPr>
            <w:r>
              <w:t>Mixed BMIs</w:t>
            </w:r>
          </w:p>
        </w:tc>
        <w:tc>
          <w:tcPr>
            <w:tcW w:w="2982" w:type="dxa"/>
            <w:shd w:val="clear" w:color="auto" w:fill="auto"/>
          </w:tcPr>
          <w:p w14:paraId="560C0F5B" w14:textId="77777777" w:rsidR="00A5540F" w:rsidRPr="00B87066" w:rsidRDefault="00A5540F" w:rsidP="00A5540F">
            <w:pPr>
              <w:pStyle w:val="RCTstable"/>
              <w:jc w:val="center"/>
              <w:rPr>
                <w:rStyle w:val="block"/>
                <w:bCs/>
              </w:rPr>
            </w:pPr>
            <w:r>
              <w:rPr>
                <w:rStyle w:val="block"/>
                <w:bCs/>
              </w:rPr>
              <w:t>RR 0.96 (0.49 to 1.86)</w:t>
            </w:r>
          </w:p>
        </w:tc>
        <w:tc>
          <w:tcPr>
            <w:tcW w:w="1134" w:type="dxa"/>
            <w:shd w:val="clear" w:color="auto" w:fill="auto"/>
          </w:tcPr>
          <w:p w14:paraId="27B60328" w14:textId="77777777" w:rsidR="00A5540F" w:rsidRPr="00B87066" w:rsidRDefault="00A5540F" w:rsidP="00A5540F">
            <w:pPr>
              <w:pStyle w:val="RCTstable"/>
              <w:jc w:val="center"/>
              <w:rPr>
                <w:rStyle w:val="block"/>
                <w:bCs/>
              </w:rPr>
            </w:pPr>
            <w:r>
              <w:rPr>
                <w:rStyle w:val="block"/>
                <w:bCs/>
              </w:rPr>
              <w:t>3</w:t>
            </w:r>
          </w:p>
        </w:tc>
      </w:tr>
      <w:tr w:rsidR="00A5540F" w:rsidRPr="00C12274" w14:paraId="59D53D67" w14:textId="77777777" w:rsidTr="00A5540F">
        <w:tc>
          <w:tcPr>
            <w:tcW w:w="2841" w:type="dxa"/>
          </w:tcPr>
          <w:p w14:paraId="0515045D" w14:textId="66AA1EFD" w:rsidR="00A5540F" w:rsidRPr="00916B76" w:rsidRDefault="00A5540F" w:rsidP="002747EA">
            <w:pPr>
              <w:pStyle w:val="RCTstable"/>
            </w:pPr>
            <w:r w:rsidRPr="00916B76">
              <w:t>Thangaratinam</w:t>
            </w:r>
            <w:r>
              <w:t xml:space="preserve">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Pr>
          <w:p w14:paraId="12551F35" w14:textId="77777777" w:rsidR="00A5540F" w:rsidRPr="00C12274" w:rsidRDefault="00A5540F" w:rsidP="00A5540F">
            <w:pPr>
              <w:pStyle w:val="RCTstable"/>
            </w:pPr>
            <w:r>
              <w:t>Mixed BMIs</w:t>
            </w:r>
          </w:p>
        </w:tc>
        <w:tc>
          <w:tcPr>
            <w:tcW w:w="2982" w:type="dxa"/>
          </w:tcPr>
          <w:p w14:paraId="669AE94D" w14:textId="77777777" w:rsidR="00A5540F" w:rsidRPr="00B063FF" w:rsidRDefault="00A5540F" w:rsidP="00A5540F">
            <w:pPr>
              <w:pStyle w:val="RCTstable"/>
              <w:jc w:val="center"/>
            </w:pPr>
            <w:r>
              <w:t>RR 1.18 (0.78 to 1.77)</w:t>
            </w:r>
          </w:p>
        </w:tc>
        <w:tc>
          <w:tcPr>
            <w:tcW w:w="1134" w:type="dxa"/>
          </w:tcPr>
          <w:p w14:paraId="5FF51FE3" w14:textId="77777777" w:rsidR="00A5540F" w:rsidRPr="008C6CCE" w:rsidRDefault="00A5540F" w:rsidP="00A5540F">
            <w:pPr>
              <w:pStyle w:val="RCTstable"/>
              <w:jc w:val="center"/>
            </w:pPr>
            <w:r>
              <w:t>6</w:t>
            </w:r>
          </w:p>
        </w:tc>
      </w:tr>
      <w:tr w:rsidR="00A5540F" w:rsidRPr="00B87066" w14:paraId="0AF11422" w14:textId="77777777" w:rsidTr="00A5540F">
        <w:tc>
          <w:tcPr>
            <w:tcW w:w="2841" w:type="dxa"/>
            <w:shd w:val="clear" w:color="auto" w:fill="auto"/>
          </w:tcPr>
          <w:p w14:paraId="64A16E82" w14:textId="1E6DB7D3" w:rsidR="00A5540F" w:rsidRPr="00B87066" w:rsidRDefault="00A5540F" w:rsidP="002747EA">
            <w:pPr>
              <w:pStyle w:val="RCTstable"/>
            </w:pPr>
            <w:r w:rsidRPr="00B87066">
              <w:t>Bennet et al 2018</w:t>
            </w:r>
            <w:r w:rsidRPr="00B87066">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 </w:instrText>
            </w:r>
            <w:r w:rsidR="002747EA">
              <w:fldChar w:fldCharType="begin">
                <w:fldData xml:space="preserve">PEVuZE5vdGU+PENpdGU+PEF1dGhvcj5CZW5uZXR0PC9BdXRob3I+PFllYXI+MjAxODwvWWVhcj48
UmVjTnVtPjU2NjwvUmVjTnVtPjxEaXNwbGF5VGV4dD48c3R5bGUgZmFjZT0ic3VwZXJzY3JpcHQi
IGZvbnQ9IlRyZWJ1Y2hldCBNUyIgc2l6ZT0iOSI+NDE4PC9zdHlsZT48L0Rpc3BsYXlUZXh0Pjxy
ZWNvcmQ+PHJlYy1udW1iZXI+NTY2PC9yZWMtbnVtYmVyPjxmb3JlaWduLWtleXM+PGtleSBhcHA9
IkVOIiBkYi1pZD0iZXh2YXNyZngyZHRyYW9lc2FzeHAyc3pzeGEyZGY1MDI1OTJ4IiB0aW1lc3Rh
bXA9IjE1MzU5MzM3OTgiPjU2Njwva2V5PjxrZXkgYXBwPSJFTldlYiIgZGItaWQ9IiI+MDwva2V5
PjwvZm9yZWlnbi1rZXlzPjxyZWYtdHlwZSBuYW1lPSJKb3VybmFsIEFydGljbGUiPjE3PC9yZWYt
dHlwZT48Y29udHJpYnV0b3JzPjxhdXRob3JzPjxhdXRob3I+QmVubmV0dCwgQy4gSi48L2F1dGhv
cj48YXV0aG9yPldhbGtlciwgUi4gRS48L2F1dGhvcj48YXV0aG9yPkJsdW1maWVsZCwgTS4gTC48
L2F1dGhvcj48YXV0aG9yPkd3aW5pLCBTLiBNLjwvYXV0aG9yPjxhdXRob3I+TWEsIEouPC9hdXRo
b3I+PGF1dGhvcj5XYW5nLCBGLjwvYXV0aG9yPjxhdXRob3I+V2FuLCBZLjwvYXV0aG9yPjxhdXRo
b3I+RGlja2luc29uLCBILjwvYXV0aG9yPjxhdXRob3I+VHJ1YnksIEguPC9hdXRob3I+PC9hdXRo
b3JzPjwvY29udHJpYnV0b3JzPjxhdXRoLWFkZHJlc3M+RGVwYXJ0bWVudCBvZiBOdXRyaXRpb24s
IERpZXRldGljcyBhbmQgRm9vZCwgU2Nob29sIG9mIENsaW5pY2FsIFNjaWVuY2VzLCBGYWN1bHR5
IG9mIE1lZGljaW5lLCBOdXJzaW5nIGFuZCBIZWFsdGggU2NpZW5jZXMsIE1vbmFzaCBVbml2ZXJz
aXR5LCBDbGF5dG9uLCBWaWN0b3JpYSwgQXVzdHJhbGlhLiYjeEQ7Qmlvc3RhdGlzdGljcyBQbGF0
Zm9ybSwgRGVwYXJ0bWVudCBvZiBFcGlkZW1pb2xvZ3kgYW5kIFByZXZlbnRpdmUgTWVkaWNpbmUs
IFNjaG9vbCBvZiBQdWJsaWMgSGVhbHRoIGFuZCBQcmV2ZW50aXZlIE1lZGljaW5lLCBNb25hc2gg
VW5pdmVyc2l0eSwgQXVzdHJhbGlhLiYjeEQ7SW5zdGl0dXRlIG9mIE51dHJpdGlvbiBhbmQgRm9v
ZCBIeWdpZW5lLCBTY2hvb2wgb2YgUHVibGljIEhlYWx0aCwgTGFuemhvdSBVbml2ZXJzaXR5LCBD
aGluYS4mI3hEO0RlcGFydG1lbnQgb2YgRm9vZCBTY2llbmNlIGFuZCBOdXRyaXRpb24sIFpoZWpp
YW5nIFVuaXZlcnNpdHksIEhhbmd6aG91LCBDaGluYS4mI3hEO1RoZSBSaWNoaWUgQ2VudHJlLCBU
cmFuc2xhdGlvbmFsIFJlc2VhcmNoIEZhY2lsaXR5LCBIdWRzb24gSW5zdGl0dXRlIG9mIE1lZGlj
YWwgUmVzZWFyY2gsIENsYXl0b24sIFZpYy4sIEF1c3RyYWxpYTsgRGVwYXJ0bWVudCBvZiBPYnN0
ZXRyaWNzIGFuZCBHeW5hZWNvbG9neSwgTW9uYXNoIFVuaXZlcnNpdHksIE1lbGJvdXJuZSwgVmlj
LiwgQXVzdHJhbGlhLiYjeEQ7RGVwYXJ0bWVudCBvZiBOdXRyaXRpb24sIERpZXRldGljcyBhbmQg
Rm9vZCwgU2Nob29sIG9mIENsaW5pY2FsIFNjaWVuY2VzLCBGYWN1bHR5IG9mIE1lZGljaW5lLCBO
dXJzaW5nIGFuZCBIZWFsdGggU2NpZW5jZXMsIE1vbmFzaCBVbml2ZXJzaXR5LCBDbGF5dG9uLCBW
aWN0b3JpYSwgQXVzdHJhbGlhLiBFbGVjdHJvbmljIGFkZHJlc3M6IEhlbGVuLlRydWJ5QG1vbmFz
aC5lZHUuPC9hdXRoLWFkZHJlc3M+PHRpdGxlcz48dGl0bGU+SW50ZXJ2ZW50aW9ucyBkZXNpZ25l
ZCB0byByZWR1Y2UgZXhjZXNzaXZlIGdlc3RhdGlvbmFsIHdlaWdodCBnYWluIGNhbiByZWR1Y2Ug
dGhlIGluY2lkZW5jZSBvZiBnZXN0YXRpb25hbCBkaWFiZXRlcyBtZWxsaXR1czogQSBzeXN0ZW1h
dGljIHJldmlldyBhbmQgbWV0YS1hbmFseXNpcyBvZiByYW5kb21pc2VkIGNvbnRyb2xsZWQgdHJp
YWxzPC90aXRsZT48c2Vjb25kYXJ5LXRpdGxlPkRpYWJldGVzIFJlcyBDbGluIFByYWN0PC9zZWNv
bmRhcnktdGl0bGU+PC90aXRsZXM+PHBlcmlvZGljYWw+PGZ1bGwtdGl0bGU+RGlhYmV0ZXMgUmVz
IENsaW4gUHJhY3Q8L2Z1bGwtdGl0bGU+PC9wZXJpb2RpY2FsPjxwYWdlcz42OS03OTwvcGFnZXM+
PHZvbHVtZT4xNDE8L3ZvbHVtZT48ZWRpdGlvbj4yMDE4LzA0LzI3PC9lZGl0aW9uPjxrZXl3b3Jk
cz48a2V5d29yZD5Cb2R5IE1hc3MgSW5kZXg8L2tleXdvcmQ+PGtleXdvcmQ+RGlhYmV0ZXMsIEdl
c3RhdGlvbmFsLypwcmV2ZW50aW9uICZhbXA7IGNvbnRyb2w8L2tleXdvcmQ+PGtleXdvcmQ+RGll
dC8qbWV0aG9kczwva2V5d29yZD48a2V5d29yZD5GZW1hbGU8L2tleXdvcmQ+PGtleXdvcmQ+SHVt
YW5zPC9rZXl3b3JkPjxrZXl3b3JkPkluY2lkZW5jZTwva2V5d29yZD48a2V5d29yZD5QcmVnbmFu
Y3k8L2tleXdvcmQ+PGtleXdvcmQ+UmFuZG9taXplZCBDb250cm9sbGVkIFRyaWFscyBhcyBUb3Bp
Yzwva2V5d29yZD48a2V5d29yZD5XZWlnaHQgR2Fpbi8qcGh5c2lvbG9neTwva2V5d29yZD48a2V5
d29yZD5EaWV0PC9rZXl3b3JkPjxrZXl3b3JkPkV4ZXJjaXNlPC9rZXl3b3JkPjxrZXl3b3JkPkdl
c3RhdGlvbmFsIGRpYWJldGVzIG1lbGxpdHVzPC9rZXl3b3JkPjxrZXl3b3JkPkdlc3RhdGlvbmFs
IHdlaWdodCBnYWluPC9rZXl3b3JkPjxrZXl3b3JkPkxpZmVzdHlsZTwva2V5d29yZD48a2V5d29y
ZD5QcmVnbmFuY3ktYXNzb2NpYXRlZCBkaWFiZXRlczwva2V5d29yZD48L2tleXdvcmRzPjxkYXRl
cz48eWVhcj4yMDE4PC95ZWFyPjxwdWItZGF0ZXM+PGRhdGU+SnVsPC9kYXRlPjwvcHViLWRhdGVz
PjwvZGF0ZXM+PGlzYm4+MTg3Mi04MjI3IChFbGVjdHJvbmljKSYjeEQ7MDE2OC04MjI3IChMaW5r
aW5nKTwvaXNibj48YWNjZXNzaW9uLW51bT4yOTY5ODcxMzwvYWNjZXNzaW9uLW51bT48dXJscz48
cmVsYXRlZC11cmxzPjx1cmw+aHR0cHM6Ly93d3cubmNiaS5ubG0ubmloLmdvdi9wdWJtZWQvMjk2
OTg3MTM8L3VybD48L3JlbGF0ZWQtdXJscz48L3VybHM+PGVsZWN0cm9uaWMtcmVzb3VyY2UtbnVt
PjEwLjEwMTYvai5kaWFicmVzLjIwMTguMDQuMDEwPC9lbGVjdHJvbmljLXJlc291cmNlLW51bT48
L3JlY29yZD48L0NpdGU+PC9FbmROb3RlPn==
</w:fldData>
              </w:fldChar>
            </w:r>
            <w:r w:rsidR="002747EA">
              <w:instrText xml:space="preserve"> ADDIN EN.CITE.DATA </w:instrText>
            </w:r>
            <w:r w:rsidR="002747EA">
              <w:fldChar w:fldCharType="end"/>
            </w:r>
            <w:r w:rsidRPr="00B87066">
              <w:fldChar w:fldCharType="separate"/>
            </w:r>
            <w:r w:rsidR="002747EA" w:rsidRPr="002747EA">
              <w:rPr>
                <w:noProof/>
                <w:sz w:val="18"/>
                <w:vertAlign w:val="superscript"/>
              </w:rPr>
              <w:t>418</w:t>
            </w:r>
            <w:r w:rsidRPr="00B87066">
              <w:fldChar w:fldCharType="end"/>
            </w:r>
          </w:p>
        </w:tc>
        <w:tc>
          <w:tcPr>
            <w:tcW w:w="2547" w:type="dxa"/>
            <w:shd w:val="clear" w:color="auto" w:fill="auto"/>
          </w:tcPr>
          <w:p w14:paraId="2019661E" w14:textId="77777777" w:rsidR="00A5540F" w:rsidRPr="00B87066" w:rsidRDefault="00A5540F" w:rsidP="00A5540F">
            <w:pPr>
              <w:pStyle w:val="RCTstable"/>
            </w:pPr>
            <w:r w:rsidRPr="00B87066">
              <w:t>Overweight and obese women</w:t>
            </w:r>
          </w:p>
        </w:tc>
        <w:tc>
          <w:tcPr>
            <w:tcW w:w="2982" w:type="dxa"/>
            <w:shd w:val="clear" w:color="auto" w:fill="auto"/>
          </w:tcPr>
          <w:p w14:paraId="096F4E2A" w14:textId="77777777" w:rsidR="00A5540F" w:rsidRPr="00B87066" w:rsidRDefault="00A5540F" w:rsidP="00A5540F">
            <w:pPr>
              <w:pStyle w:val="RCTstable"/>
              <w:jc w:val="center"/>
            </w:pPr>
            <w:r w:rsidRPr="00B87066">
              <w:rPr>
                <w:rStyle w:val="block"/>
                <w:bCs/>
              </w:rPr>
              <w:t>RR 0.96 (0.82 to 1.14)</w:t>
            </w:r>
          </w:p>
        </w:tc>
        <w:tc>
          <w:tcPr>
            <w:tcW w:w="1134" w:type="dxa"/>
            <w:shd w:val="clear" w:color="auto" w:fill="auto"/>
          </w:tcPr>
          <w:p w14:paraId="0E165CC1" w14:textId="77777777" w:rsidR="00A5540F" w:rsidRPr="00B87066" w:rsidRDefault="00A5540F" w:rsidP="00A5540F">
            <w:pPr>
              <w:pStyle w:val="RCTstable"/>
              <w:jc w:val="center"/>
            </w:pPr>
            <w:r>
              <w:t>14</w:t>
            </w:r>
          </w:p>
        </w:tc>
      </w:tr>
      <w:tr w:rsidR="00A5540F" w:rsidRPr="00B87066" w14:paraId="78325F34" w14:textId="77777777" w:rsidTr="00A5540F">
        <w:tc>
          <w:tcPr>
            <w:tcW w:w="2841" w:type="dxa"/>
            <w:tcBorders>
              <w:bottom w:val="single" w:sz="4" w:space="0" w:color="3B3474"/>
            </w:tcBorders>
            <w:shd w:val="clear" w:color="auto" w:fill="auto"/>
          </w:tcPr>
          <w:p w14:paraId="5D9E22C8" w14:textId="28EE1EA6" w:rsidR="00A5540F" w:rsidRPr="00C12274" w:rsidRDefault="00A5540F" w:rsidP="002747EA">
            <w:pPr>
              <w:pStyle w:val="RCTstable"/>
              <w:rPr>
                <w:noProof/>
              </w:rPr>
            </w:pPr>
            <w:r w:rsidRPr="00916B76">
              <w:t>Oteng-Ntim 2012</w:t>
            </w:r>
            <w:r>
              <w:fldChar w:fldCharType="begin"/>
            </w:r>
            <w:r w:rsidR="002747EA">
              <w:instrText xml:space="preserve"> ADDIN EN.CITE &lt;EndNote&gt;&lt;Cite&gt;&lt;Author&gt;Oteng-Ntim&lt;/Author&gt;&lt;Year&gt;2012&lt;/Year&gt;&lt;RecNum&gt;1137&lt;/RecNum&gt;&lt;DisplayText&gt;&lt;style face="superscript" font="Trebuchet MS" size="9"&gt;528&lt;/style&gt;&lt;/DisplayText&gt;&lt;record&gt;&lt;rec-number&gt;1137&lt;/rec-number&gt;&lt;foreign-keys&gt;&lt;key app="EN" db-id="exvasrfx2dtraoesasxp2szsxa2df502592x" timestamp="1555051770"&gt;1137&lt;/key&gt;&lt;key app="ENWeb" db-id=""&gt;0&lt;/key&gt;&lt;/foreign-keys&gt;&lt;ref-type name="Journal Article"&gt;17&lt;/ref-type&gt;&lt;contributors&gt;&lt;authors&gt;&lt;author&gt;Oteng-Ntim, E.&lt;/author&gt;&lt;author&gt;Varma, R.&lt;/author&gt;&lt;author&gt;Croker, H.&lt;/author&gt;&lt;author&gt;Poston, L.&lt;/author&gt;&lt;author&gt;Doyle, P.&lt;/author&gt;&lt;/authors&gt;&lt;/contributors&gt;&lt;auth-address&gt;Department of Women&amp;apos;s Health, Guy&amp;apos;s and St Thomas&amp;apos; NHS Foundation Trust (King&amp;apos;s Health Partners), St Thomas&amp;apos; Hospital, Westminster Bridge Road, London, SE 1 7EH, UK. Eugene.oteng-ntim@gstt.nhs.uk&lt;/auth-address&gt;&lt;titles&gt;&lt;title&gt;Lifestyle interventions for overweight and obese pregnant women to improve pregnancy outcome: systematic review and meta-analysis&lt;/title&gt;&lt;secondary-title&gt;BMC Med&lt;/secondary-title&gt;&lt;/titles&gt;&lt;periodical&gt;&lt;full-title&gt;BMC Med&lt;/full-title&gt;&lt;/periodical&gt;&lt;pages&gt;47&lt;/pages&gt;&lt;volume&gt;10&lt;/volume&gt;&lt;edition&gt;2012/05/12&lt;/edition&gt;&lt;keywords&gt;&lt;keyword&gt;Behavior Therapy/methods&lt;/keyword&gt;&lt;keyword&gt;Clinical Trials as Topic&lt;/keyword&gt;&lt;keyword&gt;Diet/methods&lt;/keyword&gt;&lt;keyword&gt;Exercise&lt;/keyword&gt;&lt;keyword&gt;Female&lt;/keyword&gt;&lt;keyword&gt;Humans&lt;/keyword&gt;&lt;keyword&gt;*Life Style&lt;/keyword&gt;&lt;keyword&gt;Overweight/*prevention &amp;amp; control/*therapy&lt;/keyword&gt;&lt;keyword&gt;Pregnancy&lt;/keyword&gt;&lt;keyword&gt;Pregnancy Complications/*prevention &amp;amp; control/*therapy&lt;/keyword&gt;&lt;keyword&gt;Pregnancy Outcome&lt;/keyword&gt;&lt;/keywords&gt;&lt;dates&gt;&lt;year&gt;2012&lt;/year&gt;&lt;pub-dates&gt;&lt;date&gt;May 10&lt;/date&gt;&lt;/pub-dates&gt;&lt;/dates&gt;&lt;isbn&gt;1741-7015 (Electronic)&amp;#xD;1741-7015 (Linking)&lt;/isbn&gt;&lt;accession-num&gt;22574949&lt;/accession-num&gt;&lt;urls&gt;&lt;related-urls&gt;&lt;url&gt;https://www.ncbi.nlm.nih.gov/pubmed/22574949&lt;/url&gt;&lt;/related-urls&gt;&lt;/urls&gt;&lt;custom2&gt;PMC3355057&lt;/custom2&gt;&lt;electronic-resource-num&gt;10.1186/1741-7015-10-47&lt;/electronic-resource-num&gt;&lt;/record&gt;&lt;/Cite&gt;&lt;/EndNote&gt;</w:instrText>
            </w:r>
            <w:r>
              <w:fldChar w:fldCharType="separate"/>
            </w:r>
            <w:r w:rsidR="002747EA" w:rsidRPr="002747EA">
              <w:rPr>
                <w:noProof/>
                <w:sz w:val="18"/>
                <w:vertAlign w:val="superscript"/>
              </w:rPr>
              <w:t>528</w:t>
            </w:r>
            <w:r>
              <w:fldChar w:fldCharType="end"/>
            </w:r>
          </w:p>
        </w:tc>
        <w:tc>
          <w:tcPr>
            <w:tcW w:w="2547" w:type="dxa"/>
            <w:tcBorders>
              <w:bottom w:val="single" w:sz="4" w:space="0" w:color="3B3474"/>
            </w:tcBorders>
            <w:shd w:val="clear" w:color="auto" w:fill="auto"/>
          </w:tcPr>
          <w:p w14:paraId="16A948F9" w14:textId="77777777" w:rsidR="00A5540F" w:rsidRDefault="00A5540F" w:rsidP="00A5540F">
            <w:pPr>
              <w:pStyle w:val="RCTstable"/>
            </w:pPr>
            <w:r>
              <w:t>Overweight and obese women</w:t>
            </w:r>
          </w:p>
        </w:tc>
        <w:tc>
          <w:tcPr>
            <w:tcW w:w="2982" w:type="dxa"/>
            <w:tcBorders>
              <w:bottom w:val="single" w:sz="4" w:space="0" w:color="3B3474"/>
            </w:tcBorders>
            <w:shd w:val="clear" w:color="auto" w:fill="auto"/>
          </w:tcPr>
          <w:p w14:paraId="776124A9" w14:textId="77777777" w:rsidR="00A5540F" w:rsidRDefault="00A5540F" w:rsidP="00A5540F">
            <w:pPr>
              <w:pStyle w:val="RCTstable"/>
              <w:jc w:val="center"/>
              <w:rPr>
                <w:rStyle w:val="block"/>
                <w:bCs/>
              </w:rPr>
            </w:pPr>
            <w:r>
              <w:rPr>
                <w:rStyle w:val="block"/>
                <w:bCs/>
              </w:rPr>
              <w:t>OR 0.80 (0.58 to 1.10)</w:t>
            </w:r>
          </w:p>
        </w:tc>
        <w:tc>
          <w:tcPr>
            <w:tcW w:w="1134" w:type="dxa"/>
            <w:tcBorders>
              <w:bottom w:val="single" w:sz="4" w:space="0" w:color="3B3474"/>
            </w:tcBorders>
            <w:shd w:val="clear" w:color="auto" w:fill="auto"/>
          </w:tcPr>
          <w:p w14:paraId="64C86E0A" w14:textId="77777777" w:rsidR="00A5540F" w:rsidRDefault="00A5540F" w:rsidP="00A5540F">
            <w:pPr>
              <w:pStyle w:val="RCTstable"/>
              <w:jc w:val="center"/>
              <w:rPr>
                <w:rStyle w:val="block"/>
                <w:bCs/>
              </w:rPr>
            </w:pPr>
            <w:r>
              <w:rPr>
                <w:rStyle w:val="block"/>
                <w:bCs/>
              </w:rPr>
              <w:t>6</w:t>
            </w:r>
          </w:p>
        </w:tc>
      </w:tr>
      <w:tr w:rsidR="00A5540F" w:rsidRPr="00B87066" w14:paraId="780B24EA" w14:textId="77777777" w:rsidTr="00A5540F">
        <w:tc>
          <w:tcPr>
            <w:tcW w:w="9504" w:type="dxa"/>
            <w:gridSpan w:val="4"/>
            <w:shd w:val="clear" w:color="auto" w:fill="D9E2F3" w:themeFill="accent1" w:themeFillTint="33"/>
          </w:tcPr>
          <w:p w14:paraId="3F7B4B79" w14:textId="77777777" w:rsidR="00A5540F" w:rsidRPr="00B87066" w:rsidRDefault="00A5540F" w:rsidP="00A5540F">
            <w:pPr>
              <w:pStyle w:val="RCTstable"/>
              <w:rPr>
                <w:i/>
              </w:rPr>
            </w:pPr>
            <w:r>
              <w:rPr>
                <w:i/>
              </w:rPr>
              <w:t>Gestational hypertension</w:t>
            </w:r>
          </w:p>
        </w:tc>
      </w:tr>
      <w:tr w:rsidR="00A5540F" w:rsidRPr="00B87066" w14:paraId="73914354" w14:textId="77777777" w:rsidTr="00A5540F">
        <w:tc>
          <w:tcPr>
            <w:tcW w:w="2841" w:type="dxa"/>
            <w:tcBorders>
              <w:bottom w:val="single" w:sz="4" w:space="0" w:color="3B3474"/>
            </w:tcBorders>
            <w:shd w:val="clear" w:color="auto" w:fill="F2F2F2" w:themeFill="background1" w:themeFillShade="F2"/>
          </w:tcPr>
          <w:p w14:paraId="5E941B8B"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72F18B1E"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3773061E" w14:textId="08847A24" w:rsidR="00A5540F" w:rsidRPr="00910A40" w:rsidRDefault="00690F45" w:rsidP="00A5540F">
            <w:pPr>
              <w:pStyle w:val="RCTstable"/>
              <w:jc w:val="center"/>
            </w:pPr>
            <w:r>
              <w:t>RR 0.9</w:t>
            </w:r>
            <w:r w:rsidR="00E01ACF">
              <w:t>9</w:t>
            </w:r>
            <w:r>
              <w:t xml:space="preserve"> (0.</w:t>
            </w:r>
            <w:r w:rsidR="00E01ACF">
              <w:t>7</w:t>
            </w:r>
            <w:r>
              <w:t>7</w:t>
            </w:r>
            <w:r w:rsidR="00A5540F" w:rsidRPr="00910A40">
              <w:t xml:space="preserve"> to 1.2</w:t>
            </w:r>
            <w:r w:rsidR="00E01ACF">
              <w:t>8</w:t>
            </w:r>
            <w:r w:rsidR="00A5540F" w:rsidRPr="00910A40">
              <w:t>)</w:t>
            </w:r>
          </w:p>
        </w:tc>
        <w:tc>
          <w:tcPr>
            <w:tcW w:w="1134" w:type="dxa"/>
            <w:tcBorders>
              <w:bottom w:val="single" w:sz="4" w:space="0" w:color="3B3474"/>
            </w:tcBorders>
            <w:shd w:val="clear" w:color="auto" w:fill="F2F2F2" w:themeFill="background1" w:themeFillShade="F2"/>
          </w:tcPr>
          <w:p w14:paraId="52BE8F6E" w14:textId="5D4E7B7C" w:rsidR="00A5540F" w:rsidRPr="00B87066" w:rsidRDefault="00A5540F" w:rsidP="00A5540F">
            <w:pPr>
              <w:pStyle w:val="RCTstable"/>
              <w:jc w:val="center"/>
            </w:pPr>
            <w:r w:rsidRPr="00B87066">
              <w:t>1</w:t>
            </w:r>
            <w:r w:rsidR="00E01ACF">
              <w:t>3</w:t>
            </w:r>
          </w:p>
        </w:tc>
      </w:tr>
      <w:tr w:rsidR="002966C2" w:rsidRPr="00C12274" w14:paraId="77556FF3" w14:textId="77777777" w:rsidTr="0002532B">
        <w:tc>
          <w:tcPr>
            <w:tcW w:w="2841" w:type="dxa"/>
          </w:tcPr>
          <w:p w14:paraId="39391071" w14:textId="3A223C14" w:rsidR="002966C2" w:rsidRDefault="002966C2" w:rsidP="002747EA">
            <w:pPr>
              <w:pStyle w:val="RCTstable"/>
              <w:rPr>
                <w:noProof/>
              </w:rPr>
            </w:pPr>
            <w:r>
              <w:rPr>
                <w:noProof/>
              </w:rPr>
              <w:t>Davenport et al 2018a</w:t>
            </w:r>
            <w:r w:rsidR="00D07346">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466</w:t>
            </w:r>
            <w:r w:rsidR="00D07346">
              <w:rPr>
                <w:noProof/>
              </w:rPr>
              <w:fldChar w:fldCharType="end"/>
            </w:r>
          </w:p>
        </w:tc>
        <w:tc>
          <w:tcPr>
            <w:tcW w:w="2547" w:type="dxa"/>
          </w:tcPr>
          <w:p w14:paraId="5D387F91" w14:textId="77777777" w:rsidR="002966C2" w:rsidRDefault="002966C2" w:rsidP="0002532B">
            <w:pPr>
              <w:pStyle w:val="RCTstable"/>
            </w:pPr>
            <w:r>
              <w:t>Mixed BMIs</w:t>
            </w:r>
          </w:p>
        </w:tc>
        <w:tc>
          <w:tcPr>
            <w:tcW w:w="2982" w:type="dxa"/>
          </w:tcPr>
          <w:p w14:paraId="5B82B737" w14:textId="2F0857D3" w:rsidR="002966C2" w:rsidRDefault="002966C2" w:rsidP="002966C2">
            <w:pPr>
              <w:pStyle w:val="RCTstable"/>
              <w:jc w:val="center"/>
              <w:rPr>
                <w:rFonts w:eastAsiaTheme="majorEastAsia"/>
              </w:rPr>
            </w:pPr>
            <w:r>
              <w:rPr>
                <w:rFonts w:eastAsiaTheme="majorEastAsia"/>
              </w:rPr>
              <w:t>RR 0.95 (0.72 to 1.27)</w:t>
            </w:r>
          </w:p>
        </w:tc>
        <w:tc>
          <w:tcPr>
            <w:tcW w:w="1134" w:type="dxa"/>
          </w:tcPr>
          <w:p w14:paraId="40BB9524" w14:textId="2D87F740" w:rsidR="002966C2" w:rsidRDefault="002966C2" w:rsidP="0002532B">
            <w:pPr>
              <w:pStyle w:val="RCTstable"/>
              <w:jc w:val="center"/>
            </w:pPr>
            <w:r>
              <w:t>11</w:t>
            </w:r>
          </w:p>
        </w:tc>
      </w:tr>
      <w:tr w:rsidR="00A5540F" w:rsidRPr="00B87066" w14:paraId="72CC22D2" w14:textId="77777777" w:rsidTr="00A5540F">
        <w:tc>
          <w:tcPr>
            <w:tcW w:w="2841" w:type="dxa"/>
            <w:shd w:val="clear" w:color="auto" w:fill="auto"/>
          </w:tcPr>
          <w:p w14:paraId="26D0DB96" w14:textId="4AAB787D" w:rsidR="00A5540F" w:rsidRPr="00C12274" w:rsidRDefault="00A5540F" w:rsidP="002747EA">
            <w:pPr>
              <w:pStyle w:val="RCTstable"/>
              <w:rPr>
                <w:noProof/>
              </w:rPr>
            </w:pPr>
            <w:r w:rsidRPr="00916B76">
              <w:t>O’Brien</w:t>
            </w:r>
            <w:r w:rsidR="00387849">
              <w:t xml:space="preserve"> et al 2016</w:t>
            </w:r>
            <w:r w:rsidR="00E51743">
              <w:fldChar w:fldCharType="begin">
                <w:fldData xml:space="preserve">PEVuZE5vdGU+PENpdGU+PEF1dGhvcj5PJmFwb3M7QnJpZW48L0F1dGhvcj48WWVhcj4yMDE2PC9Z
ZWFyPjxSZWNOdW0+MTI3MzwvUmVjTnVtPjxEaXNwbGF5VGV4dD48c3R5bGUgZmFjZT0ic3VwZXJz
Y3JpcHQiIGZvbnQ9IlRyZWJ1Y2hldCBNUyIgc2l6ZT0iOSI+NTIzPC9zdHlsZT48L0Rpc3BsYXlU
ZXh0PjxyZWNvcmQ+PHJlYy1udW1iZXI+MTI3MzwvcmVjLW51bWJlcj48Zm9yZWlnbi1rZXlzPjxr
ZXkgYXBwPSJFTiIgZGItaWQ9ImV4dmFzcmZ4MmR0cmFvZXNhc3hwMnN6c3hhMmRmNTAyNTkyeCIg
dGltZXN0YW1wPSIxNTYzMTYzNDcxIj4xMjczPC9rZXk+PGtleSBhcHA9IkVOV2ViIiBkYi1pZD0i
Ij4wPC9rZXk+PC9mb3JlaWduLWtleXM+PHJlZi10eXBlIG5hbWU9IkpvdXJuYWwgQXJ0aWNsZSI+
MTc8L3JlZi10eXBlPjxjb250cmlidXRvcnM+PGF1dGhvcnM+PGF1dGhvcj5PJmFwb3M7QnJpZW4s
IEMuIE0uPC9hdXRob3I+PGF1dGhvcj5Hcml2ZWxsLCBSLiBNLjwvYXV0aG9yPjxhdXRob3I+RG9k
ZCwgSi4gTS48L2F1dGhvcj48L2F1dGhvcnM+PC9jb250cmlidXRvcnM+PGF1dGgtYWRkcmVzcz5T
Y2hvb2wgb2YgUGFlZGlhdHJpY3MgYW5kIFJlcHJvZHVjdGl2ZSBIZWFsdGgsIGFuZCBSb2JpbnNv
biBSZXNlYXJjaCBJbnN0aXR1dGUsIFVuaXZlcnNpdHkgb2YgQWRlbGFpZGUsIE5vcnRoIEFkZWxh
aWRlLCBTb3V0aCBBdXN0cmFsaWEsIEF1c3RyYWxpYS4mI3hEO0RlcGFydG1lbnQgb2YgUGVyaW5h
dGFsIE1lZGljaW5lLCBXb21lbiZhcG9zO3MgYW5kIEJhYmllcyZhcG9zOyBEaXZpc2lvbiwgV29t
ZW4mYXBvcztzIGFuZCBDaGlsZHJlbiZhcG9zO3MgSG9zcGl0YWwsIE5vcnRoIEFkZWxhaWRlLCBT
b3V0aCBBdXN0cmFsaWEsIEF1c3RyYWxpYS48L2F1dGgtYWRkcmVzcz48dGl0bGVzPjx0aXRsZT5T
eXN0ZW1hdGljIHJldmlldyBvZiBhbnRlbmF0YWwgZGlldGFyeSBhbmQgbGlmZXN0eWxlIGludGVy
dmVudGlvbnMgaW4gd29tZW4gd2l0aCBhIG5vcm1hbCBib2R5IG1hc3MgaW5kZXg8L3RpdGxlPjxz
ZWNvbmRhcnktdGl0bGU+QWN0YSBPYnN0ZXQgR3luZWNvbCBTY2FuZDwvc2Vjb25kYXJ5LXRpdGxl
PjwvdGl0bGVzPjxwZXJpb2RpY2FsPjxmdWxsLXRpdGxlPkFjdGEgT2JzdGV0IEd5bmVjb2wgU2Nh
bmQ8L2Z1bGwtdGl0bGU+PC9wZXJpb2RpY2FsPjxwYWdlcz4yNTktNjk8L3BhZ2VzPjx2b2x1bWU+
OTU8L3ZvbHVtZT48bnVtYmVyPjM8L251bWJlcj48ZWRpdGlvbj4yMDE1LzExLzI3PC9lZGl0aW9u
PjxrZXl3b3Jkcz48a2V5d29yZD4qQm9keSBNYXNzIEluZGV4PC9rZXl3b3JkPjxrZXl3b3JkPipE
aWV0PC9rZXl3b3JkPjxrZXl3b3JkPkZlbWFsZTwva2V5d29yZD48a2V5d29yZD5IZWFsdGggUHJv
bW90aW9uLyptZXRob2RzPC9rZXl3b3JkPjxrZXl3b3JkPkh1bWFuczwva2V5d29yZD48a2V5d29y
ZD5IeXBlcnRlbnNpb24sIFByZWduYW5jeS1JbmR1Y2VkL3ByZXZlbnRpb24gJmFtcDsgY29udHJv
bDwva2V5d29yZD48a2V5d29yZD4qTGlmZSBTdHlsZTwva2V5d29yZD48a2V5d29yZD5Qb3N0cGFy
dHVtIFBlcmlvZDwva2V5d29yZD48a2V5d29yZD5QcmVnbmFuY3k8L2tleXdvcmQ+PGtleXdvcmQ+
UHJlbmF0YWwgQ2FyZS8qbWV0aG9kczwva2V5d29yZD48a2V5d29yZD5SYW5kb21pemVkIENvbnRy
b2xsZWQgVHJpYWxzIGFzIFRvcGljPC9rZXl3b3JkPjxrZXl3b3JkPldlaWdodCBHYWluPC9rZXl3
b3JkPjxrZXl3b3JkPkFudGVuYXRhbCBkaWV0YXJ5IGFuZCBsaWZlc3R5bGUgaW50ZXJ2ZW50aW9u
PC9rZXl3b3JkPjxrZXl3b3JkPmdlc3RhdGlvbmFsIHdlaWdodCBnYWluPC9rZXl3b3JkPjxrZXl3
b3JkPm1hdGVybmFsIGFuZCBpbmZhbnQgaGVhbHRoIG91dGNvbWVzPC9rZXl3b3JkPjxrZXl3b3Jk
PnBvc3RwYXJ0dW0gd2VpZ2h0IHJldGVudGlvbjwva2V5d29yZD48a2V5d29yZD5yYW5kb21pemVk
IGNvbnRyb2xsZWQgdHJpYWw8L2tleXdvcmQ+PGtleXdvcmQ+c3lzdGVtYXRpYyByZXZpZXc8L2tl
eXdvcmQ+PC9rZXl3b3Jkcz48ZGF0ZXM+PHllYXI+MjAxNjwveWVhcj48cHViLWRhdGVzPjxkYXRl
Pk1hcjwvZGF0ZT48L3B1Yi1kYXRlcz48L2RhdGVzPjxpc2JuPjE2MDAtMDQxMiAoRWxlY3Ryb25p
YykmI3hEOzAwMDEtNjM0OSAoTGlua2luZyk8L2lzYm4+PGFjY2Vzc2lvbi1udW0+MjY2MTAxNjk8
L2FjY2Vzc2lvbi1udW0+PHVybHM+PHJlbGF0ZWQtdXJscz48dXJsPmh0dHBzOi8vd3d3Lm5jYmku
bmxtLm5paC5nb3YvcHVibWVkLzI2NjEwMTY5PC91cmw+PC9yZWxhdGVkLXVybHM+PC91cmxzPjxl
bGVjdHJvbmljLXJlc291cmNlLW51bT4xMC4xMTExL2FvZ3MuMTI4Mjk8L2VsZWN0cm9uaWMtcmVz
b3VyY2UtbnVtPjwvcmVjb3JkPjwvQ2l0ZT48L0VuZE5vdGU+AG==
</w:fldData>
              </w:fldChar>
            </w:r>
            <w:r w:rsidR="002747EA">
              <w:instrText xml:space="preserve"> ADDIN EN.CITE </w:instrText>
            </w:r>
            <w:r w:rsidR="002747EA">
              <w:fldChar w:fldCharType="begin">
                <w:fldData xml:space="preserve">PEVuZE5vdGU+PENpdGU+PEF1dGhvcj5PJmFwb3M7QnJpZW48L0F1dGhvcj48WWVhcj4yMDE2PC9Z
ZWFyPjxSZWNOdW0+MTI3MzwvUmVjTnVtPjxEaXNwbGF5VGV4dD48c3R5bGUgZmFjZT0ic3VwZXJz
Y3JpcHQiIGZvbnQ9IlRyZWJ1Y2hldCBNUyIgc2l6ZT0iOSI+NTIzPC9zdHlsZT48L0Rpc3BsYXlU
ZXh0PjxyZWNvcmQ+PHJlYy1udW1iZXI+MTI3MzwvcmVjLW51bWJlcj48Zm9yZWlnbi1rZXlzPjxr
ZXkgYXBwPSJFTiIgZGItaWQ9ImV4dmFzcmZ4MmR0cmFvZXNhc3hwMnN6c3hhMmRmNTAyNTkyeCIg
dGltZXN0YW1wPSIxNTYzMTYzNDcxIj4xMjczPC9rZXk+PGtleSBhcHA9IkVOV2ViIiBkYi1pZD0i
Ij4wPC9rZXk+PC9mb3JlaWduLWtleXM+PHJlZi10eXBlIG5hbWU9IkpvdXJuYWwgQXJ0aWNsZSI+
MTc8L3JlZi10eXBlPjxjb250cmlidXRvcnM+PGF1dGhvcnM+PGF1dGhvcj5PJmFwb3M7QnJpZW4s
IEMuIE0uPC9hdXRob3I+PGF1dGhvcj5Hcml2ZWxsLCBSLiBNLjwvYXV0aG9yPjxhdXRob3I+RG9k
ZCwgSi4gTS48L2F1dGhvcj48L2F1dGhvcnM+PC9jb250cmlidXRvcnM+PGF1dGgtYWRkcmVzcz5T
Y2hvb2wgb2YgUGFlZGlhdHJpY3MgYW5kIFJlcHJvZHVjdGl2ZSBIZWFsdGgsIGFuZCBSb2JpbnNv
biBSZXNlYXJjaCBJbnN0aXR1dGUsIFVuaXZlcnNpdHkgb2YgQWRlbGFpZGUsIE5vcnRoIEFkZWxh
aWRlLCBTb3V0aCBBdXN0cmFsaWEsIEF1c3RyYWxpYS4mI3hEO0RlcGFydG1lbnQgb2YgUGVyaW5h
dGFsIE1lZGljaW5lLCBXb21lbiZhcG9zO3MgYW5kIEJhYmllcyZhcG9zOyBEaXZpc2lvbiwgV29t
ZW4mYXBvcztzIGFuZCBDaGlsZHJlbiZhcG9zO3MgSG9zcGl0YWwsIE5vcnRoIEFkZWxhaWRlLCBT
b3V0aCBBdXN0cmFsaWEsIEF1c3RyYWxpYS48L2F1dGgtYWRkcmVzcz48dGl0bGVzPjx0aXRsZT5T
eXN0ZW1hdGljIHJldmlldyBvZiBhbnRlbmF0YWwgZGlldGFyeSBhbmQgbGlmZXN0eWxlIGludGVy
dmVudGlvbnMgaW4gd29tZW4gd2l0aCBhIG5vcm1hbCBib2R5IG1hc3MgaW5kZXg8L3RpdGxlPjxz
ZWNvbmRhcnktdGl0bGU+QWN0YSBPYnN0ZXQgR3luZWNvbCBTY2FuZDwvc2Vjb25kYXJ5LXRpdGxl
PjwvdGl0bGVzPjxwZXJpb2RpY2FsPjxmdWxsLXRpdGxlPkFjdGEgT2JzdGV0IEd5bmVjb2wgU2Nh
bmQ8L2Z1bGwtdGl0bGU+PC9wZXJpb2RpY2FsPjxwYWdlcz4yNTktNjk8L3BhZ2VzPjx2b2x1bWU+
OTU8L3ZvbHVtZT48bnVtYmVyPjM8L251bWJlcj48ZWRpdGlvbj4yMDE1LzExLzI3PC9lZGl0aW9u
PjxrZXl3b3Jkcz48a2V5d29yZD4qQm9keSBNYXNzIEluZGV4PC9rZXl3b3JkPjxrZXl3b3JkPipE
aWV0PC9rZXl3b3JkPjxrZXl3b3JkPkZlbWFsZTwva2V5d29yZD48a2V5d29yZD5IZWFsdGggUHJv
bW90aW9uLyptZXRob2RzPC9rZXl3b3JkPjxrZXl3b3JkPkh1bWFuczwva2V5d29yZD48a2V5d29y
ZD5IeXBlcnRlbnNpb24sIFByZWduYW5jeS1JbmR1Y2VkL3ByZXZlbnRpb24gJmFtcDsgY29udHJv
bDwva2V5d29yZD48a2V5d29yZD4qTGlmZSBTdHlsZTwva2V5d29yZD48a2V5d29yZD5Qb3N0cGFy
dHVtIFBlcmlvZDwva2V5d29yZD48a2V5d29yZD5QcmVnbmFuY3k8L2tleXdvcmQ+PGtleXdvcmQ+
UHJlbmF0YWwgQ2FyZS8qbWV0aG9kczwva2V5d29yZD48a2V5d29yZD5SYW5kb21pemVkIENvbnRy
b2xsZWQgVHJpYWxzIGFzIFRvcGljPC9rZXl3b3JkPjxrZXl3b3JkPldlaWdodCBHYWluPC9rZXl3
b3JkPjxrZXl3b3JkPkFudGVuYXRhbCBkaWV0YXJ5IGFuZCBsaWZlc3R5bGUgaW50ZXJ2ZW50aW9u
PC9rZXl3b3JkPjxrZXl3b3JkPmdlc3RhdGlvbmFsIHdlaWdodCBnYWluPC9rZXl3b3JkPjxrZXl3
b3JkPm1hdGVybmFsIGFuZCBpbmZhbnQgaGVhbHRoIG91dGNvbWVzPC9rZXl3b3JkPjxrZXl3b3Jk
PnBvc3RwYXJ0dW0gd2VpZ2h0IHJldGVudGlvbjwva2V5d29yZD48a2V5d29yZD5yYW5kb21pemVk
IGNvbnRyb2xsZWQgdHJpYWw8L2tleXdvcmQ+PGtleXdvcmQ+c3lzdGVtYXRpYyByZXZpZXc8L2tl
eXdvcmQ+PC9rZXl3b3Jkcz48ZGF0ZXM+PHllYXI+MjAxNjwveWVhcj48cHViLWRhdGVzPjxkYXRl
Pk1hcjwvZGF0ZT48L3B1Yi1kYXRlcz48L2RhdGVzPjxpc2JuPjE2MDAtMDQxMiAoRWxlY3Ryb25p
YykmI3hEOzAwMDEtNjM0OSAoTGlua2luZyk8L2lzYm4+PGFjY2Vzc2lvbi1udW0+MjY2MTAxNjk8
L2FjY2Vzc2lvbi1udW0+PHVybHM+PHJlbGF0ZWQtdXJscz48dXJsPmh0dHBzOi8vd3d3Lm5jYmku
bmxtLm5paC5nb3YvcHVibWVkLzI2NjEwMTY5PC91cmw+PC9yZWxhdGVkLXVybHM+PC91cmxzPjxl
bGVjdHJvbmljLXJlc291cmNlLW51bT4xMC4xMTExL2FvZ3MuMTI4Mjk8L2VsZWN0cm9uaWMtcmVz
b3VyY2UtbnVtPjwvcmVjb3JkPjwvQ2l0ZT48L0VuZE5vdGU+AG==
</w:fldData>
              </w:fldChar>
            </w:r>
            <w:r w:rsidR="002747EA">
              <w:instrText xml:space="preserve"> ADDIN EN.CITE.DATA </w:instrText>
            </w:r>
            <w:r w:rsidR="002747EA">
              <w:fldChar w:fldCharType="end"/>
            </w:r>
            <w:r w:rsidR="00E51743">
              <w:fldChar w:fldCharType="separate"/>
            </w:r>
            <w:r w:rsidR="002747EA" w:rsidRPr="002747EA">
              <w:rPr>
                <w:noProof/>
                <w:sz w:val="18"/>
                <w:vertAlign w:val="superscript"/>
              </w:rPr>
              <w:t>523</w:t>
            </w:r>
            <w:r w:rsidR="00E51743">
              <w:fldChar w:fldCharType="end"/>
            </w:r>
          </w:p>
        </w:tc>
        <w:tc>
          <w:tcPr>
            <w:tcW w:w="2547" w:type="dxa"/>
            <w:shd w:val="clear" w:color="auto" w:fill="auto"/>
          </w:tcPr>
          <w:p w14:paraId="3584DCE3" w14:textId="77777777" w:rsidR="00A5540F" w:rsidRDefault="00A5540F" w:rsidP="00A5540F">
            <w:pPr>
              <w:pStyle w:val="RCTstable"/>
            </w:pPr>
            <w:r>
              <w:t>BMI in normal range</w:t>
            </w:r>
          </w:p>
        </w:tc>
        <w:tc>
          <w:tcPr>
            <w:tcW w:w="2982" w:type="dxa"/>
            <w:shd w:val="clear" w:color="auto" w:fill="auto"/>
          </w:tcPr>
          <w:p w14:paraId="451AD0AC" w14:textId="77777777" w:rsidR="00A5540F" w:rsidRDefault="00A5540F" w:rsidP="00A5540F">
            <w:pPr>
              <w:pStyle w:val="RCTstable"/>
              <w:jc w:val="center"/>
              <w:rPr>
                <w:rStyle w:val="block"/>
                <w:bCs/>
              </w:rPr>
            </w:pPr>
            <w:r>
              <w:rPr>
                <w:rStyle w:val="block"/>
                <w:bCs/>
              </w:rPr>
              <w:t>RR 0.34 (0.13 to 0.91)</w:t>
            </w:r>
          </w:p>
        </w:tc>
        <w:tc>
          <w:tcPr>
            <w:tcW w:w="1134" w:type="dxa"/>
            <w:shd w:val="clear" w:color="auto" w:fill="auto"/>
          </w:tcPr>
          <w:p w14:paraId="30C43904" w14:textId="77777777" w:rsidR="00A5540F" w:rsidRDefault="00A5540F" w:rsidP="00A5540F">
            <w:pPr>
              <w:pStyle w:val="RCTstable"/>
              <w:jc w:val="center"/>
              <w:rPr>
                <w:rStyle w:val="block"/>
                <w:bCs/>
              </w:rPr>
            </w:pPr>
            <w:r>
              <w:rPr>
                <w:rStyle w:val="block"/>
                <w:bCs/>
              </w:rPr>
              <w:t>2</w:t>
            </w:r>
          </w:p>
        </w:tc>
      </w:tr>
      <w:tr w:rsidR="00A5540F" w:rsidRPr="00B87066" w14:paraId="5E119278" w14:textId="77777777" w:rsidTr="00A5540F">
        <w:tc>
          <w:tcPr>
            <w:tcW w:w="2841" w:type="dxa"/>
            <w:vMerge w:val="restart"/>
          </w:tcPr>
          <w:p w14:paraId="1C60C05C" w14:textId="37A4C920" w:rsidR="00A5540F" w:rsidRPr="00B87066" w:rsidRDefault="00A5540F" w:rsidP="002747EA">
            <w:pPr>
              <w:pStyle w:val="RCTstable"/>
            </w:pPr>
            <w:r w:rsidRPr="00B87066">
              <w:rPr>
                <w:noProof/>
              </w:rPr>
              <w:t>International Weight Management in Pregnancy Collaborative 2017</w:t>
            </w:r>
            <w:r w:rsidRPr="00B87066">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Pr="00B87066">
              <w:rPr>
                <w:noProof/>
              </w:rPr>
            </w:r>
            <w:r w:rsidRPr="00B87066">
              <w:rPr>
                <w:noProof/>
              </w:rPr>
              <w:fldChar w:fldCharType="separate"/>
            </w:r>
            <w:r w:rsidR="002747EA" w:rsidRPr="002747EA">
              <w:rPr>
                <w:noProof/>
                <w:sz w:val="18"/>
                <w:vertAlign w:val="superscript"/>
              </w:rPr>
              <w:t>415</w:t>
            </w:r>
            <w:r w:rsidRPr="00B87066">
              <w:rPr>
                <w:noProof/>
              </w:rPr>
              <w:fldChar w:fldCharType="end"/>
            </w:r>
            <w:r w:rsidRPr="00B87066">
              <w:rPr>
                <w:noProof/>
              </w:rPr>
              <w:t xml:space="preserve"> </w:t>
            </w:r>
          </w:p>
        </w:tc>
        <w:tc>
          <w:tcPr>
            <w:tcW w:w="2547" w:type="dxa"/>
          </w:tcPr>
          <w:p w14:paraId="46C05CD1" w14:textId="77777777" w:rsidR="00A5540F" w:rsidRPr="00B87066" w:rsidRDefault="00A5540F" w:rsidP="00A5540F">
            <w:pPr>
              <w:pStyle w:val="RCTstable"/>
            </w:pPr>
            <w:r w:rsidRPr="00B87066">
              <w:t>Mixed BMIs; IPD</w:t>
            </w:r>
          </w:p>
        </w:tc>
        <w:tc>
          <w:tcPr>
            <w:tcW w:w="2982" w:type="dxa"/>
          </w:tcPr>
          <w:p w14:paraId="5CB59E22" w14:textId="77777777" w:rsidR="00A5540F" w:rsidRPr="00B87066" w:rsidRDefault="00A5540F" w:rsidP="00A5540F">
            <w:pPr>
              <w:pStyle w:val="RCTstable"/>
              <w:jc w:val="center"/>
            </w:pPr>
            <w:r>
              <w:t>OR 1.05 (0.86 to 1.28)</w:t>
            </w:r>
          </w:p>
        </w:tc>
        <w:tc>
          <w:tcPr>
            <w:tcW w:w="1134" w:type="dxa"/>
          </w:tcPr>
          <w:p w14:paraId="3E8060E2" w14:textId="77777777" w:rsidR="00A5540F" w:rsidRPr="00B87066" w:rsidRDefault="00A5540F" w:rsidP="00A5540F">
            <w:pPr>
              <w:pStyle w:val="RCTstable"/>
              <w:jc w:val="center"/>
            </w:pPr>
            <w:r>
              <w:t>13</w:t>
            </w:r>
          </w:p>
        </w:tc>
      </w:tr>
      <w:tr w:rsidR="00A5540F" w:rsidRPr="00B87066" w14:paraId="30DF86F4" w14:textId="77777777" w:rsidTr="00A5540F">
        <w:tc>
          <w:tcPr>
            <w:tcW w:w="2841" w:type="dxa"/>
            <w:vMerge/>
          </w:tcPr>
          <w:p w14:paraId="632CF3A9" w14:textId="77777777" w:rsidR="00A5540F" w:rsidRPr="00B87066" w:rsidRDefault="00A5540F" w:rsidP="00A5540F">
            <w:pPr>
              <w:pStyle w:val="RCTstable"/>
            </w:pPr>
          </w:p>
        </w:tc>
        <w:tc>
          <w:tcPr>
            <w:tcW w:w="2547" w:type="dxa"/>
          </w:tcPr>
          <w:p w14:paraId="4E8C9414" w14:textId="77777777" w:rsidR="00A5540F" w:rsidRPr="00B87066" w:rsidRDefault="00A5540F" w:rsidP="00A5540F">
            <w:pPr>
              <w:pStyle w:val="RCTstable"/>
            </w:pPr>
            <w:r w:rsidRPr="00B87066">
              <w:t>Mixed BMIs; IPD and non-IPD</w:t>
            </w:r>
          </w:p>
        </w:tc>
        <w:tc>
          <w:tcPr>
            <w:tcW w:w="2982" w:type="dxa"/>
          </w:tcPr>
          <w:p w14:paraId="02199C82" w14:textId="77777777" w:rsidR="00A5540F" w:rsidRPr="00B87066" w:rsidRDefault="00A5540F" w:rsidP="00A5540F">
            <w:pPr>
              <w:pStyle w:val="RCTstable"/>
              <w:jc w:val="center"/>
              <w:rPr>
                <w:rFonts w:eastAsiaTheme="majorEastAsia"/>
              </w:rPr>
            </w:pPr>
            <w:r>
              <w:rPr>
                <w:rFonts w:eastAsiaTheme="majorEastAsia"/>
              </w:rPr>
              <w:t>OR 1.01 (0.87 to 1.17)</w:t>
            </w:r>
          </w:p>
        </w:tc>
        <w:tc>
          <w:tcPr>
            <w:tcW w:w="1134" w:type="dxa"/>
          </w:tcPr>
          <w:p w14:paraId="2B95E784" w14:textId="77777777" w:rsidR="00A5540F" w:rsidRPr="00B87066" w:rsidRDefault="00A5540F" w:rsidP="00A5540F">
            <w:pPr>
              <w:pStyle w:val="RCTstable"/>
              <w:jc w:val="center"/>
            </w:pPr>
            <w:r>
              <w:t>21</w:t>
            </w:r>
          </w:p>
        </w:tc>
      </w:tr>
      <w:tr w:rsidR="00A5540F" w:rsidRPr="00B87066" w14:paraId="686A4484" w14:textId="77777777" w:rsidTr="00A5540F">
        <w:tc>
          <w:tcPr>
            <w:tcW w:w="2841" w:type="dxa"/>
            <w:shd w:val="clear" w:color="auto" w:fill="auto"/>
          </w:tcPr>
          <w:p w14:paraId="0A48FA83" w14:textId="53B3A693" w:rsidR="00A5540F" w:rsidRPr="00B87066"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shd w:val="clear" w:color="auto" w:fill="auto"/>
          </w:tcPr>
          <w:p w14:paraId="2CBF2C16" w14:textId="77777777" w:rsidR="00A5540F" w:rsidRPr="00B87066" w:rsidRDefault="00A5540F" w:rsidP="00A5540F">
            <w:pPr>
              <w:pStyle w:val="RCTstable"/>
            </w:pPr>
            <w:r>
              <w:t>Mixed BMIs</w:t>
            </w:r>
          </w:p>
        </w:tc>
        <w:tc>
          <w:tcPr>
            <w:tcW w:w="2982" w:type="dxa"/>
            <w:shd w:val="clear" w:color="auto" w:fill="auto"/>
          </w:tcPr>
          <w:p w14:paraId="3D0B202F" w14:textId="77777777" w:rsidR="00A5540F" w:rsidRPr="00B87066" w:rsidRDefault="00A5540F" w:rsidP="00A5540F">
            <w:pPr>
              <w:pStyle w:val="RCTstable"/>
              <w:jc w:val="center"/>
              <w:rPr>
                <w:rStyle w:val="block"/>
                <w:bCs/>
              </w:rPr>
            </w:pPr>
            <w:r>
              <w:rPr>
                <w:rStyle w:val="block"/>
                <w:bCs/>
              </w:rPr>
              <w:t>RR 1.19 (0.74 to 1.90)</w:t>
            </w:r>
          </w:p>
        </w:tc>
        <w:tc>
          <w:tcPr>
            <w:tcW w:w="1134" w:type="dxa"/>
            <w:shd w:val="clear" w:color="auto" w:fill="auto"/>
          </w:tcPr>
          <w:p w14:paraId="6EDE7CE5" w14:textId="77777777" w:rsidR="00A5540F" w:rsidRPr="00B87066" w:rsidRDefault="00A5540F" w:rsidP="00A5540F">
            <w:pPr>
              <w:pStyle w:val="RCTstable"/>
              <w:jc w:val="center"/>
              <w:rPr>
                <w:rStyle w:val="block"/>
                <w:bCs/>
              </w:rPr>
            </w:pPr>
            <w:r>
              <w:rPr>
                <w:rStyle w:val="block"/>
                <w:bCs/>
              </w:rPr>
              <w:t>3</w:t>
            </w:r>
          </w:p>
        </w:tc>
      </w:tr>
      <w:tr w:rsidR="00A5540F" w:rsidRPr="00B87066" w14:paraId="661589CF" w14:textId="77777777" w:rsidTr="00A5540F">
        <w:tc>
          <w:tcPr>
            <w:tcW w:w="2841" w:type="dxa"/>
            <w:shd w:val="clear" w:color="auto" w:fill="auto"/>
          </w:tcPr>
          <w:p w14:paraId="4FD36860" w14:textId="134DE056"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7C57FE57" w14:textId="77777777" w:rsidR="00A5540F" w:rsidRDefault="00A5540F" w:rsidP="00A5540F">
            <w:pPr>
              <w:pStyle w:val="RCTstable"/>
            </w:pPr>
            <w:r>
              <w:t>Mixed BMIs</w:t>
            </w:r>
          </w:p>
        </w:tc>
        <w:tc>
          <w:tcPr>
            <w:tcW w:w="2982" w:type="dxa"/>
            <w:shd w:val="clear" w:color="auto" w:fill="auto"/>
          </w:tcPr>
          <w:p w14:paraId="56C55D25" w14:textId="77777777" w:rsidR="00A5540F" w:rsidRDefault="00A5540F" w:rsidP="00A5540F">
            <w:pPr>
              <w:pStyle w:val="RCTstable"/>
              <w:jc w:val="center"/>
              <w:rPr>
                <w:rStyle w:val="block"/>
                <w:bCs/>
              </w:rPr>
            </w:pPr>
            <w:r>
              <w:rPr>
                <w:rStyle w:val="block"/>
                <w:bCs/>
              </w:rPr>
              <w:t>RR 1.08 (0.75 to 1.55)</w:t>
            </w:r>
          </w:p>
        </w:tc>
        <w:tc>
          <w:tcPr>
            <w:tcW w:w="1134" w:type="dxa"/>
            <w:shd w:val="clear" w:color="auto" w:fill="auto"/>
          </w:tcPr>
          <w:p w14:paraId="6C9332EC" w14:textId="77777777" w:rsidR="00A5540F" w:rsidRDefault="00A5540F" w:rsidP="00A5540F">
            <w:pPr>
              <w:pStyle w:val="RCTstable"/>
              <w:jc w:val="center"/>
              <w:rPr>
                <w:rStyle w:val="block"/>
                <w:bCs/>
              </w:rPr>
            </w:pPr>
            <w:r>
              <w:rPr>
                <w:rStyle w:val="block"/>
                <w:bCs/>
              </w:rPr>
              <w:t>4</w:t>
            </w:r>
          </w:p>
        </w:tc>
      </w:tr>
      <w:tr w:rsidR="00A5540F" w:rsidRPr="00B87066" w14:paraId="163B96DB" w14:textId="77777777" w:rsidTr="00A5540F">
        <w:tc>
          <w:tcPr>
            <w:tcW w:w="2841" w:type="dxa"/>
            <w:tcBorders>
              <w:bottom w:val="single" w:sz="4" w:space="0" w:color="3B3474"/>
            </w:tcBorders>
            <w:shd w:val="clear" w:color="auto" w:fill="auto"/>
          </w:tcPr>
          <w:p w14:paraId="6354B0A0" w14:textId="341F5A6C"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shd w:val="clear" w:color="auto" w:fill="auto"/>
          </w:tcPr>
          <w:p w14:paraId="4308CF94" w14:textId="77777777" w:rsidR="00A5540F" w:rsidRDefault="00A5540F" w:rsidP="00A5540F">
            <w:pPr>
              <w:pStyle w:val="RCTstable"/>
            </w:pPr>
            <w:r>
              <w:t>Mixed BMIs</w:t>
            </w:r>
          </w:p>
        </w:tc>
        <w:tc>
          <w:tcPr>
            <w:tcW w:w="2982" w:type="dxa"/>
            <w:tcBorders>
              <w:bottom w:val="single" w:sz="4" w:space="0" w:color="3B3474"/>
            </w:tcBorders>
            <w:shd w:val="clear" w:color="auto" w:fill="auto"/>
          </w:tcPr>
          <w:p w14:paraId="4410385B" w14:textId="77777777" w:rsidR="00A5540F" w:rsidRDefault="00A5540F" w:rsidP="00A5540F">
            <w:pPr>
              <w:pStyle w:val="RCTstable"/>
              <w:jc w:val="center"/>
              <w:rPr>
                <w:rStyle w:val="block"/>
                <w:bCs/>
              </w:rPr>
            </w:pPr>
            <w:r>
              <w:rPr>
                <w:rStyle w:val="block"/>
                <w:bCs/>
              </w:rPr>
              <w:t>RR 0.46 (0.16 to 1.29)</w:t>
            </w:r>
          </w:p>
        </w:tc>
        <w:tc>
          <w:tcPr>
            <w:tcW w:w="1134" w:type="dxa"/>
            <w:tcBorders>
              <w:bottom w:val="single" w:sz="4" w:space="0" w:color="3B3474"/>
            </w:tcBorders>
            <w:shd w:val="clear" w:color="auto" w:fill="auto"/>
          </w:tcPr>
          <w:p w14:paraId="3D4EE1DC" w14:textId="77777777" w:rsidR="00A5540F" w:rsidRDefault="00A5540F" w:rsidP="00A5540F">
            <w:pPr>
              <w:pStyle w:val="RCTstable"/>
              <w:jc w:val="center"/>
              <w:rPr>
                <w:rStyle w:val="block"/>
                <w:bCs/>
              </w:rPr>
            </w:pPr>
            <w:r>
              <w:rPr>
                <w:rStyle w:val="block"/>
                <w:bCs/>
              </w:rPr>
              <w:t>4</w:t>
            </w:r>
          </w:p>
        </w:tc>
      </w:tr>
      <w:tr w:rsidR="00A5540F" w:rsidRPr="00B87066" w14:paraId="1B2F472C" w14:textId="77777777" w:rsidTr="00A5540F">
        <w:tc>
          <w:tcPr>
            <w:tcW w:w="9504" w:type="dxa"/>
            <w:gridSpan w:val="4"/>
            <w:shd w:val="clear" w:color="auto" w:fill="D9E2F3" w:themeFill="accent1" w:themeFillTint="33"/>
          </w:tcPr>
          <w:p w14:paraId="0717128C" w14:textId="77777777" w:rsidR="00A5540F" w:rsidRPr="00B87066" w:rsidRDefault="00A5540F" w:rsidP="00A5540F">
            <w:pPr>
              <w:pStyle w:val="RCTstable"/>
              <w:rPr>
                <w:i/>
              </w:rPr>
            </w:pPr>
            <w:r w:rsidRPr="00B87066">
              <w:rPr>
                <w:i/>
              </w:rPr>
              <w:t>Pre-eclampsia</w:t>
            </w:r>
          </w:p>
        </w:tc>
      </w:tr>
      <w:tr w:rsidR="00A5540F" w:rsidRPr="00B87066" w14:paraId="43446DFD" w14:textId="77777777" w:rsidTr="00A5540F">
        <w:tc>
          <w:tcPr>
            <w:tcW w:w="2841" w:type="dxa"/>
            <w:tcBorders>
              <w:bottom w:val="single" w:sz="4" w:space="0" w:color="3B3474"/>
            </w:tcBorders>
            <w:shd w:val="clear" w:color="auto" w:fill="F2F2F2" w:themeFill="background1" w:themeFillShade="F2"/>
          </w:tcPr>
          <w:p w14:paraId="7FCA334E"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0B1F2CC1"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46048D81" w14:textId="1D2C87A9" w:rsidR="00A5540F" w:rsidRPr="00B87066" w:rsidRDefault="00A5540F" w:rsidP="00A5540F">
            <w:pPr>
              <w:pStyle w:val="RCTstable"/>
              <w:jc w:val="center"/>
            </w:pPr>
            <w:r w:rsidRPr="00B87066">
              <w:rPr>
                <w:rStyle w:val="block"/>
                <w:bCs/>
              </w:rPr>
              <w:t>RR 1.0</w:t>
            </w:r>
            <w:r w:rsidR="00E01ACF">
              <w:rPr>
                <w:rStyle w:val="block"/>
                <w:bCs/>
              </w:rPr>
              <w:t>6</w:t>
            </w:r>
            <w:r w:rsidRPr="00B87066">
              <w:t xml:space="preserve"> </w:t>
            </w:r>
            <w:r w:rsidR="00690F45">
              <w:rPr>
                <w:rStyle w:val="cell"/>
              </w:rPr>
              <w:t>(0.8</w:t>
            </w:r>
            <w:r w:rsidR="00E01ACF">
              <w:rPr>
                <w:rStyle w:val="cell"/>
              </w:rPr>
              <w:t>7</w:t>
            </w:r>
            <w:r w:rsidR="00690F45">
              <w:rPr>
                <w:rStyle w:val="cell"/>
              </w:rPr>
              <w:t xml:space="preserve"> to 1.29</w:t>
            </w:r>
            <w:r w:rsidRPr="00B87066">
              <w:rPr>
                <w:rStyle w:val="cell"/>
              </w:rPr>
              <w:t>)</w:t>
            </w:r>
          </w:p>
        </w:tc>
        <w:tc>
          <w:tcPr>
            <w:tcW w:w="1134" w:type="dxa"/>
            <w:tcBorders>
              <w:bottom w:val="single" w:sz="4" w:space="0" w:color="3B3474"/>
            </w:tcBorders>
            <w:shd w:val="clear" w:color="auto" w:fill="F2F2F2" w:themeFill="background1" w:themeFillShade="F2"/>
          </w:tcPr>
          <w:p w14:paraId="37B559D7" w14:textId="505D0E33" w:rsidR="00A5540F" w:rsidRPr="00B87066" w:rsidRDefault="00690F45" w:rsidP="00A5540F">
            <w:pPr>
              <w:pStyle w:val="RCTstable"/>
              <w:jc w:val="center"/>
            </w:pPr>
            <w:r>
              <w:t>1</w:t>
            </w:r>
            <w:r w:rsidR="00E01ACF">
              <w:t>4</w:t>
            </w:r>
          </w:p>
        </w:tc>
      </w:tr>
      <w:tr w:rsidR="00A5540F" w:rsidRPr="00B87066" w14:paraId="5F518C53" w14:textId="77777777" w:rsidTr="00A5540F">
        <w:tc>
          <w:tcPr>
            <w:tcW w:w="2841" w:type="dxa"/>
            <w:shd w:val="clear" w:color="auto" w:fill="auto"/>
          </w:tcPr>
          <w:p w14:paraId="333C576E" w14:textId="1C2CAFF3" w:rsidR="00A5540F" w:rsidRPr="00B87066" w:rsidRDefault="00A5540F" w:rsidP="002747EA">
            <w:pPr>
              <w:pStyle w:val="RCTstable"/>
            </w:pPr>
            <w:r w:rsidRPr="00B87066">
              <w:t>Allen et al 2014</w:t>
            </w:r>
            <w:r w:rsidRPr="00B87066">
              <w:fldChar w:fldCharType="begin">
                <w:fldData xml:space="preserve">PEVuZE5vdGU+PENpdGU+PEF1dGhvcj5BbGxlbjwvQXV0aG9yPjxZZWFyPjIwMTQ8L1llYXI+PFJl
Y051bT41NjQ8L1JlY051bT48RGlzcGxheVRleHQ+PHN0eWxlIGZhY2U9InN1cGVyc2NyaXB0IiBm
b250PSJUcmVidWNoZXQgTVMiIHNpemU9IjkiPjQyMjwvc3R5bGU+PC9EaXNwbGF5VGV4dD48cmVj
b3JkPjxyZWMtbnVtYmVyPjU2NDwvcmVjLW51bWJlcj48Zm9yZWlnbi1rZXlzPjxrZXkgYXBwPSJF
TiIgZGItaWQ9ImV4dmFzcmZ4MmR0cmFvZXNhc3hwMnN6c3hhMmRmNTAyNTkyeCIgdGltZXN0YW1w
PSIxNTM1OTMzNzc1Ij41NjQ8L2tleT48a2V5IGFwcD0iRU5XZWIiIGRiLWlkPSIiPjA8L2tleT48
L2ZvcmVpZ24ta2V5cz48cmVmLXR5cGUgbmFtZT0iSm91cm5hbCBBcnRpY2xlIj4xNzwvcmVmLXR5
cGU+PGNvbnRyaWJ1dG9ycz48YXV0aG9ycz48YXV0aG9yPkFsbGVuLCBSLjwvYXV0aG9yPjxhdXRo
b3I+Um9nb3ppbnNrYSwgRS48L2F1dGhvcj48YXV0aG9yPlNpdmFyYWphc2luZ2FtLCBQLjwvYXV0
aG9yPjxhdXRob3I+S2hhbiwgSy4gUy48L2F1dGhvcj48YXV0aG9yPlRoYW5nYXJhdGluYW0sIFMu
PC9hdXRob3I+PC9hdXRob3JzPjwvY29udHJpYnV0b3JzPjxhdXRoLWFkZHJlc3M+QmFydHMgSGVh
bHRoIE5IUyBUcnVzdCwgTG9uZG9uLCBVSy48L2F1dGgtYWRkcmVzcz48dGl0bGVzPjx0aXRsZT5F
ZmZlY3Qgb2YgZGlldC0gYW5kIGxpZmVzdHlsZS1iYXNlZCBtZXRhYm9saWMgcmlzay1tb2RpZnlp
bmcgaW50ZXJ2ZW50aW9ucyBvbiBwcmVlY2xhbXBzaWE6IGEgbWV0YS1hbmFseXNpczwvdGl0bGU+
PHNlY29uZGFyeS10aXRsZT5BY3RhIE9ic3RldCBHeW5lY29sIFNjYW5kPC9zZWNvbmRhcnktdGl0
bGU+PC90aXRsZXM+PHBlcmlvZGljYWw+PGZ1bGwtdGl0bGU+QWN0YSBPYnN0ZXQgR3luZWNvbCBT
Y2FuZDwvZnVsbC10aXRsZT48L3BlcmlvZGljYWw+PHBhZ2VzPjk3My04NTwvcGFnZXM+PHZvbHVt
ZT45Mzwvdm9sdW1lPjxudW1iZXI+MTA8L251bWJlcj48ZWRpdGlvbj4yMDE0LzA4LzIxPC9lZGl0
aW9uPjxrZXl3b3Jkcz48a2V5d29yZD5FZmZlY3QgTW9kaWZpZXIsIEVwaWRlbWlvbG9naWM8L2tl
eXdvcmQ+PGtleXdvcmQ+KkZlZWRpbmcgQmVoYXZpb3IvcGh5c2lvbG9neS9wc3ljaG9sb2d5PC9r
ZXl3b3JkPjxrZXl3b3JkPkZlbWFsZTwva2V5d29yZD48a2V5d29yZD5IdW1hbnM8L2tleXdvcmQ+
PGtleXdvcmQ+KkxpZmUgU3R5bGU8L2tleXdvcmQ+PGtleXdvcmQ+Kk1ldGFib2xpYyBTeW5kcm9t
ZS9jb21wbGljYXRpb25zL2RpZXQgdGhlcmFweS9lcGlkZW1pb2xvZ3k8L2tleXdvcmQ+PGtleXdv
cmQ+KlByZS1FY2xhbXBzaWEvZXBpZGVtaW9sb2d5L2V0aW9sb2d5L21ldGFib2xpc20vcHJldmVu
dGlvbiAmYW1wOyBjb250cm9sPC9rZXl3b3JkPjxrZXl3b3JkPlByZWduYW5jeTwva2V5d29yZD48
a2V5d29yZD5SYW5kb21pemVkIENvbnRyb2xsZWQgVHJpYWxzIGFzIFRvcGljPC9rZXl3b3JkPjxr
ZXl3b3JkPlJpc2sgRmFjdG9yczwva2V5d29yZD48a2V5d29yZD5SaXNrIFJlZHVjdGlvbiBCZWhh
dmlvcjwva2V5d29yZD48a2V5d29yZD5EaWV0PC9rZXl3b3JkPjxrZXl3b3JkPmVzc2VudGlhbCBm
YXR0eSBhY2lkczwva2V5d29yZD48a2V5d29yZD5saWZlc3R5bGU8L2tleXdvcmQ+PGtleXdvcmQ+
bGlwaWRzPC9rZXl3b3JkPjxrZXl3b3JkPnByZWVjbGFtcHNpYTwva2V5d29yZD48L2tleXdvcmRz
PjxkYXRlcz48eWVhcj4yMDE0PC95ZWFyPjxwdWItZGF0ZXM+PGRhdGU+T2N0PC9kYXRlPjwvcHVi
LWRhdGVzPjwvZGF0ZXM+PGlzYm4+MTYwMC0wNDEyIChFbGVjdHJvbmljKSYjeEQ7MDAwMS02MzQ5
IChMaW5raW5nKTwvaXNibj48YWNjZXNzaW9uLW51bT4yNTEzODY1MTwvYWNjZXNzaW9uLW51bT48
dXJscz48cmVsYXRlZC11cmxzPjx1cmw+aHR0cHM6Ly93d3cubmNiaS5ubG0ubmloLmdvdi9wdWJt
ZWQvMjUxMzg2NTE8L3VybD48L3JlbGF0ZWQtdXJscz48L3VybHM+PGVsZWN0cm9uaWMtcmVzb3Vy
Y2UtbnVtPjEwLjExMTEvYW9ncy4xMjQ2NzwvZWxlY3Ryb25pYy1yZXNvdXJjZS1udW0+PC9yZWNv
cmQ+PC9DaXRlPjwvRW5kTm90ZT5=
</w:fldData>
              </w:fldChar>
            </w:r>
            <w:r w:rsidR="002747EA">
              <w:instrText xml:space="preserve"> ADDIN EN.CITE </w:instrText>
            </w:r>
            <w:r w:rsidR="002747EA">
              <w:fldChar w:fldCharType="begin">
                <w:fldData xml:space="preserve">PEVuZE5vdGU+PENpdGU+PEF1dGhvcj5BbGxlbjwvQXV0aG9yPjxZZWFyPjIwMTQ8L1llYXI+PFJl
Y051bT41NjQ8L1JlY051bT48RGlzcGxheVRleHQ+PHN0eWxlIGZhY2U9InN1cGVyc2NyaXB0IiBm
b250PSJUcmVidWNoZXQgTVMiIHNpemU9IjkiPjQyMjwvc3R5bGU+PC9EaXNwbGF5VGV4dD48cmVj
b3JkPjxyZWMtbnVtYmVyPjU2NDwvcmVjLW51bWJlcj48Zm9yZWlnbi1rZXlzPjxrZXkgYXBwPSJF
TiIgZGItaWQ9ImV4dmFzcmZ4MmR0cmFvZXNhc3hwMnN6c3hhMmRmNTAyNTkyeCIgdGltZXN0YW1w
PSIxNTM1OTMzNzc1Ij41NjQ8L2tleT48a2V5IGFwcD0iRU5XZWIiIGRiLWlkPSIiPjA8L2tleT48
L2ZvcmVpZ24ta2V5cz48cmVmLXR5cGUgbmFtZT0iSm91cm5hbCBBcnRpY2xlIj4xNzwvcmVmLXR5
cGU+PGNvbnRyaWJ1dG9ycz48YXV0aG9ycz48YXV0aG9yPkFsbGVuLCBSLjwvYXV0aG9yPjxhdXRo
b3I+Um9nb3ppbnNrYSwgRS48L2F1dGhvcj48YXV0aG9yPlNpdmFyYWphc2luZ2FtLCBQLjwvYXV0
aG9yPjxhdXRob3I+S2hhbiwgSy4gUy48L2F1dGhvcj48YXV0aG9yPlRoYW5nYXJhdGluYW0sIFMu
PC9hdXRob3I+PC9hdXRob3JzPjwvY29udHJpYnV0b3JzPjxhdXRoLWFkZHJlc3M+QmFydHMgSGVh
bHRoIE5IUyBUcnVzdCwgTG9uZG9uLCBVSy48L2F1dGgtYWRkcmVzcz48dGl0bGVzPjx0aXRsZT5F
ZmZlY3Qgb2YgZGlldC0gYW5kIGxpZmVzdHlsZS1iYXNlZCBtZXRhYm9saWMgcmlzay1tb2RpZnlp
bmcgaW50ZXJ2ZW50aW9ucyBvbiBwcmVlY2xhbXBzaWE6IGEgbWV0YS1hbmFseXNpczwvdGl0bGU+
PHNlY29uZGFyeS10aXRsZT5BY3RhIE9ic3RldCBHeW5lY29sIFNjYW5kPC9zZWNvbmRhcnktdGl0
bGU+PC90aXRsZXM+PHBlcmlvZGljYWw+PGZ1bGwtdGl0bGU+QWN0YSBPYnN0ZXQgR3luZWNvbCBT
Y2FuZDwvZnVsbC10aXRsZT48L3BlcmlvZGljYWw+PHBhZ2VzPjk3My04NTwvcGFnZXM+PHZvbHVt
ZT45Mzwvdm9sdW1lPjxudW1iZXI+MTA8L251bWJlcj48ZWRpdGlvbj4yMDE0LzA4LzIxPC9lZGl0
aW9uPjxrZXl3b3Jkcz48a2V5d29yZD5FZmZlY3QgTW9kaWZpZXIsIEVwaWRlbWlvbG9naWM8L2tl
eXdvcmQ+PGtleXdvcmQ+KkZlZWRpbmcgQmVoYXZpb3IvcGh5c2lvbG9neS9wc3ljaG9sb2d5PC9r
ZXl3b3JkPjxrZXl3b3JkPkZlbWFsZTwva2V5d29yZD48a2V5d29yZD5IdW1hbnM8L2tleXdvcmQ+
PGtleXdvcmQ+KkxpZmUgU3R5bGU8L2tleXdvcmQ+PGtleXdvcmQ+Kk1ldGFib2xpYyBTeW5kcm9t
ZS9jb21wbGljYXRpb25zL2RpZXQgdGhlcmFweS9lcGlkZW1pb2xvZ3k8L2tleXdvcmQ+PGtleXdv
cmQ+KlByZS1FY2xhbXBzaWEvZXBpZGVtaW9sb2d5L2V0aW9sb2d5L21ldGFib2xpc20vcHJldmVu
dGlvbiAmYW1wOyBjb250cm9sPC9rZXl3b3JkPjxrZXl3b3JkPlByZWduYW5jeTwva2V5d29yZD48
a2V5d29yZD5SYW5kb21pemVkIENvbnRyb2xsZWQgVHJpYWxzIGFzIFRvcGljPC9rZXl3b3JkPjxr
ZXl3b3JkPlJpc2sgRmFjdG9yczwva2V5d29yZD48a2V5d29yZD5SaXNrIFJlZHVjdGlvbiBCZWhh
dmlvcjwva2V5d29yZD48a2V5d29yZD5EaWV0PC9rZXl3b3JkPjxrZXl3b3JkPmVzc2VudGlhbCBm
YXR0eSBhY2lkczwva2V5d29yZD48a2V5d29yZD5saWZlc3R5bGU8L2tleXdvcmQ+PGtleXdvcmQ+
bGlwaWRzPC9rZXl3b3JkPjxrZXl3b3JkPnByZWVjbGFtcHNpYTwva2V5d29yZD48L2tleXdvcmRz
PjxkYXRlcz48eWVhcj4yMDE0PC95ZWFyPjxwdWItZGF0ZXM+PGRhdGU+T2N0PC9kYXRlPjwvcHVi
LWRhdGVzPjwvZGF0ZXM+PGlzYm4+MTYwMC0wNDEyIChFbGVjdHJvbmljKSYjeEQ7MDAwMS02MzQ5
IChMaW5raW5nKTwvaXNibj48YWNjZXNzaW9uLW51bT4yNTEzODY1MTwvYWNjZXNzaW9uLW51bT48
dXJscz48cmVsYXRlZC11cmxzPjx1cmw+aHR0cHM6Ly93d3cubmNiaS5ubG0ubmloLmdvdi9wdWJt
ZWQvMjUxMzg2NTE8L3VybD48L3JlbGF0ZWQtdXJscz48L3VybHM+PGVsZWN0cm9uaWMtcmVzb3Vy
Y2UtbnVtPjEwLjExMTEvYW9ncy4xMjQ2NzwvZWxlY3Ryb25pYy1yZXNvdXJjZS1udW0+PC9yZWNv
cmQ+PC9DaXRlPjwvRW5kTm90ZT5=
</w:fldData>
              </w:fldChar>
            </w:r>
            <w:r w:rsidR="002747EA">
              <w:instrText xml:space="preserve"> ADDIN EN.CITE.DATA </w:instrText>
            </w:r>
            <w:r w:rsidR="002747EA">
              <w:fldChar w:fldCharType="end"/>
            </w:r>
            <w:r w:rsidRPr="00B87066">
              <w:fldChar w:fldCharType="separate"/>
            </w:r>
            <w:r w:rsidR="002747EA" w:rsidRPr="002747EA">
              <w:rPr>
                <w:noProof/>
                <w:sz w:val="18"/>
                <w:vertAlign w:val="superscript"/>
              </w:rPr>
              <w:t>422</w:t>
            </w:r>
            <w:r w:rsidRPr="00B87066">
              <w:fldChar w:fldCharType="end"/>
            </w:r>
          </w:p>
        </w:tc>
        <w:tc>
          <w:tcPr>
            <w:tcW w:w="2547" w:type="dxa"/>
            <w:shd w:val="clear" w:color="auto" w:fill="auto"/>
          </w:tcPr>
          <w:p w14:paraId="2CF2EC9B" w14:textId="77777777" w:rsidR="00A5540F" w:rsidRPr="00B87066" w:rsidRDefault="00A5540F" w:rsidP="00A5540F">
            <w:pPr>
              <w:pStyle w:val="RCTstable"/>
            </w:pPr>
            <w:r w:rsidRPr="00B87066">
              <w:t>Mixed BMIs</w:t>
            </w:r>
          </w:p>
        </w:tc>
        <w:tc>
          <w:tcPr>
            <w:tcW w:w="2982" w:type="dxa"/>
            <w:shd w:val="clear" w:color="auto" w:fill="auto"/>
          </w:tcPr>
          <w:p w14:paraId="7E6BC162" w14:textId="77777777" w:rsidR="00A5540F" w:rsidRPr="00B87066" w:rsidRDefault="00A5540F" w:rsidP="00A5540F">
            <w:pPr>
              <w:pStyle w:val="RCTstable"/>
              <w:jc w:val="center"/>
            </w:pPr>
            <w:r w:rsidRPr="00B87066">
              <w:rPr>
                <w:rStyle w:val="block"/>
                <w:bCs/>
              </w:rPr>
              <w:t>RR 0.</w:t>
            </w:r>
            <w:r>
              <w:rPr>
                <w:rStyle w:val="block"/>
                <w:bCs/>
              </w:rPr>
              <w:t>93</w:t>
            </w:r>
            <w:r w:rsidRPr="00B87066">
              <w:rPr>
                <w:rStyle w:val="block"/>
                <w:bCs/>
              </w:rPr>
              <w:t xml:space="preserve"> (0.66</w:t>
            </w:r>
            <w:r>
              <w:rPr>
                <w:rStyle w:val="block"/>
                <w:bCs/>
              </w:rPr>
              <w:t xml:space="preserve"> to </w:t>
            </w:r>
            <w:r w:rsidRPr="00B87066">
              <w:rPr>
                <w:rStyle w:val="block"/>
                <w:bCs/>
              </w:rPr>
              <w:t>1.32)</w:t>
            </w:r>
          </w:p>
        </w:tc>
        <w:tc>
          <w:tcPr>
            <w:tcW w:w="1134" w:type="dxa"/>
            <w:shd w:val="clear" w:color="auto" w:fill="auto"/>
          </w:tcPr>
          <w:p w14:paraId="06E6CCF5" w14:textId="77777777" w:rsidR="00A5540F" w:rsidRPr="00B87066" w:rsidRDefault="00A5540F" w:rsidP="00A5540F">
            <w:pPr>
              <w:pStyle w:val="RCTstable"/>
              <w:jc w:val="center"/>
            </w:pPr>
            <w:r w:rsidRPr="00B87066">
              <w:t>6</w:t>
            </w:r>
          </w:p>
        </w:tc>
      </w:tr>
      <w:tr w:rsidR="0012421A" w:rsidRPr="00C12274" w14:paraId="45D02954" w14:textId="77777777" w:rsidTr="0002532B">
        <w:tc>
          <w:tcPr>
            <w:tcW w:w="2841" w:type="dxa"/>
          </w:tcPr>
          <w:p w14:paraId="6C05352E" w14:textId="06927FDB" w:rsidR="0012421A" w:rsidRDefault="0012421A" w:rsidP="002747EA">
            <w:pPr>
              <w:pStyle w:val="RCTstable"/>
              <w:rPr>
                <w:noProof/>
              </w:rPr>
            </w:pPr>
            <w:r>
              <w:rPr>
                <w:noProof/>
              </w:rPr>
              <w:t>Davenport et al 2018a</w:t>
            </w:r>
            <w:r w:rsidR="00D07346">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PjxSZWNOdW0+MTkzODwvUmVjTnVtPjxEaXNwbGF5VGV4dD48c3R5bGUgZmFjZT0ic3VwZXJzY3Jp
cHQiIGZvbnQ9IlRyZWJ1Y2hldCBNUyIgc2l6ZT0iOSI+NDY2PC9zdHlsZT48L0Rpc3BsYXlUZXh0
PjxyZWNvcmQ+PHJlYy1udW1iZXI+MTkzODwvcmVjLW51bWJlcj48Zm9yZWlnbi1rZXlzPjxrZXkg
YXBwPSJFTiIgZGItaWQ9ImV4dmFzcmZ4MmR0cmFvZXNhc3hwMnN6c3hhMmRmNTAyNTkyeCIgdGlt
ZXN0YW1wPSIxNTg4NzI4NDAyIj4xOTM4PC9rZXk+PGtleSBhcHA9IkVOV2ViIiBkYi1pZD0iIj4w
PC9rZXk+PC9mb3JlaWduLWtleXM+PHJlZi10eXBlIG5hbWU9IkpvdXJuYWwgQXJ0aWNsZSI+MTc8
L3JlZi10eXBlPjxjb250cmlidXRvcnM+PGF1dGhvcnM+PGF1dGhvcj5EYXZlbnBvcnQsIE0uIEgu
PC9hdXRob3I+PGF1dGhvcj5SdWNoYXQsIFMuIE0uPC9hdXRob3I+PGF1dGhvcj5Qb2l0cmFzLCBW
LiBKLjwvYXV0aG9yPjxhdXRob3I+SmFyYW1pbGxvIEdhcmNpYSwgQS48L2F1dGhvcj48YXV0aG9y
PkdyYXksIEMuIEUuPC9hdXRob3I+PGF1dGhvcj5CYXJyb3dtYW4sIE4uPC9hdXRob3I+PGF1dGhv
cj5Ta293LCBSLiBKLjwvYXV0aG9yPjxhdXRob3I+TWVhaCwgVi4gTC48L2F1dGhvcj48YXV0aG9y
PlJpc2tlLCBMLjwvYXV0aG9yPjxhdXRob3I+U29iaWVyYWpza2ksIEYuPC9hdXRob3I+PGF1dGhv
cj5KYW1lcywgTS48L2F1dGhvcj48YXV0aG9yPkthdGhvbCwgQS4gSi48L2F1dGhvcj48YXV0aG9y
Pk51c3BsLCBNLjwvYXV0aG9yPjxhdXRob3I+TWFyY2hhbmQsIEEuIEEuPC9hdXRob3I+PGF1dGhv
cj5OYWdwYWwsIFQuIFMuPC9hdXRob3I+PGF1dGhvcj5TbGF0ZXIsIEwuIEcuPC9hdXRob3I+PGF1
dGhvcj5XZWVrcywgQS48L2F1dGhvcj48YXV0aG9yPkFkYW1vLCBLLiBCLjwvYXV0aG9yPjxhdXRo
b3I+RGF2aWVzLCBHLiBBLjwvYXV0aG9yPjxhdXRob3I+QmFyYWthdCwgUi48L2F1dGhvcj48YXV0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cmVzLCBUcm9pcy1SaXZpZXJlcywgUXVlYmVjLCBDYW5hZGEuJiN4RDtJbmRlcGVuZGVudCByZXNl
YXJjaGVyLCBPdHRhd2EsIE9udGFyaW8sIENhbmFkYS4mI3hEO0hlYWx0aHkgQWN0aXZlIExpdmlu
ZyBhbmQgT2Jlc2l0eSBSZXNlYXJjaCBHcm91cCwgQ2hpbGRyZW4mYXBvcztzIEhvc3BpdGFsIG9m
IEVhc3Rlcm4gT250YXJpbyBSZXNlYXJjaCBJbnN0aXR1dGUsIE90dGF3YSwgT250YXJpbywgQ2Fu
YWRhLiYjeEQ7Q2xpbmljYWwgUmVzZWFyY2ggVW5pdCwgQ2hpbGRyZW4mYXBvcztzIEhvc3BpdGFs
IG9mIEVhc3Rlcm4gT250YXJpbyBSZXNlYXJjaCBJbnN0aXR1dGUsIE90dGF3YSwgT250YXJpbywg
Q2FuYWRhLiYjeEQ7Q2FyZGlmZiBTY2hvb2wgb2YgU3BvcnQgYW5kIEhlYWx0aCBTY2llbmNlcywg
Q2FyZGlmZiBNZXRyb3BvbGl0YW4gVW5pdmVyc2l0eSwgQ2FyZGlmZiwgVUsuJiN4RDtGYWN1bHR5
IG9mIE1lZGljaW5lIGFuZCBEZW50aXN0cnksIEFsYmVydGEgUmVzZWFyY2ggQ2VudHJlIGZvciBI
ZWFsdGggRXZpZGVuY2UsIFVuaXZlcnNpdHkgb2YgQWxiZXJ0YSwgRWRtb250b24sIEFsYmVydGEs
IENhbmFkYS4mI3hEO0RlcGFydG1lbnQgb2YgQW5hdG9teSwgVW5pdmVyc2l0ZSBkdSBRdWViZWMg
YSBUcm9pcy1SaXZpZXJlcywgVHJvaXMtUml2aWVyZXMsIFF1ZWJlYywgQ2FuYWRhLiYjeEQ7UiBT
YW11ZWwgTWNMYXVnaGxpbiBGb3VuZGF0aW9uLUV4ZXJjaXNlIGFuZCBQcmVnbmFuY3kgTGFib3Jh
dG9yeSwgRGVwYXJ0bWVudCBvZiBBbmF0b215IGFuZCBDZWxsIEJpb2xvZ3ksIEZhY3VsdHkgb2Yg
SGVhbHRoIFNjaWVuY2VzLCBTY2hvb2wgb2YgS2luZXNpb2xvZ3ksIFNjaHVsaWNoIFNjaG9vbCBv
ZiBNZWRpY2luZSBhbmQgRGVudGlzdHJ5LCBDaGlsZHJlbiZhcG9zO3MgSGVhbHRoIFJlc2VhcmNo
IEluc3RpdHV0ZSwgVGhlIFVuaXZlcnNpdHkgb2YgV2VzdGVybiBPbnRhcmlvLCBMb25kb24sIE9u
dGFyaW8sIENhbmFkYS4mI3hEO0pvaG4gVyBTY290dCBIZWFsdGggU2NpZW5jZXMgTGlicmFyeSwg
VW5pdmVyc2l0eSBvZiBBbGJlcnRhLCBFZG1vbnRvbiwgQWxiZXJ0YSwgQ2FuYWRhLiYjeEQ7U2No
b29sIG9mIEludGVyZGlzY2lwbGluYXJ5IEhlYWx0aCBTY2llbmNlcywgVW5pdmVyc2l0eSBvZiBP
dHRhd2EsIE90dGF3YSwgT250YXJpbywgQ2FuYWRhLiYjeEQ7RmFjdWx0eSBvZiBIZWFsdGggU2Np
ZW5jZXMsIFNjaG9vbCBvZiBIdW1hbiBLaW5ldGljcywgVW5pdmVyc2l0eSBvZiBPdHRhd2EsIE90
dGF3YSwgT250YXJpbywgQ2FuYWRhLiYjeEQ7RGVwYXJ0bWVudCBvZiBPYnN0ZXRyaWNzIGFuZCBH
eW5lY29sb2d5LCBRdWVlbiZhcG9zO3MgVW5pdmVyc2l0eSwgS2luZ3N0b24sIE9udGFyaW8sIENh
bmFkYS4mI3hEO0ZhY3VsdGFkIGRlIENpZW5jaWFzIGRlIGxhIEFjdGl2aWRhZCBGaXNpY2EgeSBk
ZWwgRGVwb3J0ZS1JTkVGLCBVbml2ZXJzaWRhZCBQb2xpdGVjbmljYSBkZSBNYWRyaWQsIE1hZHJp
ZCwgU3BhaW4uPC9hdXRoLWFkZHJlc3M+PHRpdGxlcz48dGl0bGU+UHJlbmF0YWwgZXhlcmNpc2Ug
Zm9yIHRoZSBwcmV2ZW50aW9uIG9mIGdlc3RhdGlvbmFsIGRpYWJldGVzIG1lbGxpdHVzIGFuZCBo
eXBlcnRlbnNpdmUgZGlzb3JkZXJzIG9mIHByZWduYW5jeTogYSBzeXN0ZW1hdGljIHJldmlldyBh
bmQgbWV0YS1hbmFseXNpczwvdGl0bGU+PHNlY29uZGFyeS10aXRsZT5CciBKIFNwb3J0cyBNZWQ8
L3NlY29uZGFyeS10aXRsZT48L3RpdGxlcz48cGVyaW9kaWNhbD48ZnVsbC10aXRsZT5CciBKIFNw
b3J0cyBNZWQ8L2Z1bGwtdGl0bGU+PC9wZXJpb2RpY2FsPjxwYWdlcz4xMzY3LTEzNzU8L3BhZ2Vz
Pjx2b2x1bWU+NTI8L3ZvbHVtZT48bnVtYmVyPjIxPC9udW1iZXI+PGVkaXRpb24+MjAxOC8xMC8y
MDwvZWRpdGlvbj48a2V5d29yZHM+PGtleXdvcmQ+RGlhYmV0ZXMsIEdlc3RhdGlvbmFsLypwcmV2
ZW50aW9uICZhbXA7IGNvbnRyb2w8L2tleXdvcmQ+PGtleXdvcmQ+KkV4ZXJjaXNlPC9rZXl3b3Jk
PjxrZXl3b3JkPkZlbWFsZTwva2V5d29yZD48a2V5d29yZD5IdW1hbnM8L2tleXdvcmQ+PGtleXdv
cmQ+SHlwZXJ0ZW5zaW9uLCBQcmVnbmFuY3ktSW5kdWNlZC8qcHJldmVudGlvbiAmYW1wOyBjb250
cm9sPC9rZXl3b3JkPjxrZXl3b3JkPk9ic2VydmF0aW9uYWwgU3R1ZGllcyBhcyBUb3BpYzwva2V5
d29yZD48a2V5d29yZD4qUHJlZ25hbmN5PC9rZXl3b3JkPjxrZXl3b3JkPlJhbmRvbWl6ZWQgQ29u
dHJvbGxlZCBUcmlhbHMgYXMgVG9waWM8L2tleXdvcmQ+PGtleXdvcmQ+ZGlhYmV0ZXM8L2tleXdv
cmQ+PGtleXdvcmQ+ZXZpZGVuY2UtYmFzZWQgcmV2aWV3PC9rZXl3b3JkPjxrZXl3b3JkPmV4ZXJj
aXNlPC9rZXl3b3JkPjxrZXl3b3JkPm1ldGEtYW5hbHlzaXM8L2tleXdvcmQ+PGtleXdvcmQ+cHJl
Z25hbmN5PC9rZXl3b3JkPjwva2V5d29yZHM+PGRhdGVzPjx5ZWFyPjIwMTg8L3llYXI+PHB1Yi1k
YXRlcz48ZGF0ZT5Ob3Y8L2RhdGU+PC9wdWItZGF0ZXM+PC9kYXRlcz48aXNibj4xNDczLTA0ODAg
KEVsZWN0cm9uaWMpJiN4RDswMzA2LTM2NzQgKExpbmtpbmcpPC9pc2JuPjxhY2Nlc3Npb24tbnVt
PjMwMzM3NDYzPC9hY2Nlc3Npb24tbnVtPjx1cmxzPjxyZWxhdGVkLXVybHM+PHVybD5odHRwczov
L3d3dy5uY2JpLm5sbS5uaWguZ292L3B1Ym1lZC8zMDMzNzQ2MzwvdXJsPjwvcmVsYXRlZC11cmxz
PjwvdXJscz48ZWxlY3Ryb25pYy1yZXNvdXJjZS1udW0+MTAuMTEzNi9ianNwb3J0cy0yMDE4LTA5
OTM1NTwvZWxlY3Ryb25pYy1yZXNvdXJjZS1udW0+PC9yZWNvcmQ+PC9DaXRlPjwvRW5kTm90ZT4A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466</w:t>
            </w:r>
            <w:r w:rsidR="00D07346">
              <w:rPr>
                <w:noProof/>
              </w:rPr>
              <w:fldChar w:fldCharType="end"/>
            </w:r>
          </w:p>
        </w:tc>
        <w:tc>
          <w:tcPr>
            <w:tcW w:w="2547" w:type="dxa"/>
          </w:tcPr>
          <w:p w14:paraId="1ED62252" w14:textId="77777777" w:rsidR="0012421A" w:rsidRDefault="0012421A" w:rsidP="0002532B">
            <w:pPr>
              <w:pStyle w:val="RCTstable"/>
            </w:pPr>
            <w:r>
              <w:t>Mixed BMIs</w:t>
            </w:r>
          </w:p>
        </w:tc>
        <w:tc>
          <w:tcPr>
            <w:tcW w:w="2982" w:type="dxa"/>
          </w:tcPr>
          <w:p w14:paraId="17EF59F7" w14:textId="6CE656E9" w:rsidR="0012421A" w:rsidRDefault="0012421A" w:rsidP="0012421A">
            <w:pPr>
              <w:pStyle w:val="RCTstable"/>
              <w:jc w:val="center"/>
              <w:rPr>
                <w:rFonts w:eastAsiaTheme="majorEastAsia"/>
              </w:rPr>
            </w:pPr>
            <w:r>
              <w:rPr>
                <w:rFonts w:eastAsiaTheme="majorEastAsia"/>
              </w:rPr>
              <w:t>RR 0.89 (0.73 to 1.08)</w:t>
            </w:r>
          </w:p>
        </w:tc>
        <w:tc>
          <w:tcPr>
            <w:tcW w:w="1134" w:type="dxa"/>
          </w:tcPr>
          <w:p w14:paraId="545B18B8" w14:textId="5EE594EB" w:rsidR="0012421A" w:rsidRDefault="0012421A" w:rsidP="0002532B">
            <w:pPr>
              <w:pStyle w:val="RCTstable"/>
              <w:jc w:val="center"/>
            </w:pPr>
            <w:r>
              <w:t>12</w:t>
            </w:r>
          </w:p>
        </w:tc>
      </w:tr>
      <w:tr w:rsidR="00A5540F" w:rsidRPr="00B87066" w14:paraId="2C5A2B95" w14:textId="77777777" w:rsidTr="00A5540F">
        <w:tc>
          <w:tcPr>
            <w:tcW w:w="2841" w:type="dxa"/>
            <w:shd w:val="clear" w:color="auto" w:fill="auto"/>
          </w:tcPr>
          <w:p w14:paraId="56812444" w14:textId="7DE8F48F"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335935EC" w14:textId="77777777" w:rsidR="00A5540F" w:rsidRPr="00B87066" w:rsidRDefault="00A5540F" w:rsidP="00A5540F">
            <w:pPr>
              <w:pStyle w:val="RCTstable"/>
            </w:pPr>
            <w:r>
              <w:t>Mixed BMIs</w:t>
            </w:r>
          </w:p>
        </w:tc>
        <w:tc>
          <w:tcPr>
            <w:tcW w:w="2982" w:type="dxa"/>
            <w:shd w:val="clear" w:color="auto" w:fill="auto"/>
          </w:tcPr>
          <w:p w14:paraId="007663D3" w14:textId="77777777" w:rsidR="00A5540F" w:rsidRPr="00B87066" w:rsidRDefault="00A5540F" w:rsidP="00A5540F">
            <w:pPr>
              <w:pStyle w:val="RCTstable"/>
              <w:jc w:val="center"/>
              <w:rPr>
                <w:rStyle w:val="block"/>
                <w:bCs/>
              </w:rPr>
            </w:pPr>
            <w:r>
              <w:rPr>
                <w:rStyle w:val="block"/>
                <w:bCs/>
              </w:rPr>
              <w:t>RR 1.00 (0.75 to 1.34)</w:t>
            </w:r>
          </w:p>
        </w:tc>
        <w:tc>
          <w:tcPr>
            <w:tcW w:w="1134" w:type="dxa"/>
            <w:shd w:val="clear" w:color="auto" w:fill="auto"/>
          </w:tcPr>
          <w:p w14:paraId="58E034E5" w14:textId="77777777" w:rsidR="00A5540F" w:rsidRPr="00B87066" w:rsidRDefault="00A5540F" w:rsidP="00A5540F">
            <w:pPr>
              <w:pStyle w:val="RCTstable"/>
              <w:jc w:val="center"/>
            </w:pPr>
            <w:r>
              <w:t>7</w:t>
            </w:r>
          </w:p>
        </w:tc>
      </w:tr>
      <w:tr w:rsidR="00A5540F" w:rsidRPr="00B87066" w14:paraId="05880A3A" w14:textId="77777777" w:rsidTr="00A5540F">
        <w:tc>
          <w:tcPr>
            <w:tcW w:w="2841" w:type="dxa"/>
            <w:shd w:val="clear" w:color="auto" w:fill="auto"/>
          </w:tcPr>
          <w:p w14:paraId="1A46B1C6" w14:textId="0B4F0023" w:rsidR="00A5540F" w:rsidRPr="00B87066"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shd w:val="clear" w:color="auto" w:fill="auto"/>
          </w:tcPr>
          <w:p w14:paraId="251EA6B6" w14:textId="77777777" w:rsidR="00A5540F" w:rsidRPr="00B87066" w:rsidRDefault="00A5540F" w:rsidP="00A5540F">
            <w:pPr>
              <w:pStyle w:val="RCTstable"/>
            </w:pPr>
            <w:r>
              <w:t>Mixed BMIs</w:t>
            </w:r>
          </w:p>
        </w:tc>
        <w:tc>
          <w:tcPr>
            <w:tcW w:w="2982" w:type="dxa"/>
            <w:shd w:val="clear" w:color="auto" w:fill="auto"/>
          </w:tcPr>
          <w:p w14:paraId="23EE6D49" w14:textId="77777777" w:rsidR="00A5540F" w:rsidRPr="00B87066" w:rsidRDefault="00A5540F" w:rsidP="00A5540F">
            <w:pPr>
              <w:pStyle w:val="RCTstable"/>
              <w:jc w:val="center"/>
              <w:rPr>
                <w:rStyle w:val="block"/>
                <w:bCs/>
              </w:rPr>
            </w:pPr>
            <w:r>
              <w:rPr>
                <w:rStyle w:val="block"/>
                <w:bCs/>
              </w:rPr>
              <w:t>RR 1.48 (0.56 to 3.94)</w:t>
            </w:r>
          </w:p>
        </w:tc>
        <w:tc>
          <w:tcPr>
            <w:tcW w:w="1134" w:type="dxa"/>
            <w:shd w:val="clear" w:color="auto" w:fill="auto"/>
          </w:tcPr>
          <w:p w14:paraId="0CE342D8" w14:textId="77777777" w:rsidR="00A5540F" w:rsidRPr="00B87066" w:rsidRDefault="00A5540F" w:rsidP="00A5540F">
            <w:pPr>
              <w:pStyle w:val="RCTstable"/>
              <w:jc w:val="center"/>
              <w:rPr>
                <w:rStyle w:val="block"/>
                <w:bCs/>
              </w:rPr>
            </w:pPr>
            <w:r>
              <w:rPr>
                <w:rStyle w:val="block"/>
                <w:bCs/>
              </w:rPr>
              <w:t>3</w:t>
            </w:r>
          </w:p>
        </w:tc>
      </w:tr>
      <w:tr w:rsidR="00A5540F" w:rsidRPr="00B87066" w14:paraId="7460B931" w14:textId="77777777" w:rsidTr="00A5540F">
        <w:tc>
          <w:tcPr>
            <w:tcW w:w="2841" w:type="dxa"/>
            <w:shd w:val="clear" w:color="auto" w:fill="auto"/>
          </w:tcPr>
          <w:p w14:paraId="4EFCF78F" w14:textId="633C32CE"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59B21465" w14:textId="77777777" w:rsidR="00A5540F" w:rsidRDefault="00A5540F" w:rsidP="00A5540F">
            <w:pPr>
              <w:pStyle w:val="RCTstable"/>
            </w:pPr>
            <w:r>
              <w:t>Mixed BMIs</w:t>
            </w:r>
          </w:p>
        </w:tc>
        <w:tc>
          <w:tcPr>
            <w:tcW w:w="2982" w:type="dxa"/>
            <w:shd w:val="clear" w:color="auto" w:fill="auto"/>
          </w:tcPr>
          <w:p w14:paraId="1FC552AA" w14:textId="77777777" w:rsidR="00A5540F" w:rsidRDefault="00A5540F" w:rsidP="00A5540F">
            <w:pPr>
              <w:pStyle w:val="RCTstable"/>
              <w:jc w:val="center"/>
              <w:rPr>
                <w:rStyle w:val="block"/>
                <w:bCs/>
              </w:rPr>
            </w:pPr>
            <w:r>
              <w:rPr>
                <w:rStyle w:val="block"/>
                <w:bCs/>
              </w:rPr>
              <w:t>RR 1.16 (0.70 to 1.90)</w:t>
            </w:r>
          </w:p>
        </w:tc>
        <w:tc>
          <w:tcPr>
            <w:tcW w:w="1134" w:type="dxa"/>
            <w:shd w:val="clear" w:color="auto" w:fill="auto"/>
          </w:tcPr>
          <w:p w14:paraId="700113C7" w14:textId="77777777" w:rsidR="00A5540F" w:rsidRDefault="00A5540F" w:rsidP="00A5540F">
            <w:pPr>
              <w:pStyle w:val="RCTstable"/>
              <w:jc w:val="center"/>
              <w:rPr>
                <w:rStyle w:val="block"/>
                <w:bCs/>
              </w:rPr>
            </w:pPr>
            <w:r>
              <w:rPr>
                <w:rStyle w:val="block"/>
                <w:bCs/>
              </w:rPr>
              <w:t>4</w:t>
            </w:r>
          </w:p>
        </w:tc>
      </w:tr>
      <w:tr w:rsidR="00A5540F" w:rsidRPr="00B87066" w14:paraId="5EC70F86" w14:textId="77777777" w:rsidTr="00A5540F">
        <w:tc>
          <w:tcPr>
            <w:tcW w:w="2841" w:type="dxa"/>
            <w:tcBorders>
              <w:bottom w:val="single" w:sz="4" w:space="0" w:color="3B3474"/>
            </w:tcBorders>
            <w:shd w:val="clear" w:color="auto" w:fill="auto"/>
          </w:tcPr>
          <w:p w14:paraId="3DAD8F67" w14:textId="79CE4E2D" w:rsidR="00A5540F" w:rsidRPr="00C12274" w:rsidRDefault="00A5540F" w:rsidP="002747EA">
            <w:pPr>
              <w:pStyle w:val="RCTstable"/>
              <w:rPr>
                <w:noProof/>
              </w:rPr>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shd w:val="clear" w:color="auto" w:fill="auto"/>
          </w:tcPr>
          <w:p w14:paraId="46632CF9" w14:textId="77777777" w:rsidR="00A5540F" w:rsidRDefault="00A5540F" w:rsidP="00A5540F">
            <w:pPr>
              <w:pStyle w:val="RCTstable"/>
            </w:pPr>
            <w:r>
              <w:t>Mixed BMIs</w:t>
            </w:r>
          </w:p>
        </w:tc>
        <w:tc>
          <w:tcPr>
            <w:tcW w:w="2982" w:type="dxa"/>
            <w:tcBorders>
              <w:bottom w:val="single" w:sz="4" w:space="0" w:color="3B3474"/>
            </w:tcBorders>
            <w:shd w:val="clear" w:color="auto" w:fill="auto"/>
          </w:tcPr>
          <w:p w14:paraId="65C11C07" w14:textId="77777777" w:rsidR="00A5540F" w:rsidRDefault="00A5540F" w:rsidP="00A5540F">
            <w:pPr>
              <w:pStyle w:val="RCTstable"/>
              <w:jc w:val="center"/>
              <w:rPr>
                <w:rStyle w:val="block"/>
                <w:bCs/>
              </w:rPr>
            </w:pPr>
            <w:r>
              <w:rPr>
                <w:rStyle w:val="block"/>
                <w:bCs/>
              </w:rPr>
              <w:t>RR 098 (0.79 to 1.22)</w:t>
            </w:r>
          </w:p>
        </w:tc>
        <w:tc>
          <w:tcPr>
            <w:tcW w:w="1134" w:type="dxa"/>
            <w:tcBorders>
              <w:bottom w:val="single" w:sz="4" w:space="0" w:color="3B3474"/>
            </w:tcBorders>
            <w:shd w:val="clear" w:color="auto" w:fill="auto"/>
          </w:tcPr>
          <w:p w14:paraId="3C5D3500" w14:textId="77777777" w:rsidR="00A5540F" w:rsidRDefault="00A5540F" w:rsidP="00A5540F">
            <w:pPr>
              <w:pStyle w:val="RCTstable"/>
              <w:jc w:val="center"/>
              <w:rPr>
                <w:rStyle w:val="block"/>
                <w:bCs/>
              </w:rPr>
            </w:pPr>
            <w:r>
              <w:rPr>
                <w:rStyle w:val="block"/>
                <w:bCs/>
              </w:rPr>
              <w:t>8</w:t>
            </w:r>
          </w:p>
        </w:tc>
      </w:tr>
      <w:tr w:rsidR="00A5540F" w:rsidRPr="00FC0771" w14:paraId="6CD9E531" w14:textId="77777777" w:rsidTr="00A5540F">
        <w:tc>
          <w:tcPr>
            <w:tcW w:w="9504" w:type="dxa"/>
            <w:gridSpan w:val="4"/>
            <w:shd w:val="clear" w:color="auto" w:fill="D9E2F3" w:themeFill="accent1" w:themeFillTint="33"/>
          </w:tcPr>
          <w:p w14:paraId="15AB6F4F" w14:textId="77777777" w:rsidR="00A5540F" w:rsidRPr="00FC0771" w:rsidRDefault="00A5540F" w:rsidP="00A5540F">
            <w:pPr>
              <w:pStyle w:val="RCTstable"/>
              <w:rPr>
                <w:i/>
              </w:rPr>
            </w:pPr>
            <w:r>
              <w:rPr>
                <w:i/>
              </w:rPr>
              <w:t>Caesarean section</w:t>
            </w:r>
          </w:p>
        </w:tc>
      </w:tr>
      <w:tr w:rsidR="00A5540F" w:rsidRPr="00B87066" w14:paraId="176174C0" w14:textId="77777777" w:rsidTr="00A5540F">
        <w:tc>
          <w:tcPr>
            <w:tcW w:w="2841" w:type="dxa"/>
            <w:tcBorders>
              <w:bottom w:val="single" w:sz="4" w:space="0" w:color="3B3474"/>
            </w:tcBorders>
            <w:shd w:val="clear" w:color="auto" w:fill="F2F2F2" w:themeFill="background1" w:themeFillShade="F2"/>
          </w:tcPr>
          <w:p w14:paraId="7E3A6B2E"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222EB095"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74391B1E" w14:textId="1CF69006" w:rsidR="00A5540F" w:rsidRPr="006C1600" w:rsidRDefault="00690F45" w:rsidP="00A5540F">
            <w:pPr>
              <w:pStyle w:val="RCTstable"/>
              <w:jc w:val="center"/>
            </w:pPr>
            <w:r>
              <w:t>RR 0.95</w:t>
            </w:r>
            <w:r w:rsidR="00A5540F" w:rsidRPr="006C1600">
              <w:t xml:space="preserve"> (</w:t>
            </w:r>
            <w:r>
              <w:t>0.89 to 1.0</w:t>
            </w:r>
            <w:r w:rsidR="00E01ACF">
              <w:t>2</w:t>
            </w:r>
            <w:r w:rsidR="00A5540F" w:rsidRPr="006C1600">
              <w:t>)</w:t>
            </w:r>
          </w:p>
        </w:tc>
        <w:tc>
          <w:tcPr>
            <w:tcW w:w="1134" w:type="dxa"/>
            <w:tcBorders>
              <w:bottom w:val="single" w:sz="4" w:space="0" w:color="3B3474"/>
            </w:tcBorders>
            <w:shd w:val="clear" w:color="auto" w:fill="F2F2F2" w:themeFill="background1" w:themeFillShade="F2"/>
          </w:tcPr>
          <w:p w14:paraId="4DD249AE" w14:textId="39FFF352" w:rsidR="00A5540F" w:rsidRPr="00B87066" w:rsidRDefault="00A5540F" w:rsidP="00A5540F">
            <w:pPr>
              <w:pStyle w:val="RCTstable"/>
              <w:jc w:val="center"/>
            </w:pPr>
            <w:r>
              <w:t>2</w:t>
            </w:r>
            <w:r w:rsidR="00E01ACF">
              <w:t>5</w:t>
            </w:r>
          </w:p>
        </w:tc>
      </w:tr>
      <w:tr w:rsidR="00F30D94" w:rsidRPr="00B87066" w14:paraId="17ADE4EA" w14:textId="77777777" w:rsidTr="00A5540F">
        <w:tc>
          <w:tcPr>
            <w:tcW w:w="2841" w:type="dxa"/>
            <w:shd w:val="clear" w:color="auto" w:fill="auto"/>
          </w:tcPr>
          <w:p w14:paraId="20ECFF6F" w14:textId="681F234D" w:rsidR="00F30D94" w:rsidRPr="00C12274" w:rsidRDefault="00F30D94" w:rsidP="002747EA">
            <w:pPr>
              <w:pStyle w:val="RCTstable"/>
              <w:rPr>
                <w:noProof/>
              </w:rPr>
            </w:pPr>
            <w:r w:rsidRPr="001048CC">
              <w:rPr>
                <w:noProof/>
              </w:rPr>
              <w:t>Davenport et al 2019</w:t>
            </w:r>
            <w:r w:rsidR="002345B7">
              <w:rPr>
                <w:noProof/>
              </w:rPr>
              <w:t>d</w:t>
            </w:r>
            <w:r w:rsidR="00767EBF">
              <w:rPr>
                <w:noProof/>
              </w:rPr>
              <w:fldChar w:fldCharType="begin">
                <w:fldData xml:space="preserve">PEVuZE5vdGU+PENpdGU+PEF1dGhvcj5EYXZlbnBvcnQ8L0F1dGhvcj48WWVhcj4yMDE5PC9ZZWFy
PjxSZWNOdW0+MTIxOTwvUmVjTnVtPjxEaXNwbGF5VGV4dD48c3R5bGUgZmFjZT0ic3VwZXJzY3Jp
cHQiIGZvbnQ9IlRyZWJ1Y2hldCBNUyIgc2l6ZT0iOSI+NDczPC9zdHlsZT48L0Rpc3BsYXlUZXh0
PjxyZWNvcmQ+PHJlYy1udW1iZXI+MTIxOTwvcmVjLW51bWJlcj48Zm9yZWlnbi1rZXlzPjxrZXkg
YXBwPSJFTiIgZGItaWQ9ImV4dmFzcmZ4MmR0cmFvZXNhc3hwMnN6c3hhMmRmNTAyNTkyeCIgdGlt
ZXN0YW1wPSIxNTYyNDY3MjEwIj4xMjE5PC9rZXk+PGtleSBhcHA9IkVOV2ViIiBkYi1pZD0iIj4w
PC9rZXk+PC9mb3JlaWduLWtleXM+PHJlZi10eXBlIG5hbWU9IkpvdXJuYWwgQXJ0aWNsZSI+MTc8
L3JlZi10eXBlPjxjb250cmlidXRvcnM+PGF1dGhvcnM+PGF1dGhvcj5EYXZlbnBvcnQsIE0uIEgu
PC9hdXRob3I+PGF1dGhvcj5SdWNoYXQsIFMuIE0uPC9hdXRob3I+PGF1dGhvcj5Tb2JpZXJhanNr
aSwgRi48L2F1dGhvcj48YXV0aG9yPlBvaXRyYXMsIFYuIEouPC9hdXRob3I+PGF1dGhvcj5HcmF5
LCBDLiBFLjwvYXV0aG9yPjxhdXRob3I+WW9vLCBDLjwvYXV0aG9yPjxhdXRob3I+U2tvdywgUi4g
Si48L2F1dGhvcj48YXV0aG9yPkphcmFtaWxsbyBHYXJjaWEsIEEuPC9hdXRob3I+PGF1dGhvcj5C
YXJyb3dtYW4sIE4uPC9hdXRob3I+PGF1dGhvcj5NZWFoLCBWLiBMLjwvYXV0aG9yPjxhdXRob3I+
TmFncGFsLCBULiBTLjwvYXV0aG9yPjxhdXRob3I+Umlza2UsIEwuPC9hdXRob3I+PGF1dGhvcj5K
YW1lcywgTS48L2F1dGhvcj48YXV0aG9yPk51c3BsLCBNLjwvYXV0aG9yPjxhdXRob3I+V2Vla3Ms
IEEuPC9hdXRob3I+PGF1dGhvcj5NYXJjaGFuZCwgQS4gQS48L2F1dGhvcj48YXV0aG9yPlNsYXRl
ciwgTC4gRy48L2F1dGhvcj48YXV0aG9yPkFkYW1vLCBLLiBCLjwvYXV0aG9yPjxhdXRob3I+RGF2
aWVzLCBHLiBBLjwvYXV0aG9yPjxhdXRob3I+QmFyYWthdCwgUi48L2F1dGhvcj48YXV0aG9yPk1v
dHRvbGEsIE0uIEYuPC9hdXRob3I+PC9hdXRob3JzPjwvY29udHJpYnV0b3JzPjxhdXRoLWFkZHJl
c3M+UHJvZ3JhbSBmb3IgUHJlZ25hbmN5IGFuZCBQb3N0cGFydHVtIEhlYWx0aCwgUGh5c2ljYWwg
QWN0aXZpdHkgYW5kIERpYWJldGVzIExhYm9yYXRvcnksIEZhY3VsdHkgb2YgS2luZXNpb2xvZ3ks
IFNwb3J0IGFuZCBSZWNyZWF0aW9uLCBXb21lbiBhbmQgQ2hpbGRyZW4mYXBvcztzIEhlYWx0aCBS
ZXNlYXJjaCBJbnN0aXR1dGUsIEFsYmVydGEgRGlhYmV0ZXMgSW5zdGl0dXRlLCBVbml2ZXJzaXR5
IG9mIEFsYmVydGEsIEVkbW9udG9uLCBBbGJlcnRhLCBDYW5hZGEuJiN4RDtEZXBhcnRtZW50IG9m
IEh1bWFuIEtpbmV0aWNzLCBVbml2ZXJzaXRlIGR1IFF1ZWJlYyBhIFRyb2lzLVJpdmllcmVzLCBU
cm9pcy1SaXZpZXJlcywgUXVlYmVjLCBDYW5hZGEuJiN4RDtJbmRlcGVuZGVudCByZXNlYXJjaGVy
LCBPdHRhd2EsIE9udGFyaW8sIENhbmFkYS4mI3hEO0hlYWx0aHkgQWN0aXZlIExpdmluZyBhbmQg
T2Jlc2l0eSBSZXNlYXJjaCBHcm91cCwgQ2hpbGRyZW4mYXBvcztzIEhvc3BpdGFsIG9mIEVhc3Rl
cm4gT250YXJpbyBSZXNlYXJjaCBJbnN0aXR1dGUsIE90dGF3YSwgT250YXJpbywgQ2FuYWRhLiYj
eEQ7Q2xpbmljYWwgUmVzZWFyY2ggVW5pdCwgQ2hpbGRyZW4mYXBvcztzIEhvc3BpdGFsIG9mIEVh
c3Rlcm4gT250YXJpbyBSZXNlYXJjaCBJbnN0aXR1dGUsIE90dGF3YSwgT250YXJpbywgQ2FuYWRh
LiYjeEQ7Q2FyZGlmZiBTY2hvb2wgb2YgU3BvcnQgYW5kIEhlYWx0aCBTY2llbmNlcywgQ2FyZGlm
ZiBNZXRyb3BvbGl0YW4gVW5pdmVyc2l0eSwgQ2FyZGlmZiwgVUsuJiN4RDtSLiBTYW11ZWwgTWNM
YXVnaGxpbiBGb3VuZGF0aW9uIC0gRXhlcmNpc2UgYW5kIFByZWduYW5jeSBMYWJvcmF0b3J5LCBT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dXRlICwgVGhlIFVuaXZlcnNpdHkgb2YgV2VzdGVybiBPbnRhcmlvLCBMb25kb24sIE9udGFyaW8s
IENhbmFkYS4mI3hEO0FsYmVydGEgUmVzZWFyY2ggQ2VudHJlIGZvciBIZWFsdGggRXZpZGVuY2Us
IEZhY3VsdHkgb2YgTWVkaWNpbmUgYW5kIERlbnRpc3RyeSwgVW5pdmVyc2l0eSBvZiBBbGJlcnRh
LCBFZG1vbnRvbiwgQWxiZXJ0YSwgQ2FuYWRhLiYjeEQ7SW50ZXJkaXNjaXBsaW5hcnkgU2Nob29s
IG9mIEhlYWx0aCBTY2llbmNlcywgVW5pdmVyc2l0eSBvZiBPdHRhd2EsIE90dGF3YSwgT250YXJp
bywgQ2FuYWRhLiYjeEQ7RGVwYXJ0bWVudCBvZiBBbmF0b215LCBVbml2ZXJzaXRlIGR1IFF1ZWJl
YyBhIFRyb2lzLVJpdmllcmVzLCBUcm9pcy1SaXZpZXJlcywgUXVlYmVjLCBDYW5hZGEuJiN4RDtK
b2huIFcuIFNjb3R0IEhlYWx0aCBTY2llbmNlcyBMaWJyYXJ5LCBVbml2ZXJzaXR5IG9mIEFsYmVy
dGEsIEVkbW9udG9uLCBBbGJlcnRhLCBDYW5hZGEuJiN4RDtTY2hvb2wgb2YgSHVtYW4gS2luZXRp
Y3MsIEZhY3VsdHkgb2YgSGVhbHRoIFNjaWVuY2VzLCBVbml2ZXJzaXR5IG9mIE90dGF3YSwgT3R0
YXdhLCBPbnRhcmlvLCBDYW5hZGEuJiN4RDtEZXBhcnRtZW50IG9mIE9ic3RldHJpY3MgYW5kIEd5
bmVjb2xvZ3ksIFF1ZWVuJmFwb3M7cyBVbml2ZXJzaXR5LCBLaW5nc3RvbiwgT250YXJpbywgQ2Fu
YWRhLiYjeEQ7RmFjdWx0YWQgZGUgQ2llbmNpYXMgZGUgbGEgQWN0aXZpZGFkIEZpc2ljYSB5IGRl
bCBEZXBvcnRlLUlORUYsIFVuaXZlcnNpZGFkIFBvbGl0ZWNuaWNhIGRlIE1hZHJpZCwgTWFkcmlk
LCBTcGFpbi48L2F1dGgtYWRkcmVzcz48dGl0bGVzPjx0aXRsZT5JbXBhY3Qgb2YgcHJlbmF0YWwg
ZXhlcmNpc2Ugb24gbWF0ZXJuYWwgaGFybXMsIGxhYm91ciBhbmQgZGVsaXZlcnkgb3V0Y29tZXM6
IGEgc3lzdGVtYXRpYyByZXZpZXcgYW5kIG1ldGEtYW5hbHlzaXM8L3RpdGxlPjxzZWNvbmRhcnkt
dGl0bGU+QnIgSiBTcG9ydHMgTWVkPC9zZWNvbmRhcnktdGl0bGU+PC90aXRsZXM+PHBlcmlvZGlj
YWw+PGZ1bGwtdGl0bGU+QnIgSiBTcG9ydHMgTWVkPC9mdWxsLXRpdGxlPjwvcGVyaW9kaWNhbD48
cGFnZXM+OTktMTA3PC9wYWdlcz48dm9sdW1lPjUzPC92b2x1bWU+PG51bWJlcj4yPC9udW1iZXI+
PGVkaXRpb24+MjAxOC8xMC8yMDwvZWRpdGlvbj48a2V5d29yZHM+PGtleXdvcmQ+Q2VzYXJlYW4g
U2VjdGlvbjwva2V5d29yZD48a2V5d29yZD4qRGVsaXZlcnksIE9ic3RldHJpYzwva2V5d29yZD48
a2V5d29yZD4qRXhlcmNpc2U8L2tleXdvcmQ+PGtleXdvcmQ+RmVtYWxlPC9rZXl3b3JkPjxrZXl3
b3JkPkZldGFsIE1lbWJyYW5lcywgUHJlbWF0dXJlIFJ1cHR1cmU8L2tleXdvcmQ+PGtleXdvcmQ+
SHVtYW5zPC9rZXl3b3JkPjxrZXl3b3JkPipMYWJvciwgT2JzdGV0cmljPC9rZXl3b3JkPjxrZXl3
b3JkPlByZWduYW5jeTwva2V5d29yZD48a2V5d29yZD5QcmVnbmFuY3kgT3V0Y29tZTwva2V5d29y
ZD48a2V5d29yZD5SYW5kb21pemVkIENvbnRyb2xsZWQgVHJpYWxzIGFzIFRvcGljPC9rZXl3b3Jk
PjxrZXl3b3JkPmV4ZXJjaXNlPC9rZXl3b3JkPjwva2V5d29yZHM+PGRhdGVzPjx5ZWFyPjIwMTk8
L3llYXI+PHB1Yi1kYXRlcz48ZGF0ZT5KYW48L2RhdGU+PC9wdWItZGF0ZXM+PC9kYXRlcz48aXNi
bj4xNDczLTA0ODAgKEVsZWN0cm9uaWMpJiN4RDswMzA2LTM2NzQgKExpbmtpbmcpPC9pc2JuPjxh
Y2Nlc3Npb24tbnVtPjMwMzM3MzQ5PC9hY2Nlc3Npb24tbnVtPjx1cmxzPjxyZWxhdGVkLXVybHM+
PHVybD5odHRwczovL3d3dy5uY2JpLm5sbS5uaWguZ292L3B1Ym1lZC8zMDMzNzM0OTwvdXJsPjwv
cmVsYXRlZC11cmxzPjwvdXJscz48ZWxlY3Ryb25pYy1yZXNvdXJjZS1udW0+MTAuMTEzNi9ianNw
b3J0cy0yMDE4LTA5OTgyMTwvZWxlY3Ryb25pYy1yZXNvdXJjZS1udW0+PC9yZWNvcmQ+PC9DaXRl
PjwvRW5kTm90ZT5=
</w:fldData>
              </w:fldChar>
            </w:r>
            <w:r w:rsidR="002747EA">
              <w:rPr>
                <w:noProof/>
              </w:rPr>
              <w:instrText xml:space="preserve"> ADDIN EN.CITE </w:instrText>
            </w:r>
            <w:r w:rsidR="002747EA">
              <w:rPr>
                <w:noProof/>
              </w:rPr>
              <w:fldChar w:fldCharType="begin">
                <w:fldData xml:space="preserve">PEVuZE5vdGU+PENpdGU+PEF1dGhvcj5EYXZlbnBvcnQ8L0F1dGhvcj48WWVhcj4yMDE5PC9ZZWFy
PjxSZWNOdW0+MTIxOTwvUmVjTnVtPjxEaXNwbGF5VGV4dD48c3R5bGUgZmFjZT0ic3VwZXJzY3Jp
cHQiIGZvbnQ9IlRyZWJ1Y2hldCBNUyIgc2l6ZT0iOSI+NDczPC9zdHlsZT48L0Rpc3BsYXlUZXh0
PjxyZWNvcmQ+PHJlYy1udW1iZXI+MTIxOTwvcmVjLW51bWJlcj48Zm9yZWlnbi1rZXlzPjxrZXkg
YXBwPSJFTiIgZGItaWQ9ImV4dmFzcmZ4MmR0cmFvZXNhc3hwMnN6c3hhMmRmNTAyNTkyeCIgdGlt
ZXN0YW1wPSIxNTYyNDY3MjEwIj4xMjE5PC9rZXk+PGtleSBhcHA9IkVOV2ViIiBkYi1pZD0iIj4w
PC9rZXk+PC9mb3JlaWduLWtleXM+PHJlZi10eXBlIG5hbWU9IkpvdXJuYWwgQXJ0aWNsZSI+MTc8
L3JlZi10eXBlPjxjb250cmlidXRvcnM+PGF1dGhvcnM+PGF1dGhvcj5EYXZlbnBvcnQsIE0uIEgu
PC9hdXRob3I+PGF1dGhvcj5SdWNoYXQsIFMuIE0uPC9hdXRob3I+PGF1dGhvcj5Tb2JpZXJhanNr
aSwgRi48L2F1dGhvcj48YXV0aG9yPlBvaXRyYXMsIFYuIEouPC9hdXRob3I+PGF1dGhvcj5HcmF5
LCBDLiBFLjwvYXV0aG9yPjxhdXRob3I+WW9vLCBDLjwvYXV0aG9yPjxhdXRob3I+U2tvdywgUi4g
Si48L2F1dGhvcj48YXV0aG9yPkphcmFtaWxsbyBHYXJjaWEsIEEuPC9hdXRob3I+PGF1dGhvcj5C
YXJyb3dtYW4sIE4uPC9hdXRob3I+PGF1dGhvcj5NZWFoLCBWLiBMLjwvYXV0aG9yPjxhdXRob3I+
TmFncGFsLCBULiBTLjwvYXV0aG9yPjxhdXRob3I+Umlza2UsIEwuPC9hdXRob3I+PGF1dGhvcj5K
YW1lcywgTS48L2F1dGhvcj48YXV0aG9yPk51c3BsLCBNLjwvYXV0aG9yPjxhdXRob3I+V2Vla3Ms
IEEuPC9hdXRob3I+PGF1dGhvcj5NYXJjaGFuZCwgQS4gQS48L2F1dGhvcj48YXV0aG9yPlNsYXRl
ciwgTC4gRy48L2F1dGhvcj48YXV0aG9yPkFkYW1vLCBLLiBCLjwvYXV0aG9yPjxhdXRob3I+RGF2
aWVzLCBHLiBBLjwvYXV0aG9yPjxhdXRob3I+QmFyYWthdCwgUi48L2F1dGhvcj48YXV0aG9yPk1v
dHRvbGEsIE0uIEYuPC9hdXRob3I+PC9hdXRob3JzPjwvY29udHJpYnV0b3JzPjxhdXRoLWFkZHJl
c3M+UHJvZ3JhbSBmb3IgUHJlZ25hbmN5IGFuZCBQb3N0cGFydHVtIEhlYWx0aCwgUGh5c2ljYWwg
QWN0aXZpdHkgYW5kIERpYWJldGVzIExhYm9yYXRvcnksIEZhY3VsdHkgb2YgS2luZXNpb2xvZ3ks
IFNwb3J0IGFuZCBSZWNyZWF0aW9uLCBXb21lbiBhbmQgQ2hpbGRyZW4mYXBvcztzIEhlYWx0aCBS
ZXNlYXJjaCBJbnN0aXR1dGUsIEFsYmVydGEgRGlhYmV0ZXMgSW5zdGl0dXRlLCBVbml2ZXJzaXR5
IG9mIEFsYmVydGEsIEVkbW9udG9uLCBBbGJlcnRhLCBDYW5hZGEuJiN4RDtEZXBhcnRtZW50IG9m
IEh1bWFuIEtpbmV0aWNzLCBVbml2ZXJzaXRlIGR1IFF1ZWJlYyBhIFRyb2lzLVJpdmllcmVzLCBU
cm9pcy1SaXZpZXJlcywgUXVlYmVjLCBDYW5hZGEuJiN4RDtJbmRlcGVuZGVudCByZXNlYXJjaGVy
LCBPdHRhd2EsIE9udGFyaW8sIENhbmFkYS4mI3hEO0hlYWx0aHkgQWN0aXZlIExpdmluZyBhbmQg
T2Jlc2l0eSBSZXNlYXJjaCBHcm91cCwgQ2hpbGRyZW4mYXBvcztzIEhvc3BpdGFsIG9mIEVhc3Rl
cm4gT250YXJpbyBSZXNlYXJjaCBJbnN0aXR1dGUsIE90dGF3YSwgT250YXJpbywgQ2FuYWRhLiYj
eEQ7Q2xpbmljYWwgUmVzZWFyY2ggVW5pdCwgQ2hpbGRyZW4mYXBvcztzIEhvc3BpdGFsIG9mIEVh
c3Rlcm4gT250YXJpbyBSZXNlYXJjaCBJbnN0aXR1dGUsIE90dGF3YSwgT250YXJpbywgQ2FuYWRh
LiYjeEQ7Q2FyZGlmZiBTY2hvb2wgb2YgU3BvcnQgYW5kIEhlYWx0aCBTY2llbmNlcywgQ2FyZGlm
ZiBNZXRyb3BvbGl0YW4gVW5pdmVyc2l0eSwgQ2FyZGlmZiwgVUsuJiN4RDtSLiBTYW11ZWwgTWNM
YXVnaGxpbiBGb3VuZGF0aW9uIC0gRXhlcmNpc2UgYW5kIFByZWduYW5jeSBMYWJvcmF0b3J5LCBT
Y2hvb2wgb2YgS2luZXNpb2xvZ3ksIEZhY3VsdHkgb2YgSGVhbHRoIFNjaWVuY2VzLCBEZXBhcnRt
ZW50IG9mIEFuYXRvbXkgYW5kIENlbGwgQmlvbG9neSwgU2NodWxpY2ggU2Nob29sIG9mIE1lZGlj
aW5lIGFuZCBEZW50aXN0cnksIENoaWxkcmVuJmFwb3M7cyBIZWFsdGggUmVzZWFyY2ggSW5zdGl0
dXRlICwgVGhlIFVuaXZlcnNpdHkgb2YgV2VzdGVybiBPbnRhcmlvLCBMb25kb24sIE9udGFyaW8s
IENhbmFkYS4mI3hEO0FsYmVydGEgUmVzZWFyY2ggQ2VudHJlIGZvciBIZWFsdGggRXZpZGVuY2Us
IEZhY3VsdHkgb2YgTWVkaWNpbmUgYW5kIERlbnRpc3RyeSwgVW5pdmVyc2l0eSBvZiBBbGJlcnRh
LCBFZG1vbnRvbiwgQWxiZXJ0YSwgQ2FuYWRhLiYjeEQ7SW50ZXJkaXNjaXBsaW5hcnkgU2Nob29s
IG9mIEhlYWx0aCBTY2llbmNlcywgVW5pdmVyc2l0eSBvZiBPdHRhd2EsIE90dGF3YSwgT250YXJp
bywgQ2FuYWRhLiYjeEQ7RGVwYXJ0bWVudCBvZiBBbmF0b215LCBVbml2ZXJzaXRlIGR1IFF1ZWJl
YyBhIFRyb2lzLVJpdmllcmVzLCBUcm9pcy1SaXZpZXJlcywgUXVlYmVjLCBDYW5hZGEuJiN4RDtK
b2huIFcuIFNjb3R0IEhlYWx0aCBTY2llbmNlcyBMaWJyYXJ5LCBVbml2ZXJzaXR5IG9mIEFsYmVy
dGEsIEVkbW9udG9uLCBBbGJlcnRhLCBDYW5hZGEuJiN4RDtTY2hvb2wgb2YgSHVtYW4gS2luZXRp
Y3MsIEZhY3VsdHkgb2YgSGVhbHRoIFNjaWVuY2VzLCBVbml2ZXJzaXR5IG9mIE90dGF3YSwgT3R0
YXdhLCBPbnRhcmlvLCBDYW5hZGEuJiN4RDtEZXBhcnRtZW50IG9mIE9ic3RldHJpY3MgYW5kIEd5
bmVjb2xvZ3ksIFF1ZWVuJmFwb3M7cyBVbml2ZXJzaXR5LCBLaW5nc3RvbiwgT250YXJpbywgQ2Fu
YWRhLiYjeEQ7RmFjdWx0YWQgZGUgQ2llbmNpYXMgZGUgbGEgQWN0aXZpZGFkIEZpc2ljYSB5IGRl
bCBEZXBvcnRlLUlORUYsIFVuaXZlcnNpZGFkIFBvbGl0ZWNuaWNhIGRlIE1hZHJpZCwgTWFkcmlk
LCBTcGFpbi48L2F1dGgtYWRkcmVzcz48dGl0bGVzPjx0aXRsZT5JbXBhY3Qgb2YgcHJlbmF0YWwg
ZXhlcmNpc2Ugb24gbWF0ZXJuYWwgaGFybXMsIGxhYm91ciBhbmQgZGVsaXZlcnkgb3V0Y29tZXM6
IGEgc3lzdGVtYXRpYyByZXZpZXcgYW5kIG1ldGEtYW5hbHlzaXM8L3RpdGxlPjxzZWNvbmRhcnkt
dGl0bGU+QnIgSiBTcG9ydHMgTWVkPC9zZWNvbmRhcnktdGl0bGU+PC90aXRsZXM+PHBlcmlvZGlj
YWw+PGZ1bGwtdGl0bGU+QnIgSiBTcG9ydHMgTWVkPC9mdWxsLXRpdGxlPjwvcGVyaW9kaWNhbD48
cGFnZXM+OTktMTA3PC9wYWdlcz48dm9sdW1lPjUzPC92b2x1bWU+PG51bWJlcj4yPC9udW1iZXI+
PGVkaXRpb24+MjAxOC8xMC8yMDwvZWRpdGlvbj48a2V5d29yZHM+PGtleXdvcmQ+Q2VzYXJlYW4g
U2VjdGlvbjwva2V5d29yZD48a2V5d29yZD4qRGVsaXZlcnksIE9ic3RldHJpYzwva2V5d29yZD48
a2V5d29yZD4qRXhlcmNpc2U8L2tleXdvcmQ+PGtleXdvcmQ+RmVtYWxlPC9rZXl3b3JkPjxrZXl3
b3JkPkZldGFsIE1lbWJyYW5lcywgUHJlbWF0dXJlIFJ1cHR1cmU8L2tleXdvcmQ+PGtleXdvcmQ+
SHVtYW5zPC9rZXl3b3JkPjxrZXl3b3JkPipMYWJvciwgT2JzdGV0cmljPC9rZXl3b3JkPjxrZXl3
b3JkPlByZWduYW5jeTwva2V5d29yZD48a2V5d29yZD5QcmVnbmFuY3kgT3V0Y29tZTwva2V5d29y
ZD48a2V5d29yZD5SYW5kb21pemVkIENvbnRyb2xsZWQgVHJpYWxzIGFzIFRvcGljPC9rZXl3b3Jk
PjxrZXl3b3JkPmV4ZXJjaXNlPC9rZXl3b3JkPjwva2V5d29yZHM+PGRhdGVzPjx5ZWFyPjIwMTk8
L3llYXI+PHB1Yi1kYXRlcz48ZGF0ZT5KYW48L2RhdGU+PC9wdWItZGF0ZXM+PC9kYXRlcz48aXNi
bj4xNDczLTA0ODAgKEVsZWN0cm9uaWMpJiN4RDswMzA2LTM2NzQgKExpbmtpbmcpPC9pc2JuPjxh
Y2Nlc3Npb24tbnVtPjMwMzM3MzQ5PC9hY2Nlc3Npb24tbnVtPjx1cmxzPjxyZWxhdGVkLXVybHM+
PHVybD5odHRwczovL3d3dy5uY2JpLm5sbS5uaWguZ292L3B1Ym1lZC8zMDMzNzM0OTwvdXJsPjwv
cmVsYXRlZC11cmxzPjwvdXJscz48ZWxlY3Ryb25pYy1yZXNvdXJjZS1udW0+MTAuMTEzNi9ianNw
b3J0cy0yMDE4LTA5OTgyMTwvZWxlY3Ryb25pYy1yZXNvdXJjZS1udW0+PC9yZWNvcmQ+PC9DaXRl
PjwvRW5kTm90ZT5=
</w:fldData>
              </w:fldChar>
            </w:r>
            <w:r w:rsidR="002747EA">
              <w:rPr>
                <w:noProof/>
              </w:rPr>
              <w:instrText xml:space="preserve"> ADDIN EN.CITE.DATA </w:instrText>
            </w:r>
            <w:r w:rsidR="002747EA">
              <w:rPr>
                <w:noProof/>
              </w:rPr>
            </w:r>
            <w:r w:rsidR="002747EA">
              <w:rPr>
                <w:noProof/>
              </w:rPr>
              <w:fldChar w:fldCharType="end"/>
            </w:r>
            <w:r w:rsidR="00767EBF">
              <w:rPr>
                <w:noProof/>
              </w:rPr>
            </w:r>
            <w:r w:rsidR="00767EBF">
              <w:rPr>
                <w:noProof/>
              </w:rPr>
              <w:fldChar w:fldCharType="separate"/>
            </w:r>
            <w:r w:rsidR="002747EA" w:rsidRPr="002747EA">
              <w:rPr>
                <w:noProof/>
                <w:sz w:val="18"/>
                <w:vertAlign w:val="superscript"/>
              </w:rPr>
              <w:t>473</w:t>
            </w:r>
            <w:r w:rsidR="00767EBF">
              <w:rPr>
                <w:noProof/>
              </w:rPr>
              <w:fldChar w:fldCharType="end"/>
            </w:r>
          </w:p>
        </w:tc>
        <w:tc>
          <w:tcPr>
            <w:tcW w:w="2547" w:type="dxa"/>
            <w:shd w:val="clear" w:color="auto" w:fill="auto"/>
          </w:tcPr>
          <w:p w14:paraId="3F100696" w14:textId="2BB1ED94" w:rsidR="00F30D94" w:rsidRDefault="00F30D94" w:rsidP="00A5540F">
            <w:pPr>
              <w:pStyle w:val="RCTstable"/>
            </w:pPr>
            <w:r>
              <w:t>Mixed BMIs</w:t>
            </w:r>
          </w:p>
        </w:tc>
        <w:tc>
          <w:tcPr>
            <w:tcW w:w="2982" w:type="dxa"/>
            <w:shd w:val="clear" w:color="auto" w:fill="auto"/>
          </w:tcPr>
          <w:p w14:paraId="64D98A59" w14:textId="7F680D1C" w:rsidR="00F30D94" w:rsidRPr="00B87066" w:rsidRDefault="00F30D94" w:rsidP="00A5540F">
            <w:pPr>
              <w:pStyle w:val="RCTstable"/>
              <w:jc w:val="center"/>
              <w:rPr>
                <w:rStyle w:val="block"/>
                <w:bCs/>
              </w:rPr>
            </w:pPr>
            <w:r>
              <w:rPr>
                <w:rStyle w:val="block"/>
                <w:bCs/>
              </w:rPr>
              <w:t xml:space="preserve">OR 0.87 </w:t>
            </w:r>
            <w:r w:rsidR="00E80348">
              <w:rPr>
                <w:rStyle w:val="block"/>
                <w:bCs/>
              </w:rPr>
              <w:t xml:space="preserve">(0.79 </w:t>
            </w:r>
            <w:r>
              <w:rPr>
                <w:rStyle w:val="block"/>
                <w:bCs/>
              </w:rPr>
              <w:t>to 0.97</w:t>
            </w:r>
          </w:p>
        </w:tc>
        <w:tc>
          <w:tcPr>
            <w:tcW w:w="1134" w:type="dxa"/>
            <w:shd w:val="clear" w:color="auto" w:fill="auto"/>
          </w:tcPr>
          <w:p w14:paraId="089D5AB7" w14:textId="2A2E8040" w:rsidR="00F30D94" w:rsidRDefault="00F30D94" w:rsidP="00A5540F">
            <w:pPr>
              <w:pStyle w:val="RCTstable"/>
              <w:jc w:val="center"/>
            </w:pPr>
            <w:r>
              <w:t>21</w:t>
            </w:r>
          </w:p>
        </w:tc>
      </w:tr>
      <w:tr w:rsidR="00A5540F" w:rsidRPr="00B87066" w14:paraId="128B7FC0" w14:textId="77777777" w:rsidTr="00A5540F">
        <w:tc>
          <w:tcPr>
            <w:tcW w:w="2841" w:type="dxa"/>
            <w:shd w:val="clear" w:color="auto" w:fill="auto"/>
          </w:tcPr>
          <w:p w14:paraId="10C8A9BE" w14:textId="7ED86890"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7D249624" w14:textId="77777777" w:rsidR="00A5540F" w:rsidRPr="00B87066" w:rsidRDefault="00A5540F" w:rsidP="00A5540F">
            <w:pPr>
              <w:pStyle w:val="RCTstable"/>
            </w:pPr>
            <w:r>
              <w:t>Mixed BMIs</w:t>
            </w:r>
          </w:p>
        </w:tc>
        <w:tc>
          <w:tcPr>
            <w:tcW w:w="2982" w:type="dxa"/>
            <w:shd w:val="clear" w:color="auto" w:fill="auto"/>
          </w:tcPr>
          <w:p w14:paraId="7FA0E526" w14:textId="77777777" w:rsidR="00A5540F" w:rsidRPr="00B87066" w:rsidRDefault="00A5540F" w:rsidP="00A5540F">
            <w:pPr>
              <w:pStyle w:val="RCTstable"/>
              <w:jc w:val="center"/>
              <w:rPr>
                <w:rStyle w:val="block"/>
                <w:bCs/>
              </w:rPr>
            </w:pPr>
            <w:r w:rsidRPr="00B87066">
              <w:rPr>
                <w:rStyle w:val="block"/>
                <w:bCs/>
              </w:rPr>
              <w:t>RR 0.</w:t>
            </w:r>
            <w:r>
              <w:rPr>
                <w:rStyle w:val="block"/>
                <w:bCs/>
              </w:rPr>
              <w:t>8</w:t>
            </w:r>
            <w:r w:rsidRPr="00B87066">
              <w:rPr>
                <w:rStyle w:val="block"/>
                <w:bCs/>
              </w:rPr>
              <w:t>9 (0.</w:t>
            </w:r>
            <w:r>
              <w:rPr>
                <w:rStyle w:val="block"/>
                <w:bCs/>
              </w:rPr>
              <w:t>80 to 1.00</w:t>
            </w:r>
            <w:r w:rsidRPr="00B87066">
              <w:rPr>
                <w:rStyle w:val="block"/>
                <w:bCs/>
              </w:rPr>
              <w:t>)</w:t>
            </w:r>
          </w:p>
        </w:tc>
        <w:tc>
          <w:tcPr>
            <w:tcW w:w="1134" w:type="dxa"/>
            <w:shd w:val="clear" w:color="auto" w:fill="auto"/>
          </w:tcPr>
          <w:p w14:paraId="5A83EF98" w14:textId="77777777" w:rsidR="00A5540F" w:rsidRPr="00B87066" w:rsidRDefault="00A5540F" w:rsidP="00A5540F">
            <w:pPr>
              <w:pStyle w:val="RCTstable"/>
              <w:jc w:val="center"/>
            </w:pPr>
            <w:r>
              <w:t>9</w:t>
            </w:r>
          </w:p>
        </w:tc>
      </w:tr>
      <w:tr w:rsidR="00A5540F" w:rsidRPr="00B87066" w14:paraId="4134304C" w14:textId="77777777" w:rsidTr="00A5540F">
        <w:tc>
          <w:tcPr>
            <w:tcW w:w="2841" w:type="dxa"/>
            <w:vMerge w:val="restart"/>
            <w:shd w:val="clear" w:color="auto" w:fill="auto"/>
          </w:tcPr>
          <w:p w14:paraId="0CB0A0F3" w14:textId="0592F693" w:rsidR="00A5540F" w:rsidRPr="00B87066" w:rsidRDefault="00A5540F" w:rsidP="002747EA">
            <w:pPr>
              <w:pStyle w:val="RCTstable"/>
            </w:pPr>
            <w:r w:rsidRPr="00B87066">
              <w:rPr>
                <w:noProof/>
              </w:rPr>
              <w:t>International Weight Management in Pregnancy Collaborative 2017</w:t>
            </w:r>
            <w:r w:rsidRPr="00B87066">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Pr="00B87066">
              <w:rPr>
                <w:noProof/>
              </w:rPr>
            </w:r>
            <w:r w:rsidRPr="00B87066">
              <w:rPr>
                <w:noProof/>
              </w:rPr>
              <w:fldChar w:fldCharType="separate"/>
            </w:r>
            <w:r w:rsidR="002747EA" w:rsidRPr="002747EA">
              <w:rPr>
                <w:noProof/>
                <w:sz w:val="18"/>
                <w:vertAlign w:val="superscript"/>
              </w:rPr>
              <w:t>415</w:t>
            </w:r>
            <w:r w:rsidRPr="00B87066">
              <w:rPr>
                <w:noProof/>
              </w:rPr>
              <w:fldChar w:fldCharType="end"/>
            </w:r>
            <w:r w:rsidRPr="00B87066">
              <w:rPr>
                <w:noProof/>
              </w:rPr>
              <w:t xml:space="preserve"> </w:t>
            </w:r>
          </w:p>
        </w:tc>
        <w:tc>
          <w:tcPr>
            <w:tcW w:w="2547" w:type="dxa"/>
            <w:shd w:val="clear" w:color="auto" w:fill="auto"/>
          </w:tcPr>
          <w:p w14:paraId="6F1B4698" w14:textId="77777777" w:rsidR="00A5540F" w:rsidRPr="00B87066" w:rsidRDefault="00A5540F" w:rsidP="00A5540F">
            <w:pPr>
              <w:pStyle w:val="RCTstable"/>
            </w:pPr>
            <w:r w:rsidRPr="00B87066">
              <w:t>Mixed BMIs; IPD</w:t>
            </w:r>
          </w:p>
        </w:tc>
        <w:tc>
          <w:tcPr>
            <w:tcW w:w="2982" w:type="dxa"/>
            <w:shd w:val="clear" w:color="auto" w:fill="auto"/>
          </w:tcPr>
          <w:p w14:paraId="04701787" w14:textId="77777777" w:rsidR="00A5540F" w:rsidRPr="00B87066" w:rsidRDefault="00A5540F" w:rsidP="00A5540F">
            <w:pPr>
              <w:pStyle w:val="RCTstable"/>
              <w:jc w:val="center"/>
              <w:rPr>
                <w:rStyle w:val="block"/>
                <w:bCs/>
              </w:rPr>
            </w:pPr>
            <w:r>
              <w:t>OR 0.95 (0.84 to 1.08)</w:t>
            </w:r>
          </w:p>
        </w:tc>
        <w:tc>
          <w:tcPr>
            <w:tcW w:w="1134" w:type="dxa"/>
            <w:shd w:val="clear" w:color="auto" w:fill="auto"/>
          </w:tcPr>
          <w:p w14:paraId="5B435582" w14:textId="77777777" w:rsidR="00A5540F" w:rsidRPr="00B87066" w:rsidRDefault="00A5540F" w:rsidP="00A5540F">
            <w:pPr>
              <w:pStyle w:val="RCTstable"/>
              <w:jc w:val="center"/>
            </w:pPr>
            <w:r>
              <w:t>16</w:t>
            </w:r>
          </w:p>
        </w:tc>
      </w:tr>
      <w:tr w:rsidR="00A5540F" w:rsidRPr="00B87066" w14:paraId="5C325EF2" w14:textId="77777777" w:rsidTr="00A5540F">
        <w:tc>
          <w:tcPr>
            <w:tcW w:w="2841" w:type="dxa"/>
            <w:vMerge/>
            <w:shd w:val="clear" w:color="auto" w:fill="auto"/>
          </w:tcPr>
          <w:p w14:paraId="0A2DA5CF" w14:textId="77777777" w:rsidR="00A5540F" w:rsidRPr="00B87066" w:rsidRDefault="00A5540F" w:rsidP="00A5540F">
            <w:pPr>
              <w:pStyle w:val="RCTstable"/>
            </w:pPr>
          </w:p>
        </w:tc>
        <w:tc>
          <w:tcPr>
            <w:tcW w:w="2547" w:type="dxa"/>
            <w:shd w:val="clear" w:color="auto" w:fill="auto"/>
          </w:tcPr>
          <w:p w14:paraId="143EB3A5" w14:textId="77777777" w:rsidR="00A5540F" w:rsidRPr="00B87066" w:rsidRDefault="00A5540F" w:rsidP="00A5540F">
            <w:pPr>
              <w:pStyle w:val="RCTstable"/>
            </w:pPr>
            <w:r w:rsidRPr="00B87066">
              <w:t>Mixed BMIs; IPD and non-IPD</w:t>
            </w:r>
          </w:p>
        </w:tc>
        <w:tc>
          <w:tcPr>
            <w:tcW w:w="2982" w:type="dxa"/>
            <w:shd w:val="clear" w:color="auto" w:fill="auto"/>
          </w:tcPr>
          <w:p w14:paraId="447E7252" w14:textId="77777777" w:rsidR="00A5540F" w:rsidRPr="00B87066" w:rsidRDefault="00A5540F" w:rsidP="00A5540F">
            <w:pPr>
              <w:pStyle w:val="RCTstable"/>
              <w:jc w:val="center"/>
              <w:rPr>
                <w:rStyle w:val="block"/>
                <w:bCs/>
              </w:rPr>
            </w:pPr>
            <w:r>
              <w:rPr>
                <w:rFonts w:eastAsiaTheme="majorEastAsia"/>
              </w:rPr>
              <w:t>OR 0.92 (0.80 to 1.06)</w:t>
            </w:r>
          </w:p>
        </w:tc>
        <w:tc>
          <w:tcPr>
            <w:tcW w:w="1134" w:type="dxa"/>
            <w:shd w:val="clear" w:color="auto" w:fill="auto"/>
          </w:tcPr>
          <w:p w14:paraId="41F4822A" w14:textId="77777777" w:rsidR="00A5540F" w:rsidRPr="00B87066" w:rsidRDefault="00A5540F" w:rsidP="00A5540F">
            <w:pPr>
              <w:pStyle w:val="RCTstable"/>
              <w:jc w:val="center"/>
            </w:pPr>
            <w:r>
              <w:t>28</w:t>
            </w:r>
          </w:p>
        </w:tc>
      </w:tr>
      <w:tr w:rsidR="00A5540F" w:rsidRPr="00B87066" w14:paraId="210B9514" w14:textId="77777777" w:rsidTr="00A5540F">
        <w:tc>
          <w:tcPr>
            <w:tcW w:w="2841" w:type="dxa"/>
          </w:tcPr>
          <w:p w14:paraId="13715404" w14:textId="3963B948" w:rsidR="00A5540F" w:rsidRPr="00B87066"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tcPr>
          <w:p w14:paraId="7DB0D8B8" w14:textId="77777777" w:rsidR="00A5540F" w:rsidRPr="00B87066" w:rsidRDefault="00A5540F" w:rsidP="00A5540F">
            <w:pPr>
              <w:pStyle w:val="RCTstable"/>
            </w:pPr>
            <w:r>
              <w:t>Mixed BMIs</w:t>
            </w:r>
          </w:p>
        </w:tc>
        <w:tc>
          <w:tcPr>
            <w:tcW w:w="2982" w:type="dxa"/>
          </w:tcPr>
          <w:p w14:paraId="0476FEB0" w14:textId="77777777" w:rsidR="00A5540F" w:rsidRPr="00B87066" w:rsidRDefault="00A5540F" w:rsidP="00A5540F">
            <w:pPr>
              <w:pStyle w:val="RCTstable"/>
              <w:jc w:val="center"/>
              <w:rPr>
                <w:rStyle w:val="block"/>
                <w:bCs/>
              </w:rPr>
            </w:pPr>
            <w:r>
              <w:rPr>
                <w:rStyle w:val="block"/>
                <w:bCs/>
              </w:rPr>
              <w:t>RR 0.95 (0.7 to 1.28)</w:t>
            </w:r>
          </w:p>
        </w:tc>
        <w:tc>
          <w:tcPr>
            <w:tcW w:w="1134" w:type="dxa"/>
          </w:tcPr>
          <w:p w14:paraId="64155285" w14:textId="77777777" w:rsidR="00A5540F" w:rsidRPr="00B87066" w:rsidRDefault="00A5540F" w:rsidP="00A5540F">
            <w:pPr>
              <w:pStyle w:val="RCTstable"/>
              <w:jc w:val="center"/>
              <w:rPr>
                <w:rStyle w:val="block"/>
                <w:bCs/>
              </w:rPr>
            </w:pPr>
            <w:r>
              <w:rPr>
                <w:rStyle w:val="block"/>
                <w:bCs/>
              </w:rPr>
              <w:t>5</w:t>
            </w:r>
          </w:p>
        </w:tc>
      </w:tr>
      <w:tr w:rsidR="00A5540F" w:rsidRPr="00B87066" w14:paraId="7B2EB541" w14:textId="77777777" w:rsidTr="00A5540F">
        <w:tc>
          <w:tcPr>
            <w:tcW w:w="2841" w:type="dxa"/>
          </w:tcPr>
          <w:p w14:paraId="5462F529" w14:textId="7FF4CB05"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Pr>
          <w:p w14:paraId="7363F803" w14:textId="77777777" w:rsidR="00A5540F" w:rsidRDefault="00A5540F" w:rsidP="00A5540F">
            <w:pPr>
              <w:pStyle w:val="RCTstable"/>
            </w:pPr>
            <w:r>
              <w:t>Mixed BMIs</w:t>
            </w:r>
          </w:p>
        </w:tc>
        <w:tc>
          <w:tcPr>
            <w:tcW w:w="2982" w:type="dxa"/>
          </w:tcPr>
          <w:p w14:paraId="5D2E8E4A" w14:textId="77777777" w:rsidR="00A5540F" w:rsidRDefault="00A5540F" w:rsidP="00A5540F">
            <w:pPr>
              <w:pStyle w:val="RCTstable"/>
              <w:jc w:val="center"/>
              <w:rPr>
                <w:rStyle w:val="block"/>
                <w:bCs/>
              </w:rPr>
            </w:pPr>
            <w:r>
              <w:rPr>
                <w:rStyle w:val="block"/>
                <w:bCs/>
              </w:rPr>
              <w:t>RR 0.94 (0.79 to 1.13)</w:t>
            </w:r>
          </w:p>
        </w:tc>
        <w:tc>
          <w:tcPr>
            <w:tcW w:w="1134" w:type="dxa"/>
          </w:tcPr>
          <w:p w14:paraId="5E1588D1" w14:textId="77777777" w:rsidR="00A5540F" w:rsidRDefault="00A5540F" w:rsidP="00A5540F">
            <w:pPr>
              <w:pStyle w:val="RCTstable"/>
              <w:jc w:val="center"/>
              <w:rPr>
                <w:rStyle w:val="block"/>
                <w:bCs/>
              </w:rPr>
            </w:pPr>
            <w:r>
              <w:rPr>
                <w:rStyle w:val="block"/>
                <w:bCs/>
              </w:rPr>
              <w:t>8</w:t>
            </w:r>
          </w:p>
        </w:tc>
      </w:tr>
      <w:tr w:rsidR="00A5540F" w:rsidRPr="00B87066" w14:paraId="3D11D4D7" w14:textId="77777777" w:rsidTr="00A5540F">
        <w:trPr>
          <w:trHeight w:val="282"/>
        </w:trPr>
        <w:tc>
          <w:tcPr>
            <w:tcW w:w="2841" w:type="dxa"/>
          </w:tcPr>
          <w:p w14:paraId="49EC7E11" w14:textId="175AA234"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Pr>
          <w:p w14:paraId="10AD2AF8" w14:textId="77777777" w:rsidR="00A5540F" w:rsidRDefault="00A5540F" w:rsidP="00A5540F">
            <w:pPr>
              <w:pStyle w:val="RCTstable"/>
            </w:pPr>
            <w:r>
              <w:t>Mixed BMIs</w:t>
            </w:r>
          </w:p>
        </w:tc>
        <w:tc>
          <w:tcPr>
            <w:tcW w:w="2982" w:type="dxa"/>
          </w:tcPr>
          <w:p w14:paraId="5E5628EF" w14:textId="77777777" w:rsidR="00A5540F" w:rsidRDefault="00A5540F" w:rsidP="00A5540F">
            <w:pPr>
              <w:pStyle w:val="RCTstable"/>
              <w:jc w:val="center"/>
              <w:rPr>
                <w:rStyle w:val="block"/>
                <w:bCs/>
              </w:rPr>
            </w:pPr>
            <w:r>
              <w:rPr>
                <w:rStyle w:val="block"/>
                <w:bCs/>
              </w:rPr>
              <w:t>RR 0.95 (0.88 to 1.02)</w:t>
            </w:r>
          </w:p>
        </w:tc>
        <w:tc>
          <w:tcPr>
            <w:tcW w:w="1134" w:type="dxa"/>
          </w:tcPr>
          <w:p w14:paraId="2A6D458C" w14:textId="77777777" w:rsidR="00A5540F" w:rsidRDefault="00A5540F" w:rsidP="00A5540F">
            <w:pPr>
              <w:pStyle w:val="RCTstable"/>
              <w:jc w:val="center"/>
              <w:rPr>
                <w:rStyle w:val="block"/>
                <w:bCs/>
              </w:rPr>
            </w:pPr>
            <w:r>
              <w:rPr>
                <w:rStyle w:val="block"/>
                <w:bCs/>
              </w:rPr>
              <w:t>14</w:t>
            </w:r>
          </w:p>
        </w:tc>
      </w:tr>
      <w:tr w:rsidR="00A5540F" w:rsidRPr="00B87066" w14:paraId="7C6921A3" w14:textId="77777777" w:rsidTr="00A5540F">
        <w:tc>
          <w:tcPr>
            <w:tcW w:w="2841" w:type="dxa"/>
          </w:tcPr>
          <w:p w14:paraId="701F12CB" w14:textId="61C7F123" w:rsidR="00A5540F" w:rsidRPr="00C12274" w:rsidRDefault="00A5540F" w:rsidP="002747EA">
            <w:pPr>
              <w:pStyle w:val="RCTstable"/>
              <w:rPr>
                <w:noProof/>
              </w:rPr>
            </w:pPr>
            <w:r w:rsidRPr="00916B76">
              <w:t>Oteng-Ntim 2012</w:t>
            </w:r>
            <w:r>
              <w:fldChar w:fldCharType="begin"/>
            </w:r>
            <w:r w:rsidR="002747EA">
              <w:instrText xml:space="preserve"> ADDIN EN.CITE &lt;EndNote&gt;&lt;Cite&gt;&lt;Author&gt;Oteng-Ntim&lt;/Author&gt;&lt;Year&gt;2012&lt;/Year&gt;&lt;RecNum&gt;1137&lt;/RecNum&gt;&lt;DisplayText&gt;&lt;style face="superscript" font="Trebuchet MS" size="9"&gt;528&lt;/style&gt;&lt;/DisplayText&gt;&lt;record&gt;&lt;rec-number&gt;1137&lt;/rec-number&gt;&lt;foreign-keys&gt;&lt;key app="EN" db-id="exvasrfx2dtraoesasxp2szsxa2df502592x" timestamp="1555051770"&gt;1137&lt;/key&gt;&lt;key app="ENWeb" db-id=""&gt;0&lt;/key&gt;&lt;/foreign-keys&gt;&lt;ref-type name="Journal Article"&gt;17&lt;/ref-type&gt;&lt;contributors&gt;&lt;authors&gt;&lt;author&gt;Oteng-Ntim, E.&lt;/author&gt;&lt;author&gt;Varma, R.&lt;/author&gt;&lt;author&gt;Croker, H.&lt;/author&gt;&lt;author&gt;Poston, L.&lt;/author&gt;&lt;author&gt;Doyle, P.&lt;/author&gt;&lt;/authors&gt;&lt;/contributors&gt;&lt;auth-address&gt;Department of Women&amp;apos;s Health, Guy&amp;apos;s and St Thomas&amp;apos; NHS Foundation Trust (King&amp;apos;s Health Partners), St Thomas&amp;apos; Hospital, Westminster Bridge Road, London, SE 1 7EH, UK. Eugene.oteng-ntim@gstt.nhs.uk&lt;/auth-address&gt;&lt;titles&gt;&lt;title&gt;Lifestyle interventions for overweight and obese pregnant women to improve pregnancy outcome: systematic review and meta-analysis&lt;/title&gt;&lt;secondary-title&gt;BMC Med&lt;/secondary-title&gt;&lt;/titles&gt;&lt;periodical&gt;&lt;full-title&gt;BMC Med&lt;/full-title&gt;&lt;/periodical&gt;&lt;pages&gt;47&lt;/pages&gt;&lt;volume&gt;10&lt;/volume&gt;&lt;edition&gt;2012/05/12&lt;/edition&gt;&lt;keywords&gt;&lt;keyword&gt;Behavior Therapy/methods&lt;/keyword&gt;&lt;keyword&gt;Clinical Trials as Topic&lt;/keyword&gt;&lt;keyword&gt;Diet/methods&lt;/keyword&gt;&lt;keyword&gt;Exercise&lt;/keyword&gt;&lt;keyword&gt;Female&lt;/keyword&gt;&lt;keyword&gt;Humans&lt;/keyword&gt;&lt;keyword&gt;*Life Style&lt;/keyword&gt;&lt;keyword&gt;Overweight/*prevention &amp;amp; control/*therapy&lt;/keyword&gt;&lt;keyword&gt;Pregnancy&lt;/keyword&gt;&lt;keyword&gt;Pregnancy Complications/*prevention &amp;amp; control/*therapy&lt;/keyword&gt;&lt;keyword&gt;Pregnancy Outcome&lt;/keyword&gt;&lt;/keywords&gt;&lt;dates&gt;&lt;year&gt;2012&lt;/year&gt;&lt;pub-dates&gt;&lt;date&gt;May 10&lt;/date&gt;&lt;/pub-dates&gt;&lt;/dates&gt;&lt;isbn&gt;1741-7015 (Electronic)&amp;#xD;1741-7015 (Linking)&lt;/isbn&gt;&lt;accession-num&gt;22574949&lt;/accession-num&gt;&lt;urls&gt;&lt;related-urls&gt;&lt;url&gt;https://www.ncbi.nlm.nih.gov/pubmed/22574949&lt;/url&gt;&lt;/related-urls&gt;&lt;/urls&gt;&lt;custom2&gt;PMC3355057&lt;/custom2&gt;&lt;electronic-resource-num&gt;10.1186/1741-7015-10-47&lt;/electronic-resource-num&gt;&lt;/record&gt;&lt;/Cite&gt;&lt;/EndNote&gt;</w:instrText>
            </w:r>
            <w:r>
              <w:fldChar w:fldCharType="separate"/>
            </w:r>
            <w:r w:rsidR="002747EA" w:rsidRPr="002747EA">
              <w:rPr>
                <w:noProof/>
                <w:sz w:val="18"/>
                <w:vertAlign w:val="superscript"/>
              </w:rPr>
              <w:t>528</w:t>
            </w:r>
            <w:r>
              <w:fldChar w:fldCharType="end"/>
            </w:r>
          </w:p>
        </w:tc>
        <w:tc>
          <w:tcPr>
            <w:tcW w:w="2547" w:type="dxa"/>
          </w:tcPr>
          <w:p w14:paraId="7320FC04" w14:textId="77777777" w:rsidR="00A5540F" w:rsidRDefault="00A5540F" w:rsidP="00A5540F">
            <w:pPr>
              <w:pStyle w:val="RCTstable"/>
            </w:pPr>
            <w:r>
              <w:t>Overweight and obese women</w:t>
            </w:r>
          </w:p>
        </w:tc>
        <w:tc>
          <w:tcPr>
            <w:tcW w:w="2982" w:type="dxa"/>
          </w:tcPr>
          <w:p w14:paraId="53711279" w14:textId="77777777" w:rsidR="00A5540F" w:rsidRDefault="00A5540F" w:rsidP="00A5540F">
            <w:pPr>
              <w:pStyle w:val="RCTstable"/>
              <w:jc w:val="center"/>
              <w:rPr>
                <w:rStyle w:val="block"/>
                <w:bCs/>
              </w:rPr>
            </w:pPr>
            <w:r>
              <w:rPr>
                <w:rStyle w:val="block"/>
                <w:bCs/>
              </w:rPr>
              <w:t>OR 0.96 (0.68 to 1.36)</w:t>
            </w:r>
          </w:p>
        </w:tc>
        <w:tc>
          <w:tcPr>
            <w:tcW w:w="1134" w:type="dxa"/>
          </w:tcPr>
          <w:p w14:paraId="33DE90E3" w14:textId="77777777" w:rsidR="00A5540F" w:rsidRDefault="00A5540F" w:rsidP="00A5540F">
            <w:pPr>
              <w:pStyle w:val="RCTstable"/>
              <w:jc w:val="center"/>
              <w:rPr>
                <w:rStyle w:val="block"/>
                <w:bCs/>
              </w:rPr>
            </w:pPr>
            <w:r>
              <w:rPr>
                <w:rStyle w:val="block"/>
                <w:bCs/>
              </w:rPr>
              <w:t>6</w:t>
            </w:r>
          </w:p>
        </w:tc>
      </w:tr>
      <w:tr w:rsidR="00FF7A3D" w:rsidRPr="00FC0771" w14:paraId="03375988" w14:textId="77777777" w:rsidTr="006A7633">
        <w:tc>
          <w:tcPr>
            <w:tcW w:w="9504" w:type="dxa"/>
            <w:gridSpan w:val="4"/>
            <w:shd w:val="clear" w:color="auto" w:fill="D9E2F3" w:themeFill="accent1" w:themeFillTint="33"/>
          </w:tcPr>
          <w:p w14:paraId="656F8B14" w14:textId="77B57409" w:rsidR="00FF7A3D" w:rsidRPr="00FC0771" w:rsidRDefault="00FF7A3D" w:rsidP="006A7633">
            <w:pPr>
              <w:pStyle w:val="RCTstable"/>
              <w:rPr>
                <w:i/>
              </w:rPr>
            </w:pPr>
            <w:r>
              <w:rPr>
                <w:i/>
              </w:rPr>
              <w:t>Postnatal weight retention</w:t>
            </w:r>
          </w:p>
        </w:tc>
      </w:tr>
      <w:tr w:rsidR="00FF7A3D" w:rsidRPr="00B87066" w14:paraId="45F4B78C" w14:textId="77777777" w:rsidTr="006A7633">
        <w:tc>
          <w:tcPr>
            <w:tcW w:w="2841" w:type="dxa"/>
            <w:tcBorders>
              <w:bottom w:val="single" w:sz="4" w:space="0" w:color="3B3474"/>
            </w:tcBorders>
            <w:shd w:val="clear" w:color="auto" w:fill="F2F2F2" w:themeFill="background1" w:themeFillShade="F2"/>
          </w:tcPr>
          <w:p w14:paraId="7D727305" w14:textId="77777777" w:rsidR="00FF7A3D" w:rsidRPr="00B87066" w:rsidRDefault="00FF7A3D" w:rsidP="006A7633">
            <w:pPr>
              <w:pStyle w:val="RCTstable"/>
            </w:pPr>
            <w:r w:rsidRPr="00B87066">
              <w:t>Current review</w:t>
            </w:r>
          </w:p>
        </w:tc>
        <w:tc>
          <w:tcPr>
            <w:tcW w:w="2547" w:type="dxa"/>
            <w:tcBorders>
              <w:bottom w:val="single" w:sz="4" w:space="0" w:color="3B3474"/>
            </w:tcBorders>
            <w:shd w:val="clear" w:color="auto" w:fill="F2F2F2" w:themeFill="background1" w:themeFillShade="F2"/>
          </w:tcPr>
          <w:p w14:paraId="2AB38500" w14:textId="77777777" w:rsidR="00FF7A3D" w:rsidRPr="00B87066" w:rsidRDefault="00FF7A3D" w:rsidP="006A7633">
            <w:pPr>
              <w:pStyle w:val="RCTstable"/>
            </w:pPr>
            <w:r w:rsidRPr="00B87066">
              <w:t>Mixed BMIs</w:t>
            </w:r>
          </w:p>
        </w:tc>
        <w:tc>
          <w:tcPr>
            <w:tcW w:w="2982" w:type="dxa"/>
            <w:tcBorders>
              <w:bottom w:val="single" w:sz="4" w:space="0" w:color="3B3474"/>
            </w:tcBorders>
            <w:shd w:val="clear" w:color="auto" w:fill="F2F2F2" w:themeFill="background1" w:themeFillShade="F2"/>
          </w:tcPr>
          <w:p w14:paraId="4402170F" w14:textId="3A47620D" w:rsidR="00FF7A3D" w:rsidRPr="006C1600" w:rsidRDefault="00FF7A3D" w:rsidP="006A7633">
            <w:pPr>
              <w:pStyle w:val="RCTstable"/>
              <w:jc w:val="center"/>
            </w:pPr>
            <w:r>
              <w:t>MD −1.19 (−1.62 to −0.76)</w:t>
            </w:r>
          </w:p>
        </w:tc>
        <w:tc>
          <w:tcPr>
            <w:tcW w:w="1134" w:type="dxa"/>
            <w:tcBorders>
              <w:bottom w:val="single" w:sz="4" w:space="0" w:color="3B3474"/>
            </w:tcBorders>
            <w:shd w:val="clear" w:color="auto" w:fill="F2F2F2" w:themeFill="background1" w:themeFillShade="F2"/>
          </w:tcPr>
          <w:p w14:paraId="1F3B6DEC" w14:textId="5449607A" w:rsidR="00FF7A3D" w:rsidRPr="00B87066" w:rsidRDefault="00FF7A3D" w:rsidP="006A7633">
            <w:pPr>
              <w:pStyle w:val="RCTstable"/>
              <w:jc w:val="center"/>
            </w:pPr>
            <w:r>
              <w:t>11</w:t>
            </w:r>
          </w:p>
        </w:tc>
      </w:tr>
      <w:tr w:rsidR="00FF7A3D" w:rsidRPr="00C12274" w14:paraId="6DCB97DC" w14:textId="77777777" w:rsidTr="00FF7A3D">
        <w:tc>
          <w:tcPr>
            <w:tcW w:w="2841" w:type="dxa"/>
          </w:tcPr>
          <w:p w14:paraId="19098190" w14:textId="2AF1A34C" w:rsidR="00FF7A3D" w:rsidRPr="00916B76" w:rsidRDefault="00FF7A3D" w:rsidP="002747EA">
            <w:pPr>
              <w:pStyle w:val="RCTstable"/>
            </w:pPr>
            <w:r>
              <w:t>Ruchat et al 2018</w:t>
            </w:r>
            <w:r w:rsidR="00D07346">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instrText xml:space="preserve"> ADDIN EN.CITE </w:instrText>
            </w:r>
            <w:r w:rsidR="002747EA">
              <w:fldChar w:fldCharType="begin">
                <w:fldData xml:space="preserve">PEVuZE5vdGU+PENpdGU+PEF1dGhvcj5SdWNoYXQ8L0F1dGhvcj48WWVhcj4yMDE4PC9ZZWFyPjxS
ZWNOdW0+MTk0ODwvUmVjTnVtPjxEaXNwbGF5VGV4dD48c3R5bGUgZmFjZT0ic3VwZXJzY3JpcHQi
IGZvbnQ9IlRyZWJ1Y2hldCBNUyIgc2l6ZT0iOSI+NDY1PC9zdHlsZT48L0Rpc3BsYXlUZXh0Pjxy
ZWNvcmQ+PHJlYy1udW1iZXI+MTk0ODwvcmVjLW51bWJlcj48Zm9yZWlnbi1rZXlzPjxrZXkgYXBw
PSJFTiIgZGItaWQ9ImV4dmFzcmZ4MmR0cmFvZXNhc3hwMnN6c3hhMmRmNTAyNTkyeCIgdGltZXN0
YW1wPSIxNTg4NzI4NDY3Ij4xOTQ4PC9rZXk+PGtleSBhcHA9IkVOV2ViIiBkYi1pZD0iIj4wPC9r
ZXk+PC9mb3JlaWduLWtleXM+PHJlZi10eXBlIG5hbWU9IkpvdXJuYWwgQXJ0aWNsZSI+MTc8L3Jl
Zi10eXBlPjxjb250cmlidXRvcnM+PGF1dGhvcnM+PGF1dGhvcj5SdWNoYXQsIFMuIE0uPC9hdXRo
b3I+PGF1dGhvcj5Nb3R0b2xhLCBNLiBGLjwvYXV0aG9yPjxhdXRob3I+U2tvdywgUi4gSi48L2F1
dGhvcj48YXV0aG9yPk5hZ3BhbCwgVC4gUy48L2F1dGhvcj48YXV0aG9yPk1lYWgsIFYuIEwuPC9h
dXRob3I+PGF1dGhvcj5KYW1lcywgTS48L2F1dGhvcj48YXV0aG9yPlJpc2tlLCBMLjwvYXV0aG9y
PjxhdXRob3I+U29iaWVyYWpza2ksIEYuPC9hdXRob3I+PGF1dGhvcj5LYXRob2wsIEEuIEouPC9h
dXRob3I+PGF1dGhvcj5NYXJjaGFuZCwgQS4gQS48L2F1dGhvcj48YXV0aG9yPk51c3BsLCBNLjwv
YXV0aG9yPjxhdXRob3I+V2Vla3MsIEEuPC9hdXRob3I+PGF1dGhvcj5HcmF5LCBDLiBFLjwvYXV0
aG9yPjxhdXRob3I+UG9pdHJhcywgVi4gSi48L2F1dGhvcj48YXV0aG9yPkphcmFtaWxsbyBHYXJj
aWEsIEEuPC9hdXRob3I+PGF1dGhvcj5CYXJyb3dtYW4sIE4uPC9hdXRob3I+PGF1dGhvcj5TbGF0
ZXIsIEwuIEcuPC9hdXRob3I+PGF1dGhvcj5BZGFtbywgSy4gQi48L2F1dGhvcj48YXV0aG9yPkRh
dmllcywgRy4gQS48L2F1dGhvcj48YXV0aG9yPkJhcmFrYXQsIFIuPC9hdXRob3I+PGF1dGhvcj5E
YXZlbnBvcnQsIE0uIEguPC9hdXRob3I+PC9hdXRob3JzPjwvY29udHJpYnV0b3JzPjxhdXRoLWFk
ZHJlc3M+RGVwYXJ0bWVudCBvZiBIdW1hbiBLaW5ldGljcywgVW5pdmVyc2l0ZSBkdSBRdWViZWMg
YSBUcm9pcy1SaXZpZXJlcywgVHJvaXMtUml2aWVyZXMsIFF1ZWJlYywgQ2FuYWRhLiYjeEQ7UiBT
YW11ZWwgTWNMYXVnaGxpbiBGb3VuZGF0aW9uIC0gRXhlcmNpc2UgYW5kIFByZWduYW5jeSBMYWJv
cmF0b3J5LCBTY2hvb2wgb2YgS2luZXNpb2xvZ3ksIEZhY3VsdHkgb2YgSGVhbHRoIFNjaWVuY2Vz
LCBEZXBhcnRtZW50IG9mIEFuYXRvbXkgYW5kIENlbGwgQmlvbG9neSwgU2NodWxpY2ggU2Nob29s
IG9mIE1lZGljaW5lIGFuZCBEZW50aXN0cnksIENoaWxkcmVuJmFwb3M7cyBIZWFsdGggUmVzZWFy
Y2ggSW5zdGl0dXRlLCBUaGUgVW5pdmVyc2l0eSBvZiBXZXN0ZXJuIE9udGFyaW8sIExvbmRvbiwg
T250YXJpbywgQ2FuYWRhLiYjeEQ7UHJvZ3JhbSBmb3IgUHJlZ25hbmN5IGFuZCBQb3N0cGFydHVt
IEhlYWx0aCwgRmFjdWx0eSBvZiBLaW5lc2lvbG9neSwgU3BvcnQsIGFuZCBSZWNyZWF0aW9uLCBX
b21lbiBhbmQgQ2hpbGRyZW4mYXBvcztzIEhlYWx0aCBSZXNlYXJjaCBJbnN0aXR1dGUsIEFsYmVy
dGEgRGlhYmV0ZXMgSW5zdGl0dXRlVW5pdmVyc2l0eSBvZiBBbGJlcnRhLCBFZG1vbnRvbiwgQWxi
ZXJ0YSwgQ2FuYWRhLiYjeEQ7Q2FyZGlmZiBTY2hvb2wgb2YgU3BvcnQgYW5kIEhlYWx0aCBTY2ll
bmNlcywgQ2FyZGlmZiBNZXRyb3BvbGl0YW4gVW5pdmVyc2l0eSwgQ2FyZGlmZiwgVUsuJiN4RDtE
ZXBhcnRtZW50IG9mIEFuYXRvbXksIFVuaXZlcnNpdGUgZHUgUXVlYmVjIGEgVHJvaXMtUml2aWVy
ZXMsIFRyb2lzLVJpdmllcmVzLCBRdWViZWMsIENhbmFkYS4mI3hEO0FsYmVydGEgUmVzZWFyY2gg
Q2VudHJlIGZvciBIZWFsdGggRXZpZGVuY2UsIEZhY3VsdHkgb2YgTWVkaWNpbmUgYW5kIERlbnRp
c3RyeSwgVW5pdmVyc2l0eSBvZiBBbGJlcnRhLCBFZG1vbnRvbiwgQWxiZXJ0YSwgQ2FuYWRhLiYj
eEQ7U2Nob29sIG9mIEludGVyZGlzY2lwbGluYXJ5IEhlYWx0aCBTY2llbmNlcywgVW5pdmVyc2l0
eSBvZiBPdHRhd2EsIE90dGF3YSwgT250YXJpbywgQ2FuYWRhLiYjeEQ7SGVhbHRoeSBBY3RpdmUg
TGl2aW5nIGFuZCBPYmVzaXR5IFJlc2VhcmNoIEdyb3VwLCBDaGlsZHJlbiZhcG9zO3MgSG9zcGl0
YWwgb2YgRWFzdGVybiBPbnRhcmlvIFJlc2VhcmNoIEluc3RpdHV0ZSwgT3R0YXdhLCBPbnRhcmlv
LCBDYW5hZGEuJiN4RDtJbmRlcGVuZGVudCBSZXNlYXJjaGVyLCBPdHRhd2EsIE9udGFyaW8sIENh
bmFkYS4mI3hEO0NsaW5pY2FsIFJlc2VhcmNoIFVuaXQsIENoaWxkcmVuJmFwb3M7cyBIb3NwaXRh
bCBvZiBFYXN0ZXJuIE9udGFyaW8gUmVzZWFyY2ggSW5zdGl0dXRlLCBPdHRhd2EsIE9udGFyaW8s
IENhbmFkYS4mI3hEO0pvaG4gVyBTY290dCBIZWFsdGggU2NpZW5jZXMgTGlicmFyeSwgVW5pdmVy
c2l0eSBvZiBBbGJlcnRhLCBFZG1vbnRvbiwgQWxiZXJ0YSwgQ2FuYWRhLiYjeEQ7U2Nob29sIG9m
IEh1bWFuIEtpbmV0aWNzLCBGYWN1bHR5IG9mIEhlYWx0aCBTY2llbmNlcywgVW5pdmVyc2l0eSBv
ZiBPdHRhd2EsIE90dGF3YSwgT250YXJpbywgQ2FuYWRhLiYjeEQ7RGVwYXJ0bWVudCBvZiBPYnN0
ZXRyaWNzIGFuZCBHeW5lY29sb2d5LCBRdWVlbiZhcG9zO3MgVW5pdmVyc2l0eSwgS2luZ3N0b24s
IE9udGFyaW8sIENhbmFkYS4mI3hEO0ZhY3VsdGFkIGRlIENpZW5jaWFzIGRlIGxhIEFjdGl2aWRh
ZCBGaXNpY2EgeSBkZWwgRGVwb3J0ZS1JTkVGLCBVbml2ZXJzaWRhZCBQb2xpdGVjbmljYSBkZSBN
YWRyaWQsIE1hZHJpZCwgU3BhaW4uPC9hdXRoLWFkZHJlc3M+PHRpdGxlcz48dGl0bGU+RWZmZWN0
aXZlbmVzcyBvZiBleGVyY2lzZSBpbnRlcnZlbnRpb25zIGluIHRoZSBwcmV2ZW50aW9uIG9mIGV4
Y2Vzc2l2ZSBnZXN0YXRpb25hbCB3ZWlnaHQgZ2FpbiBhbmQgcG9zdHBhcnR1bSB3ZWlnaHQgcmV0
ZW50aW9uOiBhIHN5c3RlbWF0aWMgcmV2aWV3IGFuZCBtZXRhLWFuYWx5c2lzPC90aXRsZT48c2Vj
b25kYXJ5LXRpdGxlPkJyIEogU3BvcnRzIE1lZDwvc2Vjb25kYXJ5LXRpdGxlPjwvdGl0bGVzPjxw
ZXJpb2RpY2FsPjxmdWxsLXRpdGxlPkJyIEogU3BvcnRzIE1lZDwvZnVsbC10aXRsZT48L3Blcmlv
ZGljYWw+PHBhZ2VzPjEzNDctMTM1NjwvcGFnZXM+PHZvbHVtZT41Mjwvdm9sdW1lPjxudW1iZXI+
MjE8L251bWJlcj48ZWRpdGlvbj4yMDE4LzEwLzIwPC9lZGl0aW9uPjxrZXl3b3Jkcz48a2V5d29y
ZD4qRXhlcmNpc2U8L2tleXdvcmQ+PGtleXdvcmQ+RmVtYWxlPC9rZXl3b3JkPjxrZXl3b3JkPkh1
bWFuczwva2V5d29yZD48a2V5d29yZD5PdmVyd2VpZ2h0LypwcmV2ZW50aW9uICZhbXA7IGNvbnRy
b2w8L2tleXdvcmQ+PGtleXdvcmQ+UG9zdHBhcnR1bSBQZXJpb2Q8L2tleXdvcmQ+PGtleXdvcmQ+
KlByZWduYW5jeTwva2V5d29yZD48a2V5d29yZD5SYW5kb21pemVkIENvbnRyb2xsZWQgVHJpYWxz
IGFzIFRvcGljPC9rZXl3b3JkPjxrZXl3b3JkPipXZWlnaHQgR2Fpbjwva2V5d29yZD48a2V5d29y
ZD5ib2R5IHdlaWdodCByZWd1bGF0aW9uPC9rZXl3b3JkPjxrZXl3b3JkPmV4ZXJjaXNlPC9rZXl3
b3JkPjxrZXl3b3JkPnByZWduYW5jeTwva2V5d29yZD48L2tleXdvcmRzPjxkYXRlcz48eWVhcj4y
MDE4PC95ZWFyPjxwdWItZGF0ZXM+PGRhdGU+Tm92PC9kYXRlPjwvcHViLWRhdGVzPjwvZGF0ZXM+
PGlzYm4+MTQ3My0wNDgwIChFbGVjdHJvbmljKSYjeEQ7MDMwNi0zNjc0IChMaW5raW5nKTwvaXNi
bj48YWNjZXNzaW9uLW51bT4zMDMzNzQ2MTwvYWNjZXNzaW9uLW51bT48dXJscz48cmVsYXRlZC11
cmxzPjx1cmw+aHR0cHM6Ly93d3cubmNiaS5ubG0ubmloLmdvdi9wdWJtZWQvMzAzMzc0NjE8L3Vy
bD48L3JlbGF0ZWQtdXJscz48L3VybHM+PGVsZWN0cm9uaWMtcmVzb3VyY2UtbnVtPjEwLjExMzYv
YmpzcG9ydHMtMjAxOC0wOTkzOTk8L2VsZWN0cm9uaWMtcmVzb3VyY2UtbnVtPjwvcmVjb3JkPjwv
Q2l0ZT48L0VuZE5vdGU+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465</w:t>
            </w:r>
            <w:r w:rsidR="00D07346">
              <w:fldChar w:fldCharType="end"/>
            </w:r>
          </w:p>
        </w:tc>
        <w:tc>
          <w:tcPr>
            <w:tcW w:w="2547" w:type="dxa"/>
          </w:tcPr>
          <w:p w14:paraId="1CBC2072" w14:textId="77777777" w:rsidR="00FF7A3D" w:rsidRDefault="00FF7A3D" w:rsidP="006A7633">
            <w:pPr>
              <w:pStyle w:val="RCTstable"/>
            </w:pPr>
            <w:r>
              <w:t>Mixed risk</w:t>
            </w:r>
          </w:p>
        </w:tc>
        <w:tc>
          <w:tcPr>
            <w:tcW w:w="2982" w:type="dxa"/>
          </w:tcPr>
          <w:p w14:paraId="7835728D" w14:textId="56D60914" w:rsidR="00FF7A3D" w:rsidRDefault="00FF7A3D" w:rsidP="006A7633">
            <w:pPr>
              <w:pStyle w:val="RCTstable"/>
              <w:jc w:val="center"/>
            </w:pPr>
            <w:r>
              <w:t>MD −0.85 (−1.46 to −0.25)</w:t>
            </w:r>
          </w:p>
        </w:tc>
        <w:tc>
          <w:tcPr>
            <w:tcW w:w="1134" w:type="dxa"/>
          </w:tcPr>
          <w:p w14:paraId="357893D1" w14:textId="3735DB64" w:rsidR="00FF7A3D" w:rsidRDefault="00FF7A3D" w:rsidP="006A7633">
            <w:pPr>
              <w:pStyle w:val="RCTstable"/>
              <w:jc w:val="center"/>
            </w:pPr>
            <w:r>
              <w:t>8</w:t>
            </w:r>
          </w:p>
        </w:tc>
      </w:tr>
    </w:tbl>
    <w:p w14:paraId="08A0FEE1" w14:textId="09C0E56F" w:rsidR="00833DAF" w:rsidRDefault="00833DAF" w:rsidP="00833DAF">
      <w:pPr>
        <w:pStyle w:val="source"/>
      </w:pPr>
      <w:r>
        <w:t>* Includes one study that involved only dietary advice.</w:t>
      </w:r>
    </w:p>
    <w:p w14:paraId="683C6DDD" w14:textId="2457948B" w:rsidR="00A5540F" w:rsidRPr="00C12274" w:rsidRDefault="00932C6D" w:rsidP="008E1F6E">
      <w:pPr>
        <w:pStyle w:val="TableName"/>
      </w:pPr>
      <w:bookmarkStart w:id="226" w:name="_Toc40956684"/>
      <w:r>
        <w:t xml:space="preserve">Q9 </w:t>
      </w:r>
      <w:r w:rsidR="004A0E1A">
        <w:t>Findings</w:t>
      </w:r>
      <w:r w:rsidR="00A5540F" w:rsidRPr="00C12274">
        <w:t xml:space="preserve"> of </w:t>
      </w:r>
      <w:r w:rsidR="004A0E1A">
        <w:t xml:space="preserve">systematic </w:t>
      </w:r>
      <w:r w:rsidR="00A5540F" w:rsidRPr="00C12274">
        <w:t xml:space="preserve">reviews </w:t>
      </w:r>
      <w:r w:rsidR="00A5540F">
        <w:t xml:space="preserve">of lifestyle counselling interventions </w:t>
      </w:r>
      <w:r w:rsidR="004A0E1A">
        <w:t>—</w:t>
      </w:r>
      <w:r w:rsidR="00A5540F" w:rsidRPr="00C12274">
        <w:t xml:space="preserve"> </w:t>
      </w:r>
      <w:r w:rsidR="00A5540F">
        <w:t>infant</w:t>
      </w:r>
      <w:r w:rsidR="00A5540F" w:rsidRPr="00C12274">
        <w:t xml:space="preserve"> outcome</w:t>
      </w:r>
      <w:r w:rsidR="00A5540F">
        <w:t>s</w:t>
      </w:r>
      <w:bookmarkEnd w:id="226"/>
    </w:p>
    <w:tbl>
      <w:tblPr>
        <w:tblStyle w:val="TableGrid"/>
        <w:tblW w:w="9504" w:type="dxa"/>
        <w:tblLook w:val="04A0" w:firstRow="1" w:lastRow="0" w:firstColumn="1" w:lastColumn="0" w:noHBand="0" w:noVBand="1"/>
        <w:tblCaption w:val="Table 106: Q9 Findings of systematic reviews of lifestyle counselling interventions — infant outcomes"/>
      </w:tblPr>
      <w:tblGrid>
        <w:gridCol w:w="2841"/>
        <w:gridCol w:w="2547"/>
        <w:gridCol w:w="2982"/>
        <w:gridCol w:w="1134"/>
      </w:tblGrid>
      <w:tr w:rsidR="00A5540F" w:rsidRPr="00B87066" w14:paraId="442BEB21" w14:textId="77777777" w:rsidTr="00A5540F">
        <w:trPr>
          <w:tblHeader/>
        </w:trPr>
        <w:tc>
          <w:tcPr>
            <w:tcW w:w="2841" w:type="dxa"/>
            <w:tcBorders>
              <w:bottom w:val="single" w:sz="4" w:space="0" w:color="3B3474"/>
            </w:tcBorders>
          </w:tcPr>
          <w:p w14:paraId="714F96AB" w14:textId="77777777" w:rsidR="00A5540F" w:rsidRPr="00B87066" w:rsidRDefault="00A5540F" w:rsidP="008E1F6E">
            <w:pPr>
              <w:keepNext/>
              <w:spacing w:before="40" w:after="40" w:line="240" w:lineRule="auto"/>
              <w:rPr>
                <w:b/>
                <w:sz w:val="16"/>
                <w:szCs w:val="16"/>
              </w:rPr>
            </w:pPr>
            <w:r w:rsidRPr="00B87066">
              <w:rPr>
                <w:b/>
                <w:sz w:val="16"/>
                <w:szCs w:val="16"/>
              </w:rPr>
              <w:t>Ref</w:t>
            </w:r>
          </w:p>
        </w:tc>
        <w:tc>
          <w:tcPr>
            <w:tcW w:w="2547" w:type="dxa"/>
            <w:tcBorders>
              <w:bottom w:val="single" w:sz="4" w:space="0" w:color="3B3474"/>
            </w:tcBorders>
          </w:tcPr>
          <w:p w14:paraId="155400BB" w14:textId="77777777" w:rsidR="00A5540F" w:rsidRPr="00B87066" w:rsidRDefault="00A5540F" w:rsidP="008E1F6E">
            <w:pPr>
              <w:keepNext/>
              <w:spacing w:before="40" w:after="40" w:line="240" w:lineRule="auto"/>
              <w:rPr>
                <w:b/>
                <w:sz w:val="16"/>
                <w:szCs w:val="16"/>
              </w:rPr>
            </w:pPr>
            <w:r w:rsidRPr="00B87066">
              <w:rPr>
                <w:b/>
                <w:sz w:val="16"/>
                <w:szCs w:val="16"/>
              </w:rPr>
              <w:t>Population</w:t>
            </w:r>
          </w:p>
        </w:tc>
        <w:tc>
          <w:tcPr>
            <w:tcW w:w="2982" w:type="dxa"/>
            <w:tcBorders>
              <w:bottom w:val="single" w:sz="4" w:space="0" w:color="3B3474"/>
            </w:tcBorders>
          </w:tcPr>
          <w:p w14:paraId="52ACBAE8" w14:textId="77D43E5A" w:rsidR="00A5540F" w:rsidRPr="00B87066" w:rsidRDefault="008E1F6E" w:rsidP="008E1F6E">
            <w:pPr>
              <w:keepNext/>
              <w:spacing w:before="40" w:after="40" w:line="240" w:lineRule="auto"/>
              <w:jc w:val="center"/>
              <w:rPr>
                <w:b/>
                <w:sz w:val="16"/>
                <w:szCs w:val="16"/>
              </w:rPr>
            </w:pPr>
            <w:r>
              <w:rPr>
                <w:b/>
                <w:sz w:val="16"/>
                <w:szCs w:val="16"/>
              </w:rPr>
              <w:t>Effect</w:t>
            </w:r>
            <w:r w:rsidR="00A5540F" w:rsidRPr="00B87066">
              <w:rPr>
                <w:b/>
                <w:sz w:val="16"/>
                <w:szCs w:val="16"/>
              </w:rPr>
              <w:t xml:space="preserve"> (95% CI)</w:t>
            </w:r>
          </w:p>
        </w:tc>
        <w:tc>
          <w:tcPr>
            <w:tcW w:w="1134" w:type="dxa"/>
            <w:tcBorders>
              <w:bottom w:val="single" w:sz="4" w:space="0" w:color="3B3474"/>
            </w:tcBorders>
          </w:tcPr>
          <w:p w14:paraId="478B403B" w14:textId="77777777" w:rsidR="00A5540F" w:rsidRPr="00B87066" w:rsidRDefault="00A5540F" w:rsidP="008E1F6E">
            <w:pPr>
              <w:keepNext/>
              <w:spacing w:before="40" w:after="40" w:line="240" w:lineRule="auto"/>
              <w:jc w:val="center"/>
              <w:rPr>
                <w:b/>
                <w:sz w:val="16"/>
                <w:szCs w:val="16"/>
              </w:rPr>
            </w:pPr>
            <w:r w:rsidRPr="00B87066">
              <w:rPr>
                <w:b/>
                <w:sz w:val="16"/>
                <w:szCs w:val="16"/>
              </w:rPr>
              <w:t>Number of studies</w:t>
            </w:r>
          </w:p>
        </w:tc>
      </w:tr>
      <w:tr w:rsidR="00A5540F" w:rsidRPr="00B87066" w14:paraId="5C21BFCD" w14:textId="77777777" w:rsidTr="00A5540F">
        <w:tc>
          <w:tcPr>
            <w:tcW w:w="9504" w:type="dxa"/>
            <w:gridSpan w:val="4"/>
            <w:shd w:val="clear" w:color="auto" w:fill="D9E2F3" w:themeFill="accent1" w:themeFillTint="33"/>
          </w:tcPr>
          <w:p w14:paraId="63E826B4" w14:textId="77777777" w:rsidR="00A5540F" w:rsidRPr="00B87066" w:rsidRDefault="00A5540F" w:rsidP="008E1F6E">
            <w:pPr>
              <w:pStyle w:val="RCTstable"/>
              <w:keepNext/>
              <w:rPr>
                <w:i/>
              </w:rPr>
            </w:pPr>
            <w:r>
              <w:rPr>
                <w:i/>
              </w:rPr>
              <w:t>Preterm birth</w:t>
            </w:r>
          </w:p>
        </w:tc>
      </w:tr>
      <w:tr w:rsidR="00A5540F" w:rsidRPr="00B87066" w14:paraId="4EFA2E74" w14:textId="77777777" w:rsidTr="00A5540F">
        <w:tc>
          <w:tcPr>
            <w:tcW w:w="2841" w:type="dxa"/>
            <w:tcBorders>
              <w:bottom w:val="single" w:sz="4" w:space="0" w:color="3B3474"/>
            </w:tcBorders>
            <w:shd w:val="clear" w:color="auto" w:fill="F2F2F2" w:themeFill="background1" w:themeFillShade="F2"/>
          </w:tcPr>
          <w:p w14:paraId="15C7F158" w14:textId="77777777" w:rsidR="00A5540F" w:rsidRPr="00B87066" w:rsidRDefault="00A5540F" w:rsidP="008E1F6E">
            <w:pPr>
              <w:pStyle w:val="RCTstable"/>
              <w:keepNext/>
            </w:pPr>
            <w:r w:rsidRPr="00B87066">
              <w:t>Current review</w:t>
            </w:r>
          </w:p>
        </w:tc>
        <w:tc>
          <w:tcPr>
            <w:tcW w:w="2547" w:type="dxa"/>
            <w:tcBorders>
              <w:bottom w:val="single" w:sz="4" w:space="0" w:color="3B3474"/>
            </w:tcBorders>
            <w:shd w:val="clear" w:color="auto" w:fill="F2F2F2" w:themeFill="background1" w:themeFillShade="F2"/>
          </w:tcPr>
          <w:p w14:paraId="32827697" w14:textId="77777777" w:rsidR="00A5540F" w:rsidRPr="00B87066" w:rsidRDefault="00A5540F" w:rsidP="008E1F6E">
            <w:pPr>
              <w:pStyle w:val="RCTstable"/>
              <w:keepNext/>
            </w:pPr>
            <w:r w:rsidRPr="00B87066">
              <w:t>Mixed BMIs</w:t>
            </w:r>
          </w:p>
        </w:tc>
        <w:tc>
          <w:tcPr>
            <w:tcW w:w="2982" w:type="dxa"/>
            <w:tcBorders>
              <w:bottom w:val="single" w:sz="4" w:space="0" w:color="3B3474"/>
            </w:tcBorders>
            <w:shd w:val="clear" w:color="auto" w:fill="F2F2F2" w:themeFill="background1" w:themeFillShade="F2"/>
          </w:tcPr>
          <w:p w14:paraId="520C4C7B" w14:textId="03F59869" w:rsidR="00A5540F" w:rsidRPr="00B87066" w:rsidRDefault="00690F45" w:rsidP="008E1F6E">
            <w:pPr>
              <w:pStyle w:val="RCTstable"/>
              <w:keepNext/>
              <w:jc w:val="center"/>
            </w:pPr>
            <w:r>
              <w:rPr>
                <w:rStyle w:val="block"/>
                <w:bCs/>
              </w:rPr>
              <w:t>RR 0.8</w:t>
            </w:r>
            <w:r w:rsidR="00E01ACF">
              <w:rPr>
                <w:rStyle w:val="block"/>
                <w:bCs/>
              </w:rPr>
              <w:t>5</w:t>
            </w:r>
            <w:r w:rsidR="001E2888">
              <w:rPr>
                <w:rStyle w:val="block"/>
                <w:bCs/>
              </w:rPr>
              <w:t xml:space="preserve"> (0.</w:t>
            </w:r>
            <w:r w:rsidR="00E01ACF">
              <w:rPr>
                <w:rStyle w:val="block"/>
                <w:bCs/>
              </w:rPr>
              <w:t>72</w:t>
            </w:r>
            <w:r w:rsidR="001E2888">
              <w:rPr>
                <w:rStyle w:val="block"/>
                <w:bCs/>
              </w:rPr>
              <w:t xml:space="preserve"> to </w:t>
            </w:r>
            <w:r w:rsidR="00E01ACF">
              <w:rPr>
                <w:rStyle w:val="block"/>
                <w:bCs/>
              </w:rPr>
              <w:t>1.01</w:t>
            </w:r>
            <w:r w:rsidR="00A5540F">
              <w:rPr>
                <w:rStyle w:val="block"/>
                <w:bCs/>
              </w:rPr>
              <w:t>)</w:t>
            </w:r>
          </w:p>
        </w:tc>
        <w:tc>
          <w:tcPr>
            <w:tcW w:w="1134" w:type="dxa"/>
            <w:tcBorders>
              <w:bottom w:val="single" w:sz="4" w:space="0" w:color="3B3474"/>
            </w:tcBorders>
            <w:shd w:val="clear" w:color="auto" w:fill="F2F2F2" w:themeFill="background1" w:themeFillShade="F2"/>
          </w:tcPr>
          <w:p w14:paraId="3CDEEB6B" w14:textId="7FE4A90A" w:rsidR="00A5540F" w:rsidRPr="00B87066" w:rsidRDefault="00A5540F" w:rsidP="008E1F6E">
            <w:pPr>
              <w:pStyle w:val="RCTstable"/>
              <w:keepNext/>
              <w:jc w:val="center"/>
            </w:pPr>
            <w:r>
              <w:t>1</w:t>
            </w:r>
            <w:r w:rsidR="00E01ACF">
              <w:t>8</w:t>
            </w:r>
          </w:p>
        </w:tc>
      </w:tr>
      <w:tr w:rsidR="00436056" w:rsidRPr="00B94B87" w14:paraId="3EF51042" w14:textId="77777777" w:rsidTr="0002532B">
        <w:tc>
          <w:tcPr>
            <w:tcW w:w="2841" w:type="dxa"/>
            <w:shd w:val="clear" w:color="auto" w:fill="auto"/>
          </w:tcPr>
          <w:p w14:paraId="1E75AE99" w14:textId="4E2B5613" w:rsidR="00436056" w:rsidRPr="00B94B87" w:rsidRDefault="00436056" w:rsidP="002747EA">
            <w:pPr>
              <w:pStyle w:val="RCTstable"/>
              <w:rPr>
                <w:noProof/>
              </w:rPr>
            </w:pPr>
            <w:r>
              <w:t>Davenport et al 2018b</w:t>
            </w:r>
            <w:r w:rsidR="00D07346">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479</w:t>
            </w:r>
            <w:r w:rsidR="00D07346">
              <w:rPr>
                <w:noProof/>
              </w:rPr>
              <w:fldChar w:fldCharType="end"/>
            </w:r>
          </w:p>
        </w:tc>
        <w:tc>
          <w:tcPr>
            <w:tcW w:w="2547" w:type="dxa"/>
            <w:shd w:val="clear" w:color="auto" w:fill="auto"/>
          </w:tcPr>
          <w:p w14:paraId="23B7E658" w14:textId="77777777" w:rsidR="00436056" w:rsidRPr="00B94B87" w:rsidRDefault="00436056" w:rsidP="0002532B">
            <w:pPr>
              <w:pStyle w:val="RCTstable"/>
            </w:pPr>
            <w:r w:rsidRPr="00B94B87">
              <w:t>Mixed BMIs</w:t>
            </w:r>
          </w:p>
        </w:tc>
        <w:tc>
          <w:tcPr>
            <w:tcW w:w="2982" w:type="dxa"/>
            <w:shd w:val="clear" w:color="auto" w:fill="auto"/>
          </w:tcPr>
          <w:p w14:paraId="610C91BD" w14:textId="015BCB9E" w:rsidR="00436056" w:rsidRPr="00B94B87" w:rsidRDefault="00436056" w:rsidP="00436056">
            <w:pPr>
              <w:pStyle w:val="RCTstable"/>
              <w:jc w:val="center"/>
            </w:pPr>
            <w:r w:rsidRPr="00B94B87">
              <w:t xml:space="preserve">RR </w:t>
            </w:r>
            <w:r>
              <w:t>0.88 (0.67 to 1.16)</w:t>
            </w:r>
          </w:p>
        </w:tc>
        <w:tc>
          <w:tcPr>
            <w:tcW w:w="1134" w:type="dxa"/>
            <w:shd w:val="clear" w:color="auto" w:fill="auto"/>
          </w:tcPr>
          <w:p w14:paraId="3A3FDC59" w14:textId="538FEDB4" w:rsidR="00436056" w:rsidRPr="00B94B87" w:rsidRDefault="00436056" w:rsidP="0002532B">
            <w:pPr>
              <w:pStyle w:val="RCTstable"/>
              <w:jc w:val="center"/>
            </w:pPr>
            <w:r>
              <w:t>14</w:t>
            </w:r>
          </w:p>
        </w:tc>
      </w:tr>
      <w:tr w:rsidR="00A5540F" w:rsidRPr="00B87066" w14:paraId="745A2769" w14:textId="77777777" w:rsidTr="00A5540F">
        <w:tc>
          <w:tcPr>
            <w:tcW w:w="2841" w:type="dxa"/>
            <w:shd w:val="clear" w:color="auto" w:fill="auto"/>
          </w:tcPr>
          <w:p w14:paraId="6ED4F606" w14:textId="449C4E2E"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7AEF34DE" w14:textId="77777777" w:rsidR="00A5540F" w:rsidRPr="00B87066" w:rsidRDefault="00A5540F" w:rsidP="00A5540F">
            <w:pPr>
              <w:pStyle w:val="RCTstable"/>
            </w:pPr>
            <w:r>
              <w:t>Mixed BMIs</w:t>
            </w:r>
          </w:p>
        </w:tc>
        <w:tc>
          <w:tcPr>
            <w:tcW w:w="2982" w:type="dxa"/>
            <w:shd w:val="clear" w:color="auto" w:fill="auto"/>
          </w:tcPr>
          <w:p w14:paraId="45CC300B" w14:textId="77777777" w:rsidR="00A5540F" w:rsidRPr="00B87066" w:rsidRDefault="00A5540F" w:rsidP="00A5540F">
            <w:pPr>
              <w:pStyle w:val="RCTstable"/>
              <w:jc w:val="center"/>
            </w:pPr>
            <w:r>
              <w:t>RR 0.94 (0.57 to 1.55)</w:t>
            </w:r>
          </w:p>
        </w:tc>
        <w:tc>
          <w:tcPr>
            <w:tcW w:w="1134" w:type="dxa"/>
            <w:shd w:val="clear" w:color="auto" w:fill="auto"/>
          </w:tcPr>
          <w:p w14:paraId="455BF887" w14:textId="77777777" w:rsidR="00A5540F" w:rsidRPr="00B87066" w:rsidRDefault="00A5540F" w:rsidP="00A5540F">
            <w:pPr>
              <w:pStyle w:val="RCTstable"/>
              <w:jc w:val="center"/>
            </w:pPr>
            <w:r>
              <w:t>7</w:t>
            </w:r>
          </w:p>
        </w:tc>
      </w:tr>
      <w:tr w:rsidR="00A5540F" w:rsidRPr="00B87066" w14:paraId="0F8CB644" w14:textId="77777777" w:rsidTr="00A5540F">
        <w:tc>
          <w:tcPr>
            <w:tcW w:w="2841" w:type="dxa"/>
            <w:shd w:val="clear" w:color="auto" w:fill="auto"/>
          </w:tcPr>
          <w:p w14:paraId="41A6D537" w14:textId="06D491C9" w:rsidR="00A5540F" w:rsidRPr="00B87066" w:rsidRDefault="00A5540F" w:rsidP="002747EA">
            <w:pPr>
              <w:pStyle w:val="RCTstable"/>
            </w:pPr>
            <w:r w:rsidRPr="00C12274">
              <w:rPr>
                <w:noProof/>
              </w:rPr>
              <w:t>Thangaratinam et al 2012a</w:t>
            </w:r>
            <w:r>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 </w:instrText>
            </w:r>
            <w:r w:rsidR="002747EA">
              <w:rPr>
                <w:noProof/>
              </w:rP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sz w:val="18"/>
                <w:vertAlign w:val="superscript"/>
              </w:rPr>
              <w:t>411</w:t>
            </w:r>
            <w:r>
              <w:rPr>
                <w:noProof/>
              </w:rPr>
              <w:fldChar w:fldCharType="end"/>
            </w:r>
          </w:p>
        </w:tc>
        <w:tc>
          <w:tcPr>
            <w:tcW w:w="2547" w:type="dxa"/>
            <w:shd w:val="clear" w:color="auto" w:fill="auto"/>
          </w:tcPr>
          <w:p w14:paraId="384E7260" w14:textId="77777777" w:rsidR="00A5540F" w:rsidRPr="00B87066" w:rsidRDefault="00A5540F" w:rsidP="00A5540F">
            <w:pPr>
              <w:pStyle w:val="RCTstable"/>
            </w:pPr>
            <w:r>
              <w:t>Mixed BMIs</w:t>
            </w:r>
          </w:p>
        </w:tc>
        <w:tc>
          <w:tcPr>
            <w:tcW w:w="2982" w:type="dxa"/>
            <w:shd w:val="clear" w:color="auto" w:fill="auto"/>
          </w:tcPr>
          <w:p w14:paraId="3486AD15" w14:textId="77777777" w:rsidR="00A5540F" w:rsidRPr="00B87066" w:rsidRDefault="00A5540F" w:rsidP="00A5540F">
            <w:pPr>
              <w:pStyle w:val="RCTstable"/>
              <w:jc w:val="center"/>
              <w:rPr>
                <w:rStyle w:val="block"/>
                <w:bCs/>
              </w:rPr>
            </w:pPr>
            <w:r>
              <w:rPr>
                <w:rStyle w:val="block"/>
                <w:bCs/>
              </w:rPr>
              <w:t>RR 1.02 (0.47 to 2.21)</w:t>
            </w:r>
          </w:p>
        </w:tc>
        <w:tc>
          <w:tcPr>
            <w:tcW w:w="1134" w:type="dxa"/>
            <w:shd w:val="clear" w:color="auto" w:fill="auto"/>
          </w:tcPr>
          <w:p w14:paraId="2DAAE129" w14:textId="77777777" w:rsidR="00A5540F" w:rsidRPr="00B87066" w:rsidRDefault="00A5540F" w:rsidP="00A5540F">
            <w:pPr>
              <w:pStyle w:val="RCTstable"/>
              <w:jc w:val="center"/>
              <w:rPr>
                <w:rStyle w:val="block"/>
                <w:bCs/>
              </w:rPr>
            </w:pPr>
            <w:r>
              <w:rPr>
                <w:rStyle w:val="block"/>
                <w:bCs/>
              </w:rPr>
              <w:t>3</w:t>
            </w:r>
          </w:p>
        </w:tc>
      </w:tr>
      <w:tr w:rsidR="00A5540F" w:rsidRPr="00B87066" w14:paraId="4D22BDE1" w14:textId="77777777" w:rsidTr="00A5540F">
        <w:tc>
          <w:tcPr>
            <w:tcW w:w="2841" w:type="dxa"/>
            <w:shd w:val="clear" w:color="auto" w:fill="auto"/>
          </w:tcPr>
          <w:p w14:paraId="24391669" w14:textId="6895D7B9" w:rsidR="00A5540F" w:rsidRPr="00C12274" w:rsidRDefault="00A5540F" w:rsidP="002747EA">
            <w:pPr>
              <w:pStyle w:val="RCTstable"/>
              <w:rPr>
                <w:noProof/>
              </w:rPr>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shd w:val="clear" w:color="auto" w:fill="auto"/>
          </w:tcPr>
          <w:p w14:paraId="3D1D8D77" w14:textId="77777777" w:rsidR="00A5540F" w:rsidRDefault="00A5540F" w:rsidP="00A5540F">
            <w:pPr>
              <w:pStyle w:val="RCTstable"/>
            </w:pPr>
            <w:r>
              <w:t>Mixed BMIs</w:t>
            </w:r>
          </w:p>
        </w:tc>
        <w:tc>
          <w:tcPr>
            <w:tcW w:w="2982" w:type="dxa"/>
            <w:shd w:val="clear" w:color="auto" w:fill="auto"/>
          </w:tcPr>
          <w:p w14:paraId="31C8E779" w14:textId="77777777" w:rsidR="00A5540F" w:rsidRDefault="00A5540F" w:rsidP="00A5540F">
            <w:pPr>
              <w:pStyle w:val="RCTstable"/>
              <w:jc w:val="center"/>
              <w:rPr>
                <w:rStyle w:val="block"/>
                <w:bCs/>
              </w:rPr>
            </w:pPr>
            <w:r>
              <w:rPr>
                <w:rStyle w:val="block"/>
                <w:bCs/>
              </w:rPr>
              <w:t>RR 0.90 (0.55 to 1.47)</w:t>
            </w:r>
          </w:p>
        </w:tc>
        <w:tc>
          <w:tcPr>
            <w:tcW w:w="1134" w:type="dxa"/>
            <w:shd w:val="clear" w:color="auto" w:fill="auto"/>
          </w:tcPr>
          <w:p w14:paraId="0364CD40" w14:textId="77777777" w:rsidR="00A5540F" w:rsidRDefault="00A5540F" w:rsidP="00A5540F">
            <w:pPr>
              <w:pStyle w:val="RCTstable"/>
              <w:jc w:val="center"/>
              <w:rPr>
                <w:rStyle w:val="block"/>
                <w:bCs/>
              </w:rPr>
            </w:pPr>
            <w:r>
              <w:rPr>
                <w:rStyle w:val="block"/>
                <w:bCs/>
              </w:rPr>
              <w:t>4</w:t>
            </w:r>
          </w:p>
        </w:tc>
      </w:tr>
      <w:tr w:rsidR="00A5540F" w:rsidRPr="00B87066" w14:paraId="018B5D80" w14:textId="77777777" w:rsidTr="00A5540F">
        <w:tc>
          <w:tcPr>
            <w:tcW w:w="2841" w:type="dxa"/>
            <w:tcBorders>
              <w:bottom w:val="single" w:sz="4" w:space="0" w:color="3B3474"/>
            </w:tcBorders>
            <w:shd w:val="clear" w:color="auto" w:fill="auto"/>
          </w:tcPr>
          <w:p w14:paraId="48DB5254" w14:textId="176B21D2" w:rsidR="00A5540F" w:rsidRPr="00C12274" w:rsidRDefault="00A5540F" w:rsidP="002747EA">
            <w:pPr>
              <w:pStyle w:val="RCTstable"/>
              <w:rPr>
                <w:noProof/>
              </w:rPr>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shd w:val="clear" w:color="auto" w:fill="auto"/>
          </w:tcPr>
          <w:p w14:paraId="20F24872" w14:textId="77777777" w:rsidR="00A5540F" w:rsidRDefault="00A5540F" w:rsidP="00A5540F">
            <w:pPr>
              <w:pStyle w:val="RCTstable"/>
            </w:pPr>
            <w:r>
              <w:t>Mixed BMIs</w:t>
            </w:r>
          </w:p>
        </w:tc>
        <w:tc>
          <w:tcPr>
            <w:tcW w:w="2982" w:type="dxa"/>
            <w:tcBorders>
              <w:bottom w:val="single" w:sz="4" w:space="0" w:color="3B3474"/>
            </w:tcBorders>
            <w:shd w:val="clear" w:color="auto" w:fill="auto"/>
          </w:tcPr>
          <w:p w14:paraId="09D1EE6C" w14:textId="77777777" w:rsidR="00A5540F" w:rsidRDefault="00A5540F" w:rsidP="00A5540F">
            <w:pPr>
              <w:pStyle w:val="RCTstable"/>
              <w:jc w:val="center"/>
              <w:rPr>
                <w:rStyle w:val="block"/>
                <w:bCs/>
              </w:rPr>
            </w:pPr>
            <w:r>
              <w:rPr>
                <w:rStyle w:val="block"/>
                <w:bCs/>
              </w:rPr>
              <w:t>RR 0.80 (0.65 to 0.98)</w:t>
            </w:r>
          </w:p>
        </w:tc>
        <w:tc>
          <w:tcPr>
            <w:tcW w:w="1134" w:type="dxa"/>
            <w:tcBorders>
              <w:bottom w:val="single" w:sz="4" w:space="0" w:color="3B3474"/>
            </w:tcBorders>
            <w:shd w:val="clear" w:color="auto" w:fill="auto"/>
          </w:tcPr>
          <w:p w14:paraId="55B450C4" w14:textId="77777777" w:rsidR="00A5540F" w:rsidRDefault="00A5540F" w:rsidP="00A5540F">
            <w:pPr>
              <w:pStyle w:val="RCTstable"/>
              <w:jc w:val="center"/>
              <w:rPr>
                <w:rStyle w:val="block"/>
                <w:bCs/>
              </w:rPr>
            </w:pPr>
            <w:r>
              <w:rPr>
                <w:rStyle w:val="block"/>
                <w:bCs/>
              </w:rPr>
              <w:t>11</w:t>
            </w:r>
          </w:p>
        </w:tc>
      </w:tr>
      <w:tr w:rsidR="00436056" w:rsidRPr="00B87066" w14:paraId="070C4EC1" w14:textId="77777777" w:rsidTr="0002532B">
        <w:tc>
          <w:tcPr>
            <w:tcW w:w="9504" w:type="dxa"/>
            <w:gridSpan w:val="4"/>
            <w:shd w:val="clear" w:color="auto" w:fill="D9E2F3" w:themeFill="accent1" w:themeFillTint="33"/>
          </w:tcPr>
          <w:p w14:paraId="12CE151A" w14:textId="02C3B1F7" w:rsidR="00436056" w:rsidRPr="00B87066" w:rsidRDefault="00436056" w:rsidP="0002532B">
            <w:pPr>
              <w:pStyle w:val="RCTstable"/>
              <w:rPr>
                <w:i/>
              </w:rPr>
            </w:pPr>
            <w:r>
              <w:rPr>
                <w:i/>
              </w:rPr>
              <w:t>Low birthweight</w:t>
            </w:r>
          </w:p>
        </w:tc>
      </w:tr>
      <w:tr w:rsidR="00436056" w:rsidRPr="00B87066" w14:paraId="35F4D63E" w14:textId="77777777" w:rsidTr="0002532B">
        <w:tc>
          <w:tcPr>
            <w:tcW w:w="2841" w:type="dxa"/>
            <w:tcBorders>
              <w:bottom w:val="single" w:sz="4" w:space="0" w:color="3B3474"/>
            </w:tcBorders>
            <w:shd w:val="clear" w:color="auto" w:fill="F2F2F2" w:themeFill="background1" w:themeFillShade="F2"/>
          </w:tcPr>
          <w:p w14:paraId="7E360073" w14:textId="77777777" w:rsidR="00436056" w:rsidRPr="00B87066" w:rsidRDefault="00436056" w:rsidP="0002532B">
            <w:pPr>
              <w:pStyle w:val="RCTstable"/>
            </w:pPr>
            <w:r w:rsidRPr="00B87066">
              <w:t>Current review</w:t>
            </w:r>
          </w:p>
        </w:tc>
        <w:tc>
          <w:tcPr>
            <w:tcW w:w="2547" w:type="dxa"/>
            <w:tcBorders>
              <w:bottom w:val="single" w:sz="4" w:space="0" w:color="3B3474"/>
            </w:tcBorders>
            <w:shd w:val="clear" w:color="auto" w:fill="F2F2F2" w:themeFill="background1" w:themeFillShade="F2"/>
          </w:tcPr>
          <w:p w14:paraId="78BC40C6" w14:textId="77777777" w:rsidR="00436056" w:rsidRPr="00B87066" w:rsidRDefault="00436056" w:rsidP="0002532B">
            <w:pPr>
              <w:pStyle w:val="RCTstable"/>
            </w:pPr>
            <w:r w:rsidRPr="00B87066">
              <w:t>Mixed BMIs</w:t>
            </w:r>
          </w:p>
        </w:tc>
        <w:tc>
          <w:tcPr>
            <w:tcW w:w="2982" w:type="dxa"/>
            <w:tcBorders>
              <w:bottom w:val="single" w:sz="4" w:space="0" w:color="3B3474"/>
            </w:tcBorders>
            <w:shd w:val="clear" w:color="auto" w:fill="F2F2F2" w:themeFill="background1" w:themeFillShade="F2"/>
          </w:tcPr>
          <w:p w14:paraId="690DD5A7" w14:textId="5803223D" w:rsidR="00436056" w:rsidRPr="00FA5063" w:rsidRDefault="00436056" w:rsidP="00E01ACF">
            <w:pPr>
              <w:pStyle w:val="RCTstable"/>
              <w:jc w:val="center"/>
            </w:pPr>
            <w:r w:rsidRPr="00FA5063">
              <w:t xml:space="preserve">RR </w:t>
            </w:r>
            <w:r>
              <w:t>0.</w:t>
            </w:r>
            <w:r w:rsidR="00E01ACF">
              <w:t>87 (0.65 to 1.17</w:t>
            </w:r>
            <w:r>
              <w:t>)</w:t>
            </w:r>
          </w:p>
        </w:tc>
        <w:tc>
          <w:tcPr>
            <w:tcW w:w="1134" w:type="dxa"/>
            <w:tcBorders>
              <w:bottom w:val="single" w:sz="4" w:space="0" w:color="3B3474"/>
            </w:tcBorders>
            <w:shd w:val="clear" w:color="auto" w:fill="F2F2F2" w:themeFill="background1" w:themeFillShade="F2"/>
          </w:tcPr>
          <w:p w14:paraId="52CA4CE5" w14:textId="367FCFAE" w:rsidR="00436056" w:rsidRPr="00B87066" w:rsidRDefault="00436056" w:rsidP="0002532B">
            <w:pPr>
              <w:pStyle w:val="RCTstable"/>
              <w:jc w:val="center"/>
            </w:pPr>
            <w:r>
              <w:t>3</w:t>
            </w:r>
          </w:p>
        </w:tc>
      </w:tr>
      <w:tr w:rsidR="00436056" w:rsidRPr="00B94B87" w14:paraId="23760064" w14:textId="77777777" w:rsidTr="0002532B">
        <w:tc>
          <w:tcPr>
            <w:tcW w:w="2841" w:type="dxa"/>
            <w:shd w:val="clear" w:color="auto" w:fill="auto"/>
          </w:tcPr>
          <w:p w14:paraId="14773BFC" w14:textId="42469C8C" w:rsidR="00436056" w:rsidRPr="00B94B87" w:rsidRDefault="00436056" w:rsidP="002747EA">
            <w:pPr>
              <w:pStyle w:val="RCTstable"/>
              <w:rPr>
                <w:noProof/>
              </w:rPr>
            </w:pPr>
            <w:r>
              <w:t>Davenport et al 2018b</w:t>
            </w:r>
            <w:r w:rsidR="00D07346">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479</w:t>
            </w:r>
            <w:r w:rsidR="00D07346">
              <w:rPr>
                <w:noProof/>
              </w:rPr>
              <w:fldChar w:fldCharType="end"/>
            </w:r>
          </w:p>
        </w:tc>
        <w:tc>
          <w:tcPr>
            <w:tcW w:w="2547" w:type="dxa"/>
            <w:shd w:val="clear" w:color="auto" w:fill="auto"/>
          </w:tcPr>
          <w:p w14:paraId="3D44E294" w14:textId="77777777" w:rsidR="00436056" w:rsidRPr="00B94B87" w:rsidRDefault="00436056" w:rsidP="0002532B">
            <w:pPr>
              <w:pStyle w:val="RCTstable"/>
            </w:pPr>
            <w:r w:rsidRPr="00B94B87">
              <w:t>Mixed BMIs</w:t>
            </w:r>
          </w:p>
        </w:tc>
        <w:tc>
          <w:tcPr>
            <w:tcW w:w="2982" w:type="dxa"/>
            <w:shd w:val="clear" w:color="auto" w:fill="auto"/>
          </w:tcPr>
          <w:p w14:paraId="16B50BCE" w14:textId="4B414CA5" w:rsidR="00436056" w:rsidRPr="00B94B87" w:rsidRDefault="00436056" w:rsidP="0002532B">
            <w:pPr>
              <w:pStyle w:val="RCTstable"/>
              <w:jc w:val="center"/>
            </w:pPr>
            <w:r>
              <w:t>RR 0.90 (0.62 to 1.33)</w:t>
            </w:r>
          </w:p>
        </w:tc>
        <w:tc>
          <w:tcPr>
            <w:tcW w:w="1134" w:type="dxa"/>
            <w:shd w:val="clear" w:color="auto" w:fill="auto"/>
          </w:tcPr>
          <w:p w14:paraId="3A928E9D" w14:textId="232624D8" w:rsidR="00436056" w:rsidRPr="00B94B87" w:rsidRDefault="00436056" w:rsidP="0002532B">
            <w:pPr>
              <w:pStyle w:val="RCTstable"/>
              <w:jc w:val="center"/>
            </w:pPr>
            <w:r>
              <w:t>5</w:t>
            </w:r>
          </w:p>
        </w:tc>
      </w:tr>
      <w:tr w:rsidR="00A5540F" w:rsidRPr="00B87066" w14:paraId="3069F1AA" w14:textId="77777777" w:rsidTr="00A5540F">
        <w:tc>
          <w:tcPr>
            <w:tcW w:w="9504" w:type="dxa"/>
            <w:gridSpan w:val="4"/>
            <w:shd w:val="clear" w:color="auto" w:fill="D9E2F3" w:themeFill="accent1" w:themeFillTint="33"/>
          </w:tcPr>
          <w:p w14:paraId="5A8EB95C" w14:textId="77777777" w:rsidR="00A5540F" w:rsidRPr="00B87066" w:rsidRDefault="00A5540F" w:rsidP="00A5540F">
            <w:pPr>
              <w:pStyle w:val="RCTstable"/>
              <w:rPr>
                <w:i/>
              </w:rPr>
            </w:pPr>
            <w:r>
              <w:rPr>
                <w:i/>
              </w:rPr>
              <w:t>Macrosomia &gt; 4,000g</w:t>
            </w:r>
          </w:p>
        </w:tc>
      </w:tr>
      <w:tr w:rsidR="00A5540F" w:rsidRPr="00B87066" w14:paraId="2E8619AA" w14:textId="77777777" w:rsidTr="00A5540F">
        <w:tc>
          <w:tcPr>
            <w:tcW w:w="2841" w:type="dxa"/>
            <w:tcBorders>
              <w:bottom w:val="single" w:sz="4" w:space="0" w:color="3B3474"/>
            </w:tcBorders>
            <w:shd w:val="clear" w:color="auto" w:fill="F2F2F2" w:themeFill="background1" w:themeFillShade="F2"/>
          </w:tcPr>
          <w:p w14:paraId="6B68D3A2"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2F8BD5A1"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228F4AFF" w14:textId="0235EDFB" w:rsidR="00A5540F" w:rsidRPr="00B87066" w:rsidRDefault="001E2888" w:rsidP="00A5540F">
            <w:pPr>
              <w:pStyle w:val="RCTstable"/>
              <w:jc w:val="center"/>
            </w:pPr>
            <w:r>
              <w:rPr>
                <w:rStyle w:val="block"/>
                <w:bCs/>
              </w:rPr>
              <w:t>RR 0.91 (0.82 to 1.0</w:t>
            </w:r>
            <w:r w:rsidR="00E01ACF">
              <w:rPr>
                <w:rStyle w:val="block"/>
                <w:bCs/>
              </w:rPr>
              <w:t>1</w:t>
            </w:r>
            <w:r w:rsidR="00A5540F">
              <w:rPr>
                <w:rStyle w:val="block"/>
                <w:bCs/>
              </w:rPr>
              <w:t>)</w:t>
            </w:r>
          </w:p>
        </w:tc>
        <w:tc>
          <w:tcPr>
            <w:tcW w:w="1134" w:type="dxa"/>
            <w:tcBorders>
              <w:bottom w:val="single" w:sz="4" w:space="0" w:color="3B3474"/>
            </w:tcBorders>
            <w:shd w:val="clear" w:color="auto" w:fill="F2F2F2" w:themeFill="background1" w:themeFillShade="F2"/>
          </w:tcPr>
          <w:p w14:paraId="6E3CD361" w14:textId="69F767B5" w:rsidR="00A5540F" w:rsidRPr="00B87066" w:rsidRDefault="00A5540F" w:rsidP="00A5540F">
            <w:pPr>
              <w:pStyle w:val="RCTstable"/>
              <w:jc w:val="center"/>
            </w:pPr>
            <w:r>
              <w:t>1</w:t>
            </w:r>
            <w:r w:rsidR="00E01ACF">
              <w:t>7</w:t>
            </w:r>
          </w:p>
        </w:tc>
      </w:tr>
      <w:tr w:rsidR="00436056" w:rsidRPr="00B94B87" w14:paraId="63CD46F9" w14:textId="77777777" w:rsidTr="0002532B">
        <w:tc>
          <w:tcPr>
            <w:tcW w:w="2841" w:type="dxa"/>
            <w:shd w:val="clear" w:color="auto" w:fill="auto"/>
          </w:tcPr>
          <w:p w14:paraId="1AD5F210" w14:textId="713D438D" w:rsidR="00436056" w:rsidRPr="00B94B87" w:rsidRDefault="00436056" w:rsidP="002747EA">
            <w:pPr>
              <w:pStyle w:val="RCTstable"/>
              <w:rPr>
                <w:noProof/>
              </w:rPr>
            </w:pPr>
            <w:r>
              <w:t>Davenport et al 2018b</w:t>
            </w:r>
            <w:r w:rsidR="00D07346">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PEVuZE5vdGU+PENpdGU+PEF1dGhvcj5EYXZlbnBvcnQ8L0F1dGhvcj48WWVhcj4yMDE4PC9ZZWFy
PjxSZWNOdW0+MTkzOTwvUmVjTnVtPjxEaXNwbGF5VGV4dD48c3R5bGUgZmFjZT0ic3VwZXJzY3Jp
cHQiIGZvbnQ9IlRyZWJ1Y2hldCBNUyIgc2l6ZT0iOSI+NDc5PC9zdHlsZT48L0Rpc3BsYXlUZXh0
PjxyZWNvcmQ+PHJlYy1udW1iZXI+MTkzOTwvcmVjLW51bWJlcj48Zm9yZWlnbi1rZXlzPjxrZXkg
YXBwPSJFTiIgZGItaWQ9ImV4dmFzcmZ4MmR0cmFvZXNhc3hwMnN6c3hhMmRmNTAyNTkyeCIgdGlt
ZXN0YW1wPSIxNTg4NzI4NDEyIj4xOTM5PC9rZXk+PGtleSBhcHA9IkVOV2ViIiBkYi1pZD0iIj4w
PC9rZXk+PC9mb3JlaWduLWtleXM+PHJlZi10eXBlIG5hbWU9IkpvdXJuYWwgQXJ0aWNsZSI+MTc8
L3JlZi10eXBlPjxjb250cmlidXRvcnM+PGF1dGhvcnM+PGF1dGhvcj5EYXZlbnBvcnQsIE0uIEgu
PC9hdXRob3I+PGF1dGhvcj5NZWFoLCBWLiBMLjwvYXV0aG9yPjxhdXRob3I+UnVjaGF0LCBTLiBN
LjwvYXV0aG9yPjxhdXRob3I+RGF2aWVzLCBHLiBBLjwvYXV0aG9yPjxhdXRob3I+U2tvdywgUi4g
Si48L2F1dGhvcj48YXV0aG9yPkJhcnJvd21hbiwgTi48L2F1dGhvcj48YXV0aG9yPkFkYW1vLCBL
LiBCLjwvYXV0aG9yPjxhdXRob3I+UG9pdHJhcywgVi4gSi48L2F1dGhvcj48YXV0aG9yPkdyYXks
IEMuIEUuPC9hdXRob3I+PGF1dGhvcj5KYXJhbWlsbG8gR2FyY2lhLCBBLjwvYXV0aG9yPjxhdXRo
b3I+U29iaWVyYWpza2ksIEYuPC9hdXRob3I+PGF1dGhvcj5SaXNrZSwgTC48L2F1dGhvcj48YXV0
aG9yPkphbWVzLCBNLjwvYXV0aG9yPjxhdXRob3I+S2F0aG9sLCBBLiBKLjwvYXV0aG9yPjxhdXRo
b3I+TnVzcGwsIE0uPC9hdXRob3I+PGF1dGhvcj5NYXJjaGFuZCwgQS4gQS48L2F1dGhvcj48YXV0
aG9yPk5hZ3BhbCwgVC4gUy48L2F1dGhvcj48YXV0aG9yPlNsYXRlciwgTC4gRy48L2F1dGhvcj48
YXV0aG9yPldlZWtzLCBBLjwvYXV0aG9yPjxhdXRob3I+QmFyYWthdCwgUi48L2F1dGhvcj48YXV0
aG9yPk1vdHRvbGEsIE0uIEYuPC9hdXRob3I+PC9hdXRob3JzPjwvY29udHJpYnV0b3JzPjxhdXRo
LWFkZHJlc3M+UHJvZ3JhbSBmb3IgUHJlZ25hbmN5IGFuZCBQb3N0cGFydHVtIEhlYWx0aCwgUGh5
c2ljYWwgQWN0aXZpdHkgYW5kIERpYWJldGVzIExhYm9yYXRvcnksIEZhY3VsdHkgb2YgS2luZXNp
b2xvZ3ksIFNwb3J0IGFuZCBSZWNyZWF0aW9uLCBXb21lbiBhbmQgQ2hpbGRyZW4mYXBvcztzIEhl
YWx0aCBSZXNlYXJjaCBJbnN0aXR1dGUsIEFsYmVydGEgRGlhYmV0ZXMgSW5zdGl0dXRlLCBVbml2
ZXJzaXR5IG9mIEFsYmVydGEsIEVkbW9udG9uLCBBbGJlcnRhLCBDYW5hZGEuJiN4RDtEZXBhcnRt
ZW50IG9mIEh1bWFuIEtpbmV0aWNzLCBVbml2ZXJzaXRlIGR1IFF1ZWJlYyBhIFRyb2lzLVJpdmll
cmVzLCBUcm9pcy1SaXZpZXJlcywgUXVlYmVjLCBDYW5hZGEuJiN4RDtEZXBhcnRtZW50IG9mIE9i
c3RldHJpY3MgYW5kIEd5bmVjb2xvZ3ksIFF1ZWVuJmFwb3M7cyBVbml2ZXJzaXR5LCBLaW5nc3Rv
biwgT250YXJpbywgQ2FuYWRhLiYjeEQ7Q2xpbmljYWwgUmVzZWFyY2ggVW5pdCwgQ2hpbGRyZW4m
YXBvcztzIEhvc3BpdGFsIG9mIEVhc3Rlcm4gT250YXJpbyBSZXNlYXJjaCBJbnN0aXR1dGUsIE90
dGF3YSwgT250YXJpbywgQ2FuYWRhLiYjeEQ7U2Nob29sIG9mIEh1bWFuIEtpbmV0aWNzLCBGYWN1
bHR5IG9mIEhlYWx0aCBTY2llbmNlcywgVW5pdmVyc2l0eSBvZiBPdHRhd2EsIE90dGF3YSwgT250
YXJpbywgQ2FuYWRhLiYjeEQ7SW5kZXBlbmRlbnQgUmVzZWFyY2hlciwgT3R0YXdhLCBPbnRhcmlv
LCBDYW5hZGEuJiN4RDtIZWFsdGh5IEFjdGl2ZSBMaXZpbmcgYW5kIE9iZXNpdHkgUmVzZWFyY2gg
R3JvdXAsIENoaWxkcmVuJmFwb3M7cyBIb3NwaXRhbCBvZiBFYXN0ZXJuIE9udGFyaW8gUmVzZWFy
Y2ggSW5zdGl0dXRlLCBPdHRhd2EsIE9udGFyaW8sIENhbmFkYS4mI3hEO0FsYmVydGEgUmVzZWFy
Y2ggQ2VudHJlIGZvciBIZWFsdGggRXZpZGVuY2UsIEZhY3VsdHkgb2YgTWVkaWNpbmUgYW5kIERl
bnRpc3RyeSwgVW5pdmVyc2l0eSBvZiBBbGJlcnRhLCBFZG1vbnRvbiwgQWxiZXJ0YSwgQ2FuYWRh
LiYjeEQ7RGVwYXJ0bWVudCBvZiBBbmF0b215LCBVbml2ZXJzaXRlIGR1IFF1ZWJlYyBhIFRyb2lz
LVJpdmllcmVzLCBUcm9pcy1SaXZpZXJlcywgUXVlYmVjLCBDYW5hZGEuJiN4RDtSIFNhbXVlbCBN
Y0xhdWdobGluIEZvdW5kYXRpb24gLSBFeGVyY2lzZSBhbmQgUHJlZ25hbmN5IExhYm9yYXRvcnks
IFNjaG9vbCBvZiBLaW5lc2lvbG9neSwgRmFjdWx0eSBvZiBIZWFsdGggU2NpZW5jZXMsIERlcGFy
dG1lbnQgb2YgQW5hdG9teSBhbmQgQ2VsbCBCaW9sb2d5LCBTY2h1bGljaCBTY2hvb2wgb2YgTWVk
aWNpbmUgJmFtcDsgRGVudGlzdHJ5LCBDaGlsZHJlbiZhcG9zO3MgSGVhbHRoIFJlc2VhcmNoIElu
c3RpdHV0ZSwgVGhlIFVuaXZlcnNpdHkgb2YgV2VzdGVybiBPbnRhcmlvLCBMb25kb24sIE9udGFy
aW8sIENhbmFkYS4mI3hEO0pvaG4gVyBTY290dCBIZWFsdGggU2NpZW5jZXMgTGlicmFyeSwgVW5p
dmVyc2l0eSBvZiBBbGJlcnRhLCBFZG1vbnRvbiwgQWxiZXJ0YSwgQ2FuYWRhLiYjeEQ7U2Nob29s
IG9mIEludGVyZGlzY2lwbGluYXJ5IEhlYWx0aCBTY2llbmNlcywgVW5pdmVyc2l0eSBvZiBPdHRh
d2EsIE90dGF3YSwgT250YXJpbywgQ2FuYWRhLiYjeEQ7RmFjdWx0YWQgZGUgQ2llbmNpYXMgZGUg
bGEgQWN0aXZpZGFkIEZpc2ljYSB5IGRlbCBEZXBvcnRlLUlORUYsIFVuaXZlcnNpZGFkIFBvbGl0
ZWNuaWNhIGRlIE1hZHJpZCwgTWFkcmlkLCBTcGFpbi48L2F1dGgtYWRkcmVzcz48dGl0bGVzPjx0
aXRsZT5JbXBhY3Qgb2YgcHJlbmF0YWwgZXhlcmNpc2Ugb24gbmVvbmF0YWwgYW5kIGNoaWxkaG9v
ZCBvdXRjb21lczogYSBzeXN0ZW1hdGljIHJldmlldyBhbmQgbWV0YS1hbmFseXNpczwvdGl0bGU+
PHNlY29uZGFyeS10aXRsZT5CciBKIFNwb3J0cyBNZWQ8L3NlY29uZGFyeS10aXRsZT48L3RpdGxl
cz48cGVyaW9kaWNhbD48ZnVsbC10aXRsZT5CciBKIFNwb3J0cyBNZWQ8L2Z1bGwtdGl0bGU+PC9w
ZXJpb2RpY2FsPjxwYWdlcz4xMzg2LTEzOTY8L3BhZ2VzPjx2b2x1bWU+NTI8L3ZvbHVtZT48bnVt
YmVyPjIxPC9udW1iZXI+PGVkaXRpb24+MjAxOC8xMC8yMDwvZWRpdGlvbj48a2V5d29yZHM+PGtl
eXdvcmQ+QmlydGggV2VpZ2h0PC9rZXl3b3JkPjxrZXl3b3JkPipDaGlsZCBEZXZlbG9wbWVudDwv
a2V5d29yZD48a2V5d29yZD4qRXhlcmNpc2U8L2tleXdvcmQ+PGtleXdvcmQ+RmVtYWxlPC9rZXl3
b3JkPjxrZXl3b3JkPkZldGFsIEdyb3d0aCBSZXRhcmRhdGlvbjwva2V5d29yZD48a2V5d29yZD5G
ZXRhbCBNYWNyb3NvbWlhL3ByZXZlbnRpb24gJmFtcDsgY29udHJvbDwva2V5d29yZD48a2V5d29y
ZD5IdW1hbnM8L2tleXdvcmQ+PGtleXdvcmQ+SW5mYW50PC9rZXl3b3JkPjxrZXl3b3JkPkluZmFu
dCwgTmV3Ym9ybjwva2V5d29yZD48a2V5d29yZD4qTWF0ZXJuYWwgRXhwb3N1cmU8L2tleXdvcmQ+
PGtleXdvcmQ+KlByZWduYW5jeTwva2V5d29yZD48a2V5d29yZD5QcmVtYXR1cmUgQmlydGg8L2tl
eXdvcmQ+PGtleXdvcmQ+UmFuZG9taXplZCBDb250cm9sbGVkIFRyaWFscyBhcyBUb3BpYzwva2V5
d29yZD48a2V5d29yZD5leGVyY2lzZTwva2V5d29yZD48a2V5d29yZD5wcmVnbmFuY3k8L2tleXdv
cmQ+PC9rZXl3b3Jkcz48ZGF0ZXM+PHllYXI+MjAxODwveWVhcj48cHViLWRhdGVzPjxkYXRlPk5v
djwvZGF0ZT48L3B1Yi1kYXRlcz48L2RhdGVzPjxpc2JuPjE0NzMtMDQ4MCAoRWxlY3Ryb25pYykm
I3hEOzAzMDYtMzY3NCAoTGlua2luZyk8L2lzYm4+PGFjY2Vzc2lvbi1udW0+MzAzMzc0NjU8L2Fj
Y2Vzc2lvbi1udW0+PHVybHM+PHJlbGF0ZWQtdXJscz48dXJsPmh0dHBzOi8vd3d3Lm5jYmkubmxt
Lm5paC5nb3YvcHVibWVkLzMwMzM3NDY1PC91cmw+PC9yZWxhdGVkLXVybHM+PC91cmxzPjxlbGVj
dHJvbmljLXJlc291cmNlLW51bT4xMC4xMTM2L2Jqc3BvcnRzLTIwMTgtMDk5ODM2PC9lbGVjdHJv
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sz w:val="18"/>
                <w:vertAlign w:val="superscript"/>
              </w:rPr>
              <w:t>479</w:t>
            </w:r>
            <w:r w:rsidR="00D07346">
              <w:rPr>
                <w:noProof/>
              </w:rPr>
              <w:fldChar w:fldCharType="end"/>
            </w:r>
          </w:p>
        </w:tc>
        <w:tc>
          <w:tcPr>
            <w:tcW w:w="2547" w:type="dxa"/>
            <w:shd w:val="clear" w:color="auto" w:fill="auto"/>
          </w:tcPr>
          <w:p w14:paraId="1CB4016B" w14:textId="77777777" w:rsidR="00436056" w:rsidRPr="00B94B87" w:rsidRDefault="00436056" w:rsidP="0002532B">
            <w:pPr>
              <w:pStyle w:val="RCTstable"/>
            </w:pPr>
            <w:r w:rsidRPr="00B94B87">
              <w:t>Mixed BMIs</w:t>
            </w:r>
          </w:p>
        </w:tc>
        <w:tc>
          <w:tcPr>
            <w:tcW w:w="2982" w:type="dxa"/>
            <w:shd w:val="clear" w:color="auto" w:fill="auto"/>
          </w:tcPr>
          <w:p w14:paraId="40A722CA" w14:textId="292EE813" w:rsidR="00436056" w:rsidRPr="00B94B87" w:rsidRDefault="00436056" w:rsidP="00436056">
            <w:pPr>
              <w:pStyle w:val="RCTstable"/>
              <w:jc w:val="center"/>
            </w:pPr>
            <w:r w:rsidRPr="00B94B87">
              <w:t xml:space="preserve">RR </w:t>
            </w:r>
            <w:r>
              <w:t>0.97 (0.83 to 1.13)</w:t>
            </w:r>
          </w:p>
        </w:tc>
        <w:tc>
          <w:tcPr>
            <w:tcW w:w="1134" w:type="dxa"/>
            <w:shd w:val="clear" w:color="auto" w:fill="auto"/>
          </w:tcPr>
          <w:p w14:paraId="66EE6CB5" w14:textId="51E6CDE5" w:rsidR="00436056" w:rsidRPr="00B94B87" w:rsidRDefault="00436056" w:rsidP="0002532B">
            <w:pPr>
              <w:pStyle w:val="RCTstable"/>
              <w:jc w:val="center"/>
            </w:pPr>
            <w:r>
              <w:t>16</w:t>
            </w:r>
          </w:p>
        </w:tc>
      </w:tr>
      <w:tr w:rsidR="00A5540F" w:rsidRPr="00B87066" w14:paraId="26292D6E" w14:textId="77777777" w:rsidTr="00A5540F">
        <w:tc>
          <w:tcPr>
            <w:tcW w:w="2841" w:type="dxa"/>
            <w:shd w:val="clear" w:color="auto" w:fill="auto"/>
          </w:tcPr>
          <w:p w14:paraId="6993581C" w14:textId="1B4FAF04"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54A823B4" w14:textId="77777777" w:rsidR="00A5540F" w:rsidRPr="00B87066" w:rsidRDefault="00A5540F" w:rsidP="00A5540F">
            <w:pPr>
              <w:pStyle w:val="RCTstable"/>
            </w:pPr>
            <w:r>
              <w:t>Mixed BMIs</w:t>
            </w:r>
          </w:p>
        </w:tc>
        <w:tc>
          <w:tcPr>
            <w:tcW w:w="2982" w:type="dxa"/>
            <w:shd w:val="clear" w:color="auto" w:fill="auto"/>
          </w:tcPr>
          <w:p w14:paraId="516EA20E" w14:textId="77777777" w:rsidR="00A5540F" w:rsidRPr="00B87066" w:rsidRDefault="00A5540F" w:rsidP="00A5540F">
            <w:pPr>
              <w:pStyle w:val="RCTstable"/>
              <w:jc w:val="center"/>
            </w:pPr>
            <w:r>
              <w:t>RR 0.92 (0.77 to 1.11)</w:t>
            </w:r>
          </w:p>
        </w:tc>
        <w:tc>
          <w:tcPr>
            <w:tcW w:w="1134" w:type="dxa"/>
            <w:shd w:val="clear" w:color="auto" w:fill="auto"/>
          </w:tcPr>
          <w:p w14:paraId="1C4BE1FB" w14:textId="77777777" w:rsidR="00A5540F" w:rsidRPr="00B87066" w:rsidRDefault="00A5540F" w:rsidP="00A5540F">
            <w:pPr>
              <w:pStyle w:val="RCTstable"/>
              <w:jc w:val="center"/>
            </w:pPr>
            <w:r>
              <w:t>10</w:t>
            </w:r>
          </w:p>
        </w:tc>
      </w:tr>
      <w:tr w:rsidR="00A5540F" w:rsidRPr="00B87066" w14:paraId="72A286CA" w14:textId="77777777" w:rsidTr="00A5540F">
        <w:tc>
          <w:tcPr>
            <w:tcW w:w="2841" w:type="dxa"/>
            <w:shd w:val="clear" w:color="auto" w:fill="auto"/>
          </w:tcPr>
          <w:p w14:paraId="14C0A73C" w14:textId="3393A248" w:rsidR="00A5540F" w:rsidRPr="00C12274" w:rsidRDefault="00A5540F" w:rsidP="002747EA">
            <w:pPr>
              <w:pStyle w:val="RCTstable"/>
              <w:rPr>
                <w:noProof/>
              </w:rPr>
            </w:pPr>
            <w:r w:rsidRPr="00B87066">
              <w:t>Madhuvrata et al 2015</w:t>
            </w:r>
            <w:r w:rsidRPr="00B87066">
              <w:fldChar w:fldCharType="begin"/>
            </w:r>
            <w:r w:rsidR="002747EA">
              <w:instrText xml:space="preserve"> ADDIN EN.CITE &lt;EndNote&gt;&lt;Cite&gt;&lt;Author&gt;Madhuvrata&lt;/Author&gt;&lt;Year&gt;2015&lt;/Year&gt;&lt;RecNum&gt;1184&lt;/RecNum&gt;&lt;DisplayText&gt;&lt;style face="superscript" font="Trebuchet MS" size="9"&gt;420&lt;/style&gt;&lt;/DisplayText&gt;&lt;record&gt;&lt;rec-number&gt;1184&lt;/rec-number&gt;&lt;foreign-keys&gt;&lt;key app="EN" db-id="exvasrfx2dtraoesasxp2szsxa2df502592x" timestamp="1558928434"&gt;1184&lt;/key&gt;&lt;key app="ENWeb" db-id=""&gt;0&lt;/key&gt;&lt;/foreign-keys&gt;&lt;ref-type name="Journal Article"&gt;17&lt;/ref-type&gt;&lt;contributors&gt;&lt;authors&gt;&lt;author&gt;Madhuvrata, P.&lt;/author&gt;&lt;author&gt;Govinden, G.&lt;/author&gt;&lt;author&gt;Bustani, R.&lt;/author&gt;&lt;author&gt;Song, S.&lt;/author&gt;&lt;author&gt;Farrell, T. A.&lt;/author&gt;&lt;/authors&gt;&lt;/contributors&gt;&lt;auth-address&gt;Department of Obstetrics and Gynaecology, Jessop Wing, Sheffield Teaching Hospitals NHS Trust, Sheffield, UK.&amp;#xD;Department of Diabetes and Endocrinology, Sheffield Teaching Hospitals NHS Trust, Sheffield, UK.&lt;/auth-address&gt;&lt;titles&gt;&lt;title&gt;Prevention of gestational diabetes in pregnant women with risk factors for gestational diabetes: a systematic review and meta-analysis of randomised trials&lt;/title&gt;&lt;secondary-title&gt;Obstet Med&lt;/secondary-title&gt;&lt;/titles&gt;&lt;periodical&gt;&lt;full-title&gt;Obstet Med&lt;/full-title&gt;&lt;/periodical&gt;&lt;pages&gt;68-85&lt;/pages&gt;&lt;volume&gt;8&lt;/volume&gt;&lt;number&gt;2&lt;/number&gt;&lt;edition&gt;2015/06/01&lt;/edition&gt;&lt;keywords&gt;&lt;keyword&gt;Gestational diabetes&lt;/keyword&gt;&lt;keyword&gt;diet&lt;/keyword&gt;&lt;keyword&gt;exercise&lt;/keyword&gt;&lt;keyword&gt;lifestyle and pharmacological intervention&lt;/keyword&gt;&lt;keyword&gt;prevention&lt;/keyword&gt;&lt;/keywords&gt;&lt;dates&gt;&lt;year&gt;2015&lt;/year&gt;&lt;pub-dates&gt;&lt;date&gt;Jun&lt;/date&gt;&lt;/pub-dates&gt;&lt;/dates&gt;&lt;isbn&gt;1753-495X (Print)&amp;#xD;1753-495X (Linking)&lt;/isbn&gt;&lt;accession-num&gt;27512459&lt;/accession-num&gt;&lt;urls&gt;&lt;related-urls&gt;&lt;url&gt;https://www.ncbi.nlm.nih.gov/pubmed/27512459&lt;/url&gt;&lt;/related-urls&gt;&lt;/urls&gt;&lt;custom2&gt;PMC4935009&lt;/custom2&gt;&lt;electronic-resource-num&gt;10.1177/1753495X15576673&lt;/electronic-resource-num&gt;&lt;/record&gt;&lt;/Cite&gt;&lt;/EndNote&gt;</w:instrText>
            </w:r>
            <w:r w:rsidRPr="00B87066">
              <w:fldChar w:fldCharType="separate"/>
            </w:r>
            <w:r w:rsidR="002747EA" w:rsidRPr="002747EA">
              <w:rPr>
                <w:noProof/>
                <w:sz w:val="18"/>
                <w:vertAlign w:val="superscript"/>
              </w:rPr>
              <w:t>420</w:t>
            </w:r>
            <w:r w:rsidRPr="00B87066">
              <w:fldChar w:fldCharType="end"/>
            </w:r>
          </w:p>
        </w:tc>
        <w:tc>
          <w:tcPr>
            <w:tcW w:w="2547" w:type="dxa"/>
            <w:shd w:val="clear" w:color="auto" w:fill="auto"/>
          </w:tcPr>
          <w:p w14:paraId="3DDC6D35" w14:textId="77777777" w:rsidR="00A5540F" w:rsidRDefault="00A5540F" w:rsidP="00A5540F">
            <w:pPr>
              <w:pStyle w:val="RCTstable"/>
            </w:pPr>
            <w:r>
              <w:t>Mixed BMIs</w:t>
            </w:r>
          </w:p>
        </w:tc>
        <w:tc>
          <w:tcPr>
            <w:tcW w:w="2982" w:type="dxa"/>
            <w:shd w:val="clear" w:color="auto" w:fill="auto"/>
          </w:tcPr>
          <w:p w14:paraId="4C565DE0" w14:textId="77777777" w:rsidR="00A5540F" w:rsidRDefault="00A5540F" w:rsidP="00A5540F">
            <w:pPr>
              <w:pStyle w:val="RCTstable"/>
              <w:jc w:val="center"/>
            </w:pPr>
            <w:r>
              <w:t>OR 0.99 (0.72 to 1.36)</w:t>
            </w:r>
          </w:p>
        </w:tc>
        <w:tc>
          <w:tcPr>
            <w:tcW w:w="1134" w:type="dxa"/>
            <w:shd w:val="clear" w:color="auto" w:fill="auto"/>
          </w:tcPr>
          <w:p w14:paraId="285C2920" w14:textId="77777777" w:rsidR="00A5540F" w:rsidRDefault="00A5540F" w:rsidP="00A5540F">
            <w:pPr>
              <w:pStyle w:val="RCTstable"/>
              <w:jc w:val="center"/>
            </w:pPr>
            <w:r>
              <w:t>5</w:t>
            </w:r>
          </w:p>
        </w:tc>
      </w:tr>
      <w:tr w:rsidR="00A5540F" w:rsidRPr="00B87066" w14:paraId="57210AF5" w14:textId="77777777" w:rsidTr="00A5540F">
        <w:tc>
          <w:tcPr>
            <w:tcW w:w="2841" w:type="dxa"/>
            <w:tcBorders>
              <w:bottom w:val="single" w:sz="4" w:space="0" w:color="3B3474"/>
            </w:tcBorders>
            <w:shd w:val="clear" w:color="auto" w:fill="auto"/>
          </w:tcPr>
          <w:p w14:paraId="6019EF3D" w14:textId="5F7C29AB" w:rsidR="00A5540F" w:rsidRPr="00B8706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shd w:val="clear" w:color="auto" w:fill="auto"/>
          </w:tcPr>
          <w:p w14:paraId="5DFBDABD" w14:textId="77777777" w:rsidR="00A5540F" w:rsidRDefault="00A5540F" w:rsidP="00A5540F">
            <w:pPr>
              <w:pStyle w:val="RCTstable"/>
            </w:pPr>
            <w:r>
              <w:t>Mixed BMIs</w:t>
            </w:r>
          </w:p>
        </w:tc>
        <w:tc>
          <w:tcPr>
            <w:tcW w:w="2982" w:type="dxa"/>
            <w:tcBorders>
              <w:bottom w:val="single" w:sz="4" w:space="0" w:color="3B3474"/>
            </w:tcBorders>
            <w:shd w:val="clear" w:color="auto" w:fill="auto"/>
          </w:tcPr>
          <w:p w14:paraId="22036DDD" w14:textId="77777777" w:rsidR="00A5540F" w:rsidRDefault="00A5540F" w:rsidP="00A5540F">
            <w:pPr>
              <w:pStyle w:val="RCTstable"/>
              <w:jc w:val="center"/>
            </w:pPr>
            <w:r>
              <w:t>RR 0.89 (0.78 to 1.01)</w:t>
            </w:r>
          </w:p>
        </w:tc>
        <w:tc>
          <w:tcPr>
            <w:tcW w:w="1134" w:type="dxa"/>
            <w:tcBorders>
              <w:bottom w:val="single" w:sz="4" w:space="0" w:color="3B3474"/>
            </w:tcBorders>
            <w:shd w:val="clear" w:color="auto" w:fill="auto"/>
          </w:tcPr>
          <w:p w14:paraId="789A6BA8" w14:textId="77777777" w:rsidR="00A5540F" w:rsidRDefault="00A5540F" w:rsidP="00A5540F">
            <w:pPr>
              <w:pStyle w:val="RCTstable"/>
              <w:jc w:val="center"/>
            </w:pPr>
            <w:r>
              <w:t>9</w:t>
            </w:r>
          </w:p>
        </w:tc>
      </w:tr>
      <w:tr w:rsidR="00A5540F" w:rsidRPr="00B87066" w14:paraId="1EEC2B96" w14:textId="77777777" w:rsidTr="00A5540F">
        <w:tc>
          <w:tcPr>
            <w:tcW w:w="9504" w:type="dxa"/>
            <w:gridSpan w:val="4"/>
            <w:shd w:val="clear" w:color="auto" w:fill="D9E2F3" w:themeFill="accent1" w:themeFillTint="33"/>
          </w:tcPr>
          <w:p w14:paraId="29AE4DD2" w14:textId="77777777" w:rsidR="00A5540F" w:rsidRPr="00B87066" w:rsidRDefault="00A5540F" w:rsidP="00A5540F">
            <w:pPr>
              <w:pStyle w:val="RCTstable"/>
              <w:rPr>
                <w:i/>
              </w:rPr>
            </w:pPr>
            <w:r>
              <w:rPr>
                <w:i/>
              </w:rPr>
              <w:t>Macrosomia &gt; 4,500g</w:t>
            </w:r>
          </w:p>
        </w:tc>
      </w:tr>
      <w:tr w:rsidR="00A5540F" w:rsidRPr="00B87066" w14:paraId="668BB6F1" w14:textId="77777777" w:rsidTr="00A5540F">
        <w:tc>
          <w:tcPr>
            <w:tcW w:w="2841" w:type="dxa"/>
            <w:tcBorders>
              <w:bottom w:val="single" w:sz="4" w:space="0" w:color="3B3474"/>
            </w:tcBorders>
            <w:shd w:val="clear" w:color="auto" w:fill="F2F2F2" w:themeFill="background1" w:themeFillShade="F2"/>
          </w:tcPr>
          <w:p w14:paraId="6550D91B"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69A5C2D0"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172F95E2" w14:textId="77777777" w:rsidR="00A5540F" w:rsidRPr="00FA5063" w:rsidRDefault="00A5540F" w:rsidP="00A5540F">
            <w:pPr>
              <w:pStyle w:val="RCTstable"/>
              <w:jc w:val="center"/>
            </w:pPr>
            <w:r w:rsidRPr="00FA5063">
              <w:t>RR 0.67 (0.46 to 0.97)</w:t>
            </w:r>
          </w:p>
        </w:tc>
        <w:tc>
          <w:tcPr>
            <w:tcW w:w="1134" w:type="dxa"/>
            <w:tcBorders>
              <w:bottom w:val="single" w:sz="4" w:space="0" w:color="3B3474"/>
            </w:tcBorders>
            <w:shd w:val="clear" w:color="auto" w:fill="F2F2F2" w:themeFill="background1" w:themeFillShade="F2"/>
          </w:tcPr>
          <w:p w14:paraId="1795BD4B" w14:textId="77777777" w:rsidR="00A5540F" w:rsidRPr="00B87066" w:rsidRDefault="00A5540F" w:rsidP="00A5540F">
            <w:pPr>
              <w:pStyle w:val="RCTstable"/>
              <w:jc w:val="center"/>
            </w:pPr>
            <w:r>
              <w:t>5</w:t>
            </w:r>
          </w:p>
        </w:tc>
      </w:tr>
      <w:tr w:rsidR="00A5540F" w:rsidRPr="00B87066" w14:paraId="12050ECA" w14:textId="77777777" w:rsidTr="00A5540F">
        <w:tc>
          <w:tcPr>
            <w:tcW w:w="2841" w:type="dxa"/>
            <w:tcBorders>
              <w:bottom w:val="single" w:sz="4" w:space="0" w:color="3B3474"/>
            </w:tcBorders>
            <w:shd w:val="clear" w:color="auto" w:fill="auto"/>
          </w:tcPr>
          <w:p w14:paraId="18F62D72" w14:textId="7DC0D659" w:rsidR="00A5540F" w:rsidRPr="00B8706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shd w:val="clear" w:color="auto" w:fill="auto"/>
          </w:tcPr>
          <w:p w14:paraId="373A257D" w14:textId="77777777" w:rsidR="00A5540F" w:rsidRDefault="00A5540F" w:rsidP="00A5540F">
            <w:pPr>
              <w:pStyle w:val="RCTstable"/>
            </w:pPr>
            <w:r>
              <w:t>Mixed BMIs</w:t>
            </w:r>
          </w:p>
        </w:tc>
        <w:tc>
          <w:tcPr>
            <w:tcW w:w="2982" w:type="dxa"/>
            <w:tcBorders>
              <w:bottom w:val="single" w:sz="4" w:space="0" w:color="3B3474"/>
            </w:tcBorders>
            <w:shd w:val="clear" w:color="auto" w:fill="auto"/>
          </w:tcPr>
          <w:p w14:paraId="4CBCF34B" w14:textId="77777777" w:rsidR="00A5540F" w:rsidRDefault="00A5540F" w:rsidP="00A5540F">
            <w:pPr>
              <w:pStyle w:val="RCTstable"/>
              <w:jc w:val="center"/>
            </w:pPr>
            <w:r>
              <w:t>RR 0.63 (0.42 to 94)</w:t>
            </w:r>
          </w:p>
        </w:tc>
        <w:tc>
          <w:tcPr>
            <w:tcW w:w="1134" w:type="dxa"/>
            <w:tcBorders>
              <w:bottom w:val="single" w:sz="4" w:space="0" w:color="3B3474"/>
            </w:tcBorders>
            <w:shd w:val="clear" w:color="auto" w:fill="auto"/>
          </w:tcPr>
          <w:p w14:paraId="07CE57A5" w14:textId="77777777" w:rsidR="00A5540F" w:rsidRDefault="00A5540F" w:rsidP="00A5540F">
            <w:pPr>
              <w:pStyle w:val="RCTstable"/>
              <w:jc w:val="center"/>
            </w:pPr>
            <w:r>
              <w:t>4</w:t>
            </w:r>
          </w:p>
        </w:tc>
      </w:tr>
      <w:tr w:rsidR="00A5540F" w:rsidRPr="00B87066" w14:paraId="2F355098" w14:textId="77777777" w:rsidTr="00A5540F">
        <w:tc>
          <w:tcPr>
            <w:tcW w:w="9504" w:type="dxa"/>
            <w:gridSpan w:val="4"/>
            <w:shd w:val="clear" w:color="auto" w:fill="D9E2F3" w:themeFill="accent1" w:themeFillTint="33"/>
          </w:tcPr>
          <w:p w14:paraId="6715178C" w14:textId="77777777" w:rsidR="00A5540F" w:rsidRPr="00B87066" w:rsidRDefault="00A5540F" w:rsidP="00A5540F">
            <w:pPr>
              <w:pStyle w:val="RCTstable"/>
              <w:keepNext/>
              <w:rPr>
                <w:i/>
              </w:rPr>
            </w:pPr>
            <w:r>
              <w:rPr>
                <w:i/>
              </w:rPr>
              <w:t>Small for gestational age</w:t>
            </w:r>
          </w:p>
        </w:tc>
      </w:tr>
      <w:tr w:rsidR="00A5540F" w:rsidRPr="00B87066" w14:paraId="26A74DA6" w14:textId="77777777" w:rsidTr="00A5540F">
        <w:tc>
          <w:tcPr>
            <w:tcW w:w="2841" w:type="dxa"/>
            <w:tcBorders>
              <w:bottom w:val="single" w:sz="4" w:space="0" w:color="3B3474"/>
            </w:tcBorders>
            <w:shd w:val="clear" w:color="auto" w:fill="F2F2F2" w:themeFill="background1" w:themeFillShade="F2"/>
          </w:tcPr>
          <w:p w14:paraId="2B619EED" w14:textId="77777777" w:rsidR="00A5540F" w:rsidRPr="00B87066" w:rsidRDefault="00A5540F" w:rsidP="00A5540F">
            <w:pPr>
              <w:pStyle w:val="RCTstable"/>
              <w:keepNext/>
            </w:pPr>
            <w:r w:rsidRPr="00B87066">
              <w:t>Current review</w:t>
            </w:r>
          </w:p>
        </w:tc>
        <w:tc>
          <w:tcPr>
            <w:tcW w:w="2547" w:type="dxa"/>
            <w:tcBorders>
              <w:bottom w:val="single" w:sz="4" w:space="0" w:color="3B3474"/>
            </w:tcBorders>
            <w:shd w:val="clear" w:color="auto" w:fill="F2F2F2" w:themeFill="background1" w:themeFillShade="F2"/>
          </w:tcPr>
          <w:p w14:paraId="5B1ABD6B" w14:textId="77777777" w:rsidR="00A5540F" w:rsidRPr="00B87066" w:rsidRDefault="00A5540F" w:rsidP="00A5540F">
            <w:pPr>
              <w:pStyle w:val="RCTstable"/>
              <w:keepNext/>
            </w:pPr>
            <w:r w:rsidRPr="00B87066">
              <w:t>Mixed BMIs</w:t>
            </w:r>
          </w:p>
        </w:tc>
        <w:tc>
          <w:tcPr>
            <w:tcW w:w="2982" w:type="dxa"/>
            <w:tcBorders>
              <w:bottom w:val="single" w:sz="4" w:space="0" w:color="3B3474"/>
            </w:tcBorders>
            <w:shd w:val="clear" w:color="auto" w:fill="F2F2F2" w:themeFill="background1" w:themeFillShade="F2"/>
          </w:tcPr>
          <w:p w14:paraId="2BE18B1D" w14:textId="228FAD83" w:rsidR="00A5540F" w:rsidRPr="001917FB" w:rsidRDefault="00A5540F" w:rsidP="001E2888">
            <w:pPr>
              <w:pStyle w:val="RCTstable"/>
              <w:keepNext/>
              <w:jc w:val="center"/>
            </w:pPr>
            <w:r w:rsidRPr="001917FB">
              <w:t xml:space="preserve">RR </w:t>
            </w:r>
            <w:r w:rsidR="001E2888">
              <w:t>1.</w:t>
            </w:r>
            <w:r w:rsidR="00E01ACF">
              <w:t>05</w:t>
            </w:r>
            <w:r w:rsidR="001E2888">
              <w:t xml:space="preserve"> (0.</w:t>
            </w:r>
            <w:r w:rsidR="00E01ACF">
              <w:t>89</w:t>
            </w:r>
            <w:r w:rsidRPr="001917FB">
              <w:t xml:space="preserve"> to 1.</w:t>
            </w:r>
            <w:r w:rsidR="00E01ACF">
              <w:t>25</w:t>
            </w:r>
            <w:r w:rsidRPr="001917FB">
              <w:t>)</w:t>
            </w:r>
          </w:p>
        </w:tc>
        <w:tc>
          <w:tcPr>
            <w:tcW w:w="1134" w:type="dxa"/>
            <w:tcBorders>
              <w:bottom w:val="single" w:sz="4" w:space="0" w:color="3B3474"/>
            </w:tcBorders>
            <w:shd w:val="clear" w:color="auto" w:fill="F2F2F2" w:themeFill="background1" w:themeFillShade="F2"/>
          </w:tcPr>
          <w:p w14:paraId="06A297D4" w14:textId="7D004524" w:rsidR="00A5540F" w:rsidRPr="00B87066" w:rsidRDefault="00A5540F" w:rsidP="00A5540F">
            <w:pPr>
              <w:pStyle w:val="RCTstable"/>
              <w:keepNext/>
              <w:jc w:val="center"/>
            </w:pPr>
            <w:r>
              <w:t>1</w:t>
            </w:r>
            <w:r w:rsidR="00E01ACF">
              <w:t>6</w:t>
            </w:r>
          </w:p>
        </w:tc>
      </w:tr>
      <w:tr w:rsidR="00A5540F" w:rsidRPr="00B87066" w14:paraId="2456CFD8" w14:textId="77777777" w:rsidTr="00A5540F">
        <w:tc>
          <w:tcPr>
            <w:tcW w:w="2841" w:type="dxa"/>
            <w:vMerge w:val="restart"/>
          </w:tcPr>
          <w:p w14:paraId="7B5AA488" w14:textId="122BC97E" w:rsidR="00A5540F" w:rsidRPr="00B87066" w:rsidRDefault="00A5540F" w:rsidP="002747EA">
            <w:pPr>
              <w:pStyle w:val="RCTstable"/>
              <w:keepNext/>
            </w:pPr>
            <w:r w:rsidRPr="00B87066">
              <w:rPr>
                <w:noProof/>
              </w:rPr>
              <w:t>International Weight Management in Pregnancy Collaborative 2017</w:t>
            </w:r>
            <w:r w:rsidRPr="00B87066">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Pr="00B87066">
              <w:rPr>
                <w:noProof/>
              </w:rPr>
            </w:r>
            <w:r w:rsidRPr="00B87066">
              <w:rPr>
                <w:noProof/>
              </w:rPr>
              <w:fldChar w:fldCharType="separate"/>
            </w:r>
            <w:r w:rsidR="002747EA" w:rsidRPr="002747EA">
              <w:rPr>
                <w:noProof/>
                <w:sz w:val="18"/>
                <w:vertAlign w:val="superscript"/>
              </w:rPr>
              <w:t>415</w:t>
            </w:r>
            <w:r w:rsidRPr="00B87066">
              <w:rPr>
                <w:noProof/>
              </w:rPr>
              <w:fldChar w:fldCharType="end"/>
            </w:r>
            <w:r w:rsidRPr="00B87066">
              <w:rPr>
                <w:noProof/>
              </w:rPr>
              <w:t xml:space="preserve"> </w:t>
            </w:r>
          </w:p>
        </w:tc>
        <w:tc>
          <w:tcPr>
            <w:tcW w:w="2547" w:type="dxa"/>
          </w:tcPr>
          <w:p w14:paraId="5F66DD55" w14:textId="77777777" w:rsidR="00A5540F" w:rsidRPr="00B87066" w:rsidRDefault="00A5540F" w:rsidP="00A5540F">
            <w:pPr>
              <w:pStyle w:val="RCTstable"/>
              <w:keepNext/>
            </w:pPr>
            <w:r w:rsidRPr="00B87066">
              <w:t>Mixed BMIs; IPD</w:t>
            </w:r>
          </w:p>
        </w:tc>
        <w:tc>
          <w:tcPr>
            <w:tcW w:w="2982" w:type="dxa"/>
          </w:tcPr>
          <w:p w14:paraId="0845DD53" w14:textId="77777777" w:rsidR="00A5540F" w:rsidRPr="00B87066" w:rsidRDefault="00A5540F" w:rsidP="00A5540F">
            <w:pPr>
              <w:pStyle w:val="RCTstable"/>
              <w:keepNext/>
              <w:jc w:val="center"/>
              <w:rPr>
                <w:rStyle w:val="block"/>
                <w:bCs/>
              </w:rPr>
            </w:pPr>
            <w:r>
              <w:t>OR 1.08 (0.92 to 1.28)</w:t>
            </w:r>
          </w:p>
        </w:tc>
        <w:tc>
          <w:tcPr>
            <w:tcW w:w="1134" w:type="dxa"/>
          </w:tcPr>
          <w:p w14:paraId="7B486BA7" w14:textId="77777777" w:rsidR="00A5540F" w:rsidRPr="00B87066" w:rsidRDefault="00A5540F" w:rsidP="00A5540F">
            <w:pPr>
              <w:pStyle w:val="RCTstable"/>
              <w:keepNext/>
              <w:jc w:val="center"/>
            </w:pPr>
            <w:r>
              <w:t>16</w:t>
            </w:r>
          </w:p>
        </w:tc>
      </w:tr>
      <w:tr w:rsidR="00A5540F" w:rsidRPr="00B87066" w14:paraId="1060897B" w14:textId="77777777" w:rsidTr="00A5540F">
        <w:tc>
          <w:tcPr>
            <w:tcW w:w="2841" w:type="dxa"/>
            <w:vMerge/>
          </w:tcPr>
          <w:p w14:paraId="317053C8" w14:textId="77777777" w:rsidR="00A5540F" w:rsidRPr="00B87066" w:rsidRDefault="00A5540F" w:rsidP="00A5540F">
            <w:pPr>
              <w:pStyle w:val="RCTstable"/>
              <w:keepNext/>
            </w:pPr>
          </w:p>
        </w:tc>
        <w:tc>
          <w:tcPr>
            <w:tcW w:w="2547" w:type="dxa"/>
          </w:tcPr>
          <w:p w14:paraId="3D4AEFFB" w14:textId="77777777" w:rsidR="00A5540F" w:rsidRPr="00B87066" w:rsidRDefault="00A5540F" w:rsidP="00A5540F">
            <w:pPr>
              <w:pStyle w:val="RCTstable"/>
              <w:keepNext/>
            </w:pPr>
            <w:r w:rsidRPr="00B87066">
              <w:t>Mixed BMIs; IPD and non-IPD</w:t>
            </w:r>
          </w:p>
        </w:tc>
        <w:tc>
          <w:tcPr>
            <w:tcW w:w="2982" w:type="dxa"/>
          </w:tcPr>
          <w:p w14:paraId="7EE53F3B" w14:textId="77777777" w:rsidR="00A5540F" w:rsidRPr="00B87066" w:rsidRDefault="00A5540F" w:rsidP="00A5540F">
            <w:pPr>
              <w:pStyle w:val="RCTstable"/>
              <w:keepNext/>
              <w:jc w:val="center"/>
              <w:rPr>
                <w:rStyle w:val="block"/>
                <w:bCs/>
              </w:rPr>
            </w:pPr>
            <w:r>
              <w:rPr>
                <w:rFonts w:eastAsiaTheme="majorEastAsia"/>
              </w:rPr>
              <w:t>OR 1.08 (0.93 to 1.27)</w:t>
            </w:r>
          </w:p>
        </w:tc>
        <w:tc>
          <w:tcPr>
            <w:tcW w:w="1134" w:type="dxa"/>
          </w:tcPr>
          <w:p w14:paraId="3BB7AC7A" w14:textId="77777777" w:rsidR="00A5540F" w:rsidRPr="00B87066" w:rsidRDefault="00A5540F" w:rsidP="00A5540F">
            <w:pPr>
              <w:pStyle w:val="RCTstable"/>
              <w:keepNext/>
              <w:jc w:val="center"/>
            </w:pPr>
            <w:r>
              <w:t>20</w:t>
            </w:r>
          </w:p>
        </w:tc>
      </w:tr>
      <w:tr w:rsidR="00A5540F" w:rsidRPr="00C12274" w14:paraId="55925AC8" w14:textId="77777777" w:rsidTr="00A5540F">
        <w:tc>
          <w:tcPr>
            <w:tcW w:w="2841" w:type="dxa"/>
          </w:tcPr>
          <w:p w14:paraId="62870042" w14:textId="4F96B404"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Pr>
          <w:p w14:paraId="7021D63D" w14:textId="77777777" w:rsidR="00A5540F" w:rsidRDefault="00A5540F" w:rsidP="00A5540F">
            <w:pPr>
              <w:pStyle w:val="RCTstable"/>
            </w:pPr>
            <w:r>
              <w:t>Mixed BMIs</w:t>
            </w:r>
          </w:p>
        </w:tc>
        <w:tc>
          <w:tcPr>
            <w:tcW w:w="2982" w:type="dxa"/>
          </w:tcPr>
          <w:p w14:paraId="5D24E270" w14:textId="77777777" w:rsidR="00A5540F" w:rsidRDefault="00A5540F" w:rsidP="00A5540F">
            <w:pPr>
              <w:pStyle w:val="RCTstable"/>
              <w:jc w:val="center"/>
            </w:pPr>
            <w:r>
              <w:t>RR 1.20 (0.95 to 1.52)</w:t>
            </w:r>
          </w:p>
        </w:tc>
        <w:tc>
          <w:tcPr>
            <w:tcW w:w="1134" w:type="dxa"/>
          </w:tcPr>
          <w:p w14:paraId="6B0FBB53" w14:textId="77777777" w:rsidR="00A5540F" w:rsidRDefault="00A5540F" w:rsidP="00A5540F">
            <w:pPr>
              <w:pStyle w:val="RCTstable"/>
              <w:jc w:val="center"/>
            </w:pPr>
            <w:r>
              <w:t>6</w:t>
            </w:r>
          </w:p>
        </w:tc>
      </w:tr>
      <w:tr w:rsidR="00A5540F" w:rsidRPr="00C12274" w14:paraId="4BA2CDB2" w14:textId="77777777" w:rsidTr="00A5540F">
        <w:tc>
          <w:tcPr>
            <w:tcW w:w="2841" w:type="dxa"/>
          </w:tcPr>
          <w:p w14:paraId="6AB19FC4" w14:textId="5A9A974F" w:rsidR="00A5540F" w:rsidRPr="00916B76" w:rsidRDefault="00A5540F" w:rsidP="002747EA">
            <w:pPr>
              <w:pStyle w:val="RCTstable"/>
            </w:pPr>
            <w:r w:rsidRPr="00916B76">
              <w:t>Thangaratinam</w:t>
            </w:r>
            <w:r>
              <w:t xml:space="preserve"> 2012a</w:t>
            </w:r>
            <w: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 </w:instrText>
            </w:r>
            <w:r w:rsidR="002747EA">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411</w:t>
            </w:r>
            <w:r>
              <w:fldChar w:fldCharType="end"/>
            </w:r>
          </w:p>
        </w:tc>
        <w:tc>
          <w:tcPr>
            <w:tcW w:w="2547" w:type="dxa"/>
          </w:tcPr>
          <w:p w14:paraId="3B4B1EBC" w14:textId="77777777" w:rsidR="00A5540F" w:rsidRPr="00C12274" w:rsidRDefault="00A5540F" w:rsidP="00A5540F">
            <w:pPr>
              <w:pStyle w:val="RCTstable"/>
            </w:pPr>
            <w:r>
              <w:t>Mixed BMIs</w:t>
            </w:r>
          </w:p>
        </w:tc>
        <w:tc>
          <w:tcPr>
            <w:tcW w:w="2982" w:type="dxa"/>
          </w:tcPr>
          <w:p w14:paraId="4BE6E7CA" w14:textId="77777777" w:rsidR="00A5540F" w:rsidRPr="00586D62" w:rsidRDefault="00A5540F" w:rsidP="00A5540F">
            <w:pPr>
              <w:pStyle w:val="RCTstable"/>
              <w:jc w:val="center"/>
            </w:pPr>
            <w:r>
              <w:t>RR 0.76</w:t>
            </w:r>
            <w:r w:rsidRPr="00586D62">
              <w:t xml:space="preserve"> (</w:t>
            </w:r>
            <w:r>
              <w:t>0.39 to 1.48</w:t>
            </w:r>
            <w:r w:rsidRPr="00586D62">
              <w:t>)</w:t>
            </w:r>
          </w:p>
        </w:tc>
        <w:tc>
          <w:tcPr>
            <w:tcW w:w="1134" w:type="dxa"/>
          </w:tcPr>
          <w:p w14:paraId="745713E2" w14:textId="77777777" w:rsidR="00A5540F" w:rsidRPr="008C6CCE" w:rsidRDefault="00A5540F" w:rsidP="00A5540F">
            <w:pPr>
              <w:pStyle w:val="RCTstable"/>
              <w:jc w:val="center"/>
            </w:pPr>
            <w:r>
              <w:t>2</w:t>
            </w:r>
          </w:p>
        </w:tc>
      </w:tr>
      <w:tr w:rsidR="00A5540F" w:rsidRPr="00C12274" w14:paraId="0854031C" w14:textId="77777777" w:rsidTr="00A5540F">
        <w:tc>
          <w:tcPr>
            <w:tcW w:w="2841" w:type="dxa"/>
            <w:tcBorders>
              <w:bottom w:val="single" w:sz="4" w:space="0" w:color="3B3474"/>
            </w:tcBorders>
          </w:tcPr>
          <w:p w14:paraId="3FBA0499" w14:textId="0FC4A911" w:rsidR="00A5540F" w:rsidRPr="00916B76" w:rsidRDefault="00A5540F" w:rsidP="002747EA">
            <w:pPr>
              <w:pStyle w:val="RCTstable"/>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Borders>
              <w:bottom w:val="single" w:sz="4" w:space="0" w:color="3B3474"/>
            </w:tcBorders>
          </w:tcPr>
          <w:p w14:paraId="5E4F40BD" w14:textId="77777777" w:rsidR="00A5540F" w:rsidRDefault="00A5540F" w:rsidP="00A5540F">
            <w:pPr>
              <w:pStyle w:val="RCTstable"/>
            </w:pPr>
            <w:r>
              <w:t>Mixed BMIs</w:t>
            </w:r>
          </w:p>
        </w:tc>
        <w:tc>
          <w:tcPr>
            <w:tcW w:w="2982" w:type="dxa"/>
            <w:tcBorders>
              <w:bottom w:val="single" w:sz="4" w:space="0" w:color="3B3474"/>
            </w:tcBorders>
          </w:tcPr>
          <w:p w14:paraId="217386BA" w14:textId="77777777" w:rsidR="00A5540F" w:rsidRDefault="00A5540F" w:rsidP="00A5540F">
            <w:pPr>
              <w:pStyle w:val="RCTstable"/>
              <w:jc w:val="center"/>
            </w:pPr>
            <w:r>
              <w:t>RR 0.88 (0.53 to 1.44)</w:t>
            </w:r>
          </w:p>
        </w:tc>
        <w:tc>
          <w:tcPr>
            <w:tcW w:w="1134" w:type="dxa"/>
            <w:tcBorders>
              <w:bottom w:val="single" w:sz="4" w:space="0" w:color="3B3474"/>
            </w:tcBorders>
          </w:tcPr>
          <w:p w14:paraId="68044EE8" w14:textId="77777777" w:rsidR="00A5540F" w:rsidRDefault="00A5540F" w:rsidP="00A5540F">
            <w:pPr>
              <w:pStyle w:val="RCTstable"/>
              <w:jc w:val="center"/>
            </w:pPr>
            <w:r>
              <w:t>4</w:t>
            </w:r>
          </w:p>
        </w:tc>
      </w:tr>
      <w:tr w:rsidR="00A5540F" w:rsidRPr="00B87066" w14:paraId="401DD659" w14:textId="77777777" w:rsidTr="00A5540F">
        <w:tc>
          <w:tcPr>
            <w:tcW w:w="9504" w:type="dxa"/>
            <w:gridSpan w:val="4"/>
            <w:shd w:val="clear" w:color="auto" w:fill="D9E2F3" w:themeFill="accent1" w:themeFillTint="33"/>
          </w:tcPr>
          <w:p w14:paraId="1A080112" w14:textId="77777777" w:rsidR="00A5540F" w:rsidRPr="00B87066" w:rsidRDefault="00A5540F" w:rsidP="00A5540F">
            <w:pPr>
              <w:pStyle w:val="RCTstable"/>
              <w:rPr>
                <w:i/>
              </w:rPr>
            </w:pPr>
            <w:r>
              <w:rPr>
                <w:i/>
              </w:rPr>
              <w:t>Large for gestational age</w:t>
            </w:r>
          </w:p>
        </w:tc>
      </w:tr>
      <w:tr w:rsidR="00A5540F" w:rsidRPr="00B87066" w14:paraId="1BE7DD92" w14:textId="77777777" w:rsidTr="00A5540F">
        <w:tc>
          <w:tcPr>
            <w:tcW w:w="2841" w:type="dxa"/>
            <w:tcBorders>
              <w:bottom w:val="single" w:sz="4" w:space="0" w:color="3B3474"/>
            </w:tcBorders>
            <w:shd w:val="clear" w:color="auto" w:fill="F2F2F2" w:themeFill="background1" w:themeFillShade="F2"/>
          </w:tcPr>
          <w:p w14:paraId="53B4E0C2" w14:textId="77777777" w:rsidR="00A5540F" w:rsidRPr="00B87066" w:rsidRDefault="00A5540F" w:rsidP="00A5540F">
            <w:pPr>
              <w:pStyle w:val="RCTstable"/>
            </w:pPr>
            <w:r w:rsidRPr="00B87066">
              <w:t>Current review</w:t>
            </w:r>
          </w:p>
        </w:tc>
        <w:tc>
          <w:tcPr>
            <w:tcW w:w="2547" w:type="dxa"/>
            <w:tcBorders>
              <w:bottom w:val="single" w:sz="4" w:space="0" w:color="3B3474"/>
            </w:tcBorders>
            <w:shd w:val="clear" w:color="auto" w:fill="F2F2F2" w:themeFill="background1" w:themeFillShade="F2"/>
          </w:tcPr>
          <w:p w14:paraId="5D1F56CE" w14:textId="77777777" w:rsidR="00A5540F" w:rsidRPr="00B87066" w:rsidRDefault="00A5540F" w:rsidP="00A5540F">
            <w:pPr>
              <w:pStyle w:val="RCTstable"/>
            </w:pPr>
            <w:r w:rsidRPr="00B87066">
              <w:t>Mixed BMIs</w:t>
            </w:r>
          </w:p>
        </w:tc>
        <w:tc>
          <w:tcPr>
            <w:tcW w:w="2982" w:type="dxa"/>
            <w:tcBorders>
              <w:bottom w:val="single" w:sz="4" w:space="0" w:color="3B3474"/>
            </w:tcBorders>
            <w:shd w:val="clear" w:color="auto" w:fill="F2F2F2" w:themeFill="background1" w:themeFillShade="F2"/>
          </w:tcPr>
          <w:p w14:paraId="1651FEFF" w14:textId="7D61ABB1" w:rsidR="00A5540F" w:rsidRPr="001917FB" w:rsidRDefault="00A5540F" w:rsidP="00A5540F">
            <w:pPr>
              <w:pStyle w:val="RCTstable"/>
              <w:jc w:val="center"/>
            </w:pPr>
            <w:r w:rsidRPr="001917FB">
              <w:t>RR 0.</w:t>
            </w:r>
            <w:r w:rsidR="001E2888">
              <w:t>89 (0.7</w:t>
            </w:r>
            <w:r w:rsidR="00E01ACF">
              <w:t>9</w:t>
            </w:r>
            <w:r w:rsidR="001E2888">
              <w:t xml:space="preserve"> to 1.0</w:t>
            </w:r>
            <w:r w:rsidR="00E01ACF">
              <w:t>0</w:t>
            </w:r>
            <w:r w:rsidRPr="001917FB">
              <w:t>)</w:t>
            </w:r>
          </w:p>
        </w:tc>
        <w:tc>
          <w:tcPr>
            <w:tcW w:w="1134" w:type="dxa"/>
            <w:tcBorders>
              <w:bottom w:val="single" w:sz="4" w:space="0" w:color="3B3474"/>
            </w:tcBorders>
            <w:shd w:val="clear" w:color="auto" w:fill="F2F2F2" w:themeFill="background1" w:themeFillShade="F2"/>
          </w:tcPr>
          <w:p w14:paraId="62B02E2A" w14:textId="78B2B328" w:rsidR="00A5540F" w:rsidRPr="00B87066" w:rsidRDefault="00E01ACF" w:rsidP="00A5540F">
            <w:pPr>
              <w:pStyle w:val="RCTstable"/>
              <w:jc w:val="center"/>
            </w:pPr>
            <w:r>
              <w:t>22</w:t>
            </w:r>
          </w:p>
        </w:tc>
      </w:tr>
      <w:tr w:rsidR="00A5540F" w:rsidRPr="00B87066" w14:paraId="1114C711" w14:textId="77777777" w:rsidTr="00A5540F">
        <w:tc>
          <w:tcPr>
            <w:tcW w:w="2841" w:type="dxa"/>
            <w:shd w:val="clear" w:color="auto" w:fill="auto"/>
          </w:tcPr>
          <w:p w14:paraId="292BFB7D" w14:textId="1E6EAB34" w:rsidR="00A5540F" w:rsidRPr="00B87066" w:rsidRDefault="00A5540F" w:rsidP="002747EA">
            <w:pPr>
              <w:pStyle w:val="RCTstable"/>
            </w:pPr>
            <w:r w:rsidRPr="00B87066">
              <w:t>Madhuvrata et al 2015</w:t>
            </w:r>
            <w:r w:rsidRPr="00B87066">
              <w:fldChar w:fldCharType="begin"/>
            </w:r>
            <w:r w:rsidR="002747EA">
              <w:instrText xml:space="preserve"> ADDIN EN.CITE &lt;EndNote&gt;&lt;Cite&gt;&lt;Author&gt;Madhuvrata&lt;/Author&gt;&lt;Year&gt;2015&lt;/Year&gt;&lt;RecNum&gt;1184&lt;/RecNum&gt;&lt;DisplayText&gt;&lt;style face="superscript" font="Trebuchet MS" size="9"&gt;420&lt;/style&gt;&lt;/DisplayText&gt;&lt;record&gt;&lt;rec-number&gt;1184&lt;/rec-number&gt;&lt;foreign-keys&gt;&lt;key app="EN" db-id="exvasrfx2dtraoesasxp2szsxa2df502592x" timestamp="1558928434"&gt;1184&lt;/key&gt;&lt;key app="ENWeb" db-id=""&gt;0&lt;/key&gt;&lt;/foreign-keys&gt;&lt;ref-type name="Journal Article"&gt;17&lt;/ref-type&gt;&lt;contributors&gt;&lt;authors&gt;&lt;author&gt;Madhuvrata, P.&lt;/author&gt;&lt;author&gt;Govinden, G.&lt;/author&gt;&lt;author&gt;Bustani, R.&lt;/author&gt;&lt;author&gt;Song, S.&lt;/author&gt;&lt;author&gt;Farrell, T. A.&lt;/author&gt;&lt;/authors&gt;&lt;/contributors&gt;&lt;auth-address&gt;Department of Obstetrics and Gynaecology, Jessop Wing, Sheffield Teaching Hospitals NHS Trust, Sheffield, UK.&amp;#xD;Department of Diabetes and Endocrinology, Sheffield Teaching Hospitals NHS Trust, Sheffield, UK.&lt;/auth-address&gt;&lt;titles&gt;&lt;title&gt;Prevention of gestational diabetes in pregnant women with risk factors for gestational diabetes: a systematic review and meta-analysis of randomised trials&lt;/title&gt;&lt;secondary-title&gt;Obstet Med&lt;/secondary-title&gt;&lt;/titles&gt;&lt;periodical&gt;&lt;full-title&gt;Obstet Med&lt;/full-title&gt;&lt;/periodical&gt;&lt;pages&gt;68-85&lt;/pages&gt;&lt;volume&gt;8&lt;/volume&gt;&lt;number&gt;2&lt;/number&gt;&lt;edition&gt;2015/06/01&lt;/edition&gt;&lt;keywords&gt;&lt;keyword&gt;Gestational diabetes&lt;/keyword&gt;&lt;keyword&gt;diet&lt;/keyword&gt;&lt;keyword&gt;exercise&lt;/keyword&gt;&lt;keyword&gt;lifestyle and pharmacological intervention&lt;/keyword&gt;&lt;keyword&gt;prevention&lt;/keyword&gt;&lt;/keywords&gt;&lt;dates&gt;&lt;year&gt;2015&lt;/year&gt;&lt;pub-dates&gt;&lt;date&gt;Jun&lt;/date&gt;&lt;/pub-dates&gt;&lt;/dates&gt;&lt;isbn&gt;1753-495X (Print)&amp;#xD;1753-495X (Linking)&lt;/isbn&gt;&lt;accession-num&gt;27512459&lt;/accession-num&gt;&lt;urls&gt;&lt;related-urls&gt;&lt;url&gt;https://www.ncbi.nlm.nih.gov/pubmed/27512459&lt;/url&gt;&lt;/related-urls&gt;&lt;/urls&gt;&lt;custom2&gt;PMC4935009&lt;/custom2&gt;&lt;electronic-resource-num&gt;10.1177/1753495X15576673&lt;/electronic-resource-num&gt;&lt;/record&gt;&lt;/Cite&gt;&lt;/EndNote&gt;</w:instrText>
            </w:r>
            <w:r w:rsidRPr="00B87066">
              <w:fldChar w:fldCharType="separate"/>
            </w:r>
            <w:r w:rsidR="002747EA" w:rsidRPr="002747EA">
              <w:rPr>
                <w:noProof/>
                <w:sz w:val="18"/>
                <w:vertAlign w:val="superscript"/>
              </w:rPr>
              <w:t>420</w:t>
            </w:r>
            <w:r w:rsidRPr="00B87066">
              <w:fldChar w:fldCharType="end"/>
            </w:r>
          </w:p>
        </w:tc>
        <w:tc>
          <w:tcPr>
            <w:tcW w:w="2547" w:type="dxa"/>
            <w:shd w:val="clear" w:color="auto" w:fill="auto"/>
          </w:tcPr>
          <w:p w14:paraId="175BAEE6" w14:textId="77777777" w:rsidR="00A5540F" w:rsidRPr="00B87066" w:rsidRDefault="00A5540F" w:rsidP="00A5540F">
            <w:pPr>
              <w:pStyle w:val="RCTstable"/>
            </w:pPr>
            <w:r>
              <w:t>Mixed BMIs</w:t>
            </w:r>
          </w:p>
        </w:tc>
        <w:tc>
          <w:tcPr>
            <w:tcW w:w="2982" w:type="dxa"/>
            <w:shd w:val="clear" w:color="auto" w:fill="auto"/>
          </w:tcPr>
          <w:p w14:paraId="335161C8" w14:textId="77777777" w:rsidR="00A5540F" w:rsidRPr="00B87066" w:rsidRDefault="00A5540F" w:rsidP="00A5540F">
            <w:pPr>
              <w:pStyle w:val="RCTstable"/>
              <w:jc w:val="center"/>
            </w:pPr>
            <w:r>
              <w:t>OR 0.88 (0.38 to 2.02)</w:t>
            </w:r>
          </w:p>
        </w:tc>
        <w:tc>
          <w:tcPr>
            <w:tcW w:w="1134" w:type="dxa"/>
            <w:shd w:val="clear" w:color="auto" w:fill="auto"/>
          </w:tcPr>
          <w:p w14:paraId="54210049" w14:textId="77777777" w:rsidR="00A5540F" w:rsidRPr="00B87066" w:rsidRDefault="00A5540F" w:rsidP="00A5540F">
            <w:pPr>
              <w:pStyle w:val="RCTstable"/>
              <w:jc w:val="center"/>
            </w:pPr>
            <w:r>
              <w:t>2</w:t>
            </w:r>
          </w:p>
        </w:tc>
      </w:tr>
      <w:tr w:rsidR="00A02D85" w:rsidRPr="00C12274" w14:paraId="7798C730" w14:textId="77777777" w:rsidTr="006A7633">
        <w:tc>
          <w:tcPr>
            <w:tcW w:w="2841" w:type="dxa"/>
          </w:tcPr>
          <w:p w14:paraId="6D7EB693" w14:textId="029853F4" w:rsidR="00A02D85" w:rsidRPr="00916B76" w:rsidRDefault="00A02D85" w:rsidP="002747EA">
            <w:pPr>
              <w:pStyle w:val="RCTstable"/>
            </w:pPr>
            <w:r>
              <w:t>Morison et al 2018</w:t>
            </w:r>
            <w:r w:rsidR="00D07346">
              <w:fldChar w:fldCharType="begin"/>
            </w:r>
            <w:r w:rsidR="002747EA">
              <w:instrText xml:space="preserve"> ADDIN EN.CITE &lt;EndNote&gt;&lt;Cite&gt;&lt;Author&gt;Morison&lt;/Author&gt;&lt;Year&gt;2018&lt;/Year&gt;&lt;RecNum&gt;1944&lt;/RecNum&gt;&lt;DisplayText&gt;&lt;style face="superscript" font="Trebuchet MS" size="9"&gt;525&lt;/style&gt;&lt;/DisplayText&gt;&lt;record&gt;&lt;rec-number&gt;1944&lt;/rec-number&gt;&lt;foreign-keys&gt;&lt;key app="EN" db-id="exvasrfx2dtraoesasxp2szsxa2df502592x" timestamp="1588728443"&gt;1944&lt;/key&gt;&lt;key app="ENWeb" db-id=""&gt;0&lt;/key&gt;&lt;/foreign-keys&gt;&lt;ref-type name="Journal Article"&gt;17&lt;/ref-type&gt;&lt;contributors&gt;&lt;authors&gt;&lt;author&gt;Morison, P. N.&lt;/author&gt;&lt;author&gt;Bacardi-Gascon, M.&lt;/author&gt;&lt;author&gt;Lopez-Corrales, M.&lt;/author&gt;&lt;author&gt;Jimenez-Cruz, A.&lt;/author&gt;&lt;/authors&gt;&lt;/contributors&gt;&lt;auth-address&gt;Autonomous University of Baja California, Medical and Psychology School, Calzada Universidad, Parque Industrial Internacional Tijuana, Baja California, Mexico.&amp;#xD;Autonomous University of Baja California, Medical and Psychology School, Calzada Universidad, Parque Industrial Internacional Tijuana, Baja California, Mexico. ajimenez@uabc.edu.mx.&lt;/auth-address&gt;&lt;titles&gt;&lt;title&gt;Combined dietary-exercise intervention for gestational weight gain and birthweight: a meta-analysis&lt;/title&gt;&lt;secondary-title&gt;Asia Pac J Clin Nutr&lt;/secondary-title&gt;&lt;/titles&gt;&lt;periodical&gt;&lt;full-title&gt;Asia Pac J Clin Nutr&lt;/full-title&gt;&lt;/periodical&gt;&lt;pages&gt;860-868&lt;/pages&gt;&lt;volume&gt;27&lt;/volume&gt;&lt;number&gt;4&lt;/number&gt;&lt;edition&gt;2018/07/27&lt;/edition&gt;&lt;keywords&gt;&lt;keyword&gt;Adult&lt;/keyword&gt;&lt;keyword&gt;*Birth Weight&lt;/keyword&gt;&lt;keyword&gt;*Diet&lt;/keyword&gt;&lt;keyword&gt;*Exercise&lt;/keyword&gt;&lt;keyword&gt;Female&lt;/keyword&gt;&lt;keyword&gt;*Gestational Weight Gain&lt;/keyword&gt;&lt;keyword&gt;Humans&lt;/keyword&gt;&lt;keyword&gt;Infant, Newborn&lt;/keyword&gt;&lt;keyword&gt;Overweight/prevention &amp;amp; control&lt;/keyword&gt;&lt;keyword&gt;Pregnancy&lt;/keyword&gt;&lt;/keywords&gt;&lt;dates&gt;&lt;year&gt;2018&lt;/year&gt;&lt;/dates&gt;&lt;isbn&gt;0964-7058 (Print)&amp;#xD;0964-7058 (Linking)&lt;/isbn&gt;&lt;accession-num&gt;30045432&lt;/accession-num&gt;&lt;urls&gt;&lt;related-urls&gt;&lt;url&gt;https://www.ncbi.nlm.nih.gov/pubmed/30045432&lt;/url&gt;&lt;/related-urls&gt;&lt;/urls&gt;&lt;electronic-resource-num&gt;10.6133/apjcn.112017.02&lt;/electronic-resource-num&gt;&lt;/record&gt;&lt;/Cite&gt;&lt;/EndNote&gt;</w:instrText>
            </w:r>
            <w:r w:rsidR="00D07346">
              <w:fldChar w:fldCharType="separate"/>
            </w:r>
            <w:r w:rsidR="002747EA" w:rsidRPr="002747EA">
              <w:rPr>
                <w:noProof/>
                <w:sz w:val="18"/>
                <w:vertAlign w:val="superscript"/>
              </w:rPr>
              <w:t>525</w:t>
            </w:r>
            <w:r w:rsidR="00D07346">
              <w:fldChar w:fldCharType="end"/>
            </w:r>
          </w:p>
        </w:tc>
        <w:tc>
          <w:tcPr>
            <w:tcW w:w="2547" w:type="dxa"/>
          </w:tcPr>
          <w:p w14:paraId="312F2109" w14:textId="77777777" w:rsidR="00A02D85" w:rsidRDefault="00A02D85" w:rsidP="006A7633">
            <w:pPr>
              <w:pStyle w:val="RCTstable"/>
            </w:pPr>
            <w:r>
              <w:t>Mixed BMIs</w:t>
            </w:r>
          </w:p>
        </w:tc>
        <w:tc>
          <w:tcPr>
            <w:tcW w:w="2982" w:type="dxa"/>
          </w:tcPr>
          <w:p w14:paraId="78132504" w14:textId="0DD339BB" w:rsidR="00A02D85" w:rsidRDefault="00F954B7" w:rsidP="006A7633">
            <w:pPr>
              <w:pStyle w:val="RCTstable"/>
              <w:jc w:val="center"/>
            </w:pPr>
            <w:r>
              <w:t>OR 0.58 (0.36 to 0.94)</w:t>
            </w:r>
          </w:p>
        </w:tc>
        <w:tc>
          <w:tcPr>
            <w:tcW w:w="1134" w:type="dxa"/>
          </w:tcPr>
          <w:p w14:paraId="118006FD" w14:textId="3749AFD8" w:rsidR="00A02D85" w:rsidRDefault="00F954B7" w:rsidP="006A7633">
            <w:pPr>
              <w:pStyle w:val="RCTstable"/>
              <w:jc w:val="center"/>
            </w:pPr>
            <w:r>
              <w:t>5</w:t>
            </w:r>
          </w:p>
        </w:tc>
      </w:tr>
      <w:tr w:rsidR="00A5540F" w:rsidRPr="00B87066" w14:paraId="672B5C5E" w14:textId="77777777" w:rsidTr="00A5540F">
        <w:tc>
          <w:tcPr>
            <w:tcW w:w="2841" w:type="dxa"/>
            <w:shd w:val="clear" w:color="auto" w:fill="auto"/>
          </w:tcPr>
          <w:p w14:paraId="652582C8" w14:textId="04104142" w:rsidR="00A5540F" w:rsidRPr="00B87066" w:rsidRDefault="00A5540F" w:rsidP="002747EA">
            <w:pPr>
              <w:pStyle w:val="RCTstable"/>
            </w:pPr>
            <w:r w:rsidRPr="00C12274">
              <w:rPr>
                <w:noProof/>
              </w:rPr>
              <w:t>Muktabhant et al 2015</w:t>
            </w:r>
            <w:r>
              <w:fldChar w:fldCharType="begin"/>
            </w:r>
            <w:r w:rsidR="002747EA">
              <w:instrText xml:space="preserve"> ADDIN EN.CITE &lt;EndNote&gt;&lt;Cite&gt;&lt;Author&gt;Muktabhant&lt;/Author&gt;&lt;Year&gt;2015&lt;/Year&gt;&lt;RecNum&gt;632&lt;/RecNum&gt;&lt;DisplayText&gt;&lt;style face="superscript" font="Trebuchet MS" size="9"&gt;417&lt;/style&gt;&lt;/DisplayText&gt;&lt;record&gt;&lt;rec-number&gt;632&lt;/rec-number&gt;&lt;foreign-keys&gt;&lt;key app="EN" db-id="exvasrfx2dtraoesasxp2szsxa2df502592x" timestamp="1540425405"&gt;632&lt;/key&gt;&lt;/foreign-keys&gt;&lt;ref-type name="Journal Article"&gt;17&lt;/ref-type&gt;&lt;contributors&gt;&lt;authors&gt;&lt;author&gt;Muktabhant, B.&lt;/author&gt;&lt;author&gt;Lawrie, T. A.&lt;/author&gt;&lt;author&gt;Lumbiganon, P.&lt;/author&gt;&lt;author&gt;Laopaiboon, M.&lt;/author&gt;&lt;/authors&gt;&lt;/contributors&gt;&lt;auth-address&gt;Department of Nutrition, Faculty of Public Health, Khon Kaen University, 123 Friendship Highway, Khon Kaen, Khon Kaen, Thailand, 40002.&lt;/auth-address&gt;&lt;titles&gt;&lt;title&gt;Diet or exercise, or both, for preventing excessive weight gain in pregnancy&lt;/title&gt;&lt;secondary-title&gt;Cochrane Database Syst Rev&lt;/secondary-title&gt;&lt;/titles&gt;&lt;periodical&gt;&lt;full-title&gt;Cochrane Database Syst Rev&lt;/full-title&gt;&lt;/periodical&gt;&lt;pages&gt;CD007145&lt;/pages&gt;&lt;number&gt;6&lt;/number&gt;&lt;edition&gt;2015/06/13&lt;/edition&gt;&lt;keywords&gt;&lt;keyword&gt;Counseling&lt;/keyword&gt;&lt;keyword&gt;*Diet&lt;/keyword&gt;&lt;keyword&gt;*Exercise&lt;/keyword&gt;&lt;keyword&gt;Female&lt;/keyword&gt;&lt;keyword&gt;Humans&lt;/keyword&gt;&lt;keyword&gt;Infant, Newborn&lt;/keyword&gt;&lt;keyword&gt;Overweight/complications/*prevention &amp;amp; control&lt;/keyword&gt;&lt;keyword&gt;Pregnancy&lt;/keyword&gt;&lt;keyword&gt;Pregnancy Complications/*prevention &amp;amp; control&lt;/keyword&gt;&lt;keyword&gt;Randomized Controlled Trials as Topic&lt;/keyword&gt;&lt;keyword&gt;*Weight Gain&lt;/keyword&gt;&lt;/keywords&gt;&lt;dates&gt;&lt;year&gt;2015&lt;/year&gt;&lt;pub-dates&gt;&lt;date&gt;Jun 15&lt;/date&gt;&lt;/pub-dates&gt;&lt;/dates&gt;&lt;isbn&gt;1469-493X (Electronic)&amp;#xD;1361-6137 (Linking)&lt;/isbn&gt;&lt;accession-num&gt;26068707&lt;/accession-num&gt;&lt;urls&gt;&lt;related-urls&gt;&lt;url&gt;https://www.ncbi.nlm.nih.gov/pubmed/26068707&lt;/url&gt;&lt;/related-urls&gt;&lt;/urls&gt;&lt;electronic-resource-num&gt;10.1002/14651858.CD007145.pub3&lt;/electronic-resource-num&gt;&lt;/record&gt;&lt;/Cite&gt;&lt;/EndNote&gt;</w:instrText>
            </w:r>
            <w:r>
              <w:fldChar w:fldCharType="separate"/>
            </w:r>
            <w:r w:rsidR="002747EA" w:rsidRPr="002747EA">
              <w:rPr>
                <w:noProof/>
                <w:sz w:val="18"/>
                <w:vertAlign w:val="superscript"/>
              </w:rPr>
              <w:t>417</w:t>
            </w:r>
            <w:r>
              <w:fldChar w:fldCharType="end"/>
            </w:r>
          </w:p>
        </w:tc>
        <w:tc>
          <w:tcPr>
            <w:tcW w:w="2547" w:type="dxa"/>
            <w:shd w:val="clear" w:color="auto" w:fill="auto"/>
          </w:tcPr>
          <w:p w14:paraId="6B1727EB" w14:textId="77777777" w:rsidR="00A5540F" w:rsidRPr="00B87066" w:rsidRDefault="00A5540F" w:rsidP="00A5540F">
            <w:pPr>
              <w:pStyle w:val="RCTstable"/>
            </w:pPr>
            <w:r>
              <w:t>Mixed BMIs</w:t>
            </w:r>
          </w:p>
        </w:tc>
        <w:tc>
          <w:tcPr>
            <w:tcW w:w="2982" w:type="dxa"/>
            <w:shd w:val="clear" w:color="auto" w:fill="auto"/>
          </w:tcPr>
          <w:p w14:paraId="72634679" w14:textId="77777777" w:rsidR="00A5540F" w:rsidRPr="00B87066" w:rsidRDefault="00A5540F" w:rsidP="00A5540F">
            <w:pPr>
              <w:pStyle w:val="RCTstable"/>
              <w:jc w:val="center"/>
            </w:pPr>
            <w:r>
              <w:t>RR 1.39 (0.75 to 2.56)</w:t>
            </w:r>
          </w:p>
        </w:tc>
        <w:tc>
          <w:tcPr>
            <w:tcW w:w="1134" w:type="dxa"/>
            <w:shd w:val="clear" w:color="auto" w:fill="auto"/>
          </w:tcPr>
          <w:p w14:paraId="65938392" w14:textId="77777777" w:rsidR="00A5540F" w:rsidRPr="00B87066" w:rsidRDefault="00A5540F" w:rsidP="00A5540F">
            <w:pPr>
              <w:pStyle w:val="RCTstable"/>
              <w:jc w:val="center"/>
            </w:pPr>
            <w:r>
              <w:t>1</w:t>
            </w:r>
          </w:p>
        </w:tc>
      </w:tr>
      <w:tr w:rsidR="00A5540F" w:rsidRPr="00B87066" w14:paraId="10729536" w14:textId="77777777" w:rsidTr="00A5540F">
        <w:tc>
          <w:tcPr>
            <w:tcW w:w="2841" w:type="dxa"/>
            <w:vMerge w:val="restart"/>
          </w:tcPr>
          <w:p w14:paraId="0583644F" w14:textId="2E21AD60" w:rsidR="00A5540F" w:rsidRPr="00B87066" w:rsidRDefault="00A5540F" w:rsidP="002747EA">
            <w:pPr>
              <w:pStyle w:val="RCTstable"/>
            </w:pPr>
            <w:r w:rsidRPr="00B87066">
              <w:rPr>
                <w:noProof/>
              </w:rPr>
              <w:t>International Weight Management in Pregnancy Collaborative 2017</w:t>
            </w:r>
            <w:r w:rsidRPr="00B87066">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PEVuZE5vdGU+PENpdGU+PEF1dGhvcj5JbnRlcm5hdGlvbmFsIFdlaWdodCBNYW5hZ2VtZW50IGlu
IFByZWduYW5jeSBDb2xsYWJvcmF0aXZlPC9BdXRob3I+PFllYXI+MjAxNzwvWWVhcj48UmVjTnVt
Pjg4NTwvUmVjTnVtPjxEaXNwbGF5VGV4dD48c3R5bGUgZmFjZT0ic3VwZXJzY3JpcHQiIGZvbnQ9
IlRyZWJ1Y2hldCBNUyIgc2l6ZT0iOSI+NDE1PC9zdHlsZT48L0Rpc3BsYXlUZXh0PjxyZWNvcmQ+
PHJlYy1udW1iZXI+ODg1PC9yZWMtbnVtYmVyPjxmb3JlaWduLWtleXM+PGtleSBhcHA9IkVOIiBk
Yi1pZD0iZXh2YXNyZngyZHRyYW9lc2FzeHAyc3pzeGEyZGY1MDI1OTJ4IiB0aW1lc3RhbXA9IjE1
NDE1NDA3NzQiPjg4NTwva2V5PjxrZXkgYXBwPSJFTldlYiIgZGItaWQ9IiI+MDwva2V5PjwvZm9y
ZWlnbi1rZXlzPjxyZWYtdHlwZSBuYW1lPSJKb3VybmFsIEFydGljbGUiPjE3PC9yZWYtdHlwZT48
Y29udHJpYnV0b3JzPjxhdXRob3JzPjxhdXRob3I+SW50ZXJuYXRpb25hbCBXZWlnaHQgTWFuYWdl
bWVudCBpbiBQcmVnbmFuY3kgQ29sbGFib3JhdGl2ZSwgR3JvdXA8L2F1dGhvcj48L2F1dGhvcnM+
PC9jb250cmlidXRvcnM+PHRpdGxlcz48dGl0bGU+RWZmZWN0IG9mIGRpZXQgYW5kIHBoeXNpY2Fs
IGFjdGl2aXR5IGJhc2VkIGludGVydmVudGlvbnMgaW4gcHJlZ25hbmN5IG9uIGdlc3RhdGlvbmFs
IHdlaWdodCBnYWluIGFuZCBwcmVnbmFuY3kgb3V0Y29tZXM6IG1ldGEtYW5hbHlzaXMgb2YgaW5k
aXZpZHVhbCBwYXJ0aWNpcGFudCBkYXRhIGZyb20gcmFuZG9taXNlZCB0cmlhbHM8L3RpdGxlPjxz
ZWNvbmRhcnktdGl0bGU+Qk1KPC9zZWNvbmRhcnktdGl0bGU+PC90aXRsZXM+PHBlcmlvZGljYWw+
PGZ1bGwtdGl0bGU+Qk1KPC9mdWxsLXRpdGxlPjwvcGVyaW9kaWNhbD48cGFnZXM+ajMxMTk8L3Bh
Z2VzPjx2b2x1bWU+MzU4PC92b2x1bWU+PGVkaXRpb24+MjAxNy8wNy8yMTwvZWRpdGlvbj48a2V5
d29yZHM+PGtleXdvcmQ+RGlldDwva2V5d29yZD48a2V5d29yZD5FeGVyY2lzZSBUaGVyYXB5Lypt
ZXRob2RzPC9rZXl3b3JkPjxrZXl3b3JkPkZlbWFsZTwva2V5d29yZD48a2V5d29yZD5IdW1hbnM8
L2tleXdvcmQ+PGtleXdvcmQ+T2Jlc2l0eS8qdGhlcmFweTwva2V5d29yZD48a2V5d29yZD5QcmVn
bmFuY3k8L2tleXdvcmQ+PGtleXdvcmQ+UHJlZ25hbmN5IENvbXBsaWNhdGlvbnMvZGlldCB0aGVy
YXB5L3BoeXNpb3BhdGhvbG9neS8qdGhlcmFweTwva2V5d29yZD48a2V5d29yZD5QcmVnbmFuY3kg
T3V0Y29tZTwva2V5d29yZD48a2V5d29yZD5SYW5kb21pemVkIENvbnRyb2xsZWQgVHJpYWxzIGFz
IFRvcGljPC9rZXl3b3JkPjxrZXl3b3JkPldlaWdodCBHYWluLypwaHlzaW9sb2d5PC9rZXl3b3Jk
PjxrZXl3b3JkPmF0IHd3dy5pY21qZS5vcmcvY29pX2Rpc2Nsb3N1cmUucGRmIGFuZCBkZWNsYXJl
OiBubyBzdXBwb3J0IGZyb20gYW55IG9yZ2FuaXNhdGlvbjwva2V5d29yZD48a2V5d29yZD5mb3Ig
dGhlIHN1Ym1pdHRlZCB3b3JrLiBISCByZXBvcnRzIGdyYW50cyBmcm9tIHRoZSBHZXJtYW4gTWlu
aXN0cnkgb2YgRWR1Y2F0aW9uPC9rZXl3b3JkPjxrZXl3b3JkPmFuZCBSZXNlYXJjaCwgdGhlIEJh
dmFyaWFuIE1pbmlzdHJ5IG9mIEFncmljdWx0dXJlIGFuZCBOdXRyaXRpb24sIHRoZSBCYXZhcmlh
bjwva2V5d29yZD48a2V5d29yZD5NaW5pc3RyeSBvZiBIZWFsdGgsIHRoZSBIZWxtaG9sdHogQ2Vu
dGVyIE11bmljaCwgdGhlIEVsc2UgS3JvbmVyLUZyZXNlbml1czwva2V5d29yZD48a2V5d29yZD5G
b3VuZGF0aW9uLCBBT0sgQmF2YXJpYSwgQW13YXksIGFuZCB0aGUgR2VybWFuIFJlc2VhcmNoIEZv
dW5kYXRpb24gb3V0c2lkZSB0aGU8L2tleXdvcmQ+PGtleXdvcmQ+c3VibWl0dGVkIHdvcmsuIEJX
Sk0gcmVwb3J0cyBmdW5kaW5nIGZyb20gT2JzRXZhIGR1cmluZyB0aGUgY29uZHVjdCBvZiB0aGUg
c3R1ZHkuPC9rZXl3b3JkPjwva2V5d29yZHM+PGRhdGVzPjx5ZWFyPjIwMTc8L3llYXI+PHB1Yi1k
YXRlcz48ZGF0ZT5KdWwgMTk8L2RhdGU+PC9wdWItZGF0ZXM+PC9kYXRlcz48aXNibj4xNzU2LTE4
MzMgKEVsZWN0cm9uaWMpJiN4RDswOTU5LTgxMzggKExpbmtpbmcpPC9pc2JuPjxhY2Nlc3Npb24t
bnVtPjI4NzI0NTE4PC9hY2Nlc3Npb24tbnVtPjx1cmxzPjxyZWxhdGVkLXVybHM+PHVybD5odHRw
czovL3d3dy5uY2JpLm5sbS5uaWguZ292L3B1Ym1lZC8yODcyNDUxODwvdXJsPjwvcmVsYXRlZC11
cmxzPjwvdXJscz48ZWxlY3Ryb25pYy1yZXNvdXJjZS1udW0+MTAuMTEzNi9ibWouajMxMTk8L2Vs
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Pr="00B87066">
              <w:rPr>
                <w:noProof/>
              </w:rPr>
            </w:r>
            <w:r w:rsidRPr="00B87066">
              <w:rPr>
                <w:noProof/>
              </w:rPr>
              <w:fldChar w:fldCharType="separate"/>
            </w:r>
            <w:r w:rsidR="002747EA" w:rsidRPr="002747EA">
              <w:rPr>
                <w:noProof/>
                <w:sz w:val="18"/>
                <w:vertAlign w:val="superscript"/>
              </w:rPr>
              <w:t>415</w:t>
            </w:r>
            <w:r w:rsidRPr="00B87066">
              <w:rPr>
                <w:noProof/>
              </w:rPr>
              <w:fldChar w:fldCharType="end"/>
            </w:r>
            <w:r w:rsidRPr="00B87066">
              <w:rPr>
                <w:noProof/>
              </w:rPr>
              <w:t xml:space="preserve"> </w:t>
            </w:r>
          </w:p>
        </w:tc>
        <w:tc>
          <w:tcPr>
            <w:tcW w:w="2547" w:type="dxa"/>
          </w:tcPr>
          <w:p w14:paraId="1CABDC3B" w14:textId="77777777" w:rsidR="00A5540F" w:rsidRPr="00B87066" w:rsidRDefault="00A5540F" w:rsidP="00A5540F">
            <w:pPr>
              <w:pStyle w:val="RCTstable"/>
            </w:pPr>
            <w:r w:rsidRPr="00B87066">
              <w:t>Mixed BMIs; IPD</w:t>
            </w:r>
          </w:p>
        </w:tc>
        <w:tc>
          <w:tcPr>
            <w:tcW w:w="2982" w:type="dxa"/>
          </w:tcPr>
          <w:p w14:paraId="082C7963" w14:textId="77777777" w:rsidR="00A5540F" w:rsidRPr="00B87066" w:rsidRDefault="00A5540F" w:rsidP="00A5540F">
            <w:pPr>
              <w:pStyle w:val="RCTstable"/>
              <w:jc w:val="center"/>
              <w:rPr>
                <w:rStyle w:val="block"/>
                <w:bCs/>
              </w:rPr>
            </w:pPr>
            <w:r>
              <w:t>OR 0.89 (0.67 to 1.17)</w:t>
            </w:r>
          </w:p>
        </w:tc>
        <w:tc>
          <w:tcPr>
            <w:tcW w:w="1134" w:type="dxa"/>
          </w:tcPr>
          <w:p w14:paraId="2D39760D" w14:textId="77777777" w:rsidR="00A5540F" w:rsidRPr="00B87066" w:rsidRDefault="00A5540F" w:rsidP="00A5540F">
            <w:pPr>
              <w:pStyle w:val="RCTstable"/>
              <w:jc w:val="center"/>
            </w:pPr>
            <w:r>
              <w:t>16</w:t>
            </w:r>
          </w:p>
        </w:tc>
      </w:tr>
      <w:tr w:rsidR="00A5540F" w:rsidRPr="00B87066" w14:paraId="30CD1FFC" w14:textId="77777777" w:rsidTr="00A5540F">
        <w:tc>
          <w:tcPr>
            <w:tcW w:w="2841" w:type="dxa"/>
            <w:vMerge/>
          </w:tcPr>
          <w:p w14:paraId="16D2ECD8" w14:textId="77777777" w:rsidR="00A5540F" w:rsidRPr="00B87066" w:rsidRDefault="00A5540F" w:rsidP="00A5540F">
            <w:pPr>
              <w:pStyle w:val="RCTstable"/>
            </w:pPr>
          </w:p>
        </w:tc>
        <w:tc>
          <w:tcPr>
            <w:tcW w:w="2547" w:type="dxa"/>
          </w:tcPr>
          <w:p w14:paraId="34D4E519" w14:textId="77777777" w:rsidR="00A5540F" w:rsidRPr="00B87066" w:rsidRDefault="00A5540F" w:rsidP="00A5540F">
            <w:pPr>
              <w:pStyle w:val="RCTstable"/>
            </w:pPr>
            <w:r w:rsidRPr="00B87066">
              <w:t>Mixed BMIs; IPD and non-IPD</w:t>
            </w:r>
          </w:p>
        </w:tc>
        <w:tc>
          <w:tcPr>
            <w:tcW w:w="2982" w:type="dxa"/>
          </w:tcPr>
          <w:p w14:paraId="6665C69F" w14:textId="77777777" w:rsidR="00A5540F" w:rsidRPr="00B87066" w:rsidRDefault="00A5540F" w:rsidP="00A5540F">
            <w:pPr>
              <w:pStyle w:val="RCTstable"/>
              <w:jc w:val="center"/>
              <w:rPr>
                <w:rStyle w:val="block"/>
                <w:bCs/>
              </w:rPr>
            </w:pPr>
            <w:r>
              <w:rPr>
                <w:rFonts w:eastAsiaTheme="majorEastAsia"/>
              </w:rPr>
              <w:t>OR 0.83 (0.62 to 1.10)</w:t>
            </w:r>
          </w:p>
        </w:tc>
        <w:tc>
          <w:tcPr>
            <w:tcW w:w="1134" w:type="dxa"/>
          </w:tcPr>
          <w:p w14:paraId="6981BA18" w14:textId="77777777" w:rsidR="00A5540F" w:rsidRPr="00B87066" w:rsidRDefault="00A5540F" w:rsidP="00A5540F">
            <w:pPr>
              <w:pStyle w:val="RCTstable"/>
              <w:jc w:val="center"/>
            </w:pPr>
            <w:r>
              <w:t>21</w:t>
            </w:r>
          </w:p>
        </w:tc>
      </w:tr>
      <w:tr w:rsidR="00A5540F" w:rsidRPr="00C12274" w14:paraId="04E7D927" w14:textId="77777777" w:rsidTr="00A5540F">
        <w:tc>
          <w:tcPr>
            <w:tcW w:w="2841" w:type="dxa"/>
            <w:tcBorders>
              <w:bottom w:val="single" w:sz="4" w:space="0" w:color="3B3474"/>
            </w:tcBorders>
          </w:tcPr>
          <w:p w14:paraId="4850C44A" w14:textId="1D69EE9F" w:rsidR="00A5540F" w:rsidRPr="00916B76" w:rsidRDefault="00A5540F" w:rsidP="002747EA">
            <w:pPr>
              <w:pStyle w:val="RCTstable"/>
            </w:pPr>
            <w:r w:rsidRPr="00916B76">
              <w:t>Thangaratinam</w:t>
            </w:r>
            <w:r>
              <w:t xml:space="preserve"> 2012a</w:t>
            </w:r>
            <w: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 </w:instrText>
            </w:r>
            <w:r w:rsidR="002747EA">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411</w:t>
            </w:r>
            <w:r>
              <w:fldChar w:fldCharType="end"/>
            </w:r>
          </w:p>
        </w:tc>
        <w:tc>
          <w:tcPr>
            <w:tcW w:w="2547" w:type="dxa"/>
            <w:tcBorders>
              <w:bottom w:val="single" w:sz="4" w:space="0" w:color="3B3474"/>
            </w:tcBorders>
          </w:tcPr>
          <w:p w14:paraId="5D871822" w14:textId="77777777" w:rsidR="00A5540F" w:rsidRPr="00C12274" w:rsidRDefault="00A5540F" w:rsidP="00A5540F">
            <w:pPr>
              <w:pStyle w:val="RCTstable"/>
            </w:pPr>
            <w:r>
              <w:t>Mixed BMIs</w:t>
            </w:r>
          </w:p>
        </w:tc>
        <w:tc>
          <w:tcPr>
            <w:tcW w:w="2982" w:type="dxa"/>
            <w:tcBorders>
              <w:bottom w:val="single" w:sz="4" w:space="0" w:color="3B3474"/>
            </w:tcBorders>
          </w:tcPr>
          <w:p w14:paraId="22B5B49C" w14:textId="77777777" w:rsidR="00A5540F" w:rsidRPr="00586D62" w:rsidRDefault="00A5540F" w:rsidP="00A5540F">
            <w:pPr>
              <w:pStyle w:val="RCTstable"/>
              <w:jc w:val="center"/>
            </w:pPr>
            <w:r>
              <w:t>RR 0.75</w:t>
            </w:r>
            <w:r w:rsidRPr="00586D62">
              <w:t xml:space="preserve"> (</w:t>
            </w:r>
            <w:r>
              <w:t>0.41 to 1.38</w:t>
            </w:r>
            <w:r w:rsidRPr="00586D62">
              <w:t>)</w:t>
            </w:r>
          </w:p>
        </w:tc>
        <w:tc>
          <w:tcPr>
            <w:tcW w:w="1134" w:type="dxa"/>
            <w:tcBorders>
              <w:bottom w:val="single" w:sz="4" w:space="0" w:color="3B3474"/>
            </w:tcBorders>
          </w:tcPr>
          <w:p w14:paraId="2FDE797F" w14:textId="77777777" w:rsidR="00A5540F" w:rsidRPr="008C6CCE" w:rsidRDefault="00A5540F" w:rsidP="00A5540F">
            <w:pPr>
              <w:pStyle w:val="RCTstable"/>
              <w:jc w:val="center"/>
            </w:pPr>
            <w:r>
              <w:t>5</w:t>
            </w:r>
          </w:p>
        </w:tc>
      </w:tr>
      <w:tr w:rsidR="00A5540F" w:rsidRPr="00C12274" w14:paraId="755F26BC" w14:textId="77777777" w:rsidTr="00A5540F">
        <w:tc>
          <w:tcPr>
            <w:tcW w:w="2841" w:type="dxa"/>
            <w:tcBorders>
              <w:bottom w:val="single" w:sz="4" w:space="0" w:color="3B3474"/>
            </w:tcBorders>
          </w:tcPr>
          <w:p w14:paraId="4D8262BE" w14:textId="24F37101" w:rsidR="00A5540F" w:rsidRPr="00916B76" w:rsidRDefault="00A5540F" w:rsidP="002747EA">
            <w:pPr>
              <w:pStyle w:val="RCTstable"/>
            </w:pPr>
            <w:r w:rsidRPr="00916B76">
              <w:t>Thangaratinam</w:t>
            </w:r>
            <w:r>
              <w:t xml:space="preserve"> et al 2012b</w:t>
            </w:r>
            <w:r>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 </w:instrText>
            </w:r>
            <w:r w:rsidR="002747EA">
              <w:fldChar w:fldCharType="begin">
                <w:fldData xml:space="preserve">PEVuZE5vdGU+PENpdGU+PEF1dGhvcj5UaGFuZ2FyYXRpbmFtPC9BdXRob3I+PFllYXI+MjAxMjwv
WWVhcj48UmVjTnVtPjYzMTwvUmVjTnVtPjxEaXNwbGF5VGV4dD48c3R5bGUgZmFjZT0ic3VwZXJz
Y3JpcHQiIGZvbnQ9IlRyZWJ1Y2hldCBNUyIgc2l6ZT0iOSI+NDEyPC9zdHlsZT48L0Rpc3BsYXlU
ZXh0PjxyZWNvcmQ+PHJlYy1udW1iZXI+NjMxPC9yZWMtbnVtYmVyPjxmb3JlaWduLWtleXM+PGtl
eSBhcHA9IkVOIiBkYi1pZD0iZXh2YXNyZngyZHRyYW9lc2FzeHAyc3pzeGEyZGY1MDI1OTJ4IiB0
aW1lc3RhbXA9IjE1NDA0MjUzNDQiPjYzMTwva2V5PjxrZXkgYXBwPSJFTldlYiIgZGItaWQ9IiI+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Sy48L2F1dGhvcj48YXV0aG9yPkdsaW5rb3dza2ksIFMuPC9hdXRob3I+PGF1dGhvcj5Sb3NlYm9v
bSwgVC48L2F1dGhvcj48YXV0aG9yPlRvbWxpbnNvbiwgSi4gVy48L2F1dGhvcj48YXV0aG9yPkt1
bnosIFIuPC9hdXRob3I+PGF1dGhvcj5Nb2wsIEIuIFcuPC9hdXRob3I+PGF1dGhvcj5Db29tYXJh
c2FteSwgQS48L2F1dGhvcj48YXV0aG9yPktoYW4sIEsuIFMuPC9hdXRob3I+PC9hdXRob3JzPjwv
Y29udHJpYnV0b3JzPjxhdXRoLWFkZHJlc3M+V29tZW4mYXBvcztzIEhlYWx0aCBSZXNlYXJjaCBV
bml0LCBDZW50cmUgZm9yIFByaW1hcnkgQ2FyZSBhbmQgUHVibGljIEhlYWx0aCwgQmFydHMgYW5k
IHRoZSBMb25kb24gU2Nob29sIG9mIE1lZGljaW5lIGFuZCBEZW50aXN0cnksIFF1ZWVuIE1hcnkg
VW5pdmVyc2l0eSBvZiBMb25kb24sIExvbmRvbiwgVUsuIHMudGhhbmdhcmF0aW5hbUBxbXVsLmFj
LnVrPC9hdXRoLWFkZHJlc3M+PHRpdGxlcz48dGl0bGU+RWZmZWN0cyBvZiBpbnRlcnZlbnRpb25z
IGluIHByZWduYW5jeSBvbiBtYXRlcm5hbCB3ZWlnaHQgYW5kIG9ic3RldHJpYyBvdXRjb21lczog
bWV0YS1hbmFseXNpcyBvZiByYW5kb21pc2VkIGV2aWRlbmNlPC90aXRsZT48c2Vjb25kYXJ5LXRp
dGxlPkJNSjwvc2Vjb25kYXJ5LXRpdGxlPjwvdGl0bGVzPjxwZXJpb2RpY2FsPjxmdWxsLXRpdGxl
PkJNSjwvZnVsbC10aXRsZT48L3BlcmlvZGljYWw+PHBhZ2VzPmUyMDg4PC9wYWdlcz48dm9sdW1l
PjM0NDwvdm9sdW1lPjxlZGl0aW9uPjIwMTIvMDUvMTk8L2VkaXRpb24+PGtleXdvcmRzPjxrZXl3
b3JkPkJvZHkgTWFzcyBJbmRleDwva2V5d29yZD48a2V5d29yZD5Cb2R5IFdlaWdodDwva2V5d29y
ZD48a2V5d29yZD5Db25maWRlbmNlIEludGVydmFsczwva2V5d29yZD48a2V5d29yZD4qRGlldCwg
UmVkdWNpbmc8L2tleXdvcmQ+PGtleXdvcmQ+RmVtYWxlPC9rZXl3b3JkPjxrZXl3b3JkPkh1bWFu
czwva2V5d29yZD48a2V5d29yZD5JbmZhbnQsIE5ld2Jvcm48L2tleXdvcmQ+PGtleXdvcmQ+Kk1v
dG9yIEFjdGl2aXR5PC9rZXl3b3JkPjxrZXl3b3JkPk9iZXNpdHkvcHJldmVudGlvbiAmYW1wOyBj
b250cm9sLyp0aGVyYXB5PC9rZXl3b3JkPjxrZXl3b3JkPlByZWduYW5jeTwva2V5d29yZD48a2V5
d29yZD5QcmVnbmFuY3kgQ29tcGxpY2F0aW9ucy9wcmV2ZW50aW9uICZhbXA7IGNvbnRyb2wvKnRo
ZXJhcHk8L2tleXdvcmQ+PGtleXdvcmQ+UHJlZ25hbmN5IE91dGNvbWU8L2tleXdvcmQ+PGtleXdv
cmQ+UHJlbWF0dXJlIEJpcnRoLypwcmV2ZW50aW9uICZhbXA7IGNvbnRyb2w8L2tleXdvcmQ+PGtl
eXdvcmQ+UmFuZG9taXplZCBDb250cm9sbGVkIFRyaWFscyBhcyBUb3BpYzwva2V5d29yZD48a2V5
d29yZD5SaXNrIEZhY3RvcnM8L2tleXdvcmQ+PGtleXdvcmQ+KlJpc2sgUmVkdWN0aW9uIEJlaGF2
aW9yPC9rZXl3b3JkPjxrZXl3b3JkPipXZWlnaHQgTG9zczwva2V5d29yZD48L2tleXdvcmRzPjxk
YXRlcz48eWVhcj4yMDEyPC95ZWFyPjxwdWItZGF0ZXM+PGRhdGU+TWF5IDE2PC9kYXRlPjwvcHVi
LWRhdGVzPjwvZGF0ZXM+PGlzYm4+MTc1Ni0xODMzIChFbGVjdHJvbmljKSYjeEQ7MDk1OS04MTM4
IChMaW5raW5nKTwvaXNibj48YWNjZXNzaW9uLW51bT4yMjU5NjM4MzwvYWNjZXNzaW9uLW51bT48
dXJscz48cmVsYXRlZC11cmxzPjx1cmw+aHR0cHM6Ly93d3cubmNiaS5ubG0ubmloLmdvdi9wdWJt
ZWQvMjI1OTYzODM8L3VybD48L3JlbGF0ZWQtdXJscz48L3VybHM+PGN1c3RvbTI+UE1DMzM1NTE5
MTwvY3VzdG9tMj48ZWxlY3Ryb25pYy1yZXNvdXJjZS1udW0+MTAuMTEzNi9ibWouZTIwODg8L2Vs
ZWN0cm9uaWMtcmVzb3VyY2UtbnVtPjwvcmVjb3JkPjwvQ2l0ZT48L0VuZE5vdGU+AG==
</w:fldData>
              </w:fldChar>
            </w:r>
            <w:r w:rsidR="002747EA">
              <w:instrText xml:space="preserve"> ADDIN EN.CITE.DATA </w:instrText>
            </w:r>
            <w:r w:rsidR="002747EA">
              <w:fldChar w:fldCharType="end"/>
            </w:r>
            <w:r>
              <w:fldChar w:fldCharType="separate"/>
            </w:r>
            <w:r w:rsidR="002747EA" w:rsidRPr="002747EA">
              <w:rPr>
                <w:noProof/>
                <w:sz w:val="18"/>
                <w:vertAlign w:val="superscript"/>
              </w:rPr>
              <w:t>412</w:t>
            </w:r>
            <w:r>
              <w:fldChar w:fldCharType="end"/>
            </w:r>
          </w:p>
        </w:tc>
        <w:tc>
          <w:tcPr>
            <w:tcW w:w="2547" w:type="dxa"/>
            <w:tcBorders>
              <w:bottom w:val="single" w:sz="4" w:space="0" w:color="3B3474"/>
            </w:tcBorders>
          </w:tcPr>
          <w:p w14:paraId="1E12E7FF" w14:textId="77777777" w:rsidR="00A5540F" w:rsidRDefault="00A5540F" w:rsidP="00A5540F">
            <w:pPr>
              <w:pStyle w:val="RCTstable"/>
            </w:pPr>
            <w:r>
              <w:t>Mixed BMIs</w:t>
            </w:r>
          </w:p>
        </w:tc>
        <w:tc>
          <w:tcPr>
            <w:tcW w:w="2982" w:type="dxa"/>
            <w:tcBorders>
              <w:bottom w:val="single" w:sz="4" w:space="0" w:color="3B3474"/>
            </w:tcBorders>
          </w:tcPr>
          <w:p w14:paraId="565AD45D" w14:textId="77777777" w:rsidR="00A5540F" w:rsidRDefault="00A5540F" w:rsidP="00A5540F">
            <w:pPr>
              <w:pStyle w:val="RCTstable"/>
              <w:jc w:val="center"/>
            </w:pPr>
            <w:r>
              <w:t>RR 1.05 (0.79 to 1.40)</w:t>
            </w:r>
          </w:p>
        </w:tc>
        <w:tc>
          <w:tcPr>
            <w:tcW w:w="1134" w:type="dxa"/>
            <w:tcBorders>
              <w:bottom w:val="single" w:sz="4" w:space="0" w:color="3B3474"/>
            </w:tcBorders>
          </w:tcPr>
          <w:p w14:paraId="7591CC7F" w14:textId="77777777" w:rsidR="00A5540F" w:rsidRDefault="00A5540F" w:rsidP="00A5540F">
            <w:pPr>
              <w:pStyle w:val="RCTstable"/>
              <w:jc w:val="center"/>
            </w:pPr>
            <w:r>
              <w:t>9</w:t>
            </w:r>
          </w:p>
        </w:tc>
      </w:tr>
      <w:tr w:rsidR="00A5540F" w:rsidRPr="00C12274" w14:paraId="45F80220" w14:textId="77777777" w:rsidTr="00A5540F">
        <w:tc>
          <w:tcPr>
            <w:tcW w:w="2841" w:type="dxa"/>
            <w:tcBorders>
              <w:bottom w:val="single" w:sz="4" w:space="0" w:color="3B3474"/>
            </w:tcBorders>
          </w:tcPr>
          <w:p w14:paraId="5E5DEB36" w14:textId="3F3E7DBC"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tcPr>
          <w:p w14:paraId="54156CA1" w14:textId="77777777" w:rsidR="00A5540F" w:rsidRDefault="00A5540F" w:rsidP="00A5540F">
            <w:pPr>
              <w:pStyle w:val="RCTstable"/>
            </w:pPr>
            <w:r>
              <w:t>Mixed BMIs</w:t>
            </w:r>
          </w:p>
        </w:tc>
        <w:tc>
          <w:tcPr>
            <w:tcW w:w="2982" w:type="dxa"/>
            <w:tcBorders>
              <w:bottom w:val="single" w:sz="4" w:space="0" w:color="3B3474"/>
            </w:tcBorders>
          </w:tcPr>
          <w:p w14:paraId="54F5398C" w14:textId="77777777" w:rsidR="00A5540F" w:rsidRDefault="00A5540F" w:rsidP="00A5540F">
            <w:pPr>
              <w:pStyle w:val="RCTstable"/>
              <w:jc w:val="center"/>
            </w:pPr>
            <w:r>
              <w:t>RR 0.93 (0.81 to 1.07)</w:t>
            </w:r>
          </w:p>
        </w:tc>
        <w:tc>
          <w:tcPr>
            <w:tcW w:w="1134" w:type="dxa"/>
            <w:tcBorders>
              <w:bottom w:val="single" w:sz="4" w:space="0" w:color="3B3474"/>
            </w:tcBorders>
          </w:tcPr>
          <w:p w14:paraId="5EADA0A0" w14:textId="77777777" w:rsidR="00A5540F" w:rsidRDefault="00A5540F" w:rsidP="00A5540F">
            <w:pPr>
              <w:pStyle w:val="RCTstable"/>
              <w:jc w:val="center"/>
            </w:pPr>
            <w:r>
              <w:t>11</w:t>
            </w:r>
          </w:p>
        </w:tc>
      </w:tr>
      <w:tr w:rsidR="00A5540F" w:rsidRPr="00C12274" w14:paraId="377399FE" w14:textId="77777777" w:rsidTr="00A5540F">
        <w:tc>
          <w:tcPr>
            <w:tcW w:w="2841" w:type="dxa"/>
            <w:tcBorders>
              <w:bottom w:val="single" w:sz="4" w:space="0" w:color="3B3474"/>
            </w:tcBorders>
          </w:tcPr>
          <w:p w14:paraId="567663F5" w14:textId="0BED9D03" w:rsidR="00A5540F" w:rsidRPr="00916B76" w:rsidRDefault="00A5540F" w:rsidP="002747EA">
            <w:pPr>
              <w:pStyle w:val="RCTstable"/>
            </w:pPr>
            <w:r w:rsidRPr="00916B76">
              <w:t>Oteng-Ntim 2012</w:t>
            </w:r>
            <w:r>
              <w:fldChar w:fldCharType="begin"/>
            </w:r>
            <w:r w:rsidR="002747EA">
              <w:instrText xml:space="preserve"> ADDIN EN.CITE &lt;EndNote&gt;&lt;Cite&gt;&lt;Author&gt;Oteng-Ntim&lt;/Author&gt;&lt;Year&gt;2012&lt;/Year&gt;&lt;RecNum&gt;1137&lt;/RecNum&gt;&lt;DisplayText&gt;&lt;style face="superscript" font="Trebuchet MS" size="9"&gt;528&lt;/style&gt;&lt;/DisplayText&gt;&lt;record&gt;&lt;rec-number&gt;1137&lt;/rec-number&gt;&lt;foreign-keys&gt;&lt;key app="EN" db-id="exvasrfx2dtraoesasxp2szsxa2df502592x" timestamp="1555051770"&gt;1137&lt;/key&gt;&lt;key app="ENWeb" db-id=""&gt;0&lt;/key&gt;&lt;/foreign-keys&gt;&lt;ref-type name="Journal Article"&gt;17&lt;/ref-type&gt;&lt;contributors&gt;&lt;authors&gt;&lt;author&gt;Oteng-Ntim, E.&lt;/author&gt;&lt;author&gt;Varma, R.&lt;/author&gt;&lt;author&gt;Croker, H.&lt;/author&gt;&lt;author&gt;Poston, L.&lt;/author&gt;&lt;author&gt;Doyle, P.&lt;/author&gt;&lt;/authors&gt;&lt;/contributors&gt;&lt;auth-address&gt;Department of Women&amp;apos;s Health, Guy&amp;apos;s and St Thomas&amp;apos; NHS Foundation Trust (King&amp;apos;s Health Partners), St Thomas&amp;apos; Hospital, Westminster Bridge Road, London, SE 1 7EH, UK. Eugene.oteng-ntim@gstt.nhs.uk&lt;/auth-address&gt;&lt;titles&gt;&lt;title&gt;Lifestyle interventions for overweight and obese pregnant women to improve pregnancy outcome: systematic review and meta-analysis&lt;/title&gt;&lt;secondary-title&gt;BMC Med&lt;/secondary-title&gt;&lt;/titles&gt;&lt;periodical&gt;&lt;full-title&gt;BMC Med&lt;/full-title&gt;&lt;/periodical&gt;&lt;pages&gt;47&lt;/pages&gt;&lt;volume&gt;10&lt;/volume&gt;&lt;edition&gt;2012/05/12&lt;/edition&gt;&lt;keywords&gt;&lt;keyword&gt;Behavior Therapy/methods&lt;/keyword&gt;&lt;keyword&gt;Clinical Trials as Topic&lt;/keyword&gt;&lt;keyword&gt;Diet/methods&lt;/keyword&gt;&lt;keyword&gt;Exercise&lt;/keyword&gt;&lt;keyword&gt;Female&lt;/keyword&gt;&lt;keyword&gt;Humans&lt;/keyword&gt;&lt;keyword&gt;*Life Style&lt;/keyword&gt;&lt;keyword&gt;Overweight/*prevention &amp;amp; control/*therapy&lt;/keyword&gt;&lt;keyword&gt;Pregnancy&lt;/keyword&gt;&lt;keyword&gt;Pregnancy Complications/*prevention &amp;amp; control/*therapy&lt;/keyword&gt;&lt;keyword&gt;Pregnancy Outcome&lt;/keyword&gt;&lt;/keywords&gt;&lt;dates&gt;&lt;year&gt;2012&lt;/year&gt;&lt;pub-dates&gt;&lt;date&gt;May 10&lt;/date&gt;&lt;/pub-dates&gt;&lt;/dates&gt;&lt;isbn&gt;1741-7015 (Electronic)&amp;#xD;1741-7015 (Linking)&lt;/isbn&gt;&lt;accession-num&gt;22574949&lt;/accession-num&gt;&lt;urls&gt;&lt;related-urls&gt;&lt;url&gt;https://www.ncbi.nlm.nih.gov/pubmed/22574949&lt;/url&gt;&lt;/related-urls&gt;&lt;/urls&gt;&lt;custom2&gt;PMC3355057&lt;/custom2&gt;&lt;electronic-resource-num&gt;10.1186/1741-7015-10-47&lt;/electronic-resource-num&gt;&lt;/record&gt;&lt;/Cite&gt;&lt;/EndNote&gt;</w:instrText>
            </w:r>
            <w:r>
              <w:fldChar w:fldCharType="separate"/>
            </w:r>
            <w:r w:rsidR="002747EA" w:rsidRPr="002747EA">
              <w:rPr>
                <w:noProof/>
                <w:sz w:val="18"/>
                <w:vertAlign w:val="superscript"/>
              </w:rPr>
              <w:t>528</w:t>
            </w:r>
            <w:r>
              <w:fldChar w:fldCharType="end"/>
            </w:r>
          </w:p>
        </w:tc>
        <w:tc>
          <w:tcPr>
            <w:tcW w:w="2547" w:type="dxa"/>
            <w:tcBorders>
              <w:bottom w:val="single" w:sz="4" w:space="0" w:color="3B3474"/>
            </w:tcBorders>
          </w:tcPr>
          <w:p w14:paraId="16E5A225" w14:textId="77777777" w:rsidR="00A5540F" w:rsidRDefault="00A5540F" w:rsidP="00A5540F">
            <w:pPr>
              <w:pStyle w:val="RCTstable"/>
            </w:pPr>
            <w:r>
              <w:t>Overweight and obese women</w:t>
            </w:r>
          </w:p>
        </w:tc>
        <w:tc>
          <w:tcPr>
            <w:tcW w:w="2982" w:type="dxa"/>
            <w:tcBorders>
              <w:bottom w:val="single" w:sz="4" w:space="0" w:color="3B3474"/>
            </w:tcBorders>
          </w:tcPr>
          <w:p w14:paraId="028A2DC0" w14:textId="77777777" w:rsidR="00A5540F" w:rsidRDefault="00A5540F" w:rsidP="00A5540F">
            <w:pPr>
              <w:pStyle w:val="RCTstable"/>
              <w:jc w:val="center"/>
            </w:pPr>
            <w:r>
              <w:t>OR 0.91 (0.62 to 1.32)</w:t>
            </w:r>
          </w:p>
        </w:tc>
        <w:tc>
          <w:tcPr>
            <w:tcW w:w="1134" w:type="dxa"/>
            <w:tcBorders>
              <w:bottom w:val="single" w:sz="4" w:space="0" w:color="3B3474"/>
            </w:tcBorders>
          </w:tcPr>
          <w:p w14:paraId="0A09DD18" w14:textId="77777777" w:rsidR="00A5540F" w:rsidRDefault="00A5540F" w:rsidP="00A5540F">
            <w:pPr>
              <w:pStyle w:val="RCTstable"/>
              <w:jc w:val="center"/>
            </w:pPr>
            <w:r>
              <w:t>6</w:t>
            </w:r>
          </w:p>
        </w:tc>
      </w:tr>
      <w:tr w:rsidR="00A5540F" w:rsidRPr="00B87066" w14:paraId="1415306C" w14:textId="77777777" w:rsidTr="00A5540F">
        <w:tc>
          <w:tcPr>
            <w:tcW w:w="9504" w:type="dxa"/>
            <w:gridSpan w:val="4"/>
            <w:shd w:val="clear" w:color="auto" w:fill="D9E2F3" w:themeFill="accent1" w:themeFillTint="33"/>
          </w:tcPr>
          <w:p w14:paraId="68E77F8D" w14:textId="77777777" w:rsidR="00A5540F" w:rsidRPr="00B87066" w:rsidRDefault="00A5540F" w:rsidP="00A5540F">
            <w:pPr>
              <w:pStyle w:val="RCTstable"/>
              <w:rPr>
                <w:i/>
              </w:rPr>
            </w:pPr>
            <w:r>
              <w:rPr>
                <w:i/>
              </w:rPr>
              <w:t>Apgar score &lt;7 at 5 minutes</w:t>
            </w:r>
          </w:p>
        </w:tc>
      </w:tr>
      <w:tr w:rsidR="00A5540F" w:rsidRPr="00B87066" w14:paraId="3FBD71C4" w14:textId="77777777" w:rsidTr="00A5540F">
        <w:tc>
          <w:tcPr>
            <w:tcW w:w="2841" w:type="dxa"/>
            <w:shd w:val="clear" w:color="auto" w:fill="EDEDED" w:themeFill="accent3" w:themeFillTint="33"/>
          </w:tcPr>
          <w:p w14:paraId="0BEF5DCE" w14:textId="77777777" w:rsidR="00A5540F" w:rsidRPr="00B87066" w:rsidRDefault="00A5540F" w:rsidP="00A5540F">
            <w:pPr>
              <w:pStyle w:val="RCTstable"/>
            </w:pPr>
            <w:r w:rsidRPr="00B87066">
              <w:t>Current review</w:t>
            </w:r>
          </w:p>
        </w:tc>
        <w:tc>
          <w:tcPr>
            <w:tcW w:w="2547" w:type="dxa"/>
            <w:shd w:val="clear" w:color="auto" w:fill="EDEDED" w:themeFill="accent3" w:themeFillTint="33"/>
          </w:tcPr>
          <w:p w14:paraId="78EE4EA5" w14:textId="77777777" w:rsidR="00A5540F" w:rsidRPr="00B87066" w:rsidRDefault="00A5540F" w:rsidP="00A5540F">
            <w:pPr>
              <w:pStyle w:val="RCTstable"/>
            </w:pPr>
            <w:r w:rsidRPr="00B87066">
              <w:t>Mixed BMIs</w:t>
            </w:r>
          </w:p>
        </w:tc>
        <w:tc>
          <w:tcPr>
            <w:tcW w:w="2982" w:type="dxa"/>
            <w:shd w:val="clear" w:color="auto" w:fill="EDEDED" w:themeFill="accent3" w:themeFillTint="33"/>
          </w:tcPr>
          <w:p w14:paraId="694C1397" w14:textId="77777777" w:rsidR="00A5540F" w:rsidRPr="001917FB" w:rsidRDefault="00A5540F" w:rsidP="00A5540F">
            <w:pPr>
              <w:pStyle w:val="RCTstable"/>
              <w:jc w:val="center"/>
            </w:pPr>
            <w:r w:rsidRPr="001917FB">
              <w:t>RR 0.</w:t>
            </w:r>
            <w:r>
              <w:t>80</w:t>
            </w:r>
            <w:r w:rsidRPr="001917FB">
              <w:t xml:space="preserve"> (0.</w:t>
            </w:r>
            <w:r>
              <w:t>48</w:t>
            </w:r>
            <w:r w:rsidRPr="001917FB">
              <w:t xml:space="preserve"> to 1.</w:t>
            </w:r>
            <w:r>
              <w:t>32</w:t>
            </w:r>
            <w:r w:rsidRPr="001917FB">
              <w:t>)</w:t>
            </w:r>
          </w:p>
        </w:tc>
        <w:tc>
          <w:tcPr>
            <w:tcW w:w="1134" w:type="dxa"/>
            <w:shd w:val="clear" w:color="auto" w:fill="EDEDED" w:themeFill="accent3" w:themeFillTint="33"/>
          </w:tcPr>
          <w:p w14:paraId="2698673E" w14:textId="77777777" w:rsidR="00A5540F" w:rsidRPr="00B87066" w:rsidRDefault="00A5540F" w:rsidP="00A5540F">
            <w:pPr>
              <w:pStyle w:val="RCTstable"/>
              <w:jc w:val="center"/>
            </w:pPr>
            <w:r>
              <w:t>3</w:t>
            </w:r>
          </w:p>
        </w:tc>
      </w:tr>
      <w:tr w:rsidR="00A5540F" w:rsidRPr="00C12274" w14:paraId="6D919DED" w14:textId="77777777" w:rsidTr="00A5540F">
        <w:tc>
          <w:tcPr>
            <w:tcW w:w="2841" w:type="dxa"/>
          </w:tcPr>
          <w:p w14:paraId="61C2478A" w14:textId="422F9EEE" w:rsidR="00A5540F" w:rsidRPr="00916B76" w:rsidRDefault="00A5540F" w:rsidP="002747EA">
            <w:pPr>
              <w:pStyle w:val="RCTstable"/>
            </w:pPr>
            <w:r w:rsidRPr="00916B76">
              <w:t>Thangaratinam</w:t>
            </w:r>
            <w:r>
              <w:t xml:space="preserve"> 2012a</w:t>
            </w:r>
            <w:r>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 </w:instrText>
            </w:r>
            <w:r w:rsidR="002747EA">
              <w:fldChar w:fldCharType="begin">
                <w:fldData xml:space="preserve">PEVuZE5vdGU+PENpdGU+PEF1dGhvcj5UaGFuZ2FyYXRpbmFtPC9BdXRob3I+PFllYXI+MjAxMjwv
WWVhcj48UmVjTnVtPjYzMDwvUmVjTnVtPjxEaXNwbGF5VGV4dD48c3R5bGUgZmFjZT0ic3VwZXJz
Y3JpcHQiIGZvbnQ9IlRyZWJ1Y2hldCBNUyIgc2l6ZT0iOSI+NDExPC9zdHlsZT48L0Rpc3BsYXlU
ZXh0PjxyZWNvcmQ+PHJlYy1udW1iZXI+NjMwPC9yZWMtbnVtYmVyPjxmb3JlaWduLWtleXM+PGtl
eSBhcHA9IkVOIiBkYi1pZD0iZXh2YXNyZngyZHRyYW9lc2FzeHAyc3pzeGEyZGY1MDI1OTJ4IiB0
aW1lc3RhbXA9IjE1NDA0MjUzNDQiPjYzMDwva2V5PjxrZXkgYXBwPSJFTldlYiIgZGItaWQ9IiI+
MDwva2V5PjwvZm9yZWlnbi1rZXlzPjxyZWYtdHlwZSBuYW1lPSJKb3VybmFsIEFydGljbGUiPjE3
PC9yZWYtdHlwZT48Y29udHJpYnV0b3JzPjxhdXRob3JzPjxhdXRob3I+VGhhbmdhcmF0aW5hbSwg
Uy48L2F1dGhvcj48YXV0aG9yPlJvZ296aW5za2EsIEUuPC9hdXRob3I+PGF1dGhvcj5Kb2xseSwg
Sy48L2F1dGhvcj48YXV0aG9yPkdsaW5rb3dza2ksIFMuPC9hdXRob3I+PGF1dGhvcj5EdWRhLCBX
LjwvYXV0aG9yPjxhdXRob3I+Qm9yb3dpYWNrLCBFLjwvYXV0aG9yPjxhdXRob3I+Um9zZWJvb20s
IFQuPC9hdXRob3I+PGF1dGhvcj5Ub21saW5zb24sIEouPC9hdXRob3I+PGF1dGhvcj5XYWxjemFr
LCBKLjwvYXV0aG9yPjxhdXRob3I+S3VueiwgUi48L2F1dGhvcj48YXV0aG9yPk1vbCwgQi4gVy48
L2F1dGhvcj48YXV0aG9yPkNvb21hcmFzYW15LCBBLjwvYXV0aG9yPjxhdXRob3I+S2hhbiwgSy4g
Uy48L2F1dGhvcj48L2F1dGhvcnM+PC9jb250cmlidXRvcnM+PGF1dGgtYWRkcmVzcz5Xb21lbiZh
cG9zO3MgSGVhbHRoIFJlc2VhcmNoIFVuaXQsIENlbnRyZSBmb3IgUHJpbWFyeSBDYXJlIGFuZCBQ
dWJsaWMgSGVhbHRoLCBRdWVlbiBNYXJ5IFVuaXZlcnNpdHkgb2YgTG9uZG9uLCBMb25kb24sIFVL
LjwvYXV0aC1hZGRyZXNzPjx0aXRsZXM+PHRpdGxlPkludGVydmVudGlvbnMgdG8gcmVkdWNlIG9y
IHByZXZlbnQgb2Jlc2l0eSBpbiBwcmVnbmFudCB3b21lbjogYSBzeXN0ZW1hdGljIHJldmlldzwv
dGl0bGU+PHNlY29uZGFyeS10aXRsZT5IZWFsdGggVGVjaG5vbCBBc3Nlc3M8L3NlY29uZGFyeS10
aXRsZT48L3RpdGxlcz48cGVyaW9kaWNhbD48ZnVsbC10aXRsZT5IZWFsdGggVGVjaG5vbCBBc3Nl
c3M8L2Z1bGwtdGl0bGU+PC9wZXJpb2RpY2FsPjxwYWdlcz5paWktaXYsIDEtMTkxPC9wYWdlcz48
dm9sdW1lPjE2PC92b2x1bWU+PG51bWJlcj4zMTwvbnVtYmVyPjxlZGl0aW9uPjIwMTIvMDcvMjE8
L2VkaXRpb24+PGtleXdvcmRzPjxrZXl3b3JkPkRhdGFiYXNlcywgQmlibGlvZ3JhcGhpYzwva2V5
d29yZD48a2V5d29yZD5GZWVkaW5nIEJlaGF2aW9yLypwaHlzaW9sb2d5L3BzeWNob2xvZ3k8L2tl
eXdvcmQ+PGtleXdvcmQ+RmVtYWxlPC9rZXl3b3JkPjxrZXl3b3JkPkh1bWFuczwva2V5d29yZD48
a2V5d29yZD4qTGlmZSBTdHlsZTwva2V5d29yZD48a2V5d29yZD4qTW90b3IgQWN0aXZpdHk8L2tl
eXdvcmQ+PGtleXdvcmQ+T2Jlc2l0eS9jb21wbGljYXRpb25zL2VwaWRlbWlvbG9neS8qcHJldmVu
dGlvbiAmYW1wOyBjb250cm9sPC9rZXl3b3JkPjxrZXl3b3JkPk91dGNvbWUgQXNzZXNzbWVudCAo
SGVhbHRoIENhcmUpPC9rZXl3b3JkPjxrZXl3b3JkPlByZWduYW5jeTwva2V5d29yZD48a2V5d29y
ZD5QcmVnbmFuY3kgQ29tcGxpY2F0aW9ucy9lcGlkZW1pb2xvZ3kvZXRpb2xvZ3kvKnByZXZlbnRp
b24gJmFtcDsgY29udHJvbDwva2V5d29yZD48a2V5d29yZD4qUHJlZ25hbmN5IE91dGNvbWUvZXBp
ZGVtaW9sb2d5PC9rZXl3b3JkPjwva2V5d29yZHM+PGRhdGVzPjx5ZWFyPjIwMTI8L3llYXI+PHB1
Yi1kYXRlcz48ZGF0ZT5KdWw8L2RhdGU+PC9wdWItZGF0ZXM+PC9kYXRlcz48aXNibj4yMDQ2LTQ5
MjQgKEVsZWN0cm9uaWMpJiN4RDsxMzY2LTUyNzggKExpbmtpbmcpPC9pc2JuPjxhY2Nlc3Npb24t
bnVtPjIyODE0MzAxPC9hY2Nlc3Npb24tbnVtPjx1cmxzPjxyZWxhdGVkLXVybHM+PHVybD5odHRw
czovL3d3dy5uY2JpLm5sbS5uaWguZ292L3B1Ym1lZC8yMjgxNDMwMTwvdXJsPjwvcmVsYXRlZC11
cmxzPjwvdXJscz48Y3VzdG9tMj5QTUM0NzgxMjgxPC9jdXN0b20yPjxlbGVjdHJvbmljLXJlc291
cmNlLW51bT4xMC4zMzEwL2h0YTE2MzEwPC9lbGVjdHJvbmljLXJlc291cmNlLW51bT48L3JlY29y
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411</w:t>
            </w:r>
            <w:r>
              <w:fldChar w:fldCharType="end"/>
            </w:r>
          </w:p>
        </w:tc>
        <w:tc>
          <w:tcPr>
            <w:tcW w:w="2547" w:type="dxa"/>
          </w:tcPr>
          <w:p w14:paraId="753F6314" w14:textId="77777777" w:rsidR="00A5540F" w:rsidRPr="00C12274" w:rsidRDefault="00A5540F" w:rsidP="00A5540F">
            <w:pPr>
              <w:pStyle w:val="RCTstable"/>
            </w:pPr>
            <w:r>
              <w:t>Mixed BMIs</w:t>
            </w:r>
          </w:p>
        </w:tc>
        <w:tc>
          <w:tcPr>
            <w:tcW w:w="2982" w:type="dxa"/>
          </w:tcPr>
          <w:p w14:paraId="1BC8F054" w14:textId="77777777" w:rsidR="00A5540F" w:rsidRPr="00586D62" w:rsidRDefault="00A5540F" w:rsidP="00A5540F">
            <w:pPr>
              <w:pStyle w:val="RCTstable"/>
              <w:jc w:val="center"/>
            </w:pPr>
            <w:r>
              <w:t>RR 0.45</w:t>
            </w:r>
            <w:r w:rsidRPr="00586D62">
              <w:t xml:space="preserve"> (</w:t>
            </w:r>
            <w:r>
              <w:t>0.04 to 4.87</w:t>
            </w:r>
            <w:r w:rsidRPr="00586D62">
              <w:t>)</w:t>
            </w:r>
          </w:p>
        </w:tc>
        <w:tc>
          <w:tcPr>
            <w:tcW w:w="1134" w:type="dxa"/>
          </w:tcPr>
          <w:p w14:paraId="06B875F3" w14:textId="77777777" w:rsidR="00A5540F" w:rsidRPr="008C6CCE" w:rsidRDefault="00A5540F" w:rsidP="00A5540F">
            <w:pPr>
              <w:pStyle w:val="RCTstable"/>
              <w:jc w:val="center"/>
            </w:pPr>
            <w:r>
              <w:t>1</w:t>
            </w:r>
          </w:p>
        </w:tc>
      </w:tr>
      <w:tr w:rsidR="00A5540F" w:rsidRPr="00C12274" w14:paraId="0CD719FE" w14:textId="77777777" w:rsidTr="00A5540F">
        <w:tc>
          <w:tcPr>
            <w:tcW w:w="2841" w:type="dxa"/>
            <w:tcBorders>
              <w:bottom w:val="single" w:sz="4" w:space="0" w:color="3B3474"/>
            </w:tcBorders>
          </w:tcPr>
          <w:p w14:paraId="06648536" w14:textId="711D64C7"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Borders>
              <w:bottom w:val="single" w:sz="4" w:space="0" w:color="3B3474"/>
            </w:tcBorders>
          </w:tcPr>
          <w:p w14:paraId="595722AF" w14:textId="77777777" w:rsidR="00A5540F" w:rsidRDefault="00A5540F" w:rsidP="00A5540F">
            <w:pPr>
              <w:pStyle w:val="RCTstable"/>
            </w:pPr>
            <w:r>
              <w:t>Mixed BMIs</w:t>
            </w:r>
          </w:p>
        </w:tc>
        <w:tc>
          <w:tcPr>
            <w:tcW w:w="2982" w:type="dxa"/>
            <w:tcBorders>
              <w:bottom w:val="single" w:sz="4" w:space="0" w:color="3B3474"/>
            </w:tcBorders>
          </w:tcPr>
          <w:p w14:paraId="7EDA8B02" w14:textId="77777777" w:rsidR="00A5540F" w:rsidRDefault="00A5540F" w:rsidP="00A5540F">
            <w:pPr>
              <w:pStyle w:val="RCTstable"/>
              <w:jc w:val="center"/>
            </w:pPr>
            <w:r>
              <w:t>RR 0.80 (0.48 to 1.32)</w:t>
            </w:r>
          </w:p>
        </w:tc>
        <w:tc>
          <w:tcPr>
            <w:tcW w:w="1134" w:type="dxa"/>
            <w:tcBorders>
              <w:bottom w:val="single" w:sz="4" w:space="0" w:color="3B3474"/>
            </w:tcBorders>
          </w:tcPr>
          <w:p w14:paraId="2113BA19" w14:textId="77777777" w:rsidR="00A5540F" w:rsidRDefault="00A5540F" w:rsidP="00A5540F">
            <w:pPr>
              <w:pStyle w:val="RCTstable"/>
              <w:jc w:val="center"/>
            </w:pPr>
            <w:r>
              <w:t>3</w:t>
            </w:r>
          </w:p>
        </w:tc>
      </w:tr>
      <w:tr w:rsidR="00A5540F" w:rsidRPr="00B87066" w14:paraId="0D6000E2" w14:textId="77777777" w:rsidTr="00A5540F">
        <w:tc>
          <w:tcPr>
            <w:tcW w:w="9504" w:type="dxa"/>
            <w:gridSpan w:val="4"/>
            <w:shd w:val="clear" w:color="auto" w:fill="D9E2F3" w:themeFill="accent1" w:themeFillTint="33"/>
          </w:tcPr>
          <w:p w14:paraId="330CCEA3" w14:textId="279F6A4B" w:rsidR="00A5540F" w:rsidRPr="00B87066" w:rsidRDefault="001E2888" w:rsidP="00A5540F">
            <w:pPr>
              <w:pStyle w:val="RCTstable"/>
              <w:rPr>
                <w:i/>
              </w:rPr>
            </w:pPr>
            <w:r>
              <w:rPr>
                <w:i/>
              </w:rPr>
              <w:t>W</w:t>
            </w:r>
            <w:r w:rsidR="00A5540F">
              <w:rPr>
                <w:i/>
              </w:rPr>
              <w:t>eight</w:t>
            </w:r>
            <w:r>
              <w:rPr>
                <w:i/>
              </w:rPr>
              <w:t xml:space="preserve"> in early childhood</w:t>
            </w:r>
          </w:p>
        </w:tc>
      </w:tr>
      <w:tr w:rsidR="00A5540F" w:rsidRPr="00B87066" w14:paraId="4BFEDE38" w14:textId="77777777" w:rsidTr="00A5540F">
        <w:tc>
          <w:tcPr>
            <w:tcW w:w="2841" w:type="dxa"/>
            <w:shd w:val="clear" w:color="auto" w:fill="EDEDED" w:themeFill="accent3" w:themeFillTint="33"/>
          </w:tcPr>
          <w:p w14:paraId="370EA463" w14:textId="77777777" w:rsidR="00A5540F" w:rsidRPr="00B87066" w:rsidRDefault="00A5540F" w:rsidP="00A5540F">
            <w:pPr>
              <w:pStyle w:val="RCTstable"/>
            </w:pPr>
            <w:r w:rsidRPr="00B87066">
              <w:t>Current review</w:t>
            </w:r>
          </w:p>
        </w:tc>
        <w:tc>
          <w:tcPr>
            <w:tcW w:w="2547" w:type="dxa"/>
            <w:shd w:val="clear" w:color="auto" w:fill="EDEDED" w:themeFill="accent3" w:themeFillTint="33"/>
          </w:tcPr>
          <w:p w14:paraId="47C52BFA" w14:textId="77777777" w:rsidR="00A5540F" w:rsidRPr="00B87066" w:rsidRDefault="00A5540F" w:rsidP="00A5540F">
            <w:pPr>
              <w:pStyle w:val="RCTstable"/>
            </w:pPr>
            <w:r w:rsidRPr="00B87066">
              <w:t>Mixed BMIs</w:t>
            </w:r>
          </w:p>
        </w:tc>
        <w:tc>
          <w:tcPr>
            <w:tcW w:w="2982" w:type="dxa"/>
            <w:shd w:val="clear" w:color="auto" w:fill="EDEDED" w:themeFill="accent3" w:themeFillTint="33"/>
          </w:tcPr>
          <w:p w14:paraId="7234F0A1" w14:textId="57D31D64" w:rsidR="00A5540F" w:rsidRPr="001917FB" w:rsidRDefault="00D807F2" w:rsidP="00A5540F">
            <w:pPr>
              <w:pStyle w:val="RCTstable"/>
              <w:jc w:val="center"/>
            </w:pPr>
            <w:r>
              <w:t xml:space="preserve">MD </w:t>
            </w:r>
            <w:r w:rsidR="00A5540F">
              <w:t>-0.09 (-0.26 to 0.08)</w:t>
            </w:r>
          </w:p>
        </w:tc>
        <w:tc>
          <w:tcPr>
            <w:tcW w:w="1134" w:type="dxa"/>
            <w:shd w:val="clear" w:color="auto" w:fill="EDEDED" w:themeFill="accent3" w:themeFillTint="33"/>
          </w:tcPr>
          <w:p w14:paraId="74005662" w14:textId="77777777" w:rsidR="00A5540F" w:rsidRPr="00B87066" w:rsidRDefault="00A5540F" w:rsidP="00A5540F">
            <w:pPr>
              <w:pStyle w:val="RCTstable"/>
              <w:jc w:val="center"/>
            </w:pPr>
            <w:r>
              <w:t>4</w:t>
            </w:r>
          </w:p>
        </w:tc>
      </w:tr>
      <w:tr w:rsidR="00A5540F" w:rsidRPr="00C12274" w14:paraId="128FDF8C" w14:textId="77777777" w:rsidTr="00A5540F">
        <w:tc>
          <w:tcPr>
            <w:tcW w:w="2841" w:type="dxa"/>
          </w:tcPr>
          <w:p w14:paraId="0B9FE47C" w14:textId="57FAB9B3" w:rsidR="00A5540F" w:rsidRPr="00916B76" w:rsidRDefault="00A5540F" w:rsidP="002747EA">
            <w:pPr>
              <w:pStyle w:val="RCTstable"/>
            </w:pPr>
            <w:r w:rsidRPr="00916B76">
              <w:t>Shepherd</w:t>
            </w:r>
            <w:r>
              <w:t xml:space="preserve"> et al 2017</w:t>
            </w:r>
            <w:r>
              <w:fldChar w:fldCharType="begin"/>
            </w:r>
            <w:r w:rsidR="002747EA">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fldChar w:fldCharType="separate"/>
            </w:r>
            <w:r w:rsidR="002747EA" w:rsidRPr="002747EA">
              <w:rPr>
                <w:noProof/>
                <w:sz w:val="18"/>
                <w:vertAlign w:val="superscript"/>
              </w:rPr>
              <w:t>526</w:t>
            </w:r>
            <w:r>
              <w:fldChar w:fldCharType="end"/>
            </w:r>
          </w:p>
        </w:tc>
        <w:tc>
          <w:tcPr>
            <w:tcW w:w="2547" w:type="dxa"/>
          </w:tcPr>
          <w:p w14:paraId="100D303B" w14:textId="77777777" w:rsidR="00A5540F" w:rsidRPr="00C12274" w:rsidRDefault="00A5540F" w:rsidP="00A5540F">
            <w:pPr>
              <w:pStyle w:val="RCTstable"/>
            </w:pPr>
            <w:r>
              <w:t>Mixed BMIs</w:t>
            </w:r>
          </w:p>
        </w:tc>
        <w:tc>
          <w:tcPr>
            <w:tcW w:w="2982" w:type="dxa"/>
          </w:tcPr>
          <w:p w14:paraId="65001056" w14:textId="591B6203" w:rsidR="00A5540F" w:rsidRPr="00586D62" w:rsidRDefault="00D807F2" w:rsidP="00A5540F">
            <w:pPr>
              <w:pStyle w:val="RCTstable"/>
              <w:jc w:val="center"/>
            </w:pPr>
            <w:r>
              <w:t xml:space="preserve">MD </w:t>
            </w:r>
            <w:r w:rsidR="00A5540F">
              <w:t>-0.05 (-0.33 to 0.22)</w:t>
            </w:r>
          </w:p>
        </w:tc>
        <w:tc>
          <w:tcPr>
            <w:tcW w:w="1134" w:type="dxa"/>
          </w:tcPr>
          <w:p w14:paraId="4E7FA954" w14:textId="77777777" w:rsidR="00A5540F" w:rsidRPr="008C6CCE" w:rsidRDefault="00A5540F" w:rsidP="00A5540F">
            <w:pPr>
              <w:pStyle w:val="RCTstable"/>
              <w:jc w:val="center"/>
            </w:pPr>
            <w:r>
              <w:t>3</w:t>
            </w:r>
          </w:p>
        </w:tc>
      </w:tr>
    </w:tbl>
    <w:p w14:paraId="284800C2" w14:textId="77777777" w:rsidR="004A3E92" w:rsidRDefault="004A3E92" w:rsidP="00D645E9">
      <w:pPr>
        <w:pStyle w:val="Heading3"/>
      </w:pPr>
      <w:bookmarkStart w:id="227" w:name="_Toc40956547"/>
      <w:r>
        <w:t>Cost-effectiveness</w:t>
      </w:r>
      <w:bookmarkEnd w:id="227"/>
    </w:p>
    <w:p w14:paraId="22C28A28" w14:textId="6085ADB0" w:rsidR="00104023" w:rsidRPr="00104023" w:rsidRDefault="00104023" w:rsidP="0030223E">
      <w:r>
        <w:t xml:space="preserve">A systematic review that assessed </w:t>
      </w:r>
      <w:r w:rsidRPr="00104023">
        <w:t>cost-effectiveness analyses of lifestyle interventions compared with usual care</w:t>
      </w:r>
      <w:r>
        <w:t xml:space="preserve"> found that results were inconsistent and furth</w:t>
      </w:r>
      <w:r w:rsidRPr="00104023">
        <w:t xml:space="preserve">er </w:t>
      </w:r>
      <w:r w:rsidRPr="0030223E">
        <w:t>research is required to determine the effective components of lifestyle interventions and to guide future cost-effectiveness analyses.</w:t>
      </w:r>
      <w:r w:rsidR="00D07346">
        <w:fldChar w:fldCharType="begin"/>
      </w:r>
      <w:r w:rsidR="002747EA">
        <w:instrText xml:space="preserve"> ADDIN EN.CITE &lt;EndNote&gt;&lt;Cite&gt;&lt;Author&gt;Bailey&lt;/Author&gt;&lt;Year&gt;2020&lt;/Year&gt;&lt;RecNum&gt;1927&lt;/RecNum&gt;&lt;DisplayText&gt;&lt;style face="superscript" font="Trebuchet MS" size="9"&gt;529&lt;/style&gt;&lt;/DisplayText&gt;&lt;record&gt;&lt;rec-number&gt;1927&lt;/rec-number&gt;&lt;foreign-keys&gt;&lt;key app="EN" db-id="exvasrfx2dtraoesasxp2szsxa2df502592x" timestamp="1588572425"&gt;1927&lt;/key&gt;&lt;key app="ENWeb" db-id=""&gt;0&lt;/key&gt;&lt;/foreign-keys&gt;&lt;ref-type name="Journal Article"&gt;17&lt;/ref-type&gt;&lt;contributors&gt;&lt;authors&gt;&lt;author&gt;Bailey, C.,&lt;/author&gt;&lt;author&gt;Skouteris, H.,&lt;/author&gt;&lt;author&gt;Teede, H.,&lt;/author&gt;&lt;author&gt;Hill, B.,&lt;/author&gt;&lt;author&gt;De Courten, B.,&lt;/author&gt;&lt;author&gt;Walker, R.,&lt;/author&gt;&lt;author&gt;Liew, D.,&lt;/author&gt;&lt;author&gt;Thangaratinam, S.,&lt;/author&gt;&lt;author&gt;Ademi, Z.,&lt;/author&gt;&lt;/authors&gt;&lt;/contributors&gt;&lt;titles&gt;&lt;title&gt;Are lifestyle interventions to reduce excessive gestational weight gain cost effective? A systematic review&lt;/title&gt;&lt;secondary-title&gt;Current Diabetes Reports&lt;/secondary-title&gt;&lt;/titles&gt;&lt;periodical&gt;&lt;full-title&gt;Current Diabetes Reports&lt;/full-title&gt;&lt;/periodical&gt;&lt;volume&gt;20&lt;/volume&gt;&lt;number&gt;2&lt;/number&gt;&lt;dates&gt;&lt;year&gt;2020&lt;/year&gt;&lt;/dates&gt;&lt;isbn&gt;1534-4827&amp;#xD;1539-0829&lt;/isbn&gt;&lt;urls&gt;&lt;/urls&gt;&lt;electronic-resource-num&gt;10.1007/s11892-020-1288-1&lt;/electronic-resource-num&gt;&lt;/record&gt;&lt;/Cite&gt;&lt;/EndNote&gt;</w:instrText>
      </w:r>
      <w:r w:rsidR="00D07346">
        <w:fldChar w:fldCharType="separate"/>
      </w:r>
      <w:r w:rsidR="002747EA" w:rsidRPr="002747EA">
        <w:rPr>
          <w:noProof/>
          <w:vertAlign w:val="superscript"/>
        </w:rPr>
        <w:t>529</w:t>
      </w:r>
      <w:r w:rsidR="00D07346">
        <w:fldChar w:fldCharType="end"/>
      </w:r>
    </w:p>
    <w:p w14:paraId="7A4960E8" w14:textId="3FAF02AC" w:rsidR="00D604EF" w:rsidRDefault="009A2341" w:rsidP="004A3E92">
      <w:r>
        <w:t>Three</w:t>
      </w:r>
      <w:r w:rsidR="00315408">
        <w:t xml:space="preserve"> </w:t>
      </w:r>
      <w:r w:rsidR="004A3E92">
        <w:t xml:space="preserve">studies examined the cost-effectiveness of interventions to </w:t>
      </w:r>
      <w:r w:rsidR="00D604EF">
        <w:t>promote healthy eating and/or exercise among pregnant women at risk of gestational diabetes</w:t>
      </w:r>
      <w:r w:rsidR="00D81890">
        <w:fldChar w:fldCharType="begin">
          <w:fldData xml:space="preserve">PEVuZE5vdGU+PENpdGU+PEF1dGhvcj5Pb3N0ZGFtPC9BdXRob3I+PFllYXI+MjAxMjwvWWVhcj48
UmVjTnVtPjE3OTU8L1JlY051bT48RGlzcGxheVRleHQ+PHN0eWxlIGZhY2U9InN1cGVyc2NyaXB0
IiBmb250PSJUcmVidWNoZXQgTVMiIHNpemU9IjkiPjUzMCw1MzE8L3N0eWxlPjwvRGlzcGxheVRl
eHQ+PHJlY29yZD48cmVjLW51bWJlcj4xNzk1PC9yZWMtbnVtYmVyPjxmb3JlaWduLWtleXM+PGtl
eSBhcHA9IkVOIiBkYi1pZD0iZXh2YXNyZngyZHRyYW9lc2FzeHAyc3pzeGEyZGY1MDI1OTJ4IiB0
aW1lc3RhbXA9IjE1ODMzODAyMzAiPjE3OTU8L2tleT48L2ZvcmVpZ24ta2V5cz48cmVmLXR5cGUg
bmFtZT0iSm91cm5hbCBBcnRpY2xlIj4xNzwvcmVmLXR5cGU+PGNvbnRyaWJ1dG9ycz48YXV0aG9y
cz48YXV0aG9yPk9vc3RkYW0sIE4uPC9hdXRob3I+PGF1dGhvcj5Cb3NtYW5zLCBKLjwvYXV0aG9y
PjxhdXRob3I+V291dGVycywgTS4gRy48L2F1dGhvcj48YXV0aG9yPkVla2hvZmYsIEUuIE0uPC9h
dXRob3I+PGF1dGhvcj52YW4gTWVjaGVsZW4sIFcuPC9hdXRob3I+PGF1dGhvcj52YW4gUG9wcGVs
LCBNLiBOLjwvYXV0aG9yPjwvYXV0aG9ycz48L2NvbnRyaWJ1dG9ycz48YXV0aC1hZGRyZXNzPkRl
cGFydG1lbnQgb2YgUHVibGljIGFuZCBPY2N1cGF0aW9uYWwgSGVhbHRoLCBFTUdPKyBJbnN0aXR1
dGUgZm9yIEhlYWx0aCBhbmQgQ2FyZSBSZXNlYXJjaCwgVlUgVW5pdmVyc2l0eSBNZWRpY2FsIENl
bnRlciwgQW1zdGVyZGFtLCBUaGUgTmV0aGVybGFuZHMuPC9hdXRoLWFkZHJlc3M+PHRpdGxlcz48
dGl0bGU+Q29zdC1lZmZlY3RpdmVuZXNzIG9mIGFuIGV4ZXJjaXNlIHByb2dyYW0gZHVyaW5nIHBy
ZWduYW5jeSB0byBwcmV2ZW50IGdlc3RhdGlvbmFsIGRpYWJldGVzOiByZXN1bHRzIG9mIGFuIGVj
b25vbWljIGV2YWx1YXRpb24gYWxvbmdzaWRlIGEgcmFuZG9taXNlZCBjb250cm9sbGVkIHRyaWFs
PC90aXRsZT48c2Vjb25kYXJ5LXRpdGxlPkJNQyBQcmVnbmFuY3kgQ2hpbGRiaXJ0aDwvc2Vjb25k
YXJ5LXRpdGxlPjwvdGl0bGVzPjxwZXJpb2RpY2FsPjxmdWxsLXRpdGxlPkJNQyBQcmVnbmFuY3kg
Q2hpbGRiaXJ0aDwvZnVsbC10aXRsZT48L3BlcmlvZGljYWw+PHBhZ2VzPjY0PC9wYWdlcz48dm9s
dW1lPjEyPC92b2x1bWU+PGVkaXRpb24+MjAxMi8wNy8wNjwvZWRpdGlvbj48a2V5d29yZHM+PGtl
eXdvcmQ+QWR1bHQ8L2tleXdvcmQ+PGtleXdvcmQ+Q29zdC1CZW5lZml0IEFuYWx5c2lzPC9rZXl3
b3JkPjxrZXl3b3JkPkRpYWJldGVzLCBHZXN0YXRpb25hbC9lY29ub21pY3MvKnByZXZlbnRpb24g
JmFtcDsgY29udHJvbDwva2V5d29yZD48a2V5d29yZD5FeGVyY2lzZSBUaGVyYXB5LyplY29ub21p
Y3M8L2tleXdvcmQ+PGtleXdvcmQ+RmVtYWxlPC9rZXl3b3JkPjxrZXl3b3JkPkhlYWx0aCBDYXJl
IENvc3RzPC9rZXl3b3JkPjxrZXl3b3JkPkhvc3BpdGFsaXphdGlvbi9lY29ub21pY3Mvc3RhdGlz
dGljcyAmYW1wOyBudW1lcmljYWwgZGF0YTwva2V5d29yZD48a2V5d29yZD5IdW1hbnM8L2tleXdv
cmQ+PGtleXdvcmQ+SW5zdWxpbiBSZXNpc3RhbmNlPC9rZXl3b3JkPjxrZXl3b3JkPkludGVudGlv
biB0byBUcmVhdCBBbmFseXNpczwva2V5d29yZD48a2V5d29yZD5OZXRoZXJsYW5kczwva2V5d29y
ZD48a2V5d29yZD5QYXRpZW50IFNlbGVjdGlvbjwva2V5d29yZD48a2V5d29yZD5QcmVnbmFuY3k8
L2tleXdvcmQ+PGtleXdvcmQ+UXVhbGl0eSBvZiBMaWZlPC9rZXl3b3JkPjxrZXl3b3JkPlNpY2sg
TGVhdmU8L2tleXdvcmQ+PC9rZXl3b3Jkcz48ZGF0ZXM+PHllYXI+MjAxMjwveWVhcj48cHViLWRh
dGVzPjxkYXRlPkp1bCA0PC9kYXRlPjwvcHViLWRhdGVzPjwvZGF0ZXM+PGlzYm4+MTQ3MS0yMzkz
IChFbGVjdHJvbmljKSYjeEQ7MTQ3MS0yMzkzIChMaW5raW5nKTwvaXNibj48YWNjZXNzaW9uLW51
bT4yMjc2MjM3NjwvYWNjZXNzaW9uLW51bT48dXJscz48cmVsYXRlZC11cmxzPjx1cmw+aHR0cHM6
Ly93d3cubmNiaS5ubG0ubmloLmdvdi9wdWJtZWQvMjI3NjIzNzY8L3VybD48L3JlbGF0ZWQtdXJs
cz48L3VybHM+PGN1c3RvbTI+UE1DMzQ3NTExNDwvY3VzdG9tMj48ZWxlY3Ryb25pYy1yZXNvdXJj
ZS1udW0+MTAuMTE4Ni8xNDcxLTIzOTMtMTItNjQ8L2VsZWN0cm9uaWMtcmVzb3VyY2UtbnVtPjwv
cmVjb3JkPjwvQ2l0ZT48Q2l0ZT48QXV0aG9yPkJyb2VraHVpemVuPC9BdXRob3I+PFllYXI+MjAx
ODwvWWVhcj48UmVjTnVtPjczMDwvUmVjTnVtPjxyZWNvcmQ+PHJlYy1udW1iZXI+NzMwPC9yZWMt
bnVtYmVyPjxmb3JlaWduLWtleXM+PGtleSBhcHA9IkVOIiBkYi1pZD0iZXh2YXNyZngyZHRyYW9l
c2FzeHAyc3pzeGEyZGY1MDI1OTJ4IiB0aW1lc3RhbXA9IjE1NDE0Njc3NTAiPjczMDwva2V5Pjxr
ZXkgYXBwPSJFTldlYiIgZGItaWQ9IiI+MDwva2V5PjwvZm9yZWlnbi1rZXlzPjxyZWYtdHlwZSBu
YW1lPSJKb3VybmFsIEFydGljbGUiPjE3PC9yZWYtdHlwZT48Y29udHJpYnV0b3JzPjxhdXRob3Jz
PjxhdXRob3I+QnJvZWtodWl6ZW4sIEthcmVuPC9hdXRob3I+PGF1dGhvcj5TaW1tb25zLCBEYXZp
ZDwvYXV0aG9yPjxhdXRob3I+RGV2bGllZ2VyLCBSb2xhbmQ8L2F1dGhvcj48YXV0aG9yPnZhbiBB
c3NjaGUsIEFuZHLDqTwvYXV0aG9yPjxhdXRob3I+SmFucywgR29lbGU8L2F1dGhvcj48YXV0aG9y
PkdhbGphYXJkLCBTYW5kZXI8L2F1dGhvcj48YXV0aG9yPkNvcmNveSwgUm9zYTwvYXV0aG9yPjxh
dXRob3I+QWRlbGFudGFkbywgSnVhbiBNLjwvYXV0aG9yPjxhdXRob3I+RHVubmUsIEZpZGVsbWE8
L2F1dGhvcj48YXV0aG9yPkRlc295ZSwgR2Vybm90PC9hdXRob3I+PGF1dGhvcj5IYXJyZWl0ZXIs
IErDvHJnZW48L2F1dGhvcj48YXV0aG9yPkthdXR6a3ktV2lsbGVyLCBBbGV4YW5kcmE8L2F1dGhv
cj48YXV0aG9yPkRhbW0sIFBldGVyPC9hdXRob3I+PGF1dGhvcj5NYXRoaWVzZW4sIEVsaXNhYmV0
aCBSLjwvYXV0aG9yPjxhdXRob3I+SmVuc2VuLCBEb3J0ZSBNLjwvYXV0aG9yPjxhdXRob3I+QW5k
ZXJzZW4sIExpc2Vsb3R0ZSBMLjwvYXV0aG9yPjxhdXRob3I+TGFwb2xsYSwgQW5udW56aWF0YTwv
YXV0aG9yPjxhdXRob3I+RGFsZnJhLCBNYXJpYSBHLjwvYXV0aG9yPjxhdXRob3I+QmVydG9sb3R0
bywgQWxlc3NhbmRyYTwvYXV0aG9yPjxhdXRob3I+V2VuZGVyLU96ZWdvd3NrYSwgRXdhPC9hdXRo
b3I+PGF1dGhvcj5aYXdpZWpza2EsIEFnbmllc3prYTwvYXV0aG9yPjxhdXRob3I+SGlsbCwgRGF2
aWQ8L2F1dGhvcj48YXV0aG9yPlNub2VrLCBGcmFuayBKLjwvYXV0aG9yPjxhdXRob3I+SmVsc21h
LCBKdWRpdGggRy4gTS48L2F1dGhvcj48YXV0aG9yPkJvc21hbnMsIEp1ZGl0aCBFLjwvYXV0aG9y
PjxhdXRob3I+dmFuIFBvcHBlbCwgTWlyZWlsbGUgTi4gTS48L2F1dGhvcj48YXV0aG9yPnZhbiBE
b25nZW4sIEpvaGFubmEgTS48L2F1dGhvcj48L2F1dGhvcnM+PC9jb250cmlidXRvcnM+PHRpdGxl
cz48dGl0bGU+Q29zdC1lZmZlY3RpdmVuZXNzIG9mIGhlYWx0aHkgZWF0aW5nIGFuZC9vciBwaHlz
aWNhbCBhY3Rpdml0eSBwcm9tb3Rpb24gaW4gcHJlZ25hbnQgd29tZW4gYXQgaW5jcmVhc2VkIHJp
c2sgb2YgZ2VzdGF0aW9uYWwgZGlhYmV0ZXMgbWVsbGl0dXM6IGVjb25vbWljIGV2YWx1YXRpb24g
YWxvbmdzaWRlIHRoZSBEQUxJIHN0dWR5LCBhIEV1cm9wZWFuIG11bHRpY2VudGVyIHJhbmRvbWl6
ZWQgY29udHJvbGxlZCB0cmlhbDwvdGl0bGU+PHNlY29uZGFyeS10aXRsZT5JbnRlcm5hdGlvbmFs
IEpvdXJuYWwgb2YgQmVoYXZpb3JhbCBOdXRyaXRpb24gYW5kIFBoeXNpY2FsIEFjdGl2aXR5PC9z
ZWNvbmRhcnktdGl0bGU+PC90aXRsZXM+PHBlcmlvZGljYWw+PGZ1bGwtdGl0bGU+SW50ZXJuYXRp
b25hbCBKb3VybmFsIG9mIEJlaGF2aW9yYWwgTnV0cml0aW9uIGFuZCBQaHlzaWNhbCBBY3Rpdml0
eTwvZnVsbC10aXRsZT48L3BlcmlvZGljYWw+PHZvbHVtZT4xNTwvdm9sdW1lPjxudW1iZXI+MTwv
bnVtYmVyPjxkYXRlcz48eWVhcj4yMDE4PC95ZWFyPjwvZGF0ZXM+PGlzYm4+MTQ3OS01ODY4PC9p
c2JuPjx1cmxzPjwvdXJscz48ZWxlY3Ryb25pYy1yZXNvdXJjZS1udW0+MTAuMTE4Ni9zMTI5NjYt
MDE4LTA2NDMteTwvZWxlY3Ryb25pYy1yZXNvdXJjZS1udW0+PC9yZWNvcmQ+PC9DaXRlPjwvRW5k
Tm90ZT5=
</w:fldData>
        </w:fldChar>
      </w:r>
      <w:r w:rsidR="002747EA">
        <w:instrText xml:space="preserve"> ADDIN EN.CITE </w:instrText>
      </w:r>
      <w:r w:rsidR="002747EA">
        <w:fldChar w:fldCharType="begin">
          <w:fldData xml:space="preserve">PEVuZE5vdGU+PENpdGU+PEF1dGhvcj5Pb3N0ZGFtPC9BdXRob3I+PFllYXI+MjAxMjwvWWVhcj48
UmVjTnVtPjE3OTU8L1JlY051bT48RGlzcGxheVRleHQ+PHN0eWxlIGZhY2U9InN1cGVyc2NyaXB0
IiBmb250PSJUcmVidWNoZXQgTVMiIHNpemU9IjkiPjUzMCw1MzE8L3N0eWxlPjwvRGlzcGxheVRl
eHQ+PHJlY29yZD48cmVjLW51bWJlcj4xNzk1PC9yZWMtbnVtYmVyPjxmb3JlaWduLWtleXM+PGtl
eSBhcHA9IkVOIiBkYi1pZD0iZXh2YXNyZngyZHRyYW9lc2FzeHAyc3pzeGEyZGY1MDI1OTJ4IiB0
aW1lc3RhbXA9IjE1ODMzODAyMzAiPjE3OTU8L2tleT48L2ZvcmVpZ24ta2V5cz48cmVmLXR5cGUg
bmFtZT0iSm91cm5hbCBBcnRpY2xlIj4xNzwvcmVmLXR5cGU+PGNvbnRyaWJ1dG9ycz48YXV0aG9y
cz48YXV0aG9yPk9vc3RkYW0sIE4uPC9hdXRob3I+PGF1dGhvcj5Cb3NtYW5zLCBKLjwvYXV0aG9y
PjxhdXRob3I+V291dGVycywgTS4gRy48L2F1dGhvcj48YXV0aG9yPkVla2hvZmYsIEUuIE0uPC9h
dXRob3I+PGF1dGhvcj52YW4gTWVjaGVsZW4sIFcuPC9hdXRob3I+PGF1dGhvcj52YW4gUG9wcGVs
LCBNLiBOLjwvYXV0aG9yPjwvYXV0aG9ycz48L2NvbnRyaWJ1dG9ycz48YXV0aC1hZGRyZXNzPkRl
cGFydG1lbnQgb2YgUHVibGljIGFuZCBPY2N1cGF0aW9uYWwgSGVhbHRoLCBFTUdPKyBJbnN0aXR1
dGUgZm9yIEhlYWx0aCBhbmQgQ2FyZSBSZXNlYXJjaCwgVlUgVW5pdmVyc2l0eSBNZWRpY2FsIENl
bnRlciwgQW1zdGVyZGFtLCBUaGUgTmV0aGVybGFuZHMuPC9hdXRoLWFkZHJlc3M+PHRpdGxlcz48
dGl0bGU+Q29zdC1lZmZlY3RpdmVuZXNzIG9mIGFuIGV4ZXJjaXNlIHByb2dyYW0gZHVyaW5nIHBy
ZWduYW5jeSB0byBwcmV2ZW50IGdlc3RhdGlvbmFsIGRpYWJldGVzOiByZXN1bHRzIG9mIGFuIGVj
b25vbWljIGV2YWx1YXRpb24gYWxvbmdzaWRlIGEgcmFuZG9taXNlZCBjb250cm9sbGVkIHRyaWFs
PC90aXRsZT48c2Vjb25kYXJ5LXRpdGxlPkJNQyBQcmVnbmFuY3kgQ2hpbGRiaXJ0aDwvc2Vjb25k
YXJ5LXRpdGxlPjwvdGl0bGVzPjxwZXJpb2RpY2FsPjxmdWxsLXRpdGxlPkJNQyBQcmVnbmFuY3kg
Q2hpbGRiaXJ0aDwvZnVsbC10aXRsZT48L3BlcmlvZGljYWw+PHBhZ2VzPjY0PC9wYWdlcz48dm9s
dW1lPjEyPC92b2x1bWU+PGVkaXRpb24+MjAxMi8wNy8wNjwvZWRpdGlvbj48a2V5d29yZHM+PGtl
eXdvcmQ+QWR1bHQ8L2tleXdvcmQ+PGtleXdvcmQ+Q29zdC1CZW5lZml0IEFuYWx5c2lzPC9rZXl3
b3JkPjxrZXl3b3JkPkRpYWJldGVzLCBHZXN0YXRpb25hbC9lY29ub21pY3MvKnByZXZlbnRpb24g
JmFtcDsgY29udHJvbDwva2V5d29yZD48a2V5d29yZD5FeGVyY2lzZSBUaGVyYXB5LyplY29ub21p
Y3M8L2tleXdvcmQ+PGtleXdvcmQ+RmVtYWxlPC9rZXl3b3JkPjxrZXl3b3JkPkhlYWx0aCBDYXJl
IENvc3RzPC9rZXl3b3JkPjxrZXl3b3JkPkhvc3BpdGFsaXphdGlvbi9lY29ub21pY3Mvc3RhdGlz
dGljcyAmYW1wOyBudW1lcmljYWwgZGF0YTwva2V5d29yZD48a2V5d29yZD5IdW1hbnM8L2tleXdv
cmQ+PGtleXdvcmQ+SW5zdWxpbiBSZXNpc3RhbmNlPC9rZXl3b3JkPjxrZXl3b3JkPkludGVudGlv
biB0byBUcmVhdCBBbmFseXNpczwva2V5d29yZD48a2V5d29yZD5OZXRoZXJsYW5kczwva2V5d29y
ZD48a2V5d29yZD5QYXRpZW50IFNlbGVjdGlvbjwva2V5d29yZD48a2V5d29yZD5QcmVnbmFuY3k8
L2tleXdvcmQ+PGtleXdvcmQ+UXVhbGl0eSBvZiBMaWZlPC9rZXl3b3JkPjxrZXl3b3JkPlNpY2sg
TGVhdmU8L2tleXdvcmQ+PC9rZXl3b3Jkcz48ZGF0ZXM+PHllYXI+MjAxMjwveWVhcj48cHViLWRh
dGVzPjxkYXRlPkp1bCA0PC9kYXRlPjwvcHViLWRhdGVzPjwvZGF0ZXM+PGlzYm4+MTQ3MS0yMzkz
IChFbGVjdHJvbmljKSYjeEQ7MTQ3MS0yMzkzIChMaW5raW5nKTwvaXNibj48YWNjZXNzaW9uLW51
bT4yMjc2MjM3NjwvYWNjZXNzaW9uLW51bT48dXJscz48cmVsYXRlZC11cmxzPjx1cmw+aHR0cHM6
Ly93d3cubmNiaS5ubG0ubmloLmdvdi9wdWJtZWQvMjI3NjIzNzY8L3VybD48L3JlbGF0ZWQtdXJs
cz48L3VybHM+PGN1c3RvbTI+UE1DMzQ3NTExNDwvY3VzdG9tMj48ZWxlY3Ryb25pYy1yZXNvdXJj
ZS1udW0+MTAuMTE4Ni8xNDcxLTIzOTMtMTItNjQ8L2VsZWN0cm9uaWMtcmVzb3VyY2UtbnVtPjwv
cmVjb3JkPjwvQ2l0ZT48Q2l0ZT48QXV0aG9yPkJyb2VraHVpemVuPC9BdXRob3I+PFllYXI+MjAx
ODwvWWVhcj48UmVjTnVtPjczMDwvUmVjTnVtPjxyZWNvcmQ+PHJlYy1udW1iZXI+NzMwPC9yZWMt
bnVtYmVyPjxmb3JlaWduLWtleXM+PGtleSBhcHA9IkVOIiBkYi1pZD0iZXh2YXNyZngyZHRyYW9l
c2FzeHAyc3pzeGEyZGY1MDI1OTJ4IiB0aW1lc3RhbXA9IjE1NDE0Njc3NTAiPjczMDwva2V5Pjxr
ZXkgYXBwPSJFTldlYiIgZGItaWQ9IiI+MDwva2V5PjwvZm9yZWlnbi1rZXlzPjxyZWYtdHlwZSBu
YW1lPSJKb3VybmFsIEFydGljbGUiPjE3PC9yZWYtdHlwZT48Y29udHJpYnV0b3JzPjxhdXRob3Jz
PjxhdXRob3I+QnJvZWtodWl6ZW4sIEthcmVuPC9hdXRob3I+PGF1dGhvcj5TaW1tb25zLCBEYXZp
ZDwvYXV0aG9yPjxhdXRob3I+RGV2bGllZ2VyLCBSb2xhbmQ8L2F1dGhvcj48YXV0aG9yPnZhbiBB
c3NjaGUsIEFuZHLDqTwvYXV0aG9yPjxhdXRob3I+SmFucywgR29lbGU8L2F1dGhvcj48YXV0aG9y
PkdhbGphYXJkLCBTYW5kZXI8L2F1dGhvcj48YXV0aG9yPkNvcmNveSwgUm9zYTwvYXV0aG9yPjxh
dXRob3I+QWRlbGFudGFkbywgSnVhbiBNLjwvYXV0aG9yPjxhdXRob3I+RHVubmUsIEZpZGVsbWE8
L2F1dGhvcj48YXV0aG9yPkRlc295ZSwgR2Vybm90PC9hdXRob3I+PGF1dGhvcj5IYXJyZWl0ZXIs
IErDvHJnZW48L2F1dGhvcj48YXV0aG9yPkthdXR6a3ktV2lsbGVyLCBBbGV4YW5kcmE8L2F1dGhv
cj48YXV0aG9yPkRhbW0sIFBldGVyPC9hdXRob3I+PGF1dGhvcj5NYXRoaWVzZW4sIEVsaXNhYmV0
aCBSLjwvYXV0aG9yPjxhdXRob3I+SmVuc2VuLCBEb3J0ZSBNLjwvYXV0aG9yPjxhdXRob3I+QW5k
ZXJzZW4sIExpc2Vsb3R0ZSBMLjwvYXV0aG9yPjxhdXRob3I+TGFwb2xsYSwgQW5udW56aWF0YTwv
YXV0aG9yPjxhdXRob3I+RGFsZnJhLCBNYXJpYSBHLjwvYXV0aG9yPjxhdXRob3I+QmVydG9sb3R0
bywgQWxlc3NhbmRyYTwvYXV0aG9yPjxhdXRob3I+V2VuZGVyLU96ZWdvd3NrYSwgRXdhPC9hdXRo
b3I+PGF1dGhvcj5aYXdpZWpza2EsIEFnbmllc3prYTwvYXV0aG9yPjxhdXRob3I+SGlsbCwgRGF2
aWQ8L2F1dGhvcj48YXV0aG9yPlNub2VrLCBGcmFuayBKLjwvYXV0aG9yPjxhdXRob3I+SmVsc21h
LCBKdWRpdGggRy4gTS48L2F1dGhvcj48YXV0aG9yPkJvc21hbnMsIEp1ZGl0aCBFLjwvYXV0aG9y
PjxhdXRob3I+dmFuIFBvcHBlbCwgTWlyZWlsbGUgTi4gTS48L2F1dGhvcj48YXV0aG9yPnZhbiBE
b25nZW4sIEpvaGFubmEgTS48L2F1dGhvcj48L2F1dGhvcnM+PC9jb250cmlidXRvcnM+PHRpdGxl
cz48dGl0bGU+Q29zdC1lZmZlY3RpdmVuZXNzIG9mIGhlYWx0aHkgZWF0aW5nIGFuZC9vciBwaHlz
aWNhbCBhY3Rpdml0eSBwcm9tb3Rpb24gaW4gcHJlZ25hbnQgd29tZW4gYXQgaW5jcmVhc2VkIHJp
c2sgb2YgZ2VzdGF0aW9uYWwgZGlhYmV0ZXMgbWVsbGl0dXM6IGVjb25vbWljIGV2YWx1YXRpb24g
YWxvbmdzaWRlIHRoZSBEQUxJIHN0dWR5LCBhIEV1cm9wZWFuIG11bHRpY2VudGVyIHJhbmRvbWl6
ZWQgY29udHJvbGxlZCB0cmlhbDwvdGl0bGU+PHNlY29uZGFyeS10aXRsZT5JbnRlcm5hdGlvbmFs
IEpvdXJuYWwgb2YgQmVoYXZpb3JhbCBOdXRyaXRpb24gYW5kIFBoeXNpY2FsIEFjdGl2aXR5PC9z
ZWNvbmRhcnktdGl0bGU+PC90aXRsZXM+PHBlcmlvZGljYWw+PGZ1bGwtdGl0bGU+SW50ZXJuYXRp
b25hbCBKb3VybmFsIG9mIEJlaGF2aW9yYWwgTnV0cml0aW9uIGFuZCBQaHlzaWNhbCBBY3Rpdml0
eTwvZnVsbC10aXRsZT48L3BlcmlvZGljYWw+PHZvbHVtZT4xNTwvdm9sdW1lPjxudW1iZXI+MTwv
bnVtYmVyPjxkYXRlcz48eWVhcj4yMDE4PC95ZWFyPjwvZGF0ZXM+PGlzYm4+MTQ3OS01ODY4PC9p
c2JuPjx1cmxzPjwvdXJscz48ZWxlY3Ryb25pYy1yZXNvdXJjZS1udW0+MTAuMTE4Ni9zMTI5NjYt
MDE4LTA2NDMteTwvZWxlY3Ryb25pYy1yZXNvdXJjZS1udW0+PC9yZWNvcmQ+PC9DaXRlPjwvRW5k
Tm90ZT5=
</w:fldData>
        </w:fldChar>
      </w:r>
      <w:r w:rsidR="002747EA">
        <w:instrText xml:space="preserve"> ADDIN EN.CITE.DATA </w:instrText>
      </w:r>
      <w:r w:rsidR="002747EA">
        <w:fldChar w:fldCharType="end"/>
      </w:r>
      <w:r w:rsidR="00D81890">
        <w:fldChar w:fldCharType="separate"/>
      </w:r>
      <w:r w:rsidR="002747EA" w:rsidRPr="002747EA">
        <w:rPr>
          <w:noProof/>
          <w:vertAlign w:val="superscript"/>
        </w:rPr>
        <w:t>530,531</w:t>
      </w:r>
      <w:r w:rsidR="00D81890">
        <w:fldChar w:fldCharType="end"/>
      </w:r>
      <w:r w:rsidR="00D81890">
        <w:t xml:space="preserve"> or women who were overweight or obese</w:t>
      </w:r>
      <w:r w:rsidR="00D604EF">
        <w:t>.</w:t>
      </w:r>
      <w:r w:rsidR="00D07346">
        <w:fldChar w:fldCharType="begin"/>
      </w:r>
      <w:r w:rsidR="002747EA">
        <w:instrText xml:space="preserve"> ADDIN EN.CITE &lt;EndNote&gt;&lt;Cite&gt;&lt;Author&gt;O&amp;apos;Sullivan&lt;/Author&gt;&lt;Year&gt;2020&lt;/Year&gt;&lt;RecNum&gt;1924&lt;/RecNum&gt;&lt;DisplayText&gt;&lt;style face="superscript" font="Trebuchet MS" size="9"&gt;532&lt;/style&gt;&lt;/DisplayText&gt;&lt;record&gt;&lt;rec-number&gt;1924&lt;/rec-number&gt;&lt;foreign-keys&gt;&lt;key app="EN" db-id="exvasrfx2dtraoesasxp2szsxa2df502592x" timestamp="1588569546"&gt;1924&lt;/key&gt;&lt;key app="ENWeb" db-id=""&gt;0&lt;/key&gt;&lt;/foreign-keys&gt;&lt;ref-type name="Journal Article"&gt;17&lt;/ref-type&gt;&lt;contributors&gt;&lt;authors&gt;&lt;author&gt;O&amp;apos;Sullivan, E. J.&lt;/author&gt;&lt;author&gt;Rokicki, S.&lt;/author&gt;&lt;author&gt;Kennelly, M.&lt;/author&gt;&lt;author&gt;Ainscough, K.&lt;/author&gt;&lt;author&gt;McAuliffe, F. M.&lt;/author&gt;&lt;/authors&gt;&lt;/contributors&gt;&lt;auth-address&gt;UCD Perinatal Research Centre, School of Medicine, University College Dublin, National Maternity Hospital Ireland, Dublin, Ireland.&amp;#xD;School of Biological and Health Sciences, Technological University Dublin, Dublin, Ireland.&amp;#xD;Geary Institute for Public Policy, University College Dublin, Dublin, Ireland.&amp;#xD;Department of Health Behavior, Society, and Policy, Rutgers School of Public Health, Piscataway, United States.&amp;#xD;UCD Perinatal Research Centre, School of Medicine, University College Dublin, National Maternity Hospital Ireland, Dublin, Ireland. fionnuala.mcauliffe@ucd.ie.&lt;/auth-address&gt;&lt;titles&gt;&lt;title&gt;Cost-effectiveness of a mobile health-supported lifestyle intervention for pregnant women with an elevated body mass index&lt;/title&gt;&lt;secondary-title&gt;Int J Obes (Lond)&lt;/secondary-title&gt;&lt;/titles&gt;&lt;periodical&gt;&lt;full-title&gt;Int J Obes (Lond)&lt;/full-title&gt;&lt;/periodical&gt;&lt;pages&gt;999-1010&lt;/pages&gt;&lt;volume&gt;44&lt;/volume&gt;&lt;number&gt;5&lt;/number&gt;&lt;edition&gt;2020/01/23&lt;/edition&gt;&lt;dates&gt;&lt;year&gt;2020&lt;/year&gt;&lt;pub-dates&gt;&lt;date&gt;May&lt;/date&gt;&lt;/pub-dates&gt;&lt;/dates&gt;&lt;isbn&gt;1476-5497 (Electronic)&amp;#xD;0307-0565 (Linking)&lt;/isbn&gt;&lt;accession-num&gt;31965073&lt;/accession-num&gt;&lt;urls&gt;&lt;related-urls&gt;&lt;url&gt;https://www.ncbi.nlm.nih.gov/pubmed/31965073&lt;/url&gt;&lt;/related-urls&gt;&lt;/urls&gt;&lt;electronic-resource-num&gt;10.1038/s41366-020-0531-9&lt;/electronic-resource-num&gt;&lt;/record&gt;&lt;/Cite&gt;&lt;/EndNote&gt;</w:instrText>
      </w:r>
      <w:r w:rsidR="00D07346">
        <w:fldChar w:fldCharType="separate"/>
      </w:r>
      <w:r w:rsidR="002747EA" w:rsidRPr="002747EA">
        <w:rPr>
          <w:noProof/>
          <w:vertAlign w:val="superscript"/>
        </w:rPr>
        <w:t>532</w:t>
      </w:r>
      <w:r w:rsidR="00D07346">
        <w:fldChar w:fldCharType="end"/>
      </w:r>
      <w:r w:rsidR="00D604EF">
        <w:t xml:space="preserve"> </w:t>
      </w:r>
    </w:p>
    <w:p w14:paraId="4D049FE8" w14:textId="148613AB" w:rsidR="004A3E92" w:rsidRDefault="00D604EF" w:rsidP="00D604EF">
      <w:pPr>
        <w:pStyle w:val="bullet"/>
      </w:pPr>
      <w:r w:rsidRPr="00D604EF">
        <w:t xml:space="preserve">The cost-effectiveness analyses </w:t>
      </w:r>
      <w:r>
        <w:t>of the FitFor2 exercise program</w:t>
      </w:r>
      <w:r w:rsidR="00283324">
        <w:fldChar w:fldCharType="begin">
          <w:fldData xml:space="preserve">PEVuZE5vdGU+PENpdGU+PEF1dGhvcj5Pb3N0ZGFtPC9BdXRob3I+PFllYXI+MjAxMjwvWWVhcj48
UmVjTnVtPjE3OTU8L1JlY051bT48RGlzcGxheVRleHQ+PHN0eWxlIGZhY2U9InN1cGVyc2NyaXB0
IiBmb250PSJUcmVidWNoZXQgTVMiIHNpemU9IjkiPjUzMDwvc3R5bGU+PC9EaXNwbGF5VGV4dD48
cmVjb3JkPjxyZWMtbnVtYmVyPjE3OTU8L3JlYy1udW1iZXI+PGZvcmVpZ24ta2V5cz48a2V5IGFw
cD0iRU4iIGRiLWlkPSJleHZhc3JmeDJkdHJhb2VzYXN4cDJzenN4YTJkZjUwMjU5MngiIHRpbWVz
dGFtcD0iMTU4MzM4MDIzMCI+MTc5NTwva2V5PjwvZm9yZWlnbi1rZXlzPjxyZWYtdHlwZSBuYW1l
PSJKb3VybmFsIEFydGljbGUiPjE3PC9yZWYtdHlwZT48Y29udHJpYnV0b3JzPjxhdXRob3JzPjxh
dXRob3I+T29zdGRhbSwgTi48L2F1dGhvcj48YXV0aG9yPkJvc21hbnMsIEouPC9hdXRob3I+PGF1
dGhvcj5Xb3V0ZXJzLCBNLiBHLjwvYXV0aG9yPjxhdXRob3I+RWVraG9mZiwgRS4gTS48L2F1dGhv
cj48YXV0aG9yPnZhbiBNZWNoZWxlbiwgVy48L2F1dGhvcj48YXV0aG9yPnZhbiBQb3BwZWwsIE0u
IE4uPC9hdXRob3I+PC9hdXRob3JzPjwvY29udHJpYnV0b3JzPjxhdXRoLWFkZHJlc3M+RGVwYXJ0
bWVudCBvZiBQdWJsaWMgYW5kIE9jY3VwYXRpb25hbCBIZWFsdGgsIEVNR08rIEluc3RpdHV0ZSBm
b3IgSGVhbHRoIGFuZCBDYXJlIFJlc2VhcmNoLCBWVSBVbml2ZXJzaXR5IE1lZGljYWwgQ2VudGVy
LCBBbXN0ZXJkYW0sIFRoZSBOZXRoZXJsYW5kcy48L2F1dGgtYWRkcmVzcz48dGl0bGVzPjx0aXRs
ZT5Db3N0LWVmZmVjdGl2ZW5lc3Mgb2YgYW4gZXhlcmNpc2UgcHJvZ3JhbSBkdXJpbmcgcHJlZ25h
bmN5IHRvIHByZXZlbnQgZ2VzdGF0aW9uYWwgZGlhYmV0ZXM6IHJlc3VsdHMgb2YgYW4gZWNvbm9t
aWMgZXZhbHVhdGlvbiBhbG9uZ3NpZGUgYSByYW5kb21pc2VkIGNvbnRyb2xsZWQgdHJpYWw8L3Rp
dGxlPjxzZWNvbmRhcnktdGl0bGU+Qk1DIFByZWduYW5jeSBDaGlsZGJpcnRoPC9zZWNvbmRhcnkt
dGl0bGU+PC90aXRsZXM+PHBlcmlvZGljYWw+PGZ1bGwtdGl0bGU+Qk1DIFByZWduYW5jeSBDaGls
ZGJpcnRoPC9mdWxsLXRpdGxlPjwvcGVyaW9kaWNhbD48cGFnZXM+NjQ8L3BhZ2VzPjx2b2x1bWU+
MTI8L3ZvbHVtZT48ZWRpdGlvbj4yMDEyLzA3LzA2PC9lZGl0aW9uPjxrZXl3b3Jkcz48a2V5d29y
ZD5BZHVsdDwva2V5d29yZD48a2V5d29yZD5Db3N0LUJlbmVmaXQgQW5hbHlzaXM8L2tleXdvcmQ+
PGtleXdvcmQ+RGlhYmV0ZXMsIEdlc3RhdGlvbmFsL2Vjb25vbWljcy8qcHJldmVudGlvbiAmYW1w
OyBjb250cm9sPC9rZXl3b3JkPjxrZXl3b3JkPkV4ZXJjaXNlIFRoZXJhcHkvKmVjb25vbWljczwv
a2V5d29yZD48a2V5d29yZD5GZW1hbGU8L2tleXdvcmQ+PGtleXdvcmQ+SGVhbHRoIENhcmUgQ29z
dHM8L2tleXdvcmQ+PGtleXdvcmQ+SG9zcGl0YWxpemF0aW9uL2Vjb25vbWljcy9zdGF0aXN0aWNz
ICZhbXA7IG51bWVyaWNhbCBkYXRhPC9rZXl3b3JkPjxrZXl3b3JkPkh1bWFuczwva2V5d29yZD48
a2V5d29yZD5JbnN1bGluIFJlc2lzdGFuY2U8L2tleXdvcmQ+PGtleXdvcmQ+SW50ZW50aW9uIHRv
IFRyZWF0IEFuYWx5c2lzPC9rZXl3b3JkPjxrZXl3b3JkPk5ldGhlcmxhbmRzPC9rZXl3b3JkPjxr
ZXl3b3JkPlBhdGllbnQgU2VsZWN0aW9uPC9rZXl3b3JkPjxrZXl3b3JkPlByZWduYW5jeTwva2V5
d29yZD48a2V5d29yZD5RdWFsaXR5IG9mIExpZmU8L2tleXdvcmQ+PGtleXdvcmQ+U2ljayBMZWF2
ZTwva2V5d29yZD48L2tleXdvcmRzPjxkYXRlcz48eWVhcj4yMDEyPC95ZWFyPjxwdWItZGF0ZXM+
PGRhdGU+SnVsIDQ8L2RhdGU+PC9wdWItZGF0ZXM+PC9kYXRlcz48aXNibj4xNDcxLTIzOTMgKEVs
ZWN0cm9uaWMpJiN4RDsxNDcxLTIzOTMgKExpbmtpbmcpPC9pc2JuPjxhY2Nlc3Npb24tbnVtPjIy
NzYyMzc2PC9hY2Nlc3Npb24tbnVtPjx1cmxzPjxyZWxhdGVkLXVybHM+PHVybD5odHRwczovL3d3
dy5uY2JpLm5sbS5uaWguZ292L3B1Ym1lZC8yMjc2MjM3NjwvdXJsPjwvcmVsYXRlZC11cmxzPjwv
dXJscz48Y3VzdG9tMj5QTUMzNDc1MTE0PC9jdXN0b20yPjxlbGVjdHJvbmljLXJlc291cmNlLW51
bT4xMC4xMTg2LzE0NzEtMjM5My0xMi02NDwvZWxlY3Ryb25pYy1yZXNvdXJjZS1udW0+PC9yZWNv
cmQ+PC9DaXRlPjwvRW5kTm90ZT5=
</w:fldData>
        </w:fldChar>
      </w:r>
      <w:r w:rsidR="002747EA">
        <w:instrText xml:space="preserve"> ADDIN EN.CITE </w:instrText>
      </w:r>
      <w:r w:rsidR="002747EA">
        <w:fldChar w:fldCharType="begin">
          <w:fldData xml:space="preserve">PEVuZE5vdGU+PENpdGU+PEF1dGhvcj5Pb3N0ZGFtPC9BdXRob3I+PFllYXI+MjAxMjwvWWVhcj48
UmVjTnVtPjE3OTU8L1JlY051bT48RGlzcGxheVRleHQ+PHN0eWxlIGZhY2U9InN1cGVyc2NyaXB0
IiBmb250PSJUcmVidWNoZXQgTVMiIHNpemU9IjkiPjUzMDwvc3R5bGU+PC9EaXNwbGF5VGV4dD48
cmVjb3JkPjxyZWMtbnVtYmVyPjE3OTU8L3JlYy1udW1iZXI+PGZvcmVpZ24ta2V5cz48a2V5IGFw
cD0iRU4iIGRiLWlkPSJleHZhc3JmeDJkdHJhb2VzYXN4cDJzenN4YTJkZjUwMjU5MngiIHRpbWVz
dGFtcD0iMTU4MzM4MDIzMCI+MTc5NTwva2V5PjwvZm9yZWlnbi1rZXlzPjxyZWYtdHlwZSBuYW1l
PSJKb3VybmFsIEFydGljbGUiPjE3PC9yZWYtdHlwZT48Y29udHJpYnV0b3JzPjxhdXRob3JzPjxh
dXRob3I+T29zdGRhbSwgTi48L2F1dGhvcj48YXV0aG9yPkJvc21hbnMsIEouPC9hdXRob3I+PGF1
dGhvcj5Xb3V0ZXJzLCBNLiBHLjwvYXV0aG9yPjxhdXRob3I+RWVraG9mZiwgRS4gTS48L2F1dGhv
cj48YXV0aG9yPnZhbiBNZWNoZWxlbiwgVy48L2F1dGhvcj48YXV0aG9yPnZhbiBQb3BwZWwsIE0u
IE4uPC9hdXRob3I+PC9hdXRob3JzPjwvY29udHJpYnV0b3JzPjxhdXRoLWFkZHJlc3M+RGVwYXJ0
bWVudCBvZiBQdWJsaWMgYW5kIE9jY3VwYXRpb25hbCBIZWFsdGgsIEVNR08rIEluc3RpdHV0ZSBm
b3IgSGVhbHRoIGFuZCBDYXJlIFJlc2VhcmNoLCBWVSBVbml2ZXJzaXR5IE1lZGljYWwgQ2VudGVy
LCBBbXN0ZXJkYW0sIFRoZSBOZXRoZXJsYW5kcy48L2F1dGgtYWRkcmVzcz48dGl0bGVzPjx0aXRs
ZT5Db3N0LWVmZmVjdGl2ZW5lc3Mgb2YgYW4gZXhlcmNpc2UgcHJvZ3JhbSBkdXJpbmcgcHJlZ25h
bmN5IHRvIHByZXZlbnQgZ2VzdGF0aW9uYWwgZGlhYmV0ZXM6IHJlc3VsdHMgb2YgYW4gZWNvbm9t
aWMgZXZhbHVhdGlvbiBhbG9uZ3NpZGUgYSByYW5kb21pc2VkIGNvbnRyb2xsZWQgdHJpYWw8L3Rp
dGxlPjxzZWNvbmRhcnktdGl0bGU+Qk1DIFByZWduYW5jeSBDaGlsZGJpcnRoPC9zZWNvbmRhcnkt
dGl0bGU+PC90aXRsZXM+PHBlcmlvZGljYWw+PGZ1bGwtdGl0bGU+Qk1DIFByZWduYW5jeSBDaGls
ZGJpcnRoPC9mdWxsLXRpdGxlPjwvcGVyaW9kaWNhbD48cGFnZXM+NjQ8L3BhZ2VzPjx2b2x1bWU+
MTI8L3ZvbHVtZT48ZWRpdGlvbj4yMDEyLzA3LzA2PC9lZGl0aW9uPjxrZXl3b3Jkcz48a2V5d29y
ZD5BZHVsdDwva2V5d29yZD48a2V5d29yZD5Db3N0LUJlbmVmaXQgQW5hbHlzaXM8L2tleXdvcmQ+
PGtleXdvcmQ+RGlhYmV0ZXMsIEdlc3RhdGlvbmFsL2Vjb25vbWljcy8qcHJldmVudGlvbiAmYW1w
OyBjb250cm9sPC9rZXl3b3JkPjxrZXl3b3JkPkV4ZXJjaXNlIFRoZXJhcHkvKmVjb25vbWljczwv
a2V5d29yZD48a2V5d29yZD5GZW1hbGU8L2tleXdvcmQ+PGtleXdvcmQ+SGVhbHRoIENhcmUgQ29z
dHM8L2tleXdvcmQ+PGtleXdvcmQ+SG9zcGl0YWxpemF0aW9uL2Vjb25vbWljcy9zdGF0aXN0aWNz
ICZhbXA7IG51bWVyaWNhbCBkYXRhPC9rZXl3b3JkPjxrZXl3b3JkPkh1bWFuczwva2V5d29yZD48
a2V5d29yZD5JbnN1bGluIFJlc2lzdGFuY2U8L2tleXdvcmQ+PGtleXdvcmQ+SW50ZW50aW9uIHRv
IFRyZWF0IEFuYWx5c2lzPC9rZXl3b3JkPjxrZXl3b3JkPk5ldGhlcmxhbmRzPC9rZXl3b3JkPjxr
ZXl3b3JkPlBhdGllbnQgU2VsZWN0aW9uPC9rZXl3b3JkPjxrZXl3b3JkPlByZWduYW5jeTwva2V5
d29yZD48a2V5d29yZD5RdWFsaXR5IG9mIExpZmU8L2tleXdvcmQ+PGtleXdvcmQ+U2ljayBMZWF2
ZTwva2V5d29yZD48L2tleXdvcmRzPjxkYXRlcz48eWVhcj4yMDEyPC95ZWFyPjxwdWItZGF0ZXM+
PGRhdGU+SnVsIDQ8L2RhdGU+PC9wdWItZGF0ZXM+PC9kYXRlcz48aXNibj4xNDcxLTIzOTMgKEVs
ZWN0cm9uaWMpJiN4RDsxNDcxLTIzOTMgKExpbmtpbmcpPC9pc2JuPjxhY2Nlc3Npb24tbnVtPjIy
NzYyMzc2PC9hY2Nlc3Npb24tbnVtPjx1cmxzPjxyZWxhdGVkLXVybHM+PHVybD5odHRwczovL3d3
dy5uY2JpLm5sbS5uaWguZ292L3B1Ym1lZC8yMjc2MjM3NjwvdXJsPjwvcmVsYXRlZC11cmxzPjwv
dXJscz48Y3VzdG9tMj5QTUMzNDc1MTE0PC9jdXN0b20yPjxlbGVjdHJvbmljLXJlc291cmNlLW51
bT4xMC4xMTg2LzE0NzEtMjM5My0xMi02NDwvZWxlY3Ryb25pYy1yZXNvdXJjZS1udW0+PC9yZWNv
cmQ+PC9DaXRlPjwvRW5kTm90ZT5=
</w:fldData>
        </w:fldChar>
      </w:r>
      <w:r w:rsidR="002747EA">
        <w:instrText xml:space="preserve"> ADDIN EN.CITE.DATA </w:instrText>
      </w:r>
      <w:r w:rsidR="002747EA">
        <w:fldChar w:fldCharType="end"/>
      </w:r>
      <w:r w:rsidR="00283324">
        <w:fldChar w:fldCharType="separate"/>
      </w:r>
      <w:r w:rsidR="002747EA" w:rsidRPr="002747EA">
        <w:rPr>
          <w:noProof/>
          <w:vertAlign w:val="superscript"/>
        </w:rPr>
        <w:t>530</w:t>
      </w:r>
      <w:r w:rsidR="00283324">
        <w:fldChar w:fldCharType="end"/>
      </w:r>
      <w:r>
        <w:t xml:space="preserve"> </w:t>
      </w:r>
      <w:r w:rsidRPr="00D604EF">
        <w:t xml:space="preserve">showed that </w:t>
      </w:r>
      <w:r>
        <w:t>it</w:t>
      </w:r>
      <w:r w:rsidRPr="00D604EF">
        <w:t xml:space="preserve"> was not cost-effective in comparison to the control group for blood glucose levels, insulin sensitivity, infant birth weight or </w:t>
      </w:r>
      <w:r>
        <w:t>quality-adjusted life years</w:t>
      </w:r>
      <w:r w:rsidRPr="00D604EF">
        <w:t>.</w:t>
      </w:r>
    </w:p>
    <w:p w14:paraId="62BB5794" w14:textId="01EFB389" w:rsidR="00D604EF" w:rsidRDefault="002C5FDB" w:rsidP="004A3E92">
      <w:pPr>
        <w:pStyle w:val="bullet"/>
      </w:pPr>
      <w:r>
        <w:t xml:space="preserve">In the DALI program, women were randomised to a healthy eating and physical activity intervention, a healthy eating intervention, a physical activity intervention or usual care. </w:t>
      </w:r>
      <w:r w:rsidR="00D604EF">
        <w:t>The cost-effectiveness analyses of the program,</w:t>
      </w:r>
      <w:r w:rsidR="00283324">
        <w:fldChar w:fldCharType="begin">
          <w:fldData xml:space="preserve">PEVuZE5vdGU+PENpdGU+PEF1dGhvcj5Ccm9la2h1aXplbjwvQXV0aG9yPjxZZWFyPjIwMTg8L1ll
YXI+PFJlY051bT43MzA8L1JlY051bT48RGlzcGxheVRleHQ+PHN0eWxlIGZhY2U9InN1cGVyc2Ny
aXB0IiBmb250PSJUcmVidWNoZXQgTVMiIHNpemU9IjkiPjUzMTwvc3R5bGU+PC9EaXNwbGF5VGV4
dD48cmVjb3JkPjxyZWMtbnVtYmVyPjczMDwvcmVjLW51bWJlcj48Zm9yZWlnbi1rZXlzPjxrZXkg
YXBwPSJFTiIgZGItaWQ9ImV4dmFzcmZ4MmR0cmFvZXNhc3hwMnN6c3hhMmRmNTAyNTkyeCIgdGlt
ZXN0YW1wPSIxNTQxNDY3NzUwIj43MzA8L2tleT48a2V5IGFwcD0iRU5XZWIiIGRiLWlkPSIiPjA8
L2tleT48L2ZvcmVpZ24ta2V5cz48cmVmLXR5cGUgbmFtZT0iSm91cm5hbCBBcnRpY2xlIj4xNzwv
cmVmLXR5cGU+PGNvbnRyaWJ1dG9ycz48YXV0aG9ycz48YXV0aG9yPkJyb2VraHVpemVuLCBLYXJl
bjwvYXV0aG9yPjxhdXRob3I+U2ltbW9ucywgRGF2aWQ8L2F1dGhvcj48YXV0aG9yPkRldmxpZWdl
ciwgUm9sYW5kPC9hdXRob3I+PGF1dGhvcj52YW4gQXNzY2hlLCBBbmRyw6k8L2F1dGhvcj48YXV0
aG9yPkphbnMsIEdvZWxlPC9hdXRob3I+PGF1dGhvcj5HYWxqYWFyZCwgU2FuZGVyPC9hdXRob3I+
PGF1dGhvcj5Db3Jjb3ksIFJvc2E8L2F1dGhvcj48YXV0aG9yPkFkZWxhbnRhZG8sIEp1YW4gTS48
L2F1dGhvcj48YXV0aG9yPkR1bm5lLCBGaWRlbG1hPC9hdXRob3I+PGF1dGhvcj5EZXNveWUsIEdl
cm5vdDwvYXV0aG9yPjxhdXRob3I+SGFycmVpdGVyLCBKw7xyZ2VuPC9hdXRob3I+PGF1dGhvcj5L
YXV0emt5LVdpbGxlciwgQWxleGFuZHJhPC9hdXRob3I+PGF1dGhvcj5EYW1tLCBQZXRlcjwvYXV0
aG9yPjxhdXRob3I+TWF0aGllc2VuLCBFbGlzYWJldGggUi48L2F1dGhvcj48YXV0aG9yPkplbnNl
biwgRG9ydGUgTS48L2F1dGhvcj48YXV0aG9yPkFuZGVyc2VuLCBMaXNlbG90dGUgTC48L2F1dGhv
cj48YXV0aG9yPkxhcG9sbGEsIEFubnVuemlhdGE8L2F1dGhvcj48YXV0aG9yPkRhbGZyYSwgTWFy
aWEgRy48L2F1dGhvcj48YXV0aG9yPkJlcnRvbG90dG8sIEFsZXNzYW5kcmE8L2F1dGhvcj48YXV0
aG9yPldlbmRlci1PemVnb3dza2EsIEV3YTwvYXV0aG9yPjxhdXRob3I+WmF3aWVqc2thLCBBZ25p
ZXN6a2E8L2F1dGhvcj48YXV0aG9yPkhpbGwsIERhdmlkPC9hdXRob3I+PGF1dGhvcj5Tbm9laywg
RnJhbmsgSi48L2F1dGhvcj48YXV0aG9yPkplbHNtYSwgSnVkaXRoIEcuIE0uPC9hdXRob3I+PGF1
dGhvcj5Cb3NtYW5zLCBKdWRpdGggRS48L2F1dGhvcj48YXV0aG9yPnZhbiBQb3BwZWwsIE1pcmVp
bGxlIE4uIE0uPC9hdXRob3I+PGF1dGhvcj52YW4gRG9uZ2VuLCBKb2hhbm5hIE0uPC9hdXRob3I+
PC9hdXRob3JzPjwvY29udHJpYnV0b3JzPjx0aXRsZXM+PHRpdGxlPkNvc3QtZWZmZWN0aXZlbmVz
cyBvZiBoZWFsdGh5IGVhdGluZyBhbmQvb3IgcGh5c2ljYWwgYWN0aXZpdHkgcHJvbW90aW9uIGlu
IHByZWduYW50IHdvbWVuIGF0IGluY3JlYXNlZCByaXNrIG9mIGdlc3RhdGlvbmFsIGRpYWJldGVz
IG1lbGxpdHVzOiBlY29ub21pYyBldmFsdWF0aW9uIGFsb25nc2lkZSB0aGUgREFMSSBzdHVkeSwg
YSBFdXJvcGVhbiBtdWx0aWNlbnRlciByYW5kb21pemVkIGNvbnRyb2xsZWQgdHJpYWw8L3RpdGxl
PjxzZWNvbmRhcnktdGl0bGU+SW50ZXJuYXRpb25hbCBKb3VybmFsIG9mIEJlaGF2aW9yYWwgTnV0
cml0aW9uIGFuZCBQaHlzaWNhbCBBY3Rpdml0eTwvc2Vjb25kYXJ5LXRpdGxlPjwvdGl0bGVzPjxw
ZXJpb2RpY2FsPjxmdWxsLXRpdGxlPkludGVybmF0aW9uYWwgSm91cm5hbCBvZiBCZWhhdmlvcmFs
IE51dHJpdGlvbiBhbmQgUGh5c2ljYWwgQWN0aXZpdHk8L2Z1bGwtdGl0bGU+PC9wZXJpb2RpY2Fs
Pjx2b2x1bWU+MTU8L3ZvbHVtZT48bnVtYmVyPjE8L251bWJlcj48ZGF0ZXM+PHllYXI+MjAxODwv
eWVhcj48L2RhdGVzPjxpc2JuPjE0NzktNTg2ODwvaXNibj48dXJscz48L3VybHM+PGVsZWN0cm9u
aWMtcmVzb3VyY2UtbnVtPjEwLjExODYvczEyOTY2LTAxOC0wNjQzLXk8L2VsZWN0cm9uaWMtcmVz
b3VyY2UtbnVtPjwvcmVjb3JkPjwvQ2l0ZT48L0VuZE5vdGU+
</w:fldData>
        </w:fldChar>
      </w:r>
      <w:r w:rsidR="002747EA">
        <w:instrText xml:space="preserve"> ADDIN EN.CITE </w:instrText>
      </w:r>
      <w:r w:rsidR="002747EA">
        <w:fldChar w:fldCharType="begin">
          <w:fldData xml:space="preserve">PEVuZE5vdGU+PENpdGU+PEF1dGhvcj5Ccm9la2h1aXplbjwvQXV0aG9yPjxZZWFyPjIwMTg8L1ll
YXI+PFJlY051bT43MzA8L1JlY051bT48RGlzcGxheVRleHQ+PHN0eWxlIGZhY2U9InN1cGVyc2Ny
aXB0IiBmb250PSJUcmVidWNoZXQgTVMiIHNpemU9IjkiPjUzMTwvc3R5bGU+PC9EaXNwbGF5VGV4
dD48cmVjb3JkPjxyZWMtbnVtYmVyPjczMDwvcmVjLW51bWJlcj48Zm9yZWlnbi1rZXlzPjxrZXkg
YXBwPSJFTiIgZGItaWQ9ImV4dmFzcmZ4MmR0cmFvZXNhc3hwMnN6c3hhMmRmNTAyNTkyeCIgdGlt
ZXN0YW1wPSIxNTQxNDY3NzUwIj43MzA8L2tleT48a2V5IGFwcD0iRU5XZWIiIGRiLWlkPSIiPjA8
L2tleT48L2ZvcmVpZ24ta2V5cz48cmVmLXR5cGUgbmFtZT0iSm91cm5hbCBBcnRpY2xlIj4xNzwv
cmVmLXR5cGU+PGNvbnRyaWJ1dG9ycz48YXV0aG9ycz48YXV0aG9yPkJyb2VraHVpemVuLCBLYXJl
bjwvYXV0aG9yPjxhdXRob3I+U2ltbW9ucywgRGF2aWQ8L2F1dGhvcj48YXV0aG9yPkRldmxpZWdl
ciwgUm9sYW5kPC9hdXRob3I+PGF1dGhvcj52YW4gQXNzY2hlLCBBbmRyw6k8L2F1dGhvcj48YXV0
aG9yPkphbnMsIEdvZWxlPC9hdXRob3I+PGF1dGhvcj5HYWxqYWFyZCwgU2FuZGVyPC9hdXRob3I+
PGF1dGhvcj5Db3Jjb3ksIFJvc2E8L2F1dGhvcj48YXV0aG9yPkFkZWxhbnRhZG8sIEp1YW4gTS48
L2F1dGhvcj48YXV0aG9yPkR1bm5lLCBGaWRlbG1hPC9hdXRob3I+PGF1dGhvcj5EZXNveWUsIEdl
cm5vdDwvYXV0aG9yPjxhdXRob3I+SGFycmVpdGVyLCBKw7xyZ2VuPC9hdXRob3I+PGF1dGhvcj5L
YXV0emt5LVdpbGxlciwgQWxleGFuZHJhPC9hdXRob3I+PGF1dGhvcj5EYW1tLCBQZXRlcjwvYXV0
aG9yPjxhdXRob3I+TWF0aGllc2VuLCBFbGlzYWJldGggUi48L2F1dGhvcj48YXV0aG9yPkplbnNl
biwgRG9ydGUgTS48L2F1dGhvcj48YXV0aG9yPkFuZGVyc2VuLCBMaXNlbG90dGUgTC48L2F1dGhv
cj48YXV0aG9yPkxhcG9sbGEsIEFubnVuemlhdGE8L2F1dGhvcj48YXV0aG9yPkRhbGZyYSwgTWFy
aWEgRy48L2F1dGhvcj48YXV0aG9yPkJlcnRvbG90dG8sIEFsZXNzYW5kcmE8L2F1dGhvcj48YXV0
aG9yPldlbmRlci1PemVnb3dza2EsIEV3YTwvYXV0aG9yPjxhdXRob3I+WmF3aWVqc2thLCBBZ25p
ZXN6a2E8L2F1dGhvcj48YXV0aG9yPkhpbGwsIERhdmlkPC9hdXRob3I+PGF1dGhvcj5Tbm9laywg
RnJhbmsgSi48L2F1dGhvcj48YXV0aG9yPkplbHNtYSwgSnVkaXRoIEcuIE0uPC9hdXRob3I+PGF1
dGhvcj5Cb3NtYW5zLCBKdWRpdGggRS48L2F1dGhvcj48YXV0aG9yPnZhbiBQb3BwZWwsIE1pcmVp
bGxlIE4uIE0uPC9hdXRob3I+PGF1dGhvcj52YW4gRG9uZ2VuLCBKb2hhbm5hIE0uPC9hdXRob3I+
PC9hdXRob3JzPjwvY29udHJpYnV0b3JzPjx0aXRsZXM+PHRpdGxlPkNvc3QtZWZmZWN0aXZlbmVz
cyBvZiBoZWFsdGh5IGVhdGluZyBhbmQvb3IgcGh5c2ljYWwgYWN0aXZpdHkgcHJvbW90aW9uIGlu
IHByZWduYW50IHdvbWVuIGF0IGluY3JlYXNlZCByaXNrIG9mIGdlc3RhdGlvbmFsIGRpYWJldGVz
IG1lbGxpdHVzOiBlY29ub21pYyBldmFsdWF0aW9uIGFsb25nc2lkZSB0aGUgREFMSSBzdHVkeSwg
YSBFdXJvcGVhbiBtdWx0aWNlbnRlciByYW5kb21pemVkIGNvbnRyb2xsZWQgdHJpYWw8L3RpdGxl
PjxzZWNvbmRhcnktdGl0bGU+SW50ZXJuYXRpb25hbCBKb3VybmFsIG9mIEJlaGF2aW9yYWwgTnV0
cml0aW9uIGFuZCBQaHlzaWNhbCBBY3Rpdml0eTwvc2Vjb25kYXJ5LXRpdGxlPjwvdGl0bGVzPjxw
ZXJpb2RpY2FsPjxmdWxsLXRpdGxlPkludGVybmF0aW9uYWwgSm91cm5hbCBvZiBCZWhhdmlvcmFs
IE51dHJpdGlvbiBhbmQgUGh5c2ljYWwgQWN0aXZpdHk8L2Z1bGwtdGl0bGU+PC9wZXJpb2RpY2Fs
Pjx2b2x1bWU+MTU8L3ZvbHVtZT48bnVtYmVyPjE8L251bWJlcj48ZGF0ZXM+PHllYXI+MjAxODwv
eWVhcj48L2RhdGVzPjxpc2JuPjE0NzktNTg2ODwvaXNibj48dXJscz48L3VybHM+PGVsZWN0cm9u
aWMtcmVzb3VyY2UtbnVtPjEwLjExODYvczEyOTY2LTAxOC0wNjQzLXk8L2VsZWN0cm9uaWMtcmVz
b3VyY2UtbnVtPjwvcmVjb3JkPjwvQ2l0ZT48L0VuZE5vdGU+
</w:fldData>
        </w:fldChar>
      </w:r>
      <w:r w:rsidR="002747EA">
        <w:instrText xml:space="preserve"> ADDIN EN.CITE.DATA </w:instrText>
      </w:r>
      <w:r w:rsidR="002747EA">
        <w:fldChar w:fldCharType="end"/>
      </w:r>
      <w:r w:rsidR="00283324">
        <w:fldChar w:fldCharType="separate"/>
      </w:r>
      <w:r w:rsidR="002747EA" w:rsidRPr="002747EA">
        <w:rPr>
          <w:noProof/>
          <w:vertAlign w:val="superscript"/>
        </w:rPr>
        <w:t>531</w:t>
      </w:r>
      <w:r w:rsidR="00283324">
        <w:fldChar w:fldCharType="end"/>
      </w:r>
      <w:r w:rsidR="00D604EF">
        <w:t xml:space="preserve"> </w:t>
      </w:r>
      <w:r>
        <w:t>found that b</w:t>
      </w:r>
      <w:r w:rsidR="00D604EF" w:rsidRPr="00D604EF">
        <w:t xml:space="preserve">etween-group total cost and effect differences were not significant, </w:t>
      </w:r>
      <w:r>
        <w:t>other than</w:t>
      </w:r>
      <w:r w:rsidR="00D604EF" w:rsidRPr="00D604EF">
        <w:t xml:space="preserve"> significantly less gestational</w:t>
      </w:r>
      <w:r w:rsidR="00D604EF">
        <w:t xml:space="preserve"> </w:t>
      </w:r>
      <w:r w:rsidR="00D604EF" w:rsidRPr="00D604EF">
        <w:t xml:space="preserve">weight gain in the </w:t>
      </w:r>
      <w:r>
        <w:t>healthy eating and physical activity</w:t>
      </w:r>
      <w:r w:rsidR="00D604EF" w:rsidRPr="00D604EF">
        <w:t xml:space="preserve"> group compared with the usual care group at 35–37 weeks. Cost</w:t>
      </w:r>
      <w:r w:rsidR="00D604EF">
        <w:t>-</w:t>
      </w:r>
      <w:r w:rsidR="00D604EF" w:rsidRPr="00D604EF">
        <w:t>effectiveness</w:t>
      </w:r>
      <w:r w:rsidR="00D604EF">
        <w:t xml:space="preserve"> </w:t>
      </w:r>
      <w:r w:rsidR="00D604EF" w:rsidRPr="00D604EF">
        <w:t xml:space="preserve">acceptability curves indicated that the </w:t>
      </w:r>
      <w:r>
        <w:t>healthy eating and physical activity</w:t>
      </w:r>
      <w:r w:rsidR="00D604EF" w:rsidRPr="00D604EF">
        <w:t xml:space="preserve"> intervention was the preferred intervention strategy. At</w:t>
      </w:r>
      <w:r w:rsidR="00D604EF">
        <w:t xml:space="preserve"> </w:t>
      </w:r>
      <w:r w:rsidR="00D604EF" w:rsidRPr="00D604EF">
        <w:t>35–37 weeks, it depends on the decision-makers’ willingness to pay per kilogram reduction in gestational weight</w:t>
      </w:r>
      <w:r w:rsidR="00D604EF">
        <w:t xml:space="preserve"> </w:t>
      </w:r>
      <w:r w:rsidR="00D604EF" w:rsidRPr="00D604EF">
        <w:t>gain whether the HE + PA intervention is cost-effective for gestational weight gain, whereas it was not cost</w:t>
      </w:r>
      <w:r>
        <w:t>-</w:t>
      </w:r>
      <w:r w:rsidR="00D604EF" w:rsidRPr="00D604EF">
        <w:t>effective</w:t>
      </w:r>
      <w:r w:rsidR="00D604EF">
        <w:t xml:space="preserve"> </w:t>
      </w:r>
      <w:r w:rsidR="00D604EF" w:rsidRPr="00D604EF">
        <w:t xml:space="preserve">for fasting glucose and HOMA-IR. After </w:t>
      </w:r>
      <w:r>
        <w:t>birth</w:t>
      </w:r>
      <w:r w:rsidR="00D604EF" w:rsidRPr="00D604EF">
        <w:t xml:space="preserve">, the </w:t>
      </w:r>
      <w:r>
        <w:t>healthy eating and physical activity</w:t>
      </w:r>
      <w:r w:rsidR="00D604EF" w:rsidRPr="00D604EF">
        <w:t xml:space="preserve"> intervention was cost-effective for </w:t>
      </w:r>
      <w:r>
        <w:t>quality-adjusted life years</w:t>
      </w:r>
      <w:r w:rsidR="00D604EF" w:rsidRPr="00D604EF">
        <w:t>,</w:t>
      </w:r>
      <w:r w:rsidR="00D604EF">
        <w:t xml:space="preserve"> </w:t>
      </w:r>
      <w:r w:rsidR="00D604EF" w:rsidRPr="00D604EF">
        <w:t xml:space="preserve">which was predominantly caused by a large reduction in </w:t>
      </w:r>
      <w:r w:rsidR="00D604EF">
        <w:t>birth</w:t>
      </w:r>
      <w:r w:rsidR="00D604EF" w:rsidRPr="00D604EF">
        <w:t>-related costs.</w:t>
      </w:r>
    </w:p>
    <w:p w14:paraId="57A47479" w14:textId="2D2FBD3B" w:rsidR="00D81890" w:rsidRPr="00D81890" w:rsidRDefault="00D81890" w:rsidP="0030223E">
      <w:pPr>
        <w:pStyle w:val="bullet"/>
      </w:pPr>
      <w:r>
        <w:t xml:space="preserve">A cost-effectiveness analysis of Pears </w:t>
      </w:r>
      <w:r w:rsidRPr="00A95FF7">
        <w:t>dietary and exercise advice</w:t>
      </w:r>
      <w:r>
        <w:t xml:space="preserve"> intervention, found that such an intervention </w:t>
      </w:r>
      <w:r w:rsidRPr="00D81890">
        <w:t>could be cost-effective</w:t>
      </w:r>
      <w:r>
        <w:t xml:space="preserve"> but</w:t>
      </w:r>
      <w:r w:rsidRPr="00D81890">
        <w:t xml:space="preserve"> a better understanding</w:t>
      </w:r>
      <w:r>
        <w:t xml:space="preserve"> </w:t>
      </w:r>
      <w:r w:rsidRPr="00D81890">
        <w:t xml:space="preserve">of the short- and long-term costs of </w:t>
      </w:r>
      <w:r>
        <w:t>large for gestational age and weight gain exceeding IOM recommendations</w:t>
      </w:r>
      <w:r w:rsidRPr="00D81890">
        <w:t xml:space="preserve"> is necessary to con</w:t>
      </w:r>
      <w:r w:rsidRPr="00D81890">
        <w:rPr>
          <w:rFonts w:ascii="Helvetica" w:hAnsi="Helvetica"/>
        </w:rPr>
        <w:t>fi</w:t>
      </w:r>
      <w:r w:rsidRPr="00D81890">
        <w:t>rm the results.</w:t>
      </w:r>
      <w:r w:rsidR="00D07346">
        <w:fldChar w:fldCharType="begin"/>
      </w:r>
      <w:r w:rsidR="002747EA">
        <w:instrText xml:space="preserve"> ADDIN EN.CITE &lt;EndNote&gt;&lt;Cite&gt;&lt;Author&gt;O&amp;apos;Sullivan&lt;/Author&gt;&lt;Year&gt;2020&lt;/Year&gt;&lt;RecNum&gt;1924&lt;/RecNum&gt;&lt;DisplayText&gt;&lt;style face="superscript" font="Trebuchet MS" size="9"&gt;532&lt;/style&gt;&lt;/DisplayText&gt;&lt;record&gt;&lt;rec-number&gt;1924&lt;/rec-number&gt;&lt;foreign-keys&gt;&lt;key app="EN" db-id="exvasrfx2dtraoesasxp2szsxa2df502592x" timestamp="1588569546"&gt;1924&lt;/key&gt;&lt;key app="ENWeb" db-id=""&gt;0&lt;/key&gt;&lt;/foreign-keys&gt;&lt;ref-type name="Journal Article"&gt;17&lt;/ref-type&gt;&lt;contributors&gt;&lt;authors&gt;&lt;author&gt;O&amp;apos;Sullivan, E. J.&lt;/author&gt;&lt;author&gt;Rokicki, S.&lt;/author&gt;&lt;author&gt;Kennelly, M.&lt;/author&gt;&lt;author&gt;Ainscough, K.&lt;/author&gt;&lt;author&gt;McAuliffe, F. M.&lt;/author&gt;&lt;/authors&gt;&lt;/contributors&gt;&lt;auth-address&gt;UCD Perinatal Research Centre, School of Medicine, University College Dublin, National Maternity Hospital Ireland, Dublin, Ireland.&amp;#xD;School of Biological and Health Sciences, Technological University Dublin, Dublin, Ireland.&amp;#xD;Geary Institute for Public Policy, University College Dublin, Dublin, Ireland.&amp;#xD;Department of Health Behavior, Society, and Policy, Rutgers School of Public Health, Piscataway, United States.&amp;#xD;UCD Perinatal Research Centre, School of Medicine, University College Dublin, National Maternity Hospital Ireland, Dublin, Ireland. fionnuala.mcauliffe@ucd.ie.&lt;/auth-address&gt;&lt;titles&gt;&lt;title&gt;Cost-effectiveness of a mobile health-supported lifestyle intervention for pregnant women with an elevated body mass index&lt;/title&gt;&lt;secondary-title&gt;Int J Obes (Lond)&lt;/secondary-title&gt;&lt;/titles&gt;&lt;periodical&gt;&lt;full-title&gt;Int J Obes (Lond)&lt;/full-title&gt;&lt;/periodical&gt;&lt;pages&gt;999-1010&lt;/pages&gt;&lt;volume&gt;44&lt;/volume&gt;&lt;number&gt;5&lt;/number&gt;&lt;edition&gt;2020/01/23&lt;/edition&gt;&lt;dates&gt;&lt;year&gt;2020&lt;/year&gt;&lt;pub-dates&gt;&lt;date&gt;May&lt;/date&gt;&lt;/pub-dates&gt;&lt;/dates&gt;&lt;isbn&gt;1476-5497 (Electronic)&amp;#xD;0307-0565 (Linking)&lt;/isbn&gt;&lt;accession-num&gt;31965073&lt;/accession-num&gt;&lt;urls&gt;&lt;related-urls&gt;&lt;url&gt;https://www.ncbi.nlm.nih.gov/pubmed/31965073&lt;/url&gt;&lt;/related-urls&gt;&lt;/urls&gt;&lt;electronic-resource-num&gt;10.1038/s41366-020-0531-9&lt;/electronic-resource-num&gt;&lt;/record&gt;&lt;/Cite&gt;&lt;/EndNote&gt;</w:instrText>
      </w:r>
      <w:r w:rsidR="00D07346">
        <w:fldChar w:fldCharType="separate"/>
      </w:r>
      <w:r w:rsidR="002747EA" w:rsidRPr="002747EA">
        <w:rPr>
          <w:noProof/>
          <w:vertAlign w:val="superscript"/>
        </w:rPr>
        <w:t>532</w:t>
      </w:r>
      <w:r w:rsidR="00D07346">
        <w:fldChar w:fldCharType="end"/>
      </w:r>
    </w:p>
    <w:p w14:paraId="5FB20F0B" w14:textId="25B899D4" w:rsidR="00D645E9" w:rsidRDefault="00E70A06" w:rsidP="00D645E9">
      <w:pPr>
        <w:pStyle w:val="Heading3"/>
      </w:pPr>
      <w:bookmarkStart w:id="228" w:name="_Toc39569148"/>
      <w:bookmarkStart w:id="229" w:name="_Toc40620752"/>
      <w:bookmarkStart w:id="230" w:name="_Toc40943826"/>
      <w:bookmarkStart w:id="231" w:name="_Toc40956548"/>
      <w:bookmarkEnd w:id="228"/>
      <w:bookmarkEnd w:id="229"/>
      <w:bookmarkEnd w:id="230"/>
      <w:r>
        <w:t>Evidence s</w:t>
      </w:r>
      <w:r w:rsidR="00D645E9">
        <w:t>ummary</w:t>
      </w:r>
      <w:bookmarkEnd w:id="231"/>
    </w:p>
    <w:p w14:paraId="4CF8081D" w14:textId="0EF04C9E" w:rsidR="00D645E9" w:rsidRPr="00C12274" w:rsidRDefault="00D645E9" w:rsidP="00D645E9">
      <w:pPr>
        <w:rPr>
          <w:lang w:val="en-AU"/>
        </w:rPr>
      </w:pPr>
      <w:r w:rsidRPr="00C12274">
        <w:rPr>
          <w:lang w:val="en-AU"/>
        </w:rPr>
        <w:t xml:space="preserve">This review and meta-analysis assessed the effectiveness in </w:t>
      </w:r>
      <w:r>
        <w:rPr>
          <w:lang w:val="en-AU"/>
        </w:rPr>
        <w:t>reducing</w:t>
      </w:r>
      <w:r w:rsidRPr="00C12274">
        <w:rPr>
          <w:lang w:val="en-AU"/>
        </w:rPr>
        <w:t xml:space="preserve"> weight ga</w:t>
      </w:r>
      <w:r w:rsidR="00707B11">
        <w:rPr>
          <w:lang w:val="en-AU"/>
        </w:rPr>
        <w:t>in and other adverse outcomes among</w:t>
      </w:r>
      <w:r w:rsidRPr="00C12274">
        <w:rPr>
          <w:lang w:val="en-AU"/>
        </w:rPr>
        <w:t xml:space="preserve"> pregnant women of </w:t>
      </w:r>
      <w:r>
        <w:rPr>
          <w:lang w:val="en-AU"/>
        </w:rPr>
        <w:t xml:space="preserve">dietary interventions with no exercise component, </w:t>
      </w:r>
      <w:r w:rsidRPr="00C12274">
        <w:rPr>
          <w:lang w:val="en-AU"/>
        </w:rPr>
        <w:t>exercise interventions</w:t>
      </w:r>
      <w:r>
        <w:rPr>
          <w:lang w:val="en-AU"/>
        </w:rPr>
        <w:t>, and</w:t>
      </w:r>
      <w:r w:rsidRPr="00C12274">
        <w:rPr>
          <w:lang w:val="en-AU"/>
        </w:rPr>
        <w:t xml:space="preserve"> </w:t>
      </w:r>
      <w:r>
        <w:rPr>
          <w:lang w:val="en-AU"/>
        </w:rPr>
        <w:t>lifestyle counselling about weight gain, diet, exercise and self-monitoring</w:t>
      </w:r>
      <w:r w:rsidRPr="00C12274">
        <w:rPr>
          <w:lang w:val="en-AU"/>
        </w:rPr>
        <w:t xml:space="preserve">. </w:t>
      </w:r>
    </w:p>
    <w:p w14:paraId="625C28AF" w14:textId="6EF3BA32" w:rsidR="00D645E9" w:rsidRPr="00C12274" w:rsidRDefault="00D645E9" w:rsidP="00D645E9">
      <w:pPr>
        <w:rPr>
          <w:lang w:val="en-AU"/>
        </w:rPr>
      </w:pPr>
      <w:r w:rsidRPr="00C12274">
        <w:rPr>
          <w:lang w:val="en-AU"/>
        </w:rPr>
        <w:t xml:space="preserve">Databases searched included Embase, CINAHL, Pubmed (1998 to 6/7/18) and Cochrane Library (01/01/2016 to 17/08/2018). </w:t>
      </w:r>
      <w:r w:rsidRPr="00C12274">
        <w:t>Studies were included if they were randomised controlled trials, in English, the population studied was healthy pregnant women (ie women who do not have identified pre-existing conditions and are not at higher risk of complications su</w:t>
      </w:r>
      <w:r>
        <w:t>ch as in multiple pregnancy), a dietary,</w:t>
      </w:r>
      <w:r w:rsidRPr="00C12274">
        <w:t xml:space="preserve"> exercise</w:t>
      </w:r>
      <w:r>
        <w:t xml:space="preserve"> or lifestyle counselling</w:t>
      </w:r>
      <w:r w:rsidRPr="00C12274">
        <w:t xml:space="preserve"> intervention was compared to </w:t>
      </w:r>
      <w:r>
        <w:t>usual</w:t>
      </w:r>
      <w:r w:rsidRPr="00C12274">
        <w:t xml:space="preserve"> care and any of the pre-specified outcomes were reported.</w:t>
      </w:r>
      <w:r w:rsidRPr="00C12274">
        <w:rPr>
          <w:lang w:val="en-AU"/>
        </w:rPr>
        <w:t xml:space="preserve"> </w:t>
      </w:r>
    </w:p>
    <w:p w14:paraId="4D21183A" w14:textId="77777777" w:rsidR="00FB25AD" w:rsidRDefault="00D645E9" w:rsidP="00FB25AD">
      <w:pPr>
        <w:pStyle w:val="Heading4"/>
        <w:rPr>
          <w:lang w:val="en-AU"/>
        </w:rPr>
      </w:pPr>
      <w:r w:rsidRPr="00C12274">
        <w:rPr>
          <w:lang w:val="en-AU"/>
        </w:rPr>
        <w:t>Outcomes</w:t>
      </w:r>
    </w:p>
    <w:p w14:paraId="0491ADD9" w14:textId="09AB43E3" w:rsidR="00D645E9" w:rsidRPr="00C12274" w:rsidRDefault="00D645E9" w:rsidP="00D645E9">
      <w:pPr>
        <w:rPr>
          <w:lang w:val="en-AU"/>
        </w:rPr>
      </w:pPr>
      <w:r w:rsidRPr="00C12274">
        <w:rPr>
          <w:lang w:val="en-AU"/>
        </w:rPr>
        <w:t xml:space="preserve">Maternal outcomes were mean gestational weight gain, weight gain exceeding Institute of Medicine (IOM) guidelines, gestational diabetes, gestational hypertension, pre-eclampsia, caesarean section, depression and </w:t>
      </w:r>
      <w:r>
        <w:rPr>
          <w:lang w:val="en-AU"/>
        </w:rPr>
        <w:t xml:space="preserve">postnatal </w:t>
      </w:r>
      <w:r w:rsidRPr="00C12274">
        <w:rPr>
          <w:lang w:val="en-AU"/>
        </w:rPr>
        <w:t xml:space="preserve">weight retention. Infant outcomes were preterm birth, low birth weight, macrosomia, small for gestational age, large for gestational age, Apgar score </w:t>
      </w:r>
      <w:r>
        <w:rPr>
          <w:lang w:val="en-AU"/>
        </w:rPr>
        <w:t xml:space="preserve">&lt;7 </w:t>
      </w:r>
      <w:r w:rsidRPr="00C12274">
        <w:rPr>
          <w:lang w:val="en-AU"/>
        </w:rPr>
        <w:t xml:space="preserve">at 5 minutes and </w:t>
      </w:r>
      <w:r>
        <w:rPr>
          <w:lang w:val="en-AU"/>
        </w:rPr>
        <w:t xml:space="preserve">early </w:t>
      </w:r>
      <w:r w:rsidRPr="00C12274">
        <w:rPr>
          <w:lang w:val="en-AU"/>
        </w:rPr>
        <w:t>childhood weight.</w:t>
      </w:r>
    </w:p>
    <w:p w14:paraId="63C7235D" w14:textId="77777777" w:rsidR="00D645E9" w:rsidRDefault="00D645E9" w:rsidP="00FB25AD">
      <w:pPr>
        <w:pStyle w:val="Heading4"/>
        <w:rPr>
          <w:lang w:val="en-AU"/>
        </w:rPr>
      </w:pPr>
      <w:r w:rsidRPr="00C12274">
        <w:rPr>
          <w:lang w:val="en-AU"/>
        </w:rPr>
        <w:t>Results</w:t>
      </w:r>
    </w:p>
    <w:p w14:paraId="6F4F6A8B" w14:textId="3B6E5D6B" w:rsidR="002B555C" w:rsidRDefault="00267209" w:rsidP="002B555C">
      <w:pPr>
        <w:rPr>
          <w:lang w:val="en-AU"/>
        </w:rPr>
      </w:pPr>
      <w:r>
        <w:rPr>
          <w:lang w:val="en-AU"/>
        </w:rPr>
        <w:t xml:space="preserve">The evidence shows a lower mean gestational weight gain among women participating in a dietary intervention (very low </w:t>
      </w:r>
      <w:r w:rsidR="00343BBE">
        <w:rPr>
          <w:lang w:val="en-AU"/>
        </w:rPr>
        <w:t>certainty</w:t>
      </w:r>
      <w:r>
        <w:rPr>
          <w:lang w:val="en-AU"/>
        </w:rPr>
        <w:t xml:space="preserve">), exercise intervention (moderate </w:t>
      </w:r>
      <w:r w:rsidR="00343BBE">
        <w:rPr>
          <w:lang w:val="en-AU"/>
        </w:rPr>
        <w:t>certainty</w:t>
      </w:r>
      <w:r>
        <w:rPr>
          <w:lang w:val="en-AU"/>
        </w:rPr>
        <w:t xml:space="preserve">) or lifestyle counselling intervention (low </w:t>
      </w:r>
      <w:r w:rsidR="00343BBE">
        <w:rPr>
          <w:lang w:val="en-AU"/>
        </w:rPr>
        <w:t>certainty</w:t>
      </w:r>
      <w:r>
        <w:rPr>
          <w:lang w:val="en-AU"/>
        </w:rPr>
        <w:t xml:space="preserve">). </w:t>
      </w:r>
      <w:r w:rsidR="0041497E">
        <w:rPr>
          <w:lang w:val="en-AU"/>
        </w:rPr>
        <w:t xml:space="preserve">These interventions also lowered the risk of weight gain exceeding guidelines (very low to low </w:t>
      </w:r>
      <w:r w:rsidR="00343BBE">
        <w:rPr>
          <w:lang w:val="en-AU"/>
        </w:rPr>
        <w:t>certainty</w:t>
      </w:r>
      <w:r w:rsidR="0041497E">
        <w:rPr>
          <w:lang w:val="en-AU"/>
        </w:rPr>
        <w:t>).</w:t>
      </w:r>
    </w:p>
    <w:p w14:paraId="35E592DE" w14:textId="37F1F6F8" w:rsidR="0041497E" w:rsidRDefault="00AB069E" w:rsidP="002B555C">
      <w:pPr>
        <w:rPr>
          <w:lang w:val="en-AU"/>
        </w:rPr>
      </w:pPr>
      <w:r>
        <w:rPr>
          <w:lang w:val="en-AU"/>
        </w:rPr>
        <w:t xml:space="preserve">Dietary interventions </w:t>
      </w:r>
      <w:r w:rsidR="00E146F0">
        <w:rPr>
          <w:lang w:val="en-AU"/>
        </w:rPr>
        <w:t xml:space="preserve">showed </w:t>
      </w:r>
      <w:r w:rsidR="004A3D93">
        <w:rPr>
          <w:lang w:val="en-AU"/>
        </w:rPr>
        <w:t>no clear difference</w:t>
      </w:r>
      <w:r w:rsidR="007A2336">
        <w:rPr>
          <w:lang w:val="en-AU"/>
        </w:rPr>
        <w:t xml:space="preserve"> in risk of gestational diabetes (very low </w:t>
      </w:r>
      <w:r w:rsidR="00343BBE">
        <w:rPr>
          <w:lang w:val="en-AU"/>
        </w:rPr>
        <w:t>certainty</w:t>
      </w:r>
      <w:r w:rsidR="007A2336">
        <w:rPr>
          <w:lang w:val="en-AU"/>
        </w:rPr>
        <w:t>)</w:t>
      </w:r>
      <w:r w:rsidR="004A3D93">
        <w:rPr>
          <w:lang w:val="en-AU"/>
        </w:rPr>
        <w:t xml:space="preserve">, </w:t>
      </w:r>
      <w:r w:rsidR="00DC7F54">
        <w:rPr>
          <w:lang w:val="en-AU"/>
        </w:rPr>
        <w:t xml:space="preserve">exercise interventions showed reduced risk </w:t>
      </w:r>
      <w:r w:rsidR="007A2336">
        <w:rPr>
          <w:lang w:val="en-AU"/>
        </w:rPr>
        <w:t xml:space="preserve">(low </w:t>
      </w:r>
      <w:r w:rsidR="00343BBE">
        <w:rPr>
          <w:lang w:val="en-AU"/>
        </w:rPr>
        <w:t>certainty</w:t>
      </w:r>
      <w:r w:rsidR="007A2336">
        <w:rPr>
          <w:lang w:val="en-AU"/>
        </w:rPr>
        <w:t xml:space="preserve">) </w:t>
      </w:r>
      <w:r w:rsidR="00DC7F54">
        <w:rPr>
          <w:lang w:val="en-AU"/>
        </w:rPr>
        <w:t>and lifestyle counselling showed a probable reduction in risk</w:t>
      </w:r>
      <w:r w:rsidR="007A2336">
        <w:rPr>
          <w:lang w:val="en-AU"/>
        </w:rPr>
        <w:t xml:space="preserve"> (moderate </w:t>
      </w:r>
      <w:r w:rsidR="00343BBE">
        <w:rPr>
          <w:lang w:val="en-AU"/>
        </w:rPr>
        <w:t>certainty</w:t>
      </w:r>
      <w:r w:rsidR="007A2336">
        <w:rPr>
          <w:lang w:val="en-AU"/>
        </w:rPr>
        <w:t>)</w:t>
      </w:r>
      <w:r w:rsidR="00DC7F54">
        <w:rPr>
          <w:lang w:val="en-AU"/>
        </w:rPr>
        <w:t>.</w:t>
      </w:r>
      <w:r w:rsidR="007A2336">
        <w:rPr>
          <w:lang w:val="en-AU"/>
        </w:rPr>
        <w:t xml:space="preserve"> </w:t>
      </w:r>
    </w:p>
    <w:p w14:paraId="7028E84A" w14:textId="622D59F5" w:rsidR="007A2336" w:rsidRDefault="007A2336" w:rsidP="002B555C">
      <w:pPr>
        <w:rPr>
          <w:lang w:val="en-AU"/>
        </w:rPr>
      </w:pPr>
      <w:r>
        <w:rPr>
          <w:lang w:val="en-AU"/>
        </w:rPr>
        <w:t xml:space="preserve">There was a reduction in risk of gestational hypertension with dietary intervention or exercise intervention (moderate </w:t>
      </w:r>
      <w:r w:rsidR="00343BBE">
        <w:rPr>
          <w:lang w:val="en-AU"/>
        </w:rPr>
        <w:t>certainty</w:t>
      </w:r>
      <w:r>
        <w:rPr>
          <w:lang w:val="en-AU"/>
        </w:rPr>
        <w:t xml:space="preserve">) but no clear difference in risk with lifestyle counselling (low </w:t>
      </w:r>
      <w:r w:rsidR="00343BBE">
        <w:rPr>
          <w:lang w:val="en-AU"/>
        </w:rPr>
        <w:t>certainty</w:t>
      </w:r>
      <w:r>
        <w:rPr>
          <w:lang w:val="en-AU"/>
        </w:rPr>
        <w:t xml:space="preserve">). There was no clear difference in risk of pre-eclampsia with any type of intervention (low to moderate </w:t>
      </w:r>
      <w:r w:rsidR="00343BBE">
        <w:rPr>
          <w:lang w:val="en-AU"/>
        </w:rPr>
        <w:t>certainty</w:t>
      </w:r>
      <w:r>
        <w:rPr>
          <w:lang w:val="en-AU"/>
        </w:rPr>
        <w:t>).</w:t>
      </w:r>
    </w:p>
    <w:p w14:paraId="08B12D53" w14:textId="478017F4" w:rsidR="007A2336" w:rsidRDefault="007A2336" w:rsidP="002B555C">
      <w:pPr>
        <w:rPr>
          <w:lang w:val="en-AU"/>
        </w:rPr>
      </w:pPr>
      <w:r>
        <w:rPr>
          <w:lang w:val="en-AU"/>
        </w:rPr>
        <w:t xml:space="preserve">There was no clear difference in risk of caesarean section with a dietary intervention (very low </w:t>
      </w:r>
      <w:r w:rsidR="00343BBE">
        <w:rPr>
          <w:lang w:val="en-AU"/>
        </w:rPr>
        <w:t>certainty</w:t>
      </w:r>
      <w:r>
        <w:rPr>
          <w:lang w:val="en-AU"/>
        </w:rPr>
        <w:t xml:space="preserve">) but a reduction in risk with exercise intervention (moderate </w:t>
      </w:r>
      <w:r w:rsidR="00343BBE">
        <w:rPr>
          <w:lang w:val="en-AU"/>
        </w:rPr>
        <w:t>certainty</w:t>
      </w:r>
      <w:r>
        <w:rPr>
          <w:lang w:val="en-AU"/>
        </w:rPr>
        <w:t xml:space="preserve">) and </w:t>
      </w:r>
      <w:r w:rsidR="00672232">
        <w:rPr>
          <w:lang w:val="en-AU"/>
        </w:rPr>
        <w:t xml:space="preserve">a probable reduction in risk with </w:t>
      </w:r>
      <w:r>
        <w:rPr>
          <w:lang w:val="en-AU"/>
        </w:rPr>
        <w:t xml:space="preserve">lifestyle counselling (low </w:t>
      </w:r>
      <w:r w:rsidR="00343BBE">
        <w:rPr>
          <w:lang w:val="en-AU"/>
        </w:rPr>
        <w:t>certainty</w:t>
      </w:r>
      <w:r>
        <w:rPr>
          <w:lang w:val="en-AU"/>
        </w:rPr>
        <w:t>).</w:t>
      </w:r>
    </w:p>
    <w:p w14:paraId="647B2A9D" w14:textId="06D6603E" w:rsidR="007A2336" w:rsidRDefault="007A2336" w:rsidP="002B555C">
      <w:pPr>
        <w:rPr>
          <w:lang w:val="en-AU"/>
        </w:rPr>
      </w:pPr>
      <w:r>
        <w:rPr>
          <w:lang w:val="en-AU"/>
        </w:rPr>
        <w:t xml:space="preserve">There was a reduction in risk of antenatal </w:t>
      </w:r>
      <w:r w:rsidR="0030223E">
        <w:rPr>
          <w:lang w:val="en-AU"/>
        </w:rPr>
        <w:t xml:space="preserve">and postnatal </w:t>
      </w:r>
      <w:r>
        <w:rPr>
          <w:lang w:val="en-AU"/>
        </w:rPr>
        <w:t xml:space="preserve">depression with exercise intervention (moderate </w:t>
      </w:r>
      <w:r w:rsidR="00343BBE">
        <w:rPr>
          <w:lang w:val="en-AU"/>
        </w:rPr>
        <w:t>certainty</w:t>
      </w:r>
      <w:r>
        <w:rPr>
          <w:lang w:val="en-AU"/>
        </w:rPr>
        <w:t>) and no clear difference with lifestyle counselling.</w:t>
      </w:r>
    </w:p>
    <w:p w14:paraId="098E7831" w14:textId="7CF17964" w:rsidR="007A2336" w:rsidRDefault="007A2336" w:rsidP="002B555C">
      <w:pPr>
        <w:rPr>
          <w:lang w:val="en-AU"/>
        </w:rPr>
      </w:pPr>
      <w:r>
        <w:rPr>
          <w:lang w:val="en-AU"/>
        </w:rPr>
        <w:t xml:space="preserve">There was no clear difference in postnatal weight retention with a dietary intervention (very low </w:t>
      </w:r>
      <w:r w:rsidR="00343BBE">
        <w:rPr>
          <w:lang w:val="en-AU"/>
        </w:rPr>
        <w:t>certainty</w:t>
      </w:r>
      <w:r>
        <w:rPr>
          <w:lang w:val="en-AU"/>
        </w:rPr>
        <w:t>)</w:t>
      </w:r>
      <w:r w:rsidR="00845E47">
        <w:rPr>
          <w:lang w:val="en-AU"/>
        </w:rPr>
        <w:t xml:space="preserve"> or exercise intervention (</w:t>
      </w:r>
      <w:r w:rsidR="0030223E">
        <w:rPr>
          <w:lang w:val="en-AU"/>
        </w:rPr>
        <w:t>moderate certainty</w:t>
      </w:r>
      <w:r w:rsidR="00845E47">
        <w:rPr>
          <w:lang w:val="en-AU"/>
        </w:rPr>
        <w:t xml:space="preserve">) and a reduction with lifestyle counselling (moderate </w:t>
      </w:r>
      <w:r w:rsidR="00343BBE">
        <w:rPr>
          <w:lang w:val="en-AU"/>
        </w:rPr>
        <w:t>certainty</w:t>
      </w:r>
      <w:r w:rsidR="00845E47">
        <w:rPr>
          <w:lang w:val="en-AU"/>
        </w:rPr>
        <w:t>).</w:t>
      </w:r>
    </w:p>
    <w:p w14:paraId="4CBBC505" w14:textId="599360A3" w:rsidR="00060785" w:rsidRDefault="00060785" w:rsidP="002B555C">
      <w:pPr>
        <w:rPr>
          <w:lang w:val="en-AU"/>
        </w:rPr>
      </w:pPr>
      <w:r>
        <w:rPr>
          <w:lang w:val="en-AU"/>
        </w:rPr>
        <w:t>The risk of preterm birth was reduced with a dietary intervention</w:t>
      </w:r>
      <w:r w:rsidR="0030223E">
        <w:rPr>
          <w:lang w:val="en-AU"/>
        </w:rPr>
        <w:t>, probably reduced with</w:t>
      </w:r>
      <w:r>
        <w:rPr>
          <w:lang w:val="en-AU"/>
        </w:rPr>
        <w:t xml:space="preserve"> lifestyle counselling </w:t>
      </w:r>
      <w:r w:rsidR="0030223E">
        <w:rPr>
          <w:lang w:val="en-AU"/>
        </w:rPr>
        <w:t>and not changed</w:t>
      </w:r>
      <w:r>
        <w:rPr>
          <w:lang w:val="en-AU"/>
        </w:rPr>
        <w:t xml:space="preserve"> exercise intervention (moderate </w:t>
      </w:r>
      <w:r w:rsidR="00343BBE">
        <w:rPr>
          <w:lang w:val="en-AU"/>
        </w:rPr>
        <w:t>certainty</w:t>
      </w:r>
      <w:r>
        <w:rPr>
          <w:lang w:val="en-AU"/>
        </w:rPr>
        <w:t xml:space="preserve">). There was no clear difference in risk of macrosomia &gt;4,000g with dietary intervention (very low </w:t>
      </w:r>
      <w:r w:rsidR="00343BBE">
        <w:rPr>
          <w:lang w:val="en-AU"/>
        </w:rPr>
        <w:t>certainty</w:t>
      </w:r>
      <w:r>
        <w:rPr>
          <w:lang w:val="en-AU"/>
        </w:rPr>
        <w:t xml:space="preserve">) but a reduction in risk with exercise intervention (moderate </w:t>
      </w:r>
      <w:r w:rsidR="00343BBE">
        <w:rPr>
          <w:lang w:val="en-AU"/>
        </w:rPr>
        <w:t>certainty</w:t>
      </w:r>
      <w:r>
        <w:rPr>
          <w:lang w:val="en-AU"/>
        </w:rPr>
        <w:t xml:space="preserve">) </w:t>
      </w:r>
      <w:r w:rsidR="00264F78">
        <w:rPr>
          <w:lang w:val="en-AU"/>
        </w:rPr>
        <w:t>and a probable reduction in risk with</w:t>
      </w:r>
      <w:r>
        <w:rPr>
          <w:lang w:val="en-AU"/>
        </w:rPr>
        <w:t xml:space="preserve"> lifestyle counselling (low </w:t>
      </w:r>
      <w:r w:rsidR="00343BBE">
        <w:rPr>
          <w:lang w:val="en-AU"/>
        </w:rPr>
        <w:t>certainty</w:t>
      </w:r>
      <w:r>
        <w:rPr>
          <w:lang w:val="en-AU"/>
        </w:rPr>
        <w:t xml:space="preserve">). There was a reduction of risk of macrosomia &gt;4,500 g with lifestyle counselling (moderate </w:t>
      </w:r>
      <w:r w:rsidR="00343BBE">
        <w:rPr>
          <w:lang w:val="en-AU"/>
        </w:rPr>
        <w:t>certainty</w:t>
      </w:r>
      <w:r>
        <w:rPr>
          <w:lang w:val="en-AU"/>
        </w:rPr>
        <w:t xml:space="preserve">). </w:t>
      </w:r>
      <w:r w:rsidR="00526FB5">
        <w:rPr>
          <w:lang w:val="en-AU"/>
        </w:rPr>
        <w:t xml:space="preserve">There was no clear difference in risk of low birth weight with an exercise intervention (moderate </w:t>
      </w:r>
      <w:r w:rsidR="00343BBE">
        <w:rPr>
          <w:lang w:val="en-AU"/>
        </w:rPr>
        <w:t>certainty</w:t>
      </w:r>
      <w:r w:rsidR="00526FB5">
        <w:rPr>
          <w:lang w:val="en-AU"/>
        </w:rPr>
        <w:t xml:space="preserve">) but a possible reduction in risk with lifestyle counselling (low </w:t>
      </w:r>
      <w:r w:rsidR="00343BBE">
        <w:rPr>
          <w:lang w:val="en-AU"/>
        </w:rPr>
        <w:t>certainty</w:t>
      </w:r>
      <w:r w:rsidR="00526FB5">
        <w:rPr>
          <w:lang w:val="en-AU"/>
        </w:rPr>
        <w:t xml:space="preserve">). </w:t>
      </w:r>
      <w:r>
        <w:rPr>
          <w:lang w:val="en-AU"/>
        </w:rPr>
        <w:t xml:space="preserve">There was a possible reduction in risk of large-for-gestational age with lifestyle counselling (moderate </w:t>
      </w:r>
      <w:r w:rsidR="00343BBE">
        <w:rPr>
          <w:lang w:val="en-AU"/>
        </w:rPr>
        <w:t>certainty</w:t>
      </w:r>
      <w:r>
        <w:rPr>
          <w:lang w:val="en-AU"/>
        </w:rPr>
        <w:t>) but no clear difference in risk with the other interventions.</w:t>
      </w:r>
    </w:p>
    <w:p w14:paraId="27D6F24B" w14:textId="567E0E04" w:rsidR="00845E47" w:rsidRPr="002B555C" w:rsidRDefault="00845E47" w:rsidP="002B555C">
      <w:pPr>
        <w:rPr>
          <w:lang w:val="en-AU"/>
        </w:rPr>
      </w:pPr>
      <w:r>
        <w:rPr>
          <w:lang w:val="en-AU"/>
        </w:rPr>
        <w:t xml:space="preserve">There was no clear difference in risk of small-for-gestational age, Apgar score &lt;7 at 5 minutes or weight in early </w:t>
      </w:r>
      <w:r w:rsidR="00E02662">
        <w:rPr>
          <w:lang w:val="en-AU"/>
        </w:rPr>
        <w:t>childhood with any intervention.</w:t>
      </w:r>
    </w:p>
    <w:p w14:paraId="35B9E55D" w14:textId="116188AA" w:rsidR="00863FE7" w:rsidRPr="00C05019" w:rsidRDefault="00932C6D" w:rsidP="00932C6D">
      <w:pPr>
        <w:pStyle w:val="TableName"/>
      </w:pPr>
      <w:bookmarkStart w:id="232" w:name="_Toc40956685"/>
      <w:r w:rsidRPr="00175279">
        <w:t xml:space="preserve">Q9 </w:t>
      </w:r>
      <w:r w:rsidR="00863FE7" w:rsidRPr="00C05019">
        <w:t>Summary of maternal outcomes by intervention</w:t>
      </w:r>
      <w:bookmarkEnd w:id="232"/>
    </w:p>
    <w:tbl>
      <w:tblPr>
        <w:tblStyle w:val="TableGrid"/>
        <w:tblW w:w="0" w:type="auto"/>
        <w:tblLook w:val="04A0" w:firstRow="1" w:lastRow="0" w:firstColumn="1" w:lastColumn="0" w:noHBand="0" w:noVBand="1"/>
        <w:tblCaption w:val="Table 107: Q9 Summary of maternal outcomes by intervention"/>
      </w:tblPr>
      <w:tblGrid>
        <w:gridCol w:w="1840"/>
        <w:gridCol w:w="1957"/>
        <w:gridCol w:w="3967"/>
        <w:gridCol w:w="1517"/>
      </w:tblGrid>
      <w:tr w:rsidR="00524EDF" w:rsidRPr="001E6B86" w14:paraId="02BD35EB" w14:textId="77777777" w:rsidTr="007A2336">
        <w:trPr>
          <w:tblHeader/>
        </w:trPr>
        <w:tc>
          <w:tcPr>
            <w:tcW w:w="1840" w:type="dxa"/>
            <w:tcBorders>
              <w:bottom w:val="single" w:sz="4" w:space="0" w:color="3B3474"/>
            </w:tcBorders>
          </w:tcPr>
          <w:p w14:paraId="2F96FA4C" w14:textId="2FCA38D0" w:rsidR="00B70F75" w:rsidRPr="001E6B86" w:rsidRDefault="00B70F75" w:rsidP="001E6B86">
            <w:pPr>
              <w:pStyle w:val="RCTstable"/>
              <w:rPr>
                <w:b/>
              </w:rPr>
            </w:pPr>
            <w:r w:rsidRPr="001E6B86">
              <w:rPr>
                <w:b/>
              </w:rPr>
              <w:t>Outcome</w:t>
            </w:r>
          </w:p>
        </w:tc>
        <w:tc>
          <w:tcPr>
            <w:tcW w:w="1957" w:type="dxa"/>
            <w:tcBorders>
              <w:bottom w:val="single" w:sz="4" w:space="0" w:color="3B3474"/>
            </w:tcBorders>
          </w:tcPr>
          <w:p w14:paraId="4E0D1152" w14:textId="7BF23F21" w:rsidR="00B70F75" w:rsidRPr="001E6B86" w:rsidRDefault="00B70F75" w:rsidP="001E6B86">
            <w:pPr>
              <w:pStyle w:val="RCTstable"/>
              <w:rPr>
                <w:b/>
              </w:rPr>
            </w:pPr>
            <w:r w:rsidRPr="001E6B86">
              <w:rPr>
                <w:b/>
              </w:rPr>
              <w:t>Intervention</w:t>
            </w:r>
          </w:p>
        </w:tc>
        <w:tc>
          <w:tcPr>
            <w:tcW w:w="3967" w:type="dxa"/>
            <w:tcBorders>
              <w:bottom w:val="single" w:sz="4" w:space="0" w:color="3B3474"/>
            </w:tcBorders>
          </w:tcPr>
          <w:p w14:paraId="665E5D37" w14:textId="176CD558" w:rsidR="00B70F75" w:rsidRPr="001E6B86" w:rsidRDefault="00B70F75" w:rsidP="001E6B86">
            <w:pPr>
              <w:pStyle w:val="RCTstable"/>
              <w:rPr>
                <w:b/>
              </w:rPr>
            </w:pPr>
            <w:r w:rsidRPr="001E6B86">
              <w:rPr>
                <w:b/>
              </w:rPr>
              <w:t>Effect</w:t>
            </w:r>
          </w:p>
        </w:tc>
        <w:tc>
          <w:tcPr>
            <w:tcW w:w="1517" w:type="dxa"/>
            <w:tcBorders>
              <w:bottom w:val="single" w:sz="4" w:space="0" w:color="3B3474"/>
            </w:tcBorders>
          </w:tcPr>
          <w:p w14:paraId="4D2AEC6F" w14:textId="37FCFD7B" w:rsidR="00B70F75" w:rsidRPr="001E6B86" w:rsidRDefault="00343BBE" w:rsidP="001E6B86">
            <w:pPr>
              <w:pStyle w:val="RCTstable"/>
              <w:rPr>
                <w:b/>
              </w:rPr>
            </w:pPr>
            <w:r>
              <w:rPr>
                <w:b/>
              </w:rPr>
              <w:t>Certainty</w:t>
            </w:r>
          </w:p>
        </w:tc>
      </w:tr>
      <w:tr w:rsidR="00267209" w14:paraId="5BA48092" w14:textId="3015B15D" w:rsidTr="00267209">
        <w:tc>
          <w:tcPr>
            <w:tcW w:w="1840" w:type="dxa"/>
            <w:vMerge w:val="restart"/>
            <w:shd w:val="clear" w:color="auto" w:fill="E7E6E6" w:themeFill="background2"/>
          </w:tcPr>
          <w:p w14:paraId="2E96DF09" w14:textId="6D599D4F" w:rsidR="00524EDF" w:rsidRDefault="00524EDF" w:rsidP="001E6B86">
            <w:pPr>
              <w:pStyle w:val="RCTstable"/>
            </w:pPr>
            <w:r>
              <w:t>Gestational weight gain</w:t>
            </w:r>
          </w:p>
        </w:tc>
        <w:tc>
          <w:tcPr>
            <w:tcW w:w="1957" w:type="dxa"/>
            <w:shd w:val="clear" w:color="auto" w:fill="E7E6E6" w:themeFill="background2"/>
          </w:tcPr>
          <w:p w14:paraId="6CF734FB" w14:textId="21F4DA49" w:rsidR="00524EDF" w:rsidRDefault="00524EDF" w:rsidP="001E6B86">
            <w:pPr>
              <w:pStyle w:val="RCTstable"/>
            </w:pPr>
            <w:r>
              <w:t>Diet</w:t>
            </w:r>
          </w:p>
        </w:tc>
        <w:tc>
          <w:tcPr>
            <w:tcW w:w="3967" w:type="dxa"/>
            <w:shd w:val="clear" w:color="auto" w:fill="E2EFD9" w:themeFill="accent6" w:themeFillTint="33"/>
          </w:tcPr>
          <w:p w14:paraId="62B883C8" w14:textId="3BEC5D18" w:rsidR="00524EDF" w:rsidRDefault="00524EDF" w:rsidP="001E6B86">
            <w:pPr>
              <w:pStyle w:val="RCTstable"/>
            </w:pPr>
            <w:r w:rsidRPr="00AB606F">
              <w:t>MD -3.76 kg; 95%CI -6.38 to -1.13</w:t>
            </w:r>
          </w:p>
        </w:tc>
        <w:tc>
          <w:tcPr>
            <w:tcW w:w="1517" w:type="dxa"/>
            <w:shd w:val="clear" w:color="auto" w:fill="E7E6E6" w:themeFill="background2"/>
          </w:tcPr>
          <w:p w14:paraId="4B41FCB3" w14:textId="78AB8A1A" w:rsidR="00524EDF" w:rsidRDefault="00524EDF" w:rsidP="001E6B86">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68E3A608" w14:textId="3D88368B" w:rsidTr="00267209">
        <w:tc>
          <w:tcPr>
            <w:tcW w:w="1840" w:type="dxa"/>
            <w:vMerge/>
            <w:shd w:val="clear" w:color="auto" w:fill="E7E6E6" w:themeFill="background2"/>
          </w:tcPr>
          <w:p w14:paraId="50E556FA" w14:textId="77777777" w:rsidR="00524EDF" w:rsidRDefault="00524EDF" w:rsidP="001E6B86">
            <w:pPr>
              <w:pStyle w:val="RCTstable"/>
            </w:pPr>
          </w:p>
        </w:tc>
        <w:tc>
          <w:tcPr>
            <w:tcW w:w="1957" w:type="dxa"/>
            <w:shd w:val="clear" w:color="auto" w:fill="E7E6E6" w:themeFill="background2"/>
          </w:tcPr>
          <w:p w14:paraId="09468AEB" w14:textId="61549109" w:rsidR="00524EDF" w:rsidRDefault="00524EDF" w:rsidP="001E6B86">
            <w:pPr>
              <w:pStyle w:val="RCTstable"/>
            </w:pPr>
            <w:r>
              <w:t>Exercise</w:t>
            </w:r>
          </w:p>
        </w:tc>
        <w:tc>
          <w:tcPr>
            <w:tcW w:w="3967" w:type="dxa"/>
            <w:shd w:val="clear" w:color="auto" w:fill="E2EFD9" w:themeFill="accent6" w:themeFillTint="33"/>
          </w:tcPr>
          <w:p w14:paraId="724C0188" w14:textId="2F32C5A3" w:rsidR="00524EDF" w:rsidRDefault="00524EDF" w:rsidP="001E6B86">
            <w:pPr>
              <w:pStyle w:val="RCTstable"/>
            </w:pPr>
            <w:r w:rsidRPr="00AB606F">
              <w:t>MD -0.95 kg; 95%CI -1.20 to -0.69</w:t>
            </w:r>
          </w:p>
        </w:tc>
        <w:tc>
          <w:tcPr>
            <w:tcW w:w="1517" w:type="dxa"/>
            <w:shd w:val="clear" w:color="auto" w:fill="E7E6E6" w:themeFill="background2"/>
          </w:tcPr>
          <w:p w14:paraId="2DA15255" w14:textId="1D7DB407" w:rsidR="00524EDF" w:rsidRDefault="00524EDF" w:rsidP="001E6B86">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2AAC1D9E" w14:textId="20E04692" w:rsidTr="00267209">
        <w:tc>
          <w:tcPr>
            <w:tcW w:w="1840" w:type="dxa"/>
            <w:vMerge/>
            <w:shd w:val="clear" w:color="auto" w:fill="E7E6E6" w:themeFill="background2"/>
          </w:tcPr>
          <w:p w14:paraId="006562D7" w14:textId="77777777" w:rsidR="00524EDF" w:rsidRDefault="00524EDF" w:rsidP="001E6B86">
            <w:pPr>
              <w:pStyle w:val="RCTstable"/>
            </w:pPr>
          </w:p>
        </w:tc>
        <w:tc>
          <w:tcPr>
            <w:tcW w:w="1957" w:type="dxa"/>
            <w:shd w:val="clear" w:color="auto" w:fill="E7E6E6" w:themeFill="background2"/>
          </w:tcPr>
          <w:p w14:paraId="4C8D9517" w14:textId="044CDE04" w:rsidR="00524EDF" w:rsidRDefault="00524EDF" w:rsidP="001E6B86">
            <w:pPr>
              <w:pStyle w:val="RCTstable"/>
            </w:pPr>
            <w:r>
              <w:t>Lifestyle counselling</w:t>
            </w:r>
          </w:p>
        </w:tc>
        <w:tc>
          <w:tcPr>
            <w:tcW w:w="3967" w:type="dxa"/>
            <w:tcBorders>
              <w:bottom w:val="single" w:sz="4" w:space="0" w:color="3B3474"/>
            </w:tcBorders>
            <w:shd w:val="clear" w:color="auto" w:fill="E2EFD9" w:themeFill="accent6" w:themeFillTint="33"/>
          </w:tcPr>
          <w:p w14:paraId="6E9D7C07" w14:textId="4207976A" w:rsidR="00524EDF" w:rsidRDefault="00524EDF" w:rsidP="001E6B86">
            <w:pPr>
              <w:pStyle w:val="RCTstable"/>
            </w:pPr>
            <w:r w:rsidRPr="00D9380A">
              <w:t>MD -1.</w:t>
            </w:r>
            <w:r w:rsidR="003972F6">
              <w:t>25</w:t>
            </w:r>
            <w:r>
              <w:t xml:space="preserve"> kg; 95%CI -1.</w:t>
            </w:r>
            <w:r w:rsidR="00181F8B">
              <w:t>6</w:t>
            </w:r>
            <w:r>
              <w:t>4 to -0.</w:t>
            </w:r>
            <w:r w:rsidR="00181F8B">
              <w:t>86</w:t>
            </w:r>
          </w:p>
        </w:tc>
        <w:tc>
          <w:tcPr>
            <w:tcW w:w="1517" w:type="dxa"/>
            <w:shd w:val="clear" w:color="auto" w:fill="E7E6E6" w:themeFill="background2"/>
          </w:tcPr>
          <w:p w14:paraId="570011A6" w14:textId="0DAA6B6E" w:rsidR="00524EDF" w:rsidRDefault="00524EDF" w:rsidP="001E6B86">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4A000F3E" w14:textId="77777777" w:rsidTr="00524EDF">
        <w:trPr>
          <w:trHeight w:val="295"/>
        </w:trPr>
        <w:tc>
          <w:tcPr>
            <w:tcW w:w="1840" w:type="dxa"/>
            <w:vMerge w:val="restart"/>
          </w:tcPr>
          <w:p w14:paraId="53DE2581" w14:textId="457B506A" w:rsidR="00524EDF" w:rsidRDefault="00524EDF" w:rsidP="001E6B86">
            <w:pPr>
              <w:pStyle w:val="RCTstable"/>
            </w:pPr>
            <w:r>
              <w:t>Weight gain exceeding guidelines</w:t>
            </w:r>
          </w:p>
        </w:tc>
        <w:tc>
          <w:tcPr>
            <w:tcW w:w="1957" w:type="dxa"/>
          </w:tcPr>
          <w:p w14:paraId="0C51B356" w14:textId="7B6CFFA9" w:rsidR="00524EDF" w:rsidRDefault="00524EDF" w:rsidP="001E6B86">
            <w:pPr>
              <w:pStyle w:val="RCTstable"/>
            </w:pPr>
            <w:r>
              <w:t>Diet</w:t>
            </w:r>
          </w:p>
        </w:tc>
        <w:tc>
          <w:tcPr>
            <w:tcW w:w="3967" w:type="dxa"/>
            <w:tcBorders>
              <w:bottom w:val="single" w:sz="4" w:space="0" w:color="3B3474"/>
            </w:tcBorders>
            <w:shd w:val="clear" w:color="auto" w:fill="E2EFD9" w:themeFill="accent6" w:themeFillTint="33"/>
          </w:tcPr>
          <w:p w14:paraId="3559AC2E" w14:textId="78D16001" w:rsidR="00524EDF" w:rsidRPr="00D9380A" w:rsidRDefault="00524EDF" w:rsidP="001E6B86">
            <w:pPr>
              <w:pStyle w:val="RCTstable"/>
            </w:pPr>
            <w:r>
              <w:t>RR 0.65</w:t>
            </w:r>
            <w:r w:rsidRPr="00C12274">
              <w:t>; 95%CI 0.</w:t>
            </w:r>
            <w:r>
              <w:t>54 to 0.77</w:t>
            </w:r>
          </w:p>
        </w:tc>
        <w:tc>
          <w:tcPr>
            <w:tcW w:w="1517" w:type="dxa"/>
          </w:tcPr>
          <w:p w14:paraId="4C2F348E" w14:textId="4234ADED" w:rsidR="00524EDF" w:rsidRDefault="00524EDF" w:rsidP="001E6B86">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4CC743A8" w14:textId="77777777" w:rsidTr="00524EDF">
        <w:tc>
          <w:tcPr>
            <w:tcW w:w="1840" w:type="dxa"/>
            <w:vMerge/>
          </w:tcPr>
          <w:p w14:paraId="7F558753" w14:textId="77777777" w:rsidR="00524EDF" w:rsidRDefault="00524EDF" w:rsidP="001E6B86">
            <w:pPr>
              <w:pStyle w:val="RCTstable"/>
            </w:pPr>
          </w:p>
        </w:tc>
        <w:tc>
          <w:tcPr>
            <w:tcW w:w="1957" w:type="dxa"/>
          </w:tcPr>
          <w:p w14:paraId="0F357823" w14:textId="1F98FF84" w:rsidR="00524EDF" w:rsidRDefault="00524EDF" w:rsidP="001E6B86">
            <w:pPr>
              <w:pStyle w:val="RCTstable"/>
            </w:pPr>
            <w:r>
              <w:t>Exercise</w:t>
            </w:r>
          </w:p>
        </w:tc>
        <w:tc>
          <w:tcPr>
            <w:tcW w:w="3967" w:type="dxa"/>
            <w:tcBorders>
              <w:bottom w:val="single" w:sz="4" w:space="0" w:color="3B3474"/>
            </w:tcBorders>
            <w:shd w:val="clear" w:color="auto" w:fill="E2EFD9" w:themeFill="accent6" w:themeFillTint="33"/>
          </w:tcPr>
          <w:p w14:paraId="114E894B" w14:textId="1386A99F" w:rsidR="00524EDF" w:rsidRPr="00D9380A" w:rsidRDefault="00524EDF" w:rsidP="001E6B86">
            <w:pPr>
              <w:pStyle w:val="RCTstable"/>
            </w:pPr>
            <w:r w:rsidRPr="00AB606F">
              <w:t>RR 0.77; 95%CI 0.69 to 0.87</w:t>
            </w:r>
          </w:p>
        </w:tc>
        <w:tc>
          <w:tcPr>
            <w:tcW w:w="1517" w:type="dxa"/>
          </w:tcPr>
          <w:p w14:paraId="0CF5CD07" w14:textId="2D52AB64" w:rsidR="00524EDF" w:rsidRDefault="00524EDF" w:rsidP="001E6B86">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6ECA9E57" w14:textId="77777777" w:rsidTr="00267209">
        <w:tc>
          <w:tcPr>
            <w:tcW w:w="1840" w:type="dxa"/>
            <w:vMerge/>
            <w:tcBorders>
              <w:bottom w:val="single" w:sz="4" w:space="0" w:color="3B3474"/>
            </w:tcBorders>
          </w:tcPr>
          <w:p w14:paraId="137B7421" w14:textId="77777777" w:rsidR="00524EDF" w:rsidRDefault="00524EDF" w:rsidP="001E6B86">
            <w:pPr>
              <w:pStyle w:val="RCTstable"/>
            </w:pPr>
          </w:p>
        </w:tc>
        <w:tc>
          <w:tcPr>
            <w:tcW w:w="1957" w:type="dxa"/>
            <w:tcBorders>
              <w:bottom w:val="single" w:sz="4" w:space="0" w:color="3B3474"/>
            </w:tcBorders>
          </w:tcPr>
          <w:p w14:paraId="0222BF47" w14:textId="4B8F2E03" w:rsidR="00524EDF" w:rsidRDefault="00524EDF" w:rsidP="001E6B86">
            <w:pPr>
              <w:pStyle w:val="RCTstable"/>
            </w:pPr>
            <w:r>
              <w:t>Lifestyle counselling</w:t>
            </w:r>
          </w:p>
        </w:tc>
        <w:tc>
          <w:tcPr>
            <w:tcW w:w="3967" w:type="dxa"/>
            <w:tcBorders>
              <w:bottom w:val="single" w:sz="4" w:space="0" w:color="3B3474"/>
            </w:tcBorders>
            <w:shd w:val="clear" w:color="auto" w:fill="E2EFD9" w:themeFill="accent6" w:themeFillTint="33"/>
          </w:tcPr>
          <w:p w14:paraId="0A10BD7F" w14:textId="5125A28F" w:rsidR="00524EDF" w:rsidRPr="00D9380A" w:rsidRDefault="00524EDF" w:rsidP="00181F8B">
            <w:pPr>
              <w:pStyle w:val="RCTstable"/>
            </w:pPr>
            <w:r>
              <w:t>RR 0.</w:t>
            </w:r>
            <w:r w:rsidR="00181F8B">
              <w:t>83</w:t>
            </w:r>
            <w:r>
              <w:t>; 95%CI 0.78 to 0.</w:t>
            </w:r>
            <w:r w:rsidR="00181F8B">
              <w:t>89</w:t>
            </w:r>
          </w:p>
        </w:tc>
        <w:tc>
          <w:tcPr>
            <w:tcW w:w="1517" w:type="dxa"/>
            <w:tcBorders>
              <w:bottom w:val="single" w:sz="4" w:space="0" w:color="3B3474"/>
            </w:tcBorders>
          </w:tcPr>
          <w:p w14:paraId="3F42552E" w14:textId="1BEA4F4B" w:rsidR="00524EDF" w:rsidRDefault="00524EDF" w:rsidP="001E6B86">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5ADE81D3" w14:textId="77777777" w:rsidTr="00267209">
        <w:tc>
          <w:tcPr>
            <w:tcW w:w="1840" w:type="dxa"/>
            <w:vMerge w:val="restart"/>
            <w:shd w:val="clear" w:color="auto" w:fill="E7E6E6" w:themeFill="background2"/>
          </w:tcPr>
          <w:p w14:paraId="1002DA69" w14:textId="7F69CD18" w:rsidR="00524EDF" w:rsidRDefault="00524EDF" w:rsidP="00E70A06">
            <w:pPr>
              <w:pStyle w:val="RCTstable"/>
              <w:keepNext/>
            </w:pPr>
            <w:r>
              <w:t>Gestational diabetes</w:t>
            </w:r>
          </w:p>
        </w:tc>
        <w:tc>
          <w:tcPr>
            <w:tcW w:w="1957" w:type="dxa"/>
            <w:shd w:val="clear" w:color="auto" w:fill="E7E6E6" w:themeFill="background2"/>
          </w:tcPr>
          <w:p w14:paraId="58819807" w14:textId="77777777" w:rsidR="00524EDF" w:rsidRDefault="00524EDF" w:rsidP="00E70A06">
            <w:pPr>
              <w:pStyle w:val="RCTstable"/>
              <w:keepNext/>
            </w:pPr>
            <w:r>
              <w:t>Diet</w:t>
            </w:r>
          </w:p>
        </w:tc>
        <w:tc>
          <w:tcPr>
            <w:tcW w:w="3967" w:type="dxa"/>
            <w:tcBorders>
              <w:bottom w:val="single" w:sz="4" w:space="0" w:color="3B3474"/>
            </w:tcBorders>
            <w:shd w:val="clear" w:color="auto" w:fill="FFF2CC" w:themeFill="accent4" w:themeFillTint="33"/>
          </w:tcPr>
          <w:p w14:paraId="7EB232FC" w14:textId="4A1662B4" w:rsidR="00524EDF" w:rsidRPr="00D9380A" w:rsidRDefault="00524EDF" w:rsidP="00E70A06">
            <w:pPr>
              <w:pStyle w:val="RCTstable"/>
              <w:keepNext/>
            </w:pPr>
            <w:r w:rsidRPr="00C12274">
              <w:t>RR 0.</w:t>
            </w:r>
            <w:r>
              <w:t>86</w:t>
            </w:r>
            <w:r w:rsidRPr="00C12274">
              <w:t>; 95%CI 0.</w:t>
            </w:r>
            <w:r>
              <w:t>64</w:t>
            </w:r>
            <w:r w:rsidRPr="00C12274">
              <w:t xml:space="preserve"> to </w:t>
            </w:r>
            <w:r>
              <w:t>1.17</w:t>
            </w:r>
          </w:p>
        </w:tc>
        <w:tc>
          <w:tcPr>
            <w:tcW w:w="1517" w:type="dxa"/>
            <w:shd w:val="clear" w:color="auto" w:fill="E7E6E6" w:themeFill="background2"/>
          </w:tcPr>
          <w:p w14:paraId="155AE3B6" w14:textId="17B15960" w:rsidR="00524EDF" w:rsidRDefault="00524EDF" w:rsidP="00E70A06">
            <w:pPr>
              <w:pStyle w:val="RCTstable"/>
              <w:keepNext/>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032FADF3" w14:textId="77777777" w:rsidTr="00267209">
        <w:tc>
          <w:tcPr>
            <w:tcW w:w="1840" w:type="dxa"/>
            <w:vMerge/>
            <w:shd w:val="clear" w:color="auto" w:fill="E7E6E6" w:themeFill="background2"/>
          </w:tcPr>
          <w:p w14:paraId="25276B26" w14:textId="77777777" w:rsidR="00524EDF" w:rsidRDefault="00524EDF" w:rsidP="00267209">
            <w:pPr>
              <w:pStyle w:val="RCTstable"/>
            </w:pPr>
          </w:p>
        </w:tc>
        <w:tc>
          <w:tcPr>
            <w:tcW w:w="1957" w:type="dxa"/>
            <w:shd w:val="clear" w:color="auto" w:fill="E7E6E6" w:themeFill="background2"/>
          </w:tcPr>
          <w:p w14:paraId="74464F11" w14:textId="77777777" w:rsidR="00524EDF" w:rsidRDefault="00524EDF" w:rsidP="00267209">
            <w:pPr>
              <w:pStyle w:val="RCTstable"/>
            </w:pPr>
            <w:r>
              <w:t>Exercise</w:t>
            </w:r>
          </w:p>
        </w:tc>
        <w:tc>
          <w:tcPr>
            <w:tcW w:w="3967" w:type="dxa"/>
            <w:tcBorders>
              <w:bottom w:val="single" w:sz="4" w:space="0" w:color="3B3474"/>
            </w:tcBorders>
            <w:shd w:val="clear" w:color="auto" w:fill="E2EFD9" w:themeFill="accent6" w:themeFillTint="33"/>
          </w:tcPr>
          <w:p w14:paraId="48543D34" w14:textId="754375B5" w:rsidR="00524EDF" w:rsidRPr="00D9380A" w:rsidRDefault="00524EDF" w:rsidP="00267209">
            <w:pPr>
              <w:pStyle w:val="RCTstable"/>
            </w:pPr>
            <w:r w:rsidRPr="00AB606F">
              <w:t>RR 0.74; 95%CI 0.60 to 0.90</w:t>
            </w:r>
          </w:p>
        </w:tc>
        <w:tc>
          <w:tcPr>
            <w:tcW w:w="1517" w:type="dxa"/>
            <w:shd w:val="clear" w:color="auto" w:fill="E7E6E6" w:themeFill="background2"/>
          </w:tcPr>
          <w:p w14:paraId="62BCE1CF" w14:textId="5980B073"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35BC3556" w14:textId="77777777" w:rsidTr="00267209">
        <w:tc>
          <w:tcPr>
            <w:tcW w:w="1840" w:type="dxa"/>
            <w:vMerge/>
            <w:shd w:val="clear" w:color="auto" w:fill="E7E6E6" w:themeFill="background2"/>
          </w:tcPr>
          <w:p w14:paraId="5730FE65" w14:textId="77777777" w:rsidR="00524EDF" w:rsidRDefault="00524EDF" w:rsidP="00267209">
            <w:pPr>
              <w:pStyle w:val="RCTstable"/>
            </w:pPr>
          </w:p>
        </w:tc>
        <w:tc>
          <w:tcPr>
            <w:tcW w:w="1957" w:type="dxa"/>
            <w:shd w:val="clear" w:color="auto" w:fill="E7E6E6" w:themeFill="background2"/>
          </w:tcPr>
          <w:p w14:paraId="0D9C4E9A" w14:textId="77777777" w:rsidR="00524EDF" w:rsidRDefault="00524EDF" w:rsidP="00267209">
            <w:pPr>
              <w:pStyle w:val="RCTstable"/>
            </w:pPr>
            <w:r>
              <w:t>Lifestyle counselling</w:t>
            </w:r>
          </w:p>
        </w:tc>
        <w:tc>
          <w:tcPr>
            <w:tcW w:w="3967" w:type="dxa"/>
            <w:tcBorders>
              <w:bottom w:val="single" w:sz="4" w:space="0" w:color="3B3474"/>
            </w:tcBorders>
            <w:shd w:val="clear" w:color="auto" w:fill="DEEAF6" w:themeFill="accent5" w:themeFillTint="33"/>
          </w:tcPr>
          <w:p w14:paraId="40800F43" w14:textId="66CF6752" w:rsidR="00524EDF" w:rsidRPr="00D9380A" w:rsidRDefault="00524EDF" w:rsidP="00181F8B">
            <w:pPr>
              <w:pStyle w:val="RCTstable"/>
            </w:pPr>
            <w:r>
              <w:t>RR 0.</w:t>
            </w:r>
            <w:r w:rsidR="00181F8B">
              <w:t>90</w:t>
            </w:r>
            <w:r>
              <w:t>; 95%CI 0.</w:t>
            </w:r>
            <w:r w:rsidR="00181F8B">
              <w:t>81</w:t>
            </w:r>
            <w:r w:rsidR="00181F8B" w:rsidRPr="00945318">
              <w:t xml:space="preserve"> </w:t>
            </w:r>
            <w:r w:rsidRPr="00945318">
              <w:t>to</w:t>
            </w:r>
            <w:r>
              <w:t xml:space="preserve"> 1.01</w:t>
            </w:r>
          </w:p>
        </w:tc>
        <w:tc>
          <w:tcPr>
            <w:tcW w:w="1517" w:type="dxa"/>
            <w:shd w:val="clear" w:color="auto" w:fill="E7E6E6" w:themeFill="background2"/>
          </w:tcPr>
          <w:p w14:paraId="0BD6425A" w14:textId="6A402663"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44F720AB" w14:textId="77777777" w:rsidTr="00524EDF">
        <w:tc>
          <w:tcPr>
            <w:tcW w:w="1840" w:type="dxa"/>
            <w:vMerge w:val="restart"/>
          </w:tcPr>
          <w:p w14:paraId="1056F864" w14:textId="18EE1752" w:rsidR="00524EDF" w:rsidRDefault="00524EDF" w:rsidP="00267209">
            <w:pPr>
              <w:pStyle w:val="RCTstable"/>
            </w:pPr>
            <w:r>
              <w:t>Gestational hypertension</w:t>
            </w:r>
          </w:p>
        </w:tc>
        <w:tc>
          <w:tcPr>
            <w:tcW w:w="1957" w:type="dxa"/>
          </w:tcPr>
          <w:p w14:paraId="7383C720" w14:textId="77777777" w:rsidR="00524EDF" w:rsidRDefault="00524EDF" w:rsidP="00267209">
            <w:pPr>
              <w:pStyle w:val="RCTstable"/>
            </w:pPr>
            <w:r>
              <w:t>Diet</w:t>
            </w:r>
          </w:p>
        </w:tc>
        <w:tc>
          <w:tcPr>
            <w:tcW w:w="3967" w:type="dxa"/>
            <w:tcBorders>
              <w:bottom w:val="single" w:sz="4" w:space="0" w:color="3B3474"/>
            </w:tcBorders>
            <w:shd w:val="clear" w:color="auto" w:fill="E2EFD9" w:themeFill="accent6" w:themeFillTint="33"/>
          </w:tcPr>
          <w:p w14:paraId="217B1CAD" w14:textId="5E24CCE2" w:rsidR="00524EDF" w:rsidRPr="00D9380A" w:rsidRDefault="00524EDF" w:rsidP="00267209">
            <w:pPr>
              <w:pStyle w:val="RCTstable"/>
            </w:pPr>
            <w:r w:rsidRPr="00C12274">
              <w:t>RR 0.</w:t>
            </w:r>
            <w:r>
              <w:t>29</w:t>
            </w:r>
            <w:r w:rsidRPr="00C12274">
              <w:t>; 95%CI 0.</w:t>
            </w:r>
            <w:r>
              <w:t>13 to 0.61</w:t>
            </w:r>
          </w:p>
        </w:tc>
        <w:tc>
          <w:tcPr>
            <w:tcW w:w="1517" w:type="dxa"/>
          </w:tcPr>
          <w:p w14:paraId="0B07CAAE" w14:textId="7B7DB2BF"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4CEFE8F4" w14:textId="77777777" w:rsidTr="00863FE7">
        <w:tc>
          <w:tcPr>
            <w:tcW w:w="1840" w:type="dxa"/>
            <w:vMerge/>
          </w:tcPr>
          <w:p w14:paraId="57AD2772" w14:textId="77777777" w:rsidR="00524EDF" w:rsidRDefault="00524EDF" w:rsidP="00267209">
            <w:pPr>
              <w:pStyle w:val="RCTstable"/>
            </w:pPr>
          </w:p>
        </w:tc>
        <w:tc>
          <w:tcPr>
            <w:tcW w:w="1957" w:type="dxa"/>
          </w:tcPr>
          <w:p w14:paraId="28CF2CC3" w14:textId="77777777" w:rsidR="00524EDF" w:rsidRDefault="00524EDF" w:rsidP="00267209">
            <w:pPr>
              <w:pStyle w:val="RCTstable"/>
            </w:pPr>
            <w:r>
              <w:t>Exercise</w:t>
            </w:r>
          </w:p>
        </w:tc>
        <w:tc>
          <w:tcPr>
            <w:tcW w:w="3967" w:type="dxa"/>
            <w:tcBorders>
              <w:bottom w:val="single" w:sz="4" w:space="0" w:color="3B3474"/>
            </w:tcBorders>
            <w:shd w:val="clear" w:color="auto" w:fill="E2EFD9" w:themeFill="accent6" w:themeFillTint="33"/>
          </w:tcPr>
          <w:p w14:paraId="2EF50158" w14:textId="75F16CE4" w:rsidR="00524EDF" w:rsidRPr="00D9380A" w:rsidRDefault="00524EDF" w:rsidP="00267209">
            <w:pPr>
              <w:pStyle w:val="RCTstable"/>
            </w:pPr>
            <w:r w:rsidRPr="00AB606F">
              <w:t>RR 0.51; 95%CI 0.37 to 0.71</w:t>
            </w:r>
          </w:p>
        </w:tc>
        <w:tc>
          <w:tcPr>
            <w:tcW w:w="1517" w:type="dxa"/>
          </w:tcPr>
          <w:p w14:paraId="084151E8" w14:textId="17DFBF5E"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57ABD75E" w14:textId="77777777" w:rsidTr="00267209">
        <w:tc>
          <w:tcPr>
            <w:tcW w:w="1840" w:type="dxa"/>
            <w:vMerge/>
            <w:tcBorders>
              <w:bottom w:val="single" w:sz="4" w:space="0" w:color="3B3474"/>
            </w:tcBorders>
          </w:tcPr>
          <w:p w14:paraId="2AC8B0E8" w14:textId="77777777" w:rsidR="00524EDF" w:rsidRDefault="00524EDF" w:rsidP="00267209">
            <w:pPr>
              <w:pStyle w:val="RCTstable"/>
            </w:pPr>
          </w:p>
        </w:tc>
        <w:tc>
          <w:tcPr>
            <w:tcW w:w="1957" w:type="dxa"/>
            <w:tcBorders>
              <w:bottom w:val="single" w:sz="4" w:space="0" w:color="3B3474"/>
            </w:tcBorders>
          </w:tcPr>
          <w:p w14:paraId="70378D12" w14:textId="77777777" w:rsidR="00524EDF" w:rsidRDefault="00524EDF" w:rsidP="00267209">
            <w:pPr>
              <w:pStyle w:val="RCTstable"/>
            </w:pPr>
            <w:r>
              <w:t>Lifestyle counselling</w:t>
            </w:r>
          </w:p>
        </w:tc>
        <w:tc>
          <w:tcPr>
            <w:tcW w:w="3967" w:type="dxa"/>
            <w:tcBorders>
              <w:bottom w:val="single" w:sz="4" w:space="0" w:color="3B3474"/>
            </w:tcBorders>
            <w:shd w:val="clear" w:color="auto" w:fill="FFF2CC" w:themeFill="accent4" w:themeFillTint="33"/>
          </w:tcPr>
          <w:p w14:paraId="1E2BCEBF" w14:textId="2F6EA75D" w:rsidR="00524EDF" w:rsidRPr="00D9380A" w:rsidRDefault="00524EDF" w:rsidP="00267209">
            <w:pPr>
              <w:pStyle w:val="RCTstable"/>
            </w:pPr>
            <w:r>
              <w:t>RR 0.9</w:t>
            </w:r>
            <w:r w:rsidR="00250888">
              <w:t>9</w:t>
            </w:r>
            <w:r>
              <w:t>; 95%CI 0.</w:t>
            </w:r>
            <w:r w:rsidR="00250888">
              <w:t>7</w:t>
            </w:r>
            <w:r>
              <w:t>7 to 1.2</w:t>
            </w:r>
            <w:r w:rsidR="00250888">
              <w:t>8</w:t>
            </w:r>
          </w:p>
        </w:tc>
        <w:tc>
          <w:tcPr>
            <w:tcW w:w="1517" w:type="dxa"/>
            <w:tcBorders>
              <w:bottom w:val="single" w:sz="4" w:space="0" w:color="3B3474"/>
            </w:tcBorders>
          </w:tcPr>
          <w:p w14:paraId="11A73BBF" w14:textId="132909C8"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3597BCC0" w14:textId="77777777" w:rsidTr="00267209">
        <w:tc>
          <w:tcPr>
            <w:tcW w:w="1840" w:type="dxa"/>
            <w:vMerge w:val="restart"/>
            <w:shd w:val="clear" w:color="auto" w:fill="E7E6E6" w:themeFill="background2"/>
          </w:tcPr>
          <w:p w14:paraId="767207D6" w14:textId="0101532D" w:rsidR="00524EDF" w:rsidRDefault="00524EDF" w:rsidP="00267209">
            <w:pPr>
              <w:pStyle w:val="RCTstable"/>
            </w:pPr>
            <w:r>
              <w:t>Pre-eclampsia</w:t>
            </w:r>
          </w:p>
        </w:tc>
        <w:tc>
          <w:tcPr>
            <w:tcW w:w="1957" w:type="dxa"/>
            <w:shd w:val="clear" w:color="auto" w:fill="E7E6E6" w:themeFill="background2"/>
          </w:tcPr>
          <w:p w14:paraId="0FA3A304" w14:textId="77777777" w:rsidR="00524EDF" w:rsidRDefault="00524EDF" w:rsidP="00267209">
            <w:pPr>
              <w:pStyle w:val="RCTstable"/>
            </w:pPr>
            <w:r>
              <w:t>Diet</w:t>
            </w:r>
          </w:p>
        </w:tc>
        <w:tc>
          <w:tcPr>
            <w:tcW w:w="3967" w:type="dxa"/>
            <w:tcBorders>
              <w:bottom w:val="single" w:sz="4" w:space="0" w:color="3B3474"/>
            </w:tcBorders>
            <w:shd w:val="clear" w:color="auto" w:fill="FFF2CC" w:themeFill="accent4" w:themeFillTint="33"/>
          </w:tcPr>
          <w:p w14:paraId="13B1971D" w14:textId="1E5F07FD" w:rsidR="00524EDF" w:rsidRPr="00D9380A" w:rsidRDefault="00524EDF" w:rsidP="00267209">
            <w:pPr>
              <w:pStyle w:val="RCTstable"/>
            </w:pPr>
            <w:r w:rsidRPr="00C12274">
              <w:t>RR 0.</w:t>
            </w:r>
            <w:r>
              <w:t>61</w:t>
            </w:r>
            <w:r w:rsidRPr="00C12274">
              <w:t>; 95%CI 0.</w:t>
            </w:r>
            <w:r>
              <w:t>25</w:t>
            </w:r>
            <w:r w:rsidRPr="00C12274">
              <w:t xml:space="preserve"> to </w:t>
            </w:r>
            <w:r>
              <w:t>1.46</w:t>
            </w:r>
          </w:p>
        </w:tc>
        <w:tc>
          <w:tcPr>
            <w:tcW w:w="1517" w:type="dxa"/>
            <w:shd w:val="clear" w:color="auto" w:fill="E7E6E6" w:themeFill="background2"/>
          </w:tcPr>
          <w:p w14:paraId="1EFEF207" w14:textId="059D054C"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63E35E51" w14:textId="77777777" w:rsidTr="00267209">
        <w:tc>
          <w:tcPr>
            <w:tcW w:w="1840" w:type="dxa"/>
            <w:vMerge/>
            <w:shd w:val="clear" w:color="auto" w:fill="E7E6E6" w:themeFill="background2"/>
          </w:tcPr>
          <w:p w14:paraId="1930F329" w14:textId="77777777" w:rsidR="00524EDF" w:rsidRDefault="00524EDF" w:rsidP="00267209">
            <w:pPr>
              <w:pStyle w:val="RCTstable"/>
            </w:pPr>
          </w:p>
        </w:tc>
        <w:tc>
          <w:tcPr>
            <w:tcW w:w="1957" w:type="dxa"/>
            <w:shd w:val="clear" w:color="auto" w:fill="E7E6E6" w:themeFill="background2"/>
          </w:tcPr>
          <w:p w14:paraId="05ED2478" w14:textId="77777777" w:rsidR="00524EDF" w:rsidRDefault="00524EDF" w:rsidP="00267209">
            <w:pPr>
              <w:pStyle w:val="RCTstable"/>
            </w:pPr>
            <w:r>
              <w:t>Exercise</w:t>
            </w:r>
          </w:p>
        </w:tc>
        <w:tc>
          <w:tcPr>
            <w:tcW w:w="3967" w:type="dxa"/>
            <w:tcBorders>
              <w:bottom w:val="single" w:sz="4" w:space="0" w:color="3B3474"/>
            </w:tcBorders>
            <w:shd w:val="clear" w:color="auto" w:fill="FFF2CC" w:themeFill="accent4" w:themeFillTint="33"/>
          </w:tcPr>
          <w:p w14:paraId="759CC863" w14:textId="315F419D" w:rsidR="00524EDF" w:rsidRPr="00D9380A" w:rsidRDefault="00524EDF" w:rsidP="00267209">
            <w:pPr>
              <w:pStyle w:val="RCTstable"/>
            </w:pPr>
            <w:r w:rsidRPr="00AB606F">
              <w:t>RR 0.78; 95%CI 0.53 to 1.15</w:t>
            </w:r>
          </w:p>
        </w:tc>
        <w:tc>
          <w:tcPr>
            <w:tcW w:w="1517" w:type="dxa"/>
            <w:shd w:val="clear" w:color="auto" w:fill="E7E6E6" w:themeFill="background2"/>
          </w:tcPr>
          <w:p w14:paraId="1AC07208" w14:textId="75E9C1D4"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64BDF454" w14:textId="77777777" w:rsidTr="00267209">
        <w:tc>
          <w:tcPr>
            <w:tcW w:w="1840" w:type="dxa"/>
            <w:vMerge/>
            <w:shd w:val="clear" w:color="auto" w:fill="E7E6E6" w:themeFill="background2"/>
          </w:tcPr>
          <w:p w14:paraId="24A63939" w14:textId="77777777" w:rsidR="00524EDF" w:rsidRDefault="00524EDF" w:rsidP="00267209">
            <w:pPr>
              <w:pStyle w:val="RCTstable"/>
            </w:pPr>
          </w:p>
        </w:tc>
        <w:tc>
          <w:tcPr>
            <w:tcW w:w="1957" w:type="dxa"/>
            <w:shd w:val="clear" w:color="auto" w:fill="E7E6E6" w:themeFill="background2"/>
          </w:tcPr>
          <w:p w14:paraId="17EDF37C" w14:textId="77777777" w:rsidR="00524EDF" w:rsidRDefault="00524EDF" w:rsidP="00267209">
            <w:pPr>
              <w:pStyle w:val="RCTstable"/>
            </w:pPr>
            <w:r>
              <w:t>Lifestyle counselling</w:t>
            </w:r>
          </w:p>
        </w:tc>
        <w:tc>
          <w:tcPr>
            <w:tcW w:w="3967" w:type="dxa"/>
            <w:tcBorders>
              <w:bottom w:val="single" w:sz="4" w:space="0" w:color="3B3474"/>
            </w:tcBorders>
            <w:shd w:val="clear" w:color="auto" w:fill="FFF2CC" w:themeFill="accent4" w:themeFillTint="33"/>
          </w:tcPr>
          <w:p w14:paraId="1EA2A33B" w14:textId="44CEF19D" w:rsidR="00524EDF" w:rsidRPr="00D9380A" w:rsidRDefault="00524EDF" w:rsidP="00267209">
            <w:pPr>
              <w:pStyle w:val="RCTstable"/>
            </w:pPr>
            <w:r>
              <w:t>RR 1.05; 95%CI 0.85 to 1.29</w:t>
            </w:r>
          </w:p>
        </w:tc>
        <w:tc>
          <w:tcPr>
            <w:tcW w:w="1517" w:type="dxa"/>
            <w:shd w:val="clear" w:color="auto" w:fill="E7E6E6" w:themeFill="background2"/>
          </w:tcPr>
          <w:p w14:paraId="605CD756" w14:textId="58FE432D"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5DAAF42C" w14:textId="77777777" w:rsidTr="00A912D4">
        <w:tc>
          <w:tcPr>
            <w:tcW w:w="1840" w:type="dxa"/>
            <w:vMerge w:val="restart"/>
          </w:tcPr>
          <w:p w14:paraId="66531E8B" w14:textId="2AE0832C" w:rsidR="00524EDF" w:rsidRDefault="00524EDF" w:rsidP="00267209">
            <w:pPr>
              <w:pStyle w:val="RCTstable"/>
            </w:pPr>
            <w:r>
              <w:t>Caesarean section</w:t>
            </w:r>
          </w:p>
        </w:tc>
        <w:tc>
          <w:tcPr>
            <w:tcW w:w="1957" w:type="dxa"/>
          </w:tcPr>
          <w:p w14:paraId="1DC7A725" w14:textId="77777777" w:rsidR="00524EDF" w:rsidRDefault="00524EDF" w:rsidP="00267209">
            <w:pPr>
              <w:pStyle w:val="RCTstable"/>
            </w:pPr>
            <w:r>
              <w:t>Diet</w:t>
            </w:r>
          </w:p>
        </w:tc>
        <w:tc>
          <w:tcPr>
            <w:tcW w:w="3967" w:type="dxa"/>
            <w:tcBorders>
              <w:bottom w:val="single" w:sz="4" w:space="0" w:color="3B3474"/>
            </w:tcBorders>
            <w:shd w:val="clear" w:color="auto" w:fill="FFF2CC" w:themeFill="accent4" w:themeFillTint="33"/>
          </w:tcPr>
          <w:p w14:paraId="0F63F875" w14:textId="51DEF65B" w:rsidR="00524EDF" w:rsidRPr="00D9380A" w:rsidRDefault="00524EDF" w:rsidP="00267209">
            <w:pPr>
              <w:pStyle w:val="RCTstable"/>
            </w:pPr>
            <w:r w:rsidRPr="00C12274">
              <w:t>RR 0.8</w:t>
            </w:r>
            <w:r>
              <w:t>5</w:t>
            </w:r>
            <w:r w:rsidRPr="00C12274">
              <w:t>; 95%CI 0.</w:t>
            </w:r>
            <w:r>
              <w:t>64</w:t>
            </w:r>
            <w:r w:rsidRPr="00C12274">
              <w:t xml:space="preserve"> to </w:t>
            </w:r>
            <w:r>
              <w:t>1.11</w:t>
            </w:r>
          </w:p>
        </w:tc>
        <w:tc>
          <w:tcPr>
            <w:tcW w:w="1517" w:type="dxa"/>
          </w:tcPr>
          <w:p w14:paraId="093F54F5" w14:textId="25CF8E76"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70256610" w14:textId="77777777" w:rsidTr="00A912D4">
        <w:trPr>
          <w:trHeight w:val="323"/>
        </w:trPr>
        <w:tc>
          <w:tcPr>
            <w:tcW w:w="1840" w:type="dxa"/>
            <w:vMerge/>
          </w:tcPr>
          <w:p w14:paraId="02662C88" w14:textId="77777777" w:rsidR="00524EDF" w:rsidRDefault="00524EDF" w:rsidP="00267209">
            <w:pPr>
              <w:pStyle w:val="RCTstable"/>
            </w:pPr>
          </w:p>
        </w:tc>
        <w:tc>
          <w:tcPr>
            <w:tcW w:w="1957" w:type="dxa"/>
          </w:tcPr>
          <w:p w14:paraId="24C70A24" w14:textId="77777777" w:rsidR="00524EDF" w:rsidRDefault="00524EDF" w:rsidP="00267209">
            <w:pPr>
              <w:pStyle w:val="RCTstable"/>
            </w:pPr>
            <w:r>
              <w:t>Exercise</w:t>
            </w:r>
          </w:p>
        </w:tc>
        <w:tc>
          <w:tcPr>
            <w:tcW w:w="3967" w:type="dxa"/>
            <w:tcBorders>
              <w:bottom w:val="single" w:sz="4" w:space="0" w:color="3B3474"/>
            </w:tcBorders>
            <w:shd w:val="clear" w:color="auto" w:fill="E2EFD9" w:themeFill="accent6" w:themeFillTint="33"/>
          </w:tcPr>
          <w:p w14:paraId="02DCCB6B" w14:textId="119B929F" w:rsidR="00524EDF" w:rsidRPr="00D9380A" w:rsidRDefault="00524EDF" w:rsidP="00267209">
            <w:pPr>
              <w:pStyle w:val="RCTstable"/>
            </w:pPr>
            <w:r w:rsidRPr="00AB606F">
              <w:t>RR 0.85; 95%CI 0.74 to 0.98</w:t>
            </w:r>
          </w:p>
        </w:tc>
        <w:tc>
          <w:tcPr>
            <w:tcW w:w="1517" w:type="dxa"/>
          </w:tcPr>
          <w:p w14:paraId="6B748529" w14:textId="00D65329"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417B0E66" w14:textId="77777777" w:rsidTr="0030223E">
        <w:tc>
          <w:tcPr>
            <w:tcW w:w="1840" w:type="dxa"/>
            <w:vMerge/>
            <w:tcBorders>
              <w:bottom w:val="single" w:sz="4" w:space="0" w:color="3B3474"/>
            </w:tcBorders>
          </w:tcPr>
          <w:p w14:paraId="65C9616E" w14:textId="77777777" w:rsidR="00524EDF" w:rsidRDefault="00524EDF" w:rsidP="00267209">
            <w:pPr>
              <w:pStyle w:val="RCTstable"/>
            </w:pPr>
          </w:p>
        </w:tc>
        <w:tc>
          <w:tcPr>
            <w:tcW w:w="1957" w:type="dxa"/>
            <w:tcBorders>
              <w:bottom w:val="single" w:sz="4" w:space="0" w:color="3B3474"/>
            </w:tcBorders>
          </w:tcPr>
          <w:p w14:paraId="79ABAF45" w14:textId="77777777" w:rsidR="00524EDF" w:rsidRDefault="00524EDF" w:rsidP="00267209">
            <w:pPr>
              <w:pStyle w:val="RCTstable"/>
            </w:pPr>
            <w:r>
              <w:t>Lifestyle counselling</w:t>
            </w:r>
          </w:p>
        </w:tc>
        <w:tc>
          <w:tcPr>
            <w:tcW w:w="3967" w:type="dxa"/>
            <w:shd w:val="clear" w:color="auto" w:fill="DEEAF6" w:themeFill="accent5" w:themeFillTint="33"/>
          </w:tcPr>
          <w:p w14:paraId="4A6FE300" w14:textId="431754EE" w:rsidR="00524EDF" w:rsidRPr="00D9380A" w:rsidRDefault="00524EDF" w:rsidP="00267209">
            <w:pPr>
              <w:pStyle w:val="RCTstable"/>
            </w:pPr>
            <w:r>
              <w:t>RR 0.95; 95%CI 0.89 to 1.0</w:t>
            </w:r>
            <w:r w:rsidR="00250888">
              <w:t>2</w:t>
            </w:r>
          </w:p>
        </w:tc>
        <w:tc>
          <w:tcPr>
            <w:tcW w:w="1517" w:type="dxa"/>
            <w:tcBorders>
              <w:bottom w:val="single" w:sz="4" w:space="0" w:color="3B3474"/>
            </w:tcBorders>
          </w:tcPr>
          <w:p w14:paraId="4164576F" w14:textId="02ECBF8C"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A76315" w14:paraId="6B511B83" w14:textId="77777777" w:rsidTr="00267209">
        <w:tc>
          <w:tcPr>
            <w:tcW w:w="1840" w:type="dxa"/>
            <w:vMerge w:val="restart"/>
            <w:shd w:val="clear" w:color="auto" w:fill="E7E6E6" w:themeFill="background2"/>
          </w:tcPr>
          <w:p w14:paraId="7DA9AE25" w14:textId="467A04AC" w:rsidR="00A76315" w:rsidRDefault="00A76315" w:rsidP="00267209">
            <w:pPr>
              <w:pStyle w:val="RCTstable"/>
            </w:pPr>
            <w:r>
              <w:t>Antenatal depression</w:t>
            </w:r>
          </w:p>
        </w:tc>
        <w:tc>
          <w:tcPr>
            <w:tcW w:w="1957" w:type="dxa"/>
            <w:shd w:val="clear" w:color="auto" w:fill="E7E6E6" w:themeFill="background2"/>
          </w:tcPr>
          <w:p w14:paraId="718AC610" w14:textId="77777777" w:rsidR="00A76315" w:rsidRDefault="00A76315" w:rsidP="00267209">
            <w:pPr>
              <w:pStyle w:val="RCTstable"/>
            </w:pPr>
            <w:r>
              <w:t>Exercise</w:t>
            </w:r>
          </w:p>
        </w:tc>
        <w:tc>
          <w:tcPr>
            <w:tcW w:w="3967" w:type="dxa"/>
            <w:tcBorders>
              <w:bottom w:val="single" w:sz="4" w:space="0" w:color="3B3474"/>
            </w:tcBorders>
            <w:shd w:val="clear" w:color="auto" w:fill="E2EFD9" w:themeFill="accent6" w:themeFillTint="33"/>
          </w:tcPr>
          <w:p w14:paraId="73DD4121" w14:textId="416046C0" w:rsidR="00A76315" w:rsidRPr="00D9380A" w:rsidRDefault="00A76315" w:rsidP="00267209">
            <w:pPr>
              <w:pStyle w:val="RCTstable"/>
            </w:pPr>
            <w:r w:rsidRPr="00AB606F">
              <w:t>RR 0.4</w:t>
            </w:r>
            <w:r w:rsidR="00250888">
              <w:t>4</w:t>
            </w:r>
            <w:r w:rsidRPr="00AB606F">
              <w:t>; 95%CI 0.</w:t>
            </w:r>
            <w:r w:rsidR="00250888">
              <w:t>32</w:t>
            </w:r>
            <w:r w:rsidRPr="00AB606F">
              <w:t xml:space="preserve"> to 0.61</w:t>
            </w:r>
          </w:p>
        </w:tc>
        <w:tc>
          <w:tcPr>
            <w:tcW w:w="1517" w:type="dxa"/>
            <w:shd w:val="clear" w:color="auto" w:fill="E7E6E6" w:themeFill="background2"/>
          </w:tcPr>
          <w:p w14:paraId="0A188FCB" w14:textId="28E101A4" w:rsidR="00A76315" w:rsidRDefault="00A76315"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A76315" w14:paraId="34AAB894" w14:textId="77777777" w:rsidTr="0030223E">
        <w:tc>
          <w:tcPr>
            <w:tcW w:w="1840" w:type="dxa"/>
            <w:vMerge/>
            <w:shd w:val="clear" w:color="auto" w:fill="E7E6E6" w:themeFill="background2"/>
          </w:tcPr>
          <w:p w14:paraId="21995658" w14:textId="77777777" w:rsidR="00A76315" w:rsidRDefault="00A76315" w:rsidP="00267209">
            <w:pPr>
              <w:pStyle w:val="RCTstable"/>
            </w:pPr>
          </w:p>
        </w:tc>
        <w:tc>
          <w:tcPr>
            <w:tcW w:w="1957" w:type="dxa"/>
            <w:shd w:val="clear" w:color="auto" w:fill="E7E6E6" w:themeFill="background2"/>
          </w:tcPr>
          <w:p w14:paraId="12923B39" w14:textId="77777777" w:rsidR="00A76315" w:rsidRDefault="00A76315" w:rsidP="00267209">
            <w:pPr>
              <w:pStyle w:val="RCTstable"/>
            </w:pPr>
            <w:r>
              <w:t>Lifestyle counselling</w:t>
            </w:r>
          </w:p>
        </w:tc>
        <w:tc>
          <w:tcPr>
            <w:tcW w:w="3967" w:type="dxa"/>
            <w:tcBorders>
              <w:bottom w:val="single" w:sz="4" w:space="0" w:color="3B3474"/>
            </w:tcBorders>
            <w:shd w:val="clear" w:color="auto" w:fill="FFF2CC" w:themeFill="accent4" w:themeFillTint="33"/>
          </w:tcPr>
          <w:p w14:paraId="0EF6B79A" w14:textId="540CB37C" w:rsidR="00A76315" w:rsidRPr="00D9380A" w:rsidRDefault="00A76315" w:rsidP="00250888">
            <w:pPr>
              <w:pStyle w:val="RCTstable"/>
            </w:pPr>
            <w:r w:rsidRPr="000C72DB">
              <w:t xml:space="preserve">RR </w:t>
            </w:r>
            <w:r w:rsidR="00250888">
              <w:t>0.99</w:t>
            </w:r>
            <w:r w:rsidRPr="000C72DB">
              <w:t>; 95%CI 0.</w:t>
            </w:r>
            <w:r w:rsidR="00250888">
              <w:t>80</w:t>
            </w:r>
            <w:r w:rsidRPr="000C72DB">
              <w:t xml:space="preserve"> to 1.</w:t>
            </w:r>
            <w:r w:rsidR="00250888">
              <w:t>22</w:t>
            </w:r>
          </w:p>
        </w:tc>
        <w:tc>
          <w:tcPr>
            <w:tcW w:w="1517" w:type="dxa"/>
            <w:shd w:val="clear" w:color="auto" w:fill="E7E6E6" w:themeFill="background2"/>
          </w:tcPr>
          <w:p w14:paraId="29EE43C5" w14:textId="064E8AF2" w:rsidR="00A76315" w:rsidRDefault="00250888"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50888" w14:paraId="5B9814ED" w14:textId="77777777" w:rsidTr="0030223E">
        <w:tc>
          <w:tcPr>
            <w:tcW w:w="1840" w:type="dxa"/>
            <w:tcBorders>
              <w:bottom w:val="single" w:sz="4" w:space="0" w:color="3B3474"/>
            </w:tcBorders>
          </w:tcPr>
          <w:p w14:paraId="533E24E0" w14:textId="7467B50A" w:rsidR="00250888" w:rsidRDefault="00250888" w:rsidP="00CF5A9D">
            <w:pPr>
              <w:pStyle w:val="RCTstable"/>
            </w:pPr>
            <w:r>
              <w:t>Postnatal depression</w:t>
            </w:r>
          </w:p>
        </w:tc>
        <w:tc>
          <w:tcPr>
            <w:tcW w:w="1957" w:type="dxa"/>
          </w:tcPr>
          <w:p w14:paraId="12197B3F" w14:textId="499944E2" w:rsidR="00250888" w:rsidRDefault="00250888" w:rsidP="00267209">
            <w:pPr>
              <w:pStyle w:val="RCTstable"/>
            </w:pPr>
            <w:r>
              <w:t>Exercise</w:t>
            </w:r>
          </w:p>
        </w:tc>
        <w:tc>
          <w:tcPr>
            <w:tcW w:w="3967" w:type="dxa"/>
            <w:tcBorders>
              <w:bottom w:val="single" w:sz="4" w:space="0" w:color="3B3474"/>
            </w:tcBorders>
            <w:shd w:val="clear" w:color="auto" w:fill="E2EFD9" w:themeFill="accent6" w:themeFillTint="33"/>
          </w:tcPr>
          <w:p w14:paraId="7699D981" w14:textId="17F45C82" w:rsidR="00250888" w:rsidRDefault="00250888" w:rsidP="00267209">
            <w:pPr>
              <w:pStyle w:val="RCTstable"/>
            </w:pPr>
            <w:r>
              <w:t>RR 0.47; 95%CI 0.34 to 0.65</w:t>
            </w:r>
          </w:p>
        </w:tc>
        <w:tc>
          <w:tcPr>
            <w:tcW w:w="1517" w:type="dxa"/>
            <w:tcBorders>
              <w:bottom w:val="single" w:sz="4" w:space="0" w:color="3B3474"/>
            </w:tcBorders>
          </w:tcPr>
          <w:p w14:paraId="073A1DDB" w14:textId="5E821589" w:rsidR="00250888" w:rsidRDefault="00250888"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3322AAD6" w14:textId="77777777" w:rsidTr="0030223E">
        <w:tc>
          <w:tcPr>
            <w:tcW w:w="1840" w:type="dxa"/>
            <w:vMerge w:val="restart"/>
            <w:shd w:val="clear" w:color="auto" w:fill="E7E6E6" w:themeFill="background2"/>
          </w:tcPr>
          <w:p w14:paraId="28E42710" w14:textId="40BEB6D2" w:rsidR="00524EDF" w:rsidRDefault="00524EDF" w:rsidP="00CF5A9D">
            <w:pPr>
              <w:pStyle w:val="RCTstable"/>
            </w:pPr>
            <w:r>
              <w:t>Postnatal weight retention</w:t>
            </w:r>
          </w:p>
        </w:tc>
        <w:tc>
          <w:tcPr>
            <w:tcW w:w="1957" w:type="dxa"/>
          </w:tcPr>
          <w:p w14:paraId="53BB59A4" w14:textId="77777777" w:rsidR="00524EDF" w:rsidRDefault="00524EDF" w:rsidP="00267209">
            <w:pPr>
              <w:pStyle w:val="RCTstable"/>
            </w:pPr>
            <w:r>
              <w:t>Diet</w:t>
            </w:r>
          </w:p>
        </w:tc>
        <w:tc>
          <w:tcPr>
            <w:tcW w:w="3967" w:type="dxa"/>
            <w:tcBorders>
              <w:bottom w:val="single" w:sz="4" w:space="0" w:color="3B3474"/>
            </w:tcBorders>
            <w:shd w:val="clear" w:color="auto" w:fill="FFF2CC" w:themeFill="accent4" w:themeFillTint="33"/>
          </w:tcPr>
          <w:p w14:paraId="556AD7B2" w14:textId="760D73C1" w:rsidR="00524EDF" w:rsidRPr="00D9380A" w:rsidRDefault="00524EDF" w:rsidP="00267209">
            <w:pPr>
              <w:pStyle w:val="RCTstable"/>
            </w:pPr>
            <w:r>
              <w:t>MD -0.55</w:t>
            </w:r>
            <w:r w:rsidRPr="00C12274">
              <w:t xml:space="preserve">; 95%CI </w:t>
            </w:r>
            <w:r>
              <w:t>-2.02</w:t>
            </w:r>
            <w:r w:rsidRPr="00C12274">
              <w:t xml:space="preserve"> to </w:t>
            </w:r>
            <w:r>
              <w:t>0.92</w:t>
            </w:r>
          </w:p>
        </w:tc>
        <w:tc>
          <w:tcPr>
            <w:tcW w:w="1517" w:type="dxa"/>
            <w:shd w:val="clear" w:color="auto" w:fill="E7E6E6" w:themeFill="background2"/>
          </w:tcPr>
          <w:p w14:paraId="7EE1AFD0" w14:textId="269912CB" w:rsidR="00524EDF" w:rsidRDefault="00524EDF"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7235D2B6" w14:textId="77777777" w:rsidTr="0030223E">
        <w:tc>
          <w:tcPr>
            <w:tcW w:w="1840" w:type="dxa"/>
            <w:vMerge/>
            <w:shd w:val="clear" w:color="auto" w:fill="E7E6E6" w:themeFill="background2"/>
          </w:tcPr>
          <w:p w14:paraId="5400995A" w14:textId="77777777" w:rsidR="00524EDF" w:rsidRDefault="00524EDF" w:rsidP="00267209">
            <w:pPr>
              <w:pStyle w:val="RCTstable"/>
            </w:pPr>
          </w:p>
        </w:tc>
        <w:tc>
          <w:tcPr>
            <w:tcW w:w="1957" w:type="dxa"/>
          </w:tcPr>
          <w:p w14:paraId="3607E1B8" w14:textId="77777777" w:rsidR="00524EDF" w:rsidRDefault="00524EDF" w:rsidP="00267209">
            <w:pPr>
              <w:pStyle w:val="RCTstable"/>
            </w:pPr>
            <w:r>
              <w:t>Exercise</w:t>
            </w:r>
          </w:p>
        </w:tc>
        <w:tc>
          <w:tcPr>
            <w:tcW w:w="3967" w:type="dxa"/>
            <w:tcBorders>
              <w:bottom w:val="single" w:sz="4" w:space="0" w:color="3B3474"/>
            </w:tcBorders>
            <w:shd w:val="clear" w:color="auto" w:fill="FFF2CC" w:themeFill="accent4" w:themeFillTint="33"/>
          </w:tcPr>
          <w:p w14:paraId="676B2962" w14:textId="2EABEA03" w:rsidR="00524EDF" w:rsidRPr="00D9380A" w:rsidRDefault="00CE1EA2" w:rsidP="00181F8B">
            <w:pPr>
              <w:pStyle w:val="RCTstable"/>
            </w:pPr>
            <w:r w:rsidRPr="00C12274">
              <w:t>MD –0.</w:t>
            </w:r>
            <w:r w:rsidR="00181F8B">
              <w:t>20</w:t>
            </w:r>
            <w:r w:rsidRPr="00C12274">
              <w:t>; 95%CI –</w:t>
            </w:r>
            <w:r w:rsidR="00181F8B">
              <w:t>1.48</w:t>
            </w:r>
            <w:r w:rsidRPr="00C12274">
              <w:t xml:space="preserve"> to </w:t>
            </w:r>
            <w:r w:rsidR="00181F8B">
              <w:t>1.09</w:t>
            </w:r>
          </w:p>
        </w:tc>
        <w:tc>
          <w:tcPr>
            <w:tcW w:w="1517" w:type="dxa"/>
            <w:shd w:val="clear" w:color="auto" w:fill="E7E6E6" w:themeFill="background2"/>
          </w:tcPr>
          <w:p w14:paraId="151F70C4" w14:textId="0E1B3CDF" w:rsidR="00524EDF" w:rsidRDefault="00181F8B"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267209" w14:paraId="19D8E625" w14:textId="77777777" w:rsidTr="0030223E">
        <w:tc>
          <w:tcPr>
            <w:tcW w:w="1840" w:type="dxa"/>
            <w:vMerge/>
            <w:shd w:val="clear" w:color="auto" w:fill="E7E6E6" w:themeFill="background2"/>
          </w:tcPr>
          <w:p w14:paraId="15E18336" w14:textId="77777777" w:rsidR="00524EDF" w:rsidRDefault="00524EDF" w:rsidP="00267209">
            <w:pPr>
              <w:pStyle w:val="RCTstable"/>
            </w:pPr>
          </w:p>
        </w:tc>
        <w:tc>
          <w:tcPr>
            <w:tcW w:w="1957" w:type="dxa"/>
          </w:tcPr>
          <w:p w14:paraId="07736219" w14:textId="77777777" w:rsidR="00524EDF" w:rsidRDefault="00524EDF" w:rsidP="00267209">
            <w:pPr>
              <w:pStyle w:val="RCTstable"/>
            </w:pPr>
            <w:r>
              <w:t>Lifestyle counselling</w:t>
            </w:r>
          </w:p>
        </w:tc>
        <w:tc>
          <w:tcPr>
            <w:tcW w:w="3967" w:type="dxa"/>
            <w:shd w:val="clear" w:color="auto" w:fill="E2EFD9" w:themeFill="accent6" w:themeFillTint="33"/>
          </w:tcPr>
          <w:p w14:paraId="70870463" w14:textId="569C64BF" w:rsidR="00524EDF" w:rsidRPr="00D9380A" w:rsidRDefault="00524EDF" w:rsidP="00267209">
            <w:pPr>
              <w:pStyle w:val="RCTstable"/>
            </w:pPr>
            <w:r>
              <w:t>MD -1.19</w:t>
            </w:r>
            <w:r w:rsidRPr="00D9380A">
              <w:t>; 95%CI -1.</w:t>
            </w:r>
            <w:r>
              <w:t>62 to -0.76</w:t>
            </w:r>
          </w:p>
        </w:tc>
        <w:tc>
          <w:tcPr>
            <w:tcW w:w="1517" w:type="dxa"/>
            <w:shd w:val="clear" w:color="auto" w:fill="E7E6E6" w:themeFill="background2"/>
          </w:tcPr>
          <w:p w14:paraId="06C049B9" w14:textId="7B91DE1C" w:rsidR="00524EDF" w:rsidRDefault="00CE1EA2" w:rsidP="00267209">
            <w:pPr>
              <w:pStyle w:val="RCTstable"/>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bl>
    <w:p w14:paraId="5EC0F06B" w14:textId="318ADC2C" w:rsidR="002A0B87" w:rsidRDefault="00932C6D" w:rsidP="008E1F6E">
      <w:pPr>
        <w:pStyle w:val="TableName"/>
      </w:pPr>
      <w:bookmarkStart w:id="233" w:name="_Toc40956686"/>
      <w:r>
        <w:t xml:space="preserve">Q9 </w:t>
      </w:r>
      <w:r w:rsidR="00863FE7">
        <w:t>Summary of infant outcomes by intervention</w:t>
      </w:r>
      <w:bookmarkEnd w:id="233"/>
    </w:p>
    <w:tbl>
      <w:tblPr>
        <w:tblStyle w:val="TableGrid"/>
        <w:tblW w:w="0" w:type="auto"/>
        <w:tblLook w:val="04A0" w:firstRow="1" w:lastRow="0" w:firstColumn="1" w:lastColumn="0" w:noHBand="0" w:noVBand="1"/>
        <w:tblCaption w:val="Table 108: Q9 Summary of infant outcomes by intervention"/>
      </w:tblPr>
      <w:tblGrid>
        <w:gridCol w:w="1840"/>
        <w:gridCol w:w="1957"/>
        <w:gridCol w:w="3967"/>
        <w:gridCol w:w="1517"/>
      </w:tblGrid>
      <w:tr w:rsidR="00863FE7" w:rsidRPr="001E6B86" w14:paraId="2ADFC07E" w14:textId="77777777" w:rsidTr="00267209">
        <w:tc>
          <w:tcPr>
            <w:tcW w:w="1840" w:type="dxa"/>
            <w:tcBorders>
              <w:bottom w:val="single" w:sz="4" w:space="0" w:color="3B3474"/>
            </w:tcBorders>
          </w:tcPr>
          <w:p w14:paraId="6DFE5794" w14:textId="77777777" w:rsidR="00863FE7" w:rsidRPr="001E6B86" w:rsidRDefault="00863FE7" w:rsidP="008E1F6E">
            <w:pPr>
              <w:pStyle w:val="RCTstable"/>
              <w:keepNext/>
              <w:rPr>
                <w:b/>
              </w:rPr>
            </w:pPr>
            <w:r w:rsidRPr="001E6B86">
              <w:rPr>
                <w:b/>
              </w:rPr>
              <w:t>Outcome</w:t>
            </w:r>
          </w:p>
        </w:tc>
        <w:tc>
          <w:tcPr>
            <w:tcW w:w="1957" w:type="dxa"/>
            <w:tcBorders>
              <w:bottom w:val="single" w:sz="4" w:space="0" w:color="3B3474"/>
            </w:tcBorders>
          </w:tcPr>
          <w:p w14:paraId="5172C260" w14:textId="77777777" w:rsidR="00863FE7" w:rsidRPr="001E6B86" w:rsidRDefault="00863FE7" w:rsidP="008E1F6E">
            <w:pPr>
              <w:pStyle w:val="RCTstable"/>
              <w:keepNext/>
              <w:rPr>
                <w:b/>
              </w:rPr>
            </w:pPr>
            <w:r w:rsidRPr="001E6B86">
              <w:rPr>
                <w:b/>
              </w:rPr>
              <w:t>Intervention</w:t>
            </w:r>
          </w:p>
        </w:tc>
        <w:tc>
          <w:tcPr>
            <w:tcW w:w="3967" w:type="dxa"/>
            <w:tcBorders>
              <w:bottom w:val="single" w:sz="4" w:space="0" w:color="3B3474"/>
            </w:tcBorders>
          </w:tcPr>
          <w:p w14:paraId="3A97AF39" w14:textId="77777777" w:rsidR="00863FE7" w:rsidRPr="001E6B86" w:rsidRDefault="00863FE7" w:rsidP="008E1F6E">
            <w:pPr>
              <w:pStyle w:val="RCTstable"/>
              <w:keepNext/>
              <w:rPr>
                <w:b/>
              </w:rPr>
            </w:pPr>
            <w:r w:rsidRPr="001E6B86">
              <w:rPr>
                <w:b/>
              </w:rPr>
              <w:t>Effect</w:t>
            </w:r>
          </w:p>
        </w:tc>
        <w:tc>
          <w:tcPr>
            <w:tcW w:w="1517" w:type="dxa"/>
            <w:tcBorders>
              <w:bottom w:val="single" w:sz="4" w:space="0" w:color="3B3474"/>
            </w:tcBorders>
          </w:tcPr>
          <w:p w14:paraId="6829E915" w14:textId="167A974F" w:rsidR="00863FE7" w:rsidRPr="001E6B86" w:rsidRDefault="00343BBE" w:rsidP="008E1F6E">
            <w:pPr>
              <w:pStyle w:val="RCTstable"/>
              <w:keepNext/>
              <w:rPr>
                <w:b/>
              </w:rPr>
            </w:pPr>
            <w:r>
              <w:rPr>
                <w:b/>
              </w:rPr>
              <w:t>Certainty</w:t>
            </w:r>
          </w:p>
        </w:tc>
      </w:tr>
      <w:tr w:rsidR="00863FE7" w14:paraId="5225171B" w14:textId="77777777" w:rsidTr="00267209">
        <w:tc>
          <w:tcPr>
            <w:tcW w:w="1840" w:type="dxa"/>
            <w:vMerge w:val="restart"/>
            <w:shd w:val="clear" w:color="auto" w:fill="E7E6E6" w:themeFill="background2"/>
          </w:tcPr>
          <w:p w14:paraId="64E870E5" w14:textId="0FB4FF82" w:rsidR="00863FE7" w:rsidRDefault="00863FE7" w:rsidP="008E1F6E">
            <w:pPr>
              <w:pStyle w:val="RCTstable"/>
              <w:keepNext/>
            </w:pPr>
            <w:r>
              <w:t>Preterm birth</w:t>
            </w:r>
          </w:p>
        </w:tc>
        <w:tc>
          <w:tcPr>
            <w:tcW w:w="1957" w:type="dxa"/>
            <w:shd w:val="clear" w:color="auto" w:fill="E7E6E6" w:themeFill="background2"/>
          </w:tcPr>
          <w:p w14:paraId="443FFA33" w14:textId="77777777" w:rsidR="00863FE7" w:rsidRDefault="00863FE7" w:rsidP="008E1F6E">
            <w:pPr>
              <w:pStyle w:val="RCTstable"/>
              <w:keepNext/>
            </w:pPr>
            <w:r>
              <w:t>Diet</w:t>
            </w:r>
          </w:p>
        </w:tc>
        <w:tc>
          <w:tcPr>
            <w:tcW w:w="3967" w:type="dxa"/>
            <w:tcBorders>
              <w:bottom w:val="single" w:sz="4" w:space="0" w:color="3B3474"/>
            </w:tcBorders>
            <w:shd w:val="clear" w:color="auto" w:fill="E2EFD9" w:themeFill="accent6" w:themeFillTint="33"/>
          </w:tcPr>
          <w:p w14:paraId="656E5DC7" w14:textId="348A9239" w:rsidR="00863FE7" w:rsidRDefault="00863FE7" w:rsidP="008E1F6E">
            <w:pPr>
              <w:pStyle w:val="RCTstable"/>
              <w:keepNext/>
            </w:pPr>
            <w:r w:rsidRPr="00087E01">
              <w:t>RR 0.43; 95%CI 0.24 to 0.79</w:t>
            </w:r>
          </w:p>
        </w:tc>
        <w:tc>
          <w:tcPr>
            <w:tcW w:w="1517" w:type="dxa"/>
            <w:shd w:val="clear" w:color="auto" w:fill="E7E6E6" w:themeFill="background2"/>
          </w:tcPr>
          <w:p w14:paraId="561080AC" w14:textId="45C18A03" w:rsidR="00863FE7" w:rsidRDefault="00863FE7" w:rsidP="008E1F6E">
            <w:pPr>
              <w:pStyle w:val="RCTstable"/>
              <w:keepNext/>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863FE7" w14:paraId="4C4F6401" w14:textId="77777777" w:rsidTr="0030223E">
        <w:tc>
          <w:tcPr>
            <w:tcW w:w="1840" w:type="dxa"/>
            <w:vMerge/>
            <w:shd w:val="clear" w:color="auto" w:fill="E7E6E6" w:themeFill="background2"/>
          </w:tcPr>
          <w:p w14:paraId="73F451BA" w14:textId="77777777" w:rsidR="00863FE7" w:rsidRDefault="00863FE7" w:rsidP="008E1F6E">
            <w:pPr>
              <w:pStyle w:val="RCTstable"/>
              <w:keepNext/>
            </w:pPr>
          </w:p>
        </w:tc>
        <w:tc>
          <w:tcPr>
            <w:tcW w:w="1957" w:type="dxa"/>
            <w:shd w:val="clear" w:color="auto" w:fill="E7E6E6" w:themeFill="background2"/>
          </w:tcPr>
          <w:p w14:paraId="7EF0547D" w14:textId="77777777" w:rsidR="00863FE7" w:rsidRDefault="00863FE7" w:rsidP="008E1F6E">
            <w:pPr>
              <w:pStyle w:val="RCTstable"/>
              <w:keepNext/>
            </w:pPr>
            <w:r>
              <w:t>Exercise</w:t>
            </w:r>
          </w:p>
        </w:tc>
        <w:tc>
          <w:tcPr>
            <w:tcW w:w="3967" w:type="dxa"/>
            <w:tcBorders>
              <w:bottom w:val="single" w:sz="4" w:space="0" w:color="3B3474"/>
            </w:tcBorders>
            <w:shd w:val="clear" w:color="auto" w:fill="FFF2CC" w:themeFill="accent4" w:themeFillTint="33"/>
          </w:tcPr>
          <w:p w14:paraId="64E62C6E" w14:textId="627972EF" w:rsidR="00863FE7" w:rsidRDefault="00996B7E" w:rsidP="008E1F6E">
            <w:pPr>
              <w:pStyle w:val="RCTstable"/>
              <w:keepNext/>
            </w:pPr>
            <w:r w:rsidRPr="00AB606F">
              <w:t>RR 0.95; 95%CI 0.74 to 1.22</w:t>
            </w:r>
          </w:p>
        </w:tc>
        <w:tc>
          <w:tcPr>
            <w:tcW w:w="1517" w:type="dxa"/>
            <w:shd w:val="clear" w:color="auto" w:fill="E7E6E6" w:themeFill="background2"/>
          </w:tcPr>
          <w:p w14:paraId="6D435CE3" w14:textId="77777777" w:rsidR="00863FE7" w:rsidRDefault="00863FE7" w:rsidP="008E1F6E">
            <w:pPr>
              <w:pStyle w:val="RCTstable"/>
              <w:keepNext/>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863FE7" w14:paraId="1A9E6668" w14:textId="77777777" w:rsidTr="0030223E">
        <w:tc>
          <w:tcPr>
            <w:tcW w:w="1840" w:type="dxa"/>
            <w:vMerge/>
            <w:shd w:val="clear" w:color="auto" w:fill="E7E6E6" w:themeFill="background2"/>
          </w:tcPr>
          <w:p w14:paraId="1CBC57CD" w14:textId="77777777" w:rsidR="00863FE7" w:rsidRDefault="00863FE7" w:rsidP="008E1F6E">
            <w:pPr>
              <w:pStyle w:val="RCTstable"/>
              <w:keepNext/>
            </w:pPr>
          </w:p>
        </w:tc>
        <w:tc>
          <w:tcPr>
            <w:tcW w:w="1957" w:type="dxa"/>
            <w:shd w:val="clear" w:color="auto" w:fill="E7E6E6" w:themeFill="background2"/>
          </w:tcPr>
          <w:p w14:paraId="00811A5C" w14:textId="77777777" w:rsidR="00863FE7" w:rsidRDefault="00863FE7" w:rsidP="008E1F6E">
            <w:pPr>
              <w:pStyle w:val="RCTstable"/>
              <w:keepNext/>
            </w:pPr>
            <w:r>
              <w:t>Lifestyle counselling</w:t>
            </w:r>
          </w:p>
        </w:tc>
        <w:tc>
          <w:tcPr>
            <w:tcW w:w="3967" w:type="dxa"/>
            <w:tcBorders>
              <w:bottom w:val="single" w:sz="4" w:space="0" w:color="3B3474"/>
            </w:tcBorders>
            <w:shd w:val="clear" w:color="auto" w:fill="D9E2F3" w:themeFill="accent1" w:themeFillTint="33"/>
          </w:tcPr>
          <w:p w14:paraId="73DCE873" w14:textId="3FD1B6E2" w:rsidR="00863FE7" w:rsidRDefault="00996B7E" w:rsidP="008E1F6E">
            <w:pPr>
              <w:pStyle w:val="RCTstable"/>
              <w:keepNext/>
            </w:pPr>
            <w:r w:rsidRPr="00D9380A">
              <w:t>RR 0.</w:t>
            </w:r>
            <w:r w:rsidR="00250888">
              <w:t>85</w:t>
            </w:r>
            <w:r>
              <w:t>; 95%CI 0.</w:t>
            </w:r>
            <w:r w:rsidR="00250888">
              <w:t xml:space="preserve">72 </w:t>
            </w:r>
            <w:r>
              <w:t xml:space="preserve">to </w:t>
            </w:r>
            <w:r w:rsidR="00250888">
              <w:t>1.01</w:t>
            </w:r>
          </w:p>
        </w:tc>
        <w:tc>
          <w:tcPr>
            <w:tcW w:w="1517" w:type="dxa"/>
            <w:shd w:val="clear" w:color="auto" w:fill="E7E6E6" w:themeFill="background2"/>
          </w:tcPr>
          <w:p w14:paraId="7CCE8A59" w14:textId="449F9ABD" w:rsidR="00863FE7" w:rsidRDefault="00996B7E" w:rsidP="008E1F6E">
            <w:pPr>
              <w:pStyle w:val="RCTstable"/>
              <w:keepNext/>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4AFE58ED" w14:textId="77777777" w:rsidTr="00A912D4">
        <w:tc>
          <w:tcPr>
            <w:tcW w:w="1840" w:type="dxa"/>
            <w:vMerge w:val="restart"/>
          </w:tcPr>
          <w:p w14:paraId="49B66F04" w14:textId="2DBAE5B6" w:rsidR="00996B7E" w:rsidRDefault="00996B7E" w:rsidP="008E1F6E">
            <w:pPr>
              <w:pStyle w:val="RCTstable"/>
              <w:keepNext/>
            </w:pPr>
            <w:r>
              <w:t>Macrosomia &gt;4,000 g</w:t>
            </w:r>
          </w:p>
        </w:tc>
        <w:tc>
          <w:tcPr>
            <w:tcW w:w="1957" w:type="dxa"/>
          </w:tcPr>
          <w:p w14:paraId="76CDD460" w14:textId="1E77E580" w:rsidR="00996B7E" w:rsidRDefault="00996B7E" w:rsidP="008E1F6E">
            <w:pPr>
              <w:pStyle w:val="RCTstable"/>
              <w:keepNext/>
            </w:pPr>
            <w:r>
              <w:t>Diet</w:t>
            </w:r>
          </w:p>
        </w:tc>
        <w:tc>
          <w:tcPr>
            <w:tcW w:w="3967" w:type="dxa"/>
            <w:tcBorders>
              <w:bottom w:val="single" w:sz="4" w:space="0" w:color="3B3474"/>
            </w:tcBorders>
            <w:shd w:val="clear" w:color="auto" w:fill="FFF2CC" w:themeFill="accent4" w:themeFillTint="33"/>
          </w:tcPr>
          <w:p w14:paraId="5159649B" w14:textId="0808983F" w:rsidR="00996B7E" w:rsidRPr="00D9380A" w:rsidRDefault="00996B7E" w:rsidP="008E1F6E">
            <w:pPr>
              <w:pStyle w:val="RCTstable"/>
              <w:keepNext/>
            </w:pPr>
            <w:r w:rsidRPr="00C12274">
              <w:t>RR 0.9</w:t>
            </w:r>
            <w:r>
              <w:t>7</w:t>
            </w:r>
            <w:r w:rsidRPr="00C12274">
              <w:t>; 95%CI 0.</w:t>
            </w:r>
            <w:r>
              <w:t>84 to 1.11</w:t>
            </w:r>
          </w:p>
        </w:tc>
        <w:tc>
          <w:tcPr>
            <w:tcW w:w="1517" w:type="dxa"/>
          </w:tcPr>
          <w:p w14:paraId="6D75605A" w14:textId="33BDCC59" w:rsidR="00996B7E" w:rsidRDefault="00996B7E" w:rsidP="008E1F6E">
            <w:pPr>
              <w:pStyle w:val="RCTstable"/>
              <w:keepNext/>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317D9281" w14:textId="77777777" w:rsidTr="00A912D4">
        <w:tc>
          <w:tcPr>
            <w:tcW w:w="1840" w:type="dxa"/>
            <w:vMerge/>
          </w:tcPr>
          <w:p w14:paraId="1AA65C3C" w14:textId="77777777" w:rsidR="00996B7E" w:rsidRDefault="00996B7E" w:rsidP="00267209">
            <w:pPr>
              <w:pStyle w:val="RCTstable"/>
            </w:pPr>
          </w:p>
        </w:tc>
        <w:tc>
          <w:tcPr>
            <w:tcW w:w="1957" w:type="dxa"/>
          </w:tcPr>
          <w:p w14:paraId="7B2D1EFE" w14:textId="78AC22DB" w:rsidR="00996B7E" w:rsidRDefault="00996B7E" w:rsidP="00267209">
            <w:pPr>
              <w:pStyle w:val="RCTstable"/>
            </w:pPr>
            <w:r>
              <w:t>Exercise</w:t>
            </w:r>
          </w:p>
        </w:tc>
        <w:tc>
          <w:tcPr>
            <w:tcW w:w="3967" w:type="dxa"/>
            <w:tcBorders>
              <w:bottom w:val="single" w:sz="4" w:space="0" w:color="3B3474"/>
            </w:tcBorders>
            <w:shd w:val="clear" w:color="auto" w:fill="E2EFD9" w:themeFill="accent6" w:themeFillTint="33"/>
          </w:tcPr>
          <w:p w14:paraId="0D0AF521" w14:textId="0E374085" w:rsidR="00996B7E" w:rsidRPr="00D9380A" w:rsidRDefault="00996B7E" w:rsidP="00267209">
            <w:pPr>
              <w:pStyle w:val="RCTstable"/>
            </w:pPr>
            <w:r w:rsidRPr="00AB606F">
              <w:t>RR 0.75; 95%CI 0.59 to 0.96</w:t>
            </w:r>
          </w:p>
        </w:tc>
        <w:tc>
          <w:tcPr>
            <w:tcW w:w="1517" w:type="dxa"/>
          </w:tcPr>
          <w:p w14:paraId="786ABA64" w14:textId="5F560CD9"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0D492252" w14:textId="77777777" w:rsidTr="00267209">
        <w:tc>
          <w:tcPr>
            <w:tcW w:w="1840" w:type="dxa"/>
            <w:vMerge/>
            <w:tcBorders>
              <w:bottom w:val="single" w:sz="4" w:space="0" w:color="3B3474"/>
            </w:tcBorders>
          </w:tcPr>
          <w:p w14:paraId="2EA9BFD9" w14:textId="77777777" w:rsidR="00996B7E" w:rsidRDefault="00996B7E" w:rsidP="00267209">
            <w:pPr>
              <w:pStyle w:val="RCTstable"/>
            </w:pPr>
          </w:p>
        </w:tc>
        <w:tc>
          <w:tcPr>
            <w:tcW w:w="1957" w:type="dxa"/>
            <w:tcBorders>
              <w:bottom w:val="single" w:sz="4" w:space="0" w:color="3B3474"/>
            </w:tcBorders>
          </w:tcPr>
          <w:p w14:paraId="4131BB27" w14:textId="7EC23712" w:rsidR="00996B7E" w:rsidRDefault="00996B7E" w:rsidP="00267209">
            <w:pPr>
              <w:pStyle w:val="RCTstable"/>
            </w:pPr>
            <w:r>
              <w:t>Lifestyle counselling</w:t>
            </w:r>
          </w:p>
        </w:tc>
        <w:tc>
          <w:tcPr>
            <w:tcW w:w="3967" w:type="dxa"/>
            <w:shd w:val="clear" w:color="auto" w:fill="DEEAF6" w:themeFill="accent5" w:themeFillTint="33"/>
          </w:tcPr>
          <w:p w14:paraId="2BE5A069" w14:textId="6B61E36D" w:rsidR="00996B7E" w:rsidRPr="00D9380A" w:rsidRDefault="00996B7E" w:rsidP="00267209">
            <w:pPr>
              <w:pStyle w:val="RCTstable"/>
            </w:pPr>
            <w:r>
              <w:t>RR 0.91; 95%CI 0.82 to 1.0</w:t>
            </w:r>
            <w:r w:rsidR="00250888">
              <w:t>1</w:t>
            </w:r>
          </w:p>
        </w:tc>
        <w:tc>
          <w:tcPr>
            <w:tcW w:w="1517" w:type="dxa"/>
            <w:tcBorders>
              <w:bottom w:val="single" w:sz="4" w:space="0" w:color="3B3474"/>
            </w:tcBorders>
          </w:tcPr>
          <w:p w14:paraId="23479C6F" w14:textId="2202A4D5"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1F69E227" w14:textId="77777777" w:rsidTr="00267209">
        <w:tc>
          <w:tcPr>
            <w:tcW w:w="1840" w:type="dxa"/>
            <w:shd w:val="clear" w:color="auto" w:fill="E7E6E6" w:themeFill="background2"/>
          </w:tcPr>
          <w:p w14:paraId="48E0A2F4" w14:textId="7981B866" w:rsidR="00996B7E" w:rsidRDefault="00156571" w:rsidP="00267209">
            <w:pPr>
              <w:pStyle w:val="RCTstable"/>
            </w:pPr>
            <w:r>
              <w:t>Macrosomia &gt;4,500 g</w:t>
            </w:r>
          </w:p>
        </w:tc>
        <w:tc>
          <w:tcPr>
            <w:tcW w:w="1957" w:type="dxa"/>
            <w:shd w:val="clear" w:color="auto" w:fill="E7E6E6" w:themeFill="background2"/>
          </w:tcPr>
          <w:p w14:paraId="6CD83BB6" w14:textId="534E8B60" w:rsidR="00996B7E" w:rsidRDefault="00996B7E" w:rsidP="00267209">
            <w:pPr>
              <w:pStyle w:val="RCTstable"/>
            </w:pPr>
            <w:r>
              <w:t>Lifestyle counselling</w:t>
            </w:r>
          </w:p>
        </w:tc>
        <w:tc>
          <w:tcPr>
            <w:tcW w:w="3967" w:type="dxa"/>
            <w:tcBorders>
              <w:bottom w:val="single" w:sz="4" w:space="0" w:color="3B3474"/>
            </w:tcBorders>
            <w:shd w:val="clear" w:color="auto" w:fill="E2EFD9" w:themeFill="accent6" w:themeFillTint="33"/>
          </w:tcPr>
          <w:p w14:paraId="3E77A37D" w14:textId="76BF5320" w:rsidR="00996B7E" w:rsidRPr="00D9380A" w:rsidRDefault="00996B7E" w:rsidP="00267209">
            <w:pPr>
              <w:pStyle w:val="RCTstable"/>
            </w:pPr>
            <w:r w:rsidRPr="00945318">
              <w:t>RR 0.67; 95%CI 0.46 to 0.97</w:t>
            </w:r>
          </w:p>
        </w:tc>
        <w:tc>
          <w:tcPr>
            <w:tcW w:w="1517" w:type="dxa"/>
            <w:shd w:val="clear" w:color="auto" w:fill="E7E6E6" w:themeFill="background2"/>
          </w:tcPr>
          <w:p w14:paraId="0EC7BB52" w14:textId="0D9B7708"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41497E" w14:paraId="44690FBD" w14:textId="77777777" w:rsidTr="0030223E">
        <w:tc>
          <w:tcPr>
            <w:tcW w:w="1840" w:type="dxa"/>
            <w:vMerge w:val="restart"/>
          </w:tcPr>
          <w:p w14:paraId="034EC54F" w14:textId="6D5D2A09" w:rsidR="0041497E" w:rsidRDefault="0041497E" w:rsidP="00267209">
            <w:pPr>
              <w:pStyle w:val="RCTstable"/>
            </w:pPr>
            <w:r>
              <w:t>Low birth weight</w:t>
            </w:r>
          </w:p>
        </w:tc>
        <w:tc>
          <w:tcPr>
            <w:tcW w:w="1957" w:type="dxa"/>
          </w:tcPr>
          <w:p w14:paraId="7FF407FD" w14:textId="0E867773" w:rsidR="0041497E" w:rsidRDefault="0041497E" w:rsidP="00267209">
            <w:pPr>
              <w:pStyle w:val="RCTstable"/>
            </w:pPr>
            <w:r>
              <w:t>Exercise</w:t>
            </w:r>
          </w:p>
        </w:tc>
        <w:tc>
          <w:tcPr>
            <w:tcW w:w="3967" w:type="dxa"/>
            <w:tcBorders>
              <w:bottom w:val="single" w:sz="4" w:space="0" w:color="3B3474"/>
            </w:tcBorders>
            <w:shd w:val="clear" w:color="auto" w:fill="FFF2CC" w:themeFill="accent4" w:themeFillTint="33"/>
          </w:tcPr>
          <w:p w14:paraId="4FE38021" w14:textId="1D30E443" w:rsidR="0041497E" w:rsidRPr="00D9380A" w:rsidRDefault="0041497E" w:rsidP="00267209">
            <w:pPr>
              <w:pStyle w:val="RCTstable"/>
            </w:pPr>
            <w:r w:rsidRPr="00AB606F">
              <w:t>RR 0.94; 95%CI 0.68 to 1.28</w:t>
            </w:r>
          </w:p>
        </w:tc>
        <w:tc>
          <w:tcPr>
            <w:tcW w:w="1517" w:type="dxa"/>
          </w:tcPr>
          <w:p w14:paraId="65B74F46" w14:textId="4313FCE3" w:rsidR="0041497E" w:rsidRDefault="004149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41497E" w14:paraId="7B34370D" w14:textId="77777777" w:rsidTr="0030223E">
        <w:tc>
          <w:tcPr>
            <w:tcW w:w="1840" w:type="dxa"/>
            <w:vMerge/>
            <w:tcBorders>
              <w:bottom w:val="single" w:sz="4" w:space="0" w:color="3B3474"/>
            </w:tcBorders>
          </w:tcPr>
          <w:p w14:paraId="0D8DA14D" w14:textId="77777777" w:rsidR="0041497E" w:rsidRDefault="0041497E" w:rsidP="00267209">
            <w:pPr>
              <w:pStyle w:val="RCTstable"/>
            </w:pPr>
          </w:p>
        </w:tc>
        <w:tc>
          <w:tcPr>
            <w:tcW w:w="1957" w:type="dxa"/>
            <w:tcBorders>
              <w:bottom w:val="single" w:sz="4" w:space="0" w:color="3B3474"/>
            </w:tcBorders>
          </w:tcPr>
          <w:p w14:paraId="0D71C012" w14:textId="57A1320B" w:rsidR="0041497E" w:rsidRDefault="0041497E" w:rsidP="00267209">
            <w:pPr>
              <w:pStyle w:val="RCTstable"/>
            </w:pPr>
            <w:r>
              <w:t>Lifestyle counselling</w:t>
            </w:r>
          </w:p>
        </w:tc>
        <w:tc>
          <w:tcPr>
            <w:tcW w:w="3967" w:type="dxa"/>
            <w:tcBorders>
              <w:bottom w:val="single" w:sz="4" w:space="0" w:color="3B3474"/>
            </w:tcBorders>
            <w:shd w:val="clear" w:color="auto" w:fill="FFF2CC" w:themeFill="accent4" w:themeFillTint="33"/>
          </w:tcPr>
          <w:p w14:paraId="5FE235C0" w14:textId="518BD58C" w:rsidR="0041497E" w:rsidRPr="00D9380A" w:rsidRDefault="0041497E" w:rsidP="00175279">
            <w:pPr>
              <w:pStyle w:val="RCTstable"/>
            </w:pPr>
            <w:r>
              <w:t>RR 0.</w:t>
            </w:r>
            <w:r w:rsidR="00250888">
              <w:t>87</w:t>
            </w:r>
            <w:r>
              <w:t>; 95%CI 0.</w:t>
            </w:r>
            <w:r w:rsidR="00250888">
              <w:t>65</w:t>
            </w:r>
            <w:r>
              <w:t xml:space="preserve"> to 1.</w:t>
            </w:r>
            <w:r w:rsidR="00250888">
              <w:t>17</w:t>
            </w:r>
          </w:p>
        </w:tc>
        <w:tc>
          <w:tcPr>
            <w:tcW w:w="1517" w:type="dxa"/>
            <w:tcBorders>
              <w:bottom w:val="single" w:sz="4" w:space="0" w:color="3B3474"/>
            </w:tcBorders>
          </w:tcPr>
          <w:p w14:paraId="0434DDF8" w14:textId="31F4DA34" w:rsidR="0041497E" w:rsidRDefault="004149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2C2A288C" w14:textId="77777777" w:rsidTr="00267209">
        <w:tc>
          <w:tcPr>
            <w:tcW w:w="1840" w:type="dxa"/>
            <w:vMerge w:val="restart"/>
            <w:shd w:val="clear" w:color="auto" w:fill="E7E6E6" w:themeFill="background2"/>
          </w:tcPr>
          <w:p w14:paraId="41D090E6" w14:textId="27118803" w:rsidR="00996B7E" w:rsidRDefault="00996B7E" w:rsidP="00267209">
            <w:pPr>
              <w:pStyle w:val="RCTstable"/>
            </w:pPr>
            <w:r>
              <w:t>Small for gestational age</w:t>
            </w:r>
          </w:p>
        </w:tc>
        <w:tc>
          <w:tcPr>
            <w:tcW w:w="1957" w:type="dxa"/>
            <w:shd w:val="clear" w:color="auto" w:fill="E7E6E6" w:themeFill="background2"/>
          </w:tcPr>
          <w:p w14:paraId="7953A0A4" w14:textId="287AE2D4" w:rsidR="00996B7E" w:rsidRDefault="00996B7E" w:rsidP="00267209">
            <w:pPr>
              <w:pStyle w:val="RCTstable"/>
            </w:pPr>
            <w:r>
              <w:t>Diet</w:t>
            </w:r>
          </w:p>
        </w:tc>
        <w:tc>
          <w:tcPr>
            <w:tcW w:w="3967" w:type="dxa"/>
            <w:tcBorders>
              <w:bottom w:val="single" w:sz="4" w:space="0" w:color="3B3474"/>
            </w:tcBorders>
            <w:shd w:val="clear" w:color="auto" w:fill="FFF2CC" w:themeFill="accent4" w:themeFillTint="33"/>
          </w:tcPr>
          <w:p w14:paraId="1846B2A9" w14:textId="2506F035" w:rsidR="00996B7E" w:rsidRPr="00D9380A" w:rsidRDefault="00996B7E" w:rsidP="00267209">
            <w:pPr>
              <w:pStyle w:val="RCTstable"/>
            </w:pPr>
            <w:r w:rsidRPr="00A67139">
              <w:t>RR 0.59; 95%CI 0.22 to 1.69</w:t>
            </w:r>
          </w:p>
        </w:tc>
        <w:tc>
          <w:tcPr>
            <w:tcW w:w="1517" w:type="dxa"/>
            <w:shd w:val="clear" w:color="auto" w:fill="E7E6E6" w:themeFill="background2"/>
          </w:tcPr>
          <w:p w14:paraId="6B40B344" w14:textId="3BFD9DE0" w:rsidR="00996B7E" w:rsidRPr="00996B7E" w:rsidRDefault="00996B7E" w:rsidP="00996B7E">
            <w:pPr>
              <w:pStyle w:val="RCTstable"/>
              <w:rPr>
                <w:rStyle w:val="quality-sign"/>
                <w:rFonts w:eastAsia="Cambria"/>
              </w:rPr>
            </w:pPr>
            <w:r w:rsidRPr="00996B7E">
              <w:rPr>
                <w:rStyle w:val="quality-sign"/>
                <w:rFonts w:eastAsia="Cambria"/>
              </w:rPr>
              <w:t>Single study</w:t>
            </w:r>
          </w:p>
        </w:tc>
      </w:tr>
      <w:tr w:rsidR="00996B7E" w14:paraId="3C8E31B4" w14:textId="77777777" w:rsidTr="00267209">
        <w:tc>
          <w:tcPr>
            <w:tcW w:w="1840" w:type="dxa"/>
            <w:vMerge/>
            <w:shd w:val="clear" w:color="auto" w:fill="E7E6E6" w:themeFill="background2"/>
          </w:tcPr>
          <w:p w14:paraId="68624B9D" w14:textId="77777777" w:rsidR="00996B7E" w:rsidRDefault="00996B7E" w:rsidP="00267209">
            <w:pPr>
              <w:pStyle w:val="RCTstable"/>
            </w:pPr>
          </w:p>
        </w:tc>
        <w:tc>
          <w:tcPr>
            <w:tcW w:w="1957" w:type="dxa"/>
            <w:shd w:val="clear" w:color="auto" w:fill="E7E6E6" w:themeFill="background2"/>
          </w:tcPr>
          <w:p w14:paraId="1DFBAE30" w14:textId="0D5CB004" w:rsidR="00996B7E" w:rsidRDefault="00996B7E" w:rsidP="00267209">
            <w:pPr>
              <w:pStyle w:val="RCTstable"/>
            </w:pPr>
            <w:r>
              <w:t>Exercise</w:t>
            </w:r>
          </w:p>
        </w:tc>
        <w:tc>
          <w:tcPr>
            <w:tcW w:w="3967" w:type="dxa"/>
            <w:tcBorders>
              <w:bottom w:val="single" w:sz="4" w:space="0" w:color="3B3474"/>
            </w:tcBorders>
            <w:shd w:val="clear" w:color="auto" w:fill="FFF2CC" w:themeFill="accent4" w:themeFillTint="33"/>
          </w:tcPr>
          <w:p w14:paraId="5B562D58" w14:textId="4E10F3D1" w:rsidR="00996B7E" w:rsidRPr="00D9380A" w:rsidRDefault="00996B7E" w:rsidP="00267209">
            <w:pPr>
              <w:pStyle w:val="RCTstable"/>
            </w:pPr>
            <w:r w:rsidRPr="00AB606F">
              <w:t>RR 0.76; 95%CI 0.50 to 1.17</w:t>
            </w:r>
          </w:p>
        </w:tc>
        <w:tc>
          <w:tcPr>
            <w:tcW w:w="1517" w:type="dxa"/>
            <w:shd w:val="clear" w:color="auto" w:fill="E7E6E6" w:themeFill="background2"/>
          </w:tcPr>
          <w:p w14:paraId="141674DE" w14:textId="70D96FFF"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68BD50C5" w14:textId="77777777" w:rsidTr="00267209">
        <w:tc>
          <w:tcPr>
            <w:tcW w:w="1840" w:type="dxa"/>
            <w:vMerge/>
            <w:shd w:val="clear" w:color="auto" w:fill="E7E6E6" w:themeFill="background2"/>
          </w:tcPr>
          <w:p w14:paraId="0B372FAB" w14:textId="77777777" w:rsidR="00996B7E" w:rsidRDefault="00996B7E" w:rsidP="00267209">
            <w:pPr>
              <w:pStyle w:val="RCTstable"/>
            </w:pPr>
          </w:p>
        </w:tc>
        <w:tc>
          <w:tcPr>
            <w:tcW w:w="1957" w:type="dxa"/>
            <w:shd w:val="clear" w:color="auto" w:fill="E7E6E6" w:themeFill="background2"/>
          </w:tcPr>
          <w:p w14:paraId="5F2C7103" w14:textId="37D94A7E" w:rsidR="00996B7E" w:rsidRDefault="00996B7E" w:rsidP="00267209">
            <w:pPr>
              <w:pStyle w:val="RCTstable"/>
            </w:pPr>
            <w:r>
              <w:t>Lifestyle counselling</w:t>
            </w:r>
          </w:p>
        </w:tc>
        <w:tc>
          <w:tcPr>
            <w:tcW w:w="3967" w:type="dxa"/>
            <w:tcBorders>
              <w:bottom w:val="single" w:sz="4" w:space="0" w:color="3B3474"/>
            </w:tcBorders>
            <w:shd w:val="clear" w:color="auto" w:fill="FFF2CC" w:themeFill="accent4" w:themeFillTint="33"/>
          </w:tcPr>
          <w:p w14:paraId="46F85B47" w14:textId="0DF32716" w:rsidR="00996B7E" w:rsidRPr="00D9380A" w:rsidRDefault="00996B7E" w:rsidP="00267209">
            <w:pPr>
              <w:pStyle w:val="RCTstable"/>
            </w:pPr>
            <w:r>
              <w:t>RR 1.10; 95%CI 0.12 to 1.32</w:t>
            </w:r>
          </w:p>
        </w:tc>
        <w:tc>
          <w:tcPr>
            <w:tcW w:w="1517" w:type="dxa"/>
            <w:shd w:val="clear" w:color="auto" w:fill="E7E6E6" w:themeFill="background2"/>
          </w:tcPr>
          <w:p w14:paraId="40D28ECE" w14:textId="14CFDC73"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733BB94D" w14:textId="77777777" w:rsidTr="00996B7E">
        <w:tc>
          <w:tcPr>
            <w:tcW w:w="1840" w:type="dxa"/>
            <w:vMerge w:val="restart"/>
          </w:tcPr>
          <w:p w14:paraId="1362391F" w14:textId="669B9A41" w:rsidR="00996B7E" w:rsidRDefault="00996B7E" w:rsidP="00267209">
            <w:pPr>
              <w:pStyle w:val="RCTstable"/>
            </w:pPr>
            <w:r>
              <w:t>Large for gestational age</w:t>
            </w:r>
          </w:p>
        </w:tc>
        <w:tc>
          <w:tcPr>
            <w:tcW w:w="1957" w:type="dxa"/>
          </w:tcPr>
          <w:p w14:paraId="3A360E1D" w14:textId="22497369" w:rsidR="00996B7E" w:rsidRDefault="00996B7E" w:rsidP="00267209">
            <w:pPr>
              <w:pStyle w:val="RCTstable"/>
            </w:pPr>
            <w:r>
              <w:t>Diet</w:t>
            </w:r>
          </w:p>
        </w:tc>
        <w:tc>
          <w:tcPr>
            <w:tcW w:w="3967" w:type="dxa"/>
            <w:tcBorders>
              <w:bottom w:val="single" w:sz="4" w:space="0" w:color="3B3474"/>
            </w:tcBorders>
            <w:shd w:val="clear" w:color="auto" w:fill="FFF2CC" w:themeFill="accent4" w:themeFillTint="33"/>
          </w:tcPr>
          <w:p w14:paraId="46C83CAF" w14:textId="51B79E04" w:rsidR="00996B7E" w:rsidRPr="00D9380A" w:rsidRDefault="00996B7E" w:rsidP="00267209">
            <w:pPr>
              <w:pStyle w:val="RCTstable"/>
            </w:pPr>
            <w:r w:rsidRPr="00A67139">
              <w:t>RR 0.89; 95%CI 0.35 to 2.25</w:t>
            </w:r>
          </w:p>
        </w:tc>
        <w:tc>
          <w:tcPr>
            <w:tcW w:w="1517" w:type="dxa"/>
          </w:tcPr>
          <w:p w14:paraId="0ACCF0BA" w14:textId="155C3AC3" w:rsidR="00996B7E" w:rsidRPr="00996B7E" w:rsidRDefault="00996B7E" w:rsidP="00996B7E">
            <w:pPr>
              <w:pStyle w:val="RCTstable"/>
              <w:rPr>
                <w:rStyle w:val="quality-sign"/>
                <w:rFonts w:eastAsia="Cambria"/>
              </w:rPr>
            </w:pPr>
            <w:r w:rsidRPr="00996B7E">
              <w:rPr>
                <w:rStyle w:val="quality-sign"/>
                <w:rFonts w:eastAsia="Cambria"/>
              </w:rPr>
              <w:t>Single study</w:t>
            </w:r>
          </w:p>
        </w:tc>
      </w:tr>
      <w:tr w:rsidR="00996B7E" w14:paraId="49265D5A" w14:textId="77777777" w:rsidTr="00996B7E">
        <w:tc>
          <w:tcPr>
            <w:tcW w:w="1840" w:type="dxa"/>
            <w:vMerge/>
          </w:tcPr>
          <w:p w14:paraId="5540C5D8" w14:textId="77777777" w:rsidR="00996B7E" w:rsidRDefault="00996B7E" w:rsidP="00267209">
            <w:pPr>
              <w:pStyle w:val="RCTstable"/>
            </w:pPr>
          </w:p>
        </w:tc>
        <w:tc>
          <w:tcPr>
            <w:tcW w:w="1957" w:type="dxa"/>
          </w:tcPr>
          <w:p w14:paraId="30F2C783" w14:textId="76DD3771" w:rsidR="00996B7E" w:rsidRDefault="00996B7E" w:rsidP="00267209">
            <w:pPr>
              <w:pStyle w:val="RCTstable"/>
            </w:pPr>
            <w:r>
              <w:t>Exercise</w:t>
            </w:r>
          </w:p>
        </w:tc>
        <w:tc>
          <w:tcPr>
            <w:tcW w:w="3967" w:type="dxa"/>
            <w:tcBorders>
              <w:bottom w:val="single" w:sz="4" w:space="0" w:color="3B3474"/>
            </w:tcBorders>
            <w:shd w:val="clear" w:color="auto" w:fill="FFF2CC" w:themeFill="accent4" w:themeFillTint="33"/>
          </w:tcPr>
          <w:p w14:paraId="6CDCB079" w14:textId="34E0353B" w:rsidR="00996B7E" w:rsidRPr="00D9380A" w:rsidRDefault="00996B7E" w:rsidP="00267209">
            <w:pPr>
              <w:pStyle w:val="RCTstable"/>
            </w:pPr>
            <w:r w:rsidRPr="00AB606F">
              <w:t>RR 0.91; 95%CI 0.61 to 1.36</w:t>
            </w:r>
          </w:p>
        </w:tc>
        <w:tc>
          <w:tcPr>
            <w:tcW w:w="1517" w:type="dxa"/>
          </w:tcPr>
          <w:p w14:paraId="696B0186" w14:textId="60AA7A2D"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4808C45F" w14:textId="77777777" w:rsidTr="00267209">
        <w:tc>
          <w:tcPr>
            <w:tcW w:w="1840" w:type="dxa"/>
            <w:vMerge/>
            <w:tcBorders>
              <w:bottom w:val="single" w:sz="4" w:space="0" w:color="3B3474"/>
            </w:tcBorders>
          </w:tcPr>
          <w:p w14:paraId="7A5EC3C2" w14:textId="77777777" w:rsidR="00996B7E" w:rsidRDefault="00996B7E" w:rsidP="00267209">
            <w:pPr>
              <w:pStyle w:val="RCTstable"/>
            </w:pPr>
          </w:p>
        </w:tc>
        <w:tc>
          <w:tcPr>
            <w:tcW w:w="1957" w:type="dxa"/>
            <w:tcBorders>
              <w:bottom w:val="single" w:sz="4" w:space="0" w:color="3B3474"/>
            </w:tcBorders>
          </w:tcPr>
          <w:p w14:paraId="2088D3BA" w14:textId="1FA4E203" w:rsidR="00996B7E" w:rsidRDefault="00996B7E" w:rsidP="00267209">
            <w:pPr>
              <w:pStyle w:val="RCTstable"/>
            </w:pPr>
            <w:r>
              <w:t>Lifestyle counselling</w:t>
            </w:r>
          </w:p>
        </w:tc>
        <w:tc>
          <w:tcPr>
            <w:tcW w:w="3967" w:type="dxa"/>
            <w:tcBorders>
              <w:bottom w:val="single" w:sz="4" w:space="0" w:color="3B3474"/>
            </w:tcBorders>
            <w:shd w:val="clear" w:color="auto" w:fill="DEEAF6" w:themeFill="accent5" w:themeFillTint="33"/>
          </w:tcPr>
          <w:p w14:paraId="3C2F4FED" w14:textId="2959ACAF" w:rsidR="00996B7E" w:rsidRPr="00D9380A" w:rsidRDefault="00996B7E" w:rsidP="00267209">
            <w:pPr>
              <w:pStyle w:val="RCTstable"/>
            </w:pPr>
            <w:r w:rsidRPr="00FC7945">
              <w:t>RR 0.</w:t>
            </w:r>
            <w:r>
              <w:t>89</w:t>
            </w:r>
            <w:r w:rsidRPr="00FC7945">
              <w:t>; 95%CI 0.</w:t>
            </w:r>
            <w:r>
              <w:t>7</w:t>
            </w:r>
            <w:r w:rsidR="00250888">
              <w:t>9</w:t>
            </w:r>
            <w:r>
              <w:t xml:space="preserve"> to 1.0</w:t>
            </w:r>
            <w:r w:rsidR="00250888">
              <w:t>0</w:t>
            </w:r>
          </w:p>
        </w:tc>
        <w:tc>
          <w:tcPr>
            <w:tcW w:w="1517" w:type="dxa"/>
            <w:tcBorders>
              <w:bottom w:val="single" w:sz="4" w:space="0" w:color="3B3474"/>
            </w:tcBorders>
          </w:tcPr>
          <w:p w14:paraId="7E1A0A44" w14:textId="0C988B78"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156571" w14:paraId="0628C637" w14:textId="77777777" w:rsidTr="00267209">
        <w:trPr>
          <w:trHeight w:val="268"/>
        </w:trPr>
        <w:tc>
          <w:tcPr>
            <w:tcW w:w="1840" w:type="dxa"/>
            <w:vMerge w:val="restart"/>
            <w:shd w:val="clear" w:color="auto" w:fill="E7E6E6" w:themeFill="background2"/>
          </w:tcPr>
          <w:p w14:paraId="57DFFF46" w14:textId="7A798E2B" w:rsidR="00156571" w:rsidRDefault="00156571" w:rsidP="00267209">
            <w:pPr>
              <w:pStyle w:val="RCTstable"/>
            </w:pPr>
            <w:r>
              <w:t>Apgar score &lt;7 at 5 minutes</w:t>
            </w:r>
          </w:p>
        </w:tc>
        <w:tc>
          <w:tcPr>
            <w:tcW w:w="1957" w:type="dxa"/>
            <w:shd w:val="clear" w:color="auto" w:fill="E7E6E6" w:themeFill="background2"/>
          </w:tcPr>
          <w:p w14:paraId="475111A5" w14:textId="0DF498A0" w:rsidR="00156571" w:rsidRDefault="00156571" w:rsidP="00267209">
            <w:pPr>
              <w:pStyle w:val="RCTstable"/>
            </w:pPr>
            <w:r>
              <w:t>Exercise</w:t>
            </w:r>
          </w:p>
        </w:tc>
        <w:tc>
          <w:tcPr>
            <w:tcW w:w="3967" w:type="dxa"/>
            <w:shd w:val="clear" w:color="auto" w:fill="FFF2CC" w:themeFill="accent4" w:themeFillTint="33"/>
          </w:tcPr>
          <w:p w14:paraId="0C1ED264" w14:textId="2CB06B55" w:rsidR="00156571" w:rsidRPr="00D9380A" w:rsidRDefault="00156571" w:rsidP="00267209">
            <w:pPr>
              <w:pStyle w:val="RCTstable"/>
            </w:pPr>
            <w:r w:rsidRPr="00AB606F">
              <w:t>RR 1.23; 95%CI 0.44 to 3.42</w:t>
            </w:r>
          </w:p>
        </w:tc>
        <w:tc>
          <w:tcPr>
            <w:tcW w:w="1517" w:type="dxa"/>
            <w:shd w:val="clear" w:color="auto" w:fill="E7E6E6" w:themeFill="background2"/>
          </w:tcPr>
          <w:p w14:paraId="157A0BF0" w14:textId="74F0C269" w:rsidR="00156571" w:rsidRDefault="00156571"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6E97FD5E" w14:textId="77777777" w:rsidTr="00267209">
        <w:tc>
          <w:tcPr>
            <w:tcW w:w="1840" w:type="dxa"/>
            <w:vMerge/>
            <w:shd w:val="clear" w:color="auto" w:fill="E7E6E6" w:themeFill="background2"/>
          </w:tcPr>
          <w:p w14:paraId="1DBDCA55" w14:textId="77777777" w:rsidR="00996B7E" w:rsidRDefault="00996B7E" w:rsidP="00267209">
            <w:pPr>
              <w:pStyle w:val="RCTstable"/>
            </w:pPr>
          </w:p>
        </w:tc>
        <w:tc>
          <w:tcPr>
            <w:tcW w:w="1957" w:type="dxa"/>
            <w:shd w:val="clear" w:color="auto" w:fill="E7E6E6" w:themeFill="background2"/>
          </w:tcPr>
          <w:p w14:paraId="1507E936" w14:textId="77299A00" w:rsidR="00996B7E" w:rsidRDefault="00996B7E" w:rsidP="00267209">
            <w:pPr>
              <w:pStyle w:val="RCTstable"/>
            </w:pPr>
            <w:r>
              <w:t>Lifestyle counselling</w:t>
            </w:r>
          </w:p>
        </w:tc>
        <w:tc>
          <w:tcPr>
            <w:tcW w:w="3967" w:type="dxa"/>
            <w:tcBorders>
              <w:bottom w:val="single" w:sz="4" w:space="0" w:color="3B3474"/>
            </w:tcBorders>
            <w:shd w:val="clear" w:color="auto" w:fill="FFF2CC" w:themeFill="accent4" w:themeFillTint="33"/>
          </w:tcPr>
          <w:p w14:paraId="6B8A7749" w14:textId="0E6EDF97" w:rsidR="00996B7E" w:rsidRPr="00D9380A" w:rsidRDefault="00996B7E" w:rsidP="00267209">
            <w:pPr>
              <w:pStyle w:val="RCTstable"/>
            </w:pPr>
            <w:r w:rsidRPr="00C451AA">
              <w:t>RR 0.80; 95%CI 0.48 to 1.32</w:t>
            </w:r>
          </w:p>
        </w:tc>
        <w:tc>
          <w:tcPr>
            <w:tcW w:w="1517" w:type="dxa"/>
            <w:shd w:val="clear" w:color="auto" w:fill="E7E6E6" w:themeFill="background2"/>
          </w:tcPr>
          <w:p w14:paraId="3A0F0DFA" w14:textId="5654E8EC"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996B7E" w14:paraId="609BD0E7" w14:textId="77777777" w:rsidTr="00156571">
        <w:tc>
          <w:tcPr>
            <w:tcW w:w="1840" w:type="dxa"/>
            <w:vMerge w:val="restart"/>
          </w:tcPr>
          <w:p w14:paraId="0EA1F7AD" w14:textId="245010AB" w:rsidR="00996B7E" w:rsidRDefault="00996B7E" w:rsidP="00267209">
            <w:pPr>
              <w:pStyle w:val="RCTstable"/>
            </w:pPr>
            <w:r>
              <w:t>Weight in early childhood</w:t>
            </w:r>
          </w:p>
        </w:tc>
        <w:tc>
          <w:tcPr>
            <w:tcW w:w="1957" w:type="dxa"/>
          </w:tcPr>
          <w:p w14:paraId="76A762F7" w14:textId="225F484E" w:rsidR="00996B7E" w:rsidRDefault="00996B7E" w:rsidP="00267209">
            <w:pPr>
              <w:pStyle w:val="RCTstable"/>
            </w:pPr>
            <w:r>
              <w:t>Diet</w:t>
            </w:r>
          </w:p>
        </w:tc>
        <w:tc>
          <w:tcPr>
            <w:tcW w:w="3967" w:type="dxa"/>
            <w:tcBorders>
              <w:bottom w:val="single" w:sz="4" w:space="0" w:color="3B3474"/>
            </w:tcBorders>
            <w:shd w:val="clear" w:color="auto" w:fill="FFF2CC" w:themeFill="accent4" w:themeFillTint="33"/>
          </w:tcPr>
          <w:p w14:paraId="0E8C83A3" w14:textId="2E1C11A3" w:rsidR="00996B7E" w:rsidRPr="00D9380A" w:rsidRDefault="00996B7E" w:rsidP="00267209">
            <w:pPr>
              <w:pStyle w:val="RCTstable"/>
            </w:pPr>
            <w:r>
              <w:t>MD -0.03</w:t>
            </w:r>
            <w:r w:rsidRPr="00C12274">
              <w:t xml:space="preserve">; 95%CI </w:t>
            </w:r>
            <w:r>
              <w:t>-0.26</w:t>
            </w:r>
            <w:r w:rsidRPr="00C12274">
              <w:t xml:space="preserve"> to </w:t>
            </w:r>
            <w:r>
              <w:t>0.31</w:t>
            </w:r>
          </w:p>
        </w:tc>
        <w:tc>
          <w:tcPr>
            <w:tcW w:w="1517" w:type="dxa"/>
          </w:tcPr>
          <w:p w14:paraId="3FA2B8E4" w14:textId="6486EE04" w:rsidR="00996B7E" w:rsidRDefault="00996B7E"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r w:rsidR="00156571" w14:paraId="4437CB01" w14:textId="77777777" w:rsidTr="00156571">
        <w:trPr>
          <w:trHeight w:val="100"/>
        </w:trPr>
        <w:tc>
          <w:tcPr>
            <w:tcW w:w="1840" w:type="dxa"/>
            <w:vMerge/>
          </w:tcPr>
          <w:p w14:paraId="54AA1219" w14:textId="77777777" w:rsidR="00156571" w:rsidRDefault="00156571" w:rsidP="00267209">
            <w:pPr>
              <w:pStyle w:val="RCTstable"/>
            </w:pPr>
          </w:p>
        </w:tc>
        <w:tc>
          <w:tcPr>
            <w:tcW w:w="1957" w:type="dxa"/>
          </w:tcPr>
          <w:p w14:paraId="1B851D4E" w14:textId="204C65EF" w:rsidR="00156571" w:rsidRDefault="00156571" w:rsidP="00267209">
            <w:pPr>
              <w:pStyle w:val="RCTstable"/>
            </w:pPr>
            <w:r>
              <w:t>Lifestyle counselling</w:t>
            </w:r>
          </w:p>
        </w:tc>
        <w:tc>
          <w:tcPr>
            <w:tcW w:w="3967" w:type="dxa"/>
            <w:shd w:val="clear" w:color="auto" w:fill="FFF2CC" w:themeFill="accent4" w:themeFillTint="33"/>
          </w:tcPr>
          <w:p w14:paraId="5CC1F31B" w14:textId="7640B239" w:rsidR="00156571" w:rsidRPr="00D9380A" w:rsidRDefault="00156571" w:rsidP="00267209">
            <w:pPr>
              <w:pStyle w:val="RCTstable"/>
            </w:pPr>
            <w:r w:rsidRPr="00C12274">
              <w:t>MD –0.</w:t>
            </w:r>
            <w:r>
              <w:t>09 kg</w:t>
            </w:r>
            <w:r w:rsidRPr="00C12274">
              <w:t>; 95%CI –0.</w:t>
            </w:r>
            <w:r>
              <w:t>26</w:t>
            </w:r>
            <w:r w:rsidRPr="00C12274">
              <w:t xml:space="preserve"> to 0.</w:t>
            </w:r>
            <w:r>
              <w:t>08</w:t>
            </w:r>
          </w:p>
        </w:tc>
        <w:tc>
          <w:tcPr>
            <w:tcW w:w="1517" w:type="dxa"/>
          </w:tcPr>
          <w:p w14:paraId="17982E60" w14:textId="1C097428" w:rsidR="00156571" w:rsidRDefault="00156571" w:rsidP="00267209">
            <w:pPr>
              <w:pStyle w:val="RCTstable"/>
              <w:rPr>
                <w:rStyle w:val="quality-sign"/>
                <w:rFonts w:ascii="Cambria" w:eastAsia="Cambria" w:hAnsi="Cambria" w:cs="Cambria"/>
                <w:sz w:val="21"/>
                <w:szCs w:val="21"/>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p>
        </w:tc>
      </w:tr>
    </w:tbl>
    <w:p w14:paraId="6CDC9DCA" w14:textId="77777777" w:rsidR="00FB25AD" w:rsidRDefault="00FB25AD" w:rsidP="00FB25AD">
      <w:pPr>
        <w:pStyle w:val="Heading4"/>
        <w:rPr>
          <w:lang w:val="en-AU"/>
        </w:rPr>
      </w:pPr>
      <w:r>
        <w:rPr>
          <w:lang w:val="en-AU"/>
        </w:rPr>
        <w:t>Conclusions</w:t>
      </w:r>
    </w:p>
    <w:p w14:paraId="45564813" w14:textId="77777777" w:rsidR="00FB25AD" w:rsidRDefault="00FB25AD" w:rsidP="00FB25AD">
      <w:pPr>
        <w:pStyle w:val="Heading5"/>
        <w:rPr>
          <w:lang w:val="en-AU"/>
        </w:rPr>
      </w:pPr>
      <w:r>
        <w:rPr>
          <w:lang w:val="en-AU"/>
        </w:rPr>
        <w:t>Dietary interventions</w:t>
      </w:r>
    </w:p>
    <w:p w14:paraId="614B0CE5" w14:textId="675ACAD9" w:rsidR="00FB25AD" w:rsidRDefault="00FB25AD" w:rsidP="00FB25AD">
      <w:pPr>
        <w:rPr>
          <w:lang w:val="en-AU"/>
        </w:rPr>
      </w:pPr>
      <w:r>
        <w:rPr>
          <w:lang w:val="en-AU"/>
        </w:rPr>
        <w:t>The</w:t>
      </w:r>
      <w:r w:rsidRPr="00C12274">
        <w:rPr>
          <w:lang w:val="en-AU"/>
        </w:rPr>
        <w:t xml:space="preserve"> evidence suggests that, among pregnant women</w:t>
      </w:r>
      <w:r>
        <w:rPr>
          <w:lang w:val="en-AU"/>
        </w:rPr>
        <w:t>, a dietary approach that focuses on healthy eating and includes reducing saturated fats and sugars and increasing consumption of fruit and vegetables, protein and fibre</w:t>
      </w:r>
      <w:r w:rsidRPr="00C12274">
        <w:rPr>
          <w:lang w:val="en-AU"/>
        </w:rPr>
        <w:t xml:space="preserve"> reduces </w:t>
      </w:r>
      <w:r>
        <w:rPr>
          <w:lang w:val="en-AU"/>
        </w:rPr>
        <w:t xml:space="preserve">mean </w:t>
      </w:r>
      <w:r w:rsidRPr="00C12274">
        <w:rPr>
          <w:lang w:val="en-AU"/>
        </w:rPr>
        <w:t xml:space="preserve">gestational weight gain. It also appears to reduce the risk of gestational weight gain exceeding the </w:t>
      </w:r>
      <w:r>
        <w:rPr>
          <w:lang w:val="en-AU"/>
        </w:rPr>
        <w:t>IOM</w:t>
      </w:r>
      <w:r w:rsidRPr="00C12274">
        <w:rPr>
          <w:lang w:val="en-AU"/>
        </w:rPr>
        <w:t xml:space="preserve"> guidelines</w:t>
      </w:r>
      <w:r>
        <w:rPr>
          <w:lang w:val="en-AU"/>
        </w:rPr>
        <w:t>,</w:t>
      </w:r>
      <w:r w:rsidRPr="00C12274">
        <w:rPr>
          <w:lang w:val="en-AU"/>
        </w:rPr>
        <w:t xml:space="preserve"> gestational hypertension</w:t>
      </w:r>
      <w:r>
        <w:rPr>
          <w:lang w:val="en-AU"/>
        </w:rPr>
        <w:t xml:space="preserve"> and preterm birth.</w:t>
      </w:r>
      <w:r w:rsidRPr="00C12274">
        <w:rPr>
          <w:lang w:val="en-AU"/>
        </w:rPr>
        <w:t xml:space="preserve"> There was no clear difference in the risk of other adverse outcomes (</w:t>
      </w:r>
      <w:r>
        <w:rPr>
          <w:lang w:val="en-AU"/>
        </w:rPr>
        <w:t xml:space="preserve">gestational diabetes, </w:t>
      </w:r>
      <w:r w:rsidRPr="00C12274">
        <w:rPr>
          <w:lang w:val="en-AU"/>
        </w:rPr>
        <w:t xml:space="preserve">pre-eclampsia, </w:t>
      </w:r>
      <w:r>
        <w:rPr>
          <w:lang w:val="en-AU"/>
        </w:rPr>
        <w:t>caesarean section or macrosomia</w:t>
      </w:r>
      <w:r w:rsidRPr="00C12274">
        <w:rPr>
          <w:lang w:val="en-AU"/>
        </w:rPr>
        <w:t xml:space="preserve">). </w:t>
      </w:r>
      <w:r>
        <w:rPr>
          <w:lang w:val="en-AU"/>
        </w:rPr>
        <w:t xml:space="preserve">There was no clear effect </w:t>
      </w:r>
      <w:r w:rsidR="008035F5">
        <w:rPr>
          <w:lang w:val="en-AU"/>
        </w:rPr>
        <w:t>on postnatal weight retention or</w:t>
      </w:r>
      <w:r>
        <w:rPr>
          <w:lang w:val="en-AU"/>
        </w:rPr>
        <w:t xml:space="preserve"> early childhood weight. The </w:t>
      </w:r>
      <w:r w:rsidR="00343BBE">
        <w:rPr>
          <w:lang w:val="en-AU"/>
        </w:rPr>
        <w:t>certainty</w:t>
      </w:r>
      <w:r>
        <w:rPr>
          <w:lang w:val="en-AU"/>
        </w:rPr>
        <w:t xml:space="preserve"> of the evidence ranged from very low to moderate.</w:t>
      </w:r>
    </w:p>
    <w:p w14:paraId="18702CEC" w14:textId="77777777" w:rsidR="00FB25AD" w:rsidRDefault="00FB25AD" w:rsidP="00FB25AD">
      <w:pPr>
        <w:pStyle w:val="Heading5"/>
        <w:rPr>
          <w:lang w:val="en-AU"/>
        </w:rPr>
      </w:pPr>
      <w:r>
        <w:rPr>
          <w:lang w:val="en-AU"/>
        </w:rPr>
        <w:t>Exercise interventions</w:t>
      </w:r>
    </w:p>
    <w:p w14:paraId="65940CD9" w14:textId="1AE64DD0" w:rsidR="00FB25AD" w:rsidRDefault="00FB25AD" w:rsidP="00FB25AD">
      <w:pPr>
        <w:rPr>
          <w:lang w:val="en-AU"/>
        </w:rPr>
      </w:pPr>
      <w:r>
        <w:rPr>
          <w:lang w:val="en-AU"/>
        </w:rPr>
        <w:t>The</w:t>
      </w:r>
      <w:r w:rsidRPr="00C12274">
        <w:rPr>
          <w:lang w:val="en-AU"/>
        </w:rPr>
        <w:t xml:space="preserve"> evidence suggests that, among pregnant women, a combination of moderate (60-80% of maximum heart rate or Borg scale 12-16) aerobic and resistance exercise for 180 minutes per week reduces gestational weight gain. It also appears to reduce the risk of gestational weight gain exceeding the </w:t>
      </w:r>
      <w:r>
        <w:rPr>
          <w:lang w:val="en-AU"/>
        </w:rPr>
        <w:t>IOM</w:t>
      </w:r>
      <w:r w:rsidRPr="00C12274">
        <w:rPr>
          <w:lang w:val="en-AU"/>
        </w:rPr>
        <w:t xml:space="preserve"> guidelines, gestational diabetes, gestational hypertension, having a caesarean section, experiencing depression during pregnancy and having a baby with macrosomia. There was no clear difference in the risk of other adverse outcomes (pre-eclampsia, preterm birth, low birth weight, small for gestational age, large for gestational age, Apgar score lower than 7 at 5 minutes). </w:t>
      </w:r>
      <w:r>
        <w:rPr>
          <w:lang w:val="en-AU"/>
        </w:rPr>
        <w:t xml:space="preserve">The </w:t>
      </w:r>
      <w:r w:rsidR="00343BBE">
        <w:rPr>
          <w:lang w:val="en-AU"/>
        </w:rPr>
        <w:t>certainty</w:t>
      </w:r>
      <w:r>
        <w:rPr>
          <w:lang w:val="en-AU"/>
        </w:rPr>
        <w:t xml:space="preserve"> of the evidence ranged from low to moderate.</w:t>
      </w:r>
    </w:p>
    <w:p w14:paraId="73C1F539" w14:textId="77777777" w:rsidR="00FB25AD" w:rsidRDefault="00FB25AD" w:rsidP="00FB25AD">
      <w:pPr>
        <w:pStyle w:val="Heading5"/>
        <w:rPr>
          <w:lang w:val="en-AU"/>
        </w:rPr>
      </w:pPr>
      <w:r>
        <w:rPr>
          <w:lang w:val="en-AU"/>
        </w:rPr>
        <w:t>Lifestyle counselling and self-monitoring</w:t>
      </w:r>
    </w:p>
    <w:p w14:paraId="47CA7D16" w14:textId="18086F2F" w:rsidR="00D645E9" w:rsidRPr="00857BA3" w:rsidRDefault="00D645E9" w:rsidP="00D645E9">
      <w:pPr>
        <w:rPr>
          <w:lang w:val="en-AU"/>
        </w:rPr>
      </w:pPr>
      <w:r w:rsidRPr="00857BA3">
        <w:rPr>
          <w:lang w:val="en-AU"/>
        </w:rPr>
        <w:t xml:space="preserve">The evidence suggests that, among pregnant women, antenatal lifestyle counselling </w:t>
      </w:r>
      <w:r>
        <w:rPr>
          <w:lang w:val="en-AU"/>
        </w:rPr>
        <w:t xml:space="preserve">about </w:t>
      </w:r>
      <w:r w:rsidRPr="00857BA3">
        <w:rPr>
          <w:lang w:val="en-AU"/>
        </w:rPr>
        <w:t xml:space="preserve">weight gain, diet and </w:t>
      </w:r>
      <w:r>
        <w:rPr>
          <w:lang w:val="en-AU"/>
        </w:rPr>
        <w:t>exercise</w:t>
      </w:r>
      <w:r w:rsidRPr="00857BA3">
        <w:rPr>
          <w:lang w:val="en-AU"/>
        </w:rPr>
        <w:t xml:space="preserve"> </w:t>
      </w:r>
      <w:r>
        <w:rPr>
          <w:lang w:val="en-AU"/>
        </w:rPr>
        <w:t>and advice on self-monitoring may reduce</w:t>
      </w:r>
      <w:r w:rsidRPr="00857BA3">
        <w:rPr>
          <w:lang w:val="en-AU"/>
        </w:rPr>
        <w:t xml:space="preserve"> gestational weight gain. It </w:t>
      </w:r>
      <w:r>
        <w:rPr>
          <w:lang w:val="en-AU"/>
        </w:rPr>
        <w:t xml:space="preserve">may </w:t>
      </w:r>
      <w:r w:rsidRPr="00857BA3">
        <w:rPr>
          <w:lang w:val="en-AU"/>
        </w:rPr>
        <w:t>also reduce the risk of gestational weight gain exceeding the IOM guidelines, postnatal weight retention</w:t>
      </w:r>
      <w:r>
        <w:rPr>
          <w:lang w:val="en-AU"/>
        </w:rPr>
        <w:t xml:space="preserve">, </w:t>
      </w:r>
      <w:r w:rsidRPr="00857BA3">
        <w:rPr>
          <w:lang w:val="en-AU"/>
        </w:rPr>
        <w:t>preterm birth and</w:t>
      </w:r>
      <w:r>
        <w:rPr>
          <w:lang w:val="en-AU"/>
        </w:rPr>
        <w:t xml:space="preserve"> macrosomia &gt;4,500 g. It probably reduces the risk of gestational diabetes, caesarean section, macrosomia &gt;4,000g, low birthweight and large for gestational age</w:t>
      </w:r>
      <w:r w:rsidRPr="00857BA3">
        <w:rPr>
          <w:lang w:val="en-AU"/>
        </w:rPr>
        <w:t xml:space="preserve">. </w:t>
      </w:r>
      <w:r>
        <w:rPr>
          <w:lang w:val="en-AU"/>
        </w:rPr>
        <w:t>It was not clear if lifestyle counselling influences</w:t>
      </w:r>
      <w:r w:rsidRPr="00857BA3">
        <w:rPr>
          <w:lang w:val="en-AU"/>
        </w:rPr>
        <w:t xml:space="preserve"> the risk of other adverse outcomes (gestational</w:t>
      </w:r>
      <w:r>
        <w:rPr>
          <w:lang w:val="en-AU"/>
        </w:rPr>
        <w:t xml:space="preserve"> hypertension, pre-eclampsia, depression, anxiety, </w:t>
      </w:r>
      <w:r w:rsidRPr="00857BA3">
        <w:rPr>
          <w:lang w:val="en-AU"/>
        </w:rPr>
        <w:t xml:space="preserve">small for gestational age, Apgar score lower than 7 at 5 minutes and childhood weight). </w:t>
      </w:r>
      <w:r>
        <w:rPr>
          <w:lang w:val="en-AU"/>
        </w:rPr>
        <w:t xml:space="preserve">The </w:t>
      </w:r>
      <w:r w:rsidR="00343BBE">
        <w:rPr>
          <w:lang w:val="en-AU"/>
        </w:rPr>
        <w:t>certainty</w:t>
      </w:r>
      <w:r>
        <w:rPr>
          <w:lang w:val="en-AU"/>
        </w:rPr>
        <w:t xml:space="preserve"> of the evidence ranged from very low to moderate.</w:t>
      </w:r>
    </w:p>
    <w:p w14:paraId="12CF4168" w14:textId="77777777" w:rsidR="00FB25AD" w:rsidRDefault="00FB25AD" w:rsidP="00FB25AD">
      <w:pPr>
        <w:pStyle w:val="Heading4"/>
        <w:rPr>
          <w:lang w:val="en-AU"/>
        </w:rPr>
      </w:pPr>
      <w:r>
        <w:rPr>
          <w:lang w:val="en-AU"/>
        </w:rPr>
        <w:t>Consumer summary</w:t>
      </w:r>
    </w:p>
    <w:p w14:paraId="6DADE65D" w14:textId="436B60FE" w:rsidR="00FB25AD" w:rsidRDefault="00FB25AD" w:rsidP="00FB25AD">
      <w:pPr>
        <w:rPr>
          <w:lang w:val="en-AU"/>
        </w:rPr>
      </w:pPr>
      <w:r>
        <w:rPr>
          <w:lang w:val="en-AU"/>
        </w:rPr>
        <w:t>A healthy diet</w:t>
      </w:r>
      <w:r w:rsidRPr="00C12274">
        <w:rPr>
          <w:lang w:val="en-AU"/>
        </w:rPr>
        <w:t xml:space="preserve"> during pregnancy reduces weight gain and the risk of some pregnancy complications (such as high blood pressure</w:t>
      </w:r>
      <w:r>
        <w:rPr>
          <w:lang w:val="en-AU"/>
        </w:rPr>
        <w:t xml:space="preserve"> and preterm birth</w:t>
      </w:r>
      <w:r w:rsidRPr="00C12274">
        <w:rPr>
          <w:lang w:val="en-AU"/>
        </w:rPr>
        <w:t xml:space="preserve">). </w:t>
      </w:r>
      <w:r w:rsidRPr="00841B98">
        <w:rPr>
          <w:lang w:val="en-AU"/>
        </w:rPr>
        <w:t xml:space="preserve">Dietary </w:t>
      </w:r>
      <w:r>
        <w:rPr>
          <w:lang w:val="en-AU"/>
        </w:rPr>
        <w:t>approaches</w:t>
      </w:r>
      <w:r w:rsidRPr="00841B98">
        <w:rPr>
          <w:lang w:val="en-AU"/>
        </w:rPr>
        <w:t xml:space="preserve"> include increasing the amount of vegetables, fruit and fibre (eg</w:t>
      </w:r>
      <w:r>
        <w:rPr>
          <w:lang w:val="en-AU"/>
        </w:rPr>
        <w:t> </w:t>
      </w:r>
      <w:r w:rsidRPr="00841B98">
        <w:rPr>
          <w:lang w:val="en-AU"/>
        </w:rPr>
        <w:t xml:space="preserve">through wholegrain foods) and reducing intake of saturated fats (eg by replacing them with polyunsaturated fats) and sugar (eg in soft drinks). </w:t>
      </w:r>
      <w:r w:rsidRPr="00C12274">
        <w:rPr>
          <w:lang w:val="en-AU"/>
        </w:rPr>
        <w:t xml:space="preserve">These </w:t>
      </w:r>
      <w:r>
        <w:rPr>
          <w:lang w:val="en-AU"/>
        </w:rPr>
        <w:t>approaches</w:t>
      </w:r>
      <w:r w:rsidRPr="00C12274">
        <w:rPr>
          <w:lang w:val="en-AU"/>
        </w:rPr>
        <w:t xml:space="preserve"> do not appear to change the risk of </w:t>
      </w:r>
      <w:r>
        <w:rPr>
          <w:lang w:val="en-AU"/>
        </w:rPr>
        <w:t>gestational diabetes, pre-eclampsia, caesarean section or</w:t>
      </w:r>
      <w:r w:rsidRPr="00C12274">
        <w:rPr>
          <w:lang w:val="en-AU"/>
        </w:rPr>
        <w:t xml:space="preserve"> having a </w:t>
      </w:r>
      <w:r>
        <w:rPr>
          <w:lang w:val="en-AU"/>
        </w:rPr>
        <w:t>large baby and do not appear to affect weight retention after the birth or early childhood weight.</w:t>
      </w:r>
    </w:p>
    <w:p w14:paraId="58DE1B12" w14:textId="5BC16172" w:rsidR="00FB25AD" w:rsidRPr="00C12274" w:rsidRDefault="00FB25AD" w:rsidP="00FB25AD">
      <w:pPr>
        <w:rPr>
          <w:lang w:val="en-AU"/>
        </w:rPr>
      </w:pPr>
      <w:r>
        <w:rPr>
          <w:lang w:val="en-AU"/>
        </w:rPr>
        <w:t>Exercise</w:t>
      </w:r>
      <w:r w:rsidRPr="00C12274">
        <w:rPr>
          <w:lang w:val="en-AU"/>
        </w:rPr>
        <w:t xml:space="preserve"> during pregnancy reduces weight gain and the risk of some pregnancy complications (such as gestational diabetes, high blood pressure, caesarean section and having a large baby). It also reduces the risk of experiencing depression during pregnancy. These benefits are gained from a combination of moderate intensity physical activity (eg brisk walking, swimming, dancing, stationary cycling) and muscle strengthening exercises for 3 hours a week throughout pregnancy. These activities do not appear to change the risk of giving birth preterm or having a small baby.</w:t>
      </w:r>
    </w:p>
    <w:p w14:paraId="3E2D9C8B" w14:textId="5D8F2DD5" w:rsidR="00D645E9" w:rsidRDefault="00D645E9" w:rsidP="00D645E9">
      <w:pPr>
        <w:rPr>
          <w:lang w:val="en-AU"/>
        </w:rPr>
      </w:pPr>
      <w:r w:rsidRPr="00841B98">
        <w:rPr>
          <w:lang w:val="en-AU"/>
        </w:rPr>
        <w:t xml:space="preserve">When women receive lifestyle counselling about </w:t>
      </w:r>
      <w:r>
        <w:rPr>
          <w:lang w:val="en-AU"/>
        </w:rPr>
        <w:t xml:space="preserve">recommended </w:t>
      </w:r>
      <w:r w:rsidRPr="00841B98">
        <w:rPr>
          <w:lang w:val="en-AU"/>
        </w:rPr>
        <w:t>weight</w:t>
      </w:r>
      <w:r>
        <w:rPr>
          <w:lang w:val="en-AU"/>
        </w:rPr>
        <w:t xml:space="preserve"> gain</w:t>
      </w:r>
      <w:r w:rsidRPr="00841B98">
        <w:rPr>
          <w:lang w:val="en-AU"/>
        </w:rPr>
        <w:t>, diet, exercise and self-monitoring as part of pregnancy care, they are more likely to gain an appropriate amount of weight during pregnancy</w:t>
      </w:r>
      <w:r>
        <w:rPr>
          <w:lang w:val="en-AU"/>
        </w:rPr>
        <w:t xml:space="preserve">, </w:t>
      </w:r>
      <w:r w:rsidRPr="00841B98">
        <w:rPr>
          <w:lang w:val="en-AU"/>
        </w:rPr>
        <w:t>to retain less weight after the birth</w:t>
      </w:r>
      <w:r>
        <w:rPr>
          <w:lang w:val="en-AU"/>
        </w:rPr>
        <w:t>; and probably less likely to have gestational diabetes or a caesarean birth</w:t>
      </w:r>
      <w:r w:rsidRPr="00841B98">
        <w:rPr>
          <w:lang w:val="en-AU"/>
        </w:rPr>
        <w:t xml:space="preserve">. The risk of giving birth preterm or having a baby with a high birth weight may also be reduced. These activities do not appear to change the risk of experiencing high blood pressure, </w:t>
      </w:r>
      <w:r>
        <w:rPr>
          <w:lang w:val="en-AU"/>
        </w:rPr>
        <w:t xml:space="preserve">depression or anxiety. They do not appear </w:t>
      </w:r>
      <w:r w:rsidRPr="00841B98">
        <w:rPr>
          <w:lang w:val="en-AU"/>
        </w:rPr>
        <w:t>affect the growth of the baby o</w:t>
      </w:r>
      <w:r>
        <w:rPr>
          <w:lang w:val="en-AU"/>
        </w:rPr>
        <w:t>r</w:t>
      </w:r>
      <w:r w:rsidRPr="00841B98">
        <w:rPr>
          <w:lang w:val="en-AU"/>
        </w:rPr>
        <w:t xml:space="preserve"> </w:t>
      </w:r>
      <w:r>
        <w:rPr>
          <w:lang w:val="en-AU"/>
        </w:rPr>
        <w:t xml:space="preserve">weight in early </w:t>
      </w:r>
      <w:r w:rsidRPr="00841B98">
        <w:rPr>
          <w:lang w:val="en-AU"/>
        </w:rPr>
        <w:t>childhood.</w:t>
      </w:r>
      <w:r w:rsidRPr="00C12274" w:rsidDel="00915219">
        <w:rPr>
          <w:lang w:val="en-AU"/>
        </w:rPr>
        <w:t xml:space="preserve"> </w:t>
      </w:r>
    </w:p>
    <w:p w14:paraId="26444914" w14:textId="77777777" w:rsidR="00FB25AD" w:rsidRPr="000E6C5B" w:rsidRDefault="00FB25AD" w:rsidP="00D645E9"/>
    <w:p w14:paraId="584DA51A" w14:textId="77777777" w:rsidR="00D645E9" w:rsidRDefault="00D645E9" w:rsidP="00D645E9">
      <w:pPr>
        <w:pStyle w:val="Heading3"/>
        <w:numPr>
          <w:ilvl w:val="0"/>
          <w:numId w:val="0"/>
        </w:numPr>
        <w:ind w:left="720" w:hanging="720"/>
        <w:sectPr w:rsidR="00D645E9" w:rsidSect="008A6B17">
          <w:pgSz w:w="11901" w:h="16817"/>
          <w:pgMar w:top="1134" w:right="1418" w:bottom="1134" w:left="1418" w:header="709" w:footer="709" w:gutter="0"/>
          <w:cols w:space="708"/>
          <w:docGrid w:linePitch="360"/>
        </w:sectPr>
      </w:pPr>
    </w:p>
    <w:p w14:paraId="24948175" w14:textId="77777777" w:rsidR="00A5540F" w:rsidRDefault="00A5540F" w:rsidP="00A5540F">
      <w:pPr>
        <w:pStyle w:val="Heading3"/>
      </w:pPr>
      <w:bookmarkStart w:id="234" w:name="_Toc40956549"/>
      <w:r>
        <w:t>Evidence tables</w:t>
      </w:r>
      <w:bookmarkEnd w:id="234"/>
    </w:p>
    <w:p w14:paraId="079C5A82" w14:textId="16ECB9F4" w:rsidR="008364A7" w:rsidRDefault="00932C6D" w:rsidP="00932C6D">
      <w:pPr>
        <w:pStyle w:val="TableName"/>
      </w:pPr>
      <w:bookmarkStart w:id="235" w:name="_Toc40956687"/>
      <w:r>
        <w:t xml:space="preserve">Q9 </w:t>
      </w:r>
      <w:r w:rsidR="008364A7">
        <w:t xml:space="preserve">Outcomes associated with dietary intervention versus </w:t>
      </w:r>
      <w:r w:rsidR="000E3208">
        <w:t>usual</w:t>
      </w:r>
      <w:r w:rsidR="008364A7">
        <w:t xml:space="preserve"> care </w:t>
      </w:r>
      <w:r w:rsidR="007E430B">
        <w:t>in randomised controlled trials</w:t>
      </w:r>
      <w:bookmarkEnd w:id="235"/>
    </w:p>
    <w:tbl>
      <w:tblPr>
        <w:tblStyle w:val="TableGrid"/>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09: Q9 Outcomes associated with dietary intervention versus usual care in randomised controlled trials"/>
      </w:tblPr>
      <w:tblGrid>
        <w:gridCol w:w="1418"/>
        <w:gridCol w:w="1701"/>
        <w:gridCol w:w="5393"/>
        <w:gridCol w:w="5664"/>
      </w:tblGrid>
      <w:tr w:rsidR="0069748F" w:rsidRPr="00F350A6" w14:paraId="1D19F36C" w14:textId="77777777" w:rsidTr="00BD18F7">
        <w:trPr>
          <w:cantSplit/>
          <w:tblHeader/>
        </w:trPr>
        <w:tc>
          <w:tcPr>
            <w:tcW w:w="1418" w:type="dxa"/>
          </w:tcPr>
          <w:p w14:paraId="5A262AF2" w14:textId="77777777" w:rsidR="0069748F" w:rsidRPr="00F350A6" w:rsidRDefault="0069748F" w:rsidP="00746866">
            <w:pPr>
              <w:keepNext/>
              <w:rPr>
                <w:b/>
              </w:rPr>
            </w:pPr>
            <w:r>
              <w:rPr>
                <w:b/>
              </w:rPr>
              <w:t>Study ref</w:t>
            </w:r>
          </w:p>
        </w:tc>
        <w:tc>
          <w:tcPr>
            <w:tcW w:w="1701" w:type="dxa"/>
          </w:tcPr>
          <w:p w14:paraId="054A6BF8" w14:textId="77777777" w:rsidR="0069748F" w:rsidRPr="00F350A6" w:rsidRDefault="0069748F" w:rsidP="00746866">
            <w:pPr>
              <w:keepNext/>
              <w:rPr>
                <w:b/>
              </w:rPr>
            </w:pPr>
            <w:r>
              <w:rPr>
                <w:b/>
              </w:rPr>
              <w:t>N</w:t>
            </w:r>
          </w:p>
        </w:tc>
        <w:tc>
          <w:tcPr>
            <w:tcW w:w="5393" w:type="dxa"/>
          </w:tcPr>
          <w:p w14:paraId="131CCBB5" w14:textId="77777777" w:rsidR="0069748F" w:rsidRPr="00F350A6" w:rsidRDefault="0069748F" w:rsidP="00746866">
            <w:pPr>
              <w:keepNext/>
              <w:rPr>
                <w:b/>
              </w:rPr>
            </w:pPr>
            <w:r>
              <w:rPr>
                <w:b/>
              </w:rPr>
              <w:t>Aim/</w:t>
            </w:r>
            <w:r w:rsidRPr="00F350A6">
              <w:rPr>
                <w:b/>
              </w:rPr>
              <w:t>population</w:t>
            </w:r>
            <w:r>
              <w:rPr>
                <w:b/>
              </w:rPr>
              <w:t>/setting/intervention</w:t>
            </w:r>
          </w:p>
        </w:tc>
        <w:tc>
          <w:tcPr>
            <w:tcW w:w="5664" w:type="dxa"/>
          </w:tcPr>
          <w:p w14:paraId="52BFA496" w14:textId="77777777" w:rsidR="0069748F" w:rsidRPr="00F350A6" w:rsidRDefault="0069748F" w:rsidP="00746866">
            <w:pPr>
              <w:keepNext/>
              <w:rPr>
                <w:b/>
              </w:rPr>
            </w:pPr>
            <w:r>
              <w:rPr>
                <w:b/>
              </w:rPr>
              <w:t>Outcomes</w:t>
            </w:r>
          </w:p>
        </w:tc>
      </w:tr>
      <w:tr w:rsidR="0094460B" w:rsidRPr="0069748F" w14:paraId="499C8DEC" w14:textId="77777777" w:rsidTr="00BD18F7">
        <w:trPr>
          <w:cantSplit/>
        </w:trPr>
        <w:tc>
          <w:tcPr>
            <w:tcW w:w="1418" w:type="dxa"/>
          </w:tcPr>
          <w:p w14:paraId="3995B635" w14:textId="359C536E" w:rsidR="0094460B" w:rsidRPr="00C53E3F" w:rsidRDefault="0094460B" w:rsidP="00C53E3F">
            <w:r w:rsidRPr="00C53E3F">
              <w:t>Abdel-Aziz</w:t>
            </w:r>
            <w:r>
              <w:t xml:space="preserve"> et al 2018</w:t>
            </w:r>
            <w:r>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 </w:instrText>
            </w:r>
            <w:r w:rsidR="002747EA">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instrText xml:space="preserve"> ADDIN EN.CITE.DATA </w:instrText>
            </w:r>
            <w:r w:rsidR="002747EA">
              <w:fldChar w:fldCharType="end"/>
            </w:r>
            <w:r>
              <w:fldChar w:fldCharType="separate"/>
            </w:r>
            <w:r w:rsidR="002747EA" w:rsidRPr="002747EA">
              <w:rPr>
                <w:noProof/>
                <w:vertAlign w:val="superscript"/>
              </w:rPr>
              <w:t>400</w:t>
            </w:r>
            <w:r>
              <w:fldChar w:fldCharType="end"/>
            </w:r>
          </w:p>
          <w:p w14:paraId="3F7BD802" w14:textId="77777777" w:rsidR="0094460B" w:rsidRPr="0069748F" w:rsidRDefault="0094460B" w:rsidP="00746866">
            <w:pPr>
              <w:keepNext/>
            </w:pPr>
            <w:r>
              <w:t>Egypt</w:t>
            </w:r>
          </w:p>
        </w:tc>
        <w:tc>
          <w:tcPr>
            <w:tcW w:w="1701" w:type="dxa"/>
          </w:tcPr>
          <w:p w14:paraId="0D1AACE1" w14:textId="77777777" w:rsidR="0094460B" w:rsidRDefault="0094460B" w:rsidP="00746866">
            <w:pPr>
              <w:keepNext/>
            </w:pPr>
            <w:r>
              <w:t>Intervention 75</w:t>
            </w:r>
          </w:p>
          <w:p w14:paraId="5366F9A5" w14:textId="77777777" w:rsidR="0094460B" w:rsidRPr="0069748F" w:rsidRDefault="0094460B" w:rsidP="00746866">
            <w:pPr>
              <w:keepNext/>
            </w:pPr>
            <w:r>
              <w:t>Control 72</w:t>
            </w:r>
          </w:p>
        </w:tc>
        <w:tc>
          <w:tcPr>
            <w:tcW w:w="5393" w:type="dxa"/>
          </w:tcPr>
          <w:p w14:paraId="30841AD7" w14:textId="77777777" w:rsidR="0094460B" w:rsidRDefault="0094460B" w:rsidP="00C53E3F">
            <w:pPr>
              <w:keepNext/>
            </w:pPr>
            <w:r w:rsidRPr="00C53E3F">
              <w:rPr>
                <w:b/>
              </w:rPr>
              <w:t>Aim</w:t>
            </w:r>
            <w:r>
              <w:t>: T</w:t>
            </w:r>
            <w:r w:rsidRPr="00C53E3F">
              <w:t>o assess the effect of dietary counsel</w:t>
            </w:r>
            <w:r>
              <w:t>l</w:t>
            </w:r>
            <w:r w:rsidRPr="00C53E3F">
              <w:t xml:space="preserve">ing on </w:t>
            </w:r>
            <w:r>
              <w:t>excessive gestational weight gain</w:t>
            </w:r>
            <w:r w:rsidRPr="00C53E3F">
              <w:t xml:space="preserve">. </w:t>
            </w:r>
          </w:p>
          <w:p w14:paraId="57067329" w14:textId="77777777" w:rsidR="0094460B" w:rsidRDefault="0094460B" w:rsidP="00C53E3F">
            <w:pPr>
              <w:keepNext/>
            </w:pPr>
            <w:r w:rsidRPr="00C53E3F">
              <w:rPr>
                <w:b/>
              </w:rPr>
              <w:t>Population</w:t>
            </w:r>
            <w:r>
              <w:t>: P</w:t>
            </w:r>
            <w:r w:rsidRPr="00C53E3F">
              <w:t>rimigravidae aged between 20 and 30 years</w:t>
            </w:r>
            <w:r>
              <w:t xml:space="preserve"> &lt;12 weeks gestation</w:t>
            </w:r>
            <w:r w:rsidRPr="00C53E3F">
              <w:t xml:space="preserve">. </w:t>
            </w:r>
          </w:p>
          <w:p w14:paraId="2D7CC98E" w14:textId="77777777" w:rsidR="0094460B" w:rsidRDefault="0094460B" w:rsidP="002A6F0B">
            <w:pPr>
              <w:keepNext/>
            </w:pPr>
            <w:r w:rsidRPr="00C53E3F">
              <w:rPr>
                <w:b/>
              </w:rPr>
              <w:t>Intervention</w:t>
            </w:r>
            <w:r>
              <w:t xml:space="preserve">: </w:t>
            </w:r>
            <w:r w:rsidRPr="005E2FE2">
              <w:t>Women in the intervention group</w:t>
            </w:r>
            <w:r>
              <w:t xml:space="preserve"> </w:t>
            </w:r>
            <w:r w:rsidRPr="005E2FE2">
              <w:t>received stand</w:t>
            </w:r>
            <w:r>
              <w:t xml:space="preserve">ard care </w:t>
            </w:r>
            <w:r w:rsidRPr="005E2FE2">
              <w:t>and</w:t>
            </w:r>
            <w:r>
              <w:t xml:space="preserve"> </w:t>
            </w:r>
            <w:r w:rsidRPr="005E2FE2">
              <w:t>attended six extra counse</w:t>
            </w:r>
            <w:r>
              <w:t>l</w:t>
            </w:r>
            <w:r w:rsidRPr="005E2FE2">
              <w:t>ling sessions with the nutrition</w:t>
            </w:r>
            <w:r>
              <w:t xml:space="preserve"> </w:t>
            </w:r>
            <w:r w:rsidRPr="005E2FE2">
              <w:t>counse</w:t>
            </w:r>
            <w:r>
              <w:t>l</w:t>
            </w:r>
            <w:r w:rsidRPr="005E2FE2">
              <w:t>lor, with face-to-face appointments every 2 weeks</w:t>
            </w:r>
            <w:r>
              <w:t xml:space="preserve"> </w:t>
            </w:r>
            <w:r w:rsidRPr="005E2FE2">
              <w:t>during the implementation phase. All women in the intervention group received</w:t>
            </w:r>
            <w:r>
              <w:t xml:space="preserve"> three brief (</w:t>
            </w:r>
            <w:r w:rsidRPr="005E2FE2">
              <w:t>10</w:t>
            </w:r>
            <w:r>
              <w:rPr>
                <w:rFonts w:ascii="Helvetica" w:hAnsi="Helvetica"/>
              </w:rPr>
              <w:t>–</w:t>
            </w:r>
            <w:r w:rsidRPr="005E2FE2">
              <w:t>15 minutes) supportive phone calls from</w:t>
            </w:r>
            <w:r>
              <w:t xml:space="preserve"> </w:t>
            </w:r>
            <w:r w:rsidRPr="005E2FE2">
              <w:t>the nutrition counsel</w:t>
            </w:r>
            <w:r>
              <w:t>l</w:t>
            </w:r>
            <w:r w:rsidRPr="005E2FE2">
              <w:t>or during the intervention.</w:t>
            </w:r>
            <w:r>
              <w:t xml:space="preserve"> </w:t>
            </w:r>
          </w:p>
          <w:p w14:paraId="274D2860" w14:textId="77777777" w:rsidR="0094460B" w:rsidRPr="0069748F" w:rsidRDefault="0094460B" w:rsidP="002A6F0B">
            <w:r>
              <w:t>T</w:t>
            </w:r>
            <w:r w:rsidRPr="002A6F0B">
              <w:t>he nutrition counse</w:t>
            </w:r>
            <w:r>
              <w:t>l</w:t>
            </w:r>
            <w:r w:rsidRPr="002A6F0B">
              <w:t>lor educated participants</w:t>
            </w:r>
            <w:r>
              <w:t xml:space="preserve"> on </w:t>
            </w:r>
            <w:r w:rsidRPr="002A6F0B">
              <w:t>how to choose healthier foods (whole grains, fruits and vegetables,</w:t>
            </w:r>
            <w:r>
              <w:t xml:space="preserve"> </w:t>
            </w:r>
            <w:r w:rsidRPr="002A6F0B">
              <w:t>healthy fats, and protein sources); how to limit intake</w:t>
            </w:r>
            <w:r>
              <w:t xml:space="preserve"> </w:t>
            </w:r>
            <w:r w:rsidRPr="002A6F0B">
              <w:t>of unhealthy foods (refined grains and sweets) and beverages</w:t>
            </w:r>
            <w:r>
              <w:t xml:space="preserve"> </w:t>
            </w:r>
            <w:r w:rsidRPr="002A6F0B">
              <w:t>(sugary drinks); and how to get rid of the unhealthy habits</w:t>
            </w:r>
            <w:r>
              <w:t xml:space="preserve"> </w:t>
            </w:r>
            <w:r w:rsidRPr="002A6F0B">
              <w:t>(frying food, eating fast food, skipping meals, and eating unhealthy</w:t>
            </w:r>
            <w:r>
              <w:t xml:space="preserve"> </w:t>
            </w:r>
            <w:r w:rsidRPr="002A6F0B">
              <w:t>snacks between meals)</w:t>
            </w:r>
            <w:r>
              <w:t>.</w:t>
            </w:r>
          </w:p>
        </w:tc>
        <w:tc>
          <w:tcPr>
            <w:tcW w:w="5664" w:type="dxa"/>
          </w:tcPr>
          <w:p w14:paraId="5612B1E8" w14:textId="77777777" w:rsidR="0094460B" w:rsidRDefault="0094460B" w:rsidP="00C53E3F">
            <w:r>
              <w:t>Intervention vs control:</w:t>
            </w:r>
          </w:p>
          <w:p w14:paraId="263FF29D" w14:textId="77777777" w:rsidR="0094460B" w:rsidRDefault="0094460B" w:rsidP="004F1F8F">
            <w:pPr>
              <w:pStyle w:val="bullet"/>
            </w:pPr>
            <w:r>
              <w:t>Weight gain exceeding IOM guidelines: 38/75 vs 54/72</w:t>
            </w:r>
          </w:p>
          <w:p w14:paraId="7E4B48FF" w14:textId="77777777" w:rsidR="0094460B" w:rsidRDefault="0094460B" w:rsidP="004F1F8F">
            <w:pPr>
              <w:pStyle w:val="bullet"/>
            </w:pPr>
            <w:r>
              <w:t>Gestational diabetes: 2/75 vs 5/72</w:t>
            </w:r>
          </w:p>
          <w:p w14:paraId="293C6848" w14:textId="77777777" w:rsidR="0094460B" w:rsidRDefault="0094460B" w:rsidP="004F1F8F">
            <w:pPr>
              <w:pStyle w:val="bullet"/>
            </w:pPr>
            <w:r>
              <w:t>Pregnancy-induced hypertension: 4/75 vs 14/72</w:t>
            </w:r>
          </w:p>
          <w:p w14:paraId="0D795F90" w14:textId="77777777" w:rsidR="0094460B" w:rsidRDefault="0094460B" w:rsidP="004F1F8F">
            <w:pPr>
              <w:pStyle w:val="bullet"/>
            </w:pPr>
            <w:r>
              <w:t>Caesarean section: 10/75 vs 21/72</w:t>
            </w:r>
          </w:p>
          <w:p w14:paraId="0453BCC8" w14:textId="77777777" w:rsidR="0094460B" w:rsidRDefault="0094460B" w:rsidP="004F1F8F">
            <w:pPr>
              <w:pStyle w:val="bullet"/>
            </w:pPr>
            <w:r>
              <w:t>Preterm birth: 7/75 vs 18/72</w:t>
            </w:r>
          </w:p>
          <w:p w14:paraId="1B7DF13E" w14:textId="77777777" w:rsidR="0094460B" w:rsidRPr="00C53E3F" w:rsidRDefault="0094460B" w:rsidP="004F1F8F">
            <w:pPr>
              <w:pStyle w:val="bullet"/>
            </w:pPr>
            <w:r>
              <w:t>Macrosomia: 5/75 vs 14/72</w:t>
            </w:r>
          </w:p>
        </w:tc>
      </w:tr>
      <w:tr w:rsidR="0094460B" w:rsidRPr="0069748F" w14:paraId="4C96C0D0" w14:textId="77777777" w:rsidTr="00BD18F7">
        <w:trPr>
          <w:cantSplit/>
        </w:trPr>
        <w:tc>
          <w:tcPr>
            <w:tcW w:w="1418" w:type="dxa"/>
          </w:tcPr>
          <w:p w14:paraId="15FD6BA2" w14:textId="15310DEF" w:rsidR="0094460B" w:rsidRDefault="0094460B" w:rsidP="00746866">
            <w:pPr>
              <w:keepNext/>
            </w:pPr>
            <w:r>
              <w:t>Di Carlo 2014</w:t>
            </w:r>
            <w:r>
              <w:fldChar w:fldCharType="begin"/>
            </w:r>
            <w:r w:rsidR="002747EA">
              <w:instrText xml:space="preserve"> ADDIN EN.CITE &lt;EndNote&gt;&lt;Cite&gt;&lt;Author&gt;Di Carlo&lt;/Author&gt;&lt;Year&gt;2014&lt;/Year&gt;&lt;RecNum&gt;1387&lt;/RecNum&gt;&lt;DisplayText&gt;&lt;style face="superscript" font="Trebuchet MS" size="9"&gt;401&lt;/style&gt;&lt;/DisplayText&gt;&lt;record&gt;&lt;rec-number&gt;1387&lt;/rec-number&gt;&lt;foreign-keys&gt;&lt;key app="EN" db-id="exvasrfx2dtraoesasxp2szsxa2df502592x" timestamp="1567661568"&gt;1387&lt;/key&gt;&lt;key app="ENWeb" db-id=""&gt;0&lt;/key&gt;&lt;/foreign-keys&gt;&lt;ref-type name="Journal Article"&gt;17&lt;/ref-type&gt;&lt;contributors&gt;&lt;authors&gt;&lt;author&gt;Di Carlo, C.,&lt;/author&gt;&lt;author&gt;Iannotti, G.,&lt;/author&gt;&lt;author&gt;Sparice, S.,&lt;/author&gt;&lt;author&gt;Chiacchio, M.P.,&lt;/author&gt;&lt;author&gt;Greco, E.,&lt;/author&gt;&lt;author&gt;Tommaselli, G.A.,&lt;/author&gt;&lt;author&gt;Nappi, C.,&lt;/author&gt;&lt;/authors&gt;&lt;/contributors&gt;&lt;titles&gt;&lt;title&gt;The role of a personalized dietary intervention in managing gestational weight gain: a prospective, controlled study in a low-risk antenatal population&lt;/title&gt;&lt;secondary-title&gt;Arch Gynecol Obstet&lt;/secondary-title&gt;&lt;/titles&gt;&lt;periodical&gt;&lt;full-title&gt;Arch Gynecol Obstet&lt;/full-title&gt;&lt;/periodical&gt;&lt;pages&gt;765-70&lt;/pages&gt;&lt;volume&gt;289&lt;/volume&gt;&lt;number&gt;4&lt;/number&gt;&lt;section&gt;765&lt;/section&gt;&lt;dates&gt;&lt;year&gt;2014&lt;/year&gt;&lt;/dates&gt;&lt;isbn&gt;0932-0067&amp;#xD;1432-0711&lt;/isbn&gt;&lt;urls&gt;&lt;/urls&gt;&lt;electronic-resource-num&gt;10.1007/s00404-013-3054-y&lt;/electronic-resource-num&gt;&lt;/record&gt;&lt;/Cite&gt;&lt;/EndNote&gt;</w:instrText>
            </w:r>
            <w:r>
              <w:fldChar w:fldCharType="separate"/>
            </w:r>
            <w:r w:rsidR="002747EA" w:rsidRPr="002747EA">
              <w:rPr>
                <w:noProof/>
                <w:vertAlign w:val="superscript"/>
              </w:rPr>
              <w:t>401</w:t>
            </w:r>
            <w:r>
              <w:fldChar w:fldCharType="end"/>
            </w:r>
          </w:p>
          <w:p w14:paraId="3616D19C" w14:textId="77777777" w:rsidR="0094460B" w:rsidRPr="0069748F" w:rsidRDefault="0094460B" w:rsidP="00746866">
            <w:pPr>
              <w:keepNext/>
            </w:pPr>
            <w:r>
              <w:t>Italy</w:t>
            </w:r>
          </w:p>
        </w:tc>
        <w:tc>
          <w:tcPr>
            <w:tcW w:w="1701" w:type="dxa"/>
          </w:tcPr>
          <w:p w14:paraId="24742A83" w14:textId="77777777" w:rsidR="0094460B" w:rsidRDefault="0094460B" w:rsidP="00746866">
            <w:pPr>
              <w:keepNext/>
            </w:pPr>
            <w:r>
              <w:t>Intervention 61</w:t>
            </w:r>
          </w:p>
          <w:p w14:paraId="178F9917" w14:textId="77777777" w:rsidR="0094460B" w:rsidRPr="0069748F" w:rsidRDefault="0094460B" w:rsidP="00746866">
            <w:pPr>
              <w:keepNext/>
            </w:pPr>
            <w:r>
              <w:t>Control 59</w:t>
            </w:r>
          </w:p>
        </w:tc>
        <w:tc>
          <w:tcPr>
            <w:tcW w:w="5393" w:type="dxa"/>
          </w:tcPr>
          <w:p w14:paraId="7AF0D55A" w14:textId="77777777" w:rsidR="0094460B" w:rsidRDefault="0094460B" w:rsidP="00746866">
            <w:pPr>
              <w:keepNext/>
            </w:pPr>
            <w:r w:rsidRPr="002E4E2A">
              <w:rPr>
                <w:b/>
              </w:rPr>
              <w:t>Aim</w:t>
            </w:r>
            <w:r>
              <w:t xml:space="preserve">: </w:t>
            </w:r>
            <w:r w:rsidRPr="002E4E2A">
              <w:t>To compare the efficacy of a personal dietary</w:t>
            </w:r>
            <w:r>
              <w:t xml:space="preserve"> </w:t>
            </w:r>
            <w:r w:rsidRPr="002E4E2A">
              <w:t>intervention on gestational weight gain control with a</w:t>
            </w:r>
            <w:r>
              <w:t xml:space="preserve"> </w:t>
            </w:r>
            <w:r w:rsidRPr="002E4E2A">
              <w:t>general intervention promoting healthy eating.</w:t>
            </w:r>
            <w:r>
              <w:t xml:space="preserve"> </w:t>
            </w:r>
          </w:p>
          <w:p w14:paraId="0435E146" w14:textId="77777777" w:rsidR="0094460B" w:rsidRDefault="0094460B" w:rsidP="00746866">
            <w:pPr>
              <w:keepNext/>
            </w:pPr>
            <w:r w:rsidRPr="002E4E2A">
              <w:rPr>
                <w:b/>
              </w:rPr>
              <w:t>Population</w:t>
            </w:r>
            <w:r>
              <w:t>: L</w:t>
            </w:r>
            <w:r w:rsidRPr="002E4E2A">
              <w:t>ow-risk pregnant women</w:t>
            </w:r>
            <w:r>
              <w:t>.</w:t>
            </w:r>
          </w:p>
          <w:p w14:paraId="220FEC69" w14:textId="77777777" w:rsidR="0094460B" w:rsidRDefault="0094460B" w:rsidP="002E4E2A">
            <w:pPr>
              <w:keepNext/>
            </w:pPr>
            <w:r w:rsidRPr="002E4E2A">
              <w:rPr>
                <w:b/>
              </w:rPr>
              <w:t>Intervention</w:t>
            </w:r>
            <w:r>
              <w:t>: W</w:t>
            </w:r>
            <w:r w:rsidRPr="002E4E2A">
              <w:t xml:space="preserve">omen </w:t>
            </w:r>
            <w:r>
              <w:t xml:space="preserve">received a personalised diet plan and </w:t>
            </w:r>
            <w:r w:rsidRPr="002E4E2A">
              <w:t>close</w:t>
            </w:r>
            <w:r>
              <w:t xml:space="preserve"> </w:t>
            </w:r>
            <w:r w:rsidRPr="002E4E2A">
              <w:t xml:space="preserve">follow-up by a dietician. </w:t>
            </w:r>
          </w:p>
          <w:p w14:paraId="57ED318A" w14:textId="77777777" w:rsidR="0094460B" w:rsidRPr="0069748F" w:rsidRDefault="0094460B" w:rsidP="00F3788D">
            <w:r>
              <w:t>Individualis</w:t>
            </w:r>
            <w:r w:rsidRPr="00F3788D">
              <w:t xml:space="preserve">ed diet plans </w:t>
            </w:r>
            <w:r>
              <w:t xml:space="preserve">had an </w:t>
            </w:r>
            <w:r w:rsidRPr="00F3788D">
              <w:t xml:space="preserve">average daily caloric intake </w:t>
            </w:r>
            <w:r>
              <w:t>of</w:t>
            </w:r>
            <w:r w:rsidRPr="00F3788D">
              <w:t xml:space="preserve"> 1,916 kcal. A typical</w:t>
            </w:r>
            <w:r>
              <w:t xml:space="preserve"> </w:t>
            </w:r>
            <w:r w:rsidRPr="00F3788D">
              <w:t>weekly diet plan included five meals per day, distributed</w:t>
            </w:r>
            <w:r>
              <w:t xml:space="preserve"> </w:t>
            </w:r>
            <w:r w:rsidRPr="00F3788D">
              <w:t>throughout the day as follows: breakfast (milk or yoghurt,</w:t>
            </w:r>
            <w:r>
              <w:t xml:space="preserve"> </w:t>
            </w:r>
            <w:r w:rsidRPr="00F3788D">
              <w:t>biscuits or toasted bread), snack (fruits or crackers), lunch</w:t>
            </w:r>
            <w:r>
              <w:t xml:space="preserve"> </w:t>
            </w:r>
            <w:r w:rsidRPr="00F3788D">
              <w:t>(pasta or rice with vegetables, limiting the association of</w:t>
            </w:r>
            <w:r>
              <w:t xml:space="preserve"> </w:t>
            </w:r>
            <w:r w:rsidRPr="00F3788D">
              <w:t>potatoes and tomato sauce, and a side-dish with vegetables),</w:t>
            </w:r>
            <w:r>
              <w:t xml:space="preserve"> </w:t>
            </w:r>
            <w:r w:rsidRPr="00F3788D">
              <w:t>snack (fruits), and dinner (white meat or fish, limiting</w:t>
            </w:r>
            <w:r>
              <w:t xml:space="preserve"> </w:t>
            </w:r>
            <w:r w:rsidRPr="00F3788D">
              <w:t>to once a week dairy products, cheese, eggs, and</w:t>
            </w:r>
            <w:r>
              <w:t xml:space="preserve"> </w:t>
            </w:r>
            <w:r w:rsidRPr="00F3788D">
              <w:t>ham, associated with a side-dish of vegetables and bread).</w:t>
            </w:r>
            <w:r>
              <w:t xml:space="preserve"> </w:t>
            </w:r>
            <w:r w:rsidRPr="00F3788D">
              <w:t>The only fat allowed, as a preparation or dressing for all</w:t>
            </w:r>
            <w:r>
              <w:t xml:space="preserve"> </w:t>
            </w:r>
            <w:r w:rsidRPr="00F3788D">
              <w:t>meals, was olive oil. Women were scheduled</w:t>
            </w:r>
            <w:r>
              <w:t xml:space="preserve"> </w:t>
            </w:r>
            <w:r w:rsidRPr="00F3788D">
              <w:t>for monthly follow-up appointments with a dietician</w:t>
            </w:r>
            <w:r>
              <w:t xml:space="preserve"> </w:t>
            </w:r>
            <w:r w:rsidRPr="00F3788D">
              <w:t>who monitored their weight gain, discussed any potential</w:t>
            </w:r>
            <w:r>
              <w:t xml:space="preserve"> </w:t>
            </w:r>
            <w:r w:rsidRPr="00F3788D">
              <w:t>issues, gave further suggestions and answered questions,</w:t>
            </w:r>
            <w:r>
              <w:t xml:space="preserve"> </w:t>
            </w:r>
            <w:r w:rsidRPr="00F3788D">
              <w:t>as needed.</w:t>
            </w:r>
            <w:r>
              <w:t xml:space="preserve"> </w:t>
            </w:r>
          </w:p>
        </w:tc>
        <w:tc>
          <w:tcPr>
            <w:tcW w:w="5664" w:type="dxa"/>
          </w:tcPr>
          <w:p w14:paraId="41925A38" w14:textId="77777777" w:rsidR="0094460B" w:rsidRDefault="0094460B" w:rsidP="002E4E2A">
            <w:r>
              <w:t>Intervention vs control:</w:t>
            </w:r>
          </w:p>
          <w:p w14:paraId="269BDD14" w14:textId="77777777" w:rsidR="0094460B" w:rsidRDefault="0094460B" w:rsidP="001719FE">
            <w:pPr>
              <w:pStyle w:val="bullet"/>
            </w:pPr>
            <w:r>
              <w:t xml:space="preserve">Gestational weight gain: </w:t>
            </w:r>
            <w:r w:rsidRPr="002E4E2A">
              <w:t>8.2</w:t>
            </w:r>
            <w:r>
              <w:t>±4.0 vs</w:t>
            </w:r>
            <w:r w:rsidRPr="002E4E2A">
              <w:t xml:space="preserve"> 13.4</w:t>
            </w:r>
            <w:r>
              <w:t>±4.2 kg; p&lt;</w:t>
            </w:r>
            <w:r w:rsidRPr="002E4E2A">
              <w:t>0.001</w:t>
            </w:r>
            <w:r>
              <w:t xml:space="preserve"> </w:t>
            </w:r>
          </w:p>
          <w:p w14:paraId="447D0DB9" w14:textId="77777777" w:rsidR="0094460B" w:rsidRDefault="0094460B" w:rsidP="001719FE">
            <w:pPr>
              <w:pStyle w:val="bullet"/>
            </w:pPr>
            <w:r>
              <w:t>Weight gain exceeding 12 kg: 3/61 vs 34/59</w:t>
            </w:r>
          </w:p>
          <w:p w14:paraId="0C845AA9" w14:textId="77777777" w:rsidR="0094460B" w:rsidRPr="0069748F" w:rsidRDefault="0094460B" w:rsidP="001719FE">
            <w:pPr>
              <w:pStyle w:val="bullet"/>
            </w:pPr>
            <w:r>
              <w:t>Caesarean section: 26/61 vs 33/59</w:t>
            </w:r>
          </w:p>
        </w:tc>
      </w:tr>
      <w:tr w:rsidR="0094460B" w:rsidRPr="0069748F" w14:paraId="7E6B9FF3" w14:textId="77777777" w:rsidTr="00BD18F7">
        <w:trPr>
          <w:cantSplit/>
        </w:trPr>
        <w:tc>
          <w:tcPr>
            <w:tcW w:w="1418" w:type="dxa"/>
          </w:tcPr>
          <w:p w14:paraId="4E6FC6F9" w14:textId="422F560A" w:rsidR="0094460B" w:rsidRDefault="0094460B" w:rsidP="00E37D04">
            <w:pPr>
              <w:keepNext/>
            </w:pPr>
            <w:r>
              <w:t>Laitinen et al 2009</w:t>
            </w:r>
            <w:r>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 </w:instrText>
            </w:r>
            <w:r w:rsidR="002747EA">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240</w:t>
            </w:r>
            <w:r>
              <w:fldChar w:fldCharType="end"/>
            </w:r>
          </w:p>
          <w:p w14:paraId="31312F60" w14:textId="77777777" w:rsidR="0094460B" w:rsidRPr="0069748F" w:rsidRDefault="0094460B" w:rsidP="00E37D04">
            <w:pPr>
              <w:keepNext/>
            </w:pPr>
            <w:r>
              <w:t>Finland</w:t>
            </w:r>
          </w:p>
        </w:tc>
        <w:tc>
          <w:tcPr>
            <w:tcW w:w="1701" w:type="dxa"/>
          </w:tcPr>
          <w:p w14:paraId="46F34573" w14:textId="77777777" w:rsidR="0094460B" w:rsidRDefault="0094460B" w:rsidP="00746866">
            <w:pPr>
              <w:keepNext/>
            </w:pPr>
            <w:r>
              <w:t>Intervention 69</w:t>
            </w:r>
          </w:p>
          <w:p w14:paraId="7DBC22DE" w14:textId="77777777" w:rsidR="0094460B" w:rsidRPr="0069748F" w:rsidRDefault="0094460B" w:rsidP="00746866">
            <w:pPr>
              <w:keepNext/>
            </w:pPr>
            <w:r>
              <w:t>Control 66</w:t>
            </w:r>
          </w:p>
        </w:tc>
        <w:tc>
          <w:tcPr>
            <w:tcW w:w="5393" w:type="dxa"/>
          </w:tcPr>
          <w:p w14:paraId="3592938A" w14:textId="77777777" w:rsidR="0094460B" w:rsidRPr="004505CD" w:rsidRDefault="0094460B" w:rsidP="004505CD">
            <w:r w:rsidRPr="004505CD">
              <w:rPr>
                <w:b/>
              </w:rPr>
              <w:t>Aim</w:t>
            </w:r>
            <w:r>
              <w:t>: To examine</w:t>
            </w:r>
            <w:r w:rsidRPr="004505CD">
              <w:t xml:space="preserve"> whether supplementation of probiotics with dietary counselling affects glucose metabolism in normoglycaemic pregnant women. </w:t>
            </w:r>
          </w:p>
          <w:p w14:paraId="5332D665" w14:textId="77777777" w:rsidR="0094460B" w:rsidRPr="000B4371" w:rsidRDefault="0094460B" w:rsidP="000B4371">
            <w:r w:rsidRPr="000B4371">
              <w:rPr>
                <w:b/>
              </w:rPr>
              <w:t>Population</w:t>
            </w:r>
            <w:r>
              <w:t xml:space="preserve">: </w:t>
            </w:r>
            <w:r w:rsidRPr="000B4371">
              <w:t xml:space="preserve">Women </w:t>
            </w:r>
            <w:r>
              <w:t>who</w:t>
            </w:r>
            <w:r w:rsidRPr="000B4371">
              <w:t xml:space="preserve"> were less than 17 weeks’ gestation and had no metabolic or chronic diseases such as diabetes</w:t>
            </w:r>
            <w:r>
              <w:t>.</w:t>
            </w:r>
          </w:p>
          <w:p w14:paraId="6057C28C" w14:textId="77777777" w:rsidR="0094460B" w:rsidRPr="004101F4" w:rsidRDefault="0094460B" w:rsidP="004019E3">
            <w:r w:rsidRPr="004019E3">
              <w:rPr>
                <w:b/>
              </w:rPr>
              <w:t>Intervention</w:t>
            </w:r>
            <w:r>
              <w:t xml:space="preserve">: </w:t>
            </w:r>
            <w:r w:rsidRPr="004101F4">
              <w:t>At 1st trimester 256 pregnant women were allocated to 3 groups: modification of dietary</w:t>
            </w:r>
            <w:r>
              <w:t xml:space="preserve"> </w:t>
            </w:r>
            <w:r w:rsidRPr="004101F4">
              <w:t>intake according to current recommendations with probiotics or placebo and a control</w:t>
            </w:r>
            <w:r>
              <w:t xml:space="preserve"> </w:t>
            </w:r>
            <w:r w:rsidRPr="004101F4">
              <w:t>group receiving placebo only</w:t>
            </w:r>
            <w:r>
              <w:t>.</w:t>
            </w:r>
          </w:p>
          <w:p w14:paraId="21CF573E" w14:textId="77777777" w:rsidR="0094460B" w:rsidRPr="004101F4" w:rsidRDefault="0094460B" w:rsidP="004019E3">
            <w:r w:rsidRPr="004101F4">
              <w:t>Dietary counselling given by a dietitian at each study visit aimed to</w:t>
            </w:r>
            <w:r>
              <w:t xml:space="preserve"> </w:t>
            </w:r>
            <w:r w:rsidRPr="004101F4">
              <w:t>modify dietary intake</w:t>
            </w:r>
            <w:r>
              <w:t xml:space="preserve"> </w:t>
            </w:r>
            <w:r w:rsidRPr="004101F4">
              <w:t>to conform with that currently recommended, particular attention being paid to the</w:t>
            </w:r>
            <w:r>
              <w:t xml:space="preserve"> </w:t>
            </w:r>
            <w:r w:rsidRPr="004101F4">
              <w:t>quality of dietary fat</w:t>
            </w:r>
            <w:r>
              <w:t>.</w:t>
            </w:r>
          </w:p>
        </w:tc>
        <w:tc>
          <w:tcPr>
            <w:tcW w:w="5664" w:type="dxa"/>
          </w:tcPr>
          <w:p w14:paraId="2A52ABF5" w14:textId="77777777" w:rsidR="0094460B" w:rsidRDefault="0094460B" w:rsidP="00746866">
            <w:pPr>
              <w:keepNext/>
            </w:pPr>
            <w:r>
              <w:t>Intervention (diet plus placebo) vs control (placebo only):</w:t>
            </w:r>
          </w:p>
          <w:p w14:paraId="409BA5F4" w14:textId="77777777" w:rsidR="0094460B" w:rsidRDefault="0094460B" w:rsidP="006B07D9">
            <w:pPr>
              <w:pStyle w:val="bullet"/>
            </w:pPr>
            <w:r>
              <w:t>Gestational weight gain: 14.8±5.1 (n=86) vs 14.8±5.1 (n=85)</w:t>
            </w:r>
          </w:p>
          <w:p w14:paraId="2E3A5437" w14:textId="77777777" w:rsidR="0094460B" w:rsidRDefault="0094460B" w:rsidP="006B07D9">
            <w:pPr>
              <w:pStyle w:val="bullet"/>
            </w:pPr>
            <w:r>
              <w:t>Weight gain exceeding IOM guidelines: 35/86 vs 39/85</w:t>
            </w:r>
          </w:p>
          <w:p w14:paraId="0EBD7BE7" w14:textId="77777777" w:rsidR="0094460B" w:rsidRDefault="0094460B" w:rsidP="006B07D9">
            <w:pPr>
              <w:pStyle w:val="bullet"/>
            </w:pPr>
            <w:r>
              <w:t>Gestational diabetes: 27/76 vs 25/73</w:t>
            </w:r>
          </w:p>
          <w:p w14:paraId="1647100E" w14:textId="77777777" w:rsidR="0094460B" w:rsidRDefault="0094460B" w:rsidP="006B07D9">
            <w:pPr>
              <w:pStyle w:val="bullet"/>
            </w:pPr>
            <w:r>
              <w:t>Caesarean section: 12/77 vs 11/76</w:t>
            </w:r>
          </w:p>
          <w:p w14:paraId="3F3FB956" w14:textId="77777777" w:rsidR="0094460B" w:rsidRDefault="0094460B" w:rsidP="006B07D9">
            <w:pPr>
              <w:pStyle w:val="bullet"/>
            </w:pPr>
            <w:r>
              <w:t>Preterm birth: 1/79 vs 1/79</w:t>
            </w:r>
          </w:p>
          <w:p w14:paraId="0AB5E054" w14:textId="77777777" w:rsidR="0094460B" w:rsidRPr="0069748F" w:rsidRDefault="0094460B" w:rsidP="006B07D9">
            <w:pPr>
              <w:pStyle w:val="bullet"/>
            </w:pPr>
            <w:r>
              <w:t>Childhood weight: 8.23±0.986 (n=73) vs 8.26±</w:t>
            </w:r>
          </w:p>
        </w:tc>
      </w:tr>
      <w:tr w:rsidR="0094460B" w:rsidRPr="0069748F" w14:paraId="5610F0E4" w14:textId="77777777" w:rsidTr="00BD18F7">
        <w:trPr>
          <w:cantSplit/>
        </w:trPr>
        <w:tc>
          <w:tcPr>
            <w:tcW w:w="1418" w:type="dxa"/>
          </w:tcPr>
          <w:p w14:paraId="3528D9A1" w14:textId="2B996A30" w:rsidR="0094460B" w:rsidRDefault="0094460B" w:rsidP="00767EBF">
            <w:pPr>
              <w:keepNext/>
            </w:pPr>
            <w:r>
              <w:t>Simmons et al 2017</w:t>
            </w:r>
            <w: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fldChar w:fldCharType="separate"/>
            </w:r>
            <w:r w:rsidR="002747EA" w:rsidRPr="002747EA">
              <w:rPr>
                <w:noProof/>
                <w:vertAlign w:val="superscript"/>
              </w:rPr>
              <w:t>402</w:t>
            </w:r>
            <w:r>
              <w:fldChar w:fldCharType="end"/>
            </w:r>
          </w:p>
          <w:p w14:paraId="01E41847" w14:textId="7B31C5E2" w:rsidR="0094460B" w:rsidRPr="0069748F" w:rsidRDefault="0094460B" w:rsidP="00767EBF">
            <w:pPr>
              <w:keepNext/>
            </w:pPr>
            <w:r w:rsidRPr="00CF7049">
              <w:t>United Kingdom, Ireland, Netherlands, Austria, Poland, Italy, Spain, Denmark and Belgium</w:t>
            </w:r>
          </w:p>
        </w:tc>
        <w:tc>
          <w:tcPr>
            <w:tcW w:w="1701" w:type="dxa"/>
          </w:tcPr>
          <w:p w14:paraId="26841DF5" w14:textId="77777777" w:rsidR="0094460B" w:rsidRDefault="0094460B" w:rsidP="00746866">
            <w:pPr>
              <w:keepNext/>
            </w:pPr>
            <w:r>
              <w:t>Intervention 113</w:t>
            </w:r>
          </w:p>
          <w:p w14:paraId="357E0265" w14:textId="77777777" w:rsidR="0094460B" w:rsidRDefault="0094460B" w:rsidP="00746866">
            <w:pPr>
              <w:keepNext/>
            </w:pPr>
            <w:r>
              <w:t>Control 105</w:t>
            </w:r>
          </w:p>
          <w:p w14:paraId="3E2EA49F" w14:textId="77777777" w:rsidR="0094460B" w:rsidRPr="0069748F" w:rsidRDefault="0094460B" w:rsidP="00746866">
            <w:pPr>
              <w:keepNext/>
            </w:pPr>
            <w:r>
              <w:t>4-armed; control group divided by three</w:t>
            </w:r>
          </w:p>
        </w:tc>
        <w:tc>
          <w:tcPr>
            <w:tcW w:w="5393" w:type="dxa"/>
          </w:tcPr>
          <w:p w14:paraId="1E6E4FFD" w14:textId="77777777" w:rsidR="0094460B" w:rsidRDefault="0094460B" w:rsidP="00773C98">
            <w:r>
              <w:rPr>
                <w:b/>
              </w:rPr>
              <w:t xml:space="preserve">Aim: </w:t>
            </w:r>
            <w:r w:rsidRPr="00CF7049">
              <w:t>to compare the effectiveness of 3 lifestyle interventions</w:t>
            </w:r>
            <w:r>
              <w:t xml:space="preserve"> </w:t>
            </w:r>
            <w:r w:rsidRPr="00CF7049">
              <w:t>[healthy eating (HE), physical activity (PA), and both HE and PA (HE+PA)] with usual care (UC) in</w:t>
            </w:r>
            <w:r>
              <w:t xml:space="preserve"> </w:t>
            </w:r>
            <w:r w:rsidRPr="00CF7049">
              <w:t>reducing GDM risk.</w:t>
            </w:r>
          </w:p>
          <w:p w14:paraId="08FF69CA" w14:textId="77777777" w:rsidR="0094460B" w:rsidRPr="00CF7049" w:rsidRDefault="0094460B" w:rsidP="00773C98">
            <w:pPr>
              <w:rPr>
                <w:rFonts w:ascii="Times" w:hAnsi="Times"/>
              </w:rPr>
            </w:pPr>
            <w:r w:rsidRPr="00CF7049">
              <w:rPr>
                <w:b/>
              </w:rPr>
              <w:t>Population</w:t>
            </w:r>
            <w:r>
              <w:t xml:space="preserve">: </w:t>
            </w:r>
            <w:r w:rsidRPr="00CF7049">
              <w:t>pregnant women at with a body mass index (BMI)</w:t>
            </w:r>
            <w:r>
              <w:t xml:space="preserve"> </w:t>
            </w:r>
            <w:r w:rsidRPr="00CF7049">
              <w:rPr>
                <w:rFonts w:ascii="Helvetica" w:hAnsi="Helvetica"/>
              </w:rPr>
              <w:t xml:space="preserve">of </w:t>
            </w:r>
            <w:r>
              <w:rPr>
                <w:rFonts w:ascii="Helvetica" w:hAnsi="Helvetica"/>
              </w:rPr>
              <w:t>≥</w:t>
            </w:r>
            <w:r w:rsidRPr="00CF7049">
              <w:rPr>
                <w:rFonts w:ascii="Helvetica" w:hAnsi="Helvetica"/>
              </w:rPr>
              <w:t>29 kg/m</w:t>
            </w:r>
            <w:r>
              <w:rPr>
                <w:rFonts w:ascii="Helvetica" w:hAnsi="Helvetica"/>
              </w:rPr>
              <w:t xml:space="preserve">, </w:t>
            </w:r>
            <w:r>
              <w:t>≤</w:t>
            </w:r>
            <w:r w:rsidRPr="00CF7049">
              <w:rPr>
                <w:rFonts w:ascii="Times" w:hAnsi="Times"/>
              </w:rPr>
              <w:t>19</w:t>
            </w:r>
            <w:r>
              <w:rPr>
                <w:rFonts w:ascii="Times" w:hAnsi="Times"/>
              </w:rPr>
              <w:t xml:space="preserve">±6 </w:t>
            </w:r>
            <w:r w:rsidRPr="00CF7049">
              <w:t>and aged ≥18 years</w:t>
            </w:r>
            <w:r>
              <w:rPr>
                <w:rFonts w:ascii="Times" w:hAnsi="Times"/>
              </w:rPr>
              <w:t xml:space="preserve"> </w:t>
            </w:r>
            <w:r w:rsidRPr="00CF7049">
              <w:rPr>
                <w:rFonts w:ascii="Helvetica" w:hAnsi="Helvetica"/>
              </w:rPr>
              <w:t>and without GDM using the International Association of Diabetes and Pregnancy</w:t>
            </w:r>
            <w:r>
              <w:t xml:space="preserve"> </w:t>
            </w:r>
            <w:r w:rsidRPr="00CF7049">
              <w:rPr>
                <w:rFonts w:ascii="Helvetica" w:hAnsi="Helvetica"/>
              </w:rPr>
              <w:t>Study Group criteria</w:t>
            </w:r>
            <w:r>
              <w:rPr>
                <w:rFonts w:ascii="Helvetica" w:hAnsi="Helvetica"/>
              </w:rPr>
              <w:t>.</w:t>
            </w:r>
          </w:p>
          <w:p w14:paraId="54BEFA8A" w14:textId="4475763D" w:rsidR="0094460B" w:rsidRPr="0069748F" w:rsidRDefault="0094460B" w:rsidP="00AA01EB">
            <w:pPr>
              <w:keepNext/>
            </w:pPr>
            <w:r w:rsidRPr="001028B8">
              <w:rPr>
                <w:b/>
              </w:rPr>
              <w:t>Intervention</w:t>
            </w:r>
            <w:r>
              <w:t>: The HE intervention promoted lower simple and complex carbohydrate</w:t>
            </w:r>
            <w:r w:rsidR="00AA01EB">
              <w:t xml:space="preserve">s, lower fat, higher fibre and </w:t>
            </w:r>
            <w:r>
              <w:t>higher protein, including a focus on portion size and, therefore, a more limited intake of total calories.</w:t>
            </w:r>
          </w:p>
        </w:tc>
        <w:tc>
          <w:tcPr>
            <w:tcW w:w="5664" w:type="dxa"/>
          </w:tcPr>
          <w:p w14:paraId="3D9E5A46" w14:textId="77777777" w:rsidR="0094460B" w:rsidRDefault="0094460B" w:rsidP="00746866">
            <w:pPr>
              <w:keepNext/>
            </w:pPr>
            <w:r>
              <w:t>Intervention vs control:</w:t>
            </w:r>
          </w:p>
          <w:p w14:paraId="7EF9F69C" w14:textId="77777777" w:rsidR="0094460B" w:rsidRDefault="0094460B" w:rsidP="00773C98">
            <w:pPr>
              <w:pStyle w:val="bullet"/>
              <w:rPr>
                <w:rFonts w:eastAsia="Times New Roman" w:cs="Times New Roman"/>
              </w:rPr>
            </w:pPr>
            <w:r>
              <w:t xml:space="preserve">Gestational weight gain: </w:t>
            </w:r>
            <w:r w:rsidRPr="00816D7F">
              <w:rPr>
                <w:rFonts w:eastAsia="Times New Roman" w:cs="Times New Roman"/>
              </w:rPr>
              <w:t>8.0</w:t>
            </w:r>
            <w:r>
              <w:rPr>
                <w:rFonts w:eastAsia="Times New Roman" w:cs="Times New Roman"/>
              </w:rPr>
              <w:t>±</w:t>
            </w:r>
            <w:r w:rsidRPr="00816D7F">
              <w:rPr>
                <w:rFonts w:eastAsia="Times New Roman" w:cs="Times New Roman"/>
              </w:rPr>
              <w:t xml:space="preserve">4.7 </w:t>
            </w:r>
            <w:r>
              <w:rPr>
                <w:rFonts w:eastAsia="Times New Roman" w:cs="Times New Roman"/>
              </w:rPr>
              <w:t>(n=</w:t>
            </w:r>
            <w:r w:rsidRPr="00816D7F">
              <w:rPr>
                <w:rFonts w:eastAsia="Times New Roman" w:cs="Times New Roman"/>
              </w:rPr>
              <w:t>74</w:t>
            </w:r>
            <w:r>
              <w:rPr>
                <w:rFonts w:eastAsia="Times New Roman" w:cs="Times New Roman"/>
              </w:rPr>
              <w:t>) vs</w:t>
            </w:r>
            <w:r w:rsidRPr="00816D7F">
              <w:rPr>
                <w:rFonts w:eastAsia="Times New Roman" w:cs="Times New Roman"/>
              </w:rPr>
              <w:t xml:space="preserve"> 8.8</w:t>
            </w:r>
            <w:r>
              <w:rPr>
                <w:rFonts w:eastAsia="Times New Roman" w:cs="Times New Roman"/>
              </w:rPr>
              <w:t>±</w:t>
            </w:r>
            <w:r w:rsidRPr="00816D7F">
              <w:rPr>
                <w:rFonts w:eastAsia="Times New Roman" w:cs="Times New Roman"/>
              </w:rPr>
              <w:t xml:space="preserve">4.7 </w:t>
            </w:r>
            <w:r>
              <w:rPr>
                <w:rFonts w:eastAsia="Times New Roman" w:cs="Times New Roman"/>
              </w:rPr>
              <w:t>(n=</w:t>
            </w:r>
            <w:r w:rsidRPr="00816D7F">
              <w:rPr>
                <w:rFonts w:eastAsia="Times New Roman" w:cs="Times New Roman"/>
              </w:rPr>
              <w:t>26</w:t>
            </w:r>
            <w:r>
              <w:rPr>
                <w:rFonts w:eastAsia="Times New Roman" w:cs="Times New Roman"/>
              </w:rPr>
              <w:t>)</w:t>
            </w:r>
          </w:p>
          <w:p w14:paraId="5676ADF0" w14:textId="77777777" w:rsidR="0094460B" w:rsidRPr="00F35651" w:rsidRDefault="0094460B" w:rsidP="00773C98">
            <w:pPr>
              <w:pStyle w:val="bullet"/>
              <w:rPr>
                <w:rFonts w:eastAsia="Times New Roman" w:cs="Times New Roman"/>
              </w:rPr>
            </w:pPr>
            <w:r>
              <w:t>Weight gain &gt;IOM guidelines: 53/74 vs 20/26</w:t>
            </w:r>
          </w:p>
          <w:p w14:paraId="21FBC65A" w14:textId="77777777" w:rsidR="0094460B" w:rsidRDefault="0094460B" w:rsidP="00C45170">
            <w:pPr>
              <w:pStyle w:val="bullet"/>
            </w:pPr>
            <w:r>
              <w:t>Gestational diabetes: 27/84 vs 11/31</w:t>
            </w:r>
          </w:p>
          <w:p w14:paraId="52F52F54" w14:textId="77777777" w:rsidR="0094460B" w:rsidRPr="00F35651" w:rsidRDefault="0094460B" w:rsidP="00773C98">
            <w:pPr>
              <w:pStyle w:val="bullet"/>
              <w:rPr>
                <w:rFonts w:eastAsia="Times New Roman" w:cs="Times New Roman"/>
              </w:rPr>
            </w:pPr>
            <w:r>
              <w:t>Small for gestational age: 10/101 vs 2/30</w:t>
            </w:r>
          </w:p>
          <w:p w14:paraId="2325920B" w14:textId="77777777" w:rsidR="0094460B" w:rsidRPr="00816D7F" w:rsidRDefault="0094460B" w:rsidP="00773C98">
            <w:pPr>
              <w:pStyle w:val="bullet"/>
              <w:rPr>
                <w:rFonts w:eastAsia="Times New Roman" w:cs="Times New Roman"/>
              </w:rPr>
            </w:pPr>
            <w:r>
              <w:t>Large for gestational age: 15/101 vs 5/30</w:t>
            </w:r>
          </w:p>
          <w:p w14:paraId="73607261" w14:textId="77777777" w:rsidR="0094460B" w:rsidRPr="0069748F" w:rsidRDefault="0094460B" w:rsidP="00746866">
            <w:pPr>
              <w:keepNext/>
            </w:pPr>
          </w:p>
        </w:tc>
      </w:tr>
      <w:tr w:rsidR="0094460B" w:rsidRPr="0069748F" w14:paraId="08ED57E9" w14:textId="77777777" w:rsidTr="00BD18F7">
        <w:trPr>
          <w:cantSplit/>
        </w:trPr>
        <w:tc>
          <w:tcPr>
            <w:tcW w:w="1418" w:type="dxa"/>
          </w:tcPr>
          <w:p w14:paraId="3F816B7C" w14:textId="7ED302DD" w:rsidR="0094460B" w:rsidRDefault="0094460B" w:rsidP="00767EBF">
            <w:pPr>
              <w:keepNext/>
            </w:pPr>
            <w:r>
              <w:t>Thornton et al 2009</w:t>
            </w:r>
            <w:r>
              <w:fldChar w:fldCharType="begin"/>
            </w:r>
            <w:r w:rsidR="002747EA">
              <w:instrText xml:space="preserve"> ADDIN EN.CITE &lt;EndNote&gt;&lt;Cite&gt;&lt;Author&gt;Thornton&lt;/Author&gt;&lt;Year&gt;2009&lt;/Year&gt;&lt;RecNum&gt;1138&lt;/RecNum&gt;&lt;DisplayText&gt;&lt;style face="superscript" font="Trebuchet MS" size="9"&gt;403&lt;/style&gt;&lt;/DisplayText&gt;&lt;record&gt;&lt;rec-number&gt;1138&lt;/rec-number&gt;&lt;foreign-keys&gt;&lt;key app="EN" db-id="exvasrfx2dtraoesasxp2szsxa2df502592x" timestamp="1555473644"&gt;1138&lt;/key&gt;&lt;/foreign-keys&gt;&lt;ref-type name="Journal Article"&gt;17&lt;/ref-type&gt;&lt;contributors&gt;&lt;authors&gt;&lt;author&gt;Thornton, Y. S.&lt;/author&gt;&lt;author&gt;Smarkola, C.&lt;/author&gt;&lt;author&gt;Kopacz, S. M.&lt;/author&gt;&lt;author&gt;Ishoof, S. B.&lt;/author&gt;&lt;/authors&gt;&lt;/contributors&gt;&lt;auth-address&gt;Department of Obstetrics, Divisions of Maternal-Fetal Medicine, Morristown Memorial Hospital, Morristown, New Jersey, USA. yvonne_thornton@nymc.edu&lt;/auth-address&gt;&lt;titles&gt;&lt;title&gt;Perinatal outcomes in nutritionally monitored obese pregnant women: a randomized clinical trial&lt;/title&gt;&lt;secondary-title&gt;J Natl Med Assoc&lt;/secondary-title&gt;&lt;/titles&gt;&lt;periodical&gt;&lt;full-title&gt;J Natl Med Assoc&lt;/full-title&gt;&lt;/periodical&gt;&lt;pages&gt;569-77&lt;/pages&gt;&lt;volume&gt;101&lt;/volume&gt;&lt;number&gt;6&lt;/number&gt;&lt;edition&gt;2009/07/10&lt;/edition&gt;&lt;keywords&gt;&lt;keyword&gt;Adult&lt;/keyword&gt;&lt;keyword&gt;Analysis of Variance&lt;/keyword&gt;&lt;keyword&gt;Body Mass Index&lt;/keyword&gt;&lt;keyword&gt;Female&lt;/keyword&gt;&lt;keyword&gt;Health Status&lt;/keyword&gt;&lt;keyword&gt;Humans&lt;/keyword&gt;&lt;keyword&gt;Maternal Nutritional Physiological Phenomena/*physiology&lt;/keyword&gt;&lt;keyword&gt;*Maternal Welfare&lt;/keyword&gt;&lt;keyword&gt;Multivariate Analysis&lt;/keyword&gt;&lt;keyword&gt;Nutrition Assessment&lt;/keyword&gt;&lt;keyword&gt;Nutritional Status&lt;/keyword&gt;&lt;keyword&gt;Obesity/*complications&lt;/keyword&gt;&lt;keyword&gt;Pregnancy&lt;/keyword&gt;&lt;keyword&gt;Pregnancy Complications/*epidemiology/prevention &amp;amp; control&lt;/keyword&gt;&lt;keyword&gt;*Pregnancy Outcome&lt;/keyword&gt;&lt;keyword&gt;United States/epidemiology&lt;/keyword&gt;&lt;keyword&gt;Weight Gain&lt;/keyword&gt;&lt;/keywords&gt;&lt;dates&gt;&lt;year&gt;2009&lt;/year&gt;&lt;pub-dates&gt;&lt;date&gt;Jun&lt;/date&gt;&lt;/pub-dates&gt;&lt;/dates&gt;&lt;isbn&gt;0027-9684 (Print)&amp;#xD;0027-9684 (Linking)&lt;/isbn&gt;&lt;accession-num&gt;19585925&lt;/accession-num&gt;&lt;urls&gt;&lt;related-urls&gt;&lt;url&gt;https://www.ncbi.nlm.nih.gov/pubmed/19585925&lt;/url&gt;&lt;/related-urls&gt;&lt;/urls&gt;&lt;/record&gt;&lt;/Cite&gt;&lt;/EndNote&gt;</w:instrText>
            </w:r>
            <w:r>
              <w:fldChar w:fldCharType="separate"/>
            </w:r>
            <w:r w:rsidR="002747EA" w:rsidRPr="002747EA">
              <w:rPr>
                <w:noProof/>
                <w:vertAlign w:val="superscript"/>
              </w:rPr>
              <w:t>403</w:t>
            </w:r>
            <w:r>
              <w:fldChar w:fldCharType="end"/>
            </w:r>
          </w:p>
          <w:p w14:paraId="62F64C31" w14:textId="63053B9A" w:rsidR="0094460B" w:rsidRPr="0069748F" w:rsidRDefault="0094460B" w:rsidP="00767EBF">
            <w:pPr>
              <w:keepNext/>
            </w:pPr>
            <w:r>
              <w:t>United States</w:t>
            </w:r>
          </w:p>
        </w:tc>
        <w:tc>
          <w:tcPr>
            <w:tcW w:w="1701" w:type="dxa"/>
          </w:tcPr>
          <w:p w14:paraId="1DD5ED30" w14:textId="77777777" w:rsidR="0094460B" w:rsidRDefault="0094460B" w:rsidP="00746866">
            <w:pPr>
              <w:keepNext/>
            </w:pPr>
            <w:r>
              <w:t>Intervention 116</w:t>
            </w:r>
          </w:p>
          <w:p w14:paraId="32F907CE" w14:textId="77777777" w:rsidR="0094460B" w:rsidRPr="0069748F" w:rsidRDefault="0094460B" w:rsidP="00746866">
            <w:pPr>
              <w:keepNext/>
            </w:pPr>
            <w:r>
              <w:t>Control 116</w:t>
            </w:r>
          </w:p>
        </w:tc>
        <w:tc>
          <w:tcPr>
            <w:tcW w:w="5393" w:type="dxa"/>
          </w:tcPr>
          <w:p w14:paraId="16AD3A9D" w14:textId="77777777" w:rsidR="0094460B" w:rsidRPr="00745FAE" w:rsidRDefault="0094460B" w:rsidP="00745FAE">
            <w:r w:rsidRPr="00745FAE">
              <w:rPr>
                <w:b/>
              </w:rPr>
              <w:t>Aim</w:t>
            </w:r>
            <w:r w:rsidRPr="00745FAE">
              <w:t>: to assess the outcomes of placing nondiabetic, obese, pregnant women on a monitored, calorie-appropriate nutritional regimen for fear of fetal growth restriction, low birth weight, or starvation ketosis</w:t>
            </w:r>
          </w:p>
          <w:p w14:paraId="0EAE452C" w14:textId="77777777" w:rsidR="0094460B" w:rsidRDefault="0094460B" w:rsidP="00746866">
            <w:pPr>
              <w:keepNext/>
            </w:pPr>
            <w:r w:rsidRPr="00745FAE">
              <w:rPr>
                <w:b/>
              </w:rPr>
              <w:t>Population</w:t>
            </w:r>
            <w:r>
              <w:t xml:space="preserve">: </w:t>
            </w:r>
            <w:r w:rsidRPr="00362C86">
              <w:t>Obese women (BMI ≥30 kg/m2) with singleton pregnancy, between 12 and 28 weeks of gestation</w:t>
            </w:r>
          </w:p>
          <w:p w14:paraId="78F3CD71" w14:textId="6AC2CFA0" w:rsidR="0094460B" w:rsidRPr="00745FAE" w:rsidRDefault="0094460B" w:rsidP="00B5235D">
            <w:pPr>
              <w:rPr>
                <w:rFonts w:ascii="Helvetica" w:hAnsi="Helvetica"/>
                <w:sz w:val="14"/>
                <w:szCs w:val="14"/>
              </w:rPr>
            </w:pPr>
            <w:r w:rsidRPr="00745FAE">
              <w:rPr>
                <w:b/>
              </w:rPr>
              <w:t>Intervention</w:t>
            </w:r>
            <w:r>
              <w:t xml:space="preserve">: </w:t>
            </w:r>
            <w:r w:rsidRPr="00745FAE">
              <w:t>Dietary advice focused on healthy eating</w:t>
            </w:r>
            <w:r>
              <w:t xml:space="preserve">. </w:t>
            </w:r>
            <w:r w:rsidRPr="00745FAE">
              <w:t>Women were prescribed a balanced nutritional diet based on their weight at study entry and were asked to record all food and drink consumed each day in a food diary; these records were reviewed at each prenatal visit by the physician. Women were counselled at least once by registered dietitian regarding conventional nutrition guidelines, with more detailed dietary intake advice compared with the control group women; the nutrition regimen was similar to that used for GDM at the time: 18 to 24 kcal/kg consisting of 40% carbohydrates, 30% protein and 30% fat; at least 2000 calories</w:t>
            </w:r>
          </w:p>
        </w:tc>
        <w:tc>
          <w:tcPr>
            <w:tcW w:w="5664" w:type="dxa"/>
          </w:tcPr>
          <w:p w14:paraId="3C1D5E4A" w14:textId="77777777" w:rsidR="0094460B" w:rsidRDefault="0094460B" w:rsidP="00746866">
            <w:pPr>
              <w:keepNext/>
            </w:pPr>
            <w:r>
              <w:t>Intervention vs control:</w:t>
            </w:r>
          </w:p>
          <w:p w14:paraId="4DB708A3" w14:textId="77777777" w:rsidR="0094460B" w:rsidRDefault="0094460B" w:rsidP="00055DC3">
            <w:pPr>
              <w:pStyle w:val="bullet"/>
            </w:pPr>
            <w:r>
              <w:t>Gestational weight gain: 4.99±6.79 (n=116) vs 14.06±7.4 (n=116)</w:t>
            </w:r>
          </w:p>
          <w:p w14:paraId="01D32132" w14:textId="77777777" w:rsidR="0094460B" w:rsidRDefault="0094460B" w:rsidP="00055DC3">
            <w:pPr>
              <w:pStyle w:val="bullet"/>
            </w:pPr>
            <w:r>
              <w:t>Gestational diabetes: 11/116 vs 19/116</w:t>
            </w:r>
          </w:p>
          <w:p w14:paraId="1BAD35B0" w14:textId="77777777" w:rsidR="0094460B" w:rsidRDefault="0094460B" w:rsidP="00055DC3">
            <w:pPr>
              <w:pStyle w:val="bullet"/>
            </w:pPr>
            <w:r>
              <w:t>Gestational hypertension: 3/116 vs 10/116</w:t>
            </w:r>
          </w:p>
          <w:p w14:paraId="5EF14F18" w14:textId="77777777" w:rsidR="0094460B" w:rsidRDefault="0094460B" w:rsidP="00055DC3">
            <w:pPr>
              <w:pStyle w:val="bullet"/>
            </w:pPr>
            <w:r>
              <w:t>Pre-eclampsia: 7/116 vs 11/116</w:t>
            </w:r>
          </w:p>
          <w:p w14:paraId="6A74385D" w14:textId="77777777" w:rsidR="0094460B" w:rsidRDefault="0094460B" w:rsidP="00055DC3">
            <w:pPr>
              <w:pStyle w:val="bullet"/>
            </w:pPr>
            <w:r>
              <w:t>Caesarean section: 91/116 vs 83/116</w:t>
            </w:r>
          </w:p>
          <w:p w14:paraId="07A3302A" w14:textId="77777777" w:rsidR="0094460B" w:rsidRDefault="0094460B" w:rsidP="00055DC3">
            <w:pPr>
              <w:pStyle w:val="bullet"/>
            </w:pPr>
            <w:r>
              <w:t>Preterm birth: 3/116 vs 5/116</w:t>
            </w:r>
          </w:p>
          <w:p w14:paraId="1A7B6FB6" w14:textId="77777777" w:rsidR="0094460B" w:rsidRDefault="0094460B" w:rsidP="00055DC3">
            <w:pPr>
              <w:pStyle w:val="bullet"/>
            </w:pPr>
            <w:r>
              <w:t>Macrosomia (&gt;4500g): 9/116 vs 4/116</w:t>
            </w:r>
          </w:p>
          <w:p w14:paraId="0C79524A" w14:textId="77777777" w:rsidR="0094460B" w:rsidRDefault="0094460B" w:rsidP="00055DC3">
            <w:pPr>
              <w:pStyle w:val="bullet"/>
            </w:pPr>
            <w:r>
              <w:t>Apgar score &gt;7 at 5 minutes: 1/116 vs 0/116</w:t>
            </w:r>
          </w:p>
          <w:p w14:paraId="2556AB10" w14:textId="77777777" w:rsidR="0094460B" w:rsidRPr="0069748F" w:rsidRDefault="0094460B" w:rsidP="00055DC3">
            <w:pPr>
              <w:keepNext/>
            </w:pPr>
          </w:p>
        </w:tc>
      </w:tr>
      <w:tr w:rsidR="0094460B" w:rsidRPr="0069748F" w14:paraId="02A416BF" w14:textId="77777777" w:rsidTr="00BD18F7">
        <w:trPr>
          <w:cantSplit/>
        </w:trPr>
        <w:tc>
          <w:tcPr>
            <w:tcW w:w="1418" w:type="dxa"/>
          </w:tcPr>
          <w:p w14:paraId="145249FB" w14:textId="7B9D2385" w:rsidR="0094460B" w:rsidRDefault="0094460B" w:rsidP="003E3405">
            <w:pPr>
              <w:keepNext/>
            </w:pPr>
            <w:r>
              <w:t>Walsh et al 2012</w:t>
            </w:r>
            <w:r>
              <w:fldChar w:fldCharType="begin">
                <w:fldData xml:space="preserve">PEVuZE5vdGU+PENpdGU+PEF1dGhvcj5XYWxzaDwvQXV0aG9yPjxZZWFyPjIwMTI8L1llYXI+PFJl
Y051bT4xMTQxPC9SZWNOdW0+PERpc3BsYXlUZXh0PjxzdHlsZSBmYWNlPSJzdXBlcnNjcmlwdCIg
Zm9udD0iVHJlYnVjaGV0IE1TIiBzaXplPSI5Ij40MDUtNDA3PC9zdHlsZT48L0Rpc3BsYXlUZXh0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PENpdGU+PEF1dGhvcj5PJmFwb3M7QnJpZW48L0F1dGhvcj48WWVhcj4yMDE4PC9ZZWFyPjxSZWNO
dW0+MTQ2NzwvUmVjTnVtPjxyZWNvcmQ+PHJlYy1udW1iZXI+MTQ2NzwvcmVjLW51bWJlcj48Zm9y
ZWlnbi1rZXlzPjxrZXkgYXBwPSJFTiIgZGItaWQ9ImV4dmFzcmZ4MmR0cmFvZXNhc3hwMnN6c3hh
MmRmNTAyNTkyeCIgdGltZXN0YW1wPSIxNTc0MDM5NjI0Ij4xNDY3PC9rZXk+PGtleSBhcHA9IkVO
V2ViIiBkYi1pZD0iIj4wPC9rZXk+PC9mb3JlaWduLWtleXM+PHJlZi10eXBlIG5hbWU9IkpvdXJu
YWwgQXJ0aWNsZSI+MTc8L3JlZi10eXBlPjxjb250cmlidXRvcnM+PGF1dGhvcnM+PGF1dGhvcj5P
JmFwb3M7QnJpZW4sIEUuIEMuPC9hdXRob3I+PGF1dGhvcj5HZXJhZ2h0eSwgQS4gQS48L2F1dGhv
cj48YXV0aG9yPk8mYXBvcztTdWxsaXZhbiwgRS4gSi48L2F1dGhvcj48YXV0aG9yPlJpb3JkYW4s
IEouIEEuPC9hdXRob3I+PGF1dGhvcj5Ib3JhbiwgTS4gSy48L2F1dGhvcj48YXV0aG9yPkxhcmtp
biwgRS48L2F1dGhvcj48YXV0aG9yPkRvbm5lbGx5LCBKLjwvYXV0aG9yPjxhdXRob3I+TWVoZWdh
biwgSi48L2F1dGhvcj48YXV0aG9yPlR3b21leSwgUC4gSi48L2F1dGhvcj48YXV0aG9yPk1jQXVs
aWZmZSwgRi4gTS48L2F1dGhvcj48L2F1dGhvcnM+PC9jb250cmlidXRvcnM+PHRpdGxlcz48dGl0
bGU+Rml2ZeKAkHllYXIgZm9sbG93IHVwIG9mIGEgbG93IGdseWNhZW1pYyBpbmRleCBkaWV0YXJ5
IHJhbmRvbWlzZWQgY29udHJvbGxlZCB0cmlhbCBpbiBwcmVnbmFuY3nigJRubyBsb25n4oCQdGVy
bSBtYXRlcm5hbCBlZmZlY3RzIG9mIGEgZGlldGFyeSBpbnRlcnZlbnRpb248L3RpdGxlPjxzZWNv
bmRhcnktdGl0bGU+QkpPRzogQW4gSW50ZXJuYXRpb25hbCBKb3VybmFsIG9mIE9ic3RldHJpY3Mg
JmFtcDsgR3luYWVjb2xvZ3k8L3NlY29uZGFyeS10aXRsZT48L3RpdGxlcz48cGVyaW9kaWNhbD48
ZnVsbC10aXRsZT5CSk9HOiBBbiBJbnRlcm5hdGlvbmFsIEpvdXJuYWwgb2YgT2JzdGV0cmljcyAm
YW1wOyBHeW5hZWNvbG9neTwvZnVsbC10aXRsZT48L3BlcmlvZGljYWw+PHBhZ2VzPjUxNC01MjQ8
L3BhZ2VzPjx2b2x1bWU+MTI2PC92b2x1bWU+PG51bWJlcj40PC9udW1iZXI+PHNlY3Rpb24+NTE0
PC9zZWN0aW9uPjxkYXRlcz48eWVhcj4yMDE4PC95ZWFyPjwvZGF0ZXM+PGlzYm4+MTQ3MC0wMzI4
JiN4RDsxNDcxLTA1Mjg8L2lzYm4+PHVybHM+PC91cmxzPjxlbGVjdHJvbmljLXJlc291cmNlLW51
bT4xMC4xMTExLzE0NzEtMDUyOC4xNTUwMDwvZWxlY3Ryb25pYy1yZXNvdXJjZS1udW0+PC9yZWNv
cmQ+PC9DaXRlPjwvRW5kTm90ZT4A
</w:fldData>
              </w:fldChar>
            </w:r>
            <w:r w:rsidR="002747EA">
              <w:instrText xml:space="preserve"> ADDIN EN.CITE </w:instrText>
            </w:r>
            <w:r w:rsidR="002747EA">
              <w:fldChar w:fldCharType="begin">
                <w:fldData xml:space="preserve">PEVuZE5vdGU+PENpdGU+PEF1dGhvcj5XYWxzaDwvQXV0aG9yPjxZZWFyPjIwMTI8L1llYXI+PFJl
Y051bT4xMTQxPC9SZWNOdW0+PERpc3BsYXlUZXh0PjxzdHlsZSBmYWNlPSJzdXBlcnNjcmlwdCIg
Zm9udD0iVHJlYnVjaGV0IE1TIiBzaXplPSI5Ij40MDUtNDA3PC9zdHlsZT48L0Rpc3BsYXlUZXh0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PENpdGU+PEF1dGhvcj5PJmFwb3M7QnJpZW48L0F1dGhvcj48WWVhcj4yMDE4PC9ZZWFyPjxSZWNO
dW0+MTQ2NzwvUmVjTnVtPjxyZWNvcmQ+PHJlYy1udW1iZXI+MTQ2NzwvcmVjLW51bWJlcj48Zm9y
ZWlnbi1rZXlzPjxrZXkgYXBwPSJFTiIgZGItaWQ9ImV4dmFzcmZ4MmR0cmFvZXNhc3hwMnN6c3hh
MmRmNTAyNTkyeCIgdGltZXN0YW1wPSIxNTc0MDM5NjI0Ij4xNDY3PC9rZXk+PGtleSBhcHA9IkVO
V2ViIiBkYi1pZD0iIj4wPC9rZXk+PC9mb3JlaWduLWtleXM+PHJlZi10eXBlIG5hbWU9IkpvdXJu
YWwgQXJ0aWNsZSI+MTc8L3JlZi10eXBlPjxjb250cmlidXRvcnM+PGF1dGhvcnM+PGF1dGhvcj5P
JmFwb3M7QnJpZW4sIEUuIEMuPC9hdXRob3I+PGF1dGhvcj5HZXJhZ2h0eSwgQS4gQS48L2F1dGhv
cj48YXV0aG9yPk8mYXBvcztTdWxsaXZhbiwgRS4gSi48L2F1dGhvcj48YXV0aG9yPlJpb3JkYW4s
IEouIEEuPC9hdXRob3I+PGF1dGhvcj5Ib3JhbiwgTS4gSy48L2F1dGhvcj48YXV0aG9yPkxhcmtp
biwgRS48L2F1dGhvcj48YXV0aG9yPkRvbm5lbGx5LCBKLjwvYXV0aG9yPjxhdXRob3I+TWVoZWdh
biwgSi48L2F1dGhvcj48YXV0aG9yPlR3b21leSwgUC4gSi48L2F1dGhvcj48YXV0aG9yPk1jQXVs
aWZmZSwgRi4gTS48L2F1dGhvcj48L2F1dGhvcnM+PC9jb250cmlidXRvcnM+PHRpdGxlcz48dGl0
bGU+Rml2ZeKAkHllYXIgZm9sbG93IHVwIG9mIGEgbG93IGdseWNhZW1pYyBpbmRleCBkaWV0YXJ5
IHJhbmRvbWlzZWQgY29udHJvbGxlZCB0cmlhbCBpbiBwcmVnbmFuY3nigJRubyBsb25n4oCQdGVy
bSBtYXRlcm5hbCBlZmZlY3RzIG9mIGEgZGlldGFyeSBpbnRlcnZlbnRpb248L3RpdGxlPjxzZWNv
bmRhcnktdGl0bGU+QkpPRzogQW4gSW50ZXJuYXRpb25hbCBKb3VybmFsIG9mIE9ic3RldHJpY3Mg
JmFtcDsgR3luYWVjb2xvZ3k8L3NlY29uZGFyeS10aXRsZT48L3RpdGxlcz48cGVyaW9kaWNhbD48
ZnVsbC10aXRsZT5CSk9HOiBBbiBJbnRlcm5hdGlvbmFsIEpvdXJuYWwgb2YgT2JzdGV0cmljcyAm
YW1wOyBHeW5hZWNvbG9neTwvZnVsbC10aXRsZT48L3BlcmlvZGljYWw+PHBhZ2VzPjUxNC01MjQ8
L3BhZ2VzPjx2b2x1bWU+MTI2PC92b2x1bWU+PG51bWJlcj40PC9udW1iZXI+PHNlY3Rpb24+NTE0
PC9zZWN0aW9uPjxkYXRlcz48eWVhcj4yMDE4PC95ZWFyPjwvZGF0ZXM+PGlzYm4+MTQ3MC0wMzI4
JiN4RDsxNDcxLTA1Mjg8L2lzYm4+PHVybHM+PC91cmxzPjxlbGVjdHJvbmljLXJlc291cmNlLW51
bT4xMC4xMTExLzE0NzEtMDUyOC4xNTUwMDwvZWxlY3Ryb25pYy1yZXNvdXJjZS1udW0+PC9yZWNv
cmQ+PC9DaXRlPjwvRW5kTm90ZT4A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405-407</w:t>
            </w:r>
            <w:r>
              <w:fldChar w:fldCharType="end"/>
            </w:r>
          </w:p>
          <w:p w14:paraId="33ECEED6" w14:textId="77777777" w:rsidR="0094460B" w:rsidRDefault="0094460B" w:rsidP="003E3405">
            <w:pPr>
              <w:keepNext/>
            </w:pPr>
            <w:r>
              <w:t>ROLO</w:t>
            </w:r>
          </w:p>
          <w:p w14:paraId="23935A9D" w14:textId="77777777" w:rsidR="0094460B" w:rsidRPr="0069748F" w:rsidRDefault="0094460B" w:rsidP="003E3405">
            <w:pPr>
              <w:keepNext/>
            </w:pPr>
            <w:r>
              <w:t>Ireland</w:t>
            </w:r>
          </w:p>
        </w:tc>
        <w:tc>
          <w:tcPr>
            <w:tcW w:w="1701" w:type="dxa"/>
          </w:tcPr>
          <w:p w14:paraId="67080ED3" w14:textId="77777777" w:rsidR="0094460B" w:rsidRDefault="0094460B" w:rsidP="00746866">
            <w:pPr>
              <w:keepNext/>
            </w:pPr>
            <w:r>
              <w:t>Intervention 372</w:t>
            </w:r>
          </w:p>
          <w:p w14:paraId="3B2DB408" w14:textId="77777777" w:rsidR="0094460B" w:rsidRPr="0069748F" w:rsidRDefault="0094460B" w:rsidP="00746866">
            <w:pPr>
              <w:keepNext/>
            </w:pPr>
            <w:r>
              <w:t>Control 387</w:t>
            </w:r>
          </w:p>
        </w:tc>
        <w:tc>
          <w:tcPr>
            <w:tcW w:w="5393" w:type="dxa"/>
          </w:tcPr>
          <w:p w14:paraId="636068A7" w14:textId="77777777" w:rsidR="0094460B" w:rsidRDefault="0094460B" w:rsidP="00746866">
            <w:pPr>
              <w:keepNext/>
            </w:pPr>
            <w:r w:rsidRPr="00B85701">
              <w:rPr>
                <w:b/>
              </w:rPr>
              <w:t>Aim</w:t>
            </w:r>
            <w:r>
              <w:t xml:space="preserve">: </w:t>
            </w:r>
            <w:r w:rsidRPr="003D68EA">
              <w:t> To determine if a low glycaemic index diet in pregnancy could reduce the i</w:t>
            </w:r>
            <w:r>
              <w:t>ncidence of macrosomia in an at-</w:t>
            </w:r>
            <w:r w:rsidRPr="003D68EA">
              <w:t>risk group.</w:t>
            </w:r>
          </w:p>
          <w:p w14:paraId="049BAF08" w14:textId="2BA15A94" w:rsidR="0094460B" w:rsidRDefault="0094460B" w:rsidP="00746866">
            <w:pPr>
              <w:keepNext/>
            </w:pPr>
            <w:r w:rsidRPr="00B85701">
              <w:rPr>
                <w:b/>
              </w:rPr>
              <w:t>Population</w:t>
            </w:r>
            <w:r>
              <w:t xml:space="preserve">: </w:t>
            </w:r>
            <w:r w:rsidR="001048CC">
              <w:t>W</w:t>
            </w:r>
            <w:r w:rsidRPr="00362C86">
              <w:t>omen without diabetes</w:t>
            </w:r>
            <w:r>
              <w:t>, all in their second pregnancy</w:t>
            </w:r>
            <w:r w:rsidRPr="00362C86">
              <w:t xml:space="preserve">, having previously </w:t>
            </w:r>
            <w:r w:rsidR="001048CC">
              <w:t>had</w:t>
            </w:r>
            <w:r w:rsidRPr="00362C86">
              <w:t xml:space="preserve"> an infant weighing greater than 4</w:t>
            </w:r>
            <w:r>
              <w:t> </w:t>
            </w:r>
            <w:r w:rsidRPr="00362C86">
              <w:t>kg.</w:t>
            </w:r>
          </w:p>
          <w:p w14:paraId="1C5FD16F" w14:textId="77777777" w:rsidR="0094460B" w:rsidRPr="00BD18F7" w:rsidRDefault="0094460B" w:rsidP="00BD18F7">
            <w:r w:rsidRPr="00B85701">
              <w:rPr>
                <w:b/>
              </w:rPr>
              <w:t>Intervention</w:t>
            </w:r>
            <w:r>
              <w:t>: A</w:t>
            </w:r>
            <w:r w:rsidRPr="00362C86">
              <w:t> low glycaemic index diet from early pregnancy.</w:t>
            </w:r>
            <w:r>
              <w:t xml:space="preserve"> </w:t>
            </w:r>
            <w:r w:rsidRPr="00BD18F7">
              <w:t>The dietary intervention involved a single</w:t>
            </w:r>
            <w:r>
              <w:t xml:space="preserve"> </w:t>
            </w:r>
            <w:r>
              <w:br/>
            </w:r>
            <w:r w:rsidRPr="00BD18F7">
              <w:t>1–2 h session with a fully trained dietician for groups of 2–6 women. Verbal and written information</w:t>
            </w:r>
            <w:r>
              <w:t xml:space="preserve"> </w:t>
            </w:r>
            <w:r w:rsidRPr="00BD18F7">
              <w:t>and advice was given on overall healthy eating and low GI diet.</w:t>
            </w:r>
          </w:p>
        </w:tc>
        <w:tc>
          <w:tcPr>
            <w:tcW w:w="5664" w:type="dxa"/>
          </w:tcPr>
          <w:p w14:paraId="22F257C8" w14:textId="77777777" w:rsidR="0094460B" w:rsidRDefault="0094460B" w:rsidP="00746866">
            <w:pPr>
              <w:keepNext/>
            </w:pPr>
            <w:r>
              <w:t>Intervention vs control:</w:t>
            </w:r>
          </w:p>
          <w:p w14:paraId="461E5FEF" w14:textId="77777777" w:rsidR="0094460B" w:rsidRDefault="0094460B" w:rsidP="00BD18F7">
            <w:pPr>
              <w:pStyle w:val="bullet"/>
            </w:pPr>
            <w:r>
              <w:t>Gestational weight gain: 12.2±4.4 (n=372) vs 13.7±4.9 (n=387)</w:t>
            </w:r>
          </w:p>
          <w:p w14:paraId="16532A38" w14:textId="77777777" w:rsidR="0094460B" w:rsidRDefault="0094460B" w:rsidP="00BD18F7">
            <w:pPr>
              <w:pStyle w:val="bullet"/>
            </w:pPr>
            <w:r>
              <w:t>Gestational diabetes: 12/350 vs 18/371</w:t>
            </w:r>
          </w:p>
          <w:p w14:paraId="0F876A62" w14:textId="77777777" w:rsidR="0094460B" w:rsidRDefault="0094460B" w:rsidP="00BD18F7">
            <w:pPr>
              <w:pStyle w:val="bullet"/>
            </w:pPr>
            <w:r>
              <w:t>Caesarean section: 66/373 vs 85/387</w:t>
            </w:r>
          </w:p>
          <w:p w14:paraId="5908E261" w14:textId="77777777" w:rsidR="0094460B" w:rsidRDefault="0094460B" w:rsidP="00BD18F7">
            <w:pPr>
              <w:pStyle w:val="bullet"/>
            </w:pPr>
            <w:r>
              <w:t>Postnatal weight retention at 3 months: -14.25±5.52 (n=88) vs -13.9±4.23 (n=77)</w:t>
            </w:r>
          </w:p>
          <w:p w14:paraId="2ED14AA4" w14:textId="39A91BB3" w:rsidR="00311480" w:rsidRDefault="00311480" w:rsidP="00BD18F7">
            <w:pPr>
              <w:pStyle w:val="bullet"/>
            </w:pPr>
            <w:r>
              <w:t>Postnatal weight retention at 5 years</w:t>
            </w:r>
            <w:r w:rsidR="00121ADA">
              <w:t>: -0.09±6.18 (n=185) vs 0.10±5.94 (n=181)</w:t>
            </w:r>
          </w:p>
          <w:p w14:paraId="44E18698" w14:textId="77777777" w:rsidR="0094460B" w:rsidRDefault="0094460B" w:rsidP="00BD18F7">
            <w:pPr>
              <w:pStyle w:val="bullet"/>
            </w:pPr>
            <w:r>
              <w:t>Preterm birth: 3/372 vs 8/387</w:t>
            </w:r>
          </w:p>
          <w:p w14:paraId="1AF54984" w14:textId="77777777" w:rsidR="0094460B" w:rsidRDefault="0094460B" w:rsidP="004B708A">
            <w:pPr>
              <w:pStyle w:val="bullet"/>
            </w:pPr>
            <w:r>
              <w:t>Macrosomia &gt;4000 g: 189/372 vs 199/387</w:t>
            </w:r>
          </w:p>
          <w:p w14:paraId="4F120DB1" w14:textId="77777777" w:rsidR="0094460B" w:rsidRPr="0069748F" w:rsidRDefault="0094460B" w:rsidP="004B708A">
            <w:pPr>
              <w:pStyle w:val="bullet"/>
            </w:pPr>
            <w:r>
              <w:t>Childhood weight at 3 months: 6.99±4.36 (n=211) vs 6.76±0.98 (n=211)</w:t>
            </w:r>
          </w:p>
        </w:tc>
      </w:tr>
      <w:tr w:rsidR="0094460B" w:rsidRPr="0069748F" w14:paraId="4D0BC769" w14:textId="77777777" w:rsidTr="00BD18F7">
        <w:trPr>
          <w:cantSplit/>
        </w:trPr>
        <w:tc>
          <w:tcPr>
            <w:tcW w:w="1418" w:type="dxa"/>
          </w:tcPr>
          <w:p w14:paraId="59F5521B" w14:textId="71F02E21" w:rsidR="0094460B" w:rsidRDefault="0094460B" w:rsidP="00767EBF">
            <w:pPr>
              <w:keepNext/>
            </w:pPr>
            <w:r>
              <w:t>Wolff et al 2008</w:t>
            </w:r>
            <w:r>
              <w:fldChar w:fldCharType="begin"/>
            </w:r>
            <w:r w:rsidR="002747EA">
              <w:instrText xml:space="preserve"> ADDIN EN.CITE &lt;EndNote&gt;&lt;Cite&gt;&lt;Author&gt;Wolff&lt;/Author&gt;&lt;Year&gt;2008&lt;/Year&gt;&lt;RecNum&gt;1146&lt;/RecNum&gt;&lt;DisplayText&gt;&lt;style face="superscript" font="Trebuchet MS" size="9"&gt;404&lt;/style&gt;&lt;/DisplayText&gt;&lt;record&gt;&lt;rec-number&gt;1146&lt;/rec-number&gt;&lt;foreign-keys&gt;&lt;key app="EN" db-id="exvasrfx2dtraoesasxp2szsxa2df502592x" timestamp="1555476895"&gt;1146&lt;/key&gt;&lt;/foreign-keys&gt;&lt;ref-type name="Journal Article"&gt;17&lt;/ref-type&gt;&lt;contributors&gt;&lt;authors&gt;&lt;author&gt;Wolff, S.&lt;/author&gt;&lt;author&gt;Legarth, J.&lt;/author&gt;&lt;author&gt;Vangsgaard, K.&lt;/author&gt;&lt;author&gt;Toubro, S.&lt;/author&gt;&lt;author&gt;Astrup, A.&lt;/author&gt;&lt;/authors&gt;&lt;/contributors&gt;&lt;auth-address&gt;Department of Human Nutrition, Faculty of Life Science, Copenhagen University, Copenhagen, Denmark. swo@sst.dk&lt;/auth-address&gt;&lt;titles&gt;&lt;title&gt;A randomized trial of the effects of dietary counseling on gestational weight gain and glucose metabolism in obese pregnant women&lt;/title&gt;&lt;secondary-title&gt;Int J Obes (Lond)&lt;/secondary-title&gt;&lt;/titles&gt;&lt;periodical&gt;&lt;full-title&gt;Int J Obes (Lond)&lt;/full-title&gt;&lt;/periodical&gt;&lt;pages&gt;495-501&lt;/pages&gt;&lt;volume&gt;32&lt;/volume&gt;&lt;number&gt;3&lt;/number&gt;&lt;edition&gt;2008/01/30&lt;/edition&gt;&lt;keywords&gt;&lt;keyword&gt;Adult&lt;/keyword&gt;&lt;keyword&gt;Blood Glucose/*metabolism&lt;/keyword&gt;&lt;keyword&gt;Body Mass Index&lt;/keyword&gt;&lt;keyword&gt;Counseling/*methods&lt;/keyword&gt;&lt;keyword&gt;*Diet&lt;/keyword&gt;&lt;keyword&gt;Diet Records&lt;/keyword&gt;&lt;keyword&gt;Energy Intake/physiology&lt;/keyword&gt;&lt;keyword&gt;Female&lt;/keyword&gt;&lt;keyword&gt;Glucose Tolerance Test&lt;/keyword&gt;&lt;keyword&gt;Humans&lt;/keyword&gt;&lt;keyword&gt;Insulin/metabolism&lt;/keyword&gt;&lt;keyword&gt;Leptin/metabolism&lt;/keyword&gt;&lt;keyword&gt;Obesity/*diet therapy/metabolism&lt;/keyword&gt;&lt;keyword&gt;Pregnancy&lt;/keyword&gt;&lt;keyword&gt;*Weight Gain&lt;/keyword&gt;&lt;/keywords&gt;&lt;dates&gt;&lt;year&gt;2008&lt;/year&gt;&lt;pub-dates&gt;&lt;date&gt;Mar&lt;/date&gt;&lt;/pub-dates&gt;&lt;/dates&gt;&lt;isbn&gt;1476-5497 (Electronic)&amp;#xD;0307-0565 (Linking)&lt;/isbn&gt;&lt;accession-num&gt;18227847&lt;/accession-num&gt;&lt;urls&gt;&lt;related-urls&gt;&lt;url&gt;https://www.ncbi.nlm.nih.gov/pubmed/18227847&lt;/url&gt;&lt;/related-urls&gt;&lt;/urls&gt;&lt;electronic-resource-num&gt;10.1038/sj.ijo.0803710&lt;/electronic-resource-num&gt;&lt;/record&gt;&lt;/Cite&gt;&lt;/EndNote&gt;</w:instrText>
            </w:r>
            <w:r>
              <w:fldChar w:fldCharType="separate"/>
            </w:r>
            <w:r w:rsidR="002747EA" w:rsidRPr="002747EA">
              <w:rPr>
                <w:noProof/>
                <w:vertAlign w:val="superscript"/>
              </w:rPr>
              <w:t>404</w:t>
            </w:r>
            <w:r>
              <w:fldChar w:fldCharType="end"/>
            </w:r>
          </w:p>
          <w:p w14:paraId="6C094FE3" w14:textId="335BC3A8" w:rsidR="008A3574" w:rsidRPr="0069748F" w:rsidRDefault="008A3574" w:rsidP="00767EBF">
            <w:pPr>
              <w:keepNext/>
            </w:pPr>
            <w:r>
              <w:t>Denmark</w:t>
            </w:r>
          </w:p>
        </w:tc>
        <w:tc>
          <w:tcPr>
            <w:tcW w:w="1701" w:type="dxa"/>
          </w:tcPr>
          <w:p w14:paraId="3C4AA1A4" w14:textId="77777777" w:rsidR="0094460B" w:rsidRDefault="0094460B" w:rsidP="00746866">
            <w:pPr>
              <w:keepNext/>
            </w:pPr>
            <w:r>
              <w:t>Intervention 23</w:t>
            </w:r>
          </w:p>
          <w:p w14:paraId="1627E9D2" w14:textId="77777777" w:rsidR="0094460B" w:rsidRPr="0069748F" w:rsidRDefault="0094460B" w:rsidP="00746866">
            <w:pPr>
              <w:keepNext/>
            </w:pPr>
            <w:r>
              <w:t>Control 30</w:t>
            </w:r>
          </w:p>
        </w:tc>
        <w:tc>
          <w:tcPr>
            <w:tcW w:w="5393" w:type="dxa"/>
          </w:tcPr>
          <w:p w14:paraId="1441DD95" w14:textId="77777777" w:rsidR="0094460B" w:rsidRDefault="0094460B" w:rsidP="00FC4E3A">
            <w:r w:rsidRPr="00FC4E3A">
              <w:rPr>
                <w:b/>
              </w:rPr>
              <w:t>Aim</w:t>
            </w:r>
            <w:r>
              <w:t xml:space="preserve">: To determine whether </w:t>
            </w:r>
            <w:r w:rsidRPr="00FC4E3A">
              <w:t xml:space="preserve">gestational weight gain in obese women </w:t>
            </w:r>
            <w:r>
              <w:t xml:space="preserve">can </w:t>
            </w:r>
            <w:r w:rsidRPr="00FC4E3A">
              <w:t xml:space="preserve">be restricted by 10-h dietary consultations and </w:t>
            </w:r>
            <w:r>
              <w:t>whether</w:t>
            </w:r>
            <w:r w:rsidRPr="00FC4E3A">
              <w:t xml:space="preserve"> this restriction </w:t>
            </w:r>
            <w:r>
              <w:t>affects</w:t>
            </w:r>
            <w:r w:rsidRPr="00FC4E3A">
              <w:t xml:space="preserve"> the pregnancy-induced changes in glucose metabolism</w:t>
            </w:r>
            <w:r>
              <w:t>.</w:t>
            </w:r>
          </w:p>
          <w:p w14:paraId="3DDE4AC3" w14:textId="77777777" w:rsidR="0094460B" w:rsidRDefault="0094460B" w:rsidP="00746866">
            <w:pPr>
              <w:keepNext/>
            </w:pPr>
            <w:r w:rsidRPr="00FC4E3A">
              <w:rPr>
                <w:b/>
              </w:rPr>
              <w:t>Population</w:t>
            </w:r>
            <w:r>
              <w:t xml:space="preserve">: </w:t>
            </w:r>
            <w:r w:rsidRPr="00362C86">
              <w:t>Caucasian pregnant women with uncomplicated pregnancy, aged 18-45 years, 12-1</w:t>
            </w:r>
            <w:r>
              <w:t>8 weeks gestation, BMI ≥30 kg/m</w:t>
            </w:r>
            <w:r w:rsidRPr="00FC4E3A">
              <w:rPr>
                <w:vertAlign w:val="superscript"/>
              </w:rPr>
              <w:t>2</w:t>
            </w:r>
            <w:r>
              <w:t>.</w:t>
            </w:r>
          </w:p>
          <w:p w14:paraId="1C15021B" w14:textId="77777777" w:rsidR="0094460B" w:rsidRPr="0069748F" w:rsidRDefault="0094460B" w:rsidP="00746866">
            <w:pPr>
              <w:keepNext/>
            </w:pPr>
            <w:r w:rsidRPr="00FC4E3A">
              <w:rPr>
                <w:b/>
              </w:rPr>
              <w:t>Intervention</w:t>
            </w:r>
            <w:r>
              <w:t xml:space="preserve">: </w:t>
            </w:r>
            <w:r w:rsidRPr="00362C86">
              <w:t>Dietary consultations (healthy diet, restriction of energy intake);10 consultations of 1 hr each with a dietician during the pregnancy.</w:t>
            </w:r>
          </w:p>
        </w:tc>
        <w:tc>
          <w:tcPr>
            <w:tcW w:w="5664" w:type="dxa"/>
          </w:tcPr>
          <w:p w14:paraId="6CFE76CF" w14:textId="77777777" w:rsidR="0094460B" w:rsidRDefault="0094460B" w:rsidP="00746866">
            <w:pPr>
              <w:keepNext/>
            </w:pPr>
            <w:r>
              <w:t>Intervention vs control:</w:t>
            </w:r>
          </w:p>
          <w:p w14:paraId="7920DB75" w14:textId="77777777" w:rsidR="0094460B" w:rsidRDefault="0094460B" w:rsidP="00DE2BAF">
            <w:pPr>
              <w:pStyle w:val="bullet"/>
            </w:pPr>
            <w:r>
              <w:t>Gestational weight gain: 6.6±5.5 (n=23) vs 13.3±7.5 (n=27)</w:t>
            </w:r>
          </w:p>
          <w:p w14:paraId="7C9005DF" w14:textId="77777777" w:rsidR="0094460B" w:rsidRDefault="0094460B" w:rsidP="00DE2BAF">
            <w:pPr>
              <w:pStyle w:val="bullet"/>
            </w:pPr>
            <w:r>
              <w:t>Gestational diabetes: 0/23 vs 3/30</w:t>
            </w:r>
          </w:p>
          <w:p w14:paraId="3C3E2B48" w14:textId="77777777" w:rsidR="0094460B" w:rsidRDefault="0094460B" w:rsidP="00DE2BAF">
            <w:pPr>
              <w:pStyle w:val="bullet"/>
            </w:pPr>
            <w:r>
              <w:t>Gestational hypertension: 1/23 vs 4/27</w:t>
            </w:r>
          </w:p>
          <w:p w14:paraId="380F38F5" w14:textId="77777777" w:rsidR="0094460B" w:rsidRDefault="0094460B" w:rsidP="00DE2BAF">
            <w:pPr>
              <w:pStyle w:val="bullet"/>
            </w:pPr>
            <w:r>
              <w:t>Pre-eclampsia: 0/23 vs 1/27</w:t>
            </w:r>
          </w:p>
          <w:p w14:paraId="3B08D3A4" w14:textId="77777777" w:rsidR="0094460B" w:rsidRDefault="0094460B" w:rsidP="00DE2BAF">
            <w:pPr>
              <w:pStyle w:val="bullet"/>
            </w:pPr>
            <w:r>
              <w:t>Caesarean section: 2/23 vs 3/27</w:t>
            </w:r>
          </w:p>
          <w:p w14:paraId="5CABFCBD" w14:textId="77777777" w:rsidR="0094460B" w:rsidRPr="00FD5F38" w:rsidRDefault="0094460B" w:rsidP="00FD5F38">
            <w:pPr>
              <w:pStyle w:val="bullet"/>
            </w:pPr>
            <w:r>
              <w:t>Postnatal weight retention at 4 weeks: -4.5±12.6 (n=16) vs 2.4±12.6 (n=19)</w:t>
            </w:r>
          </w:p>
        </w:tc>
      </w:tr>
    </w:tbl>
    <w:p w14:paraId="7CA01671" w14:textId="77777777" w:rsidR="0069748F" w:rsidRDefault="0069748F" w:rsidP="008364A7"/>
    <w:p w14:paraId="53D8D8AB" w14:textId="77777777" w:rsidR="00853774" w:rsidRDefault="00853774" w:rsidP="00706884">
      <w:pPr>
        <w:pStyle w:val="Heading3"/>
        <w:sectPr w:rsidR="00853774" w:rsidSect="000E26CA">
          <w:pgSz w:w="16820" w:h="11900" w:orient="landscape"/>
          <w:pgMar w:top="1418" w:right="1134" w:bottom="1418" w:left="1134" w:header="709" w:footer="709" w:gutter="0"/>
          <w:cols w:space="708"/>
          <w:docGrid w:linePitch="360"/>
        </w:sectPr>
      </w:pPr>
      <w:bookmarkStart w:id="236" w:name="_Ref528570877"/>
    </w:p>
    <w:p w14:paraId="70D2D455" w14:textId="0105287A" w:rsidR="00D424F3" w:rsidRDefault="00932C6D" w:rsidP="00932C6D">
      <w:pPr>
        <w:pStyle w:val="TableName"/>
      </w:pPr>
      <w:bookmarkStart w:id="237" w:name="_Toc40956688"/>
      <w:bookmarkEnd w:id="236"/>
      <w:r>
        <w:t xml:space="preserve">Q9 </w:t>
      </w:r>
      <w:r w:rsidR="00A866B7">
        <w:t xml:space="preserve">Outcomes associated with </w:t>
      </w:r>
      <w:r w:rsidR="00082193">
        <w:t>exercise intervention</w:t>
      </w:r>
      <w:r w:rsidR="00A866B7">
        <w:t xml:space="preserve"> versus </w:t>
      </w:r>
      <w:r w:rsidR="000E3208">
        <w:t>usual</w:t>
      </w:r>
      <w:r w:rsidR="00A866B7">
        <w:t xml:space="preserve"> care </w:t>
      </w:r>
      <w:r w:rsidR="00550074">
        <w:t>in</w:t>
      </w:r>
      <w:r w:rsidR="00A866B7">
        <w:t xml:space="preserve"> randomised controlled trial</w:t>
      </w:r>
      <w:r w:rsidR="007530B0">
        <w:t>s</w:t>
      </w:r>
      <w:bookmarkEnd w:id="237"/>
    </w:p>
    <w:tbl>
      <w:tblPr>
        <w:tblStyle w:val="TableGrid"/>
        <w:tblW w:w="14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10: Q9 Outcomes associated with exercise intervention versus usual care in randomised controlled trials"/>
      </w:tblPr>
      <w:tblGrid>
        <w:gridCol w:w="1305"/>
        <w:gridCol w:w="1670"/>
        <w:gridCol w:w="5395"/>
        <w:gridCol w:w="5953"/>
      </w:tblGrid>
      <w:tr w:rsidR="000A1756" w:rsidRPr="00B32896" w14:paraId="67CBBCB6" w14:textId="77777777" w:rsidTr="000A1756">
        <w:trPr>
          <w:cantSplit/>
          <w:tblHeader/>
        </w:trPr>
        <w:tc>
          <w:tcPr>
            <w:tcW w:w="1305" w:type="dxa"/>
            <w:tcBorders>
              <w:bottom w:val="single" w:sz="4" w:space="0" w:color="3B3474"/>
            </w:tcBorders>
          </w:tcPr>
          <w:p w14:paraId="6328A7D4" w14:textId="77777777" w:rsidR="000A1756" w:rsidRPr="00B32896" w:rsidRDefault="000A1756" w:rsidP="00806DF5">
            <w:pPr>
              <w:rPr>
                <w:b/>
              </w:rPr>
            </w:pPr>
            <w:r w:rsidRPr="00B32896">
              <w:rPr>
                <w:b/>
              </w:rPr>
              <w:t>Study ref</w:t>
            </w:r>
          </w:p>
        </w:tc>
        <w:tc>
          <w:tcPr>
            <w:tcW w:w="1670" w:type="dxa"/>
            <w:tcBorders>
              <w:bottom w:val="single" w:sz="4" w:space="0" w:color="3B3474"/>
            </w:tcBorders>
          </w:tcPr>
          <w:p w14:paraId="29BB6009" w14:textId="77777777" w:rsidR="000A1756" w:rsidRPr="00B32896" w:rsidRDefault="000A1756" w:rsidP="000A17EC">
            <w:pPr>
              <w:keepNext/>
              <w:rPr>
                <w:b/>
              </w:rPr>
            </w:pPr>
            <w:r w:rsidRPr="00B32896">
              <w:rPr>
                <w:b/>
              </w:rPr>
              <w:t>N</w:t>
            </w:r>
          </w:p>
        </w:tc>
        <w:tc>
          <w:tcPr>
            <w:tcW w:w="5395" w:type="dxa"/>
            <w:tcBorders>
              <w:bottom w:val="single" w:sz="4" w:space="0" w:color="3B3474"/>
            </w:tcBorders>
          </w:tcPr>
          <w:p w14:paraId="146001F4" w14:textId="248B4ED0" w:rsidR="000A1756" w:rsidRPr="00B32896" w:rsidRDefault="000A1756" w:rsidP="00361717">
            <w:pPr>
              <w:keepNext/>
              <w:rPr>
                <w:b/>
              </w:rPr>
            </w:pPr>
            <w:r w:rsidRPr="00B32896">
              <w:rPr>
                <w:b/>
              </w:rPr>
              <w:t>Aim/population/intervention</w:t>
            </w:r>
          </w:p>
        </w:tc>
        <w:tc>
          <w:tcPr>
            <w:tcW w:w="5953" w:type="dxa"/>
            <w:tcBorders>
              <w:bottom w:val="single" w:sz="4" w:space="0" w:color="3B3474"/>
            </w:tcBorders>
          </w:tcPr>
          <w:p w14:paraId="4237A876" w14:textId="5171F271" w:rsidR="000A1756" w:rsidRPr="00B32896" w:rsidRDefault="000A1756" w:rsidP="000A17EC">
            <w:pPr>
              <w:keepNext/>
              <w:rPr>
                <w:b/>
              </w:rPr>
            </w:pPr>
            <w:r w:rsidRPr="00B32896">
              <w:rPr>
                <w:b/>
              </w:rPr>
              <w:t>Outcomes</w:t>
            </w:r>
          </w:p>
        </w:tc>
      </w:tr>
      <w:tr w:rsidR="00A31CA7" w:rsidRPr="00A652CB" w14:paraId="3BEC6F8A"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4919EBE" w14:textId="5E5AED69" w:rsidR="00A31CA7" w:rsidRDefault="00361717" w:rsidP="00E70A06">
            <w:pPr>
              <w:rPr>
                <w:noProof/>
              </w:rPr>
            </w:pPr>
            <w:r>
              <w:rPr>
                <w:noProof/>
              </w:rPr>
              <w:t>Ag</w:t>
            </w:r>
            <w:r w:rsidR="00A31CA7">
              <w:rPr>
                <w:noProof/>
              </w:rPr>
              <w:t xml:space="preserve">uilar-Condero et al </w:t>
            </w:r>
            <w:r w:rsidR="005F4B71">
              <w:rPr>
                <w:noProof/>
              </w:rPr>
              <w:t>2018</w:t>
            </w:r>
            <w:r w:rsidR="00D07346">
              <w:rPr>
                <w:noProof/>
              </w:rPr>
              <w:fldChar w:fldCharType="begin"/>
            </w:r>
            <w:r w:rsidR="002747EA">
              <w:rPr>
                <w:noProof/>
              </w:rPr>
              <w:instrText xml:space="preserve"> ADDIN EN.CITE &lt;EndNote&gt;&lt;Cite&gt;&lt;Author&gt;Aguilar-Cordero&lt;/Author&gt;&lt;Year&gt;2019&lt;/Year&gt;&lt;RecNum&gt;1917&lt;/RecNum&gt;&lt;DisplayText&gt;&lt;style face="superscript" font="Trebuchet MS" size="9"&gt;447&lt;/style&gt;&lt;/DisplayText&gt;&lt;record&gt;&lt;rec-number&gt;1917&lt;/rec-number&gt;&lt;foreign-keys&gt;&lt;key app="EN" db-id="exvasrfx2dtraoesasxp2szsxa2df502592x" timestamp="1588481006"&gt;1917&lt;/key&gt;&lt;/foreign-keys&gt;&lt;ref-type name="Journal Article"&gt;17&lt;/ref-type&gt;&lt;contributors&gt;&lt;authors&gt;&lt;author&gt;Aguilar-Cordero, M. J.&lt;/author&gt;&lt;author&gt;Sanchez-Garcia, J. C.&lt;/author&gt;&lt;author&gt;Rodriguez-Blanque, R.&lt;/author&gt;&lt;author&gt;Sanchez-Lopez, A. M.&lt;/author&gt;&lt;author&gt;Mur-Villar, N.&lt;/author&gt;&lt;/authors&gt;&lt;/contributors&gt;&lt;auth-address&gt;1 Maria Jose Aguilar-Cordero, PhD, University of Granada, San Cecilio Clinical Hospital, Granada, Spain.&amp;#xD;2 Juan Carlos Sanchez-Garcia, PhD, University of Granada, Granada, Spain.&amp;#xD;3 Raquel Rodriguez-Blanque, PhD, University of Granada, Granada, Spain.&amp;#xD;4 Antonio Manuel Sanchez-Lopez, PhD, University of Granada, Granada, Spain.&amp;#xD;5 Norma Mur-Villar, PhD, University of Granada, Granada, Spain; Cienfuegos School of Medical Sciences, Cienfuegos, Cuba.&lt;/auth-address&gt;&lt;titles&gt;&lt;title&gt;Moderate physical activity in an aquatic environment during pregnancy (SWEP Study) and its influence in preventing postpartum depression&lt;/title&gt;&lt;secondary-title&gt;J Am Psychiatr Nurses Assoc&lt;/secondary-title&gt;&lt;/titles&gt;&lt;periodical&gt;&lt;full-title&gt;J Am Psychiatr Nurses Assoc&lt;/full-title&gt;&lt;/periodical&gt;&lt;pages&gt;112-121&lt;/pages&gt;&lt;volume&gt;25&lt;/volume&gt;&lt;number&gt;2&lt;/number&gt;&lt;edition&gt;2018/03/02&lt;/edition&gt;&lt;keywords&gt;&lt;keyword&gt;*body mass index&lt;/keyword&gt;&lt;keyword&gt;*physical activity&lt;/keyword&gt;&lt;keyword&gt;*postpartum depression&lt;/keyword&gt;&lt;keyword&gt;*pregnancy&lt;/keyword&gt;&lt;/keywords&gt;&lt;dates&gt;&lt;year&gt;2019&lt;/year&gt;&lt;pub-dates&gt;&lt;date&gt;Mar/Apr&lt;/date&gt;&lt;/pub-dates&gt;&lt;/dates&gt;&lt;isbn&gt;1532-5725 (Electronic)&amp;#xD;1078-3903 (Linking)&lt;/isbn&gt;&lt;accession-num&gt;29490560&lt;/accession-num&gt;&lt;urls&gt;&lt;related-urls&gt;&lt;url&gt;https://www.ncbi.nlm.nih.gov/pubmed/29490560&lt;/url&gt;&lt;/related-urls&gt;&lt;/urls&gt;&lt;electronic-resource-num&gt;10.1177/1078390317753675&lt;/electronic-resource-num&gt;&lt;/record&gt;&lt;/Cite&gt;&lt;/EndNote&gt;</w:instrText>
            </w:r>
            <w:r w:rsidR="00D07346">
              <w:rPr>
                <w:noProof/>
              </w:rPr>
              <w:fldChar w:fldCharType="separate"/>
            </w:r>
            <w:r w:rsidR="002747EA" w:rsidRPr="002747EA">
              <w:rPr>
                <w:noProof/>
                <w:vertAlign w:val="superscript"/>
              </w:rPr>
              <w:t>447</w:t>
            </w:r>
            <w:r w:rsidR="00D07346">
              <w:rPr>
                <w:noProof/>
              </w:rPr>
              <w:fldChar w:fldCharType="end"/>
            </w:r>
          </w:p>
          <w:p w14:paraId="4EB09FD3" w14:textId="77777777" w:rsidR="005F4B71" w:rsidRDefault="00703538" w:rsidP="00E70A06">
            <w:pPr>
              <w:rPr>
                <w:noProof/>
              </w:rPr>
            </w:pPr>
            <w:r>
              <w:rPr>
                <w:noProof/>
              </w:rPr>
              <w:t>Spain</w:t>
            </w:r>
          </w:p>
          <w:p w14:paraId="0028AE9B" w14:textId="072CE26E" w:rsidR="00703538" w:rsidRPr="00C12274" w:rsidRDefault="00703538" w:rsidP="00E70A06">
            <w:pPr>
              <w:rPr>
                <w:noProof/>
              </w:rPr>
            </w:pPr>
            <w:r>
              <w:rPr>
                <w:noProof/>
              </w:rPr>
              <w:t>SWEP</w:t>
            </w:r>
          </w:p>
        </w:tc>
        <w:tc>
          <w:tcPr>
            <w:tcW w:w="1670" w:type="dxa"/>
            <w:tcBorders>
              <w:left w:val="single" w:sz="4" w:space="0" w:color="3B3474"/>
              <w:right w:val="single" w:sz="4" w:space="0" w:color="3B3474"/>
            </w:tcBorders>
          </w:tcPr>
          <w:p w14:paraId="5779AEB3" w14:textId="77777777" w:rsidR="00A31CA7" w:rsidRDefault="00670A52" w:rsidP="005569D7">
            <w:r>
              <w:t xml:space="preserve">Intervention </w:t>
            </w:r>
            <w:r w:rsidR="006F2E31">
              <w:t>65</w:t>
            </w:r>
          </w:p>
          <w:p w14:paraId="33BF2A61" w14:textId="57F2E8D4" w:rsidR="006F2E31" w:rsidRDefault="006F2E31" w:rsidP="005569D7">
            <w:r>
              <w:t>Control 64</w:t>
            </w:r>
          </w:p>
        </w:tc>
        <w:tc>
          <w:tcPr>
            <w:tcW w:w="5395" w:type="dxa"/>
            <w:tcBorders>
              <w:left w:val="single" w:sz="4" w:space="0" w:color="3B3474"/>
              <w:right w:val="single" w:sz="4" w:space="0" w:color="3B3474"/>
            </w:tcBorders>
          </w:tcPr>
          <w:p w14:paraId="087A2276" w14:textId="2FB34407" w:rsidR="00361717" w:rsidRDefault="00361717" w:rsidP="00361717">
            <w:r w:rsidRPr="0030223E">
              <w:rPr>
                <w:b/>
              </w:rPr>
              <w:t>Aim</w:t>
            </w:r>
            <w:r>
              <w:t xml:space="preserve">: </w:t>
            </w:r>
            <w:r w:rsidRPr="00361717">
              <w:t xml:space="preserve">To determine whether physical activity during pregnancy alleviates </w:t>
            </w:r>
            <w:r w:rsidR="00100B37">
              <w:t>postnatal depression</w:t>
            </w:r>
            <w:r w:rsidRPr="00361717">
              <w:t xml:space="preserve">. </w:t>
            </w:r>
          </w:p>
          <w:p w14:paraId="292FA7D3" w14:textId="42544B18" w:rsidR="00361717" w:rsidRDefault="00361717" w:rsidP="00361717">
            <w:r w:rsidRPr="0030223E">
              <w:rPr>
                <w:b/>
              </w:rPr>
              <w:t>Population</w:t>
            </w:r>
            <w:r>
              <w:t>:</w:t>
            </w:r>
            <w:r w:rsidR="00156BAD">
              <w:t xml:space="preserve"> </w:t>
            </w:r>
            <w:r w:rsidR="00932ECA">
              <w:t>W</w:t>
            </w:r>
            <w:r w:rsidR="00932ECA" w:rsidRPr="00E61516">
              <w:t xml:space="preserve">omen </w:t>
            </w:r>
            <w:r w:rsidR="00932ECA">
              <w:t>with</w:t>
            </w:r>
            <w:r w:rsidR="00932ECA" w:rsidRPr="00E61516">
              <w:t xml:space="preserve"> uncomplicated and singleton pregnancies</w:t>
            </w:r>
            <w:r w:rsidR="00932ECA">
              <w:t xml:space="preserve"> and no contraindications to physical activity at 12 to 20 weeks</w:t>
            </w:r>
            <w:r w:rsidR="00932ECA" w:rsidRPr="00E61516">
              <w:t xml:space="preserve">. </w:t>
            </w:r>
            <w:r w:rsidR="00932ECA">
              <w:t>Mixed BMIs.</w:t>
            </w:r>
          </w:p>
          <w:p w14:paraId="3F6364AA" w14:textId="77777777" w:rsidR="00156BAD" w:rsidRDefault="00156BAD" w:rsidP="00361717">
            <w:r w:rsidRPr="0030223E">
              <w:rPr>
                <w:b/>
              </w:rPr>
              <w:t>Intervention</w:t>
            </w:r>
            <w:r w:rsidR="00361717" w:rsidRPr="00361717">
              <w:t xml:space="preserve">: </w:t>
            </w:r>
          </w:p>
          <w:p w14:paraId="67E0E58A" w14:textId="36D1AD36" w:rsidR="00156BAD" w:rsidRDefault="00156BAD" w:rsidP="0030223E">
            <w:pPr>
              <w:pStyle w:val="bullet"/>
            </w:pPr>
            <w:r w:rsidRPr="0030223E">
              <w:rPr>
                <w:i/>
              </w:rPr>
              <w:t>Supervised</w:t>
            </w:r>
            <w:r>
              <w:t>:</w:t>
            </w:r>
            <w:r w:rsidR="00932ECA">
              <w:t xml:space="preserve"> Yes</w:t>
            </w:r>
          </w:p>
          <w:p w14:paraId="67D1EECD" w14:textId="65C8A678" w:rsidR="00156BAD" w:rsidRPr="00CD562F" w:rsidRDefault="00156BAD" w:rsidP="0030223E">
            <w:pPr>
              <w:pStyle w:val="bullet"/>
            </w:pPr>
            <w:r w:rsidRPr="0030223E">
              <w:rPr>
                <w:i/>
              </w:rPr>
              <w:t>Type and duration</w:t>
            </w:r>
            <w:r>
              <w:t>:</w:t>
            </w:r>
            <w:r w:rsidR="00707743" w:rsidRPr="00361717">
              <w:t xml:space="preserve"> </w:t>
            </w:r>
            <w:r w:rsidR="00707743">
              <w:t>P</w:t>
            </w:r>
            <w:r w:rsidR="00707743" w:rsidRPr="00361717">
              <w:t>hysical exercise in an aquatic environment (1-hour sessions, 3 days a week)</w:t>
            </w:r>
            <w:r w:rsidR="00631680">
              <w:t xml:space="preserve"> from week 20 to week 37</w:t>
            </w:r>
            <w:r w:rsidR="00CD562F">
              <w:t xml:space="preserve">. </w:t>
            </w:r>
            <w:r w:rsidR="00CD562F" w:rsidRPr="00CD562F">
              <w:t> The sessions consisted</w:t>
            </w:r>
            <w:r w:rsidR="00CD562F">
              <w:t xml:space="preserve"> </w:t>
            </w:r>
            <w:r w:rsidR="00CD562F" w:rsidRPr="00CD562F">
              <w:t>of three phases: warm-up; the main phase, in which</w:t>
            </w:r>
            <w:r w:rsidR="00CD562F">
              <w:t xml:space="preserve"> </w:t>
            </w:r>
            <w:r w:rsidR="00CD562F" w:rsidRPr="00CD562F">
              <w:t>the activity is divided into an aerobic session followed by</w:t>
            </w:r>
            <w:r w:rsidR="00CD562F">
              <w:t xml:space="preserve"> </w:t>
            </w:r>
            <w:r w:rsidR="00CD562F" w:rsidRPr="00CD562F">
              <w:t>strength and endurance exercises; and final stretching and</w:t>
            </w:r>
            <w:r w:rsidR="00CD562F">
              <w:t xml:space="preserve"> </w:t>
            </w:r>
            <w:r w:rsidR="00CD562F" w:rsidRPr="00CD562F">
              <w:t>relaxation.</w:t>
            </w:r>
          </w:p>
          <w:p w14:paraId="47C99C50" w14:textId="0A04D19C" w:rsidR="00A31CA7" w:rsidRPr="0030223E" w:rsidRDefault="00156BAD" w:rsidP="0030223E">
            <w:pPr>
              <w:pStyle w:val="bullet"/>
            </w:pPr>
            <w:r w:rsidRPr="0030223E">
              <w:rPr>
                <w:i/>
              </w:rPr>
              <w:t>Intensity</w:t>
            </w:r>
            <w:r>
              <w:t>: Moderate</w:t>
            </w:r>
            <w:r w:rsidR="00100B37">
              <w:t>; Borg rating 12-14</w:t>
            </w:r>
          </w:p>
        </w:tc>
        <w:tc>
          <w:tcPr>
            <w:tcW w:w="5953" w:type="dxa"/>
            <w:tcBorders>
              <w:left w:val="single" w:sz="4" w:space="0" w:color="3B3474"/>
              <w:right w:val="single" w:sz="4" w:space="0" w:color="3B3474"/>
            </w:tcBorders>
          </w:tcPr>
          <w:p w14:paraId="1CDAF94A" w14:textId="77777777" w:rsidR="00A31CA7" w:rsidRDefault="006F2E31" w:rsidP="005569D7">
            <w:r>
              <w:t>Intervention vs control:</w:t>
            </w:r>
          </w:p>
          <w:p w14:paraId="1C7E7F75" w14:textId="12C07BB5" w:rsidR="006F2E31" w:rsidRDefault="006F2E31" w:rsidP="0030223E">
            <w:pPr>
              <w:pStyle w:val="bullet"/>
            </w:pPr>
            <w:r>
              <w:t xml:space="preserve">Risk of postnatal depression: </w:t>
            </w:r>
            <w:r w:rsidR="00361717">
              <w:t>14/65 vs 38/64</w:t>
            </w:r>
          </w:p>
        </w:tc>
      </w:tr>
      <w:tr w:rsidR="000A1756" w:rsidRPr="00A652CB" w14:paraId="378CABD2"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39A0652B" w14:textId="0783A9BA" w:rsidR="00C45716" w:rsidRPr="00C12274" w:rsidRDefault="00C45716" w:rsidP="00E70A06">
            <w:r w:rsidRPr="00C12274">
              <w:rPr>
                <w:noProof/>
              </w:rPr>
              <w:t>Bacchi et al 2018</w:t>
            </w:r>
            <w:r>
              <w:rPr>
                <w:noProof/>
              </w:rPr>
              <w:fldChar w:fldCharType="begin">
                <w:fldData xml:space="preserve">PEVuZE5vdGU+PENpdGU+PEF1dGhvcj5CYWNjaGk8L0F1dGhvcj48WWVhcj4yMDE4PC9ZZWFyPjxS
ZWNOdW0+NzEwPC9SZWNOdW0+PERpc3BsYXlUZXh0PjxzdHlsZSBmYWNlPSJzdXBlcnNjcmlwdCIg
Zm9udD0iVHJlYnVjaGV0IE1TIiBzaXplPSI5Ij40MjU8L3N0eWxlPjwvRGlzcGxheVRleHQ+PHJl
Y29yZD48cmVjLW51bWJlcj43MTA8L3JlYy1udW1iZXI+PGZvcmVpZ24ta2V5cz48a2V5IGFwcD0i
RU4iIGRiLWlkPSJleHZhc3JmeDJkdHJhb2VzYXN4cDJzenN4YTJkZjUwMjU5MngiIHRpbWVzdGFt
cD0iMTU0MTQ2MjI0NiI+NzEwPC9rZXk+PC9mb3JlaWduLWtleXM+PHJlZi10eXBlIG5hbWU9Ikpv
dXJuYWwgQXJ0aWNsZSI+MTc8L3JlZi10eXBlPjxjb250cmlidXRvcnM+PGF1dGhvcnM+PGF1dGhv
cj5CYWNjaGksIE0uPC9hdXRob3I+PGF1dGhvcj5Nb3R0b2xhLCBNLiBGLjwvYXV0aG9yPjxhdXRo
b3I+UGVyYWxlcywgTS48L2F1dGhvcj48YXV0aG9yPlJlZm95bywgSS48L2F1dGhvcj48YXV0aG9y
PkJhcmFrYXQsIFIuPC9hdXRob3I+PC9hdXRob3JzPjwvY29udHJpYnV0b3JzPjxhdXRoLWFkZHJl
c3M+MSBGYWN1bHR5IG9mIFBoeXNpY2FsIEFjdGl2aXR5IGFuZCBTcG9ydCwgRmxvcmVzIFVuaXZl
cnNpdHksIEFyZ2VudGluZS4mI3hEOzIgUi4gU2FtdWVsIE1jTGF1Z2hsaW4gRm91bmRhdGlvbi1F
eGVyY2lzZSAmYW1wOyBQcmVnbmFuY3kgTGFib3JhdG9yeSwgU2Nob29sIG9mIEtpbmVzaW9sb2d5
LCBGYWN1bHR5IG9mIEhlYWx0aCBTY2llbmNlcywgVW5pdmVyc2l0eSBvZiBXZXN0ZXJuIE9udGFy
aW8sIExvbmRvbiwgQ2FuYWRhLiYjeEQ7MyBEZXBhcnRtZW50IG9mIEFuYXRvbXkgJmFtcDsgQ2Vs
bCBCaW9sb2d5LCBTY2h1bGljaCBTY2hvb2wgb2YgTWVkaWNpbmUgJmFtcDsgRGVudGlzdHJ5LCBD
aGlsZHJlbiZhcG9zO3MgSGVhbHRoIFJlc2VhcmNoIEluc3RpdHV0ZSwgVW5pdmVyc2l0eSBvZiBX
ZXN0ZXJuIE9udGFyaW8sIExvbmRvbiwgQ2FuYWRhLiYjeEQ7NCBSZXNlYXJjaCBJbnN0aXR1dGUg
b2YgSG9zcGl0YWwgMTIgZGUgT2N0dWJyZSAoJnF1b3Q7aSsxMiZxdW90OyksIE1hZHJpZCwgU3Bh
aW4uJiN4RDs1IENhbWlsbyBKb3NlIENlbGEgVW5pdmVyc2l0eSwgTWFkcmlkLCBTcGFpbi4mI3hE
OzYgQUZJUEUgUmVzZWFyY2ggR3JvdXAsIFRlY2huaWNhbCBVbml2ZXJzaXR5IG9mIE1hZHJpZCwg
U3BhaW4uPC9hdXRoLWFkZHJlc3M+PHRpdGxlcz48dGl0bGU+QXF1YXRpYyBBY3Rpdml0aWVzIER1
cmluZyBQcmVnbmFuY3kgUHJldmVudCBFeGNlc3NpdmUgTWF0ZXJuYWwgV2VpZ2h0IEdhaW4gYW5k
IFByZXNlcnZlIEJpcnRoIFdlaWdodDogQSBSYW5kb21pemVkIENsaW5pY2FsIFRyaWFsPC90aXRs
ZT48c2Vjb25kYXJ5LXRpdGxlPkFtIEogSGVhbHRoIFByb21vdDwvc2Vjb25kYXJ5LXRpdGxlPjwv
dGl0bGVzPjxwZXJpb2RpY2FsPjxmdWxsLXRpdGxlPkFtIEogSGVhbHRoIFByb21vdDwvZnVsbC10
aXRsZT48L3BlcmlvZGljYWw+PHBhZ2VzPjcyOS03MzU8L3BhZ2VzPjx2b2x1bWU+MzI8L3ZvbHVt
ZT48bnVtYmVyPjM8L251bWJlcj48ZWRpdGlvbj4yMDE3LzAzLzExPC9lZGl0aW9uPjxrZXl3b3Jk
cz48a2V5d29yZD5hcXVhdGljIGV4ZXJjaXNlPC9rZXl3b3JkPjxrZXl3b3JkPmJpcnRoIHdlaWdo
dDwva2V5d29yZD48a2V5d29yZD5tYXRlcm5hbCB3ZWlnaHQgZ2Fpbjwva2V5d29yZD48a2V5d29y
ZD5wcmVnbmFuY3k8L2tleXdvcmQ+PC9rZXl3b3Jkcz48ZGF0ZXM+PHllYXI+MjAxODwveWVhcj48
cHViLWRhdGVzPjxkYXRlPk1hcjwvZGF0ZT48L3B1Yi1kYXRlcz48L2RhdGVzPjxpc2JuPjIxNjgt
NjYwMiAoRWxlY3Ryb25pYykmI3hEOzA4OTAtMTE3MSAoTGlua2luZyk8L2lzYm4+PGFjY2Vzc2lv
bi1udW0+MjgyNzkwODU8L2FjY2Vzc2lvbi1udW0+PHVybHM+PHJlbGF0ZWQtdXJscz48dXJsPmh0
dHBzOi8vd3d3Lm5jYmkubmxtLm5paC5nb3YvcHVibWVkLzI4Mjc5MDg1PC91cmw+PC9yZWxhdGVk
LXVybHM+PC91cmxzPjxlbGVjdHJvbmljLXJlc291cmNlLW51bT4xMC4xMTc3LzA4OTAxMTcxMTc2
OTc1MjA8L2VsZWN0cm9uaWMtcmVzb3VyY2UtbnVtPjwvcmVjb3JkPjwvQ2l0ZT48L0VuZE5vdGU+
AG==
</w:fldData>
              </w:fldChar>
            </w:r>
            <w:r w:rsidR="002747EA">
              <w:rPr>
                <w:noProof/>
              </w:rPr>
              <w:instrText xml:space="preserve"> ADDIN EN.CITE </w:instrText>
            </w:r>
            <w:r w:rsidR="002747EA">
              <w:rPr>
                <w:noProof/>
              </w:rPr>
              <w:fldChar w:fldCharType="begin">
                <w:fldData xml:space="preserve">PEVuZE5vdGU+PENpdGU+PEF1dGhvcj5CYWNjaGk8L0F1dGhvcj48WWVhcj4yMDE4PC9ZZWFyPjxS
ZWNOdW0+NzEwPC9SZWNOdW0+PERpc3BsYXlUZXh0PjxzdHlsZSBmYWNlPSJzdXBlcnNjcmlwdCIg
Zm9udD0iVHJlYnVjaGV0IE1TIiBzaXplPSI5Ij40MjU8L3N0eWxlPjwvRGlzcGxheVRleHQ+PHJl
Y29yZD48cmVjLW51bWJlcj43MTA8L3JlYy1udW1iZXI+PGZvcmVpZ24ta2V5cz48a2V5IGFwcD0i
RU4iIGRiLWlkPSJleHZhc3JmeDJkdHJhb2VzYXN4cDJzenN4YTJkZjUwMjU5MngiIHRpbWVzdGFt
cD0iMTU0MTQ2MjI0NiI+NzEwPC9rZXk+PC9mb3JlaWduLWtleXM+PHJlZi10eXBlIG5hbWU9Ikpv
dXJuYWwgQXJ0aWNsZSI+MTc8L3JlZi10eXBlPjxjb250cmlidXRvcnM+PGF1dGhvcnM+PGF1dGhv
cj5CYWNjaGksIE0uPC9hdXRob3I+PGF1dGhvcj5Nb3R0b2xhLCBNLiBGLjwvYXV0aG9yPjxhdXRo
b3I+UGVyYWxlcywgTS48L2F1dGhvcj48YXV0aG9yPlJlZm95bywgSS48L2F1dGhvcj48YXV0aG9y
PkJhcmFrYXQsIFIuPC9hdXRob3I+PC9hdXRob3JzPjwvY29udHJpYnV0b3JzPjxhdXRoLWFkZHJl
c3M+MSBGYWN1bHR5IG9mIFBoeXNpY2FsIEFjdGl2aXR5IGFuZCBTcG9ydCwgRmxvcmVzIFVuaXZl
cnNpdHksIEFyZ2VudGluZS4mI3hEOzIgUi4gU2FtdWVsIE1jTGF1Z2hsaW4gRm91bmRhdGlvbi1F
eGVyY2lzZSAmYW1wOyBQcmVnbmFuY3kgTGFib3JhdG9yeSwgU2Nob29sIG9mIEtpbmVzaW9sb2d5
LCBGYWN1bHR5IG9mIEhlYWx0aCBTY2llbmNlcywgVW5pdmVyc2l0eSBvZiBXZXN0ZXJuIE9udGFy
aW8sIExvbmRvbiwgQ2FuYWRhLiYjeEQ7MyBEZXBhcnRtZW50IG9mIEFuYXRvbXkgJmFtcDsgQ2Vs
bCBCaW9sb2d5LCBTY2h1bGljaCBTY2hvb2wgb2YgTWVkaWNpbmUgJmFtcDsgRGVudGlzdHJ5LCBD
aGlsZHJlbiZhcG9zO3MgSGVhbHRoIFJlc2VhcmNoIEluc3RpdHV0ZSwgVW5pdmVyc2l0eSBvZiBX
ZXN0ZXJuIE9udGFyaW8sIExvbmRvbiwgQ2FuYWRhLiYjeEQ7NCBSZXNlYXJjaCBJbnN0aXR1dGUg
b2YgSG9zcGl0YWwgMTIgZGUgT2N0dWJyZSAoJnF1b3Q7aSsxMiZxdW90OyksIE1hZHJpZCwgU3Bh
aW4uJiN4RDs1IENhbWlsbyBKb3NlIENlbGEgVW5pdmVyc2l0eSwgTWFkcmlkLCBTcGFpbi4mI3hE
OzYgQUZJUEUgUmVzZWFyY2ggR3JvdXAsIFRlY2huaWNhbCBVbml2ZXJzaXR5IG9mIE1hZHJpZCwg
U3BhaW4uPC9hdXRoLWFkZHJlc3M+PHRpdGxlcz48dGl0bGU+QXF1YXRpYyBBY3Rpdml0aWVzIER1
cmluZyBQcmVnbmFuY3kgUHJldmVudCBFeGNlc3NpdmUgTWF0ZXJuYWwgV2VpZ2h0IEdhaW4gYW5k
IFByZXNlcnZlIEJpcnRoIFdlaWdodDogQSBSYW5kb21pemVkIENsaW5pY2FsIFRyaWFsPC90aXRs
ZT48c2Vjb25kYXJ5LXRpdGxlPkFtIEogSGVhbHRoIFByb21vdDwvc2Vjb25kYXJ5LXRpdGxlPjwv
dGl0bGVzPjxwZXJpb2RpY2FsPjxmdWxsLXRpdGxlPkFtIEogSGVhbHRoIFByb21vdDwvZnVsbC10
aXRsZT48L3BlcmlvZGljYWw+PHBhZ2VzPjcyOS03MzU8L3BhZ2VzPjx2b2x1bWU+MzI8L3ZvbHVt
ZT48bnVtYmVyPjM8L251bWJlcj48ZWRpdGlvbj4yMDE3LzAzLzExPC9lZGl0aW9uPjxrZXl3b3Jk
cz48a2V5d29yZD5hcXVhdGljIGV4ZXJjaXNlPC9rZXl3b3JkPjxrZXl3b3JkPmJpcnRoIHdlaWdo
dDwva2V5d29yZD48a2V5d29yZD5tYXRlcm5hbCB3ZWlnaHQgZ2Fpbjwva2V5d29yZD48a2V5d29y
ZD5wcmVnbmFuY3k8L2tleXdvcmQ+PC9rZXl3b3Jkcz48ZGF0ZXM+PHllYXI+MjAxODwveWVhcj48
cHViLWRhdGVzPjxkYXRlPk1hcjwvZGF0ZT48L3B1Yi1kYXRlcz48L2RhdGVzPjxpc2JuPjIxNjgt
NjYwMiAoRWxlY3Ryb25pYykmI3hEOzA4OTAtMTE3MSAoTGlua2luZyk8L2lzYm4+PGFjY2Vzc2lv
bi1udW0+MjgyNzkwODU8L2FjY2Vzc2lvbi1udW0+PHVybHM+PHJlbGF0ZWQtdXJscz48dXJsPmh0
dHBzOi8vd3d3Lm5jYmkubmxtLm5paC5nb3YvcHVibWVkLzI4Mjc5MDg1PC91cmw+PC9yZWxhdGVk
LXVybHM+PC91cmxzPjxlbGVjdHJvbmljLXJlc291cmNlLW51bT4xMC4xMTc3LzA4OTAxMTcxMTc2
OTc1MjA8L2VsZWN0cm9uaWMtcmVzb3VyY2UtbnVtPjwvcmVjb3JkPjwvQ2l0ZT48L0VuZE5vdGU+
AG==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vertAlign w:val="superscript"/>
              </w:rPr>
              <w:t>425</w:t>
            </w:r>
            <w:r>
              <w:rPr>
                <w:noProof/>
              </w:rPr>
              <w:fldChar w:fldCharType="end"/>
            </w:r>
          </w:p>
          <w:p w14:paraId="5955E348" w14:textId="77777777" w:rsidR="00C45716" w:rsidRPr="00C12274" w:rsidRDefault="00C45716" w:rsidP="00E70A06">
            <w:r w:rsidRPr="00C12274">
              <w:t>Argentina</w:t>
            </w:r>
          </w:p>
          <w:p w14:paraId="314EF6BF" w14:textId="4EFD37FE" w:rsidR="000A1756" w:rsidRDefault="00C45716" w:rsidP="00E70A06">
            <w:r w:rsidRPr="00C12274">
              <w:t>NCT02602106</w:t>
            </w:r>
          </w:p>
        </w:tc>
        <w:tc>
          <w:tcPr>
            <w:tcW w:w="1670" w:type="dxa"/>
            <w:tcBorders>
              <w:left w:val="single" w:sz="4" w:space="0" w:color="3B3474"/>
              <w:right w:val="single" w:sz="4" w:space="0" w:color="3B3474"/>
            </w:tcBorders>
          </w:tcPr>
          <w:p w14:paraId="6B6A5193" w14:textId="1EAF5399" w:rsidR="000A1756" w:rsidRDefault="000A1756" w:rsidP="005569D7">
            <w:r>
              <w:t xml:space="preserve">Intervention: </w:t>
            </w:r>
            <w:r w:rsidR="00791653">
              <w:t>49</w:t>
            </w:r>
          </w:p>
          <w:p w14:paraId="3D5CCDA3" w14:textId="38FA94E9" w:rsidR="000A1756" w:rsidRDefault="000A1756" w:rsidP="00791653">
            <w:r>
              <w:t xml:space="preserve">Control: </w:t>
            </w:r>
            <w:r w:rsidR="00791653">
              <w:t>62</w:t>
            </w:r>
          </w:p>
        </w:tc>
        <w:tc>
          <w:tcPr>
            <w:tcW w:w="5395" w:type="dxa"/>
            <w:tcBorders>
              <w:left w:val="single" w:sz="4" w:space="0" w:color="3B3474"/>
              <w:right w:val="single" w:sz="4" w:space="0" w:color="3B3474"/>
            </w:tcBorders>
          </w:tcPr>
          <w:p w14:paraId="648A59E3" w14:textId="10D76C4D" w:rsidR="000A1756" w:rsidRDefault="000A1756" w:rsidP="005569D7">
            <w:r w:rsidRPr="005E4EF9">
              <w:rPr>
                <w:b/>
              </w:rPr>
              <w:t>Aim</w:t>
            </w:r>
            <w:r>
              <w:t>: T</w:t>
            </w:r>
            <w:r w:rsidRPr="00E61516">
              <w:t xml:space="preserve">o examine the influence of a supervised and regular program of aquatic activities throughout gestation on maternal weight gain and birth weight. </w:t>
            </w:r>
          </w:p>
          <w:p w14:paraId="4BE92D68" w14:textId="6359E842" w:rsidR="000A1756" w:rsidRDefault="000A1756" w:rsidP="005569D7">
            <w:r w:rsidRPr="005E4EF9">
              <w:rPr>
                <w:b/>
              </w:rPr>
              <w:t>Population</w:t>
            </w:r>
            <w:r>
              <w:t>: W</w:t>
            </w:r>
            <w:r w:rsidRPr="00E61516">
              <w:t xml:space="preserve">omen </w:t>
            </w:r>
            <w:r>
              <w:t>with</w:t>
            </w:r>
            <w:r w:rsidRPr="00E61516">
              <w:t xml:space="preserve"> uncomplicated and singleton pregnancies</w:t>
            </w:r>
            <w:r>
              <w:t xml:space="preserve"> and no contraindications to physical activity</w:t>
            </w:r>
            <w:r w:rsidRPr="00E61516">
              <w:t xml:space="preserve">. </w:t>
            </w:r>
            <w:r w:rsidR="00C45716">
              <w:t>Mixed BMIs.</w:t>
            </w:r>
          </w:p>
          <w:p w14:paraId="4EC0390D" w14:textId="3447BAC0" w:rsidR="00C45716" w:rsidRDefault="000A1756" w:rsidP="00C45716">
            <w:r w:rsidRPr="005E4EF9">
              <w:rPr>
                <w:b/>
              </w:rPr>
              <w:t>Intervention</w:t>
            </w:r>
            <w:r w:rsidR="007D13BF">
              <w:rPr>
                <w:b/>
              </w:rPr>
              <w:t>:</w:t>
            </w:r>
          </w:p>
          <w:p w14:paraId="686A5BDF" w14:textId="23A164FE" w:rsidR="00C45716" w:rsidRPr="00C45716" w:rsidRDefault="00C45716" w:rsidP="00C45716">
            <w:pPr>
              <w:pStyle w:val="bullet"/>
            </w:pPr>
            <w:r w:rsidRPr="00C45716">
              <w:rPr>
                <w:i/>
              </w:rPr>
              <w:t>Supervised</w:t>
            </w:r>
            <w:r w:rsidRPr="00C45716">
              <w:t>: Yes</w:t>
            </w:r>
          </w:p>
          <w:p w14:paraId="3F3A7E91" w14:textId="72C2032C" w:rsidR="00C45716" w:rsidRPr="00C45716" w:rsidRDefault="00C45716" w:rsidP="00C45716">
            <w:pPr>
              <w:pStyle w:val="bullet"/>
            </w:pPr>
            <w:r w:rsidRPr="00C45716">
              <w:rPr>
                <w:i/>
              </w:rPr>
              <w:t>Type and duration</w:t>
            </w:r>
            <w:r w:rsidRPr="00C45716">
              <w:t>: Aerobic and resistance; Aquatic; 55-60 minute 3xweekly sessions from weeks 10 to 12 until weeks 38 to 39</w:t>
            </w:r>
          </w:p>
          <w:p w14:paraId="2C49AE4C" w14:textId="60CB1164" w:rsidR="000A1756" w:rsidRPr="00933622" w:rsidRDefault="00C45716" w:rsidP="00C45716">
            <w:pPr>
              <w:pStyle w:val="bullet"/>
              <w:rPr>
                <w:rFonts w:ascii="Times" w:hAnsi="Times"/>
                <w:sz w:val="15"/>
                <w:szCs w:val="15"/>
              </w:rPr>
            </w:pPr>
            <w:r w:rsidRPr="00C45716">
              <w:rPr>
                <w:i/>
              </w:rPr>
              <w:t>Intensity</w:t>
            </w:r>
            <w:r w:rsidRPr="00C45716">
              <w:t>: Light to moderate; Borg rating from 10-12</w:t>
            </w:r>
          </w:p>
        </w:tc>
        <w:tc>
          <w:tcPr>
            <w:tcW w:w="5953" w:type="dxa"/>
            <w:tcBorders>
              <w:left w:val="single" w:sz="4" w:space="0" w:color="3B3474"/>
              <w:right w:val="single" w:sz="4" w:space="0" w:color="3B3474"/>
            </w:tcBorders>
          </w:tcPr>
          <w:p w14:paraId="7CA42731" w14:textId="77777777" w:rsidR="000A1756" w:rsidRDefault="000A1756" w:rsidP="005569D7">
            <w:r>
              <w:t xml:space="preserve">Intervention vs control: </w:t>
            </w:r>
          </w:p>
          <w:p w14:paraId="48B7F57B" w14:textId="5423D80F" w:rsidR="000A1756" w:rsidRPr="00D43466" w:rsidRDefault="00806DF5" w:rsidP="005569D7">
            <w:pPr>
              <w:pStyle w:val="bullet"/>
              <w:keepLines w:val="0"/>
            </w:pPr>
            <w:r>
              <w:t>Gestational</w:t>
            </w:r>
            <w:r w:rsidR="000A1756">
              <w:t xml:space="preserve"> weight gain kg 12.7±</w:t>
            </w:r>
            <w:r w:rsidR="000A1756" w:rsidRPr="00D43466">
              <w:t>2.6</w:t>
            </w:r>
            <w:r w:rsidR="000A1756">
              <w:t xml:space="preserve"> vs</w:t>
            </w:r>
            <w:r w:rsidR="000A1756" w:rsidRPr="00D43466">
              <w:t xml:space="preserve"> 13.9</w:t>
            </w:r>
            <w:r w:rsidR="000A1756">
              <w:rPr>
                <w:rFonts w:ascii="Times" w:hAnsi="Times"/>
              </w:rPr>
              <w:t>±</w:t>
            </w:r>
            <w:r w:rsidR="000A1756" w:rsidRPr="00D43466">
              <w:t xml:space="preserve">4.3 </w:t>
            </w:r>
            <w:r w:rsidR="000A1756">
              <w:t>p=0</w:t>
            </w:r>
            <w:r w:rsidR="000A1756" w:rsidRPr="00D43466">
              <w:t>.10</w:t>
            </w:r>
          </w:p>
          <w:p w14:paraId="54515164" w14:textId="2369EA32" w:rsidR="000A1756" w:rsidRPr="00D43466" w:rsidRDefault="00806DF5" w:rsidP="00E303F4">
            <w:pPr>
              <w:pStyle w:val="bullet"/>
            </w:pPr>
            <w:r>
              <w:rPr>
                <w:sz w:val="16"/>
                <w:szCs w:val="16"/>
              </w:rPr>
              <w:t>Weight gain &gt;IOM guidelines</w:t>
            </w:r>
            <w:r w:rsidR="000A1756">
              <w:t>:</w:t>
            </w:r>
            <w:r w:rsidR="000A1756" w:rsidRPr="00D43466">
              <w:t xml:space="preserve"> 12 (24.5</w:t>
            </w:r>
            <w:r w:rsidR="000A1756">
              <w:t>%</w:t>
            </w:r>
            <w:r w:rsidR="000A1756" w:rsidRPr="00D43466">
              <w:t xml:space="preserve">) </w:t>
            </w:r>
            <w:r w:rsidR="000A1756">
              <w:t xml:space="preserve">vs </w:t>
            </w:r>
            <w:r w:rsidR="000A1756" w:rsidRPr="00D43466">
              <w:t xml:space="preserve">28 (45.2) </w:t>
            </w:r>
            <w:r w:rsidR="000A1756">
              <w:t>p=0.02; OR</w:t>
            </w:r>
            <w:r w:rsidR="000A1756" w:rsidRPr="00D43466">
              <w:t xml:space="preserve"> 0.39; </w:t>
            </w:r>
            <w:r w:rsidR="000A1756">
              <w:t>95%CI</w:t>
            </w:r>
            <w:r w:rsidR="000A1756" w:rsidRPr="00D43466">
              <w:t xml:space="preserve"> 0.17</w:t>
            </w:r>
            <w:r w:rsidR="000A1756">
              <w:t xml:space="preserve"> to 0.89</w:t>
            </w:r>
          </w:p>
          <w:p w14:paraId="40CAA39B" w14:textId="70244017" w:rsidR="000A1756" w:rsidRPr="00D43466" w:rsidRDefault="000A1756" w:rsidP="005569D7">
            <w:pPr>
              <w:pStyle w:val="bullet"/>
              <w:keepLines w:val="0"/>
            </w:pPr>
            <w:r w:rsidRPr="00D43466">
              <w:t xml:space="preserve">Preterm </w:t>
            </w:r>
            <w:r>
              <w:t>birth:</w:t>
            </w:r>
            <w:r w:rsidRPr="00D43466">
              <w:t xml:space="preserve"> 2 (4.1</w:t>
            </w:r>
            <w:r>
              <w:t>%</w:t>
            </w:r>
            <w:r w:rsidRPr="00D43466">
              <w:t xml:space="preserve">) </w:t>
            </w:r>
            <w:r>
              <w:t xml:space="preserve">vs </w:t>
            </w:r>
            <w:r w:rsidRPr="00D43466">
              <w:t>3 (4.8</w:t>
            </w:r>
            <w:r>
              <w:t>%</w:t>
            </w:r>
            <w:r w:rsidRPr="00D43466">
              <w:t xml:space="preserve">) </w:t>
            </w:r>
            <w:r>
              <w:t>p=0</w:t>
            </w:r>
            <w:r w:rsidRPr="00D43466">
              <w:t>.84</w:t>
            </w:r>
          </w:p>
          <w:p w14:paraId="69A0E68C" w14:textId="3FB6474A" w:rsidR="000A1756" w:rsidRPr="00D43466" w:rsidRDefault="000A1756" w:rsidP="005569D7">
            <w:pPr>
              <w:pStyle w:val="bullet"/>
              <w:keepLines w:val="0"/>
            </w:pPr>
            <w:r w:rsidRPr="00D43466">
              <w:t xml:space="preserve">Low </w:t>
            </w:r>
            <w:r w:rsidR="003823A3">
              <w:t xml:space="preserve">birthweight </w:t>
            </w:r>
            <w:r>
              <w:t>(</w:t>
            </w:r>
            <w:r w:rsidRPr="00D43466">
              <w:t>&lt;2500</w:t>
            </w:r>
            <w:r>
              <w:t>g</w:t>
            </w:r>
            <w:r w:rsidRPr="00D43466">
              <w:t>)</w:t>
            </w:r>
            <w:r>
              <w:t>:</w:t>
            </w:r>
            <w:r w:rsidRPr="00D43466">
              <w:t xml:space="preserve"> 1 (2.0</w:t>
            </w:r>
            <w:r>
              <w:t>%</w:t>
            </w:r>
            <w:r w:rsidRPr="00D43466">
              <w:t xml:space="preserve">) </w:t>
            </w:r>
            <w:r>
              <w:t xml:space="preserve">vs </w:t>
            </w:r>
            <w:r w:rsidRPr="00D43466">
              <w:t>2 (3.2</w:t>
            </w:r>
            <w:r>
              <w:t>%</w:t>
            </w:r>
            <w:r w:rsidRPr="00D43466">
              <w:t xml:space="preserve">) </w:t>
            </w:r>
            <w:r>
              <w:t>p=0</w:t>
            </w:r>
            <w:r w:rsidRPr="00D43466">
              <w:t>.53</w:t>
            </w:r>
          </w:p>
          <w:p w14:paraId="21B06969" w14:textId="7A22FD8C" w:rsidR="000A1756" w:rsidRPr="008A21A6" w:rsidRDefault="000A1756" w:rsidP="00037D83">
            <w:pPr>
              <w:pStyle w:val="bullet"/>
              <w:keepLines w:val="0"/>
            </w:pPr>
            <w:r w:rsidRPr="00D43466">
              <w:t xml:space="preserve">Macrosomia </w:t>
            </w:r>
            <w:r>
              <w:t>(</w:t>
            </w:r>
            <w:r w:rsidRPr="00D43466">
              <w:t>&gt;4000</w:t>
            </w:r>
            <w:r>
              <w:t>):</w:t>
            </w:r>
            <w:r w:rsidRPr="00D43466">
              <w:t xml:space="preserve"> 4 (8.2</w:t>
            </w:r>
            <w:r>
              <w:t>%</w:t>
            </w:r>
            <w:r w:rsidRPr="00D43466">
              <w:t xml:space="preserve">) </w:t>
            </w:r>
            <w:r>
              <w:t xml:space="preserve">vs </w:t>
            </w:r>
            <w:r w:rsidRPr="00D43466">
              <w:t>9 (14.5</w:t>
            </w:r>
            <w:r>
              <w:t>%</w:t>
            </w:r>
            <w:r w:rsidRPr="00D43466">
              <w:t>)</w:t>
            </w:r>
          </w:p>
        </w:tc>
      </w:tr>
      <w:tr w:rsidR="000A1756" w:rsidRPr="00A652CB" w14:paraId="03534CF6"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207E0C52" w14:textId="40A2A714" w:rsidR="00C45716" w:rsidRPr="00C12274" w:rsidRDefault="00C45716" w:rsidP="00E70A06">
            <w:r w:rsidRPr="00C12274">
              <w:rPr>
                <w:noProof/>
              </w:rPr>
              <w:t>Baciuk et al 2008;</w:t>
            </w:r>
            <w:r w:rsidR="00616EE6">
              <w:rPr>
                <w:noProof/>
              </w:rPr>
              <w:fldChar w:fldCharType="begin"/>
            </w:r>
            <w:r w:rsidR="002747EA">
              <w:rPr>
                <w:noProof/>
              </w:rPr>
              <w:instrText xml:space="preserve"> ADDIN EN.CITE &lt;EndNote&gt;&lt;Cite&gt;&lt;Author&gt;Baciuk&lt;/Author&gt;&lt;Year&gt;2008&lt;/Year&gt;&lt;RecNum&gt;679&lt;/RecNum&gt;&lt;DisplayText&gt;&lt;style face="superscript" font="Trebuchet MS" size="9"&gt;292&lt;/style&gt;&lt;/DisplayText&gt;&lt;record&gt;&lt;rec-number&gt;679&lt;/rec-number&gt;&lt;foreign-keys&gt;&lt;key app="EN" db-id="exvasrfx2dtraoesasxp2szsxa2df502592x" timestamp="1540526890"&gt;679&lt;/key&gt;&lt;/foreign-keys&gt;&lt;ref-type name="Journal Article"&gt;17&lt;/ref-type&gt;&lt;contributors&gt;&lt;authors&gt;&lt;author&gt;Baciuk, E. P.&lt;/author&gt;&lt;author&gt;Pereira, R. I.&lt;/author&gt;&lt;author&gt;Cecatti, J. G.&lt;/author&gt;&lt;author&gt;Braga, A. F.&lt;/author&gt;&lt;author&gt;Cavalcante, S. R.&lt;/author&gt;&lt;/authors&gt;&lt;/contributors&gt;&lt;auth-address&gt;Department of Obstetrics and Gynecology, University of Campinas, Sao Paulo, Brazil. ericaxba@terra.com.br&lt;/auth-address&gt;&lt;titles&gt;&lt;title&gt;Water aerobics in pregnancy: Cardiovascular response, labor and neonatal outcomes&lt;/title&gt;&lt;secondary-title&gt;Reprod Health&lt;/secondary-title&gt;&lt;/titles&gt;&lt;periodical&gt;&lt;full-title&gt;Reprod Health&lt;/full-title&gt;&lt;/periodical&gt;&lt;pages&gt;10&lt;/pages&gt;&lt;volume&gt;5&lt;/volume&gt;&lt;edition&gt;2008/11/26&lt;/edition&gt;&lt;dates&gt;&lt;year&gt;2008&lt;/year&gt;&lt;pub-dates&gt;&lt;date&gt;Nov 21&lt;/date&gt;&lt;/pub-dates&gt;&lt;/dates&gt;&lt;isbn&gt;1742-4755 (Electronic)&amp;#xD;1742-4755 (Linking)&lt;/isbn&gt;&lt;accession-num&gt;19025579&lt;/accession-num&gt;&lt;urls&gt;&lt;related-urls&gt;&lt;url&gt;https://www.ncbi.nlm.nih.gov/pubmed/19025579&lt;/url&gt;&lt;/related-urls&gt;&lt;/urls&gt;&lt;custom2&gt;PMC2613131&lt;/custom2&gt;&lt;electronic-resource-num&gt;10.1186/1742-4755-5-10&lt;/electronic-resource-num&gt;&lt;/record&gt;&lt;/Cite&gt;&lt;/EndNote&gt;</w:instrText>
            </w:r>
            <w:r w:rsidR="00616EE6">
              <w:rPr>
                <w:noProof/>
              </w:rPr>
              <w:fldChar w:fldCharType="separate"/>
            </w:r>
            <w:r w:rsidR="002747EA" w:rsidRPr="002747EA">
              <w:rPr>
                <w:noProof/>
                <w:vertAlign w:val="superscript"/>
              </w:rPr>
              <w:t>292</w:t>
            </w:r>
            <w:r w:rsidR="00616EE6">
              <w:rPr>
                <w:noProof/>
              </w:rPr>
              <w:fldChar w:fldCharType="end"/>
            </w:r>
            <w:r w:rsidRPr="00C12274">
              <w:rPr>
                <w:noProof/>
              </w:rPr>
              <w:t xml:space="preserve"> Cavalcante et al 2009</w:t>
            </w:r>
            <w:r w:rsidR="00616EE6">
              <w:rPr>
                <w:noProof/>
              </w:rPr>
              <w:fldChar w:fldCharType="begin"/>
            </w:r>
            <w:r w:rsidR="002747EA">
              <w:rPr>
                <w:noProof/>
              </w:rPr>
              <w:instrText xml:space="preserve"> ADDIN EN.CITE &lt;EndNote&gt;&lt;Cite&gt;&lt;Author&gt;Cavalcante&lt;/Author&gt;&lt;Year&gt;2009&lt;/Year&gt;&lt;RecNum&gt;605&lt;/RecNum&gt;&lt;DisplayText&gt;&lt;style face="superscript" font="Trebuchet MS" size="9"&gt;312&lt;/style&gt;&lt;/DisplayText&gt;&lt;record&gt;&lt;rec-number&gt;605&lt;/rec-number&gt;&lt;foreign-keys&gt;&lt;key app="EN" db-id="exvasrfx2dtraoesasxp2szsxa2df502592x" timestamp="1539048322"&gt;605&lt;/key&gt;&lt;key app="ENWeb" db-id=""&gt;0&lt;/key&gt;&lt;/foreign-keys&gt;&lt;ref-type name="Journal Article"&gt;17&lt;/ref-type&gt;&lt;contributors&gt;&lt;authors&gt;&lt;author&gt;Cavalcante, S. R.&lt;/author&gt;&lt;author&gt;Cecatti, J. G.&lt;/author&gt;&lt;author&gt;Pereira, R. I.&lt;/author&gt;&lt;author&gt;Baciuk, E. P.&lt;/author&gt;&lt;author&gt;Bernardo, A. L.&lt;/author&gt;&lt;author&gt;Silveira, C.&lt;/author&gt;&lt;/authors&gt;&lt;/contributors&gt;&lt;auth-address&gt;Department of Obstetrics and Gynecology, University of Campinas, Sao Paulo, Brazil. cccavalcante@terra.com.br&lt;/auth-address&gt;&lt;titles&gt;&lt;title&gt;Water aerobics II: maternal body composition and perinatal outcomes after a program for low risk pregnant women&lt;/title&gt;&lt;secondary-title&gt;Reprod Health&lt;/secondary-title&gt;&lt;/titles&gt;&lt;periodical&gt;&lt;full-title&gt;Reprod Health&lt;/full-title&gt;&lt;/periodical&gt;&lt;pages&gt;1&lt;/pages&gt;&lt;volume&gt;6&lt;/volume&gt;&lt;edition&gt;2009/01/08&lt;/edition&gt;&lt;dates&gt;&lt;year&gt;2009&lt;/year&gt;&lt;pub-dates&gt;&lt;date&gt;Jan 6&lt;/date&gt;&lt;/pub-dates&gt;&lt;/dates&gt;&lt;isbn&gt;1742-4755 (Electronic)&amp;#xD;1742-4755 (Linking)&lt;/isbn&gt;&lt;accession-num&gt;19126239&lt;/accession-num&gt;&lt;urls&gt;&lt;related-urls&gt;&lt;url&gt;https://www.ncbi.nlm.nih.gov/pubmed/19126239&lt;/url&gt;&lt;/related-urls&gt;&lt;/urls&gt;&lt;custom2&gt;PMC2628875&lt;/custom2&gt;&lt;electronic-resource-num&gt;10.1186/1742-4755-6-1&lt;/electronic-resource-num&gt;&lt;/record&gt;&lt;/Cite&gt;&lt;/EndNote&gt;</w:instrText>
            </w:r>
            <w:r w:rsidR="00616EE6">
              <w:rPr>
                <w:noProof/>
              </w:rPr>
              <w:fldChar w:fldCharType="separate"/>
            </w:r>
            <w:r w:rsidR="002747EA" w:rsidRPr="002747EA">
              <w:rPr>
                <w:noProof/>
                <w:vertAlign w:val="superscript"/>
              </w:rPr>
              <w:t>312</w:t>
            </w:r>
            <w:r w:rsidR="00616EE6">
              <w:rPr>
                <w:noProof/>
              </w:rPr>
              <w:fldChar w:fldCharType="end"/>
            </w:r>
          </w:p>
          <w:p w14:paraId="495968DA" w14:textId="1EAB664E" w:rsidR="000A1756" w:rsidRDefault="00C45716" w:rsidP="00E70A06">
            <w:r w:rsidRPr="00C12274">
              <w:t>Brazil</w:t>
            </w:r>
          </w:p>
        </w:tc>
        <w:tc>
          <w:tcPr>
            <w:tcW w:w="1670" w:type="dxa"/>
            <w:tcBorders>
              <w:left w:val="single" w:sz="4" w:space="0" w:color="3B3474"/>
              <w:right w:val="single" w:sz="4" w:space="0" w:color="3B3474"/>
            </w:tcBorders>
          </w:tcPr>
          <w:p w14:paraId="65F4C66C" w14:textId="660B1FA6" w:rsidR="000A1756" w:rsidRDefault="000A1756" w:rsidP="005569D7">
            <w:r>
              <w:t>Intervention: 34</w:t>
            </w:r>
          </w:p>
          <w:p w14:paraId="06185907" w14:textId="0BB5AFEE" w:rsidR="000A1756" w:rsidRDefault="000A1756" w:rsidP="005569D7">
            <w:r>
              <w:t>Control: 37</w:t>
            </w:r>
          </w:p>
        </w:tc>
        <w:tc>
          <w:tcPr>
            <w:tcW w:w="5395" w:type="dxa"/>
            <w:tcBorders>
              <w:left w:val="single" w:sz="4" w:space="0" w:color="3B3474"/>
              <w:right w:val="single" w:sz="4" w:space="0" w:color="3B3474"/>
            </w:tcBorders>
          </w:tcPr>
          <w:p w14:paraId="6BA6844A" w14:textId="3F3314CD" w:rsidR="000A1756" w:rsidRDefault="000A1756" w:rsidP="005569D7">
            <w:r w:rsidRPr="0000282F">
              <w:rPr>
                <w:b/>
              </w:rPr>
              <w:t>Aim</w:t>
            </w:r>
            <w:r>
              <w:t xml:space="preserve">: </w:t>
            </w:r>
            <w:r w:rsidRPr="0000282F">
              <w:t>To evaluate the association between water aerobics, maternal cardiovascular capacity during pregnancy, labo</w:t>
            </w:r>
            <w:r>
              <w:t>u</w:t>
            </w:r>
            <w:r w:rsidRPr="0000282F">
              <w:t xml:space="preserve">r and neonatal outcomes. </w:t>
            </w:r>
          </w:p>
          <w:p w14:paraId="7560F446" w14:textId="67ABAB68" w:rsidR="000A1756" w:rsidRDefault="000A1756" w:rsidP="005569D7">
            <w:r w:rsidRPr="0000282F">
              <w:rPr>
                <w:b/>
              </w:rPr>
              <w:t>Population</w:t>
            </w:r>
            <w:r>
              <w:t>: W</w:t>
            </w:r>
            <w:r w:rsidRPr="00C0211C">
              <w:t>omen of &lt; 20 weeks of pregnancy</w:t>
            </w:r>
            <w:r>
              <w:t xml:space="preserve"> with a singleton pregnancy</w:t>
            </w:r>
            <w:r w:rsidRPr="00C0211C">
              <w:t xml:space="preserve"> and no gestational risk factors</w:t>
            </w:r>
            <w:r>
              <w:t>.</w:t>
            </w:r>
            <w:r w:rsidR="00C45716">
              <w:t xml:space="preserve"> Mixed BMIs.</w:t>
            </w:r>
          </w:p>
          <w:p w14:paraId="21E652C6" w14:textId="048D1ABF" w:rsidR="00C45716" w:rsidRDefault="00C45716" w:rsidP="00C45716">
            <w:r w:rsidRPr="005E4EF9">
              <w:rPr>
                <w:b/>
              </w:rPr>
              <w:t>Intervention</w:t>
            </w:r>
            <w:r w:rsidR="007D13BF">
              <w:rPr>
                <w:b/>
              </w:rPr>
              <w:t>:</w:t>
            </w:r>
          </w:p>
          <w:p w14:paraId="1C0231F3" w14:textId="77777777" w:rsidR="00C45716" w:rsidRPr="00C45716" w:rsidRDefault="00C45716" w:rsidP="00C45716">
            <w:pPr>
              <w:pStyle w:val="bullet"/>
            </w:pPr>
            <w:r w:rsidRPr="00C45716">
              <w:rPr>
                <w:i/>
              </w:rPr>
              <w:t>Supervised</w:t>
            </w:r>
            <w:r w:rsidRPr="00C45716">
              <w:t>: Yes</w:t>
            </w:r>
          </w:p>
          <w:p w14:paraId="1B42FDB6" w14:textId="3D4502AE" w:rsidR="00C45716" w:rsidRPr="00C45716" w:rsidRDefault="00C45716" w:rsidP="00C45716">
            <w:pPr>
              <w:pStyle w:val="bullet"/>
            </w:pPr>
            <w:r w:rsidRPr="00C45716">
              <w:rPr>
                <w:i/>
              </w:rPr>
              <w:t>Type and duration</w:t>
            </w:r>
            <w:r w:rsidRPr="00C45716">
              <w:t xml:space="preserve">: Aerobic; Aquatic; </w:t>
            </w:r>
            <w:r w:rsidRPr="00C12274">
              <w:rPr>
                <w:sz w:val="16"/>
                <w:szCs w:val="16"/>
              </w:rPr>
              <w:t>50 min 3 times a week from &lt;20 wks to birth</w:t>
            </w:r>
          </w:p>
          <w:p w14:paraId="6F1C0F3F" w14:textId="311A459A" w:rsidR="000A1756" w:rsidRPr="0057791D" w:rsidRDefault="00C45716" w:rsidP="00C45716">
            <w:pPr>
              <w:pStyle w:val="bullet"/>
              <w:rPr>
                <w:rFonts w:ascii="Times" w:hAnsi="Times"/>
              </w:rPr>
            </w:pPr>
            <w:r w:rsidRPr="00C45716">
              <w:rPr>
                <w:i/>
              </w:rPr>
              <w:t>Intensity</w:t>
            </w:r>
            <w:r w:rsidRPr="00C45716">
              <w:t xml:space="preserve">: </w:t>
            </w:r>
            <w:r w:rsidRPr="00C12274">
              <w:t>Moderate 70% predicted HR</w:t>
            </w:r>
          </w:p>
        </w:tc>
        <w:tc>
          <w:tcPr>
            <w:tcW w:w="5953" w:type="dxa"/>
            <w:tcBorders>
              <w:left w:val="single" w:sz="4" w:space="0" w:color="3B3474"/>
              <w:right w:val="single" w:sz="4" w:space="0" w:color="3B3474"/>
            </w:tcBorders>
          </w:tcPr>
          <w:p w14:paraId="1C7A2AE4" w14:textId="77777777" w:rsidR="000A1756" w:rsidRDefault="000A1756" w:rsidP="005569D7">
            <w:r>
              <w:t xml:space="preserve">Intervention vs control: </w:t>
            </w:r>
          </w:p>
          <w:p w14:paraId="735F0B2A" w14:textId="77777777" w:rsidR="00037D83" w:rsidRDefault="00037D83" w:rsidP="00037D83">
            <w:pPr>
              <w:pStyle w:val="bullet"/>
              <w:keepLines w:val="0"/>
            </w:pPr>
            <w:r>
              <w:t>Gestational weight gain: 14.3±</w:t>
            </w:r>
            <w:r w:rsidRPr="00193727">
              <w:t xml:space="preserve">2.1 </w:t>
            </w:r>
            <w:r>
              <w:t>vs 15.1±</w:t>
            </w:r>
            <w:r w:rsidRPr="00193727">
              <w:t xml:space="preserve">1.6 </w:t>
            </w:r>
            <w:r>
              <w:t>p=</w:t>
            </w:r>
            <w:r w:rsidRPr="00193727">
              <w:t>0.38</w:t>
            </w:r>
          </w:p>
          <w:p w14:paraId="0616F877" w14:textId="4C7BBA47" w:rsidR="000A1756" w:rsidRPr="007D7AD3" w:rsidRDefault="00BE3AA4" w:rsidP="00BE3AA4">
            <w:pPr>
              <w:pStyle w:val="bullet"/>
            </w:pPr>
            <w:r w:rsidRPr="00BE3AA4">
              <w:t>Caesarean section</w:t>
            </w:r>
            <w:r w:rsidR="000A1756">
              <w:t>: 12 (36.4%) vs 17 (45.9%) p=0.57</w:t>
            </w:r>
          </w:p>
          <w:p w14:paraId="75BD5C40" w14:textId="77777777" w:rsidR="000A1756" w:rsidRPr="00FD2FA3" w:rsidRDefault="000A1756" w:rsidP="005569D7">
            <w:pPr>
              <w:pStyle w:val="bullet"/>
              <w:keepLines w:val="0"/>
            </w:pPr>
            <w:r w:rsidRPr="00FD2FA3">
              <w:t xml:space="preserve">Preterm birth (% &lt;37 weeks): 2/33 </w:t>
            </w:r>
            <w:r>
              <w:t xml:space="preserve">vs </w:t>
            </w:r>
            <w:r w:rsidRPr="00FD2FA3">
              <w:t xml:space="preserve">3/37 </w:t>
            </w:r>
            <w:r>
              <w:t>p=</w:t>
            </w:r>
            <w:r w:rsidRPr="00FD2FA3">
              <w:t xml:space="preserve">0.56 </w:t>
            </w:r>
            <w:r>
              <w:t xml:space="preserve">OR </w:t>
            </w:r>
            <w:r w:rsidRPr="00FD2FA3">
              <w:t>0.84 (0.28–2.53)</w:t>
            </w:r>
          </w:p>
          <w:p w14:paraId="2281DC73" w14:textId="1A69D75C" w:rsidR="000A1756" w:rsidRPr="008A21A6" w:rsidRDefault="000A1756" w:rsidP="005569D7">
            <w:pPr>
              <w:pStyle w:val="bullet"/>
              <w:keepLines w:val="0"/>
            </w:pPr>
            <w:r w:rsidRPr="00FD2FA3">
              <w:t xml:space="preserve">Low birth weight (&lt;2500 g): 3/33 </w:t>
            </w:r>
            <w:r>
              <w:t xml:space="preserve">vs </w:t>
            </w:r>
            <w:r w:rsidRPr="00FD2FA3">
              <w:t xml:space="preserve">2/37 </w:t>
            </w:r>
            <w:r>
              <w:t>p=</w:t>
            </w:r>
            <w:r w:rsidRPr="00FD2FA3">
              <w:t xml:space="preserve">0.44 </w:t>
            </w:r>
            <w:r>
              <w:t xml:space="preserve">OR </w:t>
            </w:r>
            <w:r w:rsidRPr="00FD2FA3">
              <w:t>1.30 (0.61–2.79)</w:t>
            </w:r>
          </w:p>
        </w:tc>
      </w:tr>
      <w:tr w:rsidR="000A1756" w:rsidRPr="00A652CB" w14:paraId="18974ADD"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0A250CBB" w14:textId="38488881" w:rsidR="00C45716" w:rsidRPr="00C12274" w:rsidRDefault="00C45716" w:rsidP="00E70A06">
            <w:r w:rsidRPr="00C12274">
              <w:rPr>
                <w:noProof/>
              </w:rPr>
              <w:t>Barakat et al 2008</w:t>
            </w:r>
            <w:r>
              <w:rPr>
                <w:noProof/>
              </w:rPr>
              <w:t>;</w:t>
            </w:r>
            <w:r w:rsidR="00616EE6">
              <w:rPr>
                <w:noProof/>
              </w:rPr>
              <w:fldChar w:fldCharType="begin"/>
            </w:r>
            <w:r w:rsidR="002747EA">
              <w:rPr>
                <w:noProof/>
              </w:rPr>
              <w:instrText xml:space="preserve"> ADDIN EN.CITE &lt;EndNote&gt;&lt;Cite&gt;&lt;Author&gt;Barakat&lt;/Author&gt;&lt;Year&gt;2008&lt;/Year&gt;&lt;RecNum&gt;667&lt;/RecNum&gt;&lt;DisplayText&gt;&lt;style face="superscript" font="Trebuchet MS" size="9"&gt;293&lt;/style&gt;&lt;/DisplayText&gt;&lt;record&gt;&lt;rec-number&gt;667&lt;/rec-number&gt;&lt;foreign-keys&gt;&lt;key app="EN" db-id="exvasrfx2dtraoesasxp2szsxa2df502592x" timestamp="1540526538"&gt;667&lt;/key&gt;&lt;/foreign-keys&gt;&lt;ref-type name="Journal Article"&gt;17&lt;/ref-type&gt;&lt;contributors&gt;&lt;authors&gt;&lt;author&gt;Barakat, R.&lt;/author&gt;&lt;author&gt;Stirling, J. R.&lt;/author&gt;&lt;author&gt;Lucia, A.&lt;/author&gt;&lt;/authors&gt;&lt;/contributors&gt;&lt;auth-address&gt;Instituto Nacional de Educacion Fisica (INEF), Universidad Politecnica, Madrid, Spain.&lt;/auth-address&gt;&lt;titles&gt;&lt;title&gt;Does exercise training during pregnancy affect gestational age? A randomised controlled trial&lt;/title&gt;&lt;secondary-title&gt;Br J Sports Med&lt;/secondary-title&gt;&lt;/titles&gt;&lt;periodical&gt;&lt;full-title&gt;Br J Sports Med&lt;/full-title&gt;&lt;/periodical&gt;&lt;pages&gt;674-8&lt;/pages&gt;&lt;volume&gt;42&lt;/volume&gt;&lt;number&gt;8&lt;/number&gt;&lt;edition&gt;2008/06/17&lt;/edition&gt;&lt;keywords&gt;&lt;keyword&gt;Adult&lt;/keyword&gt;&lt;keyword&gt;Exercise/*physiology&lt;/keyword&gt;&lt;keyword&gt;Female&lt;/keyword&gt;&lt;keyword&gt;*Gestational Age&lt;/keyword&gt;&lt;keyword&gt;Humans&lt;/keyword&gt;&lt;keyword&gt;Infant, Newborn&lt;/keyword&gt;&lt;keyword&gt;Physical Education and Training/methods&lt;/keyword&gt;&lt;keyword&gt;Pregnancy&lt;/keyword&gt;&lt;keyword&gt;Pregnancy Trimester, Second/physiology&lt;/keyword&gt;&lt;keyword&gt;Pregnancy Trimester, Third/physiology&lt;/keyword&gt;&lt;keyword&gt;Premature Birth/*etiology&lt;/keyword&gt;&lt;/keywords&gt;&lt;dates&gt;&lt;year&gt;2008&lt;/year&gt;&lt;pub-dates&gt;&lt;date&gt;Aug&lt;/date&gt;&lt;/pub-dates&gt;&lt;/dates&gt;&lt;isbn&gt;1473-0480 (Electronic)&amp;#xD;0306-3674 (Linking)&lt;/isbn&gt;&lt;accession-num&gt;18552370&lt;/accession-num&gt;&lt;urls&gt;&lt;related-urls&gt;&lt;url&gt;https://www.ncbi.nlm.nih.gov/pubmed/18552370&lt;/url&gt;&lt;/related-urls&gt;&lt;/urls&gt;&lt;electronic-resource-num&gt;10.1136/bjsm.2008.047837&lt;/electronic-resource-num&gt;&lt;/record&gt;&lt;/Cite&gt;&lt;/EndNote&gt;</w:instrText>
            </w:r>
            <w:r w:rsidR="00616EE6">
              <w:rPr>
                <w:noProof/>
              </w:rPr>
              <w:fldChar w:fldCharType="separate"/>
            </w:r>
            <w:r w:rsidR="002747EA" w:rsidRPr="002747EA">
              <w:rPr>
                <w:noProof/>
                <w:vertAlign w:val="superscript"/>
              </w:rPr>
              <w:t>293</w:t>
            </w:r>
            <w:r w:rsidR="00616EE6">
              <w:rPr>
                <w:noProof/>
              </w:rPr>
              <w:fldChar w:fldCharType="end"/>
            </w:r>
            <w:r w:rsidRPr="00C12274" w:rsidDel="00425275">
              <w:rPr>
                <w:noProof/>
              </w:rPr>
              <w:t xml:space="preserve"> </w:t>
            </w:r>
            <w:r w:rsidRPr="00C12274">
              <w:rPr>
                <w:noProof/>
              </w:rPr>
              <w:t>Barakat et al 2009a;</w:t>
            </w:r>
            <w:r w:rsidR="00616EE6">
              <w:rPr>
                <w:noProof/>
              </w:rPr>
              <w:fldChar w:fldCharType="begin"/>
            </w:r>
            <w:r w:rsidR="002747EA">
              <w:rPr>
                <w:noProof/>
              </w:rPr>
              <w:instrText xml:space="preserve"> ADDIN EN.CITE &lt;EndNote&gt;&lt;Cite&gt;&lt;Author&gt;Barakat&lt;/Author&gt;&lt;Year&gt;2009&lt;/Year&gt;&lt;RecNum&gt;668&lt;/RecNum&gt;&lt;DisplayText&gt;&lt;style face="superscript" font="Trebuchet MS" size="9"&gt;313&lt;/style&gt;&lt;/DisplayText&gt;&lt;record&gt;&lt;rec-number&gt;668&lt;/rec-number&gt;&lt;foreign-keys&gt;&lt;key app="EN" db-id="exvasrfx2dtraoesasxp2szsxa2df502592x" timestamp="1540526591"&gt;668&lt;/key&gt;&lt;/foreign-keys&gt;&lt;ref-type name="Journal Article"&gt;17&lt;/ref-type&gt;&lt;contributors&gt;&lt;authors&gt;&lt;author&gt;Barakat, R.&lt;/author&gt;&lt;author&gt;Lucia, A.&lt;/author&gt;&lt;author&gt;Ruiz, J. R.&lt;/author&gt;&lt;/authors&gt;&lt;/contributors&gt;&lt;auth-address&gt;Facultad de Ciencias de la Actividad Fisica y del Deporte-INEF, Universidad Politecnica de Madrid, Madrid, Spain.&lt;/auth-address&gt;&lt;titles&gt;&lt;title&gt;Resistance exercise training during pregnancy and newborn&amp;apos;s birth size: a randomised controlled trial&lt;/title&gt;&lt;secondary-title&gt;Int J Obes (Lond)&lt;/secondary-title&gt;&lt;/titles&gt;&lt;periodical&gt;&lt;full-title&gt;Int J Obes (Lond)&lt;/full-title&gt;&lt;/periodical&gt;&lt;pages&gt;1048-57&lt;/pages&gt;&lt;volume&gt;33&lt;/volume&gt;&lt;number&gt;9&lt;/number&gt;&lt;edition&gt;2009/07/29&lt;/edition&gt;&lt;keywords&gt;&lt;keyword&gt;Adult&lt;/keyword&gt;&lt;keyword&gt;Birth Weight/*physiology&lt;/keyword&gt;&lt;keyword&gt;Body Mass Index&lt;/keyword&gt;&lt;keyword&gt;Body Size&lt;/keyword&gt;&lt;keyword&gt;Body Weight/*physiology&lt;/keyword&gt;&lt;keyword&gt;Female&lt;/keyword&gt;&lt;keyword&gt;Fetal Development/*physiology&lt;/keyword&gt;&lt;keyword&gt;Humans&lt;/keyword&gt;&lt;keyword&gt;Infant, Newborn&lt;/keyword&gt;&lt;keyword&gt;Pregnancy&lt;/keyword&gt;&lt;keyword&gt;Pregnancy Trimester, Second&lt;/keyword&gt;&lt;keyword&gt;Pregnancy Trimester, Third&lt;/keyword&gt;&lt;keyword&gt;Resistance Training/*methods&lt;/keyword&gt;&lt;keyword&gt;Spain/epidemiology&lt;/keyword&gt;&lt;/keywords&gt;&lt;dates&gt;&lt;year&gt;2009&lt;/year&gt;&lt;pub-dates&gt;&lt;date&gt;Sep&lt;/date&gt;&lt;/pub-dates&gt;&lt;/dates&gt;&lt;isbn&gt;1476-5497 (Electronic)&amp;#xD;0307-0565 (Linking)&lt;/isbn&gt;&lt;accession-num&gt;19636320&lt;/accession-num&gt;&lt;urls&gt;&lt;related-urls&gt;&lt;url&gt;https://www.ncbi.nlm.nih.gov/pubmed/19636320&lt;/url&gt;&lt;/related-urls&gt;&lt;/urls&gt;&lt;electronic-resource-num&gt;10.1038/ijo.2009.150&lt;/electronic-resource-num&gt;&lt;/record&gt;&lt;/Cite&gt;&lt;/EndNote&gt;</w:instrText>
            </w:r>
            <w:r w:rsidR="00616EE6">
              <w:rPr>
                <w:noProof/>
              </w:rPr>
              <w:fldChar w:fldCharType="separate"/>
            </w:r>
            <w:r w:rsidR="002747EA" w:rsidRPr="002747EA">
              <w:rPr>
                <w:noProof/>
                <w:vertAlign w:val="superscript"/>
              </w:rPr>
              <w:t>313</w:t>
            </w:r>
            <w:r w:rsidR="00616EE6">
              <w:rPr>
                <w:noProof/>
              </w:rPr>
              <w:fldChar w:fldCharType="end"/>
            </w:r>
            <w:r w:rsidRPr="00C12274">
              <w:rPr>
                <w:noProof/>
              </w:rPr>
              <w:t xml:space="preserve"> Barakat et al 2009b;</w:t>
            </w:r>
            <w:r w:rsidR="00616EE6">
              <w:rPr>
                <w:noProof/>
              </w:rPr>
              <w:fldChar w:fldCharType="begin"/>
            </w:r>
            <w:r w:rsidR="002747EA">
              <w:rPr>
                <w:noProof/>
              </w:rPr>
              <w:instrText xml:space="preserve"> ADDIN EN.CITE &lt;EndNote&gt;&lt;Cite&gt;&lt;Author&gt;Barakat&lt;/Author&gt;&lt;Year&gt;2009&lt;/Year&gt;&lt;RecNum&gt;1010&lt;/RecNum&gt;&lt;DisplayText&gt;&lt;style face="superscript" font="Trebuchet MS" size="9"&gt;303&lt;/style&gt;&lt;/DisplayText&gt;&lt;record&gt;&lt;rec-number&gt;1010&lt;/rec-number&gt;&lt;foreign-keys&gt;&lt;key app="EN" db-id="exvasrfx2dtraoesasxp2szsxa2df502592x" timestamp="1548983476"&gt;1010&lt;/key&gt;&lt;/foreign-keys&gt;&lt;ref-type name="Journal Article"&gt;17&lt;/ref-type&gt;&lt;contributors&gt;&lt;authors&gt;&lt;author&gt;Barakat, R.&lt;/author&gt;&lt;author&gt;Ruiz, J. R.&lt;/author&gt;&lt;author&gt;Stirling, J. R.&lt;/author&gt;&lt;author&gt;Zakynthinaki, M.&lt;/author&gt;&lt;author&gt;Lucia, A.&lt;/author&gt;&lt;/authors&gt;&lt;/contributors&gt;&lt;auth-address&gt;Facultad de Ciencias de la Actividad Fisica y del Deporte-INEF, Universidad Politecnica de Madrid, Spain.&lt;/auth-address&gt;&lt;titles&gt;&lt;title&gt;Type of delivery is not affected by light resistance and toning exercise training during pregnancy: a randomized controlled trial&lt;/title&gt;&lt;secondary-title&gt;Am J Obstet Gynecol&lt;/secondary-title&gt;&lt;/titles&gt;&lt;periodical&gt;&lt;full-title&gt;Am J Obstet Gynecol&lt;/full-title&gt;&lt;/periodical&gt;&lt;pages&gt;590 e1-6&lt;/pages&gt;&lt;volume&gt;201&lt;/volume&gt;&lt;number&gt;6&lt;/number&gt;&lt;edition&gt;2009/07/18&lt;/edition&gt;&lt;keywords&gt;&lt;keyword&gt;Adult&lt;/keyword&gt;&lt;keyword&gt;*Delivery, Obstetric&lt;/keyword&gt;&lt;keyword&gt;Female&lt;/keyword&gt;&lt;keyword&gt;Humans&lt;/keyword&gt;&lt;keyword&gt;*Labor, Obstetric&lt;/keyword&gt;&lt;keyword&gt;Pregnancy&lt;/keyword&gt;&lt;keyword&gt;Pregnancy Trimester, Second&lt;/keyword&gt;&lt;keyword&gt;Pregnancy Trimester, Third&lt;/keyword&gt;&lt;keyword&gt;*Weight Lifting&lt;/keyword&gt;&lt;/keywords&gt;&lt;dates&gt;&lt;year&gt;2009&lt;/year&gt;&lt;pub-dates&gt;&lt;date&gt;Dec&lt;/date&gt;&lt;/pub-dates&gt;&lt;/dates&gt;&lt;isbn&gt;1097-6868 (Electronic)&amp;#xD;0002-9378 (Linking)&lt;/isbn&gt;&lt;accession-num&gt;19608151&lt;/accession-num&gt;&lt;urls&gt;&lt;related-urls&gt;&lt;url&gt;https://www.ncbi.nlm.nih.gov/pubmed/19608151&lt;/url&gt;&lt;/related-urls&gt;&lt;/urls&gt;&lt;electronic-resource-num&gt;10.1016/j.ajog.2009.06.004&lt;/electronic-resource-num&gt;&lt;/record&gt;&lt;/Cite&gt;&lt;/EndNote&gt;</w:instrText>
            </w:r>
            <w:r w:rsidR="00616EE6">
              <w:rPr>
                <w:noProof/>
              </w:rPr>
              <w:fldChar w:fldCharType="separate"/>
            </w:r>
            <w:r w:rsidR="002747EA" w:rsidRPr="002747EA">
              <w:rPr>
                <w:noProof/>
                <w:vertAlign w:val="superscript"/>
              </w:rPr>
              <w:t>303</w:t>
            </w:r>
            <w:r w:rsidR="00616EE6">
              <w:rPr>
                <w:noProof/>
              </w:rPr>
              <w:fldChar w:fldCharType="end"/>
            </w:r>
          </w:p>
          <w:p w14:paraId="4A661436" w14:textId="77777777" w:rsidR="00C45716" w:rsidRPr="00C12274" w:rsidRDefault="00C45716" w:rsidP="00E70A06">
            <w:r w:rsidRPr="00C12274">
              <w:t>Spain</w:t>
            </w:r>
          </w:p>
          <w:p w14:paraId="77D49EB6" w14:textId="492230E3" w:rsidR="000A1756" w:rsidRPr="00362C86" w:rsidRDefault="00C45716" w:rsidP="00E70A06">
            <w:r w:rsidRPr="00C12274">
              <w:t>NCT00813657</w:t>
            </w:r>
          </w:p>
        </w:tc>
        <w:tc>
          <w:tcPr>
            <w:tcW w:w="1670" w:type="dxa"/>
            <w:tcBorders>
              <w:left w:val="single" w:sz="4" w:space="0" w:color="3B3474"/>
              <w:right w:val="single" w:sz="4" w:space="0" w:color="3B3474"/>
            </w:tcBorders>
          </w:tcPr>
          <w:p w14:paraId="554FC133" w14:textId="32458234" w:rsidR="000A1756" w:rsidRDefault="000A1756" w:rsidP="005569D7">
            <w:r>
              <w:t>Intervention: 72</w:t>
            </w:r>
          </w:p>
          <w:p w14:paraId="32D99970" w14:textId="0A6937B9" w:rsidR="000A1756" w:rsidRDefault="000A1756" w:rsidP="005569D7">
            <w:r>
              <w:t>Control: 70</w:t>
            </w:r>
          </w:p>
        </w:tc>
        <w:tc>
          <w:tcPr>
            <w:tcW w:w="5395" w:type="dxa"/>
            <w:tcBorders>
              <w:left w:val="single" w:sz="4" w:space="0" w:color="3B3474"/>
              <w:right w:val="single" w:sz="4" w:space="0" w:color="3B3474"/>
            </w:tcBorders>
          </w:tcPr>
          <w:p w14:paraId="6E82261A" w14:textId="2F2CE9F7" w:rsidR="000A1756" w:rsidRDefault="000A1756" w:rsidP="005569D7">
            <w:r w:rsidRPr="00A33A8C">
              <w:rPr>
                <w:b/>
              </w:rPr>
              <w:t>Aim</w:t>
            </w:r>
            <w:r>
              <w:t>: to examine</w:t>
            </w:r>
            <w:r w:rsidRPr="00A33A8C">
              <w:t xml:space="preserve"> the effect of light intensity resistance exercise training performed during the second and third trimester of pregnancy. </w:t>
            </w:r>
          </w:p>
          <w:p w14:paraId="6CDB200C" w14:textId="3FBA4311" w:rsidR="000A1756" w:rsidRDefault="000A1756" w:rsidP="005569D7">
            <w:r w:rsidRPr="00A33A8C">
              <w:rPr>
                <w:b/>
              </w:rPr>
              <w:t>Population</w:t>
            </w:r>
            <w:r>
              <w:t xml:space="preserve">: Healthy </w:t>
            </w:r>
            <w:r w:rsidRPr="00A33A8C">
              <w:t xml:space="preserve">sedentary </w:t>
            </w:r>
            <w:r>
              <w:t>pregnant women</w:t>
            </w:r>
            <w:r w:rsidR="00C45716">
              <w:t>; mixed BMIs</w:t>
            </w:r>
            <w:r w:rsidRPr="00A33A8C">
              <w:t xml:space="preserve">. </w:t>
            </w:r>
          </w:p>
          <w:p w14:paraId="6E702129" w14:textId="0D8A0FCE" w:rsidR="00C45716" w:rsidRDefault="00C45716" w:rsidP="00C45716">
            <w:r w:rsidRPr="005E4EF9">
              <w:rPr>
                <w:b/>
              </w:rPr>
              <w:t>Intervention</w:t>
            </w:r>
            <w:r w:rsidR="007D13BF">
              <w:rPr>
                <w:b/>
              </w:rPr>
              <w:t>:</w:t>
            </w:r>
          </w:p>
          <w:p w14:paraId="5EB50732" w14:textId="77777777" w:rsidR="00C45716" w:rsidRPr="00C45716" w:rsidRDefault="00C45716" w:rsidP="00C45716">
            <w:pPr>
              <w:pStyle w:val="bullet"/>
            </w:pPr>
            <w:r w:rsidRPr="00C45716">
              <w:rPr>
                <w:i/>
              </w:rPr>
              <w:t>Supervised</w:t>
            </w:r>
            <w:r w:rsidRPr="00C45716">
              <w:t>: Yes</w:t>
            </w:r>
          </w:p>
          <w:p w14:paraId="61E1F92E" w14:textId="55B515C1" w:rsidR="00C45716" w:rsidRPr="00C45716" w:rsidRDefault="00C45716" w:rsidP="00C45716">
            <w:pPr>
              <w:pStyle w:val="bullet"/>
            </w:pPr>
            <w:r w:rsidRPr="00C45716">
              <w:rPr>
                <w:i/>
              </w:rPr>
              <w:t>Type and duration</w:t>
            </w:r>
            <w:r w:rsidRPr="00C45716">
              <w:t xml:space="preserve">: </w:t>
            </w:r>
            <w:r>
              <w:t xml:space="preserve">Resistance; </w:t>
            </w:r>
            <w:r w:rsidRPr="00C12274">
              <w:t>Toning and joint mobilisation</w:t>
            </w:r>
            <w:r>
              <w:t xml:space="preserve">; </w:t>
            </w:r>
            <w:r w:rsidRPr="00C12274">
              <w:t>35-40 min 3 times a week from weeks 12-13 to 38-39</w:t>
            </w:r>
            <w:r>
              <w:t>.</w:t>
            </w:r>
          </w:p>
          <w:p w14:paraId="60E03820" w14:textId="5638FABC" w:rsidR="000A1756" w:rsidRPr="00A33A8C" w:rsidRDefault="00C45716" w:rsidP="00C45716">
            <w:pPr>
              <w:pStyle w:val="bullet"/>
            </w:pPr>
            <w:r w:rsidRPr="00C45716">
              <w:rPr>
                <w:i/>
              </w:rPr>
              <w:t>Intensity</w:t>
            </w:r>
            <w:r w:rsidRPr="00C45716">
              <w:t xml:space="preserve">: </w:t>
            </w:r>
            <w:r w:rsidRPr="00A32D99">
              <w:t>Light; ≤80% of age-predicted maximum HR</w:t>
            </w:r>
          </w:p>
        </w:tc>
        <w:tc>
          <w:tcPr>
            <w:tcW w:w="5953" w:type="dxa"/>
            <w:tcBorders>
              <w:left w:val="single" w:sz="4" w:space="0" w:color="3B3474"/>
              <w:right w:val="single" w:sz="4" w:space="0" w:color="3B3474"/>
            </w:tcBorders>
          </w:tcPr>
          <w:p w14:paraId="481F5D20" w14:textId="1A6AAEC2" w:rsidR="000A1756" w:rsidRDefault="00BE3AA4" w:rsidP="005569D7">
            <w:r>
              <w:t>Gestational w</w:t>
            </w:r>
            <w:r w:rsidR="000A1756">
              <w:t xml:space="preserve">eight gain intervention vs </w:t>
            </w:r>
            <w:r w:rsidR="000A1756" w:rsidRPr="006234EA">
              <w:t>control by BMI:</w:t>
            </w:r>
            <w:r w:rsidR="000A1756">
              <w:t xml:space="preserve"> </w:t>
            </w:r>
          </w:p>
          <w:p w14:paraId="04C2D442" w14:textId="57CA1309" w:rsidR="000A1756" w:rsidRPr="0027402E" w:rsidRDefault="000A1756" w:rsidP="005569D7">
            <w:pPr>
              <w:pStyle w:val="bullet"/>
              <w:keepLines w:val="0"/>
            </w:pPr>
            <w:r w:rsidRPr="0027402E">
              <w:t>18.5–24.9 kg/m</w:t>
            </w:r>
            <w:r w:rsidRPr="00596C15">
              <w:rPr>
                <w:vertAlign w:val="superscript"/>
              </w:rPr>
              <w:t>2</w:t>
            </w:r>
            <w:r w:rsidRPr="00596C15">
              <w:t>:</w:t>
            </w:r>
            <w:r w:rsidRPr="0027402E">
              <w:t xml:space="preserve">12.2±2.9 </w:t>
            </w:r>
            <w:r>
              <w:t xml:space="preserve">vs </w:t>
            </w:r>
            <w:r w:rsidRPr="0027402E">
              <w:t>12.6±3.5 P</w:t>
            </w:r>
            <w:r>
              <w:rPr>
                <w:rFonts w:ascii="Times" w:hAnsi="Times"/>
              </w:rPr>
              <w:t>&gt;</w:t>
            </w:r>
            <w:r w:rsidRPr="0027402E">
              <w:t xml:space="preserve">0.1 </w:t>
            </w:r>
          </w:p>
          <w:p w14:paraId="052C3597" w14:textId="1B0D2BE1" w:rsidR="000A1756" w:rsidRPr="0027402E" w:rsidRDefault="000A1756" w:rsidP="005569D7">
            <w:pPr>
              <w:pStyle w:val="bullet"/>
              <w:keepLines w:val="0"/>
            </w:pPr>
            <w:r w:rsidRPr="0027402E">
              <w:t>25.0–29.9 kg/m</w:t>
            </w:r>
            <w:r w:rsidRPr="00596C15">
              <w:rPr>
                <w:vertAlign w:val="superscript"/>
              </w:rPr>
              <w:t>2</w:t>
            </w:r>
            <w:r w:rsidRPr="00596C15">
              <w:t>:</w:t>
            </w:r>
            <w:r>
              <w:rPr>
                <w:sz w:val="7"/>
                <w:szCs w:val="7"/>
              </w:rPr>
              <w:t xml:space="preserve"> </w:t>
            </w:r>
            <w:r w:rsidRPr="0027402E">
              <w:t xml:space="preserve">10.9±4.9 </w:t>
            </w:r>
            <w:r>
              <w:t xml:space="preserve">vs </w:t>
            </w:r>
            <w:r w:rsidRPr="0027402E">
              <w:t>12.3±3.9 P</w:t>
            </w:r>
            <w:r>
              <w:rPr>
                <w:rFonts w:ascii="Times" w:hAnsi="Times"/>
              </w:rPr>
              <w:t>&gt;</w:t>
            </w:r>
            <w:r w:rsidRPr="0027402E">
              <w:t xml:space="preserve">0.1 </w:t>
            </w:r>
          </w:p>
          <w:p w14:paraId="714AB1B0" w14:textId="6359074A" w:rsidR="000A1756" w:rsidRPr="0027402E" w:rsidRDefault="000A1756" w:rsidP="005569D7">
            <w:pPr>
              <w:pStyle w:val="bullet"/>
              <w:keepLines w:val="0"/>
            </w:pPr>
            <w:r>
              <w:t>≥</w:t>
            </w:r>
            <w:r w:rsidRPr="0027402E">
              <w:t>30.0 kg/m</w:t>
            </w:r>
            <w:r w:rsidRPr="00596C15">
              <w:rPr>
                <w:vertAlign w:val="superscript"/>
              </w:rPr>
              <w:t>2</w:t>
            </w:r>
            <w:r>
              <w:t xml:space="preserve">: </w:t>
            </w:r>
            <w:r w:rsidRPr="0027402E">
              <w:t xml:space="preserve">8.4±4.14 </w:t>
            </w:r>
            <w:r>
              <w:t xml:space="preserve">vs </w:t>
            </w:r>
            <w:r w:rsidRPr="0027402E">
              <w:t>9.7±1.2 P</w:t>
            </w:r>
            <w:r>
              <w:rPr>
                <w:rFonts w:ascii="Times" w:hAnsi="Times"/>
              </w:rPr>
              <w:t>&gt;</w:t>
            </w:r>
            <w:r w:rsidRPr="0027402E">
              <w:t xml:space="preserve">0.1 </w:t>
            </w:r>
          </w:p>
          <w:p w14:paraId="598F9A8E" w14:textId="7E6B9701" w:rsidR="000A1756" w:rsidRDefault="000A1756" w:rsidP="005569D7">
            <w:pPr>
              <w:pStyle w:val="bullet"/>
              <w:keepLines w:val="0"/>
            </w:pPr>
            <w:r w:rsidRPr="0027402E">
              <w:t>All</w:t>
            </w:r>
            <w:r>
              <w:t>:</w:t>
            </w:r>
            <w:r w:rsidRPr="0027402E">
              <w:t xml:space="preserve"> 11.5±3.7 12.4±3.4 P</w:t>
            </w:r>
            <w:r>
              <w:rPr>
                <w:rFonts w:ascii="Times" w:hAnsi="Times"/>
              </w:rPr>
              <w:t>&gt;</w:t>
            </w:r>
            <w:r w:rsidRPr="0027402E">
              <w:t>0.1</w:t>
            </w:r>
          </w:p>
          <w:p w14:paraId="7548B6AF" w14:textId="5E6BCEAD" w:rsidR="000A1756" w:rsidRDefault="000A1756" w:rsidP="005569D7">
            <w:r>
              <w:t>Neonatal outcomes</w:t>
            </w:r>
            <w:r w:rsidRPr="00F85AA5">
              <w:t xml:space="preserve"> (g) </w:t>
            </w:r>
            <w:r>
              <w:t>intervention vs control:</w:t>
            </w:r>
          </w:p>
          <w:p w14:paraId="381822EE" w14:textId="5A409757" w:rsidR="000A1756" w:rsidRPr="00F85AA5" w:rsidRDefault="000A1756" w:rsidP="005569D7">
            <w:pPr>
              <w:pStyle w:val="bullet"/>
              <w:keepLines w:val="0"/>
            </w:pPr>
            <w:r>
              <w:t>Low birthweight &lt;</w:t>
            </w:r>
            <w:r w:rsidRPr="00F85AA5">
              <w:t>2500 g</w:t>
            </w:r>
            <w:r>
              <w:t>: 4 (</w:t>
            </w:r>
            <w:r w:rsidRPr="00F85AA5">
              <w:t>5.6</w:t>
            </w:r>
            <w:r>
              <w:t>%)</w:t>
            </w:r>
            <w:r w:rsidRPr="00F85AA5">
              <w:t xml:space="preserve"> </w:t>
            </w:r>
            <w:r>
              <w:t>vs 4 (</w:t>
            </w:r>
            <w:r w:rsidRPr="00F85AA5">
              <w:t>5.7</w:t>
            </w:r>
            <w:r>
              <w:t>%)</w:t>
            </w:r>
            <w:r w:rsidRPr="00F85AA5">
              <w:t xml:space="preserve"> P</w:t>
            </w:r>
            <w:r>
              <w:t>&gt;</w:t>
            </w:r>
            <w:r w:rsidRPr="00F85AA5">
              <w:rPr>
                <w:rFonts w:ascii="Times" w:hAnsi="Times"/>
              </w:rPr>
              <w:t>4</w:t>
            </w:r>
            <w:r w:rsidRPr="00F85AA5">
              <w:t>0.1</w:t>
            </w:r>
          </w:p>
          <w:p w14:paraId="6AC1719B" w14:textId="74621981" w:rsidR="000A1756" w:rsidRPr="00F85AA5" w:rsidRDefault="000A1756" w:rsidP="005569D7">
            <w:pPr>
              <w:pStyle w:val="bullet"/>
              <w:keepLines w:val="0"/>
            </w:pPr>
            <w:r>
              <w:t>Macrosomia</w:t>
            </w:r>
            <w:r w:rsidRPr="00B14845">
              <w:t xml:space="preserve"> </w:t>
            </w:r>
            <w:r>
              <w:rPr>
                <w:rFonts w:ascii="Times" w:hAnsi="Times"/>
              </w:rPr>
              <w:t>&gt;</w:t>
            </w:r>
            <w:r>
              <w:t>4000 g: 1 (</w:t>
            </w:r>
            <w:r w:rsidRPr="00F85AA5">
              <w:t>1.4</w:t>
            </w:r>
            <w:r>
              <w:t>%)</w:t>
            </w:r>
            <w:r w:rsidRPr="00F85AA5">
              <w:t xml:space="preserve"> </w:t>
            </w:r>
            <w:r>
              <w:t>vs 7 (</w:t>
            </w:r>
            <w:r w:rsidRPr="00F85AA5">
              <w:t>10</w:t>
            </w:r>
            <w:r>
              <w:t>%)</w:t>
            </w:r>
            <w:r w:rsidRPr="00F85AA5">
              <w:t xml:space="preserve"> P</w:t>
            </w:r>
            <w:r>
              <w:rPr>
                <w:rFonts w:ascii="Times" w:hAnsi="Times"/>
              </w:rPr>
              <w:t>&gt;</w:t>
            </w:r>
            <w:r w:rsidRPr="00F85AA5">
              <w:t>0.1</w:t>
            </w:r>
          </w:p>
          <w:p w14:paraId="14D606AF" w14:textId="09BF15CE" w:rsidR="000A1756" w:rsidRDefault="000A1756" w:rsidP="000A1756">
            <w:r w:rsidRPr="00E0607D">
              <w:t>C</w:t>
            </w:r>
            <w:r>
              <w:t>aesarean</w:t>
            </w:r>
            <w:r w:rsidR="00BE3AA4">
              <w:t xml:space="preserve"> section</w:t>
            </w:r>
            <w:r>
              <w:t>:</w:t>
            </w:r>
            <w:r w:rsidRPr="00E0607D">
              <w:t xml:space="preserve"> 11 (15.3%) </w:t>
            </w:r>
            <w:r>
              <w:t xml:space="preserve">vs </w:t>
            </w:r>
            <w:r w:rsidRPr="00E0607D">
              <w:t>11 (15.7%)</w:t>
            </w:r>
          </w:p>
        </w:tc>
      </w:tr>
      <w:tr w:rsidR="000A1756" w:rsidRPr="00A652CB" w14:paraId="174C8713"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330258B" w14:textId="28DDECAD" w:rsidR="00C45716" w:rsidRPr="00C12274" w:rsidRDefault="00C45716" w:rsidP="00E70A06">
            <w:r>
              <w:rPr>
                <w:noProof/>
              </w:rPr>
              <w:t>Barakat et al 2011;</w:t>
            </w:r>
            <w:r w:rsidR="00616EE6">
              <w:rPr>
                <w:noProof/>
              </w:rPr>
              <w:fldChar w:fldCharType="begin"/>
            </w:r>
            <w:r w:rsidR="002747EA">
              <w:rPr>
                <w:noProof/>
              </w:rPr>
              <w:instrText xml:space="preserve"> ADDIN EN.CITE &lt;EndNote&gt;&lt;Cite&gt;&lt;Author&gt;Barakat&lt;/Author&gt;&lt;Year&gt;2011&lt;/Year&gt;&lt;RecNum&gt;669&lt;/RecNum&gt;&lt;DisplayText&gt;&lt;style face="superscript" font="Trebuchet MS" size="9"&gt;426&lt;/style&gt;&lt;/DisplayText&gt;&lt;record&gt;&lt;rec-number&gt;669&lt;/rec-number&gt;&lt;foreign-keys&gt;&lt;key app="EN" db-id="exvasrfx2dtraoesasxp2szsxa2df502592x" timestamp="1540526624"&gt;669&lt;/key&gt;&lt;/foreign-keys&gt;&lt;ref-type name="Journal Article"&gt;17&lt;/ref-type&gt;&lt;contributors&gt;&lt;authors&gt;&lt;author&gt;Barakat, R.&lt;/author&gt;&lt;author&gt;Pelaez, M.&lt;/author&gt;&lt;author&gt;Montejo, R.&lt;/author&gt;&lt;author&gt;Luaces, M.&lt;/author&gt;&lt;author&gt;Zakynthinaki, M.&lt;/author&gt;&lt;/authors&gt;&lt;/contributors&gt;&lt;auth-address&gt;Facultad de Ciencias de la Actividad Fisica y del Deporte - INEF, Universidad Politecnica de Madrid, Spain.&lt;/auth-address&gt;&lt;titles&gt;&lt;title&gt;Exercise during pregnancy improves maternal health perception: a randomized controlled trial&lt;/title&gt;&lt;secondary-title&gt;Am J Obstet Gynecol&lt;/secondary-title&gt;&lt;/titles&gt;&lt;periodical&gt;&lt;full-title&gt;Am J Obstet Gynecol&lt;/full-title&gt;&lt;/periodical&gt;&lt;pages&gt;402 e1-7&lt;/pages&gt;&lt;volume&gt;204&lt;/volume&gt;&lt;number&gt;5&lt;/number&gt;&lt;edition&gt;2011/03/01&lt;/edition&gt;&lt;keywords&gt;&lt;keyword&gt;Adult&lt;/keyword&gt;&lt;keyword&gt;Exercise/*psychology&lt;/keyword&gt;&lt;keyword&gt;Female&lt;/keyword&gt;&lt;keyword&gt;*Health Status&lt;/keyword&gt;&lt;keyword&gt;Humans&lt;/keyword&gt;&lt;keyword&gt;Maternal Welfare/*psychology&lt;/keyword&gt;&lt;keyword&gt;*Perception&lt;/keyword&gt;&lt;keyword&gt;Pregnancy&lt;/keyword&gt;&lt;keyword&gt;Pregnancy Outcome&lt;/keyword&gt;&lt;keyword&gt;Sedentary Lifestyle&lt;/keyword&gt;&lt;keyword&gt;Women&amp;apos;s Health&lt;/keyword&gt;&lt;/keywords&gt;&lt;dates&gt;&lt;year&gt;2011&lt;/year&gt;&lt;pub-dates&gt;&lt;date&gt;May&lt;/date&gt;&lt;/pub-dates&gt;&lt;/dates&gt;&lt;isbn&gt;1097-6868 (Electronic)&amp;#xD;0002-9378 (Linking)&lt;/isbn&gt;&lt;accession-num&gt;21354547&lt;/accession-num&gt;&lt;urls&gt;&lt;related-urls&gt;&lt;url&gt;https://www.ncbi.nlm.nih.gov/pubmed/21354547&lt;/url&gt;&lt;/related-urls&gt;&lt;/urls&gt;&lt;electronic-resource-num&gt;10.1016/j.ajog.2011.01.043&lt;/electronic-resource-num&gt;&lt;/record&gt;&lt;/Cite&gt;&lt;/EndNote&gt;</w:instrText>
            </w:r>
            <w:r w:rsidR="00616EE6">
              <w:rPr>
                <w:noProof/>
              </w:rPr>
              <w:fldChar w:fldCharType="separate"/>
            </w:r>
            <w:r w:rsidR="002747EA" w:rsidRPr="002747EA">
              <w:rPr>
                <w:noProof/>
                <w:vertAlign w:val="superscript"/>
              </w:rPr>
              <w:t>426</w:t>
            </w:r>
            <w:r w:rsidR="00616EE6">
              <w:rPr>
                <w:noProof/>
              </w:rPr>
              <w:fldChar w:fldCharType="end"/>
            </w:r>
            <w:r>
              <w:rPr>
                <w:noProof/>
              </w:rPr>
              <w:t xml:space="preserve"> Barakat et al 2012a</w:t>
            </w:r>
            <w:r w:rsidR="00616EE6">
              <w:fldChar w:fldCharType="begin"/>
            </w:r>
            <w:r w:rsidR="002747EA">
              <w:instrText xml:space="preserve"> ADDIN EN.CITE &lt;EndNote&gt;&lt;Cite&gt;&lt;Author&gt;Barakat&lt;/Author&gt;&lt;Year&gt;2012&lt;/Year&gt;&lt;RecNum&gt;670&lt;/RecNum&gt;&lt;DisplayText&gt;&lt;style face="superscript" font="Trebuchet MS" size="9"&gt;454&lt;/style&gt;&lt;/DisplayText&gt;&lt;record&gt;&lt;rec-number&gt;670&lt;/rec-number&gt;&lt;foreign-keys&gt;&lt;key app="EN" db-id="exvasrfx2dtraoesasxp2szsxa2df502592x" timestamp="1540526636"&gt;670&lt;/key&gt;&lt;/foreign-keys&gt;&lt;ref-type name="Journal Article"&gt;17&lt;/ref-type&gt;&lt;contributors&gt;&lt;authors&gt;&lt;author&gt;Barakat, R.&lt;/author&gt;&lt;author&gt;Cordero, Y.&lt;/author&gt;&lt;author&gt;Coteron, J.&lt;/author&gt;&lt;author&gt;Luaces, M.&lt;/author&gt;&lt;author&gt;Montejo, R.&lt;/author&gt;&lt;/authors&gt;&lt;/contributors&gt;&lt;auth-address&gt;Facultad de Ciencias de la Actividad Fisica y del Deporte - INEF, Universidad Politecnica de Madrid, Spain. barakatruben@gmail.com&lt;/auth-address&gt;&lt;titles&gt;&lt;title&gt;Exercise during pregnancy improves maternal glucose screen at 24-28 weeks: a randomised controlled trial&lt;/title&gt;&lt;secondary-title&gt;Br J Sports Med&lt;/secondary-title&gt;&lt;/titles&gt;&lt;periodical&gt;&lt;full-title&gt;Br J Sports Med&lt;/full-title&gt;&lt;/periodical&gt;&lt;pages&gt;656-61&lt;/pages&gt;&lt;volume&gt;46&lt;/volume&gt;&lt;number&gt;9&lt;/number&gt;&lt;edition&gt;2011/09/29&lt;/edition&gt;&lt;keywords&gt;&lt;keyword&gt;Adult&lt;/keyword&gt;&lt;keyword&gt;Blood Glucose/*metabolism&lt;/keyword&gt;&lt;keyword&gt;Diabetes, Gestational/blood/*prevention &amp;amp; control&lt;/keyword&gt;&lt;keyword&gt;Exercise Therapy/*methods&lt;/keyword&gt;&lt;keyword&gt;Female&lt;/keyword&gt;&lt;keyword&gt;Glucose Tolerance Test&lt;/keyword&gt;&lt;keyword&gt;Humans&lt;/keyword&gt;&lt;keyword&gt;Hydrotherapy&lt;/keyword&gt;&lt;keyword&gt;Patient Compliance&lt;/keyword&gt;&lt;keyword&gt;Pregnancy&lt;/keyword&gt;&lt;keyword&gt;Pregnancy Outcome&lt;/keyword&gt;&lt;keyword&gt;Pregnancy Trimester, Second&lt;/keyword&gt;&lt;keyword&gt;Prenatal Care/*methods&lt;/keyword&gt;&lt;keyword&gt;Weight Gain/physiology&lt;/keyword&gt;&lt;/keywords&gt;&lt;dates&gt;&lt;year&gt;2012&lt;/year&gt;&lt;pub-dates&gt;&lt;date&gt;Jul&lt;/date&gt;&lt;/pub-dates&gt;&lt;/dates&gt;&lt;isbn&gt;1473-0480 (Electronic)&amp;#xD;0306-3674 (Linking)&lt;/isbn&gt;&lt;accession-num&gt;21948120&lt;/accession-num&gt;&lt;urls&gt;&lt;related-urls&gt;&lt;url&gt;https://www.ncbi.nlm.nih.gov/pubmed/21948120&lt;/url&gt;&lt;/related-urls&gt;&lt;/urls&gt;&lt;electronic-resource-num&gt;10.1136/bjsports-2011-090009&lt;/electronic-resource-num&gt;&lt;/record&gt;&lt;/Cite&gt;&lt;/EndNote&gt;</w:instrText>
            </w:r>
            <w:r w:rsidR="00616EE6">
              <w:fldChar w:fldCharType="separate"/>
            </w:r>
            <w:r w:rsidR="002747EA" w:rsidRPr="002747EA">
              <w:rPr>
                <w:noProof/>
                <w:vertAlign w:val="superscript"/>
              </w:rPr>
              <w:t>454</w:t>
            </w:r>
            <w:r w:rsidR="00616EE6">
              <w:fldChar w:fldCharType="end"/>
            </w:r>
          </w:p>
          <w:p w14:paraId="4061D3B5" w14:textId="191D32D2" w:rsidR="000A1756" w:rsidRPr="00362C86" w:rsidRDefault="00C45716" w:rsidP="00E70A06">
            <w:r w:rsidRPr="00C12274">
              <w:t>Spain</w:t>
            </w:r>
          </w:p>
        </w:tc>
        <w:tc>
          <w:tcPr>
            <w:tcW w:w="1670" w:type="dxa"/>
            <w:tcBorders>
              <w:left w:val="single" w:sz="4" w:space="0" w:color="3B3474"/>
              <w:right w:val="single" w:sz="4" w:space="0" w:color="3B3474"/>
            </w:tcBorders>
          </w:tcPr>
          <w:p w14:paraId="448AECCE" w14:textId="77777777" w:rsidR="000A1756" w:rsidRDefault="000A1756" w:rsidP="005569D7">
            <w:r>
              <w:t>Intervention: 40</w:t>
            </w:r>
          </w:p>
          <w:p w14:paraId="0403A997" w14:textId="6B0CD503" w:rsidR="000A1756" w:rsidRDefault="000A1756" w:rsidP="005569D7">
            <w:r>
              <w:t>Control: 43</w:t>
            </w:r>
          </w:p>
        </w:tc>
        <w:tc>
          <w:tcPr>
            <w:tcW w:w="5395" w:type="dxa"/>
            <w:tcBorders>
              <w:left w:val="single" w:sz="4" w:space="0" w:color="3B3474"/>
              <w:right w:val="single" w:sz="4" w:space="0" w:color="3B3474"/>
            </w:tcBorders>
          </w:tcPr>
          <w:p w14:paraId="4EA4E905" w14:textId="5355B959" w:rsidR="000A1756" w:rsidRDefault="000A1756" w:rsidP="005569D7">
            <w:r w:rsidRPr="00C55B30">
              <w:rPr>
                <w:b/>
              </w:rPr>
              <w:t>Aim</w:t>
            </w:r>
            <w:r>
              <w:t>: To examine th</w:t>
            </w:r>
            <w:r w:rsidRPr="00D86B11">
              <w:t xml:space="preserve">e influence of an exercise programme on maternal glucose tolerance. </w:t>
            </w:r>
          </w:p>
          <w:p w14:paraId="21BC45A9" w14:textId="538079AA" w:rsidR="000A1756" w:rsidRDefault="000A1756" w:rsidP="005569D7">
            <w:r w:rsidRPr="00C55B30">
              <w:rPr>
                <w:rFonts w:ascii="Helvetica" w:hAnsi="Helvetica"/>
                <w:b/>
                <w:szCs w:val="18"/>
              </w:rPr>
              <w:t>Population</w:t>
            </w:r>
            <w:r>
              <w:rPr>
                <w:rFonts w:ascii="Helvetica" w:hAnsi="Helvetica"/>
                <w:szCs w:val="18"/>
              </w:rPr>
              <w:t xml:space="preserve">: </w:t>
            </w:r>
            <w:r>
              <w:rPr>
                <w:szCs w:val="18"/>
              </w:rPr>
              <w:t xml:space="preserve">Healthy </w:t>
            </w:r>
            <w:r w:rsidRPr="00C55B30">
              <w:t xml:space="preserve">women </w:t>
            </w:r>
            <w:r>
              <w:t>with</w:t>
            </w:r>
            <w:r w:rsidRPr="00C55B30">
              <w:t xml:space="preserve"> uncomplicated singleton pregnancies.</w:t>
            </w:r>
            <w:r w:rsidR="007312D6">
              <w:t xml:space="preserve"> Mixed BMIS.</w:t>
            </w:r>
          </w:p>
          <w:p w14:paraId="58B1B4EA" w14:textId="772CD23B" w:rsidR="007312D6" w:rsidRDefault="007312D6" w:rsidP="007312D6">
            <w:r w:rsidRPr="005E4EF9">
              <w:rPr>
                <w:b/>
              </w:rPr>
              <w:t>Intervention</w:t>
            </w:r>
            <w:r w:rsidR="007D13BF">
              <w:rPr>
                <w:b/>
              </w:rPr>
              <w:t>:</w:t>
            </w:r>
          </w:p>
          <w:p w14:paraId="34764B8D" w14:textId="77777777" w:rsidR="007312D6" w:rsidRPr="00C45716" w:rsidRDefault="007312D6" w:rsidP="007312D6">
            <w:pPr>
              <w:pStyle w:val="bullet"/>
            </w:pPr>
            <w:r w:rsidRPr="00C45716">
              <w:rPr>
                <w:i/>
              </w:rPr>
              <w:t>Supervised</w:t>
            </w:r>
            <w:r w:rsidRPr="00C45716">
              <w:t>: Yes</w:t>
            </w:r>
          </w:p>
          <w:p w14:paraId="12BF9929" w14:textId="77777777" w:rsidR="007312D6" w:rsidRDefault="007312D6" w:rsidP="007312D6">
            <w:pPr>
              <w:pStyle w:val="bullet"/>
            </w:pPr>
            <w:r w:rsidRPr="00C45716">
              <w:rPr>
                <w:i/>
              </w:rPr>
              <w:t>Type and duration</w:t>
            </w:r>
            <w:r w:rsidRPr="00C45716">
              <w:t xml:space="preserve">: </w:t>
            </w:r>
            <w:r>
              <w:t xml:space="preserve">Aerobic and resistance; </w:t>
            </w:r>
            <w:r w:rsidRPr="00C12274">
              <w:t>Land and aquatic</w:t>
            </w:r>
            <w:r>
              <w:t xml:space="preserve">; </w:t>
            </w:r>
            <w:r w:rsidRPr="00C12274">
              <w:t>35–45-min 3 times a week from weeks 6-9 to 38-39</w:t>
            </w:r>
          </w:p>
          <w:p w14:paraId="1B8DA960" w14:textId="73C41889" w:rsidR="000A1756" w:rsidRPr="007312D6" w:rsidRDefault="007312D6" w:rsidP="007312D6">
            <w:pPr>
              <w:pStyle w:val="bullet"/>
              <w:rPr>
                <w:sz w:val="16"/>
                <w:szCs w:val="16"/>
              </w:rPr>
            </w:pPr>
            <w:r w:rsidRPr="00C45716">
              <w:rPr>
                <w:i/>
              </w:rPr>
              <w:t>Intensity</w:t>
            </w:r>
            <w:r w:rsidRPr="00C45716">
              <w:t>:</w:t>
            </w:r>
            <w:r w:rsidRPr="00767804">
              <w:t xml:space="preserve"> Light to moderate, HR&lt;70%</w:t>
            </w:r>
          </w:p>
        </w:tc>
        <w:tc>
          <w:tcPr>
            <w:tcW w:w="5953" w:type="dxa"/>
            <w:tcBorders>
              <w:left w:val="single" w:sz="4" w:space="0" w:color="3B3474"/>
              <w:right w:val="single" w:sz="4" w:space="0" w:color="3B3474"/>
            </w:tcBorders>
          </w:tcPr>
          <w:p w14:paraId="26B643B1" w14:textId="77777777" w:rsidR="000A1756" w:rsidRDefault="000A1756" w:rsidP="005569D7">
            <w:r>
              <w:t xml:space="preserve">Intervention vs control: </w:t>
            </w:r>
          </w:p>
          <w:p w14:paraId="2CE8C304" w14:textId="1368192F" w:rsidR="000A1756" w:rsidRPr="00C92B77" w:rsidRDefault="000A1756" w:rsidP="005569D7">
            <w:pPr>
              <w:pStyle w:val="bullet"/>
              <w:keepLines w:val="0"/>
            </w:pPr>
            <w:r>
              <w:t>Gestational</w:t>
            </w:r>
            <w:r w:rsidRPr="00C92B77">
              <w:t xml:space="preserve"> weight gain (kg)</w:t>
            </w:r>
            <w:r>
              <w:t xml:space="preserve">: 12.5±3.2 vs </w:t>
            </w:r>
            <w:r w:rsidRPr="00C92B77">
              <w:t xml:space="preserve">13.8±3.1 </w:t>
            </w:r>
            <w:r>
              <w:t>p</w:t>
            </w:r>
            <w:r w:rsidRPr="00C92B77">
              <w:t>&gt;0.05</w:t>
            </w:r>
          </w:p>
          <w:p w14:paraId="20C9FF49" w14:textId="21F1D545" w:rsidR="000A1756" w:rsidRPr="009D231E" w:rsidRDefault="00D6509C" w:rsidP="005569D7">
            <w:pPr>
              <w:pStyle w:val="bullet"/>
              <w:keepLines w:val="0"/>
            </w:pPr>
            <w:r>
              <w:t>Gestational diabetes</w:t>
            </w:r>
            <w:r w:rsidR="000A1756" w:rsidRPr="009D231E">
              <w:t xml:space="preserve"> (n/%)</w:t>
            </w:r>
            <w:r w:rsidR="000A1756">
              <w:t>:</w:t>
            </w:r>
            <w:r w:rsidR="000A1756" w:rsidRPr="009D231E">
              <w:t xml:space="preserve"> 0/0 </w:t>
            </w:r>
            <w:r w:rsidR="000A1756">
              <w:t xml:space="preserve">vs </w:t>
            </w:r>
            <w:r w:rsidR="000A1756" w:rsidRPr="009D231E">
              <w:t xml:space="preserve">3/7 </w:t>
            </w:r>
            <w:r w:rsidR="000A1756">
              <w:t>p</w:t>
            </w:r>
            <w:r w:rsidR="000A1756" w:rsidRPr="009D231E">
              <w:t>&gt;0.05</w:t>
            </w:r>
          </w:p>
          <w:p w14:paraId="4EA204DF" w14:textId="7E839531" w:rsidR="000A1756" w:rsidRPr="009F30BA" w:rsidRDefault="000A1756" w:rsidP="005569D7">
            <w:pPr>
              <w:pStyle w:val="bullet"/>
              <w:keepLines w:val="0"/>
            </w:pPr>
            <w:r w:rsidRPr="009F30BA">
              <w:t>Caesarean</w:t>
            </w:r>
            <w:r>
              <w:t xml:space="preserve"> section</w:t>
            </w:r>
            <w:r w:rsidRPr="009F30BA">
              <w:t xml:space="preserve"> (n/%)</w:t>
            </w:r>
            <w:r>
              <w:t>:</w:t>
            </w:r>
            <w:r w:rsidRPr="009F30BA">
              <w:t xml:space="preserve"> 12/30 </w:t>
            </w:r>
            <w:r>
              <w:t xml:space="preserve">vs </w:t>
            </w:r>
            <w:r w:rsidRPr="009F30BA">
              <w:t>6/14</w:t>
            </w:r>
          </w:p>
          <w:p w14:paraId="24A77F19" w14:textId="02B444B3" w:rsidR="000A1756" w:rsidRPr="004C0F1A" w:rsidRDefault="000A1756" w:rsidP="00BE3AA4">
            <w:pPr>
              <w:pStyle w:val="bullet"/>
              <w:keepLines w:val="0"/>
              <w:numPr>
                <w:ilvl w:val="0"/>
                <w:numId w:val="0"/>
              </w:numPr>
            </w:pPr>
          </w:p>
        </w:tc>
      </w:tr>
      <w:tr w:rsidR="000A1756" w:rsidRPr="00A652CB" w14:paraId="1555E757"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21378CD2" w14:textId="3FD9AF21" w:rsidR="009A00EF" w:rsidRPr="00C12274" w:rsidRDefault="009A00EF" w:rsidP="00E70A06">
            <w:r w:rsidRPr="00C12274">
              <w:rPr>
                <w:noProof/>
              </w:rPr>
              <w:t>Barakat e</w:t>
            </w:r>
            <w:r>
              <w:rPr>
                <w:noProof/>
              </w:rPr>
              <w:t>t al 2012b;</w:t>
            </w:r>
            <w:r w:rsidR="00616EE6">
              <w:rPr>
                <w:noProof/>
              </w:rPr>
              <w:fldChar w:fldCharType="begin">
                <w:fldData xml:space="preserve">PEVuZE5vdGU+PENpdGU+PEF1dGhvcj5CYXJha2F0PC9BdXRob3I+PFllYXI+MjAxMjwvWWVhcj48
UmVjTnVtPjY3MTwvUmVjTnVtPjxEaXNwbGF5VGV4dD48c3R5bGUgZmFjZT0ic3VwZXJzY3JpcHQi
IGZvbnQ9IlRyZWJ1Y2hldCBNUyIgc2l6ZT0iOSI+NDI3PC9zdHlsZT48L0Rpc3BsYXlUZXh0Pjxy
ZWNvcmQ+PHJlYy1udW1iZXI+NjcxPC9yZWMtbnVtYmVyPjxmb3JlaWduLWtleXM+PGtleSBhcHA9
IkVOIiBkYi1pZD0iZXh2YXNyZngyZHRyYW9lc2FzeHAyc3pzeGEyZGY1MDI1OTJ4IiB0aW1lc3Rh
bXA9IjE1NDA1MjY2NzQiPjY3MTwva2V5PjwvZm9yZWlnbi1rZXlzPjxyZWYtdHlwZSBuYW1lPSJK
b3VybmFsIEFydGljbGUiPjE3PC9yZWYtdHlwZT48Y29udHJpYnV0b3JzPjxhdXRob3JzPjxhdXRo
b3I+QmFyYWthdCwgUi48L2F1dGhvcj48YXV0aG9yPlBlbGFleiwgTS48L2F1dGhvcj48YXV0aG9y
PkxvcGV6LCBDLjwvYXV0aG9yPjxhdXRob3I+TW9udGVqbywgUi48L2F1dGhvcj48YXV0aG9yPkNv
dGVyb24sIEouPC9hdXRob3I+PC9hdXRob3JzPjwvY29udHJpYnV0b3JzPjxhdXRoLWFkZHJlc3M+
VGVjaG5pY2FsIFVuaXZlcnNpdHkgb2YgTWFkcmlkIChVUE0pLCBNYWRyaWQsIFNwYWluLiBiYXJh
a2F0cnViZW5AZ21haWwuY29tPC9hdXRoLWFkZHJlc3M+PHRpdGxlcz48dGl0bGU+RXhlcmNpc2Ug
ZHVyaW5nIHByZWduYW5jeSByZWR1Y2VzIHRoZSByYXRlIG9mIGNlc2FyZWFuIGFuZCBpbnN0cnVt
ZW50YWwgZGVsaXZlcmllczogcmVzdWx0cyBvZiBhIHJhbmRvbWl6ZWQgY29udHJvbGxlZCB0cmlh
bDwvdGl0bGU+PHNlY29uZGFyeS10aXRsZT5KIE1hdGVybiBGZXRhbCBOZW9uYXRhbCBNZWQ8L3Nl
Y29uZGFyeS10aXRsZT48L3RpdGxlcz48cGVyaW9kaWNhbD48ZnVsbC10aXRsZT5KIE1hdGVybiBG
ZXRhbCBOZW9uYXRhbCBNZWQ8L2Z1bGwtdGl0bGU+PC9wZXJpb2RpY2FsPjxwYWdlcz4yMzcyLTY8
L3BhZ2VzPjx2b2x1bWU+MjU8L3ZvbHVtZT48bnVtYmVyPjExPC9udW1iZXI+PGVkaXRpb24+MjAx
Mi8wNi8yMjwvZWRpdGlvbj48a2V5d29yZHM+PGtleXdvcmQ+QWR1bHQ8L2tleXdvcmQ+PGtleXdv
cmQ+Q2VzYXJlYW4gU2VjdGlvbi8qc3RhdGlzdGljcyAmYW1wOyBudW1lcmljYWwgZGF0YTwva2V5
d29yZD48a2V5d29yZD5EZWxpdmVyeSwgT2JzdGV0cmljL2luc3RydW1lbnRhdGlvbi8qbWV0aG9k
cy8qc3RhdGlzdGljcyAmYW1wOyBudW1lcmljYWwgZGF0YTwva2V5d29yZD48a2V5d29yZD5FeGVy
Y2lzZS8qcGh5c2lvbG9neTwva2V5d29yZD48a2V5d29yZD5FeGVyY2lzZSBUaGVyYXB5L2FkdmVy
c2UgZWZmZWN0cy9tZXRob2RzPC9rZXl3b3JkPjxrZXl3b3JkPkZlbWFsZTwva2V5d29yZD48a2V5
d29yZD5Gb2xsb3ctVXAgU3R1ZGllczwva2V5d29yZD48a2V5d29yZD5IdW1hbnM8L2tleXdvcmQ+
PGtleXdvcmQ+SW5mYW50LCBOZXdib3JuPC9rZXl3b3JkPjxrZXl3b3JkPlBhdGllbnQgQ29tcGxp
YW5jZS9zdGF0aXN0aWNzICZhbXA7IG51bWVyaWNhbCBkYXRhPC9rZXl3b3JkPjxrZXl3b3JkPlBo
eXNpY2FsIEZpdG5lc3MvcGh5c2lvbG9neTwva2V5d29yZD48a2V5d29yZD5QcmVnbmFuY3k8L2tl
eXdvcmQ+PGtleXdvcmQ+UHJlZ25hbmN5IE91dGNvbWUvKmVwaWRlbWlvbG9neTwva2V5d29yZD48
a2V5d29yZD5TdXJnaWNhbCBJbnN0cnVtZW50cy8qc3RhdGlzdGljcyAmYW1wOyBudW1lcmljYWwg
ZGF0YTwva2V5d29yZD48L2tleXdvcmRzPjxkYXRlcz48eWVhcj4yMDEyPC95ZWFyPjxwdWItZGF0
ZXM+PGRhdGU+Tm92PC9kYXRlPjwvcHViLWRhdGVzPjwvZGF0ZXM+PGlzYm4+MTQ3Ni00OTU0IChF
bGVjdHJvbmljKSYjeEQ7MTQ3Ni00OTU0IChMaW5raW5nKTwvaXNibj48YWNjZXNzaW9uLW51bT4y
MjcxNTk4MTwvYWNjZXNzaW9uLW51bT48dXJscz48cmVsYXRlZC11cmxzPjx1cmw+aHR0cHM6Ly93
d3cubmNiaS5ubG0ubmloLmdvdi9wdWJtZWQvMjI3MTU5ODE8L3VybD48L3JlbGF0ZWQtdXJscz48
L3VybHM+PGVsZWN0cm9uaWMtcmVzb3VyY2UtbnVtPjEwLjMxMDkvMTQ3NjcwNTguMjAxMi42OTYx
NjU8L2VsZWN0cm9uaWMtcmVzb3VyY2UtbnVtPjwvcmVjb3JkPjwvQ2l0ZT48L0VuZE5vdGU+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PEVuZE5vdGU+PENpdGU+PEF1dGhvcj5CYXJha2F0PC9BdXRob3I+PFllYXI+MjAxMjwvWWVhcj48
UmVjTnVtPjY3MTwvUmVjTnVtPjxEaXNwbGF5VGV4dD48c3R5bGUgZmFjZT0ic3VwZXJzY3JpcHQi
IGZvbnQ9IlRyZWJ1Y2hldCBNUyIgc2l6ZT0iOSI+NDI3PC9zdHlsZT48L0Rpc3BsYXlUZXh0Pjxy
ZWNvcmQ+PHJlYy1udW1iZXI+NjcxPC9yZWMtbnVtYmVyPjxmb3JlaWduLWtleXM+PGtleSBhcHA9
IkVOIiBkYi1pZD0iZXh2YXNyZngyZHRyYW9lc2FzeHAyc3pzeGEyZGY1MDI1OTJ4IiB0aW1lc3Rh
bXA9IjE1NDA1MjY2NzQiPjY3MTwva2V5PjwvZm9yZWlnbi1rZXlzPjxyZWYtdHlwZSBuYW1lPSJK
b3VybmFsIEFydGljbGUiPjE3PC9yZWYtdHlwZT48Y29udHJpYnV0b3JzPjxhdXRob3JzPjxhdXRo
b3I+QmFyYWthdCwgUi48L2F1dGhvcj48YXV0aG9yPlBlbGFleiwgTS48L2F1dGhvcj48YXV0aG9y
PkxvcGV6LCBDLjwvYXV0aG9yPjxhdXRob3I+TW9udGVqbywgUi48L2F1dGhvcj48YXV0aG9yPkNv
dGVyb24sIEouPC9hdXRob3I+PC9hdXRob3JzPjwvY29udHJpYnV0b3JzPjxhdXRoLWFkZHJlc3M+
VGVjaG5pY2FsIFVuaXZlcnNpdHkgb2YgTWFkcmlkIChVUE0pLCBNYWRyaWQsIFNwYWluLiBiYXJh
a2F0cnViZW5AZ21haWwuY29tPC9hdXRoLWFkZHJlc3M+PHRpdGxlcz48dGl0bGU+RXhlcmNpc2Ug
ZHVyaW5nIHByZWduYW5jeSByZWR1Y2VzIHRoZSByYXRlIG9mIGNlc2FyZWFuIGFuZCBpbnN0cnVt
ZW50YWwgZGVsaXZlcmllczogcmVzdWx0cyBvZiBhIHJhbmRvbWl6ZWQgY29udHJvbGxlZCB0cmlh
bDwvdGl0bGU+PHNlY29uZGFyeS10aXRsZT5KIE1hdGVybiBGZXRhbCBOZW9uYXRhbCBNZWQ8L3Nl
Y29uZGFyeS10aXRsZT48L3RpdGxlcz48cGVyaW9kaWNhbD48ZnVsbC10aXRsZT5KIE1hdGVybiBG
ZXRhbCBOZW9uYXRhbCBNZWQ8L2Z1bGwtdGl0bGU+PC9wZXJpb2RpY2FsPjxwYWdlcz4yMzcyLTY8
L3BhZ2VzPjx2b2x1bWU+MjU8L3ZvbHVtZT48bnVtYmVyPjExPC9udW1iZXI+PGVkaXRpb24+MjAx
Mi8wNi8yMjwvZWRpdGlvbj48a2V5d29yZHM+PGtleXdvcmQ+QWR1bHQ8L2tleXdvcmQ+PGtleXdv
cmQ+Q2VzYXJlYW4gU2VjdGlvbi8qc3RhdGlzdGljcyAmYW1wOyBudW1lcmljYWwgZGF0YTwva2V5
d29yZD48a2V5d29yZD5EZWxpdmVyeSwgT2JzdGV0cmljL2luc3RydW1lbnRhdGlvbi8qbWV0aG9k
cy8qc3RhdGlzdGljcyAmYW1wOyBudW1lcmljYWwgZGF0YTwva2V5d29yZD48a2V5d29yZD5FeGVy
Y2lzZS8qcGh5c2lvbG9neTwva2V5d29yZD48a2V5d29yZD5FeGVyY2lzZSBUaGVyYXB5L2FkdmVy
c2UgZWZmZWN0cy9tZXRob2RzPC9rZXl3b3JkPjxrZXl3b3JkPkZlbWFsZTwva2V5d29yZD48a2V5
d29yZD5Gb2xsb3ctVXAgU3R1ZGllczwva2V5d29yZD48a2V5d29yZD5IdW1hbnM8L2tleXdvcmQ+
PGtleXdvcmQ+SW5mYW50LCBOZXdib3JuPC9rZXl3b3JkPjxrZXl3b3JkPlBhdGllbnQgQ29tcGxp
YW5jZS9zdGF0aXN0aWNzICZhbXA7IG51bWVyaWNhbCBkYXRhPC9rZXl3b3JkPjxrZXl3b3JkPlBo
eXNpY2FsIEZpdG5lc3MvcGh5c2lvbG9neTwva2V5d29yZD48a2V5d29yZD5QcmVnbmFuY3k8L2tl
eXdvcmQ+PGtleXdvcmQ+UHJlZ25hbmN5IE91dGNvbWUvKmVwaWRlbWlvbG9neTwva2V5d29yZD48
a2V5d29yZD5TdXJnaWNhbCBJbnN0cnVtZW50cy8qc3RhdGlzdGljcyAmYW1wOyBudW1lcmljYWwg
ZGF0YTwva2V5d29yZD48L2tleXdvcmRzPjxkYXRlcz48eWVhcj4yMDEyPC95ZWFyPjxwdWItZGF0
ZXM+PGRhdGU+Tm92PC9kYXRlPjwvcHViLWRhdGVzPjwvZGF0ZXM+PGlzYm4+MTQ3Ni00OTU0IChF
bGVjdHJvbmljKSYjeEQ7MTQ3Ni00OTU0IChMaW5raW5nKTwvaXNibj48YWNjZXNzaW9uLW51bT4y
MjcxNTk4MTwvYWNjZXNzaW9uLW51bT48dXJscz48cmVsYXRlZC11cmxzPjx1cmw+aHR0cHM6Ly93
d3cubmNiaS5ubG0ubmloLmdvdi9wdWJtZWQvMjI3MTU5ODE8L3VybD48L3JlbGF0ZWQtdXJscz48
L3VybHM+PGVsZWN0cm9uaWMtcmVzb3VyY2UtbnVtPjEwLjMxMDkvMTQ3NjcwNTguMjAxMi42OTYx
NjU8L2VsZWN0cm9uaWMtcmVzb3VyY2UtbnVtPjwvcmVjb3JkPjwvQ2l0ZT48L0VuZE5vdGU+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00616EE6">
              <w:rPr>
                <w:noProof/>
              </w:rPr>
            </w:r>
            <w:r w:rsidR="00616EE6">
              <w:rPr>
                <w:noProof/>
              </w:rPr>
              <w:fldChar w:fldCharType="separate"/>
            </w:r>
            <w:r w:rsidR="002747EA" w:rsidRPr="002747EA">
              <w:rPr>
                <w:noProof/>
                <w:vertAlign w:val="superscript"/>
              </w:rPr>
              <w:t>427</w:t>
            </w:r>
            <w:r w:rsidR="00616EE6">
              <w:rPr>
                <w:noProof/>
              </w:rPr>
              <w:fldChar w:fldCharType="end"/>
            </w:r>
            <w:r>
              <w:rPr>
                <w:noProof/>
              </w:rPr>
              <w:t xml:space="preserve"> Barakat et al 2014a</w:t>
            </w:r>
            <w:r w:rsidR="00616EE6">
              <w:fldChar w:fldCharType="begin"/>
            </w:r>
            <w:r w:rsidR="002747EA">
              <w:instrText xml:space="preserve"> ADDIN EN.CITE &lt;EndNote&gt;&lt;Cite&gt;&lt;Author&gt;Barakat&lt;/Author&gt;&lt;Year&gt;2014&lt;/Year&gt;&lt;RecNum&gt;675&lt;/RecNum&gt;&lt;DisplayText&gt;&lt;style face="superscript" font="Trebuchet MS" size="9"&gt;533&lt;/style&gt;&lt;/DisplayText&gt;&lt;record&gt;&lt;rec-number&gt;675&lt;/rec-number&gt;&lt;foreign-keys&gt;&lt;key app="EN" db-id="exvasrfx2dtraoesasxp2szsxa2df502592x" timestamp="1540526749"&gt;675&lt;/key&gt;&lt;/foreign-keys&gt;&lt;ref-type name="Journal Article"&gt;17&lt;/ref-type&gt;&lt;contributors&gt;&lt;authors&gt;&lt;author&gt;Barakat, R.&lt;/author&gt;&lt;author&gt;Pelaez, M.&lt;/author&gt;&lt;author&gt;Montejo, R.&lt;/author&gt;&lt;author&gt;Refoyo, I.&lt;/author&gt;&lt;author&gt;Coteron, J.&lt;/author&gt;&lt;/authors&gt;&lt;/contributors&gt;&lt;auth-address&gt;Social Sciences of Physical Activity and Sports, Technical University of Madrid, Spain.&lt;/auth-address&gt;&lt;titles&gt;&lt;title&gt;Exercise throughout pregnancy does not cause preterm delivery: a randomized, controlled trial&lt;/title&gt;&lt;secondary-title&gt;J Phys Act Health&lt;/secondary-title&gt;&lt;/titles&gt;&lt;periodical&gt;&lt;full-title&gt;J Phys Act Health&lt;/full-title&gt;&lt;/periodical&gt;&lt;pages&gt;1012-7&lt;/pages&gt;&lt;volume&gt;11&lt;/volume&gt;&lt;number&gt;5&lt;/number&gt;&lt;edition&gt;2013/05/17&lt;/edition&gt;&lt;keywords&gt;&lt;keyword&gt;Adult&lt;/keyword&gt;&lt;keyword&gt;Analysis of Variance&lt;/keyword&gt;&lt;keyword&gt;Female&lt;/keyword&gt;&lt;keyword&gt;Gestational Age&lt;/keyword&gt;&lt;keyword&gt;Humans&lt;/keyword&gt;&lt;keyword&gt;Infant, Newborn&lt;/keyword&gt;&lt;keyword&gt;*Motor Activity&lt;/keyword&gt;&lt;keyword&gt;*Physical Conditioning, Human&lt;/keyword&gt;&lt;keyword&gt;*Pregnancy&lt;/keyword&gt;&lt;keyword&gt;Pregnancy Outcome&lt;/keyword&gt;&lt;keyword&gt;Pregnancy Trimester, Second/physiology&lt;/keyword&gt;&lt;keyword&gt;Pregnancy Trimester, Third/physiology&lt;/keyword&gt;&lt;keyword&gt;*Premature Birth&lt;/keyword&gt;&lt;keyword&gt;Spain&lt;/keyword&gt;&lt;/keywords&gt;&lt;dates&gt;&lt;year&gt;2014&lt;/year&gt;&lt;pub-dates&gt;&lt;date&gt;Jul&lt;/date&gt;&lt;/pub-dates&gt;&lt;/dates&gt;&lt;isbn&gt;1543-5474 (Electronic)&amp;#xD;1543-3080 (Linking)&lt;/isbn&gt;&lt;accession-num&gt;23676311&lt;/accession-num&gt;&lt;urls&gt;&lt;related-urls&gt;&lt;url&gt;https://www.ncbi.nlm.nih.gov/pubmed/23676311&lt;/url&gt;&lt;/related-urls&gt;&lt;/urls&gt;&lt;electronic-resource-num&gt;10.1123/jpah.2012-0344&lt;/electronic-resource-num&gt;&lt;/record&gt;&lt;/Cite&gt;&lt;/EndNote&gt;</w:instrText>
            </w:r>
            <w:r w:rsidR="00616EE6">
              <w:fldChar w:fldCharType="separate"/>
            </w:r>
            <w:r w:rsidR="002747EA" w:rsidRPr="002747EA">
              <w:rPr>
                <w:noProof/>
                <w:vertAlign w:val="superscript"/>
              </w:rPr>
              <w:t>533</w:t>
            </w:r>
            <w:r w:rsidR="00616EE6">
              <w:fldChar w:fldCharType="end"/>
            </w:r>
          </w:p>
          <w:p w14:paraId="75F7FF8D" w14:textId="6B22195F" w:rsidR="000A1756" w:rsidRPr="00362C86" w:rsidRDefault="009A00EF" w:rsidP="00E70A06">
            <w:r w:rsidRPr="00C12274">
              <w:t>Spain</w:t>
            </w:r>
          </w:p>
        </w:tc>
        <w:tc>
          <w:tcPr>
            <w:tcW w:w="1670" w:type="dxa"/>
            <w:tcBorders>
              <w:left w:val="single" w:sz="4" w:space="0" w:color="3B3474"/>
              <w:right w:val="single" w:sz="4" w:space="0" w:color="3B3474"/>
            </w:tcBorders>
          </w:tcPr>
          <w:p w14:paraId="46AC9B72" w14:textId="77777777" w:rsidR="000A1756" w:rsidRDefault="000A1756" w:rsidP="00D424F3">
            <w:r>
              <w:t>Intervention: 138</w:t>
            </w:r>
          </w:p>
          <w:p w14:paraId="4613C82C" w14:textId="750C5050" w:rsidR="000A1756" w:rsidRDefault="000A1756" w:rsidP="00D424F3">
            <w:r>
              <w:t>Control: 152</w:t>
            </w:r>
          </w:p>
        </w:tc>
        <w:tc>
          <w:tcPr>
            <w:tcW w:w="5395" w:type="dxa"/>
            <w:tcBorders>
              <w:left w:val="single" w:sz="4" w:space="0" w:color="3B3474"/>
              <w:right w:val="single" w:sz="4" w:space="0" w:color="3B3474"/>
            </w:tcBorders>
          </w:tcPr>
          <w:p w14:paraId="01BEF044" w14:textId="77777777" w:rsidR="000A1756" w:rsidRDefault="000A1756" w:rsidP="004C0F1A">
            <w:r w:rsidRPr="004C0F1A">
              <w:rPr>
                <w:b/>
              </w:rPr>
              <w:t>Aim</w:t>
            </w:r>
            <w:r>
              <w:t>: To assess</w:t>
            </w:r>
            <w:r w:rsidRPr="004C0F1A">
              <w:t xml:space="preserve"> the effects of a structured, moderate-intensity exercise program during the entire length of pregnancy on a woman's method of delivery. </w:t>
            </w:r>
          </w:p>
          <w:p w14:paraId="5761A411" w14:textId="1AEEB9AA" w:rsidR="000A1756" w:rsidRDefault="000A1756" w:rsidP="004C0F1A">
            <w:r w:rsidRPr="004C0F1A">
              <w:rPr>
                <w:b/>
              </w:rPr>
              <w:t>Population</w:t>
            </w:r>
            <w:r>
              <w:t>: H</w:t>
            </w:r>
            <w:r w:rsidRPr="004C0F1A">
              <w:t xml:space="preserve">ealthy pregnant Caucasian (Spanish) women with a singleton </w:t>
            </w:r>
            <w:r>
              <w:t>pregnancy.</w:t>
            </w:r>
            <w:r w:rsidR="00BC35D3">
              <w:t xml:space="preserve"> Mixed BMIs.</w:t>
            </w:r>
          </w:p>
          <w:p w14:paraId="67E212A3" w14:textId="1BAA813D" w:rsidR="00BC35D3" w:rsidRDefault="00BC35D3" w:rsidP="00BC35D3">
            <w:r w:rsidRPr="005E4EF9">
              <w:rPr>
                <w:b/>
              </w:rPr>
              <w:t>Intervention</w:t>
            </w:r>
            <w:r w:rsidR="007D13BF">
              <w:rPr>
                <w:b/>
              </w:rPr>
              <w:t>:</w:t>
            </w:r>
          </w:p>
          <w:p w14:paraId="66F1F70A" w14:textId="77777777" w:rsidR="00BC35D3" w:rsidRPr="00C45716" w:rsidRDefault="00BC35D3" w:rsidP="00BC35D3">
            <w:pPr>
              <w:pStyle w:val="bullet"/>
            </w:pPr>
            <w:r w:rsidRPr="00C45716">
              <w:rPr>
                <w:i/>
              </w:rPr>
              <w:t>Supervised</w:t>
            </w:r>
            <w:r w:rsidRPr="00C45716">
              <w:t>: Yes</w:t>
            </w:r>
          </w:p>
          <w:p w14:paraId="6B9F3630" w14:textId="24978351" w:rsidR="00BC35D3" w:rsidRPr="00BC35D3" w:rsidRDefault="00BC35D3" w:rsidP="00BC35D3">
            <w:pPr>
              <w:pStyle w:val="bullet"/>
            </w:pPr>
            <w:r w:rsidRPr="00C45716">
              <w:rPr>
                <w:i/>
              </w:rPr>
              <w:t>Type and duration</w:t>
            </w:r>
            <w:r w:rsidRPr="00C45716">
              <w:t xml:space="preserve">: </w:t>
            </w:r>
            <w:r>
              <w:t xml:space="preserve">Aerobic and resistance; </w:t>
            </w:r>
            <w:r w:rsidRPr="00C12274">
              <w:t>Dance and muscle strengthening</w:t>
            </w:r>
            <w:r>
              <w:t xml:space="preserve">; </w:t>
            </w:r>
            <w:r w:rsidRPr="00C12274">
              <w:t>40–45-min 3 times a week, from weeks 6–9 to 38–39</w:t>
            </w:r>
          </w:p>
          <w:p w14:paraId="7FF314E0" w14:textId="3E815E0E" w:rsidR="000A1756" w:rsidRPr="00207192" w:rsidRDefault="00BC35D3" w:rsidP="00BC35D3">
            <w:pPr>
              <w:pStyle w:val="bullet"/>
            </w:pPr>
            <w:r w:rsidRPr="00C45716">
              <w:rPr>
                <w:i/>
              </w:rPr>
              <w:t>Intensity</w:t>
            </w:r>
            <w:r w:rsidRPr="00C45716">
              <w:t xml:space="preserve">: </w:t>
            </w:r>
            <w:r>
              <w:t>M</w:t>
            </w:r>
            <w:r w:rsidRPr="00C12274">
              <w:t>oderate, HR&lt;70%</w:t>
            </w:r>
          </w:p>
        </w:tc>
        <w:tc>
          <w:tcPr>
            <w:tcW w:w="5953" w:type="dxa"/>
            <w:tcBorders>
              <w:left w:val="single" w:sz="4" w:space="0" w:color="3B3474"/>
              <w:right w:val="single" w:sz="4" w:space="0" w:color="3B3474"/>
            </w:tcBorders>
          </w:tcPr>
          <w:p w14:paraId="399132F5" w14:textId="3C9638EC" w:rsidR="000A1756" w:rsidRDefault="000A1756" w:rsidP="009F2191">
            <w:r>
              <w:t>Intervention vs control (n/%):</w:t>
            </w:r>
          </w:p>
          <w:p w14:paraId="19A17A91" w14:textId="77777777" w:rsidR="00BE3AA4" w:rsidRPr="00F443A4" w:rsidRDefault="00BE3AA4" w:rsidP="00BE3AA4">
            <w:pPr>
              <w:pStyle w:val="bullet"/>
            </w:pPr>
            <w:r>
              <w:t>Gestational</w:t>
            </w:r>
            <w:r w:rsidRPr="00F443A4">
              <w:t xml:space="preserve"> weight</w:t>
            </w:r>
            <w:r>
              <w:t xml:space="preserve"> </w:t>
            </w:r>
            <w:r w:rsidRPr="00F443A4">
              <w:t>gain (kg)</w:t>
            </w:r>
            <w:r>
              <w:t xml:space="preserve">: </w:t>
            </w:r>
            <w:r w:rsidRPr="00F443A4">
              <w:t>11.9</w:t>
            </w:r>
            <w:r>
              <w:t xml:space="preserve">±3.7 vs </w:t>
            </w:r>
            <w:r w:rsidRPr="00F443A4">
              <w:t>13.7</w:t>
            </w:r>
            <w:r>
              <w:t>±4.1</w:t>
            </w:r>
            <w:r w:rsidRPr="00F443A4">
              <w:t xml:space="preserve"> </w:t>
            </w:r>
            <w:r>
              <w:t>p=</w:t>
            </w:r>
            <w:r w:rsidRPr="00F443A4">
              <w:t>0.0001</w:t>
            </w:r>
          </w:p>
          <w:p w14:paraId="59A2A7F9" w14:textId="77777777" w:rsidR="00BE3AA4" w:rsidRDefault="00BE3AA4" w:rsidP="00F443A4">
            <w:pPr>
              <w:pStyle w:val="bullet"/>
            </w:pPr>
            <w:r w:rsidRPr="00F443A4">
              <w:t>Gestational diabetes</w:t>
            </w:r>
            <w:r>
              <w:t xml:space="preserve">: </w:t>
            </w:r>
            <w:r w:rsidRPr="00F443A4">
              <w:t>6/4.3</w:t>
            </w:r>
            <w:r>
              <w:t xml:space="preserve"> vs </w:t>
            </w:r>
            <w:r w:rsidRPr="00F443A4">
              <w:t>12/7.9</w:t>
            </w:r>
            <w:r>
              <w:t xml:space="preserve"> p=</w:t>
            </w:r>
            <w:r w:rsidRPr="00F443A4">
              <w:t>0.21</w:t>
            </w:r>
          </w:p>
          <w:p w14:paraId="5781E48A" w14:textId="4903A1B8" w:rsidR="000A1756" w:rsidRPr="00F443A4" w:rsidRDefault="000A1756" w:rsidP="00F443A4">
            <w:pPr>
              <w:pStyle w:val="bullet"/>
            </w:pPr>
            <w:r w:rsidRPr="00F443A4">
              <w:t>C</w:t>
            </w:r>
            <w:r>
              <w:t>a</w:t>
            </w:r>
            <w:r w:rsidRPr="00F443A4">
              <w:t>esarean</w:t>
            </w:r>
            <w:r w:rsidR="00BE3AA4">
              <w:t xml:space="preserve"> section</w:t>
            </w:r>
            <w:r>
              <w:t>:</w:t>
            </w:r>
            <w:r w:rsidRPr="00F443A4">
              <w:t xml:space="preserve"> 22/15.9</w:t>
            </w:r>
            <w:r>
              <w:t xml:space="preserve"> vs </w:t>
            </w:r>
            <w:r w:rsidRPr="00F443A4">
              <w:t xml:space="preserve">35/23 </w:t>
            </w:r>
          </w:p>
          <w:p w14:paraId="2B74CDDC" w14:textId="45A709DE" w:rsidR="000A1756" w:rsidRPr="00F443A4" w:rsidRDefault="000A1756" w:rsidP="00BE3AA4">
            <w:pPr>
              <w:pStyle w:val="bullet"/>
            </w:pPr>
            <w:r w:rsidRPr="00F443A4">
              <w:t xml:space="preserve">Preterm </w:t>
            </w:r>
            <w:r w:rsidR="00BE3AA4">
              <w:t>birth</w:t>
            </w:r>
            <w:r>
              <w:t xml:space="preserve">: </w:t>
            </w:r>
            <w:r w:rsidRPr="00F443A4">
              <w:t xml:space="preserve">9/6.5 </w:t>
            </w:r>
            <w:r>
              <w:t xml:space="preserve">vs </w:t>
            </w:r>
            <w:r w:rsidRPr="00F443A4">
              <w:t xml:space="preserve">10/6.6 </w:t>
            </w:r>
            <w:r>
              <w:t>p=</w:t>
            </w:r>
            <w:r w:rsidRPr="00F443A4">
              <w:t xml:space="preserve">0.98 </w:t>
            </w:r>
          </w:p>
        </w:tc>
      </w:tr>
      <w:tr w:rsidR="000A1756" w:rsidRPr="00A652CB" w14:paraId="57D0D064"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4331208" w14:textId="7670A9BB" w:rsidR="00BC35D3" w:rsidRDefault="00BC35D3" w:rsidP="00E70A06">
            <w:r w:rsidRPr="00DB6311">
              <w:rPr>
                <w:noProof/>
              </w:rPr>
              <w:t>Barakat et al 2013</w:t>
            </w:r>
            <w:r w:rsidR="00616EE6" w:rsidRPr="00DB6311">
              <w:fldChar w:fldCharType="begin"/>
            </w:r>
            <w:r w:rsidR="002747EA">
              <w:instrText xml:space="preserve"> ADDIN EN.CITE &lt;EndNote&gt;&lt;Cite&gt;&lt;Author&gt;Barakat&lt;/Author&gt;&lt;Year&gt;2013&lt;/Year&gt;&lt;RecNum&gt;712&lt;/RecNum&gt;&lt;DisplayText&gt;&lt;style face="superscript" font="Trebuchet MS" size="9"&gt;428&lt;/style&gt;&lt;/DisplayText&gt;&lt;record&gt;&lt;rec-number&gt;712&lt;/rec-number&gt;&lt;foreign-keys&gt;&lt;key app="EN" db-id="exvasrfx2dtraoesasxp2szsxa2df502592x" timestamp="1541462331"&gt;712&lt;/key&gt;&lt;/foreign-keys&gt;&lt;ref-type name="Journal Article"&gt;17&lt;/ref-type&gt;&lt;contributors&gt;&lt;authors&gt;&lt;author&gt;Barakat, R.&lt;/author&gt;&lt;author&gt;Pelaez, M.&lt;/author&gt;&lt;author&gt;Lopez, C.&lt;/author&gt;&lt;author&gt;Lucia, A.&lt;/author&gt;&lt;author&gt;Ruiz, J. R.&lt;/author&gt;&lt;/authors&gt;&lt;/contributors&gt;&lt;auth-address&gt;Facultad de Ciencias de la Actividad Fisica y del Deporte-INEF, Universidad Politecnica de Madrid, Madrid, Spain.&lt;/auth-address&gt;&lt;titles&gt;&lt;title&gt;Exercise during pregnancy and gestational diabetes-related adverse effects: a randomised controlled trial&lt;/title&gt;&lt;secondary-title&gt;Br J Sports Med&lt;/secondary-title&gt;&lt;/titles&gt;&lt;periodical&gt;&lt;full-title&gt;Br J Sports Med&lt;/full-title&gt;&lt;/periodical&gt;&lt;pages&gt;630-6&lt;/pages&gt;&lt;volume&gt;47&lt;/volume&gt;&lt;number&gt;10&lt;/number&gt;&lt;edition&gt;2013/02/01&lt;/edition&gt;&lt;keywords&gt;&lt;keyword&gt;Adult&lt;/keyword&gt;&lt;keyword&gt;Birth Weight&lt;/keyword&gt;&lt;keyword&gt;Diabetes, Gestational/*prevention &amp;amp; control&lt;/keyword&gt;&lt;keyword&gt;Exercise Therapy/*methods&lt;/keyword&gt;&lt;keyword&gt;Female&lt;/keyword&gt;&lt;keyword&gt;Fetal Macrosomia/prevention &amp;amp; control&lt;/keyword&gt;&lt;keyword&gt;Humans&lt;/keyword&gt;&lt;keyword&gt;Pregnancy&lt;/keyword&gt;&lt;keyword&gt;Pregnancy Outcome&lt;/keyword&gt;&lt;keyword&gt;Pregnancy Trimester, Second&lt;/keyword&gt;&lt;keyword&gt;Pregnancy Trimester, Third&lt;/keyword&gt;&lt;keyword&gt;Prenatal Care/methods&lt;/keyword&gt;&lt;keyword&gt;Weight Gain&lt;/keyword&gt;&lt;keyword&gt;Diabetes&lt;/keyword&gt;&lt;keyword&gt;Women in sport&lt;/keyword&gt;&lt;/keywords&gt;&lt;dates&gt;&lt;year&gt;2013&lt;/year&gt;&lt;pub-dates&gt;&lt;date&gt;Jul&lt;/date&gt;&lt;/pub-dates&gt;&lt;/dates&gt;&lt;isbn&gt;1473-0480 (Electronic)&amp;#xD;0306-3674 (Linking)&lt;/isbn&gt;&lt;accession-num&gt;23365418&lt;/accession-num&gt;&lt;urls&gt;&lt;related-urls&gt;&lt;url&gt;https://www.ncbi.nlm.nih.gov/pubmed/23365418&lt;/url&gt;&lt;/related-urls&gt;&lt;/urls&gt;&lt;electronic-resource-num&gt;10.1136/bjsports-2012-091788&lt;/electronic-resource-num&gt;&lt;/record&gt;&lt;/Cite&gt;&lt;/EndNote&gt;</w:instrText>
            </w:r>
            <w:r w:rsidR="00616EE6" w:rsidRPr="00DB6311">
              <w:fldChar w:fldCharType="separate"/>
            </w:r>
            <w:r w:rsidR="002747EA" w:rsidRPr="002747EA">
              <w:rPr>
                <w:noProof/>
                <w:vertAlign w:val="superscript"/>
              </w:rPr>
              <w:t>428</w:t>
            </w:r>
            <w:r w:rsidR="00616EE6" w:rsidRPr="00DB6311">
              <w:fldChar w:fldCharType="end"/>
            </w:r>
          </w:p>
          <w:p w14:paraId="461F52A2" w14:textId="3DE41096" w:rsidR="005855EA" w:rsidRPr="0030223E" w:rsidRDefault="005855EA" w:rsidP="0030223E">
            <w:pPr>
              <w:spacing w:before="0" w:after="0" w:line="240" w:lineRule="auto"/>
              <w:rPr>
                <w:rFonts w:ascii="Helvetica" w:hAnsi="Helvetica"/>
                <w:szCs w:val="18"/>
              </w:rPr>
            </w:pPr>
            <w:r>
              <w:rPr>
                <w:rFonts w:ascii="Helvetica" w:hAnsi="Helvetica"/>
                <w:szCs w:val="18"/>
              </w:rPr>
              <w:t>Pelaez et al 2019</w:t>
            </w:r>
            <w:r w:rsidR="00D07346">
              <w:rPr>
                <w:rFonts w:ascii="Helvetica" w:hAnsi="Helvetica"/>
                <w:szCs w:val="18"/>
              </w:rPr>
              <w:fldChar w:fldCharType="begin"/>
            </w:r>
            <w:r w:rsidR="002747EA">
              <w:rPr>
                <w:rFonts w:ascii="Helvetica" w:hAnsi="Helvetica"/>
                <w:szCs w:val="18"/>
              </w:rPr>
              <w:instrText xml:space="preserve"> ADDIN EN.CITE &lt;EndNote&gt;&lt;Cite&gt;&lt;Author&gt;Pelaez&lt;/Author&gt;&lt;Year&gt;2019&lt;/Year&gt;&lt;RecNum&gt;1919&lt;/RecNum&gt;&lt;DisplayText&gt;&lt;style face="superscript" font="Trebuchet MS" size="9"&gt;534&lt;/style&gt;&lt;/DisplayText&gt;&lt;record&gt;&lt;rec-number&gt;1919&lt;/rec-number&gt;&lt;foreign-keys&gt;&lt;key app="EN" db-id="exvasrfx2dtraoesasxp2szsxa2df502592x" timestamp="1588486563"&gt;1919&lt;/key&gt;&lt;key app="ENWeb" db-id=""&gt;0&lt;/key&gt;&lt;/foreign-keys&gt;&lt;ref-type name="Journal Article"&gt;17&lt;/ref-type&gt;&lt;contributors&gt;&lt;authors&gt;&lt;author&gt;Pelaez, M.&lt;/author&gt;&lt;author&gt;Gonzalez-Cerron, S.&lt;/author&gt;&lt;author&gt;Montejo, R.&lt;/author&gt;&lt;author&gt;Barakat, R.&lt;/author&gt;&lt;/authors&gt;&lt;/contributors&gt;&lt;auth-address&gt;AFIPE Research Group, Universidad Politecnica de Madrid, Madrid, Spain. Electronic address: mireia.pelaez@uneatlantico.es.&amp;#xD;Department of Obstetrics and Gynecology, Hospital Universitario de Fuenlabrada, Madrid, Spain.&amp;#xD;AFIPE Research Group, Universidad Politecnica de Madrid, Madrid, Spain.&lt;/auth-address&gt;&lt;titles&gt;&lt;title&gt;Protective effect of exercise in pregnant women including those who exceed weight gain recommendations: a randomized controlled trial&lt;/title&gt;&lt;secondary-title&gt;Mayo Clin Proc&lt;/secondary-title&gt;&lt;/titles&gt;&lt;periodical&gt;&lt;full-title&gt;Mayo Clin Proc&lt;/full-title&gt;&lt;/periodical&gt;&lt;pages&gt;1951-1959&lt;/pages&gt;&lt;volume&gt;94&lt;/volume&gt;&lt;number&gt;10&lt;/number&gt;&lt;edition&gt;2019/10/06&lt;/edition&gt;&lt;keywords&gt;&lt;keyword&gt;Adult&lt;/keyword&gt;&lt;keyword&gt;*Exercise&lt;/keyword&gt;&lt;keyword&gt;Female&lt;/keyword&gt;&lt;keyword&gt;*Gestational Weight Gain&lt;/keyword&gt;&lt;keyword&gt;Humans&lt;/keyword&gt;&lt;keyword&gt;Overweight/complications&lt;/keyword&gt;&lt;keyword&gt;Pregnancy&lt;/keyword&gt;&lt;keyword&gt;Pregnancy Complications/etiology/*prevention &amp;amp; control&lt;/keyword&gt;&lt;/keywords&gt;&lt;dates&gt;&lt;year&gt;2019&lt;/year&gt;&lt;pub-dates&gt;&lt;date&gt;Oct&lt;/date&gt;&lt;/pub-dates&gt;&lt;/dates&gt;&lt;isbn&gt;1942-5546 (Electronic)&amp;#xD;0025-6196 (Linking)&lt;/isbn&gt;&lt;accession-num&gt;31585579&lt;/accession-num&gt;&lt;urls&gt;&lt;related-urls&gt;&lt;url&gt;https://www.ncbi.nlm.nih.gov/pubmed/31585579&lt;/url&gt;&lt;/related-urls&gt;&lt;/urls&gt;&lt;electronic-resource-num&gt;10.1016/j.mayocp.2019.01.050&lt;/electronic-resource-num&gt;&lt;/record&gt;&lt;/Cite&gt;&lt;/EndNote&gt;</w:instrText>
            </w:r>
            <w:r w:rsidR="00D07346">
              <w:rPr>
                <w:rFonts w:ascii="Helvetica" w:hAnsi="Helvetica"/>
                <w:szCs w:val="18"/>
              </w:rPr>
              <w:fldChar w:fldCharType="separate"/>
            </w:r>
            <w:r w:rsidR="002747EA" w:rsidRPr="002747EA">
              <w:rPr>
                <w:noProof/>
                <w:szCs w:val="18"/>
                <w:vertAlign w:val="superscript"/>
              </w:rPr>
              <w:t>534</w:t>
            </w:r>
            <w:r w:rsidR="00D07346">
              <w:rPr>
                <w:rFonts w:ascii="Helvetica" w:hAnsi="Helvetica"/>
                <w:szCs w:val="18"/>
              </w:rPr>
              <w:fldChar w:fldCharType="end"/>
            </w:r>
          </w:p>
          <w:p w14:paraId="6647A8A7" w14:textId="77777777" w:rsidR="00BC35D3" w:rsidRPr="00DB6311" w:rsidRDefault="00BC35D3" w:rsidP="00E70A06">
            <w:r w:rsidRPr="00DB6311">
              <w:t>Spain</w:t>
            </w:r>
          </w:p>
          <w:p w14:paraId="69FD6E04" w14:textId="661DF04C" w:rsidR="000A1756" w:rsidRPr="00DB6311" w:rsidRDefault="00BC35D3" w:rsidP="00E70A06">
            <w:r w:rsidRPr="00DB6311">
              <w:t>NCT01477372</w:t>
            </w:r>
          </w:p>
        </w:tc>
        <w:tc>
          <w:tcPr>
            <w:tcW w:w="1670" w:type="dxa"/>
            <w:tcBorders>
              <w:left w:val="single" w:sz="4" w:space="0" w:color="3B3474"/>
              <w:right w:val="single" w:sz="4" w:space="0" w:color="3B3474"/>
            </w:tcBorders>
          </w:tcPr>
          <w:p w14:paraId="6F529310" w14:textId="35C156D9" w:rsidR="000A1756" w:rsidRPr="00DB6311" w:rsidRDefault="000A1756" w:rsidP="00D424F3">
            <w:r w:rsidRPr="00DB6311">
              <w:t>Intervention 210</w:t>
            </w:r>
          </w:p>
          <w:p w14:paraId="3A727C79" w14:textId="52D77909" w:rsidR="000A1756" w:rsidRPr="00DB6311" w:rsidRDefault="000A1756" w:rsidP="0053291E">
            <w:r w:rsidRPr="00DB6311">
              <w:t>Control 218</w:t>
            </w:r>
          </w:p>
        </w:tc>
        <w:tc>
          <w:tcPr>
            <w:tcW w:w="5395" w:type="dxa"/>
            <w:tcBorders>
              <w:left w:val="single" w:sz="4" w:space="0" w:color="3B3474"/>
              <w:right w:val="single" w:sz="4" w:space="0" w:color="3B3474"/>
            </w:tcBorders>
          </w:tcPr>
          <w:p w14:paraId="7DEC7C51" w14:textId="0832F5D8" w:rsidR="000A1756" w:rsidRPr="00DB6311" w:rsidRDefault="000A1756" w:rsidP="00F352E0">
            <w:r w:rsidRPr="00DB6311">
              <w:rPr>
                <w:b/>
              </w:rPr>
              <w:t>Aim</w:t>
            </w:r>
            <w:r w:rsidRPr="00DB6311">
              <w:t xml:space="preserve">: To examine the effect of regular moderate-intensity exercise (three training sessions/week) on the incidence of gestational diabetes mellitus (GDM, primary outcome). </w:t>
            </w:r>
          </w:p>
          <w:p w14:paraId="384B7223" w14:textId="25988773" w:rsidR="000A1756" w:rsidRPr="00DB6311" w:rsidRDefault="000A1756" w:rsidP="00F352E0">
            <w:r w:rsidRPr="00DB6311">
              <w:rPr>
                <w:b/>
              </w:rPr>
              <w:t>Population</w:t>
            </w:r>
            <w:r w:rsidRPr="00DB6311">
              <w:t>: Healthy pregnant women</w:t>
            </w:r>
            <w:r w:rsidR="00BC35D3" w:rsidRPr="00DB6311">
              <w:t>. Mixed BMIs.</w:t>
            </w:r>
          </w:p>
          <w:p w14:paraId="5BF70928" w14:textId="49BABB26" w:rsidR="00BC35D3" w:rsidRPr="00DB6311" w:rsidRDefault="00BC35D3" w:rsidP="00BC35D3">
            <w:r w:rsidRPr="00DB6311">
              <w:rPr>
                <w:b/>
              </w:rPr>
              <w:t>Intervention</w:t>
            </w:r>
            <w:r w:rsidR="007D13BF" w:rsidRPr="00DB6311">
              <w:rPr>
                <w:b/>
              </w:rPr>
              <w:t>:</w:t>
            </w:r>
          </w:p>
          <w:p w14:paraId="2F271D99" w14:textId="77777777" w:rsidR="00BC35D3" w:rsidRPr="00DB6311" w:rsidRDefault="00BC35D3" w:rsidP="00BC35D3">
            <w:pPr>
              <w:pStyle w:val="bullet"/>
            </w:pPr>
            <w:r w:rsidRPr="00DB6311">
              <w:rPr>
                <w:i/>
              </w:rPr>
              <w:t>Supervised</w:t>
            </w:r>
            <w:r w:rsidRPr="00DB6311">
              <w:t>: Yes</w:t>
            </w:r>
          </w:p>
          <w:p w14:paraId="0AA736CD" w14:textId="4A93595C" w:rsidR="00BC35D3" w:rsidRPr="00DB6311" w:rsidRDefault="00BC35D3" w:rsidP="00BC35D3">
            <w:pPr>
              <w:pStyle w:val="bullet"/>
            </w:pPr>
            <w:r w:rsidRPr="00DB6311">
              <w:rPr>
                <w:i/>
              </w:rPr>
              <w:t>Type and duration</w:t>
            </w:r>
            <w:r w:rsidRPr="00DB6311">
              <w:t>: Aerobic and resistance; Dance and muscle strengthening; 50-55-min 3 times a week, from weeks 10-12 to 38–39</w:t>
            </w:r>
          </w:p>
          <w:p w14:paraId="551E12CF" w14:textId="2CE8B2AD" w:rsidR="000A1756" w:rsidRPr="00DB6311" w:rsidRDefault="00BC35D3" w:rsidP="007D13BF">
            <w:pPr>
              <w:pStyle w:val="bullet"/>
              <w:rPr>
                <w:rFonts w:ascii="Helvetica" w:hAnsi="Helvetica"/>
                <w:sz w:val="14"/>
                <w:szCs w:val="14"/>
              </w:rPr>
            </w:pPr>
            <w:r w:rsidRPr="00DB6311">
              <w:rPr>
                <w:i/>
              </w:rPr>
              <w:t>Intensity</w:t>
            </w:r>
            <w:r w:rsidRPr="00DB6311">
              <w:t>: Light to moderate, HR&lt;70%; Borg 10-12</w:t>
            </w:r>
          </w:p>
        </w:tc>
        <w:tc>
          <w:tcPr>
            <w:tcW w:w="5953" w:type="dxa"/>
            <w:tcBorders>
              <w:left w:val="single" w:sz="4" w:space="0" w:color="3B3474"/>
              <w:right w:val="single" w:sz="4" w:space="0" w:color="3B3474"/>
            </w:tcBorders>
          </w:tcPr>
          <w:p w14:paraId="71189DB3" w14:textId="1ED99008" w:rsidR="000A1756" w:rsidRPr="00DB6311" w:rsidRDefault="000A1756" w:rsidP="00841B58">
            <w:r w:rsidRPr="00DB6311">
              <w:t>Intervention vs control:</w:t>
            </w:r>
          </w:p>
          <w:p w14:paraId="71E088E5" w14:textId="3DB1C5D9" w:rsidR="000A1756" w:rsidRPr="00DB6311" w:rsidRDefault="000A1756" w:rsidP="00841B58">
            <w:pPr>
              <w:pStyle w:val="bullet"/>
            </w:pPr>
            <w:r w:rsidRPr="00DB6311">
              <w:t>GDM (WHO criteria): 41 (19.5%) vs 61 (28%) p=0.040</w:t>
            </w:r>
          </w:p>
          <w:p w14:paraId="025EB2D4" w14:textId="6B36D14A" w:rsidR="000A1756" w:rsidRPr="00DB6311" w:rsidRDefault="000A1756" w:rsidP="00841B58">
            <w:pPr>
              <w:pStyle w:val="bullet"/>
            </w:pPr>
            <w:r w:rsidRPr="00DB6311">
              <w:t>GDM (IADPSG criteria): 29 (13.8%) 32 (14.7%) p=0.797</w:t>
            </w:r>
          </w:p>
          <w:p w14:paraId="66BD27C9" w14:textId="125B881B" w:rsidR="000A1756" w:rsidRPr="00DB6311" w:rsidRDefault="000A1756" w:rsidP="00841B58">
            <w:r w:rsidRPr="00DB6311">
              <w:t>Intervention (n=169) vs control (n=157) (no GDM WHO criteria):</w:t>
            </w:r>
          </w:p>
          <w:p w14:paraId="3A40B107" w14:textId="185C6E1E" w:rsidR="000A1756" w:rsidRPr="00DB6311" w:rsidRDefault="000A1756" w:rsidP="009C7861">
            <w:pPr>
              <w:pStyle w:val="bullet"/>
            </w:pPr>
            <w:r w:rsidRPr="00DB6311">
              <w:t xml:space="preserve">Caesarean section (n, %) 24 (14.2) 28 (17.8) </w:t>
            </w:r>
          </w:p>
          <w:p w14:paraId="7F5B71AE" w14:textId="10AABB80" w:rsidR="000A1756" w:rsidRPr="00DB6311" w:rsidRDefault="00016993" w:rsidP="009C7861">
            <w:pPr>
              <w:pStyle w:val="bullet"/>
            </w:pPr>
            <w:r w:rsidRPr="00DB6311">
              <w:t>Gestational</w:t>
            </w:r>
            <w:r w:rsidR="000A1756" w:rsidRPr="00DB6311">
              <w:t xml:space="preserve"> weight gain (kg) 11.8±3.6 vs 13.3±4.3</w:t>
            </w:r>
          </w:p>
          <w:p w14:paraId="07B5EC34" w14:textId="200A5B44" w:rsidR="000A1756" w:rsidRDefault="0093307E" w:rsidP="000D10E0">
            <w:r>
              <w:t>Intervention (n=100</w:t>
            </w:r>
            <w:r w:rsidR="00381D6F">
              <w:t xml:space="preserve"> women attending 80% of sessions</w:t>
            </w:r>
            <w:r>
              <w:t>) vs control (n=201)</w:t>
            </w:r>
            <w:r w:rsidR="00F57513">
              <w:t xml:space="preserve"> (Note that these results have not been included in the meta-analysis)</w:t>
            </w:r>
            <w:r>
              <w:t>:</w:t>
            </w:r>
          </w:p>
          <w:p w14:paraId="627667E2" w14:textId="77777777" w:rsidR="0051554A" w:rsidRDefault="0051554A" w:rsidP="0030223E">
            <w:pPr>
              <w:pStyle w:val="bullet"/>
            </w:pPr>
            <w:r>
              <w:t>Gestational weight gain: 11.5±3.5 vs 13.72±4.1</w:t>
            </w:r>
          </w:p>
          <w:p w14:paraId="6FA26153" w14:textId="5CF5F2F4" w:rsidR="0093307E" w:rsidRDefault="0051554A" w:rsidP="0030223E">
            <w:pPr>
              <w:pStyle w:val="bullet"/>
            </w:pPr>
            <w:r>
              <w:t>Weight gain exceeding IOM guidelines: 22/100 vs 69/201</w:t>
            </w:r>
          </w:p>
          <w:p w14:paraId="011DD222" w14:textId="5F360C5E" w:rsidR="0051554A" w:rsidRDefault="0051554A" w:rsidP="0030223E">
            <w:pPr>
              <w:pStyle w:val="bullet"/>
            </w:pPr>
            <w:r>
              <w:t>Gestational diabetes: 3/100 vs 13/201</w:t>
            </w:r>
          </w:p>
          <w:p w14:paraId="18FCEB26" w14:textId="77777777" w:rsidR="0051554A" w:rsidRDefault="0051554A" w:rsidP="0030223E">
            <w:pPr>
              <w:pStyle w:val="bullet"/>
            </w:pPr>
            <w:r>
              <w:t>Macrosomia: 0/100 vs 10/201</w:t>
            </w:r>
          </w:p>
          <w:p w14:paraId="7DC47BC4" w14:textId="5AEB97E7" w:rsidR="00352769" w:rsidRDefault="00352769" w:rsidP="0030223E">
            <w:pPr>
              <w:pStyle w:val="bullet"/>
            </w:pPr>
            <w:r>
              <w:t>Caesarean section: 17/100 vs 48/201</w:t>
            </w:r>
          </w:p>
        </w:tc>
      </w:tr>
      <w:tr w:rsidR="000A1756" w:rsidRPr="00A652CB" w14:paraId="38AEDC5C"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6F8D9078" w14:textId="7F0DCED7" w:rsidR="00BC35D3" w:rsidRPr="00C12274" w:rsidRDefault="00BC35D3" w:rsidP="00E70A06">
            <w:r>
              <w:rPr>
                <w:noProof/>
              </w:rPr>
              <w:t>Barakat et al 2014b</w:t>
            </w:r>
            <w:r w:rsidR="00616EE6">
              <w:fldChar w:fldCharType="begin">
                <w:fldData xml:space="preserve">PEVuZE5vdGU+PENpdGU+PEF1dGhvcj5CYXJha2F0PC9BdXRob3I+PFllYXI+MjAxNDwvWWVhcj48
UmVjTnVtPjY3NDwvUmVjTnVtPjxEaXNwbGF5VGV4dD48c3R5bGUgZmFjZT0ic3VwZXJzY3JpcHQi
IGZvbnQ9IlRyZWJ1Y2hldCBNUyIgc2l6ZT0iOSI+NDI5PC9zdHlsZT48L0Rpc3BsYXlUZXh0Pjxy
ZWNvcmQ+PHJlYy1udW1iZXI+Njc0PC9yZWMtbnVtYmVyPjxmb3JlaWduLWtleXM+PGtleSBhcHA9
IkVOIiBkYi1pZD0iZXh2YXNyZngyZHRyYW9lc2FzeHAyc3pzeGEyZGY1MDI1OTJ4IiB0aW1lc3Rh
bXA9IjE1NDA1MjY3NDkiPjY3NDwva2V5PjwvZm9yZWlnbi1rZXlzPjxyZWYtdHlwZSBuYW1lPSJK
b3VybmFsIEFydGljbGUiPjE3PC9yZWYtdHlwZT48Y29udHJpYnV0b3JzPjxhdXRob3JzPjxhdXRo
b3I+QmFyYWthdCwgUi48L2F1dGhvcj48YXV0aG9yPlBlcmFsZXMsIE0uPC9hdXRob3I+PGF1dGhv
cj5CYWNjaGksIE0uPC9hdXRob3I+PGF1dGhvcj5Db3Rlcm9uLCBKLjwvYXV0aG9yPjxhdXRob3I+
UmVmb3lvLCBJLjwvYXV0aG9yPjwvYXV0aG9ycz48L2NvbnRyaWJ1dG9ycz48dGl0bGVzPjx0aXRs
ZT5BIHByb2dyYW0gb2YgZXhlcmNpc2UgdGhyb3VnaG91dCBwcmVnbmFuY3kuIElzIGl0IHNhZmUg
dG8gbW90aGVyIGFuZCBuZXdib3JuPzwvdGl0bGU+PHNlY29uZGFyeS10aXRsZT5BbSBKIEhlYWx0
aCBQcm9tb3Q8L3NlY29uZGFyeS10aXRsZT48L3RpdGxlcz48cGVyaW9kaWNhbD48ZnVsbC10aXRs
ZT5BbSBKIEhlYWx0aCBQcm9tb3Q8L2Z1bGwtdGl0bGU+PC9wZXJpb2RpY2FsPjxwYWdlcz4yLTg8
L3BhZ2VzPjx2b2x1bWU+Mjk8L3ZvbHVtZT48bnVtYmVyPjE8L251bWJlcj48ZWRpdGlvbj4yMDEz
LzExLzEwPC9lZGl0aW9uPjxrZXl3b3Jkcz48a2V5d29yZD5BZHVsdDwva2V5d29yZD48a2V5d29y
ZD5BcGdhciBTY29yZTwva2V5d29yZD48a2V5d29yZD5CaXJ0aCBXZWlnaHQvcGh5c2lvbG9neTwv
a2V5d29yZD48a2V5d29yZD5Cb2R5IE1hc3MgSW5kZXg8L2tleXdvcmQ+PGtleXdvcmQ+RGlhYmV0
ZXMsIEdlc3RhdGlvbmFsL2VwaWRlbWlvbG9neTwva2V5d29yZD48a2V5d29yZD5GZW1hbGU8L2tl
eXdvcmQ+PGtleXdvcmQ+R2VzdGF0aW9uYWwgQWdlPC9rZXl3b3JkPjxrZXl3b3JkPkh1bWFuczwv
a2V5d29yZD48a2V5d29yZD5JbmZhbnQsIE5ld2Jvcm48L2tleXdvcmQ+PGtleXdvcmQ+KlBoeXNp
Y2FsIENvbmRpdGlvbmluZywgSHVtYW4vYWR2ZXJzZSBlZmZlY3RzL21ldGhvZHM8L2tleXdvcmQ+
PGtleXdvcmQ+KlByZWduYW5jeS9waHlzaW9sb2d5PC9rZXl3b3JkPjxrZXl3b3JkPlByZWduYW5j
eSBPdXRjb21lPC9rZXl3b3JkPjxrZXl3b3JkPldlaWdodCBHYWluL3BoeXNpb2xvZ3k8L2tleXdv
cmQ+PGtleXdvcmQ+SGVhbHRoIGZvY3VzOiBwaHlzaWNhbCBhY3Rpdml0eTwva2V5d29yZD48a2V5
d29yZD5NYW51c2NyaXB0IGZvcm1hdDogcmVzZWFyY2g8L2tleXdvcmQ+PGtleXdvcmQ+TWF0ZXJu
YWw8L2tleXdvcmQ+PGtleXdvcmQ+T3V0Y29tZSBtZWFzdXJlOiBiZWhhdmlvcmFsPC9rZXl3b3Jk
PjxrZXl3b3JkPlBoeXNpY2FsIEV4ZXJjaXNlPC9rZXl3b3JkPjxrZXl3b3JkPlByZWduYW5jeSBP
dXRjb21lczwva2V5d29yZD48a2V5d29yZD5QcmV2ZW50aW9uIFJlc2VhcmNoPC9rZXl3b3JkPjxr
ZXl3b3JkPlJlc2VhcmNoIHB1cnBvc2U6IGludGVydmVudGlvbiB0ZXN0aW5nPC9rZXl3b3JkPjxr
ZXl3b3JkPlNldHRpbmc6IGhlYWx0aCBjYXJlPC9rZXl3b3JkPjxrZXl3b3JkPlN0cmF0ZWd5OiBi
ZWhhdmlvciBjaGFuZ2UsIGN1bHR1cmUgY2hhbmdlPC9rZXl3b3JkPjxrZXl3b3JkPlN0dWR5IGRl
c2lnbjogcmFuZG9taXplZCB0cmlhbDwva2V5d29yZD48a2V5d29yZD5UYXJnZXQgcG9wdWxhdGlv
biBhZ2U6IGFkdWx0czwva2V5d29yZD48a2V5d29yZD5UYXJnZXQgcG9wdWxhdGlvbiBjaXJjdW1z
dGFuY2VzOiBlZHVjYXRpb248L2tleXdvcmQ+PGtleXdvcmQ+V2VpZ2h0IEdhaW48L2tleXdvcmQ+
PC9rZXl3b3Jkcz48ZGF0ZXM+PHllYXI+MjAxNDwveWVhcj48cHViLWRhdGVzPjxkYXRlPlNlcC1P
Y3Q8L2RhdGU+PC9wdWItZGF0ZXM+PC9kYXRlcz48aXNibj4yMTY4LTY2MDIgKEVsZWN0cm9uaWMp
JiN4RDswODkwLTExNzEgKExpbmtpbmcpPC9pc2JuPjxhY2Nlc3Npb24tbnVtPjI0MjAwMzM1PC9h
Y2Nlc3Npb24tbnVtPjx1cmxzPjxyZWxhdGVkLXVybHM+PHVybD5odHRwczovL3d3dy5uY2JpLm5s
bS5uaWguZ292L3B1Ym1lZC8yNDIwMDMzNTwvdXJsPjwvcmVsYXRlZC11cmxzPjwvdXJscz48ZWxl
Y3Ryb25pYy1yZXNvdXJjZS1udW0+MTAuNDI3OC9hamhwLjEzMDEzMS1RVUFOLTU2PC9lbGVjdHJv
bmljLXJlc291cmNlLW51bT48L3JlY29yZD48L0NpdGU+PC9FbmROb3RlPn==
</w:fldData>
              </w:fldChar>
            </w:r>
            <w:r w:rsidR="002747EA">
              <w:instrText xml:space="preserve"> ADDIN EN.CITE </w:instrText>
            </w:r>
            <w:r w:rsidR="002747EA">
              <w:fldChar w:fldCharType="begin">
                <w:fldData xml:space="preserve">PEVuZE5vdGU+PENpdGU+PEF1dGhvcj5CYXJha2F0PC9BdXRob3I+PFllYXI+MjAxNDwvWWVhcj48
UmVjTnVtPjY3NDwvUmVjTnVtPjxEaXNwbGF5VGV4dD48c3R5bGUgZmFjZT0ic3VwZXJzY3JpcHQi
IGZvbnQ9IlRyZWJ1Y2hldCBNUyIgc2l6ZT0iOSI+NDI5PC9zdHlsZT48L0Rpc3BsYXlUZXh0Pjxy
ZWNvcmQ+PHJlYy1udW1iZXI+Njc0PC9yZWMtbnVtYmVyPjxmb3JlaWduLWtleXM+PGtleSBhcHA9
IkVOIiBkYi1pZD0iZXh2YXNyZngyZHRyYW9lc2FzeHAyc3pzeGEyZGY1MDI1OTJ4IiB0aW1lc3Rh
bXA9IjE1NDA1MjY3NDkiPjY3NDwva2V5PjwvZm9yZWlnbi1rZXlzPjxyZWYtdHlwZSBuYW1lPSJK
b3VybmFsIEFydGljbGUiPjE3PC9yZWYtdHlwZT48Y29udHJpYnV0b3JzPjxhdXRob3JzPjxhdXRo
b3I+QmFyYWthdCwgUi48L2F1dGhvcj48YXV0aG9yPlBlcmFsZXMsIE0uPC9hdXRob3I+PGF1dGhv
cj5CYWNjaGksIE0uPC9hdXRob3I+PGF1dGhvcj5Db3Rlcm9uLCBKLjwvYXV0aG9yPjxhdXRob3I+
UmVmb3lvLCBJLjwvYXV0aG9yPjwvYXV0aG9ycz48L2NvbnRyaWJ1dG9ycz48dGl0bGVzPjx0aXRs
ZT5BIHByb2dyYW0gb2YgZXhlcmNpc2UgdGhyb3VnaG91dCBwcmVnbmFuY3kuIElzIGl0IHNhZmUg
dG8gbW90aGVyIGFuZCBuZXdib3JuPzwvdGl0bGU+PHNlY29uZGFyeS10aXRsZT5BbSBKIEhlYWx0
aCBQcm9tb3Q8L3NlY29uZGFyeS10aXRsZT48L3RpdGxlcz48cGVyaW9kaWNhbD48ZnVsbC10aXRs
ZT5BbSBKIEhlYWx0aCBQcm9tb3Q8L2Z1bGwtdGl0bGU+PC9wZXJpb2RpY2FsPjxwYWdlcz4yLTg8
L3BhZ2VzPjx2b2x1bWU+Mjk8L3ZvbHVtZT48bnVtYmVyPjE8L251bWJlcj48ZWRpdGlvbj4yMDEz
LzExLzEwPC9lZGl0aW9uPjxrZXl3b3Jkcz48a2V5d29yZD5BZHVsdDwva2V5d29yZD48a2V5d29y
ZD5BcGdhciBTY29yZTwva2V5d29yZD48a2V5d29yZD5CaXJ0aCBXZWlnaHQvcGh5c2lvbG9neTwv
a2V5d29yZD48a2V5d29yZD5Cb2R5IE1hc3MgSW5kZXg8L2tleXdvcmQ+PGtleXdvcmQ+RGlhYmV0
ZXMsIEdlc3RhdGlvbmFsL2VwaWRlbWlvbG9neTwva2V5d29yZD48a2V5d29yZD5GZW1hbGU8L2tl
eXdvcmQ+PGtleXdvcmQ+R2VzdGF0aW9uYWwgQWdlPC9rZXl3b3JkPjxrZXl3b3JkPkh1bWFuczwv
a2V5d29yZD48a2V5d29yZD5JbmZhbnQsIE5ld2Jvcm48L2tleXdvcmQ+PGtleXdvcmQ+KlBoeXNp
Y2FsIENvbmRpdGlvbmluZywgSHVtYW4vYWR2ZXJzZSBlZmZlY3RzL21ldGhvZHM8L2tleXdvcmQ+
PGtleXdvcmQ+KlByZWduYW5jeS9waHlzaW9sb2d5PC9rZXl3b3JkPjxrZXl3b3JkPlByZWduYW5j
eSBPdXRjb21lPC9rZXl3b3JkPjxrZXl3b3JkPldlaWdodCBHYWluL3BoeXNpb2xvZ3k8L2tleXdv
cmQ+PGtleXdvcmQ+SGVhbHRoIGZvY3VzOiBwaHlzaWNhbCBhY3Rpdml0eTwva2V5d29yZD48a2V5
d29yZD5NYW51c2NyaXB0IGZvcm1hdDogcmVzZWFyY2g8L2tleXdvcmQ+PGtleXdvcmQ+TWF0ZXJu
YWw8L2tleXdvcmQ+PGtleXdvcmQ+T3V0Y29tZSBtZWFzdXJlOiBiZWhhdmlvcmFsPC9rZXl3b3Jk
PjxrZXl3b3JkPlBoeXNpY2FsIEV4ZXJjaXNlPC9rZXl3b3JkPjxrZXl3b3JkPlByZWduYW5jeSBP
dXRjb21lczwva2V5d29yZD48a2V5d29yZD5QcmV2ZW50aW9uIFJlc2VhcmNoPC9rZXl3b3JkPjxr
ZXl3b3JkPlJlc2VhcmNoIHB1cnBvc2U6IGludGVydmVudGlvbiB0ZXN0aW5nPC9rZXl3b3JkPjxr
ZXl3b3JkPlNldHRpbmc6IGhlYWx0aCBjYXJlPC9rZXl3b3JkPjxrZXl3b3JkPlN0cmF0ZWd5OiBi
ZWhhdmlvciBjaGFuZ2UsIGN1bHR1cmUgY2hhbmdlPC9rZXl3b3JkPjxrZXl3b3JkPlN0dWR5IGRl
c2lnbjogcmFuZG9taXplZCB0cmlhbDwva2V5d29yZD48a2V5d29yZD5UYXJnZXQgcG9wdWxhdGlv
biBhZ2U6IGFkdWx0czwva2V5d29yZD48a2V5d29yZD5UYXJnZXQgcG9wdWxhdGlvbiBjaXJjdW1z
dGFuY2VzOiBlZHVjYXRpb248L2tleXdvcmQ+PGtleXdvcmQ+V2VpZ2h0IEdhaW48L2tleXdvcmQ+
PC9rZXl3b3Jkcz48ZGF0ZXM+PHllYXI+MjAxNDwveWVhcj48cHViLWRhdGVzPjxkYXRlPlNlcC1P
Y3Q8L2RhdGU+PC9wdWItZGF0ZXM+PC9kYXRlcz48aXNibj4yMTY4LTY2MDIgKEVsZWN0cm9uaWMp
JiN4RDswODkwLTExNzEgKExpbmtpbmcpPC9pc2JuPjxhY2Nlc3Npb24tbnVtPjI0MjAwMzM1PC9h
Y2Nlc3Npb24tbnVtPjx1cmxzPjxyZWxhdGVkLXVybHM+PHVybD5odHRwczovL3d3dy5uY2JpLm5s
bS5uaWguZ292L3B1Ym1lZC8yNDIwMDMzNTwvdXJsPjwvcmVsYXRlZC11cmxzPjwvdXJscz48ZWxl
Y3Ryb25pYy1yZXNvdXJjZS1udW0+MTAuNDI3OC9hamhwLjEzMDEzMS1RVUFOLTU2PC9lbGVjdHJv
bmljLXJlc291cmNlLW51bT48L3JlY29yZD48L0NpdGU+PC9FbmROb3RlPn==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429</w:t>
            </w:r>
            <w:r w:rsidR="00616EE6">
              <w:fldChar w:fldCharType="end"/>
            </w:r>
          </w:p>
          <w:p w14:paraId="24EC37B8" w14:textId="77777777" w:rsidR="00BC35D3" w:rsidRPr="00C12274" w:rsidRDefault="00BC35D3" w:rsidP="00E70A06">
            <w:r w:rsidRPr="00C12274">
              <w:t>Spain</w:t>
            </w:r>
          </w:p>
          <w:p w14:paraId="53E7DBE8" w14:textId="15224585" w:rsidR="000A1756" w:rsidRDefault="00BC35D3" w:rsidP="00E70A06">
            <w:r w:rsidRPr="00C12274">
              <w:t>NCT01696201</w:t>
            </w:r>
          </w:p>
        </w:tc>
        <w:tc>
          <w:tcPr>
            <w:tcW w:w="1670" w:type="dxa"/>
            <w:tcBorders>
              <w:left w:val="single" w:sz="4" w:space="0" w:color="3B3474"/>
              <w:right w:val="single" w:sz="4" w:space="0" w:color="3B3474"/>
            </w:tcBorders>
          </w:tcPr>
          <w:p w14:paraId="3A83F2F8" w14:textId="57D2E3BF" w:rsidR="000A1756" w:rsidRDefault="000A1756" w:rsidP="00D424F3">
            <w:r>
              <w:t>Intervention 107</w:t>
            </w:r>
          </w:p>
          <w:p w14:paraId="00EC3C2F" w14:textId="25B1E273" w:rsidR="000A1756" w:rsidRDefault="000A1756" w:rsidP="009C0D60">
            <w:r>
              <w:t>Control 93</w:t>
            </w:r>
          </w:p>
        </w:tc>
        <w:tc>
          <w:tcPr>
            <w:tcW w:w="5395" w:type="dxa"/>
            <w:tcBorders>
              <w:left w:val="single" w:sz="4" w:space="0" w:color="3B3474"/>
              <w:right w:val="single" w:sz="4" w:space="0" w:color="3B3474"/>
            </w:tcBorders>
          </w:tcPr>
          <w:p w14:paraId="4BE67D63" w14:textId="77777777" w:rsidR="000A1756" w:rsidRDefault="000A1756" w:rsidP="00CD0167">
            <w:r w:rsidRPr="009C0D60">
              <w:rPr>
                <w:b/>
              </w:rPr>
              <w:t>Aim</w:t>
            </w:r>
            <w:r>
              <w:t>: T</w:t>
            </w:r>
            <w:r w:rsidRPr="00CD0167">
              <w:t xml:space="preserve">o examine the influence of a program of moderate physical exercise throughout pregnancy on maternal and fetal parameters. </w:t>
            </w:r>
          </w:p>
          <w:p w14:paraId="1772319F" w14:textId="4B9DB48F" w:rsidR="000A1756" w:rsidRDefault="000A1756" w:rsidP="00CD0167">
            <w:r w:rsidRPr="009C0D60">
              <w:rPr>
                <w:b/>
              </w:rPr>
              <w:t>Population</w:t>
            </w:r>
            <w:r>
              <w:t>: P</w:t>
            </w:r>
            <w:r w:rsidRPr="00CD0167">
              <w:t xml:space="preserve">regnant women </w:t>
            </w:r>
            <w:r>
              <w:t xml:space="preserve">with </w:t>
            </w:r>
            <w:r w:rsidRPr="00CD0167">
              <w:t>uncomp</w:t>
            </w:r>
            <w:r>
              <w:t>licated and singleton pregnancies.</w:t>
            </w:r>
            <w:r w:rsidR="0067575F">
              <w:t xml:space="preserve"> Mixed BMIs.</w:t>
            </w:r>
          </w:p>
          <w:p w14:paraId="5E55AAD3" w14:textId="7A9F3B81" w:rsidR="00BC35D3" w:rsidRDefault="00BC35D3" w:rsidP="00BC35D3">
            <w:r w:rsidRPr="005E4EF9">
              <w:rPr>
                <w:b/>
              </w:rPr>
              <w:t>Intervention</w:t>
            </w:r>
            <w:r w:rsidR="007D13BF">
              <w:rPr>
                <w:b/>
              </w:rPr>
              <w:t>:</w:t>
            </w:r>
          </w:p>
          <w:p w14:paraId="17874DAD" w14:textId="77777777" w:rsidR="00BC35D3" w:rsidRPr="00C45716" w:rsidRDefault="00BC35D3" w:rsidP="00BC35D3">
            <w:pPr>
              <w:pStyle w:val="bullet"/>
            </w:pPr>
            <w:r w:rsidRPr="00C45716">
              <w:rPr>
                <w:i/>
              </w:rPr>
              <w:t>Supervised</w:t>
            </w:r>
            <w:r w:rsidRPr="00C45716">
              <w:t>: Yes</w:t>
            </w:r>
          </w:p>
          <w:p w14:paraId="3CBBA457" w14:textId="4824A9E9" w:rsidR="00BC35D3" w:rsidRPr="00BC35D3" w:rsidRDefault="00BC35D3" w:rsidP="00BC35D3">
            <w:pPr>
              <w:pStyle w:val="bullet"/>
            </w:pPr>
            <w:r w:rsidRPr="00C45716">
              <w:rPr>
                <w:i/>
              </w:rPr>
              <w:t>Type and duration</w:t>
            </w:r>
            <w:r w:rsidRPr="00C45716">
              <w:t xml:space="preserve">: </w:t>
            </w:r>
            <w:r>
              <w:t xml:space="preserve">Aerobic and resistance; </w:t>
            </w:r>
            <w:r w:rsidRPr="00C12274">
              <w:t>Dance and muscle strengthening</w:t>
            </w:r>
            <w:r>
              <w:t>; 50-55</w:t>
            </w:r>
            <w:r w:rsidRPr="00C12274">
              <w:t xml:space="preserve">-min 3 times a week, from weeks </w:t>
            </w:r>
            <w:r>
              <w:t>9-13</w:t>
            </w:r>
            <w:r w:rsidRPr="00C12274">
              <w:t xml:space="preserve"> to 3</w:t>
            </w:r>
            <w:r>
              <w:t>9</w:t>
            </w:r>
            <w:r w:rsidRPr="00C12274">
              <w:t>–</w:t>
            </w:r>
            <w:r>
              <w:t>40</w:t>
            </w:r>
          </w:p>
          <w:p w14:paraId="01CD95F1" w14:textId="37BA9465" w:rsidR="000A1756" w:rsidRPr="009725F6" w:rsidRDefault="00BC35D3" w:rsidP="00BC35D3">
            <w:pPr>
              <w:pStyle w:val="bullet"/>
              <w:rPr>
                <w:rFonts w:ascii="Times" w:hAnsi="Times"/>
              </w:rPr>
            </w:pPr>
            <w:r w:rsidRPr="00C45716">
              <w:rPr>
                <w:i/>
              </w:rPr>
              <w:t>Intensity</w:t>
            </w:r>
            <w:r w:rsidRPr="00C45716">
              <w:t xml:space="preserve">: </w:t>
            </w:r>
            <w:r w:rsidR="00D86FB7" w:rsidRPr="00583EE8">
              <w:t>Light to moderate; 55% to 60% maximal heart rate</w:t>
            </w:r>
          </w:p>
        </w:tc>
        <w:tc>
          <w:tcPr>
            <w:tcW w:w="5953" w:type="dxa"/>
            <w:tcBorders>
              <w:left w:val="single" w:sz="4" w:space="0" w:color="3B3474"/>
              <w:right w:val="single" w:sz="4" w:space="0" w:color="3B3474"/>
            </w:tcBorders>
          </w:tcPr>
          <w:p w14:paraId="56CEAD56" w14:textId="77777777" w:rsidR="000A1756" w:rsidRDefault="000A1756" w:rsidP="00FC7F8F">
            <w:r>
              <w:t>Intervention vs control:</w:t>
            </w:r>
          </w:p>
          <w:p w14:paraId="2D1BA66D" w14:textId="77777777" w:rsidR="002C766E" w:rsidRPr="00FC7F8F" w:rsidRDefault="002C766E" w:rsidP="002C766E">
            <w:pPr>
              <w:pStyle w:val="bullet"/>
            </w:pPr>
            <w:r>
              <w:t>Gestational</w:t>
            </w:r>
            <w:r w:rsidRPr="00FC7F8F">
              <w:t xml:space="preserve"> weight gain (kg)</w:t>
            </w:r>
            <w:r>
              <w:t>:</w:t>
            </w:r>
            <w:r w:rsidRPr="00FC7F8F">
              <w:t xml:space="preserve"> 11.72</w:t>
            </w:r>
            <w:r>
              <w:t>±</w:t>
            </w:r>
            <w:r w:rsidRPr="00FC7F8F">
              <w:t xml:space="preserve">4.06 </w:t>
            </w:r>
            <w:r>
              <w:t xml:space="preserve">vs </w:t>
            </w:r>
            <w:r w:rsidRPr="00FC7F8F">
              <w:t>13.66</w:t>
            </w:r>
            <w:r>
              <w:t>±</w:t>
            </w:r>
            <w:r w:rsidRPr="00FC7F8F">
              <w:t xml:space="preserve">9.62 </w:t>
            </w:r>
            <w:r>
              <w:t>p=</w:t>
            </w:r>
            <w:r w:rsidRPr="00FC7F8F">
              <w:t>0.06</w:t>
            </w:r>
          </w:p>
          <w:p w14:paraId="03D0D96E" w14:textId="77777777" w:rsidR="002C766E" w:rsidRPr="00FC7F8F" w:rsidRDefault="002C766E" w:rsidP="002C766E">
            <w:pPr>
              <w:pStyle w:val="bullet"/>
            </w:pPr>
            <w:r w:rsidRPr="002C766E">
              <w:t>Weight gain &gt;IOM guidelines</w:t>
            </w:r>
            <w:r>
              <w:t xml:space="preserve"> </w:t>
            </w:r>
            <w:r w:rsidRPr="00FC7F8F">
              <w:t>(n/%)</w:t>
            </w:r>
            <w:r>
              <w:t>:</w:t>
            </w:r>
            <w:r w:rsidRPr="00FC7F8F">
              <w:t xml:space="preserve"> 22/21.2 </w:t>
            </w:r>
            <w:r>
              <w:t xml:space="preserve">vs </w:t>
            </w:r>
            <w:r w:rsidRPr="00FC7F8F">
              <w:t xml:space="preserve">31/35.6 </w:t>
            </w:r>
            <w:r>
              <w:t>p=</w:t>
            </w:r>
            <w:r w:rsidRPr="00FC7F8F">
              <w:t>0.02</w:t>
            </w:r>
          </w:p>
          <w:p w14:paraId="5E5B888E" w14:textId="77777777" w:rsidR="002C766E" w:rsidRPr="002C766E" w:rsidRDefault="002C766E" w:rsidP="00E6375F">
            <w:pPr>
              <w:pStyle w:val="bullet"/>
            </w:pPr>
            <w:r w:rsidRPr="00FC7F8F">
              <w:t>Gestational diabetes (n/%)</w:t>
            </w:r>
            <w:r>
              <w:t>:</w:t>
            </w:r>
            <w:r w:rsidRPr="00FC7F8F">
              <w:t xml:space="preserve"> 5/4.7 </w:t>
            </w:r>
            <w:r>
              <w:t xml:space="preserve">vs </w:t>
            </w:r>
            <w:r w:rsidRPr="00FC7F8F">
              <w:t>5/5.6</w:t>
            </w:r>
            <w:r w:rsidRPr="000A1756">
              <w:rPr>
                <w:rFonts w:eastAsia="Times New Roman"/>
                <w:lang w:val="en-AU"/>
              </w:rPr>
              <w:t>.</w:t>
            </w:r>
          </w:p>
          <w:p w14:paraId="769A8664" w14:textId="7892A9A4" w:rsidR="000A1756" w:rsidRPr="00FC7F8F" w:rsidRDefault="000A1756" w:rsidP="00E6375F">
            <w:pPr>
              <w:pStyle w:val="bullet"/>
            </w:pPr>
            <w:r w:rsidRPr="00FC7F8F">
              <w:t xml:space="preserve">Preterm </w:t>
            </w:r>
            <w:r>
              <w:t>birth</w:t>
            </w:r>
            <w:r w:rsidRPr="00FC7F8F">
              <w:t xml:space="preserve"> (n/%)</w:t>
            </w:r>
            <w:r>
              <w:t>:</w:t>
            </w:r>
            <w:r w:rsidRPr="00FC7F8F">
              <w:t xml:space="preserve"> 4/3.8 </w:t>
            </w:r>
            <w:r>
              <w:t xml:space="preserve">vs </w:t>
            </w:r>
            <w:r w:rsidRPr="00FC7F8F">
              <w:t>4/4.4</w:t>
            </w:r>
            <w:r>
              <w:t xml:space="preserve"> p=0.82</w:t>
            </w:r>
          </w:p>
          <w:p w14:paraId="119CB6A0" w14:textId="6D3F9A33" w:rsidR="000A1756" w:rsidRPr="00FC7F8F" w:rsidRDefault="000A1756" w:rsidP="00E6375F">
            <w:pPr>
              <w:pStyle w:val="bullet"/>
            </w:pPr>
            <w:r w:rsidRPr="00FC7F8F">
              <w:t>C</w:t>
            </w:r>
            <w:r>
              <w:t>a</w:t>
            </w:r>
            <w:r w:rsidRPr="00FC7F8F">
              <w:t>esarean</w:t>
            </w:r>
            <w:r>
              <w:t xml:space="preserve"> section </w:t>
            </w:r>
            <w:r w:rsidRPr="00FC7F8F">
              <w:t>(n/%)</w:t>
            </w:r>
            <w:r>
              <w:t>:</w:t>
            </w:r>
            <w:r w:rsidRPr="00FC7F8F">
              <w:t xml:space="preserve"> 18/17.1 </w:t>
            </w:r>
            <w:r>
              <w:t xml:space="preserve">vs </w:t>
            </w:r>
            <w:r w:rsidRPr="00FC7F8F">
              <w:t>26/28.6</w:t>
            </w:r>
          </w:p>
          <w:p w14:paraId="46FE013D" w14:textId="04FBA06F" w:rsidR="000A1756" w:rsidRPr="000A1756" w:rsidRDefault="000A1756" w:rsidP="002C766E">
            <w:pPr>
              <w:pStyle w:val="bullet"/>
              <w:numPr>
                <w:ilvl w:val="0"/>
                <w:numId w:val="0"/>
              </w:numPr>
              <w:ind w:left="360"/>
            </w:pPr>
          </w:p>
        </w:tc>
      </w:tr>
      <w:tr w:rsidR="000A1756" w:rsidRPr="00A652CB" w14:paraId="7B9FC5CC"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5D43219E" w14:textId="2179B4BA" w:rsidR="00D86FB7" w:rsidRPr="00DB6311" w:rsidRDefault="00D86FB7" w:rsidP="00E70A06">
            <w:r w:rsidRPr="00DB6311">
              <w:t>Barakat et al 2016</w:t>
            </w:r>
            <w:r w:rsidR="00616EE6" w:rsidRPr="00DB6311">
              <w:fldChar w:fldCharType="begin">
                <w:fldData xml:space="preserve">PEVuZE5vdGU+PENpdGU+PEF1dGhvcj5CYXJha2F0PC9BdXRob3I+PFllYXI+MjAxNjwvWWVhcj48
UmVjTnVtPjY3NjwvUmVjTnVtPjxEaXNwbGF5VGV4dD48c3R5bGUgZmFjZT0ic3VwZXJzY3JpcHQi
IGZvbnQ9IlRyZWJ1Y2hldCBNUyIgc2l6ZT0iOSI+NDMwPC9zdHlsZT48L0Rpc3BsYXlUZXh0Pjxy
ZWNvcmQ+PHJlYy1udW1iZXI+Njc2PC9yZWMtbnVtYmVyPjxmb3JlaWduLWtleXM+PGtleSBhcHA9
IkVOIiBkYi1pZD0iZXh2YXNyZngyZHRyYW9lc2FzeHAyc3pzeGEyZGY1MDI1OTJ4IiB0aW1lc3Rh
bXA9IjE1NDA1MjY3ODMiPjY3Njwva2V5PjwvZm9yZWlnbi1rZXlzPjxyZWYtdHlwZSBuYW1lPSJK
b3VybmFsIEFydGljbGUiPjE3PC9yZWYtdHlwZT48Y29udHJpYnV0b3JzPjxhdXRob3JzPjxhdXRo
b3I+QmFyYWthdCwgUi48L2F1dGhvcj48YXV0aG9yPlBlbGFleiwgTS48L2F1dGhvcj48YXV0aG9y
PkNvcmRlcm8sIFkuPC9hdXRob3I+PGF1dGhvcj5QZXJhbGVzLCBNLjwvYXV0aG9yPjxhdXRob3I+
TG9wZXosIEMuPC9hdXRob3I+PGF1dGhvcj5Db3Rlcm9uLCBKLjwvYXV0aG9yPjxhdXRob3I+TW90
dG9sYSwgTS4gRi48L2F1dGhvcj48L2F1dGhvcnM+PC9jb250cmlidXRvcnM+PGF1dGgtYWRkcmVz
cz5QaHlzaWNhbCBBY3Rpdml0eSBhbmQgU3BvcnRzIGluIFNwZWNpZmljIFBvcHVsYXRpb25zIChB
RklQRSkgUmVzZWFyY2ggR3JvdXAsIEZhY3VsdHkgb2YgUGh5c2ljYWwgQWN0aXZpdHkgYW5kIFNw
b3J0cyBTY2llbmNlcy1GYWN1bHRhZCBkZSBDaWVuY2lhcyBkZSBsYSBBY3RpdmlkYWQgRmlzaWNh
IHkgZWwgRGVwb3J0ZSwgVGVjaG5pY2FsIFVuaXZlcnNpdHkgb2YgTWFkcmlkLCBNYWRyaWQsIFNw
YWluLiYjeEQ7Q2F0aG9saWMgVW5pdmVyc2l0eSBvZiBNdXJjaWEsIE11cmNpYSwgU3BhaW4uJiN4
RDtSLiBTYW11ZWwgTWNMYXVnaGxpbiBGb3VuZGF0aW9uLUV4ZXJjaXNlIGFuZCBQcmVnbmFuY3kg
TGFib3JhdG9yeSwgU2Nob29sIG9mIEtpbmVzaW9sb2d5LCBGYWN1bHR5IG9mIEhlYWx0aCBTY2ll
bmNlcywgRGVwYXJ0bWVudCBvZiBBbmF0b215IGFuZCBDZWxsIEJpb2xvZ3ksIFNjaHVsaWNoIFNj
aG9vbCBvZiBNZWRpY2luZSBhbmQgRGVudGlzdHJ5LCBDaGlsZHJlbiZhcG9zO3MgSGVhbHRoIFJl
c2VhcmNoIEluc3RpdHV0ZSwgVW5pdmVyc2l0eSBvZiBXZXN0ZXJuIE9udGFyaW8sIExvbmRvbiwg
T250YXJpbywgQ2FuYWRhLiBFbGVjdHJvbmljIGFkZHJlc3M6IG1tb3R0b2xhQHV3by5jYS48L2F1
dGgtYWRkcmVzcz48dGl0bGVzPjx0aXRsZT5FeGVyY2lzZSBkdXJpbmcgcHJlZ25hbmN5IHByb3Rl
Y3RzIGFnYWluc3QgaHlwZXJ0ZW5zaW9uIGFuZCBtYWNyb3NvbWlhOiByYW5kb21pemVkIGNsaW5p
Y2FsIHRyaWFsPC90aXRsZT48c2Vjb25kYXJ5LXRpdGxlPkFtIEogT2JzdGV0IEd5bmVjb2w8L3Nl
Y29uZGFyeS10aXRsZT48L3RpdGxlcz48cGVyaW9kaWNhbD48ZnVsbC10aXRsZT5BbSBKIE9ic3Rl
dCBHeW5lY29sPC9mdWxsLXRpdGxlPjwvcGVyaW9kaWNhbD48cGFnZXM+NjQ5IGUxLTg8L3BhZ2Vz
Pjx2b2x1bWU+MjE0PC92b2x1bWU+PG51bWJlcj41PC9udW1iZXI+PGVkaXRpb24+MjAxNS8xMi8y
NjwvZWRpdGlvbj48a2V5d29yZHM+PGtleXdvcmQ+QWR1bHQ8L2tleXdvcmQ+PGtleXdvcmQ+Qmly
dGggV2VpZ2h0PC9rZXl3b3JkPjxrZXl3b3JkPkRpYWJldGVzLCBHZXN0YXRpb25hbC9wcmV2ZW50
aW9uICZhbXA7IGNvbnRyb2w8L2tleXdvcmQ+PGtleXdvcmQ+KkV4ZXJjaXNlPC9rZXl3b3JkPjxr
ZXl3b3JkPkZlbWFsZTwva2V5d29yZD48a2V5d29yZD5GZXRhbCBNYWNyb3NvbWlhLypwcmV2ZW50
aW9uICZhbXA7IGNvbnRyb2w8L2tleXdvcmQ+PGtleXdvcmQ+SHVtYW5zPC9rZXl3b3JkPjxrZXl3
b3JkPkh5cGVydGVuc2lvbiwgUHJlZ25hbmN5LUluZHVjZWQvKnByZXZlbnRpb24gJmFtcDsgY29u
dHJvbDwva2V5d29yZD48a2V5d29yZD5JbmZhbnQsIE5ld2Jvcm48L2tleXdvcmQ+PGtleXdvcmQ+
UHJlZ25hbmN5PC9rZXl3b3JkPjxrZXl3b3JkPldlaWdodCBHYWluPC9rZXl3b3JkPjxrZXl3b3Jk
PipnZXN0YXRpb25hbCB3ZWlnaHQgZ2Fpbjwva2V5d29yZD48a2V5d29yZD4qaHlwZXJ0ZW5zaW9u
PC9rZXl3b3JkPjxrZXl3b3JkPippbnRlcnZlbnRpb248L2tleXdvcmQ+PGtleXdvcmQ+Km91dGNv
bWU8L2tleXdvcmQ+PGtleXdvcmQ+KnByZWduYW5jeTwva2V5d29yZD48L2tleXdvcmRzPjxkYXRl
cz48eWVhcj4yMDE2PC95ZWFyPjxwdWItZGF0ZXM+PGRhdGU+TWF5PC9kYXRlPjwvcHViLWRhdGVz
PjwvZGF0ZXM+PGlzYm4+MTA5Ny02ODY4IChFbGVjdHJvbmljKSYjeEQ7MDAwMi05Mzc4IChMaW5r
aW5nKTwvaXNibj48YWNjZXNzaW9uLW51bT4yNjcwNDg5NDwvYWNjZXNzaW9uLW51bT48dXJscz48
cmVsYXRlZC11cmxzPjx1cmw+aHR0cHM6Ly93d3cubmNiaS5ubG0ubmloLmdvdi9wdWJtZWQvMjY3
MDQ4OTQ8L3VybD48L3JlbGF0ZWQtdXJscz48L3VybHM+PGVsZWN0cm9uaWMtcmVzb3VyY2UtbnVt
PjEwLjEwMTYvai5ham9nLjIwMTUuMTEuMDM5PC9lbGVjdHJvbmljLXJlc291cmNlLW51bT48L3Jl
Y29yZD48L0NpdGU+PC9FbmROb3RlPgB=
</w:fldData>
              </w:fldChar>
            </w:r>
            <w:r w:rsidR="002747EA">
              <w:instrText xml:space="preserve"> ADDIN EN.CITE </w:instrText>
            </w:r>
            <w:r w:rsidR="002747EA">
              <w:fldChar w:fldCharType="begin">
                <w:fldData xml:space="preserve">PEVuZE5vdGU+PENpdGU+PEF1dGhvcj5CYXJha2F0PC9BdXRob3I+PFllYXI+MjAxNjwvWWVhcj48
UmVjTnVtPjY3NjwvUmVjTnVtPjxEaXNwbGF5VGV4dD48c3R5bGUgZmFjZT0ic3VwZXJzY3JpcHQi
IGZvbnQ9IlRyZWJ1Y2hldCBNUyIgc2l6ZT0iOSI+NDMwPC9zdHlsZT48L0Rpc3BsYXlUZXh0Pjxy
ZWNvcmQ+PHJlYy1udW1iZXI+Njc2PC9yZWMtbnVtYmVyPjxmb3JlaWduLWtleXM+PGtleSBhcHA9
IkVOIiBkYi1pZD0iZXh2YXNyZngyZHRyYW9lc2FzeHAyc3pzeGEyZGY1MDI1OTJ4IiB0aW1lc3Rh
bXA9IjE1NDA1MjY3ODMiPjY3Njwva2V5PjwvZm9yZWlnbi1rZXlzPjxyZWYtdHlwZSBuYW1lPSJK
b3VybmFsIEFydGljbGUiPjE3PC9yZWYtdHlwZT48Y29udHJpYnV0b3JzPjxhdXRob3JzPjxhdXRo
b3I+QmFyYWthdCwgUi48L2F1dGhvcj48YXV0aG9yPlBlbGFleiwgTS48L2F1dGhvcj48YXV0aG9y
PkNvcmRlcm8sIFkuPC9hdXRob3I+PGF1dGhvcj5QZXJhbGVzLCBNLjwvYXV0aG9yPjxhdXRob3I+
TG9wZXosIEMuPC9hdXRob3I+PGF1dGhvcj5Db3Rlcm9uLCBKLjwvYXV0aG9yPjxhdXRob3I+TW90
dG9sYSwgTS4gRi48L2F1dGhvcj48L2F1dGhvcnM+PC9jb250cmlidXRvcnM+PGF1dGgtYWRkcmVz
cz5QaHlzaWNhbCBBY3Rpdml0eSBhbmQgU3BvcnRzIGluIFNwZWNpZmljIFBvcHVsYXRpb25zIChB
RklQRSkgUmVzZWFyY2ggR3JvdXAsIEZhY3VsdHkgb2YgUGh5c2ljYWwgQWN0aXZpdHkgYW5kIFNw
b3J0cyBTY2llbmNlcy1GYWN1bHRhZCBkZSBDaWVuY2lhcyBkZSBsYSBBY3RpdmlkYWQgRmlzaWNh
IHkgZWwgRGVwb3J0ZSwgVGVjaG5pY2FsIFVuaXZlcnNpdHkgb2YgTWFkcmlkLCBNYWRyaWQsIFNw
YWluLiYjeEQ7Q2F0aG9saWMgVW5pdmVyc2l0eSBvZiBNdXJjaWEsIE11cmNpYSwgU3BhaW4uJiN4
RDtSLiBTYW11ZWwgTWNMYXVnaGxpbiBGb3VuZGF0aW9uLUV4ZXJjaXNlIGFuZCBQcmVnbmFuY3kg
TGFib3JhdG9yeSwgU2Nob29sIG9mIEtpbmVzaW9sb2d5LCBGYWN1bHR5IG9mIEhlYWx0aCBTY2ll
bmNlcywgRGVwYXJ0bWVudCBvZiBBbmF0b215IGFuZCBDZWxsIEJpb2xvZ3ksIFNjaHVsaWNoIFNj
aG9vbCBvZiBNZWRpY2luZSBhbmQgRGVudGlzdHJ5LCBDaGlsZHJlbiZhcG9zO3MgSGVhbHRoIFJl
c2VhcmNoIEluc3RpdHV0ZSwgVW5pdmVyc2l0eSBvZiBXZXN0ZXJuIE9udGFyaW8sIExvbmRvbiwg
T250YXJpbywgQ2FuYWRhLiBFbGVjdHJvbmljIGFkZHJlc3M6IG1tb3R0b2xhQHV3by5jYS48L2F1
dGgtYWRkcmVzcz48dGl0bGVzPjx0aXRsZT5FeGVyY2lzZSBkdXJpbmcgcHJlZ25hbmN5IHByb3Rl
Y3RzIGFnYWluc3QgaHlwZXJ0ZW5zaW9uIGFuZCBtYWNyb3NvbWlhOiByYW5kb21pemVkIGNsaW5p
Y2FsIHRyaWFsPC90aXRsZT48c2Vjb25kYXJ5LXRpdGxlPkFtIEogT2JzdGV0IEd5bmVjb2w8L3Nl
Y29uZGFyeS10aXRsZT48L3RpdGxlcz48cGVyaW9kaWNhbD48ZnVsbC10aXRsZT5BbSBKIE9ic3Rl
dCBHeW5lY29sPC9mdWxsLXRpdGxlPjwvcGVyaW9kaWNhbD48cGFnZXM+NjQ5IGUxLTg8L3BhZ2Vz
Pjx2b2x1bWU+MjE0PC92b2x1bWU+PG51bWJlcj41PC9udW1iZXI+PGVkaXRpb24+MjAxNS8xMi8y
NjwvZWRpdGlvbj48a2V5d29yZHM+PGtleXdvcmQ+QWR1bHQ8L2tleXdvcmQ+PGtleXdvcmQ+Qmly
dGggV2VpZ2h0PC9rZXl3b3JkPjxrZXl3b3JkPkRpYWJldGVzLCBHZXN0YXRpb25hbC9wcmV2ZW50
aW9uICZhbXA7IGNvbnRyb2w8L2tleXdvcmQ+PGtleXdvcmQ+KkV4ZXJjaXNlPC9rZXl3b3JkPjxr
ZXl3b3JkPkZlbWFsZTwva2V5d29yZD48a2V5d29yZD5GZXRhbCBNYWNyb3NvbWlhLypwcmV2ZW50
aW9uICZhbXA7IGNvbnRyb2w8L2tleXdvcmQ+PGtleXdvcmQ+SHVtYW5zPC9rZXl3b3JkPjxrZXl3
b3JkPkh5cGVydGVuc2lvbiwgUHJlZ25hbmN5LUluZHVjZWQvKnByZXZlbnRpb24gJmFtcDsgY29u
dHJvbDwva2V5d29yZD48a2V5d29yZD5JbmZhbnQsIE5ld2Jvcm48L2tleXdvcmQ+PGtleXdvcmQ+
UHJlZ25hbmN5PC9rZXl3b3JkPjxrZXl3b3JkPldlaWdodCBHYWluPC9rZXl3b3JkPjxrZXl3b3Jk
PipnZXN0YXRpb25hbCB3ZWlnaHQgZ2Fpbjwva2V5d29yZD48a2V5d29yZD4qaHlwZXJ0ZW5zaW9u
PC9rZXl3b3JkPjxrZXl3b3JkPippbnRlcnZlbnRpb248L2tleXdvcmQ+PGtleXdvcmQ+Km91dGNv
bWU8L2tleXdvcmQ+PGtleXdvcmQ+KnByZWduYW5jeTwva2V5d29yZD48L2tleXdvcmRzPjxkYXRl
cz48eWVhcj4yMDE2PC95ZWFyPjxwdWItZGF0ZXM+PGRhdGU+TWF5PC9kYXRlPjwvcHViLWRhdGVz
PjwvZGF0ZXM+PGlzYm4+MTA5Ny02ODY4IChFbGVjdHJvbmljKSYjeEQ7MDAwMi05Mzc4IChMaW5r
aW5nKTwvaXNibj48YWNjZXNzaW9uLW51bT4yNjcwNDg5NDwvYWNjZXNzaW9uLW51bT48dXJscz48
cmVsYXRlZC11cmxzPjx1cmw+aHR0cHM6Ly93d3cubmNiaS5ubG0ubmloLmdvdi9wdWJtZWQvMjY3
MDQ4OTQ8L3VybD48L3JlbGF0ZWQtdXJscz48L3VybHM+PGVsZWN0cm9uaWMtcmVzb3VyY2UtbnVt
PjEwLjEwMTYvai5ham9nLjIwMTUuMTEuMDM5PC9lbGVjdHJvbmljLXJlc291cmNlLW51bT48L3Jl
Y29yZD48L0NpdGU+PC9FbmROb3RlPgB=
</w:fldData>
              </w:fldChar>
            </w:r>
            <w:r w:rsidR="002747EA">
              <w:instrText xml:space="preserve"> ADDIN EN.CITE.DATA </w:instrText>
            </w:r>
            <w:r w:rsidR="002747EA">
              <w:fldChar w:fldCharType="end"/>
            </w:r>
            <w:r w:rsidR="00616EE6" w:rsidRPr="00DB6311">
              <w:fldChar w:fldCharType="separate"/>
            </w:r>
            <w:r w:rsidR="002747EA" w:rsidRPr="002747EA">
              <w:rPr>
                <w:noProof/>
                <w:vertAlign w:val="superscript"/>
              </w:rPr>
              <w:t>430</w:t>
            </w:r>
            <w:r w:rsidR="00616EE6" w:rsidRPr="00DB6311">
              <w:fldChar w:fldCharType="end"/>
            </w:r>
          </w:p>
          <w:p w14:paraId="736D8C1A" w14:textId="77777777" w:rsidR="00D86FB7" w:rsidRPr="00DB6311" w:rsidRDefault="00D86FB7" w:rsidP="00E70A06">
            <w:r w:rsidRPr="00DB6311">
              <w:t>Spain</w:t>
            </w:r>
          </w:p>
          <w:p w14:paraId="0C9D3C25" w14:textId="4CA4BC41" w:rsidR="000A1756" w:rsidRPr="00DB6311" w:rsidRDefault="00D86FB7" w:rsidP="00E70A06">
            <w:r w:rsidRPr="00DB6311">
              <w:t>NCT01723098</w:t>
            </w:r>
          </w:p>
        </w:tc>
        <w:tc>
          <w:tcPr>
            <w:tcW w:w="1670" w:type="dxa"/>
            <w:tcBorders>
              <w:left w:val="single" w:sz="4" w:space="0" w:color="3B3474"/>
              <w:right w:val="single" w:sz="4" w:space="0" w:color="3B3474"/>
            </w:tcBorders>
          </w:tcPr>
          <w:p w14:paraId="13A07C8B" w14:textId="3C46AD80" w:rsidR="000A1756" w:rsidRPr="00DB6311" w:rsidRDefault="000A1756" w:rsidP="00D424F3">
            <w:r w:rsidRPr="00DB6311">
              <w:t>Intervention 383</w:t>
            </w:r>
          </w:p>
          <w:p w14:paraId="07190FA4" w14:textId="5C2DA424" w:rsidR="000A1756" w:rsidRPr="00DB6311" w:rsidRDefault="000A1756" w:rsidP="00D424F3">
            <w:r w:rsidRPr="00DB6311">
              <w:t>Control 382</w:t>
            </w:r>
          </w:p>
        </w:tc>
        <w:tc>
          <w:tcPr>
            <w:tcW w:w="5395" w:type="dxa"/>
            <w:tcBorders>
              <w:left w:val="single" w:sz="4" w:space="0" w:color="3B3474"/>
              <w:right w:val="single" w:sz="4" w:space="0" w:color="3B3474"/>
            </w:tcBorders>
          </w:tcPr>
          <w:p w14:paraId="676AD6CC" w14:textId="77777777" w:rsidR="000A1756" w:rsidRPr="00DB6311" w:rsidRDefault="000A1756" w:rsidP="00E6375F">
            <w:r w:rsidRPr="00DB6311">
              <w:rPr>
                <w:b/>
              </w:rPr>
              <w:t>Aim</w:t>
            </w:r>
            <w:r w:rsidRPr="00DB6311">
              <w:t xml:space="preserve">: To examine the impact of a program of supervised exercise throughout pregnancy on the incidence of pregnancy-induced hypertension. </w:t>
            </w:r>
          </w:p>
          <w:p w14:paraId="3EC6B0CA" w14:textId="66D6D85C" w:rsidR="000A1756" w:rsidRPr="00DB6311" w:rsidRDefault="000A1756" w:rsidP="00E6375F">
            <w:r w:rsidRPr="00DB6311">
              <w:rPr>
                <w:b/>
              </w:rPr>
              <w:t>Population</w:t>
            </w:r>
            <w:r w:rsidRPr="00DB6311">
              <w:t>: Women with singleton uncomplicated pregnancies.</w:t>
            </w:r>
            <w:r w:rsidR="00D86FB7" w:rsidRPr="00DB6311">
              <w:t xml:space="preserve"> Mixed BMIs.</w:t>
            </w:r>
          </w:p>
          <w:p w14:paraId="4DECFF9A" w14:textId="3E0FAE51" w:rsidR="007D13BF" w:rsidRPr="00DB6311" w:rsidRDefault="007D13BF" w:rsidP="007D13BF">
            <w:r w:rsidRPr="00DB6311">
              <w:rPr>
                <w:b/>
              </w:rPr>
              <w:t>Intervention:</w:t>
            </w:r>
          </w:p>
          <w:p w14:paraId="181692F6" w14:textId="77777777" w:rsidR="007D13BF" w:rsidRPr="00DB6311" w:rsidRDefault="007D13BF" w:rsidP="007D13BF">
            <w:pPr>
              <w:pStyle w:val="bullet"/>
            </w:pPr>
            <w:r w:rsidRPr="00DB6311">
              <w:rPr>
                <w:i/>
              </w:rPr>
              <w:t>Supervised</w:t>
            </w:r>
            <w:r w:rsidRPr="00DB6311">
              <w:t>: Yes</w:t>
            </w:r>
          </w:p>
          <w:p w14:paraId="35109CF1" w14:textId="61C72F5F" w:rsidR="007D13BF" w:rsidRPr="00DB6311" w:rsidRDefault="007D13BF" w:rsidP="007D13BF">
            <w:pPr>
              <w:pStyle w:val="bullet"/>
            </w:pPr>
            <w:r w:rsidRPr="00DB6311">
              <w:rPr>
                <w:i/>
              </w:rPr>
              <w:t>Type and duration</w:t>
            </w:r>
            <w:r w:rsidRPr="00DB6311">
              <w:t>: Aerobic and resistance; Dance and muscle strengthening, flexibility; 50-55-min 3 times a week, from weeks 9-11 to 38–39</w:t>
            </w:r>
          </w:p>
          <w:p w14:paraId="6779C2E5" w14:textId="7AAFD8CF" w:rsidR="000A1756" w:rsidRPr="00DB6311" w:rsidRDefault="007D13BF" w:rsidP="007D13BF">
            <w:pPr>
              <w:pStyle w:val="bullet"/>
              <w:rPr>
                <w:b/>
              </w:rPr>
            </w:pPr>
            <w:r w:rsidRPr="00DB6311">
              <w:rPr>
                <w:i/>
              </w:rPr>
              <w:t>Intensity</w:t>
            </w:r>
            <w:r w:rsidRPr="00DB6311">
              <w:t>: Moderate, HR&lt;70%; Borg 12-14</w:t>
            </w:r>
          </w:p>
        </w:tc>
        <w:tc>
          <w:tcPr>
            <w:tcW w:w="5953" w:type="dxa"/>
            <w:tcBorders>
              <w:left w:val="single" w:sz="4" w:space="0" w:color="3B3474"/>
              <w:right w:val="single" w:sz="4" w:space="0" w:color="3B3474"/>
            </w:tcBorders>
          </w:tcPr>
          <w:p w14:paraId="4FEF5C92" w14:textId="77777777" w:rsidR="000A1756" w:rsidRPr="00DB6311" w:rsidRDefault="000A1756" w:rsidP="00E45205">
            <w:r w:rsidRPr="00DB6311">
              <w:t>Intervention vs control:</w:t>
            </w:r>
          </w:p>
          <w:p w14:paraId="1441C977" w14:textId="77777777" w:rsidR="002C766E" w:rsidRPr="00DB6311" w:rsidRDefault="002C766E" w:rsidP="002C766E">
            <w:pPr>
              <w:pStyle w:val="bullet"/>
            </w:pPr>
            <w:r w:rsidRPr="00DB6311">
              <w:t>Gestational weight gain (kg): 12.1±3.7 vs 12.9±4.5 p=0.01</w:t>
            </w:r>
          </w:p>
          <w:p w14:paraId="1D27B080" w14:textId="77777777" w:rsidR="00D77D86" w:rsidRPr="00DB6311" w:rsidRDefault="00D77D86" w:rsidP="00D77D86">
            <w:pPr>
              <w:pStyle w:val="bullet"/>
            </w:pPr>
            <w:r w:rsidRPr="00DB6311">
              <w:t>Weight gain &gt;IOM guidelines (n/%): 101/26.4 vs 131/34.2 p=0.03</w:t>
            </w:r>
          </w:p>
          <w:p w14:paraId="16AAED41" w14:textId="77777777" w:rsidR="00D77D86" w:rsidRPr="00DB6311" w:rsidRDefault="00D77D86" w:rsidP="00D77D86">
            <w:pPr>
              <w:pStyle w:val="bullet"/>
            </w:pPr>
            <w:r w:rsidRPr="00DB6311">
              <w:t>Gestational diabetes (n/%): 9/2.4 vs 21/5.5 p=0.03</w:t>
            </w:r>
          </w:p>
          <w:p w14:paraId="2EAADB6F" w14:textId="7E2F7C7F" w:rsidR="000A1756" w:rsidRPr="00DB6311" w:rsidRDefault="000A1756" w:rsidP="00E45205">
            <w:pPr>
              <w:pStyle w:val="bullet"/>
            </w:pPr>
            <w:r w:rsidRPr="00DB6311">
              <w:t>Maternal hypertension (n/%): 8/2.1 vs 22/5.7 p=0.009</w:t>
            </w:r>
          </w:p>
          <w:p w14:paraId="6BB0F92E" w14:textId="27A907C5" w:rsidR="000A1756" w:rsidRPr="00DB6311" w:rsidRDefault="000A1756" w:rsidP="00E45205">
            <w:pPr>
              <w:pStyle w:val="bullet"/>
            </w:pPr>
            <w:r w:rsidRPr="00DB6311">
              <w:t>Pre-eclampsia (n/%): 2/0.5 vs 9/2.3 p=0.03</w:t>
            </w:r>
          </w:p>
          <w:p w14:paraId="6A0273A3" w14:textId="71E8D3DB" w:rsidR="000A1756" w:rsidRPr="00DB6311" w:rsidRDefault="000A1756" w:rsidP="00E45205">
            <w:pPr>
              <w:pStyle w:val="bullet"/>
            </w:pPr>
            <w:r w:rsidRPr="00DB6311">
              <w:t>Preterm birth, &lt;37 wk (n/%) 29/7.6 vs 37/9.7 p=0.31</w:t>
            </w:r>
          </w:p>
          <w:p w14:paraId="09A6FFF6" w14:textId="1342B17B" w:rsidR="000A1756" w:rsidRPr="00DB6311" w:rsidRDefault="000A1756" w:rsidP="00E45205">
            <w:pPr>
              <w:pStyle w:val="bullet"/>
            </w:pPr>
            <w:r w:rsidRPr="00DB6311">
              <w:t>Caesarean section: 73/19.1 vs 83/21.7 p=0.38</w:t>
            </w:r>
          </w:p>
          <w:p w14:paraId="6BF1CB21" w14:textId="5533F113" w:rsidR="000A1756" w:rsidRPr="00DB6311" w:rsidRDefault="000A1756" w:rsidP="00E45205">
            <w:pPr>
              <w:pStyle w:val="bullet"/>
            </w:pPr>
            <w:r w:rsidRPr="00DB6311">
              <w:t>Low birthweight &lt;2500 (n/%): 16/4.2 vs 25/6.5 p=0.15</w:t>
            </w:r>
          </w:p>
          <w:p w14:paraId="360A9B2A" w14:textId="38E2D54B" w:rsidR="000A1756" w:rsidRPr="00DB6311" w:rsidRDefault="000A1756" w:rsidP="00E45205">
            <w:pPr>
              <w:pStyle w:val="bullet"/>
            </w:pPr>
            <w:r w:rsidRPr="00DB6311">
              <w:t>Macrosomia &gt;4000 (n/%): 7/1.8 vs 18/4.7 p=0.03</w:t>
            </w:r>
          </w:p>
          <w:p w14:paraId="4536AD7F" w14:textId="723C6D86" w:rsidR="000A1756" w:rsidRPr="00DB6311" w:rsidRDefault="000A1756" w:rsidP="000D10E0">
            <w:pPr>
              <w:pStyle w:val="bullet"/>
            </w:pPr>
            <w:r w:rsidRPr="00DB6311">
              <w:t>Apgar score &gt;7 at 5 min (n/%): 380/99.2 381/99.7 p=0.31</w:t>
            </w:r>
          </w:p>
        </w:tc>
      </w:tr>
      <w:tr w:rsidR="000A1756" w:rsidRPr="00A652CB" w14:paraId="29B10C80"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025DCF6C" w14:textId="64952A06" w:rsidR="007D13BF" w:rsidRPr="00C12274" w:rsidRDefault="007D13BF" w:rsidP="00E70A06">
            <w:r>
              <w:rPr>
                <w:noProof/>
              </w:rPr>
              <w:t>Barakat et al 2018</w:t>
            </w:r>
            <w:r w:rsidR="00616EE6">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instrText xml:space="preserve"> ADDIN EN.CITE </w:instrText>
            </w:r>
            <w:r w:rsidR="002747EA">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instrText xml:space="preserve"> ADDIN EN.CITE.DATA </w:instrText>
            </w:r>
            <w:r w:rsidR="002747EA">
              <w:fldChar w:fldCharType="end"/>
            </w:r>
            <w:r w:rsidR="00616EE6">
              <w:fldChar w:fldCharType="separate"/>
            </w:r>
            <w:r w:rsidR="002747EA" w:rsidRPr="002747EA">
              <w:rPr>
                <w:noProof/>
                <w:vertAlign w:val="superscript"/>
              </w:rPr>
              <w:t>294</w:t>
            </w:r>
            <w:r w:rsidR="00616EE6">
              <w:fldChar w:fldCharType="end"/>
            </w:r>
          </w:p>
          <w:p w14:paraId="63EB078C" w14:textId="77777777" w:rsidR="007D13BF" w:rsidRPr="00C12274" w:rsidRDefault="007D13BF" w:rsidP="00E70A06">
            <w:r w:rsidRPr="00C12274">
              <w:t>Spain</w:t>
            </w:r>
          </w:p>
          <w:p w14:paraId="301194FB" w14:textId="4A8D713C" w:rsidR="000A1756" w:rsidRDefault="007D13BF" w:rsidP="00E70A06">
            <w:r w:rsidRPr="00C12274">
              <w:t>NCT02109588</w:t>
            </w:r>
          </w:p>
        </w:tc>
        <w:tc>
          <w:tcPr>
            <w:tcW w:w="1670" w:type="dxa"/>
            <w:tcBorders>
              <w:left w:val="single" w:sz="4" w:space="0" w:color="3B3474"/>
              <w:right w:val="single" w:sz="4" w:space="0" w:color="3B3474"/>
            </w:tcBorders>
          </w:tcPr>
          <w:p w14:paraId="1426D8D7" w14:textId="3E86522B" w:rsidR="000A1756" w:rsidRDefault="000A1756" w:rsidP="00D424F3">
            <w:r>
              <w:t xml:space="preserve">Intervention </w:t>
            </w:r>
            <w:r w:rsidR="00B25B2E">
              <w:t>227</w:t>
            </w:r>
          </w:p>
          <w:p w14:paraId="3448512E" w14:textId="3F7C7371" w:rsidR="000A1756" w:rsidRDefault="000A1756" w:rsidP="007902F8">
            <w:r>
              <w:t xml:space="preserve">Control </w:t>
            </w:r>
            <w:r w:rsidR="00B25B2E">
              <w:t>202</w:t>
            </w:r>
          </w:p>
          <w:p w14:paraId="2D8D2E36" w14:textId="24659A9B" w:rsidR="000A1756" w:rsidRDefault="000A1756" w:rsidP="007902F8"/>
        </w:tc>
        <w:tc>
          <w:tcPr>
            <w:tcW w:w="5395" w:type="dxa"/>
            <w:tcBorders>
              <w:left w:val="single" w:sz="4" w:space="0" w:color="3B3474"/>
              <w:right w:val="single" w:sz="4" w:space="0" w:color="3B3474"/>
            </w:tcBorders>
          </w:tcPr>
          <w:p w14:paraId="1795B6B5" w14:textId="77777777" w:rsidR="000A1756" w:rsidRDefault="000A1756" w:rsidP="007A17BC">
            <w:r w:rsidRPr="004D49E0">
              <w:rPr>
                <w:b/>
              </w:rPr>
              <w:t>Aim</w:t>
            </w:r>
            <w:r>
              <w:t>: T</w:t>
            </w:r>
            <w:r w:rsidRPr="0065381D">
              <w:t>o examine the influence of an exercise program throughout pregnancy on the duration of labo</w:t>
            </w:r>
            <w:r>
              <w:t>u</w:t>
            </w:r>
            <w:r w:rsidRPr="0065381D">
              <w:t>r</w:t>
            </w:r>
            <w:r>
              <w:t>.</w:t>
            </w:r>
          </w:p>
          <w:p w14:paraId="21E4F097" w14:textId="2F3DE071" w:rsidR="000A1756" w:rsidRDefault="000A1756" w:rsidP="007A17BC">
            <w:r w:rsidRPr="00901FC6">
              <w:rPr>
                <w:b/>
              </w:rPr>
              <w:t>Population</w:t>
            </w:r>
            <w:r>
              <w:t>: H</w:t>
            </w:r>
            <w:r w:rsidRPr="0065381D">
              <w:t xml:space="preserve">ealthy pregnant women. </w:t>
            </w:r>
            <w:r w:rsidR="007D13BF">
              <w:t>Mixed BMIs.</w:t>
            </w:r>
          </w:p>
          <w:p w14:paraId="01419FAE" w14:textId="29F1D89C" w:rsidR="007D13BF" w:rsidRDefault="007D13BF" w:rsidP="007D13BF">
            <w:r w:rsidRPr="005E4EF9">
              <w:rPr>
                <w:b/>
              </w:rPr>
              <w:t>Intervention</w:t>
            </w:r>
            <w:r>
              <w:rPr>
                <w:b/>
              </w:rPr>
              <w:t>:</w:t>
            </w:r>
          </w:p>
          <w:p w14:paraId="4D9792AD" w14:textId="77777777" w:rsidR="007D13BF" w:rsidRPr="00C45716" w:rsidRDefault="007D13BF" w:rsidP="007D13BF">
            <w:pPr>
              <w:pStyle w:val="bullet"/>
            </w:pPr>
            <w:r w:rsidRPr="00C45716">
              <w:rPr>
                <w:i/>
              </w:rPr>
              <w:t>Supervised</w:t>
            </w:r>
            <w:r w:rsidRPr="00C45716">
              <w:t>: Yes</w:t>
            </w:r>
          </w:p>
          <w:p w14:paraId="4AE2E717" w14:textId="02EBC504" w:rsidR="007D13BF" w:rsidRPr="00BC35D3" w:rsidRDefault="007D13BF" w:rsidP="007D13BF">
            <w:pPr>
              <w:pStyle w:val="bullet"/>
            </w:pPr>
            <w:r w:rsidRPr="00C45716">
              <w:rPr>
                <w:i/>
              </w:rPr>
              <w:t>Type and duration</w:t>
            </w:r>
            <w:r w:rsidRPr="00C45716">
              <w:t xml:space="preserve">: </w:t>
            </w:r>
            <w:r>
              <w:t>Aerobic and resistance; Aquatic; 50-55</w:t>
            </w:r>
            <w:r w:rsidRPr="00C12274">
              <w:t xml:space="preserve">-min 3 times a week, from weeks </w:t>
            </w:r>
            <w:r>
              <w:t>9-11</w:t>
            </w:r>
            <w:r w:rsidRPr="00C12274">
              <w:t xml:space="preserve"> to 38–39</w:t>
            </w:r>
          </w:p>
          <w:p w14:paraId="1C329CF8" w14:textId="7DC84667" w:rsidR="000A1756" w:rsidRPr="0032695F" w:rsidRDefault="007D13BF" w:rsidP="007D13BF">
            <w:pPr>
              <w:pStyle w:val="bullet"/>
            </w:pPr>
            <w:r w:rsidRPr="00C45716">
              <w:rPr>
                <w:i/>
              </w:rPr>
              <w:t>Intensity</w:t>
            </w:r>
            <w:r w:rsidRPr="00C45716">
              <w:t xml:space="preserve">: </w:t>
            </w:r>
            <w:r>
              <w:t>M</w:t>
            </w:r>
            <w:r w:rsidRPr="00C12274">
              <w:t>oderate, HR&lt;70%</w:t>
            </w:r>
            <w:r>
              <w:t>; Borg 12-14</w:t>
            </w:r>
          </w:p>
        </w:tc>
        <w:tc>
          <w:tcPr>
            <w:tcW w:w="5953" w:type="dxa"/>
            <w:tcBorders>
              <w:left w:val="single" w:sz="4" w:space="0" w:color="3B3474"/>
              <w:right w:val="single" w:sz="4" w:space="0" w:color="3B3474"/>
            </w:tcBorders>
          </w:tcPr>
          <w:p w14:paraId="313BCBFC" w14:textId="77777777" w:rsidR="000A1756" w:rsidRDefault="000A1756" w:rsidP="004D49E0">
            <w:r>
              <w:t>Intervention vs control:</w:t>
            </w:r>
          </w:p>
          <w:p w14:paraId="530C63BD" w14:textId="51087889" w:rsidR="000A1756" w:rsidRDefault="002C766E" w:rsidP="00B24664">
            <w:pPr>
              <w:pStyle w:val="bullet"/>
            </w:pPr>
            <w:r>
              <w:t>Gestational weight gain</w:t>
            </w:r>
            <w:r w:rsidR="000A1756" w:rsidRPr="00794CD7">
              <w:t>: 1</w:t>
            </w:r>
            <w:r w:rsidR="000A1756" w:rsidRPr="00B24664">
              <w:t>2.</w:t>
            </w:r>
            <w:r w:rsidR="008B79AF">
              <w:t>26</w:t>
            </w:r>
            <w:r w:rsidR="000A1756">
              <w:rPr>
                <w:rFonts w:eastAsiaTheme="majorEastAsia"/>
              </w:rPr>
              <w:t>±</w:t>
            </w:r>
            <w:r w:rsidR="008B79AF">
              <w:t>3.6</w:t>
            </w:r>
            <w:r w:rsidR="000A1756" w:rsidRPr="00B24664">
              <w:t xml:space="preserve"> </w:t>
            </w:r>
            <w:r w:rsidR="000A1756">
              <w:t xml:space="preserve">vs </w:t>
            </w:r>
            <w:r w:rsidR="008B79AF">
              <w:t>13.27</w:t>
            </w:r>
            <w:r w:rsidR="000A1756">
              <w:rPr>
                <w:rFonts w:eastAsiaTheme="majorEastAsia"/>
              </w:rPr>
              <w:t>±</w:t>
            </w:r>
            <w:r w:rsidR="008B79AF">
              <w:t>4.1</w:t>
            </w:r>
            <w:r w:rsidR="000A1756" w:rsidRPr="00B24664">
              <w:t xml:space="preserve"> </w:t>
            </w:r>
            <w:r w:rsidR="008B79AF">
              <w:t>p=0.015</w:t>
            </w:r>
          </w:p>
          <w:p w14:paraId="502DCBFA" w14:textId="08E4A9B7" w:rsidR="000A1756" w:rsidRDefault="002C766E" w:rsidP="00B24664">
            <w:pPr>
              <w:pStyle w:val="bullet"/>
            </w:pPr>
            <w:r>
              <w:t>Weight gain &gt;IOM guidelines</w:t>
            </w:r>
            <w:r w:rsidR="000A1756">
              <w:t>:</w:t>
            </w:r>
            <w:r w:rsidR="000A1756" w:rsidRPr="00B24664">
              <w:t xml:space="preserve"> </w:t>
            </w:r>
            <w:r w:rsidR="008B79AF">
              <w:t>47</w:t>
            </w:r>
            <w:r w:rsidR="000A1756" w:rsidRPr="00B24664">
              <w:t xml:space="preserve"> (</w:t>
            </w:r>
            <w:r w:rsidR="008B79AF">
              <w:t>20.7</w:t>
            </w:r>
            <w:r w:rsidR="000A1756" w:rsidRPr="00B24664">
              <w:t xml:space="preserve">%) </w:t>
            </w:r>
            <w:r w:rsidR="000A1756">
              <w:t xml:space="preserve">vs </w:t>
            </w:r>
            <w:r w:rsidR="008B79AF">
              <w:t>61</w:t>
            </w:r>
            <w:r w:rsidR="000A1756" w:rsidRPr="00B24664">
              <w:t xml:space="preserve"> (</w:t>
            </w:r>
            <w:r w:rsidR="008B79AF">
              <w:t>30.2</w:t>
            </w:r>
            <w:r w:rsidR="000A1756" w:rsidRPr="00B24664">
              <w:t xml:space="preserve">%) </w:t>
            </w:r>
            <w:r w:rsidR="000A1756">
              <w:t>p=</w:t>
            </w:r>
            <w:r w:rsidR="008B79AF">
              <w:t>0.024</w:t>
            </w:r>
            <w:r w:rsidR="000A1756" w:rsidRPr="00B24664">
              <w:t xml:space="preserve"> </w:t>
            </w:r>
          </w:p>
          <w:p w14:paraId="65DFFDAB" w14:textId="2E2EFD2B" w:rsidR="000A1756" w:rsidRPr="00B24664" w:rsidRDefault="000A1756" w:rsidP="00B24664">
            <w:pPr>
              <w:pStyle w:val="bullet"/>
            </w:pPr>
            <w:r w:rsidRPr="00B24664">
              <w:t xml:space="preserve">Preterm </w:t>
            </w:r>
            <w:r>
              <w:t>birth</w:t>
            </w:r>
            <w:r w:rsidRPr="00B24664">
              <w:t xml:space="preserve"> (</w:t>
            </w:r>
            <w:r w:rsidR="008B79AF">
              <w:rPr>
                <w:rFonts w:ascii="Helvetica" w:hAnsi="Helvetica"/>
              </w:rPr>
              <w:t>&lt;</w:t>
            </w:r>
            <w:r w:rsidRPr="00B24664">
              <w:t>37 weeks)</w:t>
            </w:r>
            <w:r>
              <w:t>:</w:t>
            </w:r>
            <w:r w:rsidRPr="00B24664">
              <w:t xml:space="preserve"> </w:t>
            </w:r>
            <w:r w:rsidR="008B79AF">
              <w:t>10</w:t>
            </w:r>
            <w:r w:rsidRPr="00B24664">
              <w:t xml:space="preserve"> (</w:t>
            </w:r>
            <w:r w:rsidR="008B79AF">
              <w:t>4.4</w:t>
            </w:r>
            <w:r w:rsidRPr="00B24664">
              <w:t>%)</w:t>
            </w:r>
            <w:r>
              <w:t xml:space="preserve"> vs </w:t>
            </w:r>
            <w:r w:rsidR="008B79AF">
              <w:t>7</w:t>
            </w:r>
            <w:r w:rsidRPr="00B24664">
              <w:t xml:space="preserve"> (</w:t>
            </w:r>
            <w:r w:rsidR="008B79AF">
              <w:t>3.5</w:t>
            </w:r>
            <w:r w:rsidRPr="00B24664">
              <w:t xml:space="preserve">%) </w:t>
            </w:r>
            <w:r>
              <w:t>p=</w:t>
            </w:r>
            <w:r w:rsidR="009E7D35">
              <w:t>0.618</w:t>
            </w:r>
            <w:r w:rsidRPr="00B24664">
              <w:t> </w:t>
            </w:r>
          </w:p>
          <w:p w14:paraId="012FE42D" w14:textId="77777777" w:rsidR="000A1756" w:rsidRPr="00A624B6" w:rsidRDefault="009E7D35" w:rsidP="000D10E0">
            <w:pPr>
              <w:pStyle w:val="bullet"/>
            </w:pPr>
            <w:r>
              <w:t>Macrosomia</w:t>
            </w:r>
            <w:r w:rsidR="00D77D86">
              <w:t xml:space="preserve"> (&gt;4,000 g)</w:t>
            </w:r>
            <w:r>
              <w:t xml:space="preserve"> (n/%) 8</w:t>
            </w:r>
            <w:r w:rsidR="000A1756" w:rsidRPr="00415EFD">
              <w:t xml:space="preserve"> (</w:t>
            </w:r>
            <w:r>
              <w:t>3.5</w:t>
            </w:r>
            <w:r w:rsidR="000A1756" w:rsidRPr="00415EFD">
              <w:t>%)</w:t>
            </w:r>
            <w:r w:rsidR="000A1756">
              <w:t xml:space="preserve"> vs </w:t>
            </w:r>
            <w:r>
              <w:t>14</w:t>
            </w:r>
            <w:r w:rsidR="000A1756" w:rsidRPr="00415EFD">
              <w:t xml:space="preserve"> (</w:t>
            </w:r>
            <w:r>
              <w:t>6.9</w:t>
            </w:r>
            <w:r w:rsidR="000A1756" w:rsidRPr="00415EFD">
              <w:t xml:space="preserve">%) </w:t>
            </w:r>
            <w:r w:rsidR="000A1756">
              <w:t>p=</w:t>
            </w:r>
            <w:r w:rsidR="000A1756" w:rsidRPr="00415EFD">
              <w:t>0.</w:t>
            </w:r>
            <w:r>
              <w:t>110</w:t>
            </w:r>
            <w:r w:rsidR="000A1756" w:rsidRPr="00415EFD">
              <w:rPr>
                <w:color w:val="007CAE"/>
                <w:sz w:val="6"/>
                <w:szCs w:val="6"/>
              </w:rPr>
              <w:t xml:space="preserve">a </w:t>
            </w:r>
          </w:p>
          <w:p w14:paraId="5CBC9748" w14:textId="3642D933" w:rsidR="00A624B6" w:rsidRPr="00D77D86" w:rsidRDefault="00A624B6" w:rsidP="002747EA">
            <w:r>
              <w:t xml:space="preserve">Note that a </w:t>
            </w:r>
            <w:r w:rsidR="003F76AC">
              <w:t>later report of this study</w:t>
            </w:r>
            <w:r w:rsidR="00E37D04">
              <w:fldChar w:fldCharType="begin"/>
            </w:r>
            <w:r w:rsidR="002747EA">
              <w:instrText xml:space="preserve"> ADDIN EN.CITE &lt;EndNote&gt;&lt;Cite&gt;&lt;Author&gt;Barakat&lt;/Author&gt;&lt;Year&gt;2019&lt;/Year&gt;&lt;RecNum&gt;1332&lt;/RecNum&gt;&lt;DisplayText&gt;&lt;style face="superscript" font="Trebuchet MS" size="9"&gt;535&lt;/style&gt;&lt;/DisplayText&gt;&lt;record&gt;&lt;rec-number&gt;1332&lt;/rec-number&gt;&lt;foreign-keys&gt;&lt;key app="EN" db-id="exvasrfx2dtraoesasxp2szsxa2df502592x" timestamp="1566976048"&gt;1332&lt;/key&gt;&lt;key app="ENWeb" db-id=""&gt;0&lt;/key&gt;&lt;/foreign-keys&gt;&lt;ref-type name="Journal Article"&gt;17&lt;/ref-type&gt;&lt;contributors&gt;&lt;authors&gt;&lt;author&gt;Barakat, R.&lt;/author&gt;&lt;author&gt;Refoyo, I.&lt;/author&gt;&lt;author&gt;Coteron, J.&lt;/author&gt;&lt;author&gt;Franco, E.&lt;/author&gt;&lt;/authors&gt;&lt;/contributors&gt;&lt;auth-address&gt;AFIPE Research Group, Technical University of Madrid, Madrid, Spain. Electronic address: barakatruben@gmail.com.&amp;#xD;AFIPE Research Group, Technical University of Madrid, Madrid, Spain.&amp;#xD;Universidad Pontificia de Comillas, Madrid, Spain.&lt;/auth-address&gt;&lt;titles&gt;&lt;title&gt;Exercise during pregnancy has a preventative effect on excessive maternal weight gain and gestational diabetes. A randomized controlled trial&lt;/title&gt;&lt;secondary-title&gt;Braz J Phys Ther&lt;/secondary-title&gt;&lt;/titles&gt;&lt;periodical&gt;&lt;full-title&gt;Braz J Phys Ther&lt;/full-title&gt;&lt;/periodical&gt;&lt;pages&gt;148-155&lt;/pages&gt;&lt;volume&gt;23&lt;/volume&gt;&lt;number&gt;2&lt;/number&gt;&lt;edition&gt;2018/11/25&lt;/edition&gt;&lt;keywords&gt;&lt;keyword&gt;Diabetes, Gestational/*metabolism&lt;/keyword&gt;&lt;keyword&gt;*Exercise/physiology&lt;/keyword&gt;&lt;keyword&gt;Female&lt;/keyword&gt;&lt;keyword&gt;Humans&lt;/keyword&gt;&lt;keyword&gt;Pregnancy&lt;/keyword&gt;&lt;keyword&gt;Weight Gain/*physiology&lt;/keyword&gt;&lt;keyword&gt;Exercise&lt;/keyword&gt;&lt;keyword&gt;Gestational diabetes&lt;/keyword&gt;&lt;keyword&gt;Physical therapy&lt;/keyword&gt;&lt;keyword&gt;Weight gain&lt;/keyword&gt;&lt;/keywords&gt;&lt;dates&gt;&lt;year&gt;2019&lt;/year&gt;&lt;pub-dates&gt;&lt;date&gt;Mar - Apr&lt;/date&gt;&lt;/pub-dates&gt;&lt;/dates&gt;&lt;isbn&gt;1809-9246 (Electronic)&amp;#xD;1413-3555 (Linking)&lt;/isbn&gt;&lt;accession-num&gt;30470666&lt;/accession-num&gt;&lt;urls&gt;&lt;related-urls&gt;&lt;url&gt;https://www.ncbi.nlm.nih.gov/pubmed/30470666&lt;/url&gt;&lt;/related-urls&gt;&lt;/urls&gt;&lt;custom2&gt;PMC6428908&lt;/custom2&gt;&lt;electronic-resource-num&gt;10.1016/j.bjpt.2018.11.005&lt;/electronic-resource-num&gt;&lt;/record&gt;&lt;/Cite&gt;&lt;/EndNote&gt;</w:instrText>
            </w:r>
            <w:r w:rsidR="00E37D04">
              <w:fldChar w:fldCharType="separate"/>
            </w:r>
            <w:r w:rsidR="002747EA" w:rsidRPr="002747EA">
              <w:rPr>
                <w:noProof/>
                <w:vertAlign w:val="superscript"/>
              </w:rPr>
              <w:t>535</w:t>
            </w:r>
            <w:r w:rsidR="00E37D04">
              <w:fldChar w:fldCharType="end"/>
            </w:r>
            <w:r w:rsidR="003F76AC">
              <w:t xml:space="preserve"> </w:t>
            </w:r>
            <w:r w:rsidR="0080110F">
              <w:t xml:space="preserve">reported slightly different </w:t>
            </w:r>
            <w:r w:rsidR="009E2E60">
              <w:t>results</w:t>
            </w:r>
            <w:r w:rsidR="00385C26">
              <w:t>; the results from the earlier article are included here as it specified that intention to treat analysis was conducted.</w:t>
            </w:r>
          </w:p>
        </w:tc>
      </w:tr>
      <w:tr w:rsidR="000A1756" w:rsidRPr="00A652CB" w14:paraId="6E81EE8D"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60C3F1C3" w14:textId="5DEA921B" w:rsidR="007D13BF" w:rsidRPr="00C12274" w:rsidRDefault="007D13BF" w:rsidP="00E70A06">
            <w:r>
              <w:t>Bisson et al 2015</w:t>
            </w:r>
            <w:r w:rsidR="00616EE6">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instrText xml:space="preserve"> ADDIN EN.CITE </w:instrText>
            </w:r>
            <w:r w:rsidR="002747EA">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instrText xml:space="preserve"> ADDIN EN.CITE.DATA </w:instrText>
            </w:r>
            <w:r w:rsidR="002747EA">
              <w:fldChar w:fldCharType="end"/>
            </w:r>
            <w:r w:rsidR="00616EE6">
              <w:fldChar w:fldCharType="separate"/>
            </w:r>
            <w:r w:rsidR="002747EA" w:rsidRPr="002747EA">
              <w:rPr>
                <w:noProof/>
                <w:vertAlign w:val="superscript"/>
              </w:rPr>
              <w:t>269</w:t>
            </w:r>
            <w:r w:rsidR="00616EE6">
              <w:fldChar w:fldCharType="end"/>
            </w:r>
          </w:p>
          <w:p w14:paraId="71C045C8" w14:textId="581EC165" w:rsidR="000A1756" w:rsidRDefault="007D13BF" w:rsidP="00E70A06">
            <w:r w:rsidRPr="00C12274">
              <w:t>Canada</w:t>
            </w:r>
          </w:p>
        </w:tc>
        <w:tc>
          <w:tcPr>
            <w:tcW w:w="1670" w:type="dxa"/>
            <w:tcBorders>
              <w:left w:val="single" w:sz="4" w:space="0" w:color="3B3474"/>
              <w:right w:val="single" w:sz="4" w:space="0" w:color="3B3474"/>
            </w:tcBorders>
          </w:tcPr>
          <w:p w14:paraId="3E9229A3" w14:textId="5EA84DE0" w:rsidR="000A1756" w:rsidRDefault="000A1756" w:rsidP="00D424F3">
            <w:r>
              <w:t>Intervention 2</w:t>
            </w:r>
            <w:r w:rsidR="00CE5232">
              <w:t>3</w:t>
            </w:r>
          </w:p>
          <w:p w14:paraId="78420390" w14:textId="654A1E38" w:rsidR="000A1756" w:rsidRDefault="000A1756" w:rsidP="00CE5232">
            <w:r>
              <w:t>Control 2</w:t>
            </w:r>
            <w:r w:rsidR="00CE5232">
              <w:t>2</w:t>
            </w:r>
          </w:p>
        </w:tc>
        <w:tc>
          <w:tcPr>
            <w:tcW w:w="5395" w:type="dxa"/>
            <w:tcBorders>
              <w:left w:val="single" w:sz="4" w:space="0" w:color="3B3474"/>
              <w:right w:val="single" w:sz="4" w:space="0" w:color="3B3474"/>
            </w:tcBorders>
          </w:tcPr>
          <w:p w14:paraId="33951407" w14:textId="6C868D47" w:rsidR="000A1756" w:rsidRPr="00867F71" w:rsidRDefault="000A1756" w:rsidP="0035385E">
            <w:r w:rsidRPr="0035385E">
              <w:rPr>
                <w:b/>
              </w:rPr>
              <w:t>Aim</w:t>
            </w:r>
            <w:r>
              <w:t xml:space="preserve">: </w:t>
            </w:r>
            <w:r w:rsidRPr="00867F71">
              <w:t>To evaluate whether a 12-week supervised exercise program promotes an active lifestyle throughout pregnancy in pregnant women with obesity.</w:t>
            </w:r>
          </w:p>
          <w:p w14:paraId="5A858842" w14:textId="529B1913" w:rsidR="000A1756" w:rsidRDefault="000A1756" w:rsidP="0035385E">
            <w:r w:rsidRPr="0035385E">
              <w:rPr>
                <w:b/>
              </w:rPr>
              <w:t>Population</w:t>
            </w:r>
            <w:r>
              <w:t>: Pregnant women with BMI</w:t>
            </w:r>
            <w:r w:rsidR="0067575F">
              <w:t xml:space="preserve"> ≥</w:t>
            </w:r>
            <w:r w:rsidRPr="00867F71">
              <w:t>30 kg/m</w:t>
            </w:r>
            <w:r w:rsidRPr="0067575F">
              <w:rPr>
                <w:vertAlign w:val="superscript"/>
              </w:rPr>
              <w:t>2</w:t>
            </w:r>
            <w:r w:rsidRPr="00867F71">
              <w:t xml:space="preserve">) </w:t>
            </w:r>
            <w:r>
              <w:t>and a singleton pregnancy.</w:t>
            </w:r>
          </w:p>
          <w:p w14:paraId="07D235CA" w14:textId="77777777" w:rsidR="007D13BF" w:rsidRDefault="007D13BF" w:rsidP="007D13BF">
            <w:r w:rsidRPr="005E4EF9">
              <w:rPr>
                <w:b/>
              </w:rPr>
              <w:t>Intervention</w:t>
            </w:r>
            <w:r>
              <w:rPr>
                <w:b/>
              </w:rPr>
              <w:t>:</w:t>
            </w:r>
          </w:p>
          <w:p w14:paraId="26664699" w14:textId="77777777" w:rsidR="007D13BF" w:rsidRPr="00C45716" w:rsidRDefault="007D13BF" w:rsidP="007D13BF">
            <w:pPr>
              <w:pStyle w:val="bullet"/>
            </w:pPr>
            <w:r w:rsidRPr="00C45716">
              <w:rPr>
                <w:i/>
              </w:rPr>
              <w:t>Supervised</w:t>
            </w:r>
            <w:r w:rsidRPr="00C45716">
              <w:t>: Yes</w:t>
            </w:r>
          </w:p>
          <w:p w14:paraId="3CAF289C" w14:textId="3F1819B1" w:rsidR="007D13BF" w:rsidRPr="007D13BF" w:rsidRDefault="007D13BF" w:rsidP="007D13BF">
            <w:pPr>
              <w:pStyle w:val="bullet"/>
            </w:pPr>
            <w:r w:rsidRPr="00C45716">
              <w:rPr>
                <w:i/>
              </w:rPr>
              <w:t>Type and duration</w:t>
            </w:r>
            <w:r w:rsidRPr="00C45716">
              <w:t xml:space="preserve">: </w:t>
            </w:r>
            <w:r>
              <w:t xml:space="preserve">Aerobic and resistance; </w:t>
            </w:r>
            <w:r w:rsidRPr="00C12274">
              <w:t>Stationary cycling, treadmill, muscle strengthening</w:t>
            </w:r>
            <w:r>
              <w:t xml:space="preserve">; </w:t>
            </w:r>
            <w:r w:rsidRPr="00C12274">
              <w:t>60 min 3 times a week from week 15 to 27</w:t>
            </w:r>
          </w:p>
          <w:p w14:paraId="178F9989" w14:textId="7533A621" w:rsidR="000A1756" w:rsidRPr="00EC5260" w:rsidRDefault="007D13BF" w:rsidP="007D13BF">
            <w:pPr>
              <w:pStyle w:val="bullet"/>
              <w:rPr>
                <w:sz w:val="15"/>
                <w:szCs w:val="15"/>
              </w:rPr>
            </w:pPr>
            <w:r w:rsidRPr="00C45716">
              <w:rPr>
                <w:i/>
              </w:rPr>
              <w:t>Intensity</w:t>
            </w:r>
            <w:r w:rsidRPr="00C45716">
              <w:t xml:space="preserve">: </w:t>
            </w:r>
            <w:r w:rsidRPr="00767804">
              <w:t>Moderate; 70% HR or perceived exertion score of 3-5/10</w:t>
            </w:r>
          </w:p>
        </w:tc>
        <w:tc>
          <w:tcPr>
            <w:tcW w:w="5953" w:type="dxa"/>
            <w:tcBorders>
              <w:left w:val="single" w:sz="4" w:space="0" w:color="3B3474"/>
              <w:right w:val="single" w:sz="4" w:space="0" w:color="3B3474"/>
            </w:tcBorders>
          </w:tcPr>
          <w:p w14:paraId="475428A7" w14:textId="77777777" w:rsidR="000A1756" w:rsidRDefault="000A1756" w:rsidP="00837D15">
            <w:r>
              <w:t>Intervention vs control:</w:t>
            </w:r>
          </w:p>
          <w:p w14:paraId="04035236" w14:textId="6C4AAF71" w:rsidR="000A1756" w:rsidRPr="00603F69" w:rsidRDefault="00D77D86" w:rsidP="00837D15">
            <w:pPr>
              <w:pStyle w:val="bullet"/>
            </w:pPr>
            <w:r>
              <w:t>G</w:t>
            </w:r>
            <w:r w:rsidR="000A1756" w:rsidRPr="00B96F4C">
              <w:t xml:space="preserve">estational weight gain, </w:t>
            </w:r>
            <w:r w:rsidR="000A1756" w:rsidRPr="00E317EC">
              <w:rPr>
                <w:i/>
              </w:rPr>
              <w:t>kg</w:t>
            </w:r>
            <w:r w:rsidR="000A1756">
              <w:t xml:space="preserve"> 12.3±4.0 vs 12.2±5.9 </w:t>
            </w:r>
          </w:p>
          <w:p w14:paraId="0E75A0EF" w14:textId="380773C5" w:rsidR="000A1756" w:rsidRPr="00603F69" w:rsidRDefault="00D77D86" w:rsidP="00837D15">
            <w:pPr>
              <w:pStyle w:val="bullet"/>
            </w:pPr>
            <w:r w:rsidRPr="00D77D86">
              <w:t>Weight gain &gt;IOM guidelines</w:t>
            </w:r>
            <w:r w:rsidR="000A1756" w:rsidRPr="00D77D86">
              <w:t>:</w:t>
            </w:r>
            <w:r w:rsidR="000A1756">
              <w:rPr>
                <w:vertAlign w:val="superscript"/>
              </w:rPr>
              <w:t xml:space="preserve"> </w:t>
            </w:r>
            <w:r w:rsidR="000A1756">
              <w:t>21 (88) vs 17 (71)</w:t>
            </w:r>
          </w:p>
          <w:p w14:paraId="4396AF71" w14:textId="1D3ED7B7" w:rsidR="000A1756" w:rsidRPr="00603F69" w:rsidRDefault="000A1756" w:rsidP="00837D15">
            <w:pPr>
              <w:pStyle w:val="bullet"/>
            </w:pPr>
            <w:r>
              <w:t xml:space="preserve">Caesarian </w:t>
            </w:r>
            <w:r w:rsidR="00D77D86">
              <w:t>section</w:t>
            </w:r>
            <w:r>
              <w:t>: 8 (33) vs 8 (33)</w:t>
            </w:r>
          </w:p>
          <w:p w14:paraId="06D5651C" w14:textId="622DFF0C" w:rsidR="000A1756" w:rsidRPr="00603F69" w:rsidRDefault="000A1756" w:rsidP="00837D15">
            <w:pPr>
              <w:pStyle w:val="bullet"/>
            </w:pPr>
            <w:r>
              <w:t xml:space="preserve">Gestational diabetes: 3 (13) vs 5 (21) </w:t>
            </w:r>
          </w:p>
          <w:p w14:paraId="43949B98" w14:textId="199E5C62" w:rsidR="000A1756" w:rsidRPr="00603F69" w:rsidRDefault="000A1756" w:rsidP="00837D15">
            <w:pPr>
              <w:pStyle w:val="bullet"/>
            </w:pPr>
            <w:r>
              <w:t>Gestational hypertension</w:t>
            </w:r>
            <w:r>
              <w:rPr>
                <w:vertAlign w:val="superscript"/>
              </w:rPr>
              <w:t xml:space="preserve">: </w:t>
            </w:r>
            <w:r>
              <w:t xml:space="preserve">2 (8) vs 3 (13) </w:t>
            </w:r>
          </w:p>
          <w:p w14:paraId="6F388C53" w14:textId="319D90EE" w:rsidR="000A1756" w:rsidRPr="00603F69" w:rsidRDefault="000A1756" w:rsidP="00837D15">
            <w:pPr>
              <w:pStyle w:val="bullet"/>
            </w:pPr>
            <w:r>
              <w:t xml:space="preserve">Large for gestational age: 4 (17) vs 3 (13) </w:t>
            </w:r>
          </w:p>
          <w:p w14:paraId="7B01D7BC" w14:textId="060FE8E8" w:rsidR="000A1756" w:rsidRPr="00555B89" w:rsidRDefault="000A1756" w:rsidP="004D49E0">
            <w:pPr>
              <w:pStyle w:val="bullet"/>
            </w:pPr>
            <w:r>
              <w:t>Small for gestational age: 0 vs 2 (8)</w:t>
            </w:r>
          </w:p>
        </w:tc>
      </w:tr>
      <w:tr w:rsidR="000A1756" w:rsidRPr="00A652CB" w14:paraId="4F66ED0D"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1E06F739" w14:textId="24B11E0F" w:rsidR="00F528B6" w:rsidRPr="00C12274" w:rsidRDefault="00F528B6" w:rsidP="00E70A06">
            <w:r>
              <w:rPr>
                <w:noProof/>
              </w:rPr>
              <w:t>Cordero et al 2015</w:t>
            </w:r>
            <w:r w:rsidR="00616EE6">
              <w:fldChar w:fldCharType="begin"/>
            </w:r>
            <w:r w:rsidR="002747EA">
              <w:instrText xml:space="preserve"> ADDIN EN.CITE &lt;EndNote&gt;&lt;Cite&gt;&lt;Author&gt;Cordero&lt;/Author&gt;&lt;Year&gt;2015&lt;/Year&gt;&lt;RecNum&gt;1016&lt;/RecNum&gt;&lt;DisplayText&gt;&lt;style face="superscript" font="Trebuchet MS" size="9"&gt;431&lt;/style&gt;&lt;/DisplayText&gt;&lt;record&gt;&lt;rec-number&gt;1016&lt;/rec-number&gt;&lt;foreign-keys&gt;&lt;key app="EN" db-id="exvasrfx2dtraoesasxp2szsxa2df502592x" timestamp="1548983476"&gt;1016&lt;/key&gt;&lt;/foreign-keys&gt;&lt;ref-type name="Journal Article"&gt;17&lt;/ref-type&gt;&lt;contributors&gt;&lt;authors&gt;&lt;author&gt;Cordero, Y.,&lt;/author&gt;&lt;author&gt;Mottola, M.F.&lt;/author&gt;&lt;author&gt;Vargas, J.,&lt;/author&gt;&lt;author&gt;Blanco, M.,&lt;/author&gt;&lt;author&gt;Barakat, R.,&lt;/author&gt;&lt;/authors&gt;&lt;/contributors&gt;&lt;titles&gt;&lt;title&gt;Exercise Is associated with a reduction in gestational diabetes mellitus&lt;/title&gt;&lt;secondary-title&gt;Medicine &amp;amp; Science in Sports &amp;amp; Exercise&lt;/secondary-title&gt;&lt;/titles&gt;&lt;periodical&gt;&lt;full-title&gt;Medicine &amp;amp; Science in Sports &amp;amp; Exercise&lt;/full-title&gt;&lt;/periodical&gt;&lt;pages&gt;1328-1333&lt;/pages&gt;&lt;volume&gt;47&lt;/volume&gt;&lt;number&gt;7&lt;/number&gt;&lt;section&gt;1328&lt;/section&gt;&lt;dates&gt;&lt;year&gt;2015&lt;/year&gt;&lt;/dates&gt;&lt;isbn&gt;0195-9131&lt;/isbn&gt;&lt;urls&gt;&lt;/urls&gt;&lt;electronic-resource-num&gt;10.1249/mss.0000000000000547&lt;/electronic-resource-num&gt;&lt;/record&gt;&lt;/Cite&gt;&lt;/EndNote&gt;</w:instrText>
            </w:r>
            <w:r w:rsidR="00616EE6">
              <w:fldChar w:fldCharType="separate"/>
            </w:r>
            <w:r w:rsidR="002747EA" w:rsidRPr="002747EA">
              <w:rPr>
                <w:noProof/>
                <w:vertAlign w:val="superscript"/>
              </w:rPr>
              <w:t>431</w:t>
            </w:r>
            <w:r w:rsidR="00616EE6">
              <w:fldChar w:fldCharType="end"/>
            </w:r>
          </w:p>
          <w:p w14:paraId="0C470BD8" w14:textId="77777777" w:rsidR="00F528B6" w:rsidRPr="00C12274" w:rsidRDefault="00F528B6" w:rsidP="00E70A06">
            <w:r w:rsidRPr="00C12274">
              <w:t>Spain</w:t>
            </w:r>
          </w:p>
          <w:p w14:paraId="09F2B64E" w14:textId="1C9E118C" w:rsidR="000A1756" w:rsidRPr="00362C86" w:rsidRDefault="00F528B6" w:rsidP="00E70A06">
            <w:r w:rsidRPr="00C12274">
              <w:t>NCT01790412</w:t>
            </w:r>
          </w:p>
        </w:tc>
        <w:tc>
          <w:tcPr>
            <w:tcW w:w="1670" w:type="dxa"/>
            <w:tcBorders>
              <w:left w:val="single" w:sz="4" w:space="0" w:color="3B3474"/>
              <w:right w:val="single" w:sz="4" w:space="0" w:color="3B3474"/>
            </w:tcBorders>
          </w:tcPr>
          <w:p w14:paraId="150FA44A" w14:textId="1018D35A" w:rsidR="000A1756" w:rsidRDefault="000A1756" w:rsidP="00D424F3">
            <w:r>
              <w:t>Intervention 101</w:t>
            </w:r>
          </w:p>
          <w:p w14:paraId="3F487CA4" w14:textId="3D5A095E" w:rsidR="000A1756" w:rsidRDefault="000A1756" w:rsidP="00D424F3">
            <w:r>
              <w:t>Control 156</w:t>
            </w:r>
          </w:p>
        </w:tc>
        <w:tc>
          <w:tcPr>
            <w:tcW w:w="5395" w:type="dxa"/>
            <w:tcBorders>
              <w:left w:val="single" w:sz="4" w:space="0" w:color="3B3474"/>
              <w:right w:val="single" w:sz="4" w:space="0" w:color="3B3474"/>
            </w:tcBorders>
          </w:tcPr>
          <w:p w14:paraId="09416E25" w14:textId="492C2A85" w:rsidR="000A1756" w:rsidRDefault="000A1756" w:rsidP="004A7069">
            <w:r w:rsidRPr="00860D95">
              <w:rPr>
                <w:b/>
              </w:rPr>
              <w:t>Aim</w:t>
            </w:r>
            <w:r>
              <w:t xml:space="preserve">: </w:t>
            </w:r>
            <w:r w:rsidRPr="004A7069">
              <w:t>to</w:t>
            </w:r>
            <w:r>
              <w:t xml:space="preserve"> </w:t>
            </w:r>
            <w:r w:rsidRPr="004A7069">
              <w:t xml:space="preserve">assess the effectiveness of a </w:t>
            </w:r>
            <w:r>
              <w:t xml:space="preserve">moderate to vigorous </w:t>
            </w:r>
            <w:r w:rsidRPr="004A7069">
              <w:t>maternal exercise program (land/aquatic activities, both aerobic and muscular conditioning) in preventing</w:t>
            </w:r>
            <w:r>
              <w:t xml:space="preserve"> </w:t>
            </w:r>
            <w:r w:rsidRPr="004A7069">
              <w:t xml:space="preserve">gestational diabetes mellitus (GDM). </w:t>
            </w:r>
          </w:p>
          <w:p w14:paraId="4A070F01" w14:textId="77622308" w:rsidR="000A1756" w:rsidRDefault="000A1756" w:rsidP="004A7069">
            <w:r w:rsidRPr="004A7069">
              <w:rPr>
                <w:b/>
              </w:rPr>
              <w:t>Population</w:t>
            </w:r>
            <w:r w:rsidRPr="004A7069">
              <w:t xml:space="preserve">: </w:t>
            </w:r>
            <w:r>
              <w:t>P</w:t>
            </w:r>
            <w:r w:rsidRPr="004A7069">
              <w:t>regnant women without</w:t>
            </w:r>
            <w:r>
              <w:t xml:space="preserve"> obstetric contraindications.</w:t>
            </w:r>
            <w:r w:rsidR="00F528B6">
              <w:t xml:space="preserve"> Mixed BMIs.</w:t>
            </w:r>
          </w:p>
          <w:p w14:paraId="14407E04" w14:textId="77777777" w:rsidR="00F528B6" w:rsidRDefault="00F528B6" w:rsidP="00F528B6">
            <w:r w:rsidRPr="005E4EF9">
              <w:rPr>
                <w:b/>
              </w:rPr>
              <w:t>Intervention</w:t>
            </w:r>
            <w:r>
              <w:rPr>
                <w:b/>
              </w:rPr>
              <w:t>:</w:t>
            </w:r>
          </w:p>
          <w:p w14:paraId="092F0DEA" w14:textId="77777777" w:rsidR="00F528B6" w:rsidRPr="00C45716" w:rsidRDefault="00F528B6" w:rsidP="00F528B6">
            <w:pPr>
              <w:pStyle w:val="bullet"/>
            </w:pPr>
            <w:r w:rsidRPr="00C45716">
              <w:rPr>
                <w:i/>
              </w:rPr>
              <w:t>Supervised</w:t>
            </w:r>
            <w:r w:rsidRPr="00C45716">
              <w:t>: Yes</w:t>
            </w:r>
          </w:p>
          <w:p w14:paraId="6D356ECC" w14:textId="41139654" w:rsidR="00F528B6" w:rsidRPr="007D13BF" w:rsidRDefault="00F528B6" w:rsidP="00F528B6">
            <w:pPr>
              <w:pStyle w:val="bullet"/>
            </w:pPr>
            <w:r w:rsidRPr="00C45716">
              <w:rPr>
                <w:i/>
              </w:rPr>
              <w:t>Type and duration</w:t>
            </w:r>
            <w:r w:rsidRPr="00C45716">
              <w:t xml:space="preserve">: </w:t>
            </w:r>
            <w:r>
              <w:t>Aerobic and resistance; Land and aquatic; 50-</w:t>
            </w:r>
            <w:r w:rsidRPr="00C12274">
              <w:t xml:space="preserve">60 min 3 times a week from week </w:t>
            </w:r>
            <w:r>
              <w:t>10-14 until birth</w:t>
            </w:r>
          </w:p>
          <w:p w14:paraId="5AE28328" w14:textId="0BB7EE67" w:rsidR="000A1756" w:rsidRPr="008810CB" w:rsidRDefault="00F528B6" w:rsidP="00F528B6">
            <w:pPr>
              <w:pStyle w:val="bullet"/>
              <w:rPr>
                <w:sz w:val="15"/>
                <w:szCs w:val="15"/>
              </w:rPr>
            </w:pPr>
            <w:r w:rsidRPr="00C45716">
              <w:rPr>
                <w:i/>
              </w:rPr>
              <w:t>Intensity</w:t>
            </w:r>
            <w:r w:rsidRPr="00C45716">
              <w:t xml:space="preserve">: </w:t>
            </w:r>
            <w:r w:rsidRPr="00E5565E">
              <w:t>Moderate to vigorous; HR &lt;60%; Borg scale 12-14</w:t>
            </w:r>
          </w:p>
        </w:tc>
        <w:tc>
          <w:tcPr>
            <w:tcW w:w="5953" w:type="dxa"/>
            <w:tcBorders>
              <w:left w:val="single" w:sz="4" w:space="0" w:color="3B3474"/>
              <w:right w:val="single" w:sz="4" w:space="0" w:color="3B3474"/>
            </w:tcBorders>
          </w:tcPr>
          <w:p w14:paraId="005FD1B1" w14:textId="77777777" w:rsidR="000A1756" w:rsidRDefault="000A1756" w:rsidP="009D0D94">
            <w:r>
              <w:t>Intervention vs control:</w:t>
            </w:r>
          </w:p>
          <w:p w14:paraId="4583B685" w14:textId="7FD193B3" w:rsidR="000A1756" w:rsidRPr="009D0D94" w:rsidRDefault="00A65B49" w:rsidP="009D0D94">
            <w:pPr>
              <w:pStyle w:val="bullet"/>
              <w:rPr>
                <w:rFonts w:ascii="Helvetica" w:hAnsi="Helvetica"/>
              </w:rPr>
            </w:pPr>
            <w:r>
              <w:t>Weight gain &gt;IOM guidelines</w:t>
            </w:r>
            <w:r w:rsidR="000A1756" w:rsidRPr="009D0D94">
              <w:t xml:space="preserve"> </w:t>
            </w:r>
            <w:r w:rsidR="000A1756">
              <w:t xml:space="preserve">(n/%): </w:t>
            </w:r>
            <w:r w:rsidR="000A1756" w:rsidRPr="009D0D94">
              <w:rPr>
                <w:rFonts w:ascii="Helvetica" w:hAnsi="Helvetica"/>
              </w:rPr>
              <w:t xml:space="preserve">23/22.8 </w:t>
            </w:r>
            <w:r w:rsidR="000A1756">
              <w:rPr>
                <w:rFonts w:ascii="Helvetica" w:hAnsi="Helvetica"/>
              </w:rPr>
              <w:t xml:space="preserve">vs </w:t>
            </w:r>
            <w:r w:rsidR="000A1756" w:rsidRPr="009D0D94">
              <w:rPr>
                <w:rFonts w:ascii="Helvetica" w:hAnsi="Helvetica"/>
              </w:rPr>
              <w:t>54/34.8</w:t>
            </w:r>
            <w:r w:rsidR="000A1756">
              <w:rPr>
                <w:rFonts w:ascii="Helvetica" w:hAnsi="Helvetica"/>
              </w:rPr>
              <w:t xml:space="preserve"> p=0.04</w:t>
            </w:r>
          </w:p>
          <w:p w14:paraId="5C24AF5F" w14:textId="44A69FDD" w:rsidR="000A1756" w:rsidRPr="009D0D94" w:rsidRDefault="000A1756" w:rsidP="009D0D94">
            <w:pPr>
              <w:pStyle w:val="bullet"/>
              <w:rPr>
                <w:rFonts w:ascii="Helvetica" w:hAnsi="Helvetica"/>
              </w:rPr>
            </w:pPr>
            <w:r w:rsidRPr="009D0D94">
              <w:rPr>
                <w:rFonts w:ascii="Helvetica" w:hAnsi="Helvetica"/>
              </w:rPr>
              <w:t xml:space="preserve">Caesarean </w:t>
            </w:r>
            <w:r>
              <w:rPr>
                <w:rFonts w:ascii="Helvetica" w:hAnsi="Helvetica"/>
              </w:rPr>
              <w:t>section</w:t>
            </w:r>
            <w:r w:rsidRPr="009D0D94">
              <w:rPr>
                <w:rFonts w:ascii="Helvetica" w:hAnsi="Helvetica"/>
              </w:rPr>
              <w:t xml:space="preserve"> (n%)</w:t>
            </w:r>
            <w:r>
              <w:rPr>
                <w:rFonts w:ascii="Helvetica" w:hAnsi="Helvetica"/>
              </w:rPr>
              <w:t xml:space="preserve">: </w:t>
            </w:r>
            <w:r w:rsidRPr="009D0D94">
              <w:rPr>
                <w:rFonts w:ascii="Helvetica" w:hAnsi="Helvetica"/>
              </w:rPr>
              <w:t xml:space="preserve">26/25.7 </w:t>
            </w:r>
            <w:r>
              <w:rPr>
                <w:rFonts w:ascii="Helvetica" w:hAnsi="Helvetica"/>
              </w:rPr>
              <w:t xml:space="preserve">vs </w:t>
            </w:r>
            <w:r w:rsidRPr="009D0D94">
              <w:rPr>
                <w:rFonts w:ascii="Helvetica" w:hAnsi="Helvetica"/>
              </w:rPr>
              <w:t>33/21.2</w:t>
            </w:r>
          </w:p>
          <w:p w14:paraId="42E7456B" w14:textId="322B50BC" w:rsidR="000A1756" w:rsidRPr="009D0D94" w:rsidRDefault="000A1756" w:rsidP="009D0D94">
            <w:pPr>
              <w:pStyle w:val="bullet"/>
              <w:rPr>
                <w:rFonts w:ascii="Helvetica" w:hAnsi="Helvetica"/>
              </w:rPr>
            </w:pPr>
            <w:r>
              <w:rPr>
                <w:rFonts w:ascii="Helvetica" w:hAnsi="Helvetica"/>
              </w:rPr>
              <w:t xml:space="preserve">Low birthweight </w:t>
            </w:r>
            <w:r w:rsidRPr="009D0D94">
              <w:rPr>
                <w:rFonts w:ascii="Helvetica" w:hAnsi="Helvetica"/>
              </w:rPr>
              <w:t>(n%)</w:t>
            </w:r>
            <w:r>
              <w:rPr>
                <w:rFonts w:ascii="Helvetica" w:hAnsi="Helvetica"/>
              </w:rPr>
              <w:t>:</w:t>
            </w:r>
            <w:r w:rsidRPr="009D0D94">
              <w:rPr>
                <w:rFonts w:ascii="Helvetica" w:hAnsi="Helvetica"/>
              </w:rPr>
              <w:t xml:space="preserve"> 3/3 </w:t>
            </w:r>
            <w:r>
              <w:rPr>
                <w:rFonts w:ascii="Helvetica" w:hAnsi="Helvetica"/>
              </w:rPr>
              <w:t xml:space="preserve">vs </w:t>
            </w:r>
            <w:r w:rsidRPr="009D0D94">
              <w:rPr>
                <w:rFonts w:ascii="Helvetica" w:hAnsi="Helvetica"/>
              </w:rPr>
              <w:t>9/5.8</w:t>
            </w:r>
          </w:p>
          <w:p w14:paraId="00C0A763" w14:textId="2B65608D" w:rsidR="000A1756" w:rsidRPr="009D0D94" w:rsidRDefault="000A1756" w:rsidP="009D0D94">
            <w:pPr>
              <w:pStyle w:val="bullet"/>
              <w:rPr>
                <w:rFonts w:ascii="Helvetica" w:hAnsi="Helvetica"/>
              </w:rPr>
            </w:pPr>
            <w:r>
              <w:rPr>
                <w:rFonts w:ascii="Helvetica" w:hAnsi="Helvetica"/>
              </w:rPr>
              <w:t xml:space="preserve">Macrosomia </w:t>
            </w:r>
            <w:r w:rsidRPr="009D0D94">
              <w:rPr>
                <w:rFonts w:ascii="Helvetica" w:hAnsi="Helvetica"/>
              </w:rPr>
              <w:t>(</w:t>
            </w:r>
            <w:r>
              <w:rPr>
                <w:rFonts w:ascii="Helvetica" w:hAnsi="Helvetica"/>
              </w:rPr>
              <w:t>&gt;</w:t>
            </w:r>
            <w:r w:rsidRPr="009D0D94">
              <w:rPr>
                <w:rFonts w:ascii="Helvetica" w:hAnsi="Helvetica"/>
              </w:rPr>
              <w:t xml:space="preserve"> 4000 g)</w:t>
            </w:r>
            <w:r>
              <w:rPr>
                <w:rFonts w:ascii="Helvetica" w:hAnsi="Helvetica"/>
              </w:rPr>
              <w:t xml:space="preserve"> </w:t>
            </w:r>
            <w:r w:rsidRPr="009D0D94">
              <w:rPr>
                <w:rFonts w:ascii="Helvetica" w:hAnsi="Helvetica"/>
              </w:rPr>
              <w:t>(n%)</w:t>
            </w:r>
            <w:r>
              <w:rPr>
                <w:rFonts w:ascii="Helvetica" w:hAnsi="Helvetica"/>
              </w:rPr>
              <w:t>:</w:t>
            </w:r>
            <w:r w:rsidR="00D4508C">
              <w:rPr>
                <w:rFonts w:ascii="Helvetica" w:hAnsi="Helvetica"/>
              </w:rPr>
              <w:t xml:space="preserve"> </w:t>
            </w:r>
            <w:r w:rsidRPr="009D0D94">
              <w:rPr>
                <w:rFonts w:ascii="Helvetica" w:hAnsi="Helvetica"/>
              </w:rPr>
              <w:t xml:space="preserve">5/5 </w:t>
            </w:r>
            <w:r>
              <w:rPr>
                <w:rFonts w:ascii="Helvetica" w:hAnsi="Helvetica"/>
              </w:rPr>
              <w:t xml:space="preserve">vs </w:t>
            </w:r>
            <w:r w:rsidRPr="009D0D94">
              <w:rPr>
                <w:rFonts w:ascii="Helvetica" w:hAnsi="Helvetica"/>
              </w:rPr>
              <w:t>7/4.5</w:t>
            </w:r>
          </w:p>
          <w:p w14:paraId="4EFF441D" w14:textId="77E342CA" w:rsidR="000A1756" w:rsidRDefault="000A1756" w:rsidP="004A7069">
            <w:r>
              <w:t>Intervention (n=100) vs control (n=146):</w:t>
            </w:r>
          </w:p>
          <w:p w14:paraId="0DD43036" w14:textId="5CF7A929" w:rsidR="000A1756" w:rsidRPr="00860D95" w:rsidRDefault="000A0978" w:rsidP="00860D95">
            <w:pPr>
              <w:pStyle w:val="bullet"/>
            </w:pPr>
            <w:r>
              <w:t>Gestational diabetes</w:t>
            </w:r>
            <w:r w:rsidR="000A1756" w:rsidRPr="00860D95">
              <w:t xml:space="preserve"> (n%)</w:t>
            </w:r>
            <w:r w:rsidR="000A1756">
              <w:t>:</w:t>
            </w:r>
            <w:r w:rsidR="000A1756" w:rsidRPr="00860D95">
              <w:t xml:space="preserve"> 1/1 </w:t>
            </w:r>
            <w:r w:rsidR="000A1756">
              <w:t xml:space="preserve">vs </w:t>
            </w:r>
            <w:r w:rsidR="000A1756" w:rsidRPr="00860D95">
              <w:t xml:space="preserve">13/8.9 </w:t>
            </w:r>
            <w:r w:rsidR="000A1756">
              <w:t>p=0.009 OR</w:t>
            </w:r>
            <w:r w:rsidR="000A1756" w:rsidRPr="00860D95">
              <w:t xml:space="preserve"> 0.103 (0.013–0.803)</w:t>
            </w:r>
          </w:p>
          <w:p w14:paraId="3ECE7EBB" w14:textId="242171D2" w:rsidR="000A1756" w:rsidRDefault="000A1756" w:rsidP="004A7069"/>
        </w:tc>
      </w:tr>
      <w:tr w:rsidR="000A1756" w:rsidRPr="00A652CB" w14:paraId="096E7AF8"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40E0A0B0" w14:textId="7B3B21B6" w:rsidR="00F528B6" w:rsidRDefault="00F528B6" w:rsidP="00E70A06">
            <w:r w:rsidRPr="00C12274">
              <w:rPr>
                <w:noProof/>
              </w:rPr>
              <w:t xml:space="preserve">da </w:t>
            </w:r>
            <w:r>
              <w:rPr>
                <w:noProof/>
              </w:rPr>
              <w:t>Silva et al 2017</w:t>
            </w:r>
            <w:r w:rsidR="00616EE6">
              <w:fldChar w:fldCharType="begin">
                <w:fldData xml:space="preserve">PEVuZE5vdGU+PENpdGU+PEF1dGhvcj5kYSBTaWx2YTwvQXV0aG9yPjxZZWFyPjIwMTc8L1llYXI+
PFJlY051bT42ODQ8L1JlY051bT48RGlzcGxheVRleHQ+PHN0eWxlIGZhY2U9InN1cGVyc2NyaXB0
IiBmb250PSJUcmVidWNoZXQgTVMiIHNpemU9IjkiPjQzMjwvc3R5bGU+PC9EaXNwbGF5VGV4dD48
cmVjb3JkPjxyZWMtbnVtYmVyPjY4NDwvcmVjLW51bWJlcj48Zm9yZWlnbi1rZXlzPjxrZXkgYXBw
PSJFTiIgZGItaWQ9ImV4dmFzcmZ4MmR0cmFvZXNhc3hwMnN6c3hhMmRmNTAyNTkyeCIgdGltZXN0
YW1wPSIxNTQwNTI3MTM1Ij42ODQ8L2tleT48L2ZvcmVpZ24ta2V5cz48cmVmLXR5cGUgbmFtZT0i
Sm91cm5hbCBBcnRpY2xlIj4xNzwvcmVmLXR5cGU+PGNvbnRyaWJ1dG9ycz48YXV0aG9ycz48YXV0
aG9yPmRhIFNpbHZhLCBTLiBHLjwvYXV0aG9yPjxhdXRob3I+SGFsbGFsLCBQLiBDLjwvYXV0aG9y
PjxhdXRob3I+RG9taW5ndWVzLCBNLiBSLjwvYXV0aG9yPjxhdXRob3I+QmVydG9sZGksIEEuIEQu
PC9hdXRob3I+PGF1dGhvcj5TaWx2ZWlyYSwgTS4gRi4gRC48L2F1dGhvcj48YXV0aG9yPkJhc3Nh
bmksIEQuPC9hdXRob3I+PGF1dGhvcj5kYSBTaWx2YSwgSS4gQy4gTS48L2F1dGhvcj48YXV0aG9y
PmRhIFNpbHZhLCBCLiBHLiBDLjwvYXV0aG9yPjxhdXRob3I+Q29sbCwgQy4gVi4gTi48L2F1dGhv
cj48YXV0aG9yPkV2ZW5zb24sIEsuPC9hdXRob3I+PC9hdXRob3JzPjwvY29udHJpYnV0b3JzPjxh
dXRoLWFkZHJlc3M+UG9zdGdyYWR1YXRlIFByb2dyYW0gaW4gRXBpZGVtaW9sb2d5LCBGZWRlcmFs
IFVuaXZlcnNpdHkgb2YgUGVsb3RhcywgUnVhIE1hcmVjaGFsIERlb2Rvcm8sIDExNjAtMyBkZWdy
ZWVzIHBpc28sIENFUDogOTYwMjAtMjIwLCBCYWlycm8gQ2VudHJvLCBQZWxvdGFzLCBSaW8gR3Jh
bmRlIGRvIFN1bCwgQnJhemlsLiBzZ2luYXJAZ21haWwuY29tLiYjeEQ7RGVwYXJ0bWVudCBvZiBF
cGlkZW1pb2xvZ3ksIEdpbGxpbmdzIFNjaG9vbCBvZiBHbG9iYWwgUHVibGljIEhlYWx0aCwgVW5p
dmVyc2l0eSBvZiBOb3J0aCBDYXJvbGluYSAtIENoYXBlbCBIaWxsLCBDaGFwZWwgSGlsbCwgTkMs
IFVTQS4gc2dpbmFyQGdtYWlsLmNvbS4mI3hEO1Bvc3RncmFkdWF0ZSBQcm9ncmFtIGluIEVwaWRl
bWlvbG9neSwgRmVkZXJhbCBVbml2ZXJzaXR5IG9mIFBlbG90YXMsIFJ1YSBNYXJlY2hhbCBEZW9k
b3JvLCAxMTYwLTMgZGVncmVlcyBwaXNvLCBDRVA6IDk2MDIwLTIyMCwgQmFpcnJvIENlbnRybywg
UGVsb3RhcywgUmlvIEdyYW5kZSBkbyBTdWwsIEJyYXppbC4mI3hEO1Bvc3RncmFkdWF0ZSBQcm9n
cmFtIGluIFBoeXNpY2FsIEVkdWNhdGlvbiwgRmVkZXJhbCBVbml2ZXJzaXR5IG9mIFBlbG90YXMs
IFBlbG90YXMsIEJyYXppbC4mI3hEO0RlcGFydG1lbnQgb2YgUGFlZGlhdHJpY3MsIEZhY3VsdHkg
b2YgTWVkaWNpbmUsIENlbnRyZSBmb3IgR2xvYmFsIENoaWxkIEhlYWx0aCwgVW5pdmVyc2l0eSBv
ZiBUb3JvbnRvOyBLaW5nJmFwb3M7cyBDb2xsZWdlIENpcmNsZSwgVGhlIEhvc3BpdGFsIGZvciBT
aWNrIENoaWxkcmVuLCBUb3JvbnRvLCBDYW5hZGEuJiN4RDtEZXBhcnRtZW50IG9mIEVwaWRlbWlv
bG9neSwgR2lsbGluZ3MgU2Nob29sIG9mIEdsb2JhbCBQdWJsaWMgSGVhbHRoLCBVbml2ZXJzaXR5
IG9mIE5vcnRoIENhcm9saW5hIC0gQ2hhcGVsIEhpbGwsIENoYXBlbCBIaWxsLCBOQywgVVNBLjwv
YXV0aC1hZGRyZXNzPjx0aXRsZXM+PHRpdGxlPkEgcmFuZG9taXplZCBjb250cm9sbGVkIHRyaWFs
IG9mIGV4ZXJjaXNlIGR1cmluZyBwcmVnbmFuY3kgb24gbWF0ZXJuYWwgYW5kIG5lb25hdGFsIG91
dGNvbWVzOiByZXN1bHRzIGZyb20gdGhlIFBBTUVMQSBzdHVkeTwvdGl0bGU+PHNlY29uZGFyeS10
aXRsZT5JbnQgSiBCZWhhdiBOdXRyIFBoeXMgQWN0PC9zZWNvbmRhcnktdGl0bGU+PC90aXRsZXM+
PHBlcmlvZGljYWw+PGZ1bGwtdGl0bGU+SW50IEogQmVoYXYgTnV0ciBQaHlzIEFjdDwvZnVsbC10
aXRsZT48L3BlcmlvZGljYWw+PHBhZ2VzPjE3NTwvcGFnZXM+PHZvbHVtZT4xNDwvdm9sdW1lPjxu
dW1iZXI+MTwvbnVtYmVyPjxlZGl0aW9uPjIwMTcvMTIvMjQ8L2VkaXRpb24+PGtleXdvcmRzPjxr
ZXl3b3JkPkFkdWx0PC9rZXl3b3JkPjxrZXl3b3JkPkJpcnRoIFdlaWdodDwva2V5d29yZD48a2V5
d29yZD5Cb2R5IE1hc3MgSW5kZXg8L2tleXdvcmQ+PGtleXdvcmQ+QnJhemlsPC9rZXl3b3JkPjxr
ZXl3b3JkPkNvaG9ydCBTdHVkaWVzPC9rZXl3b3JkPjxrZXl3b3JkPkRpYWJldGVzLCBHZXN0YXRp
b25hbC9lcGlkZW1pb2xvZ3kvcHJldmVudGlvbiAmYW1wOyBjb250cm9sPC9rZXl3b3JkPjxrZXl3
b3JkPipFeGVyY2lzZTwva2V5d29yZD48a2V5d29yZD5GZW1hbGU8L2tleXdvcmQ+PGtleXdvcmQ+
R2VzdGF0aW9uYWwgQWdlPC9rZXl3b3JkPjxrZXl3b3JkPkh1bWFuczwva2V5d29yZD48a2V5d29y
ZD5JbmNpZGVuY2U8L2tleXdvcmQ+PGtleXdvcmQ+SW5mYW50PC9rZXl3b3JkPjxrZXl3b3JkPlBh
dGllbnQgQ29tcGxpYW5jZTwva2V5d29yZD48a2V5d29yZD5QcmUtRWNsYW1wc2lhLyplcGlkZW1p
b2xvZ3kvcHJldmVudGlvbiAmYW1wOyBjb250cm9sPC9rZXl3b3JkPjxrZXl3b3JkPlByZWduYW5j
eTwva2V5d29yZD48a2V5d29yZD4qUHJlZ25hbmN5IE91dGNvbWU8L2tleXdvcmQ+PGtleXdvcmQ+
UHJlbWF0dXJlIEJpcnRoLyplcGlkZW1pb2xvZ3kvcHJldmVudGlvbiAmYW1wOyBjb250cm9sPC9r
ZXl3b3JkPjxrZXl3b3JkPlByZW5hdGFsIENhcmU8L2tleXdvcmQ+PGtleXdvcmQ+U2FtcGxlIFNp
emU8L2tleXdvcmQ+PGtleXdvcmQ+V2VpZ2h0IEdhaW48L2tleXdvcmQ+PGtleXdvcmQ+WW91bmcg
QWR1bHQ8L2tleXdvcmQ+PGtleXdvcmQ+KkludGVydmVudGlvbiBzdHVkaWVzPC9rZXl3b3JkPjxr
ZXl3b3JkPipNYXRlcm5hbC1jaGlsZCBoZWFsdGg8L2tleXdvcmQ+PGtleXdvcmQ+KlBoeXNpY2Fs
IGFjdGl2aXR5PC9rZXl3b3JkPjxrZXl3b3JkPipQcmVnbmFudCB3b21hbjwva2V5d29yZD48a2V5
d29yZD4qUmFuZG9taXplZCBjb250cm9sbGVkIHRyaWFsPC9rZXl3b3JkPjwva2V5d29yZHM+PGRh
dGVzPjx5ZWFyPjIwMTc8L3llYXI+PHB1Yi1kYXRlcz48ZGF0ZT5EZWMgMjI8L2RhdGU+PC9wdWIt
ZGF0ZXM+PC9kYXRlcz48aXNibj4xNDc5LTU4NjggKEVsZWN0cm9uaWMpJiN4RDsxNDc5LTU4Njgg
KExpbmtpbmcpPC9pc2JuPjxhY2Nlc3Npb24tbnVtPjI5MjczMDQ0PC9hY2Nlc3Npb24tbnVtPjx1
cmxzPjxyZWxhdGVkLXVybHM+PHVybD5odHRwczovL3d3dy5uY2JpLm5sbS5uaWguZ292L3B1Ym1l
ZC8yOTI3MzA0NDwvdXJsPjwvcmVsYXRlZC11cmxzPjwvdXJscz48Y3VzdG9tMj5QTUM1NzQxOTI0
PC9jdXN0b20yPjxlbGVjdHJvbmljLXJlc291cmNlLW51bT4xMC4xMTg2L3MxMjk2Ni0wMTctMDYz
Mi02PC9lbGVjdHJvbmljLXJlc291cmNlLW51bT48L3JlY29yZD48L0NpdGU+PC9FbmROb3RlPgB=
</w:fldData>
              </w:fldChar>
            </w:r>
            <w:r w:rsidR="002747EA">
              <w:instrText xml:space="preserve"> ADDIN EN.CITE </w:instrText>
            </w:r>
            <w:r w:rsidR="002747EA">
              <w:fldChar w:fldCharType="begin">
                <w:fldData xml:space="preserve">PEVuZE5vdGU+PENpdGU+PEF1dGhvcj5kYSBTaWx2YTwvQXV0aG9yPjxZZWFyPjIwMTc8L1llYXI+
PFJlY051bT42ODQ8L1JlY051bT48RGlzcGxheVRleHQ+PHN0eWxlIGZhY2U9InN1cGVyc2NyaXB0
IiBmb250PSJUcmVidWNoZXQgTVMiIHNpemU9IjkiPjQzMjwvc3R5bGU+PC9EaXNwbGF5VGV4dD48
cmVjb3JkPjxyZWMtbnVtYmVyPjY4NDwvcmVjLW51bWJlcj48Zm9yZWlnbi1rZXlzPjxrZXkgYXBw
PSJFTiIgZGItaWQ9ImV4dmFzcmZ4MmR0cmFvZXNhc3hwMnN6c3hhMmRmNTAyNTkyeCIgdGltZXN0
YW1wPSIxNTQwNTI3MTM1Ij42ODQ8L2tleT48L2ZvcmVpZ24ta2V5cz48cmVmLXR5cGUgbmFtZT0i
Sm91cm5hbCBBcnRpY2xlIj4xNzwvcmVmLXR5cGU+PGNvbnRyaWJ1dG9ycz48YXV0aG9ycz48YXV0
aG9yPmRhIFNpbHZhLCBTLiBHLjwvYXV0aG9yPjxhdXRob3I+SGFsbGFsLCBQLiBDLjwvYXV0aG9y
PjxhdXRob3I+RG9taW5ndWVzLCBNLiBSLjwvYXV0aG9yPjxhdXRob3I+QmVydG9sZGksIEEuIEQu
PC9hdXRob3I+PGF1dGhvcj5TaWx2ZWlyYSwgTS4gRi4gRC48L2F1dGhvcj48YXV0aG9yPkJhc3Nh
bmksIEQuPC9hdXRob3I+PGF1dGhvcj5kYSBTaWx2YSwgSS4gQy4gTS48L2F1dGhvcj48YXV0aG9y
PmRhIFNpbHZhLCBCLiBHLiBDLjwvYXV0aG9yPjxhdXRob3I+Q29sbCwgQy4gVi4gTi48L2F1dGhv
cj48YXV0aG9yPkV2ZW5zb24sIEsuPC9hdXRob3I+PC9hdXRob3JzPjwvY29udHJpYnV0b3JzPjxh
dXRoLWFkZHJlc3M+UG9zdGdyYWR1YXRlIFByb2dyYW0gaW4gRXBpZGVtaW9sb2d5LCBGZWRlcmFs
IFVuaXZlcnNpdHkgb2YgUGVsb3RhcywgUnVhIE1hcmVjaGFsIERlb2Rvcm8sIDExNjAtMyBkZWdy
ZWVzIHBpc28sIENFUDogOTYwMjAtMjIwLCBCYWlycm8gQ2VudHJvLCBQZWxvdGFzLCBSaW8gR3Jh
bmRlIGRvIFN1bCwgQnJhemlsLiBzZ2luYXJAZ21haWwuY29tLiYjeEQ7RGVwYXJ0bWVudCBvZiBF
cGlkZW1pb2xvZ3ksIEdpbGxpbmdzIFNjaG9vbCBvZiBHbG9iYWwgUHVibGljIEhlYWx0aCwgVW5p
dmVyc2l0eSBvZiBOb3J0aCBDYXJvbGluYSAtIENoYXBlbCBIaWxsLCBDaGFwZWwgSGlsbCwgTkMs
IFVTQS4gc2dpbmFyQGdtYWlsLmNvbS4mI3hEO1Bvc3RncmFkdWF0ZSBQcm9ncmFtIGluIEVwaWRl
bWlvbG9neSwgRmVkZXJhbCBVbml2ZXJzaXR5IG9mIFBlbG90YXMsIFJ1YSBNYXJlY2hhbCBEZW9k
b3JvLCAxMTYwLTMgZGVncmVlcyBwaXNvLCBDRVA6IDk2MDIwLTIyMCwgQmFpcnJvIENlbnRybywg
UGVsb3RhcywgUmlvIEdyYW5kZSBkbyBTdWwsIEJyYXppbC4mI3hEO1Bvc3RncmFkdWF0ZSBQcm9n
cmFtIGluIFBoeXNpY2FsIEVkdWNhdGlvbiwgRmVkZXJhbCBVbml2ZXJzaXR5IG9mIFBlbG90YXMs
IFBlbG90YXMsIEJyYXppbC4mI3hEO0RlcGFydG1lbnQgb2YgUGFlZGlhdHJpY3MsIEZhY3VsdHkg
b2YgTWVkaWNpbmUsIENlbnRyZSBmb3IgR2xvYmFsIENoaWxkIEhlYWx0aCwgVW5pdmVyc2l0eSBv
ZiBUb3JvbnRvOyBLaW5nJmFwb3M7cyBDb2xsZWdlIENpcmNsZSwgVGhlIEhvc3BpdGFsIGZvciBT
aWNrIENoaWxkcmVuLCBUb3JvbnRvLCBDYW5hZGEuJiN4RDtEZXBhcnRtZW50IG9mIEVwaWRlbWlv
bG9neSwgR2lsbGluZ3MgU2Nob29sIG9mIEdsb2JhbCBQdWJsaWMgSGVhbHRoLCBVbml2ZXJzaXR5
IG9mIE5vcnRoIENhcm9saW5hIC0gQ2hhcGVsIEhpbGwsIENoYXBlbCBIaWxsLCBOQywgVVNBLjwv
YXV0aC1hZGRyZXNzPjx0aXRsZXM+PHRpdGxlPkEgcmFuZG9taXplZCBjb250cm9sbGVkIHRyaWFs
IG9mIGV4ZXJjaXNlIGR1cmluZyBwcmVnbmFuY3kgb24gbWF0ZXJuYWwgYW5kIG5lb25hdGFsIG91
dGNvbWVzOiByZXN1bHRzIGZyb20gdGhlIFBBTUVMQSBzdHVkeTwvdGl0bGU+PHNlY29uZGFyeS10
aXRsZT5JbnQgSiBCZWhhdiBOdXRyIFBoeXMgQWN0PC9zZWNvbmRhcnktdGl0bGU+PC90aXRsZXM+
PHBlcmlvZGljYWw+PGZ1bGwtdGl0bGU+SW50IEogQmVoYXYgTnV0ciBQaHlzIEFjdDwvZnVsbC10
aXRsZT48L3BlcmlvZGljYWw+PHBhZ2VzPjE3NTwvcGFnZXM+PHZvbHVtZT4xNDwvdm9sdW1lPjxu
dW1iZXI+MTwvbnVtYmVyPjxlZGl0aW9uPjIwMTcvMTIvMjQ8L2VkaXRpb24+PGtleXdvcmRzPjxr
ZXl3b3JkPkFkdWx0PC9rZXl3b3JkPjxrZXl3b3JkPkJpcnRoIFdlaWdodDwva2V5d29yZD48a2V5
d29yZD5Cb2R5IE1hc3MgSW5kZXg8L2tleXdvcmQ+PGtleXdvcmQ+QnJhemlsPC9rZXl3b3JkPjxr
ZXl3b3JkPkNvaG9ydCBTdHVkaWVzPC9rZXl3b3JkPjxrZXl3b3JkPkRpYWJldGVzLCBHZXN0YXRp
b25hbC9lcGlkZW1pb2xvZ3kvcHJldmVudGlvbiAmYW1wOyBjb250cm9sPC9rZXl3b3JkPjxrZXl3
b3JkPipFeGVyY2lzZTwva2V5d29yZD48a2V5d29yZD5GZW1hbGU8L2tleXdvcmQ+PGtleXdvcmQ+
R2VzdGF0aW9uYWwgQWdlPC9rZXl3b3JkPjxrZXl3b3JkPkh1bWFuczwva2V5d29yZD48a2V5d29y
ZD5JbmNpZGVuY2U8L2tleXdvcmQ+PGtleXdvcmQ+SW5mYW50PC9rZXl3b3JkPjxrZXl3b3JkPlBh
dGllbnQgQ29tcGxpYW5jZTwva2V5d29yZD48a2V5d29yZD5QcmUtRWNsYW1wc2lhLyplcGlkZW1p
b2xvZ3kvcHJldmVudGlvbiAmYW1wOyBjb250cm9sPC9rZXl3b3JkPjxrZXl3b3JkPlByZWduYW5j
eTwva2V5d29yZD48a2V5d29yZD4qUHJlZ25hbmN5IE91dGNvbWU8L2tleXdvcmQ+PGtleXdvcmQ+
UHJlbWF0dXJlIEJpcnRoLyplcGlkZW1pb2xvZ3kvcHJldmVudGlvbiAmYW1wOyBjb250cm9sPC9r
ZXl3b3JkPjxrZXl3b3JkPlByZW5hdGFsIENhcmU8L2tleXdvcmQ+PGtleXdvcmQ+U2FtcGxlIFNp
emU8L2tleXdvcmQ+PGtleXdvcmQ+V2VpZ2h0IEdhaW48L2tleXdvcmQ+PGtleXdvcmQ+WW91bmcg
QWR1bHQ8L2tleXdvcmQ+PGtleXdvcmQ+KkludGVydmVudGlvbiBzdHVkaWVzPC9rZXl3b3JkPjxr
ZXl3b3JkPipNYXRlcm5hbC1jaGlsZCBoZWFsdGg8L2tleXdvcmQ+PGtleXdvcmQ+KlBoeXNpY2Fs
IGFjdGl2aXR5PC9rZXl3b3JkPjxrZXl3b3JkPipQcmVnbmFudCB3b21hbjwva2V5d29yZD48a2V5
d29yZD4qUmFuZG9taXplZCBjb250cm9sbGVkIHRyaWFsPC9rZXl3b3JkPjwva2V5d29yZHM+PGRh
dGVzPjx5ZWFyPjIwMTc8L3llYXI+PHB1Yi1kYXRlcz48ZGF0ZT5EZWMgMjI8L2RhdGU+PC9wdWIt
ZGF0ZXM+PC9kYXRlcz48aXNibj4xNDc5LTU4NjggKEVsZWN0cm9uaWMpJiN4RDsxNDc5LTU4Njgg
KExpbmtpbmcpPC9pc2JuPjxhY2Nlc3Npb24tbnVtPjI5MjczMDQ0PC9hY2Nlc3Npb24tbnVtPjx1
cmxzPjxyZWxhdGVkLXVybHM+PHVybD5odHRwczovL3d3dy5uY2JpLm5sbS5uaWguZ292L3B1Ym1l
ZC8yOTI3MzA0NDwvdXJsPjwvcmVsYXRlZC11cmxzPjwvdXJscz48Y3VzdG9tMj5QTUM1NzQxOTI0
PC9jdXN0b20yPjxlbGVjdHJvbmljLXJlc291cmNlLW51bT4xMC4xMTg2L3MxMjk2Ni0wMTctMDYz
Mi02PC9lbGVjdHJvbmljLXJlc291cmNlLW51bT48L3JlY29yZD48L0NpdGU+PC9FbmROb3RlPgB=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432</w:t>
            </w:r>
            <w:r w:rsidR="00616EE6">
              <w:fldChar w:fldCharType="end"/>
            </w:r>
          </w:p>
          <w:p w14:paraId="09F1307D" w14:textId="04F02ABB" w:rsidR="00442E26" w:rsidRPr="00C12274" w:rsidRDefault="00442E26" w:rsidP="00E70A06">
            <w:r>
              <w:t>Coll et al 2019</w:t>
            </w:r>
            <w:r w:rsidR="00D07346">
              <w:fldChar w:fldCharType="begin">
                <w:fldData xml:space="preserve">PEVuZE5vdGU+PENpdGU+PEF1dGhvcj5Db2xsPC9BdXRob3I+PFllYXI+MjAxOTwvWWVhcj48UmVj
TnVtPjE5MTQ8L1JlY051bT48RGlzcGxheVRleHQ+PHN0eWxlIGZhY2U9InN1cGVyc2NyaXB0IiBm
b250PSJUcmVidWNoZXQgTVMiIHNpemU9IjkiPjUzNjwvc3R5bGU+PC9EaXNwbGF5VGV4dD48cmVj
b3JkPjxyZWMtbnVtYmVyPjE5MTQ8L3JlYy1udW1iZXI+PGZvcmVpZ24ta2V5cz48a2V5IGFwcD0i
RU4iIGRiLWlkPSJleHZhc3JmeDJkdHJhb2VzYXN4cDJzenN4YTJkZjUwMjU5MngiIHRpbWVzdGFt
cD0iMTU4ODQ3NzA4MyI+MTkxNDwva2V5PjxrZXkgYXBwPSJFTldlYiIgZGItaWQ9IiI+MDwva2V5
PjwvZm9yZWlnbi1rZXlzPjxyZWYtdHlwZSBuYW1lPSJKb3VybmFsIEFydGljbGUiPjE3PC9yZWYt
dHlwZT48Y29udHJpYnV0b3JzPjxhdXRob3JzPjxhdXRob3I+Q29sbCwgQy4gVi4gTi48L2F1dGhv
cj48YXV0aG9yPkRvbWluZ3VlcywgTS4gUi48L2F1dGhvcj48YXV0aG9yPlN0ZWluLCBBLjwvYXV0
aG9yPjxhdXRob3I+ZGEgU2lsdmEsIEIuIEcuIEMuPC9hdXRob3I+PGF1dGhvcj5CYXNzYW5pLCBE
LiBHLjwvYXV0aG9yPjxhdXRob3I+SGFydHdpZywgRi4gUC48L2F1dGhvcj48YXV0aG9yPmRhIFNp
bHZhLCBJLiBDLiBNLjwvYXV0aG9yPjxhdXRob3I+ZGEgU2lsdmVpcmEsIE0uIEYuPC9hdXRob3I+
PGF1dGhvcj5kYSBTaWx2YSwgUy4gRy48L2F1dGhvcj48YXV0aG9yPkJlcnRvbGRpLCBBLiBELjwv
YXV0aG9yPjwvYXV0aG9ycz48L2NvbnRyaWJ1dG9ycz48YXV0aC1hZGRyZXNzPlBvc3RncmFkdWF0
ZSBQcm9ncmFtIGluIEVwaWRlbWlvbG9neSwgRmVkZXJhbCBVbml2ZXJzaXR5IG9mIFBlbG90YXMs
IFBlbG90YXMsIFJpbyBHcmFuZGUgZG8gU3VsLCBCcmF6aWwuJiN4RDtQb3N0Z3JhZHVhdGUgUHJv
Z3JhbSBpbiBQaHlzaWNhbCBFZHVjYXRpb24sIEZlZGVyYWwgVW5pdmVyc2l0eSBvZiBQZWxvdGFz
LCBQZWxvdGFzLCBSaW8gR3JhbmRlIGRvIFN1bCwgQnJhemlsLiYjeEQ7RGVwYXJ0bWVudCBvZiBQ
c3ljaGlhdHJ5LCBVbml2ZXJzaXR5IG9mIE94Zm9yZCwgT3hmb3JkLCBVbml0ZWQgS2luZ2RvbS4m
I3hEO0NlbnRyZSBmb3IgR2xvYmFsIENoaWxkIEhlYWx0aCwgVGhlIEhvc3BpdGFsIGZvciBTaWNr
IENoaWxkcmVuLCBUb3JvbnRvLCBPbnRhcmlvLCBDYW5hZGEuJiN4RDtNZWRpY2FsIFJlc2VhcmNo
IENvdW5jaWwgSW50ZWdyYXRpdmUgRXBpZGVtaW9sb2d5IFVuaXQsIFVuaXZlcnNpdHkgb2YgQnJp
c3RvbCwgQnJpc3RvbCwgVW5pdGVkIEtpbmdkb20uPC9hdXRoLWFkZHJlc3M+PHRpdGxlcz48dGl0
bGU+RWZmaWNhY3kgb2YgcmVndWxhciBleGVyY2lzZSBkdXJpbmcgcHJlZ25hbmN5IG9uIHRoZSBw
cmV2ZW50aW9uIG9mIHBvc3RwYXJ0dW0gZGVwcmVzc2lvbjogdGhlIFBBTUVMQSByYW5kb21pemVk
IGNsaW5pY2FsIHRyaWFsPC90aXRsZT48c2Vjb25kYXJ5LXRpdGxlPkpBTUEgTmV0dyBPcGVuPC9z
ZWNvbmRhcnktdGl0bGU+PC90aXRsZXM+PHBlcmlvZGljYWw+PGZ1bGwtdGl0bGU+SkFNQSBOZXR3
IE9wZW48L2Z1bGwtdGl0bGU+PC9wZXJpb2RpY2FsPjxwYWdlcz5lMTg2ODYxPC9wYWdlcz48dm9s
dW1lPjI8L3ZvbHVtZT48bnVtYmVyPjE8L251bWJlcj48ZWRpdGlvbj4yMDE5LzAxLzE2PC9lZGl0
aW9uPjxrZXl3b3Jkcz48a2V5d29yZD5BZHVsdDwva2V5d29yZD48a2V5d29yZD4qRGVwcmVzc2lv
biwgUG9zdHBhcnR1bS9kaWFnbm9zaXMvcGh5c2lvcGF0aG9sb2d5L3ByZXZlbnRpb24gJmFtcDsg
Y29udHJvbDwva2V5d29yZD48a2V5d29yZD5FeGVyY2lzZS8qcHN5Y2hvbG9neTwva2V5d29yZD48
a2V5d29yZD5GZW1hbGU8L2tleXdvcmQ+PGtleXdvcmQ+R2VzdGF0aW9uYWwgQWdlPC9rZXl3b3Jk
PjxrZXl3b3JkPkh1bWFuczwva2V5d29yZD48a2V5d29yZD5QYXRpZW50IENvbXBsaWFuY2UvcHN5
Y2hvbG9neS9zdGF0aXN0aWNzICZhbXA7IG51bWVyaWNhbCBkYXRhPC9rZXl3b3JkPjxrZXl3b3Jk
PlByZWduYW5jeTwva2V5d29yZD48a2V5d29yZD5QcmVnbmFudCBXb21lbi9wc3ljaG9sb2d5PC9r
ZXl3b3JkPjxrZXl3b3JkPlBzeWNoaWF0cmljIFN0YXR1cyBSYXRpbmcgU2NhbGVzPC9rZXl3b3Jk
PjxrZXl3b3JkPlJlc2lzdGFuY2UgVHJhaW5pbmcvKm1ldGhvZHM8L2tleXdvcmQ+PGtleXdvcmQ+
VHJlYXRtZW50IE91dGNvbWU8L2tleXdvcmQ+PC9rZXl3b3Jkcz48ZGF0ZXM+PHllYXI+MjAxOTwv
eWVhcj48cHViLWRhdGVzPjxkYXRlPkphbiA0PC9kYXRlPjwvcHViLWRhdGVzPjwvZGF0ZXM+PGlz
Ym4+MjU3NC0zODA1IChFbGVjdHJvbmljKSYjeEQ7MjU3NC0zODA1IChMaW5raW5nKTwvaXNibj48
YWNjZXNzaW9uLW51bT4zMDY0NjE5ODwvYWNjZXNzaW9uLW51bT48dXJscz48cmVsYXRlZC11cmxz
Pjx1cmw+aHR0cHM6Ly93d3cubmNiaS5ubG0ubmloLmdvdi9wdWJtZWQvMzA2NDYxOTg8L3VybD48
L3JlbGF0ZWQtdXJscz48L3VybHM+PGN1c3RvbTI+UE1DNjMyNDMxMTwvY3VzdG9tMj48ZWxlY3Ry
b25pYy1yZXNvdXJjZS1udW0+MTAuMTAwMS9qYW1hbmV0d29ya29wZW4uMjAxOC42ODYxPC9lbGVj
dHJvbmljLXJlc291cmNlLW51bT48L3JlY29yZD48L0NpdGU+PC9FbmROb3RlPgB=
</w:fldData>
              </w:fldChar>
            </w:r>
            <w:r w:rsidR="002747EA">
              <w:instrText xml:space="preserve"> ADDIN EN.CITE </w:instrText>
            </w:r>
            <w:r w:rsidR="002747EA">
              <w:fldChar w:fldCharType="begin">
                <w:fldData xml:space="preserve">PEVuZE5vdGU+PENpdGU+PEF1dGhvcj5Db2xsPC9BdXRob3I+PFllYXI+MjAxOTwvWWVhcj48UmVj
TnVtPjE5MTQ8L1JlY051bT48RGlzcGxheVRleHQ+PHN0eWxlIGZhY2U9InN1cGVyc2NyaXB0IiBm
b250PSJUcmVidWNoZXQgTVMiIHNpemU9IjkiPjUzNjwvc3R5bGU+PC9EaXNwbGF5VGV4dD48cmVj
b3JkPjxyZWMtbnVtYmVyPjE5MTQ8L3JlYy1udW1iZXI+PGZvcmVpZ24ta2V5cz48a2V5IGFwcD0i
RU4iIGRiLWlkPSJleHZhc3JmeDJkdHJhb2VzYXN4cDJzenN4YTJkZjUwMjU5MngiIHRpbWVzdGFt
cD0iMTU4ODQ3NzA4MyI+MTkxNDwva2V5PjxrZXkgYXBwPSJFTldlYiIgZGItaWQ9IiI+MDwva2V5
PjwvZm9yZWlnbi1rZXlzPjxyZWYtdHlwZSBuYW1lPSJKb3VybmFsIEFydGljbGUiPjE3PC9yZWYt
dHlwZT48Y29udHJpYnV0b3JzPjxhdXRob3JzPjxhdXRob3I+Q29sbCwgQy4gVi4gTi48L2F1dGhv
cj48YXV0aG9yPkRvbWluZ3VlcywgTS4gUi48L2F1dGhvcj48YXV0aG9yPlN0ZWluLCBBLjwvYXV0
aG9yPjxhdXRob3I+ZGEgU2lsdmEsIEIuIEcuIEMuPC9hdXRob3I+PGF1dGhvcj5CYXNzYW5pLCBE
LiBHLjwvYXV0aG9yPjxhdXRob3I+SGFydHdpZywgRi4gUC48L2F1dGhvcj48YXV0aG9yPmRhIFNp
bHZhLCBJLiBDLiBNLjwvYXV0aG9yPjxhdXRob3I+ZGEgU2lsdmVpcmEsIE0uIEYuPC9hdXRob3I+
PGF1dGhvcj5kYSBTaWx2YSwgUy4gRy48L2F1dGhvcj48YXV0aG9yPkJlcnRvbGRpLCBBLiBELjwv
YXV0aG9yPjwvYXV0aG9ycz48L2NvbnRyaWJ1dG9ycz48YXV0aC1hZGRyZXNzPlBvc3RncmFkdWF0
ZSBQcm9ncmFtIGluIEVwaWRlbWlvbG9neSwgRmVkZXJhbCBVbml2ZXJzaXR5IG9mIFBlbG90YXMs
IFBlbG90YXMsIFJpbyBHcmFuZGUgZG8gU3VsLCBCcmF6aWwuJiN4RDtQb3N0Z3JhZHVhdGUgUHJv
Z3JhbSBpbiBQaHlzaWNhbCBFZHVjYXRpb24sIEZlZGVyYWwgVW5pdmVyc2l0eSBvZiBQZWxvdGFz
LCBQZWxvdGFzLCBSaW8gR3JhbmRlIGRvIFN1bCwgQnJhemlsLiYjeEQ7RGVwYXJ0bWVudCBvZiBQ
c3ljaGlhdHJ5LCBVbml2ZXJzaXR5IG9mIE94Zm9yZCwgT3hmb3JkLCBVbml0ZWQgS2luZ2RvbS4m
I3hEO0NlbnRyZSBmb3IgR2xvYmFsIENoaWxkIEhlYWx0aCwgVGhlIEhvc3BpdGFsIGZvciBTaWNr
IENoaWxkcmVuLCBUb3JvbnRvLCBPbnRhcmlvLCBDYW5hZGEuJiN4RDtNZWRpY2FsIFJlc2VhcmNo
IENvdW5jaWwgSW50ZWdyYXRpdmUgRXBpZGVtaW9sb2d5IFVuaXQsIFVuaXZlcnNpdHkgb2YgQnJp
c3RvbCwgQnJpc3RvbCwgVW5pdGVkIEtpbmdkb20uPC9hdXRoLWFkZHJlc3M+PHRpdGxlcz48dGl0
bGU+RWZmaWNhY3kgb2YgcmVndWxhciBleGVyY2lzZSBkdXJpbmcgcHJlZ25hbmN5IG9uIHRoZSBw
cmV2ZW50aW9uIG9mIHBvc3RwYXJ0dW0gZGVwcmVzc2lvbjogdGhlIFBBTUVMQSByYW5kb21pemVk
IGNsaW5pY2FsIHRyaWFsPC90aXRsZT48c2Vjb25kYXJ5LXRpdGxlPkpBTUEgTmV0dyBPcGVuPC9z
ZWNvbmRhcnktdGl0bGU+PC90aXRsZXM+PHBlcmlvZGljYWw+PGZ1bGwtdGl0bGU+SkFNQSBOZXR3
IE9wZW48L2Z1bGwtdGl0bGU+PC9wZXJpb2RpY2FsPjxwYWdlcz5lMTg2ODYxPC9wYWdlcz48dm9s
dW1lPjI8L3ZvbHVtZT48bnVtYmVyPjE8L251bWJlcj48ZWRpdGlvbj4yMDE5LzAxLzE2PC9lZGl0
aW9uPjxrZXl3b3Jkcz48a2V5d29yZD5BZHVsdDwva2V5d29yZD48a2V5d29yZD4qRGVwcmVzc2lv
biwgUG9zdHBhcnR1bS9kaWFnbm9zaXMvcGh5c2lvcGF0aG9sb2d5L3ByZXZlbnRpb24gJmFtcDsg
Y29udHJvbDwva2V5d29yZD48a2V5d29yZD5FeGVyY2lzZS8qcHN5Y2hvbG9neTwva2V5d29yZD48
a2V5d29yZD5GZW1hbGU8L2tleXdvcmQ+PGtleXdvcmQ+R2VzdGF0aW9uYWwgQWdlPC9rZXl3b3Jk
PjxrZXl3b3JkPkh1bWFuczwva2V5d29yZD48a2V5d29yZD5QYXRpZW50IENvbXBsaWFuY2UvcHN5
Y2hvbG9neS9zdGF0aXN0aWNzICZhbXA7IG51bWVyaWNhbCBkYXRhPC9rZXl3b3JkPjxrZXl3b3Jk
PlByZWduYW5jeTwva2V5d29yZD48a2V5d29yZD5QcmVnbmFudCBXb21lbi9wc3ljaG9sb2d5PC9r
ZXl3b3JkPjxrZXl3b3JkPlBzeWNoaWF0cmljIFN0YXR1cyBSYXRpbmcgU2NhbGVzPC9rZXl3b3Jk
PjxrZXl3b3JkPlJlc2lzdGFuY2UgVHJhaW5pbmcvKm1ldGhvZHM8L2tleXdvcmQ+PGtleXdvcmQ+
VHJlYXRtZW50IE91dGNvbWU8L2tleXdvcmQ+PC9rZXl3b3Jkcz48ZGF0ZXM+PHllYXI+MjAxOTwv
eWVhcj48cHViLWRhdGVzPjxkYXRlPkphbiA0PC9kYXRlPjwvcHViLWRhdGVzPjwvZGF0ZXM+PGlz
Ym4+MjU3NC0zODA1IChFbGVjdHJvbmljKSYjeEQ7MjU3NC0zODA1IChMaW5raW5nKTwvaXNibj48
YWNjZXNzaW9uLW51bT4zMDY0NjE5ODwvYWNjZXNzaW9uLW51bT48dXJscz48cmVsYXRlZC11cmxz
Pjx1cmw+aHR0cHM6Ly93d3cubmNiaS5ubG0ubmloLmdvdi9wdWJtZWQvMzA2NDYxOTg8L3VybD48
L3JlbGF0ZWQtdXJscz48L3VybHM+PGN1c3RvbTI+UE1DNjMyNDMxMTwvY3VzdG9tMj48ZWxlY3Ry
b25pYy1yZXNvdXJjZS1udW0+MTAuMTAwMS9qYW1hbmV0d29ya29wZW4uMjAxOC42ODYxPC9lbGVj
dHJvbmljLXJlc291cmNlLW51bT48L3JlY29yZD48L0NpdGU+PC9FbmROb3RlPgB=
</w:fldData>
              </w:fldChar>
            </w:r>
            <w:r w:rsidR="002747EA">
              <w:instrText xml:space="preserve"> ADDIN EN.CITE.DATA </w:instrText>
            </w:r>
            <w:r w:rsidR="002747EA">
              <w:fldChar w:fldCharType="end"/>
            </w:r>
            <w:r w:rsidR="00D07346">
              <w:fldChar w:fldCharType="separate"/>
            </w:r>
            <w:r w:rsidR="002747EA" w:rsidRPr="002747EA">
              <w:rPr>
                <w:noProof/>
                <w:vertAlign w:val="superscript"/>
              </w:rPr>
              <w:t>536</w:t>
            </w:r>
            <w:r w:rsidR="00D07346">
              <w:fldChar w:fldCharType="end"/>
            </w:r>
          </w:p>
          <w:p w14:paraId="048145C6" w14:textId="77777777" w:rsidR="00F528B6" w:rsidRDefault="00F528B6" w:rsidP="00E70A06">
            <w:r w:rsidRPr="00C12274">
              <w:t>Brazil</w:t>
            </w:r>
          </w:p>
          <w:p w14:paraId="64484067" w14:textId="42DBAC79" w:rsidR="006D35F2" w:rsidRPr="00C12274" w:rsidRDefault="006D35F2" w:rsidP="00E70A06">
            <w:r>
              <w:t>PAMELA</w:t>
            </w:r>
          </w:p>
          <w:p w14:paraId="36DC0882" w14:textId="6E5E7B7E" w:rsidR="000A1756" w:rsidRDefault="00F528B6" w:rsidP="00E70A06">
            <w:r w:rsidRPr="00C12274">
              <w:t>NCT02148965</w:t>
            </w:r>
          </w:p>
        </w:tc>
        <w:tc>
          <w:tcPr>
            <w:tcW w:w="1670" w:type="dxa"/>
            <w:tcBorders>
              <w:left w:val="single" w:sz="4" w:space="0" w:color="3B3474"/>
              <w:right w:val="single" w:sz="4" w:space="0" w:color="3B3474"/>
            </w:tcBorders>
          </w:tcPr>
          <w:p w14:paraId="33FF0708" w14:textId="0C755DA9" w:rsidR="000A1756" w:rsidRDefault="000A1756" w:rsidP="00D424F3">
            <w:r>
              <w:t xml:space="preserve">Intervention </w:t>
            </w:r>
            <w:r w:rsidR="00F528B6">
              <w:t>213</w:t>
            </w:r>
          </w:p>
          <w:p w14:paraId="323F4648" w14:textId="6D5293F3" w:rsidR="000A1756" w:rsidRDefault="000A1756" w:rsidP="00F528B6">
            <w:r>
              <w:t xml:space="preserve">Control </w:t>
            </w:r>
            <w:r w:rsidR="00F528B6">
              <w:t>426</w:t>
            </w:r>
          </w:p>
        </w:tc>
        <w:tc>
          <w:tcPr>
            <w:tcW w:w="5395" w:type="dxa"/>
            <w:tcBorders>
              <w:left w:val="single" w:sz="4" w:space="0" w:color="3B3474"/>
              <w:right w:val="single" w:sz="4" w:space="0" w:color="3B3474"/>
            </w:tcBorders>
          </w:tcPr>
          <w:p w14:paraId="79AC26F6" w14:textId="77777777" w:rsidR="000A1756" w:rsidRDefault="000A1756" w:rsidP="00901FC6">
            <w:r w:rsidRPr="00901FC6">
              <w:rPr>
                <w:b/>
              </w:rPr>
              <w:t>Aim</w:t>
            </w:r>
            <w:r>
              <w:t>: T</w:t>
            </w:r>
            <w:r w:rsidRPr="00B35EE4">
              <w:t xml:space="preserve">o evaluate the efficacy of an exercise intervention to prevent negative maternal and newborn health outcomes. </w:t>
            </w:r>
          </w:p>
          <w:p w14:paraId="5A015758" w14:textId="5DBBBDE1" w:rsidR="000A1756" w:rsidRPr="008A4A1C" w:rsidRDefault="000A1756" w:rsidP="008A4A1C">
            <w:r w:rsidRPr="00B323E6">
              <w:rPr>
                <w:b/>
              </w:rPr>
              <w:t>Population</w:t>
            </w:r>
            <w:r>
              <w:t>: Low risk w</w:t>
            </w:r>
            <w:r w:rsidRPr="008A4A1C">
              <w:t>omen whose pregnancy exercise levels did not include</w:t>
            </w:r>
            <w:r>
              <w:t xml:space="preserve"> </w:t>
            </w:r>
            <w:r w:rsidRPr="008A4A1C">
              <w:t>self-reported participation in an exercise program</w:t>
            </w:r>
            <w:r>
              <w:t>, were &lt;18 and BMI &lt;30.</w:t>
            </w:r>
          </w:p>
          <w:p w14:paraId="790DE705" w14:textId="77777777" w:rsidR="00F528B6" w:rsidRDefault="00F528B6" w:rsidP="00F528B6">
            <w:r w:rsidRPr="005E4EF9">
              <w:rPr>
                <w:b/>
              </w:rPr>
              <w:t>Intervention</w:t>
            </w:r>
            <w:r>
              <w:rPr>
                <w:b/>
              </w:rPr>
              <w:t>:</w:t>
            </w:r>
          </w:p>
          <w:p w14:paraId="25649464" w14:textId="77777777" w:rsidR="00F528B6" w:rsidRPr="00C45716" w:rsidRDefault="00F528B6" w:rsidP="00F528B6">
            <w:pPr>
              <w:pStyle w:val="bullet"/>
            </w:pPr>
            <w:r w:rsidRPr="00C45716">
              <w:rPr>
                <w:i/>
              </w:rPr>
              <w:t>Supervised</w:t>
            </w:r>
            <w:r w:rsidRPr="00C45716">
              <w:t>: Yes</w:t>
            </w:r>
          </w:p>
          <w:p w14:paraId="1E9D979F" w14:textId="487C2C44" w:rsidR="00F528B6" w:rsidRPr="007D13BF" w:rsidRDefault="00F528B6" w:rsidP="00F528B6">
            <w:pPr>
              <w:pStyle w:val="bullet"/>
            </w:pPr>
            <w:r w:rsidRPr="00C45716">
              <w:rPr>
                <w:i/>
              </w:rPr>
              <w:t>Type and duration</w:t>
            </w:r>
            <w:r w:rsidRPr="00C45716">
              <w:t xml:space="preserve">: </w:t>
            </w:r>
            <w:r>
              <w:t xml:space="preserve">Aerobic and resistance; </w:t>
            </w:r>
            <w:r w:rsidRPr="00C12274">
              <w:t>Stationary cycling, treadmill, muscle strengthening</w:t>
            </w:r>
            <w:r>
              <w:t xml:space="preserve">; </w:t>
            </w:r>
            <w:r w:rsidRPr="00C12274">
              <w:t>60 min 3 times a week from week</w:t>
            </w:r>
            <w:r>
              <w:t>s 16-20 to 32-36</w:t>
            </w:r>
          </w:p>
          <w:p w14:paraId="407816F1" w14:textId="7AEFC13C" w:rsidR="000A1756" w:rsidRDefault="00F528B6" w:rsidP="00F528B6">
            <w:pPr>
              <w:pStyle w:val="bullet"/>
            </w:pPr>
            <w:r w:rsidRPr="00C45716">
              <w:rPr>
                <w:i/>
              </w:rPr>
              <w:t>Intensity</w:t>
            </w:r>
            <w:r w:rsidRPr="00C45716">
              <w:t xml:space="preserve">: </w:t>
            </w:r>
            <w:r w:rsidRPr="00767804">
              <w:t>Moderate; Borg scale 12-14</w:t>
            </w:r>
          </w:p>
        </w:tc>
        <w:tc>
          <w:tcPr>
            <w:tcW w:w="5953" w:type="dxa"/>
            <w:tcBorders>
              <w:left w:val="single" w:sz="4" w:space="0" w:color="3B3474"/>
              <w:right w:val="single" w:sz="4" w:space="0" w:color="3B3474"/>
            </w:tcBorders>
          </w:tcPr>
          <w:p w14:paraId="2B2D807E" w14:textId="017CEAA9" w:rsidR="000A1756" w:rsidRDefault="000A1756" w:rsidP="00AD2397">
            <w:r>
              <w:t>Intervention (n=</w:t>
            </w:r>
            <w:r w:rsidR="002D06F6">
              <w:t>205</w:t>
            </w:r>
            <w:r>
              <w:t>) vs control (n=</w:t>
            </w:r>
            <w:r w:rsidR="002D06F6">
              <w:t>407</w:t>
            </w:r>
            <w:r>
              <w:t>)</w:t>
            </w:r>
          </w:p>
          <w:p w14:paraId="633ADE90" w14:textId="143C553F" w:rsidR="000A1756" w:rsidRDefault="000A1756" w:rsidP="00ED0F50">
            <w:pPr>
              <w:pStyle w:val="bullet"/>
            </w:pPr>
            <w:r>
              <w:t>Ge</w:t>
            </w:r>
            <w:r w:rsidRPr="00AD2397">
              <w:t>stational weight gain(kg)</w:t>
            </w:r>
            <w:r w:rsidRPr="00AD2397">
              <w:rPr>
                <w:sz w:val="7"/>
                <w:szCs w:val="7"/>
              </w:rPr>
              <w:t xml:space="preserve">b </w:t>
            </w:r>
            <w:r>
              <w:t>12.4±5.7 vs 12.9±</w:t>
            </w:r>
            <w:r w:rsidRPr="00AD2397">
              <w:t xml:space="preserve">6.5 </w:t>
            </w:r>
            <w:r>
              <w:t>p=</w:t>
            </w:r>
            <w:r w:rsidRPr="00AD2397">
              <w:t xml:space="preserve">0.43 </w:t>
            </w:r>
            <w:r>
              <w:t xml:space="preserve">MD </w:t>
            </w:r>
            <w:r w:rsidRPr="00AD2397">
              <w:t>0.4 (−0.6; 0.8)</w:t>
            </w:r>
          </w:p>
          <w:p w14:paraId="1B5C9AAB" w14:textId="1E09C70E" w:rsidR="00F87F53" w:rsidRDefault="00F87F53" w:rsidP="00F87F53">
            <w:r>
              <w:t>Intervention (n=1</w:t>
            </w:r>
            <w:r w:rsidR="002D06F6">
              <w:t>76</w:t>
            </w:r>
            <w:r>
              <w:t>) vs control (n=</w:t>
            </w:r>
            <w:r w:rsidR="002D06F6">
              <w:t>407</w:t>
            </w:r>
            <w:r>
              <w:t>)</w:t>
            </w:r>
          </w:p>
          <w:p w14:paraId="0243EAC8" w14:textId="231748C9" w:rsidR="000A1756" w:rsidRDefault="00A65B49" w:rsidP="001A74B5">
            <w:pPr>
              <w:pStyle w:val="bullet"/>
            </w:pPr>
            <w:r>
              <w:t>Weight gain &gt;IOM guidelines</w:t>
            </w:r>
            <w:r w:rsidR="000A1756">
              <w:t xml:space="preserve">: </w:t>
            </w:r>
            <w:r w:rsidR="000A1756" w:rsidRPr="001A74B5">
              <w:t xml:space="preserve">67 (38.0) </w:t>
            </w:r>
            <w:r w:rsidR="000A1756">
              <w:t xml:space="preserve">vs </w:t>
            </w:r>
            <w:r w:rsidR="000A1756" w:rsidRPr="001A74B5">
              <w:t xml:space="preserve">136 (38.8) </w:t>
            </w:r>
            <w:r w:rsidR="000A1756">
              <w:t xml:space="preserve">MD </w:t>
            </w:r>
            <w:r w:rsidR="000A1756" w:rsidRPr="001A74B5">
              <w:t>1.1 (0.7;1.6)</w:t>
            </w:r>
          </w:p>
          <w:p w14:paraId="14C753F5" w14:textId="77777777" w:rsidR="000A1756" w:rsidRDefault="000A1756" w:rsidP="008D4C4A">
            <w:r>
              <w:t>Intervention (n=205) vs control (n=407)</w:t>
            </w:r>
          </w:p>
          <w:p w14:paraId="6C25CD00" w14:textId="3DECA842" w:rsidR="000A1756" w:rsidRPr="006F2298" w:rsidRDefault="000A1756" w:rsidP="006F2298">
            <w:pPr>
              <w:pStyle w:val="bullet"/>
            </w:pPr>
            <w:r>
              <w:t xml:space="preserve">Gestational diabetes (n%): </w:t>
            </w:r>
            <w:r w:rsidRPr="006F2298">
              <w:t xml:space="preserve">16 (7.8) </w:t>
            </w:r>
            <w:r>
              <w:t xml:space="preserve">vs </w:t>
            </w:r>
            <w:r w:rsidRPr="006F2298">
              <w:t xml:space="preserve">31 (7.6) </w:t>
            </w:r>
            <w:r>
              <w:t xml:space="preserve">OR 1.0 (0.6 to </w:t>
            </w:r>
            <w:r w:rsidRPr="006F2298">
              <w:t>1.9)</w:t>
            </w:r>
          </w:p>
          <w:p w14:paraId="18BA7F49" w14:textId="72B3E14C" w:rsidR="000A1756" w:rsidRPr="006F2298" w:rsidRDefault="000A1756" w:rsidP="006F2298">
            <w:pPr>
              <w:pStyle w:val="bullet"/>
            </w:pPr>
            <w:r w:rsidRPr="006F2298">
              <w:t xml:space="preserve">Pre-eclampsia </w:t>
            </w:r>
            <w:r>
              <w:t xml:space="preserve">(n%): </w:t>
            </w:r>
            <w:r w:rsidRPr="006F2298">
              <w:t xml:space="preserve">11 (5.4) </w:t>
            </w:r>
            <w:r>
              <w:t xml:space="preserve">vs </w:t>
            </w:r>
            <w:r w:rsidRPr="006F2298">
              <w:t xml:space="preserve">22 (5.4) </w:t>
            </w:r>
            <w:r>
              <w:t xml:space="preserve">OR 1.0 (0.5 to </w:t>
            </w:r>
            <w:r w:rsidRPr="006F2298">
              <w:t>2.1)</w:t>
            </w:r>
          </w:p>
          <w:p w14:paraId="0D633845" w14:textId="731D8630" w:rsidR="000A1756" w:rsidRDefault="000A1756" w:rsidP="00DD75C0">
            <w:r>
              <w:t>Intervention (n=198) vs control (n=396):</w:t>
            </w:r>
          </w:p>
          <w:p w14:paraId="73FC679B" w14:textId="1A74C3BD" w:rsidR="000A1756" w:rsidRPr="00DD75C0" w:rsidRDefault="000A1756" w:rsidP="00DD75C0">
            <w:pPr>
              <w:pStyle w:val="bullet"/>
            </w:pPr>
            <w:r w:rsidRPr="00DD75C0">
              <w:t>Preterm birth</w:t>
            </w:r>
            <w:r>
              <w:t xml:space="preserve"> &lt;37 wk:</w:t>
            </w:r>
            <w:r w:rsidRPr="00DD75C0">
              <w:t xml:space="preserve"> 26 (13.1) </w:t>
            </w:r>
            <w:r>
              <w:t xml:space="preserve">vs </w:t>
            </w:r>
            <w:r w:rsidRPr="00DD75C0">
              <w:t xml:space="preserve">48 (12.1) </w:t>
            </w:r>
            <w:r>
              <w:t xml:space="preserve">OR </w:t>
            </w:r>
            <w:r w:rsidRPr="00DD75C0">
              <w:t>1.1 (0.7-1.8)</w:t>
            </w:r>
          </w:p>
          <w:p w14:paraId="3DCB58CC" w14:textId="671CA77F" w:rsidR="000A1756" w:rsidRPr="005635AB" w:rsidRDefault="000A1756" w:rsidP="005635AB">
            <w:r w:rsidRPr="005635AB">
              <w:t>Intervention</w:t>
            </w:r>
            <w:r>
              <w:t xml:space="preserve"> (n=</w:t>
            </w:r>
            <w:r w:rsidRPr="005635AB">
              <w:t>204)</w:t>
            </w:r>
            <w:r>
              <w:t xml:space="preserve"> vs c</w:t>
            </w:r>
            <w:r w:rsidRPr="005635AB">
              <w:t>ontrol</w:t>
            </w:r>
            <w:r>
              <w:t xml:space="preserve"> (n=</w:t>
            </w:r>
            <w:r w:rsidRPr="005635AB">
              <w:t>407)</w:t>
            </w:r>
            <w:r>
              <w:t>:</w:t>
            </w:r>
          </w:p>
          <w:p w14:paraId="6EFC8F74" w14:textId="6B83501D" w:rsidR="000A1756" w:rsidRPr="005635AB" w:rsidRDefault="000A1756" w:rsidP="006F2298">
            <w:pPr>
              <w:pStyle w:val="bullet"/>
            </w:pPr>
            <w:r w:rsidRPr="005635AB">
              <w:t>Small-for-gestational</w:t>
            </w:r>
            <w:r>
              <w:t xml:space="preserve"> age (n%): </w:t>
            </w:r>
            <w:r w:rsidRPr="005635AB">
              <w:t xml:space="preserve">8 (3.9) </w:t>
            </w:r>
            <w:r>
              <w:t xml:space="preserve">vs </w:t>
            </w:r>
            <w:r w:rsidRPr="005635AB">
              <w:t xml:space="preserve">22 (5.4) </w:t>
            </w:r>
            <w:r>
              <w:t>p=</w:t>
            </w:r>
            <w:r w:rsidRPr="005635AB">
              <w:t xml:space="preserve">0.42 </w:t>
            </w:r>
            <w:r>
              <w:t xml:space="preserve">OR 0.7 (0.3 to </w:t>
            </w:r>
            <w:r w:rsidRPr="005635AB">
              <w:t>1.6)</w:t>
            </w:r>
          </w:p>
          <w:p w14:paraId="611C2106" w14:textId="0CB62EC2" w:rsidR="000A1756" w:rsidRPr="005635AB" w:rsidRDefault="000A1756" w:rsidP="006F2298">
            <w:pPr>
              <w:pStyle w:val="bullet"/>
            </w:pPr>
            <w:r w:rsidRPr="005635AB">
              <w:t>Large-for-gestational</w:t>
            </w:r>
            <w:r>
              <w:t xml:space="preserve"> </w:t>
            </w:r>
            <w:r w:rsidRPr="005635AB">
              <w:t>age</w:t>
            </w:r>
            <w:r>
              <w:t xml:space="preserve"> (n%): </w:t>
            </w:r>
            <w:r w:rsidRPr="005635AB">
              <w:t xml:space="preserve">24 (11.8) </w:t>
            </w:r>
            <w:r>
              <w:t xml:space="preserve">vs </w:t>
            </w:r>
            <w:r w:rsidRPr="005635AB">
              <w:t xml:space="preserve">53 (13.0) </w:t>
            </w:r>
            <w:r>
              <w:t>p=</w:t>
            </w:r>
            <w:r w:rsidRPr="005635AB">
              <w:t xml:space="preserve">0.66 </w:t>
            </w:r>
            <w:r>
              <w:t>OR 0.9 (0.5 to</w:t>
            </w:r>
            <w:r w:rsidRPr="005635AB">
              <w:t xml:space="preserve"> 1.5)</w:t>
            </w:r>
          </w:p>
          <w:p w14:paraId="1E43E05E" w14:textId="7ACC038D" w:rsidR="000A1756" w:rsidRPr="005635AB" w:rsidRDefault="000A1756" w:rsidP="006F2298">
            <w:pPr>
              <w:pStyle w:val="bullet"/>
            </w:pPr>
            <w:r>
              <w:t>Birthweight &lt;</w:t>
            </w:r>
            <w:r w:rsidRPr="005635AB">
              <w:t>2500</w:t>
            </w:r>
            <w:r>
              <w:t xml:space="preserve"> (n%):</w:t>
            </w:r>
            <w:r w:rsidRPr="005635AB">
              <w:t xml:space="preserve"> 12 (5.9) </w:t>
            </w:r>
            <w:r>
              <w:t xml:space="preserve">vs </w:t>
            </w:r>
            <w:r w:rsidRPr="005635AB">
              <w:t xml:space="preserve">20 (4.9) </w:t>
            </w:r>
            <w:r>
              <w:t xml:space="preserve">OR </w:t>
            </w:r>
            <w:r w:rsidRPr="005635AB">
              <w:t>1.2 (0.</w:t>
            </w:r>
            <w:r>
              <w:t>6 to</w:t>
            </w:r>
            <w:r w:rsidRPr="005635AB">
              <w:t xml:space="preserve"> 2.5)</w:t>
            </w:r>
          </w:p>
          <w:p w14:paraId="769E3751" w14:textId="77777777" w:rsidR="000A1756" w:rsidRDefault="000A1756" w:rsidP="00CF1546">
            <w:pPr>
              <w:pStyle w:val="bullet"/>
            </w:pPr>
            <w:r>
              <w:t>Birthweight ≥</w:t>
            </w:r>
            <w:r w:rsidRPr="005635AB">
              <w:t>4000</w:t>
            </w:r>
            <w:r>
              <w:t xml:space="preserve"> (n%):</w:t>
            </w:r>
            <w:r w:rsidRPr="005635AB">
              <w:t xml:space="preserve"> 9 (4.4) </w:t>
            </w:r>
            <w:r>
              <w:t xml:space="preserve">vs </w:t>
            </w:r>
            <w:r w:rsidRPr="005635AB">
              <w:t xml:space="preserve">21 (5.2) </w:t>
            </w:r>
            <w:r>
              <w:t>OR 0.9 (0.4 to</w:t>
            </w:r>
            <w:r w:rsidRPr="005635AB">
              <w:t xml:space="preserve"> 1.9)</w:t>
            </w:r>
          </w:p>
          <w:p w14:paraId="01B4158F" w14:textId="77777777" w:rsidR="00C30A56" w:rsidRDefault="00C30A56" w:rsidP="0030223E">
            <w:r>
              <w:t xml:space="preserve">Intervention </w:t>
            </w:r>
            <w:r w:rsidR="00D27981">
              <w:t>vs control:</w:t>
            </w:r>
          </w:p>
          <w:p w14:paraId="5A14ECC6" w14:textId="638C43AD" w:rsidR="00D27981" w:rsidRDefault="00D27981" w:rsidP="00CF1546">
            <w:pPr>
              <w:pStyle w:val="bullet"/>
            </w:pPr>
            <w:r>
              <w:t>Postpartum depression: 12/192 vs 36/387</w:t>
            </w:r>
          </w:p>
        </w:tc>
      </w:tr>
      <w:tr w:rsidR="000A1756" w:rsidRPr="00A652CB" w14:paraId="2ECF7B99"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A537F38" w14:textId="045A7570" w:rsidR="00F528B6" w:rsidRPr="00C12274" w:rsidRDefault="00F528B6" w:rsidP="00E70A06">
            <w:r>
              <w:rPr>
                <w:noProof/>
              </w:rPr>
              <w:t>Daly et al 2017</w:t>
            </w:r>
            <w:r w:rsidR="00616EE6">
              <w:fldChar w:fldCharType="begin"/>
            </w:r>
            <w:r w:rsidR="002747EA">
              <w:instrText xml:space="preserve"> ADDIN EN.CITE &lt;EndNote&gt;&lt;Cite&gt;&lt;Author&gt;Daly&lt;/Author&gt;&lt;Year&gt;2017&lt;/Year&gt;&lt;RecNum&gt;685&lt;/RecNum&gt;&lt;DisplayText&gt;&lt;style face="superscript" font="Trebuchet MS" size="9"&gt;433&lt;/style&gt;&lt;/DisplayText&gt;&lt;record&gt;&lt;rec-number&gt;685&lt;/rec-number&gt;&lt;foreign-keys&gt;&lt;key app="EN" db-id="exvasrfx2dtraoesasxp2szsxa2df502592x" timestamp="1540527171"&gt;685&lt;/key&gt;&lt;/foreign-keys&gt;&lt;ref-type name="Journal Article"&gt;17&lt;/ref-type&gt;&lt;contributors&gt;&lt;authors&gt;&lt;author&gt;Daly, N.&lt;/author&gt;&lt;author&gt;Farren, M.&lt;/author&gt;&lt;author&gt;McKeating, A.&lt;/author&gt;&lt;author&gt;O&amp;apos;Kelly, R.&lt;/author&gt;&lt;author&gt;Stapleton, M.&lt;/author&gt;&lt;author&gt;Turner, M. J.&lt;/author&gt;&lt;/authors&gt;&lt;/contributors&gt;&lt;auth-address&gt;UCD Centre for Human Reproduction, Coombe Women and Infants University Hospital, Dublin, Ireland.&lt;/auth-address&gt;&lt;titles&gt;&lt;title&gt;A Medically Supervised Pregnancy Exercise Intervention in Obese Women: A Randomized Controlled Trial&lt;/title&gt;&lt;secondary-title&gt;Obstet Gynecol&lt;/secondary-title&gt;&lt;/titles&gt;&lt;periodical&gt;&lt;full-title&gt;Obstet Gynecol&lt;/full-title&gt;&lt;/periodical&gt;&lt;pages&gt;1001-1010&lt;/pages&gt;&lt;volume&gt;130&lt;/volume&gt;&lt;number&gt;5&lt;/number&gt;&lt;edition&gt;2017/10/11&lt;/edition&gt;&lt;keywords&gt;&lt;keyword&gt;Adult&lt;/keyword&gt;&lt;keyword&gt;Blood Glucose/analysis&lt;/keyword&gt;&lt;keyword&gt;Exercise Therapy/*methods&lt;/keyword&gt;&lt;keyword&gt;Fasting/blood&lt;/keyword&gt;&lt;keyword&gt;Female&lt;/keyword&gt;&lt;keyword&gt;Humans&lt;/keyword&gt;&lt;keyword&gt;Obesity/blood/complications/*therapy&lt;/keyword&gt;&lt;keyword&gt;Pregnancy&lt;/keyword&gt;&lt;keyword&gt;Pregnancy Complications/blood/etiology/*therapy&lt;/keyword&gt;&lt;keyword&gt;Prenatal Care/*methods&lt;/keyword&gt;&lt;keyword&gt;Treatment Outcome&lt;/keyword&gt;&lt;keyword&gt;Weight Gain&lt;/keyword&gt;&lt;/keywords&gt;&lt;dates&gt;&lt;year&gt;2017&lt;/year&gt;&lt;pub-dates&gt;&lt;date&gt;Nov&lt;/date&gt;&lt;/pub-dates&gt;&lt;/dates&gt;&lt;isbn&gt;1873-233X (Electronic)&amp;#xD;0029-7844 (Linking)&lt;/isbn&gt;&lt;accession-num&gt;29016485&lt;/accession-num&gt;&lt;urls&gt;&lt;related-urls&gt;&lt;url&gt;https://www.ncbi.nlm.nih.gov/pubmed/29016485&lt;/url&gt;&lt;/related-urls&gt;&lt;/urls&gt;&lt;electronic-resource-num&gt;10.1097/AOG.0000000000002267&lt;/electronic-resource-num&gt;&lt;/record&gt;&lt;/Cite&gt;&lt;/EndNote&gt;</w:instrText>
            </w:r>
            <w:r w:rsidR="00616EE6">
              <w:fldChar w:fldCharType="separate"/>
            </w:r>
            <w:r w:rsidR="002747EA" w:rsidRPr="002747EA">
              <w:rPr>
                <w:noProof/>
                <w:vertAlign w:val="superscript"/>
              </w:rPr>
              <w:t>433</w:t>
            </w:r>
            <w:r w:rsidR="00616EE6">
              <w:fldChar w:fldCharType="end"/>
            </w:r>
          </w:p>
          <w:p w14:paraId="6ECBFAF5" w14:textId="70448F0A" w:rsidR="000A1756" w:rsidRDefault="00F528B6" w:rsidP="00E70A06">
            <w:r w:rsidRPr="00C12274">
              <w:t>United Kingdom</w:t>
            </w:r>
          </w:p>
        </w:tc>
        <w:tc>
          <w:tcPr>
            <w:tcW w:w="1670" w:type="dxa"/>
            <w:tcBorders>
              <w:left w:val="single" w:sz="4" w:space="0" w:color="3B3474"/>
              <w:right w:val="single" w:sz="4" w:space="0" w:color="3B3474"/>
            </w:tcBorders>
          </w:tcPr>
          <w:p w14:paraId="25484AE3" w14:textId="77777777" w:rsidR="000A1756" w:rsidRDefault="000A1756" w:rsidP="00D424F3">
            <w:r>
              <w:t>Intervention 43</w:t>
            </w:r>
          </w:p>
          <w:p w14:paraId="22676DEF" w14:textId="3108CA12" w:rsidR="000A1756" w:rsidRDefault="000A1756" w:rsidP="00D424F3">
            <w:r>
              <w:t>Control 44</w:t>
            </w:r>
          </w:p>
        </w:tc>
        <w:tc>
          <w:tcPr>
            <w:tcW w:w="5395" w:type="dxa"/>
            <w:tcBorders>
              <w:left w:val="single" w:sz="4" w:space="0" w:color="3B3474"/>
              <w:right w:val="single" w:sz="4" w:space="0" w:color="3B3474"/>
            </w:tcBorders>
          </w:tcPr>
          <w:p w14:paraId="1F7695E1" w14:textId="3A0896FC" w:rsidR="000A1756" w:rsidRDefault="000A1756" w:rsidP="00980FBF">
            <w:r w:rsidRPr="005F4397">
              <w:rPr>
                <w:b/>
              </w:rPr>
              <w:t>Aim</w:t>
            </w:r>
            <w:r>
              <w:t xml:space="preserve">: </w:t>
            </w:r>
            <w:r w:rsidRPr="00980FBF">
              <w:t>To evaluate whether an intensive, medically supervised exercise intervention improved maternal glyc</w:t>
            </w:r>
            <w:r>
              <w:t>a</w:t>
            </w:r>
            <w:r w:rsidRPr="00980FBF">
              <w:t xml:space="preserve">emia and gestational weight gain in obese pregnant women. </w:t>
            </w:r>
          </w:p>
          <w:p w14:paraId="65CCF040" w14:textId="44358474" w:rsidR="000A1756" w:rsidRDefault="000A1756" w:rsidP="00980FBF">
            <w:r w:rsidRPr="005F4397">
              <w:rPr>
                <w:b/>
              </w:rPr>
              <w:t>Population</w:t>
            </w:r>
            <w:r>
              <w:t>: Women with singleton uncomplicated pregnancies and a BMI &gt;30.</w:t>
            </w:r>
          </w:p>
          <w:p w14:paraId="35012F8C" w14:textId="77777777" w:rsidR="00F528B6" w:rsidRDefault="00F528B6" w:rsidP="00F528B6">
            <w:r w:rsidRPr="005E4EF9">
              <w:rPr>
                <w:b/>
              </w:rPr>
              <w:t>Intervention</w:t>
            </w:r>
            <w:r>
              <w:rPr>
                <w:b/>
              </w:rPr>
              <w:t>:</w:t>
            </w:r>
          </w:p>
          <w:p w14:paraId="0989DE69" w14:textId="77777777" w:rsidR="00F528B6" w:rsidRPr="00C45716" w:rsidRDefault="00F528B6" w:rsidP="00F528B6">
            <w:pPr>
              <w:pStyle w:val="bullet"/>
            </w:pPr>
            <w:r w:rsidRPr="00C45716">
              <w:rPr>
                <w:i/>
              </w:rPr>
              <w:t>Supervised</w:t>
            </w:r>
            <w:r w:rsidRPr="00C45716">
              <w:t>: Yes</w:t>
            </w:r>
          </w:p>
          <w:p w14:paraId="09261FBD" w14:textId="39C02803" w:rsidR="00F528B6" w:rsidRPr="00767804" w:rsidRDefault="00F528B6" w:rsidP="00F528B6">
            <w:pPr>
              <w:pStyle w:val="bullet"/>
            </w:pPr>
            <w:r w:rsidRPr="00C45716">
              <w:rPr>
                <w:i/>
              </w:rPr>
              <w:t>Type and duration</w:t>
            </w:r>
            <w:r w:rsidRPr="00C45716">
              <w:t xml:space="preserve">: </w:t>
            </w:r>
            <w:r>
              <w:t xml:space="preserve">Aerobic and resistance; Not described; </w:t>
            </w:r>
            <w:r w:rsidRPr="00767804">
              <w:t>50-60 min, 3 times a week from 134±12 for the duration of their pregnancy and for up to 6 weeks postpartum</w:t>
            </w:r>
          </w:p>
          <w:p w14:paraId="74F13713" w14:textId="6D8AA7C5" w:rsidR="000A1756" w:rsidRPr="00D678D6" w:rsidRDefault="00F528B6" w:rsidP="00F528B6">
            <w:pPr>
              <w:pStyle w:val="bullet"/>
            </w:pPr>
            <w:r w:rsidRPr="00C45716">
              <w:rPr>
                <w:i/>
              </w:rPr>
              <w:t>Intensity</w:t>
            </w:r>
            <w:r w:rsidRPr="00C45716">
              <w:t xml:space="preserve">: </w:t>
            </w:r>
            <w:r w:rsidRPr="00767804">
              <w:t>Increase in HR and Borg scale</w:t>
            </w:r>
          </w:p>
        </w:tc>
        <w:tc>
          <w:tcPr>
            <w:tcW w:w="5953" w:type="dxa"/>
            <w:tcBorders>
              <w:left w:val="single" w:sz="4" w:space="0" w:color="3B3474"/>
              <w:right w:val="single" w:sz="4" w:space="0" w:color="3B3474"/>
            </w:tcBorders>
          </w:tcPr>
          <w:p w14:paraId="150F66CE" w14:textId="7184887F" w:rsidR="000A1756" w:rsidRDefault="000A1756" w:rsidP="003765E1">
            <w:r>
              <w:t xml:space="preserve">Intervention (n=43) vs control (n=43): </w:t>
            </w:r>
          </w:p>
          <w:p w14:paraId="2EE8597F" w14:textId="3086A34C" w:rsidR="000A1756" w:rsidRDefault="00D77D86" w:rsidP="00EA45D5">
            <w:pPr>
              <w:pStyle w:val="bullet"/>
            </w:pPr>
            <w:r>
              <w:t>Gestational diabetes</w:t>
            </w:r>
            <w:r w:rsidR="000A1756" w:rsidRPr="003765E1">
              <w:t xml:space="preserve"> at 24-28 weeks</w:t>
            </w:r>
            <w:r w:rsidR="000A1756">
              <w:t xml:space="preserve"> (n%)</w:t>
            </w:r>
            <w:r w:rsidR="000A1756" w:rsidRPr="003765E1">
              <w:t xml:space="preserve">: </w:t>
            </w:r>
            <w:r w:rsidR="000A1756">
              <w:t>25 (58.1) vs 21 (</w:t>
            </w:r>
            <w:r w:rsidR="000A1756" w:rsidRPr="003765E1">
              <w:t>48.8)</w:t>
            </w:r>
            <w:r w:rsidR="000A1756">
              <w:t xml:space="preserve"> p=0.51</w:t>
            </w:r>
          </w:p>
          <w:p w14:paraId="04756135" w14:textId="77BF07D6" w:rsidR="000A1756" w:rsidRDefault="000A1756" w:rsidP="00EF4680">
            <w:r>
              <w:t>Intervention (n=36) vs control (n=44)</w:t>
            </w:r>
          </w:p>
          <w:p w14:paraId="0728DFCD" w14:textId="2744AC77" w:rsidR="000A1756" w:rsidRDefault="00D77D86" w:rsidP="00EA45D5">
            <w:pPr>
              <w:pStyle w:val="bullet"/>
            </w:pPr>
            <w:r w:rsidRPr="00D77D86">
              <w:t>Weight gain &gt;IOM guidelines</w:t>
            </w:r>
            <w:r w:rsidR="000A1756">
              <w:t xml:space="preserve"> (n%): 8 (22.2) vs 19 (43.2) p=0.05</w:t>
            </w:r>
          </w:p>
          <w:p w14:paraId="447E85C1" w14:textId="432AA291" w:rsidR="00CC50D8" w:rsidRPr="00153DA1" w:rsidRDefault="00CC50D8" w:rsidP="00CC50D8">
            <w:r>
              <w:t>Inter</w:t>
            </w:r>
            <w:r w:rsidRPr="00153DA1">
              <w:t>vention (n=33) vs control (n=36)</w:t>
            </w:r>
          </w:p>
          <w:p w14:paraId="4AC29027" w14:textId="56A359C1" w:rsidR="00F20EB8" w:rsidRPr="00153DA1" w:rsidRDefault="00F20EB8" w:rsidP="00CC50D8">
            <w:pPr>
              <w:pStyle w:val="bullet"/>
            </w:pPr>
            <w:r w:rsidRPr="00153DA1">
              <w:t xml:space="preserve">Weight retention at 6 weeks (n%): </w:t>
            </w:r>
            <w:r w:rsidR="00CC50D8" w:rsidRPr="00153DA1">
              <w:t xml:space="preserve"> </w:t>
            </w:r>
            <w:r w:rsidR="00CC50D8" w:rsidRPr="00153DA1">
              <w:rPr>
                <w:rFonts w:ascii="Helvetica" w:hAnsi="Helvetica"/>
              </w:rPr>
              <w:t>–</w:t>
            </w:r>
            <w:r w:rsidR="00CC50D8" w:rsidRPr="00153DA1">
              <w:t>1.6</w:t>
            </w:r>
            <w:r w:rsidR="00CC50D8" w:rsidRPr="00153DA1">
              <w:rPr>
                <w:rFonts w:ascii="Helvetica" w:hAnsi="Helvetica"/>
              </w:rPr>
              <w:t>±</w:t>
            </w:r>
            <w:r w:rsidR="00CC50D8" w:rsidRPr="00153DA1">
              <w:t>1.2 kg vs 0.2±5.4 P</w:t>
            </w:r>
            <w:r w:rsidR="00CC50D8" w:rsidRPr="00153DA1">
              <w:rPr>
                <w:rFonts w:ascii="Helvetica" w:hAnsi="Helvetica"/>
              </w:rPr>
              <w:t>=0</w:t>
            </w:r>
            <w:r w:rsidR="00CC50D8" w:rsidRPr="00153DA1">
              <w:t>.22)</w:t>
            </w:r>
          </w:p>
          <w:p w14:paraId="23F59C4C" w14:textId="6B438A6D" w:rsidR="000A1756" w:rsidRPr="00153DA1" w:rsidRDefault="000A1756" w:rsidP="00EF4680">
            <w:r w:rsidRPr="00153DA1">
              <w:t>Intervention (n=34) vs control (n=42):</w:t>
            </w:r>
          </w:p>
          <w:p w14:paraId="082FA7F9" w14:textId="5D4FF7A5" w:rsidR="000A1756" w:rsidRPr="00153DA1" w:rsidRDefault="00D77D86" w:rsidP="00287D48">
            <w:pPr>
              <w:pStyle w:val="bullet"/>
            </w:pPr>
            <w:r w:rsidRPr="00153DA1">
              <w:t>G</w:t>
            </w:r>
            <w:r w:rsidR="000A1756" w:rsidRPr="00153DA1">
              <w:t>estational weight gain at 36 weeks: 6.2±6.0 vs 7.9</w:t>
            </w:r>
            <w:r w:rsidR="000A1756" w:rsidRPr="00153DA1">
              <w:rPr>
                <w:rFonts w:ascii="Helvetica" w:hAnsi="Helvetica"/>
              </w:rPr>
              <w:t>±</w:t>
            </w:r>
            <w:r w:rsidR="000A1756" w:rsidRPr="00153DA1">
              <w:t>4.8 p=0.15</w:t>
            </w:r>
          </w:p>
          <w:p w14:paraId="5DF916FB" w14:textId="274BA618" w:rsidR="000A1756" w:rsidRPr="00153DA1" w:rsidRDefault="000A1756" w:rsidP="00EF4680">
            <w:r w:rsidRPr="00153DA1">
              <w:t>Intervention (n=43) vs control (n=44)</w:t>
            </w:r>
          </w:p>
          <w:p w14:paraId="5031534C" w14:textId="5FDC4D48" w:rsidR="000A1756" w:rsidRPr="00EF4680" w:rsidRDefault="000A1756" w:rsidP="00EF4680">
            <w:pPr>
              <w:pStyle w:val="bullet"/>
            </w:pPr>
            <w:r w:rsidRPr="00153DA1">
              <w:t>Emergency caesare</w:t>
            </w:r>
            <w:r>
              <w:t>an</w:t>
            </w:r>
            <w:r w:rsidR="00D77D86">
              <w:t xml:space="preserve"> section</w:t>
            </w:r>
            <w:r>
              <w:t xml:space="preserve"> (n%): </w:t>
            </w:r>
            <w:r w:rsidRPr="00EF4680">
              <w:t xml:space="preserve">9 (20.9) </w:t>
            </w:r>
            <w:r>
              <w:t xml:space="preserve">vs </w:t>
            </w:r>
            <w:r w:rsidRPr="00EF4680">
              <w:t xml:space="preserve">8 (18.2) </w:t>
            </w:r>
            <w:r>
              <w:t>p=0</w:t>
            </w:r>
            <w:r w:rsidRPr="00EF4680">
              <w:t>.75</w:t>
            </w:r>
          </w:p>
          <w:p w14:paraId="5CA08547" w14:textId="54F630C8" w:rsidR="000A1756" w:rsidRPr="00EF4680" w:rsidRDefault="000A1756" w:rsidP="00EF4680">
            <w:pPr>
              <w:pStyle w:val="bullet"/>
            </w:pPr>
            <w:r>
              <w:t>Low birthweight (&lt;2500</w:t>
            </w:r>
            <w:r w:rsidR="00084A23">
              <w:t xml:space="preserve"> </w:t>
            </w:r>
            <w:r>
              <w:t xml:space="preserve">g)(n%): </w:t>
            </w:r>
            <w:r w:rsidRPr="00EF4680">
              <w:t xml:space="preserve">1 (2.3) </w:t>
            </w:r>
            <w:r>
              <w:t xml:space="preserve">vs </w:t>
            </w:r>
            <w:r w:rsidRPr="00EF4680">
              <w:t xml:space="preserve">0 </w:t>
            </w:r>
            <w:r>
              <w:t>p=0</w:t>
            </w:r>
            <w:r w:rsidRPr="00EF4680">
              <w:t>.75</w:t>
            </w:r>
          </w:p>
          <w:p w14:paraId="0DA3F1B2" w14:textId="47319A38" w:rsidR="000A1756" w:rsidRPr="00EF4680" w:rsidRDefault="000A1756" w:rsidP="00EF4680">
            <w:pPr>
              <w:pStyle w:val="bullet"/>
            </w:pPr>
            <w:r>
              <w:t>Macrosomia (&gt;4500</w:t>
            </w:r>
            <w:r w:rsidR="00084A23">
              <w:t xml:space="preserve"> </w:t>
            </w:r>
            <w:r>
              <w:t xml:space="preserve">g)(n%): </w:t>
            </w:r>
            <w:r w:rsidRPr="00EF4680">
              <w:t xml:space="preserve">0 </w:t>
            </w:r>
            <w:r>
              <w:t xml:space="preserve">vs </w:t>
            </w:r>
            <w:r w:rsidRPr="00EF4680">
              <w:t xml:space="preserve">1 (2.3) </w:t>
            </w:r>
            <w:r>
              <w:t>=0</w:t>
            </w:r>
            <w:r w:rsidRPr="00EF4680">
              <w:t>.51</w:t>
            </w:r>
          </w:p>
          <w:p w14:paraId="64DAB828" w14:textId="2CC7E7C5" w:rsidR="000A1756" w:rsidRPr="00D77D86" w:rsidRDefault="000A1756" w:rsidP="00AD2397">
            <w:pPr>
              <w:pStyle w:val="bullet"/>
            </w:pPr>
            <w:r>
              <w:t>Apgar score &lt;</w:t>
            </w:r>
            <w:r w:rsidRPr="00EF4680">
              <w:t>7</w:t>
            </w:r>
            <w:r>
              <w:t xml:space="preserve"> </w:t>
            </w:r>
            <w:r w:rsidRPr="00EF4680">
              <w:t>at 5 min</w:t>
            </w:r>
            <w:r>
              <w:t xml:space="preserve"> (n%): </w:t>
            </w:r>
            <w:r w:rsidRPr="00EF4680">
              <w:t xml:space="preserve">1 (2.3) </w:t>
            </w:r>
            <w:r>
              <w:t xml:space="preserve">vs </w:t>
            </w:r>
            <w:r w:rsidRPr="00EF4680">
              <w:t xml:space="preserve">0 </w:t>
            </w:r>
            <w:r>
              <w:t>p=0</w:t>
            </w:r>
            <w:r w:rsidRPr="00EF4680">
              <w:t>.49</w:t>
            </w:r>
          </w:p>
        </w:tc>
      </w:tr>
      <w:tr w:rsidR="000A1756" w:rsidRPr="00A652CB" w14:paraId="2A047CF6"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4ECDA8A9" w14:textId="2D2FF4F9" w:rsidR="00F528B6" w:rsidRPr="00C12274" w:rsidRDefault="00F528B6" w:rsidP="00E70A06">
            <w:r>
              <w:rPr>
                <w:noProof/>
              </w:rPr>
              <w:t>de Oliveria Melo et al 2012</w:t>
            </w:r>
            <w:r w:rsidR="00616EE6">
              <w:fldChar w:fldCharType="begin"/>
            </w:r>
            <w:r w:rsidR="002747EA">
              <w:instrText xml:space="preserve"> ADDIN EN.CITE &lt;EndNote&gt;&lt;Cite&gt;&lt;Author&gt;de Oliveria Melo&lt;/Author&gt;&lt;Year&gt;2012&lt;/Year&gt;&lt;RecNum&gt;687&lt;/RecNum&gt;&lt;DisplayText&gt;&lt;style face="superscript" font="Trebuchet MS" size="9"&gt;270&lt;/style&gt;&lt;/DisplayText&gt;&lt;record&gt;&lt;rec-number&gt;687&lt;/rec-number&gt;&lt;foreign-keys&gt;&lt;key app="EN" db-id="exvasrfx2dtraoesasxp2szsxa2df502592x" timestamp="1540527319"&gt;687&lt;/key&gt;&lt;/foreign-keys&gt;&lt;ref-type name="Journal Article"&gt;17&lt;/ref-type&gt;&lt;contributors&gt;&lt;authors&gt;&lt;author&gt;de Oliveria Melo, A. S.&lt;/author&gt;&lt;author&gt;Silva, J. L.&lt;/author&gt;&lt;author&gt;Tavares, J. S.&lt;/author&gt;&lt;author&gt;Barros, V. O.&lt;/author&gt;&lt;author&gt;Leite, D. F.&lt;/author&gt;&lt;author&gt;Amorim, M. M.&lt;/author&gt;&lt;/authors&gt;&lt;/contributors&gt;&lt;auth-address&gt;Department of Obstetrics, School Medical Sciences, University of Campinas, Campinas, Brazil. asomelo@gmail.com&lt;/auth-address&gt;&lt;titles&gt;&lt;title&gt;Effect of a physical exercise program during pregnancy on uteroplacental and fetal blood flow and fetal growth: a randomized controlled trial&lt;/title&gt;&lt;secondary-title&gt;Obstet Gynecol&lt;/secondary-title&gt;&lt;/titles&gt;&lt;periodical&gt;&lt;full-title&gt;Obstet Gynecol&lt;/full-title&gt;&lt;/periodical&gt;&lt;pages&gt;302-10&lt;/pages&gt;&lt;volume&gt;120&lt;/volume&gt;&lt;number&gt;2 Pt 1&lt;/number&gt;&lt;edition&gt;2012/07/25&lt;/edition&gt;&lt;keywords&gt;&lt;keyword&gt;Adult&lt;/keyword&gt;&lt;keyword&gt;*Birth Weight&lt;/keyword&gt;&lt;keyword&gt;Blood Pressure&lt;/keyword&gt;&lt;keyword&gt;Exercise/*physiology&lt;/keyword&gt;&lt;keyword&gt;Female&lt;/keyword&gt;&lt;keyword&gt;*Fetal Development&lt;/keyword&gt;&lt;keyword&gt;Fetus/blood supply&lt;/keyword&gt;&lt;keyword&gt;Humans&lt;/keyword&gt;&lt;keyword&gt;Infant, Newborn&lt;/keyword&gt;&lt;keyword&gt;Physical Fitness&lt;/keyword&gt;&lt;keyword&gt;*Placental Circulation&lt;/keyword&gt;&lt;keyword&gt;Pregnancy/*physiology&lt;/keyword&gt;&lt;keyword&gt;Young Adult&lt;/keyword&gt;&lt;/keywords&gt;&lt;dates&gt;&lt;year&gt;2012&lt;/year&gt;&lt;pub-dates&gt;&lt;date&gt;Aug&lt;/date&gt;&lt;/pub-dates&gt;&lt;/dates&gt;&lt;isbn&gt;1873-233X (Electronic)&amp;#xD;0029-7844 (Linking)&lt;/isbn&gt;&lt;accession-num&gt;22825089&lt;/accession-num&gt;&lt;urls&gt;&lt;related-urls&gt;&lt;url&gt;https://www.ncbi.nlm.nih.gov/pubmed/22825089&lt;/url&gt;&lt;/related-urls&gt;&lt;/urls&gt;&lt;electronic-resource-num&gt;10.1097/AOG.0b013e31825de592&lt;/electronic-resource-num&gt;&lt;/record&gt;&lt;/Cite&gt;&lt;/EndNote&gt;</w:instrText>
            </w:r>
            <w:r w:rsidR="00616EE6">
              <w:fldChar w:fldCharType="separate"/>
            </w:r>
            <w:r w:rsidR="002747EA" w:rsidRPr="002747EA">
              <w:rPr>
                <w:noProof/>
                <w:vertAlign w:val="superscript"/>
              </w:rPr>
              <w:t>270</w:t>
            </w:r>
            <w:r w:rsidR="00616EE6">
              <w:fldChar w:fldCharType="end"/>
            </w:r>
          </w:p>
          <w:p w14:paraId="68468577" w14:textId="42CC49FD" w:rsidR="000A1756" w:rsidRDefault="00F528B6" w:rsidP="00E70A06">
            <w:r w:rsidRPr="00C12274">
              <w:t>Brazil</w:t>
            </w:r>
          </w:p>
        </w:tc>
        <w:tc>
          <w:tcPr>
            <w:tcW w:w="1670" w:type="dxa"/>
            <w:tcBorders>
              <w:left w:val="single" w:sz="4" w:space="0" w:color="3B3474"/>
              <w:right w:val="single" w:sz="4" w:space="0" w:color="3B3474"/>
            </w:tcBorders>
          </w:tcPr>
          <w:p w14:paraId="6E2CD575" w14:textId="6AA69C69" w:rsidR="000A1756" w:rsidRDefault="000A1756" w:rsidP="00D424F3">
            <w:r>
              <w:t>Intervention 13 weeks 62</w:t>
            </w:r>
          </w:p>
          <w:p w14:paraId="7EB0E7B6" w14:textId="598EBA17" w:rsidR="000A1756" w:rsidRDefault="000A1756" w:rsidP="00D424F3">
            <w:r>
              <w:t>Intervention 20 weeks 63</w:t>
            </w:r>
          </w:p>
          <w:p w14:paraId="6A0AE2AB" w14:textId="77777777" w:rsidR="000A1756" w:rsidRDefault="000A1756" w:rsidP="00D424F3">
            <w:r>
              <w:t>Control 62</w:t>
            </w:r>
          </w:p>
          <w:p w14:paraId="747B27C7" w14:textId="3EA6A1F9" w:rsidR="003305E0" w:rsidRDefault="003305E0" w:rsidP="00D424F3">
            <w:r>
              <w:t>3-armed; control group halved</w:t>
            </w:r>
          </w:p>
        </w:tc>
        <w:tc>
          <w:tcPr>
            <w:tcW w:w="5395" w:type="dxa"/>
            <w:tcBorders>
              <w:left w:val="single" w:sz="4" w:space="0" w:color="3B3474"/>
              <w:right w:val="single" w:sz="4" w:space="0" w:color="3B3474"/>
            </w:tcBorders>
          </w:tcPr>
          <w:p w14:paraId="4BAECCBD" w14:textId="77777777" w:rsidR="000A1756" w:rsidRDefault="000A1756" w:rsidP="00056D57">
            <w:r w:rsidRPr="00056D57">
              <w:rPr>
                <w:b/>
              </w:rPr>
              <w:t>Aim</w:t>
            </w:r>
            <w:r>
              <w:t xml:space="preserve">: </w:t>
            </w:r>
            <w:r w:rsidRPr="00056D57">
              <w:t xml:space="preserve">To estimate the effect of supervised physical exercise on maternal physical fitness, fetoplacental blood flow, and fetal growth. </w:t>
            </w:r>
          </w:p>
          <w:p w14:paraId="0AC42D53" w14:textId="323F4CA6" w:rsidR="000A1756" w:rsidRPr="00935520" w:rsidRDefault="000A1756" w:rsidP="00935520">
            <w:r w:rsidRPr="00935520">
              <w:rPr>
                <w:b/>
              </w:rPr>
              <w:t>Population</w:t>
            </w:r>
            <w:r>
              <w:t xml:space="preserve">: </w:t>
            </w:r>
            <w:r w:rsidRPr="00935520">
              <w:t>healthy pregnant</w:t>
            </w:r>
            <w:r>
              <w:t xml:space="preserve"> </w:t>
            </w:r>
            <w:r w:rsidRPr="00935520">
              <w:t>women who were sedentary at admission to the</w:t>
            </w:r>
            <w:r>
              <w:t xml:space="preserve"> </w:t>
            </w:r>
            <w:r w:rsidRPr="00935520">
              <w:t xml:space="preserve">study, gestational age 13 weeks </w:t>
            </w:r>
            <w:r>
              <w:t>with an uncomplicated singleton pregnancy.</w:t>
            </w:r>
            <w:r w:rsidR="00F528B6">
              <w:t xml:space="preserve"> Mixed BMIs.</w:t>
            </w:r>
          </w:p>
          <w:p w14:paraId="481B2B14" w14:textId="77777777" w:rsidR="00F528B6" w:rsidRDefault="00F528B6" w:rsidP="00F528B6">
            <w:r w:rsidRPr="005E4EF9">
              <w:rPr>
                <w:b/>
              </w:rPr>
              <w:t>Intervention</w:t>
            </w:r>
            <w:r>
              <w:rPr>
                <w:b/>
              </w:rPr>
              <w:t>:</w:t>
            </w:r>
          </w:p>
          <w:p w14:paraId="55508152" w14:textId="77777777" w:rsidR="00F528B6" w:rsidRPr="00C45716" w:rsidRDefault="00F528B6" w:rsidP="00F528B6">
            <w:pPr>
              <w:pStyle w:val="bullet"/>
            </w:pPr>
            <w:r w:rsidRPr="00C45716">
              <w:rPr>
                <w:i/>
              </w:rPr>
              <w:t>Supervised</w:t>
            </w:r>
            <w:r w:rsidRPr="00C45716">
              <w:t>: Yes</w:t>
            </w:r>
          </w:p>
          <w:p w14:paraId="47650671" w14:textId="77777777" w:rsidR="00F528B6" w:rsidRPr="00CE19C8" w:rsidRDefault="00F528B6" w:rsidP="00F528B6">
            <w:pPr>
              <w:pStyle w:val="bullet"/>
            </w:pPr>
            <w:r w:rsidRPr="00C45716">
              <w:rPr>
                <w:i/>
              </w:rPr>
              <w:t>Type and duration</w:t>
            </w:r>
            <w:r w:rsidRPr="00C45716">
              <w:t xml:space="preserve">: </w:t>
            </w:r>
            <w:r w:rsidRPr="00CE19C8">
              <w:t xml:space="preserve">Aerobic; 15 min walking, 3 times weekly, increasing according to woman’s ability from 13 weeks (Group A) or 20 weeks (Group B) until birth </w:t>
            </w:r>
          </w:p>
          <w:p w14:paraId="33B1FFAB" w14:textId="6B15D692" w:rsidR="000A1756" w:rsidRPr="00A219A5" w:rsidRDefault="00F528B6" w:rsidP="00F528B6">
            <w:pPr>
              <w:pStyle w:val="bullet"/>
            </w:pPr>
            <w:r w:rsidRPr="00CE19C8">
              <w:t>Intensity: Moderate; 60-80% maximum HR; Borg scale 12-16</w:t>
            </w:r>
          </w:p>
        </w:tc>
        <w:tc>
          <w:tcPr>
            <w:tcW w:w="5953" w:type="dxa"/>
            <w:tcBorders>
              <w:left w:val="single" w:sz="4" w:space="0" w:color="3B3474"/>
              <w:right w:val="single" w:sz="4" w:space="0" w:color="3B3474"/>
            </w:tcBorders>
          </w:tcPr>
          <w:p w14:paraId="3BB067FE" w14:textId="28E71D22" w:rsidR="000A1756" w:rsidRDefault="000A1756" w:rsidP="003765E1">
            <w:r>
              <w:t>Intervention (initiated at 13 weeks; n=54) vs control (n=</w:t>
            </w:r>
            <w:r w:rsidR="003305E0">
              <w:t>28</w:t>
            </w:r>
            <w:r>
              <w:t>):</w:t>
            </w:r>
          </w:p>
          <w:p w14:paraId="4A2A4D82" w14:textId="77777777" w:rsidR="000A1756" w:rsidRPr="0098445B" w:rsidRDefault="000A1756" w:rsidP="0098445B">
            <w:pPr>
              <w:pStyle w:val="bullet"/>
            </w:pPr>
            <w:r>
              <w:t xml:space="preserve">Pre-eclampsia (n%): </w:t>
            </w:r>
            <w:r w:rsidRPr="007765DA">
              <w:t>3</w:t>
            </w:r>
            <w:r>
              <w:t xml:space="preserve"> (5.6) vs 5 (8.8) RR</w:t>
            </w:r>
            <w:r w:rsidRPr="0098445B">
              <w:t xml:space="preserve"> 0.63 (0.16 to 2.52)</w:t>
            </w:r>
          </w:p>
          <w:p w14:paraId="406BA06A" w14:textId="6DFDD61D" w:rsidR="000A1756" w:rsidRPr="0098445B" w:rsidRDefault="000A1756" w:rsidP="009110EE">
            <w:pPr>
              <w:pStyle w:val="bullet"/>
            </w:pPr>
            <w:r>
              <w:t xml:space="preserve">LGA (n%): </w:t>
            </w:r>
            <w:r w:rsidRPr="0098445B">
              <w:t>3</w:t>
            </w:r>
            <w:r>
              <w:t xml:space="preserve"> (0.6) vs 7 (12.3)</w:t>
            </w:r>
            <w:r w:rsidRPr="0098445B">
              <w:t xml:space="preserve"> </w:t>
            </w:r>
            <w:r>
              <w:t xml:space="preserve">RR </w:t>
            </w:r>
            <w:r w:rsidRPr="0098445B">
              <w:t xml:space="preserve">0.45 (0.12 to 1.66) </w:t>
            </w:r>
          </w:p>
          <w:p w14:paraId="4CA924B6" w14:textId="6E639162" w:rsidR="000A1756" w:rsidRPr="009110EE" w:rsidRDefault="000A1756" w:rsidP="009110EE">
            <w:pPr>
              <w:pStyle w:val="bullet"/>
            </w:pPr>
            <w:r>
              <w:t xml:space="preserve">SGA (n%): </w:t>
            </w:r>
            <w:r w:rsidRPr="009110EE">
              <w:t>4</w:t>
            </w:r>
            <w:r>
              <w:t xml:space="preserve"> (7.4) vs </w:t>
            </w:r>
            <w:r w:rsidRPr="009110EE">
              <w:t>4</w:t>
            </w:r>
            <w:r>
              <w:t xml:space="preserve"> (7.0) RR </w:t>
            </w:r>
            <w:r w:rsidRPr="009110EE">
              <w:t>1.06 (0.28 to 4.01)</w:t>
            </w:r>
          </w:p>
          <w:p w14:paraId="3B654731" w14:textId="455566BC" w:rsidR="000A1756" w:rsidRDefault="000A1756" w:rsidP="003765E1">
            <w:r>
              <w:t>Intervention (initiated at 20 weeks; n=60) vs control (n=</w:t>
            </w:r>
            <w:r w:rsidR="003305E0">
              <w:t>28</w:t>
            </w:r>
            <w:r>
              <w:t>):</w:t>
            </w:r>
          </w:p>
          <w:p w14:paraId="4AB91F0E" w14:textId="3AE94549" w:rsidR="000A1756" w:rsidRPr="009110EE" w:rsidRDefault="000A1756" w:rsidP="009110EE">
            <w:pPr>
              <w:pStyle w:val="bullet"/>
            </w:pPr>
            <w:r>
              <w:t>Pre-eclampsia (n%): 6 (10) vs 5 (8.8) RR</w:t>
            </w:r>
            <w:r w:rsidRPr="009110EE">
              <w:t xml:space="preserve"> 1.14 (0.37 to 3.53)</w:t>
            </w:r>
          </w:p>
          <w:p w14:paraId="1109942A" w14:textId="77777777" w:rsidR="000A1756" w:rsidRDefault="000A1756" w:rsidP="009110EE">
            <w:pPr>
              <w:pStyle w:val="bullet"/>
            </w:pPr>
            <w:r>
              <w:t xml:space="preserve">LGA (n%): </w:t>
            </w:r>
            <w:r w:rsidRPr="0098445B">
              <w:t>4</w:t>
            </w:r>
            <w:r>
              <w:t xml:space="preserve"> (6.7) vs 7 (12.3)</w:t>
            </w:r>
            <w:r w:rsidRPr="0098445B">
              <w:t xml:space="preserve"> </w:t>
            </w:r>
            <w:r>
              <w:t xml:space="preserve">RR </w:t>
            </w:r>
            <w:r w:rsidRPr="0098445B">
              <w:t>0.57 (0.17 to 1.82)</w:t>
            </w:r>
          </w:p>
          <w:p w14:paraId="4EAA1F0F" w14:textId="2D921CCA" w:rsidR="000A1756" w:rsidRDefault="000A1756" w:rsidP="009110EE">
            <w:pPr>
              <w:pStyle w:val="bullet"/>
            </w:pPr>
            <w:r>
              <w:t xml:space="preserve">SGA (n%): 4 (6.7) vs vs </w:t>
            </w:r>
            <w:r w:rsidRPr="009110EE">
              <w:t>4</w:t>
            </w:r>
            <w:r>
              <w:t xml:space="preserve"> (7.0) RR</w:t>
            </w:r>
            <w:r w:rsidRPr="009110EE">
              <w:t xml:space="preserve"> 0.98 (0.26 to 3.74)</w:t>
            </w:r>
            <w:r>
              <w:t>.</w:t>
            </w:r>
          </w:p>
        </w:tc>
      </w:tr>
      <w:tr w:rsidR="000A1756" w:rsidRPr="00A652CB" w14:paraId="6E408367"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3D9BFE49" w14:textId="3322DF9B" w:rsidR="00F528B6" w:rsidRPr="00C12274" w:rsidRDefault="00F528B6" w:rsidP="00E70A06">
            <w:r>
              <w:rPr>
                <w:noProof/>
              </w:rPr>
              <w:t>Dekker Nitert et al 2015</w:t>
            </w:r>
            <w:r w:rsidR="00616EE6">
              <w:fldChar w:fldCharType="begin">
                <w:fldData xml:space="preserve">PEVuZE5vdGU+PENpdGU+PEF1dGhvcj5EZWtrZXIgTml0ZXJ0PC9BdXRob3I+PFllYXI+MjAxNTwv
WWVhcj48UmVjTnVtPjY4NjwvUmVjTnVtPjxEaXNwbGF5VGV4dD48c3R5bGUgZmFjZT0ic3VwZXJz
Y3JpcHQiIGZvbnQ9IlRyZWJ1Y2hldCBNUyIgc2l6ZT0iOSI+NDQ4PC9zdHlsZT48L0Rpc3BsYXlU
ZXh0PjxyZWNvcmQ+PHJlYy1udW1iZXI+Njg2PC9yZWMtbnVtYmVyPjxmb3JlaWduLWtleXM+PGtl
eSBhcHA9IkVOIiBkYi1pZD0iZXh2YXNyZngyZHRyYW9lc2FzeHAyc3pzeGEyZGY1MDI1OTJ4IiB0
aW1lc3RhbXA9IjE1NDA1MjcyMzgiPjY4Njwva2V5PjwvZm9yZWlnbi1rZXlzPjxyZWYtdHlwZSBu
YW1lPSJKb3VybmFsIEFydGljbGUiPjE3PC9yZWYtdHlwZT48Y29udHJpYnV0b3JzPjxhdXRob3Jz
PjxhdXRob3I+RGVra2VyIE5pdGVydCwgTS48L2F1dGhvcj48YXV0aG9yPkJhcnJldHQsIEguIEwu
PC9hdXRob3I+PGF1dGhvcj5EZW5ueSwgSy4gSi48L2F1dGhvcj48YXV0aG9yPk1jSW50eXJlLCBI
LiBELjwvYXV0aG9yPjxhdXRob3I+Q2FsbGF3YXksIEwuIEsuPC9hdXRob3I+PGF1dGhvcj5CYW1i
aW5vIGdyb3VwPC9hdXRob3I+PC9hdXRob3JzPjwvY29udHJpYnV0b3JzPjxhdXRoLWFkZHJlc3M+
U2Nob29sIG9mIE1lZGljaW5lLCBUaGUgVW5pdmVyc2l0eSBvZiBRdWVlbnNsYW5kLCBIZXJzdG9u
LCBRdWVlbnNsYW5kLCBBdXN0cmFsaWE7IFVRIENlbnRyZSBmb3IgQ2xpbmljYWwgUmVzZWFyY2gs
IFRoZSBVbml2ZXJzaXR5IG9mIFF1ZWVuc2xhbmQsIEhlcnN0b24sIFF1ZWVuc2xhbmQsIEF1c3Ry
YWxpYS48L2F1dGgtYWRkcmVzcz48dGl0bGVzPjx0aXRsZT5FeGVyY2lzZSBpbiBwcmVnbmFuY3kg
ZG9lcyBub3QgYWx0ZXIgZ2VzdGF0aW9uYWwgd2VpZ2h0IGdhaW4sIE1DUC0xIG9yIGxlcHRpbiBp
biBvYmVzZSB3b21lbjwvdGl0bGU+PHNlY29uZGFyeS10aXRsZT5BdXN0IE4gWiBKIE9ic3RldCBH
eW5hZWNvbDwvc2Vjb25kYXJ5LXRpdGxlPjwvdGl0bGVzPjxwZXJpb2RpY2FsPjxmdWxsLXRpdGxl
PkF1c3QgTiBaIEogT2JzdGV0IEd5bmFlY29sPC9mdWxsLXRpdGxlPjwvcGVyaW9kaWNhbD48cGFn
ZXM+MjctMzM8L3BhZ2VzPjx2b2x1bWU+NTU8L3ZvbHVtZT48bnVtYmVyPjE8L251bWJlcj48ZWRp
dGlvbj4yMDE1LzAyLzE4PC9lZGl0aW9uPjxrZXl3b3Jkcz48a2V5d29yZD5BZHVsdDwva2V5d29y
ZD48a2V5d29yZD5DaGVtb2tpbmUgQ0NMMi9ibG9vZDwva2V5d29yZD48a2V5d29yZD5FeGVyY2lz
ZS8qcGh5c2lvbG9neTwva2V5d29yZD48a2V5d29yZD5GZW1hbGU8L2tleXdvcmQ+PGtleXdvcmQ+
SHVtYW5zPC9rZXl3b3JkPjxrZXl3b3JkPkludGVybGV1a2luLTgvYmxvb2Q8L2tleXdvcmQ+PGtl
eXdvcmQ+TGVwdGluL2Jsb29kPC9rZXl3b3JkPjxrZXl3b3JkPk9iZXNpdHkvKmJsb29kL3RoZXJh
cHk8L2tleXdvcmQ+PGtleXdvcmQ+UGlsb3QgUHJvamVjdHM8L2tleXdvcmQ+PGtleXdvcmQ+UHJl
Z25hbmN5PC9rZXl3b3JkPjxrZXl3b3JkPlByZWduYW5jeSBDb21wbGljYXRpb25zLypibG9vZC9w
cmV2ZW50aW9uICZhbXA7IGNvbnRyb2w8L2tleXdvcmQ+PGtleXdvcmQ+KldlaWdodCBHYWluPC9r
ZXl3b3JkPjxrZXl3b3JkPllvdW5nIEFkdWx0PC9rZXl3b3JkPjxrZXl3b3JkPmV4ZXJjaXNlPC9r
ZXl3b3JkPjxrZXl3b3JkPmdlc3RhdGlvbmFsIHdlaWdodCBnYWluPC9rZXl3b3JkPjxrZXl3b3Jk
PmxpcGlkczwva2V5d29yZD48a2V5d29yZD5vYmVzaXR5PC9rZXl3b3JkPjwva2V5d29yZHM+PGRh
dGVzPjx5ZWFyPjIwMTU8L3llYXI+PHB1Yi1kYXRlcz48ZGF0ZT5GZWI8L2RhdGU+PC9wdWItZGF0
ZXM+PC9kYXRlcz48aXNibj4xNDc5LTgyOFggKEVsZWN0cm9uaWMpJiN4RDswMDA0LTg2NjYgKExp
bmtpbmcpPC9pc2JuPjxhY2Nlc3Npb24tbnVtPjI1Njg4ODE3PC9hY2Nlc3Npb24tbnVtPjx1cmxz
PjxyZWxhdGVkLXVybHM+PHVybD5odHRwczovL3d3dy5uY2JpLm5sbS5uaWguZ292L3B1Ym1lZC8y
NTY4ODgxNzwvdXJsPjwvcmVsYXRlZC11cmxzPjwvdXJscz48ZWxlY3Ryb25pYy1yZXNvdXJjZS1u
dW0+MTAuMTExMS9ham8uMTIzMDA8L2VsZWN0cm9uaWMtcmVzb3VyY2UtbnVtPjwvcmVjb3JkPjwv
Q2l0ZT48L0VuZE5vdGU+
</w:fldData>
              </w:fldChar>
            </w:r>
            <w:r w:rsidR="002747EA">
              <w:instrText xml:space="preserve"> ADDIN EN.CITE </w:instrText>
            </w:r>
            <w:r w:rsidR="002747EA">
              <w:fldChar w:fldCharType="begin">
                <w:fldData xml:space="preserve">PEVuZE5vdGU+PENpdGU+PEF1dGhvcj5EZWtrZXIgTml0ZXJ0PC9BdXRob3I+PFllYXI+MjAxNTwv
WWVhcj48UmVjTnVtPjY4NjwvUmVjTnVtPjxEaXNwbGF5VGV4dD48c3R5bGUgZmFjZT0ic3VwZXJz
Y3JpcHQiIGZvbnQ9IlRyZWJ1Y2hldCBNUyIgc2l6ZT0iOSI+NDQ4PC9zdHlsZT48L0Rpc3BsYXlU
ZXh0PjxyZWNvcmQ+PHJlYy1udW1iZXI+Njg2PC9yZWMtbnVtYmVyPjxmb3JlaWduLWtleXM+PGtl
eSBhcHA9IkVOIiBkYi1pZD0iZXh2YXNyZngyZHRyYW9lc2FzeHAyc3pzeGEyZGY1MDI1OTJ4IiB0
aW1lc3RhbXA9IjE1NDA1MjcyMzgiPjY4Njwva2V5PjwvZm9yZWlnbi1rZXlzPjxyZWYtdHlwZSBu
YW1lPSJKb3VybmFsIEFydGljbGUiPjE3PC9yZWYtdHlwZT48Y29udHJpYnV0b3JzPjxhdXRob3Jz
PjxhdXRob3I+RGVra2VyIE5pdGVydCwgTS48L2F1dGhvcj48YXV0aG9yPkJhcnJldHQsIEguIEwu
PC9hdXRob3I+PGF1dGhvcj5EZW5ueSwgSy4gSi48L2F1dGhvcj48YXV0aG9yPk1jSW50eXJlLCBI
LiBELjwvYXV0aG9yPjxhdXRob3I+Q2FsbGF3YXksIEwuIEsuPC9hdXRob3I+PGF1dGhvcj5CYW1i
aW5vIGdyb3VwPC9hdXRob3I+PC9hdXRob3JzPjwvY29udHJpYnV0b3JzPjxhdXRoLWFkZHJlc3M+
U2Nob29sIG9mIE1lZGljaW5lLCBUaGUgVW5pdmVyc2l0eSBvZiBRdWVlbnNsYW5kLCBIZXJzdG9u
LCBRdWVlbnNsYW5kLCBBdXN0cmFsaWE7IFVRIENlbnRyZSBmb3IgQ2xpbmljYWwgUmVzZWFyY2gs
IFRoZSBVbml2ZXJzaXR5IG9mIFF1ZWVuc2xhbmQsIEhlcnN0b24sIFF1ZWVuc2xhbmQsIEF1c3Ry
YWxpYS48L2F1dGgtYWRkcmVzcz48dGl0bGVzPjx0aXRsZT5FeGVyY2lzZSBpbiBwcmVnbmFuY3kg
ZG9lcyBub3QgYWx0ZXIgZ2VzdGF0aW9uYWwgd2VpZ2h0IGdhaW4sIE1DUC0xIG9yIGxlcHRpbiBp
biBvYmVzZSB3b21lbjwvdGl0bGU+PHNlY29uZGFyeS10aXRsZT5BdXN0IE4gWiBKIE9ic3RldCBH
eW5hZWNvbDwvc2Vjb25kYXJ5LXRpdGxlPjwvdGl0bGVzPjxwZXJpb2RpY2FsPjxmdWxsLXRpdGxl
PkF1c3QgTiBaIEogT2JzdGV0IEd5bmFlY29sPC9mdWxsLXRpdGxlPjwvcGVyaW9kaWNhbD48cGFn
ZXM+MjctMzM8L3BhZ2VzPjx2b2x1bWU+NTU8L3ZvbHVtZT48bnVtYmVyPjE8L251bWJlcj48ZWRp
dGlvbj4yMDE1LzAyLzE4PC9lZGl0aW9uPjxrZXl3b3Jkcz48a2V5d29yZD5BZHVsdDwva2V5d29y
ZD48a2V5d29yZD5DaGVtb2tpbmUgQ0NMMi9ibG9vZDwva2V5d29yZD48a2V5d29yZD5FeGVyY2lz
ZS8qcGh5c2lvbG9neTwva2V5d29yZD48a2V5d29yZD5GZW1hbGU8L2tleXdvcmQ+PGtleXdvcmQ+
SHVtYW5zPC9rZXl3b3JkPjxrZXl3b3JkPkludGVybGV1a2luLTgvYmxvb2Q8L2tleXdvcmQ+PGtl
eXdvcmQ+TGVwdGluL2Jsb29kPC9rZXl3b3JkPjxrZXl3b3JkPk9iZXNpdHkvKmJsb29kL3RoZXJh
cHk8L2tleXdvcmQ+PGtleXdvcmQ+UGlsb3QgUHJvamVjdHM8L2tleXdvcmQ+PGtleXdvcmQ+UHJl
Z25hbmN5PC9rZXl3b3JkPjxrZXl3b3JkPlByZWduYW5jeSBDb21wbGljYXRpb25zLypibG9vZC9w
cmV2ZW50aW9uICZhbXA7IGNvbnRyb2w8L2tleXdvcmQ+PGtleXdvcmQ+KldlaWdodCBHYWluPC9r
ZXl3b3JkPjxrZXl3b3JkPllvdW5nIEFkdWx0PC9rZXl3b3JkPjxrZXl3b3JkPmV4ZXJjaXNlPC9r
ZXl3b3JkPjxrZXl3b3JkPmdlc3RhdGlvbmFsIHdlaWdodCBnYWluPC9rZXl3b3JkPjxrZXl3b3Jk
PmxpcGlkczwva2V5d29yZD48a2V5d29yZD5vYmVzaXR5PC9rZXl3b3JkPjwva2V5d29yZHM+PGRh
dGVzPjx5ZWFyPjIwMTU8L3llYXI+PHB1Yi1kYXRlcz48ZGF0ZT5GZWI8L2RhdGU+PC9wdWItZGF0
ZXM+PC9kYXRlcz48aXNibj4xNDc5LTgyOFggKEVsZWN0cm9uaWMpJiN4RDswMDA0LTg2NjYgKExp
bmtpbmcpPC9pc2JuPjxhY2Nlc3Npb24tbnVtPjI1Njg4ODE3PC9hY2Nlc3Npb24tbnVtPjx1cmxz
PjxyZWxhdGVkLXVybHM+PHVybD5odHRwczovL3d3dy5uY2JpLm5sbS5uaWguZ292L3B1Ym1lZC8y
NTY4ODgxNzwvdXJsPjwvcmVsYXRlZC11cmxzPjwvdXJscz48ZWxlY3Ryb25pYy1yZXNvdXJjZS1u
dW0+MTAuMTExMS9ham8uMTIzMDA8L2VsZWN0cm9uaWMtcmVzb3VyY2UtbnVtPjwvcmVjb3JkPjwv
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448</w:t>
            </w:r>
            <w:r w:rsidR="00616EE6">
              <w:fldChar w:fldCharType="end"/>
            </w:r>
          </w:p>
          <w:p w14:paraId="628C83C7" w14:textId="247715AE" w:rsidR="000A1756" w:rsidRDefault="00F528B6" w:rsidP="00E70A06">
            <w:r w:rsidRPr="00C12274">
              <w:t>Australia</w:t>
            </w:r>
          </w:p>
        </w:tc>
        <w:tc>
          <w:tcPr>
            <w:tcW w:w="1670" w:type="dxa"/>
            <w:tcBorders>
              <w:left w:val="single" w:sz="4" w:space="0" w:color="3B3474"/>
              <w:right w:val="single" w:sz="4" w:space="0" w:color="3B3474"/>
            </w:tcBorders>
          </w:tcPr>
          <w:p w14:paraId="381EA142" w14:textId="77777777" w:rsidR="000A1756" w:rsidRDefault="000A1756" w:rsidP="00D424F3">
            <w:r>
              <w:t>Intervention 19</w:t>
            </w:r>
          </w:p>
          <w:p w14:paraId="43A85809" w14:textId="1CDF4730" w:rsidR="000A1756" w:rsidRDefault="000A1756" w:rsidP="00D424F3">
            <w:r>
              <w:t>Control 16</w:t>
            </w:r>
          </w:p>
        </w:tc>
        <w:tc>
          <w:tcPr>
            <w:tcW w:w="5395" w:type="dxa"/>
            <w:tcBorders>
              <w:left w:val="single" w:sz="4" w:space="0" w:color="3B3474"/>
              <w:right w:val="single" w:sz="4" w:space="0" w:color="3B3474"/>
            </w:tcBorders>
          </w:tcPr>
          <w:p w14:paraId="5EA0E86E" w14:textId="77777777" w:rsidR="000A1756" w:rsidRDefault="000A1756" w:rsidP="00CA336A">
            <w:r w:rsidRPr="009110EE">
              <w:rPr>
                <w:b/>
              </w:rPr>
              <w:t>Aim</w:t>
            </w:r>
            <w:r>
              <w:t>: T</w:t>
            </w:r>
            <w:r w:rsidRPr="009110EE">
              <w:t xml:space="preserve">o investigate the effects of exercise on gestational weight gain, maternal circulating lipids, IL-8, MCP-1 and leptin levels in obese pregnant women. </w:t>
            </w:r>
          </w:p>
          <w:p w14:paraId="3A388196" w14:textId="22520C43" w:rsidR="000A1756" w:rsidRDefault="000A1756" w:rsidP="00CA336A">
            <w:r w:rsidRPr="00332909">
              <w:rPr>
                <w:b/>
              </w:rPr>
              <w:t>Population</w:t>
            </w:r>
            <w:r>
              <w:t>: Pregnant women with BMI ≥30</w:t>
            </w:r>
          </w:p>
          <w:p w14:paraId="6F80B420" w14:textId="77777777" w:rsidR="00F528B6" w:rsidRDefault="00F528B6" w:rsidP="00F528B6">
            <w:r w:rsidRPr="005E4EF9">
              <w:rPr>
                <w:b/>
              </w:rPr>
              <w:t>Intervention</w:t>
            </w:r>
            <w:r>
              <w:rPr>
                <w:b/>
              </w:rPr>
              <w:t>:</w:t>
            </w:r>
          </w:p>
          <w:p w14:paraId="378B1F7E" w14:textId="77777777" w:rsidR="00F528B6" w:rsidRPr="00C45716" w:rsidRDefault="00F528B6" w:rsidP="00F528B6">
            <w:pPr>
              <w:pStyle w:val="bullet"/>
            </w:pPr>
            <w:r w:rsidRPr="00C45716">
              <w:rPr>
                <w:i/>
              </w:rPr>
              <w:t>Supervised</w:t>
            </w:r>
            <w:r w:rsidRPr="00C45716">
              <w:t>: Yes</w:t>
            </w:r>
          </w:p>
          <w:p w14:paraId="6F4405F4" w14:textId="383472E6" w:rsidR="00F528B6" w:rsidRPr="00F528B6" w:rsidRDefault="00F528B6" w:rsidP="00F528B6">
            <w:pPr>
              <w:pStyle w:val="bullet"/>
            </w:pPr>
            <w:r w:rsidRPr="00C45716">
              <w:rPr>
                <w:i/>
              </w:rPr>
              <w:t>Type and duration</w:t>
            </w:r>
            <w:r w:rsidRPr="00C45716">
              <w:t xml:space="preserve">: </w:t>
            </w:r>
            <w:r>
              <w:t xml:space="preserve">Aerobic; </w:t>
            </w:r>
            <w:r w:rsidRPr="00C12274">
              <w:t>Individualised to meet energy expenditure requirements</w:t>
            </w:r>
            <w:r>
              <w:t xml:space="preserve">; </w:t>
            </w:r>
            <w:r w:rsidRPr="00C12274">
              <w:t>From week 12</w:t>
            </w:r>
          </w:p>
          <w:p w14:paraId="2C463CF1" w14:textId="04E5C705" w:rsidR="000A1756" w:rsidRPr="00CA336A" w:rsidRDefault="00F528B6" w:rsidP="00F528B6">
            <w:pPr>
              <w:pStyle w:val="bullet"/>
            </w:pPr>
            <w:r w:rsidRPr="00C45716">
              <w:rPr>
                <w:i/>
              </w:rPr>
              <w:t>Intensity</w:t>
            </w:r>
            <w:r w:rsidRPr="00C45716">
              <w:t xml:space="preserve">: </w:t>
            </w:r>
            <w:r w:rsidRPr="00321BF0">
              <w:t>Based on individual preferences and ability.</w:t>
            </w:r>
          </w:p>
        </w:tc>
        <w:tc>
          <w:tcPr>
            <w:tcW w:w="5953" w:type="dxa"/>
            <w:tcBorders>
              <w:left w:val="single" w:sz="4" w:space="0" w:color="3B3474"/>
              <w:right w:val="single" w:sz="4" w:space="0" w:color="3B3474"/>
            </w:tcBorders>
          </w:tcPr>
          <w:p w14:paraId="4EE074C6" w14:textId="77777777" w:rsidR="000A1756" w:rsidRDefault="000A1756" w:rsidP="00CA336A">
            <w:r>
              <w:t>Intervention vs control:</w:t>
            </w:r>
          </w:p>
          <w:p w14:paraId="32DD1901" w14:textId="79D3300B" w:rsidR="000A1756" w:rsidRDefault="000A1756" w:rsidP="000A0F71">
            <w:pPr>
              <w:pStyle w:val="bullet"/>
            </w:pPr>
            <w:r>
              <w:t>Gestational weight gain at 36 weeks</w:t>
            </w:r>
            <w:r w:rsidRPr="000A0F71">
              <w:t>: 7.87</w:t>
            </w:r>
            <w:r>
              <w:t>±4.00</w:t>
            </w:r>
            <w:r w:rsidRPr="000A0F71">
              <w:t xml:space="preserve"> vs 8.28</w:t>
            </w:r>
            <w:r>
              <w:t>±6.10</w:t>
            </w:r>
          </w:p>
          <w:p w14:paraId="1D9CC411" w14:textId="0408C0AB" w:rsidR="000A1756" w:rsidRDefault="00F528B6" w:rsidP="00D77D86">
            <w:pPr>
              <w:pStyle w:val="bullet"/>
            </w:pPr>
            <w:r>
              <w:t xml:space="preserve">Caesarean </w:t>
            </w:r>
            <w:r w:rsidR="000A1756" w:rsidRPr="000A0F71">
              <w:t>section (n) (% of group)</w:t>
            </w:r>
            <w:r w:rsidR="000A1756">
              <w:t>:</w:t>
            </w:r>
            <w:r w:rsidR="000A1756" w:rsidRPr="000A0F71">
              <w:t xml:space="preserve"> 9 (47%) </w:t>
            </w:r>
            <w:r w:rsidR="000A1756">
              <w:t xml:space="preserve">vs </w:t>
            </w:r>
            <w:r w:rsidR="000A1756" w:rsidRPr="000A0F71">
              <w:t xml:space="preserve">4 (25%) </w:t>
            </w:r>
          </w:p>
        </w:tc>
      </w:tr>
      <w:tr w:rsidR="000A1756" w:rsidRPr="00A652CB" w14:paraId="56A95C3F"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06B52F3F" w14:textId="4F428C4C" w:rsidR="00F528B6" w:rsidRDefault="00F528B6" w:rsidP="00E70A06">
            <w:r w:rsidRPr="00C12274">
              <w:rPr>
                <w:noProof/>
              </w:rPr>
              <w:t>Garnaes</w:t>
            </w:r>
            <w:r>
              <w:rPr>
                <w:noProof/>
              </w:rPr>
              <w:t xml:space="preserve"> et al 2016;</w:t>
            </w:r>
            <w:r w:rsidR="00616EE6">
              <w:rPr>
                <w:noProof/>
              </w:rPr>
              <w:fldChar w:fldCharType="begin">
                <w:fldData xml:space="preserve">PEVuZE5vdGU+PENpdGU+PEF1dGhvcj5HYXJuYWVzPC9BdXRob3I+PFllYXI+MjAxNjwvWWVhcj48
UmVjTnVtPjY4ODwvUmVjTnVtPjxEaXNwbGF5VGV4dD48c3R5bGUgZmFjZT0ic3VwZXJzY3JpcHQi
IGZvbnQ9IlRyZWJ1Y2hldCBNUyIgc2l6ZT0iOSI+MzA0PC9zdHlsZT48L0Rpc3BsYXlUZXh0Pjxy
ZWNvcmQ+PHJlYy1udW1iZXI+Njg4PC9yZWMtbnVtYmVyPjxmb3JlaWduLWtleXM+PGtleSBhcHA9
IkVOIiBkYi1pZD0iZXh2YXNyZngyZHRyYW9lc2FzeHAyc3pzeGEyZGY1MDI1OTJ4IiB0aW1lc3Rh
bXA9IjE1NDA1MjczOTMiPjY4ODwva2V5PjwvZm9yZWlnbi1rZXlzPjxyZWYtdHlwZSBuYW1lPSJK
b3VybmFsIEFydGljbGUiPjE3PC9yZWYtdHlwZT48Y29udHJpYnV0b3JzPjxhdXRob3JzPjxhdXRo
b3I+R2FybmFlcywgSy4gSy48L2F1dGhvcj48YXV0aG9yPk1vcmt2ZWQsIFMuPC9hdXRob3I+PGF1
dGhvcj5TYWx2ZXNlbiwgTy48L2F1dGhvcj48YXV0aG9yPk1vaG9sZHQsIFQuPC9hdXRob3I+PC9h
dXRob3JzPjwvY29udHJpYnV0b3JzPjxhdXRoLWFkZHJlc3M+RGVwYXJ0bWVudCBvZiBDaXJjdWxh
dGlvbiBhbmQgTWVkaWNhbCBJbWFnaW5nLCBNZWRpY2FsIEZhY3VsdHksIE5vcndlZ2lhbiBVbml2
ZXJzaXR5IG9mIFNjaWVuY2UgYW5kIFRlY2hub2xvZ3kgKE5UTlUpLCBUcm9uZGhlaW0sIE5vcndh
eS4mI3hEO0RlcGFydG1lbnQgb2YgUHVibGljIEhlYWx0aCBhbmQgR2VuZXJhbCBQcmFjdGljZSwg
TWVkaWNhbCBGYWN1bHR5LCBOb3J3ZWdpYW4gVW5pdmVyc2l0eSBvZiBTY2llbmNlIGFuZCBUZWNo
bm9sb2d5IChOVE5VKSwgVHJvbmRoZWltLCBOb3J3YXkuJiN4RDtDbGluaWNhbCBTZXJ2aWNlLCBT
dC4gT2xhdnMgSG9zcGl0YWwsIFRyb25kaGVpbSBVbml2ZXJzaXR5IEhvc3BpdGFsLCBUcm9uZGhl
aW0sIE5vcndheS4mI3hEO0RlcGFydG1lbnQgb2YgV29tZW4mYXBvcztzIEhlYWx0aCwgU3QuIE9s
YXZzIEhvc3BpdGFsLCBUcm9uZGhlaW0gVW5pdmVyc2l0eSBIb3NwaXRhbCwgVHJvbmRoZWltLCBO
b3J3YXkuPC9hdXRoLWFkZHJlc3M+PHRpdGxlcz48dGl0bGU+RXhlcmNpc2UgVHJhaW5pbmcgYW5k
IFdlaWdodCBHYWluIGluIE9iZXNlIFByZWduYW50IFdvbWVuOiBBIFJhbmRvbWl6ZWQgQ29udHJv
bGxlZCBUcmlhbCAoRVRJUCBUcmlhbCk8L3RpdGxlPjxzZWNvbmRhcnktdGl0bGU+UExvUyBNZWQ8
L3NlY29uZGFyeS10aXRsZT48L3RpdGxlcz48cGVyaW9kaWNhbD48ZnVsbC10aXRsZT5QTG9TIE1l
ZDwvZnVsbC10aXRsZT48L3BlcmlvZGljYWw+PHBhZ2VzPmUxMDAyMDc5PC9wYWdlcz48dm9sdW1l
PjEzPC92b2x1bWU+PG51bWJlcj43PC9udW1iZXI+PGVkaXRpb24+MjAxNi8wNy8yODwvZWRpdGlv
bj48a2V5d29yZHM+PGtleXdvcmQ+QWR1bHQ8L2tleXdvcmQ+PGtleXdvcmQ+Qmxvb2QgUHJlc3N1
cmU8L2tleXdvcmQ+PGtleXdvcmQ+RGlhYmV0ZXMsIEdlc3RhdGlvbmFsL3ByZXZlbnRpb24gJmFt
cDsgY29udHJvbDwva2V5d29yZD48a2V5d29yZD5FeGVyY2lzZS9waHlzaW9sb2d5PC9rZXl3b3Jk
PjxrZXl3b3JkPkV4ZXJjaXNlIFRoZXJhcHkvYWR2ZXJzZSBlZmZlY3RzLyptZXRob2RzPC9rZXl3
b3JkPjxrZXl3b3JkPkZlbWFsZTwva2V5d29yZD48a2V5d29yZD5IdW1hbnM8L2tleXdvcmQ+PGtl
eXdvcmQ+T2Jlc2l0eS8qY29tcGxpY2F0aW9ucy9wcmV2ZW50aW9uICZhbXA7IGNvbnRyb2wvdGhl
cmFweTwva2V5d29yZD48a2V5d29yZD5PdmVyd2VpZ2h0L2NvbXBsaWNhdGlvbnMvcHJldmVudGlv
biAmYW1wOyBjb250cm9sL3RoZXJhcHk8L2tleXdvcmQ+PGtleXdvcmQ+UHJlZ25hbmN5PC9rZXl3
b3JkPjxrZXl3b3JkPlByZWduYW5jeSBDb21wbGljYXRpb25zL3ByZXZlbnRpb24gJmFtcDsgY29u
dHJvbC8qdGhlcmFweTwva2V5d29yZD48a2V5d29yZD5UcmVhdG1lbnQgT3V0Y29tZTwva2V5d29y
ZD48a2V5d29yZD5XZWlnaHQgR2Fpbjwva2V5d29yZD48L2tleXdvcmRzPjxkYXRlcz48eWVhcj4y
MDE2PC95ZWFyPjxwdWItZGF0ZXM+PGRhdGU+SnVsPC9kYXRlPjwvcHViLWRhdGVzPjwvZGF0ZXM+
PGlzYm4+MTU0OS0xNjc2IChFbGVjdHJvbmljKSYjeEQ7MTU0OS0xMjc3IChMaW5raW5nKTwvaXNi
bj48YWNjZXNzaW9uLW51bT4yNzQ1OTM3NTwvYWNjZXNzaW9uLW51bT48dXJscz48cmVsYXRlZC11
cmxzPjx1cmw+aHR0cHM6Ly93d3cubmNiaS5ubG0ubmloLmdvdi9wdWJtZWQvMjc0NTkzNzU8L3Vy
bD48L3JlbGF0ZWQtdXJscz48L3VybHM+PGN1c3RvbTI+UE1DNDk2MTM5MjwvY3VzdG9tMj48ZWxl
Y3Ryb25pYy1yZXNvdXJjZS1udW0+MTAuMTM3MS9qb3VybmFsLnBtZWQuMTAwMjA3OTwvZWxlY3Ry
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PEVuZE5vdGU+PENpdGU+PEF1dGhvcj5HYXJuYWVzPC9BdXRob3I+PFllYXI+MjAxNjwvWWVhcj48
UmVjTnVtPjY4ODwvUmVjTnVtPjxEaXNwbGF5VGV4dD48c3R5bGUgZmFjZT0ic3VwZXJzY3JpcHQi
IGZvbnQ9IlRyZWJ1Y2hldCBNUyIgc2l6ZT0iOSI+MzA0PC9zdHlsZT48L0Rpc3BsYXlUZXh0Pjxy
ZWNvcmQ+PHJlYy1udW1iZXI+Njg4PC9yZWMtbnVtYmVyPjxmb3JlaWduLWtleXM+PGtleSBhcHA9
IkVOIiBkYi1pZD0iZXh2YXNyZngyZHRyYW9lc2FzeHAyc3pzeGEyZGY1MDI1OTJ4IiB0aW1lc3Rh
bXA9IjE1NDA1MjczOTMiPjY4ODwva2V5PjwvZm9yZWlnbi1rZXlzPjxyZWYtdHlwZSBuYW1lPSJK
b3VybmFsIEFydGljbGUiPjE3PC9yZWYtdHlwZT48Y29udHJpYnV0b3JzPjxhdXRob3JzPjxhdXRo
b3I+R2FybmFlcywgSy4gSy48L2F1dGhvcj48YXV0aG9yPk1vcmt2ZWQsIFMuPC9hdXRob3I+PGF1
dGhvcj5TYWx2ZXNlbiwgTy48L2F1dGhvcj48YXV0aG9yPk1vaG9sZHQsIFQuPC9hdXRob3I+PC9h
dXRob3JzPjwvY29udHJpYnV0b3JzPjxhdXRoLWFkZHJlc3M+RGVwYXJ0bWVudCBvZiBDaXJjdWxh
dGlvbiBhbmQgTWVkaWNhbCBJbWFnaW5nLCBNZWRpY2FsIEZhY3VsdHksIE5vcndlZ2lhbiBVbml2
ZXJzaXR5IG9mIFNjaWVuY2UgYW5kIFRlY2hub2xvZ3kgKE5UTlUpLCBUcm9uZGhlaW0sIE5vcndh
eS4mI3hEO0RlcGFydG1lbnQgb2YgUHVibGljIEhlYWx0aCBhbmQgR2VuZXJhbCBQcmFjdGljZSwg
TWVkaWNhbCBGYWN1bHR5LCBOb3J3ZWdpYW4gVW5pdmVyc2l0eSBvZiBTY2llbmNlIGFuZCBUZWNo
bm9sb2d5IChOVE5VKSwgVHJvbmRoZWltLCBOb3J3YXkuJiN4RDtDbGluaWNhbCBTZXJ2aWNlLCBT
dC4gT2xhdnMgSG9zcGl0YWwsIFRyb25kaGVpbSBVbml2ZXJzaXR5IEhvc3BpdGFsLCBUcm9uZGhl
aW0sIE5vcndheS4mI3hEO0RlcGFydG1lbnQgb2YgV29tZW4mYXBvcztzIEhlYWx0aCwgU3QuIE9s
YXZzIEhvc3BpdGFsLCBUcm9uZGhlaW0gVW5pdmVyc2l0eSBIb3NwaXRhbCwgVHJvbmRoZWltLCBO
b3J3YXkuPC9hdXRoLWFkZHJlc3M+PHRpdGxlcz48dGl0bGU+RXhlcmNpc2UgVHJhaW5pbmcgYW5k
IFdlaWdodCBHYWluIGluIE9iZXNlIFByZWduYW50IFdvbWVuOiBBIFJhbmRvbWl6ZWQgQ29udHJv
bGxlZCBUcmlhbCAoRVRJUCBUcmlhbCk8L3RpdGxlPjxzZWNvbmRhcnktdGl0bGU+UExvUyBNZWQ8
L3NlY29uZGFyeS10aXRsZT48L3RpdGxlcz48cGVyaW9kaWNhbD48ZnVsbC10aXRsZT5QTG9TIE1l
ZDwvZnVsbC10aXRsZT48L3BlcmlvZGljYWw+PHBhZ2VzPmUxMDAyMDc5PC9wYWdlcz48dm9sdW1l
PjEzPC92b2x1bWU+PG51bWJlcj43PC9udW1iZXI+PGVkaXRpb24+MjAxNi8wNy8yODwvZWRpdGlv
bj48a2V5d29yZHM+PGtleXdvcmQ+QWR1bHQ8L2tleXdvcmQ+PGtleXdvcmQ+Qmxvb2QgUHJlc3N1
cmU8L2tleXdvcmQ+PGtleXdvcmQ+RGlhYmV0ZXMsIEdlc3RhdGlvbmFsL3ByZXZlbnRpb24gJmFt
cDsgY29udHJvbDwva2V5d29yZD48a2V5d29yZD5FeGVyY2lzZS9waHlzaW9sb2d5PC9rZXl3b3Jk
PjxrZXl3b3JkPkV4ZXJjaXNlIFRoZXJhcHkvYWR2ZXJzZSBlZmZlY3RzLyptZXRob2RzPC9rZXl3
b3JkPjxrZXl3b3JkPkZlbWFsZTwva2V5d29yZD48a2V5d29yZD5IdW1hbnM8L2tleXdvcmQ+PGtl
eXdvcmQ+T2Jlc2l0eS8qY29tcGxpY2F0aW9ucy9wcmV2ZW50aW9uICZhbXA7IGNvbnRyb2wvdGhl
cmFweTwva2V5d29yZD48a2V5d29yZD5PdmVyd2VpZ2h0L2NvbXBsaWNhdGlvbnMvcHJldmVudGlv
biAmYW1wOyBjb250cm9sL3RoZXJhcHk8L2tleXdvcmQ+PGtleXdvcmQ+UHJlZ25hbmN5PC9rZXl3
b3JkPjxrZXl3b3JkPlByZWduYW5jeSBDb21wbGljYXRpb25zL3ByZXZlbnRpb24gJmFtcDsgY29u
dHJvbC8qdGhlcmFweTwva2V5d29yZD48a2V5d29yZD5UcmVhdG1lbnQgT3V0Y29tZTwva2V5d29y
ZD48a2V5d29yZD5XZWlnaHQgR2Fpbjwva2V5d29yZD48L2tleXdvcmRzPjxkYXRlcz48eWVhcj4y
MDE2PC95ZWFyPjxwdWItZGF0ZXM+PGRhdGU+SnVsPC9kYXRlPjwvcHViLWRhdGVzPjwvZGF0ZXM+
PGlzYm4+MTU0OS0xNjc2IChFbGVjdHJvbmljKSYjeEQ7MTU0OS0xMjc3IChMaW5raW5nKTwvaXNi
bj48YWNjZXNzaW9uLW51bT4yNzQ1OTM3NTwvYWNjZXNzaW9uLW51bT48dXJscz48cmVsYXRlZC11
cmxzPjx1cmw+aHR0cHM6Ly93d3cubmNiaS5ubG0ubmloLmdvdi9wdWJtZWQvMjc0NTkzNzU8L3Vy
bD48L3JlbGF0ZWQtdXJscz48L3VybHM+PGN1c3RvbTI+UE1DNDk2MTM5MjwvY3VzdG9tMj48ZWxl
Y3Ryb25pYy1yZXNvdXJjZS1udW0+MTAuMTM3MS9qb3VybmFsLnBtZWQuMTAwMjA3OTwvZWxlY3Ry
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sidR="00616EE6">
              <w:rPr>
                <w:noProof/>
              </w:rPr>
            </w:r>
            <w:r w:rsidR="00616EE6">
              <w:rPr>
                <w:noProof/>
              </w:rPr>
              <w:fldChar w:fldCharType="separate"/>
            </w:r>
            <w:r w:rsidR="002747EA" w:rsidRPr="002747EA">
              <w:rPr>
                <w:noProof/>
                <w:vertAlign w:val="superscript"/>
              </w:rPr>
              <w:t>304</w:t>
            </w:r>
            <w:r w:rsidR="00616EE6">
              <w:rPr>
                <w:noProof/>
              </w:rPr>
              <w:fldChar w:fldCharType="end"/>
            </w:r>
            <w:r>
              <w:rPr>
                <w:noProof/>
              </w:rPr>
              <w:t xml:space="preserve"> Garnaes et al 2017;</w:t>
            </w:r>
            <w:r w:rsidR="00616EE6">
              <w:rPr>
                <w:noProof/>
              </w:rPr>
              <w:fldChar w:fldCharType="begin">
                <w:fldData xml:space="preserve">PEVuZE5vdGU+PENpdGU+PEF1dGhvcj5HYXJuYWVzPC9BdXRob3I+PFllYXI+MjAxNzwvWWVhcj48
UmVjTnVtPjYwNzwvUmVjTnVtPjxEaXNwbGF5VGV4dD48c3R5bGUgZmFjZT0ic3VwZXJzY3JpcHQi
IGZvbnQ9IlRyZWJ1Y2hldCBNUyIgc2l6ZT0iOSI+MzE0PC9zdHlsZT48L0Rpc3BsYXlUZXh0Pjxy
ZWNvcmQ+PHJlYy1udW1iZXI+NjA3PC9yZWMtbnVtYmVyPjxmb3JlaWduLWtleXM+PGtleSBhcHA9
IkVOIiBkYi1pZD0iZXh2YXNyZngyZHRyYW9lc2FzeHAyc3pzeGEyZGY1MDI1OTJ4IiB0aW1lc3Rh
bXA9IjE1MzkwNDgzMzAiPjYwNzwva2V5PjxrZXkgYXBwPSJFTldlYiIgZGItaWQ9IiI+MDwva2V5
PjwvZm9yZWlnbi1rZXlzPjxyZWYtdHlwZSBuYW1lPSJKb3VybmFsIEFydGljbGUiPjE3PC9yZWYt
dHlwZT48Y29udHJpYnV0b3JzPjxhdXRob3JzPjxhdXRob3I+R2FybmFlcywgSy4gSy48L2F1dGhv
cj48YXV0aG9yPk55cm5lcywgUy4gQS48L2F1dGhvcj48YXV0aG9yPlNhbHZlc2VuLCBLLiBBLjwv
YXV0aG9yPjxhdXRob3I+U2FsdmVzZW4sIE8uPC9hdXRob3I+PGF1dGhvcj5Nb3JrdmVkLCBTLjwv
YXV0aG9yPjxhdXRob3I+TW9ob2xkdCwgVC48L2F1dGhvcj48L2F1dGhvcnM+PC9jb250cmlidXRv
cnM+PGF1dGgtYWRkcmVzcz5EZXBhcnRtZW50IG9mIENpcmN1bGF0aW9uIGFuZCBNZWRpY2FsIElt
YWdpbmcsIE5UTlUsIE5vcndlZ2lhbiBVbml2ZXJzaXR5IG9mIFNjaWVuY2UgYW5kIFRlY2hub2xv
Z3ksIFRyb25kaGVpbSwgTm9yd2F5LiYjeEQ7RGVwYXJ0bWVudCBvZiBQYWVkaWF0cmljcywgU3Qu
IE9sYXZzIEhvc3BpdGFsLCBUcm9uZGhlaW0gVW5pdmVyc2l0eSBIb3NwaXRhbCwgVHJvbmRoZWlt
LCBOb3J3YXkuJiN4RDtEZXBhcnRtZW50IG9mIE9ic3RldHJpY3MgYW5kIEd5bmFlY29sb2d5LCBT
dC4gT2xhdnMgSG9zcGl0YWwsIFRyb25kaGVpbSBVbml2ZXJzaXR5IEhvc3BpdGFsLCBUcm9uZGhl
aW0sIE5vcndheS4mI3hEO0RlcGFydG1lbnQgb2YgTGFib3JhdG9yeSBNZWRpY2luZSwgQ2hpbGRy
ZW4mYXBvcztzIGFuZCBXb21lbiZhcG9zO3MgSGVhbHRoLCBOb3J3ZWdpYW4gVW5pdmVyc2l0eSBv
ZiBTY2llbmNlIGFuZCBUZWNobm9sb2d5LCBUcm9uZGhlaW0sIE5vcndheS4mI3hEO0RlcGFydG1l
bnQgb2YgUHVibGljIEhlYWx0aCBhbmQgR2VuZXJhbCBQcmFjdGljZSwgTlROVSwgTm9yd2VnaWFu
IFVuaXZlcnNpdHkgb2YgU2NpZW5jZSBhbmQgVGVjaG5vbG9neSwgVHJvbmRoZWltLCBOb3J3YXku
JiN4RDtDbGluaWNhbCBTZXJ2aWNlLCBTdC4gT2xhdnMgSG9zcGl0YWwsIFRyb25kaGVpbSBVbml2
ZXJzaXR5IEhvc3BpdGFsLCBUcm9uZGhlaW0sIE5vcndheS48L2F1dGgtYWRkcmVzcz48dGl0bGVz
Pjx0aXRsZT5FZmZlY3Qgb2Ygc3VwZXJ2aXNlZCBleGVyY2lzZSB0cmFpbmluZyBkdXJpbmcgcHJl
Z25hbmN5IG9uIG5lb25hdGFsIGFuZCBtYXRlcm5hbCBvdXRjb21lcyBhbW9uZyBvdmVyd2VpZ2h0
IGFuZCBvYmVzZSB3b21lbi4gU2Vjb25kYXJ5IGFuYWx5c2VzIG9mIHRoZSBFVElQIHRyaWFsOiBB
IHJhbmRvbWlzZWQgY29udHJvbGxlZCB0cmlhbDwvdGl0bGU+PHNlY29uZGFyeS10aXRsZT5QTG9T
IE9uZTwvc2Vjb25kYXJ5LXRpdGxlPjwvdGl0bGVzPjxwZXJpb2RpY2FsPjxmdWxsLXRpdGxlPlBM
b1MgT25lPC9mdWxsLXRpdGxlPjwvcGVyaW9kaWNhbD48cGFnZXM+ZTAxNzM5Mzc8L3BhZ2VzPjx2
b2x1bWU+MTI8L3ZvbHVtZT48bnVtYmVyPjM8L251bWJlcj48ZWRpdGlvbj4yMDE3LzAzLzIzPC9l
ZGl0aW9uPjxrZXl3b3Jkcz48a2V5d29yZD5BZHVsdDwva2V5d29yZD48a2V5d29yZD5CaXJ0aCBX
ZWlnaHQ8L2tleXdvcmQ+PGtleXdvcmQ+RXhlcmNpc2UgVGhlcmFweS8qbWV0aG9kczwva2V5d29y
ZD48a2V5d29yZD5GZW1hbGU8L2tleXdvcmQ+PGtleXdvcmQ+SHVtYW5zPC9rZXl3b3JkPjxrZXl3
b3JkPkluZmFudCwgTmV3Ym9ybjwva2V5d29yZD48a2V5d29yZD5PYmVzaXR5Lypjb21wbGljYXRp
b25zLyp0aGVyYXB5PC9rZXl3b3JkPjxrZXl3b3JkPk92ZXJ3ZWlnaHQvKmNvbXBsaWNhdGlvbnMv
KnRoZXJhcHk8L2tleXdvcmQ+PGtleXdvcmQ+UHJlZ25hbmN5PC9rZXl3b3JkPjxrZXl3b3JkPlBy
ZWduYW5jeSBDb21wbGljYXRpb25zLyp0aGVyYXB5PC9rZXl3b3JkPjxrZXl3b3JkPlByZWduYW5j
eSBPdXRjb21lPC9rZXl3b3JkPjwva2V5d29yZHM+PGRhdGVzPjx5ZWFyPjIwMTc8L3llYXI+PC9k
YXRlcz48aXNibj4xOTMyLTYyMDMgKEVsZWN0cm9uaWMpJiN4RDsxOTMyLTYyMDMgKExpbmtpbmcp
PC9pc2JuPjxhY2Nlc3Npb24tbnVtPjI4MzIzODkzPC9hY2Nlc3Npb24tbnVtPjx1cmxzPjxyZWxh
dGVkLXVybHM+PHVybD5odHRwczovL3d3dy5uY2JpLm5sbS5uaWguZ292L3B1Ym1lZC8yODMyMzg5
MzwvdXJsPjwvcmVsYXRlZC11cmxzPjwvdXJscz48Y3VzdG9tMj5QTUM1MzYwMjU0PC9jdXN0b20y
PjxlbGVjdHJvbmljLXJlc291cmNlLW51bT4xMC4xMzcxL2pvdXJuYWwucG9uZS4wMTczOTM3PC9l
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PEVuZE5vdGU+PENpdGU+PEF1dGhvcj5HYXJuYWVzPC9BdXRob3I+PFllYXI+MjAxNzwvWWVhcj48
UmVjTnVtPjYwNzwvUmVjTnVtPjxEaXNwbGF5VGV4dD48c3R5bGUgZmFjZT0ic3VwZXJzY3JpcHQi
IGZvbnQ9IlRyZWJ1Y2hldCBNUyIgc2l6ZT0iOSI+MzE0PC9zdHlsZT48L0Rpc3BsYXlUZXh0Pjxy
ZWNvcmQ+PHJlYy1udW1iZXI+NjA3PC9yZWMtbnVtYmVyPjxmb3JlaWduLWtleXM+PGtleSBhcHA9
IkVOIiBkYi1pZD0iZXh2YXNyZngyZHRyYW9lc2FzeHAyc3pzeGEyZGY1MDI1OTJ4IiB0aW1lc3Rh
bXA9IjE1MzkwNDgzMzAiPjYwNzwva2V5PjxrZXkgYXBwPSJFTldlYiIgZGItaWQ9IiI+MDwva2V5
PjwvZm9yZWlnbi1rZXlzPjxyZWYtdHlwZSBuYW1lPSJKb3VybmFsIEFydGljbGUiPjE3PC9yZWYt
dHlwZT48Y29udHJpYnV0b3JzPjxhdXRob3JzPjxhdXRob3I+R2FybmFlcywgSy4gSy48L2F1dGhv
cj48YXV0aG9yPk55cm5lcywgUy4gQS48L2F1dGhvcj48YXV0aG9yPlNhbHZlc2VuLCBLLiBBLjwv
YXV0aG9yPjxhdXRob3I+U2FsdmVzZW4sIE8uPC9hdXRob3I+PGF1dGhvcj5Nb3JrdmVkLCBTLjwv
YXV0aG9yPjxhdXRob3I+TW9ob2xkdCwgVC48L2F1dGhvcj48L2F1dGhvcnM+PC9jb250cmlidXRv
cnM+PGF1dGgtYWRkcmVzcz5EZXBhcnRtZW50IG9mIENpcmN1bGF0aW9uIGFuZCBNZWRpY2FsIElt
YWdpbmcsIE5UTlUsIE5vcndlZ2lhbiBVbml2ZXJzaXR5IG9mIFNjaWVuY2UgYW5kIFRlY2hub2xv
Z3ksIFRyb25kaGVpbSwgTm9yd2F5LiYjeEQ7RGVwYXJ0bWVudCBvZiBQYWVkaWF0cmljcywgU3Qu
IE9sYXZzIEhvc3BpdGFsLCBUcm9uZGhlaW0gVW5pdmVyc2l0eSBIb3NwaXRhbCwgVHJvbmRoZWlt
LCBOb3J3YXkuJiN4RDtEZXBhcnRtZW50IG9mIE9ic3RldHJpY3MgYW5kIEd5bmFlY29sb2d5LCBT
dC4gT2xhdnMgSG9zcGl0YWwsIFRyb25kaGVpbSBVbml2ZXJzaXR5IEhvc3BpdGFsLCBUcm9uZGhl
aW0sIE5vcndheS4mI3hEO0RlcGFydG1lbnQgb2YgTGFib3JhdG9yeSBNZWRpY2luZSwgQ2hpbGRy
ZW4mYXBvcztzIGFuZCBXb21lbiZhcG9zO3MgSGVhbHRoLCBOb3J3ZWdpYW4gVW5pdmVyc2l0eSBv
ZiBTY2llbmNlIGFuZCBUZWNobm9sb2d5LCBUcm9uZGhlaW0sIE5vcndheS4mI3hEO0RlcGFydG1l
bnQgb2YgUHVibGljIEhlYWx0aCBhbmQgR2VuZXJhbCBQcmFjdGljZSwgTlROVSwgTm9yd2VnaWFu
IFVuaXZlcnNpdHkgb2YgU2NpZW5jZSBhbmQgVGVjaG5vbG9neSwgVHJvbmRoZWltLCBOb3J3YXku
JiN4RDtDbGluaWNhbCBTZXJ2aWNlLCBTdC4gT2xhdnMgSG9zcGl0YWwsIFRyb25kaGVpbSBVbml2
ZXJzaXR5IEhvc3BpdGFsLCBUcm9uZGhlaW0sIE5vcndheS48L2F1dGgtYWRkcmVzcz48dGl0bGVz
Pjx0aXRsZT5FZmZlY3Qgb2Ygc3VwZXJ2aXNlZCBleGVyY2lzZSB0cmFpbmluZyBkdXJpbmcgcHJl
Z25hbmN5IG9uIG5lb25hdGFsIGFuZCBtYXRlcm5hbCBvdXRjb21lcyBhbW9uZyBvdmVyd2VpZ2h0
IGFuZCBvYmVzZSB3b21lbi4gU2Vjb25kYXJ5IGFuYWx5c2VzIG9mIHRoZSBFVElQIHRyaWFsOiBB
IHJhbmRvbWlzZWQgY29udHJvbGxlZCB0cmlhbDwvdGl0bGU+PHNlY29uZGFyeS10aXRsZT5QTG9T
IE9uZTwvc2Vjb25kYXJ5LXRpdGxlPjwvdGl0bGVzPjxwZXJpb2RpY2FsPjxmdWxsLXRpdGxlPlBM
b1MgT25lPC9mdWxsLXRpdGxlPjwvcGVyaW9kaWNhbD48cGFnZXM+ZTAxNzM5Mzc8L3BhZ2VzPjx2
b2x1bWU+MTI8L3ZvbHVtZT48bnVtYmVyPjM8L251bWJlcj48ZWRpdGlvbj4yMDE3LzAzLzIzPC9l
ZGl0aW9uPjxrZXl3b3Jkcz48a2V5d29yZD5BZHVsdDwva2V5d29yZD48a2V5d29yZD5CaXJ0aCBX
ZWlnaHQ8L2tleXdvcmQ+PGtleXdvcmQ+RXhlcmNpc2UgVGhlcmFweS8qbWV0aG9kczwva2V5d29y
ZD48a2V5d29yZD5GZW1hbGU8L2tleXdvcmQ+PGtleXdvcmQ+SHVtYW5zPC9rZXl3b3JkPjxrZXl3
b3JkPkluZmFudCwgTmV3Ym9ybjwva2V5d29yZD48a2V5d29yZD5PYmVzaXR5Lypjb21wbGljYXRp
b25zLyp0aGVyYXB5PC9rZXl3b3JkPjxrZXl3b3JkPk92ZXJ3ZWlnaHQvKmNvbXBsaWNhdGlvbnMv
KnRoZXJhcHk8L2tleXdvcmQ+PGtleXdvcmQ+UHJlZ25hbmN5PC9rZXl3b3JkPjxrZXl3b3JkPlBy
ZWduYW5jeSBDb21wbGljYXRpb25zLyp0aGVyYXB5PC9rZXl3b3JkPjxrZXl3b3JkPlByZWduYW5j
eSBPdXRjb21lPC9rZXl3b3JkPjwva2V5d29yZHM+PGRhdGVzPjx5ZWFyPjIwMTc8L3llYXI+PC9k
YXRlcz48aXNibj4xOTMyLTYyMDMgKEVsZWN0cm9uaWMpJiN4RDsxOTMyLTYyMDMgKExpbmtpbmcp
PC9pc2JuPjxhY2Nlc3Npb24tbnVtPjI4MzIzODkzPC9hY2Nlc3Npb24tbnVtPjx1cmxzPjxyZWxh
dGVkLXVybHM+PHVybD5odHRwczovL3d3dy5uY2JpLm5sbS5uaWguZ292L3B1Ym1lZC8yODMyMzg5
MzwvdXJsPjwvcmVsYXRlZC11cmxzPjwvdXJscz48Y3VzdG9tMj5QTUM1MzYwMjU0PC9jdXN0b20y
PjxlbGVjdHJvbmljLXJlc291cmNlLW51bT4xMC4xMzcxL2pvdXJuYWwucG9uZS4wMTczOTM3PC9l
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00616EE6">
              <w:rPr>
                <w:noProof/>
              </w:rPr>
            </w:r>
            <w:r w:rsidR="00616EE6">
              <w:rPr>
                <w:noProof/>
              </w:rPr>
              <w:fldChar w:fldCharType="separate"/>
            </w:r>
            <w:r w:rsidR="002747EA" w:rsidRPr="002747EA">
              <w:rPr>
                <w:noProof/>
                <w:vertAlign w:val="superscript"/>
              </w:rPr>
              <w:t>314</w:t>
            </w:r>
            <w:r w:rsidR="00616EE6">
              <w:rPr>
                <w:noProof/>
              </w:rPr>
              <w:fldChar w:fldCharType="end"/>
            </w:r>
            <w:r>
              <w:rPr>
                <w:noProof/>
              </w:rPr>
              <w:t xml:space="preserve"> Garnæs et al 2018</w:t>
            </w:r>
            <w:r w:rsidR="00616EE6">
              <w:fldChar w:fldCharType="begin"/>
            </w:r>
            <w:r w:rsidR="002747EA">
              <w:instrText xml:space="preserve"> ADDIN EN.CITE &lt;EndNote&gt;&lt;Cite&gt;&lt;Author&gt;Garnæs&lt;/Author&gt;&lt;Year&gt;2018&lt;/Year&gt;&lt;RecNum&gt;1023&lt;/RecNum&gt;&lt;DisplayText&gt;&lt;style face="superscript" font="Trebuchet MS" size="9"&gt;315&lt;/style&gt;&lt;/DisplayText&gt;&lt;record&gt;&lt;rec-number&gt;1023&lt;/rec-number&gt;&lt;foreign-keys&gt;&lt;key app="EN" db-id="exvasrfx2dtraoesasxp2szsxa2df502592x" timestamp="1548983476"&gt;1023&lt;/key&gt;&lt;/foreign-keys&gt;&lt;ref-type name="Journal Article"&gt;17&lt;/ref-type&gt;&lt;contributors&gt;&lt;authors&gt;&lt;author&gt;Garnæs, Kirsti K.&lt;/author&gt;&lt;author&gt;Mørkved, Siv&lt;/author&gt;&lt;author&gt;Salvesen, Kjell Å&lt;/author&gt;&lt;author&gt;Salvesen, Øyvind&lt;/author&gt;&lt;author&gt;Moholdt, Trine&lt;/author&gt;&lt;/authors&gt;&lt;/contributors&gt;&lt;titles&gt;&lt;title&gt;Exercise training during pregnancy reduces circulating insulin levels in overweight/obese women postpartum: secondary analysis of a randomised controlled trial (the ETIP trial)&lt;/title&gt;&lt;secondary-title&gt;BMC Pregnancy and Childbirth&lt;/secondary-title&gt;&lt;/titles&gt;&lt;periodical&gt;&lt;full-title&gt;BMC Pregnancy and Childbirth&lt;/full-title&gt;&lt;/periodical&gt;&lt;volume&gt;18&lt;/volume&gt;&lt;number&gt;1&lt;/number&gt;&lt;dates&gt;&lt;year&gt;2018&lt;/year&gt;&lt;/dates&gt;&lt;isbn&gt;1471-2393&lt;/isbn&gt;&lt;urls&gt;&lt;/urls&gt;&lt;electronic-resource-num&gt;10.1186/s12884-017-1653-5&lt;/electronic-resource-num&gt;&lt;/record&gt;&lt;/Cite&gt;&lt;/EndNote&gt;</w:instrText>
            </w:r>
            <w:r w:rsidR="00616EE6">
              <w:fldChar w:fldCharType="separate"/>
            </w:r>
            <w:r w:rsidR="002747EA" w:rsidRPr="002747EA">
              <w:rPr>
                <w:noProof/>
                <w:vertAlign w:val="superscript"/>
              </w:rPr>
              <w:t>315</w:t>
            </w:r>
            <w:r w:rsidR="00616EE6">
              <w:fldChar w:fldCharType="end"/>
            </w:r>
          </w:p>
          <w:p w14:paraId="742D6D81" w14:textId="0B4683A4" w:rsidR="00400BAE" w:rsidRDefault="00400BAE" w:rsidP="00E70A06">
            <w:r>
              <w:t>Garnaes et al 2019</w:t>
            </w:r>
            <w:r w:rsidR="00D07346">
              <w:fldChar w:fldCharType="begin">
                <w:fldData xml:space="preserve">PEVuZE5vdGU+PENpdGU+PEF1dGhvcj5HYXJuYWVzPC9BdXRob3I+PFllYXI+MjAxOTwvWWVhcj48
UmVjTnVtPjE5MTg8L1JlY051bT48RGlzcGxheVRleHQ+PHN0eWxlIGZhY2U9InN1cGVyc2NyaXB0
IiBmb250PSJUcmVidWNoZXQgTVMiIHNpemU9IjkiPjUzNzwvc3R5bGU+PC9EaXNwbGF5VGV4dD48
cmVjb3JkPjxyZWMtbnVtYmVyPjE5MTg8L3JlYy1udW1iZXI+PGZvcmVpZ24ta2V5cz48a2V5IGFw
cD0iRU4iIGRiLWlkPSJleHZhc3JmeDJkdHJhb2VzYXN4cDJzenN4YTJkZjUwMjU5MngiIHRpbWVz
dGFtcD0iMTU4ODQ4MzU1NCI+MTkxODwva2V5PjxrZXkgYXBwPSJFTldlYiIgZGItaWQ9IiI+MDwv
a2V5PjwvZm9yZWlnbi1rZXlzPjxyZWYtdHlwZSBuYW1lPSJKb3VybmFsIEFydGljbGUiPjE3PC9y
ZWYtdHlwZT48Y29udHJpYnV0b3JzPjxhdXRob3JzPjxhdXRob3I+R2FybmFlcywgSy4gSy48L2F1
dGhvcj48YXV0aG9yPkhlbHZpaywgQS4gUy48L2F1dGhvcj48YXV0aG9yPlN0YWZuZSwgUy4gTi48
L2F1dGhvcj48YXV0aG9yPk1vcmt2ZWQsIFMuPC9hdXRob3I+PGF1dGhvcj5TYWx2ZXNlbiwgSy48
L2F1dGhvcj48YXV0aG9yPlNhbHZlc2VuLCBPLjwvYXV0aG9yPjxhdXRob3I+TW9ob2xkdCwgVC48
L2F1dGhvcj48L2F1dGhvcnM+PC9jb250cmlidXRvcnM+PGF1dGgtYWRkcmVzcz5EZXBhcnRtZW50
IG9mIE9ic3RldHJpY3MgYW5kIEd5bmFlY29sb2d5LCBTdC4gT2xhdnMgSG9zcGl0YWwsIFRyb25k
aGVpbSBVbml2ZXJzaXR5IEhvc3BpdGFsLCBUcm9uZGhlaW0sIE5vcndheSBraXJzdGkuay5nYXJu
YXNAbnRudS5uby4mI3hEO0RlcGFydG1lbnQgb2YgUHVibGljIEhlYWx0aCBhbmQgTnVyc2luZywg
TlROVSBGYWN1bHR5IG9mIE1lZGljaW5lIGFuZCBIZWFsdGggU2NpZW5jZXMsIFRyb25kaGVpbSwg
Tm9yd2F5LiYjeEQ7RGVwYXJ0bWVudCBvZiBDaXJjdWxhdGlvbiBhbmQgTWVkaWNhbCBJbWFnaW5n
LCBOVE5VIEZhY3VsdHkgb2YgTWVkaWNpbmUgYW5kIEhlYWx0aCBTY2llbmNlcywgVHJvbmRoZWlt
LCBOb3J3YXkuJiN4RDtHZW5lcmFsIFByYWN0aWNlIFJlc2VhcmNoIFVuaXQsIERlcGFydG1lbnQg
b2YgUHVibGljIEhlYWx0aCBhbmQgTnVyc2luZywgTlROVSBGYWN1bHR5IG9mIE1lZGljaW5lIGFu
ZCBIZWFsdGggU2NpZW5jZXMsIFRyb25kaGVpbSwgTm9yd2F5LiYjeEQ7Q2xpbmljYWwgU2Vydmlj
ZXMsIFN0LiBPbGF2cyBIb3NwaXRhbCwgVHJvbmRoZWltIFVuaXZlcnNpdHkgSG9zcGl0YWwsIFRy
b25kaGVpbSwgTm9yd2F5LiYjeEQ7VGhlIENlbnRyYWwgTm9yd2F5IFJlZ2lvbmFsIEhlYWx0aCBB
dXRob3JpdHksIFN0am9yZGFsLCBOb3J3YXkuJiN4RDtEZXBhcnRtZW50IG9mIE9ic3RldHJpY3Mg
YW5kIEd5bmFlY29sb2d5LCBTdC4gT2xhdnMgSG9zcGl0YWwsIFRyb25kaGVpbSBVbml2ZXJzaXR5
IEhvc3BpdGFsLCBUcm9uZGhlaW0sIE5vcndheS4mI3hEO0RlcGFydG1lbnQgb2YgQ2xpbmljYWwg
YW5kIE1vbGVjdWxhciBNZWRpY2luZSwgTlROVSBGYWN1bHR5IG9mIE1lZGljaW5lIGFuZCBIZWFs
dGggU2NpZW5jZXMsIFRyb25kaGVpbSwgTm9yd2F5LjwvYXV0aC1hZGRyZXNzPjx0aXRsZXM+PHRp
dGxlPkVmZmVjdHMgb2Ygc3VwZXJ2aXNlZCBleGVyY2lzZSB0cmFpbmluZyBkdXJpbmcgcHJlZ25h
bmN5IG9uIHBzeWNob2xvZ2ljYWwgd2VsbC1iZWluZyBhbW9uZyBvdmVyd2VpZ2h0IGFuZCBvYmVz
ZSB3b21lbjogc2Vjb25kYXJ5IGFuYWx5c2VzIG9mIHRoZSBFVElQLXRyaWFsLCBhIHJhbmRvbWlz
ZWQgY29udHJvbGxlZCB0cmlhbDwvdGl0bGU+PHNlY29uZGFyeS10aXRsZT5CTUogT3Blbjwvc2Vj
b25kYXJ5LXRpdGxlPjwvdGl0bGVzPjxwZXJpb2RpY2FsPjxmdWxsLXRpdGxlPkJNSiBPcGVuPC9m
dWxsLXRpdGxlPjwvcGVyaW9kaWNhbD48cGFnZXM+ZTAyODI1MjwvcGFnZXM+PHZvbHVtZT45PC92
b2x1bWU+PG51bWJlcj4xMTwvbnVtYmVyPjxlZGl0aW9uPjIwMTkvMTEvMjM8L2VkaXRpb24+PGtl
eXdvcmRzPjxrZXl3b3JkPiphbnhpZXR5PC9rZXl3b3JkPjxrZXl3b3JkPipkZXByZXNzaW9uPC9r
ZXl3b3JkPjxrZXl3b3JkPiptYXRlcm5hbCBoZWFsdGg8L2tleXdvcmQ+PGtleXdvcmQ+Km1lbnRh
bCBoZWFsdGg8L2tleXdvcmQ+PGtleXdvcmQ+KnByZWduYW5jeSBjb21wbGljYXRpb25zPC9rZXl3
b3JkPjwva2V5d29yZHM+PGRhdGVzPjx5ZWFyPjIwMTk8L3llYXI+PHB1Yi1kYXRlcz48ZGF0ZT5O
b3YgMjE8L2RhdGU+PC9wdWItZGF0ZXM+PC9kYXRlcz48aXNibj4yMDQ0LTYwNTUgKEVsZWN0cm9u
aWMpJiN4RDsyMDQ0LTYwNTUgKExpbmtpbmcpPC9pc2JuPjxhY2Nlc3Npb24tbnVtPjMxNzUzODY2
PC9hY2Nlc3Npb24tbnVtPjx1cmxzPjxyZWxhdGVkLXVybHM+PHVybD5odHRwczovL3d3dy5uY2Jp
Lm5sbS5uaWguZ292L3B1Ym1lZC8zMTc1Mzg2NjwvdXJsPjwvcmVsYXRlZC11cmxzPjwvdXJscz48
Y3VzdG9tMj5QTUM2ODg2OTY3PC9jdXN0b20yPjxlbGVjdHJvbmljLXJlc291cmNlLW51bT4xMC4x
MTM2L2Jtam9wZW4tMjAxOC0wMjgyNTI8L2VsZWN0cm9uaWMtcmVzb3VyY2UtbnVtPjwvcmVjb3Jk
PjwvQ2l0ZT48L0VuZE5vdGU+AG==
</w:fldData>
              </w:fldChar>
            </w:r>
            <w:r w:rsidR="002747EA">
              <w:instrText xml:space="preserve"> ADDIN EN.CITE </w:instrText>
            </w:r>
            <w:r w:rsidR="002747EA">
              <w:fldChar w:fldCharType="begin">
                <w:fldData xml:space="preserve">PEVuZE5vdGU+PENpdGU+PEF1dGhvcj5HYXJuYWVzPC9BdXRob3I+PFllYXI+MjAxOTwvWWVhcj48
UmVjTnVtPjE5MTg8L1JlY051bT48RGlzcGxheVRleHQ+PHN0eWxlIGZhY2U9InN1cGVyc2NyaXB0
IiBmb250PSJUcmVidWNoZXQgTVMiIHNpemU9IjkiPjUzNzwvc3R5bGU+PC9EaXNwbGF5VGV4dD48
cmVjb3JkPjxyZWMtbnVtYmVyPjE5MTg8L3JlYy1udW1iZXI+PGZvcmVpZ24ta2V5cz48a2V5IGFw
cD0iRU4iIGRiLWlkPSJleHZhc3JmeDJkdHJhb2VzYXN4cDJzenN4YTJkZjUwMjU5MngiIHRpbWVz
dGFtcD0iMTU4ODQ4MzU1NCI+MTkxODwva2V5PjxrZXkgYXBwPSJFTldlYiIgZGItaWQ9IiI+MDwv
a2V5PjwvZm9yZWlnbi1rZXlzPjxyZWYtdHlwZSBuYW1lPSJKb3VybmFsIEFydGljbGUiPjE3PC9y
ZWYtdHlwZT48Y29udHJpYnV0b3JzPjxhdXRob3JzPjxhdXRob3I+R2FybmFlcywgSy4gSy48L2F1
dGhvcj48YXV0aG9yPkhlbHZpaywgQS4gUy48L2F1dGhvcj48YXV0aG9yPlN0YWZuZSwgUy4gTi48
L2F1dGhvcj48YXV0aG9yPk1vcmt2ZWQsIFMuPC9hdXRob3I+PGF1dGhvcj5TYWx2ZXNlbiwgSy48
L2F1dGhvcj48YXV0aG9yPlNhbHZlc2VuLCBPLjwvYXV0aG9yPjxhdXRob3I+TW9ob2xkdCwgVC48
L2F1dGhvcj48L2F1dGhvcnM+PC9jb250cmlidXRvcnM+PGF1dGgtYWRkcmVzcz5EZXBhcnRtZW50
IG9mIE9ic3RldHJpY3MgYW5kIEd5bmFlY29sb2d5LCBTdC4gT2xhdnMgSG9zcGl0YWwsIFRyb25k
aGVpbSBVbml2ZXJzaXR5IEhvc3BpdGFsLCBUcm9uZGhlaW0sIE5vcndheSBraXJzdGkuay5nYXJu
YXNAbnRudS5uby4mI3hEO0RlcGFydG1lbnQgb2YgUHVibGljIEhlYWx0aCBhbmQgTnVyc2luZywg
TlROVSBGYWN1bHR5IG9mIE1lZGljaW5lIGFuZCBIZWFsdGggU2NpZW5jZXMsIFRyb25kaGVpbSwg
Tm9yd2F5LiYjeEQ7RGVwYXJ0bWVudCBvZiBDaXJjdWxhdGlvbiBhbmQgTWVkaWNhbCBJbWFnaW5n
LCBOVE5VIEZhY3VsdHkgb2YgTWVkaWNpbmUgYW5kIEhlYWx0aCBTY2llbmNlcywgVHJvbmRoZWlt
LCBOb3J3YXkuJiN4RDtHZW5lcmFsIFByYWN0aWNlIFJlc2VhcmNoIFVuaXQsIERlcGFydG1lbnQg
b2YgUHVibGljIEhlYWx0aCBhbmQgTnVyc2luZywgTlROVSBGYWN1bHR5IG9mIE1lZGljaW5lIGFu
ZCBIZWFsdGggU2NpZW5jZXMsIFRyb25kaGVpbSwgTm9yd2F5LiYjeEQ7Q2xpbmljYWwgU2Vydmlj
ZXMsIFN0LiBPbGF2cyBIb3NwaXRhbCwgVHJvbmRoZWltIFVuaXZlcnNpdHkgSG9zcGl0YWwsIFRy
b25kaGVpbSwgTm9yd2F5LiYjeEQ7VGhlIENlbnRyYWwgTm9yd2F5IFJlZ2lvbmFsIEhlYWx0aCBB
dXRob3JpdHksIFN0am9yZGFsLCBOb3J3YXkuJiN4RDtEZXBhcnRtZW50IG9mIE9ic3RldHJpY3Mg
YW5kIEd5bmFlY29sb2d5LCBTdC4gT2xhdnMgSG9zcGl0YWwsIFRyb25kaGVpbSBVbml2ZXJzaXR5
IEhvc3BpdGFsLCBUcm9uZGhlaW0sIE5vcndheS4mI3hEO0RlcGFydG1lbnQgb2YgQ2xpbmljYWwg
YW5kIE1vbGVjdWxhciBNZWRpY2luZSwgTlROVSBGYWN1bHR5IG9mIE1lZGljaW5lIGFuZCBIZWFs
dGggU2NpZW5jZXMsIFRyb25kaGVpbSwgTm9yd2F5LjwvYXV0aC1hZGRyZXNzPjx0aXRsZXM+PHRp
dGxlPkVmZmVjdHMgb2Ygc3VwZXJ2aXNlZCBleGVyY2lzZSB0cmFpbmluZyBkdXJpbmcgcHJlZ25h
bmN5IG9uIHBzeWNob2xvZ2ljYWwgd2VsbC1iZWluZyBhbW9uZyBvdmVyd2VpZ2h0IGFuZCBvYmVz
ZSB3b21lbjogc2Vjb25kYXJ5IGFuYWx5c2VzIG9mIHRoZSBFVElQLXRyaWFsLCBhIHJhbmRvbWlz
ZWQgY29udHJvbGxlZCB0cmlhbDwvdGl0bGU+PHNlY29uZGFyeS10aXRsZT5CTUogT3Blbjwvc2Vj
b25kYXJ5LXRpdGxlPjwvdGl0bGVzPjxwZXJpb2RpY2FsPjxmdWxsLXRpdGxlPkJNSiBPcGVuPC9m
dWxsLXRpdGxlPjwvcGVyaW9kaWNhbD48cGFnZXM+ZTAyODI1MjwvcGFnZXM+PHZvbHVtZT45PC92
b2x1bWU+PG51bWJlcj4xMTwvbnVtYmVyPjxlZGl0aW9uPjIwMTkvMTEvMjM8L2VkaXRpb24+PGtl
eXdvcmRzPjxrZXl3b3JkPiphbnhpZXR5PC9rZXl3b3JkPjxrZXl3b3JkPipkZXByZXNzaW9uPC9r
ZXl3b3JkPjxrZXl3b3JkPiptYXRlcm5hbCBoZWFsdGg8L2tleXdvcmQ+PGtleXdvcmQ+Km1lbnRh
bCBoZWFsdGg8L2tleXdvcmQ+PGtleXdvcmQ+KnByZWduYW5jeSBjb21wbGljYXRpb25zPC9rZXl3
b3JkPjwva2V5d29yZHM+PGRhdGVzPjx5ZWFyPjIwMTk8L3llYXI+PHB1Yi1kYXRlcz48ZGF0ZT5O
b3YgMjE8L2RhdGU+PC9wdWItZGF0ZXM+PC9kYXRlcz48aXNibj4yMDQ0LTYwNTUgKEVsZWN0cm9u
aWMpJiN4RDsyMDQ0LTYwNTUgKExpbmtpbmcpPC9pc2JuPjxhY2Nlc3Npb24tbnVtPjMxNzUzODY2
PC9hY2Nlc3Npb24tbnVtPjx1cmxzPjxyZWxhdGVkLXVybHM+PHVybD5odHRwczovL3d3dy5uY2Jp
Lm5sbS5uaWguZ292L3B1Ym1lZC8zMTc1Mzg2NjwvdXJsPjwvcmVsYXRlZC11cmxzPjwvdXJscz48
Y3VzdG9tMj5QTUM2ODg2OTY3PC9jdXN0b20yPjxlbGVjdHJvbmljLXJlc291cmNlLW51bT4xMC4x
MTM2L2Jtam9wZW4tMjAxOC0wMjgyNTI8L2VsZWN0cm9uaWMtcmVzb3VyY2UtbnVtPjwvcmVjb3Jk
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537</w:t>
            </w:r>
            <w:r w:rsidR="00D07346">
              <w:fldChar w:fldCharType="end"/>
            </w:r>
          </w:p>
          <w:p w14:paraId="407FEB0A" w14:textId="62B27B34" w:rsidR="00400BAE" w:rsidRPr="00C12274" w:rsidRDefault="00400BAE" w:rsidP="00E70A06">
            <w:r>
              <w:t>ETIP</w:t>
            </w:r>
          </w:p>
          <w:p w14:paraId="70D779F3" w14:textId="6FE22FCB" w:rsidR="000A1756" w:rsidRPr="00362C86" w:rsidRDefault="00F528B6" w:rsidP="00E70A06">
            <w:r w:rsidRPr="00C12274">
              <w:t>Norway</w:t>
            </w:r>
          </w:p>
        </w:tc>
        <w:tc>
          <w:tcPr>
            <w:tcW w:w="1670" w:type="dxa"/>
            <w:tcBorders>
              <w:left w:val="single" w:sz="4" w:space="0" w:color="3B3474"/>
              <w:right w:val="single" w:sz="4" w:space="0" w:color="3B3474"/>
            </w:tcBorders>
          </w:tcPr>
          <w:p w14:paraId="79FE67C3" w14:textId="2F6ACFFC" w:rsidR="000A1756" w:rsidRDefault="000A1756" w:rsidP="00D424F3">
            <w:r>
              <w:t>Intervention 38</w:t>
            </w:r>
          </w:p>
          <w:p w14:paraId="156E4449" w14:textId="045FCFF4" w:rsidR="000A1756" w:rsidRDefault="000A1756" w:rsidP="00166F2D">
            <w:r>
              <w:t>Control 36</w:t>
            </w:r>
          </w:p>
        </w:tc>
        <w:tc>
          <w:tcPr>
            <w:tcW w:w="5395" w:type="dxa"/>
            <w:tcBorders>
              <w:left w:val="single" w:sz="4" w:space="0" w:color="3B3474"/>
              <w:right w:val="single" w:sz="4" w:space="0" w:color="3B3474"/>
            </w:tcBorders>
          </w:tcPr>
          <w:p w14:paraId="7AA2B922" w14:textId="77777777" w:rsidR="000A1756" w:rsidRDefault="000A1756" w:rsidP="00DD2B2D">
            <w:r w:rsidRPr="00DD2B2D">
              <w:rPr>
                <w:b/>
              </w:rPr>
              <w:t>Aim</w:t>
            </w:r>
            <w:r>
              <w:t xml:space="preserve">: </w:t>
            </w:r>
            <w:r w:rsidRPr="0068482E">
              <w:t xml:space="preserve">to assess whether regular supervised exercise training in pregnancy could reduce </w:t>
            </w:r>
            <w:r>
              <w:t>gestational weight gain</w:t>
            </w:r>
            <w:r w:rsidRPr="0068482E">
              <w:t xml:space="preserve"> in women with prepregnancy overweight/obesity. </w:t>
            </w:r>
          </w:p>
          <w:p w14:paraId="0DBA0D1B" w14:textId="36F3382E" w:rsidR="000A1756" w:rsidRDefault="000A1756" w:rsidP="00DD2B2D">
            <w:r w:rsidRPr="00DD2B2D">
              <w:rPr>
                <w:b/>
              </w:rPr>
              <w:t>Population</w:t>
            </w:r>
            <w:r>
              <w:t>: P</w:t>
            </w:r>
            <w:r w:rsidRPr="0068482E">
              <w:t xml:space="preserve">regnant women with a prepregnancy body mass index (BMI) </w:t>
            </w:r>
            <w:r>
              <w:t>≥</w:t>
            </w:r>
            <w:r w:rsidRPr="0068482E">
              <w:t>28</w:t>
            </w:r>
            <w:r>
              <w:t> </w:t>
            </w:r>
            <w:r w:rsidRPr="0068482E">
              <w:t>kg/m</w:t>
            </w:r>
            <w:r w:rsidRPr="00DD2B2D">
              <w:rPr>
                <w:vertAlign w:val="superscript"/>
              </w:rPr>
              <w:t>2</w:t>
            </w:r>
            <w:r>
              <w:t>.</w:t>
            </w:r>
          </w:p>
          <w:p w14:paraId="1C09908A" w14:textId="77777777" w:rsidR="00F528B6" w:rsidRDefault="00F528B6" w:rsidP="00F528B6">
            <w:r w:rsidRPr="005E4EF9">
              <w:rPr>
                <w:b/>
              </w:rPr>
              <w:t>Intervention</w:t>
            </w:r>
            <w:r>
              <w:rPr>
                <w:b/>
              </w:rPr>
              <w:t>:</w:t>
            </w:r>
          </w:p>
          <w:p w14:paraId="35FACA09" w14:textId="77777777" w:rsidR="00F528B6" w:rsidRPr="00C45716" w:rsidRDefault="00F528B6" w:rsidP="00F528B6">
            <w:pPr>
              <w:pStyle w:val="bullet"/>
            </w:pPr>
            <w:r w:rsidRPr="00C45716">
              <w:rPr>
                <w:i/>
              </w:rPr>
              <w:t>Supervised</w:t>
            </w:r>
            <w:r w:rsidRPr="00C45716">
              <w:t>: Yes</w:t>
            </w:r>
          </w:p>
          <w:p w14:paraId="7125952E" w14:textId="65A488ED" w:rsidR="00F528B6" w:rsidRPr="00321BF0" w:rsidRDefault="00F528B6" w:rsidP="00F528B6">
            <w:pPr>
              <w:pStyle w:val="bullet"/>
            </w:pPr>
            <w:r w:rsidRPr="00C45716">
              <w:rPr>
                <w:i/>
              </w:rPr>
              <w:t>Type and duration</w:t>
            </w:r>
            <w:r w:rsidRPr="00C45716">
              <w:t xml:space="preserve">: </w:t>
            </w:r>
            <w:r>
              <w:t xml:space="preserve">Aerobic and resistance; </w:t>
            </w:r>
            <w:r w:rsidR="00962E79" w:rsidRPr="00321BF0">
              <w:t>Treadmill walking/jogging and muscle strengthening</w:t>
            </w:r>
            <w:r w:rsidRPr="00321BF0">
              <w:t xml:space="preserve">; </w:t>
            </w:r>
            <w:r w:rsidR="00962E79" w:rsidRPr="00321BF0">
              <w:t>60 min, 3 times weekly plus 50 min home exercise program 2 times a week.</w:t>
            </w:r>
          </w:p>
          <w:p w14:paraId="423E524D" w14:textId="2948B716" w:rsidR="000A1756" w:rsidRPr="007D79F6" w:rsidRDefault="00F528B6" w:rsidP="00F528B6">
            <w:pPr>
              <w:pStyle w:val="bullet"/>
            </w:pPr>
            <w:r w:rsidRPr="00C45716">
              <w:rPr>
                <w:i/>
              </w:rPr>
              <w:t>Intensity</w:t>
            </w:r>
            <w:r w:rsidRPr="00C45716">
              <w:t xml:space="preserve">: </w:t>
            </w:r>
            <w:r w:rsidR="00962E79" w:rsidRPr="00321BF0">
              <w:t>Moderate; 80% maximal capacity, Borg scale 12-15.</w:t>
            </w:r>
          </w:p>
        </w:tc>
        <w:tc>
          <w:tcPr>
            <w:tcW w:w="5953" w:type="dxa"/>
            <w:tcBorders>
              <w:left w:val="single" w:sz="4" w:space="0" w:color="3B3474"/>
              <w:right w:val="single" w:sz="4" w:space="0" w:color="3B3474"/>
            </w:tcBorders>
          </w:tcPr>
          <w:p w14:paraId="6397D307" w14:textId="77777777" w:rsidR="000A1756" w:rsidRDefault="000A1756" w:rsidP="00CA336A">
            <w:r>
              <w:t>Intervention (n=38) vs control (n=36)</w:t>
            </w:r>
          </w:p>
          <w:p w14:paraId="53537904" w14:textId="27746490" w:rsidR="000A1756" w:rsidRDefault="000A1756" w:rsidP="00C86AF2">
            <w:pPr>
              <w:pStyle w:val="bullet"/>
            </w:pPr>
            <w:r>
              <w:t xml:space="preserve">Gestational weight gain: </w:t>
            </w:r>
            <w:r w:rsidRPr="0068482E">
              <w:t xml:space="preserve">10.5 kg </w:t>
            </w:r>
            <w:r>
              <w:t>vs</w:t>
            </w:r>
            <w:r w:rsidRPr="0068482E">
              <w:t xml:space="preserve"> 9.2 kg </w:t>
            </w:r>
            <w:r>
              <w:t>MD</w:t>
            </w:r>
            <w:r w:rsidRPr="0068482E">
              <w:t xml:space="preserve"> 0.92 kg (95% CI </w:t>
            </w:r>
            <w:r>
              <w:noBreakHyphen/>
            </w:r>
            <w:r w:rsidRPr="0068482E">
              <w:t>1.35</w:t>
            </w:r>
            <w:r>
              <w:t xml:space="preserve"> to 3.18; p=</w:t>
            </w:r>
            <w:r w:rsidRPr="0068482E">
              <w:t>0.43)</w:t>
            </w:r>
          </w:p>
          <w:p w14:paraId="322054EB" w14:textId="76785682" w:rsidR="000A1756" w:rsidRPr="00014640" w:rsidRDefault="000A1756" w:rsidP="00C86AF2">
            <w:pPr>
              <w:pStyle w:val="bullet"/>
            </w:pPr>
            <w:r w:rsidRPr="00014640">
              <w:t>Preterm bir</w:t>
            </w:r>
            <w:r w:rsidRPr="00C86AF2">
              <w:t>th (n%): 2 (5</w:t>
            </w:r>
            <w:r w:rsidRPr="00014640">
              <w:t xml:space="preserve">) </w:t>
            </w:r>
            <w:r>
              <w:t>vs</w:t>
            </w:r>
            <w:r w:rsidRPr="00014640">
              <w:t xml:space="preserve"> 0 (0) </w:t>
            </w:r>
            <w:r>
              <w:t>p=</w:t>
            </w:r>
            <w:r w:rsidRPr="00014640">
              <w:t>0.49</w:t>
            </w:r>
          </w:p>
          <w:p w14:paraId="3E4D0079" w14:textId="07465ADA" w:rsidR="000A1756" w:rsidRDefault="000A1756" w:rsidP="00424323">
            <w:pPr>
              <w:pStyle w:val="bullet"/>
            </w:pPr>
            <w:r w:rsidRPr="0068482E">
              <w:t>GDM (2009 WHO definition)</w:t>
            </w:r>
            <w:r>
              <w:t xml:space="preserve">: </w:t>
            </w:r>
            <w:r w:rsidRPr="0068482E">
              <w:t>2</w:t>
            </w:r>
            <w:r>
              <w:t xml:space="preserve"> (</w:t>
            </w:r>
            <w:r w:rsidRPr="0068482E">
              <w:t xml:space="preserve">6.1%) </w:t>
            </w:r>
            <w:r>
              <w:t xml:space="preserve">vs </w:t>
            </w:r>
            <w:r w:rsidRPr="0068482E">
              <w:t>9</w:t>
            </w:r>
            <w:r>
              <w:t xml:space="preserve"> (</w:t>
            </w:r>
            <w:r w:rsidRPr="0068482E">
              <w:t>27.3%)</w:t>
            </w:r>
            <w:r>
              <w:t xml:space="preserve">OR </w:t>
            </w:r>
            <w:r w:rsidRPr="0068482E">
              <w:t>0.1 (95% CI 0.02</w:t>
            </w:r>
            <w:r>
              <w:t xml:space="preserve"> to 0.95; p=</w:t>
            </w:r>
            <w:r w:rsidRPr="0068482E">
              <w:t>0.04).</w:t>
            </w:r>
          </w:p>
          <w:p w14:paraId="4DAECE8A" w14:textId="2B17E58B" w:rsidR="000A1756" w:rsidRDefault="000A1756" w:rsidP="00CA336A">
            <w:r>
              <w:t>Intervention (n=37) vs control (n=36):</w:t>
            </w:r>
          </w:p>
          <w:p w14:paraId="55703BB1" w14:textId="6ABFF769" w:rsidR="000A1756" w:rsidRDefault="000A1756" w:rsidP="00014640">
            <w:pPr>
              <w:pStyle w:val="bullet"/>
            </w:pPr>
            <w:r>
              <w:t>Birth weight &gt;</w:t>
            </w:r>
            <w:r w:rsidRPr="00014640">
              <w:t>4000 g</w:t>
            </w:r>
            <w:r>
              <w:t xml:space="preserve"> (n%):</w:t>
            </w:r>
            <w:r w:rsidRPr="00014640">
              <w:t xml:space="preserve"> 13 (35) </w:t>
            </w:r>
            <w:r>
              <w:t xml:space="preserve">vs </w:t>
            </w:r>
            <w:r w:rsidRPr="00014640">
              <w:t xml:space="preserve">19 (53) </w:t>
            </w:r>
            <w:r>
              <w:t xml:space="preserve">MD </w:t>
            </w:r>
            <w:r w:rsidRPr="00014640">
              <w:t xml:space="preserve">1.4 </w:t>
            </w:r>
            <w:r>
              <w:t>(0.88 to 2.36) p=</w:t>
            </w:r>
            <w:r w:rsidRPr="00014640">
              <w:t>0.16</w:t>
            </w:r>
          </w:p>
          <w:p w14:paraId="5A3B446D" w14:textId="77777777" w:rsidR="000A1756" w:rsidRPr="0030223E" w:rsidRDefault="000A1756" w:rsidP="000841E2">
            <w:pPr>
              <w:pStyle w:val="bullet"/>
              <w:rPr>
                <w:color w:val="181A18"/>
                <w:sz w:val="15"/>
                <w:szCs w:val="15"/>
              </w:rPr>
            </w:pPr>
            <w:r w:rsidRPr="000841E2">
              <w:t>Postpartum weight retention (body weight at 3 months postpartum minu</w:t>
            </w:r>
            <w:r w:rsidR="00505613" w:rsidRPr="000841E2">
              <w:t xml:space="preserve">s early pregnancy weight): −0.8±5.6 </w:t>
            </w:r>
            <w:r w:rsidR="000841E2" w:rsidRPr="000841E2">
              <w:t>(n=36)</w:t>
            </w:r>
            <w:r w:rsidRPr="000841E2">
              <w:t xml:space="preserve"> vs −1.6</w:t>
            </w:r>
            <w:r w:rsidR="000841E2" w:rsidRPr="000841E2">
              <w:t>±5.4 (n=34)</w:t>
            </w:r>
            <w:r w:rsidRPr="000841E2">
              <w:t>.</w:t>
            </w:r>
          </w:p>
          <w:p w14:paraId="4CF5A77F" w14:textId="2CE2B239" w:rsidR="00852D84" w:rsidRPr="0030223E" w:rsidRDefault="00852D84" w:rsidP="0030223E">
            <w:pPr>
              <w:rPr>
                <w:color w:val="181A18"/>
                <w:sz w:val="15"/>
                <w:szCs w:val="15"/>
              </w:rPr>
            </w:pPr>
            <w:r>
              <w:t xml:space="preserve">Intervention </w:t>
            </w:r>
            <w:r w:rsidR="00707C94">
              <w:t xml:space="preserve">(n=36) </w:t>
            </w:r>
            <w:r>
              <w:t>vs control</w:t>
            </w:r>
            <w:r w:rsidR="00707C94">
              <w:t xml:space="preserve"> (n=34)</w:t>
            </w:r>
            <w:r>
              <w:t>:</w:t>
            </w:r>
          </w:p>
          <w:p w14:paraId="6BE82D23" w14:textId="0FDC0568" w:rsidR="00852D84" w:rsidRPr="00424323" w:rsidRDefault="00852D84" w:rsidP="000841E2">
            <w:pPr>
              <w:pStyle w:val="bullet"/>
              <w:rPr>
                <w:color w:val="181A18"/>
                <w:sz w:val="15"/>
                <w:szCs w:val="15"/>
              </w:rPr>
            </w:pPr>
            <w:r>
              <w:t>Minor depression (EPDS score 10-12): 2/</w:t>
            </w:r>
            <w:r w:rsidR="00707C94">
              <w:t>36 vs 3/34</w:t>
            </w:r>
          </w:p>
        </w:tc>
      </w:tr>
      <w:tr w:rsidR="000A1756" w:rsidRPr="00A652CB" w14:paraId="264A34DD"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67C99AB1" w14:textId="3291582B" w:rsidR="00962E79" w:rsidRPr="00C12274" w:rsidRDefault="00962E79" w:rsidP="00E70A06">
            <w:r>
              <w:rPr>
                <w:noProof/>
              </w:rPr>
              <w:t>Garshasbi &amp; Faghih Zadeh 2005</w:t>
            </w:r>
            <w:r w:rsidR="00616EE6">
              <w:fldChar w:fldCharType="begin"/>
            </w:r>
            <w:r w:rsidR="002747EA">
              <w:instrText xml:space="preserve"> ADDIN EN.CITE &lt;EndNote&gt;&lt;Cite&gt;&lt;Author&gt;Garshasbi&lt;/Author&gt;&lt;Year&gt;2005&lt;/Year&gt;&lt;RecNum&gt;689&lt;/RecNum&gt;&lt;DisplayText&gt;&lt;style face="superscript" font="Trebuchet MS" size="9"&gt;434&lt;/style&gt;&lt;/DisplayText&gt;&lt;record&gt;&lt;rec-number&gt;689&lt;/rec-number&gt;&lt;foreign-keys&gt;&lt;key app="EN" db-id="exvasrfx2dtraoesasxp2szsxa2df502592x" timestamp="1540527420"&gt;689&lt;/key&gt;&lt;/foreign-keys&gt;&lt;ref-type name="Journal Article"&gt;17&lt;/ref-type&gt;&lt;contributors&gt;&lt;authors&gt;&lt;author&gt;Garshasbi, A.&lt;/author&gt;&lt;author&gt;Faghih Zadeh, S.&lt;/author&gt;&lt;/authors&gt;&lt;/contributors&gt;&lt;auth-address&gt;Department of Obstetrics and Gynecology, Shahed University, Faculty of Medicine, 1481973411 Tehran, Iran. agarshasbi@obgyn.net&lt;/auth-address&gt;&lt;titles&gt;&lt;title&gt;The effect of exercise on the intensity of low back pain in pregnant women&lt;/title&gt;&lt;secondary-title&gt;Int J Gynaecol Obstet&lt;/secondary-title&gt;&lt;/titles&gt;&lt;periodical&gt;&lt;full-title&gt;Int J Gynaecol Obstet&lt;/full-title&gt;&lt;/periodical&gt;&lt;pages&gt;271-5&lt;/pages&gt;&lt;volume&gt;88&lt;/volume&gt;&lt;number&gt;3&lt;/number&gt;&lt;edition&gt;2005/03/01&lt;/edition&gt;&lt;keywords&gt;&lt;keyword&gt;Biomechanical Phenomena&lt;/keyword&gt;&lt;keyword&gt;*Exercise Therapy&lt;/keyword&gt;&lt;keyword&gt;Female&lt;/keyword&gt;&lt;keyword&gt;Humans&lt;/keyword&gt;&lt;keyword&gt;Low Back Pain/physiopathology/*prevention &amp;amp; control&lt;/keyword&gt;&lt;keyword&gt;Pregnancy&lt;/keyword&gt;&lt;keyword&gt;Pregnancy Complications/*prevention &amp;amp; control&lt;/keyword&gt;&lt;keyword&gt;Pregnancy Trimester, Second&lt;/keyword&gt;&lt;keyword&gt;Pregnancy Trimester, Third&lt;/keyword&gt;&lt;keyword&gt;Prospective Studies&lt;/keyword&gt;&lt;keyword&gt;Spine/physiopathology&lt;/keyword&gt;&lt;/keywords&gt;&lt;dates&gt;&lt;year&gt;2005&lt;/year&gt;&lt;pub-dates&gt;&lt;date&gt;Mar&lt;/date&gt;&lt;/pub-dates&gt;&lt;/dates&gt;&lt;isbn&gt;0020-7292 (Print)&amp;#xD;0020-7292 (Linking)&lt;/isbn&gt;&lt;accession-num&gt;15733880&lt;/accession-num&gt;&lt;urls&gt;&lt;related-urls&gt;&lt;url&gt;https://www.ncbi.nlm.nih.gov/pubmed/15733880&lt;/url&gt;&lt;/related-urls&gt;&lt;/urls&gt;&lt;electronic-resource-num&gt;10.1016/j.ijgo.2004.12.001&lt;/electronic-resource-num&gt;&lt;/record&gt;&lt;/Cite&gt;&lt;/EndNote&gt;</w:instrText>
            </w:r>
            <w:r w:rsidR="00616EE6">
              <w:fldChar w:fldCharType="separate"/>
            </w:r>
            <w:r w:rsidR="002747EA" w:rsidRPr="002747EA">
              <w:rPr>
                <w:noProof/>
                <w:vertAlign w:val="superscript"/>
              </w:rPr>
              <w:t>434</w:t>
            </w:r>
            <w:r w:rsidR="00616EE6">
              <w:fldChar w:fldCharType="end"/>
            </w:r>
          </w:p>
          <w:p w14:paraId="48AB67ED" w14:textId="3C406612" w:rsidR="000A1756" w:rsidRPr="00362C86" w:rsidRDefault="00962E79" w:rsidP="00E70A06">
            <w:r w:rsidRPr="00C12274">
              <w:t>Iran</w:t>
            </w:r>
          </w:p>
        </w:tc>
        <w:tc>
          <w:tcPr>
            <w:tcW w:w="1670" w:type="dxa"/>
            <w:tcBorders>
              <w:left w:val="single" w:sz="4" w:space="0" w:color="3B3474"/>
              <w:right w:val="single" w:sz="4" w:space="0" w:color="3B3474"/>
            </w:tcBorders>
          </w:tcPr>
          <w:p w14:paraId="145ECF8C" w14:textId="77777777" w:rsidR="000A1756" w:rsidRDefault="000A1756" w:rsidP="00D424F3">
            <w:r>
              <w:t>Intervention 107</w:t>
            </w:r>
          </w:p>
          <w:p w14:paraId="72BED90B" w14:textId="64EBEC39" w:rsidR="000A1756" w:rsidRDefault="000A1756" w:rsidP="00D424F3">
            <w:r>
              <w:t>Control 105</w:t>
            </w:r>
          </w:p>
        </w:tc>
        <w:tc>
          <w:tcPr>
            <w:tcW w:w="5395" w:type="dxa"/>
            <w:tcBorders>
              <w:left w:val="single" w:sz="4" w:space="0" w:color="3B3474"/>
              <w:right w:val="single" w:sz="4" w:space="0" w:color="3B3474"/>
            </w:tcBorders>
          </w:tcPr>
          <w:p w14:paraId="088CA366" w14:textId="77777777" w:rsidR="000A1756" w:rsidRDefault="000A1756" w:rsidP="00AE6EBA">
            <w:r w:rsidRPr="00AE6EBA">
              <w:rPr>
                <w:b/>
              </w:rPr>
              <w:t>Aim</w:t>
            </w:r>
            <w:r>
              <w:t xml:space="preserve">: </w:t>
            </w:r>
            <w:r w:rsidRPr="00AE6EBA">
              <w:t xml:space="preserve">To investigate the effect of exercise during pregnancy on the intensity of low back pain and kinematics of spine. </w:t>
            </w:r>
          </w:p>
          <w:p w14:paraId="42ECC049" w14:textId="0D989E5A" w:rsidR="000A1756" w:rsidRDefault="000A1756" w:rsidP="00AE6EBA">
            <w:r w:rsidRPr="00C87D4D">
              <w:rPr>
                <w:b/>
              </w:rPr>
              <w:t>Population</w:t>
            </w:r>
            <w:r>
              <w:t>: Sedentary pregnant women aged 20-28 years without contraindications to physical activity in pregnancy.</w:t>
            </w:r>
            <w:r w:rsidR="00962E79">
              <w:t xml:space="preserve"> Mixed BMIs.</w:t>
            </w:r>
          </w:p>
          <w:p w14:paraId="52D79349" w14:textId="77777777" w:rsidR="00962E79" w:rsidRDefault="00962E79" w:rsidP="00962E79">
            <w:r w:rsidRPr="005E4EF9">
              <w:rPr>
                <w:b/>
              </w:rPr>
              <w:t>Intervention</w:t>
            </w:r>
            <w:r>
              <w:rPr>
                <w:b/>
              </w:rPr>
              <w:t>:</w:t>
            </w:r>
          </w:p>
          <w:p w14:paraId="333A46CA" w14:textId="77777777" w:rsidR="00962E79" w:rsidRPr="00C45716" w:rsidRDefault="00962E79" w:rsidP="00962E79">
            <w:pPr>
              <w:pStyle w:val="bullet"/>
            </w:pPr>
            <w:r w:rsidRPr="00C45716">
              <w:rPr>
                <w:i/>
              </w:rPr>
              <w:t>Supervised</w:t>
            </w:r>
            <w:r w:rsidRPr="00C45716">
              <w:t>: Yes</w:t>
            </w:r>
          </w:p>
          <w:p w14:paraId="5DBA831B" w14:textId="5406E717" w:rsidR="00962E79" w:rsidRPr="00962E79" w:rsidRDefault="00962E79" w:rsidP="00962E79">
            <w:pPr>
              <w:pStyle w:val="bullet"/>
            </w:pPr>
            <w:r w:rsidRPr="00C45716">
              <w:rPr>
                <w:i/>
              </w:rPr>
              <w:t>Type and duration</w:t>
            </w:r>
            <w:r w:rsidRPr="00C45716">
              <w:t xml:space="preserve">: </w:t>
            </w:r>
            <w:r>
              <w:t xml:space="preserve">Aerobic and resistance; </w:t>
            </w:r>
            <w:r w:rsidRPr="00C12274">
              <w:t>Not specified</w:t>
            </w:r>
            <w:r>
              <w:t xml:space="preserve">; </w:t>
            </w:r>
            <w:r w:rsidRPr="00C12274">
              <w:t>60 min, 3 times a week from 17-22 weeks for 12 weeks</w:t>
            </w:r>
          </w:p>
          <w:p w14:paraId="1E99750F" w14:textId="36BB37DA" w:rsidR="000A1756" w:rsidRPr="00DD2B2D" w:rsidRDefault="00962E79" w:rsidP="00962E79">
            <w:pPr>
              <w:pStyle w:val="bullet"/>
              <w:rPr>
                <w:b/>
              </w:rPr>
            </w:pPr>
            <w:r w:rsidRPr="00C45716">
              <w:rPr>
                <w:i/>
              </w:rPr>
              <w:t>Intensity</w:t>
            </w:r>
            <w:r w:rsidRPr="00C45716">
              <w:t xml:space="preserve">: </w:t>
            </w:r>
            <w:r w:rsidRPr="00C12274">
              <w:rPr>
                <w:sz w:val="16"/>
                <w:szCs w:val="16"/>
              </w:rPr>
              <w:t>Pulse rate &lt;140</w:t>
            </w:r>
            <w:r>
              <w:rPr>
                <w:sz w:val="16"/>
                <w:szCs w:val="16"/>
              </w:rPr>
              <w:t>.</w:t>
            </w:r>
          </w:p>
        </w:tc>
        <w:tc>
          <w:tcPr>
            <w:tcW w:w="5953" w:type="dxa"/>
            <w:tcBorders>
              <w:left w:val="single" w:sz="4" w:space="0" w:color="3B3474"/>
              <w:right w:val="single" w:sz="4" w:space="0" w:color="3B3474"/>
            </w:tcBorders>
          </w:tcPr>
          <w:p w14:paraId="49D22A96" w14:textId="77777777" w:rsidR="000A1756" w:rsidRDefault="000A1756" w:rsidP="00C87D4D">
            <w:r>
              <w:t>Intervention vs control:</w:t>
            </w:r>
          </w:p>
          <w:p w14:paraId="002C6FE2" w14:textId="75B029EF" w:rsidR="000A1756" w:rsidRPr="007738E7" w:rsidRDefault="000A1756" w:rsidP="00D77D86">
            <w:pPr>
              <w:pStyle w:val="bullet"/>
            </w:pPr>
            <w:r>
              <w:t>Gestational weight gain: 14.1±</w:t>
            </w:r>
            <w:r w:rsidRPr="00C87D4D">
              <w:t xml:space="preserve">3.8 </w:t>
            </w:r>
            <w:r>
              <w:t>vs</w:t>
            </w:r>
            <w:r w:rsidRPr="00C87D4D">
              <w:t xml:space="preserve"> 13.8</w:t>
            </w:r>
            <w:r>
              <w:t>±</w:t>
            </w:r>
            <w:r w:rsidRPr="00C87D4D">
              <w:t xml:space="preserve">5.2 </w:t>
            </w:r>
            <w:r>
              <w:t>p=0.63</w:t>
            </w:r>
          </w:p>
        </w:tc>
      </w:tr>
      <w:tr w:rsidR="000A1756" w:rsidRPr="00A652CB" w14:paraId="3914BFF5"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4DC8458D" w14:textId="0BCA367E" w:rsidR="00962E79" w:rsidRPr="00C12274" w:rsidRDefault="00962E79" w:rsidP="00E70A06">
            <w:r>
              <w:rPr>
                <w:noProof/>
              </w:rPr>
              <w:t>Guelfi et al 2016</w:t>
            </w:r>
            <w:r w:rsidR="00616EE6">
              <w:fldChar w:fldCharType="begin"/>
            </w:r>
            <w:r w:rsidR="002747EA">
              <w:instrText xml:space="preserve"> ADDIN EN.CITE &lt;EndNote&gt;&lt;Cite&gt;&lt;Author&gt;Guelfi&lt;/Author&gt;&lt;Year&gt;2016&lt;/Year&gt;&lt;RecNum&gt;723&lt;/RecNum&gt;&lt;DisplayText&gt;&lt;style face="superscript" font="Trebuchet MS" size="9"&gt;271&lt;/style&gt;&lt;/DisplayText&gt;&lt;record&gt;&lt;rec-number&gt;723&lt;/rec-number&gt;&lt;foreign-keys&gt;&lt;key app="EN" db-id="exvasrfx2dtraoesasxp2szsxa2df502592x" timestamp="1541464880"&gt;723&lt;/key&gt;&lt;/foreign-keys&gt;&lt;ref-type name="Journal Article"&gt;17&lt;/ref-type&gt;&lt;contributors&gt;&lt;authors&gt;&lt;author&gt;Guelfi, K. J.&lt;/author&gt;&lt;author&gt;Ong, M. J.&lt;/author&gt;&lt;author&gt;Crisp, N. A.&lt;/author&gt;&lt;author&gt;Fournier, P. A.&lt;/author&gt;&lt;author&gt;Wallman, K. E.&lt;/author&gt;&lt;author&gt;Grove, J. R.&lt;/author&gt;&lt;author&gt;Doherty, D. A.&lt;/author&gt;&lt;author&gt;Newnham, J. P.&lt;/author&gt;&lt;/authors&gt;&lt;/contributors&gt;&lt;auth-address&gt;School of Sport Science, Exercise and Health and the School of Women&amp;apos;s and Infants&amp;apos; Health, the University of Western Australia, Perth, Western Australia, Australia.&lt;/auth-address&gt;&lt;titles&gt;&lt;title&gt;Regular Exercise to Prevent the Recurrence of Gestational Diabetes Mellitus: A Randomized Controlled Trial&lt;/title&gt;&lt;secondary-title&gt;Obstet Gynecol&lt;/secondary-title&gt;&lt;/titles&gt;&lt;periodical&gt;&lt;full-title&gt;Obstet Gynecol&lt;/full-title&gt;&lt;/periodical&gt;&lt;pages&gt;819-27&lt;/pages&gt;&lt;volume&gt;128&lt;/volume&gt;&lt;number&gt;4&lt;/number&gt;&lt;edition&gt;2016/09/09&lt;/edition&gt;&lt;keywords&gt;&lt;keyword&gt;Adult&lt;/keyword&gt;&lt;keyword&gt;Diabetes, Gestational/blood/*prevention &amp;amp; control&lt;/keyword&gt;&lt;keyword&gt;*Exercise Therapy&lt;/keyword&gt;&lt;keyword&gt;Female&lt;/keyword&gt;&lt;keyword&gt;Glucose Tolerance Test&lt;/keyword&gt;&lt;keyword&gt;Humans&lt;/keyword&gt;&lt;keyword&gt;Pregnancy&lt;/keyword&gt;&lt;keyword&gt;Pregnancy Outcome&lt;/keyword&gt;&lt;keyword&gt;*Prenatal Care&lt;/keyword&gt;&lt;keyword&gt;Recurrence&lt;/keyword&gt;&lt;keyword&gt;Treatment Outcome&lt;/keyword&gt;&lt;/keywords&gt;&lt;dates&gt;&lt;year&gt;2016&lt;/year&gt;&lt;pub-dates&gt;&lt;date&gt;Oct&lt;/date&gt;&lt;/pub-dates&gt;&lt;/dates&gt;&lt;isbn&gt;1873-233X (Electronic)&amp;#xD;0029-7844 (Linking)&lt;/isbn&gt;&lt;accession-num&gt;27607876&lt;/accession-num&gt;&lt;urls&gt;&lt;related-urls&gt;&lt;url&gt;https://www.ncbi.nlm.nih.gov/pubmed/27607876&lt;/url&gt;&lt;/related-urls&gt;&lt;/urls&gt;&lt;electronic-resource-num&gt;10.1097/AOG.0000000000001632&lt;/electronic-resource-num&gt;&lt;/record&gt;&lt;/Cite&gt;&lt;/EndNote&gt;</w:instrText>
            </w:r>
            <w:r w:rsidR="00616EE6">
              <w:fldChar w:fldCharType="separate"/>
            </w:r>
            <w:r w:rsidR="002747EA" w:rsidRPr="002747EA">
              <w:rPr>
                <w:noProof/>
                <w:vertAlign w:val="superscript"/>
              </w:rPr>
              <w:t>271</w:t>
            </w:r>
            <w:r w:rsidR="00616EE6">
              <w:fldChar w:fldCharType="end"/>
            </w:r>
          </w:p>
          <w:p w14:paraId="17211BA6" w14:textId="77777777" w:rsidR="00962E79" w:rsidRPr="00C12274" w:rsidRDefault="00962E79" w:rsidP="00E70A06">
            <w:r w:rsidRPr="00C12274">
              <w:t>Australia</w:t>
            </w:r>
          </w:p>
          <w:p w14:paraId="41571BA6" w14:textId="6C2E7895" w:rsidR="000A1756" w:rsidRDefault="00962E79" w:rsidP="00E70A06">
            <w:r w:rsidRPr="00C12274">
              <w:rPr>
                <w:noProof/>
              </w:rPr>
              <w:t>NCT01283854</w:t>
            </w:r>
          </w:p>
        </w:tc>
        <w:tc>
          <w:tcPr>
            <w:tcW w:w="1670" w:type="dxa"/>
            <w:tcBorders>
              <w:left w:val="single" w:sz="4" w:space="0" w:color="3B3474"/>
              <w:right w:val="single" w:sz="4" w:space="0" w:color="3B3474"/>
            </w:tcBorders>
          </w:tcPr>
          <w:p w14:paraId="508A6069" w14:textId="77777777" w:rsidR="000A1756" w:rsidRDefault="000A1756" w:rsidP="00D424F3">
            <w:r>
              <w:t>Intervention 84</w:t>
            </w:r>
          </w:p>
          <w:p w14:paraId="45CC968E" w14:textId="3BCFECD6" w:rsidR="000A1756" w:rsidRDefault="000A1756" w:rsidP="00D424F3">
            <w:r>
              <w:t>Control 85</w:t>
            </w:r>
          </w:p>
        </w:tc>
        <w:tc>
          <w:tcPr>
            <w:tcW w:w="5395" w:type="dxa"/>
            <w:tcBorders>
              <w:left w:val="single" w:sz="4" w:space="0" w:color="3B3474"/>
              <w:right w:val="single" w:sz="4" w:space="0" w:color="3B3474"/>
            </w:tcBorders>
          </w:tcPr>
          <w:p w14:paraId="30B8501A" w14:textId="78F0BD8C" w:rsidR="000A1756" w:rsidRDefault="000A1756" w:rsidP="00286443">
            <w:r w:rsidRPr="003040B9">
              <w:rPr>
                <w:b/>
              </w:rPr>
              <w:t>Aim</w:t>
            </w:r>
            <w:r>
              <w:t xml:space="preserve">: </w:t>
            </w:r>
            <w:r w:rsidRPr="003D4FA6">
              <w:t>To investigate the effect of a supervised</w:t>
            </w:r>
            <w:r>
              <w:t xml:space="preserve"> </w:t>
            </w:r>
            <w:r w:rsidRPr="003D4FA6">
              <w:t>home-based exercise program on the recurrence and</w:t>
            </w:r>
            <w:r>
              <w:t xml:space="preserve"> </w:t>
            </w:r>
            <w:r w:rsidRPr="003D4FA6">
              <w:t>severity of gestational diabetes mellitus (GDM) together</w:t>
            </w:r>
            <w:r>
              <w:t xml:space="preserve"> </w:t>
            </w:r>
            <w:r w:rsidRPr="003D4FA6">
              <w:t>with other aspects of maternal health and obstetric and</w:t>
            </w:r>
            <w:r>
              <w:t xml:space="preserve"> </w:t>
            </w:r>
            <w:r w:rsidRPr="003D4FA6">
              <w:t>neonatal outcomes.</w:t>
            </w:r>
          </w:p>
          <w:p w14:paraId="46A49E84" w14:textId="4DD4DEB2" w:rsidR="000A1756" w:rsidRDefault="000A1756" w:rsidP="00286443">
            <w:r w:rsidRPr="003040B9">
              <w:rPr>
                <w:b/>
              </w:rPr>
              <w:t>Population</w:t>
            </w:r>
            <w:r>
              <w:t>: Women with a history of gestational diabetes.</w:t>
            </w:r>
            <w:r w:rsidR="00962E79">
              <w:t xml:space="preserve"> Mixed BMIs.</w:t>
            </w:r>
          </w:p>
          <w:p w14:paraId="56C59B87" w14:textId="77777777" w:rsidR="00962E79" w:rsidRDefault="00962E79" w:rsidP="00962E79">
            <w:r w:rsidRPr="005E4EF9">
              <w:rPr>
                <w:b/>
              </w:rPr>
              <w:t>Intervention</w:t>
            </w:r>
            <w:r>
              <w:rPr>
                <w:b/>
              </w:rPr>
              <w:t>:</w:t>
            </w:r>
          </w:p>
          <w:p w14:paraId="75EC6B99" w14:textId="77777777" w:rsidR="00962E79" w:rsidRPr="00C45716" w:rsidRDefault="00962E79" w:rsidP="00962E79">
            <w:pPr>
              <w:pStyle w:val="bullet"/>
            </w:pPr>
            <w:r w:rsidRPr="00C45716">
              <w:rPr>
                <w:i/>
              </w:rPr>
              <w:t>Supervised</w:t>
            </w:r>
            <w:r w:rsidRPr="00C45716">
              <w:t>: Yes</w:t>
            </w:r>
          </w:p>
          <w:p w14:paraId="09E8B975" w14:textId="24D1F38F" w:rsidR="00962E79" w:rsidRPr="002F69E2" w:rsidRDefault="00962E79" w:rsidP="002F69E2">
            <w:pPr>
              <w:pStyle w:val="bullet"/>
            </w:pPr>
            <w:r w:rsidRPr="00C45716">
              <w:rPr>
                <w:i/>
              </w:rPr>
              <w:t>Type and duration</w:t>
            </w:r>
            <w:r w:rsidRPr="00C45716">
              <w:t xml:space="preserve">: </w:t>
            </w:r>
            <w:r>
              <w:t>Aerobic</w:t>
            </w:r>
            <w:r w:rsidR="002F69E2">
              <w:t xml:space="preserve">; </w:t>
            </w:r>
            <w:r w:rsidR="002F69E2" w:rsidRPr="00C12274">
              <w:t>Stationary cycling</w:t>
            </w:r>
            <w:r w:rsidR="002F69E2">
              <w:t xml:space="preserve"> </w:t>
            </w:r>
            <w:r w:rsidR="002F69E2" w:rsidRPr="00C12274">
              <w:t>20-60 min, 3 times a week for 14 weeks from 13±1 weeks</w:t>
            </w:r>
          </w:p>
          <w:p w14:paraId="54B8AAF7" w14:textId="7C889409" w:rsidR="000A1756" w:rsidRPr="003040B9" w:rsidRDefault="00962E79" w:rsidP="00962E79">
            <w:pPr>
              <w:pStyle w:val="bullet"/>
            </w:pPr>
            <w:r w:rsidRPr="00C45716">
              <w:rPr>
                <w:i/>
              </w:rPr>
              <w:t>Intensity</w:t>
            </w:r>
            <w:r w:rsidRPr="00C45716">
              <w:t xml:space="preserve">: </w:t>
            </w:r>
            <w:r w:rsidR="00944B29" w:rsidRPr="00BA5C68">
              <w:t>Moderate; 75–85% maximum HR; Borg scale 14–16</w:t>
            </w:r>
            <w:r w:rsidRPr="00BA5C68">
              <w:t>.</w:t>
            </w:r>
          </w:p>
        </w:tc>
        <w:tc>
          <w:tcPr>
            <w:tcW w:w="5953" w:type="dxa"/>
            <w:tcBorders>
              <w:left w:val="single" w:sz="4" w:space="0" w:color="3B3474"/>
              <w:right w:val="single" w:sz="4" w:space="0" w:color="3B3474"/>
            </w:tcBorders>
          </w:tcPr>
          <w:p w14:paraId="17961969" w14:textId="77777777" w:rsidR="000A1756" w:rsidRDefault="000A1756" w:rsidP="00C87D4D">
            <w:r>
              <w:t>Intervention vs control:</w:t>
            </w:r>
          </w:p>
          <w:p w14:paraId="73E4927C" w14:textId="2A1647F7" w:rsidR="000A1756" w:rsidRDefault="000A1756" w:rsidP="0042407B">
            <w:pPr>
              <w:pStyle w:val="bullet"/>
            </w:pPr>
            <w:r>
              <w:t>GDM:</w:t>
            </w:r>
            <w:r w:rsidRPr="005852FE">
              <w:t xml:space="preserve"> 34 (40.5</w:t>
            </w:r>
            <w:r>
              <w:t>%</w:t>
            </w:r>
            <w:r w:rsidRPr="005852FE">
              <w:t>)</w:t>
            </w:r>
            <w:r>
              <w:t xml:space="preserve"> vs </w:t>
            </w:r>
            <w:r w:rsidRPr="005852FE">
              <w:t>34 (40.0</w:t>
            </w:r>
            <w:r>
              <w:t>%</w:t>
            </w:r>
            <w:r w:rsidRPr="005852FE">
              <w:t>)</w:t>
            </w:r>
          </w:p>
          <w:p w14:paraId="23311029" w14:textId="1AAB25A2" w:rsidR="000A1756" w:rsidRPr="005852FE" w:rsidRDefault="000A1756" w:rsidP="00E14118">
            <w:r>
              <w:t>Intervention (n=81) vs control (n=76)</w:t>
            </w:r>
          </w:p>
          <w:p w14:paraId="76F306EF" w14:textId="3A2B2B48" w:rsidR="000A1756" w:rsidRDefault="00133B96" w:rsidP="0042407B">
            <w:pPr>
              <w:pStyle w:val="bullet"/>
            </w:pPr>
            <w:r>
              <w:t>Gestational w</w:t>
            </w:r>
            <w:r w:rsidR="000A1756">
              <w:t xml:space="preserve">eight gain at 28 wks: </w:t>
            </w:r>
            <w:r w:rsidR="000A1756" w:rsidRPr="00014855">
              <w:t>6.4</w:t>
            </w:r>
            <w:r w:rsidR="000A1756">
              <w:t>±</w:t>
            </w:r>
            <w:r w:rsidR="000A1756" w:rsidRPr="00014855">
              <w:t>2.1</w:t>
            </w:r>
            <w:r w:rsidR="000A1756">
              <w:t xml:space="preserve"> vs </w:t>
            </w:r>
            <w:r w:rsidR="000A1756" w:rsidRPr="00014855">
              <w:t>6.7</w:t>
            </w:r>
            <w:r w:rsidR="000A1756">
              <w:t>±</w:t>
            </w:r>
            <w:r w:rsidR="000A1756" w:rsidRPr="00014855">
              <w:t xml:space="preserve">2.6 </w:t>
            </w:r>
          </w:p>
          <w:p w14:paraId="32036308" w14:textId="3E56F508" w:rsidR="000A1756" w:rsidRPr="0042407B" w:rsidRDefault="000A1756" w:rsidP="0042407B">
            <w:pPr>
              <w:pStyle w:val="bullet"/>
            </w:pPr>
            <w:r>
              <w:t xml:space="preserve">EPDS score &gt;12: </w:t>
            </w:r>
            <w:r w:rsidRPr="0042407B">
              <w:t>1 (1.2</w:t>
            </w:r>
            <w:r>
              <w:t>%</w:t>
            </w:r>
            <w:r w:rsidRPr="0042407B">
              <w:t>)</w:t>
            </w:r>
            <w:r>
              <w:t xml:space="preserve"> vs </w:t>
            </w:r>
            <w:r w:rsidRPr="0042407B">
              <w:t>3 (3.5</w:t>
            </w:r>
            <w:r>
              <w:t>%</w:t>
            </w:r>
            <w:r w:rsidRPr="0042407B">
              <w:t xml:space="preserve">) </w:t>
            </w:r>
          </w:p>
          <w:p w14:paraId="2F76360E" w14:textId="25283702" w:rsidR="000A1756" w:rsidRPr="00654FDF" w:rsidRDefault="000A1756" w:rsidP="00654FDF">
            <w:pPr>
              <w:pStyle w:val="bullet"/>
            </w:pPr>
            <w:r w:rsidRPr="00654FDF">
              <w:t>Emergency c</w:t>
            </w:r>
            <w:r>
              <w:t>a</w:t>
            </w:r>
            <w:r w:rsidRPr="00654FDF">
              <w:t>esarean</w:t>
            </w:r>
            <w:r w:rsidR="00133B96">
              <w:t xml:space="preserve"> section</w:t>
            </w:r>
            <w:r>
              <w:t>:</w:t>
            </w:r>
            <w:r w:rsidRPr="00654FDF">
              <w:t xml:space="preserve"> 10 (11.9) </w:t>
            </w:r>
            <w:r>
              <w:t xml:space="preserve">vs </w:t>
            </w:r>
            <w:r w:rsidRPr="00654FDF">
              <w:t>11 (12.9)</w:t>
            </w:r>
          </w:p>
          <w:p w14:paraId="783088AF" w14:textId="12D31701" w:rsidR="000A1756" w:rsidRPr="00654FDF" w:rsidRDefault="000A1756" w:rsidP="00654FDF">
            <w:pPr>
              <w:pStyle w:val="bullet"/>
            </w:pPr>
            <w:r w:rsidRPr="00654FDF">
              <w:t>Pre</w:t>
            </w:r>
            <w:r w:rsidR="00133B96">
              <w:t>-</w:t>
            </w:r>
            <w:r w:rsidRPr="00654FDF">
              <w:t>eclampsia</w:t>
            </w:r>
            <w:r>
              <w:t>:</w:t>
            </w:r>
            <w:r w:rsidRPr="00654FDF">
              <w:t xml:space="preserve"> 2 (2.4) </w:t>
            </w:r>
            <w:r>
              <w:t xml:space="preserve">vs </w:t>
            </w:r>
            <w:r w:rsidRPr="00654FDF">
              <w:t>1 (1.2)</w:t>
            </w:r>
            <w:r>
              <w:t xml:space="preserve"> p=</w:t>
            </w:r>
            <w:r w:rsidRPr="00654FDF">
              <w:t>1.000</w:t>
            </w:r>
          </w:p>
          <w:p w14:paraId="7D88E582" w14:textId="6AAABF54" w:rsidR="000A1756" w:rsidRPr="00654FDF" w:rsidRDefault="000A1756" w:rsidP="00654FDF">
            <w:pPr>
              <w:pStyle w:val="bullet"/>
            </w:pPr>
            <w:r w:rsidRPr="00654FDF">
              <w:t>Preterm birth</w:t>
            </w:r>
            <w:r>
              <w:t>:</w:t>
            </w:r>
            <w:r w:rsidRPr="00654FDF">
              <w:t xml:space="preserve"> 3 (3.6)</w:t>
            </w:r>
            <w:r>
              <w:t xml:space="preserve"> vs </w:t>
            </w:r>
            <w:r w:rsidRPr="00654FDF">
              <w:t xml:space="preserve">4 (4.7) </w:t>
            </w:r>
            <w:r>
              <w:t>p=</w:t>
            </w:r>
            <w:r w:rsidRPr="00654FDF">
              <w:t>1.000</w:t>
            </w:r>
          </w:p>
          <w:p w14:paraId="45346439" w14:textId="0F1B5709" w:rsidR="000A1756" w:rsidRPr="00654FDF" w:rsidRDefault="000A1756" w:rsidP="00654FDF">
            <w:pPr>
              <w:pStyle w:val="bullet"/>
            </w:pPr>
            <w:r w:rsidRPr="00654FDF">
              <w:t xml:space="preserve">Apgar score </w:t>
            </w:r>
            <w:r>
              <w:t>&lt;</w:t>
            </w:r>
            <w:r w:rsidRPr="00654FDF">
              <w:t>7 at 5 min</w:t>
            </w:r>
            <w:r>
              <w:t>:</w:t>
            </w:r>
            <w:r w:rsidRPr="00654FDF">
              <w:t xml:space="preserve"> 1 (1.2) </w:t>
            </w:r>
            <w:r>
              <w:t xml:space="preserve">vs </w:t>
            </w:r>
            <w:r w:rsidRPr="00654FDF">
              <w:t xml:space="preserve">1 (1.2) </w:t>
            </w:r>
            <w:r>
              <w:t>p=</w:t>
            </w:r>
            <w:r w:rsidRPr="00654FDF">
              <w:t>1.000</w:t>
            </w:r>
          </w:p>
          <w:p w14:paraId="53B44A8E" w14:textId="56731D43" w:rsidR="000A1756" w:rsidRPr="00654FDF" w:rsidRDefault="000A1756" w:rsidP="00654FDF">
            <w:pPr>
              <w:pStyle w:val="bullet"/>
            </w:pPr>
            <w:r w:rsidRPr="00654FDF">
              <w:t>Large for gestational age</w:t>
            </w:r>
            <w:r>
              <w:t>:</w:t>
            </w:r>
            <w:r w:rsidRPr="00654FDF">
              <w:t xml:space="preserve"> 12 (14.2)</w:t>
            </w:r>
            <w:r>
              <w:t xml:space="preserve"> vs </w:t>
            </w:r>
            <w:r w:rsidRPr="00654FDF">
              <w:t>10 (11.8)</w:t>
            </w:r>
            <w:r>
              <w:t xml:space="preserve"> p=0</w:t>
            </w:r>
            <w:r w:rsidRPr="00654FDF">
              <w:t>.336</w:t>
            </w:r>
          </w:p>
          <w:p w14:paraId="4B83965A" w14:textId="5211F838" w:rsidR="000A1756" w:rsidRPr="00CF1546" w:rsidRDefault="000A1756" w:rsidP="00C87D4D">
            <w:pPr>
              <w:pStyle w:val="bullet"/>
            </w:pPr>
            <w:r w:rsidRPr="00654FDF">
              <w:t xml:space="preserve">Small for gestational age </w:t>
            </w:r>
            <w:r>
              <w:t>0 vs 2 (2.4)</w:t>
            </w:r>
          </w:p>
        </w:tc>
      </w:tr>
      <w:tr w:rsidR="000A1756" w:rsidRPr="00A652CB" w14:paraId="5ADE4D1E"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50C5BBA8" w14:textId="672F4ACD" w:rsidR="00944B29" w:rsidRDefault="00944B29" w:rsidP="00E70A06">
            <w:r>
              <w:rPr>
                <w:noProof/>
              </w:rPr>
              <w:t>Haakstad &amp; Bo 2011a;</w:t>
            </w:r>
            <w:r w:rsidR="00616EE6">
              <w:rPr>
                <w:noProof/>
              </w:rPr>
              <w:fldChar w:fldCharType="begin"/>
            </w:r>
            <w:r w:rsidR="002747EA">
              <w:rPr>
                <w:noProof/>
              </w:rPr>
              <w:instrText xml:space="preserve"> ADDIN EN.CITE &lt;EndNote&gt;&lt;Cite&gt;&lt;Author&gt;Haakstad&lt;/Author&gt;&lt;Year&gt;2011&lt;/Year&gt;&lt;RecNum&gt;692&lt;/RecNum&gt;&lt;DisplayText&gt;&lt;style face="superscript" font="Trebuchet MS" size="9"&gt;435&lt;/style&gt;&lt;/DisplayText&gt;&lt;record&gt;&lt;rec-number&gt;692&lt;/rec-number&gt;&lt;foreign-keys&gt;&lt;key app="EN" db-id="exvasrfx2dtraoesasxp2szsxa2df502592x" timestamp="1540527521"&gt;692&lt;/key&gt;&lt;/foreign-keys&gt;&lt;ref-type name="Journal Article"&gt;17&lt;/ref-type&gt;&lt;contributors&gt;&lt;authors&gt;&lt;author&gt;Haakstad, L. A.&lt;/author&gt;&lt;author&gt;Bo, K.&lt;/author&gt;&lt;/authors&gt;&lt;/contributors&gt;&lt;auth-address&gt;Norwegian School of Sport Sciences, Department of Sports Medicine, Ulleval Stadion, Oslo, Norway. lene.haakstad@nih.no&lt;/auth-address&gt;&lt;titles&gt;&lt;title&gt;Effect of regular exercise on prevention of excessive weight gain in pregnancy: a randomised controlled trial&lt;/title&gt;&lt;secondary-title&gt;Eur J Contracept Reprod Health Care&lt;/secondary-title&gt;&lt;/titles&gt;&lt;periodical&gt;&lt;full-title&gt;Eur J Contracept Reprod Health Care&lt;/full-title&gt;&lt;/periodical&gt;&lt;pages&gt;116-25&lt;/pages&gt;&lt;volume&gt;16&lt;/volume&gt;&lt;number&gt;2&lt;/number&gt;&lt;edition&gt;2011/03/23&lt;/edition&gt;&lt;keywords&gt;&lt;keyword&gt;Adult&lt;/keyword&gt;&lt;keyword&gt;*Exercise&lt;/keyword&gt;&lt;keyword&gt;Female&lt;/keyword&gt;&lt;keyword&gt;*Health Behavior&lt;/keyword&gt;&lt;keyword&gt;Health Promotion/*methods&lt;/keyword&gt;&lt;keyword&gt;Humans&lt;/keyword&gt;&lt;keyword&gt;Postpartum Period&lt;/keyword&gt;&lt;keyword&gt;Pregnancy/*physiology&lt;/keyword&gt;&lt;keyword&gt;Prenatal Care/*methods&lt;/keyword&gt;&lt;keyword&gt;Weight Gain/*physiology&lt;/keyword&gt;&lt;keyword&gt;Young Adult&lt;/keyword&gt;&lt;/keywords&gt;&lt;dates&gt;&lt;year&gt;2011&lt;/year&gt;&lt;pub-dates&gt;&lt;date&gt;Apr&lt;/date&gt;&lt;/pub-dates&gt;&lt;/dates&gt;&lt;isbn&gt;1473-0782 (Electronic)&amp;#xD;1362-5187 (Linking)&lt;/isbn&gt;&lt;accession-num&gt;21417561&lt;/accession-num&gt;&lt;urls&gt;&lt;related-urls&gt;&lt;url&gt;https://www.ncbi.nlm.nih.gov/pubmed/21417561&lt;/url&gt;&lt;/related-urls&gt;&lt;/urls&gt;&lt;electronic-resource-num&gt;10.3109/13625187.2011.560307&lt;/electronic-resource-num&gt;&lt;/record&gt;&lt;/Cite&gt;&lt;/EndNote&gt;</w:instrText>
            </w:r>
            <w:r w:rsidR="00616EE6">
              <w:rPr>
                <w:noProof/>
              </w:rPr>
              <w:fldChar w:fldCharType="separate"/>
            </w:r>
            <w:r w:rsidR="002747EA" w:rsidRPr="002747EA">
              <w:rPr>
                <w:noProof/>
                <w:vertAlign w:val="superscript"/>
              </w:rPr>
              <w:t>435</w:t>
            </w:r>
            <w:r w:rsidR="00616EE6">
              <w:rPr>
                <w:noProof/>
              </w:rPr>
              <w:fldChar w:fldCharType="end"/>
            </w:r>
            <w:r>
              <w:rPr>
                <w:noProof/>
              </w:rPr>
              <w:t xml:space="preserve"> Haakstad &amp; Bo 2011b;</w:t>
            </w:r>
            <w:r w:rsidR="00616EE6">
              <w:rPr>
                <w:noProof/>
              </w:rPr>
              <w:fldChar w:fldCharType="begin"/>
            </w:r>
            <w:r w:rsidR="002747EA">
              <w:rPr>
                <w:noProof/>
              </w:rPr>
              <w:instrText xml:space="preserve"> ADDIN EN.CITE &lt;EndNote&gt;&lt;Cite&gt;&lt;Author&gt;Haakstad&lt;/Author&gt;&lt;Year&gt;2011&lt;/Year&gt;&lt;RecNum&gt;691&lt;/RecNum&gt;&lt;DisplayText&gt;&lt;style face="superscript" font="Trebuchet MS" size="9"&gt;538&lt;/style&gt;&lt;/DisplayText&gt;&lt;record&gt;&lt;rec-number&gt;691&lt;/rec-number&gt;&lt;foreign-keys&gt;&lt;key app="EN" db-id="exvasrfx2dtraoesasxp2szsxa2df502592x" timestamp="1540527521"&gt;691&lt;/key&gt;&lt;/foreign-keys&gt;&lt;ref-type name="Journal Article"&gt;17&lt;/ref-type&gt;&lt;contributors&gt;&lt;authors&gt;&lt;author&gt;Haakstad, L. A.&lt;/author&gt;&lt;author&gt;Bo, K.&lt;/author&gt;&lt;/authors&gt;&lt;/contributors&gt;&lt;auth-address&gt;Norwegian School of Sport Sciences, Department of Sports Medicine, Ulleval Stadion 0806 Oslo, Norway. lahaakstad@nih.no&lt;/auth-address&gt;&lt;titles&gt;&lt;title&gt;Exercise in pregnant women and birth weight: a randomized controlled trial&lt;/title&gt;&lt;secondary-title&gt;BMC Pregnancy Childbirth&lt;/secondary-title&gt;&lt;/titles&gt;&lt;periodical&gt;&lt;full-title&gt;BMC Pregnancy Childbirth&lt;/full-title&gt;&lt;/periodical&gt;&lt;pages&gt;66&lt;/pages&gt;&lt;volume&gt;11&lt;/volume&gt;&lt;edition&gt;2011/10/04&lt;/edition&gt;&lt;keywords&gt;&lt;keyword&gt;Adult&lt;/keyword&gt;&lt;keyword&gt;Apgar Score&lt;/keyword&gt;&lt;keyword&gt;*Birth Weight&lt;/keyword&gt;&lt;keyword&gt;Body Mass Index&lt;/keyword&gt;&lt;keyword&gt;Female&lt;/keyword&gt;&lt;keyword&gt;Gestational Age&lt;/keyword&gt;&lt;keyword&gt;Humans&lt;/keyword&gt;&lt;keyword&gt;Infant, Newborn&lt;/keyword&gt;&lt;keyword&gt;*Motor Activity&lt;/keyword&gt;&lt;keyword&gt;*Pregnancy&lt;/keyword&gt;&lt;keyword&gt;Pregnancy Trimester, Second&lt;/keyword&gt;&lt;keyword&gt;Pregnancy Trimester, Third&lt;/keyword&gt;&lt;/keywords&gt;&lt;dates&gt;&lt;year&gt;2011&lt;/year&gt;&lt;pub-dates&gt;&lt;date&gt;Sep 30&lt;/date&gt;&lt;/pub-dates&gt;&lt;/dates&gt;&lt;isbn&gt;1471-2393 (Electronic)&amp;#xD;1471-2393 (Linking)&lt;/isbn&gt;&lt;accession-num&gt;21961534&lt;/accession-num&gt;&lt;urls&gt;&lt;related-urls&gt;&lt;url&gt;https://www.ncbi.nlm.nih.gov/pubmed/21961534&lt;/url&gt;&lt;/related-urls&gt;&lt;/urls&gt;&lt;custom2&gt;PMC3198740&lt;/custom2&gt;&lt;electronic-resource-num&gt;10.1186/1471-2393-11-66&lt;/electronic-resource-num&gt;&lt;/record&gt;&lt;/Cite&gt;&lt;/EndNote&gt;</w:instrText>
            </w:r>
            <w:r w:rsidR="00616EE6">
              <w:rPr>
                <w:noProof/>
              </w:rPr>
              <w:fldChar w:fldCharType="separate"/>
            </w:r>
            <w:r w:rsidR="002747EA" w:rsidRPr="002747EA">
              <w:rPr>
                <w:noProof/>
                <w:vertAlign w:val="superscript"/>
              </w:rPr>
              <w:t>538</w:t>
            </w:r>
            <w:r w:rsidR="00616EE6">
              <w:rPr>
                <w:noProof/>
              </w:rPr>
              <w:fldChar w:fldCharType="end"/>
            </w:r>
            <w:r>
              <w:rPr>
                <w:noProof/>
              </w:rPr>
              <w:t xml:space="preserve"> Haakstad et al 2016</w:t>
            </w:r>
            <w:r w:rsidR="00616EE6">
              <w:fldChar w:fldCharType="begin">
                <w:fldData xml:space="preserve">PEVuZE5vdGU+PENpdGU+PEF1dGhvcj5IYWFrc3RhZDwvQXV0aG9yPjxZZWFyPjIwMTY8L1llYXI+
PFJlY051bT4xMDI3PC9SZWNOdW0+PERpc3BsYXlUZXh0PjxzdHlsZSBmYWNlPSJzdXBlcnNjcmlw
dCIgZm9udD0iVHJlYnVjaGV0IE1TIiBzaXplPSI5Ij4yNzg8L3N0eWxlPjwvRGlzcGxheVRleHQ+
PHJlY29yZD48cmVjLW51bWJlcj4xMDI3PC9yZWMtbnVtYmVyPjxmb3JlaWduLWtleXM+PGtleSBh
cHA9IkVOIiBkYi1pZD0iZXh2YXNyZngyZHRyYW9lc2FzeHAyc3pzeGEyZGY1MDI1OTJ4IiB0aW1l
c3RhbXA9IjE1NDg5ODM0NzYiPjEwMjc8L2tleT48L2ZvcmVpZ24ta2V5cz48cmVmLXR5cGUgbmFt
ZT0iSm91cm5hbCBBcnRpY2xlIj4xNzwvcmVmLXR5cGU+PGNvbnRyaWJ1dG9ycz48YXV0aG9ycz48
YXV0aG9yPkhhYWtzdGFkLCBMLiBBLjwvYXV0aG9yPjxhdXRob3I+VG9yc2V0LCBCLjwvYXV0aG9y
PjxhdXRob3I+Qm8sIEsuPC9hdXRob3I+PC9hdXRob3JzPjwvY29udHJpYnV0b3JzPjxhdXRoLWFk
ZHJlc3M+Tm9yd2VnaWFuIFNjaG9vbCBvZiBTcG9ydHMgU2NpZW5jZXMsIERlcGFydG1lbnQgb2Yg
U3BvcnRzIE1lZGljaW5lLCBOb3J3YXkuIEVsZWN0cm9uaWMgYWRkcmVzczogbGFoYWFrc3RhZEBu
aWgubm8uJiN4RDtOb3J3ZWdpYW4gU2Nob29sIG9mIFNwb3J0cyBTY2llbmNlcywgRGVwYXJ0bWVu
dCBvZiBTcG9ydHMgTWVkaWNpbmUsIE5vcndheS4gRWxlY3Ryb25pYyBhZGRyZXNzOiBiLnMudG9y
c2V0QG5paC5uby4mI3hEO05vcndlZ2lhbiBTY2hvb2wgb2YgU3BvcnRzIFNjaWVuY2VzLCBEZXBh
cnRtZW50IG9mIFNwb3J0cyBNZWRpY2luZSwgTm9yd2F5LiBFbGVjdHJvbmljIGFkZHJlc3M6IGth
cmkuYm9AbmloLm5vLjwvYXV0aC1hZGRyZXNzPjx0aXRsZXM+PHRpdGxlPldoYXQgaXMgdGhlIGVm
ZmVjdCBvZiByZWd1bGFyIGdyb3VwIGV4ZXJjaXNlIG9uIG1hdGVybmFsIHBzeWNob2xvZ2ljYWwg
b3V0Y29tZXMgYW5kIGNvbW1vbiBwcmVnbmFuY3kgY29tcGxhaW50cz8gQW4gYXNzZXNzb3IgYmxp
bmRlZCBSQ1Q8L3RpdGxlPjxzZWNvbmRhcnktdGl0bGU+TWlkd2lmZXJ5PC9zZWNvbmRhcnktdGl0
bGU+PC90aXRsZXM+PHBlcmlvZGljYWw+PGZ1bGwtdGl0bGU+TWlkd2lmZXJ5PC9mdWxsLXRpdGxl
PjwvcGVyaW9kaWNhbD48cGFnZXM+ODEtNjwvcGFnZXM+PHZvbHVtZT4zMjwvdm9sdW1lPjxlZGl0
aW9uPjIwMTUvMTEvMTg8L2VkaXRpb24+PGtleXdvcmRzPjxrZXl3b3JkPkFkdWx0PC9rZXl3b3Jk
PjxrZXl3b3JkPipFeGVyY2lzZS9waHlzaW9sb2d5L3BzeWNob2xvZ3k8L2tleXdvcmQ+PGtleXdv
cmQ+RmVtYWxlPC9rZXl3b3JkPjxrZXl3b3JkPkh1bWFuczwva2V5d29yZD48a2V5d29yZD5PdXRj
b21lIEFzc2Vzc21lbnQgKEhlYWx0aCBDYXJlKTwva2V5d29yZD48a2V5d29yZD5QcmVnbmFuY3kv
cGh5c2lvbG9neS8qcHN5Y2hvbG9neTwva2V5d29yZD48a2V5d29yZD5QcmVnbmFuY3kgQ29tcGxp
Y2F0aW9ucy9wc3ljaG9sb2d5Lyp0aGVyYXB5PC9rZXl3b3JkPjxrZXl3b3JkPipRdWFsaXR5IG9m
IExpZmU8L2tleXdvcmQ+PGtleXdvcmQ+U2luZ2xlLUJsaW5kIE1ldGhvZDwva2V5d29yZD48a2V5
d29yZD5FeGVyY2lzZTwva2V5d29yZD48a2V5d29yZD5NYXRlcm5hbCB3ZWxsLWJlaW5nPC9rZXl3
b3JkPjxrZXl3b3JkPlByZWduYW5jeSBjb21wbGFpbnQ8L2tleXdvcmQ+PGtleXdvcmQ+UHJlZ25h
bmN5IGRlcHJlc3Npb248L2tleXdvcmQ+PGtleXdvcmQ+UXVhbGl0eSBvZiBsaWZlPC9rZXl3b3Jk
Pjwva2V5d29yZHM+PGRhdGVzPjx5ZWFyPjIwMTY8L3llYXI+PHB1Yi1kYXRlcz48ZGF0ZT5KYW48
L2RhdGU+PC9wdWItZGF0ZXM+PC9kYXRlcz48aXNibj4xNTMyLTMwOTkgKEVsZWN0cm9uaWMpJiN4
RDswMjY2LTYxMzggKExpbmtpbmcpPC9pc2JuPjxhY2Nlc3Npb24tbnVtPjI2NTc0MDUwPC9hY2Nl
c3Npb24tbnVtPjx1cmxzPjxyZWxhdGVkLXVybHM+PHVybD5odHRwczovL3d3dy5uY2JpLm5sbS5u
aWguZ292L3B1Ym1lZC8yNjU3NDA1MDwvdXJsPjwvcmVsYXRlZC11cmxzPjwvdXJscz48ZWxlY3Ry
b25pYy1yZXNvdXJjZS1udW0+MTAuMTAxNi9qLm1pZHcuMjAxNS4xMC4wMDg8L2VsZWN0cm9uaWMt
cmVzb3VyY2UtbnVtPjwvcmVjb3JkPjwvQ2l0ZT48L0VuZE5vdGU+
</w:fldData>
              </w:fldChar>
            </w:r>
            <w:r w:rsidR="002747EA">
              <w:instrText xml:space="preserve"> ADDIN EN.CITE </w:instrText>
            </w:r>
            <w:r w:rsidR="002747EA">
              <w:fldChar w:fldCharType="begin">
                <w:fldData xml:space="preserve">PEVuZE5vdGU+PENpdGU+PEF1dGhvcj5IYWFrc3RhZDwvQXV0aG9yPjxZZWFyPjIwMTY8L1llYXI+
PFJlY051bT4xMDI3PC9SZWNOdW0+PERpc3BsYXlUZXh0PjxzdHlsZSBmYWNlPSJzdXBlcnNjcmlw
dCIgZm9udD0iVHJlYnVjaGV0IE1TIiBzaXplPSI5Ij4yNzg8L3N0eWxlPjwvRGlzcGxheVRleHQ+
PHJlY29yZD48cmVjLW51bWJlcj4xMDI3PC9yZWMtbnVtYmVyPjxmb3JlaWduLWtleXM+PGtleSBh
cHA9IkVOIiBkYi1pZD0iZXh2YXNyZngyZHRyYW9lc2FzeHAyc3pzeGEyZGY1MDI1OTJ4IiB0aW1l
c3RhbXA9IjE1NDg5ODM0NzYiPjEwMjc8L2tleT48L2ZvcmVpZ24ta2V5cz48cmVmLXR5cGUgbmFt
ZT0iSm91cm5hbCBBcnRpY2xlIj4xNzwvcmVmLXR5cGU+PGNvbnRyaWJ1dG9ycz48YXV0aG9ycz48
YXV0aG9yPkhhYWtzdGFkLCBMLiBBLjwvYXV0aG9yPjxhdXRob3I+VG9yc2V0LCBCLjwvYXV0aG9y
PjxhdXRob3I+Qm8sIEsuPC9hdXRob3I+PC9hdXRob3JzPjwvY29udHJpYnV0b3JzPjxhdXRoLWFk
ZHJlc3M+Tm9yd2VnaWFuIFNjaG9vbCBvZiBTcG9ydHMgU2NpZW5jZXMsIERlcGFydG1lbnQgb2Yg
U3BvcnRzIE1lZGljaW5lLCBOb3J3YXkuIEVsZWN0cm9uaWMgYWRkcmVzczogbGFoYWFrc3RhZEBu
aWgubm8uJiN4RDtOb3J3ZWdpYW4gU2Nob29sIG9mIFNwb3J0cyBTY2llbmNlcywgRGVwYXJ0bWVu
dCBvZiBTcG9ydHMgTWVkaWNpbmUsIE5vcndheS4gRWxlY3Ryb25pYyBhZGRyZXNzOiBiLnMudG9y
c2V0QG5paC5uby4mI3hEO05vcndlZ2lhbiBTY2hvb2wgb2YgU3BvcnRzIFNjaWVuY2VzLCBEZXBh
cnRtZW50IG9mIFNwb3J0cyBNZWRpY2luZSwgTm9yd2F5LiBFbGVjdHJvbmljIGFkZHJlc3M6IGth
cmkuYm9AbmloLm5vLjwvYXV0aC1hZGRyZXNzPjx0aXRsZXM+PHRpdGxlPldoYXQgaXMgdGhlIGVm
ZmVjdCBvZiByZWd1bGFyIGdyb3VwIGV4ZXJjaXNlIG9uIG1hdGVybmFsIHBzeWNob2xvZ2ljYWwg
b3V0Y29tZXMgYW5kIGNvbW1vbiBwcmVnbmFuY3kgY29tcGxhaW50cz8gQW4gYXNzZXNzb3IgYmxp
bmRlZCBSQ1Q8L3RpdGxlPjxzZWNvbmRhcnktdGl0bGU+TWlkd2lmZXJ5PC9zZWNvbmRhcnktdGl0
bGU+PC90aXRsZXM+PHBlcmlvZGljYWw+PGZ1bGwtdGl0bGU+TWlkd2lmZXJ5PC9mdWxsLXRpdGxl
PjwvcGVyaW9kaWNhbD48cGFnZXM+ODEtNjwvcGFnZXM+PHZvbHVtZT4zMjwvdm9sdW1lPjxlZGl0
aW9uPjIwMTUvMTEvMTg8L2VkaXRpb24+PGtleXdvcmRzPjxrZXl3b3JkPkFkdWx0PC9rZXl3b3Jk
PjxrZXl3b3JkPipFeGVyY2lzZS9waHlzaW9sb2d5L3BzeWNob2xvZ3k8L2tleXdvcmQ+PGtleXdv
cmQ+RmVtYWxlPC9rZXl3b3JkPjxrZXl3b3JkPkh1bWFuczwva2V5d29yZD48a2V5d29yZD5PdXRj
b21lIEFzc2Vzc21lbnQgKEhlYWx0aCBDYXJlKTwva2V5d29yZD48a2V5d29yZD5QcmVnbmFuY3kv
cGh5c2lvbG9neS8qcHN5Y2hvbG9neTwva2V5d29yZD48a2V5d29yZD5QcmVnbmFuY3kgQ29tcGxp
Y2F0aW9ucy9wc3ljaG9sb2d5Lyp0aGVyYXB5PC9rZXl3b3JkPjxrZXl3b3JkPipRdWFsaXR5IG9m
IExpZmU8L2tleXdvcmQ+PGtleXdvcmQ+U2luZ2xlLUJsaW5kIE1ldGhvZDwva2V5d29yZD48a2V5
d29yZD5FeGVyY2lzZTwva2V5d29yZD48a2V5d29yZD5NYXRlcm5hbCB3ZWxsLWJlaW5nPC9rZXl3
b3JkPjxrZXl3b3JkPlByZWduYW5jeSBjb21wbGFpbnQ8L2tleXdvcmQ+PGtleXdvcmQ+UHJlZ25h
bmN5IGRlcHJlc3Npb248L2tleXdvcmQ+PGtleXdvcmQ+UXVhbGl0eSBvZiBsaWZlPC9rZXl3b3Jk
Pjwva2V5d29yZHM+PGRhdGVzPjx5ZWFyPjIwMTY8L3llYXI+PHB1Yi1kYXRlcz48ZGF0ZT5KYW48
L2RhdGU+PC9wdWItZGF0ZXM+PC9kYXRlcz48aXNibj4xNTMyLTMwOTkgKEVsZWN0cm9uaWMpJiN4
RDswMjY2LTYxMzggKExpbmtpbmcpPC9pc2JuPjxhY2Nlc3Npb24tbnVtPjI2NTc0MDUwPC9hY2Nl
c3Npb24tbnVtPjx1cmxzPjxyZWxhdGVkLXVybHM+PHVybD5odHRwczovL3d3dy5uY2JpLm5sbS5u
aWguZ292L3B1Ym1lZC8yNjU3NDA1MDwvdXJsPjwvcmVsYXRlZC11cmxzPjwvdXJscz48ZWxlY3Ry
b25pYy1yZXNvdXJjZS1udW0+MTAuMTAxNi9qLm1pZHcuMjAxNS4xMC4wMDg8L2VsZWN0cm9uaWMt
cmVzb3VyY2UtbnVtPjwvcmVjb3JkPjwvQ2l0ZT48L0VuZE5vdGU+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278</w:t>
            </w:r>
            <w:r w:rsidR="00616EE6">
              <w:fldChar w:fldCharType="end"/>
            </w:r>
          </w:p>
          <w:p w14:paraId="215E0ADF" w14:textId="629E17F8" w:rsidR="005F4034" w:rsidRPr="00C12274" w:rsidRDefault="005F4034" w:rsidP="00E70A06">
            <w:r>
              <w:t>Haakstad et al 2019</w:t>
            </w:r>
            <w:r w:rsidR="00D07346">
              <w:fldChar w:fldCharType="begin"/>
            </w:r>
            <w:r w:rsidR="002747EA">
              <w:instrText xml:space="preserve"> ADDIN EN.CITE &lt;EndNote&gt;&lt;Cite&gt;&lt;Author&gt;Haakstad&lt;/Author&gt;&lt;Year&gt;2019&lt;/Year&gt;&lt;RecNum&gt;1912&lt;/RecNum&gt;&lt;DisplayText&gt;&lt;style face="superscript" font="Trebuchet MS" size="9"&gt;539&lt;/style&gt;&lt;/DisplayText&gt;&lt;record&gt;&lt;rec-number&gt;1912&lt;/rec-number&gt;&lt;foreign-keys&gt;&lt;key app="EN" db-id="exvasrfx2dtraoesasxp2szsxa2df502592x" timestamp="1588465026"&gt;1912&lt;/key&gt;&lt;key app="ENWeb" db-id=""&gt;0&lt;/key&gt;&lt;/foreign-keys&gt;&lt;ref-type name="Journal Article"&gt;17&lt;/ref-type&gt;&lt;contributors&gt;&lt;authors&gt;&lt;author&gt;Haakstad, Lene A. H.&lt;/author&gt;&lt;author&gt;Kissel, Iselin&lt;/author&gt;&lt;author&gt;Bø, Kari&lt;/author&gt;&lt;/authors&gt;&lt;/contributors&gt;&lt;titles&gt;&lt;title&gt;Long-term effects of participation in a prenatal exercise intervention on body weight, body mass index, and physical activity level: a 6-year follow-up study of a randomized controlled trial&lt;/title&gt;&lt;secondary-title&gt;The Journal of Maternal-Fetal &amp;amp; Neonatal Medicine&lt;/secondary-title&gt;&lt;/titles&gt;&lt;periodical&gt;&lt;full-title&gt;The Journal of Maternal-Fetal &amp;amp; Neonatal Medicine&lt;/full-title&gt;&lt;/periodical&gt;&lt;pages&gt;1-9&lt;/pages&gt;&lt;section&gt;1&lt;/section&gt;&lt;dates&gt;&lt;year&gt;2019&lt;/year&gt;&lt;/dates&gt;&lt;isbn&gt;1476-7058&amp;#xD;1476-4954&lt;/isbn&gt;&lt;urls&gt;&lt;/urls&gt;&lt;electronic-resource-num&gt;10.1080/14767058.2019.1636028&lt;/electronic-resource-num&gt;&lt;/record&gt;&lt;/Cite&gt;&lt;/EndNote&gt;</w:instrText>
            </w:r>
            <w:r w:rsidR="00D07346">
              <w:fldChar w:fldCharType="separate"/>
            </w:r>
            <w:r w:rsidR="002747EA" w:rsidRPr="002747EA">
              <w:rPr>
                <w:noProof/>
                <w:vertAlign w:val="superscript"/>
              </w:rPr>
              <w:t>539</w:t>
            </w:r>
            <w:r w:rsidR="00D07346">
              <w:fldChar w:fldCharType="end"/>
            </w:r>
          </w:p>
          <w:p w14:paraId="0B2BF184" w14:textId="4CBCEB3B" w:rsidR="000A1756" w:rsidRDefault="00944B29" w:rsidP="00E70A06">
            <w:r w:rsidRPr="00C12274">
              <w:t>Norway</w:t>
            </w:r>
          </w:p>
        </w:tc>
        <w:tc>
          <w:tcPr>
            <w:tcW w:w="1670" w:type="dxa"/>
            <w:tcBorders>
              <w:left w:val="single" w:sz="4" w:space="0" w:color="3B3474"/>
              <w:right w:val="single" w:sz="4" w:space="0" w:color="3B3474"/>
            </w:tcBorders>
          </w:tcPr>
          <w:p w14:paraId="5D859DB8" w14:textId="6B181072" w:rsidR="000A1756" w:rsidRDefault="000A1756" w:rsidP="00D424F3">
            <w:r>
              <w:t xml:space="preserve">Intervention </w:t>
            </w:r>
            <w:r w:rsidR="00857F79">
              <w:t>52</w:t>
            </w:r>
          </w:p>
          <w:p w14:paraId="2FDCF8EC" w14:textId="3269E150" w:rsidR="000A1756" w:rsidRDefault="000A1756" w:rsidP="00D424F3">
            <w:r>
              <w:t>Control 53</w:t>
            </w:r>
          </w:p>
        </w:tc>
        <w:tc>
          <w:tcPr>
            <w:tcW w:w="5395" w:type="dxa"/>
            <w:tcBorders>
              <w:left w:val="single" w:sz="4" w:space="0" w:color="3B3474"/>
              <w:right w:val="single" w:sz="4" w:space="0" w:color="3B3474"/>
            </w:tcBorders>
          </w:tcPr>
          <w:p w14:paraId="0A3655E7" w14:textId="77777777" w:rsidR="000A1756" w:rsidRDefault="000A1756" w:rsidP="00745EB1">
            <w:r w:rsidRPr="00745EB1">
              <w:rPr>
                <w:b/>
              </w:rPr>
              <w:t>Aim</w:t>
            </w:r>
            <w:r>
              <w:t xml:space="preserve">: </w:t>
            </w:r>
            <w:r w:rsidRPr="00745EB1">
              <w:t xml:space="preserve">to examine the effect of a supervised exercise-program on birth weight, gestational age at delivery and Apgar-score. </w:t>
            </w:r>
          </w:p>
          <w:p w14:paraId="4B7BF169" w14:textId="06DEE31A" w:rsidR="000A1756" w:rsidRDefault="000A1756" w:rsidP="00745EB1">
            <w:r w:rsidRPr="00B84C86">
              <w:rPr>
                <w:b/>
              </w:rPr>
              <w:t>Population</w:t>
            </w:r>
            <w:r>
              <w:t>:</w:t>
            </w:r>
            <w:r w:rsidRPr="00745EB1">
              <w:t xml:space="preserve"> Sedentary, nulliparous pregnant women, mean age 30.7</w:t>
            </w:r>
            <w:r>
              <w:t>±</w:t>
            </w:r>
            <w:r w:rsidRPr="00745EB1">
              <w:t>4.0 years, pre-pregnancy BMI 23.8</w:t>
            </w:r>
            <w:r>
              <w:t>±</w:t>
            </w:r>
            <w:r w:rsidRPr="00745EB1">
              <w:t>4.3</w:t>
            </w:r>
            <w:r>
              <w:t>.</w:t>
            </w:r>
          </w:p>
          <w:p w14:paraId="685E9D9E" w14:textId="77777777" w:rsidR="00DD3C0C" w:rsidRDefault="00DD3C0C" w:rsidP="00DD3C0C">
            <w:r w:rsidRPr="005E4EF9">
              <w:rPr>
                <w:b/>
              </w:rPr>
              <w:t>Intervention</w:t>
            </w:r>
            <w:r>
              <w:rPr>
                <w:b/>
              </w:rPr>
              <w:t>:</w:t>
            </w:r>
          </w:p>
          <w:p w14:paraId="10D1B076" w14:textId="77777777" w:rsidR="00DD3C0C" w:rsidRPr="00C45716" w:rsidRDefault="00DD3C0C" w:rsidP="00DD3C0C">
            <w:pPr>
              <w:pStyle w:val="bullet"/>
            </w:pPr>
            <w:r w:rsidRPr="00C45716">
              <w:rPr>
                <w:i/>
              </w:rPr>
              <w:t>Supervised</w:t>
            </w:r>
            <w:r w:rsidRPr="00C45716">
              <w:t>: Yes</w:t>
            </w:r>
          </w:p>
          <w:p w14:paraId="576B4E39" w14:textId="34828CDA" w:rsidR="00DD3C0C" w:rsidRPr="00DD3C0C" w:rsidRDefault="00DD3C0C" w:rsidP="00DD3C0C">
            <w:pPr>
              <w:pStyle w:val="bullet"/>
            </w:pPr>
            <w:r w:rsidRPr="00C45716">
              <w:rPr>
                <w:i/>
              </w:rPr>
              <w:t>Type and duration</w:t>
            </w:r>
            <w:r w:rsidRPr="00C45716">
              <w:t xml:space="preserve">: </w:t>
            </w:r>
            <w:r>
              <w:t xml:space="preserve">Aerobic and resistance; </w:t>
            </w:r>
            <w:r w:rsidRPr="00C12274">
              <w:t>Dance and strength training</w:t>
            </w:r>
            <w:r w:rsidR="00713717">
              <w:t>;</w:t>
            </w:r>
            <w:r>
              <w:t xml:space="preserve"> </w:t>
            </w:r>
            <w:r w:rsidRPr="00C12274">
              <w:t>60 min, 2 times a week for a minimum of 12 weeks plus 30 min home-based activity, 3 times a week, from week 17-18</w:t>
            </w:r>
          </w:p>
          <w:p w14:paraId="4B463067" w14:textId="5E784A6B" w:rsidR="000A1756" w:rsidRPr="00DB4487" w:rsidRDefault="00DD3C0C" w:rsidP="00DD3C0C">
            <w:pPr>
              <w:pStyle w:val="bullet"/>
            </w:pPr>
            <w:r w:rsidRPr="00C45716">
              <w:rPr>
                <w:i/>
              </w:rPr>
              <w:t>Intensity</w:t>
            </w:r>
            <w:r w:rsidRPr="00C45716">
              <w:t xml:space="preserve">: </w:t>
            </w:r>
            <w:r w:rsidRPr="00C12274">
              <w:t>Moderate; B</w:t>
            </w:r>
            <w:r>
              <w:t>org scale 12</w:t>
            </w:r>
            <w:r w:rsidRPr="00C12274">
              <w:rPr>
                <w:rStyle w:val="s1"/>
                <w:rFonts w:eastAsiaTheme="majorEastAsia"/>
                <w:sz w:val="16"/>
                <w:szCs w:val="16"/>
              </w:rPr>
              <w:t>–</w:t>
            </w:r>
            <w:r w:rsidRPr="00C12274">
              <w:t>1</w:t>
            </w:r>
            <w:r>
              <w:t>4.</w:t>
            </w:r>
          </w:p>
        </w:tc>
        <w:tc>
          <w:tcPr>
            <w:tcW w:w="5953" w:type="dxa"/>
            <w:tcBorders>
              <w:left w:val="single" w:sz="4" w:space="0" w:color="3B3474"/>
              <w:right w:val="single" w:sz="4" w:space="0" w:color="3B3474"/>
            </w:tcBorders>
          </w:tcPr>
          <w:p w14:paraId="63A4DA8E" w14:textId="601C7ADF" w:rsidR="000A1756" w:rsidRDefault="000A1756" w:rsidP="00B84C86">
            <w:r>
              <w:t>Intervention vs control:</w:t>
            </w:r>
          </w:p>
          <w:p w14:paraId="67510B7D" w14:textId="5C8C27D0" w:rsidR="000A1756" w:rsidRDefault="000A1756" w:rsidP="001D14FA">
            <w:pPr>
              <w:pStyle w:val="bullet"/>
            </w:pPr>
            <w:r>
              <w:t xml:space="preserve">Gestational weight gain: </w:t>
            </w:r>
            <w:r w:rsidRPr="001D14FA">
              <w:t>1</w:t>
            </w:r>
            <w:r>
              <w:t>3±4 vs 13.8±4 MD</w:t>
            </w:r>
            <w:r w:rsidRPr="001D14FA">
              <w:t xml:space="preserve"> 0.8 </w:t>
            </w:r>
            <w:r>
              <w:t>p=</w:t>
            </w:r>
            <w:r w:rsidRPr="001D14FA">
              <w:t>0.31</w:t>
            </w:r>
          </w:p>
          <w:p w14:paraId="676349E9" w14:textId="5D3D6E0C" w:rsidR="000A1756" w:rsidRPr="001D14FA" w:rsidRDefault="00133B96" w:rsidP="005932CC">
            <w:pPr>
              <w:pStyle w:val="bullet"/>
            </w:pPr>
            <w:r w:rsidRPr="00133B96">
              <w:t>Weight gain &gt;IOM guidelines</w:t>
            </w:r>
            <w:r w:rsidR="000A1756" w:rsidRPr="00133B96">
              <w:t xml:space="preserve"> </w:t>
            </w:r>
            <w:r w:rsidR="000A1756">
              <w:t>(n%):</w:t>
            </w:r>
            <w:r w:rsidR="000A1756" w:rsidRPr="00D01481">
              <w:t xml:space="preserve"> 17 (33) </w:t>
            </w:r>
            <w:r w:rsidR="000A1756">
              <w:t xml:space="preserve">vs </w:t>
            </w:r>
            <w:r w:rsidR="000A1756" w:rsidRPr="00D01481">
              <w:t xml:space="preserve">20 (38) </w:t>
            </w:r>
            <w:r w:rsidR="000A1756">
              <w:t>p=</w:t>
            </w:r>
            <w:r w:rsidR="000A1756" w:rsidRPr="00D01481">
              <w:t>0.59</w:t>
            </w:r>
          </w:p>
          <w:p w14:paraId="30D8C2D9" w14:textId="6886434B" w:rsidR="000A1756" w:rsidRPr="0083438E" w:rsidRDefault="000A1756" w:rsidP="0083438E">
            <w:pPr>
              <w:pStyle w:val="bullet"/>
            </w:pPr>
            <w:r>
              <w:t>Birth weight &lt;</w:t>
            </w:r>
            <w:r w:rsidRPr="0083438E">
              <w:t>2500 (g)</w:t>
            </w:r>
            <w:r>
              <w:t>:</w:t>
            </w:r>
            <w:r w:rsidRPr="0083438E">
              <w:t xml:space="preserve"> 1 (1.9) </w:t>
            </w:r>
            <w:r>
              <w:t xml:space="preserve">vs </w:t>
            </w:r>
            <w:r w:rsidRPr="0083438E">
              <w:t xml:space="preserve">1 (1.9) </w:t>
            </w:r>
          </w:p>
          <w:p w14:paraId="3FA2B4E6" w14:textId="2B118D12" w:rsidR="000A1756" w:rsidRDefault="000A1756" w:rsidP="00B84C86">
            <w:pPr>
              <w:pStyle w:val="bullet"/>
            </w:pPr>
            <w:r>
              <w:t>Birth weight ≥</w:t>
            </w:r>
            <w:r w:rsidRPr="0083438E">
              <w:t>4000 (g)</w:t>
            </w:r>
            <w:r>
              <w:t>:</w:t>
            </w:r>
            <w:r w:rsidRPr="0083438E">
              <w:t xml:space="preserve"> 5 (9.6) </w:t>
            </w:r>
            <w:r>
              <w:t xml:space="preserve">vs </w:t>
            </w:r>
            <w:r w:rsidRPr="0083438E">
              <w:t xml:space="preserve">9 (17.0) </w:t>
            </w:r>
            <w:r>
              <w:t>p=</w:t>
            </w:r>
            <w:r w:rsidRPr="0083438E">
              <w:t>0.</w:t>
            </w:r>
            <w:r>
              <w:t>5</w:t>
            </w:r>
          </w:p>
          <w:p w14:paraId="30F1090C" w14:textId="61F05924" w:rsidR="000033D2" w:rsidRDefault="000033D2" w:rsidP="001D14FA">
            <w:pPr>
              <w:pStyle w:val="bullet"/>
            </w:pPr>
            <w:r>
              <w:t>Antenatal depression: 3 (5.8%) vs 9 (17%)</w:t>
            </w:r>
          </w:p>
          <w:p w14:paraId="5198F2AE" w14:textId="77777777" w:rsidR="00E243B2" w:rsidRDefault="00B15518" w:rsidP="008078B5">
            <w:pPr>
              <w:pStyle w:val="bullet"/>
            </w:pPr>
            <w:r>
              <w:t>Postpartum weight retention</w:t>
            </w:r>
            <w:r w:rsidR="003A69CE">
              <w:t xml:space="preserve"> 6</w:t>
            </w:r>
            <w:r w:rsidR="00AA7314">
              <w:t xml:space="preserve"> weeks postpartum</w:t>
            </w:r>
            <w:r>
              <w:t xml:space="preserve">: 3.3±3.9 </w:t>
            </w:r>
            <w:r w:rsidR="00AA7314">
              <w:t>(n=</w:t>
            </w:r>
            <w:r w:rsidR="003A69CE">
              <w:t xml:space="preserve">33) </w:t>
            </w:r>
            <w:r>
              <w:t>vs 3.3±4.1</w:t>
            </w:r>
            <w:r w:rsidR="003A69CE">
              <w:t xml:space="preserve"> (n=37)</w:t>
            </w:r>
          </w:p>
          <w:p w14:paraId="5EBBC1DF" w14:textId="4DBB3145" w:rsidR="00E243B2" w:rsidRPr="00AA7314" w:rsidRDefault="00E243B2" w:rsidP="00E766CD">
            <w:pPr>
              <w:pStyle w:val="bullet"/>
            </w:pPr>
            <w:r>
              <w:t xml:space="preserve">Postpartum weight retention 6 years postpartum: </w:t>
            </w:r>
            <w:r w:rsidR="005F4034">
              <w:t>1.3±4.3 (n=40) vs 1.5±6.9 (n=40)</w:t>
            </w:r>
          </w:p>
        </w:tc>
      </w:tr>
      <w:tr w:rsidR="000A1756" w:rsidRPr="00A652CB" w14:paraId="135FFF67"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5E2F02CC" w14:textId="23D72FAD" w:rsidR="00DD3C0C" w:rsidRPr="00C12274" w:rsidRDefault="00DD3C0C" w:rsidP="00E70A06">
            <w:r w:rsidRPr="00C12274">
              <w:rPr>
                <w:noProof/>
              </w:rPr>
              <w:t>Hopkins et al 2010;</w:t>
            </w:r>
            <w:r w:rsidR="00616EE6">
              <w:rPr>
                <w:noProof/>
              </w:rPr>
              <w:fldChar w:fldCharType="begin">
                <w:fldData xml:space="preserve">PEVuZE5vdGU+PENpdGU+PEF1dGhvcj5Ib3BraW5zPC9BdXRob3I+PFllYXI+MjAxMDwvWWVhcj48
UmVjTnVtPjY5MzwvUmVjTnVtPjxEaXNwbGF5VGV4dD48c3R5bGUgZmFjZT0ic3VwZXJzY3JpcHQi
IGZvbnQ9IlRyZWJ1Y2hldCBNUyIgc2l6ZT0iOSI+MjcyPC9zdHlsZT48L0Rpc3BsYXlUZXh0Pjxy
ZWNvcmQ+PHJlYy1udW1iZXI+NjkzPC9yZWMtbnVtYmVyPjxmb3JlaWduLWtleXM+PGtleSBhcHA9
IkVOIiBkYi1pZD0iZXh2YXNyZngyZHRyYW9lc2FzeHAyc3pzeGEyZGY1MDI1OTJ4IiB0aW1lc3Rh
bXA9IjE1NDA1MzAwNjciPjY5Mzwva2V5PjwvZm9yZWlnbi1rZXlzPjxyZWYtdHlwZSBuYW1lPSJK
b3VybmFsIEFydGljbGUiPjE3PC9yZWYtdHlwZT48Y29udHJpYnV0b3JzPjxhdXRob3JzPjxhdXRo
b3I+SG9wa2lucywgUy4gQS48L2F1dGhvcj48YXV0aG9yPkJhbGRpLCBKLiBDLjwvYXV0aG9yPjxh
dXRob3I+Q3V0ZmllbGQsIFcuIFMuPC9hdXRob3I+PGF1dGhvcj5NY0Nvd2FuLCBMLjwvYXV0aG9y
PjxhdXRob3I+SG9mbWFuLCBQLiBMLjwvYXV0aG9yPjwvYXV0aG9ycz48L2NvbnRyaWJ1dG9ycz48
YXV0aC1hZGRyZXNzPkxpZ2dpbnMgSW5zdGl0dXRlLCBUaGUgVW5pdmVyc2l0eSBvZiBBdWNrbGFu
ZCwgUE8gQm94IDkyMDE5LCBBdWNrbGFuZCAxMTQyLCBOZXcgWmVhbGFuZC48L2F1dGgtYWRkcmVz
cz48dGl0bGVzPjx0aXRsZT5FeGVyY2lzZSB0cmFpbmluZyBpbiBwcmVnbmFuY3kgcmVkdWNlcyBv
ZmZzcHJpbmcgc2l6ZSB3aXRob3V0IGNoYW5nZXMgaW4gbWF0ZXJuYWwgaW5zdWxpbiBzZW5zaXRp
dml0eTwvdGl0bGU+PHNlY29uZGFyeS10aXRsZT5KIENsaW4gRW5kb2NyaW5vbCBNZXRhYjwvc2Vj
b25kYXJ5LXRpdGxlPjwvdGl0bGVzPjxwZXJpb2RpY2FsPjxmdWxsLXRpdGxlPkogQ2xpbiBFbmRv
Y3Jpbm9sIE1ldGFiPC9mdWxsLXRpdGxlPjwvcGVyaW9kaWNhbD48cGFnZXM+MjA4MC04PC9wYWdl
cz48dm9sdW1lPjk1PC92b2x1bWU+PG51bWJlcj41PC9udW1iZXI+PGVkaXRpb24+MjAxMC8wMy8y
NjwvZWRpdGlvbj48a2V5d29yZHM+PGtleXdvcmQ+QWR1bHQ8L2tleXdvcmQ+PGtleXdvcmQ+QWVy
b2Jpb3Npczwva2V5d29yZD48a2V5d29yZD5CaWN5Y2xpbmc8L2tleXdvcmQ+PGtleXdvcmQ+KkJp
cnRoIFdlaWdodDwva2V5d29yZD48a2V5d29yZD5CbG9vZCBHbHVjb3NlL21ldGFib2xpc208L2tl
eXdvcmQ+PGtleXdvcmQ+Qm9keSBNYXNzIEluZGV4PC9rZXl3b3JkPjxrZXl3b3JkPkV4ZXJjaXNl
LypwaHlzaW9sb2d5PC9rZXl3b3JkPjxrZXl3b3JkPkZlbWFsZTwva2V5d29yZD48a2V5d29yZD5G
ZXRhbCBCbG9vZC9jaGVtaXN0cnk8L2tleXdvcmQ+PGtleXdvcmQ+RmV0YWwgRGV2ZWxvcG1lbnQv
KnBoeXNpb2xvZ3k8L2tleXdvcmQ+PGtleXdvcmQ+SHVtYW5zPC9rZXl3b3JkPjxrZXl3b3JkPklu
ZmFudCwgTmV3Ym9ybjwva2V5d29yZD48a2V5d29yZD5JbnN1bGluLypibG9vZDwva2V5d29yZD48
a2V5d29yZD5JbnN1bGluLUxpa2UgR3Jvd3RoIEZhY3RvciBJL21ldGFib2xpc208L2tleXdvcmQ+
PGtleXdvcmQ+SW5zdWxpbi1MaWtlIEdyb3d0aCBGYWN0b3IgSUkvbWV0YWJvbGlzbTwva2V5d29y
ZD48a2V5d29yZD5NYWxlPC9rZXl3b3JkPjxrZXl3b3JkPlByZWduYW5jeTwva2V5d29yZD48a2V5
d29yZD5QcmVnbmFuY3kgVHJpbWVzdGVyLCBTZWNvbmQ8L2tleXdvcmQ+PGtleXdvcmQ+UHJlZ25h
bmN5IFRyaW1lc3RlciwgVGhpcmQ8L2tleXdvcmQ+PGtleXdvcmQ+VXRlcnVzL3BoeXNpb2xvZ3k8
L2tleXdvcmQ+PC9rZXl3b3Jkcz48ZGF0ZXM+PHllYXI+MjAxMDwveWVhcj48cHViLWRhdGVzPjxk
YXRlPk1heTwvZGF0ZT48L3B1Yi1kYXRlcz48L2RhdGVzPjxpc2JuPjE5NDUtNzE5NyAoRWxlY3Ry
b25pYykmI3hEOzAwMjEtOTcyWCAoTGlua2luZyk8L2lzYm4+PGFjY2Vzc2lvbi1udW0+MjAzMzU0
NDk8L2FjY2Vzc2lvbi1udW0+PHVybHM+PHJlbGF0ZWQtdXJscz48dXJsPmh0dHBzOi8vd3d3Lm5j
YmkubmxtLm5paC5nb3YvcHVibWVkLzIwMzM1NDQ5PC91cmw+PC9yZWxhdGVkLXVybHM+PC91cmxz
PjxlbGVjdHJvbmljLXJlc291cmNlLW51bT4xMC4xMjEwL2pjLjIwMDktMjI1NTwvZWxlY3Ryb25p
Yy1yZXNvdXJjZS1udW0+PC9yZWNvcmQ+PC9DaXRlPjwvRW5kTm90ZT5=
</w:fldData>
              </w:fldChar>
            </w:r>
            <w:r w:rsidR="002747EA">
              <w:rPr>
                <w:noProof/>
              </w:rPr>
              <w:instrText xml:space="preserve"> ADDIN EN.CITE </w:instrText>
            </w:r>
            <w:r w:rsidR="002747EA">
              <w:rPr>
                <w:noProof/>
              </w:rPr>
              <w:fldChar w:fldCharType="begin">
                <w:fldData xml:space="preserve">PEVuZE5vdGU+PENpdGU+PEF1dGhvcj5Ib3BraW5zPC9BdXRob3I+PFllYXI+MjAxMDwvWWVhcj48
UmVjTnVtPjY5MzwvUmVjTnVtPjxEaXNwbGF5VGV4dD48c3R5bGUgZmFjZT0ic3VwZXJzY3JpcHQi
IGZvbnQ9IlRyZWJ1Y2hldCBNUyIgc2l6ZT0iOSI+MjcyPC9zdHlsZT48L0Rpc3BsYXlUZXh0Pjxy
ZWNvcmQ+PHJlYy1udW1iZXI+NjkzPC9yZWMtbnVtYmVyPjxmb3JlaWduLWtleXM+PGtleSBhcHA9
IkVOIiBkYi1pZD0iZXh2YXNyZngyZHRyYW9lc2FzeHAyc3pzeGEyZGY1MDI1OTJ4IiB0aW1lc3Rh
bXA9IjE1NDA1MzAwNjciPjY5Mzwva2V5PjwvZm9yZWlnbi1rZXlzPjxyZWYtdHlwZSBuYW1lPSJK
b3VybmFsIEFydGljbGUiPjE3PC9yZWYtdHlwZT48Y29udHJpYnV0b3JzPjxhdXRob3JzPjxhdXRo
b3I+SG9wa2lucywgUy4gQS48L2F1dGhvcj48YXV0aG9yPkJhbGRpLCBKLiBDLjwvYXV0aG9yPjxh
dXRob3I+Q3V0ZmllbGQsIFcuIFMuPC9hdXRob3I+PGF1dGhvcj5NY0Nvd2FuLCBMLjwvYXV0aG9y
PjxhdXRob3I+SG9mbWFuLCBQLiBMLjwvYXV0aG9yPjwvYXV0aG9ycz48L2NvbnRyaWJ1dG9ycz48
YXV0aC1hZGRyZXNzPkxpZ2dpbnMgSW5zdGl0dXRlLCBUaGUgVW5pdmVyc2l0eSBvZiBBdWNrbGFu
ZCwgUE8gQm94IDkyMDE5LCBBdWNrbGFuZCAxMTQyLCBOZXcgWmVhbGFuZC48L2F1dGgtYWRkcmVz
cz48dGl0bGVzPjx0aXRsZT5FeGVyY2lzZSB0cmFpbmluZyBpbiBwcmVnbmFuY3kgcmVkdWNlcyBv
ZmZzcHJpbmcgc2l6ZSB3aXRob3V0IGNoYW5nZXMgaW4gbWF0ZXJuYWwgaW5zdWxpbiBzZW5zaXRp
dml0eTwvdGl0bGU+PHNlY29uZGFyeS10aXRsZT5KIENsaW4gRW5kb2NyaW5vbCBNZXRhYjwvc2Vj
b25kYXJ5LXRpdGxlPjwvdGl0bGVzPjxwZXJpb2RpY2FsPjxmdWxsLXRpdGxlPkogQ2xpbiBFbmRv
Y3Jpbm9sIE1ldGFiPC9mdWxsLXRpdGxlPjwvcGVyaW9kaWNhbD48cGFnZXM+MjA4MC04PC9wYWdl
cz48dm9sdW1lPjk1PC92b2x1bWU+PG51bWJlcj41PC9udW1iZXI+PGVkaXRpb24+MjAxMC8wMy8y
NjwvZWRpdGlvbj48a2V5d29yZHM+PGtleXdvcmQ+QWR1bHQ8L2tleXdvcmQ+PGtleXdvcmQ+QWVy
b2Jpb3Npczwva2V5d29yZD48a2V5d29yZD5CaWN5Y2xpbmc8L2tleXdvcmQ+PGtleXdvcmQ+KkJp
cnRoIFdlaWdodDwva2V5d29yZD48a2V5d29yZD5CbG9vZCBHbHVjb3NlL21ldGFib2xpc208L2tl
eXdvcmQ+PGtleXdvcmQ+Qm9keSBNYXNzIEluZGV4PC9rZXl3b3JkPjxrZXl3b3JkPkV4ZXJjaXNl
LypwaHlzaW9sb2d5PC9rZXl3b3JkPjxrZXl3b3JkPkZlbWFsZTwva2V5d29yZD48a2V5d29yZD5G
ZXRhbCBCbG9vZC9jaGVtaXN0cnk8L2tleXdvcmQ+PGtleXdvcmQ+RmV0YWwgRGV2ZWxvcG1lbnQv
KnBoeXNpb2xvZ3k8L2tleXdvcmQ+PGtleXdvcmQ+SHVtYW5zPC9rZXl3b3JkPjxrZXl3b3JkPklu
ZmFudCwgTmV3Ym9ybjwva2V5d29yZD48a2V5d29yZD5JbnN1bGluLypibG9vZDwva2V5d29yZD48
a2V5d29yZD5JbnN1bGluLUxpa2UgR3Jvd3RoIEZhY3RvciBJL21ldGFib2xpc208L2tleXdvcmQ+
PGtleXdvcmQ+SW5zdWxpbi1MaWtlIEdyb3d0aCBGYWN0b3IgSUkvbWV0YWJvbGlzbTwva2V5d29y
ZD48a2V5d29yZD5NYWxlPC9rZXl3b3JkPjxrZXl3b3JkPlByZWduYW5jeTwva2V5d29yZD48a2V5
d29yZD5QcmVnbmFuY3kgVHJpbWVzdGVyLCBTZWNvbmQ8L2tleXdvcmQ+PGtleXdvcmQ+UHJlZ25h
bmN5IFRyaW1lc3RlciwgVGhpcmQ8L2tleXdvcmQ+PGtleXdvcmQ+VXRlcnVzL3BoeXNpb2xvZ3k8
L2tleXdvcmQ+PC9rZXl3b3Jkcz48ZGF0ZXM+PHllYXI+MjAxMDwveWVhcj48cHViLWRhdGVzPjxk
YXRlPk1heTwvZGF0ZT48L3B1Yi1kYXRlcz48L2RhdGVzPjxpc2JuPjE5NDUtNzE5NyAoRWxlY3Ry
b25pYykmI3hEOzAwMjEtOTcyWCAoTGlua2luZyk8L2lzYm4+PGFjY2Vzc2lvbi1udW0+MjAzMzU0
NDk8L2FjY2Vzc2lvbi1udW0+PHVybHM+PHJlbGF0ZWQtdXJscz48dXJsPmh0dHBzOi8vd3d3Lm5j
YmkubmxtLm5paC5nb3YvcHVibWVkLzIwMzM1NDQ5PC91cmw+PC9yZWxhdGVkLXVybHM+PC91cmxz
PjxlbGVjdHJvbmljLXJlc291cmNlLW51bT4xMC4xMjEwL2pjLjIwMDktMjI1NTwvZWxlY3Ryb25p
Yy1yZXNvdXJjZS1udW0+PC9yZWNvcmQ+PC9DaXRlPjwvRW5kTm90ZT5=
</w:fldData>
              </w:fldChar>
            </w:r>
            <w:r w:rsidR="002747EA">
              <w:rPr>
                <w:noProof/>
              </w:rPr>
              <w:instrText xml:space="preserve"> ADDIN EN.CITE.DATA </w:instrText>
            </w:r>
            <w:r w:rsidR="002747EA">
              <w:rPr>
                <w:noProof/>
              </w:rPr>
            </w:r>
            <w:r w:rsidR="002747EA">
              <w:rPr>
                <w:noProof/>
              </w:rPr>
              <w:fldChar w:fldCharType="end"/>
            </w:r>
            <w:r w:rsidR="00616EE6">
              <w:rPr>
                <w:noProof/>
              </w:rPr>
            </w:r>
            <w:r w:rsidR="00616EE6">
              <w:rPr>
                <w:noProof/>
              </w:rPr>
              <w:fldChar w:fldCharType="separate"/>
            </w:r>
            <w:r w:rsidR="002747EA" w:rsidRPr="002747EA">
              <w:rPr>
                <w:noProof/>
                <w:vertAlign w:val="superscript"/>
              </w:rPr>
              <w:t>272</w:t>
            </w:r>
            <w:r w:rsidR="00616EE6">
              <w:rPr>
                <w:noProof/>
              </w:rPr>
              <w:fldChar w:fldCharType="end"/>
            </w:r>
            <w:r>
              <w:rPr>
                <w:noProof/>
              </w:rPr>
              <w:t xml:space="preserve"> Hopkins et al 2011</w:t>
            </w:r>
            <w:r w:rsidR="00616EE6">
              <w:fldChar w:fldCharType="begin">
                <w:fldData xml:space="preserve">PEVuZE5vdGU+PENpdGU+PEF1dGhvcj5Ib3BraW5zPC9BdXRob3I+PFllYXI+MjAxMTwvWWVhcj48
UmVjTnVtPjcyODwvUmVjTnVtPjxEaXNwbGF5VGV4dD48c3R5bGUgZmFjZT0ic3VwZXJzY3JpcHQi
IGZvbnQ9IlRyZWJ1Y2hldCBNUyIgc2l6ZT0iOSI+NTQwPC9zdHlsZT48L0Rpc3BsYXlUZXh0Pjxy
ZWNvcmQ+PHJlYy1udW1iZXI+NzI4PC9yZWMtbnVtYmVyPjxmb3JlaWduLWtleXM+PGtleSBhcHA9
IkVOIiBkYi1pZD0iZXh2YXNyZngyZHRyYW9lc2FzeHAyc3pzeGEyZGY1MDI1OTJ4IiB0aW1lc3Rh
bXA9IjE1NDE0NjU1OTQiPjcyODwva2V5PjwvZm9yZWlnbi1rZXlzPjxyZWYtdHlwZSBuYW1lPSJK
b3VybmFsIEFydGljbGUiPjE3PC9yZWYtdHlwZT48Y29udHJpYnV0b3JzPjxhdXRob3JzPjxhdXRo
b3I+SG9wa2lucywgUy4gQS48L2F1dGhvcj48YXV0aG9yPkJhbGRpLCBKLiBDLjwvYXV0aG9yPjxh
dXRob3I+Q3V0ZmllbGQsIFcuIFMuPC9hdXRob3I+PGF1dGhvcj5NY0Nvd2FuLCBMLjwvYXV0aG9y
PjxhdXRob3I+SG9mbWFuLCBQLiBMLjwvYXV0aG9yPjwvYXV0aG9ycz48L2NvbnRyaWJ1dG9ycz48
YXV0aC1hZGRyZXNzPkxpZ2dpbnMgSW5zdGl0dXRlLCBUaGUgVW5pdmVyc2l0eSBvZiBBdWNrbGFu
ZCwgQXVja2xhbmQsIE5ldyBaZWFsYW5kLjwvYXV0aC1hZGRyZXNzPjx0aXRsZXM+PHRpdGxlPkVm
ZmVjdHMgb2YgZXhlcmNpc2UgdHJhaW5pbmcgb24gbWF0ZXJuYWwgaG9ybW9uYWwgY2hhbmdlcyBp
biBwcmVnbmFuY3k8L3RpdGxlPjxzZWNvbmRhcnktdGl0bGU+Q2xpbiBFbmRvY3Jpbm9sIChPeGYp
PC9zZWNvbmRhcnktdGl0bGU+PC90aXRsZXM+PHBlcmlvZGljYWw+PGZ1bGwtdGl0bGU+Q2xpbiBF
bmRvY3Jpbm9sIChPeGYpPC9mdWxsLXRpdGxlPjwvcGVyaW9kaWNhbD48cGFnZXM+NDk1LTUwMDwv
cGFnZXM+PHZvbHVtZT43NDwvdm9sdW1lPjxudW1iZXI+NDwvbnVtYmVyPjxlZGl0aW9uPjIwMTEv
MDEvMDU8L2VkaXRpb24+PGtleXdvcmRzPjxrZXl3b3JkPkFkdWx0PC9rZXl3b3JkPjxrZXl3b3Jk
PkJpcnRoIFdlaWdodC8qcGh5c2lvbG9neTwva2V5d29yZD48a2V5d29yZD5FeGVyY2lzZS8qcGh5
c2lvbG9neTwva2V5d29yZD48a2V5d29yZD5GYXR0eSBBY2lkcywgTm9uZXN0ZXJpZmllZC9ibG9v
ZDwva2V5d29yZD48a2V5d29yZD5GZW1hbGU8L2tleXdvcmQ+PGtleXdvcmQ+SG9ybW9uZXMvKmJs
b29kPC9rZXl3b3JkPjxrZXl3b3JkPkh1bWFuczwva2V5d29yZD48a2V5d29yZD5JbmZhbnQsIE5l
d2Jvcm48L2tleXdvcmQ+PGtleXdvcmQ+SW5zdWxpbi1MaWtlIEdyb3d0aCBGYWN0b3IgQmluZGlu
ZyBQcm90ZWluIDEvYmxvb2Q8L2tleXdvcmQ+PGtleXdvcmQ+SW5zdWxpbi1MaWtlIEdyb3d0aCBG
YWN0b3IgQmluZGluZyBQcm90ZWluIDMvYmxvb2Q8L2tleXdvcmQ+PGtleXdvcmQ+SW5zdWxpbi1M
aWtlIEdyb3d0aCBGYWN0b3IgSS9tZXRhYm9saXNtPC9rZXl3b3JkPjxrZXl3b3JkPkluc3VsaW4t
TGlrZSBHcm93dGggRmFjdG9yIElJL21ldGFib2xpc208L2tleXdvcmQ+PGtleXdvcmQ+TGVwdGlu
L2Jsb29kPC9rZXl3b3JkPjxrZXl3b3JkPlBsYWNlbnRhIEdyb3d0aCBGYWN0b3I8L2tleXdvcmQ+
PGtleXdvcmQ+UGxhY2VudGFsIEhvcm1vbmVzL2Jsb29kPC9rZXl3b3JkPjxrZXl3b3JkPlByZWdu
YW5jeTwva2V5d29yZD48a2V5d29yZD5QcmVnbmFuY3kgUHJvdGVpbnMvYmxvb2Q8L2tleXdvcmQ+
PGtleXdvcmQ+WW91bmcgQWR1bHQ8L2tleXdvcmQ+PC9rZXl3b3Jkcz48ZGF0ZXM+PHllYXI+MjAx
MTwveWVhcj48cHViLWRhdGVzPjxkYXRlPkFwcjwvZGF0ZT48L3B1Yi1kYXRlcz48L2RhdGVzPjxp
c2JuPjEzNjUtMjI2NSAoRWxlY3Ryb25pYykmI3hEOzAzMDAtMDY2NCAoTGlua2luZyk8L2lzYm4+
PGFjY2Vzc2lvbi1udW0+MjExOTg3NDA8L2FjY2Vzc2lvbi1udW0+PHVybHM+PHJlbGF0ZWQtdXJs
cz48dXJsPmh0dHBzOi8vd3d3Lm5jYmkubmxtLm5paC5nb3YvcHVibWVkLzIxMTk4NzQwPC91cmw+
PC9yZWxhdGVkLXVybHM+PC91cmxzPjxlbGVjdHJvbmljLXJlc291cmNlLW51bT4xMC4xMTExL2ou
MTM2NS0yMjY1LjIwMTAuMDM5NjQueDwvZWxlY3Ryb25pYy1yZXNvdXJjZS1udW0+PC9yZWNvcmQ+
PC9DaXRlPjwvRW5kTm90ZT5=
</w:fldData>
              </w:fldChar>
            </w:r>
            <w:r w:rsidR="002747EA">
              <w:instrText xml:space="preserve"> ADDIN EN.CITE </w:instrText>
            </w:r>
            <w:r w:rsidR="002747EA">
              <w:fldChar w:fldCharType="begin">
                <w:fldData xml:space="preserve">PEVuZE5vdGU+PENpdGU+PEF1dGhvcj5Ib3BraW5zPC9BdXRob3I+PFllYXI+MjAxMTwvWWVhcj48
UmVjTnVtPjcyODwvUmVjTnVtPjxEaXNwbGF5VGV4dD48c3R5bGUgZmFjZT0ic3VwZXJzY3JpcHQi
IGZvbnQ9IlRyZWJ1Y2hldCBNUyIgc2l6ZT0iOSI+NTQwPC9zdHlsZT48L0Rpc3BsYXlUZXh0Pjxy
ZWNvcmQ+PHJlYy1udW1iZXI+NzI4PC9yZWMtbnVtYmVyPjxmb3JlaWduLWtleXM+PGtleSBhcHA9
IkVOIiBkYi1pZD0iZXh2YXNyZngyZHRyYW9lc2FzeHAyc3pzeGEyZGY1MDI1OTJ4IiB0aW1lc3Rh
bXA9IjE1NDE0NjU1OTQiPjcyODwva2V5PjwvZm9yZWlnbi1rZXlzPjxyZWYtdHlwZSBuYW1lPSJK
b3VybmFsIEFydGljbGUiPjE3PC9yZWYtdHlwZT48Y29udHJpYnV0b3JzPjxhdXRob3JzPjxhdXRo
b3I+SG9wa2lucywgUy4gQS48L2F1dGhvcj48YXV0aG9yPkJhbGRpLCBKLiBDLjwvYXV0aG9yPjxh
dXRob3I+Q3V0ZmllbGQsIFcuIFMuPC9hdXRob3I+PGF1dGhvcj5NY0Nvd2FuLCBMLjwvYXV0aG9y
PjxhdXRob3I+SG9mbWFuLCBQLiBMLjwvYXV0aG9yPjwvYXV0aG9ycz48L2NvbnRyaWJ1dG9ycz48
YXV0aC1hZGRyZXNzPkxpZ2dpbnMgSW5zdGl0dXRlLCBUaGUgVW5pdmVyc2l0eSBvZiBBdWNrbGFu
ZCwgQXVja2xhbmQsIE5ldyBaZWFsYW5kLjwvYXV0aC1hZGRyZXNzPjx0aXRsZXM+PHRpdGxlPkVm
ZmVjdHMgb2YgZXhlcmNpc2UgdHJhaW5pbmcgb24gbWF0ZXJuYWwgaG9ybW9uYWwgY2hhbmdlcyBp
biBwcmVnbmFuY3k8L3RpdGxlPjxzZWNvbmRhcnktdGl0bGU+Q2xpbiBFbmRvY3Jpbm9sIChPeGYp
PC9zZWNvbmRhcnktdGl0bGU+PC90aXRsZXM+PHBlcmlvZGljYWw+PGZ1bGwtdGl0bGU+Q2xpbiBF
bmRvY3Jpbm9sIChPeGYpPC9mdWxsLXRpdGxlPjwvcGVyaW9kaWNhbD48cGFnZXM+NDk1LTUwMDwv
cGFnZXM+PHZvbHVtZT43NDwvdm9sdW1lPjxudW1iZXI+NDwvbnVtYmVyPjxlZGl0aW9uPjIwMTEv
MDEvMDU8L2VkaXRpb24+PGtleXdvcmRzPjxrZXl3b3JkPkFkdWx0PC9rZXl3b3JkPjxrZXl3b3Jk
PkJpcnRoIFdlaWdodC8qcGh5c2lvbG9neTwva2V5d29yZD48a2V5d29yZD5FeGVyY2lzZS8qcGh5
c2lvbG9neTwva2V5d29yZD48a2V5d29yZD5GYXR0eSBBY2lkcywgTm9uZXN0ZXJpZmllZC9ibG9v
ZDwva2V5d29yZD48a2V5d29yZD5GZW1hbGU8L2tleXdvcmQ+PGtleXdvcmQ+SG9ybW9uZXMvKmJs
b29kPC9rZXl3b3JkPjxrZXl3b3JkPkh1bWFuczwva2V5d29yZD48a2V5d29yZD5JbmZhbnQsIE5l
d2Jvcm48L2tleXdvcmQ+PGtleXdvcmQ+SW5zdWxpbi1MaWtlIEdyb3d0aCBGYWN0b3IgQmluZGlu
ZyBQcm90ZWluIDEvYmxvb2Q8L2tleXdvcmQ+PGtleXdvcmQ+SW5zdWxpbi1MaWtlIEdyb3d0aCBG
YWN0b3IgQmluZGluZyBQcm90ZWluIDMvYmxvb2Q8L2tleXdvcmQ+PGtleXdvcmQ+SW5zdWxpbi1M
aWtlIEdyb3d0aCBGYWN0b3IgSS9tZXRhYm9saXNtPC9rZXl3b3JkPjxrZXl3b3JkPkluc3VsaW4t
TGlrZSBHcm93dGggRmFjdG9yIElJL21ldGFib2xpc208L2tleXdvcmQ+PGtleXdvcmQ+TGVwdGlu
L2Jsb29kPC9rZXl3b3JkPjxrZXl3b3JkPlBsYWNlbnRhIEdyb3d0aCBGYWN0b3I8L2tleXdvcmQ+
PGtleXdvcmQ+UGxhY2VudGFsIEhvcm1vbmVzL2Jsb29kPC9rZXl3b3JkPjxrZXl3b3JkPlByZWdu
YW5jeTwva2V5d29yZD48a2V5d29yZD5QcmVnbmFuY3kgUHJvdGVpbnMvYmxvb2Q8L2tleXdvcmQ+
PGtleXdvcmQ+WW91bmcgQWR1bHQ8L2tleXdvcmQ+PC9rZXl3b3Jkcz48ZGF0ZXM+PHllYXI+MjAx
MTwveWVhcj48cHViLWRhdGVzPjxkYXRlPkFwcjwvZGF0ZT48L3B1Yi1kYXRlcz48L2RhdGVzPjxp
c2JuPjEzNjUtMjI2NSAoRWxlY3Ryb25pYykmI3hEOzAzMDAtMDY2NCAoTGlua2luZyk8L2lzYm4+
PGFjY2Vzc2lvbi1udW0+MjExOTg3NDA8L2FjY2Vzc2lvbi1udW0+PHVybHM+PHJlbGF0ZWQtdXJs
cz48dXJsPmh0dHBzOi8vd3d3Lm5jYmkubmxtLm5paC5nb3YvcHVibWVkLzIxMTk4NzQwPC91cmw+
PC9yZWxhdGVkLXVybHM+PC91cmxzPjxlbGVjdHJvbmljLXJlc291cmNlLW51bT4xMC4xMTExL2ou
MTM2NS0yMjY1LjIwMTAuMDM5NjQueDwvZWxlY3Ryb25pYy1yZXNvdXJjZS1udW0+PC9yZWNvcmQ+
PC9DaXRlPjwvRW5kTm90ZT5=
</w:fldData>
              </w:fldChar>
            </w:r>
            <w:r w:rsidR="002747EA">
              <w:instrText xml:space="preserve"> ADDIN EN.CITE.DATA </w:instrText>
            </w:r>
            <w:r w:rsidR="002747EA">
              <w:fldChar w:fldCharType="end"/>
            </w:r>
            <w:r w:rsidR="00616EE6">
              <w:fldChar w:fldCharType="separate"/>
            </w:r>
            <w:r w:rsidR="002747EA" w:rsidRPr="002747EA">
              <w:rPr>
                <w:noProof/>
                <w:vertAlign w:val="superscript"/>
              </w:rPr>
              <w:t>540</w:t>
            </w:r>
            <w:r w:rsidR="00616EE6">
              <w:fldChar w:fldCharType="end"/>
            </w:r>
          </w:p>
          <w:p w14:paraId="1357BD03" w14:textId="4C8B3575" w:rsidR="000A1756" w:rsidRPr="00362C86" w:rsidRDefault="00DD3C0C" w:rsidP="00E70A06">
            <w:r w:rsidRPr="00C12274">
              <w:t>New Zealand</w:t>
            </w:r>
          </w:p>
        </w:tc>
        <w:tc>
          <w:tcPr>
            <w:tcW w:w="1670" w:type="dxa"/>
            <w:tcBorders>
              <w:left w:val="single" w:sz="4" w:space="0" w:color="3B3474"/>
              <w:right w:val="single" w:sz="4" w:space="0" w:color="3B3474"/>
            </w:tcBorders>
          </w:tcPr>
          <w:p w14:paraId="331FDCF8" w14:textId="77777777" w:rsidR="000A1756" w:rsidRDefault="000A1756" w:rsidP="00D424F3">
            <w:r>
              <w:t>Intervention 47</w:t>
            </w:r>
          </w:p>
          <w:p w14:paraId="27FADE41" w14:textId="1C245A63" w:rsidR="000A1756" w:rsidRDefault="000A1756" w:rsidP="00D424F3">
            <w:r>
              <w:t>Control 37</w:t>
            </w:r>
          </w:p>
        </w:tc>
        <w:tc>
          <w:tcPr>
            <w:tcW w:w="5395" w:type="dxa"/>
            <w:tcBorders>
              <w:left w:val="single" w:sz="4" w:space="0" w:color="3B3474"/>
              <w:right w:val="single" w:sz="4" w:space="0" w:color="3B3474"/>
            </w:tcBorders>
          </w:tcPr>
          <w:p w14:paraId="238CB66A" w14:textId="77777777" w:rsidR="000A1756" w:rsidRDefault="000A1756" w:rsidP="00C45CE5">
            <w:r w:rsidRPr="00C45CE5">
              <w:rPr>
                <w:b/>
              </w:rPr>
              <w:t>Aim</w:t>
            </w:r>
            <w:r>
              <w:t xml:space="preserve">: </w:t>
            </w:r>
            <w:r w:rsidRPr="00C45CE5">
              <w:t xml:space="preserve">to determine the effects of aerobic exercise training in the second half of pregnancy on maternal insulin sensitivity and neonatal outcomes. </w:t>
            </w:r>
          </w:p>
          <w:p w14:paraId="7D8934BB" w14:textId="46849612" w:rsidR="000A1756" w:rsidRDefault="000A1756" w:rsidP="00C45CE5">
            <w:r w:rsidRPr="00C45CE5">
              <w:rPr>
                <w:b/>
              </w:rPr>
              <w:t>Population</w:t>
            </w:r>
            <w:r>
              <w:t>: H</w:t>
            </w:r>
            <w:r w:rsidRPr="00C45CE5">
              <w:t>ealthy nulliparous women (age, 30</w:t>
            </w:r>
            <w:r>
              <w:t>±</w:t>
            </w:r>
            <w:r w:rsidRPr="00C45CE5">
              <w:t xml:space="preserve">4 yr; </w:t>
            </w:r>
            <w:r>
              <w:t>BMI 25.5±4 kg/m</w:t>
            </w:r>
            <w:r w:rsidRPr="00C45CE5">
              <w:rPr>
                <w:vertAlign w:val="superscript"/>
              </w:rPr>
              <w:t>2</w:t>
            </w:r>
            <w:r>
              <w:t>).</w:t>
            </w:r>
          </w:p>
          <w:p w14:paraId="36004C27" w14:textId="77777777" w:rsidR="00DD3C0C" w:rsidRDefault="00DD3C0C" w:rsidP="00DD3C0C">
            <w:r w:rsidRPr="005E4EF9">
              <w:rPr>
                <w:b/>
              </w:rPr>
              <w:t>Intervention</w:t>
            </w:r>
            <w:r>
              <w:rPr>
                <w:b/>
              </w:rPr>
              <w:t>:</w:t>
            </w:r>
          </w:p>
          <w:p w14:paraId="4476411F" w14:textId="64565F08" w:rsidR="00DD3C0C" w:rsidRPr="00C45716" w:rsidRDefault="00DD3C0C" w:rsidP="00DD3C0C">
            <w:pPr>
              <w:pStyle w:val="bullet"/>
            </w:pPr>
            <w:r w:rsidRPr="00C45716">
              <w:rPr>
                <w:i/>
              </w:rPr>
              <w:t>Supervised</w:t>
            </w:r>
            <w:r w:rsidRPr="00C45716">
              <w:t xml:space="preserve">: </w:t>
            </w:r>
            <w:r>
              <w:t>No</w:t>
            </w:r>
          </w:p>
          <w:p w14:paraId="07AD0AA5" w14:textId="4C2EC36C" w:rsidR="00DD3C0C" w:rsidRPr="00DD3C0C" w:rsidRDefault="00DD3C0C" w:rsidP="00DD3C0C">
            <w:pPr>
              <w:pStyle w:val="bullet"/>
            </w:pPr>
            <w:r w:rsidRPr="00C45716">
              <w:rPr>
                <w:i/>
              </w:rPr>
              <w:t>Type and duration</w:t>
            </w:r>
            <w:r w:rsidRPr="00C45716">
              <w:t xml:space="preserve">: </w:t>
            </w:r>
            <w:r>
              <w:t xml:space="preserve">Aerobic; </w:t>
            </w:r>
            <w:r w:rsidRPr="00C12274">
              <w:t>Stationary cycling</w:t>
            </w:r>
            <w:r>
              <w:t xml:space="preserve">; </w:t>
            </w:r>
            <w:r w:rsidRPr="00C12274">
              <w:t>40 min, up to 5 times a week</w:t>
            </w:r>
          </w:p>
          <w:p w14:paraId="5E2D2600" w14:textId="1CA7C0EF" w:rsidR="000A1756" w:rsidRPr="00BB7E94" w:rsidRDefault="00DD3C0C" w:rsidP="00DD3C0C">
            <w:pPr>
              <w:pStyle w:val="bullet"/>
              <w:rPr>
                <w:rFonts w:ascii="Times" w:hAnsi="Times"/>
              </w:rPr>
            </w:pPr>
            <w:r w:rsidRPr="00C45716">
              <w:rPr>
                <w:i/>
              </w:rPr>
              <w:t>Intensity</w:t>
            </w:r>
            <w:r w:rsidRPr="00C45716">
              <w:t xml:space="preserve">: </w:t>
            </w:r>
            <w:r w:rsidRPr="00C12274">
              <w:t>Moderate; 65% of predicted capacity</w:t>
            </w:r>
            <w:r>
              <w:t>.</w:t>
            </w:r>
          </w:p>
        </w:tc>
        <w:tc>
          <w:tcPr>
            <w:tcW w:w="5953" w:type="dxa"/>
            <w:tcBorders>
              <w:left w:val="single" w:sz="4" w:space="0" w:color="3B3474"/>
              <w:right w:val="single" w:sz="4" w:space="0" w:color="3B3474"/>
            </w:tcBorders>
          </w:tcPr>
          <w:p w14:paraId="5032E3F5" w14:textId="77777777" w:rsidR="000A1756" w:rsidRDefault="000A1756" w:rsidP="00C45CE5">
            <w:r>
              <w:t>Intervention vs control:</w:t>
            </w:r>
          </w:p>
          <w:p w14:paraId="76893D14" w14:textId="4B602151" w:rsidR="000A1756" w:rsidRDefault="000A1756" w:rsidP="00C45CE5">
            <w:pPr>
              <w:pStyle w:val="bullet"/>
            </w:pPr>
            <w:r>
              <w:t>Gestational weight gain: 8.3±2.7 vs 8.9±3.3</w:t>
            </w:r>
          </w:p>
          <w:p w14:paraId="0517A54C" w14:textId="606B8921" w:rsidR="000A1756" w:rsidRPr="00FE54FF" w:rsidRDefault="00AA7314" w:rsidP="004A260E">
            <w:pPr>
              <w:pStyle w:val="bullet"/>
            </w:pPr>
            <w:r>
              <w:t>Small for gestational age</w:t>
            </w:r>
            <w:r w:rsidR="000A1756">
              <w:t>:</w:t>
            </w:r>
            <w:r w:rsidR="000A1756" w:rsidRPr="00354D22">
              <w:t xml:space="preserve"> 4 (8.5)</w:t>
            </w:r>
            <w:r w:rsidR="000A1756">
              <w:t xml:space="preserve"> vs </w:t>
            </w:r>
            <w:r w:rsidR="000A1756" w:rsidRPr="00354D22">
              <w:t>3 (8.1)</w:t>
            </w:r>
          </w:p>
        </w:tc>
      </w:tr>
      <w:tr w:rsidR="000A1756" w:rsidRPr="00A652CB" w14:paraId="49041CB8"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205D18C7" w14:textId="1CD27450" w:rsidR="00DD3C0C" w:rsidRPr="00C12274" w:rsidRDefault="00DD3C0C" w:rsidP="00E70A06">
            <w:r w:rsidRPr="00C12274">
              <w:rPr>
                <w:noProof/>
              </w:rPr>
              <w:t>Kong et al 2014a;</w:t>
            </w:r>
            <w:r w:rsidR="00616EE6">
              <w:rPr>
                <w:noProof/>
              </w:rPr>
              <w:fldChar w:fldCharType="begin"/>
            </w:r>
            <w:r w:rsidR="002747EA">
              <w:rPr>
                <w:noProof/>
              </w:rPr>
              <w:instrText xml:space="preserve"> ADDIN EN.CITE &lt;EndNote&gt;&lt;Cite&gt;&lt;Author&gt;Kong&lt;/Author&gt;&lt;Year&gt;2014&lt;/Year&gt;&lt;RecNum&gt;748&lt;/RecNum&gt;&lt;DisplayText&gt;&lt;style face="superscript" font="Trebuchet MS" size="9"&gt;449&lt;/style&gt;&lt;/DisplayText&gt;&lt;record&gt;&lt;rec-number&gt;748&lt;/rec-number&gt;&lt;foreign-keys&gt;&lt;key app="EN" db-id="exvasrfx2dtraoesasxp2szsxa2df502592x" timestamp="1541467905"&gt;748&lt;/key&gt;&lt;key app="ENWeb" db-id=""&gt;0&lt;/key&gt;&lt;/foreign-keys&gt;&lt;ref-type name="Journal Article"&gt;17&lt;/ref-type&gt;&lt;contributors&gt;&lt;authors&gt;&lt;author&gt;Kong, K. L.&lt;/author&gt;&lt;author&gt;Campbell, C.&lt;/author&gt;&lt;author&gt;Wagner, K.&lt;/author&gt;&lt;author&gt;Peterson, A.&lt;/author&gt;&lt;author&gt;Lanningham-Foster, L.&lt;/author&gt;&lt;/authors&gt;&lt;/contributors&gt;&lt;titles&gt;&lt;title&gt;Impact of a walking intervention during pregnancy on post-partum weight retention and infant anthropometric outcomes&lt;/title&gt;&lt;secondary-title&gt;Journal of Developmental Origins of Health and Disease&lt;/secondary-title&gt;&lt;/titles&gt;&lt;periodical&gt;&lt;full-title&gt;Journal of Developmental Origins of Health and Disease&lt;/full-title&gt;&lt;/periodical&gt;&lt;pages&gt;259-267&lt;/pages&gt;&lt;volume&gt;5&lt;/volume&gt;&lt;number&gt;03&lt;/number&gt;&lt;section&gt;259&lt;/section&gt;&lt;dates&gt;&lt;year&gt;2014&lt;/year&gt;&lt;/dates&gt;&lt;isbn&gt;2040-1744&amp;#xD;2040-1752&lt;/isbn&gt;&lt;urls&gt;&lt;/urls&gt;&lt;electronic-resource-num&gt;10.1017/s2040174414000117&lt;/electronic-resource-num&gt;&lt;/record&gt;&lt;/Cite&gt;&lt;/EndNote&gt;</w:instrText>
            </w:r>
            <w:r w:rsidR="00616EE6">
              <w:rPr>
                <w:noProof/>
              </w:rPr>
              <w:fldChar w:fldCharType="separate"/>
            </w:r>
            <w:r w:rsidR="002747EA" w:rsidRPr="002747EA">
              <w:rPr>
                <w:noProof/>
                <w:vertAlign w:val="superscript"/>
              </w:rPr>
              <w:t>449</w:t>
            </w:r>
            <w:r w:rsidR="00616EE6">
              <w:rPr>
                <w:noProof/>
              </w:rPr>
              <w:fldChar w:fldCharType="end"/>
            </w:r>
            <w:r w:rsidRPr="00C12274">
              <w:rPr>
                <w:noProof/>
              </w:rPr>
              <w:t xml:space="preserve"> Kong et a</w:t>
            </w:r>
            <w:r>
              <w:rPr>
                <w:noProof/>
              </w:rPr>
              <w:t>l 2014b</w:t>
            </w:r>
            <w:r w:rsidR="00616EE6">
              <w:fldChar w:fldCharType="begin">
                <w:fldData xml:space="preserve">PEVuZE5vdGU+PENpdGU+PEF1dGhvcj5Lb25nPC9BdXRob3I+PFllYXI+MjAxNDwvWWVhcj48UmVj
TnVtPjY5NjwvUmVjTnVtPjxEaXNwbGF5VGV4dD48c3R5bGUgZmFjZT0ic3VwZXJzY3JpcHQiIGZv
bnQ9IlRyZWJ1Y2hldCBNUyIgc2l6ZT0iOSI+NTQxPC9zdHlsZT48L0Rpc3BsYXlUZXh0PjxyZWNv
cmQ+PHJlYy1udW1iZXI+Njk2PC9yZWMtbnVtYmVyPjxmb3JlaWduLWtleXM+PGtleSBhcHA9IkVO
IiBkYi1pZD0iZXh2YXNyZngyZHRyYW9lc2FzeHAyc3pzeGEyZGY1MDI1OTJ4IiB0aW1lc3RhbXA9
IjE1NDA1MzAyMzYiPjY5Njwva2V5PjwvZm9yZWlnbi1rZXlzPjxyZWYtdHlwZSBuYW1lPSJKb3Vy
bmFsIEFydGljbGUiPjE3PC9yZWYtdHlwZT48Y29udHJpYnV0b3JzPjxhdXRob3JzPjxhdXRob3I+
S29uZywgSy4gTC48L2F1dGhvcj48YXV0aG9yPkNhbXBiZWxsLCBDLiBHLjwvYXV0aG9yPjxhdXRo
b3I+Rm9zdGVyLCBSLiBDLjwvYXV0aG9yPjxhdXRob3I+UGV0ZXJzb24sIEEuIEQuPC9hdXRob3I+
PGF1dGhvcj5MYW5uaW5naGFtLUZvc3RlciwgTC48L2F1dGhvcj48L2F1dGhvcnM+PC9jb250cmli
dXRvcnM+PGF1dGgtYWRkcmVzcz4xRGVwYXJ0bWVudCBvZiBGb29kIFNjaWVuY2UgYW5kIEh1bWFu
IE51dHJpdGlvbiwgSW93YSBTdGF0ZSBVbml2ZXJzaXR5LCBBbWVzLCBJQTsgMkludGVyZGVwYXJ0
bWVudGFsIEdyYWR1YXRlIFByb2dyYW0gaW4gTnV0cml0aW9uYWwgU2NpZW5jZXMsIElvd2EgU3Rh
dGUgVW5pdmVyc2l0eSwgQW1lcywgSUE7IDNEZXBhcnRtZW50IG9mIFN0YXRpc3RpY3MsIElvd2Eg
U3RhdGUgVW5pdmVyc2l0eSwgQW1lcywgSUE7IGFuZCA0RGVwYXJ0bWVudCBvZiBLaW5lc2lvbG9n
eSwgSW93YSBTdGF0ZSBVbml2ZXJzaXR5LCBBbWVzLCBJQS48L2F1dGgtYWRkcmVzcz48dGl0bGVz
Pjx0aXRsZT5BIHBpbG90IHdhbGtpbmcgcHJvZ3JhbSBwcm9tb3RlcyBtb2RlcmF0ZS1pbnRlbnNp
dHkgcGh5c2ljYWwgYWN0aXZpdHkgZHVyaW5nIHByZWduYW5jeTwvdGl0bGU+PHNlY29uZGFyeS10
aXRsZT5NZWQgU2NpIFNwb3J0cyBFeGVyYzwvc2Vjb25kYXJ5LXRpdGxlPjwvdGl0bGVzPjxwZXJp
b2RpY2FsPjxmdWxsLXRpdGxlPk1lZCBTY2kgU3BvcnRzIEV4ZXJjPC9mdWxsLXRpdGxlPjwvcGVy
aW9kaWNhbD48cGFnZXM+NDYyLTcxPC9wYWdlcz48dm9sdW1lPjQ2PC92b2x1bWU+PG51bWJlcj4z
PC9udW1iZXI+PGVkaXRpb24+MjAxMy8wOS8wNTwvZWRpdGlvbj48a2V5d29yZHM+PGtleXdvcmQ+
QWR1bHQ8L2tleXdvcmQ+PGtleXdvcmQ+QW50aHJvcG9tZXRyeTwva2V5d29yZD48a2V5d29yZD5F
eGVyY2lzZS8qcGh5c2lvbG9neTwva2V5d29yZD48a2V5d29yZD5GZW1hbGU8L2tleXdvcmQ+PGtl
eXdvcmQ+KkhlYWx0aCBQcm9tb3Rpb248L2tleXdvcmQ+PGtleXdvcmQ+SHVtYW5zPC9rZXl3b3Jk
PjxrZXl3b3JkPipPdmVyd2VpZ2h0L3BoeXNpb3BhdGhvbG9neTwva2V5d29yZD48a2V5d29yZD5Q
aWxvdCBQcm9qZWN0czwva2V5d29yZD48a2V5d29yZD5QcmVnbmFuY3k8L2tleXdvcmQ+PGtleXdv
cmQ+KlByZWduYW5jeSBDb21wbGljYXRpb25zPC9rZXl3b3JkPjxrZXl3b3JkPlByZWduYW5jeSBP
dXRjb21lPC9rZXl3b3JkPjxrZXl3b3JkPlN0YXRpc3RpY3MsIE5vbnBhcmFtZXRyaWM8L2tleXdv
cmQ+PGtleXdvcmQ+U3VydmV5cyBhbmQgUXVlc3Rpb25uYWlyZXM8L2tleXdvcmQ+PGtleXdvcmQ+
V2Fsa2luZy8qcGh5c2lvbG9neTwva2V5d29yZD48a2V5d29yZD5Zb3VuZyBBZHVsdDwva2V5d29y
ZD48L2tleXdvcmRzPjxkYXRlcz48eWVhcj4yMDE0PC95ZWFyPjxwdWItZGF0ZXM+PGRhdGU+TWFy
PC9kYXRlPjwvcHViLWRhdGVzPjwvZGF0ZXM+PGlzYm4+MTUzMC0wMzE1IChFbGVjdHJvbmljKSYj
eEQ7MDE5NS05MTMxIChMaW5raW5nKTwvaXNibj48YWNjZXNzaW9uLW51bT4yNDAwMjM0ODwvYWNj
ZXNzaW9uLW51bT48dXJscz48cmVsYXRlZC11cmxzPjx1cmw+aHR0cHM6Ly93d3cubmNiaS5ubG0u
bmloLmdvdi9wdWJtZWQvMjQwMDIzNDg8L3VybD48L3JlbGF0ZWQtdXJscz48L3VybHM+PGVsZWN0
cm9uaWMtcmVzb3VyY2UtbnVtPjEwLjEyNDkvTVNTLjAwMDAwMDAwMDAwMDAxNDE8L2VsZWN0cm9u
aWMtcmVzb3VyY2UtbnVtPjwvcmVjb3JkPjwvQ2l0ZT48L0VuZE5vdGU+AG==
</w:fldData>
              </w:fldChar>
            </w:r>
            <w:r w:rsidR="002747EA">
              <w:instrText xml:space="preserve"> ADDIN EN.CITE </w:instrText>
            </w:r>
            <w:r w:rsidR="002747EA">
              <w:fldChar w:fldCharType="begin">
                <w:fldData xml:space="preserve">PEVuZE5vdGU+PENpdGU+PEF1dGhvcj5Lb25nPC9BdXRob3I+PFllYXI+MjAxNDwvWWVhcj48UmVj
TnVtPjY5NjwvUmVjTnVtPjxEaXNwbGF5VGV4dD48c3R5bGUgZmFjZT0ic3VwZXJzY3JpcHQiIGZv
bnQ9IlRyZWJ1Y2hldCBNUyIgc2l6ZT0iOSI+NTQxPC9zdHlsZT48L0Rpc3BsYXlUZXh0PjxyZWNv
cmQ+PHJlYy1udW1iZXI+Njk2PC9yZWMtbnVtYmVyPjxmb3JlaWduLWtleXM+PGtleSBhcHA9IkVO
IiBkYi1pZD0iZXh2YXNyZngyZHRyYW9lc2FzeHAyc3pzeGEyZGY1MDI1OTJ4IiB0aW1lc3RhbXA9
IjE1NDA1MzAyMzYiPjY5Njwva2V5PjwvZm9yZWlnbi1rZXlzPjxyZWYtdHlwZSBuYW1lPSJKb3Vy
bmFsIEFydGljbGUiPjE3PC9yZWYtdHlwZT48Y29udHJpYnV0b3JzPjxhdXRob3JzPjxhdXRob3I+
S29uZywgSy4gTC48L2F1dGhvcj48YXV0aG9yPkNhbXBiZWxsLCBDLiBHLjwvYXV0aG9yPjxhdXRo
b3I+Rm9zdGVyLCBSLiBDLjwvYXV0aG9yPjxhdXRob3I+UGV0ZXJzb24sIEEuIEQuPC9hdXRob3I+
PGF1dGhvcj5MYW5uaW5naGFtLUZvc3RlciwgTC48L2F1dGhvcj48L2F1dGhvcnM+PC9jb250cmli
dXRvcnM+PGF1dGgtYWRkcmVzcz4xRGVwYXJ0bWVudCBvZiBGb29kIFNjaWVuY2UgYW5kIEh1bWFu
IE51dHJpdGlvbiwgSW93YSBTdGF0ZSBVbml2ZXJzaXR5LCBBbWVzLCBJQTsgMkludGVyZGVwYXJ0
bWVudGFsIEdyYWR1YXRlIFByb2dyYW0gaW4gTnV0cml0aW9uYWwgU2NpZW5jZXMsIElvd2EgU3Rh
dGUgVW5pdmVyc2l0eSwgQW1lcywgSUE7IDNEZXBhcnRtZW50IG9mIFN0YXRpc3RpY3MsIElvd2Eg
U3RhdGUgVW5pdmVyc2l0eSwgQW1lcywgSUE7IGFuZCA0RGVwYXJ0bWVudCBvZiBLaW5lc2lvbG9n
eSwgSW93YSBTdGF0ZSBVbml2ZXJzaXR5LCBBbWVzLCBJQS48L2F1dGgtYWRkcmVzcz48dGl0bGVz
Pjx0aXRsZT5BIHBpbG90IHdhbGtpbmcgcHJvZ3JhbSBwcm9tb3RlcyBtb2RlcmF0ZS1pbnRlbnNp
dHkgcGh5c2ljYWwgYWN0aXZpdHkgZHVyaW5nIHByZWduYW5jeTwvdGl0bGU+PHNlY29uZGFyeS10
aXRsZT5NZWQgU2NpIFNwb3J0cyBFeGVyYzwvc2Vjb25kYXJ5LXRpdGxlPjwvdGl0bGVzPjxwZXJp
b2RpY2FsPjxmdWxsLXRpdGxlPk1lZCBTY2kgU3BvcnRzIEV4ZXJjPC9mdWxsLXRpdGxlPjwvcGVy
aW9kaWNhbD48cGFnZXM+NDYyLTcxPC9wYWdlcz48dm9sdW1lPjQ2PC92b2x1bWU+PG51bWJlcj4z
PC9udW1iZXI+PGVkaXRpb24+MjAxMy8wOS8wNTwvZWRpdGlvbj48a2V5d29yZHM+PGtleXdvcmQ+
QWR1bHQ8L2tleXdvcmQ+PGtleXdvcmQ+QW50aHJvcG9tZXRyeTwva2V5d29yZD48a2V5d29yZD5F
eGVyY2lzZS8qcGh5c2lvbG9neTwva2V5d29yZD48a2V5d29yZD5GZW1hbGU8L2tleXdvcmQ+PGtl
eXdvcmQ+KkhlYWx0aCBQcm9tb3Rpb248L2tleXdvcmQ+PGtleXdvcmQ+SHVtYW5zPC9rZXl3b3Jk
PjxrZXl3b3JkPipPdmVyd2VpZ2h0L3BoeXNpb3BhdGhvbG9neTwva2V5d29yZD48a2V5d29yZD5Q
aWxvdCBQcm9qZWN0czwva2V5d29yZD48a2V5d29yZD5QcmVnbmFuY3k8L2tleXdvcmQ+PGtleXdv
cmQ+KlByZWduYW5jeSBDb21wbGljYXRpb25zPC9rZXl3b3JkPjxrZXl3b3JkPlByZWduYW5jeSBP
dXRjb21lPC9rZXl3b3JkPjxrZXl3b3JkPlN0YXRpc3RpY3MsIE5vbnBhcmFtZXRyaWM8L2tleXdv
cmQ+PGtleXdvcmQ+U3VydmV5cyBhbmQgUXVlc3Rpb25uYWlyZXM8L2tleXdvcmQ+PGtleXdvcmQ+
V2Fsa2luZy8qcGh5c2lvbG9neTwva2V5d29yZD48a2V5d29yZD5Zb3VuZyBBZHVsdDwva2V5d29y
ZD48L2tleXdvcmRzPjxkYXRlcz48eWVhcj4yMDE0PC95ZWFyPjxwdWItZGF0ZXM+PGRhdGU+TWFy
PC9kYXRlPjwvcHViLWRhdGVzPjwvZGF0ZXM+PGlzYm4+MTUzMC0wMzE1IChFbGVjdHJvbmljKSYj
eEQ7MDE5NS05MTMxIChMaW5raW5nKTwvaXNibj48YWNjZXNzaW9uLW51bT4yNDAwMjM0ODwvYWNj
ZXNzaW9uLW51bT48dXJscz48cmVsYXRlZC11cmxzPjx1cmw+aHR0cHM6Ly93d3cubmNiaS5ubG0u
bmloLmdvdi9wdWJtZWQvMjQwMDIzNDg8L3VybD48L3JlbGF0ZWQtdXJscz48L3VybHM+PGVsZWN0
cm9uaWMtcmVzb3VyY2UtbnVtPjEwLjEyNDkvTVNTLjAwMDAwMDAwMDAwMDAxNDE8L2VsZWN0cm9u
aWMtcmVzb3VyY2UtbnVtPjwvcmVjb3JkPjwvQ2l0ZT48L0VuZE5vdGU+AG==
</w:fldData>
              </w:fldChar>
            </w:r>
            <w:r w:rsidR="002747EA">
              <w:instrText xml:space="preserve"> ADDIN EN.CITE.DATA </w:instrText>
            </w:r>
            <w:r w:rsidR="002747EA">
              <w:fldChar w:fldCharType="end"/>
            </w:r>
            <w:r w:rsidR="00616EE6">
              <w:fldChar w:fldCharType="separate"/>
            </w:r>
            <w:r w:rsidR="002747EA" w:rsidRPr="002747EA">
              <w:rPr>
                <w:noProof/>
                <w:vertAlign w:val="superscript"/>
              </w:rPr>
              <w:t>541</w:t>
            </w:r>
            <w:r w:rsidR="00616EE6">
              <w:fldChar w:fldCharType="end"/>
            </w:r>
          </w:p>
          <w:p w14:paraId="29066D95" w14:textId="2E8C4DBB" w:rsidR="000A1756" w:rsidRDefault="00DD3C0C" w:rsidP="00E70A06">
            <w:r w:rsidRPr="00C12274">
              <w:t>United States</w:t>
            </w:r>
          </w:p>
        </w:tc>
        <w:tc>
          <w:tcPr>
            <w:tcW w:w="1670" w:type="dxa"/>
            <w:tcBorders>
              <w:left w:val="single" w:sz="4" w:space="0" w:color="3B3474"/>
              <w:right w:val="single" w:sz="4" w:space="0" w:color="3B3474"/>
            </w:tcBorders>
          </w:tcPr>
          <w:p w14:paraId="48854B83" w14:textId="77777777" w:rsidR="000A1756" w:rsidRDefault="000A1756" w:rsidP="00D424F3">
            <w:r>
              <w:t>Intervention 18</w:t>
            </w:r>
          </w:p>
          <w:p w14:paraId="76A6ABEA" w14:textId="15A8E5D8" w:rsidR="000A1756" w:rsidRDefault="000A1756" w:rsidP="00D424F3">
            <w:r>
              <w:t>Control 19</w:t>
            </w:r>
          </w:p>
        </w:tc>
        <w:tc>
          <w:tcPr>
            <w:tcW w:w="5395" w:type="dxa"/>
            <w:tcBorders>
              <w:left w:val="single" w:sz="4" w:space="0" w:color="3B3474"/>
              <w:right w:val="single" w:sz="4" w:space="0" w:color="3B3474"/>
            </w:tcBorders>
          </w:tcPr>
          <w:p w14:paraId="6E61EFC7" w14:textId="40CB639A" w:rsidR="000A1756" w:rsidRDefault="000A1756" w:rsidP="00A51C8A">
            <w:r w:rsidRPr="00B4011B">
              <w:rPr>
                <w:b/>
              </w:rPr>
              <w:t>Aim</w:t>
            </w:r>
            <w:r>
              <w:t xml:space="preserve">: </w:t>
            </w:r>
            <w:r w:rsidRPr="00B4011B">
              <w:t>to promote MPA among overweight and obese pregnant women, via walking, and to evaluate the effect of the intervention on maternal and birth outcomes</w:t>
            </w:r>
            <w:r>
              <w:t>.</w:t>
            </w:r>
          </w:p>
          <w:p w14:paraId="1BD6260B" w14:textId="30897B75" w:rsidR="000A1756" w:rsidRDefault="000A1756" w:rsidP="00A51C8A">
            <w:r w:rsidRPr="009B142C">
              <w:rPr>
                <w:b/>
              </w:rPr>
              <w:t>Population</w:t>
            </w:r>
            <w:r>
              <w:t xml:space="preserve">: </w:t>
            </w:r>
            <w:r w:rsidRPr="0073365E">
              <w:t>non-exercising, overweight or obese pregnant women</w:t>
            </w:r>
            <w:r w:rsidR="00DD3C0C">
              <w:t xml:space="preserve">; </w:t>
            </w:r>
            <w:r w:rsidR="00DD3C0C" w:rsidRPr="00C12274">
              <w:rPr>
                <w:sz w:val="16"/>
                <w:szCs w:val="16"/>
              </w:rPr>
              <w:t>BMI ≥25</w:t>
            </w:r>
            <w:r w:rsidR="00DD3C0C">
              <w:rPr>
                <w:sz w:val="16"/>
                <w:szCs w:val="16"/>
              </w:rPr>
              <w:t>.</w:t>
            </w:r>
          </w:p>
          <w:p w14:paraId="396258F1" w14:textId="77777777" w:rsidR="00DD3C0C" w:rsidRDefault="00DD3C0C" w:rsidP="00DD3C0C">
            <w:r w:rsidRPr="005E4EF9">
              <w:rPr>
                <w:b/>
              </w:rPr>
              <w:t>Intervention</w:t>
            </w:r>
            <w:r>
              <w:rPr>
                <w:b/>
              </w:rPr>
              <w:t>:</w:t>
            </w:r>
          </w:p>
          <w:p w14:paraId="0CFAE102" w14:textId="77777777" w:rsidR="00DD3C0C" w:rsidRPr="00C45716" w:rsidRDefault="00DD3C0C" w:rsidP="00DD3C0C">
            <w:pPr>
              <w:pStyle w:val="bullet"/>
            </w:pPr>
            <w:r w:rsidRPr="00C45716">
              <w:rPr>
                <w:i/>
              </w:rPr>
              <w:t>Supervised</w:t>
            </w:r>
            <w:r w:rsidRPr="00C45716">
              <w:t xml:space="preserve">: </w:t>
            </w:r>
            <w:r>
              <w:t>No</w:t>
            </w:r>
          </w:p>
          <w:p w14:paraId="608300C7" w14:textId="507EDD49" w:rsidR="00DD3C0C" w:rsidRPr="00DD3C0C" w:rsidRDefault="00DD3C0C" w:rsidP="00DD3C0C">
            <w:pPr>
              <w:pStyle w:val="bullet"/>
              <w:rPr>
                <w:b/>
              </w:rPr>
            </w:pPr>
            <w:r w:rsidRPr="00C45716">
              <w:rPr>
                <w:i/>
              </w:rPr>
              <w:t>Type and duration</w:t>
            </w:r>
            <w:r w:rsidRPr="00C45716">
              <w:t xml:space="preserve">: </w:t>
            </w:r>
            <w:r>
              <w:t xml:space="preserve">Aerobic; Walking; </w:t>
            </w:r>
            <w:r w:rsidRPr="00C12274">
              <w:rPr>
                <w:sz w:val="16"/>
                <w:szCs w:val="16"/>
              </w:rPr>
              <w:t>150 min per week from week 15 to at least week 35</w:t>
            </w:r>
            <w:r>
              <w:rPr>
                <w:sz w:val="16"/>
                <w:szCs w:val="16"/>
              </w:rPr>
              <w:t>.</w:t>
            </w:r>
          </w:p>
          <w:p w14:paraId="731E3873" w14:textId="1CC1C3BD" w:rsidR="000A1756" w:rsidRPr="00267758" w:rsidRDefault="00DD3C0C" w:rsidP="00DD3C0C">
            <w:pPr>
              <w:pStyle w:val="bullet"/>
              <w:rPr>
                <w:b/>
              </w:rPr>
            </w:pPr>
            <w:r w:rsidRPr="00C45716">
              <w:rPr>
                <w:i/>
              </w:rPr>
              <w:t>Intensity</w:t>
            </w:r>
            <w:r w:rsidRPr="00C45716">
              <w:t xml:space="preserve">: </w:t>
            </w:r>
            <w:r w:rsidRPr="00C12274">
              <w:rPr>
                <w:sz w:val="16"/>
                <w:szCs w:val="16"/>
              </w:rPr>
              <w:t xml:space="preserve">Moderate; </w:t>
            </w:r>
            <w:r w:rsidRPr="00C12274">
              <w:rPr>
                <w:rFonts w:ascii="Arial" w:hAnsi="Arial" w:cs="Arial"/>
                <w:color w:val="000000"/>
                <w:sz w:val="16"/>
                <w:szCs w:val="16"/>
                <w:shd w:val="clear" w:color="auto" w:fill="FFFFFF"/>
              </w:rPr>
              <w:t>≥ 80 steps per minute in 8 minute blocks</w:t>
            </w:r>
            <w:r>
              <w:t>.</w:t>
            </w:r>
          </w:p>
        </w:tc>
        <w:tc>
          <w:tcPr>
            <w:tcW w:w="5953" w:type="dxa"/>
            <w:tcBorders>
              <w:left w:val="single" w:sz="4" w:space="0" w:color="3B3474"/>
              <w:right w:val="single" w:sz="4" w:space="0" w:color="3B3474"/>
            </w:tcBorders>
          </w:tcPr>
          <w:p w14:paraId="05C5FEED" w14:textId="17D182F9" w:rsidR="000A1756" w:rsidRDefault="000A1756" w:rsidP="0075011B">
            <w:r>
              <w:t>Overweight women: intervention (n=9) vs control (n=9)</w:t>
            </w:r>
          </w:p>
          <w:p w14:paraId="744A9895" w14:textId="6CCC8F53" w:rsidR="000A1756" w:rsidRDefault="000A1756" w:rsidP="003333C1">
            <w:pPr>
              <w:pStyle w:val="bullet"/>
            </w:pPr>
            <w:r>
              <w:t>Gestational weight gain (kg): 10.53±5.37 vs 9.94±6.14</w:t>
            </w:r>
          </w:p>
          <w:p w14:paraId="4275EE51" w14:textId="4AC12D03" w:rsidR="000A1756" w:rsidRDefault="00126274" w:rsidP="003333C1">
            <w:pPr>
              <w:pStyle w:val="bullet"/>
            </w:pPr>
            <w:r>
              <w:t>Gestational diabetes</w:t>
            </w:r>
            <w:r w:rsidR="000A1756">
              <w:t>: 1 vs 1</w:t>
            </w:r>
          </w:p>
          <w:p w14:paraId="4057E29E" w14:textId="213C1BCC" w:rsidR="000A1756" w:rsidRDefault="000A1756" w:rsidP="003333C1">
            <w:pPr>
              <w:pStyle w:val="bullet"/>
            </w:pPr>
            <w:r>
              <w:t>Birth weight &gt;4000</w:t>
            </w:r>
            <w:r w:rsidR="001919FC">
              <w:t xml:space="preserve"> </w:t>
            </w:r>
            <w:r>
              <w:t>g: 3 vs 1</w:t>
            </w:r>
          </w:p>
          <w:p w14:paraId="0AC299DD" w14:textId="34821CE6" w:rsidR="000A1756" w:rsidRDefault="000A1756" w:rsidP="003333C1">
            <w:pPr>
              <w:pStyle w:val="bullet"/>
            </w:pPr>
            <w:r>
              <w:t>Preterm birth: 0 vs 1</w:t>
            </w:r>
          </w:p>
          <w:p w14:paraId="2A64C8AE" w14:textId="777393D9" w:rsidR="000A1756" w:rsidRDefault="000A1756" w:rsidP="003333C1">
            <w:pPr>
              <w:pStyle w:val="bullet"/>
            </w:pPr>
            <w:r>
              <w:t>Caesarean section: 0 vs 4</w:t>
            </w:r>
          </w:p>
          <w:p w14:paraId="3269F6AC" w14:textId="77777777" w:rsidR="000A1756" w:rsidRDefault="000A1756" w:rsidP="0075011B">
            <w:r>
              <w:t>Obese women: intervention (n=9) vs control (n=10):</w:t>
            </w:r>
          </w:p>
          <w:p w14:paraId="0B9DBFC1" w14:textId="3BEE15B6" w:rsidR="000A1756" w:rsidRDefault="000A1756" w:rsidP="003333C1">
            <w:pPr>
              <w:pStyle w:val="bullet"/>
            </w:pPr>
            <w:r>
              <w:t>Gestational weight gain (kg): 12.07±9.01 vs 12.48±8.51</w:t>
            </w:r>
          </w:p>
          <w:p w14:paraId="79B64CFE" w14:textId="2741162B" w:rsidR="000A1756" w:rsidRDefault="00126274" w:rsidP="003333C1">
            <w:pPr>
              <w:pStyle w:val="bullet"/>
            </w:pPr>
            <w:r>
              <w:t>Gestational diabetes</w:t>
            </w:r>
            <w:r w:rsidR="000A1756">
              <w:t>: 0 vs 0</w:t>
            </w:r>
          </w:p>
          <w:p w14:paraId="2949A8A1" w14:textId="09D6E9C1" w:rsidR="000A1756" w:rsidRDefault="000A1756" w:rsidP="003333C1">
            <w:pPr>
              <w:pStyle w:val="bullet"/>
            </w:pPr>
            <w:r>
              <w:t>Birth weight &gt;4000g: 2 vs 5</w:t>
            </w:r>
          </w:p>
          <w:p w14:paraId="7E9B6F4E" w14:textId="77777777" w:rsidR="000A1756" w:rsidRDefault="000A1756" w:rsidP="003333C1">
            <w:pPr>
              <w:pStyle w:val="bullet"/>
            </w:pPr>
            <w:r>
              <w:t>Preterm birth: 0 vs 0</w:t>
            </w:r>
          </w:p>
          <w:p w14:paraId="2C09F5AE" w14:textId="73677031" w:rsidR="000A1756" w:rsidRDefault="000A1756" w:rsidP="003333C1">
            <w:pPr>
              <w:pStyle w:val="bullet"/>
            </w:pPr>
            <w:r>
              <w:t>Caesarean section: 5 vs 5</w:t>
            </w:r>
          </w:p>
          <w:p w14:paraId="6247FB90" w14:textId="0F6AA978" w:rsidR="000A1756" w:rsidRDefault="00D62C90" w:rsidP="003333C1">
            <w:pPr>
              <w:pStyle w:val="bullet"/>
            </w:pPr>
            <w:r>
              <w:t>Pre-eclamp</w:t>
            </w:r>
            <w:r w:rsidR="006A0135">
              <w:t>s</w:t>
            </w:r>
            <w:r w:rsidR="000A1756">
              <w:t>ia: 1 vs 0</w:t>
            </w:r>
          </w:p>
          <w:p w14:paraId="300E74D3" w14:textId="5CBAAE5B" w:rsidR="000A1756" w:rsidRDefault="000A1756" w:rsidP="0075011B">
            <w:r>
              <w:t>Overweight women: intervention (n=8) vs control (n=10):</w:t>
            </w:r>
          </w:p>
          <w:p w14:paraId="4DE4D0F6" w14:textId="726A1863" w:rsidR="000A1756" w:rsidRDefault="000A1756" w:rsidP="0075011B">
            <w:pPr>
              <w:pStyle w:val="bullet"/>
            </w:pPr>
            <w:r w:rsidRPr="0075011B">
              <w:t xml:space="preserve">Weight retention </w:t>
            </w:r>
            <w:r>
              <w:t xml:space="preserve">at 1 month </w:t>
            </w:r>
            <w:r w:rsidRPr="0075011B">
              <w:t>(kg)</w:t>
            </w:r>
            <w:r>
              <w:t>:</w:t>
            </w:r>
            <w:r w:rsidRPr="0075011B">
              <w:t xml:space="preserve"> </w:t>
            </w:r>
            <w:r>
              <w:t>5.34</w:t>
            </w:r>
            <w:r w:rsidRPr="0075011B">
              <w:rPr>
                <w:rFonts w:ascii="Helvetica" w:hAnsi="Helvetica"/>
              </w:rPr>
              <w:t>±</w:t>
            </w:r>
            <w:r w:rsidRPr="0075011B">
              <w:t xml:space="preserve">6.05 </w:t>
            </w:r>
            <w:r>
              <w:t xml:space="preserve">vs </w:t>
            </w:r>
            <w:r w:rsidRPr="0075011B">
              <w:t xml:space="preserve">1.62 </w:t>
            </w:r>
            <w:r w:rsidRPr="0075011B">
              <w:rPr>
                <w:rFonts w:ascii="Helvetica" w:hAnsi="Helvetica"/>
              </w:rPr>
              <w:t xml:space="preserve">± </w:t>
            </w:r>
            <w:r w:rsidRPr="0075011B">
              <w:t xml:space="preserve">5.58 </w:t>
            </w:r>
          </w:p>
          <w:p w14:paraId="7F8ABA06" w14:textId="44B13717" w:rsidR="000A1756" w:rsidRPr="0075011B" w:rsidRDefault="000A1756" w:rsidP="0075011B">
            <w:pPr>
              <w:pStyle w:val="bullet"/>
            </w:pPr>
            <w:r>
              <w:t>Weight retention at 6 months (kg): 1.64</w:t>
            </w:r>
            <w:r w:rsidRPr="0075011B">
              <w:rPr>
                <w:rFonts w:ascii="Helvetica" w:hAnsi="Helvetica"/>
              </w:rPr>
              <w:t>±</w:t>
            </w:r>
            <w:r w:rsidRPr="0075011B">
              <w:t xml:space="preserve">2.09 </w:t>
            </w:r>
            <w:r>
              <w:t xml:space="preserve">vs </w:t>
            </w:r>
            <w:r w:rsidRPr="0075011B">
              <w:rPr>
                <w:rFonts w:ascii="Helvetica" w:hAnsi="Helvetica"/>
              </w:rPr>
              <w:t>–</w:t>
            </w:r>
            <w:r>
              <w:t>0.94</w:t>
            </w:r>
            <w:r w:rsidRPr="0075011B">
              <w:rPr>
                <w:rFonts w:ascii="Helvetica" w:hAnsi="Helvetica"/>
              </w:rPr>
              <w:t>±</w:t>
            </w:r>
            <w:r w:rsidRPr="0075011B">
              <w:t>5.60</w:t>
            </w:r>
          </w:p>
          <w:p w14:paraId="5904C7C6" w14:textId="559561C3" w:rsidR="000A1756" w:rsidRDefault="000A1756" w:rsidP="0075011B">
            <w:r>
              <w:t>Obese women: intervention (n=7) vs control (n=9):</w:t>
            </w:r>
          </w:p>
          <w:p w14:paraId="3916858E" w14:textId="5ED459B8" w:rsidR="000A1756" w:rsidRPr="0075011B" w:rsidRDefault="000A1756" w:rsidP="0075011B">
            <w:pPr>
              <w:pStyle w:val="bullet"/>
            </w:pPr>
            <w:r>
              <w:t xml:space="preserve">Weight retention at 1 month (kg): </w:t>
            </w:r>
            <w:r w:rsidRPr="0075011B">
              <w:t xml:space="preserve">1.43 </w:t>
            </w:r>
            <w:r w:rsidRPr="0075011B">
              <w:rPr>
                <w:rFonts w:ascii="Helvetica" w:hAnsi="Helvetica"/>
              </w:rPr>
              <w:t xml:space="preserve">± </w:t>
            </w:r>
            <w:r w:rsidRPr="0075011B">
              <w:t xml:space="preserve">5.36 </w:t>
            </w:r>
            <w:r>
              <w:t xml:space="preserve">vs </w:t>
            </w:r>
            <w:r w:rsidRPr="0075011B">
              <w:t xml:space="preserve">3.05 </w:t>
            </w:r>
            <w:r w:rsidRPr="0075011B">
              <w:rPr>
                <w:rFonts w:ascii="Helvetica" w:hAnsi="Helvetica"/>
              </w:rPr>
              <w:t xml:space="preserve">± </w:t>
            </w:r>
            <w:r w:rsidRPr="0075011B">
              <w:t>8.24</w:t>
            </w:r>
          </w:p>
          <w:p w14:paraId="4C00A845" w14:textId="77777777" w:rsidR="000A1756" w:rsidRDefault="000A1756" w:rsidP="00D01F02">
            <w:pPr>
              <w:pStyle w:val="bullet"/>
            </w:pPr>
            <w:r>
              <w:t>Weight retention at 6 months (kg):</w:t>
            </w:r>
            <w:r w:rsidRPr="0075011B">
              <w:t xml:space="preserve"> –</w:t>
            </w:r>
            <w:r>
              <w:t>0.10±</w:t>
            </w:r>
            <w:r w:rsidRPr="0075011B">
              <w:t>8.11</w:t>
            </w:r>
            <w:r>
              <w:t xml:space="preserve"> vs 6.35±</w:t>
            </w:r>
            <w:r w:rsidRPr="0075011B">
              <w:t>7.47</w:t>
            </w:r>
          </w:p>
          <w:p w14:paraId="0B66D260" w14:textId="77777777" w:rsidR="001919FC" w:rsidRPr="00387D37" w:rsidRDefault="00CD549D" w:rsidP="001919FC">
            <w:r w:rsidRPr="00387D37">
              <w:t>In</w:t>
            </w:r>
            <w:r w:rsidR="007A3BF6" w:rsidRPr="00387D37">
              <w:t>fants</w:t>
            </w:r>
            <w:r w:rsidRPr="00387D37">
              <w:t xml:space="preserve"> of overweight women</w:t>
            </w:r>
            <w:r w:rsidR="002A6E6A" w:rsidRPr="00387D37">
              <w:t>:</w:t>
            </w:r>
          </w:p>
          <w:p w14:paraId="25398C75" w14:textId="49F408C1" w:rsidR="001919FC" w:rsidRPr="00387D37" w:rsidRDefault="001919FC" w:rsidP="001919FC">
            <w:pPr>
              <w:pStyle w:val="bullet"/>
            </w:pPr>
            <w:r w:rsidRPr="00387D37">
              <w:t>Weight at 1 month:</w:t>
            </w:r>
            <w:r w:rsidR="00C300C6" w:rsidRPr="00387D37">
              <w:t xml:space="preserve"> 4.49±0.4 (n=9) vs 4.63±0.59 (n=9)</w:t>
            </w:r>
          </w:p>
          <w:p w14:paraId="3200B24D" w14:textId="77777777" w:rsidR="001919FC" w:rsidRPr="00387D37" w:rsidRDefault="001919FC" w:rsidP="001919FC">
            <w:pPr>
              <w:pStyle w:val="bullet"/>
            </w:pPr>
            <w:r w:rsidRPr="00387D37">
              <w:t>Weight at 6 months:</w:t>
            </w:r>
            <w:r w:rsidR="00C300C6" w:rsidRPr="00387D37">
              <w:t xml:space="preserve"> 7.94±0.98 (n=8) vs 7.94±2.1 (n=9)</w:t>
            </w:r>
          </w:p>
          <w:p w14:paraId="23820F53" w14:textId="77777777" w:rsidR="00C300C6" w:rsidRPr="00387D37" w:rsidRDefault="00C300C6" w:rsidP="00C300C6">
            <w:r w:rsidRPr="00387D37">
              <w:t>Infants of obese women:</w:t>
            </w:r>
          </w:p>
          <w:p w14:paraId="1EEAEDBA" w14:textId="4CDBFC7B" w:rsidR="00C300C6" w:rsidRPr="00387D37" w:rsidRDefault="00C300C6" w:rsidP="001919FC">
            <w:pPr>
              <w:pStyle w:val="bullet"/>
            </w:pPr>
            <w:r w:rsidRPr="00387D37">
              <w:t>We</w:t>
            </w:r>
            <w:r w:rsidR="00BA36E5" w:rsidRPr="00387D37">
              <w:t>ight at 1 month:</w:t>
            </w:r>
            <w:r w:rsidR="00F67F44" w:rsidRPr="00387D37">
              <w:t xml:space="preserve"> </w:t>
            </w:r>
            <w:r w:rsidR="005B52B1" w:rsidRPr="00387D37">
              <w:t>4.37±0.7 (n=9) vs 4.63±0.42 (n=9)</w:t>
            </w:r>
          </w:p>
          <w:p w14:paraId="69688B23" w14:textId="7ADBE83E" w:rsidR="00BA36E5" w:rsidRPr="00CD3319" w:rsidRDefault="00BA36E5" w:rsidP="001919FC">
            <w:pPr>
              <w:pStyle w:val="bullet"/>
            </w:pPr>
            <w:r w:rsidRPr="00387D37">
              <w:t xml:space="preserve">Weight at 6 months: </w:t>
            </w:r>
            <w:r w:rsidR="00D90251" w:rsidRPr="00387D37">
              <w:t xml:space="preserve">7.85±0.79 </w:t>
            </w:r>
            <w:r w:rsidR="005B52B1" w:rsidRPr="00387D37">
              <w:t>(n=7) vs 8.35±1.24 (n=9)</w:t>
            </w:r>
          </w:p>
        </w:tc>
      </w:tr>
      <w:tr w:rsidR="000A1756" w:rsidRPr="00A652CB" w14:paraId="69764F8B"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C91FA49" w14:textId="49B22E08" w:rsidR="007D4CC2" w:rsidRPr="00C12274" w:rsidRDefault="007D4CC2" w:rsidP="00E70A06">
            <w:r>
              <w:t>Murtezani et al 2014</w:t>
            </w:r>
            <w:r w:rsidR="00616EE6">
              <w:fldChar w:fldCharType="begin"/>
            </w:r>
            <w:r w:rsidR="002747EA">
              <w:instrText xml:space="preserve"> ADDIN EN.CITE &lt;EndNote&gt;&lt;Cite&gt;&lt;Author&gt;Murtezani&lt;/Author&gt;&lt;Year&gt;2014&lt;/Year&gt;&lt;RecNum&gt;699&lt;/RecNum&gt;&lt;DisplayText&gt;&lt;style face="superscript" font="Trebuchet MS" size="9"&gt;436&lt;/style&gt;&lt;/DisplayText&gt;&lt;record&gt;&lt;rec-number&gt;699&lt;/rec-number&gt;&lt;foreign-keys&gt;&lt;key app="EN" db-id="exvasrfx2dtraoesasxp2szsxa2df502592x" timestamp="1540530361"&gt;699&lt;/key&gt;&lt;/foreign-keys&gt;&lt;ref-type name="Journal Article"&gt;17&lt;/ref-type&gt;&lt;contributors&gt;&lt;authors&gt;&lt;author&gt;Murtezani, A.&lt;/author&gt;&lt;author&gt;Pacarada, M.&lt;/author&gt;&lt;author&gt;Ibraimi, Z.&lt;/author&gt;&lt;author&gt;Nevzati, A.&lt;/author&gt;&lt;author&gt;Abazi, N.&lt;/author&gt;&lt;/authors&gt;&lt;/contributors&gt;&lt;auth-address&gt;Physical Medicine and Rehabilitation Clinic University Clinical Center of Kosovo Prishtina, Republic of Kosovo - ardianaa@yahoo.com.&lt;/auth-address&gt;&lt;titles&gt;&lt;title&gt;The impact of exercise during pregnancy on neonatal outcomes: a randomized controlled trial&lt;/title&gt;&lt;secondary-title&gt;J Sports Med Phys Fitness&lt;/secondary-title&gt;&lt;/titles&gt;&lt;periodical&gt;&lt;full-title&gt;J Sports Med Phys Fitness&lt;/full-title&gt;&lt;/periodical&gt;&lt;pages&gt;802-8&lt;/pages&gt;&lt;volume&gt;54&lt;/volume&gt;&lt;number&gt;6&lt;/number&gt;&lt;edition&gt;2014/10/29&lt;/edition&gt;&lt;keywords&gt;&lt;keyword&gt;Adult&lt;/keyword&gt;&lt;keyword&gt;Apgar Score&lt;/keyword&gt;&lt;keyword&gt;Birth Weight&lt;/keyword&gt;&lt;keyword&gt;Exercise/*physiology&lt;/keyword&gt;&lt;keyword&gt;Female&lt;/keyword&gt;&lt;keyword&gt;Gestational Age&lt;/keyword&gt;&lt;keyword&gt;Humans&lt;/keyword&gt;&lt;keyword&gt;Infant, Newborn/*growth &amp;amp; development&lt;/keyword&gt;&lt;keyword&gt;Male&lt;/keyword&gt;&lt;keyword&gt;Pregnancy/*physiology&lt;/keyword&gt;&lt;keyword&gt;Resistance Training&lt;/keyword&gt;&lt;keyword&gt;Young Adult&lt;/keyword&gt;&lt;/keywords&gt;&lt;dates&gt;&lt;year&gt;2014&lt;/year&gt;&lt;pub-dates&gt;&lt;date&gt;Dec&lt;/date&gt;&lt;/pub-dates&gt;&lt;/dates&gt;&lt;isbn&gt;0022-4707 (Print)&amp;#xD;0022-4707 (Linking)&lt;/isbn&gt;&lt;accession-num&gt;25350037&lt;/accession-num&gt;&lt;urls&gt;&lt;related-urls&gt;&lt;url&gt;https://www.ncbi.nlm.nih.gov/pubmed/25350037&lt;/url&gt;&lt;/related-urls&gt;&lt;/urls&gt;&lt;/record&gt;&lt;/Cite&gt;&lt;/EndNote&gt;</w:instrText>
            </w:r>
            <w:r w:rsidR="00616EE6">
              <w:fldChar w:fldCharType="separate"/>
            </w:r>
            <w:r w:rsidR="002747EA" w:rsidRPr="002747EA">
              <w:rPr>
                <w:noProof/>
                <w:vertAlign w:val="superscript"/>
              </w:rPr>
              <w:t>436</w:t>
            </w:r>
            <w:r w:rsidR="00616EE6">
              <w:fldChar w:fldCharType="end"/>
            </w:r>
          </w:p>
          <w:p w14:paraId="3296B0D9" w14:textId="073BC50C" w:rsidR="000A1756" w:rsidRPr="00362C86" w:rsidRDefault="007D4CC2" w:rsidP="00E70A06">
            <w:r w:rsidRPr="00C12274">
              <w:t>Kosovo</w:t>
            </w:r>
          </w:p>
        </w:tc>
        <w:tc>
          <w:tcPr>
            <w:tcW w:w="1670" w:type="dxa"/>
            <w:tcBorders>
              <w:left w:val="single" w:sz="4" w:space="0" w:color="3B3474"/>
              <w:right w:val="single" w:sz="4" w:space="0" w:color="3B3474"/>
            </w:tcBorders>
          </w:tcPr>
          <w:p w14:paraId="218EB189" w14:textId="77777777" w:rsidR="000A1756" w:rsidRDefault="000A1756" w:rsidP="00D424F3">
            <w:r>
              <w:t>Intervention 30</w:t>
            </w:r>
          </w:p>
          <w:p w14:paraId="5A0B48AD" w14:textId="2B018C9D" w:rsidR="000A1756" w:rsidRDefault="000A1756" w:rsidP="00D424F3">
            <w:r>
              <w:t>Control 33</w:t>
            </w:r>
          </w:p>
        </w:tc>
        <w:tc>
          <w:tcPr>
            <w:tcW w:w="5395" w:type="dxa"/>
            <w:tcBorders>
              <w:left w:val="single" w:sz="4" w:space="0" w:color="3B3474"/>
              <w:right w:val="single" w:sz="4" w:space="0" w:color="3B3474"/>
            </w:tcBorders>
          </w:tcPr>
          <w:p w14:paraId="02D606AF" w14:textId="52FB2A3D" w:rsidR="000A1756" w:rsidRDefault="000A1756" w:rsidP="002D08F6">
            <w:pPr>
              <w:rPr>
                <w:shd w:val="clear" w:color="auto" w:fill="FFFFFF"/>
              </w:rPr>
            </w:pPr>
            <w:r w:rsidRPr="000E0C5F">
              <w:rPr>
                <w:b/>
                <w:shd w:val="clear" w:color="auto" w:fill="FFFFFF"/>
              </w:rPr>
              <w:t>Aim</w:t>
            </w:r>
            <w:r>
              <w:rPr>
                <w:shd w:val="clear" w:color="auto" w:fill="FFFFFF"/>
              </w:rPr>
              <w:t>: To examine</w:t>
            </w:r>
            <w:r w:rsidRPr="007748E4">
              <w:rPr>
                <w:shd w:val="clear" w:color="auto" w:fill="FFFFFF"/>
              </w:rPr>
              <w:t xml:space="preserve"> the effect of aerobic and strength conditioning exercise performed during the second and the </w:t>
            </w:r>
            <w:r>
              <w:rPr>
                <w:shd w:val="clear" w:color="auto" w:fill="FFFFFF"/>
              </w:rPr>
              <w:t>third trimester of pregnancy.</w:t>
            </w:r>
          </w:p>
          <w:p w14:paraId="692A5285" w14:textId="1B032106" w:rsidR="000A1756" w:rsidRDefault="000A1756" w:rsidP="002D08F6">
            <w:pPr>
              <w:rPr>
                <w:shd w:val="clear" w:color="auto" w:fill="FFFFFF"/>
              </w:rPr>
            </w:pPr>
            <w:r w:rsidRPr="000E0C5F">
              <w:rPr>
                <w:b/>
                <w:shd w:val="clear" w:color="auto" w:fill="FFFFFF"/>
              </w:rPr>
              <w:t>Population</w:t>
            </w:r>
            <w:r>
              <w:rPr>
                <w:shd w:val="clear" w:color="auto" w:fill="FFFFFF"/>
              </w:rPr>
              <w:t>: N</w:t>
            </w:r>
            <w:r w:rsidRPr="007748E4">
              <w:rPr>
                <w:shd w:val="clear" w:color="auto" w:fill="FFFFFF"/>
              </w:rPr>
              <w:t>ulliparous, previously inactive women.</w:t>
            </w:r>
            <w:r w:rsidR="007D4CC2">
              <w:rPr>
                <w:shd w:val="clear" w:color="auto" w:fill="FFFFFF"/>
              </w:rPr>
              <w:t xml:space="preserve"> Mixed BMIs.</w:t>
            </w:r>
          </w:p>
          <w:p w14:paraId="77E2EA63" w14:textId="77777777" w:rsidR="007D4CC2" w:rsidRDefault="007D4CC2" w:rsidP="007D4CC2">
            <w:r w:rsidRPr="005E4EF9">
              <w:rPr>
                <w:b/>
              </w:rPr>
              <w:t>Intervention</w:t>
            </w:r>
            <w:r>
              <w:rPr>
                <w:b/>
              </w:rPr>
              <w:t>:</w:t>
            </w:r>
          </w:p>
          <w:p w14:paraId="5746DF5C" w14:textId="04A12A6F" w:rsidR="007D4CC2" w:rsidRPr="00C45716" w:rsidRDefault="007D4CC2" w:rsidP="007D4CC2">
            <w:pPr>
              <w:pStyle w:val="bullet"/>
            </w:pPr>
            <w:r w:rsidRPr="00C45716">
              <w:rPr>
                <w:i/>
              </w:rPr>
              <w:t>Supervised</w:t>
            </w:r>
            <w:r w:rsidRPr="00C45716">
              <w:t xml:space="preserve">: </w:t>
            </w:r>
            <w:r>
              <w:t>Yes</w:t>
            </w:r>
          </w:p>
          <w:p w14:paraId="54F3AEF4" w14:textId="609EE59F" w:rsidR="007D4CC2" w:rsidRPr="007D4CC2" w:rsidRDefault="007D4CC2" w:rsidP="007D4CC2">
            <w:pPr>
              <w:pStyle w:val="bullet"/>
            </w:pPr>
            <w:r w:rsidRPr="00C45716">
              <w:rPr>
                <w:i/>
              </w:rPr>
              <w:t>Type and duration</w:t>
            </w:r>
            <w:r w:rsidRPr="00C45716">
              <w:t xml:space="preserve">: </w:t>
            </w:r>
            <w:r>
              <w:t xml:space="preserve">Aerobic and resistance; </w:t>
            </w:r>
            <w:r w:rsidRPr="00C12274">
              <w:t>Treadmill, stationary cycling, muscle strengthening</w:t>
            </w:r>
            <w:r>
              <w:t xml:space="preserve">; </w:t>
            </w:r>
            <w:r w:rsidRPr="00C12274">
              <w:t>40-45 min, 3 times a week from week 18-19 until the end of pregnancy</w:t>
            </w:r>
            <w:r>
              <w:t>.</w:t>
            </w:r>
          </w:p>
          <w:p w14:paraId="7DEFF880" w14:textId="2368F9CF" w:rsidR="000A1756" w:rsidRPr="000E0C5F" w:rsidRDefault="007D4CC2" w:rsidP="007D4CC2">
            <w:pPr>
              <w:pStyle w:val="bullet"/>
            </w:pPr>
            <w:r w:rsidRPr="00C45716">
              <w:rPr>
                <w:i/>
              </w:rPr>
              <w:t>Intensity</w:t>
            </w:r>
            <w:r w:rsidRPr="00C45716">
              <w:t xml:space="preserve">: </w:t>
            </w:r>
            <w:r w:rsidRPr="00C12274">
              <w:t>Moderate; Borg scale 12-14</w:t>
            </w:r>
            <w:r>
              <w:t>.</w:t>
            </w:r>
          </w:p>
        </w:tc>
        <w:tc>
          <w:tcPr>
            <w:tcW w:w="5953" w:type="dxa"/>
            <w:tcBorders>
              <w:left w:val="single" w:sz="4" w:space="0" w:color="3B3474"/>
              <w:right w:val="single" w:sz="4" w:space="0" w:color="3B3474"/>
            </w:tcBorders>
          </w:tcPr>
          <w:p w14:paraId="459C4E0D" w14:textId="77777777" w:rsidR="000A1756" w:rsidRDefault="000A1756" w:rsidP="00A62BE1">
            <w:r>
              <w:t>Intervention vs control:</w:t>
            </w:r>
          </w:p>
          <w:p w14:paraId="59AA64A0" w14:textId="791FF0F3" w:rsidR="000A1756" w:rsidRPr="00A62BE1" w:rsidRDefault="000A1756" w:rsidP="00A62BE1">
            <w:pPr>
              <w:pStyle w:val="bullet"/>
            </w:pPr>
            <w:r>
              <w:t xml:space="preserve">Birthweight </w:t>
            </w:r>
            <w:r w:rsidRPr="00A62BE1">
              <w:t>&lt;2500 (g)</w:t>
            </w:r>
            <w:r>
              <w:t xml:space="preserve">: </w:t>
            </w:r>
            <w:r w:rsidRPr="00A62BE1">
              <w:t>3 (10.0%)</w:t>
            </w:r>
            <w:r>
              <w:t xml:space="preserve"> vs 0 </w:t>
            </w:r>
          </w:p>
          <w:p w14:paraId="7A1D36AA" w14:textId="127B75F6" w:rsidR="000A1756" w:rsidRPr="00A62BE1" w:rsidRDefault="000A1756" w:rsidP="00133B96">
            <w:pPr>
              <w:pStyle w:val="bullet"/>
            </w:pPr>
            <w:r>
              <w:t xml:space="preserve">Birthweight </w:t>
            </w:r>
            <w:r w:rsidRPr="00A62BE1">
              <w:t>≥4000 (g)</w:t>
            </w:r>
            <w:r>
              <w:t xml:space="preserve">: </w:t>
            </w:r>
            <w:r w:rsidRPr="00A62BE1">
              <w:t>2 (6.7%)</w:t>
            </w:r>
            <w:r w:rsidRPr="00A62BE1">
              <w:tab/>
            </w:r>
            <w:r>
              <w:t xml:space="preserve">vs </w:t>
            </w:r>
            <w:r w:rsidR="00133B96">
              <w:t>1 (3.0%)</w:t>
            </w:r>
          </w:p>
        </w:tc>
      </w:tr>
      <w:tr w:rsidR="000A1756" w:rsidRPr="00A652CB" w14:paraId="62C25D91"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C7B6EC8" w14:textId="7A4FD4FD" w:rsidR="007D4CC2" w:rsidRPr="00C12274" w:rsidRDefault="007D4CC2" w:rsidP="00E70A06">
            <w:r>
              <w:rPr>
                <w:noProof/>
              </w:rPr>
              <w:t>Nascimento et al 2011b</w:t>
            </w:r>
            <w:r w:rsidR="00616EE6">
              <w:fldChar w:fldCharType="begin"/>
            </w:r>
            <w:r w:rsidR="002747EA">
              <w:instrText xml:space="preserve"> ADDIN EN.CITE &lt;EndNote&gt;&lt;Cite&gt;&lt;Author&gt;Nascimento&lt;/Author&gt;&lt;Year&gt;2011&lt;/Year&gt;&lt;RecNum&gt;1040&lt;/RecNum&gt;&lt;DisplayText&gt;&lt;style face="superscript" font="Trebuchet MS" size="9"&gt;437&lt;/style&gt;&lt;/DisplayText&gt;&lt;record&gt;&lt;rec-number&gt;1040&lt;/rec-number&gt;&lt;foreign-keys&gt;&lt;key app="EN" db-id="exvasrfx2dtraoesasxp2szsxa2df502592x" timestamp="1548983476"&gt;1040&lt;/key&gt;&lt;/foreign-keys&gt;&lt;ref-type name="Journal Article"&gt;17&lt;/ref-type&gt;&lt;contributors&gt;&lt;authors&gt;&lt;author&gt;Nascimento, S. L.&lt;/author&gt;&lt;author&gt;Surita, F. G.&lt;/author&gt;&lt;author&gt;Parpinelli, MÂ&lt;/author&gt;&lt;author&gt;Siani, S.&lt;/author&gt;&lt;author&gt;Pinto e Silva, J. L.&lt;/author&gt;&lt;/authors&gt;&lt;/contributors&gt;&lt;titles&gt;&lt;title&gt;The effect of an antenatal physical exercise programme on maternal/perinatal outcomes and quality of life in overweight and obese pregnant women: a randomised clinical trial&lt;/title&gt;&lt;secondary-title&gt;BJOG: An International Journal of Obstetrics &amp;amp; Gynaecology&lt;/secondary-title&gt;&lt;/titles&gt;&lt;periodical&gt;&lt;full-title&gt;BJOG: An International Journal of Obstetrics &amp;amp; Gynaecology&lt;/full-title&gt;&lt;/periodical&gt;&lt;pages&gt;1455-1463&lt;/pages&gt;&lt;volume&gt;118&lt;/volume&gt;&lt;number&gt;12&lt;/number&gt;&lt;section&gt;1455&lt;/section&gt;&lt;dates&gt;&lt;year&gt;2011&lt;/year&gt;&lt;/dates&gt;&lt;isbn&gt;14700328&lt;/isbn&gt;&lt;urls&gt;&lt;/urls&gt;&lt;electronic-resource-num&gt;10.1111/j.1471-0528.2011.03084.x&lt;/electronic-resource-num&gt;&lt;/record&gt;&lt;/Cite&gt;&lt;/EndNote&gt;</w:instrText>
            </w:r>
            <w:r w:rsidR="00616EE6">
              <w:fldChar w:fldCharType="separate"/>
            </w:r>
            <w:r w:rsidR="002747EA" w:rsidRPr="002747EA">
              <w:rPr>
                <w:noProof/>
                <w:vertAlign w:val="superscript"/>
              </w:rPr>
              <w:t>437</w:t>
            </w:r>
            <w:r w:rsidR="00616EE6">
              <w:fldChar w:fldCharType="end"/>
            </w:r>
          </w:p>
          <w:p w14:paraId="3BEA24F7" w14:textId="2655E425" w:rsidR="000A1756" w:rsidRPr="00362C86" w:rsidRDefault="007D4CC2" w:rsidP="00E70A06">
            <w:r w:rsidRPr="00C12274">
              <w:t>Brazil</w:t>
            </w:r>
          </w:p>
        </w:tc>
        <w:tc>
          <w:tcPr>
            <w:tcW w:w="1670" w:type="dxa"/>
            <w:tcBorders>
              <w:left w:val="single" w:sz="4" w:space="0" w:color="3B3474"/>
              <w:right w:val="single" w:sz="4" w:space="0" w:color="3B3474"/>
            </w:tcBorders>
          </w:tcPr>
          <w:p w14:paraId="58B8BE43" w14:textId="77777777" w:rsidR="000A1756" w:rsidRDefault="000A1756" w:rsidP="00D424F3">
            <w:r>
              <w:t>Intervention 39</w:t>
            </w:r>
          </w:p>
          <w:p w14:paraId="2098F731" w14:textId="2BF3A5D1" w:rsidR="000A1756" w:rsidRDefault="000A1756" w:rsidP="00D424F3">
            <w:r>
              <w:t>Control 41</w:t>
            </w:r>
          </w:p>
        </w:tc>
        <w:tc>
          <w:tcPr>
            <w:tcW w:w="5395" w:type="dxa"/>
            <w:tcBorders>
              <w:left w:val="single" w:sz="4" w:space="0" w:color="3B3474"/>
              <w:right w:val="single" w:sz="4" w:space="0" w:color="3B3474"/>
            </w:tcBorders>
          </w:tcPr>
          <w:p w14:paraId="2F0FC2CD" w14:textId="2C3E5410" w:rsidR="000A1756" w:rsidRPr="009927EC" w:rsidRDefault="000A1756" w:rsidP="009927EC">
            <w:r>
              <w:rPr>
                <w:b/>
                <w:shd w:val="clear" w:color="auto" w:fill="FFFFFF"/>
              </w:rPr>
              <w:t xml:space="preserve">Aim: </w:t>
            </w:r>
            <w:r w:rsidRPr="009927EC">
              <w:t>To evaluate the effectiveness and safety of physical</w:t>
            </w:r>
            <w:r>
              <w:t xml:space="preserve"> </w:t>
            </w:r>
            <w:r w:rsidRPr="009927EC">
              <w:t>exercise in terms of maternal/perinatal outcomes and the</w:t>
            </w:r>
            <w:r>
              <w:t xml:space="preserve"> </w:t>
            </w:r>
            <w:r w:rsidRPr="009927EC">
              <w:t>perception of quality of life (QoL).</w:t>
            </w:r>
          </w:p>
          <w:p w14:paraId="2C406C4E" w14:textId="2F9C95CF" w:rsidR="000A1756" w:rsidRPr="009927EC" w:rsidRDefault="000A1756" w:rsidP="009927EC">
            <w:r>
              <w:rPr>
                <w:b/>
                <w:shd w:val="clear" w:color="auto" w:fill="FFFFFF"/>
              </w:rPr>
              <w:t>Population:</w:t>
            </w:r>
            <w:r w:rsidRPr="009927EC">
              <w:rPr>
                <w:rFonts w:eastAsiaTheme="minorHAnsi"/>
                <w:lang w:val="en-GB"/>
              </w:rPr>
              <w:t xml:space="preserve"> </w:t>
            </w:r>
            <w:r>
              <w:t>P</w:t>
            </w:r>
            <w:r w:rsidRPr="009927EC">
              <w:t xml:space="preserve">regnant women (age </w:t>
            </w:r>
            <w:r>
              <w:t>≥</w:t>
            </w:r>
            <w:r w:rsidRPr="009927EC">
              <w:t>18 years;</w:t>
            </w:r>
            <w:r>
              <w:t xml:space="preserve"> </w:t>
            </w:r>
            <w:r w:rsidRPr="009927EC">
              <w:t xml:space="preserve">pre-gestational body mass index </w:t>
            </w:r>
            <w:r>
              <w:t>≥</w:t>
            </w:r>
            <w:r w:rsidRPr="009927EC">
              <w:t>26 kg/m</w:t>
            </w:r>
            <w:r w:rsidRPr="009927EC">
              <w:rPr>
                <w:rFonts w:eastAsiaTheme="majorEastAsia"/>
                <w:vertAlign w:val="superscript"/>
              </w:rPr>
              <w:t>2</w:t>
            </w:r>
            <w:r w:rsidRPr="009927EC">
              <w:t>; gestational age</w:t>
            </w:r>
            <w:r>
              <w:t xml:space="preserve"> </w:t>
            </w:r>
            <w:r w:rsidRPr="009927EC">
              <w:t>14–24 weeks).</w:t>
            </w:r>
          </w:p>
          <w:p w14:paraId="5E70F46C" w14:textId="77777777" w:rsidR="007D4CC2" w:rsidRDefault="007D4CC2" w:rsidP="007D4CC2">
            <w:r w:rsidRPr="005E4EF9">
              <w:rPr>
                <w:b/>
              </w:rPr>
              <w:t>Intervention</w:t>
            </w:r>
            <w:r>
              <w:rPr>
                <w:b/>
              </w:rPr>
              <w:t>:</w:t>
            </w:r>
          </w:p>
          <w:p w14:paraId="2E5DBCBC" w14:textId="77777777" w:rsidR="007D4CC2" w:rsidRPr="00C45716" w:rsidRDefault="007D4CC2" w:rsidP="007D4CC2">
            <w:pPr>
              <w:pStyle w:val="bullet"/>
            </w:pPr>
            <w:r w:rsidRPr="00C45716">
              <w:rPr>
                <w:i/>
              </w:rPr>
              <w:t>Supervised</w:t>
            </w:r>
            <w:r w:rsidRPr="00C45716">
              <w:t xml:space="preserve">: </w:t>
            </w:r>
            <w:r>
              <w:t>Yes</w:t>
            </w:r>
          </w:p>
          <w:p w14:paraId="5D1E488B" w14:textId="1E373FB2" w:rsidR="007D4CC2" w:rsidRPr="007D4CC2" w:rsidRDefault="007D4CC2" w:rsidP="007D4CC2">
            <w:pPr>
              <w:pStyle w:val="bullet"/>
            </w:pPr>
            <w:r w:rsidRPr="00C45716">
              <w:rPr>
                <w:i/>
              </w:rPr>
              <w:t>Type and duration</w:t>
            </w:r>
            <w:r w:rsidRPr="00C45716">
              <w:t xml:space="preserve">: </w:t>
            </w:r>
            <w:r>
              <w:t xml:space="preserve">Aerobic and resistance; </w:t>
            </w:r>
            <w:r w:rsidRPr="00C12274">
              <w:t>Stretching and strengthening</w:t>
            </w:r>
            <w:r>
              <w:t xml:space="preserve">; </w:t>
            </w:r>
            <w:r w:rsidRPr="00C12274">
              <w:t>40 min, 1 time a week from week 17-18 until the end of pregnancy plus home-based exercise (duration not specified) 5 times a week</w:t>
            </w:r>
            <w:r>
              <w:t>.</w:t>
            </w:r>
          </w:p>
          <w:p w14:paraId="274FD603" w14:textId="777E744C" w:rsidR="000A1756" w:rsidRPr="00BD7BAC" w:rsidRDefault="007D4CC2" w:rsidP="007D4CC2">
            <w:pPr>
              <w:pStyle w:val="bullet"/>
            </w:pPr>
            <w:r w:rsidRPr="00C45716">
              <w:rPr>
                <w:i/>
              </w:rPr>
              <w:t>Intensity</w:t>
            </w:r>
            <w:r w:rsidRPr="00C45716">
              <w:t xml:space="preserve">: </w:t>
            </w:r>
            <w:r w:rsidRPr="00C12274">
              <w:t>Light to moderate; HR&lt;140/min</w:t>
            </w:r>
            <w:r>
              <w:t>.</w:t>
            </w:r>
          </w:p>
        </w:tc>
        <w:tc>
          <w:tcPr>
            <w:tcW w:w="5953" w:type="dxa"/>
            <w:tcBorders>
              <w:left w:val="single" w:sz="4" w:space="0" w:color="3B3474"/>
              <w:right w:val="single" w:sz="4" w:space="0" w:color="3B3474"/>
            </w:tcBorders>
          </w:tcPr>
          <w:p w14:paraId="3D2D1C3E" w14:textId="77777777" w:rsidR="000A1756" w:rsidRDefault="000A1756" w:rsidP="00BD7BAC">
            <w:r>
              <w:t>Combined groups intervention vs control:</w:t>
            </w:r>
          </w:p>
          <w:p w14:paraId="6F2FB4F7" w14:textId="4A432420" w:rsidR="000A1756" w:rsidRDefault="00133B96" w:rsidP="00BD7BAC">
            <w:pPr>
              <w:pStyle w:val="bullet"/>
            </w:pPr>
            <w:r>
              <w:t>Gestational w</w:t>
            </w:r>
            <w:r w:rsidR="000A1756">
              <w:t xml:space="preserve">eight gain: </w:t>
            </w:r>
            <w:r w:rsidR="000A1756" w:rsidRPr="00BD7BAC">
              <w:t xml:space="preserve">10.3 ± 5.0 </w:t>
            </w:r>
            <w:r w:rsidR="000A1756">
              <w:t xml:space="preserve">vs </w:t>
            </w:r>
            <w:r w:rsidR="000A1756" w:rsidRPr="00BD7BAC">
              <w:t xml:space="preserve">11.5 ± 7.4 </w:t>
            </w:r>
            <w:r w:rsidR="000A1756">
              <w:t>p=</w:t>
            </w:r>
            <w:r w:rsidR="000A1756" w:rsidRPr="00BD7BAC">
              <w:t>0.543</w:t>
            </w:r>
          </w:p>
          <w:p w14:paraId="1A0C173B" w14:textId="1A76F5A9" w:rsidR="000A1756" w:rsidRPr="00C8415D" w:rsidRDefault="000A1756" w:rsidP="00C8415D">
            <w:pPr>
              <w:pStyle w:val="bullet"/>
            </w:pPr>
            <w:r>
              <w:t>Caesarean section</w:t>
            </w:r>
            <w:r w:rsidRPr="00C8415D">
              <w:t xml:space="preserve"> </w:t>
            </w:r>
            <w:r>
              <w:t xml:space="preserve">(n </w:t>
            </w:r>
            <w:r w:rsidRPr="00C8415D">
              <w:t>%)</w:t>
            </w:r>
            <w:r>
              <w:t>:</w:t>
            </w:r>
            <w:r w:rsidRPr="00C8415D">
              <w:t xml:space="preserve"> 25</w:t>
            </w:r>
            <w:r w:rsidR="00FB718E">
              <w:t>/38</w:t>
            </w:r>
            <w:r w:rsidRPr="00C8415D">
              <w:t xml:space="preserve"> (65.8) </w:t>
            </w:r>
            <w:r>
              <w:t xml:space="preserve">vs </w:t>
            </w:r>
            <w:r w:rsidRPr="00C8415D">
              <w:t>29</w:t>
            </w:r>
            <w:r w:rsidR="00FB718E">
              <w:t>/40</w:t>
            </w:r>
            <w:r w:rsidRPr="00C8415D">
              <w:t xml:space="preserve"> (72.5) </w:t>
            </w:r>
            <w:r>
              <w:t>p=</w:t>
            </w:r>
            <w:r w:rsidRPr="00C8415D">
              <w:t>0.521</w:t>
            </w:r>
          </w:p>
          <w:p w14:paraId="61D261B8" w14:textId="3A1E74AE" w:rsidR="000A1756" w:rsidRPr="000A3488" w:rsidRDefault="000A1756" w:rsidP="000A3488">
            <w:pPr>
              <w:pStyle w:val="bullet"/>
            </w:pPr>
            <w:r>
              <w:t xml:space="preserve">Apgar score </w:t>
            </w:r>
            <w:r w:rsidR="00D90251">
              <w:t>&lt;</w:t>
            </w:r>
            <w:r>
              <w:t xml:space="preserve">7: </w:t>
            </w:r>
            <w:r w:rsidR="00241D70">
              <w:t>1</w:t>
            </w:r>
            <w:r w:rsidR="00ED3DF5">
              <w:t>/36</w:t>
            </w:r>
            <w:r w:rsidRPr="000A3488">
              <w:t xml:space="preserve"> (</w:t>
            </w:r>
            <w:r w:rsidR="00D90251">
              <w:t>2.8</w:t>
            </w:r>
            <w:r w:rsidRPr="000A3488">
              <w:t xml:space="preserve">) </w:t>
            </w:r>
            <w:r>
              <w:t xml:space="preserve">vs </w:t>
            </w:r>
            <w:r w:rsidR="008A4C1F">
              <w:t>0</w:t>
            </w:r>
            <w:r w:rsidR="00ED3DF5">
              <w:t>/37</w:t>
            </w:r>
            <w:r w:rsidRPr="000A3488">
              <w:t xml:space="preserve"> (0)</w:t>
            </w:r>
          </w:p>
          <w:p w14:paraId="328F88FC" w14:textId="686C9736" w:rsidR="000A1756" w:rsidRPr="000A3488" w:rsidRDefault="000A1756" w:rsidP="000A3488">
            <w:pPr>
              <w:pStyle w:val="bullet"/>
            </w:pPr>
            <w:r w:rsidRPr="000A3488">
              <w:t>Large for gestational age</w:t>
            </w:r>
            <w:r>
              <w:t>:</w:t>
            </w:r>
            <w:r w:rsidRPr="000A3488">
              <w:t xml:space="preserve"> 8</w:t>
            </w:r>
            <w:r w:rsidR="00ED3DF5">
              <w:t>/33</w:t>
            </w:r>
            <w:r w:rsidRPr="000A3488">
              <w:t xml:space="preserve"> (24.2) </w:t>
            </w:r>
            <w:r>
              <w:t xml:space="preserve">vs </w:t>
            </w:r>
            <w:r w:rsidRPr="000A3488">
              <w:t>8</w:t>
            </w:r>
            <w:r w:rsidR="00ED3DF5">
              <w:t>/33</w:t>
            </w:r>
            <w:r w:rsidRPr="000A3488">
              <w:t xml:space="preserve"> (24.2)</w:t>
            </w:r>
          </w:p>
          <w:p w14:paraId="4786FC65" w14:textId="63F79FBA" w:rsidR="000A1756" w:rsidRPr="000A3488" w:rsidRDefault="000A1756" w:rsidP="000A3488">
            <w:pPr>
              <w:pStyle w:val="bullet"/>
            </w:pPr>
            <w:r w:rsidRPr="000A3488">
              <w:t>Small for gestational age</w:t>
            </w:r>
            <w:r>
              <w:t>:</w:t>
            </w:r>
            <w:r w:rsidRPr="000A3488">
              <w:t xml:space="preserve"> 2</w:t>
            </w:r>
            <w:r w:rsidR="00ED3DF5">
              <w:t>/33</w:t>
            </w:r>
            <w:r w:rsidRPr="000A3488">
              <w:t xml:space="preserve"> (6.1) </w:t>
            </w:r>
            <w:r>
              <w:t xml:space="preserve">vs </w:t>
            </w:r>
            <w:r w:rsidRPr="000A3488">
              <w:t>1</w:t>
            </w:r>
            <w:r w:rsidR="00ED3DF5">
              <w:t>/33</w:t>
            </w:r>
            <w:r>
              <w:t xml:space="preserve"> </w:t>
            </w:r>
            <w:r w:rsidRPr="000A3488">
              <w:t>(3.0)</w:t>
            </w:r>
          </w:p>
          <w:p w14:paraId="7F234031" w14:textId="47B7E4F7" w:rsidR="000A1756" w:rsidRPr="000A3488" w:rsidRDefault="000A1756" w:rsidP="000A3488">
            <w:pPr>
              <w:pStyle w:val="bullet"/>
              <w:numPr>
                <w:ilvl w:val="0"/>
                <w:numId w:val="0"/>
              </w:numPr>
            </w:pPr>
            <w:r w:rsidRPr="000A3488">
              <w:rPr>
                <w:rFonts w:eastAsia="Times New Roman"/>
                <w:lang w:val="en-AU"/>
              </w:rPr>
              <w:t>Overweight women intervention (n=9) vs control (n=5):</w:t>
            </w:r>
          </w:p>
          <w:p w14:paraId="576B6691" w14:textId="4A1A69DF" w:rsidR="000A1756" w:rsidRPr="00BD7BAC" w:rsidRDefault="00133B96" w:rsidP="00BD7BAC">
            <w:pPr>
              <w:pStyle w:val="bullet"/>
            </w:pPr>
            <w:r>
              <w:t>Gestational w</w:t>
            </w:r>
            <w:r w:rsidR="000A1756">
              <w:t xml:space="preserve">eight gain: </w:t>
            </w:r>
            <w:r w:rsidR="000A1756" w:rsidRPr="00BD7BAC">
              <w:t>10.0 ± 1.7</w:t>
            </w:r>
            <w:r w:rsidR="000A1756">
              <w:t xml:space="preserve"> vs</w:t>
            </w:r>
            <w:r w:rsidR="000A1756" w:rsidRPr="00BD7BAC">
              <w:t xml:space="preserve"> 16.4 ± 3.9 </w:t>
            </w:r>
            <w:r w:rsidR="000A1756">
              <w:t>p=0.001</w:t>
            </w:r>
          </w:p>
          <w:p w14:paraId="0552B5B9" w14:textId="3FD41CC1" w:rsidR="000A1756" w:rsidRDefault="000A1756" w:rsidP="00A62BE1">
            <w:r>
              <w:t>Obese women intervention (n=30) vs control (n=36):</w:t>
            </w:r>
          </w:p>
          <w:p w14:paraId="3CD2084F" w14:textId="5BF9FD06" w:rsidR="000A1756" w:rsidRPr="00BD7BAC" w:rsidRDefault="00133B96" w:rsidP="00A62BE1">
            <w:pPr>
              <w:pStyle w:val="bullet"/>
            </w:pPr>
            <w:r>
              <w:t>Gestational w</w:t>
            </w:r>
            <w:r w:rsidR="000A1756">
              <w:t xml:space="preserve">eight gain: </w:t>
            </w:r>
            <w:r w:rsidR="000A1756" w:rsidRPr="00BD7BAC">
              <w:t xml:space="preserve">10.4 ± 5.6 </w:t>
            </w:r>
            <w:r w:rsidR="000A1756">
              <w:t xml:space="preserve">vs </w:t>
            </w:r>
            <w:r w:rsidR="000A1756" w:rsidRPr="00BD7BAC">
              <w:t xml:space="preserve">10.9 ± 7.6 </w:t>
            </w:r>
            <w:r w:rsidR="000A1756">
              <w:t>p=</w:t>
            </w:r>
            <w:r w:rsidR="000A1756" w:rsidRPr="00BD7BAC">
              <w:t>0.757</w:t>
            </w:r>
          </w:p>
        </w:tc>
      </w:tr>
      <w:tr w:rsidR="000A1756" w:rsidRPr="00A652CB" w14:paraId="4F88D785"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118FCFF9" w14:textId="6C48C8D0" w:rsidR="00BA2D18" w:rsidRPr="00C12274" w:rsidRDefault="00BA2D18" w:rsidP="00E70A06">
            <w:r>
              <w:t>Ong et al 2009</w:t>
            </w:r>
            <w:r w:rsidR="00616EE6">
              <w:fldChar w:fldCharType="begin">
                <w:fldData xml:space="preserve">PEVuZE5vdGU+PENpdGU+PEF1dGhvcj5Pbmc8L0F1dGhvcj48WWVhcj4yMDA5PC9ZZWFyPjxSZWNO
dW0+NzAyPC9SZWNOdW0+PERpc3BsYXlUZXh0PjxzdHlsZSBmYWNlPSJzdXBlcnNjcmlwdCIgZm9u
dD0iVHJlYnVjaGV0IE1TIiBzaXplPSI5Ij40NTA8L3N0eWxlPjwvRGlzcGxheVRleHQ+PHJlY29y
ZD48cmVjLW51bWJlcj43MDI8L3JlYy1udW1iZXI+PGZvcmVpZ24ta2V5cz48a2V5IGFwcD0iRU4i
IGRiLWlkPSJleHZhc3JmeDJkdHJhb2VzYXN4cDJzenN4YTJkZjUwMjU5MngiIHRpbWVzdGFtcD0i
MTU0MDUzMDQ4MyI+NzAyPC9rZXk+PC9mb3JlaWduLWtleXM+PHJlZi10eXBlIG5hbWU9IkpvdXJu
YWwgQXJ0aWNsZSI+MTc8L3JlZi10eXBlPjxjb250cmlidXRvcnM+PGF1dGhvcnM+PGF1dGhvcj5P
bmcsIE0uIEouPC9hdXRob3I+PGF1dGhvcj5HdWVsZmksIEsuIEouPC9hdXRob3I+PGF1dGhvcj5I
dW50ZXIsIFQuPC9hdXRob3I+PGF1dGhvcj5XYWxsbWFuLCBLLiBFLjwvYXV0aG9yPjxhdXRob3I+
Rm91cm5pZXIsIFAuIEEuPC9hdXRob3I+PGF1dGhvcj5OZXduaGFtLCBKLiBQLjwvYXV0aG9yPjwv
YXV0aG9ycz48L2NvbnRyaWJ1dG9ycz48YXV0aC1hZGRyZXNzPlNjaG9vbCBvZiBTcG9ydCBTY2ll
bmNlLCBFeGVyY2lzZSBhbmQgSGVhbHRoLCBUaGUgVW5pdmVyc2l0eSBvZiBXZXN0ZXJuIEF1c3Ry
YWxpYSwgQ3Jhd2xleSwgV0EgNjAwOSwgQXVzdHJhbGlhLjwvYXV0aC1hZGRyZXNzPjx0aXRsZXM+
PHRpdGxlPlN1cGVydmlzZWQgaG9tZS1iYXNlZCBleGVyY2lzZSBtYXkgYXR0ZW51YXRlIHRoZSBk
ZWNsaW5lIG9mIGdsdWNvc2UgdG9sZXJhbmNlIGluIG9iZXNlIHByZWduYW50IHdvbWVuPC90aXRs
ZT48c2Vjb25kYXJ5LXRpdGxlPkRpYWJldGVzIE1ldGFiPC9zZWNvbmRhcnktdGl0bGU+PC90aXRs
ZXM+PHBlcmlvZGljYWw+PGZ1bGwtdGl0bGU+RGlhYmV0ZXMgTWV0YWI8L2Z1bGwtdGl0bGU+PC9w
ZXJpb2RpY2FsPjxwYWdlcz40MTgtMjE8L3BhZ2VzPjx2b2x1bWU+MzU8L3ZvbHVtZT48bnVtYmVy
PjU8L251bWJlcj48ZWRpdGlvbj4yMDA5LzA5LzE1PC9lZGl0aW9uPjxrZXl3b3Jkcz48a2V5d29y
ZD5BZHVsdDwva2V5d29yZD48a2V5d29yZD5CbG9vZCBHbHVjb3NlL2FuYWx5c2lzPC9rZXl3b3Jk
PjxrZXl3b3JkPkJvZHkgTWFzcyBJbmRleDwva2V5d29yZD48a2V5d29yZD5FeGVyY2lzZSBUaGVy
YXB5LyptZXRob2RzPC9rZXl3b3JkPjxrZXl3b3JkPkZlbWFsZTwva2V5d29yZD48a2V5d29yZD5H
bHVjb3NlIEludG9sZXJhbmNlL3ByZXZlbnRpb24gJmFtcDsgY29udHJvbC8qdGhlcmFweTwva2V5
d29yZD48a2V5d29yZD5HbHVjb3NlIFRvbGVyYW5jZSBUZXN0PC9rZXl3b3JkPjxrZXl3b3JkPkhv
bWUgQ2FyZSBTZXJ2aWNlcy9zdGF0aXN0aWNzICZhbXA7IG51bWVyaWNhbCBkYXRhPC9rZXl3b3Jk
PjxrZXl3b3JkPkh1bWFuczwva2V5d29yZD48a2V5d29yZD5JbnN1bGluL2Jsb29kPC9rZXl3b3Jk
PjxrZXl3b3JkPk9iZXNpdHkvKnBoeXNpb3BhdGhvbG9neTwva2V5d29yZD48a2V5d29yZD5QaHlz
aWNhbCBGaXRuZXNzPC9rZXl3b3JkPjxrZXl3b3JkPlByZWduYW5jeTwva2V5d29yZD48a2V5d29y
ZD5QcmVnbmFuY3kgQ29tcGxpY2F0aW9ucy8qcGh5c2lvcGF0aG9sb2d5PC9rZXl3b3JkPjxrZXl3
b3JkPlByZWduYW5jeSBUcmltZXN0ZXIsIFNlY29uZDwva2V5d29yZD48L2tleXdvcmRzPjxkYXRl
cz48eWVhcj4yMDA5PC95ZWFyPjxwdWItZGF0ZXM+PGRhdGU+Tm92PC9kYXRlPjwvcHViLWRhdGVz
PjwvZGF0ZXM+PGlzYm4+MTg3OC0xNzgwIChFbGVjdHJvbmljKSYjeEQ7MTI2Mi0zNjM2IChMaW5r
aW5nKTwvaXNibj48YWNjZXNzaW9uLW51bT4xOTc0Nzg2OTwvYWNjZXNzaW9uLW51bT48dXJscz48
cmVsYXRlZC11cmxzPjx1cmw+aHR0cHM6Ly93d3cubmNiaS5ubG0ubmloLmdvdi9wdWJtZWQvMTk3
NDc4Njk8L3VybD48L3JlbGF0ZWQtdXJscz48L3VybHM+PGVsZWN0cm9uaWMtcmVzb3VyY2UtbnVt
PjEwLjEwMTYvai5kaWFiZXQuMjAwOS4wNC4wMDg8L2VsZWN0cm9uaWMtcmVzb3VyY2UtbnVtPjwv
cmVjb3JkPjwvQ2l0ZT48L0VuZE5vdGU+
</w:fldData>
              </w:fldChar>
            </w:r>
            <w:r w:rsidR="002747EA">
              <w:instrText xml:space="preserve"> ADDIN EN.CITE </w:instrText>
            </w:r>
            <w:r w:rsidR="002747EA">
              <w:fldChar w:fldCharType="begin">
                <w:fldData xml:space="preserve">PEVuZE5vdGU+PENpdGU+PEF1dGhvcj5Pbmc8L0F1dGhvcj48WWVhcj4yMDA5PC9ZZWFyPjxSZWNO
dW0+NzAyPC9SZWNOdW0+PERpc3BsYXlUZXh0PjxzdHlsZSBmYWNlPSJzdXBlcnNjcmlwdCIgZm9u
dD0iVHJlYnVjaGV0IE1TIiBzaXplPSI5Ij40NTA8L3N0eWxlPjwvRGlzcGxheVRleHQ+PHJlY29y
ZD48cmVjLW51bWJlcj43MDI8L3JlYy1udW1iZXI+PGZvcmVpZ24ta2V5cz48a2V5IGFwcD0iRU4i
IGRiLWlkPSJleHZhc3JmeDJkdHJhb2VzYXN4cDJzenN4YTJkZjUwMjU5MngiIHRpbWVzdGFtcD0i
MTU0MDUzMDQ4MyI+NzAyPC9rZXk+PC9mb3JlaWduLWtleXM+PHJlZi10eXBlIG5hbWU9IkpvdXJu
YWwgQXJ0aWNsZSI+MTc8L3JlZi10eXBlPjxjb250cmlidXRvcnM+PGF1dGhvcnM+PGF1dGhvcj5P
bmcsIE0uIEouPC9hdXRob3I+PGF1dGhvcj5HdWVsZmksIEsuIEouPC9hdXRob3I+PGF1dGhvcj5I
dW50ZXIsIFQuPC9hdXRob3I+PGF1dGhvcj5XYWxsbWFuLCBLLiBFLjwvYXV0aG9yPjxhdXRob3I+
Rm91cm5pZXIsIFAuIEEuPC9hdXRob3I+PGF1dGhvcj5OZXduaGFtLCBKLiBQLjwvYXV0aG9yPjwv
YXV0aG9ycz48L2NvbnRyaWJ1dG9ycz48YXV0aC1hZGRyZXNzPlNjaG9vbCBvZiBTcG9ydCBTY2ll
bmNlLCBFeGVyY2lzZSBhbmQgSGVhbHRoLCBUaGUgVW5pdmVyc2l0eSBvZiBXZXN0ZXJuIEF1c3Ry
YWxpYSwgQ3Jhd2xleSwgV0EgNjAwOSwgQXVzdHJhbGlhLjwvYXV0aC1hZGRyZXNzPjx0aXRsZXM+
PHRpdGxlPlN1cGVydmlzZWQgaG9tZS1iYXNlZCBleGVyY2lzZSBtYXkgYXR0ZW51YXRlIHRoZSBk
ZWNsaW5lIG9mIGdsdWNvc2UgdG9sZXJhbmNlIGluIG9iZXNlIHByZWduYW50IHdvbWVuPC90aXRs
ZT48c2Vjb25kYXJ5LXRpdGxlPkRpYWJldGVzIE1ldGFiPC9zZWNvbmRhcnktdGl0bGU+PC90aXRs
ZXM+PHBlcmlvZGljYWw+PGZ1bGwtdGl0bGU+RGlhYmV0ZXMgTWV0YWI8L2Z1bGwtdGl0bGU+PC9w
ZXJpb2RpY2FsPjxwYWdlcz40MTgtMjE8L3BhZ2VzPjx2b2x1bWU+MzU8L3ZvbHVtZT48bnVtYmVy
PjU8L251bWJlcj48ZWRpdGlvbj4yMDA5LzA5LzE1PC9lZGl0aW9uPjxrZXl3b3Jkcz48a2V5d29y
ZD5BZHVsdDwva2V5d29yZD48a2V5d29yZD5CbG9vZCBHbHVjb3NlL2FuYWx5c2lzPC9rZXl3b3Jk
PjxrZXl3b3JkPkJvZHkgTWFzcyBJbmRleDwva2V5d29yZD48a2V5d29yZD5FeGVyY2lzZSBUaGVy
YXB5LyptZXRob2RzPC9rZXl3b3JkPjxrZXl3b3JkPkZlbWFsZTwva2V5d29yZD48a2V5d29yZD5H
bHVjb3NlIEludG9sZXJhbmNlL3ByZXZlbnRpb24gJmFtcDsgY29udHJvbC8qdGhlcmFweTwva2V5
d29yZD48a2V5d29yZD5HbHVjb3NlIFRvbGVyYW5jZSBUZXN0PC9rZXl3b3JkPjxrZXl3b3JkPkhv
bWUgQ2FyZSBTZXJ2aWNlcy9zdGF0aXN0aWNzICZhbXA7IG51bWVyaWNhbCBkYXRhPC9rZXl3b3Jk
PjxrZXl3b3JkPkh1bWFuczwva2V5d29yZD48a2V5d29yZD5JbnN1bGluL2Jsb29kPC9rZXl3b3Jk
PjxrZXl3b3JkPk9iZXNpdHkvKnBoeXNpb3BhdGhvbG9neTwva2V5d29yZD48a2V5d29yZD5QaHlz
aWNhbCBGaXRuZXNzPC9rZXl3b3JkPjxrZXl3b3JkPlByZWduYW5jeTwva2V5d29yZD48a2V5d29y
ZD5QcmVnbmFuY3kgQ29tcGxpY2F0aW9ucy8qcGh5c2lvcGF0aG9sb2d5PC9rZXl3b3JkPjxrZXl3
b3JkPlByZWduYW5jeSBUcmltZXN0ZXIsIFNlY29uZDwva2V5d29yZD48L2tleXdvcmRzPjxkYXRl
cz48eWVhcj4yMDA5PC95ZWFyPjxwdWItZGF0ZXM+PGRhdGU+Tm92PC9kYXRlPjwvcHViLWRhdGVz
PjwvZGF0ZXM+PGlzYm4+MTg3OC0xNzgwIChFbGVjdHJvbmljKSYjeEQ7MTI2Mi0zNjM2IChMaW5r
aW5nKTwvaXNibj48YWNjZXNzaW9uLW51bT4xOTc0Nzg2OTwvYWNjZXNzaW9uLW51bT48dXJscz48
cmVsYXRlZC11cmxzPjx1cmw+aHR0cHM6Ly93d3cubmNiaS5ubG0ubmloLmdvdi9wdWJtZWQvMTk3
NDc4Njk8L3VybD48L3JlbGF0ZWQtdXJscz48L3VybHM+PGVsZWN0cm9uaWMtcmVzb3VyY2UtbnVt
PjEwLjEwMTYvai5kaWFiZXQuMjAwOS4wNC4wMDg8L2VsZWN0cm9uaWMtcmVzb3VyY2UtbnVtPjwv
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450</w:t>
            </w:r>
            <w:r w:rsidR="00616EE6">
              <w:fldChar w:fldCharType="end"/>
            </w:r>
          </w:p>
          <w:p w14:paraId="55A99DDE" w14:textId="552A3E5A" w:rsidR="000A1756" w:rsidRPr="00362C86" w:rsidRDefault="00BA2D18" w:rsidP="00E70A06">
            <w:r w:rsidRPr="00C12274">
              <w:t>Australia</w:t>
            </w:r>
          </w:p>
        </w:tc>
        <w:tc>
          <w:tcPr>
            <w:tcW w:w="1670" w:type="dxa"/>
            <w:tcBorders>
              <w:left w:val="single" w:sz="4" w:space="0" w:color="3B3474"/>
              <w:right w:val="single" w:sz="4" w:space="0" w:color="3B3474"/>
            </w:tcBorders>
          </w:tcPr>
          <w:p w14:paraId="4B8767A3" w14:textId="77777777" w:rsidR="000A1756" w:rsidRDefault="000A1756" w:rsidP="00D424F3">
            <w:r>
              <w:t>Intervention 6</w:t>
            </w:r>
          </w:p>
          <w:p w14:paraId="671A2EFA" w14:textId="1E928858" w:rsidR="000A1756" w:rsidRDefault="000A1756" w:rsidP="00D424F3">
            <w:r>
              <w:t>Control 6</w:t>
            </w:r>
          </w:p>
        </w:tc>
        <w:tc>
          <w:tcPr>
            <w:tcW w:w="5395" w:type="dxa"/>
            <w:tcBorders>
              <w:left w:val="single" w:sz="4" w:space="0" w:color="3B3474"/>
              <w:right w:val="single" w:sz="4" w:space="0" w:color="3B3474"/>
            </w:tcBorders>
          </w:tcPr>
          <w:p w14:paraId="404C1A2E" w14:textId="6770DE4E" w:rsidR="000A1756" w:rsidRDefault="000A1756" w:rsidP="008C0871">
            <w:r w:rsidRPr="0031494A">
              <w:rPr>
                <w:b/>
              </w:rPr>
              <w:t>Aim</w:t>
            </w:r>
            <w:r>
              <w:t>: T</w:t>
            </w:r>
            <w:r w:rsidRPr="008C0871">
              <w:t>o investigate the effect of a supervised 10-week, home-based, exercise programme, beginning at week 18 of gestation, on glucose tolerance and aerobic fitness</w:t>
            </w:r>
            <w:r>
              <w:t>.</w:t>
            </w:r>
          </w:p>
          <w:p w14:paraId="18AF8769" w14:textId="60C5E4F3" w:rsidR="000A1756" w:rsidRDefault="000A1756" w:rsidP="008C0871">
            <w:r w:rsidRPr="00434F4E">
              <w:rPr>
                <w:b/>
              </w:rPr>
              <w:t>Population</w:t>
            </w:r>
            <w:r>
              <w:t>: P</w:t>
            </w:r>
            <w:r w:rsidRPr="008C0871">
              <w:t>reviousl</w:t>
            </w:r>
            <w:r w:rsidR="00BA2D18">
              <w:t xml:space="preserve">y sedentary obese women; </w:t>
            </w:r>
            <w:r w:rsidR="00BA2D18" w:rsidRPr="00C12274">
              <w:rPr>
                <w:sz w:val="16"/>
                <w:szCs w:val="16"/>
              </w:rPr>
              <w:t>BMI ≥30 kg/m</w:t>
            </w:r>
            <w:r w:rsidR="00BA2D18" w:rsidRPr="00C12274">
              <w:rPr>
                <w:rFonts w:eastAsiaTheme="majorEastAsia"/>
                <w:sz w:val="16"/>
                <w:szCs w:val="16"/>
                <w:vertAlign w:val="superscript"/>
              </w:rPr>
              <w:t>2</w:t>
            </w:r>
            <w:r w:rsidR="00BA2D18">
              <w:rPr>
                <w:rFonts w:eastAsiaTheme="majorEastAsia"/>
                <w:sz w:val="16"/>
                <w:szCs w:val="16"/>
                <w:vertAlign w:val="superscript"/>
              </w:rPr>
              <w:t>.</w:t>
            </w:r>
          </w:p>
          <w:p w14:paraId="08A11469" w14:textId="77777777" w:rsidR="007D4CC2" w:rsidRDefault="007D4CC2" w:rsidP="007D4CC2">
            <w:r w:rsidRPr="005E4EF9">
              <w:rPr>
                <w:b/>
              </w:rPr>
              <w:t>Intervention</w:t>
            </w:r>
            <w:r>
              <w:rPr>
                <w:b/>
              </w:rPr>
              <w:t>:</w:t>
            </w:r>
          </w:p>
          <w:p w14:paraId="2698A2EA" w14:textId="77777777" w:rsidR="007D4CC2" w:rsidRPr="00C45716" w:rsidRDefault="007D4CC2" w:rsidP="007D4CC2">
            <w:pPr>
              <w:pStyle w:val="bullet"/>
            </w:pPr>
            <w:r w:rsidRPr="00C45716">
              <w:rPr>
                <w:i/>
              </w:rPr>
              <w:t>Supervised</w:t>
            </w:r>
            <w:r w:rsidRPr="00C45716">
              <w:t xml:space="preserve">: </w:t>
            </w:r>
            <w:r>
              <w:t>Yes</w:t>
            </w:r>
          </w:p>
          <w:p w14:paraId="48AEA946" w14:textId="55489A3D" w:rsidR="007D4CC2" w:rsidRPr="007D4CC2" w:rsidRDefault="007D4CC2" w:rsidP="00BA2D18">
            <w:pPr>
              <w:pStyle w:val="bullet"/>
            </w:pPr>
            <w:r w:rsidRPr="00C45716">
              <w:rPr>
                <w:i/>
              </w:rPr>
              <w:t>Type and duration</w:t>
            </w:r>
            <w:r w:rsidRPr="00C45716">
              <w:t xml:space="preserve">: </w:t>
            </w:r>
            <w:r>
              <w:t xml:space="preserve">Aerobic; </w:t>
            </w:r>
            <w:r w:rsidR="00BA2D18">
              <w:t>S</w:t>
            </w:r>
            <w:r w:rsidRPr="00C12274">
              <w:t>tationary cycling</w:t>
            </w:r>
            <w:r>
              <w:t xml:space="preserve">; </w:t>
            </w:r>
            <w:r w:rsidR="00BA2D18" w:rsidRPr="00C12274">
              <w:t>35-50 min, 3 times a week from week 18 until week 28</w:t>
            </w:r>
            <w:r>
              <w:t>.</w:t>
            </w:r>
          </w:p>
          <w:p w14:paraId="72892B26" w14:textId="3A256EE2" w:rsidR="000A1756" w:rsidRPr="00434F4E" w:rsidRDefault="007D4CC2" w:rsidP="007D4CC2">
            <w:pPr>
              <w:pStyle w:val="bullet"/>
            </w:pPr>
            <w:r w:rsidRPr="00C45716">
              <w:rPr>
                <w:i/>
              </w:rPr>
              <w:t>Intensity</w:t>
            </w:r>
            <w:r w:rsidRPr="00C45716">
              <w:t xml:space="preserve">: </w:t>
            </w:r>
            <w:r w:rsidRPr="00C12274">
              <w:t xml:space="preserve">Moderate; </w:t>
            </w:r>
            <w:r w:rsidR="00BA2D18" w:rsidRPr="00C12274">
              <w:rPr>
                <w:sz w:val="16"/>
                <w:szCs w:val="16"/>
              </w:rPr>
              <w:t>50-60% HR</w:t>
            </w:r>
            <w:r w:rsidR="00BA2D18" w:rsidRPr="00C12274">
              <w:rPr>
                <w:rFonts w:eastAsiaTheme="majorEastAsia"/>
                <w:sz w:val="16"/>
                <w:szCs w:val="16"/>
                <w:vertAlign w:val="subscript"/>
              </w:rPr>
              <w:t xml:space="preserve">max </w:t>
            </w:r>
            <w:r w:rsidR="00BA2D18" w:rsidRPr="00C12274">
              <w:rPr>
                <w:rFonts w:eastAsiaTheme="majorEastAsia"/>
                <w:sz w:val="16"/>
                <w:szCs w:val="16"/>
              </w:rPr>
              <w:t xml:space="preserve">increasing to </w:t>
            </w:r>
            <w:r w:rsidR="00BA2D18" w:rsidRPr="00C12274">
              <w:rPr>
                <w:sz w:val="16"/>
                <w:szCs w:val="16"/>
              </w:rPr>
              <w:t>60-70% HR</w:t>
            </w:r>
            <w:r w:rsidR="00BA2D18" w:rsidRPr="00C12274">
              <w:rPr>
                <w:rFonts w:eastAsiaTheme="majorEastAsia"/>
                <w:sz w:val="16"/>
                <w:szCs w:val="16"/>
                <w:vertAlign w:val="subscript"/>
              </w:rPr>
              <w:t>max</w:t>
            </w:r>
            <w:r>
              <w:t>.</w:t>
            </w:r>
          </w:p>
        </w:tc>
        <w:tc>
          <w:tcPr>
            <w:tcW w:w="5953" w:type="dxa"/>
            <w:tcBorders>
              <w:left w:val="single" w:sz="4" w:space="0" w:color="3B3474"/>
              <w:right w:val="single" w:sz="4" w:space="0" w:color="3B3474"/>
            </w:tcBorders>
          </w:tcPr>
          <w:p w14:paraId="3383CB3C" w14:textId="77777777" w:rsidR="000A1756" w:rsidRDefault="000A1756" w:rsidP="00F72790">
            <w:r>
              <w:t>Intervention vs control:</w:t>
            </w:r>
          </w:p>
          <w:p w14:paraId="13493416" w14:textId="06C1D248" w:rsidR="000A1756" w:rsidRDefault="00133B96" w:rsidP="00710B90">
            <w:pPr>
              <w:pStyle w:val="bullet"/>
            </w:pPr>
            <w:r>
              <w:t>Gestational w</w:t>
            </w:r>
            <w:r w:rsidR="000A1756">
              <w:t xml:space="preserve">eight gain: </w:t>
            </w:r>
            <w:r w:rsidR="000A1756" w:rsidRPr="00F72790">
              <w:t>3.</w:t>
            </w:r>
            <w:r w:rsidR="000A1756">
              <w:t>7±</w:t>
            </w:r>
            <w:r w:rsidR="000A1756" w:rsidRPr="00F72790">
              <w:t xml:space="preserve">3.4 </w:t>
            </w:r>
            <w:r w:rsidR="000A1756">
              <w:t>vs</w:t>
            </w:r>
            <w:r w:rsidR="000A1756" w:rsidRPr="00F72790">
              <w:t xml:space="preserve"> 5.2</w:t>
            </w:r>
            <w:r w:rsidR="000A1756">
              <w:t>±</w:t>
            </w:r>
            <w:r w:rsidR="000A1756" w:rsidRPr="00F72790">
              <w:t xml:space="preserve">1.3 </w:t>
            </w:r>
            <w:r w:rsidR="000A1756">
              <w:t xml:space="preserve">MD </w:t>
            </w:r>
            <w:r w:rsidR="000A1756" w:rsidRPr="00F72790">
              <w:t>−1.50 (−4.41 to 1.41)</w:t>
            </w:r>
          </w:p>
        </w:tc>
      </w:tr>
      <w:tr w:rsidR="000A1756" w:rsidRPr="00A652CB" w14:paraId="46C59CCA"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4036E53F" w14:textId="34E45983" w:rsidR="00BA2D18" w:rsidRPr="00C12274" w:rsidRDefault="00BA2D18" w:rsidP="00E70A06">
            <w:r>
              <w:t>Oostdam et al 2012</w:t>
            </w:r>
            <w:r w:rsidR="00616EE6">
              <w:fldChar w:fldCharType="begin">
                <w:fldData xml:space="preserve">PEVuZE5vdGU+PENpdGU+PEF1dGhvcj5Pb3N0ZGFtPC9BdXRob3I+PFllYXI+MjAxMjwvWWVhcj48
UmVjTnVtPjYxMDwvUmVjTnVtPjxEaXNwbGF5VGV4dD48c3R5bGUgZmFjZT0ic3VwZXJzY3JpcHQi
IGZvbnQ9IlRyZWJ1Y2hldCBNUyIgc2l6ZT0iOSI+NDM4PC9zdHlsZT48L0Rpc3BsYXlUZXh0Pjxy
ZWNvcmQ+PHJlYy1udW1iZXI+NjEwPC9yZWMtbnVtYmVyPjxmb3JlaWduLWtleXM+PGtleSBhcHA9
IkVOIiBkYi1pZD0iZXh2YXNyZngyZHRyYW9lc2FzeHAyc3pzeGEyZGY1MDI1OTJ4IiB0aW1lc3Rh
bXA9IjE1MzkwNDgzNDUiPjYxMDwva2V5PjxrZXkgYXBwPSJFTldlYiIgZGItaWQ9IiI+MDwva2V5
PjwvZm9yZWlnbi1rZXlzPjxyZWYtdHlwZSBuYW1lPSJKb3VybmFsIEFydGljbGUiPjE3PC9yZWYt
dHlwZT48Y29udHJpYnV0b3JzPjxhdXRob3JzPjxhdXRob3I+T29zdGRhbSwgTi48L2F1dGhvcj48
YXV0aG9yPnZhbiBQb3BwZWwsIE0uIE4uPC9hdXRob3I+PGF1dGhvcj5Xb3V0ZXJzLCBNLiBHLjwv
YXV0aG9yPjxhdXRob3I+RWVraG9mZiwgRS4gTS48L2F1dGhvcj48YXV0aG9yPkJla2VkYW0sIEQu
IEouPC9hdXRob3I+PGF1dGhvcj5LdWNoZW5iZWNrZXIsIFcuIEsuPC9hdXRob3I+PGF1dGhvcj5R
dWFydGVybywgSC4gVy48L2F1dGhvcj48YXV0aG9yPkhlcmVzLCBNLiBILjwvYXV0aG9yPjxhdXRo
b3I+dmFuIE1lY2hlbGVuLCBXLjwvYXV0aG9yPjwvYXV0aG9ycz48L2NvbnRyaWJ1dG9ycz48YXV0
aC1hZGRyZXNzPkRlcGFydG1lbnQgb2YgUHVibGljIGFuZCBPY2N1cGF0aW9uYWwgSGVhbHRoLCBF
TUdPKyBJbnN0aXR1dGUgZm9yIEhlYWx0aCBhbmQgQ2FyZSBSZXNlYXJjaCwgVlUgVW5pdmVyc2l0
eSBNZWRpY2FsIENlbnRlciwgQW1zdGVyZGFtLCBUaGUgTmV0aGVybGFuZHMuPC9hdXRoLWFkZHJl
c3M+PHRpdGxlcz48dGl0bGU+Tm8gZWZmZWN0IG9mIHRoZSBGaXRGb3IyIGV4ZXJjaXNlIHByb2dy
YW1tZSBvbiBibG9vZCBnbHVjb3NlLCBpbnN1bGluIHNlbnNpdGl2aXR5LCBhbmQgYmlydGh3ZWln
aHQgaW4gcHJlZ25hbnQgd29tZW4gd2hvIHdlcmUgb3ZlcndlaWdodCBhbmQgYXQgcmlzayBmb3Ig
Z2VzdGF0aW9uYWwgZGlhYmV0ZXM6IHJlc3VsdHMgb2YgYSByYW5kb21pc2VkIGNvbnRyb2xsZWQg
dHJpYWw8L3RpdGxlPjxzZWNvbmRhcnktdGl0bGU+QkpPRzwvc2Vjb25kYXJ5LXRpdGxlPjwvdGl0
bGVzPjxwZXJpb2RpY2FsPjxmdWxsLXRpdGxlPkJKT0c8L2Z1bGwtdGl0bGU+PC9wZXJpb2RpY2Fs
PjxwYWdlcz4xMDk4LTEwNzwvcGFnZXM+PHZvbHVtZT4xMTk8L3ZvbHVtZT48bnVtYmVyPjk8L251
bWJlcj48ZWRpdGlvbj4yMDEyLzA1LzI0PC9lZGl0aW9uPjxrZXl3b3Jkcz48a2V5d29yZD5BZHVs
dDwva2V5d29yZD48a2V5d29yZD5CaXJ0aCBXZWlnaHQvKnBoeXNpb2xvZ3k8L2tleXdvcmQ+PGtl
eXdvcmQ+Qmxvb2QgR2x1Y29zZS8qbWV0YWJvbGlzbTwva2V5d29yZD48a2V5d29yZD5EaWFiZXRl
cyBNZWxsaXR1cywgVHlwZSAyL2dlbmV0aWNzPC9rZXl3b3JkPjxrZXl3b3JkPkRpYWJldGVzLCBH
ZXN0YXRpb25hbC9ibG9vZC9waHlzaW9wYXRob2xvZ3kvKnByZXZlbnRpb24gJmFtcDsgY29udHJv
bDwva2V5d29yZD48a2V5d29yZD5FeGVyY2lzZSBUaGVyYXB5LyptZXRob2RzPC9rZXl3b3JkPjxr
ZXl3b3JkPkZhc3RpbmcvYmxvb2Q8L2tleXdvcmQ+PGtleXdvcmQ+RmVtYWxlPC9rZXl3b3JkPjxr
ZXl3b3JkPkdlc3RhdGlvbmFsIEFnZTwva2V5d29yZD48a2V5d29yZD5HbHljYXRlZCBIZW1vZ2xv
YmluIEEvbWV0YWJvbGlzbTwva2V5d29yZD48a2V5d29yZD5IdW1hbnM8L2tleXdvcmQ+PGtleXdv
cmQ+SW5zdWxpbiBSZXNpc3RhbmNlLypwaHlzaW9sb2d5PC9rZXl3b3JkPjxrZXl3b3JkPk92ZXJ3
ZWlnaHQvYmxvb2QvcGh5c2lvcGF0aG9sb2d5Lyp0aGVyYXB5PC9rZXl3b3JkPjxrZXl3b3JkPlBh
dGllbnQgQ29tcGxpYW5jZTwva2V5d29yZD48a2V5d29yZD5QZWRpZ3JlZTwva2V5d29yZD48a2V5
d29yZD5QcmVnbmFuY3k8L2tleXdvcmQ+PGtleXdvcmQ+UHJlZ25hbmN5IE91dGNvbWU8L2tleXdv
cmQ+PGtleXdvcmQ+UHJlZ25hbmN5IFRyaW1lc3RlciwgU2Vjb25kPC9rZXl3b3JkPjxrZXl3b3Jk
PlByZWduYW5jeSBUcmltZXN0ZXIsIFRoaXJkPC9rZXl3b3JkPjwva2V5d29yZHM+PGRhdGVzPjx5
ZWFyPjIwMTI8L3llYXI+PHB1Yi1kYXRlcz48ZGF0ZT5BdWc8L2RhdGU+PC9wdWItZGF0ZXM+PC9k
YXRlcz48aXNibj4xNDcxLTA1MjggKEVsZWN0cm9uaWMpJiN4RDsxNDcwLTAzMjggKExpbmtpbmcp
PC9pc2JuPjxhY2Nlc3Npb24tbnVtPjIyNjE2OTEzPC9hY2Nlc3Npb24tbnVtPjx1cmxzPjxyZWxh
dGVkLXVybHM+PHVybD5odHRwczovL3d3dy5uY2JpLm5sbS5uaWguZ292L3B1Ym1lZC8yMjYxNjkx
MzwvdXJsPjwvcmVsYXRlZC11cmxzPjwvdXJscz48ZWxlY3Ryb25pYy1yZXNvdXJjZS1udW0+MTAu
MTExMS9qLjE0NzEtMDUyOC4yMDEyLjAzMzY2Lng8L2VsZWN0cm9uaWMtcmVzb3VyY2UtbnVtPjwv
cmVjb3JkPjwvQ2l0ZT48L0VuZE5vdGU+
</w:fldData>
              </w:fldChar>
            </w:r>
            <w:r w:rsidR="002747EA">
              <w:instrText xml:space="preserve"> ADDIN EN.CITE </w:instrText>
            </w:r>
            <w:r w:rsidR="002747EA">
              <w:fldChar w:fldCharType="begin">
                <w:fldData xml:space="preserve">PEVuZE5vdGU+PENpdGU+PEF1dGhvcj5Pb3N0ZGFtPC9BdXRob3I+PFllYXI+MjAxMjwvWWVhcj48
UmVjTnVtPjYxMDwvUmVjTnVtPjxEaXNwbGF5VGV4dD48c3R5bGUgZmFjZT0ic3VwZXJzY3JpcHQi
IGZvbnQ9IlRyZWJ1Y2hldCBNUyIgc2l6ZT0iOSI+NDM4PC9zdHlsZT48L0Rpc3BsYXlUZXh0Pjxy
ZWNvcmQ+PHJlYy1udW1iZXI+NjEwPC9yZWMtbnVtYmVyPjxmb3JlaWduLWtleXM+PGtleSBhcHA9
IkVOIiBkYi1pZD0iZXh2YXNyZngyZHRyYW9lc2FzeHAyc3pzeGEyZGY1MDI1OTJ4IiB0aW1lc3Rh
bXA9IjE1MzkwNDgzNDUiPjYxMDwva2V5PjxrZXkgYXBwPSJFTldlYiIgZGItaWQ9IiI+MDwva2V5
PjwvZm9yZWlnbi1rZXlzPjxyZWYtdHlwZSBuYW1lPSJKb3VybmFsIEFydGljbGUiPjE3PC9yZWYt
dHlwZT48Y29udHJpYnV0b3JzPjxhdXRob3JzPjxhdXRob3I+T29zdGRhbSwgTi48L2F1dGhvcj48
YXV0aG9yPnZhbiBQb3BwZWwsIE0uIE4uPC9hdXRob3I+PGF1dGhvcj5Xb3V0ZXJzLCBNLiBHLjwv
YXV0aG9yPjxhdXRob3I+RWVraG9mZiwgRS4gTS48L2F1dGhvcj48YXV0aG9yPkJla2VkYW0sIEQu
IEouPC9hdXRob3I+PGF1dGhvcj5LdWNoZW5iZWNrZXIsIFcuIEsuPC9hdXRob3I+PGF1dGhvcj5R
dWFydGVybywgSC4gVy48L2F1dGhvcj48YXV0aG9yPkhlcmVzLCBNLiBILjwvYXV0aG9yPjxhdXRo
b3I+dmFuIE1lY2hlbGVuLCBXLjwvYXV0aG9yPjwvYXV0aG9ycz48L2NvbnRyaWJ1dG9ycz48YXV0
aC1hZGRyZXNzPkRlcGFydG1lbnQgb2YgUHVibGljIGFuZCBPY2N1cGF0aW9uYWwgSGVhbHRoLCBF
TUdPKyBJbnN0aXR1dGUgZm9yIEhlYWx0aCBhbmQgQ2FyZSBSZXNlYXJjaCwgVlUgVW5pdmVyc2l0
eSBNZWRpY2FsIENlbnRlciwgQW1zdGVyZGFtLCBUaGUgTmV0aGVybGFuZHMuPC9hdXRoLWFkZHJl
c3M+PHRpdGxlcz48dGl0bGU+Tm8gZWZmZWN0IG9mIHRoZSBGaXRGb3IyIGV4ZXJjaXNlIHByb2dy
YW1tZSBvbiBibG9vZCBnbHVjb3NlLCBpbnN1bGluIHNlbnNpdGl2aXR5LCBhbmQgYmlydGh3ZWln
aHQgaW4gcHJlZ25hbnQgd29tZW4gd2hvIHdlcmUgb3ZlcndlaWdodCBhbmQgYXQgcmlzayBmb3Ig
Z2VzdGF0aW9uYWwgZGlhYmV0ZXM6IHJlc3VsdHMgb2YgYSByYW5kb21pc2VkIGNvbnRyb2xsZWQg
dHJpYWw8L3RpdGxlPjxzZWNvbmRhcnktdGl0bGU+QkpPRzwvc2Vjb25kYXJ5LXRpdGxlPjwvdGl0
bGVzPjxwZXJpb2RpY2FsPjxmdWxsLXRpdGxlPkJKT0c8L2Z1bGwtdGl0bGU+PC9wZXJpb2RpY2Fs
PjxwYWdlcz4xMDk4LTEwNzwvcGFnZXM+PHZvbHVtZT4xMTk8L3ZvbHVtZT48bnVtYmVyPjk8L251
bWJlcj48ZWRpdGlvbj4yMDEyLzA1LzI0PC9lZGl0aW9uPjxrZXl3b3Jkcz48a2V5d29yZD5BZHVs
dDwva2V5d29yZD48a2V5d29yZD5CaXJ0aCBXZWlnaHQvKnBoeXNpb2xvZ3k8L2tleXdvcmQ+PGtl
eXdvcmQ+Qmxvb2QgR2x1Y29zZS8qbWV0YWJvbGlzbTwva2V5d29yZD48a2V5d29yZD5EaWFiZXRl
cyBNZWxsaXR1cywgVHlwZSAyL2dlbmV0aWNzPC9rZXl3b3JkPjxrZXl3b3JkPkRpYWJldGVzLCBH
ZXN0YXRpb25hbC9ibG9vZC9waHlzaW9wYXRob2xvZ3kvKnByZXZlbnRpb24gJmFtcDsgY29udHJv
bDwva2V5d29yZD48a2V5d29yZD5FeGVyY2lzZSBUaGVyYXB5LyptZXRob2RzPC9rZXl3b3JkPjxr
ZXl3b3JkPkZhc3RpbmcvYmxvb2Q8L2tleXdvcmQ+PGtleXdvcmQ+RmVtYWxlPC9rZXl3b3JkPjxr
ZXl3b3JkPkdlc3RhdGlvbmFsIEFnZTwva2V5d29yZD48a2V5d29yZD5HbHljYXRlZCBIZW1vZ2xv
YmluIEEvbWV0YWJvbGlzbTwva2V5d29yZD48a2V5d29yZD5IdW1hbnM8L2tleXdvcmQ+PGtleXdv
cmQ+SW5zdWxpbiBSZXNpc3RhbmNlLypwaHlzaW9sb2d5PC9rZXl3b3JkPjxrZXl3b3JkPk92ZXJ3
ZWlnaHQvYmxvb2QvcGh5c2lvcGF0aG9sb2d5Lyp0aGVyYXB5PC9rZXl3b3JkPjxrZXl3b3JkPlBh
dGllbnQgQ29tcGxpYW5jZTwva2V5d29yZD48a2V5d29yZD5QZWRpZ3JlZTwva2V5d29yZD48a2V5
d29yZD5QcmVnbmFuY3k8L2tleXdvcmQ+PGtleXdvcmQ+UHJlZ25hbmN5IE91dGNvbWU8L2tleXdv
cmQ+PGtleXdvcmQ+UHJlZ25hbmN5IFRyaW1lc3RlciwgU2Vjb25kPC9rZXl3b3JkPjxrZXl3b3Jk
PlByZWduYW5jeSBUcmltZXN0ZXIsIFRoaXJkPC9rZXl3b3JkPjwva2V5d29yZHM+PGRhdGVzPjx5
ZWFyPjIwMTI8L3llYXI+PHB1Yi1kYXRlcz48ZGF0ZT5BdWc8L2RhdGU+PC9wdWItZGF0ZXM+PC9k
YXRlcz48aXNibj4xNDcxLTA1MjggKEVsZWN0cm9uaWMpJiN4RDsxNDcwLTAzMjggKExpbmtpbmcp
PC9pc2JuPjxhY2Nlc3Npb24tbnVtPjIyNjE2OTEzPC9hY2Nlc3Npb24tbnVtPjx1cmxzPjxyZWxh
dGVkLXVybHM+PHVybD5odHRwczovL3d3dy5uY2JpLm5sbS5uaWguZ292L3B1Ym1lZC8yMjYxNjkx
MzwvdXJsPjwvcmVsYXRlZC11cmxzPjwvdXJscz48ZWxlY3Ryb25pYy1yZXNvdXJjZS1udW0+MTAu
MTExMS9qLjE0NzEtMDUyOC4yMDEyLjAzMzY2Lng8L2VsZWN0cm9uaWMtcmVzb3VyY2UtbnVtPjwv
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438</w:t>
            </w:r>
            <w:r w:rsidR="00616EE6">
              <w:fldChar w:fldCharType="end"/>
            </w:r>
          </w:p>
          <w:p w14:paraId="622F95A5" w14:textId="15057F66" w:rsidR="000A1756" w:rsidRPr="00362C86" w:rsidRDefault="00BA2D18" w:rsidP="00E70A06">
            <w:r w:rsidRPr="00C12274">
              <w:t>Netherlands</w:t>
            </w:r>
          </w:p>
        </w:tc>
        <w:tc>
          <w:tcPr>
            <w:tcW w:w="1670" w:type="dxa"/>
            <w:tcBorders>
              <w:left w:val="single" w:sz="4" w:space="0" w:color="3B3474"/>
              <w:right w:val="single" w:sz="4" w:space="0" w:color="3B3474"/>
            </w:tcBorders>
          </w:tcPr>
          <w:p w14:paraId="69BF5595" w14:textId="404FD091" w:rsidR="000A1756" w:rsidRDefault="000A1756" w:rsidP="00D424F3">
            <w:r>
              <w:t>Intervention 62</w:t>
            </w:r>
          </w:p>
          <w:p w14:paraId="568CB471" w14:textId="0DBFFFCE" w:rsidR="000A1756" w:rsidRDefault="000A1756" w:rsidP="00BE1D4C">
            <w:r>
              <w:t>Control 59</w:t>
            </w:r>
          </w:p>
        </w:tc>
        <w:tc>
          <w:tcPr>
            <w:tcW w:w="5395" w:type="dxa"/>
            <w:tcBorders>
              <w:left w:val="single" w:sz="4" w:space="0" w:color="3B3474"/>
              <w:right w:val="single" w:sz="4" w:space="0" w:color="3B3474"/>
            </w:tcBorders>
          </w:tcPr>
          <w:p w14:paraId="50B492D6" w14:textId="77777777" w:rsidR="000A1756" w:rsidRDefault="000A1756" w:rsidP="00710B90">
            <w:r w:rsidRPr="001C598C">
              <w:rPr>
                <w:b/>
              </w:rPr>
              <w:t>Aim</w:t>
            </w:r>
            <w:r>
              <w:t xml:space="preserve">: </w:t>
            </w:r>
            <w:r w:rsidRPr="00710B90">
              <w:t>To evaluate the effectiveness of an exercise programme</w:t>
            </w:r>
            <w:r>
              <w:t>.</w:t>
            </w:r>
          </w:p>
          <w:p w14:paraId="6E8389A9" w14:textId="084DC67D" w:rsidR="000A1756" w:rsidRDefault="000A1756" w:rsidP="00BA2D18">
            <w:r w:rsidRPr="001C598C">
              <w:rPr>
                <w:b/>
              </w:rPr>
              <w:t>Population</w:t>
            </w:r>
            <w:r>
              <w:t xml:space="preserve">: </w:t>
            </w:r>
            <w:r w:rsidRPr="00710B90">
              <w:t xml:space="preserve">pregnant women </w:t>
            </w:r>
            <w:r w:rsidR="00BA2D18">
              <w:t>wit</w:t>
            </w:r>
            <w:r w:rsidR="00BA2D18" w:rsidRPr="00BA2D18">
              <w:t>h BMI ≥25 kg/m</w:t>
            </w:r>
            <w:r w:rsidR="00BA2D18" w:rsidRPr="00BA2D18">
              <w:rPr>
                <w:rFonts w:eastAsiaTheme="majorEastAsia"/>
                <w:vertAlign w:val="superscript"/>
              </w:rPr>
              <w:t>2</w:t>
            </w:r>
            <w:r w:rsidRPr="00BA2D18">
              <w:t xml:space="preserve"> and</w:t>
            </w:r>
            <w:r w:rsidRPr="00710B90">
              <w:t xml:space="preserve"> at risk for gestational diabetes mellitus (GDM). </w:t>
            </w:r>
          </w:p>
          <w:p w14:paraId="7888514B" w14:textId="77777777" w:rsidR="007D4CC2" w:rsidRDefault="007D4CC2" w:rsidP="007D4CC2">
            <w:r w:rsidRPr="005E4EF9">
              <w:rPr>
                <w:b/>
              </w:rPr>
              <w:t>Intervention</w:t>
            </w:r>
            <w:r>
              <w:rPr>
                <w:b/>
              </w:rPr>
              <w:t>:</w:t>
            </w:r>
          </w:p>
          <w:p w14:paraId="20A39AF1" w14:textId="77777777" w:rsidR="007D4CC2" w:rsidRPr="00C45716" w:rsidRDefault="007D4CC2" w:rsidP="007D4CC2">
            <w:pPr>
              <w:pStyle w:val="bullet"/>
            </w:pPr>
            <w:r w:rsidRPr="00C45716">
              <w:rPr>
                <w:i/>
              </w:rPr>
              <w:t>Supervised</w:t>
            </w:r>
            <w:r w:rsidRPr="00C45716">
              <w:t xml:space="preserve">: </w:t>
            </w:r>
            <w:r>
              <w:t>Yes</w:t>
            </w:r>
          </w:p>
          <w:p w14:paraId="3F7BCA38" w14:textId="00C1647B" w:rsidR="007D4CC2" w:rsidRPr="007D4CC2" w:rsidRDefault="007D4CC2" w:rsidP="000B480F">
            <w:pPr>
              <w:pStyle w:val="bullet"/>
            </w:pPr>
            <w:r w:rsidRPr="00C45716">
              <w:rPr>
                <w:i/>
              </w:rPr>
              <w:t>Type and duration</w:t>
            </w:r>
            <w:r w:rsidRPr="00C45716">
              <w:t xml:space="preserve">: </w:t>
            </w:r>
            <w:r>
              <w:t xml:space="preserve">Aerobic and resistance; </w:t>
            </w:r>
            <w:r w:rsidR="000B480F" w:rsidRPr="00C12274">
              <w:t>Individualised</w:t>
            </w:r>
            <w:r>
              <w:t xml:space="preserve">; </w:t>
            </w:r>
            <w:r w:rsidR="000B480F" w:rsidRPr="00C12274">
              <w:t>60 min, 2 times a week from week 16 until birth</w:t>
            </w:r>
            <w:r>
              <w:t>.</w:t>
            </w:r>
          </w:p>
          <w:p w14:paraId="6EF33EF2" w14:textId="1B65653A" w:rsidR="000A1756" w:rsidRPr="001C598C" w:rsidRDefault="007D4CC2" w:rsidP="000B480F">
            <w:pPr>
              <w:pStyle w:val="bullet"/>
            </w:pPr>
            <w:r w:rsidRPr="00C45716">
              <w:rPr>
                <w:i/>
              </w:rPr>
              <w:t>Intensity</w:t>
            </w:r>
            <w:r w:rsidRPr="00C45716">
              <w:t xml:space="preserve">: </w:t>
            </w:r>
            <w:r w:rsidR="000B480F" w:rsidRPr="00C12274">
              <w:t>Light to moderate; Borg scale 12</w:t>
            </w:r>
            <w:r>
              <w:t>.</w:t>
            </w:r>
          </w:p>
        </w:tc>
        <w:tc>
          <w:tcPr>
            <w:tcW w:w="5953" w:type="dxa"/>
            <w:tcBorders>
              <w:left w:val="single" w:sz="4" w:space="0" w:color="3B3474"/>
              <w:right w:val="single" w:sz="4" w:space="0" w:color="3B3474"/>
            </w:tcBorders>
          </w:tcPr>
          <w:p w14:paraId="70876514" w14:textId="7F0E4B13" w:rsidR="000A1756" w:rsidRDefault="000A1756" w:rsidP="00BD7BAC">
            <w:r>
              <w:t>Intervention (n=43) vs control (n=41):</w:t>
            </w:r>
          </w:p>
          <w:p w14:paraId="7763FC40" w14:textId="02EF297A" w:rsidR="000A1756" w:rsidRDefault="00133B96" w:rsidP="00A518F1">
            <w:pPr>
              <w:pStyle w:val="bullet"/>
            </w:pPr>
            <w:r>
              <w:t>Gestational w</w:t>
            </w:r>
            <w:r w:rsidR="000A1756">
              <w:t>eight gain:</w:t>
            </w:r>
            <w:r w:rsidR="000A1756" w:rsidRPr="00A518F1">
              <w:t xml:space="preserve"> </w:t>
            </w:r>
            <w:r w:rsidR="000A1756">
              <w:t>6.2±5.0 vs</w:t>
            </w:r>
            <w:r w:rsidR="000A1756" w:rsidRPr="00A518F1">
              <w:t xml:space="preserve"> </w:t>
            </w:r>
            <w:r w:rsidR="000A1756">
              <w:t xml:space="preserve">5.6±3.5 </w:t>
            </w:r>
          </w:p>
          <w:p w14:paraId="33927168" w14:textId="49AA0D62" w:rsidR="000A1756" w:rsidRDefault="000A1756" w:rsidP="002F15DB">
            <w:r>
              <w:t>Intervention (n=47) vs control (n=50):</w:t>
            </w:r>
          </w:p>
          <w:p w14:paraId="38E08942" w14:textId="0A2E5C9B" w:rsidR="000A1756" w:rsidRDefault="000A1756" w:rsidP="002F15DB">
            <w:pPr>
              <w:pStyle w:val="bullet"/>
            </w:pPr>
            <w:r w:rsidRPr="001C598C">
              <w:t>LGA</w:t>
            </w:r>
            <w:r>
              <w:t xml:space="preserve">: 6 (12.8%) vs 1 (2.0%) RR </w:t>
            </w:r>
            <w:r w:rsidRPr="001C598C">
              <w:t>6.38 (0.79–51.1)</w:t>
            </w:r>
          </w:p>
          <w:p w14:paraId="416A5F1A" w14:textId="5BAE52C4" w:rsidR="000A1756" w:rsidRPr="001C598C" w:rsidRDefault="000A1756" w:rsidP="002F15DB">
            <w:r>
              <w:t>Intervention (n=30) vs control (n=34):</w:t>
            </w:r>
          </w:p>
          <w:p w14:paraId="18FE74E2" w14:textId="243EE76D" w:rsidR="000A1756" w:rsidRDefault="000A1756" w:rsidP="001C598C">
            <w:pPr>
              <w:pStyle w:val="bullet"/>
            </w:pPr>
            <w:r w:rsidRPr="001C598C">
              <w:t>Caesarean section</w:t>
            </w:r>
            <w:r>
              <w:t>: 7(23.3%) vs 8</w:t>
            </w:r>
            <w:r w:rsidRPr="001C598C">
              <w:t xml:space="preserve"> </w:t>
            </w:r>
            <w:r>
              <w:t>(</w:t>
            </w:r>
            <w:r w:rsidRPr="001C598C">
              <w:t>23.5</w:t>
            </w:r>
            <w:r>
              <w:t>%) p=</w:t>
            </w:r>
            <w:r w:rsidRPr="001C598C">
              <w:t xml:space="preserve">0.99 </w:t>
            </w:r>
            <w:r>
              <w:t xml:space="preserve">RR </w:t>
            </w:r>
            <w:r w:rsidRPr="001C598C">
              <w:t>0.99 (0.41</w:t>
            </w:r>
            <w:r>
              <w:t xml:space="preserve"> to </w:t>
            </w:r>
            <w:r w:rsidRPr="001C598C">
              <w:t>2.41)</w:t>
            </w:r>
          </w:p>
          <w:p w14:paraId="3D745433" w14:textId="2CEE509A" w:rsidR="000A1756" w:rsidRPr="001C598C" w:rsidRDefault="000A1756" w:rsidP="00754CB1">
            <w:r>
              <w:t>Intervention (n=48) vs control (n=51):</w:t>
            </w:r>
          </w:p>
          <w:p w14:paraId="04C2B956" w14:textId="04534871" w:rsidR="000A1756" w:rsidRPr="00A518F1" w:rsidRDefault="00133B96" w:rsidP="004B61FB">
            <w:pPr>
              <w:pStyle w:val="bullet"/>
            </w:pPr>
            <w:r>
              <w:t>Gestational diabetes</w:t>
            </w:r>
            <w:r w:rsidR="000A1756">
              <w:t>: 7 (14.6%) vs 11 (</w:t>
            </w:r>
            <w:r w:rsidR="000A1756" w:rsidRPr="001C598C">
              <w:t>21.6</w:t>
            </w:r>
            <w:r w:rsidR="000A1756">
              <w:t>%)</w:t>
            </w:r>
            <w:r w:rsidR="000A1756" w:rsidRPr="001C598C">
              <w:t xml:space="preserve"> </w:t>
            </w:r>
            <w:r w:rsidR="000A1756">
              <w:t>p=</w:t>
            </w:r>
            <w:r w:rsidR="000A1756" w:rsidRPr="001C598C">
              <w:t xml:space="preserve">0.37 </w:t>
            </w:r>
            <w:r w:rsidR="000A1756">
              <w:t xml:space="preserve">RR </w:t>
            </w:r>
            <w:r w:rsidR="000A1756" w:rsidRPr="001C598C">
              <w:t>0.65 (0.27–1.55)</w:t>
            </w:r>
          </w:p>
        </w:tc>
      </w:tr>
      <w:tr w:rsidR="000A1756" w:rsidRPr="00A652CB" w14:paraId="5D91FEB9"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02C20928" w14:textId="23521EFC" w:rsidR="000B480F" w:rsidRPr="00C12274" w:rsidRDefault="000B480F" w:rsidP="00E70A06">
            <w:r>
              <w:rPr>
                <w:noProof/>
              </w:rPr>
              <w:t>Perales et al 2015a</w:t>
            </w:r>
            <w:r w:rsidR="00616EE6">
              <w:fldChar w:fldCharType="begin"/>
            </w:r>
            <w:r w:rsidR="002747EA">
              <w:instrText xml:space="preserve"> ADDIN EN.CITE &lt;EndNote&gt;&lt;Cite&gt;&lt;Author&gt;Perales&lt;/Author&gt;&lt;Year&gt;2015&lt;/Year&gt;&lt;RecNum&gt;1071&lt;/RecNum&gt;&lt;DisplayText&gt;&lt;style face="superscript" font="Trebuchet MS" size="9"&gt;439&lt;/style&gt;&lt;/DisplayText&gt;&lt;record&gt;&lt;rec-number&gt;1071&lt;/rec-number&gt;&lt;foreign-keys&gt;&lt;key app="EN" db-id="exvasrfx2dtraoesasxp2szsxa2df502592x" timestamp="1548991373"&gt;1071&lt;/key&gt;&lt;/foreign-keys&gt;&lt;ref-type name="Journal Article"&gt;17&lt;/ref-type&gt;&lt;contributors&gt;&lt;authors&gt;&lt;author&gt;Perales, M.,&lt;/author&gt;&lt;author&gt;Cordero, Y.,&lt;/author&gt;&lt;author&gt;Vargas, M.,&lt;/author&gt;&lt;author&gt;Lucia, A.,&lt;/author&gt;&lt;author&gt;Barakat, R.,&lt;/author&gt;&lt;/authors&gt;&lt;/contributors&gt;&lt;titles&gt;&lt;title&gt;Exercise and depression in overweight and obese pregnant women: A randomised controlled trial&lt;/title&gt;&lt;secondary-title&gt;Arch Med Deporte&lt;/secondary-title&gt;&lt;/titles&gt;&lt;periodical&gt;&lt;full-title&gt;Arch Med Deporte&lt;/full-title&gt;&lt;/periodical&gt;&lt;pages&gt;156-163&lt;/pages&gt;&lt;volume&gt;32&lt;/volume&gt;&lt;dates&gt;&lt;year&gt;2015&lt;/year&gt;&lt;/dates&gt;&lt;urls&gt;&lt;/urls&gt;&lt;/record&gt;&lt;/Cite&gt;&lt;/EndNote&gt;</w:instrText>
            </w:r>
            <w:r w:rsidR="00616EE6">
              <w:fldChar w:fldCharType="separate"/>
            </w:r>
            <w:r w:rsidR="002747EA" w:rsidRPr="002747EA">
              <w:rPr>
                <w:noProof/>
                <w:vertAlign w:val="superscript"/>
              </w:rPr>
              <w:t>439</w:t>
            </w:r>
            <w:r w:rsidR="00616EE6">
              <w:fldChar w:fldCharType="end"/>
            </w:r>
          </w:p>
          <w:p w14:paraId="4A190B38" w14:textId="68E60577" w:rsidR="000A1756" w:rsidRPr="00362C86" w:rsidRDefault="000B480F" w:rsidP="00E70A06">
            <w:r w:rsidRPr="00C12274">
              <w:t>Spain</w:t>
            </w:r>
          </w:p>
        </w:tc>
        <w:tc>
          <w:tcPr>
            <w:tcW w:w="1670" w:type="dxa"/>
            <w:tcBorders>
              <w:left w:val="single" w:sz="4" w:space="0" w:color="3B3474"/>
              <w:right w:val="single" w:sz="4" w:space="0" w:color="3B3474"/>
            </w:tcBorders>
          </w:tcPr>
          <w:p w14:paraId="1233CF14" w14:textId="77777777" w:rsidR="000A1756" w:rsidRDefault="000A1756" w:rsidP="00D424F3">
            <w:r>
              <w:t>Intervention 52</w:t>
            </w:r>
          </w:p>
          <w:p w14:paraId="3DD03CBC" w14:textId="3F3CA208" w:rsidR="000A1756" w:rsidRDefault="000A1756" w:rsidP="00D424F3">
            <w:r>
              <w:t>Control 54</w:t>
            </w:r>
          </w:p>
        </w:tc>
        <w:tc>
          <w:tcPr>
            <w:tcW w:w="5395" w:type="dxa"/>
            <w:tcBorders>
              <w:left w:val="single" w:sz="4" w:space="0" w:color="3B3474"/>
              <w:right w:val="single" w:sz="4" w:space="0" w:color="3B3474"/>
            </w:tcBorders>
          </w:tcPr>
          <w:p w14:paraId="6DC5DA7A" w14:textId="77777777" w:rsidR="000A1756" w:rsidRDefault="000A1756" w:rsidP="008F3BAA">
            <w:r w:rsidRPr="008F3BAA">
              <w:rPr>
                <w:b/>
              </w:rPr>
              <w:t>Aim</w:t>
            </w:r>
            <w:r>
              <w:t>: To assess the eff</w:t>
            </w:r>
            <w:r w:rsidRPr="008F3BAA">
              <w:t>ectiveness of a regular physical exercise program on the prevention of depression</w:t>
            </w:r>
          </w:p>
          <w:p w14:paraId="091549F4" w14:textId="19681FFC" w:rsidR="000A1756" w:rsidRDefault="000A1756" w:rsidP="008F3BAA">
            <w:r w:rsidRPr="008F3BAA">
              <w:rPr>
                <w:b/>
              </w:rPr>
              <w:t>Population</w:t>
            </w:r>
            <w:r>
              <w:t>: O</w:t>
            </w:r>
            <w:r w:rsidRPr="008F3BAA">
              <w:t xml:space="preserve">verweight and obese healthy pregnant women </w:t>
            </w:r>
            <w:r w:rsidRPr="000B480F">
              <w:t>(</w:t>
            </w:r>
            <w:r w:rsidR="000B480F" w:rsidRPr="000B480F">
              <w:t>BMI ≥25 kg/m</w:t>
            </w:r>
            <w:r w:rsidR="000B480F" w:rsidRPr="000B480F">
              <w:rPr>
                <w:rFonts w:eastAsiaTheme="majorEastAsia"/>
                <w:vertAlign w:val="superscript"/>
              </w:rPr>
              <w:t>2</w:t>
            </w:r>
            <w:r w:rsidRPr="000B480F">
              <w:t xml:space="preserve">), with </w:t>
            </w:r>
            <w:r w:rsidRPr="008F3BAA">
              <w:t>uncomplicated and singleton gestation</w:t>
            </w:r>
            <w:r>
              <w:t>.</w:t>
            </w:r>
          </w:p>
          <w:p w14:paraId="13589635" w14:textId="77777777" w:rsidR="007D4CC2" w:rsidRDefault="007D4CC2" w:rsidP="007D4CC2">
            <w:r w:rsidRPr="005E4EF9">
              <w:rPr>
                <w:b/>
              </w:rPr>
              <w:t>Intervention</w:t>
            </w:r>
            <w:r>
              <w:rPr>
                <w:b/>
              </w:rPr>
              <w:t>:</w:t>
            </w:r>
          </w:p>
          <w:p w14:paraId="48871BD6" w14:textId="77777777" w:rsidR="007D4CC2" w:rsidRPr="00C45716" w:rsidRDefault="007D4CC2" w:rsidP="007D4CC2">
            <w:pPr>
              <w:pStyle w:val="bullet"/>
            </w:pPr>
            <w:r w:rsidRPr="00C45716">
              <w:rPr>
                <w:i/>
              </w:rPr>
              <w:t>Supervised</w:t>
            </w:r>
            <w:r w:rsidRPr="00C45716">
              <w:t xml:space="preserve">: </w:t>
            </w:r>
            <w:r>
              <w:t>Yes</w:t>
            </w:r>
          </w:p>
          <w:p w14:paraId="0243BD82" w14:textId="6CA681E5" w:rsidR="007D4CC2" w:rsidRPr="007D4CC2" w:rsidRDefault="007D4CC2" w:rsidP="000B480F">
            <w:pPr>
              <w:pStyle w:val="bullet"/>
            </w:pPr>
            <w:r w:rsidRPr="00C45716">
              <w:rPr>
                <w:i/>
              </w:rPr>
              <w:t>Type and duration</w:t>
            </w:r>
            <w:r w:rsidRPr="00C45716">
              <w:t xml:space="preserve">: </w:t>
            </w:r>
            <w:r>
              <w:t xml:space="preserve">Aerobic and resistance; </w:t>
            </w:r>
            <w:r w:rsidR="000B480F" w:rsidRPr="00C12274">
              <w:t>Dance, muscle strengthening</w:t>
            </w:r>
            <w:r>
              <w:t xml:space="preserve">; </w:t>
            </w:r>
            <w:r w:rsidR="000B480F" w:rsidRPr="00C12274">
              <w:t>55-60 min, 3 times a week from week 8-11 to 38-39</w:t>
            </w:r>
            <w:r>
              <w:t>.</w:t>
            </w:r>
          </w:p>
          <w:p w14:paraId="78B6C685" w14:textId="26E03A09" w:rsidR="000A1756" w:rsidRPr="005F262C" w:rsidRDefault="007D4CC2" w:rsidP="000B480F">
            <w:pPr>
              <w:pStyle w:val="bullet"/>
            </w:pPr>
            <w:r w:rsidRPr="00C45716">
              <w:rPr>
                <w:i/>
              </w:rPr>
              <w:t>Intensity</w:t>
            </w:r>
            <w:r w:rsidRPr="00C45716">
              <w:t xml:space="preserve">: </w:t>
            </w:r>
            <w:r w:rsidR="000B480F" w:rsidRPr="00C12274">
              <w:t>Light to moderate; 55-60% of aerobic capacity</w:t>
            </w:r>
            <w:r>
              <w:t>.</w:t>
            </w:r>
          </w:p>
        </w:tc>
        <w:tc>
          <w:tcPr>
            <w:tcW w:w="5953" w:type="dxa"/>
            <w:tcBorders>
              <w:left w:val="single" w:sz="4" w:space="0" w:color="3B3474"/>
              <w:right w:val="single" w:sz="4" w:space="0" w:color="3B3474"/>
            </w:tcBorders>
          </w:tcPr>
          <w:p w14:paraId="25F10B67" w14:textId="09B24599" w:rsidR="000A1756" w:rsidRPr="00206CE1" w:rsidRDefault="000A1756" w:rsidP="00206CE1">
            <w:r>
              <w:t>Intervention (n=45) vs control (n=53)— entire group</w:t>
            </w:r>
          </w:p>
          <w:p w14:paraId="1735AFF5" w14:textId="56AC6292" w:rsidR="000A1756" w:rsidRPr="00206CE1" w:rsidRDefault="000A1756" w:rsidP="00206CE1">
            <w:pPr>
              <w:pStyle w:val="bullet"/>
            </w:pPr>
            <w:r w:rsidRPr="00206CE1">
              <w:t>CES-D score</w:t>
            </w:r>
            <w:r>
              <w:t xml:space="preserve"> ≥16:</w:t>
            </w:r>
            <w:r w:rsidRPr="00206CE1">
              <w:t xml:space="preserve"> 8</w:t>
            </w:r>
            <w:r>
              <w:t xml:space="preserve"> (</w:t>
            </w:r>
            <w:r w:rsidRPr="00206CE1">
              <w:t>17.8</w:t>
            </w:r>
            <w:r>
              <w:t>%) vs</w:t>
            </w:r>
            <w:r w:rsidRPr="00206CE1">
              <w:t xml:space="preserve"> 25</w:t>
            </w:r>
            <w:r>
              <w:t xml:space="preserve"> (</w:t>
            </w:r>
            <w:r w:rsidRPr="00206CE1">
              <w:t>47.2</w:t>
            </w:r>
            <w:r>
              <w:t>%)</w:t>
            </w:r>
            <w:r w:rsidRPr="00206CE1">
              <w:t xml:space="preserve"> </w:t>
            </w:r>
            <w:r w:rsidRPr="00206CE1">
              <w:rPr>
                <w:b/>
              </w:rPr>
              <w:t>p=0.002</w:t>
            </w:r>
          </w:p>
          <w:p w14:paraId="01AC1B3B" w14:textId="5847EA4B" w:rsidR="000A1756" w:rsidRPr="00206CE1" w:rsidRDefault="000A1756" w:rsidP="00206CE1">
            <w:r>
              <w:t xml:space="preserve">Intervention (n=37) vs control (n=44) — </w:t>
            </w:r>
            <w:r w:rsidRPr="00206CE1">
              <w:t xml:space="preserve">Overweight </w:t>
            </w:r>
            <w:r>
              <w:t xml:space="preserve">women </w:t>
            </w:r>
          </w:p>
          <w:p w14:paraId="28F9980C" w14:textId="27D602A8" w:rsidR="000A1756" w:rsidRPr="00206CE1" w:rsidRDefault="000A1756" w:rsidP="00206CE1">
            <w:pPr>
              <w:pStyle w:val="bullet"/>
            </w:pPr>
            <w:r w:rsidRPr="00206CE1">
              <w:t>CES-D score</w:t>
            </w:r>
            <w:r>
              <w:t xml:space="preserve"> ≥16:</w:t>
            </w:r>
            <w:r w:rsidRPr="00206CE1">
              <w:t xml:space="preserve"> 6</w:t>
            </w:r>
            <w:r>
              <w:t xml:space="preserve"> (</w:t>
            </w:r>
            <w:r w:rsidRPr="00206CE1">
              <w:t>16.2</w:t>
            </w:r>
            <w:r>
              <w:t>%) vs</w:t>
            </w:r>
            <w:r w:rsidRPr="00206CE1">
              <w:t xml:space="preserve"> 21</w:t>
            </w:r>
            <w:r>
              <w:t xml:space="preserve"> (</w:t>
            </w:r>
            <w:r w:rsidRPr="00206CE1">
              <w:t>47.7</w:t>
            </w:r>
            <w:r>
              <w:t>%)</w:t>
            </w:r>
            <w:r w:rsidRPr="00206CE1">
              <w:t xml:space="preserve"> </w:t>
            </w:r>
            <w:r w:rsidRPr="00206CE1">
              <w:rPr>
                <w:b/>
              </w:rPr>
              <w:t>p=0.003</w:t>
            </w:r>
          </w:p>
          <w:p w14:paraId="0A4ABE82" w14:textId="096B8774" w:rsidR="000A1756" w:rsidRPr="00206CE1" w:rsidRDefault="000A1756" w:rsidP="00206CE1">
            <w:r>
              <w:t xml:space="preserve">Intervention (n=8) vs control (n=9) — </w:t>
            </w:r>
            <w:r w:rsidRPr="00206CE1">
              <w:t xml:space="preserve">Obese </w:t>
            </w:r>
            <w:r>
              <w:t>women</w:t>
            </w:r>
          </w:p>
          <w:p w14:paraId="16EACE6F" w14:textId="4E9FB949" w:rsidR="000A1756" w:rsidRDefault="000A1756" w:rsidP="00206CE1">
            <w:pPr>
              <w:pStyle w:val="bullet"/>
            </w:pPr>
            <w:r w:rsidRPr="00206CE1">
              <w:t>CES-D score</w:t>
            </w:r>
            <w:r>
              <w:t xml:space="preserve"> ≥16:</w:t>
            </w:r>
            <w:r w:rsidRPr="00206CE1">
              <w:t xml:space="preserve"> 2</w:t>
            </w:r>
            <w:r>
              <w:t xml:space="preserve"> (</w:t>
            </w:r>
            <w:r w:rsidRPr="00206CE1">
              <w:t>25</w:t>
            </w:r>
            <w:r>
              <w:t>%) vs</w:t>
            </w:r>
            <w:r w:rsidRPr="00206CE1">
              <w:t xml:space="preserve"> 4</w:t>
            </w:r>
            <w:r>
              <w:t xml:space="preserve"> (</w:t>
            </w:r>
            <w:r w:rsidRPr="00206CE1">
              <w:t>44.4</w:t>
            </w:r>
            <w:r>
              <w:t>%)</w:t>
            </w:r>
            <w:r w:rsidRPr="00206CE1">
              <w:t xml:space="preserve"> </w:t>
            </w:r>
            <w:r>
              <w:t>p=</w:t>
            </w:r>
            <w:r w:rsidRPr="00206CE1">
              <w:t>0.402</w:t>
            </w:r>
            <w:r>
              <w:t xml:space="preserve"> </w:t>
            </w:r>
          </w:p>
        </w:tc>
      </w:tr>
      <w:tr w:rsidR="000A1756" w:rsidRPr="00A652CB" w14:paraId="06DDF472"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2E002DF" w14:textId="7BBCAC20" w:rsidR="000B480F" w:rsidRPr="00C12274" w:rsidRDefault="000B480F" w:rsidP="00E70A06">
            <w:r w:rsidRPr="00C12274">
              <w:rPr>
                <w:noProof/>
              </w:rPr>
              <w:t>Per</w:t>
            </w:r>
            <w:r>
              <w:rPr>
                <w:noProof/>
              </w:rPr>
              <w:t>ales et al 2015b</w:t>
            </w:r>
            <w:r w:rsidR="00616EE6">
              <w:fldChar w:fldCharType="begin">
                <w:fldData xml:space="preserve">PEVuZE5vdGU+PENpdGU+PEF1dGhvcj5QZXJhbGVzPC9BdXRob3I+PFllYXI+MjAxNTwvWWVhcj48
UmVjTnVtPjcwNDwvUmVjTnVtPjxEaXNwbGF5VGV4dD48c3R5bGUgZmFjZT0ic3VwZXJzY3JpcHQi
IGZvbnQ9IlRyZWJ1Y2hldCBNUyIgc2l6ZT0iOSI+NDQwPC9zdHlsZT48L0Rpc3BsYXlUZXh0Pjxy
ZWNvcmQ+PHJlYy1udW1iZXI+NzA0PC9yZWMtbnVtYmVyPjxmb3JlaWduLWtleXM+PGtleSBhcHA9
IkVOIiBkYi1pZD0iZXh2YXNyZngyZHRyYW9lc2FzeHAyc3pzeGEyZGY1MDI1OTJ4IiB0aW1lc3Rh
bXA9IjE1NDA1MzA1NjQiPjcwNDwva2V5PjwvZm9yZWlnbi1rZXlzPjxyZWYtdHlwZSBuYW1lPSJK
b3VybmFsIEFydGljbGUiPjE3PC9yZWYtdHlwZT48Y29udHJpYnV0b3JzPjxhdXRob3JzPjxhdXRo
b3I+UGVyYWxlcywgTS48L2F1dGhvcj48YXV0aG9yPlJlZm95bywgSS48L2F1dGhvcj48YXV0aG9y
PkNvdGVyb24sIEouPC9hdXRob3I+PGF1dGhvcj5CYWNjaGksIE0uPC9hdXRob3I+PGF1dGhvcj5C
YXJha2F0LCBSLjwvYXV0aG9yPjwvYXV0aG9ycz48L2NvbnRyaWJ1dG9ycz48YXV0aC1hZGRyZXNz
PkRlcGFydG1lbnQgb2YgU29jaWFsIFNjaWVuY2VzLCBQaHlzaWNhbCBBY3Rpdml0eSBhbmQgU3Bv
cnQgU2NpZW5jZXMgRmFjdWx0eS1JTkVGLCBUZWNobmljYWwgVW5pdmVyc2l0eSBvZiBNYWRyaWQs
IE1hZHJpZCwgU3BhaW4uJiN4RDtGYWN1bHR5IG9mIFBoeXNpY2FsIEFjdGl2aXR5IGFuZCBTcG9y
dHMsIFVuaXZlcnNpdHkgb2YgRmxvcmVzLCBCdWVub3MgQWlyZXMsIEFyZ2VudGluYS4mI3hEO0Rl
cGFydG1lbnQgb2YgU29jaWFsIFNjaWVuY2VzLCBQaHlzaWNhbCBBY3Rpdml0eSBhbmQgU3BvcnQg
U2NpZW5jZXMgRmFjdWx0eS1JTkVGLCBUZWNobmljYWwgVW5pdmVyc2l0eSBvZiBNYWRyaWQsIE1h
ZHJpZCwgU3BhaW4gYmFyYWthdHJ1YmVuQGdtYWlsLmNvbS48L2F1dGgtYWRkcmVzcz48dGl0bGVz
Pjx0aXRsZT5FeGVyY2lzZSBkdXJpbmcgcHJlZ25hbmN5IGF0dGVudWF0ZXMgcHJlbmF0YWwgZGVw
cmVzc2lvbjogYSByYW5kb21pemVkIGNvbnRyb2xsZWQgdHJpYWw8L3RpdGxlPjxzZWNvbmRhcnkt
dGl0bGU+RXZhbCBIZWFsdGggUHJvZjwvc2Vjb25kYXJ5LXRpdGxlPjwvdGl0bGVzPjxwZXJpb2Rp
Y2FsPjxmdWxsLXRpdGxlPkV2YWwgSGVhbHRoIFByb2Y8L2Z1bGwtdGl0bGU+PC9wZXJpb2RpY2Fs
PjxwYWdlcz41OS03MjwvcGFnZXM+PHZvbHVtZT4zODwvdm9sdW1lPjxudW1iZXI+MTwvbnVtYmVy
PjxlZGl0aW9uPjIwMTQvMDUvMzA8L2VkaXRpb24+PGtleXdvcmRzPjxrZXl3b3JkPkFkdWx0PC9r
ZXl3b3JkPjxrZXl3b3JkPkFwZ2FyIFNjb3JlPC9rZXl3b3JkPjxrZXl3b3JkPkJvZHkgTWFzcyBJ
bmRleDwva2V5d29yZD48a2V5d29yZD5EZXByZXNzaW9uLyp0aGVyYXB5PC9rZXl3b3JkPjxrZXl3
b3JkPkV4ZXJjaXNlIFRoZXJhcHkvKm1ldGhvZHM8L2tleXdvcmQ+PGtleXdvcmQ+RmVtYWxlPC9r
ZXl3b3JkPjxrZXl3b3JkPkh1bWFuczwva2V5d29yZD48a2V5d29yZD5QcmVnbmFuY3k8L2tleXdv
cmQ+PGtleXdvcmQ+UHJlZ25hbmN5IENvbXBsaWNhdGlvbnMvKnRoZXJhcHk8L2tleXdvcmQ+PGtl
eXdvcmQ+UHJlZ25hbmN5IE91dGNvbWU8L2tleXdvcmQ+PGtleXdvcmQ+U3BhaW48L2tleXdvcmQ+
PGtleXdvcmQ+V2VpZ2h0IEdhaW48L2tleXdvcmQ+PGtleXdvcmQ+ZGVwcmVzc2lvbjwva2V5d29y
ZD48a2V5d29yZD5leGVyY2lzZTwva2V5d29yZD48a2V5d29yZD5wcmVuYXRhbDwva2V5d29yZD48
a2V5d29yZD53ZWxsLWJlaW5nPC9rZXl3b3JkPjwva2V5d29yZHM+PGRhdGVzPjx5ZWFyPjIwMTU8
L3llYXI+PHB1Yi1kYXRlcz48ZGF0ZT5NYXI8L2RhdGU+PC9wdWItZGF0ZXM+PC9kYXRlcz48aXNi
bj4xNTUyLTM5MTggKEVsZWN0cm9uaWMpJiN4RDswMTYzLTI3ODcgKExpbmtpbmcpPC9pc2JuPjxh
Y2Nlc3Npb24tbnVtPjI0ODcyNDQyPC9hY2Nlc3Npb24tbnVtPjx1cmxzPjxyZWxhdGVkLXVybHM+
PHVybD5odHRwczovL3d3dy5uY2JpLm5sbS5uaWguZ292L3B1Ym1lZC8yNDg3MjQ0MjwvdXJsPjwv
cmVsYXRlZC11cmxzPjwvdXJscz48ZWxlY3Ryb25pYy1yZXNvdXJjZS1udW0+MTAuMTE3Ny8wMTYz
Mjc4NzE0NTMzNTY2PC9lbGVjdHJvbmljLXJlc291cmNlLW51bT48L3JlY29yZD48L0NpdGU+PC9F
bmROb3RlPgB=
</w:fldData>
              </w:fldChar>
            </w:r>
            <w:r w:rsidR="002747EA">
              <w:instrText xml:space="preserve"> ADDIN EN.CITE </w:instrText>
            </w:r>
            <w:r w:rsidR="002747EA">
              <w:fldChar w:fldCharType="begin">
                <w:fldData xml:space="preserve">PEVuZE5vdGU+PENpdGU+PEF1dGhvcj5QZXJhbGVzPC9BdXRob3I+PFllYXI+MjAxNTwvWWVhcj48
UmVjTnVtPjcwNDwvUmVjTnVtPjxEaXNwbGF5VGV4dD48c3R5bGUgZmFjZT0ic3VwZXJzY3JpcHQi
IGZvbnQ9IlRyZWJ1Y2hldCBNUyIgc2l6ZT0iOSI+NDQwPC9zdHlsZT48L0Rpc3BsYXlUZXh0Pjxy
ZWNvcmQ+PHJlYy1udW1iZXI+NzA0PC9yZWMtbnVtYmVyPjxmb3JlaWduLWtleXM+PGtleSBhcHA9
IkVOIiBkYi1pZD0iZXh2YXNyZngyZHRyYW9lc2FzeHAyc3pzeGEyZGY1MDI1OTJ4IiB0aW1lc3Rh
bXA9IjE1NDA1MzA1NjQiPjcwNDwva2V5PjwvZm9yZWlnbi1rZXlzPjxyZWYtdHlwZSBuYW1lPSJK
b3VybmFsIEFydGljbGUiPjE3PC9yZWYtdHlwZT48Y29udHJpYnV0b3JzPjxhdXRob3JzPjxhdXRo
b3I+UGVyYWxlcywgTS48L2F1dGhvcj48YXV0aG9yPlJlZm95bywgSS48L2F1dGhvcj48YXV0aG9y
PkNvdGVyb24sIEouPC9hdXRob3I+PGF1dGhvcj5CYWNjaGksIE0uPC9hdXRob3I+PGF1dGhvcj5C
YXJha2F0LCBSLjwvYXV0aG9yPjwvYXV0aG9ycz48L2NvbnRyaWJ1dG9ycz48YXV0aC1hZGRyZXNz
PkRlcGFydG1lbnQgb2YgU29jaWFsIFNjaWVuY2VzLCBQaHlzaWNhbCBBY3Rpdml0eSBhbmQgU3Bv
cnQgU2NpZW5jZXMgRmFjdWx0eS1JTkVGLCBUZWNobmljYWwgVW5pdmVyc2l0eSBvZiBNYWRyaWQs
IE1hZHJpZCwgU3BhaW4uJiN4RDtGYWN1bHR5IG9mIFBoeXNpY2FsIEFjdGl2aXR5IGFuZCBTcG9y
dHMsIFVuaXZlcnNpdHkgb2YgRmxvcmVzLCBCdWVub3MgQWlyZXMsIEFyZ2VudGluYS4mI3hEO0Rl
cGFydG1lbnQgb2YgU29jaWFsIFNjaWVuY2VzLCBQaHlzaWNhbCBBY3Rpdml0eSBhbmQgU3BvcnQg
U2NpZW5jZXMgRmFjdWx0eS1JTkVGLCBUZWNobmljYWwgVW5pdmVyc2l0eSBvZiBNYWRyaWQsIE1h
ZHJpZCwgU3BhaW4gYmFyYWthdHJ1YmVuQGdtYWlsLmNvbS48L2F1dGgtYWRkcmVzcz48dGl0bGVz
Pjx0aXRsZT5FeGVyY2lzZSBkdXJpbmcgcHJlZ25hbmN5IGF0dGVudWF0ZXMgcHJlbmF0YWwgZGVw
cmVzc2lvbjogYSByYW5kb21pemVkIGNvbnRyb2xsZWQgdHJpYWw8L3RpdGxlPjxzZWNvbmRhcnkt
dGl0bGU+RXZhbCBIZWFsdGggUHJvZjwvc2Vjb25kYXJ5LXRpdGxlPjwvdGl0bGVzPjxwZXJpb2Rp
Y2FsPjxmdWxsLXRpdGxlPkV2YWwgSGVhbHRoIFByb2Y8L2Z1bGwtdGl0bGU+PC9wZXJpb2RpY2Fs
PjxwYWdlcz41OS03MjwvcGFnZXM+PHZvbHVtZT4zODwvdm9sdW1lPjxudW1iZXI+MTwvbnVtYmVy
PjxlZGl0aW9uPjIwMTQvMDUvMzA8L2VkaXRpb24+PGtleXdvcmRzPjxrZXl3b3JkPkFkdWx0PC9r
ZXl3b3JkPjxrZXl3b3JkPkFwZ2FyIFNjb3JlPC9rZXl3b3JkPjxrZXl3b3JkPkJvZHkgTWFzcyBJ
bmRleDwva2V5d29yZD48a2V5d29yZD5EZXByZXNzaW9uLyp0aGVyYXB5PC9rZXl3b3JkPjxrZXl3
b3JkPkV4ZXJjaXNlIFRoZXJhcHkvKm1ldGhvZHM8L2tleXdvcmQ+PGtleXdvcmQ+RmVtYWxlPC9r
ZXl3b3JkPjxrZXl3b3JkPkh1bWFuczwva2V5d29yZD48a2V5d29yZD5QcmVnbmFuY3k8L2tleXdv
cmQ+PGtleXdvcmQ+UHJlZ25hbmN5IENvbXBsaWNhdGlvbnMvKnRoZXJhcHk8L2tleXdvcmQ+PGtl
eXdvcmQ+UHJlZ25hbmN5IE91dGNvbWU8L2tleXdvcmQ+PGtleXdvcmQ+U3BhaW48L2tleXdvcmQ+
PGtleXdvcmQ+V2VpZ2h0IEdhaW48L2tleXdvcmQ+PGtleXdvcmQ+ZGVwcmVzc2lvbjwva2V5d29y
ZD48a2V5d29yZD5leGVyY2lzZTwva2V5d29yZD48a2V5d29yZD5wcmVuYXRhbDwva2V5d29yZD48
a2V5d29yZD53ZWxsLWJlaW5nPC9rZXl3b3JkPjwva2V5d29yZHM+PGRhdGVzPjx5ZWFyPjIwMTU8
L3llYXI+PHB1Yi1kYXRlcz48ZGF0ZT5NYXI8L2RhdGU+PC9wdWItZGF0ZXM+PC9kYXRlcz48aXNi
bj4xNTUyLTM5MTggKEVsZWN0cm9uaWMpJiN4RDswMTYzLTI3ODcgKExpbmtpbmcpPC9pc2JuPjxh
Y2Nlc3Npb24tbnVtPjI0ODcyNDQyPC9hY2Nlc3Npb24tbnVtPjx1cmxzPjxyZWxhdGVkLXVybHM+
PHVybD5odHRwczovL3d3dy5uY2JpLm5sbS5uaWguZ292L3B1Ym1lZC8yNDg3MjQ0MjwvdXJsPjwv
cmVsYXRlZC11cmxzPjwvdXJscz48ZWxlY3Ryb25pYy1yZXNvdXJjZS1udW0+MTAuMTE3Ny8wMTYz
Mjc4NzE0NTMzNTY2PC9lbGVjdHJvbmljLXJlc291cmNlLW51bT48L3JlY29yZD48L0NpdGU+PC9F
bmROb3RlPgB=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440</w:t>
            </w:r>
            <w:r w:rsidR="00616EE6">
              <w:fldChar w:fldCharType="end"/>
            </w:r>
          </w:p>
          <w:p w14:paraId="16DB0DC4" w14:textId="77777777" w:rsidR="000B480F" w:rsidRPr="00C12274" w:rsidRDefault="000B480F" w:rsidP="00E70A06">
            <w:r w:rsidRPr="00C12274">
              <w:t>Spain</w:t>
            </w:r>
          </w:p>
          <w:p w14:paraId="1989360F" w14:textId="6CABC947" w:rsidR="000A1756" w:rsidRDefault="000B480F" w:rsidP="00E70A06">
            <w:r w:rsidRPr="00C12274">
              <w:t>NCT01696201</w:t>
            </w:r>
          </w:p>
        </w:tc>
        <w:tc>
          <w:tcPr>
            <w:tcW w:w="1670" w:type="dxa"/>
            <w:tcBorders>
              <w:left w:val="single" w:sz="4" w:space="0" w:color="3B3474"/>
              <w:right w:val="single" w:sz="4" w:space="0" w:color="3B3474"/>
            </w:tcBorders>
          </w:tcPr>
          <w:p w14:paraId="1369677F" w14:textId="77777777" w:rsidR="000A1756" w:rsidRDefault="000A1756" w:rsidP="00D424F3">
            <w:r>
              <w:t>Intervention 90</w:t>
            </w:r>
          </w:p>
          <w:p w14:paraId="3FEBAB60" w14:textId="16C67DD8" w:rsidR="000A1756" w:rsidRDefault="000A1756" w:rsidP="00D424F3">
            <w:r>
              <w:t>Control 77</w:t>
            </w:r>
          </w:p>
        </w:tc>
        <w:tc>
          <w:tcPr>
            <w:tcW w:w="5395" w:type="dxa"/>
            <w:tcBorders>
              <w:left w:val="single" w:sz="4" w:space="0" w:color="3B3474"/>
              <w:right w:val="single" w:sz="4" w:space="0" w:color="3B3474"/>
            </w:tcBorders>
          </w:tcPr>
          <w:p w14:paraId="3C47521A" w14:textId="77777777" w:rsidR="000A1756" w:rsidRDefault="000A1756" w:rsidP="00A9099F">
            <w:r w:rsidRPr="00A9099F">
              <w:rPr>
                <w:b/>
              </w:rPr>
              <w:t>Aim</w:t>
            </w:r>
            <w:r>
              <w:t xml:space="preserve">: </w:t>
            </w:r>
            <w:r w:rsidRPr="00A9099F">
              <w:t>to examine whether a supervised exercise</w:t>
            </w:r>
            <w:r>
              <w:t xml:space="preserve"> </w:t>
            </w:r>
            <w:r w:rsidRPr="00A9099F">
              <w:t xml:space="preserve">program (EP) reduces depressive symptoms in pregnant women. </w:t>
            </w:r>
          </w:p>
          <w:p w14:paraId="00873BBF" w14:textId="6E51EA0A" w:rsidR="000A1756" w:rsidRDefault="000A1756" w:rsidP="00A9099F">
            <w:r w:rsidRPr="00A9099F">
              <w:rPr>
                <w:b/>
              </w:rPr>
              <w:t>Population</w:t>
            </w:r>
            <w:r>
              <w:t>: H</w:t>
            </w:r>
            <w:r w:rsidRPr="00A9099F">
              <w:t>ealthy</w:t>
            </w:r>
            <w:r>
              <w:t xml:space="preserve"> </w:t>
            </w:r>
            <w:r w:rsidRPr="00A9099F">
              <w:t>pregnant women (31.37</w:t>
            </w:r>
            <w:r w:rsidRPr="00A9099F">
              <w:rPr>
                <w:rFonts w:ascii="Times" w:hAnsi="Times"/>
              </w:rPr>
              <w:t>+</w:t>
            </w:r>
            <w:r w:rsidRPr="00A9099F">
              <w:t>3.62</w:t>
            </w:r>
            <w:r>
              <w:t xml:space="preserve"> years) with uncomplicated singleton pregnancies.</w:t>
            </w:r>
            <w:r w:rsidR="000270EC">
              <w:t xml:space="preserve"> Mixed BMIs.</w:t>
            </w:r>
          </w:p>
          <w:p w14:paraId="10B39780" w14:textId="77777777" w:rsidR="007D4CC2" w:rsidRDefault="007D4CC2" w:rsidP="007D4CC2">
            <w:r w:rsidRPr="005E4EF9">
              <w:rPr>
                <w:b/>
              </w:rPr>
              <w:t>Intervention</w:t>
            </w:r>
            <w:r>
              <w:rPr>
                <w:b/>
              </w:rPr>
              <w:t>:</w:t>
            </w:r>
          </w:p>
          <w:p w14:paraId="54C7BCE6" w14:textId="77777777" w:rsidR="007D4CC2" w:rsidRPr="00C45716" w:rsidRDefault="007D4CC2" w:rsidP="007D4CC2">
            <w:pPr>
              <w:pStyle w:val="bullet"/>
            </w:pPr>
            <w:r w:rsidRPr="00C45716">
              <w:rPr>
                <w:i/>
              </w:rPr>
              <w:t>Supervised</w:t>
            </w:r>
            <w:r w:rsidRPr="00C45716">
              <w:t xml:space="preserve">: </w:t>
            </w:r>
            <w:r>
              <w:t>Yes</w:t>
            </w:r>
          </w:p>
          <w:p w14:paraId="0DA6B4A0" w14:textId="76B20F69" w:rsidR="007D4CC2" w:rsidRPr="007D4CC2" w:rsidRDefault="007D4CC2" w:rsidP="000B480F">
            <w:pPr>
              <w:pStyle w:val="bullet"/>
            </w:pPr>
            <w:r w:rsidRPr="00C45716">
              <w:rPr>
                <w:i/>
              </w:rPr>
              <w:t>Type and duration</w:t>
            </w:r>
            <w:r w:rsidRPr="00C45716">
              <w:t xml:space="preserve">: </w:t>
            </w:r>
            <w:r>
              <w:t xml:space="preserve">Aerobic and resistance; </w:t>
            </w:r>
            <w:r w:rsidR="000B480F" w:rsidRPr="00C12274">
              <w:t>Dance, muscle strengthening</w:t>
            </w:r>
            <w:r>
              <w:t xml:space="preserve">; </w:t>
            </w:r>
            <w:r w:rsidR="000B480F" w:rsidRPr="00C12274">
              <w:t>55-60 min, 3 times a week from week 9-12 to 39-40</w:t>
            </w:r>
            <w:r>
              <w:t>.</w:t>
            </w:r>
          </w:p>
          <w:p w14:paraId="4F1A581E" w14:textId="06BE4424" w:rsidR="000A1756" w:rsidRPr="00652CD5" w:rsidRDefault="007D4CC2" w:rsidP="000B480F">
            <w:pPr>
              <w:pStyle w:val="bullet"/>
              <w:rPr>
                <w:rFonts w:ascii="Times" w:hAnsi="Times"/>
                <w:sz w:val="15"/>
                <w:szCs w:val="15"/>
              </w:rPr>
            </w:pPr>
            <w:r w:rsidRPr="00C45716">
              <w:rPr>
                <w:i/>
              </w:rPr>
              <w:t>Intensity</w:t>
            </w:r>
            <w:r w:rsidRPr="00C45716">
              <w:t xml:space="preserve">: </w:t>
            </w:r>
            <w:r w:rsidR="000B480F" w:rsidRPr="00C12274">
              <w:t>Light to moderate; 55-60% maximal HR</w:t>
            </w:r>
            <w:r>
              <w:t>.</w:t>
            </w:r>
          </w:p>
        </w:tc>
        <w:tc>
          <w:tcPr>
            <w:tcW w:w="5953" w:type="dxa"/>
            <w:tcBorders>
              <w:left w:val="single" w:sz="4" w:space="0" w:color="3B3474"/>
              <w:right w:val="single" w:sz="4" w:space="0" w:color="3B3474"/>
            </w:tcBorders>
          </w:tcPr>
          <w:p w14:paraId="16FD1D1D" w14:textId="77777777" w:rsidR="000A1756" w:rsidRDefault="000A1756" w:rsidP="00652CD5">
            <w:r>
              <w:t>Intervention vs control:</w:t>
            </w:r>
          </w:p>
          <w:p w14:paraId="3DCD7835" w14:textId="4139549E" w:rsidR="000A1756" w:rsidRDefault="000A1756" w:rsidP="00652CD5">
            <w:pPr>
              <w:pStyle w:val="bullet"/>
            </w:pPr>
            <w:r>
              <w:t xml:space="preserve">CES-D score ≥16: 11 (12.2%) vs 19 (24.7%) </w:t>
            </w:r>
            <w:r w:rsidRPr="00B64F3A">
              <w:rPr>
                <w:b/>
              </w:rPr>
              <w:t>p=0.04</w:t>
            </w:r>
          </w:p>
          <w:p w14:paraId="51AFA78C" w14:textId="561342DF" w:rsidR="000A1756" w:rsidRPr="00B64F3A" w:rsidRDefault="002C766E" w:rsidP="00B64F3A">
            <w:pPr>
              <w:pStyle w:val="bullet"/>
            </w:pPr>
            <w:r>
              <w:t>Gestational weight gain</w:t>
            </w:r>
            <w:r w:rsidR="000A1756">
              <w:t>:</w:t>
            </w:r>
            <w:r w:rsidR="000A1756" w:rsidRPr="00B64F3A">
              <w:t xml:space="preserve"> 11.850 </w:t>
            </w:r>
            <w:r w:rsidR="000A1756">
              <w:rPr>
                <w:rFonts w:ascii="Times" w:hAnsi="Times"/>
              </w:rPr>
              <w:t>±</w:t>
            </w:r>
            <w:r w:rsidR="000A1756">
              <w:t>4.</w:t>
            </w:r>
            <w:r w:rsidR="000A1756" w:rsidRPr="00B64F3A">
              <w:t xml:space="preserve">19 </w:t>
            </w:r>
            <w:r w:rsidR="000A1756">
              <w:t>vs 13.890</w:t>
            </w:r>
            <w:r w:rsidR="000A1756">
              <w:rPr>
                <w:rFonts w:ascii="Times" w:hAnsi="Times"/>
              </w:rPr>
              <w:t>±</w:t>
            </w:r>
            <w:r w:rsidR="000A1756" w:rsidRPr="00B64F3A">
              <w:t xml:space="preserve">10.23 </w:t>
            </w:r>
            <w:r w:rsidR="000A1756">
              <w:t>p=0</w:t>
            </w:r>
            <w:r w:rsidR="000A1756" w:rsidRPr="00B64F3A">
              <w:t>.08</w:t>
            </w:r>
          </w:p>
          <w:p w14:paraId="64FC74C2" w14:textId="22DEC799" w:rsidR="000A1756" w:rsidRPr="00B64F3A" w:rsidRDefault="00A65B49" w:rsidP="00B64F3A">
            <w:pPr>
              <w:pStyle w:val="bullet"/>
            </w:pPr>
            <w:r>
              <w:t>Weight gain &gt;IOM guidelines</w:t>
            </w:r>
            <w:r w:rsidR="000A1756">
              <w:t>:</w:t>
            </w:r>
            <w:r w:rsidR="000A1756" w:rsidRPr="00B64F3A">
              <w:t xml:space="preserve"> 12</w:t>
            </w:r>
            <w:r w:rsidR="000A1756">
              <w:t xml:space="preserve"> (</w:t>
            </w:r>
            <w:r w:rsidR="000A1756" w:rsidRPr="00B64F3A">
              <w:t>13.25</w:t>
            </w:r>
            <w:r w:rsidR="000A1756">
              <w:t>) vs 20 (</w:t>
            </w:r>
            <w:r w:rsidR="000A1756" w:rsidRPr="00B64F3A">
              <w:t>26.7</w:t>
            </w:r>
            <w:r w:rsidR="000A1756">
              <w:t>%)</w:t>
            </w:r>
            <w:r w:rsidR="000A1756" w:rsidRPr="00B64F3A">
              <w:t xml:space="preserve"> </w:t>
            </w:r>
            <w:r w:rsidR="000A1756">
              <w:t>p=</w:t>
            </w:r>
            <w:r w:rsidR="000A1756" w:rsidRPr="00B64F3A">
              <w:rPr>
                <w:b/>
              </w:rPr>
              <w:t>0.03</w:t>
            </w:r>
          </w:p>
          <w:p w14:paraId="40B3535C" w14:textId="047103D4" w:rsidR="000A1756" w:rsidRPr="00561257" w:rsidRDefault="000A1756" w:rsidP="00133B96">
            <w:pPr>
              <w:pStyle w:val="bullet"/>
            </w:pPr>
            <w:r w:rsidRPr="00B64F3A">
              <w:t>C</w:t>
            </w:r>
            <w:r>
              <w:t>a</w:t>
            </w:r>
            <w:r w:rsidRPr="00B64F3A">
              <w:t>esarean section: 14</w:t>
            </w:r>
            <w:r>
              <w:t xml:space="preserve"> (</w:t>
            </w:r>
            <w:r w:rsidRPr="00B64F3A">
              <w:t>15.6</w:t>
            </w:r>
            <w:r>
              <w:t>%) vs</w:t>
            </w:r>
            <w:r w:rsidRPr="00B64F3A">
              <w:t xml:space="preserve"> 19</w:t>
            </w:r>
            <w:r>
              <w:t xml:space="preserve"> (</w:t>
            </w:r>
            <w:r w:rsidRPr="00B64F3A">
              <w:t>24.7</w:t>
            </w:r>
            <w:r>
              <w:t>%)</w:t>
            </w:r>
          </w:p>
        </w:tc>
      </w:tr>
      <w:tr w:rsidR="000A1756" w:rsidRPr="00A652CB" w14:paraId="3DAC2124"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303DBEA4" w14:textId="3F331D7C" w:rsidR="000B480F" w:rsidRPr="00C12274" w:rsidRDefault="000B480F" w:rsidP="00E70A06">
            <w:r>
              <w:rPr>
                <w:noProof/>
              </w:rPr>
              <w:t>Perales et al 2016a</w:t>
            </w:r>
            <w:r w:rsidR="00616EE6">
              <w:fldChar w:fldCharType="begin"/>
            </w:r>
            <w:r w:rsidR="002747EA">
              <w:instrText xml:space="preserve"> ADDIN EN.CITE &lt;EndNote&gt;&lt;Cite&gt;&lt;Author&gt;Perales&lt;/Author&gt;&lt;Year&gt;2016&lt;/Year&gt;&lt;RecNum&gt;924&lt;/RecNum&gt;&lt;DisplayText&gt;&lt;style face="superscript" font="Trebuchet MS" size="9"&gt;295&lt;/style&gt;&lt;/DisplayText&gt;&lt;record&gt;&lt;rec-number&gt;924&lt;/rec-number&gt;&lt;foreign-keys&gt;&lt;key app="EN" db-id="exvasrfx2dtraoesasxp2szsxa2df502592x" timestamp="1541540925"&gt;924&lt;/key&gt;&lt;key app="ENWeb" db-id=""&gt;0&lt;/key&gt;&lt;/foreign-keys&gt;&lt;ref-type name="Journal Article"&gt;17&lt;/ref-type&gt;&lt;contributors&gt;&lt;authors&gt;&lt;author&gt;Perales, Maria&lt;/author&gt;&lt;author&gt;Calabria, Irene&lt;/author&gt;&lt;author&gt;Lopez, Carmina&lt;/author&gt;&lt;author&gt;Franco, Evelia&lt;/author&gt;&lt;author&gt;Coteron, Javier&lt;/author&gt;&lt;author&gt;Barakat, Ruben&lt;/author&gt;&lt;/authors&gt;&lt;/contributors&gt;&lt;titles&gt;&lt;title&gt;Regular Exercise Throughout Pregnancy is Associated with a Shorter First Stage of Labor&lt;/title&gt;&lt;secondary-title&gt;American Journal of Health Promotion&lt;/secondary-title&gt;&lt;/titles&gt;&lt;periodical&gt;&lt;full-title&gt;American Journal of Health Promotion&lt;/full-title&gt;&lt;/periodical&gt;&lt;pages&gt;149-157&lt;/pages&gt;&lt;volume&gt;30&lt;/volume&gt;&lt;number&gt;3&lt;/number&gt;&lt;section&gt;149&lt;/section&gt;&lt;dates&gt;&lt;year&gt;2016&lt;/year&gt;&lt;/dates&gt;&lt;isbn&gt;0890-1171&amp;#xD;2168-6602&lt;/isbn&gt;&lt;urls&gt;&lt;/urls&gt;&lt;electronic-resource-num&gt;10.4278/ajhp.140221-QUAN-79&lt;/electronic-resource-num&gt;&lt;/record&gt;&lt;/Cite&gt;&lt;/EndNote&gt;</w:instrText>
            </w:r>
            <w:r w:rsidR="00616EE6">
              <w:fldChar w:fldCharType="separate"/>
            </w:r>
            <w:r w:rsidR="002747EA" w:rsidRPr="002747EA">
              <w:rPr>
                <w:noProof/>
                <w:vertAlign w:val="superscript"/>
              </w:rPr>
              <w:t>295</w:t>
            </w:r>
            <w:r w:rsidR="00616EE6">
              <w:fldChar w:fldCharType="end"/>
            </w:r>
          </w:p>
          <w:p w14:paraId="5ADC07AD" w14:textId="4BC77331" w:rsidR="000A1756" w:rsidRPr="00362C86" w:rsidRDefault="000B480F" w:rsidP="00E70A06">
            <w:r w:rsidRPr="00C12274">
              <w:t>Spain</w:t>
            </w:r>
          </w:p>
        </w:tc>
        <w:tc>
          <w:tcPr>
            <w:tcW w:w="1670" w:type="dxa"/>
            <w:tcBorders>
              <w:left w:val="single" w:sz="4" w:space="0" w:color="3B3474"/>
              <w:right w:val="single" w:sz="4" w:space="0" w:color="3B3474"/>
            </w:tcBorders>
          </w:tcPr>
          <w:p w14:paraId="5B824598" w14:textId="77777777" w:rsidR="000A1756" w:rsidRDefault="000A1756" w:rsidP="00D424F3">
            <w:r>
              <w:t>Intervention 83</w:t>
            </w:r>
          </w:p>
          <w:p w14:paraId="461F5AFA" w14:textId="4219FB61" w:rsidR="000A1756" w:rsidRDefault="000A1756" w:rsidP="00D424F3">
            <w:r>
              <w:t>Control 83</w:t>
            </w:r>
          </w:p>
        </w:tc>
        <w:tc>
          <w:tcPr>
            <w:tcW w:w="5395" w:type="dxa"/>
            <w:tcBorders>
              <w:left w:val="single" w:sz="4" w:space="0" w:color="3B3474"/>
              <w:right w:val="single" w:sz="4" w:space="0" w:color="3B3474"/>
            </w:tcBorders>
          </w:tcPr>
          <w:p w14:paraId="190556A6" w14:textId="6A9C075A" w:rsidR="000A1756" w:rsidRPr="008B6D80" w:rsidRDefault="000A1756" w:rsidP="00C03520">
            <w:r w:rsidRPr="00C03520">
              <w:rPr>
                <w:b/>
              </w:rPr>
              <w:t>Aim</w:t>
            </w:r>
            <w:r>
              <w:t>: T</w:t>
            </w:r>
            <w:r w:rsidRPr="008B6D80">
              <w:t>o examine the influence of moderate physical</w:t>
            </w:r>
            <w:r>
              <w:t xml:space="preserve"> </w:t>
            </w:r>
            <w:r w:rsidRPr="008B6D80">
              <w:t>exercise throughout pregnancy on the duration of labo</w:t>
            </w:r>
            <w:r>
              <w:t>u</w:t>
            </w:r>
            <w:r w:rsidRPr="008B6D80">
              <w:t>r stages</w:t>
            </w:r>
            <w:r w:rsidRPr="008B6D80">
              <w:rPr>
                <w:rFonts w:ascii="Times" w:hAnsi="Times"/>
              </w:rPr>
              <w:t>.</w:t>
            </w:r>
          </w:p>
          <w:p w14:paraId="03529039" w14:textId="3D9B01EE" w:rsidR="000A1756" w:rsidRDefault="000A1756" w:rsidP="00C03520">
            <w:r w:rsidRPr="00C03520">
              <w:rPr>
                <w:b/>
              </w:rPr>
              <w:t>Population</w:t>
            </w:r>
            <w:r>
              <w:t>:</w:t>
            </w:r>
            <w:r w:rsidRPr="008B6D80">
              <w:t xml:space="preserve"> </w:t>
            </w:r>
            <w:r>
              <w:t>P</w:t>
            </w:r>
            <w:r w:rsidRPr="008B6D80">
              <w:t>regnant women (31.6</w:t>
            </w:r>
            <w:r>
              <w:t>±</w:t>
            </w:r>
            <w:r w:rsidRPr="008B6D80">
              <w:t>3.8 years)</w:t>
            </w:r>
            <w:r>
              <w:t xml:space="preserve"> with </w:t>
            </w:r>
            <w:r w:rsidRPr="008B6D80">
              <w:t xml:space="preserve">uncomplicated and singleton </w:t>
            </w:r>
            <w:r>
              <w:t>pregnancies</w:t>
            </w:r>
            <w:r w:rsidRPr="008B6D80">
              <w:t xml:space="preserve">. </w:t>
            </w:r>
            <w:r w:rsidR="000B480F">
              <w:t>Mixed BMIs.</w:t>
            </w:r>
          </w:p>
          <w:p w14:paraId="3A0D556E" w14:textId="77777777" w:rsidR="007D4CC2" w:rsidRDefault="007D4CC2" w:rsidP="007D4CC2">
            <w:r w:rsidRPr="005E4EF9">
              <w:rPr>
                <w:b/>
              </w:rPr>
              <w:t>Intervention</w:t>
            </w:r>
            <w:r>
              <w:rPr>
                <w:b/>
              </w:rPr>
              <w:t>:</w:t>
            </w:r>
          </w:p>
          <w:p w14:paraId="2C933D8C" w14:textId="77777777" w:rsidR="007D4CC2" w:rsidRPr="00C45716" w:rsidRDefault="007D4CC2" w:rsidP="007D4CC2">
            <w:pPr>
              <w:pStyle w:val="bullet"/>
            </w:pPr>
            <w:r w:rsidRPr="00C45716">
              <w:rPr>
                <w:i/>
              </w:rPr>
              <w:t>Supervised</w:t>
            </w:r>
            <w:r w:rsidRPr="00C45716">
              <w:t xml:space="preserve">: </w:t>
            </w:r>
            <w:r>
              <w:t>Yes</w:t>
            </w:r>
          </w:p>
          <w:p w14:paraId="27ACE7F9" w14:textId="50B51567" w:rsidR="007D4CC2" w:rsidRPr="007D4CC2" w:rsidRDefault="007D4CC2" w:rsidP="000B480F">
            <w:pPr>
              <w:pStyle w:val="bullet"/>
            </w:pPr>
            <w:r w:rsidRPr="00C45716">
              <w:rPr>
                <w:i/>
              </w:rPr>
              <w:t>Type and duration</w:t>
            </w:r>
            <w:r w:rsidRPr="00C45716">
              <w:t xml:space="preserve">: </w:t>
            </w:r>
            <w:r>
              <w:t xml:space="preserve">Aerobic and resistance; </w:t>
            </w:r>
            <w:r w:rsidR="000B480F" w:rsidRPr="00C12274">
              <w:t>Dance, muscle strengthening</w:t>
            </w:r>
            <w:r>
              <w:t xml:space="preserve">; </w:t>
            </w:r>
            <w:r w:rsidR="000B480F" w:rsidRPr="00C12274">
              <w:t>55-60 min, 3 times a week from week 9-11 to 39-40</w:t>
            </w:r>
            <w:r>
              <w:t>.</w:t>
            </w:r>
          </w:p>
          <w:p w14:paraId="3BF20E93" w14:textId="661B5866" w:rsidR="000A1756" w:rsidRPr="007A6DB6" w:rsidRDefault="007D4CC2" w:rsidP="000B480F">
            <w:pPr>
              <w:pStyle w:val="bullet"/>
            </w:pPr>
            <w:r w:rsidRPr="00C45716">
              <w:rPr>
                <w:i/>
              </w:rPr>
              <w:t>Intensity</w:t>
            </w:r>
            <w:r w:rsidRPr="00C45716">
              <w:t xml:space="preserve">: </w:t>
            </w:r>
            <w:r w:rsidR="000B480F" w:rsidRPr="00C12274">
              <w:t>Light to moderate; 55-60% maximal HR</w:t>
            </w:r>
            <w:r>
              <w:t>.</w:t>
            </w:r>
          </w:p>
        </w:tc>
        <w:tc>
          <w:tcPr>
            <w:tcW w:w="5953" w:type="dxa"/>
            <w:tcBorders>
              <w:left w:val="single" w:sz="4" w:space="0" w:color="3B3474"/>
              <w:right w:val="single" w:sz="4" w:space="0" w:color="3B3474"/>
            </w:tcBorders>
          </w:tcPr>
          <w:p w14:paraId="419EDAEC" w14:textId="77777777" w:rsidR="000A1756" w:rsidRDefault="000A1756" w:rsidP="00B636AD">
            <w:r>
              <w:t>Intervention vs control:</w:t>
            </w:r>
          </w:p>
          <w:p w14:paraId="09BE0BFF" w14:textId="67EC54D3" w:rsidR="000A1756" w:rsidRPr="00597AEA" w:rsidRDefault="002C766E" w:rsidP="00B636AD">
            <w:pPr>
              <w:pStyle w:val="bullet"/>
            </w:pPr>
            <w:r>
              <w:t>Gestational weight gain</w:t>
            </w:r>
            <w:r w:rsidR="000A1756" w:rsidRPr="00597AEA">
              <w:t xml:space="preserve"> (kg)</w:t>
            </w:r>
            <w:r w:rsidR="000A1756">
              <w:t>:</w:t>
            </w:r>
            <w:r w:rsidR="000A1756" w:rsidRPr="00597AEA">
              <w:t xml:space="preserve"> 11.6</w:t>
            </w:r>
            <w:r w:rsidR="000A1756">
              <w:t>±</w:t>
            </w:r>
            <w:r w:rsidR="000A1756" w:rsidRPr="00597AEA">
              <w:t xml:space="preserve">3.6 </w:t>
            </w:r>
            <w:r w:rsidR="000A1756">
              <w:t xml:space="preserve">vs </w:t>
            </w:r>
            <w:r w:rsidR="000A1756" w:rsidRPr="00597AEA">
              <w:t>12.8</w:t>
            </w:r>
            <w:r w:rsidR="000A1756">
              <w:t>±</w:t>
            </w:r>
            <w:r w:rsidR="000A1756" w:rsidRPr="00597AEA">
              <w:t xml:space="preserve">4.4 </w:t>
            </w:r>
            <w:r w:rsidR="000A1756">
              <w:t>p=</w:t>
            </w:r>
            <w:r w:rsidR="000A1756" w:rsidRPr="00597AEA">
              <w:t>0.06</w:t>
            </w:r>
          </w:p>
          <w:p w14:paraId="5ADED88D" w14:textId="1681CD2E" w:rsidR="000A1756" w:rsidRPr="00597AEA" w:rsidRDefault="00A65B49" w:rsidP="00B636AD">
            <w:pPr>
              <w:pStyle w:val="bullet"/>
            </w:pPr>
            <w:r>
              <w:t>Weight gain &gt;IOM guidelines</w:t>
            </w:r>
            <w:r w:rsidR="000A1756">
              <w:t>:</w:t>
            </w:r>
            <w:r w:rsidR="000A1756" w:rsidRPr="00597AEA">
              <w:t xml:space="preserve"> 14</w:t>
            </w:r>
            <w:r w:rsidR="000A1756">
              <w:t xml:space="preserve"> (</w:t>
            </w:r>
            <w:r w:rsidR="000A1756" w:rsidRPr="00597AEA">
              <w:t>16.9</w:t>
            </w:r>
            <w:r w:rsidR="000A1756">
              <w:t xml:space="preserve">) vs </w:t>
            </w:r>
            <w:r w:rsidR="000A1756" w:rsidRPr="00597AEA">
              <w:t>25</w:t>
            </w:r>
            <w:r w:rsidR="000A1756">
              <w:t xml:space="preserve"> (</w:t>
            </w:r>
            <w:r w:rsidR="000A1756" w:rsidRPr="00597AEA">
              <w:t>30.1</w:t>
            </w:r>
            <w:r w:rsidR="000A1756">
              <w:t>) p=</w:t>
            </w:r>
            <w:r w:rsidR="000A1756" w:rsidRPr="00597AEA">
              <w:t>0.04</w:t>
            </w:r>
          </w:p>
          <w:p w14:paraId="5025EA81" w14:textId="7EAC854C" w:rsidR="000A1756" w:rsidRPr="00597AEA" w:rsidRDefault="000A1756" w:rsidP="00133B96">
            <w:pPr>
              <w:pStyle w:val="bullet"/>
              <w:numPr>
                <w:ilvl w:val="0"/>
                <w:numId w:val="0"/>
              </w:numPr>
              <w:ind w:left="360"/>
            </w:pPr>
          </w:p>
        </w:tc>
      </w:tr>
      <w:tr w:rsidR="000A1756" w:rsidRPr="00A652CB" w14:paraId="72AE53AC"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97E57C3" w14:textId="63BE2AD0" w:rsidR="000B480F" w:rsidRPr="00C12274" w:rsidRDefault="000B480F" w:rsidP="00E70A06">
            <w:r>
              <w:rPr>
                <w:noProof/>
              </w:rPr>
              <w:t>Perales et al 2016b</w:t>
            </w:r>
            <w:r w:rsidR="00616EE6">
              <w:fldChar w:fldCharType="begin">
                <w:fldData xml:space="preserve">PEVuZE5vdGU+PENpdGU+PEF1dGhvcj5QZXJhbGVzPC9BdXRob3I+PFllYXI+MjAxNjwvWWVhcj48
UmVjTnVtPjEwNjY8L1JlY051bT48RGlzcGxheVRleHQ+PHN0eWxlIGZhY2U9InN1cGVyc2NyaXB0
IiBmb250PSJUcmVidWNoZXQgTVMiIHNpemU9IjkiPjI5Njwvc3R5bGU+PC9EaXNwbGF5VGV4dD48
cmVjb3JkPjxyZWMtbnVtYmVyPjEwNjY8L3JlYy1udW1iZXI+PGZvcmVpZ24ta2V5cz48a2V5IGFw
cD0iRU4iIGRiLWlkPSJleHZhc3JmeDJkdHJhb2VzYXN4cDJzenN4YTJkZjUwMjU5MngiIHRpbWVz
dGFtcD0iMTU0ODk5MDI5NiI+MTA2Njwva2V5PjwvZm9yZWlnbi1rZXlzPjxyZWYtdHlwZSBuYW1l
PSJKb3VybmFsIEFydGljbGUiPjE3PC9yZWYtdHlwZT48Y29udHJpYnV0b3JzPjxhdXRob3JzPjxh
dXRob3I+UGVyYWxlcywgTS48L2F1dGhvcj48YXV0aG9yPlNhbnRvcy1Mb3phbm8sIEEuPC9hdXRo
b3I+PGF1dGhvcj5TYW5jaGlzLUdvbWFyLCBGLjwvYXV0aG9yPjxhdXRob3I+THVhY2VzLCBNLjwv
YXV0aG9yPjxhdXRob3I+UGFyZWphLUdhbGVhbm8sIEguPC9hdXRob3I+PGF1dGhvcj5HYXJhdGFj
aGVhLCBOLjwvYXV0aG9yPjxhdXRob3I+QmFyYWthdCwgUi48L2F1dGhvcj48YXV0aG9yPkx1Y2lh
LCBBLjwvYXV0aG9yPjwvYXV0aG9ycz48L2NvbnRyaWJ1dG9ycz48YXV0aC1hZGRyZXNzPjFSZXNl
YXJjaCBJbnN0aXR1dGUgSG9zcGl0YWwgMTIgZGUgT2N0dWJyZSAoJmFwb3M7aSsxMiZhcG9zOyks
IE1hZHJpZCwgU1BBSU47IDJBRklQRSBSZXNlYXJjaCBHcm91cCwgRmFjdWx0eSBvZiBQaHlzaWNh
bCBBY3Rpdml0eSBhbmQgU3BvcnRzIFNjaWVuY2VzIElORUYsIFRlY2huaWNhbCBVbml2ZXJzaXR5
IG9mIE1hZHJpZCwgU1BBSU47IDNHSURGWVMsIERlcGFydG1lbnQgb2YgSGVhbHRoIFNjaWVuY2Vz
LCBFdXJvcGVhbiBVbml2ZXJzaXR5IE1pZ3VlbCBkZSBDZXJ2YW50ZXMsIFZhbGxhZG9saWQsIFNQ
QUlOOyA0RGVwYXJ0bWVudCBvZiBDYXJkaW9sb2d5LCBDYXJkaW92YXNjdWxhciBJbnN0aXR1dGUs
IEhvc3BpdGFsIENsaW5pY28gU2FuIENhcmxvcywgTWFkcmlkLCBTUEFJTjsgNVNjaG9vbCBvZiBE
b2N0b3JhdGUgU3R1ZGllcyBhbmQgUmVzZWFyY2gsIEV1cm9wZWFuIFVuaXZlcnNpdHksIE1hZHJp
ZCwgU1BBSU47IGFuZCA2RGVwYXJ0YW1lbnRvIGRlIEZpc2lhdHJpYSB5IEVuZmVybWVyaWEuIEZh
Y3VsdGFkIGRlIENpZW5jaWFzIGRlIGxhIFNhbHVkIHkgZGVsIERlcG9ydGUuIEluc3RpdHV0byBB
Z3JvYWxpbWVudGFyaW8gZGUgQXJhZ29uLUlBMiwgVW5pdmVyc2lkYWQgZGUgWmFyYWdvemEtQ0lU
QSwgWmFyYWdvemEsIFNQQUlOLjwvYXV0aC1hZGRyZXNzPjx0aXRsZXM+PHRpdGxlPk1hdGVybmFs
IENhcmRpYWMgQWRhcHRhdGlvbnMgdG8gYSBQaHlzaWNhbCBFeGVyY2lzZSBQcm9ncmFtIGR1cmlu
ZyBQcmVnbmFuY3k8L3RpdGxlPjxzZWNvbmRhcnktdGl0bGU+TWVkIFNjaSBTcG9ydHMgRXhlcmM8
L3NlY29uZGFyeS10aXRsZT48L3RpdGxlcz48cGVyaW9kaWNhbD48ZnVsbC10aXRsZT5NZWQgU2Np
IFNwb3J0cyBFeGVyYzwvZnVsbC10aXRsZT48L3BlcmlvZGljYWw+PHBhZ2VzPjg5Ni05MDY8L3Bh
Z2VzPjx2b2x1bWU+NDg8L3ZvbHVtZT48bnVtYmVyPjU8L251bWJlcj48ZWRpdGlvbj4yMDE1LzEy
LzI0PC9lZGl0aW9uPjxrZXl3b3Jkcz48a2V5d29yZD5BZHVsdDwva2V5d29yZD48a2V5d29yZD5B
dHJpYWwgUmVtb2RlbGluZzwva2V5d29yZD48a2V5d29yZD5DYXJkaW92YXNjdWxhciBEaXNlYXNl
cy9wcmV2ZW50aW9uICZhbXA7IGNvbnRyb2w8L2tleXdvcmQ+PGtleXdvcmQ+KkNhcmRpb3Zhc2N1
bGFyIFBoeXNpb2xvZ2ljYWwgUGhlbm9tZW5hPC9rZXl3b3JkPjxrZXl3b3JkPkRlcHJlc3Npb24v
cHJldmVudGlvbiAmYW1wOyBjb250cm9sPC9rZXl3b3JkPjxrZXl3b3JkPkVjaG9jYXJkaW9ncmFw
aHk8L2tleXdvcmQ+PGtleXdvcmQ+KkV4ZXJjaXNlPC9rZXl3b3JkPjxrZXl3b3JkPkZlbWFsZTwv
a2V5d29yZD48a2V5d29yZD5IZW1vZHluYW1pY3M8L2tleXdvcmQ+PGtleXdvcmQ+SHVtYW5zPC9r
ZXl3b3JkPjxrZXl3b3JkPlByZWduYW5jeS8qcGh5c2lvbG9neTwva2V5d29yZD48a2V5d29yZD5Q
cmVnbmFuY3kgT3V0Y29tZTwva2V5d29yZD48a2V5d29yZD5SaXNrIEZhY3RvcnM8L2tleXdvcmQ+
PGtleXdvcmQ+VmVudHJpY3VsYXIgRnVuY3Rpb24sIExlZnQ8L2tleXdvcmQ+PGtleXdvcmQ+VmVu
dHJpY3VsYXIgUmVtb2RlbGluZzwva2V5d29yZD48a2V5d29yZD5XZWlnaHQgR2Fpbjwva2V5d29y
ZD48L2tleXdvcmRzPjxkYXRlcz48eWVhcj4yMDE2PC95ZWFyPjxwdWItZGF0ZXM+PGRhdGU+TWF5
PC9kYXRlPjwvcHViLWRhdGVzPjwvZGF0ZXM+PGlzYm4+MTUzMC0wMzE1IChFbGVjdHJvbmljKSYj
eEQ7MDE5NS05MTMxIChMaW5raW5nKTwvaXNibj48YWNjZXNzaW9uLW51bT4yNjY5NDg0ODwvYWNj
ZXNzaW9uLW51bT48dXJscz48cmVsYXRlZC11cmxzPjx1cmw+aHR0cHM6Ly93d3cubmNiaS5ubG0u
bmloLmdvdi9wdWJtZWQvMjY2OTQ4NDg8L3VybD48L3JlbGF0ZWQtdXJscz48L3VybHM+PGVsZWN0
cm9uaWMtcmVzb3VyY2UtbnVtPjEwLjEyNDkvTVNTLjAwMDAwMDAwMDAwMDA4Mzc8L2VsZWN0cm9u
aWMtcmVzb3VyY2UtbnVtPjwvcmVjb3JkPjwvQ2l0ZT48L0VuZE5vdGU+
</w:fldData>
              </w:fldChar>
            </w:r>
            <w:r w:rsidR="002747EA">
              <w:instrText xml:space="preserve"> ADDIN EN.CITE </w:instrText>
            </w:r>
            <w:r w:rsidR="002747EA">
              <w:fldChar w:fldCharType="begin">
                <w:fldData xml:space="preserve">PEVuZE5vdGU+PENpdGU+PEF1dGhvcj5QZXJhbGVzPC9BdXRob3I+PFllYXI+MjAxNjwvWWVhcj48
UmVjTnVtPjEwNjY8L1JlY051bT48RGlzcGxheVRleHQ+PHN0eWxlIGZhY2U9InN1cGVyc2NyaXB0
IiBmb250PSJUcmVidWNoZXQgTVMiIHNpemU9IjkiPjI5Njwvc3R5bGU+PC9EaXNwbGF5VGV4dD48
cmVjb3JkPjxyZWMtbnVtYmVyPjEwNjY8L3JlYy1udW1iZXI+PGZvcmVpZ24ta2V5cz48a2V5IGFw
cD0iRU4iIGRiLWlkPSJleHZhc3JmeDJkdHJhb2VzYXN4cDJzenN4YTJkZjUwMjU5MngiIHRpbWVz
dGFtcD0iMTU0ODk5MDI5NiI+MTA2Njwva2V5PjwvZm9yZWlnbi1rZXlzPjxyZWYtdHlwZSBuYW1l
PSJKb3VybmFsIEFydGljbGUiPjE3PC9yZWYtdHlwZT48Y29udHJpYnV0b3JzPjxhdXRob3JzPjxh
dXRob3I+UGVyYWxlcywgTS48L2F1dGhvcj48YXV0aG9yPlNhbnRvcy1Mb3phbm8sIEEuPC9hdXRo
b3I+PGF1dGhvcj5TYW5jaGlzLUdvbWFyLCBGLjwvYXV0aG9yPjxhdXRob3I+THVhY2VzLCBNLjwv
YXV0aG9yPjxhdXRob3I+UGFyZWphLUdhbGVhbm8sIEguPC9hdXRob3I+PGF1dGhvcj5HYXJhdGFj
aGVhLCBOLjwvYXV0aG9yPjxhdXRob3I+QmFyYWthdCwgUi48L2F1dGhvcj48YXV0aG9yPkx1Y2lh
LCBBLjwvYXV0aG9yPjwvYXV0aG9ycz48L2NvbnRyaWJ1dG9ycz48YXV0aC1hZGRyZXNzPjFSZXNl
YXJjaCBJbnN0aXR1dGUgSG9zcGl0YWwgMTIgZGUgT2N0dWJyZSAoJmFwb3M7aSsxMiZhcG9zOyks
IE1hZHJpZCwgU1BBSU47IDJBRklQRSBSZXNlYXJjaCBHcm91cCwgRmFjdWx0eSBvZiBQaHlzaWNh
bCBBY3Rpdml0eSBhbmQgU3BvcnRzIFNjaWVuY2VzIElORUYsIFRlY2huaWNhbCBVbml2ZXJzaXR5
IG9mIE1hZHJpZCwgU1BBSU47IDNHSURGWVMsIERlcGFydG1lbnQgb2YgSGVhbHRoIFNjaWVuY2Vz
LCBFdXJvcGVhbiBVbml2ZXJzaXR5IE1pZ3VlbCBkZSBDZXJ2YW50ZXMsIFZhbGxhZG9saWQsIFNQ
QUlOOyA0RGVwYXJ0bWVudCBvZiBDYXJkaW9sb2d5LCBDYXJkaW92YXNjdWxhciBJbnN0aXR1dGUs
IEhvc3BpdGFsIENsaW5pY28gU2FuIENhcmxvcywgTWFkcmlkLCBTUEFJTjsgNVNjaG9vbCBvZiBE
b2N0b3JhdGUgU3R1ZGllcyBhbmQgUmVzZWFyY2gsIEV1cm9wZWFuIFVuaXZlcnNpdHksIE1hZHJp
ZCwgU1BBSU47IGFuZCA2RGVwYXJ0YW1lbnRvIGRlIEZpc2lhdHJpYSB5IEVuZmVybWVyaWEuIEZh
Y3VsdGFkIGRlIENpZW5jaWFzIGRlIGxhIFNhbHVkIHkgZGVsIERlcG9ydGUuIEluc3RpdHV0byBB
Z3JvYWxpbWVudGFyaW8gZGUgQXJhZ29uLUlBMiwgVW5pdmVyc2lkYWQgZGUgWmFyYWdvemEtQ0lU
QSwgWmFyYWdvemEsIFNQQUlOLjwvYXV0aC1hZGRyZXNzPjx0aXRsZXM+PHRpdGxlPk1hdGVybmFs
IENhcmRpYWMgQWRhcHRhdGlvbnMgdG8gYSBQaHlzaWNhbCBFeGVyY2lzZSBQcm9ncmFtIGR1cmlu
ZyBQcmVnbmFuY3k8L3RpdGxlPjxzZWNvbmRhcnktdGl0bGU+TWVkIFNjaSBTcG9ydHMgRXhlcmM8
L3NlY29uZGFyeS10aXRsZT48L3RpdGxlcz48cGVyaW9kaWNhbD48ZnVsbC10aXRsZT5NZWQgU2Np
IFNwb3J0cyBFeGVyYzwvZnVsbC10aXRsZT48L3BlcmlvZGljYWw+PHBhZ2VzPjg5Ni05MDY8L3Bh
Z2VzPjx2b2x1bWU+NDg8L3ZvbHVtZT48bnVtYmVyPjU8L251bWJlcj48ZWRpdGlvbj4yMDE1LzEy
LzI0PC9lZGl0aW9uPjxrZXl3b3Jkcz48a2V5d29yZD5BZHVsdDwva2V5d29yZD48a2V5d29yZD5B
dHJpYWwgUmVtb2RlbGluZzwva2V5d29yZD48a2V5d29yZD5DYXJkaW92YXNjdWxhciBEaXNlYXNl
cy9wcmV2ZW50aW9uICZhbXA7IGNvbnRyb2w8L2tleXdvcmQ+PGtleXdvcmQ+KkNhcmRpb3Zhc2N1
bGFyIFBoeXNpb2xvZ2ljYWwgUGhlbm9tZW5hPC9rZXl3b3JkPjxrZXl3b3JkPkRlcHJlc3Npb24v
cHJldmVudGlvbiAmYW1wOyBjb250cm9sPC9rZXl3b3JkPjxrZXl3b3JkPkVjaG9jYXJkaW9ncmFw
aHk8L2tleXdvcmQ+PGtleXdvcmQ+KkV4ZXJjaXNlPC9rZXl3b3JkPjxrZXl3b3JkPkZlbWFsZTwv
a2V5d29yZD48a2V5d29yZD5IZW1vZHluYW1pY3M8L2tleXdvcmQ+PGtleXdvcmQ+SHVtYW5zPC9r
ZXl3b3JkPjxrZXl3b3JkPlByZWduYW5jeS8qcGh5c2lvbG9neTwva2V5d29yZD48a2V5d29yZD5Q
cmVnbmFuY3kgT3V0Y29tZTwva2V5d29yZD48a2V5d29yZD5SaXNrIEZhY3RvcnM8L2tleXdvcmQ+
PGtleXdvcmQ+VmVudHJpY3VsYXIgRnVuY3Rpb24sIExlZnQ8L2tleXdvcmQ+PGtleXdvcmQ+VmVu
dHJpY3VsYXIgUmVtb2RlbGluZzwva2V5d29yZD48a2V5d29yZD5XZWlnaHQgR2Fpbjwva2V5d29y
ZD48L2tleXdvcmRzPjxkYXRlcz48eWVhcj4yMDE2PC95ZWFyPjxwdWItZGF0ZXM+PGRhdGU+TWF5
PC9kYXRlPjwvcHViLWRhdGVzPjwvZGF0ZXM+PGlzYm4+MTUzMC0wMzE1IChFbGVjdHJvbmljKSYj
eEQ7MDE5NS05MTMxIChMaW5raW5nKTwvaXNibj48YWNjZXNzaW9uLW51bT4yNjY5NDg0ODwvYWNj
ZXNzaW9uLW51bT48dXJscz48cmVsYXRlZC11cmxzPjx1cmw+aHR0cHM6Ly93d3cubmNiaS5ubG0u
bmloLmdvdi9wdWJtZWQvMjY2OTQ4NDg8L3VybD48L3JlbGF0ZWQtdXJscz48L3VybHM+PGVsZWN0
cm9uaWMtcmVzb3VyY2UtbnVtPjEwLjEyNDkvTVNTLjAwMDAwMDAwMDAwMDA4Mzc8L2VsZWN0cm9u
aWMtcmVzb3VyY2UtbnVtPjwvcmVjb3JkPjwvQ2l0ZT48L0VuZE5vdGU+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296</w:t>
            </w:r>
            <w:r w:rsidR="00616EE6">
              <w:fldChar w:fldCharType="end"/>
            </w:r>
          </w:p>
          <w:p w14:paraId="7EF9C594" w14:textId="77777777" w:rsidR="000B480F" w:rsidRPr="00C12274" w:rsidRDefault="000B480F" w:rsidP="00E70A06">
            <w:r w:rsidRPr="00C12274">
              <w:t xml:space="preserve">Spain </w:t>
            </w:r>
          </w:p>
          <w:p w14:paraId="7039FA31" w14:textId="4F1DB4C7" w:rsidR="000A1756" w:rsidRPr="00ED5084" w:rsidRDefault="000B480F" w:rsidP="00E70A06">
            <w:r w:rsidRPr="00C12274">
              <w:rPr>
                <w:rFonts w:ascii="Helvetica" w:hAnsi="Helvetica"/>
                <w:color w:val="2F2A2B"/>
                <w:sz w:val="15"/>
                <w:szCs w:val="15"/>
              </w:rPr>
              <w:t>NCT01723098</w:t>
            </w:r>
          </w:p>
        </w:tc>
        <w:tc>
          <w:tcPr>
            <w:tcW w:w="1670" w:type="dxa"/>
            <w:tcBorders>
              <w:left w:val="single" w:sz="4" w:space="0" w:color="3B3474"/>
              <w:right w:val="single" w:sz="4" w:space="0" w:color="3B3474"/>
            </w:tcBorders>
          </w:tcPr>
          <w:p w14:paraId="3D02B2CD" w14:textId="421A4EF3" w:rsidR="000A1756" w:rsidRDefault="000A1756" w:rsidP="00D424F3">
            <w:r>
              <w:t xml:space="preserve">Intervention </w:t>
            </w:r>
            <w:r w:rsidR="00F31781">
              <w:t>83</w:t>
            </w:r>
          </w:p>
          <w:p w14:paraId="7B401039" w14:textId="4D864283" w:rsidR="000A1756" w:rsidRPr="00ED5084" w:rsidRDefault="000A1756" w:rsidP="00F31781">
            <w:r>
              <w:t xml:space="preserve">Control </w:t>
            </w:r>
            <w:r w:rsidR="00F31781">
              <w:t>59</w:t>
            </w:r>
          </w:p>
        </w:tc>
        <w:tc>
          <w:tcPr>
            <w:tcW w:w="5395" w:type="dxa"/>
            <w:tcBorders>
              <w:left w:val="single" w:sz="4" w:space="0" w:color="3B3474"/>
              <w:right w:val="single" w:sz="4" w:space="0" w:color="3B3474"/>
            </w:tcBorders>
          </w:tcPr>
          <w:p w14:paraId="5E2ED8A9" w14:textId="3B9DB328" w:rsidR="000A1756" w:rsidRPr="00ED5084" w:rsidRDefault="000A1756" w:rsidP="00A07251">
            <w:r w:rsidRPr="00ED5084">
              <w:rPr>
                <w:b/>
              </w:rPr>
              <w:t xml:space="preserve">Aim: </w:t>
            </w:r>
            <w:r w:rsidRPr="00ED5084">
              <w:t>To examine the effects of pregnancy exercise on echocardiographic indicators of h</w:t>
            </w:r>
            <w:r>
              <w:t>a</w:t>
            </w:r>
            <w:r w:rsidR="008F0FE8">
              <w:t xml:space="preserve">emodynamics, </w:t>
            </w:r>
            <w:r w:rsidRPr="00ED5084">
              <w:t>cardiac remode</w:t>
            </w:r>
            <w:r>
              <w:t>l</w:t>
            </w:r>
            <w:r w:rsidRPr="00ED5084">
              <w:t>ling, left ventricular function, and cardiovascular disease risk factors.</w:t>
            </w:r>
          </w:p>
          <w:p w14:paraId="3885BD17" w14:textId="41AD136E" w:rsidR="000A1756" w:rsidRPr="00ED5084" w:rsidRDefault="000A1756" w:rsidP="00ED5084">
            <w:pPr>
              <w:rPr>
                <w:sz w:val="16"/>
                <w:szCs w:val="16"/>
                <w:vertAlign w:val="superscript"/>
              </w:rPr>
            </w:pPr>
            <w:r w:rsidRPr="00ED5084">
              <w:rPr>
                <w:b/>
              </w:rPr>
              <w:t>Population</w:t>
            </w:r>
            <w:r w:rsidRPr="00ED5084">
              <w:t>: Pregnant women with n</w:t>
            </w:r>
            <w:r w:rsidRPr="00ED5084">
              <w:rPr>
                <w:shd w:val="clear" w:color="auto" w:fill="FFFFFF"/>
              </w:rPr>
              <w:t>o obstetric complications, no serious medical condition preventing them from exercising safely,&lt;16 wk gestation and not exercising regularly for more than 30 min on 3 d·wk</w:t>
            </w:r>
            <w:r w:rsidRPr="00ED5084">
              <w:rPr>
                <w:sz w:val="16"/>
                <w:szCs w:val="16"/>
                <w:vertAlign w:val="superscript"/>
              </w:rPr>
              <w:t>−1.</w:t>
            </w:r>
            <w:r w:rsidR="000B480F">
              <w:rPr>
                <w:sz w:val="16"/>
                <w:szCs w:val="16"/>
                <w:vertAlign w:val="superscript"/>
              </w:rPr>
              <w:t xml:space="preserve"> </w:t>
            </w:r>
            <w:r w:rsidR="000B480F" w:rsidRPr="000B480F">
              <w:t>Mixed BMIs.</w:t>
            </w:r>
          </w:p>
          <w:p w14:paraId="04D82D4C" w14:textId="77777777" w:rsidR="007D4CC2" w:rsidRDefault="007D4CC2" w:rsidP="007D4CC2">
            <w:r w:rsidRPr="005E4EF9">
              <w:rPr>
                <w:b/>
              </w:rPr>
              <w:t>Intervention</w:t>
            </w:r>
            <w:r>
              <w:rPr>
                <w:b/>
              </w:rPr>
              <w:t>:</w:t>
            </w:r>
          </w:p>
          <w:p w14:paraId="744E79D3" w14:textId="77777777" w:rsidR="007D4CC2" w:rsidRPr="00C45716" w:rsidRDefault="007D4CC2" w:rsidP="007D4CC2">
            <w:pPr>
              <w:pStyle w:val="bullet"/>
            </w:pPr>
            <w:r w:rsidRPr="00C45716">
              <w:rPr>
                <w:i/>
              </w:rPr>
              <w:t>Supervised</w:t>
            </w:r>
            <w:r w:rsidRPr="00C45716">
              <w:t xml:space="preserve">: </w:t>
            </w:r>
            <w:r>
              <w:t>Yes</w:t>
            </w:r>
          </w:p>
          <w:p w14:paraId="0ECEB6D1" w14:textId="77777777" w:rsidR="000B480F" w:rsidRPr="007D4CC2" w:rsidRDefault="007D4CC2" w:rsidP="000B480F">
            <w:pPr>
              <w:pStyle w:val="bullet"/>
            </w:pPr>
            <w:r w:rsidRPr="00C45716">
              <w:rPr>
                <w:i/>
              </w:rPr>
              <w:t>Type and duration</w:t>
            </w:r>
            <w:r w:rsidRPr="00C45716">
              <w:t xml:space="preserve">: </w:t>
            </w:r>
            <w:r w:rsidR="000B480F">
              <w:t xml:space="preserve">Aerobic and resistance; </w:t>
            </w:r>
            <w:r w:rsidR="000B480F" w:rsidRPr="00C12274">
              <w:t>Dance, muscle strengthening</w:t>
            </w:r>
            <w:r w:rsidR="000B480F">
              <w:t xml:space="preserve">; </w:t>
            </w:r>
            <w:r w:rsidR="000B480F" w:rsidRPr="00C12274">
              <w:t>55-60 min, 3 times a week from week 9-11 to 39-40</w:t>
            </w:r>
            <w:r w:rsidR="000B480F">
              <w:t>.</w:t>
            </w:r>
          </w:p>
          <w:p w14:paraId="63BB6699" w14:textId="2B4818EA" w:rsidR="000A1756" w:rsidRPr="00ED5084" w:rsidRDefault="000B480F" w:rsidP="000B480F">
            <w:pPr>
              <w:pStyle w:val="bullet"/>
            </w:pPr>
            <w:r w:rsidRPr="00C45716">
              <w:rPr>
                <w:i/>
              </w:rPr>
              <w:t>Intensity</w:t>
            </w:r>
            <w:r w:rsidRPr="00C45716">
              <w:t xml:space="preserve">: </w:t>
            </w:r>
            <w:r w:rsidRPr="00C12274">
              <w:t>Light to moderate; 55-60% maximal HR</w:t>
            </w:r>
            <w:r>
              <w:t>.</w:t>
            </w:r>
          </w:p>
        </w:tc>
        <w:tc>
          <w:tcPr>
            <w:tcW w:w="5953" w:type="dxa"/>
            <w:tcBorders>
              <w:left w:val="single" w:sz="4" w:space="0" w:color="3B3474"/>
              <w:right w:val="single" w:sz="4" w:space="0" w:color="3B3474"/>
            </w:tcBorders>
          </w:tcPr>
          <w:p w14:paraId="26D263CE" w14:textId="77777777" w:rsidR="000A1756" w:rsidRDefault="000A1756" w:rsidP="00ED5084">
            <w:r>
              <w:t>Intervention vs control:</w:t>
            </w:r>
          </w:p>
          <w:p w14:paraId="535E8ADB" w14:textId="4FA2F1FA" w:rsidR="000A1756" w:rsidRPr="00ED5084" w:rsidRDefault="00A65B49" w:rsidP="00597AEA">
            <w:pPr>
              <w:pStyle w:val="bullet"/>
            </w:pPr>
            <w:r>
              <w:t>Weight gain &gt;IOM guidelines</w:t>
            </w:r>
            <w:r w:rsidR="000A1756">
              <w:t xml:space="preserve">: 15 (18%) vs 23 (40%) </w:t>
            </w:r>
            <w:r w:rsidR="000A1756" w:rsidRPr="00ED5084">
              <w:rPr>
                <w:b/>
              </w:rPr>
              <w:t>p=0.005</w:t>
            </w:r>
          </w:p>
          <w:p w14:paraId="6D01D051" w14:textId="20DAFBD3" w:rsidR="000A1756" w:rsidRDefault="00133B96" w:rsidP="00597AEA">
            <w:pPr>
              <w:pStyle w:val="bullet"/>
            </w:pPr>
            <w:r>
              <w:t>Gestational h</w:t>
            </w:r>
            <w:r w:rsidR="000A1756">
              <w:t>ypertension 34 wks: 2 (2%) vs 3 (5%) p=0.649</w:t>
            </w:r>
          </w:p>
          <w:p w14:paraId="4AB741C5" w14:textId="726669C8" w:rsidR="000A1756" w:rsidRDefault="00133B96" w:rsidP="00597AEA">
            <w:pPr>
              <w:pStyle w:val="bullet"/>
            </w:pPr>
            <w:r>
              <w:t>Gestational d</w:t>
            </w:r>
            <w:r w:rsidR="000A1756">
              <w:t>iabetes 24-28 wks: 5 (6%) vs 5 (8%) p=0.741</w:t>
            </w:r>
          </w:p>
          <w:p w14:paraId="275BDA38" w14:textId="657B0F31" w:rsidR="000A1756" w:rsidRPr="00ED5084" w:rsidRDefault="000A1756" w:rsidP="00597AEA">
            <w:pPr>
              <w:pStyle w:val="bullet"/>
            </w:pPr>
            <w:r>
              <w:t>CES-D score ≥16: 36-40 wks: 10 (12%) vs 16 (27%) p=0.029</w:t>
            </w:r>
          </w:p>
        </w:tc>
      </w:tr>
      <w:tr w:rsidR="000A1756" w:rsidRPr="00A652CB" w14:paraId="3B7CCAB6"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0839C876" w14:textId="6AD11311" w:rsidR="000B480F" w:rsidRPr="00C12274" w:rsidRDefault="000B480F" w:rsidP="00E70A06">
            <w:r>
              <w:rPr>
                <w:noProof/>
              </w:rPr>
              <w:t>Petrov Fieril et al 2015</w:t>
            </w:r>
            <w:r w:rsidR="00616EE6">
              <w:fldChar w:fldCharType="begin">
                <w:fldData xml:space="preserve">PEVuZE5vdGU+PENpdGU+PEF1dGhvcj5QZXRyb3YgRmllcmlsPC9BdXRob3I+PFllYXI+MjAxNTwv
WWVhcj48UmVjTnVtPjkzMjwvUmVjTnVtPjxEaXNwbGF5VGV4dD48c3R5bGUgZmFjZT0ic3VwZXJz
Y3JpcHQiIGZvbnQ9IlRyZWJ1Y2hldCBNUyIgc2l6ZT0iOSI+NDUzPC9zdHlsZT48L0Rpc3BsYXlU
ZXh0PjxyZWNvcmQ+PHJlYy1udW1iZXI+OTMyPC9yZWMtbnVtYmVyPjxmb3JlaWduLWtleXM+PGtl
eSBhcHA9IkVOIiBkYi1pZD0iZXh2YXNyZngyZHRyYW9lc2FzeHAyc3pzeGEyZGY1MDI1OTJ4IiB0
aW1lc3RhbXA9IjE1NDE1NDA5NTciPjkzMjwva2V5PjxrZXkgYXBwPSJFTldlYiIgZGItaWQ9IiI+
MDwva2V5PjwvZm9yZWlnbi1rZXlzPjxyZWYtdHlwZSBuYW1lPSJKb3VybmFsIEFydGljbGUiPjE3
PC9yZWYtdHlwZT48Y29udHJpYnV0b3JzPjxhdXRob3JzPjxhdXRob3I+UGV0cm92IEZpZXJpbCwg
Sy48L2F1dGhvcj48YXV0aG9yPkdsYW50eiwgQS48L2F1dGhvcj48YXV0aG9yPkZhZ2V2aWsgT2xz
ZW4sIE0uPC9hdXRob3I+PC9hdXRob3JzPjwvY29udHJpYnV0b3JzPjxhdXRoLWFkZHJlc3M+SW5z
dGl0dXRlIG9mIE5ldXJvc2NpZW5jZSBhbmQgUGh5c2lvbG9neSwgVW5pdmVyc2l0eSBvZiBHb3Ro
ZW5idXJnLCBHb3RoZW5idXJnLCBTd2VkZW4uPC9hdXRoLWFkZHJlc3M+PHRpdGxlcz48dGl0bGU+
VGhlIGVmZmljYWN5IG9mIG1vZGVyYXRlLXRvLXZpZ29yb3VzIHJlc2lzdGFuY2UgZXhlcmNpc2Ug
ZHVyaW5nIHByZWduYW5jeTogYSByYW5kb21pemVkIGNvbnRyb2xsZWQgdHJpYWw8L3RpdGxlPjxz
ZWNvbmRhcnktdGl0bGU+QWN0YSBPYnN0ZXQgR3luZWNvbCBTY2FuZDwvc2Vjb25kYXJ5LXRpdGxl
PjwvdGl0bGVzPjxwZXJpb2RpY2FsPjxmdWxsLXRpdGxlPkFjdGEgT2JzdGV0IEd5bmVjb2wgU2Nh
bmQ8L2Z1bGwtdGl0bGU+PC9wZXJpb2RpY2FsPjxwYWdlcz4zNS00MjwvcGFnZXM+PHZvbHVtZT45
NDwvdm9sdW1lPjxudW1iZXI+MTwvbnVtYmVyPjxlZGl0aW9uPjIwMTQvMTAvMDg8L2VkaXRpb24+
PGtleXdvcmRzPjxrZXl3b3JkPkFkdWx0PC9rZXl3b3JkPjxrZXl3b3JkPkJsb29kIFByZXNzdXJl
IERldGVybWluYXRpb24vbWV0aG9kczwva2V5d29yZD48a2V5d29yZD5GZW1hbGU8L2tleXdvcmQ+
PGtleXdvcmQ+R2VzdGF0aW9uYWwgQWdlPC9rZXl3b3JkPjxrZXl3b3JkPkhlYXJ0IFJhdGUvcGh5
c2lvbG9neTwva2V5d29yZD48a2V5d29yZD5IdW1hbnM8L2tleXdvcmQ+PGtleXdvcmQ+TW9uaXRv
cmluZywgUGh5c2lvbG9naWMvbWV0aG9kczwva2V5d29yZD48a2V5d29yZD5QaHlzaWNhbCBFbmR1
cmFuY2UvKnBoeXNpb2xvZ3k8L2tleXdvcmQ+PGtleXdvcmQ+UGh5c2ljYWwgRml0bmVzcy9waHlz
aW9sb2d5PC9rZXl3b3JkPjxrZXl3b3JkPlByZWduYW5jeTwva2V5d29yZD48a2V5d29yZD4qUHJl
Z25hbmN5IE91dGNvbWU8L2tleXdvcmQ+PGtleXdvcmQ+UHJvc3BlY3RpdmUgU3R1ZGllczwva2V5
d29yZD48a2V5d29yZD4qUXVhbGl0eSBvZiBMaWZlPC9rZXl3b3JkPjxrZXl3b3JkPlJlZmVyZW5j
ZSBWYWx1ZXM8L2tleXdvcmQ+PGtleXdvcmQ+UmVzaXN0YW5jZSBUcmFpbmluZy8qbWV0aG9kczwv
a2V5d29yZD48a2V5d29yZD5Td2VkZW48L2tleXdvcmQ+PGtleXdvcmQ+RXhlcmNpc2U8L2tleXdv
cmQ+PGtleXdvcmQ+cHVibGljIGhlYWx0aDwva2V5d29yZD48a2V5d29yZD5yYW5kb21pemVkIGNv
bnRyb2xsZWQgdHJpYWw8L2tleXdvcmQ+PC9rZXl3b3Jkcz48ZGF0ZXM+PHllYXI+MjAxNTwveWVh
cj48cHViLWRhdGVzPjxkYXRlPkphbjwvZGF0ZT48L3B1Yi1kYXRlcz48L2RhdGVzPjxpc2JuPjE2
MDAtMDQxMiAoRWxlY3Ryb25pYykmI3hEOzAwMDEtNjM0OSAoTGlua2luZyk8L2lzYm4+PGFjY2Vz
c2lvbi1udW0+MjUyODcyODI8L2FjY2Vzc2lvbi1udW0+PHVybHM+PHJlbGF0ZWQtdXJscz48dXJs
Pmh0dHBzOi8vd3d3Lm5jYmkubmxtLm5paC5nb3YvcHVibWVkLzI1Mjg3MjgyPC91cmw+PC9yZWxh
dGVkLXVybHM+PC91cmxzPjxlbGVjdHJvbmljLXJlc291cmNlLW51bT4xMC4xMTExL2FvZ3MuMTI1
MjU8L2VsZWN0cm9uaWMtcmVzb3VyY2UtbnVtPjwvcmVjb3JkPjwvQ2l0ZT48L0VuZE5vdGU+
</w:fldData>
              </w:fldChar>
            </w:r>
            <w:r w:rsidR="002747EA">
              <w:instrText xml:space="preserve"> ADDIN EN.CITE </w:instrText>
            </w:r>
            <w:r w:rsidR="002747EA">
              <w:fldChar w:fldCharType="begin">
                <w:fldData xml:space="preserve">PEVuZE5vdGU+PENpdGU+PEF1dGhvcj5QZXRyb3YgRmllcmlsPC9BdXRob3I+PFllYXI+MjAxNTwv
WWVhcj48UmVjTnVtPjkzMjwvUmVjTnVtPjxEaXNwbGF5VGV4dD48c3R5bGUgZmFjZT0ic3VwZXJz
Y3JpcHQiIGZvbnQ9IlRyZWJ1Y2hldCBNUyIgc2l6ZT0iOSI+NDUzPC9zdHlsZT48L0Rpc3BsYXlU
ZXh0PjxyZWNvcmQ+PHJlYy1udW1iZXI+OTMyPC9yZWMtbnVtYmVyPjxmb3JlaWduLWtleXM+PGtl
eSBhcHA9IkVOIiBkYi1pZD0iZXh2YXNyZngyZHRyYW9lc2FzeHAyc3pzeGEyZGY1MDI1OTJ4IiB0
aW1lc3RhbXA9IjE1NDE1NDA5NTciPjkzMjwva2V5PjxrZXkgYXBwPSJFTldlYiIgZGItaWQ9IiI+
MDwva2V5PjwvZm9yZWlnbi1rZXlzPjxyZWYtdHlwZSBuYW1lPSJKb3VybmFsIEFydGljbGUiPjE3
PC9yZWYtdHlwZT48Y29udHJpYnV0b3JzPjxhdXRob3JzPjxhdXRob3I+UGV0cm92IEZpZXJpbCwg
Sy48L2F1dGhvcj48YXV0aG9yPkdsYW50eiwgQS48L2F1dGhvcj48YXV0aG9yPkZhZ2V2aWsgT2xz
ZW4sIE0uPC9hdXRob3I+PC9hdXRob3JzPjwvY29udHJpYnV0b3JzPjxhdXRoLWFkZHJlc3M+SW5z
dGl0dXRlIG9mIE5ldXJvc2NpZW5jZSBhbmQgUGh5c2lvbG9neSwgVW5pdmVyc2l0eSBvZiBHb3Ro
ZW5idXJnLCBHb3RoZW5idXJnLCBTd2VkZW4uPC9hdXRoLWFkZHJlc3M+PHRpdGxlcz48dGl0bGU+
VGhlIGVmZmljYWN5IG9mIG1vZGVyYXRlLXRvLXZpZ29yb3VzIHJlc2lzdGFuY2UgZXhlcmNpc2Ug
ZHVyaW5nIHByZWduYW5jeTogYSByYW5kb21pemVkIGNvbnRyb2xsZWQgdHJpYWw8L3RpdGxlPjxz
ZWNvbmRhcnktdGl0bGU+QWN0YSBPYnN0ZXQgR3luZWNvbCBTY2FuZDwvc2Vjb25kYXJ5LXRpdGxl
PjwvdGl0bGVzPjxwZXJpb2RpY2FsPjxmdWxsLXRpdGxlPkFjdGEgT2JzdGV0IEd5bmVjb2wgU2Nh
bmQ8L2Z1bGwtdGl0bGU+PC9wZXJpb2RpY2FsPjxwYWdlcz4zNS00MjwvcGFnZXM+PHZvbHVtZT45
NDwvdm9sdW1lPjxudW1iZXI+MTwvbnVtYmVyPjxlZGl0aW9uPjIwMTQvMTAvMDg8L2VkaXRpb24+
PGtleXdvcmRzPjxrZXl3b3JkPkFkdWx0PC9rZXl3b3JkPjxrZXl3b3JkPkJsb29kIFByZXNzdXJl
IERldGVybWluYXRpb24vbWV0aG9kczwva2V5d29yZD48a2V5d29yZD5GZW1hbGU8L2tleXdvcmQ+
PGtleXdvcmQ+R2VzdGF0aW9uYWwgQWdlPC9rZXl3b3JkPjxrZXl3b3JkPkhlYXJ0IFJhdGUvcGh5
c2lvbG9neTwva2V5d29yZD48a2V5d29yZD5IdW1hbnM8L2tleXdvcmQ+PGtleXdvcmQ+TW9uaXRv
cmluZywgUGh5c2lvbG9naWMvbWV0aG9kczwva2V5d29yZD48a2V5d29yZD5QaHlzaWNhbCBFbmR1
cmFuY2UvKnBoeXNpb2xvZ3k8L2tleXdvcmQ+PGtleXdvcmQ+UGh5c2ljYWwgRml0bmVzcy9waHlz
aW9sb2d5PC9rZXl3b3JkPjxrZXl3b3JkPlByZWduYW5jeTwva2V5d29yZD48a2V5d29yZD4qUHJl
Z25hbmN5IE91dGNvbWU8L2tleXdvcmQ+PGtleXdvcmQ+UHJvc3BlY3RpdmUgU3R1ZGllczwva2V5
d29yZD48a2V5d29yZD4qUXVhbGl0eSBvZiBMaWZlPC9rZXl3b3JkPjxrZXl3b3JkPlJlZmVyZW5j
ZSBWYWx1ZXM8L2tleXdvcmQ+PGtleXdvcmQ+UmVzaXN0YW5jZSBUcmFpbmluZy8qbWV0aG9kczwv
a2V5d29yZD48a2V5d29yZD5Td2VkZW48L2tleXdvcmQ+PGtleXdvcmQ+RXhlcmNpc2U8L2tleXdv
cmQ+PGtleXdvcmQ+cHVibGljIGhlYWx0aDwva2V5d29yZD48a2V5d29yZD5yYW5kb21pemVkIGNv
bnRyb2xsZWQgdHJpYWw8L2tleXdvcmQ+PC9rZXl3b3Jkcz48ZGF0ZXM+PHllYXI+MjAxNTwveWVh
cj48cHViLWRhdGVzPjxkYXRlPkphbjwvZGF0ZT48L3B1Yi1kYXRlcz48L2RhdGVzPjxpc2JuPjE2
MDAtMDQxMiAoRWxlY3Ryb25pYykmI3hEOzAwMDEtNjM0OSAoTGlua2luZyk8L2lzYm4+PGFjY2Vz
c2lvbi1udW0+MjUyODcyODI8L2FjY2Vzc2lvbi1udW0+PHVybHM+PHJlbGF0ZWQtdXJscz48dXJs
Pmh0dHBzOi8vd3d3Lm5jYmkubmxtLm5paC5nb3YvcHVibWVkLzI1Mjg3MjgyPC91cmw+PC9yZWxh
dGVkLXVybHM+PC91cmxzPjxlbGVjdHJvbmljLXJlc291cmNlLW51bT4xMC4xMTExL2FvZ3MuMTI1
MjU8L2VsZWN0cm9uaWMtcmVzb3VyY2UtbnVtPjwvcmVjb3JkPjwvQ2l0ZT48L0VuZE5vdGU+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453</w:t>
            </w:r>
            <w:r w:rsidR="00616EE6">
              <w:fldChar w:fldCharType="end"/>
            </w:r>
          </w:p>
          <w:p w14:paraId="220ECEFB" w14:textId="2BCC17AF" w:rsidR="000A1756" w:rsidRPr="00FC4520" w:rsidRDefault="000B480F" w:rsidP="00E70A06">
            <w:r w:rsidRPr="00C12274">
              <w:t>Sweden</w:t>
            </w:r>
          </w:p>
        </w:tc>
        <w:tc>
          <w:tcPr>
            <w:tcW w:w="1670" w:type="dxa"/>
            <w:tcBorders>
              <w:left w:val="single" w:sz="4" w:space="0" w:color="3B3474"/>
              <w:right w:val="single" w:sz="4" w:space="0" w:color="3B3474"/>
            </w:tcBorders>
          </w:tcPr>
          <w:p w14:paraId="3711B39B" w14:textId="34A49914" w:rsidR="000A1756" w:rsidRPr="00FC4520" w:rsidRDefault="000A1756" w:rsidP="00D424F3">
            <w:r w:rsidRPr="00FC4520">
              <w:t xml:space="preserve">Intervention </w:t>
            </w:r>
            <w:r w:rsidR="00EA2DBD">
              <w:t>38</w:t>
            </w:r>
          </w:p>
          <w:p w14:paraId="2D2740A9" w14:textId="4AD25823" w:rsidR="000A1756" w:rsidRPr="00FC4520" w:rsidRDefault="000A1756" w:rsidP="00EA2DBD">
            <w:r w:rsidRPr="00FC4520">
              <w:t xml:space="preserve">Control </w:t>
            </w:r>
            <w:r w:rsidR="00EA2DBD">
              <w:t>34</w:t>
            </w:r>
          </w:p>
        </w:tc>
        <w:tc>
          <w:tcPr>
            <w:tcW w:w="5395" w:type="dxa"/>
            <w:tcBorders>
              <w:left w:val="single" w:sz="4" w:space="0" w:color="3B3474"/>
              <w:right w:val="single" w:sz="4" w:space="0" w:color="3B3474"/>
            </w:tcBorders>
          </w:tcPr>
          <w:p w14:paraId="1FE0B327" w14:textId="77777777" w:rsidR="000A1756" w:rsidRPr="00FC4520" w:rsidRDefault="000A1756" w:rsidP="00FE2FBE">
            <w:r w:rsidRPr="00FC4520">
              <w:rPr>
                <w:b/>
              </w:rPr>
              <w:t>Aim</w:t>
            </w:r>
            <w:r w:rsidRPr="00FC4520">
              <w:t xml:space="preserve">: To assess the effect and safety of moderate-to-vigorous resistance exercise during pregnancy. </w:t>
            </w:r>
          </w:p>
          <w:p w14:paraId="3F552B06" w14:textId="4FB54C9F" w:rsidR="000A1756" w:rsidRPr="00FC4520" w:rsidRDefault="000A1756" w:rsidP="00FE2FBE">
            <w:r w:rsidRPr="00FC4520">
              <w:rPr>
                <w:b/>
              </w:rPr>
              <w:t>Population</w:t>
            </w:r>
            <w:r w:rsidRPr="00FC4520">
              <w:t xml:space="preserve">: Healthy pregnant women. </w:t>
            </w:r>
            <w:r w:rsidR="000B480F">
              <w:t>Mixed BMIs.</w:t>
            </w:r>
          </w:p>
          <w:p w14:paraId="1EE41422" w14:textId="77777777" w:rsidR="007D4CC2" w:rsidRDefault="007D4CC2" w:rsidP="007D4CC2">
            <w:r w:rsidRPr="005E4EF9">
              <w:rPr>
                <w:b/>
              </w:rPr>
              <w:t>Intervention</w:t>
            </w:r>
            <w:r>
              <w:rPr>
                <w:b/>
              </w:rPr>
              <w:t>:</w:t>
            </w:r>
          </w:p>
          <w:p w14:paraId="2EE51779" w14:textId="77777777" w:rsidR="007D4CC2" w:rsidRPr="00C45716" w:rsidRDefault="007D4CC2" w:rsidP="007D4CC2">
            <w:pPr>
              <w:pStyle w:val="bullet"/>
            </w:pPr>
            <w:r w:rsidRPr="00C45716">
              <w:rPr>
                <w:i/>
              </w:rPr>
              <w:t>Supervised</w:t>
            </w:r>
            <w:r w:rsidRPr="00C45716">
              <w:t xml:space="preserve">: </w:t>
            </w:r>
            <w:r>
              <w:t>Yes</w:t>
            </w:r>
          </w:p>
          <w:p w14:paraId="25C23C80" w14:textId="281695E9" w:rsidR="007D4CC2" w:rsidRPr="007D4CC2" w:rsidRDefault="007D4CC2" w:rsidP="000B480F">
            <w:pPr>
              <w:pStyle w:val="bullet"/>
            </w:pPr>
            <w:r w:rsidRPr="00C45716">
              <w:rPr>
                <w:i/>
              </w:rPr>
              <w:t>Type and duration</w:t>
            </w:r>
            <w:r w:rsidRPr="00C45716">
              <w:t xml:space="preserve">: </w:t>
            </w:r>
            <w:r w:rsidR="000B480F">
              <w:t>R</w:t>
            </w:r>
            <w:r>
              <w:t xml:space="preserve">esistance; </w:t>
            </w:r>
            <w:r w:rsidR="000B480F" w:rsidRPr="00C12274">
              <w:t>Weight training</w:t>
            </w:r>
            <w:r>
              <w:t xml:space="preserve">; </w:t>
            </w:r>
            <w:r w:rsidR="000B480F" w:rsidRPr="00C12274">
              <w:t>60 min, 2 times a week from week 14 to 25</w:t>
            </w:r>
            <w:r>
              <w:t>.</w:t>
            </w:r>
          </w:p>
          <w:p w14:paraId="55E86630" w14:textId="2CF99489" w:rsidR="000A1756" w:rsidRPr="00FC4520" w:rsidRDefault="007D4CC2" w:rsidP="000B480F">
            <w:pPr>
              <w:pStyle w:val="bullet"/>
              <w:rPr>
                <w:b/>
              </w:rPr>
            </w:pPr>
            <w:r w:rsidRPr="00C45716">
              <w:rPr>
                <w:i/>
              </w:rPr>
              <w:t>Intensity</w:t>
            </w:r>
            <w:r w:rsidRPr="00C45716">
              <w:t xml:space="preserve">: </w:t>
            </w:r>
            <w:r w:rsidR="000B480F" w:rsidRPr="00C12274">
              <w:t>Moderate to vigorous; Borg scale rating not described</w:t>
            </w:r>
            <w:r>
              <w:t>.</w:t>
            </w:r>
          </w:p>
        </w:tc>
        <w:tc>
          <w:tcPr>
            <w:tcW w:w="5953" w:type="dxa"/>
            <w:tcBorders>
              <w:left w:val="single" w:sz="4" w:space="0" w:color="3B3474"/>
              <w:right w:val="single" w:sz="4" w:space="0" w:color="3B3474"/>
            </w:tcBorders>
          </w:tcPr>
          <w:p w14:paraId="479B98FC" w14:textId="77777777" w:rsidR="000A1756" w:rsidRPr="00FC4520" w:rsidRDefault="000A1756" w:rsidP="00FE2FBE">
            <w:r w:rsidRPr="00FC4520">
              <w:t>Intervention vs control:</w:t>
            </w:r>
          </w:p>
          <w:p w14:paraId="4FA534A0" w14:textId="38A935BE" w:rsidR="000A1756" w:rsidRPr="00FC4520" w:rsidRDefault="000A1756" w:rsidP="00FE2FBE">
            <w:pPr>
              <w:pStyle w:val="bullet"/>
            </w:pPr>
            <w:r w:rsidRPr="00FC4520">
              <w:t>Caesarean section: 5 (14%) vs 5 (15%)</w:t>
            </w:r>
          </w:p>
        </w:tc>
      </w:tr>
      <w:tr w:rsidR="000A1756" w:rsidRPr="00A652CB" w14:paraId="706628C0"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B4ADEE6" w14:textId="554C36CB" w:rsidR="000B480F" w:rsidRPr="00C12274" w:rsidRDefault="000B480F" w:rsidP="00E70A06">
            <w:r>
              <w:rPr>
                <w:noProof/>
              </w:rPr>
              <w:t>Pinzon et al 2012</w:t>
            </w:r>
            <w:r w:rsidR="00616EE6">
              <w:fldChar w:fldCharType="begin">
                <w:fldData xml:space="preserve">PEVuZE5vdGU+PENpdGU+PEF1dGhvcj5QaW56b248L0F1dGhvcj48WWVhcj4yMDEyPC9ZZWFyPjxS
ZWNOdW0+MTA0NzwvUmVjTnVtPjxEaXNwbGF5VGV4dD48c3R5bGUgZmFjZT0ic3VwZXJzY3JpcHQi
IGZvbnQ9IlRyZWJ1Y2hldCBNUyIgc2l6ZT0iOSI+NDQxPC9zdHlsZT48L0Rpc3BsYXlUZXh0Pjxy
ZWNvcmQ+PHJlYy1udW1iZXI+MTA0NzwvcmVjLW51bWJlcj48Zm9yZWlnbi1rZXlzPjxrZXkgYXBw
PSJFTiIgZGItaWQ9ImV4dmFzcmZ4MmR0cmFvZXNhc3hwMnN6c3hhMmRmNTAyNTkyeCIgdGltZXN0
YW1wPSIxNTQ4OTgzNDc2Ij4xMDQ3PC9rZXk+PC9mb3JlaWduLWtleXM+PHJlZi10eXBlIG5hbWU9
IkpvdXJuYWwgQXJ0aWNsZSI+MTc8L3JlZi10eXBlPjxjb250cmlidXRvcnM+PGF1dGhvcnM+PGF1
dGhvcj5QaW56b24sIEQuIEMuPC9hdXRob3I+PGF1dGhvcj5aYW1vcmEsIEsuPC9hdXRob3I+PGF1
dGhvcj5NYXJ0aW5leiwgSi4gSC48L2F1dGhvcj48YXV0aG9yPkZsb3Jlei1Mb3BleiwgTS4gRS48
L2F1dGhvcj48YXV0aG9yPmRlIFBsYXRhLCBBLiBDLjwvYXV0aG9yPjxhdXRob3I+TW9zcXVlcmEs
IE0uPC9hdXRob3I+PGF1dGhvcj5SYW1pcmV6LVZlbGV6LCBSLjwvYXV0aG9yPjwvYXV0aG9ycz48
L2NvbnRyaWJ1dG9ycz48YXV0aC1hZGRyZXNzPlByb2dyYW1hIGRlIEZpc2lvdGVyYXBpYSwgRnVu
ZGFjaW9uIFVuaXZlcnNpdGFyaWEgTWFyaWEgQ2FubywgQ2FsaSwgQ29sb21iaWEuJiN4RDtGYWN1
bHRhZCBkZSBFbmZlcm1lcmlhIHkgUmVoYWJpbGl0YWNpb24sIFVuaXZlcnNpZGFkIGRlIGxhIFNh
YmFuYSwgQ2hpYSwgQ29sb21iaWEuJiN4RDtHcnVwbyBkZSBOdXRyaWNpb24sIERlcGFydGFtZW50
byBkZSBDaWVuY2lhcyBGaXNpb2xvZ2ljYXMsIEVzY3VlbGEgZGUgQ2llbmNpYXMgQmFzaWNhcywg
VW5pdmVyc2lkYWQgZGVsIFZhbGxlLCBDYWxpLCBDb2xvbWJpYS4mI3hEO0dydXBvIEdJQ0FFRFMs
IEZhY3VsdGFkIGRlIEN1bHR1cmEgRmlzaWNhLCBEZXBvcnRlIHkgUmVjcmVhY2lvbiwgVW5pdmVy
c2lkYWQgU2FudG9vIFRvbWFzLjwvYXV0aC1hZGRyZXNzPjx0aXRsZXM+PHRpdGxlPlR5cGUgb2Yg
ZGVsaXZlcnkgYW5kIGdlc3RhdGlvbmFsIGFnZSBpcyBub3QgYWZmZWN0ZWQgYnkgcHJlZ25hbnQg
TGF0aW4tQW1lcmljYW4gd29tZW4gZW5nYWdpbmcgaW4gdmlnb3JvdXMgZXhlcmNpc2U6IGEgc2Vj
b25kYXJ5IGFuYWx5c2lzIG9mIGRhdGEgZnJvbSBhIGNvbnRyb2xsZWQgcmFuZG9taXplZCB0cmlh
bDwvdGl0bGU+PHNlY29uZGFyeS10aXRsZT5SZXYgU2FsdWQgUHVibGljYSAoQm9nb3RhKTwvc2Vj
b25kYXJ5LXRpdGxlPjwvdGl0bGVzPjxwZXJpb2RpY2FsPjxmdWxsLXRpdGxlPlJldiBTYWx1ZCBQ
dWJsaWNhIChCb2dvdGEpPC9mdWxsLXRpdGxlPjwvcGVyaW9kaWNhbD48cGFnZXM+NzMxLTQzPC9w
YWdlcz48dm9sdW1lPjE0PC92b2x1bWU+PG51bWJlcj41PC9udW1iZXI+PGVkaXRpb24+MjAxMi8x
MC8wMTwvZWRpdGlvbj48a2V5d29yZHM+PGtleXdvcmQ+QWR1bHQ8L2tleXdvcmQ+PGtleXdvcmQ+
QW50aHJvcG9tZXRyeTwva2V5d29yZD48a2V5d29yZD5BcGdhciBTY29yZTwva2V5d29yZD48a2V5
d29yZD5CaXJ0aCBXZWlnaHQ8L2tleXdvcmQ+PGtleXdvcmQ+Qmxvb2QgUHJlc3N1cmU8L2tleXdv
cmQ+PGtleXdvcmQ+Qm9keSBXZWlnaHQ8L2tleXdvcmQ+PGtleXdvcmQ+Q29sb21iaWE8L2tleXdv
cmQ+PGtleXdvcmQ+RGVsaXZlcnksIE9ic3RldHJpYy8qc3RhdGlzdGljcyAmYW1wOyBudW1lcmlj
YWwgZGF0YTwva2V5d29yZD48a2V5d29yZD4qRXhlcmNpc2U8L2tleXdvcmQ+PGtleXdvcmQ+RmVt
YWxlPC9rZXl3b3JkPjxrZXl3b3JkPipHZXN0YXRpb25hbCBBZ2U8L2tleXdvcmQ+PGtleXdvcmQ+
SG9zcGl0YWxzLCBNYXRlcm5pdHk8L2tleXdvcmQ+PGtleXdvcmQ+SHVtYW5zPC9rZXl3b3JkPjxr
ZXl3b3JkPkluZmFudCwgTmV3Ym9ybjwva2V5d29yZD48a2V5d29yZD5QcmVnbmFuY3kvKnBoeXNp
b2xvZ3k8L2tleXdvcmQ+PGtleXdvcmQ+UHJlZ25hbmN5IE91dGNvbWU8L2tleXdvcmQ+PGtleXdv
cmQ+UHJlbmF0YWwgQ2FyZTwva2V5d29yZD48a2V5d29yZD5SYW5kb21pemVkIENvbnRyb2xsZWQg
VHJpYWxzIGFzIFRvcGljPC9rZXl3b3JkPjxrZXl3b3JkPlNvY2lvZWNvbm9taWMgRmFjdG9yczwv
a2V5d29yZD48a2V5d29yZD5UZXJ0aWFyeSBDYXJlIENlbnRlcnM8L2tleXdvcmQ+PGtleXdvcmQ+
V2VpZ2h0IEdhaW48L2tleXdvcmQ+PGtleXdvcmQ+WW91bmcgQWR1bHQ8L2tleXdvcmQ+PC9rZXl3
b3Jkcz48ZGF0ZXM+PHllYXI+MjAxMjwveWVhcj48cHViLWRhdGVzPjxkYXRlPk9jdDwvZGF0ZT48
L3B1Yi1kYXRlcz48L2RhdGVzPjxpc2JuPjAxMjQtMDA2NCAoUHJpbnQpJiN4RDswMTI0LTAwNjQg
KExpbmtpbmcpPC9pc2JuPjxhY2Nlc3Npb24tbnVtPjI0NjUyMzUzPC9hY2Nlc3Npb24tbnVtPjx1
cmxzPjxyZWxhdGVkLXVybHM+PHVybD5odHRwczovL3d3dy5uY2JpLm5sbS5uaWguZ292L3B1Ym1l
ZC8yNDY1MjM1MzwvdXJsPjwvcmVsYXRlZC11cmxzPjwvdXJscz48L3JlY29yZD48L0NpdGU+PC9F
bmROb3RlPn==
</w:fldData>
              </w:fldChar>
            </w:r>
            <w:r w:rsidR="002747EA">
              <w:instrText xml:space="preserve"> ADDIN EN.CITE </w:instrText>
            </w:r>
            <w:r w:rsidR="002747EA">
              <w:fldChar w:fldCharType="begin">
                <w:fldData xml:space="preserve">PEVuZE5vdGU+PENpdGU+PEF1dGhvcj5QaW56b248L0F1dGhvcj48WWVhcj4yMDEyPC9ZZWFyPjxS
ZWNOdW0+MTA0NzwvUmVjTnVtPjxEaXNwbGF5VGV4dD48c3R5bGUgZmFjZT0ic3VwZXJzY3JpcHQi
IGZvbnQ9IlRyZWJ1Y2hldCBNUyIgc2l6ZT0iOSI+NDQxPC9zdHlsZT48L0Rpc3BsYXlUZXh0Pjxy
ZWNvcmQ+PHJlYy1udW1iZXI+MTA0NzwvcmVjLW51bWJlcj48Zm9yZWlnbi1rZXlzPjxrZXkgYXBw
PSJFTiIgZGItaWQ9ImV4dmFzcmZ4MmR0cmFvZXNhc3hwMnN6c3hhMmRmNTAyNTkyeCIgdGltZXN0
YW1wPSIxNTQ4OTgzNDc2Ij4xMDQ3PC9rZXk+PC9mb3JlaWduLWtleXM+PHJlZi10eXBlIG5hbWU9
IkpvdXJuYWwgQXJ0aWNsZSI+MTc8L3JlZi10eXBlPjxjb250cmlidXRvcnM+PGF1dGhvcnM+PGF1
dGhvcj5QaW56b24sIEQuIEMuPC9hdXRob3I+PGF1dGhvcj5aYW1vcmEsIEsuPC9hdXRob3I+PGF1
dGhvcj5NYXJ0aW5leiwgSi4gSC48L2F1dGhvcj48YXV0aG9yPkZsb3Jlei1Mb3BleiwgTS4gRS48
L2F1dGhvcj48YXV0aG9yPmRlIFBsYXRhLCBBLiBDLjwvYXV0aG9yPjxhdXRob3I+TW9zcXVlcmEs
IE0uPC9hdXRob3I+PGF1dGhvcj5SYW1pcmV6LVZlbGV6LCBSLjwvYXV0aG9yPjwvYXV0aG9ycz48
L2NvbnRyaWJ1dG9ycz48YXV0aC1hZGRyZXNzPlByb2dyYW1hIGRlIEZpc2lvdGVyYXBpYSwgRnVu
ZGFjaW9uIFVuaXZlcnNpdGFyaWEgTWFyaWEgQ2FubywgQ2FsaSwgQ29sb21iaWEuJiN4RDtGYWN1
bHRhZCBkZSBFbmZlcm1lcmlhIHkgUmVoYWJpbGl0YWNpb24sIFVuaXZlcnNpZGFkIGRlIGxhIFNh
YmFuYSwgQ2hpYSwgQ29sb21iaWEuJiN4RDtHcnVwbyBkZSBOdXRyaWNpb24sIERlcGFydGFtZW50
byBkZSBDaWVuY2lhcyBGaXNpb2xvZ2ljYXMsIEVzY3VlbGEgZGUgQ2llbmNpYXMgQmFzaWNhcywg
VW5pdmVyc2lkYWQgZGVsIFZhbGxlLCBDYWxpLCBDb2xvbWJpYS4mI3hEO0dydXBvIEdJQ0FFRFMs
IEZhY3VsdGFkIGRlIEN1bHR1cmEgRmlzaWNhLCBEZXBvcnRlIHkgUmVjcmVhY2lvbiwgVW5pdmVy
c2lkYWQgU2FudG9vIFRvbWFzLjwvYXV0aC1hZGRyZXNzPjx0aXRsZXM+PHRpdGxlPlR5cGUgb2Yg
ZGVsaXZlcnkgYW5kIGdlc3RhdGlvbmFsIGFnZSBpcyBub3QgYWZmZWN0ZWQgYnkgcHJlZ25hbnQg
TGF0aW4tQW1lcmljYW4gd29tZW4gZW5nYWdpbmcgaW4gdmlnb3JvdXMgZXhlcmNpc2U6IGEgc2Vj
b25kYXJ5IGFuYWx5c2lzIG9mIGRhdGEgZnJvbSBhIGNvbnRyb2xsZWQgcmFuZG9taXplZCB0cmlh
bDwvdGl0bGU+PHNlY29uZGFyeS10aXRsZT5SZXYgU2FsdWQgUHVibGljYSAoQm9nb3RhKTwvc2Vj
b25kYXJ5LXRpdGxlPjwvdGl0bGVzPjxwZXJpb2RpY2FsPjxmdWxsLXRpdGxlPlJldiBTYWx1ZCBQ
dWJsaWNhIChCb2dvdGEpPC9mdWxsLXRpdGxlPjwvcGVyaW9kaWNhbD48cGFnZXM+NzMxLTQzPC9w
YWdlcz48dm9sdW1lPjE0PC92b2x1bWU+PG51bWJlcj41PC9udW1iZXI+PGVkaXRpb24+MjAxMi8x
MC8wMTwvZWRpdGlvbj48a2V5d29yZHM+PGtleXdvcmQ+QWR1bHQ8L2tleXdvcmQ+PGtleXdvcmQ+
QW50aHJvcG9tZXRyeTwva2V5d29yZD48a2V5d29yZD5BcGdhciBTY29yZTwva2V5d29yZD48a2V5
d29yZD5CaXJ0aCBXZWlnaHQ8L2tleXdvcmQ+PGtleXdvcmQ+Qmxvb2QgUHJlc3N1cmU8L2tleXdv
cmQ+PGtleXdvcmQ+Qm9keSBXZWlnaHQ8L2tleXdvcmQ+PGtleXdvcmQ+Q29sb21iaWE8L2tleXdv
cmQ+PGtleXdvcmQ+RGVsaXZlcnksIE9ic3RldHJpYy8qc3RhdGlzdGljcyAmYW1wOyBudW1lcmlj
YWwgZGF0YTwva2V5d29yZD48a2V5d29yZD4qRXhlcmNpc2U8L2tleXdvcmQ+PGtleXdvcmQ+RmVt
YWxlPC9rZXl3b3JkPjxrZXl3b3JkPipHZXN0YXRpb25hbCBBZ2U8L2tleXdvcmQ+PGtleXdvcmQ+
SG9zcGl0YWxzLCBNYXRlcm5pdHk8L2tleXdvcmQ+PGtleXdvcmQ+SHVtYW5zPC9rZXl3b3JkPjxr
ZXl3b3JkPkluZmFudCwgTmV3Ym9ybjwva2V5d29yZD48a2V5d29yZD5QcmVnbmFuY3kvKnBoeXNp
b2xvZ3k8L2tleXdvcmQ+PGtleXdvcmQ+UHJlZ25hbmN5IE91dGNvbWU8L2tleXdvcmQ+PGtleXdv
cmQ+UHJlbmF0YWwgQ2FyZTwva2V5d29yZD48a2V5d29yZD5SYW5kb21pemVkIENvbnRyb2xsZWQg
VHJpYWxzIGFzIFRvcGljPC9rZXl3b3JkPjxrZXl3b3JkPlNvY2lvZWNvbm9taWMgRmFjdG9yczwv
a2V5d29yZD48a2V5d29yZD5UZXJ0aWFyeSBDYXJlIENlbnRlcnM8L2tleXdvcmQ+PGtleXdvcmQ+
V2VpZ2h0IEdhaW48L2tleXdvcmQ+PGtleXdvcmQ+WW91bmcgQWR1bHQ8L2tleXdvcmQ+PC9rZXl3
b3Jkcz48ZGF0ZXM+PHllYXI+MjAxMjwveWVhcj48cHViLWRhdGVzPjxkYXRlPk9jdDwvZGF0ZT48
L3B1Yi1kYXRlcz48L2RhdGVzPjxpc2JuPjAxMjQtMDA2NCAoUHJpbnQpJiN4RDswMTI0LTAwNjQg
KExpbmtpbmcpPC9pc2JuPjxhY2Nlc3Npb24tbnVtPjI0NjUyMzUzPC9hY2Nlc3Npb24tbnVtPjx1
cmxzPjxyZWxhdGVkLXVybHM+PHVybD5odHRwczovL3d3dy5uY2JpLm5sbS5uaWguZ292L3B1Ym1l
ZC8yNDY1MjM1MzwvdXJsPjwvcmVsYXRlZC11cmxzPjwvdXJscz48L3JlY29yZD48L0NpdGU+PC9F
bmROb3RlPn==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441</w:t>
            </w:r>
            <w:r w:rsidR="00616EE6">
              <w:fldChar w:fldCharType="end"/>
            </w:r>
          </w:p>
          <w:p w14:paraId="2DAE16D6" w14:textId="02560EC7" w:rsidR="000A1756" w:rsidRDefault="000B480F" w:rsidP="00E70A06">
            <w:r w:rsidRPr="00C12274">
              <w:t>Colombia</w:t>
            </w:r>
          </w:p>
        </w:tc>
        <w:tc>
          <w:tcPr>
            <w:tcW w:w="1670" w:type="dxa"/>
            <w:tcBorders>
              <w:left w:val="single" w:sz="4" w:space="0" w:color="3B3474"/>
              <w:right w:val="single" w:sz="4" w:space="0" w:color="3B3474"/>
            </w:tcBorders>
          </w:tcPr>
          <w:p w14:paraId="2B0694D3" w14:textId="77777777" w:rsidR="000A1756" w:rsidRDefault="000A1756" w:rsidP="00D424F3">
            <w:r>
              <w:t>Intervention 18</w:t>
            </w:r>
          </w:p>
          <w:p w14:paraId="0AAED32E" w14:textId="20F8FCCE" w:rsidR="000A1756" w:rsidRDefault="000A1756" w:rsidP="00D424F3">
            <w:r>
              <w:t>Control 17</w:t>
            </w:r>
          </w:p>
        </w:tc>
        <w:tc>
          <w:tcPr>
            <w:tcW w:w="5395" w:type="dxa"/>
            <w:tcBorders>
              <w:left w:val="single" w:sz="4" w:space="0" w:color="3B3474"/>
              <w:right w:val="single" w:sz="4" w:space="0" w:color="3B3474"/>
            </w:tcBorders>
          </w:tcPr>
          <w:p w14:paraId="1FF29452" w14:textId="15943B0E" w:rsidR="000A1756" w:rsidRDefault="000A1756" w:rsidP="006762B1">
            <w:r w:rsidRPr="006762B1">
              <w:rPr>
                <w:b/>
              </w:rPr>
              <w:t>Aim</w:t>
            </w:r>
            <w:r>
              <w:t>: To examine t</w:t>
            </w:r>
            <w:r w:rsidRPr="006762B1">
              <w:t>he effect of pregnant Latin-American women engaging in vigorous exercise during the second and third trimester.</w:t>
            </w:r>
          </w:p>
          <w:p w14:paraId="72AA4ED1" w14:textId="2EA3432A" w:rsidR="000A1756" w:rsidRDefault="000A1756" w:rsidP="006762B1">
            <w:r w:rsidRPr="006762B1">
              <w:rPr>
                <w:b/>
              </w:rPr>
              <w:t>Population</w:t>
            </w:r>
            <w:r>
              <w:t>: N</w:t>
            </w:r>
            <w:r w:rsidRPr="009A6DCE">
              <w:t xml:space="preserve">ulliparous </w:t>
            </w:r>
            <w:r>
              <w:t>pregnant women who</w:t>
            </w:r>
            <w:r w:rsidRPr="009A6DCE">
              <w:t xml:space="preserve"> had not participated in a structured exercise program beforehand, aged 16-30 years, </w:t>
            </w:r>
            <w:r>
              <w:t>had</w:t>
            </w:r>
            <w:r w:rsidRPr="009A6DCE">
              <w:t xml:space="preserve"> a live fetus in routine ultrasound scan, a normal pregnancy and 16 to 20 weeks’ gestational age. </w:t>
            </w:r>
            <w:r w:rsidR="000270EC">
              <w:t>Mixed B</w:t>
            </w:r>
            <w:r w:rsidR="000B480F">
              <w:t>MIs.</w:t>
            </w:r>
          </w:p>
          <w:p w14:paraId="7B4A5669" w14:textId="77777777" w:rsidR="007D4CC2" w:rsidRDefault="007D4CC2" w:rsidP="007D4CC2">
            <w:r w:rsidRPr="005E4EF9">
              <w:rPr>
                <w:b/>
              </w:rPr>
              <w:t>Intervention</w:t>
            </w:r>
            <w:r>
              <w:rPr>
                <w:b/>
              </w:rPr>
              <w:t>:</w:t>
            </w:r>
          </w:p>
          <w:p w14:paraId="6DE1F4BA" w14:textId="77777777" w:rsidR="007D4CC2" w:rsidRPr="00C45716" w:rsidRDefault="007D4CC2" w:rsidP="007D4CC2">
            <w:pPr>
              <w:pStyle w:val="bullet"/>
            </w:pPr>
            <w:r w:rsidRPr="00C45716">
              <w:rPr>
                <w:i/>
              </w:rPr>
              <w:t>Supervised</w:t>
            </w:r>
            <w:r w:rsidRPr="00C45716">
              <w:t xml:space="preserve">: </w:t>
            </w:r>
            <w:r>
              <w:t>Yes</w:t>
            </w:r>
          </w:p>
          <w:p w14:paraId="10766F3F" w14:textId="5B7A17E4" w:rsidR="007D4CC2" w:rsidRPr="007D4CC2" w:rsidRDefault="007D4CC2" w:rsidP="000B480F">
            <w:pPr>
              <w:pStyle w:val="bullet"/>
            </w:pPr>
            <w:r w:rsidRPr="00C45716">
              <w:rPr>
                <w:i/>
              </w:rPr>
              <w:t>Type and duration</w:t>
            </w:r>
            <w:r w:rsidRPr="00C45716">
              <w:t xml:space="preserve">: </w:t>
            </w:r>
            <w:r>
              <w:t xml:space="preserve">Aerobic and resistance; </w:t>
            </w:r>
            <w:r w:rsidR="000B480F" w:rsidRPr="00C12274">
              <w:t>Circuit training</w:t>
            </w:r>
            <w:r>
              <w:t xml:space="preserve">; </w:t>
            </w:r>
            <w:r w:rsidR="000B480F" w:rsidRPr="00C12274">
              <w:t>60 min, 3 times a week from week 16-20 to 32-36 weeks</w:t>
            </w:r>
            <w:r>
              <w:t>.</w:t>
            </w:r>
          </w:p>
          <w:p w14:paraId="6FE85177" w14:textId="77B67EA8" w:rsidR="000A1756" w:rsidRPr="006762B1" w:rsidRDefault="007D4CC2" w:rsidP="000B480F">
            <w:pPr>
              <w:pStyle w:val="bullet"/>
            </w:pPr>
            <w:r w:rsidRPr="00C45716">
              <w:rPr>
                <w:i/>
              </w:rPr>
              <w:t>Intensity</w:t>
            </w:r>
            <w:r w:rsidRPr="00C45716">
              <w:t xml:space="preserve">: </w:t>
            </w:r>
            <w:r w:rsidR="000B480F" w:rsidRPr="00C12274">
              <w:t>Vigorous; 55-75% maximal HR</w:t>
            </w:r>
            <w:r>
              <w:t>.</w:t>
            </w:r>
          </w:p>
        </w:tc>
        <w:tc>
          <w:tcPr>
            <w:tcW w:w="5953" w:type="dxa"/>
            <w:tcBorders>
              <w:left w:val="single" w:sz="4" w:space="0" w:color="3B3474"/>
              <w:right w:val="single" w:sz="4" w:space="0" w:color="3B3474"/>
            </w:tcBorders>
          </w:tcPr>
          <w:p w14:paraId="3E012EDF" w14:textId="77777777" w:rsidR="000A1756" w:rsidRDefault="000A1756" w:rsidP="00FE2FBE">
            <w:r>
              <w:t>Intervention vs control:</w:t>
            </w:r>
          </w:p>
          <w:p w14:paraId="35F54DA8" w14:textId="6A21C2F9" w:rsidR="000A1756" w:rsidRPr="00CB7CED" w:rsidRDefault="004C4C4B" w:rsidP="00133B96">
            <w:pPr>
              <w:pStyle w:val="bullet"/>
            </w:pPr>
            <w:r>
              <w:t>C</w:t>
            </w:r>
            <w:r w:rsidR="000A1756" w:rsidRPr="00A73692">
              <w:t>aesarean</w:t>
            </w:r>
            <w:r>
              <w:t xml:space="preserve"> section</w:t>
            </w:r>
            <w:r w:rsidR="000A1756">
              <w:t>:</w:t>
            </w:r>
            <w:r w:rsidR="000A1756" w:rsidRPr="00A73692">
              <w:t xml:space="preserve"> </w:t>
            </w:r>
            <w:r>
              <w:t>7</w:t>
            </w:r>
            <w:r w:rsidR="000A1756" w:rsidRPr="00A73692">
              <w:t xml:space="preserve"> (</w:t>
            </w:r>
            <w:r>
              <w:t>38.9</w:t>
            </w:r>
            <w:r w:rsidR="000A1756" w:rsidRPr="00A73692">
              <w:t>)</w:t>
            </w:r>
            <w:r w:rsidR="000A1756">
              <w:t xml:space="preserve"> vs </w:t>
            </w:r>
            <w:r>
              <w:t>3</w:t>
            </w:r>
            <w:r w:rsidR="000A1756" w:rsidRPr="00A73692">
              <w:t xml:space="preserve"> (</w:t>
            </w:r>
            <w:r>
              <w:t>17.6</w:t>
            </w:r>
            <w:r w:rsidR="000A1756" w:rsidRPr="00A73692">
              <w:t>) </w:t>
            </w:r>
          </w:p>
          <w:p w14:paraId="3E8A468E" w14:textId="77777777" w:rsidR="000A1756" w:rsidRDefault="000A1756" w:rsidP="00FE2FBE"/>
        </w:tc>
      </w:tr>
      <w:tr w:rsidR="000A1756" w:rsidRPr="00A652CB" w14:paraId="556BC33A"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CF47A89" w14:textId="3F67E85F" w:rsidR="000B480F" w:rsidRPr="00C12274" w:rsidRDefault="000B480F" w:rsidP="00E70A06">
            <w:r>
              <w:rPr>
                <w:noProof/>
              </w:rPr>
              <w:t>Price et al 2012</w:t>
            </w:r>
            <w:r w:rsidR="00616EE6">
              <w:fldChar w:fldCharType="begin"/>
            </w:r>
            <w:r w:rsidR="002747EA">
              <w:instrText xml:space="preserve"> ADDIN EN.CITE &lt;EndNote&gt;&lt;Cite&gt;&lt;Author&gt;Price&lt;/Author&gt;&lt;Year&gt;2012&lt;/Year&gt;&lt;RecNum&gt;707&lt;/RecNum&gt;&lt;DisplayText&gt;&lt;style face="superscript" font="Trebuchet MS" size="9"&gt;442&lt;/style&gt;&lt;/DisplayText&gt;&lt;record&gt;&lt;rec-number&gt;707&lt;/rec-number&gt;&lt;foreign-keys&gt;&lt;key app="EN" db-id="exvasrfx2dtraoesasxp2szsxa2df502592x" timestamp="1540532222"&gt;707&lt;/key&gt;&lt;/foreign-keys&gt;&lt;ref-type name="Journal Article"&gt;17&lt;/ref-type&gt;&lt;contributors&gt;&lt;authors&gt;&lt;author&gt;Price, B. B.&lt;/author&gt;&lt;author&gt;Amini, S. B.&lt;/author&gt;&lt;author&gt;Kappeler,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 Sci Sports Exerc&lt;/secondary-title&gt;&lt;/titles&gt;&lt;periodical&gt;&lt;full-title&gt;Med Sci Sports Exerc&lt;/full-title&gt;&lt;/periodical&gt;&lt;pages&gt;2263-9&lt;/pages&gt;&lt;volume&gt;44&lt;/volume&gt;&lt;number&gt;12&lt;/number&gt;&lt;edition&gt;2012/07/31&lt;/edition&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urls&gt;&lt;related-urls&gt;&lt;url&gt;https://www.ncbi.nlm.nih.gov/pubmed/22843114&lt;/url&gt;&lt;/related-urls&gt;&lt;/urls&gt;&lt;electronic-resource-num&gt;10.1249/MSS.0b013e318267ad67&lt;/electronic-resource-num&gt;&lt;/record&gt;&lt;/Cite&gt;&lt;/EndNote&gt;</w:instrText>
            </w:r>
            <w:r w:rsidR="00616EE6">
              <w:fldChar w:fldCharType="separate"/>
            </w:r>
            <w:r w:rsidR="002747EA" w:rsidRPr="002747EA">
              <w:rPr>
                <w:noProof/>
                <w:vertAlign w:val="superscript"/>
              </w:rPr>
              <w:t>442</w:t>
            </w:r>
            <w:r w:rsidR="00616EE6">
              <w:fldChar w:fldCharType="end"/>
            </w:r>
          </w:p>
          <w:p w14:paraId="3F39989B" w14:textId="4A0DE2D0" w:rsidR="000A1756" w:rsidRDefault="000B480F" w:rsidP="00E70A06">
            <w:r w:rsidRPr="00C12274">
              <w:t>United States</w:t>
            </w:r>
          </w:p>
        </w:tc>
        <w:tc>
          <w:tcPr>
            <w:tcW w:w="1670" w:type="dxa"/>
            <w:tcBorders>
              <w:left w:val="single" w:sz="4" w:space="0" w:color="3B3474"/>
              <w:right w:val="single" w:sz="4" w:space="0" w:color="3B3474"/>
            </w:tcBorders>
          </w:tcPr>
          <w:p w14:paraId="750F9920" w14:textId="77777777" w:rsidR="000A1756" w:rsidRDefault="000A1756" w:rsidP="00D424F3">
            <w:r>
              <w:t>Intervention 31</w:t>
            </w:r>
          </w:p>
          <w:p w14:paraId="1FA042B5" w14:textId="26673474" w:rsidR="000A1756" w:rsidRDefault="000A1756" w:rsidP="00D424F3">
            <w:r>
              <w:t>Control 31</w:t>
            </w:r>
          </w:p>
        </w:tc>
        <w:tc>
          <w:tcPr>
            <w:tcW w:w="5395" w:type="dxa"/>
            <w:tcBorders>
              <w:left w:val="single" w:sz="4" w:space="0" w:color="3B3474"/>
              <w:right w:val="single" w:sz="4" w:space="0" w:color="3B3474"/>
            </w:tcBorders>
          </w:tcPr>
          <w:p w14:paraId="3D1E73C8" w14:textId="7D851F23" w:rsidR="000A1756" w:rsidRDefault="000A1756" w:rsidP="00FE2FBE">
            <w:r>
              <w:rPr>
                <w:b/>
              </w:rPr>
              <w:t xml:space="preserve">Aim: </w:t>
            </w:r>
            <w:r w:rsidRPr="00B7260C">
              <w:t>to assess the benefits and possible risks of aerobic exercise during pregnancy</w:t>
            </w:r>
            <w:r>
              <w:t>.</w:t>
            </w:r>
          </w:p>
          <w:p w14:paraId="6A08DF50" w14:textId="60C67113" w:rsidR="000A1756" w:rsidRDefault="000A1756" w:rsidP="00FE2FBE">
            <w:r w:rsidRPr="007424DF">
              <w:rPr>
                <w:b/>
              </w:rPr>
              <w:t>Population</w:t>
            </w:r>
            <w:r>
              <w:t>: Sedentary (no aerobic exercise more than once a week in the past 6 months), pregnant women at 12-14 wks with BMI &lt;39 kg/m</w:t>
            </w:r>
            <w:r w:rsidRPr="000B480F">
              <w:rPr>
                <w:vertAlign w:val="superscript"/>
              </w:rPr>
              <w:t>2</w:t>
            </w:r>
            <w:r>
              <w:t xml:space="preserve"> and no chronic conditions or history of preterm birth or SGA.</w:t>
            </w:r>
          </w:p>
          <w:p w14:paraId="0A3B10CE" w14:textId="77777777" w:rsidR="007D4CC2" w:rsidRDefault="007D4CC2" w:rsidP="007D4CC2">
            <w:r w:rsidRPr="005E4EF9">
              <w:rPr>
                <w:b/>
              </w:rPr>
              <w:t>Intervention</w:t>
            </w:r>
            <w:r>
              <w:rPr>
                <w:b/>
              </w:rPr>
              <w:t>:</w:t>
            </w:r>
          </w:p>
          <w:p w14:paraId="17005A72" w14:textId="77777777" w:rsidR="007D4CC2" w:rsidRPr="00C45716" w:rsidRDefault="007D4CC2" w:rsidP="007D4CC2">
            <w:pPr>
              <w:pStyle w:val="bullet"/>
            </w:pPr>
            <w:r w:rsidRPr="00C45716">
              <w:rPr>
                <w:i/>
              </w:rPr>
              <w:t>Supervised</w:t>
            </w:r>
            <w:r w:rsidRPr="00C45716">
              <w:t xml:space="preserve">: </w:t>
            </w:r>
            <w:r>
              <w:t>Yes</w:t>
            </w:r>
          </w:p>
          <w:p w14:paraId="039A9651" w14:textId="251D8B17" w:rsidR="007D4CC2" w:rsidRPr="007D4CC2" w:rsidRDefault="007D4CC2" w:rsidP="000B480F">
            <w:pPr>
              <w:pStyle w:val="bullet"/>
            </w:pPr>
            <w:r w:rsidRPr="00C45716">
              <w:rPr>
                <w:i/>
              </w:rPr>
              <w:t>Type and duration</w:t>
            </w:r>
            <w:r w:rsidRPr="00C45716">
              <w:t xml:space="preserve">: </w:t>
            </w:r>
            <w:r>
              <w:t xml:space="preserve">Aerobic and resistance; </w:t>
            </w:r>
            <w:r w:rsidR="000B480F" w:rsidRPr="00C12274">
              <w:rPr>
                <w:shd w:val="clear" w:color="auto" w:fill="FFFFFF"/>
              </w:rPr>
              <w:t>Walking, stationary cycling, circuit training, weight training</w:t>
            </w:r>
            <w:r>
              <w:t xml:space="preserve">; </w:t>
            </w:r>
            <w:r w:rsidR="000B480F" w:rsidRPr="00C12274">
              <w:rPr>
                <w:shd w:val="clear" w:color="auto" w:fill="FFFFFF"/>
              </w:rPr>
              <w:t>45–60 min, 4 times per week plus individual 30-60 minute walk once weekly, from week 12-14 to at least week 36</w:t>
            </w:r>
            <w:r>
              <w:t>.</w:t>
            </w:r>
          </w:p>
          <w:p w14:paraId="622BEFC5" w14:textId="5C855F2A" w:rsidR="000A1756" w:rsidRPr="0081153C" w:rsidRDefault="007D4CC2" w:rsidP="007D4CC2">
            <w:pPr>
              <w:pStyle w:val="bullet"/>
            </w:pPr>
            <w:r w:rsidRPr="00C45716">
              <w:rPr>
                <w:i/>
              </w:rPr>
              <w:t>Intensity</w:t>
            </w:r>
            <w:r w:rsidRPr="00C45716">
              <w:t xml:space="preserve">: </w:t>
            </w:r>
            <w:r w:rsidRPr="00C12274">
              <w:t>Moderate; Borg scale 12-14</w:t>
            </w:r>
            <w:r>
              <w:t>.</w:t>
            </w:r>
          </w:p>
        </w:tc>
        <w:tc>
          <w:tcPr>
            <w:tcW w:w="5953" w:type="dxa"/>
            <w:tcBorders>
              <w:left w:val="single" w:sz="4" w:space="0" w:color="3B3474"/>
              <w:right w:val="single" w:sz="4" w:space="0" w:color="3B3474"/>
            </w:tcBorders>
          </w:tcPr>
          <w:p w14:paraId="0989DE63" w14:textId="77777777" w:rsidR="000A1756" w:rsidRDefault="000A1756" w:rsidP="00FE2FBE">
            <w:r>
              <w:t>Intervention vs control:</w:t>
            </w:r>
          </w:p>
          <w:p w14:paraId="63754566" w14:textId="05653AC9" w:rsidR="00CB350B" w:rsidRDefault="00CB350B" w:rsidP="00F9422B">
            <w:pPr>
              <w:pStyle w:val="bullet"/>
            </w:pPr>
            <w:r>
              <w:t>Gestational weight gain:</w:t>
            </w:r>
            <w:r w:rsidR="0012399A">
              <w:t xml:space="preserve"> 12.4±5.3 vs 10.5 ±5.13</w:t>
            </w:r>
          </w:p>
          <w:p w14:paraId="60D7DB5D" w14:textId="77777777" w:rsidR="0012399A" w:rsidRDefault="0012399A" w:rsidP="00F9422B">
            <w:pPr>
              <w:pStyle w:val="bullet"/>
            </w:pPr>
            <w:r>
              <w:t>Gestational diabetes: 3 (9.6%) vs 4 (12.9%) p=0.66</w:t>
            </w:r>
          </w:p>
          <w:p w14:paraId="49E08878" w14:textId="54075A1F" w:rsidR="000A1756" w:rsidRDefault="000A1756" w:rsidP="00F9422B">
            <w:pPr>
              <w:pStyle w:val="bullet"/>
            </w:pPr>
            <w:r>
              <w:t>Caesarean section: 2 (6.4%) vs 10 (32.2%) p=0.001</w:t>
            </w:r>
          </w:p>
          <w:p w14:paraId="109B487A" w14:textId="77777777" w:rsidR="000A1756" w:rsidRDefault="0012399A" w:rsidP="00F9422B">
            <w:pPr>
              <w:pStyle w:val="bullet"/>
            </w:pPr>
            <w:r>
              <w:t xml:space="preserve">Small for gestational age: </w:t>
            </w:r>
            <w:r w:rsidR="00012DD6">
              <w:t xml:space="preserve">4 </w:t>
            </w:r>
            <w:r w:rsidR="00D81CCC">
              <w:t xml:space="preserve">(12.9%) </w:t>
            </w:r>
            <w:r w:rsidR="00012DD6">
              <w:t>vs 5</w:t>
            </w:r>
            <w:r w:rsidR="00D81CCC">
              <w:t xml:space="preserve"> (16.1%)</w:t>
            </w:r>
          </w:p>
          <w:p w14:paraId="4A9A467C" w14:textId="77539544" w:rsidR="00E70388" w:rsidRDefault="00E70388" w:rsidP="00F9422B">
            <w:pPr>
              <w:pStyle w:val="bullet"/>
            </w:pPr>
            <w:r>
              <w:t>Postpartum weight retention (6-8 weeks): 2.5 vs 0.7</w:t>
            </w:r>
          </w:p>
        </w:tc>
      </w:tr>
      <w:tr w:rsidR="000A1756" w:rsidRPr="00A652CB" w14:paraId="499D7786"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26C7AC14" w14:textId="3A44902A" w:rsidR="000B480F" w:rsidRPr="00C12274" w:rsidRDefault="000B480F" w:rsidP="00E70A06">
            <w:r>
              <w:rPr>
                <w:noProof/>
              </w:rPr>
              <w:t>Renault et al 2014</w:t>
            </w:r>
            <w:r w:rsidR="00616EE6">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instrText xml:space="preserve"> ADDIN EN.CITE </w:instrText>
            </w:r>
            <w:r w:rsidR="002747EA">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451</w:t>
            </w:r>
            <w:r w:rsidR="00616EE6">
              <w:fldChar w:fldCharType="end"/>
            </w:r>
          </w:p>
          <w:p w14:paraId="082018F3" w14:textId="55213D20" w:rsidR="000A1756" w:rsidRDefault="000B480F" w:rsidP="00E70A06">
            <w:r w:rsidRPr="00C12274">
              <w:t>Denmark</w:t>
            </w:r>
          </w:p>
        </w:tc>
        <w:tc>
          <w:tcPr>
            <w:tcW w:w="1670" w:type="dxa"/>
            <w:tcBorders>
              <w:left w:val="single" w:sz="4" w:space="0" w:color="3B3474"/>
              <w:right w:val="single" w:sz="4" w:space="0" w:color="3B3474"/>
            </w:tcBorders>
          </w:tcPr>
          <w:p w14:paraId="0BD7263E" w14:textId="04BFD760" w:rsidR="000A1756" w:rsidRDefault="000A1756" w:rsidP="00D424F3">
            <w:r>
              <w:t>Intervention 125</w:t>
            </w:r>
          </w:p>
          <w:p w14:paraId="5269C797" w14:textId="3CE6AE82" w:rsidR="000A1756" w:rsidRDefault="000A1756" w:rsidP="00302481">
            <w:r>
              <w:t>Control 134</w:t>
            </w:r>
          </w:p>
        </w:tc>
        <w:tc>
          <w:tcPr>
            <w:tcW w:w="5395" w:type="dxa"/>
            <w:tcBorders>
              <w:left w:val="single" w:sz="4" w:space="0" w:color="3B3474"/>
              <w:right w:val="single" w:sz="4" w:space="0" w:color="3B3474"/>
            </w:tcBorders>
          </w:tcPr>
          <w:p w14:paraId="263992EE" w14:textId="77777777" w:rsidR="000A1756" w:rsidRDefault="000A1756" w:rsidP="00302481">
            <w:r w:rsidRPr="00367746">
              <w:rPr>
                <w:b/>
              </w:rPr>
              <w:t>Aim</w:t>
            </w:r>
            <w:r>
              <w:t xml:space="preserve">: </w:t>
            </w:r>
            <w:r w:rsidRPr="00302481">
              <w:t>to assess physical activity intervention assessed by a pedometer with or without dietary intervention on gestational weight gain (GWG)</w:t>
            </w:r>
            <w:r>
              <w:t>.</w:t>
            </w:r>
          </w:p>
          <w:p w14:paraId="634A0FCA" w14:textId="49873AB3" w:rsidR="000A1756" w:rsidRPr="00367746" w:rsidRDefault="000A1756" w:rsidP="00367746">
            <w:r w:rsidRPr="00367746">
              <w:rPr>
                <w:b/>
              </w:rPr>
              <w:t>Population</w:t>
            </w:r>
            <w:r w:rsidRPr="00367746">
              <w:t xml:space="preserve">: </w:t>
            </w:r>
            <w:r>
              <w:t>O</w:t>
            </w:r>
            <w:r w:rsidRPr="00367746">
              <w:t>bese pregnant women</w:t>
            </w:r>
            <w:r w:rsidRPr="000B480F">
              <w:t xml:space="preserve"> </w:t>
            </w:r>
            <w:r w:rsidR="000B480F" w:rsidRPr="000B480F">
              <w:t>(BMI ≥30 kg/m</w:t>
            </w:r>
            <w:r w:rsidR="000B480F" w:rsidRPr="000B480F">
              <w:rPr>
                <w:rFonts w:eastAsiaTheme="majorEastAsia"/>
                <w:vertAlign w:val="superscript"/>
              </w:rPr>
              <w:t>2</w:t>
            </w:r>
            <w:r w:rsidR="000B480F" w:rsidRPr="000B480F">
              <w:rPr>
                <w:rFonts w:eastAsiaTheme="majorEastAsia"/>
              </w:rPr>
              <w:t xml:space="preserve">) </w:t>
            </w:r>
            <w:r w:rsidRPr="00367746">
              <w:t>older than 18 years, a singleton pregnancy, and a normal scan in</w:t>
            </w:r>
            <w:r>
              <w:t xml:space="preserve"> weeks 11-14, gestational age &lt;</w:t>
            </w:r>
            <w:r w:rsidRPr="00367746">
              <w:t xml:space="preserve">16 weeks. </w:t>
            </w:r>
          </w:p>
          <w:p w14:paraId="493A6C44" w14:textId="77777777" w:rsidR="007D4CC2" w:rsidRDefault="007D4CC2" w:rsidP="007D4CC2">
            <w:r w:rsidRPr="005E4EF9">
              <w:rPr>
                <w:b/>
              </w:rPr>
              <w:t>Intervention</w:t>
            </w:r>
            <w:r>
              <w:rPr>
                <w:b/>
              </w:rPr>
              <w:t>:</w:t>
            </w:r>
          </w:p>
          <w:p w14:paraId="615847E4" w14:textId="35C47DCD" w:rsidR="007D4CC2" w:rsidRPr="00C45716" w:rsidRDefault="007D4CC2" w:rsidP="007D4CC2">
            <w:pPr>
              <w:pStyle w:val="bullet"/>
            </w:pPr>
            <w:r w:rsidRPr="00C45716">
              <w:rPr>
                <w:i/>
              </w:rPr>
              <w:t>Supervised</w:t>
            </w:r>
            <w:r w:rsidRPr="00C45716">
              <w:t xml:space="preserve">: </w:t>
            </w:r>
            <w:r w:rsidR="000B480F">
              <w:t>No</w:t>
            </w:r>
          </w:p>
          <w:p w14:paraId="12CAD1D8" w14:textId="1F750647" w:rsidR="007D4CC2" w:rsidRPr="007D4CC2" w:rsidRDefault="007D4CC2" w:rsidP="000B480F">
            <w:pPr>
              <w:pStyle w:val="bullet"/>
            </w:pPr>
            <w:r w:rsidRPr="00C45716">
              <w:rPr>
                <w:i/>
              </w:rPr>
              <w:t>Type and duration</w:t>
            </w:r>
            <w:r w:rsidRPr="00C45716">
              <w:t xml:space="preserve">: </w:t>
            </w:r>
            <w:r>
              <w:t xml:space="preserve">Aerobic; </w:t>
            </w:r>
            <w:r w:rsidR="000B480F">
              <w:t>Walking</w:t>
            </w:r>
            <w:r>
              <w:t xml:space="preserve">; </w:t>
            </w:r>
            <w:r w:rsidR="000B480F" w:rsidRPr="00C12274">
              <w:t>Daily step count of 11,000, (150% of the average step count in healthy lean pregnant women) from &lt;16 weeks gestation until birth</w:t>
            </w:r>
            <w:r>
              <w:t>.</w:t>
            </w:r>
          </w:p>
          <w:p w14:paraId="3F1AD73A" w14:textId="7D18EABC" w:rsidR="000A1756" w:rsidRPr="00302481" w:rsidRDefault="007D4CC2" w:rsidP="000B480F">
            <w:pPr>
              <w:pStyle w:val="bullet"/>
            </w:pPr>
            <w:r w:rsidRPr="00C45716">
              <w:rPr>
                <w:i/>
              </w:rPr>
              <w:t>Intensity</w:t>
            </w:r>
            <w:r w:rsidRPr="00C45716">
              <w:t xml:space="preserve">: </w:t>
            </w:r>
            <w:r w:rsidR="000B480F">
              <w:t>Not described</w:t>
            </w:r>
            <w:r>
              <w:t>.</w:t>
            </w:r>
          </w:p>
        </w:tc>
        <w:tc>
          <w:tcPr>
            <w:tcW w:w="5953" w:type="dxa"/>
            <w:tcBorders>
              <w:left w:val="single" w:sz="4" w:space="0" w:color="3B3474"/>
              <w:right w:val="single" w:sz="4" w:space="0" w:color="3B3474"/>
            </w:tcBorders>
          </w:tcPr>
          <w:p w14:paraId="79F882F6" w14:textId="77777777" w:rsidR="000A1756" w:rsidRDefault="000A1756" w:rsidP="00FE2FBE">
            <w:r>
              <w:t>Intervention vs control:</w:t>
            </w:r>
          </w:p>
          <w:p w14:paraId="486144A7" w14:textId="15ED10C9" w:rsidR="000A1756" w:rsidRDefault="00A65B49" w:rsidP="005F4E84">
            <w:pPr>
              <w:pStyle w:val="bullet"/>
            </w:pPr>
            <w:r>
              <w:t>Weight gain &gt;IOM guidelines</w:t>
            </w:r>
            <w:r w:rsidR="000A1756">
              <w:t xml:space="preserve"> (&gt;9kg): 64 (51%) vs 84 (63%)</w:t>
            </w:r>
          </w:p>
          <w:p w14:paraId="4630E6A6" w14:textId="0802AAD5" w:rsidR="000A1756" w:rsidRPr="00782129" w:rsidRDefault="00641894" w:rsidP="005F4E84">
            <w:pPr>
              <w:pStyle w:val="bullet"/>
            </w:pPr>
            <w:r w:rsidRPr="00641894">
              <w:t>Gestational diabetes</w:t>
            </w:r>
            <w:r w:rsidR="000A1756" w:rsidRPr="00641894">
              <w:t xml:space="preserve">: </w:t>
            </w:r>
            <w:r w:rsidR="000A1756">
              <w:t>2 (1.6) vs 7</w:t>
            </w:r>
            <w:r w:rsidR="000A1756" w:rsidRPr="00782129">
              <w:t xml:space="preserve"> (5.2)</w:t>
            </w:r>
          </w:p>
          <w:p w14:paraId="591ED890" w14:textId="5E3C36B2" w:rsidR="000A1756" w:rsidRPr="00C46CC0" w:rsidRDefault="000A1756" w:rsidP="005F4E84">
            <w:pPr>
              <w:pStyle w:val="bullet"/>
            </w:pPr>
            <w:r>
              <w:t xml:space="preserve">Hypertensive disease: </w:t>
            </w:r>
            <w:r w:rsidRPr="00C46CC0">
              <w:t xml:space="preserve">9 (7.2) </w:t>
            </w:r>
            <w:r>
              <w:t xml:space="preserve">vs </w:t>
            </w:r>
            <w:r w:rsidRPr="00C46CC0">
              <w:t>12 (9.0)</w:t>
            </w:r>
            <w:r>
              <w:t xml:space="preserve"> </w:t>
            </w:r>
          </w:p>
          <w:p w14:paraId="3A632ACF" w14:textId="5A42DCCF" w:rsidR="000A1756" w:rsidRPr="00C46CC0" w:rsidRDefault="000A1756" w:rsidP="005F4E84">
            <w:pPr>
              <w:pStyle w:val="bullet"/>
            </w:pPr>
            <w:r>
              <w:t xml:space="preserve">Caesarean section (unplanned): </w:t>
            </w:r>
            <w:r w:rsidRPr="00C46CC0">
              <w:t xml:space="preserve">27 (22) </w:t>
            </w:r>
            <w:r>
              <w:t xml:space="preserve">vs </w:t>
            </w:r>
            <w:r w:rsidRPr="00C46CC0">
              <w:t xml:space="preserve">32 (24) </w:t>
            </w:r>
          </w:p>
          <w:p w14:paraId="00E79750" w14:textId="3B953B29" w:rsidR="000A1756" w:rsidRPr="00360551" w:rsidRDefault="000A1756" w:rsidP="00E562D2">
            <w:pPr>
              <w:pStyle w:val="bullet"/>
            </w:pPr>
            <w:r>
              <w:t>Gestational age: 278±</w:t>
            </w:r>
            <w:r w:rsidRPr="00360551">
              <w:t xml:space="preserve">14 </w:t>
            </w:r>
            <w:r>
              <w:t xml:space="preserve">vs </w:t>
            </w:r>
            <w:r w:rsidRPr="00360551">
              <w:t>278</w:t>
            </w:r>
            <w:r>
              <w:t>±</w:t>
            </w:r>
            <w:r w:rsidRPr="00360551">
              <w:t>12</w:t>
            </w:r>
          </w:p>
          <w:p w14:paraId="13E904B3" w14:textId="5062FF47" w:rsidR="000A1756" w:rsidRPr="00E562D2" w:rsidRDefault="000A1756" w:rsidP="00E562D2">
            <w:pPr>
              <w:pStyle w:val="bullet"/>
            </w:pPr>
            <w:r w:rsidRPr="00E562D2">
              <w:t>Preterm birth 28-34 weeks: 3 (2) 1 (1)</w:t>
            </w:r>
          </w:p>
          <w:p w14:paraId="6D66055E" w14:textId="0C7C5EC4" w:rsidR="000A1756" w:rsidRPr="00E562D2" w:rsidRDefault="000A1756" w:rsidP="00E562D2">
            <w:pPr>
              <w:pStyle w:val="bullet"/>
            </w:pPr>
            <w:r w:rsidRPr="00E562D2">
              <w:t>Preterm birth 34-37 wks: 5 (4) 5 (4)</w:t>
            </w:r>
          </w:p>
          <w:p w14:paraId="421CA512" w14:textId="25A240F1" w:rsidR="000A1756" w:rsidRPr="00E562D2" w:rsidRDefault="000A1756" w:rsidP="00E562D2">
            <w:pPr>
              <w:pStyle w:val="bullet"/>
            </w:pPr>
            <w:r>
              <w:t xml:space="preserve">SGA: </w:t>
            </w:r>
            <w:r w:rsidRPr="00E562D2">
              <w:t xml:space="preserve">4 (3.2) </w:t>
            </w:r>
            <w:r>
              <w:t>vs 2 (1.5)</w:t>
            </w:r>
          </w:p>
          <w:p w14:paraId="5FF572D0" w14:textId="33E638DE" w:rsidR="000A1756" w:rsidRPr="00E562D2" w:rsidRDefault="000A1756" w:rsidP="00E562D2">
            <w:pPr>
              <w:pStyle w:val="bullet"/>
            </w:pPr>
            <w:r w:rsidRPr="00E562D2">
              <w:t>LGA</w:t>
            </w:r>
            <w:r>
              <w:t>:</w:t>
            </w:r>
            <w:r w:rsidRPr="00E562D2">
              <w:t xml:space="preserve"> 8 (6.4) </w:t>
            </w:r>
            <w:r>
              <w:t>vs 9 (6.7)</w:t>
            </w:r>
          </w:p>
          <w:p w14:paraId="03BFB114" w14:textId="380DFF6B" w:rsidR="000A1756" w:rsidRPr="00E562D2" w:rsidRDefault="000A1756" w:rsidP="00FE2FBE">
            <w:pPr>
              <w:pStyle w:val="bullet"/>
            </w:pPr>
            <w:r w:rsidRPr="00E562D2">
              <w:t>Birthweight &gt;4000 g</w:t>
            </w:r>
            <w:r>
              <w:t xml:space="preserve">: </w:t>
            </w:r>
            <w:r w:rsidRPr="00E562D2">
              <w:t xml:space="preserve">37 (30) </w:t>
            </w:r>
            <w:r>
              <w:t xml:space="preserve">vs </w:t>
            </w:r>
            <w:r w:rsidRPr="00E562D2">
              <w:t>33 (25)</w:t>
            </w:r>
          </w:p>
        </w:tc>
      </w:tr>
      <w:tr w:rsidR="000A1756" w:rsidRPr="00A652CB" w14:paraId="596064B1"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1BAC99AB" w14:textId="6E77F543" w:rsidR="000B480F" w:rsidRPr="00C12274" w:rsidRDefault="000B480F" w:rsidP="00E70A06">
            <w:r>
              <w:rPr>
                <w:noProof/>
              </w:rPr>
              <w:t>Ruiz et al 2013</w:t>
            </w:r>
            <w:r w:rsidR="00616EE6">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instrText xml:space="preserve"> ADDIN EN.CITE </w:instrText>
            </w:r>
            <w:r w:rsidR="002747EA">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443</w:t>
            </w:r>
            <w:r w:rsidR="00616EE6">
              <w:fldChar w:fldCharType="end"/>
            </w:r>
          </w:p>
          <w:p w14:paraId="478FF004" w14:textId="77777777" w:rsidR="000B480F" w:rsidRPr="00C12274" w:rsidRDefault="000B480F" w:rsidP="00E70A06">
            <w:r w:rsidRPr="00C12274">
              <w:t>Spain</w:t>
            </w:r>
          </w:p>
          <w:p w14:paraId="61EBC655" w14:textId="77777777" w:rsidR="000A1756" w:rsidRDefault="000B480F" w:rsidP="00E70A06">
            <w:r w:rsidRPr="00C12274">
              <w:t>NCT01790347</w:t>
            </w:r>
          </w:p>
        </w:tc>
        <w:tc>
          <w:tcPr>
            <w:tcW w:w="1670" w:type="dxa"/>
            <w:tcBorders>
              <w:left w:val="single" w:sz="4" w:space="0" w:color="3B3474"/>
              <w:right w:val="single" w:sz="4" w:space="0" w:color="3B3474"/>
            </w:tcBorders>
          </w:tcPr>
          <w:p w14:paraId="51D83164" w14:textId="77777777" w:rsidR="000A1756" w:rsidRDefault="000A1756" w:rsidP="00D424F3">
            <w:r>
              <w:t>Intervention 481</w:t>
            </w:r>
          </w:p>
          <w:p w14:paraId="2D2488FE" w14:textId="03DF7A4C" w:rsidR="000A1756" w:rsidRDefault="000A1756" w:rsidP="00D424F3">
            <w:r>
              <w:t>Control 481</w:t>
            </w:r>
          </w:p>
        </w:tc>
        <w:tc>
          <w:tcPr>
            <w:tcW w:w="5395" w:type="dxa"/>
            <w:tcBorders>
              <w:left w:val="single" w:sz="4" w:space="0" w:color="3B3474"/>
              <w:right w:val="single" w:sz="4" w:space="0" w:color="3B3474"/>
            </w:tcBorders>
          </w:tcPr>
          <w:p w14:paraId="04215AAF" w14:textId="77777777" w:rsidR="000A1756" w:rsidRDefault="000A1756" w:rsidP="005D1D93">
            <w:r w:rsidRPr="00C70D81">
              <w:rPr>
                <w:b/>
              </w:rPr>
              <w:t>Aim</w:t>
            </w:r>
            <w:r>
              <w:t xml:space="preserve">: </w:t>
            </w:r>
            <w:r w:rsidRPr="005D1D93">
              <w:t xml:space="preserve">To study the effect on maternal weight gain of a supervised light- to moderate-intensity exercise-based intervention performed from the ninth week of pregnancy. </w:t>
            </w:r>
          </w:p>
          <w:p w14:paraId="62E82768" w14:textId="2663A627" w:rsidR="000A1756" w:rsidRPr="00F377F9" w:rsidRDefault="000A1756" w:rsidP="005D1D93">
            <w:r w:rsidRPr="00C70D81">
              <w:rPr>
                <w:b/>
              </w:rPr>
              <w:t>Population</w:t>
            </w:r>
            <w:r>
              <w:t>:</w:t>
            </w:r>
            <w:r w:rsidRPr="005D1D93">
              <w:t xml:space="preserve"> </w:t>
            </w:r>
            <w:r>
              <w:t>Sedentary</w:t>
            </w:r>
            <w:r w:rsidRPr="005D1D93">
              <w:t xml:space="preserve"> women </w:t>
            </w:r>
            <w:r>
              <w:t>with a singleton uncomplicated pregnan</w:t>
            </w:r>
            <w:r w:rsidRPr="00F377F9">
              <w:t xml:space="preserve">cy. </w:t>
            </w:r>
            <w:r w:rsidR="000B480F" w:rsidRPr="00F377F9">
              <w:t>BMI ≤25 kg/m</w:t>
            </w:r>
            <w:r w:rsidR="000B480F" w:rsidRPr="00F377F9">
              <w:rPr>
                <w:vertAlign w:val="superscript"/>
              </w:rPr>
              <w:t>2</w:t>
            </w:r>
            <w:r w:rsidR="00F377F9" w:rsidRPr="00F377F9">
              <w:t xml:space="preserve">; </w:t>
            </w:r>
            <w:r w:rsidR="000B480F" w:rsidRPr="00F377F9">
              <w:t>BMI ≥25 kg/m</w:t>
            </w:r>
            <w:r w:rsidR="000B480F" w:rsidRPr="00F377F9">
              <w:rPr>
                <w:vertAlign w:val="superscript"/>
              </w:rPr>
              <w:t>2</w:t>
            </w:r>
            <w:r w:rsidR="00F377F9" w:rsidRPr="00F377F9">
              <w:t>.</w:t>
            </w:r>
          </w:p>
          <w:p w14:paraId="08CE6ED9" w14:textId="77777777" w:rsidR="007D4CC2" w:rsidRDefault="007D4CC2" w:rsidP="007D4CC2">
            <w:r w:rsidRPr="005E4EF9">
              <w:rPr>
                <w:b/>
              </w:rPr>
              <w:t>Intervention</w:t>
            </w:r>
            <w:r>
              <w:rPr>
                <w:b/>
              </w:rPr>
              <w:t>:</w:t>
            </w:r>
          </w:p>
          <w:p w14:paraId="727F40BD" w14:textId="77777777" w:rsidR="007D4CC2" w:rsidRPr="00C45716" w:rsidRDefault="007D4CC2" w:rsidP="007D4CC2">
            <w:pPr>
              <w:pStyle w:val="bullet"/>
            </w:pPr>
            <w:r w:rsidRPr="00C45716">
              <w:rPr>
                <w:i/>
              </w:rPr>
              <w:t>Supervised</w:t>
            </w:r>
            <w:r w:rsidRPr="00C45716">
              <w:t xml:space="preserve">: </w:t>
            </w:r>
            <w:r>
              <w:t>Yes</w:t>
            </w:r>
          </w:p>
          <w:p w14:paraId="16E37E8F" w14:textId="3A37156E" w:rsidR="007D4CC2" w:rsidRPr="007D4CC2" w:rsidRDefault="007D4CC2" w:rsidP="00F377F9">
            <w:pPr>
              <w:pStyle w:val="bullet"/>
            </w:pPr>
            <w:r w:rsidRPr="00C45716">
              <w:rPr>
                <w:i/>
              </w:rPr>
              <w:t>Type and duration</w:t>
            </w:r>
            <w:r w:rsidRPr="00C45716">
              <w:t xml:space="preserve">: </w:t>
            </w:r>
            <w:r>
              <w:t xml:space="preserve">Aerobic and resistance; </w:t>
            </w:r>
            <w:r w:rsidR="000B480F" w:rsidRPr="00C12274">
              <w:t>Dance, muscle strengthening</w:t>
            </w:r>
            <w:r>
              <w:t xml:space="preserve">; </w:t>
            </w:r>
            <w:r w:rsidR="000B480F" w:rsidRPr="00C12274">
              <w:t>50-55 min, 3 times a week</w:t>
            </w:r>
            <w:r>
              <w:t>.</w:t>
            </w:r>
          </w:p>
          <w:p w14:paraId="6DA83124" w14:textId="4579195A" w:rsidR="000A1756" w:rsidRPr="005D1D93" w:rsidRDefault="007D4CC2" w:rsidP="00F377F9">
            <w:pPr>
              <w:pStyle w:val="bullet"/>
            </w:pPr>
            <w:r w:rsidRPr="00C45716">
              <w:rPr>
                <w:i/>
              </w:rPr>
              <w:t>Intensity</w:t>
            </w:r>
            <w:r w:rsidRPr="00C45716">
              <w:t xml:space="preserve">: </w:t>
            </w:r>
            <w:r w:rsidR="00F377F9" w:rsidRPr="00C12274">
              <w:t>Moderate; &lt;60% of age-predicted maximum HR; Borg scale 10 to 12</w:t>
            </w:r>
            <w:r>
              <w:t>.</w:t>
            </w:r>
          </w:p>
        </w:tc>
        <w:tc>
          <w:tcPr>
            <w:tcW w:w="5953" w:type="dxa"/>
            <w:tcBorders>
              <w:left w:val="single" w:sz="4" w:space="0" w:color="3B3474"/>
              <w:right w:val="single" w:sz="4" w:space="0" w:color="3B3474"/>
            </w:tcBorders>
          </w:tcPr>
          <w:p w14:paraId="0C57C8E0" w14:textId="77777777" w:rsidR="000A1756" w:rsidRDefault="000A1756" w:rsidP="00FE2FBE">
            <w:r>
              <w:t>Normal weight range intervention (n=335) vs control (n=352)</w:t>
            </w:r>
          </w:p>
          <w:p w14:paraId="13F552D9" w14:textId="3056CFE8" w:rsidR="000A1756" w:rsidRDefault="00641894" w:rsidP="0082421F">
            <w:pPr>
              <w:pStyle w:val="bullet"/>
            </w:pPr>
            <w:r>
              <w:t>Gestational</w:t>
            </w:r>
            <w:r w:rsidR="000A1756">
              <w:t xml:space="preserve"> weight gain: 12.3±3.6 vs 13.8±4.1 p&lt;0.001</w:t>
            </w:r>
          </w:p>
          <w:p w14:paraId="3C712952" w14:textId="023303A6" w:rsidR="000A1756" w:rsidRDefault="00A65B49" w:rsidP="0082421F">
            <w:pPr>
              <w:pStyle w:val="bullet"/>
            </w:pPr>
            <w:r>
              <w:t>Weight gain &gt;IOM guidelines</w:t>
            </w:r>
            <w:r w:rsidR="000A1756">
              <w:t>: 42 (12.6%) vs 78 (22.1%) p&lt;0.002</w:t>
            </w:r>
          </w:p>
          <w:p w14:paraId="49B7AC73" w14:textId="68BF82F3" w:rsidR="000A1756" w:rsidRDefault="000A1756" w:rsidP="0082421F">
            <w:pPr>
              <w:pStyle w:val="bullet"/>
            </w:pPr>
            <w:r>
              <w:t>Low birth weight (&lt;2500g): 19 (5.7%) vs 15 (4.3%)</w:t>
            </w:r>
          </w:p>
          <w:p w14:paraId="340FEB52" w14:textId="77777777" w:rsidR="000A1756" w:rsidRDefault="000A1756" w:rsidP="0082421F">
            <w:pPr>
              <w:pStyle w:val="bullet"/>
            </w:pPr>
            <w:r>
              <w:t>Macrosomia (&gt;4000g): 8 (2.4%) vs 14 (4.0%)</w:t>
            </w:r>
          </w:p>
          <w:p w14:paraId="2579E086" w14:textId="77777777" w:rsidR="000A1756" w:rsidRDefault="000A1756" w:rsidP="0082421F">
            <w:pPr>
              <w:pStyle w:val="bullet"/>
            </w:pPr>
            <w:r>
              <w:t>Preterm birth (&lt;36 wks): 8 (2.3%) vs 2 (0.6%)</w:t>
            </w:r>
          </w:p>
          <w:p w14:paraId="11ABA5A3" w14:textId="06048403" w:rsidR="000A1756" w:rsidRDefault="000A1756" w:rsidP="0082421F">
            <w:pPr>
              <w:pStyle w:val="bullet"/>
            </w:pPr>
            <w:r>
              <w:t xml:space="preserve">Caesarean </w:t>
            </w:r>
            <w:r w:rsidR="00641894">
              <w:t>section</w:t>
            </w:r>
            <w:r>
              <w:t>: 55 (16.5%) vs 66 (18.7%)</w:t>
            </w:r>
          </w:p>
          <w:p w14:paraId="0A15A395" w14:textId="6B6AD6EB" w:rsidR="000A1756" w:rsidRDefault="00641894" w:rsidP="0082421F">
            <w:pPr>
              <w:pStyle w:val="bullet"/>
            </w:pPr>
            <w:r>
              <w:t>Gestational diabetes</w:t>
            </w:r>
            <w:r w:rsidR="000A1756">
              <w:t>: 7 (2.1%) vs 18 (5.1%)</w:t>
            </w:r>
          </w:p>
          <w:p w14:paraId="2A52BC75" w14:textId="013B81FC" w:rsidR="000A1756" w:rsidRDefault="00641894" w:rsidP="0082421F">
            <w:pPr>
              <w:pStyle w:val="bullet"/>
            </w:pPr>
            <w:r>
              <w:t>Gestational h</w:t>
            </w:r>
            <w:r w:rsidR="000A1756">
              <w:t>ypertension: 5 (1.5%) vs 20 (5.7%)</w:t>
            </w:r>
          </w:p>
          <w:p w14:paraId="5C4AF6F2" w14:textId="77777777" w:rsidR="000A1756" w:rsidRDefault="000A1756" w:rsidP="00FE2FBE">
            <w:r>
              <w:t>Overweight or obese women intervention (n=146) vs control (n=129):</w:t>
            </w:r>
          </w:p>
          <w:p w14:paraId="69518022" w14:textId="207DAAC9" w:rsidR="000A1756" w:rsidRDefault="00641894" w:rsidP="0082421F">
            <w:pPr>
              <w:pStyle w:val="bullet"/>
            </w:pPr>
            <w:r>
              <w:t>Gestational</w:t>
            </w:r>
            <w:r w:rsidR="000A1756">
              <w:t xml:space="preserve"> weight gain: 11.1±4.3 vs 11.6±4.2</w:t>
            </w:r>
          </w:p>
          <w:p w14:paraId="668C6F54" w14:textId="2960C96E" w:rsidR="000A1756" w:rsidRDefault="00A65B49" w:rsidP="0082421F">
            <w:pPr>
              <w:pStyle w:val="bullet"/>
            </w:pPr>
            <w:r>
              <w:t>Weight gain &gt;IOM guidelines</w:t>
            </w:r>
            <w:r w:rsidR="000A1756">
              <w:t>: 72 (49.3%) vs 76 (58.9%)</w:t>
            </w:r>
          </w:p>
          <w:p w14:paraId="3D79085E" w14:textId="5AB48F84" w:rsidR="000A1756" w:rsidRDefault="000A1756" w:rsidP="000C79C6">
            <w:pPr>
              <w:pStyle w:val="bullet"/>
            </w:pPr>
            <w:r>
              <w:t>Low birth weight (&lt;2500g): 5 (3.4%) vs 6 (4.6%)</w:t>
            </w:r>
          </w:p>
          <w:p w14:paraId="6742DF7A" w14:textId="3E8DB2EF" w:rsidR="000A1756" w:rsidRDefault="000A1756" w:rsidP="000C79C6">
            <w:pPr>
              <w:pStyle w:val="bullet"/>
            </w:pPr>
            <w:r>
              <w:t>Macrosomia (&gt;4000g): 2 (1.4%) vs 12 (9.3%)</w:t>
            </w:r>
          </w:p>
          <w:p w14:paraId="0B8449A7" w14:textId="4A727D63" w:rsidR="000A1756" w:rsidRDefault="000A1756" w:rsidP="000C79C6">
            <w:pPr>
              <w:pStyle w:val="bullet"/>
            </w:pPr>
            <w:r>
              <w:t>Preterm birth (&lt;36 wks): 4 (2.7%) vs 2 (1.5%)</w:t>
            </w:r>
          </w:p>
          <w:p w14:paraId="6D0A4895" w14:textId="74A4B6B1" w:rsidR="000A1756" w:rsidRDefault="000A1756" w:rsidP="000C79C6">
            <w:pPr>
              <w:pStyle w:val="bullet"/>
            </w:pPr>
            <w:r>
              <w:t xml:space="preserve">Caesarean </w:t>
            </w:r>
            <w:r w:rsidR="00641894">
              <w:t>section</w:t>
            </w:r>
            <w:r>
              <w:t>: 38 (25.9%) vs 29 (22.1%)</w:t>
            </w:r>
          </w:p>
          <w:p w14:paraId="1FC19027" w14:textId="5086953B" w:rsidR="000A1756" w:rsidRDefault="00641894" w:rsidP="000C79C6">
            <w:pPr>
              <w:pStyle w:val="bullet"/>
            </w:pPr>
            <w:r>
              <w:t>Gestational diabetes</w:t>
            </w:r>
            <w:r w:rsidR="000A1756">
              <w:t>: 9 (6.2%) vs 12 (9.3%)</w:t>
            </w:r>
          </w:p>
          <w:p w14:paraId="68722D1C" w14:textId="6E48F24D" w:rsidR="000A1756" w:rsidRDefault="00641894" w:rsidP="005D1D93">
            <w:pPr>
              <w:pStyle w:val="bullet"/>
            </w:pPr>
            <w:r>
              <w:t>Gestational h</w:t>
            </w:r>
            <w:r w:rsidR="000A1756">
              <w:t>ypertension: 8 (5.5%) vs 10 (7.8%)</w:t>
            </w:r>
          </w:p>
        </w:tc>
      </w:tr>
      <w:tr w:rsidR="000A1756" w:rsidRPr="00A652CB" w14:paraId="283B2124"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433F23D5" w14:textId="3D4028B4" w:rsidR="00F377F9" w:rsidRPr="00C12274" w:rsidRDefault="00F377F9" w:rsidP="00E70A06">
            <w:r>
              <w:rPr>
                <w:noProof/>
              </w:rPr>
              <w:t>Seneviratne et al 2016</w:t>
            </w:r>
            <w:r w:rsidR="00616EE6">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instrText xml:space="preserve"> ADDIN EN.CITE </w:instrText>
            </w:r>
            <w:r w:rsidR="002747EA">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273</w:t>
            </w:r>
            <w:r w:rsidR="00616EE6">
              <w:fldChar w:fldCharType="end"/>
            </w:r>
          </w:p>
          <w:p w14:paraId="01459C8B" w14:textId="684E6909" w:rsidR="000A1756" w:rsidRDefault="00F377F9" w:rsidP="00E70A06">
            <w:r w:rsidRPr="00C12274">
              <w:t>New Zealand</w:t>
            </w:r>
          </w:p>
        </w:tc>
        <w:tc>
          <w:tcPr>
            <w:tcW w:w="1670" w:type="dxa"/>
            <w:tcBorders>
              <w:left w:val="single" w:sz="4" w:space="0" w:color="3B3474"/>
              <w:right w:val="single" w:sz="4" w:space="0" w:color="3B3474"/>
            </w:tcBorders>
          </w:tcPr>
          <w:p w14:paraId="0A77FFEF" w14:textId="77777777" w:rsidR="000A1756" w:rsidRDefault="000A1756" w:rsidP="00D424F3">
            <w:r>
              <w:t>Intervention 37</w:t>
            </w:r>
          </w:p>
          <w:p w14:paraId="6693365E" w14:textId="426288C5" w:rsidR="000A1756" w:rsidRDefault="000A1756" w:rsidP="00D424F3">
            <w:r>
              <w:t>Control 37</w:t>
            </w:r>
          </w:p>
        </w:tc>
        <w:tc>
          <w:tcPr>
            <w:tcW w:w="5395" w:type="dxa"/>
            <w:tcBorders>
              <w:left w:val="single" w:sz="4" w:space="0" w:color="3B3474"/>
              <w:right w:val="single" w:sz="4" w:space="0" w:color="3B3474"/>
            </w:tcBorders>
          </w:tcPr>
          <w:p w14:paraId="53965915" w14:textId="38BEC207" w:rsidR="000A1756" w:rsidRPr="006F1991" w:rsidRDefault="000A1756" w:rsidP="006F1991">
            <w:r>
              <w:rPr>
                <w:b/>
              </w:rPr>
              <w:t xml:space="preserve">Aim: </w:t>
            </w:r>
            <w:r w:rsidRPr="006F1991">
              <w:t>To assess whether antenatal exercise in overweight/obese</w:t>
            </w:r>
            <w:r>
              <w:t xml:space="preserve"> </w:t>
            </w:r>
            <w:r w:rsidRPr="006F1991">
              <w:t>women would improve maternal and perinatal outcomes.</w:t>
            </w:r>
          </w:p>
          <w:p w14:paraId="41E958CF" w14:textId="092660C3" w:rsidR="000A1756" w:rsidRPr="006F1991" w:rsidRDefault="000A1756" w:rsidP="00FE2FBE">
            <w:r>
              <w:rPr>
                <w:b/>
              </w:rPr>
              <w:t xml:space="preserve">Population: </w:t>
            </w:r>
            <w:r w:rsidRPr="00D33772">
              <w:t>Pregnant women with body mass index</w:t>
            </w:r>
            <w:r>
              <w:t xml:space="preserve"> </w:t>
            </w:r>
            <w:r w:rsidRPr="00D33772">
              <w:rPr>
                <w:rFonts w:ascii="Helvetica" w:hAnsi="Helvetica"/>
              </w:rPr>
              <w:t>≥</w:t>
            </w:r>
            <w:r w:rsidRPr="00D33772">
              <w:t>25 kg/m</w:t>
            </w:r>
            <w:r w:rsidRPr="00D33772">
              <w:rPr>
                <w:rFonts w:eastAsiaTheme="majorEastAsia"/>
                <w:sz w:val="8"/>
                <w:szCs w:val="8"/>
              </w:rPr>
              <w:t>2</w:t>
            </w:r>
            <w:r w:rsidRPr="00D33772">
              <w:t>.</w:t>
            </w:r>
          </w:p>
          <w:p w14:paraId="687F7DC5" w14:textId="77777777" w:rsidR="007D4CC2" w:rsidRDefault="007D4CC2" w:rsidP="007D4CC2">
            <w:r w:rsidRPr="005E4EF9">
              <w:rPr>
                <w:b/>
              </w:rPr>
              <w:t>Intervention</w:t>
            </w:r>
            <w:r>
              <w:rPr>
                <w:b/>
              </w:rPr>
              <w:t>:</w:t>
            </w:r>
          </w:p>
          <w:p w14:paraId="7E08E806" w14:textId="76AE5F96" w:rsidR="007D4CC2" w:rsidRPr="00C45716" w:rsidRDefault="007D4CC2" w:rsidP="007D4CC2">
            <w:pPr>
              <w:pStyle w:val="bullet"/>
            </w:pPr>
            <w:r w:rsidRPr="00C45716">
              <w:rPr>
                <w:i/>
              </w:rPr>
              <w:t>Supervised</w:t>
            </w:r>
            <w:r w:rsidRPr="00C45716">
              <w:t xml:space="preserve">: </w:t>
            </w:r>
            <w:r w:rsidR="00806DF5">
              <w:t>No</w:t>
            </w:r>
          </w:p>
          <w:p w14:paraId="36BA18E1" w14:textId="55FFFE8B" w:rsidR="007D4CC2" w:rsidRPr="007D4CC2" w:rsidRDefault="007D4CC2" w:rsidP="00806DF5">
            <w:pPr>
              <w:pStyle w:val="bullet"/>
            </w:pPr>
            <w:r w:rsidRPr="00C45716">
              <w:rPr>
                <w:i/>
              </w:rPr>
              <w:t>Type and duration</w:t>
            </w:r>
            <w:r w:rsidRPr="00C45716">
              <w:t xml:space="preserve">: </w:t>
            </w:r>
            <w:r>
              <w:t xml:space="preserve">Aerobic; </w:t>
            </w:r>
            <w:r w:rsidR="00806DF5">
              <w:t>S</w:t>
            </w:r>
            <w:r w:rsidRPr="00C12274">
              <w:t>tationary cycling</w:t>
            </w:r>
            <w:r>
              <w:t xml:space="preserve">; </w:t>
            </w:r>
            <w:r w:rsidR="00806DF5" w:rsidRPr="00C12274">
              <w:t>25-45 min, 3-5 times a week depending on stage of pregnancy, from week 25 to 35</w:t>
            </w:r>
            <w:r>
              <w:t>.</w:t>
            </w:r>
          </w:p>
          <w:p w14:paraId="3899A4FE" w14:textId="23B36C82" w:rsidR="000A1756" w:rsidRPr="00E57533" w:rsidRDefault="007D4CC2" w:rsidP="007D4CC2">
            <w:pPr>
              <w:pStyle w:val="bullet"/>
            </w:pPr>
            <w:r w:rsidRPr="00C45716">
              <w:rPr>
                <w:i/>
              </w:rPr>
              <w:t>Intensity</w:t>
            </w:r>
            <w:r w:rsidRPr="00C45716">
              <w:t xml:space="preserve">: </w:t>
            </w:r>
            <w:r w:rsidR="00806DF5" w:rsidRPr="003B5012">
              <w:t>Moderate (40–59% VO</w:t>
            </w:r>
            <w:r w:rsidR="00806DF5" w:rsidRPr="00B559D0">
              <w:rPr>
                <w:vertAlign w:val="subscript"/>
              </w:rPr>
              <w:t>2</w:t>
            </w:r>
            <w:r w:rsidR="00806DF5" w:rsidRPr="003B5012">
              <w:t xml:space="preserve"> reserve)</w:t>
            </w:r>
            <w:r w:rsidRPr="003B5012">
              <w:t>.</w:t>
            </w:r>
          </w:p>
        </w:tc>
        <w:tc>
          <w:tcPr>
            <w:tcW w:w="5953" w:type="dxa"/>
            <w:tcBorders>
              <w:left w:val="single" w:sz="4" w:space="0" w:color="3B3474"/>
              <w:right w:val="single" w:sz="4" w:space="0" w:color="3B3474"/>
            </w:tcBorders>
          </w:tcPr>
          <w:p w14:paraId="746ED829" w14:textId="1A5F86F2" w:rsidR="000A1756" w:rsidRPr="00E57533" w:rsidRDefault="000A1756" w:rsidP="00E57533">
            <w:pPr>
              <w:rPr>
                <w:rFonts w:ascii="Helvetica" w:hAnsi="Helvetica"/>
                <w:sz w:val="11"/>
                <w:szCs w:val="11"/>
              </w:rPr>
            </w:pPr>
            <w:r>
              <w:t>Intervention vs</w:t>
            </w:r>
            <w:r w:rsidRPr="00E57533">
              <w:t xml:space="preserve"> control</w:t>
            </w:r>
            <w:r>
              <w:t>:</w:t>
            </w:r>
          </w:p>
          <w:p w14:paraId="0D1D5290" w14:textId="3B47C32C" w:rsidR="000A1756" w:rsidRPr="00E57533" w:rsidRDefault="000A1756" w:rsidP="00E57533">
            <w:pPr>
              <w:pStyle w:val="bullet"/>
            </w:pPr>
            <w:r w:rsidRPr="00E57533">
              <w:t>LGA</w:t>
            </w:r>
            <w:r>
              <w:t>:</w:t>
            </w:r>
            <w:r w:rsidRPr="00E57533">
              <w:t xml:space="preserve"> 9 (24%) </w:t>
            </w:r>
            <w:r>
              <w:t xml:space="preserve">vs </w:t>
            </w:r>
            <w:r w:rsidRPr="00E57533">
              <w:t xml:space="preserve">4 (11%) </w:t>
            </w:r>
            <w:r>
              <w:t>p=</w:t>
            </w:r>
            <w:r w:rsidRPr="00E57533">
              <w:t>0.170</w:t>
            </w:r>
          </w:p>
          <w:p w14:paraId="38F52379" w14:textId="3F671D5F" w:rsidR="000A1756" w:rsidRPr="00E57533" w:rsidRDefault="000A1756" w:rsidP="00E57533">
            <w:pPr>
              <w:pStyle w:val="bullet"/>
            </w:pPr>
            <w:r w:rsidRPr="00E57533">
              <w:t>SGA</w:t>
            </w:r>
            <w:r>
              <w:t>:</w:t>
            </w:r>
            <w:r w:rsidRPr="00E57533">
              <w:t xml:space="preserve"> 4 (11%) </w:t>
            </w:r>
            <w:r>
              <w:t xml:space="preserve">vs </w:t>
            </w:r>
            <w:r w:rsidRPr="00E57533">
              <w:t xml:space="preserve">3 (8%) </w:t>
            </w:r>
            <w:r>
              <w:t>p=</w:t>
            </w:r>
            <w:r w:rsidRPr="00E57533">
              <w:t>0.745</w:t>
            </w:r>
          </w:p>
          <w:p w14:paraId="2F5EA589" w14:textId="28047386" w:rsidR="000A1756" w:rsidRPr="00E57533" w:rsidRDefault="00641894" w:rsidP="00E57533">
            <w:pPr>
              <w:pStyle w:val="bullet"/>
            </w:pPr>
            <w:r>
              <w:t>Macrosomia</w:t>
            </w:r>
            <w:r w:rsidR="000A1756" w:rsidRPr="00E57533">
              <w:t xml:space="preserve"> </w:t>
            </w:r>
            <w:r>
              <w:t xml:space="preserve">(&gt;4,000 </w:t>
            </w:r>
            <w:r w:rsidR="000A1756" w:rsidRPr="00E57533">
              <w:t>g</w:t>
            </w:r>
            <w:r>
              <w:t>)</w:t>
            </w:r>
            <w:r w:rsidR="000A1756">
              <w:t>:</w:t>
            </w:r>
            <w:r w:rsidR="000A1756" w:rsidRPr="00E57533">
              <w:t xml:space="preserve"> 10 (26%) </w:t>
            </w:r>
            <w:r w:rsidR="000A1756">
              <w:t xml:space="preserve">vs </w:t>
            </w:r>
            <w:r w:rsidR="000A1756" w:rsidRPr="00E57533">
              <w:t xml:space="preserve">7 (19%) </w:t>
            </w:r>
            <w:r w:rsidR="000A1756">
              <w:t>p=</w:t>
            </w:r>
            <w:r w:rsidR="000A1756" w:rsidRPr="00E57533">
              <w:t>0.429</w:t>
            </w:r>
          </w:p>
          <w:p w14:paraId="795B7857" w14:textId="0CA0E560" w:rsidR="000A1756" w:rsidRDefault="00641894" w:rsidP="00E57533">
            <w:pPr>
              <w:pStyle w:val="bullet"/>
            </w:pPr>
            <w:r>
              <w:t>Low b</w:t>
            </w:r>
            <w:r w:rsidR="000A1756" w:rsidRPr="00E57533">
              <w:t xml:space="preserve">irthweight </w:t>
            </w:r>
            <w:r>
              <w:t>(&lt;2,</w:t>
            </w:r>
            <w:r w:rsidR="000A1756" w:rsidRPr="00E57533">
              <w:t>5</w:t>
            </w:r>
            <w:r>
              <w:t xml:space="preserve">00 </w:t>
            </w:r>
            <w:r w:rsidR="000A1756" w:rsidRPr="00E57533">
              <w:t>g</w:t>
            </w:r>
            <w:r>
              <w:t>)</w:t>
            </w:r>
            <w:r w:rsidR="000A1756">
              <w:t>:</w:t>
            </w:r>
            <w:r w:rsidR="000A1756" w:rsidRPr="00E57533">
              <w:t xml:space="preserve"> 1 (3%) </w:t>
            </w:r>
            <w:r w:rsidR="000A1756">
              <w:t xml:space="preserve">vs </w:t>
            </w:r>
            <w:r w:rsidR="000A1756" w:rsidRPr="00E57533">
              <w:t xml:space="preserve">1 (3%) </w:t>
            </w:r>
            <w:r w:rsidR="000A1756">
              <w:t>p=</w:t>
            </w:r>
            <w:r w:rsidR="000A1756" w:rsidRPr="00E57533">
              <w:t>0.860</w:t>
            </w:r>
          </w:p>
        </w:tc>
      </w:tr>
      <w:tr w:rsidR="003E5AEE" w:rsidRPr="00A652CB" w14:paraId="61C86B15"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1E17B8B6" w14:textId="054456F6" w:rsidR="00806DF5" w:rsidRPr="00C12274" w:rsidRDefault="00806DF5" w:rsidP="00E70A06">
            <w:r>
              <w:rPr>
                <w:noProof/>
              </w:rPr>
              <w:t>Simmons et al 2017</w:t>
            </w:r>
            <w:r w:rsidR="00616EE6">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402</w:t>
            </w:r>
            <w:r w:rsidR="00616EE6">
              <w:fldChar w:fldCharType="end"/>
            </w:r>
          </w:p>
          <w:p w14:paraId="13800F1D" w14:textId="0F15F03E" w:rsidR="003E5AEE" w:rsidRDefault="00806DF5" w:rsidP="00E70A06">
            <w:r w:rsidRPr="00C12274">
              <w:t>United Kingdom, Ireland, Netherlands, Austria, Poland, Italy, Spain, Denmark and Belgium</w:t>
            </w:r>
          </w:p>
        </w:tc>
        <w:tc>
          <w:tcPr>
            <w:tcW w:w="1670" w:type="dxa"/>
            <w:tcBorders>
              <w:left w:val="single" w:sz="4" w:space="0" w:color="3B3474"/>
              <w:right w:val="single" w:sz="4" w:space="0" w:color="3B3474"/>
            </w:tcBorders>
          </w:tcPr>
          <w:p w14:paraId="15620A29" w14:textId="05DEF855" w:rsidR="003E5AEE" w:rsidRDefault="003E5AEE" w:rsidP="003E5AEE">
            <w:r>
              <w:t xml:space="preserve">Intervention </w:t>
            </w:r>
            <w:r w:rsidR="00806DF5">
              <w:t>98</w:t>
            </w:r>
          </w:p>
          <w:p w14:paraId="55E99A56" w14:textId="34D02E1E" w:rsidR="003E5AEE" w:rsidRDefault="003E5AEE" w:rsidP="003E5AEE">
            <w:r>
              <w:t xml:space="preserve">Control </w:t>
            </w:r>
            <w:r w:rsidR="00806DF5">
              <w:t>94</w:t>
            </w:r>
          </w:p>
          <w:p w14:paraId="32D09557" w14:textId="7DD2BDB0" w:rsidR="00806DF5" w:rsidRDefault="00806DF5" w:rsidP="003E5AEE">
            <w:r>
              <w:t>4-armed; control group divided by three</w:t>
            </w:r>
          </w:p>
        </w:tc>
        <w:tc>
          <w:tcPr>
            <w:tcW w:w="5395" w:type="dxa"/>
            <w:tcBorders>
              <w:left w:val="single" w:sz="4" w:space="0" w:color="3B3474"/>
              <w:right w:val="single" w:sz="4" w:space="0" w:color="3B3474"/>
            </w:tcBorders>
          </w:tcPr>
          <w:p w14:paraId="68B315A2" w14:textId="77777777" w:rsidR="003E5AEE" w:rsidRDefault="003E5AEE" w:rsidP="003E5AEE">
            <w:r>
              <w:rPr>
                <w:b/>
              </w:rPr>
              <w:t xml:space="preserve">Aim: </w:t>
            </w:r>
            <w:r w:rsidRPr="00CF7049">
              <w:t>to compare the effectiveness of 3 lifestyle interventions</w:t>
            </w:r>
            <w:r>
              <w:t xml:space="preserve"> </w:t>
            </w:r>
            <w:r w:rsidRPr="00CF7049">
              <w:t>[healthy eating (HE), physical activity (PA), and both HE and PA (HE+PA)] with usual care (UC) in</w:t>
            </w:r>
            <w:r>
              <w:t xml:space="preserve"> </w:t>
            </w:r>
            <w:r w:rsidRPr="00CF7049">
              <w:t>reducing GDM risk.</w:t>
            </w:r>
          </w:p>
          <w:p w14:paraId="3951CA88" w14:textId="77777777" w:rsidR="003E5AEE" w:rsidRPr="00CF7049" w:rsidRDefault="003E5AEE" w:rsidP="003E5AEE">
            <w:pPr>
              <w:rPr>
                <w:rFonts w:ascii="Times" w:hAnsi="Times"/>
              </w:rPr>
            </w:pPr>
            <w:r w:rsidRPr="00CF7049">
              <w:rPr>
                <w:b/>
              </w:rPr>
              <w:t>Population</w:t>
            </w:r>
            <w:r>
              <w:t xml:space="preserve">: </w:t>
            </w:r>
            <w:r w:rsidRPr="00CF7049">
              <w:t>pregnant women at with a body mass index (BMI)</w:t>
            </w:r>
            <w:r>
              <w:t xml:space="preserve"> </w:t>
            </w:r>
            <w:r w:rsidRPr="00CF7049">
              <w:rPr>
                <w:rFonts w:ascii="Helvetica" w:hAnsi="Helvetica"/>
              </w:rPr>
              <w:t xml:space="preserve">of </w:t>
            </w:r>
            <w:r>
              <w:rPr>
                <w:rFonts w:ascii="Helvetica" w:hAnsi="Helvetica"/>
              </w:rPr>
              <w:t>≥</w:t>
            </w:r>
            <w:r w:rsidRPr="00CF7049">
              <w:rPr>
                <w:rFonts w:ascii="Helvetica" w:hAnsi="Helvetica"/>
              </w:rPr>
              <w:t>29 kg/m</w:t>
            </w:r>
            <w:r>
              <w:rPr>
                <w:rFonts w:ascii="Helvetica" w:hAnsi="Helvetica"/>
              </w:rPr>
              <w:t xml:space="preserve">, </w:t>
            </w:r>
            <w:r>
              <w:t>≤</w:t>
            </w:r>
            <w:r w:rsidRPr="00CF7049">
              <w:rPr>
                <w:rFonts w:ascii="Times" w:hAnsi="Times"/>
              </w:rPr>
              <w:t>19</w:t>
            </w:r>
            <w:r>
              <w:rPr>
                <w:rFonts w:ascii="Times" w:hAnsi="Times"/>
              </w:rPr>
              <w:t xml:space="preserve">±6 </w:t>
            </w:r>
            <w:r w:rsidRPr="00CF7049">
              <w:t>and aged ≥18 years</w:t>
            </w:r>
            <w:r>
              <w:rPr>
                <w:rFonts w:ascii="Times" w:hAnsi="Times"/>
              </w:rPr>
              <w:t xml:space="preserve"> </w:t>
            </w:r>
            <w:r w:rsidRPr="00CF7049">
              <w:rPr>
                <w:rFonts w:ascii="Helvetica" w:hAnsi="Helvetica"/>
              </w:rPr>
              <w:t>and without GDM using the International Association of Diabetes and Pregnancy</w:t>
            </w:r>
            <w:r>
              <w:t xml:space="preserve"> </w:t>
            </w:r>
            <w:r w:rsidRPr="00CF7049">
              <w:rPr>
                <w:rFonts w:ascii="Helvetica" w:hAnsi="Helvetica"/>
              </w:rPr>
              <w:t>Study Group criteria</w:t>
            </w:r>
            <w:r>
              <w:rPr>
                <w:rFonts w:ascii="Helvetica" w:hAnsi="Helvetica"/>
              </w:rPr>
              <w:t>.</w:t>
            </w:r>
          </w:p>
          <w:p w14:paraId="7C44C951" w14:textId="77777777" w:rsidR="007D4CC2" w:rsidRDefault="007D4CC2" w:rsidP="007D4CC2">
            <w:r w:rsidRPr="005E4EF9">
              <w:rPr>
                <w:b/>
              </w:rPr>
              <w:t>Intervention</w:t>
            </w:r>
            <w:r>
              <w:rPr>
                <w:b/>
              </w:rPr>
              <w:t>:</w:t>
            </w:r>
          </w:p>
          <w:p w14:paraId="75EC27CD" w14:textId="509A8280" w:rsidR="007D4CC2" w:rsidRPr="00C45716" w:rsidRDefault="007D4CC2" w:rsidP="007D4CC2">
            <w:pPr>
              <w:pStyle w:val="bullet"/>
            </w:pPr>
            <w:r w:rsidRPr="00C45716">
              <w:rPr>
                <w:i/>
              </w:rPr>
              <w:t>Supervised</w:t>
            </w:r>
            <w:r w:rsidRPr="00C45716">
              <w:t xml:space="preserve">: </w:t>
            </w:r>
            <w:r w:rsidR="00806DF5">
              <w:t>No</w:t>
            </w:r>
          </w:p>
          <w:p w14:paraId="7FBFDB94" w14:textId="0E70A9B7" w:rsidR="007D4CC2" w:rsidRPr="007D4CC2" w:rsidRDefault="007D4CC2" w:rsidP="007D4CC2">
            <w:pPr>
              <w:pStyle w:val="bullet"/>
            </w:pPr>
            <w:r w:rsidRPr="00C45716">
              <w:rPr>
                <w:i/>
              </w:rPr>
              <w:t>Type and duration</w:t>
            </w:r>
            <w:r w:rsidRPr="00C45716">
              <w:t xml:space="preserve">: </w:t>
            </w:r>
            <w:r>
              <w:t xml:space="preserve">Aerobic and resistance; </w:t>
            </w:r>
            <w:r w:rsidR="00806DF5">
              <w:t>Coaching sessions</w:t>
            </w:r>
            <w:r>
              <w:t>.</w:t>
            </w:r>
          </w:p>
          <w:p w14:paraId="06FE013A" w14:textId="075EFF44" w:rsidR="003E5AEE" w:rsidRPr="0051193B" w:rsidRDefault="007D4CC2" w:rsidP="00806DF5">
            <w:pPr>
              <w:pStyle w:val="bullet"/>
              <w:rPr>
                <w:b/>
              </w:rPr>
            </w:pPr>
            <w:r w:rsidRPr="00C45716">
              <w:rPr>
                <w:i/>
              </w:rPr>
              <w:t>Intensity</w:t>
            </w:r>
            <w:r w:rsidRPr="00C45716">
              <w:t xml:space="preserve">: </w:t>
            </w:r>
            <w:r w:rsidR="00806DF5">
              <w:t>Not described</w:t>
            </w:r>
            <w:r>
              <w:t>.</w:t>
            </w:r>
          </w:p>
        </w:tc>
        <w:tc>
          <w:tcPr>
            <w:tcW w:w="5953" w:type="dxa"/>
            <w:tcBorders>
              <w:left w:val="single" w:sz="4" w:space="0" w:color="3B3474"/>
              <w:right w:val="single" w:sz="4" w:space="0" w:color="3B3474"/>
            </w:tcBorders>
          </w:tcPr>
          <w:p w14:paraId="7B445553" w14:textId="5B571968" w:rsidR="003E5AEE" w:rsidRDefault="003E5AEE" w:rsidP="003E5AEE">
            <w:r>
              <w:t>Intervention (n=76) vs control (n=</w:t>
            </w:r>
            <w:r w:rsidR="00EF06E6">
              <w:t>26</w:t>
            </w:r>
            <w:r>
              <w:t xml:space="preserve">): </w:t>
            </w:r>
          </w:p>
          <w:p w14:paraId="078A5448" w14:textId="77777777" w:rsidR="003E5AEE" w:rsidRPr="000642A4" w:rsidRDefault="003E5AEE" w:rsidP="003E5AEE">
            <w:pPr>
              <w:pStyle w:val="bullet"/>
            </w:pPr>
            <w:r>
              <w:t xml:space="preserve">Gestational weight gain: </w:t>
            </w:r>
            <w:r w:rsidRPr="000642A4">
              <w:t>8.5</w:t>
            </w:r>
            <w:r>
              <w:t>±</w:t>
            </w:r>
            <w:r w:rsidRPr="000642A4">
              <w:t>5.0</w:t>
            </w:r>
            <w:r>
              <w:t xml:space="preserve"> vs </w:t>
            </w:r>
            <w:r w:rsidRPr="000642A4">
              <w:t>8.8</w:t>
            </w:r>
            <w:r>
              <w:t>±</w:t>
            </w:r>
            <w:r w:rsidRPr="000642A4">
              <w:t>4.7</w:t>
            </w:r>
          </w:p>
          <w:p w14:paraId="60CFFCD6" w14:textId="366FCC2F" w:rsidR="003E5AEE" w:rsidRDefault="00A65B49" w:rsidP="003E5AEE">
            <w:pPr>
              <w:pStyle w:val="bullet"/>
            </w:pPr>
            <w:r>
              <w:t>Weight gain &gt;IOM guidelines</w:t>
            </w:r>
            <w:r w:rsidR="003E5AEE">
              <w:t xml:space="preserve">: 55 (72%) vs </w:t>
            </w:r>
            <w:r w:rsidR="00EF06E6">
              <w:t>2</w:t>
            </w:r>
            <w:r w:rsidR="003E5AEE">
              <w:t>0 (76%)</w:t>
            </w:r>
          </w:p>
          <w:p w14:paraId="26237DCD" w14:textId="77777777" w:rsidR="003E5AEE" w:rsidRDefault="003E5AEE" w:rsidP="003E5AEE">
            <w:r>
              <w:t xml:space="preserve">Intervention vs control </w:t>
            </w:r>
          </w:p>
          <w:p w14:paraId="138C52D1" w14:textId="2A072EB1" w:rsidR="00641894" w:rsidRPr="000642A4" w:rsidRDefault="00641894" w:rsidP="00641894">
            <w:pPr>
              <w:pStyle w:val="bullet"/>
            </w:pPr>
            <w:r>
              <w:t>Gestational diabetes 30 (34%) (n=89) vs 12 (39%) (n=31)</w:t>
            </w:r>
          </w:p>
          <w:p w14:paraId="67D7FA56" w14:textId="04239B1F" w:rsidR="003E5AEE" w:rsidRDefault="003E5AEE" w:rsidP="003E5AEE">
            <w:pPr>
              <w:pStyle w:val="bullet"/>
            </w:pPr>
            <w:r w:rsidRPr="00393F36">
              <w:t>SGA</w:t>
            </w:r>
            <w:r>
              <w:t xml:space="preserve">: 5 (6%) (n=87) vs </w:t>
            </w:r>
            <w:r w:rsidR="00EF06E6">
              <w:t>2</w:t>
            </w:r>
            <w:r>
              <w:t xml:space="preserve"> (6%) (n=</w:t>
            </w:r>
            <w:r w:rsidR="00EF06E6">
              <w:t>30</w:t>
            </w:r>
            <w:r>
              <w:t>)</w:t>
            </w:r>
            <w:r w:rsidRPr="00393F36">
              <w:t xml:space="preserve"> </w:t>
            </w:r>
          </w:p>
          <w:p w14:paraId="63ABB5F8" w14:textId="25D57C28" w:rsidR="003E5AEE" w:rsidRPr="00393F36" w:rsidRDefault="003E5AEE" w:rsidP="003E5AEE">
            <w:pPr>
              <w:pStyle w:val="bullet"/>
            </w:pPr>
            <w:r w:rsidRPr="00393F36">
              <w:t>LGA</w:t>
            </w:r>
            <w:r>
              <w:t>: 12 (14%) (n=88)</w:t>
            </w:r>
            <w:r w:rsidRPr="00393F36">
              <w:t xml:space="preserve"> </w:t>
            </w:r>
            <w:r>
              <w:t xml:space="preserve">vs </w:t>
            </w:r>
            <w:r w:rsidR="00EF06E6">
              <w:t>5</w:t>
            </w:r>
            <w:r>
              <w:t xml:space="preserve"> (</w:t>
            </w:r>
            <w:r w:rsidRPr="00393F36">
              <w:t>18</w:t>
            </w:r>
            <w:r>
              <w:t>%</w:t>
            </w:r>
            <w:r w:rsidRPr="00393F36">
              <w:t xml:space="preserve">) </w:t>
            </w:r>
            <w:r>
              <w:t>(n=</w:t>
            </w:r>
            <w:r w:rsidR="00EF06E6">
              <w:t>30</w:t>
            </w:r>
            <w:r>
              <w:t>)</w:t>
            </w:r>
          </w:p>
          <w:p w14:paraId="5981C0A5" w14:textId="77777777" w:rsidR="003E5AEE" w:rsidRDefault="003E5AEE" w:rsidP="00FE2FBE"/>
        </w:tc>
      </w:tr>
      <w:tr w:rsidR="000A1756" w:rsidRPr="00A652CB" w14:paraId="351E877E"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575291F7" w14:textId="74FF32A9" w:rsidR="00806DF5" w:rsidRPr="00C12274" w:rsidRDefault="00806DF5" w:rsidP="00E70A06">
            <w:r>
              <w:rPr>
                <w:noProof/>
              </w:rPr>
              <w:t>SongØYgard et al 2012</w:t>
            </w:r>
            <w:r w:rsidR="00616EE6">
              <w:fldChar w:fldCharType="begin"/>
            </w:r>
            <w:r w:rsidR="002747EA">
              <w:instrText xml:space="preserve"> ADDIN EN.CITE &lt;EndNote&gt;&lt;Cite&gt;&lt;Author&gt;SongØYgard&lt;/Author&gt;&lt;Year&gt;2012&lt;/Year&gt;&lt;RecNum&gt;866&lt;/RecNum&gt;&lt;DisplayText&gt;&lt;style face="superscript" font="Trebuchet MS" size="9"&gt;444&lt;/style&gt;&lt;/DisplayText&gt;&lt;record&gt;&lt;rec-number&gt;866&lt;/rec-number&gt;&lt;foreign-keys&gt;&lt;key app="EN" db-id="exvasrfx2dtraoesasxp2szsxa2df502592x" timestamp="1541540693"&gt;866&lt;/key&gt;&lt;key app="ENWeb" db-id=""&gt;0&lt;/key&gt;&lt;/foreign-keys&gt;&lt;ref-type name="Journal Article"&gt;17&lt;/ref-type&gt;&lt;contributors&gt;&lt;authors&gt;&lt;author&gt;SongØYgard, Kristian M.&lt;/author&gt;&lt;author&gt;Stafne, Signe N.&lt;/author&gt;&lt;author&gt;Evensen, Kari Anne I.&lt;/author&gt;&lt;author&gt;Salvesen, Kjell Å&lt;/author&gt;&lt;author&gt;Vik, Torstein&lt;/author&gt;&lt;author&gt;MØRkved, S. I. V.&lt;/author&gt;&lt;/authors&gt;&lt;/contributors&gt;&lt;titles&gt;&lt;title&gt;Does exercise during pregnancy prevent postnatal depression?&lt;/title&gt;&lt;secondary-title&gt;Acta Obstetricia et Gynecologica Scandinavica&lt;/secondary-title&gt;&lt;/titles&gt;&lt;periodical&gt;&lt;full-title&gt;Acta Obstetricia et Gynecologica Scandinavica&lt;/full-title&gt;&lt;/periodical&gt;&lt;pages&gt;62-67&lt;/pages&gt;&lt;volume&gt;91&lt;/volume&gt;&lt;number&gt;1&lt;/number&gt;&lt;section&gt;62&lt;/section&gt;&lt;dates&gt;&lt;year&gt;2012&lt;/year&gt;&lt;/dates&gt;&lt;isbn&gt;00016349&lt;/isbn&gt;&lt;urls&gt;&lt;/urls&gt;&lt;electronic-resource-num&gt;10.1111/j.1600-0412.2011.01262.x&lt;/electronic-resource-num&gt;&lt;/record&gt;&lt;/Cite&gt;&lt;/EndNote&gt;</w:instrText>
            </w:r>
            <w:r w:rsidR="00616EE6">
              <w:fldChar w:fldCharType="separate"/>
            </w:r>
            <w:r w:rsidR="002747EA" w:rsidRPr="002747EA">
              <w:rPr>
                <w:noProof/>
                <w:vertAlign w:val="superscript"/>
              </w:rPr>
              <w:t>444</w:t>
            </w:r>
            <w:r w:rsidR="00616EE6">
              <w:fldChar w:fldCharType="end"/>
            </w:r>
          </w:p>
          <w:p w14:paraId="151243F2" w14:textId="15B68EC5" w:rsidR="000A1756" w:rsidRDefault="00806DF5" w:rsidP="00E70A06">
            <w:r w:rsidRPr="00C12274">
              <w:t>Norway</w:t>
            </w:r>
          </w:p>
        </w:tc>
        <w:tc>
          <w:tcPr>
            <w:tcW w:w="1670" w:type="dxa"/>
            <w:tcBorders>
              <w:left w:val="single" w:sz="4" w:space="0" w:color="3B3474"/>
              <w:right w:val="single" w:sz="4" w:space="0" w:color="3B3474"/>
            </w:tcBorders>
          </w:tcPr>
          <w:p w14:paraId="1A77962B" w14:textId="77777777" w:rsidR="000A1756" w:rsidRDefault="000A1756" w:rsidP="00D424F3">
            <w:r>
              <w:t>Intervention 379</w:t>
            </w:r>
          </w:p>
          <w:p w14:paraId="78C55C79" w14:textId="44BE20E6" w:rsidR="000A1756" w:rsidRDefault="000A1756" w:rsidP="00D424F3">
            <w:r>
              <w:t>Control 340</w:t>
            </w:r>
          </w:p>
        </w:tc>
        <w:tc>
          <w:tcPr>
            <w:tcW w:w="5395" w:type="dxa"/>
            <w:tcBorders>
              <w:left w:val="single" w:sz="4" w:space="0" w:color="3B3474"/>
              <w:right w:val="single" w:sz="4" w:space="0" w:color="3B3474"/>
            </w:tcBorders>
          </w:tcPr>
          <w:p w14:paraId="6DCC88FC" w14:textId="77777777" w:rsidR="000A1756" w:rsidRDefault="000A1756" w:rsidP="0051193B">
            <w:r w:rsidRPr="0051193B">
              <w:rPr>
                <w:b/>
              </w:rPr>
              <w:t>Aim</w:t>
            </w:r>
            <w:r>
              <w:t xml:space="preserve">: </w:t>
            </w:r>
            <w:r w:rsidRPr="00DD1868">
              <w:t>To study whether exercise during pregnancy reduces the risk of postnatal</w:t>
            </w:r>
            <w:r>
              <w:t xml:space="preserve"> </w:t>
            </w:r>
            <w:r w:rsidRPr="00DD1868">
              <w:t>depression.</w:t>
            </w:r>
          </w:p>
          <w:p w14:paraId="23CA0E28" w14:textId="178FCD79" w:rsidR="000A1756" w:rsidRDefault="000A1756" w:rsidP="0051193B">
            <w:r w:rsidRPr="0051193B">
              <w:rPr>
                <w:b/>
              </w:rPr>
              <w:t>Population</w:t>
            </w:r>
            <w:r>
              <w:t>: W</w:t>
            </w:r>
            <w:r w:rsidRPr="0051193B">
              <w:t xml:space="preserve">omen </w:t>
            </w:r>
            <w:r>
              <w:t>≥</w:t>
            </w:r>
            <w:r w:rsidRPr="0051193B">
              <w:t>18</w:t>
            </w:r>
            <w:r>
              <w:t xml:space="preserve"> </w:t>
            </w:r>
            <w:r w:rsidRPr="0051193B">
              <w:t xml:space="preserve">years with a singleton </w:t>
            </w:r>
            <w:r>
              <w:t>uncomplicated pregnancy.</w:t>
            </w:r>
            <w:r w:rsidR="00806DF5">
              <w:t xml:space="preserve"> Mixed BMIs.</w:t>
            </w:r>
          </w:p>
          <w:p w14:paraId="0C7A49EC" w14:textId="77777777" w:rsidR="007D4CC2" w:rsidRDefault="007D4CC2" w:rsidP="007D4CC2">
            <w:r w:rsidRPr="005E4EF9">
              <w:rPr>
                <w:b/>
              </w:rPr>
              <w:t>Intervention</w:t>
            </w:r>
            <w:r>
              <w:rPr>
                <w:b/>
              </w:rPr>
              <w:t>:</w:t>
            </w:r>
          </w:p>
          <w:p w14:paraId="4A72880C" w14:textId="77777777" w:rsidR="007D4CC2" w:rsidRPr="00C45716" w:rsidRDefault="007D4CC2" w:rsidP="007D4CC2">
            <w:pPr>
              <w:pStyle w:val="bullet"/>
            </w:pPr>
            <w:r w:rsidRPr="00C45716">
              <w:rPr>
                <w:i/>
              </w:rPr>
              <w:t>Supervised</w:t>
            </w:r>
            <w:r w:rsidRPr="00C45716">
              <w:t xml:space="preserve">: </w:t>
            </w:r>
            <w:r>
              <w:t>Yes</w:t>
            </w:r>
          </w:p>
          <w:p w14:paraId="26DA1FBC" w14:textId="4B8B6982" w:rsidR="007D4CC2" w:rsidRPr="007D4CC2" w:rsidRDefault="007D4CC2" w:rsidP="00806DF5">
            <w:pPr>
              <w:pStyle w:val="bullet"/>
            </w:pPr>
            <w:r w:rsidRPr="00C45716">
              <w:rPr>
                <w:i/>
              </w:rPr>
              <w:t>Type and duration</w:t>
            </w:r>
            <w:r w:rsidRPr="00C45716">
              <w:t xml:space="preserve">: </w:t>
            </w:r>
            <w:r>
              <w:t xml:space="preserve">Aerobic and resistance; </w:t>
            </w:r>
            <w:r w:rsidR="00806DF5">
              <w:t>Not specified</w:t>
            </w:r>
            <w:r>
              <w:t xml:space="preserve">; </w:t>
            </w:r>
            <w:r w:rsidR="00806DF5" w:rsidRPr="00C12274">
              <w:t>60 min, 1 time a week for 12 weeks between weeks 20 and 36, plus 45 home-based activity at least twice a week</w:t>
            </w:r>
            <w:r>
              <w:t>.</w:t>
            </w:r>
          </w:p>
          <w:p w14:paraId="46798BB0" w14:textId="365AC9A3" w:rsidR="007D4CC2" w:rsidRPr="007D4CC2" w:rsidRDefault="007D4CC2" w:rsidP="00806DF5">
            <w:pPr>
              <w:pStyle w:val="bullet"/>
            </w:pPr>
            <w:r w:rsidRPr="00C45716">
              <w:rPr>
                <w:i/>
              </w:rPr>
              <w:t>Intensity</w:t>
            </w:r>
            <w:r w:rsidRPr="00C45716">
              <w:t xml:space="preserve">: </w:t>
            </w:r>
            <w:r w:rsidR="00806DF5" w:rsidRPr="00C12274">
              <w:rPr>
                <w:sz w:val="16"/>
                <w:szCs w:val="16"/>
              </w:rPr>
              <w:t>Not described</w:t>
            </w:r>
            <w:r>
              <w:t>.</w:t>
            </w:r>
          </w:p>
        </w:tc>
        <w:tc>
          <w:tcPr>
            <w:tcW w:w="5953" w:type="dxa"/>
            <w:tcBorders>
              <w:left w:val="single" w:sz="4" w:space="0" w:color="3B3474"/>
              <w:right w:val="single" w:sz="4" w:space="0" w:color="3B3474"/>
            </w:tcBorders>
          </w:tcPr>
          <w:p w14:paraId="689DBA72" w14:textId="2C0D6825" w:rsidR="000A1756" w:rsidRDefault="000A1756" w:rsidP="00FE2FBE">
            <w:r>
              <w:t>Intervention vs control 3 months postpartum</w:t>
            </w:r>
            <w:r w:rsidR="008A6848">
              <w:t xml:space="preserve"> (all women)</w:t>
            </w:r>
            <w:r>
              <w:t>:</w:t>
            </w:r>
          </w:p>
          <w:p w14:paraId="1C0A341D" w14:textId="77777777" w:rsidR="000A1756" w:rsidRDefault="000A1756" w:rsidP="0051193B">
            <w:pPr>
              <w:pStyle w:val="bullet"/>
            </w:pPr>
            <w:r w:rsidRPr="00DD1868">
              <w:t>EPDS score of ≥10</w:t>
            </w:r>
            <w:r>
              <w:t>: 14</w:t>
            </w:r>
            <w:r w:rsidRPr="00DD1868">
              <w:t xml:space="preserve"> (3.7%) </w:t>
            </w:r>
            <w:r>
              <w:t>vs</w:t>
            </w:r>
            <w:r w:rsidRPr="00DD1868">
              <w:t xml:space="preserve"> 17 (5.0%) (p=0.46)</w:t>
            </w:r>
          </w:p>
          <w:p w14:paraId="6C1125F4" w14:textId="2F6E8908" w:rsidR="000A1756" w:rsidRDefault="000A1756" w:rsidP="0051193B">
            <w:pPr>
              <w:pStyle w:val="bullet"/>
            </w:pPr>
            <w:r w:rsidRPr="00DD1868">
              <w:t>EPDS score of ≥13</w:t>
            </w:r>
            <w:r>
              <w:t>: 4</w:t>
            </w:r>
            <w:r w:rsidRPr="00DD1868">
              <w:t xml:space="preserve"> (1.2%) </w:t>
            </w:r>
            <w:r>
              <w:t>vs 8</w:t>
            </w:r>
            <w:r w:rsidRPr="00DD1868">
              <w:t xml:space="preserve"> (2.4%) </w:t>
            </w:r>
            <w:r>
              <w:t>(p=0.25)</w:t>
            </w:r>
          </w:p>
          <w:p w14:paraId="7703D3B6" w14:textId="1571DC3B" w:rsidR="000A1756" w:rsidRDefault="000A1756" w:rsidP="00E73883">
            <w:r>
              <w:t>Intervention (n=100) vs control (n=90) 3 months postpartum among women who did not exercise regularly before pregnancy:</w:t>
            </w:r>
          </w:p>
          <w:p w14:paraId="7A9CFDA5" w14:textId="4387A8EA" w:rsidR="000A1756" w:rsidRPr="00AA04EB" w:rsidRDefault="000A1756" w:rsidP="00AA04EB">
            <w:pPr>
              <w:pStyle w:val="bullet"/>
            </w:pPr>
            <w:r w:rsidRPr="00DD1868">
              <w:t>EPDS score of ≥10</w:t>
            </w:r>
            <w:r>
              <w:t xml:space="preserve">: </w:t>
            </w:r>
            <w:r w:rsidRPr="00AA04EB">
              <w:t xml:space="preserve">2 </w:t>
            </w:r>
            <w:r>
              <w:t>(</w:t>
            </w:r>
            <w:r w:rsidRPr="00AA04EB">
              <w:t>2</w:t>
            </w:r>
            <w:r>
              <w:t>.0%) vs</w:t>
            </w:r>
            <w:r w:rsidRPr="00AA04EB">
              <w:t xml:space="preserve"> 9 </w:t>
            </w:r>
            <w:r>
              <w:t>(</w:t>
            </w:r>
            <w:r w:rsidRPr="00AA04EB">
              <w:t>9.5</w:t>
            </w:r>
            <w:r>
              <w:t>%) OR</w:t>
            </w:r>
            <w:r w:rsidRPr="00AA04EB">
              <w:t xml:space="preserve"> 0.2 </w:t>
            </w:r>
            <w:r>
              <w:t>(</w:t>
            </w:r>
            <w:r w:rsidRPr="00AA04EB">
              <w:t>0.04</w:t>
            </w:r>
            <w:r>
              <w:t xml:space="preserve"> to </w:t>
            </w:r>
            <w:r w:rsidRPr="00AA04EB">
              <w:t>0.93</w:t>
            </w:r>
            <w:r>
              <w:t>)</w:t>
            </w:r>
            <w:r w:rsidRPr="00AA04EB">
              <w:t xml:space="preserve"> </w:t>
            </w:r>
            <w:r>
              <w:t>p=</w:t>
            </w:r>
            <w:r w:rsidRPr="00AA04EB">
              <w:t>0.03</w:t>
            </w:r>
          </w:p>
          <w:p w14:paraId="3FF0B0FC" w14:textId="72BC294B" w:rsidR="000A1756" w:rsidRPr="00AA04EB" w:rsidRDefault="000A1756" w:rsidP="00AA04EB">
            <w:pPr>
              <w:pStyle w:val="bullet"/>
            </w:pPr>
            <w:r w:rsidRPr="00DD1868">
              <w:t>EPDS score of ≥13</w:t>
            </w:r>
            <w:r>
              <w:t xml:space="preserve">: </w:t>
            </w:r>
            <w:r w:rsidRPr="00AA04EB">
              <w:t xml:space="preserve">0 </w:t>
            </w:r>
            <w:r>
              <w:t>(</w:t>
            </w:r>
            <w:r w:rsidRPr="00AA04EB">
              <w:t>0</w:t>
            </w:r>
            <w:r>
              <w:t>%) vs</w:t>
            </w:r>
            <w:r w:rsidRPr="00AA04EB">
              <w:t xml:space="preserve"> 3 </w:t>
            </w:r>
            <w:r>
              <w:t>(</w:t>
            </w:r>
            <w:r w:rsidRPr="00AA04EB">
              <w:t>3.2</w:t>
            </w:r>
            <w:r>
              <w:t>%)</w:t>
            </w:r>
            <w:r w:rsidRPr="00AA04EB">
              <w:t xml:space="preserve"> </w:t>
            </w:r>
            <w:r>
              <w:t>p=</w:t>
            </w:r>
            <w:r w:rsidRPr="00AA04EB">
              <w:t>0.11</w:t>
            </w:r>
          </w:p>
        </w:tc>
      </w:tr>
      <w:tr w:rsidR="00F377F9" w:rsidRPr="00A652CB" w14:paraId="19A41618" w14:textId="77777777" w:rsidTr="009A1385">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1802C791" w14:textId="6EBF243F" w:rsidR="00806DF5" w:rsidRPr="00C12274" w:rsidRDefault="00806DF5" w:rsidP="00E70A06">
            <w:r>
              <w:rPr>
                <w:noProof/>
              </w:rPr>
              <w:t>Stafne et al 2012</w:t>
            </w:r>
            <w:r w:rsidR="00616EE6">
              <w:fldChar w:fldCharType="begin"/>
            </w:r>
            <w:r w:rsidR="002747EA">
              <w:instrText xml:space="preserve"> ADDIN EN.CITE &lt;EndNote&gt;&lt;Cite&gt;&lt;Author&gt;Stafne&lt;/Author&gt;&lt;Year&gt;2012&lt;/Year&gt;&lt;RecNum&gt;1060&lt;/RecNum&gt;&lt;DisplayText&gt;&lt;style face="superscript" font="Trebuchet MS" size="9"&gt;445&lt;/style&gt;&lt;/DisplayText&gt;&lt;record&gt;&lt;rec-number&gt;1060&lt;/rec-number&gt;&lt;foreign-keys&gt;&lt;key app="EN" db-id="exvasrfx2dtraoesasxp2szsxa2df502592x" timestamp="1548983476"&gt;1060&lt;/key&gt;&lt;/foreign-keys&gt;&lt;ref-type name="Journal Article"&gt;17&lt;/ref-type&gt;&lt;contributors&gt;&lt;authors&gt;&lt;author&gt;Stafne, Signe N.&lt;/author&gt;&lt;author&gt;Salvesen, Kjell </w:instrText>
            </w:r>
            <w:r w:rsidR="002747EA">
              <w:rPr>
                <w:rFonts w:ascii="MS Mincho" w:eastAsia="MS Mincho" w:hAnsi="MS Mincho" w:cs="MS Mincho"/>
              </w:rPr>
              <w:instrText>Å</w:instrText>
            </w:r>
            <w:r w:rsidR="002747EA">
              <w:instrText>&lt;/author&gt;&lt;author&gt;Romundstad, Pål R.&lt;/author&gt;&lt;author&gt;Eggebø, Torbjørn M.&lt;/author&gt;&lt;author&gt;Carlsen, Sven M.&lt;/author&gt;&lt;author&gt;Mørkved, Siv&lt;/author&gt;&lt;/authors&gt;&lt;/contributors&gt;&lt;titles&gt;&lt;title&gt;Regular Exercise During Pregnancy to Prevent Gestational Diabetes&lt;/title&gt;&lt;secondary-title&gt;Obstetrics &amp;amp; Gynecology&lt;/secondary-title&gt;&lt;/titles&gt;&lt;periodical&gt;&lt;full-title&gt;Obstetrics &amp;amp; Gynecology&lt;/full-title&gt;&lt;/periodical&gt;&lt;pages&gt;29-36&lt;/pages&gt;&lt;volume&gt;119&lt;/volume&gt;&lt;number&gt;1&lt;/number&gt;&lt;section&gt;29&lt;/section&gt;&lt;dates&gt;&lt;year&gt;2012&lt;/year&gt;&lt;/dates&gt;&lt;isbn&gt;0029-7844&lt;/isbn&gt;&lt;urls&gt;&lt;/urls&gt;&lt;electronic-resource-num&gt;10.1097/AOG.0b013e3182393f86&lt;/electronic-resource-num&gt;&lt;/record&gt;&lt;/Cite&gt;&lt;/EndNote&gt;</w:instrText>
            </w:r>
            <w:r w:rsidR="00616EE6">
              <w:fldChar w:fldCharType="separate"/>
            </w:r>
            <w:r w:rsidR="002747EA" w:rsidRPr="002747EA">
              <w:rPr>
                <w:noProof/>
                <w:vertAlign w:val="superscript"/>
              </w:rPr>
              <w:t>445</w:t>
            </w:r>
            <w:r w:rsidR="00616EE6">
              <w:fldChar w:fldCharType="end"/>
            </w:r>
          </w:p>
          <w:p w14:paraId="4C99CD58" w14:textId="3DAEB435" w:rsidR="00F377F9" w:rsidRDefault="00806DF5" w:rsidP="00E70A06">
            <w:r w:rsidRPr="00C12274">
              <w:t>Norway</w:t>
            </w:r>
          </w:p>
        </w:tc>
        <w:tc>
          <w:tcPr>
            <w:tcW w:w="1670" w:type="dxa"/>
            <w:tcBorders>
              <w:left w:val="single" w:sz="4" w:space="0" w:color="3B3474"/>
              <w:right w:val="single" w:sz="4" w:space="0" w:color="3B3474"/>
            </w:tcBorders>
          </w:tcPr>
          <w:p w14:paraId="436778D8" w14:textId="77777777" w:rsidR="00F377F9" w:rsidRDefault="00F377F9" w:rsidP="009A1385">
            <w:r>
              <w:t>Intervention 429</w:t>
            </w:r>
          </w:p>
          <w:p w14:paraId="7393C212" w14:textId="77777777" w:rsidR="00F377F9" w:rsidRDefault="00F377F9" w:rsidP="009A1385">
            <w:r>
              <w:t>Control 426</w:t>
            </w:r>
          </w:p>
        </w:tc>
        <w:tc>
          <w:tcPr>
            <w:tcW w:w="5395" w:type="dxa"/>
            <w:tcBorders>
              <w:left w:val="single" w:sz="4" w:space="0" w:color="3B3474"/>
              <w:right w:val="single" w:sz="4" w:space="0" w:color="3B3474"/>
            </w:tcBorders>
          </w:tcPr>
          <w:p w14:paraId="068910F2" w14:textId="77777777" w:rsidR="00F377F9" w:rsidRPr="007667BA" w:rsidRDefault="00F377F9" w:rsidP="009A1385">
            <w:r w:rsidRPr="00AA04EB">
              <w:rPr>
                <w:b/>
              </w:rPr>
              <w:t>Aim</w:t>
            </w:r>
            <w:r w:rsidRPr="007667BA">
              <w:t>:</w:t>
            </w:r>
            <w:r>
              <w:rPr>
                <w:sz w:val="14"/>
                <w:szCs w:val="14"/>
              </w:rPr>
              <w:t xml:space="preserve"> </w:t>
            </w:r>
            <w:r w:rsidRPr="007667BA">
              <w:t>To assess whether exercise during pregnancy can prevent gestational diabetes and improve insulin resi</w:t>
            </w:r>
            <w:r>
              <w:t>stance</w:t>
            </w:r>
            <w:r w:rsidRPr="007667BA">
              <w:t>.</w:t>
            </w:r>
          </w:p>
          <w:p w14:paraId="535BD6AD" w14:textId="74C09AC2" w:rsidR="00F377F9" w:rsidRPr="007667BA" w:rsidRDefault="00F377F9" w:rsidP="009A1385">
            <w:r w:rsidRPr="007667BA">
              <w:rPr>
                <w:b/>
              </w:rPr>
              <w:t>Population</w:t>
            </w:r>
            <w:r>
              <w:t xml:space="preserve">: </w:t>
            </w:r>
            <w:r w:rsidR="003C7B26">
              <w:t>W</w:t>
            </w:r>
            <w:r>
              <w:t>omen &gt;18 years with a singleton pregnancy.</w:t>
            </w:r>
            <w:r w:rsidR="00806DF5">
              <w:t xml:space="preserve"> Mixed BMIs.</w:t>
            </w:r>
          </w:p>
          <w:p w14:paraId="05477E9F" w14:textId="77777777" w:rsidR="00F377F9" w:rsidRDefault="00F377F9" w:rsidP="009A1385">
            <w:r w:rsidRPr="005E4EF9">
              <w:rPr>
                <w:b/>
              </w:rPr>
              <w:t>Intervention</w:t>
            </w:r>
            <w:r>
              <w:rPr>
                <w:b/>
              </w:rPr>
              <w:t>:</w:t>
            </w:r>
          </w:p>
          <w:p w14:paraId="22D15016" w14:textId="77777777" w:rsidR="00F377F9" w:rsidRPr="00C45716" w:rsidRDefault="00F377F9" w:rsidP="009A1385">
            <w:pPr>
              <w:pStyle w:val="bullet"/>
            </w:pPr>
            <w:r w:rsidRPr="00C45716">
              <w:rPr>
                <w:i/>
              </w:rPr>
              <w:t>Supervised</w:t>
            </w:r>
            <w:r w:rsidRPr="00C45716">
              <w:t xml:space="preserve">: </w:t>
            </w:r>
            <w:r>
              <w:t>Yes</w:t>
            </w:r>
          </w:p>
          <w:p w14:paraId="52FA29EB" w14:textId="3AFFD4F2" w:rsidR="00F377F9" w:rsidRPr="007D4CC2" w:rsidRDefault="00F377F9" w:rsidP="00806DF5">
            <w:pPr>
              <w:pStyle w:val="bullet"/>
            </w:pPr>
            <w:r w:rsidRPr="00C45716">
              <w:rPr>
                <w:i/>
              </w:rPr>
              <w:t>Type and duration</w:t>
            </w:r>
            <w:r w:rsidRPr="00C45716">
              <w:t xml:space="preserve">: </w:t>
            </w:r>
            <w:r>
              <w:t xml:space="preserve">Aerobic and resistance; </w:t>
            </w:r>
            <w:r w:rsidR="00806DF5">
              <w:t>Dance</w:t>
            </w:r>
            <w:r w:rsidRPr="00C12274">
              <w:t>, muscle strengthening</w:t>
            </w:r>
            <w:r w:rsidR="00D55146">
              <w:t xml:space="preserve"> (including pelvic floor muscle exercises)</w:t>
            </w:r>
            <w:r>
              <w:t xml:space="preserve">; </w:t>
            </w:r>
            <w:r w:rsidR="00806DF5" w:rsidRPr="00C12274">
              <w:t>55-70 min, 3 times a week from week 20 to 36 plus 45 min home exercise program at least twice a week</w:t>
            </w:r>
            <w:r>
              <w:t>.</w:t>
            </w:r>
          </w:p>
          <w:p w14:paraId="6226F29D" w14:textId="4B013DB3" w:rsidR="00F377F9" w:rsidRPr="004A260E" w:rsidRDefault="00F377F9" w:rsidP="00806DF5">
            <w:pPr>
              <w:pStyle w:val="bullet"/>
            </w:pPr>
            <w:r w:rsidRPr="00C45716">
              <w:rPr>
                <w:i/>
              </w:rPr>
              <w:t>Intensity</w:t>
            </w:r>
            <w:r w:rsidRPr="00C45716">
              <w:t xml:space="preserve">: </w:t>
            </w:r>
            <w:r w:rsidRPr="00C12274">
              <w:t>Moderate; Borg scale 1</w:t>
            </w:r>
            <w:r w:rsidR="00806DF5">
              <w:t>3</w:t>
            </w:r>
            <w:r w:rsidRPr="00C12274">
              <w:t>-14</w:t>
            </w:r>
            <w:r>
              <w:t>.</w:t>
            </w:r>
          </w:p>
        </w:tc>
        <w:tc>
          <w:tcPr>
            <w:tcW w:w="5953" w:type="dxa"/>
            <w:tcBorders>
              <w:left w:val="single" w:sz="4" w:space="0" w:color="3B3474"/>
              <w:right w:val="single" w:sz="4" w:space="0" w:color="3B3474"/>
            </w:tcBorders>
          </w:tcPr>
          <w:p w14:paraId="0B364D80" w14:textId="77777777" w:rsidR="00F377F9" w:rsidRDefault="00F377F9" w:rsidP="009A1385">
            <w:r>
              <w:t>Intervention vs control:</w:t>
            </w:r>
          </w:p>
          <w:p w14:paraId="3D47E085" w14:textId="77777777" w:rsidR="00F377F9" w:rsidRDefault="00F377F9" w:rsidP="009A1385">
            <w:pPr>
              <w:pStyle w:val="bullet"/>
            </w:pPr>
            <w:r>
              <w:t xml:space="preserve">Gestational diabetes: </w:t>
            </w:r>
            <w:r w:rsidRPr="004A260E">
              <w:t>25</w:t>
            </w:r>
            <w:r>
              <w:t>/</w:t>
            </w:r>
            <w:r w:rsidRPr="004A260E">
              <w:t xml:space="preserve">375 (7%) </w:t>
            </w:r>
            <w:r>
              <w:t>vs</w:t>
            </w:r>
            <w:r w:rsidRPr="004A260E">
              <w:t xml:space="preserve"> 18</w:t>
            </w:r>
            <w:r>
              <w:t>/</w:t>
            </w:r>
            <w:r w:rsidRPr="004A260E">
              <w:t xml:space="preserve">327 (6%) </w:t>
            </w:r>
            <w:r w:rsidRPr="004A260E">
              <w:rPr>
                <w:lang w:val="en-AU"/>
              </w:rPr>
              <w:t>(P</w:t>
            </w:r>
            <w:r>
              <w:t>=</w:t>
            </w:r>
            <w:r w:rsidRPr="004A260E">
              <w:t>0</w:t>
            </w:r>
            <w:r w:rsidRPr="004A260E">
              <w:rPr>
                <w:lang w:val="en-AU"/>
              </w:rPr>
              <w:t>.52).</w:t>
            </w:r>
          </w:p>
          <w:p w14:paraId="097D30ED" w14:textId="433F33CC" w:rsidR="00F377F9" w:rsidRPr="00600C87" w:rsidRDefault="009A1385" w:rsidP="009A1385">
            <w:pPr>
              <w:pStyle w:val="bullet"/>
            </w:pPr>
            <w:r>
              <w:t>Macrosomia (</w:t>
            </w:r>
            <w:r w:rsidR="00F377F9">
              <w:t>&gt;4,000</w:t>
            </w:r>
            <w:r w:rsidR="00334668">
              <w:t xml:space="preserve"> </w:t>
            </w:r>
            <w:r w:rsidR="00F377F9" w:rsidRPr="00600C87">
              <w:t>g</w:t>
            </w:r>
            <w:r>
              <w:t>)</w:t>
            </w:r>
            <w:r w:rsidR="00F377F9">
              <w:t>: 71/426</w:t>
            </w:r>
            <w:r w:rsidR="00F377F9" w:rsidRPr="00600C87">
              <w:t xml:space="preserve"> (16.7) </w:t>
            </w:r>
            <w:r w:rsidR="00F377F9">
              <w:t xml:space="preserve">vs </w:t>
            </w:r>
            <w:r w:rsidR="00F377F9" w:rsidRPr="00600C87">
              <w:t>78</w:t>
            </w:r>
            <w:r w:rsidR="00F377F9">
              <w:t>/425</w:t>
            </w:r>
            <w:r w:rsidR="00F377F9" w:rsidRPr="00600C87">
              <w:t xml:space="preserve"> (18.4) </w:t>
            </w:r>
            <w:r w:rsidR="00F377F9">
              <w:t xml:space="preserve">OR </w:t>
            </w:r>
            <w:r w:rsidR="00F377F9" w:rsidRPr="00600C87">
              <w:t>0.9 (0.7</w:t>
            </w:r>
            <w:r w:rsidR="00F377F9">
              <w:t xml:space="preserve"> to </w:t>
            </w:r>
            <w:r w:rsidR="00F377F9" w:rsidRPr="00600C87">
              <w:t xml:space="preserve">1.2) </w:t>
            </w:r>
            <w:r w:rsidR="00F377F9">
              <w:t>p=0</w:t>
            </w:r>
            <w:r w:rsidR="00F377F9" w:rsidRPr="00600C87">
              <w:t>.52</w:t>
            </w:r>
          </w:p>
          <w:p w14:paraId="22CAA913" w14:textId="77777777" w:rsidR="00F377F9" w:rsidRPr="00600C87" w:rsidRDefault="00F377F9" w:rsidP="009A1385">
            <w:pPr>
              <w:pStyle w:val="bullet"/>
            </w:pPr>
            <w:r w:rsidRPr="00600C87">
              <w:t>Gestational hypertension</w:t>
            </w:r>
            <w:r>
              <w:t>:</w:t>
            </w:r>
            <w:r w:rsidRPr="00600C87">
              <w:rPr>
                <w:sz w:val="8"/>
                <w:szCs w:val="8"/>
              </w:rPr>
              <w:t xml:space="preserve"> </w:t>
            </w:r>
            <w:r w:rsidRPr="00600C87">
              <w:t>11</w:t>
            </w:r>
            <w:r>
              <w:t>/</w:t>
            </w:r>
            <w:r w:rsidRPr="00600C87">
              <w:t xml:space="preserve">385 (2.9) </w:t>
            </w:r>
            <w:r>
              <w:t xml:space="preserve">vs </w:t>
            </w:r>
            <w:r w:rsidRPr="00600C87">
              <w:t>11</w:t>
            </w:r>
            <w:r>
              <w:t>/</w:t>
            </w:r>
            <w:r w:rsidRPr="00600C87">
              <w:t xml:space="preserve">340 (3.2) </w:t>
            </w:r>
            <w:r>
              <w:t xml:space="preserve">OR </w:t>
            </w:r>
            <w:r w:rsidRPr="00600C87">
              <w:t>0.9 (0.4</w:t>
            </w:r>
            <w:r>
              <w:t xml:space="preserve"> to </w:t>
            </w:r>
            <w:r w:rsidRPr="00600C87">
              <w:t xml:space="preserve">2.0) </w:t>
            </w:r>
            <w:r>
              <w:t>p=0</w:t>
            </w:r>
            <w:r w:rsidRPr="00600C87">
              <w:t>.77</w:t>
            </w:r>
          </w:p>
          <w:p w14:paraId="53C5017D" w14:textId="77777777" w:rsidR="00F377F9" w:rsidRPr="00600C87" w:rsidRDefault="00F377F9" w:rsidP="009A1385">
            <w:pPr>
              <w:pStyle w:val="bullet"/>
            </w:pPr>
            <w:r w:rsidRPr="00600C87">
              <w:t>Preeclampsia 16</w:t>
            </w:r>
            <w:r>
              <w:t>/</w:t>
            </w:r>
            <w:r w:rsidRPr="00600C87">
              <w:t xml:space="preserve">426 (3.8) </w:t>
            </w:r>
            <w:r>
              <w:t xml:space="preserve">vs </w:t>
            </w:r>
            <w:r w:rsidRPr="00600C87">
              <w:t>16</w:t>
            </w:r>
            <w:r>
              <w:t>/</w:t>
            </w:r>
            <w:r w:rsidRPr="00600C87">
              <w:t xml:space="preserve">426 (3.8) </w:t>
            </w:r>
            <w:r>
              <w:t xml:space="preserve">OR </w:t>
            </w:r>
            <w:r w:rsidRPr="00600C87">
              <w:t xml:space="preserve">1.0 (0.5–2.0) </w:t>
            </w:r>
            <w:r>
              <w:t>p=0</w:t>
            </w:r>
            <w:r w:rsidRPr="00600C87">
              <w:t>.99</w:t>
            </w:r>
          </w:p>
          <w:p w14:paraId="47D6EC1B" w14:textId="77777777" w:rsidR="00F377F9" w:rsidRPr="00600C87" w:rsidRDefault="00F377F9" w:rsidP="009A1385">
            <w:pPr>
              <w:pStyle w:val="bullet"/>
            </w:pPr>
            <w:r w:rsidRPr="00600C87">
              <w:t>C</w:t>
            </w:r>
            <w:r>
              <w:t>a</w:t>
            </w:r>
            <w:r w:rsidRPr="00600C87">
              <w:t xml:space="preserve">esarean </w:t>
            </w:r>
            <w:r>
              <w:t>section: 45/</w:t>
            </w:r>
            <w:r w:rsidRPr="00600C87">
              <w:t xml:space="preserve">426 (10.6) </w:t>
            </w:r>
            <w:r>
              <w:t xml:space="preserve">vs </w:t>
            </w:r>
            <w:r w:rsidRPr="00600C87">
              <w:t>50</w:t>
            </w:r>
            <w:r>
              <w:t>/</w:t>
            </w:r>
            <w:r w:rsidRPr="00600C87">
              <w:t xml:space="preserve">425 (11.8) </w:t>
            </w:r>
            <w:r>
              <w:t xml:space="preserve">OR </w:t>
            </w:r>
            <w:r w:rsidRPr="00600C87">
              <w:t>0.9 (0.6</w:t>
            </w:r>
            <w:r>
              <w:t xml:space="preserve"> to </w:t>
            </w:r>
            <w:r w:rsidRPr="00600C87">
              <w:t xml:space="preserve">1.3) </w:t>
            </w:r>
            <w:r>
              <w:t>p=0</w:t>
            </w:r>
            <w:r w:rsidRPr="00600C87">
              <w:t>.58</w:t>
            </w:r>
          </w:p>
          <w:p w14:paraId="1B2C9D87" w14:textId="77777777" w:rsidR="00F377F9" w:rsidRPr="008D43D4" w:rsidRDefault="00F377F9" w:rsidP="009A1385">
            <w:pPr>
              <w:pStyle w:val="bullet"/>
            </w:pPr>
            <w:r w:rsidRPr="00600C87">
              <w:t xml:space="preserve">Apgar score </w:t>
            </w:r>
            <w:r>
              <w:t>&lt;</w:t>
            </w:r>
            <w:r w:rsidRPr="00600C87">
              <w:t>7 after 5 min</w:t>
            </w:r>
            <w:r>
              <w:t>:</w:t>
            </w:r>
            <w:r w:rsidRPr="00600C87">
              <w:t xml:space="preserve"> 3</w:t>
            </w:r>
            <w:r>
              <w:t>/</w:t>
            </w:r>
            <w:r w:rsidRPr="00600C87">
              <w:t xml:space="preserve">422 (0.7) </w:t>
            </w:r>
            <w:r>
              <w:t xml:space="preserve">vs </w:t>
            </w:r>
            <w:r w:rsidRPr="00600C87">
              <w:t>4</w:t>
            </w:r>
            <w:r>
              <w:t>/</w:t>
            </w:r>
            <w:r w:rsidRPr="00600C87">
              <w:t xml:space="preserve">414 (1.0) </w:t>
            </w:r>
            <w:r>
              <w:t xml:space="preserve">OR </w:t>
            </w:r>
            <w:r w:rsidRPr="00600C87">
              <w:t>0.7 (0.2</w:t>
            </w:r>
            <w:r>
              <w:t xml:space="preserve"> to </w:t>
            </w:r>
            <w:r w:rsidRPr="00600C87">
              <w:t xml:space="preserve">3.3) </w:t>
            </w:r>
            <w:r>
              <w:t>p=0</w:t>
            </w:r>
            <w:r w:rsidRPr="00600C87">
              <w:t>.69</w:t>
            </w:r>
          </w:p>
        </w:tc>
      </w:tr>
      <w:tr w:rsidR="000A1756" w:rsidRPr="00A652CB" w14:paraId="3D448FF5"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5593E571" w14:textId="66CB5845" w:rsidR="00806DF5" w:rsidRPr="00C12274" w:rsidRDefault="00806DF5" w:rsidP="00E70A06">
            <w:r w:rsidRPr="00C12274">
              <w:rPr>
                <w:noProof/>
              </w:rPr>
              <w:t>T</w:t>
            </w:r>
            <w:r>
              <w:rPr>
                <w:noProof/>
              </w:rPr>
              <w:t>aniguchi &amp; Sato 2016</w:t>
            </w:r>
            <w:r w:rsidR="00616EE6">
              <w:fldChar w:fldCharType="begin"/>
            </w:r>
            <w:r w:rsidR="002747EA">
              <w:instrText xml:space="preserve"> ADDIN EN.CITE &lt;EndNote&gt;&lt;Cite&gt;&lt;Author&gt;Taniguchi&lt;/Author&gt;&lt;Year&gt;2016&lt;/Year&gt;&lt;RecNum&gt;911&lt;/RecNum&gt;&lt;DisplayText&gt;&lt;style face="superscript" font="Trebuchet MS" size="9"&gt;299&lt;/style&gt;&lt;/DisplayText&gt;&lt;record&gt;&lt;rec-number&gt;911&lt;/rec-number&gt;&lt;foreign-keys&gt;&lt;key app="EN" db-id="exvasrfx2dtraoesasxp2szsxa2df502592x" timestamp="1541540861"&gt;911&lt;/key&gt;&lt;key app="ENWeb" db-id=""&gt;0&lt;/key&gt;&lt;/foreign-keys&gt;&lt;ref-type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Pract&lt;/secondary-title&gt;&lt;/titles&gt;&lt;periodical&gt;&lt;full-title&gt;Int J Nurs Pract&lt;/full-title&gt;&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electronic-resource-num&gt;10.1111/ijn.12453&lt;/electronic-resource-num&gt;&lt;/record&gt;&lt;/Cite&gt;&lt;/EndNote&gt;</w:instrText>
            </w:r>
            <w:r w:rsidR="00616EE6">
              <w:fldChar w:fldCharType="separate"/>
            </w:r>
            <w:r w:rsidR="002747EA" w:rsidRPr="002747EA">
              <w:rPr>
                <w:noProof/>
                <w:vertAlign w:val="superscript"/>
              </w:rPr>
              <w:t>299</w:t>
            </w:r>
            <w:r w:rsidR="00616EE6">
              <w:fldChar w:fldCharType="end"/>
            </w:r>
          </w:p>
          <w:p w14:paraId="75C45D07" w14:textId="25D60176" w:rsidR="000A1756" w:rsidRDefault="00806DF5" w:rsidP="00E70A06">
            <w:r w:rsidRPr="00C12274">
              <w:t>Japan</w:t>
            </w:r>
          </w:p>
        </w:tc>
        <w:tc>
          <w:tcPr>
            <w:tcW w:w="1670" w:type="dxa"/>
            <w:tcBorders>
              <w:left w:val="single" w:sz="4" w:space="0" w:color="3B3474"/>
              <w:right w:val="single" w:sz="4" w:space="0" w:color="3B3474"/>
            </w:tcBorders>
          </w:tcPr>
          <w:p w14:paraId="0D9CC721" w14:textId="32E639F9" w:rsidR="000A1756" w:rsidRDefault="000A1756" w:rsidP="00D424F3">
            <w:r>
              <w:t>Intervention 54</w:t>
            </w:r>
          </w:p>
          <w:p w14:paraId="0931D021" w14:textId="63A1C113" w:rsidR="000A1756" w:rsidRDefault="000A1756" w:rsidP="00D424F3">
            <w:r>
              <w:t>Control 53</w:t>
            </w:r>
          </w:p>
        </w:tc>
        <w:tc>
          <w:tcPr>
            <w:tcW w:w="5395" w:type="dxa"/>
            <w:tcBorders>
              <w:left w:val="single" w:sz="4" w:space="0" w:color="3B3474"/>
              <w:right w:val="single" w:sz="4" w:space="0" w:color="3B3474"/>
            </w:tcBorders>
          </w:tcPr>
          <w:p w14:paraId="03F3B9AB" w14:textId="77777777" w:rsidR="000A1756" w:rsidRDefault="000A1756" w:rsidP="003F1AB1">
            <w:r w:rsidRPr="003F1AB1">
              <w:rPr>
                <w:b/>
              </w:rPr>
              <w:t>Aim</w:t>
            </w:r>
            <w:r>
              <w:t>: To examine</w:t>
            </w:r>
            <w:r w:rsidRPr="003F1AB1">
              <w:t xml:space="preserve"> the effects of home-based walking on sedentary women</w:t>
            </w:r>
            <w:r w:rsidRPr="003F1AB1">
              <w:rPr>
                <w:rFonts w:ascii="Helvetica" w:hAnsi="Helvetica"/>
              </w:rPr>
              <w:t>’</w:t>
            </w:r>
            <w:r w:rsidRPr="003F1AB1">
              <w:t xml:space="preserve">s pregnancy outcomes and mood. </w:t>
            </w:r>
          </w:p>
          <w:p w14:paraId="3A221DF1" w14:textId="1E02C471" w:rsidR="000A1756" w:rsidRDefault="000A1756" w:rsidP="007B4B9A">
            <w:r w:rsidRPr="003F1AB1">
              <w:rPr>
                <w:b/>
              </w:rPr>
              <w:t>Population</w:t>
            </w:r>
            <w:r>
              <w:t xml:space="preserve">: Pregnant </w:t>
            </w:r>
            <w:r w:rsidRPr="003F1AB1">
              <w:t xml:space="preserve">women </w:t>
            </w:r>
            <w:r>
              <w:t>with a healthy singleton pregnancy</w:t>
            </w:r>
            <w:r w:rsidRPr="003F1AB1">
              <w:t xml:space="preserve"> </w:t>
            </w:r>
            <w:r w:rsidRPr="007B4B9A">
              <w:t>aged</w:t>
            </w:r>
            <w:r>
              <w:t xml:space="preserve"> </w:t>
            </w:r>
            <w:r w:rsidRPr="007B4B9A">
              <w:t>20</w:t>
            </w:r>
            <w:r w:rsidRPr="007B4B9A">
              <w:rPr>
                <w:rFonts w:ascii="Helvetica" w:hAnsi="Helvetica"/>
              </w:rPr>
              <w:t>–</w:t>
            </w:r>
            <w:r w:rsidRPr="007B4B9A">
              <w:t>30 years; sedentary in daily life by self-report; no</w:t>
            </w:r>
            <w:r>
              <w:t xml:space="preserve"> </w:t>
            </w:r>
            <w:r w:rsidRPr="007B4B9A">
              <w:t>physical, mental or social problems by self-report; no</w:t>
            </w:r>
            <w:r>
              <w:t xml:space="preserve"> </w:t>
            </w:r>
            <w:r w:rsidRPr="007B4B9A">
              <w:t>psychiatric drug use; in</w:t>
            </w:r>
            <w:r>
              <w:t xml:space="preserve"> </w:t>
            </w:r>
            <w:r w:rsidRPr="007B4B9A">
              <w:t>at least the 30th week of pregnancy</w:t>
            </w:r>
            <w:r>
              <w:t>.</w:t>
            </w:r>
            <w:r w:rsidR="00806DF5">
              <w:t xml:space="preserve"> Mixed BMIs.</w:t>
            </w:r>
          </w:p>
          <w:p w14:paraId="3ECBB654" w14:textId="77777777" w:rsidR="007D4CC2" w:rsidRDefault="007D4CC2" w:rsidP="007D4CC2">
            <w:r w:rsidRPr="005E4EF9">
              <w:rPr>
                <w:b/>
              </w:rPr>
              <w:t>Intervention</w:t>
            </w:r>
            <w:r>
              <w:rPr>
                <w:b/>
              </w:rPr>
              <w:t>:</w:t>
            </w:r>
          </w:p>
          <w:p w14:paraId="281E7F5F" w14:textId="329CE189" w:rsidR="007D4CC2" w:rsidRPr="00C45716" w:rsidRDefault="007D4CC2" w:rsidP="007D4CC2">
            <w:pPr>
              <w:pStyle w:val="bullet"/>
            </w:pPr>
            <w:r w:rsidRPr="00C45716">
              <w:rPr>
                <w:i/>
              </w:rPr>
              <w:t>Supervised</w:t>
            </w:r>
            <w:r w:rsidRPr="00C45716">
              <w:t xml:space="preserve">: </w:t>
            </w:r>
            <w:r w:rsidR="00806DF5">
              <w:t>No</w:t>
            </w:r>
          </w:p>
          <w:p w14:paraId="35092499" w14:textId="00579F46" w:rsidR="007D4CC2" w:rsidRPr="007D4CC2" w:rsidRDefault="007D4CC2" w:rsidP="00806DF5">
            <w:pPr>
              <w:pStyle w:val="bullet"/>
            </w:pPr>
            <w:r w:rsidRPr="00C45716">
              <w:rPr>
                <w:i/>
              </w:rPr>
              <w:t>Type and duration</w:t>
            </w:r>
            <w:r w:rsidRPr="00C45716">
              <w:t xml:space="preserve">: </w:t>
            </w:r>
            <w:r>
              <w:t xml:space="preserve">Aerobic; </w:t>
            </w:r>
            <w:r w:rsidR="00806DF5">
              <w:t>Walking</w:t>
            </w:r>
            <w:r>
              <w:t xml:space="preserve">; </w:t>
            </w:r>
            <w:r w:rsidR="00806DF5" w:rsidRPr="00C12274">
              <w:t>30 min, 3 times a week from 30 weeks until birth</w:t>
            </w:r>
            <w:r>
              <w:t>.</w:t>
            </w:r>
          </w:p>
          <w:p w14:paraId="570A3BC2" w14:textId="158CEDB7" w:rsidR="000A1756" w:rsidRPr="00FE2FBE" w:rsidRDefault="007D4CC2" w:rsidP="00806DF5">
            <w:pPr>
              <w:pStyle w:val="bullet"/>
              <w:rPr>
                <w:b/>
              </w:rPr>
            </w:pPr>
            <w:r w:rsidRPr="00C45716">
              <w:rPr>
                <w:i/>
              </w:rPr>
              <w:t>Intensity</w:t>
            </w:r>
            <w:r w:rsidRPr="00C45716">
              <w:t xml:space="preserve">: </w:t>
            </w:r>
            <w:r w:rsidR="00806DF5" w:rsidRPr="006530D5">
              <w:t>Not described</w:t>
            </w:r>
            <w:r w:rsidRPr="006530D5">
              <w:t>.</w:t>
            </w:r>
          </w:p>
        </w:tc>
        <w:tc>
          <w:tcPr>
            <w:tcW w:w="5953" w:type="dxa"/>
            <w:tcBorders>
              <w:left w:val="single" w:sz="4" w:space="0" w:color="3B3474"/>
              <w:right w:val="single" w:sz="4" w:space="0" w:color="3B3474"/>
            </w:tcBorders>
          </w:tcPr>
          <w:p w14:paraId="434E79DD" w14:textId="79C793FC" w:rsidR="000A1756" w:rsidRDefault="000A1756" w:rsidP="008F4807">
            <w:r>
              <w:t>Intervention vs control:</w:t>
            </w:r>
          </w:p>
          <w:p w14:paraId="161AAE03" w14:textId="6CA3B705" w:rsidR="000A1756" w:rsidRPr="008F4807" w:rsidRDefault="00334668" w:rsidP="008F4807">
            <w:pPr>
              <w:pStyle w:val="bullet"/>
            </w:pPr>
            <w:r>
              <w:t>Gestational w</w:t>
            </w:r>
            <w:r w:rsidR="000A1756" w:rsidRPr="008F4807">
              <w:t>eight gain</w:t>
            </w:r>
            <w:r w:rsidR="000A1756">
              <w:t xml:space="preserve">: </w:t>
            </w:r>
            <w:r w:rsidR="000A1756" w:rsidRPr="008F4807">
              <w:t xml:space="preserve">10.1±3.7 </w:t>
            </w:r>
            <w:r w:rsidR="000A1756">
              <w:t xml:space="preserve">vs </w:t>
            </w:r>
            <w:r w:rsidR="000A1756" w:rsidRPr="008F4807">
              <w:t xml:space="preserve">10.4±2.6 </w:t>
            </w:r>
            <w:r w:rsidR="000A1756">
              <w:t xml:space="preserve">MD 0.43 (1.65 to </w:t>
            </w:r>
            <w:r w:rsidR="000A1756" w:rsidRPr="008F4807">
              <w:t xml:space="preserve">0.80) </w:t>
            </w:r>
            <w:r w:rsidR="000A1756">
              <w:t>p=</w:t>
            </w:r>
            <w:r w:rsidR="000A1756" w:rsidRPr="008F4807">
              <w:t>0.49</w:t>
            </w:r>
          </w:p>
          <w:p w14:paraId="39611DCA" w14:textId="6B8C3468" w:rsidR="000A1756" w:rsidRPr="008F4807" w:rsidRDefault="000A1756" w:rsidP="008F4807">
            <w:pPr>
              <w:pStyle w:val="bullet"/>
            </w:pPr>
            <w:r w:rsidRPr="008F4807">
              <w:t>Preterm birth</w:t>
            </w:r>
            <w:r>
              <w:t>:</w:t>
            </w:r>
            <w:r w:rsidRPr="008F4807">
              <w:t xml:space="preserve"> 0 (0.0</w:t>
            </w:r>
            <w:r>
              <w:t>%</w:t>
            </w:r>
            <w:r w:rsidRPr="008F4807">
              <w:t xml:space="preserve">) </w:t>
            </w:r>
            <w:r>
              <w:t xml:space="preserve">vs </w:t>
            </w:r>
            <w:r w:rsidRPr="008F4807">
              <w:t>2 (3.8</w:t>
            </w:r>
            <w:r>
              <w:t>%</w:t>
            </w:r>
            <w:r w:rsidRPr="008F4807">
              <w:t>)</w:t>
            </w:r>
          </w:p>
          <w:p w14:paraId="5DC0B3AF" w14:textId="5FB11B19" w:rsidR="000A1756" w:rsidRPr="008F4807" w:rsidRDefault="000A1756" w:rsidP="008F4807">
            <w:pPr>
              <w:pStyle w:val="bullet"/>
            </w:pPr>
            <w:r w:rsidRPr="008F4807">
              <w:t>Pre</w:t>
            </w:r>
            <w:r w:rsidR="00334668">
              <w:t>-</w:t>
            </w:r>
            <w:r w:rsidRPr="008F4807">
              <w:t>eclampsia</w:t>
            </w:r>
            <w:r>
              <w:t>:</w:t>
            </w:r>
            <w:r w:rsidRPr="008F4807">
              <w:t xml:space="preserve"> 0 (0.0</w:t>
            </w:r>
            <w:r>
              <w:t>%</w:t>
            </w:r>
            <w:r w:rsidRPr="008F4807">
              <w:t xml:space="preserve">) </w:t>
            </w:r>
            <w:r>
              <w:t xml:space="preserve">vs </w:t>
            </w:r>
            <w:r w:rsidRPr="008F4807">
              <w:t>1 (1.9</w:t>
            </w:r>
            <w:r>
              <w:t>%</w:t>
            </w:r>
            <w:r w:rsidRPr="008F4807">
              <w:t xml:space="preserve">) </w:t>
            </w:r>
          </w:p>
          <w:p w14:paraId="3EA35D0A" w14:textId="38C248D3" w:rsidR="000A1756" w:rsidRPr="009B3EF4" w:rsidRDefault="000A1756" w:rsidP="00334668">
            <w:pPr>
              <w:pStyle w:val="bullet"/>
            </w:pPr>
            <w:r w:rsidRPr="008F4807">
              <w:t>Caesarean section</w:t>
            </w:r>
            <w:r>
              <w:t xml:space="preserve">: </w:t>
            </w:r>
            <w:r w:rsidRPr="008F4807">
              <w:t>3 (5.6</w:t>
            </w:r>
            <w:r>
              <w:t>%</w:t>
            </w:r>
            <w:r w:rsidRPr="008F4807">
              <w:t xml:space="preserve">) </w:t>
            </w:r>
            <w:r>
              <w:t xml:space="preserve">vs </w:t>
            </w:r>
            <w:r w:rsidRPr="008F4807">
              <w:t>4 (7.5</w:t>
            </w:r>
            <w:r>
              <w:t>%</w:t>
            </w:r>
            <w:r w:rsidRPr="008F4807">
              <w:t xml:space="preserve">) </w:t>
            </w:r>
            <w:r>
              <w:rPr>
                <w:rFonts w:ascii="Helvetica" w:hAnsi="Helvetica"/>
              </w:rPr>
              <w:t>p=</w:t>
            </w:r>
            <w:r w:rsidRPr="008F4807">
              <w:t>0.49</w:t>
            </w:r>
          </w:p>
        </w:tc>
      </w:tr>
      <w:tr w:rsidR="00A01640" w:rsidRPr="00A652CB" w14:paraId="3A7E0C0A" w14:textId="77777777" w:rsidTr="0030223E">
        <w:trPr>
          <w:cantSplit/>
          <w:trHeight w:val="2375"/>
        </w:trPr>
        <w:tc>
          <w:tcPr>
            <w:tcW w:w="1305" w:type="dxa"/>
            <w:tcBorders>
              <w:left w:val="single" w:sz="4" w:space="0" w:color="3B3474"/>
              <w:right w:val="single" w:sz="4" w:space="0" w:color="3B3474"/>
            </w:tcBorders>
          </w:tcPr>
          <w:p w14:paraId="701EBD7C" w14:textId="7647776D" w:rsidR="00A01640" w:rsidRDefault="00A01640" w:rsidP="00E70A06">
            <w:pPr>
              <w:rPr>
                <w:noProof/>
              </w:rPr>
            </w:pPr>
            <w:r>
              <w:rPr>
                <w:noProof/>
              </w:rPr>
              <w:t>Vargas-Terrones et al 2018</w:t>
            </w:r>
            <w:r w:rsidR="00D07346">
              <w:rPr>
                <w:noProof/>
              </w:rPr>
              <w:fldChar w:fldCharType="begin">
                <w:fldData xml:space="preserve">PEVuZE5vdGU+PENpdGU+PEF1dGhvcj5WYXJnYXMtVGVycm9uZXM8L0F1dGhvcj48WWVhcj4yMDE5
PC9ZZWFyPjxSZWNOdW0+MTkyMDwvUmVjTnVtPjxEaXNwbGF5VGV4dD48c3R5bGUgZmFjZT0ic3Vw
ZXJzY3JpcHQiIGZvbnQ9IlRyZWJ1Y2hldCBNUyIgc2l6ZT0iOSI+NDQ2PC9zdHlsZT48L0Rpc3Bs
YXlUZXh0PjxyZWNvcmQ+PHJlYy1udW1iZXI+MTkyMDwvcmVjLW51bWJlcj48Zm9yZWlnbi1rZXlz
PjxrZXkgYXBwPSJFTiIgZGItaWQ9ImV4dmFzcmZ4MmR0cmFvZXNhc3hwMnN6c3hhMmRmNTAyNTky
eCIgdGltZXN0YW1wPSIxNTg4NDg2ODc1Ij4xOTIwPC9rZXk+PGtleSBhcHA9IkVOV2ViIiBkYi1p
ZD0iIj4wPC9rZXk+PC9mb3JlaWduLWtleXM+PHJlZi10eXBlIG5hbWU9IkpvdXJuYWwgQXJ0aWNs
ZSI+MTc8L3JlZi10eXBlPjxjb250cmlidXRvcnM+PGF1dGhvcnM+PGF1dGhvcj5WYXJnYXMtVGVy
cm9uZXMsIE0uPC9hdXRob3I+PGF1dGhvcj5CYXJha2F0LCBSLjwvYXV0aG9yPjxhdXRob3I+U2Fu
dGFjcnV6LCBCLjwvYXV0aG9yPjxhdXRob3I+RmVybmFuZGV6LUJ1aGlnYXMsIEkuPC9hdXRob3I+
PGF1dGhvcj5Nb3R0b2xhLCBNLiBGLjwvYXV0aG9yPjwvYXV0aG9ycz48L2NvbnRyaWJ1dG9ycz48
YXV0aC1hZGRyZXNzPkRlcGFydG1lbnQgb2YgU29jaWFsIFNjaWVuY2VzIG9mIFBoeXNpY2FsIEFj
dGl2aXR5LCBTcG9ydHMgYW5kIExlaXN1cmUsIEZhY3VsdHkgb2YgU2NpZW5jZXMgZm9yIFBoeXNp
Y2FsIEFjdGl2aXR5IGFuZCBTcG9ydCwgSU5FRiwgVGVjaG5pY2FsIFVuaXZlcnNpdHkgb2YgTWFk
cmlkIChVUE0pLCBNYWRyaWQsIFNwYWluLiYjeEQ7RGVwYXJ0bWVudCBvZiBPYnN0ZXRyaWNzIGFu
ZCBHeW5lY29sb2d5LCBVbml2ZXJzaXR5IEhvc3BpdGFsIG9mIFRvcnJlam9uLCBNYWRyaWQsIFNw
YWluLiYjeEQ7UiBTYW11ZWwgTWNMYXVnaGxpbiBGb3VuZGF0aW9uIC0gRXhlcmNpc2UgYW5kIFBy
ZWduYW5jeSBMYWJvcmF0b3J5LCBTY2hvb2wgb2YgS2luZXNpb2xvZ3ksIFRoZSBVbml2ZXJzaXR5
IG9mIFdlc3Rlcm4gT250YXJpbywgTG9uZG9uLCBPbnRhcmlvLCBDYW5hZGEuPC9hdXRoLWFkZHJl
c3M+PHRpdGxlcz48dGl0bGU+UGh5c2ljYWwgZXhlcmNpc2UgcHJvZ3JhbW1lIGR1cmluZyBwcmVn
bmFuY3kgZGVjcmVhc2VzIHBlcmluYXRhbCBkZXByZXNzaW9uIHJpc2s6IGEgcmFuZG9taXNlZCBj
b250cm9sbGVkIHRyaWFsPC90aXRsZT48c2Vjb25kYXJ5LXRpdGxlPkJyIEogU3BvcnRzIE1lZDwv
c2Vjb25kYXJ5LXRpdGxlPjwvdGl0bGVzPjxwZXJpb2RpY2FsPjxmdWxsLXRpdGxlPkJyIEogU3Bv
cnRzIE1lZDwvZnVsbC10aXRsZT48L3BlcmlvZGljYWw+PHBhZ2VzPjM0OC0zNTM8L3BhZ2VzPjx2
b2x1bWU+NTM8L3ZvbHVtZT48bnVtYmVyPjY8L251bWJlcj48ZWRpdGlvbj4yMDE4LzA2LzE1PC9l
ZGl0aW9uPjxrZXl3b3Jkcz48a2V5d29yZD5BZHVsdDwva2V5d29yZD48a2V5d29yZD5EZXByZXNz
aW9uLypwcmV2ZW50aW9uICZhbXA7IGNvbnRyb2w8L2tleXdvcmQ+PGtleXdvcmQ+KkV4ZXJjaXNl
PC9rZXl3b3JkPjxrZXl3b3JkPkZlbWFsZTwva2V5d29yZD48a2V5d29yZD5IdW1hbnM8L2tleXdv
cmQ+PGtleXdvcmQ+UG9zdHBhcnR1bSBQZXJpb2Q8L2tleXdvcmQ+PGtleXdvcmQ+UHJlZ25hbmN5
PC9rZXl3b3JkPjxrZXl3b3JkPlByZWduYW5jeSBDb21wbGljYXRpb25zLypwc3ljaG9sb2d5PC9r
ZXl3b3JkPjxrZXl3b3JkPmRlcHJlc3Npb248L2tleXdvcmQ+PGtleXdvcmQ+ZXhlcmNpc2UgcGh5
c2ljYWwgYWN0aXZpdHk8L2tleXdvcmQ+PGtleXdvcmQ+cHN5Y2hvbG9neTwva2V5d29yZD48L2tl
eXdvcmRzPjxkYXRlcz48eWVhcj4yMDE5PC95ZWFyPjxwdWItZGF0ZXM+PGRhdGU+TWFyPC9kYXRl
PjwvcHViLWRhdGVzPjwvZGF0ZXM+PGlzYm4+MTQ3My0wNDgwIChFbGVjdHJvbmljKSYjeEQ7MDMw
Ni0zNjc0IChMaW5raW5nKTwvaXNibj48YWNjZXNzaW9uLW51bT4yOTg5OTA1MDwvYWNjZXNzaW9u
LW51bT48dXJscz48cmVsYXRlZC11cmxzPjx1cmw+aHR0cHM6Ly93d3cubmNiaS5ubG0ubmloLmdv
di9wdWJtZWQvMjk4OTkwNTA8L3VybD48L3JlbGF0ZWQtdXJscz48L3VybHM+PGVsZWN0cm9uaWMt
cmVzb3VyY2UtbnVtPjEwLjExMzYvYmpzcG9ydHMtMjAxNy0wOTg5MjY8L2VsZWN0cm9uaWMtcmVz
b3VyY2UtbnVtPjwvcmVjb3JkPjwvQ2l0ZT48L0VuZE5vdGU+
</w:fldData>
              </w:fldChar>
            </w:r>
            <w:r w:rsidR="002747EA">
              <w:rPr>
                <w:noProof/>
              </w:rPr>
              <w:instrText xml:space="preserve"> ADDIN EN.CITE </w:instrText>
            </w:r>
            <w:r w:rsidR="002747EA">
              <w:rPr>
                <w:noProof/>
              </w:rPr>
              <w:fldChar w:fldCharType="begin">
                <w:fldData xml:space="preserve">PEVuZE5vdGU+PENpdGU+PEF1dGhvcj5WYXJnYXMtVGVycm9uZXM8L0F1dGhvcj48WWVhcj4yMDE5
PC9ZZWFyPjxSZWNOdW0+MTkyMDwvUmVjTnVtPjxEaXNwbGF5VGV4dD48c3R5bGUgZmFjZT0ic3Vw
ZXJzY3JpcHQiIGZvbnQ9IlRyZWJ1Y2hldCBNUyIgc2l6ZT0iOSI+NDQ2PC9zdHlsZT48L0Rpc3Bs
YXlUZXh0PjxyZWNvcmQ+PHJlYy1udW1iZXI+MTkyMDwvcmVjLW51bWJlcj48Zm9yZWlnbi1rZXlz
PjxrZXkgYXBwPSJFTiIgZGItaWQ9ImV4dmFzcmZ4MmR0cmFvZXNhc3hwMnN6c3hhMmRmNTAyNTky
eCIgdGltZXN0YW1wPSIxNTg4NDg2ODc1Ij4xOTIwPC9rZXk+PGtleSBhcHA9IkVOV2ViIiBkYi1p
ZD0iIj4wPC9rZXk+PC9mb3JlaWduLWtleXM+PHJlZi10eXBlIG5hbWU9IkpvdXJuYWwgQXJ0aWNs
ZSI+MTc8L3JlZi10eXBlPjxjb250cmlidXRvcnM+PGF1dGhvcnM+PGF1dGhvcj5WYXJnYXMtVGVy
cm9uZXMsIE0uPC9hdXRob3I+PGF1dGhvcj5CYXJha2F0LCBSLjwvYXV0aG9yPjxhdXRob3I+U2Fu
dGFjcnV6LCBCLjwvYXV0aG9yPjxhdXRob3I+RmVybmFuZGV6LUJ1aGlnYXMsIEkuPC9hdXRob3I+
PGF1dGhvcj5Nb3R0b2xhLCBNLiBGLjwvYXV0aG9yPjwvYXV0aG9ycz48L2NvbnRyaWJ1dG9ycz48
YXV0aC1hZGRyZXNzPkRlcGFydG1lbnQgb2YgU29jaWFsIFNjaWVuY2VzIG9mIFBoeXNpY2FsIEFj
dGl2aXR5LCBTcG9ydHMgYW5kIExlaXN1cmUsIEZhY3VsdHkgb2YgU2NpZW5jZXMgZm9yIFBoeXNp
Y2FsIEFjdGl2aXR5IGFuZCBTcG9ydCwgSU5FRiwgVGVjaG5pY2FsIFVuaXZlcnNpdHkgb2YgTWFk
cmlkIChVUE0pLCBNYWRyaWQsIFNwYWluLiYjeEQ7RGVwYXJ0bWVudCBvZiBPYnN0ZXRyaWNzIGFu
ZCBHeW5lY29sb2d5LCBVbml2ZXJzaXR5IEhvc3BpdGFsIG9mIFRvcnJlam9uLCBNYWRyaWQsIFNw
YWluLiYjeEQ7UiBTYW11ZWwgTWNMYXVnaGxpbiBGb3VuZGF0aW9uIC0gRXhlcmNpc2UgYW5kIFBy
ZWduYW5jeSBMYWJvcmF0b3J5LCBTY2hvb2wgb2YgS2luZXNpb2xvZ3ksIFRoZSBVbml2ZXJzaXR5
IG9mIFdlc3Rlcm4gT250YXJpbywgTG9uZG9uLCBPbnRhcmlvLCBDYW5hZGEuPC9hdXRoLWFkZHJl
c3M+PHRpdGxlcz48dGl0bGU+UGh5c2ljYWwgZXhlcmNpc2UgcHJvZ3JhbW1lIGR1cmluZyBwcmVn
bmFuY3kgZGVjcmVhc2VzIHBlcmluYXRhbCBkZXByZXNzaW9uIHJpc2s6IGEgcmFuZG9taXNlZCBj
b250cm9sbGVkIHRyaWFsPC90aXRsZT48c2Vjb25kYXJ5LXRpdGxlPkJyIEogU3BvcnRzIE1lZDwv
c2Vjb25kYXJ5LXRpdGxlPjwvdGl0bGVzPjxwZXJpb2RpY2FsPjxmdWxsLXRpdGxlPkJyIEogU3Bv
cnRzIE1lZDwvZnVsbC10aXRsZT48L3BlcmlvZGljYWw+PHBhZ2VzPjM0OC0zNTM8L3BhZ2VzPjx2
b2x1bWU+NTM8L3ZvbHVtZT48bnVtYmVyPjY8L251bWJlcj48ZWRpdGlvbj4yMDE4LzA2LzE1PC9l
ZGl0aW9uPjxrZXl3b3Jkcz48a2V5d29yZD5BZHVsdDwva2V5d29yZD48a2V5d29yZD5EZXByZXNz
aW9uLypwcmV2ZW50aW9uICZhbXA7IGNvbnRyb2w8L2tleXdvcmQ+PGtleXdvcmQ+KkV4ZXJjaXNl
PC9rZXl3b3JkPjxrZXl3b3JkPkZlbWFsZTwva2V5d29yZD48a2V5d29yZD5IdW1hbnM8L2tleXdv
cmQ+PGtleXdvcmQ+UG9zdHBhcnR1bSBQZXJpb2Q8L2tleXdvcmQ+PGtleXdvcmQ+UHJlZ25hbmN5
PC9rZXl3b3JkPjxrZXl3b3JkPlByZWduYW5jeSBDb21wbGljYXRpb25zLypwc3ljaG9sb2d5PC9r
ZXl3b3JkPjxrZXl3b3JkPmRlcHJlc3Npb248L2tleXdvcmQ+PGtleXdvcmQ+ZXhlcmNpc2UgcGh5
c2ljYWwgYWN0aXZpdHk8L2tleXdvcmQ+PGtleXdvcmQ+cHN5Y2hvbG9neTwva2V5d29yZD48L2tl
eXdvcmRzPjxkYXRlcz48eWVhcj4yMDE5PC95ZWFyPjxwdWItZGF0ZXM+PGRhdGU+TWFyPC9kYXRl
PjwvcHViLWRhdGVzPjwvZGF0ZXM+PGlzYm4+MTQ3My0wNDgwIChFbGVjdHJvbmljKSYjeEQ7MDMw
Ni0zNjc0IChMaW5raW5nKTwvaXNibj48YWNjZXNzaW9uLW51bT4yOTg5OTA1MDwvYWNjZXNzaW9u
LW51bT48dXJscz48cmVsYXRlZC11cmxzPjx1cmw+aHR0cHM6Ly93d3cubmNiaS5ubG0ubmloLmdv
di9wdWJtZWQvMjk4OTkwNTA8L3VybD48L3JlbGF0ZWQtdXJscz48L3VybHM+PGVsZWN0cm9uaWMt
cmVzb3VyY2UtbnVtPjEwLjExMzYvYmpzcG9ydHMtMjAxNy0wOTg5MjY8L2VsZWN0cm9uaWMtcmVz
b3VyY2UtbnVtPjwvcmVjb3JkPjwvQ2l0ZT48L0VuZE5vdGU+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446</w:t>
            </w:r>
            <w:r w:rsidR="00D07346">
              <w:rPr>
                <w:noProof/>
              </w:rPr>
              <w:fldChar w:fldCharType="end"/>
            </w:r>
          </w:p>
          <w:p w14:paraId="17886158" w14:textId="498ED217" w:rsidR="009C198C" w:rsidRDefault="009C198C" w:rsidP="00E70A06">
            <w:pPr>
              <w:rPr>
                <w:noProof/>
              </w:rPr>
            </w:pPr>
            <w:r>
              <w:rPr>
                <w:noProof/>
              </w:rPr>
              <w:t>Spain</w:t>
            </w:r>
          </w:p>
          <w:p w14:paraId="247A9BB0" w14:textId="4DF6FE58" w:rsidR="009C198C" w:rsidRDefault="009C198C" w:rsidP="00E70A06">
            <w:pPr>
              <w:rPr>
                <w:noProof/>
              </w:rPr>
            </w:pPr>
            <w:r w:rsidRPr="009C198C">
              <w:t>NCT02420288</w:t>
            </w:r>
          </w:p>
        </w:tc>
        <w:tc>
          <w:tcPr>
            <w:tcW w:w="1670" w:type="dxa"/>
            <w:tcBorders>
              <w:left w:val="single" w:sz="4" w:space="0" w:color="3B3474"/>
              <w:right w:val="single" w:sz="4" w:space="0" w:color="3B3474"/>
            </w:tcBorders>
          </w:tcPr>
          <w:p w14:paraId="247DA79B" w14:textId="77777777" w:rsidR="00A01640" w:rsidRDefault="009C198C" w:rsidP="00D424F3">
            <w:r>
              <w:t>Intervention 70</w:t>
            </w:r>
          </w:p>
          <w:p w14:paraId="0EB38782" w14:textId="236FEA7E" w:rsidR="00D83407" w:rsidRDefault="009C198C" w:rsidP="00D424F3">
            <w:r>
              <w:t>Control 45</w:t>
            </w:r>
          </w:p>
        </w:tc>
        <w:tc>
          <w:tcPr>
            <w:tcW w:w="5395" w:type="dxa"/>
            <w:tcBorders>
              <w:left w:val="single" w:sz="4" w:space="0" w:color="3B3474"/>
              <w:right w:val="single" w:sz="4" w:space="0" w:color="3B3474"/>
            </w:tcBorders>
          </w:tcPr>
          <w:p w14:paraId="7B3EB72C" w14:textId="77777777" w:rsidR="009C198C" w:rsidRDefault="009C198C" w:rsidP="009C198C">
            <w:r w:rsidRPr="0030223E">
              <w:rPr>
                <w:b/>
              </w:rPr>
              <w:t>Aim</w:t>
            </w:r>
            <w:r>
              <w:t xml:space="preserve">: </w:t>
            </w:r>
            <w:r w:rsidRPr="009C198C">
              <w:t xml:space="preserve">To examine the effect of an exercise programme during pregnancy on the risk of perinatal depression. </w:t>
            </w:r>
          </w:p>
          <w:p w14:paraId="719A7EE5" w14:textId="77777777" w:rsidR="009C198C" w:rsidRDefault="009C198C" w:rsidP="009C198C">
            <w:r w:rsidRPr="0030223E">
              <w:rPr>
                <w:b/>
              </w:rPr>
              <w:t>Population</w:t>
            </w:r>
            <w:r w:rsidRPr="009C198C">
              <w:t>: Healthy women who were &lt;16 weeks pregnant</w:t>
            </w:r>
          </w:p>
          <w:p w14:paraId="436BFD9C" w14:textId="77777777" w:rsidR="009C198C" w:rsidRDefault="009C198C" w:rsidP="009C198C">
            <w:r w:rsidRPr="0030223E">
              <w:rPr>
                <w:b/>
              </w:rPr>
              <w:t>Intervention</w:t>
            </w:r>
            <w:r>
              <w:t xml:space="preserve">: </w:t>
            </w:r>
          </w:p>
          <w:p w14:paraId="44D14641" w14:textId="33BF88B7" w:rsidR="009C198C" w:rsidRDefault="009C198C" w:rsidP="0030223E">
            <w:pPr>
              <w:pStyle w:val="bullet"/>
            </w:pPr>
            <w:r w:rsidRPr="0030223E">
              <w:rPr>
                <w:i/>
              </w:rPr>
              <w:t>Supervised</w:t>
            </w:r>
            <w:r>
              <w:t>: Yes</w:t>
            </w:r>
          </w:p>
          <w:p w14:paraId="29662362" w14:textId="7CB7731F" w:rsidR="009C198C" w:rsidRDefault="009C198C" w:rsidP="0030223E">
            <w:pPr>
              <w:pStyle w:val="bullet"/>
            </w:pPr>
            <w:r w:rsidRPr="0030223E">
              <w:rPr>
                <w:i/>
              </w:rPr>
              <w:t>Type and duration</w:t>
            </w:r>
            <w:r>
              <w:t xml:space="preserve">: </w:t>
            </w:r>
            <w:r w:rsidR="00FE4FF2">
              <w:t xml:space="preserve">Aerobic and muscle strengthening exercises for </w:t>
            </w:r>
            <w:r w:rsidRPr="009C198C">
              <w:t xml:space="preserve">60 min </w:t>
            </w:r>
            <w:r>
              <w:t>3 days per week</w:t>
            </w:r>
            <w:r w:rsidRPr="009C198C">
              <w:t xml:space="preserve"> </w:t>
            </w:r>
            <w:r>
              <w:t>from week 12 to 16 to week 38 to 40</w:t>
            </w:r>
          </w:p>
          <w:p w14:paraId="18622E2B" w14:textId="6F70A2AD" w:rsidR="00A01640" w:rsidRPr="0030223E" w:rsidRDefault="009C198C" w:rsidP="0030223E">
            <w:pPr>
              <w:pStyle w:val="bullet"/>
            </w:pPr>
            <w:r w:rsidRPr="0030223E">
              <w:rPr>
                <w:i/>
              </w:rPr>
              <w:t>Intensity</w:t>
            </w:r>
            <w:r>
              <w:t xml:space="preserve">: </w:t>
            </w:r>
            <w:r w:rsidR="00F523F7">
              <w:t>Moderate; 55-60% heart rate</w:t>
            </w:r>
          </w:p>
        </w:tc>
        <w:tc>
          <w:tcPr>
            <w:tcW w:w="5953" w:type="dxa"/>
            <w:tcBorders>
              <w:left w:val="single" w:sz="4" w:space="0" w:color="3B3474"/>
              <w:right w:val="single" w:sz="4" w:space="0" w:color="3B3474"/>
            </w:tcBorders>
          </w:tcPr>
          <w:p w14:paraId="4F1DA734" w14:textId="77777777" w:rsidR="00A01640" w:rsidRDefault="00F523F7" w:rsidP="00FE2FBE">
            <w:r>
              <w:t>Intervention vs control:</w:t>
            </w:r>
          </w:p>
          <w:p w14:paraId="586D1FE4" w14:textId="2BD9B485" w:rsidR="00F523F7" w:rsidRDefault="00F523F7" w:rsidP="0030223E">
            <w:pPr>
              <w:pStyle w:val="bullet"/>
            </w:pPr>
            <w:r>
              <w:t>Antenatal depression (38 weeks):</w:t>
            </w:r>
            <w:r w:rsidR="00EA55C4">
              <w:t>13/70 vs</w:t>
            </w:r>
            <w:r>
              <w:t xml:space="preserve"> 16</w:t>
            </w:r>
            <w:r w:rsidR="00EA55C4">
              <w:t>/45</w:t>
            </w:r>
          </w:p>
          <w:p w14:paraId="0991D3FB" w14:textId="42EBE0D7" w:rsidR="00F523F7" w:rsidRDefault="00F523F7" w:rsidP="0030223E">
            <w:pPr>
              <w:pStyle w:val="bullet"/>
            </w:pPr>
            <w:r>
              <w:t>Postnatal depression (</w:t>
            </w:r>
            <w:r w:rsidR="000E00D3">
              <w:t xml:space="preserve">6 weeks postpartum): </w:t>
            </w:r>
            <w:r w:rsidR="00EA55C4">
              <w:t>10/69 vs 14/47</w:t>
            </w:r>
          </w:p>
        </w:tc>
      </w:tr>
      <w:tr w:rsidR="000A1756" w:rsidRPr="00A652CB" w14:paraId="4BAE0D61" w14:textId="77777777" w:rsidTr="000A1756">
        <w:tblPrEx>
          <w:tblBorders>
            <w:top w:val="single" w:sz="4" w:space="0" w:color="3B3474"/>
            <w:left w:val="none" w:sz="0" w:space="0" w:color="auto"/>
            <w:bottom w:val="single" w:sz="4" w:space="0" w:color="3B3474"/>
            <w:right w:val="none" w:sz="0" w:space="0" w:color="auto"/>
            <w:insideH w:val="single" w:sz="4" w:space="0" w:color="3B3474"/>
            <w:insideV w:val="none" w:sz="0" w:space="0" w:color="auto"/>
          </w:tblBorders>
          <w:tblLook w:val="04A0" w:firstRow="1" w:lastRow="0" w:firstColumn="1" w:lastColumn="0" w:noHBand="0" w:noVBand="1"/>
        </w:tblPrEx>
        <w:trPr>
          <w:cantSplit/>
        </w:trPr>
        <w:tc>
          <w:tcPr>
            <w:tcW w:w="1305" w:type="dxa"/>
            <w:tcBorders>
              <w:left w:val="single" w:sz="4" w:space="0" w:color="3B3474"/>
              <w:right w:val="single" w:sz="4" w:space="0" w:color="3B3474"/>
            </w:tcBorders>
          </w:tcPr>
          <w:p w14:paraId="76196EAB" w14:textId="322357DB" w:rsidR="00806DF5" w:rsidRPr="00C12274" w:rsidRDefault="00002B52" w:rsidP="00E70A06">
            <w:r>
              <w:rPr>
                <w:noProof/>
              </w:rPr>
              <w:t>Wang et al 2016;</w:t>
            </w:r>
            <w:r w:rsidR="00283324">
              <w:rPr>
                <w:noProof/>
              </w:rPr>
              <w:fldChar w:fldCharType="begin">
                <w:fldData xml:space="preserve">PEVuZE5vdGU+PENpdGU+PEF1dGhvcj5XYW5nPC9BdXRob3I+PFllYXI+MjAxNjwvWWVhcj48UmVj
TnVtPjg3MDwvUmVjTnVtPjxEaXNwbGF5VGV4dD48c3R5bGUgZmFjZT0ic3VwZXJzY3JpcHQiIGZv
bnQ9IlRyZWJ1Y2hldCBNUyIgc2l6ZT0iOSI+NTQyPC9zdHlsZT48L0Rpc3BsYXlUZXh0PjxyZWNv
cmQ+PHJlYy1udW1iZXI+ODcwPC9yZWMtbnVtYmVyPjxmb3JlaWduLWtleXM+PGtleSBhcHA9IkVO
IiBkYi1pZD0iZXh2YXNyZngyZHRyYW9lc2FzeHAyc3pzeGEyZGY1MDI1OTJ4IiB0aW1lc3RhbXA9
IjE1NDE1NDA3MDIiPjg3MDwva2V5PjxrZXkgYXBwPSJFTldlYiIgZGItaWQ9IiI+MDwva2V5Pjwv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IFkuPC9hdXRob3I+PGF1dGhvcj5YdSwgUS48L2F1dGhvcj48YXV0aG9yPlN1LCBTLjwvYXV0aG9y
PjxhdXRob3I+WmhhbmcsIEwuPC9hdXRob3I+PGF1dGhvcj5MaXUsIEMuPC9hdXRob3I+PGF1dGhv
cj5GZW5nLCBZLjwvYXV0aG9yPjxhdXRob3I+U2hvdSwgQy48L2F1dGhvcj48YXV0aG9yPkd1ZWxm
aSwgSy4gSi48L2F1dGhvcj48YXV0aG9yPk5ld25oYW0sIEouIFAuPC9hdXRob3I+PGF1dGhvcj5Z
YW5nLCBILjwvYXV0aG9yPjwvYXV0aG9ycz48L2NvbnRyaWJ1dG9ycz48YXV0aC1hZGRyZXNzPkRl
cGFydG1lbnQgb2YgT2JzdGV0cmljcyBhbmQgR3luZWNvbG9neSwgUGVraW5nIFVuaXZlcnNpdHkg
Rmlyc3QgSG9zcGl0YWwsIEJlaWppbmcsIENoaW5hLiYjeEQ7RGl2aXNpb24gb2YgSG9zcGl0YWwg
TWVkaWNpbmUsIEhhbGxtYXJrIEhlYWx0aCBTeXN0ZW0sIE1lbHJvc2UsIE1BLiYjeEQ7U2Nob29s
IG9mIFNwb3J0IFNjaWVuY2UsIEV4ZXJjaXNlIGFuZCBIZWFsdGgsIFRoZSBVbml2ZXJzaXR5IG9m
IFdlc3Rlcm4gQXVzdHJhbGlhLCBQZXJ0aCwgQXVzdHJhbGlhLiYjeEQ7U2Nob29sIG9mIFdvbWVu
JmFwb3M7cyBhbmQgSW5mYW50cyZhcG9zOyBIZWFsdGgsIFRoZSBVbml2ZXJzaXR5IG9mIFdlc3Rl
cm4gQXVzdHJhbGlhLCBQZXJ0aCwgQXVzdHJhbGlhLiYjeEQ7RGVwYXJ0bWVudCBvZiBPYnN0ZXRy
aWNzIGFuZCBHeW5lY29sb2d5LCBQZWtpbmcgVW5pdmVyc2l0eSBGaXJzdCBIb3NwaXRhbCwgQmVp
amluZywgQ2hpbmEgeWFuZ2h1aXhpYUBiam11LmVkdS5jbi48L2F1dGgtYWRkcmVzcz48dGl0bGVz
Pjx0aXRsZT5FZmZlY3Qgb2YgUmVndWxhciBFeGVyY2lzZSBDb21tZW5jZWQgaW4gRWFybHkgUHJl
Z25hbmN5IG9uIHRoZSBJbmNpZGVuY2Ugb2YgR2VzdGF0aW9uYWwgRGlhYmV0ZXMgTWVsbGl0dXMg
aW4gT3ZlcndlaWdodCBhbmQgT2Jlc2UgUHJlZ25hbnQgV29tZW46IEEgUmFuZG9taXplZCBDb250
cm9sbGVkIFRyaWFsPC90aXRsZT48c2Vjb25kYXJ5LXRpdGxlPkRpYWJldGVzIENhcmU8L3NlY29u
ZGFyeS10aXRsZT48L3RpdGxlcz48cGVyaW9kaWNhbD48ZnVsbC10aXRsZT5EaWFiZXRlcyBDYXJl
PC9mdWxsLXRpdGxlPjwvcGVyaW9kaWNhbD48cGFnZXM+ZTE2My00PC9wYWdlcz48dm9sdW1lPjM5
PC92b2x1bWU+PG51bWJlcj4xMDwvbnVtYmVyPjxlZGl0aW9uPjIwMTYvMDkvMjQ8L2VkaXRpb24+
PGRhdGVzPjx5ZWFyPjIwMTY8L3llYXI+PHB1Yi1kYXRlcz48ZGF0ZT5PY3Q8L2RhdGU+PC9wdWIt
ZGF0ZXM+PC9kYXRlcz48aXNibj4xOTM1LTU1NDggKEVsZWN0cm9uaWMpJiN4RDswMTQ5LTU5OTIg
KExpbmtpbmcpPC9pc2JuPjxhY2Nlc3Npb24tbnVtPjI3NjYwMTI1PC9hY2Nlc3Npb24tbnVtPjx1
cmxzPjxyZWxhdGVkLXVybHM+PHVybD5odHRwczovL3d3dy5uY2JpLm5sbS5uaWguZ292L3B1Ym1l
ZC8yNzY2MDEyNTwvdXJsPjwvcmVsYXRlZC11cmxzPjwvdXJscz48ZWxlY3Ryb25pYy1yZXNvdXJj
ZS1udW0+MTAuMjMzNy9kYzE2LTEzMjA8L2VsZWN0cm9uaWMtcmVzb3VyY2UtbnVtPjwvcmVjb3Jk
PjwvQ2l0ZT48L0VuZE5vdGU+
</w:fldData>
              </w:fldChar>
            </w:r>
            <w:r w:rsidR="002747EA">
              <w:rPr>
                <w:noProof/>
              </w:rPr>
              <w:instrText xml:space="preserve"> ADDIN EN.CITE </w:instrText>
            </w:r>
            <w:r w:rsidR="002747EA">
              <w:rPr>
                <w:noProof/>
              </w:rPr>
              <w:fldChar w:fldCharType="begin">
                <w:fldData xml:space="preserve">PEVuZE5vdGU+PENpdGU+PEF1dGhvcj5XYW5nPC9BdXRob3I+PFllYXI+MjAxNjwvWWVhcj48UmVj
TnVtPjg3MDwvUmVjTnVtPjxEaXNwbGF5VGV4dD48c3R5bGUgZmFjZT0ic3VwZXJzY3JpcHQiIGZv
bnQ9IlRyZWJ1Y2hldCBNUyIgc2l6ZT0iOSI+NTQyPC9zdHlsZT48L0Rpc3BsYXlUZXh0PjxyZWNv
cmQ+PHJlYy1udW1iZXI+ODcwPC9yZWMtbnVtYmVyPjxmb3JlaWduLWtleXM+PGtleSBhcHA9IkVO
IiBkYi1pZD0iZXh2YXNyZngyZHRyYW9lc2FzeHAyc3pzeGEyZGY1MDI1OTJ4IiB0aW1lc3RhbXA9
IjE1NDE1NDA3MDIiPjg3MDwva2V5PjxrZXkgYXBwPSJFTldlYiIgZGItaWQ9IiI+MDwva2V5Pjwv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IFkuPC9hdXRob3I+PGF1dGhvcj5YdSwgUS48L2F1dGhvcj48YXV0aG9yPlN1LCBTLjwvYXV0aG9y
PjxhdXRob3I+WmhhbmcsIEwuPC9hdXRob3I+PGF1dGhvcj5MaXUsIEMuPC9hdXRob3I+PGF1dGhv
cj5GZW5nLCBZLjwvYXV0aG9yPjxhdXRob3I+U2hvdSwgQy48L2F1dGhvcj48YXV0aG9yPkd1ZWxm
aSwgSy4gSi48L2F1dGhvcj48YXV0aG9yPk5ld25oYW0sIEouIFAuPC9hdXRob3I+PGF1dGhvcj5Z
YW5nLCBILjwvYXV0aG9yPjwvYXV0aG9ycz48L2NvbnRyaWJ1dG9ycz48YXV0aC1hZGRyZXNzPkRl
cGFydG1lbnQgb2YgT2JzdGV0cmljcyBhbmQgR3luZWNvbG9neSwgUGVraW5nIFVuaXZlcnNpdHkg
Rmlyc3QgSG9zcGl0YWwsIEJlaWppbmcsIENoaW5hLiYjeEQ7RGl2aXNpb24gb2YgSG9zcGl0YWwg
TWVkaWNpbmUsIEhhbGxtYXJrIEhlYWx0aCBTeXN0ZW0sIE1lbHJvc2UsIE1BLiYjeEQ7U2Nob29s
IG9mIFNwb3J0IFNjaWVuY2UsIEV4ZXJjaXNlIGFuZCBIZWFsdGgsIFRoZSBVbml2ZXJzaXR5IG9m
IFdlc3Rlcm4gQXVzdHJhbGlhLCBQZXJ0aCwgQXVzdHJhbGlhLiYjeEQ7U2Nob29sIG9mIFdvbWVu
JmFwb3M7cyBhbmQgSW5mYW50cyZhcG9zOyBIZWFsdGgsIFRoZSBVbml2ZXJzaXR5IG9mIFdlc3Rl
cm4gQXVzdHJhbGlhLCBQZXJ0aCwgQXVzdHJhbGlhLiYjeEQ7RGVwYXJ0bWVudCBvZiBPYnN0ZXRy
aWNzIGFuZCBHeW5lY29sb2d5LCBQZWtpbmcgVW5pdmVyc2l0eSBGaXJzdCBIb3NwaXRhbCwgQmVp
amluZywgQ2hpbmEgeWFuZ2h1aXhpYUBiam11LmVkdS5jbi48L2F1dGgtYWRkcmVzcz48dGl0bGVz
Pjx0aXRsZT5FZmZlY3Qgb2YgUmVndWxhciBFeGVyY2lzZSBDb21tZW5jZWQgaW4gRWFybHkgUHJl
Z25hbmN5IG9uIHRoZSBJbmNpZGVuY2Ugb2YgR2VzdGF0aW9uYWwgRGlhYmV0ZXMgTWVsbGl0dXMg
aW4gT3ZlcndlaWdodCBhbmQgT2Jlc2UgUHJlZ25hbnQgV29tZW46IEEgUmFuZG9taXplZCBDb250
cm9sbGVkIFRyaWFsPC90aXRsZT48c2Vjb25kYXJ5LXRpdGxlPkRpYWJldGVzIENhcmU8L3NlY29u
ZGFyeS10aXRsZT48L3RpdGxlcz48cGVyaW9kaWNhbD48ZnVsbC10aXRsZT5EaWFiZXRlcyBDYXJl
PC9mdWxsLXRpdGxlPjwvcGVyaW9kaWNhbD48cGFnZXM+ZTE2My00PC9wYWdlcz48dm9sdW1lPjM5
PC92b2x1bWU+PG51bWJlcj4xMDwvbnVtYmVyPjxlZGl0aW9uPjIwMTYvMDkvMjQ8L2VkaXRpb24+
PGRhdGVzPjx5ZWFyPjIwMTY8L3llYXI+PHB1Yi1kYXRlcz48ZGF0ZT5PY3Q8L2RhdGU+PC9wdWIt
ZGF0ZXM+PC9kYXRlcz48aXNibj4xOTM1LTU1NDggKEVsZWN0cm9uaWMpJiN4RDswMTQ5LTU5OTIg
KExpbmtpbmcpPC9pc2JuPjxhY2Nlc3Npb24tbnVtPjI3NjYwMTI1PC9hY2Nlc3Npb24tbnVtPjx1
cmxzPjxyZWxhdGVkLXVybHM+PHVybD5odHRwczovL3d3dy5uY2JpLm5sbS5uaWguZ292L3B1Ym1l
ZC8yNzY2MDEyNTwvdXJsPjwvcmVsYXRlZC11cmxzPjwvdXJscz48ZWxlY3Ryb25pYy1yZXNvdXJj
ZS1udW0+MTAuMjMzNy9kYzE2LTEzMjA8L2VsZWN0cm9uaWMtcmVzb3VyY2UtbnVtPjwvcmVjb3Jk
PjwvQ2l0ZT48L0VuZE5vdGU+
</w:fldData>
              </w:fldChar>
            </w:r>
            <w:r w:rsidR="002747EA">
              <w:rPr>
                <w:noProof/>
              </w:rPr>
              <w:instrText xml:space="preserve"> ADDIN EN.CITE.DATA </w:instrText>
            </w:r>
            <w:r w:rsidR="002747EA">
              <w:rPr>
                <w:noProof/>
              </w:rPr>
            </w:r>
            <w:r w:rsidR="002747EA">
              <w:rPr>
                <w:noProof/>
              </w:rPr>
              <w:fldChar w:fldCharType="end"/>
            </w:r>
            <w:r w:rsidR="00283324">
              <w:rPr>
                <w:noProof/>
              </w:rPr>
            </w:r>
            <w:r w:rsidR="00283324">
              <w:rPr>
                <w:noProof/>
              </w:rPr>
              <w:fldChar w:fldCharType="separate"/>
            </w:r>
            <w:r w:rsidR="002747EA" w:rsidRPr="002747EA">
              <w:rPr>
                <w:noProof/>
                <w:vertAlign w:val="superscript"/>
              </w:rPr>
              <w:t>542</w:t>
            </w:r>
            <w:r w:rsidR="00283324">
              <w:rPr>
                <w:noProof/>
              </w:rPr>
              <w:fldChar w:fldCharType="end"/>
            </w:r>
            <w:r w:rsidR="00806DF5">
              <w:rPr>
                <w:noProof/>
              </w:rPr>
              <w:t>Wang et al 2017</w:t>
            </w:r>
            <w:r w:rsidR="00616EE6">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instrText xml:space="preserve"> ADDIN EN.CITE </w:instrText>
            </w:r>
            <w:r w:rsidR="002747EA">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instrText xml:space="preserve"> ADDIN EN.CITE.DATA </w:instrText>
            </w:r>
            <w:r w:rsidR="002747EA">
              <w:fldChar w:fldCharType="end"/>
            </w:r>
            <w:r w:rsidR="00616EE6">
              <w:fldChar w:fldCharType="separate"/>
            </w:r>
            <w:r w:rsidR="002747EA" w:rsidRPr="002747EA">
              <w:rPr>
                <w:noProof/>
                <w:vertAlign w:val="superscript"/>
              </w:rPr>
              <w:t>452</w:t>
            </w:r>
            <w:r w:rsidR="00616EE6">
              <w:fldChar w:fldCharType="end"/>
            </w:r>
          </w:p>
          <w:p w14:paraId="02E5C94B" w14:textId="48B792BA" w:rsidR="000A1756" w:rsidRDefault="00806DF5" w:rsidP="00E70A06">
            <w:r w:rsidRPr="00C12274">
              <w:t>China</w:t>
            </w:r>
          </w:p>
        </w:tc>
        <w:tc>
          <w:tcPr>
            <w:tcW w:w="1670" w:type="dxa"/>
            <w:tcBorders>
              <w:left w:val="single" w:sz="4" w:space="0" w:color="3B3474"/>
              <w:right w:val="single" w:sz="4" w:space="0" w:color="3B3474"/>
            </w:tcBorders>
          </w:tcPr>
          <w:p w14:paraId="4DC08840" w14:textId="17179B46" w:rsidR="000A1756" w:rsidRDefault="000A1756" w:rsidP="00D424F3">
            <w:r>
              <w:t>Intervention 132</w:t>
            </w:r>
          </w:p>
          <w:p w14:paraId="4467FC77" w14:textId="1ACFF522" w:rsidR="000A1756" w:rsidRDefault="000A1756" w:rsidP="00D424F3">
            <w:r>
              <w:t>Control 133</w:t>
            </w:r>
          </w:p>
        </w:tc>
        <w:tc>
          <w:tcPr>
            <w:tcW w:w="5395" w:type="dxa"/>
            <w:tcBorders>
              <w:left w:val="single" w:sz="4" w:space="0" w:color="3B3474"/>
              <w:right w:val="single" w:sz="4" w:space="0" w:color="3B3474"/>
            </w:tcBorders>
          </w:tcPr>
          <w:p w14:paraId="2EE7BF0A" w14:textId="77777777" w:rsidR="000A1756" w:rsidRDefault="000A1756" w:rsidP="008D11CC">
            <w:r w:rsidRPr="008D11CC">
              <w:rPr>
                <w:b/>
              </w:rPr>
              <w:t>Aim</w:t>
            </w:r>
            <w:r>
              <w:t>: T</w:t>
            </w:r>
            <w:r w:rsidRPr="008D11CC">
              <w:t>o test the efficacy of regular exercise in early pregnancy to prevent gestational diabetes mellitus</w:t>
            </w:r>
            <w:r>
              <w:t>.</w:t>
            </w:r>
          </w:p>
          <w:p w14:paraId="02B7115D" w14:textId="088E922A" w:rsidR="000A1756" w:rsidRDefault="000A1756" w:rsidP="008D11CC">
            <w:r w:rsidRPr="008D11CC">
              <w:rPr>
                <w:b/>
              </w:rPr>
              <w:t>Population</w:t>
            </w:r>
            <w:r>
              <w:t>: N</w:t>
            </w:r>
            <w:r w:rsidRPr="008D11CC">
              <w:t>on</w:t>
            </w:r>
            <w:r>
              <w:t>-</w:t>
            </w:r>
            <w:r w:rsidRPr="008D11CC">
              <w:t>smoking women age &gt;18 years with a singleton pregnancy who met the criteria for overweight/obese status (</w:t>
            </w:r>
            <w:r>
              <w:t>BMI</w:t>
            </w:r>
            <w:r w:rsidRPr="008D11CC">
              <w:t xml:space="preserve"> 24</w:t>
            </w:r>
            <w:r>
              <w:t>≤</w:t>
            </w:r>
            <w:r w:rsidRPr="008D11CC">
              <w:t>28 kg/m(2)) and had an uncomplicated pregnancy at &lt;12(+6) weeks of gestation</w:t>
            </w:r>
          </w:p>
          <w:p w14:paraId="7FC4E230" w14:textId="77777777" w:rsidR="007D4CC2" w:rsidRDefault="007D4CC2" w:rsidP="007D4CC2">
            <w:r w:rsidRPr="005E4EF9">
              <w:rPr>
                <w:b/>
              </w:rPr>
              <w:t>Intervention</w:t>
            </w:r>
            <w:r>
              <w:rPr>
                <w:b/>
              </w:rPr>
              <w:t>:</w:t>
            </w:r>
          </w:p>
          <w:p w14:paraId="3F264DF7" w14:textId="77777777" w:rsidR="007D4CC2" w:rsidRPr="00C45716" w:rsidRDefault="007D4CC2" w:rsidP="007D4CC2">
            <w:pPr>
              <w:pStyle w:val="bullet"/>
            </w:pPr>
            <w:r w:rsidRPr="00C45716">
              <w:rPr>
                <w:i/>
              </w:rPr>
              <w:t>Supervised</w:t>
            </w:r>
            <w:r w:rsidRPr="00C45716">
              <w:t xml:space="preserve">: </w:t>
            </w:r>
            <w:r>
              <w:t>Yes</w:t>
            </w:r>
          </w:p>
          <w:p w14:paraId="3B89C064" w14:textId="19D5ED41" w:rsidR="007D4CC2" w:rsidRPr="00812647" w:rsidRDefault="007D4CC2" w:rsidP="00806DF5">
            <w:pPr>
              <w:pStyle w:val="bullet"/>
            </w:pPr>
            <w:r w:rsidRPr="00C45716">
              <w:rPr>
                <w:i/>
              </w:rPr>
              <w:t>Type and duration</w:t>
            </w:r>
            <w:r w:rsidRPr="00C45716">
              <w:t xml:space="preserve">: </w:t>
            </w:r>
            <w:r>
              <w:t xml:space="preserve">Aerobic; </w:t>
            </w:r>
            <w:r w:rsidR="00806DF5">
              <w:t>S</w:t>
            </w:r>
            <w:r w:rsidRPr="00C12274">
              <w:t>tationary cycling</w:t>
            </w:r>
            <w:r w:rsidRPr="00812647">
              <w:t xml:space="preserve">; </w:t>
            </w:r>
            <w:r w:rsidR="00806DF5" w:rsidRPr="00812647">
              <w:t>30 min, 3 times a week, from weeks 10 to 37</w:t>
            </w:r>
            <w:r w:rsidRPr="00812647">
              <w:t>.</w:t>
            </w:r>
          </w:p>
          <w:p w14:paraId="644D403D" w14:textId="2EA696FE" w:rsidR="000A1756" w:rsidRPr="00FE2FBE" w:rsidRDefault="007D4CC2" w:rsidP="007D4CC2">
            <w:pPr>
              <w:pStyle w:val="bullet"/>
              <w:rPr>
                <w:b/>
              </w:rPr>
            </w:pPr>
            <w:r w:rsidRPr="00C45716">
              <w:rPr>
                <w:i/>
              </w:rPr>
              <w:t>Intensity</w:t>
            </w:r>
            <w:r w:rsidRPr="00C45716">
              <w:t xml:space="preserve">: </w:t>
            </w:r>
            <w:r w:rsidRPr="00C12274">
              <w:t>Moderate; Borg scale 12-14</w:t>
            </w:r>
            <w:r>
              <w:t>.</w:t>
            </w:r>
          </w:p>
        </w:tc>
        <w:tc>
          <w:tcPr>
            <w:tcW w:w="5953" w:type="dxa"/>
            <w:tcBorders>
              <w:left w:val="single" w:sz="4" w:space="0" w:color="3B3474"/>
              <w:right w:val="single" w:sz="4" w:space="0" w:color="3B3474"/>
            </w:tcBorders>
          </w:tcPr>
          <w:p w14:paraId="413A3984" w14:textId="77777777" w:rsidR="000A1756" w:rsidRDefault="000A1756" w:rsidP="00FE2FBE">
            <w:r>
              <w:t>Intervention vs control:</w:t>
            </w:r>
          </w:p>
          <w:p w14:paraId="32FDC35B" w14:textId="0C79A498" w:rsidR="000A1756" w:rsidRDefault="00334668" w:rsidP="001D0A78">
            <w:pPr>
              <w:pStyle w:val="bullet"/>
            </w:pPr>
            <w:r>
              <w:t>Gestational diabetes</w:t>
            </w:r>
            <w:r w:rsidR="000A1756">
              <w:t xml:space="preserve">: </w:t>
            </w:r>
            <w:r w:rsidR="000A1756" w:rsidRPr="001D0A78">
              <w:t>29 (22.0)</w:t>
            </w:r>
            <w:r w:rsidR="000A1756">
              <w:t xml:space="preserve"> vs</w:t>
            </w:r>
            <w:r w:rsidR="000A1756" w:rsidRPr="001D0A78">
              <w:t xml:space="preserve"> 54 (40.6)</w:t>
            </w:r>
            <w:r w:rsidR="000A1756">
              <w:t xml:space="preserve"> OR</w:t>
            </w:r>
            <w:r w:rsidR="000A1756" w:rsidRPr="001D0A78">
              <w:t xml:space="preserve"> 0.412 (0.240</w:t>
            </w:r>
            <w:r w:rsidR="000A1756">
              <w:t xml:space="preserve"> to </w:t>
            </w:r>
            <w:r w:rsidR="000A1756" w:rsidRPr="001D0A78">
              <w:t xml:space="preserve">0.705) </w:t>
            </w:r>
            <w:r w:rsidR="000A1756">
              <w:t>p</w:t>
            </w:r>
            <w:r w:rsidR="000A1756" w:rsidRPr="001D0A78">
              <w:t>&lt;</w:t>
            </w:r>
            <w:r w:rsidR="000A1756">
              <w:t>0</w:t>
            </w:r>
            <w:r w:rsidR="000A1756" w:rsidRPr="001D0A78">
              <w:t>.001</w:t>
            </w:r>
          </w:p>
          <w:p w14:paraId="0A5BAC52" w14:textId="484BDBAA" w:rsidR="000A1756" w:rsidRPr="001D0A78" w:rsidRDefault="00334668" w:rsidP="001D0A78">
            <w:pPr>
              <w:pStyle w:val="bullet"/>
            </w:pPr>
            <w:r>
              <w:t>Gestational w</w:t>
            </w:r>
            <w:r w:rsidR="000A1756">
              <w:t xml:space="preserve">eight gain: </w:t>
            </w:r>
            <w:r w:rsidR="000A1756" w:rsidRPr="001D0A78">
              <w:t>8.38±3.65 vs 10.47</w:t>
            </w:r>
            <w:r w:rsidR="000A1756">
              <w:t>±</w:t>
            </w:r>
            <w:r w:rsidR="000A1756" w:rsidRPr="001D0A78">
              <w:t>3.33 p&lt;0.001</w:t>
            </w:r>
          </w:p>
          <w:p w14:paraId="5C52F660" w14:textId="02463276" w:rsidR="000A1756" w:rsidRPr="001D0A78" w:rsidRDefault="000A1756" w:rsidP="001D0A78">
            <w:pPr>
              <w:pStyle w:val="bullet"/>
            </w:pPr>
            <w:r w:rsidRPr="001D0A78">
              <w:t>Hypertensive disorders of pregnancy</w:t>
            </w:r>
            <w:r>
              <w:t>:</w:t>
            </w:r>
            <w:r w:rsidRPr="001D0A78">
              <w:t xml:space="preserve"> 19/112 (17.0) </w:t>
            </w:r>
            <w:r>
              <w:t xml:space="preserve">vs </w:t>
            </w:r>
            <w:r w:rsidRPr="001D0A78">
              <w:t xml:space="preserve">22/114 (19.3) </w:t>
            </w:r>
            <w:r>
              <w:t xml:space="preserve">OR </w:t>
            </w:r>
            <w:r w:rsidRPr="001D0A78">
              <w:t>0.854 (0.434</w:t>
            </w:r>
            <w:r>
              <w:t xml:space="preserve"> to </w:t>
            </w:r>
            <w:r w:rsidRPr="001D0A78">
              <w:t xml:space="preserve">1.683) </w:t>
            </w:r>
            <w:r>
              <w:t>p=0</w:t>
            </w:r>
            <w:r w:rsidRPr="001D0A78">
              <w:t>.6</w:t>
            </w:r>
          </w:p>
          <w:p w14:paraId="02A6614B" w14:textId="4E48B696" w:rsidR="000A1756" w:rsidRPr="009C63E4" w:rsidRDefault="000A1756" w:rsidP="00150953">
            <w:pPr>
              <w:pStyle w:val="bullet"/>
            </w:pPr>
            <w:r w:rsidRPr="001D0A78">
              <w:t>C</w:t>
            </w:r>
            <w:r>
              <w:t>a</w:t>
            </w:r>
            <w:r w:rsidRPr="001D0A78">
              <w:t xml:space="preserve">esarean </w:t>
            </w:r>
            <w:r>
              <w:t>section:</w:t>
            </w:r>
            <w:r w:rsidRPr="001D0A78">
              <w:t xml:space="preserve"> 33/112 (29.5) </w:t>
            </w:r>
            <w:r>
              <w:t xml:space="preserve">vs </w:t>
            </w:r>
            <w:r w:rsidRPr="001D0A78">
              <w:t>37/114 (32.5)</w:t>
            </w:r>
            <w:r>
              <w:t xml:space="preserve"> OR</w:t>
            </w:r>
            <w:r w:rsidRPr="001D0A78">
              <w:t xml:space="preserve"> 0.869 (0.494</w:t>
            </w:r>
            <w:r>
              <w:t xml:space="preserve"> to </w:t>
            </w:r>
            <w:r w:rsidRPr="001D0A78">
              <w:t xml:space="preserve">1.529) </w:t>
            </w:r>
            <w:r>
              <w:t>p=0</w:t>
            </w:r>
            <w:r w:rsidRPr="001D0A78">
              <w:t>.6</w:t>
            </w:r>
          </w:p>
        </w:tc>
      </w:tr>
    </w:tbl>
    <w:p w14:paraId="26592E60" w14:textId="6C8BB2A8" w:rsidR="000E6C5B" w:rsidRDefault="00932C6D" w:rsidP="00932C6D">
      <w:pPr>
        <w:pStyle w:val="TableName"/>
        <w:pageBreakBefore/>
      </w:pPr>
      <w:bookmarkStart w:id="238" w:name="_Toc40956689"/>
      <w:r>
        <w:t xml:space="preserve">Q9 </w:t>
      </w:r>
      <w:r w:rsidR="000E6C5B">
        <w:t xml:space="preserve">Outcomes associated with </w:t>
      </w:r>
      <w:r w:rsidR="00EC255D">
        <w:t>lifestyle counselling</w:t>
      </w:r>
      <w:r w:rsidR="000E6C5B">
        <w:t xml:space="preserve"> interventions versus usual care</w:t>
      </w:r>
      <w:bookmarkEnd w:id="238"/>
      <w:r w:rsidR="000E6C5B">
        <w:t xml:space="preserve"> </w:t>
      </w:r>
    </w:p>
    <w:tbl>
      <w:tblPr>
        <w:tblStyle w:val="TableGrid"/>
        <w:tblW w:w="140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Caption w:val="Table 111: Q9 Outcomes associated with lifestyle counselling interventions versus usual care "/>
      </w:tblPr>
      <w:tblGrid>
        <w:gridCol w:w="1417"/>
        <w:gridCol w:w="1562"/>
        <w:gridCol w:w="5393"/>
        <w:gridCol w:w="5664"/>
      </w:tblGrid>
      <w:tr w:rsidR="000E6C5B" w:rsidRPr="00E70A06" w14:paraId="739C5A6B" w14:textId="77777777" w:rsidTr="0030223E">
        <w:trPr>
          <w:cantSplit/>
          <w:tblHeader/>
        </w:trPr>
        <w:tc>
          <w:tcPr>
            <w:tcW w:w="1417" w:type="dxa"/>
          </w:tcPr>
          <w:p w14:paraId="4654D112" w14:textId="77777777" w:rsidR="000E6C5B" w:rsidRPr="00E70A06" w:rsidRDefault="000E6C5B" w:rsidP="00E70A06">
            <w:pPr>
              <w:rPr>
                <w:b/>
              </w:rPr>
            </w:pPr>
            <w:r w:rsidRPr="00E70A06">
              <w:rPr>
                <w:b/>
              </w:rPr>
              <w:t>Ref/setting</w:t>
            </w:r>
          </w:p>
        </w:tc>
        <w:tc>
          <w:tcPr>
            <w:tcW w:w="1562" w:type="dxa"/>
          </w:tcPr>
          <w:p w14:paraId="3EE58238" w14:textId="77777777" w:rsidR="000E6C5B" w:rsidRPr="00E70A06" w:rsidRDefault="000E6C5B" w:rsidP="00E70A06">
            <w:pPr>
              <w:rPr>
                <w:b/>
              </w:rPr>
            </w:pPr>
            <w:r w:rsidRPr="00E70A06">
              <w:rPr>
                <w:b/>
              </w:rPr>
              <w:t>N</w:t>
            </w:r>
          </w:p>
        </w:tc>
        <w:tc>
          <w:tcPr>
            <w:tcW w:w="5393" w:type="dxa"/>
          </w:tcPr>
          <w:p w14:paraId="05C180A7" w14:textId="77777777" w:rsidR="000E6C5B" w:rsidRPr="00E70A06" w:rsidRDefault="000E6C5B" w:rsidP="00E70A06">
            <w:pPr>
              <w:rPr>
                <w:b/>
              </w:rPr>
            </w:pPr>
            <w:r w:rsidRPr="00E70A06">
              <w:rPr>
                <w:b/>
              </w:rPr>
              <w:t>Aim/population/intervention</w:t>
            </w:r>
          </w:p>
        </w:tc>
        <w:tc>
          <w:tcPr>
            <w:tcW w:w="5664" w:type="dxa"/>
          </w:tcPr>
          <w:p w14:paraId="6B714621" w14:textId="77777777" w:rsidR="000E6C5B" w:rsidRPr="00E70A06" w:rsidRDefault="000E6C5B" w:rsidP="00E70A06">
            <w:pPr>
              <w:rPr>
                <w:b/>
              </w:rPr>
            </w:pPr>
            <w:r w:rsidRPr="00E70A06">
              <w:rPr>
                <w:b/>
              </w:rPr>
              <w:t>Outcomes</w:t>
            </w:r>
          </w:p>
        </w:tc>
      </w:tr>
      <w:tr w:rsidR="00973D70" w:rsidRPr="00D00A59" w14:paraId="7C1170D4" w14:textId="77777777" w:rsidTr="0030223E">
        <w:trPr>
          <w:cantSplit/>
        </w:trPr>
        <w:tc>
          <w:tcPr>
            <w:tcW w:w="1417" w:type="dxa"/>
          </w:tcPr>
          <w:p w14:paraId="0FB21448" w14:textId="127ECAEE" w:rsidR="00973D70" w:rsidRPr="00D00A59" w:rsidRDefault="00973D70" w:rsidP="00A62770">
            <w:r w:rsidRPr="00A62770">
              <w:t>Asci &amp; Rathfisch 2016</w:t>
            </w:r>
            <w:r w:rsidRPr="00D00A59">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 </w:instrText>
            </w:r>
            <w:r w:rsidR="002747EA">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489</w:t>
            </w:r>
            <w:r w:rsidRPr="00D00A59">
              <w:fldChar w:fldCharType="end"/>
            </w:r>
          </w:p>
          <w:p w14:paraId="3DC0C0E2" w14:textId="77777777" w:rsidR="00973D70" w:rsidRPr="00D00A59" w:rsidRDefault="00973D70" w:rsidP="00A62770">
            <w:pPr>
              <w:rPr>
                <w:szCs w:val="18"/>
              </w:rPr>
            </w:pPr>
            <w:r w:rsidRPr="00D00A59">
              <w:rPr>
                <w:szCs w:val="18"/>
              </w:rPr>
              <w:t>Turkey</w:t>
            </w:r>
          </w:p>
        </w:tc>
        <w:tc>
          <w:tcPr>
            <w:tcW w:w="1562" w:type="dxa"/>
          </w:tcPr>
          <w:p w14:paraId="26B476D2" w14:textId="77777777" w:rsidR="00973D70" w:rsidRPr="00D00A59" w:rsidRDefault="00973D70" w:rsidP="00A75579">
            <w:pPr>
              <w:rPr>
                <w:szCs w:val="18"/>
              </w:rPr>
            </w:pPr>
            <w:r w:rsidRPr="00D00A59">
              <w:rPr>
                <w:szCs w:val="18"/>
              </w:rPr>
              <w:t>Intervention 45</w:t>
            </w:r>
          </w:p>
          <w:p w14:paraId="743F0C29" w14:textId="77777777" w:rsidR="00973D70" w:rsidRPr="00D00A59" w:rsidRDefault="00973D70" w:rsidP="00A75579">
            <w:pPr>
              <w:rPr>
                <w:szCs w:val="18"/>
              </w:rPr>
            </w:pPr>
            <w:r w:rsidRPr="00D00A59">
              <w:rPr>
                <w:szCs w:val="18"/>
              </w:rPr>
              <w:t>Control 45</w:t>
            </w:r>
          </w:p>
        </w:tc>
        <w:tc>
          <w:tcPr>
            <w:tcW w:w="5393" w:type="dxa"/>
          </w:tcPr>
          <w:p w14:paraId="31C271BD" w14:textId="77777777" w:rsidR="00973D70" w:rsidRPr="00D00A59" w:rsidRDefault="00973D70" w:rsidP="00A75579">
            <w:pPr>
              <w:rPr>
                <w:szCs w:val="18"/>
              </w:rPr>
            </w:pPr>
            <w:r w:rsidRPr="00D00A59">
              <w:rPr>
                <w:b/>
                <w:szCs w:val="18"/>
              </w:rPr>
              <w:t>Aim</w:t>
            </w:r>
            <w:r w:rsidRPr="00D00A59">
              <w:rPr>
                <w:szCs w:val="18"/>
              </w:rPr>
              <w:t xml:space="preserve">: to determine the effect of lifestyle interventions on improving dietary habits and lifestyle behaviours, ensuring gestational weight gain (GWG) within recommended levels and limiting postpartum weight retention. </w:t>
            </w:r>
          </w:p>
          <w:p w14:paraId="0B92286B" w14:textId="77777777" w:rsidR="00973D70" w:rsidRPr="00D00A59" w:rsidRDefault="00973D70" w:rsidP="00A75579">
            <w:pPr>
              <w:rPr>
                <w:szCs w:val="18"/>
              </w:rPr>
            </w:pPr>
            <w:r w:rsidRPr="00D00A59">
              <w:rPr>
                <w:b/>
                <w:szCs w:val="18"/>
              </w:rPr>
              <w:t>Population</w:t>
            </w:r>
            <w:r w:rsidRPr="00D00A59">
              <w:rPr>
                <w:szCs w:val="18"/>
              </w:rPr>
              <w:t>: Pregnant women aged over 18, who had no health problem, did not intend to lose weight in pre-pregnancy period, got pregnant in natural ways for two times at most, and were pregnant for a period of 3 months or less. Mixed BMIs.</w:t>
            </w:r>
          </w:p>
          <w:p w14:paraId="012552AA" w14:textId="77777777" w:rsidR="00973D70" w:rsidRPr="00D00A59" w:rsidRDefault="00973D70" w:rsidP="00A75579">
            <w:pPr>
              <w:rPr>
                <w:szCs w:val="18"/>
              </w:rPr>
            </w:pPr>
            <w:r w:rsidRPr="00D00A59">
              <w:rPr>
                <w:b/>
                <w:szCs w:val="18"/>
              </w:rPr>
              <w:t>Intervention</w:t>
            </w:r>
            <w:r w:rsidRPr="00D00A59">
              <w:rPr>
                <w:szCs w:val="18"/>
              </w:rPr>
              <w:t xml:space="preserve">: Individualised lifestyle intervention focusing on healthy lifestyle, diet (portions and amounts required to be consumed from all food groups), exercise (mild-moderate safe exercise types, which increase the heart rate to maximum 140 beats/min while being easily able to talk, for 30 min every other day and maintain a more active lifestyle) and weight monitoring with the aim of remaining within IOM guidelines over four sessions at 12-15, 16-18, 20-24, and 37 weeks gestation. </w:t>
            </w:r>
          </w:p>
        </w:tc>
        <w:tc>
          <w:tcPr>
            <w:tcW w:w="5664" w:type="dxa"/>
          </w:tcPr>
          <w:p w14:paraId="0FE0E34E" w14:textId="77777777" w:rsidR="00973D70" w:rsidRPr="00D00A59" w:rsidRDefault="00973D70" w:rsidP="00A75579">
            <w:pPr>
              <w:rPr>
                <w:szCs w:val="18"/>
              </w:rPr>
            </w:pPr>
            <w:r w:rsidRPr="00D00A59">
              <w:rPr>
                <w:szCs w:val="18"/>
              </w:rPr>
              <w:t>Intervention vs control:</w:t>
            </w:r>
          </w:p>
          <w:p w14:paraId="417CECDF" w14:textId="77777777" w:rsidR="00973D70" w:rsidRPr="00D00A59" w:rsidRDefault="00973D70" w:rsidP="00A75579">
            <w:pPr>
              <w:pStyle w:val="bullet"/>
              <w:rPr>
                <w:szCs w:val="18"/>
              </w:rPr>
            </w:pPr>
            <w:r w:rsidRPr="00D00A59">
              <w:rPr>
                <w:szCs w:val="18"/>
              </w:rPr>
              <w:t>Gestational weight gain: 12.45±5.04 vs 12.29±4.8</w:t>
            </w:r>
          </w:p>
          <w:p w14:paraId="7097FB91" w14:textId="77777777" w:rsidR="00973D70" w:rsidRPr="00D00A59" w:rsidRDefault="00973D70" w:rsidP="00A75579">
            <w:pPr>
              <w:pStyle w:val="bullet"/>
              <w:rPr>
                <w:szCs w:val="18"/>
              </w:rPr>
            </w:pPr>
            <w:r w:rsidRPr="00D00A59">
              <w:rPr>
                <w:szCs w:val="18"/>
              </w:rPr>
              <w:t xml:space="preserve">Postpartum weight retention (6 wks): 5.19±4.71 vs 5.95±4.79 </w:t>
            </w:r>
          </w:p>
          <w:p w14:paraId="119AD606" w14:textId="77777777" w:rsidR="00973D70" w:rsidRPr="00D00A59" w:rsidRDefault="00973D70" w:rsidP="00A75579">
            <w:pPr>
              <w:pStyle w:val="bullet"/>
              <w:rPr>
                <w:szCs w:val="18"/>
              </w:rPr>
            </w:pPr>
            <w:r w:rsidRPr="00D00A59">
              <w:rPr>
                <w:szCs w:val="18"/>
              </w:rPr>
              <w:t>Caesarean section: 17/45 vs 15/45</w:t>
            </w:r>
          </w:p>
        </w:tc>
      </w:tr>
      <w:tr w:rsidR="00973D70" w:rsidRPr="00AE7C7D" w14:paraId="59D90EC3" w14:textId="77777777" w:rsidTr="0030223E">
        <w:trPr>
          <w:cantSplit/>
        </w:trPr>
        <w:tc>
          <w:tcPr>
            <w:tcW w:w="1417" w:type="dxa"/>
          </w:tcPr>
          <w:p w14:paraId="44226E40" w14:textId="515D98AA" w:rsidR="00973D70" w:rsidRPr="00AE7C7D" w:rsidRDefault="00973D70" w:rsidP="00A62770">
            <w:pPr>
              <w:rPr>
                <w:noProof/>
              </w:rPr>
            </w:pPr>
            <w:r w:rsidRPr="00AE7C7D">
              <w:rPr>
                <w:noProof/>
              </w:rPr>
              <w:t>Altazan et al 2019</w:t>
            </w:r>
            <w:r w:rsidRPr="00AE7C7D">
              <w:rPr>
                <w:noProof/>
              </w:rPr>
              <w:fldChar w:fldCharType="begin">
                <w:fldData xml:space="preserve">PEVuZE5vdGU+PENpdGU+PEF1dGhvcj5BbHRhemFuPC9BdXRob3I+PFllYXI+MjAxOTwvWWVhcj48
UmVjTnVtPjEzNzk8L1JlY051bT48RGlzcGxheVRleHQ+PHN0eWxlIGZhY2U9InN1cGVyc2NyaXB0
IiBmb250PSJUcmVidWNoZXQgTVMiIHNpemU9IjkiPjUwNzwvc3R5bGU+PC9EaXNwbGF5VGV4dD48
cmVjb3JkPjxyZWMtbnVtYmVyPjEzNzk8L3JlYy1udW1iZXI+PGZvcmVpZ24ta2V5cz48a2V5IGFw
cD0iRU4iIGRiLWlkPSJleHZhc3JmeDJkdHJhb2VzYXN4cDJzenN4YTJkZjUwMjU5MngiIHRpbWVz
dGFtcD0iMTU2NzA2MTUxNCI+MTM3OTwva2V5PjxrZXkgYXBwPSJFTldlYiIgZGItaWQ9IiI+MDwv
a2V5PjwvZm9yZWlnbi1rZXlzPjxyZWYtdHlwZSBuYW1lPSJKb3VybmFsIEFydGljbGUiPjE3PC9y
ZWYtdHlwZT48Y29udHJpYnV0b3JzPjxhdXRob3JzPjxhdXRob3I+QWx0YXphbiwgQS4gRC48L2F1
dGhvcj48YXV0aG9yPlJlZG1hbiwgTC4gTS48L2F1dGhvcj48YXV0aG9yPkJ1cnRvbiwgSi4gSC48
L2F1dGhvcj48YXV0aG9yPkJleWwsIFIuIEEuPC9hdXRob3I+PGF1dGhvcj5DYWluLCBMLiBFLjwv
YXV0aG9yPjxhdXRob3I+U3V0dG9uLCBFLiBGLjwvYXV0aG9yPjxhdXRob3I+TWFydGluLCBDLiBL
LjwvYXV0aG9yPjwvYXV0aG9ycz48L2NvbnRyaWJ1dG9ycz48YXV0aC1hZGRyZXNzPlBlbm5pbmd0
b24gQmlvbWVkaWNhbCBSZXNlYXJjaCBDZW50ZXIsIExvdWlzaWFuYSBTdGF0ZSBVbml2ZXJzaXR5
LCA2NDAwIFBlcmtpbnMgUm9hZCwgQmF0b24gUm91Z2UsIExBLCA3MDgwOCwgVVNBLiYjeEQ7UGVu
bmluZ3RvbiBCaW9tZWRpY2FsIFJlc2VhcmNoIENlbnRlciwgTG91aXNpYW5hIFN0YXRlIFVuaXZl
cnNpdHksIDY0MDAgUGVya2lucyBSb2FkLCBCYXRvbiBSb3VnZSwgTEEsIDcwODA4LCBVU0EuIGNv
cmJ5Lm1hcnRpbkBwYnJjLmVkdS48L2F1dGgtYWRkcmVzcz48dGl0bGVzPjx0aXRsZT5Nb29kIGFu
ZCBxdWFsaXR5IG9mIGxpZmUgY2hhbmdlcyBpbiBwcmVnbmFuY3kgYW5kIHBvc3RwYXJ0dW0gYW5k
IHRoZSBlZmZlY3Qgb2YgYSBiZWhhdmlvcmFsIGludGVydmVudGlvbiB0YXJnZXRpbmcgZXhjZXNz
IGdlc3RhdGlvbmFsIHdlaWdodCBnYWluIGluIHdvbWVuIHdpdGggb3ZlcndlaWdodCBhbmQgb2Jl
c2l0eTogYSBwYXJhbGxlbC1hcm0gcmFuZG9taXplZCBjb250cm9sbGVkIHBpbG90IHRyaWFsPC90
aXRsZT48c2Vjb25kYXJ5LXRpdGxlPkJNQyBQcmVnbmFuY3kgQ2hpbGRiaXJ0aDwvc2Vjb25kYXJ5
LXRpdGxlPjwvdGl0bGVzPjxwZXJpb2RpY2FsPjxmdWxsLXRpdGxlPkJNQyBQcmVnbmFuY3kgQ2hp
bGRiaXJ0aDwvZnVsbC10aXRsZT48L3BlcmlvZGljYWw+PHBhZ2VzPjUwPC9wYWdlcz48dm9sdW1l
PjE5PC92b2x1bWU+PG51bWJlcj4xPC9udW1iZXI+PGVkaXRpb24+MjAxOS8wMS8zMTwvZWRpdGlv
bj48a2V5d29yZHM+PGtleXdvcmQ+QWR1bHQ8L2tleXdvcmQ+PGtleXdvcmQ+QmVoYXZpb3IgVGhl
cmFweS8qbWV0aG9kczwva2V5d29yZD48a2V5d29yZD5GZW1hbGU8L2tleXdvcmQ+PGtleXdvcmQ+
Kkdlc3RhdGlvbmFsIFdlaWdodCBHYWluPC9rZXl3b3JkPjxrZXl3b3JkPkh1bWFuczwva2V5d29y
ZD48a2V5d29yZD5MaWZlIFN0eWxlPC9rZXl3b3JkPjxrZXl3b3JkPk92ZXJ3ZWlnaHQvKnByZXZl
bnRpb24gJmFtcDsgY29udHJvbDwva2V5d29yZD48a2V5d29yZD5QaWxvdCBQcm9qZWN0czwva2V5
d29yZD48a2V5d29yZD5QcmVnbmFuY3k8L2tleXdvcmQ+PGtleXdvcmQ+UHJlbmF0YWwgQ2FyZS8q
bWV0aG9kczwva2V5d29yZD48a2V5d29yZD5RdWFsaXR5IG9mIExpZmUvKnBzeWNob2xvZ3k8L2tl
eXdvcmQ+PGtleXdvcmQ+VHJlYXRtZW50IE91dGNvbWU8L2tleXdvcmQ+PGtleXdvcmQ+V2VpZ2h0
IEdhaW48L2tleXdvcmQ+PGtleXdvcmQ+R2VzdGF0aW9uYWwgd2VpZ2h0IGdhaW48L2tleXdvcmQ+
PGtleXdvcmQ+TWVudGFsIGhlYWx0aDwva2V5d29yZD48a2V5d29yZD5RdWFsaXR5IG9mIGxpZmU8
L2tleXdvcmQ+PC9rZXl3b3Jkcz48ZGF0ZXM+PHllYXI+MjAxOTwveWVhcj48cHViLWRhdGVzPjxk
YXRlPkphbiAyOTwvZGF0ZT48L3B1Yi1kYXRlcz48L2RhdGVzPjxpc2JuPjE0NzEtMjM5MyAoRWxl
Y3Ryb25pYykmI3hEOzE0NzEtMjM5MyAoTGlua2luZyk8L2lzYm4+PGFjY2Vzc2lvbi1udW0+MzA2
OTY0MDg8L2FjY2Vzc2lvbi1udW0+PHVybHM+PHJlbGF0ZWQtdXJscz48dXJsPmh0dHBzOi8vd3d3
Lm5jYmkubmxtLm5paC5nb3YvcHVibWVkLzMwNjk2NDA4PC91cmw+PC9yZWxhdGVkLXVybHM+PC91
cmxzPjxjdXN0b20yPlBNQzYzNTIzNTI8L2N1c3RvbTI+PGVsZWN0cm9uaWMtcmVzb3VyY2UtbnVt
PjEwLjExODYvczEyODg0LTAxOS0yMTk2LTg8L2VsZWN0cm9uaWMtcmVzb3VyY2UtbnVtPjwvcmVj
b3JkPjwvQ2l0ZT48L0VuZE5vdGU+AG==
</w:fldData>
              </w:fldChar>
            </w:r>
            <w:r w:rsidR="002747EA">
              <w:rPr>
                <w:noProof/>
              </w:rPr>
              <w:instrText xml:space="preserve"> ADDIN EN.CITE </w:instrText>
            </w:r>
            <w:r w:rsidR="002747EA">
              <w:rPr>
                <w:noProof/>
              </w:rPr>
              <w:fldChar w:fldCharType="begin">
                <w:fldData xml:space="preserve">PEVuZE5vdGU+PENpdGU+PEF1dGhvcj5BbHRhemFuPC9BdXRob3I+PFllYXI+MjAxOTwvWWVhcj48
UmVjTnVtPjEzNzk8L1JlY051bT48RGlzcGxheVRleHQ+PHN0eWxlIGZhY2U9InN1cGVyc2NyaXB0
IiBmb250PSJUcmVidWNoZXQgTVMiIHNpemU9IjkiPjUwNzwvc3R5bGU+PC9EaXNwbGF5VGV4dD48
cmVjb3JkPjxyZWMtbnVtYmVyPjEzNzk8L3JlYy1udW1iZXI+PGZvcmVpZ24ta2V5cz48a2V5IGFw
cD0iRU4iIGRiLWlkPSJleHZhc3JmeDJkdHJhb2VzYXN4cDJzenN4YTJkZjUwMjU5MngiIHRpbWVz
dGFtcD0iMTU2NzA2MTUxNCI+MTM3OTwva2V5PjxrZXkgYXBwPSJFTldlYiIgZGItaWQ9IiI+MDwv
a2V5PjwvZm9yZWlnbi1rZXlzPjxyZWYtdHlwZSBuYW1lPSJKb3VybmFsIEFydGljbGUiPjE3PC9y
ZWYtdHlwZT48Y29udHJpYnV0b3JzPjxhdXRob3JzPjxhdXRob3I+QWx0YXphbiwgQS4gRC48L2F1
dGhvcj48YXV0aG9yPlJlZG1hbiwgTC4gTS48L2F1dGhvcj48YXV0aG9yPkJ1cnRvbiwgSi4gSC48
L2F1dGhvcj48YXV0aG9yPkJleWwsIFIuIEEuPC9hdXRob3I+PGF1dGhvcj5DYWluLCBMLiBFLjwv
YXV0aG9yPjxhdXRob3I+U3V0dG9uLCBFLiBGLjwvYXV0aG9yPjxhdXRob3I+TWFydGluLCBDLiBL
LjwvYXV0aG9yPjwvYXV0aG9ycz48L2NvbnRyaWJ1dG9ycz48YXV0aC1hZGRyZXNzPlBlbm5pbmd0
b24gQmlvbWVkaWNhbCBSZXNlYXJjaCBDZW50ZXIsIExvdWlzaWFuYSBTdGF0ZSBVbml2ZXJzaXR5
LCA2NDAwIFBlcmtpbnMgUm9hZCwgQmF0b24gUm91Z2UsIExBLCA3MDgwOCwgVVNBLiYjeEQ7UGVu
bmluZ3RvbiBCaW9tZWRpY2FsIFJlc2VhcmNoIENlbnRlciwgTG91aXNpYW5hIFN0YXRlIFVuaXZl
cnNpdHksIDY0MDAgUGVya2lucyBSb2FkLCBCYXRvbiBSb3VnZSwgTEEsIDcwODA4LCBVU0EuIGNv
cmJ5Lm1hcnRpbkBwYnJjLmVkdS48L2F1dGgtYWRkcmVzcz48dGl0bGVzPjx0aXRsZT5Nb29kIGFu
ZCBxdWFsaXR5IG9mIGxpZmUgY2hhbmdlcyBpbiBwcmVnbmFuY3kgYW5kIHBvc3RwYXJ0dW0gYW5k
IHRoZSBlZmZlY3Qgb2YgYSBiZWhhdmlvcmFsIGludGVydmVudGlvbiB0YXJnZXRpbmcgZXhjZXNz
IGdlc3RhdGlvbmFsIHdlaWdodCBnYWluIGluIHdvbWVuIHdpdGggb3ZlcndlaWdodCBhbmQgb2Jl
c2l0eTogYSBwYXJhbGxlbC1hcm0gcmFuZG9taXplZCBjb250cm9sbGVkIHBpbG90IHRyaWFsPC90
aXRsZT48c2Vjb25kYXJ5LXRpdGxlPkJNQyBQcmVnbmFuY3kgQ2hpbGRiaXJ0aDwvc2Vjb25kYXJ5
LXRpdGxlPjwvdGl0bGVzPjxwZXJpb2RpY2FsPjxmdWxsLXRpdGxlPkJNQyBQcmVnbmFuY3kgQ2hp
bGRiaXJ0aDwvZnVsbC10aXRsZT48L3BlcmlvZGljYWw+PHBhZ2VzPjUwPC9wYWdlcz48dm9sdW1l
PjE5PC92b2x1bWU+PG51bWJlcj4xPC9udW1iZXI+PGVkaXRpb24+MjAxOS8wMS8zMTwvZWRpdGlv
bj48a2V5d29yZHM+PGtleXdvcmQ+QWR1bHQ8L2tleXdvcmQ+PGtleXdvcmQ+QmVoYXZpb3IgVGhl
cmFweS8qbWV0aG9kczwva2V5d29yZD48a2V5d29yZD5GZW1hbGU8L2tleXdvcmQ+PGtleXdvcmQ+
Kkdlc3RhdGlvbmFsIFdlaWdodCBHYWluPC9rZXl3b3JkPjxrZXl3b3JkPkh1bWFuczwva2V5d29y
ZD48a2V5d29yZD5MaWZlIFN0eWxlPC9rZXl3b3JkPjxrZXl3b3JkPk92ZXJ3ZWlnaHQvKnByZXZl
bnRpb24gJmFtcDsgY29udHJvbDwva2V5d29yZD48a2V5d29yZD5QaWxvdCBQcm9qZWN0czwva2V5
d29yZD48a2V5d29yZD5QcmVnbmFuY3k8L2tleXdvcmQ+PGtleXdvcmQ+UHJlbmF0YWwgQ2FyZS8q
bWV0aG9kczwva2V5d29yZD48a2V5d29yZD5RdWFsaXR5IG9mIExpZmUvKnBzeWNob2xvZ3k8L2tl
eXdvcmQ+PGtleXdvcmQ+VHJlYXRtZW50IE91dGNvbWU8L2tleXdvcmQ+PGtleXdvcmQ+V2VpZ2h0
IEdhaW48L2tleXdvcmQ+PGtleXdvcmQ+R2VzdGF0aW9uYWwgd2VpZ2h0IGdhaW48L2tleXdvcmQ+
PGtleXdvcmQ+TWVudGFsIGhlYWx0aDwva2V5d29yZD48a2V5d29yZD5RdWFsaXR5IG9mIGxpZmU8
L2tleXdvcmQ+PC9rZXl3b3Jkcz48ZGF0ZXM+PHllYXI+MjAxOTwveWVhcj48cHViLWRhdGVzPjxk
YXRlPkphbiAyOTwvZGF0ZT48L3B1Yi1kYXRlcz48L2RhdGVzPjxpc2JuPjE0NzEtMjM5MyAoRWxl
Y3Ryb25pYykmI3hEOzE0NzEtMjM5MyAoTGlua2luZyk8L2lzYm4+PGFjY2Vzc2lvbi1udW0+MzA2
OTY0MDg8L2FjY2Vzc2lvbi1udW0+PHVybHM+PHJlbGF0ZWQtdXJscz48dXJsPmh0dHBzOi8vd3d3
Lm5jYmkubmxtLm5paC5nb3YvcHVibWVkLzMwNjk2NDA4PC91cmw+PC9yZWxhdGVkLXVybHM+PC91
cmxzPjxjdXN0b20yPlBNQzYzNTIzNTI8L2N1c3RvbTI+PGVsZWN0cm9uaWMtcmVzb3VyY2UtbnVt
PjEwLjExODYvczEyODg0LTAxOS0yMTk2LTg8L2VsZWN0cm9uaWMtcmVzb3VyY2UtbnVtPjwvcmVj
b3JkPjwvQ2l0ZT48L0VuZE5vdGU+AG==
</w:fldData>
              </w:fldChar>
            </w:r>
            <w:r w:rsidR="002747EA">
              <w:rPr>
                <w:noProof/>
              </w:rPr>
              <w:instrText xml:space="preserve"> ADDIN EN.CITE.DATA </w:instrText>
            </w:r>
            <w:r w:rsidR="002747EA">
              <w:rPr>
                <w:noProof/>
              </w:rPr>
            </w:r>
            <w:r w:rsidR="002747EA">
              <w:rPr>
                <w:noProof/>
              </w:rPr>
              <w:fldChar w:fldCharType="end"/>
            </w:r>
            <w:r w:rsidRPr="00AE7C7D">
              <w:rPr>
                <w:noProof/>
              </w:rPr>
            </w:r>
            <w:r w:rsidRPr="00AE7C7D">
              <w:rPr>
                <w:noProof/>
              </w:rPr>
              <w:fldChar w:fldCharType="separate"/>
            </w:r>
            <w:r w:rsidR="002747EA" w:rsidRPr="002747EA">
              <w:rPr>
                <w:noProof/>
                <w:vertAlign w:val="superscript"/>
              </w:rPr>
              <w:t>507</w:t>
            </w:r>
            <w:r w:rsidRPr="00AE7C7D">
              <w:rPr>
                <w:noProof/>
              </w:rPr>
              <w:fldChar w:fldCharType="end"/>
            </w:r>
          </w:p>
          <w:p w14:paraId="77EC6331" w14:textId="77777777" w:rsidR="00973D70" w:rsidRPr="00AE7C7D" w:rsidRDefault="00973D70" w:rsidP="00A62770">
            <w:pPr>
              <w:rPr>
                <w:noProof/>
              </w:rPr>
            </w:pPr>
            <w:r w:rsidRPr="00AE7C7D">
              <w:rPr>
                <w:noProof/>
              </w:rPr>
              <w:t>United States</w:t>
            </w:r>
          </w:p>
          <w:p w14:paraId="42A635C1" w14:textId="77777777" w:rsidR="00973D70" w:rsidRPr="00AE7C7D" w:rsidRDefault="00973D70" w:rsidP="00A62770">
            <w:pPr>
              <w:rPr>
                <w:noProof/>
              </w:rPr>
            </w:pPr>
            <w:r w:rsidRPr="00AE7C7D">
              <w:rPr>
                <w:noProof/>
              </w:rPr>
              <w:t>SmartMoms</w:t>
            </w:r>
          </w:p>
          <w:p w14:paraId="7D68F6C4" w14:textId="77777777" w:rsidR="00973D70" w:rsidRPr="00AE7C7D" w:rsidRDefault="00973D70" w:rsidP="00A62770">
            <w:pPr>
              <w:rPr>
                <w:noProof/>
              </w:rPr>
            </w:pPr>
            <w:r w:rsidRPr="00AE7C7D">
              <w:rPr>
                <w:noProof/>
              </w:rPr>
              <w:t>Part of LIFE-Moms consortium</w:t>
            </w:r>
          </w:p>
          <w:p w14:paraId="3ECFAC3F" w14:textId="77777777" w:rsidR="00973D70" w:rsidRPr="00AE7C7D" w:rsidRDefault="00973D70" w:rsidP="00A62770">
            <w:pPr>
              <w:rPr>
                <w:noProof/>
              </w:rPr>
            </w:pPr>
            <w:r w:rsidRPr="00AE7C7D">
              <w:t>NCT01610752</w:t>
            </w:r>
          </w:p>
        </w:tc>
        <w:tc>
          <w:tcPr>
            <w:tcW w:w="1562" w:type="dxa"/>
          </w:tcPr>
          <w:p w14:paraId="400FCE38" w14:textId="77777777" w:rsidR="00973D70" w:rsidRPr="00AE7C7D" w:rsidRDefault="00973D70" w:rsidP="00A75579">
            <w:pPr>
              <w:rPr>
                <w:sz w:val="16"/>
                <w:szCs w:val="16"/>
              </w:rPr>
            </w:pPr>
            <w:r w:rsidRPr="00AE7C7D">
              <w:rPr>
                <w:sz w:val="16"/>
                <w:szCs w:val="16"/>
              </w:rPr>
              <w:t>Intervention 37</w:t>
            </w:r>
          </w:p>
          <w:p w14:paraId="3967124F" w14:textId="77777777" w:rsidR="00973D70" w:rsidRPr="00AE7C7D" w:rsidRDefault="00973D70" w:rsidP="00A75579">
            <w:pPr>
              <w:rPr>
                <w:sz w:val="16"/>
                <w:szCs w:val="16"/>
              </w:rPr>
            </w:pPr>
            <w:r w:rsidRPr="00AE7C7D">
              <w:rPr>
                <w:sz w:val="16"/>
                <w:szCs w:val="16"/>
              </w:rPr>
              <w:t>Control 17</w:t>
            </w:r>
          </w:p>
        </w:tc>
        <w:tc>
          <w:tcPr>
            <w:tcW w:w="5393" w:type="dxa"/>
          </w:tcPr>
          <w:p w14:paraId="423643FB" w14:textId="12646BC0" w:rsidR="00973D70" w:rsidRPr="00AE7C7D" w:rsidRDefault="00973D70" w:rsidP="00A75579">
            <w:r w:rsidRPr="00AE7C7D">
              <w:rPr>
                <w:b/>
              </w:rPr>
              <w:t>Aim</w:t>
            </w:r>
            <w:r w:rsidRPr="00AE7C7D">
              <w:t>: To quantify changes in mental and physical quality of life and depressive symptoms across pregnancy and the postpartum period, to determine the association between gestational weight gain and change in mood and quality of life, and to assess the effect of a behavio</w:t>
            </w:r>
            <w:r w:rsidR="008D3C2C">
              <w:t>u</w:t>
            </w:r>
            <w:r w:rsidRPr="00AE7C7D">
              <w:t xml:space="preserve">ral intervention targeting excess gestational weight gain on these outcomes. </w:t>
            </w:r>
          </w:p>
          <w:p w14:paraId="36DAC183" w14:textId="77777777" w:rsidR="00973D70" w:rsidRPr="00AE7C7D" w:rsidRDefault="00973D70" w:rsidP="00A75579">
            <w:r w:rsidRPr="00AE7C7D">
              <w:rPr>
                <w:b/>
              </w:rPr>
              <w:t>Population</w:t>
            </w:r>
            <w:r w:rsidRPr="00AE7C7D">
              <w:t xml:space="preserve">: Pregnant women who were overweight or obese. </w:t>
            </w:r>
          </w:p>
          <w:p w14:paraId="013E8374" w14:textId="77777777" w:rsidR="00973D70" w:rsidRPr="00AE7C7D" w:rsidRDefault="00973D70" w:rsidP="003524FD">
            <w:r w:rsidRPr="00AE7C7D">
              <w:rPr>
                <w:b/>
              </w:rPr>
              <w:t>Intervention</w:t>
            </w:r>
            <w:r w:rsidRPr="00AE7C7D">
              <w:t>: Individuals randomised to the intervention were provided with behavioural weight management counselling by interventionists either in clinic (In-Person, n=18) or remotely through a smartphone application (Phone, n=19). Participants received a personalised IOM 2009 gestational weight gain graph, a wireless internet-connected bathroom scale, and a pedometer.</w:t>
            </w:r>
          </w:p>
        </w:tc>
        <w:tc>
          <w:tcPr>
            <w:tcW w:w="5664" w:type="dxa"/>
          </w:tcPr>
          <w:p w14:paraId="5645A9D8" w14:textId="77777777" w:rsidR="00973D70" w:rsidRPr="00AE7C7D" w:rsidRDefault="00973D70" w:rsidP="002234A1">
            <w:r w:rsidRPr="00AE7C7D">
              <w:t>Intervention vs control:</w:t>
            </w:r>
          </w:p>
          <w:p w14:paraId="49919FDB" w14:textId="77777777" w:rsidR="00973D70" w:rsidRPr="00AE7C7D" w:rsidRDefault="00973D70" w:rsidP="000A3E32">
            <w:pPr>
              <w:pStyle w:val="bullet"/>
            </w:pPr>
            <w:r w:rsidRPr="00AE7C7D">
              <w:t>Gestational weight gain: 8.7±0.9 vs 12.8±1.5</w:t>
            </w:r>
          </w:p>
          <w:p w14:paraId="72AE786F" w14:textId="77777777" w:rsidR="00973D70" w:rsidRPr="00AE7C7D" w:rsidRDefault="00973D70" w:rsidP="000A3E32">
            <w:pPr>
              <w:pStyle w:val="bullet"/>
            </w:pPr>
            <w:r w:rsidRPr="00AE7C7D">
              <w:t>Weight gain exceeding IOM guidelines: 18/32 vs 9/11</w:t>
            </w:r>
          </w:p>
          <w:p w14:paraId="2A4F3F66" w14:textId="77777777" w:rsidR="00973D70" w:rsidRPr="00AE7C7D" w:rsidRDefault="00973D70" w:rsidP="000A3E32">
            <w:r w:rsidRPr="00AE7C7D">
              <w:t>Outcomes relevant to mental health and quality of life were reported as degrees of change and were therefore not included in the meta-analysis.</w:t>
            </w:r>
          </w:p>
          <w:p w14:paraId="3D3FF64F" w14:textId="77777777" w:rsidR="00973D70" w:rsidRPr="00AE7C7D" w:rsidRDefault="00973D70" w:rsidP="000A3E32"/>
        </w:tc>
      </w:tr>
      <w:tr w:rsidR="00973D70" w:rsidRPr="00D00A59" w14:paraId="45E6AD9E" w14:textId="77777777" w:rsidTr="0030223E">
        <w:trPr>
          <w:cantSplit/>
        </w:trPr>
        <w:tc>
          <w:tcPr>
            <w:tcW w:w="1417" w:type="dxa"/>
          </w:tcPr>
          <w:p w14:paraId="7718356A" w14:textId="3EA7F486" w:rsidR="00973D70" w:rsidRPr="00D00A59" w:rsidRDefault="00973D70" w:rsidP="00A62770">
            <w:pPr>
              <w:rPr>
                <w:szCs w:val="18"/>
              </w:rPr>
            </w:pPr>
            <w:r w:rsidRPr="00A62770">
              <w:t>Althuizen et al 2013</w:t>
            </w:r>
            <w:r w:rsidRPr="00D00A59">
              <w:rPr>
                <w:szCs w:val="18"/>
              </w:rPr>
              <w:fldChar w:fldCharType="begin"/>
            </w:r>
            <w:r w:rsidR="002747EA">
              <w:rPr>
                <w:szCs w:val="18"/>
              </w:rPr>
              <w:instrText xml:space="preserve"> ADDIN EN.CITE &lt;EndNote&gt;&lt;Cite&gt;&lt;Author&gt;Althuizen&lt;/Author&gt;&lt;Year&gt;2013&lt;/Year&gt;&lt;RecNum&gt;709&lt;/RecNum&gt;&lt;DisplayText&gt;&lt;style face="superscript" font="Trebuchet MS" size="9"&gt;485&lt;/style&gt;&lt;/DisplayText&gt;&lt;record&gt;&lt;rec-number&gt;709&lt;/rec-number&gt;&lt;foreign-keys&gt;&lt;key app="EN" db-id="exvasrfx2dtraoesasxp2szsxa2df502592x" timestamp="1541462216"&gt;709&lt;/key&gt;&lt;/foreign-keys&gt;&lt;ref-type name="Journal Article"&gt;17&lt;/ref-type&gt;&lt;contributors&gt;&lt;authors&gt;&lt;author&gt;Althuizen, E.&lt;/author&gt;&lt;author&gt;van der Wijden, C. L.&lt;/author&gt;&lt;author&gt;van Mechelen, W.&lt;/author&gt;&lt;author&gt;Seidell, J. C.&lt;/author&gt;&lt;author&gt;van Poppel, M. N.&lt;/author&gt;&lt;/authors&gt;&lt;/contributors&gt;&lt;auth-address&gt;Department of Public and Occupational Health and the EMGO Institute for Health and Care Research, VU University Medical Centre, Amsterdam, The Netherlands.&lt;/auth-address&gt;&lt;titles&gt;&lt;title&gt;The effect of a counselling intervention on weight changes during and after pregnancy: a randomised trial&lt;/title&gt;&lt;secondary-title&gt;BJOG&lt;/secondary-title&gt;&lt;/titles&gt;&lt;periodical&gt;&lt;full-title&gt;BJOG&lt;/full-title&gt;&lt;/periodical&gt;&lt;pages&gt;92-9&lt;/pages&gt;&lt;volume&gt;120&lt;/volume&gt;&lt;number&gt;1&lt;/number&gt;&lt;edition&gt;2012/11/06&lt;/edition&gt;&lt;keywords&gt;&lt;keyword&gt;Adult&lt;/keyword&gt;&lt;keyword&gt;Birth Weight&lt;/keyword&gt;&lt;keyword&gt;Body Mass Index&lt;/keyword&gt;&lt;keyword&gt;Counseling/*methods&lt;/keyword&gt;&lt;keyword&gt;Female&lt;/keyword&gt;&lt;keyword&gt;Humans&lt;/keyword&gt;&lt;keyword&gt;Netherlands&lt;/keyword&gt;&lt;keyword&gt;Overweight/*prevention &amp;amp; control&lt;/keyword&gt;&lt;keyword&gt;Patient Compliance&lt;/keyword&gt;&lt;keyword&gt;Pregnancy&lt;/keyword&gt;&lt;keyword&gt;Pregnancy Complications/*prevention &amp;amp; control&lt;/keyword&gt;&lt;keyword&gt;Pregnancy Outcome&lt;/keyword&gt;&lt;keyword&gt;Prenatal Care/*methods&lt;/keyword&gt;&lt;keyword&gt;Weight Gain&lt;/keyword&gt;&lt;/keywords&gt;&lt;dates&gt;&lt;year&gt;2013&lt;/year&gt;&lt;pub-dates&gt;&lt;date&gt;Jan&lt;/date&gt;&lt;/pub-dates&gt;&lt;/dates&gt;&lt;isbn&gt;1471-0528 (Electronic)&amp;#xD;1470-0328 (Linking)&lt;/isbn&gt;&lt;accession-num&gt;23121074&lt;/accession-num&gt;&lt;urls&gt;&lt;related-urls&gt;&lt;url&gt;https://www.ncbi.nlm.nih.gov/pubmed/23121074&lt;/url&gt;&lt;/related-urls&gt;&lt;/urls&gt;&lt;electronic-resource-num&gt;10.1111/1471-0528.12014&lt;/electronic-resource-num&gt;&lt;/record&gt;&lt;/Cite&gt;&lt;/EndNote&gt;</w:instrText>
            </w:r>
            <w:r w:rsidRPr="00D00A59">
              <w:rPr>
                <w:szCs w:val="18"/>
              </w:rPr>
              <w:fldChar w:fldCharType="separate"/>
            </w:r>
            <w:r w:rsidR="002747EA" w:rsidRPr="002747EA">
              <w:rPr>
                <w:noProof/>
                <w:szCs w:val="18"/>
                <w:vertAlign w:val="superscript"/>
              </w:rPr>
              <w:t>485</w:t>
            </w:r>
            <w:r w:rsidRPr="00D00A59">
              <w:rPr>
                <w:szCs w:val="18"/>
              </w:rPr>
              <w:fldChar w:fldCharType="end"/>
            </w:r>
          </w:p>
          <w:p w14:paraId="76C616E5" w14:textId="77777777" w:rsidR="00973D70" w:rsidRPr="00D00A59" w:rsidRDefault="00973D70" w:rsidP="00A62770">
            <w:pPr>
              <w:rPr>
                <w:szCs w:val="18"/>
              </w:rPr>
            </w:pPr>
            <w:r w:rsidRPr="00D00A59">
              <w:rPr>
                <w:szCs w:val="18"/>
              </w:rPr>
              <w:t xml:space="preserve">New Life(style) study </w:t>
            </w:r>
          </w:p>
          <w:p w14:paraId="286944E8" w14:textId="77777777" w:rsidR="00973D70" w:rsidRPr="00D00A59" w:rsidRDefault="00973D70" w:rsidP="00A62770">
            <w:pPr>
              <w:rPr>
                <w:szCs w:val="18"/>
              </w:rPr>
            </w:pPr>
            <w:r w:rsidRPr="00D00A59">
              <w:rPr>
                <w:szCs w:val="18"/>
              </w:rPr>
              <w:t>Netherlands</w:t>
            </w:r>
          </w:p>
        </w:tc>
        <w:tc>
          <w:tcPr>
            <w:tcW w:w="1562" w:type="dxa"/>
          </w:tcPr>
          <w:p w14:paraId="6985398B" w14:textId="77777777" w:rsidR="00973D70" w:rsidRPr="00D00A59" w:rsidRDefault="00973D70" w:rsidP="00A75579">
            <w:pPr>
              <w:rPr>
                <w:szCs w:val="18"/>
              </w:rPr>
            </w:pPr>
            <w:r w:rsidRPr="00D00A59">
              <w:rPr>
                <w:szCs w:val="18"/>
              </w:rPr>
              <w:t>Intervention 106</w:t>
            </w:r>
          </w:p>
          <w:p w14:paraId="36FD6B5A" w14:textId="77777777" w:rsidR="00973D70" w:rsidRPr="00D00A59" w:rsidRDefault="00973D70" w:rsidP="00A75579">
            <w:pPr>
              <w:rPr>
                <w:szCs w:val="18"/>
              </w:rPr>
            </w:pPr>
            <w:r w:rsidRPr="00D00A59">
              <w:rPr>
                <w:szCs w:val="18"/>
              </w:rPr>
              <w:t>Control 113</w:t>
            </w:r>
          </w:p>
        </w:tc>
        <w:tc>
          <w:tcPr>
            <w:tcW w:w="5393" w:type="dxa"/>
          </w:tcPr>
          <w:p w14:paraId="330C3E14" w14:textId="77777777" w:rsidR="00973D70" w:rsidRPr="00D00A59" w:rsidRDefault="00973D70" w:rsidP="00A75579">
            <w:pPr>
              <w:rPr>
                <w:szCs w:val="18"/>
              </w:rPr>
            </w:pPr>
            <w:r w:rsidRPr="00D00A59">
              <w:rPr>
                <w:b/>
                <w:szCs w:val="18"/>
              </w:rPr>
              <w:t>Aim</w:t>
            </w:r>
            <w:r w:rsidRPr="00D00A59">
              <w:rPr>
                <w:szCs w:val="18"/>
              </w:rPr>
              <w:t xml:space="preserve">: To evaluate the effects of a counselling intervention on excessive weight gain during pregnancy and postpartum weight retention. </w:t>
            </w:r>
          </w:p>
          <w:p w14:paraId="77B64BB2" w14:textId="77777777" w:rsidR="00973D70" w:rsidRPr="00D00A59" w:rsidRDefault="00973D70" w:rsidP="00A75579">
            <w:pPr>
              <w:rPr>
                <w:szCs w:val="18"/>
              </w:rPr>
            </w:pPr>
            <w:r w:rsidRPr="00D00A59">
              <w:rPr>
                <w:b/>
                <w:szCs w:val="18"/>
              </w:rPr>
              <w:t>Population</w:t>
            </w:r>
            <w:r w:rsidRPr="00D00A59">
              <w:rPr>
                <w:szCs w:val="18"/>
              </w:rPr>
              <w:t>: Healthy nulliparous women &lt;14 weeks gestation. Mixed BMIs.</w:t>
            </w:r>
          </w:p>
          <w:p w14:paraId="2782E1FA" w14:textId="77777777" w:rsidR="00973D70" w:rsidRPr="00D00A59" w:rsidRDefault="00973D70" w:rsidP="00A75579">
            <w:pPr>
              <w:pStyle w:val="RCTstable"/>
              <w:rPr>
                <w:sz w:val="18"/>
                <w:szCs w:val="18"/>
              </w:rPr>
            </w:pPr>
            <w:r w:rsidRPr="00D00A59">
              <w:rPr>
                <w:b/>
                <w:sz w:val="18"/>
                <w:szCs w:val="18"/>
              </w:rPr>
              <w:t>Intervention</w:t>
            </w:r>
            <w:r w:rsidRPr="00D00A59">
              <w:rPr>
                <w:sz w:val="18"/>
                <w:szCs w:val="18"/>
              </w:rPr>
              <w:t>: Four face-to-face individual counselling sessions about weight gain (based on IOM guidelines), physical activity and diet during pregnancy, and one session by telephone after birth.</w:t>
            </w:r>
          </w:p>
          <w:p w14:paraId="63240677" w14:textId="77777777" w:rsidR="00973D70" w:rsidRPr="00D00A59" w:rsidRDefault="00973D70" w:rsidP="00A75579">
            <w:pPr>
              <w:pStyle w:val="RCTstable"/>
              <w:rPr>
                <w:sz w:val="18"/>
                <w:szCs w:val="18"/>
              </w:rPr>
            </w:pPr>
            <w:r w:rsidRPr="00D00A59">
              <w:rPr>
                <w:sz w:val="18"/>
                <w:szCs w:val="18"/>
                <w:shd w:val="clear" w:color="auto" w:fill="FFFFFF"/>
              </w:rPr>
              <w:t>Women had counselling sessions at 18, 22, 30 and 36 weeks of pregnancy and at 8 weeks postpartum, all with a personal counsellor. The first session lasted approximately 30 minutes, to explain the aim of the study and the intervention. The content of the first module was summarised in an information brochure. Subsequent sessions lasted 15 minutes.</w:t>
            </w:r>
          </w:p>
          <w:p w14:paraId="7818EA7B" w14:textId="77777777" w:rsidR="00973D70" w:rsidRPr="00D00A59" w:rsidRDefault="00973D70" w:rsidP="00A75579">
            <w:pPr>
              <w:pStyle w:val="RCTstable"/>
              <w:rPr>
                <w:sz w:val="18"/>
                <w:szCs w:val="18"/>
                <w:shd w:val="clear" w:color="auto" w:fill="FFFFFF"/>
              </w:rPr>
            </w:pPr>
            <w:r w:rsidRPr="00D00A59">
              <w:rPr>
                <w:sz w:val="18"/>
                <w:szCs w:val="18"/>
                <w:shd w:val="clear" w:color="auto" w:fill="FFFFFF"/>
              </w:rPr>
              <w:t xml:space="preserve">The information and feedback about physical activity was based on the US Centers for Disease Control and Prevention and American College of Sports Medicine recommendations, which promote 30 minutes of at least moderate intensity activity on five or all days of the week. </w:t>
            </w:r>
          </w:p>
          <w:p w14:paraId="6EE8560F" w14:textId="42DA416D" w:rsidR="00973D70" w:rsidRPr="00D00A59" w:rsidRDefault="00973D70" w:rsidP="00A75579">
            <w:pPr>
              <w:rPr>
                <w:szCs w:val="18"/>
              </w:rPr>
            </w:pPr>
            <w:r w:rsidRPr="00D00A59">
              <w:rPr>
                <w:szCs w:val="18"/>
                <w:shd w:val="clear" w:color="auto" w:fill="FFFFFF"/>
              </w:rPr>
              <w:t>The dietary intervention focused on optimising energy-intake, adjusting energy-intake to physical activity and taking away misconceptions about nutritional r</w:t>
            </w:r>
            <w:r w:rsidR="002A0021">
              <w:rPr>
                <w:szCs w:val="18"/>
                <w:shd w:val="clear" w:color="auto" w:fill="FFFFFF"/>
              </w:rPr>
              <w:t>equirements during pregnancy (e</w:t>
            </w:r>
            <w:r w:rsidRPr="00D00A59">
              <w:rPr>
                <w:szCs w:val="18"/>
                <w:shd w:val="clear" w:color="auto" w:fill="FFFFFF"/>
              </w:rPr>
              <w:t>g "the need to eat for two"). Special attention was given to decreasing intake of high-fat foods, such as fast food items and sugar-containing soft drinks.</w:t>
            </w:r>
          </w:p>
        </w:tc>
        <w:tc>
          <w:tcPr>
            <w:tcW w:w="5664" w:type="dxa"/>
          </w:tcPr>
          <w:p w14:paraId="623A7482" w14:textId="77777777" w:rsidR="00973D70" w:rsidRPr="00D00A59" w:rsidRDefault="00973D70" w:rsidP="00A75579">
            <w:pPr>
              <w:rPr>
                <w:szCs w:val="18"/>
              </w:rPr>
            </w:pPr>
            <w:r w:rsidRPr="00D00A59">
              <w:rPr>
                <w:szCs w:val="18"/>
              </w:rPr>
              <w:t>Intervention vs control:</w:t>
            </w:r>
          </w:p>
          <w:p w14:paraId="77949130" w14:textId="77777777" w:rsidR="00973D70" w:rsidRPr="00D00A59" w:rsidRDefault="00973D70" w:rsidP="00A75579">
            <w:pPr>
              <w:pStyle w:val="bullet"/>
              <w:rPr>
                <w:szCs w:val="18"/>
              </w:rPr>
            </w:pPr>
            <w:r w:rsidRPr="00D00A59">
              <w:rPr>
                <w:szCs w:val="18"/>
              </w:rPr>
              <w:t>Gestational weight gain: 11.6±4.1 (n=106) vs 11.1±3.2 (n=113)</w:t>
            </w:r>
          </w:p>
          <w:p w14:paraId="1992E935" w14:textId="77777777" w:rsidR="00973D70" w:rsidRPr="00D00A59" w:rsidRDefault="00973D70" w:rsidP="00A75579">
            <w:pPr>
              <w:pStyle w:val="bullet"/>
              <w:rPr>
                <w:szCs w:val="18"/>
              </w:rPr>
            </w:pPr>
            <w:r w:rsidRPr="00D00A59">
              <w:rPr>
                <w:szCs w:val="18"/>
              </w:rPr>
              <w:t>Weight gain exceeding IOM guidelines: 75/106 vs 82/113</w:t>
            </w:r>
          </w:p>
          <w:p w14:paraId="34095904" w14:textId="77777777" w:rsidR="00973D70" w:rsidRPr="00D00A59" w:rsidRDefault="00973D70" w:rsidP="00A75579">
            <w:pPr>
              <w:pStyle w:val="bullet"/>
              <w:rPr>
                <w:szCs w:val="18"/>
              </w:rPr>
            </w:pPr>
            <w:r w:rsidRPr="00D00A59">
              <w:rPr>
                <w:szCs w:val="18"/>
              </w:rPr>
              <w:t>Preterm birth: 6/103 vs 7/107</w:t>
            </w:r>
          </w:p>
          <w:p w14:paraId="65A8C239" w14:textId="77777777" w:rsidR="00973D70" w:rsidRPr="00D00A59" w:rsidRDefault="00973D70" w:rsidP="00A75579">
            <w:pPr>
              <w:pStyle w:val="bullet"/>
              <w:rPr>
                <w:szCs w:val="18"/>
              </w:rPr>
            </w:pPr>
            <w:r w:rsidRPr="00D00A59">
              <w:rPr>
                <w:szCs w:val="18"/>
              </w:rPr>
              <w:t>Caesarean section: 18/103 vs 22/107</w:t>
            </w:r>
          </w:p>
          <w:p w14:paraId="162FE165" w14:textId="77777777" w:rsidR="00973D70" w:rsidRPr="00D00A59" w:rsidRDefault="00973D70" w:rsidP="00A75579">
            <w:pPr>
              <w:pStyle w:val="bullet"/>
              <w:rPr>
                <w:szCs w:val="18"/>
              </w:rPr>
            </w:pPr>
            <w:r w:rsidRPr="00D00A59">
              <w:rPr>
                <w:szCs w:val="18"/>
              </w:rPr>
              <w:t>Macrosomia (&gt;4,000g): 15/103 vs 20/107</w:t>
            </w:r>
          </w:p>
        </w:tc>
      </w:tr>
      <w:tr w:rsidR="00973D70" w:rsidRPr="00D00A59" w14:paraId="1488F3AF" w14:textId="77777777" w:rsidTr="0030223E">
        <w:trPr>
          <w:cantSplit/>
        </w:trPr>
        <w:tc>
          <w:tcPr>
            <w:tcW w:w="1417" w:type="dxa"/>
          </w:tcPr>
          <w:p w14:paraId="3D9F5CA4" w14:textId="5EBCB0BA" w:rsidR="00973D70" w:rsidRPr="00D00A59" w:rsidRDefault="00973D70" w:rsidP="00A62770">
            <w:pPr>
              <w:rPr>
                <w:szCs w:val="18"/>
              </w:rPr>
            </w:pPr>
            <w:r w:rsidRPr="00A62770">
              <w:t>Asbee et al 2009</w:t>
            </w:r>
            <w:r w:rsidRPr="00D00A59">
              <w:rPr>
                <w:szCs w:val="18"/>
              </w:rPr>
              <w:fldChar w:fldCharType="begin"/>
            </w:r>
            <w:r w:rsidR="002747EA">
              <w:rPr>
                <w:szCs w:val="18"/>
              </w:rPr>
              <w:instrText xml:space="preserve"> ADDIN EN.CITE &lt;EndNote&gt;&lt;Cite&gt;&lt;Author&gt;Asbee&lt;/Author&gt;&lt;Year&gt;2009&lt;/Year&gt;&lt;RecNum&gt;666&lt;/RecNum&gt;&lt;DisplayText&gt;&lt;style face="superscript" font="Trebuchet MS" size="9"&gt;488&lt;/style&gt;&lt;/DisplayText&gt;&lt;record&gt;&lt;rec-number&gt;666&lt;/rec-number&gt;&lt;foreign-keys&gt;&lt;key app="EN" db-id="exvasrfx2dtraoesasxp2szsxa2df502592x" timestamp="1540526495"&gt;666&lt;/key&gt;&lt;/foreign-keys&gt;&lt;ref-type name="Journal Article"&gt;17&lt;/ref-type&gt;&lt;contributors&gt;&lt;authors&gt;&lt;author&gt;Asbee, S. M.&lt;/author&gt;&lt;author&gt;Jenkins, T. R.&lt;/author&gt;&lt;author&gt;Butler, J. R.&lt;/author&gt;&lt;author&gt;White, J.&lt;/author&gt;&lt;author&gt;Elliot, M.&lt;/author&gt;&lt;author&gt;Rutledge, A.&lt;/author&gt;&lt;/authors&gt;&lt;/contributors&gt;&lt;auth-address&gt;Carolinas Medical Center, Charlotte, North Carolina, USA. drshelly@earthlink.net&lt;/auth-address&gt;&lt;titles&gt;&lt;title&gt;Preventing excessive weight gain during pregnancy through dietary and lifestyle counseling: a randomized controlled trial&lt;/title&gt;&lt;secondary-title&gt;Obstet Gynecol&lt;/secondary-title&gt;&lt;/titles&gt;&lt;periodical&gt;&lt;full-title&gt;Obstet Gynecol&lt;/full-title&gt;&lt;/periodical&gt;&lt;pages&gt;305-12&lt;/pages&gt;&lt;volume&gt;113&lt;/volume&gt;&lt;number&gt;2 Pt 1&lt;/number&gt;&lt;edition&gt;2009/01/22&lt;/edition&gt;&lt;keywords&gt;&lt;keyword&gt;Adult&lt;/keyword&gt;&lt;keyword&gt;Birth Weight&lt;/keyword&gt;&lt;keyword&gt;Body Mass Index&lt;/keyword&gt;&lt;keyword&gt;*Directive Counseling&lt;/keyword&gt;&lt;keyword&gt;Female&lt;/keyword&gt;&lt;keyword&gt;Humans&lt;/keyword&gt;&lt;keyword&gt;Infant, Newborn&lt;/keyword&gt;&lt;keyword&gt;Middle Aged&lt;/keyword&gt;&lt;keyword&gt;Obesity/*diet therapy/*prevention &amp;amp; control&lt;/keyword&gt;&lt;keyword&gt;Patient Compliance&lt;/keyword&gt;&lt;keyword&gt;Pregnancy&lt;/keyword&gt;&lt;keyword&gt;Pregnancy Complications/*diet therapy/*prevention &amp;amp; control&lt;/keyword&gt;&lt;keyword&gt;Prenatal Care/*methods&lt;/keyword&gt;&lt;keyword&gt;Risk Reduction Behavior&lt;/keyword&gt;&lt;keyword&gt;Weight Gain&lt;/keyword&gt;&lt;keyword&gt;Young Adult&lt;/keyword&gt;&lt;/keywords&gt;&lt;dates&gt;&lt;year&gt;2009&lt;/year&gt;&lt;pub-dates&gt;&lt;date&gt;Feb&lt;/date&gt;&lt;/pub-dates&gt;&lt;/dates&gt;&lt;isbn&gt;0029-7844 (Print)&amp;#xD;0029-7844 (Linking)&lt;/isbn&gt;&lt;accession-num&gt;19155899&lt;/accession-num&gt;&lt;urls&gt;&lt;related-urls&gt;&lt;url&gt;https://www.ncbi.nlm.nih.gov/pubmed/19155899&lt;/url&gt;&lt;/related-urls&gt;&lt;/urls&gt;&lt;electronic-resource-num&gt;10.1097/AOG.0b013e318195baef&lt;/electronic-resource-num&gt;&lt;/record&gt;&lt;/Cite&gt;&lt;/EndNote&gt;</w:instrText>
            </w:r>
            <w:r w:rsidRPr="00D00A59">
              <w:rPr>
                <w:szCs w:val="18"/>
              </w:rPr>
              <w:fldChar w:fldCharType="separate"/>
            </w:r>
            <w:r w:rsidR="002747EA" w:rsidRPr="002747EA">
              <w:rPr>
                <w:noProof/>
                <w:szCs w:val="18"/>
                <w:vertAlign w:val="superscript"/>
              </w:rPr>
              <w:t>488</w:t>
            </w:r>
            <w:r w:rsidRPr="00D00A59">
              <w:rPr>
                <w:szCs w:val="18"/>
              </w:rPr>
              <w:fldChar w:fldCharType="end"/>
            </w:r>
          </w:p>
          <w:p w14:paraId="25B1DC0B" w14:textId="77777777" w:rsidR="00973D70" w:rsidRPr="00D00A59" w:rsidRDefault="00973D70" w:rsidP="00A62770">
            <w:pPr>
              <w:rPr>
                <w:szCs w:val="18"/>
              </w:rPr>
            </w:pPr>
            <w:r w:rsidRPr="00D00A59">
              <w:rPr>
                <w:szCs w:val="18"/>
              </w:rPr>
              <w:t>United States</w:t>
            </w:r>
          </w:p>
          <w:p w14:paraId="33534B05" w14:textId="77777777" w:rsidR="00973D70" w:rsidRPr="00D00A59" w:rsidRDefault="00973D70" w:rsidP="00A62770">
            <w:pPr>
              <w:rPr>
                <w:szCs w:val="18"/>
              </w:rPr>
            </w:pPr>
            <w:r w:rsidRPr="00D00A59">
              <w:rPr>
                <w:szCs w:val="18"/>
              </w:rPr>
              <w:t>NCT00792480</w:t>
            </w:r>
          </w:p>
        </w:tc>
        <w:tc>
          <w:tcPr>
            <w:tcW w:w="1562" w:type="dxa"/>
          </w:tcPr>
          <w:p w14:paraId="1D71BB10" w14:textId="77777777" w:rsidR="00973D70" w:rsidRPr="00D00A59" w:rsidRDefault="00973D70" w:rsidP="00A75579">
            <w:pPr>
              <w:rPr>
                <w:szCs w:val="18"/>
              </w:rPr>
            </w:pPr>
            <w:r w:rsidRPr="00D00A59">
              <w:rPr>
                <w:szCs w:val="18"/>
              </w:rPr>
              <w:t>Intervention 57</w:t>
            </w:r>
          </w:p>
          <w:p w14:paraId="2F2209CA" w14:textId="77777777" w:rsidR="00973D70" w:rsidRPr="00D00A59" w:rsidRDefault="00973D70" w:rsidP="00A75579">
            <w:pPr>
              <w:rPr>
                <w:szCs w:val="18"/>
              </w:rPr>
            </w:pPr>
            <w:r w:rsidRPr="00D00A59">
              <w:rPr>
                <w:szCs w:val="18"/>
              </w:rPr>
              <w:t>Control 43</w:t>
            </w:r>
          </w:p>
        </w:tc>
        <w:tc>
          <w:tcPr>
            <w:tcW w:w="5393" w:type="dxa"/>
          </w:tcPr>
          <w:p w14:paraId="47DE4DF8" w14:textId="77777777" w:rsidR="00973D70" w:rsidRPr="00D00A59" w:rsidRDefault="00973D70" w:rsidP="00A75579">
            <w:pPr>
              <w:rPr>
                <w:szCs w:val="18"/>
              </w:rPr>
            </w:pPr>
            <w:r w:rsidRPr="00D00A59">
              <w:rPr>
                <w:b/>
                <w:szCs w:val="18"/>
              </w:rPr>
              <w:t xml:space="preserve">Aim: </w:t>
            </w:r>
            <w:r w:rsidRPr="00D00A59">
              <w:rPr>
                <w:szCs w:val="18"/>
              </w:rPr>
              <w:t>To estimate whether an organised, consistent program of dietary and lifestyle counselling prevents excessive weight gain in pregnancy.</w:t>
            </w:r>
          </w:p>
          <w:p w14:paraId="3661F6CA" w14:textId="77777777" w:rsidR="00973D70" w:rsidRPr="00D00A59" w:rsidRDefault="00973D70" w:rsidP="00A75579">
            <w:pPr>
              <w:rPr>
                <w:szCs w:val="18"/>
              </w:rPr>
            </w:pPr>
            <w:r w:rsidRPr="00D00A59">
              <w:rPr>
                <w:b/>
                <w:szCs w:val="18"/>
              </w:rPr>
              <w:t xml:space="preserve">Population: </w:t>
            </w:r>
            <w:r w:rsidRPr="00D00A59">
              <w:rPr>
                <w:szCs w:val="18"/>
              </w:rPr>
              <w:t>Women who established antenatal care at 6 to 16 weeks gestation, were aged between 18 and 49 years, and had a singleton pregnancy.</w:t>
            </w:r>
          </w:p>
          <w:p w14:paraId="67457919" w14:textId="77777777" w:rsidR="00973D70" w:rsidRPr="00D00A59" w:rsidRDefault="00973D70" w:rsidP="00A75579">
            <w:pPr>
              <w:rPr>
                <w:szCs w:val="18"/>
              </w:rPr>
            </w:pPr>
            <w:r w:rsidRPr="00D00A59">
              <w:rPr>
                <w:b/>
                <w:szCs w:val="18"/>
              </w:rPr>
              <w:t>Intervention</w:t>
            </w:r>
            <w:r w:rsidRPr="00D00A59">
              <w:rPr>
                <w:szCs w:val="18"/>
              </w:rPr>
              <w:t>: At the initial visit women met with a registered dietitian to receive a standardised counselling session including information on pregnancy-specific diet and lifestyle choices. Diet counselling consisted of recommendations for a patient-focused caloric value divided in a 40% carbohydrate, 30% protein, and 30% fat. Women were instructed to engage in moderate-intensity exercise &gt;3 times per week, preferably 5 times. Women also received information on the appropriate gestational weight gain using the IOM guidelines.</w:t>
            </w:r>
          </w:p>
        </w:tc>
        <w:tc>
          <w:tcPr>
            <w:tcW w:w="5664" w:type="dxa"/>
          </w:tcPr>
          <w:p w14:paraId="6F43AC7D" w14:textId="77777777" w:rsidR="00973D70" w:rsidRPr="00D00A59" w:rsidRDefault="00973D70" w:rsidP="00A75579">
            <w:pPr>
              <w:rPr>
                <w:szCs w:val="18"/>
              </w:rPr>
            </w:pPr>
            <w:r w:rsidRPr="00D00A59">
              <w:rPr>
                <w:szCs w:val="18"/>
              </w:rPr>
              <w:t>Intervention vs control:</w:t>
            </w:r>
          </w:p>
          <w:p w14:paraId="123D33A5" w14:textId="77777777" w:rsidR="00973D70" w:rsidRPr="00D00A59" w:rsidRDefault="00973D70" w:rsidP="00A75579">
            <w:pPr>
              <w:pStyle w:val="bullet"/>
              <w:rPr>
                <w:szCs w:val="18"/>
              </w:rPr>
            </w:pPr>
            <w:r w:rsidRPr="00D00A59">
              <w:rPr>
                <w:szCs w:val="18"/>
              </w:rPr>
              <w:t>Gestational weight gain: 13.02±5.67 (n=57) vs 16.65±7.03 (n=43)</w:t>
            </w:r>
          </w:p>
          <w:p w14:paraId="50F2FAB6" w14:textId="77777777" w:rsidR="00973D70" w:rsidRPr="00D00A59" w:rsidRDefault="00973D70" w:rsidP="00A75579">
            <w:pPr>
              <w:pStyle w:val="bullet"/>
              <w:rPr>
                <w:szCs w:val="18"/>
              </w:rPr>
            </w:pPr>
            <w:r w:rsidRPr="00D00A59">
              <w:rPr>
                <w:szCs w:val="18"/>
              </w:rPr>
              <w:t>Caesarean section: 8/57 vs 12/43</w:t>
            </w:r>
          </w:p>
        </w:tc>
      </w:tr>
      <w:tr w:rsidR="00973D70" w:rsidRPr="00D00A59" w14:paraId="396C4022" w14:textId="77777777" w:rsidTr="0030223E">
        <w:trPr>
          <w:cantSplit/>
        </w:trPr>
        <w:tc>
          <w:tcPr>
            <w:tcW w:w="1417" w:type="dxa"/>
          </w:tcPr>
          <w:p w14:paraId="64F932B3" w14:textId="31897C63" w:rsidR="00973D70" w:rsidRPr="00D00A59" w:rsidRDefault="00973D70" w:rsidP="00A62770">
            <w:pPr>
              <w:rPr>
                <w:szCs w:val="18"/>
              </w:rPr>
            </w:pPr>
            <w:r w:rsidRPr="00A62770">
              <w:t>Bogaerts et al 2013</w:t>
            </w:r>
            <w:r w:rsidRPr="00D00A59">
              <w:rPr>
                <w:szCs w:val="18"/>
              </w:rPr>
              <w:fldChar w:fldCharType="begin">
                <w:fldData xml:space="preserve">PEVuZE5vdGU+PENpdGU+PEF1dGhvcj5Cb2dhZXJ0czwvQXV0aG9yPjxZZWFyPjIwMTM8L1llYXI+
PFJlY051bT43MTM8L1JlY051bT48RGlzcGxheVRleHQ+PHN0eWxlIGZhY2U9InN1cGVyc2NyaXB0
IiBmb250PSJUcmVidWNoZXQgTVMiIHNpemU9IjkiPjUxMDwvc3R5bGU+PC9EaXNwbGF5VGV4dD48
cmVjb3JkPjxyZWMtbnVtYmVyPjcxMzwvcmVjLW51bWJlcj48Zm9yZWlnbi1rZXlzPjxrZXkgYXBw
PSJFTiIgZGItaWQ9ImV4dmFzcmZ4MmR0cmFvZXNhc3hwMnN6c3hhMmRmNTAyNTkyeCIgdGltZXN0
YW1wPSIxNTQxNDYyNDQzIj43MTM8L2tleT48L2ZvcmVpZ24ta2V5cz48cmVmLXR5cGUgbmFtZT0i
Sm91cm5hbCBBcnRpY2xlIj4xNzwvcmVmLXR5cGU+PGNvbnRyaWJ1dG9ycz48YXV0aG9ycz48YXV0
aG9yPkJvZ2FlcnRzLCBBLiBGLjwvYXV0aG9yPjxhdXRob3I+RGV2bGllZ2VyLCBSLjwvYXV0aG9y
PjxhdXRob3I+TnV5dHMsIEUuPC9hdXRob3I+PGF1dGhvcj5XaXR0ZXJzLCBJLjwvYXV0aG9yPjxh
dXRob3I+R3lzZWxhZXJzLCBXLjwvYXV0aG9yPjxhdXRob3I+VmFuIGRlbiBCZXJnaCwgQi4gUi48
L2F1dGhvcj48L2F1dGhvcnM+PC9jb250cmlidXRvcnM+PGF1dGgtYWRkcmVzcz5EZXBhcnRtZW50
IG9mIEhlYWx0aGNhcmUgUmVzZWFyY2gsIFBITCBVbml2ZXJzaXR5IENvbGxlZ2UsIExpbWJ1cmcg
Q2F0aG9saWMgVW5pdmVyc2l0eSBDb2xsZWdlLCBIYXNzZWx0LCBCZWxnaXVtLjwvYXV0aC1hZGRy
ZXNzPjx0aXRsZXM+PHRpdGxlPkVmZmVjdHMgb2YgbGlmZXN0eWxlIGludGVydmVudGlvbiBpbiBv
YmVzZSBwcmVnbmFudCB3b21lbiBvbiBnZXN0YXRpb25hbCB3ZWlnaHQgZ2FpbiBhbmQgbWVudGFs
IGhlYWx0aDogYSByYW5kb21pemVkIGNvbnRyb2xsZWQgdHJpYWw8L3RpdGxlPjxzZWNvbmRhcnkt
dGl0bGU+SW50IEogT2JlcyAoTG9uZCk8L3NlY29uZGFyeS10aXRsZT48L3RpdGxlcz48cGVyaW9k
aWNhbD48ZnVsbC10aXRsZT5JbnQgSiBPYmVzIChMb25kKTwvZnVsbC10aXRsZT48L3BlcmlvZGlj
YWw+PHBhZ2VzPjgxNC0yMTwvcGFnZXM+PHZvbHVtZT4zNzwvdm9sdW1lPjxudW1iZXI+NjwvbnVt
YmVyPjxlZGl0aW9uPjIwMTIvMTAvMDQ8L2VkaXRpb24+PGtleXdvcmRzPjxrZXl3b3JkPkFkdWx0
PC9rZXl3b3JkPjxrZXl3b3JkPkFueGlldHkvZXBpZGVtaW9sb2d5LypwcmV2ZW50aW9uICZhbXA7
IGNvbnRyb2w8L2tleXdvcmQ+PGtleXdvcmQ+QmVsZ2l1bS9lcGlkZW1pb2xvZ3k8L2tleXdvcmQ+
PGtleXdvcmQ+Qm9keSBNYXNzIEluZGV4PC9rZXl3b3JkPjxrZXl3b3JkPkRlcHJlc3Npb24vZXBp
ZGVtaW9sb2d5LypwcmV2ZW50aW9uICZhbXA7IGNvbnRyb2w8L2tleXdvcmQ+PGtleXdvcmQ+RmVt
YWxlPC9rZXl3b3JkPjxrZXl3b3JkPkhlYWx0aCBLbm93bGVkZ2UsIEF0dGl0dWRlcywgUHJhY3Rp
Y2U8L2tleXdvcmQ+PGtleXdvcmQ+SHVtYW5zPC9rZXl3b3JkPjxrZXl3b3JkPipMaWZlIFN0eWxl
PC9rZXl3b3JkPjxrZXl3b3JkPkxvbmdpdHVkaW5hbCBTdHVkaWVzPC9rZXl3b3JkPjxrZXl3b3Jk
Pk1vdGl2YXRpb248L2tleXdvcmQ+PGtleXdvcmQ+T2Jlc2l0eS9lcGlkZW1pb2xvZ3kvcHJldmVu
dGlvbiAmYW1wOyBjb250cm9sL3BzeWNob2xvZ3kvKnRoZXJhcHk8L2tleXdvcmQ+PGtleXdvcmQ+
UGF0aWVudCBFZHVjYXRpb24gYXMgVG9waWM8L2tleXdvcmQ+PGtleXdvcmQ+UHJlZ25hbmN5PC9r
ZXl3b3JkPjxrZXl3b3JkPlByZWduYW5jeSBDb21wbGljYXRpb25zL2VwaWRlbWlvbG9neS9wcmV2
ZW50aW9uICZhbXA7IGNvbnRyb2wvcHN5Y2hvbG9neS8qdGhlcmFweTwva2V5d29yZD48a2V5d29y
ZD5QcmVuYXRhbCBDYXJlLyptZXRob2RzPC9rZXl3b3JkPjxrZXl3b3JkPlByZXZhbGVuY2U8L2tl
eXdvcmQ+PGtleXdvcmQ+UmlzayBGYWN0b3JzPC9rZXl3b3JkPjxrZXl3b3JkPlJpc2sgUmVkdWN0
aW9uIEJlaGF2aW9yPC9rZXl3b3JkPjxrZXl3b3JkPlN1cnZleXMgYW5kIFF1ZXN0aW9ubmFpcmVz
PC9rZXl3b3JkPjxrZXl3b3JkPipXZWlnaHQgR2Fpbjwva2V5d29yZD48L2tleXdvcmRzPjxkYXRl
cz48eWVhcj4yMDEzPC95ZWFyPjxwdWItZGF0ZXM+PGRhdGU+SnVuPC9kYXRlPjwvcHViLWRhdGVz
PjwvZGF0ZXM+PGlzYm4+MTQ3Ni01NDk3IChFbGVjdHJvbmljKSYjeEQ7MDMwNy0wNTY1IChMaW5r
aW5nKTwvaXNibj48YWNjZXNzaW9uLW51bT4yMzAzMjQwNDwvYWNjZXNzaW9uLW51bT48dXJscz48
cmVsYXRlZC11cmxzPjx1cmw+aHR0cHM6Ly93d3cubmNiaS5ubG0ubmloLmdvdi9wdWJtZWQvMjMw
MzI0MDQ8L3VybD48L3JlbGF0ZWQtdXJscz48L3VybHM+PGVsZWN0cm9uaWMtcmVzb3VyY2UtbnVt
PjEwLjEwMzgvaWpvLjIwMTIuMTYyPC9lbGVjdHJvbmljLXJlc291cmNlLW51bT48L3JlY29yZD48
L0NpdGU+PC9FbmROb3RlPn==
</w:fldData>
              </w:fldChar>
            </w:r>
            <w:r w:rsidR="002747EA">
              <w:rPr>
                <w:szCs w:val="18"/>
              </w:rPr>
              <w:instrText xml:space="preserve"> ADDIN EN.CITE </w:instrText>
            </w:r>
            <w:r w:rsidR="002747EA">
              <w:rPr>
                <w:szCs w:val="18"/>
              </w:rPr>
              <w:fldChar w:fldCharType="begin">
                <w:fldData xml:space="preserve">PEVuZE5vdGU+PENpdGU+PEF1dGhvcj5Cb2dhZXJ0czwvQXV0aG9yPjxZZWFyPjIwMTM8L1llYXI+
PFJlY051bT43MTM8L1JlY051bT48RGlzcGxheVRleHQ+PHN0eWxlIGZhY2U9InN1cGVyc2NyaXB0
IiBmb250PSJUcmVidWNoZXQgTVMiIHNpemU9IjkiPjUxMDwvc3R5bGU+PC9EaXNwbGF5VGV4dD48
cmVjb3JkPjxyZWMtbnVtYmVyPjcxMzwvcmVjLW51bWJlcj48Zm9yZWlnbi1rZXlzPjxrZXkgYXBw
PSJFTiIgZGItaWQ9ImV4dmFzcmZ4MmR0cmFvZXNhc3hwMnN6c3hhMmRmNTAyNTkyeCIgdGltZXN0
YW1wPSIxNTQxNDYyNDQzIj43MTM8L2tleT48L2ZvcmVpZ24ta2V5cz48cmVmLXR5cGUgbmFtZT0i
Sm91cm5hbCBBcnRpY2xlIj4xNzwvcmVmLXR5cGU+PGNvbnRyaWJ1dG9ycz48YXV0aG9ycz48YXV0
aG9yPkJvZ2FlcnRzLCBBLiBGLjwvYXV0aG9yPjxhdXRob3I+RGV2bGllZ2VyLCBSLjwvYXV0aG9y
PjxhdXRob3I+TnV5dHMsIEUuPC9hdXRob3I+PGF1dGhvcj5XaXR0ZXJzLCBJLjwvYXV0aG9yPjxh
dXRob3I+R3lzZWxhZXJzLCBXLjwvYXV0aG9yPjxhdXRob3I+VmFuIGRlbiBCZXJnaCwgQi4gUi48
L2F1dGhvcj48L2F1dGhvcnM+PC9jb250cmlidXRvcnM+PGF1dGgtYWRkcmVzcz5EZXBhcnRtZW50
IG9mIEhlYWx0aGNhcmUgUmVzZWFyY2gsIFBITCBVbml2ZXJzaXR5IENvbGxlZ2UsIExpbWJ1cmcg
Q2F0aG9saWMgVW5pdmVyc2l0eSBDb2xsZWdlLCBIYXNzZWx0LCBCZWxnaXVtLjwvYXV0aC1hZGRy
ZXNzPjx0aXRsZXM+PHRpdGxlPkVmZmVjdHMgb2YgbGlmZXN0eWxlIGludGVydmVudGlvbiBpbiBv
YmVzZSBwcmVnbmFudCB3b21lbiBvbiBnZXN0YXRpb25hbCB3ZWlnaHQgZ2FpbiBhbmQgbWVudGFs
IGhlYWx0aDogYSByYW5kb21pemVkIGNvbnRyb2xsZWQgdHJpYWw8L3RpdGxlPjxzZWNvbmRhcnkt
dGl0bGU+SW50IEogT2JlcyAoTG9uZCk8L3NlY29uZGFyeS10aXRsZT48L3RpdGxlcz48cGVyaW9k
aWNhbD48ZnVsbC10aXRsZT5JbnQgSiBPYmVzIChMb25kKTwvZnVsbC10aXRsZT48L3BlcmlvZGlj
YWw+PHBhZ2VzPjgxNC0yMTwvcGFnZXM+PHZvbHVtZT4zNzwvdm9sdW1lPjxudW1iZXI+NjwvbnVt
YmVyPjxlZGl0aW9uPjIwMTIvMTAvMDQ8L2VkaXRpb24+PGtleXdvcmRzPjxrZXl3b3JkPkFkdWx0
PC9rZXl3b3JkPjxrZXl3b3JkPkFueGlldHkvZXBpZGVtaW9sb2d5LypwcmV2ZW50aW9uICZhbXA7
IGNvbnRyb2w8L2tleXdvcmQ+PGtleXdvcmQ+QmVsZ2l1bS9lcGlkZW1pb2xvZ3k8L2tleXdvcmQ+
PGtleXdvcmQ+Qm9keSBNYXNzIEluZGV4PC9rZXl3b3JkPjxrZXl3b3JkPkRlcHJlc3Npb24vZXBp
ZGVtaW9sb2d5LypwcmV2ZW50aW9uICZhbXA7IGNvbnRyb2w8L2tleXdvcmQ+PGtleXdvcmQ+RmVt
YWxlPC9rZXl3b3JkPjxrZXl3b3JkPkhlYWx0aCBLbm93bGVkZ2UsIEF0dGl0dWRlcywgUHJhY3Rp
Y2U8L2tleXdvcmQ+PGtleXdvcmQ+SHVtYW5zPC9rZXl3b3JkPjxrZXl3b3JkPipMaWZlIFN0eWxl
PC9rZXl3b3JkPjxrZXl3b3JkPkxvbmdpdHVkaW5hbCBTdHVkaWVzPC9rZXl3b3JkPjxrZXl3b3Jk
Pk1vdGl2YXRpb248L2tleXdvcmQ+PGtleXdvcmQ+T2Jlc2l0eS9lcGlkZW1pb2xvZ3kvcHJldmVu
dGlvbiAmYW1wOyBjb250cm9sL3BzeWNob2xvZ3kvKnRoZXJhcHk8L2tleXdvcmQ+PGtleXdvcmQ+
UGF0aWVudCBFZHVjYXRpb24gYXMgVG9waWM8L2tleXdvcmQ+PGtleXdvcmQ+UHJlZ25hbmN5PC9r
ZXl3b3JkPjxrZXl3b3JkPlByZWduYW5jeSBDb21wbGljYXRpb25zL2VwaWRlbWlvbG9neS9wcmV2
ZW50aW9uICZhbXA7IGNvbnRyb2wvcHN5Y2hvbG9neS8qdGhlcmFweTwva2V5d29yZD48a2V5d29y
ZD5QcmVuYXRhbCBDYXJlLyptZXRob2RzPC9rZXl3b3JkPjxrZXl3b3JkPlByZXZhbGVuY2U8L2tl
eXdvcmQ+PGtleXdvcmQ+UmlzayBGYWN0b3JzPC9rZXl3b3JkPjxrZXl3b3JkPlJpc2sgUmVkdWN0
aW9uIEJlaGF2aW9yPC9rZXl3b3JkPjxrZXl3b3JkPlN1cnZleXMgYW5kIFF1ZXN0aW9ubmFpcmVz
PC9rZXl3b3JkPjxrZXl3b3JkPipXZWlnaHQgR2Fpbjwva2V5d29yZD48L2tleXdvcmRzPjxkYXRl
cz48eWVhcj4yMDEzPC95ZWFyPjxwdWItZGF0ZXM+PGRhdGU+SnVuPC9kYXRlPjwvcHViLWRhdGVz
PjwvZGF0ZXM+PGlzYm4+MTQ3Ni01NDk3IChFbGVjdHJvbmljKSYjeEQ7MDMwNy0wNTY1IChMaW5r
aW5nKTwvaXNibj48YWNjZXNzaW9uLW51bT4yMzAzMjQwNDwvYWNjZXNzaW9uLW51bT48dXJscz48
cmVsYXRlZC11cmxzPjx1cmw+aHR0cHM6Ly93d3cubmNiaS5ubG0ubmloLmdvdi9wdWJtZWQvMjMw
MzI0MDQ8L3VybD48L3JlbGF0ZWQtdXJscz48L3VybHM+PGVsZWN0cm9uaWMtcmVzb3VyY2UtbnVt
PjEwLjEwMzgvaWpvLjIwMTIuMTYyPC9lbGVjdHJvbmljLXJlc291cmNlLW51bT48L3JlY29yZD48
L0NpdGU+PC9FbmROb3RlPn==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510</w:t>
            </w:r>
            <w:r w:rsidRPr="00D00A59">
              <w:rPr>
                <w:szCs w:val="18"/>
              </w:rPr>
              <w:fldChar w:fldCharType="end"/>
            </w:r>
          </w:p>
          <w:p w14:paraId="471AEAB9" w14:textId="77777777" w:rsidR="00973D70" w:rsidRPr="00D00A59" w:rsidRDefault="00973D70" w:rsidP="00A62770">
            <w:pPr>
              <w:rPr>
                <w:szCs w:val="18"/>
              </w:rPr>
            </w:pPr>
            <w:r w:rsidRPr="00D00A59">
              <w:rPr>
                <w:szCs w:val="18"/>
              </w:rPr>
              <w:t>Belgium</w:t>
            </w:r>
          </w:p>
        </w:tc>
        <w:tc>
          <w:tcPr>
            <w:tcW w:w="1562" w:type="dxa"/>
          </w:tcPr>
          <w:p w14:paraId="6EAB920C" w14:textId="77777777" w:rsidR="00973D70" w:rsidRPr="00D00A59" w:rsidRDefault="00973D70" w:rsidP="00A75579">
            <w:pPr>
              <w:rPr>
                <w:szCs w:val="18"/>
              </w:rPr>
            </w:pPr>
            <w:r w:rsidRPr="00D00A59">
              <w:rPr>
                <w:szCs w:val="18"/>
              </w:rPr>
              <w:t>Intervention 76</w:t>
            </w:r>
          </w:p>
          <w:p w14:paraId="470EC434" w14:textId="77777777" w:rsidR="00973D70" w:rsidRPr="00D00A59" w:rsidRDefault="00973D70" w:rsidP="00A75579">
            <w:pPr>
              <w:rPr>
                <w:szCs w:val="18"/>
              </w:rPr>
            </w:pPr>
            <w:r w:rsidRPr="00D00A59">
              <w:rPr>
                <w:szCs w:val="18"/>
              </w:rPr>
              <w:t>Control 63</w:t>
            </w:r>
          </w:p>
          <w:p w14:paraId="1C89E3D2" w14:textId="77777777" w:rsidR="00973D70" w:rsidRPr="00D00A59" w:rsidRDefault="00973D70" w:rsidP="00A75579">
            <w:pPr>
              <w:rPr>
                <w:szCs w:val="18"/>
              </w:rPr>
            </w:pPr>
            <w:r w:rsidRPr="00D00A59">
              <w:rPr>
                <w:szCs w:val="18"/>
              </w:rPr>
              <w:t>3-arm study; control group halved</w:t>
            </w:r>
          </w:p>
        </w:tc>
        <w:tc>
          <w:tcPr>
            <w:tcW w:w="5393" w:type="dxa"/>
          </w:tcPr>
          <w:p w14:paraId="70F5BC76" w14:textId="77777777" w:rsidR="00973D70" w:rsidRPr="00D00A59" w:rsidRDefault="00973D70" w:rsidP="00A75579">
            <w:pPr>
              <w:rPr>
                <w:szCs w:val="18"/>
              </w:rPr>
            </w:pPr>
            <w:r w:rsidRPr="00D00A59">
              <w:rPr>
                <w:b/>
                <w:szCs w:val="18"/>
              </w:rPr>
              <w:t>Aim</w:t>
            </w:r>
            <w:r w:rsidRPr="00D00A59">
              <w:rPr>
                <w:szCs w:val="18"/>
              </w:rPr>
              <w:t xml:space="preserve">: To evaluate whether a targeted antenatal lifestyle intervention programme for obese pregnant women influences gestational weight gain (GWG) and levels of anxiety or depressed mood. </w:t>
            </w:r>
          </w:p>
          <w:p w14:paraId="1E4BFE85" w14:textId="77777777" w:rsidR="00973D70" w:rsidRPr="00D00A59" w:rsidRDefault="00973D70" w:rsidP="00A75579">
            <w:pPr>
              <w:rPr>
                <w:szCs w:val="18"/>
              </w:rPr>
            </w:pPr>
            <w:r w:rsidRPr="00D00A59">
              <w:rPr>
                <w:b/>
                <w:szCs w:val="18"/>
              </w:rPr>
              <w:t>Population</w:t>
            </w:r>
            <w:r w:rsidRPr="00D00A59">
              <w:rPr>
                <w:szCs w:val="18"/>
              </w:rPr>
              <w:t>: Obese pregnant women (BMI ≥29 kg/m</w:t>
            </w:r>
            <w:r w:rsidRPr="00D00A59">
              <w:rPr>
                <w:szCs w:val="18"/>
                <w:vertAlign w:val="superscript"/>
              </w:rPr>
              <w:t>2</w:t>
            </w:r>
            <w:r w:rsidRPr="00D00A59">
              <w:rPr>
                <w:szCs w:val="18"/>
              </w:rPr>
              <w:t>) &lt;15 weeks gestation.</w:t>
            </w:r>
          </w:p>
          <w:p w14:paraId="646FED56" w14:textId="77777777" w:rsidR="00973D70" w:rsidRPr="00D00A59" w:rsidRDefault="00973D70" w:rsidP="00A75579">
            <w:pPr>
              <w:rPr>
                <w:szCs w:val="18"/>
              </w:rPr>
            </w:pPr>
            <w:r w:rsidRPr="00D00A59">
              <w:rPr>
                <w:b/>
                <w:szCs w:val="18"/>
              </w:rPr>
              <w:t>Intervention</w:t>
            </w:r>
            <w:r w:rsidRPr="00D00A59">
              <w:rPr>
                <w:szCs w:val="18"/>
              </w:rPr>
              <w:t>: Four prenatal group counselling sessions (at &lt;15 wks, 18-22 wks, 24-28 wks, 30-34 wks) led by a midwife trained in motivational lifestyle intervention and focussing on nutritional advice (50–55% carbohydrate intake, 30–35% fat intake and 9–11% protein energy intake) and physical activity (“methods for increasing physical activity were discussed”) during pregnancy with information to limit excessive gestational weight gain. Women also received a purpose-designed brochure.</w:t>
            </w:r>
          </w:p>
        </w:tc>
        <w:tc>
          <w:tcPr>
            <w:tcW w:w="5664" w:type="dxa"/>
          </w:tcPr>
          <w:p w14:paraId="34F0DED9" w14:textId="77777777" w:rsidR="00973D70" w:rsidRPr="00D00A59" w:rsidRDefault="00973D70" w:rsidP="00A75579">
            <w:pPr>
              <w:rPr>
                <w:szCs w:val="18"/>
              </w:rPr>
            </w:pPr>
            <w:r w:rsidRPr="00D00A59">
              <w:rPr>
                <w:szCs w:val="18"/>
              </w:rPr>
              <w:t>Intervention vs control:</w:t>
            </w:r>
          </w:p>
          <w:p w14:paraId="17A2062C" w14:textId="77777777" w:rsidR="00973D70" w:rsidRPr="00D00A59" w:rsidRDefault="00973D70" w:rsidP="00A75579">
            <w:pPr>
              <w:pStyle w:val="bullet"/>
              <w:rPr>
                <w:szCs w:val="18"/>
              </w:rPr>
            </w:pPr>
            <w:r w:rsidRPr="00D00A59">
              <w:rPr>
                <w:szCs w:val="18"/>
              </w:rPr>
              <w:t>Gestational weight gain: 10.6±7.4 (n=76) vs 13.5±7.3 (n=32)</w:t>
            </w:r>
          </w:p>
          <w:p w14:paraId="3DD38992" w14:textId="77777777" w:rsidR="00973D70" w:rsidRPr="00D00A59" w:rsidRDefault="00973D70" w:rsidP="00A75579">
            <w:pPr>
              <w:pStyle w:val="bullet"/>
              <w:rPr>
                <w:szCs w:val="18"/>
              </w:rPr>
            </w:pPr>
            <w:r w:rsidRPr="00D00A59">
              <w:rPr>
                <w:szCs w:val="18"/>
              </w:rPr>
              <w:t>Excess gestational weight gain: 47/76 vs 23/32</w:t>
            </w:r>
          </w:p>
          <w:p w14:paraId="775179BB" w14:textId="77777777" w:rsidR="00973D70" w:rsidRPr="00D00A59" w:rsidRDefault="00973D70" w:rsidP="00A75579">
            <w:pPr>
              <w:pStyle w:val="bullet"/>
              <w:rPr>
                <w:szCs w:val="18"/>
              </w:rPr>
            </w:pPr>
            <w:r w:rsidRPr="00D00A59">
              <w:rPr>
                <w:szCs w:val="18"/>
              </w:rPr>
              <w:t>Gestational diabetes: 7/76 vs 5/32</w:t>
            </w:r>
          </w:p>
          <w:p w14:paraId="0BB7F705" w14:textId="77777777" w:rsidR="00973D70" w:rsidRPr="00D00A59" w:rsidRDefault="00973D70" w:rsidP="00A75579">
            <w:pPr>
              <w:pStyle w:val="bullet"/>
              <w:rPr>
                <w:szCs w:val="18"/>
              </w:rPr>
            </w:pPr>
            <w:r w:rsidRPr="00D00A59">
              <w:rPr>
                <w:szCs w:val="18"/>
              </w:rPr>
              <w:t>Gestational hypertension: 8/76 vs 3/32</w:t>
            </w:r>
          </w:p>
          <w:p w14:paraId="2B8C2680" w14:textId="77777777" w:rsidR="00973D70" w:rsidRPr="00D00A59" w:rsidRDefault="00973D70" w:rsidP="00A75579">
            <w:pPr>
              <w:pStyle w:val="bullet"/>
              <w:rPr>
                <w:szCs w:val="18"/>
              </w:rPr>
            </w:pPr>
            <w:r w:rsidRPr="00D00A59">
              <w:rPr>
                <w:szCs w:val="18"/>
              </w:rPr>
              <w:t>Pre-eclampsia: 2/76 vs 2/32</w:t>
            </w:r>
          </w:p>
          <w:p w14:paraId="3AADD25E" w14:textId="77777777" w:rsidR="00973D70" w:rsidRPr="00D00A59" w:rsidRDefault="00973D70" w:rsidP="00A75579">
            <w:pPr>
              <w:pStyle w:val="bullet"/>
              <w:rPr>
                <w:szCs w:val="18"/>
              </w:rPr>
            </w:pPr>
            <w:r w:rsidRPr="00D00A59">
              <w:rPr>
                <w:szCs w:val="18"/>
              </w:rPr>
              <w:t>Caesarean section: 20/76 vs 7/32</w:t>
            </w:r>
          </w:p>
        </w:tc>
      </w:tr>
      <w:tr w:rsidR="00973D70" w:rsidRPr="00D00A59" w14:paraId="1D36A89E" w14:textId="77777777" w:rsidTr="0030223E">
        <w:trPr>
          <w:cantSplit/>
        </w:trPr>
        <w:tc>
          <w:tcPr>
            <w:tcW w:w="1417" w:type="dxa"/>
          </w:tcPr>
          <w:p w14:paraId="08E525FB" w14:textId="248EC62C" w:rsidR="00973D70" w:rsidRPr="00D00A59" w:rsidRDefault="00973D70" w:rsidP="00A62770">
            <w:pPr>
              <w:rPr>
                <w:szCs w:val="18"/>
              </w:rPr>
            </w:pPr>
            <w:r w:rsidRPr="00A62770">
              <w:t>Bruno et al 2017</w:t>
            </w:r>
            <w:r w:rsidRPr="00D00A59">
              <w:rPr>
                <w:szCs w:val="18"/>
              </w:rPr>
              <w:fldChar w:fldCharType="begin">
                <w:fldData xml:space="preserve">PEVuZE5vdGU+PENpdGU+PEF1dGhvcj5CcnVubzwvQXV0aG9yPjxZZWFyPjIwMTc8L1llYXI+PFJl
Y051bT43NjU8L1JlY051bT48RGlzcGxheVRleHQ+PHN0eWxlIGZhY2U9InN1cGVyc2NyaXB0IiBm
b250PSJUcmVidWNoZXQgTVMiIHNpemU9IjkiPjQ5OTwvc3R5bGU+PC9EaXNwbGF5VGV4dD48cmVj
b3JkPjxyZWMtbnVtYmVyPjc2NTwvcmVjLW51bWJlcj48Zm9yZWlnbi1rZXlzPjxrZXkgYXBwPSJF
TiIgZGItaWQ9ImV4dmFzcmZ4MmR0cmFvZXNhc3hwMnN6c3hhMmRmNTAyNTkyeCIgdGltZXN0YW1w
PSIxNTQxNDg3MDM0Ij43NjU8L2tleT48L2ZvcmVpZ24ta2V5cz48cmVmLXR5cGUgbmFtZT0iSm91
cm5hbCBBcnRpY2xlIj4xNzwvcmVmLXR5cGU+PGNvbnRyaWJ1dG9ycz48YXV0aG9ycz48YXV0aG9y
PkJydW5vLCBSLjwvYXV0aG9yPjxhdXRob3I+UGV0cmVsbGEsIEUuPC9hdXRob3I+PGF1dGhvcj5C
ZXJ0YXJpbmksIFYuPC9hdXRob3I+PGF1dGhvcj5QZWRyaWVsbGksIEcuPC9hdXRob3I+PGF1dGhv
cj5OZXJpLCBJLjwvYXV0aG9yPjxhdXRob3I+RmFjY2hpbmV0dGksIEYuPC9hdXRob3I+PC9hdXRo
b3JzPjwvY29udHJpYnV0b3JzPjxhdXRoLWFkZHJlc3M+TW90aGVyLUluZmFudCBEZXBhcnRtZW50
LCBVbml2ZXJzaXR5IG9mIE1vZGVuYSBhbmQgUmVnZ2lvIEVtaWxpYSwgSXRhbHkuPC9hdXRoLWFk
ZHJlc3M+PHRpdGxlcz48dGl0bGU+QWRoZXJlbmNlIHRvIGEgbGlmZXN0eWxlIHByb2dyYW1tZSBp
biBvdmVyd2VpZ2h0L29iZXNlIHByZWduYW50IHdvbWVuIGFuZCBlZmZlY3Qgb24gZ2VzdGF0aW9u
YWwgZGlhYmV0ZXMgbWVsbGl0dXM6IGEgcmFuZG9taXplZCBjb250cm9sbGVkIHRyaWFsPC90aXRs
ZT48c2Vjb25kYXJ5LXRpdGxlPk1hdGVybiBDaGlsZCBOdXRyPC9zZWNvbmRhcnktdGl0bGU+PC90
aXRsZXM+PHBlcmlvZGljYWw+PGZ1bGwtdGl0bGU+TWF0ZXJuIENoaWxkIE51dHI8L2Z1bGwtdGl0
bGU+PC9wZXJpb2RpY2FsPjx2b2x1bWU+MTM8L3ZvbHVtZT48bnVtYmVyPjM8L251bWJlcj48ZWRp
dGlvbj4yMDE2LzA5LzIxPC9lZGl0aW9uPjxrZXl3b3Jkcz48a2V5d29yZD5BZHVsdDwva2V5d29y
ZD48a2V5d29yZD5CaXJ0aCBXZWlnaHQ8L2tleXdvcmQ+PGtleXdvcmQ+Qmxvb2QgR2x1Y29zZS9t
ZXRhYm9saXNtPC9rZXl3b3JkPjxrZXl3b3JkPkJvZHkgTWFzcyBJbmRleDwva2V5d29yZD48a2V5
d29yZD5EaWFiZXRlcywgR2VzdGF0aW9uYWwvKnByZXZlbnRpb24gJmFtcDsgY29udHJvbDwva2V5
d29yZD48a2V5d29yZD5FeGVyY2lzZTwva2V5d29yZD48a2V5d29yZD5GZW1hbGU8L2tleXdvcmQ+
PGtleXdvcmQ+Rm9sbG93LVVwIFN0dWRpZXM8L2tleXdvcmQ+PGtleXdvcmQ+KkhlYWx0aHkgRGll
dDwva2V5d29yZD48a2V5d29yZD5IdW1hbnM8L2tleXdvcmQ+PGtleXdvcmQ+SHlwZXJ0ZW5zaW9u
L3ByZXZlbnRpb24gJmFtcDsgY29udHJvbDwva2V5d29yZD48a2V5d29yZD5JdGFseTwva2V5d29y
ZD48a2V5d29yZD4qTGlmZSBTdHlsZTwva2V5d29yZD48a2V5d29yZD5PYmVzaXR5Lyp0aGVyYXB5
PC9rZXl3b3JkPjxrZXl3b3JkPk92ZXJ3ZWlnaHQvKnRoZXJhcHk8L2tleXdvcmQ+PGtleXdvcmQ+
KlBhdGllbnQgQ29tcGxpYW5jZTwva2V5d29yZD48a2V5d29yZD5QcmVnbmFuY3k8L2tleXdvcmQ+
PGtleXdvcmQ+UHJlbWF0dXJlIEJpcnRoL3ByZXZlbnRpb24gJmFtcDsgY29udHJvbDwva2V5d29y
ZD48a2V5d29yZD5Qcm9zcGVjdGl2ZSBTdHVkaWVzPC9rZXl3b3JkPjxrZXl3b3JkPlN1cnZleXMg
YW5kIFF1ZXN0aW9ubmFpcmVzPC9rZXl3b3JkPjxrZXl3b3JkPlRyZWF0bWVudCBPdXRjb21lPC9r
ZXl3b3JkPjxrZXl3b3JkPllvdW5nIEFkdWx0PC9rZXl3b3JkPjxrZXl3b3JkPipkaWFiZXRlczwv
a2V5d29yZD48a2V5d29yZD4qZmV0YWwgZ3Jvd3RoPC9rZXl3b3JkPjxrZXl3b3JkPipvYmVzaXR5
PC9rZXl3b3JkPjxrZXl3b3JkPipwaHlzaWNhbCBhY3Rpdml0eTwva2V5d29yZD48a2V5d29yZD4q
cHJlZ25hbmN5IGFuZCBudXRyaXRpb248L2tleXdvcmQ+PGtleXdvcmQ+KnByZWduYW5jeSBvdXRj
b21lPC9rZXl3b3JkPjwva2V5d29yZHM+PGRhdGVzPjx5ZWFyPjIwMTc8L3llYXI+PHB1Yi1kYXRl
cz48ZGF0ZT5KdWw8L2RhdGU+PC9wdWItZGF0ZXM+PC9kYXRlcz48aXNibj4xNzQwLTg3MDkgKEVs
ZWN0cm9uaWMpJiN4RDsxNzQwLTg2OTUgKExpbmtpbmcpPC9pc2JuPjxhY2Nlc3Npb24tbnVtPjI3
NjQ3ODM3PC9hY2Nlc3Npb24tbnVtPjx1cmxzPjxyZWxhdGVkLXVybHM+PHVybD5odHRwczovL3d3
dy5uY2JpLm5sbS5uaWguZ292L3B1Ym1lZC8yNzY0NzgzNzwvdXJsPjwvcmVsYXRlZC11cmxzPjwv
dXJscz48ZWxlY3Ryb25pYy1yZXNvdXJjZS1udW0+MTAuMTExMS9tY24uMTIzMzM8L2VsZWN0cm9u
aWMtcmVzb3VyY2UtbnVtPjwvcmVjb3JkPjwvQ2l0ZT48L0VuZE5vdGU+
</w:fldData>
              </w:fldChar>
            </w:r>
            <w:r w:rsidR="002747EA">
              <w:rPr>
                <w:szCs w:val="18"/>
              </w:rPr>
              <w:instrText xml:space="preserve"> ADDIN EN.CITE </w:instrText>
            </w:r>
            <w:r w:rsidR="002747EA">
              <w:rPr>
                <w:szCs w:val="18"/>
              </w:rPr>
              <w:fldChar w:fldCharType="begin">
                <w:fldData xml:space="preserve">PEVuZE5vdGU+PENpdGU+PEF1dGhvcj5CcnVubzwvQXV0aG9yPjxZZWFyPjIwMTc8L1llYXI+PFJl
Y051bT43NjU8L1JlY051bT48RGlzcGxheVRleHQ+PHN0eWxlIGZhY2U9InN1cGVyc2NyaXB0IiBm
b250PSJUcmVidWNoZXQgTVMiIHNpemU9IjkiPjQ5OTwvc3R5bGU+PC9EaXNwbGF5VGV4dD48cmVj
b3JkPjxyZWMtbnVtYmVyPjc2NTwvcmVjLW51bWJlcj48Zm9yZWlnbi1rZXlzPjxrZXkgYXBwPSJF
TiIgZGItaWQ9ImV4dmFzcmZ4MmR0cmFvZXNhc3hwMnN6c3hhMmRmNTAyNTkyeCIgdGltZXN0YW1w
PSIxNTQxNDg3MDM0Ij43NjU8L2tleT48L2ZvcmVpZ24ta2V5cz48cmVmLXR5cGUgbmFtZT0iSm91
cm5hbCBBcnRpY2xlIj4xNzwvcmVmLXR5cGU+PGNvbnRyaWJ1dG9ycz48YXV0aG9ycz48YXV0aG9y
PkJydW5vLCBSLjwvYXV0aG9yPjxhdXRob3I+UGV0cmVsbGEsIEUuPC9hdXRob3I+PGF1dGhvcj5C
ZXJ0YXJpbmksIFYuPC9hdXRob3I+PGF1dGhvcj5QZWRyaWVsbGksIEcuPC9hdXRob3I+PGF1dGhv
cj5OZXJpLCBJLjwvYXV0aG9yPjxhdXRob3I+RmFjY2hpbmV0dGksIEYuPC9hdXRob3I+PC9hdXRo
b3JzPjwvY29udHJpYnV0b3JzPjxhdXRoLWFkZHJlc3M+TW90aGVyLUluZmFudCBEZXBhcnRtZW50
LCBVbml2ZXJzaXR5IG9mIE1vZGVuYSBhbmQgUmVnZ2lvIEVtaWxpYSwgSXRhbHkuPC9hdXRoLWFk
ZHJlc3M+PHRpdGxlcz48dGl0bGU+QWRoZXJlbmNlIHRvIGEgbGlmZXN0eWxlIHByb2dyYW1tZSBp
biBvdmVyd2VpZ2h0L29iZXNlIHByZWduYW50IHdvbWVuIGFuZCBlZmZlY3Qgb24gZ2VzdGF0aW9u
YWwgZGlhYmV0ZXMgbWVsbGl0dXM6IGEgcmFuZG9taXplZCBjb250cm9sbGVkIHRyaWFsPC90aXRs
ZT48c2Vjb25kYXJ5LXRpdGxlPk1hdGVybiBDaGlsZCBOdXRyPC9zZWNvbmRhcnktdGl0bGU+PC90
aXRsZXM+PHBlcmlvZGljYWw+PGZ1bGwtdGl0bGU+TWF0ZXJuIENoaWxkIE51dHI8L2Z1bGwtdGl0
bGU+PC9wZXJpb2RpY2FsPjx2b2x1bWU+MTM8L3ZvbHVtZT48bnVtYmVyPjM8L251bWJlcj48ZWRp
dGlvbj4yMDE2LzA5LzIxPC9lZGl0aW9uPjxrZXl3b3Jkcz48a2V5d29yZD5BZHVsdDwva2V5d29y
ZD48a2V5d29yZD5CaXJ0aCBXZWlnaHQ8L2tleXdvcmQ+PGtleXdvcmQ+Qmxvb2QgR2x1Y29zZS9t
ZXRhYm9saXNtPC9rZXl3b3JkPjxrZXl3b3JkPkJvZHkgTWFzcyBJbmRleDwva2V5d29yZD48a2V5
d29yZD5EaWFiZXRlcywgR2VzdGF0aW9uYWwvKnByZXZlbnRpb24gJmFtcDsgY29udHJvbDwva2V5
d29yZD48a2V5d29yZD5FeGVyY2lzZTwva2V5d29yZD48a2V5d29yZD5GZW1hbGU8L2tleXdvcmQ+
PGtleXdvcmQ+Rm9sbG93LVVwIFN0dWRpZXM8L2tleXdvcmQ+PGtleXdvcmQ+KkhlYWx0aHkgRGll
dDwva2V5d29yZD48a2V5d29yZD5IdW1hbnM8L2tleXdvcmQ+PGtleXdvcmQ+SHlwZXJ0ZW5zaW9u
L3ByZXZlbnRpb24gJmFtcDsgY29udHJvbDwva2V5d29yZD48a2V5d29yZD5JdGFseTwva2V5d29y
ZD48a2V5d29yZD4qTGlmZSBTdHlsZTwva2V5d29yZD48a2V5d29yZD5PYmVzaXR5Lyp0aGVyYXB5
PC9rZXl3b3JkPjxrZXl3b3JkPk92ZXJ3ZWlnaHQvKnRoZXJhcHk8L2tleXdvcmQ+PGtleXdvcmQ+
KlBhdGllbnQgQ29tcGxpYW5jZTwva2V5d29yZD48a2V5d29yZD5QcmVnbmFuY3k8L2tleXdvcmQ+
PGtleXdvcmQ+UHJlbWF0dXJlIEJpcnRoL3ByZXZlbnRpb24gJmFtcDsgY29udHJvbDwva2V5d29y
ZD48a2V5d29yZD5Qcm9zcGVjdGl2ZSBTdHVkaWVzPC9rZXl3b3JkPjxrZXl3b3JkPlN1cnZleXMg
YW5kIFF1ZXN0aW9ubmFpcmVzPC9rZXl3b3JkPjxrZXl3b3JkPlRyZWF0bWVudCBPdXRjb21lPC9r
ZXl3b3JkPjxrZXl3b3JkPllvdW5nIEFkdWx0PC9rZXl3b3JkPjxrZXl3b3JkPipkaWFiZXRlczwv
a2V5d29yZD48a2V5d29yZD4qZmV0YWwgZ3Jvd3RoPC9rZXl3b3JkPjxrZXl3b3JkPipvYmVzaXR5
PC9rZXl3b3JkPjxrZXl3b3JkPipwaHlzaWNhbCBhY3Rpdml0eTwva2V5d29yZD48a2V5d29yZD4q
cHJlZ25hbmN5IGFuZCBudXRyaXRpb248L2tleXdvcmQ+PGtleXdvcmQ+KnByZWduYW5jeSBvdXRj
b21lPC9rZXl3b3JkPjwva2V5d29yZHM+PGRhdGVzPjx5ZWFyPjIwMTc8L3llYXI+PHB1Yi1kYXRl
cz48ZGF0ZT5KdWw8L2RhdGU+PC9wdWItZGF0ZXM+PC9kYXRlcz48aXNibj4xNzQwLTg3MDkgKEVs
ZWN0cm9uaWMpJiN4RDsxNzQwLTg2OTUgKExpbmtpbmcpPC9pc2JuPjxhY2Nlc3Npb24tbnVtPjI3
NjQ3ODM3PC9hY2Nlc3Npb24tbnVtPjx1cmxzPjxyZWxhdGVkLXVybHM+PHVybD5odHRwczovL3d3
dy5uY2JpLm5sbS5uaWguZ292L3B1Ym1lZC8yNzY0NzgzNzwvdXJsPjwvcmVsYXRlZC11cmxzPjwv
dXJscz48ZWxlY3Ryb25pYy1yZXNvdXJjZS1udW0+MTAuMTExMS9tY24uMTIzMzM8L2VsZWN0cm9u
aWMtcmVzb3VyY2UtbnVtPjwvcmVjb3JkPjwvQ2l0ZT48L0VuZE5vdGU+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499</w:t>
            </w:r>
            <w:r w:rsidRPr="00D00A59">
              <w:rPr>
                <w:szCs w:val="18"/>
              </w:rPr>
              <w:fldChar w:fldCharType="end"/>
            </w:r>
          </w:p>
          <w:p w14:paraId="59EEC88D" w14:textId="77777777" w:rsidR="00973D70" w:rsidRPr="00D00A59" w:rsidRDefault="00973D70" w:rsidP="00A62770">
            <w:pPr>
              <w:rPr>
                <w:szCs w:val="18"/>
              </w:rPr>
            </w:pPr>
            <w:r w:rsidRPr="00D00A59">
              <w:rPr>
                <w:szCs w:val="18"/>
              </w:rPr>
              <w:t>Italy</w:t>
            </w:r>
          </w:p>
        </w:tc>
        <w:tc>
          <w:tcPr>
            <w:tcW w:w="1562" w:type="dxa"/>
          </w:tcPr>
          <w:p w14:paraId="3890B62B" w14:textId="77777777" w:rsidR="00973D70" w:rsidRPr="00D00A59" w:rsidRDefault="00973D70" w:rsidP="00A75579">
            <w:pPr>
              <w:rPr>
                <w:szCs w:val="18"/>
              </w:rPr>
            </w:pPr>
            <w:r w:rsidRPr="00D00A59">
              <w:rPr>
                <w:szCs w:val="18"/>
              </w:rPr>
              <w:t>Intervention 69</w:t>
            </w:r>
          </w:p>
          <w:p w14:paraId="22A96D82" w14:textId="77777777" w:rsidR="00973D70" w:rsidRPr="00D00A59" w:rsidRDefault="00973D70" w:rsidP="00A75579">
            <w:pPr>
              <w:rPr>
                <w:szCs w:val="18"/>
              </w:rPr>
            </w:pPr>
            <w:r w:rsidRPr="00D00A59">
              <w:rPr>
                <w:szCs w:val="18"/>
              </w:rPr>
              <w:t>Control 62</w:t>
            </w:r>
          </w:p>
        </w:tc>
        <w:tc>
          <w:tcPr>
            <w:tcW w:w="5393" w:type="dxa"/>
          </w:tcPr>
          <w:p w14:paraId="58DADE8E" w14:textId="77777777" w:rsidR="00973D70" w:rsidRPr="00D00A59" w:rsidRDefault="00973D70" w:rsidP="00A75579">
            <w:pPr>
              <w:rPr>
                <w:szCs w:val="18"/>
              </w:rPr>
            </w:pPr>
            <w:r w:rsidRPr="00D00A59">
              <w:rPr>
                <w:b/>
                <w:szCs w:val="18"/>
              </w:rPr>
              <w:t>Aim</w:t>
            </w:r>
            <w:r w:rsidRPr="00D00A59">
              <w:rPr>
                <w:szCs w:val="18"/>
              </w:rPr>
              <w:t xml:space="preserve">: to determine whether the prescription of a detailed lifestyle programme in overweight/obese pregnant women influences the occurrence of gestational diabetes (GDM), and if this kind of prescription increases the adherence to a healthier lifestyle in comparison to usual care. </w:t>
            </w:r>
          </w:p>
          <w:p w14:paraId="5F98CE9E" w14:textId="77777777" w:rsidR="00973D70" w:rsidRPr="00D00A59" w:rsidRDefault="00973D70" w:rsidP="00A75579">
            <w:pPr>
              <w:rPr>
                <w:szCs w:val="18"/>
              </w:rPr>
            </w:pPr>
            <w:r w:rsidRPr="00D00A59">
              <w:rPr>
                <w:b/>
                <w:szCs w:val="18"/>
              </w:rPr>
              <w:t>Population</w:t>
            </w:r>
            <w:r w:rsidRPr="00D00A59">
              <w:rPr>
                <w:szCs w:val="18"/>
              </w:rPr>
              <w:t>: Women at 9-12 weeks of pregnancy with a BMI ≥25kg/m</w:t>
            </w:r>
            <w:r w:rsidRPr="00D00A59">
              <w:rPr>
                <w:szCs w:val="18"/>
                <w:vertAlign w:val="superscript"/>
              </w:rPr>
              <w:t>2</w:t>
            </w:r>
            <w:r w:rsidRPr="00D00A59">
              <w:rPr>
                <w:szCs w:val="18"/>
              </w:rPr>
              <w:t xml:space="preserve">. </w:t>
            </w:r>
          </w:p>
          <w:p w14:paraId="043B65DC" w14:textId="77777777" w:rsidR="00973D70" w:rsidRPr="00D00A59" w:rsidRDefault="00973D70" w:rsidP="00A75579">
            <w:pPr>
              <w:rPr>
                <w:szCs w:val="18"/>
              </w:rPr>
            </w:pPr>
            <w:r w:rsidRPr="00D00A59">
              <w:rPr>
                <w:b/>
                <w:szCs w:val="18"/>
              </w:rPr>
              <w:t>Intervention</w:t>
            </w:r>
            <w:r w:rsidRPr="00D00A59">
              <w:rPr>
                <w:szCs w:val="18"/>
              </w:rPr>
              <w:t xml:space="preserve">: Women received personalised </w:t>
            </w:r>
            <w:r>
              <w:rPr>
                <w:szCs w:val="18"/>
              </w:rPr>
              <w:t xml:space="preserve">counselling </w:t>
            </w:r>
            <w:r w:rsidRPr="00D00A59">
              <w:rPr>
                <w:szCs w:val="18"/>
              </w:rPr>
              <w:t xml:space="preserve">and the dietary intervention was a hypocaloric, low-glycaemic, low-saturated fat diet. Women were advised to participate in moderate intensity physical activity three times a week. </w:t>
            </w:r>
          </w:p>
        </w:tc>
        <w:tc>
          <w:tcPr>
            <w:tcW w:w="5664" w:type="dxa"/>
          </w:tcPr>
          <w:p w14:paraId="75BF4FF5" w14:textId="77777777" w:rsidR="00973D70" w:rsidRPr="00D00A59" w:rsidRDefault="00973D70" w:rsidP="00A75579">
            <w:pPr>
              <w:rPr>
                <w:szCs w:val="18"/>
              </w:rPr>
            </w:pPr>
            <w:r w:rsidRPr="00D00A59">
              <w:rPr>
                <w:szCs w:val="18"/>
              </w:rPr>
              <w:t>Intervention vs control:</w:t>
            </w:r>
          </w:p>
          <w:p w14:paraId="476B5C32" w14:textId="77777777" w:rsidR="00973D70" w:rsidRPr="00D00A59" w:rsidRDefault="00973D70" w:rsidP="00A75579">
            <w:pPr>
              <w:pStyle w:val="bullet"/>
              <w:rPr>
                <w:szCs w:val="18"/>
              </w:rPr>
            </w:pPr>
            <w:r w:rsidRPr="00D00A59">
              <w:rPr>
                <w:szCs w:val="18"/>
              </w:rPr>
              <w:t>Gestational weight gain: 10.1±7.4 vs 9.4±6.8</w:t>
            </w:r>
          </w:p>
          <w:p w14:paraId="7CBCBD1B" w14:textId="77777777" w:rsidR="00973D70" w:rsidRPr="00D00A59" w:rsidRDefault="00973D70" w:rsidP="00A75579">
            <w:pPr>
              <w:pStyle w:val="bullet"/>
              <w:rPr>
                <w:szCs w:val="18"/>
              </w:rPr>
            </w:pPr>
            <w:r w:rsidRPr="00D00A59">
              <w:rPr>
                <w:szCs w:val="18"/>
              </w:rPr>
              <w:t>Gestational diabetes: 13/69 vs 23/62</w:t>
            </w:r>
          </w:p>
          <w:p w14:paraId="6FAFB7EE" w14:textId="77777777" w:rsidR="00973D70" w:rsidRPr="00D00A59" w:rsidRDefault="00973D70" w:rsidP="00A75579">
            <w:pPr>
              <w:pStyle w:val="bullet"/>
              <w:rPr>
                <w:szCs w:val="18"/>
              </w:rPr>
            </w:pPr>
            <w:r w:rsidRPr="00D00A59">
              <w:rPr>
                <w:szCs w:val="18"/>
              </w:rPr>
              <w:t>Gestational hypertension: 2/69 vs 13/62</w:t>
            </w:r>
          </w:p>
          <w:p w14:paraId="433020DE" w14:textId="77777777" w:rsidR="00973D70" w:rsidRPr="00D00A59" w:rsidRDefault="00973D70" w:rsidP="00A75579">
            <w:pPr>
              <w:pStyle w:val="bullet"/>
              <w:rPr>
                <w:szCs w:val="18"/>
              </w:rPr>
            </w:pPr>
            <w:r w:rsidRPr="00D00A59">
              <w:rPr>
                <w:szCs w:val="18"/>
              </w:rPr>
              <w:t>Preterm birth: 0/69 vs 5/62</w:t>
            </w:r>
          </w:p>
          <w:p w14:paraId="2869C4C8" w14:textId="77777777" w:rsidR="00973D70" w:rsidRPr="00D00A59" w:rsidRDefault="00973D70" w:rsidP="00A75579">
            <w:pPr>
              <w:pStyle w:val="bullet"/>
              <w:rPr>
                <w:szCs w:val="18"/>
              </w:rPr>
            </w:pPr>
            <w:r w:rsidRPr="00D00A59">
              <w:rPr>
                <w:szCs w:val="18"/>
              </w:rPr>
              <w:t>Caesarean section: 17/69 vs 25/62</w:t>
            </w:r>
          </w:p>
          <w:p w14:paraId="7CAF0837" w14:textId="77777777" w:rsidR="00973D70" w:rsidRPr="00D00A59" w:rsidRDefault="00973D70" w:rsidP="00A75579">
            <w:pPr>
              <w:pStyle w:val="bullet"/>
              <w:rPr>
                <w:szCs w:val="18"/>
              </w:rPr>
            </w:pPr>
            <w:r w:rsidRPr="00D00A59">
              <w:rPr>
                <w:szCs w:val="18"/>
              </w:rPr>
              <w:t>Macrosomia (&gt;4000 g): 2/69 vs 7/62</w:t>
            </w:r>
          </w:p>
          <w:p w14:paraId="61DB24D5" w14:textId="77777777" w:rsidR="00973D70" w:rsidRPr="00D00A59" w:rsidRDefault="00973D70" w:rsidP="00A75579">
            <w:pPr>
              <w:pStyle w:val="bullet"/>
              <w:rPr>
                <w:szCs w:val="18"/>
              </w:rPr>
            </w:pPr>
            <w:r w:rsidRPr="00D00A59">
              <w:rPr>
                <w:szCs w:val="18"/>
              </w:rPr>
              <w:t>Large for gestational age: 1/69 vs 7/62</w:t>
            </w:r>
          </w:p>
          <w:p w14:paraId="2F20ED26" w14:textId="77777777" w:rsidR="00973D70" w:rsidRPr="00D00A59" w:rsidRDefault="00973D70" w:rsidP="00A75579">
            <w:pPr>
              <w:pStyle w:val="bullet"/>
              <w:rPr>
                <w:szCs w:val="18"/>
              </w:rPr>
            </w:pPr>
            <w:r w:rsidRPr="00D00A59">
              <w:rPr>
                <w:szCs w:val="18"/>
              </w:rPr>
              <w:t>Small for gestational age: 6/69 vs 5/62</w:t>
            </w:r>
          </w:p>
        </w:tc>
      </w:tr>
      <w:tr w:rsidR="00890808" w:rsidRPr="00D00A59" w14:paraId="3EA33266" w14:textId="77777777" w:rsidTr="00312100">
        <w:trPr>
          <w:cantSplit/>
        </w:trPr>
        <w:tc>
          <w:tcPr>
            <w:tcW w:w="1417" w:type="dxa"/>
          </w:tcPr>
          <w:p w14:paraId="7B91EBDB" w14:textId="15CF605E" w:rsidR="00890808" w:rsidRDefault="00890808" w:rsidP="00A62770">
            <w:r>
              <w:t>Buckingham-S</w:t>
            </w:r>
            <w:r w:rsidR="000C39A5">
              <w:t>chutt et al 2019</w:t>
            </w:r>
            <w:r w:rsidR="00D07346">
              <w:fldChar w:fldCharType="begin">
                <w:fldData xml:space="preserve">PEVuZE5vdGU+PENpdGU+PEF1dGhvcj5CdWNraW5naGFtLVNjaHV0dDwvQXV0aG9yPjxZZWFyPjIw
MTk8L1llYXI+PFJlY051bT4xOTI2PC9SZWNOdW0+PERpc3BsYXlUZXh0PjxzdHlsZSBmYWNlPSJz
dXBlcnNjcmlwdCIgZm9udD0iVHJlYnVjaGV0IE1TIiBzaXplPSI5Ij40ODM8L3N0eWxlPjwvRGlz
cGxheVRleHQ+PHJlY29yZD48cmVjLW51bWJlcj4xOTI2PC9yZWMtbnVtYmVyPjxmb3JlaWduLWtl
eXM+PGtleSBhcHA9IkVOIiBkYi1pZD0iZXh2YXNyZngyZHRyYW9lc2FzeHAyc3pzeGEyZGY1MDI1
OTJ4IiB0aW1lc3RhbXA9IjE1ODg1NzA2MjUiPjE5MjY8L2tleT48L2ZvcmVpZ24ta2V5cz48cmVm
LXR5cGUgbmFtZT0iSm91cm5hbCBBcnRpY2xlIj4xNzwvcmVmLXR5cGU+PGNvbnRyaWJ1dG9ycz48
YXV0aG9ycz48YXV0aG9yPkJ1Y2tpbmdoYW0tU2NodXR0LCBMLiBNLjwvYXV0aG9yPjxhdXRob3I+
RWxsaW5nc29uLCBMLiBELjwvYXV0aG9yPjxhdXRob3I+VmF6b3UsIFMuPC9hdXRob3I+PGF1dGhv
cj5DYW1wYmVsbCwgQy4gRy48L2F1dGhvcj48L2F1dGhvcnM+PC9jb250cmlidXRvcnM+PGF1dGgt
YWRkcmVzcz5UaGUgSGFya2luIEluc3RpdHV0ZSwgRHJha2UgVW5pdmVyc2l0eSwgRGVzIE1vaW5l
cywgSUEuJiN4RDtLaW5lc2lvbG9neSBEZXBhcnRtZW50LCBJb3dhIFN0YXRlIFVuaXZlcnNpdHks
IEFtZXMsIElBLiYjeEQ7Rm9vZCBTY2llbmNlIGFuZCBIdW1hbiBOdXRyaXRpb24gRGVwYXJ0bWVu
dC48L2F1dGgtYWRkcmVzcz48dGl0bGVzPjx0aXRsZT5UaGUgQmVoYXZpb3JhbCBXZWxsbmVzcyBp
biBQcmVnbmFuY3kgc3R1ZHk6IGEgcmFuZG9taXplZCBjb250cm9sbGVkIHRyaWFsIG9mIGEgbXVs
dGktY29tcG9uZW50IGludGVydmVudGlvbiB0byBwcm9tb3RlIGFwcHJvcHJpYXRlIHdlaWdodCBn
YWluPC90aXRsZT48c2Vjb25kYXJ5LXRpdGxlPkFtIEogQ2xpbiBOdXRyPC9zZWNvbmRhcnktdGl0
bGU+PC90aXRsZXM+PHBlcmlvZGljYWw+PGZ1bGwtdGl0bGU+QW0gSiBDbGluIE51dHI8L2Z1bGwt
dGl0bGU+PC9wZXJpb2RpY2FsPjxwYWdlcz4xMDcxLTEwNzk8L3BhZ2VzPjx2b2x1bWU+MTA5PC92
b2x1bWU+PG51bWJlcj40PC9udW1iZXI+PGVkaXRpb24+MjAxOS8wNC8wNjwvZWRpdGlvbj48a2V5
d29yZHM+PGtleXdvcmQ+QWR1bHQ8L2tleXdvcmQ+PGtleXdvcmQ+RGlldC8qcHN5Y2hvbG9neTwv
a2V5d29yZD48a2V5d29yZD5FeGVyY2lzZTwva2V5d29yZD48a2V5d29yZD5GZWVkaW5nIEJlaGF2
aW9yPC9rZXl3b3JkPjxrZXl3b3JkPkZlbWFsZTwva2V5d29yZD48a2V5d29yZD4qR2VzdGF0aW9u
YWwgV2VpZ2h0IEdhaW48L2tleXdvcmQ+PGtleXdvcmQ+SHVtYW5zPC9rZXl3b3JkPjxrZXl3b3Jk
PkxpZmUgU3R5bGU8L2tleXdvcmQ+PGtleXdvcmQ+TWF0ZXJuYWwgQmVoYXZpb3I8L2tleXdvcmQ+
PGtleXdvcmQ+UG9zdHBhcnR1bSBQZXJpb2QvbWV0YWJvbGlzbS9wc3ljaG9sb2d5PC9rZXl3b3Jk
PjxrZXl3b3JkPlByZWduYW5jeS9tZXRhYm9saXNtLypwc3ljaG9sb2d5PC9rZXl3b3JkPjxrZXl3
b3JkPlByZW5hdGFsIENhcmUvKnBzeWNob2xvZ3k8L2tleXdvcmQ+PGtleXdvcmQ+UHJlbmF0YWwg
TnV0cml0aW9uYWwgUGh5c2lvbG9naWNhbCBQaGVub21lbmE8L2tleXdvcmQ+PGtleXdvcmQ+WW91
bmcgQWR1bHQ8L2tleXdvcmQ+PGtleXdvcmQ+Km11bHRpLWNvbXBvbmVudCBpbnRlcnZlbnRpb248
L2tleXdvcmQ+PGtleXdvcmQ+Km51dHJpdGlvbjwva2V5d29yZD48a2V5d29yZD4qcGh5c2ljYWwg
YWN0aXZpdHk8L2tleXdvcmQ+PGtleXdvcmQ+KnByZWduYW5jeTwva2V5d29yZD48L2tleXdvcmRz
PjxkYXRlcz48eWVhcj4yMDE5PC95ZWFyPjxwdWItZGF0ZXM+PGRhdGU+QXByIDE8L2RhdGU+PC9w
dWItZGF0ZXM+PC9kYXRlcz48aXNibj4xOTM4LTMyMDcgKEVsZWN0cm9uaWMpJiN4RDswMDAyLTkx
NjUgKExpbmtpbmcpPC9pc2JuPjxhY2Nlc3Npb24tbnVtPjMwOTQ5NjkxPC9hY2Nlc3Npb24tbnVt
Pjx1cmxzPjxyZWxhdGVkLXVybHM+PHVybD5odHRwczovL3d3dy5uY2JpLm5sbS5uaWguZ292L3B1
Ym1lZC8zMDk0OTY5MTwvdXJsPjwvcmVsYXRlZC11cmxzPjwvdXJscz48ZWxlY3Ryb25pYy1yZXNv
dXJjZS1udW0+MTAuMTA5My9hamNuL25xeTM1OTwvZWxlY3Ryb25pYy1yZXNvdXJjZS1udW0+PC9y
ZWNvcmQ+PC9DaXRlPjwvRW5kTm90ZT4A
</w:fldData>
              </w:fldChar>
            </w:r>
            <w:r w:rsidR="002747EA">
              <w:instrText xml:space="preserve"> ADDIN EN.CITE </w:instrText>
            </w:r>
            <w:r w:rsidR="002747EA">
              <w:fldChar w:fldCharType="begin">
                <w:fldData xml:space="preserve">PEVuZE5vdGU+PENpdGU+PEF1dGhvcj5CdWNraW5naGFtLVNjaHV0dDwvQXV0aG9yPjxZZWFyPjIw
MTk8L1llYXI+PFJlY051bT4xOTI2PC9SZWNOdW0+PERpc3BsYXlUZXh0PjxzdHlsZSBmYWNlPSJz
dXBlcnNjcmlwdCIgZm9udD0iVHJlYnVjaGV0IE1TIiBzaXplPSI5Ij40ODM8L3N0eWxlPjwvRGlz
cGxheVRleHQ+PHJlY29yZD48cmVjLW51bWJlcj4xOTI2PC9yZWMtbnVtYmVyPjxmb3JlaWduLWtl
eXM+PGtleSBhcHA9IkVOIiBkYi1pZD0iZXh2YXNyZngyZHRyYW9lc2FzeHAyc3pzeGEyZGY1MDI1
OTJ4IiB0aW1lc3RhbXA9IjE1ODg1NzA2MjUiPjE5MjY8L2tleT48L2ZvcmVpZ24ta2V5cz48cmVm
LXR5cGUgbmFtZT0iSm91cm5hbCBBcnRpY2xlIj4xNzwvcmVmLXR5cGU+PGNvbnRyaWJ1dG9ycz48
YXV0aG9ycz48YXV0aG9yPkJ1Y2tpbmdoYW0tU2NodXR0LCBMLiBNLjwvYXV0aG9yPjxhdXRob3I+
RWxsaW5nc29uLCBMLiBELjwvYXV0aG9yPjxhdXRob3I+VmF6b3UsIFMuPC9hdXRob3I+PGF1dGhv
cj5DYW1wYmVsbCwgQy4gRy48L2F1dGhvcj48L2F1dGhvcnM+PC9jb250cmlidXRvcnM+PGF1dGgt
YWRkcmVzcz5UaGUgSGFya2luIEluc3RpdHV0ZSwgRHJha2UgVW5pdmVyc2l0eSwgRGVzIE1vaW5l
cywgSUEuJiN4RDtLaW5lc2lvbG9neSBEZXBhcnRtZW50LCBJb3dhIFN0YXRlIFVuaXZlcnNpdHks
IEFtZXMsIElBLiYjeEQ7Rm9vZCBTY2llbmNlIGFuZCBIdW1hbiBOdXRyaXRpb24gRGVwYXJ0bWVu
dC48L2F1dGgtYWRkcmVzcz48dGl0bGVzPjx0aXRsZT5UaGUgQmVoYXZpb3JhbCBXZWxsbmVzcyBp
biBQcmVnbmFuY3kgc3R1ZHk6IGEgcmFuZG9taXplZCBjb250cm9sbGVkIHRyaWFsIG9mIGEgbXVs
dGktY29tcG9uZW50IGludGVydmVudGlvbiB0byBwcm9tb3RlIGFwcHJvcHJpYXRlIHdlaWdodCBn
YWluPC90aXRsZT48c2Vjb25kYXJ5LXRpdGxlPkFtIEogQ2xpbiBOdXRyPC9zZWNvbmRhcnktdGl0
bGU+PC90aXRsZXM+PHBlcmlvZGljYWw+PGZ1bGwtdGl0bGU+QW0gSiBDbGluIE51dHI8L2Z1bGwt
dGl0bGU+PC9wZXJpb2RpY2FsPjxwYWdlcz4xMDcxLTEwNzk8L3BhZ2VzPjx2b2x1bWU+MTA5PC92
b2x1bWU+PG51bWJlcj40PC9udW1iZXI+PGVkaXRpb24+MjAxOS8wNC8wNjwvZWRpdGlvbj48a2V5
d29yZHM+PGtleXdvcmQ+QWR1bHQ8L2tleXdvcmQ+PGtleXdvcmQ+RGlldC8qcHN5Y2hvbG9neTwv
a2V5d29yZD48a2V5d29yZD5FeGVyY2lzZTwva2V5d29yZD48a2V5d29yZD5GZWVkaW5nIEJlaGF2
aW9yPC9rZXl3b3JkPjxrZXl3b3JkPkZlbWFsZTwva2V5d29yZD48a2V5d29yZD4qR2VzdGF0aW9u
YWwgV2VpZ2h0IEdhaW48L2tleXdvcmQ+PGtleXdvcmQ+SHVtYW5zPC9rZXl3b3JkPjxrZXl3b3Jk
PkxpZmUgU3R5bGU8L2tleXdvcmQ+PGtleXdvcmQ+TWF0ZXJuYWwgQmVoYXZpb3I8L2tleXdvcmQ+
PGtleXdvcmQ+UG9zdHBhcnR1bSBQZXJpb2QvbWV0YWJvbGlzbS9wc3ljaG9sb2d5PC9rZXl3b3Jk
PjxrZXl3b3JkPlByZWduYW5jeS9tZXRhYm9saXNtLypwc3ljaG9sb2d5PC9rZXl3b3JkPjxrZXl3
b3JkPlByZW5hdGFsIENhcmUvKnBzeWNob2xvZ3k8L2tleXdvcmQ+PGtleXdvcmQ+UHJlbmF0YWwg
TnV0cml0aW9uYWwgUGh5c2lvbG9naWNhbCBQaGVub21lbmE8L2tleXdvcmQ+PGtleXdvcmQ+WW91
bmcgQWR1bHQ8L2tleXdvcmQ+PGtleXdvcmQ+Km11bHRpLWNvbXBvbmVudCBpbnRlcnZlbnRpb248
L2tleXdvcmQ+PGtleXdvcmQ+Km51dHJpdGlvbjwva2V5d29yZD48a2V5d29yZD4qcGh5c2ljYWwg
YWN0aXZpdHk8L2tleXdvcmQ+PGtleXdvcmQ+KnByZWduYW5jeTwva2V5d29yZD48L2tleXdvcmRz
PjxkYXRlcz48eWVhcj4yMDE5PC95ZWFyPjxwdWItZGF0ZXM+PGRhdGU+QXByIDE8L2RhdGU+PC9w
dWItZGF0ZXM+PC9kYXRlcz48aXNibj4xOTM4LTMyMDcgKEVsZWN0cm9uaWMpJiN4RDswMDAyLTkx
NjUgKExpbmtpbmcpPC9pc2JuPjxhY2Nlc3Npb24tbnVtPjMwOTQ5NjkxPC9hY2Nlc3Npb24tbnVt
Pjx1cmxzPjxyZWxhdGVkLXVybHM+PHVybD5odHRwczovL3d3dy5uY2JpLm5sbS5uaWguZ292L3B1
Ym1lZC8zMDk0OTY5MTwvdXJsPjwvcmVsYXRlZC11cmxzPjwvdXJscz48ZWxlY3Ryb25pYy1yZXNv
dXJjZS1udW0+MTAuMTA5My9hamNuL25xeTM1OTwvZWxlY3Ryb25pYy1yZXNvdXJjZS1udW0+PC9y
ZWNvcmQ+PC9DaXRlPjwvRW5kTm90ZT4A
</w:fldData>
              </w:fldChar>
            </w:r>
            <w:r w:rsidR="002747EA">
              <w:instrText xml:space="preserve"> ADDIN EN.CITE.DATA </w:instrText>
            </w:r>
            <w:r w:rsidR="002747EA">
              <w:fldChar w:fldCharType="end"/>
            </w:r>
            <w:r w:rsidR="00D07346">
              <w:fldChar w:fldCharType="separate"/>
            </w:r>
            <w:r w:rsidR="002747EA" w:rsidRPr="002747EA">
              <w:rPr>
                <w:noProof/>
                <w:vertAlign w:val="superscript"/>
              </w:rPr>
              <w:t>483</w:t>
            </w:r>
            <w:r w:rsidR="00D07346">
              <w:fldChar w:fldCharType="end"/>
            </w:r>
          </w:p>
          <w:p w14:paraId="7CFE3DE5" w14:textId="77777777" w:rsidR="000C39A5" w:rsidRDefault="000C39A5" w:rsidP="00A62770">
            <w:r>
              <w:t xml:space="preserve">United States </w:t>
            </w:r>
          </w:p>
          <w:p w14:paraId="6BE33F2C" w14:textId="12A7D5EB" w:rsidR="00853995" w:rsidRPr="00A62770" w:rsidRDefault="00853995" w:rsidP="00A62770">
            <w:r w:rsidRPr="000C39A5">
              <w:t>NCT02168647</w:t>
            </w:r>
          </w:p>
        </w:tc>
        <w:tc>
          <w:tcPr>
            <w:tcW w:w="1562" w:type="dxa"/>
          </w:tcPr>
          <w:p w14:paraId="764CE45A" w14:textId="77777777" w:rsidR="00890808" w:rsidRDefault="000C39A5" w:rsidP="00A75579">
            <w:pPr>
              <w:rPr>
                <w:szCs w:val="18"/>
              </w:rPr>
            </w:pPr>
            <w:r>
              <w:rPr>
                <w:szCs w:val="18"/>
              </w:rPr>
              <w:t>Intervention 23</w:t>
            </w:r>
          </w:p>
          <w:p w14:paraId="07FB67A2" w14:textId="6361C4F3" w:rsidR="000C39A5" w:rsidRPr="00D00A59" w:rsidRDefault="000C39A5" w:rsidP="00A75579">
            <w:pPr>
              <w:rPr>
                <w:szCs w:val="18"/>
              </w:rPr>
            </w:pPr>
            <w:r>
              <w:rPr>
                <w:szCs w:val="18"/>
              </w:rPr>
              <w:t>Control 24</w:t>
            </w:r>
          </w:p>
        </w:tc>
        <w:tc>
          <w:tcPr>
            <w:tcW w:w="5393" w:type="dxa"/>
          </w:tcPr>
          <w:p w14:paraId="7BF9BAEB" w14:textId="77777777" w:rsidR="000C39A5" w:rsidRDefault="000C39A5" w:rsidP="000C39A5">
            <w:r w:rsidRPr="0030223E">
              <w:rPr>
                <w:b/>
              </w:rPr>
              <w:t>Aim</w:t>
            </w:r>
            <w:r>
              <w:t>: T</w:t>
            </w:r>
            <w:r w:rsidRPr="000C39A5">
              <w:t>o determine whether a multi-component behavio</w:t>
            </w:r>
            <w:r>
              <w:t>u</w:t>
            </w:r>
            <w:r w:rsidRPr="000C39A5">
              <w:t xml:space="preserve">ral intervention with a Registered Dietitian Nutritionist significantly improves the proportion of women who adhere to the 2009 Institute of Medicine weight-gain guidelines. </w:t>
            </w:r>
          </w:p>
          <w:p w14:paraId="2BB69941" w14:textId="0A0C4E3D" w:rsidR="000C39A5" w:rsidRDefault="000C39A5" w:rsidP="000C39A5">
            <w:r w:rsidRPr="0030223E">
              <w:rPr>
                <w:b/>
              </w:rPr>
              <w:t>Population</w:t>
            </w:r>
            <w:r>
              <w:t xml:space="preserve">: </w:t>
            </w:r>
            <w:r w:rsidR="00853995">
              <w:t xml:space="preserve">Healthy </w:t>
            </w:r>
            <w:r w:rsidR="00853995" w:rsidRPr="00853995">
              <w:t>women aged 18–45 y with a singleton</w:t>
            </w:r>
            <w:r w:rsidR="00853995">
              <w:t xml:space="preserve"> </w:t>
            </w:r>
            <w:r w:rsidR="00853995" w:rsidRPr="00853995">
              <w:t>pregnancy, and between weeks 8 and 14 of gestation</w:t>
            </w:r>
            <w:r w:rsidR="00853995">
              <w:t>.</w:t>
            </w:r>
          </w:p>
          <w:p w14:paraId="52C37403" w14:textId="3B466E47" w:rsidR="00890808" w:rsidRPr="0030223E" w:rsidRDefault="000C39A5" w:rsidP="00B029D1">
            <w:r w:rsidRPr="0030223E">
              <w:rPr>
                <w:b/>
              </w:rPr>
              <w:t>Intervention</w:t>
            </w:r>
            <w:r>
              <w:t xml:space="preserve">: </w:t>
            </w:r>
            <w:r w:rsidR="00B029D1">
              <w:t>Women</w:t>
            </w:r>
            <w:r w:rsidR="00853995" w:rsidRPr="00853995">
              <w:t xml:space="preserve"> received counse</w:t>
            </w:r>
            <w:r w:rsidR="00853995">
              <w:t>l</w:t>
            </w:r>
            <w:r w:rsidR="00853995" w:rsidRPr="00853995">
              <w:t>ling and a wearable fitness</w:t>
            </w:r>
            <w:r w:rsidR="00853995">
              <w:t xml:space="preserve"> </w:t>
            </w:r>
            <w:r w:rsidR="00853995" w:rsidRPr="00853995">
              <w:t>tracker including dietary software. The intervention was targeted towards increasing</w:t>
            </w:r>
            <w:r w:rsidR="00853995">
              <w:t xml:space="preserve"> physical activity</w:t>
            </w:r>
            <w:r w:rsidR="00853995" w:rsidRPr="00853995">
              <w:t xml:space="preserve"> and modifying carbohydrate intake. Participants took part</w:t>
            </w:r>
            <w:r w:rsidR="00853995">
              <w:t xml:space="preserve"> </w:t>
            </w:r>
            <w:r w:rsidR="00853995" w:rsidRPr="00853995">
              <w:t>in a minimum of six 15- to</w:t>
            </w:r>
            <w:r w:rsidR="00317B34">
              <w:t xml:space="preserve"> 30-min one-on-one visits with </w:t>
            </w:r>
            <w:r w:rsidR="00853995" w:rsidRPr="00853995">
              <w:t>n</w:t>
            </w:r>
            <w:r w:rsidR="00853995">
              <w:t xml:space="preserve"> d</w:t>
            </w:r>
            <w:r w:rsidR="00853995" w:rsidRPr="00853995">
              <w:t>ietitian from no later than gestation wk 14 to</w:t>
            </w:r>
            <w:r w:rsidR="00853995">
              <w:t xml:space="preserve"> </w:t>
            </w:r>
            <w:r w:rsidR="00853995" w:rsidRPr="00853995">
              <w:t>childbirt</w:t>
            </w:r>
            <w:r w:rsidR="00B029D1">
              <w:t xml:space="preserve">h. Participants were weighed </w:t>
            </w:r>
            <w:r w:rsidR="00853995" w:rsidRPr="00853995">
              <w:t>at each face</w:t>
            </w:r>
            <w:r w:rsidR="00853995">
              <w:t>-</w:t>
            </w:r>
            <w:r w:rsidR="00853995" w:rsidRPr="00853995">
              <w:t>to-face session</w:t>
            </w:r>
            <w:r w:rsidR="00853995">
              <w:t xml:space="preserve"> and w</w:t>
            </w:r>
            <w:r w:rsidR="00853995" w:rsidRPr="00853995">
              <w:t>eight gain was plotted on an IOM weight-gain</w:t>
            </w:r>
            <w:r w:rsidR="00853995">
              <w:t xml:space="preserve"> </w:t>
            </w:r>
            <w:r w:rsidR="00853995" w:rsidRPr="00853995">
              <w:t>chart.</w:t>
            </w:r>
          </w:p>
        </w:tc>
        <w:tc>
          <w:tcPr>
            <w:tcW w:w="5664" w:type="dxa"/>
          </w:tcPr>
          <w:p w14:paraId="2E042F92" w14:textId="77777777" w:rsidR="00853995" w:rsidRDefault="00853995" w:rsidP="000C39A5">
            <w:r>
              <w:t>Intervention versus control:</w:t>
            </w:r>
          </w:p>
          <w:p w14:paraId="0A5227A3" w14:textId="0322FEBE" w:rsidR="00853995" w:rsidRDefault="00853995" w:rsidP="0030223E">
            <w:pPr>
              <w:pStyle w:val="bullet"/>
            </w:pPr>
            <w:r>
              <w:t>Mean gestational weight gain: 5.3±1.8 vs 5.9±1.5</w:t>
            </w:r>
          </w:p>
          <w:p w14:paraId="3FD1AC58" w14:textId="77777777" w:rsidR="00890808" w:rsidRDefault="00853995" w:rsidP="0030223E">
            <w:pPr>
              <w:pStyle w:val="bullet"/>
            </w:pPr>
            <w:r>
              <w:t>Weight gain exceeding IOM guidelines: 7/23 vs 15/24</w:t>
            </w:r>
          </w:p>
          <w:p w14:paraId="011E6D4F" w14:textId="6BC1F335" w:rsidR="00853995" w:rsidRDefault="00853995" w:rsidP="0030223E">
            <w:pPr>
              <w:pStyle w:val="bullet"/>
            </w:pPr>
            <w:r>
              <w:t xml:space="preserve">Gestational diabetes: </w:t>
            </w:r>
            <w:r w:rsidR="008E7994">
              <w:t>0/23 vs 1/24</w:t>
            </w:r>
          </w:p>
          <w:p w14:paraId="04B7B703" w14:textId="77777777" w:rsidR="008E7994" w:rsidRDefault="008E7994" w:rsidP="0030223E">
            <w:pPr>
              <w:pStyle w:val="bullet"/>
            </w:pPr>
            <w:r>
              <w:t>Gestational hypertension: 2/23 vs 0/24</w:t>
            </w:r>
          </w:p>
          <w:p w14:paraId="6DB93D33" w14:textId="6AF66DA6" w:rsidR="008E7994" w:rsidRDefault="008E7994" w:rsidP="0030223E">
            <w:pPr>
              <w:pStyle w:val="bullet"/>
            </w:pPr>
            <w:r>
              <w:t>Pre-eclampsia: 0/23 vs 1/24</w:t>
            </w:r>
          </w:p>
          <w:p w14:paraId="69CD7552" w14:textId="77777777" w:rsidR="00853995" w:rsidRDefault="00853995" w:rsidP="0030223E">
            <w:pPr>
              <w:pStyle w:val="bullet"/>
            </w:pPr>
            <w:r>
              <w:t>Caesarean section: 3/23 vs 2/24</w:t>
            </w:r>
          </w:p>
          <w:p w14:paraId="3FEA6F75" w14:textId="77777777" w:rsidR="00853995" w:rsidRDefault="00853995" w:rsidP="0030223E">
            <w:pPr>
              <w:pStyle w:val="bullet"/>
            </w:pPr>
            <w:r>
              <w:t>Preterm birth: 0/23 vs 1/24</w:t>
            </w:r>
          </w:p>
          <w:p w14:paraId="091BC085" w14:textId="77777777" w:rsidR="00853995" w:rsidRDefault="00853995" w:rsidP="0030223E">
            <w:pPr>
              <w:pStyle w:val="bullet"/>
            </w:pPr>
            <w:r>
              <w:t>Low birthweight: 0/23 vs 1/24</w:t>
            </w:r>
          </w:p>
          <w:p w14:paraId="2F467FD7" w14:textId="3053277B" w:rsidR="00853995" w:rsidRPr="000C39A5" w:rsidRDefault="00853995" w:rsidP="0030223E">
            <w:pPr>
              <w:pStyle w:val="bullet"/>
            </w:pPr>
            <w:r>
              <w:t>Macrosomia (&gt;4,000 g): 4/23 vs 6/24</w:t>
            </w:r>
          </w:p>
        </w:tc>
      </w:tr>
      <w:tr w:rsidR="00F14827" w:rsidRPr="00D00A59" w14:paraId="3BB29481" w14:textId="77777777" w:rsidTr="00312100">
        <w:trPr>
          <w:cantSplit/>
        </w:trPr>
        <w:tc>
          <w:tcPr>
            <w:tcW w:w="1417" w:type="dxa"/>
          </w:tcPr>
          <w:p w14:paraId="5847C567" w14:textId="1F045298" w:rsidR="00F14827" w:rsidRDefault="00F14827" w:rsidP="00A62770">
            <w:r>
              <w:t xml:space="preserve">Chan et al </w:t>
            </w:r>
            <w:r w:rsidR="00A90A55">
              <w:t>2018</w:t>
            </w:r>
            <w:r w:rsidR="00D07346">
              <w:fldChar w:fldCharType="begin">
                <w:fldData xml:space="preserve">PEVuZE5vdGU+PENpdGU+PEF1dGhvcj5DaGFuPC9BdXRob3I+PFllYXI+MjAxODwvWWVhcj48UmVj
TnVtPjE5MjM8L1JlY051bT48RGlzcGxheVRleHQ+PHN0eWxlIGZhY2U9InN1cGVyc2NyaXB0IiBm
b250PSJUcmVidWNoZXQgTVMiIHNpemU9IjkiPjUxODwvc3R5bGU+PC9EaXNwbGF5VGV4dD48cmVj
b3JkPjxyZWMtbnVtYmVyPjE5MjM8L3JlYy1udW1iZXI+PGZvcmVpZ24ta2V5cz48a2V5IGFwcD0i
RU4iIGRiLWlkPSJleHZhc3JmeDJkdHJhb2VzYXN4cDJzenN4YTJkZjUwMjU5MngiIHRpbWVzdGFt
cD0iMTU4ODU2NjIzNCI+MTkyMzwva2V5PjxrZXkgYXBwPSJFTldlYiIgZGItaWQ9IiI+MDwva2V5
PjwvZm9yZWlnbi1rZXlzPjxyZWYtdHlwZSBuYW1lPSJKb3VybmFsIEFydGljbGUiPjE3PC9yZWYt
dHlwZT48Y29udHJpYnV0b3JzPjxhdXRob3JzPjxhdXRob3I+Q2hhbiwgUi4gUy48L2F1dGhvcj48
YXV0aG9yPlRhbSwgVy4gSC48L2F1dGhvcj48YXV0aG9yPkhvLCBJLiBDLjwvYXV0aG9yPjxhdXRo
b3I+S3dhbiwgTS4gVy48L2F1dGhvcj48YXV0aG9yPkxpLCBMLiBTLjwvYXV0aG9yPjxhdXRob3I+
U2VhLCBNLiBNLjwvYXV0aG9yPjxhdXRob3I+V29vLCBKLjwvYXV0aG9yPjwvYXV0aG9ycz48L2Nv
bnRyaWJ1dG9ycz48YXV0aC1hZGRyZXNzPkRlcGFydG1lbnQgb2YgTWVkaWNpbmUgYW5kIFRoZXJh
cGV1dGljcywgVGhlIENoaW5lc2UgVW5pdmVyc2l0eSBvZiBIb25nIEtvbmcsIEhvbmcgS29uZywg
Q2hpbmEuIHJ1dGhjaGFuc21AY3Voay5lZHUuaGsuJiN4RDtEZXBhcnRtZW50IG9mIE9ic3RldHJp
Y3MgYW5kIEd5bmFlY29sb2d5LCBUaGUgQ2hpbmVzZSBVbml2ZXJzaXR5IG9mIEhvbmcgS29uZywg
SG9uZyBLb25nLCBDaGluYS4mI3hEO0RlcGFydG1lbnQgb2YgTWVkaWNpbmUgYW5kIFRoZXJhcGV1
dGljcywgVGhlIENoaW5lc2UgVW5pdmVyc2l0eSBvZiBIb25nIEtvbmcsIEhvbmcgS29uZywgQ2hp
bmEuJiN4RDtDZW50cmUgZm9yIE51dHJpdGlvbmFsIFN0dWRpZXMsIFRoZSBDaGluZXNlIFVuaXZl
cnNpdHkgb2YgSG9uZyBLb25nLCBIb25nIEtvbmcsIENoaW5hLjwvYXV0aC1hZGRyZXNzPjx0aXRs
ZXM+PHRpdGxlPlJhbmRvbWl6ZWQgdHJpYWwgZXhhbWluaW5nIGVmZmVjdGl2ZW5lc3Mgb2YgbGlm
ZXN0eWxlIGludGVydmVudGlvbiBpbiByZWR1Y2luZyBnZXN0YXRpb25hbCBkaWFiZXRlcyBpbiBo
aWdoIHJpc2sgQ2hpbmVzZSBwcmVnbmFudCB3b21lbiBpbiBIb25nIEtvbmc8L3RpdGxlPjxzZWNv
bmRhcnktdGl0bGU+U2NpIFJlcDwvc2Vjb25kYXJ5LXRpdGxlPjwvdGl0bGVzPjxwZXJpb2RpY2Fs
PjxmdWxsLXRpdGxlPlNjaSBSZXA8L2Z1bGwtdGl0bGU+PC9wZXJpb2RpY2FsPjxwYWdlcz4xMzg0
OTwvcGFnZXM+PHZvbHVtZT44PC92b2x1bWU+PG51bWJlcj4xPC9udW1iZXI+PGVkaXRpb24+MjAx
OC8wOS8xNjwvZWRpdGlvbj48a2V5d29yZHM+PGtleXdvcmQ+QWR1bHQ8L2tleXdvcmQ+PGtleXdv
cmQ+RGlhYmV0ZXMsIEdlc3RhdGlvbmFsLypwcmV2ZW50aW9uICZhbXA7IGNvbnRyb2w8L2tleXdv
cmQ+PGtleXdvcmQ+RmVtYWxlPC9rZXl3b3JkPjxrZXl3b3JkPkhvbmcgS29uZzwva2V5d29yZD48
a2V5d29yZD5IdW1hbnM8L2tleXdvcmQ+PGtleXdvcmQ+KkxpZmUgU3R5bGU8L2tleXdvcmQ+PGtl
eXdvcmQ+T3V0Y29tZSBBc3Nlc3NtZW50LCBIZWFsdGggQ2FyZTwva2V5d29yZD48a2V5d29yZD5Q
cmVnbmFuY3k8L2tleXdvcmQ+PGtleXdvcmQ+Umlzazwva2V5d29yZD48L2tleXdvcmRzPjxkYXRl
cz48eWVhcj4yMDE4PC95ZWFyPjxwdWItZGF0ZXM+PGRhdGU+U2VwIDE0PC9kYXRlPjwvcHViLWRh
dGVzPjwvZGF0ZXM+PGlzYm4+MjA0NS0yMzIyIChFbGVjdHJvbmljKSYjeEQ7MjA0NS0yMzIyIChM
aW5raW5nKTwvaXNibj48YWNjZXNzaW9uLW51bT4zMDIxODAxMjwvYWNjZXNzaW9uLW51bT48dXJs
cz48cmVsYXRlZC11cmxzPjx1cmw+aHR0cHM6Ly93d3cubmNiaS5ubG0ubmloLmdvdi9wdWJtZWQv
MzAyMTgwMTI8L3VybD48L3JlbGF0ZWQtdXJscz48L3VybHM+PGN1c3RvbTI+UE1DNjEzODcwODwv
Y3VzdG9tMj48ZWxlY3Ryb25pYy1yZXNvdXJjZS1udW0+MTAuMTAzOC9zNDE1OTgtMDE4LTMyMjg1
LTY8L2VsZWN0cm9uaWMtcmVzb3VyY2UtbnVtPjwvcmVjb3JkPjwvQ2l0ZT48L0VuZE5vdGU+AG==
</w:fldData>
              </w:fldChar>
            </w:r>
            <w:r w:rsidR="002747EA">
              <w:instrText xml:space="preserve"> ADDIN EN.CITE </w:instrText>
            </w:r>
            <w:r w:rsidR="002747EA">
              <w:fldChar w:fldCharType="begin">
                <w:fldData xml:space="preserve">PEVuZE5vdGU+PENpdGU+PEF1dGhvcj5DaGFuPC9BdXRob3I+PFllYXI+MjAxODwvWWVhcj48UmVj
TnVtPjE5MjM8L1JlY051bT48RGlzcGxheVRleHQ+PHN0eWxlIGZhY2U9InN1cGVyc2NyaXB0IiBm
b250PSJUcmVidWNoZXQgTVMiIHNpemU9IjkiPjUxODwvc3R5bGU+PC9EaXNwbGF5VGV4dD48cmVj
b3JkPjxyZWMtbnVtYmVyPjE5MjM8L3JlYy1udW1iZXI+PGZvcmVpZ24ta2V5cz48a2V5IGFwcD0i
RU4iIGRiLWlkPSJleHZhc3JmeDJkdHJhb2VzYXN4cDJzenN4YTJkZjUwMjU5MngiIHRpbWVzdGFt
cD0iMTU4ODU2NjIzNCI+MTkyMzwva2V5PjxrZXkgYXBwPSJFTldlYiIgZGItaWQ9IiI+MDwva2V5
PjwvZm9yZWlnbi1rZXlzPjxyZWYtdHlwZSBuYW1lPSJKb3VybmFsIEFydGljbGUiPjE3PC9yZWYt
dHlwZT48Y29udHJpYnV0b3JzPjxhdXRob3JzPjxhdXRob3I+Q2hhbiwgUi4gUy48L2F1dGhvcj48
YXV0aG9yPlRhbSwgVy4gSC48L2F1dGhvcj48YXV0aG9yPkhvLCBJLiBDLjwvYXV0aG9yPjxhdXRo
b3I+S3dhbiwgTS4gVy48L2F1dGhvcj48YXV0aG9yPkxpLCBMLiBTLjwvYXV0aG9yPjxhdXRob3I+
U2VhLCBNLiBNLjwvYXV0aG9yPjxhdXRob3I+V29vLCBKLjwvYXV0aG9yPjwvYXV0aG9ycz48L2Nv
bnRyaWJ1dG9ycz48YXV0aC1hZGRyZXNzPkRlcGFydG1lbnQgb2YgTWVkaWNpbmUgYW5kIFRoZXJh
cGV1dGljcywgVGhlIENoaW5lc2UgVW5pdmVyc2l0eSBvZiBIb25nIEtvbmcsIEhvbmcgS29uZywg
Q2hpbmEuIHJ1dGhjaGFuc21AY3Voay5lZHUuaGsuJiN4RDtEZXBhcnRtZW50IG9mIE9ic3RldHJp
Y3MgYW5kIEd5bmFlY29sb2d5LCBUaGUgQ2hpbmVzZSBVbml2ZXJzaXR5IG9mIEhvbmcgS29uZywg
SG9uZyBLb25nLCBDaGluYS4mI3hEO0RlcGFydG1lbnQgb2YgTWVkaWNpbmUgYW5kIFRoZXJhcGV1
dGljcywgVGhlIENoaW5lc2UgVW5pdmVyc2l0eSBvZiBIb25nIEtvbmcsIEhvbmcgS29uZywgQ2hp
bmEuJiN4RDtDZW50cmUgZm9yIE51dHJpdGlvbmFsIFN0dWRpZXMsIFRoZSBDaGluZXNlIFVuaXZl
cnNpdHkgb2YgSG9uZyBLb25nLCBIb25nIEtvbmcsIENoaW5hLjwvYXV0aC1hZGRyZXNzPjx0aXRs
ZXM+PHRpdGxlPlJhbmRvbWl6ZWQgdHJpYWwgZXhhbWluaW5nIGVmZmVjdGl2ZW5lc3Mgb2YgbGlm
ZXN0eWxlIGludGVydmVudGlvbiBpbiByZWR1Y2luZyBnZXN0YXRpb25hbCBkaWFiZXRlcyBpbiBo
aWdoIHJpc2sgQ2hpbmVzZSBwcmVnbmFudCB3b21lbiBpbiBIb25nIEtvbmc8L3RpdGxlPjxzZWNv
bmRhcnktdGl0bGU+U2NpIFJlcDwvc2Vjb25kYXJ5LXRpdGxlPjwvdGl0bGVzPjxwZXJpb2RpY2Fs
PjxmdWxsLXRpdGxlPlNjaSBSZXA8L2Z1bGwtdGl0bGU+PC9wZXJpb2RpY2FsPjxwYWdlcz4xMzg0
OTwvcGFnZXM+PHZvbHVtZT44PC92b2x1bWU+PG51bWJlcj4xPC9udW1iZXI+PGVkaXRpb24+MjAx
OC8wOS8xNjwvZWRpdGlvbj48a2V5d29yZHM+PGtleXdvcmQ+QWR1bHQ8L2tleXdvcmQ+PGtleXdv
cmQ+RGlhYmV0ZXMsIEdlc3RhdGlvbmFsLypwcmV2ZW50aW9uICZhbXA7IGNvbnRyb2w8L2tleXdv
cmQ+PGtleXdvcmQ+RmVtYWxlPC9rZXl3b3JkPjxrZXl3b3JkPkhvbmcgS29uZzwva2V5d29yZD48
a2V5d29yZD5IdW1hbnM8L2tleXdvcmQ+PGtleXdvcmQ+KkxpZmUgU3R5bGU8L2tleXdvcmQ+PGtl
eXdvcmQ+T3V0Y29tZSBBc3Nlc3NtZW50LCBIZWFsdGggQ2FyZTwva2V5d29yZD48a2V5d29yZD5Q
cmVnbmFuY3k8L2tleXdvcmQ+PGtleXdvcmQ+Umlzazwva2V5d29yZD48L2tleXdvcmRzPjxkYXRl
cz48eWVhcj4yMDE4PC95ZWFyPjxwdWItZGF0ZXM+PGRhdGU+U2VwIDE0PC9kYXRlPjwvcHViLWRh
dGVzPjwvZGF0ZXM+PGlzYm4+MjA0NS0yMzIyIChFbGVjdHJvbmljKSYjeEQ7MjA0NS0yMzIyIChM
aW5raW5nKTwvaXNibj48YWNjZXNzaW9uLW51bT4zMDIxODAxMjwvYWNjZXNzaW9uLW51bT48dXJs
cz48cmVsYXRlZC11cmxzPjx1cmw+aHR0cHM6Ly93d3cubmNiaS5ubG0ubmloLmdvdi9wdWJtZWQv
MzAyMTgwMTI8L3VybD48L3JlbGF0ZWQtdXJscz48L3VybHM+PGN1c3RvbTI+UE1DNjEzODcwODwv
Y3VzdG9tMj48ZWxlY3Ryb25pYy1yZXNvdXJjZS1udW0+MTAuMTAzOC9zNDE1OTgtMDE4LTMyMjg1
LTY8L2VsZWN0cm9uaWMtcmVzb3VyY2UtbnVtPjwvcmVjb3JkPjwvQ2l0ZT48L0VuZE5vdGU+AG==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vertAlign w:val="superscript"/>
              </w:rPr>
              <w:t>518</w:t>
            </w:r>
            <w:r w:rsidR="00D07346">
              <w:fldChar w:fldCharType="end"/>
            </w:r>
          </w:p>
          <w:p w14:paraId="6A85E389" w14:textId="22A3D144" w:rsidR="00A90A55" w:rsidRDefault="00A90A55" w:rsidP="00A62770">
            <w:r>
              <w:t>Hong Kong</w:t>
            </w:r>
          </w:p>
          <w:p w14:paraId="56D558F6" w14:textId="5B44C4E0" w:rsidR="00A90A55" w:rsidRPr="00A62770" w:rsidRDefault="00A90A55" w:rsidP="00A62770">
            <w:r w:rsidRPr="00A90A55">
              <w:t>NCT02368600</w:t>
            </w:r>
          </w:p>
        </w:tc>
        <w:tc>
          <w:tcPr>
            <w:tcW w:w="1562" w:type="dxa"/>
          </w:tcPr>
          <w:p w14:paraId="06D77BE1" w14:textId="77777777" w:rsidR="00F14827" w:rsidRDefault="00ED5189" w:rsidP="00A75579">
            <w:pPr>
              <w:rPr>
                <w:szCs w:val="18"/>
              </w:rPr>
            </w:pPr>
            <w:r>
              <w:rPr>
                <w:szCs w:val="18"/>
              </w:rPr>
              <w:t>Intervention 80</w:t>
            </w:r>
          </w:p>
          <w:p w14:paraId="51C2B101" w14:textId="0484633B" w:rsidR="00ED5189" w:rsidRPr="00D00A59" w:rsidRDefault="00ED5189" w:rsidP="00A75579">
            <w:pPr>
              <w:rPr>
                <w:szCs w:val="18"/>
              </w:rPr>
            </w:pPr>
            <w:r>
              <w:rPr>
                <w:szCs w:val="18"/>
              </w:rPr>
              <w:t>Control 86</w:t>
            </w:r>
          </w:p>
        </w:tc>
        <w:tc>
          <w:tcPr>
            <w:tcW w:w="5393" w:type="dxa"/>
          </w:tcPr>
          <w:p w14:paraId="16D3C1F2" w14:textId="77777777" w:rsidR="00A90A55" w:rsidRDefault="00A90A55" w:rsidP="00A75579">
            <w:r w:rsidRPr="0030223E">
              <w:rPr>
                <w:b/>
              </w:rPr>
              <w:t>Aim</w:t>
            </w:r>
            <w:r>
              <w:t>: To examine</w:t>
            </w:r>
            <w:r w:rsidRPr="00A90A55">
              <w:t xml:space="preserve"> whether a clinically proven lifestyle modification program (LMP) in early pregnancy was superior to routine antenatal care in improving GDM, maternal and infant outcomes. </w:t>
            </w:r>
          </w:p>
          <w:p w14:paraId="4B763061" w14:textId="77777777" w:rsidR="00A90A55" w:rsidRDefault="00A90A55" w:rsidP="00BB51A6">
            <w:r w:rsidRPr="0030223E">
              <w:rPr>
                <w:b/>
              </w:rPr>
              <w:t>Population</w:t>
            </w:r>
            <w:r>
              <w:t xml:space="preserve">: </w:t>
            </w:r>
            <w:r w:rsidRPr="00A90A55">
              <w:t xml:space="preserve">Chinese pregnant women at risk of GDM </w:t>
            </w:r>
            <w:r>
              <w:t xml:space="preserve">at or before 12 </w:t>
            </w:r>
            <w:r w:rsidRPr="00A90A55">
              <w:t>week</w:t>
            </w:r>
            <w:r>
              <w:t>s</w:t>
            </w:r>
            <w:r w:rsidRPr="00A90A55">
              <w:t xml:space="preserve"> gestation</w:t>
            </w:r>
            <w:r>
              <w:t>.</w:t>
            </w:r>
          </w:p>
          <w:p w14:paraId="3F0698B5" w14:textId="5A3AF5DF" w:rsidR="00356F00" w:rsidRDefault="00356F00" w:rsidP="00356F00">
            <w:r w:rsidRPr="0030223E">
              <w:rPr>
                <w:b/>
              </w:rPr>
              <w:t>Intervention</w:t>
            </w:r>
            <w:r>
              <w:t>: The interventi</w:t>
            </w:r>
            <w:r w:rsidRPr="008B59C4">
              <w:t xml:space="preserve">on group participated in a dietitian-led lifestyle intervention from ≤12 weeks </w:t>
            </w:r>
            <w:r>
              <w:t xml:space="preserve">to 24 weeks of gestation. Participants received bi-weekly face-to-face or phone consultations in the first 2 months and monthly face-to-face consultations afterwards till the end of the intervention. At the first face-to-face session, the dietitian discussed the specific dietary and lifestyle advices to achieve a desirable weight status with the participant. Each participant was given an individualised menu plan and healthy lifestyle booklets aiming at achieving a varied balanced diet with an emphasis on fruit and vegetables consumption, and intake of moderate-carbohydrate, low-fat, low-glycaemic index (GI) and low-calorific products in appropriate portions. </w:t>
            </w:r>
          </w:p>
          <w:p w14:paraId="350D52D3" w14:textId="28217B9E" w:rsidR="00F14827" w:rsidRPr="0030223E" w:rsidRDefault="00356F00" w:rsidP="00356F00">
            <w:r>
              <w:t xml:space="preserve">Participants were encouraged to see the exercise instructor at least once during the LMP. During the exercise consultation (~30 minutes), the exercise instructor designed a suitable exercise regime for the participant based on international guidelines. Participants were generally advised to do a 30-minute of light to moderate intensity of low impact aerobic exercise at least three times a week.  </w:t>
            </w:r>
          </w:p>
        </w:tc>
        <w:tc>
          <w:tcPr>
            <w:tcW w:w="5664" w:type="dxa"/>
          </w:tcPr>
          <w:p w14:paraId="4BBDA5F5" w14:textId="77777777" w:rsidR="00F14827" w:rsidRDefault="00C83357" w:rsidP="00356F00">
            <w:r>
              <w:t>Intervention versus control:</w:t>
            </w:r>
          </w:p>
          <w:p w14:paraId="632ADE3C" w14:textId="77777777" w:rsidR="00C83357" w:rsidRDefault="00C83357" w:rsidP="0030223E">
            <w:pPr>
              <w:pStyle w:val="bullet"/>
            </w:pPr>
            <w:r>
              <w:t>Gestational weight gain: 11.6±4.0 (n=76) vs 11.8±5.9 (n=81)</w:t>
            </w:r>
          </w:p>
          <w:p w14:paraId="563BD47D" w14:textId="31730633" w:rsidR="00C83357" w:rsidRDefault="00C83357" w:rsidP="0030223E">
            <w:pPr>
              <w:pStyle w:val="bullet"/>
            </w:pPr>
            <w:r>
              <w:t>Weight gain exceeding IOM guidelines: 14/76 vs 21/81</w:t>
            </w:r>
          </w:p>
          <w:p w14:paraId="7A3B56CA" w14:textId="77777777" w:rsidR="00C83357" w:rsidRDefault="00C83357" w:rsidP="0030223E">
            <w:pPr>
              <w:pStyle w:val="bullet"/>
            </w:pPr>
            <w:r>
              <w:t>Gestational diabetes: 20/80 vs 23/86</w:t>
            </w:r>
          </w:p>
          <w:p w14:paraId="0E548755" w14:textId="77777777" w:rsidR="00C83357" w:rsidRDefault="00C83357" w:rsidP="0030223E">
            <w:pPr>
              <w:pStyle w:val="bullet"/>
            </w:pPr>
            <w:r>
              <w:t>Gestational hypertension: 2/77 vs 1/84</w:t>
            </w:r>
          </w:p>
          <w:p w14:paraId="1CE6EDE0" w14:textId="77777777" w:rsidR="00C83357" w:rsidRDefault="00C83357" w:rsidP="0030223E">
            <w:pPr>
              <w:pStyle w:val="bullet"/>
            </w:pPr>
            <w:r>
              <w:t>Pre-eclampsia: 0/77 vs 1/84</w:t>
            </w:r>
          </w:p>
          <w:p w14:paraId="5F28AEA5" w14:textId="1DB92771" w:rsidR="00C83357" w:rsidRDefault="00C83357" w:rsidP="0030223E">
            <w:pPr>
              <w:pStyle w:val="bullet"/>
            </w:pPr>
            <w:r>
              <w:t>Caesarean section: 24/69 vs 16/78</w:t>
            </w:r>
          </w:p>
          <w:p w14:paraId="5827F810" w14:textId="1A30BE53" w:rsidR="00C83357" w:rsidRDefault="00975BD6" w:rsidP="0030223E">
            <w:pPr>
              <w:pStyle w:val="bullet"/>
            </w:pPr>
            <w:r>
              <w:t>Small for gestational age</w:t>
            </w:r>
            <w:r w:rsidR="00C83357">
              <w:t>: 12/77 vs 12/84</w:t>
            </w:r>
          </w:p>
          <w:p w14:paraId="748C12F3" w14:textId="77777777" w:rsidR="00C83357" w:rsidRDefault="00C83357" w:rsidP="0030223E">
            <w:pPr>
              <w:pStyle w:val="bullet"/>
            </w:pPr>
            <w:r>
              <w:t>Large for gestational age: 8/77 vs 6/84</w:t>
            </w:r>
          </w:p>
          <w:p w14:paraId="5B2F2BDD" w14:textId="5A060B69" w:rsidR="00C83357" w:rsidRPr="005B3B57" w:rsidRDefault="00C83357" w:rsidP="0030223E">
            <w:pPr>
              <w:pStyle w:val="bullet"/>
            </w:pPr>
            <w:r>
              <w:t>Macrosomia (&gt;4,000 g): 1/78 vs 2/85</w:t>
            </w:r>
          </w:p>
        </w:tc>
      </w:tr>
      <w:tr w:rsidR="00973D70" w:rsidRPr="00D00A59" w14:paraId="4BFFE76F" w14:textId="77777777" w:rsidTr="0030223E">
        <w:trPr>
          <w:cantSplit/>
        </w:trPr>
        <w:tc>
          <w:tcPr>
            <w:tcW w:w="1417" w:type="dxa"/>
          </w:tcPr>
          <w:p w14:paraId="54EF78C2" w14:textId="5A6CEFDE" w:rsidR="00973D70" w:rsidRPr="00D00A59" w:rsidRDefault="00973D70" w:rsidP="00E70A06">
            <w:r w:rsidRPr="00D00A59">
              <w:rPr>
                <w:noProof/>
              </w:rPr>
              <w:t>Dodd et al 2014a;</w:t>
            </w:r>
            <w:r w:rsidRPr="00D00A59">
              <w:rPr>
                <w:noProof/>
              </w:rPr>
              <w:fldChar w:fldCharType="begin">
                <w:fldData xml:space="preserve">PEVuZE5vdGU+PENpdGU+PEF1dGhvcj5Eb2RkPC9BdXRob3I+PFllYXI+MjAxNDwvWWVhcj48UmVj
TnVtPjcxODwvUmVjTnVtPjxEaXNwbGF5VGV4dD48c3R5bGUgZmFjZT0ic3VwZXJzY3JpcHQiIGZv
bnQ9IlRyZWJ1Y2hldCBNUyIgc2l6ZT0iOSI+NTAxPC9zdHlsZT48L0Rpc3BsYXlUZXh0PjxyZWNv
cmQ+PHJlYy1udW1iZXI+NzE4PC9yZWMtbnVtYmVyPjxmb3JlaWduLWtleXM+PGtleSBhcHA9IkVO
IiBkYi1pZD0iZXh2YXNyZngyZHRyYW9lc2FzeHAyc3pzeGEyZGY1MDI1OTJ4IiB0aW1lc3RhbXA9
IjE1NDE0NjQwODgiPjcxODwva2V5PjwvZm9yZWlnbi1rZXlzPjxyZWYtdHlwZSBuYW1lPSJKb3Vy
bmFsIEFydGljbGUiPjE3PC9yZWYtdHlwZT48Y29udHJpYnV0b3JzPjxhdXRob3JzPjxhdXRob3I+
RG9kZCwgSi4gTS48L2F1dGhvcj48YXV0aG9yPlR1cm5idWxsLCBELjwvYXV0aG9yPjxhdXRob3I+
TWNQaGVlLCBBLiBKLjwvYXV0aG9yPjxhdXRob3I+RGV1c3NlbiwgQS4gUi48L2F1dGhvcj48YXV0
aG9yPkdyaXZlbGwsIFIuIE0uPC9hdXRob3I+PGF1dGhvcj5ZZWxsYW5kLCBMLiBOLjwvYXV0aG9y
PjxhdXRob3I+Q3Jvd3RoZXIsIEMuIEEuPC9hdXRob3I+PGF1dGhvcj5XaXR0ZXJ0LCBHLjwvYXV0
aG9yPjxhdXRob3I+T3dlbnMsIEouIEEuPC9hdXRob3I+PGF1dGhvcj5Sb2JpbnNvbiwgSi4gUy48
L2F1dGhvcj48YXV0aG9yPkxpbWl0IFJhbmRvbWlzZWQgVHJpYWwgR3JvdXA8L2F1dGhvcj48L2F1
dGhvcnM+PC9jb250cmlidXRvcnM+PGF1dGgtYWRkcmVzcz5Sb2JpbnNvbiBJbnN0aXR1dGUgYW5k
IFNjaG9vbCBvZiBQYWVkaWF0cmljcyBhbmQgUmVwcm9kdWN0aXZlIEhlYWx0aCwgVW5pdmVyc2l0
eSBvZiBBZGVsYWlkZSwgNzIgS2luZyBXaWxsaWFtIFJvYWQsIE5vcnRoIEFkZWxhaWRlLCBTb3V0
aCBBdXN0cmFsaWEsIEF1c3RyYWxpYSA1MDA2LjwvYXV0aC1hZGRyZXNzPjx0aXRsZXM+PHRpdGxl
PkFudGVuYXRhbCBsaWZlc3R5bGUgYWR2aWNlIGZvciB3b21lbiB3aG8gYXJlIG92ZXJ3ZWlnaHQg
b3Igb2Jlc2U6IExJTUlUIHJhbmRvbWlzZWQgdHJpYWw8L3RpdGxlPjxzZWNvbmRhcnktdGl0bGU+
Qk1KPC9zZWNvbmRhcnktdGl0bGU+PC90aXRsZXM+PHBlcmlvZGljYWw+PGZ1bGwtdGl0bGU+Qk1K
PC9mdWxsLXRpdGxlPjwvcGVyaW9kaWNhbD48cGFnZXM+ZzEyODU8L3BhZ2VzPjx2b2x1bWU+MzQ4
PC92b2x1bWU+PGVkaXRpb24+MjAxNC8wMi8xMjwvZWRpdGlvbj48a2V5d29yZHM+PGtleXdvcmQ+
QWR1bHQ8L2tleXdvcmQ+PGtleXdvcmQ+QmlydGggV2VpZ2h0PC9rZXl3b3JkPjxrZXl3b3JkPkRp
YWJldGVzLCBHZXN0YXRpb25hbC9wcmV2ZW50aW9uICZhbXA7IGNvbnRyb2w8L2tleXdvcmQ+PGtl
eXdvcmQ+RmVtYWxlPC9rZXl3b3JkPjxrZXl3b3JkPkZldGFsIE1hY3Jvc29taWEvcHJldmVudGlv
biAmYW1wOyBjb250cm9sPC9rZXl3b3JkPjxrZXl3b3JkPkdlc3RhdGlvbmFsIEFnZTwva2V5d29y
ZD48a2V5d29yZD4qSGVhbHRoIFByb21vdGlvbi9tZXRob2RzPC9rZXl3b3JkPjxrZXl3b3JkPkh1
bWFuczwva2V5d29yZD48a2V5d29yZD5IeXBlcnRlbnNpb24vY29tcGxpY2F0aW9ucy9wcmV2ZW50
aW9uICZhbXA7IGNvbnRyb2w8L2tleXdvcmQ+PGtleXdvcmQ+SW5mYW50LCBOZXdib3JuPC9rZXl3
b3JkPjxrZXl3b3JkPk1hbGU8L2tleXdvcmQ+PGtleXdvcmQ+T2Jlc2l0eS8qY29tcGxpY2F0aW9u
cy9wcmV2ZW50aW9uICZhbXA7IGNvbnRyb2w8L2tleXdvcmQ+PGtleXdvcmQ+T3ZlcndlaWdodC8q
Y29tcGxpY2F0aW9ucy9wcmV2ZW50aW9uICZhbXA7IGNvbnRyb2w8L2tleXdvcmQ+PGtleXdvcmQ+
UHJlLUVjbGFtcHNpYS9wcmV2ZW50aW9uICZhbXA7IGNvbnRyb2w8L2tleXdvcmQ+PGtleXdvcmQ+
UHJlZ25hbmN5PC9rZXl3b3JkPjxrZXl3b3JkPlByZWduYW5jeSBDb21wbGljYXRpb25zLypwcmV2
ZW50aW9uICZhbXA7IGNvbnRyb2w8L2tleXdvcmQ+PGtleXdvcmQ+UHJlZ25hbmN5IE91dGNvbWUv
ZXBpZGVtaW9sb2d5PC9rZXl3b3JkPjxrZXl3b3JkPlJpc2sgUmVkdWN0aW9uIEJlaGF2aW9yPC9r
ZXl3b3JkPjxrZXl3b3JkPldlaWdodCBSZWR1Y3Rpb24gUHJvZ3JhbXMvbWV0aG9kczwva2V5d29y
ZD48L2tleXdvcmRzPjxkYXRlcz48eWVhcj4yMDE0PC95ZWFyPjxwdWItZGF0ZXM+PGRhdGU+RmVi
IDEwPC9kYXRlPjwvcHViLWRhdGVzPjwvZGF0ZXM+PGlzYm4+MTc1Ni0xODMzIChFbGVjdHJvbmlj
KSYjeEQ7MDk1OS04MTM4IChMaW5raW5nKTwvaXNibj48YWNjZXNzaW9uLW51bT4yNDUxMzQ0Mjwv
YWNjZXNzaW9uLW51bT48dXJscz48cmVsYXRlZC11cmxzPjx1cmw+aHR0cHM6Ly93d3cubmNiaS5u
bG0ubmloLmdvdi9wdWJtZWQvMjQ1MTM0NDI8L3VybD48L3JlbGF0ZWQtdXJscz48L3VybHM+PGN1
c3RvbTI+UE1DMzkxOTE3OTwvY3VzdG9tMj48ZWxlY3Ryb25pYy1yZXNvdXJjZS1udW0+MTAuMTEz
Ni9ibWouZzEyODU8L2VsZWN0cm9uaWMtcmVzb3VyY2UtbnVtPjwvcmVjb3JkPjwvQ2l0ZT48L0Vu
ZE5vdGU+
</w:fldData>
              </w:fldChar>
            </w:r>
            <w:r w:rsidR="002747EA">
              <w:rPr>
                <w:noProof/>
              </w:rPr>
              <w:instrText xml:space="preserve"> ADDIN EN.CITE </w:instrText>
            </w:r>
            <w:r w:rsidR="002747EA">
              <w:rPr>
                <w:noProof/>
              </w:rPr>
              <w:fldChar w:fldCharType="begin">
                <w:fldData xml:space="preserve">PEVuZE5vdGU+PENpdGU+PEF1dGhvcj5Eb2RkPC9BdXRob3I+PFllYXI+MjAxNDwvWWVhcj48UmVj
TnVtPjcxODwvUmVjTnVtPjxEaXNwbGF5VGV4dD48c3R5bGUgZmFjZT0ic3VwZXJzY3JpcHQiIGZv
bnQ9IlRyZWJ1Y2hldCBNUyIgc2l6ZT0iOSI+NTAxPC9zdHlsZT48L0Rpc3BsYXlUZXh0PjxyZWNv
cmQ+PHJlYy1udW1iZXI+NzE4PC9yZWMtbnVtYmVyPjxmb3JlaWduLWtleXM+PGtleSBhcHA9IkVO
IiBkYi1pZD0iZXh2YXNyZngyZHRyYW9lc2FzeHAyc3pzeGEyZGY1MDI1OTJ4IiB0aW1lc3RhbXA9
IjE1NDE0NjQwODgiPjcxODwva2V5PjwvZm9yZWlnbi1rZXlzPjxyZWYtdHlwZSBuYW1lPSJKb3Vy
bmFsIEFydGljbGUiPjE3PC9yZWYtdHlwZT48Y29udHJpYnV0b3JzPjxhdXRob3JzPjxhdXRob3I+
RG9kZCwgSi4gTS48L2F1dGhvcj48YXV0aG9yPlR1cm5idWxsLCBELjwvYXV0aG9yPjxhdXRob3I+
TWNQaGVlLCBBLiBKLjwvYXV0aG9yPjxhdXRob3I+RGV1c3NlbiwgQS4gUi48L2F1dGhvcj48YXV0
aG9yPkdyaXZlbGwsIFIuIE0uPC9hdXRob3I+PGF1dGhvcj5ZZWxsYW5kLCBMLiBOLjwvYXV0aG9y
PjxhdXRob3I+Q3Jvd3RoZXIsIEMuIEEuPC9hdXRob3I+PGF1dGhvcj5XaXR0ZXJ0LCBHLjwvYXV0
aG9yPjxhdXRob3I+T3dlbnMsIEouIEEuPC9hdXRob3I+PGF1dGhvcj5Sb2JpbnNvbiwgSi4gUy48
L2F1dGhvcj48YXV0aG9yPkxpbWl0IFJhbmRvbWlzZWQgVHJpYWwgR3JvdXA8L2F1dGhvcj48L2F1
dGhvcnM+PC9jb250cmlidXRvcnM+PGF1dGgtYWRkcmVzcz5Sb2JpbnNvbiBJbnN0aXR1dGUgYW5k
IFNjaG9vbCBvZiBQYWVkaWF0cmljcyBhbmQgUmVwcm9kdWN0aXZlIEhlYWx0aCwgVW5pdmVyc2l0
eSBvZiBBZGVsYWlkZSwgNzIgS2luZyBXaWxsaWFtIFJvYWQsIE5vcnRoIEFkZWxhaWRlLCBTb3V0
aCBBdXN0cmFsaWEsIEF1c3RyYWxpYSA1MDA2LjwvYXV0aC1hZGRyZXNzPjx0aXRsZXM+PHRpdGxl
PkFudGVuYXRhbCBsaWZlc3R5bGUgYWR2aWNlIGZvciB3b21lbiB3aG8gYXJlIG92ZXJ3ZWlnaHQg
b3Igb2Jlc2U6IExJTUlUIHJhbmRvbWlzZWQgdHJpYWw8L3RpdGxlPjxzZWNvbmRhcnktdGl0bGU+
Qk1KPC9zZWNvbmRhcnktdGl0bGU+PC90aXRsZXM+PHBlcmlvZGljYWw+PGZ1bGwtdGl0bGU+Qk1K
PC9mdWxsLXRpdGxlPjwvcGVyaW9kaWNhbD48cGFnZXM+ZzEyODU8L3BhZ2VzPjx2b2x1bWU+MzQ4
PC92b2x1bWU+PGVkaXRpb24+MjAxNC8wMi8xMjwvZWRpdGlvbj48a2V5d29yZHM+PGtleXdvcmQ+
QWR1bHQ8L2tleXdvcmQ+PGtleXdvcmQ+QmlydGggV2VpZ2h0PC9rZXl3b3JkPjxrZXl3b3JkPkRp
YWJldGVzLCBHZXN0YXRpb25hbC9wcmV2ZW50aW9uICZhbXA7IGNvbnRyb2w8L2tleXdvcmQ+PGtl
eXdvcmQ+RmVtYWxlPC9rZXl3b3JkPjxrZXl3b3JkPkZldGFsIE1hY3Jvc29taWEvcHJldmVudGlv
biAmYW1wOyBjb250cm9sPC9rZXl3b3JkPjxrZXl3b3JkPkdlc3RhdGlvbmFsIEFnZTwva2V5d29y
ZD48a2V5d29yZD4qSGVhbHRoIFByb21vdGlvbi9tZXRob2RzPC9rZXl3b3JkPjxrZXl3b3JkPkh1
bWFuczwva2V5d29yZD48a2V5d29yZD5IeXBlcnRlbnNpb24vY29tcGxpY2F0aW9ucy9wcmV2ZW50
aW9uICZhbXA7IGNvbnRyb2w8L2tleXdvcmQ+PGtleXdvcmQ+SW5mYW50LCBOZXdib3JuPC9rZXl3
b3JkPjxrZXl3b3JkPk1hbGU8L2tleXdvcmQ+PGtleXdvcmQ+T2Jlc2l0eS8qY29tcGxpY2F0aW9u
cy9wcmV2ZW50aW9uICZhbXA7IGNvbnRyb2w8L2tleXdvcmQ+PGtleXdvcmQ+T3ZlcndlaWdodC8q
Y29tcGxpY2F0aW9ucy9wcmV2ZW50aW9uICZhbXA7IGNvbnRyb2w8L2tleXdvcmQ+PGtleXdvcmQ+
UHJlLUVjbGFtcHNpYS9wcmV2ZW50aW9uICZhbXA7IGNvbnRyb2w8L2tleXdvcmQ+PGtleXdvcmQ+
UHJlZ25hbmN5PC9rZXl3b3JkPjxrZXl3b3JkPlByZWduYW5jeSBDb21wbGljYXRpb25zLypwcmV2
ZW50aW9uICZhbXA7IGNvbnRyb2w8L2tleXdvcmQ+PGtleXdvcmQ+UHJlZ25hbmN5IE91dGNvbWUv
ZXBpZGVtaW9sb2d5PC9rZXl3b3JkPjxrZXl3b3JkPlJpc2sgUmVkdWN0aW9uIEJlaGF2aW9yPC9r
ZXl3b3JkPjxrZXl3b3JkPldlaWdodCBSZWR1Y3Rpb24gUHJvZ3JhbXMvbWV0aG9kczwva2V5d29y
ZD48L2tleXdvcmRzPjxkYXRlcz48eWVhcj4yMDE0PC95ZWFyPjxwdWItZGF0ZXM+PGRhdGU+RmVi
IDEwPC9kYXRlPjwvcHViLWRhdGVzPjwvZGF0ZXM+PGlzYm4+MTc1Ni0xODMzIChFbGVjdHJvbmlj
KSYjeEQ7MDk1OS04MTM4IChMaW5raW5nKTwvaXNibj48YWNjZXNzaW9uLW51bT4yNDUxMzQ0Mjwv
YWNjZXNzaW9uLW51bT48dXJscz48cmVsYXRlZC11cmxzPjx1cmw+aHR0cHM6Ly93d3cubmNiaS5u
bG0ubmloLmdvdi9wdWJtZWQvMjQ1MTM0NDI8L3VybD48L3JlbGF0ZWQtdXJscz48L3VybHM+PGN1
c3RvbTI+UE1DMzkxOTE3OTwvY3VzdG9tMj48ZWxlY3Ryb25pYy1yZXNvdXJjZS1udW0+MTAuMTEz
Ni9ibWouZzEyODU8L2VsZWN0cm9uaWMtcmVzb3VyY2UtbnVtPjwvcmVjb3JkPjwvQ2l0ZT48L0Vu
ZE5vdGU+
</w:fldData>
              </w:fldChar>
            </w:r>
            <w:r w:rsidR="002747EA">
              <w:rPr>
                <w:noProof/>
              </w:rPr>
              <w:instrText xml:space="preserve"> ADDIN EN.CITE.DATA </w:instrText>
            </w:r>
            <w:r w:rsidR="002747EA">
              <w:rPr>
                <w:noProof/>
              </w:rPr>
            </w:r>
            <w:r w:rsidR="002747EA">
              <w:rPr>
                <w:noProof/>
              </w:rPr>
              <w:fldChar w:fldCharType="end"/>
            </w:r>
            <w:r w:rsidRPr="00D00A59">
              <w:rPr>
                <w:noProof/>
              </w:rPr>
            </w:r>
            <w:r w:rsidRPr="00D00A59">
              <w:rPr>
                <w:noProof/>
              </w:rPr>
              <w:fldChar w:fldCharType="separate"/>
            </w:r>
            <w:r w:rsidR="002747EA" w:rsidRPr="002747EA">
              <w:rPr>
                <w:noProof/>
                <w:vertAlign w:val="superscript"/>
              </w:rPr>
              <w:t>501</w:t>
            </w:r>
            <w:r w:rsidRPr="00D00A59">
              <w:rPr>
                <w:noProof/>
              </w:rPr>
              <w:fldChar w:fldCharType="end"/>
            </w:r>
            <w:r w:rsidRPr="00D00A59">
              <w:rPr>
                <w:noProof/>
              </w:rPr>
              <w:t xml:space="preserve"> Dodd et al 2014b;</w:t>
            </w:r>
            <w:r w:rsidRPr="00D00A59">
              <w:rPr>
                <w:noProof/>
              </w:rPr>
              <w:fldChar w:fldCharType="begin"/>
            </w:r>
            <w:r w:rsidR="002747EA">
              <w:rPr>
                <w:noProof/>
              </w:rPr>
              <w:instrText xml:space="preserve"> ADDIN EN.CITE &lt;EndNote&gt;&lt;Cite&gt;&lt;Author&gt;Dodd&lt;/Author&gt;&lt;Year&gt;2014&lt;/Year&gt;&lt;RecNum&gt;1080&lt;/RecNum&gt;&lt;DisplayText&gt;&lt;style face="superscript" font="Trebuchet MS" size="9"&gt;521&lt;/style&gt;&lt;/DisplayText&gt;&lt;record&gt;&lt;rec-number&gt;1080&lt;/rec-number&gt;&lt;foreign-keys&gt;&lt;key app="EN" db-id="exvasrfx2dtraoesasxp2szsxa2df502592x" timestamp="1552946472"&gt;1080&lt;/key&gt;&lt;key app="ENWeb" db-id=""&gt;0&lt;/key&gt;&lt;/foreign-keys&gt;&lt;ref-type name="Journal Article"&gt;17&lt;/ref-type&gt;&lt;contributors&gt;&lt;authors&gt;&lt;author&gt;Dodd, Jodie M.&lt;/author&gt;&lt;author&gt;Grivell, Rosalie M.&lt;/author&gt;&lt;author&gt;Owens, Julie A.&lt;/author&gt;&lt;/authors&gt;&lt;/contributors&gt;&lt;titles&gt;&lt;title&gt;Antenatal Dietary and Lifestyle Interventions for Women Who are Overweight or Obese: Outcomes from the LIMIT Randomized Trial&lt;/title&gt;&lt;secondary-title&gt;Current Nutrition Reports&lt;/secondary-title&gt;&lt;/titles&gt;&lt;periodical&gt;&lt;full-title&gt;Current Nutrition Reports&lt;/full-title&gt;&lt;/periodical&gt;&lt;pages&gt;392-399&lt;/pages&gt;&lt;volume&gt;3&lt;/volume&gt;&lt;number&gt;4&lt;/number&gt;&lt;section&gt;392&lt;/section&gt;&lt;dates&gt;&lt;year&gt;2014&lt;/year&gt;&lt;/dates&gt;&lt;isbn&gt;2161-3311&lt;/isbn&gt;&lt;urls&gt;&lt;/urls&gt;&lt;electronic-resource-num&gt;10.1007/s13668-014-0101-7&lt;/electronic-resource-num&gt;&lt;/record&gt;&lt;/Cite&gt;&lt;/EndNote&gt;</w:instrText>
            </w:r>
            <w:r w:rsidRPr="00D00A59">
              <w:rPr>
                <w:noProof/>
              </w:rPr>
              <w:fldChar w:fldCharType="separate"/>
            </w:r>
            <w:r w:rsidR="002747EA" w:rsidRPr="002747EA">
              <w:rPr>
                <w:noProof/>
                <w:vertAlign w:val="superscript"/>
              </w:rPr>
              <w:t>521</w:t>
            </w:r>
            <w:r w:rsidRPr="00D00A59">
              <w:rPr>
                <w:noProof/>
              </w:rPr>
              <w:fldChar w:fldCharType="end"/>
            </w:r>
            <w:r w:rsidRPr="00D00A59">
              <w:rPr>
                <w:noProof/>
              </w:rPr>
              <w:t xml:space="preserve"> Dodd et al 2015;</w:t>
            </w:r>
            <w:r w:rsidRPr="00D00A59">
              <w:rPr>
                <w:noProof/>
              </w:rPr>
              <w:fldChar w:fldCharType="begin"/>
            </w:r>
            <w:r w:rsidR="002747EA">
              <w:rPr>
                <w:noProof/>
              </w:rPr>
              <w:instrText xml:space="preserve"> ADDIN EN.CITE &lt;EndNote&gt;&lt;Cite&gt;&lt;Author&gt;Dodd&lt;/Author&gt;&lt;Year&gt;2015&lt;/Year&gt;&lt;RecNum&gt;1079&lt;/RecNum&gt;&lt;DisplayText&gt;&lt;style face="superscript" font="Trebuchet MS" size="9"&gt;543&lt;/style&gt;&lt;/DisplayText&gt;&lt;record&gt;&lt;rec-number&gt;1079&lt;/rec-number&gt;&lt;foreign-keys&gt;&lt;key app="EN" db-id="exvasrfx2dtraoesasxp2szsxa2df502592x" timestamp="1552946469"&gt;1079&lt;/key&gt;&lt;key app="ENWeb" db-id=""&gt;0&lt;/key&gt;&lt;/foreign-keys&gt;&lt;ref-type name="Journal Article"&gt;17&lt;/ref-type&gt;&lt;contributors&gt;&lt;authors&gt;&lt;author&gt;Dodd, Jodie M.&lt;/author&gt;&lt;author&gt;O’Brien, Cecelia M.&lt;/author&gt;&lt;author&gt;Grivell, Rosalie M.&lt;/author&gt;&lt;/authors&gt;&lt;/contributors&gt;&lt;titles&gt;&lt;title&gt;Modifying diet and physical activity to support pregnant women who are overweight or obese&lt;/title&gt;&lt;secondary-title&gt;Current Opinion in Clinical Nutrition and Metabolic Care&lt;/secondary-title&gt;&lt;/titles&gt;&lt;periodical&gt;&lt;full-title&gt;Current Opinion in Clinical Nutrition and Metabolic Care&lt;/full-title&gt;&lt;/periodical&gt;&lt;pages&gt;318-323&lt;/pages&gt;&lt;volume&gt;18&lt;/volume&gt;&lt;number&gt;3&lt;/number&gt;&lt;section&gt;318&lt;/section&gt;&lt;dates&gt;&lt;year&gt;2015&lt;/year&gt;&lt;/dates&gt;&lt;isbn&gt;1363-1950&lt;/isbn&gt;&lt;urls&gt;&lt;/urls&gt;&lt;electronic-resource-num&gt;10.1097/mco.0000000000000170&lt;/electronic-resource-num&gt;&lt;/record&gt;&lt;/Cite&gt;&lt;/EndNote&gt;</w:instrText>
            </w:r>
            <w:r w:rsidRPr="00D00A59">
              <w:rPr>
                <w:noProof/>
              </w:rPr>
              <w:fldChar w:fldCharType="separate"/>
            </w:r>
            <w:r w:rsidR="002747EA" w:rsidRPr="002747EA">
              <w:rPr>
                <w:noProof/>
                <w:vertAlign w:val="superscript"/>
              </w:rPr>
              <w:t>543</w:t>
            </w:r>
            <w:r w:rsidRPr="00D00A59">
              <w:rPr>
                <w:noProof/>
              </w:rPr>
              <w:fldChar w:fldCharType="end"/>
            </w:r>
            <w:r w:rsidRPr="00D00A59">
              <w:rPr>
                <w:noProof/>
              </w:rPr>
              <w:t xml:space="preserve"> Dodd et al 2016</w:t>
            </w:r>
            <w:r w:rsidRPr="00D00A59">
              <w:fldChar w:fldCharType="begin">
                <w:fldData xml:space="preserve">PEVuZE5vdGU+PENpdGU+PEF1dGhvcj5Eb2RkPC9BdXRob3I+PFllYXI+MjAxNjwvWWVhcj48UmVj
TnVtPjg0NjwvUmVjTnVtPjxEaXNwbGF5VGV4dD48c3R5bGUgZmFjZT0ic3VwZXJzY3JpcHQiIGZv
bnQ9IlRyZWJ1Y2hldCBNUyIgc2l6ZT0iOSI+NTQ0PC9zdHlsZT48L0Rpc3BsYXlUZXh0PjxyZWNv
cmQ+PHJlYy1udW1iZXI+ODQ2PC9yZWMtbnVtYmVyPjxmb3JlaWduLWtleXM+PGtleSBhcHA9IkVO
IiBkYi1pZD0iZXh2YXNyZngyZHRyYW9lc2FzeHAyc3pzeGEyZGY1MDI1OTJ4IiB0aW1lc3RhbXA9
IjE1NDE1NDA2MTMiPjg0Njwva2V5PjxrZXkgYXBwPSJFTldlYiIgZGItaWQ9IiI+MDwva2V5Pjwv
Zm9yZWlnbi1rZXlzPjxyZWYtdHlwZSBuYW1lPSJKb3VybmFsIEFydGljbGUiPjE3PC9yZWYtdHlw
ZT48Y29udHJpYnV0b3JzPjxhdXRob3JzPjxhdXRob3I+RG9kZCwgSi4gTS48L2F1dGhvcj48YXV0
aG9yPkRldXNzZW4sIEEuIFIuPC9hdXRob3I+PGF1dGhvcj5Nb2hhbWFkLCBJLjwvYXV0aG9yPjxh
dXRob3I+UmlmYXMtU2hpbWFuLCBTLiBMLjwvYXV0aG9yPjxhdXRob3I+WWVsbGFuZCwgTC4gTi48
L2F1dGhvcj48YXV0aG9yPkxvdWlzZSwgSi48L2F1dGhvcj48YXV0aG9yPk1jUGhlZSwgQS4gSi48
L2F1dGhvcj48YXV0aG9yPkdyaXZlbGwsIFIuIE0uPC9hdXRob3I+PGF1dGhvcj5Pd2VucywgSi4g
QS48L2F1dGhvcj48YXV0aG9yPkdpbGxtYW4sIE0uIFcuPC9hdXRob3I+PGF1dGhvcj5Sb2JpbnNv
biwgSi4gUy48L2F1dGhvcj48L2F1dGhvcnM+PC9jb250cmlidXRvcnM+PGF1dGgtYWRkcmVzcz5E
aXNjaXBsaW5lIG9mIE9ic3RldHJpY3MgYW5kIEd5bmFlY29sb2d5LCBUaGUgUm9iaW5zb24gUmVz
ZWFyY2ggSW5zdGl0dXRlLCBUaGUgVW5pdmVyc2l0eSBvZiBBZGVsYWlkZSwgQWRlbGFpZGUsIFNB
LCBBdXN0cmFsaWEuJiN4RDtXb21lbiZhcG9zO3MgYW5kIEJhYmllcyBEaXZpc2lvbiwgRGVwYXJ0
bWVudCBvZiBQZXJpbmF0YWwgTWVkaWNpbmUsIFRoZSBXb21lbiZhcG9zO3MgYW5kIENoaWxkcmVu
JmFwb3M7cyBIb3NwaXRhbCwgTm9ydGggQWRlbGFpZGUsIFNBLCBBdXN0cmFsaWEuJiN4RDtPYmVz
aXR5IFByZXZlbnRpb24gUHJvZ3JhbSwgRGVwYXJ0bWVudCBvZiBQb3B1bGF0aW9uIE1lZGljaW5l
LCBIYXJ2YXJkIE1lZGljYWwgU2Nob29sLCBIYXJ2YXJkIFBpbGdyaW0gSGVhbHRoIENhcmUgSW5z
dGl0dXRlLCBCb3N0b24sIE1BLCBVU0EuJiN4RDtXb21lbiZhcG9zO3MgYW5kIENoaWxkcmVuJmFw
b3M7cyBIZWFsdGggUmVzZWFyY2ggSW5zdGl0dXRlLCBOb3J0aCBBZGVsYWlkZSwgU0EsIEF1c3Ry
YWxpYS4mI3hEO1NjaG9vbCBvZiBQb3B1bGF0aW9uIEhlYWx0aCwgVGhlIFVuaXZlcnNpdHkgb2Yg
QWRlbGFpZGUsIEFkZWxhaWRlLCBTQSwgQXVzdHJhbGlhLiYjeEQ7V29tZW4mYXBvcztzIGFuZCBC
YWJpZXMgRGl2aXNpb24sIERlcGFydG1lbnQgb2YgTmVvbmF0YWwgTWVkaWNpbmUsIFRoZSBXb21l
biZhcG9zO3MgYW5kIENoaWxkcmVuJmFwb3M7cyBIb3NwaXRhbCwgQWRlbGFpZGUsIFNBLCBBdXN0
cmFsaWEuPC9hdXRoLWFkZHJlc3M+PHRpdGxlcz48dGl0bGU+VGhlIGVmZmVjdCBvZiBhbnRlbmF0
YWwgbGlmZXN0eWxlIGFkdmljZSBmb3Igd29tZW4gd2hvIGFyZSBvdmVyd2VpZ2h0IG9yIG9iZXNl
IG9uIHNlY29uZGFyeSBtZWFzdXJlcyBvZiBuZW9uYXRhbCBib2R5IGNvbXBvc2l0aW9uOiB0aGUg
TElNSVQgcmFuZG9taXNlZCB0cmlhbDwvdGl0bGU+PHNlY29uZGFyeS10aXRsZT5CSk9HPC9zZWNv
bmRhcnktdGl0bGU+PC90aXRsZXM+PHBlcmlvZGljYWw+PGZ1bGwtdGl0bGU+QkpPRzwvZnVsbC10
aXRsZT48L3BlcmlvZGljYWw+PHBhZ2VzPjI0NC01MzwvcGFnZXM+PHZvbHVtZT4xMjM8L3ZvbHVt
ZT48bnVtYmVyPjI8L251bWJlcj48ZWRpdGlvbj4yMDE2LzAyLzA0PC9lZGl0aW9uPjxrZXl3b3Jk
cz48a2V5d29yZD5BZHVsdDwva2V5d29yZD48a2V5d29yZD5Cb2R5IENvbXBvc2l0aW9uPC9rZXl3
b3JkPjxrZXl3b3JkPkRpcmVjdGl2ZSBDb3Vuc2VsaW5nLyptZXRob2RzPC9rZXl3b3JkPjxrZXl3
b3JkPkZlZWRpbmcgQmVoYXZpb3IvKnBzeWNob2xvZ3k8L2tleXdvcmQ+PGtleXdvcmQ+RmVtYWxl
PC9rZXl3b3JkPjxrZXl3b3JkPkh1bWFuczwva2V5d29yZD48a2V5d29yZD5JbmZhbnQsIE5ld2Jv
cm48L2tleXdvcmQ+PGtleXdvcmQ+TGlmZSBTdHlsZTwva2V5d29yZD48a2V5d29yZD5OZXcgWmVh
bGFuZC9lcGlkZW1pb2xvZ3k8L2tleXdvcmQ+PGtleXdvcmQ+T2Jlc2l0eS9lcGlkZW1pb2xvZ3kv
KnByZXZlbnRpb24gJmFtcDsgY29udHJvbC9wc3ljaG9sb2d5PC9rZXl3b3JkPjxrZXl3b3JkPlBl
cmluYXRhbCBDYXJlLyptZXRob2RzPC9rZXl3b3JkPjxrZXl3b3JkPlByZWduYW5jeTwva2V5d29y
ZD48a2V5d29yZD5QcmVnbmFuY3kgQ29tcGxpY2F0aW9ucy9lcGlkZW1pb2xvZ3kvKnByZXZlbnRp
b24gJmFtcDsgY29udHJvbC9wc3ljaG9sb2d5PC9rZXl3b3JkPjxrZXl3b3JkPlByZWduYW50IFdv
bWVuLypwc3ljaG9sb2d5PC9rZXl3b3JkPjxrZXl3b3JkPlNvdXRoIEF1c3RyYWxpYS9lcGlkZW1p
b2xvZ3k8L2tleXdvcmQ+PGtleXdvcmQ+VHJlYXRtZW50IE91dGNvbWU8L2tleXdvcmQ+PGtleXdv
cmQ+V2VpZ2h0IEdhaW48L2tleXdvcmQ+PGtleXdvcmQ+QW50ZW5hdGFsIGRpZXRhcnkgYW5kIGxp
ZmVzdHlsZSBpbnRlcnZlbnRpb248L2tleXdvcmQ+PGtleXdvcmQ+bmVvbmF0YWwgYW50aHJvcG9t
ZXRyeTwva2V5d29yZD48a2V5d29yZD5yYW5kb21pc2VkIHRyaWFsPC9rZXl3b3JkPjxrZXl3b3Jk
PnNraW5mb2xkIHRoaWNrbmVzcyBtZWFzdXJlbWVudHM8L2tleXdvcmQ+PC9rZXl3b3Jkcz48ZGF0
ZXM+PHllYXI+MjAxNjwveWVhcj48cHViLWRhdGVzPjxkYXRlPkphbjwvZGF0ZT48L3B1Yi1kYXRl
cz48L2RhdGVzPjxpc2JuPjE0NzEtMDUyOCAoRWxlY3Ryb25pYykmI3hEOzE0NzAtMDMyOCAoTGlu
a2luZyk8L2lzYm4+PGFjY2Vzc2lvbi1udW0+MjY4NDEyMTc8L2FjY2Vzc2lvbi1udW0+PHVybHM+
PHJlbGF0ZWQtdXJscz48dXJsPmh0dHBzOi8vd3d3Lm5jYmkubmxtLm5paC5nb3YvcHVibWVkLzI2
ODQxMjE3PC91cmw+PC9yZWxhdGVkLXVybHM+PC91cmxzPjxjdXN0b20yPlBNQzQ4NTk0MzM8L2N1
c3RvbTI+PGVsZWN0cm9uaWMtcmVzb3VyY2UtbnVtPjEwLjExMTEvMTQ3MS0wNTI4LjEzNzk2PC9l
bGVjdHJvbmljLXJlc291cmNlLW51bT48L3JlY29yZD48L0NpdGU+PC9FbmROb3RlPgB=
</w:fldData>
              </w:fldChar>
            </w:r>
            <w:r w:rsidR="002747EA">
              <w:instrText xml:space="preserve"> ADDIN EN.CITE </w:instrText>
            </w:r>
            <w:r w:rsidR="002747EA">
              <w:fldChar w:fldCharType="begin">
                <w:fldData xml:space="preserve">PEVuZE5vdGU+PENpdGU+PEF1dGhvcj5Eb2RkPC9BdXRob3I+PFllYXI+MjAxNjwvWWVhcj48UmVj
TnVtPjg0NjwvUmVjTnVtPjxEaXNwbGF5VGV4dD48c3R5bGUgZmFjZT0ic3VwZXJzY3JpcHQiIGZv
bnQ9IlRyZWJ1Y2hldCBNUyIgc2l6ZT0iOSI+NTQ0PC9zdHlsZT48L0Rpc3BsYXlUZXh0PjxyZWNv
cmQ+PHJlYy1udW1iZXI+ODQ2PC9yZWMtbnVtYmVyPjxmb3JlaWduLWtleXM+PGtleSBhcHA9IkVO
IiBkYi1pZD0iZXh2YXNyZngyZHRyYW9lc2FzeHAyc3pzeGEyZGY1MDI1OTJ4IiB0aW1lc3RhbXA9
IjE1NDE1NDA2MTMiPjg0Njwva2V5PjxrZXkgYXBwPSJFTldlYiIgZGItaWQ9IiI+MDwva2V5Pjwv
Zm9yZWlnbi1rZXlzPjxyZWYtdHlwZSBuYW1lPSJKb3VybmFsIEFydGljbGUiPjE3PC9yZWYtdHlw
ZT48Y29udHJpYnV0b3JzPjxhdXRob3JzPjxhdXRob3I+RG9kZCwgSi4gTS48L2F1dGhvcj48YXV0
aG9yPkRldXNzZW4sIEEuIFIuPC9hdXRob3I+PGF1dGhvcj5Nb2hhbWFkLCBJLjwvYXV0aG9yPjxh
dXRob3I+UmlmYXMtU2hpbWFuLCBTLiBMLjwvYXV0aG9yPjxhdXRob3I+WWVsbGFuZCwgTC4gTi48
L2F1dGhvcj48YXV0aG9yPkxvdWlzZSwgSi48L2F1dGhvcj48YXV0aG9yPk1jUGhlZSwgQS4gSi48
L2F1dGhvcj48YXV0aG9yPkdyaXZlbGwsIFIuIE0uPC9hdXRob3I+PGF1dGhvcj5Pd2VucywgSi4g
QS48L2F1dGhvcj48YXV0aG9yPkdpbGxtYW4sIE0uIFcuPC9hdXRob3I+PGF1dGhvcj5Sb2JpbnNv
biwgSi4gUy48L2F1dGhvcj48L2F1dGhvcnM+PC9jb250cmlidXRvcnM+PGF1dGgtYWRkcmVzcz5E
aXNjaXBsaW5lIG9mIE9ic3RldHJpY3MgYW5kIEd5bmFlY29sb2d5LCBUaGUgUm9iaW5zb24gUmVz
ZWFyY2ggSW5zdGl0dXRlLCBUaGUgVW5pdmVyc2l0eSBvZiBBZGVsYWlkZSwgQWRlbGFpZGUsIFNB
LCBBdXN0cmFsaWEuJiN4RDtXb21lbiZhcG9zO3MgYW5kIEJhYmllcyBEaXZpc2lvbiwgRGVwYXJ0
bWVudCBvZiBQZXJpbmF0YWwgTWVkaWNpbmUsIFRoZSBXb21lbiZhcG9zO3MgYW5kIENoaWxkcmVu
JmFwb3M7cyBIb3NwaXRhbCwgTm9ydGggQWRlbGFpZGUsIFNBLCBBdXN0cmFsaWEuJiN4RDtPYmVz
aXR5IFByZXZlbnRpb24gUHJvZ3JhbSwgRGVwYXJ0bWVudCBvZiBQb3B1bGF0aW9uIE1lZGljaW5l
LCBIYXJ2YXJkIE1lZGljYWwgU2Nob29sLCBIYXJ2YXJkIFBpbGdyaW0gSGVhbHRoIENhcmUgSW5z
dGl0dXRlLCBCb3N0b24sIE1BLCBVU0EuJiN4RDtXb21lbiZhcG9zO3MgYW5kIENoaWxkcmVuJmFw
b3M7cyBIZWFsdGggUmVzZWFyY2ggSW5zdGl0dXRlLCBOb3J0aCBBZGVsYWlkZSwgU0EsIEF1c3Ry
YWxpYS4mI3hEO1NjaG9vbCBvZiBQb3B1bGF0aW9uIEhlYWx0aCwgVGhlIFVuaXZlcnNpdHkgb2Yg
QWRlbGFpZGUsIEFkZWxhaWRlLCBTQSwgQXVzdHJhbGlhLiYjeEQ7V29tZW4mYXBvcztzIGFuZCBC
YWJpZXMgRGl2aXNpb24sIERlcGFydG1lbnQgb2YgTmVvbmF0YWwgTWVkaWNpbmUsIFRoZSBXb21l
biZhcG9zO3MgYW5kIENoaWxkcmVuJmFwb3M7cyBIb3NwaXRhbCwgQWRlbGFpZGUsIFNBLCBBdXN0
cmFsaWEuPC9hdXRoLWFkZHJlc3M+PHRpdGxlcz48dGl0bGU+VGhlIGVmZmVjdCBvZiBhbnRlbmF0
YWwgbGlmZXN0eWxlIGFkdmljZSBmb3Igd29tZW4gd2hvIGFyZSBvdmVyd2VpZ2h0IG9yIG9iZXNl
IG9uIHNlY29uZGFyeSBtZWFzdXJlcyBvZiBuZW9uYXRhbCBib2R5IGNvbXBvc2l0aW9uOiB0aGUg
TElNSVQgcmFuZG9taXNlZCB0cmlhbDwvdGl0bGU+PHNlY29uZGFyeS10aXRsZT5CSk9HPC9zZWNv
bmRhcnktdGl0bGU+PC90aXRsZXM+PHBlcmlvZGljYWw+PGZ1bGwtdGl0bGU+QkpPRzwvZnVsbC10
aXRsZT48L3BlcmlvZGljYWw+PHBhZ2VzPjI0NC01MzwvcGFnZXM+PHZvbHVtZT4xMjM8L3ZvbHVt
ZT48bnVtYmVyPjI8L251bWJlcj48ZWRpdGlvbj4yMDE2LzAyLzA0PC9lZGl0aW9uPjxrZXl3b3Jk
cz48a2V5d29yZD5BZHVsdDwva2V5d29yZD48a2V5d29yZD5Cb2R5IENvbXBvc2l0aW9uPC9rZXl3
b3JkPjxrZXl3b3JkPkRpcmVjdGl2ZSBDb3Vuc2VsaW5nLyptZXRob2RzPC9rZXl3b3JkPjxrZXl3
b3JkPkZlZWRpbmcgQmVoYXZpb3IvKnBzeWNob2xvZ3k8L2tleXdvcmQ+PGtleXdvcmQ+RmVtYWxl
PC9rZXl3b3JkPjxrZXl3b3JkPkh1bWFuczwva2V5d29yZD48a2V5d29yZD5JbmZhbnQsIE5ld2Jv
cm48L2tleXdvcmQ+PGtleXdvcmQ+TGlmZSBTdHlsZTwva2V5d29yZD48a2V5d29yZD5OZXcgWmVh
bGFuZC9lcGlkZW1pb2xvZ3k8L2tleXdvcmQ+PGtleXdvcmQ+T2Jlc2l0eS9lcGlkZW1pb2xvZ3kv
KnByZXZlbnRpb24gJmFtcDsgY29udHJvbC9wc3ljaG9sb2d5PC9rZXl3b3JkPjxrZXl3b3JkPlBl
cmluYXRhbCBDYXJlLyptZXRob2RzPC9rZXl3b3JkPjxrZXl3b3JkPlByZWduYW5jeTwva2V5d29y
ZD48a2V5d29yZD5QcmVnbmFuY3kgQ29tcGxpY2F0aW9ucy9lcGlkZW1pb2xvZ3kvKnByZXZlbnRp
b24gJmFtcDsgY29udHJvbC9wc3ljaG9sb2d5PC9rZXl3b3JkPjxrZXl3b3JkPlByZWduYW50IFdv
bWVuLypwc3ljaG9sb2d5PC9rZXl3b3JkPjxrZXl3b3JkPlNvdXRoIEF1c3RyYWxpYS9lcGlkZW1p
b2xvZ3k8L2tleXdvcmQ+PGtleXdvcmQ+VHJlYXRtZW50IE91dGNvbWU8L2tleXdvcmQ+PGtleXdv
cmQ+V2VpZ2h0IEdhaW48L2tleXdvcmQ+PGtleXdvcmQ+QW50ZW5hdGFsIGRpZXRhcnkgYW5kIGxp
ZmVzdHlsZSBpbnRlcnZlbnRpb248L2tleXdvcmQ+PGtleXdvcmQ+bmVvbmF0YWwgYW50aHJvcG9t
ZXRyeTwva2V5d29yZD48a2V5d29yZD5yYW5kb21pc2VkIHRyaWFsPC9rZXl3b3JkPjxrZXl3b3Jk
PnNraW5mb2xkIHRoaWNrbmVzcyBtZWFzdXJlbWVudHM8L2tleXdvcmQ+PC9rZXl3b3Jkcz48ZGF0
ZXM+PHllYXI+MjAxNjwveWVhcj48cHViLWRhdGVzPjxkYXRlPkphbjwvZGF0ZT48L3B1Yi1kYXRl
cz48L2RhdGVzPjxpc2JuPjE0NzEtMDUyOCAoRWxlY3Ryb25pYykmI3hEOzE0NzAtMDMyOCAoTGlu
a2luZyk8L2lzYm4+PGFjY2Vzc2lvbi1udW0+MjY4NDEyMTc8L2FjY2Vzc2lvbi1udW0+PHVybHM+
PHJlbGF0ZWQtdXJscz48dXJsPmh0dHBzOi8vd3d3Lm5jYmkubmxtLm5paC5nb3YvcHVibWVkLzI2
ODQxMjE3PC91cmw+PC9yZWxhdGVkLXVybHM+PC91cmxzPjxjdXN0b20yPlBNQzQ4NTk0MzM8L2N1
c3RvbTI+PGVsZWN0cm9uaWMtcmVzb3VyY2UtbnVtPjEwLjExMTEvMTQ3MS0wNTI4LjEzNzk2PC9l
bGVjdHJvbmljLXJlc291cmNlLW51bT48L3JlY29yZD48L0NpdGU+PC9FbmROb3RlPgB=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544</w:t>
            </w:r>
            <w:r w:rsidRPr="00D00A59">
              <w:fldChar w:fldCharType="end"/>
            </w:r>
          </w:p>
          <w:p w14:paraId="01F88FA2" w14:textId="77777777" w:rsidR="00973D70" w:rsidRPr="00D00A59" w:rsidRDefault="00973D70" w:rsidP="00E70A06">
            <w:r w:rsidRPr="00D00A59">
              <w:t>LIMIT</w:t>
            </w:r>
          </w:p>
          <w:p w14:paraId="37AAF592" w14:textId="77777777" w:rsidR="00973D70" w:rsidRPr="00D00A59" w:rsidRDefault="00973D70" w:rsidP="00A62770">
            <w:pPr>
              <w:rPr>
                <w:szCs w:val="18"/>
              </w:rPr>
            </w:pPr>
            <w:r w:rsidRPr="00D00A59">
              <w:rPr>
                <w:szCs w:val="18"/>
              </w:rPr>
              <w:t>Australia</w:t>
            </w:r>
          </w:p>
        </w:tc>
        <w:tc>
          <w:tcPr>
            <w:tcW w:w="1562" w:type="dxa"/>
          </w:tcPr>
          <w:p w14:paraId="349BB2F7" w14:textId="77777777" w:rsidR="00973D70" w:rsidRPr="00D00A59" w:rsidRDefault="00973D70" w:rsidP="00A75579">
            <w:pPr>
              <w:rPr>
                <w:szCs w:val="18"/>
              </w:rPr>
            </w:pPr>
            <w:r w:rsidRPr="00D00A59">
              <w:rPr>
                <w:szCs w:val="18"/>
              </w:rPr>
              <w:t>Intervention 1108</w:t>
            </w:r>
          </w:p>
          <w:p w14:paraId="542D7ECD" w14:textId="77777777" w:rsidR="00973D70" w:rsidRPr="00D00A59" w:rsidRDefault="00973D70" w:rsidP="00A75579">
            <w:pPr>
              <w:rPr>
                <w:szCs w:val="18"/>
              </w:rPr>
            </w:pPr>
            <w:r w:rsidRPr="00D00A59">
              <w:rPr>
                <w:szCs w:val="18"/>
              </w:rPr>
              <w:t>Control 1104</w:t>
            </w:r>
          </w:p>
        </w:tc>
        <w:tc>
          <w:tcPr>
            <w:tcW w:w="5393" w:type="dxa"/>
          </w:tcPr>
          <w:p w14:paraId="70666CD7" w14:textId="77777777" w:rsidR="00973D70" w:rsidRPr="00D00A59" w:rsidRDefault="00973D70" w:rsidP="00A75579">
            <w:pPr>
              <w:rPr>
                <w:szCs w:val="18"/>
              </w:rPr>
            </w:pPr>
            <w:r w:rsidRPr="00D00A59">
              <w:rPr>
                <w:b/>
                <w:szCs w:val="18"/>
              </w:rPr>
              <w:t>Aim</w:t>
            </w:r>
            <w:r w:rsidRPr="00D00A59">
              <w:rPr>
                <w:szCs w:val="18"/>
              </w:rPr>
              <w:t xml:space="preserve">: To determine the effect of antenatal dietary and lifestyle interventions on health outcomes in overweight and obese pregnant women. </w:t>
            </w:r>
          </w:p>
          <w:p w14:paraId="246A634D" w14:textId="77777777" w:rsidR="00973D70" w:rsidRPr="00D00A59" w:rsidRDefault="00973D70" w:rsidP="00A75579">
            <w:pPr>
              <w:rPr>
                <w:szCs w:val="18"/>
              </w:rPr>
            </w:pPr>
            <w:r w:rsidRPr="00D00A59">
              <w:rPr>
                <w:b/>
                <w:szCs w:val="18"/>
              </w:rPr>
              <w:t>Population</w:t>
            </w:r>
            <w:r w:rsidRPr="00D00A59">
              <w:rPr>
                <w:szCs w:val="18"/>
              </w:rPr>
              <w:t>: Women with a singleton pregnancy, BMI ≥25 between 10+0 and 20+0 weeks.</w:t>
            </w:r>
          </w:p>
          <w:p w14:paraId="207049BB" w14:textId="77777777" w:rsidR="00973D70" w:rsidRPr="00D00A59" w:rsidRDefault="00973D70" w:rsidP="00A75579">
            <w:pPr>
              <w:rPr>
                <w:szCs w:val="18"/>
              </w:rPr>
            </w:pPr>
            <w:r w:rsidRPr="00D00A59">
              <w:rPr>
                <w:b/>
                <w:szCs w:val="18"/>
              </w:rPr>
              <w:t>Intervention</w:t>
            </w:r>
            <w:r w:rsidRPr="00D00A59">
              <w:rPr>
                <w:szCs w:val="18"/>
              </w:rPr>
              <w:t>: A comprehensive dietary and lifestyle intervention over the course of pregnancy including a combination of dietary (maintain balance of carbohydrates, fat and protein; reduce intake of foods high in refined carbohydrates and saturated fats; increase intake of fibre; aim for 2 servings of fruit, 5 servings of vegetables and 3 servings of dairy daily), exercise (increase walking and incidental activity), and behavioural strategies (goal setting, self-monitoring), delivered by a research dietitian and trained research assistants.</w:t>
            </w:r>
          </w:p>
        </w:tc>
        <w:tc>
          <w:tcPr>
            <w:tcW w:w="5664" w:type="dxa"/>
          </w:tcPr>
          <w:p w14:paraId="0EC94CB9" w14:textId="77777777" w:rsidR="00973D70" w:rsidRPr="00D00A59" w:rsidRDefault="00973D70" w:rsidP="00A75579">
            <w:pPr>
              <w:rPr>
                <w:szCs w:val="18"/>
              </w:rPr>
            </w:pPr>
            <w:r w:rsidRPr="00D00A59">
              <w:rPr>
                <w:szCs w:val="18"/>
              </w:rPr>
              <w:t xml:space="preserve">Intervention vs control: </w:t>
            </w:r>
          </w:p>
          <w:p w14:paraId="5B911B1D" w14:textId="77777777" w:rsidR="00973D70" w:rsidRPr="00D00A59" w:rsidRDefault="00973D70" w:rsidP="00A75579">
            <w:pPr>
              <w:pStyle w:val="bullet"/>
              <w:rPr>
                <w:szCs w:val="18"/>
              </w:rPr>
            </w:pPr>
            <w:r w:rsidRPr="00D00A59">
              <w:rPr>
                <w:szCs w:val="18"/>
              </w:rPr>
              <w:t>Gestational weight gain: 9.39±5.74 (n=897) vs 9.44±5.77 (n=871)</w:t>
            </w:r>
          </w:p>
          <w:p w14:paraId="68CA136E" w14:textId="77777777" w:rsidR="00973D70" w:rsidRPr="00D00A59" w:rsidRDefault="00973D70" w:rsidP="00A75579">
            <w:pPr>
              <w:pStyle w:val="bullet"/>
              <w:rPr>
                <w:szCs w:val="18"/>
              </w:rPr>
            </w:pPr>
            <w:r w:rsidRPr="00D00A59">
              <w:rPr>
                <w:szCs w:val="18"/>
              </w:rPr>
              <w:t>Excess gestational weight gain: 380/897 vs 368/871</w:t>
            </w:r>
          </w:p>
          <w:p w14:paraId="2B585262" w14:textId="77777777" w:rsidR="00973D70" w:rsidRPr="00D00A59" w:rsidRDefault="00973D70" w:rsidP="00A75579">
            <w:pPr>
              <w:pStyle w:val="bullet"/>
              <w:rPr>
                <w:szCs w:val="18"/>
              </w:rPr>
            </w:pPr>
            <w:r w:rsidRPr="00D00A59">
              <w:rPr>
                <w:szCs w:val="18"/>
              </w:rPr>
              <w:t>Gestational diabetes: 148/1080 vs 120/1073</w:t>
            </w:r>
          </w:p>
          <w:p w14:paraId="765D30E5" w14:textId="77777777" w:rsidR="00973D70" w:rsidRPr="00D00A59" w:rsidRDefault="00973D70" w:rsidP="00A75579">
            <w:pPr>
              <w:pStyle w:val="bullet"/>
              <w:rPr>
                <w:szCs w:val="18"/>
              </w:rPr>
            </w:pPr>
            <w:r w:rsidRPr="00D00A59">
              <w:rPr>
                <w:szCs w:val="18"/>
              </w:rPr>
              <w:t>Gestational hypertension: 101/1080 vs 94/1073</w:t>
            </w:r>
          </w:p>
          <w:p w14:paraId="7029C357" w14:textId="77777777" w:rsidR="00973D70" w:rsidRPr="00D00A59" w:rsidRDefault="00973D70" w:rsidP="00A75579">
            <w:pPr>
              <w:pStyle w:val="bullet"/>
              <w:rPr>
                <w:szCs w:val="18"/>
              </w:rPr>
            </w:pPr>
            <w:r w:rsidRPr="00D00A59">
              <w:rPr>
                <w:szCs w:val="18"/>
              </w:rPr>
              <w:t>Pre-eclampsia: 56/1080 vs 53/1073</w:t>
            </w:r>
          </w:p>
          <w:p w14:paraId="0D37CE14" w14:textId="77777777" w:rsidR="00973D70" w:rsidRPr="00D00A59" w:rsidRDefault="00973D70" w:rsidP="00A75579">
            <w:pPr>
              <w:pStyle w:val="bullet"/>
              <w:rPr>
                <w:szCs w:val="18"/>
              </w:rPr>
            </w:pPr>
            <w:r w:rsidRPr="00D00A59">
              <w:rPr>
                <w:szCs w:val="18"/>
              </w:rPr>
              <w:t>Large for gestational age: 203/1075 vs 224/1067</w:t>
            </w:r>
          </w:p>
          <w:p w14:paraId="30E99747" w14:textId="77777777" w:rsidR="00973D70" w:rsidRPr="00D00A59" w:rsidRDefault="00973D70" w:rsidP="00A75579">
            <w:pPr>
              <w:pStyle w:val="bullet"/>
              <w:rPr>
                <w:szCs w:val="18"/>
              </w:rPr>
            </w:pPr>
            <w:r w:rsidRPr="00D00A59">
              <w:rPr>
                <w:szCs w:val="18"/>
              </w:rPr>
              <w:t>Macrosomia (&gt;4000 g): 164/1075 vs 201/1067</w:t>
            </w:r>
          </w:p>
          <w:p w14:paraId="0C5D599C" w14:textId="77777777" w:rsidR="00973D70" w:rsidRPr="00D00A59" w:rsidRDefault="00973D70" w:rsidP="00A75579">
            <w:pPr>
              <w:pStyle w:val="bullet"/>
              <w:rPr>
                <w:szCs w:val="18"/>
              </w:rPr>
            </w:pPr>
            <w:r w:rsidRPr="00D00A59">
              <w:rPr>
                <w:szCs w:val="18"/>
              </w:rPr>
              <w:t>Macrosomia (&gt;4500g): 23/1075 vs 39/1067</w:t>
            </w:r>
          </w:p>
          <w:p w14:paraId="74436ED7" w14:textId="77777777" w:rsidR="00973D70" w:rsidRPr="00D00A59" w:rsidRDefault="00973D70" w:rsidP="00A75579">
            <w:pPr>
              <w:pStyle w:val="bullet"/>
              <w:rPr>
                <w:szCs w:val="18"/>
              </w:rPr>
            </w:pPr>
            <w:r w:rsidRPr="00D00A59">
              <w:rPr>
                <w:szCs w:val="18"/>
              </w:rPr>
              <w:t>Low birth weight (&lt;2500 g): 43/1075 vs 56/1067</w:t>
            </w:r>
          </w:p>
          <w:p w14:paraId="5A001EA6" w14:textId="77777777" w:rsidR="00973D70" w:rsidRPr="00D00A59" w:rsidRDefault="00973D70" w:rsidP="00A75579">
            <w:pPr>
              <w:pStyle w:val="bullet"/>
              <w:rPr>
                <w:szCs w:val="18"/>
              </w:rPr>
            </w:pPr>
            <w:r w:rsidRPr="00D00A59">
              <w:rPr>
                <w:szCs w:val="18"/>
              </w:rPr>
              <w:t>Apgar score &lt;7 at 5 minutes: 22/1075 vs 22/1067</w:t>
            </w:r>
          </w:p>
          <w:p w14:paraId="51A4998D" w14:textId="77777777" w:rsidR="00973D70" w:rsidRPr="00D00A59" w:rsidRDefault="00973D70" w:rsidP="00A75579">
            <w:pPr>
              <w:pStyle w:val="bullet"/>
              <w:rPr>
                <w:szCs w:val="18"/>
              </w:rPr>
            </w:pPr>
            <w:r w:rsidRPr="00D00A59">
              <w:rPr>
                <w:szCs w:val="18"/>
              </w:rPr>
              <w:t>Antenatal depression (EPDS score ≥12 at 36 weeks): 65/695 vs 62/687</w:t>
            </w:r>
          </w:p>
          <w:p w14:paraId="32A3887F" w14:textId="77777777" w:rsidR="00973D70" w:rsidRPr="00D00A59" w:rsidRDefault="00973D70" w:rsidP="00A75579">
            <w:pPr>
              <w:pStyle w:val="bullet"/>
              <w:rPr>
                <w:szCs w:val="18"/>
              </w:rPr>
            </w:pPr>
            <w:r w:rsidRPr="00D00A59">
              <w:rPr>
                <w:szCs w:val="18"/>
              </w:rPr>
              <w:t>Antenatal anxiety (STAI score ≥15 at 36 weeks): 110/694 vs 96/688</w:t>
            </w:r>
          </w:p>
          <w:p w14:paraId="46B8348C" w14:textId="77777777" w:rsidR="00973D70" w:rsidRPr="00D00A59" w:rsidRDefault="00973D70" w:rsidP="00A75579">
            <w:pPr>
              <w:pStyle w:val="bullet"/>
              <w:rPr>
                <w:szCs w:val="18"/>
              </w:rPr>
            </w:pPr>
            <w:r w:rsidRPr="00D00A59">
              <w:rPr>
                <w:szCs w:val="18"/>
              </w:rPr>
              <w:t>Postnatal depression (EPDS score ≥12 at 4 months): 47/597 vs 41/624</w:t>
            </w:r>
          </w:p>
          <w:p w14:paraId="23C4B27B" w14:textId="77777777" w:rsidR="00973D70" w:rsidRPr="00D00A59" w:rsidRDefault="00973D70" w:rsidP="00A75579">
            <w:pPr>
              <w:pStyle w:val="bullet"/>
              <w:rPr>
                <w:szCs w:val="18"/>
              </w:rPr>
            </w:pPr>
            <w:r w:rsidRPr="00D00A59">
              <w:rPr>
                <w:szCs w:val="18"/>
              </w:rPr>
              <w:t>Postnatal anxiety (STAI score ≥15 at 4 months): 83/596 vs 70/624</w:t>
            </w:r>
          </w:p>
        </w:tc>
      </w:tr>
      <w:tr w:rsidR="008D3C2C" w:rsidRPr="00D00A59" w14:paraId="45A16936" w14:textId="77777777" w:rsidTr="00312100">
        <w:trPr>
          <w:cantSplit/>
        </w:trPr>
        <w:tc>
          <w:tcPr>
            <w:tcW w:w="1417" w:type="dxa"/>
          </w:tcPr>
          <w:p w14:paraId="38B864EB" w14:textId="45EA69A6" w:rsidR="008D3C2C" w:rsidRDefault="008D3C2C" w:rsidP="00E70A06">
            <w:pPr>
              <w:rPr>
                <w:noProof/>
              </w:rPr>
            </w:pPr>
            <w:r>
              <w:rPr>
                <w:noProof/>
              </w:rPr>
              <w:t>Dodd et al 2019</w:t>
            </w:r>
            <w:r w:rsidR="00D07346">
              <w:rPr>
                <w:noProof/>
              </w:rPr>
              <w:fldChar w:fldCharType="begin"/>
            </w:r>
            <w:r w:rsidR="002747EA">
              <w:rPr>
                <w:noProof/>
              </w:rPr>
              <w:instrText xml:space="preserve"> ADDIN EN.CITE &lt;EndNote&gt;&lt;Cite&gt;&lt;Author&gt;Dodd&lt;/Author&gt;&lt;Year&gt;2019&lt;/Year&gt;&lt;RecNum&gt;1922&lt;/RecNum&gt;&lt;DisplayText&gt;&lt;style face="superscript" font="Trebuchet MS" size="9"&gt;484&lt;/style&gt;&lt;/DisplayText&gt;&lt;record&gt;&lt;rec-number&gt;1922&lt;/rec-number&gt;&lt;foreign-keys&gt;&lt;key app="EN" db-id="exvasrfx2dtraoesasxp2szsxa2df502592x" timestamp="1588560368"&gt;1922&lt;/key&gt;&lt;key app="ENWeb" db-id=""&gt;0&lt;/key&gt;&lt;/foreign-keys&gt;&lt;ref-type name="Journal Article"&gt;17&lt;/ref-type&gt;&lt;contributors&gt;&lt;authors&gt;&lt;author&gt;Dodd, J. M.&lt;/author&gt;&lt;author&gt;Deussen, A. R.&lt;/author&gt;&lt;author&gt;Louise, J.&lt;/author&gt;&lt;/authors&gt;&lt;/contributors&gt;&lt;auth-address&gt;Discipline of Obstetrics &amp;amp; Gynaecology, and Robinson Research Institute, The University of Adelaide, Adelaide, SA 5006, Australia.&amp;#xD;Department of Perinatal Medicine Women&amp;apos;s and Children&amp;apos;s Hospital, North Adelaide, Adelaide, SA 5006, Australia.&lt;/auth-address&gt;&lt;titles&gt;&lt;title&gt;A randomised trial to optimise gestational weight gain and improve maternal and infant health outcomes through antenatal dietary, lifestyle and exercise advice: The OPTIMISE randomised trial&lt;/title&gt;&lt;secondary-title&gt;Nutrients&lt;/secondary-title&gt;&lt;/titles&gt;&lt;periodical&gt;&lt;full-title&gt;Nutrients&lt;/full-title&gt;&lt;/periodical&gt;&lt;volume&gt;11&lt;/volume&gt;&lt;number&gt;12&lt;/number&gt;&lt;edition&gt;2019/12/08&lt;/edition&gt;&lt;keywords&gt;&lt;keyword&gt;dietary and lifestyle intervention&lt;/keyword&gt;&lt;keyword&gt;gestational weight gain&lt;/keyword&gt;&lt;keyword&gt;randomised controlled trial&lt;/keyword&gt;&lt;/keywords&gt;&lt;dates&gt;&lt;year&gt;2019&lt;/year&gt;&lt;pub-dates&gt;&lt;date&gt;Dec 2&lt;/date&gt;&lt;/pub-dates&gt;&lt;/dates&gt;&lt;isbn&gt;2072-6643 (Electronic)&amp;#xD;2072-6643 (Linking)&lt;/isbn&gt;&lt;accession-num&gt;31810217&lt;/accession-num&gt;&lt;urls&gt;&lt;related-urls&gt;&lt;url&gt;https://www.ncbi.nlm.nih.gov/pubmed/31810217&lt;/url&gt;&lt;/related-urls&gt;&lt;/urls&gt;&lt;custom2&gt;PMC6949931&lt;/custom2&gt;&lt;electronic-resource-num&gt;10.3390/nu11122911&lt;/electronic-resource-num&gt;&lt;/record&gt;&lt;/Cite&gt;&lt;/EndNote&gt;</w:instrText>
            </w:r>
            <w:r w:rsidR="00D07346">
              <w:rPr>
                <w:noProof/>
              </w:rPr>
              <w:fldChar w:fldCharType="separate"/>
            </w:r>
            <w:r w:rsidR="002747EA" w:rsidRPr="002747EA">
              <w:rPr>
                <w:noProof/>
                <w:vertAlign w:val="superscript"/>
              </w:rPr>
              <w:t>484</w:t>
            </w:r>
            <w:r w:rsidR="00D07346">
              <w:rPr>
                <w:noProof/>
              </w:rPr>
              <w:fldChar w:fldCharType="end"/>
            </w:r>
          </w:p>
          <w:p w14:paraId="46761379" w14:textId="77777777" w:rsidR="008D3C2C" w:rsidRDefault="008D3C2C" w:rsidP="00E70A06">
            <w:pPr>
              <w:rPr>
                <w:noProof/>
              </w:rPr>
            </w:pPr>
            <w:r>
              <w:rPr>
                <w:noProof/>
              </w:rPr>
              <w:t xml:space="preserve">OPTIMISE </w:t>
            </w:r>
          </w:p>
          <w:p w14:paraId="5EB6C43B" w14:textId="3990079C" w:rsidR="008D3C2C" w:rsidRPr="00D00A59" w:rsidRDefault="008D3C2C" w:rsidP="00E70A06">
            <w:pPr>
              <w:rPr>
                <w:noProof/>
              </w:rPr>
            </w:pPr>
            <w:r>
              <w:rPr>
                <w:noProof/>
              </w:rPr>
              <w:t>Australia</w:t>
            </w:r>
          </w:p>
        </w:tc>
        <w:tc>
          <w:tcPr>
            <w:tcW w:w="1562" w:type="dxa"/>
          </w:tcPr>
          <w:p w14:paraId="2364088A" w14:textId="77777777" w:rsidR="008D3C2C" w:rsidRDefault="008D3C2C" w:rsidP="00A75579">
            <w:pPr>
              <w:rPr>
                <w:szCs w:val="18"/>
              </w:rPr>
            </w:pPr>
            <w:r>
              <w:rPr>
                <w:szCs w:val="18"/>
              </w:rPr>
              <w:t>Intervention 316</w:t>
            </w:r>
          </w:p>
          <w:p w14:paraId="2492E679" w14:textId="0B807945" w:rsidR="008D3C2C" w:rsidRPr="00D00A59" w:rsidRDefault="008D3C2C" w:rsidP="00A75579">
            <w:pPr>
              <w:rPr>
                <w:szCs w:val="18"/>
              </w:rPr>
            </w:pPr>
            <w:r>
              <w:rPr>
                <w:szCs w:val="18"/>
              </w:rPr>
              <w:t>Control 313</w:t>
            </w:r>
          </w:p>
        </w:tc>
        <w:tc>
          <w:tcPr>
            <w:tcW w:w="5393" w:type="dxa"/>
          </w:tcPr>
          <w:p w14:paraId="7732842E" w14:textId="77777777" w:rsidR="008D3C2C" w:rsidRDefault="008D3C2C" w:rsidP="008D3C2C">
            <w:r w:rsidRPr="0030223E">
              <w:rPr>
                <w:b/>
              </w:rPr>
              <w:t>Aim</w:t>
            </w:r>
            <w:r>
              <w:t>: T</w:t>
            </w:r>
            <w:r w:rsidRPr="008D3C2C">
              <w:t xml:space="preserve">o evaluate the effect of dietary and exercise advice among pregnant women of normal body mass index (BMI), on pregnancy and birth outcomes. </w:t>
            </w:r>
          </w:p>
          <w:p w14:paraId="050AFE0A" w14:textId="77777777" w:rsidR="008D3C2C" w:rsidRDefault="008D3C2C" w:rsidP="008D3C2C">
            <w:r w:rsidRPr="0030223E">
              <w:rPr>
                <w:b/>
              </w:rPr>
              <w:t>Population</w:t>
            </w:r>
            <w:r>
              <w:t xml:space="preserve">: </w:t>
            </w:r>
            <w:r w:rsidRPr="008D3C2C">
              <w:t>Pregnant women with a body mass index in the healthy weight range (</w:t>
            </w:r>
            <w:r>
              <w:t xml:space="preserve">BMI </w:t>
            </w:r>
            <w:r w:rsidRPr="008D3C2C">
              <w:t xml:space="preserve">18.5-24.9). </w:t>
            </w:r>
          </w:p>
          <w:p w14:paraId="795E9DC5" w14:textId="339A3E11" w:rsidR="005E2F62" w:rsidRPr="0030223E" w:rsidRDefault="008D3C2C" w:rsidP="0030223E">
            <w:r w:rsidRPr="0030223E">
              <w:rPr>
                <w:b/>
              </w:rPr>
              <w:t>Intervention</w:t>
            </w:r>
            <w:r>
              <w:t xml:space="preserve">: </w:t>
            </w:r>
            <w:r w:rsidRPr="008D3C2C">
              <w:t>The dietitian-led dietary and lifestyle intervention over the course of pregnancy was based on the Aus</w:t>
            </w:r>
            <w:r w:rsidR="005E2F62">
              <w:t xml:space="preserve">tralian Guide to Healthy Eating, </w:t>
            </w:r>
            <w:r w:rsidR="005E2F62" w:rsidRPr="0030223E">
              <w:t>while specifically maintaining a balance of carbohydrates, fat and protein, and encouraging women to reduce their intake of energy dense and non-core foods high in refined carbohydrates and saturated fats. Women were advised to increase their intake of fibre, and to consume two servings of fruit, five servings of vegetables and three servings of dairy each day</w:t>
            </w:r>
            <w:r w:rsidR="00317B34">
              <w:t>.</w:t>
            </w:r>
          </w:p>
          <w:p w14:paraId="32A07E09" w14:textId="39F62946" w:rsidR="008D3C2C" w:rsidRPr="0030223E" w:rsidRDefault="00317B34" w:rsidP="00317B34">
            <w:r w:rsidRPr="00317B34">
              <w:t>The initial planning session with a research dietitian provided women with written dietary and activity</w:t>
            </w:r>
            <w:r>
              <w:t xml:space="preserve"> </w:t>
            </w:r>
            <w:r w:rsidRPr="00317B34">
              <w:t>information, an individual diet and physical activity plan, recipe book and example menu plans.</w:t>
            </w:r>
            <w:r>
              <w:t xml:space="preserve"> </w:t>
            </w:r>
            <w:r w:rsidRPr="00317B34">
              <w:t>Women were encouraged to set achievable goals for dietary and exercise change, supported to make</w:t>
            </w:r>
            <w:r>
              <w:t xml:space="preserve"> </w:t>
            </w:r>
            <w:r w:rsidRPr="00317B34">
              <w:t>these lifestyle changes and to self-monitor their progress, using a SMART goals approach.</w:t>
            </w:r>
          </w:p>
        </w:tc>
        <w:tc>
          <w:tcPr>
            <w:tcW w:w="5664" w:type="dxa"/>
          </w:tcPr>
          <w:p w14:paraId="2D7C7480" w14:textId="77777777" w:rsidR="008D3C2C" w:rsidRDefault="008D3C2C" w:rsidP="008D3C2C">
            <w:r>
              <w:t>Intervention vs control:</w:t>
            </w:r>
          </w:p>
          <w:p w14:paraId="11FF4170" w14:textId="7D496364" w:rsidR="009D2A4B" w:rsidRDefault="009D2A4B" w:rsidP="0030223E">
            <w:pPr>
              <w:pStyle w:val="bullet"/>
            </w:pPr>
            <w:r>
              <w:t>Gestational weight gain: 11.32±3.96 vs 11.70±3.78</w:t>
            </w:r>
          </w:p>
          <w:p w14:paraId="0376F5EF" w14:textId="77777777" w:rsidR="009D2A4B" w:rsidRDefault="009D2A4B" w:rsidP="0030223E">
            <w:pPr>
              <w:pStyle w:val="bullet"/>
            </w:pPr>
            <w:r>
              <w:t>Weight gain exceeding IOM guidelines: 28/316 vs 41/313</w:t>
            </w:r>
          </w:p>
          <w:p w14:paraId="4879143F" w14:textId="75C501C0" w:rsidR="009D2A4B" w:rsidRDefault="009D2A4B" w:rsidP="0030223E">
            <w:pPr>
              <w:pStyle w:val="bullet"/>
            </w:pPr>
            <w:r>
              <w:t>Gestational diabetes: 39/316 vs 39/313</w:t>
            </w:r>
          </w:p>
          <w:p w14:paraId="05C57605" w14:textId="77777777" w:rsidR="009D2A4B" w:rsidRDefault="009D2A4B" w:rsidP="0030223E">
            <w:pPr>
              <w:pStyle w:val="bullet"/>
            </w:pPr>
            <w:r>
              <w:t>Gestational hypertension: 5/316 vs 4/313</w:t>
            </w:r>
          </w:p>
          <w:p w14:paraId="7F5479B0" w14:textId="44AD53EA" w:rsidR="009D2A4B" w:rsidRDefault="009D2A4B" w:rsidP="0030223E">
            <w:pPr>
              <w:pStyle w:val="bullet"/>
            </w:pPr>
            <w:r>
              <w:t>Pre-eclampsia: 6/316 vs 9/313</w:t>
            </w:r>
          </w:p>
          <w:p w14:paraId="21E12354" w14:textId="327B1B61" w:rsidR="009D2A4B" w:rsidRDefault="009D2A4B" w:rsidP="0030223E">
            <w:pPr>
              <w:pStyle w:val="bullet"/>
            </w:pPr>
            <w:r>
              <w:t>Caesarean section: 41/316 vs 45/313</w:t>
            </w:r>
          </w:p>
          <w:p w14:paraId="37D638BF" w14:textId="676172D8" w:rsidR="009D2A4B" w:rsidRDefault="009D2A4B" w:rsidP="0030223E">
            <w:pPr>
              <w:pStyle w:val="bullet"/>
            </w:pPr>
            <w:r>
              <w:t>Preterm birth: 23/316 vs 20/313</w:t>
            </w:r>
          </w:p>
          <w:p w14:paraId="6E7FAED1" w14:textId="77777777" w:rsidR="008D3C2C" w:rsidRDefault="008853CC" w:rsidP="0030223E">
            <w:pPr>
              <w:pStyle w:val="bullet"/>
            </w:pPr>
            <w:r>
              <w:t>Macrosomia (&gt;4,000g): 24/316 vs 26/313</w:t>
            </w:r>
          </w:p>
          <w:p w14:paraId="3AA3073E" w14:textId="58958C62" w:rsidR="009D2A4B" w:rsidRDefault="009D2A4B" w:rsidP="0030223E">
            <w:pPr>
              <w:pStyle w:val="bullet"/>
            </w:pPr>
            <w:r>
              <w:t>Low birthweight: 20/316 vs 15/313</w:t>
            </w:r>
          </w:p>
          <w:p w14:paraId="379A36C5" w14:textId="77777777" w:rsidR="008853CC" w:rsidRDefault="008853CC" w:rsidP="0030223E">
            <w:pPr>
              <w:pStyle w:val="bullet"/>
            </w:pPr>
            <w:r>
              <w:t>Large for gestational age: 22/316 vs 25/313</w:t>
            </w:r>
          </w:p>
          <w:p w14:paraId="520FDD16" w14:textId="7F3DE573" w:rsidR="009D2A4B" w:rsidRPr="008D3C2C" w:rsidRDefault="009D2A4B" w:rsidP="0030223E">
            <w:pPr>
              <w:pStyle w:val="bullet"/>
            </w:pPr>
            <w:r>
              <w:t>Small for gestational age: 21/</w:t>
            </w:r>
            <w:r w:rsidR="008853CC">
              <w:t xml:space="preserve">316 vs </w:t>
            </w:r>
            <w:r>
              <w:t>25/313</w:t>
            </w:r>
          </w:p>
        </w:tc>
      </w:tr>
      <w:tr w:rsidR="00973D70" w:rsidRPr="00D00A59" w14:paraId="7ED1E08B" w14:textId="77777777" w:rsidTr="0030223E">
        <w:trPr>
          <w:cantSplit/>
        </w:trPr>
        <w:tc>
          <w:tcPr>
            <w:tcW w:w="1417" w:type="dxa"/>
          </w:tcPr>
          <w:p w14:paraId="335E637E" w14:textId="1772426C" w:rsidR="00973D70" w:rsidRPr="00D00A59" w:rsidRDefault="00973D70" w:rsidP="00E70A06">
            <w:r w:rsidRPr="00654EEB">
              <w:t>Gallagher et al 2018</w:t>
            </w:r>
            <w:r w:rsidRPr="00D00A59">
              <w:fldChar w:fldCharType="begin"/>
            </w:r>
            <w:r w:rsidR="002747EA">
              <w:instrText xml:space="preserve"> ADDIN EN.CITE &lt;EndNote&gt;&lt;Cite&gt;&lt;Author&gt;Gallagher&lt;/Author&gt;&lt;Year&gt;2018&lt;/Year&gt;&lt;RecNum&gt;744&lt;/RecNum&gt;&lt;DisplayText&gt;&lt;style face="superscript" font="Trebuchet MS" size="9"&gt;502&lt;/style&gt;&lt;/DisplayText&gt;&lt;record&gt;&lt;rec-number&gt;744&lt;/rec-number&gt;&lt;foreign-keys&gt;&lt;key app="EN" db-id="exvasrfx2dtraoesasxp2szsxa2df502592x" timestamp="1541467879"&gt;744&lt;/key&gt;&lt;key app="ENWeb" db-id=""&gt;0&lt;/key&gt;&lt;/foreign-keys&gt;&lt;ref-type name="Journal Article"&gt;17&lt;/ref-type&gt;&lt;contributors&gt;&lt;authors&gt;&lt;author&gt;Gallagher, Dympna&lt;/author&gt;&lt;author&gt;Rosenn, Barak&lt;/author&gt;&lt;author&gt;Toro-Ramos, Tatiana&lt;/author&gt;&lt;author&gt;Paley, Charles&lt;/author&gt;&lt;author&gt;Gidwani, Sonia&lt;/author&gt;&lt;author&gt;Horowitz, Michelle&lt;/author&gt;&lt;author&gt;Crane, Janet&lt;/author&gt;&lt;author&gt;Lin, Susan&lt;/author&gt;&lt;author&gt;Thornton, John C.&lt;/author&gt;&lt;author&gt;Pi-Sunyer, Xavier&lt;/author&gt;&lt;/authors&gt;&lt;/contributors&gt;&lt;titles&gt;&lt;title&gt;Greater Neonatal Fat-Free Mass and Similar Fat Mass Following a Randomized Trial to Control Excess Gestational Weight Gain&lt;/title&gt;&lt;secondary-title&gt;Obesity&lt;/secondary-title&gt;&lt;/titles&gt;&lt;periodical&gt;&lt;full-title&gt;Obesity&lt;/full-title&gt;&lt;/periodical&gt;&lt;pages&gt;578-587&lt;/pages&gt;&lt;volume&gt;26&lt;/volume&gt;&lt;number&gt;3&lt;/number&gt;&lt;section&gt;578&lt;/section&gt;&lt;dates&gt;&lt;year&gt;2018&lt;/year&gt;&lt;/dates&gt;&lt;isbn&gt;19307381&lt;/isbn&gt;&lt;urls&gt;&lt;/urls&gt;&lt;electronic-resource-num&gt;10.1002/oby.22079&lt;/electronic-resource-num&gt;&lt;/record&gt;&lt;/Cite&gt;&lt;/EndNote&gt;</w:instrText>
            </w:r>
            <w:r w:rsidRPr="00D00A59">
              <w:fldChar w:fldCharType="separate"/>
            </w:r>
            <w:r w:rsidR="002747EA" w:rsidRPr="002747EA">
              <w:rPr>
                <w:noProof/>
                <w:vertAlign w:val="superscript"/>
              </w:rPr>
              <w:t>502</w:t>
            </w:r>
            <w:r w:rsidRPr="00D00A59">
              <w:fldChar w:fldCharType="end"/>
            </w:r>
          </w:p>
          <w:p w14:paraId="471BAE44" w14:textId="77777777" w:rsidR="00973D70" w:rsidRPr="00D00A59" w:rsidRDefault="00973D70" w:rsidP="00A62770">
            <w:pPr>
              <w:rPr>
                <w:szCs w:val="18"/>
              </w:rPr>
            </w:pPr>
            <w:r w:rsidRPr="00D00A59">
              <w:rPr>
                <w:szCs w:val="18"/>
              </w:rPr>
              <w:t>LIFT</w:t>
            </w:r>
          </w:p>
          <w:p w14:paraId="0BF94A36" w14:textId="77777777" w:rsidR="00973D70" w:rsidRPr="00D00A59" w:rsidRDefault="00973D70" w:rsidP="00A62770">
            <w:pPr>
              <w:rPr>
                <w:szCs w:val="18"/>
              </w:rPr>
            </w:pPr>
            <w:r w:rsidRPr="00D00A59">
              <w:rPr>
                <w:szCs w:val="18"/>
              </w:rPr>
              <w:t>United States</w:t>
            </w:r>
          </w:p>
        </w:tc>
        <w:tc>
          <w:tcPr>
            <w:tcW w:w="1562" w:type="dxa"/>
          </w:tcPr>
          <w:p w14:paraId="75A0B57B" w14:textId="77777777" w:rsidR="00973D70" w:rsidRPr="00D00A59" w:rsidRDefault="00973D70" w:rsidP="00A75579">
            <w:pPr>
              <w:rPr>
                <w:szCs w:val="18"/>
              </w:rPr>
            </w:pPr>
            <w:r w:rsidRPr="00D00A59">
              <w:rPr>
                <w:szCs w:val="18"/>
              </w:rPr>
              <w:t>Intervention 103</w:t>
            </w:r>
          </w:p>
          <w:p w14:paraId="315F34E8" w14:textId="77777777" w:rsidR="00973D70" w:rsidRPr="00D00A59" w:rsidRDefault="00973D70" w:rsidP="00A75579">
            <w:pPr>
              <w:rPr>
                <w:szCs w:val="18"/>
              </w:rPr>
            </w:pPr>
            <w:r w:rsidRPr="00D00A59">
              <w:rPr>
                <w:szCs w:val="18"/>
              </w:rPr>
              <w:t>Control 105</w:t>
            </w:r>
          </w:p>
        </w:tc>
        <w:tc>
          <w:tcPr>
            <w:tcW w:w="5393" w:type="dxa"/>
          </w:tcPr>
          <w:p w14:paraId="2C7D80A0" w14:textId="77777777" w:rsidR="00973D70" w:rsidRPr="00D00A59" w:rsidRDefault="00973D70" w:rsidP="00A75579">
            <w:pPr>
              <w:rPr>
                <w:szCs w:val="18"/>
              </w:rPr>
            </w:pPr>
            <w:r w:rsidRPr="00D00A59">
              <w:rPr>
                <w:b/>
                <w:szCs w:val="18"/>
              </w:rPr>
              <w:t>Aim</w:t>
            </w:r>
            <w:r w:rsidRPr="00D00A59">
              <w:rPr>
                <w:szCs w:val="18"/>
              </w:rPr>
              <w:t>: To determine the effectiveness of controlling maternal gestational weight gain in the second and third trimesters on neonate body composition.</w:t>
            </w:r>
          </w:p>
          <w:p w14:paraId="65BC3385" w14:textId="77777777" w:rsidR="00973D70" w:rsidRPr="00D00A59" w:rsidRDefault="00973D70" w:rsidP="00A75579">
            <w:pPr>
              <w:rPr>
                <w:szCs w:val="18"/>
              </w:rPr>
            </w:pPr>
            <w:r w:rsidRPr="00D00A59">
              <w:rPr>
                <w:b/>
                <w:szCs w:val="18"/>
              </w:rPr>
              <w:t>Population</w:t>
            </w:r>
            <w:r w:rsidRPr="00D00A59">
              <w:rPr>
                <w:szCs w:val="18"/>
              </w:rPr>
              <w:t>: Healthy women with a singleton pregnancy, BMI ≥25 at weeks 9</w:t>
            </w:r>
            <w:r w:rsidRPr="00D00A59">
              <w:rPr>
                <w:szCs w:val="18"/>
                <w:vertAlign w:val="superscript"/>
              </w:rPr>
              <w:t>0</w:t>
            </w:r>
            <w:r w:rsidRPr="00D00A59">
              <w:rPr>
                <w:szCs w:val="18"/>
              </w:rPr>
              <w:t xml:space="preserve"> to 15</w:t>
            </w:r>
            <w:r w:rsidRPr="00D00A59">
              <w:rPr>
                <w:szCs w:val="18"/>
                <w:vertAlign w:val="superscript"/>
              </w:rPr>
              <w:t>6</w:t>
            </w:r>
            <w:r w:rsidRPr="00D00A59">
              <w:rPr>
                <w:szCs w:val="18"/>
              </w:rPr>
              <w:t>.</w:t>
            </w:r>
          </w:p>
          <w:p w14:paraId="00115468" w14:textId="77777777" w:rsidR="00973D70" w:rsidRPr="00D00A59" w:rsidRDefault="00973D70" w:rsidP="00A75579">
            <w:pPr>
              <w:pStyle w:val="RCTstable"/>
              <w:rPr>
                <w:sz w:val="18"/>
                <w:szCs w:val="18"/>
              </w:rPr>
            </w:pPr>
            <w:r w:rsidRPr="00D00A59">
              <w:rPr>
                <w:b/>
                <w:sz w:val="18"/>
                <w:szCs w:val="18"/>
              </w:rPr>
              <w:t>Intervention</w:t>
            </w:r>
            <w:r w:rsidRPr="00D00A59">
              <w:rPr>
                <w:sz w:val="18"/>
                <w:szCs w:val="18"/>
              </w:rPr>
              <w:t>: Immediately following randomisation, women attended an individual 60-minute ‘Introduction’ session with a nutritionist followed by individual visits every two weeks until birth. At the first session, several “tools” were provided including a calorie book, food scale, set of measuring cups and spoons, a portable, insulated food pouch, and a pedometer</w:t>
            </w:r>
            <w:r w:rsidRPr="00D00A59">
              <w:rPr>
                <w:rFonts w:eastAsiaTheme="majorEastAsia"/>
                <w:sz w:val="18"/>
                <w:szCs w:val="18"/>
              </w:rPr>
              <w:t xml:space="preserve"> and self-monitoring was encouraged.</w:t>
            </w:r>
          </w:p>
          <w:p w14:paraId="33DFBA27" w14:textId="77777777" w:rsidR="00973D70" w:rsidRPr="00D00A59" w:rsidRDefault="00973D70" w:rsidP="00A75579">
            <w:pPr>
              <w:pStyle w:val="RCTstable"/>
              <w:rPr>
                <w:sz w:val="18"/>
                <w:szCs w:val="18"/>
              </w:rPr>
            </w:pPr>
            <w:r w:rsidRPr="00D00A59">
              <w:rPr>
                <w:sz w:val="18"/>
                <w:szCs w:val="18"/>
              </w:rPr>
              <w:t>The website of the USDA’s Center for Nutrition and Policy Promotion was used to develop the individualised meal plans for each participant, in addition to using the nutrition guidelines from the Academy of Nutrition and Dietetics. Between visits, women self-monitored diet and exercise/physical activity.</w:t>
            </w:r>
          </w:p>
          <w:p w14:paraId="28F52FA1" w14:textId="77777777" w:rsidR="00973D70" w:rsidRPr="00D00A59" w:rsidRDefault="00973D70" w:rsidP="00A75579">
            <w:pPr>
              <w:pStyle w:val="RCTstable"/>
              <w:rPr>
                <w:sz w:val="18"/>
                <w:szCs w:val="18"/>
              </w:rPr>
            </w:pPr>
            <w:r w:rsidRPr="00D00A59">
              <w:rPr>
                <w:sz w:val="18"/>
                <w:szCs w:val="18"/>
              </w:rPr>
              <w:t xml:space="preserve">During the weeks when the participant did not have an individual face-to-face meeting with the nutritionist, there were one-to-two contacts per week by telephone or email. </w:t>
            </w:r>
          </w:p>
          <w:p w14:paraId="61310336" w14:textId="77777777" w:rsidR="00973D70" w:rsidRPr="00D00A59" w:rsidRDefault="00973D70" w:rsidP="00A75579">
            <w:pPr>
              <w:rPr>
                <w:szCs w:val="18"/>
              </w:rPr>
            </w:pPr>
            <w:r w:rsidRPr="00D00A59">
              <w:rPr>
                <w:szCs w:val="18"/>
              </w:rPr>
              <w:t>Voluntary group sessions open to all intervention participants were offered once every eight weeks. A session on adapting physical activity to different seasons and related challenges during pregnancy was taught by a certified prenatal exercise specialist.</w:t>
            </w:r>
          </w:p>
        </w:tc>
        <w:tc>
          <w:tcPr>
            <w:tcW w:w="5664" w:type="dxa"/>
          </w:tcPr>
          <w:p w14:paraId="305512A6" w14:textId="77777777" w:rsidR="00973D70" w:rsidRPr="00D00A59" w:rsidRDefault="00973D70" w:rsidP="00A75579">
            <w:pPr>
              <w:rPr>
                <w:szCs w:val="18"/>
              </w:rPr>
            </w:pPr>
            <w:r w:rsidRPr="00D00A59">
              <w:rPr>
                <w:szCs w:val="18"/>
              </w:rPr>
              <w:t>Intervention vs control:</w:t>
            </w:r>
          </w:p>
          <w:p w14:paraId="4AB93096" w14:textId="77777777" w:rsidR="00973D70" w:rsidRPr="00D00A59" w:rsidRDefault="00973D70" w:rsidP="00A75579">
            <w:pPr>
              <w:pStyle w:val="bullet"/>
              <w:rPr>
                <w:szCs w:val="18"/>
              </w:rPr>
            </w:pPr>
            <w:r w:rsidRPr="00D00A59">
              <w:rPr>
                <w:szCs w:val="18"/>
              </w:rPr>
              <w:t>Gestational weight gain: 7.89±4.07 (n=94) vs 9.67±4.17 (n=93)</w:t>
            </w:r>
          </w:p>
          <w:p w14:paraId="3D89D2DE" w14:textId="77777777" w:rsidR="00973D70" w:rsidRPr="00D00A59" w:rsidRDefault="00973D70" w:rsidP="00A75579">
            <w:pPr>
              <w:pStyle w:val="bullet"/>
              <w:rPr>
                <w:szCs w:val="18"/>
              </w:rPr>
            </w:pPr>
            <w:r w:rsidRPr="00D00A59">
              <w:rPr>
                <w:szCs w:val="18"/>
              </w:rPr>
              <w:t>Caesarean section: 29/97 vs 31/99</w:t>
            </w:r>
          </w:p>
          <w:p w14:paraId="6B6B6976" w14:textId="77777777" w:rsidR="00973D70" w:rsidRPr="00D00A59" w:rsidRDefault="00973D70" w:rsidP="00A75579">
            <w:pPr>
              <w:pStyle w:val="bullet"/>
              <w:rPr>
                <w:szCs w:val="18"/>
              </w:rPr>
            </w:pPr>
            <w:r w:rsidRPr="00D00A59">
              <w:rPr>
                <w:szCs w:val="18"/>
              </w:rPr>
              <w:t>Preterm birth: 5/97 vs 7/99</w:t>
            </w:r>
          </w:p>
          <w:p w14:paraId="12B9B367" w14:textId="77777777" w:rsidR="00973D70" w:rsidRPr="00D00A59" w:rsidRDefault="00973D70" w:rsidP="00A75579">
            <w:pPr>
              <w:pStyle w:val="bullet"/>
              <w:rPr>
                <w:szCs w:val="18"/>
              </w:rPr>
            </w:pPr>
            <w:r w:rsidRPr="00D00A59">
              <w:rPr>
                <w:szCs w:val="18"/>
              </w:rPr>
              <w:t>Small for gestational age: 8/97 vs 13/99</w:t>
            </w:r>
          </w:p>
          <w:p w14:paraId="792440AB" w14:textId="77777777" w:rsidR="00973D70" w:rsidRPr="00D00A59" w:rsidRDefault="00973D70" w:rsidP="00A75579">
            <w:pPr>
              <w:pStyle w:val="bullet"/>
              <w:rPr>
                <w:szCs w:val="18"/>
              </w:rPr>
            </w:pPr>
            <w:r w:rsidRPr="00D00A59">
              <w:rPr>
                <w:szCs w:val="18"/>
              </w:rPr>
              <w:t>Large for gestational age: 10/97 vs 6/99</w:t>
            </w:r>
          </w:p>
        </w:tc>
      </w:tr>
      <w:tr w:rsidR="00973D70" w:rsidRPr="00D00A59" w14:paraId="39C19C8E" w14:textId="77777777" w:rsidTr="0030223E">
        <w:trPr>
          <w:cantSplit/>
        </w:trPr>
        <w:tc>
          <w:tcPr>
            <w:tcW w:w="1417" w:type="dxa"/>
          </w:tcPr>
          <w:p w14:paraId="54A04196" w14:textId="0FF7EEED" w:rsidR="00973D70" w:rsidRPr="00D00A59" w:rsidRDefault="00973D70" w:rsidP="00A62770">
            <w:pPr>
              <w:rPr>
                <w:szCs w:val="18"/>
              </w:rPr>
            </w:pPr>
            <w:r w:rsidRPr="00654EEB">
              <w:t>Guelinckx et al 2010</w:t>
            </w:r>
            <w:r w:rsidRPr="00D00A59">
              <w:rPr>
                <w:szCs w:val="18"/>
              </w:rPr>
              <w:fldChar w:fldCharType="begin"/>
            </w:r>
            <w:r w:rsidR="002747EA">
              <w:rPr>
                <w:szCs w:val="18"/>
              </w:rPr>
              <w:instrText xml:space="preserve"> ADDIN EN.CITE &lt;EndNote&gt;&lt;Cite&gt;&lt;Author&gt;Guelinckx&lt;/Author&gt;&lt;Year&gt;2010&lt;/Year&gt;&lt;RecNum&gt;722&lt;/RecNum&gt;&lt;DisplayText&gt;&lt;style face="superscript" font="Trebuchet MS" size="9"&gt;511&lt;/style&gt;&lt;/DisplayText&gt;&lt;record&gt;&lt;rec-number&gt;722&lt;/rec-number&gt;&lt;foreign-keys&gt;&lt;key app="EN" db-id="exvasrfx2dtraoesasxp2szsxa2df502592x" timestamp="1541464777"&gt;722&lt;/key&gt;&lt;/foreign-keys&gt;&lt;ref-type name="Journal Article"&gt;17&lt;/ref-type&gt;&lt;contributors&gt;&lt;authors&gt;&lt;author&gt;Guelinckx, I.&lt;/author&gt;&lt;author&gt;Devlieger, R.&lt;/author&gt;&lt;author&gt;Mullie, P.&lt;/author&gt;&lt;author&gt;Vansant, G.&lt;/author&gt;&lt;/authors&gt;&lt;/contributors&gt;&lt;auth-address&gt;Department of Nutrition-Public Health Medicine, LFoRCe, Catholic University Leuven, Leuven, Belgium. isabelle.guelinckx@med.kuleuven.be&lt;/auth-address&gt;&lt;titles&gt;&lt;title&gt;Effect of lifestyle intervention on dietary habits, physical activity, and gestational weight gain in obese pregnant women: a randomized controlled trial&lt;/title&gt;&lt;secondary-title&gt;Am J Clin Nutr&lt;/secondary-title&gt;&lt;/titles&gt;&lt;periodical&gt;&lt;full-title&gt;Am J Clin Nutr&lt;/full-title&gt;&lt;/periodical&gt;&lt;pages&gt;373-80&lt;/pages&gt;&lt;volume&gt;91&lt;/volume&gt;&lt;number&gt;2&lt;/number&gt;&lt;edition&gt;2009/12/04&lt;/edition&gt;&lt;keywords&gt;&lt;keyword&gt;Adult&lt;/keyword&gt;&lt;keyword&gt;Behavior Therapy/*methods&lt;/keyword&gt;&lt;keyword&gt;Feeding Behavior/physiology&lt;/keyword&gt;&lt;keyword&gt;Female&lt;/keyword&gt;&lt;keyword&gt;Humans&lt;/keyword&gt;&lt;keyword&gt;Infant, Newborn&lt;/keyword&gt;&lt;keyword&gt;*Life Style&lt;/keyword&gt;&lt;keyword&gt;Motor Activity/physiology&lt;/keyword&gt;&lt;keyword&gt;Obesity/physiopathology/*therapy&lt;/keyword&gt;&lt;keyword&gt;Pregnancy&lt;/keyword&gt;&lt;keyword&gt;Pregnancy Complications/physiopathology/*therapy&lt;/keyword&gt;&lt;keyword&gt;Prenatal Nutritional Physiological Phenomena&lt;/keyword&gt;&lt;keyword&gt;Weight Gain/*physiology&lt;/keyword&gt;&lt;/keywords&gt;&lt;dates&gt;&lt;year&gt;2010&lt;/year&gt;&lt;pub-dates&gt;&lt;date&gt;Feb&lt;/date&gt;&lt;/pub-dates&gt;&lt;/dates&gt;&lt;isbn&gt;1938-3207 (Electronic)&amp;#xD;0002-9165 (Linking)&lt;/isbn&gt;&lt;accession-num&gt;19955397&lt;/accession-num&gt;&lt;urls&gt;&lt;related-urls&gt;&lt;url&gt;https://www.ncbi.nlm.nih.gov/pubmed/19955397&lt;/url&gt;&lt;/related-urls&gt;&lt;/urls&gt;&lt;electronic-resource-num&gt;10.3945/ajcn.2009.28166&lt;/electronic-resource-num&gt;&lt;/record&gt;&lt;/Cite&gt;&lt;/EndNote&gt;</w:instrText>
            </w:r>
            <w:r w:rsidRPr="00D00A59">
              <w:rPr>
                <w:szCs w:val="18"/>
              </w:rPr>
              <w:fldChar w:fldCharType="separate"/>
            </w:r>
            <w:r w:rsidR="002747EA" w:rsidRPr="002747EA">
              <w:rPr>
                <w:noProof/>
                <w:szCs w:val="18"/>
                <w:vertAlign w:val="superscript"/>
              </w:rPr>
              <w:t>511</w:t>
            </w:r>
            <w:r w:rsidRPr="00D00A59">
              <w:rPr>
                <w:szCs w:val="18"/>
              </w:rPr>
              <w:fldChar w:fldCharType="end"/>
            </w:r>
          </w:p>
          <w:p w14:paraId="2300F288" w14:textId="77777777" w:rsidR="00973D70" w:rsidRPr="00D00A59" w:rsidRDefault="00973D70" w:rsidP="00A62770">
            <w:pPr>
              <w:rPr>
                <w:szCs w:val="18"/>
              </w:rPr>
            </w:pPr>
            <w:r w:rsidRPr="00D00A59">
              <w:rPr>
                <w:szCs w:val="18"/>
              </w:rPr>
              <w:t>Belgium</w:t>
            </w:r>
          </w:p>
        </w:tc>
        <w:tc>
          <w:tcPr>
            <w:tcW w:w="1562" w:type="dxa"/>
          </w:tcPr>
          <w:p w14:paraId="7665197B" w14:textId="77777777" w:rsidR="00973D70" w:rsidRPr="00D00A59" w:rsidRDefault="00973D70" w:rsidP="00A75579">
            <w:pPr>
              <w:rPr>
                <w:szCs w:val="18"/>
              </w:rPr>
            </w:pPr>
            <w:r w:rsidRPr="00D00A59">
              <w:rPr>
                <w:szCs w:val="18"/>
              </w:rPr>
              <w:t>Intervention 42</w:t>
            </w:r>
          </w:p>
          <w:p w14:paraId="1F8F67DD" w14:textId="77777777" w:rsidR="00973D70" w:rsidRPr="00D00A59" w:rsidRDefault="00973D70" w:rsidP="00A75579">
            <w:pPr>
              <w:rPr>
                <w:szCs w:val="18"/>
              </w:rPr>
            </w:pPr>
            <w:r w:rsidRPr="00D00A59">
              <w:rPr>
                <w:szCs w:val="18"/>
              </w:rPr>
              <w:t>Control 43</w:t>
            </w:r>
          </w:p>
        </w:tc>
        <w:tc>
          <w:tcPr>
            <w:tcW w:w="5393" w:type="dxa"/>
          </w:tcPr>
          <w:p w14:paraId="5B905D94" w14:textId="77777777" w:rsidR="00973D70" w:rsidRPr="00D00A59" w:rsidRDefault="00973D70" w:rsidP="00A75579">
            <w:pPr>
              <w:rPr>
                <w:szCs w:val="18"/>
              </w:rPr>
            </w:pPr>
            <w:r w:rsidRPr="00D00A59">
              <w:rPr>
                <w:b/>
                <w:szCs w:val="18"/>
              </w:rPr>
              <w:t>Aim</w:t>
            </w:r>
            <w:r w:rsidRPr="00D00A59">
              <w:rPr>
                <w:szCs w:val="18"/>
              </w:rPr>
              <w:t xml:space="preserve">: to study whether a lifestyle intervention based on a brochure or on active education can improve dietary habits, increase physical activity (PA), and reduce GWG in obese pregnant women. </w:t>
            </w:r>
          </w:p>
          <w:p w14:paraId="4C62DDDE" w14:textId="77777777" w:rsidR="00973D70" w:rsidRPr="00D00A59" w:rsidRDefault="00973D70" w:rsidP="00A75579">
            <w:pPr>
              <w:rPr>
                <w:szCs w:val="18"/>
              </w:rPr>
            </w:pPr>
            <w:r w:rsidRPr="00D00A59">
              <w:rPr>
                <w:b/>
                <w:szCs w:val="18"/>
              </w:rPr>
              <w:t>Population</w:t>
            </w:r>
            <w:r w:rsidRPr="00D00A59">
              <w:rPr>
                <w:szCs w:val="18"/>
              </w:rPr>
              <w:t>: Pregnant women with BMI &gt;29.</w:t>
            </w:r>
          </w:p>
          <w:p w14:paraId="07E66518" w14:textId="77777777" w:rsidR="00973D70" w:rsidRPr="00D00A59" w:rsidRDefault="00973D70" w:rsidP="00A75579">
            <w:pPr>
              <w:rPr>
                <w:szCs w:val="18"/>
              </w:rPr>
            </w:pPr>
            <w:r w:rsidRPr="00D00A59">
              <w:rPr>
                <w:b/>
                <w:szCs w:val="18"/>
              </w:rPr>
              <w:t>Intervention</w:t>
            </w:r>
            <w:r w:rsidRPr="00D00A59">
              <w:rPr>
                <w:szCs w:val="18"/>
              </w:rPr>
              <w:t>: The intervention group received a brochure with nutritional advice and lifestyle education from a nutritionist in three group sessions scheduled at 15, 20, and 32 weeks. The sessions provided women with recommendations on a balanced, healthy diet, based on the official National Dietary Recommendations (9–11% of the energy should come from proteins, 30–35% from fat, and 50–55% from carbohydrates). The dietary intervention aimed at limiting the intake of energy-dense foods by substituting them with healthier alternatives, increasing low-fat dairy products, increasing whole-wheat grains, and reducing saturated fatty acids. Moreover, more general topics such as energy balance, body composition, Nutrition Facts Labels, and how to increase physical activity were discussed.</w:t>
            </w:r>
          </w:p>
        </w:tc>
        <w:tc>
          <w:tcPr>
            <w:tcW w:w="5664" w:type="dxa"/>
          </w:tcPr>
          <w:p w14:paraId="2CC0FC39" w14:textId="77777777" w:rsidR="00973D70" w:rsidRPr="00D00A59" w:rsidRDefault="00973D70" w:rsidP="00A75579">
            <w:pPr>
              <w:rPr>
                <w:szCs w:val="18"/>
              </w:rPr>
            </w:pPr>
            <w:r w:rsidRPr="00D00A59">
              <w:rPr>
                <w:szCs w:val="18"/>
              </w:rPr>
              <w:t>Intervention vs control:</w:t>
            </w:r>
          </w:p>
          <w:p w14:paraId="0298DA85" w14:textId="77777777" w:rsidR="00973D70" w:rsidRPr="00D00A59" w:rsidRDefault="00973D70" w:rsidP="00A75579">
            <w:pPr>
              <w:pStyle w:val="bullet"/>
              <w:rPr>
                <w:szCs w:val="18"/>
              </w:rPr>
            </w:pPr>
            <w:r w:rsidRPr="00D00A59">
              <w:rPr>
                <w:szCs w:val="18"/>
              </w:rPr>
              <w:t>Gestational weight gain: 9.8±7.6 vs 10.6±6.9</w:t>
            </w:r>
          </w:p>
          <w:p w14:paraId="3D03E28E" w14:textId="77777777" w:rsidR="00973D70" w:rsidRPr="00D00A59" w:rsidRDefault="00973D70" w:rsidP="00A75579">
            <w:pPr>
              <w:pStyle w:val="bullet"/>
              <w:rPr>
                <w:szCs w:val="18"/>
              </w:rPr>
            </w:pPr>
            <w:r w:rsidRPr="00D00A59">
              <w:rPr>
                <w:szCs w:val="18"/>
              </w:rPr>
              <w:t>Gestational hypertension: 18/42 vs 14/43</w:t>
            </w:r>
          </w:p>
          <w:p w14:paraId="59172AF1" w14:textId="77777777" w:rsidR="00973D70" w:rsidRPr="00D00A59" w:rsidRDefault="00973D70" w:rsidP="00A75579">
            <w:pPr>
              <w:pStyle w:val="bullet"/>
              <w:rPr>
                <w:szCs w:val="18"/>
              </w:rPr>
            </w:pPr>
            <w:r w:rsidRPr="00D00A59">
              <w:rPr>
                <w:szCs w:val="18"/>
              </w:rPr>
              <w:t>Pre-eclampsia: 2/42 vs 1/43</w:t>
            </w:r>
          </w:p>
          <w:p w14:paraId="68D749B9" w14:textId="77777777" w:rsidR="00973D70" w:rsidRPr="00D00A59" w:rsidRDefault="00973D70" w:rsidP="00A75579">
            <w:pPr>
              <w:pStyle w:val="bullet"/>
              <w:rPr>
                <w:szCs w:val="18"/>
              </w:rPr>
            </w:pPr>
            <w:r w:rsidRPr="00D00A59">
              <w:rPr>
                <w:szCs w:val="18"/>
              </w:rPr>
              <w:t>Caesarean section: 11/42 vs 7/43</w:t>
            </w:r>
          </w:p>
          <w:p w14:paraId="263426CF" w14:textId="77777777" w:rsidR="00973D70" w:rsidRPr="00D00A59" w:rsidRDefault="00973D70" w:rsidP="00A75579">
            <w:pPr>
              <w:pStyle w:val="bullet"/>
              <w:rPr>
                <w:szCs w:val="18"/>
              </w:rPr>
            </w:pPr>
            <w:r w:rsidRPr="00D00A59">
              <w:rPr>
                <w:szCs w:val="18"/>
              </w:rPr>
              <w:t>Macrosomia (&gt;4000 g): 5/42 vs 3/43</w:t>
            </w:r>
          </w:p>
        </w:tc>
      </w:tr>
      <w:tr w:rsidR="00973D70" w:rsidRPr="00D00A59" w14:paraId="382A4884" w14:textId="77777777" w:rsidTr="0030223E">
        <w:trPr>
          <w:cantSplit/>
        </w:trPr>
        <w:tc>
          <w:tcPr>
            <w:tcW w:w="1417" w:type="dxa"/>
          </w:tcPr>
          <w:p w14:paraId="539FC6C1" w14:textId="7BC5191A" w:rsidR="00973D70" w:rsidRPr="00D00A59" w:rsidRDefault="00973D70" w:rsidP="00A62770">
            <w:r w:rsidRPr="00D00A59">
              <w:rPr>
                <w:noProof/>
              </w:rPr>
              <w:t>Harrison et al 2013;</w:t>
            </w:r>
            <w:r w:rsidRPr="00D00A59">
              <w:rPr>
                <w:noProof/>
              </w:rPr>
              <w:fldChar w:fldCharType="begin"/>
            </w:r>
            <w:r w:rsidR="002747EA">
              <w:rPr>
                <w:noProof/>
              </w:rPr>
              <w:instrText xml:space="preserve"> ADDIN EN.CITE &lt;EndNote&gt;&lt;Cite&gt;&lt;Author&gt;Harrison&lt;/Author&gt;&lt;Year&gt;2013&lt;/Year&gt;&lt;RecNum&gt;725&lt;/RecNum&gt;&lt;DisplayText&gt;&lt;style face="superscript" font="Trebuchet MS" size="9"&gt;520&lt;/style&gt;&lt;/DisplayText&gt;&lt;record&gt;&lt;rec-number&gt;725&lt;/rec-number&gt;&lt;foreign-keys&gt;&lt;key app="EN" db-id="exvasrfx2dtraoesasxp2szsxa2df502592x" timestamp="1541465050"&gt;725&lt;/key&gt;&lt;/foreign-keys&gt;&lt;ref-type name="Journal Article"&gt;17&lt;/ref-type&gt;&lt;contributors&gt;&lt;authors&gt;&lt;author&gt;Harrison, C. L.&lt;/author&gt;&lt;author&gt;Lombard, C. B.&lt;/author&gt;&lt;author&gt;Strauss, B. J.&lt;/author&gt;&lt;author&gt;Teede, H. J.&lt;/author&gt;&lt;/authors&gt;&lt;/contributors&gt;&lt;auth-address&gt;Women&amp;apos;s Reproductive Research unit, School of Public Health and Preventive Medicine, Monash University, Clayton, Victoria, Australia.&lt;/auth-address&gt;&lt;titles&gt;&lt;title&gt;Optimizing healthy gestational weight gain in women at high risk of gestational diabetes: a randomized controlled trial&lt;/title&gt;&lt;secondary-title&gt;Obesity (Silver Spring)&lt;/secondary-title&gt;&lt;/titles&gt;&lt;periodical&gt;&lt;full-title&gt;Obesity (Silver Spring)&lt;/full-title&gt;&lt;/periodical&gt;&lt;pages&gt;904-9&lt;/pages&gt;&lt;volume&gt;21&lt;/volume&gt;&lt;number&gt;5&lt;/number&gt;&lt;edition&gt;2013/06/21&lt;/edition&gt;&lt;keywords&gt;&lt;keyword&gt;Adult&lt;/keyword&gt;&lt;keyword&gt;*Body Mass Index&lt;/keyword&gt;&lt;keyword&gt;Diabetes, Gestational/epidemiology/*prevention &amp;amp; control&lt;/keyword&gt;&lt;keyword&gt;Female&lt;/keyword&gt;&lt;keyword&gt;Humans&lt;/keyword&gt;&lt;keyword&gt;*Life Style&lt;/keyword&gt;&lt;keyword&gt;Motor Activity&lt;/keyword&gt;&lt;keyword&gt;Obesity/complications/therapy&lt;/keyword&gt;&lt;keyword&gt;Pregnancy&lt;/keyword&gt;&lt;keyword&gt;Prenatal Care&lt;/keyword&gt;&lt;keyword&gt;Risk Factors&lt;/keyword&gt;&lt;keyword&gt;*Walking&lt;/keyword&gt;&lt;keyword&gt;*Weight Gain&lt;/keyword&gt;&lt;/keywords&gt;&lt;dates&gt;&lt;year&gt;2013&lt;/year&gt;&lt;pub-dates&gt;&lt;date&gt;May&lt;/date&gt;&lt;/pub-dates&gt;&lt;/dates&gt;&lt;isbn&gt;1930-739X (Electronic)&amp;#xD;1930-7381 (Linking)&lt;/isbn&gt;&lt;accession-num&gt;23784892&lt;/accession-num&gt;&lt;urls&gt;&lt;related-urls&gt;&lt;url&gt;https://www.ncbi.nlm.nih.gov/pubmed/23784892&lt;/url&gt;&lt;/related-urls&gt;&lt;/urls&gt;&lt;electronic-resource-num&gt;10.1002/oby.20163&lt;/electronic-resource-num&gt;&lt;/record&gt;&lt;/Cite&gt;&lt;/EndNote&gt;</w:instrText>
            </w:r>
            <w:r w:rsidRPr="00D00A59">
              <w:rPr>
                <w:noProof/>
              </w:rPr>
              <w:fldChar w:fldCharType="separate"/>
            </w:r>
            <w:r w:rsidR="002747EA" w:rsidRPr="002747EA">
              <w:rPr>
                <w:noProof/>
                <w:vertAlign w:val="superscript"/>
              </w:rPr>
              <w:t>520</w:t>
            </w:r>
            <w:r w:rsidRPr="00D00A59">
              <w:rPr>
                <w:noProof/>
              </w:rPr>
              <w:fldChar w:fldCharType="end"/>
            </w:r>
            <w:r w:rsidRPr="00D00A59">
              <w:rPr>
                <w:noProof/>
              </w:rPr>
              <w:t xml:space="preserve"> Harrison et al 2014</w:t>
            </w:r>
            <w:r w:rsidRPr="00D00A59">
              <w:fldChar w:fldCharType="begin"/>
            </w:r>
            <w:r w:rsidR="002747EA">
              <w:instrText xml:space="preserve"> ADDIN EN.CITE &lt;EndNote&gt;&lt;Cite&gt;&lt;Author&gt;Harrison&lt;/Author&gt;&lt;Year&gt;2014&lt;/Year&gt;&lt;RecNum&gt;1098&lt;/RecNum&gt;&lt;DisplayText&gt;&lt;style face="superscript" font="Trebuchet MS" size="9"&gt;545&lt;/style&gt;&lt;/DisplayText&gt;&lt;record&gt;&lt;rec-number&gt;1098&lt;/rec-number&gt;&lt;foreign-keys&gt;&lt;key app="EN" db-id="exvasrfx2dtraoesasxp2szsxa2df502592x" timestamp="1552947077"&gt;1098&lt;/key&gt;&lt;/foreign-keys&gt;&lt;ref-type name="Journal Article"&gt;17&lt;/ref-type&gt;&lt;contributors&gt;&lt;authors&gt;&lt;author&gt;Harrison, C. L.&lt;/author&gt;&lt;author&gt;Lombard, C. B.&lt;/author&gt;&lt;author&gt;Teede, H. J.&lt;/author&gt;&lt;/authors&gt;&lt;/contributors&gt;&lt;titles&gt;&lt;title&gt;Limiting postpartum weight retention through early antenatal intervention: the HeLP-her randomised controlled trial&lt;/title&gt;&lt;secondary-title&gt;Int J Behav Nutr Phys Act&lt;/secondary-title&gt;&lt;/titles&gt;&lt;periodical&gt;&lt;full-title&gt;Int J Behav Nutr Phys Act&lt;/full-title&gt;&lt;/periodical&gt;&lt;pages&gt;134&lt;/pages&gt;&lt;volume&gt;11&lt;/volume&gt;&lt;edition&gt;2014/11/02&lt;/edition&gt;&lt;keywords&gt;&lt;keyword&gt;Adult&lt;/keyword&gt;&lt;keyword&gt;Body Mass Index&lt;/keyword&gt;&lt;keyword&gt;Diabetes, Gestational&lt;/keyword&gt;&lt;keyword&gt;Diet&lt;/keyword&gt;&lt;keyword&gt;Female&lt;/keyword&gt;&lt;keyword&gt;*Health Behavior&lt;/keyword&gt;&lt;keyword&gt;Humans&lt;/keyword&gt;&lt;keyword&gt;Life Style&lt;/keyword&gt;&lt;keyword&gt;Motor Activity&lt;/keyword&gt;&lt;keyword&gt;Obesity/prevention &amp;amp; control&lt;/keyword&gt;&lt;keyword&gt;Overweight/prevention &amp;amp; control&lt;/keyword&gt;&lt;keyword&gt;*Postpartum Period&lt;/keyword&gt;&lt;keyword&gt;Pregnancy&lt;/keyword&gt;&lt;keyword&gt;Prenatal Care&lt;/keyword&gt;&lt;keyword&gt;Risk Factors&lt;/keyword&gt;&lt;keyword&gt;Surveys and Questionnaires&lt;/keyword&gt;&lt;keyword&gt;Treatment Outcome&lt;/keyword&gt;&lt;keyword&gt;*Weight Gain&lt;/keyword&gt;&lt;/keywords&gt;&lt;dates&gt;&lt;year&gt;2014&lt;/year&gt;&lt;pub-dates&gt;&lt;date&gt;Oct 31&lt;/date&gt;&lt;/pub-dates&gt;&lt;/dates&gt;&lt;isbn&gt;1479-5868 (Electronic)&amp;#xD;1479-5868 (Linking)&lt;/isbn&gt;&lt;accession-num&gt;25358909&lt;/accession-num&gt;&lt;urls&gt;&lt;related-urls&gt;&lt;url&gt;https://www.ncbi.nlm.nih.gov/pubmed/25358909&lt;/url&gt;&lt;/related-urls&gt;&lt;/urls&gt;&lt;custom2&gt;PMC4221718&lt;/custom2&gt;&lt;electronic-resource-num&gt;10.1186/s12966-014-0134-8&lt;/electronic-resource-num&gt;&lt;/record&gt;&lt;/Cite&gt;&lt;/EndNote&gt;</w:instrText>
            </w:r>
            <w:r w:rsidRPr="00D00A59">
              <w:fldChar w:fldCharType="separate"/>
            </w:r>
            <w:r w:rsidR="002747EA" w:rsidRPr="002747EA">
              <w:rPr>
                <w:noProof/>
                <w:vertAlign w:val="superscript"/>
              </w:rPr>
              <w:t>545</w:t>
            </w:r>
            <w:r w:rsidRPr="00D00A59">
              <w:fldChar w:fldCharType="end"/>
            </w:r>
          </w:p>
          <w:p w14:paraId="3398CBC8" w14:textId="77777777" w:rsidR="00973D70" w:rsidRPr="00D00A59" w:rsidRDefault="00973D70" w:rsidP="00A62770">
            <w:pPr>
              <w:rPr>
                <w:szCs w:val="18"/>
              </w:rPr>
            </w:pPr>
            <w:r w:rsidRPr="00D00A59">
              <w:rPr>
                <w:szCs w:val="18"/>
              </w:rPr>
              <w:t>Australia</w:t>
            </w:r>
          </w:p>
        </w:tc>
        <w:tc>
          <w:tcPr>
            <w:tcW w:w="1562" w:type="dxa"/>
          </w:tcPr>
          <w:p w14:paraId="07CE8031" w14:textId="77777777" w:rsidR="00973D70" w:rsidRPr="00D00A59" w:rsidRDefault="00973D70" w:rsidP="00A75579">
            <w:pPr>
              <w:rPr>
                <w:szCs w:val="18"/>
              </w:rPr>
            </w:pPr>
            <w:r w:rsidRPr="00D00A59">
              <w:rPr>
                <w:szCs w:val="18"/>
              </w:rPr>
              <w:t>Intervention 121</w:t>
            </w:r>
          </w:p>
          <w:p w14:paraId="181884B0" w14:textId="77777777" w:rsidR="00973D70" w:rsidRPr="00D00A59" w:rsidRDefault="00973D70" w:rsidP="00A75579">
            <w:pPr>
              <w:rPr>
                <w:szCs w:val="18"/>
              </w:rPr>
            </w:pPr>
            <w:r w:rsidRPr="00D00A59">
              <w:rPr>
                <w:szCs w:val="18"/>
              </w:rPr>
              <w:t>Control 107</w:t>
            </w:r>
          </w:p>
        </w:tc>
        <w:tc>
          <w:tcPr>
            <w:tcW w:w="5393" w:type="dxa"/>
          </w:tcPr>
          <w:p w14:paraId="7FA6FFD8" w14:textId="77777777" w:rsidR="00973D70" w:rsidRPr="00D00A59" w:rsidRDefault="00973D70" w:rsidP="00A75579">
            <w:pPr>
              <w:rPr>
                <w:szCs w:val="18"/>
              </w:rPr>
            </w:pPr>
            <w:r w:rsidRPr="00D00A59">
              <w:rPr>
                <w:b/>
                <w:szCs w:val="18"/>
              </w:rPr>
              <w:t>Aim</w:t>
            </w:r>
            <w:r w:rsidRPr="00D00A59">
              <w:rPr>
                <w:szCs w:val="18"/>
              </w:rPr>
              <w:t xml:space="preserve">: to reduce postpartum weight retention following a low-intensity, self-management intervention integrated with routine antenatal care during pregnancy. </w:t>
            </w:r>
          </w:p>
          <w:p w14:paraId="44B1EC3E" w14:textId="77777777" w:rsidR="00973D70" w:rsidRPr="00D00A59" w:rsidRDefault="00973D70" w:rsidP="00A75579">
            <w:pPr>
              <w:rPr>
                <w:szCs w:val="18"/>
              </w:rPr>
            </w:pPr>
            <w:r w:rsidRPr="00D00A59">
              <w:rPr>
                <w:b/>
                <w:szCs w:val="18"/>
              </w:rPr>
              <w:t>Population</w:t>
            </w:r>
            <w:r w:rsidRPr="00D00A59">
              <w:rPr>
                <w:szCs w:val="18"/>
              </w:rPr>
              <w:t>: Women 12-15 weeks gestation, overweight (BMI 25 or 23 kg/m</w:t>
            </w:r>
            <w:r w:rsidRPr="00D00A59">
              <w:rPr>
                <w:rFonts w:eastAsiaTheme="majorEastAsia"/>
                <w:szCs w:val="18"/>
                <w:vertAlign w:val="superscript"/>
              </w:rPr>
              <w:t>2</w:t>
            </w:r>
            <w:r w:rsidRPr="00D00A59">
              <w:rPr>
                <w:rFonts w:eastAsiaTheme="majorEastAsia"/>
                <w:szCs w:val="18"/>
              </w:rPr>
              <w:t xml:space="preserve"> </w:t>
            </w:r>
            <w:r w:rsidRPr="00D00A59">
              <w:rPr>
                <w:szCs w:val="18"/>
              </w:rPr>
              <w:t>if high-risk ethnicity [Polynesian, Asian, and African populations]) or obese (BMI ≥30 kg/m</w:t>
            </w:r>
            <w:r w:rsidRPr="00D00A59">
              <w:rPr>
                <w:rFonts w:eastAsiaTheme="majorEastAsia"/>
                <w:szCs w:val="18"/>
                <w:vertAlign w:val="superscript"/>
              </w:rPr>
              <w:t>2</w:t>
            </w:r>
            <w:r w:rsidRPr="00D00A59">
              <w:rPr>
                <w:szCs w:val="18"/>
              </w:rPr>
              <w:t>), and at increased risk for developing gestational diabetes identified by a validated risk prediction tool</w:t>
            </w:r>
          </w:p>
          <w:p w14:paraId="78C0DA37" w14:textId="77777777" w:rsidR="00973D70" w:rsidRPr="00D00A59" w:rsidRDefault="00973D70" w:rsidP="00A75579">
            <w:pPr>
              <w:rPr>
                <w:szCs w:val="18"/>
              </w:rPr>
            </w:pPr>
            <w:r w:rsidRPr="00D00A59">
              <w:rPr>
                <w:b/>
                <w:szCs w:val="18"/>
              </w:rPr>
              <w:t>Intervention</w:t>
            </w:r>
            <w:r w:rsidRPr="00D00A59">
              <w:rPr>
                <w:szCs w:val="18"/>
              </w:rPr>
              <w:t>: Four, 45-minute individual behaviour change lifestyle sessions delivered by a health coach at 14</w:t>
            </w:r>
            <w:r w:rsidRPr="00D00A59">
              <w:rPr>
                <w:rFonts w:ascii="Helvetica" w:eastAsiaTheme="majorEastAsia" w:hAnsi="Helvetica"/>
                <w:szCs w:val="18"/>
              </w:rPr>
              <w:t>–</w:t>
            </w:r>
            <w:r w:rsidRPr="00D00A59">
              <w:rPr>
                <w:szCs w:val="18"/>
              </w:rPr>
              <w:t>16, 20, 24 and 28 weeks. Content focused on pregnancy-specific healthy eating and physical activity messages as well as encouraging healthy gestational weight gain according to the IOM guidelines supported by behaviour change strategies designed to optimise lifestyle and reduce post-partum weight retention. Self-monitoring strategies included pedometers and the use of weight gain charts based on IOM recommendations for weight gain throughout pregnancy.</w:t>
            </w:r>
          </w:p>
        </w:tc>
        <w:tc>
          <w:tcPr>
            <w:tcW w:w="5664" w:type="dxa"/>
          </w:tcPr>
          <w:p w14:paraId="19806C10" w14:textId="77777777" w:rsidR="00973D70" w:rsidRPr="00D00A59" w:rsidRDefault="00973D70" w:rsidP="00A75579">
            <w:pPr>
              <w:rPr>
                <w:szCs w:val="18"/>
              </w:rPr>
            </w:pPr>
            <w:r w:rsidRPr="00D00A59">
              <w:rPr>
                <w:szCs w:val="18"/>
              </w:rPr>
              <w:t>Intervention vs control</w:t>
            </w:r>
          </w:p>
          <w:p w14:paraId="6EBE73DB" w14:textId="77777777" w:rsidR="00973D70" w:rsidRPr="00D00A59" w:rsidRDefault="00973D70" w:rsidP="00A75579">
            <w:pPr>
              <w:pStyle w:val="bullet"/>
              <w:rPr>
                <w:szCs w:val="18"/>
              </w:rPr>
            </w:pPr>
            <w:r w:rsidRPr="00D00A59">
              <w:rPr>
                <w:szCs w:val="18"/>
              </w:rPr>
              <w:t>Gestational weight gain (26-28 wks): 6.0±2.8 kg (n=106) vs 6.9±3.3 kg (n=97)</w:t>
            </w:r>
          </w:p>
          <w:p w14:paraId="1B6F94CB" w14:textId="77777777" w:rsidR="00973D70" w:rsidRPr="00D00A59" w:rsidRDefault="00973D70" w:rsidP="00A75579">
            <w:pPr>
              <w:pStyle w:val="bullet"/>
              <w:rPr>
                <w:szCs w:val="18"/>
              </w:rPr>
            </w:pPr>
            <w:r w:rsidRPr="00D00A59">
              <w:rPr>
                <w:szCs w:val="18"/>
              </w:rPr>
              <w:t xml:space="preserve"> Postpartum weight retention (6 weeks): 0.51 ± 4.48 kg (n=104) vs</w:t>
            </w:r>
            <w:r w:rsidRPr="00D00A59">
              <w:rPr>
                <w:rFonts w:eastAsiaTheme="minorHAnsi"/>
                <w:szCs w:val="18"/>
                <w:lang w:val="en-GB"/>
              </w:rPr>
              <w:t xml:space="preserve"> </w:t>
            </w:r>
            <w:r w:rsidRPr="00D00A59">
              <w:rPr>
                <w:szCs w:val="18"/>
              </w:rPr>
              <w:t>1.96 ± 5.74 kg (n=98)</w:t>
            </w:r>
          </w:p>
          <w:p w14:paraId="22ABE985" w14:textId="77777777" w:rsidR="00973D70" w:rsidRPr="00D00A59" w:rsidRDefault="00973D70" w:rsidP="00A75579">
            <w:pPr>
              <w:rPr>
                <w:szCs w:val="18"/>
              </w:rPr>
            </w:pPr>
          </w:p>
        </w:tc>
      </w:tr>
      <w:tr w:rsidR="00973D70" w:rsidRPr="00D00A59" w14:paraId="42E326FB" w14:textId="77777777" w:rsidTr="0030223E">
        <w:trPr>
          <w:cantSplit/>
        </w:trPr>
        <w:tc>
          <w:tcPr>
            <w:tcW w:w="1417" w:type="dxa"/>
          </w:tcPr>
          <w:p w14:paraId="492CC871" w14:textId="056C9AAB" w:rsidR="00973D70" w:rsidRPr="00D00A59" w:rsidRDefault="00973D70" w:rsidP="00A62770">
            <w:pPr>
              <w:rPr>
                <w:szCs w:val="18"/>
              </w:rPr>
            </w:pPr>
            <w:r w:rsidRPr="00654EEB">
              <w:t>Hawkins et al 2015</w:t>
            </w:r>
            <w:r w:rsidRPr="00D00A59">
              <w:rPr>
                <w:szCs w:val="18"/>
              </w:rPr>
              <w:fldChar w:fldCharType="begin">
                <w:fldData xml:space="preserve">PEVuZE5vdGU+PENpdGU+PEF1dGhvcj5IYXdraW5zPC9BdXRob3I+PFllYXI+MjAxNTwvWWVhcj48
UmVjTnVtPjcyNjwvUmVjTnVtPjxEaXNwbGF5VGV4dD48c3R5bGUgZmFjZT0ic3VwZXJzY3JpcHQi
IGZvbnQ9IlRyZWJ1Y2hldCBNUyIgc2l6ZT0iOSI+NTAzPC9zdHlsZT48L0Rpc3BsYXlUZXh0Pjxy
ZWNvcmQ+PHJlYy1udW1iZXI+NzI2PC9yZWMtbnVtYmVyPjxmb3JlaWduLWtleXM+PGtleSBhcHA9
IkVOIiBkYi1pZD0iZXh2YXNyZngyZHRyYW9lc2FzeHAyc3pzeGEyZGY1MDI1OTJ4IiB0aW1lc3Rh
bXA9IjE1NDE0NjUzMjIiPjcyNjwva2V5PjwvZm9yZWlnbi1rZXlzPjxyZWYtdHlwZSBuYW1lPSJK
b3VybmFsIEFydGljbGUiPjE3PC9yZWYtdHlwZT48Y29udHJpYnV0b3JzPjxhdXRob3JzPjxhdXRo
b3I+SGF3a2lucywgTS48L2F1dGhvcj48YXV0aG9yPkhvc2tlciwgTS48L2F1dGhvcj48YXV0aG9y
Pk1hcmN1cywgQi4gSC48L2F1dGhvcj48YXV0aG9yPlJvc2FsLCBNLiBDLjwvYXV0aG9yPjxhdXRo
b3I+QnJhdW4sIEIuPC9hdXRob3I+PGF1dGhvcj5TdGFuZWssIEUuIEouLCAzcmQ8L2F1dGhvcj48
YXV0aG9yPk1hcmtlbnNvbiwgRy48L2F1dGhvcj48YXV0aG9yPkNoYXNhbi1UYWJlciwgTC48L2F1
dGhvcj48L2F1dGhvcnM+PC9jb250cmlidXRvcnM+PGF1dGgtYWRkcmVzcz5EaXZpc2lvbiBvZiBC
aW9zdGF0aXN0aWNzIGFuZCBFcGlkZW1pb2xvZ3ksIERlcGFydG1lbnQgb2YgUHVibGljIEhlYWx0
aCwgU2Nob29sIG9mIFB1YmxpYyBIZWFsdGggYW5kIEhlYWx0aCBTY2llbmNlcywgVW5pdmVyc2l0
eSBvZiBNYXNzYWNodXNldHRzLCBBbWhlcnN0LCBNQSwgVVNBLjwvYXV0aC1hZGRyZXNzPjx0aXRs
ZXM+PHRpdGxlPkEgcHJlZ25hbmN5IGxpZmVzdHlsZSBpbnRlcnZlbnRpb24gdG8gcHJldmVudCBn
ZXN0YXRpb25hbCBkaWFiZXRlcyByaXNrIGZhY3RvcnMgaW4gb3ZlcndlaWdodCBIaXNwYW5pYyB3
b21lbjogYSBmZWFzaWJpbGl0eSByYW5kb21pemVkIGNvbnRyb2xsZWQgdHJpYWw8L3RpdGxlPjxz
ZWNvbmRhcnktdGl0bGU+RGlhYmV0IE1lZDwvc2Vjb25kYXJ5LXRpdGxlPjwvdGl0bGVzPjxwZXJp
b2RpY2FsPjxmdWxsLXRpdGxlPkRpYWJldCBNZWQ8L2Z1bGwtdGl0bGU+PC9wZXJpb2RpY2FsPjxw
YWdlcz4xMDgtMTU8L3BhZ2VzPjx2b2x1bWU+MzI8L3ZvbHVtZT48bnVtYmVyPjE8L251bWJlcj48
ZWRpdGlvbj4yMDE0LzEwLzE0PC9lZGl0aW9uPjxrZXl3b3Jkcz48a2V5d29yZD5BZHVsdDwva2V5
d29yZD48a2V5d29yZD5CaXJ0aCBXZWlnaHQ8L2tleXdvcmQ+PGtleXdvcmQ+RGlhYmV0ZXMsIEdl
c3RhdGlvbmFsLypwcmV2ZW50aW9uICZhbXA7IGNvbnRyb2w8L2tleXdvcmQ+PGtleXdvcmQ+RGll
dDwva2V5d29yZD48a2V5d29yZD5FeGVyY2lzZTwva2V5d29yZD48a2V5d29yZD5GZWFzaWJpbGl0
eSBTdHVkaWVzPC9rZXl3b3JkPjxrZXl3b3JkPkZlZWRpbmcgQmVoYXZpb3I8L2tleXdvcmQ+PGtl
eXdvcmQ+RmVtYWxlPC9rZXl3b3JkPjxrZXl3b3JkPkhpc3BhbmljIEFtZXJpY2Fucy8qc3RhdGlz
dGljcyAmYW1wOyBudW1lcmljYWwgZGF0YTwva2V5d29yZD48a2V5d29yZD5IdW1hbnM8L2tleXdv
cmQ+PGtleXdvcmQ+SW5mYW50LCBOZXdib3JuPC9rZXl3b3JkPjxrZXl3b3JkPk1hbGU8L2tleXdv
cmQ+PGtleXdvcmQ+T3ZlcndlaWdodC9jb21wbGljYXRpb25zLypwcmV2ZW50aW9uICZhbXA7IGNv
bnRyb2w8L2tleXdvcmQ+PGtleXdvcmQ+UGF0aWVudCBDb21wbGlhbmNlPC9rZXl3b3JkPjxrZXl3
b3JkPlByZWduYW5jeTwva2V5d29yZD48a2V5d29yZD5QcmVuYXRhbCBDYXJlPC9rZXl3b3JkPjxr
ZXl3b3JkPipQcmltYXJ5IFByZXZlbnRpb248L2tleXdvcmQ+PGtleXdvcmQ+UmlzayBGYWN0b3Jz
PC9rZXl3b3JkPjxrZXl3b3JkPipSaXNrIFJlZHVjdGlvbiBCZWhhdmlvcjwva2V5d29yZD48a2V5
d29yZD5UcmVhdG1lbnQgT3V0Y29tZTwva2V5d29yZD48a2V5d29yZD5Vbml0ZWQgU3RhdGVzL2Vw
aWRlbWlvbG9neTwva2V5d29yZD48a2V5d29yZD5XZWlnaHQgR2Fpbjwva2V5d29yZD48L2tleXdv
cmRzPjxkYXRlcz48eWVhcj4yMDE1PC95ZWFyPjxwdWItZGF0ZXM+PGRhdGU+SmFuPC9kYXRlPjwv
cHViLWRhdGVzPjwvZGF0ZXM+PGlzYm4+MTQ2NC01NDkxIChFbGVjdHJvbmljKSYjeEQ7MDc0Mi0z
MDcxIChMaW5raW5nKTwvaXNibj48YWNjZXNzaW9uLW51bT4yNTMwNjkyNTwvYWNjZXNzaW9uLW51
bT48dXJscz48cmVsYXRlZC11cmxzPjx1cmw+aHR0cHM6Ly93d3cubmNiaS5ubG0ubmloLmdvdi9w
dWJtZWQvMjUzMDY5MjU8L3VybD48L3JlbGF0ZWQtdXJscz48L3VybHM+PGVsZWN0cm9uaWMtcmVz
b3VyY2UtbnVtPjEwLjExMTEvZG1lLjEyNjAxPC9lbGVjdHJvbmljLXJlc291cmNlLW51bT48L3Jl
Y29yZD48L0NpdGU+PC9FbmROb3RlPn==
</w:fldData>
              </w:fldChar>
            </w:r>
            <w:r w:rsidR="002747EA">
              <w:rPr>
                <w:szCs w:val="18"/>
              </w:rPr>
              <w:instrText xml:space="preserve"> ADDIN EN.CITE </w:instrText>
            </w:r>
            <w:r w:rsidR="002747EA">
              <w:rPr>
                <w:szCs w:val="18"/>
              </w:rPr>
              <w:fldChar w:fldCharType="begin">
                <w:fldData xml:space="preserve">PEVuZE5vdGU+PENpdGU+PEF1dGhvcj5IYXdraW5zPC9BdXRob3I+PFllYXI+MjAxNTwvWWVhcj48
UmVjTnVtPjcyNjwvUmVjTnVtPjxEaXNwbGF5VGV4dD48c3R5bGUgZmFjZT0ic3VwZXJzY3JpcHQi
IGZvbnQ9IlRyZWJ1Y2hldCBNUyIgc2l6ZT0iOSI+NTAzPC9zdHlsZT48L0Rpc3BsYXlUZXh0Pjxy
ZWNvcmQ+PHJlYy1udW1iZXI+NzI2PC9yZWMtbnVtYmVyPjxmb3JlaWduLWtleXM+PGtleSBhcHA9
IkVOIiBkYi1pZD0iZXh2YXNyZngyZHRyYW9lc2FzeHAyc3pzeGEyZGY1MDI1OTJ4IiB0aW1lc3Rh
bXA9IjE1NDE0NjUzMjIiPjcyNjwva2V5PjwvZm9yZWlnbi1rZXlzPjxyZWYtdHlwZSBuYW1lPSJK
b3VybmFsIEFydGljbGUiPjE3PC9yZWYtdHlwZT48Y29udHJpYnV0b3JzPjxhdXRob3JzPjxhdXRo
b3I+SGF3a2lucywgTS48L2F1dGhvcj48YXV0aG9yPkhvc2tlciwgTS48L2F1dGhvcj48YXV0aG9y
Pk1hcmN1cywgQi4gSC48L2F1dGhvcj48YXV0aG9yPlJvc2FsLCBNLiBDLjwvYXV0aG9yPjxhdXRo
b3I+QnJhdW4sIEIuPC9hdXRob3I+PGF1dGhvcj5TdGFuZWssIEUuIEouLCAzcmQ8L2F1dGhvcj48
YXV0aG9yPk1hcmtlbnNvbiwgRy48L2F1dGhvcj48YXV0aG9yPkNoYXNhbi1UYWJlciwgTC48L2F1
dGhvcj48L2F1dGhvcnM+PC9jb250cmlidXRvcnM+PGF1dGgtYWRkcmVzcz5EaXZpc2lvbiBvZiBC
aW9zdGF0aXN0aWNzIGFuZCBFcGlkZW1pb2xvZ3ksIERlcGFydG1lbnQgb2YgUHVibGljIEhlYWx0
aCwgU2Nob29sIG9mIFB1YmxpYyBIZWFsdGggYW5kIEhlYWx0aCBTY2llbmNlcywgVW5pdmVyc2l0
eSBvZiBNYXNzYWNodXNldHRzLCBBbWhlcnN0LCBNQSwgVVNBLjwvYXV0aC1hZGRyZXNzPjx0aXRs
ZXM+PHRpdGxlPkEgcHJlZ25hbmN5IGxpZmVzdHlsZSBpbnRlcnZlbnRpb24gdG8gcHJldmVudCBn
ZXN0YXRpb25hbCBkaWFiZXRlcyByaXNrIGZhY3RvcnMgaW4gb3ZlcndlaWdodCBIaXNwYW5pYyB3
b21lbjogYSBmZWFzaWJpbGl0eSByYW5kb21pemVkIGNvbnRyb2xsZWQgdHJpYWw8L3RpdGxlPjxz
ZWNvbmRhcnktdGl0bGU+RGlhYmV0IE1lZDwvc2Vjb25kYXJ5LXRpdGxlPjwvdGl0bGVzPjxwZXJp
b2RpY2FsPjxmdWxsLXRpdGxlPkRpYWJldCBNZWQ8L2Z1bGwtdGl0bGU+PC9wZXJpb2RpY2FsPjxw
YWdlcz4xMDgtMTU8L3BhZ2VzPjx2b2x1bWU+MzI8L3ZvbHVtZT48bnVtYmVyPjE8L251bWJlcj48
ZWRpdGlvbj4yMDE0LzEwLzE0PC9lZGl0aW9uPjxrZXl3b3Jkcz48a2V5d29yZD5BZHVsdDwva2V5
d29yZD48a2V5d29yZD5CaXJ0aCBXZWlnaHQ8L2tleXdvcmQ+PGtleXdvcmQ+RGlhYmV0ZXMsIEdl
c3RhdGlvbmFsLypwcmV2ZW50aW9uICZhbXA7IGNvbnRyb2w8L2tleXdvcmQ+PGtleXdvcmQ+RGll
dDwva2V5d29yZD48a2V5d29yZD5FeGVyY2lzZTwva2V5d29yZD48a2V5d29yZD5GZWFzaWJpbGl0
eSBTdHVkaWVzPC9rZXl3b3JkPjxrZXl3b3JkPkZlZWRpbmcgQmVoYXZpb3I8L2tleXdvcmQ+PGtl
eXdvcmQ+RmVtYWxlPC9rZXl3b3JkPjxrZXl3b3JkPkhpc3BhbmljIEFtZXJpY2Fucy8qc3RhdGlz
dGljcyAmYW1wOyBudW1lcmljYWwgZGF0YTwva2V5d29yZD48a2V5d29yZD5IdW1hbnM8L2tleXdv
cmQ+PGtleXdvcmQ+SW5mYW50LCBOZXdib3JuPC9rZXl3b3JkPjxrZXl3b3JkPk1hbGU8L2tleXdv
cmQ+PGtleXdvcmQ+T3ZlcndlaWdodC9jb21wbGljYXRpb25zLypwcmV2ZW50aW9uICZhbXA7IGNv
bnRyb2w8L2tleXdvcmQ+PGtleXdvcmQ+UGF0aWVudCBDb21wbGlhbmNlPC9rZXl3b3JkPjxrZXl3
b3JkPlByZWduYW5jeTwva2V5d29yZD48a2V5d29yZD5QcmVuYXRhbCBDYXJlPC9rZXl3b3JkPjxr
ZXl3b3JkPipQcmltYXJ5IFByZXZlbnRpb248L2tleXdvcmQ+PGtleXdvcmQ+UmlzayBGYWN0b3Jz
PC9rZXl3b3JkPjxrZXl3b3JkPipSaXNrIFJlZHVjdGlvbiBCZWhhdmlvcjwva2V5d29yZD48a2V5
d29yZD5UcmVhdG1lbnQgT3V0Y29tZTwva2V5d29yZD48a2V5d29yZD5Vbml0ZWQgU3RhdGVzL2Vw
aWRlbWlvbG9neTwva2V5d29yZD48a2V5d29yZD5XZWlnaHQgR2Fpbjwva2V5d29yZD48L2tleXdv
cmRzPjxkYXRlcz48eWVhcj4yMDE1PC95ZWFyPjxwdWItZGF0ZXM+PGRhdGU+SmFuPC9kYXRlPjwv
cHViLWRhdGVzPjwvZGF0ZXM+PGlzYm4+MTQ2NC01NDkxIChFbGVjdHJvbmljKSYjeEQ7MDc0Mi0z
MDcxIChMaW5raW5nKTwvaXNibj48YWNjZXNzaW9uLW51bT4yNTMwNjkyNTwvYWNjZXNzaW9uLW51
bT48dXJscz48cmVsYXRlZC11cmxzPjx1cmw+aHR0cHM6Ly93d3cubmNiaS5ubG0ubmloLmdvdi9w
dWJtZWQvMjUzMDY5MjU8L3VybD48L3JlbGF0ZWQtdXJscz48L3VybHM+PGVsZWN0cm9uaWMtcmVz
b3VyY2UtbnVtPjEwLjExMTEvZG1lLjEyNjAxPC9lbGVjdHJvbmljLXJlc291cmNlLW51bT48L3Jl
Y29yZD48L0NpdGU+PC9FbmROb3RlPn==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503</w:t>
            </w:r>
            <w:r w:rsidRPr="00D00A59">
              <w:rPr>
                <w:szCs w:val="18"/>
              </w:rPr>
              <w:fldChar w:fldCharType="end"/>
            </w:r>
          </w:p>
          <w:p w14:paraId="561284BF" w14:textId="77777777" w:rsidR="00973D70" w:rsidRPr="00D00A59" w:rsidRDefault="00973D70" w:rsidP="00A62770">
            <w:pPr>
              <w:rPr>
                <w:szCs w:val="18"/>
              </w:rPr>
            </w:pPr>
            <w:r w:rsidRPr="00D00A59">
              <w:rPr>
                <w:szCs w:val="18"/>
              </w:rPr>
              <w:t>United States</w:t>
            </w:r>
          </w:p>
        </w:tc>
        <w:tc>
          <w:tcPr>
            <w:tcW w:w="1562" w:type="dxa"/>
          </w:tcPr>
          <w:p w14:paraId="1F7B6A3B" w14:textId="77777777" w:rsidR="00973D70" w:rsidRPr="00D00A59" w:rsidRDefault="00973D70" w:rsidP="00A75579">
            <w:pPr>
              <w:rPr>
                <w:szCs w:val="18"/>
              </w:rPr>
            </w:pPr>
            <w:r w:rsidRPr="00D00A59">
              <w:rPr>
                <w:szCs w:val="18"/>
              </w:rPr>
              <w:t>Intervention 32</w:t>
            </w:r>
          </w:p>
          <w:p w14:paraId="5CA720EA" w14:textId="77777777" w:rsidR="00973D70" w:rsidRPr="00D00A59" w:rsidRDefault="00973D70" w:rsidP="00A75579">
            <w:pPr>
              <w:rPr>
                <w:szCs w:val="18"/>
              </w:rPr>
            </w:pPr>
            <w:r w:rsidRPr="00D00A59">
              <w:rPr>
                <w:szCs w:val="18"/>
              </w:rPr>
              <w:t>Control 34</w:t>
            </w:r>
          </w:p>
        </w:tc>
        <w:tc>
          <w:tcPr>
            <w:tcW w:w="5393" w:type="dxa"/>
          </w:tcPr>
          <w:p w14:paraId="12A695CA" w14:textId="77777777" w:rsidR="00973D70" w:rsidRPr="00D00A59" w:rsidRDefault="00973D70" w:rsidP="00A75579">
            <w:pPr>
              <w:rPr>
                <w:szCs w:val="18"/>
              </w:rPr>
            </w:pPr>
            <w:r w:rsidRPr="00D00A59">
              <w:rPr>
                <w:b/>
                <w:szCs w:val="18"/>
              </w:rPr>
              <w:t>Aim</w:t>
            </w:r>
            <w:r w:rsidRPr="00D00A59">
              <w:rPr>
                <w:szCs w:val="18"/>
              </w:rPr>
              <w:t xml:space="preserve">: To pilot the feasibility of a prenatal lifestyle intervention to modify physical activity and diet among pregnant overweight and obese Hispanic women, with the aim of reducing risk factors for gestational diabetes mellitus. </w:t>
            </w:r>
          </w:p>
          <w:p w14:paraId="1BCD25A0" w14:textId="77777777" w:rsidR="00973D70" w:rsidRPr="00D00A59" w:rsidRDefault="00973D70" w:rsidP="00A75579">
            <w:pPr>
              <w:rPr>
                <w:szCs w:val="18"/>
              </w:rPr>
            </w:pPr>
            <w:r w:rsidRPr="00D00A59">
              <w:rPr>
                <w:b/>
                <w:szCs w:val="18"/>
              </w:rPr>
              <w:t>Population</w:t>
            </w:r>
            <w:r w:rsidRPr="00D00A59">
              <w:rPr>
                <w:szCs w:val="18"/>
              </w:rPr>
              <w:t>: Pregnant Hispanic women with BMI ≥25 at &lt;15 weeks</w:t>
            </w:r>
          </w:p>
          <w:p w14:paraId="28292A4B" w14:textId="77777777" w:rsidR="00973D70" w:rsidRPr="00D00A59" w:rsidRDefault="00973D70" w:rsidP="00A75579">
            <w:pPr>
              <w:pStyle w:val="RCTstable"/>
              <w:rPr>
                <w:sz w:val="18"/>
                <w:szCs w:val="18"/>
              </w:rPr>
            </w:pPr>
            <w:r w:rsidRPr="00D00A59">
              <w:rPr>
                <w:b/>
                <w:sz w:val="18"/>
                <w:szCs w:val="18"/>
              </w:rPr>
              <w:t>Intervention</w:t>
            </w:r>
            <w:r w:rsidRPr="00D00A59">
              <w:rPr>
                <w:sz w:val="18"/>
                <w:szCs w:val="18"/>
              </w:rPr>
              <w:t>:</w:t>
            </w:r>
            <w:r>
              <w:rPr>
                <w:sz w:val="18"/>
                <w:szCs w:val="18"/>
              </w:rPr>
              <w:t xml:space="preserve"> The intervention consisted of six</w:t>
            </w:r>
            <w:r w:rsidRPr="00D00A59">
              <w:rPr>
                <w:sz w:val="18"/>
                <w:szCs w:val="18"/>
              </w:rPr>
              <w:t xml:space="preserve"> monthly in-person behavioural counselling sessions and five telephone-delivered booster sessions delivered by bicultural and bilingual health educators.</w:t>
            </w:r>
          </w:p>
          <w:p w14:paraId="4E483771" w14:textId="77777777" w:rsidR="00973D70" w:rsidRPr="00D00A59" w:rsidRDefault="00973D70" w:rsidP="00A75579">
            <w:pPr>
              <w:pStyle w:val="RCTstable"/>
              <w:rPr>
                <w:sz w:val="18"/>
                <w:szCs w:val="18"/>
              </w:rPr>
            </w:pPr>
            <w:r w:rsidRPr="00D00A59">
              <w:rPr>
                <w:sz w:val="18"/>
                <w:szCs w:val="18"/>
              </w:rPr>
              <w:t>The overall goal of the exercise component was to encourage pregnant women to achieve the American College of Obstetricians and Gynecologists’ guidelines for physical activity during pregnancy (</w:t>
            </w:r>
            <w:r w:rsidRPr="00D00A59">
              <w:rPr>
                <w:rFonts w:ascii="Helvetica" w:eastAsiaTheme="majorEastAsia" w:hAnsi="Helvetica"/>
                <w:sz w:val="18"/>
                <w:szCs w:val="18"/>
              </w:rPr>
              <w:t xml:space="preserve">≥ </w:t>
            </w:r>
            <w:r w:rsidRPr="00D00A59">
              <w:rPr>
                <w:sz w:val="18"/>
                <w:szCs w:val="18"/>
              </w:rPr>
              <w:t>30 min of moderate-intensity activity on most days of the week) through increasing walking and developing a more active lifestyle. The health educators assisted the women in developing personalized physical activity goals and they were given a digital pedometer and a physical activity log to track their progress.</w:t>
            </w:r>
          </w:p>
          <w:p w14:paraId="4383CCBB" w14:textId="77777777" w:rsidR="00973D70" w:rsidRPr="00D00A59" w:rsidRDefault="00973D70" w:rsidP="00A75579">
            <w:pPr>
              <w:rPr>
                <w:szCs w:val="18"/>
              </w:rPr>
            </w:pPr>
            <w:r w:rsidRPr="00D00A59">
              <w:rPr>
                <w:szCs w:val="18"/>
              </w:rPr>
              <w:t xml:space="preserve">The overall goal of the dietary component was to decrease intake of foods high in saturated fat and increase dietary fibre as recommended by the American Dietetic Association. </w:t>
            </w:r>
          </w:p>
        </w:tc>
        <w:tc>
          <w:tcPr>
            <w:tcW w:w="5664" w:type="dxa"/>
          </w:tcPr>
          <w:p w14:paraId="3252043E" w14:textId="77777777" w:rsidR="00973D70" w:rsidRPr="00D00A59" w:rsidRDefault="00973D70" w:rsidP="00A75579">
            <w:pPr>
              <w:rPr>
                <w:szCs w:val="18"/>
              </w:rPr>
            </w:pPr>
            <w:r w:rsidRPr="00D00A59">
              <w:rPr>
                <w:szCs w:val="18"/>
              </w:rPr>
              <w:t>Intervention vs control</w:t>
            </w:r>
          </w:p>
          <w:p w14:paraId="0F797DFE" w14:textId="77777777" w:rsidR="00973D70" w:rsidRPr="00D00A59" w:rsidRDefault="00973D70" w:rsidP="00A75579">
            <w:pPr>
              <w:pStyle w:val="bullet"/>
              <w:rPr>
                <w:szCs w:val="18"/>
              </w:rPr>
            </w:pPr>
            <w:r w:rsidRPr="00D00A59">
              <w:rPr>
                <w:szCs w:val="18"/>
              </w:rPr>
              <w:t xml:space="preserve">Gestational weight gain: 17.73±4.06 vs 17.87±2.39 </w:t>
            </w:r>
          </w:p>
        </w:tc>
      </w:tr>
      <w:tr w:rsidR="00973D70" w:rsidRPr="00D00A59" w14:paraId="470194A3" w14:textId="77777777" w:rsidTr="0030223E">
        <w:trPr>
          <w:cantSplit/>
        </w:trPr>
        <w:tc>
          <w:tcPr>
            <w:tcW w:w="1417" w:type="dxa"/>
          </w:tcPr>
          <w:p w14:paraId="03435A2C" w14:textId="0A2D6FFB" w:rsidR="00973D70" w:rsidRPr="00D00A59" w:rsidRDefault="00973D70" w:rsidP="00A62770">
            <w:pPr>
              <w:rPr>
                <w:szCs w:val="18"/>
              </w:rPr>
            </w:pPr>
            <w:r w:rsidRPr="00654EEB">
              <w:t>Hui et al 2012</w:t>
            </w:r>
            <w:r w:rsidRPr="00D00A59">
              <w:rPr>
                <w:szCs w:val="18"/>
              </w:rPr>
              <w:fldChar w:fldCharType="begin">
                <w:fldData xml:space="preserve">PEVuZE5vdGU+PENpdGU+PEF1dGhvcj5IdWk8L0F1dGhvcj48WWVhcj4yMDEyPC9ZZWFyPjxSZWNO
dW0+NzQ2PC9SZWNOdW0+PERpc3BsYXlUZXh0PjxzdHlsZSBmYWNlPSJzdXBlcnNjcmlwdCIgZm9u
dD0iVHJlYnVjaGV0IE1TIiBzaXplPSI5Ij40OTA8L3N0eWxlPjwvRGlzcGxheVRleHQ+PHJlY29y
ZD48cmVjLW51bWJlcj43NDY8L3JlYy1udW1iZXI+PGZvcmVpZ24ta2V5cz48a2V5IGFwcD0iRU4i
IGRiLWlkPSJleHZhc3JmeDJkdHJhb2VzYXN4cDJzenN4YTJkZjUwMjU5MngiIHRpbWVzdGFtcD0i
MTU0MTQ2Nzg5NCI+NzQ2PC9rZXk+PGtleSBhcHA9IkVOV2ViIiBkYi1pZD0iIj4wPC9rZXk+PC9m
b3JlaWduLWtleXM+PHJlZi10eXBlIG5hbWU9IkpvdXJuYWwgQXJ0aWNsZSI+MTc8L3JlZi10eXBl
Pjxjb250cmlidXRvcnM+PGF1dGhvcnM+PGF1dGhvcj5IdWksIEEuPC9hdXRob3I+PGF1dGhvcj5C
YWNrLCBMLjwvYXV0aG9yPjxhdXRob3I+THVkd2lnLCBTLjwvYXV0aG9yPjxhdXRob3I+R2FyZGlu
ZXIsIFAuPC9hdXRob3I+PGF1dGhvcj5TZXZlbmh1eXNlbiwgRy48L2F1dGhvcj48YXV0aG9yPkRl
YW4sIEguPC9hdXRob3I+PGF1dGhvcj5TZWxsZXJzLCBFLjwvYXV0aG9yPjxhdXRob3I+TWNHYXZv
Y2ssIEouPC9hdXRob3I+PGF1dGhvcj5Nb3JyaXMsIE0uPC9hdXRob3I+PGF1dGhvcj5CcnVjZSwg
Uy48L2F1dGhvcj48YXV0aG9yPk11cnJheSwgUi48L2F1dGhvcj48YXV0aG9yPlNoZW4sIEcuIFgu
PC9hdXRob3I+PC9hdXRob3JzPjwvY29udHJpYnV0b3JzPjxhdXRoLWFkZHJlc3M+RGVwYXJ0bWVu
dCBvZiBJbnRlcm5hbCBNZWRpY2luZSwgVW5pdmVyc2l0eSBvZiBNYW5pdG9iYSwgV2lubmlwZWcs
IE1hbml0b2JhLCBDYW5hZGEuPC9hdXRoLWFkZHJlc3M+PHRpdGxlcz48dGl0bGU+TGlmZXN0eWxl
IGludGVydmVudGlvbiBvbiBkaWV0IGFuZCBleGVyY2lzZSByZWR1Y2VkIGV4Y2Vzc2l2ZSBnZXN0
YXRpb25hbCB3ZWlnaHQgZ2FpbiBpbiBwcmVnbmFudCB3b21lbiB1bmRlciBhIHJhbmRvbWlzZWQg
Y29udHJvbGxlZCB0cmlhbDwvdGl0bGU+PHNlY29uZGFyeS10aXRsZT5CSk9HPC9zZWNvbmRhcnkt
dGl0bGU+PC90aXRsZXM+PHBlcmlvZGljYWw+PGZ1bGwtdGl0bGU+QkpPRzwvZnVsbC10aXRsZT48
L3BlcmlvZGljYWw+PHBhZ2VzPjcwLTc8L3BhZ2VzPjx2b2x1bWU+MTE5PC92b2x1bWU+PG51bWJl
cj4xPC9udW1iZXI+PGVkaXRpb24+MjAxMS8xMC8yNTwvZWRpdGlvbj48a2V5d29yZHM+PGtleXdv
cmQ+QWR1bHQ8L2tleXdvcmQ+PGtleXdvcmQ+Q291bnNlbGluZzwva2V5d29yZD48a2V5d29yZD4q
RGlldDwva2V5d29yZD48a2V5d29yZD5FbmVyZ3kgSW50YWtlPC9rZXl3b3JkPjxrZXl3b3JkPkV4
ZXJjaXNlIFRoZXJhcHkvKm1ldGhvZHM8L2tleXdvcmQ+PGtleXdvcmQ+RmVtYWxlPC9rZXl3b3Jk
PjxrZXl3b3JkPkh1bWFuczwva2V5d29yZD48a2V5d29yZD4qTGlmZSBTdHlsZTwva2V5d29yZD48
a2V5d29yZD5QYXRpZW50IEVkdWNhdGlvbiBhcyBUb3BpYzwva2V5d29yZD48a2V5d29yZD5QcmVn
bmFuY3k8L2tleXdvcmQ+PGtleXdvcmQ+UHJlZ25hbmN5IENvbXBsaWNhdGlvbnMvKnByZXZlbnRp
b24gJmFtcDsgY29udHJvbDwva2V5d29yZD48a2V5d29yZD5QcmVnbmFuY3kgT3V0Y29tZTwva2V5
d29yZD48a2V5d29yZD5QcmVuYXRhbCBDYXJlLyptZXRob2RzPC9rZXl3b3JkPjxrZXl3b3JkPlVy
YmFuIEhlYWx0aDwva2V5d29yZD48a2V5d29yZD5XZWlnaHQgR2Fpbi8qcGh5c2lvbG9neTwva2V5
d29yZD48a2V5d29yZD5Zb3VuZyBBZHVsdDwva2V5d29yZD48L2tleXdvcmRzPjxkYXRlcz48eWVh
cj4yMDEyPC95ZWFyPjxwdWItZGF0ZXM+PGRhdGU+SmFuPC9kYXRlPjwvcHViLWRhdGVzPjwvZGF0
ZXM+PGlzYm4+MTQ3MS0wNTI4IChFbGVjdHJvbmljKSYjeEQ7MTQ3MC0wMzI4IChMaW5raW5nKTwv
aXNibj48YWNjZXNzaW9uLW51bT4yMjAxNzk2NzwvYWNjZXNzaW9uLW51bT48dXJscz48cmVsYXRl
ZC11cmxzPjx1cmw+aHR0cHM6Ly93d3cubmNiaS5ubG0ubmloLmdvdi9wdWJtZWQvMjIwMTc5Njc8
L3VybD48L3JlbGF0ZWQtdXJscz48L3VybHM+PGVsZWN0cm9uaWMtcmVzb3VyY2UtbnVtPjEwLjEx
MTEvai4xNDcxLTA1MjguMjAxMS4wMzE4NC54PC9lbGVjdHJvbmljLXJlc291cmNlLW51bT48L3Jl
Y29yZD48L0NpdGU+PC9FbmROb3RlPn==
</w:fldData>
              </w:fldChar>
            </w:r>
            <w:r w:rsidR="002747EA">
              <w:rPr>
                <w:szCs w:val="18"/>
              </w:rPr>
              <w:instrText xml:space="preserve"> ADDIN EN.CITE </w:instrText>
            </w:r>
            <w:r w:rsidR="002747EA">
              <w:rPr>
                <w:szCs w:val="18"/>
              </w:rPr>
              <w:fldChar w:fldCharType="begin">
                <w:fldData xml:space="preserve">PEVuZE5vdGU+PENpdGU+PEF1dGhvcj5IdWk8L0F1dGhvcj48WWVhcj4yMDEyPC9ZZWFyPjxSZWNO
dW0+NzQ2PC9SZWNOdW0+PERpc3BsYXlUZXh0PjxzdHlsZSBmYWNlPSJzdXBlcnNjcmlwdCIgZm9u
dD0iVHJlYnVjaGV0IE1TIiBzaXplPSI5Ij40OTA8L3N0eWxlPjwvRGlzcGxheVRleHQ+PHJlY29y
ZD48cmVjLW51bWJlcj43NDY8L3JlYy1udW1iZXI+PGZvcmVpZ24ta2V5cz48a2V5IGFwcD0iRU4i
IGRiLWlkPSJleHZhc3JmeDJkdHJhb2VzYXN4cDJzenN4YTJkZjUwMjU5MngiIHRpbWVzdGFtcD0i
MTU0MTQ2Nzg5NCI+NzQ2PC9rZXk+PGtleSBhcHA9IkVOV2ViIiBkYi1pZD0iIj4wPC9rZXk+PC9m
b3JlaWduLWtleXM+PHJlZi10eXBlIG5hbWU9IkpvdXJuYWwgQXJ0aWNsZSI+MTc8L3JlZi10eXBl
Pjxjb250cmlidXRvcnM+PGF1dGhvcnM+PGF1dGhvcj5IdWksIEEuPC9hdXRob3I+PGF1dGhvcj5C
YWNrLCBMLjwvYXV0aG9yPjxhdXRob3I+THVkd2lnLCBTLjwvYXV0aG9yPjxhdXRob3I+R2FyZGlu
ZXIsIFAuPC9hdXRob3I+PGF1dGhvcj5TZXZlbmh1eXNlbiwgRy48L2F1dGhvcj48YXV0aG9yPkRl
YW4sIEguPC9hdXRob3I+PGF1dGhvcj5TZWxsZXJzLCBFLjwvYXV0aG9yPjxhdXRob3I+TWNHYXZv
Y2ssIEouPC9hdXRob3I+PGF1dGhvcj5Nb3JyaXMsIE0uPC9hdXRob3I+PGF1dGhvcj5CcnVjZSwg
Uy48L2F1dGhvcj48YXV0aG9yPk11cnJheSwgUi48L2F1dGhvcj48YXV0aG9yPlNoZW4sIEcuIFgu
PC9hdXRob3I+PC9hdXRob3JzPjwvY29udHJpYnV0b3JzPjxhdXRoLWFkZHJlc3M+RGVwYXJ0bWVu
dCBvZiBJbnRlcm5hbCBNZWRpY2luZSwgVW5pdmVyc2l0eSBvZiBNYW5pdG9iYSwgV2lubmlwZWcs
IE1hbml0b2JhLCBDYW5hZGEuPC9hdXRoLWFkZHJlc3M+PHRpdGxlcz48dGl0bGU+TGlmZXN0eWxl
IGludGVydmVudGlvbiBvbiBkaWV0IGFuZCBleGVyY2lzZSByZWR1Y2VkIGV4Y2Vzc2l2ZSBnZXN0
YXRpb25hbCB3ZWlnaHQgZ2FpbiBpbiBwcmVnbmFudCB3b21lbiB1bmRlciBhIHJhbmRvbWlzZWQg
Y29udHJvbGxlZCB0cmlhbDwvdGl0bGU+PHNlY29uZGFyeS10aXRsZT5CSk9HPC9zZWNvbmRhcnkt
dGl0bGU+PC90aXRsZXM+PHBlcmlvZGljYWw+PGZ1bGwtdGl0bGU+QkpPRzwvZnVsbC10aXRsZT48
L3BlcmlvZGljYWw+PHBhZ2VzPjcwLTc8L3BhZ2VzPjx2b2x1bWU+MTE5PC92b2x1bWU+PG51bWJl
cj4xPC9udW1iZXI+PGVkaXRpb24+MjAxMS8xMC8yNTwvZWRpdGlvbj48a2V5d29yZHM+PGtleXdv
cmQ+QWR1bHQ8L2tleXdvcmQ+PGtleXdvcmQ+Q291bnNlbGluZzwva2V5d29yZD48a2V5d29yZD4q
RGlldDwva2V5d29yZD48a2V5d29yZD5FbmVyZ3kgSW50YWtlPC9rZXl3b3JkPjxrZXl3b3JkPkV4
ZXJjaXNlIFRoZXJhcHkvKm1ldGhvZHM8L2tleXdvcmQ+PGtleXdvcmQ+RmVtYWxlPC9rZXl3b3Jk
PjxrZXl3b3JkPkh1bWFuczwva2V5d29yZD48a2V5d29yZD4qTGlmZSBTdHlsZTwva2V5d29yZD48
a2V5d29yZD5QYXRpZW50IEVkdWNhdGlvbiBhcyBUb3BpYzwva2V5d29yZD48a2V5d29yZD5QcmVn
bmFuY3k8L2tleXdvcmQ+PGtleXdvcmQ+UHJlZ25hbmN5IENvbXBsaWNhdGlvbnMvKnByZXZlbnRp
b24gJmFtcDsgY29udHJvbDwva2V5d29yZD48a2V5d29yZD5QcmVnbmFuY3kgT3V0Y29tZTwva2V5
d29yZD48a2V5d29yZD5QcmVuYXRhbCBDYXJlLyptZXRob2RzPC9rZXl3b3JkPjxrZXl3b3JkPlVy
YmFuIEhlYWx0aDwva2V5d29yZD48a2V5d29yZD5XZWlnaHQgR2Fpbi8qcGh5c2lvbG9neTwva2V5
d29yZD48a2V5d29yZD5Zb3VuZyBBZHVsdDwva2V5d29yZD48L2tleXdvcmRzPjxkYXRlcz48eWVh
cj4yMDEyPC95ZWFyPjxwdWItZGF0ZXM+PGRhdGU+SmFuPC9kYXRlPjwvcHViLWRhdGVzPjwvZGF0
ZXM+PGlzYm4+MTQ3MS0wNTI4IChFbGVjdHJvbmljKSYjeEQ7MTQ3MC0wMzI4IChMaW5raW5nKTwv
aXNibj48YWNjZXNzaW9uLW51bT4yMjAxNzk2NzwvYWNjZXNzaW9uLW51bT48dXJscz48cmVsYXRl
ZC11cmxzPjx1cmw+aHR0cHM6Ly93d3cubmNiaS5ubG0ubmloLmdvdi9wdWJtZWQvMjIwMTc5Njc8
L3VybD48L3JlbGF0ZWQtdXJscz48L3VybHM+PGVsZWN0cm9uaWMtcmVzb3VyY2UtbnVtPjEwLjEx
MTEvai4xNDcxLTA1MjguMjAxMS4wMzE4NC54PC9lbGVjdHJvbmljLXJlc291cmNlLW51bT48L3Jl
Y29yZD48L0NpdGU+PC9FbmROb3RlPn==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490</w:t>
            </w:r>
            <w:r w:rsidRPr="00D00A59">
              <w:rPr>
                <w:szCs w:val="18"/>
              </w:rPr>
              <w:fldChar w:fldCharType="end"/>
            </w:r>
          </w:p>
          <w:p w14:paraId="49E6F42B" w14:textId="77777777" w:rsidR="00973D70" w:rsidRPr="00D00A59" w:rsidRDefault="00973D70" w:rsidP="00A62770">
            <w:pPr>
              <w:rPr>
                <w:szCs w:val="18"/>
              </w:rPr>
            </w:pPr>
            <w:r w:rsidRPr="00D00A59">
              <w:rPr>
                <w:szCs w:val="18"/>
              </w:rPr>
              <w:t>Canada</w:t>
            </w:r>
          </w:p>
          <w:p w14:paraId="3C31F994" w14:textId="77777777" w:rsidR="00973D70" w:rsidRPr="00D00A59" w:rsidRDefault="00973D70" w:rsidP="00A62770">
            <w:pPr>
              <w:rPr>
                <w:szCs w:val="18"/>
              </w:rPr>
            </w:pPr>
            <w:r w:rsidRPr="00D00A59">
              <w:rPr>
                <w:szCs w:val="18"/>
              </w:rPr>
              <w:t>NCT00486629</w:t>
            </w:r>
          </w:p>
        </w:tc>
        <w:tc>
          <w:tcPr>
            <w:tcW w:w="1562" w:type="dxa"/>
          </w:tcPr>
          <w:p w14:paraId="64407915" w14:textId="77777777" w:rsidR="00973D70" w:rsidRPr="00D00A59" w:rsidRDefault="00973D70" w:rsidP="00A75579">
            <w:pPr>
              <w:rPr>
                <w:szCs w:val="18"/>
              </w:rPr>
            </w:pPr>
            <w:r w:rsidRPr="00D00A59">
              <w:rPr>
                <w:szCs w:val="18"/>
              </w:rPr>
              <w:t>Intervention 102</w:t>
            </w:r>
          </w:p>
          <w:p w14:paraId="1871FE10" w14:textId="77777777" w:rsidR="00973D70" w:rsidRPr="00D00A59" w:rsidRDefault="00973D70" w:rsidP="00A75579">
            <w:pPr>
              <w:rPr>
                <w:szCs w:val="18"/>
              </w:rPr>
            </w:pPr>
            <w:r w:rsidRPr="00D00A59">
              <w:rPr>
                <w:szCs w:val="18"/>
              </w:rPr>
              <w:t>Control 88</w:t>
            </w:r>
          </w:p>
        </w:tc>
        <w:tc>
          <w:tcPr>
            <w:tcW w:w="5393" w:type="dxa"/>
          </w:tcPr>
          <w:p w14:paraId="682C60B6" w14:textId="77777777" w:rsidR="00973D70" w:rsidRPr="00D00A59" w:rsidRDefault="00973D70" w:rsidP="00A75579">
            <w:pPr>
              <w:rPr>
                <w:szCs w:val="18"/>
              </w:rPr>
            </w:pPr>
            <w:r w:rsidRPr="00D00A59">
              <w:rPr>
                <w:b/>
                <w:szCs w:val="18"/>
              </w:rPr>
              <w:t>Aim</w:t>
            </w:r>
            <w:r w:rsidRPr="00D00A59">
              <w:rPr>
                <w:szCs w:val="18"/>
              </w:rPr>
              <w:t xml:space="preserve">: To examine the effect of an exercise and dietary intervention during pregnancy on excessive gestational weight gain (EGWG), dietary habit and physical activity in pregnant women. </w:t>
            </w:r>
          </w:p>
          <w:p w14:paraId="0987091A" w14:textId="77777777" w:rsidR="00973D70" w:rsidRPr="00D00A59" w:rsidRDefault="00973D70" w:rsidP="00A75579">
            <w:pPr>
              <w:rPr>
                <w:szCs w:val="18"/>
              </w:rPr>
            </w:pPr>
            <w:r w:rsidRPr="00D00A59">
              <w:rPr>
                <w:b/>
                <w:szCs w:val="18"/>
              </w:rPr>
              <w:t>Population</w:t>
            </w:r>
            <w:r w:rsidRPr="00D00A59">
              <w:rPr>
                <w:szCs w:val="18"/>
              </w:rPr>
              <w:t>: Nondiabetic urban-living pregnant women (&lt;26 weeks of gestation).</w:t>
            </w:r>
          </w:p>
          <w:p w14:paraId="1C74DBE7" w14:textId="77777777" w:rsidR="00973D70" w:rsidRPr="00D00A59" w:rsidRDefault="00973D70" w:rsidP="00EE3378">
            <w:r w:rsidRPr="00D00A59">
              <w:rPr>
                <w:b/>
              </w:rPr>
              <w:t>Intervention</w:t>
            </w:r>
            <w:r w:rsidRPr="00D00A59">
              <w:t>: Participants in the intervention group were provided with community-based group exercise sessions, instructed home exercise and dietary counselling between 20 and 36 weeks of gestation.</w:t>
            </w:r>
          </w:p>
          <w:p w14:paraId="4A24DBE6" w14:textId="77777777" w:rsidR="00973D70" w:rsidRPr="00D00A59" w:rsidRDefault="00973D70" w:rsidP="00A75579">
            <w:pPr>
              <w:pStyle w:val="RCTstable"/>
              <w:rPr>
                <w:sz w:val="18"/>
                <w:szCs w:val="18"/>
              </w:rPr>
            </w:pPr>
            <w:r w:rsidRPr="00D00A59">
              <w:rPr>
                <w:sz w:val="18"/>
                <w:szCs w:val="18"/>
              </w:rPr>
              <w:t>Dietary interviews and counselling were provided twice to each woman by registered dietitians, at enrolment and 2 months after enrolment. The dietary interview was assisted with a Food Choice Map, a computerised dietary interview tool.</w:t>
            </w:r>
          </w:p>
          <w:p w14:paraId="0314DC20" w14:textId="77777777" w:rsidR="00973D70" w:rsidRPr="00D00A59" w:rsidRDefault="00973D70" w:rsidP="00A75579">
            <w:pPr>
              <w:rPr>
                <w:szCs w:val="18"/>
              </w:rPr>
            </w:pPr>
            <w:r w:rsidRPr="00D00A59">
              <w:rPr>
                <w:szCs w:val="18"/>
              </w:rPr>
              <w:t xml:space="preserve">Floor aerobic, stretching and strength exercises were led by licensed fitness trainers in group sessions. An exercise instruction video was provided to women to assist their home exercise. Women recorded daily physical activities in logbook. </w:t>
            </w:r>
          </w:p>
        </w:tc>
        <w:tc>
          <w:tcPr>
            <w:tcW w:w="5664" w:type="dxa"/>
          </w:tcPr>
          <w:p w14:paraId="524D7BBC" w14:textId="77777777" w:rsidR="00973D70" w:rsidRPr="00D00A59" w:rsidRDefault="00973D70" w:rsidP="00A75579">
            <w:pPr>
              <w:rPr>
                <w:szCs w:val="18"/>
              </w:rPr>
            </w:pPr>
            <w:r w:rsidRPr="00D00A59">
              <w:rPr>
                <w:szCs w:val="18"/>
              </w:rPr>
              <w:t>Intervention vs control:</w:t>
            </w:r>
          </w:p>
          <w:p w14:paraId="0190B96A" w14:textId="77777777" w:rsidR="00973D70" w:rsidRPr="00D00A59" w:rsidRDefault="00973D70" w:rsidP="00A75579">
            <w:pPr>
              <w:pStyle w:val="bullet"/>
              <w:rPr>
                <w:szCs w:val="18"/>
              </w:rPr>
            </w:pPr>
            <w:r w:rsidRPr="00D00A59">
              <w:rPr>
                <w:szCs w:val="18"/>
              </w:rPr>
              <w:t>Gestational weight gain: 14.1±6 vs 15.2±5.9</w:t>
            </w:r>
          </w:p>
          <w:p w14:paraId="2825C105" w14:textId="77777777" w:rsidR="00973D70" w:rsidRPr="00D00A59" w:rsidRDefault="00973D70" w:rsidP="00A75579">
            <w:pPr>
              <w:pStyle w:val="bullet"/>
              <w:rPr>
                <w:szCs w:val="18"/>
              </w:rPr>
            </w:pPr>
            <w:r w:rsidRPr="00D00A59">
              <w:rPr>
                <w:szCs w:val="18"/>
              </w:rPr>
              <w:t>Weight gain &gt;IOM guidelines: 36/102 vs 48/88</w:t>
            </w:r>
          </w:p>
          <w:p w14:paraId="4B6AA86B" w14:textId="77777777" w:rsidR="00973D70" w:rsidRPr="00D00A59" w:rsidRDefault="00973D70" w:rsidP="00A75579">
            <w:pPr>
              <w:pStyle w:val="bullet"/>
              <w:rPr>
                <w:szCs w:val="18"/>
              </w:rPr>
            </w:pPr>
            <w:r w:rsidRPr="00D00A59">
              <w:rPr>
                <w:szCs w:val="18"/>
              </w:rPr>
              <w:t>Gestational diabetes: 2/102 vs 3/88</w:t>
            </w:r>
          </w:p>
          <w:p w14:paraId="55CC00C7" w14:textId="77777777" w:rsidR="00973D70" w:rsidRPr="00D00A59" w:rsidRDefault="00973D70" w:rsidP="00A75579">
            <w:pPr>
              <w:pStyle w:val="bullet"/>
              <w:rPr>
                <w:szCs w:val="18"/>
              </w:rPr>
            </w:pPr>
            <w:r w:rsidRPr="00D00A59">
              <w:rPr>
                <w:szCs w:val="18"/>
              </w:rPr>
              <w:t>Caesarean section: 2/102 vs 3/88</w:t>
            </w:r>
          </w:p>
          <w:p w14:paraId="0E46A3AB" w14:textId="77777777" w:rsidR="00973D70" w:rsidRPr="00D00A59" w:rsidRDefault="00973D70" w:rsidP="00A75579">
            <w:pPr>
              <w:pStyle w:val="bullet"/>
              <w:rPr>
                <w:szCs w:val="18"/>
              </w:rPr>
            </w:pPr>
            <w:r w:rsidRPr="00D00A59">
              <w:rPr>
                <w:szCs w:val="18"/>
              </w:rPr>
              <w:t>Large for gestational age: 12/102 vs 15/88</w:t>
            </w:r>
          </w:p>
        </w:tc>
      </w:tr>
      <w:tr w:rsidR="00973D70" w:rsidRPr="00D00A59" w14:paraId="75C5EF55" w14:textId="77777777" w:rsidTr="0030223E">
        <w:trPr>
          <w:cantSplit/>
        </w:trPr>
        <w:tc>
          <w:tcPr>
            <w:tcW w:w="1417" w:type="dxa"/>
          </w:tcPr>
          <w:p w14:paraId="22B00FED" w14:textId="6C863584" w:rsidR="00973D70" w:rsidRPr="00D00A59" w:rsidRDefault="00973D70" w:rsidP="00A62770">
            <w:pPr>
              <w:rPr>
                <w:szCs w:val="18"/>
              </w:rPr>
            </w:pPr>
            <w:r w:rsidRPr="00654EEB">
              <w:t>Hui et al 2014</w:t>
            </w:r>
            <w:r w:rsidRPr="00D00A59">
              <w:rPr>
                <w:szCs w:val="18"/>
              </w:rPr>
              <w:fldChar w:fldCharType="begin">
                <w:fldData xml:space="preserve">PEVuZE5vdGU+PENpdGU+PEF1dGhvcj5IdWk8L0F1dGhvcj48WWVhcj4yMDE0PC9ZZWFyPjxSZWNO
dW0+NzYzPC9SZWNOdW0+PERpc3BsYXlUZXh0PjxzdHlsZSBmYWNlPSJzdXBlcnNjcmlwdCIgZm9u
dD0iVHJlYnVjaGV0IE1TIiBzaXplPSI5Ij40OTE8L3N0eWxlPjwvRGlzcGxheVRleHQ+PHJlY29y
ZD48cmVjLW51bWJlcj43NjM8L3JlYy1udW1iZXI+PGZvcmVpZ24ta2V5cz48a2V5IGFwcD0iRU4i
IGRiLWlkPSJleHZhc3JmeDJkdHJhb2VzYXN4cDJzenN4YTJkZjUwMjU5MngiIHRpbWVzdGFtcD0i
MTU0MTQ2ODQ0NiI+NzYzPC9rZXk+PC9mb3JlaWduLWtleXM+PHJlZi10eXBlIG5hbWU9IkpvdXJu
YWwgQXJ0aWNsZSI+MTc8L3JlZi10eXBlPjxjb250cmlidXRvcnM+PGF1dGhvcnM+PGF1dGhvcj5I
dWksIEEuIEwuPC9hdXRob3I+PGF1dGhvcj5CYWNrLCBMLjwvYXV0aG9yPjxhdXRob3I+THVkd2ln
LCBTLjwvYXV0aG9yPjxhdXRob3I+R2FyZGluZXIsIFAuPC9hdXRob3I+PGF1dGhvcj5TZXZlbmh1
eXNlbiwgRy48L2F1dGhvcj48YXV0aG9yPkRlYW4sIEguIEouPC9hdXRob3I+PGF1dGhvcj5TZWxs
ZXJzLCBFLjwvYXV0aG9yPjxhdXRob3I+TWNHYXZvY2ssIEouPC9hdXRob3I+PGF1dGhvcj5Nb3Jy
aXMsIE0uPC9hdXRob3I+PGF1dGhvcj5KaWFuZywgRC48L2F1dGhvcj48YXV0aG9yPlNoZW4sIEcu
IFguPC9hdXRob3I+PC9hdXRob3JzPjwvY29udHJpYnV0b3JzPjxhdXRoLWFkZHJlc3M+RGVwYXJ0
bWVudHMgb2YgSW50ZXJuYWwgTWVkaWNpbmUsIFVuaXZlcnNpdHkgb2YgTWFuaXRvYmEsIFJvb20g
ODAxRCwgNzE1IE1jRGVybW90IEF2ZSwsIFdpbm5pcGVnLCBNQiBSM0UgM1A0LCBDYW5hZGEuIEFt
eS5IdWlAbWVkLnVtYW5pdG9iYS5jYS48L2F1dGgtYWRkcmVzcz48dGl0bGVzPjx0aXRsZT5FZmZl
Y3RzIG9mIGxpZmVzdHlsZSBpbnRlcnZlbnRpb24gb24gZGlldGFyeSBpbnRha2UsIHBoeXNpY2Fs
IGFjdGl2aXR5IGxldmVsLCBhbmQgZ2VzdGF0aW9uYWwgd2VpZ2h0IGdhaW4gaW4gcHJlZ25hbnQg
d29tZW4gd2l0aCBkaWZmZXJlbnQgcHJlLXByZWduYW5jeSBCb2R5IE1hc3MgSW5kZXggaW4gYSBy
YW5kb21pemVkIGNvbnRyb2wgdHJpYWw8L3RpdGxlPjxzZWNvbmRhcnktdGl0bGU+Qk1DIFByZWdu
YW5jeSBDaGlsZGJpcnRoPC9zZWNvbmRhcnktdGl0bGU+PC90aXRsZXM+PHBlcmlvZGljYWw+PGZ1
bGwtdGl0bGU+Qk1DIFByZWduYW5jeSBDaGlsZGJpcnRoPC9mdWxsLXRpdGxlPjwvcGVyaW9kaWNh
bD48cGFnZXM+MzMxPC9wYWdlcz48dm9sdW1lPjE0PC92b2x1bWU+PGVkaXRpb24+MjAxNC8wOS8y
NTwvZWRpdGlvbj48a2V5d29yZHM+PGtleXdvcmQ+QWR1bHQ8L2tleXdvcmQ+PGtleXdvcmQ+KkJv
ZHkgTWFzcyBJbmRleDwva2V5d29yZD48a2V5d29yZD5Db3Vuc2VsaW5nPC9rZXl3b3JkPjxrZXl3
b3JkPipEaWV0PC9rZXl3b3JkPjxrZXl3b3JkPkVuZXJneSBJbnRha2U8L2tleXdvcmQ+PGtleXdv
cmQ+RXhlcmNpc2UgVGhlcmFweS8qbWV0aG9kczwva2V5d29yZD48a2V5d29yZD5GZW1hbGU8L2tl
eXdvcmQ+PGtleXdvcmQ+Rm9sbG93LVVwIFN0dWRpZXM8L2tleXdvcmQ+PGtleXdvcmQ+R2VzdGF0
aW9uYWwgQWdlPC9rZXl3b3JkPjxrZXl3b3JkPkh1bWFuczwva2V5d29yZD48a2V5d29yZD4qTGlm
ZSBTdHlsZTwva2V5d29yZD48a2V5d29yZD5PYmVzaXR5L3ByZXZlbnRpb24gJmFtcDsgY29udHJv
bC8qdGhlcmFweTwva2V5d29yZD48a2V5d29yZD5QYXRpZW50IENvbXBsaWFuY2Uvc3RhdGlzdGlj
cyAmYW1wOyBudW1lcmljYWwgZGF0YTwva2V5d29yZD48a2V5d29yZD5QYXRpZW50IEVkdWNhdGlv
biBhcyBUb3BpYzwva2V5d29yZD48a2V5d29yZD5QcmVnbmFuY3k8L2tleXdvcmQ+PGtleXdvcmQ+
UHJlZ25hbmN5IE91dGNvbWU8L2tleXdvcmQ+PGtleXdvcmQ+UHJlbmF0YWwgQ2FyZS9tZXRob2Rz
PC9rZXl3b3JkPjxrZXl3b3JkPipXZWlnaHQgR2Fpbjwva2V5d29yZD48a2V5d29yZD5Zb3VuZyBB
ZHVsdDwva2V5d29yZD48L2tleXdvcmRzPjxkYXRlcz48eWVhcj4yMDE0PC95ZWFyPjxwdWItZGF0
ZXM+PGRhdGU+U2VwIDI0PC9kYXRlPjwvcHViLWRhdGVzPjwvZGF0ZXM+PGlzYm4+MTQ3MS0yMzkz
IChFbGVjdHJvbmljKSYjeEQ7MTQ3MS0yMzkzIChMaW5raW5nKTwvaXNibj48YWNjZXNzaW9uLW51
bT4yNTI0ODc5NzwvYWNjZXNzaW9uLW51bT48dXJscz48cmVsYXRlZC11cmxzPjx1cmw+aHR0cHM6
Ly93d3cubmNiaS5ubG0ubmloLmdvdi9wdWJtZWQvMjUyNDg3OTc8L3VybD48L3JlbGF0ZWQtdXJs
cz48L3VybHM+PGN1c3RvbTI+UE1DNDI4NzQ3MDwvY3VzdG9tMj48ZWxlY3Ryb25pYy1yZXNvdXJj
ZS1udW0+MTAuMTE4Ni8xNDcxLTIzOTMtMTQtMzMxPC9lbGVjdHJvbmljLXJlc291cmNlLW51bT48
L3JlY29yZD48L0NpdGU+PC9FbmROb3RlPgB=
</w:fldData>
              </w:fldChar>
            </w:r>
            <w:r w:rsidR="002747EA">
              <w:rPr>
                <w:szCs w:val="18"/>
              </w:rPr>
              <w:instrText xml:space="preserve"> ADDIN EN.CITE </w:instrText>
            </w:r>
            <w:r w:rsidR="002747EA">
              <w:rPr>
                <w:szCs w:val="18"/>
              </w:rPr>
              <w:fldChar w:fldCharType="begin">
                <w:fldData xml:space="preserve">PEVuZE5vdGU+PENpdGU+PEF1dGhvcj5IdWk8L0F1dGhvcj48WWVhcj4yMDE0PC9ZZWFyPjxSZWNO
dW0+NzYzPC9SZWNOdW0+PERpc3BsYXlUZXh0PjxzdHlsZSBmYWNlPSJzdXBlcnNjcmlwdCIgZm9u
dD0iVHJlYnVjaGV0IE1TIiBzaXplPSI5Ij40OTE8L3N0eWxlPjwvRGlzcGxheVRleHQ+PHJlY29y
ZD48cmVjLW51bWJlcj43NjM8L3JlYy1udW1iZXI+PGZvcmVpZ24ta2V5cz48a2V5IGFwcD0iRU4i
IGRiLWlkPSJleHZhc3JmeDJkdHJhb2VzYXN4cDJzenN4YTJkZjUwMjU5MngiIHRpbWVzdGFtcD0i
MTU0MTQ2ODQ0NiI+NzYzPC9rZXk+PC9mb3JlaWduLWtleXM+PHJlZi10eXBlIG5hbWU9IkpvdXJu
YWwgQXJ0aWNsZSI+MTc8L3JlZi10eXBlPjxjb250cmlidXRvcnM+PGF1dGhvcnM+PGF1dGhvcj5I
dWksIEEuIEwuPC9hdXRob3I+PGF1dGhvcj5CYWNrLCBMLjwvYXV0aG9yPjxhdXRob3I+THVkd2ln
LCBTLjwvYXV0aG9yPjxhdXRob3I+R2FyZGluZXIsIFAuPC9hdXRob3I+PGF1dGhvcj5TZXZlbmh1
eXNlbiwgRy48L2F1dGhvcj48YXV0aG9yPkRlYW4sIEguIEouPC9hdXRob3I+PGF1dGhvcj5TZWxs
ZXJzLCBFLjwvYXV0aG9yPjxhdXRob3I+TWNHYXZvY2ssIEouPC9hdXRob3I+PGF1dGhvcj5Nb3Jy
aXMsIE0uPC9hdXRob3I+PGF1dGhvcj5KaWFuZywgRC48L2F1dGhvcj48YXV0aG9yPlNoZW4sIEcu
IFguPC9hdXRob3I+PC9hdXRob3JzPjwvY29udHJpYnV0b3JzPjxhdXRoLWFkZHJlc3M+RGVwYXJ0
bWVudHMgb2YgSW50ZXJuYWwgTWVkaWNpbmUsIFVuaXZlcnNpdHkgb2YgTWFuaXRvYmEsIFJvb20g
ODAxRCwgNzE1IE1jRGVybW90IEF2ZSwsIFdpbm5pcGVnLCBNQiBSM0UgM1A0LCBDYW5hZGEuIEFt
eS5IdWlAbWVkLnVtYW5pdG9iYS5jYS48L2F1dGgtYWRkcmVzcz48dGl0bGVzPjx0aXRsZT5FZmZl
Y3RzIG9mIGxpZmVzdHlsZSBpbnRlcnZlbnRpb24gb24gZGlldGFyeSBpbnRha2UsIHBoeXNpY2Fs
IGFjdGl2aXR5IGxldmVsLCBhbmQgZ2VzdGF0aW9uYWwgd2VpZ2h0IGdhaW4gaW4gcHJlZ25hbnQg
d29tZW4gd2l0aCBkaWZmZXJlbnQgcHJlLXByZWduYW5jeSBCb2R5IE1hc3MgSW5kZXggaW4gYSBy
YW5kb21pemVkIGNvbnRyb2wgdHJpYWw8L3RpdGxlPjxzZWNvbmRhcnktdGl0bGU+Qk1DIFByZWdu
YW5jeSBDaGlsZGJpcnRoPC9zZWNvbmRhcnktdGl0bGU+PC90aXRsZXM+PHBlcmlvZGljYWw+PGZ1
bGwtdGl0bGU+Qk1DIFByZWduYW5jeSBDaGlsZGJpcnRoPC9mdWxsLXRpdGxlPjwvcGVyaW9kaWNh
bD48cGFnZXM+MzMxPC9wYWdlcz48dm9sdW1lPjE0PC92b2x1bWU+PGVkaXRpb24+MjAxNC8wOS8y
NTwvZWRpdGlvbj48a2V5d29yZHM+PGtleXdvcmQ+QWR1bHQ8L2tleXdvcmQ+PGtleXdvcmQ+KkJv
ZHkgTWFzcyBJbmRleDwva2V5d29yZD48a2V5d29yZD5Db3Vuc2VsaW5nPC9rZXl3b3JkPjxrZXl3
b3JkPipEaWV0PC9rZXl3b3JkPjxrZXl3b3JkPkVuZXJneSBJbnRha2U8L2tleXdvcmQ+PGtleXdv
cmQ+RXhlcmNpc2UgVGhlcmFweS8qbWV0aG9kczwva2V5d29yZD48a2V5d29yZD5GZW1hbGU8L2tl
eXdvcmQ+PGtleXdvcmQ+Rm9sbG93LVVwIFN0dWRpZXM8L2tleXdvcmQ+PGtleXdvcmQ+R2VzdGF0
aW9uYWwgQWdlPC9rZXl3b3JkPjxrZXl3b3JkPkh1bWFuczwva2V5d29yZD48a2V5d29yZD4qTGlm
ZSBTdHlsZTwva2V5d29yZD48a2V5d29yZD5PYmVzaXR5L3ByZXZlbnRpb24gJmFtcDsgY29udHJv
bC8qdGhlcmFweTwva2V5d29yZD48a2V5d29yZD5QYXRpZW50IENvbXBsaWFuY2Uvc3RhdGlzdGlj
cyAmYW1wOyBudW1lcmljYWwgZGF0YTwva2V5d29yZD48a2V5d29yZD5QYXRpZW50IEVkdWNhdGlv
biBhcyBUb3BpYzwva2V5d29yZD48a2V5d29yZD5QcmVnbmFuY3k8L2tleXdvcmQ+PGtleXdvcmQ+
UHJlZ25hbmN5IE91dGNvbWU8L2tleXdvcmQ+PGtleXdvcmQ+UHJlbmF0YWwgQ2FyZS9tZXRob2Rz
PC9rZXl3b3JkPjxrZXl3b3JkPipXZWlnaHQgR2Fpbjwva2V5d29yZD48a2V5d29yZD5Zb3VuZyBB
ZHVsdDwva2V5d29yZD48L2tleXdvcmRzPjxkYXRlcz48eWVhcj4yMDE0PC95ZWFyPjxwdWItZGF0
ZXM+PGRhdGU+U2VwIDI0PC9kYXRlPjwvcHViLWRhdGVzPjwvZGF0ZXM+PGlzYm4+MTQ3MS0yMzkz
IChFbGVjdHJvbmljKSYjeEQ7MTQ3MS0yMzkzIChMaW5raW5nKTwvaXNibj48YWNjZXNzaW9uLW51
bT4yNTI0ODc5NzwvYWNjZXNzaW9uLW51bT48dXJscz48cmVsYXRlZC11cmxzPjx1cmw+aHR0cHM6
Ly93d3cubmNiaS5ubG0ubmloLmdvdi9wdWJtZWQvMjUyNDg3OTc8L3VybD48L3JlbGF0ZWQtdXJs
cz48L3VybHM+PGN1c3RvbTI+UE1DNDI4NzQ3MDwvY3VzdG9tMj48ZWxlY3Ryb25pYy1yZXNvdXJj
ZS1udW0+MTAuMTE4Ni8xNDcxLTIzOTMtMTQtMzMxPC9lbGVjdHJvbmljLXJlc291cmNlLW51bT48
L3JlY29yZD48L0NpdGU+PC9FbmROb3RlPgB=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491</w:t>
            </w:r>
            <w:r w:rsidRPr="00D00A59">
              <w:rPr>
                <w:szCs w:val="18"/>
              </w:rPr>
              <w:fldChar w:fldCharType="end"/>
            </w:r>
          </w:p>
          <w:p w14:paraId="575FC15A" w14:textId="77777777" w:rsidR="00973D70" w:rsidRPr="00D00A59" w:rsidRDefault="00973D70" w:rsidP="00A62770">
            <w:pPr>
              <w:rPr>
                <w:szCs w:val="18"/>
              </w:rPr>
            </w:pPr>
            <w:r w:rsidRPr="00D00A59">
              <w:rPr>
                <w:szCs w:val="18"/>
              </w:rPr>
              <w:t>Canada</w:t>
            </w:r>
          </w:p>
        </w:tc>
        <w:tc>
          <w:tcPr>
            <w:tcW w:w="1562" w:type="dxa"/>
          </w:tcPr>
          <w:p w14:paraId="0F8973C3" w14:textId="77777777" w:rsidR="00973D70" w:rsidRPr="00D00A59" w:rsidRDefault="00973D70" w:rsidP="00A75579">
            <w:pPr>
              <w:rPr>
                <w:szCs w:val="18"/>
              </w:rPr>
            </w:pPr>
            <w:r w:rsidRPr="00D00A59">
              <w:rPr>
                <w:szCs w:val="18"/>
              </w:rPr>
              <w:t>Intervention 57</w:t>
            </w:r>
          </w:p>
          <w:p w14:paraId="272AC00E" w14:textId="77777777" w:rsidR="00973D70" w:rsidRPr="00D00A59" w:rsidRDefault="00973D70" w:rsidP="00A75579">
            <w:pPr>
              <w:rPr>
                <w:szCs w:val="18"/>
              </w:rPr>
            </w:pPr>
            <w:r w:rsidRPr="00D00A59">
              <w:rPr>
                <w:szCs w:val="18"/>
              </w:rPr>
              <w:t>Control 56</w:t>
            </w:r>
          </w:p>
        </w:tc>
        <w:tc>
          <w:tcPr>
            <w:tcW w:w="5393" w:type="dxa"/>
          </w:tcPr>
          <w:p w14:paraId="2E16A61D" w14:textId="77777777" w:rsidR="00973D70" w:rsidRPr="00D00A59" w:rsidRDefault="00973D70" w:rsidP="00A75579">
            <w:pPr>
              <w:rPr>
                <w:szCs w:val="18"/>
              </w:rPr>
            </w:pPr>
            <w:r w:rsidRPr="00D00A59">
              <w:rPr>
                <w:b/>
                <w:szCs w:val="18"/>
              </w:rPr>
              <w:t>Aim</w:t>
            </w:r>
            <w:r w:rsidRPr="00D00A59">
              <w:rPr>
                <w:szCs w:val="18"/>
              </w:rPr>
              <w:t xml:space="preserve">: To assess the efficacy of lifestyle intervention on gestational weight gain in pregnant women with normal and above normal body mass index (BMI). </w:t>
            </w:r>
          </w:p>
          <w:p w14:paraId="35EF75E3" w14:textId="77777777" w:rsidR="00973D70" w:rsidRPr="00D00A59" w:rsidRDefault="00973D70" w:rsidP="00A75579">
            <w:pPr>
              <w:rPr>
                <w:szCs w:val="18"/>
              </w:rPr>
            </w:pPr>
            <w:r w:rsidRPr="00D00A59">
              <w:rPr>
                <w:b/>
                <w:szCs w:val="18"/>
              </w:rPr>
              <w:t>Population</w:t>
            </w:r>
            <w:r w:rsidRPr="00D00A59">
              <w:rPr>
                <w:szCs w:val="18"/>
              </w:rPr>
              <w:t>: Pregnant women at &lt;20 weeks gestation without diabetes. Mixed BMIs.</w:t>
            </w:r>
          </w:p>
          <w:p w14:paraId="3E8A46A7" w14:textId="77777777" w:rsidR="00973D70" w:rsidRPr="00D00A59" w:rsidRDefault="00973D70" w:rsidP="00A75579">
            <w:pPr>
              <w:pStyle w:val="RCTstable"/>
              <w:rPr>
                <w:sz w:val="18"/>
                <w:szCs w:val="18"/>
              </w:rPr>
            </w:pPr>
            <w:r w:rsidRPr="00D00A59">
              <w:rPr>
                <w:b/>
                <w:sz w:val="18"/>
                <w:szCs w:val="18"/>
              </w:rPr>
              <w:t>Intervention</w:t>
            </w:r>
            <w:r w:rsidRPr="00D00A59">
              <w:rPr>
                <w:sz w:val="18"/>
                <w:szCs w:val="18"/>
              </w:rPr>
              <w:t>: Women in the intervention group received weekly trainer-led group exercise sessions, instructed home exercise for 3-5-times/week during 20-36 weeks of gestation, and dietary counselling twice during pregnancy.</w:t>
            </w:r>
          </w:p>
          <w:p w14:paraId="59C54F8E" w14:textId="77777777" w:rsidR="00973D70" w:rsidRPr="00D00A59" w:rsidRDefault="00973D70" w:rsidP="00A75579">
            <w:pPr>
              <w:pStyle w:val="RCTstable"/>
              <w:rPr>
                <w:sz w:val="18"/>
                <w:szCs w:val="18"/>
              </w:rPr>
            </w:pPr>
            <w:r w:rsidRPr="00D00A59">
              <w:rPr>
                <w:sz w:val="18"/>
                <w:szCs w:val="18"/>
              </w:rPr>
              <w:t>Dietary interviews and counselling were provided twice to each woman by registered dietitians, at enrolment and 2 months after enrolment. The dietary interview was assisted with a Food Choice Map, a computerised dietary interview tool.</w:t>
            </w:r>
          </w:p>
          <w:p w14:paraId="0189E118" w14:textId="77777777" w:rsidR="00973D70" w:rsidRPr="00D00A59" w:rsidRDefault="00973D70" w:rsidP="00A75579">
            <w:pPr>
              <w:rPr>
                <w:szCs w:val="18"/>
              </w:rPr>
            </w:pPr>
            <w:r w:rsidRPr="00D00A59">
              <w:rPr>
                <w:szCs w:val="18"/>
              </w:rPr>
              <w:t>Floor aerobic, stretching and strength exercises were led by licensed fitness trainers in group sessions. An exercise instruction video was provided to women to assist their home exercise. Women recorded daily physical activities in logbook.</w:t>
            </w:r>
          </w:p>
        </w:tc>
        <w:tc>
          <w:tcPr>
            <w:tcW w:w="5664" w:type="dxa"/>
          </w:tcPr>
          <w:p w14:paraId="218CF56A" w14:textId="77777777" w:rsidR="00973D70" w:rsidRPr="00D00A59" w:rsidRDefault="00973D70" w:rsidP="00A75579">
            <w:pPr>
              <w:rPr>
                <w:szCs w:val="18"/>
              </w:rPr>
            </w:pPr>
            <w:r w:rsidRPr="00D00A59">
              <w:rPr>
                <w:szCs w:val="18"/>
              </w:rPr>
              <w:t>Intervention vs control</w:t>
            </w:r>
          </w:p>
          <w:p w14:paraId="37AFB6FB" w14:textId="77777777" w:rsidR="00973D70" w:rsidRPr="00D00A59" w:rsidRDefault="00973D70" w:rsidP="00A75579">
            <w:pPr>
              <w:pStyle w:val="bullet"/>
              <w:rPr>
                <w:szCs w:val="18"/>
              </w:rPr>
            </w:pPr>
            <w:r w:rsidRPr="00D00A59">
              <w:rPr>
                <w:szCs w:val="18"/>
              </w:rPr>
              <w:t xml:space="preserve">Gestational weight gain </w:t>
            </w:r>
          </w:p>
          <w:p w14:paraId="6B0B877F" w14:textId="77777777" w:rsidR="00973D70" w:rsidRPr="00D00A59" w:rsidRDefault="00973D70" w:rsidP="00A75579">
            <w:pPr>
              <w:pStyle w:val="subbullet"/>
              <w:ind w:left="594" w:hanging="234"/>
              <w:rPr>
                <w:szCs w:val="18"/>
              </w:rPr>
            </w:pPr>
            <w:r w:rsidRPr="00D00A59">
              <w:rPr>
                <w:szCs w:val="18"/>
              </w:rPr>
              <w:t>BMI≤24.9: 12.9±3.72 (n=30) vs 16.23±4.38 (n=27)</w:t>
            </w:r>
          </w:p>
          <w:p w14:paraId="345A003C" w14:textId="77777777" w:rsidR="00973D70" w:rsidRPr="00D00A59" w:rsidRDefault="00973D70" w:rsidP="00A75579">
            <w:pPr>
              <w:pStyle w:val="subbullet"/>
              <w:ind w:left="594" w:hanging="234"/>
              <w:rPr>
                <w:szCs w:val="18"/>
              </w:rPr>
            </w:pPr>
            <w:r w:rsidRPr="00D00A59">
              <w:rPr>
                <w:szCs w:val="18"/>
              </w:rPr>
              <w:t>BMI≥25: 15.21±7.5 (n=27) vs 14.39±7.05 (n=29)</w:t>
            </w:r>
          </w:p>
          <w:p w14:paraId="7BC7C341" w14:textId="77777777" w:rsidR="00973D70" w:rsidRPr="00D00A59" w:rsidRDefault="00973D70" w:rsidP="00A75579">
            <w:pPr>
              <w:pStyle w:val="bullet"/>
              <w:rPr>
                <w:szCs w:val="18"/>
              </w:rPr>
            </w:pPr>
            <w:r w:rsidRPr="00D00A59">
              <w:rPr>
                <w:szCs w:val="18"/>
              </w:rPr>
              <w:t>Weight gain &gt;IOM guidelines: 21/57 vs 30/56</w:t>
            </w:r>
          </w:p>
          <w:p w14:paraId="399A7D10" w14:textId="77777777" w:rsidR="00973D70" w:rsidRPr="00D00A59" w:rsidRDefault="00973D70" w:rsidP="00A75579">
            <w:pPr>
              <w:pStyle w:val="bullet"/>
              <w:rPr>
                <w:szCs w:val="18"/>
              </w:rPr>
            </w:pPr>
            <w:r w:rsidRPr="00D00A59">
              <w:rPr>
                <w:szCs w:val="18"/>
              </w:rPr>
              <w:t>Gestational diabetes: 1/57 vs 3/56</w:t>
            </w:r>
          </w:p>
          <w:p w14:paraId="76BCB0BE" w14:textId="77777777" w:rsidR="00973D70" w:rsidRPr="00D00A59" w:rsidRDefault="00973D70" w:rsidP="00A75579">
            <w:pPr>
              <w:pStyle w:val="bullet"/>
              <w:rPr>
                <w:szCs w:val="18"/>
              </w:rPr>
            </w:pPr>
            <w:r w:rsidRPr="00D00A59">
              <w:rPr>
                <w:szCs w:val="18"/>
              </w:rPr>
              <w:t>Caesarean section: 0/57 vs 2/56</w:t>
            </w:r>
          </w:p>
          <w:p w14:paraId="3FD5525F" w14:textId="77777777" w:rsidR="00973D70" w:rsidRPr="00D00A59" w:rsidRDefault="00973D70" w:rsidP="00A75579">
            <w:pPr>
              <w:pStyle w:val="bullet"/>
              <w:rPr>
                <w:szCs w:val="18"/>
              </w:rPr>
            </w:pPr>
            <w:r w:rsidRPr="00D00A59">
              <w:rPr>
                <w:szCs w:val="18"/>
              </w:rPr>
              <w:t>Large for gestational age: 6/57 vs 4/56</w:t>
            </w:r>
          </w:p>
        </w:tc>
      </w:tr>
      <w:tr w:rsidR="00973D70" w:rsidRPr="00D00A59" w14:paraId="10C8996A" w14:textId="77777777" w:rsidTr="0030223E">
        <w:trPr>
          <w:cantSplit/>
        </w:trPr>
        <w:tc>
          <w:tcPr>
            <w:tcW w:w="1417" w:type="dxa"/>
          </w:tcPr>
          <w:p w14:paraId="457B9481" w14:textId="2868FFBA" w:rsidR="00973D70" w:rsidRPr="00D00A59" w:rsidRDefault="00973D70" w:rsidP="00A62770">
            <w:pPr>
              <w:rPr>
                <w:szCs w:val="18"/>
              </w:rPr>
            </w:pPr>
            <w:r w:rsidRPr="00654EEB">
              <w:t>Jing et al 2015</w:t>
            </w:r>
            <w:r w:rsidRPr="00D00A59">
              <w:rPr>
                <w:szCs w:val="18"/>
              </w:rPr>
              <w:fldChar w:fldCharType="begin">
                <w:fldData xml:space="preserve">PEVuZE5vdGU+PENpdGU+PEF1dGhvcj5KaW5nPC9BdXRob3I+PFllYXI+MjAxNTwvWWVhcj48UmVj
TnVtPjYwOTwvUmVjTnVtPjxEaXNwbGF5VGV4dD48c3R5bGUgZmFjZT0ic3VwZXJzY3JpcHQiIGZv
bnQ9IlRyZWJ1Y2hldCBNUyIgc2l6ZT0iOSI+NDkyPC9zdHlsZT48L0Rpc3BsYXlUZXh0PjxyZWNv
cmQ+PHJlYy1udW1iZXI+NjA5PC9yZWMtbnVtYmVyPjxmb3JlaWduLWtleXM+PGtleSBhcHA9IkVO
IiBkYi1pZD0iZXh2YXNyZngyZHRyYW9lc2FzeHAyc3pzeGEyZGY1MDI1OTJ4IiB0aW1lc3RhbXA9
IjE1MzkwNDgzMzkiPjYwOTwva2V5PjxrZXkgYXBwPSJFTldlYiIgZGItaWQ9IiI+MDwva2V5Pjwv
Zm9yZWlnbi1rZXlzPjxyZWYtdHlwZSBuYW1lPSJKb3VybmFsIEFydGljbGUiPjE3PC9yZWYtdHlw
ZT48Y29udHJpYnV0b3JzPjxhdXRob3JzPjxhdXRob3I+SmluZywgVy48L2F1dGhvcj48YXV0aG9y
Pkh1YW5nLCBZLjwvYXV0aG9yPjxhdXRob3I+TGl1LCBYLjwvYXV0aG9yPjxhdXRob3I+THVvLCBC
LjwvYXV0aG9yPjxhdXRob3I+WWFuZywgWS48L2F1dGhvcj48YXV0aG9yPkxpYW8sIFMuPC9hdXRo
b3I+PC9hdXRob3JzPjwvY29udHJpYnV0b3JzPjxhdXRoLWFkZHJlc3M+RGVwYXJ0bWVudCBvZiBP
YnN0ZXRyaWNzLCBXZXN0IENoaW5hIFNlY29uZCBVbml2ZXJzaXR5IEhvc3BpdGFsLCBTaWNodWFu
IFVuaXZlcnNpdHksIENoZW5nZHUsIFNpY2h1YW4sIENoaW5hLiYjeEQ7RGVwYXJ0bWVudCBvZiBP
YnN0ZXRyaWNzLCBXZXN0IENoaW5hIFNlY29uZCBVbml2ZXJzaXR5IEhvc3BpdGFsLCBTaWNodWFu
IFVuaXZlcnNpdHksIENoZW5nZHUsIFNpY2h1YW4sIENoaW5hLiBFbGVjdHJvbmljIGFkZHJlc3M6
IDI4NDI3MDc3OEBxcS5jb20uPC9hdXRoLWFkZHJlc3M+PHRpdGxlcz48dGl0bGU+VGhlIGVmZmVj
dCBvZiBhIHBlcnNvbmFsaXplZCBpbnRlcnZlbnRpb24gb24gd2VpZ2h0IGdhaW4gYW5kIHBoeXNp
Y2FsIGFjdGl2aXR5IGFtb25nIHByZWduYW50IHdvbWVuIGluIENoaW5hPC90aXRsZT48c2Vjb25k
YXJ5LXRpdGxlPkludCBKIEd5bmFlY29sIE9ic3RldDwvc2Vjb25kYXJ5LXRpdGxlPjwvdGl0bGVz
PjxwZXJpb2RpY2FsPjxmdWxsLXRpdGxlPkludCBKIEd5bmFlY29sIE9ic3RldDwvZnVsbC10aXRs
ZT48L3BlcmlvZGljYWw+PHBhZ2VzPjEzOC00MTwvcGFnZXM+PHZvbHVtZT4xMjk8L3ZvbHVtZT48
bnVtYmVyPjI8L251bWJlcj48ZWRpdGlvbj4yMDE1LzAyLzI0PC9lZGl0aW9uPjxrZXl3b3Jkcz48
a2V5d29yZD5BZHVsdDwva2V5d29yZD48a2V5d29yZD5DaGluYTwva2V5d29yZD48a2V5d29yZD5E
aWFiZXRlcywgR2VzdGF0aW9uYWwvcHJldmVudGlvbiAmYW1wOyBjb250cm9sPC9rZXl3b3JkPjxr
ZXl3b3JkPkRpZXQ8L2tleXdvcmQ+PGtleXdvcmQ+RmVtYWxlPC9rZXl3b3JkPjxrZXl3b3JkPkh1
bWFuczwva2V5d29yZD48a2V5d29yZD4qTW90b3IgQWN0aXZpdHk8L2tleXdvcmQ+PGtleXdvcmQ+
UHJlZ25hbmN5PC9rZXl3b3JkPjxrZXl3b3JkPlByZWduYW5jeSBDb21wbGljYXRpb25zLypwcmV2
ZW50aW9uICZhbXA7IGNvbnRyb2w8L2tleXdvcmQ+PGtleXdvcmQ+UHJlbmF0YWwgRWR1Y2F0aW9u
LyptZXRob2RzPC9rZXl3b3JkPjxrZXl3b3JkPlByZW5hdGFsIE51dHJpdGlvbmFsIFBoeXNpb2xv
Z2ljYWwgUGhlbm9tZW5hPC9rZXl3b3JkPjxrZXl3b3JkPlN1cnZleXMgYW5kIFF1ZXN0aW9ubmFp
cmVzPC9rZXl3b3JkPjxrZXl3b3JkPipXZWlnaHQgR2Fpbjwva2V5d29yZD48a2V5d29yZD5FeGNl
c3NpdmUgd2VpZ2h0IGdhaW48L2tleXdvcmQ+PGtleXdvcmQ+R2VzdGF0aW9uYWwgZGlhYmV0ZXMg
bWVsbGl0dXM8L2tleXdvcmQ+PGtleXdvcmQ+SGVhbHRoIGJlbGllZiBtb2RlbDwva2V5d29yZD48
a2V5d29yZD5JbnRlcnZlbnRpb248L2tleXdvcmQ+PGtleXdvcmQ+UGh5c2ljYWwgYWN0aXZpdHk8
L2tleXdvcmQ+PC9rZXl3b3Jkcz48ZGF0ZXM+PHllYXI+MjAxNTwveWVhcj48cHViLWRhdGVzPjxk
YXRlPk1heTwvZGF0ZT48L3B1Yi1kYXRlcz48L2RhdGVzPjxpc2JuPjE4NzktMzQ3OSAoRWxlY3Ry
b25pYykmI3hEOzAwMjAtNzI5MiAoTGlua2luZyk8L2lzYm4+PGFjY2Vzc2lvbi1udW0+MjU2OTc5
NjU8L2FjY2Vzc2lvbi1udW0+PHVybHM+PHJlbGF0ZWQtdXJscz48dXJsPmh0dHBzOi8vd3d3Lm5j
YmkubmxtLm5paC5nb3YvcHVibWVkLzI1Njk3OTY1PC91cmw+PC9yZWxhdGVkLXVybHM+PC91cmxz
PjxlbGVjdHJvbmljLXJlc291cmNlLW51bT4xMC4xMDE2L2ouaWpnby4yMDE0LjExLjAxNDwvZWxl
Y3Ryb25pYy1yZXNvdXJjZS1udW0+PC9yZWNvcmQ+PC9DaXRlPjwvRW5kTm90ZT4A
</w:fldData>
              </w:fldChar>
            </w:r>
            <w:r w:rsidR="002747EA">
              <w:rPr>
                <w:szCs w:val="18"/>
              </w:rPr>
              <w:instrText xml:space="preserve"> ADDIN EN.CITE </w:instrText>
            </w:r>
            <w:r w:rsidR="002747EA">
              <w:rPr>
                <w:szCs w:val="18"/>
              </w:rPr>
              <w:fldChar w:fldCharType="begin">
                <w:fldData xml:space="preserve">PEVuZE5vdGU+PENpdGU+PEF1dGhvcj5KaW5nPC9BdXRob3I+PFllYXI+MjAxNTwvWWVhcj48UmVj
TnVtPjYwOTwvUmVjTnVtPjxEaXNwbGF5VGV4dD48c3R5bGUgZmFjZT0ic3VwZXJzY3JpcHQiIGZv
bnQ9IlRyZWJ1Y2hldCBNUyIgc2l6ZT0iOSI+NDkyPC9zdHlsZT48L0Rpc3BsYXlUZXh0PjxyZWNv
cmQ+PHJlYy1udW1iZXI+NjA5PC9yZWMtbnVtYmVyPjxmb3JlaWduLWtleXM+PGtleSBhcHA9IkVO
IiBkYi1pZD0iZXh2YXNyZngyZHRyYW9lc2FzeHAyc3pzeGEyZGY1MDI1OTJ4IiB0aW1lc3RhbXA9
IjE1MzkwNDgzMzkiPjYwOTwva2V5PjxrZXkgYXBwPSJFTldlYiIgZGItaWQ9IiI+MDwva2V5Pjwv
Zm9yZWlnbi1rZXlzPjxyZWYtdHlwZSBuYW1lPSJKb3VybmFsIEFydGljbGUiPjE3PC9yZWYtdHlw
ZT48Y29udHJpYnV0b3JzPjxhdXRob3JzPjxhdXRob3I+SmluZywgVy48L2F1dGhvcj48YXV0aG9y
Pkh1YW5nLCBZLjwvYXV0aG9yPjxhdXRob3I+TGl1LCBYLjwvYXV0aG9yPjxhdXRob3I+THVvLCBC
LjwvYXV0aG9yPjxhdXRob3I+WWFuZywgWS48L2F1dGhvcj48YXV0aG9yPkxpYW8sIFMuPC9hdXRo
b3I+PC9hdXRob3JzPjwvY29udHJpYnV0b3JzPjxhdXRoLWFkZHJlc3M+RGVwYXJ0bWVudCBvZiBP
YnN0ZXRyaWNzLCBXZXN0IENoaW5hIFNlY29uZCBVbml2ZXJzaXR5IEhvc3BpdGFsLCBTaWNodWFu
IFVuaXZlcnNpdHksIENoZW5nZHUsIFNpY2h1YW4sIENoaW5hLiYjeEQ7RGVwYXJ0bWVudCBvZiBP
YnN0ZXRyaWNzLCBXZXN0IENoaW5hIFNlY29uZCBVbml2ZXJzaXR5IEhvc3BpdGFsLCBTaWNodWFu
IFVuaXZlcnNpdHksIENoZW5nZHUsIFNpY2h1YW4sIENoaW5hLiBFbGVjdHJvbmljIGFkZHJlc3M6
IDI4NDI3MDc3OEBxcS5jb20uPC9hdXRoLWFkZHJlc3M+PHRpdGxlcz48dGl0bGU+VGhlIGVmZmVj
dCBvZiBhIHBlcnNvbmFsaXplZCBpbnRlcnZlbnRpb24gb24gd2VpZ2h0IGdhaW4gYW5kIHBoeXNp
Y2FsIGFjdGl2aXR5IGFtb25nIHByZWduYW50IHdvbWVuIGluIENoaW5hPC90aXRsZT48c2Vjb25k
YXJ5LXRpdGxlPkludCBKIEd5bmFlY29sIE9ic3RldDwvc2Vjb25kYXJ5LXRpdGxlPjwvdGl0bGVz
PjxwZXJpb2RpY2FsPjxmdWxsLXRpdGxlPkludCBKIEd5bmFlY29sIE9ic3RldDwvZnVsbC10aXRs
ZT48L3BlcmlvZGljYWw+PHBhZ2VzPjEzOC00MTwvcGFnZXM+PHZvbHVtZT4xMjk8L3ZvbHVtZT48
bnVtYmVyPjI8L251bWJlcj48ZWRpdGlvbj4yMDE1LzAyLzI0PC9lZGl0aW9uPjxrZXl3b3Jkcz48
a2V5d29yZD5BZHVsdDwva2V5d29yZD48a2V5d29yZD5DaGluYTwva2V5d29yZD48a2V5d29yZD5E
aWFiZXRlcywgR2VzdGF0aW9uYWwvcHJldmVudGlvbiAmYW1wOyBjb250cm9sPC9rZXl3b3JkPjxr
ZXl3b3JkPkRpZXQ8L2tleXdvcmQ+PGtleXdvcmQ+RmVtYWxlPC9rZXl3b3JkPjxrZXl3b3JkPkh1
bWFuczwva2V5d29yZD48a2V5d29yZD4qTW90b3IgQWN0aXZpdHk8L2tleXdvcmQ+PGtleXdvcmQ+
UHJlZ25hbmN5PC9rZXl3b3JkPjxrZXl3b3JkPlByZWduYW5jeSBDb21wbGljYXRpb25zLypwcmV2
ZW50aW9uICZhbXA7IGNvbnRyb2w8L2tleXdvcmQ+PGtleXdvcmQ+UHJlbmF0YWwgRWR1Y2F0aW9u
LyptZXRob2RzPC9rZXl3b3JkPjxrZXl3b3JkPlByZW5hdGFsIE51dHJpdGlvbmFsIFBoeXNpb2xv
Z2ljYWwgUGhlbm9tZW5hPC9rZXl3b3JkPjxrZXl3b3JkPlN1cnZleXMgYW5kIFF1ZXN0aW9ubmFp
cmVzPC9rZXl3b3JkPjxrZXl3b3JkPipXZWlnaHQgR2Fpbjwva2V5d29yZD48a2V5d29yZD5FeGNl
c3NpdmUgd2VpZ2h0IGdhaW48L2tleXdvcmQ+PGtleXdvcmQ+R2VzdGF0aW9uYWwgZGlhYmV0ZXMg
bWVsbGl0dXM8L2tleXdvcmQ+PGtleXdvcmQ+SGVhbHRoIGJlbGllZiBtb2RlbDwva2V5d29yZD48
a2V5d29yZD5JbnRlcnZlbnRpb248L2tleXdvcmQ+PGtleXdvcmQ+UGh5c2ljYWwgYWN0aXZpdHk8
L2tleXdvcmQ+PC9rZXl3b3Jkcz48ZGF0ZXM+PHllYXI+MjAxNTwveWVhcj48cHViLWRhdGVzPjxk
YXRlPk1heTwvZGF0ZT48L3B1Yi1kYXRlcz48L2RhdGVzPjxpc2JuPjE4NzktMzQ3OSAoRWxlY3Ry
b25pYykmI3hEOzAwMjAtNzI5MiAoTGlua2luZyk8L2lzYm4+PGFjY2Vzc2lvbi1udW0+MjU2OTc5
NjU8L2FjY2Vzc2lvbi1udW0+PHVybHM+PHJlbGF0ZWQtdXJscz48dXJsPmh0dHBzOi8vd3d3Lm5j
YmkubmxtLm5paC5nb3YvcHVibWVkLzI1Njk3OTY1PC91cmw+PC9yZWxhdGVkLXVybHM+PC91cmxz
PjxlbGVjdHJvbmljLXJlc291cmNlLW51bT4xMC4xMDE2L2ouaWpnby4yMDE0LjExLjAxNDwvZWxl
Y3Ryb25pYy1yZXNvdXJjZS1udW0+PC9yZWNvcmQ+PC9DaXRlPjwvRW5kTm90ZT4A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492</w:t>
            </w:r>
            <w:r w:rsidRPr="00D00A59">
              <w:rPr>
                <w:szCs w:val="18"/>
              </w:rPr>
              <w:fldChar w:fldCharType="end"/>
            </w:r>
          </w:p>
          <w:p w14:paraId="30FCDFD2" w14:textId="77777777" w:rsidR="00973D70" w:rsidRPr="00D00A59" w:rsidRDefault="00973D70" w:rsidP="00A62770">
            <w:pPr>
              <w:rPr>
                <w:szCs w:val="18"/>
              </w:rPr>
            </w:pPr>
            <w:r w:rsidRPr="00D00A59">
              <w:rPr>
                <w:szCs w:val="18"/>
              </w:rPr>
              <w:t>China</w:t>
            </w:r>
          </w:p>
        </w:tc>
        <w:tc>
          <w:tcPr>
            <w:tcW w:w="1562" w:type="dxa"/>
          </w:tcPr>
          <w:p w14:paraId="702355A6" w14:textId="77777777" w:rsidR="00973D70" w:rsidRPr="00D00A59" w:rsidRDefault="00973D70" w:rsidP="00A75579">
            <w:pPr>
              <w:rPr>
                <w:szCs w:val="18"/>
              </w:rPr>
            </w:pPr>
            <w:r w:rsidRPr="00D00A59">
              <w:rPr>
                <w:szCs w:val="18"/>
              </w:rPr>
              <w:t>Intervention 115</w:t>
            </w:r>
          </w:p>
          <w:p w14:paraId="1699C3C2" w14:textId="77777777" w:rsidR="00973D70" w:rsidRPr="00D00A59" w:rsidRDefault="00973D70" w:rsidP="00A75579">
            <w:pPr>
              <w:rPr>
                <w:szCs w:val="18"/>
              </w:rPr>
            </w:pPr>
            <w:r w:rsidRPr="00D00A59">
              <w:rPr>
                <w:szCs w:val="18"/>
              </w:rPr>
              <w:t>Control 106</w:t>
            </w:r>
          </w:p>
        </w:tc>
        <w:tc>
          <w:tcPr>
            <w:tcW w:w="5393" w:type="dxa"/>
          </w:tcPr>
          <w:p w14:paraId="23F7A618" w14:textId="77777777" w:rsidR="00973D70" w:rsidRPr="00D00A59" w:rsidRDefault="00973D70" w:rsidP="00A75579">
            <w:pPr>
              <w:rPr>
                <w:szCs w:val="18"/>
              </w:rPr>
            </w:pPr>
            <w:r w:rsidRPr="00D00A59">
              <w:rPr>
                <w:b/>
                <w:szCs w:val="18"/>
              </w:rPr>
              <w:t>Aim</w:t>
            </w:r>
            <w:r w:rsidRPr="00D00A59">
              <w:rPr>
                <w:szCs w:val="18"/>
              </w:rPr>
              <w:t xml:space="preserve">: To examine whether personalized interventions could improve dietary intake and physical activity among pregnant women. </w:t>
            </w:r>
          </w:p>
          <w:p w14:paraId="6EABBE88" w14:textId="77777777" w:rsidR="00973D70" w:rsidRPr="00D00A59" w:rsidRDefault="00973D70" w:rsidP="00A75579">
            <w:pPr>
              <w:rPr>
                <w:szCs w:val="18"/>
              </w:rPr>
            </w:pPr>
            <w:r w:rsidRPr="00D00A59">
              <w:rPr>
                <w:b/>
                <w:szCs w:val="18"/>
              </w:rPr>
              <w:t>Population</w:t>
            </w:r>
            <w:r w:rsidRPr="00D00A59">
              <w:rPr>
                <w:szCs w:val="18"/>
              </w:rPr>
              <w:t>: Women with a singleton pregnancy (aged ≥18 years, without pre-existing diabetes) were enrolled at approximately 12 weeks. Mixed BMIs.</w:t>
            </w:r>
          </w:p>
          <w:p w14:paraId="4DB9631D" w14:textId="77777777" w:rsidR="00973D70" w:rsidRPr="00D00A59" w:rsidRDefault="00973D70" w:rsidP="00A75579">
            <w:pPr>
              <w:rPr>
                <w:szCs w:val="18"/>
              </w:rPr>
            </w:pPr>
            <w:r w:rsidRPr="00D00A59">
              <w:rPr>
                <w:b/>
                <w:szCs w:val="18"/>
              </w:rPr>
              <w:t>Intervention</w:t>
            </w:r>
            <w:r w:rsidRPr="00D00A59">
              <w:rPr>
                <w:szCs w:val="18"/>
              </w:rPr>
              <w:t>: Participants received an education manual on diet and physical activity (written by the research team) aft</w:t>
            </w:r>
            <w:r>
              <w:rPr>
                <w:szCs w:val="18"/>
              </w:rPr>
              <w:t>er randomis</w:t>
            </w:r>
            <w:r w:rsidRPr="00D00A59">
              <w:rPr>
                <w:szCs w:val="18"/>
              </w:rPr>
              <w:t>ation, and one-to-one counselling for at least 20 minutes in a private room with a trained graduate student after group assignment and at 16</w:t>
            </w:r>
            <w:r w:rsidRPr="00D00A59">
              <w:rPr>
                <w:rFonts w:ascii="Helvetica" w:hAnsi="Helvetica"/>
                <w:szCs w:val="18"/>
              </w:rPr>
              <w:t>–</w:t>
            </w:r>
            <w:r w:rsidRPr="00D00A59">
              <w:rPr>
                <w:szCs w:val="18"/>
              </w:rPr>
              <w:t>20 and 20</w:t>
            </w:r>
            <w:r w:rsidRPr="00D00A59">
              <w:rPr>
                <w:rFonts w:ascii="Helvetica" w:hAnsi="Helvetica"/>
                <w:szCs w:val="18"/>
              </w:rPr>
              <w:t>–</w:t>
            </w:r>
            <w:r w:rsidRPr="00D00A59">
              <w:rPr>
                <w:szCs w:val="18"/>
              </w:rPr>
              <w:t>24 weeks. The graduate student was also available to answer questions and provide feedback on diet and physical activity until 20</w:t>
            </w:r>
            <w:r w:rsidRPr="00D00A59">
              <w:rPr>
                <w:rFonts w:ascii="Helvetica" w:hAnsi="Helvetica"/>
                <w:szCs w:val="18"/>
              </w:rPr>
              <w:t>–</w:t>
            </w:r>
            <w:r w:rsidRPr="00D00A59">
              <w:rPr>
                <w:szCs w:val="18"/>
              </w:rPr>
              <w:t>24 weeks either over the phone or via a group established on Tecent instant messenger.</w:t>
            </w:r>
          </w:p>
        </w:tc>
        <w:tc>
          <w:tcPr>
            <w:tcW w:w="5664" w:type="dxa"/>
          </w:tcPr>
          <w:p w14:paraId="5C1C252D" w14:textId="77777777" w:rsidR="00973D70" w:rsidRPr="00D00A59" w:rsidRDefault="00973D70" w:rsidP="00A75579">
            <w:pPr>
              <w:rPr>
                <w:szCs w:val="18"/>
              </w:rPr>
            </w:pPr>
            <w:r w:rsidRPr="00D00A59">
              <w:rPr>
                <w:szCs w:val="18"/>
              </w:rPr>
              <w:t>Intervention vs control:</w:t>
            </w:r>
          </w:p>
          <w:p w14:paraId="3ECB20CA" w14:textId="77777777" w:rsidR="00973D70" w:rsidRPr="00D00A59" w:rsidRDefault="00973D70" w:rsidP="00A75579">
            <w:pPr>
              <w:pStyle w:val="bullet"/>
              <w:rPr>
                <w:szCs w:val="18"/>
              </w:rPr>
            </w:pPr>
            <w:r w:rsidRPr="00D00A59">
              <w:rPr>
                <w:szCs w:val="18"/>
              </w:rPr>
              <w:t>Gestational weight gain: 9.24±3.99 vs 9.69±3.85</w:t>
            </w:r>
          </w:p>
          <w:p w14:paraId="11B5BF60" w14:textId="77777777" w:rsidR="00973D70" w:rsidRPr="00D00A59" w:rsidRDefault="00973D70" w:rsidP="00A75579">
            <w:pPr>
              <w:pStyle w:val="bullet"/>
              <w:rPr>
                <w:szCs w:val="18"/>
              </w:rPr>
            </w:pPr>
            <w:r w:rsidRPr="00D00A59">
              <w:rPr>
                <w:szCs w:val="18"/>
              </w:rPr>
              <w:t>Weight gain &gt;IOM guidelines: 102/115 vs 96/106</w:t>
            </w:r>
          </w:p>
          <w:p w14:paraId="047B7F20" w14:textId="77777777" w:rsidR="00973D70" w:rsidRPr="00D00A59" w:rsidRDefault="00973D70" w:rsidP="00A75579">
            <w:pPr>
              <w:pStyle w:val="bullet"/>
              <w:rPr>
                <w:szCs w:val="18"/>
              </w:rPr>
            </w:pPr>
            <w:r w:rsidRPr="00D00A59">
              <w:rPr>
                <w:szCs w:val="18"/>
              </w:rPr>
              <w:t>Gestational diabetes: 26/115 vs 37/106</w:t>
            </w:r>
          </w:p>
        </w:tc>
      </w:tr>
      <w:tr w:rsidR="00973D70" w:rsidRPr="00A95FF7" w14:paraId="6B3BE1D0" w14:textId="77777777" w:rsidTr="0030223E">
        <w:trPr>
          <w:cantSplit/>
        </w:trPr>
        <w:tc>
          <w:tcPr>
            <w:tcW w:w="1417" w:type="dxa"/>
          </w:tcPr>
          <w:p w14:paraId="7AB2201E" w14:textId="0B9D871D" w:rsidR="00973D70" w:rsidRPr="00A95FF7" w:rsidRDefault="00973D70" w:rsidP="00654EEB">
            <w:pPr>
              <w:rPr>
                <w:noProof/>
              </w:rPr>
            </w:pPr>
            <w:r w:rsidRPr="00A95FF7">
              <w:rPr>
                <w:noProof/>
              </w:rPr>
              <w:t>Kennelly et al 2018</w:t>
            </w:r>
            <w:r w:rsidRPr="00A95FF7">
              <w:rPr>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Pr="00A95FF7">
              <w:rPr>
                <w:noProof/>
              </w:rPr>
            </w:r>
            <w:r w:rsidRPr="00A95FF7">
              <w:rPr>
                <w:noProof/>
              </w:rPr>
              <w:fldChar w:fldCharType="separate"/>
            </w:r>
            <w:r w:rsidR="002747EA" w:rsidRPr="002747EA">
              <w:rPr>
                <w:noProof/>
                <w:vertAlign w:val="superscript"/>
              </w:rPr>
              <w:t>506</w:t>
            </w:r>
            <w:r w:rsidRPr="00A95FF7">
              <w:rPr>
                <w:noProof/>
              </w:rPr>
              <w:fldChar w:fldCharType="end"/>
            </w:r>
          </w:p>
          <w:p w14:paraId="1E8709F9" w14:textId="77777777" w:rsidR="00973D70" w:rsidRDefault="00973D70" w:rsidP="00654EEB">
            <w:pPr>
              <w:rPr>
                <w:noProof/>
              </w:rPr>
            </w:pPr>
            <w:r w:rsidRPr="00A95FF7">
              <w:rPr>
                <w:noProof/>
              </w:rPr>
              <w:t>Ireland</w:t>
            </w:r>
          </w:p>
          <w:p w14:paraId="3D965EAA" w14:textId="77777777" w:rsidR="00973D70" w:rsidRPr="00A95FF7" w:rsidRDefault="00973D70" w:rsidP="00654EEB">
            <w:pPr>
              <w:rPr>
                <w:noProof/>
              </w:rPr>
            </w:pPr>
            <w:r>
              <w:rPr>
                <w:noProof/>
              </w:rPr>
              <w:t>Pears</w:t>
            </w:r>
          </w:p>
          <w:p w14:paraId="4CBA64FE" w14:textId="77777777" w:rsidR="00973D70" w:rsidRPr="00A95FF7" w:rsidRDefault="00973D70" w:rsidP="00A62770">
            <w:pPr>
              <w:rPr>
                <w:rFonts w:ascii="Century Gothic" w:hAnsi="Century Gothic"/>
                <w:noProof/>
              </w:rPr>
            </w:pPr>
            <w:r w:rsidRPr="00A95FF7">
              <w:t>ISRCTN29316280</w:t>
            </w:r>
          </w:p>
        </w:tc>
        <w:tc>
          <w:tcPr>
            <w:tcW w:w="1562" w:type="dxa"/>
          </w:tcPr>
          <w:p w14:paraId="25C137D2" w14:textId="77777777" w:rsidR="00973D70" w:rsidRPr="0030223E" w:rsidRDefault="00973D70" w:rsidP="00A75579">
            <w:r w:rsidRPr="0030223E">
              <w:t>Intervention 278</w:t>
            </w:r>
          </w:p>
          <w:p w14:paraId="00873B13" w14:textId="77777777" w:rsidR="00973D70" w:rsidRPr="00A95FF7" w:rsidRDefault="00973D70" w:rsidP="00A75579">
            <w:pPr>
              <w:rPr>
                <w:sz w:val="16"/>
                <w:szCs w:val="16"/>
              </w:rPr>
            </w:pPr>
            <w:r w:rsidRPr="0030223E">
              <w:t>Control 287</w:t>
            </w:r>
          </w:p>
        </w:tc>
        <w:tc>
          <w:tcPr>
            <w:tcW w:w="5393" w:type="dxa"/>
          </w:tcPr>
          <w:p w14:paraId="5EF1FBD3" w14:textId="77777777" w:rsidR="00973D70" w:rsidRPr="00A95FF7" w:rsidRDefault="00973D70" w:rsidP="00224F32">
            <w:r w:rsidRPr="00A95FF7">
              <w:rPr>
                <w:b/>
                <w:szCs w:val="18"/>
              </w:rPr>
              <w:t xml:space="preserve">Aim: </w:t>
            </w:r>
            <w:r w:rsidRPr="00A95FF7">
              <w:t xml:space="preserve">To evaluate the effect of a healthy lifestyle package (an antenatal behaviour change intervention supported by smartphone application technology) on the incidence of gestational diabetes mellitus (GDM) in overweight and obese women. </w:t>
            </w:r>
          </w:p>
          <w:p w14:paraId="0456C924" w14:textId="77777777" w:rsidR="00973D70" w:rsidRPr="00A95FF7" w:rsidRDefault="00973D70" w:rsidP="00224F32">
            <w:r w:rsidRPr="00A95FF7">
              <w:rPr>
                <w:b/>
              </w:rPr>
              <w:t>Population</w:t>
            </w:r>
            <w:r w:rsidRPr="00A95FF7">
              <w:t xml:space="preserve">: Women with body mass indexes (BMIs) 25-39.9. </w:t>
            </w:r>
          </w:p>
          <w:p w14:paraId="106F0FD8" w14:textId="77777777" w:rsidR="00973D70" w:rsidRPr="00A95FF7" w:rsidRDefault="00973D70" w:rsidP="00224F32">
            <w:r w:rsidRPr="00A95FF7">
              <w:rPr>
                <w:b/>
              </w:rPr>
              <w:t>Intervention</w:t>
            </w:r>
            <w:r w:rsidRPr="00A95FF7">
              <w:t xml:space="preserve">: The intervention consisted of face-to-face specific dietary and exercise advice that addressed behaviour change supported by a tailor-designed smartphone application. </w:t>
            </w:r>
          </w:p>
          <w:p w14:paraId="0FBF99ED" w14:textId="77777777" w:rsidR="00973D70" w:rsidRPr="00A95FF7" w:rsidRDefault="00973D70" w:rsidP="00C4497A">
            <w:r w:rsidRPr="00A95FF7">
              <w:t>The nutritional component of the intervention focused on healthy eating in pregnancy. Participants were encouraged to swap high glycaemic index foods for low glycaemic index alternatives and were informed about healthy carbohydrate portions. The recommended diet was approximately eucaloric to their typical diet.</w:t>
            </w:r>
            <w:r w:rsidRPr="00A95FF7">
              <w:rPr>
                <w:sz w:val="10"/>
                <w:szCs w:val="10"/>
              </w:rPr>
              <w:t xml:space="preserve"> </w:t>
            </w:r>
            <w:r w:rsidRPr="00A95FF7">
              <w:t>The exercise component of the intervention focused on promoting the benefits and safety of physical activity in pregnancy. Women were advised to undertake 30 minutes of moderate exercise 5</w:t>
            </w:r>
            <w:r w:rsidRPr="00A95FF7">
              <w:rPr>
                <w:rFonts w:ascii="Helvetica" w:eastAsiaTheme="majorEastAsia" w:hAnsi="Helvetica"/>
              </w:rPr>
              <w:t>–</w:t>
            </w:r>
            <w:r w:rsidRPr="00A95FF7">
              <w:t>7 days per week, divided into two 15-minute or three 10-minute periods to maximise metabolic benefit.</w:t>
            </w:r>
          </w:p>
        </w:tc>
        <w:tc>
          <w:tcPr>
            <w:tcW w:w="5664" w:type="dxa"/>
          </w:tcPr>
          <w:p w14:paraId="4480E560" w14:textId="77777777" w:rsidR="00973D70" w:rsidRPr="00A95FF7" w:rsidRDefault="00973D70" w:rsidP="00224F32">
            <w:r w:rsidRPr="00A95FF7">
              <w:t>Intervention vs control:</w:t>
            </w:r>
          </w:p>
          <w:p w14:paraId="1FEC6A45" w14:textId="77777777" w:rsidR="00973D70" w:rsidRPr="00A95FF7" w:rsidRDefault="00973D70" w:rsidP="00F61E50">
            <w:pPr>
              <w:pStyle w:val="bullet"/>
            </w:pPr>
            <w:r w:rsidRPr="00A95FF7">
              <w:t>Gestational weight gain: 11.3±5.6 (n=278) vs 12.6±5.6 (n=287)</w:t>
            </w:r>
          </w:p>
          <w:p w14:paraId="4BB59D1A" w14:textId="77777777" w:rsidR="00973D70" w:rsidRPr="00A95FF7" w:rsidRDefault="00973D70" w:rsidP="00F61E50">
            <w:pPr>
              <w:pStyle w:val="bullet"/>
            </w:pPr>
            <w:r w:rsidRPr="00A95FF7">
              <w:t>Weight gain exceeding IOM guidelines: 87/171 vs 120/188</w:t>
            </w:r>
          </w:p>
          <w:p w14:paraId="1158C597" w14:textId="77777777" w:rsidR="00973D70" w:rsidRPr="00A95FF7" w:rsidRDefault="00973D70" w:rsidP="00F61E50">
            <w:pPr>
              <w:pStyle w:val="bullet"/>
            </w:pPr>
            <w:r w:rsidRPr="00A95FF7">
              <w:t>Gestational diabetes: 37/241 vs 36/257</w:t>
            </w:r>
          </w:p>
          <w:p w14:paraId="15A0EEDA" w14:textId="77777777" w:rsidR="00973D70" w:rsidRPr="00A95FF7" w:rsidRDefault="00973D70" w:rsidP="00F61E50">
            <w:pPr>
              <w:pStyle w:val="bullet"/>
            </w:pPr>
            <w:r w:rsidRPr="00A95FF7">
              <w:t>Caesarean section: 50/270 vs 48/270</w:t>
            </w:r>
          </w:p>
          <w:p w14:paraId="59F7CF20" w14:textId="77777777" w:rsidR="00973D70" w:rsidRPr="00A95FF7" w:rsidRDefault="00973D70" w:rsidP="00F61E50">
            <w:pPr>
              <w:pStyle w:val="bullet"/>
            </w:pPr>
            <w:r w:rsidRPr="00A95FF7">
              <w:t>Low birth weight: 8/270 vs 4/275</w:t>
            </w:r>
          </w:p>
          <w:p w14:paraId="12D1E5BB" w14:textId="77777777" w:rsidR="00973D70" w:rsidRPr="00A95FF7" w:rsidRDefault="00973D70" w:rsidP="00F61E50">
            <w:pPr>
              <w:pStyle w:val="bullet"/>
            </w:pPr>
            <w:r w:rsidRPr="00A95FF7">
              <w:t>Macrosomia (&gt;4,000g): 58/270 vs 67/275</w:t>
            </w:r>
          </w:p>
          <w:p w14:paraId="1966E804" w14:textId="77777777" w:rsidR="00973D70" w:rsidRPr="00A95FF7" w:rsidRDefault="00973D70" w:rsidP="00F61E50">
            <w:pPr>
              <w:pStyle w:val="bullet"/>
            </w:pPr>
            <w:r w:rsidRPr="00A95FF7">
              <w:t>Small for gestational age: 28/270 vs 26/275</w:t>
            </w:r>
          </w:p>
          <w:p w14:paraId="1BDF93F5" w14:textId="77777777" w:rsidR="00973D70" w:rsidRPr="00A95FF7" w:rsidRDefault="00973D70" w:rsidP="00F61E50">
            <w:pPr>
              <w:pStyle w:val="bullet"/>
            </w:pPr>
            <w:r w:rsidRPr="00A95FF7">
              <w:t>Large for gestational age: 11/270 vs 24/275</w:t>
            </w:r>
          </w:p>
        </w:tc>
      </w:tr>
      <w:tr w:rsidR="00973D70" w:rsidRPr="000C3AC0" w14:paraId="5BECE1E8" w14:textId="77777777" w:rsidTr="0030223E">
        <w:trPr>
          <w:cantSplit/>
        </w:trPr>
        <w:tc>
          <w:tcPr>
            <w:tcW w:w="1417" w:type="dxa"/>
          </w:tcPr>
          <w:p w14:paraId="7352D129" w14:textId="2E311F80" w:rsidR="00973D70" w:rsidRPr="00063E54" w:rsidRDefault="00973D70" w:rsidP="00654EEB">
            <w:pPr>
              <w:rPr>
                <w:noProof/>
              </w:rPr>
            </w:pPr>
            <w:r w:rsidRPr="00063E54">
              <w:rPr>
                <w:noProof/>
              </w:rPr>
              <w:t>Kiani-Asiabar et al 2018</w:t>
            </w:r>
            <w:r w:rsidRPr="00063E54">
              <w:rPr>
                <w:noProof/>
              </w:rPr>
              <w:fldChar w:fldCharType="begin"/>
            </w:r>
            <w:r w:rsidR="002747EA">
              <w:rPr>
                <w:noProof/>
              </w:rPr>
              <w:instrText xml:space="preserve"> ADDIN EN.CITE &lt;EndNote&gt;&lt;Cite&gt;&lt;Author&gt;Kiani Asiabar&lt;/Author&gt;&lt;Year&gt;2018&lt;/Year&gt;&lt;RecNum&gt;1380&lt;/RecNum&gt;&lt;DisplayText&gt;&lt;style face="superscript" font="Trebuchet MS" size="9"&gt;498&lt;/style&gt;&lt;/DisplayText&gt;&lt;record&gt;&lt;rec-number&gt;1380&lt;/rec-number&gt;&lt;foreign-keys&gt;&lt;key app="EN" db-id="exvasrfx2dtraoesasxp2szsxa2df502592x" timestamp="1567124571"&gt;1380&lt;/key&gt;&lt;key app="ENWeb" db-id=""&gt;0&lt;/key&gt;&lt;/foreign-keys&gt;&lt;ref-type name="Journal Article"&gt;17&lt;/ref-type&gt;&lt;contributors&gt;&lt;authors&gt;&lt;author&gt;Kiani Asiabar, A.&lt;/author&gt;&lt;author&gt;Amin Shokravi, F.&lt;/author&gt;&lt;author&gt;Hajifaraji, M.&lt;/author&gt;&lt;author&gt;Zayeri, F.&lt;/author&gt;&lt;/authors&gt;&lt;/contributors&gt;&lt;auth-address&gt;Department of Health Education and Health Promotion, Faculty of Medical Sciences, Tarbiat Modares University, Tehran, Iran.&amp;#xD;Department of Midwifery, Faculty of Nursing and Midwifery, Shahed University, Tehran, Iran.&amp;#xD;Department of Health Educations and Health Promotion, Faculty of Medical Sciences, Tarbiat Modares University, Tehran, Iran.&amp;#xD;National Nutrition and Food Technology Research Institute, School of Nutrition Sciences and Food Technology, Shahid Beheshti University of Medical Sciences, Tehran, Iran.&amp;#xD;Department of Biostatistics, Faculty of Paramedical Sciences, Shahid Beheshti University of Medical Sciences, Tehran, Iran.&lt;/auth-address&gt;&lt;titles&gt;&lt;title&gt;The effect of an educational intervention in early pregnancy with spouse&amp;apos;s participation on optimal gestational weight gain in pregnancy: a randomized controlled trial&lt;/title&gt;&lt;secondary-title&gt;Health Educ Res&lt;/secondary-title&gt;&lt;/titles&gt;&lt;periodical&gt;&lt;full-title&gt;Health Educ Res&lt;/full-title&gt;&lt;/periodical&gt;&lt;pages&gt;535-547&lt;/pages&gt;&lt;volume&gt;33&lt;/volume&gt;&lt;number&gt;6&lt;/number&gt;&lt;edition&gt;2018/11/30&lt;/edition&gt;&lt;dates&gt;&lt;year&gt;2018&lt;/year&gt;&lt;pub-dates&gt;&lt;date&gt;Dec 1&lt;/date&gt;&lt;/pub-dates&gt;&lt;/dates&gt;&lt;isbn&gt;1465-3648 (Electronic)&amp;#xD;0268-1153 (Linking)&lt;/isbn&gt;&lt;accession-num&gt;30496409&lt;/accession-num&gt;&lt;urls&gt;&lt;related-urls&gt;&lt;url&gt;https://www.ncbi.nlm.nih.gov/pubmed/30496409&lt;/url&gt;&lt;/related-urls&gt;&lt;/urls&gt;&lt;electronic-resource-num&gt;10.1093/her/cyy040&lt;/electronic-resource-num&gt;&lt;/record&gt;&lt;/Cite&gt;&lt;/EndNote&gt;</w:instrText>
            </w:r>
            <w:r w:rsidRPr="00063E54">
              <w:rPr>
                <w:noProof/>
              </w:rPr>
              <w:fldChar w:fldCharType="separate"/>
            </w:r>
            <w:r w:rsidR="002747EA" w:rsidRPr="002747EA">
              <w:rPr>
                <w:noProof/>
                <w:vertAlign w:val="superscript"/>
              </w:rPr>
              <w:t>498</w:t>
            </w:r>
            <w:r w:rsidRPr="00063E54">
              <w:rPr>
                <w:noProof/>
              </w:rPr>
              <w:fldChar w:fldCharType="end"/>
            </w:r>
          </w:p>
          <w:p w14:paraId="4B2F019D" w14:textId="77777777" w:rsidR="00973D70" w:rsidRPr="00063E54" w:rsidRDefault="00973D70" w:rsidP="00654EEB">
            <w:pPr>
              <w:rPr>
                <w:noProof/>
              </w:rPr>
            </w:pPr>
            <w:r w:rsidRPr="00063E54">
              <w:rPr>
                <w:noProof/>
              </w:rPr>
              <w:t>Iran</w:t>
            </w:r>
          </w:p>
        </w:tc>
        <w:tc>
          <w:tcPr>
            <w:tcW w:w="1562" w:type="dxa"/>
          </w:tcPr>
          <w:p w14:paraId="655DB747" w14:textId="77777777" w:rsidR="00973D70" w:rsidRPr="00063E54" w:rsidRDefault="00973D70" w:rsidP="00A75579">
            <w:pPr>
              <w:rPr>
                <w:sz w:val="16"/>
                <w:szCs w:val="16"/>
              </w:rPr>
            </w:pPr>
            <w:r w:rsidRPr="00063E54">
              <w:rPr>
                <w:sz w:val="16"/>
                <w:szCs w:val="16"/>
              </w:rPr>
              <w:t>Group A 41</w:t>
            </w:r>
          </w:p>
          <w:p w14:paraId="574D176D" w14:textId="77777777" w:rsidR="00973D70" w:rsidRPr="00063E54" w:rsidRDefault="00973D70" w:rsidP="00A75579">
            <w:pPr>
              <w:rPr>
                <w:sz w:val="16"/>
                <w:szCs w:val="16"/>
              </w:rPr>
            </w:pPr>
            <w:r w:rsidRPr="00063E54">
              <w:rPr>
                <w:sz w:val="16"/>
                <w:szCs w:val="16"/>
              </w:rPr>
              <w:t>Group B 42</w:t>
            </w:r>
          </w:p>
          <w:p w14:paraId="43889B5F" w14:textId="77777777" w:rsidR="00973D70" w:rsidRPr="00063E54" w:rsidRDefault="00973D70" w:rsidP="00A75579">
            <w:pPr>
              <w:rPr>
                <w:sz w:val="16"/>
                <w:szCs w:val="16"/>
              </w:rPr>
            </w:pPr>
            <w:r w:rsidRPr="00063E54">
              <w:rPr>
                <w:sz w:val="16"/>
                <w:szCs w:val="16"/>
              </w:rPr>
              <w:t>Control 40</w:t>
            </w:r>
          </w:p>
        </w:tc>
        <w:tc>
          <w:tcPr>
            <w:tcW w:w="5393" w:type="dxa"/>
          </w:tcPr>
          <w:p w14:paraId="6ABD5F21" w14:textId="77777777" w:rsidR="00973D70" w:rsidRPr="00063E54" w:rsidRDefault="00973D70" w:rsidP="00C32E77">
            <w:r w:rsidRPr="00063E54">
              <w:rPr>
                <w:b/>
              </w:rPr>
              <w:t>Aim</w:t>
            </w:r>
            <w:r w:rsidRPr="00063E54">
              <w:t>: To evaluate the effectiveness of an educational program with the spouse's participation on the optimal gestational weight gain (GWG) in pregnancy.</w:t>
            </w:r>
          </w:p>
          <w:p w14:paraId="7DF76A19" w14:textId="77777777" w:rsidR="00973D70" w:rsidRPr="00063E54" w:rsidRDefault="00973D70" w:rsidP="00C32E77">
            <w:r w:rsidRPr="00063E54">
              <w:rPr>
                <w:b/>
              </w:rPr>
              <w:t>Population</w:t>
            </w:r>
            <w:r w:rsidRPr="00063E54">
              <w:t xml:space="preserve">: nulliparous women. </w:t>
            </w:r>
          </w:p>
          <w:p w14:paraId="17AE3D9E" w14:textId="77777777" w:rsidR="00973D70" w:rsidRPr="00063E54" w:rsidRDefault="00973D70" w:rsidP="00C32E77">
            <w:r w:rsidRPr="00063E54">
              <w:rPr>
                <w:b/>
              </w:rPr>
              <w:t>Intervention</w:t>
            </w:r>
            <w:r w:rsidRPr="00063E54">
              <w:t xml:space="preserve">: Participants randomly allocated into two groups of interventions and one control group. In group A, the women received education with their spouse's participation. In group B, the women received education without the participation of the spouses. </w:t>
            </w:r>
          </w:p>
          <w:p w14:paraId="127E85AE" w14:textId="77777777" w:rsidR="00973D70" w:rsidRPr="00063E54" w:rsidRDefault="00973D70" w:rsidP="00A83E81">
            <w:r w:rsidRPr="00063E54">
              <w:t>The dietary intervention aimed at decreasing the intake of energy-dense foods and nutrient-poor foods that are high in sugar and fat (e.g. fast foods, sweets and sugar-sweetened beverages) and increasing the fruit, vegetable and milk or yogurt intakes. Another goal was improving the quality of fat consumed. Women were advised to walk for 30 minutes a day a minimum of 5 days a week.</w:t>
            </w:r>
          </w:p>
        </w:tc>
        <w:tc>
          <w:tcPr>
            <w:tcW w:w="5664" w:type="dxa"/>
          </w:tcPr>
          <w:p w14:paraId="1ADB2F4B" w14:textId="77777777" w:rsidR="00973D70" w:rsidRPr="00063E54" w:rsidRDefault="00973D70" w:rsidP="00C32E77">
            <w:r w:rsidRPr="00063E54">
              <w:t>Intervention Group A vs Group B vs control:</w:t>
            </w:r>
          </w:p>
          <w:p w14:paraId="65B203DF" w14:textId="77777777" w:rsidR="00973D70" w:rsidRPr="00063E54" w:rsidRDefault="00973D70" w:rsidP="00981448">
            <w:pPr>
              <w:pStyle w:val="bullet"/>
            </w:pPr>
            <w:r w:rsidRPr="00063E54">
              <w:t>Gestational weight gain: 13.50±3.85 (n=41) vs 13.55±3.20 (n=42) vs 15.53±4.20 (n=40)</w:t>
            </w:r>
          </w:p>
          <w:p w14:paraId="794B619E" w14:textId="77777777" w:rsidR="00973D70" w:rsidRPr="00063E54" w:rsidRDefault="00973D70" w:rsidP="00C32E77">
            <w:pPr>
              <w:pStyle w:val="bullet"/>
            </w:pPr>
            <w:r w:rsidRPr="00063E54">
              <w:t>Weight gain exceeding IOM guidelines: 12/41 (28.6) 13/42 (31.0) 22/40 (55.0)</w:t>
            </w:r>
          </w:p>
        </w:tc>
      </w:tr>
      <w:tr w:rsidR="00973D70" w:rsidRPr="00D00A59" w14:paraId="6A2DDA66" w14:textId="77777777" w:rsidTr="0030223E">
        <w:trPr>
          <w:cantSplit/>
        </w:trPr>
        <w:tc>
          <w:tcPr>
            <w:tcW w:w="1417" w:type="dxa"/>
          </w:tcPr>
          <w:p w14:paraId="29A376B2" w14:textId="22AF9D27" w:rsidR="00973D70" w:rsidRDefault="00973D70" w:rsidP="00654EEB">
            <w:r w:rsidRPr="00654EEB">
              <w:t>Koivusalo et al 2016</w:t>
            </w:r>
            <w:r w:rsidRPr="00D00A59">
              <w:fldChar w:fldCharType="begin"/>
            </w:r>
            <w:r w:rsidR="002747EA">
              <w:instrText xml:space="preserve"> ADDIN EN.CITE &lt;EndNote&gt;&lt;Cite&gt;&lt;Author&gt;Koivusalo&lt;/Author&gt;&lt;Year&gt;2016&lt;/Year&gt;&lt;RecNum&gt;733&lt;/RecNum&gt;&lt;DisplayText&gt;&lt;style face="superscript" font="Trebuchet MS" size="9"&gt;519&lt;/style&gt;&lt;/DisplayText&gt;&lt;record&gt;&lt;rec-number&gt;733&lt;/rec-number&gt;&lt;foreign-keys&gt;&lt;key app="EN" db-id="exvasrfx2dtraoesasxp2szsxa2df502592x" timestamp="1541467766"&gt;733&lt;/key&gt;&lt;key app="ENWeb" db-id=""&gt;0&lt;/key&gt;&lt;/foreign-keys&gt;&lt;ref-type name="Journal Article"&gt;17&lt;/ref-type&gt;&lt;contributors&gt;&lt;authors&gt;&lt;author&gt;Koivusalo, S.B.,&lt;/author&gt;&lt;author&gt;Rönö, K.,&lt;/author&gt;&lt;author&gt;Klemetti, M.M.,&lt;/author&gt;&lt;author&gt;Roine, R.P.,&lt;/author&gt;&lt;author&gt;Lindström, J.,&lt;/author&gt;&lt;author&gt;Erkkola, M.,&lt;/author&gt;&lt;/authors&gt;&lt;/contributors&gt;&lt;titles&gt;&lt;title&gt;Gestational diabetes mellitus can be prevented by lifestyle intervention: The Finnish Gestational Diabetes Prevention Study (RADIEL)&lt;/title&gt;&lt;secondary-title&gt;Diabetes Care&lt;/secondary-title&gt;&lt;/titles&gt;&lt;periodical&gt;&lt;full-title&gt;Diabetes Care&lt;/full-title&gt;&lt;/periodical&gt;&lt;pages&gt;24-30&lt;/pages&gt;&lt;volume&gt;39&lt;/volume&gt;&lt;number&gt;1&lt;/number&gt;&lt;section&gt;24&lt;/section&gt;&lt;dates&gt;&lt;year&gt;2016&lt;/year&gt;&lt;/dates&gt;&lt;isbn&gt;0149-5992&amp;#xD;1935-5548&lt;/isbn&gt;&lt;urls&gt;&lt;/urls&gt;&lt;electronic-resource-num&gt;10.2337/dc15-0511&lt;/electronic-resource-num&gt;&lt;/record&gt;&lt;/Cite&gt;&lt;/EndNote&gt;</w:instrText>
            </w:r>
            <w:r w:rsidRPr="00D00A59">
              <w:fldChar w:fldCharType="separate"/>
            </w:r>
            <w:r w:rsidR="002747EA" w:rsidRPr="002747EA">
              <w:rPr>
                <w:noProof/>
                <w:vertAlign w:val="superscript"/>
              </w:rPr>
              <w:t>519</w:t>
            </w:r>
            <w:r w:rsidRPr="00D00A59">
              <w:fldChar w:fldCharType="end"/>
            </w:r>
          </w:p>
          <w:p w14:paraId="03227A7F" w14:textId="60F0E627" w:rsidR="007D5B47" w:rsidRPr="00D00A59" w:rsidRDefault="008E3379" w:rsidP="00654EEB">
            <w:r>
              <w:t>Rönö et al 2018</w:t>
            </w:r>
          </w:p>
          <w:p w14:paraId="7F0D5657" w14:textId="77777777" w:rsidR="00973D70" w:rsidRPr="00D00A59" w:rsidRDefault="00973D70" w:rsidP="00A62770">
            <w:pPr>
              <w:rPr>
                <w:szCs w:val="18"/>
              </w:rPr>
            </w:pPr>
            <w:r w:rsidRPr="00D00A59">
              <w:rPr>
                <w:szCs w:val="18"/>
              </w:rPr>
              <w:t>RADIEL</w:t>
            </w:r>
          </w:p>
          <w:p w14:paraId="3DB632FA" w14:textId="77777777" w:rsidR="00973D70" w:rsidRPr="00D00A59" w:rsidRDefault="00973D70" w:rsidP="00A62770">
            <w:pPr>
              <w:rPr>
                <w:szCs w:val="18"/>
              </w:rPr>
            </w:pPr>
            <w:r w:rsidRPr="00D00A59">
              <w:rPr>
                <w:szCs w:val="18"/>
              </w:rPr>
              <w:t>Finland</w:t>
            </w:r>
          </w:p>
        </w:tc>
        <w:tc>
          <w:tcPr>
            <w:tcW w:w="1562" w:type="dxa"/>
          </w:tcPr>
          <w:p w14:paraId="0779D8AA" w14:textId="77777777" w:rsidR="000357AE" w:rsidRDefault="000357AE" w:rsidP="00A75579">
            <w:pPr>
              <w:rPr>
                <w:szCs w:val="18"/>
              </w:rPr>
            </w:pPr>
            <w:r>
              <w:rPr>
                <w:szCs w:val="18"/>
              </w:rPr>
              <w:t>Normoglycaemic women:</w:t>
            </w:r>
          </w:p>
          <w:p w14:paraId="11CE85E7" w14:textId="77777777" w:rsidR="00973D70" w:rsidRPr="00D00A59" w:rsidRDefault="00973D70" w:rsidP="00A75579">
            <w:pPr>
              <w:rPr>
                <w:szCs w:val="18"/>
              </w:rPr>
            </w:pPr>
            <w:r w:rsidRPr="00D00A59">
              <w:rPr>
                <w:szCs w:val="18"/>
              </w:rPr>
              <w:t>Intervention 144</w:t>
            </w:r>
          </w:p>
          <w:p w14:paraId="1FE40807" w14:textId="77777777" w:rsidR="00973D70" w:rsidRDefault="00973D70" w:rsidP="00A75579">
            <w:pPr>
              <w:rPr>
                <w:szCs w:val="18"/>
              </w:rPr>
            </w:pPr>
            <w:r w:rsidRPr="00D00A59">
              <w:rPr>
                <w:szCs w:val="18"/>
              </w:rPr>
              <w:t>Control 125</w:t>
            </w:r>
          </w:p>
          <w:p w14:paraId="7D35F2ED" w14:textId="77777777" w:rsidR="000357AE" w:rsidRDefault="000357AE" w:rsidP="00A75579">
            <w:pPr>
              <w:rPr>
                <w:szCs w:val="18"/>
              </w:rPr>
            </w:pPr>
            <w:r>
              <w:rPr>
                <w:szCs w:val="18"/>
              </w:rPr>
              <w:t xml:space="preserve">All </w:t>
            </w:r>
            <w:r w:rsidR="00D04273">
              <w:rPr>
                <w:szCs w:val="18"/>
              </w:rPr>
              <w:t>women:</w:t>
            </w:r>
          </w:p>
          <w:p w14:paraId="60C56CC0" w14:textId="77777777" w:rsidR="00D04273" w:rsidRDefault="00D04273" w:rsidP="00A75579">
            <w:pPr>
              <w:rPr>
                <w:szCs w:val="18"/>
              </w:rPr>
            </w:pPr>
            <w:r>
              <w:rPr>
                <w:szCs w:val="18"/>
              </w:rPr>
              <w:t>Intervention 235</w:t>
            </w:r>
          </w:p>
          <w:p w14:paraId="3AF3A3AB" w14:textId="4E0DC65B" w:rsidR="00D04273" w:rsidRPr="00D00A59" w:rsidRDefault="00D04273" w:rsidP="00A75579">
            <w:pPr>
              <w:rPr>
                <w:szCs w:val="18"/>
              </w:rPr>
            </w:pPr>
            <w:r>
              <w:rPr>
                <w:szCs w:val="18"/>
              </w:rPr>
              <w:t>Control 229</w:t>
            </w:r>
          </w:p>
        </w:tc>
        <w:tc>
          <w:tcPr>
            <w:tcW w:w="5393" w:type="dxa"/>
          </w:tcPr>
          <w:p w14:paraId="2FDAAC2B" w14:textId="77777777" w:rsidR="00973D70" w:rsidRPr="00D00A59" w:rsidRDefault="00973D70" w:rsidP="00A75579">
            <w:pPr>
              <w:rPr>
                <w:szCs w:val="18"/>
              </w:rPr>
            </w:pPr>
            <w:r w:rsidRPr="00D00A59">
              <w:rPr>
                <w:b/>
                <w:szCs w:val="18"/>
              </w:rPr>
              <w:t>Aim</w:t>
            </w:r>
            <w:r w:rsidRPr="00D00A59">
              <w:rPr>
                <w:szCs w:val="18"/>
              </w:rPr>
              <w:t>: To assess whether gestational diabetes mellitus (GDM) can be prevented by a moderate lifestyle intervention in pregnant women who are at high risk for the disease.</w:t>
            </w:r>
          </w:p>
          <w:p w14:paraId="730BA750" w14:textId="3125D78F" w:rsidR="00973D70" w:rsidRPr="00D00A59" w:rsidRDefault="00973D70" w:rsidP="00A75579">
            <w:pPr>
              <w:rPr>
                <w:szCs w:val="18"/>
              </w:rPr>
            </w:pPr>
            <w:r w:rsidRPr="00D00A59">
              <w:rPr>
                <w:b/>
                <w:szCs w:val="18"/>
              </w:rPr>
              <w:t>Population</w:t>
            </w:r>
            <w:r w:rsidRPr="00D00A59">
              <w:rPr>
                <w:szCs w:val="18"/>
              </w:rPr>
              <w:t>: Women with a history of gestational diabetes and/or BMI</w:t>
            </w:r>
            <w:r w:rsidR="001A0742">
              <w:rPr>
                <w:szCs w:val="18"/>
              </w:rPr>
              <w:t xml:space="preserve"> </w:t>
            </w:r>
            <w:r w:rsidRPr="00D00A59">
              <w:rPr>
                <w:szCs w:val="18"/>
              </w:rPr>
              <w:t>≥30 at &lt;20 weeks gestation</w:t>
            </w:r>
          </w:p>
          <w:p w14:paraId="211EA306" w14:textId="77777777" w:rsidR="00973D70" w:rsidRPr="00D00A59" w:rsidRDefault="00973D70" w:rsidP="00A75579">
            <w:pPr>
              <w:pStyle w:val="RCTstable"/>
              <w:rPr>
                <w:sz w:val="18"/>
                <w:szCs w:val="18"/>
              </w:rPr>
            </w:pPr>
            <w:r w:rsidRPr="00D00A59">
              <w:rPr>
                <w:b/>
                <w:sz w:val="18"/>
                <w:szCs w:val="18"/>
              </w:rPr>
              <w:t>Intervention</w:t>
            </w:r>
            <w:r w:rsidRPr="00D00A59">
              <w:rPr>
                <w:sz w:val="18"/>
                <w:szCs w:val="18"/>
              </w:rPr>
              <w:t>: Each woman in the intervention group received individualised counselling on diet, physical activity, and weight control from trained study nurses, and had one group meeting with dietitian.</w:t>
            </w:r>
          </w:p>
          <w:p w14:paraId="2F60D381" w14:textId="77777777" w:rsidR="00973D70" w:rsidRPr="00D00A59" w:rsidRDefault="00973D70" w:rsidP="00A75579">
            <w:pPr>
              <w:pStyle w:val="RCTstable"/>
              <w:rPr>
                <w:sz w:val="18"/>
                <w:szCs w:val="18"/>
              </w:rPr>
            </w:pPr>
            <w:r w:rsidRPr="00D00A59">
              <w:rPr>
                <w:sz w:val="18"/>
                <w:szCs w:val="18"/>
              </w:rPr>
              <w:t>The dietar</w:t>
            </w:r>
            <w:r>
              <w:rPr>
                <w:sz w:val="18"/>
                <w:szCs w:val="18"/>
              </w:rPr>
              <w:t>y counselling focused on optimis</w:t>
            </w:r>
            <w:r w:rsidRPr="00D00A59">
              <w:rPr>
                <w:sz w:val="18"/>
                <w:szCs w:val="18"/>
              </w:rPr>
              <w:t>ing participants’ consumption of vegetables, fruits and berries, whole-grain products rich in fibre, low-fat dairy products, vegetable fats high in unsaturated fatty acids, fish, and low-fat meat products, and a lower intake of sugar-rich foods.</w:t>
            </w:r>
          </w:p>
          <w:p w14:paraId="309EC9CA" w14:textId="77777777" w:rsidR="00973D70" w:rsidRPr="00D00A59" w:rsidRDefault="00973D70" w:rsidP="00A75579">
            <w:pPr>
              <w:rPr>
                <w:szCs w:val="18"/>
              </w:rPr>
            </w:pPr>
            <w:r w:rsidRPr="00D00A59">
              <w:rPr>
                <w:szCs w:val="18"/>
              </w:rPr>
              <w:t>The exercise component aimed for women to achieve a minimum of 150 min of moderate-intensity physical activity per week and to adopt an overall active lifestyle. Participants had access, free of charge, to public swimming pools and/or guided exercise groups once a week provided by the municipalities.</w:t>
            </w:r>
          </w:p>
        </w:tc>
        <w:tc>
          <w:tcPr>
            <w:tcW w:w="5664" w:type="dxa"/>
          </w:tcPr>
          <w:p w14:paraId="56B020A0" w14:textId="017F7E62" w:rsidR="00973D70" w:rsidRPr="00D00A59" w:rsidRDefault="00973D70" w:rsidP="00A75579">
            <w:pPr>
              <w:rPr>
                <w:szCs w:val="18"/>
              </w:rPr>
            </w:pPr>
            <w:r w:rsidRPr="00D00A59">
              <w:rPr>
                <w:szCs w:val="18"/>
              </w:rPr>
              <w:t>Intervention vs control</w:t>
            </w:r>
            <w:r w:rsidR="00D04273">
              <w:rPr>
                <w:szCs w:val="18"/>
              </w:rPr>
              <w:t xml:space="preserve"> (normoglycaemic women)</w:t>
            </w:r>
          </w:p>
          <w:p w14:paraId="3DE07696" w14:textId="77777777" w:rsidR="00973D70" w:rsidRPr="00D00A59" w:rsidRDefault="00973D70" w:rsidP="00A75579">
            <w:pPr>
              <w:pStyle w:val="bullet"/>
              <w:rPr>
                <w:szCs w:val="18"/>
              </w:rPr>
            </w:pPr>
            <w:r w:rsidRPr="00D00A59">
              <w:rPr>
                <w:szCs w:val="18"/>
              </w:rPr>
              <w:t>Gestational diabetes: 20/144 vs 27/125</w:t>
            </w:r>
          </w:p>
          <w:p w14:paraId="673237E0" w14:textId="77777777" w:rsidR="00973D70" w:rsidRPr="00D00A59" w:rsidRDefault="00973D70" w:rsidP="00A75579">
            <w:pPr>
              <w:pStyle w:val="bullet"/>
              <w:rPr>
                <w:szCs w:val="18"/>
              </w:rPr>
            </w:pPr>
            <w:r w:rsidRPr="00D00A59">
              <w:rPr>
                <w:szCs w:val="18"/>
              </w:rPr>
              <w:t>Gestational hypertension: 19/144 vs 12/125</w:t>
            </w:r>
          </w:p>
          <w:p w14:paraId="0C966EFC" w14:textId="77777777" w:rsidR="00973D70" w:rsidRPr="00D00A59" w:rsidRDefault="00973D70" w:rsidP="00A75579">
            <w:pPr>
              <w:pStyle w:val="bullet"/>
              <w:rPr>
                <w:szCs w:val="18"/>
              </w:rPr>
            </w:pPr>
            <w:r w:rsidRPr="00D00A59">
              <w:rPr>
                <w:szCs w:val="18"/>
              </w:rPr>
              <w:t>Pre-eclampsia: 7/144 vs 3/125</w:t>
            </w:r>
          </w:p>
          <w:p w14:paraId="022C6E86" w14:textId="77777777" w:rsidR="00973D70" w:rsidRPr="00D00A59" w:rsidRDefault="00973D70" w:rsidP="00A75579">
            <w:pPr>
              <w:pStyle w:val="bullet"/>
              <w:rPr>
                <w:szCs w:val="18"/>
              </w:rPr>
            </w:pPr>
            <w:r w:rsidRPr="00D00A59">
              <w:rPr>
                <w:szCs w:val="18"/>
              </w:rPr>
              <w:t>Caesarean section: 31/144 vs 30/125</w:t>
            </w:r>
          </w:p>
          <w:p w14:paraId="1320299B" w14:textId="77777777" w:rsidR="00973D70" w:rsidRDefault="00973D70" w:rsidP="00A75579">
            <w:pPr>
              <w:pStyle w:val="bullet"/>
              <w:rPr>
                <w:szCs w:val="18"/>
              </w:rPr>
            </w:pPr>
            <w:r w:rsidRPr="00D00A59">
              <w:rPr>
                <w:szCs w:val="18"/>
              </w:rPr>
              <w:t>Macrosomia (&gt;4500 g): 6/144 vs 5/125</w:t>
            </w:r>
          </w:p>
          <w:p w14:paraId="53E8D508" w14:textId="77777777" w:rsidR="00D04273" w:rsidRDefault="00D04273" w:rsidP="0030223E">
            <w:r>
              <w:t>Intervention vs control (all women)</w:t>
            </w:r>
          </w:p>
          <w:p w14:paraId="34458297" w14:textId="77777777" w:rsidR="00D04273" w:rsidRDefault="00D04273" w:rsidP="00A75579">
            <w:pPr>
              <w:pStyle w:val="bullet"/>
              <w:rPr>
                <w:szCs w:val="18"/>
              </w:rPr>
            </w:pPr>
            <w:r>
              <w:rPr>
                <w:szCs w:val="18"/>
              </w:rPr>
              <w:t>Gestational diabetes: 107/235 vs 111/229</w:t>
            </w:r>
          </w:p>
          <w:p w14:paraId="11AEA521" w14:textId="77777777" w:rsidR="00D04273" w:rsidRDefault="00D04273" w:rsidP="00A75579">
            <w:pPr>
              <w:pStyle w:val="bullet"/>
              <w:rPr>
                <w:szCs w:val="18"/>
              </w:rPr>
            </w:pPr>
            <w:r>
              <w:rPr>
                <w:szCs w:val="18"/>
              </w:rPr>
              <w:t>Gestational hypertension: 18/235 vs 13/229</w:t>
            </w:r>
          </w:p>
          <w:p w14:paraId="7B4C8C87" w14:textId="77777777" w:rsidR="00D04273" w:rsidRDefault="00D04273" w:rsidP="00A75579">
            <w:pPr>
              <w:pStyle w:val="bullet"/>
              <w:rPr>
                <w:szCs w:val="18"/>
              </w:rPr>
            </w:pPr>
            <w:r>
              <w:rPr>
                <w:szCs w:val="18"/>
              </w:rPr>
              <w:t>Pre-eclampsia: 14/235 vs 7/229</w:t>
            </w:r>
          </w:p>
          <w:p w14:paraId="12C1ADD8" w14:textId="77777777" w:rsidR="00D04273" w:rsidRDefault="00D04273" w:rsidP="00A75579">
            <w:pPr>
              <w:pStyle w:val="bullet"/>
              <w:rPr>
                <w:szCs w:val="18"/>
              </w:rPr>
            </w:pPr>
            <w:r>
              <w:rPr>
                <w:szCs w:val="18"/>
              </w:rPr>
              <w:t>Caesarean section: 55/235 vs 59/229</w:t>
            </w:r>
          </w:p>
          <w:p w14:paraId="286A7DFB" w14:textId="77777777" w:rsidR="00D04273" w:rsidRDefault="00D04273" w:rsidP="00A75579">
            <w:pPr>
              <w:pStyle w:val="bullet"/>
              <w:rPr>
                <w:szCs w:val="18"/>
              </w:rPr>
            </w:pPr>
            <w:r>
              <w:rPr>
                <w:szCs w:val="18"/>
              </w:rPr>
              <w:t>Preterm birth (&lt;37 weeks): 12/235 vs 7/229</w:t>
            </w:r>
          </w:p>
          <w:p w14:paraId="7D98CE43" w14:textId="1617A1AF" w:rsidR="00D04273" w:rsidRPr="00D00A59" w:rsidRDefault="00D04273" w:rsidP="00A75579">
            <w:pPr>
              <w:pStyle w:val="bullet"/>
              <w:rPr>
                <w:szCs w:val="18"/>
              </w:rPr>
            </w:pPr>
            <w:r>
              <w:rPr>
                <w:szCs w:val="18"/>
              </w:rPr>
              <w:t>Large for gestational age: 8/235 vs 13/229</w:t>
            </w:r>
          </w:p>
        </w:tc>
      </w:tr>
      <w:tr w:rsidR="00973D70" w:rsidRPr="00D00A59" w14:paraId="372B6229" w14:textId="77777777" w:rsidTr="0030223E">
        <w:trPr>
          <w:cantSplit/>
        </w:trPr>
        <w:tc>
          <w:tcPr>
            <w:tcW w:w="1417" w:type="dxa"/>
          </w:tcPr>
          <w:p w14:paraId="7C2067C6" w14:textId="5772A194" w:rsidR="00973D70" w:rsidRPr="00D00A59" w:rsidRDefault="00973D70" w:rsidP="00654EEB">
            <w:r w:rsidRPr="00D00A59">
              <w:rPr>
                <w:noProof/>
              </w:rPr>
              <w:t>Korpi-Hyovalti et al 2011;</w:t>
            </w:r>
            <w:r w:rsidRPr="00D00A59">
              <w:rPr>
                <w:noProof/>
              </w:rPr>
              <w:fldChar w:fldCharType="begin"/>
            </w:r>
            <w:r w:rsidR="002747EA">
              <w:rPr>
                <w:noProof/>
              </w:rPr>
              <w:instrText xml:space="preserve"> ADDIN EN.CITE &lt;EndNote&gt;&lt;Cite&gt;&lt;Author&gt;Korpi-Hyovalti&lt;/Author&gt;&lt;Year&gt;2011&lt;/Year&gt;&lt;RecNum&gt;697&lt;/RecNum&gt;&lt;DisplayText&gt;&lt;style face="superscript" font="Trebuchet MS" size="9"&gt;516&lt;/style&gt;&lt;/DisplayText&gt;&lt;record&gt;&lt;rec-number&gt;697&lt;/rec-number&gt;&lt;foreign-keys&gt;&lt;key app="EN" db-id="exvasrfx2dtraoesasxp2szsxa2df502592x" timestamp="1540530268"&gt;697&lt;/key&gt;&lt;/foreign-keys&gt;&lt;ref-type name="Journal Article"&gt;17&lt;/ref-type&gt;&lt;contributors&gt;&lt;authors&gt;&lt;author&gt;Korpi-Hyovalti, E. A.&lt;/author&gt;&lt;author&gt;Laaksonen, D. E.&lt;/author&gt;&lt;author&gt;Schwab, U. S.&lt;/author&gt;&lt;author&gt;Vanhapiha, T. H.&lt;/author&gt;&lt;author&gt;Vihla, K. R.&lt;/author&gt;&lt;author&gt;Heinonen, S. T.&lt;/author&gt;&lt;author&gt;Niskanen, L. K.&lt;/author&gt;&lt;/authors&gt;&lt;/contributors&gt;&lt;auth-address&gt;Department of Internal Medicine, Seinajoki Central Hospital, Seinajoki, Finland. eeva.korpi-hyovalti@epshp.fi&lt;/auth-address&gt;&lt;titles&gt;&lt;title&gt;Feasibility of a lifestyle intervention in early pregnancy to prevent deterioration of glucose tolerance&lt;/title&gt;&lt;secondary-title&gt;BMC Public Health&lt;/secondary-title&gt;&lt;/titles&gt;&lt;periodical&gt;&lt;full-title&gt;BMC Public Health&lt;/full-title&gt;&lt;/periodical&gt;&lt;pages&gt;179&lt;/pages&gt;&lt;volume&gt;11&lt;/volume&gt;&lt;edition&gt;2011/03/25&lt;/edition&gt;&lt;keywords&gt;&lt;keyword&gt;Adult&lt;/keyword&gt;&lt;keyword&gt;Diabetes, Gestational/*prevention &amp;amp; control&lt;/keyword&gt;&lt;keyword&gt;*Directive Counseling&lt;/keyword&gt;&lt;keyword&gt;Feasibility Studies&lt;/keyword&gt;&lt;keyword&gt;Female&lt;/keyword&gt;&lt;keyword&gt;Finland&lt;/keyword&gt;&lt;keyword&gt;Follow-Up Studies&lt;/keyword&gt;&lt;keyword&gt;Glucose Intolerance/*prevention &amp;amp; control&lt;/keyword&gt;&lt;keyword&gt;Glucose Tolerance Test&lt;/keyword&gt;&lt;keyword&gt;Humans&lt;/keyword&gt;&lt;keyword&gt;*Life Style&lt;/keyword&gt;&lt;keyword&gt;Pregnancy&lt;/keyword&gt;&lt;keyword&gt;Risk Factors&lt;/keyword&gt;&lt;keyword&gt;Time Factors&lt;/keyword&gt;&lt;/keywords&gt;&lt;dates&gt;&lt;year&gt;2011&lt;/year&gt;&lt;pub-dates&gt;&lt;date&gt;Mar 24&lt;/date&gt;&lt;/pub-dates&gt;&lt;/dates&gt;&lt;isbn&gt;1471-2458 (Electronic)&amp;#xD;1471-2458 (Linking)&lt;/isbn&gt;&lt;accession-num&gt;21429234&lt;/accession-num&gt;&lt;urls&gt;&lt;related-urls&gt;&lt;url&gt;https://www.ncbi.nlm.nih.gov/pubmed/21429234&lt;/url&gt;&lt;/related-urls&gt;&lt;/urls&gt;&lt;custom2&gt;PMC3078095&lt;/custom2&gt;&lt;electronic-resource-num&gt;10.1186/1471-2458-11-179&lt;/electronic-resource-num&gt;&lt;/record&gt;&lt;/Cite&gt;&lt;/EndNote&gt;</w:instrText>
            </w:r>
            <w:r w:rsidRPr="00D00A59">
              <w:rPr>
                <w:noProof/>
              </w:rPr>
              <w:fldChar w:fldCharType="separate"/>
            </w:r>
            <w:r w:rsidR="002747EA" w:rsidRPr="002747EA">
              <w:rPr>
                <w:noProof/>
                <w:vertAlign w:val="superscript"/>
              </w:rPr>
              <w:t>516</w:t>
            </w:r>
            <w:r w:rsidRPr="00D00A59">
              <w:rPr>
                <w:noProof/>
              </w:rPr>
              <w:fldChar w:fldCharType="end"/>
            </w:r>
            <w:r w:rsidRPr="00D00A59">
              <w:rPr>
                <w:noProof/>
              </w:rPr>
              <w:t xml:space="preserve"> Korpi-Hyovalti et al 2012</w:t>
            </w:r>
            <w:r w:rsidRPr="00D00A59">
              <w:fldChar w:fldCharType="begin"/>
            </w:r>
            <w:r w:rsidR="002747EA">
              <w:instrText xml:space="preserve"> ADDIN EN.CITE &lt;EndNote&gt;&lt;Cite&gt;&lt;Author&gt;Korpi-Hyovalti&lt;/Author&gt;&lt;Year&gt;2012&lt;/Year&gt;&lt;RecNum&gt;769&lt;/RecNum&gt;&lt;DisplayText&gt;&lt;style face="superscript" font="Trebuchet MS" size="9"&gt;546&lt;/style&gt;&lt;/DisplayText&gt;&lt;record&gt;&lt;rec-number&gt;769&lt;/rec-number&gt;&lt;foreign-keys&gt;&lt;key app="EN" db-id="exvasrfx2dtraoesasxp2szsxa2df502592x" timestamp="1541490092"&gt;769&lt;/key&gt;&lt;/foreign-keys&gt;&lt;ref-type name="Journal Article"&gt;17&lt;/ref-type&gt;&lt;contributors&gt;&lt;authors&gt;&lt;author&gt;Korpi-Hyovalti, E.&lt;/author&gt;&lt;author&gt;Schwab, U.&lt;/author&gt;&lt;author&gt;Laaksonen, D. E.&lt;/author&gt;&lt;author&gt;Linjama, H.&lt;/author&gt;&lt;author&gt;Heinonen, S.&lt;/author&gt;&lt;author&gt;Niskanen, L.&lt;/author&gt;&lt;/authors&gt;&lt;/contributors&gt;&lt;auth-address&gt;Department of Internal Medicine, Seinajoki Central Hospital, Seinajoki, Finland. eeva.korpi-hyovalti@epshp.fi&lt;/auth-address&gt;&lt;titles&gt;&lt;title&gt;Effect of intensive counselling on the quality of dietary fats in pregnant women at high risk of gestational diabetes mellitus&lt;/title&gt;&lt;secondary-title&gt;Br J Nutr&lt;/secondary-title&gt;&lt;/titles&gt;&lt;periodical&gt;&lt;full-title&gt;Br J Nutr&lt;/full-title&gt;&lt;/periodical&gt;&lt;pages&gt;910-7&lt;/pages&gt;&lt;volume&gt;108&lt;/volume&gt;&lt;number&gt;5&lt;/number&gt;&lt;edition&gt;2011/11/19&lt;/edition&gt;&lt;keywords&gt;&lt;keyword&gt;*Counseling&lt;/keyword&gt;&lt;keyword&gt;Diabetes, Gestational/epidemiology/*prevention &amp;amp; control&lt;/keyword&gt;&lt;keyword&gt;Dietary Fats/*administration &amp;amp; dosage&lt;/keyword&gt;&lt;keyword&gt;Female&lt;/keyword&gt;&lt;keyword&gt;Humans&lt;/keyword&gt;&lt;keyword&gt;Pregnancy&lt;/keyword&gt;&lt;keyword&gt;Risk Factors&lt;/keyword&gt;&lt;keyword&gt;Surveys and Questionnaires&lt;/keyword&gt;&lt;/keywords&gt;&lt;dates&gt;&lt;year&gt;2012&lt;/year&gt;&lt;pub-dates&gt;&lt;date&gt;Sep&lt;/date&gt;&lt;/pub-dates&gt;&lt;/dates&gt;&lt;isbn&gt;1475-2662 (Electronic)&amp;#xD;0007-1145 (Linking)&lt;/isbn&gt;&lt;accession-num&gt;22093485&lt;/accession-num&gt;&lt;urls&gt;&lt;related-urls&gt;&lt;url&gt;https://www.ncbi.nlm.nih.gov/pubmed/22093485&lt;/url&gt;&lt;/related-urls&gt;&lt;/urls&gt;&lt;electronic-resource-num&gt;10.1017/S0007114511006118&lt;/electronic-resource-num&gt;&lt;/record&gt;&lt;/Cite&gt;&lt;/EndNote&gt;</w:instrText>
            </w:r>
            <w:r w:rsidRPr="00D00A59">
              <w:fldChar w:fldCharType="separate"/>
            </w:r>
            <w:r w:rsidR="002747EA" w:rsidRPr="002747EA">
              <w:rPr>
                <w:noProof/>
                <w:vertAlign w:val="superscript"/>
              </w:rPr>
              <w:t>546</w:t>
            </w:r>
            <w:r w:rsidRPr="00D00A59">
              <w:fldChar w:fldCharType="end"/>
            </w:r>
          </w:p>
          <w:p w14:paraId="023A0647" w14:textId="77777777" w:rsidR="00973D70" w:rsidRPr="00D00A59" w:rsidRDefault="00973D70" w:rsidP="00A62770">
            <w:pPr>
              <w:rPr>
                <w:szCs w:val="18"/>
              </w:rPr>
            </w:pPr>
            <w:r w:rsidRPr="00D00A59">
              <w:rPr>
                <w:szCs w:val="18"/>
              </w:rPr>
              <w:t>Finland</w:t>
            </w:r>
          </w:p>
          <w:p w14:paraId="070F8246" w14:textId="77777777" w:rsidR="00973D70" w:rsidRPr="00D00A59" w:rsidRDefault="00973D70" w:rsidP="00A62770">
            <w:pPr>
              <w:rPr>
                <w:szCs w:val="18"/>
              </w:rPr>
            </w:pPr>
            <w:r w:rsidRPr="00D00A59">
              <w:rPr>
                <w:szCs w:val="18"/>
              </w:rPr>
              <w:t>NCT01130012</w:t>
            </w:r>
          </w:p>
        </w:tc>
        <w:tc>
          <w:tcPr>
            <w:tcW w:w="1562" w:type="dxa"/>
          </w:tcPr>
          <w:p w14:paraId="79057EE9" w14:textId="77777777" w:rsidR="00973D70" w:rsidRPr="00D00A59" w:rsidRDefault="00973D70" w:rsidP="00A75579">
            <w:pPr>
              <w:rPr>
                <w:szCs w:val="18"/>
              </w:rPr>
            </w:pPr>
            <w:r w:rsidRPr="00D00A59">
              <w:rPr>
                <w:szCs w:val="18"/>
              </w:rPr>
              <w:t>Intervention 27</w:t>
            </w:r>
          </w:p>
          <w:p w14:paraId="62E2AC6A" w14:textId="77777777" w:rsidR="00973D70" w:rsidRPr="00D00A59" w:rsidRDefault="00973D70" w:rsidP="00A75579">
            <w:pPr>
              <w:rPr>
                <w:szCs w:val="18"/>
              </w:rPr>
            </w:pPr>
            <w:r w:rsidRPr="00D00A59">
              <w:rPr>
                <w:szCs w:val="18"/>
              </w:rPr>
              <w:t>Control 27</w:t>
            </w:r>
          </w:p>
        </w:tc>
        <w:tc>
          <w:tcPr>
            <w:tcW w:w="5393" w:type="dxa"/>
          </w:tcPr>
          <w:p w14:paraId="2CFD5246" w14:textId="77777777" w:rsidR="00973D70" w:rsidRPr="00D00A59" w:rsidRDefault="00973D70" w:rsidP="00A75579">
            <w:pPr>
              <w:rPr>
                <w:szCs w:val="18"/>
              </w:rPr>
            </w:pPr>
            <w:r w:rsidRPr="00D00A59">
              <w:rPr>
                <w:b/>
                <w:szCs w:val="18"/>
              </w:rPr>
              <w:t>Aim</w:t>
            </w:r>
            <w:r w:rsidRPr="00D00A59">
              <w:rPr>
                <w:szCs w:val="18"/>
              </w:rPr>
              <w:t xml:space="preserve">: To evaluate if a lifestyle intervention from early pregnancy is feasible in improving the glucose tolerance of women at a high-risk for GDM in Finland. </w:t>
            </w:r>
          </w:p>
          <w:p w14:paraId="0D4A1343" w14:textId="77777777" w:rsidR="00973D70" w:rsidRPr="00D00A59" w:rsidRDefault="00973D70" w:rsidP="00A75579">
            <w:pPr>
              <w:rPr>
                <w:szCs w:val="18"/>
              </w:rPr>
            </w:pPr>
            <w:r w:rsidRPr="00D00A59">
              <w:rPr>
                <w:b/>
                <w:szCs w:val="18"/>
              </w:rPr>
              <w:t>Population</w:t>
            </w:r>
            <w:r w:rsidRPr="00D00A59">
              <w:rPr>
                <w:szCs w:val="18"/>
              </w:rPr>
              <w:t>: Pregnant women with one or more risk factors for gestational diabetes.</w:t>
            </w:r>
          </w:p>
          <w:p w14:paraId="6DD19DEB" w14:textId="77777777" w:rsidR="00973D70" w:rsidRPr="00D00A59" w:rsidRDefault="00973D70" w:rsidP="00A75579">
            <w:pPr>
              <w:rPr>
                <w:szCs w:val="18"/>
              </w:rPr>
            </w:pPr>
            <w:r w:rsidRPr="00D00A59">
              <w:rPr>
                <w:b/>
                <w:szCs w:val="18"/>
              </w:rPr>
              <w:t>Intervention</w:t>
            </w:r>
            <w:r w:rsidRPr="00D00A59">
              <w:rPr>
                <w:szCs w:val="18"/>
              </w:rPr>
              <w:t>: Dietary advice tailored to each woman individually was provided on six occasions. Recommendation for energy intake was 30 kcal/kg/day for normal weight women and 25 kcal/kg/day for overweight women. Moderate-intensity physical exercise was encouraged; the women had 6 sessions of exercise counselling with the physiotherapist. During the sessions the physiotherapist gave written instructions for exercise and self-care. The goal of the exercise intervention was 30 minutes of daily physical activity if the woman previously exercised &lt; 2.5 hours per week, and 45 minutes if the woman already engaged in 2.5 hours per week. Recommended types of exercise included brisk walking, Nordic walking, swimming, cycling, and cross-country skiing. If the BMI of the woman was &gt;30 kg/m</w:t>
            </w:r>
            <w:r w:rsidRPr="00D00A59">
              <w:rPr>
                <w:szCs w:val="18"/>
                <w:vertAlign w:val="superscript"/>
              </w:rPr>
              <w:t>2</w:t>
            </w:r>
            <w:r w:rsidRPr="00D00A59">
              <w:rPr>
                <w:szCs w:val="18"/>
              </w:rPr>
              <w:t xml:space="preserve"> and the woman had not been active, exercise was started at 15 minutes/day 3 times a week.</w:t>
            </w:r>
          </w:p>
        </w:tc>
        <w:tc>
          <w:tcPr>
            <w:tcW w:w="5664" w:type="dxa"/>
          </w:tcPr>
          <w:p w14:paraId="1DA4437F" w14:textId="77777777" w:rsidR="00973D70" w:rsidRPr="00D00A59" w:rsidRDefault="00973D70" w:rsidP="00A75579">
            <w:pPr>
              <w:rPr>
                <w:szCs w:val="18"/>
              </w:rPr>
            </w:pPr>
            <w:r w:rsidRPr="00D00A59">
              <w:rPr>
                <w:szCs w:val="18"/>
              </w:rPr>
              <w:t>Intervention vs control:</w:t>
            </w:r>
          </w:p>
          <w:p w14:paraId="41BE342E" w14:textId="77777777" w:rsidR="00973D70" w:rsidRPr="00D00A59" w:rsidRDefault="00973D70" w:rsidP="00A75579">
            <w:pPr>
              <w:pStyle w:val="bullet"/>
              <w:rPr>
                <w:szCs w:val="18"/>
              </w:rPr>
            </w:pPr>
            <w:r w:rsidRPr="00D00A59">
              <w:rPr>
                <w:szCs w:val="18"/>
              </w:rPr>
              <w:t>Gestational weight gain: 11.4±6.0 kg vs 13.9±5.1 kg</w:t>
            </w:r>
          </w:p>
          <w:p w14:paraId="38E4A8C5" w14:textId="77777777" w:rsidR="00973D70" w:rsidRPr="00D00A59" w:rsidRDefault="00973D70" w:rsidP="00A75579">
            <w:pPr>
              <w:pStyle w:val="bullet"/>
              <w:rPr>
                <w:szCs w:val="18"/>
              </w:rPr>
            </w:pPr>
            <w:r w:rsidRPr="00D00A59">
              <w:rPr>
                <w:szCs w:val="18"/>
              </w:rPr>
              <w:t>Gestational diabetes: 3/27 vs 1/27</w:t>
            </w:r>
          </w:p>
        </w:tc>
      </w:tr>
      <w:tr w:rsidR="00973D70" w:rsidRPr="00A95FF7" w14:paraId="545E5207" w14:textId="77777777" w:rsidTr="0030223E">
        <w:trPr>
          <w:cantSplit/>
        </w:trPr>
        <w:tc>
          <w:tcPr>
            <w:tcW w:w="1417" w:type="dxa"/>
          </w:tcPr>
          <w:p w14:paraId="16619B82" w14:textId="094D2F4D" w:rsidR="00973D70" w:rsidRPr="00A95FF7" w:rsidRDefault="00973D70" w:rsidP="00654EEB">
            <w:pPr>
              <w:rPr>
                <w:noProof/>
              </w:rPr>
            </w:pPr>
            <w:r w:rsidRPr="00A95FF7">
              <w:rPr>
                <w:noProof/>
              </w:rPr>
              <w:t>Kunath et al 2019</w:t>
            </w:r>
            <w:r>
              <w:rPr>
                <w:noProof/>
              </w:rPr>
              <w:fldChar w:fldCharType="begin">
                <w:fldData xml:space="preserve">PEVuZE5vdGU+PENpdGU+PEF1dGhvcj5LdW5hdGg8L0F1dGhvcj48WWVhcj4yMDE5PC9ZZWFyPjxS
ZWNOdW0+MTM3NzwvUmVjTnVtPjxEaXNwbGF5VGV4dD48c3R5bGUgZmFjZT0ic3VwZXJzY3JpcHQi
IGZvbnQ9IlRyZWJ1Y2hldCBNUyIgc2l6ZT0iOSI+NDk3PC9zdHlsZT48L0Rpc3BsYXlUZXh0Pjxy
ZWNvcmQ+PHJlYy1udW1iZXI+MTM3NzwvcmVjLW51bWJlcj48Zm9yZWlnbi1rZXlzPjxrZXkgYXBw
PSJFTiIgZGItaWQ9ImV4dmFzcmZ4MmR0cmFvZXNhc3hwMnN6c3hhMmRmNTAyNTkyeCIgdGltZXN0
YW1wPSIxNTY3MDM5NTM2Ij4xMzc3PC9rZXk+PGtleSBhcHA9IkVOV2ViIiBkYi1pZD0iIj4wPC9r
ZXk+PC9mb3JlaWduLWtleXM+PHJlZi10eXBlIG5hbWU9IkpvdXJuYWwgQXJ0aWNsZSI+MTc8L3Jl
Zi10eXBlPjxjb250cmlidXRvcnM+PGF1dGhvcnM+PGF1dGhvcj5LdW5hdGgsIEouPC9hdXRob3I+
PGF1dGhvcj5HdW50aGVyLCBKLjwvYXV0aG9yPjxhdXRob3I+UmF1aCwgSy48L2F1dGhvcj48YXV0
aG9yPkhvZmZtYW5uLCBKLjwvYXV0aG9yPjxhdXRob3I+U3RlY2hlciwgTC48L2F1dGhvcj48YXV0
aG9yPlJvc2VuZmVsZCwgRS48L2F1dGhvcj48YXV0aG9yPktpY2ssIEwuPC9hdXRob3I+PGF1dGhv
cj5VbG0sIEsuPC9hdXRob3I+PGF1dGhvcj5IYXVuZXIsIEguPC9hdXRob3I+PC9hdXRob3JzPjwv
Y29udHJpYnV0b3JzPjxhdXRoLWFkZHJlc3M+RWxzZSBLcm9uZXItRnJlc2VuaXVzLUNlbnRyZSBm
b3IgTnV0cml0aW9uYWwgTWVkaWNpbmUsIEtsaW5pa3VtIHJlY2h0cyBkZXIgSXNhciwgVGVjaG5p
Y2FsIFVuaXZlcnNpdHkgb2YgTXVuaWNoLCBHZW9yZy1CcmF1Y2hsZS1SaW5nIDYyLCA4MDk5Miwg
TXVuaWNoLCBHZXJtYW55LiYjeEQ7Q29tcGV0ZW5jZSBDZW50cmUgZm9yIE51dHJpdGlvbiAoS0Vy
biksIEFtIEdlcmV1dGggNCwgODUzNTQsIEZyZWlzaW5nLCBHZXJtYW55LiYjeEQ7SW5zdGl0dXRl
IG9mIE1lZGljYWwgSW5mb3JtYXRpY3MsIFN0YXRpc3RpY3MgYW5kIEVwaWRlbWlvbG9neSwgS2xp
bmlrdW0gcmVjaHRzIGRlciBJc2FyLCBUZWNobmljYWwgVW5pdmVyc2l0eSBvZiBNdW5pY2gsIElz
bWFuaW5nZXIgU3RyYXNzZSAyMiwgODE2NzUsIE11bmljaCwgR2VybWFueS4mI3hEO0Vsc2UgS3Jv
bmVyLUZyZXNlbml1cy1DZW50cmUgZm9yIE51dHJpdGlvbmFsIE1lZGljaW5lLCBLbGluaWt1bSBy
ZWNodHMgZGVyIElzYXIsIFRlY2huaWNhbCBVbml2ZXJzaXR5IG9mIE11bmljaCwgR2VvcmctQnJh
dWNobGUtUmluZyA2MiwgODA5OTIsIE11bmljaCwgR2VybWFueS4gaGFucy5oYXVuZXJAdHVtLmRl
LjwvYXV0aC1hZGRyZXNzPjx0aXRsZXM+PHRpdGxlPkVmZmVjdHMgb2YgYSBsaWZlc3R5bGUgaW50
ZXJ2ZW50aW9uIGR1cmluZyBwcmVnbmFuY3kgdG8gcHJldmVudCBleGNlc3NpdmUgZ2VzdGF0aW9u
YWwgd2VpZ2h0IGdhaW4gaW4gcm91dGluZSBjYXJlIC0gdGhlIGNsdXN0ZXItcmFuZG9taXNlZCBH
ZWxpUyB0cmlhbDwvdGl0bGU+PHNlY29uZGFyeS10aXRsZT5CTUMgTWVkPC9zZWNvbmRhcnktdGl0
bGU+PC90aXRsZXM+PHBlcmlvZGljYWw+PGZ1bGwtdGl0bGU+Qk1DIE1lZDwvZnVsbC10aXRsZT48
L3BlcmlvZGljYWw+PHBhZ2VzPjU8L3BhZ2VzPjx2b2x1bWU+MTc8L3ZvbHVtZT48bnVtYmVyPjE8
L251bWJlcj48ZWRpdGlvbj4yMDE5LzAxLzE1PC9lZGl0aW9uPjxrZXl3b3Jkcz48a2V5d29yZD5B
ZHVsdDwva2V5d29yZD48a2V5d29yZD5Db3Vuc2VsaW5nL21ldGhvZHM8L2tleXdvcmQ+PGtleXdv
cmQ+RGlhYmV0ZXMsIEdlc3RhdGlvbmFsL3ByZXZlbnRpb24gJmFtcDsgY29udHJvbDwva2V5d29y
ZD48a2V5d29yZD5EaWV0IFRoZXJhcHkvbWV0aG9kczwva2V5d29yZD48a2V5d29yZD5FeGVyY2lz
ZSBUaGVyYXB5L21ldGhvZHM8L2tleXdvcmQ+PGtleXdvcmQ+RmVtYWxlPC9rZXl3b3JkPjxrZXl3
b3JkPipHZXN0YXRpb25hbCBXZWlnaHQgR2Fpbjwva2V5d29yZD48a2V5d29yZD5IdW1hbnM8L2tl
eXdvcmQ+PGtleXdvcmQ+TGlmZSBTdHlsZTwva2V5d29yZD48a2V5d29yZD5QZWRpYXRyaWMgT2Jl
c2l0eS9wcmV2ZW50aW9uICZhbXA7IGNvbnRyb2w8L2tleXdvcmQ+PGtleXdvcmQ+UHJlZ25hbmN5
PC9rZXl3b3JkPjxrZXl3b3JkPlByZWduYW5jeSBDb21wbGljYXRpb25zLypwcmV2ZW50aW9uICZh
bXA7IGNvbnRyb2w8L2tleXdvcmQ+PGtleXdvcmQ+UHJlbmF0YWwgQ2FyZS8qbWV0aG9kczwva2V5
d29yZD48a2V5d29yZD4qTGlmZXN0eWxlIGludGVydmVudGlvbjwva2V5d29yZD48a2V5d29yZD4q
Y2hpbGRob29kIG9iZXNpdHk8L2tleXdvcmQ+PGtleXdvcmQ+KmRpZXQ8L2tleXdvcmQ+PGtleXdv
cmQ+KmV4ZXJjaXNlPC9rZXl3b3JkPjxrZXl3b3JkPipnZXN0YXRpb25hbCBkaWFiZXRlczwva2V5
d29yZD48a2V5d29yZD4qb2Jlc2l0eSBwcmV2ZW50aW9uPC9rZXl3b3JkPjxrZXl3b3JkPipvYnN0
ZXRyaWMgb3V0Y29tZXM8L2tleXdvcmQ+PGtleXdvcmQ+KnByZWduYW5jeTwva2V5d29yZD48a2V5
d29yZD4qd2VpZ2h0IHJldGVudGlvbjwva2V5d29yZD48L2tleXdvcmRzPjxkYXRlcz48eWVhcj4y
MDE5PC95ZWFyPjxwdWItZGF0ZXM+PGRhdGU+SmFuIDE0PC9kYXRlPjwvcHViLWRhdGVzPjwvZGF0
ZXM+PGlzYm4+MTc0MS03MDE1IChFbGVjdHJvbmljKSYjeEQ7MTc0MS03MDE1IChMaW5raW5nKTwv
aXNibj48YWNjZXNzaW9uLW51bT4zMDYzNjYzNjwvYWNjZXNzaW9uLW51bT48dXJscz48cmVsYXRl
ZC11cmxzPjx1cmw+aHR0cHM6Ly93d3cubmNiaS5ubG0ubmloLmdvdi9wdWJtZWQvMzA2MzY2MzY8
L3VybD48L3JlbGF0ZWQtdXJscz48L3VybHM+PGN1c3RvbTI+UE1DNjMzMDc1MzwvY3VzdG9tMj48
ZWxlY3Ryb25pYy1yZXNvdXJjZS1udW0+MTAuMTE4Ni9zMTI5MTYtMDE4LTEyMzUtejwvZWxlY3Ry
b25pYy1yZXNvdXJjZS1udW0+PC9yZWNvcmQ+PC9DaXRlPjwvRW5kTm90ZT4A
</w:fldData>
              </w:fldChar>
            </w:r>
            <w:r w:rsidR="002747EA">
              <w:rPr>
                <w:noProof/>
              </w:rPr>
              <w:instrText xml:space="preserve"> ADDIN EN.CITE </w:instrText>
            </w:r>
            <w:r w:rsidR="002747EA">
              <w:rPr>
                <w:noProof/>
              </w:rPr>
              <w:fldChar w:fldCharType="begin">
                <w:fldData xml:space="preserve">PEVuZE5vdGU+PENpdGU+PEF1dGhvcj5LdW5hdGg8L0F1dGhvcj48WWVhcj4yMDE5PC9ZZWFyPjxS
ZWNOdW0+MTM3NzwvUmVjTnVtPjxEaXNwbGF5VGV4dD48c3R5bGUgZmFjZT0ic3VwZXJzY3JpcHQi
IGZvbnQ9IlRyZWJ1Y2hldCBNUyIgc2l6ZT0iOSI+NDk3PC9zdHlsZT48L0Rpc3BsYXlUZXh0Pjxy
ZWNvcmQ+PHJlYy1udW1iZXI+MTM3NzwvcmVjLW51bWJlcj48Zm9yZWlnbi1rZXlzPjxrZXkgYXBw
PSJFTiIgZGItaWQ9ImV4dmFzcmZ4MmR0cmFvZXNhc3hwMnN6c3hhMmRmNTAyNTkyeCIgdGltZXN0
YW1wPSIxNTY3MDM5NTM2Ij4xMzc3PC9rZXk+PGtleSBhcHA9IkVOV2ViIiBkYi1pZD0iIj4wPC9r
ZXk+PC9mb3JlaWduLWtleXM+PHJlZi10eXBlIG5hbWU9IkpvdXJuYWwgQXJ0aWNsZSI+MTc8L3Jl
Zi10eXBlPjxjb250cmlidXRvcnM+PGF1dGhvcnM+PGF1dGhvcj5LdW5hdGgsIEouPC9hdXRob3I+
PGF1dGhvcj5HdW50aGVyLCBKLjwvYXV0aG9yPjxhdXRob3I+UmF1aCwgSy48L2F1dGhvcj48YXV0
aG9yPkhvZmZtYW5uLCBKLjwvYXV0aG9yPjxhdXRob3I+U3RlY2hlciwgTC48L2F1dGhvcj48YXV0
aG9yPlJvc2VuZmVsZCwgRS48L2F1dGhvcj48YXV0aG9yPktpY2ssIEwuPC9hdXRob3I+PGF1dGhv
cj5VbG0sIEsuPC9hdXRob3I+PGF1dGhvcj5IYXVuZXIsIEguPC9hdXRob3I+PC9hdXRob3JzPjwv
Y29udHJpYnV0b3JzPjxhdXRoLWFkZHJlc3M+RWxzZSBLcm9uZXItRnJlc2VuaXVzLUNlbnRyZSBm
b3IgTnV0cml0aW9uYWwgTWVkaWNpbmUsIEtsaW5pa3VtIHJlY2h0cyBkZXIgSXNhciwgVGVjaG5p
Y2FsIFVuaXZlcnNpdHkgb2YgTXVuaWNoLCBHZW9yZy1CcmF1Y2hsZS1SaW5nIDYyLCA4MDk5Miwg
TXVuaWNoLCBHZXJtYW55LiYjeEQ7Q29tcGV0ZW5jZSBDZW50cmUgZm9yIE51dHJpdGlvbiAoS0Vy
biksIEFtIEdlcmV1dGggNCwgODUzNTQsIEZyZWlzaW5nLCBHZXJtYW55LiYjeEQ7SW5zdGl0dXRl
IG9mIE1lZGljYWwgSW5mb3JtYXRpY3MsIFN0YXRpc3RpY3MgYW5kIEVwaWRlbWlvbG9neSwgS2xp
bmlrdW0gcmVjaHRzIGRlciBJc2FyLCBUZWNobmljYWwgVW5pdmVyc2l0eSBvZiBNdW5pY2gsIElz
bWFuaW5nZXIgU3RyYXNzZSAyMiwgODE2NzUsIE11bmljaCwgR2VybWFueS4mI3hEO0Vsc2UgS3Jv
bmVyLUZyZXNlbml1cy1DZW50cmUgZm9yIE51dHJpdGlvbmFsIE1lZGljaW5lLCBLbGluaWt1bSBy
ZWNodHMgZGVyIElzYXIsIFRlY2huaWNhbCBVbml2ZXJzaXR5IG9mIE11bmljaCwgR2VvcmctQnJh
dWNobGUtUmluZyA2MiwgODA5OTIsIE11bmljaCwgR2VybWFueS4gaGFucy5oYXVuZXJAdHVtLmRl
LjwvYXV0aC1hZGRyZXNzPjx0aXRsZXM+PHRpdGxlPkVmZmVjdHMgb2YgYSBsaWZlc3R5bGUgaW50
ZXJ2ZW50aW9uIGR1cmluZyBwcmVnbmFuY3kgdG8gcHJldmVudCBleGNlc3NpdmUgZ2VzdGF0aW9u
YWwgd2VpZ2h0IGdhaW4gaW4gcm91dGluZSBjYXJlIC0gdGhlIGNsdXN0ZXItcmFuZG9taXNlZCBH
ZWxpUyB0cmlhbDwvdGl0bGU+PHNlY29uZGFyeS10aXRsZT5CTUMgTWVkPC9zZWNvbmRhcnktdGl0
bGU+PC90aXRsZXM+PHBlcmlvZGljYWw+PGZ1bGwtdGl0bGU+Qk1DIE1lZDwvZnVsbC10aXRsZT48
L3BlcmlvZGljYWw+PHBhZ2VzPjU8L3BhZ2VzPjx2b2x1bWU+MTc8L3ZvbHVtZT48bnVtYmVyPjE8
L251bWJlcj48ZWRpdGlvbj4yMDE5LzAxLzE1PC9lZGl0aW9uPjxrZXl3b3Jkcz48a2V5d29yZD5B
ZHVsdDwva2V5d29yZD48a2V5d29yZD5Db3Vuc2VsaW5nL21ldGhvZHM8L2tleXdvcmQ+PGtleXdv
cmQ+RGlhYmV0ZXMsIEdlc3RhdGlvbmFsL3ByZXZlbnRpb24gJmFtcDsgY29udHJvbDwva2V5d29y
ZD48a2V5d29yZD5EaWV0IFRoZXJhcHkvbWV0aG9kczwva2V5d29yZD48a2V5d29yZD5FeGVyY2lz
ZSBUaGVyYXB5L21ldGhvZHM8L2tleXdvcmQ+PGtleXdvcmQ+RmVtYWxlPC9rZXl3b3JkPjxrZXl3
b3JkPipHZXN0YXRpb25hbCBXZWlnaHQgR2Fpbjwva2V5d29yZD48a2V5d29yZD5IdW1hbnM8L2tl
eXdvcmQ+PGtleXdvcmQ+TGlmZSBTdHlsZTwva2V5d29yZD48a2V5d29yZD5QZWRpYXRyaWMgT2Jl
c2l0eS9wcmV2ZW50aW9uICZhbXA7IGNvbnRyb2w8L2tleXdvcmQ+PGtleXdvcmQ+UHJlZ25hbmN5
PC9rZXl3b3JkPjxrZXl3b3JkPlByZWduYW5jeSBDb21wbGljYXRpb25zLypwcmV2ZW50aW9uICZh
bXA7IGNvbnRyb2w8L2tleXdvcmQ+PGtleXdvcmQ+UHJlbmF0YWwgQ2FyZS8qbWV0aG9kczwva2V5
d29yZD48a2V5d29yZD4qTGlmZXN0eWxlIGludGVydmVudGlvbjwva2V5d29yZD48a2V5d29yZD4q
Y2hpbGRob29kIG9iZXNpdHk8L2tleXdvcmQ+PGtleXdvcmQ+KmRpZXQ8L2tleXdvcmQ+PGtleXdv
cmQ+KmV4ZXJjaXNlPC9rZXl3b3JkPjxrZXl3b3JkPipnZXN0YXRpb25hbCBkaWFiZXRlczwva2V5
d29yZD48a2V5d29yZD4qb2Jlc2l0eSBwcmV2ZW50aW9uPC9rZXl3b3JkPjxrZXl3b3JkPipvYnN0
ZXRyaWMgb3V0Y29tZXM8L2tleXdvcmQ+PGtleXdvcmQ+KnByZWduYW5jeTwva2V5d29yZD48a2V5
d29yZD4qd2VpZ2h0IHJldGVudGlvbjwva2V5d29yZD48L2tleXdvcmRzPjxkYXRlcz48eWVhcj4y
MDE5PC95ZWFyPjxwdWItZGF0ZXM+PGRhdGU+SmFuIDE0PC9kYXRlPjwvcHViLWRhdGVzPjwvZGF0
ZXM+PGlzYm4+MTc0MS03MDE1IChFbGVjdHJvbmljKSYjeEQ7MTc0MS03MDE1IChMaW5raW5nKTwv
aXNibj48YWNjZXNzaW9uLW51bT4zMDYzNjYzNjwvYWNjZXNzaW9uLW51bT48dXJscz48cmVsYXRl
ZC11cmxzPjx1cmw+aHR0cHM6Ly93d3cubmNiaS5ubG0ubmloLmdvdi9wdWJtZWQvMzA2MzY2MzY8
L3VybD48L3JlbGF0ZWQtdXJscz48L3VybHM+PGN1c3RvbTI+UE1DNjMzMDc1MzwvY3VzdG9tMj48
ZWxlY3Ryb25pYy1yZXNvdXJjZS1udW0+MTAuMTE4Ni9zMTI5MTYtMDE4LTEyMzUtejwvZWxlY3Ry
b25pYy1yZXNvdXJjZS1udW0+PC9yZWNvcmQ+PC9DaXRlPjwvRW5kTm90ZT4A
</w:fldData>
              </w:fldChar>
            </w:r>
            <w:r w:rsidR="002747EA">
              <w:rPr>
                <w:noProof/>
              </w:rPr>
              <w:instrText xml:space="preserve"> ADDIN EN.CITE.DATA </w:instrText>
            </w:r>
            <w:r w:rsidR="002747EA">
              <w:rPr>
                <w:noProof/>
              </w:rPr>
            </w:r>
            <w:r w:rsidR="002747EA">
              <w:rPr>
                <w:noProof/>
              </w:rPr>
              <w:fldChar w:fldCharType="end"/>
            </w:r>
            <w:r>
              <w:rPr>
                <w:noProof/>
              </w:rPr>
            </w:r>
            <w:r>
              <w:rPr>
                <w:noProof/>
              </w:rPr>
              <w:fldChar w:fldCharType="separate"/>
            </w:r>
            <w:r w:rsidR="002747EA" w:rsidRPr="002747EA">
              <w:rPr>
                <w:noProof/>
                <w:vertAlign w:val="superscript"/>
              </w:rPr>
              <w:t>497</w:t>
            </w:r>
            <w:r>
              <w:rPr>
                <w:noProof/>
              </w:rPr>
              <w:fldChar w:fldCharType="end"/>
            </w:r>
          </w:p>
          <w:p w14:paraId="3997912F" w14:textId="77777777" w:rsidR="00973D70" w:rsidRPr="00A95FF7" w:rsidRDefault="00973D70" w:rsidP="00654EEB">
            <w:pPr>
              <w:rPr>
                <w:noProof/>
              </w:rPr>
            </w:pPr>
            <w:r w:rsidRPr="00A95FF7">
              <w:rPr>
                <w:noProof/>
              </w:rPr>
              <w:t>Germany</w:t>
            </w:r>
          </w:p>
          <w:p w14:paraId="06A99271" w14:textId="77777777" w:rsidR="00973D70" w:rsidRPr="00A95FF7" w:rsidRDefault="00973D70" w:rsidP="00654EEB">
            <w:pPr>
              <w:rPr>
                <w:noProof/>
              </w:rPr>
            </w:pPr>
            <w:r w:rsidRPr="00A95FF7">
              <w:rPr>
                <w:noProof/>
              </w:rPr>
              <w:t>GeliS</w:t>
            </w:r>
          </w:p>
          <w:p w14:paraId="3263AEC7" w14:textId="77777777" w:rsidR="00973D70" w:rsidRPr="00A95FF7" w:rsidRDefault="00973D70" w:rsidP="00A62770">
            <w:pPr>
              <w:rPr>
                <w:rFonts w:ascii="Century Gothic" w:hAnsi="Century Gothic"/>
                <w:noProof/>
              </w:rPr>
            </w:pPr>
            <w:r w:rsidRPr="00A95FF7">
              <w:t>NCT01958307</w:t>
            </w:r>
          </w:p>
        </w:tc>
        <w:tc>
          <w:tcPr>
            <w:tcW w:w="1562" w:type="dxa"/>
          </w:tcPr>
          <w:p w14:paraId="3534C4D6" w14:textId="77777777" w:rsidR="00973D70" w:rsidRPr="0030223E" w:rsidRDefault="00973D70" w:rsidP="00A75579">
            <w:r w:rsidRPr="0030223E">
              <w:t>Intervention 1,018</w:t>
            </w:r>
          </w:p>
          <w:p w14:paraId="44701697" w14:textId="77777777" w:rsidR="00973D70" w:rsidRPr="0030223E" w:rsidRDefault="00973D70" w:rsidP="00A75579">
            <w:r w:rsidRPr="0030223E">
              <w:t>Control 999</w:t>
            </w:r>
          </w:p>
          <w:p w14:paraId="1B1F7853" w14:textId="77777777" w:rsidR="00973D70" w:rsidRPr="00A95FF7" w:rsidRDefault="00973D70" w:rsidP="00A75579">
            <w:pPr>
              <w:rPr>
                <w:sz w:val="16"/>
                <w:szCs w:val="16"/>
              </w:rPr>
            </w:pPr>
            <w:r w:rsidRPr="0030223E">
              <w:t>Cluster randomised trial</w:t>
            </w:r>
          </w:p>
        </w:tc>
        <w:tc>
          <w:tcPr>
            <w:tcW w:w="5393" w:type="dxa"/>
          </w:tcPr>
          <w:p w14:paraId="2157B6FC" w14:textId="77777777" w:rsidR="00973D70" w:rsidRPr="00A95FF7" w:rsidRDefault="00973D70" w:rsidP="000C2F0E">
            <w:r w:rsidRPr="00A95FF7">
              <w:rPr>
                <w:b/>
              </w:rPr>
              <w:t>Aim</w:t>
            </w:r>
            <w:r w:rsidRPr="00A95FF7">
              <w:t xml:space="preserve">: To examine the effect of a lifestyle intervention during pregnancy on the proportion of women with excessive GWG and pregnancy and obstetric complications, as well as the long-term risk of maternal and infant obesity. </w:t>
            </w:r>
          </w:p>
          <w:p w14:paraId="3D13A92E" w14:textId="77777777" w:rsidR="00973D70" w:rsidRPr="00A95FF7" w:rsidRDefault="00973D70" w:rsidP="000C2F0E">
            <w:r w:rsidRPr="00A95FF7">
              <w:rPr>
                <w:b/>
              </w:rPr>
              <w:t>Population</w:t>
            </w:r>
            <w:r w:rsidRPr="00A95FF7">
              <w:t xml:space="preserve">: Women with a pre-pregnancy BMI between 18.5 and 40.0 kg/m(2) recruited from gynaecological and midwifery practices prior to the end of the 12(th) week of gestation. </w:t>
            </w:r>
          </w:p>
          <w:p w14:paraId="364E1610" w14:textId="77777777" w:rsidR="00973D70" w:rsidRPr="00A95FF7" w:rsidRDefault="00973D70" w:rsidP="000C2F0E">
            <w:pPr>
              <w:rPr>
                <w:b/>
                <w:sz w:val="16"/>
                <w:szCs w:val="16"/>
              </w:rPr>
            </w:pPr>
            <w:r w:rsidRPr="00A95FF7">
              <w:rPr>
                <w:b/>
              </w:rPr>
              <w:t>Intervention</w:t>
            </w:r>
            <w:r w:rsidRPr="00A95FF7">
              <w:t xml:space="preserve">: Four lifestyle counselling sessions covering a balanced healthy diet, regular physical activity and self-monitoring of weight gain were performed by trained healthcare providers alongside routine pre- and postnatal practice visits. </w:t>
            </w:r>
          </w:p>
        </w:tc>
        <w:tc>
          <w:tcPr>
            <w:tcW w:w="5664" w:type="dxa"/>
          </w:tcPr>
          <w:p w14:paraId="6CB1412C" w14:textId="00426B21" w:rsidR="00973D70" w:rsidRPr="00A95FF7" w:rsidRDefault="00973D70" w:rsidP="00235FFC">
            <w:r w:rsidRPr="00A95FF7">
              <w:t>Intervention vs control (adjusted using intracluster correlation co-efficient from Luoto et al 2010):</w:t>
            </w:r>
            <w:r w:rsidRPr="00A95FF7">
              <w:fldChar w:fldCharType="begin"/>
            </w:r>
            <w:r w:rsidR="002747EA">
              <w:instrText xml:space="preserve"> ADDIN EN.CITE &lt;EndNote&gt;&lt;Cite&gt;&lt;Author&gt;Luoto&lt;/Author&gt;&lt;Year&gt;2010&lt;/Year&gt;&lt;RecNum&gt;1097&lt;/RecNum&gt;&lt;DisplayText&gt;&lt;style face="superscript" font="Trebuchet MS" size="9"&gt;547&lt;/style&gt;&lt;/DisplayText&gt;&lt;record&gt;&lt;rec-number&gt;1097&lt;/rec-number&gt;&lt;foreign-keys&gt;&lt;key app="EN" db-id="exvasrfx2dtraoesasxp2szsxa2df502592x" timestamp="1552947001"&gt;1097&lt;/key&gt;&lt;/foreign-keys&gt;&lt;ref-type name="Journal Article"&gt;17&lt;/ref-type&gt;&lt;contributors&gt;&lt;authors&gt;&lt;author&gt;Luoto, R. M.&lt;/author&gt;&lt;author&gt;Kinnunen, T. I.&lt;/author&gt;&lt;author&gt;Aittasalo, M.&lt;/author&gt;&lt;author&gt;Ojala, K.&lt;/author&gt;&lt;author&gt;Mansikkamaki, K.&lt;/author&gt;&lt;author&gt;Toropainen, E.&lt;/author&gt;&lt;author&gt;Kolu, P.&lt;/author&gt;&lt;author&gt;Vasankari, T.&lt;/author&gt;&lt;/authors&gt;&lt;/contributors&gt;&lt;auth-address&gt;The UKK Institute for Health Promotion Research, Tampere, Finland.&lt;/auth-address&gt;&lt;titles&gt;&lt;title&gt;Prevention of gestational diabetes: design of a cluster-randomized controlled trial and one-year follow-up&lt;/title&gt;&lt;secondary-title&gt;BMC Pregnancy Childbirth&lt;/secondary-title&gt;&lt;/titles&gt;&lt;periodical&gt;&lt;full-title&gt;BMC Pregnancy Childbirth&lt;/full-title&gt;&lt;/periodical&gt;&lt;pages&gt;39&lt;/pages&gt;&lt;volume&gt;10&lt;/volume&gt;&lt;edition&gt;2010/08/05&lt;/edition&gt;&lt;keywords&gt;&lt;keyword&gt;Cost-Benefit Analysis&lt;/keyword&gt;&lt;keyword&gt;Counseling/economics&lt;/keyword&gt;&lt;keyword&gt;Diabetes, Gestational/*prevention &amp;amp; control&lt;/keyword&gt;&lt;keyword&gt;Exercise&lt;/keyword&gt;&lt;keyword&gt;Feeding Behavior&lt;/keyword&gt;&lt;keyword&gt;Female&lt;/keyword&gt;&lt;keyword&gt;Finland&lt;/keyword&gt;&lt;keyword&gt;Follow-Up Studies&lt;/keyword&gt;&lt;keyword&gt;Humans&lt;/keyword&gt;&lt;keyword&gt;Pregnancy&lt;/keyword&gt;&lt;keyword&gt;*Prenatal Care/economics&lt;/keyword&gt;&lt;keyword&gt;*Research Design&lt;/keyword&gt;&lt;/keywords&gt;&lt;dates&gt;&lt;year&gt;2010&lt;/year&gt;&lt;pub-dates&gt;&lt;date&gt;Aug 3&lt;/date&gt;&lt;/pub-dates&gt;&lt;/dates&gt;&lt;isbn&gt;1471-2393 (Electronic)&amp;#xD;1471-2393 (Linking)&lt;/isbn&gt;&lt;accession-num&gt;20682023&lt;/accession-num&gt;&lt;urls&gt;&lt;related-urls&gt;&lt;url&gt;https://www.ncbi.nlm.nih.gov/pubmed/20682023&lt;/url&gt;&lt;/related-urls&gt;&lt;/urls&gt;&lt;custom2&gt;PMC2923097&lt;/custom2&gt;&lt;electronic-resource-num&gt;10.1186/1471-2393-10-39&lt;/electronic-resource-num&gt;&lt;/record&gt;&lt;/Cite&gt;&lt;/EndNote&gt;</w:instrText>
            </w:r>
            <w:r w:rsidRPr="00A95FF7">
              <w:fldChar w:fldCharType="separate"/>
            </w:r>
            <w:r w:rsidR="002747EA" w:rsidRPr="002747EA">
              <w:rPr>
                <w:noProof/>
                <w:vertAlign w:val="superscript"/>
              </w:rPr>
              <w:t>547</w:t>
            </w:r>
            <w:r w:rsidRPr="00A95FF7">
              <w:fldChar w:fldCharType="end"/>
            </w:r>
          </w:p>
          <w:p w14:paraId="671E1B42" w14:textId="77777777" w:rsidR="00973D70" w:rsidRPr="00A95FF7" w:rsidRDefault="00973D70" w:rsidP="00235FFC">
            <w:pPr>
              <w:pStyle w:val="bullet"/>
            </w:pPr>
            <w:r w:rsidRPr="00A95FF7">
              <w:t>Gestational weight gain: 14.1±5.3 (n=40) vs 14.1±5.2 (n=40)</w:t>
            </w:r>
          </w:p>
          <w:p w14:paraId="0908B0EF" w14:textId="77777777" w:rsidR="00973D70" w:rsidRPr="00A95FF7" w:rsidRDefault="00973D70" w:rsidP="00235FFC">
            <w:pPr>
              <w:pStyle w:val="bullet"/>
            </w:pPr>
            <w:r w:rsidRPr="00A95FF7">
              <w:t>Weight gain exceeding IOM guidelines: 18/40 vs 18/40</w:t>
            </w:r>
          </w:p>
          <w:p w14:paraId="2D788144" w14:textId="77777777" w:rsidR="00973D70" w:rsidRPr="00A95FF7" w:rsidRDefault="00973D70" w:rsidP="00235FFC">
            <w:pPr>
              <w:pStyle w:val="bullet"/>
            </w:pPr>
            <w:r w:rsidRPr="00A95FF7">
              <w:t>Gestational diabetes: 4/41 vs 4/39</w:t>
            </w:r>
          </w:p>
          <w:p w14:paraId="0303C946" w14:textId="77777777" w:rsidR="00973D70" w:rsidRPr="00A95FF7" w:rsidRDefault="00973D70" w:rsidP="00235FFC">
            <w:pPr>
              <w:pStyle w:val="bullet"/>
            </w:pPr>
            <w:r w:rsidRPr="00A95FF7">
              <w:t>Hypertension: 4/40 vs 3/40</w:t>
            </w:r>
          </w:p>
          <w:p w14:paraId="434D456A" w14:textId="77777777" w:rsidR="00973D70" w:rsidRPr="00A95FF7" w:rsidRDefault="00973D70" w:rsidP="00235FFC">
            <w:pPr>
              <w:pStyle w:val="bullet"/>
            </w:pPr>
            <w:r w:rsidRPr="00A95FF7">
              <w:t>Pre-eclampsia: 3/40 vs 2/40</w:t>
            </w:r>
          </w:p>
          <w:p w14:paraId="066CDC30" w14:textId="77777777" w:rsidR="00973D70" w:rsidRPr="00A95FF7" w:rsidRDefault="00973D70" w:rsidP="00235FFC">
            <w:pPr>
              <w:pStyle w:val="bullet"/>
            </w:pPr>
            <w:r w:rsidRPr="00A95FF7">
              <w:t>Preterm birth: 3/40 vs 2/40</w:t>
            </w:r>
          </w:p>
          <w:p w14:paraId="1947DE67" w14:textId="77777777" w:rsidR="00973D70" w:rsidRPr="00A95FF7" w:rsidRDefault="00973D70" w:rsidP="00235FFC">
            <w:pPr>
              <w:pStyle w:val="bullet"/>
            </w:pPr>
            <w:r w:rsidRPr="00A95FF7">
              <w:t>Caesarean section: 6/40 vs 6/40</w:t>
            </w:r>
          </w:p>
          <w:p w14:paraId="752BDB66" w14:textId="77777777" w:rsidR="00973D70" w:rsidRPr="00A95FF7" w:rsidRDefault="00973D70" w:rsidP="00235FFC">
            <w:pPr>
              <w:pStyle w:val="bullet"/>
            </w:pPr>
            <w:r w:rsidRPr="00A95FF7">
              <w:t>Large for gestational age: 3/40 vs 3/40</w:t>
            </w:r>
          </w:p>
          <w:p w14:paraId="2E8CCAEC" w14:textId="77777777" w:rsidR="00973D70" w:rsidRPr="00A95FF7" w:rsidRDefault="00973D70" w:rsidP="00235FFC">
            <w:pPr>
              <w:pStyle w:val="bullet"/>
            </w:pPr>
            <w:r w:rsidRPr="00A95FF7">
              <w:t>Small for gestational age: 4/40 vs 3/40</w:t>
            </w:r>
          </w:p>
          <w:p w14:paraId="6A5184BE" w14:textId="77777777" w:rsidR="00973D70" w:rsidRPr="00A95FF7" w:rsidRDefault="00973D70" w:rsidP="00235FFC">
            <w:pPr>
              <w:pStyle w:val="bullet"/>
            </w:pPr>
            <w:r w:rsidRPr="00A95FF7">
              <w:t>Weight retention (6-8 weeks postpartum): 4.0±4.8 (n=41) vs 4.3±4.8 (n=39)</w:t>
            </w:r>
          </w:p>
        </w:tc>
      </w:tr>
      <w:tr w:rsidR="00973D70" w:rsidRPr="00D00A59" w14:paraId="53BFBECB" w14:textId="77777777" w:rsidTr="0030223E">
        <w:trPr>
          <w:cantSplit/>
        </w:trPr>
        <w:tc>
          <w:tcPr>
            <w:tcW w:w="1417" w:type="dxa"/>
          </w:tcPr>
          <w:p w14:paraId="417DAAB0" w14:textId="18D7C708" w:rsidR="00973D70" w:rsidRPr="00D00A59" w:rsidRDefault="00973D70" w:rsidP="00654EEB">
            <w:r w:rsidRPr="00D00A59">
              <w:rPr>
                <w:noProof/>
              </w:rPr>
              <w:t>Luoto et al 2011;</w:t>
            </w:r>
            <w:r w:rsidRPr="00D00A59">
              <w:rPr>
                <w:noProof/>
              </w:rPr>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rPr>
                <w:noProof/>
              </w:rPr>
              <w:instrText xml:space="preserve"> ADDIN EN.CITE </w:instrText>
            </w:r>
            <w:r w:rsidR="002747EA">
              <w:rPr>
                <w:noProof/>
              </w:rPr>
              <w:fldChar w:fldCharType="begin">
                <w:fldData xml:space="preserve">PEVuZE5vdGU+PENpdGU+PEF1dGhvcj5MdW90bzwvQXV0aG9yPjxZZWFyPjIwMTE8L1llYXI+PFJl
Y051bT4xMDg0PC9SZWNOdW0+PERpc3BsYXlUZXh0PjxzdHlsZSBmYWNlPSJzdXBlcnNjcmlwdCIg
Zm9udD0iVHJlYnVjaGV0IE1TIiBzaXplPSI5Ij41MjI8L3N0eWxlPjwvRGlzcGxheVRleHQ+PHJl
Y29yZD48cmVjLW51bWJlcj4xMDg0PC9yZWMtbnVtYmVyPjxmb3JlaWduLWtleXM+PGtleSBhcHA9
IkVOIiBkYi1pZD0iZXh2YXNyZngyZHRyYW9lc2FzeHAyc3pzeGEyZGY1MDI1OTJ4IiB0aW1lc3Rh
bXA9IjE1NTI5NDY1MDEiPjEwODQ8L2tleT48a2V5IGFwcD0iRU5XZWIiIGRiLWlkPSIiPjA8L2tl
eT48L2ZvcmVpZ24ta2V5cz48cmVmLXR5cGUgbmFtZT0iSm91cm5hbCBBcnRpY2xlIj4xNzwvcmVm
LXR5cGU+PGNvbnRyaWJ1dG9ycz48YXV0aG9ycz48YXV0aG9yPkx1b3RvLCBSLjwvYXV0aG9yPjxh
dXRob3I+S2lubnVuZW4sIFQuIEkuPC9hdXRob3I+PGF1dGhvcj5BaXR0YXNhbG8sIE0uPC9hdXRo
b3I+PGF1dGhvcj5Lb2x1LCBQLjwvYXV0aG9yPjxhdXRob3I+UmFpdGFuZW4sIEouPC9hdXRob3I+
PGF1dGhvcj5PamFsYSwgSy48L2F1dGhvcj48YXV0aG9yPk1hbnNpa2thbWFraSwgSy48L2F1dGhv
cj48YXV0aG9yPkxhbWJlcmcsIFMuPC9hdXRob3I+PGF1dGhvcj5WYXNhbmthcmksIFQuPC9hdXRo
b3I+PGF1dGhvcj5Lb211bGFpbmVuLCBULjwvYXV0aG9yPjxhdXRob3I+VHVsb2thcywgUy48L2F1
dGhvcj48L2F1dGhvcnM+PC9jb250cmlidXRvcnM+PGF1dGgtYWRkcmVzcz5VS0sgSW5zdGl0dXRl
IGZvciBIZWFsdGggUHJvbW90aW9uIFJlc2VhcmNoLCBUYW1wZXJlLCBGaW5sYW5kLiByaWl0dGEu
bHVvdG9AdXRhLmZpPC9hdXRoLWFkZHJlc3M+PHRpdGxlcz48dGl0bGU+UHJpbWFyeSBwcmV2ZW50
aW9uIG9mIGdlc3RhdGlvbmFsIGRpYWJldGVzIG1lbGxpdHVzIGFuZCBsYXJnZS1mb3ItZ2VzdGF0
aW9uYWwtYWdlIG5ld2Jvcm5zIGJ5IGxpZmVzdHlsZSBjb3Vuc2VsaW5nOiBhIGNsdXN0ZXItcmFu
ZG9taXplZCBjb250cm9sbGVkIHRyaWFsPC90aXRsZT48c2Vjb25kYXJ5LXRpdGxlPlBMb1MgTWVk
PC9zZWNvbmRhcnktdGl0bGU+PC90aXRsZXM+PHBlcmlvZGljYWw+PGZ1bGwtdGl0bGU+UExvUyBN
ZWQ8L2Z1bGwtdGl0bGU+PC9wZXJpb2RpY2FsPjxwYWdlcz5lMTAwMTAzNjwvcGFnZXM+PHZvbHVt
ZT44PC92b2x1bWU+PG51bWJlcj41PC9udW1iZXI+PGVkaXRpb24+MjAxMS8wNS8yNjwvZWRpdGlv
bj48a2V5d29yZHM+PGtleXdvcmQ+QWR1bHQ8L2tleXdvcmQ+PGtleXdvcmQ+QmVoYXZpb3IvcGh5
c2lvbG9neTwva2V5d29yZD48a2V5d29yZD5CaXJ0aCBXZWlnaHQvKnBoeXNpb2xvZ3k8L2tleXdv
cmQ+PGtleXdvcmQ+RGlhYmV0ZXMsIEdlc3RhdGlvbmFsLypwcmV2ZW50aW9uICZhbXA7IGNvbnRy
b2w8L2tleXdvcmQ+PGtleXdvcmQ+RGlldDwva2V5d29yZD48a2V5d29yZD5GZW1hbGU8L2tleXdv
cmQ+PGtleXdvcmQ+RmlubGFuZDwva2V5d29yZD48a2V5d29yZD4qR2VzdGF0aW9uYWwgQWdlPC9r
ZXl3b3JkPjxrZXl3b3JkPkdsdWNvc2UgVG9sZXJhbmNlIFRlc3Q8L2tleXdvcmQ+PGtleXdvcmQ+
KkhlYWx0aCBFZHVjYXRpb248L2tleXdvcmQ+PGtleXdvcmQ+SHVtYW5zPC9rZXl3b3JkPjxrZXl3
b3JkPkluZmFudCwgTmV3Ym9ybjwva2V5d29yZD48a2V5d29yZD5JbnN1bGluL21ldGFib2xpc208
L2tleXdvcmQ+PGtleXdvcmQ+KkxpZmUgU3R5bGU8L2tleXdvcmQ+PGtleXdvcmQ+TW90b3IgQWN0
aXZpdHk8L2tleXdvcmQ+PGtleXdvcmQ+UGF0aWVudCBDb21wbGlhbmNlPC9rZXl3b3JkPjxrZXl3
b3JkPlByZWduYW5jeTwva2V5d29yZD48a2V5d29yZD4qUHJpbWFyeSBQcmV2ZW50aW9uPC9rZXl3
b3JkPjxrZXl3b3JkPlRyZWF0bWVudCBPdXRjb21lPC9rZXl3b3JkPjwva2V5d29yZHM+PGRhdGVz
Pjx5ZWFyPjIwMTE8L3llYXI+PHB1Yi1kYXRlcz48ZGF0ZT5NYXk8L2RhdGU+PC9wdWItZGF0ZXM+
PC9kYXRlcz48aXNibj4xNTQ5LTE2NzYgKEVsZWN0cm9uaWMpJiN4RDsxNTQ5LTEyNzcgKExpbmtp
bmcpPC9pc2JuPjxhY2Nlc3Npb24tbnVtPjIxNjEwODYwPC9hY2Nlc3Npb24tbnVtPjx1cmxzPjxy
ZWxhdGVkLXVybHM+PHVybD5odHRwczovL3d3dy5uY2JpLm5sbS5uaWguZ292L3B1Ym1lZC8yMTYx
MDg2MDwvdXJsPjwvcmVsYXRlZC11cmxzPjwvdXJscz48Y3VzdG9tMj5QTUMzMDk2NjEwPC9jdXN0
b20yPjxlbGVjdHJvbmljLXJlc291cmNlLW51bT4xMC4xMzcxL2pvdXJuYWwucG1lZC4xMDAxMDM2
PC9lbGVjdHJvbmljLXJlc291cmNlLW51bT48L3JlY29yZD48L0NpdGU+PC9FbmROb3RlPn==
</w:fldData>
              </w:fldChar>
            </w:r>
            <w:r w:rsidR="002747EA">
              <w:rPr>
                <w:noProof/>
              </w:rPr>
              <w:instrText xml:space="preserve"> ADDIN EN.CITE.DATA </w:instrText>
            </w:r>
            <w:r w:rsidR="002747EA">
              <w:rPr>
                <w:noProof/>
              </w:rPr>
            </w:r>
            <w:r w:rsidR="002747EA">
              <w:rPr>
                <w:noProof/>
              </w:rPr>
              <w:fldChar w:fldCharType="end"/>
            </w:r>
            <w:r w:rsidRPr="00D00A59">
              <w:rPr>
                <w:noProof/>
              </w:rPr>
            </w:r>
            <w:r w:rsidRPr="00D00A59">
              <w:rPr>
                <w:noProof/>
              </w:rPr>
              <w:fldChar w:fldCharType="separate"/>
            </w:r>
            <w:r w:rsidR="002747EA" w:rsidRPr="002747EA">
              <w:rPr>
                <w:noProof/>
                <w:vertAlign w:val="superscript"/>
              </w:rPr>
              <w:t>522</w:t>
            </w:r>
            <w:r w:rsidRPr="00D00A59">
              <w:rPr>
                <w:noProof/>
              </w:rPr>
              <w:fldChar w:fldCharType="end"/>
            </w:r>
            <w:r w:rsidRPr="00D00A59">
              <w:rPr>
                <w:noProof/>
              </w:rPr>
              <w:t xml:space="preserve"> Kinnunen et al 2012;</w:t>
            </w:r>
            <w:r w:rsidRPr="00D00A59">
              <w:rPr>
                <w:noProof/>
              </w:rPr>
              <w:fldChar w:fldCharType="begin"/>
            </w:r>
            <w:r w:rsidR="002747EA">
              <w:rPr>
                <w:noProof/>
              </w:rPr>
              <w:instrText xml:space="preserve"> ADDIN EN.CITE &lt;EndNote&gt;&lt;Cite&gt;&lt;Author&gt;Kinnunen&lt;/Author&gt;&lt;Year&gt;2012&lt;/Year&gt;&lt;RecNum&gt;1083&lt;/RecNum&gt;&lt;DisplayText&gt;&lt;style face="superscript" font="Trebuchet MS" size="9"&gt;548&lt;/style&gt;&lt;/DisplayText&gt;&lt;record&gt;&lt;rec-number&gt;1083&lt;/rec-number&gt;&lt;foreign-keys&gt;&lt;key app="EN" db-id="exvasrfx2dtraoesasxp2szsxa2df502592x" timestamp="1552946488"&gt;1083&lt;/key&gt;&lt;key app="ENWeb" db-id=""&gt;0&lt;/key&gt;&lt;/foreign-keys&gt;&lt;ref-type name="Journal Article"&gt;17&lt;/ref-type&gt;&lt;contributors&gt;&lt;authors&gt;&lt;author&gt;Kinnunen, T. I.&lt;/author&gt;&lt;author&gt;Raitanen, J.&lt;/author&gt;&lt;author&gt;Aittasalo, M.&lt;/author&gt;&lt;author&gt;Luoto, R.&lt;/author&gt;&lt;/authors&gt;&lt;/contributors&gt;&lt;auth-address&gt;School of Health Sciences, University of Tampere, Tampere, Finland. tarja.i.kinnunen@uta.fi&lt;/auth-address&gt;&lt;titles&gt;&lt;title&gt;Preventing excessive gestational weight gain--a secondary analysis of a cluster-randomised controlled trial&lt;/title&gt;&lt;secondary-title&gt;Eur J Clin Nutr&lt;/secondary-title&gt;&lt;/titles&gt;&lt;periodical&gt;&lt;full-title&gt;Eur J Clin Nutr&lt;/full-title&gt;&lt;/periodical&gt;&lt;pages&gt;1344-50&lt;/pages&gt;&lt;volume&gt;66&lt;/volume&gt;&lt;number&gt;12&lt;/number&gt;&lt;edition&gt;2012/12/06&lt;/edition&gt;&lt;keywords&gt;&lt;keyword&gt;Adolescent&lt;/keyword&gt;&lt;keyword&gt;Adult&lt;/keyword&gt;&lt;keyword&gt;*Body Mass Index&lt;/keyword&gt;&lt;keyword&gt;*Counseling&lt;/keyword&gt;&lt;keyword&gt;*Diabetes, Gestational&lt;/keyword&gt;&lt;keyword&gt;*Diet&lt;/keyword&gt;&lt;keyword&gt;Energy Intake&lt;/keyword&gt;&lt;keyword&gt;*Exercise&lt;/keyword&gt;&lt;keyword&gt;Female&lt;/keyword&gt;&lt;keyword&gt;Finland&lt;/keyword&gt;&lt;keyword&gt;Humans&lt;/keyword&gt;&lt;keyword&gt;Logistic Models&lt;/keyword&gt;&lt;keyword&gt;Obesity/*prevention &amp;amp; control&lt;/keyword&gt;&lt;keyword&gt;Odds Ratio&lt;/keyword&gt;&lt;keyword&gt;Overweight&lt;/keyword&gt;&lt;keyword&gt;Pregnancy&lt;/keyword&gt;&lt;keyword&gt;Risk Factors&lt;/keyword&gt;&lt;keyword&gt;*Weight Gain&lt;/keyword&gt;&lt;keyword&gt;Young Adult&lt;/keyword&gt;&lt;/keywords&gt;&lt;dates&gt;&lt;year&gt;2012&lt;/year&gt;&lt;pub-dates&gt;&lt;date&gt;Dec&lt;/date&gt;&lt;/pub-dates&gt;&lt;/dates&gt;&lt;isbn&gt;1476-5640 (Electronic)&amp;#xD;0954-3007 (Linking)&lt;/isbn&gt;&lt;accession-num&gt;23211656&lt;/accession-num&gt;&lt;urls&gt;&lt;related-urls&gt;&lt;url&gt;https://www.ncbi.nlm.nih.gov/pubmed/23211656&lt;/url&gt;&lt;/related-urls&gt;&lt;/urls&gt;&lt;electronic-resource-num&gt;10.1038/ejcn.2012.146&lt;/electronic-resource-num&gt;&lt;/record&gt;&lt;/Cite&gt;&lt;/EndNote&gt;</w:instrText>
            </w:r>
            <w:r w:rsidRPr="00D00A59">
              <w:rPr>
                <w:noProof/>
              </w:rPr>
              <w:fldChar w:fldCharType="separate"/>
            </w:r>
            <w:r w:rsidR="002747EA" w:rsidRPr="002747EA">
              <w:rPr>
                <w:noProof/>
                <w:vertAlign w:val="superscript"/>
              </w:rPr>
              <w:t>548</w:t>
            </w:r>
            <w:r w:rsidRPr="00D00A59">
              <w:rPr>
                <w:noProof/>
              </w:rPr>
              <w:fldChar w:fldCharType="end"/>
            </w:r>
            <w:r w:rsidRPr="00D00A59">
              <w:rPr>
                <w:noProof/>
              </w:rPr>
              <w:t xml:space="preserve"> Kolu et al 2013;</w:t>
            </w:r>
            <w:r w:rsidRPr="00D00A59">
              <w:rPr>
                <w:noProof/>
              </w:rPr>
              <w:fldChar w:fldCharType="begin"/>
            </w:r>
            <w:r w:rsidR="002747EA">
              <w:rPr>
                <w:noProof/>
              </w:rPr>
              <w:instrText xml:space="preserve"> ADDIN EN.CITE &lt;EndNote&gt;&lt;Cite&gt;&lt;Author&gt;Kolu&lt;/Author&gt;&lt;Year&gt;2013&lt;/Year&gt;&lt;RecNum&gt;734&lt;/RecNum&gt;&lt;DisplayText&gt;&lt;style face="superscript" font="Trebuchet MS" size="9"&gt;549&lt;/style&gt;&lt;/DisplayText&gt;&lt;record&gt;&lt;rec-number&gt;734&lt;/rec-number&gt;&lt;foreign-keys&gt;&lt;key app="EN" db-id="exvasrfx2dtraoesasxp2szsxa2df502592x" timestamp="1541467773"&gt;734&lt;/key&gt;&lt;key app="ENWeb" db-id=""&gt;0&lt;/key&gt;&lt;/foreign-keys&gt;&lt;ref-type name="Journal Article"&gt;17&lt;/ref-type&gt;&lt;contributors&gt;&lt;authors&gt;&lt;author&gt;Kolu, Päivi&lt;/author&gt;&lt;author&gt;Raitanen, Jani&lt;/author&gt;&lt;author&gt;Rissanen, Pekka&lt;/author&gt;&lt;author&gt;Luoto, Riitta&lt;/author&gt;&lt;/authors&gt;&lt;/contributors&gt;&lt;titles&gt;&lt;title&gt;Cost-Effectiveness of Lifestyle Counselling as Primary Prevention of Gestational Diabetes Mellitus: Findings from a Cluster-Randomised Trial&lt;/title&gt;&lt;secondary-title&gt;PLoS ONE&lt;/secondary-title&gt;&lt;/titles&gt;&lt;periodical&gt;&lt;full-title&gt;PLoS One&lt;/full-title&gt;&lt;/periodical&gt;&lt;volume&gt;8&lt;/volume&gt;&lt;number&gt;2&lt;/number&gt;&lt;section&gt;e56392&lt;/section&gt;&lt;dates&gt;&lt;year&gt;2013&lt;/year&gt;&lt;/dates&gt;&lt;isbn&gt;1932-6203&lt;/isbn&gt;&lt;urls&gt;&lt;/urls&gt;&lt;electronic-resource-num&gt;10.1371/journal.pone.0056392&lt;/electronic-resource-num&gt;&lt;/record&gt;&lt;/Cite&gt;&lt;/EndNote&gt;</w:instrText>
            </w:r>
            <w:r w:rsidRPr="00D00A59">
              <w:rPr>
                <w:noProof/>
              </w:rPr>
              <w:fldChar w:fldCharType="separate"/>
            </w:r>
            <w:r w:rsidR="002747EA" w:rsidRPr="002747EA">
              <w:rPr>
                <w:noProof/>
                <w:vertAlign w:val="superscript"/>
              </w:rPr>
              <w:t>549</w:t>
            </w:r>
            <w:r w:rsidRPr="00D00A59">
              <w:rPr>
                <w:noProof/>
              </w:rPr>
              <w:fldChar w:fldCharType="end"/>
            </w:r>
            <w:r w:rsidRPr="00D00A59">
              <w:rPr>
                <w:noProof/>
              </w:rPr>
              <w:t xml:space="preserve"> Kolu et al 2016</w:t>
            </w:r>
            <w:r w:rsidRPr="00D00A59">
              <w:fldChar w:fldCharType="begin">
                <w:fldData xml:space="preserve">PEVuZE5vdGU+PENpdGU+PEF1dGhvcj5Lb2x1PC9BdXRob3I+PFllYXI+MjAxNjwvWWVhcj48UmVj
TnVtPjczNTwvUmVjTnVtPjxEaXNwbGF5VGV4dD48c3R5bGUgZmFjZT0ic3VwZXJzY3JpcHQiIGZv
bnQ9IlRyZWJ1Y2hldCBNUyIgc2l6ZT0iOSI+NTUwPC9zdHlsZT48L0Rpc3BsYXlUZXh0PjxyZWNv
cmQ+PHJlYy1udW1iZXI+NzM1PC9yZWMtbnVtYmVyPjxmb3JlaWduLWtleXM+PGtleSBhcHA9IkVO
IiBkYi1pZD0iZXh2YXNyZngyZHRyYW9lc2FzeHAyc3pzeGEyZGY1MDI1OTJ4IiB0aW1lc3RhbXA9
IjE1NDE0Njc3ODQiPjczNTwva2V5PjxrZXkgYXBwPSJFTldlYiIgZGItaWQ9IiI+MDwva2V5Pjwv
Zm9yZWlnbi1rZXlzPjxyZWYtdHlwZSBuYW1lPSJKb3VybmFsIEFydGljbGUiPjE3PC9yZWYtdHlw
ZT48Y29udHJpYnV0b3JzPjxhdXRob3JzPjxhdXRob3I+S29sdSwgUC48L2F1dGhvcj48YXV0aG9y
PlJhaXRhbmVuLCBKLjwvYXV0aG9yPjxhdXRob3I+UHVoa2FsYSwgSi48L2F1dGhvcj48YXV0aG9y
PlR1b21pbmVuLCBQLjwvYXV0aG9yPjxhdXRob3I+SHVzdSwgUC48L2F1dGhvcj48YXV0aG9yPkx1
b3RvLCBSLjwvYXV0aG9yPjwvYXV0aG9ycz48L2NvbnRyaWJ1dG9ycz48YXV0aC1hZGRyZXNzPlVL
SyBJbnN0aXR1dGUgZm9yIEhlYWx0aCBQcm9tb3Rpb24sIFRhbXBlcmUsIEZpbmxhbmQuJiN4RDtT
Y2hvb2wgb2YgSGVhbHRoIFNjaWVuY2VzLCBVbml2ZXJzaXR5IG9mIFRhbXBlcmUsIFRhbXBlcmUs
IEZpbmxhbmQuPC9hdXRoLWFkZHJlc3M+PHRpdGxlcz48dGl0bGU+RWZmZWN0aXZlbmVzcyBhbmQg
Q29zdC1FZmZlY3RpdmVuZXNzIG9mIGEgQ2x1c3Rlci1SYW5kb21pemVkIFByZW5hdGFsIExpZmVz
dHlsZSBDb3Vuc2VsaW5nIFRyaWFsOiBBIFNldmVuLVllYXIgRm9sbG93LVVwPC90aXRsZT48c2Vj
b25kYXJ5LXRpdGxlPlBMb1MgT25lPC9zZWNvbmRhcnktdGl0bGU+PC90aXRsZXM+PHBlcmlvZGlj
YWw+PGZ1bGwtdGl0bGU+UExvUyBPbmU8L2Z1bGwtdGl0bGU+PC9wZXJpb2RpY2FsPjxwYWdlcz5l
MDE2Nzc1OTwvcGFnZXM+PHZvbHVtZT4xMTwvdm9sdW1lPjxudW1iZXI+MTI8L251bWJlcj48ZWRp
dGlvbj4yMDE2LzEyLzEwPC9lZGl0aW9uPjxrZXl3b3Jkcz48a2V5d29yZD5BZHVsdDwva2V5d29y
ZD48a2V5d29yZD5Cb2R5IE1hc3MgSW5kZXg8L2tleXdvcmQ+PGtleXdvcmQ+Q2hpbGQ8L2tleXdv
cmQ+PGtleXdvcmQ+Q29zdC1CZW5lZml0IEFuYWx5c2lzPC9rZXl3b3JkPjxrZXl3b3JkPipDb3Vu
c2VsaW5nL2Vjb25vbWljczwva2V5d29yZD48a2V5d29yZD5EaWFiZXRlcyBNZWxsaXR1cywgVHlw
ZSAyL2Vjb25vbWljcy9lcGlkZW1pb2xvZ3kvKnByZXZlbnRpb24gJmFtcDsgY29udHJvbDwva2V5
d29yZD48a2V5d29yZD5EaWFiZXRlcywgR2VzdGF0aW9uYWwvZWNvbm9taWNzL2VwaWRlbWlvbG9n
eS8qcHJldmVudGlvbiAmYW1wOyBjb250cm9sPC9rZXl3b3JkPjxrZXl3b3JkPkRpZXQ8L2tleXdv
cmQ+PGtleXdvcmQ+RmVtYWxlPC9rZXl3b3JkPjxrZXl3b3JkPkZvbGxvdy1VcCBTdHVkaWVzPC9r
ZXl3b3JkPjxrZXl3b3JkPkhlYWx0aCBDYXJlIENvc3RzPC9rZXl3b3JkPjxrZXl3b3JkPkh1bWFu
czwva2V5d29yZD48a2V5d29yZD4qTGlmZSBTdHlsZTwva2V5d29yZD48a2V5d29yZD4qTWF0ZXJu
YWwgSGVhbHRoIFNlcnZpY2VzL2Vjb25vbWljczwva2V5d29yZD48a2V5d29yZD5QcmVnbmFuY3k8
L2tleXdvcmQ+PGtleXdvcmQ+UHJlbmF0YWwgQ2FyZS9lY29ub21pY3M8L2tleXdvcmQ+PGtleXdv
cmQ+UXVhbGl0eS1BZGp1c3RlZCBMaWZlIFllYXJzPC9rZXl3b3JkPjxrZXl3b3JkPldlaWdodCBH
YWluPC9rZXl3b3JkPjwva2V5d29yZHM+PGRhdGVzPjx5ZWFyPjIwMTY8L3llYXI+PC9kYXRlcz48
aXNibj4xOTMyLTYyMDMgKEVsZWN0cm9uaWMpJiN4RDsxOTMyLTYyMDMgKExpbmtpbmcpPC9pc2Ju
PjxhY2Nlc3Npb24tbnVtPjI3OTM2MDgzPC9hY2Nlc3Npb24tbnVtPjx1cmxzPjxyZWxhdGVkLXVy
bHM+PHVybD5odHRwczovL3d3dy5uY2JpLm5sbS5uaWguZ292L3B1Ym1lZC8yNzkzNjA4MzwvdXJs
PjwvcmVsYXRlZC11cmxzPjwvdXJscz48Y3VzdG9tMj5QTUM1MTQ3OTc4PC9jdXN0b20yPjxlbGVj
dHJvbmljLXJlc291cmNlLW51bT4xMC4xMzcxL2pvdXJuYWwucG9uZS4wMTY3NzU5PC9lbGVjdHJv
bmljLXJlc291cmNlLW51bT48L3JlY29yZD48L0NpdGU+PC9FbmROb3RlPgB=
</w:fldData>
              </w:fldChar>
            </w:r>
            <w:r w:rsidR="002747EA">
              <w:instrText xml:space="preserve"> ADDIN EN.CITE </w:instrText>
            </w:r>
            <w:r w:rsidR="002747EA">
              <w:fldChar w:fldCharType="begin">
                <w:fldData xml:space="preserve">PEVuZE5vdGU+PENpdGU+PEF1dGhvcj5Lb2x1PC9BdXRob3I+PFllYXI+MjAxNjwvWWVhcj48UmVj
TnVtPjczNTwvUmVjTnVtPjxEaXNwbGF5VGV4dD48c3R5bGUgZmFjZT0ic3VwZXJzY3JpcHQiIGZv
bnQ9IlRyZWJ1Y2hldCBNUyIgc2l6ZT0iOSI+NTUwPC9zdHlsZT48L0Rpc3BsYXlUZXh0PjxyZWNv
cmQ+PHJlYy1udW1iZXI+NzM1PC9yZWMtbnVtYmVyPjxmb3JlaWduLWtleXM+PGtleSBhcHA9IkVO
IiBkYi1pZD0iZXh2YXNyZngyZHRyYW9lc2FzeHAyc3pzeGEyZGY1MDI1OTJ4IiB0aW1lc3RhbXA9
IjE1NDE0Njc3ODQiPjczNTwva2V5PjxrZXkgYXBwPSJFTldlYiIgZGItaWQ9IiI+MDwva2V5Pjwv
Zm9yZWlnbi1rZXlzPjxyZWYtdHlwZSBuYW1lPSJKb3VybmFsIEFydGljbGUiPjE3PC9yZWYtdHlw
ZT48Y29udHJpYnV0b3JzPjxhdXRob3JzPjxhdXRob3I+S29sdSwgUC48L2F1dGhvcj48YXV0aG9y
PlJhaXRhbmVuLCBKLjwvYXV0aG9yPjxhdXRob3I+UHVoa2FsYSwgSi48L2F1dGhvcj48YXV0aG9y
PlR1b21pbmVuLCBQLjwvYXV0aG9yPjxhdXRob3I+SHVzdSwgUC48L2F1dGhvcj48YXV0aG9yPkx1
b3RvLCBSLjwvYXV0aG9yPjwvYXV0aG9ycz48L2NvbnRyaWJ1dG9ycz48YXV0aC1hZGRyZXNzPlVL
SyBJbnN0aXR1dGUgZm9yIEhlYWx0aCBQcm9tb3Rpb24sIFRhbXBlcmUsIEZpbmxhbmQuJiN4RDtT
Y2hvb2wgb2YgSGVhbHRoIFNjaWVuY2VzLCBVbml2ZXJzaXR5IG9mIFRhbXBlcmUsIFRhbXBlcmUs
IEZpbmxhbmQuPC9hdXRoLWFkZHJlc3M+PHRpdGxlcz48dGl0bGU+RWZmZWN0aXZlbmVzcyBhbmQg
Q29zdC1FZmZlY3RpdmVuZXNzIG9mIGEgQ2x1c3Rlci1SYW5kb21pemVkIFByZW5hdGFsIExpZmVz
dHlsZSBDb3Vuc2VsaW5nIFRyaWFsOiBBIFNldmVuLVllYXIgRm9sbG93LVVwPC90aXRsZT48c2Vj
b25kYXJ5LXRpdGxlPlBMb1MgT25lPC9zZWNvbmRhcnktdGl0bGU+PC90aXRsZXM+PHBlcmlvZGlj
YWw+PGZ1bGwtdGl0bGU+UExvUyBPbmU8L2Z1bGwtdGl0bGU+PC9wZXJpb2RpY2FsPjxwYWdlcz5l
MDE2Nzc1OTwvcGFnZXM+PHZvbHVtZT4xMTwvdm9sdW1lPjxudW1iZXI+MTI8L251bWJlcj48ZWRp
dGlvbj4yMDE2LzEyLzEwPC9lZGl0aW9uPjxrZXl3b3Jkcz48a2V5d29yZD5BZHVsdDwva2V5d29y
ZD48a2V5d29yZD5Cb2R5IE1hc3MgSW5kZXg8L2tleXdvcmQ+PGtleXdvcmQ+Q2hpbGQ8L2tleXdv
cmQ+PGtleXdvcmQ+Q29zdC1CZW5lZml0IEFuYWx5c2lzPC9rZXl3b3JkPjxrZXl3b3JkPipDb3Vu
c2VsaW5nL2Vjb25vbWljczwva2V5d29yZD48a2V5d29yZD5EaWFiZXRlcyBNZWxsaXR1cywgVHlw
ZSAyL2Vjb25vbWljcy9lcGlkZW1pb2xvZ3kvKnByZXZlbnRpb24gJmFtcDsgY29udHJvbDwva2V5
d29yZD48a2V5d29yZD5EaWFiZXRlcywgR2VzdGF0aW9uYWwvZWNvbm9taWNzL2VwaWRlbWlvbG9n
eS8qcHJldmVudGlvbiAmYW1wOyBjb250cm9sPC9rZXl3b3JkPjxrZXl3b3JkPkRpZXQ8L2tleXdv
cmQ+PGtleXdvcmQ+RmVtYWxlPC9rZXl3b3JkPjxrZXl3b3JkPkZvbGxvdy1VcCBTdHVkaWVzPC9r
ZXl3b3JkPjxrZXl3b3JkPkhlYWx0aCBDYXJlIENvc3RzPC9rZXl3b3JkPjxrZXl3b3JkPkh1bWFu
czwva2V5d29yZD48a2V5d29yZD4qTGlmZSBTdHlsZTwva2V5d29yZD48a2V5d29yZD4qTWF0ZXJu
YWwgSGVhbHRoIFNlcnZpY2VzL2Vjb25vbWljczwva2V5d29yZD48a2V5d29yZD5QcmVnbmFuY3k8
L2tleXdvcmQ+PGtleXdvcmQ+UHJlbmF0YWwgQ2FyZS9lY29ub21pY3M8L2tleXdvcmQ+PGtleXdv
cmQ+UXVhbGl0eS1BZGp1c3RlZCBMaWZlIFllYXJzPC9rZXl3b3JkPjxrZXl3b3JkPldlaWdodCBH
YWluPC9rZXl3b3JkPjwva2V5d29yZHM+PGRhdGVzPjx5ZWFyPjIwMTY8L3llYXI+PC9kYXRlcz48
aXNibj4xOTMyLTYyMDMgKEVsZWN0cm9uaWMpJiN4RDsxOTMyLTYyMDMgKExpbmtpbmcpPC9pc2Ju
PjxhY2Nlc3Npb24tbnVtPjI3OTM2MDgzPC9hY2Nlc3Npb24tbnVtPjx1cmxzPjxyZWxhdGVkLXVy
bHM+PHVybD5odHRwczovL3d3dy5uY2JpLm5sbS5uaWguZ292L3B1Ym1lZC8yNzkzNjA4MzwvdXJs
PjwvcmVsYXRlZC11cmxzPjwvdXJscz48Y3VzdG9tMj5QTUM1MTQ3OTc4PC9jdXN0b20yPjxlbGVj
dHJvbmljLXJlc291cmNlLW51bT4xMC4xMzcxL2pvdXJuYWwucG9uZS4wMTY3NzU5PC9lbGVjdHJv
bmljLXJlc291cmNlLW51bT48L3JlY29yZD48L0NpdGU+PC9FbmROb3RlPgB=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550</w:t>
            </w:r>
            <w:r w:rsidRPr="00D00A59">
              <w:fldChar w:fldCharType="end"/>
            </w:r>
          </w:p>
          <w:p w14:paraId="0D09FB1B" w14:textId="77777777" w:rsidR="00973D70" w:rsidRPr="00D00A59" w:rsidRDefault="00973D70" w:rsidP="00A62770">
            <w:pPr>
              <w:rPr>
                <w:szCs w:val="18"/>
              </w:rPr>
            </w:pPr>
            <w:r w:rsidRPr="00D00A59">
              <w:rPr>
                <w:szCs w:val="18"/>
              </w:rPr>
              <w:t>NELLI</w:t>
            </w:r>
          </w:p>
          <w:p w14:paraId="52F2F421" w14:textId="77777777" w:rsidR="00973D70" w:rsidRPr="00D00A59" w:rsidRDefault="00973D70" w:rsidP="00A62770">
            <w:pPr>
              <w:rPr>
                <w:szCs w:val="18"/>
              </w:rPr>
            </w:pPr>
            <w:r w:rsidRPr="00D00A59">
              <w:rPr>
                <w:szCs w:val="18"/>
              </w:rPr>
              <w:t>Finland</w:t>
            </w:r>
          </w:p>
        </w:tc>
        <w:tc>
          <w:tcPr>
            <w:tcW w:w="1562" w:type="dxa"/>
          </w:tcPr>
          <w:p w14:paraId="4D8C6E1A" w14:textId="77777777" w:rsidR="00973D70" w:rsidRPr="00D00A59" w:rsidRDefault="00973D70" w:rsidP="00A75579">
            <w:pPr>
              <w:rPr>
                <w:szCs w:val="18"/>
              </w:rPr>
            </w:pPr>
            <w:r w:rsidRPr="00D00A59">
              <w:rPr>
                <w:szCs w:val="18"/>
              </w:rPr>
              <w:t>Intervention 219</w:t>
            </w:r>
          </w:p>
          <w:p w14:paraId="1F68CCAA" w14:textId="77777777" w:rsidR="00973D70" w:rsidRPr="00D00A59" w:rsidRDefault="00973D70" w:rsidP="00A75579">
            <w:pPr>
              <w:rPr>
                <w:szCs w:val="18"/>
              </w:rPr>
            </w:pPr>
            <w:r w:rsidRPr="00D00A59">
              <w:rPr>
                <w:szCs w:val="18"/>
              </w:rPr>
              <w:t>Control 180</w:t>
            </w:r>
          </w:p>
          <w:p w14:paraId="12805AD8" w14:textId="77777777" w:rsidR="00973D70" w:rsidRPr="00D00A59" w:rsidRDefault="00973D70" w:rsidP="00A75579">
            <w:pPr>
              <w:rPr>
                <w:szCs w:val="18"/>
              </w:rPr>
            </w:pPr>
            <w:r w:rsidRPr="00D00A59">
              <w:rPr>
                <w:szCs w:val="18"/>
              </w:rPr>
              <w:t>Cluster-randomised trial</w:t>
            </w:r>
          </w:p>
        </w:tc>
        <w:tc>
          <w:tcPr>
            <w:tcW w:w="5393" w:type="dxa"/>
          </w:tcPr>
          <w:p w14:paraId="6129D613" w14:textId="77777777" w:rsidR="00973D70" w:rsidRPr="00D00A59" w:rsidRDefault="00973D70" w:rsidP="00A75579">
            <w:pPr>
              <w:rPr>
                <w:szCs w:val="18"/>
              </w:rPr>
            </w:pPr>
            <w:r w:rsidRPr="00D00A59">
              <w:rPr>
                <w:b/>
                <w:szCs w:val="18"/>
              </w:rPr>
              <w:t>Aim</w:t>
            </w:r>
            <w:r w:rsidRPr="00D00A59">
              <w:rPr>
                <w:szCs w:val="18"/>
              </w:rPr>
              <w:t xml:space="preserve">: To examine whether a lifestyle intervention designed to prevent GDM was effective in reducing excessive gestational weight gain (GWG). </w:t>
            </w:r>
          </w:p>
          <w:p w14:paraId="1D068D4B" w14:textId="77777777" w:rsidR="00973D70" w:rsidRPr="00D00A59" w:rsidRDefault="00973D70" w:rsidP="00A75579">
            <w:pPr>
              <w:rPr>
                <w:szCs w:val="18"/>
              </w:rPr>
            </w:pPr>
            <w:r w:rsidRPr="00D00A59">
              <w:rPr>
                <w:b/>
                <w:szCs w:val="18"/>
              </w:rPr>
              <w:t>Population</w:t>
            </w:r>
            <w:r w:rsidRPr="00D00A59">
              <w:rPr>
                <w:szCs w:val="18"/>
              </w:rPr>
              <w:t>: Pregnant women with at least one risk factor for GDM (for example, overweight) but no pre-existing diabetes were recruited at 8-12 weeks' gestation.</w:t>
            </w:r>
          </w:p>
          <w:p w14:paraId="1F67296D" w14:textId="77777777" w:rsidR="00973D70" w:rsidRPr="00D00A59" w:rsidRDefault="00973D70" w:rsidP="00A75579">
            <w:pPr>
              <w:pStyle w:val="RCTstable"/>
              <w:rPr>
                <w:sz w:val="18"/>
                <w:szCs w:val="18"/>
              </w:rPr>
            </w:pPr>
            <w:r w:rsidRPr="00D00A59">
              <w:rPr>
                <w:b/>
                <w:sz w:val="18"/>
                <w:szCs w:val="18"/>
              </w:rPr>
              <w:t>Intervention</w:t>
            </w:r>
            <w:r w:rsidRPr="00D00A59">
              <w:rPr>
                <w:sz w:val="18"/>
                <w:szCs w:val="18"/>
              </w:rPr>
              <w:t>: One counselling session on physical activity at 8-12 weeks' gestation and one for diet at 16-18 weeks' gestation, and three to four booster sessions during other routine visits.</w:t>
            </w:r>
          </w:p>
          <w:p w14:paraId="53ACF065" w14:textId="77777777" w:rsidR="00973D70" w:rsidRPr="00D00A59" w:rsidRDefault="00973D70" w:rsidP="00A75579">
            <w:pPr>
              <w:pStyle w:val="RCTstable"/>
              <w:rPr>
                <w:sz w:val="18"/>
                <w:szCs w:val="18"/>
              </w:rPr>
            </w:pPr>
            <w:r w:rsidRPr="00D00A59">
              <w:rPr>
                <w:sz w:val="18"/>
                <w:szCs w:val="18"/>
              </w:rPr>
              <w:t xml:space="preserve">Based on Finnish dietary recommendations, the goal of dietary counselling was to help participants achieve a healthy diet containing </w:t>
            </w:r>
            <w:r w:rsidRPr="00D00A59">
              <w:rPr>
                <w:rFonts w:ascii="Helvetica" w:eastAsiaTheme="majorEastAsia" w:hAnsi="Helvetica"/>
                <w:sz w:val="18"/>
                <w:szCs w:val="18"/>
              </w:rPr>
              <w:t>≤</w:t>
            </w:r>
            <w:r w:rsidRPr="00D00A59">
              <w:rPr>
                <w:sz w:val="18"/>
                <w:szCs w:val="18"/>
              </w:rPr>
              <w:t xml:space="preserve">10% saturated fat, 5%–10% polyunsaturated fat, 25%–30% total fat, and </w:t>
            </w:r>
            <w:r w:rsidRPr="00D00A59">
              <w:rPr>
                <w:rFonts w:ascii="Helvetica" w:eastAsiaTheme="majorEastAsia" w:hAnsi="Helvetica"/>
                <w:sz w:val="18"/>
                <w:szCs w:val="18"/>
              </w:rPr>
              <w:t>,</w:t>
            </w:r>
            <w:r w:rsidRPr="00D00A59">
              <w:rPr>
                <w:sz w:val="18"/>
                <w:szCs w:val="18"/>
              </w:rPr>
              <w:t>10% saccharose of total energy intake, and 25–35 g/d fibre</w:t>
            </w:r>
          </w:p>
          <w:p w14:paraId="2C8F3C91" w14:textId="77777777" w:rsidR="00973D70" w:rsidRPr="00D00A59" w:rsidRDefault="00973D70" w:rsidP="00A75579">
            <w:pPr>
              <w:pStyle w:val="RCTstable"/>
              <w:rPr>
                <w:sz w:val="18"/>
                <w:szCs w:val="18"/>
              </w:rPr>
            </w:pPr>
            <w:r w:rsidRPr="00D00A59">
              <w:rPr>
                <w:sz w:val="18"/>
                <w:szCs w:val="18"/>
              </w:rPr>
              <w:t>The minimum weekly leisure time physical activity dose, including also light-intensity physical activity, was 800 MET (multiples of resting metabolic equivalents) minutes. Participants were offered an opportunity to participate in monthly thematic meetings on physical activity including group exercise.</w:t>
            </w:r>
          </w:p>
          <w:p w14:paraId="0E135368" w14:textId="77777777" w:rsidR="00973D70" w:rsidRPr="00D00A59" w:rsidRDefault="00973D70" w:rsidP="00A75579">
            <w:pPr>
              <w:rPr>
                <w:szCs w:val="18"/>
              </w:rPr>
            </w:pPr>
            <w:r w:rsidRPr="00D00A59">
              <w:rPr>
                <w:szCs w:val="18"/>
              </w:rPr>
              <w:t>The participants used follow-up notebooks to set their individual plans for physical activity and dietary changes and to keep a record of their adherence to their plans.</w:t>
            </w:r>
          </w:p>
        </w:tc>
        <w:tc>
          <w:tcPr>
            <w:tcW w:w="5664" w:type="dxa"/>
          </w:tcPr>
          <w:p w14:paraId="16737043" w14:textId="712476EA" w:rsidR="00973D70" w:rsidRPr="00D00A59" w:rsidRDefault="00973D70" w:rsidP="00A75579">
            <w:pPr>
              <w:rPr>
                <w:szCs w:val="18"/>
              </w:rPr>
            </w:pPr>
            <w:r w:rsidRPr="00D00A59">
              <w:rPr>
                <w:szCs w:val="18"/>
              </w:rPr>
              <w:t xml:space="preserve">Intervention vs control (data adjusted as per </w:t>
            </w:r>
            <w:r w:rsidRPr="00D00A59">
              <w:rPr>
                <w:szCs w:val="18"/>
              </w:rPr>
              <w:fldChar w:fldCharType="begin"/>
            </w:r>
            <w:r w:rsidR="002747EA">
              <w:rPr>
                <w:szCs w:val="18"/>
              </w:rPr>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rsidRPr="00D00A59">
              <w:rPr>
                <w:szCs w:val="18"/>
              </w:rPr>
              <w:fldChar w:fldCharType="separate"/>
            </w:r>
            <w:r w:rsidR="002747EA" w:rsidRPr="002747EA">
              <w:rPr>
                <w:noProof/>
                <w:szCs w:val="18"/>
                <w:vertAlign w:val="superscript"/>
              </w:rPr>
              <w:t>526</w:t>
            </w:r>
            <w:r w:rsidRPr="00D00A59">
              <w:rPr>
                <w:szCs w:val="18"/>
              </w:rPr>
              <w:fldChar w:fldCharType="end"/>
            </w:r>
            <w:r w:rsidRPr="00D00A59">
              <w:rPr>
                <w:szCs w:val="18"/>
              </w:rPr>
              <w:t>:</w:t>
            </w:r>
          </w:p>
          <w:p w14:paraId="65A665A5" w14:textId="77777777" w:rsidR="00973D70" w:rsidRPr="00D00A59" w:rsidRDefault="00973D70" w:rsidP="00A75579">
            <w:pPr>
              <w:pStyle w:val="bullet"/>
              <w:rPr>
                <w:szCs w:val="18"/>
              </w:rPr>
            </w:pPr>
            <w:r w:rsidRPr="00D00A59">
              <w:rPr>
                <w:szCs w:val="18"/>
              </w:rPr>
              <w:t>Gestational weight gain: 13.8±5.8 (n=51) vs 14.2±5.1 (n=42)</w:t>
            </w:r>
          </w:p>
          <w:p w14:paraId="3B966AB2" w14:textId="77777777" w:rsidR="00973D70" w:rsidRPr="00D00A59" w:rsidRDefault="00973D70" w:rsidP="00A75579">
            <w:pPr>
              <w:pStyle w:val="bullet"/>
              <w:rPr>
                <w:szCs w:val="18"/>
              </w:rPr>
            </w:pPr>
            <w:r w:rsidRPr="00D00A59">
              <w:rPr>
                <w:szCs w:val="18"/>
              </w:rPr>
              <w:t>Weight gain &gt;IOM guidelines: 24/51 vs 22/42</w:t>
            </w:r>
          </w:p>
          <w:p w14:paraId="1487FCE4" w14:textId="77777777" w:rsidR="00973D70" w:rsidRPr="00D00A59" w:rsidRDefault="00973D70" w:rsidP="00A75579">
            <w:pPr>
              <w:pStyle w:val="bullet"/>
              <w:rPr>
                <w:szCs w:val="18"/>
              </w:rPr>
            </w:pPr>
            <w:r w:rsidRPr="00D00A59">
              <w:rPr>
                <w:szCs w:val="18"/>
              </w:rPr>
              <w:t>Gestational diabetes: 8/51 vs 5/42</w:t>
            </w:r>
          </w:p>
          <w:p w14:paraId="3FFD8295" w14:textId="77777777" w:rsidR="00973D70" w:rsidRPr="00D00A59" w:rsidRDefault="00973D70" w:rsidP="00A75579">
            <w:pPr>
              <w:pStyle w:val="bullet"/>
              <w:rPr>
                <w:szCs w:val="18"/>
              </w:rPr>
            </w:pPr>
            <w:r w:rsidRPr="00D00A59">
              <w:rPr>
                <w:szCs w:val="18"/>
              </w:rPr>
              <w:t>Pre-eclampsia: 3/51 vs 2/42</w:t>
            </w:r>
          </w:p>
          <w:p w14:paraId="7B875A1A" w14:textId="77777777" w:rsidR="00973D70" w:rsidRPr="00D00A59" w:rsidRDefault="00973D70" w:rsidP="00A75579">
            <w:pPr>
              <w:pStyle w:val="bullet"/>
              <w:rPr>
                <w:szCs w:val="18"/>
              </w:rPr>
            </w:pPr>
            <w:r w:rsidRPr="00D00A59">
              <w:rPr>
                <w:szCs w:val="18"/>
              </w:rPr>
              <w:t>Macrosomia (&gt;4000 g): 9/51 vs 8/42</w:t>
            </w:r>
          </w:p>
          <w:p w14:paraId="12989EB2" w14:textId="77777777" w:rsidR="00973D70" w:rsidRPr="00D00A59" w:rsidRDefault="00973D70" w:rsidP="00A75579">
            <w:pPr>
              <w:pStyle w:val="bullet"/>
              <w:rPr>
                <w:szCs w:val="18"/>
              </w:rPr>
            </w:pPr>
            <w:r w:rsidRPr="00D00A59">
              <w:rPr>
                <w:szCs w:val="18"/>
              </w:rPr>
              <w:t>Macrosomia (&gt;4500 g): 7/51 vs 8/42</w:t>
            </w:r>
          </w:p>
          <w:p w14:paraId="040CC0E6" w14:textId="77777777" w:rsidR="00973D70" w:rsidRPr="00D00A59" w:rsidRDefault="00973D70" w:rsidP="00A75579">
            <w:pPr>
              <w:pStyle w:val="bullet"/>
              <w:rPr>
                <w:szCs w:val="18"/>
              </w:rPr>
            </w:pPr>
            <w:r w:rsidRPr="00D00A59">
              <w:rPr>
                <w:szCs w:val="18"/>
              </w:rPr>
              <w:t>Small for gestational age: 2/51 vs 1/42</w:t>
            </w:r>
          </w:p>
          <w:p w14:paraId="7850EDCD" w14:textId="77777777" w:rsidR="00973D70" w:rsidRPr="00D00A59" w:rsidRDefault="00973D70" w:rsidP="00A75579">
            <w:pPr>
              <w:pStyle w:val="bullet"/>
              <w:rPr>
                <w:szCs w:val="18"/>
              </w:rPr>
            </w:pPr>
            <w:r w:rsidRPr="00D00A59">
              <w:rPr>
                <w:szCs w:val="18"/>
              </w:rPr>
              <w:t>Large for gestational age: 6/51 vs 8/42</w:t>
            </w:r>
          </w:p>
        </w:tc>
      </w:tr>
      <w:tr w:rsidR="00973D70" w:rsidRPr="00D00A59" w14:paraId="22A018AC" w14:textId="77777777" w:rsidTr="0030223E">
        <w:trPr>
          <w:cantSplit/>
        </w:trPr>
        <w:tc>
          <w:tcPr>
            <w:tcW w:w="1417" w:type="dxa"/>
          </w:tcPr>
          <w:p w14:paraId="03A76AED" w14:textId="606B8D25" w:rsidR="00973D70" w:rsidRPr="00D00A59" w:rsidRDefault="00973D70" w:rsidP="00654EEB">
            <w:r w:rsidRPr="00654EEB">
              <w:t>Pawalia et al 2017</w:t>
            </w:r>
            <w:r w:rsidRPr="00D00A59">
              <w:fldChar w:fldCharType="begin"/>
            </w:r>
            <w:r w:rsidR="002747EA">
              <w:instrText xml:space="preserve"> ADDIN EN.CITE &lt;EndNote&gt;&lt;Cite&gt;&lt;Author&gt;Pawalia&lt;/Author&gt;&lt;Year&gt;2017&lt;/Year&gt;&lt;RecNum&gt;750&lt;/RecNum&gt;&lt;DisplayText&gt;&lt;style face="superscript" font="Trebuchet MS" size="9"&gt;493&lt;/style&gt;&lt;/DisplayText&gt;&lt;record&gt;&lt;rec-number&gt;750&lt;/rec-number&gt;&lt;foreign-keys&gt;&lt;key app="EN" db-id="exvasrfx2dtraoesasxp2szsxa2df502592x" timestamp="1541467919"&gt;750&lt;/key&gt;&lt;key app="ENWeb" db-id=""&gt;0&lt;/key&gt;&lt;/foreign-keys&gt;&lt;ref-type name="Journal Article"&gt;17&lt;/ref-type&gt;&lt;contributors&gt;&lt;authors&gt;&lt;author&gt;Pawalia, Alka&lt;/author&gt;&lt;author&gt;Kulandaivelan, Sivachidambaram&lt;/author&gt;&lt;author&gt;Savant, Satya&lt;/author&gt;&lt;author&gt;Yadav, Vikram Singh&lt;/author&gt;&lt;/authors&gt;&lt;/contributors&gt;&lt;titles&gt;&lt;title&gt;Exercise in Pregnancy: Effect on Obesity Parameters in Indian Women – A Randomized Controlled Trial&lt;/title&gt;&lt;secondary-title&gt;Romanian Journal of Diabetes Nutrition and Metabolic Diseases&lt;/secondary-title&gt;&lt;/titles&gt;&lt;periodical&gt;&lt;full-title&gt;Romanian Journal of Diabetes Nutrition and Metabolic Diseases&lt;/full-title&gt;&lt;/periodical&gt;&lt;volume&gt;24&lt;/volume&gt;&lt;number&gt;4&lt;/number&gt;&lt;dates&gt;&lt;year&gt;2017&lt;/year&gt;&lt;/dates&gt;&lt;isbn&gt;2284-6417&lt;/isbn&gt;&lt;urls&gt;&lt;/urls&gt;&lt;electronic-resource-num&gt;10.1515/rjdnmd-2017-0037&lt;/electronic-resource-num&gt;&lt;/record&gt;&lt;/Cite&gt;&lt;/EndNote&gt;</w:instrText>
            </w:r>
            <w:r w:rsidRPr="00D00A59">
              <w:fldChar w:fldCharType="separate"/>
            </w:r>
            <w:r w:rsidR="002747EA" w:rsidRPr="002747EA">
              <w:rPr>
                <w:noProof/>
                <w:vertAlign w:val="superscript"/>
              </w:rPr>
              <w:t>493</w:t>
            </w:r>
            <w:r w:rsidRPr="00D00A59">
              <w:fldChar w:fldCharType="end"/>
            </w:r>
          </w:p>
          <w:p w14:paraId="48BDB753" w14:textId="77777777" w:rsidR="00973D70" w:rsidRPr="00D00A59" w:rsidRDefault="00973D70" w:rsidP="00A62770">
            <w:pPr>
              <w:rPr>
                <w:szCs w:val="18"/>
              </w:rPr>
            </w:pPr>
            <w:r w:rsidRPr="00D00A59">
              <w:rPr>
                <w:szCs w:val="18"/>
              </w:rPr>
              <w:t>India</w:t>
            </w:r>
          </w:p>
        </w:tc>
        <w:tc>
          <w:tcPr>
            <w:tcW w:w="1562" w:type="dxa"/>
          </w:tcPr>
          <w:p w14:paraId="312ED1F5" w14:textId="77777777" w:rsidR="00973D70" w:rsidRPr="00D00A59" w:rsidRDefault="00973D70" w:rsidP="00A75579">
            <w:pPr>
              <w:rPr>
                <w:szCs w:val="18"/>
              </w:rPr>
            </w:pPr>
            <w:r w:rsidRPr="00D00A59">
              <w:rPr>
                <w:szCs w:val="18"/>
              </w:rPr>
              <w:t>Intervention 12</w:t>
            </w:r>
          </w:p>
          <w:p w14:paraId="6C395F92" w14:textId="77777777" w:rsidR="00973D70" w:rsidRPr="00D00A59" w:rsidRDefault="00973D70" w:rsidP="00A75579">
            <w:pPr>
              <w:rPr>
                <w:szCs w:val="18"/>
              </w:rPr>
            </w:pPr>
            <w:r w:rsidRPr="00D00A59">
              <w:rPr>
                <w:szCs w:val="18"/>
              </w:rPr>
              <w:t>Control 12</w:t>
            </w:r>
          </w:p>
        </w:tc>
        <w:tc>
          <w:tcPr>
            <w:tcW w:w="5393" w:type="dxa"/>
          </w:tcPr>
          <w:p w14:paraId="70144D63" w14:textId="77777777" w:rsidR="00973D70" w:rsidRPr="00D00A59" w:rsidRDefault="00973D70" w:rsidP="00A75579">
            <w:pPr>
              <w:rPr>
                <w:b/>
                <w:bCs/>
                <w:szCs w:val="18"/>
              </w:rPr>
            </w:pPr>
            <w:r w:rsidRPr="00D00A59">
              <w:rPr>
                <w:rFonts w:eastAsiaTheme="majorEastAsia"/>
                <w:b/>
                <w:szCs w:val="18"/>
              </w:rPr>
              <w:t>Aim</w:t>
            </w:r>
            <w:r w:rsidRPr="00D00A59">
              <w:rPr>
                <w:rFonts w:eastAsiaTheme="majorEastAsia"/>
                <w:szCs w:val="18"/>
              </w:rPr>
              <w:t>: T</w:t>
            </w:r>
            <w:r w:rsidRPr="00D00A59">
              <w:rPr>
                <w:szCs w:val="18"/>
              </w:rPr>
              <w:t xml:space="preserve">o investigate the effect of physical activity and diet during prenatal period and its effect on gestational weight gain (GWG), BMI, waist circumference (WC), hip circumference (HC) and post-partum weight retention (PPWR). </w:t>
            </w:r>
          </w:p>
          <w:p w14:paraId="55E9B7CA" w14:textId="77777777" w:rsidR="00973D70" w:rsidRPr="00D00A59" w:rsidRDefault="00973D70" w:rsidP="00A75579">
            <w:pPr>
              <w:rPr>
                <w:szCs w:val="18"/>
              </w:rPr>
            </w:pPr>
            <w:r w:rsidRPr="00D00A59">
              <w:rPr>
                <w:b/>
                <w:bCs/>
                <w:szCs w:val="18"/>
              </w:rPr>
              <w:t xml:space="preserve">Population: </w:t>
            </w:r>
            <w:r w:rsidRPr="00D00A59">
              <w:rPr>
                <w:szCs w:val="18"/>
              </w:rPr>
              <w:t>Pregnant women with singleton pregnancy of &gt;16 weeks of gestation, BMI&gt;18.5 Kg/m</w:t>
            </w:r>
            <w:r w:rsidRPr="00D00A59">
              <w:rPr>
                <w:rFonts w:eastAsiaTheme="majorEastAsia"/>
                <w:szCs w:val="18"/>
              </w:rPr>
              <w:t xml:space="preserve">2 </w:t>
            </w:r>
            <w:r w:rsidRPr="00D00A59">
              <w:rPr>
                <w:szCs w:val="18"/>
              </w:rPr>
              <w:t>and having a mobile phone.</w:t>
            </w:r>
          </w:p>
          <w:p w14:paraId="023C9EB9" w14:textId="77777777" w:rsidR="00973D70" w:rsidRPr="00D00A59" w:rsidRDefault="00973D70" w:rsidP="00EE3378">
            <w:r w:rsidRPr="00D00A59">
              <w:rPr>
                <w:b/>
              </w:rPr>
              <w:t>Intervention</w:t>
            </w:r>
            <w:r w:rsidRPr="00D00A59">
              <w:t xml:space="preserve">: Women attended weekly antenatal exercise sessions (60-90 minutes of moderate intensity stretching and strengthening exercises) at the hospital during pregnancy and were advised to do the same exercise at home on at least three other days. Women were also encouraged to walk 30 minutes/day for a least 4 days a week throughout pregnancy. </w:t>
            </w:r>
          </w:p>
          <w:p w14:paraId="6AA1C69E" w14:textId="77777777" w:rsidR="00973D70" w:rsidRPr="00D00A59" w:rsidRDefault="00973D70" w:rsidP="00A75579">
            <w:pPr>
              <w:rPr>
                <w:szCs w:val="18"/>
              </w:rPr>
            </w:pPr>
            <w:r w:rsidRPr="00D00A59">
              <w:rPr>
                <w:szCs w:val="18"/>
              </w:rPr>
              <w:t>Women received regular diet counselling followed by mobile text-messages (reminder, motivational, guidelines and benefits) to maintain adequate diet. Messages encouraged women to include foods such as more fruits and vegetables, dry fruits, to give preference to seasonal foods and to avoid unhealthy foods such as junk, oily, greasy and processed snacks from the market. Importance of home cooked food was explained</w:t>
            </w:r>
            <w:r w:rsidRPr="00D00A59">
              <w:rPr>
                <w:rFonts w:eastAsiaTheme="majorEastAsia"/>
                <w:szCs w:val="18"/>
              </w:rPr>
              <w:t>.</w:t>
            </w:r>
          </w:p>
        </w:tc>
        <w:tc>
          <w:tcPr>
            <w:tcW w:w="5664" w:type="dxa"/>
          </w:tcPr>
          <w:p w14:paraId="5B4D8A12" w14:textId="77777777" w:rsidR="00973D70" w:rsidRPr="00D00A59" w:rsidRDefault="00973D70" w:rsidP="00A75579">
            <w:pPr>
              <w:rPr>
                <w:szCs w:val="18"/>
              </w:rPr>
            </w:pPr>
            <w:r w:rsidRPr="00D00A59">
              <w:rPr>
                <w:szCs w:val="18"/>
              </w:rPr>
              <w:t>Intervention vs control:</w:t>
            </w:r>
          </w:p>
          <w:p w14:paraId="48B6A9E2" w14:textId="77777777" w:rsidR="00973D70" w:rsidRPr="00D00A59" w:rsidRDefault="00973D70" w:rsidP="00A75579">
            <w:pPr>
              <w:pStyle w:val="bullet"/>
              <w:rPr>
                <w:szCs w:val="18"/>
              </w:rPr>
            </w:pPr>
            <w:r w:rsidRPr="00D00A59">
              <w:rPr>
                <w:szCs w:val="18"/>
              </w:rPr>
              <w:t>Gestational weight gain: 12.91±3.65 (n=12) vs 13.33±5.33 (n=12)</w:t>
            </w:r>
          </w:p>
        </w:tc>
      </w:tr>
      <w:tr w:rsidR="00973D70" w:rsidRPr="00D00A59" w14:paraId="6F3D87C1" w14:textId="77777777" w:rsidTr="0030223E">
        <w:trPr>
          <w:cantSplit/>
        </w:trPr>
        <w:tc>
          <w:tcPr>
            <w:tcW w:w="1417" w:type="dxa"/>
          </w:tcPr>
          <w:p w14:paraId="72DF4297" w14:textId="6DEA380D" w:rsidR="00973D70" w:rsidRPr="00D00A59" w:rsidRDefault="00973D70" w:rsidP="00A62770">
            <w:pPr>
              <w:rPr>
                <w:szCs w:val="18"/>
              </w:rPr>
            </w:pPr>
            <w:r w:rsidRPr="00654EEB">
              <w:t>Petrella et al 2013</w:t>
            </w:r>
            <w:r w:rsidRPr="00D00A59">
              <w:rPr>
                <w:szCs w:val="18"/>
              </w:rPr>
              <w:fldChar w:fldCharType="begin"/>
            </w:r>
            <w:r w:rsidR="002747EA">
              <w:rPr>
                <w:szCs w:val="18"/>
              </w:rPr>
              <w:instrText xml:space="preserve"> ADDIN EN.CITE &lt;EndNote&gt;&lt;Cite&gt;&lt;Author&gt;Petrella&lt;/Author&gt;&lt;Year&gt;2013&lt;/Year&gt;&lt;RecNum&gt;751&lt;/RecNum&gt;&lt;DisplayText&gt;&lt;style face="superscript" font="Trebuchet MS" size="9"&gt;504&lt;/style&gt;&lt;/DisplayText&gt;&lt;record&gt;&lt;rec-number&gt;751&lt;/rec-number&gt;&lt;foreign-keys&gt;&lt;key app="EN" db-id="exvasrfx2dtraoesasxp2szsxa2df502592x" timestamp="1541467931"&gt;751&lt;/key&gt;&lt;key app="ENWeb" db-id=""&gt;0&lt;/key&gt;&lt;/foreign-keys&gt;&lt;ref-type name="Journal Article"&gt;17&lt;/ref-type&gt;&lt;contributors&gt;&lt;authors&gt;&lt;author&gt;Petrella, E.&lt;/author&gt;&lt;author&gt;Malavolti, M.&lt;/author&gt;&lt;author&gt;Bertarini, V.&lt;/author&gt;&lt;author&gt;Pignatti, L.&lt;/author&gt;&lt;author&gt;Neri, I.&lt;/author&gt;&lt;author&gt;Battistini, N. C.&lt;/author&gt;&lt;author&gt;Facchinetti, F.&lt;/author&gt;&lt;/authors&gt;&lt;/contributors&gt;&lt;titles&gt;&lt;title&gt;Gestational weight gain in overweight and obese women enrolled in a healthy lifestyle and eating habits program&lt;/title&gt;&lt;secondary-title&gt;J Maternal-Fetal &amp;amp; Neonatal Med&lt;/secondary-title&gt;&lt;/titles&gt;&lt;periodical&gt;&lt;full-title&gt;J Maternal-Fetal &amp;amp; Neonatal Med&lt;/full-title&gt;&lt;/periodical&gt;&lt;pages&gt;1348-1352&lt;/pages&gt;&lt;volume&gt;27&lt;/volume&gt;&lt;number&gt;13&lt;/number&gt;&lt;section&gt;1348&lt;/section&gt;&lt;dates&gt;&lt;year&gt;2013&lt;/year&gt;&lt;/dates&gt;&lt;isbn&gt;1476-7058&amp;#xD;1476-4954&lt;/isbn&gt;&lt;urls&gt;&lt;/urls&gt;&lt;electronic-resource-num&gt;10.3109/14767058.2013.858318&lt;/electronic-resource-num&gt;&lt;/record&gt;&lt;/Cite&gt;&lt;/EndNote&gt;</w:instrText>
            </w:r>
            <w:r w:rsidRPr="00D00A59">
              <w:rPr>
                <w:szCs w:val="18"/>
              </w:rPr>
              <w:fldChar w:fldCharType="separate"/>
            </w:r>
            <w:r w:rsidR="002747EA" w:rsidRPr="002747EA">
              <w:rPr>
                <w:noProof/>
                <w:szCs w:val="18"/>
                <w:vertAlign w:val="superscript"/>
              </w:rPr>
              <w:t>504</w:t>
            </w:r>
            <w:r w:rsidRPr="00D00A59">
              <w:rPr>
                <w:szCs w:val="18"/>
              </w:rPr>
              <w:fldChar w:fldCharType="end"/>
            </w:r>
          </w:p>
          <w:p w14:paraId="7A0A9F53" w14:textId="77777777" w:rsidR="00973D70" w:rsidRPr="00D00A59" w:rsidRDefault="00973D70" w:rsidP="00A62770">
            <w:pPr>
              <w:rPr>
                <w:szCs w:val="18"/>
              </w:rPr>
            </w:pPr>
            <w:r w:rsidRPr="00D00A59">
              <w:rPr>
                <w:szCs w:val="18"/>
              </w:rPr>
              <w:t>Italy</w:t>
            </w:r>
          </w:p>
        </w:tc>
        <w:tc>
          <w:tcPr>
            <w:tcW w:w="1562" w:type="dxa"/>
          </w:tcPr>
          <w:p w14:paraId="048F38C1" w14:textId="77777777" w:rsidR="00973D70" w:rsidRPr="00D00A59" w:rsidRDefault="00973D70" w:rsidP="00A75579">
            <w:pPr>
              <w:rPr>
                <w:szCs w:val="18"/>
              </w:rPr>
            </w:pPr>
            <w:r w:rsidRPr="00D00A59">
              <w:rPr>
                <w:szCs w:val="18"/>
              </w:rPr>
              <w:t>Intervention 33</w:t>
            </w:r>
          </w:p>
          <w:p w14:paraId="0580F27F" w14:textId="77777777" w:rsidR="00973D70" w:rsidRPr="00D00A59" w:rsidRDefault="00973D70" w:rsidP="00A75579">
            <w:pPr>
              <w:rPr>
                <w:szCs w:val="18"/>
              </w:rPr>
            </w:pPr>
            <w:r w:rsidRPr="00D00A59">
              <w:rPr>
                <w:szCs w:val="18"/>
              </w:rPr>
              <w:t>Control 28</w:t>
            </w:r>
          </w:p>
        </w:tc>
        <w:tc>
          <w:tcPr>
            <w:tcW w:w="5393" w:type="dxa"/>
          </w:tcPr>
          <w:p w14:paraId="3EE3B652" w14:textId="77777777" w:rsidR="00973D70" w:rsidRPr="00D00A59" w:rsidRDefault="00973D70" w:rsidP="00A75579">
            <w:pPr>
              <w:rPr>
                <w:szCs w:val="18"/>
              </w:rPr>
            </w:pPr>
            <w:r w:rsidRPr="00D00A59">
              <w:rPr>
                <w:b/>
                <w:szCs w:val="18"/>
              </w:rPr>
              <w:t>Aim</w:t>
            </w:r>
            <w:r w:rsidRPr="00D00A59">
              <w:rPr>
                <w:szCs w:val="18"/>
              </w:rPr>
              <w:t>: To determine whether changes in lifestyle in women with BMI</w:t>
            </w:r>
            <w:r w:rsidRPr="00D00A59">
              <w:rPr>
                <w:rFonts w:ascii="Times" w:hAnsi="Times"/>
                <w:szCs w:val="18"/>
              </w:rPr>
              <w:t>≥</w:t>
            </w:r>
            <w:r w:rsidRPr="00D00A59">
              <w:rPr>
                <w:szCs w:val="18"/>
              </w:rPr>
              <w:t>25 could decrease gestational weight gain and unfavourable pregnancy outcomes.</w:t>
            </w:r>
          </w:p>
          <w:p w14:paraId="40D64CDE" w14:textId="77777777" w:rsidR="00973D70" w:rsidRPr="00D00A59" w:rsidRDefault="00973D70" w:rsidP="00A75579">
            <w:pPr>
              <w:rPr>
                <w:szCs w:val="18"/>
              </w:rPr>
            </w:pPr>
            <w:r w:rsidRPr="00D00A59">
              <w:rPr>
                <w:b/>
                <w:szCs w:val="18"/>
              </w:rPr>
              <w:t>Population</w:t>
            </w:r>
            <w:r w:rsidRPr="00D00A59">
              <w:rPr>
                <w:szCs w:val="18"/>
              </w:rPr>
              <w:t>: Pregnant women with BMI ≥25 kg/m</w:t>
            </w:r>
            <w:r w:rsidRPr="00D00A59">
              <w:rPr>
                <w:szCs w:val="18"/>
                <w:vertAlign w:val="superscript"/>
              </w:rPr>
              <w:t>2</w:t>
            </w:r>
            <w:r w:rsidRPr="00D00A59">
              <w:rPr>
                <w:szCs w:val="18"/>
              </w:rPr>
              <w:t>.</w:t>
            </w:r>
          </w:p>
          <w:p w14:paraId="784FBBC2" w14:textId="77777777" w:rsidR="00973D70" w:rsidRPr="00D00A59" w:rsidRDefault="00973D70" w:rsidP="00A75579">
            <w:pPr>
              <w:rPr>
                <w:rFonts w:ascii="Times" w:hAnsi="Times"/>
                <w:szCs w:val="18"/>
              </w:rPr>
            </w:pPr>
            <w:r w:rsidRPr="00D00A59">
              <w:rPr>
                <w:b/>
                <w:szCs w:val="18"/>
              </w:rPr>
              <w:t>Methods</w:t>
            </w:r>
            <w:r w:rsidRPr="00D00A59">
              <w:rPr>
                <w:szCs w:val="18"/>
              </w:rPr>
              <w:t>: The Therapeutic Lifestyle Changes (TLC) Program included diet (overweight: 1700 kcal/day, obese: 1800 kcal/day) and moderate physical activity (30 min/day, three times/week). The diet was introduced at randomisation in the presence of both a gynaecologist and a dietitian and further detailed through a one-hour counselling session about the appropriate gestational weight gain at term. Women wore pedometers during walking sessions.</w:t>
            </w:r>
          </w:p>
        </w:tc>
        <w:tc>
          <w:tcPr>
            <w:tcW w:w="5664" w:type="dxa"/>
          </w:tcPr>
          <w:p w14:paraId="25E2FCE3" w14:textId="77777777" w:rsidR="00973D70" w:rsidRPr="00D00A59" w:rsidRDefault="00973D70" w:rsidP="00A75579">
            <w:pPr>
              <w:rPr>
                <w:szCs w:val="18"/>
              </w:rPr>
            </w:pPr>
            <w:r w:rsidRPr="00D00A59">
              <w:rPr>
                <w:szCs w:val="18"/>
              </w:rPr>
              <w:t>Intervention vs control</w:t>
            </w:r>
          </w:p>
          <w:p w14:paraId="100C4A3D" w14:textId="77777777" w:rsidR="00973D70" w:rsidRPr="00D00A59" w:rsidRDefault="00973D70" w:rsidP="00A75579">
            <w:pPr>
              <w:pStyle w:val="bullet"/>
              <w:rPr>
                <w:szCs w:val="18"/>
              </w:rPr>
            </w:pPr>
            <w:r w:rsidRPr="00D00A59">
              <w:rPr>
                <w:szCs w:val="18"/>
              </w:rPr>
              <w:t>Gestational weight gain: 8.8±6.5vs 10.4±5.0</w:t>
            </w:r>
          </w:p>
          <w:p w14:paraId="4288BB5C" w14:textId="77777777" w:rsidR="00973D70" w:rsidRPr="00D00A59" w:rsidRDefault="00973D70" w:rsidP="00A75579">
            <w:pPr>
              <w:pStyle w:val="bullet"/>
              <w:rPr>
                <w:szCs w:val="18"/>
              </w:rPr>
            </w:pPr>
            <w:r w:rsidRPr="00D00A59">
              <w:rPr>
                <w:szCs w:val="18"/>
              </w:rPr>
              <w:t>Weight gain &gt;IOM guidelines: 11/33 vs 17/28</w:t>
            </w:r>
          </w:p>
          <w:p w14:paraId="128890EA" w14:textId="77777777" w:rsidR="00973D70" w:rsidRPr="00D00A59" w:rsidRDefault="00973D70" w:rsidP="00A75579">
            <w:pPr>
              <w:pStyle w:val="bullet"/>
              <w:rPr>
                <w:szCs w:val="18"/>
              </w:rPr>
            </w:pPr>
            <w:r w:rsidRPr="00D00A59">
              <w:rPr>
                <w:szCs w:val="18"/>
              </w:rPr>
              <w:t>Gestational diabetes: 7/33 vs 16/28</w:t>
            </w:r>
          </w:p>
          <w:p w14:paraId="1C2C2858" w14:textId="77777777" w:rsidR="00973D70" w:rsidRPr="00D00A59" w:rsidRDefault="00973D70" w:rsidP="00A75579">
            <w:pPr>
              <w:pStyle w:val="bullet"/>
              <w:rPr>
                <w:szCs w:val="18"/>
              </w:rPr>
            </w:pPr>
            <w:r w:rsidRPr="00D00A59">
              <w:rPr>
                <w:szCs w:val="18"/>
              </w:rPr>
              <w:t>Gestational hypertension: 1/33 vs 7/28</w:t>
            </w:r>
          </w:p>
          <w:p w14:paraId="65146872" w14:textId="77777777" w:rsidR="00973D70" w:rsidRPr="00D00A59" w:rsidRDefault="00973D70" w:rsidP="00A75579">
            <w:pPr>
              <w:pStyle w:val="bullet"/>
              <w:rPr>
                <w:szCs w:val="18"/>
              </w:rPr>
            </w:pPr>
            <w:r w:rsidRPr="00D00A59">
              <w:rPr>
                <w:szCs w:val="18"/>
              </w:rPr>
              <w:t>Preterm birth: 0/33 vs 10/28</w:t>
            </w:r>
          </w:p>
          <w:p w14:paraId="5AF7CB42" w14:textId="77777777" w:rsidR="00973D70" w:rsidRPr="00D00A59" w:rsidRDefault="00973D70" w:rsidP="00A75579">
            <w:pPr>
              <w:pStyle w:val="bullet"/>
              <w:rPr>
                <w:szCs w:val="18"/>
              </w:rPr>
            </w:pPr>
            <w:r w:rsidRPr="00D00A59">
              <w:rPr>
                <w:szCs w:val="18"/>
              </w:rPr>
              <w:t>Caesarean section: 11/33 vs 9/28</w:t>
            </w:r>
          </w:p>
        </w:tc>
      </w:tr>
      <w:tr w:rsidR="00973D70" w:rsidRPr="00D00A59" w14:paraId="18328943" w14:textId="77777777" w:rsidTr="0030223E">
        <w:trPr>
          <w:cantSplit/>
        </w:trPr>
        <w:tc>
          <w:tcPr>
            <w:tcW w:w="1417" w:type="dxa"/>
          </w:tcPr>
          <w:p w14:paraId="268DDCB8" w14:textId="48A071F3" w:rsidR="00973D70" w:rsidRPr="00D00A59" w:rsidRDefault="00973D70" w:rsidP="00654EEB">
            <w:r w:rsidRPr="00D00A59">
              <w:rPr>
                <w:noProof/>
              </w:rPr>
              <w:t>Phelan et al 2011;</w:t>
            </w:r>
            <w:r w:rsidRPr="00D00A59">
              <w:rPr>
                <w:noProof/>
              </w:rPr>
              <w:fldChar w:fldCharType="begin">
                <w:fldData xml:space="preserve">PEVuZE5vdGU+PENpdGU+PEF1dGhvcj5QaGVsYW48L0F1dGhvcj48WWVhcj4yMDExPC9ZZWFyPjxS
ZWNOdW0+NzA1PC9SZWNOdW0+PERpc3BsYXlUZXh0PjxzdHlsZSBmYWNlPSJzdXBlcnNjcmlwdCIg
Zm9udD0iVHJlYnVjaGV0IE1TIiBzaXplPSI5Ij40OTQ8L3N0eWxlPjwvRGlzcGxheVRleHQ+PHJl
Y29yZD48cmVjLW51bWJlcj43MDU8L3JlYy1udW1iZXI+PGZvcmVpZ24ta2V5cz48a2V5IGFwcD0i
RU4iIGRiLWlkPSJleHZhc3JmeDJkdHJhb2VzYXN4cDJzenN4YTJkZjUwMjU5MngiIHRpbWVzdGFt
cD0iMTU0MDUzMDYzNiI+NzA1PC9rZXk+PC9mb3JlaWduLWtleXM+PHJlZi10eXBlIG5hbWU9Ikpv
dXJuYWwgQXJ0aWNsZSI+MTc8L3JlZi10eXBlPjxjb250cmlidXRvcnM+PGF1dGhvcnM+PGF1dGhv
cj5QaGVsYW4sIFMuPC9hdXRob3I+PGF1dGhvcj5QaGlwcHMsIE0uIEcuPC9hdXRob3I+PGF1dGhv
cj5BYnJhbXMsIEIuPC9hdXRob3I+PGF1dGhvcj5EYXJyb2NoLCBGLjwvYXV0aG9yPjxhdXRob3I+
U2NoYWZmbmVyLCBBLjwvYXV0aG9yPjxhdXRob3I+V2luZywgUi4gUi48L2F1dGhvcj48L2F1dGhv
cnM+PC9jb250cmlidXRvcnM+PGF1dGgtYWRkcmVzcz5EZXBhcnRtZW50cyBvZiBLaW5lc2lvbG9n
eSwgQ2FsaWZvcm5pYSBQb2x5dGVjaG5pYyBTdGF0ZSBVbml2ZXJzaXR5LCBTYW4gTHVpcyBPYmlz
cG8sIDkzNDA3LTAzODYsIFVTQS4gc3BoZWxhbkBjYWxwb2x5LmVkdTwvYXV0aC1hZGRyZXNzPjx0
aXRsZXM+PHRpdGxlPlJhbmRvbWl6ZWQgdHJpYWwgb2YgYSBiZWhhdmlvcmFsIGludGVydmVudGlv
biB0byBwcmV2ZW50IGV4Y2Vzc2l2ZSBnZXN0YXRpb25hbCB3ZWlnaHQgZ2FpbjogdGhlIEZpdCBm
b3IgRGVsaXZlcnkgU3R1ZHk8L3RpdGxlPjxzZWNvbmRhcnktdGl0bGU+QW0gSiBDbGluIE51dHI8
L3NlY29uZGFyeS10aXRsZT48L3RpdGxlcz48cGVyaW9kaWNhbD48ZnVsbC10aXRsZT5BbSBKIENs
aW4gTnV0cjwvZnVsbC10aXRsZT48L3BlcmlvZGljYWw+PHBhZ2VzPjc3Mi05PC9wYWdlcz48dm9s
dW1lPjkzPC92b2x1bWU+PG51bWJlcj40PC9udW1iZXI+PGVkaXRpb24+MjAxMS8wMi8xMjwvZWRp
dGlvbj48a2V5d29yZHM+PGtleXdvcmQ+QWR1bHQ8L2tleXdvcmQ+PGtleXdvcmQ+QmVoYXZpb3I8
L2tleXdvcmQ+PGtleXdvcmQ+KkJlaGF2aW9yIFRoZXJhcHk8L2tleXdvcmQ+PGtleXdvcmQ+KkRp
ZXQ8L2tleXdvcmQ+PGtleXdvcmQ+KkV4ZXJjaXNlPC9rZXl3b3JkPjxrZXl3b3JkPkZlbWFsZTwv
a2V5d29yZD48a2V5d29yZD4qSGVhbHRoIFByb21vdGlvbjwva2V5d29yZD48a2V5d29yZD5IdW1h
bnM8L2tleXdvcmQ+PGtleXdvcmQ+SW50ZW50aW9uIHRvIFRyZWF0IEFuYWx5c2lzPC9rZXl3b3Jk
PjxrZXl3b3JkPk9iZXNpdHkvY29tcGxpY2F0aW9ucy9lcGlkZW1pb2xvZ3kvKnByZXZlbnRpb24g
JmFtcDsgY29udHJvbDwva2V5d29yZD48a2V5d29yZD5Qb3N0cGFydHVtIFBlcmlvZDwva2V5d29y
ZD48a2V5d29yZD5QcmVnbmFuY3k8L2tleXdvcmQ+PGtleXdvcmQ+UHJlZ25hbmN5IENvbXBsaWNh
dGlvbnMvKnByZXZlbnRpb24gJmFtcDsgY29udHJvbDwva2V5d29yZD48a2V5d29yZD5QcmV2YWxl
bmNlPC9rZXl3b3JkPjxrZXl3b3JkPlJlZmVyZW5jZSBWYWx1ZXM8L2tleXdvcmQ+PGtleXdvcmQ+
U2luZ2xlLUJsaW5kIE1ldGhvZDwva2V5d29yZD48a2V5d29yZD5TdGFuZGFyZCBvZiBDYXJlPC9r
ZXl3b3JkPjxrZXl3b3JkPlRyZWF0bWVudCBPdXRjb21lPC9rZXl3b3JkPjxrZXl3b3JkPipXZWln
aHQgR2Fpbjwva2V5d29yZD48a2V5d29yZD5Zb3VuZyBBZHVsdDwva2V5d29yZD48L2tleXdvcmRz
PjxkYXRlcz48eWVhcj4yMDExPC95ZWFyPjxwdWItZGF0ZXM+PGRhdGU+QXByPC9kYXRlPjwvcHVi
LWRhdGVzPjwvZGF0ZXM+PGlzYm4+MTkzOC0zMjA3IChFbGVjdHJvbmljKSYjeEQ7MDAwMi05MTY1
IChMaW5raW5nKTwvaXNibj48YWNjZXNzaW9uLW51bT4yMTMxMDgzNjwvYWNjZXNzaW9uLW51bT48
dXJscz48cmVsYXRlZC11cmxzPjx1cmw+aHR0cHM6Ly93d3cubmNiaS5ubG0ubmloLmdvdi9wdWJt
ZWQvMjEzMTA4MzY8L3VybD48L3JlbGF0ZWQtdXJscz48L3VybHM+PGN1c3RvbTI+UE1DMzA1NzU0
NjwvY3VzdG9tMj48ZWxlY3Ryb25pYy1yZXNvdXJjZS1udW0+MTAuMzk0NS9hamNuLjExMC4wMDUz
MDY8L2VsZWN0cm9uaWMtcmVzb3VyY2UtbnVtPjwvcmVjb3JkPjwvQ2l0ZT48L0VuZE5vdGU+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PEVuZE5vdGU+PENpdGU+PEF1dGhvcj5QaGVsYW48L0F1dGhvcj48WWVhcj4yMDExPC9ZZWFyPjxS
ZWNOdW0+NzA1PC9SZWNOdW0+PERpc3BsYXlUZXh0PjxzdHlsZSBmYWNlPSJzdXBlcnNjcmlwdCIg
Zm9udD0iVHJlYnVjaGV0IE1TIiBzaXplPSI5Ij40OTQ8L3N0eWxlPjwvRGlzcGxheVRleHQ+PHJl
Y29yZD48cmVjLW51bWJlcj43MDU8L3JlYy1udW1iZXI+PGZvcmVpZ24ta2V5cz48a2V5IGFwcD0i
RU4iIGRiLWlkPSJleHZhc3JmeDJkdHJhb2VzYXN4cDJzenN4YTJkZjUwMjU5MngiIHRpbWVzdGFt
cD0iMTU0MDUzMDYzNiI+NzA1PC9rZXk+PC9mb3JlaWduLWtleXM+PHJlZi10eXBlIG5hbWU9Ikpv
dXJuYWwgQXJ0aWNsZSI+MTc8L3JlZi10eXBlPjxjb250cmlidXRvcnM+PGF1dGhvcnM+PGF1dGhv
cj5QaGVsYW4sIFMuPC9hdXRob3I+PGF1dGhvcj5QaGlwcHMsIE0uIEcuPC9hdXRob3I+PGF1dGhv
cj5BYnJhbXMsIEIuPC9hdXRob3I+PGF1dGhvcj5EYXJyb2NoLCBGLjwvYXV0aG9yPjxhdXRob3I+
U2NoYWZmbmVyLCBBLjwvYXV0aG9yPjxhdXRob3I+V2luZywgUi4gUi48L2F1dGhvcj48L2F1dGhv
cnM+PC9jb250cmlidXRvcnM+PGF1dGgtYWRkcmVzcz5EZXBhcnRtZW50cyBvZiBLaW5lc2lvbG9n
eSwgQ2FsaWZvcm5pYSBQb2x5dGVjaG5pYyBTdGF0ZSBVbml2ZXJzaXR5LCBTYW4gTHVpcyBPYmlz
cG8sIDkzNDA3LTAzODYsIFVTQS4gc3BoZWxhbkBjYWxwb2x5LmVkdTwvYXV0aC1hZGRyZXNzPjx0
aXRsZXM+PHRpdGxlPlJhbmRvbWl6ZWQgdHJpYWwgb2YgYSBiZWhhdmlvcmFsIGludGVydmVudGlv
biB0byBwcmV2ZW50IGV4Y2Vzc2l2ZSBnZXN0YXRpb25hbCB3ZWlnaHQgZ2FpbjogdGhlIEZpdCBm
b3IgRGVsaXZlcnkgU3R1ZHk8L3RpdGxlPjxzZWNvbmRhcnktdGl0bGU+QW0gSiBDbGluIE51dHI8
L3NlY29uZGFyeS10aXRsZT48L3RpdGxlcz48cGVyaW9kaWNhbD48ZnVsbC10aXRsZT5BbSBKIENs
aW4gTnV0cjwvZnVsbC10aXRsZT48L3BlcmlvZGljYWw+PHBhZ2VzPjc3Mi05PC9wYWdlcz48dm9s
dW1lPjkzPC92b2x1bWU+PG51bWJlcj40PC9udW1iZXI+PGVkaXRpb24+MjAxMS8wMi8xMjwvZWRp
dGlvbj48a2V5d29yZHM+PGtleXdvcmQ+QWR1bHQ8L2tleXdvcmQ+PGtleXdvcmQ+QmVoYXZpb3I8
L2tleXdvcmQ+PGtleXdvcmQ+KkJlaGF2aW9yIFRoZXJhcHk8L2tleXdvcmQ+PGtleXdvcmQ+KkRp
ZXQ8L2tleXdvcmQ+PGtleXdvcmQ+KkV4ZXJjaXNlPC9rZXl3b3JkPjxrZXl3b3JkPkZlbWFsZTwv
a2V5d29yZD48a2V5d29yZD4qSGVhbHRoIFByb21vdGlvbjwva2V5d29yZD48a2V5d29yZD5IdW1h
bnM8L2tleXdvcmQ+PGtleXdvcmQ+SW50ZW50aW9uIHRvIFRyZWF0IEFuYWx5c2lzPC9rZXl3b3Jk
PjxrZXl3b3JkPk9iZXNpdHkvY29tcGxpY2F0aW9ucy9lcGlkZW1pb2xvZ3kvKnByZXZlbnRpb24g
JmFtcDsgY29udHJvbDwva2V5d29yZD48a2V5d29yZD5Qb3N0cGFydHVtIFBlcmlvZDwva2V5d29y
ZD48a2V5d29yZD5QcmVnbmFuY3k8L2tleXdvcmQ+PGtleXdvcmQ+UHJlZ25hbmN5IENvbXBsaWNh
dGlvbnMvKnByZXZlbnRpb24gJmFtcDsgY29udHJvbDwva2V5d29yZD48a2V5d29yZD5QcmV2YWxl
bmNlPC9rZXl3b3JkPjxrZXl3b3JkPlJlZmVyZW5jZSBWYWx1ZXM8L2tleXdvcmQ+PGtleXdvcmQ+
U2luZ2xlLUJsaW5kIE1ldGhvZDwva2V5d29yZD48a2V5d29yZD5TdGFuZGFyZCBvZiBDYXJlPC9r
ZXl3b3JkPjxrZXl3b3JkPlRyZWF0bWVudCBPdXRjb21lPC9rZXl3b3JkPjxrZXl3b3JkPipXZWln
aHQgR2Fpbjwva2V5d29yZD48a2V5d29yZD5Zb3VuZyBBZHVsdDwva2V5d29yZD48L2tleXdvcmRz
PjxkYXRlcz48eWVhcj4yMDExPC95ZWFyPjxwdWItZGF0ZXM+PGRhdGU+QXByPC9kYXRlPjwvcHVi
LWRhdGVzPjwvZGF0ZXM+PGlzYm4+MTkzOC0zMjA3IChFbGVjdHJvbmljKSYjeEQ7MDAwMi05MTY1
IChMaW5raW5nKTwvaXNibj48YWNjZXNzaW9uLW51bT4yMTMxMDgzNjwvYWNjZXNzaW9uLW51bT48
dXJscz48cmVsYXRlZC11cmxzPjx1cmw+aHR0cHM6Ly93d3cubmNiaS5ubG0ubmloLmdvdi9wdWJt
ZWQvMjEzMTA4MzY8L3VybD48L3JlbGF0ZWQtdXJscz48L3VybHM+PGN1c3RvbTI+UE1DMzA1NzU0
NjwvY3VzdG9tMj48ZWxlY3Ryb25pYy1yZXNvdXJjZS1udW0+MTAuMzk0NS9hamNuLjExMC4wMDUz
MDY8L2VsZWN0cm9uaWMtcmVzb3VyY2UtbnVtPjwvcmVjb3JkPjwvQ2l0ZT48L0VuZE5vdGU+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Pr="00D00A59">
              <w:rPr>
                <w:noProof/>
              </w:rPr>
            </w:r>
            <w:r w:rsidRPr="00D00A59">
              <w:rPr>
                <w:noProof/>
              </w:rPr>
              <w:fldChar w:fldCharType="separate"/>
            </w:r>
            <w:r w:rsidR="002747EA" w:rsidRPr="002747EA">
              <w:rPr>
                <w:noProof/>
                <w:vertAlign w:val="superscript"/>
              </w:rPr>
              <w:t>494</w:t>
            </w:r>
            <w:r w:rsidRPr="00D00A59">
              <w:rPr>
                <w:noProof/>
              </w:rPr>
              <w:fldChar w:fldCharType="end"/>
            </w:r>
            <w:r w:rsidRPr="00D00A59">
              <w:rPr>
                <w:noProof/>
              </w:rPr>
              <w:t xml:space="preserve"> Phelan et al 2014</w:t>
            </w:r>
            <w:r w:rsidRPr="00D00A59">
              <w:fldChar w:fldCharType="begin">
                <w:fldData xml:space="preserve">PEVuZE5vdGU+PENpdGU+PEF1dGhvcj5QaGVsYW48L0F1dGhvcj48WWVhcj4yMDE0PC9ZZWFyPjxS
ZWNOdW0+NzUyPC9SZWNOdW0+PERpc3BsYXlUZXh0PjxzdHlsZSBmYWNlPSJzdXBlcnNjcmlwdCIg
Zm9udD0iVHJlYnVjaGV0IE1TIiBzaXplPSI5Ij41NTE8L3N0eWxlPjwvRGlzcGxheVRleHQ+PHJl
Y29yZD48cmVjLW51bWJlcj43NTI8L3JlYy1udW1iZXI+PGZvcmVpZ24ta2V5cz48a2V5IGFwcD0i
RU4iIGRiLWlkPSJleHZhc3JmeDJkdHJhb2VzYXN4cDJzenN4YTJkZjUwMjU5MngiIHRpbWVzdGFt
cD0iMTU0MTQ2Nzk0MSI+NzUyPC9rZXk+PGtleSBhcHA9IkVOV2ViIiBkYi1pZD0iIj4wPC9rZXk+
PC9mb3JlaWduLWtleXM+PHJlZi10eXBlIG5hbWU9IkpvdXJuYWwgQXJ0aWNsZSI+MTc8L3JlZi10
eXBlPjxjb250cmlidXRvcnM+PGF1dGhvcnM+PGF1dGhvcj5QaGVsYW4sIFMuPC9hdXRob3I+PGF1
dGhvcj5QaGlwcHMsIE0uIEcuPC9hdXRob3I+PGF1dGhvcj5BYnJhbXMsIEIuPC9hdXRob3I+PGF1
dGhvcj5EYXJyb2NoLCBGLjwvYXV0aG9yPjxhdXRob3I+R3JhbnRoYW0sIEsuPC9hdXRob3I+PGF1
dGhvcj5TY2hhZmZuZXIsIEEuPC9hdXRob3I+PGF1dGhvcj5XaW5nLCBSLiBSLjwvYXV0aG9yPjwv
YXV0aG9ycz48L2NvbnRyaWJ1dG9ycz48YXV0aC1hZGRyZXNzPktpbmVzaW9sb2d5IERlcGFydG1l
bnQgKFNQKSBhbmQgU3RhdGlzdGljcyBEZXBhcnRtZW50IChBUyBhbmQgS0cpLCBDYWxpZm9ybmlh
IFBvbHl0ZWNobmljIFN0YXRlIFVuaXZlcnNpdHksIFNhbiBMdWlzIE9iaXNwbywgQ0E7IHRoZSBX
YXJyZW4gQWxwZXJ0IE1lZGljYWwgU2Nob29sLCBEZXBhcnRtZW50IG9mIFBzeWNoaWF0cnkgYW5k
IEh1bWFuIEJlaGF2aW9yLCBhbmQgVGhlIE1pcmlhbSBIb3NwaXRhbCwgV2VpZ2h0IENvbnRyb2wg
YW5kIERpYWJldGVzIFJlc2VhcmNoIENlbnRlciwgQnJvd24gVW5pdmVyc2l0eSwgUHJvdmlkZW5j
ZSwgUkkgKFNQLCBSUlcsIGFuZCBGRCk7IHRoZSBEZXBhcnRtZW50IG9mIE9ic3RldHJpY3MgYW5k
IEd5bmVjb2xvZ3kgYW5kIFdvbWVuICZhbXA7IEluZmFudHMgSG9zcGl0YWwgb2YgUmhvZGUgSXNs
YW5kLCBEaXZpc2lvbiBvZiBSZXNlYXJjaCwgV2FycmVuIEFscGVydCBNZWRpY2FsIFNjaG9vbCwg
QnJvd24gVW5pdmVyc2l0eSwgUHJvdmlkZW5jZSwgUkkgKE1HUCk7IGFuZCB0aGUgVW5pdmVyc2l0
eSBvZiBDYWxpZm9ybmlhLCBCZXJrZWxleSwgU2Nob29sIG9mIFB1YmxpYyBIZWFsdGgsIEJlcmtl
bGV5LCBDQSAoQkEpLjwvYXV0aC1hZGRyZXNzPjx0aXRsZXM+PHRpdGxlPkRvZXMgYmVoYXZpb3Jh
bCBpbnRlcnZlbnRpb24gaW4gcHJlZ25hbmN5IHJlZHVjZSBwb3N0cGFydHVtIHdlaWdodCByZXRl
bnRpb24/IFR3ZWx2ZS1tb250aCBvdXRjb21lcyBvZiB0aGUgRml0IGZvciBEZWxpdmVyeSByYW5k
b21pemVkIHRyaWFsPC90aXRsZT48c2Vjb25kYXJ5LXRpdGxlPkFtIEogQ2xpbiBOdXRyPC9zZWNv
bmRhcnktdGl0bGU+PC90aXRsZXM+PHBlcmlvZGljYWw+PGZ1bGwtdGl0bGU+QW0gSiBDbGluIE51
dHI8L2Z1bGwtdGl0bGU+PC9wZXJpb2RpY2FsPjxwYWdlcz4zMDItMTE8L3BhZ2VzPjx2b2x1bWU+
OTk8L3ZvbHVtZT48bnVtYmVyPjI8L251bWJlcj48ZWRpdGlvbj4yMDEzLzExLzI5PC9lZGl0aW9u
PjxrZXl3b3Jkcz48a2V5d29yZD5BZG9sZXNjZW50PC9rZXl3b3JkPjxrZXl3b3JkPkFkdWx0PC9r
ZXl3b3JkPjxrZXl3b3JkPkJvZHkgTWFzcyBJbmRleDwva2V5d29yZD48a2V5d29yZD5EaWV0PC9r
ZXl3b3JkPjxrZXl3b3JkPkV4ZXJjaXNlL3BoeXNpb2xvZ3k8L2tleXdvcmQ+PGtleXdvcmQ+KkZl
ZWRpbmcgQmVoYXZpb3I8L2tleXdvcmQ+PGtleXdvcmQ+RmVtYWxlPC9rZXl3b3JkPjxrZXl3b3Jk
PkZvbGxvdy1VcCBTdHVkaWVzPC9rZXl3b3JkPjxrZXl3b3JkPkh1bWFuczwva2V5d29yZD48a2V5
d29yZD5MaWZlIFN0eWxlPC9rZXl3b3JkPjxrZXl3b3JkPkxvZ2lzdGljIE1vZGVsczwva2V5d29y
ZD48a2V5d29yZD5PYmVzaXR5LypwcmV2ZW50aW9uICZhbXA7IGNvbnRyb2w8L2tleXdvcmQ+PGtl
eXdvcmQ+T3ZlcndlaWdodC8qcHJldmVudGlvbiAmYW1wOyBjb250cm9sPC9rZXl3b3JkPjxrZXl3
b3JkPlBpbG90IFByb2plY3RzPC9rZXl3b3JkPjxrZXl3b3JkPlBvc3RwYXJ0dW0gUGVyaW9kLypw
aHlzaW9sb2d5PC9rZXl3b3JkPjxrZXl3b3JkPlByZWduYW5jeTwva2V5d29yZD48a2V5d29yZD5S
aXNrIEZhY3RvcnM8L2tleXdvcmQ+PGtleXdvcmQ+U2luZ2xlLUJsaW5kIE1ldGhvZDwva2V5d29y
ZD48a2V5d29yZD5TdXJ2ZXlzIGFuZCBRdWVzdGlvbm5haXJlczwva2V5d29yZD48a2V5d29yZD5X
ZWlnaHQgR2Fpbi8qcGh5c2lvbG9neTwva2V5d29yZD48a2V5d29yZD5Zb3VuZyBBZHVsdDwva2V5
d29yZD48L2tleXdvcmRzPjxkYXRlcz48eWVhcj4yMDE0PC95ZWFyPjxwdWItZGF0ZXM+PGRhdGU+
RmViPC9kYXRlPjwvcHViLWRhdGVzPjwvZGF0ZXM+PGlzYm4+MTkzOC0zMjA3IChFbGVjdHJvbmlj
KSYjeEQ7MDAwMi05MTY1IChMaW5raW5nKTwvaXNibj48YWNjZXNzaW9uLW51bT4yNDI4NDQzODwv
YWNjZXNzaW9uLW51bT48dXJscz48cmVsYXRlZC11cmxzPjx1cmw+aHR0cHM6Ly93d3cubmNiaS5u
bG0ubmloLmdvdi9wdWJtZWQvMjQyODQ0Mzg8L3VybD48L3JlbGF0ZWQtdXJscz48L3VybHM+PGN1
c3RvbTI+UE1DMzg5MzcyMzwvY3VzdG9tMj48ZWxlY3Ryb25pYy1yZXNvdXJjZS1udW0+MTAuMzk0
NS9hamNuLjExMy4wNzAxNTE8L2VsZWN0cm9uaWMtcmVzb3VyY2UtbnVtPjwvcmVjb3JkPjwvQ2l0
ZT48L0VuZE5vdGU+AG==
</w:fldData>
              </w:fldChar>
            </w:r>
            <w:r w:rsidR="002747EA">
              <w:instrText xml:space="preserve"> ADDIN EN.CITE </w:instrText>
            </w:r>
            <w:r w:rsidR="002747EA">
              <w:fldChar w:fldCharType="begin">
                <w:fldData xml:space="preserve">PEVuZE5vdGU+PENpdGU+PEF1dGhvcj5QaGVsYW48L0F1dGhvcj48WWVhcj4yMDE0PC9ZZWFyPjxS
ZWNOdW0+NzUyPC9SZWNOdW0+PERpc3BsYXlUZXh0PjxzdHlsZSBmYWNlPSJzdXBlcnNjcmlwdCIg
Zm9udD0iVHJlYnVjaGV0IE1TIiBzaXplPSI5Ij41NTE8L3N0eWxlPjwvRGlzcGxheVRleHQ+PHJl
Y29yZD48cmVjLW51bWJlcj43NTI8L3JlYy1udW1iZXI+PGZvcmVpZ24ta2V5cz48a2V5IGFwcD0i
RU4iIGRiLWlkPSJleHZhc3JmeDJkdHJhb2VzYXN4cDJzenN4YTJkZjUwMjU5MngiIHRpbWVzdGFt
cD0iMTU0MTQ2Nzk0MSI+NzUyPC9rZXk+PGtleSBhcHA9IkVOV2ViIiBkYi1pZD0iIj4wPC9rZXk+
PC9mb3JlaWduLWtleXM+PHJlZi10eXBlIG5hbWU9IkpvdXJuYWwgQXJ0aWNsZSI+MTc8L3JlZi10
eXBlPjxjb250cmlidXRvcnM+PGF1dGhvcnM+PGF1dGhvcj5QaGVsYW4sIFMuPC9hdXRob3I+PGF1
dGhvcj5QaGlwcHMsIE0uIEcuPC9hdXRob3I+PGF1dGhvcj5BYnJhbXMsIEIuPC9hdXRob3I+PGF1
dGhvcj5EYXJyb2NoLCBGLjwvYXV0aG9yPjxhdXRob3I+R3JhbnRoYW0sIEsuPC9hdXRob3I+PGF1
dGhvcj5TY2hhZmZuZXIsIEEuPC9hdXRob3I+PGF1dGhvcj5XaW5nLCBSLiBSLjwvYXV0aG9yPjwv
YXV0aG9ycz48L2NvbnRyaWJ1dG9ycz48YXV0aC1hZGRyZXNzPktpbmVzaW9sb2d5IERlcGFydG1l
bnQgKFNQKSBhbmQgU3RhdGlzdGljcyBEZXBhcnRtZW50IChBUyBhbmQgS0cpLCBDYWxpZm9ybmlh
IFBvbHl0ZWNobmljIFN0YXRlIFVuaXZlcnNpdHksIFNhbiBMdWlzIE9iaXNwbywgQ0E7IHRoZSBX
YXJyZW4gQWxwZXJ0IE1lZGljYWwgU2Nob29sLCBEZXBhcnRtZW50IG9mIFBzeWNoaWF0cnkgYW5k
IEh1bWFuIEJlaGF2aW9yLCBhbmQgVGhlIE1pcmlhbSBIb3NwaXRhbCwgV2VpZ2h0IENvbnRyb2wg
YW5kIERpYWJldGVzIFJlc2VhcmNoIENlbnRlciwgQnJvd24gVW5pdmVyc2l0eSwgUHJvdmlkZW5j
ZSwgUkkgKFNQLCBSUlcsIGFuZCBGRCk7IHRoZSBEZXBhcnRtZW50IG9mIE9ic3RldHJpY3MgYW5k
IEd5bmVjb2xvZ3kgYW5kIFdvbWVuICZhbXA7IEluZmFudHMgSG9zcGl0YWwgb2YgUmhvZGUgSXNs
YW5kLCBEaXZpc2lvbiBvZiBSZXNlYXJjaCwgV2FycmVuIEFscGVydCBNZWRpY2FsIFNjaG9vbCwg
QnJvd24gVW5pdmVyc2l0eSwgUHJvdmlkZW5jZSwgUkkgKE1HUCk7IGFuZCB0aGUgVW5pdmVyc2l0
eSBvZiBDYWxpZm9ybmlhLCBCZXJrZWxleSwgU2Nob29sIG9mIFB1YmxpYyBIZWFsdGgsIEJlcmtl
bGV5LCBDQSAoQkEpLjwvYXV0aC1hZGRyZXNzPjx0aXRsZXM+PHRpdGxlPkRvZXMgYmVoYXZpb3Jh
bCBpbnRlcnZlbnRpb24gaW4gcHJlZ25hbmN5IHJlZHVjZSBwb3N0cGFydHVtIHdlaWdodCByZXRl
bnRpb24/IFR3ZWx2ZS1tb250aCBvdXRjb21lcyBvZiB0aGUgRml0IGZvciBEZWxpdmVyeSByYW5k
b21pemVkIHRyaWFsPC90aXRsZT48c2Vjb25kYXJ5LXRpdGxlPkFtIEogQ2xpbiBOdXRyPC9zZWNv
bmRhcnktdGl0bGU+PC90aXRsZXM+PHBlcmlvZGljYWw+PGZ1bGwtdGl0bGU+QW0gSiBDbGluIE51
dHI8L2Z1bGwtdGl0bGU+PC9wZXJpb2RpY2FsPjxwYWdlcz4zMDItMTE8L3BhZ2VzPjx2b2x1bWU+
OTk8L3ZvbHVtZT48bnVtYmVyPjI8L251bWJlcj48ZWRpdGlvbj4yMDEzLzExLzI5PC9lZGl0aW9u
PjxrZXl3b3Jkcz48a2V5d29yZD5BZG9sZXNjZW50PC9rZXl3b3JkPjxrZXl3b3JkPkFkdWx0PC9r
ZXl3b3JkPjxrZXl3b3JkPkJvZHkgTWFzcyBJbmRleDwva2V5d29yZD48a2V5d29yZD5EaWV0PC9r
ZXl3b3JkPjxrZXl3b3JkPkV4ZXJjaXNlL3BoeXNpb2xvZ3k8L2tleXdvcmQ+PGtleXdvcmQ+KkZl
ZWRpbmcgQmVoYXZpb3I8L2tleXdvcmQ+PGtleXdvcmQ+RmVtYWxlPC9rZXl3b3JkPjxrZXl3b3Jk
PkZvbGxvdy1VcCBTdHVkaWVzPC9rZXl3b3JkPjxrZXl3b3JkPkh1bWFuczwva2V5d29yZD48a2V5
d29yZD5MaWZlIFN0eWxlPC9rZXl3b3JkPjxrZXl3b3JkPkxvZ2lzdGljIE1vZGVsczwva2V5d29y
ZD48a2V5d29yZD5PYmVzaXR5LypwcmV2ZW50aW9uICZhbXA7IGNvbnRyb2w8L2tleXdvcmQ+PGtl
eXdvcmQ+T3ZlcndlaWdodC8qcHJldmVudGlvbiAmYW1wOyBjb250cm9sPC9rZXl3b3JkPjxrZXl3
b3JkPlBpbG90IFByb2plY3RzPC9rZXl3b3JkPjxrZXl3b3JkPlBvc3RwYXJ0dW0gUGVyaW9kLypw
aHlzaW9sb2d5PC9rZXl3b3JkPjxrZXl3b3JkPlByZWduYW5jeTwva2V5d29yZD48a2V5d29yZD5S
aXNrIEZhY3RvcnM8L2tleXdvcmQ+PGtleXdvcmQ+U2luZ2xlLUJsaW5kIE1ldGhvZDwva2V5d29y
ZD48a2V5d29yZD5TdXJ2ZXlzIGFuZCBRdWVzdGlvbm5haXJlczwva2V5d29yZD48a2V5d29yZD5X
ZWlnaHQgR2Fpbi8qcGh5c2lvbG9neTwva2V5d29yZD48a2V5d29yZD5Zb3VuZyBBZHVsdDwva2V5
d29yZD48L2tleXdvcmRzPjxkYXRlcz48eWVhcj4yMDE0PC95ZWFyPjxwdWItZGF0ZXM+PGRhdGU+
RmViPC9kYXRlPjwvcHViLWRhdGVzPjwvZGF0ZXM+PGlzYm4+MTkzOC0zMjA3IChFbGVjdHJvbmlj
KSYjeEQ7MDAwMi05MTY1IChMaW5raW5nKTwvaXNibj48YWNjZXNzaW9uLW51bT4yNDI4NDQzODwv
YWNjZXNzaW9uLW51bT48dXJscz48cmVsYXRlZC11cmxzPjx1cmw+aHR0cHM6Ly93d3cubmNiaS5u
bG0ubmloLmdvdi9wdWJtZWQvMjQyODQ0Mzg8L3VybD48L3JlbGF0ZWQtdXJscz48L3VybHM+PGN1
c3RvbTI+UE1DMzg5MzcyMzwvY3VzdG9tMj48ZWxlY3Ryb25pYy1yZXNvdXJjZS1udW0+MTAuMzk0
NS9hamNuLjExMy4wNzAxNTE8L2VsZWN0cm9uaWMtcmVzb3VyY2UtbnVtPjwvcmVjb3JkPjwvQ2l0
ZT48L0VuZE5vdGU+AG==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551</w:t>
            </w:r>
            <w:r w:rsidRPr="00D00A59">
              <w:fldChar w:fldCharType="end"/>
            </w:r>
          </w:p>
          <w:p w14:paraId="2B593E03" w14:textId="77777777" w:rsidR="00973D70" w:rsidRPr="00D00A59" w:rsidRDefault="00973D70" w:rsidP="00A62770">
            <w:pPr>
              <w:rPr>
                <w:szCs w:val="18"/>
              </w:rPr>
            </w:pPr>
            <w:r w:rsidRPr="00D00A59">
              <w:rPr>
                <w:szCs w:val="18"/>
              </w:rPr>
              <w:t xml:space="preserve">United States </w:t>
            </w:r>
          </w:p>
          <w:p w14:paraId="19ACB14A" w14:textId="77777777" w:rsidR="00973D70" w:rsidRPr="00D00A59" w:rsidRDefault="00973D70" w:rsidP="00A62770">
            <w:pPr>
              <w:rPr>
                <w:szCs w:val="18"/>
              </w:rPr>
            </w:pPr>
            <w:r w:rsidRPr="00D00A59">
              <w:rPr>
                <w:szCs w:val="18"/>
              </w:rPr>
              <w:t>NCT01117961</w:t>
            </w:r>
          </w:p>
        </w:tc>
        <w:tc>
          <w:tcPr>
            <w:tcW w:w="1562" w:type="dxa"/>
          </w:tcPr>
          <w:p w14:paraId="111A2034" w14:textId="77777777" w:rsidR="00973D70" w:rsidRPr="00D00A59" w:rsidRDefault="00973D70" w:rsidP="00A75579">
            <w:pPr>
              <w:rPr>
                <w:i/>
                <w:szCs w:val="18"/>
              </w:rPr>
            </w:pPr>
            <w:r w:rsidRPr="00D00A59">
              <w:rPr>
                <w:i/>
                <w:szCs w:val="18"/>
              </w:rPr>
              <w:t>Normal weight</w:t>
            </w:r>
          </w:p>
          <w:p w14:paraId="325226D6" w14:textId="77777777" w:rsidR="00973D70" w:rsidRPr="00D00A59" w:rsidRDefault="00973D70" w:rsidP="00A75579">
            <w:pPr>
              <w:rPr>
                <w:szCs w:val="18"/>
              </w:rPr>
            </w:pPr>
            <w:r w:rsidRPr="00D00A59">
              <w:rPr>
                <w:szCs w:val="18"/>
              </w:rPr>
              <w:t>Intervention 92</w:t>
            </w:r>
          </w:p>
          <w:p w14:paraId="14A89F36" w14:textId="77777777" w:rsidR="00973D70" w:rsidRPr="00D00A59" w:rsidRDefault="00973D70" w:rsidP="00A75579">
            <w:pPr>
              <w:rPr>
                <w:szCs w:val="18"/>
              </w:rPr>
            </w:pPr>
            <w:r w:rsidRPr="00D00A59">
              <w:rPr>
                <w:szCs w:val="18"/>
              </w:rPr>
              <w:t>Control 94</w:t>
            </w:r>
          </w:p>
          <w:p w14:paraId="23F08853" w14:textId="77777777" w:rsidR="00973D70" w:rsidRPr="00D00A59" w:rsidRDefault="00973D70" w:rsidP="00A75579">
            <w:pPr>
              <w:rPr>
                <w:i/>
                <w:szCs w:val="18"/>
              </w:rPr>
            </w:pPr>
            <w:r w:rsidRPr="00D00A59">
              <w:rPr>
                <w:i/>
                <w:szCs w:val="18"/>
              </w:rPr>
              <w:t>Overweight and obese</w:t>
            </w:r>
          </w:p>
          <w:p w14:paraId="5DAAAA59" w14:textId="77777777" w:rsidR="00973D70" w:rsidRPr="00D00A59" w:rsidRDefault="00973D70" w:rsidP="00A75579">
            <w:pPr>
              <w:rPr>
                <w:szCs w:val="18"/>
              </w:rPr>
            </w:pPr>
            <w:r w:rsidRPr="00D00A59">
              <w:rPr>
                <w:szCs w:val="18"/>
              </w:rPr>
              <w:t>Intervention 87</w:t>
            </w:r>
          </w:p>
          <w:p w14:paraId="7755FC22" w14:textId="77777777" w:rsidR="00973D70" w:rsidRPr="00D00A59" w:rsidRDefault="00973D70" w:rsidP="00A75579">
            <w:pPr>
              <w:rPr>
                <w:szCs w:val="18"/>
              </w:rPr>
            </w:pPr>
            <w:r w:rsidRPr="00D00A59">
              <w:rPr>
                <w:szCs w:val="18"/>
              </w:rPr>
              <w:t>Control 90</w:t>
            </w:r>
          </w:p>
        </w:tc>
        <w:tc>
          <w:tcPr>
            <w:tcW w:w="5393" w:type="dxa"/>
          </w:tcPr>
          <w:p w14:paraId="38B6A275" w14:textId="77777777" w:rsidR="00973D70" w:rsidRPr="00D00A59" w:rsidRDefault="00973D70" w:rsidP="00A75579">
            <w:pPr>
              <w:rPr>
                <w:szCs w:val="18"/>
              </w:rPr>
            </w:pPr>
            <w:r w:rsidRPr="00D00A59">
              <w:rPr>
                <w:b/>
                <w:szCs w:val="18"/>
              </w:rPr>
              <w:t>Aim</w:t>
            </w:r>
            <w:r w:rsidRPr="00D00A59">
              <w:rPr>
                <w:szCs w:val="18"/>
              </w:rPr>
              <w:t>: To examine whether a behavio</w:t>
            </w:r>
            <w:r>
              <w:rPr>
                <w:szCs w:val="18"/>
              </w:rPr>
              <w:t>u</w:t>
            </w:r>
            <w:r w:rsidRPr="00D00A59">
              <w:rPr>
                <w:szCs w:val="18"/>
              </w:rPr>
              <w:t xml:space="preserve">ral intervention during pregnancy could decrease the proportion of women who exceeded the 1990 Institute of Medicine (IOM) recommendations for gestational weight gain and increase the proportion of women who returned to pregravid weights by 6 months postpartum. </w:t>
            </w:r>
          </w:p>
          <w:p w14:paraId="518330F4" w14:textId="77777777" w:rsidR="00973D70" w:rsidRPr="00D00A59" w:rsidRDefault="00973D70" w:rsidP="00A75579">
            <w:pPr>
              <w:rPr>
                <w:szCs w:val="18"/>
              </w:rPr>
            </w:pPr>
            <w:r w:rsidRPr="00D00A59">
              <w:rPr>
                <w:b/>
                <w:szCs w:val="18"/>
              </w:rPr>
              <w:t>Population</w:t>
            </w:r>
            <w:r w:rsidRPr="00D00A59">
              <w:rPr>
                <w:szCs w:val="18"/>
              </w:rPr>
              <w:t xml:space="preserve">: Women between 10 and 16 wk of gestation, BMI between 19.8 and 40, non-smoking, older than 18 years of age with singleton pregnancy. </w:t>
            </w:r>
          </w:p>
          <w:p w14:paraId="30F9E14D" w14:textId="77777777" w:rsidR="00973D70" w:rsidRPr="00D00A59" w:rsidRDefault="00973D70" w:rsidP="00EE3378">
            <w:r w:rsidRPr="00D00A59">
              <w:rPr>
                <w:b/>
              </w:rPr>
              <w:t>Intervention</w:t>
            </w:r>
            <w:r w:rsidRPr="00D00A59">
              <w:t>: The intervention included one face-to-face visit; weekly mailed materials that promoted an appropriate weight gain, healthy eating (20 kcal/kg, with an emphasis on decreasing high fat foods) and exercise (30 min of walking most days of the week); individual graphs of weight gain; and telephone-based feedback.</w:t>
            </w:r>
          </w:p>
          <w:p w14:paraId="7D450695" w14:textId="77777777" w:rsidR="00973D70" w:rsidRPr="00D00A59" w:rsidRDefault="00973D70" w:rsidP="00A75579">
            <w:pPr>
              <w:rPr>
                <w:szCs w:val="18"/>
              </w:rPr>
            </w:pPr>
            <w:r w:rsidRPr="00D00A59">
              <w:rPr>
                <w:szCs w:val="18"/>
              </w:rPr>
              <w:t xml:space="preserve">Body-weight scales, food records, and pedometers were provided to promote adherence to daily self-monitoring. </w:t>
            </w:r>
          </w:p>
        </w:tc>
        <w:tc>
          <w:tcPr>
            <w:tcW w:w="5664" w:type="dxa"/>
          </w:tcPr>
          <w:p w14:paraId="5C1A8A7F" w14:textId="77777777" w:rsidR="00973D70" w:rsidRPr="00D00A59" w:rsidRDefault="00973D70" w:rsidP="00A75579">
            <w:pPr>
              <w:rPr>
                <w:szCs w:val="18"/>
              </w:rPr>
            </w:pPr>
            <w:r w:rsidRPr="00D00A59">
              <w:rPr>
                <w:szCs w:val="18"/>
              </w:rPr>
              <w:t>Normal weight intervention (n=92) vs control (n=94):</w:t>
            </w:r>
          </w:p>
          <w:p w14:paraId="01401A75" w14:textId="77777777" w:rsidR="00973D70" w:rsidRPr="00D00A59" w:rsidRDefault="00973D70" w:rsidP="00A75579">
            <w:pPr>
              <w:pStyle w:val="bullet"/>
              <w:rPr>
                <w:szCs w:val="18"/>
              </w:rPr>
            </w:pPr>
            <w:r w:rsidRPr="00D00A59">
              <w:rPr>
                <w:szCs w:val="18"/>
              </w:rPr>
              <w:t>Gestational weight gain: 15.3</w:t>
            </w:r>
            <w:r w:rsidRPr="00D00A59">
              <w:rPr>
                <w:rFonts w:ascii="Helvetica" w:eastAsiaTheme="majorEastAsia" w:hAnsi="Helvetica"/>
                <w:szCs w:val="18"/>
              </w:rPr>
              <w:t>±</w:t>
            </w:r>
            <w:r w:rsidRPr="00D00A59">
              <w:rPr>
                <w:szCs w:val="18"/>
              </w:rPr>
              <w:t>4.4 vs 16.2</w:t>
            </w:r>
            <w:r w:rsidRPr="00D00A59">
              <w:rPr>
                <w:rFonts w:ascii="Helvetica" w:eastAsiaTheme="majorEastAsia" w:hAnsi="Helvetica"/>
                <w:szCs w:val="18"/>
              </w:rPr>
              <w:t>±</w:t>
            </w:r>
            <w:r w:rsidRPr="00D00A59">
              <w:rPr>
                <w:szCs w:val="18"/>
              </w:rPr>
              <w:t>4.6</w:t>
            </w:r>
          </w:p>
          <w:p w14:paraId="1343B8B3" w14:textId="77777777" w:rsidR="00973D70" w:rsidRPr="00D00A59" w:rsidRDefault="00973D70" w:rsidP="00A75579">
            <w:pPr>
              <w:pStyle w:val="bullet"/>
              <w:rPr>
                <w:szCs w:val="18"/>
              </w:rPr>
            </w:pPr>
            <w:r w:rsidRPr="00D00A59">
              <w:rPr>
                <w:szCs w:val="18"/>
              </w:rPr>
              <w:t>Weight gain &gt;IOM guidelines: 37/92 vs 49/94</w:t>
            </w:r>
          </w:p>
          <w:p w14:paraId="2811555D" w14:textId="77777777" w:rsidR="00973D70" w:rsidRPr="00D00A59" w:rsidRDefault="00973D70" w:rsidP="00A75579">
            <w:pPr>
              <w:rPr>
                <w:szCs w:val="18"/>
              </w:rPr>
            </w:pPr>
            <w:r w:rsidRPr="00D00A59">
              <w:rPr>
                <w:szCs w:val="18"/>
              </w:rPr>
              <w:t>Overweight and obese intervention (n=87) vs control (n=90):</w:t>
            </w:r>
          </w:p>
          <w:p w14:paraId="3C04A7D1" w14:textId="77777777" w:rsidR="00973D70" w:rsidRPr="00D00A59" w:rsidRDefault="00973D70" w:rsidP="00A75579">
            <w:pPr>
              <w:pStyle w:val="bullet"/>
              <w:rPr>
                <w:szCs w:val="18"/>
              </w:rPr>
            </w:pPr>
            <w:r w:rsidRPr="00D00A59">
              <w:rPr>
                <w:szCs w:val="18"/>
              </w:rPr>
              <w:t>Gestational weight gain: 14.7±6.9 vs 15.1±7.5</w:t>
            </w:r>
          </w:p>
          <w:p w14:paraId="19A6C2A6" w14:textId="77777777" w:rsidR="00973D70" w:rsidRPr="00D00A59" w:rsidRDefault="00973D70" w:rsidP="00A75579">
            <w:pPr>
              <w:pStyle w:val="bullet"/>
              <w:rPr>
                <w:szCs w:val="18"/>
              </w:rPr>
            </w:pPr>
            <w:r w:rsidRPr="00D00A59">
              <w:rPr>
                <w:szCs w:val="18"/>
              </w:rPr>
              <w:t>Weight gain &gt;IOM guidelines: 58/87 vs 55/90</w:t>
            </w:r>
          </w:p>
          <w:p w14:paraId="2D8621A3" w14:textId="77777777" w:rsidR="00973D70" w:rsidRPr="00D00A59" w:rsidRDefault="00973D70" w:rsidP="00A75579">
            <w:pPr>
              <w:rPr>
                <w:szCs w:val="18"/>
              </w:rPr>
            </w:pPr>
            <w:r w:rsidRPr="00D00A59">
              <w:rPr>
                <w:szCs w:val="18"/>
              </w:rPr>
              <w:t>All women intervention vs control:</w:t>
            </w:r>
          </w:p>
          <w:p w14:paraId="0DC5410F" w14:textId="77777777" w:rsidR="00973D70" w:rsidRPr="00D00A59" w:rsidRDefault="00973D70" w:rsidP="00A75579">
            <w:pPr>
              <w:pStyle w:val="bullet"/>
              <w:rPr>
                <w:szCs w:val="18"/>
              </w:rPr>
            </w:pPr>
            <w:r w:rsidRPr="00D00A59">
              <w:rPr>
                <w:szCs w:val="18"/>
              </w:rPr>
              <w:t>Gestational diabetes: 19/171 vs 13/178</w:t>
            </w:r>
          </w:p>
          <w:p w14:paraId="635DA3EE" w14:textId="77777777" w:rsidR="00973D70" w:rsidRPr="00D00A59" w:rsidRDefault="00973D70" w:rsidP="00A75579">
            <w:pPr>
              <w:pStyle w:val="bullet"/>
              <w:rPr>
                <w:szCs w:val="18"/>
              </w:rPr>
            </w:pPr>
            <w:r w:rsidRPr="00D00A59">
              <w:rPr>
                <w:szCs w:val="18"/>
              </w:rPr>
              <w:t>Gestational hypertension: 20/171 vs 22/178</w:t>
            </w:r>
          </w:p>
          <w:p w14:paraId="1A66C63E" w14:textId="77777777" w:rsidR="00973D70" w:rsidRPr="00D00A59" w:rsidRDefault="00973D70" w:rsidP="00A75579">
            <w:pPr>
              <w:pStyle w:val="bullet"/>
              <w:rPr>
                <w:szCs w:val="18"/>
              </w:rPr>
            </w:pPr>
            <w:r w:rsidRPr="00D00A59">
              <w:rPr>
                <w:szCs w:val="18"/>
              </w:rPr>
              <w:t>Pre-eclampsia: 20/171 vs 20/178</w:t>
            </w:r>
          </w:p>
          <w:p w14:paraId="73CFF7C3" w14:textId="77777777" w:rsidR="00973D70" w:rsidRPr="00D00A59" w:rsidRDefault="00973D70" w:rsidP="00A75579">
            <w:pPr>
              <w:pStyle w:val="bullet"/>
              <w:rPr>
                <w:szCs w:val="18"/>
              </w:rPr>
            </w:pPr>
            <w:r w:rsidRPr="00D00A59">
              <w:rPr>
                <w:szCs w:val="18"/>
              </w:rPr>
              <w:t>Caesarean section: 57/171 vs 67/178</w:t>
            </w:r>
          </w:p>
          <w:p w14:paraId="0C60D95F" w14:textId="77777777" w:rsidR="00973D70" w:rsidRPr="00D00A59" w:rsidRDefault="00973D70" w:rsidP="00A75579">
            <w:pPr>
              <w:pStyle w:val="bullet"/>
              <w:rPr>
                <w:szCs w:val="18"/>
              </w:rPr>
            </w:pPr>
            <w:r w:rsidRPr="00D00A59">
              <w:rPr>
                <w:szCs w:val="18"/>
              </w:rPr>
              <w:t>Preterm birth (&lt;36 wk): 16/171 vs 20/178</w:t>
            </w:r>
          </w:p>
          <w:p w14:paraId="7A7FC9C8" w14:textId="77777777" w:rsidR="00973D70" w:rsidRPr="00D00A59" w:rsidRDefault="00973D70" w:rsidP="00A75579">
            <w:pPr>
              <w:pStyle w:val="bullet"/>
              <w:rPr>
                <w:szCs w:val="18"/>
              </w:rPr>
            </w:pPr>
            <w:r w:rsidRPr="00D00A59">
              <w:rPr>
                <w:szCs w:val="18"/>
              </w:rPr>
              <w:t>Low birth weight: 9/171 vs 9/178</w:t>
            </w:r>
          </w:p>
          <w:p w14:paraId="136CE74F" w14:textId="77777777" w:rsidR="00973D70" w:rsidRPr="00D00A59" w:rsidRDefault="00973D70" w:rsidP="00A75579">
            <w:pPr>
              <w:pStyle w:val="bullet"/>
              <w:rPr>
                <w:szCs w:val="18"/>
              </w:rPr>
            </w:pPr>
            <w:r w:rsidRPr="00D00A59">
              <w:rPr>
                <w:szCs w:val="18"/>
              </w:rPr>
              <w:t>Macrosomia (&gt;4000 g): 20/171 vs 17/178</w:t>
            </w:r>
          </w:p>
          <w:p w14:paraId="53F279AB" w14:textId="77777777" w:rsidR="00973D70" w:rsidRPr="00D00A59" w:rsidRDefault="00973D70" w:rsidP="00A75579">
            <w:pPr>
              <w:pStyle w:val="bullet"/>
              <w:rPr>
                <w:szCs w:val="18"/>
              </w:rPr>
            </w:pPr>
            <w:r w:rsidRPr="00D00A59">
              <w:rPr>
                <w:szCs w:val="18"/>
              </w:rPr>
              <w:t>Postnatal weight retention: 1.4±6.8 (n=128) vs 3.0±5.7 (n=133)</w:t>
            </w:r>
          </w:p>
        </w:tc>
      </w:tr>
      <w:tr w:rsidR="00973D70" w:rsidRPr="000C3AC0" w14:paraId="4F3DCC80" w14:textId="77777777" w:rsidTr="0030223E">
        <w:trPr>
          <w:cantSplit/>
        </w:trPr>
        <w:tc>
          <w:tcPr>
            <w:tcW w:w="1417" w:type="dxa"/>
          </w:tcPr>
          <w:p w14:paraId="65C897A5" w14:textId="23267D55" w:rsidR="00973D70" w:rsidRPr="007244D9" w:rsidRDefault="00973D70" w:rsidP="00654EEB">
            <w:pPr>
              <w:rPr>
                <w:noProof/>
              </w:rPr>
            </w:pPr>
            <w:r w:rsidRPr="007244D9">
              <w:rPr>
                <w:noProof/>
              </w:rPr>
              <w:t>Phelan et al 2018</w:t>
            </w:r>
            <w:r w:rsidRPr="007244D9">
              <w:rPr>
                <w:noProof/>
              </w:rPr>
              <w:fldChar w:fldCharType="begin">
                <w:fldData xml:space="preserve">PEVuZE5vdGU+PENpdGU+PEF1dGhvcj5QaGVsYW48L0F1dGhvcj48WWVhcj4yMDE4PC9ZZWFyPjxS
ZWNOdW0+MTM4NjwvUmVjTnVtPjxEaXNwbGF5VGV4dD48c3R5bGUgZmFjZT0ic3VwZXJzY3JpcHQi
IGZvbnQ9IlRyZWJ1Y2hldCBNUyIgc2l6ZT0iOSI+NTA4PC9zdHlsZT48L0Rpc3BsYXlUZXh0Pjxy
ZWNvcmQ+PHJlYy1udW1iZXI+MTM4NjwvcmVjLW51bWJlcj48Zm9yZWlnbi1rZXlzPjxrZXkgYXBw
PSJFTiIgZGItaWQ9ImV4dmFzcmZ4MmR0cmFvZXNhc3hwMnN6c3hhMmRmNTAyNTkyeCIgdGltZXN0
YW1wPSIxNTY3MzgyNDg1Ij4xMzg2PC9rZXk+PC9mb3JlaWduLWtleXM+PHJlZi10eXBlIG5hbWU9
IkpvdXJuYWwgQXJ0aWNsZSI+MTc8L3JlZi10eXBlPjxjb250cmlidXRvcnM+PGF1dGhvcnM+PGF1
dGhvcj5QaGVsYW4sIFMuPC9hdXRob3I+PGF1dGhvcj5XaW5nLCBSLiBSLjwvYXV0aG9yPjxhdXRo
b3I+QnJhbm5lbiwgQS48L2F1dGhvcj48YXV0aG9yPk1jSHVnaCwgQS48L2F1dGhvcj48YXV0aG9y
PkhhZ29iaWFuLCBULiBBLjwvYXV0aG9yPjxhdXRob3I+U2NoYWZmbmVyLCBBLjwvYXV0aG9yPjxh
dXRob3I+SmVsYWxpYW4sIEUuPC9hdXRob3I+PGF1dGhvcj5IYXJ0LCBDLiBOLjwvYXV0aG9yPjxh
dXRob3I+U2Nob2xsLCBULiBPLjwvYXV0aG9yPjxhdXRob3I+TXVub3otQ2hyaXN0aWFuLCBLLjwv
YXV0aG9yPjxhdXRob3I+WWluLCBFLjwvYXV0aG9yPjxhdXRob3I+UGhpcHBzLCBNLiBHLjwvYXV0
aG9yPjxhdXRob3I+S2VhZGxlLCBTLjwvYXV0aG9yPjxhdXRob3I+QWJyYW1zLCBCLjwvYXV0aG9y
PjwvYXV0aG9ycz48L2NvbnRyaWJ1dG9ycz48YXV0aC1hZGRyZXNzPkRlcGFydG1lbnRzIG9mIEtp
bmVzaW9sb2d5LCBTdGF0aXN0aWNzLCBhbmQgTW9kZXJuIExhbmd1YWdlcywgQ2FsaWZvcm5pYSBQ
b2x5dGVjaG5pYyBTdGF0ZSBVbml2ZXJzaXR5LCBTYW4gTHVpcyBPYmlzcG8sIENBLiYjeEQ7RGVw
YXJ0bWVudCBvZiBQc3ljaGlhdHJ5IGFuZCBIdW1hbiBCZWhhdmlvciwgV2FycmVuIEFscGVydCBN
ZWRpY2FsIFNjaG9vbCBhdCBCcm93biBVbml2ZXJzaXR5LCBQcm92aWRlbmNlLCBSSS4mI3hEO0Rl
cGFydG1lbnRzIG9mIFN0YXRpc3RpY3MsIGFuZCBNb2Rlcm4gTGFuZ3VhZ2VzLCBDYWxpZm9ybmlh
IFBvbHl0ZWNobmljIFN0YXRlIFVuaXZlcnNpdHksIFNhbiBMdWlzIE9iaXNwbywgQ0EuJiN4RDtE
ZXBhcnRtZW50IG9mIFNvY2lhbCBhbmQgQmVoYXZpb3JhbCBTY2llbmNlcywgVGVtcGxlIFVuaXZl
cnNpdHkgQ2VudGVyIGZvciBPYmVzaXR5IFJlc2VhcmNoIGFuZCBFZHVjYXRpb24sIFBoaWxhZGVs
cGhpYSwgUEEuJiN4RDtEZXBhcnRtZW50IG9mIE9ic3RldHJpY3MgYW5kIEd5bmVjb2xvZ3ksIFVu
aXZlcnNpdHkgb2YgTWVkaWNpbmUgYW5kIERlbnRpc3RyeSBvZiBOZXcgSmVyc2V5IChub3cgUm93
YW4pLCBHbGFzc2Jvcm8sIE5KLiYjeEQ7RGVwYXJ0bWVudHMgb2YgTW9kZXJuIExhbmd1YWdlcywg
Q2FsaWZvcm5pYSBQb2x5dGVjaG5pYyBTdGF0ZSBVbml2ZXJzaXR5LCBTYW4gTHVpcyBPYmlzcG8s
IENBLiYjeEQ7UGFjaWZpYyBDZW50cmFsIENvYXN0IEhlYWx0aCBDZW50ZXJzLCBTYW50YSBNYXJp
YSBXb21lbiZhcG9zO3MgSGVhbHRoLCBTYW50YSBNYXJpYSwgQ0EuJiN4RDtEZXBhcnRtZW50IG9m
IE9ic3RldHJpY3MgYW5kIEd5bmVjb2xvZ3ksIFdhcnJlbiBBbHBlcnQgTWVkaWNhbCBTY2hvb2wg
b2YgQnJvd24gVW5pdmVyc2l0eSBhbmQgV29tZW4gYW5kIEluZmFudHMgSG9zcGl0YWwsIFByb3Zp
ZGVuY2UsIFJJLiYjeEQ7RGl2aXNpb24gb2YgRXBpZGVtaW9sb2d5LCBVbml2ZXJzaXR5IG9mIENh
bGlmb3JuaWEgYXQgQmVya2VsZXkgU2Nob29sIG9mIFB1YmxpYyBIZWFsdGgsIEJlcmtlbGV5LCBD
QS48L2F1dGgtYWRkcmVzcz48dGl0bGVzPjx0aXRsZT5SYW5kb21pemVkIGNvbnRyb2xsZWQgY2xp
bmljYWwgdHJpYWwgb2YgYmVoYXZpb3JhbCBsaWZlc3R5bGUgaW50ZXJ2ZW50aW9uIHdpdGggcGFy
dGlhbCBtZWFsIHJlcGxhY2VtZW50IHRvIHJlZHVjZSBleGNlc3NpdmUgZ2VzdGF0aW9uYWwgd2Vp
Z2h0IGdhaW48L3RpdGxlPjxzZWNvbmRhcnktdGl0bGU+QW0gSiBDbGluIE51dHI8L3NlY29uZGFy
eS10aXRsZT48L3RpdGxlcz48cGVyaW9kaWNhbD48ZnVsbC10aXRsZT5BbSBKIENsaW4gTnV0cjwv
ZnVsbC10aXRsZT48L3BlcmlvZGljYWw+PHBhZ2VzPjE4My0xOTQ8L3BhZ2VzPjx2b2x1bWU+MTA3
PC92b2x1bWU+PG51bWJlcj4yPC9udW1iZXI+PGVkaXRpb24+MjAxOC8wMy8xMzwvZWRpdGlvbj48
a2V5d29yZHM+PGtleXdvcmQ+QWR1bHQ8L2tleXdvcmQ+PGtleXdvcmQ+Qm9keSBNYXNzIEluZGV4
PC9rZXl3b3JkPjxrZXl3b3JkPkNhbGlmb3JuaWE8L2tleXdvcmQ+PGtleXdvcmQ+RGlldDwva2V5
d29yZD48a2V5d29yZD5FdGhuaWMgR3JvdXBzPC9rZXl3b3JkPjxrZXl3b3JkPkV4ZXJjaXNlPC9r
ZXl3b3JkPjxrZXl3b3JkPkZlbWFsZTwva2V5d29yZD48a2V5d29yZD4qR2VzdGF0aW9uYWwgV2Vp
Z2h0IEdhaW48L2tleXdvcmQ+PGtleXdvcmQ+KkhlYWx0aCBCZWhhdmlvcjwva2V5d29yZD48a2V5
d29yZD5IdW1hbnM8L2tleXdvcmQ+PGtleXdvcmQ+SW5jaWRlbmNlPC9rZXl3b3JkPjxrZXl3b3Jk
PipMaWZlIFN0eWxlPC9rZXl3b3JkPjxrZXl3b3JkPk1lYWxzPC9rZXl3b3JkPjxrZXl3b3JkPk51
dHJpdGlvbiBBc3Nlc3NtZW50PC9rZXl3b3JkPjxrZXl3b3JkPk9iZXNpdHkvKnByZXZlbnRpb24g
JmFtcDsgY29udHJvbDwva2V5d29yZD48a2V5d29yZD5PdmVyd2VpZ2h0LypwcmV2ZW50aW9uICZh
bXA7IGNvbnRyb2w8L2tleXdvcmQ+PGtleXdvcmQ+UHJlZ25hbmN5PC9rZXl3b3JkPjxrZXl3b3Jk
PlByZWduYW5jeSBDb21wbGljYXRpb25zLypwcmV2ZW50aW9uICZhbXA7IGNvbnRyb2w8L2tleXdv
cmQ+PGtleXdvcmQ+UHJlZ25hbmN5IE91dGNvbWU8L2tleXdvcmQ+PGtleXdvcmQ+UmlzayBGYWN0
b3JzPC9rZXl3b3JkPjxrZXl3b3JkPllvdW5nIEFkdWx0PC9rZXl3b3JkPjwva2V5d29yZHM+PGRh
dGVzPjx5ZWFyPjIwMTg8L3llYXI+PHB1Yi1kYXRlcz48ZGF0ZT5GZWIgMTwvZGF0ZT48L3B1Yi1k
YXRlcz48L2RhdGVzPjxpc2JuPjE5MzgtMzIwNyAoRWxlY3Ryb25pYykmI3hEOzAwMDItOTE2NSAo
TGlua2luZyk8L2lzYm4+PGFjY2Vzc2lvbi1udW0+Mjk1MjkxNTc8L2FjY2Vzc2lvbi1udW0+PHVy
bHM+PHJlbGF0ZWQtdXJscz48dXJsPmh0dHBzOi8vd3d3Lm5jYmkubmxtLm5paC5nb3YvcHVibWVk
LzI5NTI5MTU3PC91cmw+PC9yZWxhdGVkLXVybHM+PC91cmxzPjxjdXN0b20yPlBNQzY0NTUwMzA8
L2N1c3RvbTI+PGVsZWN0cm9uaWMtcmVzb3VyY2UtbnVtPjEwLjEwOTMvYWpjbi9ucXgwNDM8L2Vs
ZWN0cm9uaWMtcmVzb3VyY2UtbnVtPjwvcmVjb3JkPjwvQ2l0ZT48L0VuZE5vdGU+AG==
</w:fldData>
              </w:fldChar>
            </w:r>
            <w:r w:rsidR="002747EA">
              <w:rPr>
                <w:noProof/>
              </w:rPr>
              <w:instrText xml:space="preserve"> ADDIN EN.CITE </w:instrText>
            </w:r>
            <w:r w:rsidR="002747EA">
              <w:rPr>
                <w:noProof/>
              </w:rPr>
              <w:fldChar w:fldCharType="begin">
                <w:fldData xml:space="preserve">PEVuZE5vdGU+PENpdGU+PEF1dGhvcj5QaGVsYW48L0F1dGhvcj48WWVhcj4yMDE4PC9ZZWFyPjxS
ZWNOdW0+MTM4NjwvUmVjTnVtPjxEaXNwbGF5VGV4dD48c3R5bGUgZmFjZT0ic3VwZXJzY3JpcHQi
IGZvbnQ9IlRyZWJ1Y2hldCBNUyIgc2l6ZT0iOSI+NTA4PC9zdHlsZT48L0Rpc3BsYXlUZXh0Pjxy
ZWNvcmQ+PHJlYy1udW1iZXI+MTM4NjwvcmVjLW51bWJlcj48Zm9yZWlnbi1rZXlzPjxrZXkgYXBw
PSJFTiIgZGItaWQ9ImV4dmFzcmZ4MmR0cmFvZXNhc3hwMnN6c3hhMmRmNTAyNTkyeCIgdGltZXN0
YW1wPSIxNTY3MzgyNDg1Ij4xMzg2PC9rZXk+PC9mb3JlaWduLWtleXM+PHJlZi10eXBlIG5hbWU9
IkpvdXJuYWwgQXJ0aWNsZSI+MTc8L3JlZi10eXBlPjxjb250cmlidXRvcnM+PGF1dGhvcnM+PGF1
dGhvcj5QaGVsYW4sIFMuPC9hdXRob3I+PGF1dGhvcj5XaW5nLCBSLiBSLjwvYXV0aG9yPjxhdXRo
b3I+QnJhbm5lbiwgQS48L2F1dGhvcj48YXV0aG9yPk1jSHVnaCwgQS48L2F1dGhvcj48YXV0aG9y
PkhhZ29iaWFuLCBULiBBLjwvYXV0aG9yPjxhdXRob3I+U2NoYWZmbmVyLCBBLjwvYXV0aG9yPjxh
dXRob3I+SmVsYWxpYW4sIEUuPC9hdXRob3I+PGF1dGhvcj5IYXJ0LCBDLiBOLjwvYXV0aG9yPjxh
dXRob3I+U2Nob2xsLCBULiBPLjwvYXV0aG9yPjxhdXRob3I+TXVub3otQ2hyaXN0aWFuLCBLLjwv
YXV0aG9yPjxhdXRob3I+WWluLCBFLjwvYXV0aG9yPjxhdXRob3I+UGhpcHBzLCBNLiBHLjwvYXV0
aG9yPjxhdXRob3I+S2VhZGxlLCBTLjwvYXV0aG9yPjxhdXRob3I+QWJyYW1zLCBCLjwvYXV0aG9y
PjwvYXV0aG9ycz48L2NvbnRyaWJ1dG9ycz48YXV0aC1hZGRyZXNzPkRlcGFydG1lbnRzIG9mIEtp
bmVzaW9sb2d5LCBTdGF0aXN0aWNzLCBhbmQgTW9kZXJuIExhbmd1YWdlcywgQ2FsaWZvcm5pYSBQ
b2x5dGVjaG5pYyBTdGF0ZSBVbml2ZXJzaXR5LCBTYW4gTHVpcyBPYmlzcG8sIENBLiYjeEQ7RGVw
YXJ0bWVudCBvZiBQc3ljaGlhdHJ5IGFuZCBIdW1hbiBCZWhhdmlvciwgV2FycmVuIEFscGVydCBN
ZWRpY2FsIFNjaG9vbCBhdCBCcm93biBVbml2ZXJzaXR5LCBQcm92aWRlbmNlLCBSSS4mI3hEO0Rl
cGFydG1lbnRzIG9mIFN0YXRpc3RpY3MsIGFuZCBNb2Rlcm4gTGFuZ3VhZ2VzLCBDYWxpZm9ybmlh
IFBvbHl0ZWNobmljIFN0YXRlIFVuaXZlcnNpdHksIFNhbiBMdWlzIE9iaXNwbywgQ0EuJiN4RDtE
ZXBhcnRtZW50IG9mIFNvY2lhbCBhbmQgQmVoYXZpb3JhbCBTY2llbmNlcywgVGVtcGxlIFVuaXZl
cnNpdHkgQ2VudGVyIGZvciBPYmVzaXR5IFJlc2VhcmNoIGFuZCBFZHVjYXRpb24sIFBoaWxhZGVs
cGhpYSwgUEEuJiN4RDtEZXBhcnRtZW50IG9mIE9ic3RldHJpY3MgYW5kIEd5bmVjb2xvZ3ksIFVu
aXZlcnNpdHkgb2YgTWVkaWNpbmUgYW5kIERlbnRpc3RyeSBvZiBOZXcgSmVyc2V5IChub3cgUm93
YW4pLCBHbGFzc2Jvcm8sIE5KLiYjeEQ7RGVwYXJ0bWVudHMgb2YgTW9kZXJuIExhbmd1YWdlcywg
Q2FsaWZvcm5pYSBQb2x5dGVjaG5pYyBTdGF0ZSBVbml2ZXJzaXR5LCBTYW4gTHVpcyBPYmlzcG8s
IENBLiYjeEQ7UGFjaWZpYyBDZW50cmFsIENvYXN0IEhlYWx0aCBDZW50ZXJzLCBTYW50YSBNYXJp
YSBXb21lbiZhcG9zO3MgSGVhbHRoLCBTYW50YSBNYXJpYSwgQ0EuJiN4RDtEZXBhcnRtZW50IG9m
IE9ic3RldHJpY3MgYW5kIEd5bmVjb2xvZ3ksIFdhcnJlbiBBbHBlcnQgTWVkaWNhbCBTY2hvb2wg
b2YgQnJvd24gVW5pdmVyc2l0eSBhbmQgV29tZW4gYW5kIEluZmFudHMgSG9zcGl0YWwsIFByb3Zp
ZGVuY2UsIFJJLiYjeEQ7RGl2aXNpb24gb2YgRXBpZGVtaW9sb2d5LCBVbml2ZXJzaXR5IG9mIENh
bGlmb3JuaWEgYXQgQmVya2VsZXkgU2Nob29sIG9mIFB1YmxpYyBIZWFsdGgsIEJlcmtlbGV5LCBD
QS48L2F1dGgtYWRkcmVzcz48dGl0bGVzPjx0aXRsZT5SYW5kb21pemVkIGNvbnRyb2xsZWQgY2xp
bmljYWwgdHJpYWwgb2YgYmVoYXZpb3JhbCBsaWZlc3R5bGUgaW50ZXJ2ZW50aW9uIHdpdGggcGFy
dGlhbCBtZWFsIHJlcGxhY2VtZW50IHRvIHJlZHVjZSBleGNlc3NpdmUgZ2VzdGF0aW9uYWwgd2Vp
Z2h0IGdhaW48L3RpdGxlPjxzZWNvbmRhcnktdGl0bGU+QW0gSiBDbGluIE51dHI8L3NlY29uZGFy
eS10aXRsZT48L3RpdGxlcz48cGVyaW9kaWNhbD48ZnVsbC10aXRsZT5BbSBKIENsaW4gTnV0cjwv
ZnVsbC10aXRsZT48L3BlcmlvZGljYWw+PHBhZ2VzPjE4My0xOTQ8L3BhZ2VzPjx2b2x1bWU+MTA3
PC92b2x1bWU+PG51bWJlcj4yPC9udW1iZXI+PGVkaXRpb24+MjAxOC8wMy8xMzwvZWRpdGlvbj48
a2V5d29yZHM+PGtleXdvcmQ+QWR1bHQ8L2tleXdvcmQ+PGtleXdvcmQ+Qm9keSBNYXNzIEluZGV4
PC9rZXl3b3JkPjxrZXl3b3JkPkNhbGlmb3JuaWE8L2tleXdvcmQ+PGtleXdvcmQ+RGlldDwva2V5
d29yZD48a2V5d29yZD5FdGhuaWMgR3JvdXBzPC9rZXl3b3JkPjxrZXl3b3JkPkV4ZXJjaXNlPC9r
ZXl3b3JkPjxrZXl3b3JkPkZlbWFsZTwva2V5d29yZD48a2V5d29yZD4qR2VzdGF0aW9uYWwgV2Vp
Z2h0IEdhaW48L2tleXdvcmQ+PGtleXdvcmQ+KkhlYWx0aCBCZWhhdmlvcjwva2V5d29yZD48a2V5
d29yZD5IdW1hbnM8L2tleXdvcmQ+PGtleXdvcmQ+SW5jaWRlbmNlPC9rZXl3b3JkPjxrZXl3b3Jk
PipMaWZlIFN0eWxlPC9rZXl3b3JkPjxrZXl3b3JkPk1lYWxzPC9rZXl3b3JkPjxrZXl3b3JkPk51
dHJpdGlvbiBBc3Nlc3NtZW50PC9rZXl3b3JkPjxrZXl3b3JkPk9iZXNpdHkvKnByZXZlbnRpb24g
JmFtcDsgY29udHJvbDwva2V5d29yZD48a2V5d29yZD5PdmVyd2VpZ2h0LypwcmV2ZW50aW9uICZh
bXA7IGNvbnRyb2w8L2tleXdvcmQ+PGtleXdvcmQ+UHJlZ25hbmN5PC9rZXl3b3JkPjxrZXl3b3Jk
PlByZWduYW5jeSBDb21wbGljYXRpb25zLypwcmV2ZW50aW9uICZhbXA7IGNvbnRyb2w8L2tleXdv
cmQ+PGtleXdvcmQ+UHJlZ25hbmN5IE91dGNvbWU8L2tleXdvcmQ+PGtleXdvcmQ+UmlzayBGYWN0
b3JzPC9rZXl3b3JkPjxrZXl3b3JkPllvdW5nIEFkdWx0PC9rZXl3b3JkPjwva2V5d29yZHM+PGRh
dGVzPjx5ZWFyPjIwMTg8L3llYXI+PHB1Yi1kYXRlcz48ZGF0ZT5GZWIgMTwvZGF0ZT48L3B1Yi1k
YXRlcz48L2RhdGVzPjxpc2JuPjE5MzgtMzIwNyAoRWxlY3Ryb25pYykmI3hEOzAwMDItOTE2NSAo
TGlua2luZyk8L2lzYm4+PGFjY2Vzc2lvbi1udW0+Mjk1MjkxNTc8L2FjY2Vzc2lvbi1udW0+PHVy
bHM+PHJlbGF0ZWQtdXJscz48dXJsPmh0dHBzOi8vd3d3Lm5jYmkubmxtLm5paC5nb3YvcHVibWVk
LzI5NTI5MTU3PC91cmw+PC9yZWxhdGVkLXVybHM+PC91cmxzPjxjdXN0b20yPlBNQzY0NTUwMzA8
L2N1c3RvbTI+PGVsZWN0cm9uaWMtcmVzb3VyY2UtbnVtPjEwLjEwOTMvYWpjbi9ucXgwNDM8L2Vs
ZWN0cm9uaWMtcmVzb3VyY2UtbnVtPjwvcmVjb3JkPjwvQ2l0ZT48L0VuZE5vdGU+AG==
</w:fldData>
              </w:fldChar>
            </w:r>
            <w:r w:rsidR="002747EA">
              <w:rPr>
                <w:noProof/>
              </w:rPr>
              <w:instrText xml:space="preserve"> ADDIN EN.CITE.DATA </w:instrText>
            </w:r>
            <w:r w:rsidR="002747EA">
              <w:rPr>
                <w:noProof/>
              </w:rPr>
            </w:r>
            <w:r w:rsidR="002747EA">
              <w:rPr>
                <w:noProof/>
              </w:rPr>
              <w:fldChar w:fldCharType="end"/>
            </w:r>
            <w:r w:rsidRPr="007244D9">
              <w:rPr>
                <w:noProof/>
              </w:rPr>
            </w:r>
            <w:r w:rsidRPr="007244D9">
              <w:rPr>
                <w:noProof/>
              </w:rPr>
              <w:fldChar w:fldCharType="separate"/>
            </w:r>
            <w:r w:rsidR="002747EA" w:rsidRPr="002747EA">
              <w:rPr>
                <w:noProof/>
                <w:vertAlign w:val="superscript"/>
              </w:rPr>
              <w:t>508</w:t>
            </w:r>
            <w:r w:rsidRPr="007244D9">
              <w:rPr>
                <w:noProof/>
              </w:rPr>
              <w:fldChar w:fldCharType="end"/>
            </w:r>
          </w:p>
          <w:p w14:paraId="5B6E79A5" w14:textId="77777777" w:rsidR="00973D70" w:rsidRPr="007244D9" w:rsidRDefault="00973D70" w:rsidP="00654EEB">
            <w:pPr>
              <w:rPr>
                <w:noProof/>
              </w:rPr>
            </w:pPr>
            <w:r w:rsidRPr="007244D9">
              <w:rPr>
                <w:noProof/>
              </w:rPr>
              <w:t xml:space="preserve">United States </w:t>
            </w:r>
          </w:p>
          <w:p w14:paraId="383D8D94" w14:textId="77777777" w:rsidR="00973D70" w:rsidRPr="007244D9" w:rsidRDefault="00973D70" w:rsidP="00654EEB">
            <w:pPr>
              <w:rPr>
                <w:noProof/>
              </w:rPr>
            </w:pPr>
            <w:r w:rsidRPr="007244D9">
              <w:rPr>
                <w:noProof/>
              </w:rPr>
              <w:t>Healthy Beginnings</w:t>
            </w:r>
          </w:p>
          <w:p w14:paraId="2C6D2A0E" w14:textId="77777777" w:rsidR="00973D70" w:rsidRPr="007244D9" w:rsidRDefault="00973D70" w:rsidP="00654EEB">
            <w:r w:rsidRPr="007244D9">
              <w:rPr>
                <w:noProof/>
              </w:rPr>
              <w:t>Part of LIFE-Moms consortium</w:t>
            </w:r>
            <w:r w:rsidRPr="007244D9">
              <w:t xml:space="preserve"> </w:t>
            </w:r>
          </w:p>
          <w:p w14:paraId="72F312E8" w14:textId="77777777" w:rsidR="00973D70" w:rsidRPr="007244D9" w:rsidRDefault="00973D70" w:rsidP="00A62770">
            <w:r w:rsidRPr="007244D9">
              <w:t>NCT01545934</w:t>
            </w:r>
          </w:p>
          <w:p w14:paraId="7229347B" w14:textId="77777777" w:rsidR="00973D70" w:rsidRPr="007244D9" w:rsidRDefault="00973D70" w:rsidP="00A62770">
            <w:pPr>
              <w:rPr>
                <w:rFonts w:ascii="Century Gothic" w:hAnsi="Century Gothic"/>
                <w:noProof/>
              </w:rPr>
            </w:pPr>
          </w:p>
        </w:tc>
        <w:tc>
          <w:tcPr>
            <w:tcW w:w="1562" w:type="dxa"/>
          </w:tcPr>
          <w:p w14:paraId="31CF4999" w14:textId="77777777" w:rsidR="00973D70" w:rsidRPr="007244D9" w:rsidRDefault="00973D70" w:rsidP="00A75579">
            <w:pPr>
              <w:rPr>
                <w:sz w:val="16"/>
                <w:szCs w:val="16"/>
              </w:rPr>
            </w:pPr>
            <w:r w:rsidRPr="007244D9">
              <w:rPr>
                <w:sz w:val="16"/>
                <w:szCs w:val="16"/>
              </w:rPr>
              <w:t>Intervention 129</w:t>
            </w:r>
          </w:p>
          <w:p w14:paraId="7847303F" w14:textId="77777777" w:rsidR="00973D70" w:rsidRPr="007244D9" w:rsidRDefault="00973D70" w:rsidP="00A75579">
            <w:pPr>
              <w:rPr>
                <w:sz w:val="16"/>
                <w:szCs w:val="16"/>
              </w:rPr>
            </w:pPr>
            <w:r w:rsidRPr="007244D9">
              <w:rPr>
                <w:sz w:val="16"/>
                <w:szCs w:val="16"/>
              </w:rPr>
              <w:t>Control 127</w:t>
            </w:r>
          </w:p>
        </w:tc>
        <w:tc>
          <w:tcPr>
            <w:tcW w:w="5393" w:type="dxa"/>
          </w:tcPr>
          <w:p w14:paraId="5E12CD88" w14:textId="77777777" w:rsidR="00973D70" w:rsidRPr="007244D9" w:rsidRDefault="00973D70" w:rsidP="00C32E77">
            <w:r w:rsidRPr="007244D9">
              <w:rPr>
                <w:b/>
              </w:rPr>
              <w:t xml:space="preserve">Aim: </w:t>
            </w:r>
            <w:r w:rsidRPr="007244D9">
              <w:t xml:space="preserve">To test whether a behavioural lifestyle intervention with partial meal replacement reduces GWG rate in Hispanic and non-Hispanic women with overweight or obesity relative to enhanced usual care. </w:t>
            </w:r>
          </w:p>
          <w:p w14:paraId="1263C2EF" w14:textId="77777777" w:rsidR="00973D70" w:rsidRPr="007244D9" w:rsidRDefault="00973D70" w:rsidP="000B4DE7">
            <w:r w:rsidRPr="007244D9">
              <w:rPr>
                <w:b/>
              </w:rPr>
              <w:t>Population</w:t>
            </w:r>
            <w:r w:rsidRPr="007244D9">
              <w:t xml:space="preserve">: Participants were pregnant (13.6±1.8 wk of gestation) with overweight or obesity and had a mean age of 30.3 y; 41.6% of participants were Hispanic. </w:t>
            </w:r>
          </w:p>
          <w:p w14:paraId="183A0D37" w14:textId="77777777" w:rsidR="00973D70" w:rsidRPr="007244D9" w:rsidRDefault="00973D70" w:rsidP="00FD01B1">
            <w:r w:rsidRPr="007244D9">
              <w:rPr>
                <w:b/>
              </w:rPr>
              <w:t>Intervention</w:t>
            </w:r>
            <w:r w:rsidRPr="007244D9">
              <w:t xml:space="preserve">: Each woman received a </w:t>
            </w:r>
            <w:r w:rsidRPr="007244D9">
              <w:rPr>
                <w:rFonts w:ascii="MS Mincho" w:eastAsia="MS Mincho" w:hAnsi="MS Mincho" w:cs="MS Mincho"/>
              </w:rPr>
              <w:t>∼</w:t>
            </w:r>
            <w:r w:rsidRPr="007244D9">
              <w:t>20-min individual, face-to-face counselling session with a study interventionist every 2 wk until 20 wk of gestation and then monthly visits until birth.</w:t>
            </w:r>
          </w:p>
          <w:p w14:paraId="0619A7EA" w14:textId="77777777" w:rsidR="00973D70" w:rsidRPr="007244D9" w:rsidRDefault="00973D70" w:rsidP="00FD01B1">
            <w:r w:rsidRPr="007244D9">
              <w:t xml:space="preserve">Women were provided with an individually tailored structured meal plan. The partial meal replacement plan provided a caloric prescription of </w:t>
            </w:r>
            <w:r w:rsidRPr="007244D9">
              <w:rPr>
                <w:rFonts w:ascii="MS Mincho" w:eastAsia="MS Mincho" w:hAnsi="MS Mincho" w:cs="MS Mincho"/>
              </w:rPr>
              <w:t>∼</w:t>
            </w:r>
            <w:r w:rsidRPr="007244D9">
              <w:t>18 kcal/kg body weight at study entry and consisted of 30% of calories from fat, 15–20% from protein, and 50–55% from carbohydrates. Women were instructed to replace 2 meals with the provided meal replacement shakes or bars and to consume ≥1 meal of regular foods and 2–4 healthy snacks/d.</w:t>
            </w:r>
          </w:p>
          <w:p w14:paraId="214B6093" w14:textId="46A71E38" w:rsidR="00973D70" w:rsidRPr="007244D9" w:rsidRDefault="00973D70" w:rsidP="00FD01B1">
            <w:r w:rsidRPr="007244D9">
              <w:t xml:space="preserve">Participants were encouraged to aim for a goal of 30 min of activity on most days of the week. They were provided with a pedometer and advised to gradually increase the number of steps walked each day until reaching an ultimate goal of 10,000 steps/d. In addition, at each visit, women were provided with </w:t>
            </w:r>
            <w:r>
              <w:t>a personalis</w:t>
            </w:r>
            <w:r w:rsidRPr="007244D9">
              <w:t xml:space="preserve">ed graph of their weight gain with feedback. Other </w:t>
            </w:r>
            <w:r w:rsidR="00356CCC" w:rsidRPr="007244D9">
              <w:t>behavioural</w:t>
            </w:r>
            <w:r w:rsidRPr="007244D9">
              <w:t xml:space="preserve"> strategies included daily recording of food, drink, and caloric intake and physical activity; stimulus control techniques; problem-solving skills; goal-setting; self-reinforcement for goal attainment; and daily self-monitoring of weight by using a scale provided by the study.</w:t>
            </w:r>
          </w:p>
        </w:tc>
        <w:tc>
          <w:tcPr>
            <w:tcW w:w="5664" w:type="dxa"/>
          </w:tcPr>
          <w:p w14:paraId="63C4B374" w14:textId="77777777" w:rsidR="00973D70" w:rsidRPr="007244D9" w:rsidRDefault="00973D70" w:rsidP="000B4DE7">
            <w:r w:rsidRPr="007244D9">
              <w:t>Intervention vs control:</w:t>
            </w:r>
          </w:p>
          <w:p w14:paraId="0C2550FF" w14:textId="3CF786CD" w:rsidR="00973D70" w:rsidRPr="007244D9" w:rsidRDefault="00973D70" w:rsidP="00767C5B">
            <w:r w:rsidRPr="007244D9">
              <w:t>Gestational weight gain: 9.4±6.9 vs 11.2±7.0 kg; P</w:t>
            </w:r>
            <w:r w:rsidR="00162E95">
              <w:t>=</w:t>
            </w:r>
            <w:r w:rsidRPr="007244D9">
              <w:t xml:space="preserve">0.03) </w:t>
            </w:r>
          </w:p>
          <w:p w14:paraId="0EA0F0AD" w14:textId="77777777" w:rsidR="00973D70" w:rsidRPr="000B4DE7" w:rsidRDefault="00973D70" w:rsidP="005425EC">
            <w:pPr>
              <w:rPr>
                <w:szCs w:val="18"/>
              </w:rPr>
            </w:pPr>
            <w:r w:rsidRPr="007244D9">
              <w:t>Weight gain exceeding IOM guidelines: 53/129 (41.1%) vs 69/127 (53.9%); P=0.03.</w:t>
            </w:r>
            <w:r>
              <w:t xml:space="preserve"> </w:t>
            </w:r>
          </w:p>
        </w:tc>
      </w:tr>
      <w:tr w:rsidR="00973D70" w:rsidRPr="00D00A59" w14:paraId="38FF4A53" w14:textId="77777777" w:rsidTr="0030223E">
        <w:trPr>
          <w:cantSplit/>
        </w:trPr>
        <w:tc>
          <w:tcPr>
            <w:tcW w:w="1417" w:type="dxa"/>
          </w:tcPr>
          <w:p w14:paraId="10DB386C" w14:textId="50D657CC" w:rsidR="00973D70" w:rsidRPr="00D00A59" w:rsidRDefault="00973D70" w:rsidP="00654EEB">
            <w:r w:rsidRPr="00654EEB">
              <w:t>Polley et al 2002</w:t>
            </w:r>
            <w:r w:rsidRPr="00D00A59">
              <w:fldChar w:fldCharType="begin"/>
            </w:r>
            <w:r w:rsidR="002747EA">
              <w:instrText xml:space="preserve"> ADDIN EN.CITE &lt;EndNote&gt;&lt;Cite&gt;&lt;Author&gt;Polley&lt;/Author&gt;&lt;Year&gt;2002&lt;/Year&gt;&lt;RecNum&gt;706&lt;/RecNum&gt;&lt;DisplayText&gt;&lt;style face="superscript" font="Trebuchet MS" size="9"&gt;495&lt;/style&gt;&lt;/DisplayText&gt;&lt;record&gt;&lt;rec-number&gt;706&lt;/rec-number&gt;&lt;foreign-keys&gt;&lt;key app="EN" db-id="exvasrfx2dtraoesasxp2szsxa2df502592x" timestamp="1540530674"&gt;706&lt;/key&gt;&lt;/foreign-keys&gt;&lt;ref-type name="Journal Article"&gt;17&lt;/ref-type&gt;&lt;contributors&gt;&lt;authors&gt;&lt;author&gt;Polley, B. A.&lt;/author&gt;&lt;author&gt;Wing, R. R.&lt;/author&gt;&lt;author&gt;Sims, C. J.&lt;/author&gt;&lt;/authors&gt;&lt;/contributors&gt;&lt;auth-address&gt;University of Pittsburgh, Pittsburgh, Pennsylvania, USA.&lt;/auth-address&gt;&lt;titles&gt;&lt;title&gt;Randomized controlled trial to prevent excessive weight gain in pregnant women&lt;/title&gt;&lt;secondary-title&gt;Int J Obes Relat Metab Disord&lt;/secondary-title&gt;&lt;/titles&gt;&lt;periodical&gt;&lt;full-title&gt;Int J Obes Relat Metab Disord&lt;/full-title&gt;&lt;/periodical&gt;&lt;pages&gt;1494-502&lt;/pages&gt;&lt;volume&gt;26&lt;/volume&gt;&lt;number&gt;11&lt;/number&gt;&lt;edition&gt;2002/11/20&lt;/edition&gt;&lt;keywords&gt;&lt;keyword&gt;Adult&lt;/keyword&gt;&lt;keyword&gt;Exercise Therapy/*methods&lt;/keyword&gt;&lt;keyword&gt;Female&lt;/keyword&gt;&lt;keyword&gt;Health Behavior&lt;/keyword&gt;&lt;keyword&gt;Humans&lt;/keyword&gt;&lt;keyword&gt;Obesity/*prevention &amp;amp; control&lt;/keyword&gt;&lt;keyword&gt;Postnatal Care/methods&lt;/keyword&gt;&lt;keyword&gt;Pregnancy&lt;/keyword&gt;&lt;keyword&gt;Pregnancy Complications/*prevention &amp;amp; control&lt;/keyword&gt;&lt;keyword&gt;Pregnancy Outcome&lt;/keyword&gt;&lt;keyword&gt;Prenatal Care/methods&lt;/keyword&gt;&lt;keyword&gt;Weight Gain&lt;/keyword&gt;&lt;/keywords&gt;&lt;dates&gt;&lt;year&gt;2002&lt;/year&gt;&lt;pub-dates&gt;&lt;date&gt;Nov&lt;/date&gt;&lt;/pub-dates&gt;&lt;/dates&gt;&lt;accession-num&gt;12439652&lt;/accession-num&gt;&lt;urls&gt;&lt;related-urls&gt;&lt;url&gt;https://www.ncbi.nlm.nih.gov/pubmed/12439652&lt;/url&gt;&lt;/related-urls&gt;&lt;/urls&gt;&lt;electronic-resource-num&gt;10.1038/sj.ijo.0802130&lt;/electronic-resource-num&gt;&lt;/record&gt;&lt;/Cite&gt;&lt;/EndNote&gt;</w:instrText>
            </w:r>
            <w:r w:rsidRPr="00D00A59">
              <w:fldChar w:fldCharType="separate"/>
            </w:r>
            <w:r w:rsidR="002747EA" w:rsidRPr="002747EA">
              <w:rPr>
                <w:noProof/>
                <w:vertAlign w:val="superscript"/>
              </w:rPr>
              <w:t>495</w:t>
            </w:r>
            <w:r w:rsidRPr="00D00A59">
              <w:fldChar w:fldCharType="end"/>
            </w:r>
          </w:p>
          <w:p w14:paraId="45104C9E" w14:textId="77777777" w:rsidR="00973D70" w:rsidRPr="00D00A59" w:rsidRDefault="00973D70" w:rsidP="00A62770">
            <w:pPr>
              <w:rPr>
                <w:szCs w:val="18"/>
              </w:rPr>
            </w:pPr>
            <w:r w:rsidRPr="00D00A59">
              <w:rPr>
                <w:szCs w:val="18"/>
              </w:rPr>
              <w:t>United States</w:t>
            </w:r>
          </w:p>
        </w:tc>
        <w:tc>
          <w:tcPr>
            <w:tcW w:w="1562" w:type="dxa"/>
          </w:tcPr>
          <w:p w14:paraId="1D582AE2" w14:textId="77777777" w:rsidR="00973D70" w:rsidRPr="00D00A59" w:rsidRDefault="00973D70" w:rsidP="00A75579">
            <w:pPr>
              <w:rPr>
                <w:szCs w:val="18"/>
              </w:rPr>
            </w:pPr>
            <w:r w:rsidRPr="00D00A59">
              <w:rPr>
                <w:szCs w:val="18"/>
              </w:rPr>
              <w:t>Intervention 57</w:t>
            </w:r>
          </w:p>
          <w:p w14:paraId="5A71DFA4" w14:textId="77777777" w:rsidR="00973D70" w:rsidRPr="00D00A59" w:rsidRDefault="00973D70" w:rsidP="00A75579">
            <w:pPr>
              <w:rPr>
                <w:szCs w:val="18"/>
              </w:rPr>
            </w:pPr>
            <w:r w:rsidRPr="00D00A59">
              <w:rPr>
                <w:szCs w:val="18"/>
              </w:rPr>
              <w:t>Control 53</w:t>
            </w:r>
          </w:p>
        </w:tc>
        <w:tc>
          <w:tcPr>
            <w:tcW w:w="5393" w:type="dxa"/>
          </w:tcPr>
          <w:p w14:paraId="5D9D719D" w14:textId="77777777" w:rsidR="00973D70" w:rsidRPr="00D00A59" w:rsidRDefault="00973D70" w:rsidP="00A75579">
            <w:pPr>
              <w:rPr>
                <w:szCs w:val="18"/>
              </w:rPr>
            </w:pPr>
            <w:r w:rsidRPr="00D00A59">
              <w:rPr>
                <w:b/>
                <w:szCs w:val="18"/>
              </w:rPr>
              <w:t>Aim</w:t>
            </w:r>
            <w:r w:rsidRPr="00D00A59">
              <w:rPr>
                <w:szCs w:val="18"/>
              </w:rPr>
              <w:t xml:space="preserve">: To determine whether a stepped care, behavioural intervention will decrease the percentage of women who gain more than the IOM recommendation. </w:t>
            </w:r>
          </w:p>
          <w:p w14:paraId="7C1C8878" w14:textId="77777777" w:rsidR="00973D70" w:rsidRPr="00D00A59" w:rsidRDefault="00973D70" w:rsidP="00A75579">
            <w:pPr>
              <w:rPr>
                <w:szCs w:val="18"/>
              </w:rPr>
            </w:pPr>
            <w:r w:rsidRPr="00D00A59">
              <w:rPr>
                <w:b/>
                <w:szCs w:val="18"/>
              </w:rPr>
              <w:t>Population</w:t>
            </w:r>
            <w:r w:rsidRPr="00D00A59">
              <w:rPr>
                <w:szCs w:val="18"/>
              </w:rPr>
              <w:t xml:space="preserve">: Women who had a BMI&gt;19.8, age&gt;18 and &lt;20 weeks gestation. </w:t>
            </w:r>
          </w:p>
          <w:p w14:paraId="6DAC6E22" w14:textId="77777777" w:rsidR="00973D70" w:rsidRPr="00D00A59" w:rsidRDefault="00973D70" w:rsidP="00EE3378">
            <w:r w:rsidRPr="00D00A59">
              <w:rPr>
                <w:b/>
              </w:rPr>
              <w:t>Intervention</w:t>
            </w:r>
            <w:r w:rsidRPr="00D00A59">
              <w:t xml:space="preserve">: The intervention group received written and oral information about weight gain, healthy eating, and exercise and individual graphs of their weight gain. </w:t>
            </w:r>
          </w:p>
          <w:p w14:paraId="0B0A0903" w14:textId="77777777" w:rsidR="00973D70" w:rsidRPr="00D00A59" w:rsidRDefault="00973D70" w:rsidP="00EE3378">
            <w:r w:rsidRPr="00D00A59">
              <w:t>The primary focus of the dietary intervention was on decreasing high-fat foods, such as fast food items, and substituting healthier alternatives (fruit and vegetables)</w:t>
            </w:r>
          </w:p>
          <w:p w14:paraId="1B0878E8" w14:textId="77777777" w:rsidR="00973D70" w:rsidRPr="00D00A59" w:rsidRDefault="00973D70" w:rsidP="00EE3378">
            <w:r w:rsidRPr="00D00A59">
              <w:t>The exercise intervention focused on increasing walking and developing a more active lifestyle (eg walking rather than driving short distances).</w:t>
            </w:r>
          </w:p>
          <w:p w14:paraId="2F131454" w14:textId="77777777" w:rsidR="00973D70" w:rsidRPr="00D00A59" w:rsidRDefault="00973D70" w:rsidP="00A75579">
            <w:pPr>
              <w:rPr>
                <w:szCs w:val="18"/>
              </w:rPr>
            </w:pPr>
            <w:r w:rsidRPr="00D00A59">
              <w:rPr>
                <w:szCs w:val="18"/>
              </w:rPr>
              <w:t>Those exceeding weight gain goals were given more intensive intervention.</w:t>
            </w:r>
          </w:p>
        </w:tc>
        <w:tc>
          <w:tcPr>
            <w:tcW w:w="5664" w:type="dxa"/>
          </w:tcPr>
          <w:p w14:paraId="09FFAF43" w14:textId="77777777" w:rsidR="00973D70" w:rsidRPr="00D00A59" w:rsidRDefault="00973D70" w:rsidP="00A75579">
            <w:pPr>
              <w:rPr>
                <w:szCs w:val="18"/>
              </w:rPr>
            </w:pPr>
            <w:r w:rsidRPr="00D00A59">
              <w:rPr>
                <w:szCs w:val="18"/>
              </w:rPr>
              <w:t>Intervention vs control (normal weight):</w:t>
            </w:r>
          </w:p>
          <w:p w14:paraId="30F36187" w14:textId="77777777" w:rsidR="00973D70" w:rsidRPr="00D00A59" w:rsidRDefault="00973D70" w:rsidP="00A75579">
            <w:pPr>
              <w:pStyle w:val="bullet"/>
              <w:rPr>
                <w:szCs w:val="18"/>
              </w:rPr>
            </w:pPr>
            <w:r w:rsidRPr="00D00A59">
              <w:rPr>
                <w:szCs w:val="18"/>
              </w:rPr>
              <w:t>Gestational weight gain: 15.4±7.1 (n=30) vs 16.4±4.8 (n=31)</w:t>
            </w:r>
          </w:p>
          <w:p w14:paraId="03F136C3" w14:textId="77777777" w:rsidR="00973D70" w:rsidRPr="00D00A59" w:rsidRDefault="00973D70" w:rsidP="00A75579">
            <w:pPr>
              <w:pStyle w:val="bullet"/>
              <w:rPr>
                <w:szCs w:val="18"/>
              </w:rPr>
            </w:pPr>
            <w:r w:rsidRPr="00D00A59">
              <w:rPr>
                <w:szCs w:val="18"/>
              </w:rPr>
              <w:t>Postnatal weight retention (8 wks): 4.4±5.4 (n=18) vs 6.2±4.5 (n=21)</w:t>
            </w:r>
          </w:p>
          <w:p w14:paraId="57CE8B97" w14:textId="77777777" w:rsidR="00973D70" w:rsidRPr="00D00A59" w:rsidRDefault="00973D70" w:rsidP="00A75579">
            <w:pPr>
              <w:rPr>
                <w:szCs w:val="18"/>
              </w:rPr>
            </w:pPr>
            <w:r w:rsidRPr="00D00A59">
              <w:rPr>
                <w:szCs w:val="18"/>
              </w:rPr>
              <w:t>Intervention vs control (overweight and obese):</w:t>
            </w:r>
          </w:p>
          <w:p w14:paraId="29CDF4E7" w14:textId="77777777" w:rsidR="00973D70" w:rsidRPr="00D00A59" w:rsidRDefault="00973D70" w:rsidP="00A75579">
            <w:pPr>
              <w:pStyle w:val="bullet"/>
              <w:rPr>
                <w:szCs w:val="18"/>
              </w:rPr>
            </w:pPr>
            <w:r w:rsidRPr="00D00A59">
              <w:rPr>
                <w:szCs w:val="18"/>
              </w:rPr>
              <w:t>Gestational weight gain: 13.6±7.2 (n=27) vs 10.1±6.2 (n=22)</w:t>
            </w:r>
          </w:p>
          <w:p w14:paraId="5D38FB9C" w14:textId="77777777" w:rsidR="00973D70" w:rsidRPr="00D00A59" w:rsidRDefault="00973D70" w:rsidP="00A75579">
            <w:pPr>
              <w:pStyle w:val="bullet"/>
              <w:rPr>
                <w:szCs w:val="18"/>
              </w:rPr>
            </w:pPr>
            <w:r w:rsidRPr="00D00A59">
              <w:rPr>
                <w:szCs w:val="18"/>
              </w:rPr>
              <w:t>Postnatal weight retention (8 wks): 3.6±5.6 (n=16) vs 0.3±7.0 (n=19)</w:t>
            </w:r>
          </w:p>
          <w:p w14:paraId="6E198AA0" w14:textId="77777777" w:rsidR="00973D70" w:rsidRPr="00D00A59" w:rsidRDefault="00973D70" w:rsidP="00A75579">
            <w:pPr>
              <w:rPr>
                <w:szCs w:val="18"/>
              </w:rPr>
            </w:pPr>
            <w:r w:rsidRPr="00D00A59">
              <w:rPr>
                <w:szCs w:val="18"/>
              </w:rPr>
              <w:t>Intervention vs control (all participants)</w:t>
            </w:r>
          </w:p>
          <w:p w14:paraId="64E81F19" w14:textId="77777777" w:rsidR="00973D70" w:rsidRPr="00D00A59" w:rsidRDefault="00973D70" w:rsidP="00A75579">
            <w:pPr>
              <w:pStyle w:val="bullet"/>
              <w:rPr>
                <w:szCs w:val="18"/>
              </w:rPr>
            </w:pPr>
            <w:r w:rsidRPr="00D00A59">
              <w:rPr>
                <w:szCs w:val="18"/>
              </w:rPr>
              <w:t>Excess gestational weight gain: 26/57 vs 25/53</w:t>
            </w:r>
          </w:p>
          <w:p w14:paraId="37FDEF67" w14:textId="77777777" w:rsidR="00973D70" w:rsidRPr="00D00A59" w:rsidRDefault="00973D70" w:rsidP="00A75579">
            <w:pPr>
              <w:pStyle w:val="bullet"/>
              <w:rPr>
                <w:szCs w:val="18"/>
              </w:rPr>
            </w:pPr>
            <w:r w:rsidRPr="00D00A59">
              <w:rPr>
                <w:szCs w:val="18"/>
              </w:rPr>
              <w:t>Gestational diabetes: 2/57 vs 3/53</w:t>
            </w:r>
          </w:p>
          <w:p w14:paraId="23D61CC9" w14:textId="77777777" w:rsidR="00973D70" w:rsidRPr="00D00A59" w:rsidRDefault="00973D70" w:rsidP="00A75579">
            <w:pPr>
              <w:pStyle w:val="bullet"/>
              <w:rPr>
                <w:szCs w:val="18"/>
              </w:rPr>
            </w:pPr>
            <w:r w:rsidRPr="00D00A59">
              <w:rPr>
                <w:szCs w:val="18"/>
              </w:rPr>
              <w:t>Gestational hypertension: 6/57 vs 8/53</w:t>
            </w:r>
          </w:p>
          <w:p w14:paraId="681B00BE" w14:textId="77777777" w:rsidR="00973D70" w:rsidRPr="00D00A59" w:rsidRDefault="00973D70" w:rsidP="00A75579">
            <w:pPr>
              <w:pStyle w:val="bullet"/>
              <w:rPr>
                <w:szCs w:val="18"/>
              </w:rPr>
            </w:pPr>
            <w:r w:rsidRPr="00D00A59">
              <w:rPr>
                <w:szCs w:val="18"/>
              </w:rPr>
              <w:t>Pre-eclampsia: 2/57 vs 3/53</w:t>
            </w:r>
          </w:p>
          <w:p w14:paraId="6EF85BED" w14:textId="77777777" w:rsidR="00973D70" w:rsidRPr="00D00A59" w:rsidRDefault="00973D70" w:rsidP="00A75579">
            <w:pPr>
              <w:pStyle w:val="bullet"/>
              <w:rPr>
                <w:szCs w:val="18"/>
              </w:rPr>
            </w:pPr>
            <w:r w:rsidRPr="00D00A59">
              <w:rPr>
                <w:szCs w:val="18"/>
              </w:rPr>
              <w:t>Caesarean section: 4/57 vs 10/53</w:t>
            </w:r>
          </w:p>
          <w:p w14:paraId="48EB8A4F" w14:textId="77777777" w:rsidR="00973D70" w:rsidRPr="00D00A59" w:rsidRDefault="00973D70" w:rsidP="00A75579">
            <w:pPr>
              <w:pStyle w:val="bullet"/>
              <w:rPr>
                <w:szCs w:val="18"/>
              </w:rPr>
            </w:pPr>
            <w:r w:rsidRPr="00D00A59">
              <w:rPr>
                <w:szCs w:val="18"/>
              </w:rPr>
              <w:t>Preterm birth: 7/57 vs 5/53</w:t>
            </w:r>
          </w:p>
          <w:p w14:paraId="0F25D23E" w14:textId="77777777" w:rsidR="00973D70" w:rsidRPr="00D00A59" w:rsidRDefault="00973D70" w:rsidP="00A75579">
            <w:pPr>
              <w:pStyle w:val="bullet"/>
              <w:rPr>
                <w:szCs w:val="18"/>
              </w:rPr>
            </w:pPr>
            <w:r w:rsidRPr="00D00A59">
              <w:rPr>
                <w:szCs w:val="18"/>
              </w:rPr>
              <w:t>Macrosomia (&gt;4000 g): 1/57 vs 0/53</w:t>
            </w:r>
          </w:p>
        </w:tc>
      </w:tr>
      <w:tr w:rsidR="00973D70" w:rsidRPr="00D00A59" w14:paraId="3FA33A50" w14:textId="77777777" w:rsidTr="0030223E">
        <w:trPr>
          <w:cantSplit/>
        </w:trPr>
        <w:tc>
          <w:tcPr>
            <w:tcW w:w="1417" w:type="dxa"/>
          </w:tcPr>
          <w:p w14:paraId="34D315AA" w14:textId="0239ED37" w:rsidR="00973D70" w:rsidRPr="00D00A59" w:rsidRDefault="00973D70" w:rsidP="00A62770">
            <w:pPr>
              <w:rPr>
                <w:szCs w:val="18"/>
              </w:rPr>
            </w:pPr>
            <w:r w:rsidRPr="00654EEB">
              <w:t>Poston et al 2013</w:t>
            </w:r>
            <w:r w:rsidRPr="00D00A59">
              <w:rPr>
                <w:szCs w:val="18"/>
              </w:rPr>
              <w:fldChar w:fldCharType="begin">
                <w:fldData xml:space="preserve">PEVuZE5vdGU+PENpdGU+PEF1dGhvcj5Qb3N0b248L0F1dGhvcj48WWVhcj4yMDEzPC9ZZWFyPjxS
ZWNOdW0+MTEwNTwvUmVjTnVtPjxEaXNwbGF5VGV4dD48c3R5bGUgZmFjZT0ic3VwZXJzY3JpcHQi
IGZvbnQ9IlRyZWJ1Y2hldCBNUyIgc2l6ZT0iOSI+NTEyPC9zdHlsZT48L0Rpc3BsYXlUZXh0Pjxy
ZWNvcmQ+PHJlYy1udW1iZXI+MTEwNTwvcmVjLW51bWJlcj48Zm9yZWlnbi1rZXlzPjxrZXkgYXBw
PSJFTiIgZGItaWQ9ImV4dmFzcmZ4MmR0cmFvZXNhc3hwMnN6c3hhMmRmNTAyNTkyeCIgdGltZXN0
YW1wPSIxNTUyOTQ4Mjc1Ij4xMTA1PC9rZXk+PC9mb3JlaWduLWtleXM+PHJlZi10eXBlIG5hbWU9
IkpvdXJuYWwgQXJ0aWNsZSI+MTc8L3JlZi10eXBlPjxjb250cmlidXRvcnM+PGF1dGhvcnM+PGF1
dGhvcj5Qb3N0b24sIEwuPC9hdXRob3I+PGF1dGhvcj5CcmlsZXksIEEuIEwuPC9hdXRob3I+PGF1
dGhvcj5CYXJyLCBTLjwvYXV0aG9yPjxhdXRob3I+QmVsbCwgUi48L2F1dGhvcj48YXV0aG9yPkNy
b2tlciwgSC48L2F1dGhvcj48YXV0aG9yPkNveG9uLCBLLjwvYXV0aG9yPjxhdXRob3I+RXNzZXgs
IEguIE4uPC9hdXRob3I+PGF1dGhvcj5IdW50LCBDLjwvYXV0aG9yPjxhdXRob3I+SGF5ZXMsIEwu
PC9hdXRob3I+PGF1dGhvcj5Ib3dhcmQsIEwuIE0uPC9hdXRob3I+PGF1dGhvcj5LaGF6YWV6YWRl
aCwgTi48L2F1dGhvcj48YXV0aG9yPktpbm51bmVuLCBULjwvYXV0aG9yPjxhdXRob3I+TmVsc29u
LCBTLiBNLjwvYXV0aG9yPjxhdXRob3I+T3RlbmctTnRpbSwgRS48L2F1dGhvcj48YXV0aG9yPlJv
YnNvbiwgUy4gQy48L2F1dGhvcj48YXV0aG9yPlNhdHRhciwgTi48L2F1dGhvcj48YXV0aG9yPlNl
ZWQsIFAuIFQuPC9hdXRob3I+PGF1dGhvcj5XYXJkbGUsIEouPC9hdXRob3I+PGF1dGhvcj5TYW5k
ZXJzLCBULiBBLjwvYXV0aG9yPjxhdXRob3I+U2FuZGFsbCwgSi48L2F1dGhvcj48L2F1dGhvcnM+
PC9jb250cmlidXRvcnM+PHRpdGxlcz48dGl0bGU+RGV2ZWxvcGluZyBhIGNvbXBsZXggaW50ZXJ2
ZW50aW9uIGZvciBkaWV0IGFuZCBhY3Rpdml0eSBiZWhhdmlvdXIgY2hhbmdlIGluIG9iZXNlIHBy
ZWduYW50IHdvbWVuICh0aGUgVVBCRUFUIHRyaWFsKTsgYXNzZXNzbWVudCBvZiBiZWhhdmlvdXJh
bCBjaGFuZ2UgYW5kIHByb2Nlc3MgZXZhbHVhdGlvbiBpbiBhIHBpbG90IHJhbmRvbWlzZWQgY29u
dHJvbGxlZCB0cmlhbDwvdGl0bGU+PHNlY29uZGFyeS10aXRsZT5CTUMgUHJlZ25hbmN5IENoaWxk
YmlydGg8L3NlY29uZGFyeS10aXRsZT48L3RpdGxlcz48cGVyaW9kaWNhbD48ZnVsbC10aXRsZT5C
TUMgUHJlZ25hbmN5IENoaWxkYmlydGg8L2Z1bGwtdGl0bGU+PC9wZXJpb2RpY2FsPjxwYWdlcz4x
NDg8L3BhZ2VzPjx2b2x1bWU+MTM8L3ZvbHVtZT48ZWRpdGlvbj4yMDEzLzA3LzE3PC9lZGl0aW9u
PjxrZXl3b3Jkcz48a2V5d29yZD5BY2NlbGVyb21ldHJ5PC9rZXl3b3JkPjxrZXl3b3JkPkFkb2xl
c2NlbnQ8L2tleXdvcmQ+PGtleXdvcmQ+QWR1bHQ8L2tleXdvcmQ+PGtleXdvcmQ+QmVoYXZpb3Ig
VGhlcmFweS8qbWV0aG9kczwva2V5d29yZD48a2V5d29yZD5Cb2R5IE1hc3MgSW5kZXg8L2tleXdv
cmQ+PGtleXdvcmQ+RGlhYmV0ZXMsIEdlc3RhdGlvbmFsLypwcmV2ZW50aW9uICZhbXA7IGNvbnRy
b2w8L2tleXdvcmQ+PGtleXdvcmQ+RGlldCBUaGVyYXB5LyptZXRob2RzPC9rZXl3b3JkPjxrZXl3
b3JkPkV4ZXJjaXNlIFRoZXJhcHkvKm1ldGhvZHM8L2tleXdvcmQ+PGtleXdvcmQ+RmVhc2liaWxp
dHkgU3R1ZGllczwva2V5d29yZD48a2V5d29yZD5GZW1hbGU8L2tleXdvcmQ+PGtleXdvcmQ+SHVt
YW5zPC9rZXl3b3JkPjxrZXl3b3JkPipNb3RvciBBY3Rpdml0eTwva2V5d29yZD48a2V5d29yZD5P
YmVzaXR5Lyp0aGVyYXB5PC9rZXl3b3JkPjxrZXl3b3JkPlBpbG90IFByb2plY3RzPC9rZXl3b3Jk
PjxrZXl3b3JkPlByZWduYW5jeTwva2V5d29yZD48a2V5d29yZD5QcmVnbmFuY3kgQ29tcGxpY2F0
aW9ucy8qdGhlcmFweTwva2V5d29yZD48a2V5d29yZD5QcmVuYXRhbCBDYXJlL21ldGhvZHM8L2tl
eXdvcmQ+PGtleXdvcmQ+WW91bmcgQWR1bHQ8L2tleXdvcmQ+PC9rZXl3b3Jkcz48ZGF0ZXM+PHll
YXI+MjAxMzwveWVhcj48cHViLWRhdGVzPjxkYXRlPkp1bCAxNTwvZGF0ZT48L3B1Yi1kYXRlcz48
L2RhdGVzPjxpc2JuPjE0NzEtMjM5MyAoRWxlY3Ryb25pYykmI3hEOzE0NzEtMjM5MyAoTGlua2lu
Zyk8L2lzYm4+PGFjY2Vzc2lvbi1udW0+MjM4NTU3MDg8L2FjY2Vzc2lvbi1udW0+PHVybHM+PHJl
bGF0ZWQtdXJscz48dXJsPmh0dHBzOi8vd3d3Lm5jYmkubmxtLm5paC5nb3YvcHVibWVkLzIzODU1
NzA4PC91cmw+PC9yZWxhdGVkLXVybHM+PC91cmxzPjxjdXN0b20yPlBNQzM3MTg2MzA8L2N1c3Rv
bTI+PGVsZWN0cm9uaWMtcmVzb3VyY2UtbnVtPjEwLjExODYvMTQ3MS0yMzkzLTEzLTE0ODwvZWxl
Y3Ryb25pYy1yZXNvdXJjZS1udW0+PC9yZWNvcmQ+PC9DaXRlPjwvRW5kTm90ZT5=
</w:fldData>
              </w:fldChar>
            </w:r>
            <w:r w:rsidR="002747EA">
              <w:rPr>
                <w:szCs w:val="18"/>
              </w:rPr>
              <w:instrText xml:space="preserve"> ADDIN EN.CITE </w:instrText>
            </w:r>
            <w:r w:rsidR="002747EA">
              <w:rPr>
                <w:szCs w:val="18"/>
              </w:rPr>
              <w:fldChar w:fldCharType="begin">
                <w:fldData xml:space="preserve">PEVuZE5vdGU+PENpdGU+PEF1dGhvcj5Qb3N0b248L0F1dGhvcj48WWVhcj4yMDEzPC9ZZWFyPjxS
ZWNOdW0+MTEwNTwvUmVjTnVtPjxEaXNwbGF5VGV4dD48c3R5bGUgZmFjZT0ic3VwZXJzY3JpcHQi
IGZvbnQ9IlRyZWJ1Y2hldCBNUyIgc2l6ZT0iOSI+NTEyPC9zdHlsZT48L0Rpc3BsYXlUZXh0Pjxy
ZWNvcmQ+PHJlYy1udW1iZXI+MTEwNTwvcmVjLW51bWJlcj48Zm9yZWlnbi1rZXlzPjxrZXkgYXBw
PSJFTiIgZGItaWQ9ImV4dmFzcmZ4MmR0cmFvZXNhc3hwMnN6c3hhMmRmNTAyNTkyeCIgdGltZXN0
YW1wPSIxNTUyOTQ4Mjc1Ij4xMTA1PC9rZXk+PC9mb3JlaWduLWtleXM+PHJlZi10eXBlIG5hbWU9
IkpvdXJuYWwgQXJ0aWNsZSI+MTc8L3JlZi10eXBlPjxjb250cmlidXRvcnM+PGF1dGhvcnM+PGF1
dGhvcj5Qb3N0b24sIEwuPC9hdXRob3I+PGF1dGhvcj5CcmlsZXksIEEuIEwuPC9hdXRob3I+PGF1
dGhvcj5CYXJyLCBTLjwvYXV0aG9yPjxhdXRob3I+QmVsbCwgUi48L2F1dGhvcj48YXV0aG9yPkNy
b2tlciwgSC48L2F1dGhvcj48YXV0aG9yPkNveG9uLCBLLjwvYXV0aG9yPjxhdXRob3I+RXNzZXgs
IEguIE4uPC9hdXRob3I+PGF1dGhvcj5IdW50LCBDLjwvYXV0aG9yPjxhdXRob3I+SGF5ZXMsIEwu
PC9hdXRob3I+PGF1dGhvcj5Ib3dhcmQsIEwuIE0uPC9hdXRob3I+PGF1dGhvcj5LaGF6YWV6YWRl
aCwgTi48L2F1dGhvcj48YXV0aG9yPktpbm51bmVuLCBULjwvYXV0aG9yPjxhdXRob3I+TmVsc29u
LCBTLiBNLjwvYXV0aG9yPjxhdXRob3I+T3RlbmctTnRpbSwgRS48L2F1dGhvcj48YXV0aG9yPlJv
YnNvbiwgUy4gQy48L2F1dGhvcj48YXV0aG9yPlNhdHRhciwgTi48L2F1dGhvcj48YXV0aG9yPlNl
ZWQsIFAuIFQuPC9hdXRob3I+PGF1dGhvcj5XYXJkbGUsIEouPC9hdXRob3I+PGF1dGhvcj5TYW5k
ZXJzLCBULiBBLjwvYXV0aG9yPjxhdXRob3I+U2FuZGFsbCwgSi48L2F1dGhvcj48L2F1dGhvcnM+
PC9jb250cmlidXRvcnM+PHRpdGxlcz48dGl0bGU+RGV2ZWxvcGluZyBhIGNvbXBsZXggaW50ZXJ2
ZW50aW9uIGZvciBkaWV0IGFuZCBhY3Rpdml0eSBiZWhhdmlvdXIgY2hhbmdlIGluIG9iZXNlIHBy
ZWduYW50IHdvbWVuICh0aGUgVVBCRUFUIHRyaWFsKTsgYXNzZXNzbWVudCBvZiBiZWhhdmlvdXJh
bCBjaGFuZ2UgYW5kIHByb2Nlc3MgZXZhbHVhdGlvbiBpbiBhIHBpbG90IHJhbmRvbWlzZWQgY29u
dHJvbGxlZCB0cmlhbDwvdGl0bGU+PHNlY29uZGFyeS10aXRsZT5CTUMgUHJlZ25hbmN5IENoaWxk
YmlydGg8L3NlY29uZGFyeS10aXRsZT48L3RpdGxlcz48cGVyaW9kaWNhbD48ZnVsbC10aXRsZT5C
TUMgUHJlZ25hbmN5IENoaWxkYmlydGg8L2Z1bGwtdGl0bGU+PC9wZXJpb2RpY2FsPjxwYWdlcz4x
NDg8L3BhZ2VzPjx2b2x1bWU+MTM8L3ZvbHVtZT48ZWRpdGlvbj4yMDEzLzA3LzE3PC9lZGl0aW9u
PjxrZXl3b3Jkcz48a2V5d29yZD5BY2NlbGVyb21ldHJ5PC9rZXl3b3JkPjxrZXl3b3JkPkFkb2xl
c2NlbnQ8L2tleXdvcmQ+PGtleXdvcmQ+QWR1bHQ8L2tleXdvcmQ+PGtleXdvcmQ+QmVoYXZpb3Ig
VGhlcmFweS8qbWV0aG9kczwva2V5d29yZD48a2V5d29yZD5Cb2R5IE1hc3MgSW5kZXg8L2tleXdv
cmQ+PGtleXdvcmQ+RGlhYmV0ZXMsIEdlc3RhdGlvbmFsLypwcmV2ZW50aW9uICZhbXA7IGNvbnRy
b2w8L2tleXdvcmQ+PGtleXdvcmQ+RGlldCBUaGVyYXB5LyptZXRob2RzPC9rZXl3b3JkPjxrZXl3
b3JkPkV4ZXJjaXNlIFRoZXJhcHkvKm1ldGhvZHM8L2tleXdvcmQ+PGtleXdvcmQ+RmVhc2liaWxp
dHkgU3R1ZGllczwva2V5d29yZD48a2V5d29yZD5GZW1hbGU8L2tleXdvcmQ+PGtleXdvcmQ+SHVt
YW5zPC9rZXl3b3JkPjxrZXl3b3JkPipNb3RvciBBY3Rpdml0eTwva2V5d29yZD48a2V5d29yZD5P
YmVzaXR5Lyp0aGVyYXB5PC9rZXl3b3JkPjxrZXl3b3JkPlBpbG90IFByb2plY3RzPC9rZXl3b3Jk
PjxrZXl3b3JkPlByZWduYW5jeTwva2V5d29yZD48a2V5d29yZD5QcmVnbmFuY3kgQ29tcGxpY2F0
aW9ucy8qdGhlcmFweTwva2V5d29yZD48a2V5d29yZD5QcmVuYXRhbCBDYXJlL21ldGhvZHM8L2tl
eXdvcmQ+PGtleXdvcmQ+WW91bmcgQWR1bHQ8L2tleXdvcmQ+PC9rZXl3b3Jkcz48ZGF0ZXM+PHll
YXI+MjAxMzwveWVhcj48cHViLWRhdGVzPjxkYXRlPkp1bCAxNTwvZGF0ZT48L3B1Yi1kYXRlcz48
L2RhdGVzPjxpc2JuPjE0NzEtMjM5MyAoRWxlY3Ryb25pYykmI3hEOzE0NzEtMjM5MyAoTGlua2lu
Zyk8L2lzYm4+PGFjY2Vzc2lvbi1udW0+MjM4NTU3MDg8L2FjY2Vzc2lvbi1udW0+PHVybHM+PHJl
bGF0ZWQtdXJscz48dXJsPmh0dHBzOi8vd3d3Lm5jYmkubmxtLm5paC5nb3YvcHVibWVkLzIzODU1
NzA4PC91cmw+PC9yZWxhdGVkLXVybHM+PC91cmxzPjxjdXN0b20yPlBNQzM3MTg2MzA8L2N1c3Rv
bTI+PGVsZWN0cm9uaWMtcmVzb3VyY2UtbnVtPjEwLjExODYvMTQ3MS0yMzkzLTEzLTE0ODwvZWxl
Y3Ryb25pYy1yZXNvdXJjZS1udW0+PC9yZWNvcmQ+PC9DaXRlPjwvRW5kTm90ZT5=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512</w:t>
            </w:r>
            <w:r w:rsidRPr="00D00A59">
              <w:rPr>
                <w:szCs w:val="18"/>
              </w:rPr>
              <w:fldChar w:fldCharType="end"/>
            </w:r>
          </w:p>
          <w:p w14:paraId="20F2E77D" w14:textId="77777777" w:rsidR="00973D70" w:rsidRPr="00D00A59" w:rsidRDefault="00973D70" w:rsidP="00A62770">
            <w:pPr>
              <w:rPr>
                <w:szCs w:val="18"/>
              </w:rPr>
            </w:pPr>
            <w:r w:rsidRPr="00D00A59">
              <w:rPr>
                <w:szCs w:val="18"/>
              </w:rPr>
              <w:t>UPBEAT pilot</w:t>
            </w:r>
            <w:r w:rsidRPr="00D00A59">
              <w:rPr>
                <w:szCs w:val="18"/>
              </w:rPr>
              <w:br/>
              <w:t>United Kingdom</w:t>
            </w:r>
          </w:p>
        </w:tc>
        <w:tc>
          <w:tcPr>
            <w:tcW w:w="1562" w:type="dxa"/>
          </w:tcPr>
          <w:p w14:paraId="21A759E3" w14:textId="77777777" w:rsidR="00973D70" w:rsidRPr="00D00A59" w:rsidRDefault="00973D70" w:rsidP="00A75579">
            <w:pPr>
              <w:rPr>
                <w:szCs w:val="18"/>
              </w:rPr>
            </w:pPr>
            <w:r w:rsidRPr="00D00A59">
              <w:rPr>
                <w:szCs w:val="18"/>
              </w:rPr>
              <w:t>Intervention 86</w:t>
            </w:r>
          </w:p>
          <w:p w14:paraId="2C302B23" w14:textId="77777777" w:rsidR="00973D70" w:rsidRPr="00D00A59" w:rsidRDefault="00973D70" w:rsidP="00A75579">
            <w:pPr>
              <w:rPr>
                <w:szCs w:val="18"/>
              </w:rPr>
            </w:pPr>
            <w:r w:rsidRPr="00D00A59">
              <w:rPr>
                <w:szCs w:val="18"/>
              </w:rPr>
              <w:t>Control 84</w:t>
            </w:r>
          </w:p>
        </w:tc>
        <w:tc>
          <w:tcPr>
            <w:tcW w:w="5393" w:type="dxa"/>
          </w:tcPr>
          <w:p w14:paraId="4EF3B71B" w14:textId="77777777" w:rsidR="00973D70" w:rsidRPr="00D00A59" w:rsidRDefault="00973D70" w:rsidP="00A75579">
            <w:pPr>
              <w:rPr>
                <w:szCs w:val="18"/>
              </w:rPr>
            </w:pPr>
            <w:r w:rsidRPr="00D00A59">
              <w:rPr>
                <w:b/>
                <w:szCs w:val="18"/>
              </w:rPr>
              <w:t>Aim:</w:t>
            </w:r>
            <w:r w:rsidRPr="00D00A59">
              <w:rPr>
                <w:szCs w:val="18"/>
              </w:rPr>
              <w:t xml:space="preserve"> To determine if a) a complex intervention in obese pregnant women leads to anticipated changes in diet and physical activity behaviours, and b) to refine the intervention protocol through process evaluation of intervention fidelity. </w:t>
            </w:r>
          </w:p>
          <w:p w14:paraId="76C45508" w14:textId="77777777" w:rsidR="00973D70" w:rsidRPr="00D00A59" w:rsidRDefault="00973D70" w:rsidP="00A75579">
            <w:pPr>
              <w:rPr>
                <w:szCs w:val="18"/>
              </w:rPr>
            </w:pPr>
            <w:r w:rsidRPr="00D00A59">
              <w:rPr>
                <w:b/>
                <w:szCs w:val="18"/>
              </w:rPr>
              <w:t>Population</w:t>
            </w:r>
            <w:r w:rsidRPr="00D00A59">
              <w:rPr>
                <w:szCs w:val="18"/>
              </w:rPr>
              <w:t>: Pregnant women with BMI ≥30 kg/m</w:t>
            </w:r>
            <w:r w:rsidRPr="00D00A59">
              <w:rPr>
                <w:szCs w:val="18"/>
                <w:vertAlign w:val="superscript"/>
              </w:rPr>
              <w:t>2</w:t>
            </w:r>
            <w:r w:rsidRPr="00D00A59">
              <w:rPr>
                <w:szCs w:val="18"/>
              </w:rPr>
              <w:t>, singleton pregnancy and gestational age of 15 to 17</w:t>
            </w:r>
            <w:r w:rsidRPr="00D00A59">
              <w:rPr>
                <w:szCs w:val="18"/>
                <w:vertAlign w:val="superscript"/>
              </w:rPr>
              <w:t>6</w:t>
            </w:r>
            <w:r w:rsidRPr="00D00A59">
              <w:rPr>
                <w:szCs w:val="18"/>
              </w:rPr>
              <w:t xml:space="preserve"> weeks.</w:t>
            </w:r>
          </w:p>
          <w:p w14:paraId="64FF0605" w14:textId="77777777" w:rsidR="00973D70" w:rsidRPr="00D00A59" w:rsidRDefault="00973D70" w:rsidP="00654EEB">
            <w:r w:rsidRPr="00D00A59">
              <w:rPr>
                <w:b/>
              </w:rPr>
              <w:t>Intervention</w:t>
            </w:r>
            <w:r w:rsidRPr="00D00A59">
              <w:t>: Women in the intervention group attended a one-to-one appointment with a ‘Health Trainer’ and were invited to attend weekly group sessions for 8 consecutive weeks from 19 weeks gestation. The intervention was informed by psychological models of health behaviour. At the initial appointment, women received a handbook, a pedometer, a log-book (for weekly goals and related behaviours) and a DVD of a specifically devised pregnancy exercise regimen. Each group session delivered a different element of the dietary and physical activity intervention.</w:t>
            </w:r>
          </w:p>
          <w:p w14:paraId="2696E03C" w14:textId="77777777" w:rsidR="00973D70" w:rsidRPr="00D00A59" w:rsidRDefault="00973D70" w:rsidP="00654EEB">
            <w:r w:rsidRPr="00D00A59">
              <w:t>The focus of the dietary advice to the intervention group was therefore on increased consumption of foods with a low dietary GI, including replacement of sugar sweetened beverages with low GI alternatives. Reduction in saturated fats and replacement with monounsaturated and polyunsaturated fat was also recommended.</w:t>
            </w:r>
          </w:p>
          <w:p w14:paraId="05251F4A" w14:textId="77777777" w:rsidR="00973D70" w:rsidRPr="00D00A59" w:rsidRDefault="00973D70" w:rsidP="00A75579">
            <w:pPr>
              <w:rPr>
                <w:szCs w:val="18"/>
              </w:rPr>
            </w:pPr>
            <w:r w:rsidRPr="00D00A59">
              <w:rPr>
                <w:szCs w:val="18"/>
              </w:rPr>
              <w:t>Women in the intervention arm were encouraged to increase daily PA incrementally, setting goals of incremental step counts (monitored by pedometer) and maintaining the achieved PA level after the intervention period. Recommendations included an emphasis on walking at a moderate intensity level</w:t>
            </w:r>
          </w:p>
        </w:tc>
        <w:tc>
          <w:tcPr>
            <w:tcW w:w="5664" w:type="dxa"/>
          </w:tcPr>
          <w:p w14:paraId="7C2E03EA" w14:textId="77777777" w:rsidR="00973D70" w:rsidRPr="00D00A59" w:rsidRDefault="00973D70" w:rsidP="00A75579">
            <w:pPr>
              <w:rPr>
                <w:szCs w:val="18"/>
              </w:rPr>
            </w:pPr>
            <w:r w:rsidRPr="00D00A59">
              <w:rPr>
                <w:szCs w:val="18"/>
              </w:rPr>
              <w:t>Intervention vs control:</w:t>
            </w:r>
          </w:p>
          <w:p w14:paraId="0C592464" w14:textId="77777777" w:rsidR="00973D70" w:rsidRPr="00D00A59" w:rsidRDefault="00973D70" w:rsidP="00A75579">
            <w:pPr>
              <w:pStyle w:val="bullet"/>
              <w:rPr>
                <w:szCs w:val="18"/>
              </w:rPr>
            </w:pPr>
            <w:r w:rsidRPr="00D00A59">
              <w:rPr>
                <w:szCs w:val="18"/>
              </w:rPr>
              <w:t>Gestational diabetes: 22/79 vs 24/75</w:t>
            </w:r>
          </w:p>
          <w:p w14:paraId="52D5D7E2" w14:textId="77777777" w:rsidR="00973D70" w:rsidRPr="00D00A59" w:rsidRDefault="00973D70" w:rsidP="00A75579">
            <w:pPr>
              <w:pStyle w:val="bullet"/>
              <w:rPr>
                <w:szCs w:val="18"/>
              </w:rPr>
            </w:pPr>
            <w:r w:rsidRPr="00D00A59">
              <w:rPr>
                <w:szCs w:val="18"/>
              </w:rPr>
              <w:t>Macrosomia (&gt;4000 g): 13/86 vs 16/84</w:t>
            </w:r>
          </w:p>
          <w:p w14:paraId="70C7E4D9" w14:textId="77777777" w:rsidR="00973D70" w:rsidRPr="00D00A59" w:rsidRDefault="00973D70" w:rsidP="00A75579">
            <w:pPr>
              <w:pStyle w:val="bullet"/>
              <w:rPr>
                <w:szCs w:val="18"/>
              </w:rPr>
            </w:pPr>
            <w:r w:rsidRPr="00D00A59">
              <w:rPr>
                <w:szCs w:val="18"/>
              </w:rPr>
              <w:t>Large for gestational age: 7/86 vs 7/84</w:t>
            </w:r>
          </w:p>
        </w:tc>
      </w:tr>
      <w:tr w:rsidR="00973D70" w:rsidRPr="00D00A59" w14:paraId="7133E6A0" w14:textId="77777777" w:rsidTr="0030223E">
        <w:trPr>
          <w:cantSplit/>
        </w:trPr>
        <w:tc>
          <w:tcPr>
            <w:tcW w:w="1417" w:type="dxa"/>
          </w:tcPr>
          <w:p w14:paraId="7400F509" w14:textId="0D52A5FA" w:rsidR="00973D70" w:rsidRDefault="00973D70" w:rsidP="00654EEB">
            <w:r w:rsidRPr="00D00A59">
              <w:rPr>
                <w:noProof/>
              </w:rPr>
              <w:t>Poston et al 2015;</w:t>
            </w:r>
            <w:r w:rsidRPr="00D00A59">
              <w:rPr>
                <w:noProof/>
              </w:rPr>
              <w:fldChar w:fldCharType="begin"/>
            </w:r>
            <w:r w:rsidR="002747EA">
              <w:rPr>
                <w:noProof/>
              </w:rPr>
              <w:instrText xml:space="preserve"> ADDIN EN.CITE &lt;EndNote&gt;&lt;Cite&gt;&lt;Author&gt;Poston&lt;/Author&gt;&lt;Year&gt;2015&lt;/Year&gt;&lt;RecNum&gt;612&lt;/RecNum&gt;&lt;DisplayText&gt;&lt;style face="superscript" font="Trebuchet MS" size="9"&gt;513&lt;/style&gt;&lt;/DisplayText&gt;&lt;record&gt;&lt;rec-number&gt;612&lt;/rec-number&gt;&lt;foreign-keys&gt;&lt;key app="EN" db-id="exvasrfx2dtraoesasxp2szsxa2df502592x" timestamp="1539048348"&gt;612&lt;/key&gt;&lt;key app="ENWeb" db-id=""&gt;0&lt;/key&gt;&lt;/foreign-keys&gt;&lt;ref-type name="Journal Article"&gt;17&lt;/ref-type&gt;&lt;contributors&gt;&lt;authors&gt;&lt;author&gt;Poston, L.,&lt;/author&gt;&lt;author&gt;Bell, R.,&lt;/author&gt;&lt;author&gt;Croker, H.,&lt;/author&gt;&lt;author&gt;Flynn, A.C.,&lt;/author&gt;&lt;author&gt;Godfrey, K.M.,&lt;/author&gt;&lt;author&gt;Goff, L.,&lt;/author&gt;&lt;/authors&gt;&lt;/contributors&gt;&lt;titles&gt;&lt;title&gt;Effect of a behavioural intervention in obese pregnant women (the UPBEAT study): a multicentre, randomised controlled trial&lt;/title&gt;&lt;secondary-title&gt;The Lancet Diabetes &amp;amp; Endocrinology&lt;/secondary-title&gt;&lt;/titles&gt;&lt;periodical&gt;&lt;full-title&gt;The Lancet Diabetes &amp;amp; Endocrinology&lt;/full-title&gt;&lt;/periodical&gt;&lt;pages&gt;767-777&lt;/pages&gt;&lt;volume&gt;3&lt;/volume&gt;&lt;number&gt;10&lt;/number&gt;&lt;section&gt;767&lt;/section&gt;&lt;dates&gt;&lt;year&gt;2015&lt;/year&gt;&lt;/dates&gt;&lt;isbn&gt;22138587&lt;/isbn&gt;&lt;urls&gt;&lt;/urls&gt;&lt;electronic-resource-num&gt;10.1016/s2213-8587(15)00227-2&lt;/electronic-resource-num&gt;&lt;/record&gt;&lt;/Cite&gt;&lt;/EndNote&gt;</w:instrText>
            </w:r>
            <w:r w:rsidRPr="00D00A59">
              <w:rPr>
                <w:noProof/>
              </w:rPr>
              <w:fldChar w:fldCharType="separate"/>
            </w:r>
            <w:r w:rsidR="002747EA" w:rsidRPr="002747EA">
              <w:rPr>
                <w:noProof/>
                <w:vertAlign w:val="superscript"/>
              </w:rPr>
              <w:t>513</w:t>
            </w:r>
            <w:r w:rsidRPr="00D00A59">
              <w:rPr>
                <w:noProof/>
              </w:rPr>
              <w:fldChar w:fldCharType="end"/>
            </w:r>
            <w:r w:rsidRPr="00D00A59">
              <w:rPr>
                <w:noProof/>
              </w:rPr>
              <w:t xml:space="preserve"> Patel et al 2017</w:t>
            </w:r>
            <w:r w:rsidRPr="00D00A59">
              <w:fldChar w:fldCharType="begin">
                <w:fldData xml:space="preserve">PEVuZE5vdGU+PENpdGU+PEF1dGhvcj5QYXRlbDwvQXV0aG9yPjxZZWFyPjIwMTc8L1llYXI+PFJl
Y051bT45Mjk8L1JlY051bT48RGlzcGxheVRleHQ+PHN0eWxlIGZhY2U9InN1cGVyc2NyaXB0IiBm
b250PSJUcmVidWNoZXQgTVMiIHNpemU9IjkiPjU1Mjwvc3R5bGU+PC9EaXNwbGF5VGV4dD48cmVj
b3JkPjxyZWMtbnVtYmVyPjkyOTwvcmVjLW51bWJlcj48Zm9yZWlnbi1rZXlzPjxrZXkgYXBwPSJF
TiIgZGItaWQ9ImV4dmFzcmZ4MmR0cmFvZXNhc3hwMnN6c3hhMmRmNTAyNTkyeCIgdGltZXN0YW1w
PSIxNTQxNTQwOTQxIj45Mjk8L2tleT48a2V5IGFwcD0iRU5XZWIiIGRiLWlkPSIiPjA8L2tleT48
L2ZvcmVpZ24ta2V5cz48cmVmLXR5cGUgbmFtZT0iSm91cm5hbCBBcnRpY2xlIj4xNzwvcmVmLXR5
cGU+PGNvbnRyaWJ1dG9ycz48YXV0aG9ycz48YXV0aG9yPlBhdGVsLCBOLjwvYXV0aG9yPjxhdXRo
b3I+R29kZnJleSwgSy4gTS48L2F1dGhvcj48YXV0aG9yPlBhc3VwYXRoeSwgRC48L2F1dGhvcj48
YXV0aG9yPkxldmluLCBKLjwvYXV0aG9yPjxhdXRob3I+Rmx5bm4sIEEuIEMuPC9hdXRob3I+PGF1
dGhvcj5IYXllcywgTC48L2F1dGhvcj48YXV0aG9yPkJyaWxleSwgQS4gTC48L2F1dGhvcj48YXV0
aG9yPkJlbGwsIFIuPC9hdXRob3I+PGF1dGhvcj5MYXdsb3IsIEQuIEEuPC9hdXRob3I+PGF1dGhv
cj5PdGVuZy1OdGltLCBFLjwvYXV0aG9yPjxhdXRob3I+TmVsc29uLCBTLiBNLjwvYXV0aG9yPjxh
dXRob3I+Um9ic29uLCBTLiBDLjwvYXV0aG9yPjxhdXRob3I+U2F0dGFyLCBOLjwvYXV0aG9yPjxh
dXRob3I+U2luZ2gsIEMuPC9hdXRob3I+PGF1dGhvcj5XYXJkbGUsIEouPC9hdXRob3I+PGF1dGhv
cj5XaGl0ZSwgUy4gTC48L2F1dGhvcj48YXV0aG9yPlNlZWQsIFAuIFQuPC9hdXRob3I+PGF1dGhv
cj5Qb3N0b24sIEwuPC9hdXRob3I+PC9hdXRob3JzPjwvY29udHJpYnV0b3JzPjxhdXRoLWFkZHJl
c3M+RGl2aXNpb24gb2YgV29tZW4mYXBvcztzIEhlYWx0aCwgV29tZW4mYXBvcztzIEhlYWx0aCBB
Y2FkZW1pYyBDZW50cmUsIEZhY3VsdHkgb2YgTGlmZSBTY2llbmNlcyBhbmQgTWVkaWNpbmUsIEtp
bmcmYXBvcztzIENvbGxlZ2UgTG9uZG9uLCBTdCBUaG9tYXMmYXBvczsgSG9zcGl0YWwsIExvbmRv
biwgVUsuJiN4RDtNUkMgTGlmZWNvdXJzZSBFcGlkZW1pb2xvZ3kgVW5pdCBhbmQgTklIUiBTb3V0
aGFtcHRvbiBCaW9tZWRpY2FsIFJlc2VhcmNoIENlbnRyZSwgVW5pdmVyc2l0eSBvZiBTb3V0aGFt
cHRvbiBhbmQgVW5pdmVyc2l0eSBIb3NwaXRhbCBTb3V0aGFtcHRvbiBOSFMgRm91bmRhdGlvbiBU
cnVzdCwgU291dGhhbXB0b24sIFVLLiYjeEQ7RmFjdWx0eSBvZiBFcGlkZW1pb2xvZ3kgYW5kIFBv
cHVsYXRpb24gSGVhbHRoLCBMb25kb24gU2Nob29sIG9mIEh5Z2llbmUgYW5kIFRyb3BpY2FsIE1l
ZGljaW5lLCBMb25kb24sIFVLLiYjeEQ7RGl2aXNpb24gb2YgRGlhYmV0ZXMgYW5kIE51dHJpdGlv
bmFsIFNjaWVuY2VzLCBLaW5nJmFwb3M7cyBDb2xsZWdlIExvbmRvbiwgTG9uZG9uLCBVSy4mI3hE
O0luc3RpdHV0ZSBvZiBIZWFsdGggYW5kIFNvY2lldHksIE5ld2Nhc3RsZSBVbml2ZXJzaXR5LCBO
ZXdjYXN0bGUgdXBvbiBUeW5lLCBVSy4mI3hEO01SQyBJbnRlZ3JhdGl2ZSBFcGlkZW1pb2xvZ3kg
VW5pdCBhdCB0aGUgVW5pdmVyc2l0eSBvZiBCcmlzdG9sIGFuZCBTY2hvb2wgb2YgU29jaWFsIGFu
ZCBDb21tdW5pdHkgTWVkaWNpbmUsIEJyaXN0b2wsIFVLLiYjeEQ7RGVwYXJ0bWVudCBvZiBPYnN0
ZXRyaWNzIGFuZCBHeW5hZWNvbG9neSwgR3V5cyBhbmQgU3QgVGhvbWFzJmFwb3M7IE5IUyBGb3Vu
ZGF0aW9uIFRydXN0LCBMb25kb24sIFVLLiYjeEQ7U2Nob29sIG9mIE1lZGljaW5lLCBVbml2ZXJz
aXR5IG9mIEdsYXNnb3csIEdsYXNnb3csIFVLLiYjeEQ7SW5zdGl0dXRlIG9mIENlbGx1bGFyIE1l
ZGljaW5lIFV0ZXJpbmUgQ2VsbCBTaWduYWxsaW5nIEdyb3VwIE5ld2Nhc3RsZSBVbml2ZXJzaXR5
LCBOZXdjYXN0bGUsIFVLLiYjeEQ7SW5zdGl0dXRlIG9mIENhcmRpb3Zhc2N1bGFyIGFuZCBNZWRp
Y2FsIFNjaWVuY2VzLCBVbml2ZXJzaXR5IG9mIEdsYXNnb3csIEdsYXNnb3csIFVLLiYjeEQ7SGVh
bHRoIEJlaGF2aW91ciBSZXNlYXJjaCBDZW50cmUsIEluc3RpdHV0ZSBvZiBFcGlkZW1pb2xvZ3kg
YW5kIEhlYWx0aCwgVW5pdmVyc2l0eSBDb2xsZWdlIExvbmRvbiwgTG9uZG9uLCBVSy48L2F1dGgt
YWRkcmVzcz48dGl0bGVzPjx0aXRsZT5JbmZhbnQgYWRpcG9zaXR5IGZvbGxvd2luZyBhIHJhbmRv
bWlzZWQgY29udHJvbGxlZCB0cmlhbCBvZiBhIGJlaGF2aW91cmFsIGludGVydmVudGlvbiBpbiBv
YmVzZSBwcmVnbmFuY3k8L3RpdGxlPjxzZWNvbmRhcnktdGl0bGU+SW50IEogT2JlcyAoTG9uZCk8
L3NlY29uZGFyeS10aXRsZT48L3RpdGxlcz48cGVyaW9kaWNhbD48ZnVsbC10aXRsZT5JbnQgSiBP
YmVzIChMb25kKTwvZnVsbC10aXRsZT48L3BlcmlvZGljYWw+PHBhZ2VzPjEwMTgtMTAyNjwvcGFn
ZXM+PHZvbHVtZT40MTwvdm9sdW1lPjxudW1iZXI+NzwvbnVtYmVyPjxlZGl0aW9uPjIwMTcvMDIv
MjI8L2VkaXRpb24+PGtleXdvcmRzPjxrZXl3b3JkPkFkaXBvc2l0eS8qcGh5c2lvbG9neTwva2V5
d29yZD48a2V5d29yZD5BZHVsdDwva2V5d29yZD48a2V5d29yZD5Cb2R5IE1hc3MgSW5kZXg8L2tl
eXdvcmQ+PGtleXdvcmQ+Q2hpbGQgRGV2ZWxvcG1lbnQvKnBoeXNpb2xvZ3k8L2tleXdvcmQ+PGtl
eXdvcmQ+RGlldDwva2V5d29yZD48a2V5d29yZD5FeGVyY2lzZTwva2V5d29yZD48a2V5d29yZD5G
ZW1hbGU8L2tleXdvcmQ+PGtleXdvcmQ+Rm9sbG93LVVwIFN0dWRpZXM8L2tleXdvcmQ+PGtleXdv
cmQ+SHVtYW5zPC9rZXl3b3JkPjxrZXl3b3JkPkluZmFudDwva2V5d29yZD48a2V5d29yZD5JbmZh
bnQsIE5ld2Jvcm48L2tleXdvcmQ+PGtleXdvcmQ+TWFsZTwva2V5d29yZD48a2V5d29yZD4qTWF0
ZXJuYWwgTnV0cml0aW9uYWwgUGh5c2lvbG9naWNhbCBQaGVub21lbmE8L2tleXdvcmQ+PGtleXdv
cmQ+TW90aGVyczwva2V5d29yZD48a2V5d29yZD5PYmVzaXR5L2VwaWRlbWlvbG9neS9waHlzaW9w
YXRob2xvZ3kvKnByZXZlbnRpb24gJmFtcDsgY29udHJvbDwva2V5d29yZD48a2V5d29yZD5Qb3N0
cGFydHVtIFBlcmlvZC8qcGh5c2lvbG9neTwva2V5d29yZD48a2V5d29yZD5QcmVnbmFuY3k8L2tl
eXdvcmQ+PGtleXdvcmQ+UHJlZ25hbmN5IENvbXBsaWNhdGlvbnMvZXBpZGVtaW9sb2d5L3BoeXNp
b3BhdGhvbG9neS8qcHJldmVudGlvbiAmYW1wOyBjb250cm9sPC9rZXl3b3JkPjxrZXl3b3JkPipQ
cmVuYXRhbCBOdXRyaXRpb25hbCBQaHlzaW9sb2dpY2FsIFBoZW5vbWVuYTwva2V5d29yZD48a2V5
d29yZD5SaXNrIFJlZHVjdGlvbiBCZWhhdmlvcjwva2V5d29yZD48a2V5d29yZD5Ta2luZm9sZCBU
aGlja25lc3M8L2tleXdvcmQ+PGtleXdvcmQ+U3VydmV5cyBhbmQgUXVlc3Rpb25uYWlyZXM8L2tl
eXdvcmQ+PGtleXdvcmQ+VW5pdGVkIEtpbmdkb20vZXBpZGVtaW9sb2d5PC9rZXl3b3JkPjxrZXl3
b3JkPldlaWdodCBHYWluLypwaHlzaW9sb2d5PC9rZXl3b3JkPjwva2V5d29yZHM+PGRhdGVzPjx5
ZWFyPjIwMTc8L3llYXI+PHB1Yi1kYXRlcz48ZGF0ZT5KdWw8L2RhdGU+PC9wdWItZGF0ZXM+PC9k
YXRlcz48aXNibj4xNDc2LTU0OTcgKEVsZWN0cm9uaWMpJiN4RDswMzA3LTA1NjUgKExpbmtpbmcp
PC9pc2JuPjxhY2Nlc3Npb24tbnVtPjI4MjE2NjQ0PC9hY2Nlc3Npb24tbnVtPjx1cmxzPjxyZWxh
dGVkLXVybHM+PHVybD5odHRwczovL3d3dy5uY2JpLm5sbS5uaWguZ292L3B1Ym1lZC8yODIxNjY0
NDwvdXJsPjwvcmVsYXRlZC11cmxzPjwvdXJscz48Y3VzdG9tMj5QTUM1NDgyMzk1PC9jdXN0b20y
PjxlbGVjdHJvbmljLXJlc291cmNlLW51bT4xMC4xMDM4L2lqby4yMDE3LjQ0PC9lbGVjdHJvbmlj
LXJlc291cmNlLW51bT48L3JlY29yZD48L0NpdGU+PC9FbmROb3RlPgB=
</w:fldData>
              </w:fldChar>
            </w:r>
            <w:r w:rsidR="002747EA">
              <w:instrText xml:space="preserve"> ADDIN EN.CITE </w:instrText>
            </w:r>
            <w:r w:rsidR="002747EA">
              <w:fldChar w:fldCharType="begin">
                <w:fldData xml:space="preserve">PEVuZE5vdGU+PENpdGU+PEF1dGhvcj5QYXRlbDwvQXV0aG9yPjxZZWFyPjIwMTc8L1llYXI+PFJl
Y051bT45Mjk8L1JlY051bT48RGlzcGxheVRleHQ+PHN0eWxlIGZhY2U9InN1cGVyc2NyaXB0IiBm
b250PSJUcmVidWNoZXQgTVMiIHNpemU9IjkiPjU1Mjwvc3R5bGU+PC9EaXNwbGF5VGV4dD48cmVj
b3JkPjxyZWMtbnVtYmVyPjkyOTwvcmVjLW51bWJlcj48Zm9yZWlnbi1rZXlzPjxrZXkgYXBwPSJF
TiIgZGItaWQ9ImV4dmFzcmZ4MmR0cmFvZXNhc3hwMnN6c3hhMmRmNTAyNTkyeCIgdGltZXN0YW1w
PSIxNTQxNTQwOTQxIj45Mjk8L2tleT48a2V5IGFwcD0iRU5XZWIiIGRiLWlkPSIiPjA8L2tleT48
L2ZvcmVpZ24ta2V5cz48cmVmLXR5cGUgbmFtZT0iSm91cm5hbCBBcnRpY2xlIj4xNzwvcmVmLXR5
cGU+PGNvbnRyaWJ1dG9ycz48YXV0aG9ycz48YXV0aG9yPlBhdGVsLCBOLjwvYXV0aG9yPjxhdXRo
b3I+R29kZnJleSwgSy4gTS48L2F1dGhvcj48YXV0aG9yPlBhc3VwYXRoeSwgRC48L2F1dGhvcj48
YXV0aG9yPkxldmluLCBKLjwvYXV0aG9yPjxhdXRob3I+Rmx5bm4sIEEuIEMuPC9hdXRob3I+PGF1
dGhvcj5IYXllcywgTC48L2F1dGhvcj48YXV0aG9yPkJyaWxleSwgQS4gTC48L2F1dGhvcj48YXV0
aG9yPkJlbGwsIFIuPC9hdXRob3I+PGF1dGhvcj5MYXdsb3IsIEQuIEEuPC9hdXRob3I+PGF1dGhv
cj5PdGVuZy1OdGltLCBFLjwvYXV0aG9yPjxhdXRob3I+TmVsc29uLCBTLiBNLjwvYXV0aG9yPjxh
dXRob3I+Um9ic29uLCBTLiBDLjwvYXV0aG9yPjxhdXRob3I+U2F0dGFyLCBOLjwvYXV0aG9yPjxh
dXRob3I+U2luZ2gsIEMuPC9hdXRob3I+PGF1dGhvcj5XYXJkbGUsIEouPC9hdXRob3I+PGF1dGhv
cj5XaGl0ZSwgUy4gTC48L2F1dGhvcj48YXV0aG9yPlNlZWQsIFAuIFQuPC9hdXRob3I+PGF1dGhv
cj5Qb3N0b24sIEwuPC9hdXRob3I+PC9hdXRob3JzPjwvY29udHJpYnV0b3JzPjxhdXRoLWFkZHJl
c3M+RGl2aXNpb24gb2YgV29tZW4mYXBvcztzIEhlYWx0aCwgV29tZW4mYXBvcztzIEhlYWx0aCBB
Y2FkZW1pYyBDZW50cmUsIEZhY3VsdHkgb2YgTGlmZSBTY2llbmNlcyBhbmQgTWVkaWNpbmUsIEtp
bmcmYXBvcztzIENvbGxlZ2UgTG9uZG9uLCBTdCBUaG9tYXMmYXBvczsgSG9zcGl0YWwsIExvbmRv
biwgVUsuJiN4RDtNUkMgTGlmZWNvdXJzZSBFcGlkZW1pb2xvZ3kgVW5pdCBhbmQgTklIUiBTb3V0
aGFtcHRvbiBCaW9tZWRpY2FsIFJlc2VhcmNoIENlbnRyZSwgVW5pdmVyc2l0eSBvZiBTb3V0aGFt
cHRvbiBhbmQgVW5pdmVyc2l0eSBIb3NwaXRhbCBTb3V0aGFtcHRvbiBOSFMgRm91bmRhdGlvbiBU
cnVzdCwgU291dGhhbXB0b24sIFVLLiYjeEQ7RmFjdWx0eSBvZiBFcGlkZW1pb2xvZ3kgYW5kIFBv
cHVsYXRpb24gSGVhbHRoLCBMb25kb24gU2Nob29sIG9mIEh5Z2llbmUgYW5kIFRyb3BpY2FsIE1l
ZGljaW5lLCBMb25kb24sIFVLLiYjeEQ7RGl2aXNpb24gb2YgRGlhYmV0ZXMgYW5kIE51dHJpdGlv
bmFsIFNjaWVuY2VzLCBLaW5nJmFwb3M7cyBDb2xsZWdlIExvbmRvbiwgTG9uZG9uLCBVSy4mI3hE
O0luc3RpdHV0ZSBvZiBIZWFsdGggYW5kIFNvY2lldHksIE5ld2Nhc3RsZSBVbml2ZXJzaXR5LCBO
ZXdjYXN0bGUgdXBvbiBUeW5lLCBVSy4mI3hEO01SQyBJbnRlZ3JhdGl2ZSBFcGlkZW1pb2xvZ3kg
VW5pdCBhdCB0aGUgVW5pdmVyc2l0eSBvZiBCcmlzdG9sIGFuZCBTY2hvb2wgb2YgU29jaWFsIGFu
ZCBDb21tdW5pdHkgTWVkaWNpbmUsIEJyaXN0b2wsIFVLLiYjeEQ7RGVwYXJ0bWVudCBvZiBPYnN0
ZXRyaWNzIGFuZCBHeW5hZWNvbG9neSwgR3V5cyBhbmQgU3QgVGhvbWFzJmFwb3M7IE5IUyBGb3Vu
ZGF0aW9uIFRydXN0LCBMb25kb24sIFVLLiYjeEQ7U2Nob29sIG9mIE1lZGljaW5lLCBVbml2ZXJz
aXR5IG9mIEdsYXNnb3csIEdsYXNnb3csIFVLLiYjeEQ7SW5zdGl0dXRlIG9mIENlbGx1bGFyIE1l
ZGljaW5lIFV0ZXJpbmUgQ2VsbCBTaWduYWxsaW5nIEdyb3VwIE5ld2Nhc3RsZSBVbml2ZXJzaXR5
LCBOZXdjYXN0bGUsIFVLLiYjeEQ7SW5zdGl0dXRlIG9mIENhcmRpb3Zhc2N1bGFyIGFuZCBNZWRp
Y2FsIFNjaWVuY2VzLCBVbml2ZXJzaXR5IG9mIEdsYXNnb3csIEdsYXNnb3csIFVLLiYjeEQ7SGVh
bHRoIEJlaGF2aW91ciBSZXNlYXJjaCBDZW50cmUsIEluc3RpdHV0ZSBvZiBFcGlkZW1pb2xvZ3kg
YW5kIEhlYWx0aCwgVW5pdmVyc2l0eSBDb2xsZWdlIExvbmRvbiwgTG9uZG9uLCBVSy48L2F1dGgt
YWRkcmVzcz48dGl0bGVzPjx0aXRsZT5JbmZhbnQgYWRpcG9zaXR5IGZvbGxvd2luZyBhIHJhbmRv
bWlzZWQgY29udHJvbGxlZCB0cmlhbCBvZiBhIGJlaGF2aW91cmFsIGludGVydmVudGlvbiBpbiBv
YmVzZSBwcmVnbmFuY3k8L3RpdGxlPjxzZWNvbmRhcnktdGl0bGU+SW50IEogT2JlcyAoTG9uZCk8
L3NlY29uZGFyeS10aXRsZT48L3RpdGxlcz48cGVyaW9kaWNhbD48ZnVsbC10aXRsZT5JbnQgSiBP
YmVzIChMb25kKTwvZnVsbC10aXRsZT48L3BlcmlvZGljYWw+PHBhZ2VzPjEwMTgtMTAyNjwvcGFn
ZXM+PHZvbHVtZT40MTwvdm9sdW1lPjxudW1iZXI+NzwvbnVtYmVyPjxlZGl0aW9uPjIwMTcvMDIv
MjI8L2VkaXRpb24+PGtleXdvcmRzPjxrZXl3b3JkPkFkaXBvc2l0eS8qcGh5c2lvbG9neTwva2V5
d29yZD48a2V5d29yZD5BZHVsdDwva2V5d29yZD48a2V5d29yZD5Cb2R5IE1hc3MgSW5kZXg8L2tl
eXdvcmQ+PGtleXdvcmQ+Q2hpbGQgRGV2ZWxvcG1lbnQvKnBoeXNpb2xvZ3k8L2tleXdvcmQ+PGtl
eXdvcmQ+RGlldDwva2V5d29yZD48a2V5d29yZD5FeGVyY2lzZTwva2V5d29yZD48a2V5d29yZD5G
ZW1hbGU8L2tleXdvcmQ+PGtleXdvcmQ+Rm9sbG93LVVwIFN0dWRpZXM8L2tleXdvcmQ+PGtleXdv
cmQ+SHVtYW5zPC9rZXl3b3JkPjxrZXl3b3JkPkluZmFudDwva2V5d29yZD48a2V5d29yZD5JbmZh
bnQsIE5ld2Jvcm48L2tleXdvcmQ+PGtleXdvcmQ+TWFsZTwva2V5d29yZD48a2V5d29yZD4qTWF0
ZXJuYWwgTnV0cml0aW9uYWwgUGh5c2lvbG9naWNhbCBQaGVub21lbmE8L2tleXdvcmQ+PGtleXdv
cmQ+TW90aGVyczwva2V5d29yZD48a2V5d29yZD5PYmVzaXR5L2VwaWRlbWlvbG9neS9waHlzaW9w
YXRob2xvZ3kvKnByZXZlbnRpb24gJmFtcDsgY29udHJvbDwva2V5d29yZD48a2V5d29yZD5Qb3N0
cGFydHVtIFBlcmlvZC8qcGh5c2lvbG9neTwva2V5d29yZD48a2V5d29yZD5QcmVnbmFuY3k8L2tl
eXdvcmQ+PGtleXdvcmQ+UHJlZ25hbmN5IENvbXBsaWNhdGlvbnMvZXBpZGVtaW9sb2d5L3BoeXNp
b3BhdGhvbG9neS8qcHJldmVudGlvbiAmYW1wOyBjb250cm9sPC9rZXl3b3JkPjxrZXl3b3JkPipQ
cmVuYXRhbCBOdXRyaXRpb25hbCBQaHlzaW9sb2dpY2FsIFBoZW5vbWVuYTwva2V5d29yZD48a2V5
d29yZD5SaXNrIFJlZHVjdGlvbiBCZWhhdmlvcjwva2V5d29yZD48a2V5d29yZD5Ta2luZm9sZCBU
aGlja25lc3M8L2tleXdvcmQ+PGtleXdvcmQ+U3VydmV5cyBhbmQgUXVlc3Rpb25uYWlyZXM8L2tl
eXdvcmQ+PGtleXdvcmQ+VW5pdGVkIEtpbmdkb20vZXBpZGVtaW9sb2d5PC9rZXl3b3JkPjxrZXl3
b3JkPldlaWdodCBHYWluLypwaHlzaW9sb2d5PC9rZXl3b3JkPjwva2V5d29yZHM+PGRhdGVzPjx5
ZWFyPjIwMTc8L3llYXI+PHB1Yi1kYXRlcz48ZGF0ZT5KdWw8L2RhdGU+PC9wdWItZGF0ZXM+PC9k
YXRlcz48aXNibj4xNDc2LTU0OTcgKEVsZWN0cm9uaWMpJiN4RDswMzA3LTA1NjUgKExpbmtpbmcp
PC9pc2JuPjxhY2Nlc3Npb24tbnVtPjI4MjE2NjQ0PC9hY2Nlc3Npb24tbnVtPjx1cmxzPjxyZWxh
dGVkLXVybHM+PHVybD5odHRwczovL3d3dy5uY2JpLm5sbS5uaWguZ292L3B1Ym1lZC8yODIxNjY0
NDwvdXJsPjwvcmVsYXRlZC11cmxzPjwvdXJscz48Y3VzdG9tMj5QTUM1NDgyMzk1PC9jdXN0b20y
PjxlbGVjdHJvbmljLXJlc291cmNlLW51bT4xMC4xMDM4L2lqby4yMDE3LjQ0PC9lbGVjdHJvbmlj
LXJlc291cmNlLW51bT48L3JlY29yZD48L0NpdGU+PC9FbmROb3RlPgB=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552</w:t>
            </w:r>
            <w:r w:rsidRPr="00D00A59">
              <w:fldChar w:fldCharType="end"/>
            </w:r>
          </w:p>
          <w:p w14:paraId="3023C003" w14:textId="75CC9E1D" w:rsidR="00430C54" w:rsidRPr="00D00A59" w:rsidRDefault="00D855D2" w:rsidP="00654EEB">
            <w:r>
              <w:t>Molyneaux et al 2018</w:t>
            </w:r>
            <w:r w:rsidR="00D07346">
              <w:fldChar w:fldCharType="begin">
                <w:fldData xml:space="preserve">PEVuZE5vdGU+PENpdGU+PEF1dGhvcj5Nb2x5bmVhdXg8L0F1dGhvcj48WWVhcj4yMDE4PC9ZZWFy
PjxSZWNOdW0+MTkxMzwvUmVjTnVtPjxEaXNwbGF5VGV4dD48c3R5bGUgZmFjZT0ic3VwZXJzY3Jp
cHQiIGZvbnQ9IlRyZWJ1Y2hldCBNUyIgc2l6ZT0iOSI+NTUzPC9zdHlsZT48L0Rpc3BsYXlUZXh0
PjxyZWNvcmQ+PHJlYy1udW1iZXI+MTkxMzwvcmVjLW51bWJlcj48Zm9yZWlnbi1rZXlzPjxrZXkg
YXBwPSJFTiIgZGItaWQ9ImV4dmFzcmZ4MmR0cmFvZXNhc3hwMnN6c3hhMmRmNTAyNTkyeCIgdGlt
ZXN0YW1wPSIxNTg4NDcwNTQyIj4xOTEzPC9rZXk+PGtleSBhcHA9IkVOV2ViIiBkYi1pZD0iIj4w
PC9rZXk+PC9mb3JlaWduLWtleXM+PHJlZi10eXBlIG5hbWU9IkpvdXJuYWwgQXJ0aWNsZSI+MTc8
L3JlZi10eXBlPjxjb250cmlidXRvcnM+PGF1dGhvcnM+PGF1dGhvcj5Nb2x5bmVhdXgsIEUuPC9h
dXRob3I+PGF1dGhvcj5CZWd1bSwgUy48L2F1dGhvcj48YXV0aG9yPkJyaWxleSwgQS4gTC48L2F1
dGhvcj48YXV0aG9yPlNlZWQsIFAuIFQuPC9hdXRob3I+PGF1dGhvcj5Ib3dhcmQsIEwuIE0uPC9h
dXRob3I+PGF1dGhvcj5Qb3N0b24sIEwuPC9hdXRob3I+PGF1dGhvcj5VcGJlYXQgY29uc29ydGl1
bTwvYXV0aG9yPjwvYXV0aG9ycz48L2NvbnRyaWJ1dG9ycz48YXV0aC1hZGRyZXNzPlNlY3Rpb24g
b2YgV29tZW4mYXBvcztzIE1lbnRhbCBIZWFsdGgsIEluc3RpdHV0ZSBvZiBQc3ljaGlhdHJ5LCBQ
c3ljaG9sb2d5ICZhbXA7IE5ldXJvc2NpZW5jZSBhdCBLaW5nJmFwb3M7cyBDb2xsZWdlIExvbmRv
biwgTG9uZG9uLCBFbmdsYW5kLiBlbW1hLm1vbHluZWF1eEBrY2wuYWMudWsuJiN4RDtEZXBhcnRt
ZW50IG9mIFdvbWVuIGFuZCBDaGlsZHJlbiZhcG9zO3MgSGVhbHRoLCBLaW5nJmFwb3M7cyBDb2xs
ZWdlLCBMb25kb24sIEVuZ2xhbmQuJiN4RDtTZWN0aW9uIG9mIFdvbWVuJmFwb3M7cyBNZW50YWwg
SGVhbHRoLCBJbnN0aXR1dGUgb2YgUHN5Y2hpYXRyeSwgUHN5Y2hvbG9neSAmYW1wOyBOZXVyb3Nj
aWVuY2UgYXQgS2luZyZhcG9zO3MgQ29sbGVnZSBMb25kb24sIExvbmRvbiwgRW5nbGFuZC48L2F1
dGgtYWRkcmVzcz48dGl0bGVzPjx0aXRsZT5EbyBlbGV2YXRlZCBzeW1wdG9tcyBvZiBkZXByZXNz
aW9uIHByZWRpY3QgYWRoZXJlbmNlIGFuZCBvdXRjb21lcyBpbiB0aGUgVVBCRUFUIHJhbmRvbWlz
ZWQgY29udHJvbGxlZCB0cmlhbCBvZiBhIGxpZmVzdHlsZSBpbnRlcnZlbnRpb24gZm9yIG9iZXNl
IHByZWduYW50IHdvbWVuPzwvdGl0bGU+PHNlY29uZGFyeS10aXRsZT5CTUMgUHJlZ25hbmN5IENo
aWxkYmlydGg8L3NlY29uZGFyeS10aXRsZT48L3RpdGxlcz48cGVyaW9kaWNhbD48ZnVsbC10aXRs
ZT5CTUMgUHJlZ25hbmN5IENoaWxkYmlydGg8L2Z1bGwtdGl0bGU+PC9wZXJpb2RpY2FsPjxwYWdl
cz4zNzg8L3BhZ2VzPjx2b2x1bWU+MTg8L3ZvbHVtZT48bnVtYmVyPjE8L251bWJlcj48ZWRpdGlv
bj4yMDE4LzA5LzIwPC9lZGl0aW9uPjxrZXl3b3Jkcz48a2V5d29yZD5BZHVsdDwva2V5d29yZD48
a2V5d29yZD5CZWhhdmlvciBUaGVyYXB5LyptZXRob2RzPC9rZXl3b3JkPjxrZXl3b3JkPkRlcHJl
c3Npb24vKnBzeWNob2xvZ3k8L2tleXdvcmQ+PGtleXdvcmQ+RGlhYmV0ZXMsIEdlc3RhdGlvbmFs
L2V0aW9sb2d5L3BzeWNob2xvZ3k8L2tleXdvcmQ+PGtleXdvcmQ+RmVtYWxlPC9rZXl3b3JkPjxr
ZXl3b3JkPkh1bWFuczwva2V5d29yZD48a2V5d29yZD4qTGlmZSBTdHlsZTwva2V5d29yZD48a2V5
d29yZD5PYmVzaXR5Lypwc3ljaG9sb2d5L3RoZXJhcHk8L2tleXdvcmQ+PGtleXdvcmQ+UGF0aWVu
dCBDb21wbGlhbmNlLypwc3ljaG9sb2d5PC9rZXl3b3JkPjxrZXl3b3JkPlByZWduYW5jeTwva2V5
d29yZD48a2V5d29yZD5QcmVnbmFuY3kgQ29tcGxpY2F0aW9ucy8qcHN5Y2hvbG9neS90aGVyYXB5
PC9rZXl3b3JkPjxrZXl3b3JkPlByZW5hdGFsIENhcmUvbWV0aG9kcy8qcHN5Y2hvbG9neTwva2V5
d29yZD48a2V5d29yZD5XZWlnaHQgR2Fpbjwva2V5d29yZD48a2V5d29yZD5EZXByZXNzaW9uPC9r
ZXl3b3JkPjxrZXl3b3JkPkdlc3RhdGlvbmFsIGRpYWJldGVzPC9rZXl3b3JkPjxrZXl3b3JkPkdl
c3RhdGlvbmFsIHdlaWdodCBnYWluPC9rZXl3b3JkPjxrZXl3b3JkPkxpZmVzdHlsZSBpbnRlcnZl
bnRpb248L2tleXdvcmQ+PGtleXdvcmQ+T2Jlc2l0eTwva2V5d29yZD48L2tleXdvcmRzPjxkYXRl
cz48eWVhcj4yMDE4PC95ZWFyPjxwdWItZGF0ZXM+PGRhdGU+U2VwIDE4PC9kYXRlPjwvcHViLWRh
dGVzPjwvZGF0ZXM+PGlzYm4+MTQ3MS0yMzkzIChFbGVjdHJvbmljKSYjeEQ7MTQ3MS0yMzkzIChM
aW5raW5nKTwvaXNibj48YWNjZXNzaW9uLW51bT4zMDIyNzgzMzwvYWNjZXNzaW9uLW51bT48dXJs
cz48cmVsYXRlZC11cmxzPjx1cmw+aHR0cHM6Ly93d3cubmNiaS5ubG0ubmloLmdvdi9wdWJtZWQv
MzAyMjc4MzM8L3VybD48L3JlbGF0ZWQtdXJscz48L3VybHM+PGN1c3RvbTI+UE1DNjE0MjMyOTwv
Y3VzdG9tMj48ZWxlY3Ryb25pYy1yZXNvdXJjZS1udW0+MTAuMTE4Ni9zMTI4ODQtMDE4LTIwMDQt
eDwvZWxlY3Ryb25pYy1yZXNvdXJjZS1udW0+PC9yZWNvcmQ+PC9DaXRlPjwvRW5kTm90ZT5=
</w:fldData>
              </w:fldChar>
            </w:r>
            <w:r w:rsidR="002747EA">
              <w:instrText xml:space="preserve"> ADDIN EN.CITE </w:instrText>
            </w:r>
            <w:r w:rsidR="002747EA">
              <w:fldChar w:fldCharType="begin">
                <w:fldData xml:space="preserve">PEVuZE5vdGU+PENpdGU+PEF1dGhvcj5Nb2x5bmVhdXg8L0F1dGhvcj48WWVhcj4yMDE4PC9ZZWFy
PjxSZWNOdW0+MTkxMzwvUmVjTnVtPjxEaXNwbGF5VGV4dD48c3R5bGUgZmFjZT0ic3VwZXJzY3Jp
cHQiIGZvbnQ9IlRyZWJ1Y2hldCBNUyIgc2l6ZT0iOSI+NTUzPC9zdHlsZT48L0Rpc3BsYXlUZXh0
PjxyZWNvcmQ+PHJlYy1udW1iZXI+MTkxMzwvcmVjLW51bWJlcj48Zm9yZWlnbi1rZXlzPjxrZXkg
YXBwPSJFTiIgZGItaWQ9ImV4dmFzcmZ4MmR0cmFvZXNhc3hwMnN6c3hhMmRmNTAyNTkyeCIgdGlt
ZXN0YW1wPSIxNTg4NDcwNTQyIj4xOTEzPC9rZXk+PGtleSBhcHA9IkVOV2ViIiBkYi1pZD0iIj4w
PC9rZXk+PC9mb3JlaWduLWtleXM+PHJlZi10eXBlIG5hbWU9IkpvdXJuYWwgQXJ0aWNsZSI+MTc8
L3JlZi10eXBlPjxjb250cmlidXRvcnM+PGF1dGhvcnM+PGF1dGhvcj5Nb2x5bmVhdXgsIEUuPC9h
dXRob3I+PGF1dGhvcj5CZWd1bSwgUy48L2F1dGhvcj48YXV0aG9yPkJyaWxleSwgQS4gTC48L2F1
dGhvcj48YXV0aG9yPlNlZWQsIFAuIFQuPC9hdXRob3I+PGF1dGhvcj5Ib3dhcmQsIEwuIE0uPC9h
dXRob3I+PGF1dGhvcj5Qb3N0b24sIEwuPC9hdXRob3I+PGF1dGhvcj5VcGJlYXQgY29uc29ydGl1
bTwvYXV0aG9yPjwvYXV0aG9ycz48L2NvbnRyaWJ1dG9ycz48YXV0aC1hZGRyZXNzPlNlY3Rpb24g
b2YgV29tZW4mYXBvcztzIE1lbnRhbCBIZWFsdGgsIEluc3RpdHV0ZSBvZiBQc3ljaGlhdHJ5LCBQ
c3ljaG9sb2d5ICZhbXA7IE5ldXJvc2NpZW5jZSBhdCBLaW5nJmFwb3M7cyBDb2xsZWdlIExvbmRv
biwgTG9uZG9uLCBFbmdsYW5kLiBlbW1hLm1vbHluZWF1eEBrY2wuYWMudWsuJiN4RDtEZXBhcnRt
ZW50IG9mIFdvbWVuIGFuZCBDaGlsZHJlbiZhcG9zO3MgSGVhbHRoLCBLaW5nJmFwb3M7cyBDb2xs
ZWdlLCBMb25kb24sIEVuZ2xhbmQuJiN4RDtTZWN0aW9uIG9mIFdvbWVuJmFwb3M7cyBNZW50YWwg
SGVhbHRoLCBJbnN0aXR1dGUgb2YgUHN5Y2hpYXRyeSwgUHN5Y2hvbG9neSAmYW1wOyBOZXVyb3Nj
aWVuY2UgYXQgS2luZyZhcG9zO3MgQ29sbGVnZSBMb25kb24sIExvbmRvbiwgRW5nbGFuZC48L2F1
dGgtYWRkcmVzcz48dGl0bGVzPjx0aXRsZT5EbyBlbGV2YXRlZCBzeW1wdG9tcyBvZiBkZXByZXNz
aW9uIHByZWRpY3QgYWRoZXJlbmNlIGFuZCBvdXRjb21lcyBpbiB0aGUgVVBCRUFUIHJhbmRvbWlz
ZWQgY29udHJvbGxlZCB0cmlhbCBvZiBhIGxpZmVzdHlsZSBpbnRlcnZlbnRpb24gZm9yIG9iZXNl
IHByZWduYW50IHdvbWVuPzwvdGl0bGU+PHNlY29uZGFyeS10aXRsZT5CTUMgUHJlZ25hbmN5IENo
aWxkYmlydGg8L3NlY29uZGFyeS10aXRsZT48L3RpdGxlcz48cGVyaW9kaWNhbD48ZnVsbC10aXRs
ZT5CTUMgUHJlZ25hbmN5IENoaWxkYmlydGg8L2Z1bGwtdGl0bGU+PC9wZXJpb2RpY2FsPjxwYWdl
cz4zNzg8L3BhZ2VzPjx2b2x1bWU+MTg8L3ZvbHVtZT48bnVtYmVyPjE8L251bWJlcj48ZWRpdGlv
bj4yMDE4LzA5LzIwPC9lZGl0aW9uPjxrZXl3b3Jkcz48a2V5d29yZD5BZHVsdDwva2V5d29yZD48
a2V5d29yZD5CZWhhdmlvciBUaGVyYXB5LyptZXRob2RzPC9rZXl3b3JkPjxrZXl3b3JkPkRlcHJl
c3Npb24vKnBzeWNob2xvZ3k8L2tleXdvcmQ+PGtleXdvcmQ+RGlhYmV0ZXMsIEdlc3RhdGlvbmFs
L2V0aW9sb2d5L3BzeWNob2xvZ3k8L2tleXdvcmQ+PGtleXdvcmQ+RmVtYWxlPC9rZXl3b3JkPjxr
ZXl3b3JkPkh1bWFuczwva2V5d29yZD48a2V5d29yZD4qTGlmZSBTdHlsZTwva2V5d29yZD48a2V5
d29yZD5PYmVzaXR5Lypwc3ljaG9sb2d5L3RoZXJhcHk8L2tleXdvcmQ+PGtleXdvcmQ+UGF0aWVu
dCBDb21wbGlhbmNlLypwc3ljaG9sb2d5PC9rZXl3b3JkPjxrZXl3b3JkPlByZWduYW5jeTwva2V5
d29yZD48a2V5d29yZD5QcmVnbmFuY3kgQ29tcGxpY2F0aW9ucy8qcHN5Y2hvbG9neS90aGVyYXB5
PC9rZXl3b3JkPjxrZXl3b3JkPlByZW5hdGFsIENhcmUvbWV0aG9kcy8qcHN5Y2hvbG9neTwva2V5
d29yZD48a2V5d29yZD5XZWlnaHQgR2Fpbjwva2V5d29yZD48a2V5d29yZD5EZXByZXNzaW9uPC9r
ZXl3b3JkPjxrZXl3b3JkPkdlc3RhdGlvbmFsIGRpYWJldGVzPC9rZXl3b3JkPjxrZXl3b3JkPkdl
c3RhdGlvbmFsIHdlaWdodCBnYWluPC9rZXl3b3JkPjxrZXl3b3JkPkxpZmVzdHlsZSBpbnRlcnZl
bnRpb248L2tleXdvcmQ+PGtleXdvcmQ+T2Jlc2l0eTwva2V5d29yZD48L2tleXdvcmRzPjxkYXRl
cz48eWVhcj4yMDE4PC95ZWFyPjxwdWItZGF0ZXM+PGRhdGU+U2VwIDE4PC9kYXRlPjwvcHViLWRh
dGVzPjwvZGF0ZXM+PGlzYm4+MTQ3MS0yMzkzIChFbGVjdHJvbmljKSYjeEQ7MTQ3MS0yMzkzIChM
aW5raW5nKTwvaXNibj48YWNjZXNzaW9uLW51bT4zMDIyNzgzMzwvYWNjZXNzaW9uLW51bT48dXJs
cz48cmVsYXRlZC11cmxzPjx1cmw+aHR0cHM6Ly93d3cubmNiaS5ubG0ubmloLmdvdi9wdWJtZWQv
MzAyMjc4MzM8L3VybD48L3JlbGF0ZWQtdXJscz48L3VybHM+PGN1c3RvbTI+UE1DNjE0MjMyOTwv
Y3VzdG9tMj48ZWxlY3Ryb25pYy1yZXNvdXJjZS1udW0+MTAuMTE4Ni9zMTI4ODQtMDE4LTIwMDQt
eDwvZWxlY3Ryb25pYy1yZXNvdXJjZS1udW0+PC9yZWNvcmQ+PC9DaXRlPjwvRW5kTm90ZT5=
</w:fldData>
              </w:fldChar>
            </w:r>
            <w:r w:rsidR="002747EA">
              <w:instrText xml:space="preserve"> ADDIN EN.CITE.DATA </w:instrText>
            </w:r>
            <w:r w:rsidR="002747EA">
              <w:fldChar w:fldCharType="end"/>
            </w:r>
            <w:r w:rsidR="00D07346">
              <w:fldChar w:fldCharType="separate"/>
            </w:r>
            <w:r w:rsidR="002747EA" w:rsidRPr="002747EA">
              <w:rPr>
                <w:noProof/>
                <w:vertAlign w:val="superscript"/>
              </w:rPr>
              <w:t>553</w:t>
            </w:r>
            <w:r w:rsidR="00D07346">
              <w:fldChar w:fldCharType="end"/>
            </w:r>
          </w:p>
          <w:p w14:paraId="63C562A3" w14:textId="77777777" w:rsidR="00973D70" w:rsidRPr="00D00A59" w:rsidRDefault="00973D70" w:rsidP="00A62770">
            <w:pPr>
              <w:rPr>
                <w:szCs w:val="18"/>
              </w:rPr>
            </w:pPr>
            <w:r w:rsidRPr="00D00A59">
              <w:rPr>
                <w:szCs w:val="18"/>
              </w:rPr>
              <w:t>UPBEAT</w:t>
            </w:r>
          </w:p>
          <w:p w14:paraId="2665F789" w14:textId="77777777" w:rsidR="00973D70" w:rsidRPr="00D00A59" w:rsidRDefault="00973D70" w:rsidP="00A62770">
            <w:pPr>
              <w:rPr>
                <w:szCs w:val="18"/>
              </w:rPr>
            </w:pPr>
            <w:r w:rsidRPr="00D00A59">
              <w:rPr>
                <w:szCs w:val="18"/>
              </w:rPr>
              <w:t>United Kingdom</w:t>
            </w:r>
          </w:p>
        </w:tc>
        <w:tc>
          <w:tcPr>
            <w:tcW w:w="1562" w:type="dxa"/>
          </w:tcPr>
          <w:p w14:paraId="30D600F6" w14:textId="77777777" w:rsidR="00973D70" w:rsidRPr="00D00A59" w:rsidRDefault="00973D70" w:rsidP="00A75579">
            <w:pPr>
              <w:rPr>
                <w:szCs w:val="18"/>
              </w:rPr>
            </w:pPr>
            <w:r w:rsidRPr="00D00A59">
              <w:rPr>
                <w:szCs w:val="18"/>
              </w:rPr>
              <w:t>Intervention 783</w:t>
            </w:r>
          </w:p>
          <w:p w14:paraId="1CEFAE11" w14:textId="77777777" w:rsidR="00973D70" w:rsidRPr="00D00A59" w:rsidRDefault="00973D70" w:rsidP="00A75579">
            <w:pPr>
              <w:rPr>
                <w:szCs w:val="18"/>
              </w:rPr>
            </w:pPr>
            <w:r w:rsidRPr="00D00A59">
              <w:rPr>
                <w:szCs w:val="18"/>
              </w:rPr>
              <w:t>Control 772</w:t>
            </w:r>
          </w:p>
        </w:tc>
        <w:tc>
          <w:tcPr>
            <w:tcW w:w="5393" w:type="dxa"/>
          </w:tcPr>
          <w:p w14:paraId="31F58DB4" w14:textId="77777777" w:rsidR="00973D70" w:rsidRPr="00D00A59" w:rsidRDefault="00973D70" w:rsidP="00A75579">
            <w:pPr>
              <w:rPr>
                <w:szCs w:val="18"/>
              </w:rPr>
            </w:pPr>
            <w:r w:rsidRPr="00D00A59">
              <w:rPr>
                <w:b/>
                <w:szCs w:val="18"/>
              </w:rPr>
              <w:t>Aim</w:t>
            </w:r>
            <w:r w:rsidRPr="00D00A59">
              <w:rPr>
                <w:szCs w:val="18"/>
              </w:rPr>
              <w:t>: to investigate whether a complex intervention addressing diet and physical activity could reduce the incidence of gestational diabetes and large-for-gestational-age infants.</w:t>
            </w:r>
          </w:p>
          <w:p w14:paraId="344A0FD4" w14:textId="77777777" w:rsidR="00973D70" w:rsidRPr="00D00A59" w:rsidRDefault="00973D70" w:rsidP="00A75579">
            <w:pPr>
              <w:rPr>
                <w:szCs w:val="18"/>
              </w:rPr>
            </w:pPr>
            <w:r w:rsidRPr="00D00A59">
              <w:rPr>
                <w:b/>
                <w:szCs w:val="18"/>
              </w:rPr>
              <w:t>Population</w:t>
            </w:r>
            <w:r w:rsidRPr="00D00A59">
              <w:rPr>
                <w:szCs w:val="18"/>
              </w:rPr>
              <w:t>: Women &gt; 16 years with a BMI ≥ 30 kg/m</w:t>
            </w:r>
            <w:r w:rsidRPr="00D00A59">
              <w:rPr>
                <w:szCs w:val="18"/>
                <w:vertAlign w:val="superscript"/>
              </w:rPr>
              <w:t>2</w:t>
            </w:r>
            <w:r w:rsidRPr="00D00A59">
              <w:rPr>
                <w:szCs w:val="18"/>
              </w:rPr>
              <w:t>, a singleton pregnancy, between 15 and 18</w:t>
            </w:r>
            <w:r w:rsidRPr="00D00A59">
              <w:rPr>
                <w:szCs w:val="18"/>
                <w:vertAlign w:val="superscript"/>
              </w:rPr>
              <w:t>6</w:t>
            </w:r>
            <w:r w:rsidRPr="00D00A59">
              <w:rPr>
                <w:szCs w:val="18"/>
              </w:rPr>
              <w:t xml:space="preserve"> weeks gestation.</w:t>
            </w:r>
          </w:p>
          <w:p w14:paraId="184DFEE7" w14:textId="77777777" w:rsidR="00973D70" w:rsidRPr="00D00A59" w:rsidRDefault="00973D70" w:rsidP="00EE3378">
            <w:r w:rsidRPr="00D00A59">
              <w:rPr>
                <w:b/>
              </w:rPr>
              <w:t>Intervention</w:t>
            </w:r>
            <w:r w:rsidRPr="00D00A59">
              <w:t>: Women in the intervention group attended a one-to-one appointment with a ‘Health Trainer’ and were invited to attend weekly group sessions for 8 consecutive weeks from 19 weeks gestation. The intervention was informed by psychological models of health behaviour. At the initial appointment, women received a handbook, a pedometer, a log-book (for weekly goals and related behaviours) and a DVD of a specifically devised pregnancy exercise regimen. Each group session delivered a different element of the dietary and physical activity intervention.</w:t>
            </w:r>
          </w:p>
          <w:p w14:paraId="033890F4" w14:textId="77777777" w:rsidR="00973D70" w:rsidRPr="00D00A59" w:rsidRDefault="00973D70" w:rsidP="00654EEB">
            <w:r w:rsidRPr="00D00A59">
              <w:t>The focus of the dietary advice to the intervention group was therefore on increased consumption of foods with a low dietary GI, including replacement of sugar sweetened beverages with low GI alternatives. Reduction in saturated fats and replacement with monounsaturated and polyunsaturated fat was also recommended.</w:t>
            </w:r>
          </w:p>
          <w:p w14:paraId="2C1D9A7D" w14:textId="77777777" w:rsidR="00973D70" w:rsidRPr="00D00A59" w:rsidRDefault="00973D70" w:rsidP="00A75579">
            <w:pPr>
              <w:rPr>
                <w:szCs w:val="18"/>
              </w:rPr>
            </w:pPr>
            <w:r w:rsidRPr="00D00A59">
              <w:rPr>
                <w:szCs w:val="18"/>
              </w:rPr>
              <w:t>Women in the intervention arm were encouraged to increase daily PA incrementally, setting goals of incremental step counts (monitored by pedometer) and maintaining the achieved PA level after the intervention period. Recommendations included an emphasis on walking at a moderate intensity level.</w:t>
            </w:r>
          </w:p>
        </w:tc>
        <w:tc>
          <w:tcPr>
            <w:tcW w:w="5664" w:type="dxa"/>
          </w:tcPr>
          <w:p w14:paraId="06BC6995" w14:textId="77777777" w:rsidR="00973D70" w:rsidRPr="00D00A59" w:rsidRDefault="00973D70" w:rsidP="00A75579">
            <w:pPr>
              <w:rPr>
                <w:szCs w:val="18"/>
              </w:rPr>
            </w:pPr>
            <w:r w:rsidRPr="00D00A59">
              <w:rPr>
                <w:szCs w:val="18"/>
              </w:rPr>
              <w:t>Intervention vs control:</w:t>
            </w:r>
          </w:p>
          <w:p w14:paraId="052B3E24" w14:textId="77777777" w:rsidR="00973D70" w:rsidRPr="00D00A59" w:rsidRDefault="00973D70" w:rsidP="00A75579">
            <w:pPr>
              <w:pStyle w:val="bullet"/>
              <w:rPr>
                <w:szCs w:val="18"/>
              </w:rPr>
            </w:pPr>
            <w:r w:rsidRPr="00D00A59">
              <w:rPr>
                <w:szCs w:val="18"/>
              </w:rPr>
              <w:t>Gestational weight gain: 7.19±4.6 (n=526) vs 7.76±4.6 (n=567)</w:t>
            </w:r>
          </w:p>
          <w:p w14:paraId="66FBA9B7" w14:textId="77777777" w:rsidR="00973D70" w:rsidRPr="00D00A59" w:rsidRDefault="00973D70" w:rsidP="00A75579">
            <w:pPr>
              <w:pStyle w:val="bullet"/>
              <w:rPr>
                <w:szCs w:val="18"/>
              </w:rPr>
            </w:pPr>
            <w:r w:rsidRPr="00D00A59">
              <w:rPr>
                <w:szCs w:val="18"/>
              </w:rPr>
              <w:t>Excess gestational weight gain: 174/526 vs 212/566</w:t>
            </w:r>
          </w:p>
          <w:p w14:paraId="5FAACBFD" w14:textId="77777777" w:rsidR="00973D70" w:rsidRPr="00D00A59" w:rsidRDefault="00973D70" w:rsidP="00A75579">
            <w:pPr>
              <w:pStyle w:val="bullet"/>
              <w:rPr>
                <w:szCs w:val="18"/>
              </w:rPr>
            </w:pPr>
            <w:r w:rsidRPr="00D00A59">
              <w:rPr>
                <w:szCs w:val="18"/>
              </w:rPr>
              <w:t>Gestational diabetes: 160/629 vs 172/651</w:t>
            </w:r>
          </w:p>
          <w:p w14:paraId="36608213" w14:textId="77777777" w:rsidR="00973D70" w:rsidRPr="00D00A59" w:rsidRDefault="00973D70" w:rsidP="00A75579">
            <w:pPr>
              <w:pStyle w:val="bullet"/>
              <w:rPr>
                <w:szCs w:val="18"/>
              </w:rPr>
            </w:pPr>
            <w:r w:rsidRPr="00D00A59">
              <w:rPr>
                <w:szCs w:val="18"/>
              </w:rPr>
              <w:t>Pre-eclampsia: 27/753 vs 27/752</w:t>
            </w:r>
          </w:p>
          <w:p w14:paraId="2F6AF296" w14:textId="77777777" w:rsidR="00973D70" w:rsidRPr="00D00A59" w:rsidRDefault="00973D70" w:rsidP="00A75579">
            <w:pPr>
              <w:pStyle w:val="bullet"/>
              <w:rPr>
                <w:szCs w:val="18"/>
              </w:rPr>
            </w:pPr>
            <w:r w:rsidRPr="00D00A59">
              <w:rPr>
                <w:szCs w:val="18"/>
              </w:rPr>
              <w:t>Caesarean section: 271/765 vs 274/757</w:t>
            </w:r>
          </w:p>
          <w:p w14:paraId="34E93C9C" w14:textId="77777777" w:rsidR="00973D70" w:rsidRPr="00D00A59" w:rsidRDefault="00973D70" w:rsidP="00A75579">
            <w:pPr>
              <w:pStyle w:val="bullet"/>
              <w:rPr>
                <w:szCs w:val="18"/>
              </w:rPr>
            </w:pPr>
            <w:r w:rsidRPr="00D00A59">
              <w:rPr>
                <w:szCs w:val="18"/>
              </w:rPr>
              <w:t>Macrosomia (&gt;4000 g): 105/761 vs 105/751</w:t>
            </w:r>
          </w:p>
          <w:p w14:paraId="72C6F786" w14:textId="77777777" w:rsidR="00973D70" w:rsidRPr="00D00A59" w:rsidRDefault="00973D70" w:rsidP="00A75579">
            <w:pPr>
              <w:pStyle w:val="bullet"/>
              <w:rPr>
                <w:szCs w:val="18"/>
              </w:rPr>
            </w:pPr>
            <w:r w:rsidRPr="00D00A59">
              <w:rPr>
                <w:szCs w:val="18"/>
              </w:rPr>
              <w:t>Small for gestational age: 95/761 vs 76/751</w:t>
            </w:r>
          </w:p>
          <w:p w14:paraId="5612BB20" w14:textId="77777777" w:rsidR="00973D70" w:rsidRPr="00D00A59" w:rsidRDefault="00973D70" w:rsidP="00A75579">
            <w:pPr>
              <w:pStyle w:val="bullet"/>
              <w:rPr>
                <w:szCs w:val="18"/>
              </w:rPr>
            </w:pPr>
            <w:r w:rsidRPr="00D00A59">
              <w:rPr>
                <w:szCs w:val="18"/>
              </w:rPr>
              <w:t>Large for gestational age: 71/761 vs 61/751</w:t>
            </w:r>
          </w:p>
          <w:p w14:paraId="27A1A6C0" w14:textId="77777777" w:rsidR="00973D70" w:rsidRPr="00D00A59" w:rsidRDefault="00973D70" w:rsidP="00A75579">
            <w:pPr>
              <w:pStyle w:val="bullet"/>
              <w:rPr>
                <w:szCs w:val="18"/>
              </w:rPr>
            </w:pPr>
            <w:r w:rsidRPr="00D00A59">
              <w:rPr>
                <w:szCs w:val="18"/>
              </w:rPr>
              <w:t>Childhood weight: 7.93±1.07 (n=332) vs 8.03±1.08 (n=345)</w:t>
            </w:r>
          </w:p>
          <w:p w14:paraId="305AC21D" w14:textId="77777777" w:rsidR="00973D70" w:rsidRDefault="00973D70" w:rsidP="00A75579">
            <w:pPr>
              <w:pStyle w:val="bullet"/>
              <w:rPr>
                <w:szCs w:val="18"/>
              </w:rPr>
            </w:pPr>
            <w:r w:rsidRPr="00D00A59">
              <w:rPr>
                <w:szCs w:val="18"/>
              </w:rPr>
              <w:t>Postnatal weight retention: -0.37±7.41 (n=344) vs 0.36±6.71 (n=355)</w:t>
            </w:r>
          </w:p>
          <w:p w14:paraId="7F86CB58" w14:textId="24D590E1" w:rsidR="00430C54" w:rsidRPr="00D00A59" w:rsidRDefault="00430C54" w:rsidP="00A75579">
            <w:pPr>
              <w:pStyle w:val="bullet"/>
              <w:rPr>
                <w:szCs w:val="18"/>
              </w:rPr>
            </w:pPr>
            <w:r>
              <w:rPr>
                <w:szCs w:val="18"/>
              </w:rPr>
              <w:t>Antenatal depression: 85/769 vs 88/757</w:t>
            </w:r>
          </w:p>
        </w:tc>
      </w:tr>
      <w:tr w:rsidR="00973D70" w:rsidRPr="00D00A59" w14:paraId="392BE3A2" w14:textId="77777777" w:rsidTr="0030223E">
        <w:trPr>
          <w:cantSplit/>
        </w:trPr>
        <w:tc>
          <w:tcPr>
            <w:tcW w:w="1417" w:type="dxa"/>
          </w:tcPr>
          <w:p w14:paraId="6F238B79" w14:textId="57A7DE73" w:rsidR="00973D70" w:rsidRPr="00D00A59" w:rsidRDefault="00973D70" w:rsidP="00654EEB">
            <w:r w:rsidRPr="00D00A59">
              <w:rPr>
                <w:noProof/>
              </w:rPr>
              <w:t>Rauh et al 2013;</w:t>
            </w:r>
            <w:r w:rsidRPr="00D00A59">
              <w:rPr>
                <w:noProof/>
              </w:rPr>
              <w:fldChar w:fldCharType="begin"/>
            </w:r>
            <w:r w:rsidR="002747EA">
              <w:rPr>
                <w:noProof/>
              </w:rPr>
              <w:instrText xml:space="preserve"> ADDIN EN.CITE &lt;EndNote&gt;&lt;Cite&gt;&lt;Author&gt;Rauh&lt;/Author&gt;&lt;Year&gt;2013&lt;/Year&gt;&lt;RecNum&gt;1109&lt;/RecNum&gt;&lt;DisplayText&gt;&lt;style face="superscript" font="Trebuchet MS" size="9"&gt;496&lt;/style&gt;&lt;/DisplayText&gt;&lt;record&gt;&lt;rec-number&gt;1109&lt;/rec-number&gt;&lt;foreign-keys&gt;&lt;key app="EN" db-id="exvasrfx2dtraoesasxp2szsxa2df502592x" timestamp="1552948485"&gt;1109&lt;/key&gt;&lt;/foreign-keys&gt;&lt;ref-type name="Journal Article"&gt;17&lt;/ref-type&gt;&lt;contributors&gt;&lt;authors&gt;&lt;author&gt;Rauh, K.&lt;/author&gt;&lt;author&gt;Gabriel, E.&lt;/author&gt;&lt;author&gt;Kerschbaum, E.&lt;/author&gt;&lt;author&gt;Schuster, T.&lt;/author&gt;&lt;author&gt;von Kries, R.&lt;/author&gt;&lt;author&gt;Amann-Gassner, U.&lt;/author&gt;&lt;author&gt;Hauner, H.&lt;/author&gt;&lt;/authors&gt;&lt;/contributors&gt;&lt;titles&gt;&lt;title&gt;Safety and efficacy of a lifestyle intervention for pregnant women to prevent excessive maternal weight gain: a cluster-randomized controlled trial&lt;/title&gt;&lt;secondary-title&gt;BMC Pregnancy Childbirth&lt;/secondary-title&gt;&lt;/titles&gt;&lt;periodical&gt;&lt;full-title&gt;BMC Pregnancy Childbirth&lt;/full-title&gt;&lt;/periodical&gt;&lt;pages&gt;151&lt;/pages&gt;&lt;volume&gt;13&lt;/volume&gt;&lt;edition&gt;2013/07/20&lt;/edition&gt;&lt;keywords&gt;&lt;keyword&gt;Adult&lt;/keyword&gt;&lt;keyword&gt;*Birth Weight&lt;/keyword&gt;&lt;keyword&gt;Counseling/*methods&lt;/keyword&gt;&lt;keyword&gt;*Energy Intake&lt;/keyword&gt;&lt;keyword&gt;Feasibility Studies&lt;/keyword&gt;&lt;keyword&gt;Female&lt;/keyword&gt;&lt;keyword&gt;Humans&lt;/keyword&gt;&lt;keyword&gt;Infant, Newborn&lt;/keyword&gt;&lt;keyword&gt;*Motor Activity&lt;/keyword&gt;&lt;keyword&gt;Obesity/*prevention &amp;amp; control&lt;/keyword&gt;&lt;keyword&gt;Overweight/prevention &amp;amp; control&lt;/keyword&gt;&lt;keyword&gt;Postpartum Period&lt;/keyword&gt;&lt;keyword&gt;Pregnancy&lt;/keyword&gt;&lt;keyword&gt;Pregnancy Complications/*prevention &amp;amp; control&lt;/keyword&gt;&lt;keyword&gt;Pregnancy Outcome&lt;/keyword&gt;&lt;keyword&gt;*Weight Gain&lt;/keyword&gt;&lt;/keywords&gt;&lt;dates&gt;&lt;year&gt;2013&lt;/year&gt;&lt;pub-dates&gt;&lt;date&gt;Jul 16&lt;/date&gt;&lt;/pub-dates&gt;&lt;/dates&gt;&lt;isbn&gt;1471-2393 (Electronic)&amp;#xD;1471-2393 (Linking)&lt;/isbn&gt;&lt;accession-num&gt;23865624&lt;/accession-num&gt;&lt;urls&gt;&lt;related-urls&gt;&lt;url&gt;https://www.ncbi.nlm.nih.gov/pubmed/23865624&lt;/url&gt;&lt;/related-urls&gt;&lt;/urls&gt;&lt;custom2&gt;PMC3718707&lt;/custom2&gt;&lt;electronic-resource-num&gt;10.1186/1471-2393-13-151&lt;/electronic-resource-num&gt;&lt;/record&gt;&lt;/Cite&gt;&lt;/EndNote&gt;</w:instrText>
            </w:r>
            <w:r w:rsidRPr="00D00A59">
              <w:rPr>
                <w:noProof/>
              </w:rPr>
              <w:fldChar w:fldCharType="separate"/>
            </w:r>
            <w:r w:rsidR="002747EA" w:rsidRPr="002747EA">
              <w:rPr>
                <w:noProof/>
                <w:vertAlign w:val="superscript"/>
              </w:rPr>
              <w:t>496</w:t>
            </w:r>
            <w:r w:rsidRPr="00D00A59">
              <w:rPr>
                <w:noProof/>
              </w:rPr>
              <w:fldChar w:fldCharType="end"/>
            </w:r>
            <w:r w:rsidRPr="00D00A59">
              <w:rPr>
                <w:noProof/>
              </w:rPr>
              <w:t xml:space="preserve"> Rauh et al 2015</w:t>
            </w:r>
            <w:r w:rsidRPr="00D00A59">
              <w:fldChar w:fldCharType="begin">
                <w:fldData xml:space="preserve">PEVuZE5vdGU+PENpdGU+PEF1dGhvcj5SYXVoPC9BdXRob3I+PFllYXI+MjAxNTwvWWVhcj48UmVj
TnVtPjc1MzwvUmVjTnVtPjxEaXNwbGF5VGV4dD48c3R5bGUgZmFjZT0ic3VwZXJzY3JpcHQiIGZv
bnQ9IlRyZWJ1Y2hldCBNUyIgc2l6ZT0iOSI+NTU0PC9zdHlsZT48L0Rpc3BsYXlUZXh0PjxyZWNv
cmQ+PHJlYy1udW1iZXI+NzUzPC9yZWMtbnVtYmVyPjxmb3JlaWduLWtleXM+PGtleSBhcHA9IkVO
IiBkYi1pZD0iZXh2YXNyZngyZHRyYW9lc2FzeHAyc3pzeGEyZGY1MDI1OTJ4IiB0aW1lc3RhbXA9
IjE1NDE0Njc5NDciPjc1Mzwva2V5PjxrZXkgYXBwPSJFTldlYiIgZGItaWQ9IiI+MDwva2V5Pjwv
Zm9yZWlnbi1rZXlzPjxyZWYtdHlwZSBuYW1lPSJKb3VybmFsIEFydGljbGUiPjE3PC9yZWYtdHlw
ZT48Y29udHJpYnV0b3JzPjxhdXRob3JzPjxhdXRob3I+UmF1aCwgSy48L2F1dGhvcj48YXV0aG9y
Pkd1bnRoZXIsIEouPC9hdXRob3I+PGF1dGhvcj5LdW5hdGgsIEouPC9hdXRob3I+PGF1dGhvcj5T
dGVjaGVyLCBMLjwvYXV0aG9yPjxhdXRob3I+SGF1bmVyLCBILjwvYXV0aG9yPjwvYXV0aG9ycz48
L2NvbnRyaWJ1dG9ycz48YXV0aC1hZGRyZXNzPlpJRUwgLSBSZXNlYXJjaCBDZW50cmUgZm9yIE51
dHJpdGlvbiBhbmQgRm9vZCBTY2llbmNlcywgVGVjaG5pc2NoZSBVbml2ZXJzaXRhdCBNdW5jaGVu
LCBGcmVpc2luZy1XZWloZW5zdGVwaGFuLCBHZXJtYW55LiBLYXRocmluLlJhdWhAS0Vybi5iYXll
cm4uZGUuJiN4RDtDb21wZXRlbmNlIENlbnRyZSBmb3IgTnV0cml0aW9uIChLRXJuKSwgRnJlaXNp
bmcsIEdlcm1hbnkuIEthdGhyaW4uUmF1aEBLRXJuLmJheWVybi5kZS4mI3hEO1pJRUwgLSBSZXNl
YXJjaCBDZW50cmUgZm9yIE51dHJpdGlvbiBhbmQgRm9vZCBTY2llbmNlcywgVGVjaG5pc2NoZSBV
bml2ZXJzaXRhdCBNdW5jaGVuLCBGcmVpc2luZy1XZWloZW5zdGVwaGFuLCBHZXJtYW55LiBqdWxp
YS5ndWVudGhlckB0dW0uZGUuJiN4RDtFbHNlIEtyb25lci1GcmVzZW5pdXMtQ2VudGVyIGZvciBO
dXRyaXRpb25hbCBNZWRpY2luZSwgQ2hhaXIgb2YgTnV0cml0aW9uYWwgTWVkaWNpbmUsIFRlY2hu
aXNjaGUgVW5pdmVyc2l0YXQgTXVuY2hlbiwgRnJlaXNpbmctV2VpaGVuc3RlcGhhbiwgR2VybWFu
eS4ganVsaWEuZ3VlbnRoZXJAdHVtLmRlLiYjeEQ7RWxzZSBLcm9uZXItRnJlc2VuaXVzLUNlbnRy
ZSBmb3IgTnV0cml0aW9uYWwgTWVkaWNpbmUsIEtsaW5pa3VtIHJlY2h0cyBkZXIgSXNhciwgVGVj
aG5pc2NoZSBVbml2ZXJzaXRhdCBNdW5jaGVuLCBNdW5pY2gsIEdlcm1hbnkuIGp1bGlhLmd1ZW50
aGVyQHR1bS5kZS4mI3hEO1pJRUwgLSBSZXNlYXJjaCBDZW50cmUgZm9yIE51dHJpdGlvbiBhbmQg
Rm9vZCBTY2llbmNlcywgVGVjaG5pc2NoZSBVbml2ZXJzaXRhdCBNdW5jaGVuLCBGcmVpc2luZy1X
ZWloZW5zdGVwaGFuLCBHZXJtYW55LiBqdWxpYS5rdW5hdGhAdHVtLmRlLiYjeEQ7RWxzZSBLcm9u
ZXItRnJlc2VuaXVzLUNlbnRlciBmb3IgTnV0cml0aW9uYWwgTWVkaWNpbmUsIENoYWlyIG9mIE51
dHJpdGlvbmFsIE1lZGljaW5lLCBUZWNobmlzY2hlIFVuaXZlcnNpdGF0IE11bmNoZW4sIEZyZWlz
aW5nLVdlaWhlbnN0ZXBoYW4sIEdlcm1hbnkuIGp1bGlhLmt1bmF0aEB0dW0uZGUuJiN4RDtFbHNl
IEtyb25lci1GcmVzZW5pdXMtQ2VudHJlIGZvciBOdXRyaXRpb25hbCBNZWRpY2luZSwgS2xpbmlr
dW0gcmVjaHRzIGRlciBJc2FyLCBUZWNobmlzY2hlIFVuaXZlcnNpdGF0IE11bmNoZW4sIE11bmlj
aCwgR2VybWFueS4ganVsaWEua3VuYXRoQHR1bS5kZS4mI3hEO0Vsc2UgS3JvbmVyLUZyZXNlbml1
cy1DZW50cmUgZm9yIE51dHJpdGlvbmFsIE1lZGljaW5lLCBLbGluaWt1bSByZWNodHMgZGVyIElz
YXIsIFRlY2huaXNjaGUgVW5pdmVyc2l0YXQgTXVuY2hlbiwgTXVuaWNoLCBHZXJtYW55LiBseW5u
ZS5jcmVzc3dlbGxAdHVtLmRlLiYjeEQ7WklFTCAtIFJlc2VhcmNoIENlbnRyZSBmb3IgTnV0cml0
aW9uIGFuZCBGb29kIFNjaWVuY2VzLCBUZWNobmlzY2hlIFVuaXZlcnNpdGF0IE11bmNoZW4sIEZy
ZWlzaW5nLVdlaWhlbnN0ZXBoYW4sIEdlcm1hbnkuIGhhbnMuaGF1bmVyQHR1bS5kZS4mI3hEO0Vs
c2UgS3JvbmVyLUZyZXNlbml1cy1DZW50ZXIgZm9yIE51dHJpdGlvbmFsIE1lZGljaW5lLCBDaGFp
ciBvZiBOdXRyaXRpb25hbCBNZWRpY2luZSwgVGVjaG5pc2NoZSBVbml2ZXJzaXRhdCBNdW5jaGVu
LCBGcmVpc2luZy1XZWloZW5zdGVwaGFuLCBHZXJtYW55LiBoYW5zLmhhdW5lckB0dW0uZGUuJiN4
RDtFbHNlIEtyb25lci1GcmVzZW5pdXMtQ2VudHJlIGZvciBOdXRyaXRpb25hbCBNZWRpY2luZSwg
S2xpbmlrdW0gcmVjaHRzIGRlciBJc2FyLCBUZWNobmlzY2hlIFVuaXZlcnNpdGF0IE11bmNoZW4s
IE11bmljaCwgR2VybWFueS4gaGFucy5oYXVuZXJAdHVtLmRlLjwvYXV0aC1hZGRyZXNzPjx0aXRs
ZXM+PHRpdGxlPkxpZmVzdHlsZSBpbnRlcnZlbnRpb24gdG8gcHJldmVudCBleGNlc3NpdmUgbWF0
ZXJuYWwgd2VpZ2h0IGdhaW46IG1vdGhlciBhbmQgaW5mYW50IGZvbGxvdy11cCBhdCAxMiBtb250
aHMgcG9zdHBhcnR1bTwvdGl0bGU+PHNlY29uZGFyeS10aXRsZT5CTUMgUHJlZ25hbmN5IENoaWxk
YmlydGg8L3NlY29uZGFyeS10aXRsZT48L3RpdGxlcz48cGVyaW9kaWNhbD48ZnVsbC10aXRsZT5C
TUMgUHJlZ25hbmN5IENoaWxkYmlydGg8L2Z1bGwtdGl0bGU+PC9wZXJpb2RpY2FsPjxwYWdlcz4y
NjU8L3BhZ2VzPjx2b2x1bWU+MTU8L3ZvbHVtZT48ZWRpdGlvbj4yMDE1LzEwLzE3PC9lZGl0aW9u
PjxrZXl3b3Jkcz48a2V5d29yZD5BZHVsdDwva2V5d29yZD48a2V5d29yZD5CZWhhdmlvciBUaGVy
YXB5LyptZXRob2RzPC9rZXl3b3JkPjxrZXl3b3JkPkNvdW5zZWxpbmc8L2tleXdvcmQ+PGtleXdv
cmQ+RGlldDwva2V5d29yZD48a2V5d29yZD5FbmVyZ3kgSW50YWtlPC9rZXl3b3JkPjxrZXl3b3Jk
PkV4ZXJjaXNlPC9rZXl3b3JkPjxrZXl3b3JkPkZlbWFsZTwva2V5d29yZD48a2V5d29yZD5Gb2xs
b3ctVXAgU3R1ZGllczwva2V5d29yZD48a2V5d29yZD5IdW1hbnM8L2tleXdvcmQ+PGtleXdvcmQ+
SW5mYW50PC9rZXl3b3JkPjxrZXl3b3JkPipMaWZlIFN0eWxlPC9rZXl3b3JkPjxrZXl3b3JkPkxv
Z2lzdGljIE1vZGVsczwva2V5d29yZD48a2V5d29yZD5Nb3RoZXJzPC9rZXl3b3JkPjxrZXl3b3Jk
Pk92ZXJ3ZWlnaHQvKnByZXZlbnRpb24gJmFtcDsgY29udHJvbDwva2V5d29yZD48a2V5d29yZD5Q
b3N0cGFydHVtIFBlcmlvZDwva2V5d29yZD48a2V5d29yZD5QcmVnbmFuY3k8L2tleXdvcmQ+PGtl
eXdvcmQ+UHJlbmF0YWwgQ2FyZS9tZXRob2RzPC9rZXl3b3JkPjxrZXl3b3JkPipQcmVuYXRhbCBO
dXRyaXRpb25hbCBQaHlzaW9sb2dpY2FsIFBoZW5vbWVuYTwva2V5d29yZD48a2V5d29yZD4qV2Vp
Z2h0IEdhaW48L2tleXdvcmQ+PC9rZXl3b3Jkcz48ZGF0ZXM+PHllYXI+MjAxNTwveWVhcj48cHVi
LWRhdGVzPjxkYXRlPk9jdCAxNTwvZGF0ZT48L3B1Yi1kYXRlcz48L2RhdGVzPjxpc2JuPjE0NzEt
MjM5MyAoRWxlY3Ryb25pYykmI3hEOzE0NzEtMjM5MyAoTGlua2luZyk8L2lzYm4+PGFjY2Vzc2lv
bi1udW0+MjY0NzIxMzM8L2FjY2Vzc2lvbi1udW0+PHVybHM+PHJlbGF0ZWQtdXJscz48dXJsPmh0
dHBzOi8vd3d3Lm5jYmkubmxtLm5paC5nb3YvcHVibWVkLzI2NDcyMTMzPC91cmw+PC9yZWxhdGVk
LXVybHM+PC91cmxzPjxjdXN0b20yPlBNQzQ2MDgxNDI8L2N1c3RvbTI+PGVsZWN0cm9uaWMtcmVz
b3VyY2UtbnVtPjEwLjExODYvczEyODg0LTAxNS0wNzAxLTI8L2VsZWN0cm9uaWMtcmVzb3VyY2Ut
bnVtPjwvcmVjb3JkPjwvQ2l0ZT48L0VuZE5vdGU+AG==
</w:fldData>
              </w:fldChar>
            </w:r>
            <w:r w:rsidR="002747EA">
              <w:instrText xml:space="preserve"> ADDIN EN.CITE </w:instrText>
            </w:r>
            <w:r w:rsidR="002747EA">
              <w:fldChar w:fldCharType="begin">
                <w:fldData xml:space="preserve">PEVuZE5vdGU+PENpdGU+PEF1dGhvcj5SYXVoPC9BdXRob3I+PFllYXI+MjAxNTwvWWVhcj48UmVj
TnVtPjc1MzwvUmVjTnVtPjxEaXNwbGF5VGV4dD48c3R5bGUgZmFjZT0ic3VwZXJzY3JpcHQiIGZv
bnQ9IlRyZWJ1Y2hldCBNUyIgc2l6ZT0iOSI+NTU0PC9zdHlsZT48L0Rpc3BsYXlUZXh0PjxyZWNv
cmQ+PHJlYy1udW1iZXI+NzUzPC9yZWMtbnVtYmVyPjxmb3JlaWduLWtleXM+PGtleSBhcHA9IkVO
IiBkYi1pZD0iZXh2YXNyZngyZHRyYW9lc2FzeHAyc3pzeGEyZGY1MDI1OTJ4IiB0aW1lc3RhbXA9
IjE1NDE0Njc5NDciPjc1Mzwva2V5PjxrZXkgYXBwPSJFTldlYiIgZGItaWQ9IiI+MDwva2V5Pjwv
Zm9yZWlnbi1rZXlzPjxyZWYtdHlwZSBuYW1lPSJKb3VybmFsIEFydGljbGUiPjE3PC9yZWYtdHlw
ZT48Y29udHJpYnV0b3JzPjxhdXRob3JzPjxhdXRob3I+UmF1aCwgSy48L2F1dGhvcj48YXV0aG9y
Pkd1bnRoZXIsIEouPC9hdXRob3I+PGF1dGhvcj5LdW5hdGgsIEouPC9hdXRob3I+PGF1dGhvcj5T
dGVjaGVyLCBMLjwvYXV0aG9yPjxhdXRob3I+SGF1bmVyLCBILjwvYXV0aG9yPjwvYXV0aG9ycz48
L2NvbnRyaWJ1dG9ycz48YXV0aC1hZGRyZXNzPlpJRUwgLSBSZXNlYXJjaCBDZW50cmUgZm9yIE51
dHJpdGlvbiBhbmQgRm9vZCBTY2llbmNlcywgVGVjaG5pc2NoZSBVbml2ZXJzaXRhdCBNdW5jaGVu
LCBGcmVpc2luZy1XZWloZW5zdGVwaGFuLCBHZXJtYW55LiBLYXRocmluLlJhdWhAS0Vybi5iYXll
cm4uZGUuJiN4RDtDb21wZXRlbmNlIENlbnRyZSBmb3IgTnV0cml0aW9uIChLRXJuKSwgRnJlaXNp
bmcsIEdlcm1hbnkuIEthdGhyaW4uUmF1aEBLRXJuLmJheWVybi5kZS4mI3hEO1pJRUwgLSBSZXNl
YXJjaCBDZW50cmUgZm9yIE51dHJpdGlvbiBhbmQgRm9vZCBTY2llbmNlcywgVGVjaG5pc2NoZSBV
bml2ZXJzaXRhdCBNdW5jaGVuLCBGcmVpc2luZy1XZWloZW5zdGVwaGFuLCBHZXJtYW55LiBqdWxp
YS5ndWVudGhlckB0dW0uZGUuJiN4RDtFbHNlIEtyb25lci1GcmVzZW5pdXMtQ2VudGVyIGZvciBO
dXRyaXRpb25hbCBNZWRpY2luZSwgQ2hhaXIgb2YgTnV0cml0aW9uYWwgTWVkaWNpbmUsIFRlY2hu
aXNjaGUgVW5pdmVyc2l0YXQgTXVuY2hlbiwgRnJlaXNpbmctV2VpaGVuc3RlcGhhbiwgR2VybWFu
eS4ganVsaWEuZ3VlbnRoZXJAdHVtLmRlLiYjeEQ7RWxzZSBLcm9uZXItRnJlc2VuaXVzLUNlbnRy
ZSBmb3IgTnV0cml0aW9uYWwgTWVkaWNpbmUsIEtsaW5pa3VtIHJlY2h0cyBkZXIgSXNhciwgVGVj
aG5pc2NoZSBVbml2ZXJzaXRhdCBNdW5jaGVuLCBNdW5pY2gsIEdlcm1hbnkuIGp1bGlhLmd1ZW50
aGVyQHR1bS5kZS4mI3hEO1pJRUwgLSBSZXNlYXJjaCBDZW50cmUgZm9yIE51dHJpdGlvbiBhbmQg
Rm9vZCBTY2llbmNlcywgVGVjaG5pc2NoZSBVbml2ZXJzaXRhdCBNdW5jaGVuLCBGcmVpc2luZy1X
ZWloZW5zdGVwaGFuLCBHZXJtYW55LiBqdWxpYS5rdW5hdGhAdHVtLmRlLiYjeEQ7RWxzZSBLcm9u
ZXItRnJlc2VuaXVzLUNlbnRlciBmb3IgTnV0cml0aW9uYWwgTWVkaWNpbmUsIENoYWlyIG9mIE51
dHJpdGlvbmFsIE1lZGljaW5lLCBUZWNobmlzY2hlIFVuaXZlcnNpdGF0IE11bmNoZW4sIEZyZWlz
aW5nLVdlaWhlbnN0ZXBoYW4sIEdlcm1hbnkuIGp1bGlhLmt1bmF0aEB0dW0uZGUuJiN4RDtFbHNl
IEtyb25lci1GcmVzZW5pdXMtQ2VudHJlIGZvciBOdXRyaXRpb25hbCBNZWRpY2luZSwgS2xpbmlr
dW0gcmVjaHRzIGRlciBJc2FyLCBUZWNobmlzY2hlIFVuaXZlcnNpdGF0IE11bmNoZW4sIE11bmlj
aCwgR2VybWFueS4ganVsaWEua3VuYXRoQHR1bS5kZS4mI3hEO0Vsc2UgS3JvbmVyLUZyZXNlbml1
cy1DZW50cmUgZm9yIE51dHJpdGlvbmFsIE1lZGljaW5lLCBLbGluaWt1bSByZWNodHMgZGVyIElz
YXIsIFRlY2huaXNjaGUgVW5pdmVyc2l0YXQgTXVuY2hlbiwgTXVuaWNoLCBHZXJtYW55LiBseW5u
ZS5jcmVzc3dlbGxAdHVtLmRlLiYjeEQ7WklFTCAtIFJlc2VhcmNoIENlbnRyZSBmb3IgTnV0cml0
aW9uIGFuZCBGb29kIFNjaWVuY2VzLCBUZWNobmlzY2hlIFVuaXZlcnNpdGF0IE11bmNoZW4sIEZy
ZWlzaW5nLVdlaWhlbnN0ZXBoYW4sIEdlcm1hbnkuIGhhbnMuaGF1bmVyQHR1bS5kZS4mI3hEO0Vs
c2UgS3JvbmVyLUZyZXNlbml1cy1DZW50ZXIgZm9yIE51dHJpdGlvbmFsIE1lZGljaW5lLCBDaGFp
ciBvZiBOdXRyaXRpb25hbCBNZWRpY2luZSwgVGVjaG5pc2NoZSBVbml2ZXJzaXRhdCBNdW5jaGVu
LCBGcmVpc2luZy1XZWloZW5zdGVwaGFuLCBHZXJtYW55LiBoYW5zLmhhdW5lckB0dW0uZGUuJiN4
RDtFbHNlIEtyb25lci1GcmVzZW5pdXMtQ2VudHJlIGZvciBOdXRyaXRpb25hbCBNZWRpY2luZSwg
S2xpbmlrdW0gcmVjaHRzIGRlciBJc2FyLCBUZWNobmlzY2hlIFVuaXZlcnNpdGF0IE11bmNoZW4s
IE11bmljaCwgR2VybWFueS4gaGFucy5oYXVuZXJAdHVtLmRlLjwvYXV0aC1hZGRyZXNzPjx0aXRs
ZXM+PHRpdGxlPkxpZmVzdHlsZSBpbnRlcnZlbnRpb24gdG8gcHJldmVudCBleGNlc3NpdmUgbWF0
ZXJuYWwgd2VpZ2h0IGdhaW46IG1vdGhlciBhbmQgaW5mYW50IGZvbGxvdy11cCBhdCAxMiBtb250
aHMgcG9zdHBhcnR1bTwvdGl0bGU+PHNlY29uZGFyeS10aXRsZT5CTUMgUHJlZ25hbmN5IENoaWxk
YmlydGg8L3NlY29uZGFyeS10aXRsZT48L3RpdGxlcz48cGVyaW9kaWNhbD48ZnVsbC10aXRsZT5C
TUMgUHJlZ25hbmN5IENoaWxkYmlydGg8L2Z1bGwtdGl0bGU+PC9wZXJpb2RpY2FsPjxwYWdlcz4y
NjU8L3BhZ2VzPjx2b2x1bWU+MTU8L3ZvbHVtZT48ZWRpdGlvbj4yMDE1LzEwLzE3PC9lZGl0aW9u
PjxrZXl3b3Jkcz48a2V5d29yZD5BZHVsdDwva2V5d29yZD48a2V5d29yZD5CZWhhdmlvciBUaGVy
YXB5LyptZXRob2RzPC9rZXl3b3JkPjxrZXl3b3JkPkNvdW5zZWxpbmc8L2tleXdvcmQ+PGtleXdv
cmQ+RGlldDwva2V5d29yZD48a2V5d29yZD5FbmVyZ3kgSW50YWtlPC9rZXl3b3JkPjxrZXl3b3Jk
PkV4ZXJjaXNlPC9rZXl3b3JkPjxrZXl3b3JkPkZlbWFsZTwva2V5d29yZD48a2V5d29yZD5Gb2xs
b3ctVXAgU3R1ZGllczwva2V5d29yZD48a2V5d29yZD5IdW1hbnM8L2tleXdvcmQ+PGtleXdvcmQ+
SW5mYW50PC9rZXl3b3JkPjxrZXl3b3JkPipMaWZlIFN0eWxlPC9rZXl3b3JkPjxrZXl3b3JkPkxv
Z2lzdGljIE1vZGVsczwva2V5d29yZD48a2V5d29yZD5Nb3RoZXJzPC9rZXl3b3JkPjxrZXl3b3Jk
Pk92ZXJ3ZWlnaHQvKnByZXZlbnRpb24gJmFtcDsgY29udHJvbDwva2V5d29yZD48a2V5d29yZD5Q
b3N0cGFydHVtIFBlcmlvZDwva2V5d29yZD48a2V5d29yZD5QcmVnbmFuY3k8L2tleXdvcmQ+PGtl
eXdvcmQ+UHJlbmF0YWwgQ2FyZS9tZXRob2RzPC9rZXl3b3JkPjxrZXl3b3JkPipQcmVuYXRhbCBO
dXRyaXRpb25hbCBQaHlzaW9sb2dpY2FsIFBoZW5vbWVuYTwva2V5d29yZD48a2V5d29yZD4qV2Vp
Z2h0IEdhaW48L2tleXdvcmQ+PC9rZXl3b3Jkcz48ZGF0ZXM+PHllYXI+MjAxNTwveWVhcj48cHVi
LWRhdGVzPjxkYXRlPk9jdCAxNTwvZGF0ZT48L3B1Yi1kYXRlcz48L2RhdGVzPjxpc2JuPjE0NzEt
MjM5MyAoRWxlY3Ryb25pYykmI3hEOzE0NzEtMjM5MyAoTGlua2luZyk8L2lzYm4+PGFjY2Vzc2lv
bi1udW0+MjY0NzIxMzM8L2FjY2Vzc2lvbi1udW0+PHVybHM+PHJlbGF0ZWQtdXJscz48dXJsPmh0
dHBzOi8vd3d3Lm5jYmkubmxtLm5paC5nb3YvcHVibWVkLzI2NDcyMTMzPC91cmw+PC9yZWxhdGVk
LXVybHM+PC91cmxzPjxjdXN0b20yPlBNQzQ2MDgxNDI8L2N1c3RvbTI+PGVsZWN0cm9uaWMtcmVz
b3VyY2UtbnVtPjEwLjExODYvczEyODg0LTAxNS0wNzAxLTI8L2VsZWN0cm9uaWMtcmVzb3VyY2Ut
bnVtPjwvcmVjb3JkPjwvQ2l0ZT48L0VuZE5vdGU+AG==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554</w:t>
            </w:r>
            <w:r w:rsidRPr="00D00A59">
              <w:fldChar w:fldCharType="end"/>
            </w:r>
          </w:p>
          <w:p w14:paraId="41AA8AD5" w14:textId="77777777" w:rsidR="00973D70" w:rsidRPr="00D00A59" w:rsidRDefault="00973D70" w:rsidP="00A62770">
            <w:pPr>
              <w:rPr>
                <w:szCs w:val="18"/>
              </w:rPr>
            </w:pPr>
            <w:r w:rsidRPr="00D00A59">
              <w:rPr>
                <w:szCs w:val="18"/>
              </w:rPr>
              <w:t>Germany</w:t>
            </w:r>
          </w:p>
          <w:p w14:paraId="469CDA2E" w14:textId="77777777" w:rsidR="00973D70" w:rsidRPr="00D00A59" w:rsidRDefault="00973D70" w:rsidP="00A62770">
            <w:pPr>
              <w:rPr>
                <w:szCs w:val="18"/>
              </w:rPr>
            </w:pPr>
            <w:r w:rsidRPr="00D00A59">
              <w:rPr>
                <w:szCs w:val="18"/>
              </w:rPr>
              <w:t>FeLIPO</w:t>
            </w:r>
          </w:p>
          <w:p w14:paraId="0A6AF786" w14:textId="77777777" w:rsidR="00973D70" w:rsidRPr="00D00A59" w:rsidRDefault="00973D70" w:rsidP="00A62770">
            <w:pPr>
              <w:rPr>
                <w:szCs w:val="18"/>
              </w:rPr>
            </w:pPr>
          </w:p>
        </w:tc>
        <w:tc>
          <w:tcPr>
            <w:tcW w:w="1562" w:type="dxa"/>
          </w:tcPr>
          <w:p w14:paraId="44A676DE" w14:textId="77777777" w:rsidR="00973D70" w:rsidRPr="00D00A59" w:rsidRDefault="00973D70" w:rsidP="00A75579">
            <w:pPr>
              <w:rPr>
                <w:szCs w:val="18"/>
              </w:rPr>
            </w:pPr>
            <w:r w:rsidRPr="00D00A59">
              <w:rPr>
                <w:szCs w:val="18"/>
              </w:rPr>
              <w:t>Intervention</w:t>
            </w:r>
          </w:p>
          <w:p w14:paraId="412AFC6A" w14:textId="77777777" w:rsidR="00973D70" w:rsidRPr="00D00A59" w:rsidRDefault="00973D70" w:rsidP="00A75579">
            <w:pPr>
              <w:rPr>
                <w:szCs w:val="18"/>
              </w:rPr>
            </w:pPr>
            <w:r w:rsidRPr="00D00A59">
              <w:rPr>
                <w:szCs w:val="18"/>
              </w:rPr>
              <w:t>Cluster randomised trial</w:t>
            </w:r>
          </w:p>
        </w:tc>
        <w:tc>
          <w:tcPr>
            <w:tcW w:w="5393" w:type="dxa"/>
          </w:tcPr>
          <w:p w14:paraId="29223937" w14:textId="77777777" w:rsidR="00973D70" w:rsidRPr="00D00A59" w:rsidRDefault="00973D70" w:rsidP="00A75579">
            <w:pPr>
              <w:rPr>
                <w:szCs w:val="18"/>
              </w:rPr>
            </w:pPr>
            <w:r w:rsidRPr="00D00A59">
              <w:rPr>
                <w:b/>
                <w:szCs w:val="18"/>
              </w:rPr>
              <w:t>Aim</w:t>
            </w:r>
            <w:r w:rsidRPr="00D00A59">
              <w:rPr>
                <w:szCs w:val="18"/>
              </w:rPr>
              <w:t>: To evaluate the feasibility and effectiveness of a lifestyle intervention presented to all pregnant women.</w:t>
            </w:r>
          </w:p>
          <w:p w14:paraId="20F9AA21" w14:textId="77777777" w:rsidR="00973D70" w:rsidRPr="00D00A59" w:rsidRDefault="00973D70" w:rsidP="00A75579">
            <w:pPr>
              <w:rPr>
                <w:szCs w:val="18"/>
              </w:rPr>
            </w:pPr>
            <w:r w:rsidRPr="00D00A59">
              <w:rPr>
                <w:b/>
                <w:szCs w:val="18"/>
              </w:rPr>
              <w:t>Population</w:t>
            </w:r>
            <w:r w:rsidRPr="00D00A59">
              <w:rPr>
                <w:szCs w:val="18"/>
              </w:rPr>
              <w:t>: Healthy pregnant women of mixed BMIs.</w:t>
            </w:r>
          </w:p>
          <w:p w14:paraId="250081D7" w14:textId="77777777" w:rsidR="00973D70" w:rsidRPr="00D00A59" w:rsidRDefault="00973D70" w:rsidP="00654EEB">
            <w:r w:rsidRPr="00D00A59">
              <w:rPr>
                <w:b/>
              </w:rPr>
              <w:t>Intervention</w:t>
            </w:r>
            <w:r w:rsidRPr="00D00A59">
              <w:t>: Two individual counselling modules given by trained researchers at the 20th and 30th week of gestation, respectively. The sessions were structured and comprised the three main topics: nutrition, physical activity, and GWG monitoring. The first session lasted up to 60 minutes (min) and included the main components of the intervention. The second session (about 30 min) repeated topics from the first but was more detailed for selected aspects in a problem-oriented manner. In addition, each session included an individual component where women received personalised feedback on their nutrition and physical activity habits based on 7-day dietary records and physical activity questionnaires.</w:t>
            </w:r>
          </w:p>
          <w:p w14:paraId="1F81E462" w14:textId="77777777" w:rsidR="00973D70" w:rsidRPr="00D00A59" w:rsidRDefault="00973D70" w:rsidP="00654EEB">
            <w:r w:rsidRPr="00D00A59">
              <w:t>The dietary intervention aimed at decreasing the intake of energy-dense foods and high-fat foods (e.g. fast food, sweets, and sugar-sweetened beverages), increasing fruit, vegetable and wholegrain product consumption, and improving the quality of fat consumed by increasing the amount of fish in the diet and choosing the correct fat/oil for cooking and or use as spreads.</w:t>
            </w:r>
          </w:p>
          <w:p w14:paraId="55233DD2" w14:textId="77777777" w:rsidR="00973D70" w:rsidRPr="00D00A59" w:rsidRDefault="00973D70" w:rsidP="00A75579">
            <w:pPr>
              <w:rPr>
                <w:szCs w:val="18"/>
              </w:rPr>
            </w:pPr>
            <w:r w:rsidRPr="00D00A59">
              <w:rPr>
                <w:szCs w:val="18"/>
              </w:rPr>
              <w:t>The advice on physical activity was in accordance with the current guidelines for physical activity during pregnancy from the Society of Obstetricians and Gynecologists of Canada (SOGC) and the American College of Obstetricians and Gynecologists (ACOG): 30 minutes of moderate intensity activity on most days of the week at an appropriate heart-rate zone. Women were provided with a list of adequate local prenatal exercise programs and advised to participate in programs like these.</w:t>
            </w:r>
          </w:p>
        </w:tc>
        <w:tc>
          <w:tcPr>
            <w:tcW w:w="5664" w:type="dxa"/>
          </w:tcPr>
          <w:p w14:paraId="4407804C" w14:textId="41DB0410" w:rsidR="00973D70" w:rsidRPr="00D00A59" w:rsidRDefault="00973D70" w:rsidP="00A75579">
            <w:pPr>
              <w:rPr>
                <w:szCs w:val="18"/>
              </w:rPr>
            </w:pPr>
            <w:r w:rsidRPr="00D00A59">
              <w:rPr>
                <w:szCs w:val="18"/>
              </w:rPr>
              <w:t>Intervention vs control (data adjusted as per Shepherd et al):</w:t>
            </w:r>
            <w:r w:rsidRPr="00D00A59">
              <w:rPr>
                <w:szCs w:val="18"/>
              </w:rPr>
              <w:fldChar w:fldCharType="begin"/>
            </w:r>
            <w:r w:rsidR="002747EA">
              <w:rPr>
                <w:szCs w:val="18"/>
              </w:rPr>
              <w:instrText xml:space="preserve"> ADDIN EN.CITE &lt;EndNote&gt;&lt;Cite&gt;&lt;Author&gt;Shepherd&lt;/Author&gt;&lt;Year&gt;2017&lt;/Year&gt;&lt;RecNum&gt;636&lt;/RecNum&gt;&lt;DisplayText&gt;&lt;style face="superscript" font="Trebuchet MS" size="9"&gt;526&lt;/style&gt;&lt;/DisplayText&gt;&lt;record&gt;&lt;rec-number&gt;636&lt;/rec-number&gt;&lt;foreign-keys&gt;&lt;key app="EN" db-id="exvasrfx2dtraoesasxp2szsxa2df502592x" timestamp="1540429019"&gt;636&lt;/key&gt;&lt;key app="ENWeb" db-id=""&gt;0&lt;/key&gt;&lt;/foreign-keys&gt;&lt;ref-type name="Journal Article"&gt;17&lt;/ref-type&gt;&lt;contributors&gt;&lt;authors&gt;&lt;author&gt;Shepherd, Emily&lt;/author&gt;&lt;author&gt;Gomersall, Judith C.&lt;/author&gt;&lt;author&gt;Tieu, Joanna&lt;/author&gt;&lt;author&gt;Han, Shanshan&lt;/author&gt;&lt;author&gt;Crowther, Caroline A.&lt;/author&gt;&lt;author&gt;Middleton, Philippa&lt;/author&gt;&lt;/authors&gt;&lt;/contributors&gt;&lt;titles&gt;&lt;title&gt;Combined diet and exercise interventions for preventing gestational diabetes mellitus&lt;/title&gt;&lt;secondary-title&gt;Cochrane Database of Systematic Reviews&lt;/secondary-title&gt;&lt;/titles&gt;&lt;periodical&gt;&lt;full-title&gt;Cochrane Database of Systematic Reviews&lt;/full-title&gt;&lt;/periodical&gt;&lt;dates&gt;&lt;year&gt;2017&lt;/year&gt;&lt;/dates&gt;&lt;isbn&gt;14651858&lt;/isbn&gt;&lt;urls&gt;&lt;/urls&gt;&lt;electronic-resource-num&gt;10.1002/14651858.CD010443.pub3&lt;/electronic-resource-num&gt;&lt;/record&gt;&lt;/Cite&gt;&lt;/EndNote&gt;</w:instrText>
            </w:r>
            <w:r w:rsidRPr="00D00A59">
              <w:rPr>
                <w:szCs w:val="18"/>
              </w:rPr>
              <w:fldChar w:fldCharType="separate"/>
            </w:r>
            <w:r w:rsidR="002747EA" w:rsidRPr="002747EA">
              <w:rPr>
                <w:noProof/>
                <w:szCs w:val="18"/>
                <w:vertAlign w:val="superscript"/>
              </w:rPr>
              <w:t>526</w:t>
            </w:r>
            <w:r w:rsidRPr="00D00A59">
              <w:rPr>
                <w:szCs w:val="18"/>
              </w:rPr>
              <w:fldChar w:fldCharType="end"/>
            </w:r>
          </w:p>
          <w:p w14:paraId="6ED1C9BC" w14:textId="77777777" w:rsidR="00973D70" w:rsidRPr="00D00A59" w:rsidRDefault="00973D70" w:rsidP="00A75579">
            <w:pPr>
              <w:pStyle w:val="bullet"/>
              <w:rPr>
                <w:szCs w:val="18"/>
              </w:rPr>
            </w:pPr>
            <w:r w:rsidRPr="00D00A59">
              <w:rPr>
                <w:szCs w:val="18"/>
              </w:rPr>
              <w:t>Gestational weight gain: 14.1±4.1 (n=33) vs 15.6±5.8 (n=16)</w:t>
            </w:r>
          </w:p>
          <w:p w14:paraId="0135213E" w14:textId="77777777" w:rsidR="00973D70" w:rsidRPr="00D00A59" w:rsidRDefault="00973D70" w:rsidP="00A75579">
            <w:pPr>
              <w:pStyle w:val="bullet"/>
              <w:rPr>
                <w:szCs w:val="18"/>
              </w:rPr>
            </w:pPr>
            <w:r w:rsidRPr="00D00A59">
              <w:rPr>
                <w:szCs w:val="18"/>
              </w:rPr>
              <w:t>Excess gestational weight gain: 13/33 vs 10/16</w:t>
            </w:r>
          </w:p>
          <w:p w14:paraId="6E490962" w14:textId="77777777" w:rsidR="00973D70" w:rsidRPr="00D00A59" w:rsidRDefault="00973D70" w:rsidP="00A75579">
            <w:pPr>
              <w:pStyle w:val="bullet"/>
              <w:rPr>
                <w:szCs w:val="18"/>
              </w:rPr>
            </w:pPr>
            <w:r w:rsidRPr="00D00A59">
              <w:rPr>
                <w:szCs w:val="18"/>
              </w:rPr>
              <w:t>Gestational diabetes: 2/32 vs 2/16</w:t>
            </w:r>
          </w:p>
          <w:p w14:paraId="02F9E7D9" w14:textId="77777777" w:rsidR="00973D70" w:rsidRPr="00D00A59" w:rsidRDefault="00973D70" w:rsidP="00A75579">
            <w:pPr>
              <w:pStyle w:val="bullet"/>
              <w:rPr>
                <w:szCs w:val="18"/>
              </w:rPr>
            </w:pPr>
            <w:r w:rsidRPr="00D00A59">
              <w:rPr>
                <w:szCs w:val="18"/>
              </w:rPr>
              <w:t>Caesarean section: 10/34 vs 7/17</w:t>
            </w:r>
          </w:p>
          <w:p w14:paraId="4840166C" w14:textId="77777777" w:rsidR="00973D70" w:rsidRPr="00D00A59" w:rsidRDefault="00973D70" w:rsidP="00A75579">
            <w:pPr>
              <w:pStyle w:val="bullet"/>
              <w:rPr>
                <w:szCs w:val="18"/>
              </w:rPr>
            </w:pPr>
            <w:r w:rsidRPr="00D00A59">
              <w:rPr>
                <w:szCs w:val="18"/>
              </w:rPr>
              <w:t>Preterm birth: 1/34 vs 1/17</w:t>
            </w:r>
          </w:p>
          <w:p w14:paraId="5DA8F59E" w14:textId="77777777" w:rsidR="00973D70" w:rsidRPr="00D00A59" w:rsidRDefault="00973D70" w:rsidP="00A75579">
            <w:pPr>
              <w:pStyle w:val="bullet"/>
              <w:rPr>
                <w:szCs w:val="18"/>
              </w:rPr>
            </w:pPr>
            <w:r w:rsidRPr="00D00A59">
              <w:rPr>
                <w:szCs w:val="18"/>
              </w:rPr>
              <w:t>Small for gestational age: 1/34 vs 1/17</w:t>
            </w:r>
          </w:p>
          <w:p w14:paraId="35E38AB6" w14:textId="77777777" w:rsidR="00973D70" w:rsidRPr="00D00A59" w:rsidRDefault="00973D70" w:rsidP="00A75579">
            <w:pPr>
              <w:pStyle w:val="bullet"/>
              <w:rPr>
                <w:szCs w:val="18"/>
              </w:rPr>
            </w:pPr>
            <w:r w:rsidRPr="00D00A59">
              <w:rPr>
                <w:szCs w:val="18"/>
              </w:rPr>
              <w:t>Large for gestational age: 2/34 vs 2/17</w:t>
            </w:r>
          </w:p>
          <w:p w14:paraId="754D3990" w14:textId="77777777" w:rsidR="00973D70" w:rsidRPr="00D00A59" w:rsidRDefault="00973D70" w:rsidP="00A75579">
            <w:pPr>
              <w:pStyle w:val="bullet"/>
              <w:rPr>
                <w:szCs w:val="18"/>
              </w:rPr>
            </w:pPr>
            <w:r w:rsidRPr="00D00A59">
              <w:rPr>
                <w:szCs w:val="18"/>
              </w:rPr>
              <w:t>Postnatal weight retention: 0.2±3.6 (n=32) vs 0.8±5.7 (n=14)</w:t>
            </w:r>
          </w:p>
          <w:p w14:paraId="2EA63429" w14:textId="77777777" w:rsidR="00973D70" w:rsidRPr="00D00A59" w:rsidRDefault="00973D70" w:rsidP="00A75579">
            <w:pPr>
              <w:pStyle w:val="bullet"/>
              <w:rPr>
                <w:szCs w:val="18"/>
              </w:rPr>
            </w:pPr>
            <w:r w:rsidRPr="00D00A59">
              <w:rPr>
                <w:szCs w:val="18"/>
              </w:rPr>
              <w:t>Childhood weight: 9.38±0.93 (n=33) vs 9.74±1.0 (n=15)</w:t>
            </w:r>
          </w:p>
        </w:tc>
      </w:tr>
      <w:tr w:rsidR="00973D70" w:rsidRPr="00D00A59" w14:paraId="05523A09" w14:textId="77777777" w:rsidTr="0030223E">
        <w:trPr>
          <w:cantSplit/>
        </w:trPr>
        <w:tc>
          <w:tcPr>
            <w:tcW w:w="1417" w:type="dxa"/>
          </w:tcPr>
          <w:p w14:paraId="63C8966A" w14:textId="5D622AFF" w:rsidR="00973D70" w:rsidRPr="00D00A59" w:rsidRDefault="00973D70" w:rsidP="00A62770">
            <w:pPr>
              <w:rPr>
                <w:szCs w:val="18"/>
              </w:rPr>
            </w:pPr>
            <w:r w:rsidRPr="00654EEB">
              <w:t>Renault et al 2014</w:t>
            </w:r>
            <w:r w:rsidRPr="00D00A59">
              <w:rPr>
                <w:szCs w:val="18"/>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Cs w:val="18"/>
              </w:rPr>
              <w:instrText xml:space="preserve"> ADDIN EN.CITE </w:instrText>
            </w:r>
            <w:r w:rsidR="002747EA">
              <w:rPr>
                <w:szCs w:val="18"/>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Cs w:val="18"/>
              </w:rPr>
              <w:instrText xml:space="preserve"> ADDIN EN.CITE.DATA </w:instrText>
            </w:r>
            <w:r w:rsidR="002747EA">
              <w:rPr>
                <w:szCs w:val="18"/>
              </w:rPr>
            </w:r>
            <w:r w:rsidR="002747EA">
              <w:rPr>
                <w:szCs w:val="18"/>
              </w:rPr>
              <w:fldChar w:fldCharType="end"/>
            </w:r>
            <w:r w:rsidRPr="00D00A59">
              <w:rPr>
                <w:szCs w:val="18"/>
              </w:rPr>
            </w:r>
            <w:r w:rsidRPr="00D00A59">
              <w:rPr>
                <w:szCs w:val="18"/>
              </w:rPr>
              <w:fldChar w:fldCharType="separate"/>
            </w:r>
            <w:r w:rsidR="002747EA" w:rsidRPr="002747EA">
              <w:rPr>
                <w:noProof/>
                <w:szCs w:val="18"/>
                <w:vertAlign w:val="superscript"/>
              </w:rPr>
              <w:t>451</w:t>
            </w:r>
            <w:r w:rsidRPr="00D00A59">
              <w:rPr>
                <w:szCs w:val="18"/>
              </w:rPr>
              <w:fldChar w:fldCharType="end"/>
            </w:r>
          </w:p>
          <w:p w14:paraId="213F552C" w14:textId="77777777" w:rsidR="00973D70" w:rsidRPr="00D00A59" w:rsidRDefault="00973D70" w:rsidP="00A62770">
            <w:pPr>
              <w:rPr>
                <w:szCs w:val="18"/>
              </w:rPr>
            </w:pPr>
            <w:r w:rsidRPr="00D00A59">
              <w:rPr>
                <w:szCs w:val="18"/>
              </w:rPr>
              <w:t>Denmark</w:t>
            </w:r>
          </w:p>
        </w:tc>
        <w:tc>
          <w:tcPr>
            <w:tcW w:w="1562" w:type="dxa"/>
          </w:tcPr>
          <w:p w14:paraId="15B34BB5" w14:textId="77777777" w:rsidR="00973D70" w:rsidRPr="00D00A59" w:rsidRDefault="00973D70" w:rsidP="00A75579">
            <w:pPr>
              <w:rPr>
                <w:szCs w:val="18"/>
              </w:rPr>
            </w:pPr>
            <w:r w:rsidRPr="00D00A59">
              <w:rPr>
                <w:szCs w:val="18"/>
              </w:rPr>
              <w:t>Intervention 130</w:t>
            </w:r>
          </w:p>
          <w:p w14:paraId="1A6C269D" w14:textId="77777777" w:rsidR="00973D70" w:rsidRPr="00D00A59" w:rsidRDefault="00973D70" w:rsidP="00A75579">
            <w:pPr>
              <w:rPr>
                <w:szCs w:val="18"/>
              </w:rPr>
            </w:pPr>
            <w:r w:rsidRPr="00D00A59">
              <w:rPr>
                <w:szCs w:val="18"/>
              </w:rPr>
              <w:t>Control 67</w:t>
            </w:r>
          </w:p>
          <w:p w14:paraId="42120FEE" w14:textId="77777777" w:rsidR="00973D70" w:rsidRPr="00D00A59" w:rsidRDefault="00973D70" w:rsidP="00A75579">
            <w:pPr>
              <w:rPr>
                <w:szCs w:val="18"/>
              </w:rPr>
            </w:pPr>
            <w:r w:rsidRPr="00D00A59">
              <w:rPr>
                <w:szCs w:val="18"/>
              </w:rPr>
              <w:t>3-armed trial; control group halved</w:t>
            </w:r>
          </w:p>
        </w:tc>
        <w:tc>
          <w:tcPr>
            <w:tcW w:w="5393" w:type="dxa"/>
          </w:tcPr>
          <w:p w14:paraId="49F9EE75" w14:textId="77777777" w:rsidR="00973D70" w:rsidRPr="00D00A59" w:rsidRDefault="00973D70" w:rsidP="00A75579">
            <w:pPr>
              <w:rPr>
                <w:szCs w:val="18"/>
              </w:rPr>
            </w:pPr>
            <w:r w:rsidRPr="00D00A59">
              <w:rPr>
                <w:b/>
                <w:szCs w:val="18"/>
              </w:rPr>
              <w:t>Aim</w:t>
            </w:r>
            <w:r w:rsidRPr="00D00A59">
              <w:rPr>
                <w:szCs w:val="18"/>
              </w:rPr>
              <w:t>: to assess physical activity intervention assessed by a pedometer with or without dietary intervention on gestational weight gain (GWG).</w:t>
            </w:r>
          </w:p>
          <w:p w14:paraId="143DE5E8" w14:textId="77777777" w:rsidR="00973D70" w:rsidRPr="00D00A59" w:rsidRDefault="00973D70" w:rsidP="00A75579">
            <w:pPr>
              <w:rPr>
                <w:szCs w:val="18"/>
              </w:rPr>
            </w:pPr>
            <w:r w:rsidRPr="00D00A59">
              <w:rPr>
                <w:b/>
                <w:szCs w:val="18"/>
              </w:rPr>
              <w:t>Population</w:t>
            </w:r>
            <w:r w:rsidRPr="00D00A59">
              <w:rPr>
                <w:szCs w:val="18"/>
              </w:rPr>
              <w:t>: Pregnant women older than 18 years, a singleton pregnancy, and a normal scan in weeks 11-14, gestational age &lt;16 weeks with BMI≥30 kg/m</w:t>
            </w:r>
            <w:r w:rsidRPr="00D00A59">
              <w:rPr>
                <w:szCs w:val="18"/>
                <w:vertAlign w:val="superscript"/>
              </w:rPr>
              <w:t>2</w:t>
            </w:r>
            <w:r w:rsidRPr="00D00A59">
              <w:rPr>
                <w:szCs w:val="18"/>
              </w:rPr>
              <w:t xml:space="preserve">. </w:t>
            </w:r>
          </w:p>
          <w:p w14:paraId="25A9C23C" w14:textId="77777777" w:rsidR="00973D70" w:rsidRPr="00D00A59" w:rsidRDefault="00973D70" w:rsidP="00654EEB">
            <w:r w:rsidRPr="00D00A59">
              <w:rPr>
                <w:b/>
              </w:rPr>
              <w:t>Intervention</w:t>
            </w:r>
            <w:r w:rsidRPr="00D00A59">
              <w:t xml:space="preserve">: </w:t>
            </w:r>
            <w:r w:rsidRPr="00D00A59">
              <w:rPr>
                <w:rFonts w:eastAsiaTheme="majorEastAsia"/>
              </w:rPr>
              <w:t>I</w:t>
            </w:r>
            <w:r w:rsidRPr="00D00A59">
              <w:t xml:space="preserve">mmediately after randomisation women were individually advised and encouraged by the dietitian to increase physical activity, aiming at a daily step count of 11,000, which corresponds to 150% of the average step count in healthy lean pregnant women. Physical activity was monitored by a validated pedometer. </w:t>
            </w:r>
          </w:p>
          <w:p w14:paraId="7C8D402D" w14:textId="77777777" w:rsidR="00973D70" w:rsidRPr="00D00A59" w:rsidRDefault="00973D70" w:rsidP="00654EEB">
            <w:r w:rsidRPr="00D00A59">
              <w:t>The dietary intervention consisted of contact with an experienced dietitian every 2 weeks, alternating between outpatient visits and phone contacts (11-13, depending on length of gestation).</w:t>
            </w:r>
          </w:p>
          <w:p w14:paraId="51E3EA05" w14:textId="77777777" w:rsidR="00973D70" w:rsidRPr="00D00A59" w:rsidRDefault="00973D70" w:rsidP="00A75579">
            <w:pPr>
              <w:rPr>
                <w:szCs w:val="18"/>
              </w:rPr>
            </w:pPr>
            <w:r w:rsidRPr="00D00A59">
              <w:rPr>
                <w:rFonts w:eastAsiaTheme="majorEastAsia"/>
                <w:szCs w:val="18"/>
              </w:rPr>
              <w:t>I</w:t>
            </w:r>
            <w:r w:rsidRPr="00D00A59">
              <w:rPr>
                <w:szCs w:val="18"/>
              </w:rPr>
              <w:t xml:space="preserve">ndividual recommendations were provided for a hypocaloric low-fat diet with 1200-1675 kcal (5000-7000 KJ), corresponding to a Mediterranean-style diet which covers preference of polyunsaturated fat by intake of </w:t>
            </w:r>
            <w:r w:rsidRPr="00D00A59">
              <w:rPr>
                <w:rFonts w:eastAsiaTheme="majorEastAsia"/>
                <w:szCs w:val="18"/>
              </w:rPr>
              <w:t>fi</w:t>
            </w:r>
            <w:r w:rsidRPr="00D00A59">
              <w:rPr>
                <w:szCs w:val="18"/>
              </w:rPr>
              <w:t>sh and oils. The diet was based on the Danish national recommendations for a healthy diet.</w:t>
            </w:r>
          </w:p>
        </w:tc>
        <w:tc>
          <w:tcPr>
            <w:tcW w:w="5664" w:type="dxa"/>
          </w:tcPr>
          <w:p w14:paraId="2F959C68" w14:textId="77777777" w:rsidR="00973D70" w:rsidRPr="00D00A59" w:rsidRDefault="00973D70" w:rsidP="00A75579">
            <w:pPr>
              <w:rPr>
                <w:szCs w:val="18"/>
              </w:rPr>
            </w:pPr>
            <w:r w:rsidRPr="00D00A59">
              <w:rPr>
                <w:szCs w:val="18"/>
              </w:rPr>
              <w:t>Intervention vs control:</w:t>
            </w:r>
          </w:p>
          <w:p w14:paraId="199E0C6A" w14:textId="77777777" w:rsidR="00973D70" w:rsidRPr="00D00A59" w:rsidRDefault="00973D70" w:rsidP="00A75579">
            <w:pPr>
              <w:pStyle w:val="bullet"/>
              <w:rPr>
                <w:szCs w:val="18"/>
              </w:rPr>
            </w:pPr>
            <w:r w:rsidRPr="00D00A59">
              <w:rPr>
                <w:szCs w:val="18"/>
              </w:rPr>
              <w:t>Excess gestational weight gain: 59/130 vs 42/67</w:t>
            </w:r>
          </w:p>
          <w:p w14:paraId="5F4EEEAF" w14:textId="77777777" w:rsidR="00973D70" w:rsidRPr="00D00A59" w:rsidRDefault="00973D70" w:rsidP="00A75579">
            <w:pPr>
              <w:pStyle w:val="bullet"/>
              <w:rPr>
                <w:szCs w:val="18"/>
              </w:rPr>
            </w:pPr>
            <w:r w:rsidRPr="00D00A59">
              <w:rPr>
                <w:szCs w:val="18"/>
              </w:rPr>
              <w:t>Gestational hypertension: 5/139 vs 5/67</w:t>
            </w:r>
          </w:p>
          <w:p w14:paraId="7227A7E8" w14:textId="77777777" w:rsidR="00973D70" w:rsidRPr="00D00A59" w:rsidRDefault="00973D70" w:rsidP="00A75579">
            <w:pPr>
              <w:pStyle w:val="bullet"/>
              <w:rPr>
                <w:szCs w:val="18"/>
              </w:rPr>
            </w:pPr>
            <w:r w:rsidRPr="00D00A59">
              <w:rPr>
                <w:szCs w:val="18"/>
              </w:rPr>
              <w:t>Pre-eclampsia: 21/130 vs 2/67</w:t>
            </w:r>
          </w:p>
          <w:p w14:paraId="7661648B" w14:textId="77777777" w:rsidR="00973D70" w:rsidRPr="00D00A59" w:rsidRDefault="00973D70" w:rsidP="00A75579">
            <w:pPr>
              <w:pStyle w:val="bullet"/>
              <w:rPr>
                <w:szCs w:val="18"/>
              </w:rPr>
            </w:pPr>
            <w:r w:rsidRPr="00D00A59">
              <w:rPr>
                <w:szCs w:val="18"/>
              </w:rPr>
              <w:t>Caesarean section: 32/130 vs 25/67</w:t>
            </w:r>
          </w:p>
          <w:p w14:paraId="115B0CAE" w14:textId="77777777" w:rsidR="00973D70" w:rsidRPr="00D00A59" w:rsidRDefault="00973D70" w:rsidP="00A75579">
            <w:pPr>
              <w:pStyle w:val="bullet"/>
              <w:rPr>
                <w:szCs w:val="18"/>
              </w:rPr>
            </w:pPr>
            <w:r w:rsidRPr="00D00A59">
              <w:rPr>
                <w:szCs w:val="18"/>
              </w:rPr>
              <w:t>Preterm birth: 4/130 vs 3/67</w:t>
            </w:r>
          </w:p>
          <w:p w14:paraId="6D021D24" w14:textId="77777777" w:rsidR="00973D70" w:rsidRPr="00D00A59" w:rsidRDefault="00973D70" w:rsidP="00A75579">
            <w:pPr>
              <w:pStyle w:val="bullet"/>
              <w:rPr>
                <w:szCs w:val="18"/>
              </w:rPr>
            </w:pPr>
            <w:r w:rsidRPr="00D00A59">
              <w:rPr>
                <w:szCs w:val="18"/>
              </w:rPr>
              <w:t>Macrosomia (&gt;4000 g): 29/130 vs 17/67</w:t>
            </w:r>
          </w:p>
          <w:p w14:paraId="0524D52F" w14:textId="77777777" w:rsidR="00973D70" w:rsidRPr="00D00A59" w:rsidRDefault="00973D70" w:rsidP="00A75579">
            <w:pPr>
              <w:pStyle w:val="bullet"/>
              <w:rPr>
                <w:szCs w:val="18"/>
              </w:rPr>
            </w:pPr>
            <w:r w:rsidRPr="00D00A59">
              <w:rPr>
                <w:szCs w:val="18"/>
              </w:rPr>
              <w:t>Small for gestational age: 7/130 vs 1/67</w:t>
            </w:r>
          </w:p>
          <w:p w14:paraId="71131D26" w14:textId="77777777" w:rsidR="00973D70" w:rsidRPr="00D00A59" w:rsidRDefault="00973D70" w:rsidP="00A75579">
            <w:pPr>
              <w:pStyle w:val="bullet"/>
              <w:rPr>
                <w:szCs w:val="18"/>
              </w:rPr>
            </w:pPr>
            <w:r w:rsidRPr="00D00A59">
              <w:rPr>
                <w:szCs w:val="18"/>
              </w:rPr>
              <w:t>Large for gestational age: 9/130 vs 6/67</w:t>
            </w:r>
          </w:p>
        </w:tc>
      </w:tr>
      <w:tr w:rsidR="00973D70" w:rsidRPr="00D00A59" w14:paraId="643CD28B" w14:textId="77777777" w:rsidTr="0030223E">
        <w:trPr>
          <w:cantSplit/>
        </w:trPr>
        <w:tc>
          <w:tcPr>
            <w:tcW w:w="1417" w:type="dxa"/>
          </w:tcPr>
          <w:p w14:paraId="3E892F3B" w14:textId="2BC38C88" w:rsidR="00973D70" w:rsidRPr="00D00A59" w:rsidRDefault="00973D70" w:rsidP="00654EEB">
            <w:r w:rsidRPr="00D00A59">
              <w:rPr>
                <w:noProof/>
              </w:rPr>
              <w:t>Ronnberg et al 2015;</w:t>
            </w:r>
            <w:r w:rsidRPr="00D00A59">
              <w:rPr>
                <w:noProof/>
              </w:rPr>
              <w:fldChar w:fldCharType="begin"/>
            </w:r>
            <w:r w:rsidR="002747EA">
              <w:rPr>
                <w:noProof/>
              </w:rPr>
              <w:instrText xml:space="preserve"> ADDIN EN.CITE &lt;EndNote&gt;&lt;Cite&gt;&lt;Author&gt;Ronnberg&lt;/Author&gt;&lt;Year&gt;2015&lt;/Year&gt;&lt;RecNum&gt;754&lt;/RecNum&gt;&lt;DisplayText&gt;&lt;style face="superscript" font="Trebuchet MS" size="9"&gt;486&lt;/style&gt;&lt;/DisplayText&gt;&lt;record&gt;&lt;rec-number&gt;754&lt;/rec-number&gt;&lt;foreign-keys&gt;&lt;key app="EN" db-id="exvasrfx2dtraoesasxp2szsxa2df502592x" timestamp="1541467952"&gt;754&lt;/key&gt;&lt;key app="ENWeb" db-id=""&gt;0&lt;/key&gt;&lt;/foreign-keys&gt;&lt;ref-type name="Journal Article"&gt;17&lt;/ref-type&gt;&lt;contributors&gt;&lt;authors&gt;&lt;author&gt;Ronnberg, A. K.&lt;/author&gt;&lt;author&gt;Ostlund, I.&lt;/author&gt;&lt;author&gt;Fadl, H.&lt;/author&gt;&lt;author&gt;Gottvall, T.&lt;/author&gt;&lt;author&gt;Nilsson, K.&lt;/author&gt;&lt;/authors&gt;&lt;/contributors&gt;&lt;titles&gt;&lt;title&gt;Intervention during pregnancy to reduce excessive gestational weight gain-a randomised controlled trial&lt;/title&gt;&lt;secondary-title&gt;BJOG: An International Journal of Obstetrics &amp;amp; Gynaecology&lt;/secondary-title&gt;&lt;/titles&gt;&lt;periodical&gt;&lt;full-title&gt;BJOG: An International Journal of Obstetrics &amp;amp; Gynaecology&lt;/full-title&gt;&lt;/periodical&gt;&lt;pages&gt;537-544&lt;/pages&gt;&lt;volume&gt;122&lt;/volume&gt;&lt;number&gt;4&lt;/number&gt;&lt;section&gt;537&lt;/section&gt;&lt;dates&gt;&lt;year&gt;2015&lt;/year&gt;&lt;/dates&gt;&lt;isbn&gt;14700328&lt;/isbn&gt;&lt;urls&gt;&lt;/urls&gt;&lt;electronic-resource-num&gt;10.1111/1471-0528.13131&lt;/electronic-resource-num&gt;&lt;/record&gt;&lt;/Cite&gt;&lt;/EndNote&gt;</w:instrText>
            </w:r>
            <w:r w:rsidRPr="00D00A59">
              <w:rPr>
                <w:noProof/>
              </w:rPr>
              <w:fldChar w:fldCharType="separate"/>
            </w:r>
            <w:r w:rsidR="002747EA" w:rsidRPr="002747EA">
              <w:rPr>
                <w:noProof/>
                <w:vertAlign w:val="superscript"/>
              </w:rPr>
              <w:t>486</w:t>
            </w:r>
            <w:r w:rsidRPr="00D00A59">
              <w:rPr>
                <w:noProof/>
              </w:rPr>
              <w:fldChar w:fldCharType="end"/>
            </w:r>
            <w:r w:rsidRPr="00D00A59">
              <w:rPr>
                <w:noProof/>
              </w:rPr>
              <w:t xml:space="preserve"> Ronnberg et al 2016;</w:t>
            </w:r>
            <w:r w:rsidRPr="00D00A59">
              <w:rPr>
                <w:noProof/>
              </w:rPr>
              <w:fldChar w:fldCharType="begin"/>
            </w:r>
            <w:r w:rsidR="002747EA">
              <w:rPr>
                <w:noProof/>
              </w:rPr>
              <w:instrText xml:space="preserve"> ADDIN EN.CITE &lt;EndNote&gt;&lt;Cite&gt;&lt;Author&gt;Ronnberg&lt;/Author&gt;&lt;Year&gt;2016&lt;/Year&gt;&lt;RecNum&gt;755&lt;/RecNum&gt;&lt;DisplayText&gt;&lt;style face="superscript" font="Trebuchet MS" size="9"&gt;555&lt;/style&gt;&lt;/DisplayText&gt;&lt;record&gt;&lt;rec-number&gt;755&lt;/rec-number&gt;&lt;foreign-keys&gt;&lt;key app="EN" db-id="exvasrfx2dtraoesasxp2szsxa2df502592x" timestamp="1541467959"&gt;755&lt;/key&gt;&lt;key app="ENWeb" db-id=""&gt;0&lt;/key&gt;&lt;/foreign-keys&gt;&lt;ref-type name="Journal Article"&gt;17&lt;/ref-type&gt;&lt;contributors&gt;&lt;authors&gt;&lt;author&gt;Ronnberg, AnnKristin&lt;/author&gt;&lt;author&gt;Hanson, Ulf&lt;/author&gt;&lt;author&gt;Ostlund, Ingrid&lt;/author&gt;&lt;author&gt;Nilsson, Kerstin&lt;/author&gt;&lt;/authors&gt;&lt;/contributors&gt;&lt;titles&gt;&lt;title&gt;Effects on postpartum weight retention after antenatal lifestyle intervention - a secondary analysis of a randomized controlled trial&lt;/title&gt;&lt;secondary-title&gt;Acta Obstetricia et Gynecologica Scandinavica&lt;/secondary-title&gt;&lt;/titles&gt;&lt;periodical&gt;&lt;full-title&gt;Acta Obstetricia et Gynecologica Scandinavica&lt;/full-title&gt;&lt;/periodical&gt;&lt;pages&gt;999-1007&lt;/pages&gt;&lt;volume&gt;95&lt;/volume&gt;&lt;number&gt;9&lt;/number&gt;&lt;section&gt;999&lt;/section&gt;&lt;dates&gt;&lt;year&gt;2016&lt;/year&gt;&lt;/dates&gt;&lt;isbn&gt;00016349&lt;/isbn&gt;&lt;urls&gt;&lt;/urls&gt;&lt;electronic-resource-num&gt;10.1111/aogs.12910&lt;/electronic-resource-num&gt;&lt;/record&gt;&lt;/Cite&gt;&lt;/EndNote&gt;</w:instrText>
            </w:r>
            <w:r w:rsidRPr="00D00A59">
              <w:rPr>
                <w:noProof/>
              </w:rPr>
              <w:fldChar w:fldCharType="separate"/>
            </w:r>
            <w:r w:rsidR="002747EA" w:rsidRPr="002747EA">
              <w:rPr>
                <w:noProof/>
                <w:vertAlign w:val="superscript"/>
              </w:rPr>
              <w:t>555</w:t>
            </w:r>
            <w:r w:rsidRPr="00D00A59">
              <w:rPr>
                <w:noProof/>
              </w:rPr>
              <w:fldChar w:fldCharType="end"/>
            </w:r>
            <w:r w:rsidRPr="00D00A59">
              <w:rPr>
                <w:noProof/>
              </w:rPr>
              <w:t xml:space="preserve"> Ronnberg et al 2017</w:t>
            </w:r>
            <w:r w:rsidRPr="00D00A59">
              <w:fldChar w:fldCharType="begin"/>
            </w:r>
            <w:r w:rsidR="002747EA">
              <w:instrText xml:space="preserve"> ADDIN EN.CITE &lt;EndNote&gt;&lt;Cite&gt;&lt;Author&gt;Ronnberg&lt;/Author&gt;&lt;Year&gt;2017&lt;/Year&gt;&lt;RecNum&gt;930&lt;/RecNum&gt;&lt;DisplayText&gt;&lt;style face="superscript" font="Trebuchet MS" size="9"&gt;556&lt;/style&gt;&lt;/DisplayText&gt;&lt;record&gt;&lt;rec-number&gt;930&lt;/rec-number&gt;&lt;foreign-keys&gt;&lt;key app="EN" db-id="exvasrfx2dtraoesasxp2szsxa2df502592x" timestamp="1541540946"&gt;930&lt;/key&gt;&lt;key app="ENWeb" db-id=""&gt;0&lt;/key&gt;&lt;/foreign-keys&gt;&lt;ref-type name="Journal Article"&gt;17&lt;/ref-type&gt;&lt;contributors&gt;&lt;authors&gt;&lt;author&gt;Ronnberg, Ann-Kristin&lt;/author&gt;&lt;author&gt;Hanson, Ulf&lt;/author&gt;&lt;author&gt;Nilsson, Kerstin&lt;/author&gt;&lt;/authors&gt;&lt;/contributors&gt;&lt;titles&gt;&lt;title&gt;Effects of an antenatal lifestyle intervention on offspring obesity - a 5-year follow-up of a randomized controlled trial&lt;/title&gt;&lt;secondary-title&gt;Acta Obstetricia et Gynecologica Scandinavica&lt;/secondary-title&gt;&lt;/titles&gt;&lt;periodical&gt;&lt;full-title&gt;Acta Obstetricia et Gynecologica Scandinavica&lt;/full-title&gt;&lt;/periodical&gt;&lt;pages&gt;1093-1099&lt;/pages&gt;&lt;volume&gt;96&lt;/volume&gt;&lt;number&gt;9&lt;/number&gt;&lt;section&gt;1093&lt;/section&gt;&lt;dates&gt;&lt;year&gt;2017&lt;/year&gt;&lt;/dates&gt;&lt;isbn&gt;00016349&lt;/isbn&gt;&lt;urls&gt;&lt;/urls&gt;&lt;electronic-resource-num&gt;10.1111/aogs.13168&lt;/electronic-resource-num&gt;&lt;/record&gt;&lt;/Cite&gt;&lt;/EndNote&gt;</w:instrText>
            </w:r>
            <w:r w:rsidRPr="00D00A59">
              <w:fldChar w:fldCharType="separate"/>
            </w:r>
            <w:r w:rsidR="002747EA" w:rsidRPr="002747EA">
              <w:rPr>
                <w:noProof/>
                <w:vertAlign w:val="superscript"/>
              </w:rPr>
              <w:t>556</w:t>
            </w:r>
            <w:r w:rsidRPr="00D00A59">
              <w:fldChar w:fldCharType="end"/>
            </w:r>
          </w:p>
          <w:p w14:paraId="2FE5BA9C" w14:textId="77777777" w:rsidR="00973D70" w:rsidRPr="00D00A59" w:rsidRDefault="00973D70" w:rsidP="00A62770">
            <w:pPr>
              <w:rPr>
                <w:szCs w:val="18"/>
              </w:rPr>
            </w:pPr>
            <w:r w:rsidRPr="00D00A59">
              <w:rPr>
                <w:szCs w:val="18"/>
              </w:rPr>
              <w:t>Sweden</w:t>
            </w:r>
          </w:p>
        </w:tc>
        <w:tc>
          <w:tcPr>
            <w:tcW w:w="1562" w:type="dxa"/>
          </w:tcPr>
          <w:p w14:paraId="1B34B3CA" w14:textId="77777777" w:rsidR="00973D70" w:rsidRPr="00D00A59" w:rsidRDefault="00973D70" w:rsidP="00A75579">
            <w:pPr>
              <w:rPr>
                <w:szCs w:val="18"/>
              </w:rPr>
            </w:pPr>
            <w:r w:rsidRPr="00D00A59">
              <w:rPr>
                <w:szCs w:val="18"/>
              </w:rPr>
              <w:t>Intervention 192</w:t>
            </w:r>
          </w:p>
          <w:p w14:paraId="4FE1F9F0" w14:textId="77777777" w:rsidR="00973D70" w:rsidRPr="00D00A59" w:rsidRDefault="00973D70" w:rsidP="00A75579">
            <w:pPr>
              <w:rPr>
                <w:szCs w:val="18"/>
              </w:rPr>
            </w:pPr>
            <w:r w:rsidRPr="00D00A59">
              <w:rPr>
                <w:szCs w:val="18"/>
              </w:rPr>
              <w:t>Control 182</w:t>
            </w:r>
          </w:p>
        </w:tc>
        <w:tc>
          <w:tcPr>
            <w:tcW w:w="5393" w:type="dxa"/>
          </w:tcPr>
          <w:p w14:paraId="2B3E56D0" w14:textId="77777777" w:rsidR="00973D70" w:rsidRPr="00D00A59" w:rsidRDefault="00973D70" w:rsidP="00A75579">
            <w:pPr>
              <w:rPr>
                <w:szCs w:val="18"/>
              </w:rPr>
            </w:pPr>
            <w:r w:rsidRPr="00D00A59">
              <w:rPr>
                <w:b/>
                <w:szCs w:val="18"/>
              </w:rPr>
              <w:t>Aim</w:t>
            </w:r>
            <w:r w:rsidRPr="00D00A59">
              <w:rPr>
                <w:szCs w:val="18"/>
              </w:rPr>
              <w:t>: To evaluate if a feasible, low-cost intervention could decrease the percentage of women gaining weight above the Institute of Medicine (IOM) recommendations on gestational weight gain (GWG) compared with usual maternity care.</w:t>
            </w:r>
          </w:p>
          <w:p w14:paraId="11952F40" w14:textId="77777777" w:rsidR="00973D70" w:rsidRPr="00D00A59" w:rsidRDefault="00973D70" w:rsidP="00A75579">
            <w:pPr>
              <w:rPr>
                <w:szCs w:val="18"/>
              </w:rPr>
            </w:pPr>
            <w:r w:rsidRPr="00D00A59">
              <w:rPr>
                <w:b/>
                <w:szCs w:val="18"/>
              </w:rPr>
              <w:t>Population</w:t>
            </w:r>
            <w:r w:rsidRPr="00D00A59">
              <w:rPr>
                <w:szCs w:val="18"/>
              </w:rPr>
              <w:t xml:space="preserve">: Healthy women with a BMI </w:t>
            </w:r>
            <w:r w:rsidRPr="00D00A59">
              <w:rPr>
                <w:rFonts w:ascii="Helvetica" w:hAnsi="Helvetica"/>
                <w:szCs w:val="18"/>
              </w:rPr>
              <w:t>≥</w:t>
            </w:r>
            <w:r w:rsidRPr="00D00A59">
              <w:rPr>
                <w:szCs w:val="18"/>
              </w:rPr>
              <w:t>19 kg/m</w:t>
            </w:r>
            <w:r w:rsidRPr="00D00A59">
              <w:rPr>
                <w:rFonts w:eastAsiaTheme="majorEastAsia"/>
                <w:szCs w:val="18"/>
              </w:rPr>
              <w:t>2</w:t>
            </w:r>
            <w:r w:rsidRPr="00D00A59">
              <w:rPr>
                <w:szCs w:val="18"/>
              </w:rPr>
              <w:t xml:space="preserve">, age </w:t>
            </w:r>
            <w:r w:rsidRPr="00D00A59">
              <w:rPr>
                <w:rFonts w:ascii="Helvetica" w:hAnsi="Helvetica"/>
                <w:szCs w:val="18"/>
              </w:rPr>
              <w:t>≥</w:t>
            </w:r>
            <w:r w:rsidRPr="00D00A59">
              <w:rPr>
                <w:szCs w:val="18"/>
              </w:rPr>
              <w:t xml:space="preserve">18 years who signed in for maternity care at </w:t>
            </w:r>
            <w:r w:rsidRPr="00D00A59">
              <w:rPr>
                <w:rFonts w:ascii="Helvetica" w:hAnsi="Helvetica"/>
                <w:szCs w:val="18"/>
              </w:rPr>
              <w:t>≤</w:t>
            </w:r>
            <w:r w:rsidRPr="00D00A59">
              <w:rPr>
                <w:szCs w:val="18"/>
              </w:rPr>
              <w:t>16 weeks of gestation.</w:t>
            </w:r>
          </w:p>
          <w:p w14:paraId="23425AE1" w14:textId="77777777" w:rsidR="00973D70" w:rsidRPr="00D00A59" w:rsidRDefault="00973D70" w:rsidP="00654EEB">
            <w:r w:rsidRPr="00D00A59">
              <w:rPr>
                <w:b/>
              </w:rPr>
              <w:t>Intervention</w:t>
            </w:r>
            <w:r w:rsidRPr="00D00A59">
              <w:t>: The intervention programme consisted of individual education/ information about IOM guidelines for recommended GWG according to BMI category at first antenatal visit. The information was supplemented by a personalised graph where recommended interval of weight gain was marked. Women in intervention and control groups received recommendations on dietary intake during pregnancy according to guidelines from the Swedish National Food Administration.</w:t>
            </w:r>
          </w:p>
          <w:p w14:paraId="43A53F28" w14:textId="77777777" w:rsidR="00973D70" w:rsidRPr="00D00A59" w:rsidRDefault="00973D70" w:rsidP="00A75579">
            <w:pPr>
              <w:rPr>
                <w:szCs w:val="18"/>
              </w:rPr>
            </w:pPr>
            <w:r w:rsidRPr="00D00A59">
              <w:rPr>
                <w:szCs w:val="18"/>
              </w:rPr>
              <w:t>The midwife issued a written formalised prescription of physical activity. General recommendation of physical activity during pregnancy was moderate intensity for approximately 30 minutes per day. The midwife was instructed to follow up and renew the prescription of exercise at every antenatal visit during the pregnancy.</w:t>
            </w:r>
          </w:p>
        </w:tc>
        <w:tc>
          <w:tcPr>
            <w:tcW w:w="5664" w:type="dxa"/>
          </w:tcPr>
          <w:p w14:paraId="3574BE12" w14:textId="77777777" w:rsidR="00973D70" w:rsidRPr="00D00A59" w:rsidRDefault="00973D70" w:rsidP="00A75579">
            <w:pPr>
              <w:rPr>
                <w:szCs w:val="18"/>
              </w:rPr>
            </w:pPr>
            <w:r w:rsidRPr="00D00A59">
              <w:rPr>
                <w:szCs w:val="18"/>
              </w:rPr>
              <w:t>Intervention vs control:</w:t>
            </w:r>
          </w:p>
          <w:p w14:paraId="5AAC7887" w14:textId="77777777" w:rsidR="00973D70" w:rsidRPr="00D00A59" w:rsidRDefault="00973D70" w:rsidP="00A75579">
            <w:pPr>
              <w:pStyle w:val="bullet"/>
              <w:rPr>
                <w:szCs w:val="18"/>
              </w:rPr>
            </w:pPr>
            <w:r w:rsidRPr="00D00A59">
              <w:rPr>
                <w:szCs w:val="18"/>
              </w:rPr>
              <w:t>Gestational weight gain: 14.19±4.45 (n=192) vs 15.31±5.38 (n=182)</w:t>
            </w:r>
          </w:p>
          <w:p w14:paraId="2598B188" w14:textId="77777777" w:rsidR="00973D70" w:rsidRPr="00D00A59" w:rsidRDefault="00973D70" w:rsidP="00A75579">
            <w:pPr>
              <w:pStyle w:val="bullet"/>
              <w:rPr>
                <w:szCs w:val="18"/>
              </w:rPr>
            </w:pPr>
            <w:r w:rsidRPr="00D00A59">
              <w:rPr>
                <w:szCs w:val="18"/>
              </w:rPr>
              <w:t>Weight gain &gt;IOM guidelines: 79/192 vs 91/182</w:t>
            </w:r>
          </w:p>
          <w:p w14:paraId="6DDF63C1" w14:textId="77777777" w:rsidR="00973D70" w:rsidRPr="00D00A59" w:rsidRDefault="00973D70" w:rsidP="00A75579">
            <w:pPr>
              <w:pStyle w:val="bullet"/>
              <w:rPr>
                <w:szCs w:val="18"/>
              </w:rPr>
            </w:pPr>
            <w:r w:rsidRPr="00D00A59">
              <w:rPr>
                <w:szCs w:val="18"/>
              </w:rPr>
              <w:t>Macrosomia (&gt;4000 g): 47/192 vs 28/182</w:t>
            </w:r>
          </w:p>
          <w:p w14:paraId="2E02C98B" w14:textId="77777777" w:rsidR="00973D70" w:rsidRPr="00D00A59" w:rsidRDefault="00973D70" w:rsidP="00A75579">
            <w:pPr>
              <w:pStyle w:val="bullet"/>
              <w:rPr>
                <w:szCs w:val="18"/>
              </w:rPr>
            </w:pPr>
            <w:r w:rsidRPr="00D00A59">
              <w:rPr>
                <w:szCs w:val="18"/>
              </w:rPr>
              <w:t>Macrosomia (&gt;4500 g): 8/192 vs 8/182</w:t>
            </w:r>
          </w:p>
          <w:p w14:paraId="3BFA98A9" w14:textId="77777777" w:rsidR="00973D70" w:rsidRPr="00D00A59" w:rsidRDefault="00973D70" w:rsidP="00A75579">
            <w:pPr>
              <w:pStyle w:val="bullet"/>
              <w:rPr>
                <w:szCs w:val="18"/>
              </w:rPr>
            </w:pPr>
            <w:r w:rsidRPr="00D00A59">
              <w:rPr>
                <w:szCs w:val="18"/>
              </w:rPr>
              <w:t>Large for gestational age: 15/192 vs 11/182</w:t>
            </w:r>
          </w:p>
          <w:p w14:paraId="17BF69F5" w14:textId="77777777" w:rsidR="00973D70" w:rsidRPr="00D00A59" w:rsidRDefault="00973D70" w:rsidP="00A75579">
            <w:pPr>
              <w:pStyle w:val="bullet"/>
              <w:rPr>
                <w:szCs w:val="18"/>
              </w:rPr>
            </w:pPr>
            <w:r w:rsidRPr="00D00A59">
              <w:rPr>
                <w:szCs w:val="18"/>
              </w:rPr>
              <w:t>Small for gestational age: 3/192 vs 3/182</w:t>
            </w:r>
          </w:p>
          <w:p w14:paraId="25509853" w14:textId="77777777" w:rsidR="00973D70" w:rsidRPr="00D00A59" w:rsidRDefault="00973D70" w:rsidP="00A75579">
            <w:pPr>
              <w:pStyle w:val="bullet"/>
              <w:rPr>
                <w:szCs w:val="18"/>
              </w:rPr>
            </w:pPr>
            <w:r w:rsidRPr="00D00A59">
              <w:rPr>
                <w:szCs w:val="18"/>
              </w:rPr>
              <w:t>Postpartum weight retention (&lt;16 weeks postpartum): 1.81±4.52 (n=137) vs 3.19±4.77 (n=130)</w:t>
            </w:r>
          </w:p>
          <w:p w14:paraId="1FF06419" w14:textId="77777777" w:rsidR="00973D70" w:rsidRPr="00D00A59" w:rsidRDefault="00973D70" w:rsidP="00A75579">
            <w:pPr>
              <w:pStyle w:val="bullet"/>
              <w:rPr>
                <w:szCs w:val="18"/>
              </w:rPr>
            </w:pPr>
            <w:r w:rsidRPr="00D00A59">
              <w:rPr>
                <w:szCs w:val="18"/>
              </w:rPr>
              <w:t>Postpartum weight retention (1 year postpartum): 0.30±5.52 (n=87) vs 1.00±5.46 (n=81)</w:t>
            </w:r>
          </w:p>
        </w:tc>
      </w:tr>
      <w:tr w:rsidR="00973D70" w:rsidRPr="000C3AC0" w14:paraId="01DD2E50" w14:textId="77777777" w:rsidTr="0030223E">
        <w:trPr>
          <w:cantSplit/>
        </w:trPr>
        <w:tc>
          <w:tcPr>
            <w:tcW w:w="1417" w:type="dxa"/>
          </w:tcPr>
          <w:p w14:paraId="0C6618EF" w14:textId="54F0606A" w:rsidR="00973D70" w:rsidRPr="007244D9" w:rsidRDefault="00973D70" w:rsidP="00654EEB">
            <w:pPr>
              <w:rPr>
                <w:noProof/>
              </w:rPr>
            </w:pPr>
            <w:r w:rsidRPr="007244D9">
              <w:rPr>
                <w:noProof/>
              </w:rPr>
              <w:t>Ruchat et al 2012</w:t>
            </w:r>
            <w:r w:rsidR="00767EBF">
              <w:rPr>
                <w:noProof/>
              </w:rPr>
              <w:fldChar w:fldCharType="begin"/>
            </w:r>
            <w:r w:rsidR="002747EA">
              <w:rPr>
                <w:noProof/>
              </w:rPr>
              <w:instrText xml:space="preserve"> ADDIN EN.CITE &lt;EndNote&gt;&lt;Cite&gt;&lt;Author&gt;Ruchat&lt;/Author&gt;&lt;Year&gt;2012&lt;/Year&gt;&lt;RecNum&gt;756&lt;/RecNum&gt;&lt;DisplayText&gt;&lt;style face="superscript" font="Trebuchet MS" size="9"&gt;482&lt;/style&gt;&lt;/DisplayText&gt;&lt;record&gt;&lt;rec-number&gt;756&lt;/rec-number&gt;&lt;foreign-keys&gt;&lt;key app="EN" db-id="exvasrfx2dtraoesasxp2szsxa2df502592x" timestamp="1541467965"&gt;756&lt;/key&gt;&lt;key app="ENWeb" db-id=""&gt;0&lt;/key&gt;&lt;/foreign-keys&gt;&lt;ref-type name="Journal Article"&gt;17&lt;/ref-type&gt;&lt;contributors&gt;&lt;authors&gt;&lt;author&gt;Ruchat, S-M.,&lt;/author&gt;&lt;author&gt;Davenport, M.H.,&lt;/author&gt;&lt;author&gt;Giroux, I.,&lt;/author&gt;&lt;author&gt;Hillier, M.,&lt;/author&gt;&lt;author&gt;Batada, A.,&lt;/author&gt;&lt;author&gt;Sopper, M.M.,&lt;/author&gt;&lt;author&gt;Hammond, J.M.S.,&lt;/author&gt;&lt;author&gt;Mottola, M.F.,&lt;/author&gt;&lt;/authors&gt;&lt;/contributors&gt;&lt;titles&gt;&lt;title&gt;Nutrition and exercise reduce excessive weight gain in normal-weight pregnant women&lt;/title&gt;&lt;secondary-title&gt;Medicine &amp;amp; Science in Sports &amp;amp; Exercise&lt;/secondary-title&gt;&lt;/titles&gt;&lt;periodical&gt;&lt;full-title&gt;Medicine &amp;amp; Science in Sports &amp;amp; Exercise&lt;/full-title&gt;&lt;/periodical&gt;&lt;pages&gt;1419-1426&lt;/pages&gt;&lt;volume&gt;44&lt;/volume&gt;&lt;number&gt;8&lt;/number&gt;&lt;section&gt;1419&lt;/section&gt;&lt;dates&gt;&lt;year&gt;2012&lt;/year&gt;&lt;/dates&gt;&lt;isbn&gt;0195-9131&lt;/isbn&gt;&lt;urls&gt;&lt;/urls&gt;&lt;electronic-resource-num&gt;10.1249/MSS.0b013e31825365f1&lt;/electronic-resource-num&gt;&lt;/record&gt;&lt;/Cite&gt;&lt;/EndNote&gt;</w:instrText>
            </w:r>
            <w:r w:rsidR="00767EBF">
              <w:rPr>
                <w:noProof/>
              </w:rPr>
              <w:fldChar w:fldCharType="separate"/>
            </w:r>
            <w:r w:rsidR="002747EA" w:rsidRPr="002747EA">
              <w:rPr>
                <w:noProof/>
                <w:vertAlign w:val="superscript"/>
              </w:rPr>
              <w:t>482</w:t>
            </w:r>
            <w:r w:rsidR="00767EBF">
              <w:rPr>
                <w:noProof/>
              </w:rPr>
              <w:fldChar w:fldCharType="end"/>
            </w:r>
          </w:p>
          <w:p w14:paraId="43D734A8" w14:textId="77777777" w:rsidR="00973D70" w:rsidRPr="007244D9" w:rsidRDefault="00973D70" w:rsidP="00654EEB">
            <w:pPr>
              <w:rPr>
                <w:noProof/>
              </w:rPr>
            </w:pPr>
            <w:r w:rsidRPr="007244D9">
              <w:rPr>
                <w:noProof/>
              </w:rPr>
              <w:t>Canada</w:t>
            </w:r>
          </w:p>
        </w:tc>
        <w:tc>
          <w:tcPr>
            <w:tcW w:w="1562" w:type="dxa"/>
          </w:tcPr>
          <w:p w14:paraId="320BF4D6" w14:textId="77777777" w:rsidR="00973D70" w:rsidRPr="007244D9" w:rsidRDefault="00973D70" w:rsidP="00A75579">
            <w:pPr>
              <w:rPr>
                <w:sz w:val="16"/>
                <w:szCs w:val="16"/>
              </w:rPr>
            </w:pPr>
            <w:r w:rsidRPr="007244D9">
              <w:rPr>
                <w:sz w:val="16"/>
                <w:szCs w:val="16"/>
              </w:rPr>
              <w:t>Low intensity 23</w:t>
            </w:r>
          </w:p>
          <w:p w14:paraId="0FBC8D7D" w14:textId="77777777" w:rsidR="00973D70" w:rsidRPr="007244D9" w:rsidRDefault="00973D70" w:rsidP="00A75579">
            <w:pPr>
              <w:rPr>
                <w:sz w:val="16"/>
                <w:szCs w:val="16"/>
              </w:rPr>
            </w:pPr>
            <w:r w:rsidRPr="007244D9">
              <w:rPr>
                <w:sz w:val="16"/>
                <w:szCs w:val="16"/>
              </w:rPr>
              <w:t>Moderate intensity 26</w:t>
            </w:r>
          </w:p>
          <w:p w14:paraId="4F8C9C6C" w14:textId="77777777" w:rsidR="00973D70" w:rsidRPr="007244D9" w:rsidRDefault="00973D70" w:rsidP="00A75579">
            <w:pPr>
              <w:rPr>
                <w:sz w:val="16"/>
                <w:szCs w:val="16"/>
              </w:rPr>
            </w:pPr>
            <w:r w:rsidRPr="007244D9">
              <w:rPr>
                <w:sz w:val="16"/>
                <w:szCs w:val="16"/>
              </w:rPr>
              <w:t>Control 45</w:t>
            </w:r>
          </w:p>
        </w:tc>
        <w:tc>
          <w:tcPr>
            <w:tcW w:w="5393" w:type="dxa"/>
          </w:tcPr>
          <w:p w14:paraId="6059B4EC" w14:textId="77777777" w:rsidR="00973D70" w:rsidRPr="007244D9" w:rsidRDefault="00973D70" w:rsidP="00C32E77">
            <w:r w:rsidRPr="007244D9">
              <w:rPr>
                <w:b/>
              </w:rPr>
              <w:t xml:space="preserve">Aim: </w:t>
            </w:r>
            <w:r w:rsidRPr="007244D9">
              <w:t xml:space="preserve">To evaluate the effect of an exercise program of two different intensities, with nutritional control, on gestational weight gain (GWG), infant birth weight, and maternal weight retention at 2 months postpartum. </w:t>
            </w:r>
          </w:p>
          <w:p w14:paraId="6C7EABD5" w14:textId="77777777" w:rsidR="00973D70" w:rsidRPr="007244D9" w:rsidRDefault="00973D70" w:rsidP="002949EF">
            <w:r w:rsidRPr="007244D9">
              <w:rPr>
                <w:b/>
              </w:rPr>
              <w:t>Population</w:t>
            </w:r>
            <w:r w:rsidRPr="007244D9">
              <w:t>: Pregnant women with prepregnancy BMI 18.5–24.9 between 16 and 20 wk gestation.</w:t>
            </w:r>
          </w:p>
          <w:p w14:paraId="5292EC02" w14:textId="77777777" w:rsidR="00973D70" w:rsidRPr="007244D9" w:rsidRDefault="00973D70" w:rsidP="002949EF">
            <w:r w:rsidRPr="007244D9">
              <w:rPr>
                <w:b/>
              </w:rPr>
              <w:t>Intervention</w:t>
            </w:r>
            <w:r w:rsidRPr="007244D9">
              <w:t xml:space="preserve">: Low-intensity (30% HR reserve) or moderate-intensity (70% HR reserve) exercise program that consisted of walking sessions three to four times per week, gradually increasing exercise time from 25 to 40 min per session. </w:t>
            </w:r>
          </w:p>
          <w:p w14:paraId="6974FCA3" w14:textId="77777777" w:rsidR="00973D70" w:rsidRPr="007244D9" w:rsidRDefault="00973D70" w:rsidP="00654EEB">
            <w:pPr>
              <w:rPr>
                <w:b/>
              </w:rPr>
            </w:pPr>
            <w:r w:rsidRPr="007244D9">
              <w:t>Specific nutritional goals as indicated by the modified gestational diabetes meal plan were total daily energy intake of approximately 2000 kcal</w:t>
            </w:r>
            <w:r w:rsidRPr="007244D9">
              <w:rPr>
                <w:rFonts w:ascii="Times" w:hAnsi="Times"/>
              </w:rPr>
              <w:t>/d</w:t>
            </w:r>
            <w:r w:rsidRPr="007244D9">
              <w:t xml:space="preserve">)); daily carbohydrate intake 40%–55% of total energy intake, emphasising complex carbohydrates and low-glycaemic index foods; total daily fat intake 30% of total energy intake (substituting monounsaturated and polyunsaturated fatty acids for saturated and trans–fatty acids), with the remaining 20%–30% of energy intake dedicated to protein; and to meet daily micronutrient and fluid recommendations during pregnancy. </w:t>
            </w:r>
          </w:p>
        </w:tc>
        <w:tc>
          <w:tcPr>
            <w:tcW w:w="5664" w:type="dxa"/>
          </w:tcPr>
          <w:p w14:paraId="480CF958" w14:textId="77777777" w:rsidR="00973D70" w:rsidRPr="007244D9" w:rsidRDefault="00973D70" w:rsidP="008577D3">
            <w:r w:rsidRPr="007244D9">
              <w:t>Low intensity vs moderate intensity vs control:</w:t>
            </w:r>
          </w:p>
          <w:p w14:paraId="34C66FAC" w14:textId="77777777" w:rsidR="00973D70" w:rsidRPr="007244D9" w:rsidRDefault="00973D70" w:rsidP="00D21E9D">
            <w:pPr>
              <w:pStyle w:val="bullet"/>
            </w:pPr>
            <w:r w:rsidRPr="007244D9">
              <w:t>Gestational weight gain: 15.3</w:t>
            </w:r>
            <w:r w:rsidRPr="007244D9">
              <w:rPr>
                <w:rFonts w:ascii="Times" w:hAnsi="Times"/>
              </w:rPr>
              <w:t>±</w:t>
            </w:r>
            <w:r w:rsidRPr="007244D9">
              <w:t>2.9 vs 14.9</w:t>
            </w:r>
            <w:r w:rsidRPr="007244D9">
              <w:rPr>
                <w:rFonts w:ascii="Times" w:hAnsi="Times"/>
              </w:rPr>
              <w:t>±</w:t>
            </w:r>
            <w:r w:rsidRPr="007244D9">
              <w:t>3.8 vs 18.3</w:t>
            </w:r>
            <w:r w:rsidRPr="007244D9">
              <w:rPr>
                <w:rFonts w:ascii="Times" w:hAnsi="Times"/>
              </w:rPr>
              <w:t>±</w:t>
            </w:r>
            <w:r w:rsidRPr="007244D9">
              <w:t>5.3 kg</w:t>
            </w:r>
          </w:p>
          <w:p w14:paraId="3BB6F6FF" w14:textId="77777777" w:rsidR="00973D70" w:rsidRPr="007244D9" w:rsidRDefault="00973D70" w:rsidP="00D21E9D">
            <w:pPr>
              <w:pStyle w:val="bullet"/>
            </w:pPr>
            <w:r w:rsidRPr="007244D9">
              <w:t>Weight gain exceeding IOM guidelines: 8/23 vs 8/26 vs 24/45</w:t>
            </w:r>
          </w:p>
          <w:p w14:paraId="752E627C" w14:textId="77777777" w:rsidR="00973D70" w:rsidRPr="007244D9" w:rsidRDefault="00973D70" w:rsidP="00D21E9D">
            <w:pPr>
              <w:pStyle w:val="bullet"/>
            </w:pPr>
            <w:r w:rsidRPr="007244D9">
              <w:t>Weight retention at 2 months postpartum: 5.4±3.9 vs 4.6±3.3 vs 7.2±3.8</w:t>
            </w:r>
          </w:p>
          <w:p w14:paraId="0F8524B0" w14:textId="77777777" w:rsidR="00973D70" w:rsidRPr="007244D9" w:rsidRDefault="00973D70" w:rsidP="00D21E9D"/>
        </w:tc>
      </w:tr>
      <w:tr w:rsidR="00973D70" w:rsidRPr="00D00A59" w14:paraId="5FFE3DD9" w14:textId="77777777" w:rsidTr="0030223E">
        <w:trPr>
          <w:cantSplit/>
        </w:trPr>
        <w:tc>
          <w:tcPr>
            <w:tcW w:w="1417" w:type="dxa"/>
          </w:tcPr>
          <w:p w14:paraId="1D465349" w14:textId="2F09E3E6" w:rsidR="00973D70" w:rsidRPr="00D00A59" w:rsidRDefault="00973D70" w:rsidP="00654EEB">
            <w:r w:rsidRPr="00D00A59">
              <w:rPr>
                <w:noProof/>
              </w:rPr>
              <w:t>Sagedal et al 2017a;</w:t>
            </w:r>
            <w:r w:rsidRPr="00D00A59">
              <w:rPr>
                <w:noProof/>
              </w:rPr>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rPr>
                <w:noProof/>
              </w:rPr>
              <w:instrText xml:space="preserve"> ADDIN EN.CITE </w:instrText>
            </w:r>
            <w:r w:rsidR="002747EA">
              <w:rPr>
                <w:noProof/>
              </w:rPr>
              <w:fldChar w:fldCharType="begin">
                <w:fldData xml:space="preserve">PEVuZE5vdGU+PENpdGU+PEF1dGhvcj5TYWdlZGFsPC9BdXRob3I+PFllYXI+MjAxNzwvWWVhcj48
UmVjTnVtPjkzOTwvUmVjTnVtPjxEaXNwbGF5VGV4dD48c3R5bGUgZmFjZT0ic3VwZXJzY3JpcHQi
IGZvbnQ9IlRyZWJ1Y2hldCBNUyIgc2l6ZT0iOSI+NDg3PC9zdHlsZT48L0Rpc3BsYXlUZXh0Pjxy
ZWNvcmQ+PHJlYy1udW1iZXI+OTM5PC9yZWMtbnVtYmVyPjxmb3JlaWduLWtleXM+PGtleSBhcHA9
IkVOIiBkYi1pZD0iZXh2YXNyZngyZHRyYW9lc2FzeHAyc3pzeGEyZGY1MDI1OTJ4IiB0aW1lc3Rh
bXA9IjE1NDE1NDE4MjIiPjkzOTwva2V5PjxrZXkgYXBwPSJFTldlYiIgZGItaWQ9IiI+MDwva2V5
PjwvZm9yZWlnbi1rZXlzPjxyZWYtdHlwZSBuYW1lPSJKb3VybmFsIEFydGljbGUiPjE3PC9yZWYt
dHlwZT48Y29udHJpYnV0b3JzPjxhdXRob3JzPjxhdXRob3I+U2FnZWRhbCwgTC4gUi48L2F1dGhv
cj48YXV0aG9yPlZpc3RhZCwgSS48L2F1dGhvcj48YXV0aG9yPk92ZXJieSwgTi4gQy48L2F1dGhv
cj48YXV0aG9yPkJlcmUsIEUuPC9hdXRob3I+PGF1dGhvcj5Ub3JzdHZlaXQsIE0uIEsuPC9hdXRo
b3I+PGF1dGhvcj5Mb2huZS1TZWlsZXIsIEguPC9hdXRob3I+PGF1dGhvcj5IaWxsZXN1bmQsIEUu
IFIuPC9hdXRob3I+PGF1dGhvcj5QcmlwcCwgQS48L2F1dGhvcj48YXV0aG9yPkhlbnJpa3Nlbiwg
VC48L2F1dGhvcj48L2F1dGhvcnM+PC9jb250cmlidXRvcnM+PGF1dGgtYWRkcmVzcz5EZXBhcnRt
ZW50IG9mIE9ic3RldHJpY3MgYW5kIEd5bmVjb2xvZ3kvRGVwYXJ0bWVudCBvZiBSZXNlYXJjaCwg
U29ybGFuZGV0IEhvc3BpdGFsLCBQb3N0Ym94IDQxNiwgNDYwNCwgS3Jpc3RpYW5zYW5kLCBOb3J3
YXkuIGxpbmRhLnNhZ2VkYWxAc3NoZi5uby4mI3hEO0RlcGFydG1lbnQgb2YgT2JzdGV0cmljcyBh
bmQgR3luZWNvbG9neS9EZXBhcnRtZW50IG9mIFJlc2VhcmNoLCBTb3JsYW5kZXQgSG9zcGl0YWws
IFBvc3Rib3ggNDE2LCA0NjA0LCBLcmlzdGlhbnNhbmQsIE5vcndheS4mI3hEO0RlcGFydG1lbnQg
b2YgUHVibGljIEhlYWx0aCwgU3BvcnRzIGFuZCBOdXRyaXRpb24sIFVuaXZlcnNpdHkgb2YgQWdk
ZXIsIFBvc3Rib3ggNDIyLCA0NjA0LCBLcmlzdGlhbnNhbmQsIE5vcndheS4mI3hEO0RlcGFydG1l
bnQgb2YgQmlvc3RhdGlzdGljcyBhbmQgRXBpZGVtaW9sb2d5LCBPc2xvIFVuaXZlcnNpdHkgSG9z
cGl0YWwsIFBvc3Rib3ggNDk1MCwgTnlkYWxlbiwgMDQyNCwgT3NsbywgTm9yd2F5LiYjeEQ7U2Vj
dGlvbiBvZiBPYnN0ZXRyaWNzLCBXb21lbiBhbmQgQ2hpbGRyZW4mYXBvcztzIERpdmlzaW9uLCBP
c2xvIFVuaXZlcnNpdHkgSG9zcGl0YWwgYW5kIFVuaXZlcnNpdHkgb2YgT3NsbywgUG9zdGJveCA0
OTUwLCBOeWRhbGVuLCAwNDI0LCBPc2xvLCBOb3J3YXkuPC9hdXRoLWFkZHJlc3M+PHRpdGxlcz48
dGl0bGU+VGhlIGVmZmVjdCBvZiBhIHByZW5hdGFsIGxpZmVzdHlsZSBpbnRlcnZlbnRpb24gb24g
Z2x1Y29zZSBtZXRhYm9saXNtOiByZXN1bHRzIG9mIHRoZSBOb3J3ZWdpYW4gRml0IGZvciBEZWxp
dmVyeSByYW5kb21pemVkIGNvbnRyb2xsZWQgdHJpYWw8L3RpdGxlPjxzZWNvbmRhcnktdGl0bGU+
Qk1DIFByZWduYW5jeSBDaGlsZGJpcnRoPC9zZWNvbmRhcnktdGl0bGU+PC90aXRsZXM+PHBlcmlv
ZGljYWw+PGZ1bGwtdGl0bGU+Qk1DIFByZWduYW5jeSBDaGlsZGJpcnRoPC9mdWxsLXRpdGxlPjwv
cGVyaW9kaWNhbD48cGFnZXM+MTY3PC9wYWdlcz48dm9sdW1lPjE3PC92b2x1bWU+PG51bWJlcj4x
PC9udW1iZXI+PGVkaXRpb24+MjAxNy8wNi8wNTwvZWRpdGlvbj48a2V5d29yZHM+PGtleXdvcmQ+
QWR1bHQ8L2tleXdvcmQ+PGtleXdvcmQ+Qm9keSBNYXNzIEluZGV4PC9rZXl3b3JkPjxrZXl3b3Jk
PkRpYWJldGVzLCBHZXN0YXRpb25hbC9wcmV2ZW50aW9uICZhbXA7IGNvbnRyb2w8L2tleXdvcmQ+
PGtleXdvcmQ+RmVtYWxlPC9rZXl3b3JkPjxrZXl3b3JkPkhlYWx0aCBQcm9tb3Rpb24vKm1ldGhv
ZHM8L2tleXdvcmQ+PGtleXdvcmQ+SHVtYW5zPC9rZXl3b3JkPjxrZXl3b3JkPipJbnN1bGluIFJl
c2lzdGFuY2U8L2tleXdvcmQ+PGtleXdvcmQ+Tm9yd2F5PC9rZXl3b3JkPjxrZXl3b3JkPk9iZXNp
dHkvbWV0YWJvbGlzbS8qcHJldmVudGlvbiAmYW1wOyBjb250cm9sPC9rZXl3b3JkPjxrZXl3b3Jk
PlByZWduYW5jeTwva2V5d29yZD48a2V5d29yZD5QcmVnbmFuY3kgQ29tcGxpY2F0aW9ucy9tZXRh
Ym9saXNtLypwcmV2ZW50aW9uICZhbXA7IGNvbnRyb2w8L2tleXdvcmQ+PGtleXdvcmQ+UHJlbmF0
YWwgQ2FyZS8qbWV0aG9kczwva2V5d29yZD48a2V5d29yZD5Zb3VuZyBBZHVsdDwva2V5d29yZD48
a2V5d29yZD5HZXN0YXRpb25hbCBkaWFiZXRlczwva2V5d29yZD48a2V5d29yZD5JbnRlcnZlbnRp
b248L2tleXdvcmQ+PGtleXdvcmQ+TGlmZXN0eWxlPC9rZXl3b3JkPjxrZXl3b3JkPk9iZXNpdHk8
L2tleXdvcmQ+PGtleXdvcmQ+T3ZlcndlaWdodDwva2V5d29yZD48L2tleXdvcmRzPjxkYXRlcz48
eWVhcj4yMDE3PC95ZWFyPjxwdWItZGF0ZXM+PGRhdGU+SnVuIDI8L2RhdGU+PC9wdWItZGF0ZXM+
PC9kYXRlcz48aXNibj4xNDcxLTIzOTMgKEVsZWN0cm9uaWMpJiN4RDsxNDcxLTIzOTMgKExpbmtp
bmcpPC9pc2JuPjxhY2Nlc3Npb24tbnVtPjI4NTc3NTQ1PC9hY2Nlc3Npb24tbnVtPjx1cmxzPjxy
ZWxhdGVkLXVybHM+PHVybD5odHRwczovL3d3dy5uY2JpLm5sbS5uaWguZ292L3B1Ym1lZC8yODU3
NzU0NTwvdXJsPjwvcmVsYXRlZC11cmxzPjwvdXJscz48Y3VzdG9tMj5QTUM1NDU3NTQzPC9jdXN0
b20yPjxlbGVjdHJvbmljLXJlc291cmNlLW51bT4xMC4xMTg2L3MxMjg4NC0wMTctMTM0MC02PC9l
bGVjdHJvbmljLXJlc291cmNlLW51bT48L3JlY29yZD48L0NpdGU+PC9FbmROb3RlPgB=
</w:fldData>
              </w:fldChar>
            </w:r>
            <w:r w:rsidR="002747EA">
              <w:rPr>
                <w:noProof/>
              </w:rPr>
              <w:instrText xml:space="preserve"> ADDIN EN.CITE.DATA </w:instrText>
            </w:r>
            <w:r w:rsidR="002747EA">
              <w:rPr>
                <w:noProof/>
              </w:rPr>
            </w:r>
            <w:r w:rsidR="002747EA">
              <w:rPr>
                <w:noProof/>
              </w:rPr>
              <w:fldChar w:fldCharType="end"/>
            </w:r>
            <w:r w:rsidRPr="00D00A59">
              <w:rPr>
                <w:noProof/>
              </w:rPr>
            </w:r>
            <w:r w:rsidRPr="00D00A59">
              <w:rPr>
                <w:noProof/>
              </w:rPr>
              <w:fldChar w:fldCharType="separate"/>
            </w:r>
            <w:r w:rsidR="002747EA" w:rsidRPr="002747EA">
              <w:rPr>
                <w:noProof/>
                <w:vertAlign w:val="superscript"/>
              </w:rPr>
              <w:t>487</w:t>
            </w:r>
            <w:r w:rsidRPr="00D00A59">
              <w:rPr>
                <w:noProof/>
              </w:rPr>
              <w:fldChar w:fldCharType="end"/>
            </w:r>
            <w:r w:rsidRPr="00D00A59">
              <w:rPr>
                <w:noProof/>
              </w:rPr>
              <w:t xml:space="preserve"> Sagedal et al 2017b;</w:t>
            </w:r>
            <w:r w:rsidRPr="00D00A59">
              <w:rPr>
                <w:noProof/>
              </w:rPr>
              <w:fldChar w:fldCharType="begin"/>
            </w:r>
            <w:r w:rsidR="002747EA">
              <w:rPr>
                <w:noProof/>
              </w:rPr>
              <w:instrText xml:space="preserve"> ADDIN EN.CITE &lt;EndNote&gt;&lt;Cite&gt;&lt;Author&gt;Sagedal&lt;/Author&gt;&lt;Year&gt;2017&lt;/Year&gt;&lt;RecNum&gt;1091&lt;/RecNum&gt;&lt;DisplayText&gt;&lt;style face="superscript" font="Trebuchet MS" size="9"&gt;557&lt;/style&gt;&lt;/DisplayText&gt;&lt;record&gt;&lt;rec-number&gt;1091&lt;/rec-number&gt;&lt;foreign-keys&gt;&lt;key app="EN" db-id="exvasrfx2dtraoesasxp2szsxa2df502592x" timestamp="1552946534"&gt;1091&lt;/key&gt;&lt;key app="ENWeb" db-id=""&gt;0&lt;/key&gt;&lt;/foreign-keys&gt;&lt;ref-type name="Journal Article"&gt;17&lt;/ref-type&gt;&lt;contributors&gt;&lt;authors&gt;&lt;author&gt;Sagedal, L. R.&lt;/author&gt;&lt;author&gt;Sanda, B.&lt;/author&gt;&lt;author&gt;Øverby, N. C.&lt;/author&gt;&lt;author&gt;Bere, E.&lt;/author&gt;&lt;author&gt;Torstveit, M. K.&lt;/author&gt;&lt;author&gt;Lohne-Seiler, H.&lt;/author&gt;&lt;author&gt;Hillesund, E. R.&lt;/author&gt;&lt;author&gt;Pripp, A. H.&lt;/author&gt;&lt;author&gt;Henriksen, T.&lt;/author&gt;&lt;author&gt;Vistad, I.&lt;/author&gt;&lt;/authors&gt;&lt;/contributors&gt;&lt;titles&gt;&lt;title&gt;The effect of prenatal lifestyle intervention on weight retention 12 months postpartum: results of the Norwegian Fit for Delivery randomised controlled trial&lt;/title&gt;&lt;secondary-title&gt;BJOG: An International Journal of Obstetrics &amp;amp; Gynaecology&lt;/secondary-title&gt;&lt;/titles&gt;&lt;periodical&gt;&lt;full-title&gt;BJOG: An International Journal of Obstetrics &amp;amp; Gynaecology&lt;/full-title&gt;&lt;/periodical&gt;&lt;pages&gt;111-121&lt;/pages&gt;&lt;volume&gt;124&lt;/volume&gt;&lt;number&gt;1&lt;/number&gt;&lt;section&gt;111&lt;/section&gt;&lt;dates&gt;&lt;year&gt;2017&lt;/year&gt;&lt;/dates&gt;&lt;isbn&gt;14700328&lt;/isbn&gt;&lt;urls&gt;&lt;/urls&gt;&lt;electronic-resource-num&gt;10.1111/1471-0528.13863&lt;/electronic-resource-num&gt;&lt;/record&gt;&lt;/Cite&gt;&lt;/EndNote&gt;</w:instrText>
            </w:r>
            <w:r w:rsidRPr="00D00A59">
              <w:rPr>
                <w:noProof/>
              </w:rPr>
              <w:fldChar w:fldCharType="separate"/>
            </w:r>
            <w:r w:rsidR="002747EA" w:rsidRPr="002747EA">
              <w:rPr>
                <w:noProof/>
                <w:vertAlign w:val="superscript"/>
              </w:rPr>
              <w:t>557</w:t>
            </w:r>
            <w:r w:rsidRPr="00D00A59">
              <w:rPr>
                <w:noProof/>
              </w:rPr>
              <w:fldChar w:fldCharType="end"/>
            </w:r>
            <w:r w:rsidRPr="00D00A59">
              <w:rPr>
                <w:noProof/>
              </w:rPr>
              <w:t xml:space="preserve"> </w:t>
            </w:r>
          </w:p>
          <w:p w14:paraId="2DF5CF0C" w14:textId="77777777" w:rsidR="00973D70" w:rsidRPr="00D00A59" w:rsidRDefault="00973D70" w:rsidP="00A62770">
            <w:pPr>
              <w:rPr>
                <w:szCs w:val="18"/>
              </w:rPr>
            </w:pPr>
            <w:r w:rsidRPr="00D00A59">
              <w:rPr>
                <w:szCs w:val="18"/>
              </w:rPr>
              <w:t>Fit for Delivery</w:t>
            </w:r>
          </w:p>
          <w:p w14:paraId="4A14BA54" w14:textId="77777777" w:rsidR="00973D70" w:rsidRPr="00D00A59" w:rsidRDefault="00973D70" w:rsidP="00A62770">
            <w:pPr>
              <w:rPr>
                <w:szCs w:val="18"/>
              </w:rPr>
            </w:pPr>
            <w:r w:rsidRPr="00D00A59">
              <w:rPr>
                <w:szCs w:val="18"/>
              </w:rPr>
              <w:t>Norway</w:t>
            </w:r>
          </w:p>
        </w:tc>
        <w:tc>
          <w:tcPr>
            <w:tcW w:w="1562" w:type="dxa"/>
          </w:tcPr>
          <w:p w14:paraId="183D007C" w14:textId="77777777" w:rsidR="00973D70" w:rsidRPr="00D00A59" w:rsidRDefault="00973D70" w:rsidP="00A75579">
            <w:pPr>
              <w:rPr>
                <w:szCs w:val="18"/>
              </w:rPr>
            </w:pPr>
            <w:r w:rsidRPr="00D00A59">
              <w:rPr>
                <w:szCs w:val="18"/>
              </w:rPr>
              <w:t>Intervention 296</w:t>
            </w:r>
          </w:p>
          <w:p w14:paraId="774851F6" w14:textId="77777777" w:rsidR="00973D70" w:rsidRPr="00D00A59" w:rsidRDefault="00973D70" w:rsidP="00A75579">
            <w:pPr>
              <w:rPr>
                <w:szCs w:val="18"/>
              </w:rPr>
            </w:pPr>
            <w:r w:rsidRPr="00D00A59">
              <w:rPr>
                <w:szCs w:val="18"/>
              </w:rPr>
              <w:t>Control 295</w:t>
            </w:r>
          </w:p>
        </w:tc>
        <w:tc>
          <w:tcPr>
            <w:tcW w:w="5393" w:type="dxa"/>
          </w:tcPr>
          <w:p w14:paraId="2C7D3E0F" w14:textId="77777777" w:rsidR="00973D70" w:rsidRPr="00D00A59" w:rsidRDefault="00973D70" w:rsidP="00A75579">
            <w:pPr>
              <w:rPr>
                <w:szCs w:val="18"/>
              </w:rPr>
            </w:pPr>
            <w:r w:rsidRPr="00D00A59">
              <w:rPr>
                <w:b/>
                <w:szCs w:val="18"/>
              </w:rPr>
              <w:t>Aim</w:t>
            </w:r>
            <w:r w:rsidRPr="00D00A59">
              <w:rPr>
                <w:szCs w:val="18"/>
              </w:rPr>
              <w:t>: To examine whether a lifestyle intervention in pregnancy limits gestational weight gain (GWG) and provides measurable health benefits for mother and newborn.</w:t>
            </w:r>
          </w:p>
          <w:p w14:paraId="5BC28A4F" w14:textId="77777777" w:rsidR="00973D70" w:rsidRPr="00D00A59" w:rsidRDefault="00973D70" w:rsidP="00A75579">
            <w:pPr>
              <w:rPr>
                <w:szCs w:val="18"/>
              </w:rPr>
            </w:pPr>
            <w:r w:rsidRPr="00D00A59">
              <w:rPr>
                <w:b/>
                <w:szCs w:val="18"/>
              </w:rPr>
              <w:t>Population</w:t>
            </w:r>
            <w:r w:rsidRPr="00D00A59">
              <w:rPr>
                <w:szCs w:val="18"/>
              </w:rPr>
              <w:t>: Pregnant women who were nulliparous, with a singleton pregnancy at ≤20 weeks of gestation, had a pre-pregnancy body mass index (BMI) of ≥19 kg/m</w:t>
            </w:r>
            <w:r w:rsidRPr="00D00A59">
              <w:rPr>
                <w:rFonts w:eastAsiaTheme="majorEastAsia"/>
                <w:szCs w:val="18"/>
                <w:vertAlign w:val="superscript"/>
              </w:rPr>
              <w:t>2</w:t>
            </w:r>
            <w:r w:rsidRPr="00D00A59">
              <w:rPr>
                <w:szCs w:val="18"/>
              </w:rPr>
              <w:t>.</w:t>
            </w:r>
          </w:p>
          <w:p w14:paraId="5140CFC4" w14:textId="77777777" w:rsidR="00973D70" w:rsidRPr="00D00A59" w:rsidRDefault="00973D70" w:rsidP="00654EEB">
            <w:r w:rsidRPr="00D00A59">
              <w:rPr>
                <w:b/>
              </w:rPr>
              <w:t>Intervention</w:t>
            </w:r>
            <w:r w:rsidRPr="00D00A59">
              <w:t>: Dietary counselling was performed by telephone, with an initial consultation and then a follow-up 4</w:t>
            </w:r>
            <w:r w:rsidRPr="00D00A59">
              <w:rPr>
                <w:rFonts w:ascii="Helvetica" w:eastAsiaTheme="majorEastAsia" w:hAnsi="Helvetica"/>
              </w:rPr>
              <w:t>–</w:t>
            </w:r>
            <w:r w:rsidRPr="00D00A59">
              <w:t xml:space="preserve">6 weeks later, each of approximately 20 minutes. Counsellors were either experienced clinical dieticians or graduate students in public health. </w:t>
            </w:r>
          </w:p>
          <w:p w14:paraId="3E6F6E97" w14:textId="77777777" w:rsidR="00973D70" w:rsidRPr="00D00A59" w:rsidRDefault="00973D70" w:rsidP="00654EEB">
            <w:r w:rsidRPr="00D00A59">
              <w:rPr>
                <w:shd w:val="clear" w:color="auto" w:fill="FFFFFF"/>
              </w:rPr>
              <w:t>Nutritional advice was based on recommendations from the Norwegian Directorate for Health with specific attention given to intake of fruits and vegetables, drinking water instead of drinks containing energy, regular meal patterns, and limiting consumption of snack foods and foods/drinks containing added sugar.</w:t>
            </w:r>
          </w:p>
          <w:p w14:paraId="53F26F45" w14:textId="77777777" w:rsidR="00973D70" w:rsidRPr="00D00A59" w:rsidRDefault="00973D70" w:rsidP="00A75579">
            <w:pPr>
              <w:rPr>
                <w:szCs w:val="18"/>
              </w:rPr>
            </w:pPr>
            <w:r w:rsidRPr="00D00A59">
              <w:rPr>
                <w:szCs w:val="18"/>
              </w:rPr>
              <w:t>The physical activity component consisted of access to twice-weekly exercise classes at a local gym, all following the same pattern: 10 minutes of warm-up, 40 minutes of strength training and cardiovascular exercise at moderate intensity (using aerobics, calisthenics, and weight training), and 10 minutes of stretching. The intensity of the exercise was self-monitored using Borg’s scale with a target of 12-14. Classes were led by physical therapists or students in sports science.</w:t>
            </w:r>
          </w:p>
        </w:tc>
        <w:tc>
          <w:tcPr>
            <w:tcW w:w="5664" w:type="dxa"/>
          </w:tcPr>
          <w:p w14:paraId="16A390CC" w14:textId="77777777" w:rsidR="00973D70" w:rsidRPr="00D00A59" w:rsidRDefault="00973D70" w:rsidP="00A75579">
            <w:pPr>
              <w:rPr>
                <w:szCs w:val="18"/>
              </w:rPr>
            </w:pPr>
            <w:r w:rsidRPr="00D00A59">
              <w:rPr>
                <w:szCs w:val="18"/>
              </w:rPr>
              <w:t>Intervention vs control:</w:t>
            </w:r>
          </w:p>
          <w:p w14:paraId="1BF696B6" w14:textId="77777777" w:rsidR="00973D70" w:rsidRPr="00D00A59" w:rsidRDefault="00973D70" w:rsidP="00A75579">
            <w:pPr>
              <w:pStyle w:val="bullet"/>
              <w:rPr>
                <w:szCs w:val="18"/>
              </w:rPr>
            </w:pPr>
            <w:r w:rsidRPr="00D00A59">
              <w:rPr>
                <w:szCs w:val="18"/>
              </w:rPr>
              <w:t>Gestational weight gain: 14.4±6.2 (n=267) vs 15.8±5.7 (n=266)</w:t>
            </w:r>
          </w:p>
          <w:p w14:paraId="5E008B39" w14:textId="77777777" w:rsidR="00973D70" w:rsidRPr="00D00A59" w:rsidRDefault="00973D70" w:rsidP="00A75579">
            <w:pPr>
              <w:pStyle w:val="bullet"/>
              <w:rPr>
                <w:szCs w:val="18"/>
              </w:rPr>
            </w:pPr>
            <w:r w:rsidRPr="00D00A59">
              <w:rPr>
                <w:szCs w:val="18"/>
              </w:rPr>
              <w:t>Excess gestational weight gain: 111/267 vs 133/266</w:t>
            </w:r>
          </w:p>
          <w:p w14:paraId="55E9F202" w14:textId="77777777" w:rsidR="00973D70" w:rsidRPr="00D00A59" w:rsidRDefault="00973D70" w:rsidP="00A75579">
            <w:pPr>
              <w:pStyle w:val="bullet"/>
              <w:rPr>
                <w:szCs w:val="18"/>
              </w:rPr>
            </w:pPr>
            <w:r w:rsidRPr="00D00A59">
              <w:rPr>
                <w:szCs w:val="18"/>
              </w:rPr>
              <w:t>Gestational diabetes: 32/275 vs 25/272</w:t>
            </w:r>
          </w:p>
          <w:p w14:paraId="0AF60A93" w14:textId="77777777" w:rsidR="00973D70" w:rsidRPr="00D00A59" w:rsidRDefault="00973D70" w:rsidP="00A75579">
            <w:pPr>
              <w:pStyle w:val="bullet"/>
              <w:rPr>
                <w:szCs w:val="18"/>
              </w:rPr>
            </w:pPr>
            <w:r w:rsidRPr="00D00A59">
              <w:rPr>
                <w:szCs w:val="18"/>
              </w:rPr>
              <w:t>Pre-eclampsia: 10/293 vs 28/154</w:t>
            </w:r>
          </w:p>
          <w:p w14:paraId="1C0066B2" w14:textId="77777777" w:rsidR="00973D70" w:rsidRPr="00D00A59" w:rsidRDefault="00973D70" w:rsidP="00A75579">
            <w:pPr>
              <w:pStyle w:val="bullet"/>
              <w:rPr>
                <w:szCs w:val="18"/>
              </w:rPr>
            </w:pPr>
            <w:r w:rsidRPr="00D00A59">
              <w:rPr>
                <w:szCs w:val="18"/>
              </w:rPr>
              <w:t>Caesarean section: 38/296 vs 36/295</w:t>
            </w:r>
          </w:p>
          <w:p w14:paraId="56708478" w14:textId="77777777" w:rsidR="00973D70" w:rsidRPr="00D00A59" w:rsidRDefault="00973D70" w:rsidP="00A75579">
            <w:pPr>
              <w:pStyle w:val="bullet"/>
              <w:rPr>
                <w:szCs w:val="18"/>
              </w:rPr>
            </w:pPr>
            <w:r w:rsidRPr="00D00A59">
              <w:rPr>
                <w:szCs w:val="18"/>
              </w:rPr>
              <w:t>Preterm birth: 17/296 vs 17/295</w:t>
            </w:r>
          </w:p>
          <w:p w14:paraId="3596C636" w14:textId="77777777" w:rsidR="00973D70" w:rsidRPr="00D00A59" w:rsidRDefault="00973D70" w:rsidP="00A75579">
            <w:pPr>
              <w:pStyle w:val="bullet"/>
              <w:rPr>
                <w:szCs w:val="18"/>
              </w:rPr>
            </w:pPr>
            <w:r w:rsidRPr="00D00A59">
              <w:rPr>
                <w:szCs w:val="18"/>
              </w:rPr>
              <w:t>Macrosomia (&gt;4000 g): 33/279 vs 39/278</w:t>
            </w:r>
          </w:p>
          <w:p w14:paraId="743EDE8E" w14:textId="77777777" w:rsidR="00973D70" w:rsidRPr="00D00A59" w:rsidRDefault="00973D70" w:rsidP="00A75579">
            <w:pPr>
              <w:pStyle w:val="bullet"/>
              <w:rPr>
                <w:szCs w:val="18"/>
              </w:rPr>
            </w:pPr>
            <w:r w:rsidRPr="00D00A59">
              <w:rPr>
                <w:szCs w:val="18"/>
              </w:rPr>
              <w:t>Macrosomia (&gt;4500 g): 2/279 vs 5/278</w:t>
            </w:r>
          </w:p>
          <w:p w14:paraId="2AECDEBB" w14:textId="77777777" w:rsidR="00973D70" w:rsidRPr="00D00A59" w:rsidRDefault="00973D70" w:rsidP="00A75579">
            <w:pPr>
              <w:pStyle w:val="bullet"/>
              <w:rPr>
                <w:szCs w:val="18"/>
              </w:rPr>
            </w:pPr>
            <w:r w:rsidRPr="00D00A59">
              <w:rPr>
                <w:szCs w:val="18"/>
              </w:rPr>
              <w:t>Small for gestational age: 31/296 vs 27/295</w:t>
            </w:r>
          </w:p>
          <w:p w14:paraId="5C296A33" w14:textId="77777777" w:rsidR="00973D70" w:rsidRPr="00D00A59" w:rsidRDefault="00973D70" w:rsidP="00A75579">
            <w:pPr>
              <w:pStyle w:val="bullet"/>
              <w:rPr>
                <w:szCs w:val="18"/>
              </w:rPr>
            </w:pPr>
            <w:r w:rsidRPr="00D00A59">
              <w:rPr>
                <w:szCs w:val="18"/>
              </w:rPr>
              <w:t>Large for gestational age: 7/296 vs 11/295</w:t>
            </w:r>
          </w:p>
          <w:p w14:paraId="3BDBFE32" w14:textId="77777777" w:rsidR="00973D70" w:rsidRPr="00D00A59" w:rsidRDefault="00973D70" w:rsidP="00A75579">
            <w:pPr>
              <w:pStyle w:val="bullet"/>
              <w:rPr>
                <w:szCs w:val="18"/>
              </w:rPr>
            </w:pPr>
            <w:r w:rsidRPr="00D00A59">
              <w:rPr>
                <w:szCs w:val="18"/>
              </w:rPr>
              <w:t>Postnatal weight retention: 0.66±5.48 (n=203) vs 1.42±4.96 (n=188)</w:t>
            </w:r>
          </w:p>
          <w:p w14:paraId="01B38B93" w14:textId="77777777" w:rsidR="00973D70" w:rsidRPr="00D00A59" w:rsidRDefault="00973D70" w:rsidP="00A75579">
            <w:pPr>
              <w:pStyle w:val="bullet"/>
              <w:rPr>
                <w:szCs w:val="18"/>
              </w:rPr>
            </w:pPr>
            <w:r w:rsidRPr="00D00A59">
              <w:rPr>
                <w:szCs w:val="18"/>
              </w:rPr>
              <w:t>Apgar score &gt;7 at 5 minutes: 1/296 vs 6/295</w:t>
            </w:r>
          </w:p>
        </w:tc>
      </w:tr>
      <w:tr w:rsidR="00973D70" w:rsidRPr="00D00A59" w14:paraId="2F168AFA" w14:textId="77777777" w:rsidTr="0030223E">
        <w:trPr>
          <w:cantSplit/>
        </w:trPr>
        <w:tc>
          <w:tcPr>
            <w:tcW w:w="1417" w:type="dxa"/>
          </w:tcPr>
          <w:p w14:paraId="3797978F" w14:textId="1F8BB7A1" w:rsidR="00973D70" w:rsidRPr="00D00A59" w:rsidRDefault="00973D70" w:rsidP="00654EEB">
            <w:r w:rsidRPr="00654EEB">
              <w:t>Simmons et al 2017</w:t>
            </w:r>
            <w:r w:rsidRPr="00D00A59">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402</w:t>
            </w:r>
            <w:r w:rsidRPr="00D00A59">
              <w:fldChar w:fldCharType="end"/>
            </w:r>
          </w:p>
          <w:p w14:paraId="4D9E1EBE" w14:textId="77777777" w:rsidR="00973D70" w:rsidRPr="00D00A59" w:rsidRDefault="00973D70" w:rsidP="00A62770">
            <w:pPr>
              <w:rPr>
                <w:szCs w:val="18"/>
              </w:rPr>
            </w:pPr>
            <w:r w:rsidRPr="00D00A59">
              <w:rPr>
                <w:szCs w:val="18"/>
              </w:rPr>
              <w:t>DALI</w:t>
            </w:r>
          </w:p>
          <w:p w14:paraId="460E380A" w14:textId="77777777" w:rsidR="00973D70" w:rsidRPr="00D00A59" w:rsidRDefault="00973D70" w:rsidP="00A62770">
            <w:pPr>
              <w:rPr>
                <w:szCs w:val="18"/>
              </w:rPr>
            </w:pPr>
            <w:r w:rsidRPr="00D00A59">
              <w:rPr>
                <w:szCs w:val="18"/>
              </w:rPr>
              <w:t>United Kingdom, Ireland, Netherlands, Austria, Poland, Italy, Spain, Denmark and Belgium</w:t>
            </w:r>
          </w:p>
        </w:tc>
        <w:tc>
          <w:tcPr>
            <w:tcW w:w="1562" w:type="dxa"/>
          </w:tcPr>
          <w:p w14:paraId="2A88A962" w14:textId="77777777" w:rsidR="00973D70" w:rsidRPr="00D00A59" w:rsidRDefault="00973D70" w:rsidP="00A75579">
            <w:pPr>
              <w:rPr>
                <w:szCs w:val="18"/>
              </w:rPr>
            </w:pPr>
            <w:r w:rsidRPr="00D00A59">
              <w:rPr>
                <w:szCs w:val="18"/>
              </w:rPr>
              <w:t>Intervention 108</w:t>
            </w:r>
          </w:p>
          <w:p w14:paraId="57D6CE98" w14:textId="77777777" w:rsidR="00973D70" w:rsidRPr="00D00A59" w:rsidRDefault="00973D70" w:rsidP="00A75579">
            <w:pPr>
              <w:rPr>
                <w:szCs w:val="18"/>
              </w:rPr>
            </w:pPr>
            <w:r w:rsidRPr="00D00A59">
              <w:rPr>
                <w:szCs w:val="18"/>
              </w:rPr>
              <w:t>Control 105</w:t>
            </w:r>
          </w:p>
          <w:p w14:paraId="66C08DAF" w14:textId="77777777" w:rsidR="00973D70" w:rsidRPr="00D00A59" w:rsidRDefault="00973D70" w:rsidP="00A75579">
            <w:pPr>
              <w:rPr>
                <w:szCs w:val="18"/>
              </w:rPr>
            </w:pPr>
            <w:r w:rsidRPr="00D00A59">
              <w:rPr>
                <w:szCs w:val="18"/>
              </w:rPr>
              <w:t>4-armed; control group divided by three</w:t>
            </w:r>
          </w:p>
        </w:tc>
        <w:tc>
          <w:tcPr>
            <w:tcW w:w="5393" w:type="dxa"/>
          </w:tcPr>
          <w:p w14:paraId="04086512" w14:textId="43FD830E" w:rsidR="00973D70" w:rsidRPr="00D00A59" w:rsidRDefault="00973D70" w:rsidP="00A75579">
            <w:pPr>
              <w:rPr>
                <w:szCs w:val="18"/>
              </w:rPr>
            </w:pPr>
            <w:r w:rsidRPr="00D00A59">
              <w:rPr>
                <w:b/>
                <w:szCs w:val="18"/>
              </w:rPr>
              <w:t xml:space="preserve">Aim: </w:t>
            </w:r>
            <w:r w:rsidR="00654EEB">
              <w:rPr>
                <w:szCs w:val="18"/>
              </w:rPr>
              <w:t>T</w:t>
            </w:r>
            <w:r w:rsidRPr="00D00A59">
              <w:rPr>
                <w:szCs w:val="18"/>
              </w:rPr>
              <w:t>o compare the effectiveness of 3 lifestyle interventions [healthy eating (HE), physical activity (PA), and both HE and PA (HE+PA)] with usual care (UC) in reducing GDM risk.</w:t>
            </w:r>
          </w:p>
          <w:p w14:paraId="511A05A1" w14:textId="3C253562" w:rsidR="00973D70" w:rsidRPr="00D00A59" w:rsidRDefault="00973D70" w:rsidP="00A75579">
            <w:pPr>
              <w:rPr>
                <w:rFonts w:ascii="Times" w:hAnsi="Times"/>
                <w:szCs w:val="18"/>
              </w:rPr>
            </w:pPr>
            <w:r w:rsidRPr="00D00A59">
              <w:rPr>
                <w:b/>
                <w:szCs w:val="18"/>
              </w:rPr>
              <w:t>Population</w:t>
            </w:r>
            <w:r w:rsidR="00654EEB">
              <w:rPr>
                <w:szCs w:val="18"/>
              </w:rPr>
              <w:t>: P</w:t>
            </w:r>
            <w:r w:rsidRPr="00D00A59">
              <w:rPr>
                <w:szCs w:val="18"/>
              </w:rPr>
              <w:t xml:space="preserve">regnant women at with a body mass index (BMI) </w:t>
            </w:r>
            <w:r w:rsidRPr="00D00A59">
              <w:rPr>
                <w:rFonts w:ascii="Helvetica" w:hAnsi="Helvetica"/>
                <w:szCs w:val="18"/>
              </w:rPr>
              <w:t xml:space="preserve">of ≥29 kg/m, </w:t>
            </w:r>
            <w:r w:rsidRPr="00D00A59">
              <w:rPr>
                <w:szCs w:val="18"/>
              </w:rPr>
              <w:t>≤</w:t>
            </w:r>
            <w:r w:rsidRPr="00D00A59">
              <w:rPr>
                <w:rFonts w:ascii="Times" w:hAnsi="Times"/>
                <w:szCs w:val="18"/>
              </w:rPr>
              <w:t xml:space="preserve">19±6 </w:t>
            </w:r>
            <w:r w:rsidRPr="00D00A59">
              <w:rPr>
                <w:szCs w:val="18"/>
              </w:rPr>
              <w:t>and aged ≥18 years</w:t>
            </w:r>
            <w:r w:rsidRPr="00D00A59">
              <w:rPr>
                <w:rFonts w:ascii="Times" w:hAnsi="Times"/>
                <w:szCs w:val="18"/>
              </w:rPr>
              <w:t xml:space="preserve"> </w:t>
            </w:r>
            <w:r w:rsidRPr="00D00A59">
              <w:rPr>
                <w:rFonts w:ascii="Helvetica" w:hAnsi="Helvetica"/>
                <w:szCs w:val="18"/>
              </w:rPr>
              <w:t>and without GDM using the International Association of Diabetes and Pregnancy</w:t>
            </w:r>
            <w:r w:rsidRPr="00D00A59">
              <w:rPr>
                <w:szCs w:val="18"/>
              </w:rPr>
              <w:t xml:space="preserve"> </w:t>
            </w:r>
            <w:r w:rsidRPr="00D00A59">
              <w:rPr>
                <w:rFonts w:ascii="Helvetica" w:hAnsi="Helvetica"/>
                <w:szCs w:val="18"/>
              </w:rPr>
              <w:t>Study Group criteria.</w:t>
            </w:r>
          </w:p>
          <w:p w14:paraId="6E56E420" w14:textId="77777777" w:rsidR="00973D70" w:rsidRPr="00D00A59" w:rsidRDefault="00973D70" w:rsidP="00654EEB">
            <w:r w:rsidRPr="00D00A59">
              <w:rPr>
                <w:b/>
              </w:rPr>
              <w:t>Intervention</w:t>
            </w:r>
            <w:r w:rsidRPr="00D00A59">
              <w:t xml:space="preserve">: The dietary component promoted lower simple and complex carbohydrate, lower fat, higher fibre, higher protein diet, including a focus on portion size and, therefore, a more limited intake of total calories. </w:t>
            </w:r>
          </w:p>
          <w:p w14:paraId="167A9C62" w14:textId="6F9983EE" w:rsidR="00973D70" w:rsidRPr="00D00A59" w:rsidRDefault="00973D70" w:rsidP="00654EEB">
            <w:r w:rsidRPr="00D00A59">
              <w:t xml:space="preserve">The PA component promoted both aerobic and resistance physical activity. Women received five face-to-face coaching sessions of approximately 30–45 minutes, #4 telephone calls of #20 minutes or contacts using electronic mail. </w:t>
            </w:r>
          </w:p>
          <w:p w14:paraId="78CE1FB5" w14:textId="77777777" w:rsidR="00973D70" w:rsidRPr="00D00A59" w:rsidRDefault="00973D70" w:rsidP="00654EEB">
            <w:pPr>
              <w:rPr>
                <w:b/>
              </w:rPr>
            </w:pPr>
            <w:r w:rsidRPr="00D00A59">
              <w:t xml:space="preserve">The intervention recommended a limitation in GWG to 5 kg. The messages were supported by a </w:t>
            </w:r>
            <w:r w:rsidRPr="00D00A59">
              <w:rPr>
                <w:rStyle w:val="s1"/>
                <w:rFonts w:eastAsiaTheme="majorEastAsia"/>
                <w:sz w:val="18"/>
                <w:szCs w:val="18"/>
              </w:rPr>
              <w:t>“</w:t>
            </w:r>
            <w:r w:rsidRPr="00D00A59">
              <w:t>toolkit</w:t>
            </w:r>
            <w:r w:rsidRPr="00D00A59">
              <w:rPr>
                <w:rStyle w:val="s1"/>
                <w:rFonts w:eastAsiaTheme="majorEastAsia"/>
                <w:sz w:val="18"/>
                <w:szCs w:val="18"/>
              </w:rPr>
              <w:t xml:space="preserve">” </w:t>
            </w:r>
            <w:r w:rsidRPr="00D00A59">
              <w:t xml:space="preserve">for each participant, including the participant handbook, educational materials based on the American College of Obstetricians and Gynecologists guidelines, pedometers and flexible elastic Dyna-Bands. The message delivery was built on the principles of patient empowerment and cognitive behavioural techniques inspired by motivational interviewing. The number of contacts and time taken included 5 face-to-face sessions of approximately 30 to 45 minutes duration, and </w:t>
            </w:r>
            <w:r w:rsidRPr="00D00A59">
              <w:rPr>
                <w:rStyle w:val="s1"/>
                <w:rFonts w:eastAsiaTheme="majorEastAsia"/>
                <w:sz w:val="18"/>
                <w:szCs w:val="18"/>
              </w:rPr>
              <w:t>#</w:t>
            </w:r>
            <w:r w:rsidRPr="00D00A59">
              <w:t xml:space="preserve">4 telephone calls of </w:t>
            </w:r>
            <w:r w:rsidRPr="00D00A59">
              <w:rPr>
                <w:rStyle w:val="s1"/>
                <w:rFonts w:eastAsiaTheme="majorEastAsia"/>
                <w:sz w:val="18"/>
                <w:szCs w:val="18"/>
              </w:rPr>
              <w:t>#</w:t>
            </w:r>
            <w:r w:rsidRPr="00D00A59">
              <w:t xml:space="preserve">20 minutes or contacts using electronic mail. Face-to-face sessions occurred largely in the hospital or midwife practice, depending on the local arrangements. At least 4 face-to-face coaching sessions were expected to occur before the second measurement session (24 to 28 weeks), and the intervention was completed by 35 weeks of gestation. </w:t>
            </w:r>
          </w:p>
        </w:tc>
        <w:tc>
          <w:tcPr>
            <w:tcW w:w="5664" w:type="dxa"/>
          </w:tcPr>
          <w:p w14:paraId="16A3673B" w14:textId="77777777" w:rsidR="00973D70" w:rsidRPr="00D00A59" w:rsidRDefault="00973D70" w:rsidP="00A75579">
            <w:pPr>
              <w:rPr>
                <w:szCs w:val="18"/>
              </w:rPr>
            </w:pPr>
            <w:r w:rsidRPr="00D00A59">
              <w:rPr>
                <w:szCs w:val="18"/>
              </w:rPr>
              <w:t>Intervention vs control</w:t>
            </w:r>
          </w:p>
          <w:p w14:paraId="15BBFB4F" w14:textId="77777777" w:rsidR="00973D70" w:rsidRPr="00D00A59" w:rsidRDefault="00973D70" w:rsidP="00A75579">
            <w:pPr>
              <w:pStyle w:val="bullet"/>
              <w:rPr>
                <w:szCs w:val="18"/>
              </w:rPr>
            </w:pPr>
            <w:r w:rsidRPr="00D00A59">
              <w:rPr>
                <w:szCs w:val="18"/>
              </w:rPr>
              <w:t>Gestational weight gain: 6.5±3.8 (n=75) vs 8.8±4.7 (n=26)</w:t>
            </w:r>
          </w:p>
          <w:p w14:paraId="67A4B401" w14:textId="77777777" w:rsidR="00973D70" w:rsidRPr="00D00A59" w:rsidRDefault="00973D70" w:rsidP="00A75579">
            <w:pPr>
              <w:pStyle w:val="bullet"/>
              <w:rPr>
                <w:szCs w:val="18"/>
              </w:rPr>
            </w:pPr>
            <w:r w:rsidRPr="00D00A59">
              <w:rPr>
                <w:szCs w:val="18"/>
              </w:rPr>
              <w:t>Weight gain &gt;IOM guidelines: 45/75 vs 20/26</w:t>
            </w:r>
          </w:p>
          <w:p w14:paraId="349A6DF2" w14:textId="77777777" w:rsidR="00973D70" w:rsidRPr="00D00A59" w:rsidRDefault="00973D70" w:rsidP="00A75579">
            <w:pPr>
              <w:pStyle w:val="bullet"/>
              <w:rPr>
                <w:szCs w:val="18"/>
              </w:rPr>
            </w:pPr>
            <w:r w:rsidRPr="00D00A59">
              <w:rPr>
                <w:szCs w:val="18"/>
              </w:rPr>
              <w:t>Gestational diabetes: 27/84 vs 11/31</w:t>
            </w:r>
          </w:p>
          <w:p w14:paraId="23789FC1" w14:textId="77777777" w:rsidR="00973D70" w:rsidRPr="00D00A59" w:rsidRDefault="00973D70" w:rsidP="00A75579">
            <w:pPr>
              <w:pStyle w:val="bullet"/>
              <w:rPr>
                <w:szCs w:val="18"/>
              </w:rPr>
            </w:pPr>
            <w:r w:rsidRPr="00D00A59">
              <w:rPr>
                <w:szCs w:val="18"/>
              </w:rPr>
              <w:t>Small for gestational age: 7/86 vs 2/30</w:t>
            </w:r>
          </w:p>
          <w:p w14:paraId="6595637C" w14:textId="77777777" w:rsidR="00973D70" w:rsidRPr="00D00A59" w:rsidRDefault="00973D70" w:rsidP="00A75579">
            <w:pPr>
              <w:pStyle w:val="bullet"/>
              <w:rPr>
                <w:szCs w:val="18"/>
              </w:rPr>
            </w:pPr>
            <w:r w:rsidRPr="00D00A59">
              <w:rPr>
                <w:szCs w:val="18"/>
              </w:rPr>
              <w:t>Large for gestational age: 8/86 vs 5/30</w:t>
            </w:r>
          </w:p>
        </w:tc>
      </w:tr>
      <w:tr w:rsidR="0090262F" w:rsidRPr="005A3ECC" w14:paraId="2645FAE5" w14:textId="77777777" w:rsidTr="0030223E">
        <w:trPr>
          <w:cantSplit/>
        </w:trPr>
        <w:tc>
          <w:tcPr>
            <w:tcW w:w="1417" w:type="dxa"/>
          </w:tcPr>
          <w:p w14:paraId="0D00C3C2" w14:textId="06B70633" w:rsidR="0090262F" w:rsidRDefault="00486435" w:rsidP="00654EEB">
            <w:pPr>
              <w:rPr>
                <w:noProof/>
              </w:rPr>
            </w:pPr>
            <w:r>
              <w:rPr>
                <w:noProof/>
              </w:rPr>
              <w:t>Trak-Fellermeie et al 2019</w:t>
            </w:r>
            <w:r w:rsidR="00D07346">
              <w:rPr>
                <w:noProof/>
              </w:rPr>
              <w:fldChar w:fldCharType="begin">
                <w:fldData xml:space="preserve">PEVuZE5vdGU+PENpdGU+PEF1dGhvcj5UcmFrLUZlbGxlcm1laWVyPC9BdXRob3I+PFllYXI+MjAx
OTwvWWVhcj48UmVjTnVtPjE5MjE8L1JlY051bT48RGlzcGxheVRleHQ+PHN0eWxlIGZhY2U9InN1
cGVyc2NyaXB0IiBmb250PSJUcmVidWNoZXQgTVMiIHNpemU9IjkiPjUwOTwvc3R5bGU+PC9EaXNw
bGF5VGV4dD48cmVjb3JkPjxyZWMtbnVtYmVyPjE5MjE8L3JlYy1udW1iZXI+PGZvcmVpZ24ta2V5
cz48a2V5IGFwcD0iRU4iIGRiLWlkPSJleHZhc3JmeDJkdHJhb2VzYXN4cDJzenN4YTJkZjUwMjU5
MngiIHRpbWVzdGFtcD0iMTU4ODU1NjU5NSI+MTkyMTwva2V5PjxrZXkgYXBwPSJFTldlYiIgZGIt
aWQ9IiI+MDwva2V5PjwvZm9yZWlnbi1rZXlzPjxyZWYtdHlwZSBuYW1lPSJKb3VybmFsIEFydGlj
bGUiPjE3PC9yZWYtdHlwZT48Y29udHJpYnV0b3JzPjxhdXRob3JzPjxhdXRob3I+VHJhay1GZWxs
ZXJtZWllciwgTS4gQS48L2F1dGhvcj48YXV0aG9yPkNhbXBvcywgTS48L2F1dGhvcj48YXV0aG9y
Pk1lbGVuZGV6LCBNLjwvYXV0aG9yPjxhdXRob3I+UG9tZXJveSwgSi48L2F1dGhvcj48YXV0aG9y
PlBhbGFjaW9zLCBDLjwvYXV0aG9yPjxhdXRob3I+Uml2ZXJhLVZpbmFzLCBKLjwvYXV0aG9yPjxh
dXRob3I+TWVuZGV6LCBLLjwvYXV0aG9yPjxhdXRob3I+RmVibywgSS48L2F1dGhvcj48YXV0aG9y
PldpbGxldHQsIFcuPC9hdXRob3I+PGF1dGhvcj5HaWxsbWFuLCBNLiBXLjwvYXV0aG9yPjxhdXRo
b3I+RnJhbmtzLCBQLiBXLjwvYXV0aG9yPjxhdXRob3I+Sm9zaGlwdXJhLCBLLjwvYXV0aG9yPjwv
YXV0aG9ycz48L2NvbnRyaWJ1dG9ycz48YXV0aC1hZGRyZXNzPkNlbnRlciBmb3IgQ2xpbmljYWwg
UmVzZWFyY2ggYW5kIEhlYWx0aCBQcm9tb3Rpb24sIFNjaG9vbCBvZiBEZW50YWwgTWVkaWNpbmUs
IE1lZGljYWwgU2NpZW5jZXMgQ2FtcHVzLCBVbml2ZXJzaXR5IG9mIFB1ZXJ0byBSaWNvLCBTYW4g
SnVhbiwgUFIsIFVTQSwga2F1bXVkaS5qb3NoaXB1cmFAdXByLmVkdS4mI3hEO0NsaW5pY2FsIFJl
c2VhcmNoIENlbnRlciwgTWFyc2hmaWVsZCBDbGluaWMgUmVzZWFyY2ggSW5zdGl0dXRlLCBNYXJz
aGZpZWxkIENsaW5pYyBIZWFsdGggU3lzdGVtLCBNYXJzaGZpZWxkLCBXSSwgVVNBLiYjeEQ7RGVw
YXJ0bWVudCBvZiBEaWV0ZXRpY3MgYW5kIE51dHJpdGlvbiwgUm9iZXJ0IFN0ZW1wZWwgQ29sbGVn
ZSBvZiBQdWJsaWMgSGVhbHRoICZhbXA7IFNvY2lhbCBXb3JrLCBGbG9yaWRhIEludGVybmF0aW9u
YWwgVW5pdmVyc2l0eSwgTWlhbWksIEZMLCBVU0EuJiN4RDtEZXBhcnRtZW50IG9mIE9ic3RldHJp
Y3MgYW5kIEd5bmVjb2xvZ3ksIFNjaG9vbCBvZiBNZWRpY2luZSwgTWVkaWNhbCBTY2llbmNlcyBD
YW1wdXMsIFVuaXZlcnNpdHkgb2YgUHVlcnRvIFJpY28sIFNhbiBKdWFuLCBQUiwgVVNBLiYjeEQ7
RGVwYXJ0bWVudCBvZiBQZWRpYXRyaWNzLCBTY2hvb2wgb2YgTWVkaWNpbmUsIE1lZGljYWwgU2Np
ZW5jZXMgQ2FtcHVzLCBVbml2ZXJzaXR5IG9mIFB1ZXJ0byBSaWNvLCBTYW4gSnVhbiwgUFIsIFVT
QS4mI3hEO0RlcGFydG1lbnQgb2YgTnV0cml0aW9uLCBIYXJ2YXJkIFQuSC4gQ2hhbiBTY2hvb2wg
b2YgUHVibGljIEhlYWx0aCwgSGFydmFyZCBVbml2ZXJzaXR5LCBCb3N0b24sIE1BLCBVU0EuJiN4
RDtEaXZpc2lvbiBvZiBDaHJvbmljIERpc2Vhc2UgUmVzZWFyY2ggQWNyb3NzIHRoZSBMaWZlIENv
dXJzZSwgRGVwYXJ0bWVudCBvZiBQb3B1bGF0aW9uIE1lZGljaW5lLCBIYXJ2YXJkIE1lZGljYWwg
U2Nob29sIGFuZCBIYXJ2YXJkIFBpbGdyaW0gSGVhbHRoIENhcmUgSW5zdGl0dXRlLCBCb3N0b24s
IE1BLiYjeEQ7RGVwYXJ0bWVudCBvZiBDbGluaWNhbCBTY2llbmNlcywgR2VuZXRpYyBhbmQgTW9s
ZWN1bGFyIEVwaWRlbWlvbG9neSBVbml0LCBMdW5kIFVuaXZlcnNpdHksIFNrYW5lIFVuaXZlcnNp
dHkgSG9zcGl0YWwsIE1hbG1vLCBTd2VkZW4uJiN4RDtEZXBhcnRtZW50IG9mIEVwaWRlbWlvbG9n
eSwgSGFydmFyZCBULkguIENoYW4gUHVibGljIEhlYWx0aCBTY2hvb2wsIEhhcnZhcmQgVW5pdmVy
c2l0eSwgQm9zdG9uLCBNQSwgVVNBLCBrYXVtdWRpLmpvc2hpcHVyYUB1cHIuZWR1LjwvYXV0aC1h
ZGRyZXNzPjx0aXRsZXM+PHRpdGxlPlBFQVJMUyByYW5kb21pemVkIGxpZmVzdHlsZSB0cmlhbCBp
biBwcmVnbmFudCBIaXNwYW5pYyB3b21lbiB3aXRoIG92ZXJ3ZWlnaHQvb2Jlc2l0eTogZ2VzdGF0
aW9uYWwgd2VpZ2h0IGdhaW4gYW5kIG9mZnNwcmluZyBiaXJ0aHdlaWdodDwvdGl0bGU+PHNlY29u
ZGFyeS10aXRsZT5EaWFiZXRlcyBNZXRhYiBTeW5kciBPYmVzPC9zZWNvbmRhcnktdGl0bGU+PC90
aXRsZXM+PHBlcmlvZGljYWw+PGZ1bGwtdGl0bGU+RGlhYmV0ZXMgTWV0YWIgU3luZHIgT2Jlczwv
ZnVsbC10aXRsZT48L3BlcmlvZGljYWw+PHBhZ2VzPjIyNS0yMzg8L3BhZ2VzPjx2b2x1bWU+MTI8
L3ZvbHVtZT48ZWRpdGlvbj4yMDE5LzAzLzEzPC9lZGl0aW9uPjxrZXl3b3Jkcz48a2V5d29yZD5i
aXJ0aHdlaWdodDwva2V5d29yZD48a2V5d29yZD5nZXN0YXRpb25hbCB3ZWlnaHQgZ2Fpbjwva2V5
d29yZD48a2V5d29yZD5pbnRlcnZlbnRpb248L2tleXdvcmQ+PGtleXdvcmQ+bGlmZXN0eWxlIG1v
ZGlmaWNhdGlvbjwva2V5d29yZD48a2V5d29yZD5uZW9uYXRhbDwva2V5d29yZD48a2V5d29yZD5v
YmVzZTwva2V5d29yZD48a2V5d29yZD5vdmVyd2VpZ2h0PC9rZXl3b3JkPjxrZXl3b3JkPnByZWdu
YW5jeTwva2V5d29yZD48a2V5d29yZD5yYW5kb21pemVkIGNvbnRyb2xsZWQgdHJpYWw8L2tleXdv
cmQ+PGtleXdvcmQ+SGVhbHRoIE91dGNvbWVzIChFQ0hPKSBQcm9ncmFtLCBPZmZpY2Ugb2YgdGhl
IERpcmVjdG9yLCBOYXRpb25hbCBJbnN0aXR1dGVzIG9mPC9rZXl3b3JkPjxrZXl3b3JkPkhlYWx0
aCAoVGhlIHZpZXdzIGV4cHJlc3NlZCBpbiB0aGlzIGFydGljbGUgZG8gbm90IG5lY2Vzc2FyaWx5
IHJlcHJlc2VudCB0aGU8L2tleXdvcmQ+PGtleXdvcmQ+dmlld3Mgb2YgdGhlIFVTIEdvdmVybm1l
bnQsIHRoZSBEZXBhcnRtZW50IG9mIEhlYWx0aCBhbmQgSHVtYW4gU2VydmljZXMgb3IgdGhlPC9r
ZXl3b3JkPjxrZXl3b3JkPk5hdGlvbmFsIEluc3RpdHV0ZXMgb2YgSGVhbHRoKS4gVGhlIGF1dGhv
cnMgcmVwb3J0IG5vIG90aGVyIGNvbmZsaWN0cyBvZiBpbnRlcmVzdDwva2V5d29yZD48a2V5d29y
ZD5pbiB0aGlzIHdvcmsuPC9rZXl3b3JkPjwva2V5d29yZHM+PGRhdGVzPjx5ZWFyPjIwMTk8L3ll
YXI+PC9kYXRlcz48aXNibj4xMTc4LTcwMDcgKFByaW50KSYjeEQ7MTE3OC03MDA3IChMaW5raW5n
KTwvaXNibj48YWNjZXNzaW9uLW51bT4zMDg1ODcxNTwvYWNjZXNzaW9uLW51bT48dXJscz48cmVs
YXRlZC11cmxzPjx1cmw+aHR0cHM6Ly93d3cubmNiaS5ubG0ubmloLmdvdi9wdWJtZWQvMzA4NTg3
MTU8L3VybD48L3JlbGF0ZWQtdXJscz48L3VybHM+PGN1c3RvbTI+UE1DNjM4NTc0MzwvY3VzdG9t
Mj48ZWxlY3Ryb25pYy1yZXNvdXJjZS1udW0+MTAuMjE0Ny9ETVNPLlMxNzkwMDk8L2VsZWN0cm9u
aWMtcmVzb3VyY2UtbnVtPjwvcmVjb3JkPjwvQ2l0ZT48L0VuZE5vdGU+
</w:fldData>
              </w:fldChar>
            </w:r>
            <w:r w:rsidR="002747EA">
              <w:rPr>
                <w:noProof/>
              </w:rPr>
              <w:instrText xml:space="preserve"> ADDIN EN.CITE </w:instrText>
            </w:r>
            <w:r w:rsidR="002747EA">
              <w:rPr>
                <w:noProof/>
              </w:rPr>
              <w:fldChar w:fldCharType="begin">
                <w:fldData xml:space="preserve">PEVuZE5vdGU+PENpdGU+PEF1dGhvcj5UcmFrLUZlbGxlcm1laWVyPC9BdXRob3I+PFllYXI+MjAx
OTwvWWVhcj48UmVjTnVtPjE5MjE8L1JlY051bT48RGlzcGxheVRleHQ+PHN0eWxlIGZhY2U9InN1
cGVyc2NyaXB0IiBmb250PSJUcmVidWNoZXQgTVMiIHNpemU9IjkiPjUwOTwvc3R5bGU+PC9EaXNw
bGF5VGV4dD48cmVjb3JkPjxyZWMtbnVtYmVyPjE5MjE8L3JlYy1udW1iZXI+PGZvcmVpZ24ta2V5
cz48a2V5IGFwcD0iRU4iIGRiLWlkPSJleHZhc3JmeDJkdHJhb2VzYXN4cDJzenN4YTJkZjUwMjU5
MngiIHRpbWVzdGFtcD0iMTU4ODU1NjU5NSI+MTkyMTwva2V5PjxrZXkgYXBwPSJFTldlYiIgZGIt
aWQ9IiI+MDwva2V5PjwvZm9yZWlnbi1rZXlzPjxyZWYtdHlwZSBuYW1lPSJKb3VybmFsIEFydGlj
bGUiPjE3PC9yZWYtdHlwZT48Y29udHJpYnV0b3JzPjxhdXRob3JzPjxhdXRob3I+VHJhay1GZWxs
ZXJtZWllciwgTS4gQS48L2F1dGhvcj48YXV0aG9yPkNhbXBvcywgTS48L2F1dGhvcj48YXV0aG9y
Pk1lbGVuZGV6LCBNLjwvYXV0aG9yPjxhdXRob3I+UG9tZXJveSwgSi48L2F1dGhvcj48YXV0aG9y
PlBhbGFjaW9zLCBDLjwvYXV0aG9yPjxhdXRob3I+Uml2ZXJhLVZpbmFzLCBKLjwvYXV0aG9yPjxh
dXRob3I+TWVuZGV6LCBLLjwvYXV0aG9yPjxhdXRob3I+RmVibywgSS48L2F1dGhvcj48YXV0aG9y
PldpbGxldHQsIFcuPC9hdXRob3I+PGF1dGhvcj5HaWxsbWFuLCBNLiBXLjwvYXV0aG9yPjxhdXRo
b3I+RnJhbmtzLCBQLiBXLjwvYXV0aG9yPjxhdXRob3I+Sm9zaGlwdXJhLCBLLjwvYXV0aG9yPjwv
YXV0aG9ycz48L2NvbnRyaWJ1dG9ycz48YXV0aC1hZGRyZXNzPkNlbnRlciBmb3IgQ2xpbmljYWwg
UmVzZWFyY2ggYW5kIEhlYWx0aCBQcm9tb3Rpb24sIFNjaG9vbCBvZiBEZW50YWwgTWVkaWNpbmUs
IE1lZGljYWwgU2NpZW5jZXMgQ2FtcHVzLCBVbml2ZXJzaXR5IG9mIFB1ZXJ0byBSaWNvLCBTYW4g
SnVhbiwgUFIsIFVTQSwga2F1bXVkaS5qb3NoaXB1cmFAdXByLmVkdS4mI3hEO0NsaW5pY2FsIFJl
c2VhcmNoIENlbnRlciwgTWFyc2hmaWVsZCBDbGluaWMgUmVzZWFyY2ggSW5zdGl0dXRlLCBNYXJz
aGZpZWxkIENsaW5pYyBIZWFsdGggU3lzdGVtLCBNYXJzaGZpZWxkLCBXSSwgVVNBLiYjeEQ7RGVw
YXJ0bWVudCBvZiBEaWV0ZXRpY3MgYW5kIE51dHJpdGlvbiwgUm9iZXJ0IFN0ZW1wZWwgQ29sbGVn
ZSBvZiBQdWJsaWMgSGVhbHRoICZhbXA7IFNvY2lhbCBXb3JrLCBGbG9yaWRhIEludGVybmF0aW9u
YWwgVW5pdmVyc2l0eSwgTWlhbWksIEZMLCBVU0EuJiN4RDtEZXBhcnRtZW50IG9mIE9ic3RldHJp
Y3MgYW5kIEd5bmVjb2xvZ3ksIFNjaG9vbCBvZiBNZWRpY2luZSwgTWVkaWNhbCBTY2llbmNlcyBD
YW1wdXMsIFVuaXZlcnNpdHkgb2YgUHVlcnRvIFJpY28sIFNhbiBKdWFuLCBQUiwgVVNBLiYjeEQ7
RGVwYXJ0bWVudCBvZiBQZWRpYXRyaWNzLCBTY2hvb2wgb2YgTWVkaWNpbmUsIE1lZGljYWwgU2Np
ZW5jZXMgQ2FtcHVzLCBVbml2ZXJzaXR5IG9mIFB1ZXJ0byBSaWNvLCBTYW4gSnVhbiwgUFIsIFVT
QS4mI3hEO0RlcGFydG1lbnQgb2YgTnV0cml0aW9uLCBIYXJ2YXJkIFQuSC4gQ2hhbiBTY2hvb2wg
b2YgUHVibGljIEhlYWx0aCwgSGFydmFyZCBVbml2ZXJzaXR5LCBCb3N0b24sIE1BLCBVU0EuJiN4
RDtEaXZpc2lvbiBvZiBDaHJvbmljIERpc2Vhc2UgUmVzZWFyY2ggQWNyb3NzIHRoZSBMaWZlIENv
dXJzZSwgRGVwYXJ0bWVudCBvZiBQb3B1bGF0aW9uIE1lZGljaW5lLCBIYXJ2YXJkIE1lZGljYWwg
U2Nob29sIGFuZCBIYXJ2YXJkIFBpbGdyaW0gSGVhbHRoIENhcmUgSW5zdGl0dXRlLCBCb3N0b24s
IE1BLiYjeEQ7RGVwYXJ0bWVudCBvZiBDbGluaWNhbCBTY2llbmNlcywgR2VuZXRpYyBhbmQgTW9s
ZWN1bGFyIEVwaWRlbWlvbG9neSBVbml0LCBMdW5kIFVuaXZlcnNpdHksIFNrYW5lIFVuaXZlcnNp
dHkgSG9zcGl0YWwsIE1hbG1vLCBTd2VkZW4uJiN4RDtEZXBhcnRtZW50IG9mIEVwaWRlbWlvbG9n
eSwgSGFydmFyZCBULkguIENoYW4gUHVibGljIEhlYWx0aCBTY2hvb2wsIEhhcnZhcmQgVW5pdmVy
c2l0eSwgQm9zdG9uLCBNQSwgVVNBLCBrYXVtdWRpLmpvc2hpcHVyYUB1cHIuZWR1LjwvYXV0aC1h
ZGRyZXNzPjx0aXRsZXM+PHRpdGxlPlBFQVJMUyByYW5kb21pemVkIGxpZmVzdHlsZSB0cmlhbCBp
biBwcmVnbmFudCBIaXNwYW5pYyB3b21lbiB3aXRoIG92ZXJ3ZWlnaHQvb2Jlc2l0eTogZ2VzdGF0
aW9uYWwgd2VpZ2h0IGdhaW4gYW5kIG9mZnNwcmluZyBiaXJ0aHdlaWdodDwvdGl0bGU+PHNlY29u
ZGFyeS10aXRsZT5EaWFiZXRlcyBNZXRhYiBTeW5kciBPYmVzPC9zZWNvbmRhcnktdGl0bGU+PC90
aXRsZXM+PHBlcmlvZGljYWw+PGZ1bGwtdGl0bGU+RGlhYmV0ZXMgTWV0YWIgU3luZHIgT2Jlczwv
ZnVsbC10aXRsZT48L3BlcmlvZGljYWw+PHBhZ2VzPjIyNS0yMzg8L3BhZ2VzPjx2b2x1bWU+MTI8
L3ZvbHVtZT48ZWRpdGlvbj4yMDE5LzAzLzEzPC9lZGl0aW9uPjxrZXl3b3Jkcz48a2V5d29yZD5i
aXJ0aHdlaWdodDwva2V5d29yZD48a2V5d29yZD5nZXN0YXRpb25hbCB3ZWlnaHQgZ2Fpbjwva2V5
d29yZD48a2V5d29yZD5pbnRlcnZlbnRpb248L2tleXdvcmQ+PGtleXdvcmQ+bGlmZXN0eWxlIG1v
ZGlmaWNhdGlvbjwva2V5d29yZD48a2V5d29yZD5uZW9uYXRhbDwva2V5d29yZD48a2V5d29yZD5v
YmVzZTwva2V5d29yZD48a2V5d29yZD5vdmVyd2VpZ2h0PC9rZXl3b3JkPjxrZXl3b3JkPnByZWdu
YW5jeTwva2V5d29yZD48a2V5d29yZD5yYW5kb21pemVkIGNvbnRyb2xsZWQgdHJpYWw8L2tleXdv
cmQ+PGtleXdvcmQ+SGVhbHRoIE91dGNvbWVzIChFQ0hPKSBQcm9ncmFtLCBPZmZpY2Ugb2YgdGhl
IERpcmVjdG9yLCBOYXRpb25hbCBJbnN0aXR1dGVzIG9mPC9rZXl3b3JkPjxrZXl3b3JkPkhlYWx0
aCAoVGhlIHZpZXdzIGV4cHJlc3NlZCBpbiB0aGlzIGFydGljbGUgZG8gbm90IG5lY2Vzc2FyaWx5
IHJlcHJlc2VudCB0aGU8L2tleXdvcmQ+PGtleXdvcmQ+dmlld3Mgb2YgdGhlIFVTIEdvdmVybm1l
bnQsIHRoZSBEZXBhcnRtZW50IG9mIEhlYWx0aCBhbmQgSHVtYW4gU2VydmljZXMgb3IgdGhlPC9r
ZXl3b3JkPjxrZXl3b3JkPk5hdGlvbmFsIEluc3RpdHV0ZXMgb2YgSGVhbHRoKS4gVGhlIGF1dGhv
cnMgcmVwb3J0IG5vIG90aGVyIGNvbmZsaWN0cyBvZiBpbnRlcmVzdDwva2V5d29yZD48a2V5d29y
ZD5pbiB0aGlzIHdvcmsuPC9rZXl3b3JkPjwva2V5d29yZHM+PGRhdGVzPjx5ZWFyPjIwMTk8L3ll
YXI+PC9kYXRlcz48aXNibj4xMTc4LTcwMDcgKFByaW50KSYjeEQ7MTE3OC03MDA3IChMaW5raW5n
KTwvaXNibj48YWNjZXNzaW9uLW51bT4zMDg1ODcxNTwvYWNjZXNzaW9uLW51bT48dXJscz48cmVs
YXRlZC11cmxzPjx1cmw+aHR0cHM6Ly93d3cubmNiaS5ubG0ubmloLmdvdi9wdWJtZWQvMzA4NTg3
MTU8L3VybD48L3JlbGF0ZWQtdXJscz48L3VybHM+PGN1c3RvbTI+UE1DNjM4NTc0MzwvY3VzdG9t
Mj48ZWxlY3Ryb25pYy1yZXNvdXJjZS1udW0+MTAuMjE0Ny9ETVNPLlMxNzkwMDk8L2VsZWN0cm9u
aWMtcmVzb3VyY2UtbnVtPjwvcmVjb3JkPjwvQ2l0ZT48L0VuZE5vdGU+
</w:fldData>
              </w:fldChar>
            </w:r>
            <w:r w:rsidR="002747EA">
              <w:rPr>
                <w:noProof/>
              </w:rPr>
              <w:instrText xml:space="preserve"> ADDIN EN.CITE.DATA </w:instrText>
            </w:r>
            <w:r w:rsidR="002747EA">
              <w:rPr>
                <w:noProof/>
              </w:rPr>
            </w:r>
            <w:r w:rsidR="002747EA">
              <w:rPr>
                <w:noProof/>
              </w:rPr>
              <w:fldChar w:fldCharType="end"/>
            </w:r>
            <w:r w:rsidR="00D07346">
              <w:rPr>
                <w:noProof/>
              </w:rPr>
            </w:r>
            <w:r w:rsidR="00D07346">
              <w:rPr>
                <w:noProof/>
              </w:rPr>
              <w:fldChar w:fldCharType="separate"/>
            </w:r>
            <w:r w:rsidR="002747EA" w:rsidRPr="002747EA">
              <w:rPr>
                <w:noProof/>
                <w:vertAlign w:val="superscript"/>
              </w:rPr>
              <w:t>509</w:t>
            </w:r>
            <w:r w:rsidR="00D07346">
              <w:rPr>
                <w:noProof/>
              </w:rPr>
              <w:fldChar w:fldCharType="end"/>
            </w:r>
          </w:p>
          <w:p w14:paraId="31887B60" w14:textId="77777777" w:rsidR="00486435" w:rsidRDefault="00455A50" w:rsidP="00654EEB">
            <w:pPr>
              <w:rPr>
                <w:noProof/>
              </w:rPr>
            </w:pPr>
            <w:r>
              <w:rPr>
                <w:noProof/>
              </w:rPr>
              <w:t>Puerto Rico</w:t>
            </w:r>
          </w:p>
          <w:p w14:paraId="29FB1B77" w14:textId="0C7F9FD2" w:rsidR="00FF2EEB" w:rsidRDefault="00FF2EEB" w:rsidP="00654EEB">
            <w:pPr>
              <w:rPr>
                <w:noProof/>
              </w:rPr>
            </w:pPr>
            <w:r>
              <w:rPr>
                <w:noProof/>
              </w:rPr>
              <w:t>PEARLS</w:t>
            </w:r>
          </w:p>
          <w:p w14:paraId="257CA3C1" w14:textId="77777777" w:rsidR="00455A50" w:rsidRPr="00455A50" w:rsidRDefault="00455A50" w:rsidP="0030223E">
            <w:r w:rsidRPr="00455A50">
              <w:t>NCT01771133</w:t>
            </w:r>
          </w:p>
          <w:p w14:paraId="6BE55DFF" w14:textId="4AA526A5" w:rsidR="00455A50" w:rsidRPr="005A3ECC" w:rsidRDefault="00455A50" w:rsidP="00654EEB">
            <w:pPr>
              <w:rPr>
                <w:noProof/>
              </w:rPr>
            </w:pPr>
          </w:p>
        </w:tc>
        <w:tc>
          <w:tcPr>
            <w:tcW w:w="1562" w:type="dxa"/>
          </w:tcPr>
          <w:p w14:paraId="1DE4BE17" w14:textId="77777777" w:rsidR="0090262F" w:rsidRDefault="00486435" w:rsidP="00A75579">
            <w:pPr>
              <w:rPr>
                <w:sz w:val="16"/>
                <w:szCs w:val="16"/>
              </w:rPr>
            </w:pPr>
            <w:r>
              <w:rPr>
                <w:sz w:val="16"/>
                <w:szCs w:val="16"/>
              </w:rPr>
              <w:t>Intervention 15</w:t>
            </w:r>
          </w:p>
          <w:p w14:paraId="5953FCEA" w14:textId="75274558" w:rsidR="00486435" w:rsidRPr="005A3ECC" w:rsidRDefault="00486435" w:rsidP="00A75579">
            <w:pPr>
              <w:rPr>
                <w:sz w:val="16"/>
                <w:szCs w:val="16"/>
              </w:rPr>
            </w:pPr>
            <w:r>
              <w:rPr>
                <w:sz w:val="16"/>
                <w:szCs w:val="16"/>
              </w:rPr>
              <w:t>Control 16</w:t>
            </w:r>
          </w:p>
        </w:tc>
        <w:tc>
          <w:tcPr>
            <w:tcW w:w="5393" w:type="dxa"/>
          </w:tcPr>
          <w:p w14:paraId="275DB530" w14:textId="77777777" w:rsidR="00486435" w:rsidRDefault="00486435" w:rsidP="00486435">
            <w:r w:rsidRPr="0030223E">
              <w:rPr>
                <w:b/>
              </w:rPr>
              <w:t>Aim</w:t>
            </w:r>
            <w:r>
              <w:t>: To evaluate the impact of</w:t>
            </w:r>
            <w:r w:rsidRPr="00486435">
              <w:t xml:space="preserve"> a lifestyle intervention on achieving appropriate GWG and on improving birthweight</w:t>
            </w:r>
            <w:r>
              <w:t xml:space="preserve"> </w:t>
            </w:r>
            <w:r w:rsidRPr="00486435">
              <w:t xml:space="preserve">among high-risk pregnant women. </w:t>
            </w:r>
          </w:p>
          <w:p w14:paraId="03A50FB3" w14:textId="386C7BA9" w:rsidR="0090262F" w:rsidRDefault="00486435" w:rsidP="00455A50">
            <w:r w:rsidRPr="0030223E">
              <w:rPr>
                <w:b/>
              </w:rPr>
              <w:t>Population</w:t>
            </w:r>
            <w:r>
              <w:t xml:space="preserve">: </w:t>
            </w:r>
            <w:r w:rsidR="00455A50">
              <w:rPr>
                <w:b/>
              </w:rPr>
              <w:t>O</w:t>
            </w:r>
            <w:r w:rsidRPr="00486435">
              <w:t xml:space="preserve">verweight/obese women with a singleton pregnancy before 16 gestational weeks. </w:t>
            </w:r>
          </w:p>
          <w:p w14:paraId="20CD6DF6" w14:textId="51538160" w:rsidR="00486435" w:rsidRDefault="00486435" w:rsidP="00486435">
            <w:r w:rsidRPr="0030223E">
              <w:rPr>
                <w:b/>
              </w:rPr>
              <w:t>Intervention</w:t>
            </w:r>
            <w:r>
              <w:t xml:space="preserve">: </w:t>
            </w:r>
            <w:r w:rsidR="00FF2EEB" w:rsidRPr="00486435">
              <w:t xml:space="preserve">The lifestyle intervention </w:t>
            </w:r>
            <w:r>
              <w:t xml:space="preserve">was delivered by registered dietitians </w:t>
            </w:r>
            <w:r w:rsidR="00FF2EEB">
              <w:t>and promoted</w:t>
            </w:r>
            <w:r>
              <w:t xml:space="preserve"> individual goal-setting and self-efficacy through group and individual sessions. The intervention encouraged participants to meet gestational weight gain recommendations through monitoring diet, physical activity, and weight trajectory. </w:t>
            </w:r>
          </w:p>
          <w:p w14:paraId="040035FC" w14:textId="00B72371" w:rsidR="00486435" w:rsidRDefault="00486435" w:rsidP="00486435">
            <w:r>
              <w:t>The primary focus of the dietary intervention was on total calories.</w:t>
            </w:r>
            <w:r>
              <w:rPr>
                <w:rStyle w:val="s1"/>
              </w:rPr>
              <w:t xml:space="preserve"> </w:t>
            </w:r>
            <w:r w:rsidR="00FF2EEB">
              <w:t xml:space="preserve">Women were given </w:t>
            </w:r>
            <w:r>
              <w:t xml:space="preserve">individualised guidelines for food quantity and total calories for distinct pregnancy phases. Additional key components of the diet intervention included improving carbohydrate and fat quality, reducing salt and replacing red meat with low-mercury fish, nuts, and beans. </w:t>
            </w:r>
          </w:p>
          <w:p w14:paraId="061A91D3" w14:textId="1723C031" w:rsidR="00486435" w:rsidRPr="005A3ECC" w:rsidRDefault="00486435" w:rsidP="00486435">
            <w:pPr>
              <w:rPr>
                <w:b/>
              </w:rPr>
            </w:pPr>
            <w:r>
              <w:t>The primary focus of the physical activity component was to increase movement and reduce sedentary time. Participants were encouraged to set goals for a daily exercise routine considered safe during pregnancy, according to the American Congress of Obstetrics and Gynecology.</w:t>
            </w:r>
          </w:p>
        </w:tc>
        <w:tc>
          <w:tcPr>
            <w:tcW w:w="5664" w:type="dxa"/>
          </w:tcPr>
          <w:p w14:paraId="0CD7642B" w14:textId="77777777" w:rsidR="0090262F" w:rsidRDefault="00486435" w:rsidP="00486435">
            <w:r>
              <w:t xml:space="preserve">Intervention vs control: </w:t>
            </w:r>
          </w:p>
          <w:p w14:paraId="00FBF566" w14:textId="26AEBCB8" w:rsidR="00FF2EEB" w:rsidRDefault="005470F3" w:rsidP="0030223E">
            <w:pPr>
              <w:pStyle w:val="bullet"/>
            </w:pPr>
            <w:r>
              <w:t xml:space="preserve">Weight gain exceeding IOM recommendations: </w:t>
            </w:r>
            <w:r w:rsidR="008533AE">
              <w:t>4</w:t>
            </w:r>
            <w:r>
              <w:t xml:space="preserve">/15 vs </w:t>
            </w:r>
            <w:r w:rsidR="008533AE">
              <w:t>9</w:t>
            </w:r>
            <w:r>
              <w:t>/16</w:t>
            </w:r>
          </w:p>
          <w:p w14:paraId="716B9DBC" w14:textId="77777777" w:rsidR="005470F3" w:rsidRDefault="0019021D" w:rsidP="0030223E">
            <w:pPr>
              <w:pStyle w:val="bullet"/>
            </w:pPr>
            <w:r>
              <w:t>Small-for-gestational age: 1/15 vs 4/16</w:t>
            </w:r>
          </w:p>
          <w:p w14:paraId="445905F2" w14:textId="2E44A648" w:rsidR="0019021D" w:rsidRPr="00486435" w:rsidRDefault="0019021D" w:rsidP="0030223E">
            <w:pPr>
              <w:pStyle w:val="bullet"/>
            </w:pPr>
            <w:r>
              <w:t>Large-for-gestational age: 1/15 vs 0/16</w:t>
            </w:r>
          </w:p>
        </w:tc>
      </w:tr>
      <w:tr w:rsidR="00973D70" w:rsidRPr="005A3ECC" w14:paraId="2FCAC95B" w14:textId="77777777" w:rsidTr="0030223E">
        <w:trPr>
          <w:cantSplit/>
        </w:trPr>
        <w:tc>
          <w:tcPr>
            <w:tcW w:w="1417" w:type="dxa"/>
          </w:tcPr>
          <w:p w14:paraId="0EDE6720" w14:textId="3BA70C86" w:rsidR="00973D70" w:rsidRPr="005A3ECC" w:rsidRDefault="00973D70" w:rsidP="00654EEB">
            <w:pPr>
              <w:rPr>
                <w:noProof/>
              </w:rPr>
            </w:pPr>
            <w:r w:rsidRPr="005A3ECC">
              <w:rPr>
                <w:noProof/>
              </w:rPr>
              <w:t>Van Horn et al 2018</w:t>
            </w:r>
            <w:r w:rsidRPr="005A3ECC">
              <w:rPr>
                <w:noProof/>
              </w:rPr>
              <w:fldChar w:fldCharType="begin">
                <w:fldData xml:space="preserve">PEVuZE5vdGU+PENpdGU+PEF1dGhvcj5WYW4gSG9ybjwvQXV0aG9yPjxZZWFyPjIwMTg8L1llYXI+
PFJlY051bT4xMzc2PC9SZWNOdW0+PERpc3BsYXlUZXh0PjxzdHlsZSBmYWNlPSJzdXBlcnNjcmlw
dCIgZm9udD0iVHJlYnVjaGV0IE1TIiBzaXplPSI5Ij41MDU8L3N0eWxlPjwvRGlzcGxheVRleHQ+
PHJlY29yZD48cmVjLW51bWJlcj4xMzc2PC9yZWMtbnVtYmVyPjxmb3JlaWduLWtleXM+PGtleSBh
cHA9IkVOIiBkYi1pZD0iZXh2YXNyZngyZHRyYW9lc2FzeHAyc3pzeGEyZGY1MDI1OTJ4IiB0aW1l
c3RhbXA9IjE1NjcwMzU5ODciPjEzNzY8L2tleT48a2V5IGFwcD0iRU5XZWIiIGRiLWlkPSIiPjA8
L2tleT48L2ZvcmVpZ24ta2V5cz48cmVmLXR5cGUgbmFtZT0iSm91cm5hbCBBcnRpY2xlIj4xNzwv
cmVmLXR5cGU+PGNvbnRyaWJ1dG9ycz48YXV0aG9ycz48YXV0aG9yPlZhbiBIb3JuLCBMLjwvYXV0
aG9yPjxhdXRob3I+UGVhY2VtYW4sIEEuPC9hdXRob3I+PGF1dGhvcj5Ld2FzbnksIE0uPC9hdXRo
b3I+PGF1dGhvcj5WaW5jZW50LCBFLjwvYXV0aG9yPjxhdXRob3I+Rm91Z2h0LCBBLjwvYXV0aG9y
PjxhdXRob3I+Sm9zZWZzb24sIEouPC9hdXRob3I+PGF1dGhvcj5TcHJpbmcsIEIuPC9hdXRob3I+
PGF1dGhvcj5OZWZmLCBMLiBNLjwvYXV0aG9yPjxhdXRob3I+R2VybmhvZmVyLCBOLjwvYXV0aG9y
PjwvYXV0aG9ycz48L2NvbnRyaWJ1dG9ycz48YXV0aC1hZGRyZXNzPkRlcGFydG1lbnQgb2YgUHJl
dmVudGl2ZSBNZWRpY2luZSwgTm9ydGh3ZXN0ZXJuIFVuaXZlcnNpdHkgRmVpbmJlcmcgU2Nob29s
IG9mIE1lZGljaW5lLCBDaGljYWdvLCBJbGxpbm9pcy4gRWxlY3Ryb25pYyBhZGRyZXNzOiBsdmFu
aG9ybkBub3J0aHdlc3Rlcm4uZWR1LiYjeEQ7RGVwYXJ0bWVudCBvZiBPYnN0ZXRyaWNzIGFuZCBH
eW5lY29sb2d5LCBOb3J0aHdlc3Rlcm4gVW5pdmVyc2l0eSBGZWluYmVyZyBTY2hvb2wgb2YgTWVk
aWNpbmUsIENoaWNhZ28sIElsbGlub2lzLiYjeEQ7RGVwYXJ0bWVudCBvZiBQcmV2ZW50aXZlIE1l
ZGljaW5lLCBOb3J0aHdlc3Rlcm4gVW5pdmVyc2l0eSBGZWluYmVyZyBTY2hvb2wgb2YgTWVkaWNp
bmUsIENoaWNhZ28sIElsbGlub2lzLiYjeEQ7RGVwYXJ0bWVudCBvZiBQcmV2ZW50aXZlIE1lZGlj
aW5lLCBOb3J0aHdlc3Rlcm4gVW5pdmVyc2l0eSBGZWluYmVyZyBTY2hvb2wgb2YgTWVkaWNpbmUs
IENoaWNhZ28sIElsbGlub2lzOyBBbm4gYW5kIFJvYmVydCBILiBMdXJpZSBDaGlsZHJlbiZhcG9z
O3MgSG9zcGl0YWwgb2YgQ2hpY2FnbywgQ2hpY2FnbywgSWxsaW5vaXMuJiN4RDtEZXBhcnRtZW50
IG9mIE1lZGljaW5lLCBOb3J0aHdlc3Rlcm4gVW5pdmVyc2l0eSBGZWluYmVyZyBTY2hvb2wgb2Yg
TWVkaWNpbmUsIENoaWNhZ28sIElsbGlub2lzLjwvYXV0aC1hZGRyZXNzPjx0aXRsZXM+PHRpdGxl
PkRpZXRhcnkgQXBwcm9hY2hlcyB0byBTdG9wIEh5cGVydGVuc2lvbiBEaWV0IGFuZCBBY3Rpdml0
eSB0byBMaW1pdCBHZXN0YXRpb25hbCBXZWlnaHQ6IE1hdGVybmFsIE9mZnNwcmluZyBNZXRhYm9s
aWNzIEZhbWlseSBJbnRlcnZlbnRpb24gVHJpYWwsIGEgVGVjaG5vbG9neSBFbmhhbmNlZCBSYW5k
b21pemVkIFRyaWFsPC90aXRsZT48c2Vjb25kYXJ5LXRpdGxlPkFtIEogUHJldiBNZWQ8L3NlY29u
ZGFyeS10aXRsZT48L3RpdGxlcz48cGVyaW9kaWNhbD48ZnVsbC10aXRsZT5BbSBKIFByZXYgTWVk
PC9mdWxsLXRpdGxlPjwvcGVyaW9kaWNhbD48cGFnZXM+NjAzLTYxNDwvcGFnZXM+PHZvbHVtZT41
NTwvdm9sdW1lPjxudW1iZXI+NTwvbnVtYmVyPjxlZGl0aW9uPjIwMTgvMDkvMjk8L2VkaXRpb24+
PGRhdGVzPjx5ZWFyPjIwMTg8L3llYXI+PHB1Yi1kYXRlcz48ZGF0ZT5Ob3Y8L2RhdGU+PC9wdWIt
ZGF0ZXM+PC9kYXRlcz48aXNibj4xODczLTI2MDcgKEVsZWN0cm9uaWMpJiN4RDswNzQ5LTM3OTcg
KExpbmtpbmcpPC9pc2JuPjxhY2Nlc3Npb24tbnVtPjMwMjYyMTQ4PC9hY2Nlc3Npb24tbnVtPjx1
cmxzPjxyZWxhdGVkLXVybHM+PHVybD5odHRwczovL3d3dy5uY2JpLm5sbS5uaWguZ292L3B1Ym1l
ZC8zMDI2MjE0ODwvdXJsPjwvcmVsYXRlZC11cmxzPjwvdXJscz48ZWxlY3Ryb25pYy1yZXNvdXJj
ZS1udW0+MTAuMTAxNi9qLmFtZXByZS4yMDE4LjA2LjAxNTwvZWxlY3Ryb25pYy1yZXNvdXJjZS1u
dW0+PC9yZWNvcmQ+PC9DaXRlPjwvRW5kTm90ZT4A
</w:fldData>
              </w:fldChar>
            </w:r>
            <w:r w:rsidR="002747EA">
              <w:rPr>
                <w:noProof/>
              </w:rPr>
              <w:instrText xml:space="preserve"> ADDIN EN.CITE </w:instrText>
            </w:r>
            <w:r w:rsidR="002747EA">
              <w:rPr>
                <w:noProof/>
              </w:rPr>
              <w:fldChar w:fldCharType="begin">
                <w:fldData xml:space="preserve">PEVuZE5vdGU+PENpdGU+PEF1dGhvcj5WYW4gSG9ybjwvQXV0aG9yPjxZZWFyPjIwMTg8L1llYXI+
PFJlY051bT4xMzc2PC9SZWNOdW0+PERpc3BsYXlUZXh0PjxzdHlsZSBmYWNlPSJzdXBlcnNjcmlw
dCIgZm9udD0iVHJlYnVjaGV0IE1TIiBzaXplPSI5Ij41MDU8L3N0eWxlPjwvRGlzcGxheVRleHQ+
PHJlY29yZD48cmVjLW51bWJlcj4xMzc2PC9yZWMtbnVtYmVyPjxmb3JlaWduLWtleXM+PGtleSBh
cHA9IkVOIiBkYi1pZD0iZXh2YXNyZngyZHRyYW9lc2FzeHAyc3pzeGEyZGY1MDI1OTJ4IiB0aW1l
c3RhbXA9IjE1NjcwMzU5ODciPjEzNzY8L2tleT48a2V5IGFwcD0iRU5XZWIiIGRiLWlkPSIiPjA8
L2tleT48L2ZvcmVpZ24ta2V5cz48cmVmLXR5cGUgbmFtZT0iSm91cm5hbCBBcnRpY2xlIj4xNzwv
cmVmLXR5cGU+PGNvbnRyaWJ1dG9ycz48YXV0aG9ycz48YXV0aG9yPlZhbiBIb3JuLCBMLjwvYXV0
aG9yPjxhdXRob3I+UGVhY2VtYW4sIEEuPC9hdXRob3I+PGF1dGhvcj5Ld2FzbnksIE0uPC9hdXRo
b3I+PGF1dGhvcj5WaW5jZW50LCBFLjwvYXV0aG9yPjxhdXRob3I+Rm91Z2h0LCBBLjwvYXV0aG9y
PjxhdXRob3I+Sm9zZWZzb24sIEouPC9hdXRob3I+PGF1dGhvcj5TcHJpbmcsIEIuPC9hdXRob3I+
PGF1dGhvcj5OZWZmLCBMLiBNLjwvYXV0aG9yPjxhdXRob3I+R2VybmhvZmVyLCBOLjwvYXV0aG9y
PjwvYXV0aG9ycz48L2NvbnRyaWJ1dG9ycz48YXV0aC1hZGRyZXNzPkRlcGFydG1lbnQgb2YgUHJl
dmVudGl2ZSBNZWRpY2luZSwgTm9ydGh3ZXN0ZXJuIFVuaXZlcnNpdHkgRmVpbmJlcmcgU2Nob29s
IG9mIE1lZGljaW5lLCBDaGljYWdvLCBJbGxpbm9pcy4gRWxlY3Ryb25pYyBhZGRyZXNzOiBsdmFu
aG9ybkBub3J0aHdlc3Rlcm4uZWR1LiYjeEQ7RGVwYXJ0bWVudCBvZiBPYnN0ZXRyaWNzIGFuZCBH
eW5lY29sb2d5LCBOb3J0aHdlc3Rlcm4gVW5pdmVyc2l0eSBGZWluYmVyZyBTY2hvb2wgb2YgTWVk
aWNpbmUsIENoaWNhZ28sIElsbGlub2lzLiYjeEQ7RGVwYXJ0bWVudCBvZiBQcmV2ZW50aXZlIE1l
ZGljaW5lLCBOb3J0aHdlc3Rlcm4gVW5pdmVyc2l0eSBGZWluYmVyZyBTY2hvb2wgb2YgTWVkaWNp
bmUsIENoaWNhZ28sIElsbGlub2lzLiYjeEQ7RGVwYXJ0bWVudCBvZiBQcmV2ZW50aXZlIE1lZGlj
aW5lLCBOb3J0aHdlc3Rlcm4gVW5pdmVyc2l0eSBGZWluYmVyZyBTY2hvb2wgb2YgTWVkaWNpbmUs
IENoaWNhZ28sIElsbGlub2lzOyBBbm4gYW5kIFJvYmVydCBILiBMdXJpZSBDaGlsZHJlbiZhcG9z
O3MgSG9zcGl0YWwgb2YgQ2hpY2FnbywgQ2hpY2FnbywgSWxsaW5vaXMuJiN4RDtEZXBhcnRtZW50
IG9mIE1lZGljaW5lLCBOb3J0aHdlc3Rlcm4gVW5pdmVyc2l0eSBGZWluYmVyZyBTY2hvb2wgb2Yg
TWVkaWNpbmUsIENoaWNhZ28sIElsbGlub2lzLjwvYXV0aC1hZGRyZXNzPjx0aXRsZXM+PHRpdGxl
PkRpZXRhcnkgQXBwcm9hY2hlcyB0byBTdG9wIEh5cGVydGVuc2lvbiBEaWV0IGFuZCBBY3Rpdml0
eSB0byBMaW1pdCBHZXN0YXRpb25hbCBXZWlnaHQ6IE1hdGVybmFsIE9mZnNwcmluZyBNZXRhYm9s
aWNzIEZhbWlseSBJbnRlcnZlbnRpb24gVHJpYWwsIGEgVGVjaG5vbG9neSBFbmhhbmNlZCBSYW5k
b21pemVkIFRyaWFsPC90aXRsZT48c2Vjb25kYXJ5LXRpdGxlPkFtIEogUHJldiBNZWQ8L3NlY29u
ZGFyeS10aXRsZT48L3RpdGxlcz48cGVyaW9kaWNhbD48ZnVsbC10aXRsZT5BbSBKIFByZXYgTWVk
PC9mdWxsLXRpdGxlPjwvcGVyaW9kaWNhbD48cGFnZXM+NjAzLTYxNDwvcGFnZXM+PHZvbHVtZT41
NTwvdm9sdW1lPjxudW1iZXI+NTwvbnVtYmVyPjxlZGl0aW9uPjIwMTgvMDkvMjk8L2VkaXRpb24+
PGRhdGVzPjx5ZWFyPjIwMTg8L3llYXI+PHB1Yi1kYXRlcz48ZGF0ZT5Ob3Y8L2RhdGU+PC9wdWIt
ZGF0ZXM+PC9kYXRlcz48aXNibj4xODczLTI2MDcgKEVsZWN0cm9uaWMpJiN4RDswNzQ5LTM3OTcg
KExpbmtpbmcpPC9pc2JuPjxhY2Nlc3Npb24tbnVtPjMwMjYyMTQ4PC9hY2Nlc3Npb24tbnVtPjx1
cmxzPjxyZWxhdGVkLXVybHM+PHVybD5odHRwczovL3d3dy5uY2JpLm5sbS5uaWguZ292L3B1Ym1l
ZC8zMDI2MjE0ODwvdXJsPjwvcmVsYXRlZC11cmxzPjwvdXJscz48ZWxlY3Ryb25pYy1yZXNvdXJj
ZS1udW0+MTAuMTAxNi9qLmFtZXByZS4yMDE4LjA2LjAxNTwvZWxlY3Ryb25pYy1yZXNvdXJjZS1u
dW0+PC9yZWNvcmQ+PC9DaXRlPjwvRW5kTm90ZT4A
</w:fldData>
              </w:fldChar>
            </w:r>
            <w:r w:rsidR="002747EA">
              <w:rPr>
                <w:noProof/>
              </w:rPr>
              <w:instrText xml:space="preserve"> ADDIN EN.CITE.DATA </w:instrText>
            </w:r>
            <w:r w:rsidR="002747EA">
              <w:rPr>
                <w:noProof/>
              </w:rPr>
            </w:r>
            <w:r w:rsidR="002747EA">
              <w:rPr>
                <w:noProof/>
              </w:rPr>
              <w:fldChar w:fldCharType="end"/>
            </w:r>
            <w:r w:rsidRPr="005A3ECC">
              <w:rPr>
                <w:noProof/>
              </w:rPr>
            </w:r>
            <w:r w:rsidRPr="005A3ECC">
              <w:rPr>
                <w:noProof/>
              </w:rPr>
              <w:fldChar w:fldCharType="separate"/>
            </w:r>
            <w:r w:rsidR="002747EA" w:rsidRPr="002747EA">
              <w:rPr>
                <w:noProof/>
                <w:vertAlign w:val="superscript"/>
              </w:rPr>
              <w:t>505</w:t>
            </w:r>
            <w:r w:rsidRPr="005A3ECC">
              <w:rPr>
                <w:noProof/>
              </w:rPr>
              <w:fldChar w:fldCharType="end"/>
            </w:r>
          </w:p>
          <w:p w14:paraId="0526E2FD" w14:textId="77777777" w:rsidR="00973D70" w:rsidRPr="005A3ECC" w:rsidRDefault="00973D70" w:rsidP="00A62770">
            <w:pPr>
              <w:rPr>
                <w:rFonts w:ascii="Helvetica" w:hAnsi="Helvetica"/>
                <w:szCs w:val="18"/>
              </w:rPr>
            </w:pPr>
            <w:r w:rsidRPr="005A3ECC">
              <w:rPr>
                <w:rFonts w:ascii="Helvetica" w:hAnsi="Helvetica"/>
                <w:szCs w:val="18"/>
              </w:rPr>
              <w:t>United States</w:t>
            </w:r>
          </w:p>
          <w:p w14:paraId="3FDEA567" w14:textId="77777777" w:rsidR="00973D70" w:rsidRPr="005A3ECC" w:rsidRDefault="00973D70" w:rsidP="00A62770">
            <w:pPr>
              <w:rPr>
                <w:rFonts w:ascii="Helvetica" w:hAnsi="Helvetica"/>
                <w:szCs w:val="18"/>
              </w:rPr>
            </w:pPr>
            <w:r w:rsidRPr="005A3ECC">
              <w:rPr>
                <w:rFonts w:ascii="Helvetica" w:hAnsi="Helvetica"/>
                <w:szCs w:val="18"/>
              </w:rPr>
              <w:t>MOMFIT</w:t>
            </w:r>
          </w:p>
          <w:p w14:paraId="5B7C41AC" w14:textId="77777777" w:rsidR="00973D70" w:rsidRPr="005A3ECC" w:rsidRDefault="00973D70" w:rsidP="00A62770">
            <w:pPr>
              <w:rPr>
                <w:rFonts w:ascii="Century Gothic" w:hAnsi="Century Gothic"/>
                <w:noProof/>
              </w:rPr>
            </w:pPr>
            <w:r w:rsidRPr="005A3ECC">
              <w:rPr>
                <w:rFonts w:ascii="Helvetica" w:hAnsi="Helvetica"/>
                <w:szCs w:val="18"/>
              </w:rPr>
              <w:t>NCT01631747</w:t>
            </w:r>
          </w:p>
        </w:tc>
        <w:tc>
          <w:tcPr>
            <w:tcW w:w="1562" w:type="dxa"/>
          </w:tcPr>
          <w:p w14:paraId="48F05AD8" w14:textId="77777777" w:rsidR="00973D70" w:rsidRPr="005A3ECC" w:rsidRDefault="00973D70" w:rsidP="00A75579">
            <w:pPr>
              <w:rPr>
                <w:sz w:val="16"/>
                <w:szCs w:val="16"/>
              </w:rPr>
            </w:pPr>
            <w:r w:rsidRPr="005A3ECC">
              <w:rPr>
                <w:sz w:val="16"/>
                <w:szCs w:val="16"/>
              </w:rPr>
              <w:t>Intervention 140</w:t>
            </w:r>
          </w:p>
          <w:p w14:paraId="47D9F7DF" w14:textId="77777777" w:rsidR="00973D70" w:rsidRPr="005A3ECC" w:rsidRDefault="00973D70" w:rsidP="00A75579">
            <w:pPr>
              <w:rPr>
                <w:sz w:val="16"/>
                <w:szCs w:val="16"/>
              </w:rPr>
            </w:pPr>
            <w:r w:rsidRPr="005A3ECC">
              <w:rPr>
                <w:sz w:val="16"/>
                <w:szCs w:val="16"/>
              </w:rPr>
              <w:t>Control 141</w:t>
            </w:r>
          </w:p>
          <w:p w14:paraId="1006F2F7" w14:textId="69AD37F4" w:rsidR="00973D70" w:rsidRPr="005A3ECC" w:rsidRDefault="00973D70" w:rsidP="00A75579">
            <w:pPr>
              <w:rPr>
                <w:sz w:val="16"/>
                <w:szCs w:val="16"/>
              </w:rPr>
            </w:pPr>
          </w:p>
        </w:tc>
        <w:tc>
          <w:tcPr>
            <w:tcW w:w="5393" w:type="dxa"/>
          </w:tcPr>
          <w:p w14:paraId="75A3B61C" w14:textId="77777777" w:rsidR="00973D70" w:rsidRPr="005A3ECC" w:rsidRDefault="00973D70" w:rsidP="00A845D4">
            <w:r w:rsidRPr="005A3ECC">
              <w:rPr>
                <w:b/>
              </w:rPr>
              <w:t>Aim</w:t>
            </w:r>
            <w:r w:rsidRPr="005A3ECC">
              <w:t xml:space="preserve">: To determine whether technology-enhanced antenatal diet and lifestyle intervention could prevent excess gestational weight gain and benefit mother and child. </w:t>
            </w:r>
          </w:p>
          <w:p w14:paraId="248E3BD9" w14:textId="77777777" w:rsidR="00973D70" w:rsidRPr="005A3ECC" w:rsidRDefault="00973D70" w:rsidP="00A845D4">
            <w:r w:rsidRPr="005A3ECC">
              <w:rPr>
                <w:b/>
              </w:rPr>
              <w:t>Population</w:t>
            </w:r>
            <w:r w:rsidRPr="005A3ECC">
              <w:t>: Overweight and obese ethnically diverse pregnant women at 16 weeks gestation.</w:t>
            </w:r>
          </w:p>
          <w:p w14:paraId="7F9AA80E" w14:textId="77777777" w:rsidR="00973D70" w:rsidRPr="005A3ECC" w:rsidRDefault="00973D70" w:rsidP="00A845D4">
            <w:r w:rsidRPr="005A3ECC">
              <w:rPr>
                <w:b/>
              </w:rPr>
              <w:t>Intervention</w:t>
            </w:r>
            <w:r w:rsidRPr="005A3ECC">
              <w:t xml:space="preserve">: Dietitian-led Dietary Approaches to Stop Hypertension diet and physical activity coaching that was received as three individual and six group counselling sessions by phone and webinar. </w:t>
            </w:r>
          </w:p>
          <w:p w14:paraId="6B2E1213" w14:textId="77777777" w:rsidR="00973D70" w:rsidRPr="005A3ECC" w:rsidRDefault="00973D70" w:rsidP="00654EEB">
            <w:r w:rsidRPr="005A3ECC">
              <w:t>The DASH diet</w:t>
            </w:r>
            <w:r w:rsidRPr="005A3ECC">
              <w:rPr>
                <w:color w:val="0094BA"/>
                <w:sz w:val="9"/>
                <w:szCs w:val="9"/>
              </w:rPr>
              <w:t xml:space="preserve"> </w:t>
            </w:r>
            <w:r w:rsidRPr="005A3ECC">
              <w:t xml:space="preserve">is especially well-suited to pregnancy because of its high nutrient density including low-fat milk and dairy products, </w:t>
            </w:r>
            <w:r w:rsidRPr="005A3ECC">
              <w:rPr>
                <w:rFonts w:ascii="Helvetica" w:eastAsiaTheme="majorEastAsia" w:hAnsi="Helvetica"/>
              </w:rPr>
              <w:t>fi</w:t>
            </w:r>
            <w:r w:rsidRPr="005A3ECC">
              <w:t xml:space="preserve">sh, skinless poultry, lean meat and vegetable protein, unsaturated fats, </w:t>
            </w:r>
            <w:r w:rsidRPr="005A3ECC">
              <w:rPr>
                <w:rFonts w:ascii="Helvetica" w:eastAsiaTheme="majorEastAsia" w:hAnsi="Helvetica"/>
              </w:rPr>
              <w:t>fi</w:t>
            </w:r>
            <w:r w:rsidRPr="005A3ECC">
              <w:t>bre-rich whole grains, fruits, vegetables, and legumes. Conversely, intake of sugar-sweetened beverages, other sweets, and non-nutrient-dense snack foods was discouraged.</w:t>
            </w:r>
          </w:p>
          <w:p w14:paraId="61785FCE" w14:textId="77777777" w:rsidR="00973D70" w:rsidRPr="005A3ECC" w:rsidRDefault="00973D70" w:rsidP="00932289">
            <w:r w:rsidRPr="005A3ECC">
              <w:t xml:space="preserve">The activity goal was to engage in </w:t>
            </w:r>
            <w:r w:rsidRPr="005A3ECC">
              <w:rPr>
                <w:rFonts w:ascii="Helvetica" w:hAnsi="Helvetica"/>
              </w:rPr>
              <w:t>&gt;</w:t>
            </w:r>
            <w:r w:rsidRPr="005A3ECC">
              <w:t xml:space="preserve">30 minutes of activity or walking </w:t>
            </w:r>
            <w:r w:rsidRPr="005A3ECC">
              <w:rPr>
                <w:rFonts w:ascii="Helvetica" w:hAnsi="Helvetica"/>
              </w:rPr>
              <w:t>&gt;</w:t>
            </w:r>
            <w:r w:rsidRPr="005A3ECC">
              <w:t>10,000 steps per day.</w:t>
            </w:r>
          </w:p>
          <w:p w14:paraId="62005A3E" w14:textId="77777777" w:rsidR="00973D70" w:rsidRPr="005A3ECC" w:rsidRDefault="00973D70" w:rsidP="00A845D4">
            <w:pPr>
              <w:rPr>
                <w:b/>
                <w:sz w:val="16"/>
                <w:szCs w:val="16"/>
              </w:rPr>
            </w:pPr>
            <w:r w:rsidRPr="005A3ECC">
              <w:t xml:space="preserve">A commercially available smartphone application was used for self-monitoring diet and physical activity. Telephone, text message prompts, and e-mail reminders encouraged adherence and website viewing. Usual-care, "web-watcher" participants were e-mailed biweekly newsletters and publicly available maternity website links. </w:t>
            </w:r>
          </w:p>
        </w:tc>
        <w:tc>
          <w:tcPr>
            <w:tcW w:w="5664" w:type="dxa"/>
          </w:tcPr>
          <w:p w14:paraId="4292F8C1" w14:textId="77777777" w:rsidR="00973D70" w:rsidRPr="005A3ECC" w:rsidRDefault="00973D70" w:rsidP="00A845D4">
            <w:r w:rsidRPr="005A3ECC">
              <w:t>Intervention vs control:</w:t>
            </w:r>
          </w:p>
          <w:p w14:paraId="1B5DE419" w14:textId="77777777" w:rsidR="00973D70" w:rsidRPr="005A3ECC" w:rsidRDefault="00973D70" w:rsidP="00A845D4">
            <w:pPr>
              <w:pStyle w:val="bullet"/>
            </w:pPr>
            <w:r w:rsidRPr="005A3ECC">
              <w:t>Gestational weight gain (kg): 10±6 (n=140) vs 12±6 (n=141)</w:t>
            </w:r>
          </w:p>
          <w:p w14:paraId="7C0460B4" w14:textId="77777777" w:rsidR="00973D70" w:rsidRPr="005A3ECC" w:rsidRDefault="00973D70" w:rsidP="00A845D4">
            <w:pPr>
              <w:pStyle w:val="bullet"/>
            </w:pPr>
            <w:r w:rsidRPr="005A3ECC">
              <w:t>Weight gain exceeding IOM guidelines: 96/140 (68.6%) vs 119/141 (84.4%)</w:t>
            </w:r>
          </w:p>
          <w:p w14:paraId="4EFEE07C" w14:textId="77777777" w:rsidR="00973D70" w:rsidRPr="005A3ECC" w:rsidRDefault="00973D70" w:rsidP="00A845D4">
            <w:pPr>
              <w:pStyle w:val="bullet"/>
            </w:pPr>
            <w:r w:rsidRPr="005A3ECC">
              <w:t>Gestational diabetes: 7/133 (5.3%) vs 9/127 (7.1%)</w:t>
            </w:r>
          </w:p>
          <w:p w14:paraId="22F6E212" w14:textId="77777777" w:rsidR="00973D70" w:rsidRPr="005A3ECC" w:rsidRDefault="00973D70" w:rsidP="00A845D4">
            <w:pPr>
              <w:pStyle w:val="bullet"/>
            </w:pPr>
            <w:r w:rsidRPr="005A3ECC">
              <w:t>Preterm birth: 6/139 (4.3%) vs 12/136 (8.8%)</w:t>
            </w:r>
          </w:p>
          <w:p w14:paraId="744B8B07" w14:textId="77777777" w:rsidR="00973D70" w:rsidRPr="005A3ECC" w:rsidRDefault="00973D70" w:rsidP="00A845D4">
            <w:pPr>
              <w:pStyle w:val="bullet"/>
            </w:pPr>
            <w:r w:rsidRPr="005A3ECC">
              <w:t>Caesarean section: 55/140 (39.6%) vs 37/137 (27%)</w:t>
            </w:r>
          </w:p>
          <w:p w14:paraId="1121781E" w14:textId="77777777" w:rsidR="00973D70" w:rsidRPr="005A3ECC" w:rsidRDefault="00973D70" w:rsidP="00A845D4">
            <w:pPr>
              <w:pStyle w:val="bullet"/>
            </w:pPr>
            <w:r w:rsidRPr="005A3ECC">
              <w:t>Small-for-gestational age: 25/130 (18%) vs 27/121 (19.9%)</w:t>
            </w:r>
          </w:p>
          <w:p w14:paraId="4C09D204" w14:textId="77777777" w:rsidR="00973D70" w:rsidRPr="005A3ECC" w:rsidRDefault="00973D70" w:rsidP="002E3140">
            <w:pPr>
              <w:pStyle w:val="bullet"/>
            </w:pPr>
            <w:r w:rsidRPr="005A3ECC">
              <w:t>Large for gestational age: 8/130 (5.8%) vs 12/121 (8.8%)</w:t>
            </w:r>
          </w:p>
        </w:tc>
      </w:tr>
      <w:tr w:rsidR="00973D70" w:rsidRPr="00D00A59" w14:paraId="7E38F098" w14:textId="77777777" w:rsidTr="0030223E">
        <w:trPr>
          <w:cantSplit/>
        </w:trPr>
        <w:tc>
          <w:tcPr>
            <w:tcW w:w="1417" w:type="dxa"/>
          </w:tcPr>
          <w:p w14:paraId="119B831A" w14:textId="19C00452" w:rsidR="00973D70" w:rsidRPr="00D00A59" w:rsidRDefault="00973D70" w:rsidP="00654EEB">
            <w:r w:rsidRPr="00D00A59">
              <w:rPr>
                <w:noProof/>
              </w:rPr>
              <w:t>Vesco et al 2012;</w:t>
            </w:r>
            <w:r w:rsidRPr="00D00A59">
              <w:rPr>
                <w:noProof/>
              </w:rPr>
              <w:fldChar w:fldCharType="begin">
                <w:fldData xml:space="preserve">PEVuZE5vdGU+PENpdGU+PEF1dGhvcj5WZXNjbzwvQXV0aG9yPjxZZWFyPjIwMTI8L1llYXI+PFJl
Y051bT4xMTMwPC9SZWNOdW0+PERpc3BsYXlUZXh0PjxzdHlsZSBmYWNlPSJzdXBlcnNjcmlwdCIg
Zm9udD0iVHJlYnVjaGV0IE1TIiBzaXplPSI5Ij41MTQ8L3N0eWxlPjwvRGlzcGxheVRleHQ+PHJl
Y29yZD48cmVjLW51bWJlcj4xMTMwPC9yZWMtbnVtYmVyPjxmb3JlaWduLWtleXM+PGtleSBhcHA9
IkVOIiBkYi1pZD0iZXh2YXNyZngyZHRyYW9lc2FzeHAyc3pzeGEyZGY1MDI1OTJ4IiB0aW1lc3Rh
bXA9IjE1NTM0MDg5ODYiPjExMzA8L2tleT48L2ZvcmVpZ24ta2V5cz48cmVmLXR5cGUgbmFtZT0i
Sm91cm5hbCBBcnRpY2xlIj4xNzwvcmVmLXR5cGU+PGNvbnRyaWJ1dG9ycz48YXV0aG9ycz48YXV0
aG9yPlZlc2NvLCBLLiBLLjwvYXV0aG9yPjxhdXRob3I+S2FyYW5qYSwgTi48L2F1dGhvcj48YXV0
aG9yPktpbmcsIEouIEMuPC9hdXRob3I+PGF1dGhvcj5HaWxsbWFuLCBNLiBXLjwvYXV0aG9yPjxh
dXRob3I+UGVycmluLCBOLjwvYXV0aG9yPjxhdXRob3I+TWNFdm95LCBDLjwvYXV0aG9yPjxhdXRo
b3I+RWNraGFyZHQsIEMuPC9hdXRob3I+PGF1dGhvcj5TbWl0aCwgSy4gUy48L2F1dGhvcj48YXV0
aG9yPlN0ZXZlbnMsIFYuIEouPC9hdXRob3I+PC9hdXRob3JzPjwvY29udHJpYnV0b3JzPjxhdXRo
LWFkZHJlc3M+Q2VudGVyIGZvciBIZWFsdGggUmVzZWFyY2gsIEthaXNlciBQZXJtYW5lbnRlLCBO
b3J0aHdlc3QsIFBvcnRsYW5kLCBPUiA5NzIyNywgVVNBLiBraW1iZXJseS5rLnZlc2NvQGtwY2hy
Lm9yZzwvYXV0aC1hZGRyZXNzPjx0aXRsZXM+PHRpdGxlPkhlYWx0aHkgTW9tcywgYSByYW5kb21p
emVkIHRyaWFsIHRvIHByb21vdGUgYW5kIGV2YWx1YXRlIHdlaWdodCBtYWludGVuYW5jZSBhbW9u
ZyBvYmVzZSBwcmVnbmFudCB3b21lbjogc3R1ZHkgZGVzaWduIGFuZCByYXRpb25hbGU8L3RpdGxl
PjxzZWNvbmRhcnktdGl0bGU+Q29udGVtcCBDbGluIFRyaWFsczwvc2Vjb25kYXJ5LXRpdGxlPjwv
dGl0bGVzPjxwZXJpb2RpY2FsPjxmdWxsLXRpdGxlPkNvbnRlbXAgQ2xpbiBUcmlhbHM8L2Z1bGwt
dGl0bGU+PC9wZXJpb2RpY2FsPjxwYWdlcz43NzctODU8L3BhZ2VzPjx2b2x1bWU+MzM8L3ZvbHVt
ZT48bnVtYmVyPjQ8L251bWJlcj48ZWRpdGlvbj4yMDEyLzA0LzAzPC9lZGl0aW9uPjxrZXl3b3Jk
cz48a2V5d29yZD5BZG9sZXNjZW50PC9rZXl3b3JkPjxrZXl3b3JkPkFkdWx0PC9rZXl3b3JkPjxr
ZXl3b3JkPkJpcnRoIFdlaWdodDwva2V5d29yZD48a2V5d29yZD5DbGluaWNhbCBQcm90b2NvbHM8
L2tleXdvcmQ+PGtleXdvcmQ+Q29tYmluZWQgTW9kYWxpdHkgVGhlcmFweTwva2V5d29yZD48a2V5
d29yZD5EaWV0IFRoZXJhcHkvKm1ldGhvZHM8L2tleXdvcmQ+PGtleXdvcmQ+RXhlcmNpc2UgVGhl
cmFweS8qbWV0aG9kczwva2V5d29yZD48a2V5d29yZD5GZWFzaWJpbGl0eSBTdHVkaWVzPC9rZXl3
b3JkPjxrZXl3b3JkPkZlbWFsZTwva2V5d29yZD48a2V5d29yZD5IdW1hbnM8L2tleXdvcmQ+PGtl
eXdvcmQ+SW5mYW50LCBOZXdib3JuPC9rZXl3b3JkPjxrZXl3b3JkPkludGVudGlvbiB0byBUcmVh
dCBBbmFseXNpczwva2V5d29yZD48a2V5d29yZD5Mb2dpc3RpYyBNb2RlbHM8L2tleXdvcmQ+PGtl
eXdvcmQ+T2Jlc2l0eS8qdGhlcmFweTwva2V5d29yZD48a2V5d29yZD5QcmVnbmFuY3k8L2tleXdv
cmQ+PGtleXdvcmQ+UHJlZ25hbmN5IENvbXBsaWNhdGlvbnMvKnRoZXJhcHk8L2tleXdvcmQ+PGtl
eXdvcmQ+UHN5Y2hvdGhlcmFweSwgR3JvdXAvKm1ldGhvZHM8L2tleXdvcmQ+PGtleXdvcmQ+UmVz
ZWFyY2ggRGVzaWduPC9rZXl3b3JkPjxrZXl3b3JkPlRyZWF0bWVudCBPdXRjb21lPC9rZXl3b3Jk
PjxrZXl3b3JkPldlaWdodCBHYWluPC9rZXl3b3JkPjxrZXl3b3JkPllvdW5nIEFkdWx0PC9rZXl3
b3JkPjwva2V5d29yZHM+PGRhdGVzPjx5ZWFyPjIwMTI8L3llYXI+PHB1Yi1kYXRlcz48ZGF0ZT5K
dWw8L2RhdGU+PC9wdWItZGF0ZXM+PC9kYXRlcz48aXNibj4xNTU5LTIwMzAgKEVsZWN0cm9uaWMp
JiN4RDsxNTUxLTcxNDQgKExpbmtpbmcpPC9pc2JuPjxhY2Nlc3Npb24tbnVtPjIyNDY1MjU2PC9h
Y2Nlc3Npb24tbnVtPjx1cmxzPjxyZWxhdGVkLXVybHM+PHVybD5odHRwczovL3d3dy5uY2JpLm5s
bS5uaWguZ292L3B1Ym1lZC8yMjQ2NTI1NjwvdXJsPjwvcmVsYXRlZC11cmxzPjwvdXJscz48Y3Vz
dG9tMj5QTUMzMzYxNTE5PC9jdXN0b20yPjxlbGVjdHJvbmljLXJlc291cmNlLW51bT4xMC4xMDE2
L2ouY2N0LjIwMTIuMDMuMDA2PC9lbGVjdHJvbmljLXJlc291cmNlLW51bT48L3JlY29yZD48L0Np
dGU+PC9FbmROb3RlPn==
</w:fldData>
              </w:fldChar>
            </w:r>
            <w:r w:rsidR="002747EA">
              <w:rPr>
                <w:noProof/>
              </w:rPr>
              <w:instrText xml:space="preserve"> ADDIN EN.CITE </w:instrText>
            </w:r>
            <w:r w:rsidR="002747EA">
              <w:rPr>
                <w:noProof/>
              </w:rPr>
              <w:fldChar w:fldCharType="begin">
                <w:fldData xml:space="preserve">PEVuZE5vdGU+PENpdGU+PEF1dGhvcj5WZXNjbzwvQXV0aG9yPjxZZWFyPjIwMTI8L1llYXI+PFJl
Y051bT4xMTMwPC9SZWNOdW0+PERpc3BsYXlUZXh0PjxzdHlsZSBmYWNlPSJzdXBlcnNjcmlwdCIg
Zm9udD0iVHJlYnVjaGV0IE1TIiBzaXplPSI5Ij41MTQ8L3N0eWxlPjwvRGlzcGxheVRleHQ+PHJl
Y29yZD48cmVjLW51bWJlcj4xMTMwPC9yZWMtbnVtYmVyPjxmb3JlaWduLWtleXM+PGtleSBhcHA9
IkVOIiBkYi1pZD0iZXh2YXNyZngyZHRyYW9lc2FzeHAyc3pzeGEyZGY1MDI1OTJ4IiB0aW1lc3Rh
bXA9IjE1NTM0MDg5ODYiPjExMzA8L2tleT48L2ZvcmVpZ24ta2V5cz48cmVmLXR5cGUgbmFtZT0i
Sm91cm5hbCBBcnRpY2xlIj4xNzwvcmVmLXR5cGU+PGNvbnRyaWJ1dG9ycz48YXV0aG9ycz48YXV0
aG9yPlZlc2NvLCBLLiBLLjwvYXV0aG9yPjxhdXRob3I+S2FyYW5qYSwgTi48L2F1dGhvcj48YXV0
aG9yPktpbmcsIEouIEMuPC9hdXRob3I+PGF1dGhvcj5HaWxsbWFuLCBNLiBXLjwvYXV0aG9yPjxh
dXRob3I+UGVycmluLCBOLjwvYXV0aG9yPjxhdXRob3I+TWNFdm95LCBDLjwvYXV0aG9yPjxhdXRo
b3I+RWNraGFyZHQsIEMuPC9hdXRob3I+PGF1dGhvcj5TbWl0aCwgSy4gUy48L2F1dGhvcj48YXV0
aG9yPlN0ZXZlbnMsIFYuIEouPC9hdXRob3I+PC9hdXRob3JzPjwvY29udHJpYnV0b3JzPjxhdXRo
LWFkZHJlc3M+Q2VudGVyIGZvciBIZWFsdGggUmVzZWFyY2gsIEthaXNlciBQZXJtYW5lbnRlLCBO
b3J0aHdlc3QsIFBvcnRsYW5kLCBPUiA5NzIyNywgVVNBLiBraW1iZXJseS5rLnZlc2NvQGtwY2hy
Lm9yZzwvYXV0aC1hZGRyZXNzPjx0aXRsZXM+PHRpdGxlPkhlYWx0aHkgTW9tcywgYSByYW5kb21p
emVkIHRyaWFsIHRvIHByb21vdGUgYW5kIGV2YWx1YXRlIHdlaWdodCBtYWludGVuYW5jZSBhbW9u
ZyBvYmVzZSBwcmVnbmFudCB3b21lbjogc3R1ZHkgZGVzaWduIGFuZCByYXRpb25hbGU8L3RpdGxl
PjxzZWNvbmRhcnktdGl0bGU+Q29udGVtcCBDbGluIFRyaWFsczwvc2Vjb25kYXJ5LXRpdGxlPjwv
dGl0bGVzPjxwZXJpb2RpY2FsPjxmdWxsLXRpdGxlPkNvbnRlbXAgQ2xpbiBUcmlhbHM8L2Z1bGwt
dGl0bGU+PC9wZXJpb2RpY2FsPjxwYWdlcz43NzctODU8L3BhZ2VzPjx2b2x1bWU+MzM8L3ZvbHVt
ZT48bnVtYmVyPjQ8L251bWJlcj48ZWRpdGlvbj4yMDEyLzA0LzAzPC9lZGl0aW9uPjxrZXl3b3Jk
cz48a2V5d29yZD5BZG9sZXNjZW50PC9rZXl3b3JkPjxrZXl3b3JkPkFkdWx0PC9rZXl3b3JkPjxr
ZXl3b3JkPkJpcnRoIFdlaWdodDwva2V5d29yZD48a2V5d29yZD5DbGluaWNhbCBQcm90b2NvbHM8
L2tleXdvcmQ+PGtleXdvcmQ+Q29tYmluZWQgTW9kYWxpdHkgVGhlcmFweTwva2V5d29yZD48a2V5
d29yZD5EaWV0IFRoZXJhcHkvKm1ldGhvZHM8L2tleXdvcmQ+PGtleXdvcmQ+RXhlcmNpc2UgVGhl
cmFweS8qbWV0aG9kczwva2V5d29yZD48a2V5d29yZD5GZWFzaWJpbGl0eSBTdHVkaWVzPC9rZXl3
b3JkPjxrZXl3b3JkPkZlbWFsZTwva2V5d29yZD48a2V5d29yZD5IdW1hbnM8L2tleXdvcmQ+PGtl
eXdvcmQ+SW5mYW50LCBOZXdib3JuPC9rZXl3b3JkPjxrZXl3b3JkPkludGVudGlvbiB0byBUcmVh
dCBBbmFseXNpczwva2V5d29yZD48a2V5d29yZD5Mb2dpc3RpYyBNb2RlbHM8L2tleXdvcmQ+PGtl
eXdvcmQ+T2Jlc2l0eS8qdGhlcmFweTwva2V5d29yZD48a2V5d29yZD5QcmVnbmFuY3k8L2tleXdv
cmQ+PGtleXdvcmQ+UHJlZ25hbmN5IENvbXBsaWNhdGlvbnMvKnRoZXJhcHk8L2tleXdvcmQ+PGtl
eXdvcmQ+UHN5Y2hvdGhlcmFweSwgR3JvdXAvKm1ldGhvZHM8L2tleXdvcmQ+PGtleXdvcmQ+UmVz
ZWFyY2ggRGVzaWduPC9rZXl3b3JkPjxrZXl3b3JkPlRyZWF0bWVudCBPdXRjb21lPC9rZXl3b3Jk
PjxrZXl3b3JkPldlaWdodCBHYWluPC9rZXl3b3JkPjxrZXl3b3JkPllvdW5nIEFkdWx0PC9rZXl3
b3JkPjwva2V5d29yZHM+PGRhdGVzPjx5ZWFyPjIwMTI8L3llYXI+PHB1Yi1kYXRlcz48ZGF0ZT5K
dWw8L2RhdGU+PC9wdWItZGF0ZXM+PC9kYXRlcz48aXNibj4xNTU5LTIwMzAgKEVsZWN0cm9uaWMp
JiN4RDsxNTUxLTcxNDQgKExpbmtpbmcpPC9pc2JuPjxhY2Nlc3Npb24tbnVtPjIyNDY1MjU2PC9h
Y2Nlc3Npb24tbnVtPjx1cmxzPjxyZWxhdGVkLXVybHM+PHVybD5odHRwczovL3d3dy5uY2JpLm5s
bS5uaWguZ292L3B1Ym1lZC8yMjQ2NTI1NjwvdXJsPjwvcmVsYXRlZC11cmxzPjwvdXJscz48Y3Vz
dG9tMj5QTUMzMzYxNTE5PC9jdXN0b20yPjxlbGVjdHJvbmljLXJlc291cmNlLW51bT4xMC4xMDE2
L2ouY2N0LjIwMTIuMDMuMDA2PC9lbGVjdHJvbmljLXJlc291cmNlLW51bT48L3JlY29yZD48L0Np
dGU+PC9FbmROb3RlPn==
</w:fldData>
              </w:fldChar>
            </w:r>
            <w:r w:rsidR="002747EA">
              <w:rPr>
                <w:noProof/>
              </w:rPr>
              <w:instrText xml:space="preserve"> ADDIN EN.CITE.DATA </w:instrText>
            </w:r>
            <w:r w:rsidR="002747EA">
              <w:rPr>
                <w:noProof/>
              </w:rPr>
            </w:r>
            <w:r w:rsidR="002747EA">
              <w:rPr>
                <w:noProof/>
              </w:rPr>
              <w:fldChar w:fldCharType="end"/>
            </w:r>
            <w:r w:rsidRPr="00D00A59">
              <w:rPr>
                <w:noProof/>
              </w:rPr>
            </w:r>
            <w:r w:rsidRPr="00D00A59">
              <w:rPr>
                <w:noProof/>
              </w:rPr>
              <w:fldChar w:fldCharType="separate"/>
            </w:r>
            <w:r w:rsidR="002747EA" w:rsidRPr="002747EA">
              <w:rPr>
                <w:noProof/>
                <w:vertAlign w:val="superscript"/>
              </w:rPr>
              <w:t>514</w:t>
            </w:r>
            <w:r w:rsidRPr="00D00A59">
              <w:rPr>
                <w:noProof/>
              </w:rPr>
              <w:fldChar w:fldCharType="end"/>
            </w:r>
            <w:r w:rsidRPr="00D00A59">
              <w:rPr>
                <w:noProof/>
              </w:rPr>
              <w:t xml:space="preserve"> Vesco et al 2014;</w:t>
            </w:r>
            <w:r w:rsidRPr="00D00A59">
              <w:rPr>
                <w:noProof/>
              </w:rPr>
              <w:fldChar w:fldCharType="begin">
                <w:fldData xml:space="preserve">PEVuZE5vdGU+PENpdGU+PEF1dGhvcj5WZXNjbzwvQXV0aG9yPjxZZWFyPjIwMTQ8L1llYXI+PFJl
Y051bT4xMTIyPC9SZWNOdW0+PERpc3BsYXlUZXh0PjxzdHlsZSBmYWNlPSJzdXBlcnNjcmlwdCIg
Zm9udD0iVHJlYnVjaGV0IE1TIiBzaXplPSI5Ij41NTg8L3N0eWxlPjwvRGlzcGxheVRleHQ+PHJl
Y29yZD48cmVjLW51bWJlcj4xMTIyPC9yZWMtbnVtYmVyPjxmb3JlaWduLWtleXM+PGtleSBhcHA9
IkVOIiBkYi1pZD0iZXh2YXNyZngyZHRyYW9lc2FzeHAyc3pzeGEyZGY1MDI1OTJ4IiB0aW1lc3Rh
bXA9IjE1NTM0MDg5ODYiPjExMjI8L2tleT48L2ZvcmVpZ24ta2V5cz48cmVmLXR5cGUgbmFtZT0i
Sm91cm5hbCBBcnRpY2xlIj4xNzwvcmVmLXR5cGU+PGNvbnRyaWJ1dG9ycz48YXV0aG9ycz48YXV0
aG9yPlZlc2NvLCBLLiBLLjwvYXV0aG9yPjxhdXRob3I+S2FyYW5qYSwgTi48L2F1dGhvcj48YXV0
aG9yPktpbmcsIEouIEMuPC9hdXRob3I+PGF1dGhvcj5HaWxsbWFuLCBNLiBXLjwvYXV0aG9yPjxh
dXRob3I+TGVvLCBNLiBDLjwvYXV0aG9yPjxhdXRob3I+UGVycmluLCBOLjwvYXV0aG9yPjxhdXRo
b3I+TWNFdm95LCBDLiBULjwvYXV0aG9yPjxhdXRob3I+RWNraGFyZHQsIEMuIEwuPC9hdXRob3I+
PGF1dGhvcj5TbWl0aCwgSy4gUy48L2F1dGhvcj48YXV0aG9yPlN0ZXZlbnMsIFYuIEouPC9hdXRo
b3I+PC9hdXRob3JzPjwvY29udHJpYnV0b3JzPjxhdXRoLWFkZHJlc3M+Q2VudGVyIGZvciBIZWFs
dGggUmVzZWFyY2gsIEthaXNlciBQZXJtYW5lbnRlLCBOb3J0aHdlc3QsIDM4MDAgTi4gSW50ZXJz
dGF0ZSBBdmVudWUsIFBvcnRsYW5kLCBPcmVnb24sIDk3MjI3LCBVU0E7IERlcGFydG1lbnQgb2Yg
T2JzdGV0cmljcyBhbmQgR3luZWNvbG9neSwgS2Fpc2VyIFBlcm1hbmVudGUsIE5vcnRod2VzdCwg
NTAwIE5FIE11bHRub21haCBTdHJlZXQsIFBvcnRsYW5kLCBPcmVnb24sIDk3MjMyLCBVU0EuPC9h
dXRoLWFkZHJlc3M+PHRpdGxlcz48dGl0bGU+RWZmaWNhY3kgb2YgYSBncm91cC1iYXNlZCBkaWV0
YXJ5IGludGVydmVudGlvbiBmb3IgbGltaXRpbmcgZ2VzdGF0aW9uYWwgd2VpZ2h0IGdhaW4gYW1v
bmcgb2Jlc2Ugd29tZW46IGEgcmFuZG9taXplZCB0cmlhbDwvdGl0bGU+PHNlY29uZGFyeS10aXRs
ZT5PYmVzaXR5IChTaWx2ZXIgU3ByaW5nKTwvc2Vjb25kYXJ5LXRpdGxlPjwvdGl0bGVzPjxwZXJp
b2RpY2FsPjxmdWxsLXRpdGxlPk9iZXNpdHkgKFNpbHZlciBTcHJpbmcpPC9mdWxsLXRpdGxlPjwv
cGVyaW9kaWNhbD48cGFnZXM+MTk4OS05NjwvcGFnZXM+PHZvbHVtZT4yMjwvdm9sdW1lPjxudW1i
ZXI+OTwvbnVtYmVyPjxlZGl0aW9uPjIwMTQvMDgvMjk8L2VkaXRpb24+PGtleXdvcmRzPjxrZXl3
b3JkPkFkdWx0PC9rZXl3b3JkPjxrZXl3b3JkPkJpcnRoIFdlaWdodDwva2V5d29yZD48a2V5d29y
ZD5Db3Vuc2VsaW5nPC9rZXl3b3JkPjxrZXl3b3JkPkVuZXJneSBJbnRha2UvcGh5c2lvbG9neTwv
a2V5d29yZD48a2V5d29yZD5GZW1hbGU8L2tleXdvcmQ+PGtleXdvcmQ+R2VzdGF0aW9uYWwgQWdl
PC9rZXl3b3JkPjxrZXl3b3JkPipHcm91cCBQcm9jZXNzZXM8L2tleXdvcmQ+PGtleXdvcmQ+SHVt
YW5zPC9rZXl3b3JkPjxrZXl3b3JkPkh5cGVydGVuc2lvbiwgUHJlZ25hbmN5LUluZHVjZWQvcHJl
dmVudGlvbiAmYW1wOyBjb250cm9sPC9rZXl3b3JkPjxrZXl3b3JkPkluZmFudCwgTmV3Ym9ybjwv
a2V5d29yZD48a2V5d29yZD5PYmVzaXR5LypkaWV0IHRoZXJhcHk8L2tleXdvcmQ+PGtleXdvcmQ+
UHJlZ25hbmN5PC9rZXl3b3JkPjxrZXl3b3JkPlByZWduYW5jeSBDb21wbGljYXRpb25zLypkaWV0
IHRoZXJhcHkvcHJldmVudGlvbiAmYW1wOyBjb250cm9sPC9rZXl3b3JkPjxrZXl3b3JkPlNlbGYt
SGVscCBHcm91cHM8L2tleXdvcmQ+PGtleXdvcmQ+VHJlYXRtZW50IE91dGNvbWU8L2tleXdvcmQ+
PGtleXdvcmQ+KldlaWdodCBHYWluPC9rZXl3b3JkPjxrZXl3b3JkPllvdW5nIEFkdWx0PC9rZXl3
b3JkPjwva2V5d29yZHM+PGRhdGVzPjx5ZWFyPjIwMTQ8L3llYXI+PHB1Yi1kYXRlcz48ZGF0ZT5T
ZXA8L2RhdGU+PC9wdWItZGF0ZXM+PC9kYXRlcz48aXNibj4xOTMwLTczOVggKEVsZWN0cm9uaWMp
JiN4RDsxOTMwLTczODEgKExpbmtpbmcpPC9pc2JuPjxhY2Nlc3Npb24tbnVtPjI1MTY0MjU5PC9h
Y2Nlc3Npb24tbnVtPjx1cmxzPjxyZWxhdGVkLXVybHM+PHVybD5odHRwczovL3d3dy5uY2JpLm5s
bS5uaWguZ292L3B1Ym1lZC8yNTE2NDI1OTwvdXJsPjwvcmVsYXRlZC11cmxzPjwvdXJscz48Y3Vz
dG9tMj5QTUM0NDA3ODE3PC9jdXN0b20yPjxlbGVjdHJvbmljLXJlc291cmNlLW51bT4xMC4xMDAy
L29ieS4yMDgzMTwvZWxlY3Ryb25pYy1yZXNvdXJjZS1udW0+PC9yZWNvcmQ+PC9DaXRlPjwvRW5k
Tm90ZT4A
</w:fldData>
              </w:fldChar>
            </w:r>
            <w:r w:rsidR="002747EA">
              <w:rPr>
                <w:noProof/>
              </w:rPr>
              <w:instrText xml:space="preserve"> ADDIN EN.CITE </w:instrText>
            </w:r>
            <w:r w:rsidR="002747EA">
              <w:rPr>
                <w:noProof/>
              </w:rPr>
              <w:fldChar w:fldCharType="begin">
                <w:fldData xml:space="preserve">PEVuZE5vdGU+PENpdGU+PEF1dGhvcj5WZXNjbzwvQXV0aG9yPjxZZWFyPjIwMTQ8L1llYXI+PFJl
Y051bT4xMTIyPC9SZWNOdW0+PERpc3BsYXlUZXh0PjxzdHlsZSBmYWNlPSJzdXBlcnNjcmlwdCIg
Zm9udD0iVHJlYnVjaGV0IE1TIiBzaXplPSI5Ij41NTg8L3N0eWxlPjwvRGlzcGxheVRleHQ+PHJl
Y29yZD48cmVjLW51bWJlcj4xMTIyPC9yZWMtbnVtYmVyPjxmb3JlaWduLWtleXM+PGtleSBhcHA9
IkVOIiBkYi1pZD0iZXh2YXNyZngyZHRyYW9lc2FzeHAyc3pzeGEyZGY1MDI1OTJ4IiB0aW1lc3Rh
bXA9IjE1NTM0MDg5ODYiPjExMjI8L2tleT48L2ZvcmVpZ24ta2V5cz48cmVmLXR5cGUgbmFtZT0i
Sm91cm5hbCBBcnRpY2xlIj4xNzwvcmVmLXR5cGU+PGNvbnRyaWJ1dG9ycz48YXV0aG9ycz48YXV0
aG9yPlZlc2NvLCBLLiBLLjwvYXV0aG9yPjxhdXRob3I+S2FyYW5qYSwgTi48L2F1dGhvcj48YXV0
aG9yPktpbmcsIEouIEMuPC9hdXRob3I+PGF1dGhvcj5HaWxsbWFuLCBNLiBXLjwvYXV0aG9yPjxh
dXRob3I+TGVvLCBNLiBDLjwvYXV0aG9yPjxhdXRob3I+UGVycmluLCBOLjwvYXV0aG9yPjxhdXRo
b3I+TWNFdm95LCBDLiBULjwvYXV0aG9yPjxhdXRob3I+RWNraGFyZHQsIEMuIEwuPC9hdXRob3I+
PGF1dGhvcj5TbWl0aCwgSy4gUy48L2F1dGhvcj48YXV0aG9yPlN0ZXZlbnMsIFYuIEouPC9hdXRo
b3I+PC9hdXRob3JzPjwvY29udHJpYnV0b3JzPjxhdXRoLWFkZHJlc3M+Q2VudGVyIGZvciBIZWFs
dGggUmVzZWFyY2gsIEthaXNlciBQZXJtYW5lbnRlLCBOb3J0aHdlc3QsIDM4MDAgTi4gSW50ZXJz
dGF0ZSBBdmVudWUsIFBvcnRsYW5kLCBPcmVnb24sIDk3MjI3LCBVU0E7IERlcGFydG1lbnQgb2Yg
T2JzdGV0cmljcyBhbmQgR3luZWNvbG9neSwgS2Fpc2VyIFBlcm1hbmVudGUsIE5vcnRod2VzdCwg
NTAwIE5FIE11bHRub21haCBTdHJlZXQsIFBvcnRsYW5kLCBPcmVnb24sIDk3MjMyLCBVU0EuPC9h
dXRoLWFkZHJlc3M+PHRpdGxlcz48dGl0bGU+RWZmaWNhY3kgb2YgYSBncm91cC1iYXNlZCBkaWV0
YXJ5IGludGVydmVudGlvbiBmb3IgbGltaXRpbmcgZ2VzdGF0aW9uYWwgd2VpZ2h0IGdhaW4gYW1v
bmcgb2Jlc2Ugd29tZW46IGEgcmFuZG9taXplZCB0cmlhbDwvdGl0bGU+PHNlY29uZGFyeS10aXRs
ZT5PYmVzaXR5IChTaWx2ZXIgU3ByaW5nKTwvc2Vjb25kYXJ5LXRpdGxlPjwvdGl0bGVzPjxwZXJp
b2RpY2FsPjxmdWxsLXRpdGxlPk9iZXNpdHkgKFNpbHZlciBTcHJpbmcpPC9mdWxsLXRpdGxlPjwv
cGVyaW9kaWNhbD48cGFnZXM+MTk4OS05NjwvcGFnZXM+PHZvbHVtZT4yMjwvdm9sdW1lPjxudW1i
ZXI+OTwvbnVtYmVyPjxlZGl0aW9uPjIwMTQvMDgvMjk8L2VkaXRpb24+PGtleXdvcmRzPjxrZXl3
b3JkPkFkdWx0PC9rZXl3b3JkPjxrZXl3b3JkPkJpcnRoIFdlaWdodDwva2V5d29yZD48a2V5d29y
ZD5Db3Vuc2VsaW5nPC9rZXl3b3JkPjxrZXl3b3JkPkVuZXJneSBJbnRha2UvcGh5c2lvbG9neTwv
a2V5d29yZD48a2V5d29yZD5GZW1hbGU8L2tleXdvcmQ+PGtleXdvcmQ+R2VzdGF0aW9uYWwgQWdl
PC9rZXl3b3JkPjxrZXl3b3JkPipHcm91cCBQcm9jZXNzZXM8L2tleXdvcmQ+PGtleXdvcmQ+SHVt
YW5zPC9rZXl3b3JkPjxrZXl3b3JkPkh5cGVydGVuc2lvbiwgUHJlZ25hbmN5LUluZHVjZWQvcHJl
dmVudGlvbiAmYW1wOyBjb250cm9sPC9rZXl3b3JkPjxrZXl3b3JkPkluZmFudCwgTmV3Ym9ybjwv
a2V5d29yZD48a2V5d29yZD5PYmVzaXR5LypkaWV0IHRoZXJhcHk8L2tleXdvcmQ+PGtleXdvcmQ+
UHJlZ25hbmN5PC9rZXl3b3JkPjxrZXl3b3JkPlByZWduYW5jeSBDb21wbGljYXRpb25zLypkaWV0
IHRoZXJhcHkvcHJldmVudGlvbiAmYW1wOyBjb250cm9sPC9rZXl3b3JkPjxrZXl3b3JkPlNlbGYt
SGVscCBHcm91cHM8L2tleXdvcmQ+PGtleXdvcmQ+VHJlYXRtZW50IE91dGNvbWU8L2tleXdvcmQ+
PGtleXdvcmQ+KldlaWdodCBHYWluPC9rZXl3b3JkPjxrZXl3b3JkPllvdW5nIEFkdWx0PC9rZXl3
b3JkPjwva2V5d29yZHM+PGRhdGVzPjx5ZWFyPjIwMTQ8L3llYXI+PHB1Yi1kYXRlcz48ZGF0ZT5T
ZXA8L2RhdGU+PC9wdWItZGF0ZXM+PC9kYXRlcz48aXNibj4xOTMwLTczOVggKEVsZWN0cm9uaWMp
JiN4RDsxOTMwLTczODEgKExpbmtpbmcpPC9pc2JuPjxhY2Nlc3Npb24tbnVtPjI1MTY0MjU5PC9h
Y2Nlc3Npb24tbnVtPjx1cmxzPjxyZWxhdGVkLXVybHM+PHVybD5odHRwczovL3d3dy5uY2JpLm5s
bS5uaWguZ292L3B1Ym1lZC8yNTE2NDI1OTwvdXJsPjwvcmVsYXRlZC11cmxzPjwvdXJscz48Y3Vz
dG9tMj5QTUM0NDA3ODE3PC9jdXN0b20yPjxlbGVjdHJvbmljLXJlc291cmNlLW51bT4xMC4xMDAy
L29ieS4yMDgzMTwvZWxlY3Ryb25pYy1yZXNvdXJjZS1udW0+PC9yZWNvcmQ+PC9DaXRlPjwvRW5k
Tm90ZT4A
</w:fldData>
              </w:fldChar>
            </w:r>
            <w:r w:rsidR="002747EA">
              <w:rPr>
                <w:noProof/>
              </w:rPr>
              <w:instrText xml:space="preserve"> ADDIN EN.CITE.DATA </w:instrText>
            </w:r>
            <w:r w:rsidR="002747EA">
              <w:rPr>
                <w:noProof/>
              </w:rPr>
            </w:r>
            <w:r w:rsidR="002747EA">
              <w:rPr>
                <w:noProof/>
              </w:rPr>
              <w:fldChar w:fldCharType="end"/>
            </w:r>
            <w:r w:rsidRPr="00D00A59">
              <w:rPr>
                <w:noProof/>
              </w:rPr>
            </w:r>
            <w:r w:rsidRPr="00D00A59">
              <w:rPr>
                <w:noProof/>
              </w:rPr>
              <w:fldChar w:fldCharType="separate"/>
            </w:r>
            <w:r w:rsidR="002747EA" w:rsidRPr="002747EA">
              <w:rPr>
                <w:noProof/>
                <w:vertAlign w:val="superscript"/>
              </w:rPr>
              <w:t>558</w:t>
            </w:r>
            <w:r w:rsidRPr="00D00A59">
              <w:rPr>
                <w:noProof/>
              </w:rPr>
              <w:fldChar w:fldCharType="end"/>
            </w:r>
            <w:r w:rsidRPr="00D00A59">
              <w:rPr>
                <w:noProof/>
              </w:rPr>
              <w:t xml:space="preserve"> Vesco et al 2016</w:t>
            </w:r>
            <w:r w:rsidRPr="00D00A59">
              <w:fldChar w:fldCharType="begin">
                <w:fldData xml:space="preserve">PEVuZE5vdGU+PENpdGU+PEF1dGhvcj5WZXNjbzwvQXV0aG9yPjxZZWFyPjIwMTY8L1llYXI+PFJl
Y051bT4xMTE1PC9SZWNOdW0+PERpc3BsYXlUZXh0PjxzdHlsZSBmYWNlPSJzdXBlcnNjcmlwdCIg
Zm9udD0iVHJlYnVjaGV0IE1TIiBzaXplPSI5Ij41NTk8L3N0eWxlPjwvRGlzcGxheVRleHQ+PHJl
Y29yZD48cmVjLW51bWJlcj4xMTE1PC9yZWMtbnVtYmVyPjxmb3JlaWduLWtleXM+PGtleSBhcHA9
IkVOIiBkYi1pZD0iZXh2YXNyZngyZHRyYW9lc2FzeHAyc3pzeGEyZGY1MDI1OTJ4IiB0aW1lc3Rh
bXA9IjE1NTM0MDg5ODYiPjExMTU8L2tleT48L2ZvcmVpZ24ta2V5cz48cmVmLXR5cGUgbmFtZT0i
Sm91cm5hbCBBcnRpY2xlIj4xNzwvcmVmLXR5cGU+PGNvbnRyaWJ1dG9ycz48YXV0aG9ycz48YXV0
aG9yPlZlc2NvLCBLLiBLLjwvYXV0aG9yPjxhdXRob3I+TGVvLCBNLiBDLjwvYXV0aG9yPjxhdXRo
b3I+S2FyYW5qYSwgTi48L2F1dGhvcj48YXV0aG9yPkdpbGxtYW4sIE0uIFcuPC9hdXRob3I+PGF1
dGhvcj5NY0V2b3ksIEMuIFQuPC9hdXRob3I+PGF1dGhvcj5LaW5nLCBKLiBDLjwvYXV0aG9yPjxh
dXRob3I+RWNraGFyZHQsIEMuIEwuPC9hdXRob3I+PGF1dGhvcj5TbWl0aCwgSy4gUy48L2F1dGhv
cj48YXV0aG9yPlBlcnJpbiwgTi48L2F1dGhvcj48YXV0aG9yPlN0ZXZlbnMsIFYuIEouPC9hdXRo
b3I+PC9hdXRob3JzPjwvY29udHJpYnV0b3JzPjxhdXRoLWFkZHJlc3M+Q2VudGVyIGZvciBIZWFs
dGggUmVzZWFyY2gsIEthaXNlciBQZXJtYW5lbnRlIE5vcnRod2VzdCwgUG9ydGxhbmQsIE9yZWdv
biwgVVNBLiBraW1iZXJseS5rLnZlc2NvQGtwY2hyLm9yZy4mI3hEO0RlcGFydG1lbnQgb2YgT2Jz
dGV0cmljcyAmYW1wOyBHeW5lY29sb2d5LCBLYWlzZXIgUGVybWFuZW50ZSBOb3J0aHdlc3QsIFBv
cnRsYW5kLCBPcmVnb24sIFVTQS4ga2ltYmVybHkuay52ZXNjb0BrcGNoci5vcmcuJiN4RDtDZW50
ZXIgZm9yIEhlYWx0aCBSZXNlYXJjaCwgS2Fpc2VyIFBlcm1hbmVudGUgTm9ydGh3ZXN0LCBQb3J0
bGFuZCwgT3JlZ29uLCBVU0EuJiN4RDtPYmVzaXR5IFByZXZlbnRpb24gUHJvZ3JhbSwgSGFydmFy
ZCBNZWRpY2FsIFNjaG9vbC9IYXJ2YXJkIFBpbGdyaW0gSGVhbHRoIENhcmUgSW5zdGl0dXRlLCBC
b3N0b24sIE1hc3NhY2h1c2V0dHMsIFVTQS4mI3hEO09iZXNpdHkgUHJldmVudGlvbiBQcm9ncmFt
LCBPcmVnb24gSGVhbHRoICZhbXA7IFNjaWVuY2UgVW5pdmVyc2l0eSwgUG9ydGxhbmQsIE9yZWdv
biwgVVNBLiYjeEQ7UGVkaWF0cmljIGFuZCBDaGlsZCBIZWFsdGggUmVzZWFyY2ggUHJvZ3JhbSwg
Q2hpbGRyZW4mYXBvcztzIEhvc3BpdGFsIE9ha2xhbmQgUmVzZWFyY2ggSW5zdGl0dXRlLCBPYWts
YW5kLCBDYWxpZm9ybmlhLCBVU0EuJiN4RDtTY2hvb2wgb2YgQ29tbXVuaXR5IEhlYWx0aCwgUG9y
dGxhbmQgU3RhdGUgVW5pdmVyc2l0eSwgUG9ydGxhbmQsIE9yZWdvbiwgVVNBLjwvYXV0aC1hZGRy
ZXNzPjx0aXRsZXM+PHRpdGxlPk9uZS15ZWFyIHBvc3RwYXJ0dW0gb3V0Y29tZXMgZm9sbG93aW5n
IGEgd2VpZ2h0IG1hbmFnZW1lbnQgaW50ZXJ2ZW50aW9uIGluIHByZWduYW50IHdvbWVuIHdpdGgg
b2Jlc2l0eTwvdGl0bGU+PHNlY29uZGFyeS10aXRsZT5PYmVzaXR5IChTaWx2ZXIgU3ByaW5nKTwv
c2Vjb25kYXJ5LXRpdGxlPjwvdGl0bGVzPjxwZXJpb2RpY2FsPjxmdWxsLXRpdGxlPk9iZXNpdHkg
KFNpbHZlciBTcHJpbmcpPC9mdWxsLXRpdGxlPjwvcGVyaW9kaWNhbD48cGFnZXM+MjA0Mi05PC9w
YWdlcz48dm9sdW1lPjI0PC92b2x1bWU+PG51bWJlcj4xMDwvbnVtYmVyPjxlZGl0aW9uPjIwMTYv
MDkvMjg8L2VkaXRpb24+PGtleXdvcmRzPjxrZXl3b3JkPkFkdWx0PC9rZXl3b3JkPjxrZXl3b3Jk
PkJvZHkgTWFzcyBJbmRleDwva2V5d29yZD48a2V5d29yZD5Db3Vuc2VsaW5nLyptZXRob2RzPC9r
ZXl3b3JkPjxrZXl3b3JkPkRpZXQvc3RhdGlzdGljcyAmYW1wOyBudW1lcmljYWwgZGF0YTwva2V5
d29yZD48a2V5d29yZD5GZW1hbGU8L2tleXdvcmQ+PGtleXdvcmQ+R2VzdGF0aW9uYWwgQWdlPC9r
ZXl3b3JkPjxrZXl3b3JkPkh1bWFuczwva2V5d29yZD48a2V5d29yZD5JbmZhbnQsIE5ld2Jvcm48
L2tleXdvcmQ+PGtleXdvcmQ+TW90aGVyczwva2V5d29yZD48a2V5d29yZD5PYmVzaXR5Lyp0aGVy
YXB5PC9rZXl3b3JkPjxrZXl3b3JkPlBvc3RuYXRhbCBDYXJlLyptZXRob2RzPC9rZXl3b3JkPjxr
ZXl3b3JkPlByZWduYW5jeTwva2V5d29yZD48a2V5d29yZD5QcmVnbmFuY3kgQ29tcGxpY2F0aW9u
cy9wcmV2ZW50aW9uICZhbXA7IGNvbnRyb2wvKnRoZXJhcHk8L2tleXdvcmQ+PGtleXdvcmQ+UHJl
bmF0YWwgQ2FyZS8qbWV0aG9kczwva2V5d29yZD48a2V5d29yZD5UcmVhdG1lbnQgT3V0Y29tZTwv
a2V5d29yZD48a2V5d29yZD5XZWlnaHQgR2Fpbjwva2V5d29yZD48a2V5d29yZD5XZWlnaHQgUmVk
dWN0aW9uIFByb2dyYW1zLyptZXRob2RzPC9rZXl3b3JkPjwva2V5d29yZHM+PGRhdGVzPjx5ZWFy
PjIwMTY8L3llYXI+PHB1Yi1kYXRlcz48ZGF0ZT5PY3Q8L2RhdGU+PC9wdWItZGF0ZXM+PC9kYXRl
cz48aXNibj4xOTMwLTczOVggKEVsZWN0cm9uaWMpJiN4RDsxOTMwLTczODEgKExpbmtpbmcpPC9p
c2JuPjxhY2Nlc3Npb24tbnVtPjI3NjcwMzk5PC9hY2Nlc3Npb24tbnVtPjx1cmxzPjxyZWxhdGVk
LXVybHM+PHVybD5odHRwczovL3d3dy5uY2JpLm5sbS5uaWguZ292L3B1Ym1lZC8yNzY3MDM5OTwv
dXJsPjwvcmVsYXRlZC11cmxzPjwvdXJscz48Y3VzdG9tMj5QTUM1MDg0OTEwPC9jdXN0b20yPjxl
bGVjdHJvbmljLXJlc291cmNlLW51bT4xMC4xMDAyL29ieS4yMTU5NzwvZWxlY3Ryb25pYy1yZXNv
dXJjZS1udW0+PC9yZWNvcmQ+PC9DaXRlPjwvRW5kTm90ZT4A
</w:fldData>
              </w:fldChar>
            </w:r>
            <w:r w:rsidR="002747EA">
              <w:instrText xml:space="preserve"> ADDIN EN.CITE </w:instrText>
            </w:r>
            <w:r w:rsidR="002747EA">
              <w:fldChar w:fldCharType="begin">
                <w:fldData xml:space="preserve">PEVuZE5vdGU+PENpdGU+PEF1dGhvcj5WZXNjbzwvQXV0aG9yPjxZZWFyPjIwMTY8L1llYXI+PFJl
Y051bT4xMTE1PC9SZWNOdW0+PERpc3BsYXlUZXh0PjxzdHlsZSBmYWNlPSJzdXBlcnNjcmlwdCIg
Zm9udD0iVHJlYnVjaGV0IE1TIiBzaXplPSI5Ij41NTk8L3N0eWxlPjwvRGlzcGxheVRleHQ+PHJl
Y29yZD48cmVjLW51bWJlcj4xMTE1PC9yZWMtbnVtYmVyPjxmb3JlaWduLWtleXM+PGtleSBhcHA9
IkVOIiBkYi1pZD0iZXh2YXNyZngyZHRyYW9lc2FzeHAyc3pzeGEyZGY1MDI1OTJ4IiB0aW1lc3Rh
bXA9IjE1NTM0MDg5ODYiPjExMTU8L2tleT48L2ZvcmVpZ24ta2V5cz48cmVmLXR5cGUgbmFtZT0i
Sm91cm5hbCBBcnRpY2xlIj4xNzwvcmVmLXR5cGU+PGNvbnRyaWJ1dG9ycz48YXV0aG9ycz48YXV0
aG9yPlZlc2NvLCBLLiBLLjwvYXV0aG9yPjxhdXRob3I+TGVvLCBNLiBDLjwvYXV0aG9yPjxhdXRo
b3I+S2FyYW5qYSwgTi48L2F1dGhvcj48YXV0aG9yPkdpbGxtYW4sIE0uIFcuPC9hdXRob3I+PGF1
dGhvcj5NY0V2b3ksIEMuIFQuPC9hdXRob3I+PGF1dGhvcj5LaW5nLCBKLiBDLjwvYXV0aG9yPjxh
dXRob3I+RWNraGFyZHQsIEMuIEwuPC9hdXRob3I+PGF1dGhvcj5TbWl0aCwgSy4gUy48L2F1dGhv
cj48YXV0aG9yPlBlcnJpbiwgTi48L2F1dGhvcj48YXV0aG9yPlN0ZXZlbnMsIFYuIEouPC9hdXRo
b3I+PC9hdXRob3JzPjwvY29udHJpYnV0b3JzPjxhdXRoLWFkZHJlc3M+Q2VudGVyIGZvciBIZWFs
dGggUmVzZWFyY2gsIEthaXNlciBQZXJtYW5lbnRlIE5vcnRod2VzdCwgUG9ydGxhbmQsIE9yZWdv
biwgVVNBLiBraW1iZXJseS5rLnZlc2NvQGtwY2hyLm9yZy4mI3hEO0RlcGFydG1lbnQgb2YgT2Jz
dGV0cmljcyAmYW1wOyBHeW5lY29sb2d5LCBLYWlzZXIgUGVybWFuZW50ZSBOb3J0aHdlc3QsIFBv
cnRsYW5kLCBPcmVnb24sIFVTQS4ga2ltYmVybHkuay52ZXNjb0BrcGNoci5vcmcuJiN4RDtDZW50
ZXIgZm9yIEhlYWx0aCBSZXNlYXJjaCwgS2Fpc2VyIFBlcm1hbmVudGUgTm9ydGh3ZXN0LCBQb3J0
bGFuZCwgT3JlZ29uLCBVU0EuJiN4RDtPYmVzaXR5IFByZXZlbnRpb24gUHJvZ3JhbSwgSGFydmFy
ZCBNZWRpY2FsIFNjaG9vbC9IYXJ2YXJkIFBpbGdyaW0gSGVhbHRoIENhcmUgSW5zdGl0dXRlLCBC
b3N0b24sIE1hc3NhY2h1c2V0dHMsIFVTQS4mI3hEO09iZXNpdHkgUHJldmVudGlvbiBQcm9ncmFt
LCBPcmVnb24gSGVhbHRoICZhbXA7IFNjaWVuY2UgVW5pdmVyc2l0eSwgUG9ydGxhbmQsIE9yZWdv
biwgVVNBLiYjeEQ7UGVkaWF0cmljIGFuZCBDaGlsZCBIZWFsdGggUmVzZWFyY2ggUHJvZ3JhbSwg
Q2hpbGRyZW4mYXBvcztzIEhvc3BpdGFsIE9ha2xhbmQgUmVzZWFyY2ggSW5zdGl0dXRlLCBPYWts
YW5kLCBDYWxpZm9ybmlhLCBVU0EuJiN4RDtTY2hvb2wgb2YgQ29tbXVuaXR5IEhlYWx0aCwgUG9y
dGxhbmQgU3RhdGUgVW5pdmVyc2l0eSwgUG9ydGxhbmQsIE9yZWdvbiwgVVNBLjwvYXV0aC1hZGRy
ZXNzPjx0aXRsZXM+PHRpdGxlPk9uZS15ZWFyIHBvc3RwYXJ0dW0gb3V0Y29tZXMgZm9sbG93aW5n
IGEgd2VpZ2h0IG1hbmFnZW1lbnQgaW50ZXJ2ZW50aW9uIGluIHByZWduYW50IHdvbWVuIHdpdGgg
b2Jlc2l0eTwvdGl0bGU+PHNlY29uZGFyeS10aXRsZT5PYmVzaXR5IChTaWx2ZXIgU3ByaW5nKTwv
c2Vjb25kYXJ5LXRpdGxlPjwvdGl0bGVzPjxwZXJpb2RpY2FsPjxmdWxsLXRpdGxlPk9iZXNpdHkg
KFNpbHZlciBTcHJpbmcpPC9mdWxsLXRpdGxlPjwvcGVyaW9kaWNhbD48cGFnZXM+MjA0Mi05PC9w
YWdlcz48dm9sdW1lPjI0PC92b2x1bWU+PG51bWJlcj4xMDwvbnVtYmVyPjxlZGl0aW9uPjIwMTYv
MDkvMjg8L2VkaXRpb24+PGtleXdvcmRzPjxrZXl3b3JkPkFkdWx0PC9rZXl3b3JkPjxrZXl3b3Jk
PkJvZHkgTWFzcyBJbmRleDwva2V5d29yZD48a2V5d29yZD5Db3Vuc2VsaW5nLyptZXRob2RzPC9r
ZXl3b3JkPjxrZXl3b3JkPkRpZXQvc3RhdGlzdGljcyAmYW1wOyBudW1lcmljYWwgZGF0YTwva2V5
d29yZD48a2V5d29yZD5GZW1hbGU8L2tleXdvcmQ+PGtleXdvcmQ+R2VzdGF0aW9uYWwgQWdlPC9r
ZXl3b3JkPjxrZXl3b3JkPkh1bWFuczwva2V5d29yZD48a2V5d29yZD5JbmZhbnQsIE5ld2Jvcm48
L2tleXdvcmQ+PGtleXdvcmQ+TW90aGVyczwva2V5d29yZD48a2V5d29yZD5PYmVzaXR5Lyp0aGVy
YXB5PC9rZXl3b3JkPjxrZXl3b3JkPlBvc3RuYXRhbCBDYXJlLyptZXRob2RzPC9rZXl3b3JkPjxr
ZXl3b3JkPlByZWduYW5jeTwva2V5d29yZD48a2V5d29yZD5QcmVnbmFuY3kgQ29tcGxpY2F0aW9u
cy9wcmV2ZW50aW9uICZhbXA7IGNvbnRyb2wvKnRoZXJhcHk8L2tleXdvcmQ+PGtleXdvcmQ+UHJl
bmF0YWwgQ2FyZS8qbWV0aG9kczwva2V5d29yZD48a2V5d29yZD5UcmVhdG1lbnQgT3V0Y29tZTwv
a2V5d29yZD48a2V5d29yZD5XZWlnaHQgR2Fpbjwva2V5d29yZD48a2V5d29yZD5XZWlnaHQgUmVk
dWN0aW9uIFByb2dyYW1zLyptZXRob2RzPC9rZXl3b3JkPjwva2V5d29yZHM+PGRhdGVzPjx5ZWFy
PjIwMTY8L3llYXI+PHB1Yi1kYXRlcz48ZGF0ZT5PY3Q8L2RhdGU+PC9wdWItZGF0ZXM+PC9kYXRl
cz48aXNibj4xOTMwLTczOVggKEVsZWN0cm9uaWMpJiN4RDsxOTMwLTczODEgKExpbmtpbmcpPC9p
c2JuPjxhY2Nlc3Npb24tbnVtPjI3NjcwMzk5PC9hY2Nlc3Npb24tbnVtPjx1cmxzPjxyZWxhdGVk
LXVybHM+PHVybD5odHRwczovL3d3dy5uY2JpLm5sbS5uaWguZ292L3B1Ym1lZC8yNzY3MDM5OTwv
dXJsPjwvcmVsYXRlZC11cmxzPjwvdXJscz48Y3VzdG9tMj5QTUM1MDg0OTEwPC9jdXN0b20yPjxl
bGVjdHJvbmljLXJlc291cmNlLW51bT4xMC4xMDAyL29ieS4yMTU5NzwvZWxlY3Ryb25pYy1yZXNv
dXJjZS1udW0+PC9yZWNvcmQ+PC9DaXRlPjwvRW5kTm90ZT4A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559</w:t>
            </w:r>
            <w:r w:rsidRPr="00D00A59">
              <w:fldChar w:fldCharType="end"/>
            </w:r>
          </w:p>
          <w:p w14:paraId="16012429" w14:textId="77777777" w:rsidR="00973D70" w:rsidRPr="00D00A59" w:rsidRDefault="00973D70" w:rsidP="00A62770">
            <w:pPr>
              <w:rPr>
                <w:szCs w:val="18"/>
              </w:rPr>
            </w:pPr>
            <w:r w:rsidRPr="00D00A59">
              <w:rPr>
                <w:szCs w:val="18"/>
              </w:rPr>
              <w:t>United States</w:t>
            </w:r>
          </w:p>
        </w:tc>
        <w:tc>
          <w:tcPr>
            <w:tcW w:w="1562" w:type="dxa"/>
          </w:tcPr>
          <w:p w14:paraId="44D4F6B6" w14:textId="77777777" w:rsidR="00973D70" w:rsidRPr="00D00A59" w:rsidRDefault="00973D70" w:rsidP="00A75579">
            <w:pPr>
              <w:rPr>
                <w:szCs w:val="18"/>
              </w:rPr>
            </w:pPr>
            <w:r w:rsidRPr="00D00A59">
              <w:rPr>
                <w:szCs w:val="18"/>
              </w:rPr>
              <w:t>Intervention 54</w:t>
            </w:r>
          </w:p>
          <w:p w14:paraId="39097856" w14:textId="77777777" w:rsidR="00973D70" w:rsidRPr="00D00A59" w:rsidRDefault="00973D70" w:rsidP="00A75579">
            <w:pPr>
              <w:rPr>
                <w:szCs w:val="18"/>
              </w:rPr>
            </w:pPr>
            <w:r w:rsidRPr="00D00A59">
              <w:rPr>
                <w:szCs w:val="18"/>
              </w:rPr>
              <w:t>Control 57</w:t>
            </w:r>
          </w:p>
        </w:tc>
        <w:tc>
          <w:tcPr>
            <w:tcW w:w="5393" w:type="dxa"/>
          </w:tcPr>
          <w:p w14:paraId="3B5A5B60" w14:textId="77777777" w:rsidR="00973D70" w:rsidRPr="00D00A59" w:rsidRDefault="00973D70" w:rsidP="00A75579">
            <w:pPr>
              <w:rPr>
                <w:szCs w:val="18"/>
              </w:rPr>
            </w:pPr>
            <w:r w:rsidRPr="00D00A59">
              <w:rPr>
                <w:b/>
                <w:szCs w:val="18"/>
              </w:rPr>
              <w:t>Aim</w:t>
            </w:r>
            <w:r w:rsidRPr="00D00A59">
              <w:rPr>
                <w:szCs w:val="18"/>
              </w:rPr>
              <w:t xml:space="preserve">: To test the efficacy of a group-based weight management intervention for limiting GWG among obese women. </w:t>
            </w:r>
          </w:p>
          <w:p w14:paraId="14704D71" w14:textId="77777777" w:rsidR="00973D70" w:rsidRPr="00D00A59" w:rsidRDefault="00973D70" w:rsidP="00A75579">
            <w:pPr>
              <w:rPr>
                <w:rFonts w:eastAsiaTheme="majorEastAsia"/>
                <w:szCs w:val="18"/>
              </w:rPr>
            </w:pPr>
            <w:r w:rsidRPr="00D00A59">
              <w:rPr>
                <w:b/>
                <w:szCs w:val="18"/>
              </w:rPr>
              <w:t>Population</w:t>
            </w:r>
            <w:r w:rsidRPr="00D00A59">
              <w:rPr>
                <w:szCs w:val="18"/>
              </w:rPr>
              <w:t>: Women who were obese (BMI ≥30 kg/m</w:t>
            </w:r>
            <w:r w:rsidRPr="00D00A59">
              <w:rPr>
                <w:rFonts w:eastAsiaTheme="majorEastAsia"/>
                <w:szCs w:val="18"/>
                <w:vertAlign w:val="superscript"/>
              </w:rPr>
              <w:t>2</w:t>
            </w:r>
            <w:r w:rsidRPr="00D00A59">
              <w:rPr>
                <w:szCs w:val="18"/>
              </w:rPr>
              <w:t>) and aged 18 years or older, randomised between 7 and 21 weeks</w:t>
            </w:r>
            <w:r w:rsidRPr="00D00A59">
              <w:rPr>
                <w:rFonts w:eastAsiaTheme="majorEastAsia"/>
                <w:szCs w:val="18"/>
              </w:rPr>
              <w:t>.</w:t>
            </w:r>
          </w:p>
          <w:p w14:paraId="33579A2E" w14:textId="77777777" w:rsidR="00973D70" w:rsidRPr="00D00A59" w:rsidRDefault="00973D70" w:rsidP="00A75579">
            <w:pPr>
              <w:rPr>
                <w:rFonts w:ascii="Times New Roman" w:hAnsi="Times New Roman"/>
                <w:szCs w:val="18"/>
              </w:rPr>
            </w:pPr>
            <w:r w:rsidRPr="00D00A59">
              <w:rPr>
                <w:b/>
                <w:szCs w:val="18"/>
              </w:rPr>
              <w:t>Intervention</w:t>
            </w:r>
            <w:r w:rsidRPr="00D00A59">
              <w:rPr>
                <w:szCs w:val="18"/>
              </w:rPr>
              <w:t>: The intervention program included a combination of dietary and exercise recommendations, as well as the use of behavioural self-management techniques to help participants initiate and maintain behaviour changes.</w:t>
            </w:r>
            <w:r w:rsidRPr="00D00A59">
              <w:rPr>
                <w:rFonts w:eastAsiaTheme="majorEastAsia"/>
                <w:szCs w:val="18"/>
              </w:rPr>
              <w:t> </w:t>
            </w:r>
            <w:r w:rsidRPr="00D00A59">
              <w:rPr>
                <w:szCs w:val="18"/>
              </w:rPr>
              <w:t>The study dietician advised intervention participants to follow an energy reduced eating plan, based on Dietary Approaches to Stop Hypertension (DASH) dietary pattern</w:t>
            </w:r>
            <w:r w:rsidRPr="00D00A59">
              <w:rPr>
                <w:rFonts w:eastAsiaTheme="majorEastAsia"/>
                <w:szCs w:val="18"/>
              </w:rPr>
              <w:t xml:space="preserve"> </w:t>
            </w:r>
            <w:r w:rsidRPr="00D00A59">
              <w:rPr>
                <w:szCs w:val="18"/>
              </w:rPr>
              <w:t>without sodium restriction. Participants were encouraged to accumulate at least 30 minutes of moderate physical activity per day in the absence of medical or obstetrical complications, a goal consistent with the recommendations of the American College of Obstetricians and Gynecologists (ACOG), given a pedometer, and encouraged to record their physical activity in their daily food and activity records. The intervention did not involve an exercise component that was directly observed by the study team.</w:t>
            </w:r>
          </w:p>
        </w:tc>
        <w:tc>
          <w:tcPr>
            <w:tcW w:w="5664" w:type="dxa"/>
          </w:tcPr>
          <w:p w14:paraId="42C29E0B" w14:textId="77777777" w:rsidR="00973D70" w:rsidRPr="00D00A59" w:rsidRDefault="00973D70" w:rsidP="00A75579">
            <w:pPr>
              <w:rPr>
                <w:szCs w:val="18"/>
              </w:rPr>
            </w:pPr>
            <w:r w:rsidRPr="00D00A59">
              <w:rPr>
                <w:szCs w:val="18"/>
              </w:rPr>
              <w:t>Intervention vs control:</w:t>
            </w:r>
          </w:p>
          <w:p w14:paraId="3F35E2D7" w14:textId="77777777" w:rsidR="00973D70" w:rsidRPr="00D00A59" w:rsidRDefault="00973D70" w:rsidP="00A75579">
            <w:pPr>
              <w:pStyle w:val="bullet"/>
              <w:rPr>
                <w:szCs w:val="18"/>
              </w:rPr>
            </w:pPr>
            <w:r w:rsidRPr="00D00A59">
              <w:rPr>
                <w:szCs w:val="18"/>
              </w:rPr>
              <w:t>Gestational weight gain (34 weeks): 5.0±4.1 (n=54) vs 8.4±4.7 (n=57)</w:t>
            </w:r>
          </w:p>
          <w:p w14:paraId="114C1997" w14:textId="77777777" w:rsidR="00973D70" w:rsidRPr="00D00A59" w:rsidRDefault="00973D70" w:rsidP="00A75579">
            <w:pPr>
              <w:pStyle w:val="bullet"/>
              <w:rPr>
                <w:szCs w:val="18"/>
              </w:rPr>
            </w:pPr>
            <w:r w:rsidRPr="00D00A59">
              <w:rPr>
                <w:szCs w:val="18"/>
              </w:rPr>
              <w:t>Weight gain &gt; IOM guidelines: 24/54 vs 47/57</w:t>
            </w:r>
          </w:p>
          <w:p w14:paraId="2F7E7446" w14:textId="77777777" w:rsidR="00973D70" w:rsidRPr="00D00A59" w:rsidRDefault="00973D70" w:rsidP="00A75579">
            <w:pPr>
              <w:pStyle w:val="bullet"/>
              <w:rPr>
                <w:szCs w:val="18"/>
              </w:rPr>
            </w:pPr>
            <w:r w:rsidRPr="00D00A59">
              <w:rPr>
                <w:szCs w:val="18"/>
              </w:rPr>
              <w:t>Gestational diabetes: 6/56 vs 7/58</w:t>
            </w:r>
          </w:p>
          <w:p w14:paraId="213F60AC" w14:textId="77777777" w:rsidR="00973D70" w:rsidRPr="00D00A59" w:rsidRDefault="00973D70" w:rsidP="00A75579">
            <w:pPr>
              <w:pStyle w:val="bullet"/>
              <w:rPr>
                <w:szCs w:val="18"/>
              </w:rPr>
            </w:pPr>
            <w:r w:rsidRPr="00D00A59">
              <w:rPr>
                <w:szCs w:val="18"/>
              </w:rPr>
              <w:t>Gestational hypertension (including pre-eclampsia): 5/56 vs 6/58</w:t>
            </w:r>
          </w:p>
          <w:p w14:paraId="176C65A7" w14:textId="77777777" w:rsidR="00973D70" w:rsidRPr="00D00A59" w:rsidRDefault="00973D70" w:rsidP="00A75579">
            <w:pPr>
              <w:pStyle w:val="bullet"/>
              <w:rPr>
                <w:szCs w:val="18"/>
              </w:rPr>
            </w:pPr>
            <w:r w:rsidRPr="00D00A59">
              <w:rPr>
                <w:szCs w:val="18"/>
              </w:rPr>
              <w:t>Caesarean section: 21/56 vs 26/58</w:t>
            </w:r>
          </w:p>
          <w:p w14:paraId="34846FDD" w14:textId="77777777" w:rsidR="00973D70" w:rsidRPr="00D00A59" w:rsidRDefault="00973D70" w:rsidP="00A75579">
            <w:pPr>
              <w:pStyle w:val="bullet"/>
              <w:rPr>
                <w:szCs w:val="18"/>
              </w:rPr>
            </w:pPr>
            <w:r w:rsidRPr="00D00A59">
              <w:rPr>
                <w:szCs w:val="18"/>
              </w:rPr>
              <w:t>Preterm birth (&lt;37 wk): 4/56 vs 1/58</w:t>
            </w:r>
          </w:p>
          <w:p w14:paraId="57C453F7" w14:textId="77777777" w:rsidR="00973D70" w:rsidRPr="00D00A59" w:rsidRDefault="00973D70" w:rsidP="00A75579">
            <w:pPr>
              <w:pStyle w:val="bullet"/>
              <w:rPr>
                <w:szCs w:val="18"/>
              </w:rPr>
            </w:pPr>
            <w:r w:rsidRPr="00D00A59">
              <w:rPr>
                <w:szCs w:val="18"/>
              </w:rPr>
              <w:t>Large for gestational age: 5/56 vs 15/58</w:t>
            </w:r>
          </w:p>
          <w:p w14:paraId="21D60D0A" w14:textId="77777777" w:rsidR="00973D70" w:rsidRPr="00D00A59" w:rsidRDefault="00973D70" w:rsidP="00A75579">
            <w:pPr>
              <w:pStyle w:val="bullet"/>
              <w:rPr>
                <w:szCs w:val="18"/>
              </w:rPr>
            </w:pPr>
            <w:r w:rsidRPr="00D00A59">
              <w:rPr>
                <w:szCs w:val="18"/>
              </w:rPr>
              <w:t>Small for gestational age: 3/56 vs 4/58</w:t>
            </w:r>
          </w:p>
          <w:p w14:paraId="2BBEF819" w14:textId="77777777" w:rsidR="00973D70" w:rsidRPr="00D00A59" w:rsidRDefault="00973D70" w:rsidP="00A75579">
            <w:pPr>
              <w:pStyle w:val="bullet"/>
              <w:rPr>
                <w:szCs w:val="18"/>
              </w:rPr>
            </w:pPr>
            <w:r w:rsidRPr="00D00A59">
              <w:rPr>
                <w:szCs w:val="18"/>
              </w:rPr>
              <w:t>Macrosomia (&gt;4000 g): 6/56 vs 13/58</w:t>
            </w:r>
          </w:p>
          <w:p w14:paraId="5840AB27" w14:textId="77777777" w:rsidR="00973D70" w:rsidRPr="00D00A59" w:rsidRDefault="00973D70" w:rsidP="00A75579">
            <w:pPr>
              <w:pStyle w:val="bullet"/>
              <w:rPr>
                <w:szCs w:val="18"/>
              </w:rPr>
            </w:pPr>
            <w:r w:rsidRPr="00D00A59">
              <w:rPr>
                <w:szCs w:val="18"/>
              </w:rPr>
              <w:t>Postpartum weight retention (2 weeks): -2.6±5.5 (n=54) vs 1.2±5.6 (n=58)</w:t>
            </w:r>
          </w:p>
          <w:p w14:paraId="43F2C95D" w14:textId="77777777" w:rsidR="00973D70" w:rsidRPr="00D00A59" w:rsidRDefault="00973D70" w:rsidP="00A75579">
            <w:pPr>
              <w:pStyle w:val="bullet"/>
              <w:rPr>
                <w:szCs w:val="18"/>
              </w:rPr>
            </w:pPr>
            <w:r w:rsidRPr="00D00A59">
              <w:rPr>
                <w:szCs w:val="18"/>
              </w:rPr>
              <w:t>Childhood weight (12 months): 9.83±0.93 (n=51) vs 10.01±1.24 (n=52)</w:t>
            </w:r>
          </w:p>
          <w:p w14:paraId="5423D897" w14:textId="77777777" w:rsidR="00973D70" w:rsidRPr="00D00A59" w:rsidRDefault="00973D70" w:rsidP="00A75579">
            <w:pPr>
              <w:rPr>
                <w:szCs w:val="18"/>
              </w:rPr>
            </w:pPr>
          </w:p>
        </w:tc>
      </w:tr>
      <w:tr w:rsidR="00973D70" w:rsidRPr="00D00A59" w14:paraId="024DE143" w14:textId="77777777" w:rsidTr="0030223E">
        <w:trPr>
          <w:cantSplit/>
        </w:trPr>
        <w:tc>
          <w:tcPr>
            <w:tcW w:w="1417" w:type="dxa"/>
          </w:tcPr>
          <w:p w14:paraId="6972EBF4" w14:textId="724B0E70" w:rsidR="00973D70" w:rsidRPr="00D00A59" w:rsidRDefault="00973D70" w:rsidP="00654EEB">
            <w:r w:rsidRPr="00D00A59">
              <w:rPr>
                <w:noProof/>
              </w:rPr>
              <w:t>Vinter et al 2011;</w:t>
            </w:r>
            <w:r w:rsidRPr="00D00A59">
              <w:rPr>
                <w:noProof/>
              </w:rPr>
              <w:fldChar w:fldCharType="begin"/>
            </w:r>
            <w:r w:rsidR="002747EA">
              <w:rPr>
                <w:noProof/>
              </w:rPr>
              <w:instrText xml:space="preserve"> ADDIN EN.CITE &lt;EndNote&gt;&lt;Cite&gt;&lt;Author&gt;Vinter&lt;/Author&gt;&lt;Year&gt;2011&lt;/Year&gt;&lt;RecNum&gt;1111&lt;/RecNum&gt;&lt;DisplayText&gt;&lt;style face="superscript" font="Trebuchet MS" size="9"&gt;515&lt;/style&gt;&lt;/DisplayText&gt;&lt;record&gt;&lt;rec-number&gt;1111&lt;/rec-number&gt;&lt;foreign-keys&gt;&lt;key app="EN" db-id="exvasrfx2dtraoesasxp2szsxa2df502592x" timestamp="1552948617"&gt;1111&lt;/key&gt;&lt;/foreign-keys&gt;&lt;ref-type name="Journal Article"&gt;17&lt;/ref-type&gt;&lt;contributors&gt;&lt;authors&gt;&lt;author&gt;Vinter, C. A.&lt;/author&gt;&lt;author&gt;Jensen, D. M.&lt;/author&gt;&lt;author&gt;Ovesen, P.&lt;/author&gt;&lt;author&gt;Beck-Nielsen, H.&lt;/author&gt;&lt;author&gt;Jorgensen, J. S.&lt;/author&gt;&lt;/authors&gt;&lt;/contributors&gt;&lt;auth-address&gt;Department of Gynecology and Obstetrics, Odense University Hospital, Odense, Denmark. c.vinter@dadlnet.dk&lt;/auth-address&gt;&lt;titles&gt;&lt;title&gt;The LiP (Lifestyle in Pregnancy) study: a randomized controlled trial of lifestyle intervention in 360 obese pregnant women&lt;/title&gt;&lt;secondary-title&gt;Diabetes Care&lt;/secondary-title&gt;&lt;/titles&gt;&lt;periodical&gt;&lt;full-title&gt;Diabetes Care&lt;/full-title&gt;&lt;/periodical&gt;&lt;pages&gt;2502-7&lt;/pages&gt;&lt;volume&gt;34&lt;/volume&gt;&lt;number&gt;12&lt;/number&gt;&lt;edition&gt;2011/10/06&lt;/edition&gt;&lt;keywords&gt;&lt;keyword&gt;Adolescent&lt;/keyword&gt;&lt;keyword&gt;Adult&lt;/keyword&gt;&lt;keyword&gt;Denmark&lt;/keyword&gt;&lt;keyword&gt;Directive Counseling&lt;/keyword&gt;&lt;keyword&gt;Female&lt;/keyword&gt;&lt;keyword&gt;Humans&lt;/keyword&gt;&lt;keyword&gt;*Life Style&lt;/keyword&gt;&lt;keyword&gt;Motor Activity&lt;/keyword&gt;&lt;keyword&gt;Obesity/diet therapy/*therapy&lt;/keyword&gt;&lt;keyword&gt;Physical Education and Training&lt;/keyword&gt;&lt;keyword&gt;Pregnancy&lt;/keyword&gt;&lt;keyword&gt;Pregnancy Complications/diet therapy/*therapy&lt;/keyword&gt;&lt;keyword&gt;Pregnancy Outcome&lt;/keyword&gt;&lt;keyword&gt;Weight Gain&lt;/keyword&gt;&lt;/keywords&gt;&lt;dates&gt;&lt;year&gt;2011&lt;/year&gt;&lt;pub-dates&gt;&lt;date&gt;Dec&lt;/date&gt;&lt;/pub-dates&gt;&lt;/dates&gt;&lt;isbn&gt;1935-5548 (Electronic)&amp;#xD;0149-5992 (Linking)&lt;/isbn&gt;&lt;accession-num&gt;21972411&lt;/accession-num&gt;&lt;urls&gt;&lt;related-urls&gt;&lt;url&gt;https://www.ncbi.nlm.nih.gov/pubmed/21972411&lt;/url&gt;&lt;/related-urls&gt;&lt;/urls&gt;&lt;custom2&gt;PMC3220844&lt;/custom2&gt;&lt;electronic-resource-num&gt;10.2337/dc11-1150&lt;/electronic-resource-num&gt;&lt;/record&gt;&lt;/Cite&gt;&lt;/EndNote&gt;</w:instrText>
            </w:r>
            <w:r w:rsidRPr="00D00A59">
              <w:rPr>
                <w:noProof/>
              </w:rPr>
              <w:fldChar w:fldCharType="separate"/>
            </w:r>
            <w:r w:rsidR="002747EA" w:rsidRPr="002747EA">
              <w:rPr>
                <w:noProof/>
                <w:vertAlign w:val="superscript"/>
              </w:rPr>
              <w:t>515</w:t>
            </w:r>
            <w:r w:rsidRPr="00D00A59">
              <w:rPr>
                <w:noProof/>
              </w:rPr>
              <w:fldChar w:fldCharType="end"/>
            </w:r>
            <w:r w:rsidRPr="00D00A59">
              <w:rPr>
                <w:noProof/>
              </w:rPr>
              <w:t xml:space="preserve"> Vinter et al 2014a;</w:t>
            </w:r>
            <w:r w:rsidRPr="00D00A59">
              <w:rPr>
                <w:noProof/>
              </w:rPr>
              <w:fldChar w:fldCharType="begin"/>
            </w:r>
            <w:r w:rsidR="002747EA">
              <w:rPr>
                <w:noProof/>
              </w:rPr>
              <w:instrText xml:space="preserve"> ADDIN EN.CITE &lt;EndNote&gt;&lt;Cite&gt;&lt;Author&gt;Vinter&lt;/Author&gt;&lt;Year&gt;2014&lt;/Year&gt;&lt;RecNum&gt;1096&lt;/RecNum&gt;&lt;DisplayText&gt;&lt;style face="superscript" font="Trebuchet MS" size="9"&gt;560&lt;/style&gt;&lt;/DisplayText&gt;&lt;record&gt;&lt;rec-number&gt;1096&lt;/rec-number&gt;&lt;foreign-keys&gt;&lt;key app="EN" db-id="exvasrfx2dtraoesasxp2szsxa2df502592x" timestamp="1552946551"&gt;1096&lt;/key&gt;&lt;key app="ENWeb" db-id=""&gt;0&lt;/key&gt;&lt;/foreign-keys&gt;&lt;ref-type name="Journal Article"&gt;17&lt;/ref-type&gt;&lt;contributors&gt;&lt;authors&gt;&lt;author&gt;Vinter, C. A.&lt;/author&gt;&lt;author&gt;Jørgensen, J. S.&lt;/author&gt;&lt;author&gt;Ovesen, P.&lt;/author&gt;&lt;author&gt;Beck-Nielsen, H.&lt;/author&gt;&lt;author&gt;Skytthe, A.&lt;/author&gt;&lt;author&gt;Jensen, D. M.&lt;/author&gt;&lt;/authors&gt;&lt;/contributors&gt;&lt;titles&gt;&lt;title&gt;Metabolic effects of lifestyle intervention in obese pregnant women. Results from the randomized controlled trial ‘Lifestyle in Pregnancy’ (LiP)&lt;/title&gt;&lt;secondary-title&gt;Diabetic Medicine&lt;/secondary-title&gt;&lt;/titles&gt;&lt;periodical&gt;&lt;full-title&gt;Diabetic Medicine&lt;/full-title&gt;&lt;/periodical&gt;&lt;pages&gt;1323-1330&lt;/pages&gt;&lt;volume&gt;31&lt;/volume&gt;&lt;number&gt;11&lt;/number&gt;&lt;section&gt;1323&lt;/section&gt;&lt;dates&gt;&lt;year&gt;2014&lt;/year&gt;&lt;/dates&gt;&lt;isbn&gt;07423071&lt;/isbn&gt;&lt;urls&gt;&lt;/urls&gt;&lt;electronic-resource-num&gt;10.1111/dme.12548&lt;/electronic-resource-num&gt;&lt;/record&gt;&lt;/Cite&gt;&lt;/EndNote&gt;</w:instrText>
            </w:r>
            <w:r w:rsidRPr="00D00A59">
              <w:rPr>
                <w:noProof/>
              </w:rPr>
              <w:fldChar w:fldCharType="separate"/>
            </w:r>
            <w:r w:rsidR="002747EA" w:rsidRPr="002747EA">
              <w:rPr>
                <w:noProof/>
                <w:vertAlign w:val="superscript"/>
              </w:rPr>
              <w:t>560</w:t>
            </w:r>
            <w:r w:rsidRPr="00D00A59">
              <w:rPr>
                <w:noProof/>
              </w:rPr>
              <w:fldChar w:fldCharType="end"/>
            </w:r>
            <w:r w:rsidRPr="00D00A59">
              <w:rPr>
                <w:noProof/>
              </w:rPr>
              <w:t xml:space="preserve"> Vinter et al 2014b</w:t>
            </w:r>
            <w:r w:rsidRPr="00D00A59">
              <w:fldChar w:fldCharType="begin">
                <w:fldData xml:space="preserve">PEVuZE5vdGU+PENpdGU+PEF1dGhvcj5WaW50ZXI8L0F1dGhvcj48WWVhcj4yMDE0PC9ZZWFyPjxS
ZWNOdW0+NzYwPC9SZWNOdW0+PERpc3BsYXlUZXh0PjxzdHlsZSBmYWNlPSJzdXBlcnNjcmlwdCIg
Zm9udD0iVHJlYnVjaGV0IE1TIiBzaXplPSI5Ij41NjE8L3N0eWxlPjwvRGlzcGxheVRleHQ+PHJl
Y29yZD48cmVjLW51bWJlcj43NjA8L3JlYy1udW1iZXI+PGZvcmVpZ24ta2V5cz48a2V5IGFwcD0i
RU4iIGRiLWlkPSJleHZhc3JmeDJkdHJhb2VzYXN4cDJzenN4YTJkZjUwMjU5MngiIHRpbWVzdGFt
cD0iMTU0MTQ2Nzk4OCI+NzYwPC9rZXk+PGtleSBhcHA9IkVOV2ViIiBkYi1pZD0iIj4wPC9rZXk+
PC9mb3JlaWduLWtleXM+PHJlZi10eXBlIG5hbWU9IkpvdXJuYWwgQXJ0aWNsZSI+MTc8L3JlZi10
eXBlPjxjb250cmlidXRvcnM+PGF1dGhvcnM+PGF1dGhvcj5WaW50ZXIsIEMuIEEuPC9hdXRob3I+
PGF1dGhvcj5KZW5zZW4sIEQuIE0uPC9hdXRob3I+PGF1dGhvcj5PdmVzZW4sIFAuPC9hdXRob3I+
PGF1dGhvcj5CZWNrLU5pZWxzZW4sIEguPC9hdXRob3I+PGF1dGhvcj5UYW52aWcsIE0uPC9hdXRo
b3I+PGF1dGhvcj5MYW1vbnQsIFIuIEYuPC9hdXRob3I+PGF1dGhvcj5Kb3JnZW5zZW4sIEouIFMu
PC9hdXRob3I+PC9hdXRob3JzPjwvY29udHJpYnV0b3JzPjxhdXRoLWFkZHJlc3M+RGVwYXJ0bWVu
dCBvZiBHeW5lY29sb2d5IGFuZCBPYnN0ZXRyaWNzLCBPZGVuc2UgVW5pdmVyc2l0eSBIb3NwaXRh
bCwgT2RlbnNlLCBEZW5tYXJrOyBVbml2ZXJzaXR5IG9mIFNvdXRoZXJuIERlbm1hcmssIE9kZW5z
ZSwgRGVubWFyay48L2F1dGgtYWRkcmVzcz48dGl0bGVzPjx0aXRsZT5Qb3N0cGFydHVtIHdlaWdo
dCByZXRlbnRpb24gYW5kIGJyZWFzdGZlZWRpbmcgYW1vbmcgb2Jlc2Ugd29tZW4gZnJvbSB0aGUg
cmFuZG9taXplZCBjb250cm9sbGVkIExpZmVzdHlsZSBpbiBQcmVnbmFuY3kgKExpUCkgdHJpYWw8
L3RpdGxlPjxzZWNvbmRhcnktdGl0bGU+QWN0YSBPYnN0ZXQgR3luZWNvbCBTY2FuZDwvc2Vjb25k
YXJ5LXRpdGxlPjwvdGl0bGVzPjxwZXJpb2RpY2FsPjxmdWxsLXRpdGxlPkFjdGEgT2JzdGV0IEd5
bmVjb2wgU2NhbmQ8L2Z1bGwtdGl0bGU+PC9wZXJpb2RpY2FsPjxwYWdlcz43OTQtODAxPC9wYWdl
cz48dm9sdW1lPjkzPC92b2x1bWU+PG51bWJlcj44PC9udW1iZXI+PGVkaXRpb24+MjAxNC8wNS8y
MDwvZWRpdGlvbj48a2V5d29yZHM+PGtleXdvcmQ+KkJyZWFzdCBGZWVkaW5nL3N0YXRpc3RpY3Mg
JmFtcDsgbnVtZXJpY2FsIGRhdGE8L2tleXdvcmQ+PGtleXdvcmQ+RGlldCBUaGVyYXB5PC9rZXl3
b3JkPjxrZXl3b3JkPkV4ZXJjaXNlIFRoZXJhcHk8L2tleXdvcmQ+PGtleXdvcmQ+RmVtYWxlPC9r
ZXl3b3JkPjxrZXl3b3JkPkZvbGxvdy1VcCBTdHVkaWVzPC9rZXl3b3JkPjxrZXl3b3JkPkh1bWFu
czwva2V5d29yZD48a2V5d29yZD5MaWZlIFN0eWxlPC9rZXl3b3JkPjxrZXl3b3JkPkxpbmVhciBN
b2RlbHM8L2tleXdvcmQ+PGtleXdvcmQ+T2Jlc2l0eS8qdGhlcmFweTwva2V5d29yZD48a2V5d29y
ZD4qUG9zdHBhcnR1bSBQZXJpb2Q8L2tleXdvcmQ+PGtleXdvcmQ+UHJlZ25hbmN5PC9rZXl3b3Jk
PjxrZXl3b3JkPlByZWduYW5jeSBDb21wbGljYXRpb25zLyp0aGVyYXB5PC9rZXl3b3JkPjxrZXl3
b3JkPlByZW5hdGFsIENhcmUvKm1ldGhvZHM8L2tleXdvcmQ+PGtleXdvcmQ+VHJlYXRtZW50IE91
dGNvbWU8L2tleXdvcmQ+PGtleXdvcmQ+V2VpZ2h0IEdhaW48L2tleXdvcmQ+PGtleXdvcmQ+Kldl
aWdodCBMb3NzPC9rZXl3b3JkPjxrZXl3b3JkPldlaWdodCBSZWR1Y3Rpb24gUHJvZ3JhbXMvKm1l
dGhvZHM8L2tleXdvcmQ+PGtleXdvcmQ+QnJlYXN0ZmVlZGluZzwva2V5d29yZD48a2V5d29yZD5n
ZXN0YXRpb25hbCB3ZWlnaHQgZ2Fpbjwva2V5d29yZD48a2V5d29yZD5pbnRlcnZlbnRpb248L2tl
eXdvcmQ+PGtleXdvcmQ+bGlmZXN0eWxlPC9rZXl3b3JkPjxrZXl3b3JkPm9iZXNpdHk8L2tleXdv
cmQ+PGtleXdvcmQ+cG9zdHBhcnR1bSB3ZWlnaHQgcmV0ZW50aW9uPC9rZXl3b3JkPjwva2V5d29y
ZHM+PGRhdGVzPjx5ZWFyPjIwMTQ8L3llYXI+PHB1Yi1kYXRlcz48ZGF0ZT5BdWc8L2RhdGU+PC9w
dWItZGF0ZXM+PC9kYXRlcz48aXNibj4xNjAwLTA0MTIgKEVsZWN0cm9uaWMpJiN4RDswMDAxLTYz
NDkgKExpbmtpbmcpPC9pc2JuPjxhY2Nlc3Npb24tbnVtPjI0ODM0NzkyPC9hY2Nlc3Npb24tbnVt
Pjx1cmxzPjxyZWxhdGVkLXVybHM+PHVybD5odHRwczovL3d3dy5uY2JpLm5sbS5uaWguZ292L3B1
Ym1lZC8yNDgzNDc5MjwvdXJsPjwvcmVsYXRlZC11cmxzPjwvdXJscz48ZWxlY3Ryb25pYy1yZXNv
dXJjZS1udW0+MTAuMTExMS9hb2dzLjEyNDI5PC9lbGVjdHJvbmljLXJlc291cmNlLW51bT48L3Jl
Y29yZD48L0NpdGU+PC9FbmROb3RlPn==
</w:fldData>
              </w:fldChar>
            </w:r>
            <w:r w:rsidR="002747EA">
              <w:instrText xml:space="preserve"> ADDIN EN.CITE </w:instrText>
            </w:r>
            <w:r w:rsidR="002747EA">
              <w:fldChar w:fldCharType="begin">
                <w:fldData xml:space="preserve">PEVuZE5vdGU+PENpdGU+PEF1dGhvcj5WaW50ZXI8L0F1dGhvcj48WWVhcj4yMDE0PC9ZZWFyPjxS
ZWNOdW0+NzYwPC9SZWNOdW0+PERpc3BsYXlUZXh0PjxzdHlsZSBmYWNlPSJzdXBlcnNjcmlwdCIg
Zm9udD0iVHJlYnVjaGV0IE1TIiBzaXplPSI5Ij41NjE8L3N0eWxlPjwvRGlzcGxheVRleHQ+PHJl
Y29yZD48cmVjLW51bWJlcj43NjA8L3JlYy1udW1iZXI+PGZvcmVpZ24ta2V5cz48a2V5IGFwcD0i
RU4iIGRiLWlkPSJleHZhc3JmeDJkdHJhb2VzYXN4cDJzenN4YTJkZjUwMjU5MngiIHRpbWVzdGFt
cD0iMTU0MTQ2Nzk4OCI+NzYwPC9rZXk+PGtleSBhcHA9IkVOV2ViIiBkYi1pZD0iIj4wPC9rZXk+
PC9mb3JlaWduLWtleXM+PHJlZi10eXBlIG5hbWU9IkpvdXJuYWwgQXJ0aWNsZSI+MTc8L3JlZi10
eXBlPjxjb250cmlidXRvcnM+PGF1dGhvcnM+PGF1dGhvcj5WaW50ZXIsIEMuIEEuPC9hdXRob3I+
PGF1dGhvcj5KZW5zZW4sIEQuIE0uPC9hdXRob3I+PGF1dGhvcj5PdmVzZW4sIFAuPC9hdXRob3I+
PGF1dGhvcj5CZWNrLU5pZWxzZW4sIEguPC9hdXRob3I+PGF1dGhvcj5UYW52aWcsIE0uPC9hdXRo
b3I+PGF1dGhvcj5MYW1vbnQsIFIuIEYuPC9hdXRob3I+PGF1dGhvcj5Kb3JnZW5zZW4sIEouIFMu
PC9hdXRob3I+PC9hdXRob3JzPjwvY29udHJpYnV0b3JzPjxhdXRoLWFkZHJlc3M+RGVwYXJ0bWVu
dCBvZiBHeW5lY29sb2d5IGFuZCBPYnN0ZXRyaWNzLCBPZGVuc2UgVW5pdmVyc2l0eSBIb3NwaXRh
bCwgT2RlbnNlLCBEZW5tYXJrOyBVbml2ZXJzaXR5IG9mIFNvdXRoZXJuIERlbm1hcmssIE9kZW5z
ZSwgRGVubWFyay48L2F1dGgtYWRkcmVzcz48dGl0bGVzPjx0aXRsZT5Qb3N0cGFydHVtIHdlaWdo
dCByZXRlbnRpb24gYW5kIGJyZWFzdGZlZWRpbmcgYW1vbmcgb2Jlc2Ugd29tZW4gZnJvbSB0aGUg
cmFuZG9taXplZCBjb250cm9sbGVkIExpZmVzdHlsZSBpbiBQcmVnbmFuY3kgKExpUCkgdHJpYWw8
L3RpdGxlPjxzZWNvbmRhcnktdGl0bGU+QWN0YSBPYnN0ZXQgR3luZWNvbCBTY2FuZDwvc2Vjb25k
YXJ5LXRpdGxlPjwvdGl0bGVzPjxwZXJpb2RpY2FsPjxmdWxsLXRpdGxlPkFjdGEgT2JzdGV0IEd5
bmVjb2wgU2NhbmQ8L2Z1bGwtdGl0bGU+PC9wZXJpb2RpY2FsPjxwYWdlcz43OTQtODAxPC9wYWdl
cz48dm9sdW1lPjkzPC92b2x1bWU+PG51bWJlcj44PC9udW1iZXI+PGVkaXRpb24+MjAxNC8wNS8y
MDwvZWRpdGlvbj48a2V5d29yZHM+PGtleXdvcmQ+KkJyZWFzdCBGZWVkaW5nL3N0YXRpc3RpY3Mg
JmFtcDsgbnVtZXJpY2FsIGRhdGE8L2tleXdvcmQ+PGtleXdvcmQ+RGlldCBUaGVyYXB5PC9rZXl3
b3JkPjxrZXl3b3JkPkV4ZXJjaXNlIFRoZXJhcHk8L2tleXdvcmQ+PGtleXdvcmQ+RmVtYWxlPC9r
ZXl3b3JkPjxrZXl3b3JkPkZvbGxvdy1VcCBTdHVkaWVzPC9rZXl3b3JkPjxrZXl3b3JkPkh1bWFu
czwva2V5d29yZD48a2V5d29yZD5MaWZlIFN0eWxlPC9rZXl3b3JkPjxrZXl3b3JkPkxpbmVhciBN
b2RlbHM8L2tleXdvcmQ+PGtleXdvcmQ+T2Jlc2l0eS8qdGhlcmFweTwva2V5d29yZD48a2V5d29y
ZD4qUG9zdHBhcnR1bSBQZXJpb2Q8L2tleXdvcmQ+PGtleXdvcmQ+UHJlZ25hbmN5PC9rZXl3b3Jk
PjxrZXl3b3JkPlByZWduYW5jeSBDb21wbGljYXRpb25zLyp0aGVyYXB5PC9rZXl3b3JkPjxrZXl3
b3JkPlByZW5hdGFsIENhcmUvKm1ldGhvZHM8L2tleXdvcmQ+PGtleXdvcmQ+VHJlYXRtZW50IE91
dGNvbWU8L2tleXdvcmQ+PGtleXdvcmQ+V2VpZ2h0IEdhaW48L2tleXdvcmQ+PGtleXdvcmQ+Kldl
aWdodCBMb3NzPC9rZXl3b3JkPjxrZXl3b3JkPldlaWdodCBSZWR1Y3Rpb24gUHJvZ3JhbXMvKm1l
dGhvZHM8L2tleXdvcmQ+PGtleXdvcmQ+QnJlYXN0ZmVlZGluZzwva2V5d29yZD48a2V5d29yZD5n
ZXN0YXRpb25hbCB3ZWlnaHQgZ2Fpbjwva2V5d29yZD48a2V5d29yZD5pbnRlcnZlbnRpb248L2tl
eXdvcmQ+PGtleXdvcmQ+bGlmZXN0eWxlPC9rZXl3b3JkPjxrZXl3b3JkPm9iZXNpdHk8L2tleXdv
cmQ+PGtleXdvcmQ+cG9zdHBhcnR1bSB3ZWlnaHQgcmV0ZW50aW9uPC9rZXl3b3JkPjwva2V5d29y
ZHM+PGRhdGVzPjx5ZWFyPjIwMTQ8L3llYXI+PHB1Yi1kYXRlcz48ZGF0ZT5BdWc8L2RhdGU+PC9w
dWItZGF0ZXM+PC9kYXRlcz48aXNibj4xNjAwLTA0MTIgKEVsZWN0cm9uaWMpJiN4RDswMDAxLTYz
NDkgKExpbmtpbmcpPC9pc2JuPjxhY2Nlc3Npb24tbnVtPjI0ODM0NzkyPC9hY2Nlc3Npb24tbnVt
Pjx1cmxzPjxyZWxhdGVkLXVybHM+PHVybD5odHRwczovL3d3dy5uY2JpLm5sbS5uaWguZ292L3B1
Ym1lZC8yNDgzNDc5MjwvdXJsPjwvcmVsYXRlZC11cmxzPjwvdXJscz48ZWxlY3Ryb25pYy1yZXNv
dXJjZS1udW0+MTAuMTExMS9hb2dzLjEyNDI5PC9lbGVjdHJvbmljLXJlc291cmNlLW51bT48L3Jl
Y29yZD48L0NpdGU+PC9FbmROb3RlPn==
</w:fldData>
              </w:fldChar>
            </w:r>
            <w:r w:rsidR="002747EA">
              <w:instrText xml:space="preserve"> ADDIN EN.CITE.DATA </w:instrText>
            </w:r>
            <w:r w:rsidR="002747EA">
              <w:fldChar w:fldCharType="end"/>
            </w:r>
            <w:r w:rsidRPr="00D00A59">
              <w:fldChar w:fldCharType="separate"/>
            </w:r>
            <w:r w:rsidR="002747EA" w:rsidRPr="002747EA">
              <w:rPr>
                <w:noProof/>
                <w:vertAlign w:val="superscript"/>
              </w:rPr>
              <w:t>561</w:t>
            </w:r>
            <w:r w:rsidRPr="00D00A59">
              <w:fldChar w:fldCharType="end"/>
            </w:r>
          </w:p>
          <w:p w14:paraId="78D2EFD7" w14:textId="77777777" w:rsidR="00973D70" w:rsidRPr="00D00A59" w:rsidRDefault="00973D70" w:rsidP="00A62770">
            <w:pPr>
              <w:rPr>
                <w:szCs w:val="18"/>
              </w:rPr>
            </w:pPr>
            <w:r w:rsidRPr="00D00A59">
              <w:rPr>
                <w:szCs w:val="18"/>
              </w:rPr>
              <w:t>LiP</w:t>
            </w:r>
          </w:p>
          <w:p w14:paraId="4F480324" w14:textId="77777777" w:rsidR="00973D70" w:rsidRPr="00D00A59" w:rsidRDefault="00973D70" w:rsidP="00A62770">
            <w:pPr>
              <w:rPr>
                <w:szCs w:val="18"/>
              </w:rPr>
            </w:pPr>
            <w:r w:rsidRPr="00D00A59">
              <w:rPr>
                <w:szCs w:val="18"/>
              </w:rPr>
              <w:t>Denmark</w:t>
            </w:r>
          </w:p>
        </w:tc>
        <w:tc>
          <w:tcPr>
            <w:tcW w:w="1562" w:type="dxa"/>
          </w:tcPr>
          <w:p w14:paraId="18AD559F" w14:textId="77777777" w:rsidR="00973D70" w:rsidRPr="00D00A59" w:rsidRDefault="00973D70" w:rsidP="00A75579">
            <w:pPr>
              <w:rPr>
                <w:szCs w:val="18"/>
              </w:rPr>
            </w:pPr>
            <w:r w:rsidRPr="00D00A59">
              <w:rPr>
                <w:szCs w:val="18"/>
              </w:rPr>
              <w:t>Intervention 150</w:t>
            </w:r>
          </w:p>
          <w:p w14:paraId="4CBA6A8F" w14:textId="77777777" w:rsidR="00973D70" w:rsidRPr="00D00A59" w:rsidRDefault="00973D70" w:rsidP="00A75579">
            <w:pPr>
              <w:rPr>
                <w:szCs w:val="18"/>
              </w:rPr>
            </w:pPr>
            <w:r w:rsidRPr="00D00A59">
              <w:rPr>
                <w:szCs w:val="18"/>
              </w:rPr>
              <w:t>Control 154</w:t>
            </w:r>
          </w:p>
        </w:tc>
        <w:tc>
          <w:tcPr>
            <w:tcW w:w="5393" w:type="dxa"/>
          </w:tcPr>
          <w:p w14:paraId="2696D9D3" w14:textId="77777777" w:rsidR="00973D70" w:rsidRPr="00D00A59" w:rsidRDefault="00973D70" w:rsidP="00A75579">
            <w:pPr>
              <w:rPr>
                <w:szCs w:val="18"/>
              </w:rPr>
            </w:pPr>
            <w:r w:rsidRPr="00D00A59">
              <w:rPr>
                <w:b/>
                <w:szCs w:val="18"/>
              </w:rPr>
              <w:t>Aim</w:t>
            </w:r>
            <w:r w:rsidRPr="00D00A59">
              <w:rPr>
                <w:szCs w:val="18"/>
              </w:rPr>
              <w:t xml:space="preserve">: To study the effects of lifestyle intervention on gestational weight gain (GWG) and obstetric outcomes. </w:t>
            </w:r>
          </w:p>
          <w:p w14:paraId="042F4062" w14:textId="77777777" w:rsidR="00973D70" w:rsidRPr="00D00A59" w:rsidRDefault="00973D70" w:rsidP="00A75579">
            <w:pPr>
              <w:rPr>
                <w:szCs w:val="18"/>
              </w:rPr>
            </w:pPr>
            <w:r w:rsidRPr="00D00A59">
              <w:rPr>
                <w:b/>
                <w:szCs w:val="18"/>
              </w:rPr>
              <w:t>Population</w:t>
            </w:r>
            <w:r w:rsidRPr="00D00A59">
              <w:rPr>
                <w:szCs w:val="18"/>
              </w:rPr>
              <w:t>: Healthy pregnant women with BMI ≥30.</w:t>
            </w:r>
          </w:p>
          <w:p w14:paraId="23C5A314" w14:textId="77777777" w:rsidR="00973D70" w:rsidRPr="00D00A59" w:rsidRDefault="00973D70" w:rsidP="00A75579">
            <w:pPr>
              <w:rPr>
                <w:szCs w:val="18"/>
              </w:rPr>
            </w:pPr>
            <w:r w:rsidRPr="00D00A59">
              <w:rPr>
                <w:b/>
                <w:szCs w:val="18"/>
              </w:rPr>
              <w:t>Intervention</w:t>
            </w:r>
            <w:r w:rsidRPr="00D00A59">
              <w:rPr>
                <w:szCs w:val="18"/>
              </w:rPr>
              <w:t>: Dietary counselling was performed by trained dietitians on 4 separate occasions, at 15, 20, 28 and 35 weeks gestation, to limit GWG to 5 kg. The counselling included dietary advice based on the official Danish recommendations. Energy requirements were individually estimated according to weight and level of activity. Women were encouraged to be moderately physically active 30 to 60 minutes daily and were equipped with a pedometer to motivate and improve daily activity. They also had free full membership to a fitness centre for 6 months where they had closed training classes with physiotherapists for 1 hour each week. Training consisted of aerobic (low-step), training with light weights and elastic bands, and balance exercises. After training women were grouped 4 to 6 times with a physiotherapist using coaching inspired methods for improving integration of activity into daily life.</w:t>
            </w:r>
          </w:p>
        </w:tc>
        <w:tc>
          <w:tcPr>
            <w:tcW w:w="5664" w:type="dxa"/>
          </w:tcPr>
          <w:p w14:paraId="700E07EF" w14:textId="77777777" w:rsidR="00973D70" w:rsidRPr="00D00A59" w:rsidRDefault="00973D70" w:rsidP="00A75579">
            <w:pPr>
              <w:rPr>
                <w:szCs w:val="18"/>
              </w:rPr>
            </w:pPr>
            <w:r w:rsidRPr="00D00A59">
              <w:rPr>
                <w:szCs w:val="18"/>
              </w:rPr>
              <w:t>Intervention vs control:</w:t>
            </w:r>
          </w:p>
          <w:p w14:paraId="65535B93" w14:textId="77777777" w:rsidR="00973D70" w:rsidRPr="00D00A59" w:rsidRDefault="00973D70" w:rsidP="00A75579">
            <w:pPr>
              <w:pStyle w:val="bullet"/>
              <w:rPr>
                <w:szCs w:val="18"/>
              </w:rPr>
            </w:pPr>
            <w:r w:rsidRPr="00D00A59">
              <w:rPr>
                <w:szCs w:val="18"/>
              </w:rPr>
              <w:t>Gestational weight gain: 7.4±4.6 (n=144) vs 8.6±4.4 (n=148)</w:t>
            </w:r>
          </w:p>
          <w:p w14:paraId="49ED0B11" w14:textId="77777777" w:rsidR="00973D70" w:rsidRPr="00D00A59" w:rsidRDefault="00973D70" w:rsidP="00A75579">
            <w:pPr>
              <w:pStyle w:val="bullet"/>
              <w:rPr>
                <w:szCs w:val="18"/>
              </w:rPr>
            </w:pPr>
            <w:r w:rsidRPr="00D00A59">
              <w:rPr>
                <w:szCs w:val="18"/>
              </w:rPr>
              <w:t>Gestational diabetes: 9/150 vs 8/154</w:t>
            </w:r>
          </w:p>
          <w:p w14:paraId="25CE5DE6" w14:textId="77777777" w:rsidR="00973D70" w:rsidRPr="00D00A59" w:rsidRDefault="00973D70" w:rsidP="00A75579">
            <w:pPr>
              <w:pStyle w:val="bullet"/>
              <w:rPr>
                <w:szCs w:val="18"/>
              </w:rPr>
            </w:pPr>
            <w:r w:rsidRPr="00D00A59">
              <w:rPr>
                <w:szCs w:val="18"/>
              </w:rPr>
              <w:t>Pre-eclampsia: 23/150 vs 28/154</w:t>
            </w:r>
          </w:p>
          <w:p w14:paraId="78F50868" w14:textId="77777777" w:rsidR="00973D70" w:rsidRPr="00D00A59" w:rsidRDefault="00973D70" w:rsidP="00A75579">
            <w:pPr>
              <w:pStyle w:val="bullet"/>
              <w:rPr>
                <w:szCs w:val="18"/>
              </w:rPr>
            </w:pPr>
            <w:r w:rsidRPr="00D00A59">
              <w:rPr>
                <w:szCs w:val="18"/>
              </w:rPr>
              <w:t>Caesarean section: 40/150 vs 39/154</w:t>
            </w:r>
          </w:p>
          <w:p w14:paraId="6B508566" w14:textId="77777777" w:rsidR="00973D70" w:rsidRPr="00D00A59" w:rsidRDefault="00973D70" w:rsidP="00A75579">
            <w:pPr>
              <w:pStyle w:val="bullet"/>
              <w:rPr>
                <w:szCs w:val="18"/>
              </w:rPr>
            </w:pPr>
            <w:r w:rsidRPr="00D00A59">
              <w:rPr>
                <w:szCs w:val="18"/>
              </w:rPr>
              <w:t>Preterm birth: 5/82 vs 2/75</w:t>
            </w:r>
          </w:p>
          <w:p w14:paraId="0B1A9192" w14:textId="77777777" w:rsidR="00973D70" w:rsidRPr="00D00A59" w:rsidRDefault="00973D70" w:rsidP="00A75579">
            <w:pPr>
              <w:pStyle w:val="bullet"/>
              <w:rPr>
                <w:szCs w:val="18"/>
              </w:rPr>
            </w:pPr>
            <w:r w:rsidRPr="00D00A59">
              <w:rPr>
                <w:szCs w:val="18"/>
              </w:rPr>
              <w:t>Macrosomia (&gt;4000 g): 40/150 vs 39/154</w:t>
            </w:r>
          </w:p>
          <w:p w14:paraId="154F36BA" w14:textId="77777777" w:rsidR="00973D70" w:rsidRPr="00D00A59" w:rsidRDefault="00973D70" w:rsidP="00A75579">
            <w:pPr>
              <w:pStyle w:val="bullet"/>
              <w:rPr>
                <w:szCs w:val="18"/>
              </w:rPr>
            </w:pPr>
            <w:r w:rsidRPr="00D00A59">
              <w:rPr>
                <w:szCs w:val="18"/>
              </w:rPr>
              <w:t>Large for gestational age: 23/150 vs 18/154</w:t>
            </w:r>
          </w:p>
          <w:p w14:paraId="1AF34940" w14:textId="77777777" w:rsidR="00973D70" w:rsidRPr="00D00A59" w:rsidRDefault="00973D70" w:rsidP="00A75579">
            <w:pPr>
              <w:pStyle w:val="bullet"/>
              <w:rPr>
                <w:szCs w:val="18"/>
              </w:rPr>
            </w:pPr>
            <w:r w:rsidRPr="00D00A59">
              <w:rPr>
                <w:szCs w:val="18"/>
              </w:rPr>
              <w:t>Childhood weight (2.8 years): 14.7±1.82 (n=82) vs 14.4±1.3 (n=75)</w:t>
            </w:r>
          </w:p>
        </w:tc>
      </w:tr>
      <w:tr w:rsidR="00973D70" w:rsidRPr="00D00A59" w14:paraId="2B759C32" w14:textId="77777777" w:rsidTr="0030223E">
        <w:trPr>
          <w:cantSplit/>
          <w:trHeight w:val="646"/>
        </w:trPr>
        <w:tc>
          <w:tcPr>
            <w:tcW w:w="1417" w:type="dxa"/>
          </w:tcPr>
          <w:p w14:paraId="00C785FC" w14:textId="1E619729" w:rsidR="00973D70" w:rsidRPr="00D00A59" w:rsidRDefault="00973D70" w:rsidP="00A62770">
            <w:pPr>
              <w:rPr>
                <w:szCs w:val="18"/>
              </w:rPr>
            </w:pPr>
            <w:r w:rsidRPr="00654EEB">
              <w:t>Wang et al 2015</w:t>
            </w:r>
            <w:r w:rsidRPr="00D00A59">
              <w:rPr>
                <w:szCs w:val="18"/>
              </w:rPr>
              <w:fldChar w:fldCharType="begin"/>
            </w:r>
            <w:r w:rsidR="002747EA">
              <w:rPr>
                <w:szCs w:val="18"/>
              </w:rPr>
              <w:instrText xml:space="preserve"> ADDIN EN.CITE &lt;EndNote&gt;&lt;Cite&gt;&lt;Author&gt;Wang&lt;/Author&gt;&lt;Year&gt;2015&lt;/Year&gt;&lt;RecNum&gt;740&lt;/RecNum&gt;&lt;DisplayText&gt;&lt;style face="superscript" font="Trebuchet MS" size="9"&gt;517&lt;/style&gt;&lt;/DisplayText&gt;&lt;record&gt;&lt;rec-number&gt;740&lt;/rec-number&gt;&lt;foreign-keys&gt;&lt;key app="EN" db-id="exvasrfx2dtraoesasxp2szsxa2df502592x" timestamp="1541467811"&gt;740&lt;/key&gt;&lt;key app="ENWeb" db-id=""&gt;0&lt;/key&gt;&lt;/foreign-keys&gt;&lt;ref-type name="Journal Article"&gt;17&lt;/ref-type&gt;&lt;contributors&gt;&lt;authors&gt;&lt;author&gt;Wang, Shuang&lt;/author&gt;&lt;author&gt;Ma, Jing-Mei&lt;/author&gt;&lt;author&gt;Yang, Hui-Xia&lt;/author&gt;&lt;/authors&gt;&lt;/contributors&gt;&lt;titles&gt;&lt;title&gt;Lifestyle intervention for gestational diabetes mellitus prevention: A cluster-randomized controlled study&lt;/title&gt;&lt;secondary-title&gt;Chronic Diseases and Translational Medicine&lt;/secondary-title&gt;&lt;/titles&gt;&lt;periodical&gt;&lt;full-title&gt;Chronic Diseases and Translational Medicine&lt;/full-title&gt;&lt;/periodical&gt;&lt;pages&gt;169-174&lt;/pages&gt;&lt;volume&gt;1&lt;/volume&gt;&lt;number&gt;3&lt;/number&gt;&lt;section&gt;169&lt;/section&gt;&lt;dates&gt;&lt;year&gt;2015&lt;/year&gt;&lt;/dates&gt;&lt;isbn&gt;2095882X&lt;/isbn&gt;&lt;urls&gt;&lt;/urls&gt;&lt;electronic-resource-num&gt;10.1016/j.cdtm.2015.09.001&lt;/electronic-resource-num&gt;&lt;/record&gt;&lt;/Cite&gt;&lt;/EndNote&gt;</w:instrText>
            </w:r>
            <w:r w:rsidRPr="00D00A59">
              <w:rPr>
                <w:szCs w:val="18"/>
              </w:rPr>
              <w:fldChar w:fldCharType="separate"/>
            </w:r>
            <w:r w:rsidR="002747EA" w:rsidRPr="002747EA">
              <w:rPr>
                <w:noProof/>
                <w:szCs w:val="18"/>
                <w:vertAlign w:val="superscript"/>
              </w:rPr>
              <w:t>517</w:t>
            </w:r>
            <w:r w:rsidRPr="00D00A59">
              <w:rPr>
                <w:szCs w:val="18"/>
              </w:rPr>
              <w:fldChar w:fldCharType="end"/>
            </w:r>
          </w:p>
          <w:p w14:paraId="016BC256" w14:textId="77777777" w:rsidR="00973D70" w:rsidRPr="00D00A59" w:rsidRDefault="00973D70" w:rsidP="00A62770">
            <w:pPr>
              <w:rPr>
                <w:szCs w:val="18"/>
              </w:rPr>
            </w:pPr>
            <w:r w:rsidRPr="00D00A59">
              <w:rPr>
                <w:szCs w:val="18"/>
              </w:rPr>
              <w:t>China</w:t>
            </w:r>
          </w:p>
        </w:tc>
        <w:tc>
          <w:tcPr>
            <w:tcW w:w="1562" w:type="dxa"/>
          </w:tcPr>
          <w:p w14:paraId="1E0B00AE" w14:textId="77777777" w:rsidR="00973D70" w:rsidRPr="00D00A59" w:rsidRDefault="00973D70" w:rsidP="00654EEB">
            <w:r w:rsidRPr="00D00A59">
              <w:t>Intervention 134</w:t>
            </w:r>
          </w:p>
          <w:p w14:paraId="2725D6B4" w14:textId="77777777" w:rsidR="00973D70" w:rsidRPr="00D00A59" w:rsidRDefault="00973D70" w:rsidP="00654EEB">
            <w:r w:rsidRPr="00D00A59">
              <w:t>Control 138</w:t>
            </w:r>
          </w:p>
        </w:tc>
        <w:tc>
          <w:tcPr>
            <w:tcW w:w="5393" w:type="dxa"/>
          </w:tcPr>
          <w:p w14:paraId="71AA8BFB" w14:textId="086D575E" w:rsidR="00973D70" w:rsidRPr="00D00A59" w:rsidRDefault="00973D70" w:rsidP="00654EEB">
            <w:r w:rsidRPr="00D00A59">
              <w:rPr>
                <w:b/>
              </w:rPr>
              <w:t>Aim</w:t>
            </w:r>
            <w:r w:rsidRPr="00D00A59">
              <w:rPr>
                <w:rFonts w:ascii="Helvetica" w:hAnsi="Helvetica"/>
              </w:rPr>
              <w:t xml:space="preserve">: </w:t>
            </w:r>
            <w:r w:rsidRPr="00D00A59">
              <w:t xml:space="preserve">To examine whether gestational diabetes mellitus (GDM) can be prevented by early trimester lifestyle </w:t>
            </w:r>
            <w:r w:rsidR="00356CCC" w:rsidRPr="00D00A59">
              <w:t>counselling</w:t>
            </w:r>
            <w:r w:rsidRPr="00D00A59">
              <w:t xml:space="preserve"> in a high-risk population.</w:t>
            </w:r>
          </w:p>
          <w:p w14:paraId="36C91F29" w14:textId="77777777" w:rsidR="00973D70" w:rsidRPr="00D00A59" w:rsidRDefault="00973D70" w:rsidP="00654EEB">
            <w:r w:rsidRPr="00D00A59">
              <w:rPr>
                <w:b/>
              </w:rPr>
              <w:t>Population</w:t>
            </w:r>
            <w:r w:rsidRPr="00D00A59">
              <w:t>: Women with at least one risk factor for gestational diabetes</w:t>
            </w:r>
          </w:p>
          <w:p w14:paraId="5CBD2EDA" w14:textId="77777777" w:rsidR="00973D70" w:rsidRPr="00D00A59" w:rsidRDefault="00973D70" w:rsidP="00654EEB">
            <w:r w:rsidRPr="00D00A59">
              <w:rPr>
                <w:b/>
              </w:rPr>
              <w:t>Intervention</w:t>
            </w:r>
            <w:r w:rsidRPr="00D00A59">
              <w:t>: Women in the intervention group received routine antenatal care plus a standardised lifestyle intervention delivered at 6 to 8 weeks gestation, and enforcement interventions informed by maternal anthropometrics at 12 to 13 gestational weeks. The standardised courses were delivered by 1 physician and included 3 courses: ’What is a balanced diet?’ (according to the dietary pagoda of pregnant women in China); ’Proper physical activity is beneficial during pregnancy’ (walking 30 minutes after meal at least once a day); and ’Standard weight-gain during pregnancy’. Each course was group based (&lt; 6 women per group) and lasted 40 to 60 minutes.</w:t>
            </w:r>
          </w:p>
        </w:tc>
        <w:tc>
          <w:tcPr>
            <w:tcW w:w="5664" w:type="dxa"/>
          </w:tcPr>
          <w:p w14:paraId="60BB3B8F" w14:textId="77777777" w:rsidR="00973D70" w:rsidRPr="00D00A59" w:rsidRDefault="00973D70" w:rsidP="00654EEB">
            <w:r w:rsidRPr="00D00A59">
              <w:t>Intervention vs control:</w:t>
            </w:r>
          </w:p>
          <w:p w14:paraId="09E8B90A" w14:textId="77777777" w:rsidR="00973D70" w:rsidRPr="00D00A59" w:rsidRDefault="00973D70" w:rsidP="00654EEB">
            <w:pPr>
              <w:pStyle w:val="bullet"/>
            </w:pPr>
            <w:r w:rsidRPr="00D00A59">
              <w:t>Gestational weight gain: 5.51±2.18 (n=134) vs 5.66 (n=138)</w:t>
            </w:r>
          </w:p>
          <w:p w14:paraId="400F712D" w14:textId="77777777" w:rsidR="00973D70" w:rsidRPr="00D00A59" w:rsidRDefault="00973D70" w:rsidP="00654EEB">
            <w:pPr>
              <w:pStyle w:val="bullet"/>
            </w:pPr>
            <w:r w:rsidRPr="00D00A59">
              <w:t>Gestational diabetes: 23/134 vs 33/138</w:t>
            </w:r>
          </w:p>
        </w:tc>
      </w:tr>
      <w:tr w:rsidR="00973D70" w:rsidRPr="00D00A59" w14:paraId="0B8340D6" w14:textId="77777777" w:rsidTr="0030223E">
        <w:trPr>
          <w:cantSplit/>
        </w:trPr>
        <w:tc>
          <w:tcPr>
            <w:tcW w:w="1417" w:type="dxa"/>
          </w:tcPr>
          <w:p w14:paraId="59F603A1" w14:textId="7D172AB4" w:rsidR="00973D70" w:rsidRPr="00D00A59" w:rsidRDefault="00973D70" w:rsidP="00654EEB">
            <w:r w:rsidRPr="00654EEB">
              <w:t>Willcox et al 2017</w:t>
            </w:r>
            <w:r w:rsidRPr="00D00A59">
              <w:fldChar w:fldCharType="begin"/>
            </w:r>
            <w:r w:rsidR="002747EA">
              <w:instrText xml:space="preserve"> ADDIN EN.CITE &lt;EndNote&gt;&lt;Cite&gt;&lt;Author&gt;Willcox&lt;/Author&gt;&lt;Year&gt;2017&lt;/Year&gt;&lt;RecNum&gt;965&lt;/RecNum&gt;&lt;DisplayText&gt;&lt;style face="superscript" font="Trebuchet MS" size="9"&gt;500&lt;/style&gt;&lt;/DisplayText&gt;&lt;record&gt;&lt;rec-number&gt;965&lt;/rec-number&gt;&lt;foreign-keys&gt;&lt;key app="EN" db-id="exvasrfx2dtraoesasxp2szsxa2df502592x" timestamp="1552950079"&gt;965&lt;/key&gt;&lt;key app="ENWeb" db-id=""&gt;0&lt;/key&gt;&lt;/foreign-keys&gt;&lt;ref-type name="Journal Article"&gt;17&lt;/ref-type&gt;&lt;contributors&gt;&lt;authors&gt;&lt;author&gt;Willcox, J.C.,&lt;/author&gt;&lt;author&gt;Wilkinson, S.A.,&lt;/author&gt;&lt;author&gt;Lappas, M.,&lt;/author&gt;&lt;author&gt;Ball, K.,&lt;/author&gt;&lt;author&gt;Crawford, D.,&lt;/author&gt;&lt;author&gt;McCarthy, E.A.,&lt;/author&gt;&lt;author&gt;Fjeldsoe, B.,&lt;/author&gt;&lt;/authors&gt;&lt;/contributors&gt;&lt;auth-address&gt;Departments of Medicine, Public Health, and Ob/Gyn, Temple University, Philadelphia, PA, USA.&lt;/auth-address&gt;&lt;titles&gt;&lt;title&gt;A mobile health intervention promoting healthy gestational weight gain for women entering pregnancy at a high body mass index: the txt4two pilot randomised controlled trial&lt;/title&gt;&lt;secondary-title&gt;BJOG&lt;/secondary-title&gt;&lt;/titles&gt;&lt;periodical&gt;&lt;full-title&gt;BJOG&lt;/full-title&gt;&lt;/periodical&gt;&lt;pages&gt;1718-28&lt;/pages&gt;&lt;volume&gt;124&lt;/volume&gt;&lt;number&gt;11&lt;/number&gt;&lt;edition&gt;2017/04/20&lt;/edition&gt;&lt;dates&gt;&lt;year&gt;2017&lt;/year&gt;&lt;pub-dates&gt;&lt;date&gt;Oct&lt;/date&gt;&lt;/pub-dates&gt;&lt;/dates&gt;&lt;isbn&gt;1471-0528 (Electronic)&amp;#xD;1470-0328 (Linking)&lt;/isbn&gt;&lt;accession-num&gt;28422398&lt;/accession-num&gt;&lt;urls&gt;&lt;related-urls&gt;&lt;url&gt;https://www.ncbi.nlm.nih.gov/pubmed/28422398&lt;/url&gt;&lt;/related-urls&gt;&lt;/urls&gt;&lt;electronic-resource-num&gt;10.1111/1471-0528.14693&lt;/electronic-resource-num&gt;&lt;/record&gt;&lt;/Cite&gt;&lt;/EndNote&gt;</w:instrText>
            </w:r>
            <w:r w:rsidRPr="00D00A59">
              <w:fldChar w:fldCharType="separate"/>
            </w:r>
            <w:r w:rsidR="002747EA" w:rsidRPr="002747EA">
              <w:rPr>
                <w:noProof/>
                <w:vertAlign w:val="superscript"/>
              </w:rPr>
              <w:t>500</w:t>
            </w:r>
            <w:r w:rsidRPr="00D00A59">
              <w:fldChar w:fldCharType="end"/>
            </w:r>
          </w:p>
          <w:p w14:paraId="4DF60CAE" w14:textId="77777777" w:rsidR="00973D70" w:rsidRPr="00D00A59" w:rsidRDefault="00973D70" w:rsidP="00A62770">
            <w:pPr>
              <w:rPr>
                <w:szCs w:val="18"/>
              </w:rPr>
            </w:pPr>
            <w:r w:rsidRPr="00D00A59">
              <w:rPr>
                <w:szCs w:val="18"/>
              </w:rPr>
              <w:t>txt4two</w:t>
            </w:r>
          </w:p>
          <w:p w14:paraId="73515D34" w14:textId="77777777" w:rsidR="00973D70" w:rsidRPr="00D00A59" w:rsidRDefault="00973D70" w:rsidP="00A62770">
            <w:pPr>
              <w:rPr>
                <w:szCs w:val="18"/>
              </w:rPr>
            </w:pPr>
            <w:r w:rsidRPr="00D00A59">
              <w:rPr>
                <w:szCs w:val="18"/>
              </w:rPr>
              <w:t>Australia</w:t>
            </w:r>
          </w:p>
        </w:tc>
        <w:tc>
          <w:tcPr>
            <w:tcW w:w="1562" w:type="dxa"/>
          </w:tcPr>
          <w:p w14:paraId="1371869C" w14:textId="77777777" w:rsidR="00973D70" w:rsidRPr="00D00A59" w:rsidRDefault="00973D70" w:rsidP="00A75579">
            <w:pPr>
              <w:rPr>
                <w:szCs w:val="18"/>
              </w:rPr>
            </w:pPr>
            <w:r w:rsidRPr="00D00A59">
              <w:rPr>
                <w:szCs w:val="18"/>
              </w:rPr>
              <w:t>Intervention 45</w:t>
            </w:r>
          </w:p>
          <w:p w14:paraId="0545C5C0" w14:textId="77777777" w:rsidR="00973D70" w:rsidRPr="00D00A59" w:rsidRDefault="00973D70" w:rsidP="00A75579">
            <w:pPr>
              <w:rPr>
                <w:szCs w:val="18"/>
              </w:rPr>
            </w:pPr>
            <w:r w:rsidRPr="00D00A59">
              <w:rPr>
                <w:szCs w:val="18"/>
              </w:rPr>
              <w:t>Control 46</w:t>
            </w:r>
          </w:p>
        </w:tc>
        <w:tc>
          <w:tcPr>
            <w:tcW w:w="5393" w:type="dxa"/>
          </w:tcPr>
          <w:p w14:paraId="60BFF744" w14:textId="77777777" w:rsidR="00973D70" w:rsidRPr="00D00A59" w:rsidRDefault="00973D70" w:rsidP="00A75579">
            <w:pPr>
              <w:rPr>
                <w:szCs w:val="18"/>
              </w:rPr>
            </w:pPr>
            <w:r w:rsidRPr="00D00A59">
              <w:rPr>
                <w:b/>
                <w:szCs w:val="18"/>
              </w:rPr>
              <w:t>Aim</w:t>
            </w:r>
            <w:r w:rsidRPr="00D00A59">
              <w:rPr>
                <w:szCs w:val="18"/>
              </w:rPr>
              <w:t>: To determine the feasibility and effectiveness of an mHealth intervention promoting healthy diet, physical activity and gestational weight gain in pregnant women.</w:t>
            </w:r>
          </w:p>
          <w:p w14:paraId="3F7DE576" w14:textId="77777777" w:rsidR="00973D70" w:rsidRPr="00D00A59" w:rsidRDefault="00973D70" w:rsidP="00A75579">
            <w:pPr>
              <w:rPr>
                <w:szCs w:val="18"/>
              </w:rPr>
            </w:pPr>
            <w:r w:rsidRPr="00D00A59">
              <w:rPr>
                <w:b/>
                <w:szCs w:val="18"/>
              </w:rPr>
              <w:t>Population</w:t>
            </w:r>
            <w:r w:rsidRPr="00D00A59">
              <w:rPr>
                <w:szCs w:val="18"/>
              </w:rPr>
              <w:t>: Women with a singleton pregnancy between 10</w:t>
            </w:r>
            <w:r w:rsidRPr="00D00A59">
              <w:rPr>
                <w:rFonts w:eastAsiaTheme="majorEastAsia"/>
                <w:szCs w:val="18"/>
                <w:vertAlign w:val="superscript"/>
              </w:rPr>
              <w:t>0</w:t>
            </w:r>
            <w:r w:rsidRPr="00D00A59">
              <w:rPr>
                <w:rFonts w:eastAsiaTheme="majorEastAsia"/>
                <w:szCs w:val="18"/>
              </w:rPr>
              <w:t xml:space="preserve"> </w:t>
            </w:r>
            <w:r w:rsidRPr="00D00A59">
              <w:rPr>
                <w:szCs w:val="18"/>
              </w:rPr>
              <w:t>and 17</w:t>
            </w:r>
            <w:r w:rsidRPr="00D00A59">
              <w:rPr>
                <w:rFonts w:eastAsiaTheme="majorEastAsia"/>
                <w:szCs w:val="18"/>
                <w:vertAlign w:val="superscript"/>
              </w:rPr>
              <w:t>6</w:t>
            </w:r>
            <w:r w:rsidRPr="00D00A59">
              <w:rPr>
                <w:rFonts w:eastAsiaTheme="majorEastAsia"/>
                <w:szCs w:val="18"/>
              </w:rPr>
              <w:t xml:space="preserve"> </w:t>
            </w:r>
            <w:r w:rsidRPr="00D00A59">
              <w:rPr>
                <w:szCs w:val="18"/>
              </w:rPr>
              <w:t xml:space="preserve">weeks; self-reported pre-pregnancy BMI </w:t>
            </w:r>
            <w:r w:rsidRPr="00D00A59">
              <w:rPr>
                <w:rFonts w:ascii="Helvetica" w:eastAsiaTheme="majorEastAsia" w:hAnsi="Helvetica"/>
                <w:szCs w:val="18"/>
              </w:rPr>
              <w:t>&gt;</w:t>
            </w:r>
            <w:r w:rsidRPr="00D00A59">
              <w:rPr>
                <w:szCs w:val="18"/>
              </w:rPr>
              <w:t>25 kg/m</w:t>
            </w:r>
            <w:r w:rsidRPr="00D00A59">
              <w:rPr>
                <w:rFonts w:eastAsiaTheme="majorEastAsia"/>
                <w:szCs w:val="18"/>
              </w:rPr>
              <w:t>2</w:t>
            </w:r>
            <w:r w:rsidRPr="00D00A59">
              <w:rPr>
                <w:szCs w:val="18"/>
              </w:rPr>
              <w:t>; able to speak, read and write English; and owning a mobile phone.</w:t>
            </w:r>
          </w:p>
          <w:p w14:paraId="5BD8C013" w14:textId="77777777" w:rsidR="00973D70" w:rsidRPr="00D00A59" w:rsidRDefault="00973D70" w:rsidP="00EE3378">
            <w:r w:rsidRPr="00D00A59">
              <w:rPr>
                <w:b/>
              </w:rPr>
              <w:t>Intervention</w:t>
            </w:r>
            <w:r w:rsidRPr="00D00A59">
              <w:t xml:space="preserve">: At baseline the trained researcher discussed appropriate GWG targets, individual GWG monitoring and recording, and asked the woman to set a nutrition or physical activity goal to work towards the recommendations. Intervention participants then received four to five individually tailored, interactive text messages per week. The texts delivered information specific to the individual’s gestational week, encouragement of positive health behaviours, monitoring of individual goals and encouragement of self-monitoring of GWG. Texts were developed and mapped according to the behaviour change techniques by the authors. Women chose the frequency of texts that aimed to: prompt review of their weight (weekly or fortnightly); and check their behavioural goals (weekly or fortnightly). </w:t>
            </w:r>
          </w:p>
          <w:p w14:paraId="254D7B6F" w14:textId="77777777" w:rsidR="00973D70" w:rsidRPr="00D00A59" w:rsidRDefault="00973D70" w:rsidP="00A75579">
            <w:pPr>
              <w:rPr>
                <w:szCs w:val="18"/>
              </w:rPr>
            </w:pPr>
            <w:r w:rsidRPr="00D00A59">
              <w:rPr>
                <w:szCs w:val="18"/>
              </w:rPr>
              <w:t>Advice was based on current Australian guidelines: the Australian Dietary Guidelines emphasise the replacement of sugar-sweetened beverages, increased fruit and vegetable intake, reduction of discretionary food groups and consumption of regular meals; the physical activity guidelines emphasise 30 minutes of moderate intensity physical activity on most, if not all, days of the week, reduction of sedentary behaviour.</w:t>
            </w:r>
          </w:p>
        </w:tc>
        <w:tc>
          <w:tcPr>
            <w:tcW w:w="5664" w:type="dxa"/>
          </w:tcPr>
          <w:p w14:paraId="3998AA52" w14:textId="77777777" w:rsidR="00654EEB" w:rsidRDefault="00654EEB" w:rsidP="00A75579">
            <w:pPr>
              <w:rPr>
                <w:szCs w:val="18"/>
              </w:rPr>
            </w:pPr>
            <w:r>
              <w:rPr>
                <w:szCs w:val="18"/>
              </w:rPr>
              <w:t xml:space="preserve">Intervention versus control: </w:t>
            </w:r>
          </w:p>
          <w:p w14:paraId="288525B2" w14:textId="3A71C4D3" w:rsidR="00973D70" w:rsidRPr="00D00A59" w:rsidRDefault="00973D70" w:rsidP="00654EEB">
            <w:pPr>
              <w:pStyle w:val="bullet"/>
            </w:pPr>
            <w:r w:rsidRPr="00D00A59">
              <w:t>Gestational weight gain: 11.0±5.92 (n=45) vs 13.6±5.6 (n=46)</w:t>
            </w:r>
          </w:p>
          <w:p w14:paraId="1703E560" w14:textId="77777777" w:rsidR="00973D70" w:rsidRPr="00D00A59" w:rsidRDefault="00973D70" w:rsidP="00654EEB">
            <w:pPr>
              <w:pStyle w:val="bullet"/>
            </w:pPr>
            <w:r w:rsidRPr="00D00A59">
              <w:t>Weight gain &gt;IOM guidelines: 21/45 vs 28/46</w:t>
            </w:r>
          </w:p>
        </w:tc>
      </w:tr>
    </w:tbl>
    <w:p w14:paraId="69A10535" w14:textId="30CAD332" w:rsidR="000E6C5B" w:rsidRDefault="000E6C5B" w:rsidP="000E6C5B">
      <w:pPr>
        <w:pStyle w:val="TableRCTs"/>
        <w:tabs>
          <w:tab w:val="left" w:pos="1123"/>
          <w:tab w:val="left" w:pos="2722"/>
          <w:tab w:val="left" w:pos="3861"/>
          <w:tab w:val="left" w:pos="6024"/>
          <w:tab w:val="left" w:pos="8543"/>
        </w:tabs>
      </w:pPr>
    </w:p>
    <w:p w14:paraId="6151A3BC" w14:textId="77777777" w:rsidR="000E6C5B" w:rsidRDefault="000E6C5B" w:rsidP="000E6C5B">
      <w:pPr>
        <w:sectPr w:rsidR="000E6C5B" w:rsidSect="000E26CA">
          <w:pgSz w:w="16820" w:h="11900" w:orient="landscape"/>
          <w:pgMar w:top="1418" w:right="1134" w:bottom="1418" w:left="1134" w:header="709" w:footer="709" w:gutter="0"/>
          <w:cols w:space="708"/>
          <w:docGrid w:linePitch="360"/>
        </w:sectPr>
      </w:pPr>
    </w:p>
    <w:p w14:paraId="74F6E2D3" w14:textId="3D528395" w:rsidR="00F43F44" w:rsidRDefault="00F43F44" w:rsidP="00F43F44">
      <w:pPr>
        <w:pStyle w:val="Heading1"/>
      </w:pPr>
      <w:bookmarkStart w:id="239" w:name="_Toc40956550"/>
      <w:r>
        <w:t>Additional considerations</w:t>
      </w:r>
      <w:bookmarkEnd w:id="239"/>
    </w:p>
    <w:p w14:paraId="3E68B722" w14:textId="476F2BF8" w:rsidR="00F43F44" w:rsidRDefault="00F43F44" w:rsidP="00F43F44">
      <w:pPr>
        <w:pStyle w:val="Heading2"/>
      </w:pPr>
      <w:bookmarkStart w:id="240" w:name="_Ref494975143"/>
      <w:bookmarkStart w:id="241" w:name="_Toc40956551"/>
      <w:r w:rsidRPr="00F43F44">
        <w:rPr>
          <w:b/>
        </w:rPr>
        <w:t>Q10</w:t>
      </w:r>
      <w:r>
        <w:t xml:space="preserve">: </w:t>
      </w:r>
      <w:r w:rsidRPr="00193E53">
        <w:t xml:space="preserve">What are the additional </w:t>
      </w:r>
      <w:r>
        <w:t xml:space="preserve">needs of </w:t>
      </w:r>
      <w:r w:rsidRPr="00193E53">
        <w:t>Aboriginal and Torres Strait Islander women?</w:t>
      </w:r>
      <w:bookmarkEnd w:id="240"/>
      <w:bookmarkEnd w:id="241"/>
      <w:r w:rsidRPr="00193E53">
        <w:t xml:space="preserve"> </w:t>
      </w:r>
    </w:p>
    <w:p w14:paraId="52465E34" w14:textId="4DF64AE7" w:rsidR="00F43F44" w:rsidRDefault="00513068" w:rsidP="00F43F44">
      <w:r>
        <w:t>These studies have been included in relevant sections of the review.</w:t>
      </w:r>
    </w:p>
    <w:p w14:paraId="45C96D87" w14:textId="77777777" w:rsidR="00FC6AC8" w:rsidRDefault="00FC6AC8" w:rsidP="00F43F44">
      <w:pPr>
        <w:sectPr w:rsidR="00FC6AC8" w:rsidSect="008A6B17">
          <w:pgSz w:w="11901" w:h="16817"/>
          <w:pgMar w:top="1134" w:right="1418" w:bottom="1134" w:left="1418" w:header="709" w:footer="709" w:gutter="0"/>
          <w:cols w:space="708"/>
          <w:docGrid w:linePitch="360"/>
        </w:sectPr>
      </w:pPr>
    </w:p>
    <w:p w14:paraId="7098DC56" w14:textId="5B7BB659" w:rsidR="00F43F44" w:rsidRDefault="00F43F44" w:rsidP="00F43F44">
      <w:pPr>
        <w:pStyle w:val="Heading2"/>
      </w:pPr>
      <w:bookmarkStart w:id="242" w:name="_Toc40956552"/>
      <w:r w:rsidRPr="007B2353">
        <w:rPr>
          <w:b/>
        </w:rPr>
        <w:t>Q</w:t>
      </w:r>
      <w:r>
        <w:rPr>
          <w:b/>
        </w:rPr>
        <w:t>11</w:t>
      </w:r>
      <w:r>
        <w:t xml:space="preserve">: </w:t>
      </w:r>
      <w:r w:rsidRPr="00C241BA">
        <w:t>What are the additional considerations for</w:t>
      </w:r>
      <w:r>
        <w:t xml:space="preserve"> migrant and refugee women?</w:t>
      </w:r>
      <w:bookmarkEnd w:id="242"/>
    </w:p>
    <w:p w14:paraId="3349BB37" w14:textId="273502D6" w:rsidR="00F43F44" w:rsidRDefault="00F43F44" w:rsidP="00F43F44">
      <w:r>
        <w:t>No studies were identified to</w:t>
      </w:r>
      <w:r w:rsidR="002747EA">
        <w:t xml:space="preserve"> specifically</w:t>
      </w:r>
      <w:r>
        <w:t xml:space="preserve"> answer this question.</w:t>
      </w:r>
    </w:p>
    <w:p w14:paraId="2E9FFD15" w14:textId="77777777" w:rsidR="00F43F44" w:rsidRDefault="00F43F44" w:rsidP="00F43F44">
      <w:pPr>
        <w:pStyle w:val="Heading1"/>
        <w:sectPr w:rsidR="00F43F44" w:rsidSect="008A6B17">
          <w:pgSz w:w="11901" w:h="16817"/>
          <w:pgMar w:top="1134" w:right="1418" w:bottom="1134" w:left="1418" w:header="709" w:footer="709" w:gutter="0"/>
          <w:cols w:space="708"/>
          <w:docGrid w:linePitch="360"/>
        </w:sectPr>
      </w:pPr>
    </w:p>
    <w:p w14:paraId="4052F8E1" w14:textId="77777777" w:rsidR="00BF2BF6" w:rsidRDefault="00BF2BF6" w:rsidP="008E765F">
      <w:pPr>
        <w:pStyle w:val="Heading1"/>
        <w:numPr>
          <w:ilvl w:val="0"/>
          <w:numId w:val="0"/>
        </w:numPr>
        <w:rPr>
          <w:lang w:val="en-AU"/>
        </w:rPr>
      </w:pPr>
      <w:bookmarkStart w:id="243" w:name="_Toc40956553"/>
      <w:bookmarkStart w:id="244" w:name="_Toc3807158"/>
      <w:r>
        <w:rPr>
          <w:lang w:val="en-AU"/>
        </w:rPr>
        <w:t>Appendices</w:t>
      </w:r>
      <w:bookmarkEnd w:id="243"/>
    </w:p>
    <w:p w14:paraId="76F6D51D" w14:textId="77777777" w:rsidR="000F3838" w:rsidRDefault="008E765F" w:rsidP="008E765F">
      <w:pPr>
        <w:pStyle w:val="Heading2"/>
        <w:numPr>
          <w:ilvl w:val="0"/>
          <w:numId w:val="0"/>
        </w:numPr>
        <w:rPr>
          <w:lang w:val="en-AU"/>
        </w:rPr>
      </w:pPr>
      <w:bookmarkStart w:id="245" w:name="_Toc40956554"/>
      <w:r>
        <w:rPr>
          <w:lang w:val="en-AU"/>
        </w:rPr>
        <w:t>A</w:t>
      </w:r>
      <w:r>
        <w:rPr>
          <w:lang w:val="en-AU"/>
        </w:rPr>
        <w:tab/>
      </w:r>
      <w:r w:rsidR="000F3838">
        <w:rPr>
          <w:lang w:val="en-AU"/>
        </w:rPr>
        <w:t>Search strategies</w:t>
      </w:r>
      <w:bookmarkEnd w:id="245"/>
    </w:p>
    <w:p w14:paraId="6F1C6FD9" w14:textId="73157020" w:rsidR="000F3838" w:rsidRDefault="00A91966" w:rsidP="000F3838">
      <w:pPr>
        <w:pStyle w:val="Heading3"/>
        <w:numPr>
          <w:ilvl w:val="0"/>
          <w:numId w:val="0"/>
        </w:numPr>
        <w:rPr>
          <w:lang w:val="en-AU"/>
        </w:rPr>
      </w:pPr>
      <w:bookmarkStart w:id="246" w:name="_Toc40956555"/>
      <w:r>
        <w:t>Dietary advice</w:t>
      </w:r>
      <w:bookmarkEnd w:id="246"/>
    </w:p>
    <w:p w14:paraId="7468C4E5" w14:textId="22E802E8" w:rsidR="0048169C" w:rsidRDefault="0048169C" w:rsidP="0048169C">
      <w:pPr>
        <w:pStyle w:val="Heading4"/>
      </w:pPr>
      <w:r>
        <w:t>Diet and pregnancy</w:t>
      </w:r>
      <w:r w:rsidRPr="00916589">
        <w:t xml:space="preserve"> </w:t>
      </w:r>
      <w:r w:rsidR="008F6E53">
        <w:t>(research questions 1</w:t>
      </w:r>
      <w:r w:rsidR="000D04A0">
        <w:t>,</w:t>
      </w:r>
      <w:r w:rsidR="008F6E53">
        <w:t xml:space="preserve"> 2</w:t>
      </w:r>
      <w:r w:rsidR="000D04A0">
        <w:t xml:space="preserve"> and 9</w:t>
      </w:r>
      <w:r w:rsidR="008F6E53">
        <w:t>)</w:t>
      </w:r>
    </w:p>
    <w:p w14:paraId="72567E6C" w14:textId="77777777" w:rsidR="0048169C" w:rsidRPr="00916589" w:rsidRDefault="0048169C" w:rsidP="0048169C">
      <w:pPr>
        <w:rPr>
          <w:b/>
        </w:rPr>
      </w:pPr>
      <w:r>
        <w:rPr>
          <w:b/>
        </w:rPr>
        <w:t>Date of searches: 4-June-2019</w:t>
      </w:r>
    </w:p>
    <w:p w14:paraId="6C0B2228" w14:textId="77777777" w:rsidR="0048169C" w:rsidRDefault="0048169C" w:rsidP="0048169C">
      <w:pPr>
        <w:rPr>
          <w:b/>
          <w:bCs/>
        </w:rPr>
      </w:pPr>
      <w:r>
        <w:rPr>
          <w:b/>
          <w:bCs/>
        </w:rPr>
        <w:t>Embase:</w:t>
      </w:r>
    </w:p>
    <w:p w14:paraId="022A4F72" w14:textId="77777777" w:rsidR="0048169C" w:rsidRDefault="0048169C" w:rsidP="0048169C">
      <w:r w:rsidRPr="0048169C">
        <w:t>('diet'/exp OR 'dietary pattern'/exp OR 'vegetarian' OR 'vegan' OR 'fibre') AND ('pregnant woman'/syn OR 'pregnancy'/syn) AND [humans]/lim AND [english]/lim AND [2013-2019]/py01/01/2014 to 31/12/2019 =</w:t>
      </w:r>
      <w:r>
        <w:t xml:space="preserve"> Results: 4233</w:t>
      </w:r>
    </w:p>
    <w:p w14:paraId="42C299EA" w14:textId="77777777" w:rsidR="0048169C" w:rsidRDefault="0048169C" w:rsidP="0048169C">
      <w:pPr>
        <w:rPr>
          <w:b/>
          <w:bCs/>
        </w:rPr>
      </w:pPr>
      <w:r>
        <w:rPr>
          <w:b/>
          <w:bCs/>
        </w:rPr>
        <w:t>CINAHL:</w:t>
      </w:r>
    </w:p>
    <w:p w14:paraId="3E977F06" w14:textId="77777777" w:rsidR="0048169C" w:rsidRDefault="0048169C" w:rsidP="0048169C">
      <w:pPr>
        <w:rPr>
          <w:bdr w:val="none" w:sz="0" w:space="0" w:color="auto" w:frame="1"/>
          <w:shd w:val="clear" w:color="auto" w:fill="FFFFFF"/>
        </w:rPr>
      </w:pPr>
      <w:r w:rsidRPr="00694EC8">
        <w:rPr>
          <w:bdr w:val="none" w:sz="0" w:space="0" w:color="auto" w:frame="1"/>
          <w:shd w:val="clear" w:color="auto" w:fill="FFFFFF"/>
        </w:rPr>
        <w:t xml:space="preserve">(MH "Diet+") OR (MM "Diet, Paleolithic") OR (MM "Diet, Fat-Restricted") OR (MH "Diet, Antineoplastic") OR (MM "Diet, Western") OR (MM "Diet, Sodium-Restricted") OR (MM "Diet, Low Carbohydrate") OR (MM "Diet, Gluten-Free") OR (MM "Diet, Reducing") OR (MM "Diet, Nordic") OR (MM "Restricted Diet") OR (MM "Diet, Ketogenic") OR (MM "Diet, High Protein") </w:t>
      </w:r>
      <w:r>
        <w:rPr>
          <w:bdr w:val="none" w:sz="0" w:space="0" w:color="auto" w:frame="1"/>
          <w:shd w:val="clear" w:color="auto" w:fill="FFFFFF"/>
        </w:rPr>
        <w:t>OR (vegetarian OR fiber OR fibre OR vegan)</w:t>
      </w:r>
    </w:p>
    <w:p w14:paraId="54F0DAED" w14:textId="77777777" w:rsidR="0048169C" w:rsidRDefault="0048169C" w:rsidP="0048169C">
      <w:pPr>
        <w:rPr>
          <w:bdr w:val="none" w:sz="0" w:space="0" w:color="auto" w:frame="1"/>
          <w:shd w:val="clear" w:color="auto" w:fill="FFFFFF"/>
        </w:rPr>
      </w:pPr>
      <w:r>
        <w:rPr>
          <w:bdr w:val="none" w:sz="0" w:space="0" w:color="auto" w:frame="1"/>
          <w:shd w:val="clear" w:color="auto" w:fill="FFFFFF"/>
        </w:rPr>
        <w:t xml:space="preserve">AND </w:t>
      </w:r>
      <w:r w:rsidRPr="00694EC8">
        <w:rPr>
          <w:bdr w:val="none" w:sz="0" w:space="0" w:color="auto" w:frame="1"/>
          <w:shd w:val="clear" w:color="auto" w:fill="FFFFFF"/>
        </w:rPr>
        <w:t>( ((MH "Pregnancy+") OR (Pregnan*) OR (MM "Pregnancy Outcomes") OR (MH "Pregnancy Trimesters+"))</w:t>
      </w:r>
    </w:p>
    <w:p w14:paraId="370B9675" w14:textId="77777777" w:rsidR="0048169C" w:rsidRDefault="0048169C" w:rsidP="0048169C">
      <w:pPr>
        <w:rPr>
          <w:rFonts w:ascii="Helvetica" w:hAnsi="Helvetica"/>
          <w:sz w:val="20"/>
          <w:szCs w:val="20"/>
          <w:bdr w:val="none" w:sz="0" w:space="0" w:color="auto" w:frame="1"/>
          <w:shd w:val="clear" w:color="auto" w:fill="FFFFFF"/>
        </w:rPr>
      </w:pPr>
      <w:r>
        <w:t xml:space="preserve">01/01/2014 to 31/12/2019 = </w:t>
      </w:r>
      <w:r>
        <w:rPr>
          <w:rFonts w:ascii="Helvetica" w:hAnsi="Helvetica"/>
          <w:sz w:val="20"/>
          <w:szCs w:val="20"/>
          <w:bdr w:val="none" w:sz="0" w:space="0" w:color="auto" w:frame="1"/>
          <w:shd w:val="clear" w:color="auto" w:fill="FFFFFF"/>
        </w:rPr>
        <w:t>Results 1490</w:t>
      </w:r>
    </w:p>
    <w:p w14:paraId="252ABCCD" w14:textId="77777777" w:rsidR="0048169C" w:rsidRDefault="0048169C" w:rsidP="0048169C">
      <w:pPr>
        <w:rPr>
          <w:rFonts w:ascii="Helvetica" w:hAnsi="Helvetica"/>
          <w:b/>
          <w:bCs/>
          <w:sz w:val="20"/>
          <w:szCs w:val="20"/>
          <w:bdr w:val="none" w:sz="0" w:space="0" w:color="auto" w:frame="1"/>
          <w:shd w:val="clear" w:color="auto" w:fill="FFFFFF"/>
        </w:rPr>
      </w:pPr>
      <w:r>
        <w:rPr>
          <w:rFonts w:ascii="Helvetica" w:hAnsi="Helvetica"/>
          <w:b/>
          <w:bCs/>
          <w:sz w:val="20"/>
          <w:szCs w:val="20"/>
          <w:bdr w:val="none" w:sz="0" w:space="0" w:color="auto" w:frame="1"/>
          <w:shd w:val="clear" w:color="auto" w:fill="FFFFFF"/>
        </w:rPr>
        <w:t>Pubmed:</w:t>
      </w:r>
    </w:p>
    <w:p w14:paraId="7399CCED" w14:textId="77777777" w:rsidR="0048169C" w:rsidRDefault="0048169C" w:rsidP="0048169C">
      <w:r w:rsidRPr="009D43B5">
        <w:t xml:space="preserve">("Diet"[Mesh] OR "vegetarian" OR "fibre" OR "vegan") AND (("Pregnant Women"[Mesh]) OR ("Pregnancy"[Mesh])) </w:t>
      </w:r>
    </w:p>
    <w:p w14:paraId="6E5792BC" w14:textId="77777777" w:rsidR="0048169C" w:rsidRDefault="0048169C" w:rsidP="0048169C">
      <w:r>
        <w:t>Humans and english language</w:t>
      </w:r>
    </w:p>
    <w:p w14:paraId="30A53334" w14:textId="77777777" w:rsidR="0048169C" w:rsidRDefault="0048169C" w:rsidP="0048169C">
      <w:r>
        <w:t>01/01/2014- 31/12/2019 = Results = 2233</w:t>
      </w:r>
    </w:p>
    <w:p w14:paraId="3631840E" w14:textId="77777777" w:rsidR="0048169C" w:rsidRDefault="0048169C" w:rsidP="0048169C">
      <w:pPr>
        <w:rPr>
          <w:b/>
          <w:bCs/>
        </w:rPr>
      </w:pPr>
      <w:r>
        <w:rPr>
          <w:b/>
          <w:bCs/>
        </w:rPr>
        <w:t>Informit: Indigenous Peoples</w:t>
      </w:r>
    </w:p>
    <w:p w14:paraId="24A3ED12" w14:textId="77777777" w:rsidR="0048169C" w:rsidRPr="00694EC8" w:rsidRDefault="0048169C" w:rsidP="0048169C">
      <w:pPr>
        <w:rPr>
          <w:bCs/>
        </w:rPr>
      </w:pPr>
      <w:r w:rsidRPr="00694EC8">
        <w:rPr>
          <w:bCs/>
        </w:rPr>
        <w:t>(Pregnancy and Diet)</w:t>
      </w:r>
    </w:p>
    <w:p w14:paraId="3FCA992A" w14:textId="77777777" w:rsidR="0048169C" w:rsidRDefault="0048169C" w:rsidP="0048169C">
      <w:pPr>
        <w:rPr>
          <w:bCs/>
        </w:rPr>
      </w:pPr>
      <w:r>
        <w:rPr>
          <w:bCs/>
        </w:rPr>
        <w:t>2014-2019</w:t>
      </w:r>
    </w:p>
    <w:p w14:paraId="5A62C0FD" w14:textId="77777777" w:rsidR="0048169C" w:rsidRPr="00694EC8" w:rsidRDefault="0048169C" w:rsidP="0048169C">
      <w:pPr>
        <w:rPr>
          <w:bCs/>
        </w:rPr>
      </w:pPr>
      <w:r>
        <w:rPr>
          <w:bCs/>
        </w:rPr>
        <w:t>Results = 1</w:t>
      </w:r>
    </w:p>
    <w:p w14:paraId="199296DC" w14:textId="77777777" w:rsidR="0048169C" w:rsidRDefault="0048169C" w:rsidP="0048169C">
      <w:pPr>
        <w:rPr>
          <w:b/>
          <w:bCs/>
        </w:rPr>
      </w:pPr>
      <w:r>
        <w:rPr>
          <w:b/>
          <w:bCs/>
        </w:rPr>
        <w:t>Cochrane Library</w:t>
      </w:r>
    </w:p>
    <w:p w14:paraId="27B22D72" w14:textId="77777777" w:rsidR="0048169C" w:rsidRDefault="0048169C" w:rsidP="0048169C">
      <w:pPr>
        <w:spacing w:line="240" w:lineRule="auto"/>
      </w:pPr>
      <w:r>
        <w:rPr>
          <w:noProof/>
          <w:lang w:val="en-AU" w:eastAsia="en-AU"/>
        </w:rPr>
        <w:drawing>
          <wp:inline distT="0" distB="0" distL="0" distR="0" wp14:anchorId="059BA9B9" wp14:editId="3FCAC791">
            <wp:extent cx="5731510" cy="181356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813560"/>
                    </a:xfrm>
                    <a:prstGeom prst="rect">
                      <a:avLst/>
                    </a:prstGeom>
                  </pic:spPr>
                </pic:pic>
              </a:graphicData>
            </a:graphic>
          </wp:inline>
        </w:drawing>
      </w:r>
    </w:p>
    <w:p w14:paraId="798638BD" w14:textId="77777777" w:rsidR="0048169C" w:rsidRDefault="0048169C" w:rsidP="0048169C">
      <w:r>
        <w:t>Top-up search- 01/01/2014-04/06/2019 = Review Results 819</w:t>
      </w:r>
    </w:p>
    <w:p w14:paraId="30DFB746" w14:textId="6156E9B4" w:rsidR="0048169C" w:rsidRDefault="0048169C" w:rsidP="0048169C">
      <w:r>
        <w:rPr>
          <w:b/>
        </w:rPr>
        <w:t>Scopus</w:t>
      </w:r>
    </w:p>
    <w:p w14:paraId="1186CBC1" w14:textId="2D9BAD00" w:rsidR="0048169C" w:rsidRDefault="0048169C" w:rsidP="0048169C">
      <w:pPr>
        <w:rPr>
          <w:rFonts w:cstheme="minorHAnsi"/>
        </w:rPr>
      </w:pPr>
      <w:r>
        <w:rPr>
          <w:rFonts w:cstheme="minorHAnsi"/>
        </w:rPr>
        <w:t>((TITLE-ABS-KEY((("Pregnan*") OR ("prenatal*") OR ("gestation*"</w:t>
      </w:r>
      <w:bookmarkStart w:id="247" w:name="_GoBack"/>
      <w:bookmarkEnd w:id="247"/>
      <w:r>
        <w:rPr>
          <w:rFonts w:cstheme="minorHAnsi"/>
        </w:rPr>
        <w:t>))) AND TITLE-ABS-KEY((("Weight") W/1  (("gain") OR ("change"))))) AND PUBYEAR &gt; 2013) </w:t>
      </w:r>
    </w:p>
    <w:p w14:paraId="6279998F" w14:textId="77777777" w:rsidR="0048169C" w:rsidRDefault="0048169C" w:rsidP="0048169C">
      <w:r>
        <w:t>Search results = 3201</w:t>
      </w:r>
    </w:p>
    <w:p w14:paraId="6E04FD74" w14:textId="77777777" w:rsidR="0048169C" w:rsidRDefault="0048169C" w:rsidP="0048169C">
      <w:r>
        <w:t>Dates searched – 2013 (jan) to 2019 (4/6/19)</w:t>
      </w:r>
    </w:p>
    <w:p w14:paraId="39368EC0" w14:textId="4803FC02" w:rsidR="005B6573" w:rsidRDefault="005B6573" w:rsidP="00320FB8">
      <w:pPr>
        <w:pStyle w:val="Figure"/>
        <w:spacing w:before="240"/>
        <w:jc w:val="center"/>
      </w:pPr>
      <w:r>
        <w:rPr>
          <w:noProof/>
          <w:lang w:val="en-AU" w:eastAsia="en-AU"/>
        </w:rPr>
        <w:drawing>
          <wp:inline distT="0" distB="0" distL="0" distR="0" wp14:anchorId="5BE7A3BA" wp14:editId="7101E20F">
            <wp:extent cx="4180412" cy="5709786"/>
            <wp:effectExtent l="0" t="0" r="1079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et.png"/>
                    <pic:cNvPicPr/>
                  </pic:nvPicPr>
                  <pic:blipFill>
                    <a:blip r:embed="rId15">
                      <a:extLst>
                        <a:ext uri="{28A0092B-C50C-407E-A947-70E740481C1C}">
                          <a14:useLocalDpi xmlns:a14="http://schemas.microsoft.com/office/drawing/2010/main" val="0"/>
                        </a:ext>
                      </a:extLst>
                    </a:blip>
                    <a:stretch>
                      <a:fillRect/>
                    </a:stretch>
                  </pic:blipFill>
                  <pic:spPr>
                    <a:xfrm>
                      <a:off x="0" y="0"/>
                      <a:ext cx="4193945" cy="5728271"/>
                    </a:xfrm>
                    <a:prstGeom prst="rect">
                      <a:avLst/>
                    </a:prstGeom>
                  </pic:spPr>
                </pic:pic>
              </a:graphicData>
            </a:graphic>
          </wp:inline>
        </w:drawing>
      </w:r>
    </w:p>
    <w:p w14:paraId="593FB3B1" w14:textId="42F4B3E3" w:rsidR="0048169C" w:rsidRDefault="00501B05" w:rsidP="005B6573">
      <w:pPr>
        <w:pStyle w:val="Figurename"/>
      </w:pPr>
      <w:r>
        <w:t>PRISMA diagram: diet</w:t>
      </w:r>
    </w:p>
    <w:p w14:paraId="6A224121" w14:textId="3D156959" w:rsidR="0048169C" w:rsidRPr="00196D36" w:rsidRDefault="0048169C" w:rsidP="0048169C">
      <w:pPr>
        <w:pStyle w:val="Heading4"/>
      </w:pPr>
      <w:bookmarkStart w:id="248" w:name="_Hlk536696824"/>
      <w:r>
        <w:t>Folic acid</w:t>
      </w:r>
      <w:r w:rsidR="000D04A0">
        <w:t xml:space="preserve"> s</w:t>
      </w:r>
      <w:r w:rsidRPr="00196D36">
        <w:t>upplementation</w:t>
      </w:r>
      <w:r w:rsidR="000D04A0">
        <w:t xml:space="preserve"> (research question 3)</w:t>
      </w:r>
    </w:p>
    <w:p w14:paraId="3F2978B6" w14:textId="77777777" w:rsidR="0048169C" w:rsidRDefault="0048169C" w:rsidP="0048169C">
      <w:r>
        <w:t>Previous Folic acid supplementation in pregnancy Cochrane search date: 31 December 2012</w:t>
      </w:r>
    </w:p>
    <w:p w14:paraId="3508C345" w14:textId="77777777" w:rsidR="0048169C" w:rsidRPr="00C30014" w:rsidRDefault="0048169C" w:rsidP="00C30014">
      <w:r w:rsidRPr="00C30014">
        <w:t>Lassi  ZS, Salam  RA, Haider  BA, Bhutta  ZA. Folic acid supplementation during pregnancy for maternal health and pregnancy outcomes. Cochrane Database of Systematic Reviews 2013, Issue 3. Art. No.: CD006896. DOI: 10.1002/14651858.CD006896.pub2.</w:t>
      </w:r>
    </w:p>
    <w:p w14:paraId="2C381026" w14:textId="77777777" w:rsidR="0048169C" w:rsidRDefault="0048169C" w:rsidP="00C30014">
      <w:r>
        <w:t>Synonyms for Folic acid;</w:t>
      </w:r>
    </w:p>
    <w:p w14:paraId="7DD052B9" w14:textId="77777777" w:rsidR="0048169C" w:rsidRPr="008A5189" w:rsidRDefault="0048169C" w:rsidP="00C30014">
      <w:pPr>
        <w:pStyle w:val="bullet"/>
        <w:rPr>
          <w:lang w:eastAsia="en-AU"/>
        </w:rPr>
      </w:pPr>
      <w:r w:rsidRPr="008A5189">
        <w:rPr>
          <w:lang w:eastAsia="en-AU"/>
        </w:rPr>
        <w:t>Vitamin M</w:t>
      </w:r>
    </w:p>
    <w:p w14:paraId="3C028A01" w14:textId="77777777" w:rsidR="0048169C" w:rsidRPr="008A5189" w:rsidRDefault="0048169C" w:rsidP="00C30014">
      <w:pPr>
        <w:pStyle w:val="bullet"/>
        <w:rPr>
          <w:lang w:eastAsia="en-AU"/>
        </w:rPr>
      </w:pPr>
      <w:r w:rsidRPr="008A5189">
        <w:rPr>
          <w:lang w:eastAsia="en-AU"/>
        </w:rPr>
        <w:t>Vitamin B9</w:t>
      </w:r>
    </w:p>
    <w:p w14:paraId="48751983" w14:textId="77777777" w:rsidR="0048169C" w:rsidRPr="008A5189" w:rsidRDefault="0048169C" w:rsidP="00C30014">
      <w:pPr>
        <w:pStyle w:val="bullet"/>
        <w:rPr>
          <w:lang w:eastAsia="en-AU"/>
        </w:rPr>
      </w:pPr>
      <w:r w:rsidRPr="008A5189">
        <w:rPr>
          <w:lang w:eastAsia="en-AU"/>
        </w:rPr>
        <w:t>B9, Vitamin</w:t>
      </w:r>
    </w:p>
    <w:p w14:paraId="4F608590" w14:textId="77777777" w:rsidR="0048169C" w:rsidRPr="008A5189" w:rsidRDefault="0048169C" w:rsidP="00C30014">
      <w:pPr>
        <w:pStyle w:val="bullet"/>
        <w:rPr>
          <w:lang w:eastAsia="en-AU"/>
        </w:rPr>
      </w:pPr>
      <w:r w:rsidRPr="008A5189">
        <w:rPr>
          <w:lang w:eastAsia="en-AU"/>
        </w:rPr>
        <w:t>Pteroylglutamic Acid</w:t>
      </w:r>
    </w:p>
    <w:p w14:paraId="44F0D063" w14:textId="77777777" w:rsidR="0048169C" w:rsidRPr="008A5189" w:rsidRDefault="0048169C" w:rsidP="00C30014">
      <w:pPr>
        <w:pStyle w:val="bullet"/>
        <w:rPr>
          <w:lang w:eastAsia="en-AU"/>
        </w:rPr>
      </w:pPr>
      <w:r w:rsidRPr="008A5189">
        <w:rPr>
          <w:lang w:eastAsia="en-AU"/>
        </w:rPr>
        <w:t>Folic Acid, Monopotassium Salt</w:t>
      </w:r>
    </w:p>
    <w:p w14:paraId="65772F18" w14:textId="77777777" w:rsidR="0048169C" w:rsidRPr="008A5189" w:rsidRDefault="0048169C" w:rsidP="00C30014">
      <w:pPr>
        <w:pStyle w:val="bullet"/>
        <w:rPr>
          <w:lang w:eastAsia="en-AU"/>
        </w:rPr>
      </w:pPr>
      <w:r w:rsidRPr="008A5189">
        <w:rPr>
          <w:lang w:eastAsia="en-AU"/>
        </w:rPr>
        <w:t>Folic Acid, Monosodium Salt</w:t>
      </w:r>
    </w:p>
    <w:p w14:paraId="28569059" w14:textId="77777777" w:rsidR="0048169C" w:rsidRPr="008A5189" w:rsidRDefault="0048169C" w:rsidP="00C30014">
      <w:pPr>
        <w:pStyle w:val="bullet"/>
        <w:rPr>
          <w:lang w:eastAsia="en-AU"/>
        </w:rPr>
      </w:pPr>
      <w:r w:rsidRPr="008A5189">
        <w:rPr>
          <w:lang w:eastAsia="en-AU"/>
        </w:rPr>
        <w:t>Folic Acid, Potassium Salt</w:t>
      </w:r>
    </w:p>
    <w:p w14:paraId="1BEC7E00" w14:textId="77777777" w:rsidR="0048169C" w:rsidRPr="008A5189" w:rsidRDefault="0048169C" w:rsidP="00C30014">
      <w:pPr>
        <w:pStyle w:val="bullet"/>
        <w:rPr>
          <w:lang w:eastAsia="en-AU"/>
        </w:rPr>
      </w:pPr>
      <w:r w:rsidRPr="008A5189">
        <w:rPr>
          <w:lang w:eastAsia="en-AU"/>
        </w:rPr>
        <w:t>Folic Acid, (DL)-Isomer</w:t>
      </w:r>
    </w:p>
    <w:p w14:paraId="5AAA8D68" w14:textId="77777777" w:rsidR="0048169C" w:rsidRPr="008A5189" w:rsidRDefault="0048169C" w:rsidP="00C30014">
      <w:pPr>
        <w:pStyle w:val="bullet"/>
        <w:rPr>
          <w:lang w:eastAsia="en-AU"/>
        </w:rPr>
      </w:pPr>
      <w:r w:rsidRPr="008A5189">
        <w:rPr>
          <w:lang w:eastAsia="en-AU"/>
        </w:rPr>
        <w:t>Folvite</w:t>
      </w:r>
    </w:p>
    <w:p w14:paraId="5BFFAC97" w14:textId="77777777" w:rsidR="0048169C" w:rsidRPr="008A5189" w:rsidRDefault="0048169C" w:rsidP="00C30014">
      <w:pPr>
        <w:pStyle w:val="bullet"/>
        <w:rPr>
          <w:lang w:eastAsia="en-AU"/>
        </w:rPr>
      </w:pPr>
      <w:r w:rsidRPr="008A5189">
        <w:rPr>
          <w:lang w:eastAsia="en-AU"/>
        </w:rPr>
        <w:t>Folacin</w:t>
      </w:r>
    </w:p>
    <w:p w14:paraId="7A8D0693" w14:textId="77777777" w:rsidR="0048169C" w:rsidRPr="008A5189" w:rsidRDefault="0048169C" w:rsidP="00C30014">
      <w:pPr>
        <w:pStyle w:val="bullet"/>
        <w:rPr>
          <w:lang w:eastAsia="en-AU"/>
        </w:rPr>
      </w:pPr>
      <w:r w:rsidRPr="008A5189">
        <w:rPr>
          <w:lang w:eastAsia="en-AU"/>
        </w:rPr>
        <w:t>Folate</w:t>
      </w:r>
    </w:p>
    <w:p w14:paraId="0F4240EC" w14:textId="77777777" w:rsidR="0048169C" w:rsidRPr="008A5189" w:rsidRDefault="0048169C" w:rsidP="00C30014">
      <w:pPr>
        <w:pStyle w:val="bullet"/>
        <w:rPr>
          <w:lang w:eastAsia="en-AU"/>
        </w:rPr>
      </w:pPr>
      <w:r w:rsidRPr="008A5189">
        <w:rPr>
          <w:lang w:eastAsia="en-AU"/>
        </w:rPr>
        <w:t>Folic Acid, (D)-Isomer</w:t>
      </w:r>
    </w:p>
    <w:p w14:paraId="7BC15999" w14:textId="77777777" w:rsidR="0048169C" w:rsidRPr="008A5189" w:rsidRDefault="0048169C" w:rsidP="00C30014">
      <w:pPr>
        <w:pStyle w:val="bullet"/>
        <w:rPr>
          <w:lang w:eastAsia="en-AU"/>
        </w:rPr>
      </w:pPr>
      <w:r w:rsidRPr="008A5189">
        <w:rPr>
          <w:lang w:eastAsia="en-AU"/>
        </w:rPr>
        <w:t>Folic Acid, Calcium Salt (1:1)</w:t>
      </w:r>
    </w:p>
    <w:p w14:paraId="439747CE" w14:textId="77777777" w:rsidR="0048169C" w:rsidRPr="008A5189" w:rsidRDefault="0048169C" w:rsidP="00C30014">
      <w:pPr>
        <w:pStyle w:val="bullet"/>
        <w:rPr>
          <w:lang w:eastAsia="en-AU"/>
        </w:rPr>
      </w:pPr>
      <w:r w:rsidRPr="008A5189">
        <w:rPr>
          <w:lang w:eastAsia="en-AU"/>
        </w:rPr>
        <w:t>Folic Acid, Sodium Salt</w:t>
      </w:r>
    </w:p>
    <w:p w14:paraId="3150D81B" w14:textId="77777777" w:rsidR="0048169C" w:rsidRDefault="0048169C" w:rsidP="0048169C">
      <w:pPr>
        <w:rPr>
          <w:b/>
        </w:rPr>
      </w:pPr>
      <w:r>
        <w:rPr>
          <w:b/>
        </w:rPr>
        <w:t>Current search dates:</w:t>
      </w:r>
    </w:p>
    <w:p w14:paraId="057F62E6" w14:textId="77777777" w:rsidR="0048169C" w:rsidRPr="00196D36" w:rsidRDefault="0048169C" w:rsidP="0048169C">
      <w:r>
        <w:t>31-Dec-2012-current</w:t>
      </w:r>
    </w:p>
    <w:tbl>
      <w:tblPr>
        <w:tblStyle w:val="TableGrid"/>
        <w:tblW w:w="0" w:type="auto"/>
        <w:tblLook w:val="04A0" w:firstRow="1" w:lastRow="0" w:firstColumn="1" w:lastColumn="0" w:noHBand="0" w:noVBand="1"/>
      </w:tblPr>
      <w:tblGrid>
        <w:gridCol w:w="979"/>
        <w:gridCol w:w="4441"/>
        <w:gridCol w:w="1031"/>
        <w:gridCol w:w="1236"/>
        <w:gridCol w:w="768"/>
        <w:gridCol w:w="825"/>
      </w:tblGrid>
      <w:tr w:rsidR="0048169C" w:rsidRPr="005B6573" w14:paraId="0262DD19" w14:textId="77777777" w:rsidTr="005B6573">
        <w:trPr>
          <w:tblHeader/>
        </w:trPr>
        <w:tc>
          <w:tcPr>
            <w:tcW w:w="1489" w:type="dxa"/>
          </w:tcPr>
          <w:p w14:paraId="0301B1EE" w14:textId="77777777" w:rsidR="0048169C" w:rsidRPr="005B6573" w:rsidRDefault="0048169C" w:rsidP="007D2AD3">
            <w:pPr>
              <w:pStyle w:val="RCTstable"/>
              <w:rPr>
                <w:b/>
              </w:rPr>
            </w:pPr>
            <w:r w:rsidRPr="005B6573">
              <w:rPr>
                <w:b/>
              </w:rPr>
              <w:t>Database</w:t>
            </w:r>
          </w:p>
        </w:tc>
        <w:tc>
          <w:tcPr>
            <w:tcW w:w="6113" w:type="dxa"/>
          </w:tcPr>
          <w:p w14:paraId="7313968E" w14:textId="77777777" w:rsidR="0048169C" w:rsidRPr="005B6573" w:rsidRDefault="0048169C" w:rsidP="007D2AD3">
            <w:pPr>
              <w:pStyle w:val="RCTstable"/>
              <w:rPr>
                <w:b/>
              </w:rPr>
            </w:pPr>
            <w:r w:rsidRPr="005B6573">
              <w:rPr>
                <w:b/>
              </w:rPr>
              <w:t>Search Strategy</w:t>
            </w:r>
          </w:p>
        </w:tc>
        <w:tc>
          <w:tcPr>
            <w:tcW w:w="1753" w:type="dxa"/>
          </w:tcPr>
          <w:p w14:paraId="5183AE0A" w14:textId="77777777" w:rsidR="0048169C" w:rsidRPr="005B6573" w:rsidRDefault="0048169C" w:rsidP="007D2AD3">
            <w:pPr>
              <w:pStyle w:val="RCTstable"/>
              <w:rPr>
                <w:b/>
              </w:rPr>
            </w:pPr>
            <w:r w:rsidRPr="005B6573">
              <w:rPr>
                <w:b/>
              </w:rPr>
              <w:t>Dates Searched</w:t>
            </w:r>
          </w:p>
        </w:tc>
        <w:tc>
          <w:tcPr>
            <w:tcW w:w="2217" w:type="dxa"/>
          </w:tcPr>
          <w:p w14:paraId="43B88821" w14:textId="77777777" w:rsidR="0048169C" w:rsidRPr="005B6573" w:rsidRDefault="0048169C" w:rsidP="007D2AD3">
            <w:pPr>
              <w:pStyle w:val="RCTstable"/>
              <w:rPr>
                <w:b/>
              </w:rPr>
            </w:pPr>
            <w:r w:rsidRPr="005B6573">
              <w:rPr>
                <w:b/>
              </w:rPr>
              <w:t>Limits set</w:t>
            </w:r>
          </w:p>
        </w:tc>
        <w:tc>
          <w:tcPr>
            <w:tcW w:w="875" w:type="dxa"/>
          </w:tcPr>
          <w:p w14:paraId="194B334E" w14:textId="77777777" w:rsidR="0048169C" w:rsidRPr="005B6573" w:rsidRDefault="0048169C" w:rsidP="007D2AD3">
            <w:pPr>
              <w:pStyle w:val="RCTstable"/>
              <w:rPr>
                <w:b/>
              </w:rPr>
            </w:pPr>
            <w:r w:rsidRPr="005B6573">
              <w:rPr>
                <w:b/>
              </w:rPr>
              <w:t>Results</w:t>
            </w:r>
          </w:p>
        </w:tc>
        <w:tc>
          <w:tcPr>
            <w:tcW w:w="1501" w:type="dxa"/>
          </w:tcPr>
          <w:p w14:paraId="74FBFE97" w14:textId="77777777" w:rsidR="0048169C" w:rsidRPr="005B6573" w:rsidRDefault="0048169C" w:rsidP="007D2AD3">
            <w:pPr>
              <w:pStyle w:val="RCTstable"/>
              <w:rPr>
                <w:b/>
              </w:rPr>
            </w:pPr>
            <w:r w:rsidRPr="005B6573">
              <w:rPr>
                <w:b/>
              </w:rPr>
              <w:t>Date of search</w:t>
            </w:r>
          </w:p>
        </w:tc>
      </w:tr>
      <w:tr w:rsidR="0048169C" w:rsidRPr="007D2AD3" w14:paraId="518AE627" w14:textId="77777777" w:rsidTr="00C30014">
        <w:tc>
          <w:tcPr>
            <w:tcW w:w="1489" w:type="dxa"/>
          </w:tcPr>
          <w:p w14:paraId="25C8AD79" w14:textId="77777777" w:rsidR="0048169C" w:rsidRPr="007D2AD3" w:rsidRDefault="0048169C" w:rsidP="007D2AD3">
            <w:pPr>
              <w:pStyle w:val="RCTstable"/>
            </w:pPr>
            <w:r w:rsidRPr="007D2AD3">
              <w:t>Pubmed</w:t>
            </w:r>
          </w:p>
        </w:tc>
        <w:tc>
          <w:tcPr>
            <w:tcW w:w="6113" w:type="dxa"/>
          </w:tcPr>
          <w:p w14:paraId="1EB3C6F0" w14:textId="77777777" w:rsidR="0048169C" w:rsidRPr="007D2AD3" w:rsidRDefault="0048169C" w:rsidP="007D2AD3">
            <w:pPr>
              <w:pStyle w:val="RCTstable"/>
            </w:pPr>
            <w:r w:rsidRPr="007D2AD3">
              <w:t xml:space="preserve">("pregnancy"[Mesh] OR "pregnan*"[All Fields] OR "prenatal*"[All Fields]) </w:t>
            </w:r>
          </w:p>
          <w:p w14:paraId="71E3B6B5" w14:textId="77777777" w:rsidR="0048169C" w:rsidRPr="007D2AD3" w:rsidRDefault="0048169C" w:rsidP="007D2AD3">
            <w:pPr>
              <w:pStyle w:val="RCTstable"/>
            </w:pPr>
            <w:r w:rsidRPr="007D2AD3">
              <w:t>AND ("Folic Acid"[Mesh] OR "Folic Acid"[Title/Abstract] OR "vitamin M"[Title/Abstract] OR "Vitamin B9"[Title/Abstract] OR "Folate"[Title/Abstract] OR "Folvite"[Title/Abstract] OR "Pteroylglutamic Acid"[Title/Abstract])</w:t>
            </w:r>
          </w:p>
        </w:tc>
        <w:tc>
          <w:tcPr>
            <w:tcW w:w="1753" w:type="dxa"/>
          </w:tcPr>
          <w:p w14:paraId="47E52F92" w14:textId="77777777" w:rsidR="0048169C" w:rsidRPr="007D2AD3" w:rsidRDefault="0048169C" w:rsidP="007D2AD3">
            <w:pPr>
              <w:pStyle w:val="RCTstable"/>
            </w:pPr>
            <w:r w:rsidRPr="007D2AD3">
              <w:t>31-Dec-2012 to 31-Dec-2019</w:t>
            </w:r>
          </w:p>
        </w:tc>
        <w:tc>
          <w:tcPr>
            <w:tcW w:w="2217" w:type="dxa"/>
          </w:tcPr>
          <w:p w14:paraId="3E5ECA95" w14:textId="77777777" w:rsidR="0048169C" w:rsidRPr="007D2AD3" w:rsidRDefault="0048169C" w:rsidP="007D2AD3">
            <w:pPr>
              <w:pStyle w:val="RCTstable"/>
            </w:pPr>
            <w:r w:rsidRPr="007D2AD3">
              <w:t>Human</w:t>
            </w:r>
          </w:p>
          <w:p w14:paraId="558E8819" w14:textId="77777777" w:rsidR="0048169C" w:rsidRPr="007D2AD3" w:rsidRDefault="0048169C" w:rsidP="007D2AD3">
            <w:pPr>
              <w:pStyle w:val="RCTstable"/>
            </w:pPr>
            <w:r w:rsidRPr="007D2AD3">
              <w:t>English Language</w:t>
            </w:r>
          </w:p>
        </w:tc>
        <w:tc>
          <w:tcPr>
            <w:tcW w:w="875" w:type="dxa"/>
          </w:tcPr>
          <w:p w14:paraId="58081C58" w14:textId="77777777" w:rsidR="0048169C" w:rsidRPr="007D2AD3" w:rsidRDefault="0048169C" w:rsidP="007D2AD3">
            <w:pPr>
              <w:pStyle w:val="RCTstable"/>
            </w:pPr>
            <w:r w:rsidRPr="007D2AD3">
              <w:t>1468</w:t>
            </w:r>
          </w:p>
        </w:tc>
        <w:tc>
          <w:tcPr>
            <w:tcW w:w="1501" w:type="dxa"/>
          </w:tcPr>
          <w:p w14:paraId="4A344013" w14:textId="77777777" w:rsidR="0048169C" w:rsidRPr="007D2AD3" w:rsidRDefault="0048169C" w:rsidP="007D2AD3">
            <w:pPr>
              <w:pStyle w:val="RCTstable"/>
            </w:pPr>
            <w:r w:rsidRPr="007D2AD3">
              <w:t>24-June-19</w:t>
            </w:r>
          </w:p>
        </w:tc>
      </w:tr>
      <w:tr w:rsidR="0048169C" w:rsidRPr="007D2AD3" w14:paraId="6C2BAB9A" w14:textId="77777777" w:rsidTr="00C30014">
        <w:tc>
          <w:tcPr>
            <w:tcW w:w="1489" w:type="dxa"/>
          </w:tcPr>
          <w:p w14:paraId="58AC4A6C" w14:textId="77777777" w:rsidR="0048169C" w:rsidRPr="007D2AD3" w:rsidRDefault="0048169C" w:rsidP="007D2AD3">
            <w:pPr>
              <w:pStyle w:val="RCTstable"/>
            </w:pPr>
            <w:r w:rsidRPr="007D2AD3">
              <w:t>Ovid medline</w:t>
            </w:r>
          </w:p>
        </w:tc>
        <w:tc>
          <w:tcPr>
            <w:tcW w:w="6113" w:type="dxa"/>
          </w:tcPr>
          <w:p w14:paraId="64AFEC6C" w14:textId="77777777" w:rsidR="0048169C" w:rsidRPr="007D2AD3" w:rsidRDefault="0048169C" w:rsidP="007D2AD3">
            <w:pPr>
              <w:pStyle w:val="RCTstable"/>
            </w:pPr>
            <w:r w:rsidRPr="007D2AD3">
              <w:t>(exp Folic Acid/ OR (folate or folic acid or Vitamin M or Vitamin B9 or folvite or pteroylglutamic acid).mp.)</w:t>
            </w:r>
          </w:p>
          <w:p w14:paraId="4C0DC73F" w14:textId="77777777" w:rsidR="0048169C" w:rsidRPr="007D2AD3" w:rsidRDefault="0048169C" w:rsidP="007D2AD3">
            <w:pPr>
              <w:pStyle w:val="RCTstable"/>
            </w:pPr>
            <w:r w:rsidRPr="007D2AD3">
              <w:t>AND</w:t>
            </w:r>
          </w:p>
          <w:p w14:paraId="47A197D3" w14:textId="77777777" w:rsidR="0048169C" w:rsidRPr="007D2AD3" w:rsidRDefault="0048169C" w:rsidP="007D2AD3">
            <w:pPr>
              <w:pStyle w:val="RCTstable"/>
            </w:pPr>
            <w:r w:rsidRPr="007D2AD3">
              <w:t>Pregnancy/syn or Pregnan*.mp.</w:t>
            </w:r>
          </w:p>
        </w:tc>
        <w:tc>
          <w:tcPr>
            <w:tcW w:w="1753" w:type="dxa"/>
          </w:tcPr>
          <w:p w14:paraId="1D4A4EA0" w14:textId="77777777" w:rsidR="0048169C" w:rsidRPr="007D2AD3" w:rsidRDefault="0048169C" w:rsidP="007D2AD3">
            <w:pPr>
              <w:pStyle w:val="RCTstable"/>
            </w:pPr>
            <w:r w:rsidRPr="007D2AD3">
              <w:t>2012-Current</w:t>
            </w:r>
          </w:p>
        </w:tc>
        <w:tc>
          <w:tcPr>
            <w:tcW w:w="2217" w:type="dxa"/>
          </w:tcPr>
          <w:p w14:paraId="46B702DA" w14:textId="77777777" w:rsidR="0048169C" w:rsidRPr="007D2AD3" w:rsidRDefault="0048169C" w:rsidP="007D2AD3">
            <w:pPr>
              <w:pStyle w:val="RCTstable"/>
            </w:pPr>
            <w:r w:rsidRPr="007D2AD3">
              <w:t>English Language</w:t>
            </w:r>
          </w:p>
          <w:p w14:paraId="75F53DE8" w14:textId="77777777" w:rsidR="0048169C" w:rsidRPr="007D2AD3" w:rsidRDefault="0048169C" w:rsidP="007D2AD3">
            <w:pPr>
              <w:pStyle w:val="RCTstable"/>
            </w:pPr>
            <w:r w:rsidRPr="007D2AD3">
              <w:t>Human</w:t>
            </w:r>
          </w:p>
        </w:tc>
        <w:tc>
          <w:tcPr>
            <w:tcW w:w="875" w:type="dxa"/>
          </w:tcPr>
          <w:p w14:paraId="5C54EFE1" w14:textId="77777777" w:rsidR="0048169C" w:rsidRPr="007D2AD3" w:rsidRDefault="0048169C" w:rsidP="007D2AD3">
            <w:pPr>
              <w:pStyle w:val="RCTstable"/>
            </w:pPr>
            <w:r w:rsidRPr="007D2AD3">
              <w:t>1829</w:t>
            </w:r>
          </w:p>
        </w:tc>
        <w:tc>
          <w:tcPr>
            <w:tcW w:w="1501" w:type="dxa"/>
          </w:tcPr>
          <w:p w14:paraId="41837BA8" w14:textId="77777777" w:rsidR="0048169C" w:rsidRPr="007D2AD3" w:rsidRDefault="0048169C" w:rsidP="007D2AD3">
            <w:pPr>
              <w:pStyle w:val="RCTstable"/>
            </w:pPr>
            <w:r w:rsidRPr="007D2AD3">
              <w:t>24-June-19</w:t>
            </w:r>
          </w:p>
        </w:tc>
      </w:tr>
      <w:tr w:rsidR="0048169C" w:rsidRPr="007D2AD3" w14:paraId="734F6AD5" w14:textId="77777777" w:rsidTr="00C30014">
        <w:tc>
          <w:tcPr>
            <w:tcW w:w="1489" w:type="dxa"/>
          </w:tcPr>
          <w:p w14:paraId="62632F66" w14:textId="77777777" w:rsidR="0048169C" w:rsidRPr="007D2AD3" w:rsidRDefault="0048169C" w:rsidP="007D2AD3">
            <w:pPr>
              <w:pStyle w:val="RCTstable"/>
            </w:pPr>
            <w:r w:rsidRPr="007D2AD3">
              <w:t>Embase</w:t>
            </w:r>
          </w:p>
        </w:tc>
        <w:tc>
          <w:tcPr>
            <w:tcW w:w="6113" w:type="dxa"/>
          </w:tcPr>
          <w:p w14:paraId="121E5105" w14:textId="77777777" w:rsidR="0048169C" w:rsidRPr="007D2AD3" w:rsidRDefault="0048169C" w:rsidP="007D2AD3">
            <w:pPr>
              <w:pStyle w:val="RCTstable"/>
            </w:pPr>
            <w:r w:rsidRPr="007D2AD3">
              <w:t xml:space="preserve">('pregnancy'/exp  OR pregnan*) </w:t>
            </w:r>
          </w:p>
          <w:p w14:paraId="3016F50C" w14:textId="77777777" w:rsidR="0048169C" w:rsidRPr="007D2AD3" w:rsidRDefault="0048169C" w:rsidP="007D2AD3">
            <w:pPr>
              <w:pStyle w:val="RCTstable"/>
            </w:pPr>
            <w:r w:rsidRPr="007D2AD3">
              <w:t>AND ('folic acid'/exp OR 'vitamin B9' or 'folic acid' OR ‘folate’ OR ‘pteroylglutamic acid’)</w:t>
            </w:r>
          </w:p>
        </w:tc>
        <w:tc>
          <w:tcPr>
            <w:tcW w:w="1753" w:type="dxa"/>
          </w:tcPr>
          <w:p w14:paraId="7BC3AB17" w14:textId="77777777" w:rsidR="0048169C" w:rsidRPr="007D2AD3" w:rsidRDefault="0048169C" w:rsidP="007D2AD3">
            <w:pPr>
              <w:pStyle w:val="RCTstable"/>
            </w:pPr>
            <w:r w:rsidRPr="007D2AD3">
              <w:t>2012-2019</w:t>
            </w:r>
          </w:p>
        </w:tc>
        <w:tc>
          <w:tcPr>
            <w:tcW w:w="2217" w:type="dxa"/>
          </w:tcPr>
          <w:p w14:paraId="1C879A7A" w14:textId="77777777" w:rsidR="0048169C" w:rsidRPr="007D2AD3" w:rsidRDefault="0048169C" w:rsidP="007D2AD3">
            <w:pPr>
              <w:pStyle w:val="RCTstable"/>
            </w:pPr>
            <w:r w:rsidRPr="007D2AD3">
              <w:t>English Language</w:t>
            </w:r>
          </w:p>
          <w:p w14:paraId="193DFD62" w14:textId="77777777" w:rsidR="0048169C" w:rsidRPr="007D2AD3" w:rsidRDefault="0048169C" w:rsidP="007D2AD3">
            <w:pPr>
              <w:pStyle w:val="RCTstable"/>
            </w:pPr>
            <w:r w:rsidRPr="007D2AD3">
              <w:t>Human</w:t>
            </w:r>
          </w:p>
        </w:tc>
        <w:tc>
          <w:tcPr>
            <w:tcW w:w="875" w:type="dxa"/>
          </w:tcPr>
          <w:p w14:paraId="7A2E61E1" w14:textId="77777777" w:rsidR="0048169C" w:rsidRPr="007D2AD3" w:rsidRDefault="0048169C" w:rsidP="007D2AD3">
            <w:pPr>
              <w:pStyle w:val="RCTstable"/>
            </w:pPr>
            <w:r w:rsidRPr="007D2AD3">
              <w:t>4601</w:t>
            </w:r>
          </w:p>
        </w:tc>
        <w:tc>
          <w:tcPr>
            <w:tcW w:w="1501" w:type="dxa"/>
          </w:tcPr>
          <w:p w14:paraId="606DE74D" w14:textId="77777777" w:rsidR="0048169C" w:rsidRPr="007D2AD3" w:rsidRDefault="0048169C" w:rsidP="007D2AD3">
            <w:pPr>
              <w:pStyle w:val="RCTstable"/>
            </w:pPr>
            <w:r w:rsidRPr="007D2AD3">
              <w:t>24-June-19</w:t>
            </w:r>
          </w:p>
        </w:tc>
      </w:tr>
      <w:tr w:rsidR="0048169C" w:rsidRPr="007D2AD3" w14:paraId="48228257" w14:textId="77777777" w:rsidTr="00C30014">
        <w:tc>
          <w:tcPr>
            <w:tcW w:w="1489" w:type="dxa"/>
          </w:tcPr>
          <w:p w14:paraId="48C262DE" w14:textId="77777777" w:rsidR="0048169C" w:rsidRPr="007D2AD3" w:rsidRDefault="0048169C" w:rsidP="007D2AD3">
            <w:pPr>
              <w:pStyle w:val="RCTstable"/>
            </w:pPr>
            <w:r w:rsidRPr="007D2AD3">
              <w:t>CINAHL</w:t>
            </w:r>
          </w:p>
        </w:tc>
        <w:tc>
          <w:tcPr>
            <w:tcW w:w="6113" w:type="dxa"/>
          </w:tcPr>
          <w:p w14:paraId="6457B14B" w14:textId="77777777" w:rsidR="0048169C" w:rsidRPr="007D2AD3" w:rsidRDefault="0048169C" w:rsidP="007D2AD3">
            <w:pPr>
              <w:pStyle w:val="RCTstable"/>
            </w:pPr>
            <w:r w:rsidRPr="007D2AD3">
              <w:t>( (MM "Folic Acid") OR (AB "Folate") OR (AB “Vitamin M”) OR (AB “Vitamin B9”) )</w:t>
            </w:r>
          </w:p>
          <w:p w14:paraId="13397180" w14:textId="77777777" w:rsidR="0048169C" w:rsidRPr="007D2AD3" w:rsidRDefault="0048169C" w:rsidP="007D2AD3">
            <w:pPr>
              <w:pStyle w:val="RCTstable"/>
            </w:pPr>
            <w:r w:rsidRPr="007D2AD3">
              <w:t>AND</w:t>
            </w:r>
          </w:p>
          <w:p w14:paraId="1DC3FA84" w14:textId="77777777" w:rsidR="0048169C" w:rsidRPr="007D2AD3" w:rsidRDefault="0048169C" w:rsidP="007D2AD3">
            <w:pPr>
              <w:pStyle w:val="RCTstable"/>
            </w:pPr>
            <w:r w:rsidRPr="007D2AD3">
              <w:t>( (MH "Pregnancy+") OR (MH "Pregnancy Trimesters+") OR (MM "Prenatal Nutritional Physiology") OR (MM "Prenatal Exposure Delayed Effects") OR ("Pregnan*") )</w:t>
            </w:r>
          </w:p>
        </w:tc>
        <w:tc>
          <w:tcPr>
            <w:tcW w:w="1753" w:type="dxa"/>
          </w:tcPr>
          <w:p w14:paraId="026E6A94" w14:textId="77777777" w:rsidR="0048169C" w:rsidRPr="007D2AD3" w:rsidRDefault="0048169C" w:rsidP="007D2AD3">
            <w:pPr>
              <w:pStyle w:val="RCTstable"/>
            </w:pPr>
            <w:r w:rsidRPr="007D2AD3">
              <w:t>2012-2019</w:t>
            </w:r>
          </w:p>
        </w:tc>
        <w:tc>
          <w:tcPr>
            <w:tcW w:w="2217" w:type="dxa"/>
          </w:tcPr>
          <w:p w14:paraId="60FB7453" w14:textId="77777777" w:rsidR="0048169C" w:rsidRPr="007D2AD3" w:rsidRDefault="0048169C" w:rsidP="007D2AD3">
            <w:pPr>
              <w:pStyle w:val="RCTstable"/>
            </w:pPr>
            <w:r w:rsidRPr="007D2AD3">
              <w:t>English</w:t>
            </w:r>
          </w:p>
        </w:tc>
        <w:tc>
          <w:tcPr>
            <w:tcW w:w="875" w:type="dxa"/>
          </w:tcPr>
          <w:p w14:paraId="29AA75B7" w14:textId="77777777" w:rsidR="0048169C" w:rsidRPr="007D2AD3" w:rsidRDefault="0048169C" w:rsidP="007D2AD3">
            <w:pPr>
              <w:pStyle w:val="RCTstable"/>
            </w:pPr>
            <w:r w:rsidRPr="007D2AD3">
              <w:t>759</w:t>
            </w:r>
          </w:p>
        </w:tc>
        <w:tc>
          <w:tcPr>
            <w:tcW w:w="1501" w:type="dxa"/>
          </w:tcPr>
          <w:p w14:paraId="0B72A4A2" w14:textId="77777777" w:rsidR="0048169C" w:rsidRPr="007D2AD3" w:rsidRDefault="0048169C" w:rsidP="007D2AD3">
            <w:pPr>
              <w:pStyle w:val="RCTstable"/>
            </w:pPr>
            <w:r w:rsidRPr="007D2AD3">
              <w:t>24-June-19</w:t>
            </w:r>
          </w:p>
        </w:tc>
      </w:tr>
      <w:tr w:rsidR="0048169C" w:rsidRPr="007D2AD3" w14:paraId="2967CA82" w14:textId="77777777" w:rsidTr="00C30014">
        <w:tc>
          <w:tcPr>
            <w:tcW w:w="1489" w:type="dxa"/>
          </w:tcPr>
          <w:p w14:paraId="6EEF12E1" w14:textId="77777777" w:rsidR="0048169C" w:rsidRPr="007D2AD3" w:rsidRDefault="0048169C" w:rsidP="007D2AD3">
            <w:pPr>
              <w:pStyle w:val="RCTstable"/>
            </w:pPr>
            <w:r w:rsidRPr="007D2AD3">
              <w:t>SCOPUS</w:t>
            </w:r>
          </w:p>
        </w:tc>
        <w:tc>
          <w:tcPr>
            <w:tcW w:w="6113" w:type="dxa"/>
          </w:tcPr>
          <w:p w14:paraId="6D9582DF" w14:textId="1D2291A7" w:rsidR="0048169C" w:rsidRPr="007D2AD3" w:rsidRDefault="0048169C" w:rsidP="007D2AD3">
            <w:pPr>
              <w:pStyle w:val="RCTstable"/>
            </w:pPr>
            <w:r w:rsidRPr="007D2AD3">
              <w:t>TITLE-ABS-KEY ( ( ( "pregnan*" )  OR  ( prenatal* ) )  AND  ( ( "folic acid" )  OR  ( "folate" ) ) )</w:t>
            </w:r>
          </w:p>
        </w:tc>
        <w:tc>
          <w:tcPr>
            <w:tcW w:w="1753" w:type="dxa"/>
          </w:tcPr>
          <w:p w14:paraId="1BCA921C" w14:textId="77777777" w:rsidR="0048169C" w:rsidRPr="007D2AD3" w:rsidRDefault="0048169C" w:rsidP="007D2AD3">
            <w:pPr>
              <w:pStyle w:val="RCTstable"/>
            </w:pPr>
            <w:r w:rsidRPr="007D2AD3">
              <w:t>2012 - 2019</w:t>
            </w:r>
          </w:p>
        </w:tc>
        <w:tc>
          <w:tcPr>
            <w:tcW w:w="2217" w:type="dxa"/>
          </w:tcPr>
          <w:p w14:paraId="455401A1" w14:textId="77777777" w:rsidR="0048169C" w:rsidRPr="007D2AD3" w:rsidRDefault="0048169C" w:rsidP="007D2AD3">
            <w:pPr>
              <w:pStyle w:val="RCTstable"/>
            </w:pPr>
            <w:r w:rsidRPr="007D2AD3">
              <w:t>English</w:t>
            </w:r>
          </w:p>
        </w:tc>
        <w:tc>
          <w:tcPr>
            <w:tcW w:w="875" w:type="dxa"/>
          </w:tcPr>
          <w:p w14:paraId="42CF65F0" w14:textId="77777777" w:rsidR="0048169C" w:rsidRPr="007D2AD3" w:rsidRDefault="0048169C" w:rsidP="007D2AD3">
            <w:pPr>
              <w:pStyle w:val="RCTstable"/>
            </w:pPr>
            <w:r w:rsidRPr="007D2AD3">
              <w:t>3423</w:t>
            </w:r>
          </w:p>
        </w:tc>
        <w:tc>
          <w:tcPr>
            <w:tcW w:w="1501" w:type="dxa"/>
          </w:tcPr>
          <w:p w14:paraId="298689F8" w14:textId="77777777" w:rsidR="0048169C" w:rsidRPr="007D2AD3" w:rsidRDefault="0048169C" w:rsidP="007D2AD3">
            <w:pPr>
              <w:pStyle w:val="RCTstable"/>
            </w:pPr>
            <w:r w:rsidRPr="007D2AD3">
              <w:t>24-June-19</w:t>
            </w:r>
          </w:p>
        </w:tc>
      </w:tr>
      <w:tr w:rsidR="0048169C" w:rsidRPr="007D2AD3" w14:paraId="02A8FF3C" w14:textId="77777777" w:rsidTr="00C30014">
        <w:tc>
          <w:tcPr>
            <w:tcW w:w="1489" w:type="dxa"/>
          </w:tcPr>
          <w:p w14:paraId="0DD0A7C9" w14:textId="77777777" w:rsidR="0048169C" w:rsidRPr="007D2AD3" w:rsidRDefault="0048169C" w:rsidP="007D2AD3">
            <w:pPr>
              <w:pStyle w:val="RCTstable"/>
            </w:pPr>
            <w:r w:rsidRPr="007D2AD3">
              <w:t>Health Infonet</w:t>
            </w:r>
          </w:p>
        </w:tc>
        <w:tc>
          <w:tcPr>
            <w:tcW w:w="6113" w:type="dxa"/>
          </w:tcPr>
          <w:p w14:paraId="18C1733C" w14:textId="77777777" w:rsidR="0048169C" w:rsidRPr="007D2AD3" w:rsidRDefault="0048169C" w:rsidP="007D2AD3">
            <w:pPr>
              <w:pStyle w:val="RCTstable"/>
            </w:pPr>
            <w:r w:rsidRPr="007D2AD3">
              <w:t>Ascorbic Acid – title and abstract</w:t>
            </w:r>
          </w:p>
          <w:p w14:paraId="506E7487" w14:textId="77777777" w:rsidR="0048169C" w:rsidRPr="007D2AD3" w:rsidRDefault="0048169C" w:rsidP="007D2AD3">
            <w:pPr>
              <w:pStyle w:val="RCTstable"/>
            </w:pPr>
            <w:r w:rsidRPr="007D2AD3">
              <w:t>Pregnancy - keyword</w:t>
            </w:r>
          </w:p>
        </w:tc>
        <w:tc>
          <w:tcPr>
            <w:tcW w:w="1753" w:type="dxa"/>
          </w:tcPr>
          <w:p w14:paraId="38792D92" w14:textId="77777777" w:rsidR="0048169C" w:rsidRPr="007D2AD3" w:rsidRDefault="0048169C" w:rsidP="007D2AD3">
            <w:pPr>
              <w:pStyle w:val="RCTstable"/>
            </w:pPr>
            <w:r w:rsidRPr="007D2AD3">
              <w:t>2012-current = 0</w:t>
            </w:r>
          </w:p>
          <w:p w14:paraId="1BD5FB4E" w14:textId="77777777" w:rsidR="0048169C" w:rsidRPr="007D2AD3" w:rsidRDefault="0048169C" w:rsidP="007D2AD3">
            <w:pPr>
              <w:pStyle w:val="RCTstable"/>
            </w:pPr>
          </w:p>
        </w:tc>
        <w:tc>
          <w:tcPr>
            <w:tcW w:w="2217" w:type="dxa"/>
          </w:tcPr>
          <w:p w14:paraId="7B169AD3" w14:textId="77777777" w:rsidR="0048169C" w:rsidRPr="007D2AD3" w:rsidRDefault="0048169C" w:rsidP="007D2AD3">
            <w:pPr>
              <w:pStyle w:val="RCTstable"/>
            </w:pPr>
            <w:r w:rsidRPr="007D2AD3">
              <w:t>None</w:t>
            </w:r>
          </w:p>
        </w:tc>
        <w:tc>
          <w:tcPr>
            <w:tcW w:w="875" w:type="dxa"/>
          </w:tcPr>
          <w:p w14:paraId="2D3E9966" w14:textId="77777777" w:rsidR="0048169C" w:rsidRPr="007D2AD3" w:rsidRDefault="0048169C" w:rsidP="007D2AD3">
            <w:pPr>
              <w:pStyle w:val="RCTstable"/>
            </w:pPr>
            <w:r w:rsidRPr="007D2AD3">
              <w:t>0</w:t>
            </w:r>
          </w:p>
        </w:tc>
        <w:tc>
          <w:tcPr>
            <w:tcW w:w="1501" w:type="dxa"/>
          </w:tcPr>
          <w:p w14:paraId="558FA490" w14:textId="77777777" w:rsidR="0048169C" w:rsidRPr="007D2AD3" w:rsidRDefault="0048169C" w:rsidP="007D2AD3">
            <w:pPr>
              <w:pStyle w:val="RCTstable"/>
            </w:pPr>
            <w:r w:rsidRPr="007D2AD3">
              <w:t>24-June-19</w:t>
            </w:r>
          </w:p>
        </w:tc>
      </w:tr>
      <w:tr w:rsidR="0048169C" w:rsidRPr="007D2AD3" w14:paraId="7515F926" w14:textId="77777777" w:rsidTr="00C30014">
        <w:tc>
          <w:tcPr>
            <w:tcW w:w="1489" w:type="dxa"/>
          </w:tcPr>
          <w:p w14:paraId="285448E3" w14:textId="77777777" w:rsidR="0048169C" w:rsidRPr="007D2AD3" w:rsidRDefault="0048169C" w:rsidP="007D2AD3">
            <w:pPr>
              <w:pStyle w:val="RCTstable"/>
            </w:pPr>
            <w:r w:rsidRPr="007D2AD3">
              <w:t>Cochrane</w:t>
            </w:r>
          </w:p>
        </w:tc>
        <w:tc>
          <w:tcPr>
            <w:tcW w:w="6113" w:type="dxa"/>
          </w:tcPr>
          <w:p w14:paraId="447CE6C3" w14:textId="77777777" w:rsidR="0048169C" w:rsidRPr="007D2AD3" w:rsidRDefault="0048169C" w:rsidP="007D2AD3">
            <w:pPr>
              <w:pStyle w:val="RCTstable"/>
            </w:pPr>
            <w:r w:rsidRPr="007D2AD3">
              <w:t xml:space="preserve">((MeSH descriptor: [Pregnancy] explode all trees) </w:t>
            </w:r>
          </w:p>
          <w:p w14:paraId="06AD9D76" w14:textId="77777777" w:rsidR="0048169C" w:rsidRPr="007D2AD3" w:rsidRDefault="0048169C" w:rsidP="007D2AD3">
            <w:pPr>
              <w:pStyle w:val="RCTstable"/>
            </w:pPr>
            <w:r w:rsidRPr="007D2AD3">
              <w:t xml:space="preserve">OR (MeSH descriptor: [Pregnant Women] explode all trees) </w:t>
            </w:r>
          </w:p>
          <w:p w14:paraId="4D7E6A71" w14:textId="77777777" w:rsidR="0048169C" w:rsidRPr="007D2AD3" w:rsidRDefault="0048169C" w:rsidP="007D2AD3">
            <w:pPr>
              <w:pStyle w:val="RCTstable"/>
            </w:pPr>
            <w:r w:rsidRPr="007D2AD3">
              <w:t xml:space="preserve">OR ‘pregnan*’) </w:t>
            </w:r>
          </w:p>
          <w:p w14:paraId="05C66232" w14:textId="77777777" w:rsidR="0048169C" w:rsidRPr="007D2AD3" w:rsidRDefault="0048169C" w:rsidP="007D2AD3">
            <w:pPr>
              <w:pStyle w:val="RCTstable"/>
            </w:pPr>
            <w:r w:rsidRPr="007D2AD3">
              <w:t>AND</w:t>
            </w:r>
          </w:p>
          <w:p w14:paraId="26B1D648" w14:textId="77777777" w:rsidR="0048169C" w:rsidRPr="007D2AD3" w:rsidRDefault="0048169C" w:rsidP="007D2AD3">
            <w:pPr>
              <w:pStyle w:val="RCTstable"/>
            </w:pPr>
            <w:r w:rsidRPr="007D2AD3">
              <w:t>(Folate OR (Folic NEXT Acid) OR (Vitamin NEXT M) OR (Vitamin NEXT B9) OR (MeSH descriptor: [Folic Acid] explode all trees))</w:t>
            </w:r>
          </w:p>
        </w:tc>
        <w:tc>
          <w:tcPr>
            <w:tcW w:w="1753" w:type="dxa"/>
          </w:tcPr>
          <w:p w14:paraId="0F7651E4" w14:textId="77777777" w:rsidR="0048169C" w:rsidRPr="007D2AD3" w:rsidRDefault="0048169C" w:rsidP="007D2AD3">
            <w:pPr>
              <w:pStyle w:val="RCTstable"/>
            </w:pPr>
            <w:r w:rsidRPr="007D2AD3">
              <w:t>Dec 2012 to Dec 2019</w:t>
            </w:r>
          </w:p>
        </w:tc>
        <w:tc>
          <w:tcPr>
            <w:tcW w:w="2217" w:type="dxa"/>
          </w:tcPr>
          <w:p w14:paraId="4930411D" w14:textId="77777777" w:rsidR="0048169C" w:rsidRPr="007D2AD3" w:rsidRDefault="0048169C" w:rsidP="007D2AD3">
            <w:pPr>
              <w:pStyle w:val="RCTstable"/>
            </w:pPr>
            <w:r w:rsidRPr="007D2AD3">
              <w:t>Reviews: 95</w:t>
            </w:r>
          </w:p>
          <w:p w14:paraId="5B3ED298" w14:textId="77777777" w:rsidR="0048169C" w:rsidRPr="007D2AD3" w:rsidRDefault="0048169C" w:rsidP="007D2AD3">
            <w:pPr>
              <w:pStyle w:val="RCTstable"/>
            </w:pPr>
            <w:r w:rsidRPr="007D2AD3">
              <w:t>Protocols: 21</w:t>
            </w:r>
          </w:p>
          <w:p w14:paraId="142201FD" w14:textId="77777777" w:rsidR="0048169C" w:rsidRPr="007D2AD3" w:rsidRDefault="0048169C" w:rsidP="007D2AD3">
            <w:pPr>
              <w:pStyle w:val="RCTstable"/>
            </w:pPr>
            <w:r w:rsidRPr="007D2AD3">
              <w:t>Trials: 717</w:t>
            </w:r>
          </w:p>
          <w:p w14:paraId="77B3088B" w14:textId="77777777" w:rsidR="0048169C" w:rsidRPr="007D2AD3" w:rsidRDefault="0048169C" w:rsidP="007D2AD3">
            <w:pPr>
              <w:pStyle w:val="RCTstable"/>
            </w:pPr>
            <w:r w:rsidRPr="007D2AD3">
              <w:t>Spec. Collections: 1</w:t>
            </w:r>
          </w:p>
          <w:p w14:paraId="2A5BC132" w14:textId="77777777" w:rsidR="0048169C" w:rsidRPr="007D2AD3" w:rsidRDefault="0048169C" w:rsidP="007D2AD3">
            <w:pPr>
              <w:pStyle w:val="RCTstable"/>
            </w:pPr>
            <w:r w:rsidRPr="007D2AD3">
              <w:t>Answers: 18</w:t>
            </w:r>
          </w:p>
        </w:tc>
        <w:tc>
          <w:tcPr>
            <w:tcW w:w="875" w:type="dxa"/>
          </w:tcPr>
          <w:p w14:paraId="1D0F6904" w14:textId="77777777" w:rsidR="0048169C" w:rsidRPr="007D2AD3" w:rsidRDefault="0048169C" w:rsidP="007D2AD3">
            <w:pPr>
              <w:pStyle w:val="RCTstable"/>
            </w:pPr>
            <w:r w:rsidRPr="007D2AD3">
              <w:t>852</w:t>
            </w:r>
          </w:p>
        </w:tc>
        <w:tc>
          <w:tcPr>
            <w:tcW w:w="1501" w:type="dxa"/>
          </w:tcPr>
          <w:p w14:paraId="733C8DB9" w14:textId="77777777" w:rsidR="0048169C" w:rsidRPr="007D2AD3" w:rsidRDefault="0048169C" w:rsidP="007D2AD3">
            <w:pPr>
              <w:pStyle w:val="RCTstable"/>
            </w:pPr>
            <w:r w:rsidRPr="007D2AD3">
              <w:t>24-June-19</w:t>
            </w:r>
          </w:p>
        </w:tc>
      </w:tr>
    </w:tbl>
    <w:bookmarkEnd w:id="248"/>
    <w:p w14:paraId="1F88A146" w14:textId="2C4AD210" w:rsidR="00C723AF" w:rsidRDefault="00C723AF" w:rsidP="00320FB8">
      <w:pPr>
        <w:pStyle w:val="Figure"/>
        <w:spacing w:before="240"/>
        <w:jc w:val="center"/>
      </w:pPr>
      <w:r>
        <w:rPr>
          <w:noProof/>
          <w:lang w:val="en-AU" w:eastAsia="en-AU"/>
        </w:rPr>
        <w:drawing>
          <wp:inline distT="0" distB="0" distL="0" distR="0" wp14:anchorId="4D696F80" wp14:editId="4C1407F1">
            <wp:extent cx="4636484" cy="5433444"/>
            <wp:effectExtent l="0" t="0" r="1206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olic acid.png"/>
                    <pic:cNvPicPr/>
                  </pic:nvPicPr>
                  <pic:blipFill>
                    <a:blip r:embed="rId16">
                      <a:extLst>
                        <a:ext uri="{28A0092B-C50C-407E-A947-70E740481C1C}">
                          <a14:useLocalDpi xmlns:a14="http://schemas.microsoft.com/office/drawing/2010/main" val="0"/>
                        </a:ext>
                      </a:extLst>
                    </a:blip>
                    <a:stretch>
                      <a:fillRect/>
                    </a:stretch>
                  </pic:blipFill>
                  <pic:spPr>
                    <a:xfrm>
                      <a:off x="0" y="0"/>
                      <a:ext cx="4649678" cy="5448906"/>
                    </a:xfrm>
                    <a:prstGeom prst="rect">
                      <a:avLst/>
                    </a:prstGeom>
                  </pic:spPr>
                </pic:pic>
              </a:graphicData>
            </a:graphic>
          </wp:inline>
        </w:drawing>
      </w:r>
    </w:p>
    <w:p w14:paraId="2EFD8485" w14:textId="55500B2F" w:rsidR="00C723AF" w:rsidRDefault="00C723AF" w:rsidP="00C723AF">
      <w:pPr>
        <w:pStyle w:val="Figurename"/>
      </w:pPr>
      <w:r>
        <w:t>PRISMA diagram: Folic acid</w:t>
      </w:r>
    </w:p>
    <w:p w14:paraId="7BAB4C96" w14:textId="795478E1" w:rsidR="00C30014" w:rsidRPr="00196D36" w:rsidRDefault="00C30014" w:rsidP="00C30014">
      <w:pPr>
        <w:pStyle w:val="Heading4"/>
      </w:pPr>
      <w:r>
        <w:t>Vitamin B supplementation during pregnancy</w:t>
      </w:r>
      <w:r w:rsidR="000D04A0">
        <w:t xml:space="preserve"> (research question 3)</w:t>
      </w:r>
    </w:p>
    <w:p w14:paraId="00AD31CF" w14:textId="77777777" w:rsidR="00C30014" w:rsidRDefault="00C30014" w:rsidP="00C30014">
      <w:pPr>
        <w:rPr>
          <w:b/>
        </w:rPr>
      </w:pPr>
      <w:r>
        <w:rPr>
          <w:b/>
        </w:rPr>
        <w:t>Current search dates:</w:t>
      </w:r>
    </w:p>
    <w:p w14:paraId="0F5C939D" w14:textId="77777777" w:rsidR="00C30014" w:rsidRPr="00196D36" w:rsidRDefault="00C30014" w:rsidP="00C30014">
      <w:r>
        <w:t>All</w:t>
      </w:r>
    </w:p>
    <w:tbl>
      <w:tblPr>
        <w:tblStyle w:val="TableGrid"/>
        <w:tblW w:w="9609" w:type="dxa"/>
        <w:tblLayout w:type="fixed"/>
        <w:tblLook w:val="04A0" w:firstRow="1" w:lastRow="0" w:firstColumn="1" w:lastColumn="0" w:noHBand="0" w:noVBand="1"/>
      </w:tblPr>
      <w:tblGrid>
        <w:gridCol w:w="1245"/>
        <w:gridCol w:w="3686"/>
        <w:gridCol w:w="1559"/>
        <w:gridCol w:w="851"/>
        <w:gridCol w:w="992"/>
        <w:gridCol w:w="1276"/>
      </w:tblGrid>
      <w:tr w:rsidR="00A1121F" w:rsidRPr="007D2AD3" w14:paraId="3539DCB1" w14:textId="77777777" w:rsidTr="001F7520">
        <w:trPr>
          <w:tblHeader/>
        </w:trPr>
        <w:tc>
          <w:tcPr>
            <w:tcW w:w="1245" w:type="dxa"/>
          </w:tcPr>
          <w:p w14:paraId="6D97B777" w14:textId="77777777" w:rsidR="00C30014" w:rsidRPr="007D2AD3" w:rsidRDefault="00C30014" w:rsidP="007D2AD3">
            <w:pPr>
              <w:pStyle w:val="RCTstable"/>
              <w:rPr>
                <w:b/>
              </w:rPr>
            </w:pPr>
            <w:bookmarkStart w:id="249" w:name="_Hlk14443277"/>
            <w:bookmarkStart w:id="250" w:name="_Hlk20732532"/>
            <w:r w:rsidRPr="007D2AD3">
              <w:rPr>
                <w:b/>
              </w:rPr>
              <w:t>Database</w:t>
            </w:r>
          </w:p>
        </w:tc>
        <w:tc>
          <w:tcPr>
            <w:tcW w:w="3686" w:type="dxa"/>
          </w:tcPr>
          <w:p w14:paraId="706635DE" w14:textId="77777777" w:rsidR="00C30014" w:rsidRPr="007D2AD3" w:rsidRDefault="00C30014" w:rsidP="007D2AD3">
            <w:pPr>
              <w:pStyle w:val="RCTstable"/>
              <w:rPr>
                <w:b/>
              </w:rPr>
            </w:pPr>
            <w:r w:rsidRPr="007D2AD3">
              <w:rPr>
                <w:b/>
              </w:rPr>
              <w:t>Search Strategy</w:t>
            </w:r>
          </w:p>
        </w:tc>
        <w:tc>
          <w:tcPr>
            <w:tcW w:w="1559" w:type="dxa"/>
          </w:tcPr>
          <w:p w14:paraId="1C2D81F5" w14:textId="77777777" w:rsidR="00C30014" w:rsidRPr="007D2AD3" w:rsidRDefault="00C30014" w:rsidP="007D2AD3">
            <w:pPr>
              <w:pStyle w:val="RCTstable"/>
              <w:rPr>
                <w:b/>
              </w:rPr>
            </w:pPr>
            <w:r w:rsidRPr="007D2AD3">
              <w:rPr>
                <w:b/>
              </w:rPr>
              <w:t>Dates Searched</w:t>
            </w:r>
          </w:p>
        </w:tc>
        <w:tc>
          <w:tcPr>
            <w:tcW w:w="851" w:type="dxa"/>
          </w:tcPr>
          <w:p w14:paraId="18DF54AB" w14:textId="77777777" w:rsidR="00C30014" w:rsidRPr="007D2AD3" w:rsidRDefault="00C30014" w:rsidP="007D2AD3">
            <w:pPr>
              <w:pStyle w:val="RCTstable"/>
              <w:rPr>
                <w:b/>
              </w:rPr>
            </w:pPr>
            <w:r w:rsidRPr="007D2AD3">
              <w:rPr>
                <w:b/>
              </w:rPr>
              <w:t>Limits set</w:t>
            </w:r>
          </w:p>
        </w:tc>
        <w:tc>
          <w:tcPr>
            <w:tcW w:w="992" w:type="dxa"/>
          </w:tcPr>
          <w:p w14:paraId="4ABFF498" w14:textId="77777777" w:rsidR="00C30014" w:rsidRPr="007D2AD3" w:rsidRDefault="00C30014" w:rsidP="007D2AD3">
            <w:pPr>
              <w:pStyle w:val="RCTstable"/>
              <w:rPr>
                <w:b/>
              </w:rPr>
            </w:pPr>
            <w:r w:rsidRPr="007D2AD3">
              <w:rPr>
                <w:b/>
              </w:rPr>
              <w:t>Results</w:t>
            </w:r>
          </w:p>
        </w:tc>
        <w:tc>
          <w:tcPr>
            <w:tcW w:w="1276" w:type="dxa"/>
          </w:tcPr>
          <w:p w14:paraId="41174834" w14:textId="77777777" w:rsidR="00C30014" w:rsidRPr="007D2AD3" w:rsidRDefault="00C30014" w:rsidP="007D2AD3">
            <w:pPr>
              <w:pStyle w:val="RCTstable"/>
              <w:rPr>
                <w:b/>
              </w:rPr>
            </w:pPr>
            <w:r w:rsidRPr="007D2AD3">
              <w:rPr>
                <w:b/>
              </w:rPr>
              <w:t>Date of search</w:t>
            </w:r>
          </w:p>
        </w:tc>
      </w:tr>
      <w:tr w:rsidR="00A1121F" w:rsidRPr="007D2AD3" w14:paraId="04BD220C" w14:textId="77777777" w:rsidTr="00A1121F">
        <w:tc>
          <w:tcPr>
            <w:tcW w:w="1245" w:type="dxa"/>
          </w:tcPr>
          <w:p w14:paraId="07D43810" w14:textId="77777777" w:rsidR="00C30014" w:rsidRPr="007D2AD3" w:rsidRDefault="00C30014" w:rsidP="007D2AD3">
            <w:pPr>
              <w:pStyle w:val="RCTstable"/>
            </w:pPr>
            <w:r w:rsidRPr="007D2AD3">
              <w:t>Pubmed</w:t>
            </w:r>
          </w:p>
        </w:tc>
        <w:tc>
          <w:tcPr>
            <w:tcW w:w="3686" w:type="dxa"/>
          </w:tcPr>
          <w:p w14:paraId="73777568" w14:textId="77777777" w:rsidR="00C30014" w:rsidRPr="007D2AD3" w:rsidRDefault="00C30014" w:rsidP="007D2AD3">
            <w:pPr>
              <w:pStyle w:val="RCTstable"/>
            </w:pPr>
            <w:r w:rsidRPr="007D2AD3">
              <w:t>(((("pregnancy"[Mesh]) OR ("pregnan*"[All Fields]) OR ("prenatal*"[All Fields])))) AND ((("Vitamin B Complex"[Mesh]) OR ("Vitamin" NEXT "B") OR ("Vitamin B Deficiency"[Mesh]) OR ("Vitamin B 6"[Mesh]) OR ("Vitamin B 12"[Mesh]) OR ("Nicotamin") OR ("Pantothenic" NEXT “acid”) OR ("biotin")))</w:t>
            </w:r>
          </w:p>
        </w:tc>
        <w:tc>
          <w:tcPr>
            <w:tcW w:w="1559" w:type="dxa"/>
          </w:tcPr>
          <w:p w14:paraId="48E00E71" w14:textId="77777777" w:rsidR="00C30014" w:rsidRPr="007D2AD3" w:rsidRDefault="00C30014" w:rsidP="007D2AD3">
            <w:pPr>
              <w:pStyle w:val="RCTstable"/>
            </w:pPr>
            <w:r w:rsidRPr="007D2AD3">
              <w:t>2014 to 30-sep-19</w:t>
            </w:r>
          </w:p>
        </w:tc>
        <w:tc>
          <w:tcPr>
            <w:tcW w:w="851" w:type="dxa"/>
          </w:tcPr>
          <w:p w14:paraId="5696E209" w14:textId="77777777" w:rsidR="00C30014" w:rsidRPr="007D2AD3" w:rsidRDefault="00C30014" w:rsidP="007D2AD3">
            <w:pPr>
              <w:pStyle w:val="RCTstable"/>
            </w:pPr>
            <w:r w:rsidRPr="007D2AD3">
              <w:t>Human</w:t>
            </w:r>
          </w:p>
          <w:p w14:paraId="756A5D11" w14:textId="77777777" w:rsidR="00C30014" w:rsidRPr="007D2AD3" w:rsidRDefault="00C30014" w:rsidP="007D2AD3">
            <w:pPr>
              <w:pStyle w:val="RCTstable"/>
            </w:pPr>
            <w:r w:rsidRPr="007D2AD3">
              <w:t>English</w:t>
            </w:r>
          </w:p>
          <w:p w14:paraId="0C81414D" w14:textId="77777777" w:rsidR="00C30014" w:rsidRPr="007D2AD3" w:rsidRDefault="00C30014" w:rsidP="007D2AD3">
            <w:pPr>
              <w:pStyle w:val="RCTstable"/>
            </w:pPr>
          </w:p>
        </w:tc>
        <w:tc>
          <w:tcPr>
            <w:tcW w:w="992" w:type="dxa"/>
          </w:tcPr>
          <w:p w14:paraId="55B2DEA5" w14:textId="77777777" w:rsidR="00C30014" w:rsidRPr="007D2AD3" w:rsidRDefault="00C30014" w:rsidP="007D2AD3">
            <w:pPr>
              <w:pStyle w:val="RCTstable"/>
            </w:pPr>
            <w:r w:rsidRPr="007D2AD3">
              <w:t>473</w:t>
            </w:r>
          </w:p>
        </w:tc>
        <w:tc>
          <w:tcPr>
            <w:tcW w:w="1276" w:type="dxa"/>
          </w:tcPr>
          <w:p w14:paraId="4A143835" w14:textId="77777777" w:rsidR="00C30014" w:rsidRPr="007D2AD3" w:rsidRDefault="00C30014" w:rsidP="007D2AD3">
            <w:pPr>
              <w:pStyle w:val="RCTstable"/>
            </w:pPr>
            <w:r w:rsidRPr="007D2AD3">
              <w:t>5-Oct-19</w:t>
            </w:r>
          </w:p>
        </w:tc>
      </w:tr>
      <w:bookmarkEnd w:id="249"/>
      <w:tr w:rsidR="00A1121F" w:rsidRPr="007D2AD3" w14:paraId="44DD8580" w14:textId="77777777" w:rsidTr="00A1121F">
        <w:tc>
          <w:tcPr>
            <w:tcW w:w="1245" w:type="dxa"/>
          </w:tcPr>
          <w:p w14:paraId="66CFE333" w14:textId="77777777" w:rsidR="00C30014" w:rsidRPr="007D2AD3" w:rsidRDefault="00C30014" w:rsidP="007D2AD3">
            <w:pPr>
              <w:pStyle w:val="RCTstable"/>
            </w:pPr>
            <w:r w:rsidRPr="007D2AD3">
              <w:t>Ovid medline</w:t>
            </w:r>
          </w:p>
        </w:tc>
        <w:tc>
          <w:tcPr>
            <w:tcW w:w="3686" w:type="dxa"/>
          </w:tcPr>
          <w:p w14:paraId="504C083F" w14:textId="77777777" w:rsidR="00C30014" w:rsidRPr="007D2AD3" w:rsidRDefault="00C30014" w:rsidP="007D2AD3">
            <w:pPr>
              <w:pStyle w:val="RCTstable"/>
            </w:pPr>
            <w:r w:rsidRPr="007D2AD3">
              <w:t>(Pregnan* and Vitamin B).mp.</w:t>
            </w:r>
          </w:p>
        </w:tc>
        <w:tc>
          <w:tcPr>
            <w:tcW w:w="1559" w:type="dxa"/>
          </w:tcPr>
          <w:p w14:paraId="0FE5483C" w14:textId="77777777" w:rsidR="00C30014" w:rsidRPr="007D2AD3" w:rsidRDefault="00C30014" w:rsidP="007D2AD3">
            <w:pPr>
              <w:pStyle w:val="RCTstable"/>
            </w:pPr>
            <w:r w:rsidRPr="007D2AD3">
              <w:t>2014-30-Sep-19</w:t>
            </w:r>
          </w:p>
        </w:tc>
        <w:tc>
          <w:tcPr>
            <w:tcW w:w="851" w:type="dxa"/>
          </w:tcPr>
          <w:p w14:paraId="6A10D620" w14:textId="77777777" w:rsidR="00C30014" w:rsidRPr="007D2AD3" w:rsidRDefault="00C30014" w:rsidP="007D2AD3">
            <w:pPr>
              <w:pStyle w:val="RCTstable"/>
            </w:pPr>
            <w:r w:rsidRPr="007D2AD3">
              <w:t>English Language</w:t>
            </w:r>
          </w:p>
          <w:p w14:paraId="22F36989" w14:textId="77777777" w:rsidR="00C30014" w:rsidRPr="007D2AD3" w:rsidRDefault="00C30014" w:rsidP="007D2AD3">
            <w:pPr>
              <w:pStyle w:val="RCTstable"/>
            </w:pPr>
            <w:r w:rsidRPr="007D2AD3">
              <w:t>Human</w:t>
            </w:r>
          </w:p>
        </w:tc>
        <w:tc>
          <w:tcPr>
            <w:tcW w:w="992" w:type="dxa"/>
          </w:tcPr>
          <w:p w14:paraId="6F24736D" w14:textId="77777777" w:rsidR="00C30014" w:rsidRPr="007D2AD3" w:rsidRDefault="00C30014" w:rsidP="007D2AD3">
            <w:pPr>
              <w:pStyle w:val="RCTstable"/>
            </w:pPr>
            <w:r w:rsidRPr="007D2AD3">
              <w:t>363</w:t>
            </w:r>
          </w:p>
        </w:tc>
        <w:tc>
          <w:tcPr>
            <w:tcW w:w="1276" w:type="dxa"/>
          </w:tcPr>
          <w:p w14:paraId="646D0173" w14:textId="77777777" w:rsidR="00C30014" w:rsidRPr="007D2AD3" w:rsidRDefault="00C30014" w:rsidP="007D2AD3">
            <w:pPr>
              <w:pStyle w:val="RCTstable"/>
            </w:pPr>
            <w:r w:rsidRPr="007D2AD3">
              <w:t>30-sep-19</w:t>
            </w:r>
          </w:p>
        </w:tc>
      </w:tr>
      <w:tr w:rsidR="00A1121F" w:rsidRPr="007D2AD3" w14:paraId="24097DDF" w14:textId="77777777" w:rsidTr="00A1121F">
        <w:tc>
          <w:tcPr>
            <w:tcW w:w="1245" w:type="dxa"/>
          </w:tcPr>
          <w:p w14:paraId="0157487C" w14:textId="77777777" w:rsidR="00C30014" w:rsidRPr="007D2AD3" w:rsidRDefault="00C30014" w:rsidP="007D2AD3">
            <w:pPr>
              <w:pStyle w:val="RCTstable"/>
            </w:pPr>
            <w:r w:rsidRPr="007D2AD3">
              <w:t>Embase</w:t>
            </w:r>
          </w:p>
        </w:tc>
        <w:tc>
          <w:tcPr>
            <w:tcW w:w="3686" w:type="dxa"/>
          </w:tcPr>
          <w:p w14:paraId="0C846D61" w14:textId="77777777" w:rsidR="00C30014" w:rsidRPr="007D2AD3" w:rsidRDefault="00C30014" w:rsidP="007D2AD3">
            <w:pPr>
              <w:pStyle w:val="RCTstable"/>
            </w:pPr>
            <w:r w:rsidRPr="007D2AD3">
              <w:t>('pregnancy'/exp OR 'pregnan*') AND ('biotin derivative'/exp OR 'nicotinamide'/exp OR 'pantothenic acid'/exp OR 'vitamin B complex'/exp) AND [2014-2019]/py AND [humans]/lim AND [english]/lim</w:t>
            </w:r>
          </w:p>
        </w:tc>
        <w:tc>
          <w:tcPr>
            <w:tcW w:w="1559" w:type="dxa"/>
          </w:tcPr>
          <w:p w14:paraId="4F64DBC9" w14:textId="77777777" w:rsidR="00C30014" w:rsidRPr="007D2AD3" w:rsidRDefault="00C30014" w:rsidP="007D2AD3">
            <w:pPr>
              <w:pStyle w:val="RCTstable"/>
            </w:pPr>
            <w:r w:rsidRPr="007D2AD3">
              <w:t>2014 to 30-sep-19</w:t>
            </w:r>
          </w:p>
        </w:tc>
        <w:tc>
          <w:tcPr>
            <w:tcW w:w="851" w:type="dxa"/>
          </w:tcPr>
          <w:p w14:paraId="6B50802D" w14:textId="77777777" w:rsidR="00C30014" w:rsidRPr="007D2AD3" w:rsidRDefault="00C30014" w:rsidP="007D2AD3">
            <w:pPr>
              <w:pStyle w:val="RCTstable"/>
            </w:pPr>
            <w:r w:rsidRPr="007D2AD3">
              <w:t>English Language</w:t>
            </w:r>
          </w:p>
          <w:p w14:paraId="0A5231E4" w14:textId="77777777" w:rsidR="00C30014" w:rsidRPr="007D2AD3" w:rsidRDefault="00C30014" w:rsidP="007D2AD3">
            <w:pPr>
              <w:pStyle w:val="RCTstable"/>
            </w:pPr>
            <w:r w:rsidRPr="007D2AD3">
              <w:t>Human</w:t>
            </w:r>
          </w:p>
        </w:tc>
        <w:tc>
          <w:tcPr>
            <w:tcW w:w="992" w:type="dxa"/>
          </w:tcPr>
          <w:p w14:paraId="0E50AEE7" w14:textId="77777777" w:rsidR="00C30014" w:rsidRPr="007D2AD3" w:rsidRDefault="00C30014" w:rsidP="007D2AD3">
            <w:pPr>
              <w:pStyle w:val="RCTstable"/>
            </w:pPr>
            <w:r w:rsidRPr="007D2AD3">
              <w:t>199</w:t>
            </w:r>
          </w:p>
        </w:tc>
        <w:tc>
          <w:tcPr>
            <w:tcW w:w="1276" w:type="dxa"/>
          </w:tcPr>
          <w:p w14:paraId="48529ACD" w14:textId="77777777" w:rsidR="00C30014" w:rsidRPr="007D2AD3" w:rsidRDefault="00C30014" w:rsidP="007D2AD3">
            <w:pPr>
              <w:pStyle w:val="RCTstable"/>
            </w:pPr>
            <w:r w:rsidRPr="007D2AD3">
              <w:t>5-Oct-19</w:t>
            </w:r>
          </w:p>
        </w:tc>
      </w:tr>
      <w:bookmarkEnd w:id="250"/>
      <w:tr w:rsidR="00A1121F" w:rsidRPr="007D2AD3" w14:paraId="416578FE" w14:textId="77777777" w:rsidTr="00A1121F">
        <w:tc>
          <w:tcPr>
            <w:tcW w:w="1245" w:type="dxa"/>
          </w:tcPr>
          <w:p w14:paraId="1B2E8DDC" w14:textId="77777777" w:rsidR="00C30014" w:rsidRPr="007D2AD3" w:rsidRDefault="00C30014" w:rsidP="007D2AD3">
            <w:pPr>
              <w:pStyle w:val="RCTstable"/>
            </w:pPr>
            <w:r w:rsidRPr="007D2AD3">
              <w:t>CINAHL</w:t>
            </w:r>
          </w:p>
        </w:tc>
        <w:tc>
          <w:tcPr>
            <w:tcW w:w="3686" w:type="dxa"/>
          </w:tcPr>
          <w:p w14:paraId="6404ED16" w14:textId="77777777" w:rsidR="00C30014" w:rsidRPr="007D2AD3" w:rsidRDefault="00C30014" w:rsidP="007D2AD3">
            <w:pPr>
              <w:pStyle w:val="RCTstable"/>
            </w:pPr>
            <w:r w:rsidRPr="007D2AD3">
              <w:t xml:space="preserve">( (MH "Pregnancy+") OR (MH "Pregnancy Trimesters+") OR (MM "Prenatal Nutritional Physiology") OR (MM "Prenatal Exposure Delayed Effects") OR ("Pregnan*") ) </w:t>
            </w:r>
          </w:p>
          <w:p w14:paraId="2C085FBA" w14:textId="77777777" w:rsidR="00C30014" w:rsidRPr="007D2AD3" w:rsidRDefault="00C30014" w:rsidP="007D2AD3">
            <w:pPr>
              <w:pStyle w:val="RCTstable"/>
            </w:pPr>
            <w:r w:rsidRPr="007D2AD3">
              <w:t xml:space="preserve">AND </w:t>
            </w:r>
          </w:p>
          <w:p w14:paraId="584D2A47" w14:textId="77777777" w:rsidR="00C30014" w:rsidRPr="007D2AD3" w:rsidRDefault="00C30014" w:rsidP="007D2AD3">
            <w:pPr>
              <w:pStyle w:val="RCTstable"/>
            </w:pPr>
            <w:r w:rsidRPr="007D2AD3">
              <w:t>(MH "Vitamin B Complex+") OR (MM "Pantothenic Acid") OR "vitamin B" OR (MH "Vitamin B Deficiency+") OR (MM "Vitamin B6 Deficiency") OR (MH "Vitamin B12 Deficiency+")</w:t>
            </w:r>
          </w:p>
          <w:p w14:paraId="235BB91E" w14:textId="77777777" w:rsidR="00C30014" w:rsidRPr="007D2AD3" w:rsidRDefault="00C30014" w:rsidP="007D2AD3">
            <w:pPr>
              <w:pStyle w:val="RCTstable"/>
            </w:pPr>
          </w:p>
        </w:tc>
        <w:tc>
          <w:tcPr>
            <w:tcW w:w="1559" w:type="dxa"/>
          </w:tcPr>
          <w:p w14:paraId="10D966C7" w14:textId="77777777" w:rsidR="00C30014" w:rsidRPr="007D2AD3" w:rsidRDefault="00C30014" w:rsidP="007D2AD3">
            <w:pPr>
              <w:pStyle w:val="RCTstable"/>
            </w:pPr>
            <w:r w:rsidRPr="007D2AD3">
              <w:t>2014 to 30-Sep-19</w:t>
            </w:r>
          </w:p>
        </w:tc>
        <w:tc>
          <w:tcPr>
            <w:tcW w:w="851" w:type="dxa"/>
          </w:tcPr>
          <w:p w14:paraId="7F48A094" w14:textId="77777777" w:rsidR="00C30014" w:rsidRPr="007D2AD3" w:rsidRDefault="00C30014" w:rsidP="007D2AD3">
            <w:pPr>
              <w:pStyle w:val="RCTstable"/>
            </w:pPr>
            <w:r w:rsidRPr="007D2AD3">
              <w:t>English</w:t>
            </w:r>
          </w:p>
        </w:tc>
        <w:tc>
          <w:tcPr>
            <w:tcW w:w="992" w:type="dxa"/>
          </w:tcPr>
          <w:p w14:paraId="20454820" w14:textId="77777777" w:rsidR="00C30014" w:rsidRPr="007D2AD3" w:rsidRDefault="00C30014" w:rsidP="007D2AD3">
            <w:pPr>
              <w:pStyle w:val="RCTstable"/>
            </w:pPr>
            <w:r w:rsidRPr="007D2AD3">
              <w:t>780</w:t>
            </w:r>
          </w:p>
        </w:tc>
        <w:tc>
          <w:tcPr>
            <w:tcW w:w="1276" w:type="dxa"/>
          </w:tcPr>
          <w:p w14:paraId="1CECBEEE" w14:textId="77777777" w:rsidR="00C30014" w:rsidRPr="007D2AD3" w:rsidRDefault="00C30014" w:rsidP="007D2AD3">
            <w:pPr>
              <w:pStyle w:val="RCTstable"/>
            </w:pPr>
            <w:r w:rsidRPr="007D2AD3">
              <w:t>5-Oct-19</w:t>
            </w:r>
          </w:p>
        </w:tc>
      </w:tr>
      <w:tr w:rsidR="00A1121F" w:rsidRPr="007D2AD3" w14:paraId="51B392C3" w14:textId="77777777" w:rsidTr="00A1121F">
        <w:tc>
          <w:tcPr>
            <w:tcW w:w="1245" w:type="dxa"/>
          </w:tcPr>
          <w:p w14:paraId="6CDF7B84" w14:textId="77777777" w:rsidR="00C30014" w:rsidRPr="007D2AD3" w:rsidRDefault="00C30014" w:rsidP="007D2AD3">
            <w:pPr>
              <w:pStyle w:val="RCTstable"/>
            </w:pPr>
            <w:r w:rsidRPr="007D2AD3">
              <w:t>SCOPUS</w:t>
            </w:r>
          </w:p>
        </w:tc>
        <w:tc>
          <w:tcPr>
            <w:tcW w:w="3686" w:type="dxa"/>
          </w:tcPr>
          <w:p w14:paraId="54926F96" w14:textId="77777777" w:rsidR="00C30014" w:rsidRPr="007D2AD3" w:rsidRDefault="00C30014" w:rsidP="007D2AD3">
            <w:pPr>
              <w:pStyle w:val="RCTstable"/>
            </w:pPr>
            <w:r w:rsidRPr="007D2AD3">
              <w:t>( TITLE-ABS-KEY ( ( ( "pregnan*" )  OR  ( prenatal* ) ) )  AND  TITLE-ABS-KEY ( ( "Vitamin Pre/1 B" )  OR  ( "Thiamine" )  OR  ( "riboflavin" )  OR  ( "niacin" )  OR  ( "Pantothenic" )  OR  ( "pyridoxine" )  OR  </w:t>
            </w:r>
          </w:p>
          <w:p w14:paraId="0BE29C11" w14:textId="7D3CC1F1" w:rsidR="00C30014" w:rsidRPr="007D2AD3" w:rsidRDefault="00C30014" w:rsidP="007D2AD3">
            <w:pPr>
              <w:pStyle w:val="RCTstable"/>
            </w:pPr>
            <w:r w:rsidRPr="007D2AD3">
              <w:t>( "biotin" )  OR  ( "cobalamin" ) ) )  AND  PUBYEAR  &gt;  2013 </w:t>
            </w:r>
          </w:p>
        </w:tc>
        <w:tc>
          <w:tcPr>
            <w:tcW w:w="1559" w:type="dxa"/>
          </w:tcPr>
          <w:p w14:paraId="0F89FEB0" w14:textId="77777777" w:rsidR="00C30014" w:rsidRPr="007D2AD3" w:rsidRDefault="00C30014" w:rsidP="007D2AD3">
            <w:pPr>
              <w:pStyle w:val="RCTstable"/>
            </w:pPr>
            <w:r w:rsidRPr="007D2AD3">
              <w:t>2014 to 30-Sep-19</w:t>
            </w:r>
          </w:p>
        </w:tc>
        <w:tc>
          <w:tcPr>
            <w:tcW w:w="851" w:type="dxa"/>
          </w:tcPr>
          <w:p w14:paraId="3BFC567E" w14:textId="77777777" w:rsidR="00C30014" w:rsidRPr="007D2AD3" w:rsidRDefault="00C30014" w:rsidP="007D2AD3">
            <w:pPr>
              <w:pStyle w:val="RCTstable"/>
            </w:pPr>
            <w:r w:rsidRPr="007D2AD3">
              <w:t>English</w:t>
            </w:r>
          </w:p>
        </w:tc>
        <w:tc>
          <w:tcPr>
            <w:tcW w:w="992" w:type="dxa"/>
          </w:tcPr>
          <w:p w14:paraId="5A8EEE39" w14:textId="77777777" w:rsidR="00C30014" w:rsidRPr="007D2AD3" w:rsidRDefault="00C30014" w:rsidP="007D2AD3">
            <w:pPr>
              <w:pStyle w:val="RCTstable"/>
            </w:pPr>
            <w:r w:rsidRPr="007D2AD3">
              <w:t>725</w:t>
            </w:r>
          </w:p>
        </w:tc>
        <w:tc>
          <w:tcPr>
            <w:tcW w:w="1276" w:type="dxa"/>
          </w:tcPr>
          <w:p w14:paraId="3855E15E" w14:textId="77777777" w:rsidR="00C30014" w:rsidRPr="007D2AD3" w:rsidRDefault="00C30014" w:rsidP="007D2AD3">
            <w:pPr>
              <w:pStyle w:val="RCTstable"/>
            </w:pPr>
            <w:r w:rsidRPr="007D2AD3">
              <w:t>30-sep-19</w:t>
            </w:r>
          </w:p>
        </w:tc>
      </w:tr>
      <w:tr w:rsidR="00A1121F" w:rsidRPr="007D2AD3" w14:paraId="2A591D35" w14:textId="77777777" w:rsidTr="00A1121F">
        <w:tc>
          <w:tcPr>
            <w:tcW w:w="1245" w:type="dxa"/>
          </w:tcPr>
          <w:p w14:paraId="711224D8" w14:textId="77777777" w:rsidR="00C30014" w:rsidRPr="007D2AD3" w:rsidRDefault="00C30014" w:rsidP="007D2AD3">
            <w:pPr>
              <w:pStyle w:val="RCTstable"/>
            </w:pPr>
            <w:r w:rsidRPr="007D2AD3">
              <w:t>Health Infonet</w:t>
            </w:r>
          </w:p>
        </w:tc>
        <w:tc>
          <w:tcPr>
            <w:tcW w:w="3686" w:type="dxa"/>
          </w:tcPr>
          <w:p w14:paraId="601C62C9" w14:textId="77777777" w:rsidR="00C30014" w:rsidRPr="007D2AD3" w:rsidRDefault="00C30014" w:rsidP="007D2AD3">
            <w:pPr>
              <w:pStyle w:val="RCTstable"/>
            </w:pPr>
            <w:r w:rsidRPr="007D2AD3">
              <w:t>Vitamin B – title and abstract</w:t>
            </w:r>
          </w:p>
          <w:p w14:paraId="3C069DA6" w14:textId="77777777" w:rsidR="00C30014" w:rsidRPr="007D2AD3" w:rsidRDefault="00C30014" w:rsidP="007D2AD3">
            <w:pPr>
              <w:pStyle w:val="RCTstable"/>
            </w:pPr>
            <w:r w:rsidRPr="007D2AD3">
              <w:t>Vitamin – title and abstract</w:t>
            </w:r>
          </w:p>
        </w:tc>
        <w:tc>
          <w:tcPr>
            <w:tcW w:w="1559" w:type="dxa"/>
          </w:tcPr>
          <w:p w14:paraId="64DAC0F8" w14:textId="77777777" w:rsidR="00C30014" w:rsidRPr="007D2AD3" w:rsidRDefault="00C30014" w:rsidP="007D2AD3">
            <w:pPr>
              <w:pStyle w:val="RCTstable"/>
            </w:pPr>
          </w:p>
        </w:tc>
        <w:tc>
          <w:tcPr>
            <w:tcW w:w="851" w:type="dxa"/>
          </w:tcPr>
          <w:p w14:paraId="3729D7DD" w14:textId="77777777" w:rsidR="00C30014" w:rsidRPr="007D2AD3" w:rsidRDefault="00C30014" w:rsidP="007D2AD3">
            <w:pPr>
              <w:pStyle w:val="RCTstable"/>
            </w:pPr>
            <w:r w:rsidRPr="007D2AD3">
              <w:t>None</w:t>
            </w:r>
          </w:p>
        </w:tc>
        <w:tc>
          <w:tcPr>
            <w:tcW w:w="992" w:type="dxa"/>
          </w:tcPr>
          <w:p w14:paraId="5B4B1718" w14:textId="77777777" w:rsidR="00C30014" w:rsidRPr="007D2AD3" w:rsidRDefault="00C30014" w:rsidP="007D2AD3">
            <w:pPr>
              <w:pStyle w:val="RCTstable"/>
            </w:pPr>
          </w:p>
        </w:tc>
        <w:tc>
          <w:tcPr>
            <w:tcW w:w="1276" w:type="dxa"/>
          </w:tcPr>
          <w:p w14:paraId="6AC1DD71" w14:textId="77777777" w:rsidR="00C30014" w:rsidRPr="007D2AD3" w:rsidRDefault="00C30014" w:rsidP="007D2AD3">
            <w:pPr>
              <w:pStyle w:val="RCTstable"/>
            </w:pPr>
            <w:r w:rsidRPr="007D2AD3">
              <w:t>5-Oct-19</w:t>
            </w:r>
          </w:p>
        </w:tc>
      </w:tr>
      <w:tr w:rsidR="00A1121F" w:rsidRPr="007D2AD3" w14:paraId="2BF9E1E5" w14:textId="77777777" w:rsidTr="00A1121F">
        <w:tc>
          <w:tcPr>
            <w:tcW w:w="1245" w:type="dxa"/>
          </w:tcPr>
          <w:p w14:paraId="37C235F9" w14:textId="77777777" w:rsidR="00C30014" w:rsidRPr="007D2AD3" w:rsidRDefault="00C30014" w:rsidP="007D2AD3">
            <w:pPr>
              <w:pStyle w:val="RCTstable"/>
            </w:pPr>
            <w:r w:rsidRPr="007D2AD3">
              <w:t>Cochrane</w:t>
            </w:r>
          </w:p>
        </w:tc>
        <w:tc>
          <w:tcPr>
            <w:tcW w:w="3686" w:type="dxa"/>
          </w:tcPr>
          <w:p w14:paraId="309D6261" w14:textId="77777777" w:rsidR="00C30014" w:rsidRPr="007D2AD3" w:rsidRDefault="00C30014" w:rsidP="007D2AD3">
            <w:pPr>
              <w:pStyle w:val="RCTstable"/>
            </w:pPr>
            <w:r w:rsidRPr="007D2AD3">
              <w:t xml:space="preserve">((MeSH descriptor: [Pregnancy] explode all trees) </w:t>
            </w:r>
          </w:p>
          <w:p w14:paraId="20D403AC" w14:textId="77777777" w:rsidR="00C30014" w:rsidRPr="007D2AD3" w:rsidRDefault="00C30014" w:rsidP="007D2AD3">
            <w:pPr>
              <w:pStyle w:val="RCTstable"/>
            </w:pPr>
            <w:r w:rsidRPr="007D2AD3">
              <w:t xml:space="preserve">OR (MeSH descriptor: [Pregnant Women] explode all trees) </w:t>
            </w:r>
          </w:p>
          <w:p w14:paraId="009DAE90" w14:textId="77777777" w:rsidR="00C30014" w:rsidRPr="007D2AD3" w:rsidRDefault="00C30014" w:rsidP="007D2AD3">
            <w:pPr>
              <w:pStyle w:val="RCTstable"/>
            </w:pPr>
            <w:r w:rsidRPr="007D2AD3">
              <w:t xml:space="preserve">OR ‘pregnan*’) </w:t>
            </w:r>
          </w:p>
          <w:p w14:paraId="3C3E6BF5" w14:textId="77777777" w:rsidR="00C30014" w:rsidRPr="007D2AD3" w:rsidRDefault="00C30014" w:rsidP="007D2AD3">
            <w:pPr>
              <w:pStyle w:val="RCTstable"/>
            </w:pPr>
            <w:r w:rsidRPr="007D2AD3">
              <w:t xml:space="preserve">AND </w:t>
            </w:r>
          </w:p>
          <w:p w14:paraId="0C030BF7" w14:textId="682728FE" w:rsidR="00C30014" w:rsidRPr="007D2AD3" w:rsidRDefault="00C30014" w:rsidP="007D2AD3">
            <w:pPr>
              <w:pStyle w:val="RCTstable"/>
            </w:pPr>
            <w:r w:rsidRPr="007D2AD3">
              <w:t>((MeSH descriptor: [Pantothenic Acid] explode all trees) OR (MeSH descriptor: [Niacinamide] explode all trees) OR (MeSH descriptor: [Biotin] explode all trees) OR (MeSH descriptor: [Biotin] explode all trees))</w:t>
            </w:r>
          </w:p>
        </w:tc>
        <w:tc>
          <w:tcPr>
            <w:tcW w:w="1559" w:type="dxa"/>
          </w:tcPr>
          <w:p w14:paraId="6BEEBC7F" w14:textId="77777777" w:rsidR="00C30014" w:rsidRPr="007D2AD3" w:rsidRDefault="00C30014" w:rsidP="007D2AD3">
            <w:pPr>
              <w:pStyle w:val="RCTstable"/>
            </w:pPr>
            <w:r w:rsidRPr="007D2AD3">
              <w:t>01/01/2014-31/12/2019</w:t>
            </w:r>
          </w:p>
        </w:tc>
        <w:tc>
          <w:tcPr>
            <w:tcW w:w="851" w:type="dxa"/>
          </w:tcPr>
          <w:p w14:paraId="40C25610" w14:textId="77777777" w:rsidR="00C30014" w:rsidRPr="007D2AD3" w:rsidRDefault="00C30014" w:rsidP="007D2AD3">
            <w:pPr>
              <w:pStyle w:val="RCTstable"/>
            </w:pPr>
            <w:r w:rsidRPr="007D2AD3">
              <w:t xml:space="preserve">Cochrane reviews </w:t>
            </w:r>
          </w:p>
        </w:tc>
        <w:tc>
          <w:tcPr>
            <w:tcW w:w="992" w:type="dxa"/>
          </w:tcPr>
          <w:p w14:paraId="7A6C7C73" w14:textId="77777777" w:rsidR="00C30014" w:rsidRPr="007D2AD3" w:rsidRDefault="00C30014" w:rsidP="007D2AD3">
            <w:pPr>
              <w:pStyle w:val="RCTstable"/>
            </w:pPr>
            <w:r w:rsidRPr="007D2AD3">
              <w:t>8</w:t>
            </w:r>
          </w:p>
        </w:tc>
        <w:tc>
          <w:tcPr>
            <w:tcW w:w="1276" w:type="dxa"/>
          </w:tcPr>
          <w:p w14:paraId="2EEF4369" w14:textId="77777777" w:rsidR="00C30014" w:rsidRPr="007D2AD3" w:rsidRDefault="00C30014" w:rsidP="007D2AD3">
            <w:pPr>
              <w:pStyle w:val="RCTstable"/>
            </w:pPr>
            <w:r w:rsidRPr="007D2AD3">
              <w:t>5-Oct-19</w:t>
            </w:r>
          </w:p>
        </w:tc>
      </w:tr>
    </w:tbl>
    <w:p w14:paraId="6C53AA24" w14:textId="46754597" w:rsidR="001F7520" w:rsidRDefault="00350C74" w:rsidP="00320FB8">
      <w:pPr>
        <w:pStyle w:val="Figure"/>
        <w:spacing w:before="240"/>
        <w:jc w:val="center"/>
      </w:pPr>
      <w:r>
        <w:rPr>
          <w:noProof/>
          <w:lang w:val="en-AU" w:eastAsia="en-AU"/>
        </w:rPr>
        <w:drawing>
          <wp:inline distT="0" distB="0" distL="0" distR="0" wp14:anchorId="1BFB8208" wp14:editId="0052FD07">
            <wp:extent cx="3268164" cy="3710217"/>
            <wp:effectExtent l="0" t="0" r="889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 vitamins.png"/>
                    <pic:cNvPicPr/>
                  </pic:nvPicPr>
                  <pic:blipFill>
                    <a:blip r:embed="rId17">
                      <a:extLst>
                        <a:ext uri="{28A0092B-C50C-407E-A947-70E740481C1C}">
                          <a14:useLocalDpi xmlns:a14="http://schemas.microsoft.com/office/drawing/2010/main" val="0"/>
                        </a:ext>
                      </a:extLst>
                    </a:blip>
                    <a:stretch>
                      <a:fillRect/>
                    </a:stretch>
                  </pic:blipFill>
                  <pic:spPr>
                    <a:xfrm>
                      <a:off x="0" y="0"/>
                      <a:ext cx="3274371" cy="3717263"/>
                    </a:xfrm>
                    <a:prstGeom prst="rect">
                      <a:avLst/>
                    </a:prstGeom>
                  </pic:spPr>
                </pic:pic>
              </a:graphicData>
            </a:graphic>
          </wp:inline>
        </w:drawing>
      </w:r>
    </w:p>
    <w:p w14:paraId="5C5472EA" w14:textId="1515470E" w:rsidR="00C30014" w:rsidRDefault="00C30014" w:rsidP="001F7520">
      <w:pPr>
        <w:pStyle w:val="Figurename"/>
      </w:pPr>
      <w:r>
        <w:t>Prisma</w:t>
      </w:r>
      <w:r w:rsidR="001F7520">
        <w:t xml:space="preserve"> diagram: B vitamins</w:t>
      </w:r>
    </w:p>
    <w:p w14:paraId="399663CB" w14:textId="57333529" w:rsidR="00C30014" w:rsidRPr="00196D36" w:rsidRDefault="00C30014" w:rsidP="00C30014">
      <w:pPr>
        <w:pStyle w:val="Heading4"/>
      </w:pPr>
      <w:r>
        <w:t>Vitamin C</w:t>
      </w:r>
      <w:r w:rsidRPr="00196D36">
        <w:t xml:space="preserve"> Supplementation</w:t>
      </w:r>
      <w:r w:rsidR="000D04A0">
        <w:t xml:space="preserve"> (research question 3)</w:t>
      </w:r>
    </w:p>
    <w:p w14:paraId="597F2834" w14:textId="77777777" w:rsidR="00C30014" w:rsidRDefault="00C30014" w:rsidP="00C30014">
      <w:r>
        <w:t>Previous vitamin c supplementation in pregnancy Cochrane search date: 31 March 2015</w:t>
      </w:r>
    </w:p>
    <w:p w14:paraId="7E363B56" w14:textId="77777777" w:rsidR="00C30014" w:rsidRPr="00A1121F" w:rsidRDefault="00C30014" w:rsidP="00C30014">
      <w:r w:rsidRPr="00A1121F">
        <w:t>Citation: Rumbold  A, Ota  E, Nagata  C, Shahrook  S, Crowther  CA. Vitamin C supplementation in pregnancy. Cochrane Database of Systematic Reviews 2015, Issue 9. Art. No.: CD004072. DOI: 10.1002/14651858.CD004072.pub3.</w:t>
      </w:r>
    </w:p>
    <w:p w14:paraId="018F5A64" w14:textId="77777777" w:rsidR="00C30014" w:rsidRDefault="00C30014" w:rsidP="00C30014">
      <w:pPr>
        <w:rPr>
          <w:b/>
        </w:rPr>
      </w:pPr>
      <w:r>
        <w:rPr>
          <w:b/>
        </w:rPr>
        <w:t>Current search dates:</w:t>
      </w:r>
    </w:p>
    <w:p w14:paraId="738B6373" w14:textId="77777777" w:rsidR="00C30014" w:rsidRPr="00196D36" w:rsidRDefault="00C30014" w:rsidP="00C30014">
      <w:r>
        <w:t>31-Mar-2015-current</w:t>
      </w:r>
    </w:p>
    <w:tbl>
      <w:tblPr>
        <w:tblStyle w:val="TableGrid"/>
        <w:tblW w:w="0" w:type="auto"/>
        <w:tblLook w:val="04A0" w:firstRow="1" w:lastRow="0" w:firstColumn="1" w:lastColumn="0" w:noHBand="0" w:noVBand="1"/>
      </w:tblPr>
      <w:tblGrid>
        <w:gridCol w:w="974"/>
        <w:gridCol w:w="4672"/>
        <w:gridCol w:w="1000"/>
        <w:gridCol w:w="1083"/>
        <w:gridCol w:w="749"/>
        <w:gridCol w:w="802"/>
      </w:tblGrid>
      <w:tr w:rsidR="00C30014" w:rsidRPr="007D2AD3" w14:paraId="3D6AE134" w14:textId="77777777" w:rsidTr="00513068">
        <w:trPr>
          <w:tblHeader/>
        </w:trPr>
        <w:tc>
          <w:tcPr>
            <w:tcW w:w="975" w:type="dxa"/>
          </w:tcPr>
          <w:p w14:paraId="45732AAA" w14:textId="77777777" w:rsidR="00C30014" w:rsidRPr="007D2AD3" w:rsidRDefault="00C30014" w:rsidP="007D2AD3">
            <w:pPr>
              <w:pStyle w:val="RCTstable"/>
              <w:rPr>
                <w:b/>
              </w:rPr>
            </w:pPr>
            <w:r w:rsidRPr="007D2AD3">
              <w:rPr>
                <w:b/>
              </w:rPr>
              <w:t>Database</w:t>
            </w:r>
          </w:p>
        </w:tc>
        <w:tc>
          <w:tcPr>
            <w:tcW w:w="4673" w:type="dxa"/>
          </w:tcPr>
          <w:p w14:paraId="6E3892BF" w14:textId="77777777" w:rsidR="00C30014" w:rsidRPr="007D2AD3" w:rsidRDefault="00C30014" w:rsidP="007D2AD3">
            <w:pPr>
              <w:pStyle w:val="RCTstable"/>
              <w:rPr>
                <w:b/>
              </w:rPr>
            </w:pPr>
            <w:r w:rsidRPr="007D2AD3">
              <w:rPr>
                <w:b/>
              </w:rPr>
              <w:t>Search Strategy</w:t>
            </w:r>
          </w:p>
        </w:tc>
        <w:tc>
          <w:tcPr>
            <w:tcW w:w="1000" w:type="dxa"/>
          </w:tcPr>
          <w:p w14:paraId="0B62A52C" w14:textId="77777777" w:rsidR="00C30014" w:rsidRPr="007D2AD3" w:rsidRDefault="00C30014" w:rsidP="007D2AD3">
            <w:pPr>
              <w:pStyle w:val="RCTstable"/>
              <w:rPr>
                <w:b/>
              </w:rPr>
            </w:pPr>
            <w:r w:rsidRPr="007D2AD3">
              <w:rPr>
                <w:b/>
              </w:rPr>
              <w:t>Dates Searched</w:t>
            </w:r>
          </w:p>
        </w:tc>
        <w:tc>
          <w:tcPr>
            <w:tcW w:w="1084" w:type="dxa"/>
          </w:tcPr>
          <w:p w14:paraId="62673F28" w14:textId="77777777" w:rsidR="00C30014" w:rsidRPr="007D2AD3" w:rsidRDefault="00C30014" w:rsidP="007D2AD3">
            <w:pPr>
              <w:pStyle w:val="RCTstable"/>
              <w:rPr>
                <w:b/>
              </w:rPr>
            </w:pPr>
            <w:r w:rsidRPr="007D2AD3">
              <w:rPr>
                <w:b/>
              </w:rPr>
              <w:t>Limits set</w:t>
            </w:r>
          </w:p>
        </w:tc>
        <w:tc>
          <w:tcPr>
            <w:tcW w:w="746" w:type="dxa"/>
          </w:tcPr>
          <w:p w14:paraId="2DEEC7E2" w14:textId="77777777" w:rsidR="00C30014" w:rsidRPr="007D2AD3" w:rsidRDefault="00C30014" w:rsidP="007D2AD3">
            <w:pPr>
              <w:pStyle w:val="RCTstable"/>
              <w:rPr>
                <w:b/>
              </w:rPr>
            </w:pPr>
            <w:r w:rsidRPr="007D2AD3">
              <w:rPr>
                <w:b/>
              </w:rPr>
              <w:t>Results</w:t>
            </w:r>
          </w:p>
        </w:tc>
        <w:tc>
          <w:tcPr>
            <w:tcW w:w="802" w:type="dxa"/>
          </w:tcPr>
          <w:p w14:paraId="3C770796" w14:textId="77777777" w:rsidR="00C30014" w:rsidRPr="007D2AD3" w:rsidRDefault="00C30014" w:rsidP="007D2AD3">
            <w:pPr>
              <w:pStyle w:val="RCTstable"/>
              <w:rPr>
                <w:b/>
              </w:rPr>
            </w:pPr>
            <w:r w:rsidRPr="007D2AD3">
              <w:rPr>
                <w:b/>
              </w:rPr>
              <w:t>Date of search</w:t>
            </w:r>
          </w:p>
        </w:tc>
      </w:tr>
      <w:tr w:rsidR="00C30014" w:rsidRPr="007D2AD3" w14:paraId="29122158" w14:textId="77777777" w:rsidTr="007D2AD3">
        <w:tc>
          <w:tcPr>
            <w:tcW w:w="975" w:type="dxa"/>
          </w:tcPr>
          <w:p w14:paraId="484E6E51" w14:textId="77777777" w:rsidR="00C30014" w:rsidRPr="007D2AD3" w:rsidRDefault="00C30014" w:rsidP="007D2AD3">
            <w:pPr>
              <w:pStyle w:val="RCTstable"/>
            </w:pPr>
            <w:r w:rsidRPr="007D2AD3">
              <w:t>Pubmed</w:t>
            </w:r>
          </w:p>
        </w:tc>
        <w:tc>
          <w:tcPr>
            <w:tcW w:w="4673" w:type="dxa"/>
          </w:tcPr>
          <w:p w14:paraId="03EAFEE2" w14:textId="77777777" w:rsidR="00C30014" w:rsidRPr="007D2AD3" w:rsidRDefault="00C30014" w:rsidP="007D2AD3">
            <w:pPr>
              <w:pStyle w:val="RCTstable"/>
            </w:pPr>
            <w:r w:rsidRPr="007D2AD3">
              <w:t xml:space="preserve">("pregnancy"[Mesh] OR "pregnan*"[All Fields] OR "prenatal*"[All Fields]) </w:t>
            </w:r>
          </w:p>
          <w:p w14:paraId="6940D554" w14:textId="77777777" w:rsidR="00C30014" w:rsidRPr="007D2AD3" w:rsidRDefault="00C30014" w:rsidP="007D2AD3">
            <w:pPr>
              <w:pStyle w:val="RCTstable"/>
            </w:pPr>
            <w:r w:rsidRPr="007D2AD3">
              <w:t xml:space="preserve">AND ("Ascorbic Acid"[Mesh] OR "vitamin c"[All Fields] OR “ascorbic acid”[All Fields]) </w:t>
            </w:r>
          </w:p>
        </w:tc>
        <w:tc>
          <w:tcPr>
            <w:tcW w:w="1000" w:type="dxa"/>
          </w:tcPr>
          <w:p w14:paraId="7744DE50" w14:textId="77777777" w:rsidR="00C30014" w:rsidRPr="007D2AD3" w:rsidRDefault="00C30014" w:rsidP="007D2AD3">
            <w:pPr>
              <w:pStyle w:val="RCTstable"/>
            </w:pPr>
            <w:r w:rsidRPr="007D2AD3">
              <w:t>31-Mar-2015 to 31-Dec-2019</w:t>
            </w:r>
          </w:p>
        </w:tc>
        <w:tc>
          <w:tcPr>
            <w:tcW w:w="1084" w:type="dxa"/>
          </w:tcPr>
          <w:p w14:paraId="2811AB5C" w14:textId="77777777" w:rsidR="00C30014" w:rsidRPr="007D2AD3" w:rsidRDefault="00C30014" w:rsidP="007D2AD3">
            <w:pPr>
              <w:pStyle w:val="RCTstable"/>
            </w:pPr>
            <w:r w:rsidRPr="007D2AD3">
              <w:t>Human</w:t>
            </w:r>
          </w:p>
          <w:p w14:paraId="48E7AB7C" w14:textId="77777777" w:rsidR="00C30014" w:rsidRPr="007D2AD3" w:rsidRDefault="00C30014" w:rsidP="007D2AD3">
            <w:pPr>
              <w:pStyle w:val="RCTstable"/>
            </w:pPr>
            <w:r w:rsidRPr="007D2AD3">
              <w:t>English Language</w:t>
            </w:r>
          </w:p>
        </w:tc>
        <w:tc>
          <w:tcPr>
            <w:tcW w:w="746" w:type="dxa"/>
          </w:tcPr>
          <w:p w14:paraId="7AAA7D53" w14:textId="77777777" w:rsidR="00C30014" w:rsidRPr="007D2AD3" w:rsidRDefault="00C30014" w:rsidP="007D2AD3">
            <w:pPr>
              <w:pStyle w:val="RCTstable"/>
            </w:pPr>
            <w:r w:rsidRPr="007D2AD3">
              <w:t>88</w:t>
            </w:r>
          </w:p>
        </w:tc>
        <w:tc>
          <w:tcPr>
            <w:tcW w:w="802" w:type="dxa"/>
          </w:tcPr>
          <w:p w14:paraId="7996CBB7" w14:textId="77777777" w:rsidR="00C30014" w:rsidRPr="007D2AD3" w:rsidRDefault="00C30014" w:rsidP="007D2AD3">
            <w:pPr>
              <w:pStyle w:val="RCTstable"/>
            </w:pPr>
            <w:r w:rsidRPr="007D2AD3">
              <w:t>19-June-19</w:t>
            </w:r>
          </w:p>
        </w:tc>
      </w:tr>
      <w:tr w:rsidR="00C30014" w:rsidRPr="007D2AD3" w14:paraId="2126B24F" w14:textId="77777777" w:rsidTr="007D2AD3">
        <w:tc>
          <w:tcPr>
            <w:tcW w:w="975" w:type="dxa"/>
          </w:tcPr>
          <w:p w14:paraId="3795FC2B" w14:textId="77777777" w:rsidR="00C30014" w:rsidRPr="007D2AD3" w:rsidRDefault="00C30014" w:rsidP="007D2AD3">
            <w:pPr>
              <w:pStyle w:val="RCTstable"/>
            </w:pPr>
            <w:r w:rsidRPr="007D2AD3">
              <w:t>Ovid medline</w:t>
            </w:r>
          </w:p>
        </w:tc>
        <w:tc>
          <w:tcPr>
            <w:tcW w:w="4673" w:type="dxa"/>
          </w:tcPr>
          <w:p w14:paraId="0FF7D73D" w14:textId="77777777" w:rsidR="00C30014" w:rsidRPr="007D2AD3" w:rsidRDefault="00C30014" w:rsidP="007D2AD3">
            <w:pPr>
              <w:pStyle w:val="RCTstable"/>
            </w:pPr>
            <w:r w:rsidRPr="007D2AD3">
              <w:t>(Pregnancy/syn or Pregnan*.mp.) and (vitamin C.mp. or ascorbic acid/syn or ascorbic acid.mp.)</w:t>
            </w:r>
          </w:p>
        </w:tc>
        <w:tc>
          <w:tcPr>
            <w:tcW w:w="1000" w:type="dxa"/>
          </w:tcPr>
          <w:p w14:paraId="3208FBEE" w14:textId="77777777" w:rsidR="00C30014" w:rsidRPr="007D2AD3" w:rsidRDefault="00C30014" w:rsidP="007D2AD3">
            <w:pPr>
              <w:pStyle w:val="RCTstable"/>
            </w:pPr>
            <w:r w:rsidRPr="007D2AD3">
              <w:t>2015-Current</w:t>
            </w:r>
          </w:p>
        </w:tc>
        <w:tc>
          <w:tcPr>
            <w:tcW w:w="1084" w:type="dxa"/>
          </w:tcPr>
          <w:p w14:paraId="1DB598DA" w14:textId="77777777" w:rsidR="00C30014" w:rsidRPr="007D2AD3" w:rsidRDefault="00C30014" w:rsidP="007D2AD3">
            <w:pPr>
              <w:pStyle w:val="RCTstable"/>
            </w:pPr>
            <w:r w:rsidRPr="007D2AD3">
              <w:t>English Language</w:t>
            </w:r>
          </w:p>
          <w:p w14:paraId="5AB5B04C" w14:textId="77777777" w:rsidR="00C30014" w:rsidRPr="007D2AD3" w:rsidRDefault="00C30014" w:rsidP="007D2AD3">
            <w:pPr>
              <w:pStyle w:val="RCTstable"/>
            </w:pPr>
            <w:r w:rsidRPr="007D2AD3">
              <w:t>Human</w:t>
            </w:r>
          </w:p>
        </w:tc>
        <w:tc>
          <w:tcPr>
            <w:tcW w:w="746" w:type="dxa"/>
          </w:tcPr>
          <w:p w14:paraId="073929EE" w14:textId="77777777" w:rsidR="00C30014" w:rsidRPr="007D2AD3" w:rsidRDefault="00C30014" w:rsidP="007D2AD3">
            <w:pPr>
              <w:pStyle w:val="RCTstable"/>
            </w:pPr>
            <w:r w:rsidRPr="007D2AD3">
              <w:t>106</w:t>
            </w:r>
          </w:p>
        </w:tc>
        <w:tc>
          <w:tcPr>
            <w:tcW w:w="802" w:type="dxa"/>
          </w:tcPr>
          <w:p w14:paraId="370A4C87" w14:textId="77777777" w:rsidR="00C30014" w:rsidRPr="007D2AD3" w:rsidRDefault="00C30014" w:rsidP="007D2AD3">
            <w:pPr>
              <w:pStyle w:val="RCTstable"/>
            </w:pPr>
            <w:r w:rsidRPr="007D2AD3">
              <w:t>19-June-19</w:t>
            </w:r>
          </w:p>
        </w:tc>
      </w:tr>
      <w:tr w:rsidR="00C30014" w:rsidRPr="007D2AD3" w14:paraId="52D45D43" w14:textId="77777777" w:rsidTr="007D2AD3">
        <w:tc>
          <w:tcPr>
            <w:tcW w:w="975" w:type="dxa"/>
          </w:tcPr>
          <w:p w14:paraId="64933D50" w14:textId="77777777" w:rsidR="00C30014" w:rsidRPr="007D2AD3" w:rsidRDefault="00C30014" w:rsidP="007D2AD3">
            <w:pPr>
              <w:pStyle w:val="RCTstable"/>
            </w:pPr>
            <w:r w:rsidRPr="007D2AD3">
              <w:t>Embase</w:t>
            </w:r>
          </w:p>
        </w:tc>
        <w:tc>
          <w:tcPr>
            <w:tcW w:w="4673" w:type="dxa"/>
          </w:tcPr>
          <w:p w14:paraId="7FA4243D" w14:textId="77777777" w:rsidR="00C30014" w:rsidRPr="007D2AD3" w:rsidRDefault="00C30014" w:rsidP="007D2AD3">
            <w:pPr>
              <w:pStyle w:val="RCTstable"/>
            </w:pPr>
            <w:r w:rsidRPr="007D2AD3">
              <w:t xml:space="preserve">('pregnancy'/exp  OR pregnan*) </w:t>
            </w:r>
          </w:p>
          <w:p w14:paraId="570F33DE" w14:textId="77777777" w:rsidR="00C30014" w:rsidRPr="007D2AD3" w:rsidRDefault="00C30014" w:rsidP="007D2AD3">
            <w:pPr>
              <w:pStyle w:val="RCTstable"/>
            </w:pPr>
            <w:r w:rsidRPr="007D2AD3">
              <w:t>AND ('ascorbic acid'/exp OR 'vitamin c' or 'ascorbic acid')</w:t>
            </w:r>
          </w:p>
        </w:tc>
        <w:tc>
          <w:tcPr>
            <w:tcW w:w="1000" w:type="dxa"/>
          </w:tcPr>
          <w:p w14:paraId="7D45A14A" w14:textId="77777777" w:rsidR="00C30014" w:rsidRPr="007D2AD3" w:rsidRDefault="00C30014" w:rsidP="007D2AD3">
            <w:pPr>
              <w:pStyle w:val="RCTstable"/>
            </w:pPr>
            <w:r w:rsidRPr="007D2AD3">
              <w:t>2015-2019</w:t>
            </w:r>
          </w:p>
        </w:tc>
        <w:tc>
          <w:tcPr>
            <w:tcW w:w="1084" w:type="dxa"/>
          </w:tcPr>
          <w:p w14:paraId="73498552" w14:textId="77777777" w:rsidR="00C30014" w:rsidRPr="007D2AD3" w:rsidRDefault="00C30014" w:rsidP="007D2AD3">
            <w:pPr>
              <w:pStyle w:val="RCTstable"/>
            </w:pPr>
            <w:r w:rsidRPr="007D2AD3">
              <w:t>English Language</w:t>
            </w:r>
          </w:p>
          <w:p w14:paraId="668C9B4A" w14:textId="77777777" w:rsidR="00C30014" w:rsidRPr="007D2AD3" w:rsidRDefault="00C30014" w:rsidP="007D2AD3">
            <w:pPr>
              <w:pStyle w:val="RCTstable"/>
            </w:pPr>
            <w:r w:rsidRPr="007D2AD3">
              <w:t>Human</w:t>
            </w:r>
          </w:p>
        </w:tc>
        <w:tc>
          <w:tcPr>
            <w:tcW w:w="746" w:type="dxa"/>
          </w:tcPr>
          <w:p w14:paraId="3B2E5381" w14:textId="77777777" w:rsidR="00C30014" w:rsidRPr="007D2AD3" w:rsidRDefault="00C30014" w:rsidP="007D2AD3">
            <w:pPr>
              <w:pStyle w:val="RCTstable"/>
            </w:pPr>
            <w:r w:rsidRPr="007D2AD3">
              <w:t>431</w:t>
            </w:r>
          </w:p>
        </w:tc>
        <w:tc>
          <w:tcPr>
            <w:tcW w:w="802" w:type="dxa"/>
          </w:tcPr>
          <w:p w14:paraId="7B464BBC" w14:textId="77777777" w:rsidR="00C30014" w:rsidRPr="007D2AD3" w:rsidRDefault="00C30014" w:rsidP="007D2AD3">
            <w:pPr>
              <w:pStyle w:val="RCTstable"/>
            </w:pPr>
            <w:r w:rsidRPr="007D2AD3">
              <w:t>19-June-19</w:t>
            </w:r>
          </w:p>
        </w:tc>
      </w:tr>
      <w:tr w:rsidR="00C30014" w:rsidRPr="007D2AD3" w14:paraId="4AD2898E" w14:textId="77777777" w:rsidTr="007D2AD3">
        <w:tc>
          <w:tcPr>
            <w:tcW w:w="975" w:type="dxa"/>
          </w:tcPr>
          <w:p w14:paraId="380AB7D2" w14:textId="77777777" w:rsidR="00C30014" w:rsidRPr="007D2AD3" w:rsidRDefault="00C30014" w:rsidP="007D2AD3">
            <w:pPr>
              <w:pStyle w:val="RCTstable"/>
            </w:pPr>
            <w:r w:rsidRPr="007D2AD3">
              <w:t>CINAHL</w:t>
            </w:r>
          </w:p>
        </w:tc>
        <w:tc>
          <w:tcPr>
            <w:tcW w:w="4673" w:type="dxa"/>
          </w:tcPr>
          <w:p w14:paraId="0E3ABD06" w14:textId="77777777" w:rsidR="00C30014" w:rsidRPr="007D2AD3" w:rsidRDefault="00C30014" w:rsidP="007D2AD3">
            <w:pPr>
              <w:pStyle w:val="RCTstable"/>
            </w:pPr>
            <w:r w:rsidRPr="007D2AD3">
              <w:t xml:space="preserve">( (MH "Pregnancy+") OR (MH "Pregnancy Trimesters+") OR (MM "Prenatal Nutritional Physiology") OR (MM "Prenatal Exposure Delayed Effects") OR ("Pregnan*") ) </w:t>
            </w:r>
          </w:p>
          <w:p w14:paraId="7E723876" w14:textId="77777777" w:rsidR="00C30014" w:rsidRPr="007D2AD3" w:rsidRDefault="00C30014" w:rsidP="007D2AD3">
            <w:pPr>
              <w:pStyle w:val="RCTstable"/>
            </w:pPr>
            <w:r w:rsidRPr="007D2AD3">
              <w:t>AND TX ( (MM "Ascorbic acid deficiency") OR (MM"Ascorbic acid") OR (AB “vitamin C”) )</w:t>
            </w:r>
          </w:p>
        </w:tc>
        <w:tc>
          <w:tcPr>
            <w:tcW w:w="1000" w:type="dxa"/>
          </w:tcPr>
          <w:p w14:paraId="7EED0A4A" w14:textId="77777777" w:rsidR="00C30014" w:rsidRPr="007D2AD3" w:rsidRDefault="00C30014" w:rsidP="007D2AD3">
            <w:pPr>
              <w:pStyle w:val="RCTstable"/>
            </w:pPr>
            <w:r w:rsidRPr="007D2AD3">
              <w:t>2015-2019</w:t>
            </w:r>
          </w:p>
        </w:tc>
        <w:tc>
          <w:tcPr>
            <w:tcW w:w="1084" w:type="dxa"/>
          </w:tcPr>
          <w:p w14:paraId="66B0A9CC" w14:textId="77777777" w:rsidR="00C30014" w:rsidRPr="007D2AD3" w:rsidRDefault="00C30014" w:rsidP="007D2AD3">
            <w:pPr>
              <w:pStyle w:val="RCTstable"/>
            </w:pPr>
            <w:r w:rsidRPr="007D2AD3">
              <w:t>English</w:t>
            </w:r>
          </w:p>
        </w:tc>
        <w:tc>
          <w:tcPr>
            <w:tcW w:w="746" w:type="dxa"/>
          </w:tcPr>
          <w:p w14:paraId="226EED20" w14:textId="77777777" w:rsidR="00C30014" w:rsidRPr="007D2AD3" w:rsidRDefault="00C30014" w:rsidP="007D2AD3">
            <w:pPr>
              <w:pStyle w:val="RCTstable"/>
            </w:pPr>
            <w:r w:rsidRPr="007D2AD3">
              <w:t>129</w:t>
            </w:r>
          </w:p>
        </w:tc>
        <w:tc>
          <w:tcPr>
            <w:tcW w:w="802" w:type="dxa"/>
          </w:tcPr>
          <w:p w14:paraId="148B9B53" w14:textId="77777777" w:rsidR="00C30014" w:rsidRPr="007D2AD3" w:rsidRDefault="00C30014" w:rsidP="007D2AD3">
            <w:pPr>
              <w:pStyle w:val="RCTstable"/>
            </w:pPr>
            <w:r w:rsidRPr="007D2AD3">
              <w:t>19-June-19</w:t>
            </w:r>
          </w:p>
        </w:tc>
      </w:tr>
      <w:tr w:rsidR="00C30014" w:rsidRPr="007D2AD3" w14:paraId="1262278F" w14:textId="77777777" w:rsidTr="00513068">
        <w:trPr>
          <w:cantSplit/>
        </w:trPr>
        <w:tc>
          <w:tcPr>
            <w:tcW w:w="975" w:type="dxa"/>
          </w:tcPr>
          <w:p w14:paraId="09F3F497" w14:textId="77777777" w:rsidR="00C30014" w:rsidRPr="007D2AD3" w:rsidRDefault="00C30014" w:rsidP="007D2AD3">
            <w:pPr>
              <w:pStyle w:val="RCTstable"/>
            </w:pPr>
            <w:r w:rsidRPr="007D2AD3">
              <w:t>SCOPUS</w:t>
            </w:r>
          </w:p>
        </w:tc>
        <w:tc>
          <w:tcPr>
            <w:tcW w:w="4673" w:type="dxa"/>
          </w:tcPr>
          <w:p w14:paraId="2DC21ECB" w14:textId="5C6634ED" w:rsidR="00C30014" w:rsidRPr="007D2AD3" w:rsidRDefault="00C30014" w:rsidP="007D2AD3">
            <w:pPr>
              <w:pStyle w:val="RCTstable"/>
            </w:pPr>
            <w:r w:rsidRPr="007D2AD3">
              <w:t>TITLE-ABS-KEY ( ( ( "pregnan*" )  OR  ( prenatal* ) )  AND  ( ( "ascorbic acid" )  OR  ( "vitamin c" ) ) )</w:t>
            </w:r>
          </w:p>
        </w:tc>
        <w:tc>
          <w:tcPr>
            <w:tcW w:w="1000" w:type="dxa"/>
          </w:tcPr>
          <w:p w14:paraId="0B241A35" w14:textId="77777777" w:rsidR="00C30014" w:rsidRPr="007D2AD3" w:rsidRDefault="00C30014" w:rsidP="007D2AD3">
            <w:pPr>
              <w:pStyle w:val="RCTstable"/>
            </w:pPr>
            <w:r w:rsidRPr="007D2AD3">
              <w:t>2015 - 2019</w:t>
            </w:r>
          </w:p>
        </w:tc>
        <w:tc>
          <w:tcPr>
            <w:tcW w:w="1084" w:type="dxa"/>
          </w:tcPr>
          <w:p w14:paraId="030E092C" w14:textId="77777777" w:rsidR="00C30014" w:rsidRPr="007D2AD3" w:rsidRDefault="00C30014" w:rsidP="007D2AD3">
            <w:pPr>
              <w:pStyle w:val="RCTstable"/>
            </w:pPr>
            <w:r w:rsidRPr="007D2AD3">
              <w:t>English</w:t>
            </w:r>
          </w:p>
        </w:tc>
        <w:tc>
          <w:tcPr>
            <w:tcW w:w="746" w:type="dxa"/>
          </w:tcPr>
          <w:p w14:paraId="4C828D03" w14:textId="77777777" w:rsidR="00C30014" w:rsidRPr="007D2AD3" w:rsidRDefault="00C30014" w:rsidP="007D2AD3">
            <w:pPr>
              <w:pStyle w:val="RCTstable"/>
            </w:pPr>
            <w:r w:rsidRPr="007D2AD3">
              <w:t>497</w:t>
            </w:r>
          </w:p>
        </w:tc>
        <w:tc>
          <w:tcPr>
            <w:tcW w:w="802" w:type="dxa"/>
          </w:tcPr>
          <w:p w14:paraId="4768967D" w14:textId="77777777" w:rsidR="00C30014" w:rsidRPr="007D2AD3" w:rsidRDefault="00C30014" w:rsidP="007D2AD3">
            <w:pPr>
              <w:pStyle w:val="RCTstable"/>
            </w:pPr>
            <w:r w:rsidRPr="007D2AD3">
              <w:t>19-June-19</w:t>
            </w:r>
          </w:p>
        </w:tc>
      </w:tr>
      <w:tr w:rsidR="00C30014" w:rsidRPr="007D2AD3" w14:paraId="5CE00FB5" w14:textId="77777777" w:rsidTr="007D2AD3">
        <w:tc>
          <w:tcPr>
            <w:tcW w:w="975" w:type="dxa"/>
          </w:tcPr>
          <w:p w14:paraId="5A944CE0" w14:textId="77777777" w:rsidR="00C30014" w:rsidRPr="007D2AD3" w:rsidRDefault="00C30014" w:rsidP="007D2AD3">
            <w:pPr>
              <w:pStyle w:val="RCTstable"/>
            </w:pPr>
            <w:r w:rsidRPr="007D2AD3">
              <w:t>Health Infonet</w:t>
            </w:r>
          </w:p>
        </w:tc>
        <w:tc>
          <w:tcPr>
            <w:tcW w:w="4673" w:type="dxa"/>
          </w:tcPr>
          <w:p w14:paraId="0656027F" w14:textId="77777777" w:rsidR="00C30014" w:rsidRPr="007D2AD3" w:rsidRDefault="00C30014" w:rsidP="007D2AD3">
            <w:pPr>
              <w:pStyle w:val="RCTstable"/>
            </w:pPr>
            <w:r w:rsidRPr="007D2AD3">
              <w:t>Ascorbic Acid – title and abstract</w:t>
            </w:r>
          </w:p>
          <w:p w14:paraId="2CAA82CD" w14:textId="77777777" w:rsidR="00C30014" w:rsidRPr="007D2AD3" w:rsidRDefault="00C30014" w:rsidP="007D2AD3">
            <w:pPr>
              <w:pStyle w:val="RCTstable"/>
            </w:pPr>
            <w:r w:rsidRPr="007D2AD3">
              <w:t>Pregnancy - keyword</w:t>
            </w:r>
          </w:p>
        </w:tc>
        <w:tc>
          <w:tcPr>
            <w:tcW w:w="1000" w:type="dxa"/>
          </w:tcPr>
          <w:p w14:paraId="2468C2F3" w14:textId="77777777" w:rsidR="00C30014" w:rsidRPr="007D2AD3" w:rsidRDefault="00C30014" w:rsidP="007D2AD3">
            <w:pPr>
              <w:pStyle w:val="RCTstable"/>
            </w:pPr>
            <w:r w:rsidRPr="007D2AD3">
              <w:t>2015-current = 0</w:t>
            </w:r>
          </w:p>
          <w:p w14:paraId="620B9AE6" w14:textId="77777777" w:rsidR="00C30014" w:rsidRPr="007D2AD3" w:rsidRDefault="00C30014" w:rsidP="007D2AD3">
            <w:pPr>
              <w:pStyle w:val="RCTstable"/>
            </w:pPr>
          </w:p>
        </w:tc>
        <w:tc>
          <w:tcPr>
            <w:tcW w:w="1084" w:type="dxa"/>
          </w:tcPr>
          <w:p w14:paraId="7242535A" w14:textId="77777777" w:rsidR="00C30014" w:rsidRPr="007D2AD3" w:rsidRDefault="00C30014" w:rsidP="007D2AD3">
            <w:pPr>
              <w:pStyle w:val="RCTstable"/>
            </w:pPr>
            <w:r w:rsidRPr="007D2AD3">
              <w:t>None</w:t>
            </w:r>
          </w:p>
        </w:tc>
        <w:tc>
          <w:tcPr>
            <w:tcW w:w="746" w:type="dxa"/>
          </w:tcPr>
          <w:p w14:paraId="75848FD0" w14:textId="77777777" w:rsidR="00C30014" w:rsidRPr="007D2AD3" w:rsidRDefault="00C30014" w:rsidP="007D2AD3">
            <w:pPr>
              <w:pStyle w:val="RCTstable"/>
            </w:pPr>
            <w:r w:rsidRPr="007D2AD3">
              <w:t>0</w:t>
            </w:r>
          </w:p>
        </w:tc>
        <w:tc>
          <w:tcPr>
            <w:tcW w:w="802" w:type="dxa"/>
          </w:tcPr>
          <w:p w14:paraId="798E22F5" w14:textId="77777777" w:rsidR="00C30014" w:rsidRPr="007D2AD3" w:rsidRDefault="00C30014" w:rsidP="007D2AD3">
            <w:pPr>
              <w:pStyle w:val="RCTstable"/>
            </w:pPr>
            <w:r w:rsidRPr="007D2AD3">
              <w:t>19-June-19</w:t>
            </w:r>
          </w:p>
        </w:tc>
      </w:tr>
      <w:tr w:rsidR="00C30014" w:rsidRPr="007D2AD3" w14:paraId="42DE67FB" w14:textId="77777777" w:rsidTr="007D2AD3">
        <w:tc>
          <w:tcPr>
            <w:tcW w:w="975" w:type="dxa"/>
          </w:tcPr>
          <w:p w14:paraId="1AC77297" w14:textId="77777777" w:rsidR="00C30014" w:rsidRPr="007D2AD3" w:rsidRDefault="00C30014" w:rsidP="007D2AD3">
            <w:pPr>
              <w:pStyle w:val="RCTstable"/>
            </w:pPr>
            <w:r w:rsidRPr="007D2AD3">
              <w:t>Cochrane</w:t>
            </w:r>
          </w:p>
        </w:tc>
        <w:tc>
          <w:tcPr>
            <w:tcW w:w="4673" w:type="dxa"/>
          </w:tcPr>
          <w:p w14:paraId="7083CA8B" w14:textId="77777777" w:rsidR="00C30014" w:rsidRPr="007D2AD3" w:rsidRDefault="00C30014" w:rsidP="007D2AD3">
            <w:pPr>
              <w:pStyle w:val="RCTstable"/>
            </w:pPr>
            <w:r w:rsidRPr="007D2AD3">
              <w:t xml:space="preserve">((MeSH descriptor: [Pregnancy] explode all trees) </w:t>
            </w:r>
          </w:p>
          <w:p w14:paraId="0AFE1F79" w14:textId="77777777" w:rsidR="00C30014" w:rsidRPr="007D2AD3" w:rsidRDefault="00C30014" w:rsidP="007D2AD3">
            <w:pPr>
              <w:pStyle w:val="RCTstable"/>
            </w:pPr>
            <w:r w:rsidRPr="007D2AD3">
              <w:t xml:space="preserve">OR (MeSH descriptor: [Pregnant Women] explode all trees) </w:t>
            </w:r>
          </w:p>
          <w:p w14:paraId="520A2ADD" w14:textId="77777777" w:rsidR="00C30014" w:rsidRPr="007D2AD3" w:rsidRDefault="00C30014" w:rsidP="007D2AD3">
            <w:pPr>
              <w:pStyle w:val="RCTstable"/>
            </w:pPr>
            <w:r w:rsidRPr="007D2AD3">
              <w:t xml:space="preserve">OR ‘pregnan*’) </w:t>
            </w:r>
          </w:p>
          <w:p w14:paraId="6B1B4C2E" w14:textId="77777777" w:rsidR="00C30014" w:rsidRPr="007D2AD3" w:rsidRDefault="00C30014" w:rsidP="007D2AD3">
            <w:pPr>
              <w:pStyle w:val="RCTstable"/>
            </w:pPr>
            <w:r w:rsidRPr="007D2AD3">
              <w:t>AND</w:t>
            </w:r>
          </w:p>
          <w:p w14:paraId="3658BEF7" w14:textId="3C2D9058" w:rsidR="00C30014" w:rsidRPr="007D2AD3" w:rsidRDefault="00C30014" w:rsidP="007D2AD3">
            <w:pPr>
              <w:pStyle w:val="RCTstable"/>
            </w:pPr>
            <w:r w:rsidRPr="007D2AD3">
              <w:t>(MeSH Descriptor: [Ascorbic Acid] explode all trees)</w:t>
            </w:r>
          </w:p>
        </w:tc>
        <w:tc>
          <w:tcPr>
            <w:tcW w:w="1000" w:type="dxa"/>
          </w:tcPr>
          <w:p w14:paraId="05A2CCA5" w14:textId="77777777" w:rsidR="00C30014" w:rsidRPr="007D2AD3" w:rsidRDefault="00C30014" w:rsidP="007D2AD3">
            <w:pPr>
              <w:pStyle w:val="RCTstable"/>
            </w:pPr>
            <w:r w:rsidRPr="007D2AD3">
              <w:t>Mar 2015 to Dec 2019</w:t>
            </w:r>
          </w:p>
        </w:tc>
        <w:tc>
          <w:tcPr>
            <w:tcW w:w="1084" w:type="dxa"/>
          </w:tcPr>
          <w:p w14:paraId="51919149" w14:textId="77777777" w:rsidR="00C30014" w:rsidRPr="007D2AD3" w:rsidRDefault="00C30014" w:rsidP="007D2AD3">
            <w:pPr>
              <w:pStyle w:val="RCTstable"/>
            </w:pPr>
            <w:r w:rsidRPr="007D2AD3">
              <w:t>Trials + Cochrane reviews</w:t>
            </w:r>
          </w:p>
        </w:tc>
        <w:tc>
          <w:tcPr>
            <w:tcW w:w="746" w:type="dxa"/>
          </w:tcPr>
          <w:p w14:paraId="587F71F6" w14:textId="77777777" w:rsidR="00C30014" w:rsidRPr="007D2AD3" w:rsidRDefault="00C30014" w:rsidP="007D2AD3">
            <w:pPr>
              <w:pStyle w:val="RCTstable"/>
            </w:pPr>
            <w:r w:rsidRPr="007D2AD3">
              <w:t>100</w:t>
            </w:r>
          </w:p>
        </w:tc>
        <w:tc>
          <w:tcPr>
            <w:tcW w:w="802" w:type="dxa"/>
          </w:tcPr>
          <w:p w14:paraId="2C43DF68" w14:textId="77777777" w:rsidR="00C30014" w:rsidRPr="007D2AD3" w:rsidRDefault="00C30014" w:rsidP="007D2AD3">
            <w:pPr>
              <w:pStyle w:val="RCTstable"/>
            </w:pPr>
            <w:r w:rsidRPr="007D2AD3">
              <w:t>19-June-19</w:t>
            </w:r>
          </w:p>
        </w:tc>
      </w:tr>
    </w:tbl>
    <w:p w14:paraId="1B1B2B68" w14:textId="2B5EF819" w:rsidR="005536DE" w:rsidRDefault="005536DE" w:rsidP="00320FB8">
      <w:pPr>
        <w:pStyle w:val="Figure"/>
        <w:spacing w:before="240"/>
        <w:jc w:val="center"/>
      </w:pPr>
      <w:r>
        <w:rPr>
          <w:noProof/>
          <w:lang w:val="en-AU" w:eastAsia="en-AU"/>
        </w:rPr>
        <w:drawing>
          <wp:inline distT="0" distB="0" distL="0" distR="0" wp14:anchorId="7560A920" wp14:editId="50F0AD1A">
            <wp:extent cx="4523312" cy="457122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tamin C.png"/>
                    <pic:cNvPicPr/>
                  </pic:nvPicPr>
                  <pic:blipFill>
                    <a:blip r:embed="rId18">
                      <a:extLst>
                        <a:ext uri="{28A0092B-C50C-407E-A947-70E740481C1C}">
                          <a14:useLocalDpi xmlns:a14="http://schemas.microsoft.com/office/drawing/2010/main" val="0"/>
                        </a:ext>
                      </a:extLst>
                    </a:blip>
                    <a:stretch>
                      <a:fillRect/>
                    </a:stretch>
                  </pic:blipFill>
                  <pic:spPr>
                    <a:xfrm>
                      <a:off x="0" y="0"/>
                      <a:ext cx="4534547" cy="4582574"/>
                    </a:xfrm>
                    <a:prstGeom prst="rect">
                      <a:avLst/>
                    </a:prstGeom>
                  </pic:spPr>
                </pic:pic>
              </a:graphicData>
            </a:graphic>
          </wp:inline>
        </w:drawing>
      </w:r>
    </w:p>
    <w:p w14:paraId="7C5D070D" w14:textId="77777777" w:rsidR="005536DE" w:rsidRDefault="005536DE" w:rsidP="005536DE">
      <w:pPr>
        <w:pStyle w:val="Figurename"/>
      </w:pPr>
      <w:r>
        <w:t>PRISMA diagram: vitamin C</w:t>
      </w:r>
    </w:p>
    <w:p w14:paraId="2E03FFFB" w14:textId="38AE35DE" w:rsidR="00C30014" w:rsidRPr="00196D36" w:rsidRDefault="00C30014" w:rsidP="00C30014">
      <w:pPr>
        <w:pStyle w:val="Heading4"/>
      </w:pPr>
      <w:r>
        <w:t>Vitamin E</w:t>
      </w:r>
      <w:r w:rsidRPr="00196D36">
        <w:t xml:space="preserve"> Supplementation</w:t>
      </w:r>
      <w:r w:rsidR="000D04A0">
        <w:t xml:space="preserve"> (research question 3)</w:t>
      </w:r>
    </w:p>
    <w:p w14:paraId="6A801A52" w14:textId="77777777" w:rsidR="00C30014" w:rsidRDefault="00C30014" w:rsidP="00C30014">
      <w:r>
        <w:t>Previous vitamin c supplementation in pregnancy Cochrane search date: 31 March 2015</w:t>
      </w:r>
    </w:p>
    <w:p w14:paraId="4F7EA955" w14:textId="77777777" w:rsidR="00C30014" w:rsidRPr="00C30014" w:rsidRDefault="00C30014" w:rsidP="00C30014">
      <w:r w:rsidRPr="00C30014">
        <w:t>Rumbold  A, Ota  E, Hori  H, Miyazaki  C, Crowther  CA. Vitamin E supplementation in pregnancy. Cochrane Database of Systematic Reviews 2015, Issue 9. Art. No.: CD004069. DOI: 10.1002/14651858.CD004069.pub3.</w:t>
      </w:r>
    </w:p>
    <w:p w14:paraId="4725AE87" w14:textId="77777777" w:rsidR="00C30014" w:rsidRDefault="00C30014" w:rsidP="00C30014">
      <w:pPr>
        <w:keepNext/>
        <w:rPr>
          <w:shd w:val="clear" w:color="auto" w:fill="FFFFFF"/>
        </w:rPr>
      </w:pPr>
      <w:r>
        <w:rPr>
          <w:shd w:val="clear" w:color="auto" w:fill="FFFFFF"/>
        </w:rPr>
        <w:t>Synonyms for vitamin E:</w:t>
      </w:r>
    </w:p>
    <w:p w14:paraId="0BA55513" w14:textId="77777777" w:rsidR="00C30014" w:rsidRPr="00097DAE" w:rsidRDefault="00C30014" w:rsidP="00C30014">
      <w:pPr>
        <w:pStyle w:val="bullet"/>
        <w:rPr>
          <w:shd w:val="clear" w:color="auto" w:fill="FFFFFF"/>
        </w:rPr>
      </w:pPr>
      <w:r w:rsidRPr="00097DAE">
        <w:rPr>
          <w:shd w:val="clear" w:color="auto" w:fill="FFFFFF"/>
        </w:rPr>
        <w:t>gamma-tocopherol</w:t>
      </w:r>
    </w:p>
    <w:p w14:paraId="60BD802F" w14:textId="77777777" w:rsidR="00C30014" w:rsidRPr="00097DAE" w:rsidRDefault="00C30014" w:rsidP="00C30014">
      <w:pPr>
        <w:pStyle w:val="bullet"/>
        <w:rPr>
          <w:shd w:val="clear" w:color="auto" w:fill="FFFFFF"/>
        </w:rPr>
      </w:pPr>
      <w:r w:rsidRPr="00097DAE">
        <w:rPr>
          <w:shd w:val="clear" w:color="auto" w:fill="FFFFFF"/>
        </w:rPr>
        <w:t>alpha-tocopherol</w:t>
      </w:r>
    </w:p>
    <w:p w14:paraId="60EB7373" w14:textId="77777777" w:rsidR="00C30014" w:rsidRPr="00696104" w:rsidRDefault="00C30014" w:rsidP="00C30014">
      <w:pPr>
        <w:pStyle w:val="bullet"/>
      </w:pPr>
      <w:r w:rsidRPr="00696104">
        <w:t>tocopherol</w:t>
      </w:r>
    </w:p>
    <w:p w14:paraId="43B8DD97" w14:textId="77777777" w:rsidR="00C30014" w:rsidRDefault="00C30014" w:rsidP="0067608C">
      <w:pPr>
        <w:keepNext/>
        <w:rPr>
          <w:b/>
        </w:rPr>
      </w:pPr>
      <w:r>
        <w:rPr>
          <w:b/>
        </w:rPr>
        <w:t>Current search dates:</w:t>
      </w:r>
    </w:p>
    <w:p w14:paraId="2619C964" w14:textId="77777777" w:rsidR="00C30014" w:rsidRPr="00196D36" w:rsidRDefault="00C30014" w:rsidP="0067608C">
      <w:pPr>
        <w:keepNext/>
      </w:pPr>
      <w:r>
        <w:t>31-Mar-2015-current</w:t>
      </w:r>
    </w:p>
    <w:tbl>
      <w:tblPr>
        <w:tblStyle w:val="TableGrid"/>
        <w:tblW w:w="0" w:type="auto"/>
        <w:tblLook w:val="04A0" w:firstRow="1" w:lastRow="0" w:firstColumn="1" w:lastColumn="0" w:noHBand="0" w:noVBand="1"/>
      </w:tblPr>
      <w:tblGrid>
        <w:gridCol w:w="975"/>
        <w:gridCol w:w="4617"/>
        <w:gridCol w:w="1025"/>
        <w:gridCol w:w="1076"/>
        <w:gridCol w:w="767"/>
        <w:gridCol w:w="820"/>
      </w:tblGrid>
      <w:tr w:rsidR="00C30014" w:rsidRPr="007D2AD3" w14:paraId="11187F2B" w14:textId="77777777" w:rsidTr="00C30014">
        <w:tc>
          <w:tcPr>
            <w:tcW w:w="1489" w:type="dxa"/>
          </w:tcPr>
          <w:p w14:paraId="464FCB82" w14:textId="77777777" w:rsidR="00C30014" w:rsidRPr="007D2AD3" w:rsidRDefault="00C30014" w:rsidP="0067608C">
            <w:pPr>
              <w:pStyle w:val="RCTstable"/>
              <w:keepNext/>
              <w:rPr>
                <w:b/>
              </w:rPr>
            </w:pPr>
            <w:r w:rsidRPr="007D2AD3">
              <w:rPr>
                <w:b/>
              </w:rPr>
              <w:t>Database</w:t>
            </w:r>
          </w:p>
        </w:tc>
        <w:tc>
          <w:tcPr>
            <w:tcW w:w="6113" w:type="dxa"/>
          </w:tcPr>
          <w:p w14:paraId="7E3F0D52" w14:textId="77777777" w:rsidR="00C30014" w:rsidRPr="007D2AD3" w:rsidRDefault="00C30014" w:rsidP="0067608C">
            <w:pPr>
              <w:pStyle w:val="RCTstable"/>
              <w:keepNext/>
              <w:rPr>
                <w:b/>
              </w:rPr>
            </w:pPr>
            <w:r w:rsidRPr="007D2AD3">
              <w:rPr>
                <w:b/>
              </w:rPr>
              <w:t>Search Strategy</w:t>
            </w:r>
          </w:p>
        </w:tc>
        <w:tc>
          <w:tcPr>
            <w:tcW w:w="1753" w:type="dxa"/>
          </w:tcPr>
          <w:p w14:paraId="53EEED7C" w14:textId="77777777" w:rsidR="00C30014" w:rsidRPr="007D2AD3" w:rsidRDefault="00C30014" w:rsidP="0067608C">
            <w:pPr>
              <w:pStyle w:val="RCTstable"/>
              <w:keepNext/>
              <w:rPr>
                <w:b/>
              </w:rPr>
            </w:pPr>
            <w:r w:rsidRPr="007D2AD3">
              <w:rPr>
                <w:b/>
              </w:rPr>
              <w:t>Dates Searched</w:t>
            </w:r>
          </w:p>
        </w:tc>
        <w:tc>
          <w:tcPr>
            <w:tcW w:w="2217" w:type="dxa"/>
          </w:tcPr>
          <w:p w14:paraId="1019A111" w14:textId="77777777" w:rsidR="00C30014" w:rsidRPr="007D2AD3" w:rsidRDefault="00C30014" w:rsidP="0067608C">
            <w:pPr>
              <w:pStyle w:val="RCTstable"/>
              <w:keepNext/>
              <w:rPr>
                <w:b/>
              </w:rPr>
            </w:pPr>
            <w:r w:rsidRPr="007D2AD3">
              <w:rPr>
                <w:b/>
              </w:rPr>
              <w:t>Limits set</w:t>
            </w:r>
          </w:p>
        </w:tc>
        <w:tc>
          <w:tcPr>
            <w:tcW w:w="875" w:type="dxa"/>
          </w:tcPr>
          <w:p w14:paraId="4244B5AF" w14:textId="77777777" w:rsidR="00C30014" w:rsidRPr="007D2AD3" w:rsidRDefault="00C30014" w:rsidP="0067608C">
            <w:pPr>
              <w:pStyle w:val="RCTstable"/>
              <w:keepNext/>
              <w:rPr>
                <w:b/>
              </w:rPr>
            </w:pPr>
            <w:r w:rsidRPr="007D2AD3">
              <w:rPr>
                <w:b/>
              </w:rPr>
              <w:t>Results</w:t>
            </w:r>
          </w:p>
        </w:tc>
        <w:tc>
          <w:tcPr>
            <w:tcW w:w="1501" w:type="dxa"/>
          </w:tcPr>
          <w:p w14:paraId="60FAD05E" w14:textId="77777777" w:rsidR="00C30014" w:rsidRPr="007D2AD3" w:rsidRDefault="00C30014" w:rsidP="0067608C">
            <w:pPr>
              <w:pStyle w:val="RCTstable"/>
              <w:keepNext/>
              <w:rPr>
                <w:b/>
              </w:rPr>
            </w:pPr>
            <w:r w:rsidRPr="007D2AD3">
              <w:rPr>
                <w:b/>
              </w:rPr>
              <w:t>Date of search</w:t>
            </w:r>
          </w:p>
        </w:tc>
      </w:tr>
      <w:tr w:rsidR="00C30014" w:rsidRPr="007D2AD3" w14:paraId="5169C24A" w14:textId="77777777" w:rsidTr="00C30014">
        <w:tc>
          <w:tcPr>
            <w:tcW w:w="1489" w:type="dxa"/>
          </w:tcPr>
          <w:p w14:paraId="73D34000" w14:textId="77777777" w:rsidR="00C30014" w:rsidRPr="007D2AD3" w:rsidRDefault="00C30014" w:rsidP="007D2AD3">
            <w:pPr>
              <w:pStyle w:val="RCTstable"/>
            </w:pPr>
            <w:r w:rsidRPr="007D2AD3">
              <w:t>Pubmed</w:t>
            </w:r>
          </w:p>
        </w:tc>
        <w:tc>
          <w:tcPr>
            <w:tcW w:w="6113" w:type="dxa"/>
          </w:tcPr>
          <w:p w14:paraId="0A4B46BA" w14:textId="77777777" w:rsidR="00C30014" w:rsidRPr="007D2AD3" w:rsidRDefault="00C30014" w:rsidP="007D2AD3">
            <w:pPr>
              <w:pStyle w:val="RCTstable"/>
            </w:pPr>
            <w:r w:rsidRPr="007D2AD3">
              <w:t xml:space="preserve">(("pregnancy"[Mesh]) OR ("pregnan*"[All Fields]) OR ("prenatal*"[All Fields])) </w:t>
            </w:r>
          </w:p>
          <w:p w14:paraId="04E4F177" w14:textId="77777777" w:rsidR="00C30014" w:rsidRPr="007D2AD3" w:rsidRDefault="00C30014" w:rsidP="007D2AD3">
            <w:pPr>
              <w:pStyle w:val="RCTstable"/>
            </w:pPr>
            <w:r w:rsidRPr="007D2AD3">
              <w:t xml:space="preserve">AND ("Vitamin E"[Mesh] OR "vitamin E"[All Fields] OR “tocopherol”[All Fields]) </w:t>
            </w:r>
          </w:p>
        </w:tc>
        <w:tc>
          <w:tcPr>
            <w:tcW w:w="1753" w:type="dxa"/>
          </w:tcPr>
          <w:p w14:paraId="5E1015EE" w14:textId="77777777" w:rsidR="00C30014" w:rsidRPr="007D2AD3" w:rsidRDefault="00C30014" w:rsidP="007D2AD3">
            <w:pPr>
              <w:pStyle w:val="RCTstable"/>
            </w:pPr>
            <w:r w:rsidRPr="007D2AD3">
              <w:t>31-Mar-2015 to 31-Dec-2019</w:t>
            </w:r>
          </w:p>
        </w:tc>
        <w:tc>
          <w:tcPr>
            <w:tcW w:w="2217" w:type="dxa"/>
          </w:tcPr>
          <w:p w14:paraId="2A26320A" w14:textId="77777777" w:rsidR="00C30014" w:rsidRPr="007D2AD3" w:rsidRDefault="00C30014" w:rsidP="007D2AD3">
            <w:pPr>
              <w:pStyle w:val="RCTstable"/>
            </w:pPr>
            <w:r w:rsidRPr="007D2AD3">
              <w:t>Human</w:t>
            </w:r>
          </w:p>
          <w:p w14:paraId="165A76A9" w14:textId="77777777" w:rsidR="00C30014" w:rsidRPr="007D2AD3" w:rsidRDefault="00C30014" w:rsidP="007D2AD3">
            <w:pPr>
              <w:pStyle w:val="RCTstable"/>
            </w:pPr>
            <w:r w:rsidRPr="007D2AD3">
              <w:t>English Language</w:t>
            </w:r>
          </w:p>
        </w:tc>
        <w:tc>
          <w:tcPr>
            <w:tcW w:w="875" w:type="dxa"/>
          </w:tcPr>
          <w:p w14:paraId="278700BF" w14:textId="77777777" w:rsidR="00C30014" w:rsidRPr="007D2AD3" w:rsidRDefault="00C30014" w:rsidP="007D2AD3">
            <w:pPr>
              <w:pStyle w:val="RCTstable"/>
            </w:pPr>
            <w:r w:rsidRPr="007D2AD3">
              <w:t>86</w:t>
            </w:r>
          </w:p>
        </w:tc>
        <w:tc>
          <w:tcPr>
            <w:tcW w:w="1501" w:type="dxa"/>
          </w:tcPr>
          <w:p w14:paraId="01346094" w14:textId="77777777" w:rsidR="00C30014" w:rsidRPr="007D2AD3" w:rsidRDefault="00C30014" w:rsidP="007D2AD3">
            <w:pPr>
              <w:pStyle w:val="RCTstable"/>
            </w:pPr>
            <w:r w:rsidRPr="007D2AD3">
              <w:t>19-June-19</w:t>
            </w:r>
          </w:p>
        </w:tc>
      </w:tr>
      <w:tr w:rsidR="00C30014" w:rsidRPr="007D2AD3" w14:paraId="7C1B4FF0" w14:textId="77777777" w:rsidTr="00C30014">
        <w:tc>
          <w:tcPr>
            <w:tcW w:w="1489" w:type="dxa"/>
          </w:tcPr>
          <w:p w14:paraId="614F7762" w14:textId="77777777" w:rsidR="00C30014" w:rsidRPr="007D2AD3" w:rsidRDefault="00C30014" w:rsidP="007D2AD3">
            <w:pPr>
              <w:pStyle w:val="RCTstable"/>
            </w:pPr>
            <w:r w:rsidRPr="007D2AD3">
              <w:t>Ovid medline</w:t>
            </w:r>
          </w:p>
        </w:tc>
        <w:tc>
          <w:tcPr>
            <w:tcW w:w="6113" w:type="dxa"/>
          </w:tcPr>
          <w:p w14:paraId="40A3E27D" w14:textId="77777777" w:rsidR="00C30014" w:rsidRPr="007D2AD3" w:rsidRDefault="00C30014" w:rsidP="007D2AD3">
            <w:pPr>
              <w:pStyle w:val="RCTstable"/>
            </w:pPr>
            <w:r w:rsidRPr="007D2AD3">
              <w:t xml:space="preserve">(Pregnancy/syn or Pregnan*.mp.) AND </w:t>
            </w:r>
            <w:r w:rsidRPr="007D2AD3">
              <w:rPr>
                <w:rFonts w:eastAsiaTheme="minorEastAsia"/>
              </w:rPr>
              <w:t>(Vitamin E or tocopherol).mp.</w:t>
            </w:r>
          </w:p>
          <w:p w14:paraId="6A34A0DC" w14:textId="77777777" w:rsidR="00C30014" w:rsidRPr="007D2AD3" w:rsidRDefault="00C30014" w:rsidP="007D2AD3">
            <w:pPr>
              <w:pStyle w:val="RCTstable"/>
            </w:pPr>
          </w:p>
        </w:tc>
        <w:tc>
          <w:tcPr>
            <w:tcW w:w="1753" w:type="dxa"/>
          </w:tcPr>
          <w:p w14:paraId="000C14C2" w14:textId="77777777" w:rsidR="00C30014" w:rsidRPr="007D2AD3" w:rsidRDefault="00C30014" w:rsidP="007D2AD3">
            <w:pPr>
              <w:pStyle w:val="RCTstable"/>
            </w:pPr>
            <w:r w:rsidRPr="007D2AD3">
              <w:t>2015-Current</w:t>
            </w:r>
          </w:p>
        </w:tc>
        <w:tc>
          <w:tcPr>
            <w:tcW w:w="2217" w:type="dxa"/>
          </w:tcPr>
          <w:p w14:paraId="6A84FB1D" w14:textId="77777777" w:rsidR="00C30014" w:rsidRPr="007D2AD3" w:rsidRDefault="00C30014" w:rsidP="007D2AD3">
            <w:pPr>
              <w:pStyle w:val="RCTstable"/>
            </w:pPr>
            <w:r w:rsidRPr="007D2AD3">
              <w:t>English Language</w:t>
            </w:r>
          </w:p>
          <w:p w14:paraId="0AA280ED" w14:textId="77777777" w:rsidR="00C30014" w:rsidRPr="007D2AD3" w:rsidRDefault="00C30014" w:rsidP="007D2AD3">
            <w:pPr>
              <w:pStyle w:val="RCTstable"/>
            </w:pPr>
            <w:r w:rsidRPr="007D2AD3">
              <w:t>Human</w:t>
            </w:r>
          </w:p>
        </w:tc>
        <w:tc>
          <w:tcPr>
            <w:tcW w:w="875" w:type="dxa"/>
          </w:tcPr>
          <w:p w14:paraId="1738A8BE" w14:textId="77777777" w:rsidR="00C30014" w:rsidRPr="007D2AD3" w:rsidRDefault="00C30014" w:rsidP="007D2AD3">
            <w:pPr>
              <w:pStyle w:val="RCTstable"/>
            </w:pPr>
            <w:r w:rsidRPr="007D2AD3">
              <w:t>108</w:t>
            </w:r>
          </w:p>
        </w:tc>
        <w:tc>
          <w:tcPr>
            <w:tcW w:w="1501" w:type="dxa"/>
          </w:tcPr>
          <w:p w14:paraId="73AE2DAE" w14:textId="77777777" w:rsidR="00C30014" w:rsidRPr="007D2AD3" w:rsidRDefault="00C30014" w:rsidP="007D2AD3">
            <w:pPr>
              <w:pStyle w:val="RCTstable"/>
            </w:pPr>
            <w:r w:rsidRPr="007D2AD3">
              <w:t>19-June-19</w:t>
            </w:r>
          </w:p>
        </w:tc>
      </w:tr>
      <w:tr w:rsidR="00C30014" w:rsidRPr="007D2AD3" w14:paraId="4B1E023D" w14:textId="77777777" w:rsidTr="00C30014">
        <w:tc>
          <w:tcPr>
            <w:tcW w:w="1489" w:type="dxa"/>
          </w:tcPr>
          <w:p w14:paraId="3ED6A166" w14:textId="77777777" w:rsidR="00C30014" w:rsidRPr="007D2AD3" w:rsidRDefault="00C30014" w:rsidP="007D2AD3">
            <w:pPr>
              <w:pStyle w:val="RCTstable"/>
            </w:pPr>
            <w:r w:rsidRPr="007D2AD3">
              <w:t>Embase</w:t>
            </w:r>
          </w:p>
        </w:tc>
        <w:tc>
          <w:tcPr>
            <w:tcW w:w="6113" w:type="dxa"/>
          </w:tcPr>
          <w:p w14:paraId="4AFA9F98" w14:textId="77777777" w:rsidR="00C30014" w:rsidRPr="007D2AD3" w:rsidRDefault="00C30014" w:rsidP="007D2AD3">
            <w:pPr>
              <w:pStyle w:val="RCTstable"/>
            </w:pPr>
            <w:r w:rsidRPr="007D2AD3">
              <w:t xml:space="preserve">('pregnancy'/exp  OR pregnan*) </w:t>
            </w:r>
          </w:p>
          <w:p w14:paraId="0BC96662" w14:textId="77777777" w:rsidR="00C30014" w:rsidRPr="007D2AD3" w:rsidRDefault="00C30014" w:rsidP="007D2AD3">
            <w:pPr>
              <w:pStyle w:val="RCTstable"/>
            </w:pPr>
            <w:r w:rsidRPr="007D2AD3">
              <w:t xml:space="preserve">AND </w:t>
            </w:r>
            <w:r w:rsidRPr="007D2AD3">
              <w:rPr>
                <w:rFonts w:eastAsiaTheme="minorEastAsia"/>
              </w:rPr>
              <w:t>(‘Vitamin E’ OR 'tocopherol'/exp OR ‘tocopherol’)</w:t>
            </w:r>
          </w:p>
        </w:tc>
        <w:tc>
          <w:tcPr>
            <w:tcW w:w="1753" w:type="dxa"/>
          </w:tcPr>
          <w:p w14:paraId="4869811D" w14:textId="77777777" w:rsidR="00C30014" w:rsidRPr="007D2AD3" w:rsidRDefault="00C30014" w:rsidP="007D2AD3">
            <w:pPr>
              <w:pStyle w:val="RCTstable"/>
            </w:pPr>
            <w:r w:rsidRPr="007D2AD3">
              <w:t>2015-2019</w:t>
            </w:r>
          </w:p>
        </w:tc>
        <w:tc>
          <w:tcPr>
            <w:tcW w:w="2217" w:type="dxa"/>
          </w:tcPr>
          <w:p w14:paraId="128B0244" w14:textId="77777777" w:rsidR="00C30014" w:rsidRPr="007D2AD3" w:rsidRDefault="00C30014" w:rsidP="007D2AD3">
            <w:pPr>
              <w:pStyle w:val="RCTstable"/>
            </w:pPr>
            <w:r w:rsidRPr="007D2AD3">
              <w:t>English Language</w:t>
            </w:r>
          </w:p>
          <w:p w14:paraId="79E29E2D" w14:textId="77777777" w:rsidR="00C30014" w:rsidRPr="007D2AD3" w:rsidRDefault="00C30014" w:rsidP="007D2AD3">
            <w:pPr>
              <w:pStyle w:val="RCTstable"/>
            </w:pPr>
            <w:r w:rsidRPr="007D2AD3">
              <w:t>Human</w:t>
            </w:r>
          </w:p>
        </w:tc>
        <w:tc>
          <w:tcPr>
            <w:tcW w:w="875" w:type="dxa"/>
          </w:tcPr>
          <w:p w14:paraId="05DB1C63" w14:textId="77777777" w:rsidR="00C30014" w:rsidRPr="007D2AD3" w:rsidRDefault="00C30014" w:rsidP="007D2AD3">
            <w:pPr>
              <w:pStyle w:val="RCTstable"/>
            </w:pPr>
            <w:r w:rsidRPr="007D2AD3">
              <w:t>404</w:t>
            </w:r>
          </w:p>
        </w:tc>
        <w:tc>
          <w:tcPr>
            <w:tcW w:w="1501" w:type="dxa"/>
          </w:tcPr>
          <w:p w14:paraId="41DCB524" w14:textId="77777777" w:rsidR="00C30014" w:rsidRPr="007D2AD3" w:rsidRDefault="00C30014" w:rsidP="007D2AD3">
            <w:pPr>
              <w:pStyle w:val="RCTstable"/>
            </w:pPr>
            <w:r w:rsidRPr="007D2AD3">
              <w:t>19-June-19</w:t>
            </w:r>
          </w:p>
        </w:tc>
      </w:tr>
      <w:tr w:rsidR="00C30014" w:rsidRPr="007D2AD3" w14:paraId="5CC9D2F3" w14:textId="77777777" w:rsidTr="00C30014">
        <w:tc>
          <w:tcPr>
            <w:tcW w:w="1489" w:type="dxa"/>
          </w:tcPr>
          <w:p w14:paraId="5948C808" w14:textId="77777777" w:rsidR="00C30014" w:rsidRPr="007D2AD3" w:rsidRDefault="00C30014" w:rsidP="007D2AD3">
            <w:pPr>
              <w:pStyle w:val="RCTstable"/>
            </w:pPr>
            <w:r w:rsidRPr="007D2AD3">
              <w:t>CINAHL</w:t>
            </w:r>
          </w:p>
        </w:tc>
        <w:tc>
          <w:tcPr>
            <w:tcW w:w="6113" w:type="dxa"/>
          </w:tcPr>
          <w:p w14:paraId="582ECDFF" w14:textId="77777777" w:rsidR="00C30014" w:rsidRPr="007D2AD3" w:rsidRDefault="00C30014" w:rsidP="007D2AD3">
            <w:pPr>
              <w:pStyle w:val="RCTstable"/>
            </w:pPr>
            <w:r w:rsidRPr="007D2AD3">
              <w:t xml:space="preserve">( (MH "Pregnancy+") OR (MH "Pregnancy Trimesters+") OR (MM "Prenatal Nutritional Physiology") OR (MM "Prenatal Exposure Delayed Effects") OR ("Pregnan*") ) </w:t>
            </w:r>
          </w:p>
          <w:p w14:paraId="16A1897B" w14:textId="77777777" w:rsidR="00C30014" w:rsidRPr="007D2AD3" w:rsidRDefault="00C30014" w:rsidP="007D2AD3">
            <w:pPr>
              <w:pStyle w:val="RCTstable"/>
            </w:pPr>
            <w:r w:rsidRPr="007D2AD3">
              <w:t>AND TX ( (MM "Vitamin E") OR (AB "Vitamin E") OR (AB “tocopherol”) )</w:t>
            </w:r>
          </w:p>
        </w:tc>
        <w:tc>
          <w:tcPr>
            <w:tcW w:w="1753" w:type="dxa"/>
          </w:tcPr>
          <w:p w14:paraId="4E23DEFE" w14:textId="77777777" w:rsidR="00C30014" w:rsidRPr="007D2AD3" w:rsidRDefault="00C30014" w:rsidP="007D2AD3">
            <w:pPr>
              <w:pStyle w:val="RCTstable"/>
            </w:pPr>
            <w:r w:rsidRPr="007D2AD3">
              <w:t>2015-2019</w:t>
            </w:r>
          </w:p>
        </w:tc>
        <w:tc>
          <w:tcPr>
            <w:tcW w:w="2217" w:type="dxa"/>
          </w:tcPr>
          <w:p w14:paraId="512E8FAA" w14:textId="77777777" w:rsidR="00C30014" w:rsidRPr="007D2AD3" w:rsidRDefault="00C30014" w:rsidP="007D2AD3">
            <w:pPr>
              <w:pStyle w:val="RCTstable"/>
            </w:pPr>
            <w:r w:rsidRPr="007D2AD3">
              <w:t>English</w:t>
            </w:r>
          </w:p>
        </w:tc>
        <w:tc>
          <w:tcPr>
            <w:tcW w:w="875" w:type="dxa"/>
          </w:tcPr>
          <w:p w14:paraId="024A3AFD" w14:textId="77777777" w:rsidR="00C30014" w:rsidRPr="007D2AD3" w:rsidRDefault="00C30014" w:rsidP="007D2AD3">
            <w:pPr>
              <w:pStyle w:val="RCTstable"/>
            </w:pPr>
            <w:r w:rsidRPr="007D2AD3">
              <w:t>67</w:t>
            </w:r>
          </w:p>
        </w:tc>
        <w:tc>
          <w:tcPr>
            <w:tcW w:w="1501" w:type="dxa"/>
          </w:tcPr>
          <w:p w14:paraId="74C5A14C" w14:textId="77777777" w:rsidR="00C30014" w:rsidRPr="007D2AD3" w:rsidRDefault="00C30014" w:rsidP="007D2AD3">
            <w:pPr>
              <w:pStyle w:val="RCTstable"/>
            </w:pPr>
            <w:r w:rsidRPr="007D2AD3">
              <w:t>19-June-19</w:t>
            </w:r>
          </w:p>
        </w:tc>
      </w:tr>
      <w:tr w:rsidR="00C30014" w:rsidRPr="007D2AD3" w14:paraId="51830744" w14:textId="77777777" w:rsidTr="00C30014">
        <w:tc>
          <w:tcPr>
            <w:tcW w:w="1489" w:type="dxa"/>
          </w:tcPr>
          <w:p w14:paraId="45AEAC3D" w14:textId="77777777" w:rsidR="00C30014" w:rsidRPr="007D2AD3" w:rsidRDefault="00C30014" w:rsidP="007D2AD3">
            <w:pPr>
              <w:pStyle w:val="RCTstable"/>
            </w:pPr>
            <w:r w:rsidRPr="007D2AD3">
              <w:t>SCOPUS</w:t>
            </w:r>
          </w:p>
        </w:tc>
        <w:tc>
          <w:tcPr>
            <w:tcW w:w="6113" w:type="dxa"/>
          </w:tcPr>
          <w:p w14:paraId="59127294" w14:textId="77777777" w:rsidR="00C30014" w:rsidRPr="007D2AD3" w:rsidRDefault="00C30014" w:rsidP="007D2AD3">
            <w:pPr>
              <w:pStyle w:val="RCTstable"/>
            </w:pPr>
            <w:r w:rsidRPr="007D2AD3">
              <w:t>TITLE-ABS-KEY </w:t>
            </w:r>
            <w:r w:rsidRPr="007D2AD3">
              <w:rPr>
                <w:rFonts w:eastAsiaTheme="majorEastAsia"/>
              </w:rPr>
              <w:t>(</w:t>
            </w:r>
            <w:r w:rsidRPr="007D2AD3">
              <w:t> </w:t>
            </w:r>
            <w:r w:rsidRPr="007D2AD3">
              <w:rPr>
                <w:rFonts w:eastAsiaTheme="majorEastAsia"/>
              </w:rPr>
              <w:t>(</w:t>
            </w:r>
            <w:r w:rsidRPr="007D2AD3">
              <w:t> </w:t>
            </w:r>
            <w:r w:rsidRPr="007D2AD3">
              <w:rPr>
                <w:rFonts w:eastAsiaTheme="majorEastAsia"/>
              </w:rPr>
              <w:t>(</w:t>
            </w:r>
            <w:r w:rsidRPr="007D2AD3">
              <w:t> "pregnan*" </w:t>
            </w:r>
            <w:r w:rsidRPr="007D2AD3">
              <w:rPr>
                <w:rFonts w:eastAsiaTheme="majorEastAsia"/>
              </w:rPr>
              <w:t>)</w:t>
            </w:r>
            <w:r w:rsidRPr="007D2AD3">
              <w:t>  </w:t>
            </w:r>
            <w:r w:rsidRPr="007D2AD3">
              <w:rPr>
                <w:rFonts w:eastAsiaTheme="majorEastAsia"/>
              </w:rPr>
              <w:t>OR</w:t>
            </w:r>
            <w:r w:rsidRPr="007D2AD3">
              <w:t>  </w:t>
            </w:r>
            <w:r w:rsidRPr="007D2AD3">
              <w:rPr>
                <w:rFonts w:eastAsiaTheme="majorEastAsia"/>
              </w:rPr>
              <w:t>(</w:t>
            </w:r>
            <w:r w:rsidRPr="007D2AD3">
              <w:t> prenatal* </w:t>
            </w:r>
            <w:r w:rsidRPr="007D2AD3">
              <w:rPr>
                <w:rFonts w:eastAsiaTheme="majorEastAsia"/>
              </w:rPr>
              <w:t>)</w:t>
            </w:r>
            <w:r w:rsidRPr="007D2AD3">
              <w:t> </w:t>
            </w:r>
            <w:r w:rsidRPr="007D2AD3">
              <w:rPr>
                <w:rFonts w:eastAsiaTheme="majorEastAsia"/>
              </w:rPr>
              <w:t>)</w:t>
            </w:r>
            <w:r w:rsidRPr="007D2AD3">
              <w:t>  </w:t>
            </w:r>
            <w:r w:rsidRPr="007D2AD3">
              <w:rPr>
                <w:rFonts w:eastAsiaTheme="majorEastAsia"/>
              </w:rPr>
              <w:t>AND</w:t>
            </w:r>
            <w:r w:rsidRPr="007D2AD3">
              <w:t>  </w:t>
            </w:r>
            <w:r w:rsidRPr="007D2AD3">
              <w:rPr>
                <w:rFonts w:eastAsiaTheme="majorEastAsia"/>
              </w:rPr>
              <w:t>(</w:t>
            </w:r>
            <w:r w:rsidRPr="007D2AD3">
              <w:t> </w:t>
            </w:r>
            <w:r w:rsidRPr="007D2AD3">
              <w:rPr>
                <w:rFonts w:eastAsiaTheme="majorEastAsia"/>
              </w:rPr>
              <w:t>(</w:t>
            </w:r>
            <w:r w:rsidRPr="007D2AD3">
              <w:t> "vitamin E" </w:t>
            </w:r>
            <w:r w:rsidRPr="007D2AD3">
              <w:rPr>
                <w:rFonts w:eastAsiaTheme="majorEastAsia"/>
              </w:rPr>
              <w:t>)</w:t>
            </w:r>
            <w:r w:rsidRPr="007D2AD3">
              <w:t>  </w:t>
            </w:r>
            <w:r w:rsidRPr="007D2AD3">
              <w:rPr>
                <w:rFonts w:eastAsiaTheme="majorEastAsia"/>
              </w:rPr>
              <w:t>OR</w:t>
            </w:r>
            <w:r w:rsidRPr="007D2AD3">
              <w:t>  </w:t>
            </w:r>
            <w:r w:rsidRPr="007D2AD3">
              <w:rPr>
                <w:rFonts w:eastAsiaTheme="majorEastAsia"/>
              </w:rPr>
              <w:t>(</w:t>
            </w:r>
            <w:r w:rsidRPr="007D2AD3">
              <w:t> "gamma-tocopherol" </w:t>
            </w:r>
            <w:r w:rsidRPr="007D2AD3">
              <w:rPr>
                <w:rFonts w:eastAsiaTheme="majorEastAsia"/>
              </w:rPr>
              <w:t>)</w:t>
            </w:r>
            <w:r w:rsidRPr="007D2AD3">
              <w:t>  </w:t>
            </w:r>
            <w:r w:rsidRPr="007D2AD3">
              <w:rPr>
                <w:rFonts w:eastAsiaTheme="majorEastAsia"/>
              </w:rPr>
              <w:t>OR</w:t>
            </w:r>
            <w:r w:rsidRPr="007D2AD3">
              <w:t>  </w:t>
            </w:r>
            <w:r w:rsidRPr="007D2AD3">
              <w:rPr>
                <w:rFonts w:eastAsiaTheme="majorEastAsia"/>
              </w:rPr>
              <w:t>(</w:t>
            </w:r>
            <w:r w:rsidRPr="007D2AD3">
              <w:t> "alpha-tocopherol" </w:t>
            </w:r>
            <w:r w:rsidRPr="007D2AD3">
              <w:rPr>
                <w:rFonts w:eastAsiaTheme="majorEastAsia"/>
              </w:rPr>
              <w:t>) OR ( “tocopherol” ))</w:t>
            </w:r>
            <w:r w:rsidRPr="007D2AD3">
              <w:t> </w:t>
            </w:r>
            <w:r w:rsidRPr="007D2AD3">
              <w:rPr>
                <w:rFonts w:eastAsiaTheme="majorEastAsia"/>
              </w:rPr>
              <w:t>)</w:t>
            </w:r>
          </w:p>
        </w:tc>
        <w:tc>
          <w:tcPr>
            <w:tcW w:w="1753" w:type="dxa"/>
          </w:tcPr>
          <w:p w14:paraId="33C2907A" w14:textId="77777777" w:rsidR="00C30014" w:rsidRPr="007D2AD3" w:rsidRDefault="00C30014" w:rsidP="007D2AD3">
            <w:pPr>
              <w:pStyle w:val="RCTstable"/>
            </w:pPr>
            <w:r w:rsidRPr="007D2AD3">
              <w:t>2015 - 2019</w:t>
            </w:r>
          </w:p>
        </w:tc>
        <w:tc>
          <w:tcPr>
            <w:tcW w:w="2217" w:type="dxa"/>
          </w:tcPr>
          <w:p w14:paraId="4A2D63B3" w14:textId="77777777" w:rsidR="00C30014" w:rsidRPr="007D2AD3" w:rsidRDefault="00C30014" w:rsidP="007D2AD3">
            <w:pPr>
              <w:pStyle w:val="RCTstable"/>
            </w:pPr>
            <w:r w:rsidRPr="007D2AD3">
              <w:t>English</w:t>
            </w:r>
          </w:p>
        </w:tc>
        <w:tc>
          <w:tcPr>
            <w:tcW w:w="875" w:type="dxa"/>
          </w:tcPr>
          <w:p w14:paraId="4A569987" w14:textId="77777777" w:rsidR="00C30014" w:rsidRPr="007D2AD3" w:rsidRDefault="00C30014" w:rsidP="007D2AD3">
            <w:pPr>
              <w:pStyle w:val="RCTstable"/>
            </w:pPr>
            <w:r w:rsidRPr="007D2AD3">
              <w:t>504</w:t>
            </w:r>
          </w:p>
        </w:tc>
        <w:tc>
          <w:tcPr>
            <w:tcW w:w="1501" w:type="dxa"/>
          </w:tcPr>
          <w:p w14:paraId="774C9F2A" w14:textId="77777777" w:rsidR="00C30014" w:rsidRPr="007D2AD3" w:rsidRDefault="00C30014" w:rsidP="007D2AD3">
            <w:pPr>
              <w:pStyle w:val="RCTstable"/>
            </w:pPr>
            <w:r w:rsidRPr="007D2AD3">
              <w:t>19-June-19</w:t>
            </w:r>
          </w:p>
        </w:tc>
      </w:tr>
      <w:tr w:rsidR="00C30014" w:rsidRPr="007D2AD3" w14:paraId="2F34AC74" w14:textId="77777777" w:rsidTr="00C30014">
        <w:tc>
          <w:tcPr>
            <w:tcW w:w="1489" w:type="dxa"/>
          </w:tcPr>
          <w:p w14:paraId="2ABAA308" w14:textId="77777777" w:rsidR="00C30014" w:rsidRPr="007D2AD3" w:rsidRDefault="00C30014" w:rsidP="007D2AD3">
            <w:pPr>
              <w:pStyle w:val="RCTstable"/>
            </w:pPr>
            <w:r w:rsidRPr="007D2AD3">
              <w:t>Health Infonet</w:t>
            </w:r>
          </w:p>
        </w:tc>
        <w:tc>
          <w:tcPr>
            <w:tcW w:w="6113" w:type="dxa"/>
          </w:tcPr>
          <w:p w14:paraId="550D2FE3" w14:textId="77777777" w:rsidR="00C30014" w:rsidRPr="007D2AD3" w:rsidRDefault="00C30014" w:rsidP="007D2AD3">
            <w:pPr>
              <w:pStyle w:val="RCTstable"/>
            </w:pPr>
            <w:r w:rsidRPr="007D2AD3">
              <w:t>Vitamin E – title and abstract</w:t>
            </w:r>
          </w:p>
          <w:p w14:paraId="75F30A54" w14:textId="77777777" w:rsidR="00C30014" w:rsidRPr="007D2AD3" w:rsidRDefault="00C30014" w:rsidP="007D2AD3">
            <w:pPr>
              <w:pStyle w:val="RCTstable"/>
            </w:pPr>
            <w:r w:rsidRPr="007D2AD3">
              <w:t>Pregnancy - keyword</w:t>
            </w:r>
          </w:p>
        </w:tc>
        <w:tc>
          <w:tcPr>
            <w:tcW w:w="1753" w:type="dxa"/>
          </w:tcPr>
          <w:p w14:paraId="07E023D1" w14:textId="77777777" w:rsidR="00C30014" w:rsidRPr="007D2AD3" w:rsidRDefault="00C30014" w:rsidP="007D2AD3">
            <w:pPr>
              <w:pStyle w:val="RCTstable"/>
            </w:pPr>
            <w:r w:rsidRPr="007D2AD3">
              <w:t>2015-current = 0</w:t>
            </w:r>
          </w:p>
          <w:p w14:paraId="3CCAC099" w14:textId="77777777" w:rsidR="00C30014" w:rsidRPr="007D2AD3" w:rsidRDefault="00C30014" w:rsidP="007D2AD3">
            <w:pPr>
              <w:pStyle w:val="RCTstable"/>
            </w:pPr>
          </w:p>
        </w:tc>
        <w:tc>
          <w:tcPr>
            <w:tcW w:w="2217" w:type="dxa"/>
          </w:tcPr>
          <w:p w14:paraId="494B85D9" w14:textId="77777777" w:rsidR="00C30014" w:rsidRPr="007D2AD3" w:rsidRDefault="00C30014" w:rsidP="007D2AD3">
            <w:pPr>
              <w:pStyle w:val="RCTstable"/>
            </w:pPr>
            <w:r w:rsidRPr="007D2AD3">
              <w:t>None</w:t>
            </w:r>
          </w:p>
        </w:tc>
        <w:tc>
          <w:tcPr>
            <w:tcW w:w="875" w:type="dxa"/>
          </w:tcPr>
          <w:p w14:paraId="715AAE9F" w14:textId="77777777" w:rsidR="00C30014" w:rsidRPr="007D2AD3" w:rsidRDefault="00C30014" w:rsidP="007D2AD3">
            <w:pPr>
              <w:pStyle w:val="RCTstable"/>
            </w:pPr>
            <w:r w:rsidRPr="007D2AD3">
              <w:t>0</w:t>
            </w:r>
          </w:p>
        </w:tc>
        <w:tc>
          <w:tcPr>
            <w:tcW w:w="1501" w:type="dxa"/>
          </w:tcPr>
          <w:p w14:paraId="3EE9ECF8" w14:textId="77777777" w:rsidR="00C30014" w:rsidRPr="007D2AD3" w:rsidRDefault="00C30014" w:rsidP="007D2AD3">
            <w:pPr>
              <w:pStyle w:val="RCTstable"/>
            </w:pPr>
            <w:r w:rsidRPr="007D2AD3">
              <w:t>19-June-19</w:t>
            </w:r>
          </w:p>
        </w:tc>
      </w:tr>
      <w:tr w:rsidR="00C30014" w:rsidRPr="007D2AD3" w14:paraId="1116D274" w14:textId="77777777" w:rsidTr="00C30014">
        <w:tc>
          <w:tcPr>
            <w:tcW w:w="1489" w:type="dxa"/>
          </w:tcPr>
          <w:p w14:paraId="12C8A720" w14:textId="77777777" w:rsidR="00C30014" w:rsidRPr="007D2AD3" w:rsidRDefault="00C30014" w:rsidP="007D2AD3">
            <w:pPr>
              <w:pStyle w:val="RCTstable"/>
            </w:pPr>
            <w:r w:rsidRPr="007D2AD3">
              <w:t>Cochrane</w:t>
            </w:r>
          </w:p>
        </w:tc>
        <w:tc>
          <w:tcPr>
            <w:tcW w:w="6113" w:type="dxa"/>
          </w:tcPr>
          <w:p w14:paraId="36C026F4" w14:textId="77777777" w:rsidR="00C30014" w:rsidRPr="007D2AD3" w:rsidRDefault="00C30014" w:rsidP="007D2AD3">
            <w:pPr>
              <w:pStyle w:val="RCTstable"/>
            </w:pPr>
            <w:r w:rsidRPr="007D2AD3">
              <w:t xml:space="preserve">((MeSH descriptor: [Pregnancy] explode all trees) </w:t>
            </w:r>
          </w:p>
          <w:p w14:paraId="04A33E8E" w14:textId="77777777" w:rsidR="00C30014" w:rsidRPr="007D2AD3" w:rsidRDefault="00C30014" w:rsidP="007D2AD3">
            <w:pPr>
              <w:pStyle w:val="RCTstable"/>
            </w:pPr>
            <w:r w:rsidRPr="007D2AD3">
              <w:t xml:space="preserve">OR (MeSH descriptor: [Pregnant Women] explode all trees) </w:t>
            </w:r>
          </w:p>
          <w:p w14:paraId="05A36DE2" w14:textId="77777777" w:rsidR="00C30014" w:rsidRPr="007D2AD3" w:rsidRDefault="00C30014" w:rsidP="007D2AD3">
            <w:pPr>
              <w:pStyle w:val="RCTstable"/>
            </w:pPr>
            <w:r w:rsidRPr="007D2AD3">
              <w:t xml:space="preserve">OR ‘pregnan*’) </w:t>
            </w:r>
          </w:p>
          <w:p w14:paraId="69BB3597" w14:textId="77777777" w:rsidR="00C30014" w:rsidRPr="007D2AD3" w:rsidRDefault="00C30014" w:rsidP="007D2AD3">
            <w:pPr>
              <w:pStyle w:val="RCTstable"/>
            </w:pPr>
            <w:r w:rsidRPr="007D2AD3">
              <w:t xml:space="preserve">AND </w:t>
            </w:r>
          </w:p>
          <w:p w14:paraId="03130D02" w14:textId="58094E13" w:rsidR="00C30014" w:rsidRPr="007D2AD3" w:rsidRDefault="00C30014" w:rsidP="007D2AD3">
            <w:pPr>
              <w:pStyle w:val="RCTstable"/>
            </w:pPr>
            <w:r w:rsidRPr="007D2AD3">
              <w:t xml:space="preserve">(MeSH descriptor: [Vitamin E] explode all trees) OR (tocopherol) </w:t>
            </w:r>
          </w:p>
        </w:tc>
        <w:tc>
          <w:tcPr>
            <w:tcW w:w="1753" w:type="dxa"/>
          </w:tcPr>
          <w:p w14:paraId="0CE6BE4D" w14:textId="77777777" w:rsidR="00C30014" w:rsidRPr="007D2AD3" w:rsidRDefault="00C30014" w:rsidP="007D2AD3">
            <w:pPr>
              <w:pStyle w:val="RCTstable"/>
            </w:pPr>
            <w:r w:rsidRPr="007D2AD3">
              <w:t>Mar 2015 to Dec 2019</w:t>
            </w:r>
          </w:p>
        </w:tc>
        <w:tc>
          <w:tcPr>
            <w:tcW w:w="2217" w:type="dxa"/>
          </w:tcPr>
          <w:p w14:paraId="0B1F48C6" w14:textId="77777777" w:rsidR="00C30014" w:rsidRPr="007D2AD3" w:rsidRDefault="00C30014" w:rsidP="007D2AD3">
            <w:pPr>
              <w:pStyle w:val="RCTstable"/>
            </w:pPr>
            <w:r w:rsidRPr="007D2AD3">
              <w:t>Cochrane reviews and Trials</w:t>
            </w:r>
          </w:p>
        </w:tc>
        <w:tc>
          <w:tcPr>
            <w:tcW w:w="875" w:type="dxa"/>
          </w:tcPr>
          <w:p w14:paraId="4A379243" w14:textId="77777777" w:rsidR="00C30014" w:rsidRPr="007D2AD3" w:rsidRDefault="00C30014" w:rsidP="007D2AD3">
            <w:pPr>
              <w:pStyle w:val="RCTstable"/>
            </w:pPr>
            <w:r w:rsidRPr="007D2AD3">
              <w:t>222</w:t>
            </w:r>
          </w:p>
        </w:tc>
        <w:tc>
          <w:tcPr>
            <w:tcW w:w="1501" w:type="dxa"/>
          </w:tcPr>
          <w:p w14:paraId="50F2E3B7" w14:textId="77777777" w:rsidR="00C30014" w:rsidRPr="007D2AD3" w:rsidRDefault="00C30014" w:rsidP="007D2AD3">
            <w:pPr>
              <w:pStyle w:val="RCTstable"/>
            </w:pPr>
            <w:r w:rsidRPr="007D2AD3">
              <w:t>19-June-19</w:t>
            </w:r>
          </w:p>
        </w:tc>
      </w:tr>
    </w:tbl>
    <w:p w14:paraId="626C3FB7" w14:textId="78CC85EA" w:rsidR="00451DFC" w:rsidRDefault="00551904" w:rsidP="00320FB8">
      <w:pPr>
        <w:pStyle w:val="Figure"/>
        <w:spacing w:before="240"/>
        <w:jc w:val="center"/>
      </w:pPr>
      <w:r>
        <w:rPr>
          <w:noProof/>
          <w:lang w:val="en-AU" w:eastAsia="en-AU"/>
        </w:rPr>
        <w:drawing>
          <wp:inline distT="0" distB="0" distL="0" distR="0" wp14:anchorId="593A6608" wp14:editId="3C662D1C">
            <wp:extent cx="4237562" cy="4200628"/>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itamin E.png"/>
                    <pic:cNvPicPr/>
                  </pic:nvPicPr>
                  <pic:blipFill>
                    <a:blip r:embed="rId19">
                      <a:extLst>
                        <a:ext uri="{28A0092B-C50C-407E-A947-70E740481C1C}">
                          <a14:useLocalDpi xmlns:a14="http://schemas.microsoft.com/office/drawing/2010/main" val="0"/>
                        </a:ext>
                      </a:extLst>
                    </a:blip>
                    <a:stretch>
                      <a:fillRect/>
                    </a:stretch>
                  </pic:blipFill>
                  <pic:spPr>
                    <a:xfrm>
                      <a:off x="0" y="0"/>
                      <a:ext cx="4246153" cy="4209145"/>
                    </a:xfrm>
                    <a:prstGeom prst="rect">
                      <a:avLst/>
                    </a:prstGeom>
                  </pic:spPr>
                </pic:pic>
              </a:graphicData>
            </a:graphic>
          </wp:inline>
        </w:drawing>
      </w:r>
    </w:p>
    <w:p w14:paraId="742D5761" w14:textId="1E81537A" w:rsidR="00C30014" w:rsidRDefault="00C30014" w:rsidP="00451DFC">
      <w:pPr>
        <w:pStyle w:val="Figurename"/>
      </w:pPr>
      <w:r>
        <w:t xml:space="preserve">Prisma </w:t>
      </w:r>
      <w:r w:rsidR="00451DFC">
        <w:t>diagram</w:t>
      </w:r>
      <w:r>
        <w:t>:</w:t>
      </w:r>
      <w:r w:rsidR="00451DFC">
        <w:t xml:space="preserve"> Vitamin E</w:t>
      </w:r>
    </w:p>
    <w:p w14:paraId="6E6D8D9C" w14:textId="423576A3" w:rsidR="00C30014" w:rsidRPr="00196D36" w:rsidRDefault="00C30014" w:rsidP="00C30014">
      <w:pPr>
        <w:pStyle w:val="Heading4"/>
      </w:pPr>
      <w:r>
        <w:t>Vitamin A</w:t>
      </w:r>
      <w:r w:rsidR="000D04A0">
        <w:t xml:space="preserve"> s</w:t>
      </w:r>
      <w:r w:rsidRPr="00196D36">
        <w:t>upplementation</w:t>
      </w:r>
      <w:r w:rsidR="000D04A0">
        <w:t xml:space="preserve"> (research question 3)</w:t>
      </w:r>
    </w:p>
    <w:p w14:paraId="7BDE9945" w14:textId="77777777" w:rsidR="00C30014" w:rsidRDefault="00C30014" w:rsidP="00C30014">
      <w:r>
        <w:t>Previous vitamin A supplementation in pregnancy Cochrane search date: 30 March 2015</w:t>
      </w:r>
    </w:p>
    <w:p w14:paraId="25AAF929" w14:textId="77777777" w:rsidR="00C30014" w:rsidRPr="00C30014" w:rsidRDefault="00C30014" w:rsidP="00C30014">
      <w:r w:rsidRPr="00C30014">
        <w:t>McCauley  ME, van den Broek  N, Dou  L, Othman  M. Vitamin A supplementation during pregnancy for maternal and newborn outcomes. Cochrane Database of Systematic Reviews 2015, Issue 10. Art. No.: CD008666. DOI: 10.1002/14651858.CD008666.pub3.</w:t>
      </w:r>
    </w:p>
    <w:p w14:paraId="2B254E92" w14:textId="77777777" w:rsidR="00C30014" w:rsidRDefault="00C30014" w:rsidP="00C30014">
      <w:pPr>
        <w:rPr>
          <w:rFonts w:ascii="Arial" w:hAnsi="Arial" w:cs="Arial"/>
          <w:color w:val="222222"/>
          <w:shd w:val="clear" w:color="auto" w:fill="FFFFFF"/>
        </w:rPr>
      </w:pPr>
      <w:r>
        <w:rPr>
          <w:rFonts w:ascii="Arial" w:hAnsi="Arial" w:cs="Arial"/>
          <w:color w:val="222222"/>
          <w:shd w:val="clear" w:color="auto" w:fill="FFFFFF"/>
        </w:rPr>
        <w:t>Synonyms for vitamin A:</w:t>
      </w:r>
    </w:p>
    <w:p w14:paraId="5144051D" w14:textId="77777777" w:rsidR="00C30014" w:rsidRPr="00180864" w:rsidRDefault="00C30014" w:rsidP="00C30014">
      <w:pPr>
        <w:pStyle w:val="bullet"/>
        <w:rPr>
          <w:lang w:eastAsia="en-AU"/>
        </w:rPr>
      </w:pPr>
      <w:r w:rsidRPr="00180864">
        <w:rPr>
          <w:lang w:eastAsia="en-AU"/>
        </w:rPr>
        <w:t>Aquasol A</w:t>
      </w:r>
    </w:p>
    <w:p w14:paraId="39850DB7" w14:textId="77777777" w:rsidR="00C30014" w:rsidRPr="00180864" w:rsidRDefault="00C30014" w:rsidP="00C30014">
      <w:pPr>
        <w:pStyle w:val="bullet"/>
        <w:rPr>
          <w:lang w:eastAsia="en-AU"/>
        </w:rPr>
      </w:pPr>
      <w:r w:rsidRPr="00180864">
        <w:rPr>
          <w:lang w:eastAsia="en-AU"/>
        </w:rPr>
        <w:t>Retinol</w:t>
      </w:r>
    </w:p>
    <w:p w14:paraId="406BF9B3" w14:textId="77777777" w:rsidR="00C30014" w:rsidRPr="00180864" w:rsidRDefault="00C30014" w:rsidP="00C30014">
      <w:pPr>
        <w:pStyle w:val="bullet"/>
        <w:rPr>
          <w:lang w:eastAsia="en-AU"/>
        </w:rPr>
      </w:pPr>
      <w:r w:rsidRPr="00180864">
        <w:rPr>
          <w:lang w:eastAsia="en-AU"/>
        </w:rPr>
        <w:t>3,7-dimethyl-9-(2,6,6-trimethyl-1-cyclohexen-1-yl)-2,4,6,8-nonatetraen-1-ol, (all-E)-Isomer</w:t>
      </w:r>
    </w:p>
    <w:p w14:paraId="0957282A" w14:textId="77777777" w:rsidR="00C30014" w:rsidRPr="00180864" w:rsidRDefault="00C30014" w:rsidP="00C30014">
      <w:pPr>
        <w:pStyle w:val="bullet"/>
        <w:rPr>
          <w:lang w:eastAsia="en-AU"/>
        </w:rPr>
      </w:pPr>
      <w:r w:rsidRPr="00180864">
        <w:rPr>
          <w:lang w:eastAsia="en-AU"/>
        </w:rPr>
        <w:t>All-Trans-Retinol</w:t>
      </w:r>
    </w:p>
    <w:p w14:paraId="6FAC8874" w14:textId="77777777" w:rsidR="00C30014" w:rsidRPr="00180864" w:rsidRDefault="00C30014" w:rsidP="00C30014">
      <w:pPr>
        <w:pStyle w:val="bullet"/>
        <w:rPr>
          <w:lang w:eastAsia="en-AU"/>
        </w:rPr>
      </w:pPr>
      <w:r w:rsidRPr="00180864">
        <w:rPr>
          <w:lang w:eastAsia="en-AU"/>
        </w:rPr>
        <w:t>All Trans Retinol</w:t>
      </w:r>
    </w:p>
    <w:p w14:paraId="48FBC8FE" w14:textId="77777777" w:rsidR="00C30014" w:rsidRPr="00180864" w:rsidRDefault="00C30014" w:rsidP="00C30014">
      <w:pPr>
        <w:pStyle w:val="bullet"/>
        <w:rPr>
          <w:lang w:eastAsia="en-AU"/>
        </w:rPr>
      </w:pPr>
      <w:r w:rsidRPr="00180864">
        <w:rPr>
          <w:lang w:eastAsia="en-AU"/>
        </w:rPr>
        <w:t>Vitamin A1</w:t>
      </w:r>
    </w:p>
    <w:p w14:paraId="7E5AA60A" w14:textId="77777777" w:rsidR="00C30014" w:rsidRPr="00180864" w:rsidRDefault="00C30014" w:rsidP="00C30014">
      <w:pPr>
        <w:pStyle w:val="bullet"/>
        <w:rPr>
          <w:lang w:eastAsia="en-AU"/>
        </w:rPr>
      </w:pPr>
      <w:r w:rsidRPr="00180864">
        <w:rPr>
          <w:lang w:eastAsia="en-AU"/>
        </w:rPr>
        <w:t>11-cis-Retinol</w:t>
      </w:r>
    </w:p>
    <w:p w14:paraId="76A0D1CE" w14:textId="77777777" w:rsidR="00C30014" w:rsidRDefault="00C30014" w:rsidP="00C30014">
      <w:pPr>
        <w:rPr>
          <w:b/>
        </w:rPr>
      </w:pPr>
      <w:r>
        <w:rPr>
          <w:b/>
        </w:rPr>
        <w:t>Current search dates:</w:t>
      </w:r>
    </w:p>
    <w:p w14:paraId="129DB590" w14:textId="77777777" w:rsidR="00C30014" w:rsidRPr="00196D36" w:rsidRDefault="00C30014" w:rsidP="00C30014">
      <w:r>
        <w:t>30-Mar-2015-current</w:t>
      </w:r>
    </w:p>
    <w:tbl>
      <w:tblPr>
        <w:tblStyle w:val="TableGrid"/>
        <w:tblW w:w="0" w:type="auto"/>
        <w:tblLook w:val="04A0" w:firstRow="1" w:lastRow="0" w:firstColumn="1" w:lastColumn="0" w:noHBand="0" w:noVBand="1"/>
      </w:tblPr>
      <w:tblGrid>
        <w:gridCol w:w="1072"/>
        <w:gridCol w:w="4026"/>
        <w:gridCol w:w="1160"/>
        <w:gridCol w:w="1288"/>
        <w:gridCol w:w="787"/>
        <w:gridCol w:w="947"/>
      </w:tblGrid>
      <w:tr w:rsidR="00C30014" w:rsidRPr="00A60176" w14:paraId="368F1B73" w14:textId="77777777" w:rsidTr="00A60176">
        <w:trPr>
          <w:tblHeader/>
        </w:trPr>
        <w:tc>
          <w:tcPr>
            <w:tcW w:w="1489" w:type="dxa"/>
          </w:tcPr>
          <w:p w14:paraId="474B142D" w14:textId="77777777" w:rsidR="00C30014" w:rsidRPr="00A60176" w:rsidRDefault="00C30014" w:rsidP="00A60176">
            <w:pPr>
              <w:pStyle w:val="RCTstable"/>
              <w:rPr>
                <w:b/>
              </w:rPr>
            </w:pPr>
            <w:r w:rsidRPr="00A60176">
              <w:rPr>
                <w:b/>
              </w:rPr>
              <w:t>Database</w:t>
            </w:r>
          </w:p>
        </w:tc>
        <w:tc>
          <w:tcPr>
            <w:tcW w:w="6113" w:type="dxa"/>
          </w:tcPr>
          <w:p w14:paraId="2651EB66" w14:textId="77777777" w:rsidR="00C30014" w:rsidRPr="00A60176" w:rsidRDefault="00C30014" w:rsidP="00A60176">
            <w:pPr>
              <w:pStyle w:val="RCTstable"/>
              <w:rPr>
                <w:b/>
              </w:rPr>
            </w:pPr>
            <w:r w:rsidRPr="00A60176">
              <w:rPr>
                <w:b/>
              </w:rPr>
              <w:t>Search Strategy</w:t>
            </w:r>
          </w:p>
        </w:tc>
        <w:tc>
          <w:tcPr>
            <w:tcW w:w="1753" w:type="dxa"/>
          </w:tcPr>
          <w:p w14:paraId="2FC074DC" w14:textId="77777777" w:rsidR="00C30014" w:rsidRPr="00A60176" w:rsidRDefault="00C30014" w:rsidP="00A60176">
            <w:pPr>
              <w:pStyle w:val="RCTstable"/>
              <w:rPr>
                <w:b/>
              </w:rPr>
            </w:pPr>
            <w:r w:rsidRPr="00A60176">
              <w:rPr>
                <w:b/>
              </w:rPr>
              <w:t>Dates Searched</w:t>
            </w:r>
          </w:p>
        </w:tc>
        <w:tc>
          <w:tcPr>
            <w:tcW w:w="2217" w:type="dxa"/>
          </w:tcPr>
          <w:p w14:paraId="054FD65F" w14:textId="77777777" w:rsidR="00C30014" w:rsidRPr="00A60176" w:rsidRDefault="00C30014" w:rsidP="00A60176">
            <w:pPr>
              <w:pStyle w:val="RCTstable"/>
              <w:rPr>
                <w:b/>
              </w:rPr>
            </w:pPr>
            <w:r w:rsidRPr="00A60176">
              <w:rPr>
                <w:b/>
              </w:rPr>
              <w:t>Limits set</w:t>
            </w:r>
          </w:p>
        </w:tc>
        <w:tc>
          <w:tcPr>
            <w:tcW w:w="875" w:type="dxa"/>
          </w:tcPr>
          <w:p w14:paraId="62DFA1B3" w14:textId="77777777" w:rsidR="00C30014" w:rsidRPr="00A60176" w:rsidRDefault="00C30014" w:rsidP="00A60176">
            <w:pPr>
              <w:pStyle w:val="RCTstable"/>
              <w:rPr>
                <w:b/>
              </w:rPr>
            </w:pPr>
            <w:r w:rsidRPr="00A60176">
              <w:rPr>
                <w:b/>
              </w:rPr>
              <w:t>Results</w:t>
            </w:r>
          </w:p>
        </w:tc>
        <w:tc>
          <w:tcPr>
            <w:tcW w:w="1501" w:type="dxa"/>
          </w:tcPr>
          <w:p w14:paraId="384B29CB" w14:textId="77777777" w:rsidR="00C30014" w:rsidRPr="00A60176" w:rsidRDefault="00C30014" w:rsidP="00A60176">
            <w:pPr>
              <w:pStyle w:val="RCTstable"/>
              <w:rPr>
                <w:b/>
              </w:rPr>
            </w:pPr>
            <w:r w:rsidRPr="00A60176">
              <w:rPr>
                <w:b/>
              </w:rPr>
              <w:t>Date of search</w:t>
            </w:r>
          </w:p>
        </w:tc>
      </w:tr>
      <w:tr w:rsidR="00C30014" w:rsidRPr="00A60176" w14:paraId="32D1D7E3" w14:textId="77777777" w:rsidTr="00C30014">
        <w:tc>
          <w:tcPr>
            <w:tcW w:w="1489" w:type="dxa"/>
          </w:tcPr>
          <w:p w14:paraId="2B1CE84A" w14:textId="77777777" w:rsidR="00C30014" w:rsidRPr="00A60176" w:rsidRDefault="00C30014" w:rsidP="00A60176">
            <w:pPr>
              <w:pStyle w:val="RCTstable"/>
            </w:pPr>
            <w:r w:rsidRPr="00A60176">
              <w:t>Pubmed</w:t>
            </w:r>
          </w:p>
        </w:tc>
        <w:tc>
          <w:tcPr>
            <w:tcW w:w="6113" w:type="dxa"/>
          </w:tcPr>
          <w:p w14:paraId="0F082CBD" w14:textId="77777777" w:rsidR="00C30014" w:rsidRPr="00A60176" w:rsidRDefault="00C30014" w:rsidP="00A60176">
            <w:pPr>
              <w:pStyle w:val="RCTstable"/>
            </w:pPr>
            <w:r w:rsidRPr="00A60176">
              <w:t>(((("pregnancy"[Mesh]) OR ("pregnan*"[All Fields]) OR ("prenatal*"[All Fields]))))</w:t>
            </w:r>
          </w:p>
          <w:p w14:paraId="47A8F792" w14:textId="77777777" w:rsidR="00C30014" w:rsidRPr="00A60176" w:rsidRDefault="00C30014" w:rsidP="00A60176">
            <w:pPr>
              <w:pStyle w:val="RCTstable"/>
            </w:pPr>
            <w:r w:rsidRPr="00A60176">
              <w:t xml:space="preserve"> AND (("Vitamin A"[Mesh] OR "vitamin A*"[All Fields] OR "retinol"[All Fields] OR "All*Trans*Retinol"[All Fields] OR "Retinol"[All Fields] OR "11-cis-Retinol"[All Fields] OR "3,7-dimethyl-9-(2,6,6-trimethyl-1-cyclohexen-1-yl)-2,4,6,8-nonatetraen-1-ol, (all-E)-Isomer"[All Fields])))</w:t>
            </w:r>
          </w:p>
        </w:tc>
        <w:tc>
          <w:tcPr>
            <w:tcW w:w="1753" w:type="dxa"/>
          </w:tcPr>
          <w:p w14:paraId="382E7C9F" w14:textId="6BB3C6CC" w:rsidR="00C30014" w:rsidRPr="00A60176" w:rsidRDefault="00C30014" w:rsidP="0067608C">
            <w:pPr>
              <w:pStyle w:val="RCTstable"/>
            </w:pPr>
            <w:r w:rsidRPr="00A60176">
              <w:t xml:space="preserve">30-Mar-2015 to </w:t>
            </w:r>
            <w:r w:rsidR="0067608C">
              <w:t>Current</w:t>
            </w:r>
          </w:p>
        </w:tc>
        <w:tc>
          <w:tcPr>
            <w:tcW w:w="2217" w:type="dxa"/>
          </w:tcPr>
          <w:p w14:paraId="6A6FBEC5" w14:textId="77777777" w:rsidR="00C30014" w:rsidRPr="00A60176" w:rsidRDefault="00C30014" w:rsidP="00A60176">
            <w:pPr>
              <w:pStyle w:val="RCTstable"/>
            </w:pPr>
            <w:r w:rsidRPr="00A60176">
              <w:t>Human</w:t>
            </w:r>
          </w:p>
          <w:p w14:paraId="5BF671B1" w14:textId="77777777" w:rsidR="00C30014" w:rsidRPr="00A60176" w:rsidRDefault="00C30014" w:rsidP="00A60176">
            <w:pPr>
              <w:pStyle w:val="RCTstable"/>
            </w:pPr>
            <w:r w:rsidRPr="00A60176">
              <w:t>English Language</w:t>
            </w:r>
          </w:p>
        </w:tc>
        <w:tc>
          <w:tcPr>
            <w:tcW w:w="875" w:type="dxa"/>
          </w:tcPr>
          <w:p w14:paraId="1874833F" w14:textId="77777777" w:rsidR="00C30014" w:rsidRPr="00A60176" w:rsidRDefault="00C30014" w:rsidP="00A60176">
            <w:pPr>
              <w:pStyle w:val="RCTstable"/>
            </w:pPr>
            <w:r w:rsidRPr="00A60176">
              <w:t>199</w:t>
            </w:r>
          </w:p>
        </w:tc>
        <w:tc>
          <w:tcPr>
            <w:tcW w:w="1501" w:type="dxa"/>
          </w:tcPr>
          <w:p w14:paraId="48DBC999" w14:textId="77777777" w:rsidR="00C30014" w:rsidRPr="00A60176" w:rsidRDefault="00C30014" w:rsidP="00A60176">
            <w:pPr>
              <w:pStyle w:val="RCTstable"/>
            </w:pPr>
            <w:r w:rsidRPr="00A60176">
              <w:t>20-June-19</w:t>
            </w:r>
          </w:p>
        </w:tc>
      </w:tr>
      <w:tr w:rsidR="00C30014" w:rsidRPr="00A60176" w14:paraId="1D88CB7E" w14:textId="77777777" w:rsidTr="00C30014">
        <w:tc>
          <w:tcPr>
            <w:tcW w:w="1489" w:type="dxa"/>
          </w:tcPr>
          <w:p w14:paraId="3753E91F" w14:textId="77777777" w:rsidR="00C30014" w:rsidRPr="00A60176" w:rsidRDefault="00C30014" w:rsidP="00A60176">
            <w:pPr>
              <w:pStyle w:val="RCTstable"/>
            </w:pPr>
            <w:r w:rsidRPr="00A60176">
              <w:t>Ovid medline</w:t>
            </w:r>
          </w:p>
        </w:tc>
        <w:tc>
          <w:tcPr>
            <w:tcW w:w="6113" w:type="dxa"/>
          </w:tcPr>
          <w:p w14:paraId="292312F2" w14:textId="77777777" w:rsidR="00C30014" w:rsidRPr="00A60176" w:rsidRDefault="00C30014" w:rsidP="00A60176">
            <w:pPr>
              <w:pStyle w:val="RCTstable"/>
            </w:pPr>
            <w:r w:rsidRPr="00A60176">
              <w:t xml:space="preserve">(Pregnancy/syn or Pregnan*.mp.) and (Vitamin A or retinol or All*Trans*Retinol or Retinol or 11-cis-Retinol).mp. </w:t>
            </w:r>
          </w:p>
        </w:tc>
        <w:tc>
          <w:tcPr>
            <w:tcW w:w="1753" w:type="dxa"/>
          </w:tcPr>
          <w:p w14:paraId="419A88BC" w14:textId="77777777" w:rsidR="00C30014" w:rsidRPr="00A60176" w:rsidRDefault="00C30014" w:rsidP="00A60176">
            <w:pPr>
              <w:pStyle w:val="RCTstable"/>
            </w:pPr>
            <w:r w:rsidRPr="00A60176">
              <w:t>2015-Current</w:t>
            </w:r>
          </w:p>
        </w:tc>
        <w:tc>
          <w:tcPr>
            <w:tcW w:w="2217" w:type="dxa"/>
          </w:tcPr>
          <w:p w14:paraId="607C5E53" w14:textId="77777777" w:rsidR="00C30014" w:rsidRPr="00A60176" w:rsidRDefault="00C30014" w:rsidP="00A60176">
            <w:pPr>
              <w:pStyle w:val="RCTstable"/>
            </w:pPr>
            <w:r w:rsidRPr="00A60176">
              <w:t>English Language</w:t>
            </w:r>
          </w:p>
          <w:p w14:paraId="1E3B81AD" w14:textId="77777777" w:rsidR="00C30014" w:rsidRPr="00A60176" w:rsidRDefault="00C30014" w:rsidP="00A60176">
            <w:pPr>
              <w:pStyle w:val="RCTstable"/>
            </w:pPr>
            <w:r w:rsidRPr="00A60176">
              <w:t>Human</w:t>
            </w:r>
          </w:p>
        </w:tc>
        <w:tc>
          <w:tcPr>
            <w:tcW w:w="875" w:type="dxa"/>
          </w:tcPr>
          <w:p w14:paraId="6BEA966C" w14:textId="77777777" w:rsidR="00C30014" w:rsidRPr="00A60176" w:rsidRDefault="00C30014" w:rsidP="00A60176">
            <w:pPr>
              <w:pStyle w:val="RCTstable"/>
            </w:pPr>
            <w:r w:rsidRPr="00A60176">
              <w:t>238</w:t>
            </w:r>
          </w:p>
        </w:tc>
        <w:tc>
          <w:tcPr>
            <w:tcW w:w="1501" w:type="dxa"/>
          </w:tcPr>
          <w:p w14:paraId="21999F81" w14:textId="77777777" w:rsidR="00C30014" w:rsidRPr="00A60176" w:rsidRDefault="00C30014" w:rsidP="00A60176">
            <w:pPr>
              <w:pStyle w:val="RCTstable"/>
            </w:pPr>
            <w:r w:rsidRPr="00A60176">
              <w:t>20-June-19</w:t>
            </w:r>
          </w:p>
        </w:tc>
      </w:tr>
      <w:tr w:rsidR="00C30014" w:rsidRPr="00A60176" w14:paraId="5AE929F0" w14:textId="77777777" w:rsidTr="00C30014">
        <w:tc>
          <w:tcPr>
            <w:tcW w:w="1489" w:type="dxa"/>
          </w:tcPr>
          <w:p w14:paraId="23F35A05" w14:textId="77777777" w:rsidR="00C30014" w:rsidRPr="00A60176" w:rsidRDefault="00C30014" w:rsidP="00A60176">
            <w:pPr>
              <w:pStyle w:val="RCTstable"/>
            </w:pPr>
            <w:r w:rsidRPr="00A60176">
              <w:t>Embase</w:t>
            </w:r>
          </w:p>
        </w:tc>
        <w:tc>
          <w:tcPr>
            <w:tcW w:w="6113" w:type="dxa"/>
          </w:tcPr>
          <w:p w14:paraId="49D142F7" w14:textId="77777777" w:rsidR="00C30014" w:rsidRPr="00A60176" w:rsidRDefault="00C30014" w:rsidP="00A60176">
            <w:pPr>
              <w:pStyle w:val="RCTstable"/>
            </w:pPr>
            <w:r w:rsidRPr="00A60176">
              <w:t>('pregnancy'/exp OR pregnan*) AND ('vitamin A' OR 'retinol'/exp OR 'retinol' OR 'all*trans*retinol or retinol' OR '11-cis-retinol')</w:t>
            </w:r>
          </w:p>
        </w:tc>
        <w:tc>
          <w:tcPr>
            <w:tcW w:w="1753" w:type="dxa"/>
          </w:tcPr>
          <w:p w14:paraId="7C02CCB4" w14:textId="77777777" w:rsidR="00C30014" w:rsidRPr="00A60176" w:rsidRDefault="00C30014" w:rsidP="00A60176">
            <w:pPr>
              <w:pStyle w:val="RCTstable"/>
            </w:pPr>
            <w:r w:rsidRPr="00A60176">
              <w:t>2015-2019</w:t>
            </w:r>
          </w:p>
        </w:tc>
        <w:tc>
          <w:tcPr>
            <w:tcW w:w="2217" w:type="dxa"/>
          </w:tcPr>
          <w:p w14:paraId="12740077" w14:textId="77777777" w:rsidR="00C30014" w:rsidRPr="00A60176" w:rsidRDefault="00C30014" w:rsidP="00A60176">
            <w:pPr>
              <w:pStyle w:val="RCTstable"/>
            </w:pPr>
            <w:r w:rsidRPr="00A60176">
              <w:t>English Language</w:t>
            </w:r>
          </w:p>
          <w:p w14:paraId="07429E70" w14:textId="77777777" w:rsidR="00C30014" w:rsidRPr="00A60176" w:rsidRDefault="00C30014" w:rsidP="00A60176">
            <w:pPr>
              <w:pStyle w:val="RCTstable"/>
            </w:pPr>
            <w:r w:rsidRPr="00A60176">
              <w:t>Human</w:t>
            </w:r>
          </w:p>
        </w:tc>
        <w:tc>
          <w:tcPr>
            <w:tcW w:w="875" w:type="dxa"/>
          </w:tcPr>
          <w:p w14:paraId="21C4F3EC" w14:textId="77777777" w:rsidR="00C30014" w:rsidRPr="00A60176" w:rsidRDefault="00C30014" w:rsidP="00A60176">
            <w:pPr>
              <w:pStyle w:val="RCTstable"/>
            </w:pPr>
            <w:r w:rsidRPr="00A60176">
              <w:t>626</w:t>
            </w:r>
          </w:p>
        </w:tc>
        <w:tc>
          <w:tcPr>
            <w:tcW w:w="1501" w:type="dxa"/>
          </w:tcPr>
          <w:p w14:paraId="1BCE7848" w14:textId="77777777" w:rsidR="00C30014" w:rsidRPr="00A60176" w:rsidRDefault="00C30014" w:rsidP="00A60176">
            <w:pPr>
              <w:pStyle w:val="RCTstable"/>
            </w:pPr>
            <w:r w:rsidRPr="00A60176">
              <w:t>20-June-19</w:t>
            </w:r>
          </w:p>
        </w:tc>
      </w:tr>
      <w:tr w:rsidR="00C30014" w:rsidRPr="00A60176" w14:paraId="328B5285" w14:textId="77777777" w:rsidTr="00A60176">
        <w:trPr>
          <w:cantSplit/>
        </w:trPr>
        <w:tc>
          <w:tcPr>
            <w:tcW w:w="1489" w:type="dxa"/>
          </w:tcPr>
          <w:p w14:paraId="3DFAB67A" w14:textId="77777777" w:rsidR="00C30014" w:rsidRPr="00A60176" w:rsidRDefault="00C30014" w:rsidP="00A60176">
            <w:pPr>
              <w:pStyle w:val="RCTstable"/>
            </w:pPr>
            <w:r w:rsidRPr="00A60176">
              <w:t>CINAHL</w:t>
            </w:r>
          </w:p>
        </w:tc>
        <w:tc>
          <w:tcPr>
            <w:tcW w:w="6113" w:type="dxa"/>
          </w:tcPr>
          <w:p w14:paraId="56373B70" w14:textId="77777777" w:rsidR="00C30014" w:rsidRPr="00A60176" w:rsidRDefault="00C30014" w:rsidP="00A60176">
            <w:pPr>
              <w:pStyle w:val="RCTstable"/>
            </w:pPr>
            <w:r w:rsidRPr="00A60176">
              <w:t xml:space="preserve">( (MH "Pregnancy+") OR (MH "Pregnancy Trimesters+") OR (MM "Prenatal Nutritional Physiology") OR (MM "Prenatal Exposure Delayed Effects") OR ("Pregnan*") ) </w:t>
            </w:r>
          </w:p>
          <w:p w14:paraId="1FF01EB7" w14:textId="77777777" w:rsidR="00C30014" w:rsidRPr="00A60176" w:rsidRDefault="00C30014" w:rsidP="00A60176">
            <w:pPr>
              <w:pStyle w:val="RCTstable"/>
            </w:pPr>
            <w:r w:rsidRPr="00A60176">
              <w:t>AND ((MH "Retinoids+") OR (MM "Vitamin A") OR (AB "vitamin” NEXT A") OR (AB "retinol") OR (AB "all*trans*retinol") OR (AB "11-cis-Retinol") OR (AB "3,7-dimethyl-9-(2,6,6-trimethyl-1-cyclohexen-1-yl)-2,4,6,8-nonatetraen-1-ol, (all-E)-Isomer"))</w:t>
            </w:r>
          </w:p>
        </w:tc>
        <w:tc>
          <w:tcPr>
            <w:tcW w:w="1753" w:type="dxa"/>
          </w:tcPr>
          <w:p w14:paraId="59D722F4" w14:textId="77777777" w:rsidR="00C30014" w:rsidRPr="00A60176" w:rsidRDefault="00C30014" w:rsidP="00A60176">
            <w:pPr>
              <w:pStyle w:val="RCTstable"/>
            </w:pPr>
            <w:r w:rsidRPr="00A60176">
              <w:t>2015-2019</w:t>
            </w:r>
          </w:p>
        </w:tc>
        <w:tc>
          <w:tcPr>
            <w:tcW w:w="2217" w:type="dxa"/>
          </w:tcPr>
          <w:p w14:paraId="2D64C7A1" w14:textId="77777777" w:rsidR="00C30014" w:rsidRPr="00A60176" w:rsidRDefault="00C30014" w:rsidP="00A60176">
            <w:pPr>
              <w:pStyle w:val="RCTstable"/>
            </w:pPr>
            <w:r w:rsidRPr="00A60176">
              <w:t>English</w:t>
            </w:r>
          </w:p>
        </w:tc>
        <w:tc>
          <w:tcPr>
            <w:tcW w:w="875" w:type="dxa"/>
          </w:tcPr>
          <w:p w14:paraId="0E4B2EED" w14:textId="77777777" w:rsidR="00C30014" w:rsidRPr="00A60176" w:rsidRDefault="00C30014" w:rsidP="00A60176">
            <w:pPr>
              <w:pStyle w:val="RCTstable"/>
            </w:pPr>
            <w:r w:rsidRPr="00A60176">
              <w:t>150</w:t>
            </w:r>
          </w:p>
        </w:tc>
        <w:tc>
          <w:tcPr>
            <w:tcW w:w="1501" w:type="dxa"/>
          </w:tcPr>
          <w:p w14:paraId="7553FFDA" w14:textId="77777777" w:rsidR="00C30014" w:rsidRPr="00A60176" w:rsidRDefault="00C30014" w:rsidP="00A60176">
            <w:pPr>
              <w:pStyle w:val="RCTstable"/>
            </w:pPr>
            <w:r w:rsidRPr="00A60176">
              <w:t>20-June-19</w:t>
            </w:r>
          </w:p>
        </w:tc>
      </w:tr>
      <w:tr w:rsidR="00C30014" w:rsidRPr="00A60176" w14:paraId="5BD1366D" w14:textId="77777777" w:rsidTr="00C30014">
        <w:tc>
          <w:tcPr>
            <w:tcW w:w="1489" w:type="dxa"/>
          </w:tcPr>
          <w:p w14:paraId="25E989C4" w14:textId="77777777" w:rsidR="00C30014" w:rsidRPr="00A60176" w:rsidRDefault="00C30014" w:rsidP="00A60176">
            <w:pPr>
              <w:pStyle w:val="RCTstable"/>
            </w:pPr>
            <w:r w:rsidRPr="00A60176">
              <w:t>SCOPUS</w:t>
            </w:r>
          </w:p>
        </w:tc>
        <w:tc>
          <w:tcPr>
            <w:tcW w:w="6113" w:type="dxa"/>
          </w:tcPr>
          <w:p w14:paraId="0B56E8B1" w14:textId="77777777" w:rsidR="00C30014" w:rsidRPr="00A60176" w:rsidRDefault="00C30014" w:rsidP="00A60176">
            <w:pPr>
              <w:pStyle w:val="RCTstable"/>
            </w:pPr>
            <w:r w:rsidRPr="00A60176">
              <w:t>TITLE-ABS-KEY </w:t>
            </w:r>
            <w:r w:rsidRPr="00A60176">
              <w:rPr>
                <w:rFonts w:eastAsiaTheme="majorEastAsia"/>
              </w:rPr>
              <w:t>(</w:t>
            </w:r>
            <w:r w:rsidRPr="00A60176">
              <w:t> </w:t>
            </w:r>
            <w:r w:rsidRPr="00A60176">
              <w:rPr>
                <w:rFonts w:eastAsiaTheme="majorEastAsia"/>
              </w:rPr>
              <w:t>(</w:t>
            </w:r>
            <w:r w:rsidRPr="00A60176">
              <w:t> </w:t>
            </w:r>
            <w:r w:rsidRPr="00A60176">
              <w:rPr>
                <w:rFonts w:eastAsiaTheme="majorEastAsia"/>
              </w:rPr>
              <w:t>(</w:t>
            </w:r>
            <w:r w:rsidRPr="00A60176">
              <w:t> "pregnan*" </w:t>
            </w:r>
            <w:r w:rsidRPr="00A60176">
              <w:rPr>
                <w:rFonts w:eastAsiaTheme="majorEastAsia"/>
              </w:rPr>
              <w:t>)</w:t>
            </w:r>
            <w:r w:rsidRPr="00A60176">
              <w:t>  </w:t>
            </w:r>
            <w:r w:rsidRPr="00A60176">
              <w:rPr>
                <w:rFonts w:eastAsiaTheme="majorEastAsia"/>
              </w:rPr>
              <w:t>OR</w:t>
            </w:r>
            <w:r w:rsidRPr="00A60176">
              <w:t>  </w:t>
            </w:r>
            <w:r w:rsidRPr="00A60176">
              <w:rPr>
                <w:rFonts w:eastAsiaTheme="majorEastAsia"/>
              </w:rPr>
              <w:t>(</w:t>
            </w:r>
            <w:r w:rsidRPr="00A60176">
              <w:t> prenatal* </w:t>
            </w:r>
            <w:r w:rsidRPr="00A60176">
              <w:rPr>
                <w:rFonts w:eastAsiaTheme="majorEastAsia"/>
              </w:rPr>
              <w:t>)</w:t>
            </w:r>
            <w:r w:rsidRPr="00A60176">
              <w:t> </w:t>
            </w:r>
            <w:r w:rsidRPr="00A60176">
              <w:rPr>
                <w:rFonts w:eastAsiaTheme="majorEastAsia"/>
              </w:rPr>
              <w:t>)</w:t>
            </w:r>
            <w:r w:rsidRPr="00A60176">
              <w:t> </w:t>
            </w:r>
          </w:p>
          <w:p w14:paraId="20298287" w14:textId="77777777" w:rsidR="00C30014" w:rsidRPr="00A60176" w:rsidRDefault="00C30014" w:rsidP="00A60176">
            <w:pPr>
              <w:pStyle w:val="RCTstable"/>
              <w:rPr>
                <w:rFonts w:eastAsiaTheme="majorEastAsia"/>
              </w:rPr>
            </w:pPr>
            <w:r w:rsidRPr="00A60176">
              <w:t> </w:t>
            </w:r>
            <w:r w:rsidRPr="00A60176">
              <w:rPr>
                <w:rFonts w:eastAsiaTheme="majorEastAsia"/>
              </w:rPr>
              <w:t>AND</w:t>
            </w:r>
            <w:r w:rsidRPr="00A60176">
              <w:t> </w:t>
            </w:r>
          </w:p>
          <w:p w14:paraId="73813FAB" w14:textId="77777777" w:rsidR="00C30014" w:rsidRPr="00A60176" w:rsidRDefault="00C30014" w:rsidP="00A60176">
            <w:pPr>
              <w:pStyle w:val="RCTstable"/>
            </w:pPr>
            <w:r w:rsidRPr="00A60176">
              <w:t>(("Retinoids") OR ("Vitamin A") OR ("vitamin" Next/2 "A") OR ("retinol") OR ("all*trans*retinol"))</w:t>
            </w:r>
          </w:p>
        </w:tc>
        <w:tc>
          <w:tcPr>
            <w:tcW w:w="1753" w:type="dxa"/>
          </w:tcPr>
          <w:p w14:paraId="40748007" w14:textId="77777777" w:rsidR="00C30014" w:rsidRPr="00A60176" w:rsidRDefault="00C30014" w:rsidP="00A60176">
            <w:pPr>
              <w:pStyle w:val="RCTstable"/>
            </w:pPr>
            <w:r w:rsidRPr="00A60176">
              <w:t>2015 - 2019</w:t>
            </w:r>
          </w:p>
        </w:tc>
        <w:tc>
          <w:tcPr>
            <w:tcW w:w="2217" w:type="dxa"/>
          </w:tcPr>
          <w:p w14:paraId="50605E97" w14:textId="77777777" w:rsidR="00C30014" w:rsidRPr="00A60176" w:rsidRDefault="00C30014" w:rsidP="00A60176">
            <w:pPr>
              <w:pStyle w:val="RCTstable"/>
            </w:pPr>
            <w:r w:rsidRPr="00A60176">
              <w:t>English</w:t>
            </w:r>
          </w:p>
        </w:tc>
        <w:tc>
          <w:tcPr>
            <w:tcW w:w="875" w:type="dxa"/>
          </w:tcPr>
          <w:p w14:paraId="1C199CBA" w14:textId="77777777" w:rsidR="00C30014" w:rsidRPr="00A60176" w:rsidRDefault="00C30014" w:rsidP="00A60176">
            <w:pPr>
              <w:pStyle w:val="RCTstable"/>
            </w:pPr>
            <w:r w:rsidRPr="00A60176">
              <w:t>943</w:t>
            </w:r>
          </w:p>
        </w:tc>
        <w:tc>
          <w:tcPr>
            <w:tcW w:w="1501" w:type="dxa"/>
          </w:tcPr>
          <w:p w14:paraId="1D9E4531" w14:textId="77777777" w:rsidR="00C30014" w:rsidRPr="00A60176" w:rsidRDefault="00C30014" w:rsidP="00A60176">
            <w:pPr>
              <w:pStyle w:val="RCTstable"/>
            </w:pPr>
            <w:r w:rsidRPr="00A60176">
              <w:t>20-June-19</w:t>
            </w:r>
          </w:p>
        </w:tc>
      </w:tr>
      <w:tr w:rsidR="00C30014" w:rsidRPr="00A60176" w14:paraId="49F60D43" w14:textId="77777777" w:rsidTr="00C30014">
        <w:tc>
          <w:tcPr>
            <w:tcW w:w="1489" w:type="dxa"/>
          </w:tcPr>
          <w:p w14:paraId="0421D456" w14:textId="77777777" w:rsidR="00C30014" w:rsidRPr="00A60176" w:rsidRDefault="00C30014" w:rsidP="00A60176">
            <w:pPr>
              <w:pStyle w:val="RCTstable"/>
            </w:pPr>
            <w:r w:rsidRPr="00A60176">
              <w:t>Health Infonet</w:t>
            </w:r>
          </w:p>
        </w:tc>
        <w:tc>
          <w:tcPr>
            <w:tcW w:w="6113" w:type="dxa"/>
          </w:tcPr>
          <w:p w14:paraId="20DB8777" w14:textId="77777777" w:rsidR="00C30014" w:rsidRPr="00A60176" w:rsidRDefault="00C30014" w:rsidP="00A60176">
            <w:pPr>
              <w:pStyle w:val="RCTstable"/>
            </w:pPr>
            <w:r w:rsidRPr="00A60176">
              <w:t>Vitamin – Keyword</w:t>
            </w:r>
          </w:p>
          <w:p w14:paraId="20E897C1" w14:textId="77777777" w:rsidR="00C30014" w:rsidRPr="00A60176" w:rsidRDefault="00C30014" w:rsidP="00A60176">
            <w:pPr>
              <w:pStyle w:val="RCTstable"/>
            </w:pPr>
            <w:r w:rsidRPr="00A60176">
              <w:t>Pregnancy - keyword</w:t>
            </w:r>
          </w:p>
        </w:tc>
        <w:tc>
          <w:tcPr>
            <w:tcW w:w="1753" w:type="dxa"/>
          </w:tcPr>
          <w:p w14:paraId="61627D15" w14:textId="36DD4EFC" w:rsidR="00C30014" w:rsidRPr="00A60176" w:rsidRDefault="00C30014" w:rsidP="00A60176">
            <w:pPr>
              <w:pStyle w:val="RCTstable"/>
            </w:pPr>
            <w:r w:rsidRPr="00A60176">
              <w:t>2015-current = 0</w:t>
            </w:r>
          </w:p>
        </w:tc>
        <w:tc>
          <w:tcPr>
            <w:tcW w:w="2217" w:type="dxa"/>
          </w:tcPr>
          <w:p w14:paraId="1A657116" w14:textId="77777777" w:rsidR="00C30014" w:rsidRPr="00A60176" w:rsidRDefault="00C30014" w:rsidP="00A60176">
            <w:pPr>
              <w:pStyle w:val="RCTstable"/>
            </w:pPr>
            <w:r w:rsidRPr="00A60176">
              <w:t>None</w:t>
            </w:r>
          </w:p>
        </w:tc>
        <w:tc>
          <w:tcPr>
            <w:tcW w:w="875" w:type="dxa"/>
          </w:tcPr>
          <w:p w14:paraId="40B02665" w14:textId="77777777" w:rsidR="00C30014" w:rsidRPr="00A60176" w:rsidRDefault="00C30014" w:rsidP="00A60176">
            <w:pPr>
              <w:pStyle w:val="RCTstable"/>
            </w:pPr>
            <w:r w:rsidRPr="00A60176">
              <w:t>0</w:t>
            </w:r>
          </w:p>
        </w:tc>
        <w:tc>
          <w:tcPr>
            <w:tcW w:w="1501" w:type="dxa"/>
          </w:tcPr>
          <w:p w14:paraId="40BDBC85" w14:textId="77777777" w:rsidR="00C30014" w:rsidRPr="00A60176" w:rsidRDefault="00C30014" w:rsidP="00A60176">
            <w:pPr>
              <w:pStyle w:val="RCTstable"/>
            </w:pPr>
            <w:r w:rsidRPr="00A60176">
              <w:t>20-June-19</w:t>
            </w:r>
          </w:p>
        </w:tc>
      </w:tr>
      <w:tr w:rsidR="00C30014" w:rsidRPr="00A60176" w14:paraId="103B73BE" w14:textId="77777777" w:rsidTr="00C30014">
        <w:tc>
          <w:tcPr>
            <w:tcW w:w="1489" w:type="dxa"/>
          </w:tcPr>
          <w:p w14:paraId="7F67A019" w14:textId="77777777" w:rsidR="00C30014" w:rsidRPr="00A60176" w:rsidRDefault="00C30014" w:rsidP="00A60176">
            <w:pPr>
              <w:pStyle w:val="RCTstable"/>
            </w:pPr>
            <w:r w:rsidRPr="00A60176">
              <w:t>Cochrane</w:t>
            </w:r>
          </w:p>
        </w:tc>
        <w:tc>
          <w:tcPr>
            <w:tcW w:w="6113" w:type="dxa"/>
          </w:tcPr>
          <w:p w14:paraId="4575DA57" w14:textId="77777777" w:rsidR="00C30014" w:rsidRPr="00A60176" w:rsidRDefault="00C30014" w:rsidP="00A60176">
            <w:pPr>
              <w:pStyle w:val="RCTstable"/>
            </w:pPr>
            <w:r w:rsidRPr="00A60176">
              <w:t xml:space="preserve">((MeSH descriptor: [Pregnancy] explode all trees) </w:t>
            </w:r>
          </w:p>
          <w:p w14:paraId="55460DCD" w14:textId="77777777" w:rsidR="00C30014" w:rsidRPr="00A60176" w:rsidRDefault="00C30014" w:rsidP="00A60176">
            <w:pPr>
              <w:pStyle w:val="RCTstable"/>
            </w:pPr>
            <w:r w:rsidRPr="00A60176">
              <w:t xml:space="preserve">OR (MeSH descriptor: [Pregnant Women] explode all trees) </w:t>
            </w:r>
          </w:p>
          <w:p w14:paraId="7B8C5546" w14:textId="77777777" w:rsidR="00C30014" w:rsidRPr="00A60176" w:rsidRDefault="00C30014" w:rsidP="00A60176">
            <w:pPr>
              <w:pStyle w:val="RCTstable"/>
            </w:pPr>
            <w:r w:rsidRPr="00A60176">
              <w:t xml:space="preserve">OR ‘pregnan*’) </w:t>
            </w:r>
          </w:p>
          <w:p w14:paraId="51B05C89" w14:textId="77777777" w:rsidR="00C30014" w:rsidRPr="00A60176" w:rsidRDefault="00C30014" w:rsidP="00A60176">
            <w:pPr>
              <w:pStyle w:val="RCTstable"/>
            </w:pPr>
            <w:r w:rsidRPr="00A60176">
              <w:t xml:space="preserve">AND </w:t>
            </w:r>
          </w:p>
          <w:p w14:paraId="6459BF00" w14:textId="780510E8" w:rsidR="00C30014" w:rsidRPr="00A60176" w:rsidRDefault="00C30014" w:rsidP="00A60176">
            <w:pPr>
              <w:pStyle w:val="RCTstable"/>
            </w:pPr>
            <w:r w:rsidRPr="00A60176">
              <w:t>(MeSH descriptor: [Vitamin A] explode all trees) OR ((Retinoids) OR (vitamin NEXT A) OR (retinol) OR (all*trans*retinol))</w:t>
            </w:r>
          </w:p>
        </w:tc>
        <w:tc>
          <w:tcPr>
            <w:tcW w:w="1753" w:type="dxa"/>
          </w:tcPr>
          <w:p w14:paraId="62014920" w14:textId="77777777" w:rsidR="00C30014" w:rsidRPr="00A60176" w:rsidRDefault="00C30014" w:rsidP="00A60176">
            <w:pPr>
              <w:pStyle w:val="RCTstable"/>
            </w:pPr>
            <w:r w:rsidRPr="00A60176">
              <w:t>Mar 2015 to Dec 2019</w:t>
            </w:r>
          </w:p>
        </w:tc>
        <w:tc>
          <w:tcPr>
            <w:tcW w:w="2217" w:type="dxa"/>
          </w:tcPr>
          <w:p w14:paraId="665F4091" w14:textId="77777777" w:rsidR="00C30014" w:rsidRPr="00A60176" w:rsidRDefault="00C30014" w:rsidP="00A60176">
            <w:pPr>
              <w:pStyle w:val="RCTstable"/>
            </w:pPr>
            <w:r w:rsidRPr="00A60176">
              <w:t>Cochrane reviews, protocols and Trials</w:t>
            </w:r>
          </w:p>
        </w:tc>
        <w:tc>
          <w:tcPr>
            <w:tcW w:w="875" w:type="dxa"/>
          </w:tcPr>
          <w:p w14:paraId="6F3CE2C0" w14:textId="77777777" w:rsidR="00C30014" w:rsidRPr="00A60176" w:rsidRDefault="00C30014" w:rsidP="00A60176">
            <w:pPr>
              <w:pStyle w:val="RCTstable"/>
            </w:pPr>
            <w:r w:rsidRPr="00A60176">
              <w:t>262</w:t>
            </w:r>
          </w:p>
        </w:tc>
        <w:tc>
          <w:tcPr>
            <w:tcW w:w="1501" w:type="dxa"/>
          </w:tcPr>
          <w:p w14:paraId="0DD3C50E" w14:textId="77777777" w:rsidR="00C30014" w:rsidRPr="00A60176" w:rsidRDefault="00C30014" w:rsidP="00A60176">
            <w:pPr>
              <w:pStyle w:val="RCTstable"/>
            </w:pPr>
            <w:r w:rsidRPr="00A60176">
              <w:t>20-June-19</w:t>
            </w:r>
          </w:p>
        </w:tc>
      </w:tr>
    </w:tbl>
    <w:p w14:paraId="6E4187FF" w14:textId="49F4663C" w:rsidR="00551904" w:rsidRDefault="001918B0" w:rsidP="00320FB8">
      <w:pPr>
        <w:pStyle w:val="Figure"/>
        <w:spacing w:before="240"/>
        <w:jc w:val="center"/>
      </w:pPr>
      <w:r>
        <w:rPr>
          <w:noProof/>
          <w:lang w:val="en-AU" w:eastAsia="en-AU"/>
        </w:rPr>
        <w:drawing>
          <wp:inline distT="0" distB="0" distL="0" distR="0" wp14:anchorId="4002EC28" wp14:editId="16F4CD7D">
            <wp:extent cx="3512267" cy="459841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tamin A.png"/>
                    <pic:cNvPicPr/>
                  </pic:nvPicPr>
                  <pic:blipFill>
                    <a:blip r:embed="rId20">
                      <a:extLst>
                        <a:ext uri="{28A0092B-C50C-407E-A947-70E740481C1C}">
                          <a14:useLocalDpi xmlns:a14="http://schemas.microsoft.com/office/drawing/2010/main" val="0"/>
                        </a:ext>
                      </a:extLst>
                    </a:blip>
                    <a:stretch>
                      <a:fillRect/>
                    </a:stretch>
                  </pic:blipFill>
                  <pic:spPr>
                    <a:xfrm>
                      <a:off x="0" y="0"/>
                      <a:ext cx="3523454" cy="4613065"/>
                    </a:xfrm>
                    <a:prstGeom prst="rect">
                      <a:avLst/>
                    </a:prstGeom>
                  </pic:spPr>
                </pic:pic>
              </a:graphicData>
            </a:graphic>
          </wp:inline>
        </w:drawing>
      </w:r>
    </w:p>
    <w:p w14:paraId="365B4B6F" w14:textId="0419D65E" w:rsidR="00C30014" w:rsidRDefault="00551904" w:rsidP="00551904">
      <w:pPr>
        <w:pStyle w:val="Figurename"/>
      </w:pPr>
      <w:r>
        <w:t>PRISMA</w:t>
      </w:r>
      <w:r w:rsidR="00C30014">
        <w:t xml:space="preserve"> </w:t>
      </w:r>
      <w:r>
        <w:t>diagram</w:t>
      </w:r>
      <w:r w:rsidR="00C30014">
        <w:t>:</w:t>
      </w:r>
      <w:r>
        <w:t xml:space="preserve"> Vitamin A</w:t>
      </w:r>
    </w:p>
    <w:p w14:paraId="5CFB051D" w14:textId="4F405616" w:rsidR="00C30014" w:rsidRDefault="00D75C1B" w:rsidP="000F3838">
      <w:pPr>
        <w:pStyle w:val="Heading4"/>
      </w:pPr>
      <w:r>
        <w:rPr>
          <w:lang w:val="en-AU"/>
        </w:rPr>
        <w:t>Multiple micronutrient</w:t>
      </w:r>
      <w:r w:rsidR="00C30014" w:rsidRPr="00070870">
        <w:rPr>
          <w:lang w:val="en-AU"/>
        </w:rPr>
        <w:t xml:space="preserve"> supplementation</w:t>
      </w:r>
      <w:r w:rsidR="000D04A0" w:rsidRPr="00070870">
        <w:t xml:space="preserve"> (research question 3)</w:t>
      </w:r>
    </w:p>
    <w:p w14:paraId="5F42C948" w14:textId="77777777" w:rsidR="00070870" w:rsidRDefault="00070870" w:rsidP="00070870">
      <w:r>
        <w:t>Citation:</w:t>
      </w:r>
    </w:p>
    <w:p w14:paraId="2030C086" w14:textId="77777777" w:rsidR="00070870" w:rsidRPr="008D2FB9" w:rsidRDefault="00070870" w:rsidP="00070870">
      <w:pPr>
        <w:rPr>
          <w:lang w:eastAsia="en-AU"/>
        </w:rPr>
      </w:pPr>
      <w:r w:rsidRPr="008D2FB9">
        <w:rPr>
          <w:lang w:eastAsia="en-AU"/>
        </w:rPr>
        <w:t>Wolf, HT, Hegaard, HK, Huusom, LD &amp; Pinborg, AB 2017, ‘Multivitamin use and adverse birth outcomes in high-income countries: a systematic review and meta-analysis’, </w:t>
      </w:r>
      <w:r w:rsidRPr="008D2FB9">
        <w:rPr>
          <w:i/>
          <w:iCs/>
          <w:lang w:eastAsia="en-AU"/>
        </w:rPr>
        <w:t>American Journal of Obstetrics and Gynecology</w:t>
      </w:r>
      <w:r w:rsidRPr="008D2FB9">
        <w:rPr>
          <w:lang w:eastAsia="en-AU"/>
        </w:rPr>
        <w:t>, vol. 217, no. 4, pp. 404.e1–404.e30.</w:t>
      </w:r>
    </w:p>
    <w:p w14:paraId="0956A7B4" w14:textId="77777777" w:rsidR="00070870" w:rsidRDefault="00070870" w:rsidP="00070870">
      <w:pPr>
        <w:rPr>
          <w:b/>
        </w:rPr>
      </w:pPr>
      <w:r>
        <w:rPr>
          <w:b/>
        </w:rPr>
        <w:t>Current search dates:</w:t>
      </w:r>
    </w:p>
    <w:p w14:paraId="5C6C61C1" w14:textId="77777777" w:rsidR="00070870" w:rsidRDefault="00070870" w:rsidP="00070870">
      <w:r>
        <w:t>01 Jan 2015 – Jan 2020</w:t>
      </w:r>
    </w:p>
    <w:tbl>
      <w:tblPr>
        <w:tblStyle w:val="TableGrid"/>
        <w:tblW w:w="0" w:type="auto"/>
        <w:tblLayout w:type="fixed"/>
        <w:tblLook w:val="04A0" w:firstRow="1" w:lastRow="0" w:firstColumn="1" w:lastColumn="0" w:noHBand="0" w:noVBand="1"/>
      </w:tblPr>
      <w:tblGrid>
        <w:gridCol w:w="1102"/>
        <w:gridCol w:w="3969"/>
        <w:gridCol w:w="1275"/>
        <w:gridCol w:w="851"/>
        <w:gridCol w:w="850"/>
        <w:gridCol w:w="1233"/>
      </w:tblGrid>
      <w:tr w:rsidR="00070870" w:rsidRPr="00070870" w14:paraId="0F060E78" w14:textId="77777777" w:rsidTr="00070870">
        <w:trPr>
          <w:tblHeader/>
        </w:trPr>
        <w:tc>
          <w:tcPr>
            <w:tcW w:w="1102" w:type="dxa"/>
          </w:tcPr>
          <w:p w14:paraId="44EF2040" w14:textId="77777777" w:rsidR="00070870" w:rsidRPr="00070870" w:rsidRDefault="00070870" w:rsidP="00070870">
            <w:pPr>
              <w:pStyle w:val="RCTstable"/>
              <w:keepNext/>
              <w:rPr>
                <w:b/>
              </w:rPr>
            </w:pPr>
            <w:r w:rsidRPr="00070870">
              <w:rPr>
                <w:b/>
              </w:rPr>
              <w:t>Database</w:t>
            </w:r>
          </w:p>
        </w:tc>
        <w:tc>
          <w:tcPr>
            <w:tcW w:w="3969" w:type="dxa"/>
          </w:tcPr>
          <w:p w14:paraId="24B509BF" w14:textId="77777777" w:rsidR="00070870" w:rsidRPr="00070870" w:rsidRDefault="00070870" w:rsidP="00070870">
            <w:pPr>
              <w:pStyle w:val="RCTstable"/>
              <w:keepNext/>
              <w:rPr>
                <w:b/>
              </w:rPr>
            </w:pPr>
            <w:r w:rsidRPr="00070870">
              <w:rPr>
                <w:b/>
              </w:rPr>
              <w:t>Search Strategy</w:t>
            </w:r>
          </w:p>
        </w:tc>
        <w:tc>
          <w:tcPr>
            <w:tcW w:w="1275" w:type="dxa"/>
          </w:tcPr>
          <w:p w14:paraId="5043BDB3" w14:textId="77777777" w:rsidR="00070870" w:rsidRPr="00070870" w:rsidRDefault="00070870" w:rsidP="00070870">
            <w:pPr>
              <w:pStyle w:val="RCTstable"/>
              <w:keepNext/>
              <w:rPr>
                <w:b/>
              </w:rPr>
            </w:pPr>
            <w:r w:rsidRPr="00070870">
              <w:rPr>
                <w:b/>
              </w:rPr>
              <w:t>Dates Searched</w:t>
            </w:r>
          </w:p>
        </w:tc>
        <w:tc>
          <w:tcPr>
            <w:tcW w:w="851" w:type="dxa"/>
          </w:tcPr>
          <w:p w14:paraId="51D169A6" w14:textId="77777777" w:rsidR="00070870" w:rsidRPr="00070870" w:rsidRDefault="00070870" w:rsidP="00070870">
            <w:pPr>
              <w:pStyle w:val="RCTstable"/>
              <w:keepNext/>
              <w:rPr>
                <w:b/>
              </w:rPr>
            </w:pPr>
            <w:r w:rsidRPr="00070870">
              <w:rPr>
                <w:b/>
              </w:rPr>
              <w:t>Limits set</w:t>
            </w:r>
          </w:p>
        </w:tc>
        <w:tc>
          <w:tcPr>
            <w:tcW w:w="850" w:type="dxa"/>
          </w:tcPr>
          <w:p w14:paraId="69CED52D" w14:textId="77777777" w:rsidR="00070870" w:rsidRPr="00070870" w:rsidRDefault="00070870" w:rsidP="00070870">
            <w:pPr>
              <w:pStyle w:val="RCTstable"/>
              <w:keepNext/>
              <w:rPr>
                <w:b/>
              </w:rPr>
            </w:pPr>
            <w:r w:rsidRPr="00070870">
              <w:rPr>
                <w:b/>
              </w:rPr>
              <w:t>Results</w:t>
            </w:r>
          </w:p>
        </w:tc>
        <w:tc>
          <w:tcPr>
            <w:tcW w:w="1233" w:type="dxa"/>
          </w:tcPr>
          <w:p w14:paraId="3ED51150" w14:textId="77777777" w:rsidR="00070870" w:rsidRPr="00070870" w:rsidRDefault="00070870" w:rsidP="00070870">
            <w:pPr>
              <w:pStyle w:val="RCTstable"/>
              <w:keepNext/>
              <w:rPr>
                <w:b/>
              </w:rPr>
            </w:pPr>
            <w:r w:rsidRPr="00070870">
              <w:rPr>
                <w:b/>
              </w:rPr>
              <w:t>Date of search</w:t>
            </w:r>
          </w:p>
        </w:tc>
      </w:tr>
      <w:tr w:rsidR="00070870" w:rsidRPr="00070870" w14:paraId="44643815" w14:textId="77777777" w:rsidTr="00070870">
        <w:tc>
          <w:tcPr>
            <w:tcW w:w="1102" w:type="dxa"/>
          </w:tcPr>
          <w:p w14:paraId="7665D45A" w14:textId="77777777" w:rsidR="00070870" w:rsidRPr="00070870" w:rsidRDefault="00070870" w:rsidP="00070870">
            <w:pPr>
              <w:pStyle w:val="RCTstable"/>
              <w:keepNext/>
            </w:pPr>
            <w:r w:rsidRPr="00070870">
              <w:t>Pubmed</w:t>
            </w:r>
          </w:p>
        </w:tc>
        <w:tc>
          <w:tcPr>
            <w:tcW w:w="3969" w:type="dxa"/>
          </w:tcPr>
          <w:p w14:paraId="3B907AD4" w14:textId="4088FD20" w:rsidR="00070870" w:rsidRPr="00070870" w:rsidRDefault="00070870" w:rsidP="00070870">
            <w:pPr>
              <w:pStyle w:val="RCTstable"/>
              <w:keepNext/>
            </w:pPr>
            <w:r w:rsidRPr="00070870">
              <w:t>See below</w:t>
            </w:r>
          </w:p>
        </w:tc>
        <w:tc>
          <w:tcPr>
            <w:tcW w:w="1275" w:type="dxa"/>
          </w:tcPr>
          <w:p w14:paraId="30C4F3DA" w14:textId="77777777" w:rsidR="00070870" w:rsidRPr="00070870" w:rsidRDefault="00070870" w:rsidP="00070870">
            <w:pPr>
              <w:pStyle w:val="RCTstable"/>
              <w:keepNext/>
            </w:pPr>
            <w:r w:rsidRPr="00070870">
              <w:t>2015-2020</w:t>
            </w:r>
          </w:p>
        </w:tc>
        <w:tc>
          <w:tcPr>
            <w:tcW w:w="851" w:type="dxa"/>
          </w:tcPr>
          <w:p w14:paraId="0ECBCE10" w14:textId="77777777" w:rsidR="00070870" w:rsidRPr="00070870" w:rsidRDefault="00070870" w:rsidP="00070870">
            <w:pPr>
              <w:pStyle w:val="RCTstable"/>
              <w:keepNext/>
            </w:pPr>
            <w:r w:rsidRPr="00070870">
              <w:t>English</w:t>
            </w:r>
          </w:p>
          <w:p w14:paraId="3BACE373" w14:textId="77777777" w:rsidR="00070870" w:rsidRPr="00070870" w:rsidRDefault="00070870" w:rsidP="00070870">
            <w:pPr>
              <w:pStyle w:val="RCTstable"/>
              <w:keepNext/>
            </w:pPr>
            <w:r w:rsidRPr="00070870">
              <w:t>Humans</w:t>
            </w:r>
          </w:p>
        </w:tc>
        <w:tc>
          <w:tcPr>
            <w:tcW w:w="850" w:type="dxa"/>
          </w:tcPr>
          <w:p w14:paraId="729E8FFC" w14:textId="77777777" w:rsidR="00070870" w:rsidRPr="00070870" w:rsidRDefault="00070870" w:rsidP="00070870">
            <w:pPr>
              <w:pStyle w:val="RCTstable"/>
              <w:keepNext/>
            </w:pPr>
            <w:r w:rsidRPr="00070870">
              <w:t>3136</w:t>
            </w:r>
          </w:p>
        </w:tc>
        <w:tc>
          <w:tcPr>
            <w:tcW w:w="1233" w:type="dxa"/>
          </w:tcPr>
          <w:p w14:paraId="4806B540" w14:textId="77777777" w:rsidR="00070870" w:rsidRPr="00070870" w:rsidRDefault="00070870" w:rsidP="00070870">
            <w:pPr>
              <w:pStyle w:val="RCTstable"/>
              <w:keepNext/>
            </w:pPr>
            <w:r w:rsidRPr="00070870">
              <w:t>21 Jan 2020</w:t>
            </w:r>
          </w:p>
        </w:tc>
      </w:tr>
      <w:tr w:rsidR="00070870" w:rsidRPr="00070870" w14:paraId="73FB7BC2" w14:textId="77777777" w:rsidTr="00070870">
        <w:tc>
          <w:tcPr>
            <w:tcW w:w="1102" w:type="dxa"/>
          </w:tcPr>
          <w:p w14:paraId="53C863AE" w14:textId="77777777" w:rsidR="00070870" w:rsidRPr="00070870" w:rsidRDefault="00070870" w:rsidP="00070870">
            <w:pPr>
              <w:pStyle w:val="RCTstable"/>
              <w:keepNext/>
            </w:pPr>
            <w:r w:rsidRPr="00070870">
              <w:t>Ovid medline</w:t>
            </w:r>
          </w:p>
        </w:tc>
        <w:tc>
          <w:tcPr>
            <w:tcW w:w="3969" w:type="dxa"/>
          </w:tcPr>
          <w:p w14:paraId="49A4F32F" w14:textId="77777777" w:rsidR="00070870" w:rsidRPr="00070870" w:rsidRDefault="00070870" w:rsidP="00070870">
            <w:pPr>
              <w:pStyle w:val="RCTstable"/>
              <w:keepNext/>
            </w:pPr>
            <w:r w:rsidRPr="00070870">
              <w:t>(Exp Pregnant women/ OR exp Pregnancy/ OR Pregnancy.mp. OR gravid.mp. OR obstetric.mp. OR pregnan*.mp. OR antenatal.mp. OR antepartum.mp. OR gestation*.mp.)</w:t>
            </w:r>
          </w:p>
          <w:p w14:paraId="58123E45" w14:textId="77777777" w:rsidR="00070870" w:rsidRPr="00070870" w:rsidRDefault="00070870" w:rsidP="00070870">
            <w:pPr>
              <w:pStyle w:val="RCTstable"/>
              <w:keepNext/>
            </w:pPr>
            <w:r w:rsidRPr="00070870">
              <w:t>AND</w:t>
            </w:r>
          </w:p>
          <w:p w14:paraId="4EEBC1FF" w14:textId="77777777" w:rsidR="00070870" w:rsidRPr="00070870" w:rsidRDefault="00070870" w:rsidP="00070870">
            <w:pPr>
              <w:pStyle w:val="RCTstable"/>
              <w:keepNext/>
            </w:pPr>
            <w:r w:rsidRPr="00070870">
              <w:t>(*dietary supplements/ OR exp Micronutrients/ OR multivitamin.mp. OR micronutrient.mp. OR supplementation*.mp. OR multivitamin-mineral*.mp.)</w:t>
            </w:r>
          </w:p>
        </w:tc>
        <w:tc>
          <w:tcPr>
            <w:tcW w:w="1275" w:type="dxa"/>
          </w:tcPr>
          <w:p w14:paraId="457E20D0" w14:textId="77777777" w:rsidR="00070870" w:rsidRPr="00070870" w:rsidRDefault="00070870" w:rsidP="00070870">
            <w:pPr>
              <w:pStyle w:val="RCTstable"/>
              <w:keepNext/>
            </w:pPr>
            <w:r w:rsidRPr="00070870">
              <w:t>2015-2020</w:t>
            </w:r>
          </w:p>
        </w:tc>
        <w:tc>
          <w:tcPr>
            <w:tcW w:w="851" w:type="dxa"/>
          </w:tcPr>
          <w:p w14:paraId="12BDA8DA" w14:textId="77777777" w:rsidR="00070870" w:rsidRPr="00070870" w:rsidRDefault="00070870" w:rsidP="00070870">
            <w:pPr>
              <w:pStyle w:val="RCTstable"/>
              <w:keepNext/>
            </w:pPr>
            <w:r w:rsidRPr="00070870">
              <w:t>English</w:t>
            </w:r>
          </w:p>
          <w:p w14:paraId="11036C25" w14:textId="77777777" w:rsidR="00070870" w:rsidRPr="00070870" w:rsidRDefault="00070870" w:rsidP="00070870">
            <w:pPr>
              <w:pStyle w:val="RCTstable"/>
              <w:keepNext/>
            </w:pPr>
            <w:r w:rsidRPr="00070870">
              <w:t>Humans</w:t>
            </w:r>
          </w:p>
        </w:tc>
        <w:tc>
          <w:tcPr>
            <w:tcW w:w="850" w:type="dxa"/>
          </w:tcPr>
          <w:p w14:paraId="4B587CB7" w14:textId="77777777" w:rsidR="00070870" w:rsidRPr="00070870" w:rsidRDefault="00070870" w:rsidP="00070870">
            <w:pPr>
              <w:pStyle w:val="RCTstable"/>
              <w:keepNext/>
            </w:pPr>
            <w:r w:rsidRPr="00070870">
              <w:t>4610</w:t>
            </w:r>
          </w:p>
        </w:tc>
        <w:tc>
          <w:tcPr>
            <w:tcW w:w="1233" w:type="dxa"/>
          </w:tcPr>
          <w:p w14:paraId="1CB557F1" w14:textId="77777777" w:rsidR="00070870" w:rsidRPr="00070870" w:rsidRDefault="00070870" w:rsidP="00070870">
            <w:pPr>
              <w:pStyle w:val="RCTstable"/>
              <w:keepNext/>
            </w:pPr>
            <w:r w:rsidRPr="00070870">
              <w:t>21-Jan-20</w:t>
            </w:r>
          </w:p>
        </w:tc>
      </w:tr>
      <w:tr w:rsidR="00070870" w:rsidRPr="00070870" w14:paraId="5526FC17" w14:textId="77777777" w:rsidTr="00070870">
        <w:tc>
          <w:tcPr>
            <w:tcW w:w="1102" w:type="dxa"/>
          </w:tcPr>
          <w:p w14:paraId="11C7BF0F" w14:textId="77777777" w:rsidR="00070870" w:rsidRPr="00070870" w:rsidRDefault="00070870" w:rsidP="00070870">
            <w:pPr>
              <w:pStyle w:val="RCTstable"/>
            </w:pPr>
            <w:r w:rsidRPr="00070870">
              <w:t>Embase</w:t>
            </w:r>
          </w:p>
        </w:tc>
        <w:tc>
          <w:tcPr>
            <w:tcW w:w="3969" w:type="dxa"/>
            <w:shd w:val="clear" w:color="auto" w:fill="FFFFFF" w:themeFill="background1"/>
          </w:tcPr>
          <w:p w14:paraId="36F96669" w14:textId="77777777" w:rsidR="00070870" w:rsidRPr="00070870" w:rsidRDefault="00070870" w:rsidP="00070870">
            <w:pPr>
              <w:pStyle w:val="RCTstable"/>
            </w:pPr>
            <w:r w:rsidRPr="00070870">
              <w:t>'pregnant woman'/exp OR 'pregnancy'/exp OR 'pregnancy':ti,ab,kw OR 'gravid':ti,ab,kw OR 'obstetric':ti,ab,kw OR 'pregnan*':ti,ab,kw OR 'antenatal':ti,ab,kw OR 'antepartum':ti,ab,kw OR 'gestation*':ti,ab,kw</w:t>
            </w:r>
          </w:p>
          <w:p w14:paraId="18DA9A52" w14:textId="77777777" w:rsidR="00070870" w:rsidRPr="00070870" w:rsidRDefault="00070870" w:rsidP="00070870">
            <w:pPr>
              <w:pStyle w:val="RCTstable"/>
            </w:pPr>
            <w:r w:rsidRPr="00070870">
              <w:t xml:space="preserve">AND </w:t>
            </w:r>
          </w:p>
          <w:p w14:paraId="155EFCE8" w14:textId="77777777" w:rsidR="00070870" w:rsidRPr="00070870" w:rsidRDefault="00070870" w:rsidP="00070870">
            <w:pPr>
              <w:pStyle w:val="RCTstable"/>
            </w:pPr>
            <w:r w:rsidRPr="00070870">
              <w:rPr>
                <w:rFonts w:eastAsiaTheme="minorEastAsia"/>
              </w:rPr>
              <w:t>'multivitamin'</w:t>
            </w:r>
            <w:r w:rsidRPr="00070870">
              <w:t>/exp OR </w:t>
            </w:r>
            <w:r w:rsidRPr="00070870">
              <w:rPr>
                <w:rFonts w:eastAsiaTheme="minorEastAsia"/>
              </w:rPr>
              <w:t>'dietary supplement'</w:t>
            </w:r>
            <w:r w:rsidRPr="00070870">
              <w:t>/exp OR </w:t>
            </w:r>
            <w:r w:rsidRPr="00070870">
              <w:rPr>
                <w:rFonts w:eastAsiaTheme="minorEastAsia"/>
              </w:rPr>
              <w:t>'multivitamin'</w:t>
            </w:r>
            <w:r w:rsidRPr="00070870">
              <w:t>:ti,ab,kw OR </w:t>
            </w:r>
            <w:r w:rsidRPr="00070870">
              <w:rPr>
                <w:rFonts w:eastAsiaTheme="minorEastAsia"/>
              </w:rPr>
              <w:t>'micronutrient'</w:t>
            </w:r>
            <w:r w:rsidRPr="00070870">
              <w:t>:ti,ab,kw OR </w:t>
            </w:r>
            <w:r w:rsidRPr="00070870">
              <w:rPr>
                <w:rFonts w:eastAsiaTheme="minorEastAsia"/>
              </w:rPr>
              <w:t>'supplementation*'</w:t>
            </w:r>
            <w:r w:rsidRPr="00070870">
              <w:t>:ti,ab,kw OR </w:t>
            </w:r>
            <w:r w:rsidRPr="00070870">
              <w:rPr>
                <w:rFonts w:eastAsiaTheme="minorEastAsia"/>
              </w:rPr>
              <w:t>'multivitamin-mineral'</w:t>
            </w:r>
            <w:r w:rsidRPr="00070870">
              <w:t>:ti,ab,kw</w:t>
            </w:r>
          </w:p>
        </w:tc>
        <w:tc>
          <w:tcPr>
            <w:tcW w:w="1275" w:type="dxa"/>
          </w:tcPr>
          <w:p w14:paraId="7818FDD6" w14:textId="77777777" w:rsidR="00070870" w:rsidRPr="00070870" w:rsidRDefault="00070870" w:rsidP="00070870">
            <w:pPr>
              <w:pStyle w:val="RCTstable"/>
            </w:pPr>
            <w:r w:rsidRPr="00070870">
              <w:t>2015-2020</w:t>
            </w:r>
          </w:p>
        </w:tc>
        <w:tc>
          <w:tcPr>
            <w:tcW w:w="851" w:type="dxa"/>
          </w:tcPr>
          <w:p w14:paraId="71CEE55D" w14:textId="77777777" w:rsidR="00070870" w:rsidRPr="00070870" w:rsidRDefault="00070870" w:rsidP="00070870">
            <w:pPr>
              <w:pStyle w:val="RCTstable"/>
            </w:pPr>
            <w:r w:rsidRPr="00070870">
              <w:t>English</w:t>
            </w:r>
          </w:p>
          <w:p w14:paraId="29420CE9" w14:textId="77777777" w:rsidR="00070870" w:rsidRPr="00070870" w:rsidRDefault="00070870" w:rsidP="00070870">
            <w:pPr>
              <w:pStyle w:val="RCTstable"/>
            </w:pPr>
            <w:r w:rsidRPr="00070870">
              <w:t>Humans</w:t>
            </w:r>
          </w:p>
        </w:tc>
        <w:tc>
          <w:tcPr>
            <w:tcW w:w="850" w:type="dxa"/>
          </w:tcPr>
          <w:p w14:paraId="65F5FE50" w14:textId="77777777" w:rsidR="00070870" w:rsidRPr="00070870" w:rsidRDefault="00070870" w:rsidP="00070870">
            <w:pPr>
              <w:pStyle w:val="RCTstable"/>
            </w:pPr>
            <w:r w:rsidRPr="00070870">
              <w:t>5311</w:t>
            </w:r>
          </w:p>
        </w:tc>
        <w:tc>
          <w:tcPr>
            <w:tcW w:w="1233" w:type="dxa"/>
          </w:tcPr>
          <w:p w14:paraId="292A41B1" w14:textId="77777777" w:rsidR="00070870" w:rsidRPr="00070870" w:rsidRDefault="00070870" w:rsidP="00070870">
            <w:pPr>
              <w:pStyle w:val="RCTstable"/>
            </w:pPr>
            <w:r w:rsidRPr="00070870">
              <w:t>24-Jan-20</w:t>
            </w:r>
          </w:p>
        </w:tc>
      </w:tr>
      <w:tr w:rsidR="00070870" w:rsidRPr="00070870" w14:paraId="31FC2099" w14:textId="77777777" w:rsidTr="00070870">
        <w:tc>
          <w:tcPr>
            <w:tcW w:w="1102" w:type="dxa"/>
          </w:tcPr>
          <w:p w14:paraId="53A1E18F" w14:textId="77777777" w:rsidR="00070870" w:rsidRPr="00070870" w:rsidRDefault="00070870" w:rsidP="00070870">
            <w:pPr>
              <w:pStyle w:val="RCTstable"/>
            </w:pPr>
            <w:r w:rsidRPr="00070870">
              <w:t>CINAHL</w:t>
            </w:r>
          </w:p>
        </w:tc>
        <w:tc>
          <w:tcPr>
            <w:tcW w:w="3969" w:type="dxa"/>
          </w:tcPr>
          <w:p w14:paraId="045717AD" w14:textId="77777777" w:rsidR="00070870" w:rsidRPr="00070870" w:rsidRDefault="00070870" w:rsidP="00070870">
            <w:pPr>
              <w:pStyle w:val="RCTstable"/>
            </w:pPr>
            <w:r w:rsidRPr="00070870">
              <w:t>( (MH "Pregnancy+") OR (MH "Expectant Mothers") ) OR ( ("pregnancy") OR ("gravid") OR ("obstetric") OR ("pregnan*") OR ("antenatal") OR ("antepartum") OR ("gestation*") ) </w:t>
            </w:r>
          </w:p>
          <w:p w14:paraId="1C33EA78" w14:textId="77777777" w:rsidR="00070870" w:rsidRPr="00070870" w:rsidRDefault="00070870" w:rsidP="00070870">
            <w:pPr>
              <w:pStyle w:val="RCTstable"/>
            </w:pPr>
            <w:r w:rsidRPr="00070870">
              <w:t>AND</w:t>
            </w:r>
          </w:p>
          <w:p w14:paraId="0EB6ADED" w14:textId="77777777" w:rsidR="00070870" w:rsidRPr="00070870" w:rsidRDefault="00070870" w:rsidP="00070870">
            <w:pPr>
              <w:pStyle w:val="RCTstable"/>
            </w:pPr>
            <w:r w:rsidRPr="00070870">
              <w:t>( (MH "Dietary Supplementation") OR (MH "Dietary Supplements") OR ) OR ( (multivitamin") OR ("micronutrient") OR ("supplementation*") OR ("multivitamin-mineral*") ) </w:t>
            </w:r>
          </w:p>
        </w:tc>
        <w:tc>
          <w:tcPr>
            <w:tcW w:w="1275" w:type="dxa"/>
          </w:tcPr>
          <w:p w14:paraId="113B16A5" w14:textId="77777777" w:rsidR="00070870" w:rsidRPr="00070870" w:rsidRDefault="00070870" w:rsidP="00070870">
            <w:pPr>
              <w:pStyle w:val="RCTstable"/>
            </w:pPr>
            <w:r w:rsidRPr="00070870">
              <w:t>2015-2020</w:t>
            </w:r>
          </w:p>
        </w:tc>
        <w:tc>
          <w:tcPr>
            <w:tcW w:w="851" w:type="dxa"/>
          </w:tcPr>
          <w:p w14:paraId="22E07E9A" w14:textId="77777777" w:rsidR="00070870" w:rsidRPr="00070870" w:rsidRDefault="00070870" w:rsidP="00070870">
            <w:pPr>
              <w:pStyle w:val="RCTstable"/>
            </w:pPr>
            <w:r w:rsidRPr="00070870">
              <w:t>English</w:t>
            </w:r>
          </w:p>
        </w:tc>
        <w:tc>
          <w:tcPr>
            <w:tcW w:w="850" w:type="dxa"/>
          </w:tcPr>
          <w:p w14:paraId="19659870" w14:textId="77777777" w:rsidR="00070870" w:rsidRPr="00070870" w:rsidRDefault="00070870" w:rsidP="00070870">
            <w:pPr>
              <w:pStyle w:val="RCTstable"/>
            </w:pPr>
            <w:r w:rsidRPr="00070870">
              <w:t>1193</w:t>
            </w:r>
          </w:p>
        </w:tc>
        <w:tc>
          <w:tcPr>
            <w:tcW w:w="1233" w:type="dxa"/>
          </w:tcPr>
          <w:p w14:paraId="6995C6E5" w14:textId="77777777" w:rsidR="00070870" w:rsidRPr="00070870" w:rsidRDefault="00070870" w:rsidP="00070870">
            <w:pPr>
              <w:pStyle w:val="RCTstable"/>
            </w:pPr>
            <w:r w:rsidRPr="00070870">
              <w:t>24-Jan-20</w:t>
            </w:r>
          </w:p>
        </w:tc>
      </w:tr>
      <w:tr w:rsidR="00070870" w:rsidRPr="00070870" w14:paraId="48839037" w14:textId="77777777" w:rsidTr="00070870">
        <w:tc>
          <w:tcPr>
            <w:tcW w:w="1102" w:type="dxa"/>
          </w:tcPr>
          <w:p w14:paraId="307B6C84" w14:textId="77777777" w:rsidR="00070870" w:rsidRPr="00070870" w:rsidRDefault="00070870" w:rsidP="00070870">
            <w:pPr>
              <w:pStyle w:val="RCTstable"/>
            </w:pPr>
            <w:r w:rsidRPr="00070870">
              <w:t>SCOPUS</w:t>
            </w:r>
          </w:p>
        </w:tc>
        <w:tc>
          <w:tcPr>
            <w:tcW w:w="3969" w:type="dxa"/>
          </w:tcPr>
          <w:p w14:paraId="09FEE31E" w14:textId="0E8A1E4A" w:rsidR="00070870" w:rsidRPr="00070870" w:rsidRDefault="00070870" w:rsidP="00070870">
            <w:pPr>
              <w:pStyle w:val="RCTstable"/>
            </w:pPr>
            <w:r w:rsidRPr="00070870">
              <w:t>( ( "pregnancy" )  OR  ( "gravid" )  OR  ( "obstetric" )  OR  ( "pregnan*" )  </w:t>
            </w:r>
          </w:p>
          <w:p w14:paraId="125B9D3D" w14:textId="77777777" w:rsidR="00070870" w:rsidRPr="00070870" w:rsidRDefault="00070870" w:rsidP="00070870">
            <w:pPr>
              <w:pStyle w:val="RCTstable"/>
            </w:pPr>
            <w:r w:rsidRPr="00070870">
              <w:t>OR  ( "antenatal" )  OR  ( "antepartum" )  OR  ( "gestation*" ) ) </w:t>
            </w:r>
          </w:p>
          <w:p w14:paraId="5FABEE7F" w14:textId="77777777" w:rsidR="00070870" w:rsidRPr="00070870" w:rsidRDefault="00070870" w:rsidP="00070870">
            <w:pPr>
              <w:pStyle w:val="RCTstable"/>
            </w:pPr>
            <w:r w:rsidRPr="00070870">
              <w:t>AND</w:t>
            </w:r>
          </w:p>
          <w:p w14:paraId="61E966F6" w14:textId="77777777" w:rsidR="00070870" w:rsidRPr="00070870" w:rsidRDefault="00070870" w:rsidP="00070870">
            <w:pPr>
              <w:pStyle w:val="RCTstable"/>
            </w:pPr>
            <w:r w:rsidRPr="00070870">
              <w:rPr>
                <w:rFonts w:eastAsiaTheme="majorEastAsia"/>
              </w:rPr>
              <w:t>(</w:t>
            </w:r>
            <w:r w:rsidRPr="00070870">
              <w:t> </w:t>
            </w:r>
            <w:r w:rsidRPr="00070870">
              <w:rPr>
                <w:rFonts w:eastAsiaTheme="majorEastAsia"/>
              </w:rPr>
              <w:t>(</w:t>
            </w:r>
            <w:r w:rsidRPr="00070870">
              <w:t> "multivitamin" </w:t>
            </w:r>
            <w:r w:rsidRPr="00070870">
              <w:rPr>
                <w:rFonts w:eastAsiaTheme="majorEastAsia"/>
              </w:rPr>
              <w:t>)</w:t>
            </w:r>
            <w:r w:rsidRPr="00070870">
              <w:t>  </w:t>
            </w:r>
            <w:r w:rsidRPr="00070870">
              <w:rPr>
                <w:rFonts w:eastAsiaTheme="majorEastAsia"/>
              </w:rPr>
              <w:t>OR</w:t>
            </w:r>
            <w:r w:rsidRPr="00070870">
              <w:t>  </w:t>
            </w:r>
            <w:r w:rsidRPr="00070870">
              <w:rPr>
                <w:rFonts w:eastAsiaTheme="majorEastAsia"/>
              </w:rPr>
              <w:t>(</w:t>
            </w:r>
            <w:r w:rsidRPr="00070870">
              <w:t> "micronutrient" </w:t>
            </w:r>
            <w:r w:rsidRPr="00070870">
              <w:rPr>
                <w:rFonts w:eastAsiaTheme="majorEastAsia"/>
              </w:rPr>
              <w:t>)</w:t>
            </w:r>
            <w:r w:rsidRPr="00070870">
              <w:t>  </w:t>
            </w:r>
            <w:r w:rsidRPr="00070870">
              <w:rPr>
                <w:rFonts w:eastAsiaTheme="majorEastAsia"/>
              </w:rPr>
              <w:t>OR</w:t>
            </w:r>
            <w:r w:rsidRPr="00070870">
              <w:t>  </w:t>
            </w:r>
            <w:r w:rsidRPr="00070870">
              <w:rPr>
                <w:rFonts w:eastAsiaTheme="majorEastAsia"/>
              </w:rPr>
              <w:t>(</w:t>
            </w:r>
            <w:r w:rsidRPr="00070870">
              <w:t> "supplementation*" </w:t>
            </w:r>
            <w:r w:rsidRPr="00070870">
              <w:rPr>
                <w:rFonts w:eastAsiaTheme="majorEastAsia"/>
              </w:rPr>
              <w:t>)</w:t>
            </w:r>
            <w:r w:rsidRPr="00070870">
              <w:t>  </w:t>
            </w:r>
            <w:r w:rsidRPr="00070870">
              <w:rPr>
                <w:rFonts w:eastAsiaTheme="majorEastAsia"/>
              </w:rPr>
              <w:t>OR</w:t>
            </w:r>
            <w:r w:rsidRPr="00070870">
              <w:t>  </w:t>
            </w:r>
          </w:p>
          <w:p w14:paraId="2886EC4C" w14:textId="63B8B873" w:rsidR="00070870" w:rsidRPr="00070870" w:rsidRDefault="00070870" w:rsidP="00070870">
            <w:pPr>
              <w:pStyle w:val="RCTstable"/>
            </w:pPr>
            <w:r w:rsidRPr="00070870">
              <w:rPr>
                <w:rFonts w:eastAsiaTheme="majorEastAsia"/>
              </w:rPr>
              <w:t>(</w:t>
            </w:r>
            <w:r w:rsidRPr="00070870">
              <w:t> "multivitamin-mineral*" </w:t>
            </w:r>
            <w:r w:rsidRPr="00070870">
              <w:rPr>
                <w:rFonts w:eastAsiaTheme="majorEastAsia"/>
              </w:rPr>
              <w:t>)</w:t>
            </w:r>
            <w:r w:rsidRPr="00070870">
              <w:t>  </w:t>
            </w:r>
            <w:r w:rsidRPr="00070870">
              <w:rPr>
                <w:rFonts w:eastAsiaTheme="majorEastAsia"/>
              </w:rPr>
              <w:t>OR</w:t>
            </w:r>
            <w:r w:rsidRPr="00070870">
              <w:t>  </w:t>
            </w:r>
            <w:r w:rsidRPr="00070870">
              <w:rPr>
                <w:rFonts w:eastAsiaTheme="majorEastAsia"/>
              </w:rPr>
              <w:t>(</w:t>
            </w:r>
            <w:r w:rsidRPr="00070870">
              <w:t> "dietary supplement*" </w:t>
            </w:r>
            <w:r w:rsidRPr="00070870">
              <w:rPr>
                <w:rFonts w:eastAsiaTheme="majorEastAsia"/>
              </w:rPr>
              <w:t>)</w:t>
            </w:r>
            <w:r w:rsidRPr="00070870">
              <w:t> </w:t>
            </w:r>
            <w:r w:rsidRPr="00070870">
              <w:rPr>
                <w:rFonts w:eastAsiaTheme="majorEastAsia"/>
              </w:rPr>
              <w:t>)</w:t>
            </w:r>
            <w:r w:rsidRPr="00070870">
              <w:t> </w:t>
            </w:r>
          </w:p>
        </w:tc>
        <w:tc>
          <w:tcPr>
            <w:tcW w:w="1275" w:type="dxa"/>
          </w:tcPr>
          <w:p w14:paraId="5B23EC09" w14:textId="77777777" w:rsidR="00070870" w:rsidRPr="00070870" w:rsidRDefault="00070870" w:rsidP="00070870">
            <w:pPr>
              <w:pStyle w:val="RCTstable"/>
            </w:pPr>
            <w:r w:rsidRPr="00070870">
              <w:t>2015-2020</w:t>
            </w:r>
          </w:p>
        </w:tc>
        <w:tc>
          <w:tcPr>
            <w:tcW w:w="851" w:type="dxa"/>
          </w:tcPr>
          <w:p w14:paraId="0C22F99A" w14:textId="77777777" w:rsidR="00070870" w:rsidRPr="00070870" w:rsidRDefault="00070870" w:rsidP="00070870">
            <w:pPr>
              <w:pStyle w:val="RCTstable"/>
            </w:pPr>
            <w:r w:rsidRPr="00070870">
              <w:t>English</w:t>
            </w:r>
          </w:p>
          <w:p w14:paraId="34CE44BD" w14:textId="77777777" w:rsidR="00070870" w:rsidRPr="00070870" w:rsidRDefault="00070870" w:rsidP="00070870">
            <w:pPr>
              <w:pStyle w:val="RCTstable"/>
            </w:pPr>
            <w:r w:rsidRPr="00070870">
              <w:t>Articles</w:t>
            </w:r>
          </w:p>
        </w:tc>
        <w:tc>
          <w:tcPr>
            <w:tcW w:w="850" w:type="dxa"/>
          </w:tcPr>
          <w:p w14:paraId="682FDE8D" w14:textId="77777777" w:rsidR="00070870" w:rsidRPr="00070870" w:rsidRDefault="00070870" w:rsidP="00070870">
            <w:pPr>
              <w:pStyle w:val="RCTstable"/>
            </w:pPr>
            <w:r w:rsidRPr="00070870">
              <w:t>5584</w:t>
            </w:r>
          </w:p>
        </w:tc>
        <w:tc>
          <w:tcPr>
            <w:tcW w:w="1233" w:type="dxa"/>
          </w:tcPr>
          <w:p w14:paraId="0F79A38A" w14:textId="77777777" w:rsidR="00070870" w:rsidRPr="00070870" w:rsidRDefault="00070870" w:rsidP="00070870">
            <w:pPr>
              <w:pStyle w:val="RCTstable"/>
            </w:pPr>
            <w:r w:rsidRPr="00070870">
              <w:t>24-Jan-20</w:t>
            </w:r>
          </w:p>
        </w:tc>
      </w:tr>
      <w:tr w:rsidR="00070870" w:rsidRPr="00070870" w14:paraId="238F1829" w14:textId="77777777" w:rsidTr="00070870">
        <w:tc>
          <w:tcPr>
            <w:tcW w:w="1102" w:type="dxa"/>
          </w:tcPr>
          <w:p w14:paraId="7A4078D3" w14:textId="77777777" w:rsidR="00070870" w:rsidRPr="00070870" w:rsidRDefault="00070870" w:rsidP="00070870">
            <w:pPr>
              <w:pStyle w:val="RCTstable"/>
            </w:pPr>
            <w:r w:rsidRPr="00070870">
              <w:t>Health Infonet</w:t>
            </w:r>
          </w:p>
        </w:tc>
        <w:tc>
          <w:tcPr>
            <w:tcW w:w="3969" w:type="dxa"/>
          </w:tcPr>
          <w:p w14:paraId="1668379B" w14:textId="77777777" w:rsidR="00070870" w:rsidRPr="00070870" w:rsidRDefault="00070870" w:rsidP="00070870">
            <w:pPr>
              <w:pStyle w:val="RCTstable"/>
            </w:pPr>
            <w:r w:rsidRPr="00070870">
              <w:t xml:space="preserve">Multivitamin OR </w:t>
            </w:r>
          </w:p>
          <w:p w14:paraId="372A0003" w14:textId="77777777" w:rsidR="00070870" w:rsidRPr="00070870" w:rsidRDefault="00070870" w:rsidP="00070870">
            <w:pPr>
              <w:pStyle w:val="RCTstable"/>
            </w:pPr>
            <w:r w:rsidRPr="00070870">
              <w:t>supplement</w:t>
            </w:r>
          </w:p>
        </w:tc>
        <w:tc>
          <w:tcPr>
            <w:tcW w:w="1275" w:type="dxa"/>
          </w:tcPr>
          <w:p w14:paraId="614F5099" w14:textId="77777777" w:rsidR="00070870" w:rsidRPr="00070870" w:rsidRDefault="00070870" w:rsidP="00070870">
            <w:pPr>
              <w:pStyle w:val="RCTstable"/>
            </w:pPr>
            <w:r w:rsidRPr="00070870">
              <w:t>2015-2020</w:t>
            </w:r>
          </w:p>
        </w:tc>
        <w:tc>
          <w:tcPr>
            <w:tcW w:w="851" w:type="dxa"/>
          </w:tcPr>
          <w:p w14:paraId="3AD3F1CC" w14:textId="77777777" w:rsidR="00070870" w:rsidRPr="00070870" w:rsidRDefault="00070870" w:rsidP="00070870">
            <w:pPr>
              <w:pStyle w:val="RCTstable"/>
            </w:pPr>
            <w:r w:rsidRPr="00070870">
              <w:t>All</w:t>
            </w:r>
          </w:p>
        </w:tc>
        <w:tc>
          <w:tcPr>
            <w:tcW w:w="850" w:type="dxa"/>
          </w:tcPr>
          <w:p w14:paraId="6FEFEE62" w14:textId="77777777" w:rsidR="00070870" w:rsidRPr="00070870" w:rsidRDefault="00070870" w:rsidP="00070870">
            <w:pPr>
              <w:pStyle w:val="RCTstable"/>
            </w:pPr>
            <w:r w:rsidRPr="00070870">
              <w:t>0</w:t>
            </w:r>
          </w:p>
        </w:tc>
        <w:tc>
          <w:tcPr>
            <w:tcW w:w="1233" w:type="dxa"/>
          </w:tcPr>
          <w:p w14:paraId="6299062F" w14:textId="77777777" w:rsidR="00070870" w:rsidRPr="00070870" w:rsidRDefault="00070870" w:rsidP="00070870">
            <w:pPr>
              <w:pStyle w:val="RCTstable"/>
            </w:pPr>
            <w:r w:rsidRPr="00070870">
              <w:t>28-Jan-20</w:t>
            </w:r>
          </w:p>
        </w:tc>
      </w:tr>
      <w:tr w:rsidR="00070870" w:rsidRPr="00070870" w14:paraId="531D1EEF" w14:textId="77777777" w:rsidTr="00070870">
        <w:trPr>
          <w:cantSplit/>
        </w:trPr>
        <w:tc>
          <w:tcPr>
            <w:tcW w:w="1102" w:type="dxa"/>
          </w:tcPr>
          <w:p w14:paraId="439EA3A0" w14:textId="77777777" w:rsidR="00070870" w:rsidRPr="00070870" w:rsidRDefault="00070870" w:rsidP="00070870">
            <w:pPr>
              <w:pStyle w:val="RCTstable"/>
            </w:pPr>
            <w:r w:rsidRPr="00070870">
              <w:t>Cochrane</w:t>
            </w:r>
          </w:p>
        </w:tc>
        <w:tc>
          <w:tcPr>
            <w:tcW w:w="3969" w:type="dxa"/>
          </w:tcPr>
          <w:p w14:paraId="37F81CF3" w14:textId="77777777" w:rsidR="00070870" w:rsidRPr="00070870" w:rsidRDefault="00070870" w:rsidP="00070870">
            <w:pPr>
              <w:pStyle w:val="RCTstable"/>
            </w:pPr>
            <w:r w:rsidRPr="00070870">
              <w:t>ID</w:t>
            </w:r>
            <w:r w:rsidRPr="00070870">
              <w:tab/>
              <w:t>Search</w:t>
            </w:r>
            <w:r w:rsidRPr="00070870">
              <w:tab/>
              <w:t>Hits</w:t>
            </w:r>
          </w:p>
          <w:p w14:paraId="447B585D" w14:textId="77777777" w:rsidR="00070870" w:rsidRPr="00070870" w:rsidRDefault="00070870" w:rsidP="00070870">
            <w:pPr>
              <w:pStyle w:val="RCTstable"/>
            </w:pPr>
            <w:r w:rsidRPr="00070870">
              <w:t>#1</w:t>
            </w:r>
            <w:r w:rsidRPr="00070870">
              <w:tab/>
              <w:t>MeSH descriptor: [Pregnancy] explode all trees</w:t>
            </w:r>
            <w:r w:rsidRPr="00070870">
              <w:tab/>
              <w:t>7524</w:t>
            </w:r>
          </w:p>
          <w:p w14:paraId="4AF9C991" w14:textId="77777777" w:rsidR="00070870" w:rsidRPr="00070870" w:rsidRDefault="00070870" w:rsidP="00070870">
            <w:pPr>
              <w:pStyle w:val="RCTstable"/>
            </w:pPr>
            <w:r w:rsidRPr="00070870">
              <w:t>#2</w:t>
            </w:r>
            <w:r w:rsidRPr="00070870">
              <w:tab/>
              <w:t>MeSH descriptor: [Pregnant Women] explode all trees</w:t>
            </w:r>
            <w:r w:rsidRPr="00070870">
              <w:tab/>
              <w:t>236</w:t>
            </w:r>
          </w:p>
          <w:p w14:paraId="6BB69B16" w14:textId="77777777" w:rsidR="00070870" w:rsidRPr="00070870" w:rsidRDefault="00070870" w:rsidP="00070870">
            <w:pPr>
              <w:pStyle w:val="RCTstable"/>
            </w:pPr>
            <w:r w:rsidRPr="00070870">
              <w:t>#3</w:t>
            </w:r>
            <w:r w:rsidRPr="00070870">
              <w:tab/>
              <w:t>MeSH descriptor: [Dietary Supplements] explode all trees</w:t>
            </w:r>
            <w:r w:rsidRPr="00070870">
              <w:tab/>
              <w:t>11667</w:t>
            </w:r>
          </w:p>
          <w:p w14:paraId="57688BE8" w14:textId="77777777" w:rsidR="00070870" w:rsidRPr="00070870" w:rsidRDefault="00070870" w:rsidP="00070870">
            <w:pPr>
              <w:pStyle w:val="RCTstable"/>
            </w:pPr>
            <w:r w:rsidRPr="00070870">
              <w:t>#4</w:t>
            </w:r>
            <w:r w:rsidRPr="00070870">
              <w:tab/>
              <w:t>MeSH descriptor: [Micronutrients] explode all trees</w:t>
            </w:r>
            <w:r w:rsidRPr="00070870">
              <w:tab/>
              <w:t>5006</w:t>
            </w:r>
          </w:p>
          <w:p w14:paraId="60CC394B" w14:textId="77777777" w:rsidR="00070870" w:rsidRPr="00070870" w:rsidRDefault="00070870" w:rsidP="00070870">
            <w:pPr>
              <w:pStyle w:val="RCTstable"/>
            </w:pPr>
            <w:r w:rsidRPr="00070870">
              <w:t>#5</w:t>
            </w:r>
            <w:r w:rsidRPr="00070870">
              <w:tab/>
              <w:t>('multivitamin') OR ('micronutrient') OR ('supplementation*') OR ('multivitamin-mineral')</w:t>
            </w:r>
            <w:r w:rsidRPr="00070870">
              <w:tab/>
              <w:t>39457</w:t>
            </w:r>
          </w:p>
          <w:p w14:paraId="15BECF4F" w14:textId="77777777" w:rsidR="00070870" w:rsidRPr="00070870" w:rsidRDefault="00070870" w:rsidP="00070870">
            <w:pPr>
              <w:pStyle w:val="RCTstable"/>
            </w:pPr>
            <w:r w:rsidRPr="00070870">
              <w:t>#6</w:t>
            </w:r>
            <w:r w:rsidRPr="00070870">
              <w:tab/>
              <w:t>('pregnancy') OR ('gravid') OR ('obstetric') OR ('pregnan*') OR ('antenatal') OR ('antepartum') OR ('gestation*')</w:t>
            </w:r>
            <w:r w:rsidRPr="00070870">
              <w:tab/>
              <w:t>74030</w:t>
            </w:r>
          </w:p>
          <w:p w14:paraId="5423D41A" w14:textId="77777777" w:rsidR="00070870" w:rsidRPr="00070870" w:rsidRDefault="00070870" w:rsidP="00070870">
            <w:pPr>
              <w:pStyle w:val="RCTstable"/>
            </w:pPr>
            <w:r w:rsidRPr="00070870">
              <w:t>#7</w:t>
            </w:r>
            <w:r w:rsidRPr="00070870">
              <w:tab/>
              <w:t>#1 OR #2 OR #6</w:t>
            </w:r>
            <w:r w:rsidRPr="00070870">
              <w:tab/>
              <w:t>74209</w:t>
            </w:r>
          </w:p>
          <w:p w14:paraId="7D8CD171" w14:textId="77777777" w:rsidR="00070870" w:rsidRPr="00070870" w:rsidRDefault="00070870" w:rsidP="00070870">
            <w:pPr>
              <w:pStyle w:val="RCTstable"/>
            </w:pPr>
            <w:r w:rsidRPr="00070870">
              <w:t>#8</w:t>
            </w:r>
            <w:r w:rsidRPr="00070870">
              <w:tab/>
              <w:t>#3 OR #4 OR #5</w:t>
            </w:r>
            <w:r w:rsidRPr="00070870">
              <w:tab/>
              <w:t>44938</w:t>
            </w:r>
          </w:p>
          <w:p w14:paraId="1E4BE0C0" w14:textId="77777777" w:rsidR="00070870" w:rsidRPr="00070870" w:rsidRDefault="00070870" w:rsidP="00070870">
            <w:pPr>
              <w:pStyle w:val="RCTstable"/>
            </w:pPr>
            <w:r w:rsidRPr="00070870">
              <w:t>#9</w:t>
            </w:r>
            <w:r w:rsidRPr="00070870">
              <w:tab/>
              <w:t>#7 AND #8 with Cochrane Library publication date Between Jan 2015 and Feb 2020, in Cochrane Reviews</w:t>
            </w:r>
            <w:r w:rsidRPr="00070870">
              <w:tab/>
              <w:t>250</w:t>
            </w:r>
          </w:p>
        </w:tc>
        <w:tc>
          <w:tcPr>
            <w:tcW w:w="1275" w:type="dxa"/>
          </w:tcPr>
          <w:p w14:paraId="5FF9F399" w14:textId="77777777" w:rsidR="00070870" w:rsidRPr="00070870" w:rsidRDefault="00070870" w:rsidP="00070870">
            <w:pPr>
              <w:pStyle w:val="RCTstable"/>
            </w:pPr>
            <w:r w:rsidRPr="00070870">
              <w:t>2015-2020</w:t>
            </w:r>
          </w:p>
        </w:tc>
        <w:tc>
          <w:tcPr>
            <w:tcW w:w="851" w:type="dxa"/>
          </w:tcPr>
          <w:p w14:paraId="13032A39" w14:textId="77777777" w:rsidR="00070870" w:rsidRPr="00070870" w:rsidRDefault="00070870" w:rsidP="00070870">
            <w:pPr>
              <w:pStyle w:val="RCTstable"/>
            </w:pPr>
            <w:r w:rsidRPr="00070870">
              <w:t>Reviews</w:t>
            </w:r>
          </w:p>
        </w:tc>
        <w:tc>
          <w:tcPr>
            <w:tcW w:w="850" w:type="dxa"/>
          </w:tcPr>
          <w:p w14:paraId="7B7786EC" w14:textId="77777777" w:rsidR="00070870" w:rsidRPr="00070870" w:rsidRDefault="00070870" w:rsidP="00070870">
            <w:pPr>
              <w:pStyle w:val="RCTstable"/>
            </w:pPr>
            <w:r w:rsidRPr="00070870">
              <w:t>250</w:t>
            </w:r>
          </w:p>
        </w:tc>
        <w:tc>
          <w:tcPr>
            <w:tcW w:w="1233" w:type="dxa"/>
          </w:tcPr>
          <w:p w14:paraId="3380111C" w14:textId="77777777" w:rsidR="00070870" w:rsidRPr="00070870" w:rsidRDefault="00070870" w:rsidP="00070870">
            <w:pPr>
              <w:pStyle w:val="RCTstable"/>
            </w:pPr>
            <w:r w:rsidRPr="00070870">
              <w:t>28-Jan-20</w:t>
            </w:r>
          </w:p>
        </w:tc>
      </w:tr>
    </w:tbl>
    <w:p w14:paraId="5B629547" w14:textId="77777777" w:rsidR="00070870" w:rsidRDefault="00070870" w:rsidP="00070870">
      <w:r>
        <w:t>Pubmed search</w:t>
      </w:r>
    </w:p>
    <w:tbl>
      <w:tblPr>
        <w:tblW w:w="11597" w:type="dxa"/>
        <w:tblLook w:val="04A0" w:firstRow="1" w:lastRow="0" w:firstColumn="1" w:lastColumn="0" w:noHBand="0" w:noVBand="1"/>
      </w:tblPr>
      <w:tblGrid>
        <w:gridCol w:w="960"/>
        <w:gridCol w:w="9640"/>
        <w:gridCol w:w="997"/>
      </w:tblGrid>
      <w:tr w:rsidR="00070870" w:rsidRPr="00EC565C" w14:paraId="3A5CB3A9" w14:textId="77777777" w:rsidTr="00526FB5">
        <w:trPr>
          <w:trHeight w:val="300"/>
        </w:trPr>
        <w:tc>
          <w:tcPr>
            <w:tcW w:w="960" w:type="dxa"/>
            <w:tcBorders>
              <w:top w:val="nil"/>
              <w:left w:val="nil"/>
              <w:bottom w:val="nil"/>
              <w:right w:val="nil"/>
            </w:tcBorders>
            <w:shd w:val="clear" w:color="auto" w:fill="auto"/>
            <w:noWrap/>
            <w:vAlign w:val="bottom"/>
            <w:hideMark/>
          </w:tcPr>
          <w:p w14:paraId="7005AA18"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w:t>
            </w:r>
          </w:p>
        </w:tc>
        <w:tc>
          <w:tcPr>
            <w:tcW w:w="9640" w:type="dxa"/>
            <w:tcBorders>
              <w:top w:val="nil"/>
              <w:left w:val="nil"/>
              <w:bottom w:val="nil"/>
              <w:right w:val="nil"/>
            </w:tcBorders>
            <w:shd w:val="clear" w:color="auto" w:fill="auto"/>
            <w:noWrap/>
            <w:vAlign w:val="bottom"/>
            <w:hideMark/>
          </w:tcPr>
          <w:p w14:paraId="245B4ABD"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Query</w:t>
            </w:r>
          </w:p>
        </w:tc>
        <w:tc>
          <w:tcPr>
            <w:tcW w:w="997" w:type="dxa"/>
            <w:tcBorders>
              <w:top w:val="nil"/>
              <w:left w:val="nil"/>
              <w:bottom w:val="nil"/>
              <w:right w:val="nil"/>
            </w:tcBorders>
            <w:shd w:val="clear" w:color="auto" w:fill="auto"/>
            <w:noWrap/>
            <w:vAlign w:val="bottom"/>
            <w:hideMark/>
          </w:tcPr>
          <w:p w14:paraId="5D4EFD6A"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Items found</w:t>
            </w:r>
          </w:p>
        </w:tc>
      </w:tr>
      <w:tr w:rsidR="00070870" w:rsidRPr="00EC565C" w14:paraId="2E1ECAEA" w14:textId="77777777" w:rsidTr="00526FB5">
        <w:trPr>
          <w:trHeight w:val="300"/>
        </w:trPr>
        <w:tc>
          <w:tcPr>
            <w:tcW w:w="960" w:type="dxa"/>
            <w:tcBorders>
              <w:top w:val="nil"/>
              <w:left w:val="nil"/>
              <w:bottom w:val="nil"/>
              <w:right w:val="nil"/>
            </w:tcBorders>
            <w:shd w:val="clear" w:color="auto" w:fill="auto"/>
            <w:noWrap/>
            <w:vAlign w:val="bottom"/>
            <w:hideMark/>
          </w:tcPr>
          <w:p w14:paraId="1165204E"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#22</w:t>
            </w:r>
          </w:p>
        </w:tc>
        <w:tc>
          <w:tcPr>
            <w:tcW w:w="9640" w:type="dxa"/>
            <w:tcBorders>
              <w:top w:val="nil"/>
              <w:left w:val="nil"/>
              <w:bottom w:val="nil"/>
              <w:right w:val="nil"/>
            </w:tcBorders>
            <w:shd w:val="clear" w:color="auto" w:fill="auto"/>
            <w:noWrap/>
            <w:vAlign w:val="bottom"/>
            <w:hideMark/>
          </w:tcPr>
          <w:p w14:paraId="6F9515DE"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(#18 AND #11) Filters: Publication date from 2015/01/01 to 2020/12/31; Humans; English</w:t>
            </w:r>
          </w:p>
        </w:tc>
        <w:tc>
          <w:tcPr>
            <w:tcW w:w="997" w:type="dxa"/>
            <w:tcBorders>
              <w:top w:val="nil"/>
              <w:left w:val="nil"/>
              <w:bottom w:val="nil"/>
              <w:right w:val="nil"/>
            </w:tcBorders>
            <w:shd w:val="clear" w:color="auto" w:fill="auto"/>
            <w:noWrap/>
            <w:vAlign w:val="bottom"/>
            <w:hideMark/>
          </w:tcPr>
          <w:p w14:paraId="4574D511"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3136</w:t>
            </w:r>
          </w:p>
        </w:tc>
      </w:tr>
      <w:tr w:rsidR="00070870" w:rsidRPr="00EC565C" w14:paraId="44B60406" w14:textId="77777777" w:rsidTr="00526FB5">
        <w:trPr>
          <w:trHeight w:val="300"/>
        </w:trPr>
        <w:tc>
          <w:tcPr>
            <w:tcW w:w="960" w:type="dxa"/>
            <w:tcBorders>
              <w:top w:val="nil"/>
              <w:left w:val="nil"/>
              <w:bottom w:val="nil"/>
              <w:right w:val="nil"/>
            </w:tcBorders>
            <w:shd w:val="clear" w:color="auto" w:fill="auto"/>
            <w:noWrap/>
            <w:vAlign w:val="bottom"/>
            <w:hideMark/>
          </w:tcPr>
          <w:p w14:paraId="6E5B2F66"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#21</w:t>
            </w:r>
          </w:p>
        </w:tc>
        <w:tc>
          <w:tcPr>
            <w:tcW w:w="9640" w:type="dxa"/>
            <w:tcBorders>
              <w:top w:val="nil"/>
              <w:left w:val="nil"/>
              <w:bottom w:val="nil"/>
              <w:right w:val="nil"/>
            </w:tcBorders>
            <w:shd w:val="clear" w:color="auto" w:fill="auto"/>
            <w:noWrap/>
            <w:vAlign w:val="bottom"/>
            <w:hideMark/>
          </w:tcPr>
          <w:p w14:paraId="3B364554"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(#18 AND #11) Filters: Publication date from 2015/01/01 to 2020/12/31; Humans</w:t>
            </w:r>
          </w:p>
        </w:tc>
        <w:tc>
          <w:tcPr>
            <w:tcW w:w="997" w:type="dxa"/>
            <w:tcBorders>
              <w:top w:val="nil"/>
              <w:left w:val="nil"/>
              <w:bottom w:val="nil"/>
              <w:right w:val="nil"/>
            </w:tcBorders>
            <w:shd w:val="clear" w:color="auto" w:fill="auto"/>
            <w:noWrap/>
            <w:vAlign w:val="bottom"/>
            <w:hideMark/>
          </w:tcPr>
          <w:p w14:paraId="2C0E894C"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3285</w:t>
            </w:r>
          </w:p>
        </w:tc>
      </w:tr>
      <w:tr w:rsidR="00070870" w:rsidRPr="00EC565C" w14:paraId="4EFA3E55" w14:textId="77777777" w:rsidTr="00526FB5">
        <w:trPr>
          <w:trHeight w:val="300"/>
        </w:trPr>
        <w:tc>
          <w:tcPr>
            <w:tcW w:w="960" w:type="dxa"/>
            <w:tcBorders>
              <w:top w:val="nil"/>
              <w:left w:val="nil"/>
              <w:bottom w:val="nil"/>
              <w:right w:val="nil"/>
            </w:tcBorders>
            <w:shd w:val="clear" w:color="auto" w:fill="auto"/>
            <w:noWrap/>
            <w:vAlign w:val="bottom"/>
            <w:hideMark/>
          </w:tcPr>
          <w:p w14:paraId="15C524BC"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#20</w:t>
            </w:r>
          </w:p>
        </w:tc>
        <w:tc>
          <w:tcPr>
            <w:tcW w:w="9640" w:type="dxa"/>
            <w:tcBorders>
              <w:top w:val="nil"/>
              <w:left w:val="nil"/>
              <w:bottom w:val="nil"/>
              <w:right w:val="nil"/>
            </w:tcBorders>
            <w:shd w:val="clear" w:color="auto" w:fill="auto"/>
            <w:noWrap/>
            <w:vAlign w:val="bottom"/>
            <w:hideMark/>
          </w:tcPr>
          <w:p w14:paraId="471F0FDF"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(#18 AND #11) Filters: Publication date from 2015/01/01 to 2020/12/31</w:t>
            </w:r>
          </w:p>
        </w:tc>
        <w:tc>
          <w:tcPr>
            <w:tcW w:w="997" w:type="dxa"/>
            <w:tcBorders>
              <w:top w:val="nil"/>
              <w:left w:val="nil"/>
              <w:bottom w:val="nil"/>
              <w:right w:val="nil"/>
            </w:tcBorders>
            <w:shd w:val="clear" w:color="auto" w:fill="auto"/>
            <w:noWrap/>
            <w:vAlign w:val="bottom"/>
            <w:hideMark/>
          </w:tcPr>
          <w:p w14:paraId="0DB0B41C"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5516</w:t>
            </w:r>
          </w:p>
        </w:tc>
      </w:tr>
      <w:tr w:rsidR="00070870" w:rsidRPr="00EC565C" w14:paraId="7D32F03E" w14:textId="77777777" w:rsidTr="00526FB5">
        <w:trPr>
          <w:trHeight w:val="300"/>
        </w:trPr>
        <w:tc>
          <w:tcPr>
            <w:tcW w:w="960" w:type="dxa"/>
            <w:tcBorders>
              <w:top w:val="nil"/>
              <w:left w:val="nil"/>
              <w:bottom w:val="nil"/>
              <w:right w:val="nil"/>
            </w:tcBorders>
            <w:shd w:val="clear" w:color="auto" w:fill="auto"/>
            <w:noWrap/>
            <w:vAlign w:val="bottom"/>
            <w:hideMark/>
          </w:tcPr>
          <w:p w14:paraId="71362A81"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#19</w:t>
            </w:r>
          </w:p>
        </w:tc>
        <w:tc>
          <w:tcPr>
            <w:tcW w:w="9640" w:type="dxa"/>
            <w:tcBorders>
              <w:top w:val="nil"/>
              <w:left w:val="nil"/>
              <w:bottom w:val="nil"/>
              <w:right w:val="nil"/>
            </w:tcBorders>
            <w:shd w:val="clear" w:color="auto" w:fill="auto"/>
            <w:noWrap/>
            <w:vAlign w:val="bottom"/>
            <w:hideMark/>
          </w:tcPr>
          <w:p w14:paraId="460978B8"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(#18 AND #11)</w:t>
            </w:r>
          </w:p>
        </w:tc>
        <w:tc>
          <w:tcPr>
            <w:tcW w:w="997" w:type="dxa"/>
            <w:tcBorders>
              <w:top w:val="nil"/>
              <w:left w:val="nil"/>
              <w:bottom w:val="nil"/>
              <w:right w:val="nil"/>
            </w:tcBorders>
            <w:shd w:val="clear" w:color="auto" w:fill="auto"/>
            <w:noWrap/>
            <w:vAlign w:val="bottom"/>
            <w:hideMark/>
          </w:tcPr>
          <w:p w14:paraId="74690D5F"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18141</w:t>
            </w:r>
          </w:p>
        </w:tc>
      </w:tr>
      <w:tr w:rsidR="00070870" w:rsidRPr="00EC565C" w14:paraId="232D2A76" w14:textId="77777777" w:rsidTr="00526FB5">
        <w:trPr>
          <w:trHeight w:val="300"/>
        </w:trPr>
        <w:tc>
          <w:tcPr>
            <w:tcW w:w="960" w:type="dxa"/>
            <w:tcBorders>
              <w:top w:val="nil"/>
              <w:left w:val="nil"/>
              <w:bottom w:val="nil"/>
              <w:right w:val="nil"/>
            </w:tcBorders>
            <w:shd w:val="clear" w:color="auto" w:fill="auto"/>
            <w:noWrap/>
            <w:vAlign w:val="bottom"/>
            <w:hideMark/>
          </w:tcPr>
          <w:p w14:paraId="263768BF"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#18</w:t>
            </w:r>
          </w:p>
        </w:tc>
        <w:tc>
          <w:tcPr>
            <w:tcW w:w="9640" w:type="dxa"/>
            <w:tcBorders>
              <w:top w:val="nil"/>
              <w:left w:val="nil"/>
              <w:bottom w:val="nil"/>
              <w:right w:val="nil"/>
            </w:tcBorders>
            <w:shd w:val="clear" w:color="auto" w:fill="auto"/>
            <w:noWrap/>
            <w:vAlign w:val="bottom"/>
            <w:hideMark/>
          </w:tcPr>
          <w:p w14:paraId="36BA225B"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(#12 OR #13 OR #14 OR #15 OR #16 OR #17)</w:t>
            </w:r>
          </w:p>
        </w:tc>
        <w:tc>
          <w:tcPr>
            <w:tcW w:w="997" w:type="dxa"/>
            <w:tcBorders>
              <w:top w:val="nil"/>
              <w:left w:val="nil"/>
              <w:bottom w:val="nil"/>
              <w:right w:val="nil"/>
            </w:tcBorders>
            <w:shd w:val="clear" w:color="auto" w:fill="auto"/>
            <w:noWrap/>
            <w:vAlign w:val="bottom"/>
            <w:hideMark/>
          </w:tcPr>
          <w:p w14:paraId="1DC4D507"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211567</w:t>
            </w:r>
          </w:p>
        </w:tc>
      </w:tr>
      <w:tr w:rsidR="00070870" w:rsidRPr="00EC565C" w14:paraId="5EBF4746" w14:textId="77777777" w:rsidTr="00526FB5">
        <w:trPr>
          <w:trHeight w:val="300"/>
        </w:trPr>
        <w:tc>
          <w:tcPr>
            <w:tcW w:w="960" w:type="dxa"/>
            <w:tcBorders>
              <w:top w:val="nil"/>
              <w:left w:val="nil"/>
              <w:bottom w:val="nil"/>
              <w:right w:val="nil"/>
            </w:tcBorders>
            <w:shd w:val="clear" w:color="auto" w:fill="auto"/>
            <w:noWrap/>
            <w:vAlign w:val="bottom"/>
            <w:hideMark/>
          </w:tcPr>
          <w:p w14:paraId="16C2BE32"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#17</w:t>
            </w:r>
          </w:p>
        </w:tc>
        <w:tc>
          <w:tcPr>
            <w:tcW w:w="9640" w:type="dxa"/>
            <w:tcBorders>
              <w:top w:val="nil"/>
              <w:left w:val="nil"/>
              <w:bottom w:val="nil"/>
              <w:right w:val="nil"/>
            </w:tcBorders>
            <w:shd w:val="clear" w:color="auto" w:fill="auto"/>
            <w:noWrap/>
            <w:vAlign w:val="bottom"/>
            <w:hideMark/>
          </w:tcPr>
          <w:p w14:paraId="48074906"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multivitamin-mineral[Title/Abstract]</w:t>
            </w:r>
          </w:p>
        </w:tc>
        <w:tc>
          <w:tcPr>
            <w:tcW w:w="997" w:type="dxa"/>
            <w:tcBorders>
              <w:top w:val="nil"/>
              <w:left w:val="nil"/>
              <w:bottom w:val="nil"/>
              <w:right w:val="nil"/>
            </w:tcBorders>
            <w:shd w:val="clear" w:color="auto" w:fill="auto"/>
            <w:noWrap/>
            <w:vAlign w:val="bottom"/>
            <w:hideMark/>
          </w:tcPr>
          <w:p w14:paraId="5A89423F"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217</w:t>
            </w:r>
          </w:p>
        </w:tc>
      </w:tr>
      <w:tr w:rsidR="00070870" w:rsidRPr="00EC565C" w14:paraId="34C1BB0B" w14:textId="77777777" w:rsidTr="00526FB5">
        <w:trPr>
          <w:trHeight w:val="300"/>
        </w:trPr>
        <w:tc>
          <w:tcPr>
            <w:tcW w:w="960" w:type="dxa"/>
            <w:tcBorders>
              <w:top w:val="nil"/>
              <w:left w:val="nil"/>
              <w:bottom w:val="nil"/>
              <w:right w:val="nil"/>
            </w:tcBorders>
            <w:shd w:val="clear" w:color="auto" w:fill="auto"/>
            <w:noWrap/>
            <w:vAlign w:val="bottom"/>
            <w:hideMark/>
          </w:tcPr>
          <w:p w14:paraId="6B1E20D8"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#16</w:t>
            </w:r>
          </w:p>
        </w:tc>
        <w:tc>
          <w:tcPr>
            <w:tcW w:w="9640" w:type="dxa"/>
            <w:tcBorders>
              <w:top w:val="nil"/>
              <w:left w:val="nil"/>
              <w:bottom w:val="nil"/>
              <w:right w:val="nil"/>
            </w:tcBorders>
            <w:shd w:val="clear" w:color="auto" w:fill="auto"/>
            <w:noWrap/>
            <w:vAlign w:val="bottom"/>
            <w:hideMark/>
          </w:tcPr>
          <w:p w14:paraId="7DDEE531"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supplementation[Title/Abstract]</w:t>
            </w:r>
          </w:p>
        </w:tc>
        <w:tc>
          <w:tcPr>
            <w:tcW w:w="997" w:type="dxa"/>
            <w:tcBorders>
              <w:top w:val="nil"/>
              <w:left w:val="nil"/>
              <w:bottom w:val="nil"/>
              <w:right w:val="nil"/>
            </w:tcBorders>
            <w:shd w:val="clear" w:color="auto" w:fill="auto"/>
            <w:noWrap/>
            <w:vAlign w:val="bottom"/>
            <w:hideMark/>
          </w:tcPr>
          <w:p w14:paraId="6B0B8A33"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115514</w:t>
            </w:r>
          </w:p>
        </w:tc>
      </w:tr>
      <w:tr w:rsidR="00070870" w:rsidRPr="00EC565C" w14:paraId="5FA5DD01" w14:textId="77777777" w:rsidTr="00526FB5">
        <w:trPr>
          <w:trHeight w:val="300"/>
        </w:trPr>
        <w:tc>
          <w:tcPr>
            <w:tcW w:w="960" w:type="dxa"/>
            <w:tcBorders>
              <w:top w:val="nil"/>
              <w:left w:val="nil"/>
              <w:bottom w:val="nil"/>
              <w:right w:val="nil"/>
            </w:tcBorders>
            <w:shd w:val="clear" w:color="auto" w:fill="auto"/>
            <w:noWrap/>
            <w:vAlign w:val="bottom"/>
            <w:hideMark/>
          </w:tcPr>
          <w:p w14:paraId="073159DC"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#15</w:t>
            </w:r>
          </w:p>
        </w:tc>
        <w:tc>
          <w:tcPr>
            <w:tcW w:w="9640" w:type="dxa"/>
            <w:tcBorders>
              <w:top w:val="nil"/>
              <w:left w:val="nil"/>
              <w:bottom w:val="nil"/>
              <w:right w:val="nil"/>
            </w:tcBorders>
            <w:shd w:val="clear" w:color="auto" w:fill="auto"/>
            <w:noWrap/>
            <w:vAlign w:val="bottom"/>
            <w:hideMark/>
          </w:tcPr>
          <w:p w14:paraId="0B50FDA1"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micronutrient[Title/Abstract]</w:t>
            </w:r>
          </w:p>
        </w:tc>
        <w:tc>
          <w:tcPr>
            <w:tcW w:w="997" w:type="dxa"/>
            <w:tcBorders>
              <w:top w:val="nil"/>
              <w:left w:val="nil"/>
              <w:bottom w:val="nil"/>
              <w:right w:val="nil"/>
            </w:tcBorders>
            <w:shd w:val="clear" w:color="auto" w:fill="auto"/>
            <w:noWrap/>
            <w:vAlign w:val="bottom"/>
            <w:hideMark/>
          </w:tcPr>
          <w:p w14:paraId="3D1EBF83"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8949</w:t>
            </w:r>
          </w:p>
        </w:tc>
      </w:tr>
      <w:tr w:rsidR="00070870" w:rsidRPr="00EC565C" w14:paraId="4A12EC3C" w14:textId="77777777" w:rsidTr="00526FB5">
        <w:trPr>
          <w:trHeight w:val="300"/>
        </w:trPr>
        <w:tc>
          <w:tcPr>
            <w:tcW w:w="960" w:type="dxa"/>
            <w:tcBorders>
              <w:top w:val="nil"/>
              <w:left w:val="nil"/>
              <w:bottom w:val="nil"/>
              <w:right w:val="nil"/>
            </w:tcBorders>
            <w:shd w:val="clear" w:color="auto" w:fill="auto"/>
            <w:noWrap/>
            <w:vAlign w:val="bottom"/>
            <w:hideMark/>
          </w:tcPr>
          <w:p w14:paraId="791C5616"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#14</w:t>
            </w:r>
          </w:p>
        </w:tc>
        <w:tc>
          <w:tcPr>
            <w:tcW w:w="9640" w:type="dxa"/>
            <w:tcBorders>
              <w:top w:val="nil"/>
              <w:left w:val="nil"/>
              <w:bottom w:val="nil"/>
              <w:right w:val="nil"/>
            </w:tcBorders>
            <w:shd w:val="clear" w:color="auto" w:fill="auto"/>
            <w:noWrap/>
            <w:vAlign w:val="bottom"/>
            <w:hideMark/>
          </w:tcPr>
          <w:p w14:paraId="4F1F8B51"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multivitamin[Title/Abstract]</w:t>
            </w:r>
          </w:p>
        </w:tc>
        <w:tc>
          <w:tcPr>
            <w:tcW w:w="997" w:type="dxa"/>
            <w:tcBorders>
              <w:top w:val="nil"/>
              <w:left w:val="nil"/>
              <w:bottom w:val="nil"/>
              <w:right w:val="nil"/>
            </w:tcBorders>
            <w:shd w:val="clear" w:color="auto" w:fill="auto"/>
            <w:noWrap/>
            <w:vAlign w:val="bottom"/>
            <w:hideMark/>
          </w:tcPr>
          <w:p w14:paraId="0830900D"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2708</w:t>
            </w:r>
          </w:p>
        </w:tc>
      </w:tr>
      <w:tr w:rsidR="00070870" w:rsidRPr="00EC565C" w14:paraId="712DEF41" w14:textId="77777777" w:rsidTr="00526FB5">
        <w:trPr>
          <w:trHeight w:val="300"/>
        </w:trPr>
        <w:tc>
          <w:tcPr>
            <w:tcW w:w="960" w:type="dxa"/>
            <w:tcBorders>
              <w:top w:val="nil"/>
              <w:left w:val="nil"/>
              <w:bottom w:val="nil"/>
              <w:right w:val="nil"/>
            </w:tcBorders>
            <w:shd w:val="clear" w:color="auto" w:fill="auto"/>
            <w:noWrap/>
            <w:vAlign w:val="bottom"/>
            <w:hideMark/>
          </w:tcPr>
          <w:p w14:paraId="52FD8566"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#13</w:t>
            </w:r>
          </w:p>
        </w:tc>
        <w:tc>
          <w:tcPr>
            <w:tcW w:w="9640" w:type="dxa"/>
            <w:tcBorders>
              <w:top w:val="nil"/>
              <w:left w:val="nil"/>
              <w:bottom w:val="nil"/>
              <w:right w:val="nil"/>
            </w:tcBorders>
            <w:shd w:val="clear" w:color="auto" w:fill="auto"/>
            <w:noWrap/>
            <w:vAlign w:val="bottom"/>
            <w:hideMark/>
          </w:tcPr>
          <w:p w14:paraId="62F37E75"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micronutrients[MeSH Terms]</w:t>
            </w:r>
          </w:p>
        </w:tc>
        <w:tc>
          <w:tcPr>
            <w:tcW w:w="997" w:type="dxa"/>
            <w:tcBorders>
              <w:top w:val="nil"/>
              <w:left w:val="nil"/>
              <w:bottom w:val="nil"/>
              <w:right w:val="nil"/>
            </w:tcBorders>
            <w:shd w:val="clear" w:color="auto" w:fill="auto"/>
            <w:noWrap/>
            <w:vAlign w:val="bottom"/>
            <w:hideMark/>
          </w:tcPr>
          <w:p w14:paraId="324737A1"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57798</w:t>
            </w:r>
          </w:p>
        </w:tc>
      </w:tr>
      <w:tr w:rsidR="00070870" w:rsidRPr="00EC565C" w14:paraId="0E70A948" w14:textId="77777777" w:rsidTr="00526FB5">
        <w:trPr>
          <w:trHeight w:val="300"/>
        </w:trPr>
        <w:tc>
          <w:tcPr>
            <w:tcW w:w="960" w:type="dxa"/>
            <w:tcBorders>
              <w:top w:val="nil"/>
              <w:left w:val="nil"/>
              <w:bottom w:val="nil"/>
              <w:right w:val="nil"/>
            </w:tcBorders>
            <w:shd w:val="clear" w:color="auto" w:fill="auto"/>
            <w:noWrap/>
            <w:vAlign w:val="bottom"/>
            <w:hideMark/>
          </w:tcPr>
          <w:p w14:paraId="0A4093AB"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#12</w:t>
            </w:r>
          </w:p>
        </w:tc>
        <w:tc>
          <w:tcPr>
            <w:tcW w:w="9640" w:type="dxa"/>
            <w:tcBorders>
              <w:top w:val="nil"/>
              <w:left w:val="nil"/>
              <w:bottom w:val="nil"/>
              <w:right w:val="nil"/>
            </w:tcBorders>
            <w:shd w:val="clear" w:color="auto" w:fill="auto"/>
            <w:noWrap/>
            <w:vAlign w:val="bottom"/>
            <w:hideMark/>
          </w:tcPr>
          <w:p w14:paraId="6A6DAEC2"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dietary supplement[MeSH Terms]</w:t>
            </w:r>
          </w:p>
        </w:tc>
        <w:tc>
          <w:tcPr>
            <w:tcW w:w="997" w:type="dxa"/>
            <w:tcBorders>
              <w:top w:val="nil"/>
              <w:left w:val="nil"/>
              <w:bottom w:val="nil"/>
              <w:right w:val="nil"/>
            </w:tcBorders>
            <w:shd w:val="clear" w:color="auto" w:fill="auto"/>
            <w:noWrap/>
            <w:vAlign w:val="bottom"/>
            <w:hideMark/>
          </w:tcPr>
          <w:p w14:paraId="0CD625B1"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72899</w:t>
            </w:r>
          </w:p>
        </w:tc>
      </w:tr>
      <w:tr w:rsidR="00070870" w:rsidRPr="00EC565C" w14:paraId="1ED4F8C9" w14:textId="77777777" w:rsidTr="00526FB5">
        <w:trPr>
          <w:trHeight w:val="300"/>
        </w:trPr>
        <w:tc>
          <w:tcPr>
            <w:tcW w:w="960" w:type="dxa"/>
            <w:tcBorders>
              <w:top w:val="nil"/>
              <w:left w:val="nil"/>
              <w:bottom w:val="nil"/>
              <w:right w:val="nil"/>
            </w:tcBorders>
            <w:shd w:val="clear" w:color="auto" w:fill="auto"/>
            <w:noWrap/>
            <w:vAlign w:val="bottom"/>
            <w:hideMark/>
          </w:tcPr>
          <w:p w14:paraId="131AE88E"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#11</w:t>
            </w:r>
          </w:p>
        </w:tc>
        <w:tc>
          <w:tcPr>
            <w:tcW w:w="9640" w:type="dxa"/>
            <w:tcBorders>
              <w:top w:val="nil"/>
              <w:left w:val="nil"/>
              <w:bottom w:val="nil"/>
              <w:right w:val="nil"/>
            </w:tcBorders>
            <w:shd w:val="clear" w:color="auto" w:fill="auto"/>
            <w:noWrap/>
            <w:vAlign w:val="bottom"/>
            <w:hideMark/>
          </w:tcPr>
          <w:p w14:paraId="0A58484F"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(#2 OR #3 OR #4 OR #5 OR #6 OR #7 OR #8 OR #9 OR #10)</w:t>
            </w:r>
          </w:p>
        </w:tc>
        <w:tc>
          <w:tcPr>
            <w:tcW w:w="997" w:type="dxa"/>
            <w:tcBorders>
              <w:top w:val="nil"/>
              <w:left w:val="nil"/>
              <w:bottom w:val="nil"/>
              <w:right w:val="nil"/>
            </w:tcBorders>
            <w:shd w:val="clear" w:color="auto" w:fill="auto"/>
            <w:noWrap/>
            <w:vAlign w:val="bottom"/>
            <w:hideMark/>
          </w:tcPr>
          <w:p w14:paraId="77DAC56E"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1034316</w:t>
            </w:r>
          </w:p>
        </w:tc>
      </w:tr>
      <w:tr w:rsidR="00070870" w:rsidRPr="00EC565C" w14:paraId="273D2F91" w14:textId="77777777" w:rsidTr="00526FB5">
        <w:trPr>
          <w:trHeight w:val="300"/>
        </w:trPr>
        <w:tc>
          <w:tcPr>
            <w:tcW w:w="960" w:type="dxa"/>
            <w:tcBorders>
              <w:top w:val="nil"/>
              <w:left w:val="nil"/>
              <w:bottom w:val="nil"/>
              <w:right w:val="nil"/>
            </w:tcBorders>
            <w:shd w:val="clear" w:color="auto" w:fill="auto"/>
            <w:noWrap/>
            <w:vAlign w:val="bottom"/>
            <w:hideMark/>
          </w:tcPr>
          <w:p w14:paraId="6B58F92E"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#10</w:t>
            </w:r>
          </w:p>
        </w:tc>
        <w:tc>
          <w:tcPr>
            <w:tcW w:w="9640" w:type="dxa"/>
            <w:tcBorders>
              <w:top w:val="nil"/>
              <w:left w:val="nil"/>
              <w:bottom w:val="nil"/>
              <w:right w:val="nil"/>
            </w:tcBorders>
            <w:shd w:val="clear" w:color="auto" w:fill="auto"/>
            <w:noWrap/>
            <w:vAlign w:val="bottom"/>
            <w:hideMark/>
          </w:tcPr>
          <w:p w14:paraId="4F5C4276"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gestation[Title/Abstract]</w:t>
            </w:r>
          </w:p>
        </w:tc>
        <w:tc>
          <w:tcPr>
            <w:tcW w:w="997" w:type="dxa"/>
            <w:tcBorders>
              <w:top w:val="nil"/>
              <w:left w:val="nil"/>
              <w:bottom w:val="nil"/>
              <w:right w:val="nil"/>
            </w:tcBorders>
            <w:shd w:val="clear" w:color="auto" w:fill="auto"/>
            <w:noWrap/>
            <w:vAlign w:val="bottom"/>
            <w:hideMark/>
          </w:tcPr>
          <w:p w14:paraId="216E8050"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115660</w:t>
            </w:r>
          </w:p>
        </w:tc>
      </w:tr>
      <w:tr w:rsidR="00070870" w:rsidRPr="00EC565C" w14:paraId="37E58591" w14:textId="77777777" w:rsidTr="00526FB5">
        <w:trPr>
          <w:trHeight w:val="300"/>
        </w:trPr>
        <w:tc>
          <w:tcPr>
            <w:tcW w:w="960" w:type="dxa"/>
            <w:tcBorders>
              <w:top w:val="nil"/>
              <w:left w:val="nil"/>
              <w:bottom w:val="nil"/>
              <w:right w:val="nil"/>
            </w:tcBorders>
            <w:shd w:val="clear" w:color="auto" w:fill="auto"/>
            <w:noWrap/>
            <w:vAlign w:val="bottom"/>
            <w:hideMark/>
          </w:tcPr>
          <w:p w14:paraId="7156917C"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#9</w:t>
            </w:r>
          </w:p>
        </w:tc>
        <w:tc>
          <w:tcPr>
            <w:tcW w:w="9640" w:type="dxa"/>
            <w:tcBorders>
              <w:top w:val="nil"/>
              <w:left w:val="nil"/>
              <w:bottom w:val="nil"/>
              <w:right w:val="nil"/>
            </w:tcBorders>
            <w:shd w:val="clear" w:color="auto" w:fill="auto"/>
            <w:noWrap/>
            <w:vAlign w:val="bottom"/>
            <w:hideMark/>
          </w:tcPr>
          <w:p w14:paraId="21182AA6"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antepartum[Title/Abstract]</w:t>
            </w:r>
          </w:p>
        </w:tc>
        <w:tc>
          <w:tcPr>
            <w:tcW w:w="997" w:type="dxa"/>
            <w:tcBorders>
              <w:top w:val="nil"/>
              <w:left w:val="nil"/>
              <w:bottom w:val="nil"/>
              <w:right w:val="nil"/>
            </w:tcBorders>
            <w:shd w:val="clear" w:color="auto" w:fill="auto"/>
            <w:noWrap/>
            <w:vAlign w:val="bottom"/>
            <w:hideMark/>
          </w:tcPr>
          <w:p w14:paraId="3728EBA9"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5685</w:t>
            </w:r>
          </w:p>
        </w:tc>
      </w:tr>
      <w:tr w:rsidR="00070870" w:rsidRPr="00EC565C" w14:paraId="15BD0FD8" w14:textId="77777777" w:rsidTr="00526FB5">
        <w:trPr>
          <w:trHeight w:val="300"/>
        </w:trPr>
        <w:tc>
          <w:tcPr>
            <w:tcW w:w="960" w:type="dxa"/>
            <w:tcBorders>
              <w:top w:val="nil"/>
              <w:left w:val="nil"/>
              <w:bottom w:val="nil"/>
              <w:right w:val="nil"/>
            </w:tcBorders>
            <w:shd w:val="clear" w:color="auto" w:fill="auto"/>
            <w:noWrap/>
            <w:vAlign w:val="bottom"/>
            <w:hideMark/>
          </w:tcPr>
          <w:p w14:paraId="7B41D6FA"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#8</w:t>
            </w:r>
          </w:p>
        </w:tc>
        <w:tc>
          <w:tcPr>
            <w:tcW w:w="9640" w:type="dxa"/>
            <w:tcBorders>
              <w:top w:val="nil"/>
              <w:left w:val="nil"/>
              <w:bottom w:val="nil"/>
              <w:right w:val="nil"/>
            </w:tcBorders>
            <w:shd w:val="clear" w:color="auto" w:fill="auto"/>
            <w:noWrap/>
            <w:vAlign w:val="bottom"/>
            <w:hideMark/>
          </w:tcPr>
          <w:p w14:paraId="27E123B7"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Antenatal[Title/Abstract]</w:t>
            </w:r>
          </w:p>
        </w:tc>
        <w:tc>
          <w:tcPr>
            <w:tcW w:w="997" w:type="dxa"/>
            <w:tcBorders>
              <w:top w:val="nil"/>
              <w:left w:val="nil"/>
              <w:bottom w:val="nil"/>
              <w:right w:val="nil"/>
            </w:tcBorders>
            <w:shd w:val="clear" w:color="auto" w:fill="auto"/>
            <w:noWrap/>
            <w:vAlign w:val="bottom"/>
            <w:hideMark/>
          </w:tcPr>
          <w:p w14:paraId="0323F6BB"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34497</w:t>
            </w:r>
          </w:p>
        </w:tc>
      </w:tr>
      <w:tr w:rsidR="00070870" w:rsidRPr="00EC565C" w14:paraId="0EBBAE97" w14:textId="77777777" w:rsidTr="00526FB5">
        <w:trPr>
          <w:trHeight w:val="300"/>
        </w:trPr>
        <w:tc>
          <w:tcPr>
            <w:tcW w:w="960" w:type="dxa"/>
            <w:tcBorders>
              <w:top w:val="nil"/>
              <w:left w:val="nil"/>
              <w:bottom w:val="nil"/>
              <w:right w:val="nil"/>
            </w:tcBorders>
            <w:shd w:val="clear" w:color="auto" w:fill="auto"/>
            <w:noWrap/>
            <w:vAlign w:val="bottom"/>
            <w:hideMark/>
          </w:tcPr>
          <w:p w14:paraId="111595E2"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#7</w:t>
            </w:r>
          </w:p>
        </w:tc>
        <w:tc>
          <w:tcPr>
            <w:tcW w:w="9640" w:type="dxa"/>
            <w:tcBorders>
              <w:top w:val="nil"/>
              <w:left w:val="nil"/>
              <w:bottom w:val="nil"/>
              <w:right w:val="nil"/>
            </w:tcBorders>
            <w:shd w:val="clear" w:color="auto" w:fill="auto"/>
            <w:noWrap/>
            <w:vAlign w:val="bottom"/>
            <w:hideMark/>
          </w:tcPr>
          <w:p w14:paraId="0423C35D"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Pregnan*[Title/Abstract]</w:t>
            </w:r>
          </w:p>
        </w:tc>
        <w:tc>
          <w:tcPr>
            <w:tcW w:w="997" w:type="dxa"/>
            <w:tcBorders>
              <w:top w:val="nil"/>
              <w:left w:val="nil"/>
              <w:bottom w:val="nil"/>
              <w:right w:val="nil"/>
            </w:tcBorders>
            <w:shd w:val="clear" w:color="auto" w:fill="auto"/>
            <w:noWrap/>
            <w:vAlign w:val="bottom"/>
            <w:hideMark/>
          </w:tcPr>
          <w:p w14:paraId="6B0A8C77"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509634</w:t>
            </w:r>
          </w:p>
        </w:tc>
      </w:tr>
      <w:tr w:rsidR="00070870" w:rsidRPr="00EC565C" w14:paraId="00C02B81" w14:textId="77777777" w:rsidTr="00526FB5">
        <w:trPr>
          <w:trHeight w:val="300"/>
        </w:trPr>
        <w:tc>
          <w:tcPr>
            <w:tcW w:w="960" w:type="dxa"/>
            <w:tcBorders>
              <w:top w:val="nil"/>
              <w:left w:val="nil"/>
              <w:bottom w:val="nil"/>
              <w:right w:val="nil"/>
            </w:tcBorders>
            <w:shd w:val="clear" w:color="auto" w:fill="auto"/>
            <w:noWrap/>
            <w:vAlign w:val="bottom"/>
            <w:hideMark/>
          </w:tcPr>
          <w:p w14:paraId="512585FC"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#6</w:t>
            </w:r>
          </w:p>
        </w:tc>
        <w:tc>
          <w:tcPr>
            <w:tcW w:w="9640" w:type="dxa"/>
            <w:tcBorders>
              <w:top w:val="nil"/>
              <w:left w:val="nil"/>
              <w:bottom w:val="nil"/>
              <w:right w:val="nil"/>
            </w:tcBorders>
            <w:shd w:val="clear" w:color="auto" w:fill="auto"/>
            <w:noWrap/>
            <w:vAlign w:val="bottom"/>
            <w:hideMark/>
          </w:tcPr>
          <w:p w14:paraId="2791F80E"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obstetric[Title/Abstract]</w:t>
            </w:r>
          </w:p>
        </w:tc>
        <w:tc>
          <w:tcPr>
            <w:tcW w:w="997" w:type="dxa"/>
            <w:tcBorders>
              <w:top w:val="nil"/>
              <w:left w:val="nil"/>
              <w:bottom w:val="nil"/>
              <w:right w:val="nil"/>
            </w:tcBorders>
            <w:shd w:val="clear" w:color="auto" w:fill="auto"/>
            <w:noWrap/>
            <w:vAlign w:val="bottom"/>
            <w:hideMark/>
          </w:tcPr>
          <w:p w14:paraId="25E5ECF5"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42244</w:t>
            </w:r>
          </w:p>
        </w:tc>
      </w:tr>
      <w:tr w:rsidR="00070870" w:rsidRPr="00EC565C" w14:paraId="5F5F600D" w14:textId="77777777" w:rsidTr="00526FB5">
        <w:trPr>
          <w:trHeight w:val="300"/>
        </w:trPr>
        <w:tc>
          <w:tcPr>
            <w:tcW w:w="960" w:type="dxa"/>
            <w:tcBorders>
              <w:top w:val="nil"/>
              <w:left w:val="nil"/>
              <w:bottom w:val="nil"/>
              <w:right w:val="nil"/>
            </w:tcBorders>
            <w:shd w:val="clear" w:color="auto" w:fill="auto"/>
            <w:noWrap/>
            <w:vAlign w:val="bottom"/>
            <w:hideMark/>
          </w:tcPr>
          <w:p w14:paraId="6751A5B0"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#5</w:t>
            </w:r>
          </w:p>
        </w:tc>
        <w:tc>
          <w:tcPr>
            <w:tcW w:w="9640" w:type="dxa"/>
            <w:tcBorders>
              <w:top w:val="nil"/>
              <w:left w:val="nil"/>
              <w:bottom w:val="nil"/>
              <w:right w:val="nil"/>
            </w:tcBorders>
            <w:shd w:val="clear" w:color="auto" w:fill="auto"/>
            <w:noWrap/>
            <w:vAlign w:val="bottom"/>
            <w:hideMark/>
          </w:tcPr>
          <w:p w14:paraId="424E4920"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gravid[Title/Abstract]</w:t>
            </w:r>
          </w:p>
        </w:tc>
        <w:tc>
          <w:tcPr>
            <w:tcW w:w="997" w:type="dxa"/>
            <w:tcBorders>
              <w:top w:val="nil"/>
              <w:left w:val="nil"/>
              <w:bottom w:val="nil"/>
              <w:right w:val="nil"/>
            </w:tcBorders>
            <w:shd w:val="clear" w:color="auto" w:fill="auto"/>
            <w:noWrap/>
            <w:vAlign w:val="bottom"/>
            <w:hideMark/>
          </w:tcPr>
          <w:p w14:paraId="50581D0D"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5095</w:t>
            </w:r>
          </w:p>
        </w:tc>
      </w:tr>
      <w:tr w:rsidR="00070870" w:rsidRPr="00EC565C" w14:paraId="728BE0EB" w14:textId="77777777" w:rsidTr="00526FB5">
        <w:trPr>
          <w:trHeight w:val="300"/>
        </w:trPr>
        <w:tc>
          <w:tcPr>
            <w:tcW w:w="960" w:type="dxa"/>
            <w:tcBorders>
              <w:top w:val="nil"/>
              <w:left w:val="nil"/>
              <w:bottom w:val="nil"/>
              <w:right w:val="nil"/>
            </w:tcBorders>
            <w:shd w:val="clear" w:color="auto" w:fill="auto"/>
            <w:noWrap/>
            <w:vAlign w:val="bottom"/>
            <w:hideMark/>
          </w:tcPr>
          <w:p w14:paraId="68F4B4E0"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#4</w:t>
            </w:r>
          </w:p>
        </w:tc>
        <w:tc>
          <w:tcPr>
            <w:tcW w:w="9640" w:type="dxa"/>
            <w:tcBorders>
              <w:top w:val="nil"/>
              <w:left w:val="nil"/>
              <w:bottom w:val="nil"/>
              <w:right w:val="nil"/>
            </w:tcBorders>
            <w:shd w:val="clear" w:color="auto" w:fill="auto"/>
            <w:noWrap/>
            <w:vAlign w:val="bottom"/>
            <w:hideMark/>
          </w:tcPr>
          <w:p w14:paraId="0ECBF3A2"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Pregnancy[Title/Abstract]</w:t>
            </w:r>
          </w:p>
        </w:tc>
        <w:tc>
          <w:tcPr>
            <w:tcW w:w="997" w:type="dxa"/>
            <w:tcBorders>
              <w:top w:val="nil"/>
              <w:left w:val="nil"/>
              <w:bottom w:val="nil"/>
              <w:right w:val="nil"/>
            </w:tcBorders>
            <w:shd w:val="clear" w:color="auto" w:fill="auto"/>
            <w:noWrap/>
            <w:vAlign w:val="bottom"/>
            <w:hideMark/>
          </w:tcPr>
          <w:p w14:paraId="414E43CD"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394617</w:t>
            </w:r>
          </w:p>
        </w:tc>
      </w:tr>
      <w:tr w:rsidR="00070870" w:rsidRPr="00EC565C" w14:paraId="379E7369" w14:textId="77777777" w:rsidTr="00526FB5">
        <w:trPr>
          <w:trHeight w:val="300"/>
        </w:trPr>
        <w:tc>
          <w:tcPr>
            <w:tcW w:w="960" w:type="dxa"/>
            <w:tcBorders>
              <w:top w:val="nil"/>
              <w:left w:val="nil"/>
              <w:bottom w:val="nil"/>
              <w:right w:val="nil"/>
            </w:tcBorders>
            <w:shd w:val="clear" w:color="auto" w:fill="auto"/>
            <w:noWrap/>
            <w:vAlign w:val="bottom"/>
            <w:hideMark/>
          </w:tcPr>
          <w:p w14:paraId="7B408237"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#3</w:t>
            </w:r>
          </w:p>
        </w:tc>
        <w:tc>
          <w:tcPr>
            <w:tcW w:w="9640" w:type="dxa"/>
            <w:tcBorders>
              <w:top w:val="nil"/>
              <w:left w:val="nil"/>
              <w:bottom w:val="nil"/>
              <w:right w:val="nil"/>
            </w:tcBorders>
            <w:shd w:val="clear" w:color="auto" w:fill="auto"/>
            <w:noWrap/>
            <w:vAlign w:val="bottom"/>
            <w:hideMark/>
          </w:tcPr>
          <w:p w14:paraId="74D07914"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Pregnancy[MeSH Terms]</w:t>
            </w:r>
          </w:p>
        </w:tc>
        <w:tc>
          <w:tcPr>
            <w:tcW w:w="997" w:type="dxa"/>
            <w:tcBorders>
              <w:top w:val="nil"/>
              <w:left w:val="nil"/>
              <w:bottom w:val="nil"/>
              <w:right w:val="nil"/>
            </w:tcBorders>
            <w:shd w:val="clear" w:color="auto" w:fill="auto"/>
            <w:noWrap/>
            <w:vAlign w:val="bottom"/>
            <w:hideMark/>
          </w:tcPr>
          <w:p w14:paraId="7CC1F344"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878699</w:t>
            </w:r>
          </w:p>
        </w:tc>
      </w:tr>
      <w:tr w:rsidR="00070870" w:rsidRPr="00EC565C" w14:paraId="718C612A" w14:textId="77777777" w:rsidTr="00526FB5">
        <w:trPr>
          <w:trHeight w:val="300"/>
        </w:trPr>
        <w:tc>
          <w:tcPr>
            <w:tcW w:w="960" w:type="dxa"/>
            <w:tcBorders>
              <w:top w:val="nil"/>
              <w:left w:val="nil"/>
              <w:bottom w:val="nil"/>
              <w:right w:val="nil"/>
            </w:tcBorders>
            <w:shd w:val="clear" w:color="auto" w:fill="auto"/>
            <w:noWrap/>
            <w:vAlign w:val="bottom"/>
            <w:hideMark/>
          </w:tcPr>
          <w:p w14:paraId="54BE58C9"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#2</w:t>
            </w:r>
          </w:p>
        </w:tc>
        <w:tc>
          <w:tcPr>
            <w:tcW w:w="9640" w:type="dxa"/>
            <w:tcBorders>
              <w:top w:val="nil"/>
              <w:left w:val="nil"/>
              <w:bottom w:val="nil"/>
              <w:right w:val="nil"/>
            </w:tcBorders>
            <w:shd w:val="clear" w:color="auto" w:fill="auto"/>
            <w:noWrap/>
            <w:vAlign w:val="bottom"/>
            <w:hideMark/>
          </w:tcPr>
          <w:p w14:paraId="25610877" w14:textId="77777777" w:rsidR="00070870" w:rsidRPr="00EC565C" w:rsidRDefault="00070870" w:rsidP="00526FB5">
            <w:pPr>
              <w:spacing w:after="0" w:line="240" w:lineRule="auto"/>
              <w:rPr>
                <w:rFonts w:ascii="Calibri" w:eastAsia="Times New Roman" w:hAnsi="Calibri" w:cs="Calibri"/>
                <w:color w:val="000000"/>
                <w:lang w:eastAsia="en-AU"/>
              </w:rPr>
            </w:pPr>
            <w:r w:rsidRPr="00EC565C">
              <w:rPr>
                <w:rFonts w:ascii="Calibri" w:eastAsia="Times New Roman" w:hAnsi="Calibri" w:cs="Calibri"/>
                <w:color w:val="000000"/>
                <w:lang w:eastAsia="en-AU"/>
              </w:rPr>
              <w:t>Search "Pregnant Women"[Mesh]</w:t>
            </w:r>
          </w:p>
        </w:tc>
        <w:tc>
          <w:tcPr>
            <w:tcW w:w="997" w:type="dxa"/>
            <w:tcBorders>
              <w:top w:val="nil"/>
              <w:left w:val="nil"/>
              <w:bottom w:val="nil"/>
              <w:right w:val="nil"/>
            </w:tcBorders>
            <w:shd w:val="clear" w:color="auto" w:fill="auto"/>
            <w:noWrap/>
            <w:vAlign w:val="bottom"/>
            <w:hideMark/>
          </w:tcPr>
          <w:p w14:paraId="168E70DC" w14:textId="77777777" w:rsidR="00070870" w:rsidRPr="00EC565C" w:rsidRDefault="00070870" w:rsidP="00526FB5">
            <w:pPr>
              <w:spacing w:after="0" w:line="240" w:lineRule="auto"/>
              <w:jc w:val="right"/>
              <w:rPr>
                <w:rFonts w:ascii="Calibri" w:eastAsia="Times New Roman" w:hAnsi="Calibri" w:cs="Calibri"/>
                <w:color w:val="000000"/>
                <w:lang w:eastAsia="en-AU"/>
              </w:rPr>
            </w:pPr>
            <w:r w:rsidRPr="00EC565C">
              <w:rPr>
                <w:rFonts w:ascii="Calibri" w:eastAsia="Times New Roman" w:hAnsi="Calibri" w:cs="Calibri"/>
                <w:color w:val="000000"/>
                <w:lang w:eastAsia="en-AU"/>
              </w:rPr>
              <w:t>7859</w:t>
            </w:r>
          </w:p>
        </w:tc>
      </w:tr>
    </w:tbl>
    <w:p w14:paraId="5C697C44" w14:textId="40836166" w:rsidR="001F11A7" w:rsidRDefault="00E441C5" w:rsidP="00320FB8">
      <w:pPr>
        <w:pStyle w:val="Figure"/>
        <w:spacing w:before="240"/>
        <w:jc w:val="center"/>
      </w:pPr>
      <w:r>
        <w:rPr>
          <w:noProof/>
          <w:lang w:val="en-AU" w:eastAsia="en-AU"/>
        </w:rPr>
        <w:drawing>
          <wp:inline distT="0" distB="0" distL="0" distR="0" wp14:anchorId="0B3C6717" wp14:editId="4BB442BB">
            <wp:extent cx="3459788" cy="45984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ultivitamins.png"/>
                    <pic:cNvPicPr/>
                  </pic:nvPicPr>
                  <pic:blipFill>
                    <a:blip r:embed="rId21">
                      <a:extLst>
                        <a:ext uri="{28A0092B-C50C-407E-A947-70E740481C1C}">
                          <a14:useLocalDpi xmlns:a14="http://schemas.microsoft.com/office/drawing/2010/main" val="0"/>
                        </a:ext>
                      </a:extLst>
                    </a:blip>
                    <a:stretch>
                      <a:fillRect/>
                    </a:stretch>
                  </pic:blipFill>
                  <pic:spPr>
                    <a:xfrm>
                      <a:off x="0" y="0"/>
                      <a:ext cx="3470052" cy="4612061"/>
                    </a:xfrm>
                    <a:prstGeom prst="rect">
                      <a:avLst/>
                    </a:prstGeom>
                  </pic:spPr>
                </pic:pic>
              </a:graphicData>
            </a:graphic>
          </wp:inline>
        </w:drawing>
      </w:r>
    </w:p>
    <w:p w14:paraId="5ED3AA2C" w14:textId="0DC6C991" w:rsidR="00070870" w:rsidRDefault="00070870" w:rsidP="001F11A7">
      <w:pPr>
        <w:pStyle w:val="Figurename"/>
      </w:pPr>
      <w:r>
        <w:t>PRISMA</w:t>
      </w:r>
      <w:r w:rsidR="00517D7D">
        <w:t xml:space="preserve"> diagram: multiple micronutrients</w:t>
      </w:r>
    </w:p>
    <w:p w14:paraId="05563E18" w14:textId="18151552" w:rsidR="00BA549B" w:rsidRDefault="00BA549B" w:rsidP="000F3838">
      <w:pPr>
        <w:pStyle w:val="Heading4"/>
        <w:rPr>
          <w:lang w:val="en-AU"/>
        </w:rPr>
      </w:pPr>
      <w:r>
        <w:rPr>
          <w:lang w:val="en-AU"/>
        </w:rPr>
        <w:t>Iron supplementation</w:t>
      </w:r>
      <w:r w:rsidR="000D04A0">
        <w:t xml:space="preserve"> (research question 3)</w:t>
      </w:r>
    </w:p>
    <w:p w14:paraId="50560E3B" w14:textId="77777777" w:rsidR="00826445" w:rsidRDefault="00826445" w:rsidP="00826445">
      <w:r>
        <w:t>Previous Iron supplementation in pregnancy Cochrane search date: 10 Jan 2015</w:t>
      </w:r>
    </w:p>
    <w:p w14:paraId="106CD2F7" w14:textId="77777777" w:rsidR="00826445" w:rsidRPr="00826445" w:rsidRDefault="00826445" w:rsidP="00826445">
      <w:r w:rsidRPr="00826445">
        <w:t>Peña‐Rosas  JP, De‐Regil  LM, Gomez Malave  H, Flores‐Urrutia  MC, Dowswell  T. Intermittent oral iron supplementation during pregnancy. Cochrane Database of Systematic Reviews 2015, Issue 10. Art. No.: CD009997. DOI: 10.1002/14651858.CD009997.pub2.</w:t>
      </w:r>
    </w:p>
    <w:p w14:paraId="39E605ED" w14:textId="77777777" w:rsidR="00826445" w:rsidRPr="00826445" w:rsidRDefault="00826445" w:rsidP="00826445">
      <w:r w:rsidRPr="00826445">
        <w:t>And</w:t>
      </w:r>
    </w:p>
    <w:p w14:paraId="2D2EAF9A" w14:textId="1CA33691" w:rsidR="00826445" w:rsidRDefault="00826445" w:rsidP="00826445">
      <w:r w:rsidRPr="00826445">
        <w:t>Peña‐Rosas  JP, De‐Regil  LM, Garcia‐Casal  MN, Dowswell  T. Daily oral iron supplementation during pregnancy. Cochrane Database of Systematic Reviews 2015, Issue 7. Art. No.: CD004736. DOI: 10.1002/14651858.CD004736.pub5.</w:t>
      </w:r>
    </w:p>
    <w:p w14:paraId="73136668" w14:textId="77777777" w:rsidR="00826445" w:rsidRDefault="00826445" w:rsidP="00826445">
      <w:r>
        <w:t>Synonyms for Iron;</w:t>
      </w:r>
    </w:p>
    <w:p w14:paraId="4A4C9E37" w14:textId="77777777" w:rsidR="00826445" w:rsidRPr="003C086B" w:rsidRDefault="00826445" w:rsidP="00826445">
      <w:pPr>
        <w:rPr>
          <w:rFonts w:ascii="Arial" w:eastAsia="Times New Roman" w:hAnsi="Arial" w:cs="Arial"/>
          <w:color w:val="000000"/>
          <w:sz w:val="20"/>
          <w:szCs w:val="20"/>
          <w:lang w:eastAsia="en-AU"/>
        </w:rPr>
      </w:pPr>
      <w:r w:rsidRPr="003C086B">
        <w:rPr>
          <w:rFonts w:ascii="Arial" w:eastAsia="Times New Roman" w:hAnsi="Arial" w:cs="Arial"/>
          <w:color w:val="000000"/>
          <w:sz w:val="20"/>
          <w:szCs w:val="20"/>
          <w:lang w:eastAsia="en-AU"/>
        </w:rPr>
        <w:t>Iron-56</w:t>
      </w:r>
    </w:p>
    <w:p w14:paraId="785E7653" w14:textId="77777777" w:rsidR="00826445" w:rsidRDefault="00826445" w:rsidP="00826445">
      <w:pPr>
        <w:rPr>
          <w:b/>
        </w:rPr>
      </w:pPr>
      <w:r>
        <w:rPr>
          <w:b/>
        </w:rPr>
        <w:t>Current search dates:</w:t>
      </w:r>
    </w:p>
    <w:p w14:paraId="5AEE3FE4" w14:textId="77777777" w:rsidR="00826445" w:rsidRPr="00196D36" w:rsidRDefault="00826445" w:rsidP="00826445">
      <w:r>
        <w:t>10-Jan-2015-current</w:t>
      </w:r>
    </w:p>
    <w:tbl>
      <w:tblPr>
        <w:tblStyle w:val="TableGrid"/>
        <w:tblW w:w="0" w:type="auto"/>
        <w:tblLayout w:type="fixed"/>
        <w:tblLook w:val="04A0" w:firstRow="1" w:lastRow="0" w:firstColumn="1" w:lastColumn="0" w:noHBand="0" w:noVBand="1"/>
      </w:tblPr>
      <w:tblGrid>
        <w:gridCol w:w="1102"/>
        <w:gridCol w:w="4536"/>
        <w:gridCol w:w="992"/>
        <w:gridCol w:w="850"/>
        <w:gridCol w:w="851"/>
        <w:gridCol w:w="949"/>
      </w:tblGrid>
      <w:tr w:rsidR="00070870" w:rsidRPr="00070870" w14:paraId="75913957" w14:textId="77777777" w:rsidTr="00070870">
        <w:trPr>
          <w:tblHeader/>
        </w:trPr>
        <w:tc>
          <w:tcPr>
            <w:tcW w:w="1102" w:type="dxa"/>
          </w:tcPr>
          <w:p w14:paraId="011603D8" w14:textId="77777777" w:rsidR="00826445" w:rsidRPr="00070870" w:rsidRDefault="00826445" w:rsidP="00070870">
            <w:pPr>
              <w:pStyle w:val="RCTstable"/>
              <w:rPr>
                <w:b/>
              </w:rPr>
            </w:pPr>
            <w:r w:rsidRPr="00070870">
              <w:rPr>
                <w:b/>
              </w:rPr>
              <w:t>Database</w:t>
            </w:r>
          </w:p>
        </w:tc>
        <w:tc>
          <w:tcPr>
            <w:tcW w:w="4536" w:type="dxa"/>
          </w:tcPr>
          <w:p w14:paraId="449E2C2B" w14:textId="77777777" w:rsidR="00826445" w:rsidRPr="00070870" w:rsidRDefault="00826445" w:rsidP="00070870">
            <w:pPr>
              <w:pStyle w:val="RCTstable"/>
              <w:rPr>
                <w:b/>
              </w:rPr>
            </w:pPr>
            <w:r w:rsidRPr="00070870">
              <w:rPr>
                <w:b/>
              </w:rPr>
              <w:t>Search Strategy</w:t>
            </w:r>
          </w:p>
        </w:tc>
        <w:tc>
          <w:tcPr>
            <w:tcW w:w="992" w:type="dxa"/>
          </w:tcPr>
          <w:p w14:paraId="03113808" w14:textId="77777777" w:rsidR="00826445" w:rsidRPr="00070870" w:rsidRDefault="00826445" w:rsidP="00070870">
            <w:pPr>
              <w:pStyle w:val="RCTstable"/>
              <w:rPr>
                <w:b/>
              </w:rPr>
            </w:pPr>
            <w:r w:rsidRPr="00070870">
              <w:rPr>
                <w:b/>
              </w:rPr>
              <w:t>Dates Searched</w:t>
            </w:r>
          </w:p>
        </w:tc>
        <w:tc>
          <w:tcPr>
            <w:tcW w:w="850" w:type="dxa"/>
          </w:tcPr>
          <w:p w14:paraId="469F31A5" w14:textId="77777777" w:rsidR="00826445" w:rsidRPr="00070870" w:rsidRDefault="00826445" w:rsidP="00070870">
            <w:pPr>
              <w:pStyle w:val="RCTstable"/>
              <w:rPr>
                <w:b/>
              </w:rPr>
            </w:pPr>
            <w:r w:rsidRPr="00070870">
              <w:rPr>
                <w:b/>
              </w:rPr>
              <w:t>Limits set</w:t>
            </w:r>
          </w:p>
        </w:tc>
        <w:tc>
          <w:tcPr>
            <w:tcW w:w="851" w:type="dxa"/>
          </w:tcPr>
          <w:p w14:paraId="64405D42" w14:textId="77777777" w:rsidR="00826445" w:rsidRPr="00070870" w:rsidRDefault="00826445" w:rsidP="00070870">
            <w:pPr>
              <w:pStyle w:val="RCTstable"/>
              <w:rPr>
                <w:b/>
              </w:rPr>
            </w:pPr>
            <w:r w:rsidRPr="00070870">
              <w:rPr>
                <w:b/>
              </w:rPr>
              <w:t>Results</w:t>
            </w:r>
          </w:p>
        </w:tc>
        <w:tc>
          <w:tcPr>
            <w:tcW w:w="949" w:type="dxa"/>
          </w:tcPr>
          <w:p w14:paraId="1446A76A" w14:textId="77777777" w:rsidR="00826445" w:rsidRPr="00070870" w:rsidRDefault="00826445" w:rsidP="00070870">
            <w:pPr>
              <w:pStyle w:val="RCTstable"/>
              <w:rPr>
                <w:b/>
              </w:rPr>
            </w:pPr>
            <w:r w:rsidRPr="00070870">
              <w:rPr>
                <w:b/>
              </w:rPr>
              <w:t>Date of search</w:t>
            </w:r>
          </w:p>
        </w:tc>
      </w:tr>
      <w:tr w:rsidR="00070870" w:rsidRPr="00070870" w14:paraId="2EE1373B" w14:textId="77777777" w:rsidTr="00070870">
        <w:tc>
          <w:tcPr>
            <w:tcW w:w="1102" w:type="dxa"/>
          </w:tcPr>
          <w:p w14:paraId="5F51A269" w14:textId="77777777" w:rsidR="00826445" w:rsidRPr="00070870" w:rsidRDefault="00826445" w:rsidP="00070870">
            <w:pPr>
              <w:pStyle w:val="RCTstable"/>
            </w:pPr>
            <w:r w:rsidRPr="00070870">
              <w:t>Pubmed</w:t>
            </w:r>
          </w:p>
        </w:tc>
        <w:tc>
          <w:tcPr>
            <w:tcW w:w="4536" w:type="dxa"/>
          </w:tcPr>
          <w:p w14:paraId="59D06DE2" w14:textId="77777777" w:rsidR="00826445" w:rsidRPr="00070870" w:rsidRDefault="00826445" w:rsidP="00070870">
            <w:pPr>
              <w:pStyle w:val="RCTstable"/>
            </w:pPr>
            <w:r w:rsidRPr="00070870">
              <w:t xml:space="preserve">("pregnancy"[Mesh] OR "pregnan*"[All Fields] OR "prenatal*"[All Fields]) </w:t>
            </w:r>
          </w:p>
          <w:p w14:paraId="2C146BD7" w14:textId="77777777" w:rsidR="00826445" w:rsidRPr="00070870" w:rsidRDefault="00826445" w:rsidP="00070870">
            <w:pPr>
              <w:pStyle w:val="RCTstable"/>
            </w:pPr>
            <w:r w:rsidRPr="00070870">
              <w:t>AND ("Iron, Dietary"[Mesh] OR “Iron”[Mesh] OR “Iron”[All Fields])</w:t>
            </w:r>
          </w:p>
        </w:tc>
        <w:tc>
          <w:tcPr>
            <w:tcW w:w="992" w:type="dxa"/>
          </w:tcPr>
          <w:p w14:paraId="2679F0CC" w14:textId="77777777" w:rsidR="00826445" w:rsidRPr="00070870" w:rsidRDefault="00826445" w:rsidP="00070870">
            <w:pPr>
              <w:pStyle w:val="RCTstable"/>
            </w:pPr>
            <w:r w:rsidRPr="00070870">
              <w:t>10-Jan-2015 to 31-Dec-2019</w:t>
            </w:r>
          </w:p>
        </w:tc>
        <w:tc>
          <w:tcPr>
            <w:tcW w:w="850" w:type="dxa"/>
          </w:tcPr>
          <w:p w14:paraId="2F1785D9" w14:textId="77777777" w:rsidR="00826445" w:rsidRPr="00070870" w:rsidRDefault="00826445" w:rsidP="00070870">
            <w:pPr>
              <w:pStyle w:val="RCTstable"/>
            </w:pPr>
            <w:r w:rsidRPr="00070870">
              <w:t>Human</w:t>
            </w:r>
          </w:p>
          <w:p w14:paraId="3476911A" w14:textId="77777777" w:rsidR="00826445" w:rsidRPr="00070870" w:rsidRDefault="00826445" w:rsidP="00070870">
            <w:pPr>
              <w:pStyle w:val="RCTstable"/>
            </w:pPr>
            <w:r w:rsidRPr="00070870">
              <w:t>English Language</w:t>
            </w:r>
          </w:p>
        </w:tc>
        <w:tc>
          <w:tcPr>
            <w:tcW w:w="851" w:type="dxa"/>
          </w:tcPr>
          <w:p w14:paraId="43A95FEC" w14:textId="77777777" w:rsidR="00826445" w:rsidRPr="00070870" w:rsidRDefault="00826445" w:rsidP="00070870">
            <w:pPr>
              <w:pStyle w:val="RCTstable"/>
            </w:pPr>
            <w:r w:rsidRPr="00070870">
              <w:t>891</w:t>
            </w:r>
          </w:p>
        </w:tc>
        <w:tc>
          <w:tcPr>
            <w:tcW w:w="949" w:type="dxa"/>
          </w:tcPr>
          <w:p w14:paraId="53D1B387" w14:textId="77777777" w:rsidR="00826445" w:rsidRPr="00070870" w:rsidRDefault="00826445" w:rsidP="00070870">
            <w:pPr>
              <w:pStyle w:val="RCTstable"/>
            </w:pPr>
            <w:r w:rsidRPr="00070870">
              <w:t>1-July-19</w:t>
            </w:r>
          </w:p>
        </w:tc>
      </w:tr>
      <w:tr w:rsidR="00070870" w:rsidRPr="00070870" w14:paraId="44D527C6" w14:textId="77777777" w:rsidTr="00070870">
        <w:tc>
          <w:tcPr>
            <w:tcW w:w="1102" w:type="dxa"/>
          </w:tcPr>
          <w:p w14:paraId="1110AF93" w14:textId="77777777" w:rsidR="00826445" w:rsidRPr="00070870" w:rsidRDefault="00826445" w:rsidP="00070870">
            <w:pPr>
              <w:pStyle w:val="RCTstable"/>
            </w:pPr>
            <w:r w:rsidRPr="00070870">
              <w:t>Ovid medline</w:t>
            </w:r>
          </w:p>
        </w:tc>
        <w:tc>
          <w:tcPr>
            <w:tcW w:w="4536" w:type="dxa"/>
          </w:tcPr>
          <w:p w14:paraId="482C4569" w14:textId="77777777" w:rsidR="00826445" w:rsidRPr="00070870" w:rsidRDefault="00826445" w:rsidP="00070870">
            <w:pPr>
              <w:pStyle w:val="RCTstable"/>
            </w:pPr>
            <w:r w:rsidRPr="00070870">
              <w:t>(Iron/ or Iron, Dietary/) OR Iron.mp.</w:t>
            </w:r>
          </w:p>
          <w:p w14:paraId="656FB106" w14:textId="77777777" w:rsidR="00826445" w:rsidRPr="00070870" w:rsidRDefault="00826445" w:rsidP="00070870">
            <w:pPr>
              <w:pStyle w:val="RCTstable"/>
            </w:pPr>
            <w:r w:rsidRPr="00070870">
              <w:t>AND</w:t>
            </w:r>
          </w:p>
          <w:p w14:paraId="08E711E5" w14:textId="77777777" w:rsidR="00826445" w:rsidRPr="00070870" w:rsidRDefault="00826445" w:rsidP="00070870">
            <w:pPr>
              <w:pStyle w:val="RCTstable"/>
            </w:pPr>
            <w:r w:rsidRPr="00070870">
              <w:t>Pregnancy/syn or Pregnan*.mp.</w:t>
            </w:r>
          </w:p>
        </w:tc>
        <w:tc>
          <w:tcPr>
            <w:tcW w:w="992" w:type="dxa"/>
          </w:tcPr>
          <w:p w14:paraId="23A62216" w14:textId="77777777" w:rsidR="00826445" w:rsidRPr="00070870" w:rsidRDefault="00826445" w:rsidP="00070870">
            <w:pPr>
              <w:pStyle w:val="RCTstable"/>
            </w:pPr>
            <w:r w:rsidRPr="00070870">
              <w:t>2015-Current</w:t>
            </w:r>
          </w:p>
        </w:tc>
        <w:tc>
          <w:tcPr>
            <w:tcW w:w="850" w:type="dxa"/>
          </w:tcPr>
          <w:p w14:paraId="377659B2" w14:textId="77777777" w:rsidR="00826445" w:rsidRPr="00070870" w:rsidRDefault="00826445" w:rsidP="00070870">
            <w:pPr>
              <w:pStyle w:val="RCTstable"/>
            </w:pPr>
            <w:r w:rsidRPr="00070870">
              <w:t>English Language</w:t>
            </w:r>
          </w:p>
          <w:p w14:paraId="525BC1E0" w14:textId="77777777" w:rsidR="00826445" w:rsidRPr="00070870" w:rsidRDefault="00826445" w:rsidP="00070870">
            <w:pPr>
              <w:pStyle w:val="RCTstable"/>
            </w:pPr>
            <w:r w:rsidRPr="00070870">
              <w:t>Human</w:t>
            </w:r>
          </w:p>
        </w:tc>
        <w:tc>
          <w:tcPr>
            <w:tcW w:w="851" w:type="dxa"/>
          </w:tcPr>
          <w:p w14:paraId="2529A1C4" w14:textId="77777777" w:rsidR="00826445" w:rsidRPr="00070870" w:rsidRDefault="00826445" w:rsidP="00070870">
            <w:pPr>
              <w:pStyle w:val="RCTstable"/>
            </w:pPr>
            <w:r w:rsidRPr="00070870">
              <w:t>975</w:t>
            </w:r>
          </w:p>
        </w:tc>
        <w:tc>
          <w:tcPr>
            <w:tcW w:w="949" w:type="dxa"/>
          </w:tcPr>
          <w:p w14:paraId="492FAB8D" w14:textId="77777777" w:rsidR="00826445" w:rsidRPr="00070870" w:rsidRDefault="00826445" w:rsidP="00070870">
            <w:pPr>
              <w:pStyle w:val="RCTstable"/>
            </w:pPr>
            <w:r w:rsidRPr="00070870">
              <w:t>2-July-19</w:t>
            </w:r>
          </w:p>
        </w:tc>
      </w:tr>
      <w:tr w:rsidR="00070870" w:rsidRPr="00070870" w14:paraId="2E74B97E" w14:textId="77777777" w:rsidTr="00070870">
        <w:tc>
          <w:tcPr>
            <w:tcW w:w="1102" w:type="dxa"/>
          </w:tcPr>
          <w:p w14:paraId="4063B1D1" w14:textId="77777777" w:rsidR="00826445" w:rsidRPr="00070870" w:rsidRDefault="00826445" w:rsidP="00070870">
            <w:pPr>
              <w:pStyle w:val="RCTstable"/>
            </w:pPr>
            <w:r w:rsidRPr="00070870">
              <w:t>Embase</w:t>
            </w:r>
          </w:p>
        </w:tc>
        <w:tc>
          <w:tcPr>
            <w:tcW w:w="4536" w:type="dxa"/>
          </w:tcPr>
          <w:p w14:paraId="4BA9856D" w14:textId="77777777" w:rsidR="00826445" w:rsidRPr="00070870" w:rsidRDefault="00826445" w:rsidP="00070870">
            <w:pPr>
              <w:pStyle w:val="RCTstable"/>
            </w:pPr>
            <w:r w:rsidRPr="00070870">
              <w:t xml:space="preserve">('pregnancy'/exp  OR pregnan*) </w:t>
            </w:r>
          </w:p>
          <w:p w14:paraId="41709305" w14:textId="77777777" w:rsidR="00826445" w:rsidRPr="00070870" w:rsidRDefault="00826445" w:rsidP="00070870">
            <w:pPr>
              <w:pStyle w:val="RCTstable"/>
            </w:pPr>
            <w:r w:rsidRPr="00070870">
              <w:t>AND ('iron'/exp OR ‘Iron’)</w:t>
            </w:r>
          </w:p>
        </w:tc>
        <w:tc>
          <w:tcPr>
            <w:tcW w:w="992" w:type="dxa"/>
          </w:tcPr>
          <w:p w14:paraId="16C4FA4A" w14:textId="77777777" w:rsidR="00826445" w:rsidRPr="00070870" w:rsidRDefault="00826445" w:rsidP="00070870">
            <w:pPr>
              <w:pStyle w:val="RCTstable"/>
            </w:pPr>
            <w:r w:rsidRPr="00070870">
              <w:t>2015-2019</w:t>
            </w:r>
          </w:p>
        </w:tc>
        <w:tc>
          <w:tcPr>
            <w:tcW w:w="850" w:type="dxa"/>
          </w:tcPr>
          <w:p w14:paraId="1DC2A9B3" w14:textId="77777777" w:rsidR="00826445" w:rsidRPr="00070870" w:rsidRDefault="00826445" w:rsidP="00070870">
            <w:pPr>
              <w:pStyle w:val="RCTstable"/>
            </w:pPr>
            <w:r w:rsidRPr="00070870">
              <w:t>English Language</w:t>
            </w:r>
          </w:p>
          <w:p w14:paraId="4FF4F013" w14:textId="77777777" w:rsidR="00826445" w:rsidRPr="00070870" w:rsidRDefault="00826445" w:rsidP="00070870">
            <w:pPr>
              <w:pStyle w:val="RCTstable"/>
            </w:pPr>
            <w:r w:rsidRPr="00070870">
              <w:t>Human</w:t>
            </w:r>
          </w:p>
        </w:tc>
        <w:tc>
          <w:tcPr>
            <w:tcW w:w="851" w:type="dxa"/>
          </w:tcPr>
          <w:p w14:paraId="02AADDA6" w14:textId="77777777" w:rsidR="00826445" w:rsidRPr="00070870" w:rsidRDefault="00826445" w:rsidP="00070870">
            <w:pPr>
              <w:pStyle w:val="RCTstable"/>
            </w:pPr>
            <w:r w:rsidRPr="00070870">
              <w:t>2752</w:t>
            </w:r>
          </w:p>
        </w:tc>
        <w:tc>
          <w:tcPr>
            <w:tcW w:w="949" w:type="dxa"/>
          </w:tcPr>
          <w:p w14:paraId="7005ED7D" w14:textId="77777777" w:rsidR="00826445" w:rsidRPr="00070870" w:rsidRDefault="00826445" w:rsidP="00070870">
            <w:pPr>
              <w:pStyle w:val="RCTstable"/>
            </w:pPr>
            <w:r w:rsidRPr="00070870">
              <w:t>1-July-19</w:t>
            </w:r>
          </w:p>
        </w:tc>
      </w:tr>
      <w:tr w:rsidR="00070870" w:rsidRPr="00070870" w14:paraId="4B81AD0B" w14:textId="77777777" w:rsidTr="00070870">
        <w:tc>
          <w:tcPr>
            <w:tcW w:w="1102" w:type="dxa"/>
          </w:tcPr>
          <w:p w14:paraId="4EFCE286" w14:textId="77777777" w:rsidR="00826445" w:rsidRPr="00070870" w:rsidRDefault="00826445" w:rsidP="00070870">
            <w:pPr>
              <w:pStyle w:val="RCTstable"/>
            </w:pPr>
            <w:r w:rsidRPr="00070870">
              <w:t>CINAHL</w:t>
            </w:r>
          </w:p>
        </w:tc>
        <w:tc>
          <w:tcPr>
            <w:tcW w:w="4536" w:type="dxa"/>
          </w:tcPr>
          <w:p w14:paraId="568B2105" w14:textId="77777777" w:rsidR="00826445" w:rsidRPr="00070870" w:rsidRDefault="00826445" w:rsidP="00070870">
            <w:pPr>
              <w:pStyle w:val="RCTstable"/>
            </w:pPr>
            <w:r w:rsidRPr="00070870">
              <w:t>(MH "Iron+") OR ("Iron")</w:t>
            </w:r>
          </w:p>
          <w:p w14:paraId="327E9DB3" w14:textId="77777777" w:rsidR="00826445" w:rsidRPr="00070870" w:rsidRDefault="00826445" w:rsidP="00070870">
            <w:pPr>
              <w:pStyle w:val="RCTstable"/>
            </w:pPr>
            <w:r w:rsidRPr="00070870">
              <w:t>AND</w:t>
            </w:r>
          </w:p>
          <w:p w14:paraId="3E74B08C" w14:textId="77777777" w:rsidR="00826445" w:rsidRPr="00070870" w:rsidRDefault="00826445" w:rsidP="00070870">
            <w:pPr>
              <w:pStyle w:val="RCTstable"/>
            </w:pPr>
            <w:r w:rsidRPr="00070870">
              <w:t>( (MH "Pregnancy+") OR (MH "Pregnancy Trimesters+") OR (MM "Prenatal Nutritional Physiology") OR (MM "Prenatal Exposure Delayed Effects") OR ("Pregnan*") )</w:t>
            </w:r>
          </w:p>
        </w:tc>
        <w:tc>
          <w:tcPr>
            <w:tcW w:w="992" w:type="dxa"/>
          </w:tcPr>
          <w:p w14:paraId="1DA5C081" w14:textId="77777777" w:rsidR="00826445" w:rsidRPr="00070870" w:rsidRDefault="00826445" w:rsidP="00070870">
            <w:pPr>
              <w:pStyle w:val="RCTstable"/>
            </w:pPr>
            <w:r w:rsidRPr="00070870">
              <w:t>2015-2019</w:t>
            </w:r>
          </w:p>
        </w:tc>
        <w:tc>
          <w:tcPr>
            <w:tcW w:w="850" w:type="dxa"/>
          </w:tcPr>
          <w:p w14:paraId="7AD6DFF0" w14:textId="77777777" w:rsidR="00826445" w:rsidRPr="00070870" w:rsidRDefault="00826445" w:rsidP="00070870">
            <w:pPr>
              <w:pStyle w:val="RCTstable"/>
            </w:pPr>
            <w:r w:rsidRPr="00070870">
              <w:t>English</w:t>
            </w:r>
          </w:p>
        </w:tc>
        <w:tc>
          <w:tcPr>
            <w:tcW w:w="851" w:type="dxa"/>
          </w:tcPr>
          <w:p w14:paraId="2059FA8B" w14:textId="77777777" w:rsidR="00826445" w:rsidRPr="00070870" w:rsidRDefault="00826445" w:rsidP="00070870">
            <w:pPr>
              <w:pStyle w:val="RCTstable"/>
            </w:pPr>
            <w:r w:rsidRPr="00070870">
              <w:t>1421</w:t>
            </w:r>
          </w:p>
        </w:tc>
        <w:tc>
          <w:tcPr>
            <w:tcW w:w="949" w:type="dxa"/>
          </w:tcPr>
          <w:p w14:paraId="36ED5FD1" w14:textId="77777777" w:rsidR="00826445" w:rsidRPr="00070870" w:rsidRDefault="00826445" w:rsidP="00070870">
            <w:pPr>
              <w:pStyle w:val="RCTstable"/>
            </w:pPr>
            <w:r w:rsidRPr="00070870">
              <w:t>1-July-19</w:t>
            </w:r>
          </w:p>
        </w:tc>
      </w:tr>
      <w:tr w:rsidR="00070870" w:rsidRPr="00070870" w14:paraId="102DFBA7" w14:textId="77777777" w:rsidTr="00070870">
        <w:trPr>
          <w:cantSplit/>
        </w:trPr>
        <w:tc>
          <w:tcPr>
            <w:tcW w:w="1102" w:type="dxa"/>
          </w:tcPr>
          <w:p w14:paraId="48D849D9" w14:textId="77777777" w:rsidR="00826445" w:rsidRPr="00070870" w:rsidRDefault="00826445" w:rsidP="00070870">
            <w:pPr>
              <w:pStyle w:val="RCTstable"/>
            </w:pPr>
            <w:r w:rsidRPr="00070870">
              <w:t>SCOPUS</w:t>
            </w:r>
          </w:p>
        </w:tc>
        <w:tc>
          <w:tcPr>
            <w:tcW w:w="4536" w:type="dxa"/>
          </w:tcPr>
          <w:p w14:paraId="0FEF90C5" w14:textId="2135DD5C" w:rsidR="00826445" w:rsidRPr="00070870" w:rsidRDefault="00826445" w:rsidP="00070870">
            <w:pPr>
              <w:pStyle w:val="RCTstable"/>
            </w:pPr>
            <w:r w:rsidRPr="00070870">
              <w:t>TITLE-ABS-KEY ( ( ( ( "pregnan*" )  OR  ( prenatal* ) )  AND  ( ( "Iron" ) ) ) )  AND  ( LIMIT-TO ( PUBYEAR ,  2019 )  OR  LIMIT-TO ( PUBYEAR ,  2018 )  OR  LIMIT-TO ( PUBYEAR ,  2017 )  OR  LIMIT-TO ( PUBYEAR ,  2016 )  OR  LIMIT-TO ( PUBYEAR ,  2015 ) )  AND  ( LIMIT-TO ( LANGUAGE ,  "English" ) )  AND  ( LIMIT-TO ( EXACTKEYWORD ,  "Human" ) ) </w:t>
            </w:r>
          </w:p>
        </w:tc>
        <w:tc>
          <w:tcPr>
            <w:tcW w:w="992" w:type="dxa"/>
          </w:tcPr>
          <w:p w14:paraId="74917F39" w14:textId="77777777" w:rsidR="00826445" w:rsidRPr="00070870" w:rsidRDefault="00826445" w:rsidP="00070870">
            <w:pPr>
              <w:pStyle w:val="RCTstable"/>
            </w:pPr>
            <w:r w:rsidRPr="00070870">
              <w:t>2015 - 2019</w:t>
            </w:r>
          </w:p>
        </w:tc>
        <w:tc>
          <w:tcPr>
            <w:tcW w:w="850" w:type="dxa"/>
          </w:tcPr>
          <w:p w14:paraId="0CCAAD9D" w14:textId="77777777" w:rsidR="00826445" w:rsidRPr="00070870" w:rsidRDefault="00826445" w:rsidP="00070870">
            <w:pPr>
              <w:pStyle w:val="RCTstable"/>
            </w:pPr>
            <w:r w:rsidRPr="00070870">
              <w:t>English</w:t>
            </w:r>
          </w:p>
          <w:p w14:paraId="567315E8" w14:textId="77777777" w:rsidR="00826445" w:rsidRPr="00070870" w:rsidRDefault="00826445" w:rsidP="00070870">
            <w:pPr>
              <w:pStyle w:val="RCTstable"/>
            </w:pPr>
            <w:r w:rsidRPr="00070870">
              <w:t>Human</w:t>
            </w:r>
          </w:p>
        </w:tc>
        <w:tc>
          <w:tcPr>
            <w:tcW w:w="851" w:type="dxa"/>
          </w:tcPr>
          <w:p w14:paraId="181C5620" w14:textId="77777777" w:rsidR="00826445" w:rsidRPr="00070870" w:rsidRDefault="00826445" w:rsidP="00070870">
            <w:pPr>
              <w:pStyle w:val="RCTstable"/>
            </w:pPr>
            <w:r w:rsidRPr="00070870">
              <w:t>1961</w:t>
            </w:r>
          </w:p>
        </w:tc>
        <w:tc>
          <w:tcPr>
            <w:tcW w:w="949" w:type="dxa"/>
          </w:tcPr>
          <w:p w14:paraId="1220D23C" w14:textId="77777777" w:rsidR="00826445" w:rsidRPr="00070870" w:rsidRDefault="00826445" w:rsidP="00070870">
            <w:pPr>
              <w:pStyle w:val="RCTstable"/>
            </w:pPr>
            <w:r w:rsidRPr="00070870">
              <w:t>2-July-19</w:t>
            </w:r>
          </w:p>
        </w:tc>
      </w:tr>
      <w:tr w:rsidR="00070870" w:rsidRPr="00070870" w14:paraId="33F6D724" w14:textId="77777777" w:rsidTr="00070870">
        <w:tc>
          <w:tcPr>
            <w:tcW w:w="1102" w:type="dxa"/>
          </w:tcPr>
          <w:p w14:paraId="4F1BDD74" w14:textId="77777777" w:rsidR="00826445" w:rsidRPr="00070870" w:rsidRDefault="00826445" w:rsidP="00070870">
            <w:pPr>
              <w:pStyle w:val="RCTstable"/>
            </w:pPr>
            <w:r w:rsidRPr="00070870">
              <w:t>Health Infonet</w:t>
            </w:r>
          </w:p>
        </w:tc>
        <w:tc>
          <w:tcPr>
            <w:tcW w:w="4536" w:type="dxa"/>
          </w:tcPr>
          <w:p w14:paraId="7B0B9649" w14:textId="77777777" w:rsidR="00826445" w:rsidRPr="00070870" w:rsidRDefault="00826445" w:rsidP="00070870">
            <w:pPr>
              <w:pStyle w:val="RCTstable"/>
            </w:pPr>
            <w:r w:rsidRPr="00070870">
              <w:t>Iron – title and abstract</w:t>
            </w:r>
          </w:p>
          <w:p w14:paraId="069164FC" w14:textId="77777777" w:rsidR="00826445" w:rsidRPr="00070870" w:rsidRDefault="00826445" w:rsidP="00070870">
            <w:pPr>
              <w:pStyle w:val="RCTstable"/>
            </w:pPr>
            <w:r w:rsidRPr="00070870">
              <w:t>Pregnancy - title and abstract</w:t>
            </w:r>
          </w:p>
        </w:tc>
        <w:tc>
          <w:tcPr>
            <w:tcW w:w="992" w:type="dxa"/>
          </w:tcPr>
          <w:p w14:paraId="12DBD1C5" w14:textId="77777777" w:rsidR="00826445" w:rsidRPr="00070870" w:rsidRDefault="00826445" w:rsidP="00070870">
            <w:pPr>
              <w:pStyle w:val="RCTstable"/>
            </w:pPr>
            <w:r w:rsidRPr="00070870">
              <w:t>2015-current = 0</w:t>
            </w:r>
          </w:p>
          <w:p w14:paraId="160B2B37" w14:textId="77777777" w:rsidR="00826445" w:rsidRPr="00070870" w:rsidRDefault="00826445" w:rsidP="00070870">
            <w:pPr>
              <w:pStyle w:val="RCTstable"/>
            </w:pPr>
          </w:p>
        </w:tc>
        <w:tc>
          <w:tcPr>
            <w:tcW w:w="850" w:type="dxa"/>
          </w:tcPr>
          <w:p w14:paraId="45859CBF" w14:textId="77777777" w:rsidR="00826445" w:rsidRPr="00070870" w:rsidRDefault="00826445" w:rsidP="00070870">
            <w:pPr>
              <w:pStyle w:val="RCTstable"/>
            </w:pPr>
            <w:r w:rsidRPr="00070870">
              <w:t>None</w:t>
            </w:r>
          </w:p>
        </w:tc>
        <w:tc>
          <w:tcPr>
            <w:tcW w:w="851" w:type="dxa"/>
          </w:tcPr>
          <w:p w14:paraId="31DB14F8" w14:textId="77777777" w:rsidR="00826445" w:rsidRPr="00070870" w:rsidRDefault="00826445" w:rsidP="00070870">
            <w:pPr>
              <w:pStyle w:val="RCTstable"/>
            </w:pPr>
            <w:r w:rsidRPr="00070870">
              <w:t>0</w:t>
            </w:r>
          </w:p>
        </w:tc>
        <w:tc>
          <w:tcPr>
            <w:tcW w:w="949" w:type="dxa"/>
          </w:tcPr>
          <w:p w14:paraId="3CC02FCE" w14:textId="77777777" w:rsidR="00826445" w:rsidRPr="00070870" w:rsidRDefault="00826445" w:rsidP="00070870">
            <w:pPr>
              <w:pStyle w:val="RCTstable"/>
            </w:pPr>
            <w:r w:rsidRPr="00070870">
              <w:t>2-July-19</w:t>
            </w:r>
          </w:p>
        </w:tc>
      </w:tr>
      <w:tr w:rsidR="00070870" w:rsidRPr="00070870" w14:paraId="2E8DCDB4" w14:textId="77777777" w:rsidTr="00070870">
        <w:tc>
          <w:tcPr>
            <w:tcW w:w="1102" w:type="dxa"/>
          </w:tcPr>
          <w:p w14:paraId="1FA849BC" w14:textId="77777777" w:rsidR="00826445" w:rsidRPr="00070870" w:rsidRDefault="00826445" w:rsidP="00070870">
            <w:pPr>
              <w:pStyle w:val="RCTstable"/>
            </w:pPr>
            <w:r w:rsidRPr="00070870">
              <w:t>Cochrane</w:t>
            </w:r>
          </w:p>
        </w:tc>
        <w:tc>
          <w:tcPr>
            <w:tcW w:w="4536" w:type="dxa"/>
          </w:tcPr>
          <w:p w14:paraId="162179FB" w14:textId="77777777" w:rsidR="00826445" w:rsidRPr="00070870" w:rsidRDefault="00826445" w:rsidP="00070870">
            <w:pPr>
              <w:pStyle w:val="RCTstable"/>
            </w:pPr>
            <w:r w:rsidRPr="00070870">
              <w:t xml:space="preserve">((MeSH descriptor: [Pregnancy] explode all trees) </w:t>
            </w:r>
          </w:p>
          <w:p w14:paraId="1D514D01" w14:textId="77777777" w:rsidR="00826445" w:rsidRPr="00070870" w:rsidRDefault="00826445" w:rsidP="00070870">
            <w:pPr>
              <w:pStyle w:val="RCTstable"/>
            </w:pPr>
            <w:r w:rsidRPr="00070870">
              <w:t xml:space="preserve">OR (MeSH descriptor: [Pregnant Women] explode all trees) </w:t>
            </w:r>
          </w:p>
          <w:p w14:paraId="5303E964" w14:textId="77777777" w:rsidR="00826445" w:rsidRPr="00070870" w:rsidRDefault="00826445" w:rsidP="00070870">
            <w:pPr>
              <w:pStyle w:val="RCTstable"/>
            </w:pPr>
            <w:r w:rsidRPr="00070870">
              <w:t xml:space="preserve">OR ‘pregnan*’) </w:t>
            </w:r>
          </w:p>
          <w:p w14:paraId="581D8CD9" w14:textId="77777777" w:rsidR="00826445" w:rsidRPr="00070870" w:rsidRDefault="00826445" w:rsidP="00070870">
            <w:pPr>
              <w:pStyle w:val="RCTstable"/>
            </w:pPr>
            <w:r w:rsidRPr="00070870">
              <w:t>AND</w:t>
            </w:r>
          </w:p>
          <w:p w14:paraId="2DE79ED5" w14:textId="5D70D799" w:rsidR="00826445" w:rsidRPr="00070870" w:rsidRDefault="00826445" w:rsidP="00070870">
            <w:pPr>
              <w:pStyle w:val="RCTstable"/>
            </w:pPr>
            <w:r w:rsidRPr="00070870">
              <w:t>((MeSH descriptor: [Iron] explode all trees) OR (Iron))</w:t>
            </w:r>
          </w:p>
        </w:tc>
        <w:tc>
          <w:tcPr>
            <w:tcW w:w="992" w:type="dxa"/>
          </w:tcPr>
          <w:p w14:paraId="29C52B4C" w14:textId="77777777" w:rsidR="00826445" w:rsidRPr="00070870" w:rsidRDefault="00826445" w:rsidP="00070870">
            <w:pPr>
              <w:pStyle w:val="RCTstable"/>
            </w:pPr>
            <w:r w:rsidRPr="00070870">
              <w:t>Dec 2012 to Dec 2019</w:t>
            </w:r>
          </w:p>
        </w:tc>
        <w:tc>
          <w:tcPr>
            <w:tcW w:w="850" w:type="dxa"/>
          </w:tcPr>
          <w:p w14:paraId="0C1AC064" w14:textId="77777777" w:rsidR="00826445" w:rsidRPr="00070870" w:rsidRDefault="00826445" w:rsidP="00070870">
            <w:pPr>
              <w:pStyle w:val="RCTstable"/>
            </w:pPr>
            <w:r w:rsidRPr="00070870">
              <w:t>Reviews: 77</w:t>
            </w:r>
          </w:p>
          <w:p w14:paraId="795379E1" w14:textId="77777777" w:rsidR="00826445" w:rsidRPr="00070870" w:rsidRDefault="00826445" w:rsidP="00070870">
            <w:pPr>
              <w:pStyle w:val="RCTstable"/>
            </w:pPr>
          </w:p>
        </w:tc>
        <w:tc>
          <w:tcPr>
            <w:tcW w:w="851" w:type="dxa"/>
          </w:tcPr>
          <w:p w14:paraId="1277A21E" w14:textId="77777777" w:rsidR="00826445" w:rsidRPr="00070870" w:rsidRDefault="00826445" w:rsidP="00070870">
            <w:pPr>
              <w:pStyle w:val="RCTstable"/>
            </w:pPr>
            <w:r w:rsidRPr="00070870">
              <w:t>77</w:t>
            </w:r>
          </w:p>
        </w:tc>
        <w:tc>
          <w:tcPr>
            <w:tcW w:w="949" w:type="dxa"/>
          </w:tcPr>
          <w:p w14:paraId="12930E07" w14:textId="77777777" w:rsidR="00826445" w:rsidRPr="00070870" w:rsidRDefault="00826445" w:rsidP="00070870">
            <w:pPr>
              <w:pStyle w:val="RCTstable"/>
            </w:pPr>
            <w:r w:rsidRPr="00070870">
              <w:t>22-July-19</w:t>
            </w:r>
          </w:p>
        </w:tc>
      </w:tr>
    </w:tbl>
    <w:p w14:paraId="5EF6B881" w14:textId="334756F2" w:rsidR="00E441C5" w:rsidRDefault="00344AB2" w:rsidP="00320FB8">
      <w:pPr>
        <w:pStyle w:val="Figure"/>
        <w:spacing w:before="240"/>
        <w:jc w:val="center"/>
      </w:pPr>
      <w:r>
        <w:rPr>
          <w:noProof/>
          <w:lang w:val="en-AU" w:eastAsia="en-AU"/>
        </w:rPr>
        <w:drawing>
          <wp:inline distT="0" distB="0" distL="0" distR="0" wp14:anchorId="52DF51F0" wp14:editId="3EB9459B">
            <wp:extent cx="3745032" cy="483209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ron.png"/>
                    <pic:cNvPicPr/>
                  </pic:nvPicPr>
                  <pic:blipFill>
                    <a:blip r:embed="rId22">
                      <a:extLst>
                        <a:ext uri="{28A0092B-C50C-407E-A947-70E740481C1C}">
                          <a14:useLocalDpi xmlns:a14="http://schemas.microsoft.com/office/drawing/2010/main" val="0"/>
                        </a:ext>
                      </a:extLst>
                    </a:blip>
                    <a:stretch>
                      <a:fillRect/>
                    </a:stretch>
                  </pic:blipFill>
                  <pic:spPr>
                    <a:xfrm>
                      <a:off x="0" y="0"/>
                      <a:ext cx="3758988" cy="4850106"/>
                    </a:xfrm>
                    <a:prstGeom prst="rect">
                      <a:avLst/>
                    </a:prstGeom>
                  </pic:spPr>
                </pic:pic>
              </a:graphicData>
            </a:graphic>
          </wp:inline>
        </w:drawing>
      </w:r>
    </w:p>
    <w:p w14:paraId="34524C81" w14:textId="4D0BF65A" w:rsidR="00826445" w:rsidRDefault="00826445" w:rsidP="00E441C5">
      <w:pPr>
        <w:pStyle w:val="Figurename"/>
      </w:pPr>
      <w:r>
        <w:t>Prisma</w:t>
      </w:r>
      <w:r w:rsidR="00E441C5">
        <w:t xml:space="preserve"> diagram: iron</w:t>
      </w:r>
    </w:p>
    <w:p w14:paraId="796CEDC7" w14:textId="50791DD3" w:rsidR="00BA549B" w:rsidRDefault="00BA549B" w:rsidP="000F3838">
      <w:pPr>
        <w:pStyle w:val="Heading4"/>
        <w:rPr>
          <w:lang w:val="en-AU"/>
        </w:rPr>
      </w:pPr>
      <w:r>
        <w:rPr>
          <w:lang w:val="en-AU"/>
        </w:rPr>
        <w:t>Calcium supplementation</w:t>
      </w:r>
      <w:r w:rsidR="000D04A0">
        <w:t xml:space="preserve"> (research question 3)</w:t>
      </w:r>
    </w:p>
    <w:p w14:paraId="0D777F18" w14:textId="77777777" w:rsidR="009610C6" w:rsidRDefault="009610C6" w:rsidP="009610C6">
      <w:r>
        <w:t>Previous Calcium supplementation in pregnancy Cochrane search date: 30-Sep-2014</w:t>
      </w:r>
    </w:p>
    <w:p w14:paraId="3C537B7C" w14:textId="3FD6576E" w:rsidR="009610C6" w:rsidRPr="009610C6" w:rsidRDefault="00617AA8" w:rsidP="009610C6">
      <w:r>
        <w:t>Buppasiri P, Lumbiganon </w:t>
      </w:r>
      <w:r w:rsidR="009610C6" w:rsidRPr="009610C6">
        <w:t>P, Thinkhamrop  J, Ngamjarus  C, Laopaiboon  M, Medley  N. Calcium supplementation (other than for preventing or treating hypertension) for improving pregnancy and infant outcomes. Cochrane Database of Systematic Reviews 2015, Issue 2. Art. No.: CD007079. DOI: 10.1002/14651858.CD007079.pub3.</w:t>
      </w:r>
    </w:p>
    <w:p w14:paraId="69B50DA0" w14:textId="77777777" w:rsidR="009610C6" w:rsidRDefault="009610C6" w:rsidP="009610C6">
      <w:r>
        <w:t>Synonyms for Calcium;</w:t>
      </w:r>
    </w:p>
    <w:p w14:paraId="61D89B33" w14:textId="77777777" w:rsidR="009610C6" w:rsidRPr="00ED71DC" w:rsidRDefault="009610C6" w:rsidP="009610C6">
      <w:pPr>
        <w:pStyle w:val="bullet"/>
        <w:rPr>
          <w:lang w:eastAsia="en-AU"/>
        </w:rPr>
      </w:pPr>
      <w:r w:rsidRPr="00ED71DC">
        <w:rPr>
          <w:lang w:eastAsia="en-AU"/>
        </w:rPr>
        <w:t>Blood Coagulation Factor IV</w:t>
      </w:r>
    </w:p>
    <w:p w14:paraId="4DC6D8D4" w14:textId="77777777" w:rsidR="009610C6" w:rsidRPr="00ED71DC" w:rsidRDefault="009610C6" w:rsidP="009610C6">
      <w:pPr>
        <w:pStyle w:val="bullet"/>
        <w:rPr>
          <w:lang w:eastAsia="en-AU"/>
        </w:rPr>
      </w:pPr>
      <w:r w:rsidRPr="00ED71DC">
        <w:rPr>
          <w:lang w:eastAsia="en-AU"/>
        </w:rPr>
        <w:t>Coagulation Factor IV</w:t>
      </w:r>
    </w:p>
    <w:p w14:paraId="60792D08" w14:textId="77777777" w:rsidR="009610C6" w:rsidRPr="00ED71DC" w:rsidRDefault="009610C6" w:rsidP="009610C6">
      <w:pPr>
        <w:pStyle w:val="bullet"/>
        <w:rPr>
          <w:lang w:eastAsia="en-AU"/>
        </w:rPr>
      </w:pPr>
      <w:r w:rsidRPr="00ED71DC">
        <w:rPr>
          <w:lang w:eastAsia="en-AU"/>
        </w:rPr>
        <w:t>Factor IV, Coagulation</w:t>
      </w:r>
    </w:p>
    <w:p w14:paraId="23C17AF4" w14:textId="77777777" w:rsidR="009610C6" w:rsidRPr="00ED71DC" w:rsidRDefault="009610C6" w:rsidP="009610C6">
      <w:pPr>
        <w:pStyle w:val="bullet"/>
        <w:rPr>
          <w:lang w:eastAsia="en-AU"/>
        </w:rPr>
      </w:pPr>
      <w:r w:rsidRPr="00ED71DC">
        <w:rPr>
          <w:lang w:eastAsia="en-AU"/>
        </w:rPr>
        <w:t>Calcium-40</w:t>
      </w:r>
    </w:p>
    <w:p w14:paraId="50969D75" w14:textId="77777777" w:rsidR="009610C6" w:rsidRPr="00ED71DC" w:rsidRDefault="009610C6" w:rsidP="009610C6">
      <w:pPr>
        <w:pStyle w:val="bullet"/>
        <w:rPr>
          <w:lang w:eastAsia="en-AU"/>
        </w:rPr>
      </w:pPr>
      <w:r w:rsidRPr="00ED71DC">
        <w:rPr>
          <w:lang w:eastAsia="en-AU"/>
        </w:rPr>
        <w:t>Calcium 40</w:t>
      </w:r>
    </w:p>
    <w:p w14:paraId="3D2381E6" w14:textId="77777777" w:rsidR="009610C6" w:rsidRPr="00ED71DC" w:rsidRDefault="009610C6" w:rsidP="009610C6">
      <w:pPr>
        <w:pStyle w:val="bullet"/>
        <w:rPr>
          <w:lang w:eastAsia="en-AU"/>
        </w:rPr>
      </w:pPr>
      <w:r w:rsidRPr="00ED71DC">
        <w:rPr>
          <w:lang w:eastAsia="en-AU"/>
        </w:rPr>
        <w:t>Factor IV</w:t>
      </w:r>
    </w:p>
    <w:p w14:paraId="163B19B7" w14:textId="77777777" w:rsidR="009610C6" w:rsidRDefault="009610C6" w:rsidP="00513068">
      <w:pPr>
        <w:keepNext/>
        <w:rPr>
          <w:b/>
        </w:rPr>
      </w:pPr>
      <w:r>
        <w:rPr>
          <w:b/>
        </w:rPr>
        <w:t>Current search dates:</w:t>
      </w:r>
    </w:p>
    <w:p w14:paraId="74564E0E" w14:textId="77777777" w:rsidR="009610C6" w:rsidRPr="00196D36" w:rsidRDefault="009610C6" w:rsidP="00513068">
      <w:pPr>
        <w:keepNext/>
      </w:pPr>
      <w:r>
        <w:t>30-Sep-2014-current</w:t>
      </w:r>
    </w:p>
    <w:tbl>
      <w:tblPr>
        <w:tblStyle w:val="TableGrid"/>
        <w:tblW w:w="8756" w:type="dxa"/>
        <w:tblLayout w:type="fixed"/>
        <w:tblLook w:val="04A0" w:firstRow="1" w:lastRow="0" w:firstColumn="1" w:lastColumn="0" w:noHBand="0" w:noVBand="1"/>
      </w:tblPr>
      <w:tblGrid>
        <w:gridCol w:w="892"/>
        <w:gridCol w:w="3868"/>
        <w:gridCol w:w="905"/>
        <w:gridCol w:w="888"/>
        <w:gridCol w:w="749"/>
        <w:gridCol w:w="1454"/>
      </w:tblGrid>
      <w:tr w:rsidR="00070870" w:rsidRPr="00070870" w14:paraId="38C96C64" w14:textId="77777777" w:rsidTr="008E2073">
        <w:trPr>
          <w:tblHeader/>
        </w:trPr>
        <w:tc>
          <w:tcPr>
            <w:tcW w:w="892" w:type="dxa"/>
          </w:tcPr>
          <w:p w14:paraId="2DFD615A" w14:textId="77777777" w:rsidR="009610C6" w:rsidRPr="00070870" w:rsidRDefault="009610C6" w:rsidP="00513068">
            <w:pPr>
              <w:pStyle w:val="RCTstable"/>
              <w:keepNext/>
              <w:rPr>
                <w:b/>
              </w:rPr>
            </w:pPr>
            <w:r w:rsidRPr="00070870">
              <w:rPr>
                <w:b/>
              </w:rPr>
              <w:t>Database</w:t>
            </w:r>
          </w:p>
        </w:tc>
        <w:tc>
          <w:tcPr>
            <w:tcW w:w="3868" w:type="dxa"/>
          </w:tcPr>
          <w:p w14:paraId="6C8C93AF" w14:textId="77777777" w:rsidR="009610C6" w:rsidRPr="00070870" w:rsidRDefault="009610C6" w:rsidP="00513068">
            <w:pPr>
              <w:pStyle w:val="RCTstable"/>
              <w:keepNext/>
              <w:rPr>
                <w:b/>
              </w:rPr>
            </w:pPr>
            <w:r w:rsidRPr="00070870">
              <w:rPr>
                <w:b/>
              </w:rPr>
              <w:t>Search Strategy</w:t>
            </w:r>
          </w:p>
        </w:tc>
        <w:tc>
          <w:tcPr>
            <w:tcW w:w="905" w:type="dxa"/>
          </w:tcPr>
          <w:p w14:paraId="680A802E" w14:textId="77777777" w:rsidR="009610C6" w:rsidRPr="00070870" w:rsidRDefault="009610C6" w:rsidP="00513068">
            <w:pPr>
              <w:pStyle w:val="RCTstable"/>
              <w:keepNext/>
              <w:rPr>
                <w:b/>
              </w:rPr>
            </w:pPr>
            <w:r w:rsidRPr="00070870">
              <w:rPr>
                <w:b/>
              </w:rPr>
              <w:t>Dates Searched</w:t>
            </w:r>
          </w:p>
        </w:tc>
        <w:tc>
          <w:tcPr>
            <w:tcW w:w="888" w:type="dxa"/>
          </w:tcPr>
          <w:p w14:paraId="75E45C38" w14:textId="77777777" w:rsidR="009610C6" w:rsidRPr="00070870" w:rsidRDefault="009610C6" w:rsidP="00513068">
            <w:pPr>
              <w:pStyle w:val="RCTstable"/>
              <w:keepNext/>
              <w:rPr>
                <w:b/>
              </w:rPr>
            </w:pPr>
            <w:r w:rsidRPr="00070870">
              <w:rPr>
                <w:b/>
              </w:rPr>
              <w:t>Limits set</w:t>
            </w:r>
          </w:p>
        </w:tc>
        <w:tc>
          <w:tcPr>
            <w:tcW w:w="749" w:type="dxa"/>
          </w:tcPr>
          <w:p w14:paraId="54B2C5AE" w14:textId="77777777" w:rsidR="009610C6" w:rsidRPr="00070870" w:rsidRDefault="009610C6" w:rsidP="00513068">
            <w:pPr>
              <w:pStyle w:val="RCTstable"/>
              <w:keepNext/>
              <w:rPr>
                <w:b/>
              </w:rPr>
            </w:pPr>
            <w:r w:rsidRPr="00070870">
              <w:rPr>
                <w:b/>
              </w:rPr>
              <w:t>Results</w:t>
            </w:r>
          </w:p>
        </w:tc>
        <w:tc>
          <w:tcPr>
            <w:tcW w:w="1454" w:type="dxa"/>
          </w:tcPr>
          <w:p w14:paraId="69568F6E" w14:textId="77777777" w:rsidR="009610C6" w:rsidRPr="00070870" w:rsidRDefault="009610C6" w:rsidP="00513068">
            <w:pPr>
              <w:pStyle w:val="RCTstable"/>
              <w:keepNext/>
              <w:rPr>
                <w:b/>
              </w:rPr>
            </w:pPr>
            <w:r w:rsidRPr="00070870">
              <w:rPr>
                <w:b/>
              </w:rPr>
              <w:t>Date of search</w:t>
            </w:r>
          </w:p>
        </w:tc>
      </w:tr>
      <w:tr w:rsidR="00070870" w:rsidRPr="00070870" w14:paraId="26576913" w14:textId="77777777" w:rsidTr="008E2073">
        <w:tc>
          <w:tcPr>
            <w:tcW w:w="892" w:type="dxa"/>
          </w:tcPr>
          <w:p w14:paraId="225014B8" w14:textId="77777777" w:rsidR="009610C6" w:rsidRPr="00070870" w:rsidRDefault="009610C6" w:rsidP="00513068">
            <w:pPr>
              <w:pStyle w:val="RCTstable"/>
              <w:keepNext/>
            </w:pPr>
            <w:r w:rsidRPr="00070870">
              <w:t>Pubmed</w:t>
            </w:r>
          </w:p>
        </w:tc>
        <w:tc>
          <w:tcPr>
            <w:tcW w:w="3868" w:type="dxa"/>
          </w:tcPr>
          <w:p w14:paraId="753788E5" w14:textId="77777777" w:rsidR="009610C6" w:rsidRPr="00070870" w:rsidRDefault="009610C6" w:rsidP="00513068">
            <w:pPr>
              <w:pStyle w:val="RCTstable"/>
              <w:keepNext/>
              <w:ind w:right="2213"/>
            </w:pPr>
            <w:r w:rsidRPr="00070870">
              <w:t xml:space="preserve">("pregnancy"[Mesh] OR "pregnan*"[All Fields] OR "prenatal*"[All Fields]) </w:t>
            </w:r>
          </w:p>
          <w:p w14:paraId="6E8B9FEA" w14:textId="77777777" w:rsidR="009610C6" w:rsidRPr="00070870" w:rsidRDefault="009610C6" w:rsidP="00513068">
            <w:pPr>
              <w:pStyle w:val="RCTstable"/>
              <w:keepNext/>
            </w:pPr>
            <w:r w:rsidRPr="00070870">
              <w:t>AND ("Calcium”[Mesh] OR “Calcium”[All Fields]  OR “Factor IV”[All Fields])</w:t>
            </w:r>
          </w:p>
        </w:tc>
        <w:tc>
          <w:tcPr>
            <w:tcW w:w="905" w:type="dxa"/>
          </w:tcPr>
          <w:p w14:paraId="7D82D568" w14:textId="78B1A910" w:rsidR="009610C6" w:rsidRPr="00070870" w:rsidRDefault="009610C6" w:rsidP="00513068">
            <w:pPr>
              <w:pStyle w:val="RCTstable"/>
              <w:keepNext/>
            </w:pPr>
            <w:r w:rsidRPr="00070870">
              <w:t xml:space="preserve">30-Sep-2014 to </w:t>
            </w:r>
            <w:r w:rsidR="00A635C9">
              <w:t>Current</w:t>
            </w:r>
          </w:p>
        </w:tc>
        <w:tc>
          <w:tcPr>
            <w:tcW w:w="888" w:type="dxa"/>
          </w:tcPr>
          <w:p w14:paraId="1F41EB4C" w14:textId="77777777" w:rsidR="009610C6" w:rsidRPr="00070870" w:rsidRDefault="009610C6" w:rsidP="00513068">
            <w:pPr>
              <w:pStyle w:val="RCTstable"/>
              <w:keepNext/>
            </w:pPr>
            <w:r w:rsidRPr="00070870">
              <w:t>Human</w:t>
            </w:r>
          </w:p>
          <w:p w14:paraId="3EEC8778" w14:textId="77777777" w:rsidR="009610C6" w:rsidRPr="00070870" w:rsidRDefault="009610C6" w:rsidP="00513068">
            <w:pPr>
              <w:pStyle w:val="RCTstable"/>
              <w:keepNext/>
            </w:pPr>
            <w:r w:rsidRPr="00070870">
              <w:t>English Language</w:t>
            </w:r>
          </w:p>
        </w:tc>
        <w:tc>
          <w:tcPr>
            <w:tcW w:w="749" w:type="dxa"/>
          </w:tcPr>
          <w:p w14:paraId="1315DDAA" w14:textId="77777777" w:rsidR="009610C6" w:rsidRPr="00070870" w:rsidRDefault="009610C6" w:rsidP="00513068">
            <w:pPr>
              <w:pStyle w:val="RCTstable"/>
              <w:keepNext/>
            </w:pPr>
            <w:r w:rsidRPr="00070870">
              <w:t>723</w:t>
            </w:r>
          </w:p>
        </w:tc>
        <w:tc>
          <w:tcPr>
            <w:tcW w:w="1454" w:type="dxa"/>
          </w:tcPr>
          <w:p w14:paraId="48E578C8" w14:textId="77777777" w:rsidR="009610C6" w:rsidRPr="00070870" w:rsidRDefault="009610C6" w:rsidP="00513068">
            <w:pPr>
              <w:pStyle w:val="RCTstable"/>
              <w:keepNext/>
            </w:pPr>
            <w:r w:rsidRPr="00070870">
              <w:t>1-July-19</w:t>
            </w:r>
          </w:p>
        </w:tc>
      </w:tr>
      <w:tr w:rsidR="00070870" w:rsidRPr="00070870" w14:paraId="46123A19" w14:textId="77777777" w:rsidTr="008E2073">
        <w:tc>
          <w:tcPr>
            <w:tcW w:w="892" w:type="dxa"/>
          </w:tcPr>
          <w:p w14:paraId="0266BE45" w14:textId="77777777" w:rsidR="009610C6" w:rsidRPr="00070870" w:rsidRDefault="009610C6" w:rsidP="00070870">
            <w:pPr>
              <w:pStyle w:val="RCTstable"/>
            </w:pPr>
            <w:r w:rsidRPr="00070870">
              <w:t>Ovid medline</w:t>
            </w:r>
          </w:p>
        </w:tc>
        <w:tc>
          <w:tcPr>
            <w:tcW w:w="3868" w:type="dxa"/>
          </w:tcPr>
          <w:p w14:paraId="3A9E11AB" w14:textId="77777777" w:rsidR="009610C6" w:rsidRPr="00070870" w:rsidRDefault="009610C6" w:rsidP="00070870">
            <w:pPr>
              <w:pStyle w:val="RCTstable"/>
            </w:pPr>
            <w:r w:rsidRPr="00070870">
              <w:t>exp Calcium, Dietary/ or exp Calcium/ OR (Calcium or 'Factor IV').mp.</w:t>
            </w:r>
          </w:p>
          <w:p w14:paraId="5D18943B" w14:textId="77777777" w:rsidR="009610C6" w:rsidRPr="00070870" w:rsidRDefault="009610C6" w:rsidP="00070870">
            <w:pPr>
              <w:pStyle w:val="RCTstable"/>
            </w:pPr>
            <w:r w:rsidRPr="00070870">
              <w:t>AND</w:t>
            </w:r>
          </w:p>
          <w:p w14:paraId="12FB7460" w14:textId="77777777" w:rsidR="009610C6" w:rsidRPr="00070870" w:rsidRDefault="009610C6" w:rsidP="00070870">
            <w:pPr>
              <w:pStyle w:val="RCTstable"/>
            </w:pPr>
            <w:r w:rsidRPr="00070870">
              <w:t>Pregnancy/syn or Pregnan*.mp.</w:t>
            </w:r>
          </w:p>
        </w:tc>
        <w:tc>
          <w:tcPr>
            <w:tcW w:w="905" w:type="dxa"/>
          </w:tcPr>
          <w:p w14:paraId="53AC51A7" w14:textId="77777777" w:rsidR="009610C6" w:rsidRPr="00070870" w:rsidRDefault="009610C6" w:rsidP="00070870">
            <w:pPr>
              <w:pStyle w:val="RCTstable"/>
            </w:pPr>
            <w:r w:rsidRPr="00070870">
              <w:t>2014-Current</w:t>
            </w:r>
          </w:p>
        </w:tc>
        <w:tc>
          <w:tcPr>
            <w:tcW w:w="888" w:type="dxa"/>
          </w:tcPr>
          <w:p w14:paraId="14C55826" w14:textId="77777777" w:rsidR="009610C6" w:rsidRPr="00070870" w:rsidRDefault="009610C6" w:rsidP="00070870">
            <w:pPr>
              <w:pStyle w:val="RCTstable"/>
            </w:pPr>
            <w:r w:rsidRPr="00070870">
              <w:t>English Language</w:t>
            </w:r>
          </w:p>
          <w:p w14:paraId="71D37388" w14:textId="77777777" w:rsidR="009610C6" w:rsidRPr="00070870" w:rsidRDefault="009610C6" w:rsidP="00070870">
            <w:pPr>
              <w:pStyle w:val="RCTstable"/>
            </w:pPr>
            <w:r w:rsidRPr="00070870">
              <w:t>Human</w:t>
            </w:r>
          </w:p>
        </w:tc>
        <w:tc>
          <w:tcPr>
            <w:tcW w:w="749" w:type="dxa"/>
          </w:tcPr>
          <w:p w14:paraId="58041E6B" w14:textId="77777777" w:rsidR="009610C6" w:rsidRPr="00070870" w:rsidRDefault="009610C6" w:rsidP="00070870">
            <w:pPr>
              <w:pStyle w:val="RCTstable"/>
            </w:pPr>
            <w:r w:rsidRPr="00070870">
              <w:t>936</w:t>
            </w:r>
          </w:p>
        </w:tc>
        <w:tc>
          <w:tcPr>
            <w:tcW w:w="1454" w:type="dxa"/>
          </w:tcPr>
          <w:p w14:paraId="310FCC02" w14:textId="77777777" w:rsidR="009610C6" w:rsidRPr="00070870" w:rsidRDefault="009610C6" w:rsidP="00070870">
            <w:pPr>
              <w:pStyle w:val="RCTstable"/>
            </w:pPr>
            <w:r w:rsidRPr="00070870">
              <w:t>2-July-19</w:t>
            </w:r>
          </w:p>
        </w:tc>
      </w:tr>
      <w:tr w:rsidR="00070870" w:rsidRPr="00070870" w14:paraId="7DD0FBF4" w14:textId="77777777" w:rsidTr="008E2073">
        <w:tc>
          <w:tcPr>
            <w:tcW w:w="892" w:type="dxa"/>
          </w:tcPr>
          <w:p w14:paraId="444BB4F6" w14:textId="77777777" w:rsidR="009610C6" w:rsidRPr="00070870" w:rsidRDefault="009610C6" w:rsidP="00070870">
            <w:pPr>
              <w:pStyle w:val="RCTstable"/>
            </w:pPr>
            <w:r w:rsidRPr="00070870">
              <w:t>Embase</w:t>
            </w:r>
          </w:p>
        </w:tc>
        <w:tc>
          <w:tcPr>
            <w:tcW w:w="3868" w:type="dxa"/>
          </w:tcPr>
          <w:p w14:paraId="276A2014" w14:textId="77777777" w:rsidR="009610C6" w:rsidRPr="00070870" w:rsidRDefault="009610C6" w:rsidP="00070870">
            <w:pPr>
              <w:pStyle w:val="RCTstable"/>
            </w:pPr>
            <w:r w:rsidRPr="00070870">
              <w:t xml:space="preserve">('pregnancy'/exp  OR pregnan*) </w:t>
            </w:r>
          </w:p>
          <w:p w14:paraId="2D5D6985" w14:textId="77777777" w:rsidR="009610C6" w:rsidRPr="00070870" w:rsidRDefault="009610C6" w:rsidP="00070870">
            <w:pPr>
              <w:pStyle w:val="RCTstable"/>
            </w:pPr>
            <w:r w:rsidRPr="00070870">
              <w:t xml:space="preserve">AND ('calcium'/exp OR 'factor IV' OR ‘calcium’) </w:t>
            </w:r>
          </w:p>
        </w:tc>
        <w:tc>
          <w:tcPr>
            <w:tcW w:w="905" w:type="dxa"/>
          </w:tcPr>
          <w:p w14:paraId="73A5ED61" w14:textId="77777777" w:rsidR="009610C6" w:rsidRPr="00070870" w:rsidRDefault="009610C6" w:rsidP="00070870">
            <w:pPr>
              <w:pStyle w:val="RCTstable"/>
            </w:pPr>
            <w:r w:rsidRPr="00070870">
              <w:t>2014-2019</w:t>
            </w:r>
          </w:p>
        </w:tc>
        <w:tc>
          <w:tcPr>
            <w:tcW w:w="888" w:type="dxa"/>
          </w:tcPr>
          <w:p w14:paraId="3F9088D1" w14:textId="77777777" w:rsidR="009610C6" w:rsidRPr="00070870" w:rsidRDefault="009610C6" w:rsidP="00070870">
            <w:pPr>
              <w:pStyle w:val="RCTstable"/>
            </w:pPr>
            <w:r w:rsidRPr="00070870">
              <w:t>English Language</w:t>
            </w:r>
          </w:p>
          <w:p w14:paraId="26DD8707" w14:textId="77777777" w:rsidR="009610C6" w:rsidRPr="00070870" w:rsidRDefault="009610C6" w:rsidP="00070870">
            <w:pPr>
              <w:pStyle w:val="RCTstable"/>
            </w:pPr>
            <w:r w:rsidRPr="00070870">
              <w:t>Human</w:t>
            </w:r>
          </w:p>
        </w:tc>
        <w:tc>
          <w:tcPr>
            <w:tcW w:w="749" w:type="dxa"/>
          </w:tcPr>
          <w:p w14:paraId="1B91EDDD" w14:textId="77777777" w:rsidR="009610C6" w:rsidRPr="00070870" w:rsidRDefault="009610C6" w:rsidP="00070870">
            <w:pPr>
              <w:pStyle w:val="RCTstable"/>
            </w:pPr>
            <w:r w:rsidRPr="00070870">
              <w:t>2902</w:t>
            </w:r>
          </w:p>
        </w:tc>
        <w:tc>
          <w:tcPr>
            <w:tcW w:w="1454" w:type="dxa"/>
          </w:tcPr>
          <w:p w14:paraId="485EF45A" w14:textId="77777777" w:rsidR="009610C6" w:rsidRPr="00070870" w:rsidRDefault="009610C6" w:rsidP="00070870">
            <w:pPr>
              <w:pStyle w:val="RCTstable"/>
            </w:pPr>
            <w:r w:rsidRPr="00070870">
              <w:t>2-July-19</w:t>
            </w:r>
          </w:p>
        </w:tc>
      </w:tr>
      <w:tr w:rsidR="00070870" w:rsidRPr="00070870" w14:paraId="51ECDB87" w14:textId="77777777" w:rsidTr="008E2073">
        <w:tc>
          <w:tcPr>
            <w:tcW w:w="892" w:type="dxa"/>
          </w:tcPr>
          <w:p w14:paraId="555EC8FC" w14:textId="77777777" w:rsidR="009610C6" w:rsidRPr="00070870" w:rsidRDefault="009610C6" w:rsidP="00070870">
            <w:pPr>
              <w:pStyle w:val="RCTstable"/>
            </w:pPr>
            <w:r w:rsidRPr="00070870">
              <w:t>CINAHL</w:t>
            </w:r>
          </w:p>
        </w:tc>
        <w:tc>
          <w:tcPr>
            <w:tcW w:w="3868" w:type="dxa"/>
          </w:tcPr>
          <w:p w14:paraId="30514370" w14:textId="77777777" w:rsidR="009610C6" w:rsidRPr="00070870" w:rsidRDefault="009610C6" w:rsidP="00070870">
            <w:pPr>
              <w:pStyle w:val="RCTstable"/>
            </w:pPr>
            <w:r w:rsidRPr="00070870">
              <w:t>(MH "Calcium+") OR ("Calcium") OR ("Factor IV")</w:t>
            </w:r>
          </w:p>
          <w:p w14:paraId="3894FC00" w14:textId="77777777" w:rsidR="009610C6" w:rsidRPr="00070870" w:rsidRDefault="009610C6" w:rsidP="00070870">
            <w:pPr>
              <w:pStyle w:val="RCTstable"/>
            </w:pPr>
            <w:r w:rsidRPr="00070870">
              <w:t>AND</w:t>
            </w:r>
          </w:p>
          <w:p w14:paraId="46945D72" w14:textId="77777777" w:rsidR="009610C6" w:rsidRPr="00070870" w:rsidRDefault="009610C6" w:rsidP="00070870">
            <w:pPr>
              <w:pStyle w:val="RCTstable"/>
            </w:pPr>
            <w:r w:rsidRPr="00070870">
              <w:t>( (MH "Pregnancy+") OR (MH "Pregnancy Trimesters+") OR (MM "Prenatal Nutritional Physiology") OR (MM "Prenatal Exposure Delayed Effects") OR ("Pregnan*") )</w:t>
            </w:r>
          </w:p>
        </w:tc>
        <w:tc>
          <w:tcPr>
            <w:tcW w:w="905" w:type="dxa"/>
          </w:tcPr>
          <w:p w14:paraId="44D1C943" w14:textId="77777777" w:rsidR="009610C6" w:rsidRPr="00070870" w:rsidRDefault="009610C6" w:rsidP="00070870">
            <w:pPr>
              <w:pStyle w:val="RCTstable"/>
            </w:pPr>
            <w:r w:rsidRPr="00070870">
              <w:t>2014-2019</w:t>
            </w:r>
          </w:p>
        </w:tc>
        <w:tc>
          <w:tcPr>
            <w:tcW w:w="888" w:type="dxa"/>
          </w:tcPr>
          <w:p w14:paraId="3F22E9EE" w14:textId="77777777" w:rsidR="009610C6" w:rsidRPr="00070870" w:rsidRDefault="009610C6" w:rsidP="00070870">
            <w:pPr>
              <w:pStyle w:val="RCTstable"/>
            </w:pPr>
            <w:r w:rsidRPr="00070870">
              <w:t>English</w:t>
            </w:r>
          </w:p>
        </w:tc>
        <w:tc>
          <w:tcPr>
            <w:tcW w:w="749" w:type="dxa"/>
          </w:tcPr>
          <w:p w14:paraId="39751A17" w14:textId="77777777" w:rsidR="009610C6" w:rsidRPr="00070870" w:rsidRDefault="009610C6" w:rsidP="00070870">
            <w:pPr>
              <w:pStyle w:val="RCTstable"/>
            </w:pPr>
            <w:r w:rsidRPr="00070870">
              <w:t>1534</w:t>
            </w:r>
          </w:p>
        </w:tc>
        <w:tc>
          <w:tcPr>
            <w:tcW w:w="1454" w:type="dxa"/>
          </w:tcPr>
          <w:p w14:paraId="5C76BAE5" w14:textId="77777777" w:rsidR="009610C6" w:rsidRPr="00070870" w:rsidRDefault="009610C6" w:rsidP="00070870">
            <w:pPr>
              <w:pStyle w:val="RCTstable"/>
            </w:pPr>
            <w:r w:rsidRPr="00070870">
              <w:t>2-July-19</w:t>
            </w:r>
          </w:p>
        </w:tc>
      </w:tr>
      <w:tr w:rsidR="00070870" w:rsidRPr="00070870" w14:paraId="3723B9FB" w14:textId="77777777" w:rsidTr="008E2073">
        <w:tc>
          <w:tcPr>
            <w:tcW w:w="892" w:type="dxa"/>
          </w:tcPr>
          <w:p w14:paraId="06AE98F2" w14:textId="77777777" w:rsidR="009610C6" w:rsidRPr="00070870" w:rsidRDefault="009610C6" w:rsidP="00070870">
            <w:pPr>
              <w:pStyle w:val="RCTstable"/>
            </w:pPr>
            <w:r w:rsidRPr="00070870">
              <w:t>SCOPUS</w:t>
            </w:r>
          </w:p>
        </w:tc>
        <w:tc>
          <w:tcPr>
            <w:tcW w:w="3868" w:type="dxa"/>
          </w:tcPr>
          <w:p w14:paraId="4F66AF48" w14:textId="4E2AA519" w:rsidR="009610C6" w:rsidRPr="00070870" w:rsidRDefault="009610C6" w:rsidP="00070870">
            <w:pPr>
              <w:pStyle w:val="RCTstable"/>
            </w:pPr>
            <w:r w:rsidRPr="00070870">
              <w:t>TITLE-ABS-KEY ( ( ( ( "pregnan*" )  OR  ( prenatal* ) )  AND  ( ( "Calcium" )  OR  ( "Factor"  PRE/0  "IV" ) ) ) )  AND  ( LIMIT-TO ( PUBYEAR ,  2019 )  OR  LIMIT-TO ( PUBYEAR ,  2018 )  OR  LIMIT-TO ( PUBYEAR ,  2017 )  OR  LIMIT-TO ( PUBYEAR ,  2016 )  OR  LIMIT-TO ( PUBYEAR ,  2015 )  OR  LIMIT-TO ( PUBYEAR ,  2014 ) )  AND  ( LIMIT-TO ( LANGUAGE ,  "English" ) )  AND  ( LIMIT-TO ( EXACTKEYWORD ,  "Human" ) ) </w:t>
            </w:r>
          </w:p>
        </w:tc>
        <w:tc>
          <w:tcPr>
            <w:tcW w:w="905" w:type="dxa"/>
          </w:tcPr>
          <w:p w14:paraId="315F417D" w14:textId="77777777" w:rsidR="009610C6" w:rsidRPr="00070870" w:rsidRDefault="009610C6" w:rsidP="00070870">
            <w:pPr>
              <w:pStyle w:val="RCTstable"/>
            </w:pPr>
            <w:r w:rsidRPr="00070870">
              <w:t>2014 - 2019</w:t>
            </w:r>
          </w:p>
        </w:tc>
        <w:tc>
          <w:tcPr>
            <w:tcW w:w="888" w:type="dxa"/>
          </w:tcPr>
          <w:p w14:paraId="2E601434" w14:textId="77777777" w:rsidR="009610C6" w:rsidRPr="00070870" w:rsidRDefault="009610C6" w:rsidP="00070870">
            <w:pPr>
              <w:pStyle w:val="RCTstable"/>
            </w:pPr>
            <w:r w:rsidRPr="00070870">
              <w:t>English</w:t>
            </w:r>
          </w:p>
          <w:p w14:paraId="36F3E6C8" w14:textId="77777777" w:rsidR="009610C6" w:rsidRPr="00070870" w:rsidRDefault="009610C6" w:rsidP="00070870">
            <w:pPr>
              <w:pStyle w:val="RCTstable"/>
            </w:pPr>
            <w:r w:rsidRPr="00070870">
              <w:t>Human</w:t>
            </w:r>
          </w:p>
        </w:tc>
        <w:tc>
          <w:tcPr>
            <w:tcW w:w="749" w:type="dxa"/>
          </w:tcPr>
          <w:p w14:paraId="45E962F8" w14:textId="77777777" w:rsidR="009610C6" w:rsidRPr="00070870" w:rsidRDefault="009610C6" w:rsidP="00070870">
            <w:pPr>
              <w:pStyle w:val="RCTstable"/>
            </w:pPr>
            <w:r w:rsidRPr="00070870">
              <w:t>2332</w:t>
            </w:r>
          </w:p>
        </w:tc>
        <w:tc>
          <w:tcPr>
            <w:tcW w:w="1454" w:type="dxa"/>
          </w:tcPr>
          <w:p w14:paraId="2586958B" w14:textId="77777777" w:rsidR="009610C6" w:rsidRPr="00070870" w:rsidRDefault="009610C6" w:rsidP="00070870">
            <w:pPr>
              <w:pStyle w:val="RCTstable"/>
            </w:pPr>
            <w:r w:rsidRPr="00070870">
              <w:t>2-July-19</w:t>
            </w:r>
          </w:p>
        </w:tc>
      </w:tr>
      <w:tr w:rsidR="00070870" w:rsidRPr="00070870" w14:paraId="6907E05B" w14:textId="77777777" w:rsidTr="008E2073">
        <w:tc>
          <w:tcPr>
            <w:tcW w:w="892" w:type="dxa"/>
          </w:tcPr>
          <w:p w14:paraId="70A2ACC5" w14:textId="77777777" w:rsidR="009610C6" w:rsidRPr="00070870" w:rsidRDefault="009610C6" w:rsidP="00070870">
            <w:pPr>
              <w:pStyle w:val="RCTstable"/>
            </w:pPr>
            <w:r w:rsidRPr="00070870">
              <w:t>Health Infonet</w:t>
            </w:r>
          </w:p>
        </w:tc>
        <w:tc>
          <w:tcPr>
            <w:tcW w:w="3868" w:type="dxa"/>
          </w:tcPr>
          <w:p w14:paraId="2BCAF28F" w14:textId="77777777" w:rsidR="009610C6" w:rsidRPr="00070870" w:rsidRDefault="009610C6" w:rsidP="00070870">
            <w:pPr>
              <w:pStyle w:val="RCTstable"/>
            </w:pPr>
            <w:r w:rsidRPr="00070870">
              <w:t>Calcium – title and abstract</w:t>
            </w:r>
          </w:p>
          <w:p w14:paraId="23C82E7E" w14:textId="77777777" w:rsidR="009610C6" w:rsidRPr="00070870" w:rsidRDefault="009610C6" w:rsidP="00070870">
            <w:pPr>
              <w:pStyle w:val="RCTstable"/>
            </w:pPr>
            <w:r w:rsidRPr="00070870">
              <w:t>Pregnancy - title and abstract</w:t>
            </w:r>
          </w:p>
        </w:tc>
        <w:tc>
          <w:tcPr>
            <w:tcW w:w="905" w:type="dxa"/>
          </w:tcPr>
          <w:p w14:paraId="51AC69BF" w14:textId="77777777" w:rsidR="009610C6" w:rsidRPr="00070870" w:rsidRDefault="009610C6" w:rsidP="00070870">
            <w:pPr>
              <w:pStyle w:val="RCTstable"/>
            </w:pPr>
            <w:r w:rsidRPr="00070870">
              <w:t>2014-current = 0</w:t>
            </w:r>
          </w:p>
          <w:p w14:paraId="5E619349" w14:textId="77777777" w:rsidR="009610C6" w:rsidRPr="00070870" w:rsidRDefault="009610C6" w:rsidP="00070870">
            <w:pPr>
              <w:pStyle w:val="RCTstable"/>
            </w:pPr>
            <w:r w:rsidRPr="00070870">
              <w:t>(1 in 2013)</w:t>
            </w:r>
          </w:p>
          <w:p w14:paraId="605C3B9F" w14:textId="77777777" w:rsidR="009610C6" w:rsidRPr="00070870" w:rsidRDefault="009610C6" w:rsidP="00070870">
            <w:pPr>
              <w:pStyle w:val="RCTstable"/>
            </w:pPr>
          </w:p>
        </w:tc>
        <w:tc>
          <w:tcPr>
            <w:tcW w:w="888" w:type="dxa"/>
          </w:tcPr>
          <w:p w14:paraId="4D683660" w14:textId="77777777" w:rsidR="009610C6" w:rsidRPr="00070870" w:rsidRDefault="009610C6" w:rsidP="00070870">
            <w:pPr>
              <w:pStyle w:val="RCTstable"/>
            </w:pPr>
            <w:r w:rsidRPr="00070870">
              <w:t>None</w:t>
            </w:r>
          </w:p>
        </w:tc>
        <w:tc>
          <w:tcPr>
            <w:tcW w:w="749" w:type="dxa"/>
          </w:tcPr>
          <w:p w14:paraId="31FAE521" w14:textId="77777777" w:rsidR="009610C6" w:rsidRPr="00070870" w:rsidRDefault="009610C6" w:rsidP="00070870">
            <w:pPr>
              <w:pStyle w:val="RCTstable"/>
            </w:pPr>
            <w:r w:rsidRPr="00070870">
              <w:t>0</w:t>
            </w:r>
          </w:p>
        </w:tc>
        <w:tc>
          <w:tcPr>
            <w:tcW w:w="1454" w:type="dxa"/>
          </w:tcPr>
          <w:p w14:paraId="0134FE2E" w14:textId="77777777" w:rsidR="009610C6" w:rsidRPr="00070870" w:rsidRDefault="009610C6" w:rsidP="00070870">
            <w:pPr>
              <w:pStyle w:val="RCTstable"/>
            </w:pPr>
            <w:r w:rsidRPr="00070870">
              <w:t>2-July-19</w:t>
            </w:r>
          </w:p>
        </w:tc>
      </w:tr>
      <w:tr w:rsidR="00070870" w:rsidRPr="00070870" w14:paraId="5FFECB1E" w14:textId="77777777" w:rsidTr="008E2073">
        <w:tc>
          <w:tcPr>
            <w:tcW w:w="892" w:type="dxa"/>
          </w:tcPr>
          <w:p w14:paraId="6E37055C" w14:textId="77777777" w:rsidR="009610C6" w:rsidRPr="00070870" w:rsidRDefault="009610C6" w:rsidP="00070870">
            <w:pPr>
              <w:pStyle w:val="RCTstable"/>
            </w:pPr>
            <w:r w:rsidRPr="00070870">
              <w:t>Cochrane</w:t>
            </w:r>
          </w:p>
        </w:tc>
        <w:tc>
          <w:tcPr>
            <w:tcW w:w="3868" w:type="dxa"/>
          </w:tcPr>
          <w:p w14:paraId="4FD57ADB" w14:textId="77777777" w:rsidR="009610C6" w:rsidRPr="00070870" w:rsidRDefault="009610C6" w:rsidP="00070870">
            <w:pPr>
              <w:pStyle w:val="RCTstable"/>
            </w:pPr>
            <w:r w:rsidRPr="00070870">
              <w:t xml:space="preserve">((MeSH descriptor: [Pregnancy] explode all trees) </w:t>
            </w:r>
          </w:p>
          <w:p w14:paraId="4BD6F4B5" w14:textId="77777777" w:rsidR="009610C6" w:rsidRPr="00070870" w:rsidRDefault="009610C6" w:rsidP="00070870">
            <w:pPr>
              <w:pStyle w:val="RCTstable"/>
            </w:pPr>
            <w:r w:rsidRPr="00070870">
              <w:t xml:space="preserve">OR (MeSH descriptor: [Pregnant Women] explode all trees) </w:t>
            </w:r>
          </w:p>
          <w:p w14:paraId="107692BB" w14:textId="77777777" w:rsidR="009610C6" w:rsidRPr="00070870" w:rsidRDefault="009610C6" w:rsidP="00070870">
            <w:pPr>
              <w:pStyle w:val="RCTstable"/>
            </w:pPr>
            <w:r w:rsidRPr="00070870">
              <w:t xml:space="preserve">OR ‘pregnan*’) </w:t>
            </w:r>
          </w:p>
          <w:p w14:paraId="2FE7D4A5" w14:textId="77777777" w:rsidR="009610C6" w:rsidRPr="00070870" w:rsidRDefault="009610C6" w:rsidP="00070870">
            <w:pPr>
              <w:pStyle w:val="RCTstable"/>
            </w:pPr>
            <w:r w:rsidRPr="00070870">
              <w:t>AND</w:t>
            </w:r>
          </w:p>
          <w:p w14:paraId="6BD58712" w14:textId="77777777" w:rsidR="009610C6" w:rsidRPr="00070870" w:rsidRDefault="009610C6" w:rsidP="00070870">
            <w:pPr>
              <w:pStyle w:val="RCTstable"/>
            </w:pPr>
            <w:r w:rsidRPr="00070870">
              <w:t>((MeSH descriptor: [Calcium] explode all trees) OR Calcium OR (Factor IV))</w:t>
            </w:r>
          </w:p>
        </w:tc>
        <w:tc>
          <w:tcPr>
            <w:tcW w:w="905" w:type="dxa"/>
          </w:tcPr>
          <w:p w14:paraId="79ABA22A" w14:textId="77777777" w:rsidR="009610C6" w:rsidRPr="00070870" w:rsidRDefault="009610C6" w:rsidP="00070870">
            <w:pPr>
              <w:pStyle w:val="RCTstable"/>
            </w:pPr>
            <w:r w:rsidRPr="00070870">
              <w:t>Dec 2014 to Dec 2019</w:t>
            </w:r>
          </w:p>
        </w:tc>
        <w:tc>
          <w:tcPr>
            <w:tcW w:w="888" w:type="dxa"/>
          </w:tcPr>
          <w:p w14:paraId="4879235D" w14:textId="77777777" w:rsidR="009610C6" w:rsidRPr="00070870" w:rsidRDefault="009610C6" w:rsidP="00070870">
            <w:pPr>
              <w:pStyle w:val="RCTstable"/>
            </w:pPr>
            <w:r w:rsidRPr="00070870">
              <w:t>Reviews: 221</w:t>
            </w:r>
          </w:p>
        </w:tc>
        <w:tc>
          <w:tcPr>
            <w:tcW w:w="749" w:type="dxa"/>
          </w:tcPr>
          <w:p w14:paraId="6A4E753C" w14:textId="77777777" w:rsidR="009610C6" w:rsidRPr="00070870" w:rsidRDefault="009610C6" w:rsidP="00070870">
            <w:pPr>
              <w:pStyle w:val="RCTstable"/>
            </w:pPr>
            <w:r w:rsidRPr="00070870">
              <w:t>221</w:t>
            </w:r>
          </w:p>
        </w:tc>
        <w:tc>
          <w:tcPr>
            <w:tcW w:w="1454" w:type="dxa"/>
          </w:tcPr>
          <w:p w14:paraId="5EF45F74" w14:textId="77777777" w:rsidR="009610C6" w:rsidRPr="00070870" w:rsidRDefault="009610C6" w:rsidP="00070870">
            <w:pPr>
              <w:pStyle w:val="RCTstable"/>
            </w:pPr>
            <w:r w:rsidRPr="00070870">
              <w:t>2-July-19</w:t>
            </w:r>
          </w:p>
        </w:tc>
      </w:tr>
    </w:tbl>
    <w:p w14:paraId="5A737D5D" w14:textId="7C214DF6" w:rsidR="00317EA1" w:rsidRDefault="00317EA1" w:rsidP="00320FB8">
      <w:pPr>
        <w:pStyle w:val="Figure"/>
        <w:spacing w:before="240"/>
        <w:jc w:val="center"/>
      </w:pPr>
      <w:r>
        <w:rPr>
          <w:noProof/>
          <w:lang w:val="en-AU" w:eastAsia="en-AU"/>
        </w:rPr>
        <w:drawing>
          <wp:inline distT="0" distB="0" distL="0" distR="0" wp14:anchorId="24B8D2D3" wp14:editId="75673A1A">
            <wp:extent cx="3795436" cy="495701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lcium.png"/>
                    <pic:cNvPicPr/>
                  </pic:nvPicPr>
                  <pic:blipFill>
                    <a:blip r:embed="rId23">
                      <a:extLst>
                        <a:ext uri="{28A0092B-C50C-407E-A947-70E740481C1C}">
                          <a14:useLocalDpi xmlns:a14="http://schemas.microsoft.com/office/drawing/2010/main" val="0"/>
                        </a:ext>
                      </a:extLst>
                    </a:blip>
                    <a:stretch>
                      <a:fillRect/>
                    </a:stretch>
                  </pic:blipFill>
                  <pic:spPr>
                    <a:xfrm>
                      <a:off x="0" y="0"/>
                      <a:ext cx="3818736" cy="4987443"/>
                    </a:xfrm>
                    <a:prstGeom prst="rect">
                      <a:avLst/>
                    </a:prstGeom>
                  </pic:spPr>
                </pic:pic>
              </a:graphicData>
            </a:graphic>
          </wp:inline>
        </w:drawing>
      </w:r>
    </w:p>
    <w:p w14:paraId="37CAA500" w14:textId="77777777" w:rsidR="00317EA1" w:rsidRDefault="00317EA1" w:rsidP="00317EA1">
      <w:pPr>
        <w:pStyle w:val="Figurename"/>
      </w:pPr>
      <w:r>
        <w:t>PRISMA diagram: Calcium</w:t>
      </w:r>
    </w:p>
    <w:p w14:paraId="27E6F854" w14:textId="517A1A5E" w:rsidR="00BA549B" w:rsidRDefault="00BA549B" w:rsidP="000F3838">
      <w:pPr>
        <w:pStyle w:val="Heading4"/>
        <w:rPr>
          <w:lang w:val="en-AU"/>
        </w:rPr>
      </w:pPr>
      <w:r>
        <w:rPr>
          <w:lang w:val="en-AU"/>
        </w:rPr>
        <w:t>Iodine supplementation</w:t>
      </w:r>
      <w:r w:rsidR="000D04A0">
        <w:t xml:space="preserve"> (research question 3)</w:t>
      </w:r>
    </w:p>
    <w:p w14:paraId="611F7C75" w14:textId="77777777" w:rsidR="00170EC6" w:rsidRDefault="00170EC6" w:rsidP="00170EC6">
      <w:r>
        <w:t>Previous Iodine supplementation in pregnancy Cochrane review search date: 17 November 2016</w:t>
      </w:r>
    </w:p>
    <w:p w14:paraId="01211C07" w14:textId="48D53CF5" w:rsidR="00170EC6" w:rsidRPr="00DD3A8C" w:rsidRDefault="00170EC6" w:rsidP="00170EC6">
      <w:r>
        <w:t>Citation: Harding KB, Peña-Rosas JP, Webster AC, Yap CMY, Payne BA, Ota E, De-Regil LM. Iodine supplementation for women during the preconception, pregnancy and postpartum period. Cochrane Database of Systematic Reviews 2017, Issue 3. Art. No.: CD011761</w:t>
      </w:r>
    </w:p>
    <w:p w14:paraId="2F2690CC" w14:textId="35FF1665" w:rsidR="00170EC6" w:rsidRPr="00170EC6" w:rsidRDefault="00170EC6" w:rsidP="00170EC6">
      <w:pPr>
        <w:rPr>
          <w:b/>
        </w:rPr>
      </w:pPr>
      <w:r>
        <w:rPr>
          <w:b/>
        </w:rPr>
        <w:t xml:space="preserve">Current search dates: </w:t>
      </w:r>
      <w:r>
        <w:t>18-Nov-2016-current</w:t>
      </w:r>
    </w:p>
    <w:tbl>
      <w:tblPr>
        <w:tblStyle w:val="TableGrid"/>
        <w:tblW w:w="0" w:type="auto"/>
        <w:tblLook w:val="04A0" w:firstRow="1" w:lastRow="0" w:firstColumn="1" w:lastColumn="0" w:noHBand="0" w:noVBand="1"/>
      </w:tblPr>
      <w:tblGrid>
        <w:gridCol w:w="995"/>
        <w:gridCol w:w="4541"/>
        <w:gridCol w:w="1012"/>
        <w:gridCol w:w="995"/>
        <w:gridCol w:w="749"/>
        <w:gridCol w:w="988"/>
      </w:tblGrid>
      <w:tr w:rsidR="00170EC6" w:rsidRPr="00170EC6" w14:paraId="69FD6370" w14:textId="77777777" w:rsidTr="00170EC6">
        <w:tc>
          <w:tcPr>
            <w:tcW w:w="995" w:type="dxa"/>
          </w:tcPr>
          <w:p w14:paraId="758DAD42"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Database</w:t>
            </w:r>
          </w:p>
        </w:tc>
        <w:tc>
          <w:tcPr>
            <w:tcW w:w="4541" w:type="dxa"/>
          </w:tcPr>
          <w:p w14:paraId="573CC44C"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Search Strategy</w:t>
            </w:r>
          </w:p>
        </w:tc>
        <w:tc>
          <w:tcPr>
            <w:tcW w:w="1012" w:type="dxa"/>
          </w:tcPr>
          <w:p w14:paraId="5143733F"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Dates Searched</w:t>
            </w:r>
          </w:p>
        </w:tc>
        <w:tc>
          <w:tcPr>
            <w:tcW w:w="995" w:type="dxa"/>
          </w:tcPr>
          <w:p w14:paraId="23A91759"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Limits set</w:t>
            </w:r>
          </w:p>
        </w:tc>
        <w:tc>
          <w:tcPr>
            <w:tcW w:w="749" w:type="dxa"/>
          </w:tcPr>
          <w:p w14:paraId="28F1748B"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Results</w:t>
            </w:r>
          </w:p>
        </w:tc>
        <w:tc>
          <w:tcPr>
            <w:tcW w:w="988" w:type="dxa"/>
          </w:tcPr>
          <w:p w14:paraId="5210CFB6"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Date of search</w:t>
            </w:r>
          </w:p>
        </w:tc>
      </w:tr>
      <w:tr w:rsidR="00170EC6" w:rsidRPr="00170EC6" w14:paraId="04CE208B" w14:textId="77777777" w:rsidTr="00170EC6">
        <w:tc>
          <w:tcPr>
            <w:tcW w:w="995" w:type="dxa"/>
          </w:tcPr>
          <w:p w14:paraId="38DCB63A"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Pubmed</w:t>
            </w:r>
          </w:p>
        </w:tc>
        <w:tc>
          <w:tcPr>
            <w:tcW w:w="4541" w:type="dxa"/>
          </w:tcPr>
          <w:p w14:paraId="06479030" w14:textId="77777777" w:rsidR="00170EC6" w:rsidRPr="00170EC6" w:rsidRDefault="00170EC6" w:rsidP="00170EC6">
            <w:pPr>
              <w:spacing w:line="200" w:lineRule="exact"/>
              <w:rPr>
                <w:rFonts w:cstheme="minorHAnsi"/>
                <w:sz w:val="16"/>
                <w:szCs w:val="16"/>
              </w:rPr>
            </w:pPr>
            <w:r w:rsidRPr="00170EC6">
              <w:rPr>
                <w:rFonts w:cstheme="minorHAnsi"/>
                <w:sz w:val="16"/>
                <w:szCs w:val="16"/>
              </w:rPr>
              <w:t xml:space="preserve">("pregnancy"[MeSH Terms] OR "pregnan*"[All Fields] OR "prenatal*"[All Fields]) </w:t>
            </w:r>
          </w:p>
          <w:p w14:paraId="02732EFF" w14:textId="77777777" w:rsidR="00170EC6" w:rsidRPr="00170EC6" w:rsidRDefault="00170EC6" w:rsidP="00170EC6">
            <w:pPr>
              <w:spacing w:line="200" w:lineRule="exact"/>
              <w:rPr>
                <w:rFonts w:cstheme="minorHAnsi"/>
                <w:sz w:val="16"/>
                <w:szCs w:val="16"/>
              </w:rPr>
            </w:pPr>
            <w:r w:rsidRPr="00170EC6">
              <w:rPr>
                <w:rFonts w:cstheme="minorHAnsi"/>
                <w:sz w:val="16"/>
                <w:szCs w:val="16"/>
              </w:rPr>
              <w:t xml:space="preserve">AND ("iodine"[MeSH Terms] OR "iodine"[All Fields]) </w:t>
            </w:r>
          </w:p>
        </w:tc>
        <w:tc>
          <w:tcPr>
            <w:tcW w:w="1012" w:type="dxa"/>
          </w:tcPr>
          <w:p w14:paraId="17DEB0E6" w14:textId="77777777" w:rsidR="00170EC6" w:rsidRPr="00170EC6" w:rsidRDefault="00170EC6" w:rsidP="00170EC6">
            <w:pPr>
              <w:spacing w:line="200" w:lineRule="exact"/>
              <w:rPr>
                <w:rFonts w:cstheme="minorHAnsi"/>
                <w:sz w:val="16"/>
                <w:szCs w:val="16"/>
              </w:rPr>
            </w:pPr>
            <w:r w:rsidRPr="00170EC6">
              <w:rPr>
                <w:rFonts w:cstheme="minorHAnsi"/>
                <w:sz w:val="16"/>
                <w:szCs w:val="16"/>
              </w:rPr>
              <w:t>18-Nov-2016 to 31-Dec-2019</w:t>
            </w:r>
          </w:p>
        </w:tc>
        <w:tc>
          <w:tcPr>
            <w:tcW w:w="995" w:type="dxa"/>
          </w:tcPr>
          <w:p w14:paraId="55352D3D" w14:textId="77777777" w:rsidR="00170EC6" w:rsidRPr="00170EC6" w:rsidRDefault="00170EC6" w:rsidP="00170EC6">
            <w:pPr>
              <w:spacing w:line="200" w:lineRule="exact"/>
              <w:rPr>
                <w:rFonts w:cstheme="minorHAnsi"/>
                <w:sz w:val="16"/>
                <w:szCs w:val="16"/>
              </w:rPr>
            </w:pPr>
            <w:r w:rsidRPr="00170EC6">
              <w:rPr>
                <w:rFonts w:cstheme="minorHAnsi"/>
                <w:sz w:val="16"/>
                <w:szCs w:val="16"/>
              </w:rPr>
              <w:t>Human</w:t>
            </w:r>
          </w:p>
        </w:tc>
        <w:tc>
          <w:tcPr>
            <w:tcW w:w="749" w:type="dxa"/>
          </w:tcPr>
          <w:p w14:paraId="74156B27"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138</w:t>
            </w:r>
          </w:p>
        </w:tc>
        <w:tc>
          <w:tcPr>
            <w:tcW w:w="988" w:type="dxa"/>
          </w:tcPr>
          <w:p w14:paraId="74BCA9E1"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r w:rsidR="00170EC6" w:rsidRPr="00170EC6" w14:paraId="0826A487" w14:textId="77777777" w:rsidTr="00170EC6">
        <w:tc>
          <w:tcPr>
            <w:tcW w:w="995" w:type="dxa"/>
          </w:tcPr>
          <w:p w14:paraId="72C31516"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Ovid medline</w:t>
            </w:r>
          </w:p>
        </w:tc>
        <w:tc>
          <w:tcPr>
            <w:tcW w:w="4541" w:type="dxa"/>
          </w:tcPr>
          <w:p w14:paraId="410CEDB8" w14:textId="77777777" w:rsidR="00170EC6" w:rsidRPr="00170EC6" w:rsidRDefault="00170EC6" w:rsidP="00170EC6">
            <w:pPr>
              <w:spacing w:line="200" w:lineRule="exact"/>
              <w:rPr>
                <w:rFonts w:cstheme="minorHAnsi"/>
                <w:sz w:val="16"/>
                <w:szCs w:val="16"/>
                <w:shd w:val="clear" w:color="auto" w:fill="FFFFFF"/>
              </w:rPr>
            </w:pPr>
            <w:r w:rsidRPr="00170EC6">
              <w:rPr>
                <w:rFonts w:cstheme="minorHAnsi"/>
                <w:sz w:val="16"/>
                <w:szCs w:val="16"/>
                <w:shd w:val="clear" w:color="auto" w:fill="FFFFFF"/>
              </w:rPr>
              <w:t>(Pregnancy/syn or Pregnan*.mp.) and iodine.mp.</w:t>
            </w:r>
          </w:p>
        </w:tc>
        <w:tc>
          <w:tcPr>
            <w:tcW w:w="1012" w:type="dxa"/>
          </w:tcPr>
          <w:p w14:paraId="28088815" w14:textId="77777777" w:rsidR="00170EC6" w:rsidRPr="00170EC6" w:rsidRDefault="00170EC6" w:rsidP="00170EC6">
            <w:pPr>
              <w:spacing w:line="200" w:lineRule="exact"/>
              <w:rPr>
                <w:rFonts w:cstheme="minorHAnsi"/>
                <w:sz w:val="16"/>
                <w:szCs w:val="16"/>
              </w:rPr>
            </w:pPr>
            <w:r w:rsidRPr="00170EC6">
              <w:rPr>
                <w:rFonts w:cstheme="minorHAnsi"/>
                <w:sz w:val="16"/>
                <w:szCs w:val="16"/>
              </w:rPr>
              <w:t>2016-Current</w:t>
            </w:r>
          </w:p>
        </w:tc>
        <w:tc>
          <w:tcPr>
            <w:tcW w:w="995" w:type="dxa"/>
          </w:tcPr>
          <w:p w14:paraId="6A59581B" w14:textId="77777777" w:rsidR="00170EC6" w:rsidRPr="00170EC6" w:rsidRDefault="00170EC6" w:rsidP="00170EC6">
            <w:pPr>
              <w:spacing w:line="200" w:lineRule="exact"/>
              <w:rPr>
                <w:rFonts w:cstheme="minorHAnsi"/>
                <w:sz w:val="16"/>
                <w:szCs w:val="16"/>
              </w:rPr>
            </w:pPr>
            <w:r w:rsidRPr="00170EC6">
              <w:rPr>
                <w:rFonts w:cstheme="minorHAnsi"/>
                <w:sz w:val="16"/>
                <w:szCs w:val="16"/>
              </w:rPr>
              <w:t>English Language</w:t>
            </w:r>
          </w:p>
          <w:p w14:paraId="0095F2C8" w14:textId="77777777" w:rsidR="00170EC6" w:rsidRPr="00170EC6" w:rsidRDefault="00170EC6" w:rsidP="00170EC6">
            <w:pPr>
              <w:spacing w:line="200" w:lineRule="exact"/>
              <w:rPr>
                <w:rFonts w:cstheme="minorHAnsi"/>
                <w:sz w:val="16"/>
                <w:szCs w:val="16"/>
              </w:rPr>
            </w:pPr>
            <w:r w:rsidRPr="00170EC6">
              <w:rPr>
                <w:rFonts w:cstheme="minorHAnsi"/>
                <w:sz w:val="16"/>
                <w:szCs w:val="16"/>
              </w:rPr>
              <w:t>Human</w:t>
            </w:r>
          </w:p>
        </w:tc>
        <w:tc>
          <w:tcPr>
            <w:tcW w:w="749" w:type="dxa"/>
          </w:tcPr>
          <w:p w14:paraId="138F9682"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242</w:t>
            </w:r>
          </w:p>
        </w:tc>
        <w:tc>
          <w:tcPr>
            <w:tcW w:w="988" w:type="dxa"/>
          </w:tcPr>
          <w:p w14:paraId="068DC762"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r w:rsidR="00170EC6" w:rsidRPr="00170EC6" w14:paraId="2B4F5280" w14:textId="77777777" w:rsidTr="00170EC6">
        <w:tc>
          <w:tcPr>
            <w:tcW w:w="995" w:type="dxa"/>
          </w:tcPr>
          <w:p w14:paraId="4D82876D"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Embase</w:t>
            </w:r>
          </w:p>
        </w:tc>
        <w:tc>
          <w:tcPr>
            <w:tcW w:w="4541" w:type="dxa"/>
          </w:tcPr>
          <w:p w14:paraId="23924185" w14:textId="77777777" w:rsidR="00170EC6" w:rsidRPr="00170EC6" w:rsidRDefault="00170EC6" w:rsidP="00170EC6">
            <w:pPr>
              <w:spacing w:line="200" w:lineRule="exact"/>
              <w:rPr>
                <w:rFonts w:cstheme="minorHAnsi"/>
                <w:sz w:val="16"/>
                <w:szCs w:val="16"/>
              </w:rPr>
            </w:pPr>
            <w:r w:rsidRPr="00170EC6">
              <w:rPr>
                <w:rFonts w:cstheme="minorHAnsi"/>
                <w:sz w:val="16"/>
                <w:szCs w:val="16"/>
              </w:rPr>
              <w:t xml:space="preserve">('pregnancy'/exp  OR pregnan*) </w:t>
            </w:r>
          </w:p>
          <w:p w14:paraId="3CE8501A" w14:textId="77777777" w:rsidR="00170EC6" w:rsidRPr="00170EC6" w:rsidRDefault="00170EC6" w:rsidP="00170EC6">
            <w:pPr>
              <w:spacing w:line="200" w:lineRule="exact"/>
              <w:rPr>
                <w:rFonts w:cstheme="minorHAnsi"/>
                <w:sz w:val="16"/>
                <w:szCs w:val="16"/>
              </w:rPr>
            </w:pPr>
            <w:r w:rsidRPr="00170EC6">
              <w:rPr>
                <w:rFonts w:cstheme="minorHAnsi"/>
                <w:sz w:val="16"/>
                <w:szCs w:val="16"/>
              </w:rPr>
              <w:t xml:space="preserve">AND (iodine OR ‘iodine’/exp) </w:t>
            </w:r>
          </w:p>
          <w:p w14:paraId="3755C58B" w14:textId="77777777" w:rsidR="00170EC6" w:rsidRPr="00170EC6" w:rsidRDefault="00170EC6" w:rsidP="00170EC6">
            <w:pPr>
              <w:spacing w:line="200" w:lineRule="exact"/>
              <w:rPr>
                <w:rFonts w:cstheme="minorHAnsi"/>
                <w:sz w:val="16"/>
                <w:szCs w:val="16"/>
              </w:rPr>
            </w:pPr>
            <w:r w:rsidRPr="00170EC6">
              <w:rPr>
                <w:rFonts w:cstheme="minorHAnsi"/>
                <w:sz w:val="16"/>
                <w:szCs w:val="16"/>
              </w:rPr>
              <w:t>NOT ('radioactive iodine' OR 'povidone iodine')</w:t>
            </w:r>
          </w:p>
        </w:tc>
        <w:tc>
          <w:tcPr>
            <w:tcW w:w="1012" w:type="dxa"/>
          </w:tcPr>
          <w:p w14:paraId="70884600" w14:textId="77777777" w:rsidR="00170EC6" w:rsidRPr="00170EC6" w:rsidRDefault="00170EC6" w:rsidP="00170EC6">
            <w:pPr>
              <w:spacing w:line="200" w:lineRule="exact"/>
              <w:rPr>
                <w:rFonts w:cstheme="minorHAnsi"/>
                <w:sz w:val="16"/>
                <w:szCs w:val="16"/>
              </w:rPr>
            </w:pPr>
            <w:r w:rsidRPr="00170EC6">
              <w:rPr>
                <w:rFonts w:cstheme="minorHAnsi"/>
                <w:sz w:val="16"/>
                <w:szCs w:val="16"/>
              </w:rPr>
              <w:t>2016-2019</w:t>
            </w:r>
          </w:p>
        </w:tc>
        <w:tc>
          <w:tcPr>
            <w:tcW w:w="995" w:type="dxa"/>
          </w:tcPr>
          <w:p w14:paraId="36F26C68" w14:textId="77777777" w:rsidR="00170EC6" w:rsidRPr="00170EC6" w:rsidRDefault="00170EC6" w:rsidP="00170EC6">
            <w:pPr>
              <w:spacing w:line="200" w:lineRule="exact"/>
              <w:rPr>
                <w:rFonts w:cstheme="minorHAnsi"/>
                <w:sz w:val="16"/>
                <w:szCs w:val="16"/>
              </w:rPr>
            </w:pPr>
            <w:r w:rsidRPr="00170EC6">
              <w:rPr>
                <w:rFonts w:cstheme="minorHAnsi"/>
                <w:sz w:val="16"/>
                <w:szCs w:val="16"/>
              </w:rPr>
              <w:t>English Language</w:t>
            </w:r>
          </w:p>
          <w:p w14:paraId="0D3595BF" w14:textId="77777777" w:rsidR="00170EC6" w:rsidRPr="00170EC6" w:rsidRDefault="00170EC6" w:rsidP="00170EC6">
            <w:pPr>
              <w:spacing w:line="200" w:lineRule="exact"/>
              <w:rPr>
                <w:rFonts w:cstheme="minorHAnsi"/>
                <w:sz w:val="16"/>
                <w:szCs w:val="16"/>
              </w:rPr>
            </w:pPr>
            <w:r w:rsidRPr="00170EC6">
              <w:rPr>
                <w:rFonts w:cstheme="minorHAnsi"/>
                <w:sz w:val="16"/>
                <w:szCs w:val="16"/>
              </w:rPr>
              <w:t>Human</w:t>
            </w:r>
          </w:p>
        </w:tc>
        <w:tc>
          <w:tcPr>
            <w:tcW w:w="749" w:type="dxa"/>
          </w:tcPr>
          <w:p w14:paraId="5BBE6A32"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574</w:t>
            </w:r>
          </w:p>
        </w:tc>
        <w:tc>
          <w:tcPr>
            <w:tcW w:w="988" w:type="dxa"/>
          </w:tcPr>
          <w:p w14:paraId="32FCE7A4"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r w:rsidR="00170EC6" w:rsidRPr="00170EC6" w14:paraId="17C73246" w14:textId="77777777" w:rsidTr="00170EC6">
        <w:tc>
          <w:tcPr>
            <w:tcW w:w="995" w:type="dxa"/>
          </w:tcPr>
          <w:p w14:paraId="1D1CBCC3"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CINAHL</w:t>
            </w:r>
          </w:p>
        </w:tc>
        <w:tc>
          <w:tcPr>
            <w:tcW w:w="4541" w:type="dxa"/>
          </w:tcPr>
          <w:p w14:paraId="72824A85" w14:textId="77777777" w:rsidR="00170EC6" w:rsidRPr="00170EC6" w:rsidRDefault="00170EC6" w:rsidP="00170EC6">
            <w:pPr>
              <w:spacing w:line="200" w:lineRule="exact"/>
              <w:rPr>
                <w:rFonts w:cstheme="minorHAnsi"/>
                <w:sz w:val="16"/>
                <w:szCs w:val="16"/>
                <w:bdr w:val="none" w:sz="0" w:space="0" w:color="auto" w:frame="1"/>
                <w:shd w:val="clear" w:color="auto" w:fill="FFFFFF"/>
              </w:rPr>
            </w:pPr>
            <w:r w:rsidRPr="00170EC6">
              <w:rPr>
                <w:rFonts w:cstheme="minorHAnsi"/>
                <w:sz w:val="16"/>
                <w:szCs w:val="16"/>
                <w:bdr w:val="none" w:sz="0" w:space="0" w:color="auto" w:frame="1"/>
                <w:shd w:val="clear" w:color="auto" w:fill="FFFFFF"/>
              </w:rPr>
              <w:t xml:space="preserve">TX ( (MH "Pregnancy+") OR (MH "Pregnancy Trimesters+") OR (MM "Prenatal Nutritional Physiology") OR (MM "Prenatal Exposure Delayed Effects") OR ("Pregnan*") ) </w:t>
            </w:r>
          </w:p>
          <w:p w14:paraId="0B71CDAD" w14:textId="77777777" w:rsidR="00170EC6" w:rsidRPr="00170EC6" w:rsidRDefault="00170EC6" w:rsidP="00170EC6">
            <w:pPr>
              <w:spacing w:line="200" w:lineRule="exact"/>
              <w:rPr>
                <w:rFonts w:cstheme="minorHAnsi"/>
                <w:sz w:val="16"/>
                <w:szCs w:val="16"/>
              </w:rPr>
            </w:pPr>
            <w:r w:rsidRPr="00170EC6">
              <w:rPr>
                <w:rFonts w:cstheme="minorHAnsi"/>
                <w:sz w:val="16"/>
                <w:szCs w:val="16"/>
                <w:bdr w:val="none" w:sz="0" w:space="0" w:color="auto" w:frame="1"/>
                <w:shd w:val="clear" w:color="auto" w:fill="FFFFFF"/>
              </w:rPr>
              <w:t>AND TX ( (MM "Iodine") OR ("Iodine") )</w:t>
            </w:r>
          </w:p>
        </w:tc>
        <w:tc>
          <w:tcPr>
            <w:tcW w:w="1012" w:type="dxa"/>
          </w:tcPr>
          <w:p w14:paraId="27EC14FB" w14:textId="77777777" w:rsidR="00170EC6" w:rsidRPr="00170EC6" w:rsidRDefault="00170EC6" w:rsidP="00170EC6">
            <w:pPr>
              <w:spacing w:line="200" w:lineRule="exact"/>
              <w:rPr>
                <w:rFonts w:cstheme="minorHAnsi"/>
                <w:sz w:val="16"/>
                <w:szCs w:val="16"/>
              </w:rPr>
            </w:pPr>
            <w:r w:rsidRPr="00170EC6">
              <w:rPr>
                <w:rFonts w:cstheme="minorHAnsi"/>
                <w:sz w:val="16"/>
                <w:szCs w:val="16"/>
              </w:rPr>
              <w:t>01-Nov-2016 to 31-Dec-2019</w:t>
            </w:r>
          </w:p>
        </w:tc>
        <w:tc>
          <w:tcPr>
            <w:tcW w:w="995" w:type="dxa"/>
          </w:tcPr>
          <w:p w14:paraId="26ED9E54" w14:textId="77777777" w:rsidR="00170EC6" w:rsidRPr="00170EC6" w:rsidRDefault="00170EC6" w:rsidP="00170EC6">
            <w:pPr>
              <w:spacing w:line="200" w:lineRule="exact"/>
              <w:rPr>
                <w:rFonts w:cstheme="minorHAnsi"/>
                <w:sz w:val="16"/>
                <w:szCs w:val="16"/>
              </w:rPr>
            </w:pPr>
            <w:r w:rsidRPr="00170EC6">
              <w:rPr>
                <w:rFonts w:cstheme="minorHAnsi"/>
                <w:sz w:val="16"/>
                <w:szCs w:val="16"/>
              </w:rPr>
              <w:t>Human</w:t>
            </w:r>
          </w:p>
          <w:p w14:paraId="04DFB863" w14:textId="77777777" w:rsidR="00170EC6" w:rsidRPr="00170EC6" w:rsidRDefault="00170EC6" w:rsidP="00170EC6">
            <w:pPr>
              <w:spacing w:line="200" w:lineRule="exact"/>
              <w:rPr>
                <w:rFonts w:cstheme="minorHAnsi"/>
                <w:sz w:val="16"/>
                <w:szCs w:val="16"/>
              </w:rPr>
            </w:pPr>
            <w:r w:rsidRPr="00170EC6">
              <w:rPr>
                <w:rFonts w:cstheme="minorHAnsi"/>
                <w:sz w:val="16"/>
                <w:szCs w:val="16"/>
              </w:rPr>
              <w:t>English</w:t>
            </w:r>
          </w:p>
        </w:tc>
        <w:tc>
          <w:tcPr>
            <w:tcW w:w="749" w:type="dxa"/>
          </w:tcPr>
          <w:p w14:paraId="15B16677"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109</w:t>
            </w:r>
          </w:p>
        </w:tc>
        <w:tc>
          <w:tcPr>
            <w:tcW w:w="988" w:type="dxa"/>
          </w:tcPr>
          <w:p w14:paraId="51B4950F"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r w:rsidR="00170EC6" w:rsidRPr="00170EC6" w14:paraId="0D0BA7F8" w14:textId="77777777" w:rsidTr="00170EC6">
        <w:tc>
          <w:tcPr>
            <w:tcW w:w="995" w:type="dxa"/>
          </w:tcPr>
          <w:p w14:paraId="4FE06864"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SCOPUS</w:t>
            </w:r>
          </w:p>
        </w:tc>
        <w:tc>
          <w:tcPr>
            <w:tcW w:w="4541" w:type="dxa"/>
          </w:tcPr>
          <w:p w14:paraId="14B3A95A" w14:textId="271F39FD" w:rsidR="00170EC6" w:rsidRPr="00170EC6" w:rsidRDefault="00170EC6" w:rsidP="00170EC6">
            <w:pPr>
              <w:spacing w:line="200" w:lineRule="exact"/>
              <w:outlineLvl w:val="1"/>
              <w:rPr>
                <w:rFonts w:cstheme="minorHAnsi"/>
                <w:sz w:val="16"/>
                <w:szCs w:val="16"/>
                <w:lang w:eastAsia="en-AU"/>
              </w:rPr>
            </w:pPr>
            <w:r w:rsidRPr="00170EC6">
              <w:rPr>
                <w:rFonts w:cstheme="minorHAnsi"/>
                <w:sz w:val="16"/>
                <w:szCs w:val="16"/>
                <w:lang w:eastAsia="en-AU"/>
              </w:rPr>
              <w:t>TITLE-ABS-KEY ( ( "Pregnan*" )  OR  ( "prenatal*" )  AND  ( "Iodine" ) )</w:t>
            </w:r>
          </w:p>
        </w:tc>
        <w:tc>
          <w:tcPr>
            <w:tcW w:w="1012" w:type="dxa"/>
          </w:tcPr>
          <w:p w14:paraId="4B74A6B4" w14:textId="77777777" w:rsidR="00170EC6" w:rsidRPr="00170EC6" w:rsidRDefault="00170EC6" w:rsidP="00170EC6">
            <w:pPr>
              <w:spacing w:line="200" w:lineRule="exact"/>
              <w:rPr>
                <w:rFonts w:cstheme="minorHAnsi"/>
                <w:sz w:val="16"/>
                <w:szCs w:val="16"/>
              </w:rPr>
            </w:pPr>
            <w:r w:rsidRPr="00170EC6">
              <w:rPr>
                <w:rFonts w:cstheme="minorHAnsi"/>
                <w:sz w:val="16"/>
                <w:szCs w:val="16"/>
              </w:rPr>
              <w:t>2016-2019</w:t>
            </w:r>
          </w:p>
        </w:tc>
        <w:tc>
          <w:tcPr>
            <w:tcW w:w="995" w:type="dxa"/>
          </w:tcPr>
          <w:p w14:paraId="552C2C65" w14:textId="77777777" w:rsidR="00170EC6" w:rsidRPr="00170EC6" w:rsidRDefault="00170EC6" w:rsidP="00170EC6">
            <w:pPr>
              <w:spacing w:line="200" w:lineRule="exact"/>
              <w:rPr>
                <w:rFonts w:cstheme="minorHAnsi"/>
                <w:sz w:val="16"/>
                <w:szCs w:val="16"/>
              </w:rPr>
            </w:pPr>
            <w:r w:rsidRPr="00170EC6">
              <w:rPr>
                <w:rFonts w:cstheme="minorHAnsi"/>
                <w:sz w:val="16"/>
                <w:szCs w:val="16"/>
              </w:rPr>
              <w:t>English</w:t>
            </w:r>
          </w:p>
        </w:tc>
        <w:tc>
          <w:tcPr>
            <w:tcW w:w="749" w:type="dxa"/>
          </w:tcPr>
          <w:p w14:paraId="1AAFF2D7"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621</w:t>
            </w:r>
          </w:p>
        </w:tc>
        <w:tc>
          <w:tcPr>
            <w:tcW w:w="988" w:type="dxa"/>
          </w:tcPr>
          <w:p w14:paraId="6B03D4E8"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r w:rsidR="00170EC6" w:rsidRPr="00170EC6" w14:paraId="63477B1A" w14:textId="77777777" w:rsidTr="00170EC6">
        <w:tc>
          <w:tcPr>
            <w:tcW w:w="995" w:type="dxa"/>
          </w:tcPr>
          <w:p w14:paraId="133786ED"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Health Infonet</w:t>
            </w:r>
          </w:p>
        </w:tc>
        <w:tc>
          <w:tcPr>
            <w:tcW w:w="4541" w:type="dxa"/>
          </w:tcPr>
          <w:p w14:paraId="543FDD8E" w14:textId="77777777" w:rsidR="00170EC6" w:rsidRPr="00170EC6" w:rsidRDefault="00170EC6" w:rsidP="00170EC6">
            <w:pPr>
              <w:spacing w:line="200" w:lineRule="exact"/>
              <w:rPr>
                <w:rFonts w:cstheme="minorHAnsi"/>
                <w:sz w:val="16"/>
                <w:szCs w:val="16"/>
              </w:rPr>
            </w:pPr>
            <w:r w:rsidRPr="00170EC6">
              <w:rPr>
                <w:rFonts w:cstheme="minorHAnsi"/>
                <w:sz w:val="16"/>
                <w:szCs w:val="16"/>
              </w:rPr>
              <w:t>Iodine – title and abstract</w:t>
            </w:r>
          </w:p>
        </w:tc>
        <w:tc>
          <w:tcPr>
            <w:tcW w:w="1012" w:type="dxa"/>
          </w:tcPr>
          <w:p w14:paraId="312377EA" w14:textId="35B5FA79" w:rsidR="00170EC6" w:rsidRPr="00170EC6" w:rsidRDefault="00170EC6" w:rsidP="00170EC6">
            <w:pPr>
              <w:spacing w:line="200" w:lineRule="exact"/>
              <w:rPr>
                <w:rFonts w:cstheme="minorHAnsi"/>
                <w:sz w:val="16"/>
                <w:szCs w:val="16"/>
              </w:rPr>
            </w:pPr>
            <w:r w:rsidRPr="00170EC6">
              <w:rPr>
                <w:rFonts w:cstheme="minorHAnsi"/>
                <w:sz w:val="16"/>
                <w:szCs w:val="16"/>
              </w:rPr>
              <w:t>2016-current</w:t>
            </w:r>
            <w:r w:rsidR="00162E95">
              <w:rPr>
                <w:rFonts w:cstheme="minorHAnsi"/>
                <w:sz w:val="16"/>
                <w:szCs w:val="16"/>
              </w:rPr>
              <w:t>=</w:t>
            </w:r>
            <w:r w:rsidRPr="00170EC6">
              <w:rPr>
                <w:rFonts w:cstheme="minorHAnsi"/>
                <w:sz w:val="16"/>
                <w:szCs w:val="16"/>
              </w:rPr>
              <w:t>1</w:t>
            </w:r>
          </w:p>
        </w:tc>
        <w:tc>
          <w:tcPr>
            <w:tcW w:w="995" w:type="dxa"/>
          </w:tcPr>
          <w:p w14:paraId="38BC11FE" w14:textId="77777777" w:rsidR="00170EC6" w:rsidRPr="00170EC6" w:rsidRDefault="00170EC6" w:rsidP="00170EC6">
            <w:pPr>
              <w:spacing w:line="200" w:lineRule="exact"/>
              <w:rPr>
                <w:rFonts w:cstheme="minorHAnsi"/>
                <w:sz w:val="16"/>
                <w:szCs w:val="16"/>
              </w:rPr>
            </w:pPr>
            <w:r w:rsidRPr="00170EC6">
              <w:rPr>
                <w:rFonts w:cstheme="minorHAnsi"/>
                <w:sz w:val="16"/>
                <w:szCs w:val="16"/>
              </w:rPr>
              <w:t>None</w:t>
            </w:r>
          </w:p>
        </w:tc>
        <w:tc>
          <w:tcPr>
            <w:tcW w:w="749" w:type="dxa"/>
          </w:tcPr>
          <w:p w14:paraId="220B09C7"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1</w:t>
            </w:r>
          </w:p>
        </w:tc>
        <w:tc>
          <w:tcPr>
            <w:tcW w:w="988" w:type="dxa"/>
          </w:tcPr>
          <w:p w14:paraId="1C82DC3B"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r w:rsidR="00170EC6" w:rsidRPr="00170EC6" w14:paraId="3D6CA937" w14:textId="77777777" w:rsidTr="00170EC6">
        <w:tc>
          <w:tcPr>
            <w:tcW w:w="995" w:type="dxa"/>
          </w:tcPr>
          <w:p w14:paraId="484A9313"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Cochrane</w:t>
            </w:r>
          </w:p>
        </w:tc>
        <w:tc>
          <w:tcPr>
            <w:tcW w:w="4541" w:type="dxa"/>
          </w:tcPr>
          <w:p w14:paraId="6FF918B1" w14:textId="77777777" w:rsidR="00170EC6" w:rsidRPr="00170EC6" w:rsidRDefault="00170EC6" w:rsidP="00170EC6">
            <w:pPr>
              <w:spacing w:line="200" w:lineRule="exact"/>
              <w:rPr>
                <w:rFonts w:cstheme="minorHAnsi"/>
                <w:sz w:val="16"/>
                <w:szCs w:val="16"/>
              </w:rPr>
            </w:pPr>
            <w:r w:rsidRPr="00170EC6">
              <w:rPr>
                <w:rFonts w:cstheme="minorHAnsi"/>
                <w:sz w:val="16"/>
                <w:szCs w:val="16"/>
              </w:rPr>
              <w:t>((MeSH descriptor: [Pregnancy] explode all trees) OR (Prenatal)) AND (Iodine)</w:t>
            </w:r>
          </w:p>
        </w:tc>
        <w:tc>
          <w:tcPr>
            <w:tcW w:w="1012" w:type="dxa"/>
          </w:tcPr>
          <w:p w14:paraId="42352182" w14:textId="77777777" w:rsidR="00170EC6" w:rsidRPr="00170EC6" w:rsidRDefault="00170EC6" w:rsidP="00170EC6">
            <w:pPr>
              <w:spacing w:line="200" w:lineRule="exact"/>
              <w:rPr>
                <w:rFonts w:cstheme="minorHAnsi"/>
                <w:sz w:val="16"/>
                <w:szCs w:val="16"/>
              </w:rPr>
            </w:pPr>
            <w:r w:rsidRPr="00170EC6">
              <w:rPr>
                <w:rFonts w:cstheme="minorHAnsi"/>
                <w:sz w:val="16"/>
                <w:szCs w:val="16"/>
              </w:rPr>
              <w:t>Nov 2016 to Dec 2019</w:t>
            </w:r>
          </w:p>
        </w:tc>
        <w:tc>
          <w:tcPr>
            <w:tcW w:w="995" w:type="dxa"/>
          </w:tcPr>
          <w:p w14:paraId="0B533E96" w14:textId="77777777" w:rsidR="00170EC6" w:rsidRPr="00170EC6" w:rsidRDefault="00170EC6" w:rsidP="00170EC6">
            <w:pPr>
              <w:spacing w:line="200" w:lineRule="exact"/>
              <w:rPr>
                <w:rFonts w:cstheme="minorHAnsi"/>
                <w:sz w:val="16"/>
                <w:szCs w:val="16"/>
              </w:rPr>
            </w:pPr>
            <w:r w:rsidRPr="00170EC6">
              <w:rPr>
                <w:rFonts w:cstheme="minorHAnsi"/>
                <w:sz w:val="16"/>
                <w:szCs w:val="16"/>
              </w:rPr>
              <w:t>Trials</w:t>
            </w:r>
          </w:p>
        </w:tc>
        <w:tc>
          <w:tcPr>
            <w:tcW w:w="749" w:type="dxa"/>
          </w:tcPr>
          <w:p w14:paraId="1394C97A" w14:textId="77777777" w:rsidR="00170EC6" w:rsidRPr="00170EC6" w:rsidRDefault="00170EC6" w:rsidP="00170EC6">
            <w:pPr>
              <w:spacing w:line="200" w:lineRule="exact"/>
              <w:rPr>
                <w:rFonts w:cstheme="minorHAnsi"/>
                <w:b/>
                <w:sz w:val="16"/>
                <w:szCs w:val="16"/>
              </w:rPr>
            </w:pPr>
            <w:r w:rsidRPr="00170EC6">
              <w:rPr>
                <w:rFonts w:cstheme="minorHAnsi"/>
                <w:b/>
                <w:sz w:val="16"/>
                <w:szCs w:val="16"/>
              </w:rPr>
              <w:t>8</w:t>
            </w:r>
          </w:p>
        </w:tc>
        <w:tc>
          <w:tcPr>
            <w:tcW w:w="988" w:type="dxa"/>
          </w:tcPr>
          <w:p w14:paraId="4E01FDA6" w14:textId="77777777" w:rsidR="00170EC6" w:rsidRPr="00170EC6" w:rsidRDefault="00170EC6" w:rsidP="00170EC6">
            <w:pPr>
              <w:spacing w:line="200" w:lineRule="exact"/>
              <w:rPr>
                <w:rFonts w:cstheme="minorHAnsi"/>
                <w:sz w:val="16"/>
                <w:szCs w:val="16"/>
              </w:rPr>
            </w:pPr>
            <w:r w:rsidRPr="00170EC6">
              <w:rPr>
                <w:rFonts w:cstheme="minorHAnsi"/>
                <w:sz w:val="16"/>
                <w:szCs w:val="16"/>
              </w:rPr>
              <w:t>16-Jan-19</w:t>
            </w:r>
          </w:p>
        </w:tc>
      </w:tr>
    </w:tbl>
    <w:p w14:paraId="3B8C6716" w14:textId="63FD98DB" w:rsidR="00FB19A7" w:rsidRDefault="00984E6C" w:rsidP="00320FB8">
      <w:pPr>
        <w:pStyle w:val="Figure"/>
        <w:spacing w:before="240"/>
        <w:jc w:val="center"/>
      </w:pPr>
      <w:r>
        <w:rPr>
          <w:noProof/>
          <w:lang w:val="en-AU" w:eastAsia="en-AU"/>
        </w:rPr>
        <w:drawing>
          <wp:inline distT="0" distB="0" distL="0" distR="0" wp14:anchorId="12DDE845" wp14:editId="684FDF65">
            <wp:extent cx="3490199" cy="464923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odine.png"/>
                    <pic:cNvPicPr/>
                  </pic:nvPicPr>
                  <pic:blipFill>
                    <a:blip r:embed="rId24">
                      <a:extLst>
                        <a:ext uri="{28A0092B-C50C-407E-A947-70E740481C1C}">
                          <a14:useLocalDpi xmlns:a14="http://schemas.microsoft.com/office/drawing/2010/main" val="0"/>
                        </a:ext>
                      </a:extLst>
                    </a:blip>
                    <a:stretch>
                      <a:fillRect/>
                    </a:stretch>
                  </pic:blipFill>
                  <pic:spPr>
                    <a:xfrm>
                      <a:off x="0" y="0"/>
                      <a:ext cx="3501168" cy="4663845"/>
                    </a:xfrm>
                    <a:prstGeom prst="rect">
                      <a:avLst/>
                    </a:prstGeom>
                  </pic:spPr>
                </pic:pic>
              </a:graphicData>
            </a:graphic>
          </wp:inline>
        </w:drawing>
      </w:r>
    </w:p>
    <w:p w14:paraId="1A757712" w14:textId="2AB9F8D9" w:rsidR="00170EC6" w:rsidRPr="00170EC6" w:rsidRDefault="00FB19A7" w:rsidP="00FB19A7">
      <w:pPr>
        <w:pStyle w:val="Figurename"/>
      </w:pPr>
      <w:r>
        <w:t>Prisma diagram: Iodine</w:t>
      </w:r>
    </w:p>
    <w:p w14:paraId="3E548531" w14:textId="38A9F060" w:rsidR="008F3CBD" w:rsidRDefault="00513068" w:rsidP="000D4DFC">
      <w:pPr>
        <w:pStyle w:val="Heading4"/>
        <w:rPr>
          <w:lang w:val="en-AU"/>
        </w:rPr>
      </w:pPr>
      <w:r>
        <w:rPr>
          <w:lang w:val="en-AU"/>
        </w:rPr>
        <w:t>Iodine to</w:t>
      </w:r>
      <w:r w:rsidR="008F3CBD">
        <w:rPr>
          <w:lang w:val="en-AU"/>
        </w:rPr>
        <w:t>p-up search</w:t>
      </w:r>
    </w:p>
    <w:p w14:paraId="7FA55DE6" w14:textId="7FFB5F3F" w:rsidR="008F3CBD" w:rsidRDefault="00513068" w:rsidP="000D4DFC">
      <w:pPr>
        <w:keepNext/>
        <w:rPr>
          <w:lang w:val="en-AU"/>
        </w:rPr>
      </w:pPr>
      <w:r>
        <w:rPr>
          <w:lang w:val="en-AU"/>
        </w:rPr>
        <w:t>Search date: 11</w:t>
      </w:r>
      <w:r w:rsidR="008F3CBD">
        <w:rPr>
          <w:lang w:val="en-AU"/>
        </w:rPr>
        <w:t xml:space="preserve"> March 2020</w:t>
      </w:r>
    </w:p>
    <w:p w14:paraId="6F75F153" w14:textId="1F2EE16E" w:rsidR="000D4DFC" w:rsidRDefault="000D4DFC" w:rsidP="000D4DFC">
      <w:pPr>
        <w:pStyle w:val="Figure"/>
        <w:rPr>
          <w:lang w:val="en-AU"/>
        </w:rPr>
      </w:pPr>
      <w:r>
        <w:rPr>
          <w:noProof/>
          <w:lang w:val="en-AU" w:eastAsia="en-AU"/>
        </w:rPr>
        <w:drawing>
          <wp:inline distT="0" distB="0" distL="0" distR="0" wp14:anchorId="648AF341" wp14:editId="7C66FB94">
            <wp:extent cx="3188888" cy="3654697"/>
            <wp:effectExtent l="0" t="0" r="1206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odine topup.png"/>
                    <pic:cNvPicPr/>
                  </pic:nvPicPr>
                  <pic:blipFill>
                    <a:blip r:embed="rId25">
                      <a:extLst>
                        <a:ext uri="{28A0092B-C50C-407E-A947-70E740481C1C}">
                          <a14:useLocalDpi xmlns:a14="http://schemas.microsoft.com/office/drawing/2010/main" val="0"/>
                        </a:ext>
                      </a:extLst>
                    </a:blip>
                    <a:stretch>
                      <a:fillRect/>
                    </a:stretch>
                  </pic:blipFill>
                  <pic:spPr>
                    <a:xfrm>
                      <a:off x="0" y="0"/>
                      <a:ext cx="3202337" cy="3670111"/>
                    </a:xfrm>
                    <a:prstGeom prst="rect">
                      <a:avLst/>
                    </a:prstGeom>
                  </pic:spPr>
                </pic:pic>
              </a:graphicData>
            </a:graphic>
          </wp:inline>
        </w:drawing>
      </w:r>
    </w:p>
    <w:p w14:paraId="5E84EC93" w14:textId="560F3381" w:rsidR="004235AD" w:rsidRDefault="004235AD" w:rsidP="004235AD">
      <w:pPr>
        <w:pStyle w:val="Figurename"/>
        <w:rPr>
          <w:lang w:val="en-AU"/>
        </w:rPr>
      </w:pPr>
      <w:r>
        <w:rPr>
          <w:lang w:val="en-AU"/>
        </w:rPr>
        <w:t>PRISMA diagram: Iodine top-up search</w:t>
      </w:r>
    </w:p>
    <w:p w14:paraId="7FC831EF" w14:textId="4B8670E2" w:rsidR="00BA549B" w:rsidRDefault="00BA549B" w:rsidP="00BA549B">
      <w:pPr>
        <w:pStyle w:val="Heading4"/>
        <w:rPr>
          <w:lang w:val="en-AU"/>
        </w:rPr>
      </w:pPr>
      <w:r>
        <w:rPr>
          <w:lang w:val="en-AU"/>
        </w:rPr>
        <w:t>Zinc supplementation</w:t>
      </w:r>
      <w:r w:rsidR="000D04A0">
        <w:t xml:space="preserve"> (research question 3)</w:t>
      </w:r>
    </w:p>
    <w:p w14:paraId="2AAE20C1" w14:textId="77777777" w:rsidR="00BA549B" w:rsidRDefault="00BA549B" w:rsidP="00BA549B">
      <w:r>
        <w:t>Previous zinc supplementation in pregnancy Cochrane search date: 31 October 2014</w:t>
      </w:r>
    </w:p>
    <w:p w14:paraId="184E78CB" w14:textId="4C398952" w:rsidR="00BA549B" w:rsidRPr="00DD3A8C" w:rsidRDefault="00BA549B" w:rsidP="00BA549B">
      <w:r>
        <w:t>Citation: Ota E, Mori R, Middleton P, Tobe-Gai R, Mahomed K, Miyazaki C, Bhutta ZA. Zinc supplementation for improving pregnancy and infant outcome. Cochrane Database of Systematic Reviews 2015, Issue 2. Art. No.: CD000230.</w:t>
      </w:r>
    </w:p>
    <w:p w14:paraId="6C099D53" w14:textId="0CD2EA58" w:rsidR="00BA549B" w:rsidRPr="00BA549B" w:rsidRDefault="00BA549B" w:rsidP="00FA758C">
      <w:pPr>
        <w:keepNext/>
        <w:rPr>
          <w:b/>
        </w:rPr>
      </w:pPr>
      <w:r>
        <w:rPr>
          <w:b/>
        </w:rPr>
        <w:t xml:space="preserve">Current search dates: </w:t>
      </w:r>
      <w:r>
        <w:t>1-Nov-2014-16-Jan-19</w:t>
      </w:r>
    </w:p>
    <w:tbl>
      <w:tblPr>
        <w:tblStyle w:val="TableGrid"/>
        <w:tblW w:w="0" w:type="auto"/>
        <w:tblLook w:val="04A0" w:firstRow="1" w:lastRow="0" w:firstColumn="1" w:lastColumn="0" w:noHBand="0" w:noVBand="1"/>
      </w:tblPr>
      <w:tblGrid>
        <w:gridCol w:w="1020"/>
        <w:gridCol w:w="4320"/>
        <w:gridCol w:w="1229"/>
        <w:gridCol w:w="1032"/>
        <w:gridCol w:w="749"/>
        <w:gridCol w:w="930"/>
      </w:tblGrid>
      <w:tr w:rsidR="00BA549B" w:rsidRPr="00BA549B" w14:paraId="2D980F7B" w14:textId="77777777" w:rsidTr="00170EC6">
        <w:trPr>
          <w:tblHeader/>
        </w:trPr>
        <w:tc>
          <w:tcPr>
            <w:tcW w:w="1020" w:type="dxa"/>
          </w:tcPr>
          <w:p w14:paraId="47E576A8" w14:textId="77777777" w:rsidR="00BA549B" w:rsidRPr="00BA549B" w:rsidRDefault="00BA549B" w:rsidP="00FA758C">
            <w:pPr>
              <w:keepNext/>
              <w:spacing w:line="200" w:lineRule="exact"/>
              <w:rPr>
                <w:b/>
                <w:sz w:val="16"/>
                <w:szCs w:val="16"/>
              </w:rPr>
            </w:pPr>
            <w:r w:rsidRPr="00BA549B">
              <w:rPr>
                <w:b/>
                <w:sz w:val="16"/>
                <w:szCs w:val="16"/>
              </w:rPr>
              <w:t>Database</w:t>
            </w:r>
          </w:p>
        </w:tc>
        <w:tc>
          <w:tcPr>
            <w:tcW w:w="4320" w:type="dxa"/>
          </w:tcPr>
          <w:p w14:paraId="4905EE76" w14:textId="77777777" w:rsidR="00BA549B" w:rsidRPr="00BA549B" w:rsidRDefault="00BA549B" w:rsidP="00FA758C">
            <w:pPr>
              <w:keepNext/>
              <w:spacing w:line="200" w:lineRule="exact"/>
              <w:rPr>
                <w:b/>
                <w:sz w:val="16"/>
                <w:szCs w:val="16"/>
              </w:rPr>
            </w:pPr>
            <w:r w:rsidRPr="00BA549B">
              <w:rPr>
                <w:b/>
                <w:sz w:val="16"/>
                <w:szCs w:val="16"/>
              </w:rPr>
              <w:t>Search Strategy</w:t>
            </w:r>
          </w:p>
        </w:tc>
        <w:tc>
          <w:tcPr>
            <w:tcW w:w="1229" w:type="dxa"/>
          </w:tcPr>
          <w:p w14:paraId="039A0022" w14:textId="77777777" w:rsidR="00BA549B" w:rsidRPr="00BA549B" w:rsidRDefault="00BA549B" w:rsidP="00FA758C">
            <w:pPr>
              <w:keepNext/>
              <w:spacing w:line="200" w:lineRule="exact"/>
              <w:rPr>
                <w:b/>
                <w:sz w:val="16"/>
                <w:szCs w:val="16"/>
              </w:rPr>
            </w:pPr>
            <w:r w:rsidRPr="00BA549B">
              <w:rPr>
                <w:b/>
                <w:sz w:val="16"/>
                <w:szCs w:val="16"/>
              </w:rPr>
              <w:t>Dates Searched</w:t>
            </w:r>
          </w:p>
        </w:tc>
        <w:tc>
          <w:tcPr>
            <w:tcW w:w="1032" w:type="dxa"/>
          </w:tcPr>
          <w:p w14:paraId="4603D4F8" w14:textId="77777777" w:rsidR="00BA549B" w:rsidRPr="00BA549B" w:rsidRDefault="00BA549B" w:rsidP="00FA758C">
            <w:pPr>
              <w:keepNext/>
              <w:spacing w:line="200" w:lineRule="exact"/>
              <w:rPr>
                <w:b/>
                <w:sz w:val="16"/>
                <w:szCs w:val="16"/>
              </w:rPr>
            </w:pPr>
            <w:r w:rsidRPr="00BA549B">
              <w:rPr>
                <w:b/>
                <w:sz w:val="16"/>
                <w:szCs w:val="16"/>
              </w:rPr>
              <w:t>Limits set</w:t>
            </w:r>
          </w:p>
        </w:tc>
        <w:tc>
          <w:tcPr>
            <w:tcW w:w="749" w:type="dxa"/>
          </w:tcPr>
          <w:p w14:paraId="1C0E05EA" w14:textId="77777777" w:rsidR="00BA549B" w:rsidRPr="00BA549B" w:rsidRDefault="00BA549B" w:rsidP="00FA758C">
            <w:pPr>
              <w:keepNext/>
              <w:spacing w:line="200" w:lineRule="exact"/>
              <w:rPr>
                <w:b/>
                <w:sz w:val="16"/>
                <w:szCs w:val="16"/>
              </w:rPr>
            </w:pPr>
            <w:r w:rsidRPr="00BA549B">
              <w:rPr>
                <w:b/>
                <w:sz w:val="16"/>
                <w:szCs w:val="16"/>
              </w:rPr>
              <w:t>Results</w:t>
            </w:r>
          </w:p>
        </w:tc>
        <w:tc>
          <w:tcPr>
            <w:tcW w:w="930" w:type="dxa"/>
          </w:tcPr>
          <w:p w14:paraId="610590FC" w14:textId="77777777" w:rsidR="00BA549B" w:rsidRPr="00BA549B" w:rsidRDefault="00BA549B" w:rsidP="00FA758C">
            <w:pPr>
              <w:keepNext/>
              <w:spacing w:line="200" w:lineRule="exact"/>
              <w:rPr>
                <w:b/>
                <w:sz w:val="16"/>
                <w:szCs w:val="16"/>
              </w:rPr>
            </w:pPr>
            <w:r w:rsidRPr="00BA549B">
              <w:rPr>
                <w:b/>
                <w:sz w:val="16"/>
                <w:szCs w:val="16"/>
              </w:rPr>
              <w:t>Date of search</w:t>
            </w:r>
          </w:p>
        </w:tc>
      </w:tr>
      <w:tr w:rsidR="00BA549B" w:rsidRPr="00BA549B" w14:paraId="1C6A05B3" w14:textId="77777777" w:rsidTr="00BA549B">
        <w:tc>
          <w:tcPr>
            <w:tcW w:w="1020" w:type="dxa"/>
          </w:tcPr>
          <w:p w14:paraId="3D96A5CB" w14:textId="77777777" w:rsidR="00BA549B" w:rsidRPr="00BA549B" w:rsidRDefault="00BA549B" w:rsidP="00BA549B">
            <w:pPr>
              <w:spacing w:line="200" w:lineRule="exact"/>
              <w:rPr>
                <w:b/>
                <w:sz w:val="16"/>
                <w:szCs w:val="16"/>
              </w:rPr>
            </w:pPr>
            <w:r w:rsidRPr="00BA549B">
              <w:rPr>
                <w:b/>
                <w:sz w:val="16"/>
                <w:szCs w:val="16"/>
              </w:rPr>
              <w:t>Pubmed</w:t>
            </w:r>
          </w:p>
        </w:tc>
        <w:tc>
          <w:tcPr>
            <w:tcW w:w="4320" w:type="dxa"/>
          </w:tcPr>
          <w:p w14:paraId="57633ADB" w14:textId="77777777" w:rsidR="00BA549B" w:rsidRPr="00BA549B" w:rsidRDefault="00BA549B" w:rsidP="00BA549B">
            <w:pPr>
              <w:spacing w:line="200" w:lineRule="exact"/>
              <w:rPr>
                <w:sz w:val="16"/>
                <w:szCs w:val="16"/>
              </w:rPr>
            </w:pPr>
            <w:r w:rsidRPr="00BA549B">
              <w:rPr>
                <w:sz w:val="16"/>
                <w:szCs w:val="16"/>
              </w:rPr>
              <w:t xml:space="preserve">("pregnancy"[MeSH Terms] OR "pregnan*"[All Fields] OR "prenatal*"[All Fields]) </w:t>
            </w:r>
          </w:p>
          <w:p w14:paraId="14D5C2CC" w14:textId="77777777" w:rsidR="00BA549B" w:rsidRPr="00BA549B" w:rsidRDefault="00BA549B" w:rsidP="00BA549B">
            <w:pPr>
              <w:spacing w:line="200" w:lineRule="exact"/>
              <w:rPr>
                <w:sz w:val="16"/>
                <w:szCs w:val="16"/>
              </w:rPr>
            </w:pPr>
            <w:r w:rsidRPr="00BA549B">
              <w:rPr>
                <w:sz w:val="16"/>
                <w:szCs w:val="16"/>
              </w:rPr>
              <w:t xml:space="preserve">AND ("zinc"[MeSH Terms] OR "zinc"[All Fields]) </w:t>
            </w:r>
          </w:p>
        </w:tc>
        <w:tc>
          <w:tcPr>
            <w:tcW w:w="1229" w:type="dxa"/>
          </w:tcPr>
          <w:p w14:paraId="679EBA6A" w14:textId="77777777" w:rsidR="00BA549B" w:rsidRPr="00BA549B" w:rsidRDefault="00BA549B" w:rsidP="00BA549B">
            <w:pPr>
              <w:spacing w:line="200" w:lineRule="exact"/>
              <w:rPr>
                <w:sz w:val="16"/>
                <w:szCs w:val="16"/>
              </w:rPr>
            </w:pPr>
            <w:r w:rsidRPr="00BA549B">
              <w:rPr>
                <w:sz w:val="16"/>
                <w:szCs w:val="16"/>
              </w:rPr>
              <w:t>1-Nov-2014 to 31-Dec-2019</w:t>
            </w:r>
          </w:p>
        </w:tc>
        <w:tc>
          <w:tcPr>
            <w:tcW w:w="1032" w:type="dxa"/>
          </w:tcPr>
          <w:p w14:paraId="4F625816" w14:textId="77777777" w:rsidR="00BA549B" w:rsidRPr="00BA549B" w:rsidRDefault="00BA549B" w:rsidP="00BA549B">
            <w:pPr>
              <w:spacing w:line="200" w:lineRule="exact"/>
              <w:rPr>
                <w:sz w:val="16"/>
                <w:szCs w:val="16"/>
              </w:rPr>
            </w:pPr>
            <w:r w:rsidRPr="00BA549B">
              <w:rPr>
                <w:sz w:val="16"/>
                <w:szCs w:val="16"/>
              </w:rPr>
              <w:t>Human</w:t>
            </w:r>
          </w:p>
        </w:tc>
        <w:tc>
          <w:tcPr>
            <w:tcW w:w="749" w:type="dxa"/>
          </w:tcPr>
          <w:p w14:paraId="0ADA2D32" w14:textId="77777777" w:rsidR="00BA549B" w:rsidRPr="00BA549B" w:rsidRDefault="00BA549B" w:rsidP="00BA549B">
            <w:pPr>
              <w:spacing w:line="200" w:lineRule="exact"/>
              <w:rPr>
                <w:b/>
                <w:sz w:val="16"/>
                <w:szCs w:val="16"/>
              </w:rPr>
            </w:pPr>
            <w:r w:rsidRPr="00BA549B">
              <w:rPr>
                <w:b/>
                <w:sz w:val="16"/>
                <w:szCs w:val="16"/>
              </w:rPr>
              <w:t>280</w:t>
            </w:r>
          </w:p>
        </w:tc>
        <w:tc>
          <w:tcPr>
            <w:tcW w:w="930" w:type="dxa"/>
          </w:tcPr>
          <w:p w14:paraId="6F048B89" w14:textId="77777777" w:rsidR="00BA549B" w:rsidRPr="00BA549B" w:rsidRDefault="00BA549B" w:rsidP="00BA549B">
            <w:pPr>
              <w:spacing w:line="200" w:lineRule="exact"/>
              <w:rPr>
                <w:sz w:val="16"/>
                <w:szCs w:val="16"/>
              </w:rPr>
            </w:pPr>
            <w:r w:rsidRPr="00BA549B">
              <w:rPr>
                <w:sz w:val="16"/>
                <w:szCs w:val="16"/>
              </w:rPr>
              <w:t>16-Jan-19</w:t>
            </w:r>
          </w:p>
        </w:tc>
      </w:tr>
      <w:tr w:rsidR="00BA549B" w:rsidRPr="00BA549B" w14:paraId="4E20564E" w14:textId="77777777" w:rsidTr="00BA549B">
        <w:tc>
          <w:tcPr>
            <w:tcW w:w="1020" w:type="dxa"/>
          </w:tcPr>
          <w:p w14:paraId="2A69727B" w14:textId="77777777" w:rsidR="00BA549B" w:rsidRPr="00BA549B" w:rsidRDefault="00BA549B" w:rsidP="00BA549B">
            <w:pPr>
              <w:spacing w:line="200" w:lineRule="exact"/>
              <w:rPr>
                <w:b/>
                <w:sz w:val="16"/>
                <w:szCs w:val="16"/>
              </w:rPr>
            </w:pPr>
            <w:r w:rsidRPr="00BA549B">
              <w:rPr>
                <w:b/>
                <w:sz w:val="16"/>
                <w:szCs w:val="16"/>
              </w:rPr>
              <w:t>Ovid medline</w:t>
            </w:r>
          </w:p>
        </w:tc>
        <w:tc>
          <w:tcPr>
            <w:tcW w:w="4320" w:type="dxa"/>
          </w:tcPr>
          <w:p w14:paraId="2A5992FB" w14:textId="77777777" w:rsidR="00BA549B" w:rsidRPr="00BA549B" w:rsidRDefault="00BA549B" w:rsidP="00BA549B">
            <w:pPr>
              <w:spacing w:line="200" w:lineRule="exact"/>
              <w:rPr>
                <w:rFonts w:cs="Helvetica"/>
                <w:color w:val="2D2D2D"/>
                <w:sz w:val="16"/>
                <w:szCs w:val="16"/>
                <w:shd w:val="clear" w:color="auto" w:fill="FFFFFF"/>
              </w:rPr>
            </w:pPr>
            <w:r w:rsidRPr="00BA549B">
              <w:rPr>
                <w:rFonts w:cs="Helvetica"/>
                <w:sz w:val="16"/>
                <w:szCs w:val="16"/>
                <w:shd w:val="clear" w:color="auto" w:fill="FFFFFF"/>
              </w:rPr>
              <w:t>(Pregnancy/syn or Pregnan*.mp.) and zinc.mp.</w:t>
            </w:r>
          </w:p>
        </w:tc>
        <w:tc>
          <w:tcPr>
            <w:tcW w:w="1229" w:type="dxa"/>
          </w:tcPr>
          <w:p w14:paraId="496866CC" w14:textId="77777777" w:rsidR="00BA549B" w:rsidRPr="00BA549B" w:rsidRDefault="00BA549B" w:rsidP="00BA549B">
            <w:pPr>
              <w:spacing w:line="200" w:lineRule="exact"/>
              <w:rPr>
                <w:sz w:val="16"/>
                <w:szCs w:val="16"/>
              </w:rPr>
            </w:pPr>
            <w:r w:rsidRPr="00BA549B">
              <w:rPr>
                <w:sz w:val="16"/>
                <w:szCs w:val="16"/>
              </w:rPr>
              <w:t>2014-Current</w:t>
            </w:r>
          </w:p>
        </w:tc>
        <w:tc>
          <w:tcPr>
            <w:tcW w:w="1032" w:type="dxa"/>
          </w:tcPr>
          <w:p w14:paraId="453C821E" w14:textId="77777777" w:rsidR="00BA549B" w:rsidRPr="00BA549B" w:rsidRDefault="00BA549B" w:rsidP="00BA549B">
            <w:pPr>
              <w:spacing w:line="200" w:lineRule="exact"/>
              <w:rPr>
                <w:sz w:val="16"/>
                <w:szCs w:val="16"/>
              </w:rPr>
            </w:pPr>
            <w:r w:rsidRPr="00BA549B">
              <w:rPr>
                <w:sz w:val="16"/>
                <w:szCs w:val="16"/>
              </w:rPr>
              <w:t>English Language</w:t>
            </w:r>
          </w:p>
          <w:p w14:paraId="3D5882DA" w14:textId="77777777" w:rsidR="00BA549B" w:rsidRPr="00BA549B" w:rsidRDefault="00BA549B" w:rsidP="00BA549B">
            <w:pPr>
              <w:spacing w:line="200" w:lineRule="exact"/>
              <w:rPr>
                <w:sz w:val="16"/>
                <w:szCs w:val="16"/>
              </w:rPr>
            </w:pPr>
            <w:r w:rsidRPr="00BA549B">
              <w:rPr>
                <w:sz w:val="16"/>
                <w:szCs w:val="16"/>
              </w:rPr>
              <w:t>Human</w:t>
            </w:r>
          </w:p>
        </w:tc>
        <w:tc>
          <w:tcPr>
            <w:tcW w:w="749" w:type="dxa"/>
          </w:tcPr>
          <w:p w14:paraId="07A0C9C1" w14:textId="77777777" w:rsidR="00BA549B" w:rsidRPr="00BA549B" w:rsidRDefault="00BA549B" w:rsidP="00BA549B">
            <w:pPr>
              <w:spacing w:line="200" w:lineRule="exact"/>
              <w:rPr>
                <w:b/>
                <w:sz w:val="16"/>
                <w:szCs w:val="16"/>
              </w:rPr>
            </w:pPr>
            <w:r w:rsidRPr="00BA549B">
              <w:rPr>
                <w:b/>
                <w:sz w:val="16"/>
                <w:szCs w:val="16"/>
              </w:rPr>
              <w:t>336</w:t>
            </w:r>
          </w:p>
        </w:tc>
        <w:tc>
          <w:tcPr>
            <w:tcW w:w="930" w:type="dxa"/>
          </w:tcPr>
          <w:p w14:paraId="3E689B73" w14:textId="77777777" w:rsidR="00BA549B" w:rsidRPr="00BA549B" w:rsidRDefault="00BA549B" w:rsidP="00BA549B">
            <w:pPr>
              <w:spacing w:line="200" w:lineRule="exact"/>
              <w:rPr>
                <w:sz w:val="16"/>
                <w:szCs w:val="16"/>
              </w:rPr>
            </w:pPr>
            <w:r w:rsidRPr="00BA549B">
              <w:rPr>
                <w:sz w:val="16"/>
                <w:szCs w:val="16"/>
              </w:rPr>
              <w:t>16-Jan-19</w:t>
            </w:r>
          </w:p>
        </w:tc>
      </w:tr>
      <w:tr w:rsidR="00BA549B" w:rsidRPr="00BA549B" w14:paraId="7CA663D1" w14:textId="77777777" w:rsidTr="00BA549B">
        <w:tc>
          <w:tcPr>
            <w:tcW w:w="1020" w:type="dxa"/>
          </w:tcPr>
          <w:p w14:paraId="499BCBC5" w14:textId="77777777" w:rsidR="00BA549B" w:rsidRPr="00BA549B" w:rsidRDefault="00BA549B" w:rsidP="00BA549B">
            <w:pPr>
              <w:spacing w:line="200" w:lineRule="exact"/>
              <w:rPr>
                <w:b/>
                <w:sz w:val="16"/>
                <w:szCs w:val="16"/>
              </w:rPr>
            </w:pPr>
            <w:r w:rsidRPr="00BA549B">
              <w:rPr>
                <w:b/>
                <w:sz w:val="16"/>
                <w:szCs w:val="16"/>
              </w:rPr>
              <w:t>Embase</w:t>
            </w:r>
          </w:p>
        </w:tc>
        <w:tc>
          <w:tcPr>
            <w:tcW w:w="4320" w:type="dxa"/>
          </w:tcPr>
          <w:p w14:paraId="78E531CF" w14:textId="77777777" w:rsidR="00BA549B" w:rsidRPr="00BA549B" w:rsidRDefault="00BA549B" w:rsidP="00BA549B">
            <w:pPr>
              <w:spacing w:line="200" w:lineRule="exact"/>
              <w:rPr>
                <w:sz w:val="16"/>
                <w:szCs w:val="16"/>
              </w:rPr>
            </w:pPr>
            <w:r w:rsidRPr="00BA549B">
              <w:rPr>
                <w:sz w:val="16"/>
                <w:szCs w:val="16"/>
              </w:rPr>
              <w:t xml:space="preserve">('pregnancy'/exp  OR pregnan*) </w:t>
            </w:r>
          </w:p>
          <w:p w14:paraId="0BB4CBF6" w14:textId="77777777" w:rsidR="00BA549B" w:rsidRPr="00BA549B" w:rsidRDefault="00BA549B" w:rsidP="00BA549B">
            <w:pPr>
              <w:spacing w:line="200" w:lineRule="exact"/>
              <w:rPr>
                <w:sz w:val="16"/>
                <w:szCs w:val="16"/>
              </w:rPr>
            </w:pPr>
            <w:r w:rsidRPr="00BA549B">
              <w:rPr>
                <w:sz w:val="16"/>
                <w:szCs w:val="16"/>
              </w:rPr>
              <w:t>AND (zinc OR ‘zinc’/exp)</w:t>
            </w:r>
          </w:p>
        </w:tc>
        <w:tc>
          <w:tcPr>
            <w:tcW w:w="1229" w:type="dxa"/>
          </w:tcPr>
          <w:p w14:paraId="3201564A" w14:textId="77777777" w:rsidR="00BA549B" w:rsidRPr="00BA549B" w:rsidRDefault="00BA549B" w:rsidP="00BA549B">
            <w:pPr>
              <w:spacing w:line="200" w:lineRule="exact"/>
              <w:rPr>
                <w:sz w:val="16"/>
                <w:szCs w:val="16"/>
              </w:rPr>
            </w:pPr>
            <w:r w:rsidRPr="00BA549B">
              <w:rPr>
                <w:sz w:val="16"/>
                <w:szCs w:val="16"/>
              </w:rPr>
              <w:t>2014-2019</w:t>
            </w:r>
          </w:p>
        </w:tc>
        <w:tc>
          <w:tcPr>
            <w:tcW w:w="1032" w:type="dxa"/>
          </w:tcPr>
          <w:p w14:paraId="78581804" w14:textId="77777777" w:rsidR="00BA549B" w:rsidRPr="00BA549B" w:rsidRDefault="00BA549B" w:rsidP="00BA549B">
            <w:pPr>
              <w:spacing w:line="200" w:lineRule="exact"/>
              <w:rPr>
                <w:sz w:val="16"/>
                <w:szCs w:val="16"/>
              </w:rPr>
            </w:pPr>
            <w:r w:rsidRPr="00BA549B">
              <w:rPr>
                <w:sz w:val="16"/>
                <w:szCs w:val="16"/>
              </w:rPr>
              <w:t>English Language</w:t>
            </w:r>
          </w:p>
          <w:p w14:paraId="669E4810" w14:textId="77777777" w:rsidR="00BA549B" w:rsidRPr="00BA549B" w:rsidRDefault="00BA549B" w:rsidP="00BA549B">
            <w:pPr>
              <w:spacing w:line="200" w:lineRule="exact"/>
              <w:rPr>
                <w:sz w:val="16"/>
                <w:szCs w:val="16"/>
              </w:rPr>
            </w:pPr>
            <w:r w:rsidRPr="00BA549B">
              <w:rPr>
                <w:sz w:val="16"/>
                <w:szCs w:val="16"/>
              </w:rPr>
              <w:t>Human</w:t>
            </w:r>
          </w:p>
        </w:tc>
        <w:tc>
          <w:tcPr>
            <w:tcW w:w="749" w:type="dxa"/>
          </w:tcPr>
          <w:p w14:paraId="613F7C54" w14:textId="77777777" w:rsidR="00BA549B" w:rsidRPr="00BA549B" w:rsidRDefault="00BA549B" w:rsidP="00BA549B">
            <w:pPr>
              <w:spacing w:line="200" w:lineRule="exact"/>
              <w:rPr>
                <w:b/>
                <w:sz w:val="16"/>
                <w:szCs w:val="16"/>
              </w:rPr>
            </w:pPr>
            <w:r w:rsidRPr="00BA549B">
              <w:rPr>
                <w:b/>
                <w:sz w:val="16"/>
                <w:szCs w:val="16"/>
              </w:rPr>
              <w:t>948</w:t>
            </w:r>
          </w:p>
        </w:tc>
        <w:tc>
          <w:tcPr>
            <w:tcW w:w="930" w:type="dxa"/>
          </w:tcPr>
          <w:p w14:paraId="5B919FA5" w14:textId="77777777" w:rsidR="00BA549B" w:rsidRPr="00BA549B" w:rsidRDefault="00BA549B" w:rsidP="00BA549B">
            <w:pPr>
              <w:spacing w:line="200" w:lineRule="exact"/>
              <w:rPr>
                <w:sz w:val="16"/>
                <w:szCs w:val="16"/>
              </w:rPr>
            </w:pPr>
            <w:r w:rsidRPr="00BA549B">
              <w:rPr>
                <w:sz w:val="16"/>
                <w:szCs w:val="16"/>
              </w:rPr>
              <w:t>16-Jan-19</w:t>
            </w:r>
          </w:p>
        </w:tc>
      </w:tr>
      <w:tr w:rsidR="00BA549B" w:rsidRPr="00BA549B" w14:paraId="1E8C4908" w14:textId="77777777" w:rsidTr="00BA549B">
        <w:tc>
          <w:tcPr>
            <w:tcW w:w="1020" w:type="dxa"/>
          </w:tcPr>
          <w:p w14:paraId="165031D4" w14:textId="77777777" w:rsidR="00BA549B" w:rsidRPr="00BA549B" w:rsidRDefault="00BA549B" w:rsidP="00BA549B">
            <w:pPr>
              <w:spacing w:line="200" w:lineRule="exact"/>
              <w:rPr>
                <w:b/>
                <w:sz w:val="16"/>
                <w:szCs w:val="16"/>
              </w:rPr>
            </w:pPr>
            <w:r w:rsidRPr="00BA549B">
              <w:rPr>
                <w:b/>
                <w:sz w:val="16"/>
                <w:szCs w:val="16"/>
              </w:rPr>
              <w:t>CINAHL</w:t>
            </w:r>
          </w:p>
        </w:tc>
        <w:tc>
          <w:tcPr>
            <w:tcW w:w="4320" w:type="dxa"/>
          </w:tcPr>
          <w:p w14:paraId="1D9450E2" w14:textId="77777777" w:rsidR="00BA549B" w:rsidRPr="00BA549B" w:rsidRDefault="00BA549B" w:rsidP="00BA549B">
            <w:pPr>
              <w:spacing w:line="200" w:lineRule="exact"/>
              <w:rPr>
                <w:rFonts w:cs="Helvetica"/>
                <w:color w:val="333333"/>
                <w:sz w:val="16"/>
                <w:szCs w:val="16"/>
                <w:bdr w:val="none" w:sz="0" w:space="0" w:color="auto" w:frame="1"/>
                <w:shd w:val="clear" w:color="auto" w:fill="FFFFFF"/>
              </w:rPr>
            </w:pPr>
            <w:r w:rsidRPr="00BA549B">
              <w:rPr>
                <w:rFonts w:cs="Helvetica"/>
                <w:color w:val="333333"/>
                <w:sz w:val="16"/>
                <w:szCs w:val="16"/>
                <w:bdr w:val="none" w:sz="0" w:space="0" w:color="auto" w:frame="1"/>
                <w:shd w:val="clear" w:color="auto" w:fill="FFFFFF"/>
              </w:rPr>
              <w:t xml:space="preserve">( (MH "Pregnancy+") OR (MH "Pregnancy Trimesters+") OR (MM "Prenatal Nutritional Physiology") OR (MM "Prenatal Exposure Delayed Effects") OR ("Pregnan*") ) </w:t>
            </w:r>
          </w:p>
          <w:p w14:paraId="5DEFB0C9" w14:textId="77777777" w:rsidR="00BA549B" w:rsidRPr="00BA549B" w:rsidRDefault="00BA549B" w:rsidP="00BA549B">
            <w:pPr>
              <w:spacing w:line="200" w:lineRule="exact"/>
              <w:rPr>
                <w:sz w:val="16"/>
                <w:szCs w:val="16"/>
              </w:rPr>
            </w:pPr>
            <w:r w:rsidRPr="00BA549B">
              <w:rPr>
                <w:rFonts w:cs="Helvetica"/>
                <w:color w:val="333333"/>
                <w:sz w:val="16"/>
                <w:szCs w:val="16"/>
                <w:bdr w:val="none" w:sz="0" w:space="0" w:color="auto" w:frame="1"/>
                <w:shd w:val="clear" w:color="auto" w:fill="FFFFFF"/>
              </w:rPr>
              <w:t>AND TX ( (MM "Zinc") OR ("Zinc") )</w:t>
            </w:r>
          </w:p>
        </w:tc>
        <w:tc>
          <w:tcPr>
            <w:tcW w:w="1229" w:type="dxa"/>
          </w:tcPr>
          <w:p w14:paraId="4F5E022F" w14:textId="77777777" w:rsidR="00BA549B" w:rsidRPr="00BA549B" w:rsidRDefault="00BA549B" w:rsidP="00BA549B">
            <w:pPr>
              <w:spacing w:line="200" w:lineRule="exact"/>
              <w:rPr>
                <w:sz w:val="16"/>
                <w:szCs w:val="16"/>
              </w:rPr>
            </w:pPr>
            <w:r w:rsidRPr="00BA549B">
              <w:rPr>
                <w:sz w:val="16"/>
                <w:szCs w:val="16"/>
              </w:rPr>
              <w:t>01-Jan-2014 to 31-Dec-2019</w:t>
            </w:r>
          </w:p>
        </w:tc>
        <w:tc>
          <w:tcPr>
            <w:tcW w:w="1032" w:type="dxa"/>
          </w:tcPr>
          <w:p w14:paraId="6486A5E1" w14:textId="77777777" w:rsidR="00BA549B" w:rsidRPr="00BA549B" w:rsidRDefault="00BA549B" w:rsidP="00BA549B">
            <w:pPr>
              <w:spacing w:line="200" w:lineRule="exact"/>
              <w:rPr>
                <w:sz w:val="16"/>
                <w:szCs w:val="16"/>
              </w:rPr>
            </w:pPr>
            <w:r w:rsidRPr="00BA549B">
              <w:rPr>
                <w:sz w:val="16"/>
                <w:szCs w:val="16"/>
              </w:rPr>
              <w:t>Human</w:t>
            </w:r>
          </w:p>
        </w:tc>
        <w:tc>
          <w:tcPr>
            <w:tcW w:w="749" w:type="dxa"/>
          </w:tcPr>
          <w:p w14:paraId="1C969CA8" w14:textId="77777777" w:rsidR="00BA549B" w:rsidRPr="00BA549B" w:rsidRDefault="00BA549B" w:rsidP="00BA549B">
            <w:pPr>
              <w:spacing w:line="200" w:lineRule="exact"/>
              <w:rPr>
                <w:b/>
                <w:sz w:val="16"/>
                <w:szCs w:val="16"/>
              </w:rPr>
            </w:pPr>
            <w:r w:rsidRPr="00BA549B">
              <w:rPr>
                <w:b/>
                <w:sz w:val="16"/>
                <w:szCs w:val="16"/>
              </w:rPr>
              <w:t>124</w:t>
            </w:r>
          </w:p>
        </w:tc>
        <w:tc>
          <w:tcPr>
            <w:tcW w:w="930" w:type="dxa"/>
          </w:tcPr>
          <w:p w14:paraId="59048C6E" w14:textId="77777777" w:rsidR="00BA549B" w:rsidRPr="00BA549B" w:rsidRDefault="00BA549B" w:rsidP="00BA549B">
            <w:pPr>
              <w:spacing w:line="200" w:lineRule="exact"/>
              <w:rPr>
                <w:sz w:val="16"/>
                <w:szCs w:val="16"/>
              </w:rPr>
            </w:pPr>
            <w:r w:rsidRPr="00BA549B">
              <w:rPr>
                <w:sz w:val="16"/>
                <w:szCs w:val="16"/>
              </w:rPr>
              <w:t>16-Jan-19</w:t>
            </w:r>
          </w:p>
        </w:tc>
      </w:tr>
      <w:tr w:rsidR="00BA549B" w:rsidRPr="00BA549B" w14:paraId="11FE53AE" w14:textId="77777777" w:rsidTr="00BA549B">
        <w:tc>
          <w:tcPr>
            <w:tcW w:w="1020" w:type="dxa"/>
          </w:tcPr>
          <w:p w14:paraId="06DA6F0F" w14:textId="77777777" w:rsidR="00BA549B" w:rsidRPr="00BA549B" w:rsidRDefault="00BA549B" w:rsidP="00BA549B">
            <w:pPr>
              <w:spacing w:line="200" w:lineRule="exact"/>
              <w:rPr>
                <w:b/>
                <w:sz w:val="16"/>
                <w:szCs w:val="16"/>
              </w:rPr>
            </w:pPr>
            <w:r w:rsidRPr="00BA549B">
              <w:rPr>
                <w:b/>
                <w:sz w:val="16"/>
                <w:szCs w:val="16"/>
              </w:rPr>
              <w:t>SCOPUS</w:t>
            </w:r>
          </w:p>
        </w:tc>
        <w:tc>
          <w:tcPr>
            <w:tcW w:w="4320" w:type="dxa"/>
          </w:tcPr>
          <w:p w14:paraId="1C327B77" w14:textId="00CED0DC" w:rsidR="00BA549B" w:rsidRPr="008E2073" w:rsidRDefault="00BA549B" w:rsidP="008E2073">
            <w:pPr>
              <w:spacing w:line="200" w:lineRule="exact"/>
              <w:outlineLvl w:val="1"/>
              <w:rPr>
                <w:rFonts w:cstheme="minorHAnsi"/>
                <w:sz w:val="16"/>
                <w:szCs w:val="16"/>
                <w:lang w:eastAsia="en-AU"/>
              </w:rPr>
            </w:pPr>
            <w:r w:rsidRPr="00BA549B">
              <w:rPr>
                <w:rFonts w:cstheme="minorHAnsi"/>
                <w:sz w:val="16"/>
                <w:szCs w:val="16"/>
                <w:lang w:eastAsia="en-AU"/>
              </w:rPr>
              <w:t>TITLE-ABS-KEY ( ( "Pregnan*" )  OR  ( "prenatal*" )  AND  ( "Zinc" ) )</w:t>
            </w:r>
          </w:p>
        </w:tc>
        <w:tc>
          <w:tcPr>
            <w:tcW w:w="1229" w:type="dxa"/>
          </w:tcPr>
          <w:p w14:paraId="57B73E73" w14:textId="77777777" w:rsidR="00BA549B" w:rsidRPr="00BA549B" w:rsidRDefault="00BA549B" w:rsidP="00BA549B">
            <w:pPr>
              <w:spacing w:line="200" w:lineRule="exact"/>
              <w:rPr>
                <w:sz w:val="16"/>
                <w:szCs w:val="16"/>
              </w:rPr>
            </w:pPr>
            <w:r w:rsidRPr="00BA549B">
              <w:rPr>
                <w:sz w:val="16"/>
                <w:szCs w:val="16"/>
              </w:rPr>
              <w:t>2014-2019</w:t>
            </w:r>
          </w:p>
        </w:tc>
        <w:tc>
          <w:tcPr>
            <w:tcW w:w="1032" w:type="dxa"/>
          </w:tcPr>
          <w:p w14:paraId="2BE3A0CA" w14:textId="77777777" w:rsidR="00BA549B" w:rsidRPr="00BA549B" w:rsidRDefault="00BA549B" w:rsidP="00BA549B">
            <w:pPr>
              <w:spacing w:line="200" w:lineRule="exact"/>
              <w:rPr>
                <w:sz w:val="16"/>
                <w:szCs w:val="16"/>
              </w:rPr>
            </w:pPr>
            <w:r w:rsidRPr="00BA549B">
              <w:rPr>
                <w:sz w:val="16"/>
                <w:szCs w:val="16"/>
              </w:rPr>
              <w:t>English</w:t>
            </w:r>
          </w:p>
        </w:tc>
        <w:tc>
          <w:tcPr>
            <w:tcW w:w="749" w:type="dxa"/>
          </w:tcPr>
          <w:p w14:paraId="569C2525" w14:textId="77777777" w:rsidR="00BA549B" w:rsidRPr="00BA549B" w:rsidRDefault="00BA549B" w:rsidP="00BA549B">
            <w:pPr>
              <w:spacing w:line="200" w:lineRule="exact"/>
              <w:rPr>
                <w:b/>
                <w:sz w:val="16"/>
                <w:szCs w:val="16"/>
              </w:rPr>
            </w:pPr>
            <w:r w:rsidRPr="00BA549B">
              <w:rPr>
                <w:b/>
                <w:sz w:val="16"/>
                <w:szCs w:val="16"/>
              </w:rPr>
              <w:t>1232</w:t>
            </w:r>
          </w:p>
        </w:tc>
        <w:tc>
          <w:tcPr>
            <w:tcW w:w="930" w:type="dxa"/>
          </w:tcPr>
          <w:p w14:paraId="3F49EC62" w14:textId="77777777" w:rsidR="00BA549B" w:rsidRPr="00BA549B" w:rsidRDefault="00BA549B" w:rsidP="00BA549B">
            <w:pPr>
              <w:spacing w:line="200" w:lineRule="exact"/>
              <w:rPr>
                <w:sz w:val="16"/>
                <w:szCs w:val="16"/>
              </w:rPr>
            </w:pPr>
            <w:r w:rsidRPr="00BA549B">
              <w:rPr>
                <w:sz w:val="16"/>
                <w:szCs w:val="16"/>
              </w:rPr>
              <w:t>16-Jan-19</w:t>
            </w:r>
          </w:p>
        </w:tc>
      </w:tr>
      <w:tr w:rsidR="00BA549B" w:rsidRPr="00BA549B" w14:paraId="4743D6EC" w14:textId="77777777" w:rsidTr="00BA549B">
        <w:tc>
          <w:tcPr>
            <w:tcW w:w="1020" w:type="dxa"/>
          </w:tcPr>
          <w:p w14:paraId="64DCF926" w14:textId="77777777" w:rsidR="00BA549B" w:rsidRPr="00BA549B" w:rsidRDefault="00BA549B" w:rsidP="00BA549B">
            <w:pPr>
              <w:spacing w:line="200" w:lineRule="exact"/>
              <w:rPr>
                <w:b/>
                <w:sz w:val="16"/>
                <w:szCs w:val="16"/>
              </w:rPr>
            </w:pPr>
            <w:r w:rsidRPr="00BA549B">
              <w:rPr>
                <w:b/>
                <w:sz w:val="16"/>
                <w:szCs w:val="16"/>
              </w:rPr>
              <w:t>Health Infonet</w:t>
            </w:r>
          </w:p>
        </w:tc>
        <w:tc>
          <w:tcPr>
            <w:tcW w:w="4320" w:type="dxa"/>
          </w:tcPr>
          <w:p w14:paraId="0C4F16D3" w14:textId="77777777" w:rsidR="00BA549B" w:rsidRPr="00BA549B" w:rsidRDefault="00BA549B" w:rsidP="00BA549B">
            <w:pPr>
              <w:spacing w:line="200" w:lineRule="exact"/>
              <w:rPr>
                <w:sz w:val="16"/>
                <w:szCs w:val="16"/>
              </w:rPr>
            </w:pPr>
            <w:r w:rsidRPr="00BA549B">
              <w:rPr>
                <w:sz w:val="16"/>
                <w:szCs w:val="16"/>
              </w:rPr>
              <w:t>Zinc – title and abstract</w:t>
            </w:r>
          </w:p>
          <w:p w14:paraId="512B6555" w14:textId="77777777" w:rsidR="00BA549B" w:rsidRPr="00BA549B" w:rsidRDefault="00BA549B" w:rsidP="00BA549B">
            <w:pPr>
              <w:spacing w:line="200" w:lineRule="exact"/>
              <w:rPr>
                <w:sz w:val="16"/>
                <w:szCs w:val="16"/>
              </w:rPr>
            </w:pPr>
            <w:r w:rsidRPr="00BA549B">
              <w:rPr>
                <w:sz w:val="16"/>
                <w:szCs w:val="16"/>
              </w:rPr>
              <w:t>Pregnancy - keyword</w:t>
            </w:r>
          </w:p>
        </w:tc>
        <w:tc>
          <w:tcPr>
            <w:tcW w:w="1229" w:type="dxa"/>
          </w:tcPr>
          <w:p w14:paraId="08DB4F11" w14:textId="175EBC99" w:rsidR="00BA549B" w:rsidRPr="00BA549B" w:rsidRDefault="00BA549B" w:rsidP="00BA549B">
            <w:pPr>
              <w:spacing w:line="200" w:lineRule="exact"/>
              <w:rPr>
                <w:sz w:val="16"/>
                <w:szCs w:val="16"/>
              </w:rPr>
            </w:pPr>
            <w:r w:rsidRPr="00BA549B">
              <w:rPr>
                <w:sz w:val="16"/>
                <w:szCs w:val="16"/>
              </w:rPr>
              <w:t>2014-current</w:t>
            </w:r>
            <w:r w:rsidR="00162E95">
              <w:rPr>
                <w:sz w:val="16"/>
                <w:szCs w:val="16"/>
              </w:rPr>
              <w:t>=</w:t>
            </w:r>
            <w:r w:rsidRPr="00BA549B">
              <w:rPr>
                <w:sz w:val="16"/>
                <w:szCs w:val="16"/>
              </w:rPr>
              <w:t>0</w:t>
            </w:r>
          </w:p>
          <w:p w14:paraId="6074E2D7" w14:textId="51758EB4" w:rsidR="00BA549B" w:rsidRPr="00BA549B" w:rsidRDefault="00BA549B" w:rsidP="00BA549B">
            <w:pPr>
              <w:spacing w:line="200" w:lineRule="exact"/>
              <w:rPr>
                <w:sz w:val="16"/>
                <w:szCs w:val="16"/>
              </w:rPr>
            </w:pPr>
            <w:r w:rsidRPr="00BA549B">
              <w:rPr>
                <w:sz w:val="16"/>
                <w:szCs w:val="16"/>
              </w:rPr>
              <w:t>All dates</w:t>
            </w:r>
            <w:r w:rsidR="00162E95">
              <w:rPr>
                <w:sz w:val="16"/>
                <w:szCs w:val="16"/>
              </w:rPr>
              <w:t>=</w:t>
            </w:r>
            <w:r w:rsidRPr="00BA549B">
              <w:rPr>
                <w:sz w:val="16"/>
                <w:szCs w:val="16"/>
              </w:rPr>
              <w:t xml:space="preserve">15 </w:t>
            </w:r>
          </w:p>
        </w:tc>
        <w:tc>
          <w:tcPr>
            <w:tcW w:w="1032" w:type="dxa"/>
          </w:tcPr>
          <w:p w14:paraId="7F2F3DA0" w14:textId="77777777" w:rsidR="00BA549B" w:rsidRPr="00BA549B" w:rsidRDefault="00BA549B" w:rsidP="00BA549B">
            <w:pPr>
              <w:spacing w:line="200" w:lineRule="exact"/>
              <w:rPr>
                <w:sz w:val="16"/>
                <w:szCs w:val="16"/>
              </w:rPr>
            </w:pPr>
            <w:r w:rsidRPr="00BA549B">
              <w:rPr>
                <w:sz w:val="16"/>
                <w:szCs w:val="16"/>
              </w:rPr>
              <w:t>None</w:t>
            </w:r>
          </w:p>
        </w:tc>
        <w:tc>
          <w:tcPr>
            <w:tcW w:w="749" w:type="dxa"/>
          </w:tcPr>
          <w:p w14:paraId="525C1610" w14:textId="77777777" w:rsidR="00BA549B" w:rsidRPr="00BA549B" w:rsidRDefault="00BA549B" w:rsidP="00BA549B">
            <w:pPr>
              <w:spacing w:line="200" w:lineRule="exact"/>
              <w:rPr>
                <w:b/>
                <w:sz w:val="16"/>
                <w:szCs w:val="16"/>
              </w:rPr>
            </w:pPr>
            <w:r w:rsidRPr="00BA549B">
              <w:rPr>
                <w:b/>
                <w:sz w:val="16"/>
                <w:szCs w:val="16"/>
              </w:rPr>
              <w:t>0</w:t>
            </w:r>
          </w:p>
        </w:tc>
        <w:tc>
          <w:tcPr>
            <w:tcW w:w="930" w:type="dxa"/>
          </w:tcPr>
          <w:p w14:paraId="31C7563B" w14:textId="77777777" w:rsidR="00BA549B" w:rsidRPr="00BA549B" w:rsidRDefault="00BA549B" w:rsidP="00BA549B">
            <w:pPr>
              <w:spacing w:line="200" w:lineRule="exact"/>
              <w:rPr>
                <w:sz w:val="16"/>
                <w:szCs w:val="16"/>
              </w:rPr>
            </w:pPr>
            <w:r w:rsidRPr="00BA549B">
              <w:rPr>
                <w:sz w:val="16"/>
                <w:szCs w:val="16"/>
              </w:rPr>
              <w:t>16-Jan-19</w:t>
            </w:r>
          </w:p>
        </w:tc>
      </w:tr>
      <w:tr w:rsidR="00BA549B" w:rsidRPr="00BA549B" w14:paraId="3772E024" w14:textId="77777777" w:rsidTr="00BA549B">
        <w:tc>
          <w:tcPr>
            <w:tcW w:w="1020" w:type="dxa"/>
          </w:tcPr>
          <w:p w14:paraId="1098EC23" w14:textId="77777777" w:rsidR="00BA549B" w:rsidRPr="00BA549B" w:rsidRDefault="00BA549B" w:rsidP="00BA549B">
            <w:pPr>
              <w:spacing w:line="200" w:lineRule="exact"/>
              <w:rPr>
                <w:b/>
                <w:sz w:val="16"/>
                <w:szCs w:val="16"/>
              </w:rPr>
            </w:pPr>
            <w:r w:rsidRPr="00BA549B">
              <w:rPr>
                <w:b/>
                <w:sz w:val="16"/>
                <w:szCs w:val="16"/>
              </w:rPr>
              <w:t>Cochrane</w:t>
            </w:r>
          </w:p>
        </w:tc>
        <w:tc>
          <w:tcPr>
            <w:tcW w:w="4320" w:type="dxa"/>
          </w:tcPr>
          <w:p w14:paraId="55A7AA5E" w14:textId="77777777" w:rsidR="00BA549B" w:rsidRPr="00BA549B" w:rsidRDefault="00BA549B" w:rsidP="00BA549B">
            <w:pPr>
              <w:spacing w:line="200" w:lineRule="exact"/>
              <w:rPr>
                <w:sz w:val="16"/>
                <w:szCs w:val="16"/>
              </w:rPr>
            </w:pPr>
            <w:r w:rsidRPr="00BA549B">
              <w:rPr>
                <w:sz w:val="16"/>
                <w:szCs w:val="16"/>
              </w:rPr>
              <w:t>((MeSH descriptor: [Pregnancy] explode all trees) OR (Prenatal)) AND (Zinc)</w:t>
            </w:r>
          </w:p>
        </w:tc>
        <w:tc>
          <w:tcPr>
            <w:tcW w:w="1229" w:type="dxa"/>
          </w:tcPr>
          <w:p w14:paraId="1C3FC612" w14:textId="77777777" w:rsidR="00BA549B" w:rsidRPr="00BA549B" w:rsidRDefault="00BA549B" w:rsidP="00BA549B">
            <w:pPr>
              <w:spacing w:line="200" w:lineRule="exact"/>
              <w:rPr>
                <w:sz w:val="16"/>
                <w:szCs w:val="16"/>
              </w:rPr>
            </w:pPr>
            <w:r w:rsidRPr="00BA549B">
              <w:rPr>
                <w:sz w:val="16"/>
                <w:szCs w:val="16"/>
              </w:rPr>
              <w:t>Nov 2014 to Dec 2019</w:t>
            </w:r>
          </w:p>
        </w:tc>
        <w:tc>
          <w:tcPr>
            <w:tcW w:w="1032" w:type="dxa"/>
          </w:tcPr>
          <w:p w14:paraId="559E65EC" w14:textId="77777777" w:rsidR="00BA549B" w:rsidRPr="00BA549B" w:rsidRDefault="00BA549B" w:rsidP="00BA549B">
            <w:pPr>
              <w:spacing w:line="200" w:lineRule="exact"/>
              <w:rPr>
                <w:sz w:val="16"/>
                <w:szCs w:val="16"/>
              </w:rPr>
            </w:pPr>
            <w:r w:rsidRPr="00BA549B">
              <w:rPr>
                <w:sz w:val="16"/>
                <w:szCs w:val="16"/>
              </w:rPr>
              <w:t>Trials</w:t>
            </w:r>
          </w:p>
        </w:tc>
        <w:tc>
          <w:tcPr>
            <w:tcW w:w="749" w:type="dxa"/>
          </w:tcPr>
          <w:p w14:paraId="38B8F038" w14:textId="77777777" w:rsidR="00BA549B" w:rsidRPr="00BA549B" w:rsidRDefault="00BA549B" w:rsidP="00BA549B">
            <w:pPr>
              <w:spacing w:line="200" w:lineRule="exact"/>
              <w:rPr>
                <w:b/>
                <w:sz w:val="16"/>
                <w:szCs w:val="16"/>
              </w:rPr>
            </w:pPr>
            <w:r w:rsidRPr="00BA549B">
              <w:rPr>
                <w:b/>
                <w:sz w:val="16"/>
                <w:szCs w:val="16"/>
              </w:rPr>
              <w:t>34</w:t>
            </w:r>
          </w:p>
        </w:tc>
        <w:tc>
          <w:tcPr>
            <w:tcW w:w="930" w:type="dxa"/>
          </w:tcPr>
          <w:p w14:paraId="29E453E2" w14:textId="77777777" w:rsidR="00BA549B" w:rsidRPr="00BA549B" w:rsidRDefault="00BA549B" w:rsidP="00BA549B">
            <w:pPr>
              <w:spacing w:line="200" w:lineRule="exact"/>
              <w:rPr>
                <w:sz w:val="16"/>
                <w:szCs w:val="16"/>
              </w:rPr>
            </w:pPr>
            <w:r w:rsidRPr="00BA549B">
              <w:rPr>
                <w:sz w:val="16"/>
                <w:szCs w:val="16"/>
              </w:rPr>
              <w:t>16-Jan-19</w:t>
            </w:r>
          </w:p>
        </w:tc>
      </w:tr>
    </w:tbl>
    <w:p w14:paraId="0D19F3EC" w14:textId="77777777" w:rsidR="00F608FE" w:rsidRDefault="00F608FE" w:rsidP="00F608FE">
      <w:pPr>
        <w:pStyle w:val="Figurename"/>
        <w:rPr>
          <w:lang w:val="en-AU"/>
        </w:rPr>
      </w:pPr>
    </w:p>
    <w:p w14:paraId="7D8D4C9F" w14:textId="229B7EBE" w:rsidR="000D4DFC" w:rsidRDefault="005A15A9" w:rsidP="000D4DFC">
      <w:pPr>
        <w:pStyle w:val="Figure"/>
        <w:rPr>
          <w:lang w:val="en-AU"/>
        </w:rPr>
      </w:pPr>
      <w:r>
        <w:rPr>
          <w:noProof/>
          <w:lang w:val="en-AU" w:eastAsia="en-AU"/>
        </w:rPr>
        <w:drawing>
          <wp:inline distT="0" distB="0" distL="0" distR="0" wp14:anchorId="425A0468" wp14:editId="7E46711A">
            <wp:extent cx="3668214" cy="3628149"/>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inc.png"/>
                    <pic:cNvPicPr/>
                  </pic:nvPicPr>
                  <pic:blipFill>
                    <a:blip r:embed="rId26">
                      <a:extLst>
                        <a:ext uri="{28A0092B-C50C-407E-A947-70E740481C1C}">
                          <a14:useLocalDpi xmlns:a14="http://schemas.microsoft.com/office/drawing/2010/main" val="0"/>
                        </a:ext>
                      </a:extLst>
                    </a:blip>
                    <a:stretch>
                      <a:fillRect/>
                    </a:stretch>
                  </pic:blipFill>
                  <pic:spPr>
                    <a:xfrm>
                      <a:off x="0" y="0"/>
                      <a:ext cx="3674629" cy="3634494"/>
                    </a:xfrm>
                    <a:prstGeom prst="rect">
                      <a:avLst/>
                    </a:prstGeom>
                  </pic:spPr>
                </pic:pic>
              </a:graphicData>
            </a:graphic>
          </wp:inline>
        </w:drawing>
      </w:r>
    </w:p>
    <w:p w14:paraId="1636BB2D" w14:textId="55F39AFA" w:rsidR="00F608FE" w:rsidRDefault="00F608FE" w:rsidP="00F608FE">
      <w:pPr>
        <w:pStyle w:val="Figurename"/>
        <w:rPr>
          <w:lang w:val="en-AU"/>
        </w:rPr>
      </w:pPr>
      <w:r>
        <w:rPr>
          <w:lang w:val="en-AU"/>
        </w:rPr>
        <w:t>PRISMA diagram: Zinc</w:t>
      </w:r>
    </w:p>
    <w:p w14:paraId="54C3C86A" w14:textId="77777777" w:rsidR="00FA758C" w:rsidRDefault="00FA758C" w:rsidP="00BA549B">
      <w:pPr>
        <w:pStyle w:val="Heading4"/>
        <w:rPr>
          <w:lang w:val="en-AU"/>
        </w:rPr>
      </w:pPr>
      <w:r>
        <w:rPr>
          <w:lang w:val="en-AU"/>
        </w:rPr>
        <w:t>Zinc top-up search</w:t>
      </w:r>
    </w:p>
    <w:p w14:paraId="08E3BB3B" w14:textId="2929ED3F" w:rsidR="00FA758C" w:rsidRDefault="00FA758C" w:rsidP="00FA758C">
      <w:pPr>
        <w:rPr>
          <w:lang w:val="en-AU"/>
        </w:rPr>
      </w:pPr>
      <w:r>
        <w:rPr>
          <w:lang w:val="en-AU"/>
        </w:rPr>
        <w:t>Search date: 12 March 2020</w:t>
      </w:r>
    </w:p>
    <w:p w14:paraId="2037D15A" w14:textId="564181CF" w:rsidR="004235AD" w:rsidRDefault="004235AD" w:rsidP="004235AD">
      <w:pPr>
        <w:pStyle w:val="Figure"/>
        <w:rPr>
          <w:lang w:val="en-AU"/>
        </w:rPr>
      </w:pPr>
      <w:r>
        <w:rPr>
          <w:noProof/>
          <w:lang w:val="en-AU" w:eastAsia="en-AU"/>
        </w:rPr>
        <w:drawing>
          <wp:inline distT="0" distB="0" distL="0" distR="0" wp14:anchorId="2A1DCD20" wp14:editId="7648B9B8">
            <wp:extent cx="3382464" cy="30805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Zinc topup.png"/>
                    <pic:cNvPicPr/>
                  </pic:nvPicPr>
                  <pic:blipFill>
                    <a:blip r:embed="rId27">
                      <a:extLst>
                        <a:ext uri="{28A0092B-C50C-407E-A947-70E740481C1C}">
                          <a14:useLocalDpi xmlns:a14="http://schemas.microsoft.com/office/drawing/2010/main" val="0"/>
                        </a:ext>
                      </a:extLst>
                    </a:blip>
                    <a:stretch>
                      <a:fillRect/>
                    </a:stretch>
                  </pic:blipFill>
                  <pic:spPr>
                    <a:xfrm>
                      <a:off x="0" y="0"/>
                      <a:ext cx="3391166" cy="3088490"/>
                    </a:xfrm>
                    <a:prstGeom prst="rect">
                      <a:avLst/>
                    </a:prstGeom>
                  </pic:spPr>
                </pic:pic>
              </a:graphicData>
            </a:graphic>
          </wp:inline>
        </w:drawing>
      </w:r>
    </w:p>
    <w:p w14:paraId="18673C58" w14:textId="4B82BCDB" w:rsidR="004235AD" w:rsidRDefault="004235AD" w:rsidP="004235AD">
      <w:pPr>
        <w:pStyle w:val="Figurename"/>
        <w:rPr>
          <w:lang w:val="en-AU"/>
        </w:rPr>
      </w:pPr>
      <w:r>
        <w:rPr>
          <w:lang w:val="en-AU"/>
        </w:rPr>
        <w:t>PRISMA diagram: Zinc top-up</w:t>
      </w:r>
    </w:p>
    <w:p w14:paraId="3E30A299" w14:textId="75EC64CB" w:rsidR="00BA549B" w:rsidRDefault="00BA549B" w:rsidP="004235AD">
      <w:pPr>
        <w:pStyle w:val="Heading4"/>
        <w:rPr>
          <w:lang w:val="en-AU"/>
        </w:rPr>
      </w:pPr>
      <w:r>
        <w:rPr>
          <w:lang w:val="en-AU"/>
        </w:rPr>
        <w:t>Magnesium supplementation</w:t>
      </w:r>
      <w:r w:rsidR="000D04A0">
        <w:t xml:space="preserve"> (research question 3)</w:t>
      </w:r>
    </w:p>
    <w:p w14:paraId="375F4FB9" w14:textId="77777777" w:rsidR="00BA549B" w:rsidRDefault="00BA549B" w:rsidP="004235AD">
      <w:pPr>
        <w:keepNext/>
        <w:keepLines/>
      </w:pPr>
      <w:r>
        <w:t>Previous Magnesium supplementation in pregnancy Cochrane search date: 31 March 2013</w:t>
      </w:r>
    </w:p>
    <w:p w14:paraId="452DDE65" w14:textId="3F6B5270" w:rsidR="00BA549B" w:rsidRPr="000E2410" w:rsidRDefault="00BA549B" w:rsidP="004235AD">
      <w:pPr>
        <w:keepNext/>
        <w:keepLines/>
      </w:pPr>
      <w:r>
        <w:t xml:space="preserve">Citation: </w:t>
      </w:r>
      <w:r w:rsidRPr="00BA549B">
        <w:rPr>
          <w:bCs/>
        </w:rPr>
        <w:t>Makrides</w:t>
      </w:r>
      <w:r>
        <w:rPr>
          <w:bCs/>
        </w:rPr>
        <w:t xml:space="preserve"> M</w:t>
      </w:r>
      <w:r w:rsidRPr="000E2410">
        <w:rPr>
          <w:bCs/>
        </w:rPr>
        <w:t xml:space="preserve">, </w:t>
      </w:r>
      <w:r w:rsidRPr="00BA549B">
        <w:rPr>
          <w:bCs/>
        </w:rPr>
        <w:t>Crosby</w:t>
      </w:r>
      <w:r>
        <w:rPr>
          <w:bCs/>
        </w:rPr>
        <w:t xml:space="preserve"> DD</w:t>
      </w:r>
      <w:r w:rsidRPr="000E2410">
        <w:rPr>
          <w:bCs/>
        </w:rPr>
        <w:t xml:space="preserve">, </w:t>
      </w:r>
      <w:r w:rsidRPr="00BA549B">
        <w:rPr>
          <w:bCs/>
        </w:rPr>
        <w:t>Bain</w:t>
      </w:r>
      <w:r>
        <w:rPr>
          <w:bCs/>
        </w:rPr>
        <w:t xml:space="preserve"> E</w:t>
      </w:r>
      <w:r w:rsidRPr="000E2410">
        <w:rPr>
          <w:bCs/>
        </w:rPr>
        <w:t xml:space="preserve">, </w:t>
      </w:r>
      <w:r w:rsidRPr="00BA549B">
        <w:rPr>
          <w:bCs/>
        </w:rPr>
        <w:t>Crowther</w:t>
      </w:r>
      <w:r>
        <w:rPr>
          <w:bCs/>
        </w:rPr>
        <w:t xml:space="preserve"> CA</w:t>
      </w:r>
      <w:r w:rsidRPr="000E2410">
        <w:t xml:space="preserve"> Magnesium supplementation in pregnancy, Cochrane Database of Systematic Reviews 2014, Issue 4. Art. No.: CD000937.</w:t>
      </w:r>
    </w:p>
    <w:p w14:paraId="0BB9ABD3" w14:textId="77777777" w:rsidR="00BA549B" w:rsidRDefault="00BA549B" w:rsidP="004235AD">
      <w:pPr>
        <w:keepNext/>
        <w:keepLines/>
        <w:rPr>
          <w:b/>
        </w:rPr>
      </w:pPr>
      <w:r>
        <w:rPr>
          <w:b/>
        </w:rPr>
        <w:t>Current search dates:</w:t>
      </w:r>
    </w:p>
    <w:p w14:paraId="6D017D0A" w14:textId="77777777" w:rsidR="00BA549B" w:rsidRPr="00196D36" w:rsidRDefault="00BA549B" w:rsidP="00BA549B">
      <w:r>
        <w:t>31-Mar-2013-current</w:t>
      </w:r>
    </w:p>
    <w:tbl>
      <w:tblPr>
        <w:tblStyle w:val="TableGrid"/>
        <w:tblW w:w="0" w:type="auto"/>
        <w:tblLook w:val="04A0" w:firstRow="1" w:lastRow="0" w:firstColumn="1" w:lastColumn="0" w:noHBand="0" w:noVBand="1"/>
      </w:tblPr>
      <w:tblGrid>
        <w:gridCol w:w="977"/>
        <w:gridCol w:w="4780"/>
        <w:gridCol w:w="1035"/>
        <w:gridCol w:w="956"/>
        <w:gridCol w:w="758"/>
        <w:gridCol w:w="774"/>
      </w:tblGrid>
      <w:tr w:rsidR="00BA549B" w:rsidRPr="00BA549B" w14:paraId="043B252A" w14:textId="77777777" w:rsidTr="00170EC6">
        <w:trPr>
          <w:tblHeader/>
        </w:trPr>
        <w:tc>
          <w:tcPr>
            <w:tcW w:w="1554" w:type="dxa"/>
          </w:tcPr>
          <w:p w14:paraId="6D26DC18" w14:textId="77777777" w:rsidR="00BA549B" w:rsidRPr="00BA549B" w:rsidRDefault="00BA549B" w:rsidP="00BA549B">
            <w:pPr>
              <w:spacing w:line="200" w:lineRule="exact"/>
              <w:rPr>
                <w:b/>
                <w:sz w:val="16"/>
                <w:szCs w:val="16"/>
              </w:rPr>
            </w:pPr>
            <w:r w:rsidRPr="00BA549B">
              <w:rPr>
                <w:b/>
                <w:sz w:val="16"/>
                <w:szCs w:val="16"/>
              </w:rPr>
              <w:t>Database</w:t>
            </w:r>
          </w:p>
        </w:tc>
        <w:tc>
          <w:tcPr>
            <w:tcW w:w="6238" w:type="dxa"/>
          </w:tcPr>
          <w:p w14:paraId="06D6817A" w14:textId="77777777" w:rsidR="00BA549B" w:rsidRPr="00BA549B" w:rsidRDefault="00BA549B" w:rsidP="00BA549B">
            <w:pPr>
              <w:spacing w:line="200" w:lineRule="exact"/>
              <w:rPr>
                <w:b/>
                <w:sz w:val="16"/>
                <w:szCs w:val="16"/>
              </w:rPr>
            </w:pPr>
            <w:r w:rsidRPr="00BA549B">
              <w:rPr>
                <w:b/>
                <w:sz w:val="16"/>
                <w:szCs w:val="16"/>
              </w:rPr>
              <w:t>Search Strategy</w:t>
            </w:r>
          </w:p>
        </w:tc>
        <w:tc>
          <w:tcPr>
            <w:tcW w:w="1842" w:type="dxa"/>
          </w:tcPr>
          <w:p w14:paraId="6E31E96D" w14:textId="77777777" w:rsidR="00BA549B" w:rsidRPr="00BA549B" w:rsidRDefault="00BA549B" w:rsidP="00BA549B">
            <w:pPr>
              <w:spacing w:line="200" w:lineRule="exact"/>
              <w:rPr>
                <w:b/>
                <w:sz w:val="16"/>
                <w:szCs w:val="16"/>
              </w:rPr>
            </w:pPr>
            <w:r w:rsidRPr="00BA549B">
              <w:rPr>
                <w:b/>
                <w:sz w:val="16"/>
                <w:szCs w:val="16"/>
              </w:rPr>
              <w:t>Dates Searched</w:t>
            </w:r>
          </w:p>
        </w:tc>
        <w:tc>
          <w:tcPr>
            <w:tcW w:w="1822" w:type="dxa"/>
          </w:tcPr>
          <w:p w14:paraId="0BD4FF13" w14:textId="77777777" w:rsidR="00BA549B" w:rsidRPr="00BA549B" w:rsidRDefault="00BA549B" w:rsidP="00BA549B">
            <w:pPr>
              <w:spacing w:line="200" w:lineRule="exact"/>
              <w:rPr>
                <w:b/>
                <w:sz w:val="16"/>
                <w:szCs w:val="16"/>
              </w:rPr>
            </w:pPr>
            <w:r w:rsidRPr="00BA549B">
              <w:rPr>
                <w:b/>
                <w:sz w:val="16"/>
                <w:szCs w:val="16"/>
              </w:rPr>
              <w:t>Limits set</w:t>
            </w:r>
          </w:p>
        </w:tc>
        <w:tc>
          <w:tcPr>
            <w:tcW w:w="875" w:type="dxa"/>
          </w:tcPr>
          <w:p w14:paraId="054A34C7" w14:textId="77777777" w:rsidR="00BA549B" w:rsidRPr="00BA549B" w:rsidRDefault="00BA549B" w:rsidP="00BA549B">
            <w:pPr>
              <w:spacing w:line="200" w:lineRule="exact"/>
              <w:rPr>
                <w:b/>
                <w:sz w:val="16"/>
                <w:szCs w:val="16"/>
              </w:rPr>
            </w:pPr>
            <w:r w:rsidRPr="00BA549B">
              <w:rPr>
                <w:b/>
                <w:sz w:val="16"/>
                <w:szCs w:val="16"/>
              </w:rPr>
              <w:t>Results</w:t>
            </w:r>
          </w:p>
        </w:tc>
        <w:tc>
          <w:tcPr>
            <w:tcW w:w="1617" w:type="dxa"/>
          </w:tcPr>
          <w:p w14:paraId="0AD7649A" w14:textId="77777777" w:rsidR="00BA549B" w:rsidRPr="00BA549B" w:rsidRDefault="00BA549B" w:rsidP="00BA549B">
            <w:pPr>
              <w:spacing w:line="200" w:lineRule="exact"/>
              <w:rPr>
                <w:b/>
                <w:sz w:val="16"/>
                <w:szCs w:val="16"/>
              </w:rPr>
            </w:pPr>
            <w:r w:rsidRPr="00BA549B">
              <w:rPr>
                <w:b/>
                <w:sz w:val="16"/>
                <w:szCs w:val="16"/>
              </w:rPr>
              <w:t>Date of search</w:t>
            </w:r>
          </w:p>
        </w:tc>
      </w:tr>
      <w:tr w:rsidR="00BA549B" w:rsidRPr="00BA549B" w14:paraId="5170B725" w14:textId="77777777" w:rsidTr="004B3125">
        <w:tc>
          <w:tcPr>
            <w:tcW w:w="1554" w:type="dxa"/>
          </w:tcPr>
          <w:p w14:paraId="6C0D7F17" w14:textId="77777777" w:rsidR="00BA549B" w:rsidRPr="00BA549B" w:rsidRDefault="00BA549B" w:rsidP="00BA549B">
            <w:pPr>
              <w:spacing w:line="200" w:lineRule="exact"/>
              <w:rPr>
                <w:b/>
                <w:sz w:val="16"/>
                <w:szCs w:val="16"/>
              </w:rPr>
            </w:pPr>
            <w:r w:rsidRPr="00BA549B">
              <w:rPr>
                <w:b/>
                <w:sz w:val="16"/>
                <w:szCs w:val="16"/>
              </w:rPr>
              <w:t>Pubmed</w:t>
            </w:r>
          </w:p>
        </w:tc>
        <w:tc>
          <w:tcPr>
            <w:tcW w:w="6238" w:type="dxa"/>
          </w:tcPr>
          <w:p w14:paraId="5CD19675" w14:textId="77777777" w:rsidR="00BA549B" w:rsidRPr="00BA549B" w:rsidRDefault="00BA549B" w:rsidP="00BA549B">
            <w:pPr>
              <w:spacing w:line="200" w:lineRule="exact"/>
              <w:rPr>
                <w:sz w:val="16"/>
                <w:szCs w:val="16"/>
              </w:rPr>
            </w:pPr>
            <w:r w:rsidRPr="00BA549B">
              <w:rPr>
                <w:sz w:val="16"/>
                <w:szCs w:val="16"/>
              </w:rPr>
              <w:t xml:space="preserve">("pregnancy"[MeSH Terms] OR "pregnan*"[All Fields] OR "prenatal*"[All Fields]) </w:t>
            </w:r>
          </w:p>
          <w:p w14:paraId="6F85DF24" w14:textId="77777777" w:rsidR="00BA549B" w:rsidRPr="00BA549B" w:rsidRDefault="00BA549B" w:rsidP="00BA549B">
            <w:pPr>
              <w:spacing w:line="200" w:lineRule="exact"/>
              <w:rPr>
                <w:sz w:val="16"/>
                <w:szCs w:val="16"/>
              </w:rPr>
            </w:pPr>
            <w:r w:rsidRPr="00BA549B">
              <w:rPr>
                <w:sz w:val="16"/>
                <w:szCs w:val="16"/>
              </w:rPr>
              <w:t xml:space="preserve">AND ("magnesium"[MeSH Terms] OR "magnesium"[All Fields]) </w:t>
            </w:r>
          </w:p>
        </w:tc>
        <w:tc>
          <w:tcPr>
            <w:tcW w:w="1842" w:type="dxa"/>
          </w:tcPr>
          <w:p w14:paraId="7DCE63B5" w14:textId="77777777" w:rsidR="00BA549B" w:rsidRPr="00BA549B" w:rsidRDefault="00BA549B" w:rsidP="00BA549B">
            <w:pPr>
              <w:spacing w:line="200" w:lineRule="exact"/>
              <w:rPr>
                <w:sz w:val="16"/>
                <w:szCs w:val="16"/>
              </w:rPr>
            </w:pPr>
            <w:r w:rsidRPr="00BA549B">
              <w:rPr>
                <w:sz w:val="16"/>
                <w:szCs w:val="16"/>
              </w:rPr>
              <w:t>31-Mar-2013 to 31-Dec-2019</w:t>
            </w:r>
          </w:p>
        </w:tc>
        <w:tc>
          <w:tcPr>
            <w:tcW w:w="1822" w:type="dxa"/>
          </w:tcPr>
          <w:p w14:paraId="71D40BDD" w14:textId="77777777" w:rsidR="00BA549B" w:rsidRPr="00BA549B" w:rsidRDefault="00BA549B" w:rsidP="00BA549B">
            <w:pPr>
              <w:spacing w:line="200" w:lineRule="exact"/>
              <w:rPr>
                <w:sz w:val="16"/>
                <w:szCs w:val="16"/>
              </w:rPr>
            </w:pPr>
            <w:r w:rsidRPr="00BA549B">
              <w:rPr>
                <w:sz w:val="16"/>
                <w:szCs w:val="16"/>
              </w:rPr>
              <w:t>Human</w:t>
            </w:r>
          </w:p>
          <w:p w14:paraId="6ED819E3" w14:textId="77777777" w:rsidR="00BA549B" w:rsidRPr="00BA549B" w:rsidRDefault="00BA549B" w:rsidP="00BA549B">
            <w:pPr>
              <w:spacing w:line="200" w:lineRule="exact"/>
              <w:rPr>
                <w:sz w:val="16"/>
                <w:szCs w:val="16"/>
              </w:rPr>
            </w:pPr>
            <w:r w:rsidRPr="00BA549B">
              <w:rPr>
                <w:sz w:val="16"/>
                <w:szCs w:val="16"/>
              </w:rPr>
              <w:t>English Language</w:t>
            </w:r>
          </w:p>
        </w:tc>
        <w:tc>
          <w:tcPr>
            <w:tcW w:w="875" w:type="dxa"/>
          </w:tcPr>
          <w:p w14:paraId="73661C5D" w14:textId="77777777" w:rsidR="00BA549B" w:rsidRPr="00BA549B" w:rsidRDefault="00BA549B" w:rsidP="00BA549B">
            <w:pPr>
              <w:spacing w:line="200" w:lineRule="exact"/>
              <w:rPr>
                <w:b/>
                <w:sz w:val="16"/>
                <w:szCs w:val="16"/>
              </w:rPr>
            </w:pPr>
            <w:r w:rsidRPr="00BA549B">
              <w:rPr>
                <w:b/>
                <w:sz w:val="16"/>
                <w:szCs w:val="16"/>
              </w:rPr>
              <w:t>492</w:t>
            </w:r>
          </w:p>
        </w:tc>
        <w:tc>
          <w:tcPr>
            <w:tcW w:w="1617" w:type="dxa"/>
          </w:tcPr>
          <w:p w14:paraId="2F5B0237" w14:textId="77777777" w:rsidR="00BA549B" w:rsidRPr="00BA549B" w:rsidRDefault="00BA549B" w:rsidP="00BA549B">
            <w:pPr>
              <w:spacing w:line="200" w:lineRule="exact"/>
              <w:rPr>
                <w:sz w:val="16"/>
                <w:szCs w:val="16"/>
              </w:rPr>
            </w:pPr>
            <w:r w:rsidRPr="00BA549B">
              <w:rPr>
                <w:sz w:val="16"/>
                <w:szCs w:val="16"/>
              </w:rPr>
              <w:t>13-Feb-19</w:t>
            </w:r>
          </w:p>
        </w:tc>
      </w:tr>
      <w:tr w:rsidR="00BA549B" w:rsidRPr="00BA549B" w14:paraId="1E409C74" w14:textId="77777777" w:rsidTr="004B3125">
        <w:tc>
          <w:tcPr>
            <w:tcW w:w="1554" w:type="dxa"/>
          </w:tcPr>
          <w:p w14:paraId="6C2EE500" w14:textId="77777777" w:rsidR="00BA549B" w:rsidRPr="00BA549B" w:rsidRDefault="00BA549B" w:rsidP="00BA549B">
            <w:pPr>
              <w:spacing w:line="200" w:lineRule="exact"/>
              <w:rPr>
                <w:b/>
                <w:sz w:val="16"/>
                <w:szCs w:val="16"/>
              </w:rPr>
            </w:pPr>
            <w:r w:rsidRPr="00BA549B">
              <w:rPr>
                <w:b/>
                <w:sz w:val="16"/>
                <w:szCs w:val="16"/>
              </w:rPr>
              <w:t>Ovid medline</w:t>
            </w:r>
          </w:p>
        </w:tc>
        <w:tc>
          <w:tcPr>
            <w:tcW w:w="6238" w:type="dxa"/>
          </w:tcPr>
          <w:p w14:paraId="5E1413AE" w14:textId="77777777" w:rsidR="00BA549B" w:rsidRPr="00BA549B" w:rsidRDefault="00BA549B" w:rsidP="00BA549B">
            <w:pPr>
              <w:spacing w:line="200" w:lineRule="exact"/>
              <w:rPr>
                <w:rFonts w:cs="Helvetica"/>
                <w:color w:val="2D2D2D"/>
                <w:sz w:val="16"/>
                <w:szCs w:val="16"/>
                <w:shd w:val="clear" w:color="auto" w:fill="FFFFFF"/>
              </w:rPr>
            </w:pPr>
            <w:r w:rsidRPr="00BA549B">
              <w:rPr>
                <w:rFonts w:cs="Helvetica"/>
                <w:sz w:val="16"/>
                <w:szCs w:val="16"/>
                <w:shd w:val="clear" w:color="auto" w:fill="FFFFFF"/>
              </w:rPr>
              <w:t>(Pregnancy/syn or Pregnan*.mp.) and magnesium.mp.</w:t>
            </w:r>
          </w:p>
        </w:tc>
        <w:tc>
          <w:tcPr>
            <w:tcW w:w="1842" w:type="dxa"/>
          </w:tcPr>
          <w:p w14:paraId="4343DC98" w14:textId="77777777" w:rsidR="00BA549B" w:rsidRPr="00BA549B" w:rsidRDefault="00BA549B" w:rsidP="00BA549B">
            <w:pPr>
              <w:spacing w:line="200" w:lineRule="exact"/>
              <w:rPr>
                <w:sz w:val="16"/>
                <w:szCs w:val="16"/>
              </w:rPr>
            </w:pPr>
            <w:r w:rsidRPr="00BA549B">
              <w:rPr>
                <w:sz w:val="16"/>
                <w:szCs w:val="16"/>
              </w:rPr>
              <w:t>2013-Current</w:t>
            </w:r>
          </w:p>
        </w:tc>
        <w:tc>
          <w:tcPr>
            <w:tcW w:w="1822" w:type="dxa"/>
          </w:tcPr>
          <w:p w14:paraId="1D7279A7" w14:textId="77777777" w:rsidR="00BA549B" w:rsidRPr="00BA549B" w:rsidRDefault="00BA549B" w:rsidP="00BA549B">
            <w:pPr>
              <w:spacing w:line="200" w:lineRule="exact"/>
              <w:rPr>
                <w:sz w:val="16"/>
                <w:szCs w:val="16"/>
              </w:rPr>
            </w:pPr>
            <w:r w:rsidRPr="00BA549B">
              <w:rPr>
                <w:sz w:val="16"/>
                <w:szCs w:val="16"/>
              </w:rPr>
              <w:t>English Language</w:t>
            </w:r>
          </w:p>
          <w:p w14:paraId="4BB1CB9E" w14:textId="77777777" w:rsidR="00BA549B" w:rsidRPr="00BA549B" w:rsidRDefault="00BA549B" w:rsidP="00BA549B">
            <w:pPr>
              <w:spacing w:line="200" w:lineRule="exact"/>
              <w:rPr>
                <w:sz w:val="16"/>
                <w:szCs w:val="16"/>
              </w:rPr>
            </w:pPr>
            <w:r w:rsidRPr="00BA549B">
              <w:rPr>
                <w:sz w:val="16"/>
                <w:szCs w:val="16"/>
              </w:rPr>
              <w:t>Human</w:t>
            </w:r>
          </w:p>
        </w:tc>
        <w:tc>
          <w:tcPr>
            <w:tcW w:w="875" w:type="dxa"/>
          </w:tcPr>
          <w:p w14:paraId="7EDD3EF7" w14:textId="77777777" w:rsidR="00BA549B" w:rsidRPr="00BA549B" w:rsidRDefault="00BA549B" w:rsidP="00BA549B">
            <w:pPr>
              <w:spacing w:line="200" w:lineRule="exact"/>
              <w:rPr>
                <w:b/>
                <w:sz w:val="16"/>
                <w:szCs w:val="16"/>
              </w:rPr>
            </w:pPr>
            <w:r w:rsidRPr="00BA549B">
              <w:rPr>
                <w:b/>
                <w:sz w:val="16"/>
                <w:szCs w:val="16"/>
              </w:rPr>
              <w:t>530</w:t>
            </w:r>
          </w:p>
        </w:tc>
        <w:tc>
          <w:tcPr>
            <w:tcW w:w="1617" w:type="dxa"/>
          </w:tcPr>
          <w:p w14:paraId="08C59061" w14:textId="77777777" w:rsidR="00BA549B" w:rsidRPr="00BA549B" w:rsidRDefault="00BA549B" w:rsidP="00BA549B">
            <w:pPr>
              <w:spacing w:line="200" w:lineRule="exact"/>
              <w:rPr>
                <w:sz w:val="16"/>
                <w:szCs w:val="16"/>
              </w:rPr>
            </w:pPr>
            <w:r w:rsidRPr="00BA549B">
              <w:rPr>
                <w:sz w:val="16"/>
                <w:szCs w:val="16"/>
              </w:rPr>
              <w:t>13-Feb-19</w:t>
            </w:r>
          </w:p>
        </w:tc>
      </w:tr>
      <w:tr w:rsidR="00BA549B" w:rsidRPr="00BA549B" w14:paraId="05A02DB0" w14:textId="77777777" w:rsidTr="004B3125">
        <w:tc>
          <w:tcPr>
            <w:tcW w:w="1554" w:type="dxa"/>
          </w:tcPr>
          <w:p w14:paraId="2FBEBEFF" w14:textId="77777777" w:rsidR="00BA549B" w:rsidRPr="00BA549B" w:rsidRDefault="00BA549B" w:rsidP="00BA549B">
            <w:pPr>
              <w:spacing w:line="200" w:lineRule="exact"/>
              <w:rPr>
                <w:b/>
                <w:sz w:val="16"/>
                <w:szCs w:val="16"/>
              </w:rPr>
            </w:pPr>
            <w:r w:rsidRPr="00BA549B">
              <w:rPr>
                <w:b/>
                <w:sz w:val="16"/>
                <w:szCs w:val="16"/>
              </w:rPr>
              <w:t>Embase</w:t>
            </w:r>
          </w:p>
        </w:tc>
        <w:tc>
          <w:tcPr>
            <w:tcW w:w="6238" w:type="dxa"/>
          </w:tcPr>
          <w:p w14:paraId="43B20099" w14:textId="77777777" w:rsidR="00BA549B" w:rsidRPr="00BA549B" w:rsidRDefault="00BA549B" w:rsidP="00BA549B">
            <w:pPr>
              <w:spacing w:line="200" w:lineRule="exact"/>
              <w:rPr>
                <w:sz w:val="16"/>
                <w:szCs w:val="16"/>
              </w:rPr>
            </w:pPr>
            <w:r w:rsidRPr="00BA549B">
              <w:rPr>
                <w:sz w:val="16"/>
                <w:szCs w:val="16"/>
              </w:rPr>
              <w:t xml:space="preserve">('pregnancy'/exp  OR pregnan*) </w:t>
            </w:r>
          </w:p>
          <w:p w14:paraId="1ECDBDC2" w14:textId="77777777" w:rsidR="00BA549B" w:rsidRPr="00BA549B" w:rsidRDefault="00BA549B" w:rsidP="00BA549B">
            <w:pPr>
              <w:spacing w:line="200" w:lineRule="exact"/>
              <w:rPr>
                <w:sz w:val="16"/>
                <w:szCs w:val="16"/>
              </w:rPr>
            </w:pPr>
            <w:r w:rsidRPr="00BA549B">
              <w:rPr>
                <w:sz w:val="16"/>
                <w:szCs w:val="16"/>
              </w:rPr>
              <w:t>AND (magnesium OR ‘magnesium’/exp)</w:t>
            </w:r>
          </w:p>
        </w:tc>
        <w:tc>
          <w:tcPr>
            <w:tcW w:w="1842" w:type="dxa"/>
          </w:tcPr>
          <w:p w14:paraId="55F57C97" w14:textId="77777777" w:rsidR="00BA549B" w:rsidRPr="00BA549B" w:rsidRDefault="00BA549B" w:rsidP="00BA549B">
            <w:pPr>
              <w:spacing w:line="200" w:lineRule="exact"/>
              <w:rPr>
                <w:sz w:val="16"/>
                <w:szCs w:val="16"/>
              </w:rPr>
            </w:pPr>
            <w:r w:rsidRPr="00BA549B">
              <w:rPr>
                <w:sz w:val="16"/>
                <w:szCs w:val="16"/>
              </w:rPr>
              <w:t>2013-2019</w:t>
            </w:r>
          </w:p>
        </w:tc>
        <w:tc>
          <w:tcPr>
            <w:tcW w:w="1822" w:type="dxa"/>
          </w:tcPr>
          <w:p w14:paraId="45B980C6" w14:textId="77777777" w:rsidR="00BA549B" w:rsidRPr="00BA549B" w:rsidRDefault="00BA549B" w:rsidP="00BA549B">
            <w:pPr>
              <w:spacing w:line="200" w:lineRule="exact"/>
              <w:rPr>
                <w:sz w:val="16"/>
                <w:szCs w:val="16"/>
              </w:rPr>
            </w:pPr>
            <w:r w:rsidRPr="00BA549B">
              <w:rPr>
                <w:sz w:val="16"/>
                <w:szCs w:val="16"/>
              </w:rPr>
              <w:t>English Language</w:t>
            </w:r>
          </w:p>
          <w:p w14:paraId="788E168D" w14:textId="77777777" w:rsidR="00BA549B" w:rsidRPr="00BA549B" w:rsidRDefault="00BA549B" w:rsidP="00BA549B">
            <w:pPr>
              <w:spacing w:line="200" w:lineRule="exact"/>
              <w:rPr>
                <w:sz w:val="16"/>
                <w:szCs w:val="16"/>
              </w:rPr>
            </w:pPr>
            <w:r w:rsidRPr="00BA549B">
              <w:rPr>
                <w:sz w:val="16"/>
                <w:szCs w:val="16"/>
              </w:rPr>
              <w:t>Human</w:t>
            </w:r>
          </w:p>
        </w:tc>
        <w:tc>
          <w:tcPr>
            <w:tcW w:w="875" w:type="dxa"/>
          </w:tcPr>
          <w:p w14:paraId="7E040B44" w14:textId="77777777" w:rsidR="00BA549B" w:rsidRPr="00BA549B" w:rsidRDefault="00BA549B" w:rsidP="00BA549B">
            <w:pPr>
              <w:spacing w:line="200" w:lineRule="exact"/>
              <w:rPr>
                <w:b/>
                <w:sz w:val="16"/>
                <w:szCs w:val="16"/>
              </w:rPr>
            </w:pPr>
            <w:r w:rsidRPr="00BA549B">
              <w:rPr>
                <w:b/>
                <w:sz w:val="16"/>
                <w:szCs w:val="16"/>
              </w:rPr>
              <w:t>1947</w:t>
            </w:r>
          </w:p>
        </w:tc>
        <w:tc>
          <w:tcPr>
            <w:tcW w:w="1617" w:type="dxa"/>
          </w:tcPr>
          <w:p w14:paraId="7C312D34" w14:textId="77777777" w:rsidR="00BA549B" w:rsidRPr="00BA549B" w:rsidRDefault="00BA549B" w:rsidP="00BA549B">
            <w:pPr>
              <w:spacing w:line="200" w:lineRule="exact"/>
              <w:rPr>
                <w:sz w:val="16"/>
                <w:szCs w:val="16"/>
              </w:rPr>
            </w:pPr>
            <w:r w:rsidRPr="00BA549B">
              <w:rPr>
                <w:sz w:val="16"/>
                <w:szCs w:val="16"/>
              </w:rPr>
              <w:t>25-Feb-19</w:t>
            </w:r>
          </w:p>
        </w:tc>
      </w:tr>
      <w:tr w:rsidR="00BA549B" w:rsidRPr="00BA549B" w14:paraId="6AB7059A" w14:textId="77777777" w:rsidTr="004B3125">
        <w:tc>
          <w:tcPr>
            <w:tcW w:w="1554" w:type="dxa"/>
          </w:tcPr>
          <w:p w14:paraId="6D056DE9" w14:textId="77777777" w:rsidR="00BA549B" w:rsidRPr="00BA549B" w:rsidRDefault="00BA549B" w:rsidP="00BA549B">
            <w:pPr>
              <w:spacing w:line="200" w:lineRule="exact"/>
              <w:rPr>
                <w:b/>
                <w:sz w:val="16"/>
                <w:szCs w:val="16"/>
              </w:rPr>
            </w:pPr>
            <w:r w:rsidRPr="00BA549B">
              <w:rPr>
                <w:b/>
                <w:sz w:val="16"/>
                <w:szCs w:val="16"/>
              </w:rPr>
              <w:t>CINAHL</w:t>
            </w:r>
          </w:p>
        </w:tc>
        <w:tc>
          <w:tcPr>
            <w:tcW w:w="6238" w:type="dxa"/>
          </w:tcPr>
          <w:p w14:paraId="04566D99" w14:textId="77777777" w:rsidR="00BA549B" w:rsidRPr="00BA549B" w:rsidRDefault="00BA549B" w:rsidP="00BA549B">
            <w:pPr>
              <w:spacing w:line="200" w:lineRule="exact"/>
              <w:rPr>
                <w:rFonts w:cs="Helvetica"/>
                <w:color w:val="333333"/>
                <w:sz w:val="16"/>
                <w:szCs w:val="16"/>
                <w:bdr w:val="none" w:sz="0" w:space="0" w:color="auto" w:frame="1"/>
                <w:shd w:val="clear" w:color="auto" w:fill="FFFFFF"/>
              </w:rPr>
            </w:pPr>
            <w:r w:rsidRPr="00BA549B">
              <w:rPr>
                <w:rFonts w:cs="Helvetica"/>
                <w:color w:val="333333"/>
                <w:sz w:val="16"/>
                <w:szCs w:val="16"/>
                <w:bdr w:val="none" w:sz="0" w:space="0" w:color="auto" w:frame="1"/>
                <w:shd w:val="clear" w:color="auto" w:fill="FFFFFF"/>
              </w:rPr>
              <w:t xml:space="preserve">( (MH "Pregnancy+") OR (MH "Pregnancy Trimesters+") OR (MM "Prenatal Nutritional Physiology") OR (MM "Prenatal Exposure Delayed Effects") OR ("Pregnan*") ) </w:t>
            </w:r>
          </w:p>
          <w:p w14:paraId="02B73411" w14:textId="77777777" w:rsidR="00BA549B" w:rsidRPr="00BA549B" w:rsidRDefault="00BA549B" w:rsidP="00BA549B">
            <w:pPr>
              <w:spacing w:line="200" w:lineRule="exact"/>
              <w:rPr>
                <w:sz w:val="16"/>
                <w:szCs w:val="16"/>
              </w:rPr>
            </w:pPr>
            <w:r w:rsidRPr="00BA549B">
              <w:rPr>
                <w:rFonts w:cs="Helvetica"/>
                <w:color w:val="333333"/>
                <w:sz w:val="16"/>
                <w:szCs w:val="16"/>
                <w:bdr w:val="none" w:sz="0" w:space="0" w:color="auto" w:frame="1"/>
                <w:shd w:val="clear" w:color="auto" w:fill="FFFFFF"/>
              </w:rPr>
              <w:t>AND TX ( (MM "Magnesium") OR ("Magnesium") )</w:t>
            </w:r>
          </w:p>
        </w:tc>
        <w:tc>
          <w:tcPr>
            <w:tcW w:w="1842" w:type="dxa"/>
          </w:tcPr>
          <w:p w14:paraId="49552D78" w14:textId="77777777" w:rsidR="00BA549B" w:rsidRPr="00BA549B" w:rsidRDefault="00BA549B" w:rsidP="00BA549B">
            <w:pPr>
              <w:spacing w:line="200" w:lineRule="exact"/>
              <w:rPr>
                <w:sz w:val="16"/>
                <w:szCs w:val="16"/>
              </w:rPr>
            </w:pPr>
            <w:r w:rsidRPr="00BA549B">
              <w:rPr>
                <w:sz w:val="16"/>
                <w:szCs w:val="16"/>
              </w:rPr>
              <w:t>01-Jan-2013 to 31-Dec-2019</w:t>
            </w:r>
          </w:p>
        </w:tc>
        <w:tc>
          <w:tcPr>
            <w:tcW w:w="1822" w:type="dxa"/>
          </w:tcPr>
          <w:p w14:paraId="63BE1E66" w14:textId="77777777" w:rsidR="00BA549B" w:rsidRPr="00BA549B" w:rsidRDefault="00BA549B" w:rsidP="00BA549B">
            <w:pPr>
              <w:spacing w:line="200" w:lineRule="exact"/>
              <w:rPr>
                <w:sz w:val="16"/>
                <w:szCs w:val="16"/>
              </w:rPr>
            </w:pPr>
            <w:r w:rsidRPr="00BA549B">
              <w:rPr>
                <w:sz w:val="16"/>
                <w:szCs w:val="16"/>
              </w:rPr>
              <w:t>Human</w:t>
            </w:r>
          </w:p>
          <w:p w14:paraId="0FA11CAE" w14:textId="77777777" w:rsidR="00BA549B" w:rsidRPr="00BA549B" w:rsidRDefault="00BA549B" w:rsidP="00BA549B">
            <w:pPr>
              <w:spacing w:line="200" w:lineRule="exact"/>
              <w:rPr>
                <w:sz w:val="16"/>
                <w:szCs w:val="16"/>
              </w:rPr>
            </w:pPr>
            <w:r w:rsidRPr="00BA549B">
              <w:rPr>
                <w:sz w:val="16"/>
                <w:szCs w:val="16"/>
              </w:rPr>
              <w:t>English</w:t>
            </w:r>
          </w:p>
        </w:tc>
        <w:tc>
          <w:tcPr>
            <w:tcW w:w="875" w:type="dxa"/>
          </w:tcPr>
          <w:p w14:paraId="32D5E8B9" w14:textId="77777777" w:rsidR="00BA549B" w:rsidRPr="00BA549B" w:rsidRDefault="00BA549B" w:rsidP="00BA549B">
            <w:pPr>
              <w:spacing w:line="200" w:lineRule="exact"/>
              <w:rPr>
                <w:b/>
                <w:sz w:val="16"/>
                <w:szCs w:val="16"/>
              </w:rPr>
            </w:pPr>
            <w:r w:rsidRPr="00BA549B">
              <w:rPr>
                <w:b/>
                <w:sz w:val="16"/>
                <w:szCs w:val="16"/>
              </w:rPr>
              <w:t>341</w:t>
            </w:r>
          </w:p>
        </w:tc>
        <w:tc>
          <w:tcPr>
            <w:tcW w:w="1617" w:type="dxa"/>
          </w:tcPr>
          <w:p w14:paraId="534DCCCF" w14:textId="77777777" w:rsidR="00BA549B" w:rsidRPr="00BA549B" w:rsidRDefault="00BA549B" w:rsidP="00BA549B">
            <w:pPr>
              <w:spacing w:line="200" w:lineRule="exact"/>
              <w:rPr>
                <w:sz w:val="16"/>
                <w:szCs w:val="16"/>
              </w:rPr>
            </w:pPr>
            <w:r w:rsidRPr="00BA549B">
              <w:rPr>
                <w:sz w:val="16"/>
                <w:szCs w:val="16"/>
              </w:rPr>
              <w:t>13-feb-19</w:t>
            </w:r>
          </w:p>
        </w:tc>
      </w:tr>
      <w:tr w:rsidR="00BA549B" w:rsidRPr="00BA549B" w14:paraId="5D347E93" w14:textId="77777777" w:rsidTr="004B3125">
        <w:tc>
          <w:tcPr>
            <w:tcW w:w="1554" w:type="dxa"/>
          </w:tcPr>
          <w:p w14:paraId="0A5ECE13" w14:textId="77777777" w:rsidR="00BA549B" w:rsidRPr="00BA549B" w:rsidRDefault="00BA549B" w:rsidP="00BA549B">
            <w:pPr>
              <w:spacing w:line="200" w:lineRule="exact"/>
              <w:rPr>
                <w:b/>
                <w:sz w:val="16"/>
                <w:szCs w:val="16"/>
              </w:rPr>
            </w:pPr>
            <w:r w:rsidRPr="00BA549B">
              <w:rPr>
                <w:b/>
                <w:sz w:val="16"/>
                <w:szCs w:val="16"/>
              </w:rPr>
              <w:t>SCOPUS</w:t>
            </w:r>
          </w:p>
        </w:tc>
        <w:tc>
          <w:tcPr>
            <w:tcW w:w="6238" w:type="dxa"/>
          </w:tcPr>
          <w:p w14:paraId="72145C4E" w14:textId="77777777" w:rsidR="00BA549B" w:rsidRPr="00BA549B" w:rsidRDefault="00BA549B" w:rsidP="00BA549B">
            <w:pPr>
              <w:spacing w:line="200" w:lineRule="exact"/>
              <w:outlineLvl w:val="1"/>
              <w:rPr>
                <w:rFonts w:cstheme="minorHAnsi"/>
                <w:sz w:val="16"/>
                <w:szCs w:val="16"/>
                <w:lang w:eastAsia="en-AU"/>
              </w:rPr>
            </w:pPr>
            <w:r w:rsidRPr="00BA549B">
              <w:rPr>
                <w:rFonts w:cstheme="minorHAnsi"/>
                <w:sz w:val="16"/>
                <w:szCs w:val="16"/>
                <w:lang w:eastAsia="en-AU"/>
              </w:rPr>
              <w:t>TITLE-ABS-KEY ( ( "Pregnan*" )  OR  ( "prenatal*" )  AND  ( "Magnesium" ) )</w:t>
            </w:r>
          </w:p>
          <w:p w14:paraId="12261F63" w14:textId="77777777" w:rsidR="00BA549B" w:rsidRPr="00BA549B" w:rsidRDefault="00BA549B" w:rsidP="00BA549B">
            <w:pPr>
              <w:spacing w:line="200" w:lineRule="exact"/>
              <w:rPr>
                <w:sz w:val="16"/>
                <w:szCs w:val="16"/>
              </w:rPr>
            </w:pPr>
          </w:p>
        </w:tc>
        <w:tc>
          <w:tcPr>
            <w:tcW w:w="1842" w:type="dxa"/>
          </w:tcPr>
          <w:p w14:paraId="5B8EE6F7" w14:textId="77777777" w:rsidR="00BA549B" w:rsidRPr="00BA549B" w:rsidRDefault="00BA549B" w:rsidP="00BA549B">
            <w:pPr>
              <w:spacing w:line="200" w:lineRule="exact"/>
              <w:rPr>
                <w:sz w:val="16"/>
                <w:szCs w:val="16"/>
              </w:rPr>
            </w:pPr>
            <w:r w:rsidRPr="00BA549B">
              <w:rPr>
                <w:sz w:val="16"/>
                <w:szCs w:val="16"/>
              </w:rPr>
              <w:t>201432019</w:t>
            </w:r>
          </w:p>
        </w:tc>
        <w:tc>
          <w:tcPr>
            <w:tcW w:w="1822" w:type="dxa"/>
          </w:tcPr>
          <w:p w14:paraId="143F6EF2" w14:textId="77777777" w:rsidR="00BA549B" w:rsidRPr="00BA549B" w:rsidRDefault="00BA549B" w:rsidP="00BA549B">
            <w:pPr>
              <w:spacing w:line="200" w:lineRule="exact"/>
              <w:rPr>
                <w:sz w:val="16"/>
                <w:szCs w:val="16"/>
              </w:rPr>
            </w:pPr>
            <w:r w:rsidRPr="00BA549B">
              <w:rPr>
                <w:sz w:val="16"/>
                <w:szCs w:val="16"/>
              </w:rPr>
              <w:t>English</w:t>
            </w:r>
          </w:p>
        </w:tc>
        <w:tc>
          <w:tcPr>
            <w:tcW w:w="875" w:type="dxa"/>
          </w:tcPr>
          <w:p w14:paraId="608FEBE4" w14:textId="77777777" w:rsidR="00BA549B" w:rsidRPr="00BA549B" w:rsidRDefault="00BA549B" w:rsidP="00BA549B">
            <w:pPr>
              <w:spacing w:line="200" w:lineRule="exact"/>
              <w:rPr>
                <w:b/>
                <w:sz w:val="16"/>
                <w:szCs w:val="16"/>
              </w:rPr>
            </w:pPr>
            <w:r w:rsidRPr="00BA549B">
              <w:rPr>
                <w:b/>
                <w:sz w:val="16"/>
                <w:szCs w:val="16"/>
              </w:rPr>
              <w:t>1872</w:t>
            </w:r>
          </w:p>
        </w:tc>
        <w:tc>
          <w:tcPr>
            <w:tcW w:w="1617" w:type="dxa"/>
          </w:tcPr>
          <w:p w14:paraId="0C596997" w14:textId="77777777" w:rsidR="00BA549B" w:rsidRPr="00BA549B" w:rsidRDefault="00BA549B" w:rsidP="00BA549B">
            <w:pPr>
              <w:spacing w:line="200" w:lineRule="exact"/>
              <w:rPr>
                <w:sz w:val="16"/>
                <w:szCs w:val="16"/>
              </w:rPr>
            </w:pPr>
            <w:r w:rsidRPr="00BA549B">
              <w:rPr>
                <w:sz w:val="16"/>
                <w:szCs w:val="16"/>
              </w:rPr>
              <w:t>13-Feb-19</w:t>
            </w:r>
          </w:p>
        </w:tc>
      </w:tr>
      <w:tr w:rsidR="00BA549B" w:rsidRPr="00BA549B" w14:paraId="4A48F488" w14:textId="77777777" w:rsidTr="008E2073">
        <w:trPr>
          <w:cantSplit/>
        </w:trPr>
        <w:tc>
          <w:tcPr>
            <w:tcW w:w="1554" w:type="dxa"/>
          </w:tcPr>
          <w:p w14:paraId="41E8BA80" w14:textId="77777777" w:rsidR="00BA549B" w:rsidRPr="00BA549B" w:rsidRDefault="00BA549B" w:rsidP="00BA549B">
            <w:pPr>
              <w:spacing w:line="200" w:lineRule="exact"/>
              <w:rPr>
                <w:b/>
                <w:sz w:val="16"/>
                <w:szCs w:val="16"/>
              </w:rPr>
            </w:pPr>
            <w:r w:rsidRPr="00BA549B">
              <w:rPr>
                <w:b/>
                <w:sz w:val="16"/>
                <w:szCs w:val="16"/>
              </w:rPr>
              <w:t>Health Infonet</w:t>
            </w:r>
          </w:p>
        </w:tc>
        <w:tc>
          <w:tcPr>
            <w:tcW w:w="6238" w:type="dxa"/>
          </w:tcPr>
          <w:p w14:paraId="184785F6" w14:textId="77777777" w:rsidR="00BA549B" w:rsidRPr="00BA549B" w:rsidRDefault="00BA549B" w:rsidP="00BA549B">
            <w:pPr>
              <w:spacing w:line="200" w:lineRule="exact"/>
              <w:rPr>
                <w:sz w:val="16"/>
                <w:szCs w:val="16"/>
              </w:rPr>
            </w:pPr>
            <w:r w:rsidRPr="00BA549B">
              <w:rPr>
                <w:sz w:val="16"/>
                <w:szCs w:val="16"/>
              </w:rPr>
              <w:t>Magnesium – title and abstract</w:t>
            </w:r>
          </w:p>
          <w:p w14:paraId="0AEAF075" w14:textId="77777777" w:rsidR="00BA549B" w:rsidRPr="00BA549B" w:rsidRDefault="00BA549B" w:rsidP="00BA549B">
            <w:pPr>
              <w:spacing w:line="200" w:lineRule="exact"/>
              <w:rPr>
                <w:sz w:val="16"/>
                <w:szCs w:val="16"/>
              </w:rPr>
            </w:pPr>
            <w:r w:rsidRPr="00BA549B">
              <w:rPr>
                <w:sz w:val="16"/>
                <w:szCs w:val="16"/>
              </w:rPr>
              <w:t>Pregnancy - keyword</w:t>
            </w:r>
          </w:p>
        </w:tc>
        <w:tc>
          <w:tcPr>
            <w:tcW w:w="1842" w:type="dxa"/>
          </w:tcPr>
          <w:p w14:paraId="721773EB" w14:textId="143DFFE2" w:rsidR="00BA549B" w:rsidRPr="00BA549B" w:rsidRDefault="00BA549B" w:rsidP="00BA549B">
            <w:pPr>
              <w:spacing w:line="200" w:lineRule="exact"/>
              <w:rPr>
                <w:sz w:val="16"/>
                <w:szCs w:val="16"/>
              </w:rPr>
            </w:pPr>
            <w:r w:rsidRPr="00BA549B">
              <w:rPr>
                <w:sz w:val="16"/>
                <w:szCs w:val="16"/>
              </w:rPr>
              <w:t>2014-current</w:t>
            </w:r>
            <w:r w:rsidR="00162E95">
              <w:rPr>
                <w:sz w:val="16"/>
                <w:szCs w:val="16"/>
              </w:rPr>
              <w:t>=</w:t>
            </w:r>
            <w:r w:rsidRPr="00BA549B">
              <w:rPr>
                <w:sz w:val="16"/>
                <w:szCs w:val="16"/>
              </w:rPr>
              <w:t>0</w:t>
            </w:r>
          </w:p>
          <w:p w14:paraId="08C70027" w14:textId="5080D80E" w:rsidR="00BA549B" w:rsidRPr="00BA549B" w:rsidRDefault="00BA549B" w:rsidP="00BA549B">
            <w:pPr>
              <w:spacing w:line="200" w:lineRule="exact"/>
              <w:rPr>
                <w:sz w:val="16"/>
                <w:szCs w:val="16"/>
              </w:rPr>
            </w:pPr>
            <w:r w:rsidRPr="00BA549B">
              <w:rPr>
                <w:sz w:val="16"/>
                <w:szCs w:val="16"/>
              </w:rPr>
              <w:t>All dates</w:t>
            </w:r>
            <w:r w:rsidR="00162E95">
              <w:rPr>
                <w:sz w:val="16"/>
                <w:szCs w:val="16"/>
              </w:rPr>
              <w:t>=</w:t>
            </w:r>
            <w:r w:rsidRPr="00BA549B">
              <w:rPr>
                <w:sz w:val="16"/>
                <w:szCs w:val="16"/>
              </w:rPr>
              <w:t>0</w:t>
            </w:r>
          </w:p>
        </w:tc>
        <w:tc>
          <w:tcPr>
            <w:tcW w:w="1822" w:type="dxa"/>
          </w:tcPr>
          <w:p w14:paraId="555D7C5B" w14:textId="77777777" w:rsidR="00BA549B" w:rsidRPr="00BA549B" w:rsidRDefault="00BA549B" w:rsidP="00BA549B">
            <w:pPr>
              <w:spacing w:line="200" w:lineRule="exact"/>
              <w:rPr>
                <w:sz w:val="16"/>
                <w:szCs w:val="16"/>
              </w:rPr>
            </w:pPr>
            <w:r w:rsidRPr="00BA549B">
              <w:rPr>
                <w:sz w:val="16"/>
                <w:szCs w:val="16"/>
              </w:rPr>
              <w:t>None</w:t>
            </w:r>
          </w:p>
        </w:tc>
        <w:tc>
          <w:tcPr>
            <w:tcW w:w="875" w:type="dxa"/>
          </w:tcPr>
          <w:p w14:paraId="7E78A4FE" w14:textId="77777777" w:rsidR="00BA549B" w:rsidRPr="00BA549B" w:rsidRDefault="00BA549B" w:rsidP="00BA549B">
            <w:pPr>
              <w:spacing w:line="200" w:lineRule="exact"/>
              <w:rPr>
                <w:b/>
                <w:sz w:val="16"/>
                <w:szCs w:val="16"/>
              </w:rPr>
            </w:pPr>
            <w:r w:rsidRPr="00BA549B">
              <w:rPr>
                <w:b/>
                <w:sz w:val="16"/>
                <w:szCs w:val="16"/>
              </w:rPr>
              <w:t>0</w:t>
            </w:r>
          </w:p>
        </w:tc>
        <w:tc>
          <w:tcPr>
            <w:tcW w:w="1617" w:type="dxa"/>
          </w:tcPr>
          <w:p w14:paraId="755EA0BA" w14:textId="77777777" w:rsidR="00BA549B" w:rsidRPr="00BA549B" w:rsidRDefault="00BA549B" w:rsidP="00BA549B">
            <w:pPr>
              <w:spacing w:line="200" w:lineRule="exact"/>
              <w:rPr>
                <w:sz w:val="16"/>
                <w:szCs w:val="16"/>
              </w:rPr>
            </w:pPr>
            <w:r w:rsidRPr="00BA549B">
              <w:rPr>
                <w:sz w:val="16"/>
                <w:szCs w:val="16"/>
              </w:rPr>
              <w:t>13-Feb-19</w:t>
            </w:r>
          </w:p>
        </w:tc>
      </w:tr>
      <w:tr w:rsidR="00BA549B" w:rsidRPr="00BA549B" w14:paraId="05F05427" w14:textId="77777777" w:rsidTr="004B3125">
        <w:tc>
          <w:tcPr>
            <w:tcW w:w="1554" w:type="dxa"/>
          </w:tcPr>
          <w:p w14:paraId="6BD9F413" w14:textId="77777777" w:rsidR="00BA549B" w:rsidRPr="00BA549B" w:rsidRDefault="00BA549B" w:rsidP="00BA549B">
            <w:pPr>
              <w:spacing w:line="200" w:lineRule="exact"/>
              <w:rPr>
                <w:b/>
                <w:sz w:val="16"/>
                <w:szCs w:val="16"/>
              </w:rPr>
            </w:pPr>
            <w:r w:rsidRPr="00BA549B">
              <w:rPr>
                <w:b/>
                <w:sz w:val="16"/>
                <w:szCs w:val="16"/>
              </w:rPr>
              <w:t>Cochrane</w:t>
            </w:r>
          </w:p>
        </w:tc>
        <w:tc>
          <w:tcPr>
            <w:tcW w:w="6238" w:type="dxa"/>
          </w:tcPr>
          <w:p w14:paraId="2375619C" w14:textId="77777777" w:rsidR="00BA549B" w:rsidRPr="00BA549B" w:rsidRDefault="00BA549B" w:rsidP="00BA549B">
            <w:pPr>
              <w:spacing w:line="200" w:lineRule="exact"/>
              <w:rPr>
                <w:sz w:val="16"/>
                <w:szCs w:val="16"/>
              </w:rPr>
            </w:pPr>
            <w:r w:rsidRPr="00BA549B">
              <w:rPr>
                <w:sz w:val="16"/>
                <w:szCs w:val="16"/>
              </w:rPr>
              <w:t xml:space="preserve">((MeSH descriptor: [Pregnancy] explode all trees) </w:t>
            </w:r>
          </w:p>
          <w:p w14:paraId="692E55F1" w14:textId="77777777" w:rsidR="00BA549B" w:rsidRPr="00BA549B" w:rsidRDefault="00BA549B" w:rsidP="00BA549B">
            <w:pPr>
              <w:spacing w:line="200" w:lineRule="exact"/>
              <w:rPr>
                <w:sz w:val="16"/>
                <w:szCs w:val="16"/>
              </w:rPr>
            </w:pPr>
            <w:r w:rsidRPr="00BA549B">
              <w:rPr>
                <w:sz w:val="16"/>
                <w:szCs w:val="16"/>
              </w:rPr>
              <w:t xml:space="preserve">OR (MeSH descriptor: [Pregnant Women] explode all trees) </w:t>
            </w:r>
          </w:p>
          <w:p w14:paraId="31A3E833" w14:textId="77777777" w:rsidR="00BA549B" w:rsidRPr="00BA549B" w:rsidRDefault="00BA549B" w:rsidP="00BA549B">
            <w:pPr>
              <w:spacing w:line="200" w:lineRule="exact"/>
              <w:rPr>
                <w:sz w:val="16"/>
                <w:szCs w:val="16"/>
              </w:rPr>
            </w:pPr>
            <w:r w:rsidRPr="00BA549B">
              <w:rPr>
                <w:sz w:val="16"/>
                <w:szCs w:val="16"/>
              </w:rPr>
              <w:t>OR (MeSH descriptor: [Pregnancy Outcomes] explode all trees)</w:t>
            </w:r>
          </w:p>
          <w:p w14:paraId="780FCAB6" w14:textId="77777777" w:rsidR="00BA549B" w:rsidRPr="00BA549B" w:rsidRDefault="00BA549B" w:rsidP="00BA549B">
            <w:pPr>
              <w:spacing w:line="200" w:lineRule="exact"/>
              <w:rPr>
                <w:sz w:val="16"/>
                <w:szCs w:val="16"/>
              </w:rPr>
            </w:pPr>
            <w:r w:rsidRPr="00BA549B">
              <w:rPr>
                <w:sz w:val="16"/>
                <w:szCs w:val="16"/>
              </w:rPr>
              <w:t xml:space="preserve">OR ‘pregnan*’ OR ‘Prenatal’) </w:t>
            </w:r>
          </w:p>
          <w:p w14:paraId="10E08E53" w14:textId="77777777" w:rsidR="00BA549B" w:rsidRPr="00BA549B" w:rsidRDefault="00BA549B" w:rsidP="00BA549B">
            <w:pPr>
              <w:spacing w:line="200" w:lineRule="exact"/>
              <w:rPr>
                <w:sz w:val="16"/>
                <w:szCs w:val="16"/>
              </w:rPr>
            </w:pPr>
            <w:r w:rsidRPr="00BA549B">
              <w:rPr>
                <w:sz w:val="16"/>
                <w:szCs w:val="16"/>
              </w:rPr>
              <w:t>AND</w:t>
            </w:r>
          </w:p>
          <w:p w14:paraId="4935DED7" w14:textId="0F5D962A" w:rsidR="00BA549B" w:rsidRPr="00BA549B" w:rsidRDefault="00BA549B" w:rsidP="00BA549B">
            <w:pPr>
              <w:spacing w:line="200" w:lineRule="exact"/>
              <w:rPr>
                <w:sz w:val="16"/>
                <w:szCs w:val="16"/>
              </w:rPr>
            </w:pPr>
            <w:r w:rsidRPr="00BA549B">
              <w:rPr>
                <w:sz w:val="16"/>
                <w:szCs w:val="16"/>
              </w:rPr>
              <w:t>(Magnesium)</w:t>
            </w:r>
          </w:p>
        </w:tc>
        <w:tc>
          <w:tcPr>
            <w:tcW w:w="1842" w:type="dxa"/>
          </w:tcPr>
          <w:p w14:paraId="32B2CA9A" w14:textId="77777777" w:rsidR="00BA549B" w:rsidRPr="00BA549B" w:rsidRDefault="00BA549B" w:rsidP="00BA549B">
            <w:pPr>
              <w:spacing w:line="200" w:lineRule="exact"/>
              <w:rPr>
                <w:sz w:val="16"/>
                <w:szCs w:val="16"/>
              </w:rPr>
            </w:pPr>
            <w:r w:rsidRPr="00BA549B">
              <w:rPr>
                <w:sz w:val="16"/>
                <w:szCs w:val="16"/>
              </w:rPr>
              <w:t>Mar 2013 to Dec 2019</w:t>
            </w:r>
          </w:p>
        </w:tc>
        <w:tc>
          <w:tcPr>
            <w:tcW w:w="1822" w:type="dxa"/>
          </w:tcPr>
          <w:p w14:paraId="10135063" w14:textId="77777777" w:rsidR="00BA549B" w:rsidRPr="00BA549B" w:rsidRDefault="00BA549B" w:rsidP="00BA549B">
            <w:pPr>
              <w:spacing w:line="200" w:lineRule="exact"/>
              <w:rPr>
                <w:sz w:val="16"/>
                <w:szCs w:val="16"/>
              </w:rPr>
            </w:pPr>
            <w:r w:rsidRPr="00BA549B">
              <w:rPr>
                <w:sz w:val="16"/>
                <w:szCs w:val="16"/>
              </w:rPr>
              <w:t>Trials</w:t>
            </w:r>
          </w:p>
        </w:tc>
        <w:tc>
          <w:tcPr>
            <w:tcW w:w="875" w:type="dxa"/>
          </w:tcPr>
          <w:p w14:paraId="4FFFA2A8" w14:textId="77777777" w:rsidR="00BA549B" w:rsidRPr="00BA549B" w:rsidRDefault="00BA549B" w:rsidP="00BA549B">
            <w:pPr>
              <w:spacing w:line="200" w:lineRule="exact"/>
              <w:rPr>
                <w:b/>
                <w:sz w:val="16"/>
                <w:szCs w:val="16"/>
              </w:rPr>
            </w:pPr>
            <w:r w:rsidRPr="00BA549B">
              <w:rPr>
                <w:b/>
                <w:sz w:val="16"/>
                <w:szCs w:val="16"/>
              </w:rPr>
              <w:t>204</w:t>
            </w:r>
          </w:p>
        </w:tc>
        <w:tc>
          <w:tcPr>
            <w:tcW w:w="1617" w:type="dxa"/>
          </w:tcPr>
          <w:p w14:paraId="1D0FE5D1" w14:textId="77777777" w:rsidR="00BA549B" w:rsidRPr="00BA549B" w:rsidRDefault="00BA549B" w:rsidP="00BA549B">
            <w:pPr>
              <w:spacing w:line="200" w:lineRule="exact"/>
              <w:rPr>
                <w:sz w:val="16"/>
                <w:szCs w:val="16"/>
              </w:rPr>
            </w:pPr>
            <w:r w:rsidRPr="00BA549B">
              <w:rPr>
                <w:sz w:val="16"/>
                <w:szCs w:val="16"/>
              </w:rPr>
              <w:t>13-feb-19</w:t>
            </w:r>
          </w:p>
        </w:tc>
      </w:tr>
      <w:tr w:rsidR="00BA549B" w:rsidRPr="00BA549B" w14:paraId="1A509E20" w14:textId="77777777" w:rsidTr="004B3125">
        <w:tc>
          <w:tcPr>
            <w:tcW w:w="1554" w:type="dxa"/>
          </w:tcPr>
          <w:p w14:paraId="6FD90BBF" w14:textId="77777777" w:rsidR="00BA549B" w:rsidRPr="00BA549B" w:rsidRDefault="00BA549B" w:rsidP="00BA549B">
            <w:pPr>
              <w:spacing w:line="200" w:lineRule="exact"/>
              <w:rPr>
                <w:b/>
                <w:sz w:val="16"/>
                <w:szCs w:val="16"/>
              </w:rPr>
            </w:pPr>
            <w:r w:rsidRPr="00BA549B">
              <w:rPr>
                <w:b/>
                <w:sz w:val="16"/>
                <w:szCs w:val="16"/>
              </w:rPr>
              <w:t>Psychinfo</w:t>
            </w:r>
          </w:p>
        </w:tc>
        <w:tc>
          <w:tcPr>
            <w:tcW w:w="6238" w:type="dxa"/>
          </w:tcPr>
          <w:p w14:paraId="74A48556" w14:textId="77777777" w:rsidR="00BA549B" w:rsidRPr="00BA549B" w:rsidRDefault="00BA549B" w:rsidP="00BA549B">
            <w:pPr>
              <w:spacing w:line="200" w:lineRule="exact"/>
              <w:rPr>
                <w:sz w:val="16"/>
                <w:szCs w:val="16"/>
              </w:rPr>
            </w:pPr>
            <w:r w:rsidRPr="00BA549B">
              <w:rPr>
                <w:rFonts w:cs="Helvetica"/>
                <w:sz w:val="16"/>
                <w:szCs w:val="16"/>
                <w:shd w:val="clear" w:color="auto" w:fill="FFFFFF"/>
              </w:rPr>
              <w:t>(Pregnancy/syn or Pregnan*.mp.) and magnesium.mp.</w:t>
            </w:r>
          </w:p>
        </w:tc>
        <w:tc>
          <w:tcPr>
            <w:tcW w:w="1842" w:type="dxa"/>
          </w:tcPr>
          <w:p w14:paraId="669C2442" w14:textId="77777777" w:rsidR="00BA549B" w:rsidRPr="00BA549B" w:rsidRDefault="00BA549B" w:rsidP="00BA549B">
            <w:pPr>
              <w:spacing w:line="200" w:lineRule="exact"/>
              <w:rPr>
                <w:sz w:val="16"/>
                <w:szCs w:val="16"/>
              </w:rPr>
            </w:pPr>
            <w:r w:rsidRPr="00BA549B">
              <w:rPr>
                <w:sz w:val="16"/>
                <w:szCs w:val="16"/>
              </w:rPr>
              <w:t>2013-Current</w:t>
            </w:r>
          </w:p>
        </w:tc>
        <w:tc>
          <w:tcPr>
            <w:tcW w:w="1822" w:type="dxa"/>
          </w:tcPr>
          <w:p w14:paraId="0F27E719" w14:textId="77777777" w:rsidR="00BA549B" w:rsidRPr="00BA549B" w:rsidRDefault="00BA549B" w:rsidP="00BA549B">
            <w:pPr>
              <w:spacing w:line="200" w:lineRule="exact"/>
              <w:rPr>
                <w:sz w:val="16"/>
                <w:szCs w:val="16"/>
              </w:rPr>
            </w:pPr>
            <w:r w:rsidRPr="00BA549B">
              <w:rPr>
                <w:sz w:val="16"/>
                <w:szCs w:val="16"/>
              </w:rPr>
              <w:t>English Language</w:t>
            </w:r>
          </w:p>
          <w:p w14:paraId="08D96BDF" w14:textId="77777777" w:rsidR="00BA549B" w:rsidRPr="00BA549B" w:rsidRDefault="00BA549B" w:rsidP="00BA549B">
            <w:pPr>
              <w:spacing w:line="200" w:lineRule="exact"/>
              <w:rPr>
                <w:sz w:val="16"/>
                <w:szCs w:val="16"/>
              </w:rPr>
            </w:pPr>
            <w:r w:rsidRPr="00BA549B">
              <w:rPr>
                <w:sz w:val="16"/>
                <w:szCs w:val="16"/>
              </w:rPr>
              <w:t>Human</w:t>
            </w:r>
          </w:p>
        </w:tc>
        <w:tc>
          <w:tcPr>
            <w:tcW w:w="875" w:type="dxa"/>
          </w:tcPr>
          <w:p w14:paraId="180C0FEC" w14:textId="77777777" w:rsidR="00BA549B" w:rsidRPr="00BA549B" w:rsidRDefault="00BA549B" w:rsidP="00BA549B">
            <w:pPr>
              <w:spacing w:line="200" w:lineRule="exact"/>
              <w:rPr>
                <w:b/>
                <w:sz w:val="16"/>
                <w:szCs w:val="16"/>
              </w:rPr>
            </w:pPr>
            <w:r w:rsidRPr="00BA549B">
              <w:rPr>
                <w:b/>
                <w:sz w:val="16"/>
                <w:szCs w:val="16"/>
              </w:rPr>
              <w:t>11</w:t>
            </w:r>
          </w:p>
        </w:tc>
        <w:tc>
          <w:tcPr>
            <w:tcW w:w="1617" w:type="dxa"/>
          </w:tcPr>
          <w:p w14:paraId="21CB9645" w14:textId="77777777" w:rsidR="00BA549B" w:rsidRPr="00BA549B" w:rsidRDefault="00BA549B" w:rsidP="00BA549B">
            <w:pPr>
              <w:spacing w:line="200" w:lineRule="exact"/>
              <w:rPr>
                <w:sz w:val="16"/>
                <w:szCs w:val="16"/>
              </w:rPr>
            </w:pPr>
            <w:r w:rsidRPr="00BA549B">
              <w:rPr>
                <w:sz w:val="16"/>
                <w:szCs w:val="16"/>
              </w:rPr>
              <w:t>13-Feb-19</w:t>
            </w:r>
          </w:p>
        </w:tc>
      </w:tr>
    </w:tbl>
    <w:p w14:paraId="0552E961" w14:textId="63FFDF2A" w:rsidR="00F608FE" w:rsidRDefault="00CB36CA" w:rsidP="00320FB8">
      <w:pPr>
        <w:pStyle w:val="Figure"/>
        <w:spacing w:before="240"/>
        <w:jc w:val="center"/>
      </w:pPr>
      <w:r>
        <w:rPr>
          <w:noProof/>
          <w:lang w:val="en-AU" w:eastAsia="en-AU"/>
        </w:rPr>
        <w:drawing>
          <wp:inline distT="0" distB="0" distL="0" distR="0" wp14:anchorId="6A213116" wp14:editId="2D82F394">
            <wp:extent cx="3363677" cy="424281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Magnesium.png"/>
                    <pic:cNvPicPr/>
                  </pic:nvPicPr>
                  <pic:blipFill>
                    <a:blip r:embed="rId28">
                      <a:extLst>
                        <a:ext uri="{28A0092B-C50C-407E-A947-70E740481C1C}">
                          <a14:useLocalDpi xmlns:a14="http://schemas.microsoft.com/office/drawing/2010/main" val="0"/>
                        </a:ext>
                      </a:extLst>
                    </a:blip>
                    <a:stretch>
                      <a:fillRect/>
                    </a:stretch>
                  </pic:blipFill>
                  <pic:spPr>
                    <a:xfrm>
                      <a:off x="0" y="0"/>
                      <a:ext cx="3373257" cy="4254903"/>
                    </a:xfrm>
                    <a:prstGeom prst="rect">
                      <a:avLst/>
                    </a:prstGeom>
                  </pic:spPr>
                </pic:pic>
              </a:graphicData>
            </a:graphic>
          </wp:inline>
        </w:drawing>
      </w:r>
    </w:p>
    <w:p w14:paraId="21CEE8ED" w14:textId="798F30E0" w:rsidR="00BA549B" w:rsidRPr="00BA549B" w:rsidRDefault="00F608FE" w:rsidP="00F608FE">
      <w:pPr>
        <w:pStyle w:val="Figurename"/>
      </w:pPr>
      <w:r>
        <w:t>PRISMA diagram: Magnesium</w:t>
      </w:r>
    </w:p>
    <w:p w14:paraId="361026C3" w14:textId="77777777" w:rsidR="00B01AF9" w:rsidRDefault="00B01AF9" w:rsidP="000F3838">
      <w:pPr>
        <w:pStyle w:val="Heading4"/>
        <w:rPr>
          <w:lang w:val="en-AU"/>
        </w:rPr>
      </w:pPr>
      <w:r>
        <w:rPr>
          <w:lang w:val="en-AU"/>
        </w:rPr>
        <w:t>Magnesium top-up search</w:t>
      </w:r>
    </w:p>
    <w:p w14:paraId="6EA0FE5C" w14:textId="5B07030F" w:rsidR="00B01AF9" w:rsidRDefault="00B01AF9" w:rsidP="00B01AF9">
      <w:pPr>
        <w:rPr>
          <w:lang w:val="en-AU"/>
        </w:rPr>
      </w:pPr>
      <w:r>
        <w:rPr>
          <w:lang w:val="en-AU"/>
        </w:rPr>
        <w:t>Search date: 12 March 2020</w:t>
      </w:r>
    </w:p>
    <w:p w14:paraId="113D69FB" w14:textId="28901EC6" w:rsidR="004235AD" w:rsidRDefault="00A83E75" w:rsidP="004235AD">
      <w:pPr>
        <w:pStyle w:val="Figure"/>
        <w:rPr>
          <w:lang w:val="en-AU"/>
        </w:rPr>
      </w:pPr>
      <w:r>
        <w:rPr>
          <w:noProof/>
          <w:lang w:val="en-AU" w:eastAsia="en-AU"/>
        </w:rPr>
        <w:drawing>
          <wp:inline distT="0" distB="0" distL="0" distR="0" wp14:anchorId="3BF95B23" wp14:editId="14326A58">
            <wp:extent cx="3606476" cy="3284583"/>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gnesium topup.png"/>
                    <pic:cNvPicPr/>
                  </pic:nvPicPr>
                  <pic:blipFill>
                    <a:blip r:embed="rId29">
                      <a:extLst>
                        <a:ext uri="{28A0092B-C50C-407E-A947-70E740481C1C}">
                          <a14:useLocalDpi xmlns:a14="http://schemas.microsoft.com/office/drawing/2010/main" val="0"/>
                        </a:ext>
                      </a:extLst>
                    </a:blip>
                    <a:stretch>
                      <a:fillRect/>
                    </a:stretch>
                  </pic:blipFill>
                  <pic:spPr>
                    <a:xfrm>
                      <a:off x="0" y="0"/>
                      <a:ext cx="3613440" cy="3290926"/>
                    </a:xfrm>
                    <a:prstGeom prst="rect">
                      <a:avLst/>
                    </a:prstGeom>
                  </pic:spPr>
                </pic:pic>
              </a:graphicData>
            </a:graphic>
          </wp:inline>
        </w:drawing>
      </w:r>
    </w:p>
    <w:p w14:paraId="7C17791A" w14:textId="6D5328ED" w:rsidR="004235AD" w:rsidRDefault="004235AD" w:rsidP="004235AD">
      <w:pPr>
        <w:pStyle w:val="Figurename"/>
        <w:rPr>
          <w:lang w:val="en-AU"/>
        </w:rPr>
      </w:pPr>
      <w:r>
        <w:rPr>
          <w:lang w:val="en-AU"/>
        </w:rPr>
        <w:t>PRISMA diagram: Magnesium top-up</w:t>
      </w:r>
    </w:p>
    <w:p w14:paraId="012DEA2D" w14:textId="24ABD1EC" w:rsidR="000F3838" w:rsidRDefault="000F3838" w:rsidP="00B01AF9">
      <w:pPr>
        <w:pStyle w:val="Heading4"/>
        <w:rPr>
          <w:lang w:val="en-AU"/>
        </w:rPr>
      </w:pPr>
      <w:r>
        <w:rPr>
          <w:lang w:val="en-AU"/>
        </w:rPr>
        <w:t>Selenium supplementation</w:t>
      </w:r>
      <w:r w:rsidR="000D04A0">
        <w:t xml:space="preserve"> (research question 3)</w:t>
      </w:r>
    </w:p>
    <w:p w14:paraId="7BD2C0BA" w14:textId="3D67401C" w:rsidR="000F3838" w:rsidRPr="00BA549B" w:rsidRDefault="00BA549B" w:rsidP="00B01AF9">
      <w:pPr>
        <w:keepNext/>
        <w:rPr>
          <w:b/>
        </w:rPr>
      </w:pPr>
      <w:r>
        <w:rPr>
          <w:b/>
        </w:rPr>
        <w:t>S</w:t>
      </w:r>
      <w:r w:rsidR="000F3838">
        <w:rPr>
          <w:b/>
        </w:rPr>
        <w:t>earch dates:</w:t>
      </w:r>
      <w:r>
        <w:rPr>
          <w:b/>
        </w:rPr>
        <w:t xml:space="preserve"> </w:t>
      </w:r>
      <w:r w:rsidR="000F3838">
        <w:t>1-Jan-2000-28-Feb-2019</w:t>
      </w:r>
    </w:p>
    <w:tbl>
      <w:tblPr>
        <w:tblStyle w:val="TableGrid"/>
        <w:tblW w:w="0" w:type="auto"/>
        <w:tblLook w:val="04A0" w:firstRow="1" w:lastRow="0" w:firstColumn="1" w:lastColumn="0" w:noHBand="0" w:noVBand="1"/>
      </w:tblPr>
      <w:tblGrid>
        <w:gridCol w:w="939"/>
        <w:gridCol w:w="4522"/>
        <w:gridCol w:w="1006"/>
        <w:gridCol w:w="912"/>
        <w:gridCol w:w="911"/>
        <w:gridCol w:w="990"/>
      </w:tblGrid>
      <w:tr w:rsidR="00BA549B" w:rsidRPr="00BA549B" w14:paraId="0C8B4982" w14:textId="77777777" w:rsidTr="00170EC6">
        <w:trPr>
          <w:tblHeader/>
        </w:trPr>
        <w:tc>
          <w:tcPr>
            <w:tcW w:w="939" w:type="dxa"/>
          </w:tcPr>
          <w:p w14:paraId="5F38A1B8" w14:textId="77777777" w:rsidR="000F3838" w:rsidRPr="00BA549B" w:rsidRDefault="000F3838" w:rsidP="00BA549B">
            <w:pPr>
              <w:spacing w:line="200" w:lineRule="exact"/>
              <w:rPr>
                <w:b/>
                <w:sz w:val="16"/>
                <w:szCs w:val="16"/>
              </w:rPr>
            </w:pPr>
            <w:bookmarkStart w:id="251" w:name="_Hlk2248407"/>
            <w:r w:rsidRPr="00BA549B">
              <w:rPr>
                <w:b/>
                <w:sz w:val="16"/>
                <w:szCs w:val="16"/>
              </w:rPr>
              <w:t>Database</w:t>
            </w:r>
          </w:p>
        </w:tc>
        <w:tc>
          <w:tcPr>
            <w:tcW w:w="4522" w:type="dxa"/>
          </w:tcPr>
          <w:p w14:paraId="1AA0FD51" w14:textId="77777777" w:rsidR="000F3838" w:rsidRPr="00BA549B" w:rsidRDefault="000F3838" w:rsidP="00BA549B">
            <w:pPr>
              <w:spacing w:line="200" w:lineRule="exact"/>
              <w:rPr>
                <w:b/>
                <w:sz w:val="16"/>
                <w:szCs w:val="16"/>
              </w:rPr>
            </w:pPr>
            <w:r w:rsidRPr="00BA549B">
              <w:rPr>
                <w:b/>
                <w:sz w:val="16"/>
                <w:szCs w:val="16"/>
              </w:rPr>
              <w:t>Search Strategy</w:t>
            </w:r>
          </w:p>
        </w:tc>
        <w:tc>
          <w:tcPr>
            <w:tcW w:w="1006" w:type="dxa"/>
          </w:tcPr>
          <w:p w14:paraId="2D22CE5D" w14:textId="77777777" w:rsidR="000F3838" w:rsidRPr="00BA549B" w:rsidRDefault="000F3838" w:rsidP="00BA549B">
            <w:pPr>
              <w:spacing w:line="200" w:lineRule="exact"/>
              <w:rPr>
                <w:b/>
                <w:sz w:val="16"/>
                <w:szCs w:val="16"/>
              </w:rPr>
            </w:pPr>
            <w:r w:rsidRPr="00BA549B">
              <w:rPr>
                <w:b/>
                <w:sz w:val="16"/>
                <w:szCs w:val="16"/>
              </w:rPr>
              <w:t>Dates Searched</w:t>
            </w:r>
          </w:p>
        </w:tc>
        <w:tc>
          <w:tcPr>
            <w:tcW w:w="912" w:type="dxa"/>
          </w:tcPr>
          <w:p w14:paraId="2B5399A2" w14:textId="77777777" w:rsidR="000F3838" w:rsidRPr="00BA549B" w:rsidRDefault="000F3838" w:rsidP="00BA549B">
            <w:pPr>
              <w:spacing w:line="200" w:lineRule="exact"/>
              <w:rPr>
                <w:b/>
                <w:sz w:val="16"/>
                <w:szCs w:val="16"/>
              </w:rPr>
            </w:pPr>
            <w:r w:rsidRPr="00BA549B">
              <w:rPr>
                <w:b/>
                <w:sz w:val="16"/>
                <w:szCs w:val="16"/>
              </w:rPr>
              <w:t>Limits set</w:t>
            </w:r>
          </w:p>
        </w:tc>
        <w:tc>
          <w:tcPr>
            <w:tcW w:w="911" w:type="dxa"/>
          </w:tcPr>
          <w:p w14:paraId="41399925" w14:textId="77777777" w:rsidR="000F3838" w:rsidRPr="00BA549B" w:rsidRDefault="000F3838" w:rsidP="00BA549B">
            <w:pPr>
              <w:spacing w:line="200" w:lineRule="exact"/>
              <w:rPr>
                <w:b/>
                <w:sz w:val="16"/>
                <w:szCs w:val="16"/>
              </w:rPr>
            </w:pPr>
            <w:r w:rsidRPr="00BA549B">
              <w:rPr>
                <w:b/>
                <w:sz w:val="16"/>
                <w:szCs w:val="16"/>
              </w:rPr>
              <w:t>Results</w:t>
            </w:r>
          </w:p>
        </w:tc>
        <w:tc>
          <w:tcPr>
            <w:tcW w:w="990" w:type="dxa"/>
          </w:tcPr>
          <w:p w14:paraId="59B4EA3F" w14:textId="77777777" w:rsidR="000F3838" w:rsidRPr="00BA549B" w:rsidRDefault="000F3838" w:rsidP="00BA549B">
            <w:pPr>
              <w:spacing w:line="200" w:lineRule="exact"/>
              <w:rPr>
                <w:b/>
                <w:sz w:val="16"/>
                <w:szCs w:val="16"/>
              </w:rPr>
            </w:pPr>
            <w:r w:rsidRPr="00BA549B">
              <w:rPr>
                <w:b/>
                <w:sz w:val="16"/>
                <w:szCs w:val="16"/>
              </w:rPr>
              <w:t>Date of search</w:t>
            </w:r>
          </w:p>
        </w:tc>
      </w:tr>
      <w:tr w:rsidR="00BA549B" w:rsidRPr="00BA549B" w14:paraId="1BD396B5" w14:textId="77777777" w:rsidTr="00BA549B">
        <w:tc>
          <w:tcPr>
            <w:tcW w:w="939" w:type="dxa"/>
          </w:tcPr>
          <w:p w14:paraId="568FB2CD" w14:textId="77777777" w:rsidR="000F3838" w:rsidRPr="00BA549B" w:rsidRDefault="000F3838" w:rsidP="00BA549B">
            <w:pPr>
              <w:spacing w:line="200" w:lineRule="exact"/>
              <w:rPr>
                <w:b/>
                <w:sz w:val="16"/>
                <w:szCs w:val="16"/>
              </w:rPr>
            </w:pPr>
            <w:r w:rsidRPr="00BA549B">
              <w:rPr>
                <w:b/>
                <w:sz w:val="16"/>
                <w:szCs w:val="16"/>
              </w:rPr>
              <w:t>Pubmed</w:t>
            </w:r>
          </w:p>
        </w:tc>
        <w:tc>
          <w:tcPr>
            <w:tcW w:w="4522" w:type="dxa"/>
          </w:tcPr>
          <w:p w14:paraId="61CB539D" w14:textId="77777777" w:rsidR="000F3838" w:rsidRPr="00BA549B" w:rsidRDefault="000F3838" w:rsidP="00BA549B">
            <w:pPr>
              <w:spacing w:line="200" w:lineRule="exact"/>
              <w:rPr>
                <w:sz w:val="16"/>
                <w:szCs w:val="16"/>
              </w:rPr>
            </w:pPr>
            <w:r w:rsidRPr="00BA549B">
              <w:rPr>
                <w:sz w:val="16"/>
                <w:szCs w:val="16"/>
              </w:rPr>
              <w:t xml:space="preserve">("pregnancy"[MeSH Terms] OR "pregnant women"[MeSH Terms]  OR "pregnan*"[All Fields] OR "prenatal*"[All Fields]) </w:t>
            </w:r>
          </w:p>
          <w:p w14:paraId="50539283" w14:textId="77777777" w:rsidR="000F3838" w:rsidRPr="00BA549B" w:rsidRDefault="000F3838" w:rsidP="00BA549B">
            <w:pPr>
              <w:spacing w:line="200" w:lineRule="exact"/>
              <w:rPr>
                <w:sz w:val="16"/>
                <w:szCs w:val="16"/>
              </w:rPr>
            </w:pPr>
            <w:r w:rsidRPr="00BA549B">
              <w:rPr>
                <w:sz w:val="16"/>
                <w:szCs w:val="16"/>
              </w:rPr>
              <w:t xml:space="preserve">AND ("selenium"[MeSH Terms] OR "selenium"[All Fields]) </w:t>
            </w:r>
          </w:p>
        </w:tc>
        <w:tc>
          <w:tcPr>
            <w:tcW w:w="1006" w:type="dxa"/>
          </w:tcPr>
          <w:p w14:paraId="31289BAF" w14:textId="77777777" w:rsidR="000F3838" w:rsidRPr="00BA549B" w:rsidRDefault="000F3838" w:rsidP="00BA549B">
            <w:pPr>
              <w:spacing w:line="200" w:lineRule="exact"/>
              <w:rPr>
                <w:sz w:val="16"/>
                <w:szCs w:val="16"/>
              </w:rPr>
            </w:pPr>
            <w:r w:rsidRPr="00BA549B">
              <w:rPr>
                <w:sz w:val="16"/>
                <w:szCs w:val="16"/>
              </w:rPr>
              <w:t>1-jan-2000 to 31-Dec-2019</w:t>
            </w:r>
          </w:p>
        </w:tc>
        <w:tc>
          <w:tcPr>
            <w:tcW w:w="912" w:type="dxa"/>
          </w:tcPr>
          <w:p w14:paraId="7DE95838" w14:textId="77777777" w:rsidR="000F3838" w:rsidRPr="00BA549B" w:rsidRDefault="000F3838" w:rsidP="00BA549B">
            <w:pPr>
              <w:spacing w:line="200" w:lineRule="exact"/>
              <w:rPr>
                <w:sz w:val="16"/>
                <w:szCs w:val="16"/>
              </w:rPr>
            </w:pPr>
            <w:r w:rsidRPr="00BA549B">
              <w:rPr>
                <w:sz w:val="16"/>
                <w:szCs w:val="16"/>
              </w:rPr>
              <w:t>Human</w:t>
            </w:r>
          </w:p>
          <w:p w14:paraId="7BEA5FC4" w14:textId="77777777" w:rsidR="000F3838" w:rsidRPr="00BA549B" w:rsidRDefault="000F3838" w:rsidP="00BA549B">
            <w:pPr>
              <w:spacing w:line="200" w:lineRule="exact"/>
              <w:rPr>
                <w:sz w:val="16"/>
                <w:szCs w:val="16"/>
              </w:rPr>
            </w:pPr>
            <w:r w:rsidRPr="00BA549B">
              <w:rPr>
                <w:sz w:val="16"/>
                <w:szCs w:val="16"/>
              </w:rPr>
              <w:t>English language</w:t>
            </w:r>
          </w:p>
        </w:tc>
        <w:tc>
          <w:tcPr>
            <w:tcW w:w="911" w:type="dxa"/>
          </w:tcPr>
          <w:p w14:paraId="6968D31E" w14:textId="77777777" w:rsidR="000F3838" w:rsidRPr="00BA549B" w:rsidRDefault="000F3838" w:rsidP="00BA549B">
            <w:pPr>
              <w:spacing w:line="200" w:lineRule="exact"/>
              <w:rPr>
                <w:b/>
                <w:sz w:val="16"/>
                <w:szCs w:val="16"/>
              </w:rPr>
            </w:pPr>
            <w:r w:rsidRPr="00BA549B">
              <w:rPr>
                <w:b/>
                <w:sz w:val="16"/>
                <w:szCs w:val="16"/>
              </w:rPr>
              <w:t>423</w:t>
            </w:r>
          </w:p>
        </w:tc>
        <w:tc>
          <w:tcPr>
            <w:tcW w:w="990" w:type="dxa"/>
          </w:tcPr>
          <w:p w14:paraId="75781BE8" w14:textId="77777777" w:rsidR="000F3838" w:rsidRPr="00BA549B" w:rsidRDefault="000F3838" w:rsidP="00BA549B">
            <w:pPr>
              <w:spacing w:line="200" w:lineRule="exact"/>
              <w:rPr>
                <w:sz w:val="16"/>
                <w:szCs w:val="16"/>
              </w:rPr>
            </w:pPr>
            <w:r w:rsidRPr="00BA549B">
              <w:rPr>
                <w:sz w:val="16"/>
                <w:szCs w:val="16"/>
              </w:rPr>
              <w:t>28-Feb-19</w:t>
            </w:r>
          </w:p>
        </w:tc>
      </w:tr>
      <w:tr w:rsidR="00BA549B" w:rsidRPr="00BA549B" w14:paraId="6A66D860" w14:textId="77777777" w:rsidTr="00BA549B">
        <w:tc>
          <w:tcPr>
            <w:tcW w:w="939" w:type="dxa"/>
          </w:tcPr>
          <w:p w14:paraId="1F49684F" w14:textId="77777777" w:rsidR="000F3838" w:rsidRPr="00BA549B" w:rsidRDefault="000F3838" w:rsidP="00BA549B">
            <w:pPr>
              <w:spacing w:line="200" w:lineRule="exact"/>
              <w:rPr>
                <w:b/>
                <w:sz w:val="16"/>
                <w:szCs w:val="16"/>
              </w:rPr>
            </w:pPr>
            <w:r w:rsidRPr="00BA549B">
              <w:rPr>
                <w:b/>
                <w:sz w:val="16"/>
                <w:szCs w:val="16"/>
              </w:rPr>
              <w:t>Ovid medline</w:t>
            </w:r>
          </w:p>
        </w:tc>
        <w:tc>
          <w:tcPr>
            <w:tcW w:w="4522" w:type="dxa"/>
          </w:tcPr>
          <w:p w14:paraId="5E336E46" w14:textId="77777777" w:rsidR="000F3838" w:rsidRPr="00BA549B" w:rsidRDefault="000F3838" w:rsidP="00BA549B">
            <w:pPr>
              <w:spacing w:line="200" w:lineRule="exact"/>
              <w:rPr>
                <w:rFonts w:cs="Helvetica"/>
                <w:color w:val="2D2D2D"/>
                <w:sz w:val="16"/>
                <w:szCs w:val="16"/>
                <w:shd w:val="clear" w:color="auto" w:fill="FFFFFF"/>
              </w:rPr>
            </w:pPr>
            <w:r w:rsidRPr="00BA549B">
              <w:rPr>
                <w:rFonts w:cs="Helvetica"/>
                <w:sz w:val="16"/>
                <w:szCs w:val="16"/>
                <w:shd w:val="clear" w:color="auto" w:fill="FFFFFF"/>
              </w:rPr>
              <w:t>(Pregnancy/syn or Pregnan*.mp.) and selenium.mp.</w:t>
            </w:r>
          </w:p>
        </w:tc>
        <w:tc>
          <w:tcPr>
            <w:tcW w:w="1006" w:type="dxa"/>
          </w:tcPr>
          <w:p w14:paraId="761A4985" w14:textId="77777777" w:rsidR="000F3838" w:rsidRPr="00BA549B" w:rsidRDefault="000F3838" w:rsidP="00BA549B">
            <w:pPr>
              <w:spacing w:line="200" w:lineRule="exact"/>
              <w:rPr>
                <w:sz w:val="16"/>
                <w:szCs w:val="16"/>
              </w:rPr>
            </w:pPr>
            <w:r w:rsidRPr="00BA549B">
              <w:rPr>
                <w:sz w:val="16"/>
                <w:szCs w:val="16"/>
              </w:rPr>
              <w:t>2000-Current</w:t>
            </w:r>
          </w:p>
        </w:tc>
        <w:tc>
          <w:tcPr>
            <w:tcW w:w="912" w:type="dxa"/>
          </w:tcPr>
          <w:p w14:paraId="69836834" w14:textId="77777777" w:rsidR="000F3838" w:rsidRPr="00BA549B" w:rsidRDefault="000F3838" w:rsidP="00BA549B">
            <w:pPr>
              <w:spacing w:line="200" w:lineRule="exact"/>
              <w:rPr>
                <w:sz w:val="16"/>
                <w:szCs w:val="16"/>
              </w:rPr>
            </w:pPr>
            <w:r w:rsidRPr="00BA549B">
              <w:rPr>
                <w:sz w:val="16"/>
                <w:szCs w:val="16"/>
              </w:rPr>
              <w:t>English Language</w:t>
            </w:r>
          </w:p>
          <w:p w14:paraId="71417A84" w14:textId="77777777" w:rsidR="000F3838" w:rsidRPr="00BA549B" w:rsidRDefault="000F3838" w:rsidP="00BA549B">
            <w:pPr>
              <w:spacing w:line="200" w:lineRule="exact"/>
              <w:rPr>
                <w:sz w:val="16"/>
                <w:szCs w:val="16"/>
              </w:rPr>
            </w:pPr>
            <w:r w:rsidRPr="00BA549B">
              <w:rPr>
                <w:sz w:val="16"/>
                <w:szCs w:val="16"/>
              </w:rPr>
              <w:t>Human</w:t>
            </w:r>
          </w:p>
        </w:tc>
        <w:tc>
          <w:tcPr>
            <w:tcW w:w="911" w:type="dxa"/>
          </w:tcPr>
          <w:p w14:paraId="7805FBCE" w14:textId="77777777" w:rsidR="000F3838" w:rsidRPr="00BA549B" w:rsidRDefault="000F3838" w:rsidP="00BA549B">
            <w:pPr>
              <w:spacing w:line="200" w:lineRule="exact"/>
              <w:rPr>
                <w:b/>
                <w:sz w:val="16"/>
                <w:szCs w:val="16"/>
              </w:rPr>
            </w:pPr>
            <w:r w:rsidRPr="00BA549B">
              <w:rPr>
                <w:b/>
                <w:sz w:val="16"/>
                <w:szCs w:val="16"/>
              </w:rPr>
              <w:t>434</w:t>
            </w:r>
          </w:p>
        </w:tc>
        <w:tc>
          <w:tcPr>
            <w:tcW w:w="990" w:type="dxa"/>
          </w:tcPr>
          <w:p w14:paraId="189A16BC" w14:textId="77777777" w:rsidR="000F3838" w:rsidRPr="00BA549B" w:rsidRDefault="000F3838" w:rsidP="00BA549B">
            <w:pPr>
              <w:spacing w:line="200" w:lineRule="exact"/>
              <w:rPr>
                <w:sz w:val="16"/>
                <w:szCs w:val="16"/>
              </w:rPr>
            </w:pPr>
            <w:r w:rsidRPr="00BA549B">
              <w:rPr>
                <w:sz w:val="16"/>
                <w:szCs w:val="16"/>
              </w:rPr>
              <w:t>28-Feb-19</w:t>
            </w:r>
          </w:p>
        </w:tc>
      </w:tr>
      <w:tr w:rsidR="00BA549B" w:rsidRPr="00BA549B" w14:paraId="60DCFCB5" w14:textId="77777777" w:rsidTr="00BA549B">
        <w:tc>
          <w:tcPr>
            <w:tcW w:w="939" w:type="dxa"/>
          </w:tcPr>
          <w:p w14:paraId="0687CFEB" w14:textId="77777777" w:rsidR="000F3838" w:rsidRPr="00BA549B" w:rsidRDefault="000F3838" w:rsidP="00BA549B">
            <w:pPr>
              <w:spacing w:line="200" w:lineRule="exact"/>
              <w:rPr>
                <w:b/>
                <w:sz w:val="16"/>
                <w:szCs w:val="16"/>
              </w:rPr>
            </w:pPr>
            <w:r w:rsidRPr="00BA549B">
              <w:rPr>
                <w:b/>
                <w:sz w:val="16"/>
                <w:szCs w:val="16"/>
              </w:rPr>
              <w:t>Embase</w:t>
            </w:r>
          </w:p>
        </w:tc>
        <w:tc>
          <w:tcPr>
            <w:tcW w:w="4522" w:type="dxa"/>
          </w:tcPr>
          <w:p w14:paraId="23401336" w14:textId="77777777" w:rsidR="000F3838" w:rsidRPr="00BA549B" w:rsidRDefault="000F3838" w:rsidP="00BA549B">
            <w:pPr>
              <w:spacing w:line="200" w:lineRule="exact"/>
              <w:rPr>
                <w:sz w:val="16"/>
                <w:szCs w:val="16"/>
              </w:rPr>
            </w:pPr>
            <w:r w:rsidRPr="00BA549B">
              <w:rPr>
                <w:sz w:val="16"/>
                <w:szCs w:val="16"/>
              </w:rPr>
              <w:t xml:space="preserve">('pregnancy'/exp  OR pregnan*) </w:t>
            </w:r>
          </w:p>
          <w:p w14:paraId="6C2DB1DE" w14:textId="77777777" w:rsidR="000F3838" w:rsidRPr="00BA549B" w:rsidRDefault="000F3838" w:rsidP="00BA549B">
            <w:pPr>
              <w:spacing w:line="200" w:lineRule="exact"/>
              <w:rPr>
                <w:sz w:val="16"/>
                <w:szCs w:val="16"/>
              </w:rPr>
            </w:pPr>
            <w:r w:rsidRPr="00BA549B">
              <w:rPr>
                <w:sz w:val="16"/>
                <w:szCs w:val="16"/>
              </w:rPr>
              <w:t>AND (selenium OR ‘selenium’/exp)</w:t>
            </w:r>
          </w:p>
        </w:tc>
        <w:tc>
          <w:tcPr>
            <w:tcW w:w="1006" w:type="dxa"/>
          </w:tcPr>
          <w:p w14:paraId="300D74C8" w14:textId="77777777" w:rsidR="000F3838" w:rsidRPr="00BA549B" w:rsidRDefault="000F3838" w:rsidP="00BA549B">
            <w:pPr>
              <w:spacing w:line="200" w:lineRule="exact"/>
              <w:rPr>
                <w:sz w:val="16"/>
                <w:szCs w:val="16"/>
              </w:rPr>
            </w:pPr>
            <w:r w:rsidRPr="00BA549B">
              <w:rPr>
                <w:sz w:val="16"/>
                <w:szCs w:val="16"/>
              </w:rPr>
              <w:t>2000-2019</w:t>
            </w:r>
          </w:p>
        </w:tc>
        <w:tc>
          <w:tcPr>
            <w:tcW w:w="912" w:type="dxa"/>
          </w:tcPr>
          <w:p w14:paraId="0F45DC20" w14:textId="77777777" w:rsidR="000F3838" w:rsidRPr="00BA549B" w:rsidRDefault="000F3838" w:rsidP="00BA549B">
            <w:pPr>
              <w:spacing w:line="200" w:lineRule="exact"/>
              <w:rPr>
                <w:sz w:val="16"/>
                <w:szCs w:val="16"/>
              </w:rPr>
            </w:pPr>
            <w:r w:rsidRPr="00BA549B">
              <w:rPr>
                <w:sz w:val="16"/>
                <w:szCs w:val="16"/>
              </w:rPr>
              <w:t>Human</w:t>
            </w:r>
          </w:p>
        </w:tc>
        <w:tc>
          <w:tcPr>
            <w:tcW w:w="911" w:type="dxa"/>
          </w:tcPr>
          <w:p w14:paraId="061A6556" w14:textId="77777777" w:rsidR="000F3838" w:rsidRPr="00BA549B" w:rsidRDefault="000F3838" w:rsidP="00BA549B">
            <w:pPr>
              <w:spacing w:line="200" w:lineRule="exact"/>
              <w:rPr>
                <w:b/>
                <w:sz w:val="16"/>
                <w:szCs w:val="16"/>
              </w:rPr>
            </w:pPr>
            <w:r w:rsidRPr="00BA549B">
              <w:rPr>
                <w:b/>
                <w:sz w:val="16"/>
                <w:szCs w:val="16"/>
              </w:rPr>
              <w:t>966</w:t>
            </w:r>
          </w:p>
        </w:tc>
        <w:tc>
          <w:tcPr>
            <w:tcW w:w="990" w:type="dxa"/>
          </w:tcPr>
          <w:p w14:paraId="3DAE4013" w14:textId="77777777" w:rsidR="000F3838" w:rsidRPr="00BA549B" w:rsidRDefault="000F3838" w:rsidP="00BA549B">
            <w:pPr>
              <w:spacing w:line="200" w:lineRule="exact"/>
              <w:rPr>
                <w:sz w:val="16"/>
                <w:szCs w:val="16"/>
              </w:rPr>
            </w:pPr>
            <w:r w:rsidRPr="00BA549B">
              <w:rPr>
                <w:sz w:val="16"/>
                <w:szCs w:val="16"/>
              </w:rPr>
              <w:t>28-Feb-19</w:t>
            </w:r>
          </w:p>
        </w:tc>
      </w:tr>
      <w:tr w:rsidR="00BA549B" w:rsidRPr="00BA549B" w14:paraId="54212107" w14:textId="77777777" w:rsidTr="00170EC6">
        <w:trPr>
          <w:cantSplit/>
        </w:trPr>
        <w:tc>
          <w:tcPr>
            <w:tcW w:w="939" w:type="dxa"/>
          </w:tcPr>
          <w:p w14:paraId="18D7837F" w14:textId="77777777" w:rsidR="000F3838" w:rsidRPr="00BA549B" w:rsidRDefault="000F3838" w:rsidP="00BA549B">
            <w:pPr>
              <w:spacing w:line="200" w:lineRule="exact"/>
              <w:rPr>
                <w:b/>
                <w:sz w:val="16"/>
                <w:szCs w:val="16"/>
              </w:rPr>
            </w:pPr>
            <w:r w:rsidRPr="00BA549B">
              <w:rPr>
                <w:b/>
                <w:sz w:val="16"/>
                <w:szCs w:val="16"/>
              </w:rPr>
              <w:t>CINAHL</w:t>
            </w:r>
          </w:p>
        </w:tc>
        <w:tc>
          <w:tcPr>
            <w:tcW w:w="4522" w:type="dxa"/>
          </w:tcPr>
          <w:p w14:paraId="1EDC6D84" w14:textId="77777777" w:rsidR="000F3838" w:rsidRPr="00BA549B" w:rsidRDefault="000F3838" w:rsidP="00BA549B">
            <w:pPr>
              <w:spacing w:line="200" w:lineRule="exact"/>
              <w:rPr>
                <w:rFonts w:cs="Helvetica"/>
                <w:color w:val="333333"/>
                <w:sz w:val="16"/>
                <w:szCs w:val="16"/>
                <w:bdr w:val="none" w:sz="0" w:space="0" w:color="auto" w:frame="1"/>
                <w:shd w:val="clear" w:color="auto" w:fill="FFFFFF"/>
              </w:rPr>
            </w:pPr>
            <w:r w:rsidRPr="00BA549B">
              <w:rPr>
                <w:rFonts w:cs="Helvetica"/>
                <w:color w:val="333333"/>
                <w:sz w:val="16"/>
                <w:szCs w:val="16"/>
                <w:bdr w:val="none" w:sz="0" w:space="0" w:color="auto" w:frame="1"/>
                <w:shd w:val="clear" w:color="auto" w:fill="FFFFFF"/>
              </w:rPr>
              <w:t xml:space="preserve">( (MH "Pregnancy+") OR (MH "Pregnancy Trimesters+") OR (MM "Prenatal Nutritional Physiology") OR (MM "Prenatal Exposure Delayed Effects") OR ("Pregnan*") ) </w:t>
            </w:r>
          </w:p>
          <w:p w14:paraId="09621448" w14:textId="77777777" w:rsidR="000F3838" w:rsidRPr="00BA549B" w:rsidRDefault="000F3838" w:rsidP="00BA549B">
            <w:pPr>
              <w:spacing w:line="200" w:lineRule="exact"/>
              <w:rPr>
                <w:sz w:val="16"/>
                <w:szCs w:val="16"/>
              </w:rPr>
            </w:pPr>
            <w:r w:rsidRPr="00BA549B">
              <w:rPr>
                <w:rFonts w:cs="Helvetica"/>
                <w:color w:val="333333"/>
                <w:sz w:val="16"/>
                <w:szCs w:val="16"/>
                <w:bdr w:val="none" w:sz="0" w:space="0" w:color="auto" w:frame="1"/>
                <w:shd w:val="clear" w:color="auto" w:fill="FFFFFF"/>
              </w:rPr>
              <w:t>AND TX ( (MM "Selenium") OR ("Selenium") )</w:t>
            </w:r>
          </w:p>
        </w:tc>
        <w:tc>
          <w:tcPr>
            <w:tcW w:w="1006" w:type="dxa"/>
          </w:tcPr>
          <w:p w14:paraId="12B0D1E5" w14:textId="77777777" w:rsidR="000F3838" w:rsidRPr="00BA549B" w:rsidRDefault="000F3838" w:rsidP="00BA549B">
            <w:pPr>
              <w:spacing w:line="200" w:lineRule="exact"/>
              <w:rPr>
                <w:sz w:val="16"/>
                <w:szCs w:val="16"/>
              </w:rPr>
            </w:pPr>
            <w:r w:rsidRPr="00BA549B">
              <w:rPr>
                <w:sz w:val="16"/>
                <w:szCs w:val="16"/>
              </w:rPr>
              <w:t>01-Jan-2000 to 31-Dec-2019</w:t>
            </w:r>
          </w:p>
        </w:tc>
        <w:tc>
          <w:tcPr>
            <w:tcW w:w="912" w:type="dxa"/>
          </w:tcPr>
          <w:p w14:paraId="2470F976" w14:textId="77777777" w:rsidR="000F3838" w:rsidRPr="00BA549B" w:rsidRDefault="000F3838" w:rsidP="00BA549B">
            <w:pPr>
              <w:spacing w:line="200" w:lineRule="exact"/>
              <w:rPr>
                <w:sz w:val="16"/>
                <w:szCs w:val="16"/>
              </w:rPr>
            </w:pPr>
            <w:r w:rsidRPr="00BA549B">
              <w:rPr>
                <w:sz w:val="16"/>
                <w:szCs w:val="16"/>
              </w:rPr>
              <w:t>English</w:t>
            </w:r>
          </w:p>
        </w:tc>
        <w:tc>
          <w:tcPr>
            <w:tcW w:w="911" w:type="dxa"/>
          </w:tcPr>
          <w:p w14:paraId="1D1EF158" w14:textId="77777777" w:rsidR="000F3838" w:rsidRPr="00BA549B" w:rsidRDefault="000F3838" w:rsidP="00BA549B">
            <w:pPr>
              <w:spacing w:line="200" w:lineRule="exact"/>
              <w:rPr>
                <w:b/>
                <w:sz w:val="16"/>
                <w:szCs w:val="16"/>
              </w:rPr>
            </w:pPr>
            <w:r w:rsidRPr="00BA549B">
              <w:rPr>
                <w:b/>
                <w:sz w:val="16"/>
                <w:szCs w:val="16"/>
              </w:rPr>
              <w:t>813</w:t>
            </w:r>
          </w:p>
        </w:tc>
        <w:tc>
          <w:tcPr>
            <w:tcW w:w="990" w:type="dxa"/>
          </w:tcPr>
          <w:p w14:paraId="471D8FC4" w14:textId="77777777" w:rsidR="000F3838" w:rsidRPr="00BA549B" w:rsidRDefault="000F3838" w:rsidP="00BA549B">
            <w:pPr>
              <w:spacing w:line="200" w:lineRule="exact"/>
              <w:rPr>
                <w:sz w:val="16"/>
                <w:szCs w:val="16"/>
              </w:rPr>
            </w:pPr>
            <w:r w:rsidRPr="00BA549B">
              <w:rPr>
                <w:sz w:val="16"/>
                <w:szCs w:val="16"/>
              </w:rPr>
              <w:t>28-Feb-19</w:t>
            </w:r>
          </w:p>
        </w:tc>
      </w:tr>
      <w:tr w:rsidR="00BA549B" w:rsidRPr="00BA549B" w14:paraId="3CF9F429" w14:textId="77777777" w:rsidTr="00BA549B">
        <w:tc>
          <w:tcPr>
            <w:tcW w:w="939" w:type="dxa"/>
          </w:tcPr>
          <w:p w14:paraId="15FCE6AF" w14:textId="77777777" w:rsidR="000F3838" w:rsidRPr="00BA549B" w:rsidRDefault="000F3838" w:rsidP="00BA549B">
            <w:pPr>
              <w:spacing w:line="200" w:lineRule="exact"/>
              <w:rPr>
                <w:b/>
                <w:sz w:val="16"/>
                <w:szCs w:val="16"/>
              </w:rPr>
            </w:pPr>
            <w:r w:rsidRPr="00BA549B">
              <w:rPr>
                <w:b/>
                <w:sz w:val="16"/>
                <w:szCs w:val="16"/>
              </w:rPr>
              <w:t>SCOPUS</w:t>
            </w:r>
          </w:p>
        </w:tc>
        <w:tc>
          <w:tcPr>
            <w:tcW w:w="4522" w:type="dxa"/>
          </w:tcPr>
          <w:p w14:paraId="222A7296" w14:textId="77777777" w:rsidR="000F3838" w:rsidRPr="00BA549B" w:rsidRDefault="000F3838" w:rsidP="00BA549B">
            <w:pPr>
              <w:spacing w:line="200" w:lineRule="exact"/>
              <w:outlineLvl w:val="1"/>
              <w:rPr>
                <w:rFonts w:cstheme="minorHAnsi"/>
                <w:sz w:val="16"/>
                <w:szCs w:val="16"/>
                <w:lang w:eastAsia="en-AU"/>
              </w:rPr>
            </w:pPr>
            <w:r w:rsidRPr="00BA549B">
              <w:rPr>
                <w:rFonts w:cstheme="minorHAnsi"/>
                <w:sz w:val="16"/>
                <w:szCs w:val="16"/>
                <w:lang w:eastAsia="en-AU"/>
              </w:rPr>
              <w:t>TITLE-ABS-KEY ( ( "Pregnan*" )  OR  ( "prenatal*" )  AND  ( "selenium" ) )</w:t>
            </w:r>
          </w:p>
          <w:p w14:paraId="517AA202" w14:textId="77777777" w:rsidR="000F3838" w:rsidRPr="00BA549B" w:rsidRDefault="000F3838" w:rsidP="00BA549B">
            <w:pPr>
              <w:spacing w:line="200" w:lineRule="exact"/>
              <w:rPr>
                <w:sz w:val="16"/>
                <w:szCs w:val="16"/>
              </w:rPr>
            </w:pPr>
          </w:p>
        </w:tc>
        <w:tc>
          <w:tcPr>
            <w:tcW w:w="1006" w:type="dxa"/>
          </w:tcPr>
          <w:p w14:paraId="68A6056F" w14:textId="77777777" w:rsidR="000F3838" w:rsidRPr="00BA549B" w:rsidRDefault="000F3838" w:rsidP="00BA549B">
            <w:pPr>
              <w:spacing w:line="200" w:lineRule="exact"/>
              <w:rPr>
                <w:sz w:val="16"/>
                <w:szCs w:val="16"/>
              </w:rPr>
            </w:pPr>
            <w:r w:rsidRPr="00BA549B">
              <w:rPr>
                <w:sz w:val="16"/>
                <w:szCs w:val="16"/>
              </w:rPr>
              <w:t>2000-2019</w:t>
            </w:r>
          </w:p>
        </w:tc>
        <w:tc>
          <w:tcPr>
            <w:tcW w:w="912" w:type="dxa"/>
          </w:tcPr>
          <w:p w14:paraId="442B63F1" w14:textId="77777777" w:rsidR="000F3838" w:rsidRPr="00BA549B" w:rsidRDefault="000F3838" w:rsidP="00BA549B">
            <w:pPr>
              <w:spacing w:line="200" w:lineRule="exact"/>
              <w:rPr>
                <w:sz w:val="16"/>
                <w:szCs w:val="16"/>
              </w:rPr>
            </w:pPr>
            <w:r w:rsidRPr="00BA549B">
              <w:rPr>
                <w:sz w:val="16"/>
                <w:szCs w:val="16"/>
              </w:rPr>
              <w:t>English</w:t>
            </w:r>
          </w:p>
          <w:p w14:paraId="4FA5EE9D" w14:textId="77777777" w:rsidR="000F3838" w:rsidRPr="00BA549B" w:rsidRDefault="000F3838" w:rsidP="00BA549B">
            <w:pPr>
              <w:spacing w:line="200" w:lineRule="exact"/>
              <w:rPr>
                <w:sz w:val="16"/>
                <w:szCs w:val="16"/>
              </w:rPr>
            </w:pPr>
            <w:r w:rsidRPr="00BA549B">
              <w:rPr>
                <w:sz w:val="16"/>
                <w:szCs w:val="16"/>
              </w:rPr>
              <w:t>Human</w:t>
            </w:r>
          </w:p>
        </w:tc>
        <w:tc>
          <w:tcPr>
            <w:tcW w:w="911" w:type="dxa"/>
          </w:tcPr>
          <w:p w14:paraId="2BBFE39D" w14:textId="77777777" w:rsidR="000F3838" w:rsidRPr="00BA549B" w:rsidRDefault="000F3838" w:rsidP="00BA549B">
            <w:pPr>
              <w:spacing w:line="200" w:lineRule="exact"/>
              <w:rPr>
                <w:b/>
                <w:sz w:val="16"/>
                <w:szCs w:val="16"/>
              </w:rPr>
            </w:pPr>
            <w:r w:rsidRPr="00BA549B">
              <w:rPr>
                <w:b/>
                <w:sz w:val="16"/>
                <w:szCs w:val="16"/>
              </w:rPr>
              <w:t>910</w:t>
            </w:r>
          </w:p>
        </w:tc>
        <w:tc>
          <w:tcPr>
            <w:tcW w:w="990" w:type="dxa"/>
          </w:tcPr>
          <w:p w14:paraId="7B8BCB0F" w14:textId="77777777" w:rsidR="000F3838" w:rsidRPr="00BA549B" w:rsidRDefault="000F3838" w:rsidP="00BA549B">
            <w:pPr>
              <w:spacing w:line="200" w:lineRule="exact"/>
              <w:rPr>
                <w:sz w:val="16"/>
                <w:szCs w:val="16"/>
              </w:rPr>
            </w:pPr>
            <w:r w:rsidRPr="00BA549B">
              <w:rPr>
                <w:sz w:val="16"/>
                <w:szCs w:val="16"/>
              </w:rPr>
              <w:t>28-Feb-19</w:t>
            </w:r>
          </w:p>
        </w:tc>
      </w:tr>
      <w:tr w:rsidR="00BA549B" w:rsidRPr="00BA549B" w14:paraId="6F71D4AD" w14:textId="77777777" w:rsidTr="00BA549B">
        <w:tc>
          <w:tcPr>
            <w:tcW w:w="939" w:type="dxa"/>
          </w:tcPr>
          <w:p w14:paraId="5C18B085" w14:textId="77777777" w:rsidR="000F3838" w:rsidRPr="00BA549B" w:rsidRDefault="000F3838" w:rsidP="00BA549B">
            <w:pPr>
              <w:spacing w:line="200" w:lineRule="exact"/>
              <w:rPr>
                <w:b/>
                <w:sz w:val="16"/>
                <w:szCs w:val="16"/>
              </w:rPr>
            </w:pPr>
            <w:r w:rsidRPr="00BA549B">
              <w:rPr>
                <w:b/>
                <w:sz w:val="16"/>
                <w:szCs w:val="16"/>
              </w:rPr>
              <w:t>Health Infonet</w:t>
            </w:r>
          </w:p>
        </w:tc>
        <w:tc>
          <w:tcPr>
            <w:tcW w:w="4522" w:type="dxa"/>
          </w:tcPr>
          <w:p w14:paraId="3A38C02C" w14:textId="77777777" w:rsidR="000F3838" w:rsidRPr="00BA549B" w:rsidRDefault="000F3838" w:rsidP="00BA549B">
            <w:pPr>
              <w:spacing w:line="200" w:lineRule="exact"/>
              <w:rPr>
                <w:sz w:val="16"/>
                <w:szCs w:val="16"/>
              </w:rPr>
            </w:pPr>
            <w:r w:rsidRPr="00BA549B">
              <w:rPr>
                <w:sz w:val="16"/>
                <w:szCs w:val="16"/>
              </w:rPr>
              <w:t>Selenium – all fields</w:t>
            </w:r>
          </w:p>
        </w:tc>
        <w:tc>
          <w:tcPr>
            <w:tcW w:w="1006" w:type="dxa"/>
          </w:tcPr>
          <w:p w14:paraId="3198EE95" w14:textId="273F7456" w:rsidR="000F3838" w:rsidRPr="00BA549B" w:rsidRDefault="000F3838" w:rsidP="00BA549B">
            <w:pPr>
              <w:spacing w:line="200" w:lineRule="exact"/>
              <w:rPr>
                <w:sz w:val="16"/>
                <w:szCs w:val="16"/>
              </w:rPr>
            </w:pPr>
            <w:r w:rsidRPr="00BA549B">
              <w:rPr>
                <w:sz w:val="16"/>
                <w:szCs w:val="16"/>
              </w:rPr>
              <w:t>2000-current</w:t>
            </w:r>
            <w:r w:rsidR="00162E95">
              <w:rPr>
                <w:sz w:val="16"/>
                <w:szCs w:val="16"/>
              </w:rPr>
              <w:t>=</w:t>
            </w:r>
            <w:r w:rsidRPr="00BA549B">
              <w:rPr>
                <w:sz w:val="16"/>
                <w:szCs w:val="16"/>
              </w:rPr>
              <w:t>0</w:t>
            </w:r>
          </w:p>
        </w:tc>
        <w:tc>
          <w:tcPr>
            <w:tcW w:w="912" w:type="dxa"/>
          </w:tcPr>
          <w:p w14:paraId="53059A14" w14:textId="77777777" w:rsidR="000F3838" w:rsidRPr="00BA549B" w:rsidRDefault="000F3838" w:rsidP="00BA549B">
            <w:pPr>
              <w:spacing w:line="200" w:lineRule="exact"/>
              <w:rPr>
                <w:sz w:val="16"/>
                <w:szCs w:val="16"/>
              </w:rPr>
            </w:pPr>
            <w:r w:rsidRPr="00BA549B">
              <w:rPr>
                <w:sz w:val="16"/>
                <w:szCs w:val="16"/>
              </w:rPr>
              <w:t>None</w:t>
            </w:r>
          </w:p>
        </w:tc>
        <w:tc>
          <w:tcPr>
            <w:tcW w:w="911" w:type="dxa"/>
          </w:tcPr>
          <w:p w14:paraId="18F4C3D7" w14:textId="77777777" w:rsidR="000F3838" w:rsidRPr="00BA549B" w:rsidRDefault="000F3838" w:rsidP="00BA549B">
            <w:pPr>
              <w:spacing w:line="200" w:lineRule="exact"/>
              <w:rPr>
                <w:b/>
                <w:sz w:val="16"/>
                <w:szCs w:val="16"/>
              </w:rPr>
            </w:pPr>
            <w:r w:rsidRPr="00BA549B">
              <w:rPr>
                <w:b/>
                <w:sz w:val="16"/>
                <w:szCs w:val="16"/>
              </w:rPr>
              <w:t>0</w:t>
            </w:r>
          </w:p>
        </w:tc>
        <w:tc>
          <w:tcPr>
            <w:tcW w:w="990" w:type="dxa"/>
          </w:tcPr>
          <w:p w14:paraId="0109C907" w14:textId="77777777" w:rsidR="000F3838" w:rsidRPr="00BA549B" w:rsidRDefault="000F3838" w:rsidP="00BA549B">
            <w:pPr>
              <w:spacing w:line="200" w:lineRule="exact"/>
              <w:rPr>
                <w:sz w:val="16"/>
                <w:szCs w:val="16"/>
              </w:rPr>
            </w:pPr>
            <w:r w:rsidRPr="00BA549B">
              <w:rPr>
                <w:sz w:val="16"/>
                <w:szCs w:val="16"/>
              </w:rPr>
              <w:t>28-Feb-19</w:t>
            </w:r>
          </w:p>
        </w:tc>
      </w:tr>
      <w:tr w:rsidR="00BA549B" w:rsidRPr="00BA549B" w14:paraId="0F5E5311" w14:textId="77777777" w:rsidTr="00BA549B">
        <w:tc>
          <w:tcPr>
            <w:tcW w:w="939" w:type="dxa"/>
          </w:tcPr>
          <w:p w14:paraId="7CF8E775" w14:textId="77777777" w:rsidR="000F3838" w:rsidRPr="00BA549B" w:rsidRDefault="000F3838" w:rsidP="00BA549B">
            <w:pPr>
              <w:spacing w:line="200" w:lineRule="exact"/>
              <w:rPr>
                <w:b/>
                <w:sz w:val="16"/>
                <w:szCs w:val="16"/>
              </w:rPr>
            </w:pPr>
            <w:r w:rsidRPr="00BA549B">
              <w:rPr>
                <w:b/>
                <w:sz w:val="16"/>
                <w:szCs w:val="16"/>
              </w:rPr>
              <w:t>Cochrane</w:t>
            </w:r>
          </w:p>
        </w:tc>
        <w:tc>
          <w:tcPr>
            <w:tcW w:w="4522" w:type="dxa"/>
          </w:tcPr>
          <w:p w14:paraId="73D46D8F" w14:textId="77777777" w:rsidR="000F3838" w:rsidRPr="00BA549B" w:rsidRDefault="000F3838" w:rsidP="00BA549B">
            <w:pPr>
              <w:spacing w:line="200" w:lineRule="exact"/>
              <w:rPr>
                <w:sz w:val="16"/>
                <w:szCs w:val="16"/>
              </w:rPr>
            </w:pPr>
            <w:r w:rsidRPr="00BA549B">
              <w:rPr>
                <w:sz w:val="16"/>
                <w:szCs w:val="16"/>
              </w:rPr>
              <w:t xml:space="preserve">((MeSH descriptor: [Pregnancy] explode all trees) </w:t>
            </w:r>
          </w:p>
          <w:p w14:paraId="377C031B" w14:textId="77777777" w:rsidR="000F3838" w:rsidRPr="00BA549B" w:rsidRDefault="000F3838" w:rsidP="00BA549B">
            <w:pPr>
              <w:spacing w:line="200" w:lineRule="exact"/>
              <w:rPr>
                <w:sz w:val="16"/>
                <w:szCs w:val="16"/>
              </w:rPr>
            </w:pPr>
            <w:r w:rsidRPr="00BA549B">
              <w:rPr>
                <w:sz w:val="16"/>
                <w:szCs w:val="16"/>
              </w:rPr>
              <w:t>OR (MeSH descriptor: [Pregnant Women] explode all trees)</w:t>
            </w:r>
          </w:p>
          <w:p w14:paraId="2B8FFBE6" w14:textId="77777777" w:rsidR="000F3838" w:rsidRPr="00BA549B" w:rsidRDefault="000F3838" w:rsidP="00BA549B">
            <w:pPr>
              <w:spacing w:line="200" w:lineRule="exact"/>
              <w:rPr>
                <w:sz w:val="16"/>
                <w:szCs w:val="16"/>
              </w:rPr>
            </w:pPr>
            <w:r w:rsidRPr="00BA549B">
              <w:rPr>
                <w:sz w:val="16"/>
                <w:szCs w:val="16"/>
              </w:rPr>
              <w:t>OR Pregnancy)</w:t>
            </w:r>
          </w:p>
          <w:p w14:paraId="4DBF7F45" w14:textId="77777777" w:rsidR="000F3838" w:rsidRPr="00BA549B" w:rsidRDefault="000F3838" w:rsidP="00BA549B">
            <w:pPr>
              <w:spacing w:line="200" w:lineRule="exact"/>
              <w:rPr>
                <w:sz w:val="16"/>
                <w:szCs w:val="16"/>
              </w:rPr>
            </w:pPr>
            <w:r w:rsidRPr="00BA549B">
              <w:rPr>
                <w:sz w:val="16"/>
                <w:szCs w:val="16"/>
              </w:rPr>
              <w:t>AND</w:t>
            </w:r>
          </w:p>
          <w:p w14:paraId="4682564E" w14:textId="77777777" w:rsidR="000F3838" w:rsidRPr="00BA549B" w:rsidRDefault="000F3838" w:rsidP="00BA549B">
            <w:pPr>
              <w:spacing w:line="200" w:lineRule="exact"/>
              <w:rPr>
                <w:sz w:val="16"/>
                <w:szCs w:val="16"/>
              </w:rPr>
            </w:pPr>
            <w:r w:rsidRPr="00BA549B">
              <w:rPr>
                <w:sz w:val="16"/>
                <w:szCs w:val="16"/>
              </w:rPr>
              <w:t>(MeSH descriptor: [Selenium] explode all trees</w:t>
            </w:r>
          </w:p>
          <w:p w14:paraId="1135B8D1" w14:textId="77777777" w:rsidR="000F3838" w:rsidRPr="00BA549B" w:rsidRDefault="000F3838" w:rsidP="00BA549B">
            <w:pPr>
              <w:spacing w:line="200" w:lineRule="exact"/>
              <w:rPr>
                <w:sz w:val="16"/>
                <w:szCs w:val="16"/>
              </w:rPr>
            </w:pPr>
            <w:r w:rsidRPr="00BA549B">
              <w:rPr>
                <w:sz w:val="16"/>
                <w:szCs w:val="16"/>
              </w:rPr>
              <w:t>OR Selenium)</w:t>
            </w:r>
          </w:p>
        </w:tc>
        <w:tc>
          <w:tcPr>
            <w:tcW w:w="1006" w:type="dxa"/>
          </w:tcPr>
          <w:p w14:paraId="54FFF288" w14:textId="77777777" w:rsidR="000F3838" w:rsidRPr="00BA549B" w:rsidRDefault="000F3838" w:rsidP="00BA549B">
            <w:pPr>
              <w:spacing w:line="200" w:lineRule="exact"/>
              <w:rPr>
                <w:sz w:val="16"/>
                <w:szCs w:val="16"/>
              </w:rPr>
            </w:pPr>
            <w:r w:rsidRPr="00BA549B">
              <w:rPr>
                <w:sz w:val="16"/>
                <w:szCs w:val="16"/>
              </w:rPr>
              <w:t>Nov 2000 to Dec 2019</w:t>
            </w:r>
          </w:p>
        </w:tc>
        <w:tc>
          <w:tcPr>
            <w:tcW w:w="912" w:type="dxa"/>
          </w:tcPr>
          <w:p w14:paraId="7A08259E" w14:textId="77777777" w:rsidR="000F3838" w:rsidRPr="00BA549B" w:rsidRDefault="000F3838" w:rsidP="00BA549B">
            <w:pPr>
              <w:spacing w:line="200" w:lineRule="exact"/>
              <w:rPr>
                <w:sz w:val="16"/>
                <w:szCs w:val="16"/>
              </w:rPr>
            </w:pPr>
            <w:r w:rsidRPr="00BA549B">
              <w:rPr>
                <w:sz w:val="16"/>
                <w:szCs w:val="16"/>
              </w:rPr>
              <w:t>Trials</w:t>
            </w:r>
          </w:p>
        </w:tc>
        <w:tc>
          <w:tcPr>
            <w:tcW w:w="911" w:type="dxa"/>
          </w:tcPr>
          <w:p w14:paraId="259812EA" w14:textId="77777777" w:rsidR="000F3838" w:rsidRPr="00BA549B" w:rsidRDefault="000F3838" w:rsidP="00BA549B">
            <w:pPr>
              <w:spacing w:line="200" w:lineRule="exact"/>
              <w:rPr>
                <w:b/>
                <w:sz w:val="16"/>
                <w:szCs w:val="16"/>
              </w:rPr>
            </w:pPr>
            <w:r w:rsidRPr="00BA549B">
              <w:rPr>
                <w:b/>
                <w:sz w:val="16"/>
                <w:szCs w:val="16"/>
              </w:rPr>
              <w:t>28 reviews</w:t>
            </w:r>
          </w:p>
          <w:p w14:paraId="561A5FDE" w14:textId="77777777" w:rsidR="000F3838" w:rsidRPr="00BA549B" w:rsidRDefault="000F3838" w:rsidP="00BA549B">
            <w:pPr>
              <w:spacing w:line="200" w:lineRule="exact"/>
              <w:rPr>
                <w:b/>
                <w:sz w:val="16"/>
                <w:szCs w:val="16"/>
              </w:rPr>
            </w:pPr>
            <w:r w:rsidRPr="00BA549B">
              <w:rPr>
                <w:b/>
                <w:sz w:val="16"/>
                <w:szCs w:val="16"/>
              </w:rPr>
              <w:t>114 trials</w:t>
            </w:r>
          </w:p>
          <w:p w14:paraId="4CDC9EB7" w14:textId="77777777" w:rsidR="000F3838" w:rsidRPr="00BA549B" w:rsidRDefault="000F3838" w:rsidP="00BA549B">
            <w:pPr>
              <w:spacing w:line="200" w:lineRule="exact"/>
              <w:rPr>
                <w:b/>
                <w:sz w:val="16"/>
                <w:szCs w:val="16"/>
              </w:rPr>
            </w:pPr>
            <w:r w:rsidRPr="00BA549B">
              <w:rPr>
                <w:b/>
                <w:sz w:val="16"/>
                <w:szCs w:val="16"/>
              </w:rPr>
              <w:t>10 protocols</w:t>
            </w:r>
          </w:p>
        </w:tc>
        <w:tc>
          <w:tcPr>
            <w:tcW w:w="990" w:type="dxa"/>
          </w:tcPr>
          <w:p w14:paraId="46C1AEDE" w14:textId="77777777" w:rsidR="000F3838" w:rsidRPr="00BA549B" w:rsidRDefault="000F3838" w:rsidP="00BA549B">
            <w:pPr>
              <w:spacing w:line="200" w:lineRule="exact"/>
              <w:rPr>
                <w:sz w:val="16"/>
                <w:szCs w:val="16"/>
              </w:rPr>
            </w:pPr>
            <w:r w:rsidRPr="00BA549B">
              <w:rPr>
                <w:sz w:val="16"/>
                <w:szCs w:val="16"/>
              </w:rPr>
              <w:t>28-Feb-19</w:t>
            </w:r>
          </w:p>
        </w:tc>
      </w:tr>
    </w:tbl>
    <w:bookmarkEnd w:id="251"/>
    <w:p w14:paraId="5CDDC77C" w14:textId="6BF5D57E" w:rsidR="00CB36CA" w:rsidRDefault="00320FB8" w:rsidP="00320FB8">
      <w:pPr>
        <w:pStyle w:val="Figure"/>
        <w:spacing w:before="240"/>
        <w:jc w:val="center"/>
      </w:pPr>
      <w:r>
        <w:rPr>
          <w:noProof/>
          <w:lang w:val="en-AU" w:eastAsia="en-AU"/>
        </w:rPr>
        <w:drawing>
          <wp:inline distT="0" distB="0" distL="0" distR="0" wp14:anchorId="510C253A" wp14:editId="67E553B0">
            <wp:extent cx="3063585" cy="4014027"/>
            <wp:effectExtent l="0" t="0" r="1016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Selenium.png"/>
                    <pic:cNvPicPr/>
                  </pic:nvPicPr>
                  <pic:blipFill>
                    <a:blip r:embed="rId30">
                      <a:extLst>
                        <a:ext uri="{28A0092B-C50C-407E-A947-70E740481C1C}">
                          <a14:useLocalDpi xmlns:a14="http://schemas.microsoft.com/office/drawing/2010/main" val="0"/>
                        </a:ext>
                      </a:extLst>
                    </a:blip>
                    <a:stretch>
                      <a:fillRect/>
                    </a:stretch>
                  </pic:blipFill>
                  <pic:spPr>
                    <a:xfrm>
                      <a:off x="0" y="0"/>
                      <a:ext cx="3077761" cy="4032600"/>
                    </a:xfrm>
                    <a:prstGeom prst="rect">
                      <a:avLst/>
                    </a:prstGeom>
                  </pic:spPr>
                </pic:pic>
              </a:graphicData>
            </a:graphic>
          </wp:inline>
        </w:drawing>
      </w:r>
    </w:p>
    <w:p w14:paraId="564E5018" w14:textId="13C738E1" w:rsidR="000F3838" w:rsidRDefault="00BA549B" w:rsidP="00CB36CA">
      <w:pPr>
        <w:pStyle w:val="Figurename"/>
      </w:pPr>
      <w:r>
        <w:t>PRISMA</w:t>
      </w:r>
      <w:r w:rsidR="00CB36CA">
        <w:t xml:space="preserve"> diagram: Selenium</w:t>
      </w:r>
    </w:p>
    <w:p w14:paraId="5B7670AD" w14:textId="77777777" w:rsidR="00B01AF9" w:rsidRDefault="00B01AF9" w:rsidP="00012E7A">
      <w:pPr>
        <w:pStyle w:val="Heading4"/>
      </w:pPr>
      <w:r>
        <w:t>Selenium top-up search</w:t>
      </w:r>
    </w:p>
    <w:p w14:paraId="09AB36FC" w14:textId="0869194C" w:rsidR="00B01AF9" w:rsidRDefault="00B01AF9" w:rsidP="00B01AF9">
      <w:r>
        <w:t>Search date: 12 March 2020</w:t>
      </w:r>
    </w:p>
    <w:p w14:paraId="53C40E00" w14:textId="214B0E31" w:rsidR="00E00E0E" w:rsidRDefault="002807D7" w:rsidP="00E00E0E">
      <w:pPr>
        <w:pStyle w:val="Figure"/>
      </w:pPr>
      <w:r>
        <w:rPr>
          <w:noProof/>
          <w:lang w:val="en-AU" w:eastAsia="en-AU"/>
        </w:rPr>
        <w:drawing>
          <wp:inline distT="0" distB="0" distL="0" distR="0" wp14:anchorId="576C2BEA" wp14:editId="511AC100">
            <wp:extent cx="2925264" cy="3208302"/>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Selenium topup.png"/>
                    <pic:cNvPicPr/>
                  </pic:nvPicPr>
                  <pic:blipFill>
                    <a:blip r:embed="rId31">
                      <a:extLst>
                        <a:ext uri="{28A0092B-C50C-407E-A947-70E740481C1C}">
                          <a14:useLocalDpi xmlns:a14="http://schemas.microsoft.com/office/drawing/2010/main" val="0"/>
                        </a:ext>
                      </a:extLst>
                    </a:blip>
                    <a:stretch>
                      <a:fillRect/>
                    </a:stretch>
                  </pic:blipFill>
                  <pic:spPr>
                    <a:xfrm>
                      <a:off x="0" y="0"/>
                      <a:ext cx="2931361" cy="3214989"/>
                    </a:xfrm>
                    <a:prstGeom prst="rect">
                      <a:avLst/>
                    </a:prstGeom>
                  </pic:spPr>
                </pic:pic>
              </a:graphicData>
            </a:graphic>
          </wp:inline>
        </w:drawing>
      </w:r>
    </w:p>
    <w:p w14:paraId="2359F0AA" w14:textId="30CB5508" w:rsidR="00E00E0E" w:rsidRDefault="00E00E0E" w:rsidP="00E00E0E">
      <w:pPr>
        <w:pStyle w:val="Figurename"/>
      </w:pPr>
      <w:r>
        <w:t>PRISMA diagram: Selenium top-up</w:t>
      </w:r>
    </w:p>
    <w:p w14:paraId="2E28EFF5" w14:textId="69CD726A" w:rsidR="00012E7A" w:rsidRPr="00311DB9" w:rsidRDefault="00012E7A" w:rsidP="00012E7A">
      <w:pPr>
        <w:pStyle w:val="Heading4"/>
      </w:pPr>
      <w:r w:rsidRPr="00311DB9">
        <w:t>Herbal preparations</w:t>
      </w:r>
      <w:r w:rsidR="000D04A0">
        <w:t xml:space="preserve"> (research question 4)</w:t>
      </w:r>
    </w:p>
    <w:p w14:paraId="31EB6699" w14:textId="77777777" w:rsidR="000B54D0" w:rsidRDefault="000B54D0" w:rsidP="000B54D0">
      <w:pPr>
        <w:rPr>
          <w:b/>
        </w:rPr>
      </w:pPr>
      <w:r>
        <w:rPr>
          <w:b/>
        </w:rPr>
        <w:t>Current search dates:</w:t>
      </w:r>
    </w:p>
    <w:p w14:paraId="2ECBC0F8" w14:textId="77777777" w:rsidR="000B54D0" w:rsidRPr="00196D36" w:rsidRDefault="000B54D0" w:rsidP="000B54D0">
      <w:r>
        <w:t>2014-2019</w:t>
      </w:r>
    </w:p>
    <w:tbl>
      <w:tblPr>
        <w:tblStyle w:val="TableGrid"/>
        <w:tblW w:w="9072" w:type="dxa"/>
        <w:tblInd w:w="110" w:type="dxa"/>
        <w:tblLayout w:type="fixed"/>
        <w:tblLook w:val="04A0" w:firstRow="1" w:lastRow="0" w:firstColumn="1" w:lastColumn="0" w:noHBand="0" w:noVBand="1"/>
      </w:tblPr>
      <w:tblGrid>
        <w:gridCol w:w="993"/>
        <w:gridCol w:w="4394"/>
        <w:gridCol w:w="1134"/>
        <w:gridCol w:w="992"/>
        <w:gridCol w:w="709"/>
        <w:gridCol w:w="850"/>
      </w:tblGrid>
      <w:tr w:rsidR="00ED3D20" w14:paraId="6A5A6F09" w14:textId="77777777" w:rsidTr="00ED3D20">
        <w:tc>
          <w:tcPr>
            <w:tcW w:w="993" w:type="dxa"/>
          </w:tcPr>
          <w:p w14:paraId="59B6A536" w14:textId="77777777" w:rsidR="000B54D0" w:rsidRDefault="000B54D0" w:rsidP="00ED3D20">
            <w:pPr>
              <w:pStyle w:val="TableRCTs"/>
            </w:pPr>
            <w:r>
              <w:t>Database</w:t>
            </w:r>
          </w:p>
        </w:tc>
        <w:tc>
          <w:tcPr>
            <w:tcW w:w="4394" w:type="dxa"/>
          </w:tcPr>
          <w:p w14:paraId="4EECEE85" w14:textId="77777777" w:rsidR="000B54D0" w:rsidRDefault="000B54D0" w:rsidP="00ED3D20">
            <w:pPr>
              <w:pStyle w:val="TableRCTs"/>
            </w:pPr>
            <w:r>
              <w:t>Search Strategy</w:t>
            </w:r>
          </w:p>
        </w:tc>
        <w:tc>
          <w:tcPr>
            <w:tcW w:w="1134" w:type="dxa"/>
          </w:tcPr>
          <w:p w14:paraId="72873F5A" w14:textId="77777777" w:rsidR="000B54D0" w:rsidRDefault="000B54D0" w:rsidP="00ED3D20">
            <w:pPr>
              <w:pStyle w:val="TableRCTs"/>
            </w:pPr>
            <w:r>
              <w:t>Dates Searched</w:t>
            </w:r>
          </w:p>
        </w:tc>
        <w:tc>
          <w:tcPr>
            <w:tcW w:w="992" w:type="dxa"/>
          </w:tcPr>
          <w:p w14:paraId="49965422" w14:textId="77777777" w:rsidR="000B54D0" w:rsidRDefault="000B54D0" w:rsidP="00ED3D20">
            <w:pPr>
              <w:pStyle w:val="TableRCTs"/>
            </w:pPr>
            <w:r>
              <w:t>Limits set</w:t>
            </w:r>
          </w:p>
        </w:tc>
        <w:tc>
          <w:tcPr>
            <w:tcW w:w="709" w:type="dxa"/>
          </w:tcPr>
          <w:p w14:paraId="272680AF" w14:textId="77777777" w:rsidR="000B54D0" w:rsidRDefault="000B54D0" w:rsidP="00ED3D20">
            <w:pPr>
              <w:pStyle w:val="TableRCTs"/>
            </w:pPr>
            <w:r>
              <w:t>Results</w:t>
            </w:r>
          </w:p>
        </w:tc>
        <w:tc>
          <w:tcPr>
            <w:tcW w:w="850" w:type="dxa"/>
          </w:tcPr>
          <w:p w14:paraId="0B23755F" w14:textId="77777777" w:rsidR="000B54D0" w:rsidRDefault="000B54D0" w:rsidP="00ED3D20">
            <w:pPr>
              <w:pStyle w:val="TableRCTs"/>
            </w:pPr>
            <w:r>
              <w:t>Date of search</w:t>
            </w:r>
          </w:p>
        </w:tc>
      </w:tr>
      <w:tr w:rsidR="00ED3D20" w14:paraId="4A314EE0" w14:textId="77777777" w:rsidTr="00ED3D20">
        <w:tc>
          <w:tcPr>
            <w:tcW w:w="993" w:type="dxa"/>
          </w:tcPr>
          <w:p w14:paraId="2A62AEF2" w14:textId="77777777" w:rsidR="000B54D0" w:rsidRDefault="000B54D0" w:rsidP="00ED3D20">
            <w:pPr>
              <w:pStyle w:val="TableRCTs"/>
            </w:pPr>
            <w:r>
              <w:t>Pubmed</w:t>
            </w:r>
          </w:p>
        </w:tc>
        <w:tc>
          <w:tcPr>
            <w:tcW w:w="4394" w:type="dxa"/>
          </w:tcPr>
          <w:p w14:paraId="26DE4B5D" w14:textId="77777777" w:rsidR="000B54D0" w:rsidRPr="00FB4040" w:rsidRDefault="000B54D0" w:rsidP="00ED3D20">
            <w:pPr>
              <w:pStyle w:val="TableRCTs"/>
            </w:pPr>
            <w:r w:rsidRPr="00FB4040">
              <w:t xml:space="preserve">(("pregnancy"[Mesh]) OR ("pregnan*"[All Fields]) OR ("prenatal*"[All Fields])) </w:t>
            </w:r>
          </w:p>
          <w:p w14:paraId="38FDF345" w14:textId="77777777" w:rsidR="000B54D0" w:rsidRPr="00FB4040" w:rsidRDefault="000B54D0" w:rsidP="00ED3D20">
            <w:pPr>
              <w:pStyle w:val="TableRCTs"/>
              <w:rPr>
                <w:rFonts w:cstheme="minorHAnsi"/>
                <w:sz w:val="20"/>
                <w:szCs w:val="20"/>
              </w:rPr>
            </w:pPr>
            <w:r w:rsidRPr="00FB4040">
              <w:rPr>
                <w:rFonts w:cstheme="minorHAnsi"/>
                <w:sz w:val="20"/>
                <w:szCs w:val="20"/>
              </w:rPr>
              <w:t xml:space="preserve">AND </w:t>
            </w:r>
          </w:p>
          <w:p w14:paraId="016A78A9" w14:textId="77777777" w:rsidR="000B54D0" w:rsidRPr="00FB4040" w:rsidRDefault="000B54D0" w:rsidP="00ED3D20">
            <w:pPr>
              <w:pStyle w:val="TableRCTs"/>
            </w:pPr>
            <w:r w:rsidRPr="00FB4040">
              <w:rPr>
                <w:shd w:val="clear" w:color="auto" w:fill="FFFFFF"/>
              </w:rPr>
              <w:t>(("Herbal" OR "Alternative" OR "Complementary") NEXT ("Medicin*" OR "Therap*" OR "Remed*")) OR ("Herbal Medicine"[Mesh]) OR "Drugs, Chinese Herbal"[Mesh]) OR "Complementary Therapies"[Mesh]</w:t>
            </w:r>
          </w:p>
        </w:tc>
        <w:tc>
          <w:tcPr>
            <w:tcW w:w="1134" w:type="dxa"/>
          </w:tcPr>
          <w:p w14:paraId="6CA38FA8" w14:textId="77777777" w:rsidR="000B54D0" w:rsidRPr="003E45FD" w:rsidRDefault="000B54D0" w:rsidP="00ED3D20">
            <w:pPr>
              <w:pStyle w:val="TableRCTs"/>
            </w:pPr>
            <w:r>
              <w:t>5 years</w:t>
            </w:r>
          </w:p>
        </w:tc>
        <w:tc>
          <w:tcPr>
            <w:tcW w:w="992" w:type="dxa"/>
          </w:tcPr>
          <w:p w14:paraId="59CB1CF0" w14:textId="77777777" w:rsidR="000B54D0" w:rsidRDefault="000B54D0" w:rsidP="00ED3D20">
            <w:pPr>
              <w:pStyle w:val="TableRCTs"/>
            </w:pPr>
            <w:r w:rsidRPr="003E45FD">
              <w:t>Human</w:t>
            </w:r>
          </w:p>
          <w:p w14:paraId="602200C5" w14:textId="77777777" w:rsidR="000B54D0" w:rsidRPr="003E45FD" w:rsidRDefault="000B54D0" w:rsidP="00ED3D20">
            <w:pPr>
              <w:pStyle w:val="TableRCTs"/>
            </w:pPr>
          </w:p>
        </w:tc>
        <w:tc>
          <w:tcPr>
            <w:tcW w:w="709" w:type="dxa"/>
          </w:tcPr>
          <w:p w14:paraId="138480C0" w14:textId="77777777" w:rsidR="000B54D0" w:rsidRDefault="000B54D0" w:rsidP="00ED3D20">
            <w:pPr>
              <w:pStyle w:val="TableRCTs"/>
            </w:pPr>
            <w:r>
              <w:t>725</w:t>
            </w:r>
          </w:p>
        </w:tc>
        <w:tc>
          <w:tcPr>
            <w:tcW w:w="850" w:type="dxa"/>
          </w:tcPr>
          <w:p w14:paraId="5D4C10E7" w14:textId="77777777" w:rsidR="000B54D0" w:rsidRPr="003E45FD" w:rsidRDefault="000B54D0" w:rsidP="00ED3D20">
            <w:pPr>
              <w:pStyle w:val="TableRCTs"/>
            </w:pPr>
            <w:r>
              <w:t>5-August-19</w:t>
            </w:r>
          </w:p>
        </w:tc>
      </w:tr>
      <w:tr w:rsidR="00ED3D20" w14:paraId="12307B1C" w14:textId="77777777" w:rsidTr="00ED3D20">
        <w:tc>
          <w:tcPr>
            <w:tcW w:w="993" w:type="dxa"/>
          </w:tcPr>
          <w:p w14:paraId="60ABC2DC" w14:textId="77777777" w:rsidR="000B54D0" w:rsidRDefault="000B54D0" w:rsidP="00ED3D20">
            <w:pPr>
              <w:pStyle w:val="TableRCTs"/>
            </w:pPr>
            <w:bookmarkStart w:id="252" w:name="_Hlk14445057"/>
            <w:r>
              <w:t>Ovid medline</w:t>
            </w:r>
          </w:p>
        </w:tc>
        <w:tc>
          <w:tcPr>
            <w:tcW w:w="4394" w:type="dxa"/>
          </w:tcPr>
          <w:p w14:paraId="385F69CF" w14:textId="77777777" w:rsidR="000B54D0" w:rsidRPr="00C16BBA" w:rsidRDefault="000B54D0" w:rsidP="00ED3D20">
            <w:pPr>
              <w:pStyle w:val="TableRCTs"/>
              <w:rPr>
                <w:rFonts w:ascii="Helvetica" w:hAnsi="Helvetica" w:cs="Helvetica"/>
                <w:color w:val="2D2D2D"/>
                <w:sz w:val="20"/>
                <w:szCs w:val="20"/>
                <w:shd w:val="clear" w:color="auto" w:fill="FFFFFF"/>
              </w:rPr>
            </w:pPr>
            <w:r>
              <w:rPr>
                <w:rFonts w:ascii="Helvetica" w:hAnsi="Helvetica" w:cs="Helvetica"/>
                <w:color w:val="2D2D2D"/>
                <w:sz w:val="18"/>
                <w:szCs w:val="18"/>
                <w:shd w:val="clear" w:color="auto" w:fill="F8F8F8"/>
              </w:rPr>
              <w:t>(Pregnancy/syn or Pregnan*.mp.) AND (</w:t>
            </w:r>
            <w:r>
              <w:rPr>
                <w:rStyle w:val="searchhistory-search-term"/>
                <w:rFonts w:eastAsiaTheme="minorEastAsia"/>
                <w:color w:val="0A0905"/>
              </w:rPr>
              <w:t>(</w:t>
            </w:r>
            <w:r>
              <w:rPr>
                <w:rFonts w:ascii="Helvetica" w:hAnsi="Helvetica" w:cs="Helvetica"/>
                <w:color w:val="2D2D2D"/>
                <w:sz w:val="18"/>
                <w:szCs w:val="18"/>
                <w:shd w:val="clear" w:color="auto" w:fill="FFFFFF"/>
              </w:rPr>
              <w:t>exp Plants, Medicinal/ or exp Herbal Medicine/ or exp Medicine, East Asian Traditional/ or exp Medicine, Chinese Traditional/) OR (</w:t>
            </w:r>
            <w:r>
              <w:rPr>
                <w:rFonts w:ascii="Helvetica" w:hAnsi="Helvetica" w:cs="Helvetica"/>
                <w:color w:val="2D2D2D"/>
                <w:sz w:val="18"/>
                <w:szCs w:val="18"/>
                <w:shd w:val="clear" w:color="auto" w:fill="F8F8F8"/>
              </w:rPr>
              <w:t>((Herbal or Alternative) and (Medicin* or Therap*)).mp))</w:t>
            </w:r>
          </w:p>
          <w:p w14:paraId="3F6AF5A7" w14:textId="77777777" w:rsidR="000B54D0" w:rsidRPr="003E45FD" w:rsidRDefault="000B54D0" w:rsidP="00ED3D20">
            <w:pPr>
              <w:pStyle w:val="TableRCTs"/>
              <w:rPr>
                <w:rFonts w:ascii="Helvetica" w:hAnsi="Helvetica" w:cs="Helvetica"/>
                <w:color w:val="2D2D2D"/>
                <w:sz w:val="20"/>
                <w:szCs w:val="20"/>
                <w:shd w:val="clear" w:color="auto" w:fill="FFFFFF"/>
              </w:rPr>
            </w:pPr>
          </w:p>
        </w:tc>
        <w:tc>
          <w:tcPr>
            <w:tcW w:w="1134" w:type="dxa"/>
          </w:tcPr>
          <w:p w14:paraId="055EDE24" w14:textId="77777777" w:rsidR="000B54D0" w:rsidRPr="003E45FD" w:rsidRDefault="000B54D0" w:rsidP="00ED3D20">
            <w:pPr>
              <w:pStyle w:val="TableRCTs"/>
            </w:pPr>
            <w:r w:rsidRPr="003E45FD">
              <w:t>201</w:t>
            </w:r>
            <w:r>
              <w:t>4</w:t>
            </w:r>
            <w:r w:rsidRPr="003E45FD">
              <w:t>-Current</w:t>
            </w:r>
          </w:p>
        </w:tc>
        <w:tc>
          <w:tcPr>
            <w:tcW w:w="992" w:type="dxa"/>
          </w:tcPr>
          <w:p w14:paraId="237CAFB8" w14:textId="77777777" w:rsidR="000B54D0" w:rsidRPr="003E45FD" w:rsidRDefault="000B54D0" w:rsidP="00ED3D20">
            <w:pPr>
              <w:pStyle w:val="TableRCTs"/>
            </w:pPr>
            <w:r w:rsidRPr="003E45FD">
              <w:t>English Language</w:t>
            </w:r>
          </w:p>
          <w:p w14:paraId="016DF8DE" w14:textId="77777777" w:rsidR="000B54D0" w:rsidRPr="003E45FD" w:rsidRDefault="000B54D0" w:rsidP="00ED3D20">
            <w:pPr>
              <w:pStyle w:val="TableRCTs"/>
            </w:pPr>
            <w:r w:rsidRPr="003E45FD">
              <w:t>Human</w:t>
            </w:r>
          </w:p>
        </w:tc>
        <w:tc>
          <w:tcPr>
            <w:tcW w:w="709" w:type="dxa"/>
          </w:tcPr>
          <w:p w14:paraId="72F11A03" w14:textId="77777777" w:rsidR="000B54D0" w:rsidRDefault="000B54D0" w:rsidP="00ED3D20">
            <w:pPr>
              <w:pStyle w:val="TableRCTs"/>
            </w:pPr>
            <w:r>
              <w:t>1141</w:t>
            </w:r>
          </w:p>
        </w:tc>
        <w:tc>
          <w:tcPr>
            <w:tcW w:w="850" w:type="dxa"/>
          </w:tcPr>
          <w:p w14:paraId="267FDC3B" w14:textId="77777777" w:rsidR="000B54D0" w:rsidRPr="003E45FD" w:rsidRDefault="000B54D0" w:rsidP="00ED3D20">
            <w:pPr>
              <w:pStyle w:val="TableRCTs"/>
            </w:pPr>
            <w:r>
              <w:t>19 July 2019</w:t>
            </w:r>
          </w:p>
        </w:tc>
      </w:tr>
      <w:bookmarkEnd w:id="252"/>
      <w:tr w:rsidR="00ED3D20" w14:paraId="74A0F1AE" w14:textId="77777777" w:rsidTr="00ED3D20">
        <w:tc>
          <w:tcPr>
            <w:tcW w:w="993" w:type="dxa"/>
          </w:tcPr>
          <w:p w14:paraId="68EF9312" w14:textId="77777777" w:rsidR="000B54D0" w:rsidRDefault="000B54D0" w:rsidP="00ED3D20">
            <w:pPr>
              <w:pStyle w:val="TableRCTs"/>
            </w:pPr>
            <w:r>
              <w:t>Embase</w:t>
            </w:r>
          </w:p>
        </w:tc>
        <w:tc>
          <w:tcPr>
            <w:tcW w:w="4394" w:type="dxa"/>
          </w:tcPr>
          <w:p w14:paraId="49EA18B1" w14:textId="77777777" w:rsidR="000B54D0" w:rsidRDefault="000B54D0" w:rsidP="00ED3D20">
            <w:pPr>
              <w:pStyle w:val="TableRCTs"/>
            </w:pPr>
            <w:r>
              <w:t>((</w:t>
            </w:r>
            <w:r w:rsidRPr="00763A12">
              <w:t>'alternative medicine'/exp</w:t>
            </w:r>
            <w:r>
              <w:t>) OR (</w:t>
            </w:r>
            <w:r w:rsidRPr="00763A12">
              <w:t>'herbal medicine'/exp</w:t>
            </w:r>
            <w:r>
              <w:t>) OR (</w:t>
            </w:r>
            <w:r w:rsidRPr="00763A12">
              <w:t>'herbaceous agent'/exp</w:t>
            </w:r>
            <w:r>
              <w:t>))</w:t>
            </w:r>
          </w:p>
          <w:p w14:paraId="34C22182" w14:textId="77777777" w:rsidR="000B54D0" w:rsidRDefault="000B54D0" w:rsidP="00ED3D20">
            <w:pPr>
              <w:pStyle w:val="TableRCTs"/>
            </w:pPr>
            <w:r>
              <w:t>AND</w:t>
            </w:r>
          </w:p>
          <w:p w14:paraId="168C3E96" w14:textId="77777777" w:rsidR="000B54D0" w:rsidRDefault="000B54D0" w:rsidP="00ED3D20">
            <w:pPr>
              <w:pStyle w:val="TableRCTs"/>
            </w:pPr>
            <w:r>
              <w:t xml:space="preserve">('pregnancy'/exp  OR pregnan*) </w:t>
            </w:r>
          </w:p>
          <w:p w14:paraId="1D49C97A" w14:textId="77777777" w:rsidR="000B54D0" w:rsidRPr="003E45FD" w:rsidRDefault="000B54D0" w:rsidP="00ED3D20">
            <w:pPr>
              <w:pStyle w:val="TableRCTs"/>
            </w:pPr>
          </w:p>
        </w:tc>
        <w:tc>
          <w:tcPr>
            <w:tcW w:w="1134" w:type="dxa"/>
          </w:tcPr>
          <w:p w14:paraId="32C2FDA6" w14:textId="77777777" w:rsidR="000B54D0" w:rsidRPr="003E45FD" w:rsidRDefault="000B54D0" w:rsidP="00ED3D20">
            <w:pPr>
              <w:pStyle w:val="TableRCTs"/>
            </w:pPr>
            <w:r>
              <w:t>2014-current</w:t>
            </w:r>
          </w:p>
        </w:tc>
        <w:tc>
          <w:tcPr>
            <w:tcW w:w="992" w:type="dxa"/>
          </w:tcPr>
          <w:p w14:paraId="7D89A936" w14:textId="77777777" w:rsidR="000B54D0" w:rsidRPr="003E45FD" w:rsidRDefault="000B54D0" w:rsidP="00ED3D20">
            <w:pPr>
              <w:pStyle w:val="TableRCTs"/>
            </w:pPr>
            <w:r w:rsidRPr="003E45FD">
              <w:t>English Language</w:t>
            </w:r>
          </w:p>
          <w:p w14:paraId="252D69A4" w14:textId="77777777" w:rsidR="000B54D0" w:rsidRPr="003E45FD" w:rsidRDefault="000B54D0" w:rsidP="00ED3D20">
            <w:pPr>
              <w:pStyle w:val="TableRCTs"/>
            </w:pPr>
            <w:r w:rsidRPr="003E45FD">
              <w:t>Human</w:t>
            </w:r>
          </w:p>
        </w:tc>
        <w:tc>
          <w:tcPr>
            <w:tcW w:w="709" w:type="dxa"/>
          </w:tcPr>
          <w:p w14:paraId="5A3A7724" w14:textId="77777777" w:rsidR="000B54D0" w:rsidRDefault="000B54D0" w:rsidP="00ED3D20">
            <w:pPr>
              <w:pStyle w:val="TableRCTs"/>
            </w:pPr>
            <w:r>
              <w:t>752</w:t>
            </w:r>
          </w:p>
        </w:tc>
        <w:tc>
          <w:tcPr>
            <w:tcW w:w="850" w:type="dxa"/>
          </w:tcPr>
          <w:p w14:paraId="0FF9939F" w14:textId="77777777" w:rsidR="000B54D0" w:rsidRPr="003E45FD" w:rsidRDefault="000B54D0" w:rsidP="00ED3D20">
            <w:pPr>
              <w:pStyle w:val="TableRCTs"/>
            </w:pPr>
            <w:r>
              <w:t>5-Aug-19</w:t>
            </w:r>
          </w:p>
        </w:tc>
      </w:tr>
      <w:tr w:rsidR="00ED3D20" w14:paraId="1E178E09" w14:textId="77777777" w:rsidTr="00ED3D20">
        <w:tc>
          <w:tcPr>
            <w:tcW w:w="993" w:type="dxa"/>
          </w:tcPr>
          <w:p w14:paraId="5D64A5E2" w14:textId="77777777" w:rsidR="000B54D0" w:rsidRDefault="000B54D0" w:rsidP="00ED3D20">
            <w:pPr>
              <w:pStyle w:val="TableRCTs"/>
            </w:pPr>
            <w:r>
              <w:t>CINAHL</w:t>
            </w:r>
          </w:p>
        </w:tc>
        <w:tc>
          <w:tcPr>
            <w:tcW w:w="4394" w:type="dxa"/>
          </w:tcPr>
          <w:p w14:paraId="793CAABC" w14:textId="77777777" w:rsidR="000B54D0" w:rsidRDefault="000B54D0" w:rsidP="00ED3D20">
            <w:pPr>
              <w:pStyle w:val="TableRCTs"/>
            </w:pPr>
            <w:r>
              <w:t>((MH "Alternative Therapies+") OR (MH "Plants, Medicinal+") OR ("alternative NEXT medicine"))</w:t>
            </w:r>
          </w:p>
          <w:p w14:paraId="276EF41F" w14:textId="77777777" w:rsidR="000B54D0" w:rsidRDefault="000B54D0" w:rsidP="00ED3D20">
            <w:pPr>
              <w:pStyle w:val="TableRCTs"/>
            </w:pPr>
            <w:r>
              <w:t>AND</w:t>
            </w:r>
          </w:p>
          <w:p w14:paraId="66980C9F" w14:textId="77777777" w:rsidR="000B54D0" w:rsidRPr="003E45FD" w:rsidRDefault="000B54D0" w:rsidP="00ED3D20">
            <w:pPr>
              <w:pStyle w:val="TableRCTs"/>
            </w:pPr>
            <w:r>
              <w:t>( (MH "Pregnancy+") OR (MH "Pregnancy Trimesters+") OR (MM "Prenatal Nutritional Physiology") OR (MM "Prenatal Exposure Delayed Effects") )</w:t>
            </w:r>
          </w:p>
        </w:tc>
        <w:tc>
          <w:tcPr>
            <w:tcW w:w="1134" w:type="dxa"/>
          </w:tcPr>
          <w:p w14:paraId="722914EA" w14:textId="77777777" w:rsidR="000B54D0" w:rsidRPr="003E45FD" w:rsidRDefault="000B54D0" w:rsidP="00ED3D20">
            <w:pPr>
              <w:pStyle w:val="TableRCTs"/>
            </w:pPr>
            <w:r>
              <w:t>2014 - current</w:t>
            </w:r>
          </w:p>
        </w:tc>
        <w:tc>
          <w:tcPr>
            <w:tcW w:w="992" w:type="dxa"/>
          </w:tcPr>
          <w:p w14:paraId="2D143717" w14:textId="77777777" w:rsidR="000B54D0" w:rsidRPr="003E45FD" w:rsidRDefault="000B54D0" w:rsidP="00ED3D20">
            <w:pPr>
              <w:pStyle w:val="TableRCTs"/>
            </w:pPr>
            <w:r>
              <w:t>English</w:t>
            </w:r>
          </w:p>
        </w:tc>
        <w:tc>
          <w:tcPr>
            <w:tcW w:w="709" w:type="dxa"/>
          </w:tcPr>
          <w:p w14:paraId="7B923E5A" w14:textId="77777777" w:rsidR="000B54D0" w:rsidRDefault="000B54D0" w:rsidP="00ED3D20">
            <w:pPr>
              <w:pStyle w:val="TableRCTs"/>
            </w:pPr>
            <w:r>
              <w:t>774</w:t>
            </w:r>
          </w:p>
        </w:tc>
        <w:tc>
          <w:tcPr>
            <w:tcW w:w="850" w:type="dxa"/>
          </w:tcPr>
          <w:p w14:paraId="346EEA19" w14:textId="77777777" w:rsidR="000B54D0" w:rsidRPr="003E45FD" w:rsidRDefault="000B54D0" w:rsidP="00ED3D20">
            <w:pPr>
              <w:pStyle w:val="TableRCTs"/>
            </w:pPr>
            <w:r>
              <w:t>5-Aug-19</w:t>
            </w:r>
          </w:p>
        </w:tc>
      </w:tr>
      <w:tr w:rsidR="00ED3D20" w14:paraId="7602EC72" w14:textId="77777777" w:rsidTr="00ED3D20">
        <w:tc>
          <w:tcPr>
            <w:tcW w:w="993" w:type="dxa"/>
          </w:tcPr>
          <w:p w14:paraId="08B0B7A7" w14:textId="77777777" w:rsidR="000B54D0" w:rsidRDefault="000B54D0" w:rsidP="00ED3D20">
            <w:pPr>
              <w:pStyle w:val="TableRCTs"/>
            </w:pPr>
            <w:r>
              <w:t>SCOPUS</w:t>
            </w:r>
          </w:p>
        </w:tc>
        <w:tc>
          <w:tcPr>
            <w:tcW w:w="4394" w:type="dxa"/>
          </w:tcPr>
          <w:p w14:paraId="7E8246F9" w14:textId="77777777" w:rsidR="000B54D0" w:rsidRPr="00ED3D20" w:rsidRDefault="000B54D0" w:rsidP="00ED3D20">
            <w:pPr>
              <w:pStyle w:val="TableRCTs"/>
              <w:rPr>
                <w:bCs/>
              </w:rPr>
            </w:pPr>
            <w:r w:rsidRPr="00ED3D20">
              <w:rPr>
                <w:rStyle w:val="querysrchtext"/>
                <w:rFonts w:eastAsiaTheme="majorEastAsia" w:cs="Arial"/>
              </w:rPr>
              <w:t>(</w:t>
            </w:r>
            <w:r w:rsidRPr="00ED3D20">
              <w:t> </w:t>
            </w:r>
            <w:r w:rsidRPr="00ED3D20">
              <w:rPr>
                <w:rStyle w:val="querysrchtext"/>
                <w:rFonts w:eastAsiaTheme="majorEastAsia" w:cs="Arial"/>
              </w:rPr>
              <w:t>(</w:t>
            </w:r>
            <w:r w:rsidRPr="00ED3D20">
              <w:t> </w:t>
            </w:r>
            <w:r w:rsidRPr="00ED3D20">
              <w:rPr>
                <w:rStyle w:val="Emphasis"/>
                <w:rFonts w:cs="Arial"/>
              </w:rPr>
              <w:t>"Pregnan*"</w:t>
            </w:r>
            <w:r w:rsidRPr="00ED3D20">
              <w:t> </w:t>
            </w:r>
            <w:r w:rsidRPr="00ED3D20">
              <w:rPr>
                <w:rStyle w:val="querysrchtext"/>
                <w:rFonts w:eastAsiaTheme="majorEastAsia" w:cs="Arial"/>
              </w:rPr>
              <w:t>)</w:t>
            </w:r>
            <w:r w:rsidRPr="00ED3D20">
              <w:t>  </w:t>
            </w:r>
            <w:r w:rsidRPr="00ED3D20">
              <w:rPr>
                <w:rStyle w:val="querysrchtext"/>
                <w:rFonts w:eastAsiaTheme="majorEastAsia" w:cs="Arial"/>
              </w:rPr>
              <w:t>OR</w:t>
            </w:r>
            <w:r w:rsidRPr="00ED3D20">
              <w:t>  </w:t>
            </w:r>
            <w:r w:rsidRPr="00ED3D20">
              <w:rPr>
                <w:rStyle w:val="querysrchtext"/>
                <w:rFonts w:eastAsiaTheme="majorEastAsia" w:cs="Arial"/>
              </w:rPr>
              <w:t>(</w:t>
            </w:r>
            <w:r w:rsidRPr="00ED3D20">
              <w:t> </w:t>
            </w:r>
            <w:r w:rsidRPr="00ED3D20">
              <w:rPr>
                <w:rStyle w:val="Emphasis"/>
                <w:rFonts w:cs="Arial"/>
              </w:rPr>
              <w:t>"prenatal*"</w:t>
            </w:r>
            <w:r w:rsidRPr="00ED3D20">
              <w:t> </w:t>
            </w:r>
            <w:r w:rsidRPr="00ED3D20">
              <w:rPr>
                <w:rStyle w:val="querysrchtext"/>
                <w:rFonts w:eastAsiaTheme="majorEastAsia" w:cs="Arial"/>
              </w:rPr>
              <w:t>)</w:t>
            </w:r>
            <w:r w:rsidRPr="00ED3D20">
              <w:t> </w:t>
            </w:r>
            <w:r w:rsidRPr="00ED3D20">
              <w:rPr>
                <w:rStyle w:val="querysrchtext"/>
                <w:rFonts w:eastAsiaTheme="majorEastAsia" w:cs="Arial"/>
              </w:rPr>
              <w:t>)</w:t>
            </w:r>
            <w:r w:rsidRPr="00ED3D20">
              <w:t> </w:t>
            </w:r>
            <w:r w:rsidRPr="00ED3D20">
              <w:rPr>
                <w:rStyle w:val="querysrchtext"/>
                <w:rFonts w:eastAsiaTheme="majorEastAsia" w:cs="Arial"/>
              </w:rPr>
              <w:t>)</w:t>
            </w:r>
            <w:r w:rsidRPr="00ED3D20">
              <w:t>  </w:t>
            </w:r>
            <w:r w:rsidRPr="00ED3D20">
              <w:rPr>
                <w:rStyle w:val="querysrchtext"/>
                <w:rFonts w:eastAsiaTheme="majorEastAsia" w:cs="Arial"/>
              </w:rPr>
              <w:t>AND</w:t>
            </w:r>
            <w:r w:rsidRPr="00ED3D20">
              <w:t>  </w:t>
            </w:r>
            <w:r w:rsidRPr="00ED3D20">
              <w:rPr>
                <w:rStyle w:val="querysrchtext"/>
                <w:rFonts w:eastAsiaTheme="majorEastAsia" w:cs="Arial"/>
              </w:rPr>
              <w:t>(</w:t>
            </w:r>
            <w:r w:rsidRPr="00ED3D20">
              <w:t> </w:t>
            </w:r>
            <w:r w:rsidRPr="00ED3D20">
              <w:rPr>
                <w:rStyle w:val="queryoperator"/>
                <w:rFonts w:eastAsiaTheme="majorEastAsia" w:cs="Arial"/>
              </w:rPr>
              <w:t>ABS</w:t>
            </w:r>
            <w:r w:rsidRPr="00ED3D20">
              <w:t> </w:t>
            </w:r>
            <w:r w:rsidRPr="00ED3D20">
              <w:rPr>
                <w:rStyle w:val="querysrchtext"/>
                <w:rFonts w:eastAsiaTheme="majorEastAsia" w:cs="Arial"/>
              </w:rPr>
              <w:t>(</w:t>
            </w:r>
            <w:r w:rsidRPr="00ED3D20">
              <w:t> </w:t>
            </w:r>
            <w:r w:rsidRPr="00ED3D20">
              <w:rPr>
                <w:rStyle w:val="querysrchtext"/>
                <w:rFonts w:eastAsiaTheme="majorEastAsia" w:cs="Arial"/>
              </w:rPr>
              <w:t>(</w:t>
            </w:r>
            <w:r w:rsidRPr="00ED3D20">
              <w:t> </w:t>
            </w:r>
            <w:r w:rsidRPr="00ED3D20">
              <w:rPr>
                <w:rStyle w:val="Emphasis"/>
                <w:rFonts w:cs="Arial"/>
              </w:rPr>
              <w:t>"Herbal"</w:t>
            </w:r>
            <w:r w:rsidRPr="00ED3D20">
              <w:t>  </w:t>
            </w:r>
            <w:r w:rsidRPr="00ED3D20">
              <w:rPr>
                <w:rStyle w:val="querysrchtext"/>
                <w:rFonts w:eastAsiaTheme="majorEastAsia" w:cs="Arial"/>
              </w:rPr>
              <w:t>OR</w:t>
            </w:r>
            <w:r w:rsidRPr="00ED3D20">
              <w:t>  </w:t>
            </w:r>
            <w:r w:rsidRPr="00ED3D20">
              <w:rPr>
                <w:rStyle w:val="Emphasis"/>
                <w:rFonts w:cs="Arial"/>
              </w:rPr>
              <w:t>"alternative"</w:t>
            </w:r>
            <w:r w:rsidRPr="00ED3D20">
              <w:t>  </w:t>
            </w:r>
            <w:r w:rsidRPr="00ED3D20">
              <w:rPr>
                <w:rStyle w:val="querysrchtext"/>
                <w:rFonts w:eastAsiaTheme="majorEastAsia" w:cs="Arial"/>
              </w:rPr>
              <w:t>OR</w:t>
            </w:r>
            <w:r w:rsidRPr="00ED3D20">
              <w:t>  </w:t>
            </w:r>
            <w:r w:rsidRPr="00ED3D20">
              <w:rPr>
                <w:rStyle w:val="Emphasis"/>
                <w:rFonts w:cs="Arial"/>
              </w:rPr>
              <w:t>"plants"</w:t>
            </w:r>
            <w:r w:rsidRPr="00ED3D20">
              <w:t>  </w:t>
            </w:r>
            <w:r w:rsidRPr="00ED3D20">
              <w:rPr>
                <w:rStyle w:val="querysrchtext"/>
                <w:rFonts w:eastAsiaTheme="majorEastAsia" w:cs="Arial"/>
              </w:rPr>
              <w:t>OR</w:t>
            </w:r>
            <w:r w:rsidRPr="00ED3D20">
              <w:t>  </w:t>
            </w:r>
          </w:p>
          <w:p w14:paraId="22AEBD95" w14:textId="73D2F8D7" w:rsidR="000B54D0" w:rsidRPr="00ED3D20" w:rsidRDefault="000B54D0" w:rsidP="00ED3D20">
            <w:pPr>
              <w:pStyle w:val="TableRCTs"/>
              <w:rPr>
                <w:bCs/>
              </w:rPr>
            </w:pPr>
            <w:r w:rsidRPr="00ED3D20">
              <w:rPr>
                <w:rStyle w:val="Emphasis"/>
                <w:rFonts w:cs="Arial"/>
              </w:rPr>
              <w:t>"Herbaceous"</w:t>
            </w:r>
            <w:r w:rsidRPr="00ED3D20">
              <w:t>  </w:t>
            </w:r>
            <w:r w:rsidRPr="00ED3D20">
              <w:rPr>
                <w:rStyle w:val="querysrchtext"/>
                <w:rFonts w:eastAsiaTheme="majorEastAsia" w:cs="Arial"/>
              </w:rPr>
              <w:t>OR</w:t>
            </w:r>
            <w:r w:rsidRPr="00ED3D20">
              <w:t>  </w:t>
            </w:r>
            <w:r w:rsidRPr="00ED3D20">
              <w:rPr>
                <w:rStyle w:val="Emphasis"/>
                <w:rFonts w:cs="Arial"/>
              </w:rPr>
              <w:t>"Chinese"</w:t>
            </w:r>
            <w:r w:rsidRPr="00ED3D20">
              <w:t>  </w:t>
            </w:r>
            <w:r w:rsidRPr="00ED3D20">
              <w:rPr>
                <w:rStyle w:val="querysrchtext"/>
                <w:rFonts w:eastAsiaTheme="majorEastAsia" w:cs="Arial"/>
              </w:rPr>
              <w:t>OR</w:t>
            </w:r>
            <w:r w:rsidRPr="00ED3D20">
              <w:t>  </w:t>
            </w:r>
            <w:r w:rsidRPr="00ED3D20">
              <w:rPr>
                <w:rStyle w:val="Emphasis"/>
                <w:rFonts w:cs="Arial"/>
              </w:rPr>
              <w:t>"Traditional"</w:t>
            </w:r>
            <w:r w:rsidRPr="00ED3D20">
              <w:t> </w:t>
            </w:r>
            <w:r w:rsidRPr="00ED3D20">
              <w:rPr>
                <w:rStyle w:val="querysrchtext"/>
                <w:rFonts w:eastAsiaTheme="majorEastAsia" w:cs="Arial"/>
              </w:rPr>
              <w:t>)</w:t>
            </w:r>
            <w:r w:rsidRPr="00ED3D20">
              <w:t>  </w:t>
            </w:r>
            <w:r w:rsidRPr="00ED3D20">
              <w:rPr>
                <w:rStyle w:val="querysrchtext"/>
                <w:rFonts w:eastAsiaTheme="majorEastAsia" w:cs="Arial"/>
              </w:rPr>
              <w:t>PRE/1</w:t>
            </w:r>
            <w:r w:rsidRPr="00ED3D20">
              <w:t>  </w:t>
            </w:r>
            <w:r w:rsidRPr="00ED3D20">
              <w:rPr>
                <w:rStyle w:val="querysrchtext"/>
                <w:rFonts w:eastAsiaTheme="majorEastAsia" w:cs="Arial"/>
              </w:rPr>
              <w:t>(</w:t>
            </w:r>
            <w:r w:rsidRPr="00ED3D20">
              <w:t> </w:t>
            </w:r>
            <w:r w:rsidRPr="00ED3D20">
              <w:rPr>
                <w:rStyle w:val="Emphasis"/>
                <w:rFonts w:cs="Arial"/>
              </w:rPr>
              <w:t>"Medicine"</w:t>
            </w:r>
            <w:r w:rsidRPr="00ED3D20">
              <w:t>  </w:t>
            </w:r>
            <w:r w:rsidRPr="00ED3D20">
              <w:rPr>
                <w:rStyle w:val="querysrchtext"/>
                <w:rFonts w:eastAsiaTheme="majorEastAsia" w:cs="Arial"/>
              </w:rPr>
              <w:t>OR</w:t>
            </w:r>
            <w:r w:rsidRPr="00ED3D20">
              <w:t>  </w:t>
            </w:r>
            <w:r w:rsidRPr="00ED3D20">
              <w:rPr>
                <w:rStyle w:val="Emphasis"/>
                <w:rFonts w:cs="Arial"/>
              </w:rPr>
              <w:t>"Therap*"</w:t>
            </w:r>
            <w:r w:rsidRPr="00ED3D20">
              <w:t>  </w:t>
            </w:r>
            <w:r w:rsidRPr="00ED3D20">
              <w:rPr>
                <w:rStyle w:val="querysrchtext"/>
                <w:rFonts w:eastAsiaTheme="majorEastAsia" w:cs="Arial"/>
              </w:rPr>
              <w:t>OR</w:t>
            </w:r>
            <w:r w:rsidRPr="00ED3D20">
              <w:t>  </w:t>
            </w:r>
            <w:r w:rsidRPr="00ED3D20">
              <w:rPr>
                <w:rStyle w:val="Emphasis"/>
                <w:rFonts w:cs="Arial"/>
              </w:rPr>
              <w:t>"Agent"</w:t>
            </w:r>
            <w:r w:rsidRPr="00ED3D20">
              <w:t> </w:t>
            </w:r>
            <w:r w:rsidRPr="00ED3D20">
              <w:rPr>
                <w:rStyle w:val="querysrchtext"/>
                <w:rFonts w:eastAsiaTheme="majorEastAsia" w:cs="Arial"/>
              </w:rPr>
              <w:t>)</w:t>
            </w:r>
            <w:r w:rsidRPr="00ED3D20">
              <w:t> </w:t>
            </w:r>
            <w:r w:rsidRPr="00ED3D20">
              <w:rPr>
                <w:rStyle w:val="querysrchtext"/>
                <w:rFonts w:eastAsiaTheme="majorEastAsia" w:cs="Arial"/>
              </w:rPr>
              <w:t>)</w:t>
            </w:r>
            <w:r w:rsidRPr="00ED3D20">
              <w:t> </w:t>
            </w:r>
            <w:r w:rsidRPr="00ED3D20">
              <w:rPr>
                <w:rStyle w:val="querysrchtext"/>
                <w:rFonts w:eastAsiaTheme="majorEastAsia" w:cs="Arial"/>
              </w:rPr>
              <w:t>)</w:t>
            </w:r>
            <w:r w:rsidRPr="00ED3D20">
              <w:t> </w:t>
            </w:r>
            <w:r w:rsidRPr="00ED3D20">
              <w:rPr>
                <w:rStyle w:val="querysrchtext"/>
                <w:rFonts w:eastAsiaTheme="majorEastAsia" w:cs="Arial"/>
              </w:rPr>
              <w:t>)</w:t>
            </w:r>
            <w:r w:rsidRPr="00ED3D20">
              <w:t> </w:t>
            </w:r>
          </w:p>
        </w:tc>
        <w:tc>
          <w:tcPr>
            <w:tcW w:w="1134" w:type="dxa"/>
          </w:tcPr>
          <w:p w14:paraId="24ABCEBA" w14:textId="77777777" w:rsidR="000B54D0" w:rsidRPr="003E45FD" w:rsidRDefault="000B54D0" w:rsidP="00ED3D20">
            <w:pPr>
              <w:pStyle w:val="TableRCTs"/>
            </w:pPr>
            <w:r>
              <w:t>2014 - current</w:t>
            </w:r>
          </w:p>
        </w:tc>
        <w:tc>
          <w:tcPr>
            <w:tcW w:w="992" w:type="dxa"/>
          </w:tcPr>
          <w:p w14:paraId="6E2687FD" w14:textId="77777777" w:rsidR="000B54D0" w:rsidRPr="003E45FD" w:rsidRDefault="000B54D0" w:rsidP="00ED3D20">
            <w:pPr>
              <w:pStyle w:val="TableRCTs"/>
            </w:pPr>
            <w:r>
              <w:t>English</w:t>
            </w:r>
          </w:p>
        </w:tc>
        <w:tc>
          <w:tcPr>
            <w:tcW w:w="709" w:type="dxa"/>
          </w:tcPr>
          <w:p w14:paraId="573BED9E" w14:textId="77777777" w:rsidR="000B54D0" w:rsidRDefault="000B54D0" w:rsidP="00ED3D20">
            <w:pPr>
              <w:pStyle w:val="TableRCTs"/>
            </w:pPr>
            <w:r>
              <w:t>757</w:t>
            </w:r>
          </w:p>
        </w:tc>
        <w:tc>
          <w:tcPr>
            <w:tcW w:w="850" w:type="dxa"/>
          </w:tcPr>
          <w:p w14:paraId="3117B837" w14:textId="77777777" w:rsidR="000B54D0" w:rsidRPr="003E45FD" w:rsidRDefault="000B54D0" w:rsidP="00ED3D20">
            <w:pPr>
              <w:pStyle w:val="TableRCTs"/>
            </w:pPr>
            <w:r>
              <w:t>5-Aug-19</w:t>
            </w:r>
          </w:p>
        </w:tc>
      </w:tr>
      <w:tr w:rsidR="00ED3D20" w14:paraId="7D8BF686" w14:textId="77777777" w:rsidTr="00ED3D20">
        <w:tc>
          <w:tcPr>
            <w:tcW w:w="993" w:type="dxa"/>
          </w:tcPr>
          <w:p w14:paraId="6935C2C7" w14:textId="77777777" w:rsidR="000B54D0" w:rsidRDefault="000B54D0" w:rsidP="00ED3D20">
            <w:pPr>
              <w:pStyle w:val="TableRCTs"/>
            </w:pPr>
            <w:r>
              <w:t>Health Infonet</w:t>
            </w:r>
          </w:p>
        </w:tc>
        <w:tc>
          <w:tcPr>
            <w:tcW w:w="4394" w:type="dxa"/>
          </w:tcPr>
          <w:p w14:paraId="4E7E45C0" w14:textId="77777777" w:rsidR="000B54D0" w:rsidRDefault="000B54D0" w:rsidP="00ED3D20">
            <w:pPr>
              <w:pStyle w:val="TableRCTs"/>
            </w:pPr>
            <w:r>
              <w:t>Tradition medicine pregnancy</w:t>
            </w:r>
          </w:p>
          <w:p w14:paraId="5D46C172" w14:textId="77777777" w:rsidR="000B54D0" w:rsidRPr="003E45FD" w:rsidRDefault="000B54D0" w:rsidP="00ED3D20">
            <w:pPr>
              <w:pStyle w:val="TableRCTs"/>
            </w:pPr>
            <w:r>
              <w:t>Publications on traditional medicine did not mention pregnancy</w:t>
            </w:r>
          </w:p>
        </w:tc>
        <w:tc>
          <w:tcPr>
            <w:tcW w:w="1134" w:type="dxa"/>
          </w:tcPr>
          <w:p w14:paraId="7E78256D" w14:textId="77777777" w:rsidR="000B54D0" w:rsidRPr="003E45FD" w:rsidRDefault="000B54D0" w:rsidP="00ED3D20">
            <w:pPr>
              <w:pStyle w:val="TableRCTs"/>
            </w:pPr>
          </w:p>
        </w:tc>
        <w:tc>
          <w:tcPr>
            <w:tcW w:w="992" w:type="dxa"/>
          </w:tcPr>
          <w:p w14:paraId="6240BFD4" w14:textId="77777777" w:rsidR="000B54D0" w:rsidRPr="003E45FD" w:rsidRDefault="000B54D0" w:rsidP="00ED3D20">
            <w:pPr>
              <w:pStyle w:val="TableRCTs"/>
            </w:pPr>
          </w:p>
        </w:tc>
        <w:tc>
          <w:tcPr>
            <w:tcW w:w="709" w:type="dxa"/>
          </w:tcPr>
          <w:p w14:paraId="690C2452" w14:textId="77777777" w:rsidR="000B54D0" w:rsidRDefault="000B54D0" w:rsidP="00ED3D20">
            <w:pPr>
              <w:pStyle w:val="TableRCTs"/>
            </w:pPr>
            <w:r>
              <w:t>0</w:t>
            </w:r>
          </w:p>
        </w:tc>
        <w:tc>
          <w:tcPr>
            <w:tcW w:w="850" w:type="dxa"/>
          </w:tcPr>
          <w:p w14:paraId="11DA44BE" w14:textId="77777777" w:rsidR="000B54D0" w:rsidRPr="003E45FD" w:rsidRDefault="000B54D0" w:rsidP="00ED3D20">
            <w:pPr>
              <w:pStyle w:val="TableRCTs"/>
            </w:pPr>
            <w:r>
              <w:t>5-Aug-19</w:t>
            </w:r>
          </w:p>
        </w:tc>
      </w:tr>
      <w:tr w:rsidR="00ED3D20" w14:paraId="5BE8F044" w14:textId="77777777" w:rsidTr="00ED3D20">
        <w:tc>
          <w:tcPr>
            <w:tcW w:w="993" w:type="dxa"/>
          </w:tcPr>
          <w:p w14:paraId="7D7D7A26" w14:textId="77777777" w:rsidR="000B54D0" w:rsidRDefault="000B54D0" w:rsidP="00ED3D20">
            <w:pPr>
              <w:pStyle w:val="TableRCTs"/>
            </w:pPr>
            <w:r>
              <w:t>Cochrane</w:t>
            </w:r>
          </w:p>
        </w:tc>
        <w:tc>
          <w:tcPr>
            <w:tcW w:w="4394" w:type="dxa"/>
          </w:tcPr>
          <w:p w14:paraId="51C3ED3A" w14:textId="77777777" w:rsidR="000B54D0" w:rsidRDefault="000B54D0" w:rsidP="00ED3D20">
            <w:pPr>
              <w:pStyle w:val="TableRCTs"/>
            </w:pPr>
            <w:r>
              <w:t xml:space="preserve">((MeSH descriptor: [Pregnancy] explode all trees) </w:t>
            </w:r>
          </w:p>
          <w:p w14:paraId="6470B9C9" w14:textId="77777777" w:rsidR="000B54D0" w:rsidRDefault="000B54D0" w:rsidP="00ED3D20">
            <w:pPr>
              <w:pStyle w:val="TableRCTs"/>
            </w:pPr>
            <w:r>
              <w:t xml:space="preserve">OR (MeSH descriptor: [Pregnant Women] explode all trees) </w:t>
            </w:r>
          </w:p>
          <w:p w14:paraId="53944D8D" w14:textId="77777777" w:rsidR="000B54D0" w:rsidRDefault="000B54D0" w:rsidP="00ED3D20">
            <w:pPr>
              <w:pStyle w:val="TableRCTs"/>
            </w:pPr>
            <w:r>
              <w:t>OR (MeSH descriptor: [Pregnancy Outcomes] explode all trees)</w:t>
            </w:r>
          </w:p>
          <w:p w14:paraId="7B700BE3" w14:textId="77777777" w:rsidR="000B54D0" w:rsidRDefault="000B54D0" w:rsidP="00ED3D20">
            <w:pPr>
              <w:pStyle w:val="TableRCTs"/>
            </w:pPr>
            <w:r>
              <w:t xml:space="preserve">OR ‘pregnan*’ OR ‘Prenatal’) </w:t>
            </w:r>
          </w:p>
          <w:p w14:paraId="1484F25D" w14:textId="77777777" w:rsidR="000B54D0" w:rsidRDefault="000B54D0" w:rsidP="00ED3D20">
            <w:pPr>
              <w:pStyle w:val="TableRCTs"/>
            </w:pPr>
            <w:r>
              <w:t>AND</w:t>
            </w:r>
          </w:p>
          <w:p w14:paraId="4B5286AB" w14:textId="77777777" w:rsidR="000B54D0" w:rsidRPr="003E45FD" w:rsidRDefault="000B54D0" w:rsidP="00ED3D20">
            <w:pPr>
              <w:pStyle w:val="TableRCTs"/>
            </w:pPr>
            <w:r>
              <w:t>(MeSH descriptor: [Complementary Therapies] explode all trees)</w:t>
            </w:r>
          </w:p>
        </w:tc>
        <w:tc>
          <w:tcPr>
            <w:tcW w:w="1134" w:type="dxa"/>
          </w:tcPr>
          <w:p w14:paraId="38052065" w14:textId="77777777" w:rsidR="000B54D0" w:rsidRPr="003E45FD" w:rsidRDefault="000B54D0" w:rsidP="00ED3D20">
            <w:pPr>
              <w:pStyle w:val="TableRCTs"/>
            </w:pPr>
            <w:r>
              <w:t>2014 - current</w:t>
            </w:r>
          </w:p>
        </w:tc>
        <w:tc>
          <w:tcPr>
            <w:tcW w:w="992" w:type="dxa"/>
          </w:tcPr>
          <w:p w14:paraId="37B8871A" w14:textId="77777777" w:rsidR="000B54D0" w:rsidRPr="003E45FD" w:rsidRDefault="000B54D0" w:rsidP="00ED3D20">
            <w:pPr>
              <w:pStyle w:val="TableRCTs"/>
            </w:pPr>
            <w:r>
              <w:t>Cochrane reviews</w:t>
            </w:r>
          </w:p>
        </w:tc>
        <w:tc>
          <w:tcPr>
            <w:tcW w:w="709" w:type="dxa"/>
          </w:tcPr>
          <w:p w14:paraId="3D23C411" w14:textId="1DDAF6C8" w:rsidR="000B54D0" w:rsidRDefault="000B54D0" w:rsidP="00ED3D20">
            <w:pPr>
              <w:pStyle w:val="TableRCTs"/>
            </w:pPr>
            <w:r>
              <w:t xml:space="preserve">107 </w:t>
            </w:r>
          </w:p>
        </w:tc>
        <w:tc>
          <w:tcPr>
            <w:tcW w:w="850" w:type="dxa"/>
          </w:tcPr>
          <w:p w14:paraId="20258EED" w14:textId="77777777" w:rsidR="000B54D0" w:rsidRPr="00196D36" w:rsidRDefault="000B54D0" w:rsidP="00ED3D20">
            <w:pPr>
              <w:pStyle w:val="TableRCTs"/>
            </w:pPr>
            <w:r>
              <w:t>5-Aug-19</w:t>
            </w:r>
          </w:p>
        </w:tc>
      </w:tr>
    </w:tbl>
    <w:p w14:paraId="350F94DD" w14:textId="57EA63E8" w:rsidR="00320FB8" w:rsidRDefault="001954B4" w:rsidP="001954B4">
      <w:pPr>
        <w:pStyle w:val="Figure"/>
        <w:jc w:val="center"/>
      </w:pPr>
      <w:r>
        <w:rPr>
          <w:noProof/>
          <w:lang w:val="en-AU" w:eastAsia="en-AU"/>
        </w:rPr>
        <w:drawing>
          <wp:inline distT="0" distB="0" distL="0" distR="0" wp14:anchorId="5607B2CA" wp14:editId="6FF09AEC">
            <wp:extent cx="3672008" cy="5377564"/>
            <wp:effectExtent l="0" t="0" r="1143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Herbs.png"/>
                    <pic:cNvPicPr/>
                  </pic:nvPicPr>
                  <pic:blipFill>
                    <a:blip r:embed="rId32">
                      <a:extLst>
                        <a:ext uri="{28A0092B-C50C-407E-A947-70E740481C1C}">
                          <a14:useLocalDpi xmlns:a14="http://schemas.microsoft.com/office/drawing/2010/main" val="0"/>
                        </a:ext>
                      </a:extLst>
                    </a:blip>
                    <a:stretch>
                      <a:fillRect/>
                    </a:stretch>
                  </pic:blipFill>
                  <pic:spPr>
                    <a:xfrm>
                      <a:off x="0" y="0"/>
                      <a:ext cx="3679604" cy="5388688"/>
                    </a:xfrm>
                    <a:prstGeom prst="rect">
                      <a:avLst/>
                    </a:prstGeom>
                  </pic:spPr>
                </pic:pic>
              </a:graphicData>
            </a:graphic>
          </wp:inline>
        </w:drawing>
      </w:r>
    </w:p>
    <w:p w14:paraId="4D82255A" w14:textId="05F5782A" w:rsidR="000B54D0" w:rsidRPr="00311DB9" w:rsidRDefault="000B54D0" w:rsidP="00320FB8">
      <w:pPr>
        <w:pStyle w:val="Figurename"/>
      </w:pPr>
      <w:r>
        <w:t>PRISMA</w:t>
      </w:r>
      <w:r w:rsidR="00320FB8">
        <w:t xml:space="preserve"> diagram: Herbal preparations</w:t>
      </w:r>
    </w:p>
    <w:p w14:paraId="1F6D03E9" w14:textId="258B0D1D" w:rsidR="00012E7A" w:rsidRDefault="00012E7A" w:rsidP="002807D7">
      <w:pPr>
        <w:pStyle w:val="Heading4"/>
      </w:pPr>
      <w:r w:rsidRPr="005E5F55">
        <w:t>Probiotics</w:t>
      </w:r>
      <w:r w:rsidR="000D04A0">
        <w:t xml:space="preserve"> (research question 4)</w:t>
      </w:r>
    </w:p>
    <w:p w14:paraId="28190598" w14:textId="77777777" w:rsidR="005E5F55" w:rsidRPr="00597049" w:rsidRDefault="005E5F55" w:rsidP="002807D7">
      <w:pPr>
        <w:keepNext/>
        <w:keepLines/>
        <w:autoSpaceDE w:val="0"/>
        <w:autoSpaceDN w:val="0"/>
        <w:adjustRightInd w:val="0"/>
        <w:spacing w:after="0" w:line="240" w:lineRule="auto"/>
        <w:rPr>
          <w:rFonts w:ascii="Arial" w:hAnsi="Arial" w:cs="Arial"/>
          <w:b/>
          <w:color w:val="222222"/>
          <w:sz w:val="28"/>
          <w:shd w:val="clear" w:color="auto" w:fill="FFFFFF"/>
        </w:rPr>
      </w:pPr>
      <w:r w:rsidRPr="00DB6844">
        <w:rPr>
          <w:rFonts w:ascii="Arial" w:hAnsi="Arial" w:cs="Arial"/>
          <w:b/>
          <w:color w:val="222222"/>
          <w:shd w:val="clear" w:color="auto" w:fill="FFFFFF"/>
        </w:rPr>
        <w:t>Citation for previous review:</w:t>
      </w:r>
      <w:r>
        <w:rPr>
          <w:rFonts w:ascii="Arial" w:hAnsi="Arial" w:cs="Arial"/>
          <w:b/>
          <w:color w:val="222222"/>
          <w:shd w:val="clear" w:color="auto" w:fill="FFFFFF"/>
        </w:rPr>
        <w:t xml:space="preserve"> </w:t>
      </w:r>
      <w:r>
        <w:rPr>
          <w:rFonts w:ascii="AGaramond-Regular" w:hAnsi="AGaramond-Regular" w:cs="AGaramond-Regular"/>
          <w:szCs w:val="18"/>
        </w:rPr>
        <w:t>2014</w:t>
      </w:r>
    </w:p>
    <w:p w14:paraId="62F86D30" w14:textId="77777777" w:rsidR="005E5F55" w:rsidRDefault="005E5F55" w:rsidP="002807D7">
      <w:pPr>
        <w:keepNext/>
        <w:keepLines/>
        <w:rPr>
          <w:b/>
        </w:rPr>
      </w:pPr>
      <w:r>
        <w:rPr>
          <w:b/>
        </w:rPr>
        <w:t>Current search dates:</w:t>
      </w:r>
    </w:p>
    <w:p w14:paraId="6F81A386" w14:textId="77777777" w:rsidR="005E5F55" w:rsidRPr="00196D36" w:rsidRDefault="005E5F55" w:rsidP="002807D7">
      <w:pPr>
        <w:keepNext/>
        <w:keepLines/>
      </w:pPr>
      <w:r>
        <w:t>2014 onwards</w:t>
      </w:r>
    </w:p>
    <w:tbl>
      <w:tblPr>
        <w:tblStyle w:val="TableGrid"/>
        <w:tblW w:w="9170" w:type="dxa"/>
        <w:tblInd w:w="110" w:type="dxa"/>
        <w:tblLayout w:type="fixed"/>
        <w:tblLook w:val="04A0" w:firstRow="1" w:lastRow="0" w:firstColumn="1" w:lastColumn="0" w:noHBand="0" w:noVBand="1"/>
      </w:tblPr>
      <w:tblGrid>
        <w:gridCol w:w="758"/>
        <w:gridCol w:w="5054"/>
        <w:gridCol w:w="1134"/>
        <w:gridCol w:w="709"/>
        <w:gridCol w:w="567"/>
        <w:gridCol w:w="948"/>
      </w:tblGrid>
      <w:tr w:rsidR="00ED3D20" w:rsidRPr="00ED3D20" w14:paraId="1527CF01" w14:textId="77777777" w:rsidTr="008E2073">
        <w:trPr>
          <w:tblHeader/>
        </w:trPr>
        <w:tc>
          <w:tcPr>
            <w:tcW w:w="758" w:type="dxa"/>
          </w:tcPr>
          <w:p w14:paraId="5B6B4AC2" w14:textId="77777777" w:rsidR="005E5F55" w:rsidRPr="00ED3D20" w:rsidRDefault="005E5F55" w:rsidP="002807D7">
            <w:pPr>
              <w:pStyle w:val="TableRCTs"/>
              <w:keepNext/>
              <w:keepLines/>
              <w:rPr>
                <w:b/>
              </w:rPr>
            </w:pPr>
            <w:r w:rsidRPr="00ED3D20">
              <w:rPr>
                <w:b/>
              </w:rPr>
              <w:t>Database</w:t>
            </w:r>
          </w:p>
        </w:tc>
        <w:tc>
          <w:tcPr>
            <w:tcW w:w="5054" w:type="dxa"/>
          </w:tcPr>
          <w:p w14:paraId="3E1FD0B7" w14:textId="77777777" w:rsidR="005E5F55" w:rsidRPr="00ED3D20" w:rsidRDefault="005E5F55" w:rsidP="002807D7">
            <w:pPr>
              <w:pStyle w:val="TableRCTs"/>
              <w:keepNext/>
              <w:keepLines/>
              <w:rPr>
                <w:b/>
              </w:rPr>
            </w:pPr>
            <w:r w:rsidRPr="00ED3D20">
              <w:rPr>
                <w:b/>
              </w:rPr>
              <w:t>Search Strategy</w:t>
            </w:r>
          </w:p>
        </w:tc>
        <w:tc>
          <w:tcPr>
            <w:tcW w:w="1134" w:type="dxa"/>
          </w:tcPr>
          <w:p w14:paraId="6596C6F5" w14:textId="77777777" w:rsidR="005E5F55" w:rsidRPr="00ED3D20" w:rsidRDefault="005E5F55" w:rsidP="002807D7">
            <w:pPr>
              <w:pStyle w:val="TableRCTs"/>
              <w:keepNext/>
              <w:keepLines/>
              <w:rPr>
                <w:b/>
              </w:rPr>
            </w:pPr>
            <w:r w:rsidRPr="00ED3D20">
              <w:rPr>
                <w:b/>
              </w:rPr>
              <w:t>Dates Searched</w:t>
            </w:r>
          </w:p>
        </w:tc>
        <w:tc>
          <w:tcPr>
            <w:tcW w:w="709" w:type="dxa"/>
          </w:tcPr>
          <w:p w14:paraId="645B93F9" w14:textId="77777777" w:rsidR="005E5F55" w:rsidRPr="00ED3D20" w:rsidRDefault="005E5F55" w:rsidP="002807D7">
            <w:pPr>
              <w:pStyle w:val="TableRCTs"/>
              <w:keepNext/>
              <w:keepLines/>
              <w:rPr>
                <w:b/>
              </w:rPr>
            </w:pPr>
            <w:r w:rsidRPr="00ED3D20">
              <w:rPr>
                <w:b/>
              </w:rPr>
              <w:t>Limits set</w:t>
            </w:r>
          </w:p>
        </w:tc>
        <w:tc>
          <w:tcPr>
            <w:tcW w:w="567" w:type="dxa"/>
          </w:tcPr>
          <w:p w14:paraId="284891AC" w14:textId="77777777" w:rsidR="005E5F55" w:rsidRPr="00ED3D20" w:rsidRDefault="005E5F55" w:rsidP="002807D7">
            <w:pPr>
              <w:pStyle w:val="TableRCTs"/>
              <w:keepNext/>
              <w:keepLines/>
              <w:rPr>
                <w:b/>
              </w:rPr>
            </w:pPr>
            <w:r w:rsidRPr="00ED3D20">
              <w:rPr>
                <w:b/>
              </w:rPr>
              <w:t>Results</w:t>
            </w:r>
          </w:p>
        </w:tc>
        <w:tc>
          <w:tcPr>
            <w:tcW w:w="948" w:type="dxa"/>
          </w:tcPr>
          <w:p w14:paraId="030941A3" w14:textId="77777777" w:rsidR="005E5F55" w:rsidRPr="00ED3D20" w:rsidRDefault="005E5F55" w:rsidP="002807D7">
            <w:pPr>
              <w:pStyle w:val="TableRCTs"/>
              <w:keepNext/>
              <w:keepLines/>
              <w:rPr>
                <w:b/>
              </w:rPr>
            </w:pPr>
            <w:r w:rsidRPr="00ED3D20">
              <w:rPr>
                <w:b/>
              </w:rPr>
              <w:t>Date of search</w:t>
            </w:r>
          </w:p>
        </w:tc>
      </w:tr>
      <w:tr w:rsidR="00ED3D20" w:rsidRPr="00ED3D20" w14:paraId="5544C4AF" w14:textId="77777777" w:rsidTr="00ED3D20">
        <w:tc>
          <w:tcPr>
            <w:tcW w:w="758" w:type="dxa"/>
          </w:tcPr>
          <w:p w14:paraId="333D031A" w14:textId="77777777" w:rsidR="005E5F55" w:rsidRPr="00ED3D20" w:rsidRDefault="005E5F55" w:rsidP="002807D7">
            <w:pPr>
              <w:pStyle w:val="TableRCTs"/>
              <w:keepNext/>
              <w:keepLines/>
            </w:pPr>
            <w:r w:rsidRPr="00ED3D20">
              <w:t>Pubmed</w:t>
            </w:r>
          </w:p>
        </w:tc>
        <w:tc>
          <w:tcPr>
            <w:tcW w:w="5054" w:type="dxa"/>
          </w:tcPr>
          <w:p w14:paraId="46ACCD98" w14:textId="77777777" w:rsidR="005E5F55" w:rsidRPr="00ED3D20" w:rsidRDefault="005E5F55" w:rsidP="002807D7">
            <w:pPr>
              <w:pStyle w:val="TableRCTs"/>
              <w:keepNext/>
              <w:keepLines/>
            </w:pPr>
            <w:r w:rsidRPr="00ED3D20">
              <w:t>(((("pregnancy"[Mesh]) OR ("pregnan*"[All Fields]) OR ("prenatal*"[All Fields])))) AND ((“probiotic*”) OR (“lactobacillus”) OR (“bifidobacter*”) OR (“saccharomyces”))</w:t>
            </w:r>
          </w:p>
        </w:tc>
        <w:tc>
          <w:tcPr>
            <w:tcW w:w="1134" w:type="dxa"/>
          </w:tcPr>
          <w:p w14:paraId="6E580F31" w14:textId="77777777" w:rsidR="005E5F55" w:rsidRPr="00ED3D20" w:rsidRDefault="005E5F55" w:rsidP="002807D7">
            <w:pPr>
              <w:pStyle w:val="TableRCTs"/>
              <w:keepNext/>
              <w:keepLines/>
            </w:pPr>
            <w:r w:rsidRPr="00ED3D20">
              <w:t>01/01/14 to 18/10/2019</w:t>
            </w:r>
          </w:p>
        </w:tc>
        <w:tc>
          <w:tcPr>
            <w:tcW w:w="709" w:type="dxa"/>
          </w:tcPr>
          <w:p w14:paraId="434BB5E0" w14:textId="77777777" w:rsidR="005E5F55" w:rsidRPr="00ED3D20" w:rsidRDefault="005E5F55" w:rsidP="002807D7">
            <w:pPr>
              <w:pStyle w:val="TableRCTs"/>
              <w:keepNext/>
              <w:keepLines/>
            </w:pPr>
            <w:r w:rsidRPr="00ED3D20">
              <w:t>Human</w:t>
            </w:r>
          </w:p>
          <w:p w14:paraId="4A8D1B94" w14:textId="77777777" w:rsidR="005E5F55" w:rsidRPr="00ED3D20" w:rsidRDefault="005E5F55" w:rsidP="002807D7">
            <w:pPr>
              <w:pStyle w:val="TableRCTs"/>
              <w:keepNext/>
              <w:keepLines/>
            </w:pPr>
            <w:r w:rsidRPr="00ED3D20">
              <w:t>English</w:t>
            </w:r>
          </w:p>
          <w:p w14:paraId="2267E85D" w14:textId="77777777" w:rsidR="005E5F55" w:rsidRPr="00ED3D20" w:rsidRDefault="005E5F55" w:rsidP="002807D7">
            <w:pPr>
              <w:pStyle w:val="TableRCTs"/>
              <w:keepNext/>
              <w:keepLines/>
            </w:pPr>
          </w:p>
        </w:tc>
        <w:tc>
          <w:tcPr>
            <w:tcW w:w="567" w:type="dxa"/>
          </w:tcPr>
          <w:p w14:paraId="074A0B56" w14:textId="77777777" w:rsidR="005E5F55" w:rsidRPr="00ED3D20" w:rsidRDefault="005E5F55" w:rsidP="002807D7">
            <w:pPr>
              <w:pStyle w:val="TableRCTs"/>
              <w:keepNext/>
              <w:keepLines/>
            </w:pPr>
            <w:r w:rsidRPr="00ED3D20">
              <w:t>247</w:t>
            </w:r>
          </w:p>
        </w:tc>
        <w:tc>
          <w:tcPr>
            <w:tcW w:w="948" w:type="dxa"/>
          </w:tcPr>
          <w:p w14:paraId="3EA183A9" w14:textId="77777777" w:rsidR="005E5F55" w:rsidRPr="00ED3D20" w:rsidRDefault="005E5F55" w:rsidP="002807D7">
            <w:pPr>
              <w:pStyle w:val="TableRCTs"/>
              <w:keepNext/>
              <w:keepLines/>
            </w:pPr>
            <w:r w:rsidRPr="00ED3D20">
              <w:t>18-Oct-19</w:t>
            </w:r>
          </w:p>
        </w:tc>
      </w:tr>
      <w:tr w:rsidR="00ED3D20" w:rsidRPr="00ED3D20" w14:paraId="73F090D3" w14:textId="77777777" w:rsidTr="00ED3D20">
        <w:tc>
          <w:tcPr>
            <w:tcW w:w="758" w:type="dxa"/>
          </w:tcPr>
          <w:p w14:paraId="4A3A42B1" w14:textId="77777777" w:rsidR="005E5F55" w:rsidRPr="00ED3D20" w:rsidRDefault="005E5F55" w:rsidP="002807D7">
            <w:pPr>
              <w:pStyle w:val="TableRCTs"/>
              <w:keepNext/>
              <w:keepLines/>
            </w:pPr>
            <w:r w:rsidRPr="00ED3D20">
              <w:t>Ovid medline</w:t>
            </w:r>
          </w:p>
        </w:tc>
        <w:tc>
          <w:tcPr>
            <w:tcW w:w="5054" w:type="dxa"/>
          </w:tcPr>
          <w:p w14:paraId="381D6754" w14:textId="77777777" w:rsidR="005E5F55" w:rsidRPr="00ED3D20" w:rsidRDefault="005E5F55" w:rsidP="002807D7">
            <w:pPr>
              <w:pStyle w:val="TableRCTs"/>
              <w:keepNext/>
              <w:keepLines/>
            </w:pPr>
            <w:r w:rsidRPr="00ED3D20">
              <w:t>(Pregnan*).mp. OR (exp Pregnancy/)</w:t>
            </w:r>
          </w:p>
          <w:p w14:paraId="5B11D1FD" w14:textId="77777777" w:rsidR="005E5F55" w:rsidRPr="00ED3D20" w:rsidRDefault="005E5F55" w:rsidP="002807D7">
            <w:pPr>
              <w:pStyle w:val="TableRCTs"/>
              <w:keepNext/>
              <w:keepLines/>
            </w:pPr>
            <w:r w:rsidRPr="00ED3D20">
              <w:t>AND</w:t>
            </w:r>
          </w:p>
          <w:p w14:paraId="55B1B3E5" w14:textId="77777777" w:rsidR="005E5F55" w:rsidRPr="00ED3D20" w:rsidRDefault="005E5F55" w:rsidP="002807D7">
            <w:pPr>
              <w:pStyle w:val="TableRCTs"/>
              <w:keepNext/>
              <w:keepLines/>
            </w:pPr>
            <w:r w:rsidRPr="00ED3D20">
              <w:t>(((probiotic*) OR (lactobacillus) OR (bifidobacter*) OR (saccharomyces)).mp. OR (prebiotics/) or (probiotics/))</w:t>
            </w:r>
          </w:p>
        </w:tc>
        <w:tc>
          <w:tcPr>
            <w:tcW w:w="1134" w:type="dxa"/>
          </w:tcPr>
          <w:p w14:paraId="1D4F41FE" w14:textId="77777777" w:rsidR="005E5F55" w:rsidRPr="00ED3D20" w:rsidRDefault="005E5F55" w:rsidP="002807D7">
            <w:pPr>
              <w:pStyle w:val="TableRCTs"/>
              <w:keepNext/>
              <w:keepLines/>
            </w:pPr>
            <w:r w:rsidRPr="00ED3D20">
              <w:t>01/01/2014 to 18/10/2019</w:t>
            </w:r>
          </w:p>
        </w:tc>
        <w:tc>
          <w:tcPr>
            <w:tcW w:w="709" w:type="dxa"/>
          </w:tcPr>
          <w:p w14:paraId="04A37309" w14:textId="77777777" w:rsidR="005E5F55" w:rsidRPr="00ED3D20" w:rsidRDefault="005E5F55" w:rsidP="002807D7">
            <w:pPr>
              <w:pStyle w:val="TableRCTs"/>
              <w:keepNext/>
              <w:keepLines/>
            </w:pPr>
            <w:r w:rsidRPr="00ED3D20">
              <w:t>Human</w:t>
            </w:r>
          </w:p>
        </w:tc>
        <w:tc>
          <w:tcPr>
            <w:tcW w:w="567" w:type="dxa"/>
          </w:tcPr>
          <w:p w14:paraId="0D80D7DF" w14:textId="77777777" w:rsidR="005E5F55" w:rsidRPr="00ED3D20" w:rsidRDefault="005E5F55" w:rsidP="002807D7">
            <w:pPr>
              <w:pStyle w:val="TableRCTs"/>
              <w:keepNext/>
              <w:keepLines/>
            </w:pPr>
            <w:r w:rsidRPr="00ED3D20">
              <w:t>419</w:t>
            </w:r>
          </w:p>
        </w:tc>
        <w:tc>
          <w:tcPr>
            <w:tcW w:w="948" w:type="dxa"/>
          </w:tcPr>
          <w:p w14:paraId="22E630F3" w14:textId="77777777" w:rsidR="005E5F55" w:rsidRPr="00ED3D20" w:rsidRDefault="005E5F55" w:rsidP="002807D7">
            <w:pPr>
              <w:pStyle w:val="TableRCTs"/>
              <w:keepNext/>
              <w:keepLines/>
            </w:pPr>
            <w:r w:rsidRPr="00ED3D20">
              <w:t>18-Oct-19</w:t>
            </w:r>
          </w:p>
        </w:tc>
      </w:tr>
      <w:tr w:rsidR="00ED3D20" w:rsidRPr="00ED3D20" w14:paraId="27FC33FB" w14:textId="77777777" w:rsidTr="00ED3D20">
        <w:tc>
          <w:tcPr>
            <w:tcW w:w="758" w:type="dxa"/>
          </w:tcPr>
          <w:p w14:paraId="6EF0D17B" w14:textId="77777777" w:rsidR="005E5F55" w:rsidRPr="00ED3D20" w:rsidRDefault="005E5F55" w:rsidP="00ED3D20">
            <w:pPr>
              <w:pStyle w:val="TableRCTs"/>
            </w:pPr>
            <w:r w:rsidRPr="00ED3D20">
              <w:t>Embase</w:t>
            </w:r>
          </w:p>
        </w:tc>
        <w:tc>
          <w:tcPr>
            <w:tcW w:w="5054" w:type="dxa"/>
          </w:tcPr>
          <w:p w14:paraId="27A14C01" w14:textId="77777777" w:rsidR="005E5F55" w:rsidRPr="00ED3D20" w:rsidRDefault="005E5F55" w:rsidP="00ED3D20">
            <w:pPr>
              <w:pStyle w:val="TableRCTs"/>
            </w:pPr>
            <w:r w:rsidRPr="00ED3D20">
              <w:t>('pregnancy'/exp OR 'pregnan*') AND ('probiotic agent'/exp OR (('probiotic*') OR ('lactobacillus') OR ('bifidobacter*') OR ('saccharomyces')))</w:t>
            </w:r>
          </w:p>
        </w:tc>
        <w:tc>
          <w:tcPr>
            <w:tcW w:w="1134" w:type="dxa"/>
          </w:tcPr>
          <w:p w14:paraId="71ED80A0" w14:textId="77777777" w:rsidR="005E5F55" w:rsidRPr="00ED3D20" w:rsidRDefault="005E5F55" w:rsidP="00ED3D20">
            <w:pPr>
              <w:pStyle w:val="TableRCTs"/>
            </w:pPr>
            <w:r w:rsidRPr="00ED3D20">
              <w:t>01/01/2014 to 18/10/2019</w:t>
            </w:r>
          </w:p>
        </w:tc>
        <w:tc>
          <w:tcPr>
            <w:tcW w:w="709" w:type="dxa"/>
          </w:tcPr>
          <w:p w14:paraId="3F6C7828" w14:textId="77777777" w:rsidR="005E5F55" w:rsidRPr="00ED3D20" w:rsidRDefault="005E5F55" w:rsidP="00ED3D20">
            <w:pPr>
              <w:pStyle w:val="TableRCTs"/>
            </w:pPr>
            <w:r w:rsidRPr="00ED3D20">
              <w:t>English Language</w:t>
            </w:r>
          </w:p>
          <w:p w14:paraId="3F4A5E17" w14:textId="77777777" w:rsidR="005E5F55" w:rsidRPr="00ED3D20" w:rsidRDefault="005E5F55" w:rsidP="00ED3D20">
            <w:pPr>
              <w:pStyle w:val="TableRCTs"/>
            </w:pPr>
            <w:r w:rsidRPr="00ED3D20">
              <w:t>Human</w:t>
            </w:r>
          </w:p>
        </w:tc>
        <w:tc>
          <w:tcPr>
            <w:tcW w:w="567" w:type="dxa"/>
          </w:tcPr>
          <w:p w14:paraId="23085DBE" w14:textId="77777777" w:rsidR="005E5F55" w:rsidRPr="00ED3D20" w:rsidRDefault="005E5F55" w:rsidP="00ED3D20">
            <w:pPr>
              <w:pStyle w:val="TableRCTs"/>
            </w:pPr>
            <w:r w:rsidRPr="00ED3D20">
              <w:t>1048</w:t>
            </w:r>
          </w:p>
        </w:tc>
        <w:tc>
          <w:tcPr>
            <w:tcW w:w="948" w:type="dxa"/>
          </w:tcPr>
          <w:p w14:paraId="1300FD25" w14:textId="77777777" w:rsidR="005E5F55" w:rsidRPr="00ED3D20" w:rsidRDefault="005E5F55" w:rsidP="00ED3D20">
            <w:pPr>
              <w:pStyle w:val="TableRCTs"/>
            </w:pPr>
            <w:r w:rsidRPr="00ED3D20">
              <w:t>18-Oct-19</w:t>
            </w:r>
          </w:p>
        </w:tc>
      </w:tr>
      <w:tr w:rsidR="00ED3D20" w:rsidRPr="00ED3D20" w14:paraId="7385F2F6" w14:textId="77777777" w:rsidTr="00ED3D20">
        <w:tc>
          <w:tcPr>
            <w:tcW w:w="758" w:type="dxa"/>
          </w:tcPr>
          <w:p w14:paraId="1162FF3A" w14:textId="77777777" w:rsidR="005E5F55" w:rsidRPr="00ED3D20" w:rsidRDefault="005E5F55" w:rsidP="00ED3D20">
            <w:pPr>
              <w:pStyle w:val="TableRCTs"/>
            </w:pPr>
            <w:r w:rsidRPr="00ED3D20">
              <w:t>CINAHL</w:t>
            </w:r>
          </w:p>
        </w:tc>
        <w:tc>
          <w:tcPr>
            <w:tcW w:w="5054" w:type="dxa"/>
          </w:tcPr>
          <w:p w14:paraId="1DE5FBC9" w14:textId="77777777" w:rsidR="005E5F55" w:rsidRPr="00ED3D20" w:rsidRDefault="005E5F55" w:rsidP="00ED3D20">
            <w:pPr>
              <w:pStyle w:val="TableRCTs"/>
            </w:pPr>
            <w:r w:rsidRPr="00ED3D20">
              <w:t xml:space="preserve">( (MH "Pregnancy+") OR (MH "Pregnancy Trimesters+") OR (MM "Prenatal Nutritional Physiology") OR (MM "Prenatal Exposure Delayed Effects") OR ("Pregnan*") ) </w:t>
            </w:r>
          </w:p>
          <w:p w14:paraId="1AF90BD7" w14:textId="77777777" w:rsidR="005E5F55" w:rsidRPr="00ED3D20" w:rsidRDefault="005E5F55" w:rsidP="00ED3D20">
            <w:pPr>
              <w:pStyle w:val="TableRCTs"/>
            </w:pPr>
            <w:r w:rsidRPr="00ED3D20">
              <w:t xml:space="preserve">AND </w:t>
            </w:r>
          </w:p>
          <w:p w14:paraId="5F47E4F6" w14:textId="77777777" w:rsidR="005E5F55" w:rsidRPr="00ED3D20" w:rsidRDefault="005E5F55" w:rsidP="00ED3D20">
            <w:pPr>
              <w:pStyle w:val="TableRCTs"/>
            </w:pPr>
            <w:r w:rsidRPr="00ED3D20">
              <w:t>(MM "Probiotics") OR (MM "Prebiotics") OR (MM "Bifidobacterium") OR ((“probiotic*”) OR (“lactobacillus”) OR (“bifidobacter*”) OR (“saccharomyces”))</w:t>
            </w:r>
          </w:p>
        </w:tc>
        <w:tc>
          <w:tcPr>
            <w:tcW w:w="1134" w:type="dxa"/>
          </w:tcPr>
          <w:p w14:paraId="64279180" w14:textId="77777777" w:rsidR="005E5F55" w:rsidRPr="00ED3D20" w:rsidRDefault="005E5F55" w:rsidP="00ED3D20">
            <w:pPr>
              <w:pStyle w:val="TableRCTs"/>
            </w:pPr>
            <w:r w:rsidRPr="00ED3D20">
              <w:t>01/01/2014 to 18/10/2019</w:t>
            </w:r>
          </w:p>
        </w:tc>
        <w:tc>
          <w:tcPr>
            <w:tcW w:w="709" w:type="dxa"/>
          </w:tcPr>
          <w:p w14:paraId="5D05B710" w14:textId="77777777" w:rsidR="005E5F55" w:rsidRPr="00ED3D20" w:rsidRDefault="005E5F55" w:rsidP="00ED3D20">
            <w:pPr>
              <w:pStyle w:val="TableRCTs"/>
            </w:pPr>
            <w:r w:rsidRPr="00ED3D20">
              <w:t>English</w:t>
            </w:r>
          </w:p>
        </w:tc>
        <w:tc>
          <w:tcPr>
            <w:tcW w:w="567" w:type="dxa"/>
          </w:tcPr>
          <w:p w14:paraId="3F4CB94E" w14:textId="77777777" w:rsidR="005E5F55" w:rsidRPr="00ED3D20" w:rsidRDefault="005E5F55" w:rsidP="00ED3D20">
            <w:pPr>
              <w:pStyle w:val="TableRCTs"/>
            </w:pPr>
            <w:r w:rsidRPr="00ED3D20">
              <w:t>245</w:t>
            </w:r>
          </w:p>
        </w:tc>
        <w:tc>
          <w:tcPr>
            <w:tcW w:w="948" w:type="dxa"/>
          </w:tcPr>
          <w:p w14:paraId="7D6DACAA" w14:textId="77777777" w:rsidR="005E5F55" w:rsidRPr="00ED3D20" w:rsidRDefault="005E5F55" w:rsidP="00ED3D20">
            <w:pPr>
              <w:pStyle w:val="TableRCTs"/>
            </w:pPr>
            <w:r w:rsidRPr="00ED3D20">
              <w:t>18-Oct-19</w:t>
            </w:r>
          </w:p>
        </w:tc>
      </w:tr>
      <w:tr w:rsidR="00ED3D20" w:rsidRPr="00ED3D20" w14:paraId="0D8A9B53" w14:textId="77777777" w:rsidTr="00ED3D20">
        <w:trPr>
          <w:trHeight w:val="1539"/>
        </w:trPr>
        <w:tc>
          <w:tcPr>
            <w:tcW w:w="758" w:type="dxa"/>
          </w:tcPr>
          <w:p w14:paraId="74C6B549" w14:textId="77777777" w:rsidR="005E5F55" w:rsidRPr="00ED3D20" w:rsidRDefault="005E5F55" w:rsidP="00ED3D20">
            <w:pPr>
              <w:pStyle w:val="TableRCTs"/>
            </w:pPr>
            <w:r w:rsidRPr="00ED3D20">
              <w:t>SCOPUS</w:t>
            </w:r>
          </w:p>
        </w:tc>
        <w:tc>
          <w:tcPr>
            <w:tcW w:w="5054" w:type="dxa"/>
          </w:tcPr>
          <w:p w14:paraId="06259D58" w14:textId="77777777" w:rsidR="005E5F55" w:rsidRPr="00ED3D20" w:rsidRDefault="005E5F55" w:rsidP="00ED3D20">
            <w:pPr>
              <w:pStyle w:val="TableRCTs"/>
            </w:pPr>
            <w:r w:rsidRPr="00ED3D20">
              <w:t> </w:t>
            </w:r>
            <w:r w:rsidRPr="00ED3D20">
              <w:rPr>
                <w:rFonts w:eastAsiaTheme="majorEastAsia"/>
              </w:rPr>
              <w:t>(</w:t>
            </w:r>
            <w:r w:rsidRPr="00ED3D20">
              <w:t> </w:t>
            </w:r>
            <w:r w:rsidRPr="00ED3D20">
              <w:rPr>
                <w:rFonts w:eastAsiaTheme="majorEastAsia"/>
              </w:rPr>
              <w:t>(</w:t>
            </w:r>
            <w:r w:rsidRPr="00ED3D20">
              <w:t> </w:t>
            </w:r>
            <w:r w:rsidRPr="00ED3D20">
              <w:rPr>
                <w:rFonts w:eastAsiaTheme="majorEastAsia"/>
              </w:rPr>
              <w:t>(</w:t>
            </w:r>
            <w:r w:rsidRPr="00ED3D20">
              <w:t> "pregnan*" </w:t>
            </w:r>
            <w:r w:rsidRPr="00ED3D20">
              <w:rPr>
                <w:rFonts w:eastAsiaTheme="majorEastAsia"/>
              </w:rPr>
              <w:t>)</w:t>
            </w:r>
            <w:r w:rsidRPr="00ED3D20">
              <w:t>  </w:t>
            </w:r>
            <w:r w:rsidRPr="00ED3D20">
              <w:rPr>
                <w:rFonts w:eastAsiaTheme="majorEastAsia"/>
              </w:rPr>
              <w:t>OR</w:t>
            </w:r>
            <w:r w:rsidRPr="00ED3D20">
              <w:t>  </w:t>
            </w:r>
            <w:r w:rsidRPr="00ED3D20">
              <w:rPr>
                <w:rFonts w:eastAsiaTheme="majorEastAsia"/>
              </w:rPr>
              <w:t>(</w:t>
            </w:r>
            <w:r w:rsidRPr="00ED3D20">
              <w:t> prenatal* </w:t>
            </w:r>
            <w:r w:rsidRPr="00ED3D20">
              <w:rPr>
                <w:rFonts w:eastAsiaTheme="majorEastAsia"/>
              </w:rPr>
              <w:t>)</w:t>
            </w:r>
            <w:r w:rsidRPr="00ED3D20">
              <w:t> </w:t>
            </w:r>
            <w:r w:rsidRPr="00ED3D20">
              <w:rPr>
                <w:rFonts w:eastAsiaTheme="majorEastAsia"/>
              </w:rPr>
              <w:t>)</w:t>
            </w:r>
            <w:r w:rsidRPr="00ED3D20">
              <w:t>  </w:t>
            </w:r>
            <w:r w:rsidRPr="00ED3D20">
              <w:rPr>
                <w:rFonts w:eastAsiaTheme="majorEastAsia"/>
              </w:rPr>
              <w:t>AND</w:t>
            </w:r>
            <w:r w:rsidRPr="00ED3D20">
              <w:t> </w:t>
            </w:r>
          </w:p>
          <w:p w14:paraId="6C11FB21" w14:textId="77777777" w:rsidR="005E5F55" w:rsidRPr="00ED3D20" w:rsidRDefault="005E5F55" w:rsidP="00ED3D20">
            <w:pPr>
              <w:pStyle w:val="TableRCTs"/>
            </w:pPr>
            <w:r w:rsidRPr="00ED3D20">
              <w:t> </w:t>
            </w:r>
            <w:r w:rsidRPr="00ED3D20">
              <w:rPr>
                <w:rFonts w:eastAsiaTheme="majorEastAsia"/>
              </w:rPr>
              <w:t>(</w:t>
            </w:r>
            <w:r w:rsidRPr="00ED3D20">
              <w:t> </w:t>
            </w:r>
            <w:r w:rsidRPr="00ED3D20">
              <w:rPr>
                <w:rFonts w:eastAsiaTheme="majorEastAsia"/>
              </w:rPr>
              <w:t>(</w:t>
            </w:r>
            <w:r w:rsidRPr="00ED3D20">
              <w:t> "probiotic*" </w:t>
            </w:r>
            <w:r w:rsidRPr="00ED3D20">
              <w:rPr>
                <w:rFonts w:eastAsiaTheme="majorEastAsia"/>
              </w:rPr>
              <w:t>)</w:t>
            </w:r>
            <w:r w:rsidRPr="00ED3D20">
              <w:t>  </w:t>
            </w:r>
            <w:r w:rsidRPr="00ED3D20">
              <w:rPr>
                <w:rFonts w:eastAsiaTheme="majorEastAsia"/>
              </w:rPr>
              <w:t>OR</w:t>
            </w:r>
            <w:r w:rsidRPr="00ED3D20">
              <w:t>  </w:t>
            </w:r>
            <w:r w:rsidRPr="00ED3D20">
              <w:rPr>
                <w:rFonts w:eastAsiaTheme="majorEastAsia"/>
              </w:rPr>
              <w:t>(</w:t>
            </w:r>
            <w:r w:rsidRPr="00ED3D20">
              <w:t> "lactobacillus" </w:t>
            </w:r>
            <w:r w:rsidRPr="00ED3D20">
              <w:rPr>
                <w:rFonts w:eastAsiaTheme="majorEastAsia"/>
              </w:rPr>
              <w:t>)</w:t>
            </w:r>
            <w:r w:rsidRPr="00ED3D20">
              <w:t>  </w:t>
            </w:r>
            <w:r w:rsidRPr="00ED3D20">
              <w:rPr>
                <w:rFonts w:eastAsiaTheme="majorEastAsia"/>
              </w:rPr>
              <w:t>OR</w:t>
            </w:r>
            <w:r w:rsidRPr="00ED3D20">
              <w:t>  </w:t>
            </w:r>
            <w:r w:rsidRPr="00ED3D20">
              <w:rPr>
                <w:rFonts w:eastAsiaTheme="majorEastAsia"/>
              </w:rPr>
              <w:t>(</w:t>
            </w:r>
            <w:r w:rsidRPr="00ED3D20">
              <w:t> "bifidobacter*" </w:t>
            </w:r>
            <w:r w:rsidRPr="00ED3D20">
              <w:rPr>
                <w:rFonts w:eastAsiaTheme="majorEastAsia"/>
              </w:rPr>
              <w:t>)</w:t>
            </w:r>
            <w:r w:rsidRPr="00ED3D20">
              <w:t>  </w:t>
            </w:r>
            <w:r w:rsidRPr="00ED3D20">
              <w:rPr>
                <w:rFonts w:eastAsiaTheme="majorEastAsia"/>
              </w:rPr>
              <w:t>OR</w:t>
            </w:r>
            <w:r w:rsidRPr="00ED3D20">
              <w:t>  </w:t>
            </w:r>
            <w:r w:rsidRPr="00ED3D20">
              <w:rPr>
                <w:rFonts w:eastAsiaTheme="majorEastAsia"/>
              </w:rPr>
              <w:t>(</w:t>
            </w:r>
            <w:r w:rsidRPr="00ED3D20">
              <w:t> "saccharomyces" </w:t>
            </w:r>
            <w:r w:rsidRPr="00ED3D20">
              <w:rPr>
                <w:rFonts w:eastAsiaTheme="majorEastAsia"/>
              </w:rPr>
              <w:t>)</w:t>
            </w:r>
            <w:r w:rsidRPr="00ED3D20">
              <w:t> </w:t>
            </w:r>
            <w:r w:rsidRPr="00ED3D20">
              <w:rPr>
                <w:rFonts w:eastAsiaTheme="majorEastAsia"/>
              </w:rPr>
              <w:t>)</w:t>
            </w:r>
            <w:r w:rsidRPr="00ED3D20">
              <w:t> </w:t>
            </w:r>
            <w:r w:rsidRPr="00ED3D20">
              <w:rPr>
                <w:rFonts w:eastAsiaTheme="majorEastAsia"/>
              </w:rPr>
              <w:t>)</w:t>
            </w:r>
            <w:r w:rsidRPr="00ED3D20">
              <w:t>  </w:t>
            </w:r>
          </w:p>
          <w:p w14:paraId="7C6E6F19" w14:textId="63812061" w:rsidR="005E5F55" w:rsidRPr="00ED3D20" w:rsidRDefault="005E5F55" w:rsidP="00ED3D20">
            <w:pPr>
              <w:pStyle w:val="TableRCTs"/>
            </w:pPr>
            <w:r w:rsidRPr="00ED3D20">
              <w:rPr>
                <w:rFonts w:eastAsiaTheme="majorEastAsia"/>
              </w:rPr>
              <w:t>AND</w:t>
            </w:r>
            <w:r w:rsidRPr="00ED3D20">
              <w:t>  </w:t>
            </w:r>
            <w:r w:rsidRPr="00ED3D20">
              <w:rPr>
                <w:rFonts w:eastAsiaTheme="majorEastAsia"/>
              </w:rPr>
              <w:t>PUBYEAR</w:t>
            </w:r>
            <w:r w:rsidRPr="00ED3D20">
              <w:t>  </w:t>
            </w:r>
            <w:r w:rsidRPr="00ED3D20">
              <w:rPr>
                <w:rFonts w:eastAsiaTheme="majorEastAsia"/>
              </w:rPr>
              <w:t>&gt;</w:t>
            </w:r>
            <w:r w:rsidRPr="00ED3D20">
              <w:t>  2016  </w:t>
            </w:r>
            <w:r w:rsidRPr="00ED3D20">
              <w:rPr>
                <w:rFonts w:eastAsiaTheme="majorEastAsia"/>
              </w:rPr>
              <w:t>AND</w:t>
            </w:r>
            <w:r w:rsidRPr="00ED3D20">
              <w:t>  </w:t>
            </w:r>
            <w:r w:rsidRPr="00ED3D20">
              <w:rPr>
                <w:rFonts w:eastAsiaTheme="majorEastAsia"/>
              </w:rPr>
              <w:t>(</w:t>
            </w:r>
            <w:r w:rsidRPr="00ED3D20">
              <w:t> </w:t>
            </w:r>
            <w:r w:rsidRPr="00ED3D20">
              <w:rPr>
                <w:rFonts w:eastAsiaTheme="majorEastAsia"/>
              </w:rPr>
              <w:t>LIMIT-TO</w:t>
            </w:r>
            <w:r w:rsidRPr="00ED3D20">
              <w:t> </w:t>
            </w:r>
            <w:r w:rsidRPr="00ED3D20">
              <w:rPr>
                <w:rFonts w:eastAsiaTheme="majorEastAsia"/>
              </w:rPr>
              <w:t>(</w:t>
            </w:r>
            <w:r w:rsidRPr="00ED3D20">
              <w:t> </w:t>
            </w:r>
            <w:r w:rsidRPr="00ED3D20">
              <w:rPr>
                <w:rFonts w:eastAsiaTheme="majorEastAsia"/>
              </w:rPr>
              <w:t>EXACTKEYWORD</w:t>
            </w:r>
            <w:r w:rsidRPr="00ED3D20">
              <w:t> </w:t>
            </w:r>
            <w:r w:rsidRPr="00ED3D20">
              <w:rPr>
                <w:rFonts w:eastAsiaTheme="majorEastAsia"/>
              </w:rPr>
              <w:t>,</w:t>
            </w:r>
            <w:r w:rsidRPr="00ED3D20">
              <w:t>  "Human" </w:t>
            </w:r>
            <w:r w:rsidRPr="00ED3D20">
              <w:rPr>
                <w:rFonts w:eastAsiaTheme="majorEastAsia"/>
              </w:rPr>
              <w:t>)</w:t>
            </w:r>
            <w:r w:rsidRPr="00ED3D20">
              <w:t> </w:t>
            </w:r>
            <w:r w:rsidRPr="00ED3D20">
              <w:rPr>
                <w:rFonts w:eastAsiaTheme="majorEastAsia"/>
              </w:rPr>
              <w:t>)</w:t>
            </w:r>
            <w:r w:rsidRPr="00ED3D20">
              <w:t>  </w:t>
            </w:r>
            <w:r w:rsidRPr="00ED3D20">
              <w:rPr>
                <w:rFonts w:eastAsiaTheme="majorEastAsia"/>
              </w:rPr>
              <w:t>AND</w:t>
            </w:r>
            <w:r w:rsidRPr="00ED3D20">
              <w:t>  </w:t>
            </w:r>
            <w:r w:rsidRPr="00ED3D20">
              <w:rPr>
                <w:rFonts w:eastAsiaTheme="majorEastAsia"/>
              </w:rPr>
              <w:t>(</w:t>
            </w:r>
            <w:r w:rsidRPr="00ED3D20">
              <w:t> </w:t>
            </w:r>
            <w:r w:rsidRPr="00ED3D20">
              <w:rPr>
                <w:rFonts w:eastAsiaTheme="majorEastAsia"/>
              </w:rPr>
              <w:t>LIMIT-TO</w:t>
            </w:r>
            <w:r w:rsidRPr="00ED3D20">
              <w:t> </w:t>
            </w:r>
            <w:r w:rsidRPr="00ED3D20">
              <w:rPr>
                <w:rFonts w:eastAsiaTheme="majorEastAsia"/>
              </w:rPr>
              <w:t>(</w:t>
            </w:r>
            <w:r w:rsidRPr="00ED3D20">
              <w:t> </w:t>
            </w:r>
            <w:r w:rsidRPr="00ED3D20">
              <w:rPr>
                <w:rFonts w:eastAsiaTheme="majorEastAsia"/>
              </w:rPr>
              <w:t>LANGUAGE</w:t>
            </w:r>
            <w:r w:rsidRPr="00ED3D20">
              <w:t> </w:t>
            </w:r>
            <w:r w:rsidRPr="00ED3D20">
              <w:rPr>
                <w:rFonts w:eastAsiaTheme="majorEastAsia"/>
              </w:rPr>
              <w:t>,</w:t>
            </w:r>
            <w:r w:rsidRPr="00ED3D20">
              <w:t>  "English" </w:t>
            </w:r>
            <w:r w:rsidRPr="00ED3D20">
              <w:rPr>
                <w:rFonts w:eastAsiaTheme="majorEastAsia"/>
              </w:rPr>
              <w:t>)</w:t>
            </w:r>
            <w:r w:rsidRPr="00ED3D20">
              <w:t> </w:t>
            </w:r>
            <w:r w:rsidRPr="00ED3D20">
              <w:rPr>
                <w:rFonts w:eastAsiaTheme="majorEastAsia"/>
              </w:rPr>
              <w:t>)</w:t>
            </w:r>
          </w:p>
        </w:tc>
        <w:tc>
          <w:tcPr>
            <w:tcW w:w="1134" w:type="dxa"/>
          </w:tcPr>
          <w:p w14:paraId="33A91150" w14:textId="77777777" w:rsidR="005E5F55" w:rsidRPr="00ED3D20" w:rsidRDefault="005E5F55" w:rsidP="00ED3D20">
            <w:pPr>
              <w:pStyle w:val="TableRCTs"/>
            </w:pPr>
            <w:r w:rsidRPr="00ED3D20">
              <w:t>01/01/2014 to 18/10/2019</w:t>
            </w:r>
          </w:p>
        </w:tc>
        <w:tc>
          <w:tcPr>
            <w:tcW w:w="709" w:type="dxa"/>
          </w:tcPr>
          <w:p w14:paraId="7809EE05" w14:textId="77777777" w:rsidR="005E5F55" w:rsidRPr="00ED3D20" w:rsidRDefault="005E5F55" w:rsidP="00ED3D20">
            <w:pPr>
              <w:pStyle w:val="TableRCTs"/>
            </w:pPr>
            <w:r w:rsidRPr="00ED3D20">
              <w:t>English</w:t>
            </w:r>
          </w:p>
          <w:p w14:paraId="2FFD2C5B" w14:textId="77777777" w:rsidR="005E5F55" w:rsidRPr="00ED3D20" w:rsidRDefault="005E5F55" w:rsidP="00ED3D20">
            <w:pPr>
              <w:pStyle w:val="TableRCTs"/>
            </w:pPr>
            <w:r w:rsidRPr="00ED3D20">
              <w:t>Human</w:t>
            </w:r>
          </w:p>
        </w:tc>
        <w:tc>
          <w:tcPr>
            <w:tcW w:w="567" w:type="dxa"/>
          </w:tcPr>
          <w:p w14:paraId="1E9B6053" w14:textId="77777777" w:rsidR="005E5F55" w:rsidRPr="00ED3D20" w:rsidRDefault="005E5F55" w:rsidP="00ED3D20">
            <w:pPr>
              <w:pStyle w:val="TableRCTs"/>
            </w:pPr>
            <w:r w:rsidRPr="00ED3D20">
              <w:t>800</w:t>
            </w:r>
          </w:p>
        </w:tc>
        <w:tc>
          <w:tcPr>
            <w:tcW w:w="948" w:type="dxa"/>
          </w:tcPr>
          <w:p w14:paraId="49CB0BA5" w14:textId="77777777" w:rsidR="005E5F55" w:rsidRPr="00ED3D20" w:rsidRDefault="005E5F55" w:rsidP="00ED3D20">
            <w:pPr>
              <w:pStyle w:val="TableRCTs"/>
            </w:pPr>
            <w:r w:rsidRPr="00ED3D20">
              <w:t>18-Oct-19</w:t>
            </w:r>
          </w:p>
        </w:tc>
      </w:tr>
      <w:tr w:rsidR="00ED3D20" w:rsidRPr="00ED3D20" w14:paraId="76F30907" w14:textId="77777777" w:rsidTr="00ED3D20">
        <w:tc>
          <w:tcPr>
            <w:tcW w:w="758" w:type="dxa"/>
          </w:tcPr>
          <w:p w14:paraId="19758596" w14:textId="77777777" w:rsidR="005E5F55" w:rsidRPr="00ED3D20" w:rsidRDefault="005E5F55" w:rsidP="00ED3D20">
            <w:pPr>
              <w:pStyle w:val="TableRCTs"/>
            </w:pPr>
            <w:r w:rsidRPr="00ED3D20">
              <w:t>Health Infonet</w:t>
            </w:r>
          </w:p>
        </w:tc>
        <w:tc>
          <w:tcPr>
            <w:tcW w:w="5054" w:type="dxa"/>
          </w:tcPr>
          <w:p w14:paraId="4C929B71" w14:textId="77777777" w:rsidR="005E5F55" w:rsidRPr="00ED3D20" w:rsidRDefault="005E5F55" w:rsidP="00ED3D20">
            <w:pPr>
              <w:pStyle w:val="TableRCTs"/>
            </w:pPr>
            <w:r w:rsidRPr="00ED3D20">
              <w:t>Probiotics  – Publications = 2 reviewing probiotics in otitis media</w:t>
            </w:r>
          </w:p>
          <w:p w14:paraId="2F6210A0" w14:textId="77777777" w:rsidR="005E5F55" w:rsidRPr="00ED3D20" w:rsidRDefault="005E5F55" w:rsidP="00ED3D20">
            <w:pPr>
              <w:pStyle w:val="TableRCTs"/>
            </w:pPr>
            <w:r w:rsidRPr="00ED3D20">
              <w:t>Probiotics and pregnancy – publications = 0 publications</w:t>
            </w:r>
          </w:p>
        </w:tc>
        <w:tc>
          <w:tcPr>
            <w:tcW w:w="1134" w:type="dxa"/>
          </w:tcPr>
          <w:p w14:paraId="6024840B" w14:textId="77777777" w:rsidR="005E5F55" w:rsidRPr="00ED3D20" w:rsidRDefault="005E5F55" w:rsidP="00ED3D20">
            <w:pPr>
              <w:pStyle w:val="TableRCTs"/>
            </w:pPr>
            <w:r w:rsidRPr="00ED3D20">
              <w:t>All dates</w:t>
            </w:r>
          </w:p>
        </w:tc>
        <w:tc>
          <w:tcPr>
            <w:tcW w:w="709" w:type="dxa"/>
          </w:tcPr>
          <w:p w14:paraId="73EA837E" w14:textId="77777777" w:rsidR="005E5F55" w:rsidRPr="00ED3D20" w:rsidRDefault="005E5F55" w:rsidP="00ED3D20">
            <w:pPr>
              <w:pStyle w:val="TableRCTs"/>
            </w:pPr>
            <w:r w:rsidRPr="00ED3D20">
              <w:t>None</w:t>
            </w:r>
          </w:p>
        </w:tc>
        <w:tc>
          <w:tcPr>
            <w:tcW w:w="567" w:type="dxa"/>
          </w:tcPr>
          <w:p w14:paraId="06C36F64" w14:textId="77777777" w:rsidR="005E5F55" w:rsidRPr="00ED3D20" w:rsidRDefault="005E5F55" w:rsidP="00ED3D20">
            <w:pPr>
              <w:pStyle w:val="TableRCTs"/>
            </w:pPr>
            <w:r w:rsidRPr="00ED3D20">
              <w:t>0</w:t>
            </w:r>
          </w:p>
        </w:tc>
        <w:tc>
          <w:tcPr>
            <w:tcW w:w="948" w:type="dxa"/>
          </w:tcPr>
          <w:p w14:paraId="1294F120" w14:textId="77777777" w:rsidR="005E5F55" w:rsidRPr="00ED3D20" w:rsidRDefault="005E5F55" w:rsidP="00ED3D20">
            <w:pPr>
              <w:pStyle w:val="TableRCTs"/>
            </w:pPr>
            <w:r w:rsidRPr="00ED3D20">
              <w:t>18-Oct-19</w:t>
            </w:r>
          </w:p>
        </w:tc>
      </w:tr>
      <w:tr w:rsidR="00ED3D20" w:rsidRPr="00ED3D20" w14:paraId="14336795" w14:textId="77777777" w:rsidTr="008E2073">
        <w:trPr>
          <w:cantSplit/>
        </w:trPr>
        <w:tc>
          <w:tcPr>
            <w:tcW w:w="758" w:type="dxa"/>
          </w:tcPr>
          <w:p w14:paraId="64AE386B" w14:textId="77777777" w:rsidR="005E5F55" w:rsidRPr="00ED3D20" w:rsidRDefault="005E5F55" w:rsidP="00ED3D20">
            <w:pPr>
              <w:pStyle w:val="TableRCTs"/>
            </w:pPr>
            <w:r w:rsidRPr="00ED3D20">
              <w:t>Cochrane</w:t>
            </w:r>
          </w:p>
        </w:tc>
        <w:tc>
          <w:tcPr>
            <w:tcW w:w="5054" w:type="dxa"/>
          </w:tcPr>
          <w:p w14:paraId="0AB749D9" w14:textId="77777777" w:rsidR="005E5F55" w:rsidRPr="00ED3D20" w:rsidRDefault="005E5F55" w:rsidP="00ED3D20">
            <w:pPr>
              <w:pStyle w:val="TableRCTs"/>
            </w:pPr>
            <w:r w:rsidRPr="00ED3D20">
              <w:t xml:space="preserve">((MeSH descriptor: [Pregnancy] explode all trees) </w:t>
            </w:r>
          </w:p>
          <w:p w14:paraId="3498CFAB" w14:textId="77777777" w:rsidR="005E5F55" w:rsidRPr="00ED3D20" w:rsidRDefault="005E5F55" w:rsidP="00ED3D20">
            <w:pPr>
              <w:pStyle w:val="TableRCTs"/>
            </w:pPr>
            <w:r w:rsidRPr="00ED3D20">
              <w:t xml:space="preserve">OR (MeSH descriptor: [Pregnant Women] explode all trees) </w:t>
            </w:r>
          </w:p>
          <w:p w14:paraId="656391AF" w14:textId="77777777" w:rsidR="005E5F55" w:rsidRPr="00ED3D20" w:rsidRDefault="005E5F55" w:rsidP="00ED3D20">
            <w:pPr>
              <w:pStyle w:val="TableRCTs"/>
            </w:pPr>
            <w:r w:rsidRPr="00ED3D20">
              <w:t xml:space="preserve">OR ‘pregnan*’) </w:t>
            </w:r>
          </w:p>
          <w:p w14:paraId="37D8DA1D" w14:textId="77777777" w:rsidR="005E5F55" w:rsidRPr="00ED3D20" w:rsidRDefault="005E5F55" w:rsidP="00ED3D20">
            <w:pPr>
              <w:pStyle w:val="TableRCTs"/>
            </w:pPr>
            <w:r w:rsidRPr="00ED3D20">
              <w:t xml:space="preserve">AND </w:t>
            </w:r>
          </w:p>
          <w:p w14:paraId="153467D3" w14:textId="77777777" w:rsidR="005E5F55" w:rsidRPr="00ED3D20" w:rsidRDefault="005E5F55" w:rsidP="00ED3D20">
            <w:pPr>
              <w:pStyle w:val="TableRCTs"/>
            </w:pPr>
            <w:r w:rsidRPr="00ED3D20">
              <w:t>((MeSH descriptor: [Probiotics] explode all trees) OR ('probiotic*') OR ('lactobacillus') OR ('bifidobacter*') OR ('saccharomyces'))</w:t>
            </w:r>
          </w:p>
        </w:tc>
        <w:tc>
          <w:tcPr>
            <w:tcW w:w="1134" w:type="dxa"/>
          </w:tcPr>
          <w:p w14:paraId="167FC29A" w14:textId="77777777" w:rsidR="005E5F55" w:rsidRPr="00ED3D20" w:rsidRDefault="005E5F55" w:rsidP="00ED3D20">
            <w:pPr>
              <w:pStyle w:val="TableRCTs"/>
            </w:pPr>
            <w:r w:rsidRPr="00ED3D20">
              <w:t>01/01/2014-31/12/2019</w:t>
            </w:r>
          </w:p>
        </w:tc>
        <w:tc>
          <w:tcPr>
            <w:tcW w:w="709" w:type="dxa"/>
          </w:tcPr>
          <w:p w14:paraId="3E594338" w14:textId="77777777" w:rsidR="005E5F55" w:rsidRPr="00ED3D20" w:rsidRDefault="005E5F55" w:rsidP="00ED3D20">
            <w:pPr>
              <w:pStyle w:val="TableRCTs"/>
            </w:pPr>
            <w:r w:rsidRPr="00ED3D20">
              <w:t xml:space="preserve">Cochrane reviews </w:t>
            </w:r>
          </w:p>
        </w:tc>
        <w:tc>
          <w:tcPr>
            <w:tcW w:w="567" w:type="dxa"/>
          </w:tcPr>
          <w:p w14:paraId="01749ACE" w14:textId="77777777" w:rsidR="005E5F55" w:rsidRPr="00ED3D20" w:rsidRDefault="005E5F55" w:rsidP="00ED3D20">
            <w:pPr>
              <w:pStyle w:val="TableRCTs"/>
            </w:pPr>
            <w:r w:rsidRPr="00ED3D20">
              <w:t>35</w:t>
            </w:r>
          </w:p>
        </w:tc>
        <w:tc>
          <w:tcPr>
            <w:tcW w:w="948" w:type="dxa"/>
          </w:tcPr>
          <w:p w14:paraId="7163940B" w14:textId="77777777" w:rsidR="005E5F55" w:rsidRPr="00ED3D20" w:rsidRDefault="005E5F55" w:rsidP="00ED3D20">
            <w:pPr>
              <w:pStyle w:val="TableRCTs"/>
            </w:pPr>
            <w:r w:rsidRPr="00ED3D20">
              <w:t>18-Oct-19</w:t>
            </w:r>
          </w:p>
        </w:tc>
      </w:tr>
    </w:tbl>
    <w:p w14:paraId="144E25F8" w14:textId="3F6B7CFE" w:rsidR="001954B4" w:rsidRDefault="008237A1" w:rsidP="008237A1">
      <w:pPr>
        <w:pStyle w:val="Figure"/>
        <w:jc w:val="center"/>
      </w:pPr>
      <w:r>
        <w:rPr>
          <w:noProof/>
          <w:lang w:val="en-AU" w:eastAsia="en-AU"/>
        </w:rPr>
        <w:drawing>
          <wp:inline distT="0" distB="0" distL="0" distR="0" wp14:anchorId="19A6F4B1" wp14:editId="20C0CEE1">
            <wp:extent cx="3551762" cy="4288839"/>
            <wp:effectExtent l="0" t="0" r="4445"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robiotics.png"/>
                    <pic:cNvPicPr/>
                  </pic:nvPicPr>
                  <pic:blipFill>
                    <a:blip r:embed="rId33">
                      <a:extLst>
                        <a:ext uri="{28A0092B-C50C-407E-A947-70E740481C1C}">
                          <a14:useLocalDpi xmlns:a14="http://schemas.microsoft.com/office/drawing/2010/main" val="0"/>
                        </a:ext>
                      </a:extLst>
                    </a:blip>
                    <a:stretch>
                      <a:fillRect/>
                    </a:stretch>
                  </pic:blipFill>
                  <pic:spPr>
                    <a:xfrm>
                      <a:off x="0" y="0"/>
                      <a:ext cx="3559348" cy="4298000"/>
                    </a:xfrm>
                    <a:prstGeom prst="rect">
                      <a:avLst/>
                    </a:prstGeom>
                  </pic:spPr>
                </pic:pic>
              </a:graphicData>
            </a:graphic>
          </wp:inline>
        </w:drawing>
      </w:r>
    </w:p>
    <w:p w14:paraId="50C1C7D4" w14:textId="7C744A2A" w:rsidR="005E5F55" w:rsidRPr="004A1A89" w:rsidRDefault="00ED3D20" w:rsidP="001954B4">
      <w:pPr>
        <w:pStyle w:val="Figurename"/>
      </w:pPr>
      <w:r>
        <w:t>PRISMA</w:t>
      </w:r>
      <w:r w:rsidR="001954B4">
        <w:t xml:space="preserve"> diagram: Probiotics</w:t>
      </w:r>
    </w:p>
    <w:p w14:paraId="5BC1F865" w14:textId="3BF1CE47" w:rsidR="00ED3D20" w:rsidRDefault="00ED3D20" w:rsidP="0021453B">
      <w:pPr>
        <w:pStyle w:val="Heading3"/>
        <w:numPr>
          <w:ilvl w:val="0"/>
          <w:numId w:val="0"/>
        </w:numPr>
      </w:pPr>
      <w:bookmarkStart w:id="253" w:name="_Toc40956556"/>
      <w:r>
        <w:t>Physical activity advice</w:t>
      </w:r>
      <w:r w:rsidR="000D04A0">
        <w:t xml:space="preserve"> (research questions 5, 6 and 9)</w:t>
      </w:r>
      <w:bookmarkEnd w:id="253"/>
    </w:p>
    <w:p w14:paraId="57B88448" w14:textId="77777777" w:rsidR="00A91966" w:rsidRPr="00A91966" w:rsidRDefault="00A91966" w:rsidP="0021453B">
      <w:pPr>
        <w:keepNext/>
        <w:spacing w:line="200" w:lineRule="exact"/>
        <w:rPr>
          <w:b/>
          <w:bCs/>
          <w:sz w:val="16"/>
          <w:szCs w:val="16"/>
        </w:rPr>
      </w:pPr>
      <w:r w:rsidRPr="00A91966">
        <w:rPr>
          <w:b/>
          <w:bCs/>
          <w:sz w:val="16"/>
          <w:szCs w:val="16"/>
        </w:rPr>
        <w:t>Embase:</w:t>
      </w:r>
    </w:p>
    <w:p w14:paraId="5CB7B3DE" w14:textId="77777777" w:rsidR="00A91966" w:rsidRPr="00A91966" w:rsidRDefault="00A91966" w:rsidP="0021453B">
      <w:pPr>
        <w:keepNext/>
        <w:spacing w:line="200" w:lineRule="exact"/>
        <w:rPr>
          <w:sz w:val="16"/>
          <w:szCs w:val="16"/>
        </w:rPr>
      </w:pPr>
      <w:r w:rsidRPr="00A91966">
        <w:rPr>
          <w:sz w:val="16"/>
          <w:szCs w:val="16"/>
        </w:rPr>
        <w:t>('exercise'/exp OR 'exercis*' OR 'laziness'/de OR 'physical activity'/exp OR 'physical inactivity'/de OR 'physical performance'/de OR 'sedentary lifestyle'/syn) AND ('pregnant woman'/syn OR 'pregnancy'/syn OR 'pregnan*') AND [english]/lim AND [humans]/lim</w:t>
      </w:r>
    </w:p>
    <w:p w14:paraId="0E7C3334" w14:textId="1B543C0B" w:rsidR="00A91966" w:rsidRPr="00A91966" w:rsidRDefault="00A91966" w:rsidP="0021453B">
      <w:pPr>
        <w:keepNext/>
        <w:spacing w:line="200" w:lineRule="exact"/>
        <w:rPr>
          <w:sz w:val="16"/>
          <w:szCs w:val="16"/>
        </w:rPr>
      </w:pPr>
      <w:r w:rsidRPr="00A91966">
        <w:rPr>
          <w:sz w:val="16"/>
          <w:szCs w:val="16"/>
        </w:rPr>
        <w:t>1998 to 6/7/18</w:t>
      </w:r>
      <w:r w:rsidR="00162E95">
        <w:rPr>
          <w:sz w:val="16"/>
          <w:szCs w:val="16"/>
        </w:rPr>
        <w:t>=</w:t>
      </w:r>
      <w:r w:rsidRPr="00A91966">
        <w:rPr>
          <w:sz w:val="16"/>
          <w:szCs w:val="16"/>
        </w:rPr>
        <w:t>Results: 11</w:t>
      </w:r>
      <w:r w:rsidR="00826445">
        <w:rPr>
          <w:sz w:val="16"/>
          <w:szCs w:val="16"/>
        </w:rPr>
        <w:t>,</w:t>
      </w:r>
      <w:r w:rsidRPr="00A91966">
        <w:rPr>
          <w:sz w:val="16"/>
          <w:szCs w:val="16"/>
        </w:rPr>
        <w:t>981</w:t>
      </w:r>
    </w:p>
    <w:p w14:paraId="4DC5066A" w14:textId="77777777" w:rsidR="00A91966" w:rsidRPr="00A91966" w:rsidRDefault="00A91966" w:rsidP="0021453B">
      <w:pPr>
        <w:keepNext/>
        <w:spacing w:line="200" w:lineRule="exact"/>
        <w:rPr>
          <w:b/>
          <w:bCs/>
          <w:sz w:val="16"/>
          <w:szCs w:val="16"/>
        </w:rPr>
      </w:pPr>
      <w:r w:rsidRPr="00A91966">
        <w:rPr>
          <w:b/>
          <w:bCs/>
          <w:sz w:val="16"/>
          <w:szCs w:val="16"/>
        </w:rPr>
        <w:t>CINAHL:</w:t>
      </w:r>
    </w:p>
    <w:p w14:paraId="1A93F703" w14:textId="77777777" w:rsidR="00A91966" w:rsidRPr="00A91966" w:rsidRDefault="00A91966" w:rsidP="0021453B">
      <w:pPr>
        <w:keepNext/>
        <w:spacing w:line="200" w:lineRule="exact"/>
        <w:rPr>
          <w:sz w:val="16"/>
          <w:szCs w:val="16"/>
          <w:bdr w:val="none" w:sz="0" w:space="0" w:color="auto" w:frame="1"/>
          <w:shd w:val="clear" w:color="auto" w:fill="FFFFFF"/>
        </w:rPr>
      </w:pPr>
      <w:r w:rsidRPr="00A91966">
        <w:rPr>
          <w:sz w:val="16"/>
          <w:szCs w:val="16"/>
          <w:bdr w:val="none" w:sz="0" w:space="0" w:color="auto" w:frame="1"/>
          <w:shd w:val="clear" w:color="auto" w:fill="FFFFFF"/>
        </w:rPr>
        <w:t xml:space="preserve">TX ((MH "Therapeutic Exercise") OR (MH "Physical Fitness+") OR (MH "Exercise+") OR ("Physical Activit*") OR (MH "Physical Activity+") OR (MH "Activities of Daily Living")) ) </w:t>
      </w:r>
    </w:p>
    <w:p w14:paraId="3977F426" w14:textId="77777777" w:rsidR="00A91966" w:rsidRPr="00A91966" w:rsidRDefault="00A91966" w:rsidP="00A91966">
      <w:pPr>
        <w:spacing w:line="200" w:lineRule="exact"/>
        <w:rPr>
          <w:sz w:val="16"/>
          <w:szCs w:val="16"/>
          <w:bdr w:val="none" w:sz="0" w:space="0" w:color="auto" w:frame="1"/>
          <w:shd w:val="clear" w:color="auto" w:fill="FFFFFF"/>
        </w:rPr>
      </w:pPr>
      <w:r w:rsidRPr="00A91966">
        <w:rPr>
          <w:sz w:val="16"/>
          <w:szCs w:val="16"/>
          <w:bdr w:val="none" w:sz="0" w:space="0" w:color="auto" w:frame="1"/>
          <w:shd w:val="clear" w:color="auto" w:fill="FFFFFF"/>
        </w:rPr>
        <w:t>AND TX ( ((MH "Pregnancy+") OR (Pregnan*) OR (MM "Pregnancy Outcomes") OR (MH "Pregnancy Trimesters+"))</w:t>
      </w:r>
    </w:p>
    <w:p w14:paraId="49DE2946" w14:textId="09902733" w:rsidR="00A91966" w:rsidRPr="00A91966" w:rsidRDefault="00A91966" w:rsidP="00A91966">
      <w:pPr>
        <w:spacing w:line="200" w:lineRule="exact"/>
        <w:rPr>
          <w:sz w:val="16"/>
          <w:szCs w:val="16"/>
          <w:bdr w:val="none" w:sz="0" w:space="0" w:color="auto" w:frame="1"/>
          <w:shd w:val="clear" w:color="auto" w:fill="FFFFFF"/>
        </w:rPr>
      </w:pPr>
      <w:r w:rsidRPr="00A91966">
        <w:rPr>
          <w:sz w:val="16"/>
          <w:szCs w:val="16"/>
        </w:rPr>
        <w:t>1998 to 6/7/18</w:t>
      </w:r>
      <w:r w:rsidR="00162E95">
        <w:rPr>
          <w:sz w:val="16"/>
          <w:szCs w:val="16"/>
        </w:rPr>
        <w:t>=</w:t>
      </w:r>
      <w:r w:rsidRPr="00A91966">
        <w:rPr>
          <w:sz w:val="16"/>
          <w:szCs w:val="16"/>
          <w:bdr w:val="none" w:sz="0" w:space="0" w:color="auto" w:frame="1"/>
          <w:shd w:val="clear" w:color="auto" w:fill="FFFFFF"/>
        </w:rPr>
        <w:t>Results 7</w:t>
      </w:r>
      <w:r w:rsidR="00826445">
        <w:rPr>
          <w:sz w:val="16"/>
          <w:szCs w:val="16"/>
          <w:bdr w:val="none" w:sz="0" w:space="0" w:color="auto" w:frame="1"/>
          <w:shd w:val="clear" w:color="auto" w:fill="FFFFFF"/>
        </w:rPr>
        <w:t>,</w:t>
      </w:r>
      <w:r w:rsidRPr="00A91966">
        <w:rPr>
          <w:sz w:val="16"/>
          <w:szCs w:val="16"/>
          <w:bdr w:val="none" w:sz="0" w:space="0" w:color="auto" w:frame="1"/>
          <w:shd w:val="clear" w:color="auto" w:fill="FFFFFF"/>
        </w:rPr>
        <w:t>871</w:t>
      </w:r>
    </w:p>
    <w:p w14:paraId="6AE2499B" w14:textId="77777777" w:rsidR="00A91966" w:rsidRPr="00A91966" w:rsidRDefault="00A91966" w:rsidP="00A91966">
      <w:pPr>
        <w:spacing w:line="200" w:lineRule="exact"/>
        <w:rPr>
          <w:b/>
          <w:sz w:val="16"/>
          <w:szCs w:val="16"/>
          <w:bdr w:val="none" w:sz="0" w:space="0" w:color="auto" w:frame="1"/>
          <w:shd w:val="clear" w:color="auto" w:fill="FFFFFF"/>
        </w:rPr>
      </w:pPr>
      <w:r w:rsidRPr="00A91966">
        <w:rPr>
          <w:b/>
          <w:sz w:val="16"/>
          <w:szCs w:val="16"/>
          <w:bdr w:val="none" w:sz="0" w:space="0" w:color="auto" w:frame="1"/>
          <w:shd w:val="clear" w:color="auto" w:fill="FFFFFF"/>
        </w:rPr>
        <w:t>Pubmed:</w:t>
      </w:r>
    </w:p>
    <w:p w14:paraId="062E9DB9" w14:textId="77777777" w:rsidR="00A91966" w:rsidRPr="00A91966" w:rsidRDefault="00A91966" w:rsidP="00A91966">
      <w:pPr>
        <w:spacing w:line="200" w:lineRule="exact"/>
        <w:rPr>
          <w:sz w:val="16"/>
          <w:szCs w:val="16"/>
        </w:rPr>
      </w:pPr>
      <w:r w:rsidRPr="00A91966">
        <w:rPr>
          <w:sz w:val="16"/>
          <w:szCs w:val="16"/>
        </w:rPr>
        <w:t>(("Exercise"[Mesh]) OR ("Sedentary Lifestyle"[Mesh])) AND (("Pregnant Women"[Mesh]) OR ("Pregnancy"[Mesh]) OR Pregnan*)</w:t>
      </w:r>
    </w:p>
    <w:p w14:paraId="45657096" w14:textId="77777777" w:rsidR="00A91966" w:rsidRPr="00A91966" w:rsidRDefault="00A91966" w:rsidP="00A91966">
      <w:pPr>
        <w:spacing w:line="200" w:lineRule="exact"/>
        <w:rPr>
          <w:sz w:val="16"/>
          <w:szCs w:val="16"/>
        </w:rPr>
      </w:pPr>
      <w:r w:rsidRPr="00A91966">
        <w:rPr>
          <w:sz w:val="16"/>
          <w:szCs w:val="16"/>
        </w:rPr>
        <w:t>Humans and English</w:t>
      </w:r>
    </w:p>
    <w:p w14:paraId="5F9D150A" w14:textId="7A3C81A7" w:rsidR="00A91966" w:rsidRPr="00A91966" w:rsidRDefault="00A91966" w:rsidP="00A91966">
      <w:pPr>
        <w:spacing w:line="200" w:lineRule="exact"/>
        <w:rPr>
          <w:sz w:val="16"/>
          <w:szCs w:val="16"/>
        </w:rPr>
      </w:pPr>
      <w:r w:rsidRPr="00A91966">
        <w:rPr>
          <w:sz w:val="16"/>
          <w:szCs w:val="16"/>
        </w:rPr>
        <w:t>1998 to 6/7/18</w:t>
      </w:r>
      <w:r w:rsidR="00162E95">
        <w:rPr>
          <w:sz w:val="16"/>
          <w:szCs w:val="16"/>
        </w:rPr>
        <w:t>=</w:t>
      </w:r>
      <w:r w:rsidRPr="00A91966">
        <w:rPr>
          <w:sz w:val="16"/>
          <w:szCs w:val="16"/>
        </w:rPr>
        <w:t>Results</w:t>
      </w:r>
      <w:r w:rsidR="00162E95">
        <w:rPr>
          <w:sz w:val="16"/>
          <w:szCs w:val="16"/>
        </w:rPr>
        <w:t>=</w:t>
      </w:r>
      <w:r w:rsidRPr="00A91966">
        <w:rPr>
          <w:sz w:val="16"/>
          <w:szCs w:val="16"/>
        </w:rPr>
        <w:t>2</w:t>
      </w:r>
      <w:r w:rsidR="00826445">
        <w:rPr>
          <w:sz w:val="16"/>
          <w:szCs w:val="16"/>
        </w:rPr>
        <w:t>,</w:t>
      </w:r>
      <w:r w:rsidRPr="00A91966">
        <w:rPr>
          <w:sz w:val="16"/>
          <w:szCs w:val="16"/>
        </w:rPr>
        <w:t xml:space="preserve">177 </w:t>
      </w:r>
    </w:p>
    <w:p w14:paraId="283D05B6" w14:textId="77777777" w:rsidR="00A91966" w:rsidRPr="00A91966" w:rsidRDefault="00A91966" w:rsidP="00A91966">
      <w:pPr>
        <w:spacing w:line="200" w:lineRule="exact"/>
        <w:rPr>
          <w:b/>
          <w:bCs/>
          <w:sz w:val="16"/>
          <w:szCs w:val="16"/>
        </w:rPr>
      </w:pPr>
      <w:r w:rsidRPr="00A91966">
        <w:rPr>
          <w:b/>
          <w:bCs/>
          <w:sz w:val="16"/>
          <w:szCs w:val="16"/>
        </w:rPr>
        <w:t>Health infonet</w:t>
      </w:r>
    </w:p>
    <w:p w14:paraId="4810F23B" w14:textId="77777777" w:rsidR="00A91966" w:rsidRPr="00A91966" w:rsidRDefault="00A91966" w:rsidP="00A91966">
      <w:pPr>
        <w:spacing w:line="200" w:lineRule="exact"/>
        <w:rPr>
          <w:sz w:val="16"/>
          <w:szCs w:val="16"/>
        </w:rPr>
      </w:pPr>
      <w:r w:rsidRPr="00A91966">
        <w:rPr>
          <w:sz w:val="16"/>
          <w:szCs w:val="16"/>
        </w:rPr>
        <w:t>Pregnan* AND (exercis* OR (Physical activit*) OR Lifestyle)</w:t>
      </w:r>
    </w:p>
    <w:p w14:paraId="4D29967A" w14:textId="0E1057B2" w:rsidR="00A91966" w:rsidRPr="00A91966" w:rsidRDefault="00A91966" w:rsidP="00A91966">
      <w:pPr>
        <w:spacing w:line="200" w:lineRule="exact"/>
        <w:rPr>
          <w:sz w:val="16"/>
          <w:szCs w:val="16"/>
        </w:rPr>
      </w:pPr>
      <w:r w:rsidRPr="00A91966">
        <w:rPr>
          <w:sz w:val="16"/>
          <w:szCs w:val="16"/>
        </w:rPr>
        <w:t>Results</w:t>
      </w:r>
      <w:r w:rsidR="00162E95">
        <w:rPr>
          <w:sz w:val="16"/>
          <w:szCs w:val="16"/>
        </w:rPr>
        <w:t>=</w:t>
      </w:r>
      <w:r w:rsidRPr="00A91966">
        <w:rPr>
          <w:sz w:val="16"/>
          <w:szCs w:val="16"/>
        </w:rPr>
        <w:t>0</w:t>
      </w:r>
    </w:p>
    <w:p w14:paraId="4F7EA661" w14:textId="77777777" w:rsidR="00A91966" w:rsidRPr="00A91966" w:rsidRDefault="00A91966" w:rsidP="00A91966">
      <w:pPr>
        <w:spacing w:line="200" w:lineRule="exact"/>
        <w:rPr>
          <w:sz w:val="16"/>
          <w:szCs w:val="16"/>
        </w:rPr>
      </w:pPr>
      <w:r w:rsidRPr="00A91966">
        <w:rPr>
          <w:sz w:val="16"/>
          <w:szCs w:val="16"/>
        </w:rPr>
        <w:t>Pregnan* AND exercis*</w:t>
      </w:r>
    </w:p>
    <w:p w14:paraId="48C1ABD5" w14:textId="537613D8" w:rsidR="00A91966" w:rsidRPr="00A91966" w:rsidRDefault="00A91966" w:rsidP="00A91966">
      <w:pPr>
        <w:spacing w:line="200" w:lineRule="exact"/>
        <w:rPr>
          <w:sz w:val="16"/>
          <w:szCs w:val="16"/>
        </w:rPr>
      </w:pPr>
      <w:r w:rsidRPr="00A91966">
        <w:rPr>
          <w:sz w:val="16"/>
          <w:szCs w:val="16"/>
        </w:rPr>
        <w:t>Results</w:t>
      </w:r>
      <w:r w:rsidR="00162E95">
        <w:rPr>
          <w:sz w:val="16"/>
          <w:szCs w:val="16"/>
        </w:rPr>
        <w:t>=</w:t>
      </w:r>
      <w:r w:rsidRPr="00A91966">
        <w:rPr>
          <w:sz w:val="16"/>
          <w:szCs w:val="16"/>
        </w:rPr>
        <w:t>0</w:t>
      </w:r>
    </w:p>
    <w:p w14:paraId="48E9E6FD" w14:textId="77777777" w:rsidR="00A91966" w:rsidRPr="00A91966" w:rsidRDefault="00A91966" w:rsidP="00A91966">
      <w:pPr>
        <w:spacing w:line="200" w:lineRule="exact"/>
        <w:rPr>
          <w:sz w:val="16"/>
          <w:szCs w:val="16"/>
        </w:rPr>
      </w:pPr>
      <w:r w:rsidRPr="00A91966">
        <w:rPr>
          <w:sz w:val="16"/>
          <w:szCs w:val="16"/>
        </w:rPr>
        <w:t>Pregnancy AND exercise</w:t>
      </w:r>
    </w:p>
    <w:p w14:paraId="504F653B" w14:textId="15941D34" w:rsidR="00A91966" w:rsidRPr="00A91966" w:rsidRDefault="00A91966" w:rsidP="00A91966">
      <w:pPr>
        <w:spacing w:line="200" w:lineRule="exact"/>
        <w:rPr>
          <w:sz w:val="16"/>
          <w:szCs w:val="16"/>
        </w:rPr>
      </w:pPr>
      <w:r w:rsidRPr="00A91966">
        <w:rPr>
          <w:sz w:val="16"/>
          <w:szCs w:val="16"/>
        </w:rPr>
        <w:t>Results</w:t>
      </w:r>
      <w:r w:rsidR="00162E95">
        <w:rPr>
          <w:sz w:val="16"/>
          <w:szCs w:val="16"/>
        </w:rPr>
        <w:t>=</w:t>
      </w:r>
      <w:r w:rsidRPr="00A91966">
        <w:rPr>
          <w:sz w:val="16"/>
          <w:szCs w:val="16"/>
        </w:rPr>
        <w:t>0</w:t>
      </w:r>
    </w:p>
    <w:p w14:paraId="10EB62CD" w14:textId="77777777" w:rsidR="00A91966" w:rsidRPr="00A91966" w:rsidRDefault="00A91966" w:rsidP="00A91966">
      <w:pPr>
        <w:spacing w:line="200" w:lineRule="exact"/>
        <w:rPr>
          <w:sz w:val="16"/>
          <w:szCs w:val="16"/>
        </w:rPr>
      </w:pPr>
      <w:r w:rsidRPr="00A91966">
        <w:rPr>
          <w:sz w:val="16"/>
          <w:szCs w:val="16"/>
        </w:rPr>
        <w:t>Pregnancy</w:t>
      </w:r>
    </w:p>
    <w:p w14:paraId="313A0833" w14:textId="6DA34866" w:rsidR="00A91966" w:rsidRPr="00A91966" w:rsidRDefault="00A91966" w:rsidP="00A91966">
      <w:pPr>
        <w:spacing w:line="200" w:lineRule="exact"/>
        <w:rPr>
          <w:sz w:val="16"/>
          <w:szCs w:val="16"/>
        </w:rPr>
      </w:pPr>
      <w:r w:rsidRPr="00A91966">
        <w:rPr>
          <w:sz w:val="16"/>
          <w:szCs w:val="16"/>
        </w:rPr>
        <w:t>Results</w:t>
      </w:r>
      <w:r w:rsidR="00162E95">
        <w:rPr>
          <w:sz w:val="16"/>
          <w:szCs w:val="16"/>
        </w:rPr>
        <w:t>=</w:t>
      </w:r>
      <w:r w:rsidRPr="00A91966">
        <w:rPr>
          <w:sz w:val="16"/>
          <w:szCs w:val="16"/>
        </w:rPr>
        <w:t>22 (1 related to sociodemographics of smoking in pregnancy – but no exercise/activity included.)</w:t>
      </w:r>
    </w:p>
    <w:p w14:paraId="1A594912" w14:textId="77777777" w:rsidR="00A91966" w:rsidRPr="00A91966" w:rsidRDefault="00A91966" w:rsidP="00A91966">
      <w:pPr>
        <w:spacing w:line="200" w:lineRule="exact"/>
        <w:rPr>
          <w:sz w:val="16"/>
          <w:szCs w:val="16"/>
        </w:rPr>
      </w:pPr>
      <w:r w:rsidRPr="00A91966">
        <w:rPr>
          <w:sz w:val="16"/>
          <w:szCs w:val="16"/>
        </w:rPr>
        <w:t>Exercise</w:t>
      </w:r>
    </w:p>
    <w:p w14:paraId="6E550862" w14:textId="79F192C9" w:rsidR="00A91966" w:rsidRPr="00A91966" w:rsidRDefault="00A91966" w:rsidP="00A91966">
      <w:pPr>
        <w:spacing w:line="200" w:lineRule="exact"/>
        <w:rPr>
          <w:sz w:val="16"/>
          <w:szCs w:val="16"/>
        </w:rPr>
      </w:pPr>
      <w:r w:rsidRPr="00A91966">
        <w:rPr>
          <w:sz w:val="16"/>
          <w:szCs w:val="16"/>
        </w:rPr>
        <w:t>1998 to 6/7/18</w:t>
      </w:r>
      <w:r w:rsidR="00162E95">
        <w:rPr>
          <w:sz w:val="16"/>
          <w:szCs w:val="16"/>
        </w:rPr>
        <w:t>=</w:t>
      </w:r>
      <w:r w:rsidRPr="00A91966">
        <w:rPr>
          <w:sz w:val="16"/>
          <w:szCs w:val="16"/>
        </w:rPr>
        <w:t>Results</w:t>
      </w:r>
      <w:r w:rsidR="00162E95">
        <w:rPr>
          <w:sz w:val="16"/>
          <w:szCs w:val="16"/>
        </w:rPr>
        <w:t>=</w:t>
      </w:r>
      <w:r w:rsidRPr="00A91966">
        <w:rPr>
          <w:sz w:val="16"/>
          <w:szCs w:val="16"/>
        </w:rPr>
        <w:t>0</w:t>
      </w:r>
    </w:p>
    <w:p w14:paraId="4F2F976E" w14:textId="77777777" w:rsidR="00A91966" w:rsidRPr="00A91966" w:rsidRDefault="00A91966" w:rsidP="008237A1">
      <w:pPr>
        <w:keepNext/>
        <w:spacing w:line="200" w:lineRule="exact"/>
        <w:rPr>
          <w:b/>
          <w:bCs/>
          <w:sz w:val="16"/>
          <w:szCs w:val="16"/>
        </w:rPr>
      </w:pPr>
      <w:r w:rsidRPr="00A91966">
        <w:rPr>
          <w:b/>
          <w:bCs/>
          <w:sz w:val="16"/>
          <w:szCs w:val="16"/>
        </w:rPr>
        <w:t>Cochrane Library</w:t>
      </w:r>
    </w:p>
    <w:tbl>
      <w:tblPr>
        <w:tblStyle w:val="TableGrid"/>
        <w:tblW w:w="0" w:type="auto"/>
        <w:tblLook w:val="04A0" w:firstRow="1" w:lastRow="0" w:firstColumn="1" w:lastColumn="0" w:noHBand="0" w:noVBand="1"/>
      </w:tblPr>
      <w:tblGrid>
        <w:gridCol w:w="746"/>
        <w:gridCol w:w="6337"/>
      </w:tblGrid>
      <w:tr w:rsidR="00A91966" w:rsidRPr="00A91966" w14:paraId="238D658B" w14:textId="77777777" w:rsidTr="004B3125">
        <w:tc>
          <w:tcPr>
            <w:tcW w:w="746" w:type="dxa"/>
          </w:tcPr>
          <w:p w14:paraId="6FD12C4D" w14:textId="77777777" w:rsidR="00A91966" w:rsidRPr="00A91966" w:rsidRDefault="00A91966" w:rsidP="00A91966">
            <w:pPr>
              <w:spacing w:line="200" w:lineRule="exact"/>
              <w:rPr>
                <w:sz w:val="16"/>
                <w:szCs w:val="16"/>
              </w:rPr>
            </w:pPr>
            <w:r w:rsidRPr="00A91966">
              <w:rPr>
                <w:sz w:val="16"/>
                <w:szCs w:val="16"/>
              </w:rPr>
              <w:t>#1</w:t>
            </w:r>
          </w:p>
        </w:tc>
        <w:tc>
          <w:tcPr>
            <w:tcW w:w="6337" w:type="dxa"/>
          </w:tcPr>
          <w:p w14:paraId="469D81E7" w14:textId="77777777" w:rsidR="00A91966" w:rsidRPr="00A91966" w:rsidRDefault="00A91966" w:rsidP="00A91966">
            <w:pPr>
              <w:spacing w:line="200" w:lineRule="exact"/>
              <w:rPr>
                <w:sz w:val="16"/>
                <w:szCs w:val="16"/>
              </w:rPr>
            </w:pPr>
            <w:r w:rsidRPr="00A91966">
              <w:rPr>
                <w:sz w:val="16"/>
                <w:szCs w:val="16"/>
              </w:rPr>
              <w:t>MeSH descriptor: [Pregnant Women] explode all trees</w:t>
            </w:r>
          </w:p>
        </w:tc>
      </w:tr>
      <w:tr w:rsidR="00A91966" w:rsidRPr="00A91966" w14:paraId="48D3A0D0" w14:textId="77777777" w:rsidTr="004B3125">
        <w:tc>
          <w:tcPr>
            <w:tcW w:w="746" w:type="dxa"/>
          </w:tcPr>
          <w:p w14:paraId="027D4B2F" w14:textId="77777777" w:rsidR="00A91966" w:rsidRPr="00A91966" w:rsidRDefault="00A91966" w:rsidP="00A91966">
            <w:pPr>
              <w:spacing w:line="200" w:lineRule="exact"/>
              <w:rPr>
                <w:sz w:val="16"/>
                <w:szCs w:val="16"/>
              </w:rPr>
            </w:pPr>
            <w:r w:rsidRPr="00A91966">
              <w:rPr>
                <w:sz w:val="16"/>
                <w:szCs w:val="16"/>
              </w:rPr>
              <w:t>#2</w:t>
            </w:r>
          </w:p>
        </w:tc>
        <w:tc>
          <w:tcPr>
            <w:tcW w:w="6337" w:type="dxa"/>
          </w:tcPr>
          <w:p w14:paraId="1BB9FAB5" w14:textId="77777777" w:rsidR="00A91966" w:rsidRPr="00A91966" w:rsidRDefault="00A91966" w:rsidP="00A91966">
            <w:pPr>
              <w:spacing w:line="200" w:lineRule="exact"/>
              <w:rPr>
                <w:sz w:val="16"/>
                <w:szCs w:val="16"/>
              </w:rPr>
            </w:pPr>
            <w:r w:rsidRPr="00A91966">
              <w:rPr>
                <w:sz w:val="16"/>
                <w:szCs w:val="16"/>
              </w:rPr>
              <w:t>MeSH descriptor: [Pregnancy] explode all trees</w:t>
            </w:r>
          </w:p>
        </w:tc>
      </w:tr>
      <w:tr w:rsidR="00A91966" w:rsidRPr="00A91966" w14:paraId="0AE10E4D" w14:textId="77777777" w:rsidTr="004B3125">
        <w:tc>
          <w:tcPr>
            <w:tcW w:w="746" w:type="dxa"/>
          </w:tcPr>
          <w:p w14:paraId="79CD18BC" w14:textId="77777777" w:rsidR="00A91966" w:rsidRPr="00A91966" w:rsidRDefault="00A91966" w:rsidP="00A91966">
            <w:pPr>
              <w:spacing w:line="200" w:lineRule="exact"/>
              <w:rPr>
                <w:sz w:val="16"/>
                <w:szCs w:val="16"/>
              </w:rPr>
            </w:pPr>
            <w:r w:rsidRPr="00A91966">
              <w:rPr>
                <w:sz w:val="16"/>
                <w:szCs w:val="16"/>
              </w:rPr>
              <w:t>#3</w:t>
            </w:r>
          </w:p>
        </w:tc>
        <w:tc>
          <w:tcPr>
            <w:tcW w:w="6337" w:type="dxa"/>
          </w:tcPr>
          <w:p w14:paraId="4C3AE7F2" w14:textId="77777777" w:rsidR="00A91966" w:rsidRPr="00A91966" w:rsidRDefault="00A91966" w:rsidP="00A91966">
            <w:pPr>
              <w:spacing w:line="200" w:lineRule="exact"/>
              <w:rPr>
                <w:sz w:val="16"/>
                <w:szCs w:val="16"/>
              </w:rPr>
            </w:pPr>
            <w:r w:rsidRPr="00A91966">
              <w:rPr>
                <w:sz w:val="16"/>
                <w:szCs w:val="16"/>
              </w:rPr>
              <w:t>Pregnancy</w:t>
            </w:r>
          </w:p>
        </w:tc>
      </w:tr>
      <w:tr w:rsidR="00A91966" w:rsidRPr="00A91966" w14:paraId="128B5E74" w14:textId="77777777" w:rsidTr="004B3125">
        <w:tc>
          <w:tcPr>
            <w:tcW w:w="746" w:type="dxa"/>
          </w:tcPr>
          <w:p w14:paraId="76EE5C36" w14:textId="77777777" w:rsidR="00A91966" w:rsidRPr="00A91966" w:rsidRDefault="00A91966" w:rsidP="00A91966">
            <w:pPr>
              <w:spacing w:line="200" w:lineRule="exact"/>
              <w:rPr>
                <w:sz w:val="16"/>
                <w:szCs w:val="16"/>
              </w:rPr>
            </w:pPr>
            <w:r w:rsidRPr="00A91966">
              <w:rPr>
                <w:sz w:val="16"/>
                <w:szCs w:val="16"/>
              </w:rPr>
              <w:t>#4</w:t>
            </w:r>
          </w:p>
        </w:tc>
        <w:tc>
          <w:tcPr>
            <w:tcW w:w="6337" w:type="dxa"/>
          </w:tcPr>
          <w:p w14:paraId="31548552" w14:textId="77777777" w:rsidR="00A91966" w:rsidRPr="00A91966" w:rsidRDefault="00A91966" w:rsidP="00A91966">
            <w:pPr>
              <w:spacing w:line="200" w:lineRule="exact"/>
              <w:rPr>
                <w:sz w:val="16"/>
                <w:szCs w:val="16"/>
              </w:rPr>
            </w:pPr>
            <w:r w:rsidRPr="00A91966">
              <w:rPr>
                <w:sz w:val="16"/>
                <w:szCs w:val="16"/>
              </w:rPr>
              <w:t>Exercise</w:t>
            </w:r>
          </w:p>
        </w:tc>
      </w:tr>
      <w:tr w:rsidR="00A91966" w:rsidRPr="00A91966" w14:paraId="027A8EBB" w14:textId="77777777" w:rsidTr="004B3125">
        <w:tc>
          <w:tcPr>
            <w:tcW w:w="746" w:type="dxa"/>
          </w:tcPr>
          <w:p w14:paraId="07B33C72" w14:textId="77777777" w:rsidR="00A91966" w:rsidRPr="00A91966" w:rsidRDefault="00A91966" w:rsidP="00A91966">
            <w:pPr>
              <w:spacing w:line="200" w:lineRule="exact"/>
              <w:rPr>
                <w:sz w:val="16"/>
                <w:szCs w:val="16"/>
              </w:rPr>
            </w:pPr>
            <w:r w:rsidRPr="00A91966">
              <w:rPr>
                <w:sz w:val="16"/>
                <w:szCs w:val="16"/>
              </w:rPr>
              <w:t>#5</w:t>
            </w:r>
          </w:p>
        </w:tc>
        <w:tc>
          <w:tcPr>
            <w:tcW w:w="6337" w:type="dxa"/>
          </w:tcPr>
          <w:p w14:paraId="02228CA7" w14:textId="77777777" w:rsidR="00A91966" w:rsidRPr="00A91966" w:rsidRDefault="00A91966" w:rsidP="00A91966">
            <w:pPr>
              <w:spacing w:line="200" w:lineRule="exact"/>
              <w:rPr>
                <w:sz w:val="16"/>
                <w:szCs w:val="16"/>
              </w:rPr>
            </w:pPr>
            <w:r w:rsidRPr="00A91966">
              <w:rPr>
                <w:sz w:val="16"/>
                <w:szCs w:val="16"/>
              </w:rPr>
              <w:t>MeSH descriptor: [Exercise] explode all trees</w:t>
            </w:r>
          </w:p>
        </w:tc>
      </w:tr>
      <w:tr w:rsidR="00A91966" w:rsidRPr="00A91966" w14:paraId="614D588A" w14:textId="77777777" w:rsidTr="004B3125">
        <w:tc>
          <w:tcPr>
            <w:tcW w:w="746" w:type="dxa"/>
          </w:tcPr>
          <w:p w14:paraId="32C247EC" w14:textId="77777777" w:rsidR="00A91966" w:rsidRPr="00A91966" w:rsidRDefault="00A91966" w:rsidP="00A91966">
            <w:pPr>
              <w:spacing w:line="200" w:lineRule="exact"/>
              <w:rPr>
                <w:sz w:val="16"/>
                <w:szCs w:val="16"/>
              </w:rPr>
            </w:pPr>
            <w:r w:rsidRPr="00A91966">
              <w:rPr>
                <w:sz w:val="16"/>
                <w:szCs w:val="16"/>
              </w:rPr>
              <w:t>#6</w:t>
            </w:r>
          </w:p>
        </w:tc>
        <w:tc>
          <w:tcPr>
            <w:tcW w:w="6337" w:type="dxa"/>
          </w:tcPr>
          <w:p w14:paraId="624DE4BF" w14:textId="77777777" w:rsidR="00A91966" w:rsidRPr="00A91966" w:rsidRDefault="00A91966" w:rsidP="00A91966">
            <w:pPr>
              <w:spacing w:line="200" w:lineRule="exact"/>
              <w:rPr>
                <w:sz w:val="16"/>
                <w:szCs w:val="16"/>
              </w:rPr>
            </w:pPr>
            <w:r w:rsidRPr="00A91966">
              <w:rPr>
                <w:sz w:val="16"/>
                <w:szCs w:val="16"/>
              </w:rPr>
              <w:t>(#1 OR #2 OR #3) AND (#4 OR #5)</w:t>
            </w:r>
          </w:p>
        </w:tc>
      </w:tr>
    </w:tbl>
    <w:p w14:paraId="6F4A8836" w14:textId="624B8A02" w:rsidR="00A91966" w:rsidRDefault="00A91966" w:rsidP="00A91966">
      <w:pPr>
        <w:spacing w:line="200" w:lineRule="exact"/>
        <w:rPr>
          <w:sz w:val="16"/>
          <w:szCs w:val="16"/>
        </w:rPr>
      </w:pPr>
      <w:r w:rsidRPr="00A91966">
        <w:rPr>
          <w:sz w:val="16"/>
          <w:szCs w:val="16"/>
        </w:rPr>
        <w:t>01/01/2016 to 17/08/2018</w:t>
      </w:r>
      <w:r w:rsidR="00162E95">
        <w:rPr>
          <w:sz w:val="16"/>
          <w:szCs w:val="16"/>
        </w:rPr>
        <w:t>=</w:t>
      </w:r>
      <w:r w:rsidRPr="00A91966">
        <w:rPr>
          <w:sz w:val="16"/>
          <w:szCs w:val="16"/>
        </w:rPr>
        <w:t>Review Results 88</w:t>
      </w:r>
    </w:p>
    <w:p w14:paraId="6F827E0D" w14:textId="2E731B1A" w:rsidR="00521CE4" w:rsidRPr="00A91966" w:rsidRDefault="00F21677" w:rsidP="00521CE4">
      <w:pPr>
        <w:pStyle w:val="Figure"/>
        <w:spacing w:before="240"/>
      </w:pPr>
      <w:r>
        <w:rPr>
          <w:noProof/>
          <w:lang w:val="en-AU" w:eastAsia="en-AU"/>
        </w:rPr>
        <w:drawing>
          <wp:inline distT="0" distB="0" distL="0" distR="0" wp14:anchorId="10E381A0" wp14:editId="5745EB46">
            <wp:extent cx="3212614" cy="5233986"/>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A.png"/>
                    <pic:cNvPicPr/>
                  </pic:nvPicPr>
                  <pic:blipFill>
                    <a:blip r:embed="rId34">
                      <a:extLst>
                        <a:ext uri="{28A0092B-C50C-407E-A947-70E740481C1C}">
                          <a14:useLocalDpi xmlns:a14="http://schemas.microsoft.com/office/drawing/2010/main" val="0"/>
                        </a:ext>
                      </a:extLst>
                    </a:blip>
                    <a:stretch>
                      <a:fillRect/>
                    </a:stretch>
                  </pic:blipFill>
                  <pic:spPr>
                    <a:xfrm>
                      <a:off x="0" y="0"/>
                      <a:ext cx="3228269" cy="5259491"/>
                    </a:xfrm>
                    <a:prstGeom prst="rect">
                      <a:avLst/>
                    </a:prstGeom>
                  </pic:spPr>
                </pic:pic>
              </a:graphicData>
            </a:graphic>
          </wp:inline>
        </w:drawing>
      </w:r>
    </w:p>
    <w:p w14:paraId="47A1B9C5" w14:textId="5E2D1706" w:rsidR="00A91966" w:rsidRDefault="00A91966" w:rsidP="00521CE4">
      <w:pPr>
        <w:pStyle w:val="Figurename"/>
      </w:pPr>
      <w:r>
        <w:t xml:space="preserve">PRISMA </w:t>
      </w:r>
      <w:r w:rsidR="00134324">
        <w:t>diagram: physical activity</w:t>
      </w:r>
    </w:p>
    <w:p w14:paraId="7ECAD858" w14:textId="77777777" w:rsidR="002D3EA8" w:rsidRPr="002D3EA8" w:rsidRDefault="00070998" w:rsidP="00642AD7">
      <w:pPr>
        <w:pStyle w:val="Heading4"/>
      </w:pPr>
      <w:bookmarkStart w:id="254" w:name="_Hlk2252165"/>
      <w:r w:rsidRPr="002D3EA8">
        <w:t>Physical activity top-up search</w:t>
      </w:r>
    </w:p>
    <w:p w14:paraId="3F9E4C68" w14:textId="4F63BB48" w:rsidR="00070998" w:rsidRDefault="002D3EA8" w:rsidP="00642AD7">
      <w:pPr>
        <w:keepNext/>
        <w:keepLines/>
        <w:spacing w:line="200" w:lineRule="exact"/>
        <w:rPr>
          <w:b/>
          <w:sz w:val="16"/>
          <w:szCs w:val="16"/>
        </w:rPr>
      </w:pPr>
      <w:r>
        <w:rPr>
          <w:b/>
          <w:sz w:val="16"/>
          <w:szCs w:val="16"/>
        </w:rPr>
        <w:t>Search date</w:t>
      </w:r>
      <w:r w:rsidR="00070998" w:rsidRPr="00A46B38">
        <w:rPr>
          <w:b/>
          <w:sz w:val="16"/>
          <w:szCs w:val="16"/>
        </w:rPr>
        <w:t>: 12 March 2020</w:t>
      </w:r>
    </w:p>
    <w:p w14:paraId="7AD8E4CA" w14:textId="1B087C72" w:rsidR="002807D7" w:rsidRDefault="00642AD7" w:rsidP="002807D7">
      <w:pPr>
        <w:pStyle w:val="Figure"/>
      </w:pPr>
      <w:r>
        <w:rPr>
          <w:noProof/>
          <w:lang w:val="en-AU" w:eastAsia="en-AU"/>
        </w:rPr>
        <w:drawing>
          <wp:inline distT="0" distB="0" distL="0" distR="0" wp14:anchorId="2F9AE214" wp14:editId="46EE4AC4">
            <wp:extent cx="4119220" cy="41783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a topup.png"/>
                    <pic:cNvPicPr/>
                  </pic:nvPicPr>
                  <pic:blipFill>
                    <a:blip r:embed="rId35">
                      <a:extLst>
                        <a:ext uri="{28A0092B-C50C-407E-A947-70E740481C1C}">
                          <a14:useLocalDpi xmlns:a14="http://schemas.microsoft.com/office/drawing/2010/main" val="0"/>
                        </a:ext>
                      </a:extLst>
                    </a:blip>
                    <a:stretch>
                      <a:fillRect/>
                    </a:stretch>
                  </pic:blipFill>
                  <pic:spPr>
                    <a:xfrm>
                      <a:off x="0" y="0"/>
                      <a:ext cx="4125646" cy="4184818"/>
                    </a:xfrm>
                    <a:prstGeom prst="rect">
                      <a:avLst/>
                    </a:prstGeom>
                  </pic:spPr>
                </pic:pic>
              </a:graphicData>
            </a:graphic>
          </wp:inline>
        </w:drawing>
      </w:r>
    </w:p>
    <w:p w14:paraId="6DCE02F4" w14:textId="1354484C" w:rsidR="002807D7" w:rsidRDefault="002807D7" w:rsidP="002807D7">
      <w:pPr>
        <w:pStyle w:val="Figurename"/>
      </w:pPr>
      <w:r>
        <w:t>PRISMA diagram: Physical activity top-up</w:t>
      </w:r>
    </w:p>
    <w:p w14:paraId="2A37F27F" w14:textId="77777777" w:rsidR="0005021E" w:rsidRDefault="0005021E" w:rsidP="006B786F">
      <w:pPr>
        <w:pStyle w:val="Heading3"/>
        <w:numPr>
          <w:ilvl w:val="0"/>
          <w:numId w:val="0"/>
        </w:numPr>
      </w:pPr>
      <w:bookmarkStart w:id="255" w:name="_Toc40956557"/>
      <w:r>
        <w:t>Weight assessment and management</w:t>
      </w:r>
      <w:bookmarkEnd w:id="255"/>
    </w:p>
    <w:p w14:paraId="6BA55D55" w14:textId="3F5ECBE7" w:rsidR="00287FFA" w:rsidRPr="00287FFA" w:rsidRDefault="00287FFA" w:rsidP="006B786F">
      <w:pPr>
        <w:pStyle w:val="Heading4"/>
      </w:pPr>
      <w:r>
        <w:t>Gestational weight g</w:t>
      </w:r>
      <w:r w:rsidRPr="00287FFA">
        <w:t>ain</w:t>
      </w:r>
      <w:r w:rsidR="000D04A0">
        <w:t xml:space="preserve"> (research question 7)</w:t>
      </w:r>
    </w:p>
    <w:p w14:paraId="41FA7AC4" w14:textId="77777777" w:rsidR="00287FFA" w:rsidRDefault="00287FFA" w:rsidP="006B786F">
      <w:pPr>
        <w:keepNext/>
      </w:pPr>
      <w:r>
        <w:t>Citation for search strategy used (partial):</w:t>
      </w:r>
    </w:p>
    <w:p w14:paraId="414498D4" w14:textId="77777777" w:rsidR="00287FFA" w:rsidRPr="004A373D" w:rsidRDefault="00287FFA" w:rsidP="00287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lang w:eastAsia="en-AU"/>
        </w:rPr>
      </w:pPr>
      <w:r w:rsidRPr="004A373D">
        <w:rPr>
          <w:rFonts w:eastAsia="Times New Roman" w:cstheme="minorHAnsi"/>
          <w:color w:val="000000"/>
          <w:lang w:eastAsia="en-AU"/>
        </w:rPr>
        <w:t xml:space="preserve">Goldstein RF, Abell SK, Ranasinha S, Misso ML, Boyle JA, Harrison CL, Black MH, Li N, Hu G, Corrado F, Hegaard H, Kim YJ, Haugen M, Song WO, Kim MH, Bogaerts A, Devlieger R, Chung JH, Teede HJ. </w:t>
      </w:r>
      <w:r w:rsidRPr="004A373D">
        <w:rPr>
          <w:rFonts w:eastAsia="Times New Roman" w:cstheme="minorHAnsi"/>
          <w:b/>
          <w:color w:val="000000"/>
          <w:lang w:eastAsia="en-AU"/>
        </w:rPr>
        <w:t>Gestational weight gain across continents and ethnicity: systematic review and meta-analysis of maternal and infant outcomes in more than one million women.</w:t>
      </w:r>
      <w:r w:rsidRPr="004A373D">
        <w:rPr>
          <w:rFonts w:eastAsia="Times New Roman" w:cstheme="minorHAnsi"/>
          <w:color w:val="000000"/>
          <w:lang w:eastAsia="en-AU"/>
        </w:rPr>
        <w:t xml:space="preserve"> BMC Med. 2018 Aug 31;16(1):153. </w:t>
      </w:r>
    </w:p>
    <w:p w14:paraId="661DF364" w14:textId="77777777" w:rsidR="00287FFA" w:rsidRDefault="00287FFA" w:rsidP="00134324">
      <w:pPr>
        <w:keepNext/>
        <w:rPr>
          <w:b/>
        </w:rPr>
      </w:pPr>
      <w:r>
        <w:rPr>
          <w:b/>
        </w:rPr>
        <w:t>Current search dates:</w:t>
      </w:r>
    </w:p>
    <w:p w14:paraId="260F3033" w14:textId="77777777" w:rsidR="00287FFA" w:rsidRPr="00196D36" w:rsidRDefault="00287FFA" w:rsidP="00134324">
      <w:pPr>
        <w:keepNext/>
      </w:pPr>
      <w:r>
        <w:t>2014-9-Apr-19</w:t>
      </w:r>
    </w:p>
    <w:tbl>
      <w:tblPr>
        <w:tblStyle w:val="TableGrid"/>
        <w:tblW w:w="8929" w:type="dxa"/>
        <w:tblLook w:val="04A0" w:firstRow="1" w:lastRow="0" w:firstColumn="1" w:lastColumn="0" w:noHBand="0" w:noVBand="1"/>
      </w:tblPr>
      <w:tblGrid>
        <w:gridCol w:w="1077"/>
        <w:gridCol w:w="3031"/>
        <w:gridCol w:w="1703"/>
        <w:gridCol w:w="1067"/>
        <w:gridCol w:w="875"/>
        <w:gridCol w:w="1176"/>
      </w:tblGrid>
      <w:tr w:rsidR="00287FFA" w:rsidRPr="008E2073" w14:paraId="153B6968" w14:textId="77777777" w:rsidTr="008E2073">
        <w:trPr>
          <w:tblHeader/>
        </w:trPr>
        <w:tc>
          <w:tcPr>
            <w:tcW w:w="1077" w:type="dxa"/>
            <w:shd w:val="clear" w:color="auto" w:fill="auto"/>
          </w:tcPr>
          <w:p w14:paraId="2FB8EB72" w14:textId="77777777" w:rsidR="00287FFA" w:rsidRPr="008E2073" w:rsidRDefault="00287FFA" w:rsidP="00134324">
            <w:pPr>
              <w:pStyle w:val="RCTstable"/>
              <w:keepNext/>
              <w:rPr>
                <w:b/>
              </w:rPr>
            </w:pPr>
            <w:r w:rsidRPr="008E2073">
              <w:rPr>
                <w:b/>
              </w:rPr>
              <w:t>Database</w:t>
            </w:r>
          </w:p>
        </w:tc>
        <w:tc>
          <w:tcPr>
            <w:tcW w:w="3031" w:type="dxa"/>
            <w:shd w:val="clear" w:color="auto" w:fill="auto"/>
          </w:tcPr>
          <w:p w14:paraId="642D42DD" w14:textId="77777777" w:rsidR="00287FFA" w:rsidRPr="008E2073" w:rsidRDefault="00287FFA" w:rsidP="00134324">
            <w:pPr>
              <w:pStyle w:val="RCTstable"/>
              <w:keepNext/>
              <w:rPr>
                <w:b/>
              </w:rPr>
            </w:pPr>
            <w:r w:rsidRPr="008E2073">
              <w:rPr>
                <w:b/>
              </w:rPr>
              <w:t>Search Strategy</w:t>
            </w:r>
          </w:p>
        </w:tc>
        <w:tc>
          <w:tcPr>
            <w:tcW w:w="1703" w:type="dxa"/>
            <w:shd w:val="clear" w:color="auto" w:fill="auto"/>
          </w:tcPr>
          <w:p w14:paraId="376AF8F2" w14:textId="77777777" w:rsidR="00287FFA" w:rsidRPr="008E2073" w:rsidRDefault="00287FFA" w:rsidP="00134324">
            <w:pPr>
              <w:pStyle w:val="RCTstable"/>
              <w:keepNext/>
              <w:rPr>
                <w:b/>
              </w:rPr>
            </w:pPr>
            <w:r w:rsidRPr="008E2073">
              <w:rPr>
                <w:b/>
              </w:rPr>
              <w:t>Dates Searched</w:t>
            </w:r>
          </w:p>
        </w:tc>
        <w:tc>
          <w:tcPr>
            <w:tcW w:w="1067" w:type="dxa"/>
            <w:shd w:val="clear" w:color="auto" w:fill="auto"/>
          </w:tcPr>
          <w:p w14:paraId="1DDD1B88" w14:textId="77777777" w:rsidR="00287FFA" w:rsidRPr="008E2073" w:rsidRDefault="00287FFA" w:rsidP="00134324">
            <w:pPr>
              <w:pStyle w:val="RCTstable"/>
              <w:keepNext/>
              <w:rPr>
                <w:b/>
              </w:rPr>
            </w:pPr>
            <w:r w:rsidRPr="008E2073">
              <w:rPr>
                <w:b/>
              </w:rPr>
              <w:t>Limits set</w:t>
            </w:r>
          </w:p>
        </w:tc>
        <w:tc>
          <w:tcPr>
            <w:tcW w:w="875" w:type="dxa"/>
            <w:shd w:val="clear" w:color="auto" w:fill="auto"/>
          </w:tcPr>
          <w:p w14:paraId="4675EC0D" w14:textId="77777777" w:rsidR="00287FFA" w:rsidRPr="008E2073" w:rsidRDefault="00287FFA" w:rsidP="00134324">
            <w:pPr>
              <w:pStyle w:val="RCTstable"/>
              <w:keepNext/>
              <w:rPr>
                <w:b/>
              </w:rPr>
            </w:pPr>
            <w:r w:rsidRPr="008E2073">
              <w:rPr>
                <w:b/>
              </w:rPr>
              <w:t>Results</w:t>
            </w:r>
          </w:p>
        </w:tc>
        <w:tc>
          <w:tcPr>
            <w:tcW w:w="1176" w:type="dxa"/>
            <w:shd w:val="clear" w:color="auto" w:fill="auto"/>
          </w:tcPr>
          <w:p w14:paraId="34ED78AE" w14:textId="77777777" w:rsidR="00287FFA" w:rsidRPr="008E2073" w:rsidRDefault="00287FFA" w:rsidP="00134324">
            <w:pPr>
              <w:pStyle w:val="RCTstable"/>
              <w:keepNext/>
              <w:rPr>
                <w:b/>
              </w:rPr>
            </w:pPr>
            <w:r w:rsidRPr="008E2073">
              <w:rPr>
                <w:b/>
              </w:rPr>
              <w:t>Date of search</w:t>
            </w:r>
          </w:p>
        </w:tc>
      </w:tr>
      <w:tr w:rsidR="00287FFA" w:rsidRPr="00E92B5F" w14:paraId="5FC8D9D8" w14:textId="77777777" w:rsidTr="00287FFA">
        <w:tc>
          <w:tcPr>
            <w:tcW w:w="1077" w:type="dxa"/>
            <w:shd w:val="clear" w:color="auto" w:fill="auto"/>
          </w:tcPr>
          <w:p w14:paraId="2347651E" w14:textId="77777777" w:rsidR="00287FFA" w:rsidRPr="00E92B5F" w:rsidRDefault="00287FFA" w:rsidP="008E2073">
            <w:pPr>
              <w:pStyle w:val="RCTstable"/>
            </w:pPr>
            <w:r w:rsidRPr="00E92B5F">
              <w:t>Pubmed</w:t>
            </w:r>
          </w:p>
        </w:tc>
        <w:tc>
          <w:tcPr>
            <w:tcW w:w="3031" w:type="dxa"/>
            <w:shd w:val="clear" w:color="auto" w:fill="auto"/>
          </w:tcPr>
          <w:p w14:paraId="04FEFB6E" w14:textId="77777777" w:rsidR="00287FFA" w:rsidRPr="00E92B5F" w:rsidRDefault="00287FFA" w:rsidP="008E2073">
            <w:pPr>
              <w:pStyle w:val="RCTstable"/>
            </w:pPr>
            <w:r w:rsidRPr="00E92B5F">
              <w:t>(("Weight Gain"[Mesh]) OR (("weight" w1 ("gain" OR "change")))) AND (("pregnancy"[Mesh]) OR ("Pregnan*" OR "Gestation*"))</w:t>
            </w:r>
          </w:p>
        </w:tc>
        <w:tc>
          <w:tcPr>
            <w:tcW w:w="1703" w:type="dxa"/>
            <w:shd w:val="clear" w:color="auto" w:fill="auto"/>
          </w:tcPr>
          <w:p w14:paraId="45006209" w14:textId="77777777" w:rsidR="00287FFA" w:rsidRPr="00E92B5F" w:rsidRDefault="00287FFA" w:rsidP="008E2073">
            <w:pPr>
              <w:pStyle w:val="RCTstable"/>
            </w:pPr>
            <w:r w:rsidRPr="00E92B5F">
              <w:t>1-Jan-2014 to 31-Dec-2019</w:t>
            </w:r>
          </w:p>
        </w:tc>
        <w:tc>
          <w:tcPr>
            <w:tcW w:w="1067" w:type="dxa"/>
            <w:shd w:val="clear" w:color="auto" w:fill="auto"/>
          </w:tcPr>
          <w:p w14:paraId="3ABDBA27" w14:textId="77777777" w:rsidR="00287FFA" w:rsidRPr="00E92B5F" w:rsidRDefault="00287FFA" w:rsidP="008E2073">
            <w:pPr>
              <w:pStyle w:val="RCTstable"/>
            </w:pPr>
            <w:r w:rsidRPr="00E92B5F">
              <w:t>Human</w:t>
            </w:r>
          </w:p>
        </w:tc>
        <w:tc>
          <w:tcPr>
            <w:tcW w:w="875" w:type="dxa"/>
            <w:shd w:val="clear" w:color="auto" w:fill="auto"/>
          </w:tcPr>
          <w:p w14:paraId="1B9B3D91" w14:textId="77777777" w:rsidR="00287FFA" w:rsidRPr="00E92B5F" w:rsidRDefault="00287FFA" w:rsidP="008E2073">
            <w:pPr>
              <w:pStyle w:val="RCTstable"/>
            </w:pPr>
            <w:r w:rsidRPr="00E92B5F">
              <w:t>1378</w:t>
            </w:r>
          </w:p>
        </w:tc>
        <w:tc>
          <w:tcPr>
            <w:tcW w:w="1176" w:type="dxa"/>
            <w:shd w:val="clear" w:color="auto" w:fill="auto"/>
          </w:tcPr>
          <w:p w14:paraId="2D959D86" w14:textId="77777777" w:rsidR="00287FFA" w:rsidRPr="00E92B5F" w:rsidRDefault="00287FFA" w:rsidP="008E2073">
            <w:pPr>
              <w:pStyle w:val="RCTstable"/>
            </w:pPr>
            <w:r w:rsidRPr="00E92B5F">
              <w:t>9-Apr-19</w:t>
            </w:r>
          </w:p>
        </w:tc>
      </w:tr>
      <w:tr w:rsidR="00287FFA" w:rsidRPr="00E92B5F" w14:paraId="4F8E60F4" w14:textId="77777777" w:rsidTr="00287FFA">
        <w:tc>
          <w:tcPr>
            <w:tcW w:w="1077" w:type="dxa"/>
            <w:shd w:val="clear" w:color="auto" w:fill="auto"/>
          </w:tcPr>
          <w:p w14:paraId="375A2E34" w14:textId="77777777" w:rsidR="00287FFA" w:rsidRPr="00E92B5F" w:rsidRDefault="00287FFA" w:rsidP="008E2073">
            <w:pPr>
              <w:pStyle w:val="RCTstable"/>
            </w:pPr>
            <w:r w:rsidRPr="00E92B5F">
              <w:t>Ovid medline</w:t>
            </w:r>
          </w:p>
        </w:tc>
        <w:tc>
          <w:tcPr>
            <w:tcW w:w="3031" w:type="dxa"/>
            <w:shd w:val="clear" w:color="auto" w:fill="auto"/>
          </w:tcPr>
          <w:p w14:paraId="19AB489A" w14:textId="77777777" w:rsidR="00287FFA" w:rsidRPr="00E92B5F" w:rsidRDefault="00287FFA" w:rsidP="008E2073">
            <w:pPr>
              <w:pStyle w:val="RCTstable"/>
              <w:rPr>
                <w:shd w:val="clear" w:color="auto" w:fill="F8F8F8"/>
              </w:rPr>
            </w:pPr>
            <w:r w:rsidRPr="00E92B5F">
              <w:rPr>
                <w:shd w:val="clear" w:color="auto" w:fill="F8F8F8"/>
              </w:rPr>
              <w:t>Weight Gain/ or (weight adj1 (Gain or Change)).mp.</w:t>
            </w:r>
          </w:p>
          <w:p w14:paraId="5B0CE8E7" w14:textId="77777777" w:rsidR="00287FFA" w:rsidRPr="00E92B5F" w:rsidRDefault="00287FFA" w:rsidP="008E2073">
            <w:pPr>
              <w:pStyle w:val="RCTstable"/>
              <w:rPr>
                <w:shd w:val="clear" w:color="auto" w:fill="FFFFFF"/>
              </w:rPr>
            </w:pPr>
            <w:r w:rsidRPr="00E92B5F">
              <w:rPr>
                <w:shd w:val="clear" w:color="auto" w:fill="FFFFFF"/>
              </w:rPr>
              <w:t>AND</w:t>
            </w:r>
          </w:p>
          <w:p w14:paraId="194FBF29" w14:textId="77777777" w:rsidR="00287FFA" w:rsidRPr="00E92B5F" w:rsidRDefault="00287FFA" w:rsidP="008E2073">
            <w:pPr>
              <w:pStyle w:val="RCTstable"/>
              <w:rPr>
                <w:shd w:val="clear" w:color="auto" w:fill="FFFFFF"/>
              </w:rPr>
            </w:pPr>
            <w:r w:rsidRPr="00E92B5F">
              <w:rPr>
                <w:shd w:val="clear" w:color="auto" w:fill="FFFFFF"/>
              </w:rPr>
              <w:t>Pregnancy/ or Pregnan*.mp. or Gestation*.mp. </w:t>
            </w:r>
          </w:p>
        </w:tc>
        <w:tc>
          <w:tcPr>
            <w:tcW w:w="1703" w:type="dxa"/>
            <w:shd w:val="clear" w:color="auto" w:fill="auto"/>
          </w:tcPr>
          <w:p w14:paraId="2365482F" w14:textId="77777777" w:rsidR="00287FFA" w:rsidRPr="00E92B5F" w:rsidRDefault="00287FFA" w:rsidP="008E2073">
            <w:pPr>
              <w:pStyle w:val="RCTstable"/>
            </w:pPr>
            <w:r w:rsidRPr="00E92B5F">
              <w:t>2014-Current</w:t>
            </w:r>
          </w:p>
        </w:tc>
        <w:tc>
          <w:tcPr>
            <w:tcW w:w="1067" w:type="dxa"/>
            <w:shd w:val="clear" w:color="auto" w:fill="auto"/>
          </w:tcPr>
          <w:p w14:paraId="7F8F0711" w14:textId="77777777" w:rsidR="00287FFA" w:rsidRPr="00E92B5F" w:rsidRDefault="00287FFA" w:rsidP="008E2073">
            <w:pPr>
              <w:pStyle w:val="RCTstable"/>
            </w:pPr>
            <w:r w:rsidRPr="00E92B5F">
              <w:t>English Language</w:t>
            </w:r>
          </w:p>
          <w:p w14:paraId="2D0F08C5" w14:textId="77777777" w:rsidR="00287FFA" w:rsidRPr="00E92B5F" w:rsidRDefault="00287FFA" w:rsidP="008E2073">
            <w:pPr>
              <w:pStyle w:val="RCTstable"/>
            </w:pPr>
            <w:r w:rsidRPr="00E92B5F">
              <w:t>Human</w:t>
            </w:r>
          </w:p>
        </w:tc>
        <w:tc>
          <w:tcPr>
            <w:tcW w:w="875" w:type="dxa"/>
            <w:shd w:val="clear" w:color="auto" w:fill="auto"/>
          </w:tcPr>
          <w:p w14:paraId="34D02F21" w14:textId="77777777" w:rsidR="00287FFA" w:rsidRPr="00E92B5F" w:rsidRDefault="00287FFA" w:rsidP="008E2073">
            <w:pPr>
              <w:pStyle w:val="RCTstable"/>
            </w:pPr>
            <w:r w:rsidRPr="00E92B5F">
              <w:t>2348</w:t>
            </w:r>
          </w:p>
        </w:tc>
        <w:tc>
          <w:tcPr>
            <w:tcW w:w="1176" w:type="dxa"/>
            <w:shd w:val="clear" w:color="auto" w:fill="auto"/>
          </w:tcPr>
          <w:p w14:paraId="31ACDC5B" w14:textId="77777777" w:rsidR="00287FFA" w:rsidRPr="00E92B5F" w:rsidRDefault="00287FFA" w:rsidP="008E2073">
            <w:pPr>
              <w:pStyle w:val="RCTstable"/>
            </w:pPr>
            <w:r w:rsidRPr="00E92B5F">
              <w:t>9-Apr-19</w:t>
            </w:r>
          </w:p>
        </w:tc>
      </w:tr>
      <w:tr w:rsidR="00287FFA" w:rsidRPr="00E92B5F" w14:paraId="5A9BA6A7" w14:textId="77777777" w:rsidTr="008E2073">
        <w:trPr>
          <w:cantSplit/>
        </w:trPr>
        <w:tc>
          <w:tcPr>
            <w:tcW w:w="1077" w:type="dxa"/>
            <w:shd w:val="clear" w:color="auto" w:fill="auto"/>
          </w:tcPr>
          <w:p w14:paraId="242A5EF0" w14:textId="77777777" w:rsidR="00287FFA" w:rsidRPr="00E92B5F" w:rsidRDefault="00287FFA" w:rsidP="008E2073">
            <w:pPr>
              <w:pStyle w:val="RCTstable"/>
            </w:pPr>
            <w:r w:rsidRPr="00E92B5F">
              <w:t>Embase</w:t>
            </w:r>
            <w:r>
              <w:t>*</w:t>
            </w:r>
          </w:p>
        </w:tc>
        <w:tc>
          <w:tcPr>
            <w:tcW w:w="3031" w:type="dxa"/>
            <w:shd w:val="clear" w:color="auto" w:fill="auto"/>
          </w:tcPr>
          <w:p w14:paraId="0888DF0E" w14:textId="77777777" w:rsidR="00287FFA" w:rsidRPr="00AE33E0" w:rsidRDefault="00287FFA" w:rsidP="008E2073">
            <w:pPr>
              <w:pStyle w:val="RCTstable"/>
            </w:pPr>
            <w:r w:rsidRPr="00AE33E0">
              <w:t>(</w:t>
            </w:r>
            <w:r w:rsidRPr="00AE33E0">
              <w:rPr>
                <w:rFonts w:eastAsiaTheme="minorEastAsia"/>
              </w:rPr>
              <w:t>'gestational weight gain'</w:t>
            </w:r>
            <w:r w:rsidRPr="00AE33E0">
              <w:t>/exp OR (</w:t>
            </w:r>
            <w:r w:rsidRPr="00AE33E0">
              <w:rPr>
                <w:rFonts w:eastAsiaTheme="minorEastAsia"/>
              </w:rPr>
              <w:t>weight</w:t>
            </w:r>
            <w:r w:rsidRPr="00AE33E0">
              <w:t> NEXT/2 (</w:t>
            </w:r>
            <w:r w:rsidRPr="00AE33E0">
              <w:rPr>
                <w:rFonts w:eastAsiaTheme="minorEastAsia"/>
              </w:rPr>
              <w:t>change</w:t>
            </w:r>
            <w:r w:rsidRPr="00AE33E0">
              <w:t> OR </w:t>
            </w:r>
            <w:r w:rsidRPr="00AE33E0">
              <w:rPr>
                <w:rFonts w:eastAsiaTheme="minorEastAsia"/>
              </w:rPr>
              <w:t>gain</w:t>
            </w:r>
            <w:r w:rsidRPr="00AE33E0">
              <w:t>))) AND (</w:t>
            </w:r>
            <w:r w:rsidRPr="00AE33E0">
              <w:rPr>
                <w:rFonts w:eastAsiaTheme="minorEastAsia"/>
              </w:rPr>
              <w:t>'pregnancy'</w:t>
            </w:r>
            <w:r w:rsidRPr="00AE33E0">
              <w:t>/exp OR </w:t>
            </w:r>
            <w:r w:rsidRPr="00AE33E0">
              <w:rPr>
                <w:rFonts w:eastAsiaTheme="minorEastAsia"/>
              </w:rPr>
              <w:t>pregnan*</w:t>
            </w:r>
            <w:r w:rsidRPr="00AE33E0">
              <w:t> OR </w:t>
            </w:r>
            <w:r w:rsidRPr="00AE33E0">
              <w:rPr>
                <w:rFonts w:eastAsiaTheme="minorEastAsia"/>
              </w:rPr>
              <w:t>gestat*</w:t>
            </w:r>
            <w:r w:rsidRPr="00AE33E0">
              <w:t>) AND [english]/lim AND [humans]/lim AND [2014-2019]/py</w:t>
            </w:r>
          </w:p>
        </w:tc>
        <w:tc>
          <w:tcPr>
            <w:tcW w:w="1703" w:type="dxa"/>
            <w:shd w:val="clear" w:color="auto" w:fill="auto"/>
          </w:tcPr>
          <w:p w14:paraId="05E1C29A" w14:textId="77777777" w:rsidR="00287FFA" w:rsidRPr="00E92B5F" w:rsidRDefault="00287FFA" w:rsidP="008E2073">
            <w:pPr>
              <w:pStyle w:val="RCTstable"/>
            </w:pPr>
            <w:r w:rsidRPr="00E92B5F">
              <w:t>2014-7-Apr-19</w:t>
            </w:r>
          </w:p>
        </w:tc>
        <w:tc>
          <w:tcPr>
            <w:tcW w:w="1067" w:type="dxa"/>
            <w:shd w:val="clear" w:color="auto" w:fill="auto"/>
          </w:tcPr>
          <w:p w14:paraId="40F34F5C" w14:textId="77777777" w:rsidR="00287FFA" w:rsidRPr="00E92B5F" w:rsidRDefault="00287FFA" w:rsidP="008E2073">
            <w:pPr>
              <w:pStyle w:val="RCTstable"/>
            </w:pPr>
            <w:r w:rsidRPr="00E92B5F">
              <w:t>English</w:t>
            </w:r>
          </w:p>
          <w:p w14:paraId="513845DA" w14:textId="77777777" w:rsidR="00287FFA" w:rsidRPr="00E92B5F" w:rsidRDefault="00287FFA" w:rsidP="008E2073">
            <w:pPr>
              <w:pStyle w:val="RCTstable"/>
            </w:pPr>
            <w:r w:rsidRPr="00E92B5F">
              <w:t>Human</w:t>
            </w:r>
          </w:p>
        </w:tc>
        <w:tc>
          <w:tcPr>
            <w:tcW w:w="875" w:type="dxa"/>
            <w:shd w:val="clear" w:color="auto" w:fill="auto"/>
          </w:tcPr>
          <w:p w14:paraId="76DC9655" w14:textId="77777777" w:rsidR="00287FFA" w:rsidRPr="00E92B5F" w:rsidRDefault="00287FFA" w:rsidP="008E2073">
            <w:pPr>
              <w:pStyle w:val="RCTstable"/>
            </w:pPr>
            <w:r w:rsidRPr="00E92B5F">
              <w:t>5942</w:t>
            </w:r>
          </w:p>
        </w:tc>
        <w:tc>
          <w:tcPr>
            <w:tcW w:w="1176" w:type="dxa"/>
            <w:shd w:val="clear" w:color="auto" w:fill="auto"/>
          </w:tcPr>
          <w:p w14:paraId="0780286E" w14:textId="77777777" w:rsidR="00287FFA" w:rsidRPr="00E92B5F" w:rsidRDefault="00287FFA" w:rsidP="008E2073">
            <w:pPr>
              <w:pStyle w:val="RCTstable"/>
            </w:pPr>
            <w:r w:rsidRPr="00E92B5F">
              <w:t>7-Apr-19</w:t>
            </w:r>
          </w:p>
        </w:tc>
      </w:tr>
      <w:tr w:rsidR="00287FFA" w:rsidRPr="00E92B5F" w14:paraId="51668F26" w14:textId="77777777" w:rsidTr="00287FFA">
        <w:tc>
          <w:tcPr>
            <w:tcW w:w="1077" w:type="dxa"/>
            <w:shd w:val="clear" w:color="auto" w:fill="auto"/>
          </w:tcPr>
          <w:p w14:paraId="20553255" w14:textId="77777777" w:rsidR="00287FFA" w:rsidRPr="00E92B5F" w:rsidRDefault="00287FFA" w:rsidP="008E2073">
            <w:pPr>
              <w:pStyle w:val="RCTstable"/>
            </w:pPr>
            <w:r w:rsidRPr="00E92B5F">
              <w:t>CINAHL</w:t>
            </w:r>
          </w:p>
        </w:tc>
        <w:tc>
          <w:tcPr>
            <w:tcW w:w="3031" w:type="dxa"/>
            <w:shd w:val="clear" w:color="auto" w:fill="auto"/>
          </w:tcPr>
          <w:p w14:paraId="7F789C4D" w14:textId="77777777" w:rsidR="00287FFA" w:rsidRPr="00E92B5F" w:rsidRDefault="00287FFA" w:rsidP="008E2073">
            <w:pPr>
              <w:pStyle w:val="RCTstable"/>
            </w:pPr>
            <w:r w:rsidRPr="00E92B5F">
              <w:rPr>
                <w:shd w:val="clear" w:color="auto" w:fill="FFFFFF"/>
              </w:rPr>
              <w:t>"TX ( ((MM "Gestational Weight Gain") OR ("weight" W1 ("change" OR "gain")) ) AND TX ( ((MH "Pregnancy+") OR (MH "Pregnancy Trimesters+") OR (MM "Prenatal Nutritional Physiology") OR (MM "Prenatal Exposure Delayed Effects") OR ("Pregnan*") OR (Gestation*)) ) Published Date: 20140101-20191231; Human on 2019-04-06 11:48 PM"</w:t>
            </w:r>
          </w:p>
        </w:tc>
        <w:tc>
          <w:tcPr>
            <w:tcW w:w="1703" w:type="dxa"/>
            <w:shd w:val="clear" w:color="auto" w:fill="auto"/>
          </w:tcPr>
          <w:p w14:paraId="5111235E" w14:textId="77777777" w:rsidR="00287FFA" w:rsidRPr="00E92B5F" w:rsidRDefault="00287FFA" w:rsidP="008E2073">
            <w:pPr>
              <w:pStyle w:val="RCTstable"/>
            </w:pPr>
            <w:r w:rsidRPr="00E92B5F">
              <w:t>Jan-2014-7-Apr-19</w:t>
            </w:r>
          </w:p>
        </w:tc>
        <w:tc>
          <w:tcPr>
            <w:tcW w:w="1067" w:type="dxa"/>
            <w:shd w:val="clear" w:color="auto" w:fill="auto"/>
          </w:tcPr>
          <w:p w14:paraId="1986AE7C" w14:textId="77777777" w:rsidR="00287FFA" w:rsidRPr="00E92B5F" w:rsidRDefault="00287FFA" w:rsidP="008E2073">
            <w:pPr>
              <w:pStyle w:val="RCTstable"/>
            </w:pPr>
            <w:r w:rsidRPr="00E92B5F">
              <w:t xml:space="preserve">English </w:t>
            </w:r>
          </w:p>
          <w:p w14:paraId="5EE07CA6" w14:textId="77777777" w:rsidR="00287FFA" w:rsidRPr="00E92B5F" w:rsidRDefault="00287FFA" w:rsidP="008E2073">
            <w:pPr>
              <w:pStyle w:val="RCTstable"/>
            </w:pPr>
            <w:r w:rsidRPr="00E92B5F">
              <w:t>Human</w:t>
            </w:r>
          </w:p>
        </w:tc>
        <w:tc>
          <w:tcPr>
            <w:tcW w:w="875" w:type="dxa"/>
            <w:shd w:val="clear" w:color="auto" w:fill="auto"/>
          </w:tcPr>
          <w:p w14:paraId="651ACF95" w14:textId="77777777" w:rsidR="00287FFA" w:rsidRPr="00E92B5F" w:rsidRDefault="00287FFA" w:rsidP="008E2073">
            <w:pPr>
              <w:pStyle w:val="RCTstable"/>
            </w:pPr>
            <w:r w:rsidRPr="00E92B5F">
              <w:t>1916</w:t>
            </w:r>
          </w:p>
        </w:tc>
        <w:tc>
          <w:tcPr>
            <w:tcW w:w="1176" w:type="dxa"/>
            <w:shd w:val="clear" w:color="auto" w:fill="auto"/>
          </w:tcPr>
          <w:p w14:paraId="509A7AD1" w14:textId="77777777" w:rsidR="00287FFA" w:rsidRPr="00E92B5F" w:rsidRDefault="00287FFA" w:rsidP="008E2073">
            <w:pPr>
              <w:pStyle w:val="RCTstable"/>
            </w:pPr>
            <w:r w:rsidRPr="00E92B5F">
              <w:t>7-Apr-19</w:t>
            </w:r>
          </w:p>
        </w:tc>
      </w:tr>
      <w:tr w:rsidR="00287FFA" w:rsidRPr="00E92B5F" w14:paraId="1775AC1D" w14:textId="77777777" w:rsidTr="00287FFA">
        <w:tc>
          <w:tcPr>
            <w:tcW w:w="1077" w:type="dxa"/>
            <w:shd w:val="clear" w:color="auto" w:fill="auto"/>
          </w:tcPr>
          <w:p w14:paraId="668E7BDF" w14:textId="77777777" w:rsidR="00287FFA" w:rsidRPr="00E92B5F" w:rsidRDefault="00287FFA" w:rsidP="008E2073">
            <w:pPr>
              <w:pStyle w:val="RCTstable"/>
            </w:pPr>
            <w:r w:rsidRPr="00E92B5F">
              <w:t>SCOPUS</w:t>
            </w:r>
            <w:r>
              <w:t>**</w:t>
            </w:r>
          </w:p>
        </w:tc>
        <w:tc>
          <w:tcPr>
            <w:tcW w:w="3031" w:type="dxa"/>
            <w:shd w:val="clear" w:color="auto" w:fill="auto"/>
          </w:tcPr>
          <w:p w14:paraId="0332F667" w14:textId="77777777" w:rsidR="00287FFA" w:rsidRPr="00E92B5F" w:rsidRDefault="00287FFA" w:rsidP="008E2073">
            <w:pPr>
              <w:pStyle w:val="RCTstable"/>
            </w:pPr>
            <w:r w:rsidRPr="00E92B5F">
              <w:t> ((TITLE-ABS-KEY((("Pregnan*") OR ("prenatal*") OR ("gestation*"))) AND TITLE-ABS-KEY((("Weight") W/1  (("gain") OR ("change"))))) AND PUBYEAR &gt; 2013) </w:t>
            </w:r>
          </w:p>
        </w:tc>
        <w:tc>
          <w:tcPr>
            <w:tcW w:w="1703" w:type="dxa"/>
            <w:shd w:val="clear" w:color="auto" w:fill="auto"/>
          </w:tcPr>
          <w:p w14:paraId="55237F78" w14:textId="77777777" w:rsidR="00287FFA" w:rsidRPr="00E92B5F" w:rsidRDefault="00287FFA" w:rsidP="008E2073">
            <w:pPr>
              <w:pStyle w:val="RCTstable"/>
            </w:pPr>
            <w:r w:rsidRPr="00E92B5F">
              <w:t>2014-2019</w:t>
            </w:r>
          </w:p>
        </w:tc>
        <w:tc>
          <w:tcPr>
            <w:tcW w:w="1067" w:type="dxa"/>
            <w:shd w:val="clear" w:color="auto" w:fill="auto"/>
          </w:tcPr>
          <w:p w14:paraId="4DDE0552" w14:textId="77777777" w:rsidR="00287FFA" w:rsidRPr="00E92B5F" w:rsidRDefault="00287FFA" w:rsidP="008E2073">
            <w:pPr>
              <w:pStyle w:val="RCTstable"/>
            </w:pPr>
            <w:r w:rsidRPr="00E92B5F">
              <w:t>Human</w:t>
            </w:r>
          </w:p>
          <w:p w14:paraId="597F0CC1" w14:textId="77777777" w:rsidR="00287FFA" w:rsidRPr="00E92B5F" w:rsidRDefault="00287FFA" w:rsidP="008E2073">
            <w:pPr>
              <w:pStyle w:val="RCTstable"/>
            </w:pPr>
            <w:r w:rsidRPr="00E92B5F">
              <w:t>English</w:t>
            </w:r>
          </w:p>
        </w:tc>
        <w:tc>
          <w:tcPr>
            <w:tcW w:w="875" w:type="dxa"/>
            <w:shd w:val="clear" w:color="auto" w:fill="auto"/>
          </w:tcPr>
          <w:p w14:paraId="7A192C84" w14:textId="77777777" w:rsidR="00287FFA" w:rsidRPr="00E92B5F" w:rsidRDefault="00287FFA" w:rsidP="008E2073">
            <w:pPr>
              <w:pStyle w:val="RCTstable"/>
            </w:pPr>
            <w:r w:rsidRPr="00E92B5F">
              <w:t>4151</w:t>
            </w:r>
          </w:p>
        </w:tc>
        <w:tc>
          <w:tcPr>
            <w:tcW w:w="1176" w:type="dxa"/>
            <w:shd w:val="clear" w:color="auto" w:fill="auto"/>
          </w:tcPr>
          <w:p w14:paraId="32CDAD14" w14:textId="77777777" w:rsidR="00287FFA" w:rsidRPr="00E92B5F" w:rsidRDefault="00287FFA" w:rsidP="008E2073">
            <w:pPr>
              <w:pStyle w:val="RCTstable"/>
            </w:pPr>
            <w:r w:rsidRPr="00E92B5F">
              <w:t>7-Apr-19</w:t>
            </w:r>
          </w:p>
        </w:tc>
      </w:tr>
      <w:tr w:rsidR="00287FFA" w:rsidRPr="00E92B5F" w14:paraId="042814C7" w14:textId="77777777" w:rsidTr="00287FFA">
        <w:tc>
          <w:tcPr>
            <w:tcW w:w="1077" w:type="dxa"/>
            <w:shd w:val="clear" w:color="auto" w:fill="auto"/>
          </w:tcPr>
          <w:p w14:paraId="185891D4" w14:textId="77777777" w:rsidR="00287FFA" w:rsidRPr="00E92B5F" w:rsidRDefault="00287FFA" w:rsidP="008E2073">
            <w:pPr>
              <w:pStyle w:val="RCTstable"/>
            </w:pPr>
            <w:r w:rsidRPr="00E92B5F">
              <w:t>Health Infonet</w:t>
            </w:r>
          </w:p>
        </w:tc>
        <w:tc>
          <w:tcPr>
            <w:tcW w:w="3031" w:type="dxa"/>
            <w:shd w:val="clear" w:color="auto" w:fill="auto"/>
          </w:tcPr>
          <w:p w14:paraId="18DF3BD3" w14:textId="77777777" w:rsidR="00287FFA" w:rsidRPr="00E92B5F" w:rsidRDefault="00287FFA" w:rsidP="008E2073">
            <w:pPr>
              <w:pStyle w:val="RCTstable"/>
            </w:pPr>
            <w:r w:rsidRPr="00E92B5F">
              <w:t>Pregnancy Weight</w:t>
            </w:r>
          </w:p>
        </w:tc>
        <w:tc>
          <w:tcPr>
            <w:tcW w:w="1703" w:type="dxa"/>
            <w:shd w:val="clear" w:color="auto" w:fill="auto"/>
          </w:tcPr>
          <w:p w14:paraId="4706BDE8" w14:textId="77777777" w:rsidR="00287FFA" w:rsidRPr="00E92B5F" w:rsidRDefault="00287FFA" w:rsidP="008E2073">
            <w:pPr>
              <w:pStyle w:val="RCTstable"/>
            </w:pPr>
            <w:r w:rsidRPr="00E92B5F">
              <w:t>2014-2019</w:t>
            </w:r>
          </w:p>
        </w:tc>
        <w:tc>
          <w:tcPr>
            <w:tcW w:w="1067" w:type="dxa"/>
            <w:shd w:val="clear" w:color="auto" w:fill="auto"/>
          </w:tcPr>
          <w:p w14:paraId="68B04638" w14:textId="77777777" w:rsidR="00287FFA" w:rsidRPr="00E92B5F" w:rsidRDefault="00287FFA" w:rsidP="008E2073">
            <w:pPr>
              <w:pStyle w:val="RCTstable"/>
            </w:pPr>
            <w:r w:rsidRPr="00E92B5F">
              <w:t>None</w:t>
            </w:r>
          </w:p>
        </w:tc>
        <w:tc>
          <w:tcPr>
            <w:tcW w:w="875" w:type="dxa"/>
            <w:shd w:val="clear" w:color="auto" w:fill="auto"/>
          </w:tcPr>
          <w:p w14:paraId="4D82C37C" w14:textId="77777777" w:rsidR="00287FFA" w:rsidRPr="00E92B5F" w:rsidRDefault="00287FFA" w:rsidP="008E2073">
            <w:pPr>
              <w:pStyle w:val="RCTstable"/>
            </w:pPr>
            <w:r w:rsidRPr="00E92B5F">
              <w:t>1</w:t>
            </w:r>
          </w:p>
        </w:tc>
        <w:tc>
          <w:tcPr>
            <w:tcW w:w="1176" w:type="dxa"/>
            <w:shd w:val="clear" w:color="auto" w:fill="auto"/>
          </w:tcPr>
          <w:p w14:paraId="2C925087" w14:textId="77777777" w:rsidR="00287FFA" w:rsidRPr="00E92B5F" w:rsidRDefault="00287FFA" w:rsidP="008E2073">
            <w:pPr>
              <w:pStyle w:val="RCTstable"/>
            </w:pPr>
            <w:r w:rsidRPr="00E92B5F">
              <w:t>8-Apr-19</w:t>
            </w:r>
          </w:p>
        </w:tc>
      </w:tr>
      <w:tr w:rsidR="00287FFA" w:rsidRPr="00E92B5F" w14:paraId="713D675B" w14:textId="77777777" w:rsidTr="00287FFA">
        <w:tc>
          <w:tcPr>
            <w:tcW w:w="1077" w:type="dxa"/>
            <w:shd w:val="clear" w:color="auto" w:fill="auto"/>
          </w:tcPr>
          <w:p w14:paraId="10B1BF95" w14:textId="77777777" w:rsidR="00287FFA" w:rsidRPr="00E92B5F" w:rsidRDefault="00287FFA" w:rsidP="008E2073">
            <w:pPr>
              <w:pStyle w:val="RCTstable"/>
            </w:pPr>
            <w:r w:rsidRPr="00E92B5F">
              <w:t>Cochrane</w:t>
            </w:r>
          </w:p>
        </w:tc>
        <w:tc>
          <w:tcPr>
            <w:tcW w:w="3031" w:type="dxa"/>
            <w:shd w:val="clear" w:color="auto" w:fill="auto"/>
          </w:tcPr>
          <w:p w14:paraId="581C78DF" w14:textId="32C1279F" w:rsidR="00287FFA" w:rsidRPr="00E92B5F" w:rsidRDefault="00287FFA" w:rsidP="008E2073">
            <w:pPr>
              <w:pStyle w:val="RCTstable"/>
            </w:pPr>
            <w:r w:rsidRPr="00E92B5F">
              <w:t>Date Run:</w:t>
            </w:r>
            <w:r w:rsidRPr="00E92B5F">
              <w:tab/>
              <w:t>09/04/2019 04:43:16</w:t>
            </w:r>
          </w:p>
          <w:p w14:paraId="5755E159" w14:textId="77777777" w:rsidR="00287FFA" w:rsidRPr="00E92B5F" w:rsidRDefault="00287FFA" w:rsidP="008E2073">
            <w:pPr>
              <w:pStyle w:val="RCTstable"/>
            </w:pPr>
            <w:r w:rsidRPr="00E92B5F">
              <w:t>ID</w:t>
            </w:r>
            <w:r w:rsidRPr="00E92B5F">
              <w:tab/>
              <w:t>Search</w:t>
            </w:r>
            <w:r w:rsidRPr="00E92B5F">
              <w:tab/>
              <w:t>Hits</w:t>
            </w:r>
          </w:p>
          <w:p w14:paraId="14B2EC93" w14:textId="77777777" w:rsidR="00287FFA" w:rsidRPr="00E92B5F" w:rsidRDefault="00287FFA" w:rsidP="008E2073">
            <w:pPr>
              <w:pStyle w:val="RCTstable"/>
            </w:pPr>
            <w:r w:rsidRPr="00E92B5F">
              <w:t>#1</w:t>
            </w:r>
            <w:r w:rsidRPr="00E92B5F">
              <w:tab/>
              <w:t>MeSH descriptor: [Pregnant Women] explode all trees</w:t>
            </w:r>
            <w:r w:rsidRPr="00E92B5F">
              <w:tab/>
              <w:t>200</w:t>
            </w:r>
          </w:p>
          <w:p w14:paraId="2F2A83B1" w14:textId="77777777" w:rsidR="00287FFA" w:rsidRPr="00E92B5F" w:rsidRDefault="00287FFA" w:rsidP="008E2073">
            <w:pPr>
              <w:pStyle w:val="RCTstable"/>
            </w:pPr>
            <w:r w:rsidRPr="00E92B5F">
              <w:t>#2</w:t>
            </w:r>
            <w:r w:rsidRPr="00E92B5F">
              <w:tab/>
              <w:t>MeSH descriptor: [Pregnancy] explode all trees</w:t>
            </w:r>
            <w:r w:rsidRPr="00E92B5F">
              <w:tab/>
              <w:t>7229</w:t>
            </w:r>
          </w:p>
          <w:p w14:paraId="0D0AF14D" w14:textId="77777777" w:rsidR="00287FFA" w:rsidRPr="00E92B5F" w:rsidRDefault="00287FFA" w:rsidP="008E2073">
            <w:pPr>
              <w:pStyle w:val="RCTstable"/>
            </w:pPr>
            <w:r w:rsidRPr="00E92B5F">
              <w:t>#3</w:t>
            </w:r>
            <w:r w:rsidRPr="00E92B5F">
              <w:tab/>
              <w:t>MeSH descriptor: [Pregnant Women] explode all trees</w:t>
            </w:r>
            <w:r w:rsidRPr="00E92B5F">
              <w:tab/>
              <w:t>200</w:t>
            </w:r>
          </w:p>
          <w:p w14:paraId="77D7BBD6" w14:textId="77777777" w:rsidR="00287FFA" w:rsidRPr="00E92B5F" w:rsidRDefault="00287FFA" w:rsidP="008E2073">
            <w:pPr>
              <w:pStyle w:val="RCTstable"/>
            </w:pPr>
            <w:r w:rsidRPr="00E92B5F">
              <w:t>#4</w:t>
            </w:r>
            <w:r w:rsidRPr="00E92B5F">
              <w:tab/>
              <w:t>#1 OR #2 OR #3 OR (Pregnan*)</w:t>
            </w:r>
            <w:r w:rsidRPr="00E92B5F">
              <w:tab/>
              <w:t>58956</w:t>
            </w:r>
          </w:p>
          <w:p w14:paraId="2A4DE8AB" w14:textId="77777777" w:rsidR="00287FFA" w:rsidRPr="00E92B5F" w:rsidRDefault="00287FFA" w:rsidP="008E2073">
            <w:pPr>
              <w:pStyle w:val="RCTstable"/>
            </w:pPr>
            <w:r w:rsidRPr="00E92B5F">
              <w:t>#5</w:t>
            </w:r>
            <w:r w:rsidRPr="00E92B5F">
              <w:tab/>
              <w:t>MeSH descriptor: [Body Weight Changes] explode all trees</w:t>
            </w:r>
            <w:r w:rsidRPr="00E92B5F">
              <w:tab/>
              <w:t>7655</w:t>
            </w:r>
          </w:p>
          <w:p w14:paraId="09E3BF91" w14:textId="77777777" w:rsidR="00287FFA" w:rsidRPr="00E92B5F" w:rsidRDefault="00287FFA" w:rsidP="008E2073">
            <w:pPr>
              <w:pStyle w:val="RCTstable"/>
            </w:pPr>
            <w:r w:rsidRPr="00E92B5F">
              <w:t>#6</w:t>
            </w:r>
            <w:r w:rsidRPr="00E92B5F">
              <w:tab/>
              <w:t>#5 OR (Weight NEAR/1 (Gain OR Change))</w:t>
            </w:r>
            <w:r w:rsidRPr="00E92B5F">
              <w:tab/>
              <w:t>18550</w:t>
            </w:r>
          </w:p>
          <w:p w14:paraId="0138D02E" w14:textId="77777777" w:rsidR="00287FFA" w:rsidRPr="00E92B5F" w:rsidRDefault="00287FFA" w:rsidP="008E2073">
            <w:pPr>
              <w:pStyle w:val="RCTstable"/>
            </w:pPr>
            <w:r w:rsidRPr="00E92B5F">
              <w:t>#7</w:t>
            </w:r>
            <w:r w:rsidRPr="00E92B5F">
              <w:tab/>
              <w:t>#4 AND #6 with Cochrane Library publication date Between Jan 2014 and Dec 2019</w:t>
            </w:r>
            <w:r w:rsidRPr="00E92B5F">
              <w:tab/>
              <w:t>1346</w:t>
            </w:r>
          </w:p>
        </w:tc>
        <w:tc>
          <w:tcPr>
            <w:tcW w:w="1703" w:type="dxa"/>
            <w:shd w:val="clear" w:color="auto" w:fill="auto"/>
          </w:tcPr>
          <w:p w14:paraId="7B973885" w14:textId="77777777" w:rsidR="00287FFA" w:rsidRPr="00E92B5F" w:rsidRDefault="00287FFA" w:rsidP="008E2073">
            <w:pPr>
              <w:pStyle w:val="RCTstable"/>
            </w:pPr>
            <w:r w:rsidRPr="00E92B5F">
              <w:t>Jan2014-Dec 2019</w:t>
            </w:r>
          </w:p>
        </w:tc>
        <w:tc>
          <w:tcPr>
            <w:tcW w:w="1067" w:type="dxa"/>
            <w:shd w:val="clear" w:color="auto" w:fill="auto"/>
          </w:tcPr>
          <w:p w14:paraId="73602EEA" w14:textId="77777777" w:rsidR="00287FFA" w:rsidRPr="00E92B5F" w:rsidRDefault="00287FFA" w:rsidP="008E2073">
            <w:pPr>
              <w:pStyle w:val="RCTstable"/>
            </w:pPr>
            <w:r w:rsidRPr="00E92B5F">
              <w:t>None</w:t>
            </w:r>
          </w:p>
        </w:tc>
        <w:tc>
          <w:tcPr>
            <w:tcW w:w="875" w:type="dxa"/>
            <w:shd w:val="clear" w:color="auto" w:fill="auto"/>
          </w:tcPr>
          <w:p w14:paraId="4BF4C244" w14:textId="77777777" w:rsidR="00287FFA" w:rsidRPr="00E92B5F" w:rsidRDefault="00287FFA" w:rsidP="008E2073">
            <w:pPr>
              <w:pStyle w:val="RCTstable"/>
            </w:pPr>
            <w:r w:rsidRPr="00E92B5F">
              <w:t>1346</w:t>
            </w:r>
          </w:p>
        </w:tc>
        <w:tc>
          <w:tcPr>
            <w:tcW w:w="1176" w:type="dxa"/>
            <w:shd w:val="clear" w:color="auto" w:fill="auto"/>
          </w:tcPr>
          <w:p w14:paraId="07CD7CE7" w14:textId="77777777" w:rsidR="00287FFA" w:rsidRPr="00E92B5F" w:rsidRDefault="00287FFA" w:rsidP="008E2073">
            <w:pPr>
              <w:pStyle w:val="RCTstable"/>
            </w:pPr>
            <w:r w:rsidRPr="00E92B5F">
              <w:t>9-Apr-19</w:t>
            </w:r>
          </w:p>
        </w:tc>
      </w:tr>
    </w:tbl>
    <w:bookmarkEnd w:id="254"/>
    <w:p w14:paraId="04902355" w14:textId="1666E074" w:rsidR="006C4C79" w:rsidRDefault="0054774D" w:rsidP="0054774D">
      <w:pPr>
        <w:pStyle w:val="Figure"/>
        <w:jc w:val="center"/>
      </w:pPr>
      <w:r>
        <w:rPr>
          <w:noProof/>
          <w:lang w:val="en-AU" w:eastAsia="en-AU"/>
        </w:rPr>
        <w:drawing>
          <wp:inline distT="0" distB="0" distL="0" distR="0" wp14:anchorId="03BD6FDA" wp14:editId="796AA649">
            <wp:extent cx="3873553" cy="510818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eight change.png"/>
                    <pic:cNvPicPr/>
                  </pic:nvPicPr>
                  <pic:blipFill>
                    <a:blip r:embed="rId36">
                      <a:extLst>
                        <a:ext uri="{28A0092B-C50C-407E-A947-70E740481C1C}">
                          <a14:useLocalDpi xmlns:a14="http://schemas.microsoft.com/office/drawing/2010/main" val="0"/>
                        </a:ext>
                      </a:extLst>
                    </a:blip>
                    <a:stretch>
                      <a:fillRect/>
                    </a:stretch>
                  </pic:blipFill>
                  <pic:spPr>
                    <a:xfrm>
                      <a:off x="0" y="0"/>
                      <a:ext cx="3880332" cy="5117123"/>
                    </a:xfrm>
                    <a:prstGeom prst="rect">
                      <a:avLst/>
                    </a:prstGeom>
                  </pic:spPr>
                </pic:pic>
              </a:graphicData>
            </a:graphic>
          </wp:inline>
        </w:drawing>
      </w:r>
    </w:p>
    <w:p w14:paraId="7EE675B4" w14:textId="217AF184" w:rsidR="00287FFA" w:rsidRDefault="00287FFA" w:rsidP="006C4C79">
      <w:pPr>
        <w:pStyle w:val="Figurename"/>
      </w:pPr>
      <w:r>
        <w:t>PRISMA</w:t>
      </w:r>
      <w:r w:rsidR="006C4C79">
        <w:t xml:space="preserve"> diagram</w:t>
      </w:r>
      <w:r>
        <w:t>:</w:t>
      </w:r>
      <w:r w:rsidR="006C4C79">
        <w:t xml:space="preserve"> gestational weight gain</w:t>
      </w:r>
    </w:p>
    <w:p w14:paraId="0A4F724C" w14:textId="77777777" w:rsidR="00B01AF9" w:rsidRDefault="00B01AF9" w:rsidP="00B01AF9">
      <w:pPr>
        <w:pStyle w:val="Heading4"/>
      </w:pPr>
      <w:r>
        <w:t>Gestational weight gain top-up search</w:t>
      </w:r>
    </w:p>
    <w:p w14:paraId="3EB723BC" w14:textId="41BE1168" w:rsidR="00642AD7" w:rsidRDefault="00FC0478" w:rsidP="00642AD7">
      <w:pPr>
        <w:pStyle w:val="Figure"/>
      </w:pPr>
      <w:r>
        <w:rPr>
          <w:noProof/>
          <w:lang w:val="en-AU" w:eastAsia="en-AU"/>
        </w:rPr>
        <w:drawing>
          <wp:inline distT="0" distB="0" distL="0" distR="0" wp14:anchorId="33AEAC95" wp14:editId="7CD44AA9">
            <wp:extent cx="4182564" cy="4261933"/>
            <wp:effectExtent l="0" t="0" r="8890" b="571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WG topup.png"/>
                    <pic:cNvPicPr/>
                  </pic:nvPicPr>
                  <pic:blipFill>
                    <a:blip r:embed="rId37">
                      <a:extLst>
                        <a:ext uri="{28A0092B-C50C-407E-A947-70E740481C1C}">
                          <a14:useLocalDpi xmlns:a14="http://schemas.microsoft.com/office/drawing/2010/main" val="0"/>
                        </a:ext>
                      </a:extLst>
                    </a:blip>
                    <a:stretch>
                      <a:fillRect/>
                    </a:stretch>
                  </pic:blipFill>
                  <pic:spPr>
                    <a:xfrm>
                      <a:off x="0" y="0"/>
                      <a:ext cx="4200134" cy="4279836"/>
                    </a:xfrm>
                    <a:prstGeom prst="rect">
                      <a:avLst/>
                    </a:prstGeom>
                  </pic:spPr>
                </pic:pic>
              </a:graphicData>
            </a:graphic>
          </wp:inline>
        </w:drawing>
      </w:r>
    </w:p>
    <w:p w14:paraId="12E2B7AB" w14:textId="1EACE2D4" w:rsidR="00642AD7" w:rsidRPr="00642AD7" w:rsidRDefault="00642AD7" w:rsidP="00642AD7">
      <w:pPr>
        <w:pStyle w:val="Figurename"/>
      </w:pPr>
      <w:r>
        <w:t>PRISMA diagram: gestational weight gain top-up</w:t>
      </w:r>
    </w:p>
    <w:p w14:paraId="55445A96" w14:textId="1FB9D6C1" w:rsidR="00A91966" w:rsidRDefault="0005021E" w:rsidP="002D3EA8">
      <w:pPr>
        <w:pStyle w:val="Heading4"/>
      </w:pPr>
      <w:r>
        <w:t>Weight monitoring (question 7)</w:t>
      </w:r>
    </w:p>
    <w:p w14:paraId="2C9AD28A" w14:textId="68D949A9" w:rsidR="0005021E" w:rsidRPr="00196D36" w:rsidRDefault="0005021E" w:rsidP="002D3EA8">
      <w:pPr>
        <w:pStyle w:val="RCTstable"/>
        <w:keepNext/>
      </w:pPr>
      <w:r>
        <w:t>Current search dates:</w:t>
      </w:r>
      <w:r w:rsidR="00DD4C86">
        <w:t xml:space="preserve"> </w:t>
      </w:r>
      <w:r>
        <w:t>2-Dec-19</w:t>
      </w:r>
    </w:p>
    <w:tbl>
      <w:tblPr>
        <w:tblStyle w:val="TableGrid"/>
        <w:tblW w:w="9181" w:type="dxa"/>
        <w:tblLayout w:type="fixed"/>
        <w:tblLook w:val="04A0" w:firstRow="1" w:lastRow="0" w:firstColumn="1" w:lastColumn="0" w:noHBand="0" w:noVBand="1"/>
      </w:tblPr>
      <w:tblGrid>
        <w:gridCol w:w="900"/>
        <w:gridCol w:w="4170"/>
        <w:gridCol w:w="905"/>
        <w:gridCol w:w="888"/>
        <w:gridCol w:w="749"/>
        <w:gridCol w:w="1569"/>
      </w:tblGrid>
      <w:tr w:rsidR="00DD4C86" w:rsidRPr="00DD4C86" w14:paraId="4F3758F6" w14:textId="77777777" w:rsidTr="00DD4C86">
        <w:trPr>
          <w:tblHeader/>
        </w:trPr>
        <w:tc>
          <w:tcPr>
            <w:tcW w:w="900" w:type="dxa"/>
            <w:shd w:val="clear" w:color="auto" w:fill="auto"/>
          </w:tcPr>
          <w:p w14:paraId="4A8BB580" w14:textId="77777777" w:rsidR="0005021E" w:rsidRPr="00DD4C86" w:rsidRDefault="0005021E" w:rsidP="002D3EA8">
            <w:pPr>
              <w:pStyle w:val="RCTstable"/>
              <w:keepNext/>
              <w:rPr>
                <w:b/>
              </w:rPr>
            </w:pPr>
            <w:r w:rsidRPr="00DD4C86">
              <w:rPr>
                <w:b/>
              </w:rPr>
              <w:t>Database</w:t>
            </w:r>
          </w:p>
        </w:tc>
        <w:tc>
          <w:tcPr>
            <w:tcW w:w="4170" w:type="dxa"/>
            <w:shd w:val="clear" w:color="auto" w:fill="auto"/>
          </w:tcPr>
          <w:p w14:paraId="6CBEC045" w14:textId="77777777" w:rsidR="0005021E" w:rsidRPr="00DD4C86" w:rsidRDefault="0005021E" w:rsidP="002D3EA8">
            <w:pPr>
              <w:pStyle w:val="RCTstable"/>
              <w:keepNext/>
              <w:ind w:right="2091"/>
              <w:rPr>
                <w:b/>
              </w:rPr>
            </w:pPr>
            <w:r w:rsidRPr="00DD4C86">
              <w:rPr>
                <w:b/>
              </w:rPr>
              <w:t>Search Strategy</w:t>
            </w:r>
          </w:p>
        </w:tc>
        <w:tc>
          <w:tcPr>
            <w:tcW w:w="905" w:type="dxa"/>
            <w:shd w:val="clear" w:color="auto" w:fill="auto"/>
          </w:tcPr>
          <w:p w14:paraId="6CE30FEC" w14:textId="77777777" w:rsidR="0005021E" w:rsidRPr="00DD4C86" w:rsidRDefault="0005021E" w:rsidP="002D3EA8">
            <w:pPr>
              <w:pStyle w:val="RCTstable"/>
              <w:keepNext/>
              <w:rPr>
                <w:b/>
              </w:rPr>
            </w:pPr>
            <w:r w:rsidRPr="00DD4C86">
              <w:rPr>
                <w:b/>
              </w:rPr>
              <w:t>Dates Searched</w:t>
            </w:r>
          </w:p>
        </w:tc>
        <w:tc>
          <w:tcPr>
            <w:tcW w:w="888" w:type="dxa"/>
            <w:shd w:val="clear" w:color="auto" w:fill="auto"/>
          </w:tcPr>
          <w:p w14:paraId="5DE6D07C" w14:textId="77777777" w:rsidR="0005021E" w:rsidRPr="00DD4C86" w:rsidRDefault="0005021E" w:rsidP="002D3EA8">
            <w:pPr>
              <w:pStyle w:val="RCTstable"/>
              <w:keepNext/>
              <w:rPr>
                <w:b/>
              </w:rPr>
            </w:pPr>
            <w:r w:rsidRPr="00DD4C86">
              <w:rPr>
                <w:b/>
              </w:rPr>
              <w:t>Limits set</w:t>
            </w:r>
          </w:p>
        </w:tc>
        <w:tc>
          <w:tcPr>
            <w:tcW w:w="749" w:type="dxa"/>
            <w:shd w:val="clear" w:color="auto" w:fill="auto"/>
          </w:tcPr>
          <w:p w14:paraId="7AD919B5" w14:textId="77777777" w:rsidR="0005021E" w:rsidRPr="00DD4C86" w:rsidRDefault="0005021E" w:rsidP="002D3EA8">
            <w:pPr>
              <w:pStyle w:val="RCTstable"/>
              <w:keepNext/>
              <w:rPr>
                <w:b/>
              </w:rPr>
            </w:pPr>
            <w:r w:rsidRPr="00DD4C86">
              <w:rPr>
                <w:b/>
              </w:rPr>
              <w:t>Results</w:t>
            </w:r>
          </w:p>
        </w:tc>
        <w:tc>
          <w:tcPr>
            <w:tcW w:w="1569" w:type="dxa"/>
            <w:shd w:val="clear" w:color="auto" w:fill="auto"/>
          </w:tcPr>
          <w:p w14:paraId="75BC2DD6" w14:textId="77777777" w:rsidR="0005021E" w:rsidRPr="00DD4C86" w:rsidRDefault="0005021E" w:rsidP="002D3EA8">
            <w:pPr>
              <w:pStyle w:val="RCTstable"/>
              <w:keepNext/>
              <w:rPr>
                <w:b/>
              </w:rPr>
            </w:pPr>
            <w:r w:rsidRPr="00DD4C86">
              <w:rPr>
                <w:b/>
              </w:rPr>
              <w:t>Date of search</w:t>
            </w:r>
          </w:p>
        </w:tc>
      </w:tr>
      <w:tr w:rsidR="00DD4C86" w:rsidRPr="0005021E" w14:paraId="5DE56273" w14:textId="77777777" w:rsidTr="00DD4C86">
        <w:tc>
          <w:tcPr>
            <w:tcW w:w="900" w:type="dxa"/>
            <w:shd w:val="clear" w:color="auto" w:fill="auto"/>
          </w:tcPr>
          <w:p w14:paraId="14D9C8FF" w14:textId="7CA81F79" w:rsidR="0005021E" w:rsidRPr="0005021E" w:rsidRDefault="0005021E" w:rsidP="0005021E">
            <w:pPr>
              <w:pStyle w:val="RCTstable"/>
            </w:pPr>
            <w:r w:rsidRPr="0005021E">
              <w:t>Pubmed</w:t>
            </w:r>
          </w:p>
        </w:tc>
        <w:tc>
          <w:tcPr>
            <w:tcW w:w="4170" w:type="dxa"/>
            <w:shd w:val="clear" w:color="auto" w:fill="auto"/>
          </w:tcPr>
          <w:p w14:paraId="02009B8F" w14:textId="77777777" w:rsidR="0005021E" w:rsidRPr="0005021E" w:rsidRDefault="0005021E" w:rsidP="0005021E">
            <w:pPr>
              <w:pStyle w:val="RCTstable"/>
            </w:pPr>
            <w:r w:rsidRPr="0005021E">
              <w:t>“Pregnancy” Mesh</w:t>
            </w:r>
          </w:p>
          <w:p w14:paraId="6C5C63E9" w14:textId="77777777" w:rsidR="0005021E" w:rsidRPr="0005021E" w:rsidRDefault="0005021E" w:rsidP="0005021E">
            <w:pPr>
              <w:pStyle w:val="RCTstable"/>
            </w:pPr>
            <w:r w:rsidRPr="0005021E">
              <w:t>“prenatal care”Mesh</w:t>
            </w:r>
          </w:p>
          <w:p w14:paraId="2F71CCDF" w14:textId="77777777" w:rsidR="0005021E" w:rsidRPr="0005021E" w:rsidRDefault="0005021E" w:rsidP="0005021E">
            <w:pPr>
              <w:pStyle w:val="RCTstable"/>
            </w:pPr>
            <w:r w:rsidRPr="0005021E">
              <w:t>"pregnan*" OR "antepart*" OR "prenatal*" OR "antenatal*" OR "obstetric*" OR "maternal*"</w:t>
            </w:r>
          </w:p>
          <w:p w14:paraId="3BCD4EB8" w14:textId="77777777" w:rsidR="0005021E" w:rsidRPr="0005021E" w:rsidRDefault="0005021E" w:rsidP="0005021E">
            <w:pPr>
              <w:pStyle w:val="RCTstable"/>
            </w:pPr>
            <w:r w:rsidRPr="0005021E">
              <w:t>1 OR 2 OR 3</w:t>
            </w:r>
          </w:p>
          <w:p w14:paraId="4E51BC2A" w14:textId="77777777" w:rsidR="0005021E" w:rsidRPr="0005021E" w:rsidRDefault="0005021E" w:rsidP="0005021E">
            <w:pPr>
              <w:pStyle w:val="RCTstable"/>
            </w:pPr>
            <w:r w:rsidRPr="0005021E">
              <w:t>"routine weight*" OR "routinely weight*" OR "regular* weight*" OR "repeat* weight*"</w:t>
            </w:r>
          </w:p>
          <w:p w14:paraId="30AC7080" w14:textId="77777777" w:rsidR="0005021E" w:rsidRPr="0005021E" w:rsidRDefault="0005021E" w:rsidP="0005021E">
            <w:pPr>
              <w:pStyle w:val="RCTstable"/>
            </w:pPr>
            <w:r w:rsidRPr="0005021E">
              <w:t>4 AND 5</w:t>
            </w:r>
          </w:p>
        </w:tc>
        <w:tc>
          <w:tcPr>
            <w:tcW w:w="905" w:type="dxa"/>
            <w:shd w:val="clear" w:color="auto" w:fill="auto"/>
          </w:tcPr>
          <w:p w14:paraId="62649EC9" w14:textId="77777777" w:rsidR="0005021E" w:rsidRPr="0005021E" w:rsidRDefault="0005021E" w:rsidP="0005021E">
            <w:pPr>
              <w:pStyle w:val="RCTstable"/>
            </w:pPr>
            <w:r w:rsidRPr="0005021E">
              <w:t>1-Jan-2014 to 2-Dec-19</w:t>
            </w:r>
          </w:p>
        </w:tc>
        <w:tc>
          <w:tcPr>
            <w:tcW w:w="888" w:type="dxa"/>
            <w:shd w:val="clear" w:color="auto" w:fill="auto"/>
          </w:tcPr>
          <w:p w14:paraId="492C7F61" w14:textId="77777777" w:rsidR="0005021E" w:rsidRPr="0005021E" w:rsidRDefault="0005021E" w:rsidP="0005021E">
            <w:pPr>
              <w:pStyle w:val="RCTstable"/>
            </w:pPr>
            <w:r w:rsidRPr="0005021E">
              <w:t>Human</w:t>
            </w:r>
          </w:p>
          <w:p w14:paraId="4B1F7777" w14:textId="77777777" w:rsidR="0005021E" w:rsidRPr="0005021E" w:rsidRDefault="0005021E" w:rsidP="0005021E">
            <w:pPr>
              <w:pStyle w:val="RCTstable"/>
            </w:pPr>
            <w:r w:rsidRPr="0005021E">
              <w:t>English</w:t>
            </w:r>
          </w:p>
        </w:tc>
        <w:tc>
          <w:tcPr>
            <w:tcW w:w="749" w:type="dxa"/>
            <w:shd w:val="clear" w:color="auto" w:fill="auto"/>
          </w:tcPr>
          <w:p w14:paraId="1136F829" w14:textId="77777777" w:rsidR="0005021E" w:rsidRPr="0005021E" w:rsidRDefault="0005021E" w:rsidP="0005021E">
            <w:pPr>
              <w:pStyle w:val="RCTstable"/>
            </w:pPr>
            <w:r w:rsidRPr="0005021E">
              <w:t>1087*</w:t>
            </w:r>
          </w:p>
        </w:tc>
        <w:tc>
          <w:tcPr>
            <w:tcW w:w="1569" w:type="dxa"/>
            <w:shd w:val="clear" w:color="auto" w:fill="auto"/>
          </w:tcPr>
          <w:p w14:paraId="04DAEDE7" w14:textId="77777777" w:rsidR="0005021E" w:rsidRPr="0005021E" w:rsidRDefault="0005021E" w:rsidP="0005021E">
            <w:pPr>
              <w:pStyle w:val="RCTstable"/>
            </w:pPr>
            <w:r w:rsidRPr="0005021E">
              <w:t>2-Dec-19</w:t>
            </w:r>
          </w:p>
        </w:tc>
      </w:tr>
      <w:tr w:rsidR="00DD4C86" w:rsidRPr="0005021E" w14:paraId="5AD7A715" w14:textId="77777777" w:rsidTr="00DD4C86">
        <w:tc>
          <w:tcPr>
            <w:tcW w:w="900" w:type="dxa"/>
            <w:shd w:val="clear" w:color="auto" w:fill="auto"/>
          </w:tcPr>
          <w:p w14:paraId="43FEC412" w14:textId="77777777" w:rsidR="0005021E" w:rsidRPr="0005021E" w:rsidRDefault="0005021E" w:rsidP="0005021E">
            <w:pPr>
              <w:pStyle w:val="RCTstable"/>
            </w:pPr>
            <w:r w:rsidRPr="0005021E">
              <w:t>Ovid medline</w:t>
            </w:r>
          </w:p>
        </w:tc>
        <w:tc>
          <w:tcPr>
            <w:tcW w:w="4170" w:type="dxa"/>
            <w:shd w:val="clear" w:color="auto" w:fill="auto"/>
          </w:tcPr>
          <w:p w14:paraId="1FB4CEC4" w14:textId="77777777" w:rsidR="0005021E" w:rsidRPr="0005021E" w:rsidRDefault="0005021E" w:rsidP="0005021E">
            <w:pPr>
              <w:pStyle w:val="RCTstable"/>
            </w:pPr>
            <w:r w:rsidRPr="0005021E">
              <w:t>Exp pregnancy/</w:t>
            </w:r>
          </w:p>
          <w:p w14:paraId="766D0214" w14:textId="77777777" w:rsidR="0005021E" w:rsidRPr="0005021E" w:rsidRDefault="0005021E" w:rsidP="0005021E">
            <w:pPr>
              <w:pStyle w:val="RCTstable"/>
            </w:pPr>
            <w:r w:rsidRPr="0005021E">
              <w:t>Exp prenatal care/</w:t>
            </w:r>
          </w:p>
          <w:p w14:paraId="4EF5A10A" w14:textId="77777777" w:rsidR="0005021E" w:rsidRPr="0005021E" w:rsidRDefault="0005021E" w:rsidP="0005021E">
            <w:pPr>
              <w:pStyle w:val="RCTstable"/>
            </w:pPr>
            <w:r w:rsidRPr="0005021E">
              <w:t>(pregnan* or antepart* or prenatal* or antenatal* or obstetric* or maternal*).mp.</w:t>
            </w:r>
          </w:p>
          <w:p w14:paraId="402FEC80" w14:textId="77777777" w:rsidR="0005021E" w:rsidRPr="0005021E" w:rsidRDefault="0005021E" w:rsidP="0005021E">
            <w:pPr>
              <w:pStyle w:val="RCTstable"/>
            </w:pPr>
            <w:r w:rsidRPr="0005021E">
              <w:t>1 or 2 or 3</w:t>
            </w:r>
          </w:p>
          <w:p w14:paraId="0990CB9C" w14:textId="77777777" w:rsidR="0005021E" w:rsidRPr="0005021E" w:rsidRDefault="0005021E" w:rsidP="0005021E">
            <w:pPr>
              <w:pStyle w:val="RCTstable"/>
            </w:pPr>
            <w:r w:rsidRPr="0005021E">
              <w:t>((routine* or regular* or repeat*) adj3 weigh*).mp.</w:t>
            </w:r>
          </w:p>
          <w:p w14:paraId="12DFE2BC" w14:textId="77777777" w:rsidR="0005021E" w:rsidRPr="0005021E" w:rsidRDefault="0005021E" w:rsidP="0005021E">
            <w:pPr>
              <w:pStyle w:val="RCTstable"/>
            </w:pPr>
            <w:r w:rsidRPr="0005021E">
              <w:t>4 and 5</w:t>
            </w:r>
          </w:p>
        </w:tc>
        <w:tc>
          <w:tcPr>
            <w:tcW w:w="905" w:type="dxa"/>
            <w:shd w:val="clear" w:color="auto" w:fill="auto"/>
          </w:tcPr>
          <w:p w14:paraId="320A0F94" w14:textId="77777777" w:rsidR="0005021E" w:rsidRPr="0005021E" w:rsidRDefault="0005021E" w:rsidP="0005021E">
            <w:pPr>
              <w:pStyle w:val="RCTstable"/>
            </w:pPr>
            <w:r w:rsidRPr="0005021E">
              <w:t>1 Jan 2014 to 2-Dec-19</w:t>
            </w:r>
          </w:p>
        </w:tc>
        <w:tc>
          <w:tcPr>
            <w:tcW w:w="888" w:type="dxa"/>
            <w:shd w:val="clear" w:color="auto" w:fill="auto"/>
          </w:tcPr>
          <w:p w14:paraId="47046CF8" w14:textId="77777777" w:rsidR="0005021E" w:rsidRPr="0005021E" w:rsidRDefault="0005021E" w:rsidP="0005021E">
            <w:pPr>
              <w:pStyle w:val="RCTstable"/>
            </w:pPr>
            <w:r w:rsidRPr="0005021E">
              <w:t>English Language</w:t>
            </w:r>
          </w:p>
          <w:p w14:paraId="0FD53585" w14:textId="77777777" w:rsidR="0005021E" w:rsidRPr="0005021E" w:rsidRDefault="0005021E" w:rsidP="0005021E">
            <w:pPr>
              <w:pStyle w:val="RCTstable"/>
            </w:pPr>
          </w:p>
        </w:tc>
        <w:tc>
          <w:tcPr>
            <w:tcW w:w="749" w:type="dxa"/>
            <w:shd w:val="clear" w:color="auto" w:fill="auto"/>
          </w:tcPr>
          <w:p w14:paraId="0172F77A" w14:textId="77777777" w:rsidR="0005021E" w:rsidRPr="0005021E" w:rsidRDefault="0005021E" w:rsidP="0005021E">
            <w:pPr>
              <w:pStyle w:val="RCTstable"/>
            </w:pPr>
            <w:r w:rsidRPr="0005021E">
              <w:t>61</w:t>
            </w:r>
          </w:p>
        </w:tc>
        <w:tc>
          <w:tcPr>
            <w:tcW w:w="1569" w:type="dxa"/>
            <w:shd w:val="clear" w:color="auto" w:fill="auto"/>
          </w:tcPr>
          <w:p w14:paraId="328CB3BA" w14:textId="77777777" w:rsidR="0005021E" w:rsidRPr="0005021E" w:rsidRDefault="0005021E" w:rsidP="0005021E">
            <w:pPr>
              <w:pStyle w:val="RCTstable"/>
            </w:pPr>
            <w:r w:rsidRPr="0005021E">
              <w:t>2-Dec-19</w:t>
            </w:r>
          </w:p>
        </w:tc>
      </w:tr>
      <w:tr w:rsidR="00DD4C86" w:rsidRPr="0005021E" w14:paraId="2DAA32E8" w14:textId="77777777" w:rsidTr="00DD4C86">
        <w:tc>
          <w:tcPr>
            <w:tcW w:w="900" w:type="dxa"/>
            <w:shd w:val="clear" w:color="auto" w:fill="auto"/>
          </w:tcPr>
          <w:p w14:paraId="1E31C508" w14:textId="77777777" w:rsidR="0005021E" w:rsidRPr="0005021E" w:rsidRDefault="0005021E" w:rsidP="0005021E">
            <w:pPr>
              <w:pStyle w:val="RCTstable"/>
            </w:pPr>
            <w:r w:rsidRPr="0005021E">
              <w:t>Embase*</w:t>
            </w:r>
          </w:p>
        </w:tc>
        <w:tc>
          <w:tcPr>
            <w:tcW w:w="4170" w:type="dxa"/>
            <w:shd w:val="clear" w:color="auto" w:fill="auto"/>
          </w:tcPr>
          <w:p w14:paraId="76609161" w14:textId="77777777" w:rsidR="0005021E" w:rsidRPr="0005021E" w:rsidRDefault="0005021E" w:rsidP="0005021E">
            <w:pPr>
              <w:pStyle w:val="RCTstable"/>
            </w:pPr>
            <w:r w:rsidRPr="0005021E">
              <w:t>'pregnancy'/exp</w:t>
            </w:r>
          </w:p>
          <w:p w14:paraId="71B62F65" w14:textId="77777777" w:rsidR="0005021E" w:rsidRPr="0005021E" w:rsidRDefault="0005021E" w:rsidP="0005021E">
            <w:pPr>
              <w:pStyle w:val="RCTstable"/>
            </w:pPr>
            <w:r w:rsidRPr="0005021E">
              <w:t>'prenatal care'/exp</w:t>
            </w:r>
          </w:p>
          <w:p w14:paraId="75452AF4" w14:textId="77777777" w:rsidR="0005021E" w:rsidRPr="0005021E" w:rsidRDefault="0005021E" w:rsidP="0005021E">
            <w:pPr>
              <w:pStyle w:val="RCTstable"/>
            </w:pPr>
            <w:r w:rsidRPr="0005021E">
              <w:t>(pregnan* OR antepart* OR prenatal* OR antenatal* OR obstetric* OR maternal*)</w:t>
            </w:r>
          </w:p>
          <w:p w14:paraId="798DB6D1" w14:textId="77777777" w:rsidR="0005021E" w:rsidRPr="0005021E" w:rsidRDefault="0005021E" w:rsidP="0005021E">
            <w:pPr>
              <w:pStyle w:val="RCTstable"/>
            </w:pPr>
            <w:r w:rsidRPr="0005021E">
              <w:t>#1 OR #2 OR #3</w:t>
            </w:r>
          </w:p>
          <w:p w14:paraId="4CAB6A95" w14:textId="77777777" w:rsidR="0005021E" w:rsidRPr="0005021E" w:rsidRDefault="0005021E" w:rsidP="0005021E">
            <w:pPr>
              <w:pStyle w:val="RCTstable"/>
              <w:rPr>
                <w:rFonts w:eastAsiaTheme="minorEastAsia"/>
              </w:rPr>
            </w:pPr>
            <w:r w:rsidRPr="0005021E">
              <w:t>(</w:t>
            </w:r>
            <w:r w:rsidRPr="0005021E">
              <w:rPr>
                <w:rFonts w:eastAsiaTheme="minorEastAsia"/>
              </w:rPr>
              <w:t>routine*</w:t>
            </w:r>
            <w:r w:rsidRPr="0005021E">
              <w:t> OR </w:t>
            </w:r>
            <w:r w:rsidRPr="0005021E">
              <w:rPr>
                <w:rFonts w:eastAsiaTheme="minorEastAsia"/>
              </w:rPr>
              <w:t>regular*</w:t>
            </w:r>
            <w:r w:rsidRPr="0005021E">
              <w:t> OR </w:t>
            </w:r>
            <w:r w:rsidRPr="0005021E">
              <w:rPr>
                <w:rFonts w:eastAsiaTheme="minorEastAsia"/>
              </w:rPr>
              <w:t>repeat*</w:t>
            </w:r>
            <w:r w:rsidRPr="0005021E">
              <w:t>) NEXT/3 </w:t>
            </w:r>
            <w:r w:rsidRPr="0005021E">
              <w:rPr>
                <w:rFonts w:eastAsiaTheme="minorEastAsia"/>
              </w:rPr>
              <w:t>weigh*</w:t>
            </w:r>
          </w:p>
          <w:p w14:paraId="6724BD4E" w14:textId="77777777" w:rsidR="0005021E" w:rsidRPr="0005021E" w:rsidRDefault="0005021E" w:rsidP="0005021E">
            <w:pPr>
              <w:pStyle w:val="RCTstable"/>
            </w:pPr>
            <w:r w:rsidRPr="0005021E">
              <w:t>#4 AND #5</w:t>
            </w:r>
          </w:p>
        </w:tc>
        <w:tc>
          <w:tcPr>
            <w:tcW w:w="905" w:type="dxa"/>
            <w:shd w:val="clear" w:color="auto" w:fill="auto"/>
          </w:tcPr>
          <w:p w14:paraId="077F37C0" w14:textId="77777777" w:rsidR="0005021E" w:rsidRPr="0005021E" w:rsidRDefault="0005021E" w:rsidP="0005021E">
            <w:pPr>
              <w:pStyle w:val="RCTstable"/>
            </w:pPr>
            <w:r w:rsidRPr="0005021E">
              <w:t>1 Jan 2014 to 2-Dec-2019</w:t>
            </w:r>
          </w:p>
        </w:tc>
        <w:tc>
          <w:tcPr>
            <w:tcW w:w="888" w:type="dxa"/>
            <w:shd w:val="clear" w:color="auto" w:fill="auto"/>
          </w:tcPr>
          <w:p w14:paraId="368A6F22" w14:textId="77777777" w:rsidR="0005021E" w:rsidRPr="0005021E" w:rsidRDefault="0005021E" w:rsidP="0005021E">
            <w:pPr>
              <w:pStyle w:val="RCTstable"/>
            </w:pPr>
            <w:r w:rsidRPr="0005021E">
              <w:t>English</w:t>
            </w:r>
          </w:p>
          <w:p w14:paraId="77D62F89" w14:textId="77777777" w:rsidR="0005021E" w:rsidRPr="0005021E" w:rsidRDefault="0005021E" w:rsidP="0005021E">
            <w:pPr>
              <w:pStyle w:val="RCTstable"/>
            </w:pPr>
            <w:r w:rsidRPr="0005021E">
              <w:t>Human</w:t>
            </w:r>
          </w:p>
        </w:tc>
        <w:tc>
          <w:tcPr>
            <w:tcW w:w="749" w:type="dxa"/>
            <w:shd w:val="clear" w:color="auto" w:fill="auto"/>
          </w:tcPr>
          <w:p w14:paraId="6EEA7FD8" w14:textId="77777777" w:rsidR="0005021E" w:rsidRPr="0005021E" w:rsidRDefault="0005021E" w:rsidP="0005021E">
            <w:pPr>
              <w:pStyle w:val="RCTstable"/>
            </w:pPr>
            <w:r w:rsidRPr="0005021E">
              <w:t>86</w:t>
            </w:r>
          </w:p>
        </w:tc>
        <w:tc>
          <w:tcPr>
            <w:tcW w:w="1569" w:type="dxa"/>
            <w:shd w:val="clear" w:color="auto" w:fill="auto"/>
          </w:tcPr>
          <w:p w14:paraId="35378305" w14:textId="77777777" w:rsidR="0005021E" w:rsidRPr="0005021E" w:rsidRDefault="0005021E" w:rsidP="0005021E">
            <w:pPr>
              <w:pStyle w:val="RCTstable"/>
            </w:pPr>
            <w:r w:rsidRPr="0005021E">
              <w:t>2-Dec-19</w:t>
            </w:r>
          </w:p>
        </w:tc>
      </w:tr>
      <w:tr w:rsidR="00DD4C86" w:rsidRPr="0005021E" w14:paraId="5A161126" w14:textId="77777777" w:rsidTr="00DD4C86">
        <w:tc>
          <w:tcPr>
            <w:tcW w:w="900" w:type="dxa"/>
            <w:shd w:val="clear" w:color="auto" w:fill="auto"/>
          </w:tcPr>
          <w:p w14:paraId="756FAAD2" w14:textId="77777777" w:rsidR="0005021E" w:rsidRPr="0005021E" w:rsidRDefault="0005021E" w:rsidP="0005021E">
            <w:pPr>
              <w:pStyle w:val="RCTstable"/>
            </w:pPr>
            <w:r w:rsidRPr="0005021E">
              <w:t>CINAHL</w:t>
            </w:r>
          </w:p>
        </w:tc>
        <w:tc>
          <w:tcPr>
            <w:tcW w:w="4170" w:type="dxa"/>
            <w:shd w:val="clear" w:color="auto" w:fill="auto"/>
          </w:tcPr>
          <w:p w14:paraId="57F93180" w14:textId="77777777" w:rsidR="0005021E" w:rsidRPr="0005021E" w:rsidRDefault="0005021E" w:rsidP="0005021E">
            <w:pPr>
              <w:pStyle w:val="RCTstable"/>
            </w:pPr>
            <w:r w:rsidRPr="0005021E">
              <w:t>(MH "Pregnancy+") OR (MH "pregnancy care+") </w:t>
            </w:r>
          </w:p>
          <w:p w14:paraId="0DECD50B" w14:textId="77777777" w:rsidR="0005021E" w:rsidRPr="0005021E" w:rsidRDefault="0005021E" w:rsidP="0005021E">
            <w:pPr>
              <w:pStyle w:val="RCTstable"/>
            </w:pPr>
            <w:r w:rsidRPr="0005021E">
              <w:t>(pregnan* or antepart* or prenatal* or antenatal* or obstetric* or maternal*) </w:t>
            </w:r>
          </w:p>
          <w:p w14:paraId="51B5BCCB" w14:textId="77777777" w:rsidR="0005021E" w:rsidRPr="0005021E" w:rsidRDefault="0005021E" w:rsidP="0005021E">
            <w:pPr>
              <w:pStyle w:val="RCTstable"/>
            </w:pPr>
            <w:r w:rsidRPr="0005021E">
              <w:t>S1 OR S2</w:t>
            </w:r>
          </w:p>
          <w:p w14:paraId="4418A19F" w14:textId="77777777" w:rsidR="0005021E" w:rsidRPr="0005021E" w:rsidRDefault="0005021E" w:rsidP="0005021E">
            <w:pPr>
              <w:pStyle w:val="RCTstable"/>
            </w:pPr>
            <w:r w:rsidRPr="0005021E">
              <w:t>((routine* or regular* or repeat*) N3 weigh*) </w:t>
            </w:r>
          </w:p>
          <w:p w14:paraId="7FFD1D7C" w14:textId="77777777" w:rsidR="0005021E" w:rsidRPr="0005021E" w:rsidRDefault="0005021E" w:rsidP="0005021E">
            <w:pPr>
              <w:pStyle w:val="RCTstable"/>
            </w:pPr>
            <w:r w:rsidRPr="0005021E">
              <w:t>S3 AND S4</w:t>
            </w:r>
          </w:p>
        </w:tc>
        <w:tc>
          <w:tcPr>
            <w:tcW w:w="905" w:type="dxa"/>
            <w:shd w:val="clear" w:color="auto" w:fill="auto"/>
          </w:tcPr>
          <w:p w14:paraId="2C611E40" w14:textId="77777777" w:rsidR="0005021E" w:rsidRPr="0005021E" w:rsidRDefault="0005021E" w:rsidP="0005021E">
            <w:pPr>
              <w:pStyle w:val="RCTstable"/>
            </w:pPr>
            <w:r w:rsidRPr="0005021E">
              <w:t>01-jan-2014 to 31-dec-2019</w:t>
            </w:r>
          </w:p>
        </w:tc>
        <w:tc>
          <w:tcPr>
            <w:tcW w:w="888" w:type="dxa"/>
            <w:shd w:val="clear" w:color="auto" w:fill="auto"/>
          </w:tcPr>
          <w:p w14:paraId="24D24F00" w14:textId="77777777" w:rsidR="0005021E" w:rsidRPr="0005021E" w:rsidRDefault="0005021E" w:rsidP="0005021E">
            <w:pPr>
              <w:pStyle w:val="RCTstable"/>
            </w:pPr>
            <w:r w:rsidRPr="0005021E">
              <w:t xml:space="preserve">English </w:t>
            </w:r>
          </w:p>
        </w:tc>
        <w:tc>
          <w:tcPr>
            <w:tcW w:w="749" w:type="dxa"/>
            <w:shd w:val="clear" w:color="auto" w:fill="auto"/>
          </w:tcPr>
          <w:p w14:paraId="332D6CFF" w14:textId="77777777" w:rsidR="0005021E" w:rsidRPr="0005021E" w:rsidRDefault="0005021E" w:rsidP="0005021E">
            <w:pPr>
              <w:pStyle w:val="RCTstable"/>
            </w:pPr>
            <w:r w:rsidRPr="0005021E">
              <w:t>69</w:t>
            </w:r>
          </w:p>
        </w:tc>
        <w:tc>
          <w:tcPr>
            <w:tcW w:w="1569" w:type="dxa"/>
            <w:shd w:val="clear" w:color="auto" w:fill="auto"/>
          </w:tcPr>
          <w:p w14:paraId="70BB3CBD" w14:textId="77777777" w:rsidR="0005021E" w:rsidRPr="0005021E" w:rsidRDefault="0005021E" w:rsidP="0005021E">
            <w:pPr>
              <w:pStyle w:val="RCTstable"/>
            </w:pPr>
            <w:r w:rsidRPr="0005021E">
              <w:t>2-Dec-2019</w:t>
            </w:r>
          </w:p>
        </w:tc>
      </w:tr>
      <w:tr w:rsidR="00DD4C86" w:rsidRPr="0005021E" w14:paraId="6850FF3B" w14:textId="77777777" w:rsidTr="00DD4C86">
        <w:tc>
          <w:tcPr>
            <w:tcW w:w="900" w:type="dxa"/>
            <w:shd w:val="clear" w:color="auto" w:fill="auto"/>
          </w:tcPr>
          <w:p w14:paraId="1B9CCDA0" w14:textId="77777777" w:rsidR="0005021E" w:rsidRPr="0005021E" w:rsidRDefault="0005021E" w:rsidP="0005021E">
            <w:pPr>
              <w:pStyle w:val="RCTstable"/>
            </w:pPr>
            <w:r w:rsidRPr="0005021E">
              <w:t>SCOPUS</w:t>
            </w:r>
          </w:p>
        </w:tc>
        <w:tc>
          <w:tcPr>
            <w:tcW w:w="4170" w:type="dxa"/>
            <w:shd w:val="clear" w:color="auto" w:fill="auto"/>
          </w:tcPr>
          <w:p w14:paraId="69893F66" w14:textId="77777777" w:rsidR="0005021E" w:rsidRPr="0005021E" w:rsidRDefault="0005021E" w:rsidP="0005021E">
            <w:pPr>
              <w:pStyle w:val="RCTstable"/>
            </w:pPr>
            <w:r w:rsidRPr="0005021E">
              <w:rPr>
                <w:rFonts w:eastAsiaTheme="majorEastAsia"/>
              </w:rPr>
              <w:t>TITLE-ABS-KEY</w:t>
            </w:r>
            <w:r w:rsidRPr="0005021E">
              <w:t> </w:t>
            </w:r>
            <w:r w:rsidRPr="0005021E">
              <w:rPr>
                <w:rFonts w:eastAsiaTheme="majorEastAsia"/>
              </w:rPr>
              <w:t>(</w:t>
            </w:r>
            <w:r w:rsidRPr="0005021E">
              <w:t> </w:t>
            </w:r>
            <w:r w:rsidRPr="0005021E">
              <w:rPr>
                <w:rFonts w:eastAsiaTheme="majorEastAsia"/>
              </w:rPr>
              <w:t>(</w:t>
            </w:r>
            <w:r w:rsidRPr="0005021E">
              <w:t> </w:t>
            </w:r>
            <w:r w:rsidRPr="0005021E">
              <w:rPr>
                <w:rFonts w:eastAsiaTheme="majorEastAsia"/>
              </w:rPr>
              <w:t>(</w:t>
            </w:r>
            <w:r w:rsidRPr="0005021E">
              <w:t> "pregnan*"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"prenatal*"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"antepart*"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"prenatal*" </w:t>
            </w:r>
            <w:r w:rsidRPr="0005021E">
              <w:rPr>
                <w:rFonts w:eastAsiaTheme="majorEastAsia"/>
              </w:rPr>
              <w:t>)</w:t>
            </w:r>
            <w:r w:rsidRPr="0005021E">
              <w:t>  </w:t>
            </w:r>
          </w:p>
          <w:p w14:paraId="515228CF" w14:textId="77777777" w:rsidR="0005021E" w:rsidRPr="0005021E" w:rsidRDefault="0005021E" w:rsidP="0005021E">
            <w:pPr>
              <w:pStyle w:val="RCTstable"/>
            </w:pPr>
            <w:r w:rsidRPr="0005021E">
              <w:rPr>
                <w:rFonts w:eastAsiaTheme="majorEastAsia"/>
              </w:rPr>
              <w:t>OR</w:t>
            </w:r>
            <w:r w:rsidRPr="0005021E">
              <w:t>  </w:t>
            </w:r>
            <w:r w:rsidRPr="0005021E">
              <w:rPr>
                <w:rFonts w:eastAsiaTheme="majorEastAsia"/>
              </w:rPr>
              <w:t>(</w:t>
            </w:r>
            <w:r w:rsidRPr="0005021E">
              <w:t> "antenatal*"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"obstetric*"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"maternal*" </w:t>
            </w:r>
            <w:r w:rsidRPr="0005021E">
              <w:rPr>
                <w:rFonts w:eastAsiaTheme="majorEastAsia"/>
              </w:rPr>
              <w:t>)</w:t>
            </w:r>
            <w:r w:rsidRPr="0005021E">
              <w:t> </w:t>
            </w:r>
            <w:r w:rsidRPr="0005021E">
              <w:rPr>
                <w:rFonts w:eastAsiaTheme="majorEastAsia"/>
              </w:rPr>
              <w:t>)</w:t>
            </w:r>
            <w:r w:rsidRPr="0005021E">
              <w:t>  </w:t>
            </w:r>
          </w:p>
          <w:p w14:paraId="589CFFB9" w14:textId="17A31340" w:rsidR="0005021E" w:rsidRPr="0005021E" w:rsidRDefault="0005021E" w:rsidP="0005021E">
            <w:pPr>
              <w:pStyle w:val="RCTstable"/>
            </w:pPr>
            <w:r w:rsidRPr="0005021E">
              <w:rPr>
                <w:rFonts w:eastAsiaTheme="majorEastAsia"/>
              </w:rPr>
              <w:t>AND</w:t>
            </w:r>
            <w:r w:rsidRPr="0005021E">
              <w:t>  </w:t>
            </w:r>
            <w:r w:rsidRPr="0005021E">
              <w:rPr>
                <w:rFonts w:eastAsiaTheme="majorEastAsia"/>
              </w:rPr>
              <w:t>(</w:t>
            </w:r>
            <w:r w:rsidRPr="0005021E">
              <w:t> </w:t>
            </w:r>
            <w:r w:rsidRPr="0005021E">
              <w:rPr>
                <w:rFonts w:eastAsiaTheme="majorEastAsia"/>
              </w:rPr>
              <w:t>(</w:t>
            </w:r>
            <w:r w:rsidRPr="0005021E">
              <w:t> "routine*"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"routine*" </w:t>
            </w:r>
            <w:r w:rsidRPr="0005021E">
              <w:rPr>
                <w:rFonts w:eastAsiaTheme="majorEastAsia"/>
              </w:rPr>
              <w:t>)</w:t>
            </w:r>
            <w:r w:rsidRPr="0005021E">
              <w:t>  </w:t>
            </w:r>
            <w:r w:rsidRPr="0005021E">
              <w:rPr>
                <w:rFonts w:eastAsiaTheme="majorEastAsia"/>
              </w:rPr>
              <w:t>OR</w:t>
            </w:r>
            <w:r w:rsidRPr="0005021E">
              <w:t>  </w:t>
            </w:r>
            <w:r w:rsidRPr="0005021E">
              <w:rPr>
                <w:rFonts w:eastAsiaTheme="majorEastAsia"/>
              </w:rPr>
              <w:t>(</w:t>
            </w:r>
            <w:r w:rsidRPr="0005021E">
              <w:t> "repeat*" </w:t>
            </w:r>
            <w:r w:rsidRPr="0005021E">
              <w:rPr>
                <w:rFonts w:eastAsiaTheme="majorEastAsia"/>
              </w:rPr>
              <w:t>)</w:t>
            </w:r>
            <w:r w:rsidRPr="0005021E">
              <w:t>  </w:t>
            </w:r>
            <w:r w:rsidRPr="0005021E">
              <w:rPr>
                <w:rFonts w:eastAsiaTheme="majorEastAsia"/>
              </w:rPr>
              <w:t>W/3</w:t>
            </w:r>
            <w:r w:rsidRPr="0005021E">
              <w:t>  "weigh*" </w:t>
            </w:r>
            <w:r w:rsidRPr="0005021E">
              <w:rPr>
                <w:rFonts w:eastAsiaTheme="majorEastAsia"/>
              </w:rPr>
              <w:t>)</w:t>
            </w:r>
            <w:r w:rsidRPr="0005021E">
              <w:t> </w:t>
            </w:r>
            <w:r w:rsidRPr="0005021E">
              <w:rPr>
                <w:rFonts w:eastAsiaTheme="majorEastAsia"/>
              </w:rPr>
              <w:t>)</w:t>
            </w:r>
            <w:r w:rsidRPr="0005021E">
              <w:t> </w:t>
            </w:r>
          </w:p>
        </w:tc>
        <w:tc>
          <w:tcPr>
            <w:tcW w:w="905" w:type="dxa"/>
            <w:shd w:val="clear" w:color="auto" w:fill="auto"/>
          </w:tcPr>
          <w:p w14:paraId="1A0B3F91" w14:textId="77777777" w:rsidR="0005021E" w:rsidRPr="0005021E" w:rsidRDefault="0005021E" w:rsidP="0005021E">
            <w:pPr>
              <w:pStyle w:val="RCTstable"/>
            </w:pPr>
            <w:r w:rsidRPr="0005021E">
              <w:t>2014-2019</w:t>
            </w:r>
          </w:p>
        </w:tc>
        <w:tc>
          <w:tcPr>
            <w:tcW w:w="888" w:type="dxa"/>
            <w:shd w:val="clear" w:color="auto" w:fill="auto"/>
          </w:tcPr>
          <w:p w14:paraId="3C924B9B" w14:textId="77777777" w:rsidR="0005021E" w:rsidRPr="0005021E" w:rsidRDefault="0005021E" w:rsidP="0005021E">
            <w:pPr>
              <w:pStyle w:val="RCTstable"/>
            </w:pPr>
            <w:r w:rsidRPr="0005021E">
              <w:t>Human</w:t>
            </w:r>
          </w:p>
          <w:p w14:paraId="536B6069" w14:textId="77777777" w:rsidR="0005021E" w:rsidRPr="0005021E" w:rsidRDefault="0005021E" w:rsidP="0005021E">
            <w:pPr>
              <w:pStyle w:val="RCTstable"/>
            </w:pPr>
            <w:r w:rsidRPr="0005021E">
              <w:t>English</w:t>
            </w:r>
          </w:p>
        </w:tc>
        <w:tc>
          <w:tcPr>
            <w:tcW w:w="749" w:type="dxa"/>
            <w:shd w:val="clear" w:color="auto" w:fill="auto"/>
          </w:tcPr>
          <w:p w14:paraId="595E7396" w14:textId="77777777" w:rsidR="0005021E" w:rsidRPr="0005021E" w:rsidRDefault="0005021E" w:rsidP="0005021E">
            <w:pPr>
              <w:pStyle w:val="RCTstable"/>
            </w:pPr>
            <w:r w:rsidRPr="0005021E">
              <w:t>78</w:t>
            </w:r>
          </w:p>
        </w:tc>
        <w:tc>
          <w:tcPr>
            <w:tcW w:w="1569" w:type="dxa"/>
            <w:shd w:val="clear" w:color="auto" w:fill="auto"/>
          </w:tcPr>
          <w:p w14:paraId="17851A5C" w14:textId="77777777" w:rsidR="0005021E" w:rsidRPr="0005021E" w:rsidRDefault="0005021E" w:rsidP="0005021E">
            <w:pPr>
              <w:pStyle w:val="RCTstable"/>
            </w:pPr>
            <w:r w:rsidRPr="0005021E">
              <w:t>2-Dec-19</w:t>
            </w:r>
          </w:p>
        </w:tc>
      </w:tr>
      <w:tr w:rsidR="00DD4C86" w:rsidRPr="0005021E" w14:paraId="16A60183" w14:textId="77777777" w:rsidTr="00DD4C86">
        <w:tc>
          <w:tcPr>
            <w:tcW w:w="900" w:type="dxa"/>
            <w:shd w:val="clear" w:color="auto" w:fill="auto"/>
          </w:tcPr>
          <w:p w14:paraId="065C630A" w14:textId="77777777" w:rsidR="0005021E" w:rsidRPr="0005021E" w:rsidRDefault="0005021E" w:rsidP="0005021E">
            <w:pPr>
              <w:pStyle w:val="RCTstable"/>
            </w:pPr>
            <w:r w:rsidRPr="0005021E">
              <w:t>Health Infonet</w:t>
            </w:r>
          </w:p>
        </w:tc>
        <w:tc>
          <w:tcPr>
            <w:tcW w:w="4170" w:type="dxa"/>
            <w:shd w:val="clear" w:color="auto" w:fill="auto"/>
          </w:tcPr>
          <w:p w14:paraId="215019A0" w14:textId="77777777" w:rsidR="0005021E" w:rsidRPr="0005021E" w:rsidRDefault="0005021E" w:rsidP="0005021E">
            <w:pPr>
              <w:pStyle w:val="RCTstable"/>
            </w:pPr>
            <w:r w:rsidRPr="0005021E">
              <w:t>Title and Policies: weigh*</w:t>
            </w:r>
          </w:p>
        </w:tc>
        <w:tc>
          <w:tcPr>
            <w:tcW w:w="905" w:type="dxa"/>
            <w:shd w:val="clear" w:color="auto" w:fill="auto"/>
          </w:tcPr>
          <w:p w14:paraId="18F3E24C" w14:textId="77777777" w:rsidR="0005021E" w:rsidRPr="0005021E" w:rsidRDefault="0005021E" w:rsidP="0005021E">
            <w:pPr>
              <w:pStyle w:val="RCTstable"/>
            </w:pPr>
            <w:r w:rsidRPr="0005021E">
              <w:t>All</w:t>
            </w:r>
          </w:p>
        </w:tc>
        <w:tc>
          <w:tcPr>
            <w:tcW w:w="888" w:type="dxa"/>
            <w:shd w:val="clear" w:color="auto" w:fill="auto"/>
          </w:tcPr>
          <w:p w14:paraId="5F3D48E9" w14:textId="77777777" w:rsidR="0005021E" w:rsidRPr="0005021E" w:rsidRDefault="0005021E" w:rsidP="0005021E">
            <w:pPr>
              <w:pStyle w:val="RCTstable"/>
            </w:pPr>
            <w:r w:rsidRPr="0005021E">
              <w:t>None</w:t>
            </w:r>
          </w:p>
        </w:tc>
        <w:tc>
          <w:tcPr>
            <w:tcW w:w="749" w:type="dxa"/>
            <w:shd w:val="clear" w:color="auto" w:fill="auto"/>
          </w:tcPr>
          <w:p w14:paraId="4D23018A" w14:textId="77777777" w:rsidR="0005021E" w:rsidRPr="0005021E" w:rsidRDefault="0005021E" w:rsidP="0005021E">
            <w:pPr>
              <w:pStyle w:val="RCTstable"/>
            </w:pPr>
            <w:r w:rsidRPr="0005021E">
              <w:t>0</w:t>
            </w:r>
          </w:p>
        </w:tc>
        <w:tc>
          <w:tcPr>
            <w:tcW w:w="1569" w:type="dxa"/>
            <w:shd w:val="clear" w:color="auto" w:fill="auto"/>
          </w:tcPr>
          <w:p w14:paraId="52FEDE61" w14:textId="77777777" w:rsidR="0005021E" w:rsidRPr="0005021E" w:rsidRDefault="0005021E" w:rsidP="0005021E">
            <w:pPr>
              <w:pStyle w:val="RCTstable"/>
            </w:pPr>
            <w:r w:rsidRPr="0005021E">
              <w:t>2-Dec-2019</w:t>
            </w:r>
          </w:p>
        </w:tc>
      </w:tr>
      <w:tr w:rsidR="00DD4C86" w:rsidRPr="0005021E" w14:paraId="617B0C95" w14:textId="77777777" w:rsidTr="00DD4C86">
        <w:tc>
          <w:tcPr>
            <w:tcW w:w="900" w:type="dxa"/>
            <w:shd w:val="clear" w:color="auto" w:fill="auto"/>
          </w:tcPr>
          <w:p w14:paraId="7994C2FF" w14:textId="77777777" w:rsidR="0005021E" w:rsidRPr="0005021E" w:rsidRDefault="0005021E" w:rsidP="0005021E">
            <w:pPr>
              <w:pStyle w:val="RCTstable"/>
            </w:pPr>
            <w:r w:rsidRPr="0005021E">
              <w:t>Cochrane</w:t>
            </w:r>
          </w:p>
        </w:tc>
        <w:tc>
          <w:tcPr>
            <w:tcW w:w="4170" w:type="dxa"/>
            <w:shd w:val="clear" w:color="auto" w:fill="auto"/>
          </w:tcPr>
          <w:p w14:paraId="5B09AA9E" w14:textId="77777777" w:rsidR="0005021E" w:rsidRPr="0005021E" w:rsidRDefault="0005021E" w:rsidP="0005021E">
            <w:pPr>
              <w:pStyle w:val="RCTstable"/>
            </w:pPr>
            <w:r w:rsidRPr="0005021E">
              <w:t>MeSH descriptor: [Pregnancy] explode all trees</w:t>
            </w:r>
          </w:p>
          <w:p w14:paraId="1CE36484" w14:textId="77777777" w:rsidR="0005021E" w:rsidRPr="0005021E" w:rsidRDefault="0005021E" w:rsidP="0005021E">
            <w:pPr>
              <w:pStyle w:val="RCTstable"/>
            </w:pPr>
            <w:r w:rsidRPr="0005021E">
              <w:t>MeSH descriptor: [Prenatal Care] explode all trees</w:t>
            </w:r>
          </w:p>
          <w:p w14:paraId="5A93CBC2" w14:textId="77777777" w:rsidR="0005021E" w:rsidRPr="0005021E" w:rsidRDefault="0005021E" w:rsidP="0005021E">
            <w:pPr>
              <w:pStyle w:val="RCTstable"/>
            </w:pPr>
            <w:r w:rsidRPr="0005021E">
              <w:t>((pregnan* or antepart* or prenatal* or antenatal* or obstetric* or maternal*)):ti,ab,kw</w:t>
            </w:r>
          </w:p>
          <w:p w14:paraId="72FCA6F8" w14:textId="77777777" w:rsidR="0005021E" w:rsidRPr="0005021E" w:rsidRDefault="0005021E" w:rsidP="0005021E">
            <w:pPr>
              <w:pStyle w:val="RCTstable"/>
            </w:pPr>
            <w:r w:rsidRPr="0005021E">
              <w:t>#1 or #2 or #3</w:t>
            </w:r>
          </w:p>
          <w:p w14:paraId="619E5B99" w14:textId="77777777" w:rsidR="0005021E" w:rsidRPr="0005021E" w:rsidRDefault="0005021E" w:rsidP="0005021E">
            <w:pPr>
              <w:pStyle w:val="RCTstable"/>
            </w:pPr>
            <w:r w:rsidRPr="0005021E">
              <w:t>((routine* or regular* or repeat*) next/3 weigh*)</w:t>
            </w:r>
          </w:p>
          <w:p w14:paraId="132CDED1" w14:textId="77777777" w:rsidR="0005021E" w:rsidRPr="0005021E" w:rsidRDefault="0005021E" w:rsidP="0005021E">
            <w:pPr>
              <w:pStyle w:val="RCTstable"/>
            </w:pPr>
            <w:r w:rsidRPr="0005021E">
              <w:t>#4 AND #5</w:t>
            </w:r>
          </w:p>
        </w:tc>
        <w:tc>
          <w:tcPr>
            <w:tcW w:w="905" w:type="dxa"/>
            <w:shd w:val="clear" w:color="auto" w:fill="auto"/>
          </w:tcPr>
          <w:p w14:paraId="3B6CB06C" w14:textId="77777777" w:rsidR="0005021E" w:rsidRPr="0005021E" w:rsidRDefault="0005021E" w:rsidP="0005021E">
            <w:pPr>
              <w:pStyle w:val="RCTstable"/>
            </w:pPr>
            <w:r w:rsidRPr="0005021E">
              <w:t>2014 to 2019</w:t>
            </w:r>
          </w:p>
        </w:tc>
        <w:tc>
          <w:tcPr>
            <w:tcW w:w="888" w:type="dxa"/>
            <w:shd w:val="clear" w:color="auto" w:fill="auto"/>
          </w:tcPr>
          <w:p w14:paraId="53B8F76D" w14:textId="77777777" w:rsidR="0005021E" w:rsidRPr="0005021E" w:rsidRDefault="0005021E" w:rsidP="0005021E">
            <w:pPr>
              <w:pStyle w:val="RCTstable"/>
            </w:pPr>
            <w:r w:rsidRPr="0005021E">
              <w:t>None</w:t>
            </w:r>
          </w:p>
        </w:tc>
        <w:tc>
          <w:tcPr>
            <w:tcW w:w="749" w:type="dxa"/>
            <w:shd w:val="clear" w:color="auto" w:fill="auto"/>
          </w:tcPr>
          <w:p w14:paraId="79F8E26B" w14:textId="77777777" w:rsidR="0005021E" w:rsidRPr="0005021E" w:rsidRDefault="0005021E" w:rsidP="0005021E">
            <w:pPr>
              <w:pStyle w:val="RCTstable"/>
            </w:pPr>
            <w:r w:rsidRPr="0005021E">
              <w:t>2</w:t>
            </w:r>
          </w:p>
        </w:tc>
        <w:tc>
          <w:tcPr>
            <w:tcW w:w="1569" w:type="dxa"/>
            <w:shd w:val="clear" w:color="auto" w:fill="auto"/>
          </w:tcPr>
          <w:p w14:paraId="5C130A32" w14:textId="77777777" w:rsidR="0005021E" w:rsidRPr="0005021E" w:rsidRDefault="0005021E" w:rsidP="0005021E">
            <w:pPr>
              <w:pStyle w:val="RCTstable"/>
            </w:pPr>
            <w:r w:rsidRPr="0005021E">
              <w:t>2-Dec-19</w:t>
            </w:r>
          </w:p>
        </w:tc>
      </w:tr>
    </w:tbl>
    <w:p w14:paraId="7A32394A" w14:textId="6EB72AFC" w:rsidR="0054774D" w:rsidRDefault="008811A6" w:rsidP="008811A6">
      <w:pPr>
        <w:pStyle w:val="Figure"/>
        <w:jc w:val="center"/>
      </w:pPr>
      <w:r>
        <w:rPr>
          <w:noProof/>
          <w:lang w:val="en-AU" w:eastAsia="en-AU"/>
        </w:rPr>
        <w:drawing>
          <wp:inline distT="0" distB="0" distL="0" distR="0" wp14:anchorId="03F90A19" wp14:editId="17458D10">
            <wp:extent cx="3397571" cy="4399524"/>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eight monitoring.png"/>
                    <pic:cNvPicPr/>
                  </pic:nvPicPr>
                  <pic:blipFill>
                    <a:blip r:embed="rId38">
                      <a:extLst>
                        <a:ext uri="{28A0092B-C50C-407E-A947-70E740481C1C}">
                          <a14:useLocalDpi xmlns:a14="http://schemas.microsoft.com/office/drawing/2010/main" val="0"/>
                        </a:ext>
                      </a:extLst>
                    </a:blip>
                    <a:stretch>
                      <a:fillRect/>
                    </a:stretch>
                  </pic:blipFill>
                  <pic:spPr>
                    <a:xfrm>
                      <a:off x="0" y="0"/>
                      <a:ext cx="3406447" cy="4411017"/>
                    </a:xfrm>
                    <a:prstGeom prst="rect">
                      <a:avLst/>
                    </a:prstGeom>
                  </pic:spPr>
                </pic:pic>
              </a:graphicData>
            </a:graphic>
          </wp:inline>
        </w:drawing>
      </w:r>
    </w:p>
    <w:p w14:paraId="1DA597E8" w14:textId="3EC53673" w:rsidR="000356EE" w:rsidRPr="00626EBC" w:rsidRDefault="0005021E" w:rsidP="000356EE">
      <w:pPr>
        <w:pStyle w:val="Figurename"/>
      </w:pPr>
      <w:r>
        <w:t>PRISMA</w:t>
      </w:r>
      <w:r w:rsidR="0054774D">
        <w:t xml:space="preserve"> diagram: weight monitoring</w:t>
      </w:r>
    </w:p>
    <w:p w14:paraId="23661ED7" w14:textId="4BDE82BA" w:rsidR="0005021E" w:rsidRDefault="00FC0478" w:rsidP="0024028A">
      <w:pPr>
        <w:pStyle w:val="Heading4"/>
      </w:pPr>
      <w:r>
        <w:t>Risk assessments for women with low or high BMI (question 8)</w:t>
      </w:r>
    </w:p>
    <w:p w14:paraId="1C896F2F" w14:textId="0DC01277" w:rsidR="0024028A" w:rsidRPr="0024028A" w:rsidRDefault="0024028A" w:rsidP="0024028A">
      <w:pPr>
        <w:pStyle w:val="TableRCTs"/>
        <w:keepNext/>
        <w:keepLines/>
        <w:rPr>
          <w:b/>
        </w:rPr>
      </w:pPr>
      <w:r w:rsidRPr="0024028A">
        <w:rPr>
          <w:b/>
        </w:rPr>
        <w:t>Current search dates: All to 28-feb-20</w:t>
      </w:r>
    </w:p>
    <w:p w14:paraId="5F7B2C70" w14:textId="77777777" w:rsidR="0024028A" w:rsidRPr="00196D36" w:rsidRDefault="0024028A" w:rsidP="0024028A">
      <w:pPr>
        <w:pStyle w:val="TableRCTs"/>
        <w:keepNext/>
        <w:keepLines/>
      </w:pPr>
    </w:p>
    <w:tbl>
      <w:tblPr>
        <w:tblStyle w:val="TableGrid"/>
        <w:tblW w:w="9751" w:type="dxa"/>
        <w:tblLayout w:type="fixed"/>
        <w:tblLook w:val="04A0" w:firstRow="1" w:lastRow="0" w:firstColumn="1" w:lastColumn="0" w:noHBand="0" w:noVBand="1"/>
      </w:tblPr>
      <w:tblGrid>
        <w:gridCol w:w="900"/>
        <w:gridCol w:w="5024"/>
        <w:gridCol w:w="992"/>
        <w:gridCol w:w="1276"/>
        <w:gridCol w:w="851"/>
        <w:gridCol w:w="708"/>
      </w:tblGrid>
      <w:tr w:rsidR="0024028A" w:rsidRPr="0024028A" w14:paraId="79BC2150" w14:textId="77777777" w:rsidTr="0024028A">
        <w:trPr>
          <w:tblHeader/>
        </w:trPr>
        <w:tc>
          <w:tcPr>
            <w:tcW w:w="900" w:type="dxa"/>
            <w:shd w:val="clear" w:color="auto" w:fill="auto"/>
          </w:tcPr>
          <w:p w14:paraId="1364B57F" w14:textId="77777777" w:rsidR="0024028A" w:rsidRPr="0024028A" w:rsidRDefault="0024028A" w:rsidP="0024028A">
            <w:pPr>
              <w:pStyle w:val="TableRCTs"/>
              <w:rPr>
                <w:b/>
              </w:rPr>
            </w:pPr>
            <w:r w:rsidRPr="0024028A">
              <w:rPr>
                <w:b/>
              </w:rPr>
              <w:t>Database</w:t>
            </w:r>
          </w:p>
        </w:tc>
        <w:tc>
          <w:tcPr>
            <w:tcW w:w="5024" w:type="dxa"/>
            <w:shd w:val="clear" w:color="auto" w:fill="auto"/>
          </w:tcPr>
          <w:p w14:paraId="19937B0B" w14:textId="77777777" w:rsidR="0024028A" w:rsidRPr="0024028A" w:rsidRDefault="0024028A" w:rsidP="0024028A">
            <w:pPr>
              <w:pStyle w:val="TableRCTs"/>
              <w:rPr>
                <w:b/>
              </w:rPr>
            </w:pPr>
            <w:r w:rsidRPr="0024028A">
              <w:rPr>
                <w:b/>
              </w:rPr>
              <w:t>Search Strategy</w:t>
            </w:r>
          </w:p>
        </w:tc>
        <w:tc>
          <w:tcPr>
            <w:tcW w:w="992" w:type="dxa"/>
            <w:shd w:val="clear" w:color="auto" w:fill="auto"/>
          </w:tcPr>
          <w:p w14:paraId="49E4076C" w14:textId="77777777" w:rsidR="0024028A" w:rsidRPr="0024028A" w:rsidRDefault="0024028A" w:rsidP="0024028A">
            <w:pPr>
              <w:pStyle w:val="TableRCTs"/>
              <w:rPr>
                <w:b/>
              </w:rPr>
            </w:pPr>
            <w:r w:rsidRPr="0024028A">
              <w:rPr>
                <w:b/>
              </w:rPr>
              <w:t>Dates Searched</w:t>
            </w:r>
          </w:p>
        </w:tc>
        <w:tc>
          <w:tcPr>
            <w:tcW w:w="1276" w:type="dxa"/>
            <w:shd w:val="clear" w:color="auto" w:fill="auto"/>
          </w:tcPr>
          <w:p w14:paraId="4BFD9D70" w14:textId="77777777" w:rsidR="0024028A" w:rsidRPr="0024028A" w:rsidRDefault="0024028A" w:rsidP="0024028A">
            <w:pPr>
              <w:pStyle w:val="TableRCTs"/>
              <w:rPr>
                <w:b/>
              </w:rPr>
            </w:pPr>
            <w:r w:rsidRPr="0024028A">
              <w:rPr>
                <w:b/>
              </w:rPr>
              <w:t>Limits set</w:t>
            </w:r>
          </w:p>
        </w:tc>
        <w:tc>
          <w:tcPr>
            <w:tcW w:w="851" w:type="dxa"/>
            <w:shd w:val="clear" w:color="auto" w:fill="auto"/>
          </w:tcPr>
          <w:p w14:paraId="5B8DBE68" w14:textId="77777777" w:rsidR="0024028A" w:rsidRPr="0024028A" w:rsidRDefault="0024028A" w:rsidP="0024028A">
            <w:pPr>
              <w:pStyle w:val="TableRCTs"/>
              <w:rPr>
                <w:b/>
              </w:rPr>
            </w:pPr>
            <w:r w:rsidRPr="0024028A">
              <w:rPr>
                <w:b/>
              </w:rPr>
              <w:t>Results</w:t>
            </w:r>
          </w:p>
        </w:tc>
        <w:tc>
          <w:tcPr>
            <w:tcW w:w="708" w:type="dxa"/>
            <w:shd w:val="clear" w:color="auto" w:fill="auto"/>
          </w:tcPr>
          <w:p w14:paraId="67CE8B1F" w14:textId="77777777" w:rsidR="0024028A" w:rsidRPr="0024028A" w:rsidRDefault="0024028A" w:rsidP="0024028A">
            <w:pPr>
              <w:pStyle w:val="TableRCTs"/>
              <w:rPr>
                <w:b/>
              </w:rPr>
            </w:pPr>
            <w:r w:rsidRPr="0024028A">
              <w:rPr>
                <w:b/>
              </w:rPr>
              <w:t>Date of search</w:t>
            </w:r>
          </w:p>
        </w:tc>
      </w:tr>
      <w:tr w:rsidR="0024028A" w:rsidRPr="0024028A" w14:paraId="282F25C0" w14:textId="77777777" w:rsidTr="0024028A">
        <w:tc>
          <w:tcPr>
            <w:tcW w:w="900" w:type="dxa"/>
            <w:shd w:val="clear" w:color="auto" w:fill="auto"/>
          </w:tcPr>
          <w:p w14:paraId="41570056" w14:textId="77777777" w:rsidR="0024028A" w:rsidRPr="0024028A" w:rsidRDefault="0024028A" w:rsidP="0024028A">
            <w:pPr>
              <w:pStyle w:val="TableRCTs"/>
            </w:pPr>
            <w:r w:rsidRPr="0024028A">
              <w:t>Pubmed</w:t>
            </w:r>
          </w:p>
          <w:p w14:paraId="41B4A9E6" w14:textId="77777777" w:rsidR="0024028A" w:rsidRPr="0024028A" w:rsidRDefault="0024028A" w:rsidP="0024028A">
            <w:pPr>
              <w:pStyle w:val="TableRCTs"/>
            </w:pPr>
            <w:r w:rsidRPr="0024028A">
              <w:t>*Issues due to lack of proximity syntax</w:t>
            </w:r>
          </w:p>
        </w:tc>
        <w:tc>
          <w:tcPr>
            <w:tcW w:w="5024" w:type="dxa"/>
            <w:shd w:val="clear" w:color="auto" w:fill="auto"/>
          </w:tcPr>
          <w:p w14:paraId="4AE6C168" w14:textId="77777777" w:rsidR="0024028A" w:rsidRPr="0024028A" w:rsidRDefault="0024028A" w:rsidP="0024028A">
            <w:pPr>
              <w:pStyle w:val="TableRCTs"/>
            </w:pPr>
            <w:r w:rsidRPr="0024028A">
              <w:t>“Pregnancy” Mesh</w:t>
            </w:r>
          </w:p>
          <w:p w14:paraId="11969F5B" w14:textId="77777777" w:rsidR="0024028A" w:rsidRPr="0024028A" w:rsidRDefault="0024028A" w:rsidP="0024028A">
            <w:pPr>
              <w:pStyle w:val="TableRCTs"/>
            </w:pPr>
            <w:r w:rsidRPr="0024028A">
              <w:t>“prenatal care”Mesh</w:t>
            </w:r>
          </w:p>
          <w:p w14:paraId="5A6C211A" w14:textId="77777777" w:rsidR="0024028A" w:rsidRPr="0024028A" w:rsidRDefault="0024028A" w:rsidP="0024028A">
            <w:pPr>
              <w:pStyle w:val="TableRCTs"/>
            </w:pPr>
            <w:r w:rsidRPr="0024028A">
              <w:t>"pregnan*" OR "antepart*" OR "prenatal*" OR "antenatal*" OR "obstetric*" OR "maternal*"</w:t>
            </w:r>
          </w:p>
          <w:p w14:paraId="013EC162" w14:textId="77777777" w:rsidR="0024028A" w:rsidRPr="0024028A" w:rsidRDefault="0024028A" w:rsidP="0024028A">
            <w:pPr>
              <w:pStyle w:val="TableRCTs"/>
            </w:pPr>
            <w:r w:rsidRPr="0024028A">
              <w:t>1 OR 2 OR 3</w:t>
            </w:r>
          </w:p>
          <w:p w14:paraId="5F8D8565" w14:textId="77777777" w:rsidR="0024028A" w:rsidRPr="0024028A" w:rsidRDefault="0024028A" w:rsidP="0024028A">
            <w:pPr>
              <w:pStyle w:val="TableRCTs"/>
            </w:pPr>
            <w:r w:rsidRPr="0024028A">
              <w:t>“Thinness”[Mesh]</w:t>
            </w:r>
          </w:p>
          <w:p w14:paraId="534367C1" w14:textId="77777777" w:rsidR="0024028A" w:rsidRPr="0024028A" w:rsidRDefault="0024028A" w:rsidP="0024028A">
            <w:pPr>
              <w:pStyle w:val="TableRCTs"/>
            </w:pPr>
            <w:r w:rsidRPr="0024028A">
              <w:t>("low* BMI" OR "low* body mass index" OR "underweight" OR "under weight" OR "low* weight")</w:t>
            </w:r>
          </w:p>
          <w:p w14:paraId="5BF04A47" w14:textId="77777777" w:rsidR="0024028A" w:rsidRPr="0024028A" w:rsidRDefault="0024028A" w:rsidP="0024028A">
            <w:pPr>
              <w:pStyle w:val="TableRCTs"/>
            </w:pPr>
            <w:r w:rsidRPr="0024028A">
              <w:t>5 OR 6</w:t>
            </w:r>
          </w:p>
          <w:p w14:paraId="2C5E669A" w14:textId="77777777" w:rsidR="0024028A" w:rsidRPr="0024028A" w:rsidRDefault="0024028A" w:rsidP="0024028A">
            <w:pPr>
              <w:pStyle w:val="TableRCTs"/>
            </w:pPr>
            <w:r w:rsidRPr="0024028A">
              <w:t>4 AND 7</w:t>
            </w:r>
          </w:p>
        </w:tc>
        <w:tc>
          <w:tcPr>
            <w:tcW w:w="992" w:type="dxa"/>
            <w:shd w:val="clear" w:color="auto" w:fill="auto"/>
          </w:tcPr>
          <w:p w14:paraId="3C92EF7F" w14:textId="77777777" w:rsidR="0024028A" w:rsidRPr="0024028A" w:rsidRDefault="0024028A" w:rsidP="0024028A">
            <w:pPr>
              <w:pStyle w:val="TableRCTs"/>
            </w:pPr>
            <w:r w:rsidRPr="0024028A">
              <w:t>All</w:t>
            </w:r>
          </w:p>
        </w:tc>
        <w:tc>
          <w:tcPr>
            <w:tcW w:w="1276" w:type="dxa"/>
            <w:shd w:val="clear" w:color="auto" w:fill="auto"/>
          </w:tcPr>
          <w:p w14:paraId="6BFAB4E6" w14:textId="77777777" w:rsidR="0024028A" w:rsidRPr="0024028A" w:rsidRDefault="0024028A" w:rsidP="0024028A">
            <w:pPr>
              <w:pStyle w:val="TableRCTs"/>
            </w:pPr>
            <w:r w:rsidRPr="0024028A">
              <w:t>English Language</w:t>
            </w:r>
          </w:p>
          <w:p w14:paraId="0BFACCA0" w14:textId="77777777" w:rsidR="0024028A" w:rsidRPr="0024028A" w:rsidRDefault="0024028A" w:rsidP="0024028A">
            <w:pPr>
              <w:pStyle w:val="TableRCTs"/>
            </w:pPr>
            <w:r w:rsidRPr="0024028A">
              <w:t>Humans</w:t>
            </w:r>
          </w:p>
          <w:p w14:paraId="2F88CD59" w14:textId="77777777" w:rsidR="0024028A" w:rsidRPr="0024028A" w:rsidRDefault="0024028A" w:rsidP="0024028A">
            <w:pPr>
              <w:pStyle w:val="TableRCTs"/>
            </w:pPr>
          </w:p>
        </w:tc>
        <w:tc>
          <w:tcPr>
            <w:tcW w:w="851" w:type="dxa"/>
            <w:shd w:val="clear" w:color="auto" w:fill="auto"/>
          </w:tcPr>
          <w:p w14:paraId="2E3AA427" w14:textId="77777777" w:rsidR="0024028A" w:rsidRPr="0024028A" w:rsidRDefault="0024028A" w:rsidP="0024028A">
            <w:pPr>
              <w:pStyle w:val="TableRCTs"/>
            </w:pPr>
            <w:r w:rsidRPr="0024028A">
              <w:t>1743</w:t>
            </w:r>
          </w:p>
        </w:tc>
        <w:tc>
          <w:tcPr>
            <w:tcW w:w="708" w:type="dxa"/>
            <w:shd w:val="clear" w:color="auto" w:fill="auto"/>
          </w:tcPr>
          <w:p w14:paraId="1AB83753" w14:textId="77777777" w:rsidR="0024028A" w:rsidRPr="0024028A" w:rsidRDefault="0024028A" w:rsidP="0024028A">
            <w:pPr>
              <w:pStyle w:val="TableRCTs"/>
            </w:pPr>
            <w:r w:rsidRPr="0024028A">
              <w:t>28-Feb-20</w:t>
            </w:r>
          </w:p>
        </w:tc>
      </w:tr>
      <w:tr w:rsidR="0024028A" w:rsidRPr="0024028A" w14:paraId="35B66938" w14:textId="77777777" w:rsidTr="0024028A">
        <w:tc>
          <w:tcPr>
            <w:tcW w:w="900" w:type="dxa"/>
            <w:shd w:val="clear" w:color="auto" w:fill="auto"/>
          </w:tcPr>
          <w:p w14:paraId="33C7EBE0" w14:textId="77777777" w:rsidR="0024028A" w:rsidRPr="0024028A" w:rsidRDefault="0024028A" w:rsidP="0024028A">
            <w:pPr>
              <w:pStyle w:val="TableRCTs"/>
            </w:pPr>
            <w:bookmarkStart w:id="256" w:name="_Hlk33185405"/>
            <w:r w:rsidRPr="0024028A">
              <w:t>Ovid medline</w:t>
            </w:r>
          </w:p>
        </w:tc>
        <w:tc>
          <w:tcPr>
            <w:tcW w:w="5024" w:type="dxa"/>
            <w:shd w:val="clear" w:color="auto" w:fill="auto"/>
          </w:tcPr>
          <w:p w14:paraId="17B0C1E6" w14:textId="77777777" w:rsidR="0024028A" w:rsidRPr="0024028A" w:rsidRDefault="0024028A" w:rsidP="0024028A">
            <w:pPr>
              <w:pStyle w:val="TableRCTs"/>
            </w:pPr>
            <w:r w:rsidRPr="0024028A">
              <w:t>Exp pregnancy/</w:t>
            </w:r>
          </w:p>
          <w:p w14:paraId="730B6001" w14:textId="77777777" w:rsidR="0024028A" w:rsidRPr="0024028A" w:rsidRDefault="0024028A" w:rsidP="0024028A">
            <w:pPr>
              <w:pStyle w:val="TableRCTs"/>
            </w:pPr>
            <w:r w:rsidRPr="0024028A">
              <w:t>Exp prenatal care/</w:t>
            </w:r>
          </w:p>
          <w:p w14:paraId="166F0332" w14:textId="77777777" w:rsidR="0024028A" w:rsidRPr="0024028A" w:rsidRDefault="0024028A" w:rsidP="0024028A">
            <w:pPr>
              <w:pStyle w:val="TableRCTs"/>
            </w:pPr>
            <w:r w:rsidRPr="0024028A">
              <w:t>(pregnan* or antepart* or prenatal* or antenatal* or obstetric* or maternal*).mp.</w:t>
            </w:r>
          </w:p>
          <w:p w14:paraId="3BDA6051" w14:textId="77777777" w:rsidR="0024028A" w:rsidRPr="0024028A" w:rsidRDefault="0024028A" w:rsidP="0024028A">
            <w:pPr>
              <w:pStyle w:val="TableRCTs"/>
            </w:pPr>
            <w:r w:rsidRPr="0024028A">
              <w:t>1 or 2 or 3</w:t>
            </w:r>
          </w:p>
          <w:p w14:paraId="43ADE462" w14:textId="77777777" w:rsidR="0024028A" w:rsidRPr="0024028A" w:rsidRDefault="0024028A" w:rsidP="0024028A">
            <w:pPr>
              <w:pStyle w:val="TableRCTs"/>
            </w:pPr>
            <w:r w:rsidRPr="0024028A">
              <w:t>exp Thinness/</w:t>
            </w:r>
          </w:p>
          <w:p w14:paraId="011F5F18" w14:textId="77777777" w:rsidR="0024028A" w:rsidRPr="0024028A" w:rsidRDefault="0024028A" w:rsidP="0024028A">
            <w:pPr>
              <w:pStyle w:val="TableRCTs"/>
            </w:pPr>
            <w:r w:rsidRPr="0024028A">
              <w:t>("low* BMI" or "low* body mass index" or "underweight" or "under weight" or "low* weight").mp</w:t>
            </w:r>
          </w:p>
          <w:p w14:paraId="2B8FC6E1" w14:textId="77777777" w:rsidR="0024028A" w:rsidRPr="0024028A" w:rsidRDefault="0024028A" w:rsidP="0024028A">
            <w:pPr>
              <w:pStyle w:val="TableRCTs"/>
            </w:pPr>
            <w:r w:rsidRPr="0024028A">
              <w:t>5 OR 6</w:t>
            </w:r>
          </w:p>
          <w:p w14:paraId="45CD7131" w14:textId="77777777" w:rsidR="0024028A" w:rsidRPr="0024028A" w:rsidRDefault="0024028A" w:rsidP="0024028A">
            <w:pPr>
              <w:pStyle w:val="TableRCTs"/>
            </w:pPr>
            <w:r w:rsidRPr="0024028A">
              <w:t>4 and 7</w:t>
            </w:r>
          </w:p>
        </w:tc>
        <w:tc>
          <w:tcPr>
            <w:tcW w:w="992" w:type="dxa"/>
            <w:shd w:val="clear" w:color="auto" w:fill="auto"/>
          </w:tcPr>
          <w:p w14:paraId="757C46C4" w14:textId="77777777" w:rsidR="0024028A" w:rsidRPr="0024028A" w:rsidRDefault="0024028A" w:rsidP="0024028A">
            <w:pPr>
              <w:pStyle w:val="TableRCTs"/>
            </w:pPr>
            <w:r w:rsidRPr="0024028A">
              <w:t>All</w:t>
            </w:r>
          </w:p>
        </w:tc>
        <w:tc>
          <w:tcPr>
            <w:tcW w:w="1276" w:type="dxa"/>
            <w:shd w:val="clear" w:color="auto" w:fill="auto"/>
          </w:tcPr>
          <w:p w14:paraId="3BB3CD2E" w14:textId="77777777" w:rsidR="0024028A" w:rsidRPr="0024028A" w:rsidRDefault="0024028A" w:rsidP="0024028A">
            <w:pPr>
              <w:pStyle w:val="TableRCTs"/>
            </w:pPr>
            <w:r w:rsidRPr="0024028A">
              <w:t>English Language</w:t>
            </w:r>
          </w:p>
          <w:p w14:paraId="7BD340D6" w14:textId="77777777" w:rsidR="0024028A" w:rsidRPr="0024028A" w:rsidRDefault="0024028A" w:rsidP="0024028A">
            <w:pPr>
              <w:pStyle w:val="TableRCTs"/>
            </w:pPr>
            <w:r w:rsidRPr="0024028A">
              <w:t>Humans</w:t>
            </w:r>
          </w:p>
          <w:p w14:paraId="726B5DDB" w14:textId="77777777" w:rsidR="0024028A" w:rsidRPr="0024028A" w:rsidRDefault="0024028A" w:rsidP="0024028A">
            <w:pPr>
              <w:pStyle w:val="TableRCTs"/>
            </w:pPr>
          </w:p>
        </w:tc>
        <w:tc>
          <w:tcPr>
            <w:tcW w:w="851" w:type="dxa"/>
            <w:shd w:val="clear" w:color="auto" w:fill="auto"/>
          </w:tcPr>
          <w:p w14:paraId="1BFC8E2D" w14:textId="77777777" w:rsidR="0024028A" w:rsidRPr="0024028A" w:rsidRDefault="0024028A" w:rsidP="0024028A">
            <w:pPr>
              <w:pStyle w:val="TableRCTs"/>
            </w:pPr>
            <w:r w:rsidRPr="0024028A">
              <w:t>2744</w:t>
            </w:r>
          </w:p>
        </w:tc>
        <w:tc>
          <w:tcPr>
            <w:tcW w:w="708" w:type="dxa"/>
            <w:shd w:val="clear" w:color="auto" w:fill="auto"/>
          </w:tcPr>
          <w:p w14:paraId="42E71250" w14:textId="77777777" w:rsidR="0024028A" w:rsidRPr="0024028A" w:rsidRDefault="0024028A" w:rsidP="0024028A">
            <w:pPr>
              <w:pStyle w:val="TableRCTs"/>
            </w:pPr>
            <w:r w:rsidRPr="0024028A">
              <w:t>28-Feb-20</w:t>
            </w:r>
          </w:p>
        </w:tc>
      </w:tr>
      <w:bookmarkEnd w:id="256"/>
      <w:tr w:rsidR="0024028A" w:rsidRPr="0024028A" w14:paraId="59DA268A" w14:textId="77777777" w:rsidTr="0024028A">
        <w:tc>
          <w:tcPr>
            <w:tcW w:w="900" w:type="dxa"/>
            <w:shd w:val="clear" w:color="auto" w:fill="auto"/>
          </w:tcPr>
          <w:p w14:paraId="31EF613C" w14:textId="77777777" w:rsidR="0024028A" w:rsidRPr="0024028A" w:rsidRDefault="0024028A" w:rsidP="0024028A">
            <w:pPr>
              <w:pStyle w:val="TableRCTs"/>
            </w:pPr>
            <w:r w:rsidRPr="0024028A">
              <w:t>Embase*</w:t>
            </w:r>
          </w:p>
        </w:tc>
        <w:tc>
          <w:tcPr>
            <w:tcW w:w="5024" w:type="dxa"/>
            <w:shd w:val="clear" w:color="auto" w:fill="auto"/>
          </w:tcPr>
          <w:p w14:paraId="4772171C" w14:textId="77777777" w:rsidR="0024028A" w:rsidRPr="0024028A" w:rsidRDefault="0024028A" w:rsidP="0024028A">
            <w:pPr>
              <w:pStyle w:val="TableRCTs"/>
            </w:pPr>
            <w:r w:rsidRPr="0024028A">
              <w:rPr>
                <w:rFonts w:eastAsiaTheme="minorEastAsia"/>
              </w:rPr>
              <w:t>'pregnancy'</w:t>
            </w:r>
            <w:r w:rsidRPr="0024028A">
              <w:t>/exp OR </w:t>
            </w:r>
            <w:r w:rsidRPr="0024028A">
              <w:rPr>
                <w:rFonts w:eastAsiaTheme="minorEastAsia"/>
              </w:rPr>
              <w:t>'prenatal care'</w:t>
            </w:r>
            <w:r w:rsidRPr="0024028A">
              <w:t>/exp OR ((</w:t>
            </w:r>
            <w:r w:rsidRPr="0024028A">
              <w:rPr>
                <w:rFonts w:eastAsiaTheme="minorEastAsia"/>
              </w:rPr>
              <w:t>pregnan*</w:t>
            </w:r>
            <w:r w:rsidRPr="0024028A">
              <w:t> OR </w:t>
            </w:r>
            <w:r w:rsidRPr="0024028A">
              <w:rPr>
                <w:rFonts w:eastAsiaTheme="minorEastAsia"/>
              </w:rPr>
              <w:t>antepart*</w:t>
            </w:r>
            <w:r w:rsidRPr="0024028A">
              <w:t> OR </w:t>
            </w:r>
            <w:r w:rsidRPr="0024028A">
              <w:rPr>
                <w:rFonts w:eastAsiaTheme="minorEastAsia"/>
              </w:rPr>
              <w:t>prenatal*</w:t>
            </w:r>
            <w:r w:rsidRPr="0024028A">
              <w:t> OR </w:t>
            </w:r>
            <w:r w:rsidRPr="0024028A">
              <w:rPr>
                <w:rFonts w:eastAsiaTheme="minorEastAsia"/>
              </w:rPr>
              <w:t>antenatal*</w:t>
            </w:r>
            <w:r w:rsidRPr="0024028A">
              <w:t> OR </w:t>
            </w:r>
            <w:r w:rsidRPr="0024028A">
              <w:rPr>
                <w:rFonts w:eastAsiaTheme="minorEastAsia"/>
              </w:rPr>
              <w:t>obstetric*</w:t>
            </w:r>
            <w:r w:rsidRPr="0024028A">
              <w:t> OR </w:t>
            </w:r>
            <w:r w:rsidRPr="0024028A">
              <w:rPr>
                <w:rFonts w:eastAsiaTheme="minorEastAsia"/>
              </w:rPr>
              <w:t>maternal*</w:t>
            </w:r>
            <w:r w:rsidRPr="0024028A">
              <w:t>) AND </w:t>
            </w:r>
            <w:r w:rsidRPr="0024028A">
              <w:rPr>
                <w:rFonts w:eastAsiaTheme="minorEastAsia"/>
              </w:rPr>
              <w:t>ti,ab,kw</w:t>
            </w:r>
            <w:r w:rsidRPr="0024028A">
              <w:t>)</w:t>
            </w:r>
          </w:p>
          <w:p w14:paraId="7EED5E9E" w14:textId="77777777" w:rsidR="0024028A" w:rsidRPr="0024028A" w:rsidRDefault="0024028A" w:rsidP="0024028A">
            <w:pPr>
              <w:pStyle w:val="TableRCTs"/>
            </w:pPr>
            <w:r w:rsidRPr="0024028A">
              <w:rPr>
                <w:rFonts w:eastAsiaTheme="minorEastAsia"/>
              </w:rPr>
              <w:t>'underweight'</w:t>
            </w:r>
            <w:r w:rsidRPr="0024028A">
              <w:t>/exp OR ((</w:t>
            </w:r>
            <w:r w:rsidRPr="0024028A">
              <w:rPr>
                <w:rFonts w:eastAsiaTheme="minorEastAsia"/>
              </w:rPr>
              <w:t>low*</w:t>
            </w:r>
            <w:r w:rsidRPr="0024028A">
              <w:t> NEXT/1 </w:t>
            </w:r>
            <w:r w:rsidRPr="0024028A">
              <w:rPr>
                <w:rFonts w:eastAsiaTheme="minorEastAsia"/>
              </w:rPr>
              <w:t>weigh*</w:t>
            </w:r>
            <w:r w:rsidRPr="0024028A">
              <w:t>):ti,ab,kw) OR ((</w:t>
            </w:r>
            <w:r w:rsidRPr="0024028A">
              <w:rPr>
                <w:rFonts w:eastAsiaTheme="minorEastAsia"/>
              </w:rPr>
              <w:t>low*</w:t>
            </w:r>
            <w:r w:rsidRPr="0024028A">
              <w:t> NEXT/2 </w:t>
            </w:r>
            <w:r w:rsidRPr="0024028A">
              <w:rPr>
                <w:rFonts w:eastAsiaTheme="minorEastAsia"/>
              </w:rPr>
              <w:t>bmi</w:t>
            </w:r>
            <w:r w:rsidRPr="0024028A">
              <w:t>):ti,ab,kw) OR </w:t>
            </w:r>
            <w:r w:rsidRPr="0024028A">
              <w:rPr>
                <w:rFonts w:eastAsiaTheme="minorEastAsia"/>
              </w:rPr>
              <w:t>underweight</w:t>
            </w:r>
            <w:r w:rsidRPr="0024028A">
              <w:t>:ti,ab,kw OR ((</w:t>
            </w:r>
            <w:r w:rsidRPr="0024028A">
              <w:rPr>
                <w:rFonts w:eastAsiaTheme="minorEastAsia"/>
              </w:rPr>
              <w:t>under</w:t>
            </w:r>
            <w:r w:rsidRPr="0024028A">
              <w:t> NEXT/1 </w:t>
            </w:r>
            <w:r w:rsidRPr="0024028A">
              <w:rPr>
                <w:rFonts w:eastAsiaTheme="minorEastAsia"/>
              </w:rPr>
              <w:t>weigh*</w:t>
            </w:r>
            <w:r w:rsidRPr="0024028A">
              <w:t>):ti,ab,kw) OR ((</w:t>
            </w:r>
            <w:r w:rsidRPr="0024028A">
              <w:rPr>
                <w:rFonts w:eastAsiaTheme="minorEastAsia"/>
              </w:rPr>
              <w:t>low*</w:t>
            </w:r>
            <w:r w:rsidRPr="0024028A">
              <w:t> NEXT/2 </w:t>
            </w:r>
            <w:r w:rsidRPr="0024028A">
              <w:rPr>
                <w:rFonts w:eastAsiaTheme="minorEastAsia"/>
              </w:rPr>
              <w:t>'body mass index'</w:t>
            </w:r>
            <w:r w:rsidRPr="0024028A">
              <w:t>):ti,ab,kw)</w:t>
            </w:r>
          </w:p>
          <w:p w14:paraId="7353BE3E" w14:textId="77777777" w:rsidR="0024028A" w:rsidRPr="0024028A" w:rsidRDefault="0024028A" w:rsidP="0024028A">
            <w:pPr>
              <w:pStyle w:val="TableRCTs"/>
            </w:pPr>
            <w:r w:rsidRPr="0024028A">
              <w:rPr>
                <w:rFonts w:eastAsiaTheme="minorEastAsia"/>
              </w:rPr>
              <w:t>#1 AND #7</w:t>
            </w:r>
          </w:p>
        </w:tc>
        <w:tc>
          <w:tcPr>
            <w:tcW w:w="992" w:type="dxa"/>
            <w:shd w:val="clear" w:color="auto" w:fill="auto"/>
          </w:tcPr>
          <w:p w14:paraId="6EB6519F" w14:textId="77777777" w:rsidR="0024028A" w:rsidRPr="0024028A" w:rsidRDefault="0024028A" w:rsidP="0024028A">
            <w:pPr>
              <w:pStyle w:val="TableRCTs"/>
            </w:pPr>
            <w:r w:rsidRPr="0024028A">
              <w:t>All</w:t>
            </w:r>
          </w:p>
        </w:tc>
        <w:tc>
          <w:tcPr>
            <w:tcW w:w="1276" w:type="dxa"/>
            <w:shd w:val="clear" w:color="auto" w:fill="auto"/>
          </w:tcPr>
          <w:p w14:paraId="63663FC3" w14:textId="77777777" w:rsidR="0024028A" w:rsidRPr="0024028A" w:rsidRDefault="0024028A" w:rsidP="0024028A">
            <w:pPr>
              <w:pStyle w:val="TableRCTs"/>
            </w:pPr>
            <w:r w:rsidRPr="0024028A">
              <w:t>English Language</w:t>
            </w:r>
          </w:p>
          <w:p w14:paraId="64A9178B" w14:textId="77777777" w:rsidR="0024028A" w:rsidRPr="0024028A" w:rsidRDefault="0024028A" w:rsidP="0024028A">
            <w:pPr>
              <w:pStyle w:val="TableRCTs"/>
            </w:pPr>
            <w:r w:rsidRPr="0024028A">
              <w:t>Humans</w:t>
            </w:r>
          </w:p>
          <w:p w14:paraId="45F92B6D" w14:textId="77777777" w:rsidR="0024028A" w:rsidRPr="0024028A" w:rsidRDefault="0024028A" w:rsidP="0024028A">
            <w:pPr>
              <w:pStyle w:val="TableRCTs"/>
            </w:pPr>
          </w:p>
        </w:tc>
        <w:tc>
          <w:tcPr>
            <w:tcW w:w="851" w:type="dxa"/>
            <w:shd w:val="clear" w:color="auto" w:fill="auto"/>
          </w:tcPr>
          <w:p w14:paraId="0303DF13" w14:textId="77777777" w:rsidR="0024028A" w:rsidRPr="0024028A" w:rsidRDefault="0024028A" w:rsidP="0024028A">
            <w:pPr>
              <w:pStyle w:val="TableRCTs"/>
            </w:pPr>
            <w:r w:rsidRPr="0024028A">
              <w:t>2537</w:t>
            </w:r>
          </w:p>
        </w:tc>
        <w:tc>
          <w:tcPr>
            <w:tcW w:w="708" w:type="dxa"/>
            <w:shd w:val="clear" w:color="auto" w:fill="auto"/>
          </w:tcPr>
          <w:p w14:paraId="469193A6" w14:textId="77777777" w:rsidR="0024028A" w:rsidRPr="0024028A" w:rsidRDefault="0024028A" w:rsidP="0024028A">
            <w:pPr>
              <w:pStyle w:val="TableRCTs"/>
            </w:pPr>
            <w:r w:rsidRPr="0024028A">
              <w:t>28-Feb-20</w:t>
            </w:r>
          </w:p>
        </w:tc>
      </w:tr>
      <w:tr w:rsidR="0024028A" w:rsidRPr="0024028A" w14:paraId="369DFE28" w14:textId="77777777" w:rsidTr="0024028A">
        <w:tc>
          <w:tcPr>
            <w:tcW w:w="900" w:type="dxa"/>
            <w:shd w:val="clear" w:color="auto" w:fill="auto"/>
          </w:tcPr>
          <w:p w14:paraId="210567CF" w14:textId="77777777" w:rsidR="0024028A" w:rsidRPr="0024028A" w:rsidRDefault="0024028A" w:rsidP="0024028A">
            <w:pPr>
              <w:pStyle w:val="TableRCTs"/>
            </w:pPr>
            <w:r w:rsidRPr="0024028A">
              <w:t>CINAHL</w:t>
            </w:r>
          </w:p>
        </w:tc>
        <w:tc>
          <w:tcPr>
            <w:tcW w:w="5024" w:type="dxa"/>
            <w:shd w:val="clear" w:color="auto" w:fill="auto"/>
          </w:tcPr>
          <w:p w14:paraId="676C2459" w14:textId="77777777" w:rsidR="0024028A" w:rsidRPr="0024028A" w:rsidRDefault="0024028A" w:rsidP="0024028A">
            <w:pPr>
              <w:pStyle w:val="TableRCTs"/>
            </w:pPr>
            <w:r w:rsidRPr="0024028A">
              <w:t>(MH "Pregnancy+") OR (MH "pregnancy care+") </w:t>
            </w:r>
          </w:p>
          <w:p w14:paraId="3ABB545B" w14:textId="77777777" w:rsidR="0024028A" w:rsidRPr="0024028A" w:rsidRDefault="0024028A" w:rsidP="0024028A">
            <w:pPr>
              <w:pStyle w:val="TableRCTs"/>
            </w:pPr>
            <w:r w:rsidRPr="0024028A">
              <w:t>(pregnan* or antepart* or prenatal* or antenatal* or obstetric* or maternal*) </w:t>
            </w:r>
          </w:p>
          <w:p w14:paraId="3FA001B9" w14:textId="77777777" w:rsidR="0024028A" w:rsidRPr="0024028A" w:rsidRDefault="0024028A" w:rsidP="0024028A">
            <w:pPr>
              <w:pStyle w:val="TableRCTs"/>
            </w:pPr>
            <w:r w:rsidRPr="0024028A">
              <w:t>S1 OR S2</w:t>
            </w:r>
          </w:p>
          <w:p w14:paraId="786EE7CD" w14:textId="77777777" w:rsidR="0024028A" w:rsidRPr="0024028A" w:rsidRDefault="0024028A" w:rsidP="0024028A">
            <w:pPr>
              <w:pStyle w:val="TableRCTs"/>
            </w:pPr>
            <w:r w:rsidRPr="0024028A">
              <w:t>(MM "Thinness")</w:t>
            </w:r>
          </w:p>
          <w:p w14:paraId="51BF9C42" w14:textId="77777777" w:rsidR="0024028A" w:rsidRPr="0024028A" w:rsidRDefault="0024028A" w:rsidP="0024028A">
            <w:pPr>
              <w:pStyle w:val="TableRCTs"/>
            </w:pPr>
            <w:r w:rsidRPr="0024028A">
              <w:t>TX ( ((“low* N0 weigh*”) OR (“low* N0 BMI”) OR “underweight” OR (“Under N0 weigh*”) OR (“low*” N1 (“body mass index”)) )</w:t>
            </w:r>
          </w:p>
          <w:p w14:paraId="3EDA6253" w14:textId="77777777" w:rsidR="0024028A" w:rsidRPr="0024028A" w:rsidRDefault="0024028A" w:rsidP="0024028A">
            <w:pPr>
              <w:pStyle w:val="TableRCTs"/>
            </w:pPr>
            <w:r w:rsidRPr="0024028A">
              <w:t>S3 AND (S5 OR S6)</w:t>
            </w:r>
          </w:p>
        </w:tc>
        <w:tc>
          <w:tcPr>
            <w:tcW w:w="992" w:type="dxa"/>
            <w:shd w:val="clear" w:color="auto" w:fill="auto"/>
          </w:tcPr>
          <w:p w14:paraId="5AFAD587" w14:textId="77777777" w:rsidR="0024028A" w:rsidRPr="0024028A" w:rsidRDefault="0024028A" w:rsidP="0024028A">
            <w:pPr>
              <w:pStyle w:val="TableRCTs"/>
            </w:pPr>
            <w:r w:rsidRPr="0024028A">
              <w:t>All</w:t>
            </w:r>
          </w:p>
        </w:tc>
        <w:tc>
          <w:tcPr>
            <w:tcW w:w="1276" w:type="dxa"/>
            <w:shd w:val="clear" w:color="auto" w:fill="auto"/>
          </w:tcPr>
          <w:p w14:paraId="63DE91E7" w14:textId="77777777" w:rsidR="0024028A" w:rsidRPr="0024028A" w:rsidRDefault="0024028A" w:rsidP="0024028A">
            <w:pPr>
              <w:pStyle w:val="TableRCTs"/>
            </w:pPr>
            <w:r w:rsidRPr="0024028A">
              <w:t>English Language</w:t>
            </w:r>
          </w:p>
          <w:p w14:paraId="6C904067" w14:textId="77777777" w:rsidR="0024028A" w:rsidRPr="0024028A" w:rsidRDefault="0024028A" w:rsidP="0024028A">
            <w:pPr>
              <w:pStyle w:val="TableRCTs"/>
            </w:pPr>
          </w:p>
        </w:tc>
        <w:tc>
          <w:tcPr>
            <w:tcW w:w="851" w:type="dxa"/>
            <w:shd w:val="clear" w:color="auto" w:fill="auto"/>
          </w:tcPr>
          <w:p w14:paraId="7503A86D" w14:textId="77777777" w:rsidR="0024028A" w:rsidRPr="0024028A" w:rsidRDefault="0024028A" w:rsidP="0024028A">
            <w:pPr>
              <w:pStyle w:val="TableRCTs"/>
            </w:pPr>
            <w:r w:rsidRPr="0024028A">
              <w:t>3111</w:t>
            </w:r>
          </w:p>
        </w:tc>
        <w:tc>
          <w:tcPr>
            <w:tcW w:w="708" w:type="dxa"/>
            <w:shd w:val="clear" w:color="auto" w:fill="auto"/>
          </w:tcPr>
          <w:p w14:paraId="286144ED" w14:textId="77777777" w:rsidR="0024028A" w:rsidRPr="0024028A" w:rsidRDefault="0024028A" w:rsidP="0024028A">
            <w:pPr>
              <w:pStyle w:val="TableRCTs"/>
            </w:pPr>
            <w:r w:rsidRPr="0024028A">
              <w:t>28-Feb-20</w:t>
            </w:r>
          </w:p>
        </w:tc>
      </w:tr>
      <w:tr w:rsidR="0024028A" w:rsidRPr="0024028A" w14:paraId="6E2C370D" w14:textId="77777777" w:rsidTr="0024028A">
        <w:tc>
          <w:tcPr>
            <w:tcW w:w="900" w:type="dxa"/>
            <w:shd w:val="clear" w:color="auto" w:fill="auto"/>
          </w:tcPr>
          <w:p w14:paraId="662C1800" w14:textId="77777777" w:rsidR="0024028A" w:rsidRPr="0024028A" w:rsidRDefault="0024028A" w:rsidP="0024028A">
            <w:pPr>
              <w:pStyle w:val="TableRCTs"/>
            </w:pPr>
            <w:r w:rsidRPr="0024028A">
              <w:t>SCOPUS</w:t>
            </w:r>
          </w:p>
        </w:tc>
        <w:tc>
          <w:tcPr>
            <w:tcW w:w="5024" w:type="dxa"/>
            <w:shd w:val="clear" w:color="auto" w:fill="auto"/>
          </w:tcPr>
          <w:p w14:paraId="44A19F2D" w14:textId="77777777" w:rsidR="0024028A" w:rsidRPr="0024028A" w:rsidRDefault="0024028A" w:rsidP="0024028A">
            <w:pPr>
              <w:pStyle w:val="TableRCTs"/>
            </w:pPr>
            <w:r w:rsidRPr="0024028A">
              <w:rPr>
                <w:rFonts w:eastAsiaTheme="majorEastAsia"/>
              </w:rPr>
              <w:t>TITLE-ABS-KEY</w:t>
            </w:r>
            <w:r w:rsidRPr="0024028A">
              <w:t> </w:t>
            </w:r>
            <w:r w:rsidRPr="0024028A">
              <w:rPr>
                <w:rFonts w:eastAsiaTheme="majorEastAsia"/>
              </w:rPr>
              <w:t>(</w:t>
            </w:r>
            <w:r w:rsidRPr="0024028A">
              <w:t> </w:t>
            </w:r>
            <w:r w:rsidRPr="0024028A">
              <w:rPr>
                <w:rFonts w:eastAsiaTheme="majorEastAsia"/>
              </w:rPr>
              <w:t>(</w:t>
            </w:r>
            <w:r w:rsidRPr="0024028A">
              <w:t> </w:t>
            </w:r>
            <w:r w:rsidRPr="0024028A">
              <w:rPr>
                <w:rFonts w:eastAsiaTheme="majorEastAsia"/>
              </w:rPr>
              <w:t>(</w:t>
            </w:r>
            <w:r w:rsidRPr="0024028A">
              <w:t> "pregnan*"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"prenatal*"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"antepart*"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"prenatal*" </w:t>
            </w:r>
            <w:r w:rsidRPr="0024028A">
              <w:rPr>
                <w:rFonts w:eastAsiaTheme="majorEastAsia"/>
              </w:rPr>
              <w:t>)</w:t>
            </w:r>
            <w:r w:rsidRPr="0024028A">
              <w:t>  </w:t>
            </w:r>
          </w:p>
          <w:p w14:paraId="07645FC3" w14:textId="77777777" w:rsidR="0024028A" w:rsidRPr="0024028A" w:rsidRDefault="0024028A" w:rsidP="0024028A">
            <w:pPr>
              <w:pStyle w:val="TableRCTs"/>
            </w:pPr>
            <w:r w:rsidRPr="0024028A">
              <w:rPr>
                <w:rFonts w:eastAsiaTheme="majorEastAsia"/>
              </w:rPr>
              <w:t>OR</w:t>
            </w:r>
            <w:r w:rsidRPr="0024028A">
              <w:t>  </w:t>
            </w:r>
            <w:r w:rsidRPr="0024028A">
              <w:rPr>
                <w:rFonts w:eastAsiaTheme="majorEastAsia"/>
              </w:rPr>
              <w:t>(</w:t>
            </w:r>
            <w:r w:rsidRPr="0024028A">
              <w:t> "antenatal*"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"obstetric*"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"maternal*" </w:t>
            </w:r>
            <w:r w:rsidRPr="0024028A">
              <w:rPr>
                <w:rFonts w:eastAsiaTheme="majorEastAsia"/>
              </w:rPr>
              <w:t>)</w:t>
            </w:r>
            <w:r w:rsidRPr="0024028A">
              <w:t> </w:t>
            </w:r>
            <w:r w:rsidRPr="0024028A">
              <w:rPr>
                <w:rFonts w:eastAsiaTheme="majorEastAsia"/>
              </w:rPr>
              <w:t>)</w:t>
            </w:r>
            <w:r w:rsidRPr="0024028A">
              <w:t>  </w:t>
            </w:r>
          </w:p>
          <w:p w14:paraId="30BA6A39" w14:textId="77777777" w:rsidR="0024028A" w:rsidRPr="0024028A" w:rsidRDefault="0024028A" w:rsidP="0024028A">
            <w:pPr>
              <w:pStyle w:val="TableRCTs"/>
            </w:pPr>
            <w:r w:rsidRPr="0024028A">
              <w:rPr>
                <w:rFonts w:eastAsiaTheme="majorEastAsia"/>
              </w:rPr>
              <w:t>AND</w:t>
            </w:r>
            <w:r w:rsidRPr="0024028A">
              <w:t>  </w:t>
            </w:r>
          </w:p>
          <w:p w14:paraId="7A89D0E3" w14:textId="77777777" w:rsidR="0024028A" w:rsidRPr="0024028A" w:rsidRDefault="0024028A" w:rsidP="0024028A">
            <w:pPr>
              <w:pStyle w:val="TableRCTs"/>
            </w:pPr>
            <w:r w:rsidRPr="0024028A">
              <w:rPr>
                <w:rFonts w:eastAsiaTheme="majorEastAsia"/>
              </w:rPr>
              <w:t>TITLE-ABS-KEY</w:t>
            </w:r>
            <w:r w:rsidRPr="0024028A">
              <w:t> </w:t>
            </w:r>
            <w:r w:rsidRPr="0024028A">
              <w:rPr>
                <w:rFonts w:eastAsiaTheme="majorEastAsia"/>
              </w:rPr>
              <w:t>(</w:t>
            </w:r>
            <w:r w:rsidRPr="0024028A">
              <w:t> </w:t>
            </w:r>
            <w:r w:rsidRPr="0024028A">
              <w:rPr>
                <w:rFonts w:eastAsiaTheme="majorEastAsia"/>
              </w:rPr>
              <w:t>(</w:t>
            </w:r>
            <w:r w:rsidRPr="0024028A">
              <w:t> "low* PRE/0 weigh*"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"low* PRE/0 BMI"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"underweight"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"Under PRE/0 weigh*" </w:t>
            </w:r>
            <w:r w:rsidRPr="0024028A">
              <w:rPr>
                <w:rFonts w:eastAsiaTheme="majorEastAsia"/>
              </w:rPr>
              <w:t>)</w:t>
            </w:r>
            <w:r w:rsidRPr="0024028A">
              <w:t>  </w:t>
            </w:r>
            <w:r w:rsidRPr="0024028A">
              <w:rPr>
                <w:rFonts w:eastAsiaTheme="majorEastAsia"/>
              </w:rPr>
              <w:t>OR</w:t>
            </w:r>
            <w:r w:rsidRPr="0024028A">
              <w:t>  </w:t>
            </w:r>
            <w:r w:rsidRPr="0024028A">
              <w:rPr>
                <w:rFonts w:eastAsiaTheme="majorEastAsia"/>
              </w:rPr>
              <w:t>(</w:t>
            </w:r>
            <w:r w:rsidRPr="0024028A">
              <w:t> "low*"  </w:t>
            </w:r>
            <w:r w:rsidRPr="0024028A">
              <w:rPr>
                <w:rFonts w:eastAsiaTheme="majorEastAsia"/>
              </w:rPr>
              <w:t>PRE/1</w:t>
            </w:r>
            <w:r w:rsidRPr="0024028A">
              <w:t>  </w:t>
            </w:r>
            <w:r w:rsidRPr="0024028A">
              <w:rPr>
                <w:rFonts w:eastAsiaTheme="majorEastAsia"/>
              </w:rPr>
              <w:t>(</w:t>
            </w:r>
            <w:r w:rsidRPr="0024028A">
              <w:t> "body mass index" </w:t>
            </w:r>
            <w:r w:rsidRPr="0024028A">
              <w:rPr>
                <w:rFonts w:eastAsiaTheme="majorEastAsia"/>
              </w:rPr>
              <w:t>)</w:t>
            </w:r>
            <w:r w:rsidRPr="0024028A">
              <w:t> </w:t>
            </w:r>
            <w:r w:rsidRPr="0024028A">
              <w:rPr>
                <w:rFonts w:eastAsiaTheme="majorEastAsia"/>
              </w:rPr>
              <w:t>)</w:t>
            </w:r>
            <w:r w:rsidRPr="0024028A">
              <w:t> </w:t>
            </w:r>
            <w:r w:rsidRPr="0024028A">
              <w:rPr>
                <w:rFonts w:eastAsiaTheme="majorEastAsia"/>
              </w:rPr>
              <w:t>)</w:t>
            </w:r>
          </w:p>
          <w:p w14:paraId="141F9FE9" w14:textId="77777777" w:rsidR="0024028A" w:rsidRPr="0024028A" w:rsidRDefault="0024028A" w:rsidP="0024028A">
            <w:pPr>
              <w:pStyle w:val="TableRCTs"/>
            </w:pPr>
          </w:p>
        </w:tc>
        <w:tc>
          <w:tcPr>
            <w:tcW w:w="992" w:type="dxa"/>
            <w:shd w:val="clear" w:color="auto" w:fill="auto"/>
          </w:tcPr>
          <w:p w14:paraId="1C466279" w14:textId="77777777" w:rsidR="0024028A" w:rsidRPr="0024028A" w:rsidRDefault="0024028A" w:rsidP="0024028A">
            <w:pPr>
              <w:pStyle w:val="TableRCTs"/>
            </w:pPr>
            <w:r w:rsidRPr="0024028A">
              <w:t>All</w:t>
            </w:r>
          </w:p>
        </w:tc>
        <w:tc>
          <w:tcPr>
            <w:tcW w:w="1276" w:type="dxa"/>
            <w:shd w:val="clear" w:color="auto" w:fill="auto"/>
          </w:tcPr>
          <w:p w14:paraId="533C719B" w14:textId="77777777" w:rsidR="0024028A" w:rsidRPr="0024028A" w:rsidRDefault="0024028A" w:rsidP="0024028A">
            <w:pPr>
              <w:pStyle w:val="TableRCTs"/>
            </w:pPr>
            <w:r w:rsidRPr="0024028A">
              <w:t>English Language</w:t>
            </w:r>
          </w:p>
          <w:p w14:paraId="50DF233F" w14:textId="77777777" w:rsidR="0024028A" w:rsidRPr="0024028A" w:rsidRDefault="0024028A" w:rsidP="0024028A">
            <w:pPr>
              <w:pStyle w:val="TableRCTs"/>
            </w:pPr>
            <w:r w:rsidRPr="0024028A">
              <w:t>human</w:t>
            </w:r>
          </w:p>
          <w:p w14:paraId="1B57FCDC" w14:textId="77777777" w:rsidR="0024028A" w:rsidRPr="0024028A" w:rsidRDefault="0024028A" w:rsidP="0024028A">
            <w:pPr>
              <w:pStyle w:val="TableRCTs"/>
            </w:pPr>
          </w:p>
        </w:tc>
        <w:tc>
          <w:tcPr>
            <w:tcW w:w="851" w:type="dxa"/>
            <w:shd w:val="clear" w:color="auto" w:fill="auto"/>
          </w:tcPr>
          <w:p w14:paraId="198C36A7" w14:textId="77777777" w:rsidR="0024028A" w:rsidRPr="0024028A" w:rsidRDefault="0024028A" w:rsidP="0024028A">
            <w:pPr>
              <w:pStyle w:val="TableRCTs"/>
            </w:pPr>
            <w:r w:rsidRPr="0024028A">
              <w:t>2573</w:t>
            </w:r>
          </w:p>
        </w:tc>
        <w:tc>
          <w:tcPr>
            <w:tcW w:w="708" w:type="dxa"/>
            <w:shd w:val="clear" w:color="auto" w:fill="auto"/>
          </w:tcPr>
          <w:p w14:paraId="33195705" w14:textId="77777777" w:rsidR="0024028A" w:rsidRPr="0024028A" w:rsidRDefault="0024028A" w:rsidP="0024028A">
            <w:pPr>
              <w:pStyle w:val="TableRCTs"/>
            </w:pPr>
            <w:r w:rsidRPr="0024028A">
              <w:t>28-Feb-20</w:t>
            </w:r>
          </w:p>
        </w:tc>
      </w:tr>
      <w:tr w:rsidR="0024028A" w:rsidRPr="0024028A" w14:paraId="36927A8A" w14:textId="77777777" w:rsidTr="0024028A">
        <w:tc>
          <w:tcPr>
            <w:tcW w:w="900" w:type="dxa"/>
            <w:shd w:val="clear" w:color="auto" w:fill="auto"/>
          </w:tcPr>
          <w:p w14:paraId="3148DE91" w14:textId="77777777" w:rsidR="0024028A" w:rsidRPr="0024028A" w:rsidRDefault="0024028A" w:rsidP="0024028A">
            <w:pPr>
              <w:pStyle w:val="TableRCTs"/>
            </w:pPr>
            <w:r w:rsidRPr="0024028A">
              <w:t>Health Infonet</w:t>
            </w:r>
          </w:p>
        </w:tc>
        <w:tc>
          <w:tcPr>
            <w:tcW w:w="5024" w:type="dxa"/>
            <w:shd w:val="clear" w:color="auto" w:fill="auto"/>
          </w:tcPr>
          <w:p w14:paraId="538F296E" w14:textId="77777777" w:rsidR="0024028A" w:rsidRPr="0024028A" w:rsidRDefault="0024028A" w:rsidP="0024028A">
            <w:pPr>
              <w:pStyle w:val="TableRCTs"/>
            </w:pPr>
            <w:r w:rsidRPr="0024028A">
              <w:t>Title and Policies: weigh*</w:t>
            </w:r>
          </w:p>
        </w:tc>
        <w:tc>
          <w:tcPr>
            <w:tcW w:w="992" w:type="dxa"/>
            <w:shd w:val="clear" w:color="auto" w:fill="auto"/>
          </w:tcPr>
          <w:p w14:paraId="3635491D" w14:textId="77777777" w:rsidR="0024028A" w:rsidRPr="0024028A" w:rsidRDefault="0024028A" w:rsidP="0024028A">
            <w:pPr>
              <w:pStyle w:val="TableRCTs"/>
            </w:pPr>
            <w:r w:rsidRPr="0024028A">
              <w:t>All</w:t>
            </w:r>
          </w:p>
        </w:tc>
        <w:tc>
          <w:tcPr>
            <w:tcW w:w="1276" w:type="dxa"/>
            <w:shd w:val="clear" w:color="auto" w:fill="auto"/>
          </w:tcPr>
          <w:p w14:paraId="3542A372" w14:textId="77777777" w:rsidR="0024028A" w:rsidRPr="0024028A" w:rsidRDefault="0024028A" w:rsidP="0024028A">
            <w:pPr>
              <w:pStyle w:val="TableRCTs"/>
            </w:pPr>
            <w:r w:rsidRPr="0024028A">
              <w:t>-</w:t>
            </w:r>
          </w:p>
        </w:tc>
        <w:tc>
          <w:tcPr>
            <w:tcW w:w="851" w:type="dxa"/>
            <w:shd w:val="clear" w:color="auto" w:fill="auto"/>
          </w:tcPr>
          <w:p w14:paraId="588511F2" w14:textId="77777777" w:rsidR="0024028A" w:rsidRPr="0024028A" w:rsidRDefault="0024028A" w:rsidP="0024028A">
            <w:pPr>
              <w:pStyle w:val="TableRCTs"/>
            </w:pPr>
            <w:r w:rsidRPr="0024028A">
              <w:t>7</w:t>
            </w:r>
          </w:p>
        </w:tc>
        <w:tc>
          <w:tcPr>
            <w:tcW w:w="708" w:type="dxa"/>
            <w:shd w:val="clear" w:color="auto" w:fill="auto"/>
          </w:tcPr>
          <w:p w14:paraId="040E6056" w14:textId="77777777" w:rsidR="0024028A" w:rsidRPr="0024028A" w:rsidRDefault="0024028A" w:rsidP="0024028A">
            <w:pPr>
              <w:pStyle w:val="TableRCTs"/>
            </w:pPr>
            <w:r w:rsidRPr="0024028A">
              <w:t>28-Feb-20</w:t>
            </w:r>
          </w:p>
        </w:tc>
      </w:tr>
      <w:tr w:rsidR="0024028A" w:rsidRPr="0024028A" w14:paraId="65F69E83" w14:textId="77777777" w:rsidTr="0024028A">
        <w:trPr>
          <w:cantSplit/>
        </w:trPr>
        <w:tc>
          <w:tcPr>
            <w:tcW w:w="900" w:type="dxa"/>
            <w:shd w:val="clear" w:color="auto" w:fill="auto"/>
          </w:tcPr>
          <w:p w14:paraId="2C73DBEC" w14:textId="77777777" w:rsidR="0024028A" w:rsidRPr="0024028A" w:rsidRDefault="0024028A" w:rsidP="0024028A">
            <w:pPr>
              <w:pStyle w:val="TableRCTs"/>
            </w:pPr>
            <w:r w:rsidRPr="0024028A">
              <w:t>Cochrane</w:t>
            </w:r>
          </w:p>
        </w:tc>
        <w:tc>
          <w:tcPr>
            <w:tcW w:w="5024" w:type="dxa"/>
            <w:shd w:val="clear" w:color="auto" w:fill="auto"/>
          </w:tcPr>
          <w:p w14:paraId="73C8B3C3" w14:textId="77777777" w:rsidR="0024028A" w:rsidRPr="0024028A" w:rsidRDefault="0024028A" w:rsidP="0024028A">
            <w:pPr>
              <w:pStyle w:val="TableRCTs"/>
            </w:pPr>
            <w:r w:rsidRPr="0024028A">
              <w:t>Date Run:</w:t>
            </w:r>
            <w:r w:rsidRPr="0024028A">
              <w:tab/>
              <w:t>28/02/2020 04:02:34</w:t>
            </w:r>
          </w:p>
          <w:p w14:paraId="75A54788" w14:textId="77777777" w:rsidR="0024028A" w:rsidRPr="0024028A" w:rsidRDefault="0024028A" w:rsidP="0024028A">
            <w:pPr>
              <w:pStyle w:val="TableRCTs"/>
            </w:pPr>
            <w:r w:rsidRPr="0024028A">
              <w:t>Comment:</w:t>
            </w:r>
            <w:r w:rsidRPr="0024028A">
              <w:tab/>
            </w:r>
          </w:p>
          <w:p w14:paraId="60B62ACF" w14:textId="77777777" w:rsidR="0024028A" w:rsidRPr="0024028A" w:rsidRDefault="0024028A" w:rsidP="0024028A">
            <w:pPr>
              <w:pStyle w:val="TableRCTs"/>
            </w:pPr>
          </w:p>
          <w:p w14:paraId="47953186" w14:textId="77777777" w:rsidR="0024028A" w:rsidRPr="0024028A" w:rsidRDefault="0024028A" w:rsidP="0024028A">
            <w:pPr>
              <w:pStyle w:val="TableRCTs"/>
            </w:pPr>
            <w:r w:rsidRPr="0024028A">
              <w:t>ID</w:t>
            </w:r>
            <w:r w:rsidRPr="0024028A">
              <w:tab/>
              <w:t>Search</w:t>
            </w:r>
            <w:r w:rsidRPr="0024028A">
              <w:tab/>
              <w:t>Hits</w:t>
            </w:r>
          </w:p>
          <w:p w14:paraId="4199B1DA" w14:textId="77777777" w:rsidR="0024028A" w:rsidRPr="0024028A" w:rsidRDefault="0024028A" w:rsidP="0024028A">
            <w:pPr>
              <w:pStyle w:val="TableRCTs"/>
            </w:pPr>
          </w:p>
          <w:p w14:paraId="4048DFAC" w14:textId="77777777" w:rsidR="0024028A" w:rsidRPr="0024028A" w:rsidRDefault="0024028A" w:rsidP="0024028A">
            <w:pPr>
              <w:pStyle w:val="TableRCTs"/>
            </w:pPr>
            <w:r w:rsidRPr="0024028A">
              <w:t>#10</w:t>
            </w:r>
            <w:r w:rsidRPr="0024028A">
              <w:tab/>
              <w:t>MeSH descriptor: [Pregnancy] explode all trees</w:t>
            </w:r>
            <w:r w:rsidRPr="0024028A">
              <w:tab/>
              <w:t>7585</w:t>
            </w:r>
          </w:p>
          <w:p w14:paraId="46B99D67" w14:textId="77777777" w:rsidR="0024028A" w:rsidRPr="0024028A" w:rsidRDefault="0024028A" w:rsidP="0024028A">
            <w:pPr>
              <w:pStyle w:val="TableRCTs"/>
            </w:pPr>
            <w:r w:rsidRPr="0024028A">
              <w:t>#11</w:t>
            </w:r>
            <w:r w:rsidRPr="0024028A">
              <w:tab/>
              <w:t>MeSH descriptor: [Prenatal Care] explode all trees</w:t>
            </w:r>
            <w:r w:rsidRPr="0024028A">
              <w:tab/>
              <w:t>1395</w:t>
            </w:r>
          </w:p>
          <w:p w14:paraId="59D8630A" w14:textId="77777777" w:rsidR="0024028A" w:rsidRPr="0024028A" w:rsidRDefault="0024028A" w:rsidP="0024028A">
            <w:pPr>
              <w:pStyle w:val="TableRCTs"/>
            </w:pPr>
            <w:r w:rsidRPr="0024028A">
              <w:t>#12</w:t>
            </w:r>
            <w:r w:rsidRPr="0024028A">
              <w:tab/>
              <w:t>MeSH descriptor: [Pregnant Women] explode all trees</w:t>
            </w:r>
            <w:r w:rsidRPr="0024028A">
              <w:tab/>
              <w:t>239</w:t>
            </w:r>
          </w:p>
          <w:p w14:paraId="5D5C62AE" w14:textId="77777777" w:rsidR="0024028A" w:rsidRPr="0024028A" w:rsidRDefault="0024028A" w:rsidP="0024028A">
            <w:pPr>
              <w:pStyle w:val="TableRCTs"/>
            </w:pPr>
            <w:r w:rsidRPr="0024028A">
              <w:t>#13</w:t>
            </w:r>
            <w:r w:rsidRPr="0024028A">
              <w:tab/>
              <w:t>(('pregnan*') or ('antepart*') or ('prenatal*') or ('antenatal*') or ('obstetric*') or ('maternal*))</w:t>
            </w:r>
            <w:r w:rsidRPr="0024028A">
              <w:tab/>
              <w:t>91470</w:t>
            </w:r>
          </w:p>
          <w:p w14:paraId="3C428434" w14:textId="77777777" w:rsidR="0024028A" w:rsidRPr="0024028A" w:rsidRDefault="0024028A" w:rsidP="0024028A">
            <w:pPr>
              <w:pStyle w:val="TableRCTs"/>
            </w:pPr>
            <w:r w:rsidRPr="0024028A">
              <w:t>#14</w:t>
            </w:r>
            <w:r w:rsidRPr="0024028A">
              <w:tab/>
              <w:t>(('low*') NEXT/1 ('weigh*'))</w:t>
            </w:r>
            <w:r w:rsidRPr="0024028A">
              <w:tab/>
              <w:t>1165</w:t>
            </w:r>
          </w:p>
          <w:p w14:paraId="5ED6944F" w14:textId="77777777" w:rsidR="0024028A" w:rsidRPr="0024028A" w:rsidRDefault="0024028A" w:rsidP="0024028A">
            <w:pPr>
              <w:pStyle w:val="TableRCTs"/>
            </w:pPr>
            <w:r w:rsidRPr="0024028A">
              <w:t>#15</w:t>
            </w:r>
            <w:r w:rsidRPr="0024028A">
              <w:tab/>
              <w:t>(('low*') NEXT/1 ('BMI'))</w:t>
            </w:r>
            <w:r w:rsidRPr="0024028A">
              <w:tab/>
              <w:t>698</w:t>
            </w:r>
          </w:p>
          <w:p w14:paraId="6904773C" w14:textId="77777777" w:rsidR="0024028A" w:rsidRPr="0024028A" w:rsidRDefault="0024028A" w:rsidP="0024028A">
            <w:pPr>
              <w:pStyle w:val="TableRCTs"/>
            </w:pPr>
            <w:r w:rsidRPr="0024028A">
              <w:t>#16</w:t>
            </w:r>
            <w:r w:rsidRPr="0024028A">
              <w:tab/>
              <w:t>('underweight')</w:t>
            </w:r>
            <w:r w:rsidRPr="0024028A">
              <w:tab/>
              <w:t>975</w:t>
            </w:r>
          </w:p>
          <w:p w14:paraId="6B5F1F26" w14:textId="77777777" w:rsidR="0024028A" w:rsidRPr="0024028A" w:rsidRDefault="0024028A" w:rsidP="0024028A">
            <w:pPr>
              <w:pStyle w:val="TableRCTs"/>
            </w:pPr>
            <w:r w:rsidRPr="0024028A">
              <w:t>#17</w:t>
            </w:r>
            <w:r w:rsidRPr="0024028A">
              <w:tab/>
              <w:t>(('Under') NEXT/1 ('weigh*'))</w:t>
            </w:r>
            <w:r w:rsidRPr="0024028A">
              <w:tab/>
              <w:t>67</w:t>
            </w:r>
          </w:p>
          <w:p w14:paraId="3B3AD34A" w14:textId="77777777" w:rsidR="0024028A" w:rsidRPr="0024028A" w:rsidRDefault="0024028A" w:rsidP="0024028A">
            <w:pPr>
              <w:pStyle w:val="TableRCTs"/>
            </w:pPr>
            <w:r w:rsidRPr="0024028A">
              <w:t>#18</w:t>
            </w:r>
            <w:r w:rsidRPr="0024028A">
              <w:tab/>
              <w:t>(('low*') NEXT2 (('body') NEXT1 ('mass') NEXT1 ('index')))</w:t>
            </w:r>
            <w:r w:rsidRPr="0024028A">
              <w:tab/>
              <w:t>302</w:t>
            </w:r>
          </w:p>
          <w:p w14:paraId="5AC899AB" w14:textId="77777777" w:rsidR="0024028A" w:rsidRPr="0024028A" w:rsidRDefault="0024028A" w:rsidP="0024028A">
            <w:pPr>
              <w:pStyle w:val="TableRCTs"/>
            </w:pPr>
            <w:r w:rsidRPr="0024028A">
              <w:t>#19</w:t>
            </w:r>
            <w:r w:rsidRPr="0024028A">
              <w:tab/>
              <w:t>MeSH descriptor: [Thinness] explode all trees</w:t>
            </w:r>
            <w:r w:rsidRPr="0024028A">
              <w:tab/>
              <w:t>284</w:t>
            </w:r>
          </w:p>
          <w:p w14:paraId="5CBC2284" w14:textId="77777777" w:rsidR="0024028A" w:rsidRPr="0024028A" w:rsidRDefault="0024028A" w:rsidP="0024028A">
            <w:pPr>
              <w:pStyle w:val="TableRCTs"/>
              <w:ind w:right="87"/>
            </w:pPr>
            <w:r w:rsidRPr="0024028A">
              <w:t>#20</w:t>
            </w:r>
            <w:r w:rsidRPr="0024028A">
              <w:tab/>
              <w:t>#10 OR #11 OR #12 OR #13</w:t>
            </w:r>
            <w:r w:rsidRPr="0024028A">
              <w:tab/>
              <w:t>91615</w:t>
            </w:r>
          </w:p>
          <w:p w14:paraId="38850349" w14:textId="77777777" w:rsidR="0024028A" w:rsidRPr="0024028A" w:rsidRDefault="0024028A" w:rsidP="0024028A">
            <w:pPr>
              <w:pStyle w:val="TableRCTs"/>
            </w:pPr>
            <w:r w:rsidRPr="0024028A">
              <w:t>#21</w:t>
            </w:r>
            <w:r w:rsidRPr="0024028A">
              <w:tab/>
              <w:t>#14 OR #15 OR #16 OR #17 OR #18 OR #19</w:t>
            </w:r>
            <w:r w:rsidRPr="0024028A">
              <w:tab/>
              <w:t>3311</w:t>
            </w:r>
          </w:p>
          <w:p w14:paraId="61DBDF7C" w14:textId="77777777" w:rsidR="0024028A" w:rsidRPr="0024028A" w:rsidRDefault="0024028A" w:rsidP="0024028A">
            <w:pPr>
              <w:pStyle w:val="TableRCTs"/>
            </w:pPr>
            <w:r w:rsidRPr="0024028A">
              <w:t>#22</w:t>
            </w:r>
            <w:r w:rsidRPr="0024028A">
              <w:tab/>
              <w:t>#20 AND #21 in Cochrane Reviews</w:t>
            </w:r>
            <w:r w:rsidRPr="0024028A">
              <w:tab/>
              <w:t>224</w:t>
            </w:r>
          </w:p>
        </w:tc>
        <w:tc>
          <w:tcPr>
            <w:tcW w:w="992" w:type="dxa"/>
            <w:shd w:val="clear" w:color="auto" w:fill="auto"/>
          </w:tcPr>
          <w:p w14:paraId="4B197B54" w14:textId="77777777" w:rsidR="0024028A" w:rsidRPr="0024028A" w:rsidRDefault="0024028A" w:rsidP="0024028A">
            <w:pPr>
              <w:pStyle w:val="TableRCTs"/>
            </w:pPr>
            <w:r w:rsidRPr="0024028A">
              <w:t>All</w:t>
            </w:r>
          </w:p>
        </w:tc>
        <w:tc>
          <w:tcPr>
            <w:tcW w:w="1276" w:type="dxa"/>
            <w:shd w:val="clear" w:color="auto" w:fill="auto"/>
          </w:tcPr>
          <w:p w14:paraId="2B9D12D8" w14:textId="77777777" w:rsidR="0024028A" w:rsidRPr="0024028A" w:rsidRDefault="0024028A" w:rsidP="0024028A">
            <w:pPr>
              <w:pStyle w:val="TableRCTs"/>
            </w:pPr>
            <w:r w:rsidRPr="0024028A">
              <w:t>Cochrane trials</w:t>
            </w:r>
          </w:p>
        </w:tc>
        <w:tc>
          <w:tcPr>
            <w:tcW w:w="851" w:type="dxa"/>
            <w:shd w:val="clear" w:color="auto" w:fill="auto"/>
          </w:tcPr>
          <w:p w14:paraId="43E8AD54" w14:textId="77777777" w:rsidR="0024028A" w:rsidRPr="0024028A" w:rsidRDefault="0024028A" w:rsidP="0024028A">
            <w:pPr>
              <w:pStyle w:val="TableRCTs"/>
            </w:pPr>
            <w:r w:rsidRPr="0024028A">
              <w:t>224</w:t>
            </w:r>
          </w:p>
        </w:tc>
        <w:tc>
          <w:tcPr>
            <w:tcW w:w="708" w:type="dxa"/>
            <w:shd w:val="clear" w:color="auto" w:fill="auto"/>
          </w:tcPr>
          <w:p w14:paraId="504E4695" w14:textId="77777777" w:rsidR="0024028A" w:rsidRPr="0024028A" w:rsidRDefault="0024028A" w:rsidP="0024028A">
            <w:pPr>
              <w:pStyle w:val="TableRCTs"/>
            </w:pPr>
            <w:r w:rsidRPr="0024028A">
              <w:t>28-Feb-20</w:t>
            </w:r>
          </w:p>
        </w:tc>
      </w:tr>
    </w:tbl>
    <w:p w14:paraId="3249EE8A" w14:textId="6F80EB13" w:rsidR="00FC0478" w:rsidRDefault="00C15091" w:rsidP="0024028A">
      <w:pPr>
        <w:pStyle w:val="Figure"/>
      </w:pPr>
      <w:r>
        <w:rPr>
          <w:noProof/>
          <w:lang w:val="en-AU" w:eastAsia="en-AU"/>
        </w:rPr>
        <w:drawing>
          <wp:inline distT="0" distB="0" distL="0" distR="0" wp14:anchorId="3FC72E11" wp14:editId="5CF99E97">
            <wp:extent cx="4011114" cy="3795601"/>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Risk assessment.png"/>
                    <pic:cNvPicPr/>
                  </pic:nvPicPr>
                  <pic:blipFill>
                    <a:blip r:embed="rId39">
                      <a:extLst>
                        <a:ext uri="{28A0092B-C50C-407E-A947-70E740481C1C}">
                          <a14:useLocalDpi xmlns:a14="http://schemas.microsoft.com/office/drawing/2010/main" val="0"/>
                        </a:ext>
                      </a:extLst>
                    </a:blip>
                    <a:stretch>
                      <a:fillRect/>
                    </a:stretch>
                  </pic:blipFill>
                  <pic:spPr>
                    <a:xfrm>
                      <a:off x="0" y="0"/>
                      <a:ext cx="4031545" cy="3814935"/>
                    </a:xfrm>
                    <a:prstGeom prst="rect">
                      <a:avLst/>
                    </a:prstGeom>
                  </pic:spPr>
                </pic:pic>
              </a:graphicData>
            </a:graphic>
          </wp:inline>
        </w:drawing>
      </w:r>
    </w:p>
    <w:p w14:paraId="3A348615" w14:textId="73769122" w:rsidR="0024028A" w:rsidRPr="00FC0478" w:rsidRDefault="0024028A" w:rsidP="0024028A">
      <w:pPr>
        <w:pStyle w:val="Figurename"/>
      </w:pPr>
      <w:r>
        <w:t>PRISMA diagram: Risk assessment</w:t>
      </w:r>
    </w:p>
    <w:p w14:paraId="46948F34" w14:textId="77777777" w:rsidR="000F3838" w:rsidRDefault="000F3838" w:rsidP="008E765F">
      <w:pPr>
        <w:pStyle w:val="Heading2"/>
        <w:numPr>
          <w:ilvl w:val="0"/>
          <w:numId w:val="0"/>
        </w:numPr>
        <w:rPr>
          <w:lang w:val="en-AU"/>
        </w:rPr>
        <w:sectPr w:rsidR="000F3838" w:rsidSect="002F0FE3">
          <w:pgSz w:w="11900" w:h="16820"/>
          <w:pgMar w:top="1134" w:right="1418" w:bottom="1134" w:left="1418" w:header="709" w:footer="709" w:gutter="0"/>
          <w:cols w:space="708"/>
          <w:docGrid w:linePitch="360"/>
        </w:sectPr>
      </w:pPr>
    </w:p>
    <w:p w14:paraId="7B6732BB" w14:textId="099224A5" w:rsidR="008E765F" w:rsidRDefault="000F3838" w:rsidP="008E765F">
      <w:pPr>
        <w:pStyle w:val="Heading2"/>
        <w:numPr>
          <w:ilvl w:val="0"/>
          <w:numId w:val="0"/>
        </w:numPr>
        <w:rPr>
          <w:lang w:val="en-AU"/>
        </w:rPr>
      </w:pPr>
      <w:bookmarkStart w:id="257" w:name="_Toc40956558"/>
      <w:r>
        <w:rPr>
          <w:lang w:val="en-AU"/>
        </w:rPr>
        <w:t>B</w:t>
      </w:r>
      <w:r>
        <w:rPr>
          <w:lang w:val="en-AU"/>
        </w:rPr>
        <w:tab/>
      </w:r>
      <w:r w:rsidR="008E765F">
        <w:rPr>
          <w:lang w:val="en-AU"/>
        </w:rPr>
        <w:t>Assessment of risk of bias in randomised controlled trials</w:t>
      </w:r>
      <w:bookmarkEnd w:id="257"/>
    </w:p>
    <w:p w14:paraId="1957B993" w14:textId="77777777" w:rsidR="002F0FE3" w:rsidRPr="00C12274" w:rsidRDefault="002F0FE3" w:rsidP="002F0FE3">
      <w:pPr>
        <w:pStyle w:val="bullet"/>
      </w:pPr>
      <w:bookmarkStart w:id="258" w:name="_Toc1661193"/>
      <w:r w:rsidRPr="00C12274">
        <w:rPr>
          <w:i/>
        </w:rPr>
        <w:t>Selection bias</w:t>
      </w:r>
      <w:bookmarkEnd w:id="258"/>
      <w:r w:rsidRPr="00C12274">
        <w:t>: Studies were considered at low risk of selection bias if the process of randomised sequence generation and allocation concealment was described, at unclear risk if this process was not described and at high risk if sequence generation was not randomised (eg alternate allocation) and/or allocation was not concealed.</w:t>
      </w:r>
    </w:p>
    <w:p w14:paraId="77325E31" w14:textId="1D66D3CF" w:rsidR="00BF7782" w:rsidRPr="00BF7782" w:rsidRDefault="002F0FE3" w:rsidP="002F0FE3">
      <w:pPr>
        <w:pStyle w:val="bullet"/>
      </w:pPr>
      <w:bookmarkStart w:id="259" w:name="_Toc1661194"/>
      <w:r w:rsidRPr="00C12274">
        <w:rPr>
          <w:i/>
        </w:rPr>
        <w:t xml:space="preserve">Performance </w:t>
      </w:r>
      <w:r w:rsidR="00BF7782">
        <w:rPr>
          <w:i/>
        </w:rPr>
        <w:t xml:space="preserve">bias: </w:t>
      </w:r>
      <w:r w:rsidR="00BF7782" w:rsidRPr="00C12274">
        <w:t xml:space="preserve">Studies were considered at low risk of </w:t>
      </w:r>
      <w:r w:rsidR="00BF7782">
        <w:t>performance</w:t>
      </w:r>
      <w:r w:rsidR="00BF7782" w:rsidRPr="00C12274">
        <w:t xml:space="preserve"> bias if </w:t>
      </w:r>
      <w:r w:rsidR="00BF7782">
        <w:t>participants</w:t>
      </w:r>
      <w:r w:rsidR="00BF7782" w:rsidRPr="00C12274">
        <w:t xml:space="preserve"> were blinded to allocation group, at unclear risk if blinding of </w:t>
      </w:r>
      <w:r w:rsidR="00BF7782">
        <w:t>participants</w:t>
      </w:r>
      <w:r w:rsidR="00BF7782" w:rsidRPr="00C12274">
        <w:t xml:space="preserve"> was not described and at high risk if the study stated that </w:t>
      </w:r>
      <w:r w:rsidR="00BF7782">
        <w:t>participants</w:t>
      </w:r>
      <w:r w:rsidR="00BF7782" w:rsidRPr="00C12274">
        <w:t xml:space="preserve"> were not blinded.</w:t>
      </w:r>
    </w:p>
    <w:p w14:paraId="5576F9B1" w14:textId="12C5431C" w:rsidR="002F0FE3" w:rsidRPr="00C12274" w:rsidRDefault="00BF7782" w:rsidP="002F0FE3">
      <w:pPr>
        <w:pStyle w:val="bullet"/>
      </w:pPr>
      <w:r>
        <w:rPr>
          <w:i/>
        </w:rPr>
        <w:t>D</w:t>
      </w:r>
      <w:r w:rsidR="002F0FE3" w:rsidRPr="00C12274">
        <w:rPr>
          <w:i/>
        </w:rPr>
        <w:t>etection bias</w:t>
      </w:r>
      <w:bookmarkEnd w:id="259"/>
      <w:r w:rsidR="002F0FE3" w:rsidRPr="00C12274">
        <w:t>: Studies were considered at low risk of detection bias if outcome assessors were blinded to allocation group, at unclear risk if blinding of assessors was not described and at high risk if the study stated that assessors were not blinded.</w:t>
      </w:r>
    </w:p>
    <w:p w14:paraId="5055EB78" w14:textId="77777777" w:rsidR="002F0FE3" w:rsidRPr="00C12274" w:rsidRDefault="002F0FE3" w:rsidP="002F0FE3">
      <w:pPr>
        <w:pStyle w:val="bullet"/>
      </w:pPr>
      <w:bookmarkStart w:id="260" w:name="_Toc1661195"/>
      <w:r w:rsidRPr="00C12274">
        <w:rPr>
          <w:i/>
        </w:rPr>
        <w:t>Attrition bias</w:t>
      </w:r>
      <w:bookmarkEnd w:id="260"/>
      <w:r w:rsidRPr="00C12274">
        <w:t>: Studies were considered at low risk of attrition bias if reasons were given for loss to follow-up, attrition was low and loss to follow-up was balanced between groups, at unclear risk if this could not be determined and at high risk if attrition was high and/or unbalanced between groups.</w:t>
      </w:r>
    </w:p>
    <w:p w14:paraId="0B373137" w14:textId="77777777" w:rsidR="002F0FE3" w:rsidRPr="00C12274" w:rsidRDefault="002F0FE3" w:rsidP="002F0FE3">
      <w:pPr>
        <w:pStyle w:val="bullet"/>
      </w:pPr>
      <w:bookmarkStart w:id="261" w:name="_Toc1661196"/>
      <w:r w:rsidRPr="00C12274">
        <w:rPr>
          <w:i/>
        </w:rPr>
        <w:t>Reporting bias</w:t>
      </w:r>
      <w:bookmarkEnd w:id="261"/>
      <w:r w:rsidRPr="00C12274">
        <w:t>: Studies were considered at low risk of reporting bias if all pre-specified outcomes were reported, at unclear risk if the study protocol was not available and at high risk if reporting of some outcomes and not others was incomplete or absent.</w:t>
      </w:r>
    </w:p>
    <w:p w14:paraId="5F67BD8E" w14:textId="77777777" w:rsidR="002F0FE3" w:rsidRPr="00C12274" w:rsidRDefault="002F0FE3" w:rsidP="002F0FE3">
      <w:pPr>
        <w:pStyle w:val="bullet"/>
      </w:pPr>
      <w:bookmarkStart w:id="262" w:name="_Toc1661197"/>
      <w:r w:rsidRPr="00C12274">
        <w:rPr>
          <w:i/>
        </w:rPr>
        <w:t>Other potential sources of bias</w:t>
      </w:r>
      <w:bookmarkEnd w:id="262"/>
      <w:r w:rsidRPr="00C12274">
        <w:t>: Significant differences in participants at baseline was considered another source of bias.</w:t>
      </w:r>
    </w:p>
    <w:p w14:paraId="6D05F534" w14:textId="321DDCB3" w:rsidR="00222039" w:rsidRDefault="00222039" w:rsidP="0030223E">
      <w:pPr>
        <w:pStyle w:val="TableName"/>
        <w:ind w:left="1134" w:hanging="1134"/>
      </w:pPr>
      <w:bookmarkStart w:id="263" w:name="_Toc40956690"/>
      <w:r>
        <w:t>Summary of risk of bias across studies — probiotics</w:t>
      </w:r>
      <w:bookmarkEnd w:id="263"/>
    </w:p>
    <w:p w14:paraId="648493C0" w14:textId="02473A8C" w:rsidR="00222039" w:rsidRDefault="00F0709F" w:rsidP="00222039">
      <w:pPr>
        <w:pStyle w:val="Figure"/>
        <w:rPr>
          <w:noProof/>
        </w:rPr>
      </w:pPr>
      <w:r>
        <w:rPr>
          <w:noProof/>
          <w:lang w:val="en-AU" w:eastAsia="en-AU"/>
        </w:rPr>
        <w:drawing>
          <wp:inline distT="0" distB="0" distL="0" distR="0" wp14:anchorId="019DC7FB" wp14:editId="0A298E3E">
            <wp:extent cx="5755640" cy="2365375"/>
            <wp:effectExtent l="0" t="0" r="101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sk of bias graph.png"/>
                    <pic:cNvPicPr/>
                  </pic:nvPicPr>
                  <pic:blipFill>
                    <a:blip r:embed="rId40">
                      <a:extLst>
                        <a:ext uri="{28A0092B-C50C-407E-A947-70E740481C1C}">
                          <a14:useLocalDpi xmlns:a14="http://schemas.microsoft.com/office/drawing/2010/main" val="0"/>
                        </a:ext>
                      </a:extLst>
                    </a:blip>
                    <a:stretch>
                      <a:fillRect/>
                    </a:stretch>
                  </pic:blipFill>
                  <pic:spPr>
                    <a:xfrm>
                      <a:off x="0" y="0"/>
                      <a:ext cx="5755640" cy="2365375"/>
                    </a:xfrm>
                    <a:prstGeom prst="rect">
                      <a:avLst/>
                    </a:prstGeom>
                  </pic:spPr>
                </pic:pic>
              </a:graphicData>
            </a:graphic>
          </wp:inline>
        </w:drawing>
      </w:r>
    </w:p>
    <w:p w14:paraId="2CDC3F99" w14:textId="37AA7151" w:rsidR="00AB72E9" w:rsidRDefault="00AB72E9" w:rsidP="0030223E">
      <w:pPr>
        <w:pStyle w:val="TableName"/>
        <w:ind w:left="1134" w:hanging="1134"/>
      </w:pPr>
      <w:bookmarkStart w:id="264" w:name="_Toc40956691"/>
      <w:r>
        <w:t>Summary of risk of bias across studies — weighing</w:t>
      </w:r>
      <w:bookmarkEnd w:id="264"/>
    </w:p>
    <w:p w14:paraId="16DDF389" w14:textId="74D6C62A" w:rsidR="00AB72E9" w:rsidRDefault="00AB72E9" w:rsidP="00AB72E9">
      <w:pPr>
        <w:pStyle w:val="Figure"/>
        <w:rPr>
          <w:noProof/>
        </w:rPr>
      </w:pPr>
      <w:r>
        <w:rPr>
          <w:noProof/>
          <w:lang w:val="en-AU" w:eastAsia="en-AU"/>
        </w:rPr>
        <w:drawing>
          <wp:inline distT="0" distB="0" distL="0" distR="0" wp14:anchorId="6E7D32B7" wp14:editId="4D75B4EB">
            <wp:extent cx="5755640" cy="2365375"/>
            <wp:effectExtent l="0" t="0" r="1016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k of bias graph.png"/>
                    <pic:cNvPicPr/>
                  </pic:nvPicPr>
                  <pic:blipFill>
                    <a:blip r:embed="rId41">
                      <a:extLst>
                        <a:ext uri="{28A0092B-C50C-407E-A947-70E740481C1C}">
                          <a14:useLocalDpi xmlns:a14="http://schemas.microsoft.com/office/drawing/2010/main" val="0"/>
                        </a:ext>
                      </a:extLst>
                    </a:blip>
                    <a:stretch>
                      <a:fillRect/>
                    </a:stretch>
                  </pic:blipFill>
                  <pic:spPr>
                    <a:xfrm>
                      <a:off x="0" y="0"/>
                      <a:ext cx="5755640" cy="2365375"/>
                    </a:xfrm>
                    <a:prstGeom prst="rect">
                      <a:avLst/>
                    </a:prstGeom>
                  </pic:spPr>
                </pic:pic>
              </a:graphicData>
            </a:graphic>
          </wp:inline>
        </w:drawing>
      </w:r>
    </w:p>
    <w:p w14:paraId="348CB617" w14:textId="18808E40" w:rsidR="001F4320" w:rsidRDefault="001F4320" w:rsidP="0030223E">
      <w:pPr>
        <w:pStyle w:val="TableName"/>
        <w:ind w:left="1134" w:hanging="1134"/>
      </w:pPr>
      <w:bookmarkStart w:id="265" w:name="_Toc40956692"/>
      <w:r>
        <w:t>Summary of risk of bias across studies — dietary interventions</w:t>
      </w:r>
      <w:bookmarkEnd w:id="265"/>
    </w:p>
    <w:p w14:paraId="79E5F9B0" w14:textId="497BAA6C" w:rsidR="00E20E76" w:rsidRDefault="00E20E76" w:rsidP="00E20E76">
      <w:pPr>
        <w:pStyle w:val="Figure"/>
      </w:pPr>
      <w:r>
        <w:rPr>
          <w:noProof/>
          <w:lang w:val="en-AU" w:eastAsia="en-AU"/>
        </w:rPr>
        <w:drawing>
          <wp:inline distT="0" distB="0" distL="0" distR="0" wp14:anchorId="2845BF9C" wp14:editId="53C306D4">
            <wp:extent cx="5755640" cy="2365375"/>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k of bias graph diet interventions.png"/>
                    <pic:cNvPicPr/>
                  </pic:nvPicPr>
                  <pic:blipFill>
                    <a:blip r:embed="rId42">
                      <a:extLst>
                        <a:ext uri="{28A0092B-C50C-407E-A947-70E740481C1C}">
                          <a14:useLocalDpi xmlns:a14="http://schemas.microsoft.com/office/drawing/2010/main" val="0"/>
                        </a:ext>
                      </a:extLst>
                    </a:blip>
                    <a:stretch>
                      <a:fillRect/>
                    </a:stretch>
                  </pic:blipFill>
                  <pic:spPr>
                    <a:xfrm>
                      <a:off x="0" y="0"/>
                      <a:ext cx="5755640" cy="2365375"/>
                    </a:xfrm>
                    <a:prstGeom prst="rect">
                      <a:avLst/>
                    </a:prstGeom>
                  </pic:spPr>
                </pic:pic>
              </a:graphicData>
            </a:graphic>
          </wp:inline>
        </w:drawing>
      </w:r>
    </w:p>
    <w:p w14:paraId="366014A6" w14:textId="77777777" w:rsidR="00F8645A" w:rsidRDefault="00F8645A" w:rsidP="0030223E">
      <w:pPr>
        <w:pStyle w:val="TableName"/>
        <w:ind w:left="1134" w:hanging="1134"/>
      </w:pPr>
      <w:bookmarkStart w:id="266" w:name="_Toc40956693"/>
      <w:r>
        <w:t>Summary of risk of bias across studies — exercise interventions</w:t>
      </w:r>
      <w:bookmarkEnd w:id="266"/>
    </w:p>
    <w:p w14:paraId="51DDB477" w14:textId="47A596BB" w:rsidR="004D6048" w:rsidRDefault="006045AE" w:rsidP="00E20E76">
      <w:pPr>
        <w:pStyle w:val="Figure"/>
      </w:pPr>
      <w:r>
        <w:rPr>
          <w:noProof/>
          <w:lang w:val="en-AU" w:eastAsia="en-AU"/>
        </w:rPr>
        <w:drawing>
          <wp:inline distT="0" distB="0" distL="0" distR="0" wp14:anchorId="36946005" wp14:editId="53CBA45C">
            <wp:extent cx="5755640" cy="2365375"/>
            <wp:effectExtent l="0" t="0" r="1016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Risk of bias graph.png"/>
                    <pic:cNvPicPr/>
                  </pic:nvPicPr>
                  <pic:blipFill>
                    <a:blip r:embed="rId43">
                      <a:extLst>
                        <a:ext uri="{28A0092B-C50C-407E-A947-70E740481C1C}">
                          <a14:useLocalDpi xmlns:a14="http://schemas.microsoft.com/office/drawing/2010/main" val="0"/>
                        </a:ext>
                      </a:extLst>
                    </a:blip>
                    <a:stretch>
                      <a:fillRect/>
                    </a:stretch>
                  </pic:blipFill>
                  <pic:spPr>
                    <a:xfrm>
                      <a:off x="0" y="0"/>
                      <a:ext cx="5755640" cy="2365375"/>
                    </a:xfrm>
                    <a:prstGeom prst="rect">
                      <a:avLst/>
                    </a:prstGeom>
                  </pic:spPr>
                </pic:pic>
              </a:graphicData>
            </a:graphic>
          </wp:inline>
        </w:drawing>
      </w:r>
    </w:p>
    <w:p w14:paraId="29DFE1BB" w14:textId="1F04F947" w:rsidR="002F0FE3" w:rsidRPr="00C12274" w:rsidRDefault="002F0FE3" w:rsidP="0030223E">
      <w:pPr>
        <w:pStyle w:val="TableName"/>
        <w:ind w:left="1134" w:hanging="1134"/>
      </w:pPr>
      <w:bookmarkStart w:id="267" w:name="_Toc40956694"/>
      <w:r w:rsidRPr="00C12274">
        <w:t>Summary of risk of bias across studies</w:t>
      </w:r>
      <w:r>
        <w:t xml:space="preserve"> </w:t>
      </w:r>
      <w:r w:rsidRPr="003E22EF">
        <w:t>— lifestyle counselling interventions</w:t>
      </w:r>
      <w:bookmarkEnd w:id="267"/>
    </w:p>
    <w:p w14:paraId="0EDA9975" w14:textId="0E850DE9" w:rsidR="002F0FE3" w:rsidRPr="00341FE8" w:rsidRDefault="004D6048" w:rsidP="004D6048">
      <w:pPr>
        <w:pStyle w:val="Figure"/>
      </w:pPr>
      <w:r>
        <w:rPr>
          <w:noProof/>
          <w:lang w:val="en-AU" w:eastAsia="en-AU"/>
        </w:rPr>
        <w:drawing>
          <wp:inline distT="0" distB="0" distL="0" distR="0" wp14:anchorId="21736822" wp14:editId="138AE0C5">
            <wp:extent cx="5755640" cy="2365375"/>
            <wp:effectExtent l="0" t="0" r="1016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Risk of bias graph.png"/>
                    <pic:cNvPicPr/>
                  </pic:nvPicPr>
                  <pic:blipFill>
                    <a:blip r:embed="rId44">
                      <a:extLst>
                        <a:ext uri="{28A0092B-C50C-407E-A947-70E740481C1C}">
                          <a14:useLocalDpi xmlns:a14="http://schemas.microsoft.com/office/drawing/2010/main" val="0"/>
                        </a:ext>
                      </a:extLst>
                    </a:blip>
                    <a:stretch>
                      <a:fillRect/>
                    </a:stretch>
                  </pic:blipFill>
                  <pic:spPr>
                    <a:xfrm>
                      <a:off x="0" y="0"/>
                      <a:ext cx="5755640" cy="2365375"/>
                    </a:xfrm>
                    <a:prstGeom prst="rect">
                      <a:avLst/>
                    </a:prstGeom>
                  </pic:spPr>
                </pic:pic>
              </a:graphicData>
            </a:graphic>
          </wp:inline>
        </w:drawing>
      </w:r>
    </w:p>
    <w:p w14:paraId="7D804239" w14:textId="77777777" w:rsidR="002F0FE3" w:rsidRPr="002F0FE3" w:rsidRDefault="002F0FE3" w:rsidP="002F0FE3">
      <w:pPr>
        <w:rPr>
          <w:lang w:val="en-AU"/>
        </w:rPr>
      </w:pPr>
    </w:p>
    <w:p w14:paraId="36B969CE" w14:textId="77777777" w:rsidR="002F0FE3" w:rsidRDefault="002F0FE3" w:rsidP="008E765F">
      <w:pPr>
        <w:pStyle w:val="Heading3"/>
        <w:numPr>
          <w:ilvl w:val="0"/>
          <w:numId w:val="0"/>
        </w:numPr>
        <w:rPr>
          <w:lang w:val="en"/>
        </w:rPr>
        <w:sectPr w:rsidR="002F0FE3" w:rsidSect="002F0FE3">
          <w:pgSz w:w="11900" w:h="16820"/>
          <w:pgMar w:top="1134" w:right="1418" w:bottom="1134" w:left="1418" w:header="709" w:footer="709" w:gutter="0"/>
          <w:cols w:space="708"/>
          <w:docGrid w:linePitch="360"/>
        </w:sectPr>
      </w:pPr>
    </w:p>
    <w:p w14:paraId="38B84C16" w14:textId="77777777" w:rsidR="008000F6" w:rsidRDefault="008000F6" w:rsidP="008E765F">
      <w:pPr>
        <w:pStyle w:val="Heading3"/>
        <w:numPr>
          <w:ilvl w:val="0"/>
          <w:numId w:val="0"/>
        </w:numPr>
        <w:rPr>
          <w:lang w:val="en"/>
        </w:rPr>
      </w:pPr>
      <w:bookmarkStart w:id="268" w:name="_Toc40956559"/>
      <w:r>
        <w:rPr>
          <w:lang w:val="en"/>
        </w:rPr>
        <w:t>Probiotics studies</w:t>
      </w:r>
      <w:bookmarkEnd w:id="268"/>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9E2F3" w:themeColor="accent1" w:themeTint="33" w:fill="auto"/>
        <w:tblLayout w:type="fixed"/>
        <w:tblLook w:val="0000" w:firstRow="0" w:lastRow="0" w:firstColumn="0" w:lastColumn="0" w:noHBand="0" w:noVBand="0"/>
      </w:tblPr>
      <w:tblGrid>
        <w:gridCol w:w="1560"/>
        <w:gridCol w:w="1275"/>
        <w:gridCol w:w="11199"/>
      </w:tblGrid>
      <w:tr w:rsidR="008000F6" w:rsidRPr="00C12274" w14:paraId="1673AE85" w14:textId="77777777" w:rsidTr="008000F6">
        <w:trPr>
          <w:trHeight w:val="99"/>
          <w:tblHeader/>
        </w:trPr>
        <w:tc>
          <w:tcPr>
            <w:tcW w:w="1560" w:type="dxa"/>
            <w:shd w:val="solid" w:color="2F5496" w:themeColor="accent1" w:themeShade="BF" w:fill="auto"/>
          </w:tcPr>
          <w:p w14:paraId="60E5E4EF" w14:textId="77777777" w:rsidR="008000F6" w:rsidRPr="00C12274" w:rsidRDefault="008000F6" w:rsidP="008000F6">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 xml:space="preserve">Study limitation </w:t>
            </w:r>
          </w:p>
        </w:tc>
        <w:tc>
          <w:tcPr>
            <w:tcW w:w="1275" w:type="dxa"/>
            <w:shd w:val="solid" w:color="2F5496" w:themeColor="accent1" w:themeShade="BF" w:fill="auto"/>
          </w:tcPr>
          <w:p w14:paraId="6E8C8EFF" w14:textId="77777777" w:rsidR="008000F6" w:rsidRPr="00C12274" w:rsidRDefault="008000F6" w:rsidP="008000F6">
            <w:pPr>
              <w:pStyle w:val="Tablecell"/>
              <w:keepNext/>
              <w:jc w:val="center"/>
              <w:rPr>
                <w:rFonts w:eastAsiaTheme="minorHAnsi"/>
                <w:b/>
                <w:color w:val="FFFFFF" w:themeColor="background1"/>
                <w:sz w:val="16"/>
                <w:lang w:val="en-US"/>
              </w:rPr>
            </w:pPr>
            <w:r w:rsidRPr="00C12274">
              <w:rPr>
                <w:rFonts w:eastAsiaTheme="minorHAnsi"/>
                <w:b/>
                <w:color w:val="FFFFFF" w:themeColor="background1"/>
                <w:sz w:val="16"/>
                <w:lang w:val="en-US"/>
              </w:rPr>
              <w:t>Judgement</w:t>
            </w:r>
          </w:p>
        </w:tc>
        <w:tc>
          <w:tcPr>
            <w:tcW w:w="11199" w:type="dxa"/>
            <w:shd w:val="solid" w:color="2F5496" w:themeColor="accent1" w:themeShade="BF" w:fill="auto"/>
          </w:tcPr>
          <w:p w14:paraId="2156B53D" w14:textId="77777777" w:rsidR="008000F6" w:rsidRPr="00C12274" w:rsidRDefault="008000F6" w:rsidP="008000F6">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Support for judgement</w:t>
            </w:r>
          </w:p>
        </w:tc>
      </w:tr>
      <w:tr w:rsidR="008000F6" w:rsidRPr="006234EA" w14:paraId="273583EE" w14:textId="77777777" w:rsidTr="008000F6">
        <w:trPr>
          <w:cantSplit/>
        </w:trPr>
        <w:tc>
          <w:tcPr>
            <w:tcW w:w="14034" w:type="dxa"/>
            <w:gridSpan w:val="3"/>
            <w:shd w:val="solid" w:color="D9E2F3" w:themeColor="accent1" w:themeTint="33" w:fill="auto"/>
          </w:tcPr>
          <w:p w14:paraId="6EFAD11F" w14:textId="1C574D25" w:rsidR="008000F6" w:rsidRPr="00470354" w:rsidRDefault="00C71547" w:rsidP="002747EA">
            <w:pPr>
              <w:pStyle w:val="Tablecell"/>
              <w:keepNext/>
              <w:spacing w:line="220" w:lineRule="exact"/>
              <w:rPr>
                <w:rFonts w:eastAsiaTheme="minorHAnsi"/>
                <w:b/>
                <w:sz w:val="16"/>
                <w:szCs w:val="16"/>
                <w:lang w:val="en-US"/>
              </w:rPr>
            </w:pPr>
            <w:r>
              <w:rPr>
                <w:rFonts w:eastAsiaTheme="minorHAnsi"/>
                <w:b/>
                <w:sz w:val="16"/>
                <w:szCs w:val="16"/>
                <w:lang w:val="en-US"/>
              </w:rPr>
              <w:t>Callaway et al 2019</w:t>
            </w:r>
            <w:r w:rsidR="00AB21E2">
              <w:rPr>
                <w:rFonts w:eastAsiaTheme="minorHAnsi"/>
                <w:b/>
                <w:sz w:val="16"/>
                <w:szCs w:val="16"/>
                <w:lang w:val="en-US"/>
              </w:rPr>
              <w:fldChar w:fldCharType="begin">
                <w:fldData xml:space="preserve">PEVuZE5vdGU+PENpdGU+PEF1dGhvcj5DYWxsYXdheTwvQXV0aG9yPjxZZWFyPjIwMTk8L1llYXI+
PFJlY051bT4xNjQ5PC9SZWNOdW0+PERpc3BsYXlUZXh0PjxzdHlsZSBmYWNlPSJzdXBlcnNjcmlw
dCIgZm9udD0iVHJlYnVjaGV0IE1TIiBzaXplPSI5Ij4yMjg8L3N0eWxlPjwvRGlzcGxheVRleHQ+
PHJlY29yZD48cmVjLW51bWJlcj4xNjQ5PC9yZWMtbnVtYmVyPjxmb3JlaWduLWtleXM+PGtleSBh
cHA9IkVOIiBkYi1pZD0iZXh2YXNyZngyZHRyYW9lc2FzeHAyc3pzeGEyZGY1MDI1OTJ4IiB0aW1l
c3RhbXA9IjE1ODEzMTI2OTgiPjE2NDk8L2tleT48a2V5IGFwcD0iRU5XZWIiIGRiLWlkPSIiPjA8
L2tleT48L2ZvcmVpZ24ta2V5cz48cmVmLXR5cGUgbmFtZT0iSm91cm5hbCBBcnRpY2xlIj4xNzwv
cmVmLXR5cGU+PGNvbnRyaWJ1dG9ycz48YXV0aG9ycz48YXV0aG9yPkNhbGxhd2F5LCBMLiBLLjwv
YXV0aG9yPjxhdXRob3I+TWNJbnR5cmUsIEguIEQuPC9hdXRob3I+PGF1dGhvcj5CYXJyZXR0LCBI
LiBMLjwvYXV0aG9yPjxhdXRob3I+Rm94Y3JvZnQsIEsuPC9hdXRob3I+PGF1dGhvcj5UcmVtZWxs
ZW4sIEEuPC9hdXRob3I+PGF1dGhvcj5MaW5nd29vZCwgQi4gRS48L2F1dGhvcj48YXV0aG9yPlRv
YmluLCBKLiBNLjwvYXV0aG9yPjxhdXRob3I+V2lsa2luc29uLCBTLjwvYXV0aG9yPjxhdXRob3I+
S290aGFyaSwgQS48L2F1dGhvcj48YXV0aG9yPk1vcnJpc29uLCBNLjwvYXV0aG9yPjxhdXRob3I+
TyZhcG9zO1JvdXJrZSwgUC48L2F1dGhvcj48YXV0aG9yPlBlbGVjYW5vcywgQS48L2F1dGhvcj48
YXV0aG9yPkRla2tlciBOaXRlcnQsIE0uPC9hdXRob3I+PC9hdXRob3JzPjwvY29udHJpYnV0b3Jz
PjxhdXRoLWFkZHJlc3M+V29tZW4mYXBvcztzIGFuZCBOZXdib3JuIFNlcnZpY2VzLCBSb3lhbCBC
cmlzYmFuZSBhbmQgV29tZW4mYXBvcztzIEhvc3BpdGFsLCBIZXJzdG9uLCBBdXN0cmFsaWEgbC5j
YWxsYXdheUB1cS5lZHUuYXUuJiN4RDtGYWN1bHR5IG9mIE1lZGljaW5lLCBUaGUgVW5pdmVyc2l0
eSBvZiBRdWVlbnNsYW5kLCBIZXJzdG9uLCBBdXN0cmFsaWEuJiN4RDtNYXRlciBNZWRpY2FsIFJl
c2VhcmNoIEluc3RpdHV0ZSwgU291dGggQnJpc2JhbmUsIEF1c3RyYWxpYS4mI3hEO1dvbWVuJmFw
b3M7cyBhbmQgTmV3Ym9ybiBTZXJ2aWNlcywgUm95YWwgQnJpc2JhbmUgYW5kIFdvbWVuJmFwb3M7
cyBIb3NwaXRhbCwgSGVyc3RvbiwgQXVzdHJhbGlhLiYjeEQ7SmFtZXMgQ29vayBVbml2ZXJzaXR5
LCBNYWNrYXksIEF1c3RyYWxpYS4mI3hEO0RlcGFydG1lbnQgb2YgTnV0cml0aW9uIGFuZCBEaWV0
ZXRpY3MsIE1hdGVyIEdyb3VwLCBTb3V0aCBCcmlzYmFuZSwgQXVzdHJhbGlhLiYjeEQ7UmVkY2xp
ZmZlIEhvc3BpdGFsLCBSZWRjbGlmZmUsIEF1c3RyYWxpYS4mI3hEO0ZhY3VsdHkgb2YgTWVkaWNp
bmUsIFVuaXZlcnNpdHkgb2YgUXVlZW5zbGFuZCBEaWFtYW50aW5hIEluc3RpdHV0ZSwgVHJhbnNs
YXRpb25hbCBSZXNlYXJjaCBJbnN0aXR1dGUsIFdvb2xsb29uZ2FiYmEsIEF1c3RyYWxpYS4mI3hE
O1FJTVIgQmVyZ2hvZmVyIE1lZGljYWwgUmVzZWFyY2ggSW5zdGl0dXRlLCBIZXJzdG9uLCBBdXN0
cmFsaWEuJiN4RDtTY2hvb2wgb2YgQ2hlbWlzdHJ5IGFuZCBNb2xlY3VsYXIgQmlvc2NpZW5jZXMs
IFRoZSBVbml2ZXJzaXR5IG9mIFF1ZWVuc2xhbmQsIFN0IEx1Y2lhLCBBdXN0cmFsaWEuPC9hdXRo
LWFkZHJlc3M+PHRpdGxlcz48dGl0bGU+UHJvYmlvdGljcyBmb3IgdGhlIHByZXZlbnRpb24gb2Yg
Z2VzdGF0aW9uYWwgZGlhYmV0ZXMgbWVsbGl0dXMgaW4gb3ZlcndlaWdodCBhbmQgb2Jlc2Ugd29t
ZW46IEZpbmRpbmdzIGZyb20gdGhlIFNQUklORyBkb3VibGUtYmxpbmQgcmFuZG9taXplZCBjb250
cm9sbGVkIHRyaWFsPC90aXRsZT48c2Vjb25kYXJ5LXRpdGxlPkRpYWJldGVzIENhcmU8L3NlY29u
ZGFyeS10aXRsZT48L3RpdGxlcz48cGVyaW9kaWNhbD48ZnVsbC10aXRsZT5EaWFiZXRlcyBDYXJl
PC9mdWxsLXRpdGxlPjwvcGVyaW9kaWNhbD48cGFnZXM+MzY0LTM3MTwvcGFnZXM+PHZvbHVtZT40
Mjwvdm9sdW1lPjxudW1iZXI+MzwvbnVtYmVyPjxlZGl0aW9uPjIwMTkvMDEvMjA8L2VkaXRpb24+
PGtleXdvcmRzPjxrZXl3b3JkPkFkdWx0PC9rZXl3b3JkPjxrZXl3b3JkPkF1c3RyYWxpYTwva2V5
d29yZD48a2V5d29yZD5EaWFiZXRlcywgR2VzdGF0aW9uYWwvYmxvb2QvKnByZXZlbnRpb24gJmFt
cDsgY29udHJvbDwva2V5d29yZD48a2V5d29yZD5Eb3VibGUtQmxpbmQgTWV0aG9kPC9rZXl3b3Jk
PjxrZXl3b3JkPkZlbWFsZTwva2V5d29yZD48a2V5d29yZD5HYXN0cm9pbnRlc3RpbmFsIE1pY3Jv
YmlvbWU8L2tleXdvcmQ+PGtleXdvcmQ+R2x1Y29zZSBUb2xlcmFuY2UgVGVzdDwva2V5d29yZD48
a2V5d29yZD5IdW1hbnM8L2tleXdvcmQ+PGtleXdvcmQ+T2Jlc2l0eS9jb21wbGljYXRpb25zLypk
aWV0IHRoZXJhcHk8L2tleXdvcmQ+PGtleXdvcmQ+T3ZlcndlaWdodC9jb21wbGljYXRpb25zLypk
aWV0IHRoZXJhcHk8L2tleXdvcmQ+PGtleXdvcmQ+UHJlZ25hbmN5PC9rZXl3b3JkPjxrZXl3b3Jk
PlByZWduYW5jeSBDb21wbGljYXRpb25zLypkaWV0IHRoZXJhcHk8L2tleXdvcmQ+PGtleXdvcmQ+
UHJvYmlvdGljcy8qdGhlcmFwZXV0aWMgdXNlPC9rZXl3b3JkPjxrZXl3b3JkPldlaWdodCBHYWlu
PC9rZXl3b3JkPjwva2V5d29yZHM+PGRhdGVzPjx5ZWFyPjIwMTk8L3llYXI+PHB1Yi1kYXRlcz48
ZGF0ZT5NYXI8L2RhdGU+PC9wdWItZGF0ZXM+PC9kYXRlcz48aXNibj4xOTM1LTU1NDggKEVsZWN0
cm9uaWMpJiN4RDswMTQ5LTU5OTIgKExpbmtpbmcpPC9pc2JuPjxhY2Nlc3Npb24tbnVtPjMwNjU5
MDcwPC9hY2Nlc3Npb24tbnVtPjx1cmxzPjxyZWxhdGVkLXVybHM+PHVybD5odHRwczovL3d3dy5u
Y2JpLm5sbS5uaWguZ292L3B1Ym1lZC8zMDY1OTA3MDwvdXJsPjwvcmVsYXRlZC11cmxzPjwvdXJs
cz48ZWxlY3Ryb25pYy1yZXNvdXJjZS1udW0+MTAuMjMzNy9kYzE4LTIyNDg8L2VsZWN0cm9uaWMt
cmVzb3VyY2UtbnVtPjwvcmVjb3JkPjwvQ2l0ZT48L0VuZE5vdGU+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PEVuZE5vdGU+PENpdGU+PEF1dGhvcj5DYWxsYXdheTwvQXV0aG9yPjxZZWFyPjIwMTk8L1llYXI+
PFJlY051bT4xNjQ5PC9SZWNOdW0+PERpc3BsYXlUZXh0PjxzdHlsZSBmYWNlPSJzdXBlcnNjcmlw
dCIgZm9udD0iVHJlYnVjaGV0IE1TIiBzaXplPSI5Ij4yMjg8L3N0eWxlPjwvRGlzcGxheVRleHQ+
PHJlY29yZD48cmVjLW51bWJlcj4xNjQ5PC9yZWMtbnVtYmVyPjxmb3JlaWduLWtleXM+PGtleSBh
cHA9IkVOIiBkYi1pZD0iZXh2YXNyZngyZHRyYW9lc2FzeHAyc3pzeGEyZGY1MDI1OTJ4IiB0aW1l
c3RhbXA9IjE1ODEzMTI2OTgiPjE2NDk8L2tleT48a2V5IGFwcD0iRU5XZWIiIGRiLWlkPSIiPjA8
L2tleT48L2ZvcmVpZ24ta2V5cz48cmVmLXR5cGUgbmFtZT0iSm91cm5hbCBBcnRpY2xlIj4xNzwv
cmVmLXR5cGU+PGNvbnRyaWJ1dG9ycz48YXV0aG9ycz48YXV0aG9yPkNhbGxhd2F5LCBMLiBLLjwv
YXV0aG9yPjxhdXRob3I+TWNJbnR5cmUsIEguIEQuPC9hdXRob3I+PGF1dGhvcj5CYXJyZXR0LCBI
LiBMLjwvYXV0aG9yPjxhdXRob3I+Rm94Y3JvZnQsIEsuPC9hdXRob3I+PGF1dGhvcj5UcmVtZWxs
ZW4sIEEuPC9hdXRob3I+PGF1dGhvcj5MaW5nd29vZCwgQi4gRS48L2F1dGhvcj48YXV0aG9yPlRv
YmluLCBKLiBNLjwvYXV0aG9yPjxhdXRob3I+V2lsa2luc29uLCBTLjwvYXV0aG9yPjxhdXRob3I+
S290aGFyaSwgQS48L2F1dGhvcj48YXV0aG9yPk1vcnJpc29uLCBNLjwvYXV0aG9yPjxhdXRob3I+
TyZhcG9zO1JvdXJrZSwgUC48L2F1dGhvcj48YXV0aG9yPlBlbGVjYW5vcywgQS48L2F1dGhvcj48
YXV0aG9yPkRla2tlciBOaXRlcnQsIE0uPC9hdXRob3I+PC9hdXRob3JzPjwvY29udHJpYnV0b3Jz
PjxhdXRoLWFkZHJlc3M+V29tZW4mYXBvcztzIGFuZCBOZXdib3JuIFNlcnZpY2VzLCBSb3lhbCBC
cmlzYmFuZSBhbmQgV29tZW4mYXBvcztzIEhvc3BpdGFsLCBIZXJzdG9uLCBBdXN0cmFsaWEgbC5j
YWxsYXdheUB1cS5lZHUuYXUuJiN4RDtGYWN1bHR5IG9mIE1lZGljaW5lLCBUaGUgVW5pdmVyc2l0
eSBvZiBRdWVlbnNsYW5kLCBIZXJzdG9uLCBBdXN0cmFsaWEuJiN4RDtNYXRlciBNZWRpY2FsIFJl
c2VhcmNoIEluc3RpdHV0ZSwgU291dGggQnJpc2JhbmUsIEF1c3RyYWxpYS4mI3hEO1dvbWVuJmFw
b3M7cyBhbmQgTmV3Ym9ybiBTZXJ2aWNlcywgUm95YWwgQnJpc2JhbmUgYW5kIFdvbWVuJmFwb3M7
cyBIb3NwaXRhbCwgSGVyc3RvbiwgQXVzdHJhbGlhLiYjeEQ7SmFtZXMgQ29vayBVbml2ZXJzaXR5
LCBNYWNrYXksIEF1c3RyYWxpYS4mI3hEO0RlcGFydG1lbnQgb2YgTnV0cml0aW9uIGFuZCBEaWV0
ZXRpY3MsIE1hdGVyIEdyb3VwLCBTb3V0aCBCcmlzYmFuZSwgQXVzdHJhbGlhLiYjeEQ7UmVkY2xp
ZmZlIEhvc3BpdGFsLCBSZWRjbGlmZmUsIEF1c3RyYWxpYS4mI3hEO0ZhY3VsdHkgb2YgTWVkaWNp
bmUsIFVuaXZlcnNpdHkgb2YgUXVlZW5zbGFuZCBEaWFtYW50aW5hIEluc3RpdHV0ZSwgVHJhbnNs
YXRpb25hbCBSZXNlYXJjaCBJbnN0aXR1dGUsIFdvb2xsb29uZ2FiYmEsIEF1c3RyYWxpYS4mI3hE
O1FJTVIgQmVyZ2hvZmVyIE1lZGljYWwgUmVzZWFyY2ggSW5zdGl0dXRlLCBIZXJzdG9uLCBBdXN0
cmFsaWEuJiN4RDtTY2hvb2wgb2YgQ2hlbWlzdHJ5IGFuZCBNb2xlY3VsYXIgQmlvc2NpZW5jZXMs
IFRoZSBVbml2ZXJzaXR5IG9mIFF1ZWVuc2xhbmQsIFN0IEx1Y2lhLCBBdXN0cmFsaWEuPC9hdXRo
LWFkZHJlc3M+PHRpdGxlcz48dGl0bGU+UHJvYmlvdGljcyBmb3IgdGhlIHByZXZlbnRpb24gb2Yg
Z2VzdGF0aW9uYWwgZGlhYmV0ZXMgbWVsbGl0dXMgaW4gb3ZlcndlaWdodCBhbmQgb2Jlc2Ugd29t
ZW46IEZpbmRpbmdzIGZyb20gdGhlIFNQUklORyBkb3VibGUtYmxpbmQgcmFuZG9taXplZCBjb250
cm9sbGVkIHRyaWFsPC90aXRsZT48c2Vjb25kYXJ5LXRpdGxlPkRpYWJldGVzIENhcmU8L3NlY29u
ZGFyeS10aXRsZT48L3RpdGxlcz48cGVyaW9kaWNhbD48ZnVsbC10aXRsZT5EaWFiZXRlcyBDYXJl
PC9mdWxsLXRpdGxlPjwvcGVyaW9kaWNhbD48cGFnZXM+MzY0LTM3MTwvcGFnZXM+PHZvbHVtZT40
Mjwvdm9sdW1lPjxudW1iZXI+MzwvbnVtYmVyPjxlZGl0aW9uPjIwMTkvMDEvMjA8L2VkaXRpb24+
PGtleXdvcmRzPjxrZXl3b3JkPkFkdWx0PC9rZXl3b3JkPjxrZXl3b3JkPkF1c3RyYWxpYTwva2V5
d29yZD48a2V5d29yZD5EaWFiZXRlcywgR2VzdGF0aW9uYWwvYmxvb2QvKnByZXZlbnRpb24gJmFt
cDsgY29udHJvbDwva2V5d29yZD48a2V5d29yZD5Eb3VibGUtQmxpbmQgTWV0aG9kPC9rZXl3b3Jk
PjxrZXl3b3JkPkZlbWFsZTwva2V5d29yZD48a2V5d29yZD5HYXN0cm9pbnRlc3RpbmFsIE1pY3Jv
YmlvbWU8L2tleXdvcmQ+PGtleXdvcmQ+R2x1Y29zZSBUb2xlcmFuY2UgVGVzdDwva2V5d29yZD48
a2V5d29yZD5IdW1hbnM8L2tleXdvcmQ+PGtleXdvcmQ+T2Jlc2l0eS9jb21wbGljYXRpb25zLypk
aWV0IHRoZXJhcHk8L2tleXdvcmQ+PGtleXdvcmQ+T3ZlcndlaWdodC9jb21wbGljYXRpb25zLypk
aWV0IHRoZXJhcHk8L2tleXdvcmQ+PGtleXdvcmQ+UHJlZ25hbmN5PC9rZXl3b3JkPjxrZXl3b3Jk
PlByZWduYW5jeSBDb21wbGljYXRpb25zLypkaWV0IHRoZXJhcHk8L2tleXdvcmQ+PGtleXdvcmQ+
UHJvYmlvdGljcy8qdGhlcmFwZXV0aWMgdXNlPC9rZXl3b3JkPjxrZXl3b3JkPldlaWdodCBHYWlu
PC9rZXl3b3JkPjwva2V5d29yZHM+PGRhdGVzPjx5ZWFyPjIwMTk8L3llYXI+PHB1Yi1kYXRlcz48
ZGF0ZT5NYXI8L2RhdGU+PC9wdWItZGF0ZXM+PC9kYXRlcz48aXNibj4xOTM1LTU1NDggKEVsZWN0
cm9uaWMpJiN4RDswMTQ5LTU5OTIgKExpbmtpbmcpPC9pc2JuPjxhY2Nlc3Npb24tbnVtPjMwNjU5
MDcwPC9hY2Nlc3Npb24tbnVtPjx1cmxzPjxyZWxhdGVkLXVybHM+PHVybD5odHRwczovL3d3dy5u
Y2JpLm5sbS5uaWguZ292L3B1Ym1lZC8zMDY1OTA3MDwvdXJsPjwvcmVsYXRlZC11cmxzPjwvdXJs
cz48ZWxlY3Ryb25pYy1yZXNvdXJjZS1udW0+MTAuMjMzNy9kYzE4LTIyNDg8L2VsZWN0cm9uaWMt
cmVzb3VyY2UtbnVtPjwvcmVjb3JkPjwvQ2l0ZT48L0VuZE5vdGU+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sidR="00AB21E2">
              <w:rPr>
                <w:rFonts w:eastAsiaTheme="minorHAnsi"/>
                <w:b/>
                <w:sz w:val="16"/>
                <w:szCs w:val="16"/>
                <w:lang w:val="en-US"/>
              </w:rPr>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228</w:t>
            </w:r>
            <w:r w:rsidR="00AB21E2">
              <w:rPr>
                <w:rFonts w:eastAsiaTheme="minorHAnsi"/>
                <w:b/>
                <w:sz w:val="16"/>
                <w:szCs w:val="16"/>
                <w:lang w:val="en-US"/>
              </w:rPr>
              <w:fldChar w:fldCharType="end"/>
            </w:r>
          </w:p>
        </w:tc>
      </w:tr>
      <w:tr w:rsidR="008000F6" w:rsidRPr="00C12274" w14:paraId="60C7DD77" w14:textId="77777777" w:rsidTr="006653FF">
        <w:trPr>
          <w:cantSplit/>
        </w:trPr>
        <w:tc>
          <w:tcPr>
            <w:tcW w:w="1560" w:type="dxa"/>
            <w:shd w:val="clear" w:color="D9E2F3" w:themeColor="accent1" w:themeTint="33" w:fill="auto"/>
          </w:tcPr>
          <w:p w14:paraId="4B130A11" w14:textId="77777777" w:rsidR="008000F6" w:rsidRPr="00C12274" w:rsidRDefault="008000F6" w:rsidP="008000F6">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34760864" w14:textId="77777777" w:rsidR="008000F6" w:rsidRPr="00C12274" w:rsidRDefault="008000F6" w:rsidP="008000F6">
            <w:pPr>
              <w:pStyle w:val="RCTstable"/>
              <w:keepNext/>
            </w:pPr>
            <w:r>
              <w:t>Low</w:t>
            </w:r>
            <w:r w:rsidRPr="00C12274">
              <w:t xml:space="preserve"> risk</w:t>
            </w:r>
          </w:p>
        </w:tc>
        <w:tc>
          <w:tcPr>
            <w:tcW w:w="11199" w:type="dxa"/>
            <w:shd w:val="clear" w:color="D9E2F3" w:themeColor="accent1" w:themeTint="33" w:fill="auto"/>
          </w:tcPr>
          <w:p w14:paraId="2F2CB27B" w14:textId="55D47D8A" w:rsidR="008000F6" w:rsidRPr="001969C3" w:rsidRDefault="006653FF" w:rsidP="006653FF">
            <w:pPr>
              <w:pStyle w:val="RCTstable"/>
            </w:pPr>
            <w:r>
              <w:t>Participants were randomis</w:t>
            </w:r>
            <w:r w:rsidRPr="006653FF">
              <w:t>ed using</w:t>
            </w:r>
            <w:r>
              <w:t xml:space="preserve"> </w:t>
            </w:r>
            <w:r w:rsidRPr="006653FF">
              <w:t>computer-generated random number</w:t>
            </w:r>
            <w:r>
              <w:t xml:space="preserve"> </w:t>
            </w:r>
            <w:r w:rsidRPr="006653FF">
              <w:t xml:space="preserve">codes sealed in opaque envelopes. </w:t>
            </w:r>
          </w:p>
        </w:tc>
      </w:tr>
      <w:tr w:rsidR="008000F6" w:rsidRPr="00C12274" w14:paraId="7358D17B" w14:textId="77777777" w:rsidTr="006653FF">
        <w:trPr>
          <w:cantSplit/>
        </w:trPr>
        <w:tc>
          <w:tcPr>
            <w:tcW w:w="1560" w:type="dxa"/>
            <w:shd w:val="clear" w:color="D9E2F3" w:themeColor="accent1" w:themeTint="33" w:fill="auto"/>
          </w:tcPr>
          <w:p w14:paraId="6E8814B1" w14:textId="77777777" w:rsidR="008000F6" w:rsidRPr="00C12274" w:rsidRDefault="008000F6" w:rsidP="008000F6">
            <w:pPr>
              <w:pStyle w:val="RCTstable"/>
              <w:keepNext/>
            </w:pPr>
            <w:r w:rsidRPr="00C12274">
              <w:t xml:space="preserve">Allocation concealment </w:t>
            </w:r>
          </w:p>
        </w:tc>
        <w:tc>
          <w:tcPr>
            <w:tcW w:w="1275" w:type="dxa"/>
            <w:shd w:val="clear" w:color="D9E2F3" w:themeColor="accent1" w:themeTint="33" w:fill="70AD47" w:themeFill="accent6"/>
          </w:tcPr>
          <w:p w14:paraId="758EAACE" w14:textId="3F9187DC" w:rsidR="008000F6" w:rsidRPr="00C12274" w:rsidRDefault="006653FF" w:rsidP="008000F6">
            <w:pPr>
              <w:pStyle w:val="RCTstable"/>
              <w:keepNext/>
            </w:pPr>
            <w:r>
              <w:t>Low</w:t>
            </w:r>
            <w:r w:rsidR="008000F6" w:rsidRPr="00C12274">
              <w:t xml:space="preserve"> risk</w:t>
            </w:r>
          </w:p>
        </w:tc>
        <w:tc>
          <w:tcPr>
            <w:tcW w:w="11199" w:type="dxa"/>
            <w:shd w:val="clear" w:color="D9E2F3" w:themeColor="accent1" w:themeTint="33" w:fill="auto"/>
          </w:tcPr>
          <w:p w14:paraId="7D3B9F3D" w14:textId="6A520B5F" w:rsidR="008000F6" w:rsidRPr="006653FF" w:rsidRDefault="006653FF" w:rsidP="006653FF">
            <w:pPr>
              <w:pStyle w:val="RCTstable"/>
            </w:pPr>
            <w:r w:rsidRPr="006653FF">
              <w:t>Matching placebo and probiotic capsules</w:t>
            </w:r>
            <w:r>
              <w:t xml:space="preserve"> </w:t>
            </w:r>
            <w:r w:rsidRPr="006653FF">
              <w:t>were identically packaged in the RBWH</w:t>
            </w:r>
            <w:r>
              <w:t xml:space="preserve"> </w:t>
            </w:r>
            <w:r w:rsidRPr="006653FF">
              <w:t>pharmacy by independent pharmacists.</w:t>
            </w:r>
          </w:p>
        </w:tc>
      </w:tr>
      <w:tr w:rsidR="00C70516" w:rsidRPr="00C12274" w14:paraId="453CAEF8" w14:textId="77777777" w:rsidTr="00C70516">
        <w:trPr>
          <w:cantSplit/>
          <w:trHeight w:val="291"/>
        </w:trPr>
        <w:tc>
          <w:tcPr>
            <w:tcW w:w="1560" w:type="dxa"/>
            <w:shd w:val="clear" w:color="D9E2F3" w:themeColor="accent1" w:themeTint="33" w:fill="auto"/>
          </w:tcPr>
          <w:p w14:paraId="3169524C" w14:textId="77777777" w:rsidR="00C70516" w:rsidRPr="00C12274" w:rsidRDefault="00C70516" w:rsidP="008000F6">
            <w:pPr>
              <w:pStyle w:val="RCTstable"/>
              <w:keepNext/>
            </w:pPr>
            <w:r>
              <w:t>Performance bias</w:t>
            </w:r>
          </w:p>
        </w:tc>
        <w:tc>
          <w:tcPr>
            <w:tcW w:w="1275" w:type="dxa"/>
            <w:tcBorders>
              <w:bottom w:val="single" w:sz="4" w:space="0" w:color="auto"/>
            </w:tcBorders>
            <w:shd w:val="clear" w:color="D9E2F3" w:themeColor="accent1" w:themeTint="33" w:fill="70AD47" w:themeFill="accent6"/>
          </w:tcPr>
          <w:p w14:paraId="3086F5C4" w14:textId="1B96268F" w:rsidR="00C70516" w:rsidRPr="00C12274" w:rsidRDefault="00C70516" w:rsidP="008000F6">
            <w:pPr>
              <w:pStyle w:val="RCTstable"/>
              <w:keepNext/>
            </w:pPr>
            <w:r>
              <w:t>Low</w:t>
            </w:r>
            <w:r w:rsidRPr="00C12274">
              <w:t xml:space="preserve"> risk</w:t>
            </w:r>
          </w:p>
        </w:tc>
        <w:tc>
          <w:tcPr>
            <w:tcW w:w="11199" w:type="dxa"/>
            <w:vMerge w:val="restart"/>
            <w:shd w:val="clear" w:color="D9E2F3" w:themeColor="accent1" w:themeTint="33" w:fill="auto"/>
          </w:tcPr>
          <w:p w14:paraId="448F36F8" w14:textId="1D2DCF1B" w:rsidR="00C70516" w:rsidRPr="001969C3" w:rsidRDefault="00C70516" w:rsidP="008000F6">
            <w:pPr>
              <w:pStyle w:val="RCTstable"/>
            </w:pPr>
            <w:r w:rsidRPr="006653FF">
              <w:t>All study staff and participants were</w:t>
            </w:r>
            <w:r>
              <w:t xml:space="preserve"> blinded to the randomis</w:t>
            </w:r>
            <w:r w:rsidRPr="006653FF">
              <w:t>ed allocation.</w:t>
            </w:r>
          </w:p>
        </w:tc>
      </w:tr>
      <w:tr w:rsidR="00C70516" w:rsidRPr="00822EBF" w14:paraId="2AAE0E07" w14:textId="77777777" w:rsidTr="00015D97">
        <w:trPr>
          <w:cantSplit/>
        </w:trPr>
        <w:tc>
          <w:tcPr>
            <w:tcW w:w="1560" w:type="dxa"/>
            <w:shd w:val="clear" w:color="D9E2F3" w:themeColor="accent1" w:themeTint="33" w:fill="auto"/>
          </w:tcPr>
          <w:p w14:paraId="441148FE" w14:textId="77777777" w:rsidR="00C70516" w:rsidRPr="00822EBF" w:rsidRDefault="00C70516" w:rsidP="008000F6">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662A1D80" w14:textId="45E8EDD7" w:rsidR="00C70516" w:rsidRPr="00822EBF" w:rsidRDefault="00C70516" w:rsidP="008000F6">
            <w:pPr>
              <w:pStyle w:val="RCTstable"/>
            </w:pPr>
            <w:r>
              <w:t>Low</w:t>
            </w:r>
            <w:r w:rsidRPr="00822EBF">
              <w:t xml:space="preserve"> risk</w:t>
            </w:r>
          </w:p>
        </w:tc>
        <w:tc>
          <w:tcPr>
            <w:tcW w:w="11199" w:type="dxa"/>
            <w:vMerge/>
            <w:shd w:val="clear" w:color="D9E2F3" w:themeColor="accent1" w:themeTint="33" w:fill="auto"/>
          </w:tcPr>
          <w:p w14:paraId="78BAA08C" w14:textId="5171440E" w:rsidR="00C70516" w:rsidRPr="001969C3" w:rsidRDefault="00C70516" w:rsidP="008000F6">
            <w:pPr>
              <w:pStyle w:val="RCTstable"/>
            </w:pPr>
          </w:p>
        </w:tc>
      </w:tr>
      <w:tr w:rsidR="008000F6" w:rsidRPr="00C12274" w14:paraId="7155C4D5" w14:textId="77777777" w:rsidTr="00015D97">
        <w:trPr>
          <w:cantSplit/>
        </w:trPr>
        <w:tc>
          <w:tcPr>
            <w:tcW w:w="1560" w:type="dxa"/>
            <w:shd w:val="clear" w:color="D9E2F3" w:themeColor="accent1" w:themeTint="33" w:fill="auto"/>
          </w:tcPr>
          <w:p w14:paraId="725CDD0F" w14:textId="77777777" w:rsidR="008000F6" w:rsidRPr="00C12274" w:rsidRDefault="008000F6" w:rsidP="008000F6">
            <w:pPr>
              <w:pStyle w:val="RCTstable"/>
              <w:keepNext/>
            </w:pPr>
            <w:r w:rsidRPr="00C12274">
              <w:t>Incomplete outcome data</w:t>
            </w:r>
          </w:p>
        </w:tc>
        <w:tc>
          <w:tcPr>
            <w:tcW w:w="1275" w:type="dxa"/>
            <w:shd w:val="clear" w:color="D9E2F3" w:themeColor="accent1" w:themeTint="33" w:fill="70AD47" w:themeFill="accent6"/>
          </w:tcPr>
          <w:p w14:paraId="6F998354" w14:textId="5428CF4A" w:rsidR="008000F6" w:rsidRPr="00C12274" w:rsidRDefault="00015D97" w:rsidP="008000F6">
            <w:pPr>
              <w:pStyle w:val="RCTstable"/>
              <w:keepNext/>
            </w:pPr>
            <w:r>
              <w:t>Low</w:t>
            </w:r>
            <w:r w:rsidR="008000F6" w:rsidRPr="00C12274">
              <w:t xml:space="preserve"> risk</w:t>
            </w:r>
          </w:p>
        </w:tc>
        <w:tc>
          <w:tcPr>
            <w:tcW w:w="11199" w:type="dxa"/>
            <w:shd w:val="clear" w:color="D9E2F3" w:themeColor="accent1" w:themeTint="33" w:fill="auto"/>
          </w:tcPr>
          <w:p w14:paraId="6F502985" w14:textId="51D95901" w:rsidR="008000F6" w:rsidRPr="000B09FE" w:rsidRDefault="008D5806" w:rsidP="00F9459B">
            <w:pPr>
              <w:pStyle w:val="RCTstable"/>
            </w:pPr>
            <w:r>
              <w:t>Rea</w:t>
            </w:r>
            <w:r w:rsidR="00C71547">
              <w:t xml:space="preserve">sons for loss to follow-up </w:t>
            </w:r>
            <w:r w:rsidR="00F9459B">
              <w:t>reported</w:t>
            </w:r>
            <w:r w:rsidR="00C21983">
              <w:t xml:space="preserve"> and similar attrition between groups</w:t>
            </w:r>
            <w:r>
              <w:t>.</w:t>
            </w:r>
          </w:p>
        </w:tc>
      </w:tr>
      <w:tr w:rsidR="008000F6" w:rsidRPr="00C12274" w14:paraId="390E6E0E" w14:textId="77777777" w:rsidTr="008000F6">
        <w:trPr>
          <w:cantSplit/>
        </w:trPr>
        <w:tc>
          <w:tcPr>
            <w:tcW w:w="1560" w:type="dxa"/>
            <w:shd w:val="clear" w:color="D9E2F3" w:themeColor="accent1" w:themeTint="33" w:fill="auto"/>
          </w:tcPr>
          <w:p w14:paraId="026D006A" w14:textId="77777777" w:rsidR="008000F6" w:rsidRPr="00C12274" w:rsidRDefault="008000F6" w:rsidP="008000F6">
            <w:pPr>
              <w:pStyle w:val="RCTstable"/>
            </w:pPr>
            <w:r w:rsidRPr="00C12274">
              <w:t>Selective reporting</w:t>
            </w:r>
          </w:p>
        </w:tc>
        <w:tc>
          <w:tcPr>
            <w:tcW w:w="1275" w:type="dxa"/>
            <w:shd w:val="clear" w:color="D9E2F3" w:themeColor="accent1" w:themeTint="33" w:fill="70AD47" w:themeFill="accent6"/>
          </w:tcPr>
          <w:p w14:paraId="2AB59EAD" w14:textId="77777777" w:rsidR="008000F6" w:rsidRPr="00C12274" w:rsidRDefault="008000F6" w:rsidP="008000F6">
            <w:pPr>
              <w:pStyle w:val="RCTstable"/>
            </w:pPr>
            <w:r>
              <w:t>Low</w:t>
            </w:r>
            <w:r w:rsidRPr="00C12274">
              <w:t xml:space="preserve"> risk</w:t>
            </w:r>
          </w:p>
        </w:tc>
        <w:tc>
          <w:tcPr>
            <w:tcW w:w="11199" w:type="dxa"/>
            <w:shd w:val="clear" w:color="D9E2F3" w:themeColor="accent1" w:themeTint="33" w:fill="auto"/>
          </w:tcPr>
          <w:p w14:paraId="14952739" w14:textId="77777777" w:rsidR="008000F6" w:rsidRPr="001969C3" w:rsidRDefault="008000F6" w:rsidP="008000F6">
            <w:pPr>
              <w:pStyle w:val="RCTstable"/>
            </w:pPr>
            <w:r>
              <w:t>Pre-specified outcomes reported.</w:t>
            </w:r>
          </w:p>
        </w:tc>
      </w:tr>
      <w:tr w:rsidR="008000F6" w:rsidRPr="00C12274" w14:paraId="55A685CB" w14:textId="77777777" w:rsidTr="008000F6">
        <w:trPr>
          <w:cantSplit/>
        </w:trPr>
        <w:tc>
          <w:tcPr>
            <w:tcW w:w="1560" w:type="dxa"/>
            <w:shd w:val="clear" w:color="D9E2F3" w:themeColor="accent1" w:themeTint="33" w:fill="auto"/>
          </w:tcPr>
          <w:p w14:paraId="79A0D956" w14:textId="77777777" w:rsidR="008000F6" w:rsidRPr="00C12274" w:rsidRDefault="008000F6" w:rsidP="008000F6">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2ABEB8AC" w14:textId="77777777" w:rsidR="008000F6" w:rsidRPr="00C12274" w:rsidRDefault="008000F6" w:rsidP="008000F6">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71BF5ED8" w14:textId="77777777" w:rsidR="008000F6" w:rsidRPr="001969C3" w:rsidRDefault="008000F6" w:rsidP="008000F6">
            <w:pPr>
              <w:pStyle w:val="RCTstable"/>
            </w:pPr>
            <w:r>
              <w:t>No significant difference between groups at baseline.</w:t>
            </w:r>
          </w:p>
        </w:tc>
      </w:tr>
      <w:tr w:rsidR="00C71547" w:rsidRPr="006234EA" w14:paraId="2D36D725" w14:textId="77777777" w:rsidTr="00513E14">
        <w:trPr>
          <w:cantSplit/>
        </w:trPr>
        <w:tc>
          <w:tcPr>
            <w:tcW w:w="14034" w:type="dxa"/>
            <w:gridSpan w:val="3"/>
            <w:shd w:val="solid" w:color="D9E2F3" w:themeColor="accent1" w:themeTint="33" w:fill="auto"/>
          </w:tcPr>
          <w:p w14:paraId="4333970E" w14:textId="71A2B2A1" w:rsidR="00C71547" w:rsidRPr="00470354" w:rsidRDefault="00430DF7" w:rsidP="002747EA">
            <w:pPr>
              <w:pStyle w:val="Tablecell"/>
              <w:keepNext/>
              <w:spacing w:line="220" w:lineRule="exact"/>
              <w:rPr>
                <w:rFonts w:eastAsiaTheme="minorHAnsi"/>
                <w:b/>
                <w:sz w:val="16"/>
                <w:szCs w:val="16"/>
                <w:lang w:val="en-US"/>
              </w:rPr>
            </w:pPr>
            <w:r>
              <w:rPr>
                <w:rFonts w:eastAsiaTheme="minorHAnsi"/>
                <w:b/>
                <w:sz w:val="16"/>
                <w:szCs w:val="16"/>
                <w:lang w:val="en-US"/>
              </w:rPr>
              <w:t>Gille et al 2016</w:t>
            </w:r>
            <w:r w:rsidR="00AB21E2">
              <w:rPr>
                <w:rFonts w:eastAsiaTheme="minorHAnsi"/>
                <w:b/>
                <w:sz w:val="16"/>
                <w:szCs w:val="16"/>
                <w:lang w:val="en-US"/>
              </w:rPr>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PEVuZE5vdGU+PENpdGU+PEF1dGhvcj5HaWxsZTwvQXV0aG9yPjxZZWFyPjIwMTY8L1llYXI+PFJl
Y051bT4xNjUzPC9SZWNOdW0+PERpc3BsYXlUZXh0PjxzdHlsZSBmYWNlPSJzdXBlcnNjcmlwdCIg
Zm9udD0iVHJlYnVjaGV0IE1TIiBzaXplPSI5Ij4yMjk8L3N0eWxlPjwvRGlzcGxheVRleHQ+PHJl
Y29yZD48cmVjLW51bWJlcj4xNjUzPC9yZWMtbnVtYmVyPjxmb3JlaWduLWtleXM+PGtleSBhcHA9
IkVOIiBkYi1pZD0iZXh2YXNyZngyZHRyYW9lc2FzeHAyc3pzeGEyZGY1MDI1OTJ4IiB0aW1lc3Rh
bXA9IjE1ODEzMTI3MjkiPjE2NTM8L2tleT48a2V5IGFwcD0iRU5XZWIiIGRiLWlkPSIiPjA8L2tl
eT48L2ZvcmVpZ24ta2V5cz48cmVmLXR5cGUgbmFtZT0iSm91cm5hbCBBcnRpY2xlIj4xNzwvcmVm
LXR5cGU+PGNvbnRyaWJ1dG9ycz48YXV0aG9ycz48YXV0aG9yPkdpbGxlLCBDLjwvYXV0aG9yPjxh
dXRob3I+Qm9lciwgQi48L2F1dGhvcj48YXV0aG9yPk1hcnNjaGFsLCBNLjwvYXV0aG9yPjxhdXRo
b3I+VXJzY2hpdHosIE0uIFMuPC9hdXRob3I+PGF1dGhvcj5IZWluZWNrZSwgVi48L2F1dGhvcj48
YXV0aG9yPkh1bmQsIFYuPC9hdXRob3I+PGF1dGhvcj5TcGVpZGVsLCBTLjwvYXV0aG9yPjxhdXRo
b3I+VGFybm93LCBJLjwvYXV0aG9yPjxhdXRob3I+TXlsb25hcywgSS48L2F1dGhvcj48YXV0aG9y
PkZyYW56LCBBLjwvYXV0aG9yPjxhdXRob3I+RW5nZWwsIEMuPC9hdXRob3I+PGF1dGhvcj5Qb2V0
cywgQy4gRi48L2F1dGhvcj48L2F1dGhvcnM+PC9jb250cmlidXRvcnM+PGF1dGgtYWRkcmVzcz5E
ZXBhcnRtZW50IG9mIE5lb25hdG9sb2d5LCBVbml2ZXJzaXR5IENoaWxkcmVuJmFwb3M7cyBIb3Nw
aXRhbCwgVW5pdmVyc2l0eSBIb3NwaXRhbCwgVHVlYmluZ2VuLCBHZXJtYW55LiYjeEQ7RGVwYXJ0
bWVudCBvZiBPYnN0ZXRyaWNzIGFuZCBHeW5lY29sb2d5LCBVbml2ZXJzaXR5IEhvc3BpdGFsLCBU
dWViaW5nZW4sIEdlcm1hbnkuJiN4RDtJbnN0aXR1dGUgZm9yIE1lZGljYWwgTWljcm9iaW9sb2d5
LCBVbml2ZXJzaXR5IEhvc3BpdGFsLCBUdWViaW5nZW4sIEdlcm1hbnkuJiN4RDtJbnN0aXR1dGUg
b2YgTWVkaWNhbCBCaW9zdGF0aXN0aWNzLCBFcGlkZW1pb2xvZ3ksIGFuZCBJbmZvcm1hdGljcywg
RGl2aXNpb24gb2YgUGVkaWF0cmljIEVwaWRlbWlvbG9neSBVbml2ZXJzaXR5IE1lZGljYWwgQ2Vu
dGVyIG9mIHRoZSBKb2hhbm5lcyBHdXRlbmJlcmcgVW5pdmVyc2l0eSBNYWlueiwgR2VybWFueS4m
I3hEO09ic3RldHJpYyBwcmFjdGljZSwgQmFkIFVyYWNoLCBHZXJtYW55LiYjeEQ7VW5pdmVyc2l0
eSBQaGFybWFjeSwgVW5pdmVyc2l0eSBIb3NwaXRhbCwgVHVlYmluZ2VuLCBHZXJtYW55LiYjeEQ7
U2VyZW5kZXggUGhhcm1hY2V1dGljYWxzLCBIb3JzaG9sbSwgRGVubWFyay4mI3hEO0RlcGFydG1l
bnQgb2YgT2JzdGV0cmljcyBhbmQgR3luZWNvbG9neSwgTHVkd2lnLU1heGltaWxpYW5zLVVuaXZl
cnNpdHksIE11bmljaCwgR2VybWFueS4mI3hEO0NlbnRlciBmb3IgUGVkaWF0cmljIENsaW5pY2Fs
IFN0dWRpZXMsIFVuaXZlcnNpdHkgQ2hpbGRyZW4mYXBvcztzIEhvc3BpdGFsLCBVbml2ZXJzaXR5
IEhvc3BpdGFsLCBUdWViaW5nZW4sIEdlcm1hbnkuJiN4RDtEZXBhcnRtZW50IG9mIE5lb25hdG9s
b2d5LCBVbml2ZXJzaXR5IENoaWxkcmVuJmFwb3M7cyBIb3NwaXRhbCwgVW5pdmVyc2l0eSBIb3Nw
aXRhbCwgVHVlYmluZ2VuLCBHZXJtYW55LiBFbGVjdHJvbmljIGFkZHJlc3M6IGNocmlzdGlhbi1m
LnBvZXRzQG1lZC51bmktdHVlYmluZ2VuLmRlLjwvYXV0aC1hZGRyZXNzPjx0aXRsZXM+PHRpdGxl
PkVmZmVjdCBvZiBwcm9iaW90aWNzIG9uIHZhZ2luYWwgaGVhbHRoIGluIHByZWduYW5jeS4gRUZG
UFJPLCBhIHJhbmRvbWl6ZWQgY29udHJvbGxlZCB0cmlhbDwvdGl0bGU+PHNlY29uZGFyeS10aXRs
ZT5BbSBKIE9ic3RldCBHeW5lY29sPC9zZWNvbmRhcnktdGl0bGU+PC90aXRsZXM+PHBlcmlvZGlj
YWw+PGZ1bGwtdGl0bGU+QW0gSiBPYnN0ZXQgR3luZWNvbDwvZnVsbC10aXRsZT48L3BlcmlvZGlj
YWw+PHBhZ2VzPjYwOCBlMS02MDggZTc8L3BhZ2VzPjx2b2x1bWU+MjE1PC92b2x1bWU+PG51bWJl
cj41PC9udW1iZXI+PGVkaXRpb24+MjAxNi8xMC8zMDwvZWRpdGlvbj48a2V5d29yZHM+PGtleXdv
cmQ+QWRtaW5pc3RyYXRpb24sIE9yYWw8L2tleXdvcmQ+PGtleXdvcmQ+QWR1bHQ8L2tleXdvcmQ+
PGtleXdvcmQ+RmVtYWxlPC9rZXl3b3JkPjxrZXl3b3JkPkh1bWFuczwva2V5d29yZD48a2V5d29y
ZD4qTGFjdG9iYWNpbGx1cyByZXV0ZXJpPC9rZXl3b3JkPjxrZXl3b3JkPipMYWN0b2JhY2lsbHVz
IHJoYW1ub3N1czwva2V5d29yZD48a2V5d29yZD5NaWNyb2Jpb3RhLypkcnVnIGVmZmVjdHM8L2tl
eXdvcmQ+PGtleXdvcmQ+TWlkZGxlIEFnZWQ8L2tleXdvcmQ+PGtleXdvcmQ+UHJlZ25hbmN5PC9r
ZXl3b3JkPjxrZXl3b3JkPlByZWduYW5jeSBUcmltZXN0ZXIsIEZpcnN0PC9rZXl3b3JkPjxrZXl3
b3JkPlByb2Jpb3RpY3MvKnBoYXJtYWNvbG9neTwva2V5d29yZD48a2V5d29yZD5WYWdpbmEvKmRy
dWcgZWZmZWN0czwva2V5d29yZD48a2V5d29yZD5Zb3VuZyBBZHVsdDwva2V5d29yZD48a2V5d29y
ZD4qYmFjdGVyaWFsIHZhZ2lub3Npczwva2V5d29yZD48a2V5d29yZD4qcHJldGVybSBiaXJ0aDwv
a2V5d29yZD48a2V5d29yZD4qcHJvYmlvdGljczwva2V5d29yZD48a2V5d29yZD4qdmFnaW5hbCBt
aWNyb2Jpb3RhPC9rZXl3b3JkPjwva2V5d29yZHM+PGRhdGVzPjx5ZWFyPjIwMTY8L3llYXI+PHB1
Yi1kYXRlcz48ZGF0ZT5Ob3Y8L2RhdGU+PC9wdWItZGF0ZXM+PC9kYXRlcz48aXNibj4xMDk3LTY4
NjggKEVsZWN0cm9uaWMpJiN4RDswMDAyLTkzNzggKExpbmtpbmcpPC9pc2JuPjxhY2Nlc3Npb24t
bnVtPjI3MzQyMDQ2PC9hY2Nlc3Npb24tbnVtPjx1cmxzPjxyZWxhdGVkLXVybHM+PHVybD5odHRw
czovL3d3dy5uY2JpLm5sbS5uaWguZ292L3B1Ym1lZC8yNzM0MjA0NjwvdXJsPjwvcmVsYXRlZC11
cmxzPjwvdXJscz48ZWxlY3Ryb25pYy1yZXNvdXJjZS1udW0+MTAuMTAxNi9qLmFqb2cuMjAxNi4w
Ni4wMjE8L2VsZWN0cm9uaWMtcmVzb3VyY2UtbnVtPjwvcmVjb3JkPjwvQ2l0ZT48L0VuZE5vdGU+
AG==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sidR="00AB21E2">
              <w:rPr>
                <w:rFonts w:eastAsiaTheme="minorHAnsi"/>
                <w:b/>
                <w:sz w:val="16"/>
                <w:szCs w:val="16"/>
                <w:lang w:val="en-US"/>
              </w:rPr>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229</w:t>
            </w:r>
            <w:r w:rsidR="00AB21E2">
              <w:rPr>
                <w:rFonts w:eastAsiaTheme="minorHAnsi"/>
                <w:b/>
                <w:sz w:val="16"/>
                <w:szCs w:val="16"/>
                <w:lang w:val="en-US"/>
              </w:rPr>
              <w:fldChar w:fldCharType="end"/>
            </w:r>
          </w:p>
        </w:tc>
      </w:tr>
      <w:tr w:rsidR="00C71547" w:rsidRPr="00C12274" w14:paraId="32544293" w14:textId="77777777" w:rsidTr="00A77563">
        <w:trPr>
          <w:cantSplit/>
        </w:trPr>
        <w:tc>
          <w:tcPr>
            <w:tcW w:w="1560" w:type="dxa"/>
            <w:shd w:val="clear" w:color="D9E2F3" w:themeColor="accent1" w:themeTint="33" w:fill="auto"/>
          </w:tcPr>
          <w:p w14:paraId="2BE85EDD" w14:textId="77777777" w:rsidR="00C71547" w:rsidRPr="00C12274" w:rsidRDefault="00C71547" w:rsidP="00513E14">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0C8C1583" w14:textId="77777777" w:rsidR="00C71547" w:rsidRPr="00C12274" w:rsidRDefault="00C71547" w:rsidP="00513E14">
            <w:pPr>
              <w:pStyle w:val="RCTstable"/>
              <w:keepNext/>
            </w:pPr>
            <w:r>
              <w:t>Low</w:t>
            </w:r>
            <w:r w:rsidRPr="00C12274">
              <w:t xml:space="preserve"> risk</w:t>
            </w:r>
          </w:p>
        </w:tc>
        <w:tc>
          <w:tcPr>
            <w:tcW w:w="11199" w:type="dxa"/>
            <w:shd w:val="clear" w:color="D9E2F3" w:themeColor="accent1" w:themeTint="33" w:fill="auto"/>
          </w:tcPr>
          <w:p w14:paraId="7521F22B" w14:textId="146C1B62" w:rsidR="00C71547" w:rsidRPr="00430DF7" w:rsidRDefault="00430DF7" w:rsidP="00430DF7">
            <w:pPr>
              <w:pStyle w:val="RCTstable"/>
            </w:pPr>
            <w:r>
              <w:t>Randomis</w:t>
            </w:r>
            <w:r w:rsidRPr="00430DF7">
              <w:t>ation was performed with the</w:t>
            </w:r>
            <w:r>
              <w:t xml:space="preserve"> </w:t>
            </w:r>
            <w:r w:rsidRPr="00430DF7">
              <w:t>use of a computer-generated random</w:t>
            </w:r>
            <w:r>
              <w:t xml:space="preserve"> </w:t>
            </w:r>
            <w:r w:rsidRPr="00430DF7">
              <w:t>number list. Subjects were allocated to</w:t>
            </w:r>
            <w:r>
              <w:t xml:space="preserve"> </w:t>
            </w:r>
            <w:r w:rsidRPr="00430DF7">
              <w:t>study arms with the use of simple block</w:t>
            </w:r>
            <w:r>
              <w:t xml:space="preserve"> randomis</w:t>
            </w:r>
            <w:r w:rsidRPr="00430DF7">
              <w:t>ation.</w:t>
            </w:r>
          </w:p>
        </w:tc>
      </w:tr>
      <w:tr w:rsidR="00C71547" w:rsidRPr="00C12274" w14:paraId="20E24804" w14:textId="77777777" w:rsidTr="00A77563">
        <w:trPr>
          <w:cantSplit/>
        </w:trPr>
        <w:tc>
          <w:tcPr>
            <w:tcW w:w="1560" w:type="dxa"/>
            <w:shd w:val="clear" w:color="D9E2F3" w:themeColor="accent1" w:themeTint="33" w:fill="auto"/>
          </w:tcPr>
          <w:p w14:paraId="658ACB0E" w14:textId="77777777" w:rsidR="00C71547" w:rsidRPr="00C12274" w:rsidRDefault="00C71547" w:rsidP="00513E14">
            <w:pPr>
              <w:pStyle w:val="RCTstable"/>
              <w:keepNext/>
            </w:pPr>
            <w:r w:rsidRPr="00C12274">
              <w:t xml:space="preserve">Allocation concealment </w:t>
            </w:r>
          </w:p>
        </w:tc>
        <w:tc>
          <w:tcPr>
            <w:tcW w:w="1275" w:type="dxa"/>
            <w:shd w:val="clear" w:color="D9E2F3" w:themeColor="accent1" w:themeTint="33" w:fill="70AD47" w:themeFill="accent6"/>
          </w:tcPr>
          <w:p w14:paraId="189CC722" w14:textId="14609DB5" w:rsidR="00C71547" w:rsidRPr="00C12274" w:rsidRDefault="002B525F" w:rsidP="00513E14">
            <w:pPr>
              <w:pStyle w:val="RCTstable"/>
              <w:keepNext/>
            </w:pPr>
            <w:r>
              <w:t>Low</w:t>
            </w:r>
            <w:r w:rsidR="00C71547" w:rsidRPr="00C12274">
              <w:t xml:space="preserve"> risk</w:t>
            </w:r>
          </w:p>
        </w:tc>
        <w:tc>
          <w:tcPr>
            <w:tcW w:w="11199" w:type="dxa"/>
            <w:shd w:val="clear" w:color="D9E2F3" w:themeColor="accent1" w:themeTint="33" w:fill="auto"/>
          </w:tcPr>
          <w:p w14:paraId="51901E2B" w14:textId="3A85A7D5" w:rsidR="00C71547" w:rsidRPr="006653FF" w:rsidRDefault="00CD5410" w:rsidP="00513E14">
            <w:pPr>
              <w:pStyle w:val="RCTstable"/>
            </w:pPr>
            <w:r w:rsidRPr="00CD5410">
              <w:t>The placebo was matched to the study</w:t>
            </w:r>
            <w:r>
              <w:t xml:space="preserve"> </w:t>
            </w:r>
            <w:r w:rsidRPr="00CD5410">
              <w:t>drug for taste, colo</w:t>
            </w:r>
            <w:r>
              <w:t>u</w:t>
            </w:r>
            <w:r w:rsidRPr="00CD5410">
              <w:t>r, and size and was not</w:t>
            </w:r>
            <w:r>
              <w:t xml:space="preserve"> </w:t>
            </w:r>
            <w:r w:rsidRPr="00CD5410">
              <w:t>distinguishable from treatment, neither</w:t>
            </w:r>
            <w:r>
              <w:t xml:space="preserve"> </w:t>
            </w:r>
            <w:r w:rsidRPr="00CD5410">
              <w:t>by visual inspection nor by taste.</w:t>
            </w:r>
          </w:p>
        </w:tc>
      </w:tr>
      <w:tr w:rsidR="00C71547" w:rsidRPr="00C12274" w14:paraId="3FC2641A" w14:textId="77777777" w:rsidTr="00513E14">
        <w:trPr>
          <w:cantSplit/>
          <w:trHeight w:val="291"/>
        </w:trPr>
        <w:tc>
          <w:tcPr>
            <w:tcW w:w="1560" w:type="dxa"/>
            <w:shd w:val="clear" w:color="D9E2F3" w:themeColor="accent1" w:themeTint="33" w:fill="auto"/>
          </w:tcPr>
          <w:p w14:paraId="23F1869D" w14:textId="77777777" w:rsidR="00C71547" w:rsidRPr="00C12274" w:rsidRDefault="00C71547" w:rsidP="00513E14">
            <w:pPr>
              <w:pStyle w:val="RCTstable"/>
              <w:keepNext/>
            </w:pPr>
            <w:r>
              <w:t>Performance bias</w:t>
            </w:r>
          </w:p>
        </w:tc>
        <w:tc>
          <w:tcPr>
            <w:tcW w:w="1275" w:type="dxa"/>
            <w:tcBorders>
              <w:bottom w:val="single" w:sz="4" w:space="0" w:color="auto"/>
            </w:tcBorders>
            <w:shd w:val="clear" w:color="D9E2F3" w:themeColor="accent1" w:themeTint="33" w:fill="70AD47" w:themeFill="accent6"/>
          </w:tcPr>
          <w:p w14:paraId="03C6019E" w14:textId="77777777" w:rsidR="00C71547" w:rsidRPr="00C12274" w:rsidRDefault="00C71547" w:rsidP="00513E14">
            <w:pPr>
              <w:pStyle w:val="RCTstable"/>
              <w:keepNext/>
            </w:pPr>
            <w:r>
              <w:t>Low</w:t>
            </w:r>
            <w:r w:rsidRPr="00C12274">
              <w:t xml:space="preserve"> risk</w:t>
            </w:r>
          </w:p>
        </w:tc>
        <w:tc>
          <w:tcPr>
            <w:tcW w:w="11199" w:type="dxa"/>
            <w:vMerge w:val="restart"/>
            <w:shd w:val="clear" w:color="D9E2F3" w:themeColor="accent1" w:themeTint="33" w:fill="auto"/>
          </w:tcPr>
          <w:p w14:paraId="5E38AFF0" w14:textId="6005F415" w:rsidR="00C71547" w:rsidRPr="004D6F45" w:rsidRDefault="004D6F45" w:rsidP="004D6F45">
            <w:pPr>
              <w:pStyle w:val="RCTstable"/>
            </w:pPr>
            <w:r w:rsidRPr="004D6F45">
              <w:t>Recruitin</w:t>
            </w:r>
            <w:r>
              <w:t>g gyn</w:t>
            </w:r>
            <w:r w:rsidR="0033514E">
              <w:t>a</w:t>
            </w:r>
            <w:r>
              <w:t xml:space="preserve">ecologists and study centre </w:t>
            </w:r>
            <w:r w:rsidRPr="004D6F45">
              <w:t>(administering treatment), subjects, and</w:t>
            </w:r>
            <w:r>
              <w:t xml:space="preserve"> study centre</w:t>
            </w:r>
            <w:r w:rsidRPr="004D6F45">
              <w:t xml:space="preserve"> personnel including the</w:t>
            </w:r>
            <w:r>
              <w:t xml:space="preserve"> </w:t>
            </w:r>
            <w:r w:rsidRPr="004D6F45">
              <w:t>anal</w:t>
            </w:r>
            <w:r>
              <w:t>ys</w:t>
            </w:r>
            <w:r w:rsidRPr="004D6F45">
              <w:t>ing microbiologist (evaluating the</w:t>
            </w:r>
            <w:r>
              <w:t xml:space="preserve"> </w:t>
            </w:r>
            <w:r w:rsidRPr="004D6F45">
              <w:t>response to treatment) were all blinded to</w:t>
            </w:r>
            <w:r>
              <w:t xml:space="preserve"> </w:t>
            </w:r>
            <w:r w:rsidRPr="004D6F45">
              <w:t>group assignment until study completion</w:t>
            </w:r>
            <w:r>
              <w:t xml:space="preserve"> </w:t>
            </w:r>
            <w:r w:rsidRPr="004D6F45">
              <w:t xml:space="preserve">and </w:t>
            </w:r>
            <w:r w:rsidRPr="004D6F45">
              <w:rPr>
                <w:rFonts w:ascii="Helvetica" w:hAnsi="Helvetica"/>
              </w:rPr>
              <w:t>fi</w:t>
            </w:r>
            <w:r>
              <w:t>nal analys</w:t>
            </w:r>
            <w:r w:rsidRPr="004D6F45">
              <w:t>es (ie, triple-blind</w:t>
            </w:r>
            <w:r>
              <w:t xml:space="preserve"> </w:t>
            </w:r>
            <w:r w:rsidRPr="004D6F45">
              <w:t xml:space="preserve">design). </w:t>
            </w:r>
          </w:p>
        </w:tc>
      </w:tr>
      <w:tr w:rsidR="00C71547" w:rsidRPr="00822EBF" w14:paraId="1747A0C9" w14:textId="77777777" w:rsidTr="00513E14">
        <w:trPr>
          <w:cantSplit/>
        </w:trPr>
        <w:tc>
          <w:tcPr>
            <w:tcW w:w="1560" w:type="dxa"/>
            <w:shd w:val="clear" w:color="D9E2F3" w:themeColor="accent1" w:themeTint="33" w:fill="auto"/>
          </w:tcPr>
          <w:p w14:paraId="1F871216" w14:textId="77777777" w:rsidR="00C71547" w:rsidRPr="00822EBF" w:rsidRDefault="00C71547" w:rsidP="00513E14">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1BCDAB43" w14:textId="77777777" w:rsidR="00C71547" w:rsidRPr="00822EBF" w:rsidRDefault="00C71547" w:rsidP="00513E14">
            <w:pPr>
              <w:pStyle w:val="RCTstable"/>
            </w:pPr>
            <w:r>
              <w:t>Low</w:t>
            </w:r>
            <w:r w:rsidRPr="00822EBF">
              <w:t xml:space="preserve"> risk</w:t>
            </w:r>
          </w:p>
        </w:tc>
        <w:tc>
          <w:tcPr>
            <w:tcW w:w="11199" w:type="dxa"/>
            <w:vMerge/>
            <w:shd w:val="clear" w:color="D9E2F3" w:themeColor="accent1" w:themeTint="33" w:fill="auto"/>
          </w:tcPr>
          <w:p w14:paraId="3C2FF7F1" w14:textId="77777777" w:rsidR="00C71547" w:rsidRPr="001969C3" w:rsidRDefault="00C71547" w:rsidP="00513E14">
            <w:pPr>
              <w:pStyle w:val="RCTstable"/>
            </w:pPr>
          </w:p>
        </w:tc>
      </w:tr>
      <w:tr w:rsidR="00C71547" w:rsidRPr="00C12274" w14:paraId="437D7AA0" w14:textId="77777777" w:rsidTr="00513E14">
        <w:trPr>
          <w:cantSplit/>
        </w:trPr>
        <w:tc>
          <w:tcPr>
            <w:tcW w:w="1560" w:type="dxa"/>
            <w:shd w:val="clear" w:color="D9E2F3" w:themeColor="accent1" w:themeTint="33" w:fill="auto"/>
          </w:tcPr>
          <w:p w14:paraId="31EFF665" w14:textId="77777777" w:rsidR="00C71547" w:rsidRPr="00C12274" w:rsidRDefault="00C71547" w:rsidP="00513E14">
            <w:pPr>
              <w:pStyle w:val="RCTstable"/>
              <w:keepNext/>
            </w:pPr>
            <w:r w:rsidRPr="00C12274">
              <w:t>Incomplete outcome data</w:t>
            </w:r>
          </w:p>
        </w:tc>
        <w:tc>
          <w:tcPr>
            <w:tcW w:w="1275" w:type="dxa"/>
            <w:shd w:val="clear" w:color="D9E2F3" w:themeColor="accent1" w:themeTint="33" w:fill="70AD47" w:themeFill="accent6"/>
          </w:tcPr>
          <w:p w14:paraId="5DCC3D15" w14:textId="77777777" w:rsidR="00C71547" w:rsidRPr="00C12274" w:rsidRDefault="00C71547" w:rsidP="00513E14">
            <w:pPr>
              <w:pStyle w:val="RCTstable"/>
              <w:keepNext/>
            </w:pPr>
            <w:r>
              <w:t>Low</w:t>
            </w:r>
            <w:r w:rsidRPr="00C12274">
              <w:t xml:space="preserve"> risk</w:t>
            </w:r>
          </w:p>
        </w:tc>
        <w:tc>
          <w:tcPr>
            <w:tcW w:w="11199" w:type="dxa"/>
            <w:shd w:val="clear" w:color="D9E2F3" w:themeColor="accent1" w:themeTint="33" w:fill="auto"/>
          </w:tcPr>
          <w:p w14:paraId="7F5037E6" w14:textId="79D73EFA" w:rsidR="00C71547" w:rsidRPr="000B09FE" w:rsidRDefault="00C71547" w:rsidP="00F9459B">
            <w:pPr>
              <w:pStyle w:val="RCTstable"/>
            </w:pPr>
            <w:r>
              <w:t xml:space="preserve">Reasons for loss to follow-up </w:t>
            </w:r>
            <w:r w:rsidR="00F9459B">
              <w:t>reported</w:t>
            </w:r>
            <w:r w:rsidR="00C21983">
              <w:t xml:space="preserve"> and similar attrition between groups</w:t>
            </w:r>
            <w:r>
              <w:t>.</w:t>
            </w:r>
          </w:p>
        </w:tc>
      </w:tr>
      <w:tr w:rsidR="00C71547" w:rsidRPr="00C12274" w14:paraId="542362D3" w14:textId="77777777" w:rsidTr="00513E14">
        <w:trPr>
          <w:cantSplit/>
        </w:trPr>
        <w:tc>
          <w:tcPr>
            <w:tcW w:w="1560" w:type="dxa"/>
            <w:shd w:val="clear" w:color="D9E2F3" w:themeColor="accent1" w:themeTint="33" w:fill="auto"/>
          </w:tcPr>
          <w:p w14:paraId="3FD62092" w14:textId="77777777" w:rsidR="00C71547" w:rsidRPr="00C12274" w:rsidRDefault="00C71547" w:rsidP="00513E14">
            <w:pPr>
              <w:pStyle w:val="RCTstable"/>
            </w:pPr>
            <w:r w:rsidRPr="00C12274">
              <w:t>Selective reporting</w:t>
            </w:r>
          </w:p>
        </w:tc>
        <w:tc>
          <w:tcPr>
            <w:tcW w:w="1275" w:type="dxa"/>
            <w:shd w:val="clear" w:color="D9E2F3" w:themeColor="accent1" w:themeTint="33" w:fill="70AD47" w:themeFill="accent6"/>
          </w:tcPr>
          <w:p w14:paraId="14AC4FB7" w14:textId="77777777" w:rsidR="00C71547" w:rsidRPr="00C12274" w:rsidRDefault="00C71547" w:rsidP="00513E14">
            <w:pPr>
              <w:pStyle w:val="RCTstable"/>
            </w:pPr>
            <w:r>
              <w:t>Low</w:t>
            </w:r>
            <w:r w:rsidRPr="00C12274">
              <w:t xml:space="preserve"> risk</w:t>
            </w:r>
          </w:p>
        </w:tc>
        <w:tc>
          <w:tcPr>
            <w:tcW w:w="11199" w:type="dxa"/>
            <w:shd w:val="clear" w:color="D9E2F3" w:themeColor="accent1" w:themeTint="33" w:fill="auto"/>
          </w:tcPr>
          <w:p w14:paraId="317AEEAE" w14:textId="77777777" w:rsidR="00C71547" w:rsidRPr="001969C3" w:rsidRDefault="00C71547" w:rsidP="00513E14">
            <w:pPr>
              <w:pStyle w:val="RCTstable"/>
            </w:pPr>
            <w:r>
              <w:t>Pre-specified outcomes reported.</w:t>
            </w:r>
          </w:p>
        </w:tc>
      </w:tr>
      <w:tr w:rsidR="00C71547" w:rsidRPr="00C12274" w14:paraId="1A55A0F3" w14:textId="77777777" w:rsidTr="00513E14">
        <w:trPr>
          <w:cantSplit/>
        </w:trPr>
        <w:tc>
          <w:tcPr>
            <w:tcW w:w="1560" w:type="dxa"/>
            <w:shd w:val="clear" w:color="D9E2F3" w:themeColor="accent1" w:themeTint="33" w:fill="auto"/>
          </w:tcPr>
          <w:p w14:paraId="6C931BC8" w14:textId="77777777" w:rsidR="00C71547" w:rsidRPr="00C12274" w:rsidRDefault="00C71547" w:rsidP="00513E14">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629DAD68" w14:textId="77777777" w:rsidR="00C71547" w:rsidRPr="00C12274" w:rsidRDefault="00C71547" w:rsidP="00513E14">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56126265" w14:textId="77777777" w:rsidR="00C71547" w:rsidRPr="001969C3" w:rsidRDefault="00C71547" w:rsidP="00513E14">
            <w:pPr>
              <w:pStyle w:val="RCTstable"/>
            </w:pPr>
            <w:r>
              <w:t>No significant difference between groups at baseline.</w:t>
            </w:r>
          </w:p>
        </w:tc>
      </w:tr>
      <w:tr w:rsidR="00F9459B" w:rsidRPr="006234EA" w14:paraId="719F3B42" w14:textId="77777777" w:rsidTr="00513E14">
        <w:trPr>
          <w:cantSplit/>
        </w:trPr>
        <w:tc>
          <w:tcPr>
            <w:tcW w:w="14034" w:type="dxa"/>
            <w:gridSpan w:val="3"/>
            <w:shd w:val="solid" w:color="D9E2F3" w:themeColor="accent1" w:themeTint="33" w:fill="auto"/>
          </w:tcPr>
          <w:p w14:paraId="07F58941" w14:textId="14E22F9B" w:rsidR="00F9459B" w:rsidRPr="00470354" w:rsidRDefault="00F9459B" w:rsidP="002747EA">
            <w:pPr>
              <w:pStyle w:val="Tablecell"/>
              <w:keepNext/>
              <w:spacing w:line="220" w:lineRule="exact"/>
              <w:rPr>
                <w:rFonts w:eastAsiaTheme="minorHAnsi"/>
                <w:b/>
                <w:sz w:val="16"/>
                <w:szCs w:val="16"/>
                <w:lang w:val="en-US"/>
              </w:rPr>
            </w:pPr>
            <w:r>
              <w:rPr>
                <w:rFonts w:eastAsiaTheme="minorHAnsi"/>
                <w:b/>
                <w:sz w:val="16"/>
                <w:szCs w:val="16"/>
                <w:lang w:val="en-US"/>
              </w:rPr>
              <w:t>Ho et al 2016</w:t>
            </w:r>
            <w:r w:rsidR="00AB21E2">
              <w:rPr>
                <w:rFonts w:eastAsiaTheme="minorHAnsi"/>
                <w:b/>
                <w:sz w:val="16"/>
                <w:szCs w:val="16"/>
                <w:lang w:val="en-US"/>
              </w:rPr>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PEVuZE5vdGU+PENpdGU+PEF1dGhvcj5IbzwvQXV0aG9yPjxZZWFyPjIwMTY8L1llYXI+PFJlY051
bT4xNjU2PC9SZWNOdW0+PERpc3BsYXlUZXh0PjxzdHlsZSBmYWNlPSJzdXBlcnNjcmlwdCIgZm9u
dD0iVHJlYnVjaGV0IE1TIiBzaXplPSI5Ij4yMzA8L3N0eWxlPjwvRGlzcGxheVRleHQ+PHJlY29y
ZD48cmVjLW51bWJlcj4xNjU2PC9yZWMtbnVtYmVyPjxmb3JlaWduLWtleXM+PGtleSBhcHA9IkVO
IiBkYi1pZD0iZXh2YXNyZngyZHRyYW9lc2FzeHAyc3pzeGEyZGY1MDI1OTJ4IiB0aW1lc3RhbXA9
IjE1ODEzMTI3NTEiPjE2NTY8L2tleT48a2V5IGFwcD0iRU5XZWIiIGRiLWlkPSIiPjA8L2tleT48
L2ZvcmVpZ24ta2V5cz48cmVmLXR5cGUgbmFtZT0iSm91cm5hbCBBcnRpY2xlIj4xNzwvcmVmLXR5
cGU+PGNvbnRyaWJ1dG9ycz48YXV0aG9ycz48YXV0aG9yPkhvLCBNLjwvYXV0aG9yPjxhdXRob3I+
Q2hhbmcsIFkuIFkuPC9hdXRob3I+PGF1dGhvcj5DaGFuZywgVy4gQy48L2F1dGhvcj48YXV0aG9y
PkxpbiwgSC4gQy48L2F1dGhvcj48YXV0aG9yPldhbmcsIE0uIEguPC9hdXRob3I+PGF1dGhvcj5M
aW4sIFcuIEMuPC9hdXRob3I+PGF1dGhvcj5DaGl1LCBULiBILjwvYXV0aG9yPjwvYXV0aG9ycz48
L2NvbnRyaWJ1dG9ycz48YXV0aC1hZGRyZXNzPkRlcGFydG1lbnQgb2YgT2JzdGV0cmljcyBhbmQg
R3luZWNvbG9neSwgQ2hpbmEgTWVkaWNhbCBVbml2ZXJzaXR5IEhvc3BpdGFsLCBDaGluYSBNZWRp
Y2FsIFVuaXZlcnNpdHksIFRhaWNodW5nIDQwNDAyLCBUYWl3YW4uJiN4RDtEZXBhcnRtZW50IG9m
IFBlZGlhdHJpY3MsIENoaW5hIE1lZGljYWwgVW5pdmVyc2l0eSBIb3NwaXRhbCwgQ2hpbmEgTWVk
aWNhbCBVbml2ZXJzaXR5LCBUYWljaHVuZyA0MDQwMiwgVGFpd2FuLiYjeEQ7RGVwYXJ0bWVudCBv
ZiBPYnN0ZXRyaWNzIGFuZCBHeW5lY29sb2d5LCBDaGluYSBNZWRpY2FsIFVuaXZlcnNpdHkgSG9z
cGl0YWwsIENoaW5hIE1lZGljYWwgVW5pdmVyc2l0eSwgVGFpY2h1bmcgNDA0MDIsIFRhaXdhbi4g
RWxlY3Ryb25pYyBhZGRyZXNzOiBkNDc5OEBtYWlsLmNtdWgub3JnLnR3LjwvYXV0aC1hZGRyZXNz
Pjx0aXRsZXM+PHRpdGxlPk9yYWwgTGFjdG9iYWNpbGx1cyByaGFtbm9zdXMgR1ItMSBhbmQgTGFj
dG9iYWNpbGx1cyByZXV0ZXJpIFJDLTE0IHRvIHJlZHVjZSBHcm91cCBCIFN0cmVwdG9jb2NjdXMg
Y29sb25pemF0aW9uIGluIHByZWduYW50IHdvbWVuOiBBIHJhbmRvbWl6ZWQgY29udHJvbGxlZCB0
cmlhbDwvdGl0bGU+PHNlY29uZGFyeS10aXRsZT5UYWl3YW4gSiBPYnN0ZXQgR3luZWNvbDwvc2Vj
b25kYXJ5LXRpdGxlPjwvdGl0bGVzPjxwZXJpb2RpY2FsPjxmdWxsLXRpdGxlPlRhaXdhbiBKIE9i
c3RldCBHeW5lY29sPC9mdWxsLXRpdGxlPjwvcGVyaW9kaWNhbD48cGFnZXM+NTE1LTg8L3BhZ2Vz
Pjx2b2x1bWU+NTU8L3ZvbHVtZT48bnVtYmVyPjQ8L251bWJlcj48ZWRpdGlvbj4yMDE2LzA5LzA0
PC9lZGl0aW9uPjxrZXl3b3Jkcz48a2V5d29yZD5BZHVsdDwva2V5d29yZD48a2V5d29yZD5Eb3Vi
bGUtQmxpbmQgTWV0aG9kPC9rZXl3b3JkPjxrZXl3b3JkPkZlbWFsZTwva2V5d29yZD48a2V5d29y
ZD5IdW1hbnM8L2tleXdvcmQ+PGtleXdvcmQ+SW5mZWN0aW91cyBEaXNlYXNlIFRyYW5zbWlzc2lv
biwgVmVydGljYWwvcHJldmVudGlvbiAmYW1wOyBjb250cm9sPC9rZXl3b3JkPjxrZXl3b3JkPipM
YWN0b2JhY2lsbHVzIHJldXRlcmk8L2tleXdvcmQ+PGtleXdvcmQ+KkxhY3RvYmFjaWxsdXMgcmhh
bW5vc3VzPC9rZXl3b3JkPjxrZXl3b3JkPlByZWduYW5jeTwva2V5d29yZD48a2V5d29yZD4qUHJl
Z25hbmN5IFRyaW1lc3RlciwgVGhpcmQ8L2tleXdvcmQ+PGtleXdvcmQ+UHJvYmlvdGljcy8qdGhl
cmFwZXV0aWMgdXNlPC9rZXl3b3JkPjxrZXl3b3JkPlByb3NwZWN0aXZlIFN0dWRpZXM8L2tleXdv
cmQ+PGtleXdvcmQ+UmVjdHVtL21pY3JvYmlvbG9neTwva2V5d29yZD48a2V5d29yZD5TdHJlcHRv
Y29jY2FsIEluZmVjdGlvbnMvbWljcm9iaW9sb2d5L3ByZXZlbnRpb24gJmFtcDsgY29udHJvbC90
cmFuc21pc3Npb248L2tleXdvcmQ+PGtleXdvcmQ+U3RyZXB0b2NvY2N1cyBhZ2FsYWN0aWFlLypn
cm93dGggJmFtcDsgZGV2ZWxvcG1lbnQ8L2tleXdvcmQ+PGtleXdvcmQ+VmFnaW5hL21pY3JvYmlv
bG9neTwva2V5d29yZD48a2V5d29yZD4qR0JTIGNvbG9uaXphdGlvbjwva2V5d29yZD48a2V5d29y
ZD4qR0JTIGluZmVjdGlvbjwva2V5d29yZD48a2V5d29yZD4qaW50cmFwYXJ0dW0gYW50aWJpb3Rp
Yzwva2V5d29yZD48a2V5d29yZD4qb3JhbCBwcm9iaW90aWNzPC9rZXl3b3JkPjwva2V5d29yZHM+
PGRhdGVzPjx5ZWFyPjIwMTY8L3llYXI+PHB1Yi1kYXRlcz48ZGF0ZT5BdWc8L2RhdGU+PC9wdWIt
ZGF0ZXM+PC9kYXRlcz48aXNibj4xODc1LTYyNjMgKEVsZWN0cm9uaWMpJiN4RDsxMDI4LTQ1NTkg
KExpbmtpbmcpPC9pc2JuPjxhY2Nlc3Npb24tbnVtPjI3NTkwMzc0PC9hY2Nlc3Npb24tbnVtPjx1
cmxzPjxyZWxhdGVkLXVybHM+PHVybD5odHRwczovL3d3dy5uY2JpLm5sbS5uaWguZ292L3B1Ym1l
ZC8yNzU5MDM3NDwvdXJsPjwvcmVsYXRlZC11cmxzPjwvdXJscz48ZWxlY3Ryb25pYy1yZXNvdXJj
ZS1udW0+MTAuMTAxNi9qLnRqb2cuMjAxNi4wNi4wMDM8L2VsZWN0cm9uaWMtcmVzb3VyY2UtbnVt
PjwvcmVjb3JkPjwvQ2l0ZT48L0VuZE5vdGU+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sidR="00AB21E2">
              <w:rPr>
                <w:rFonts w:eastAsiaTheme="minorHAnsi"/>
                <w:b/>
                <w:sz w:val="16"/>
                <w:szCs w:val="16"/>
                <w:lang w:val="en-US"/>
              </w:rPr>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230</w:t>
            </w:r>
            <w:r w:rsidR="00AB21E2">
              <w:rPr>
                <w:rFonts w:eastAsiaTheme="minorHAnsi"/>
                <w:b/>
                <w:sz w:val="16"/>
                <w:szCs w:val="16"/>
                <w:lang w:val="en-US"/>
              </w:rPr>
              <w:fldChar w:fldCharType="end"/>
            </w:r>
          </w:p>
        </w:tc>
      </w:tr>
      <w:tr w:rsidR="00F9459B" w:rsidRPr="00C12274" w14:paraId="20132ED4" w14:textId="77777777" w:rsidTr="00513E14">
        <w:trPr>
          <w:cantSplit/>
        </w:trPr>
        <w:tc>
          <w:tcPr>
            <w:tcW w:w="1560" w:type="dxa"/>
            <w:shd w:val="clear" w:color="D9E2F3" w:themeColor="accent1" w:themeTint="33" w:fill="auto"/>
          </w:tcPr>
          <w:p w14:paraId="04B1391C" w14:textId="77777777" w:rsidR="00F9459B" w:rsidRPr="00C12274" w:rsidRDefault="00F9459B" w:rsidP="00513E14">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1DE88A77" w14:textId="77777777" w:rsidR="00F9459B" w:rsidRPr="00C12274" w:rsidRDefault="00F9459B" w:rsidP="00513E14">
            <w:pPr>
              <w:pStyle w:val="RCTstable"/>
              <w:keepNext/>
            </w:pPr>
            <w:r>
              <w:t>Low</w:t>
            </w:r>
            <w:r w:rsidRPr="00C12274">
              <w:t xml:space="preserve"> risk</w:t>
            </w:r>
          </w:p>
        </w:tc>
        <w:tc>
          <w:tcPr>
            <w:tcW w:w="11199" w:type="dxa"/>
            <w:shd w:val="clear" w:color="D9E2F3" w:themeColor="accent1" w:themeTint="33" w:fill="auto"/>
          </w:tcPr>
          <w:p w14:paraId="7D14BFE8" w14:textId="77A6638D" w:rsidR="00F9459B" w:rsidRPr="00430DF7" w:rsidRDefault="00F9459B" w:rsidP="00F9459B">
            <w:pPr>
              <w:pStyle w:val="RCTstable"/>
            </w:pPr>
            <w:r>
              <w:t xml:space="preserve">The trial patients were doubled-blind computerized randomised by the hospital pharmacy. Each woman was assigned a number. </w:t>
            </w:r>
          </w:p>
        </w:tc>
      </w:tr>
      <w:tr w:rsidR="00F9459B" w:rsidRPr="00C12274" w14:paraId="5F39314C" w14:textId="77777777" w:rsidTr="00F9459B">
        <w:trPr>
          <w:cantSplit/>
        </w:trPr>
        <w:tc>
          <w:tcPr>
            <w:tcW w:w="1560" w:type="dxa"/>
            <w:shd w:val="clear" w:color="D9E2F3" w:themeColor="accent1" w:themeTint="33" w:fill="auto"/>
          </w:tcPr>
          <w:p w14:paraId="1AF8451F" w14:textId="77777777" w:rsidR="00F9459B" w:rsidRPr="00C12274" w:rsidRDefault="00F9459B" w:rsidP="00513E14">
            <w:pPr>
              <w:pStyle w:val="RCTstable"/>
              <w:keepNext/>
            </w:pPr>
            <w:r w:rsidRPr="00C12274">
              <w:t xml:space="preserve">Allocation concealment </w:t>
            </w:r>
          </w:p>
        </w:tc>
        <w:tc>
          <w:tcPr>
            <w:tcW w:w="1275" w:type="dxa"/>
            <w:tcBorders>
              <w:bottom w:val="single" w:sz="4" w:space="0" w:color="auto"/>
            </w:tcBorders>
            <w:shd w:val="clear" w:color="D9E2F3" w:themeColor="accent1" w:themeTint="33" w:fill="70AD47" w:themeFill="accent6"/>
          </w:tcPr>
          <w:p w14:paraId="41808264" w14:textId="6394D460" w:rsidR="00F9459B" w:rsidRPr="00C12274" w:rsidRDefault="002B525F" w:rsidP="00513E14">
            <w:pPr>
              <w:pStyle w:val="RCTstable"/>
              <w:keepNext/>
            </w:pPr>
            <w:r>
              <w:t>Low</w:t>
            </w:r>
            <w:r w:rsidR="00F9459B" w:rsidRPr="00C12274">
              <w:t xml:space="preserve"> risk</w:t>
            </w:r>
          </w:p>
        </w:tc>
        <w:tc>
          <w:tcPr>
            <w:tcW w:w="11199" w:type="dxa"/>
            <w:shd w:val="clear" w:color="D9E2F3" w:themeColor="accent1" w:themeTint="33" w:fill="auto"/>
          </w:tcPr>
          <w:p w14:paraId="7A16FEC8" w14:textId="2EAACDC2" w:rsidR="00F9459B" w:rsidRPr="006653FF" w:rsidRDefault="00F9459B" w:rsidP="00513E14">
            <w:pPr>
              <w:pStyle w:val="RCTstable"/>
            </w:pPr>
            <w:r>
              <w:t>Identical looking probiotic and placebo capsules were prepared and distributed in numbered containers by the pharmacy.</w:t>
            </w:r>
          </w:p>
        </w:tc>
      </w:tr>
      <w:tr w:rsidR="00F9459B" w:rsidRPr="00C12274" w14:paraId="26BB7EED" w14:textId="77777777" w:rsidTr="00F9459B">
        <w:trPr>
          <w:cantSplit/>
          <w:trHeight w:val="291"/>
        </w:trPr>
        <w:tc>
          <w:tcPr>
            <w:tcW w:w="1560" w:type="dxa"/>
            <w:shd w:val="clear" w:color="D9E2F3" w:themeColor="accent1" w:themeTint="33" w:fill="auto"/>
          </w:tcPr>
          <w:p w14:paraId="30250727" w14:textId="77777777" w:rsidR="00F9459B" w:rsidRPr="00C12274" w:rsidRDefault="00F9459B" w:rsidP="00513E14">
            <w:pPr>
              <w:pStyle w:val="RCTstable"/>
              <w:keepNext/>
            </w:pPr>
            <w:r>
              <w:t>Performance bias</w:t>
            </w:r>
          </w:p>
        </w:tc>
        <w:tc>
          <w:tcPr>
            <w:tcW w:w="1275" w:type="dxa"/>
            <w:tcBorders>
              <w:bottom w:val="single" w:sz="4" w:space="0" w:color="auto"/>
            </w:tcBorders>
            <w:shd w:val="clear" w:color="D9E2F3" w:themeColor="accent1" w:themeTint="33" w:fill="FFC000" w:themeFill="accent4"/>
          </w:tcPr>
          <w:p w14:paraId="17903524" w14:textId="6048E332" w:rsidR="00F9459B" w:rsidRPr="00C12274" w:rsidRDefault="00F9459B" w:rsidP="00513E14">
            <w:pPr>
              <w:pStyle w:val="RCTstable"/>
              <w:keepNext/>
            </w:pPr>
            <w:r>
              <w:t>Unclear</w:t>
            </w:r>
            <w:r w:rsidRPr="00C12274">
              <w:t xml:space="preserve"> risk</w:t>
            </w:r>
          </w:p>
        </w:tc>
        <w:tc>
          <w:tcPr>
            <w:tcW w:w="11199" w:type="dxa"/>
            <w:vMerge w:val="restart"/>
            <w:shd w:val="clear" w:color="D9E2F3" w:themeColor="accent1" w:themeTint="33" w:fill="auto"/>
          </w:tcPr>
          <w:p w14:paraId="125374FB" w14:textId="110ADA68" w:rsidR="00F9459B" w:rsidRPr="004D6F45" w:rsidRDefault="00F9459B" w:rsidP="00513E14">
            <w:pPr>
              <w:pStyle w:val="RCTstable"/>
            </w:pPr>
            <w:r>
              <w:t>Not described</w:t>
            </w:r>
          </w:p>
        </w:tc>
      </w:tr>
      <w:tr w:rsidR="00F9459B" w:rsidRPr="00822EBF" w14:paraId="7901E439" w14:textId="77777777" w:rsidTr="00F9459B">
        <w:trPr>
          <w:cantSplit/>
        </w:trPr>
        <w:tc>
          <w:tcPr>
            <w:tcW w:w="1560" w:type="dxa"/>
            <w:shd w:val="clear" w:color="D9E2F3" w:themeColor="accent1" w:themeTint="33" w:fill="auto"/>
          </w:tcPr>
          <w:p w14:paraId="0201175A" w14:textId="77777777" w:rsidR="00F9459B" w:rsidRPr="00822EBF" w:rsidRDefault="00F9459B" w:rsidP="00513E14">
            <w:pPr>
              <w:pStyle w:val="RCTstable"/>
            </w:pPr>
            <w:r w:rsidRPr="00822EBF">
              <w:t>Detection bias</w:t>
            </w:r>
          </w:p>
        </w:tc>
        <w:tc>
          <w:tcPr>
            <w:tcW w:w="1275" w:type="dxa"/>
            <w:tcBorders>
              <w:bottom w:val="single" w:sz="4" w:space="0" w:color="auto"/>
            </w:tcBorders>
            <w:shd w:val="clear" w:color="D9E2F3" w:themeColor="accent1" w:themeTint="33" w:fill="FFC000" w:themeFill="accent4"/>
          </w:tcPr>
          <w:p w14:paraId="7EE99595" w14:textId="3D3B008F" w:rsidR="00F9459B" w:rsidRPr="00822EBF" w:rsidRDefault="00F9459B" w:rsidP="00513E14">
            <w:pPr>
              <w:pStyle w:val="RCTstable"/>
            </w:pPr>
            <w:r>
              <w:t>Unclear</w:t>
            </w:r>
            <w:r w:rsidRPr="00822EBF">
              <w:t xml:space="preserve"> risk</w:t>
            </w:r>
          </w:p>
        </w:tc>
        <w:tc>
          <w:tcPr>
            <w:tcW w:w="11199" w:type="dxa"/>
            <w:vMerge/>
            <w:shd w:val="clear" w:color="D9E2F3" w:themeColor="accent1" w:themeTint="33" w:fill="auto"/>
          </w:tcPr>
          <w:p w14:paraId="621C76AE" w14:textId="77777777" w:rsidR="00F9459B" w:rsidRPr="001969C3" w:rsidRDefault="00F9459B" w:rsidP="00513E14">
            <w:pPr>
              <w:pStyle w:val="RCTstable"/>
            </w:pPr>
          </w:p>
        </w:tc>
      </w:tr>
      <w:tr w:rsidR="00F9459B" w:rsidRPr="00C12274" w14:paraId="5344CF13" w14:textId="77777777" w:rsidTr="00513E14">
        <w:trPr>
          <w:cantSplit/>
        </w:trPr>
        <w:tc>
          <w:tcPr>
            <w:tcW w:w="1560" w:type="dxa"/>
            <w:shd w:val="clear" w:color="D9E2F3" w:themeColor="accent1" w:themeTint="33" w:fill="auto"/>
          </w:tcPr>
          <w:p w14:paraId="589D57F1" w14:textId="77777777" w:rsidR="00F9459B" w:rsidRPr="00C12274" w:rsidRDefault="00F9459B" w:rsidP="00513E14">
            <w:pPr>
              <w:pStyle w:val="RCTstable"/>
              <w:keepNext/>
            </w:pPr>
            <w:r w:rsidRPr="00C12274">
              <w:t>Incomplete outcome data</w:t>
            </w:r>
          </w:p>
        </w:tc>
        <w:tc>
          <w:tcPr>
            <w:tcW w:w="1275" w:type="dxa"/>
            <w:shd w:val="clear" w:color="D9E2F3" w:themeColor="accent1" w:themeTint="33" w:fill="70AD47" w:themeFill="accent6"/>
          </w:tcPr>
          <w:p w14:paraId="27438E7F" w14:textId="77777777" w:rsidR="00F9459B" w:rsidRPr="00C12274" w:rsidRDefault="00F9459B" w:rsidP="00513E14">
            <w:pPr>
              <w:pStyle w:val="RCTstable"/>
              <w:keepNext/>
            </w:pPr>
            <w:r>
              <w:t>Low</w:t>
            </w:r>
            <w:r w:rsidRPr="00C12274">
              <w:t xml:space="preserve"> risk</w:t>
            </w:r>
          </w:p>
        </w:tc>
        <w:tc>
          <w:tcPr>
            <w:tcW w:w="11199" w:type="dxa"/>
            <w:shd w:val="clear" w:color="D9E2F3" w:themeColor="accent1" w:themeTint="33" w:fill="auto"/>
          </w:tcPr>
          <w:p w14:paraId="65BE5EB9" w14:textId="58611350" w:rsidR="00F9459B" w:rsidRPr="000B09FE" w:rsidRDefault="00F9459B" w:rsidP="00F9459B">
            <w:pPr>
              <w:pStyle w:val="RCTstable"/>
            </w:pPr>
            <w:r>
              <w:t>Reasons for loss to follow-up reported</w:t>
            </w:r>
            <w:r w:rsidR="00DA1447">
              <w:t xml:space="preserve"> and attrition similar between groups</w:t>
            </w:r>
            <w:r>
              <w:t>.</w:t>
            </w:r>
          </w:p>
        </w:tc>
      </w:tr>
      <w:tr w:rsidR="00F9459B" w:rsidRPr="00C12274" w14:paraId="261A8BFB" w14:textId="77777777" w:rsidTr="00513E14">
        <w:trPr>
          <w:cantSplit/>
        </w:trPr>
        <w:tc>
          <w:tcPr>
            <w:tcW w:w="1560" w:type="dxa"/>
            <w:shd w:val="clear" w:color="D9E2F3" w:themeColor="accent1" w:themeTint="33" w:fill="auto"/>
          </w:tcPr>
          <w:p w14:paraId="11C8ED03" w14:textId="77777777" w:rsidR="00F9459B" w:rsidRPr="00C12274" w:rsidRDefault="00F9459B" w:rsidP="00513E14">
            <w:pPr>
              <w:pStyle w:val="RCTstable"/>
            </w:pPr>
            <w:r w:rsidRPr="00C12274">
              <w:t>Selective reporting</w:t>
            </w:r>
          </w:p>
        </w:tc>
        <w:tc>
          <w:tcPr>
            <w:tcW w:w="1275" w:type="dxa"/>
            <w:shd w:val="clear" w:color="D9E2F3" w:themeColor="accent1" w:themeTint="33" w:fill="70AD47" w:themeFill="accent6"/>
          </w:tcPr>
          <w:p w14:paraId="64394F26" w14:textId="77777777" w:rsidR="00F9459B" w:rsidRPr="00C12274" w:rsidRDefault="00F9459B" w:rsidP="00513E14">
            <w:pPr>
              <w:pStyle w:val="RCTstable"/>
            </w:pPr>
            <w:r>
              <w:t>Low</w:t>
            </w:r>
            <w:r w:rsidRPr="00C12274">
              <w:t xml:space="preserve"> risk</w:t>
            </w:r>
          </w:p>
        </w:tc>
        <w:tc>
          <w:tcPr>
            <w:tcW w:w="11199" w:type="dxa"/>
            <w:shd w:val="clear" w:color="D9E2F3" w:themeColor="accent1" w:themeTint="33" w:fill="auto"/>
          </w:tcPr>
          <w:p w14:paraId="059E5474" w14:textId="77777777" w:rsidR="00F9459B" w:rsidRPr="001969C3" w:rsidRDefault="00F9459B" w:rsidP="00513E14">
            <w:pPr>
              <w:pStyle w:val="RCTstable"/>
            </w:pPr>
            <w:r>
              <w:t>Pre-specified outcomes reported.</w:t>
            </w:r>
          </w:p>
        </w:tc>
      </w:tr>
      <w:tr w:rsidR="00F9459B" w:rsidRPr="00C12274" w14:paraId="0C412D89" w14:textId="77777777" w:rsidTr="00513E14">
        <w:trPr>
          <w:cantSplit/>
        </w:trPr>
        <w:tc>
          <w:tcPr>
            <w:tcW w:w="1560" w:type="dxa"/>
            <w:shd w:val="clear" w:color="D9E2F3" w:themeColor="accent1" w:themeTint="33" w:fill="auto"/>
          </w:tcPr>
          <w:p w14:paraId="6378EB9B" w14:textId="77777777" w:rsidR="00F9459B" w:rsidRPr="00C12274" w:rsidRDefault="00F9459B" w:rsidP="00513E14">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30F387D4" w14:textId="77777777" w:rsidR="00F9459B" w:rsidRPr="00C12274" w:rsidRDefault="00F9459B" w:rsidP="00513E14">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09AEA6C9" w14:textId="77777777" w:rsidR="00F9459B" w:rsidRPr="001969C3" w:rsidRDefault="00F9459B" w:rsidP="00513E14">
            <w:pPr>
              <w:pStyle w:val="RCTstable"/>
            </w:pPr>
            <w:r>
              <w:t>No significant difference between groups at baseline.</w:t>
            </w:r>
          </w:p>
        </w:tc>
      </w:tr>
      <w:tr w:rsidR="00675BC5" w:rsidRPr="006234EA" w14:paraId="522CD995" w14:textId="77777777" w:rsidTr="00513E14">
        <w:trPr>
          <w:cantSplit/>
        </w:trPr>
        <w:tc>
          <w:tcPr>
            <w:tcW w:w="14034" w:type="dxa"/>
            <w:gridSpan w:val="3"/>
            <w:shd w:val="solid" w:color="D9E2F3" w:themeColor="accent1" w:themeTint="33" w:fill="auto"/>
          </w:tcPr>
          <w:p w14:paraId="7DC6E42F" w14:textId="4EDA3BCB" w:rsidR="00675BC5" w:rsidRPr="00470354" w:rsidRDefault="00675BC5" w:rsidP="002747EA">
            <w:pPr>
              <w:pStyle w:val="Tablecell"/>
              <w:keepNext/>
              <w:spacing w:line="220" w:lineRule="exact"/>
              <w:rPr>
                <w:rFonts w:eastAsiaTheme="minorHAnsi"/>
                <w:b/>
                <w:sz w:val="16"/>
                <w:szCs w:val="16"/>
                <w:lang w:val="en-US"/>
              </w:rPr>
            </w:pPr>
            <w:r>
              <w:rPr>
                <w:rFonts w:eastAsiaTheme="minorHAnsi"/>
                <w:b/>
                <w:sz w:val="16"/>
                <w:szCs w:val="16"/>
                <w:lang w:val="en-US"/>
              </w:rPr>
              <w:t>Husain et al 2019</w:t>
            </w:r>
            <w:r w:rsidR="00AB21E2">
              <w:rPr>
                <w:rFonts w:eastAsiaTheme="minorHAnsi"/>
                <w:b/>
                <w:sz w:val="16"/>
                <w:szCs w:val="16"/>
                <w:lang w:val="en-US"/>
              </w:rPr>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PEVuZE5vdGU+PENpdGU+PEF1dGhvcj5IdXNhaW48L0F1dGhvcj48WWVhcj4yMDIwPC9ZZWFyPjxS
ZWNOdW0+MTY4MTwvUmVjTnVtPjxEaXNwbGF5VGV4dD48c3R5bGUgZmFjZT0ic3VwZXJzY3JpcHQi
IGZvbnQ9IlRyZWJ1Y2hldCBNUyIgc2l6ZT0iOSI+MjMxPC9zdHlsZT48L0Rpc3BsYXlUZXh0Pjxy
ZWNvcmQ+PHJlYy1udW1iZXI+MTY4MTwvcmVjLW51bWJlcj48Zm9yZWlnbi1rZXlzPjxrZXkgYXBw
PSJFTiIgZGItaWQ9ImV4dmFzcmZ4MmR0cmFvZXNhc3hwMnN6c3hhMmRmNTAyNTkyeCIgdGltZXN0
YW1wPSIxNTgxMzc5ODc0Ij4xNjgxPC9rZXk+PC9mb3JlaWduLWtleXM+PHJlZi10eXBlIG5hbWU9
IkpvdXJuYWwgQXJ0aWNsZSI+MTc8L3JlZi10eXBlPjxjb250cmlidXRvcnM+PGF1dGhvcnM+PGF1
dGhvcj5IdXNhaW4sIFMuPC9hdXRob3I+PGF1dGhvcj5BbGxvdGV5LCBKLjwvYXV0aG9yPjxhdXRo
b3I+RHJ5bW91c3NpLCBaLjwvYXV0aG9yPjxhdXRob3I+V2lsa3MsIE0uPC9hdXRob3I+PGF1dGhv
cj5GZXJuYW5kZXotRmVsaXgsIEIuIE0uPC9hdXRob3I+PGF1dGhvcj5XaGlsZXksIEEuPC9hdXRo
b3I+PGF1dGhvcj5Eb2RkcywgSi48L2F1dGhvcj48YXV0aG9yPlRoYW5nYXJhdGluYW0sIFMuPC9h
dXRob3I+PGF1dGhvcj5NY0NvdXJ0LCBDLjwvYXV0aG9yPjxhdXRob3I+UHJvc2RvY2ltaSwgRS4g
TS48L2F1dGhvcj48YXV0aG9yPldhZGUsIFcuIEcuPC9hdXRob3I+PGF1dGhvcj5kZSBUZWphZGEs
IEIuIE0uPC9hdXRob3I+PGF1dGhvcj5aYW1vcmEsIEouPC9hdXRob3I+PGF1dGhvcj5LaGFuLCBL
LjwvYXV0aG9yPjxhdXRob3I+TWlsbGFyLCBNLjwvYXV0aG9yPjwvYXV0aG9ycz48L2NvbnRyaWJ1
dG9ycz48YXV0aC1hZGRyZXNzPkJhcnRzIGFuZCB0aGUgTG9uZG9uIFNjaG9vbCBvZiBNZWRpY2lu
ZSBhbmQgRGVudGlzdHJ5LCBCbGl6YXJkIEluc3RpdHV0ZSwgUXVlZW4gTWFyeSBVbml2ZXJzaXR5
IG9mIExvbmRvbiwgTG9uZG9uLCBVSy4mI3hEO05lb25hdGFsIFVuaXQsIEhvbWVydG9uIFVuaXZl
cnNpdHkgSG9zcGl0YWwgTkhTIEZvdW5kYXRpb24gVHJ1c3QsIExvbmRvbiwgVUsuJiN4RDtXb21l
biZhcG9zO3MgSGVhbHRoIFJlc2VhcmNoIFVuaXQsIEJhcnRzIGFuZCB0aGUgTG9uZG9uIFNjaG9v
bCBvZiBNZWRpY2luZSBhbmQgRGVudGlzdHJ5LCBRdWVlbiBNYXJ5IFVuaXZlcnNpdHkgb2YgTG9u
ZG9uLCBMb25kb24sIFVLLiYjeEQ7QmFydHMgYW5kIHRoZSBMb25kb24gU2Nob29sIG9mIE1lZGlj
aW5lIGFuZCBEZW50aXN0cnksIFF1ZWVuIE1hcnkgVW5pdmVyc2l0eSBvZiBMb25kb24sIExvbmRv
biwgVUsuJiN4RDtCYXJ0cyBIZWFsdGggTkhTIFRydXN0LCBMb25kb24sIFVLLiYjeEQ7Q0lCRVIg
RXBpZGVtaW9sb2d5IGFuZCBQdWJsaWMgSGVhbHRoIChDSUJFUkVTUCksIE1hZHJpZCwgU3BhaW4u
JiN4RDtDbGluaWNhbCBCaW9zdGF0aXN0aWNzIFVuaXQsIEhvc3BpdGFsIFJhbW9uIHkgQ2FqYWwg
KElSWUNJUyksIE1hZHJpZCwgU3BhaW4uJiN4RDtDaXR5IFVuaXZlcnNpdHkgb2YgTG9uZG9uLCBV
bml2ZXJzaXR5IG9mIExvbmRvbiwgTG9uZG9uLCBVSy4mI3hEO0NlbnRyZSBmb3IgSG9zdC1NaWNy
b2Jpb21lIEludGVyYWN0aW9ucywgS2luZyZhcG9zO3MgQ29sbGVnZSBMb25kb24sIExvbmRvbiwg
VUsuJiN4RDtEZXBhcnRtZW50IG9mIE9ic3RldHJpY3MgYW5kIEd5bmFlY29sb2d5LCBGYWN1bHR5
IG9mIE1lZGljaW5lLCBVbml2ZXJzaXR5IEhvc3BpdGFscyBvZiBHZW5ldmEsIEdlbmV2YSwgU3dp
dHplcmxhbmQuPC9hdXRoLWFkZHJlc3M+PHRpdGxlcz48dGl0bGU+RWZmZWN0cyBvZiBvcmFsIHBy
b2Jpb3RpYyBzdXBwbGVtZW50cyBvbiB2YWdpbmFsIG1pY3JvYmlvdGEgZHVyaW5nIHByZWduYW5j
eTogYSByYW5kb21pc2VkLCBkb3VibGUtYmxpbmQsIHBsYWNlYm8tY29udHJvbGxlZCB0cmlhbCB3
aXRoIG1pY3JvYmlvbWUgYW5hbHlzaXM8L3RpdGxlPjxzZWNvbmRhcnktdGl0bGU+QkpPRzwvc2Vj
b25kYXJ5LXRpdGxlPjwvdGl0bGVzPjxwZXJpb2RpY2FsPjxmdWxsLXRpdGxlPkJKT0c8L2Z1bGwt
dGl0bGU+PC9wZXJpb2RpY2FsPjxwYWdlcz4yNzUtMjg0PC9wYWdlcz48dm9sdW1lPjEyNzwvdm9s
dW1lPjxudW1iZXI+MjwvbnVtYmVyPjxlZGl0aW9uPjIwMTkvMDQvMDI8L2VkaXRpb24+PGtleXdv
cmRzPjxrZXl3b3JkPkFkdWx0PC9rZXl3b3JkPjxrZXl3b3JkPkRvdWJsZS1CbGluZCBNZXRob2Q8
L2tleXdvcmQ+PGtleXdvcmQ+RmVtYWxlPC9rZXl3b3JkPjxrZXl3b3JkPkh1bWFuczwva2V5d29y
ZD48a2V5d29yZD5MYWN0b2JhY2lsbHVzIHJldXRlcmkvZHJ1ZyBlZmZlY3RzPC9rZXl3b3JkPjxr
ZXl3b3JkPkxhY3RvYmFjaWxsdXMgcmhhbW5vc3VzL2RydWcgZWZmZWN0czwva2V5d29yZD48a2V5
d29yZD5NaWNyb2Jpb3RhLypwaHlzaW9sb2d5PC9rZXl3b3JkPjxrZXl3b3JkPlByZWduYW5jeTwv
a2V5d29yZD48a2V5d29yZD5QcmVnbmFuY3kgQ29tcGxpY2F0aW9ucywgSW5mZWN0aW91cy8qbWlj
cm9iaW9sb2d5PC9rZXl3b3JkPjxrZXl3b3JkPlByZWduYW5jeSBUcmltZXN0ZXIsIEZpcnN0PC9r
ZXl3b3JkPjxrZXl3b3JkPlByb2Jpb3RpY3MvKnRoZXJhcGV1dGljIHVzZTwva2V5d29yZD48a2V5
d29yZD5WYWdpbmEvKm1pY3JvYmlvbG9neTwva2V5d29yZD48a2V5d29yZD5WYWdpbm9zaXMsIEJh
Y3RlcmlhbC9jb21wbGljYXRpb25zL2RydWcgdGhlcmFweS9taWNyb2Jpb2xvZ3k8L2tleXdvcmQ+
PGtleXdvcmQ+WW91bmcgQWR1bHQ8L2tleXdvcmQ+PGtleXdvcmQ+KiBMYWN0b2JhY2lsbHVzIHJl
dXRlcmk8L2tleXdvcmQ+PGtleXdvcmQ+KiBMYWN0b2JhY2lsbHVzIHJoYW1ub3N1czwva2V5d29y
ZD48a2V5d29yZD4qQmFjdGVyaWFsIHZhZ2lub3Npczwva2V5d29yZD48a2V5d29yZD4qcHJvYmlv
dGljPC9rZXl3b3JkPjwva2V5d29yZHM+PGRhdGVzPjx5ZWFyPjIwMjA8L3llYXI+PHB1Yi1kYXRl
cz48ZGF0ZT5KYW48L2RhdGU+PC9wdWItZGF0ZXM+PC9kYXRlcz48aXNibj4xNDcxLTA1MjggKEVs
ZWN0cm9uaWMpJiN4RDsxNDcwLTAzMjggKExpbmtpbmcpPC9pc2JuPjxhY2Nlc3Npb24tbnVtPjMw
OTMyMzE3PC9hY2Nlc3Npb24tbnVtPjx1cmxzPjxyZWxhdGVkLXVybHM+PHVybD5odHRwczovL3d3
dy5uY2JpLm5sbS5uaWguZ292L3B1Ym1lZC8zMDkzMjMxNzwvdXJsPjwvcmVsYXRlZC11cmxzPjwv
dXJscz48Y3VzdG9tMj5QTUM2OTczMTQ5PC9jdXN0b20yPjxlbGVjdHJvbmljLXJlc291cmNlLW51
bT4xMC4xMTExLzE0NzEtMDUyOC4xNTY3NTwvZWxlY3Ryb25pYy1yZXNvdXJjZS1udW0+PC9yZWNv
cmQ+PC9DaXRlPjwvRW5kTm90ZT5=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sidR="00AB21E2">
              <w:rPr>
                <w:rFonts w:eastAsiaTheme="minorHAnsi"/>
                <w:b/>
                <w:sz w:val="16"/>
                <w:szCs w:val="16"/>
                <w:lang w:val="en-US"/>
              </w:rPr>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231</w:t>
            </w:r>
            <w:r w:rsidR="00AB21E2">
              <w:rPr>
                <w:rFonts w:eastAsiaTheme="minorHAnsi"/>
                <w:b/>
                <w:sz w:val="16"/>
                <w:szCs w:val="16"/>
                <w:lang w:val="en-US"/>
              </w:rPr>
              <w:fldChar w:fldCharType="end"/>
            </w:r>
          </w:p>
        </w:tc>
      </w:tr>
      <w:tr w:rsidR="00675BC5" w:rsidRPr="00C12274" w14:paraId="04B888D3" w14:textId="77777777" w:rsidTr="00513E14">
        <w:trPr>
          <w:cantSplit/>
        </w:trPr>
        <w:tc>
          <w:tcPr>
            <w:tcW w:w="1560" w:type="dxa"/>
            <w:shd w:val="clear" w:color="D9E2F3" w:themeColor="accent1" w:themeTint="33" w:fill="auto"/>
          </w:tcPr>
          <w:p w14:paraId="1DA4025F" w14:textId="77777777" w:rsidR="00675BC5" w:rsidRPr="00C12274" w:rsidRDefault="00675BC5" w:rsidP="00513E14">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37FBB6CD" w14:textId="455CF5E8" w:rsidR="00675BC5" w:rsidRPr="00C12274" w:rsidRDefault="007E1960" w:rsidP="00513E14">
            <w:pPr>
              <w:pStyle w:val="RCTstable"/>
              <w:keepNext/>
            </w:pPr>
            <w:r>
              <w:t>Low</w:t>
            </w:r>
            <w:r w:rsidR="00675BC5" w:rsidRPr="00C12274">
              <w:t xml:space="preserve"> risk</w:t>
            </w:r>
          </w:p>
        </w:tc>
        <w:tc>
          <w:tcPr>
            <w:tcW w:w="11199" w:type="dxa"/>
            <w:shd w:val="clear" w:color="D9E2F3" w:themeColor="accent1" w:themeTint="33" w:fill="auto"/>
          </w:tcPr>
          <w:p w14:paraId="4EA0AA77" w14:textId="33386C6F" w:rsidR="00675BC5" w:rsidRPr="0024060E" w:rsidRDefault="007E1960" w:rsidP="0024060E">
            <w:pPr>
              <w:pStyle w:val="RCTstable"/>
            </w:pPr>
            <w:r>
              <w:t>The random allocation sequence was generated based on permuted blocks of random block sizes of four, six, and eight, stratified by participating site and without adaptive or minimisation strategies. Allocation was done on a 1:1 ratio.</w:t>
            </w:r>
          </w:p>
        </w:tc>
      </w:tr>
      <w:tr w:rsidR="00675BC5" w:rsidRPr="00C12274" w14:paraId="40D18C71" w14:textId="77777777" w:rsidTr="002E0ED3">
        <w:trPr>
          <w:cantSplit/>
        </w:trPr>
        <w:tc>
          <w:tcPr>
            <w:tcW w:w="1560" w:type="dxa"/>
            <w:shd w:val="clear" w:color="D9E2F3" w:themeColor="accent1" w:themeTint="33" w:fill="auto"/>
          </w:tcPr>
          <w:p w14:paraId="3665C837" w14:textId="77777777" w:rsidR="00675BC5" w:rsidRPr="00C12274" w:rsidRDefault="00675BC5" w:rsidP="00513E14">
            <w:pPr>
              <w:pStyle w:val="RCTstable"/>
              <w:keepNext/>
            </w:pPr>
            <w:r w:rsidRPr="00C12274">
              <w:t xml:space="preserve">Allocation concealment </w:t>
            </w:r>
          </w:p>
        </w:tc>
        <w:tc>
          <w:tcPr>
            <w:tcW w:w="1275" w:type="dxa"/>
            <w:tcBorders>
              <w:bottom w:val="single" w:sz="4" w:space="0" w:color="auto"/>
            </w:tcBorders>
            <w:shd w:val="clear" w:color="D9E2F3" w:themeColor="accent1" w:themeTint="33" w:fill="70AD47" w:themeFill="accent6"/>
          </w:tcPr>
          <w:p w14:paraId="79BEBD58" w14:textId="07313A41" w:rsidR="00675BC5" w:rsidRPr="00C12274" w:rsidRDefault="002E0ED3" w:rsidP="00513E14">
            <w:pPr>
              <w:pStyle w:val="RCTstable"/>
              <w:keepNext/>
            </w:pPr>
            <w:r>
              <w:t>Low</w:t>
            </w:r>
            <w:r w:rsidR="00675BC5" w:rsidRPr="00C12274">
              <w:t xml:space="preserve"> risk</w:t>
            </w:r>
          </w:p>
        </w:tc>
        <w:tc>
          <w:tcPr>
            <w:tcW w:w="11199" w:type="dxa"/>
            <w:shd w:val="clear" w:color="D9E2F3" w:themeColor="accent1" w:themeTint="33" w:fill="auto"/>
          </w:tcPr>
          <w:p w14:paraId="2572D13B" w14:textId="03C8A6C0" w:rsidR="00675BC5" w:rsidRPr="006653FF" w:rsidRDefault="007E1960" w:rsidP="00513E14">
            <w:pPr>
              <w:pStyle w:val="RCTstable"/>
            </w:pPr>
            <w:r>
              <w:t>The sequence was given to a trial support company, Sharp Clinical Services (SCS, Crickhowell, Wales), which labelled and packaged the probiotic and placebo capsules into identical tamper-proof boxes for the study. Only the trial statistician and SCS were aware of the allocation sequence</w:t>
            </w:r>
          </w:p>
        </w:tc>
      </w:tr>
      <w:tr w:rsidR="00675BC5" w:rsidRPr="00C12274" w14:paraId="345C762D" w14:textId="77777777" w:rsidTr="002E0ED3">
        <w:trPr>
          <w:cantSplit/>
          <w:trHeight w:val="291"/>
        </w:trPr>
        <w:tc>
          <w:tcPr>
            <w:tcW w:w="1560" w:type="dxa"/>
            <w:shd w:val="clear" w:color="D9E2F3" w:themeColor="accent1" w:themeTint="33" w:fill="auto"/>
          </w:tcPr>
          <w:p w14:paraId="420593E2" w14:textId="77777777" w:rsidR="00675BC5" w:rsidRPr="00C12274" w:rsidRDefault="00675BC5" w:rsidP="00513E14">
            <w:pPr>
              <w:pStyle w:val="RCTstable"/>
              <w:keepNext/>
            </w:pPr>
            <w:r>
              <w:t>Performance bias</w:t>
            </w:r>
          </w:p>
        </w:tc>
        <w:tc>
          <w:tcPr>
            <w:tcW w:w="1275" w:type="dxa"/>
            <w:tcBorders>
              <w:bottom w:val="single" w:sz="4" w:space="0" w:color="auto"/>
            </w:tcBorders>
            <w:shd w:val="clear" w:color="D9E2F3" w:themeColor="accent1" w:themeTint="33" w:fill="70AD47" w:themeFill="accent6"/>
          </w:tcPr>
          <w:p w14:paraId="6B070DDB" w14:textId="7BF50F63" w:rsidR="00675BC5" w:rsidRPr="00C12274" w:rsidRDefault="007E1960" w:rsidP="00513E14">
            <w:pPr>
              <w:pStyle w:val="RCTstable"/>
              <w:keepNext/>
            </w:pPr>
            <w:r>
              <w:t>Low</w:t>
            </w:r>
            <w:r w:rsidR="00675BC5" w:rsidRPr="00C12274">
              <w:t xml:space="preserve"> risk</w:t>
            </w:r>
          </w:p>
        </w:tc>
        <w:tc>
          <w:tcPr>
            <w:tcW w:w="11199" w:type="dxa"/>
            <w:vMerge w:val="restart"/>
            <w:shd w:val="clear" w:color="D9E2F3" w:themeColor="accent1" w:themeTint="33" w:fill="auto"/>
          </w:tcPr>
          <w:p w14:paraId="08AB72B6" w14:textId="354283F4" w:rsidR="00675BC5" w:rsidRPr="004D6F45" w:rsidRDefault="007E1960" w:rsidP="00513E14">
            <w:pPr>
              <w:pStyle w:val="RCTstable"/>
            </w:pPr>
            <w:r>
              <w:t>Participants, investigators, and analysing microbiologists were blinded to the study grouping.</w:t>
            </w:r>
          </w:p>
        </w:tc>
      </w:tr>
      <w:tr w:rsidR="00675BC5" w:rsidRPr="00822EBF" w14:paraId="76A4694D" w14:textId="77777777" w:rsidTr="002E0ED3">
        <w:trPr>
          <w:cantSplit/>
        </w:trPr>
        <w:tc>
          <w:tcPr>
            <w:tcW w:w="1560" w:type="dxa"/>
            <w:shd w:val="clear" w:color="D9E2F3" w:themeColor="accent1" w:themeTint="33" w:fill="auto"/>
          </w:tcPr>
          <w:p w14:paraId="5A2E6FD1" w14:textId="77777777" w:rsidR="00675BC5" w:rsidRPr="00822EBF" w:rsidRDefault="00675BC5" w:rsidP="00513E14">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42848C1A" w14:textId="02E930FB" w:rsidR="00675BC5" w:rsidRPr="00822EBF" w:rsidRDefault="007E1960" w:rsidP="00513E14">
            <w:pPr>
              <w:pStyle w:val="RCTstable"/>
            </w:pPr>
            <w:r>
              <w:t>Low</w:t>
            </w:r>
            <w:r w:rsidR="00675BC5" w:rsidRPr="00822EBF">
              <w:t xml:space="preserve"> risk</w:t>
            </w:r>
          </w:p>
        </w:tc>
        <w:tc>
          <w:tcPr>
            <w:tcW w:w="11199" w:type="dxa"/>
            <w:vMerge/>
            <w:shd w:val="clear" w:color="D9E2F3" w:themeColor="accent1" w:themeTint="33" w:fill="auto"/>
          </w:tcPr>
          <w:p w14:paraId="71FF9FDA" w14:textId="77777777" w:rsidR="00675BC5" w:rsidRPr="001969C3" w:rsidRDefault="00675BC5" w:rsidP="00513E14">
            <w:pPr>
              <w:pStyle w:val="RCTstable"/>
            </w:pPr>
          </w:p>
        </w:tc>
      </w:tr>
      <w:tr w:rsidR="00675BC5" w:rsidRPr="00C12274" w14:paraId="6396FF1F" w14:textId="77777777" w:rsidTr="00513E14">
        <w:trPr>
          <w:cantSplit/>
        </w:trPr>
        <w:tc>
          <w:tcPr>
            <w:tcW w:w="1560" w:type="dxa"/>
            <w:shd w:val="clear" w:color="D9E2F3" w:themeColor="accent1" w:themeTint="33" w:fill="auto"/>
          </w:tcPr>
          <w:p w14:paraId="1C689999" w14:textId="77777777" w:rsidR="00675BC5" w:rsidRPr="00C12274" w:rsidRDefault="00675BC5" w:rsidP="00513E14">
            <w:pPr>
              <w:pStyle w:val="RCTstable"/>
              <w:keepNext/>
            </w:pPr>
            <w:r w:rsidRPr="00C12274">
              <w:t>Incomplete outcome data</w:t>
            </w:r>
          </w:p>
        </w:tc>
        <w:tc>
          <w:tcPr>
            <w:tcW w:w="1275" w:type="dxa"/>
            <w:shd w:val="clear" w:color="D9E2F3" w:themeColor="accent1" w:themeTint="33" w:fill="70AD47" w:themeFill="accent6"/>
          </w:tcPr>
          <w:p w14:paraId="73D94856" w14:textId="77777777" w:rsidR="00675BC5" w:rsidRPr="00C12274" w:rsidRDefault="00675BC5" w:rsidP="00513E14">
            <w:pPr>
              <w:pStyle w:val="RCTstable"/>
              <w:keepNext/>
            </w:pPr>
            <w:r>
              <w:t>Low</w:t>
            </w:r>
            <w:r w:rsidRPr="00C12274">
              <w:t xml:space="preserve"> risk</w:t>
            </w:r>
          </w:p>
        </w:tc>
        <w:tc>
          <w:tcPr>
            <w:tcW w:w="11199" w:type="dxa"/>
            <w:shd w:val="clear" w:color="D9E2F3" w:themeColor="accent1" w:themeTint="33" w:fill="auto"/>
          </w:tcPr>
          <w:p w14:paraId="71B90F90" w14:textId="123368C0" w:rsidR="00675BC5" w:rsidRPr="000B09FE" w:rsidRDefault="00675BC5" w:rsidP="00513E14">
            <w:pPr>
              <w:pStyle w:val="RCTstable"/>
            </w:pPr>
            <w:r>
              <w:t>Reasons for loss to follow-up reported</w:t>
            </w:r>
            <w:r w:rsidR="00C21983">
              <w:t xml:space="preserve"> and similar attrition between groups</w:t>
            </w:r>
            <w:r>
              <w:t>.</w:t>
            </w:r>
          </w:p>
        </w:tc>
      </w:tr>
      <w:tr w:rsidR="00675BC5" w:rsidRPr="00C12274" w14:paraId="6215A469" w14:textId="77777777" w:rsidTr="00513E14">
        <w:trPr>
          <w:cantSplit/>
        </w:trPr>
        <w:tc>
          <w:tcPr>
            <w:tcW w:w="1560" w:type="dxa"/>
            <w:shd w:val="clear" w:color="D9E2F3" w:themeColor="accent1" w:themeTint="33" w:fill="auto"/>
          </w:tcPr>
          <w:p w14:paraId="32C6332F" w14:textId="77777777" w:rsidR="00675BC5" w:rsidRPr="00C12274" w:rsidRDefault="00675BC5" w:rsidP="00513E14">
            <w:pPr>
              <w:pStyle w:val="RCTstable"/>
            </w:pPr>
            <w:r w:rsidRPr="00C12274">
              <w:t>Selective reporting</w:t>
            </w:r>
          </w:p>
        </w:tc>
        <w:tc>
          <w:tcPr>
            <w:tcW w:w="1275" w:type="dxa"/>
            <w:shd w:val="clear" w:color="D9E2F3" w:themeColor="accent1" w:themeTint="33" w:fill="70AD47" w:themeFill="accent6"/>
          </w:tcPr>
          <w:p w14:paraId="78A673A1" w14:textId="77777777" w:rsidR="00675BC5" w:rsidRPr="00C12274" w:rsidRDefault="00675BC5" w:rsidP="00513E14">
            <w:pPr>
              <w:pStyle w:val="RCTstable"/>
            </w:pPr>
            <w:r>
              <w:t>Low</w:t>
            </w:r>
            <w:r w:rsidRPr="00C12274">
              <w:t xml:space="preserve"> risk</w:t>
            </w:r>
          </w:p>
        </w:tc>
        <w:tc>
          <w:tcPr>
            <w:tcW w:w="11199" w:type="dxa"/>
            <w:shd w:val="clear" w:color="D9E2F3" w:themeColor="accent1" w:themeTint="33" w:fill="auto"/>
          </w:tcPr>
          <w:p w14:paraId="24AED45C" w14:textId="77777777" w:rsidR="00675BC5" w:rsidRPr="001969C3" w:rsidRDefault="00675BC5" w:rsidP="00513E14">
            <w:pPr>
              <w:pStyle w:val="RCTstable"/>
            </w:pPr>
            <w:r>
              <w:t>Pre-specified outcomes reported.</w:t>
            </w:r>
          </w:p>
        </w:tc>
      </w:tr>
      <w:tr w:rsidR="00675BC5" w:rsidRPr="00C12274" w14:paraId="4050B93F" w14:textId="77777777" w:rsidTr="00513E14">
        <w:trPr>
          <w:cantSplit/>
        </w:trPr>
        <w:tc>
          <w:tcPr>
            <w:tcW w:w="1560" w:type="dxa"/>
            <w:shd w:val="clear" w:color="D9E2F3" w:themeColor="accent1" w:themeTint="33" w:fill="auto"/>
          </w:tcPr>
          <w:p w14:paraId="73514BEC" w14:textId="77777777" w:rsidR="00675BC5" w:rsidRPr="00C12274" w:rsidRDefault="00675BC5" w:rsidP="00513E14">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10DA9FA3" w14:textId="77777777" w:rsidR="00675BC5" w:rsidRPr="00C12274" w:rsidRDefault="00675BC5" w:rsidP="00513E14">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2E2AF048" w14:textId="77777777" w:rsidR="00675BC5" w:rsidRPr="001969C3" w:rsidRDefault="00675BC5" w:rsidP="00513E14">
            <w:pPr>
              <w:pStyle w:val="RCTstable"/>
            </w:pPr>
            <w:r>
              <w:t>No significant difference between groups at baseline.</w:t>
            </w:r>
          </w:p>
        </w:tc>
      </w:tr>
      <w:tr w:rsidR="00350198" w:rsidRPr="006234EA" w14:paraId="05999891" w14:textId="77777777" w:rsidTr="00513E14">
        <w:trPr>
          <w:cantSplit/>
        </w:trPr>
        <w:tc>
          <w:tcPr>
            <w:tcW w:w="14034" w:type="dxa"/>
            <w:gridSpan w:val="3"/>
            <w:shd w:val="solid" w:color="D9E2F3" w:themeColor="accent1" w:themeTint="33" w:fill="auto"/>
          </w:tcPr>
          <w:p w14:paraId="5E29D33C" w14:textId="7BE6575C" w:rsidR="00350198" w:rsidRPr="00470354" w:rsidRDefault="00350198" w:rsidP="002747EA">
            <w:pPr>
              <w:pStyle w:val="Tablecell"/>
              <w:keepNext/>
              <w:spacing w:line="220" w:lineRule="exact"/>
              <w:rPr>
                <w:rFonts w:eastAsiaTheme="minorHAnsi"/>
                <w:b/>
                <w:sz w:val="16"/>
                <w:szCs w:val="16"/>
                <w:lang w:val="en-US"/>
              </w:rPr>
            </w:pPr>
            <w:r>
              <w:rPr>
                <w:rFonts w:eastAsiaTheme="minorHAnsi"/>
                <w:b/>
                <w:sz w:val="16"/>
                <w:szCs w:val="16"/>
                <w:lang w:val="en-US"/>
              </w:rPr>
              <w:t>Okesene-Gafa et al 2019</w:t>
            </w:r>
            <w:r w:rsidR="00AB21E2">
              <w:rPr>
                <w:rFonts w:eastAsiaTheme="minorHAnsi"/>
                <w:b/>
                <w:sz w:val="16"/>
                <w:szCs w:val="16"/>
                <w:lang w:val="en-US"/>
              </w:rPr>
              <w:fldChar w:fldCharType="begin">
                <w:fldData xml:space="preserve">PEVuZE5vdGU+PENpdGU+PEF1dGhvcj5Pa2VzZW5lLUdhZmE8L0F1dGhvcj48WWVhcj4yMDE5PC9Z
ZWFyPjxSZWNOdW0+MTM5MDwvUmVjTnVtPjxEaXNwbGF5VGV4dD48c3R5bGUgZmFjZT0ic3VwZXJz
Y3JpcHQiIGZvbnQ9IlRyZWJ1Y2hldCBNUyIgc2l6ZT0iOSI+MjMyPC9zdHlsZT48L0Rpc3BsYXlU
ZXh0PjxyZWNvcmQ+PHJlYy1udW1iZXI+MTM5MDwvcmVjLW51bWJlcj48Zm9yZWlnbi1rZXlzPjxr
ZXkgYXBwPSJFTiIgZGItaWQ9ImV4dmFzcmZ4MmR0cmFvZXNhc3hwMnN6c3hhMmRmNTAyNTkyeCIg
dGltZXN0YW1wPSIxNTY3NzQ2MTE2Ij4xMzkwPC9rZXk+PGtleSBhcHA9IkVOV2ViIiBkYi1pZD0i
Ij4wPC9rZXk+PC9mb3JlaWduLWtleXM+PHJlZi10eXBlIG5hbWU9IkpvdXJuYWwgQXJ0aWNsZSI+
MTc8L3JlZi10eXBlPjxjb250cmlidXRvcnM+PGF1dGhvcnM+PGF1dGhvcj5Pa2VzZW5lLUdhZmEs
IEsuQS5NLiw8L2F1dGhvcj48YXV0aG9yPkxpLCBNLiw8L2F1dGhvcj48YXV0aG9yPk1jS2lubGF5
LCBDLkouRC4sPC9hdXRob3I+PGF1dGhvcj5UYXlsb3IsIFIuUy4sPC9hdXRob3I+PGF1dGhvcj5S
dXNoLCBFLkMuLDwvYXV0aG9yPjxhdXRob3I+V2FsbCwgQy5SLiw8L2F1dGhvcj48YXV0aG9yPldp
bHNvbiwgSi4sPC9hdXRob3I+PGF1dGhvcj5NdXJwaHksIFIuLDwvYXV0aG9yPjxhdXRob3I+VGF5
bG9yLCBSLiw8L2F1dGhvcj48YXV0aG9yPlRob21wc29uLCBKLk0uRC4sPC9hdXRob3I+PGF1dGhv
cj5Dcm93dGhlciwgQy5BLiw8L2F1dGhvcj48YXV0aG9yPk1jQ293YW4sIEwuTS5FLiw8L2F1dGhv
cj48L2F1dGhvcnM+PC9jb250cmlidXRvcnM+PGF1dGgtYWRkcmVzcz5EZXBhcnRtZW50IG9mIE9i
c3RldHJpY3MgYW5kIEd5bmFlY29sb2d5LCBVbml2ZXJzaXR5IG9mIEF1Y2tsYW5kLCBBdWNrbGFu
ZCwgTmV3IFplYWxhbmQ7IEZhY3VsdHkgb2YgTWVkaWNhbCBhbmQgSGVhbHRoIFNjaWVuY2VzLCBV
bml2ZXJzaXR5IG9mIEF1Y2tsYW5kLCBBdWNrbGFuZCwgTmV3IFplYWxhbmQ7IE1pZGRsZW1vcmUg
SG9zcGl0YWwsIFNvdXRoIEF1Y2tsYW5kLCBOZXcgWmVhbGFuZC4gRWxlY3Ryb25pYyBhZGRyZXNz
OiBrLm9rZXNlbmUtZ2FmYUBhdWNrbGFuZC5hYy5uei4mI3hEO0RlcGFydG1lbnQgb2YgT2JzdGV0
cmljcyBhbmQgR3luYWVjb2xvZ3ksIFVuaXZlcnNpdHkgb2YgQXVja2xhbmQsIEF1Y2tsYW5kLCBO
ZXcgWmVhbGFuZDsgRmFjdWx0eSBvZiBNZWRpY2FsIGFuZCBIZWFsdGggU2NpZW5jZXMsIFVuaXZl
cnNpdHkgb2YgQXVja2xhbmQsIEF1Y2tsYW5kLCBOZXcgWmVhbGFuZC4mI3hEO0RlcGFydG1lbnQg
b2YgUGFlZGlhdHJpY3MsIENoaWxkIGFuZCBZb3V0aCBIZWFsdGgsIFVuaXZlcnNpdHkgb2YgQXVj
a2xhbmQsIEF1Y2tsYW5kLCBOZXcgWmVhbGFuZDsgTGlnZ2lucyBJbnN0aXR1dGUsIFVuaXZlcnNp
dHkgb2YgQXVja2xhbmQsIEF1Y2tsYW5kLCBOZXcgWmVhbGFuZDsgS2lkeiBGaXJzdCBOZW9uYXRh
bCBDYXJlLCBDb3VudGllcyBNYW51a2F1IEhlYWx0aCwgQXVja2xhbmQsIE5ldyBaZWFsYW5kLiYj
eEQ7RmFjdWx0eSBvZiBIZWFsdGggYW5kIEVudmlyb25tZW50YWwgU2NpZW5jZSwgQXVja2xhbmQg
VW5pdmVyc2l0eSBvZiBUZWNobm9sb2d5LCBBdWNrbGFuZCwgTmV3IFplYWxhbmQuJiN4RDtGYWN1
bHR5IG9mIE1lZGljYWwgYW5kIEhlYWx0aCBTY2llbmNlcywgVW5pdmVyc2l0eSBvZiBBdWNrbGFu
ZCwgQXVja2xhbmQsIE5ldyBaZWFsYW5kLiYjeEQ7RmFjdWx0eSBvZiBNZWRpY2FsIGFuZCBIZWFs
dGggU2NpZW5jZXMsIFVuaXZlcnNpdHkgb2YgQXVja2xhbmQsIEF1Y2tsYW5kLCBOZXcgWmVhbGFu
ZDsgRGVwYXJ0bWVudCBvZiBQYWVkaWF0cmljcywgQ2hpbGQgYW5kIFlvdXRoIEhlYWx0aCwgVW5p
dmVyc2l0eSBvZiBBdWNrbGFuZCwgQXVja2xhbmQsIE5ldyBaZWFsYW5kLiYjeEQ7RGVwYXJ0bWVu
dCBvZiBNZWRpY2luZSwgU2Nob29sIG9mIE1lZGljaW5lLCBVbml2ZXJzaXR5IG9mIEF1Y2tsYW5k
LCBBdWNrbGFuZCwgTmV3IFplYWxhbmQuJiN4RDtEZXBhcnRtZW50IG9mIE1lZGljaW5lLCBVbml2
ZXJzaXR5IG9mIE90YWdvLCBEdW5lZGluLCBOZXcgWmVhbGFuZC4mI3hEO0xpZ2dpbnMgSW5zdGl0
dXRlLCBVbml2ZXJzaXR5IG9mIEF1Y2tsYW5kLCBBdWNrbGFuZCwgTmV3IFplYWxhbmQuPC9hdXRo
LWFkZHJlc3M+PHRpdGxlcz48dGl0bGU+RWZmZWN0IG9mIGFudGVuYXRhbCBkaWV0YXJ5IGludGVy
dmVudGlvbnMgaW4gbWF0ZXJuYWwgb2Jlc2l0eSBvbiBwcmVnbmFuY3kgd2VpZ2h0LWdhaW4gYW5k
IGJpcnRod2VpZ2h0OiBIZWFsdGh5IE11bXMgYW5kIEJhYmllcyAoSFVNQkEpIHJhbmRvbWl6ZWQg
dHJpYWw8L3RpdGxlPjxzZWNvbmRhcnktdGl0bGU+QW0gSiBPYnN0ZXQgR3luZWNvbDwvc2Vjb25k
YXJ5LXRpdGxlPjwvdGl0bGVzPjxwZXJpb2RpY2FsPjxmdWxsLXRpdGxlPkFtIEogT2JzdGV0IEd5
bmVjb2w8L2Z1bGwtdGl0bGU+PC9wZXJpb2RpY2FsPjxwYWdlcz4xNTIgZTEtMTUyIGUxMzwvcGFn
ZXM+PHZvbHVtZT4yMjE8L3ZvbHVtZT48bnVtYmVyPjI8L251bWJlcj48ZWRpdGlvbj4yMDE5LzAz
LzE4PC9lZGl0aW9uPjxrZXl3b3Jkcz48a2V5d29yZD5jb21tdW5pdHkgaGVhbHRoIHdvcmtlcjwv
a2V5d29yZD48a2V5d29yZD5nZXN0YXRpb25hbCB3ZWlnaHQgZ2Fpbjwva2V5d29yZD48a2V5d29y
ZD5wcm9iaW90aWNzPC9rZXl3b3JkPjxrZXl3b3JkPnRleHQgbWVzc2FnaW5nPC9rZXl3b3JkPjwv
a2V5d29yZHM+PGRhdGVzPjx5ZWFyPjIwMTk8L3llYXI+PHB1Yi1kYXRlcz48ZGF0ZT5BdWc8L2Rh
dGU+PC9wdWItZGF0ZXM+PC9kYXRlcz48aXNibj4xMDk3LTY4NjggKEVsZWN0cm9uaWMpJiN4RDsw
MDAyLTkzNzggKExpbmtpbmcpPC9pc2JuPjxhY2Nlc3Npb24tbnVtPjMwODc4MzIzPC9hY2Nlc3Np
b24tbnVtPjx1cmxzPjxyZWxhdGVkLXVybHM+PHVybD5odHRwczovL3d3dy5uY2JpLm5sbS5uaWgu
Z292L3B1Ym1lZC8zMDg3ODMyMzwvdXJsPjwvcmVsYXRlZC11cmxzPjwvdXJscz48ZWxlY3Ryb25p
Yy1yZXNvdXJjZS1udW0+MTAuMTAxNi9qLmFqb2cuMjAxOS4wMy4wMDM8L2VsZWN0cm9uaWMtcmVz
b3VyY2UtbnVtPjwvcmVjb3JkPjwvQ2l0ZT48L0VuZE5vdGU+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PEVuZE5vdGU+PENpdGU+PEF1dGhvcj5Pa2VzZW5lLUdhZmE8L0F1dGhvcj48WWVhcj4yMDE5PC9Z
ZWFyPjxSZWNOdW0+MTM5MDwvUmVjTnVtPjxEaXNwbGF5VGV4dD48c3R5bGUgZmFjZT0ic3VwZXJz
Y3JpcHQiIGZvbnQ9IlRyZWJ1Y2hldCBNUyIgc2l6ZT0iOSI+MjMyPC9zdHlsZT48L0Rpc3BsYXlU
ZXh0PjxyZWNvcmQ+PHJlYy1udW1iZXI+MTM5MDwvcmVjLW51bWJlcj48Zm9yZWlnbi1rZXlzPjxr
ZXkgYXBwPSJFTiIgZGItaWQ9ImV4dmFzcmZ4MmR0cmFvZXNhc3hwMnN6c3hhMmRmNTAyNTkyeCIg
dGltZXN0YW1wPSIxNTY3NzQ2MTE2Ij4xMzkwPC9rZXk+PGtleSBhcHA9IkVOV2ViIiBkYi1pZD0i
Ij4wPC9rZXk+PC9mb3JlaWduLWtleXM+PHJlZi10eXBlIG5hbWU9IkpvdXJuYWwgQXJ0aWNsZSI+
MTc8L3JlZi10eXBlPjxjb250cmlidXRvcnM+PGF1dGhvcnM+PGF1dGhvcj5Pa2VzZW5lLUdhZmEs
IEsuQS5NLiw8L2F1dGhvcj48YXV0aG9yPkxpLCBNLiw8L2F1dGhvcj48YXV0aG9yPk1jS2lubGF5
LCBDLkouRC4sPC9hdXRob3I+PGF1dGhvcj5UYXlsb3IsIFIuUy4sPC9hdXRob3I+PGF1dGhvcj5S
dXNoLCBFLkMuLDwvYXV0aG9yPjxhdXRob3I+V2FsbCwgQy5SLiw8L2F1dGhvcj48YXV0aG9yPldp
bHNvbiwgSi4sPC9hdXRob3I+PGF1dGhvcj5NdXJwaHksIFIuLDwvYXV0aG9yPjxhdXRob3I+VGF5
bG9yLCBSLiw8L2F1dGhvcj48YXV0aG9yPlRob21wc29uLCBKLk0uRC4sPC9hdXRob3I+PGF1dGhv
cj5Dcm93dGhlciwgQy5BLiw8L2F1dGhvcj48YXV0aG9yPk1jQ293YW4sIEwuTS5FLiw8L2F1dGhv
cj48L2F1dGhvcnM+PC9jb250cmlidXRvcnM+PGF1dGgtYWRkcmVzcz5EZXBhcnRtZW50IG9mIE9i
c3RldHJpY3MgYW5kIEd5bmFlY29sb2d5LCBVbml2ZXJzaXR5IG9mIEF1Y2tsYW5kLCBBdWNrbGFu
ZCwgTmV3IFplYWxhbmQ7IEZhY3VsdHkgb2YgTWVkaWNhbCBhbmQgSGVhbHRoIFNjaWVuY2VzLCBV
bml2ZXJzaXR5IG9mIEF1Y2tsYW5kLCBBdWNrbGFuZCwgTmV3IFplYWxhbmQ7IE1pZGRsZW1vcmUg
SG9zcGl0YWwsIFNvdXRoIEF1Y2tsYW5kLCBOZXcgWmVhbGFuZC4gRWxlY3Ryb25pYyBhZGRyZXNz
OiBrLm9rZXNlbmUtZ2FmYUBhdWNrbGFuZC5hYy5uei4mI3hEO0RlcGFydG1lbnQgb2YgT2JzdGV0
cmljcyBhbmQgR3luYWVjb2xvZ3ksIFVuaXZlcnNpdHkgb2YgQXVja2xhbmQsIEF1Y2tsYW5kLCBO
ZXcgWmVhbGFuZDsgRmFjdWx0eSBvZiBNZWRpY2FsIGFuZCBIZWFsdGggU2NpZW5jZXMsIFVuaXZl
cnNpdHkgb2YgQXVja2xhbmQsIEF1Y2tsYW5kLCBOZXcgWmVhbGFuZC4mI3hEO0RlcGFydG1lbnQg
b2YgUGFlZGlhdHJpY3MsIENoaWxkIGFuZCBZb3V0aCBIZWFsdGgsIFVuaXZlcnNpdHkgb2YgQXVj
a2xhbmQsIEF1Y2tsYW5kLCBOZXcgWmVhbGFuZDsgTGlnZ2lucyBJbnN0aXR1dGUsIFVuaXZlcnNp
dHkgb2YgQXVja2xhbmQsIEF1Y2tsYW5kLCBOZXcgWmVhbGFuZDsgS2lkeiBGaXJzdCBOZW9uYXRh
bCBDYXJlLCBDb3VudGllcyBNYW51a2F1IEhlYWx0aCwgQXVja2xhbmQsIE5ldyBaZWFsYW5kLiYj
eEQ7RmFjdWx0eSBvZiBIZWFsdGggYW5kIEVudmlyb25tZW50YWwgU2NpZW5jZSwgQXVja2xhbmQg
VW5pdmVyc2l0eSBvZiBUZWNobm9sb2d5LCBBdWNrbGFuZCwgTmV3IFplYWxhbmQuJiN4RDtGYWN1
bHR5IG9mIE1lZGljYWwgYW5kIEhlYWx0aCBTY2llbmNlcywgVW5pdmVyc2l0eSBvZiBBdWNrbGFu
ZCwgQXVja2xhbmQsIE5ldyBaZWFsYW5kLiYjeEQ7RmFjdWx0eSBvZiBNZWRpY2FsIGFuZCBIZWFs
dGggU2NpZW5jZXMsIFVuaXZlcnNpdHkgb2YgQXVja2xhbmQsIEF1Y2tsYW5kLCBOZXcgWmVhbGFu
ZDsgRGVwYXJ0bWVudCBvZiBQYWVkaWF0cmljcywgQ2hpbGQgYW5kIFlvdXRoIEhlYWx0aCwgVW5p
dmVyc2l0eSBvZiBBdWNrbGFuZCwgQXVja2xhbmQsIE5ldyBaZWFsYW5kLiYjeEQ7RGVwYXJ0bWVu
dCBvZiBNZWRpY2luZSwgU2Nob29sIG9mIE1lZGljaW5lLCBVbml2ZXJzaXR5IG9mIEF1Y2tsYW5k
LCBBdWNrbGFuZCwgTmV3IFplYWxhbmQuJiN4RDtEZXBhcnRtZW50IG9mIE1lZGljaW5lLCBVbml2
ZXJzaXR5IG9mIE90YWdvLCBEdW5lZGluLCBOZXcgWmVhbGFuZC4mI3hEO0xpZ2dpbnMgSW5zdGl0
dXRlLCBVbml2ZXJzaXR5IG9mIEF1Y2tsYW5kLCBBdWNrbGFuZCwgTmV3IFplYWxhbmQuPC9hdXRo
LWFkZHJlc3M+PHRpdGxlcz48dGl0bGU+RWZmZWN0IG9mIGFudGVuYXRhbCBkaWV0YXJ5IGludGVy
dmVudGlvbnMgaW4gbWF0ZXJuYWwgb2Jlc2l0eSBvbiBwcmVnbmFuY3kgd2VpZ2h0LWdhaW4gYW5k
IGJpcnRod2VpZ2h0OiBIZWFsdGh5IE11bXMgYW5kIEJhYmllcyAoSFVNQkEpIHJhbmRvbWl6ZWQg
dHJpYWw8L3RpdGxlPjxzZWNvbmRhcnktdGl0bGU+QW0gSiBPYnN0ZXQgR3luZWNvbDwvc2Vjb25k
YXJ5LXRpdGxlPjwvdGl0bGVzPjxwZXJpb2RpY2FsPjxmdWxsLXRpdGxlPkFtIEogT2JzdGV0IEd5
bmVjb2w8L2Z1bGwtdGl0bGU+PC9wZXJpb2RpY2FsPjxwYWdlcz4xNTIgZTEtMTUyIGUxMzwvcGFn
ZXM+PHZvbHVtZT4yMjE8L3ZvbHVtZT48bnVtYmVyPjI8L251bWJlcj48ZWRpdGlvbj4yMDE5LzAz
LzE4PC9lZGl0aW9uPjxrZXl3b3Jkcz48a2V5d29yZD5jb21tdW5pdHkgaGVhbHRoIHdvcmtlcjwv
a2V5d29yZD48a2V5d29yZD5nZXN0YXRpb25hbCB3ZWlnaHQgZ2Fpbjwva2V5d29yZD48a2V5d29y
ZD5wcm9iaW90aWNzPC9rZXl3b3JkPjxrZXl3b3JkPnRleHQgbWVzc2FnaW5nPC9rZXl3b3JkPjwv
a2V5d29yZHM+PGRhdGVzPjx5ZWFyPjIwMTk8L3llYXI+PHB1Yi1kYXRlcz48ZGF0ZT5BdWc8L2Rh
dGU+PC9wdWItZGF0ZXM+PC9kYXRlcz48aXNibj4xMDk3LTY4NjggKEVsZWN0cm9uaWMpJiN4RDsw
MDAyLTkzNzggKExpbmtpbmcpPC9pc2JuPjxhY2Nlc3Npb24tbnVtPjMwODc4MzIzPC9hY2Nlc3Np
b24tbnVtPjx1cmxzPjxyZWxhdGVkLXVybHM+PHVybD5odHRwczovL3d3dy5uY2JpLm5sbS5uaWgu
Z292L3B1Ym1lZC8zMDg3ODMyMzwvdXJsPjwvcmVsYXRlZC11cmxzPjwvdXJscz48ZWxlY3Ryb25p
Yy1yZXNvdXJjZS1udW0+MTAuMTAxNi9qLmFqb2cuMjAxOS4wMy4wMDM8L2VsZWN0cm9uaWMtcmVz
b3VyY2UtbnVtPjwvcmVjb3JkPjwvQ2l0ZT48L0VuZE5vdGU+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sidR="00AB21E2">
              <w:rPr>
                <w:rFonts w:eastAsiaTheme="minorHAnsi"/>
                <w:b/>
                <w:sz w:val="16"/>
                <w:szCs w:val="16"/>
                <w:lang w:val="en-US"/>
              </w:rPr>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232</w:t>
            </w:r>
            <w:r w:rsidR="00AB21E2">
              <w:rPr>
                <w:rFonts w:eastAsiaTheme="minorHAnsi"/>
                <w:b/>
                <w:sz w:val="16"/>
                <w:szCs w:val="16"/>
                <w:lang w:val="en-US"/>
              </w:rPr>
              <w:fldChar w:fldCharType="end"/>
            </w:r>
          </w:p>
        </w:tc>
      </w:tr>
      <w:tr w:rsidR="00350198" w:rsidRPr="00C12274" w14:paraId="57DE3C50" w14:textId="77777777" w:rsidTr="00513E14">
        <w:trPr>
          <w:cantSplit/>
        </w:trPr>
        <w:tc>
          <w:tcPr>
            <w:tcW w:w="1560" w:type="dxa"/>
            <w:shd w:val="clear" w:color="D9E2F3" w:themeColor="accent1" w:themeTint="33" w:fill="auto"/>
          </w:tcPr>
          <w:p w14:paraId="707E9823" w14:textId="77777777" w:rsidR="00350198" w:rsidRPr="00C12274" w:rsidRDefault="00350198" w:rsidP="00513E14">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439F7006" w14:textId="77777777" w:rsidR="00350198" w:rsidRPr="00C12274" w:rsidRDefault="00350198" w:rsidP="00513E14">
            <w:pPr>
              <w:pStyle w:val="RCTstable"/>
              <w:keepNext/>
            </w:pPr>
            <w:r>
              <w:t>Low</w:t>
            </w:r>
            <w:r w:rsidRPr="00C12274">
              <w:t xml:space="preserve"> risk</w:t>
            </w:r>
          </w:p>
        </w:tc>
        <w:tc>
          <w:tcPr>
            <w:tcW w:w="11199" w:type="dxa"/>
            <w:shd w:val="clear" w:color="D9E2F3" w:themeColor="accent1" w:themeTint="33" w:fill="auto"/>
          </w:tcPr>
          <w:p w14:paraId="56997304" w14:textId="7FA58244" w:rsidR="00350198" w:rsidRPr="0024060E" w:rsidRDefault="00F63225" w:rsidP="00513E14">
            <w:pPr>
              <w:pStyle w:val="RCTstable"/>
            </w:pPr>
            <w:r w:rsidRPr="008E2317">
              <w:t>Eligible women were allocated randomly</w:t>
            </w:r>
            <w:r>
              <w:t xml:space="preserve"> </w:t>
            </w:r>
            <w:r w:rsidRPr="008E2317">
              <w:t>by the research midwife using a</w:t>
            </w:r>
            <w:r>
              <w:t xml:space="preserve"> web-based randomis</w:t>
            </w:r>
            <w:r w:rsidRPr="008E2317">
              <w:t>ation program</w:t>
            </w:r>
            <w:r w:rsidRPr="008E2317">
              <w:rPr>
                <w:color w:val="000000"/>
              </w:rPr>
              <w:t xml:space="preserve"> using random</w:t>
            </w:r>
            <w:r>
              <w:rPr>
                <w:color w:val="23A8DB"/>
              </w:rPr>
              <w:t xml:space="preserve"> </w:t>
            </w:r>
            <w:r w:rsidRPr="008E2317">
              <w:t>permuted blocks of 4</w:t>
            </w:r>
            <w:r>
              <w:rPr>
                <w:rFonts w:ascii="Helvetica" w:hAnsi="Helvetica"/>
              </w:rPr>
              <w:t>-</w:t>
            </w:r>
            <w:r w:rsidRPr="008E2317">
              <w:t>8 participants,</w:t>
            </w:r>
            <w:r>
              <w:t xml:space="preserve"> </w:t>
            </w:r>
            <w:r w:rsidRPr="008E2317">
              <w:t>strati</w:t>
            </w:r>
            <w:r w:rsidRPr="008E2317">
              <w:rPr>
                <w:rFonts w:ascii="Helvetica" w:hAnsi="Helvetica"/>
              </w:rPr>
              <w:t>fi</w:t>
            </w:r>
            <w:r w:rsidRPr="008E2317">
              <w:t xml:space="preserve">ed by BMI (30 to </w:t>
            </w:r>
            <w:r w:rsidRPr="008E2317">
              <w:rPr>
                <w:rFonts w:ascii="Helvetica" w:hAnsi="Helvetica"/>
              </w:rPr>
              <w:t>&lt;</w:t>
            </w:r>
            <w:r w:rsidRPr="008E2317">
              <w:t xml:space="preserve"> 35 or 35 kg/</w:t>
            </w:r>
            <w:r>
              <w:t xml:space="preserve"> </w:t>
            </w:r>
            <w:r w:rsidRPr="008E2317">
              <w:t>m</w:t>
            </w:r>
            <w:r w:rsidRPr="008E2317">
              <w:rPr>
                <w:sz w:val="10"/>
                <w:szCs w:val="10"/>
              </w:rPr>
              <w:t>2</w:t>
            </w:r>
            <w:r w:rsidRPr="008E2317">
              <w:t xml:space="preserve"> )</w:t>
            </w:r>
            <w:r>
              <w:t>.</w:t>
            </w:r>
          </w:p>
        </w:tc>
      </w:tr>
      <w:tr w:rsidR="00350198" w:rsidRPr="00C12274" w14:paraId="700CC9F7" w14:textId="77777777" w:rsidTr="00513E14">
        <w:trPr>
          <w:cantSplit/>
        </w:trPr>
        <w:tc>
          <w:tcPr>
            <w:tcW w:w="1560" w:type="dxa"/>
            <w:shd w:val="clear" w:color="D9E2F3" w:themeColor="accent1" w:themeTint="33" w:fill="auto"/>
          </w:tcPr>
          <w:p w14:paraId="03BCBD6E" w14:textId="77777777" w:rsidR="00350198" w:rsidRPr="00C12274" w:rsidRDefault="00350198" w:rsidP="00513E14">
            <w:pPr>
              <w:pStyle w:val="RCTstable"/>
              <w:keepNext/>
            </w:pPr>
            <w:r w:rsidRPr="00C12274">
              <w:t xml:space="preserve">Allocation concealment </w:t>
            </w:r>
          </w:p>
        </w:tc>
        <w:tc>
          <w:tcPr>
            <w:tcW w:w="1275" w:type="dxa"/>
            <w:tcBorders>
              <w:bottom w:val="single" w:sz="4" w:space="0" w:color="auto"/>
            </w:tcBorders>
            <w:shd w:val="clear" w:color="D9E2F3" w:themeColor="accent1" w:themeTint="33" w:fill="70AD47" w:themeFill="accent6"/>
          </w:tcPr>
          <w:p w14:paraId="7ABBDBCE" w14:textId="77777777" w:rsidR="00350198" w:rsidRPr="00C12274" w:rsidRDefault="00350198" w:rsidP="00513E14">
            <w:pPr>
              <w:pStyle w:val="RCTstable"/>
              <w:keepNext/>
            </w:pPr>
            <w:r>
              <w:t>Low</w:t>
            </w:r>
            <w:r w:rsidRPr="00C12274">
              <w:t xml:space="preserve"> risk</w:t>
            </w:r>
          </w:p>
        </w:tc>
        <w:tc>
          <w:tcPr>
            <w:tcW w:w="11199" w:type="dxa"/>
            <w:shd w:val="clear" w:color="D9E2F3" w:themeColor="accent1" w:themeTint="33" w:fill="auto"/>
          </w:tcPr>
          <w:p w14:paraId="13EC6C8B" w14:textId="4263B30F" w:rsidR="00350198" w:rsidRPr="006653FF" w:rsidRDefault="00F63225" w:rsidP="00513E14">
            <w:pPr>
              <w:pStyle w:val="RCTstable"/>
            </w:pPr>
            <w:r w:rsidRPr="009B6B15">
              <w:t>Christian Hansen (Chr. Hansen</w:t>
            </w:r>
            <w:r>
              <w:t xml:space="preserve"> </w:t>
            </w:r>
            <w:r w:rsidRPr="009B6B15">
              <w:t>A/S, Horsholm, Denmark) provided</w:t>
            </w:r>
            <w:r>
              <w:t xml:space="preserve"> </w:t>
            </w:r>
            <w:r w:rsidRPr="009B6B15">
              <w:t>identically packaged canisters containing</w:t>
            </w:r>
            <w:r>
              <w:t xml:space="preserve"> </w:t>
            </w:r>
            <w:r w:rsidRPr="009B6B15">
              <w:t>either probiotic or placebo capsules.</w:t>
            </w:r>
            <w:r>
              <w:t xml:space="preserve"> </w:t>
            </w:r>
            <w:r w:rsidRPr="009B6B15">
              <w:t>AnQual Laboratories (School of Pharmacy,</w:t>
            </w:r>
            <w:r>
              <w:t xml:space="preserve"> </w:t>
            </w:r>
            <w:r w:rsidRPr="009B6B15">
              <w:t>University of Auckland) labe</w:t>
            </w:r>
            <w:r>
              <w:t>l</w:t>
            </w:r>
            <w:r w:rsidRPr="009B6B15">
              <w:t>led</w:t>
            </w:r>
            <w:r>
              <w:t xml:space="preserve"> </w:t>
            </w:r>
            <w:r w:rsidRPr="009B6B15">
              <w:t>the canisters using a pre</w:t>
            </w:r>
            <w:r>
              <w:t>-</w:t>
            </w:r>
            <w:r w:rsidRPr="009B6B15">
              <w:t>allocated</w:t>
            </w:r>
            <w:r>
              <w:t xml:space="preserve"> </w:t>
            </w:r>
            <w:r w:rsidRPr="009B6B15">
              <w:t>random list that was password protected</w:t>
            </w:r>
            <w:r>
              <w:t>.</w:t>
            </w:r>
          </w:p>
        </w:tc>
      </w:tr>
      <w:tr w:rsidR="00350198" w:rsidRPr="00C12274" w14:paraId="00099D4A" w14:textId="77777777" w:rsidTr="00513E14">
        <w:trPr>
          <w:cantSplit/>
          <w:trHeight w:val="291"/>
        </w:trPr>
        <w:tc>
          <w:tcPr>
            <w:tcW w:w="1560" w:type="dxa"/>
            <w:shd w:val="clear" w:color="D9E2F3" w:themeColor="accent1" w:themeTint="33" w:fill="auto"/>
          </w:tcPr>
          <w:p w14:paraId="35ACEEC9" w14:textId="77777777" w:rsidR="00350198" w:rsidRPr="00C12274" w:rsidRDefault="00350198" w:rsidP="00513E14">
            <w:pPr>
              <w:pStyle w:val="RCTstable"/>
              <w:keepNext/>
            </w:pPr>
            <w:r>
              <w:t>Performance bias</w:t>
            </w:r>
          </w:p>
        </w:tc>
        <w:tc>
          <w:tcPr>
            <w:tcW w:w="1275" w:type="dxa"/>
            <w:tcBorders>
              <w:bottom w:val="single" w:sz="4" w:space="0" w:color="auto"/>
            </w:tcBorders>
            <w:shd w:val="clear" w:color="D9E2F3" w:themeColor="accent1" w:themeTint="33" w:fill="70AD47" w:themeFill="accent6"/>
          </w:tcPr>
          <w:p w14:paraId="465157C8" w14:textId="77777777" w:rsidR="00350198" w:rsidRPr="00C12274" w:rsidRDefault="00350198" w:rsidP="00513E14">
            <w:pPr>
              <w:pStyle w:val="RCTstable"/>
              <w:keepNext/>
            </w:pPr>
            <w:r>
              <w:t>Low</w:t>
            </w:r>
            <w:r w:rsidRPr="00C12274">
              <w:t xml:space="preserve"> risk</w:t>
            </w:r>
          </w:p>
        </w:tc>
        <w:tc>
          <w:tcPr>
            <w:tcW w:w="11199" w:type="dxa"/>
            <w:vMerge w:val="restart"/>
            <w:shd w:val="clear" w:color="D9E2F3" w:themeColor="accent1" w:themeTint="33" w:fill="auto"/>
          </w:tcPr>
          <w:p w14:paraId="39A1676D" w14:textId="512FEE54" w:rsidR="00350198" w:rsidRPr="004D6F45" w:rsidRDefault="00F63225" w:rsidP="00513E14">
            <w:pPr>
              <w:pStyle w:val="RCTstable"/>
            </w:pPr>
            <w:r w:rsidRPr="009B6B15">
              <w:t>Participants, researchers, and</w:t>
            </w:r>
            <w:r>
              <w:t xml:space="preserve"> </w:t>
            </w:r>
            <w:r w:rsidRPr="009B6B15">
              <w:t>data analysts were blinded to probiotic</w:t>
            </w:r>
            <w:r>
              <w:t xml:space="preserve"> </w:t>
            </w:r>
            <w:r w:rsidRPr="009B6B15">
              <w:t>and placebo allocation.</w:t>
            </w:r>
          </w:p>
        </w:tc>
      </w:tr>
      <w:tr w:rsidR="00350198" w:rsidRPr="00822EBF" w14:paraId="093A4C93" w14:textId="77777777" w:rsidTr="00513E14">
        <w:trPr>
          <w:cantSplit/>
        </w:trPr>
        <w:tc>
          <w:tcPr>
            <w:tcW w:w="1560" w:type="dxa"/>
            <w:shd w:val="clear" w:color="D9E2F3" w:themeColor="accent1" w:themeTint="33" w:fill="auto"/>
          </w:tcPr>
          <w:p w14:paraId="0BE3C773" w14:textId="77777777" w:rsidR="00350198" w:rsidRPr="00822EBF" w:rsidRDefault="00350198" w:rsidP="00513E14">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3C6736A9" w14:textId="77777777" w:rsidR="00350198" w:rsidRPr="00822EBF" w:rsidRDefault="00350198" w:rsidP="00513E14">
            <w:pPr>
              <w:pStyle w:val="RCTstable"/>
            </w:pPr>
            <w:r>
              <w:t>Low</w:t>
            </w:r>
            <w:r w:rsidRPr="00822EBF">
              <w:t xml:space="preserve"> risk</w:t>
            </w:r>
          </w:p>
        </w:tc>
        <w:tc>
          <w:tcPr>
            <w:tcW w:w="11199" w:type="dxa"/>
            <w:vMerge/>
            <w:shd w:val="clear" w:color="D9E2F3" w:themeColor="accent1" w:themeTint="33" w:fill="auto"/>
          </w:tcPr>
          <w:p w14:paraId="5EA8B526" w14:textId="77777777" w:rsidR="00350198" w:rsidRPr="001969C3" w:rsidRDefault="00350198" w:rsidP="00513E14">
            <w:pPr>
              <w:pStyle w:val="RCTstable"/>
            </w:pPr>
          </w:p>
        </w:tc>
      </w:tr>
      <w:tr w:rsidR="00350198" w:rsidRPr="00C12274" w14:paraId="76426D08" w14:textId="77777777" w:rsidTr="00513E14">
        <w:trPr>
          <w:cantSplit/>
        </w:trPr>
        <w:tc>
          <w:tcPr>
            <w:tcW w:w="1560" w:type="dxa"/>
            <w:shd w:val="clear" w:color="D9E2F3" w:themeColor="accent1" w:themeTint="33" w:fill="auto"/>
          </w:tcPr>
          <w:p w14:paraId="1C9847BF" w14:textId="77777777" w:rsidR="00350198" w:rsidRPr="00C12274" w:rsidRDefault="00350198" w:rsidP="00513E14">
            <w:pPr>
              <w:pStyle w:val="RCTstable"/>
              <w:keepNext/>
            </w:pPr>
            <w:r w:rsidRPr="00C12274">
              <w:t>Incomplete outcome data</w:t>
            </w:r>
          </w:p>
        </w:tc>
        <w:tc>
          <w:tcPr>
            <w:tcW w:w="1275" w:type="dxa"/>
            <w:shd w:val="clear" w:color="D9E2F3" w:themeColor="accent1" w:themeTint="33" w:fill="70AD47" w:themeFill="accent6"/>
          </w:tcPr>
          <w:p w14:paraId="19052189" w14:textId="77777777" w:rsidR="00350198" w:rsidRPr="00C12274" w:rsidRDefault="00350198" w:rsidP="00513E14">
            <w:pPr>
              <w:pStyle w:val="RCTstable"/>
              <w:keepNext/>
            </w:pPr>
            <w:r>
              <w:t>Low</w:t>
            </w:r>
            <w:r w:rsidRPr="00C12274">
              <w:t xml:space="preserve"> risk</w:t>
            </w:r>
          </w:p>
        </w:tc>
        <w:tc>
          <w:tcPr>
            <w:tcW w:w="11199" w:type="dxa"/>
            <w:shd w:val="clear" w:color="D9E2F3" w:themeColor="accent1" w:themeTint="33" w:fill="auto"/>
          </w:tcPr>
          <w:p w14:paraId="74E4529E" w14:textId="77777777" w:rsidR="00350198" w:rsidRPr="000B09FE" w:rsidRDefault="00350198" w:rsidP="00513E14">
            <w:pPr>
              <w:pStyle w:val="RCTstable"/>
            </w:pPr>
            <w:r>
              <w:t>Reasons for loss to follow-up reported and similar attrition between groups.</w:t>
            </w:r>
          </w:p>
        </w:tc>
      </w:tr>
      <w:tr w:rsidR="00350198" w:rsidRPr="00C12274" w14:paraId="69423490" w14:textId="77777777" w:rsidTr="00513E14">
        <w:trPr>
          <w:cantSplit/>
        </w:trPr>
        <w:tc>
          <w:tcPr>
            <w:tcW w:w="1560" w:type="dxa"/>
            <w:shd w:val="clear" w:color="D9E2F3" w:themeColor="accent1" w:themeTint="33" w:fill="auto"/>
          </w:tcPr>
          <w:p w14:paraId="6D5DD300" w14:textId="77777777" w:rsidR="00350198" w:rsidRPr="00C12274" w:rsidRDefault="00350198" w:rsidP="00513E14">
            <w:pPr>
              <w:pStyle w:val="RCTstable"/>
            </w:pPr>
            <w:r w:rsidRPr="00C12274">
              <w:t>Selective reporting</w:t>
            </w:r>
          </w:p>
        </w:tc>
        <w:tc>
          <w:tcPr>
            <w:tcW w:w="1275" w:type="dxa"/>
            <w:shd w:val="clear" w:color="D9E2F3" w:themeColor="accent1" w:themeTint="33" w:fill="70AD47" w:themeFill="accent6"/>
          </w:tcPr>
          <w:p w14:paraId="43749405" w14:textId="77777777" w:rsidR="00350198" w:rsidRPr="00C12274" w:rsidRDefault="00350198" w:rsidP="00513E14">
            <w:pPr>
              <w:pStyle w:val="RCTstable"/>
            </w:pPr>
            <w:r>
              <w:t>Low</w:t>
            </w:r>
            <w:r w:rsidRPr="00C12274">
              <w:t xml:space="preserve"> risk</w:t>
            </w:r>
          </w:p>
        </w:tc>
        <w:tc>
          <w:tcPr>
            <w:tcW w:w="11199" w:type="dxa"/>
            <w:shd w:val="clear" w:color="D9E2F3" w:themeColor="accent1" w:themeTint="33" w:fill="auto"/>
          </w:tcPr>
          <w:p w14:paraId="6A5F68BE" w14:textId="77777777" w:rsidR="00350198" w:rsidRPr="001969C3" w:rsidRDefault="00350198" w:rsidP="00513E14">
            <w:pPr>
              <w:pStyle w:val="RCTstable"/>
            </w:pPr>
            <w:r>
              <w:t>Pre-specified outcomes reported.</w:t>
            </w:r>
          </w:p>
        </w:tc>
      </w:tr>
      <w:tr w:rsidR="00350198" w:rsidRPr="00C12274" w14:paraId="0BBBB7B1" w14:textId="77777777" w:rsidTr="00513E14">
        <w:trPr>
          <w:cantSplit/>
        </w:trPr>
        <w:tc>
          <w:tcPr>
            <w:tcW w:w="1560" w:type="dxa"/>
            <w:shd w:val="clear" w:color="D9E2F3" w:themeColor="accent1" w:themeTint="33" w:fill="auto"/>
          </w:tcPr>
          <w:p w14:paraId="2BE7559A" w14:textId="77777777" w:rsidR="00350198" w:rsidRPr="00C12274" w:rsidRDefault="00350198" w:rsidP="00513E14">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64CBADE4" w14:textId="77777777" w:rsidR="00350198" w:rsidRPr="00C12274" w:rsidRDefault="00350198" w:rsidP="00513E14">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74DADF76" w14:textId="77777777" w:rsidR="00350198" w:rsidRPr="001969C3" w:rsidRDefault="00350198" w:rsidP="00513E14">
            <w:pPr>
              <w:pStyle w:val="RCTstable"/>
            </w:pPr>
            <w:r>
              <w:t>No significant difference between groups at baseline.</w:t>
            </w:r>
          </w:p>
        </w:tc>
      </w:tr>
      <w:tr w:rsidR="007858A4" w:rsidRPr="006234EA" w14:paraId="4D932053" w14:textId="77777777" w:rsidTr="009A4A8D">
        <w:trPr>
          <w:cantSplit/>
        </w:trPr>
        <w:tc>
          <w:tcPr>
            <w:tcW w:w="14034" w:type="dxa"/>
            <w:gridSpan w:val="3"/>
            <w:shd w:val="solid" w:color="D9E2F3" w:themeColor="accent1" w:themeTint="33" w:fill="auto"/>
          </w:tcPr>
          <w:p w14:paraId="192C24F9" w14:textId="0B553DF1" w:rsidR="007858A4" w:rsidRPr="00470354" w:rsidRDefault="007858A4" w:rsidP="002747EA">
            <w:pPr>
              <w:pStyle w:val="Tablecell"/>
              <w:keepNext/>
              <w:spacing w:line="220" w:lineRule="exact"/>
              <w:rPr>
                <w:rFonts w:eastAsiaTheme="minorHAnsi"/>
                <w:b/>
                <w:sz w:val="16"/>
                <w:szCs w:val="16"/>
                <w:lang w:val="en-US"/>
              </w:rPr>
            </w:pPr>
            <w:r>
              <w:rPr>
                <w:rFonts w:eastAsiaTheme="minorHAnsi"/>
                <w:b/>
                <w:sz w:val="16"/>
                <w:szCs w:val="16"/>
                <w:lang w:val="en-US"/>
              </w:rPr>
              <w:t>Olsen et al 2018</w:t>
            </w:r>
            <w:r w:rsidR="00774750">
              <w:rPr>
                <w:rFonts w:eastAsiaTheme="minorHAnsi"/>
                <w:b/>
                <w:sz w:val="16"/>
                <w:szCs w:val="16"/>
                <w:lang w:val="en-US"/>
              </w:rPr>
              <w:fldChar w:fldCharType="begin"/>
            </w:r>
            <w:r w:rsidR="002747EA">
              <w:rPr>
                <w:rFonts w:eastAsiaTheme="minorHAnsi"/>
                <w:b/>
                <w:sz w:val="16"/>
                <w:szCs w:val="16"/>
                <w:lang w:val="en-US"/>
              </w:rPr>
              <w:instrText xml:space="preserve"> ADDIN EN.CITE &lt;EndNote&gt;&lt;Cite&gt;&lt;Author&gt;Olsen&lt;/Author&gt;&lt;Year&gt;2018&lt;/Year&gt;&lt;RecNum&gt;1709&lt;/RecNum&gt;&lt;DisplayText&gt;&lt;style face="superscript" font="Trebuchet MS" size="9"&gt;235&lt;/style&gt;&lt;/DisplayText&gt;&lt;record&gt;&lt;rec-number&gt;1709&lt;/rec-number&gt;&lt;foreign-keys&gt;&lt;key app="EN" db-id="exvasrfx2dtraoesasxp2szsxa2df502592x" timestamp="1582499182"&gt;1709&lt;/key&gt;&lt;/foreign-keys&gt;&lt;ref-type name="Journal Article"&gt;17&lt;/ref-type&gt;&lt;contributors&gt;&lt;authors&gt;&lt;author&gt;Olsen, Paula&lt;/author&gt;&lt;author&gt;Williamson, Moira&lt;/author&gt;&lt;author&gt;Traynor, Victoria&lt;/author&gt;&lt;author&gt;Georgiou, Chris&lt;/author&gt;&lt;/authors&gt;&lt;/contributors&gt;&lt;titles&gt;&lt;title&gt;The impact of oral probiotics on vaginal Group B Streptococcal colonisation rates in pregnant women: A pilot randomised control study&lt;/title&gt;&lt;secondary-title&gt;Women and Birth&lt;/secondary-title&gt;&lt;/titles&gt;&lt;periodical&gt;&lt;full-title&gt;Women and Birth&lt;/full-title&gt;&lt;/periodical&gt;&lt;pages&gt;31-37&lt;/pages&gt;&lt;volume&gt;31&lt;/volume&gt;&lt;number&gt;1&lt;/number&gt;&lt;section&gt;31&lt;/section&gt;&lt;dates&gt;&lt;year&gt;2018&lt;/year&gt;&lt;/dates&gt;&lt;isbn&gt;18715192&lt;/isbn&gt;&lt;urls&gt;&lt;/urls&gt;&lt;electronic-resource-num&gt;10.1016/j.wombi.2017.06.012&lt;/electronic-resource-num&gt;&lt;/record&gt;&lt;/Cite&gt;&lt;/EndNote&gt;</w:instrText>
            </w:r>
            <w:r w:rsidR="00774750">
              <w:rPr>
                <w:rFonts w:eastAsiaTheme="minorHAnsi"/>
                <w:b/>
                <w:sz w:val="16"/>
                <w:szCs w:val="16"/>
                <w:lang w:val="en-US"/>
              </w:rPr>
              <w:fldChar w:fldCharType="separate"/>
            </w:r>
            <w:r w:rsidR="002747EA" w:rsidRPr="002747EA">
              <w:rPr>
                <w:rFonts w:eastAsiaTheme="minorHAnsi"/>
                <w:b/>
                <w:noProof/>
                <w:szCs w:val="16"/>
                <w:vertAlign w:val="superscript"/>
                <w:lang w:val="en-US"/>
              </w:rPr>
              <w:t>235</w:t>
            </w:r>
            <w:r w:rsidR="00774750">
              <w:rPr>
                <w:rFonts w:eastAsiaTheme="minorHAnsi"/>
                <w:b/>
                <w:sz w:val="16"/>
                <w:szCs w:val="16"/>
                <w:lang w:val="en-US"/>
              </w:rPr>
              <w:fldChar w:fldCharType="end"/>
            </w:r>
          </w:p>
        </w:tc>
      </w:tr>
      <w:tr w:rsidR="007858A4" w:rsidRPr="00C12274" w14:paraId="67CA3B25" w14:textId="77777777" w:rsidTr="007858A4">
        <w:trPr>
          <w:cantSplit/>
        </w:trPr>
        <w:tc>
          <w:tcPr>
            <w:tcW w:w="1560" w:type="dxa"/>
            <w:shd w:val="clear" w:color="D9E2F3" w:themeColor="accent1" w:themeTint="33" w:fill="auto"/>
          </w:tcPr>
          <w:p w14:paraId="204BEF04" w14:textId="77777777" w:rsidR="007858A4" w:rsidRPr="00C12274" w:rsidRDefault="007858A4" w:rsidP="009A4A8D">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1C1D1E48" w14:textId="77777777" w:rsidR="007858A4" w:rsidRPr="00C12274" w:rsidRDefault="007858A4" w:rsidP="009A4A8D">
            <w:pPr>
              <w:pStyle w:val="RCTstable"/>
              <w:keepNext/>
            </w:pPr>
            <w:r>
              <w:t>Low</w:t>
            </w:r>
            <w:r w:rsidRPr="00C12274">
              <w:t xml:space="preserve"> risk</w:t>
            </w:r>
          </w:p>
        </w:tc>
        <w:tc>
          <w:tcPr>
            <w:tcW w:w="11199" w:type="dxa"/>
            <w:shd w:val="clear" w:color="D9E2F3" w:themeColor="accent1" w:themeTint="33" w:fill="auto"/>
          </w:tcPr>
          <w:p w14:paraId="241F81FB" w14:textId="6CCB5FAA" w:rsidR="007858A4" w:rsidRPr="007858A4" w:rsidRDefault="007858A4" w:rsidP="007858A4">
            <w:pPr>
              <w:pStyle w:val="RCTstable"/>
            </w:pPr>
            <w:r>
              <w:t>A</w:t>
            </w:r>
            <w:r w:rsidRPr="007858A4">
              <w:t>n online randomisation site was utilised to create a table which randomised 100 potential participants </w:t>
            </w:r>
          </w:p>
        </w:tc>
      </w:tr>
      <w:tr w:rsidR="007858A4" w:rsidRPr="00C12274" w14:paraId="3F7A0317" w14:textId="77777777" w:rsidTr="00872852">
        <w:trPr>
          <w:cantSplit/>
        </w:trPr>
        <w:tc>
          <w:tcPr>
            <w:tcW w:w="1560" w:type="dxa"/>
            <w:shd w:val="clear" w:color="D9E2F3" w:themeColor="accent1" w:themeTint="33" w:fill="auto"/>
          </w:tcPr>
          <w:p w14:paraId="544BE6C9" w14:textId="77777777" w:rsidR="007858A4" w:rsidRPr="00C12274" w:rsidRDefault="007858A4" w:rsidP="009A4A8D">
            <w:pPr>
              <w:pStyle w:val="RCTstable"/>
              <w:keepNext/>
            </w:pPr>
            <w:r w:rsidRPr="00C12274">
              <w:t xml:space="preserve">Allocation concealment </w:t>
            </w:r>
          </w:p>
        </w:tc>
        <w:tc>
          <w:tcPr>
            <w:tcW w:w="1275" w:type="dxa"/>
            <w:tcBorders>
              <w:bottom w:val="single" w:sz="4" w:space="0" w:color="auto"/>
            </w:tcBorders>
            <w:shd w:val="clear" w:color="D9E2F3" w:themeColor="accent1" w:themeTint="33" w:fill="FF4D19"/>
          </w:tcPr>
          <w:p w14:paraId="7EE19FE2" w14:textId="1C492547" w:rsidR="007858A4" w:rsidRPr="00C12274" w:rsidRDefault="007858A4" w:rsidP="009A4A8D">
            <w:pPr>
              <w:pStyle w:val="RCTstable"/>
              <w:keepNext/>
            </w:pPr>
            <w:r>
              <w:t>HIgh</w:t>
            </w:r>
            <w:r w:rsidRPr="00C12274">
              <w:t xml:space="preserve"> risk</w:t>
            </w:r>
          </w:p>
        </w:tc>
        <w:tc>
          <w:tcPr>
            <w:tcW w:w="11199" w:type="dxa"/>
            <w:shd w:val="clear" w:color="D9E2F3" w:themeColor="accent1" w:themeTint="33" w:fill="auto"/>
          </w:tcPr>
          <w:p w14:paraId="30BF8C66" w14:textId="088964EB" w:rsidR="007858A4" w:rsidRPr="006653FF" w:rsidRDefault="00872852" w:rsidP="009A4A8D">
            <w:pPr>
              <w:pStyle w:val="RCTstable"/>
            </w:pPr>
            <w:r>
              <w:t>Allocation was not concealed</w:t>
            </w:r>
          </w:p>
        </w:tc>
      </w:tr>
      <w:tr w:rsidR="007858A4" w:rsidRPr="00C12274" w14:paraId="42CAA752" w14:textId="77777777" w:rsidTr="00872852">
        <w:trPr>
          <w:cantSplit/>
          <w:trHeight w:val="291"/>
        </w:trPr>
        <w:tc>
          <w:tcPr>
            <w:tcW w:w="1560" w:type="dxa"/>
            <w:shd w:val="clear" w:color="D9E2F3" w:themeColor="accent1" w:themeTint="33" w:fill="auto"/>
          </w:tcPr>
          <w:p w14:paraId="46D5619F" w14:textId="77777777" w:rsidR="007858A4" w:rsidRPr="00C12274" w:rsidRDefault="007858A4" w:rsidP="009A4A8D">
            <w:pPr>
              <w:pStyle w:val="RCTstable"/>
              <w:keepNext/>
            </w:pPr>
            <w:r>
              <w:t>Performance bias</w:t>
            </w:r>
          </w:p>
        </w:tc>
        <w:tc>
          <w:tcPr>
            <w:tcW w:w="1275" w:type="dxa"/>
            <w:tcBorders>
              <w:bottom w:val="single" w:sz="4" w:space="0" w:color="auto"/>
            </w:tcBorders>
            <w:shd w:val="clear" w:color="D9E2F3" w:themeColor="accent1" w:themeTint="33" w:fill="FF4D19"/>
          </w:tcPr>
          <w:p w14:paraId="030EE98E" w14:textId="3B51A432" w:rsidR="007858A4" w:rsidRPr="00C12274" w:rsidRDefault="007858A4" w:rsidP="009A4A8D">
            <w:pPr>
              <w:pStyle w:val="RCTstable"/>
              <w:keepNext/>
            </w:pPr>
            <w:r>
              <w:t>High</w:t>
            </w:r>
            <w:r w:rsidRPr="00C12274">
              <w:t xml:space="preserve"> risk</w:t>
            </w:r>
          </w:p>
        </w:tc>
        <w:tc>
          <w:tcPr>
            <w:tcW w:w="11199" w:type="dxa"/>
            <w:shd w:val="clear" w:color="D9E2F3" w:themeColor="accent1" w:themeTint="33" w:fill="auto"/>
          </w:tcPr>
          <w:p w14:paraId="6E22A96D" w14:textId="5FADBF71" w:rsidR="007858A4" w:rsidRPr="004D6F45" w:rsidRDefault="00872852" w:rsidP="00872852">
            <w:pPr>
              <w:pStyle w:val="RCTstable"/>
            </w:pPr>
            <w:r>
              <w:t>Participants and</w:t>
            </w:r>
            <w:r w:rsidR="007858A4" w:rsidRPr="009B6B15">
              <w:t xml:space="preserve"> researchers</w:t>
            </w:r>
            <w:r>
              <w:t xml:space="preserve"> were not blinded.</w:t>
            </w:r>
          </w:p>
        </w:tc>
      </w:tr>
      <w:tr w:rsidR="007858A4" w:rsidRPr="00822EBF" w14:paraId="6A48BD5F" w14:textId="77777777" w:rsidTr="009A4A8D">
        <w:trPr>
          <w:cantSplit/>
        </w:trPr>
        <w:tc>
          <w:tcPr>
            <w:tcW w:w="1560" w:type="dxa"/>
            <w:shd w:val="clear" w:color="D9E2F3" w:themeColor="accent1" w:themeTint="33" w:fill="auto"/>
          </w:tcPr>
          <w:p w14:paraId="7381D4C5" w14:textId="77777777" w:rsidR="007858A4" w:rsidRPr="00822EBF" w:rsidRDefault="007858A4" w:rsidP="009A4A8D">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56CC7D8E" w14:textId="77777777" w:rsidR="007858A4" w:rsidRPr="00822EBF" w:rsidRDefault="007858A4" w:rsidP="009A4A8D">
            <w:pPr>
              <w:pStyle w:val="RCTstable"/>
            </w:pPr>
            <w:r>
              <w:t>Low</w:t>
            </w:r>
            <w:r w:rsidRPr="00822EBF">
              <w:t xml:space="preserve"> risk</w:t>
            </w:r>
          </w:p>
        </w:tc>
        <w:tc>
          <w:tcPr>
            <w:tcW w:w="11199" w:type="dxa"/>
            <w:shd w:val="clear" w:color="D9E2F3" w:themeColor="accent1" w:themeTint="33" w:fill="auto"/>
          </w:tcPr>
          <w:p w14:paraId="7DF99151" w14:textId="090F649C" w:rsidR="007858A4" w:rsidRPr="00872852" w:rsidRDefault="00872852" w:rsidP="00872852">
            <w:pPr>
              <w:pStyle w:val="RCTstable"/>
            </w:pPr>
            <w:r w:rsidRPr="00872852">
              <w:t>The pathologists were blinded to the research group allocation of the participants. </w:t>
            </w:r>
          </w:p>
        </w:tc>
      </w:tr>
      <w:tr w:rsidR="007858A4" w:rsidRPr="00C12274" w14:paraId="0D77D3B7" w14:textId="77777777" w:rsidTr="009A4A8D">
        <w:trPr>
          <w:cantSplit/>
        </w:trPr>
        <w:tc>
          <w:tcPr>
            <w:tcW w:w="1560" w:type="dxa"/>
            <w:shd w:val="clear" w:color="D9E2F3" w:themeColor="accent1" w:themeTint="33" w:fill="auto"/>
          </w:tcPr>
          <w:p w14:paraId="0395C38D" w14:textId="77777777" w:rsidR="007858A4" w:rsidRPr="00C12274" w:rsidRDefault="007858A4" w:rsidP="009A4A8D">
            <w:pPr>
              <w:pStyle w:val="RCTstable"/>
              <w:keepNext/>
            </w:pPr>
            <w:r w:rsidRPr="00C12274">
              <w:t>Incomplete outcome data</w:t>
            </w:r>
          </w:p>
        </w:tc>
        <w:tc>
          <w:tcPr>
            <w:tcW w:w="1275" w:type="dxa"/>
            <w:shd w:val="clear" w:color="D9E2F3" w:themeColor="accent1" w:themeTint="33" w:fill="70AD47" w:themeFill="accent6"/>
          </w:tcPr>
          <w:p w14:paraId="237BAA21" w14:textId="77777777" w:rsidR="007858A4" w:rsidRPr="00C12274" w:rsidRDefault="007858A4" w:rsidP="009A4A8D">
            <w:pPr>
              <w:pStyle w:val="RCTstable"/>
              <w:keepNext/>
            </w:pPr>
            <w:r>
              <w:t>Low</w:t>
            </w:r>
            <w:r w:rsidRPr="00C12274">
              <w:t xml:space="preserve"> risk</w:t>
            </w:r>
          </w:p>
        </w:tc>
        <w:tc>
          <w:tcPr>
            <w:tcW w:w="11199" w:type="dxa"/>
            <w:shd w:val="clear" w:color="D9E2F3" w:themeColor="accent1" w:themeTint="33" w:fill="auto"/>
          </w:tcPr>
          <w:p w14:paraId="5A3A666A" w14:textId="77777777" w:rsidR="007858A4" w:rsidRPr="000B09FE" w:rsidRDefault="007858A4" w:rsidP="009A4A8D">
            <w:pPr>
              <w:pStyle w:val="RCTstable"/>
            </w:pPr>
            <w:r>
              <w:t>Reasons for loss to follow-up reported and similar attrition between groups.</w:t>
            </w:r>
          </w:p>
        </w:tc>
      </w:tr>
      <w:tr w:rsidR="007858A4" w:rsidRPr="00C12274" w14:paraId="5DB3797B" w14:textId="77777777" w:rsidTr="009A4A8D">
        <w:trPr>
          <w:cantSplit/>
        </w:trPr>
        <w:tc>
          <w:tcPr>
            <w:tcW w:w="1560" w:type="dxa"/>
            <w:shd w:val="clear" w:color="D9E2F3" w:themeColor="accent1" w:themeTint="33" w:fill="auto"/>
          </w:tcPr>
          <w:p w14:paraId="4901D9D7" w14:textId="77777777" w:rsidR="007858A4" w:rsidRPr="00C12274" w:rsidRDefault="007858A4" w:rsidP="009A4A8D">
            <w:pPr>
              <w:pStyle w:val="RCTstable"/>
            </w:pPr>
            <w:r w:rsidRPr="00C12274">
              <w:t>Selective reporting</w:t>
            </w:r>
          </w:p>
        </w:tc>
        <w:tc>
          <w:tcPr>
            <w:tcW w:w="1275" w:type="dxa"/>
            <w:shd w:val="clear" w:color="D9E2F3" w:themeColor="accent1" w:themeTint="33" w:fill="70AD47" w:themeFill="accent6"/>
          </w:tcPr>
          <w:p w14:paraId="670ED615" w14:textId="77777777" w:rsidR="007858A4" w:rsidRPr="00C12274" w:rsidRDefault="007858A4" w:rsidP="009A4A8D">
            <w:pPr>
              <w:pStyle w:val="RCTstable"/>
            </w:pPr>
            <w:r>
              <w:t>Low</w:t>
            </w:r>
            <w:r w:rsidRPr="00C12274">
              <w:t xml:space="preserve"> risk</w:t>
            </w:r>
          </w:p>
        </w:tc>
        <w:tc>
          <w:tcPr>
            <w:tcW w:w="11199" w:type="dxa"/>
            <w:shd w:val="clear" w:color="D9E2F3" w:themeColor="accent1" w:themeTint="33" w:fill="auto"/>
          </w:tcPr>
          <w:p w14:paraId="3F37E0AF" w14:textId="77777777" w:rsidR="007858A4" w:rsidRPr="001969C3" w:rsidRDefault="007858A4" w:rsidP="009A4A8D">
            <w:pPr>
              <w:pStyle w:val="RCTstable"/>
            </w:pPr>
            <w:r>
              <w:t>Pre-specified outcomes reported.</w:t>
            </w:r>
          </w:p>
        </w:tc>
      </w:tr>
      <w:tr w:rsidR="007858A4" w:rsidRPr="00C12274" w14:paraId="7E695332" w14:textId="77777777" w:rsidTr="009A4A8D">
        <w:trPr>
          <w:cantSplit/>
        </w:trPr>
        <w:tc>
          <w:tcPr>
            <w:tcW w:w="1560" w:type="dxa"/>
            <w:shd w:val="clear" w:color="D9E2F3" w:themeColor="accent1" w:themeTint="33" w:fill="auto"/>
          </w:tcPr>
          <w:p w14:paraId="494850B4" w14:textId="77777777" w:rsidR="007858A4" w:rsidRPr="00C12274" w:rsidRDefault="007858A4" w:rsidP="009A4A8D">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764CEE3E" w14:textId="77777777" w:rsidR="007858A4" w:rsidRPr="00C12274" w:rsidRDefault="007858A4" w:rsidP="009A4A8D">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005CAD19" w14:textId="77777777" w:rsidR="007858A4" w:rsidRPr="001969C3" w:rsidRDefault="007858A4" w:rsidP="009A4A8D">
            <w:pPr>
              <w:pStyle w:val="RCTstable"/>
            </w:pPr>
            <w:r>
              <w:t>No significant difference between groups at baseline.</w:t>
            </w:r>
          </w:p>
        </w:tc>
      </w:tr>
      <w:tr w:rsidR="005048BC" w:rsidRPr="006234EA" w14:paraId="7DBC82CF" w14:textId="77777777" w:rsidTr="00513E14">
        <w:trPr>
          <w:cantSplit/>
        </w:trPr>
        <w:tc>
          <w:tcPr>
            <w:tcW w:w="14034" w:type="dxa"/>
            <w:gridSpan w:val="3"/>
            <w:shd w:val="solid" w:color="D9E2F3" w:themeColor="accent1" w:themeTint="33" w:fill="auto"/>
          </w:tcPr>
          <w:p w14:paraId="08A003C0" w14:textId="16235660" w:rsidR="005048BC" w:rsidRPr="00470354" w:rsidRDefault="00BB0F9E" w:rsidP="002747EA">
            <w:pPr>
              <w:pStyle w:val="Tablecell"/>
              <w:keepNext/>
              <w:spacing w:line="220" w:lineRule="exact"/>
              <w:rPr>
                <w:rFonts w:eastAsiaTheme="minorHAnsi"/>
                <w:b/>
                <w:sz w:val="16"/>
                <w:szCs w:val="16"/>
                <w:lang w:val="en-US"/>
              </w:rPr>
            </w:pPr>
            <w:r>
              <w:rPr>
                <w:rFonts w:eastAsiaTheme="minorHAnsi"/>
                <w:b/>
                <w:sz w:val="16"/>
                <w:szCs w:val="16"/>
                <w:lang w:val="en-US"/>
              </w:rPr>
              <w:t>Pellonpera</w:t>
            </w:r>
            <w:r w:rsidR="005048BC">
              <w:rPr>
                <w:rFonts w:eastAsiaTheme="minorHAnsi"/>
                <w:b/>
                <w:sz w:val="16"/>
                <w:szCs w:val="16"/>
                <w:lang w:val="en-US"/>
              </w:rPr>
              <w:t xml:space="preserve"> et al 2019</w:t>
            </w:r>
            <w:r w:rsidR="00AB21E2">
              <w:rPr>
                <w:rFonts w:eastAsiaTheme="minorHAnsi"/>
                <w:b/>
                <w:sz w:val="16"/>
                <w:szCs w:val="16"/>
                <w:lang w:val="en-US"/>
              </w:rPr>
              <w:fldChar w:fldCharType="begin">
                <w:fldData xml:space="preserve">PEVuZE5vdGU+PENpdGU+PEF1dGhvcj5QZWxsb25wZXJhPC9BdXRob3I+PFllYXI+MjAxOTwvWWVh
cj48UmVjTnVtPjE2Njk8L1JlY051bT48RGlzcGxheVRleHQ+PHN0eWxlIGZhY2U9InN1cGVyc2Ny
aXB0IiBmb250PSJUcmVidWNoZXQgTVMiIHNpemU9IjkiPjIzMzwvc3R5bGU+PC9EaXNwbGF5VGV4
dD48cmVjb3JkPjxyZWMtbnVtYmVyPjE2Njk8L3JlYy1udW1iZXI+PGZvcmVpZ24ta2V5cz48a2V5
IGFwcD0iRU4iIGRiLWlkPSJleHZhc3JmeDJkdHJhb2VzYXN4cDJzenN4YTJkZjUwMjU5MngiIHRp
bWVzdGFtcD0iMTU4MTMxMjg0MCI+MTY2OTwva2V5PjxrZXkgYXBwPSJFTldlYiIgZGItaWQ9IiI+
MDwva2V5PjwvZm9yZWlnbi1rZXlzPjxyZWYtdHlwZSBuYW1lPSJKb3VybmFsIEFydGljbGUiPjE3
PC9yZWYtdHlwZT48Y29udHJpYnV0b3JzPjxhdXRob3JzPjxhdXRob3I+UGVsbG9ucGVyYSwgTy48
L2F1dGhvcj48YXV0aG9yPk1va2thbGEsIEsuPC9hdXRob3I+PGF1dGhvcj5Ib3V0dHUsIE4uPC9h
dXRob3I+PGF1dGhvcj5WYWhsYmVyZywgVC48L2F1dGhvcj48YXV0aG9yPktvaXZ1bmllbWksIEUu
PC9hdXRob3I+PGF1dGhvcj5UZXJ0dGksIEsuPC9hdXRob3I+PGF1dGhvcj5Sb25uZW1hYSwgVC48
L2F1dGhvcj48YXV0aG9yPkxhaXRpbmVuLCBLLjwvYXV0aG9yPjwvYXV0aG9ycz48L2NvbnRyaWJ1
dG9ycz48YXV0aC1hZGRyZXNzPkRlcGFydG1lbnQgb2YgT2JzdGV0cmljcyBhbmQgR3luZWNvbG9n
eSwgVW5pdmVyc2l0eSBvZiBUdXJrdSBhbmQgVHVya3UgVW5pdmVyc2l0eSBIb3NwaXRhbCwgVHVy
a3UsIEZpbmxhbmQgb3V0aS5wZWxsb25wZXJhQHV0dS5maS4mI3hEO0ludGVncmF0aXZlIFBoeXNp
b2xvZ3kgYW5kIFBoYXJtYWNvbG9neSwgSW5zdGl0dXRlIG9mIEJpb21lZGljaW5lLCBVbml2ZXJz
aXR5IG9mIFR1cmt1LCBUdXJrdSwgRmlubGFuZC4mI3hEO0Jpb3N0YXRpc3RpY3MsIEluc3RpdHV0
ZSBvZiBDbGluaWNhbCBNZWRpY2luZSwgVW5pdmVyc2l0eSBvZiBUdXJrdSwgVHVya3UsIEZpbmxh
bmQuJiN4RDtEZXBhcnRtZW50IG9mIE9ic3RldHJpY3MgYW5kIEd5bmVjb2xvZ3ksIFVuaXZlcnNp
dHkgb2YgVHVya3UgYW5kIFR1cmt1IFVuaXZlcnNpdHkgSG9zcGl0YWwsIFR1cmt1LCBGaW5sYW5k
LiYjeEQ7RGVwYXJ0bWVudCBvZiBNZWRpY2luZSwgVW5pdmVyc2l0eSBvZiBUdXJrdSBhbmQgVHVy
a3UgVW5pdmVyc2l0eSBIb3NwaXRhbCwgVHVya3UsIEZpbmxhbmQuPC9hdXRoLWFkZHJlc3M+PHRp
dGxlcz48dGl0bGU+RWZmaWNhY3kgb2YgZmlzaCBvaWwgYW5kL29yIHByb2Jpb3RpYyBpbnRlcnZl
bnRpb24gb24gdGhlIGluY2lkZW5jZSBvZiBnZXN0YXRpb25hbCBkaWFiZXRlcyBtZWxsaXR1cyBp
biBhbiBhdC1yaXNrIGdyb3VwIG9mIG92ZXJ3ZWlnaHQgYW5kIG9iZXNlIHdvbWVuOiBhIHJhbmRv
bWl6ZWQsIHBsYWNlYm8tY29udHJvbGxlZCwgZG91YmxlLWJsaW5kIGNsaW5pY2FsIHRyaWFsPC90
aXRsZT48c2Vjb25kYXJ5LXRpdGxlPkRpYWJldGVzIENhcmU8L3NlY29uZGFyeS10aXRsZT48L3Rp
dGxlcz48cGVyaW9kaWNhbD48ZnVsbC10aXRsZT5EaWFiZXRlcyBDYXJlPC9mdWxsLXRpdGxlPjwv
cGVyaW9kaWNhbD48cGFnZXM+MTAwOS0xMDE3PC9wYWdlcz48dm9sdW1lPjQyPC92b2x1bWU+PG51
bWJlcj42PC9udW1iZXI+PGVkaXRpb24+MjAxOS8wNC8xMTwvZWRpdGlvbj48ZGF0ZXM+PHllYXI+
MjAxOTwveWVhcj48cHViLWRhdGVzPjxkYXRlPkp1bjwvZGF0ZT48L3B1Yi1kYXRlcz48L2RhdGVz
Pjxpc2JuPjE5MzUtNTU0OCAoRWxlY3Ryb25pYykmI3hEOzAxNDktNTk5MiAoTGlua2luZyk8L2lz
Ym4+PGFjY2Vzc2lvbi1udW0+MzA5Njc0MzY8L2FjY2Vzc2lvbi1udW0+PHVybHM+PHJlbGF0ZWQt
dXJscz48dXJsPmh0dHBzOi8vd3d3Lm5jYmkubmxtLm5paC5nb3YvcHVibWVkLzMwOTY3NDM2PC91
cmw+PC9yZWxhdGVkLXVybHM+PC91cmxzPjxlbGVjdHJvbmljLXJlc291cmNlLW51bT4xMC4yMzM3
L2RjMTgtMjU5MTwvZWxlY3Ryb25pYy1yZXNvdXJjZS1udW0+PC9yZWNvcmQ+PC9DaXRlPjwvRW5k
Tm90ZT4A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PEVuZE5vdGU+PENpdGU+PEF1dGhvcj5QZWxsb25wZXJhPC9BdXRob3I+PFllYXI+MjAxOTwvWWVh
cj48UmVjTnVtPjE2Njk8L1JlY051bT48RGlzcGxheVRleHQ+PHN0eWxlIGZhY2U9InN1cGVyc2Ny
aXB0IiBmb250PSJUcmVidWNoZXQgTVMiIHNpemU9IjkiPjIzMzwvc3R5bGU+PC9EaXNwbGF5VGV4
dD48cmVjb3JkPjxyZWMtbnVtYmVyPjE2Njk8L3JlYy1udW1iZXI+PGZvcmVpZ24ta2V5cz48a2V5
IGFwcD0iRU4iIGRiLWlkPSJleHZhc3JmeDJkdHJhb2VzYXN4cDJzenN4YTJkZjUwMjU5MngiIHRp
bWVzdGFtcD0iMTU4MTMxMjg0MCI+MTY2OTwva2V5PjxrZXkgYXBwPSJFTldlYiIgZGItaWQ9IiI+
MDwva2V5PjwvZm9yZWlnbi1rZXlzPjxyZWYtdHlwZSBuYW1lPSJKb3VybmFsIEFydGljbGUiPjE3
PC9yZWYtdHlwZT48Y29udHJpYnV0b3JzPjxhdXRob3JzPjxhdXRob3I+UGVsbG9ucGVyYSwgTy48
L2F1dGhvcj48YXV0aG9yPk1va2thbGEsIEsuPC9hdXRob3I+PGF1dGhvcj5Ib3V0dHUsIE4uPC9h
dXRob3I+PGF1dGhvcj5WYWhsYmVyZywgVC48L2F1dGhvcj48YXV0aG9yPktvaXZ1bmllbWksIEUu
PC9hdXRob3I+PGF1dGhvcj5UZXJ0dGksIEsuPC9hdXRob3I+PGF1dGhvcj5Sb25uZW1hYSwgVC48
L2F1dGhvcj48YXV0aG9yPkxhaXRpbmVuLCBLLjwvYXV0aG9yPjwvYXV0aG9ycz48L2NvbnRyaWJ1
dG9ycz48YXV0aC1hZGRyZXNzPkRlcGFydG1lbnQgb2YgT2JzdGV0cmljcyBhbmQgR3luZWNvbG9n
eSwgVW5pdmVyc2l0eSBvZiBUdXJrdSBhbmQgVHVya3UgVW5pdmVyc2l0eSBIb3NwaXRhbCwgVHVy
a3UsIEZpbmxhbmQgb3V0aS5wZWxsb25wZXJhQHV0dS5maS4mI3hEO0ludGVncmF0aXZlIFBoeXNp
b2xvZ3kgYW5kIFBoYXJtYWNvbG9neSwgSW5zdGl0dXRlIG9mIEJpb21lZGljaW5lLCBVbml2ZXJz
aXR5IG9mIFR1cmt1LCBUdXJrdSwgRmlubGFuZC4mI3hEO0Jpb3N0YXRpc3RpY3MsIEluc3RpdHV0
ZSBvZiBDbGluaWNhbCBNZWRpY2luZSwgVW5pdmVyc2l0eSBvZiBUdXJrdSwgVHVya3UsIEZpbmxh
bmQuJiN4RDtEZXBhcnRtZW50IG9mIE9ic3RldHJpY3MgYW5kIEd5bmVjb2xvZ3ksIFVuaXZlcnNp
dHkgb2YgVHVya3UgYW5kIFR1cmt1IFVuaXZlcnNpdHkgSG9zcGl0YWwsIFR1cmt1LCBGaW5sYW5k
LiYjeEQ7RGVwYXJ0bWVudCBvZiBNZWRpY2luZSwgVW5pdmVyc2l0eSBvZiBUdXJrdSBhbmQgVHVy
a3UgVW5pdmVyc2l0eSBIb3NwaXRhbCwgVHVya3UsIEZpbmxhbmQuPC9hdXRoLWFkZHJlc3M+PHRp
dGxlcz48dGl0bGU+RWZmaWNhY3kgb2YgZmlzaCBvaWwgYW5kL29yIHByb2Jpb3RpYyBpbnRlcnZl
bnRpb24gb24gdGhlIGluY2lkZW5jZSBvZiBnZXN0YXRpb25hbCBkaWFiZXRlcyBtZWxsaXR1cyBp
biBhbiBhdC1yaXNrIGdyb3VwIG9mIG92ZXJ3ZWlnaHQgYW5kIG9iZXNlIHdvbWVuOiBhIHJhbmRv
bWl6ZWQsIHBsYWNlYm8tY29udHJvbGxlZCwgZG91YmxlLWJsaW5kIGNsaW5pY2FsIHRyaWFsPC90
aXRsZT48c2Vjb25kYXJ5LXRpdGxlPkRpYWJldGVzIENhcmU8L3NlY29uZGFyeS10aXRsZT48L3Rp
dGxlcz48cGVyaW9kaWNhbD48ZnVsbC10aXRsZT5EaWFiZXRlcyBDYXJlPC9mdWxsLXRpdGxlPjwv
cGVyaW9kaWNhbD48cGFnZXM+MTAwOS0xMDE3PC9wYWdlcz48dm9sdW1lPjQyPC92b2x1bWU+PG51
bWJlcj42PC9udW1iZXI+PGVkaXRpb24+MjAxOS8wNC8xMTwvZWRpdGlvbj48ZGF0ZXM+PHllYXI+
MjAxOTwveWVhcj48cHViLWRhdGVzPjxkYXRlPkp1bjwvZGF0ZT48L3B1Yi1kYXRlcz48L2RhdGVz
Pjxpc2JuPjE5MzUtNTU0OCAoRWxlY3Ryb25pYykmI3hEOzAxNDktNTk5MiAoTGlua2luZyk8L2lz
Ym4+PGFjY2Vzc2lvbi1udW0+MzA5Njc0MzY8L2FjY2Vzc2lvbi1udW0+PHVybHM+PHJlbGF0ZWQt
dXJscz48dXJsPmh0dHBzOi8vd3d3Lm5jYmkubmxtLm5paC5nb3YvcHVibWVkLzMwOTY3NDM2PC91
cmw+PC9yZWxhdGVkLXVybHM+PC91cmxzPjxlbGVjdHJvbmljLXJlc291cmNlLW51bT4xMC4yMzM3
L2RjMTgtMjU5MTwvZWxlY3Ryb25pYy1yZXNvdXJjZS1udW0+PC9yZWNvcmQ+PC9DaXRlPjwvRW5k
Tm90ZT4A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sidR="00AB21E2">
              <w:rPr>
                <w:rFonts w:eastAsiaTheme="minorHAnsi"/>
                <w:b/>
                <w:sz w:val="16"/>
                <w:szCs w:val="16"/>
                <w:lang w:val="en-US"/>
              </w:rPr>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233</w:t>
            </w:r>
            <w:r w:rsidR="00AB21E2">
              <w:rPr>
                <w:rFonts w:eastAsiaTheme="minorHAnsi"/>
                <w:b/>
                <w:sz w:val="16"/>
                <w:szCs w:val="16"/>
                <w:lang w:val="en-US"/>
              </w:rPr>
              <w:fldChar w:fldCharType="end"/>
            </w:r>
          </w:p>
        </w:tc>
      </w:tr>
      <w:tr w:rsidR="005048BC" w:rsidRPr="00C12274" w14:paraId="640F9AA6" w14:textId="77777777" w:rsidTr="00513E14">
        <w:trPr>
          <w:cantSplit/>
        </w:trPr>
        <w:tc>
          <w:tcPr>
            <w:tcW w:w="1560" w:type="dxa"/>
            <w:shd w:val="clear" w:color="D9E2F3" w:themeColor="accent1" w:themeTint="33" w:fill="auto"/>
          </w:tcPr>
          <w:p w14:paraId="43F349E4" w14:textId="77777777" w:rsidR="005048BC" w:rsidRPr="00C12274" w:rsidRDefault="005048BC" w:rsidP="00513E14">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6766920F" w14:textId="77777777" w:rsidR="005048BC" w:rsidRPr="00C12274" w:rsidRDefault="005048BC" w:rsidP="00513E14">
            <w:pPr>
              <w:pStyle w:val="RCTstable"/>
              <w:keepNext/>
            </w:pPr>
            <w:r>
              <w:t>Low</w:t>
            </w:r>
            <w:r w:rsidRPr="00C12274">
              <w:t xml:space="preserve"> risk</w:t>
            </w:r>
          </w:p>
        </w:tc>
        <w:tc>
          <w:tcPr>
            <w:tcW w:w="11199" w:type="dxa"/>
            <w:shd w:val="clear" w:color="D9E2F3" w:themeColor="accent1" w:themeTint="33" w:fill="auto"/>
          </w:tcPr>
          <w:p w14:paraId="055D36E5" w14:textId="00F7972B" w:rsidR="005048BC" w:rsidRPr="0024060E" w:rsidRDefault="00BB0F9E" w:rsidP="00BB0F9E">
            <w:pPr>
              <w:pStyle w:val="RCTstable"/>
            </w:pPr>
            <w:r>
              <w:t>The stratified randomis</w:t>
            </w:r>
            <w:r w:rsidRPr="000F78AC">
              <w:t>ation</w:t>
            </w:r>
            <w:r>
              <w:t xml:space="preserve"> </w:t>
            </w:r>
            <w:r w:rsidRPr="000F78AC">
              <w:t>was performed with random permuted</w:t>
            </w:r>
            <w:r>
              <w:t xml:space="preserve"> </w:t>
            </w:r>
            <w:r w:rsidRPr="000F78AC">
              <w:t>b</w:t>
            </w:r>
            <w:r>
              <w:t>locks of four, and randomis</w:t>
            </w:r>
            <w:r w:rsidRPr="000F78AC">
              <w:t>ation</w:t>
            </w:r>
            <w:r>
              <w:t xml:space="preserve"> </w:t>
            </w:r>
            <w:r w:rsidRPr="000F78AC">
              <w:t>lists of the three blocks were generated</w:t>
            </w:r>
            <w:r>
              <w:t xml:space="preserve"> </w:t>
            </w:r>
            <w:r w:rsidRPr="000F78AC">
              <w:t>by a statistician who was not involved in</w:t>
            </w:r>
            <w:r>
              <w:t xml:space="preserve"> </w:t>
            </w:r>
            <w:r w:rsidRPr="000F78AC">
              <w:t>either study recruitment or its execution.</w:t>
            </w:r>
            <w:r>
              <w:t xml:space="preserve"> </w:t>
            </w:r>
            <w:r w:rsidRPr="000F78AC">
              <w:t>Women were assigned to the intervention</w:t>
            </w:r>
            <w:r>
              <w:t xml:space="preserve"> groups according to the randomis</w:t>
            </w:r>
            <w:r w:rsidRPr="000F78AC">
              <w:t>ation</w:t>
            </w:r>
            <w:r>
              <w:t xml:space="preserve"> </w:t>
            </w:r>
            <w:r w:rsidRPr="000F78AC">
              <w:t>list in their order of recruitment on</w:t>
            </w:r>
            <w:r>
              <w:t xml:space="preserve"> </w:t>
            </w:r>
            <w:r w:rsidRPr="000F78AC">
              <w:t xml:space="preserve">the first study visit. </w:t>
            </w:r>
          </w:p>
        </w:tc>
      </w:tr>
      <w:tr w:rsidR="005048BC" w:rsidRPr="00C12274" w14:paraId="0930E4D3" w14:textId="77777777" w:rsidTr="00513E14">
        <w:trPr>
          <w:cantSplit/>
        </w:trPr>
        <w:tc>
          <w:tcPr>
            <w:tcW w:w="1560" w:type="dxa"/>
            <w:shd w:val="clear" w:color="D9E2F3" w:themeColor="accent1" w:themeTint="33" w:fill="auto"/>
          </w:tcPr>
          <w:p w14:paraId="45ACB9A1" w14:textId="77777777" w:rsidR="005048BC" w:rsidRPr="00C12274" w:rsidRDefault="005048BC" w:rsidP="00513E14">
            <w:pPr>
              <w:pStyle w:val="RCTstable"/>
              <w:keepNext/>
            </w:pPr>
            <w:r w:rsidRPr="00C12274">
              <w:t xml:space="preserve">Allocation concealment </w:t>
            </w:r>
          </w:p>
        </w:tc>
        <w:tc>
          <w:tcPr>
            <w:tcW w:w="1275" w:type="dxa"/>
            <w:tcBorders>
              <w:bottom w:val="single" w:sz="4" w:space="0" w:color="auto"/>
            </w:tcBorders>
            <w:shd w:val="clear" w:color="D9E2F3" w:themeColor="accent1" w:themeTint="33" w:fill="70AD47" w:themeFill="accent6"/>
          </w:tcPr>
          <w:p w14:paraId="0E5A41D7" w14:textId="77777777" w:rsidR="005048BC" w:rsidRPr="00C12274" w:rsidRDefault="005048BC" w:rsidP="00513E14">
            <w:pPr>
              <w:pStyle w:val="RCTstable"/>
              <w:keepNext/>
            </w:pPr>
            <w:r>
              <w:t>Low</w:t>
            </w:r>
            <w:r w:rsidRPr="00C12274">
              <w:t xml:space="preserve"> risk</w:t>
            </w:r>
          </w:p>
        </w:tc>
        <w:tc>
          <w:tcPr>
            <w:tcW w:w="11199" w:type="dxa"/>
            <w:shd w:val="clear" w:color="D9E2F3" w:themeColor="accent1" w:themeTint="33" w:fill="auto"/>
          </w:tcPr>
          <w:p w14:paraId="379C7B3F" w14:textId="4EAD6434" w:rsidR="005048BC" w:rsidRPr="006653FF" w:rsidRDefault="0094051F" w:rsidP="0094051F">
            <w:pPr>
              <w:pStyle w:val="RCTstable"/>
            </w:pPr>
            <w:r w:rsidRPr="00D86BA5">
              <w:t>Placebo for the</w:t>
            </w:r>
            <w:r>
              <w:t xml:space="preserve"> </w:t>
            </w:r>
            <w:r w:rsidRPr="00D86BA5">
              <w:t>probiotics consisted of microcrystalline</w:t>
            </w:r>
            <w:r>
              <w:t xml:space="preserve"> </w:t>
            </w:r>
            <w:r w:rsidRPr="00D86BA5">
              <w:t>cellulose; the capsules were identical to</w:t>
            </w:r>
            <w:r>
              <w:t xml:space="preserve"> </w:t>
            </w:r>
            <w:r w:rsidRPr="00D86BA5">
              <w:t>the probiotic capsules in size, shape, and</w:t>
            </w:r>
            <w:r>
              <w:t xml:space="preserve"> </w:t>
            </w:r>
            <w:r w:rsidRPr="00D86BA5">
              <w:t>colo</w:t>
            </w:r>
            <w:r>
              <w:t>u</w:t>
            </w:r>
            <w:r w:rsidRPr="00D86BA5">
              <w:t>r.</w:t>
            </w:r>
          </w:p>
        </w:tc>
      </w:tr>
      <w:tr w:rsidR="005048BC" w:rsidRPr="00C12274" w14:paraId="20BF4DAD" w14:textId="77777777" w:rsidTr="00513E14">
        <w:trPr>
          <w:cantSplit/>
          <w:trHeight w:val="291"/>
        </w:trPr>
        <w:tc>
          <w:tcPr>
            <w:tcW w:w="1560" w:type="dxa"/>
            <w:shd w:val="clear" w:color="D9E2F3" w:themeColor="accent1" w:themeTint="33" w:fill="auto"/>
          </w:tcPr>
          <w:p w14:paraId="33C72A53" w14:textId="77777777" w:rsidR="005048BC" w:rsidRPr="00C12274" w:rsidRDefault="005048BC" w:rsidP="00513E14">
            <w:pPr>
              <w:pStyle w:val="RCTstable"/>
              <w:keepNext/>
            </w:pPr>
            <w:r>
              <w:t>Performance bias</w:t>
            </w:r>
          </w:p>
        </w:tc>
        <w:tc>
          <w:tcPr>
            <w:tcW w:w="1275" w:type="dxa"/>
            <w:tcBorders>
              <w:bottom w:val="single" w:sz="4" w:space="0" w:color="auto"/>
            </w:tcBorders>
            <w:shd w:val="clear" w:color="D9E2F3" w:themeColor="accent1" w:themeTint="33" w:fill="70AD47" w:themeFill="accent6"/>
          </w:tcPr>
          <w:p w14:paraId="7AAF8A6A" w14:textId="77777777" w:rsidR="005048BC" w:rsidRPr="00C12274" w:rsidRDefault="005048BC" w:rsidP="00513E14">
            <w:pPr>
              <w:pStyle w:val="RCTstable"/>
              <w:keepNext/>
            </w:pPr>
            <w:r>
              <w:t>Low</w:t>
            </w:r>
            <w:r w:rsidRPr="00C12274">
              <w:t xml:space="preserve"> risk</w:t>
            </w:r>
          </w:p>
        </w:tc>
        <w:tc>
          <w:tcPr>
            <w:tcW w:w="11199" w:type="dxa"/>
            <w:vMerge w:val="restart"/>
            <w:shd w:val="clear" w:color="D9E2F3" w:themeColor="accent1" w:themeTint="33" w:fill="auto"/>
          </w:tcPr>
          <w:p w14:paraId="3B5E03A9" w14:textId="691FD6C6" w:rsidR="005048BC" w:rsidRPr="004D6F45" w:rsidRDefault="00BB0F9E" w:rsidP="00BB0F9E">
            <w:pPr>
              <w:pStyle w:val="RCTstable"/>
            </w:pPr>
            <w:r w:rsidRPr="000F78AC">
              <w:t>The staff responsible</w:t>
            </w:r>
            <w:r>
              <w:t xml:space="preserve"> </w:t>
            </w:r>
            <w:r w:rsidR="0094051F">
              <w:t>for enrol</w:t>
            </w:r>
            <w:r w:rsidRPr="000F78AC">
              <w:t>ment of participants, study visits,</w:t>
            </w:r>
            <w:r>
              <w:t xml:space="preserve"> </w:t>
            </w:r>
            <w:r w:rsidRPr="000F78AC">
              <w:t>and assessing outcomes remained</w:t>
            </w:r>
            <w:r>
              <w:t xml:space="preserve"> </w:t>
            </w:r>
            <w:r w:rsidRPr="000F78AC">
              <w:t>blinded to the intervention, as were</w:t>
            </w:r>
            <w:r>
              <w:t xml:space="preserve"> </w:t>
            </w:r>
            <w:r w:rsidRPr="000F78AC">
              <w:t>the participants.</w:t>
            </w:r>
          </w:p>
        </w:tc>
      </w:tr>
      <w:tr w:rsidR="005048BC" w:rsidRPr="00822EBF" w14:paraId="5999282D" w14:textId="77777777" w:rsidTr="00513E14">
        <w:trPr>
          <w:cantSplit/>
        </w:trPr>
        <w:tc>
          <w:tcPr>
            <w:tcW w:w="1560" w:type="dxa"/>
            <w:shd w:val="clear" w:color="D9E2F3" w:themeColor="accent1" w:themeTint="33" w:fill="auto"/>
          </w:tcPr>
          <w:p w14:paraId="6613B32C" w14:textId="77777777" w:rsidR="005048BC" w:rsidRPr="00822EBF" w:rsidRDefault="005048BC" w:rsidP="00513E14">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1CCD8A36" w14:textId="77777777" w:rsidR="005048BC" w:rsidRPr="00822EBF" w:rsidRDefault="005048BC" w:rsidP="00513E14">
            <w:pPr>
              <w:pStyle w:val="RCTstable"/>
            </w:pPr>
            <w:r>
              <w:t>Low</w:t>
            </w:r>
            <w:r w:rsidRPr="00822EBF">
              <w:t xml:space="preserve"> risk</w:t>
            </w:r>
          </w:p>
        </w:tc>
        <w:tc>
          <w:tcPr>
            <w:tcW w:w="11199" w:type="dxa"/>
            <w:vMerge/>
            <w:shd w:val="clear" w:color="D9E2F3" w:themeColor="accent1" w:themeTint="33" w:fill="auto"/>
          </w:tcPr>
          <w:p w14:paraId="143BEA53" w14:textId="77777777" w:rsidR="005048BC" w:rsidRPr="001969C3" w:rsidRDefault="005048BC" w:rsidP="00513E14">
            <w:pPr>
              <w:pStyle w:val="RCTstable"/>
            </w:pPr>
          </w:p>
        </w:tc>
      </w:tr>
      <w:tr w:rsidR="005048BC" w:rsidRPr="00C12274" w14:paraId="627C68AF" w14:textId="77777777" w:rsidTr="00513E14">
        <w:trPr>
          <w:cantSplit/>
        </w:trPr>
        <w:tc>
          <w:tcPr>
            <w:tcW w:w="1560" w:type="dxa"/>
            <w:shd w:val="clear" w:color="D9E2F3" w:themeColor="accent1" w:themeTint="33" w:fill="auto"/>
          </w:tcPr>
          <w:p w14:paraId="63A71EC3" w14:textId="77777777" w:rsidR="005048BC" w:rsidRPr="00C12274" w:rsidRDefault="005048BC" w:rsidP="00513E14">
            <w:pPr>
              <w:pStyle w:val="RCTstable"/>
              <w:keepNext/>
            </w:pPr>
            <w:r w:rsidRPr="00C12274">
              <w:t>Incomplete outcome data</w:t>
            </w:r>
          </w:p>
        </w:tc>
        <w:tc>
          <w:tcPr>
            <w:tcW w:w="1275" w:type="dxa"/>
            <w:shd w:val="clear" w:color="D9E2F3" w:themeColor="accent1" w:themeTint="33" w:fill="70AD47" w:themeFill="accent6"/>
          </w:tcPr>
          <w:p w14:paraId="1D540592" w14:textId="77777777" w:rsidR="005048BC" w:rsidRPr="00C12274" w:rsidRDefault="005048BC" w:rsidP="00513E14">
            <w:pPr>
              <w:pStyle w:val="RCTstable"/>
              <w:keepNext/>
            </w:pPr>
            <w:r>
              <w:t>Low</w:t>
            </w:r>
            <w:r w:rsidRPr="00C12274">
              <w:t xml:space="preserve"> risk</w:t>
            </w:r>
          </w:p>
        </w:tc>
        <w:tc>
          <w:tcPr>
            <w:tcW w:w="11199" w:type="dxa"/>
            <w:shd w:val="clear" w:color="D9E2F3" w:themeColor="accent1" w:themeTint="33" w:fill="auto"/>
          </w:tcPr>
          <w:p w14:paraId="3B6666A4" w14:textId="77777777" w:rsidR="005048BC" w:rsidRPr="000B09FE" w:rsidRDefault="005048BC" w:rsidP="00513E14">
            <w:pPr>
              <w:pStyle w:val="RCTstable"/>
            </w:pPr>
            <w:r>
              <w:t>Reasons for loss to follow-up reported and similar attrition between groups.</w:t>
            </w:r>
          </w:p>
        </w:tc>
      </w:tr>
      <w:tr w:rsidR="005048BC" w:rsidRPr="00C12274" w14:paraId="4F6ACBCE" w14:textId="77777777" w:rsidTr="00513E14">
        <w:trPr>
          <w:cantSplit/>
        </w:trPr>
        <w:tc>
          <w:tcPr>
            <w:tcW w:w="1560" w:type="dxa"/>
            <w:shd w:val="clear" w:color="D9E2F3" w:themeColor="accent1" w:themeTint="33" w:fill="auto"/>
          </w:tcPr>
          <w:p w14:paraId="59C8E9E0" w14:textId="77777777" w:rsidR="005048BC" w:rsidRPr="00C12274" w:rsidRDefault="005048BC" w:rsidP="00513E14">
            <w:pPr>
              <w:pStyle w:val="RCTstable"/>
            </w:pPr>
            <w:r w:rsidRPr="00C12274">
              <w:t>Selective reporting</w:t>
            </w:r>
          </w:p>
        </w:tc>
        <w:tc>
          <w:tcPr>
            <w:tcW w:w="1275" w:type="dxa"/>
            <w:shd w:val="clear" w:color="D9E2F3" w:themeColor="accent1" w:themeTint="33" w:fill="70AD47" w:themeFill="accent6"/>
          </w:tcPr>
          <w:p w14:paraId="0BC10A39" w14:textId="77777777" w:rsidR="005048BC" w:rsidRPr="00C12274" w:rsidRDefault="005048BC" w:rsidP="00513E14">
            <w:pPr>
              <w:pStyle w:val="RCTstable"/>
            </w:pPr>
            <w:r>
              <w:t>Low</w:t>
            </w:r>
            <w:r w:rsidRPr="00C12274">
              <w:t xml:space="preserve"> risk</w:t>
            </w:r>
          </w:p>
        </w:tc>
        <w:tc>
          <w:tcPr>
            <w:tcW w:w="11199" w:type="dxa"/>
            <w:shd w:val="clear" w:color="D9E2F3" w:themeColor="accent1" w:themeTint="33" w:fill="auto"/>
          </w:tcPr>
          <w:p w14:paraId="07B1EA01" w14:textId="77777777" w:rsidR="005048BC" w:rsidRPr="001969C3" w:rsidRDefault="005048BC" w:rsidP="00513E14">
            <w:pPr>
              <w:pStyle w:val="RCTstable"/>
            </w:pPr>
            <w:r>
              <w:t>Pre-specified outcomes reported.</w:t>
            </w:r>
          </w:p>
        </w:tc>
      </w:tr>
      <w:tr w:rsidR="005048BC" w:rsidRPr="00C12274" w14:paraId="78F14142" w14:textId="77777777" w:rsidTr="00513E14">
        <w:trPr>
          <w:cantSplit/>
        </w:trPr>
        <w:tc>
          <w:tcPr>
            <w:tcW w:w="1560" w:type="dxa"/>
            <w:shd w:val="clear" w:color="D9E2F3" w:themeColor="accent1" w:themeTint="33" w:fill="auto"/>
          </w:tcPr>
          <w:p w14:paraId="4F197474" w14:textId="77777777" w:rsidR="005048BC" w:rsidRPr="00C12274" w:rsidRDefault="005048BC" w:rsidP="00513E14">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1E955F15" w14:textId="77777777" w:rsidR="005048BC" w:rsidRPr="00C12274" w:rsidRDefault="005048BC" w:rsidP="00513E14">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636D7368" w14:textId="77777777" w:rsidR="005048BC" w:rsidRPr="001969C3" w:rsidRDefault="005048BC" w:rsidP="00513E14">
            <w:pPr>
              <w:pStyle w:val="RCTstable"/>
            </w:pPr>
            <w:r>
              <w:t>No significant difference between groups at baseline.</w:t>
            </w:r>
          </w:p>
        </w:tc>
      </w:tr>
      <w:tr w:rsidR="00DA2253" w:rsidRPr="006234EA" w14:paraId="34C576E8" w14:textId="77777777" w:rsidTr="00513E14">
        <w:trPr>
          <w:cantSplit/>
        </w:trPr>
        <w:tc>
          <w:tcPr>
            <w:tcW w:w="14034" w:type="dxa"/>
            <w:gridSpan w:val="3"/>
            <w:shd w:val="solid" w:color="D9E2F3" w:themeColor="accent1" w:themeTint="33" w:fill="auto"/>
          </w:tcPr>
          <w:p w14:paraId="258685BD" w14:textId="7DA7E9CE" w:rsidR="00DA2253" w:rsidRPr="00470354" w:rsidRDefault="00DA2253" w:rsidP="002747EA">
            <w:pPr>
              <w:pStyle w:val="Tablecell"/>
              <w:keepNext/>
              <w:spacing w:line="220" w:lineRule="exact"/>
              <w:rPr>
                <w:rFonts w:eastAsiaTheme="minorHAnsi"/>
                <w:b/>
                <w:sz w:val="16"/>
                <w:szCs w:val="16"/>
                <w:lang w:val="en-US"/>
              </w:rPr>
            </w:pPr>
            <w:r>
              <w:rPr>
                <w:rFonts w:eastAsiaTheme="minorHAnsi"/>
                <w:b/>
                <w:sz w:val="16"/>
                <w:szCs w:val="16"/>
                <w:lang w:val="en-US"/>
              </w:rPr>
              <w:t>Sharpe et al 2019</w:t>
            </w:r>
            <w:r w:rsidR="00AB21E2">
              <w:rPr>
                <w:rFonts w:eastAsiaTheme="minorHAnsi"/>
                <w:b/>
                <w:sz w:val="16"/>
                <w:szCs w:val="16"/>
                <w:lang w:val="en-US"/>
              </w:rPr>
              <w:fldChar w:fldCharType="begin"/>
            </w:r>
            <w:r w:rsidR="002747EA">
              <w:rPr>
                <w:rFonts w:eastAsiaTheme="minorHAnsi"/>
                <w:b/>
                <w:sz w:val="16"/>
                <w:szCs w:val="16"/>
                <w:lang w:val="en-US"/>
              </w:rPr>
              <w:instrText xml:space="preserve"> ADDIN EN.CITE &lt;EndNote&gt;&lt;Cite&gt;&lt;Author&gt;Sharpe&lt;/Author&gt;&lt;Year&gt;2019&lt;/Year&gt;&lt;RecNum&gt;1670&lt;/RecNum&gt;&lt;DisplayText&gt;&lt;style face="superscript" font="Trebuchet MS" size="9"&gt;234&lt;/style&gt;&lt;/DisplayText&gt;&lt;record&gt;&lt;rec-number&gt;1670&lt;/rec-number&gt;&lt;foreign-keys&gt;&lt;key app="EN" db-id="exvasrfx2dtraoesasxp2szsxa2df502592x" timestamp="1581312847"&gt;1670&lt;/key&gt;&lt;key app="ENWeb" db-id=""&gt;0&lt;/key&gt;&lt;/foreign-keys&gt;&lt;ref-type name="Journal Article"&gt;17&lt;/ref-type&gt;&lt;contributors&gt;&lt;authors&gt;&lt;author&gt;Sharpe, M.&lt;/author&gt;&lt;author&gt;Shah, V.&lt;/author&gt;&lt;author&gt;Freire-Lizama, T.&lt;/author&gt;&lt;author&gt;Cates, E. C.&lt;/author&gt;&lt;author&gt;McGrath, K.&lt;/author&gt;&lt;author&gt;David, I.&lt;/author&gt;&lt;author&gt;Cowan, S.&lt;/author&gt;&lt;author&gt;Letkeman, J.&lt;/author&gt;&lt;author&gt;Stewart-Wilson, E.&lt;/author&gt;&lt;/authors&gt;&lt;/contributors&gt;&lt;auth-address&gt;a Midwifery Education Program, Ryerson University , Toronto , Canada.&amp;#xD;b Department of Pediatrics, Mount Sinai Hospital , Toronto , Canada.&amp;#xD;c Department of Obstetrics and Gynecology, St. Michael&amp;apos;s Hospital , Toronto , Canada.&amp;#xD;d Department of Psychology, Ryerson University , Toronto , Canada.&lt;/auth-address&gt;&lt;titles&gt;&lt;title&gt;Effectiveness of oral intake of Lactobacillus rhamnosus GR-1 and Lactobacillus reuteri RC-14 on Group B Streptococcus colonization during pregnancy: a midwifery-led double-blind randomized controlled pilot trial&lt;/title&gt;&lt;secondary-title&gt;J Matern Fetal Neonatal Med&lt;/secondary-title&gt;&lt;/titles&gt;&lt;periodical&gt;&lt;full-title&gt;J Matern Fetal Neonatal Med&lt;/full-title&gt;&lt;/periodical&gt;&lt;pages&gt;1-8&lt;/pages&gt;&lt;edition&gt;2019/08/01&lt;/edition&gt;&lt;keywords&gt;&lt;keyword&gt;Clinical trial&lt;/keyword&gt;&lt;keyword&gt;group B Streptococcus&lt;/keyword&gt;&lt;keyword&gt;midwifery&lt;/keyword&gt;&lt;keyword&gt;pregnancy&lt;/keyword&gt;&lt;keyword&gt;probiotics&lt;/keyword&gt;&lt;/keywords&gt;&lt;dates&gt;&lt;year&gt;2019&lt;/year&gt;&lt;pub-dates&gt;&lt;date&gt;Aug 13&lt;/date&gt;&lt;/pub-dates&gt;&lt;/dates&gt;&lt;isbn&gt;1476-4954 (Electronic)&amp;#xD;1476-4954 (Linking)&lt;/isbn&gt;&lt;accession-num&gt;31362572&lt;/accession-num&gt;&lt;urls&gt;&lt;related-urls&gt;&lt;url&gt;https://www.ncbi.nlm.nih.gov/pubmed/31362572&lt;/url&gt;&lt;/related-urls&gt;&lt;/urls&gt;&lt;electronic-resource-num&gt;10.1080/14767058.2019.1650907&lt;/electronic-resource-num&gt;&lt;/record&gt;&lt;/Cite&gt;&lt;/EndNote&gt;</w:instrText>
            </w:r>
            <w:r w:rsidR="00AB21E2">
              <w:rPr>
                <w:rFonts w:eastAsiaTheme="minorHAnsi"/>
                <w:b/>
                <w:sz w:val="16"/>
                <w:szCs w:val="16"/>
                <w:lang w:val="en-US"/>
              </w:rPr>
              <w:fldChar w:fldCharType="separate"/>
            </w:r>
            <w:r w:rsidR="002747EA" w:rsidRPr="002747EA">
              <w:rPr>
                <w:rFonts w:eastAsiaTheme="minorHAnsi"/>
                <w:b/>
                <w:noProof/>
                <w:szCs w:val="16"/>
                <w:vertAlign w:val="superscript"/>
                <w:lang w:val="en-US"/>
              </w:rPr>
              <w:t>234</w:t>
            </w:r>
            <w:r w:rsidR="00AB21E2">
              <w:rPr>
                <w:rFonts w:eastAsiaTheme="minorHAnsi"/>
                <w:b/>
                <w:sz w:val="16"/>
                <w:szCs w:val="16"/>
                <w:lang w:val="en-US"/>
              </w:rPr>
              <w:fldChar w:fldCharType="end"/>
            </w:r>
          </w:p>
        </w:tc>
      </w:tr>
      <w:tr w:rsidR="00DA2253" w:rsidRPr="00C12274" w14:paraId="53C43BBA" w14:textId="77777777" w:rsidTr="00513E14">
        <w:trPr>
          <w:cantSplit/>
        </w:trPr>
        <w:tc>
          <w:tcPr>
            <w:tcW w:w="1560" w:type="dxa"/>
            <w:shd w:val="clear" w:color="D9E2F3" w:themeColor="accent1" w:themeTint="33" w:fill="auto"/>
          </w:tcPr>
          <w:p w14:paraId="166F748E" w14:textId="77777777" w:rsidR="00DA2253" w:rsidRPr="00C12274" w:rsidRDefault="00DA2253" w:rsidP="00513E14">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4CD72FFF" w14:textId="77777777" w:rsidR="00DA2253" w:rsidRPr="00C12274" w:rsidRDefault="00DA2253" w:rsidP="00513E14">
            <w:pPr>
              <w:pStyle w:val="RCTstable"/>
              <w:keepNext/>
            </w:pPr>
            <w:r>
              <w:t>Low</w:t>
            </w:r>
            <w:r w:rsidRPr="00C12274">
              <w:t xml:space="preserve"> risk</w:t>
            </w:r>
          </w:p>
        </w:tc>
        <w:tc>
          <w:tcPr>
            <w:tcW w:w="11199" w:type="dxa"/>
            <w:shd w:val="clear" w:color="D9E2F3" w:themeColor="accent1" w:themeTint="33" w:fill="auto"/>
          </w:tcPr>
          <w:p w14:paraId="76591D41" w14:textId="07CB7F5B" w:rsidR="00DA2253" w:rsidRPr="0024060E" w:rsidRDefault="00DA2253" w:rsidP="00DA2253">
            <w:pPr>
              <w:pStyle w:val="RCTstable"/>
            </w:pPr>
            <w:r>
              <w:t>Randomis</w:t>
            </w:r>
            <w:r w:rsidRPr="00074D46">
              <w:t>ation was conducted by an independent</w:t>
            </w:r>
            <w:r>
              <w:t xml:space="preserve"> </w:t>
            </w:r>
            <w:r w:rsidRPr="00074D46">
              <w:t>statistician at Ryerson University using a computer</w:t>
            </w:r>
            <w:r>
              <w:t>-</w:t>
            </w:r>
            <w:r w:rsidRPr="00074D46">
              <w:t>generated</w:t>
            </w:r>
            <w:r>
              <w:t xml:space="preserve"> </w:t>
            </w:r>
            <w:r w:rsidRPr="00074D46">
              <w:t>schedule at random.org and an allocation</w:t>
            </w:r>
            <w:r>
              <w:t xml:space="preserve"> </w:t>
            </w:r>
            <w:r w:rsidRPr="00074D46">
              <w:t>ratio of 1:1 and each of the 19 participating practices</w:t>
            </w:r>
            <w:r>
              <w:t xml:space="preserve"> </w:t>
            </w:r>
            <w:r w:rsidRPr="00074D46">
              <w:t>received</w:t>
            </w:r>
            <w:r w:rsidR="00AC4307">
              <w:t xml:space="preserve"> a different list of 10 randomis</w:t>
            </w:r>
            <w:r w:rsidRPr="00074D46">
              <w:t xml:space="preserve">ed numbers. </w:t>
            </w:r>
          </w:p>
        </w:tc>
      </w:tr>
      <w:tr w:rsidR="00DA2253" w:rsidRPr="00C12274" w14:paraId="050003EC" w14:textId="77777777" w:rsidTr="00513E14">
        <w:trPr>
          <w:cantSplit/>
        </w:trPr>
        <w:tc>
          <w:tcPr>
            <w:tcW w:w="1560" w:type="dxa"/>
            <w:shd w:val="clear" w:color="D9E2F3" w:themeColor="accent1" w:themeTint="33" w:fill="auto"/>
          </w:tcPr>
          <w:p w14:paraId="2A3424D0" w14:textId="77777777" w:rsidR="00DA2253" w:rsidRPr="00C12274" w:rsidRDefault="00DA2253" w:rsidP="00513E14">
            <w:pPr>
              <w:pStyle w:val="RCTstable"/>
              <w:keepNext/>
            </w:pPr>
            <w:r w:rsidRPr="00C12274">
              <w:t xml:space="preserve">Allocation concealment </w:t>
            </w:r>
          </w:p>
        </w:tc>
        <w:tc>
          <w:tcPr>
            <w:tcW w:w="1275" w:type="dxa"/>
            <w:tcBorders>
              <w:bottom w:val="single" w:sz="4" w:space="0" w:color="auto"/>
            </w:tcBorders>
            <w:shd w:val="clear" w:color="D9E2F3" w:themeColor="accent1" w:themeTint="33" w:fill="70AD47" w:themeFill="accent6"/>
          </w:tcPr>
          <w:p w14:paraId="2D751C07" w14:textId="77777777" w:rsidR="00DA2253" w:rsidRPr="00C12274" w:rsidRDefault="00DA2253" w:rsidP="00513E14">
            <w:pPr>
              <w:pStyle w:val="RCTstable"/>
              <w:keepNext/>
            </w:pPr>
            <w:r>
              <w:t>Low</w:t>
            </w:r>
            <w:r w:rsidRPr="00C12274">
              <w:t xml:space="preserve"> risk</w:t>
            </w:r>
          </w:p>
        </w:tc>
        <w:tc>
          <w:tcPr>
            <w:tcW w:w="11199" w:type="dxa"/>
            <w:shd w:val="clear" w:color="D9E2F3" w:themeColor="accent1" w:themeTint="33" w:fill="auto"/>
          </w:tcPr>
          <w:p w14:paraId="00C0F191" w14:textId="60E24FE3" w:rsidR="00DA2253" w:rsidRPr="006653FF" w:rsidRDefault="00DA2253" w:rsidP="00513E14">
            <w:pPr>
              <w:pStyle w:val="RCTstable"/>
            </w:pPr>
            <w:r w:rsidRPr="00074D46">
              <w:t>At</w:t>
            </w:r>
            <w:r>
              <w:t xml:space="preserve"> </w:t>
            </w:r>
            <w:r w:rsidRPr="00074D46">
              <w:t>each clinic, the midwife treating each eligible and consenting</w:t>
            </w:r>
            <w:r>
              <w:t xml:space="preserve"> </w:t>
            </w:r>
            <w:r w:rsidRPr="00074D46">
              <w:t>client assigned the next available sequentially</w:t>
            </w:r>
            <w:r>
              <w:t xml:space="preserve"> </w:t>
            </w:r>
            <w:r w:rsidRPr="00074D46">
              <w:t>numbered capsule container.</w:t>
            </w:r>
          </w:p>
        </w:tc>
      </w:tr>
      <w:tr w:rsidR="00DA2253" w:rsidRPr="00C12274" w14:paraId="73947644" w14:textId="77777777" w:rsidTr="00513E14">
        <w:trPr>
          <w:cantSplit/>
          <w:trHeight w:val="291"/>
        </w:trPr>
        <w:tc>
          <w:tcPr>
            <w:tcW w:w="1560" w:type="dxa"/>
            <w:shd w:val="clear" w:color="D9E2F3" w:themeColor="accent1" w:themeTint="33" w:fill="auto"/>
          </w:tcPr>
          <w:p w14:paraId="6CA329B5" w14:textId="77777777" w:rsidR="00DA2253" w:rsidRPr="00C12274" w:rsidRDefault="00DA2253" w:rsidP="00513E14">
            <w:pPr>
              <w:pStyle w:val="RCTstable"/>
              <w:keepNext/>
            </w:pPr>
            <w:r>
              <w:t>Performance bias</w:t>
            </w:r>
          </w:p>
        </w:tc>
        <w:tc>
          <w:tcPr>
            <w:tcW w:w="1275" w:type="dxa"/>
            <w:tcBorders>
              <w:bottom w:val="single" w:sz="4" w:space="0" w:color="auto"/>
            </w:tcBorders>
            <w:shd w:val="clear" w:color="D9E2F3" w:themeColor="accent1" w:themeTint="33" w:fill="70AD47" w:themeFill="accent6"/>
          </w:tcPr>
          <w:p w14:paraId="4A83FA33" w14:textId="77777777" w:rsidR="00DA2253" w:rsidRPr="00C12274" w:rsidRDefault="00DA2253" w:rsidP="00513E14">
            <w:pPr>
              <w:pStyle w:val="RCTstable"/>
              <w:keepNext/>
            </w:pPr>
            <w:r>
              <w:t>Low</w:t>
            </w:r>
            <w:r w:rsidRPr="00C12274">
              <w:t xml:space="preserve"> risk</w:t>
            </w:r>
          </w:p>
        </w:tc>
        <w:tc>
          <w:tcPr>
            <w:tcW w:w="11199" w:type="dxa"/>
            <w:vMerge w:val="restart"/>
            <w:shd w:val="clear" w:color="D9E2F3" w:themeColor="accent1" w:themeTint="33" w:fill="auto"/>
          </w:tcPr>
          <w:p w14:paraId="44225144" w14:textId="5D3B0F8C" w:rsidR="00DA2253" w:rsidRPr="004D6F45" w:rsidRDefault="00DA2253" w:rsidP="00513E14">
            <w:pPr>
              <w:pStyle w:val="RCTstable"/>
            </w:pPr>
            <w:r w:rsidRPr="00074D46">
              <w:t>The researchers, practice</w:t>
            </w:r>
            <w:r>
              <w:t xml:space="preserve"> research collaborators</w:t>
            </w:r>
            <w:r w:rsidRPr="00074D46">
              <w:t>, midwives, and participants</w:t>
            </w:r>
            <w:r>
              <w:t xml:space="preserve"> </w:t>
            </w:r>
            <w:r w:rsidRPr="00074D46">
              <w:t>were blinded to study allocation.</w:t>
            </w:r>
          </w:p>
        </w:tc>
      </w:tr>
      <w:tr w:rsidR="00DA2253" w:rsidRPr="00822EBF" w14:paraId="751AF0CB" w14:textId="77777777" w:rsidTr="00513E14">
        <w:trPr>
          <w:cantSplit/>
        </w:trPr>
        <w:tc>
          <w:tcPr>
            <w:tcW w:w="1560" w:type="dxa"/>
            <w:shd w:val="clear" w:color="D9E2F3" w:themeColor="accent1" w:themeTint="33" w:fill="auto"/>
          </w:tcPr>
          <w:p w14:paraId="218A035E" w14:textId="77777777" w:rsidR="00DA2253" w:rsidRPr="00822EBF" w:rsidRDefault="00DA2253" w:rsidP="00513E14">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46AFFFF2" w14:textId="77777777" w:rsidR="00DA2253" w:rsidRPr="00822EBF" w:rsidRDefault="00DA2253" w:rsidP="00513E14">
            <w:pPr>
              <w:pStyle w:val="RCTstable"/>
            </w:pPr>
            <w:r>
              <w:t>Low</w:t>
            </w:r>
            <w:r w:rsidRPr="00822EBF">
              <w:t xml:space="preserve"> risk</w:t>
            </w:r>
          </w:p>
        </w:tc>
        <w:tc>
          <w:tcPr>
            <w:tcW w:w="11199" w:type="dxa"/>
            <w:vMerge/>
            <w:shd w:val="clear" w:color="D9E2F3" w:themeColor="accent1" w:themeTint="33" w:fill="auto"/>
          </w:tcPr>
          <w:p w14:paraId="68FAB5BD" w14:textId="77777777" w:rsidR="00DA2253" w:rsidRPr="001969C3" w:rsidRDefault="00DA2253" w:rsidP="00513E14">
            <w:pPr>
              <w:pStyle w:val="RCTstable"/>
            </w:pPr>
          </w:p>
        </w:tc>
      </w:tr>
      <w:tr w:rsidR="00DA2253" w:rsidRPr="00C12274" w14:paraId="01108C38" w14:textId="77777777" w:rsidTr="00513E14">
        <w:trPr>
          <w:cantSplit/>
        </w:trPr>
        <w:tc>
          <w:tcPr>
            <w:tcW w:w="1560" w:type="dxa"/>
            <w:shd w:val="clear" w:color="D9E2F3" w:themeColor="accent1" w:themeTint="33" w:fill="auto"/>
          </w:tcPr>
          <w:p w14:paraId="2594937C" w14:textId="77777777" w:rsidR="00DA2253" w:rsidRPr="00C12274" w:rsidRDefault="00DA2253" w:rsidP="00513E14">
            <w:pPr>
              <w:pStyle w:val="RCTstable"/>
              <w:keepNext/>
            </w:pPr>
            <w:r w:rsidRPr="00C12274">
              <w:t>Incomplete outcome data</w:t>
            </w:r>
          </w:p>
        </w:tc>
        <w:tc>
          <w:tcPr>
            <w:tcW w:w="1275" w:type="dxa"/>
            <w:shd w:val="clear" w:color="D9E2F3" w:themeColor="accent1" w:themeTint="33" w:fill="70AD47" w:themeFill="accent6"/>
          </w:tcPr>
          <w:p w14:paraId="4FEAB9B6" w14:textId="77777777" w:rsidR="00DA2253" w:rsidRPr="00C12274" w:rsidRDefault="00DA2253" w:rsidP="00513E14">
            <w:pPr>
              <w:pStyle w:val="RCTstable"/>
              <w:keepNext/>
            </w:pPr>
            <w:r>
              <w:t>Low</w:t>
            </w:r>
            <w:r w:rsidRPr="00C12274">
              <w:t xml:space="preserve"> risk</w:t>
            </w:r>
          </w:p>
        </w:tc>
        <w:tc>
          <w:tcPr>
            <w:tcW w:w="11199" w:type="dxa"/>
            <w:shd w:val="clear" w:color="D9E2F3" w:themeColor="accent1" w:themeTint="33" w:fill="auto"/>
          </w:tcPr>
          <w:p w14:paraId="7AE367C3" w14:textId="77777777" w:rsidR="00DA2253" w:rsidRPr="000B09FE" w:rsidRDefault="00DA2253" w:rsidP="00513E14">
            <w:pPr>
              <w:pStyle w:val="RCTstable"/>
            </w:pPr>
            <w:r>
              <w:t>Reasons for loss to follow-up reported and similar attrition between groups.</w:t>
            </w:r>
          </w:p>
        </w:tc>
      </w:tr>
      <w:tr w:rsidR="00DA2253" w:rsidRPr="00C12274" w14:paraId="09061DA1" w14:textId="77777777" w:rsidTr="00FA32CC">
        <w:trPr>
          <w:cantSplit/>
        </w:trPr>
        <w:tc>
          <w:tcPr>
            <w:tcW w:w="1560" w:type="dxa"/>
            <w:shd w:val="clear" w:color="D9E2F3" w:themeColor="accent1" w:themeTint="33" w:fill="auto"/>
          </w:tcPr>
          <w:p w14:paraId="72DFF4DE" w14:textId="77777777" w:rsidR="00DA2253" w:rsidRPr="00C12274" w:rsidRDefault="00DA2253" w:rsidP="00513E14">
            <w:pPr>
              <w:pStyle w:val="RCTstable"/>
            </w:pPr>
            <w:r w:rsidRPr="00C12274">
              <w:t>Selective reporting</w:t>
            </w:r>
          </w:p>
        </w:tc>
        <w:tc>
          <w:tcPr>
            <w:tcW w:w="1275" w:type="dxa"/>
            <w:tcBorders>
              <w:bottom w:val="single" w:sz="4" w:space="0" w:color="auto"/>
            </w:tcBorders>
            <w:shd w:val="clear" w:color="D9E2F3" w:themeColor="accent1" w:themeTint="33" w:fill="70AD47" w:themeFill="accent6"/>
          </w:tcPr>
          <w:p w14:paraId="14C1CF28" w14:textId="77777777" w:rsidR="00DA2253" w:rsidRPr="00C12274" w:rsidRDefault="00DA2253" w:rsidP="00513E14">
            <w:pPr>
              <w:pStyle w:val="RCTstable"/>
            </w:pPr>
            <w:r>
              <w:t>Low</w:t>
            </w:r>
            <w:r w:rsidRPr="00C12274">
              <w:t xml:space="preserve"> risk</w:t>
            </w:r>
          </w:p>
        </w:tc>
        <w:tc>
          <w:tcPr>
            <w:tcW w:w="11199" w:type="dxa"/>
            <w:shd w:val="clear" w:color="D9E2F3" w:themeColor="accent1" w:themeTint="33" w:fill="auto"/>
          </w:tcPr>
          <w:p w14:paraId="6A34DCC3" w14:textId="77777777" w:rsidR="00DA2253" w:rsidRPr="001969C3" w:rsidRDefault="00DA2253" w:rsidP="00513E14">
            <w:pPr>
              <w:pStyle w:val="RCTstable"/>
            </w:pPr>
            <w:r>
              <w:t>Pre-specified outcomes reported.</w:t>
            </w:r>
          </w:p>
        </w:tc>
      </w:tr>
      <w:tr w:rsidR="00DA2253" w:rsidRPr="00C12274" w14:paraId="15ECB027" w14:textId="77777777" w:rsidTr="00FA32CC">
        <w:trPr>
          <w:cantSplit/>
        </w:trPr>
        <w:tc>
          <w:tcPr>
            <w:tcW w:w="1560" w:type="dxa"/>
            <w:shd w:val="clear" w:color="D9E2F3" w:themeColor="accent1" w:themeTint="33" w:fill="auto"/>
          </w:tcPr>
          <w:p w14:paraId="4AAB5579" w14:textId="77777777" w:rsidR="00DA2253" w:rsidRPr="00C12274" w:rsidRDefault="00DA2253" w:rsidP="00513E14">
            <w:pPr>
              <w:pStyle w:val="RCTstable"/>
              <w:rPr>
                <w:lang w:val="en-US"/>
              </w:rPr>
            </w:pPr>
            <w:r w:rsidRPr="00C12274">
              <w:rPr>
                <w:lang w:val="en-US"/>
              </w:rPr>
              <w:t xml:space="preserve">Other limitations </w:t>
            </w:r>
          </w:p>
        </w:tc>
        <w:tc>
          <w:tcPr>
            <w:tcW w:w="1275" w:type="dxa"/>
            <w:shd w:val="clear" w:color="D9E2F3" w:themeColor="accent1" w:themeTint="33" w:fill="FFC000" w:themeFill="accent4"/>
          </w:tcPr>
          <w:p w14:paraId="29FACE56" w14:textId="795BCA58" w:rsidR="00DA2253" w:rsidRPr="00C12274" w:rsidRDefault="00FA32CC" w:rsidP="00513E14">
            <w:pPr>
              <w:pStyle w:val="RCTstable"/>
              <w:rPr>
                <w:lang w:val="en-US"/>
              </w:rPr>
            </w:pPr>
            <w:r>
              <w:rPr>
                <w:lang w:val="en-US"/>
              </w:rPr>
              <w:t>Unclear</w:t>
            </w:r>
            <w:r w:rsidR="00DA2253" w:rsidRPr="00C12274">
              <w:rPr>
                <w:lang w:val="en-US"/>
              </w:rPr>
              <w:t xml:space="preserve"> risk</w:t>
            </w:r>
          </w:p>
        </w:tc>
        <w:tc>
          <w:tcPr>
            <w:tcW w:w="11199" w:type="dxa"/>
            <w:shd w:val="clear" w:color="D9E2F3" w:themeColor="accent1" w:themeTint="33" w:fill="auto"/>
          </w:tcPr>
          <w:p w14:paraId="15CA88BE" w14:textId="54DFA225" w:rsidR="00DA2253" w:rsidRPr="001969C3" w:rsidRDefault="00941E93" w:rsidP="00513E14">
            <w:pPr>
              <w:pStyle w:val="RCTstable"/>
            </w:pPr>
            <w:r>
              <w:t xml:space="preserve">The </w:t>
            </w:r>
            <w:r w:rsidR="00FA32CC">
              <w:t>gestational age at birth was sign</w:t>
            </w:r>
            <w:r w:rsidR="00D97C4C">
              <w:t>ificantly higher in the probioti</w:t>
            </w:r>
            <w:r w:rsidR="00FA32CC">
              <w:t>c group than the placebo group (p=0.01).</w:t>
            </w:r>
          </w:p>
        </w:tc>
      </w:tr>
    </w:tbl>
    <w:p w14:paraId="29F6173A" w14:textId="77777777" w:rsidR="008000F6" w:rsidRPr="008000F6" w:rsidRDefault="008000F6" w:rsidP="008000F6">
      <w:pPr>
        <w:rPr>
          <w:lang w:val="en"/>
        </w:rPr>
      </w:pPr>
    </w:p>
    <w:p w14:paraId="2599605F" w14:textId="77777777" w:rsidR="00A12831" w:rsidRDefault="00A12831" w:rsidP="008E765F">
      <w:pPr>
        <w:pStyle w:val="Heading3"/>
        <w:numPr>
          <w:ilvl w:val="0"/>
          <w:numId w:val="0"/>
        </w:numPr>
        <w:rPr>
          <w:lang w:val="en"/>
        </w:rPr>
      </w:pPr>
      <w:bookmarkStart w:id="269" w:name="_Toc40956560"/>
      <w:r>
        <w:rPr>
          <w:lang w:val="en"/>
        </w:rPr>
        <w:t>Weight assessment studies</w:t>
      </w:r>
      <w:bookmarkEnd w:id="269"/>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9E2F3" w:themeColor="accent1" w:themeTint="33" w:fill="auto"/>
        <w:tblLayout w:type="fixed"/>
        <w:tblLook w:val="0000" w:firstRow="0" w:lastRow="0" w:firstColumn="0" w:lastColumn="0" w:noHBand="0" w:noVBand="0"/>
      </w:tblPr>
      <w:tblGrid>
        <w:gridCol w:w="1560"/>
        <w:gridCol w:w="1275"/>
        <w:gridCol w:w="11199"/>
      </w:tblGrid>
      <w:tr w:rsidR="00A12831" w:rsidRPr="00C12274" w14:paraId="64C521D6" w14:textId="77777777" w:rsidTr="00AB6A13">
        <w:trPr>
          <w:trHeight w:val="99"/>
          <w:tblHeader/>
        </w:trPr>
        <w:tc>
          <w:tcPr>
            <w:tcW w:w="1560" w:type="dxa"/>
            <w:shd w:val="solid" w:color="2F5496" w:themeColor="accent1" w:themeShade="BF" w:fill="auto"/>
          </w:tcPr>
          <w:p w14:paraId="0E52432F" w14:textId="77777777" w:rsidR="00A12831" w:rsidRPr="00C12274" w:rsidRDefault="00A12831" w:rsidP="00AB6A13">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 xml:space="preserve">Study limitation </w:t>
            </w:r>
          </w:p>
        </w:tc>
        <w:tc>
          <w:tcPr>
            <w:tcW w:w="1275" w:type="dxa"/>
            <w:shd w:val="solid" w:color="2F5496" w:themeColor="accent1" w:themeShade="BF" w:fill="auto"/>
          </w:tcPr>
          <w:p w14:paraId="04E82058" w14:textId="77777777" w:rsidR="00A12831" w:rsidRPr="00C12274" w:rsidRDefault="00A12831" w:rsidP="00AB6A13">
            <w:pPr>
              <w:pStyle w:val="Tablecell"/>
              <w:keepNext/>
              <w:jc w:val="center"/>
              <w:rPr>
                <w:rFonts w:eastAsiaTheme="minorHAnsi"/>
                <w:b/>
                <w:color w:val="FFFFFF" w:themeColor="background1"/>
                <w:sz w:val="16"/>
                <w:lang w:val="en-US"/>
              </w:rPr>
            </w:pPr>
            <w:r w:rsidRPr="00C12274">
              <w:rPr>
                <w:rFonts w:eastAsiaTheme="minorHAnsi"/>
                <w:b/>
                <w:color w:val="FFFFFF" w:themeColor="background1"/>
                <w:sz w:val="16"/>
                <w:lang w:val="en-US"/>
              </w:rPr>
              <w:t>Judgement</w:t>
            </w:r>
          </w:p>
        </w:tc>
        <w:tc>
          <w:tcPr>
            <w:tcW w:w="11199" w:type="dxa"/>
            <w:shd w:val="solid" w:color="2F5496" w:themeColor="accent1" w:themeShade="BF" w:fill="auto"/>
          </w:tcPr>
          <w:p w14:paraId="582D8145" w14:textId="77777777" w:rsidR="00A12831" w:rsidRPr="00C12274" w:rsidRDefault="00A12831" w:rsidP="00AB6A13">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Support for judgement</w:t>
            </w:r>
          </w:p>
        </w:tc>
      </w:tr>
      <w:tr w:rsidR="00240673" w:rsidRPr="006234EA" w14:paraId="414726EA" w14:textId="77777777" w:rsidTr="00AB6A13">
        <w:trPr>
          <w:cantSplit/>
        </w:trPr>
        <w:tc>
          <w:tcPr>
            <w:tcW w:w="14034" w:type="dxa"/>
            <w:gridSpan w:val="3"/>
            <w:shd w:val="solid" w:color="D9E2F3" w:themeColor="accent1" w:themeTint="33" w:fill="auto"/>
          </w:tcPr>
          <w:p w14:paraId="3ACC0E23" w14:textId="48B134E7" w:rsidR="00240673" w:rsidRPr="00470354" w:rsidRDefault="00240673" w:rsidP="001A2F28">
            <w:pPr>
              <w:pStyle w:val="Tablecell"/>
              <w:keepNext/>
              <w:spacing w:line="220" w:lineRule="exact"/>
              <w:rPr>
                <w:rFonts w:eastAsiaTheme="minorHAnsi"/>
                <w:b/>
                <w:sz w:val="16"/>
                <w:szCs w:val="16"/>
                <w:lang w:val="en-US"/>
              </w:rPr>
            </w:pPr>
            <w:r w:rsidRPr="0077024A">
              <w:rPr>
                <w:b/>
                <w:sz w:val="16"/>
                <w:szCs w:val="16"/>
              </w:rPr>
              <w:t>Brownfoot et al 2016</w:t>
            </w:r>
            <w:r>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 </w:instrText>
            </w:r>
            <w:r w:rsidR="001A2F28">
              <w:fldChar w:fldCharType="begin">
                <w:fldData xml:space="preserve">PEVuZE5vdGU+PENpdGU+PEF1dGhvcj5Ccm93bmZvb3Q8L0F1dGhvcj48WWVhcj4yMDE2PC9ZZWFy
PjxSZWNOdW0+MTcwODwvUmVjTnVtPjxEaXNwbGF5VGV4dD48c3R5bGUgZmFjZT0ic3VwZXJzY3Jp
cHQiIGZvbnQ9IlRyZWJ1Y2hldCBNUyIgc2l6ZT0iOSI+MzgzPC9zdHlsZT48L0Rpc3BsYXlUZXh0
PjxyZWNvcmQ+PHJlYy1udW1iZXI+MTcwODwvcmVjLW51bWJlcj48Zm9yZWlnbi1rZXlzPjxrZXkg
YXBwPSJFTiIgZGItaWQ9ImV4dmFzcmZ4MmR0cmFvZXNhc3hwMnN6c3hhMmRmNTAyNTkyeCIgdGlt
ZXN0YW1wPSIxNTgyMDkyMTMxIj4xNzA4PC9rZXk+PC9mb3JlaWduLWtleXM+PHJlZi10eXBlIG5h
bWU9IkpvdXJuYWwgQXJ0aWNsZSI+MTc8L3JlZi10eXBlPjxjb250cmlidXRvcnM+PGF1dGhvcnM+
PGF1dGhvcj5Ccm93bmZvb3QsIEYuIEMuPC9hdXRob3I+PGF1dGhvcj5EYXZleSwgTS4gQS48L2F1
dGhvcj48YXV0aG9yPktvcm5tYW4sIEwuPC9hdXRob3I+PC9hdXRob3JzPjwvY29udHJpYnV0b3Jz
PjxhdXRoLWFkZHJlc3M+RGVwYXJ0bWVudCBvZiBPYnN0ZXRyaWNzIGFuZCBHeW5hZWNvbG9neSwg
Um95YWwgV29tZW4mYXBvcztzIEhvc3BpdGFsLCBUaGUgVW5pdmVyc2l0eSBvZiBNZWxib3VybmUs
IFBhcmt2aWxsZSwgVmljLiwgQXVzdHJhbGlhLiYjeEQ7SnVkaXRoIEx1bWxleSBDZW50cmUsIExh
IFRyb2JlIFVuaXZlcnNpdHksIE1lbGJvdXJuZSwgVmljLiwgQXVzdHJhbGlhLjwvYXV0aC1hZGRy
ZXNzPjx0aXRsZXM+PHRpdGxlPlJvdXRpbmUgd2VpZ2hpbmcgdG8gcmVkdWNlIGV4Y2Vzc2l2ZSBh
bnRlbmF0YWwgd2VpZ2h0IGdhaW46IGEgcmFuZG9taXNlZCBjb250cm9sbGVkIHRyaWFsPC90aXRs
ZT48c2Vjb25kYXJ5LXRpdGxlPkJKT0c8L3NlY29uZGFyeS10aXRsZT48L3RpdGxlcz48cGVyaW9k
aWNhbD48ZnVsbC10aXRsZT5CSk9HPC9mdWxsLXRpdGxlPjwvcGVyaW9kaWNhbD48cGFnZXM+MjU0
LTYxPC9wYWdlcz48dm9sdW1lPjEyMzwvdm9sdW1lPjxudW1iZXI+MjwvbnVtYmVyPjxlZGl0aW9u
PjIwMTYvMDIvMDQ8L2VkaXRpb24+PGtleXdvcmRzPjxrZXl3b3JkPkFkdWx0PC9rZXl3b3JkPjxr
ZXl3b3JkPkF1c3RyYWxpYS9lcGlkZW1pb2xvZ3k8L2tleXdvcmQ+PGtleXdvcmQ+Qm9keSBNYXNz
IEluZGV4PC9rZXl3b3JkPjxrZXl3b3JkPkJvZHkgV2VpZ2h0PC9rZXl3b3JkPjxrZXl3b3JkPkRp
cmVjdGl2ZSBDb3Vuc2VsaW5nPC9rZXl3b3JkPjxrZXl3b3JkPkZlbWFsZTwva2V5d29yZD48a2V5
d29yZD5IdW1hbnM8L2tleXdvcmQ+PGtleXdvcmQ+T2Jlc2l0eS9lcGlkZW1pb2xvZ3kvKnByZXZl
bnRpb24gJmFtcDsgY29udHJvbC9wc3ljaG9sb2d5PC9rZXl3b3JkPjxrZXl3b3JkPlByYWN0aWNl
IEd1aWRlbGluZXMgYXMgVG9waWM8L2tleXdvcmQ+PGtleXdvcmQ+UHJlZ25hbmN5PC9rZXl3b3Jk
PjxrZXl3b3JkPlByZWduYW5jeSBDb21wbGljYXRpb25zLypwcmV2ZW50aW9uICZhbXA7IGNvbnRy
b2w8L2tleXdvcmQ+PGtleXdvcmQ+UHJlbmF0YWwgQ2FyZS8qbWV0aG9kczwva2V5d29yZD48a2V5
d29yZD5SaXNrIEZhY3RvcnM8L2tleXdvcmQ+PGtleXdvcmQ+V2VpZ2h0IEdhaW4vKnBoeXNpb2xv
Z3k8L2tleXdvcmQ+PGtleXdvcmQ+QWR2ZXJzZSBwcmVnbmFuY3kgb3V0Y29tZTwva2V5d29yZD48
a2V5d29yZD5nZXN0YXRpb25hbCB3ZWlnaHQgZ2Fpbjwva2V5d29yZD48a2V5d29yZD5vYmVzaXR5
IGluIHByZWduYW5jeTwva2V5d29yZD48a2V5d29yZD53ZWlnaGluZzwva2V5d29yZD48L2tleXdv
cmRzPjxkYXRlcz48eWVhcj4yMDE2PC95ZWFyPjxwdWItZGF0ZXM+PGRhdGU+SmFuPC9kYXRlPjwv
cHViLWRhdGVzPjwvZGF0ZXM+PGlzYm4+MTQ3MS0wNTI4IChFbGVjdHJvbmljKSYjeEQ7MTQ3MC0w
MzI4IChMaW5raW5nKTwvaXNibj48YWNjZXNzaW9uLW51bT4yNjg0MDYzNzwvYWNjZXNzaW9uLW51
bT48dXJscz48cmVsYXRlZC11cmxzPjx1cmw+aHR0cHM6Ly93d3cubmNiaS5ubG0ubmloLmdvdi9w
dWJtZWQvMjY4NDA2Mzc8L3VybD48L3JlbGF0ZWQtdXJscz48L3VybHM+PGVsZWN0cm9uaWMtcmVz
b3VyY2UtbnVtPjEwLjExMTEvMTQ3MS0wNTI4LjEzNzM1PC9lbGVjdHJvbmljLXJlc291cmNlLW51
bT48L3JlY29yZD48L0NpdGU+PC9FbmROb3RlPgB=
</w:fldData>
              </w:fldChar>
            </w:r>
            <w:r w:rsidR="001A2F28">
              <w:instrText xml:space="preserve"> ADDIN EN.CITE.DATA </w:instrText>
            </w:r>
            <w:r w:rsidR="001A2F28">
              <w:fldChar w:fldCharType="end"/>
            </w:r>
            <w:r>
              <w:fldChar w:fldCharType="separate"/>
            </w:r>
            <w:r w:rsidR="001A2F28" w:rsidRPr="001A2F28">
              <w:rPr>
                <w:noProof/>
                <w:vertAlign w:val="superscript"/>
              </w:rPr>
              <w:t>383</w:t>
            </w:r>
            <w:r>
              <w:fldChar w:fldCharType="end"/>
            </w:r>
          </w:p>
        </w:tc>
      </w:tr>
      <w:tr w:rsidR="000F7CDA" w:rsidRPr="00C12274" w14:paraId="485AD13D" w14:textId="77777777" w:rsidTr="005366DB">
        <w:trPr>
          <w:cantSplit/>
        </w:trPr>
        <w:tc>
          <w:tcPr>
            <w:tcW w:w="1560" w:type="dxa"/>
            <w:shd w:val="clear" w:color="D9E2F3" w:themeColor="accent1" w:themeTint="33" w:fill="auto"/>
          </w:tcPr>
          <w:p w14:paraId="61ACB373" w14:textId="77777777" w:rsidR="000F7CDA" w:rsidRPr="00C12274" w:rsidRDefault="000F7CDA" w:rsidP="00AB6A13">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396D37D1" w14:textId="77777777" w:rsidR="000F7CDA" w:rsidRPr="00C12274" w:rsidRDefault="000F7CDA" w:rsidP="00AB6A13">
            <w:pPr>
              <w:pStyle w:val="RCTstable"/>
              <w:keepNext/>
            </w:pPr>
            <w:r>
              <w:t>Low</w:t>
            </w:r>
            <w:r w:rsidRPr="00C12274">
              <w:t xml:space="preserve"> risk</w:t>
            </w:r>
          </w:p>
        </w:tc>
        <w:tc>
          <w:tcPr>
            <w:tcW w:w="11199" w:type="dxa"/>
            <w:shd w:val="clear" w:color="D9E2F3" w:themeColor="accent1" w:themeTint="33" w:fill="auto"/>
          </w:tcPr>
          <w:p w14:paraId="2E031C20" w14:textId="6335B38E" w:rsidR="000F7CDA" w:rsidRPr="00F44C64" w:rsidRDefault="000F7CDA" w:rsidP="00F44C64">
            <w:pPr>
              <w:pStyle w:val="RCTstable"/>
            </w:pPr>
            <w:r>
              <w:t>‘</w:t>
            </w:r>
            <w:r w:rsidRPr="00CC0682">
              <w:t>The randomisation sequence was generated by an independent organisation</w:t>
            </w:r>
            <w:r>
              <w:t>.’</w:t>
            </w:r>
          </w:p>
        </w:tc>
      </w:tr>
      <w:tr w:rsidR="000F7CDA" w:rsidRPr="00C12274" w14:paraId="3B3DABBF" w14:textId="77777777" w:rsidTr="005366DB">
        <w:trPr>
          <w:cantSplit/>
        </w:trPr>
        <w:tc>
          <w:tcPr>
            <w:tcW w:w="1560" w:type="dxa"/>
            <w:shd w:val="clear" w:color="D9E2F3" w:themeColor="accent1" w:themeTint="33" w:fill="auto"/>
          </w:tcPr>
          <w:p w14:paraId="5F19F44A" w14:textId="77777777" w:rsidR="000F7CDA" w:rsidRPr="00C12274" w:rsidRDefault="000F7CDA" w:rsidP="00AB6A13">
            <w:pPr>
              <w:pStyle w:val="RCTstable"/>
              <w:keepNext/>
            </w:pPr>
            <w:r w:rsidRPr="00C12274">
              <w:t xml:space="preserve">Allocation concealment </w:t>
            </w:r>
          </w:p>
        </w:tc>
        <w:tc>
          <w:tcPr>
            <w:tcW w:w="1275" w:type="dxa"/>
            <w:tcBorders>
              <w:bottom w:val="single" w:sz="4" w:space="0" w:color="auto"/>
            </w:tcBorders>
            <w:shd w:val="clear" w:color="auto" w:fill="FFC000" w:themeFill="accent4"/>
          </w:tcPr>
          <w:p w14:paraId="01BDA0A4" w14:textId="341EEA0A" w:rsidR="000F7CDA" w:rsidRPr="00C12274" w:rsidRDefault="005366DB" w:rsidP="00AB6A13">
            <w:pPr>
              <w:pStyle w:val="RCTstable"/>
              <w:keepNext/>
            </w:pPr>
            <w:r>
              <w:t>Unclear</w:t>
            </w:r>
            <w:r w:rsidR="000F7CDA" w:rsidRPr="00C12274">
              <w:t xml:space="preserve"> risk</w:t>
            </w:r>
          </w:p>
        </w:tc>
        <w:tc>
          <w:tcPr>
            <w:tcW w:w="11199" w:type="dxa"/>
            <w:shd w:val="clear" w:color="D9E2F3" w:themeColor="accent1" w:themeTint="33" w:fill="auto"/>
          </w:tcPr>
          <w:p w14:paraId="62C85A50" w14:textId="1E363923" w:rsidR="000F7CDA" w:rsidRPr="00D7682F" w:rsidRDefault="000F7CDA" w:rsidP="00AB6A13">
            <w:pPr>
              <w:pStyle w:val="RCTstable"/>
            </w:pPr>
            <w:r>
              <w:t xml:space="preserve">‘Sealed opaque envelopes.’ Ideally should be sequentially numbered sealed opaque envelopes (which they probably were) </w:t>
            </w:r>
          </w:p>
        </w:tc>
      </w:tr>
      <w:tr w:rsidR="00F44C64" w:rsidRPr="00C12274" w14:paraId="76B1651E" w14:textId="77777777" w:rsidTr="00C4666F">
        <w:trPr>
          <w:cantSplit/>
          <w:trHeight w:val="291"/>
        </w:trPr>
        <w:tc>
          <w:tcPr>
            <w:tcW w:w="1560" w:type="dxa"/>
            <w:shd w:val="clear" w:color="D9E2F3" w:themeColor="accent1" w:themeTint="33" w:fill="auto"/>
          </w:tcPr>
          <w:p w14:paraId="47F29275" w14:textId="77777777" w:rsidR="00F44C64" w:rsidRPr="00C12274" w:rsidRDefault="00F44C64" w:rsidP="00AB6A13">
            <w:pPr>
              <w:pStyle w:val="RCTstable"/>
              <w:keepNext/>
            </w:pPr>
            <w:r>
              <w:t>Performance bias</w:t>
            </w:r>
          </w:p>
        </w:tc>
        <w:tc>
          <w:tcPr>
            <w:tcW w:w="1275" w:type="dxa"/>
            <w:tcBorders>
              <w:bottom w:val="single" w:sz="4" w:space="0" w:color="auto"/>
            </w:tcBorders>
            <w:shd w:val="clear" w:color="auto" w:fill="FF4D19"/>
          </w:tcPr>
          <w:p w14:paraId="3FE964B3" w14:textId="57E34C27" w:rsidR="00F44C64" w:rsidRPr="00C12274" w:rsidRDefault="00C4666F" w:rsidP="00AB6A13">
            <w:pPr>
              <w:pStyle w:val="RCTstable"/>
              <w:keepNext/>
            </w:pPr>
            <w:r>
              <w:t xml:space="preserve">High </w:t>
            </w:r>
            <w:r w:rsidR="00F44C64" w:rsidRPr="00C12274">
              <w:t>risk</w:t>
            </w:r>
          </w:p>
        </w:tc>
        <w:tc>
          <w:tcPr>
            <w:tcW w:w="11199" w:type="dxa"/>
            <w:vMerge w:val="restart"/>
            <w:shd w:val="clear" w:color="D9E2F3" w:themeColor="accent1" w:themeTint="33" w:fill="auto"/>
          </w:tcPr>
          <w:p w14:paraId="77C90AD4" w14:textId="302E475B" w:rsidR="00F44C64" w:rsidRPr="00C4666F" w:rsidRDefault="00C4666F" w:rsidP="00C4666F">
            <w:pPr>
              <w:pStyle w:val="RCTstable"/>
            </w:pPr>
            <w:r w:rsidRPr="00C4666F">
              <w:t>Limitations of our study included an inability to blind</w:t>
            </w:r>
            <w:r>
              <w:t xml:space="preserve"> </w:t>
            </w:r>
            <w:r w:rsidRPr="00C4666F">
              <w:t>participants and their treating team due to the nature of</w:t>
            </w:r>
            <w:r>
              <w:t xml:space="preserve"> </w:t>
            </w:r>
            <w:r w:rsidRPr="00C4666F">
              <w:t>the intervention. All the women recruited and clinicians</w:t>
            </w:r>
            <w:r>
              <w:t xml:space="preserve"> </w:t>
            </w:r>
            <w:r w:rsidRPr="00C4666F">
              <w:t>knew the intervention was weighing and the control group</w:t>
            </w:r>
            <w:r>
              <w:t xml:space="preserve"> </w:t>
            </w:r>
            <w:r w:rsidRPr="00C4666F">
              <w:t>was aware of the IOM guideline on weight gain in pregnancy,</w:t>
            </w:r>
            <w:r>
              <w:t xml:space="preserve"> </w:t>
            </w:r>
            <w:r w:rsidRPr="00C4666F">
              <w:t>which is readily available.</w:t>
            </w:r>
          </w:p>
        </w:tc>
      </w:tr>
      <w:tr w:rsidR="00F44C64" w:rsidRPr="00822EBF" w14:paraId="62AC472D" w14:textId="77777777" w:rsidTr="00C4666F">
        <w:trPr>
          <w:cantSplit/>
        </w:trPr>
        <w:tc>
          <w:tcPr>
            <w:tcW w:w="1560" w:type="dxa"/>
            <w:shd w:val="clear" w:color="D9E2F3" w:themeColor="accent1" w:themeTint="33" w:fill="auto"/>
          </w:tcPr>
          <w:p w14:paraId="0E8124B7" w14:textId="77777777" w:rsidR="00F44C64" w:rsidRPr="00822EBF" w:rsidRDefault="00F44C64" w:rsidP="00AB6A13">
            <w:pPr>
              <w:pStyle w:val="RCTstable"/>
            </w:pPr>
            <w:r w:rsidRPr="00822EBF">
              <w:t>Detection bias</w:t>
            </w:r>
          </w:p>
        </w:tc>
        <w:tc>
          <w:tcPr>
            <w:tcW w:w="1275" w:type="dxa"/>
            <w:tcBorders>
              <w:bottom w:val="single" w:sz="4" w:space="0" w:color="auto"/>
            </w:tcBorders>
            <w:shd w:val="clear" w:color="auto" w:fill="FF4D19"/>
          </w:tcPr>
          <w:p w14:paraId="0B6A3ADA" w14:textId="3B0D3D74" w:rsidR="00F44C64" w:rsidRPr="00822EBF" w:rsidRDefault="00C4666F" w:rsidP="00AB6A13">
            <w:pPr>
              <w:pStyle w:val="RCTstable"/>
            </w:pPr>
            <w:r>
              <w:t>High</w:t>
            </w:r>
            <w:r w:rsidR="00F44C64" w:rsidRPr="00822EBF">
              <w:t xml:space="preserve"> risk</w:t>
            </w:r>
          </w:p>
        </w:tc>
        <w:tc>
          <w:tcPr>
            <w:tcW w:w="11199" w:type="dxa"/>
            <w:vMerge/>
            <w:shd w:val="clear" w:color="D9E2F3" w:themeColor="accent1" w:themeTint="33" w:fill="auto"/>
          </w:tcPr>
          <w:p w14:paraId="056083C8" w14:textId="77777777" w:rsidR="00F44C64" w:rsidRPr="00D7682F" w:rsidRDefault="00F44C64" w:rsidP="00AB6A13">
            <w:pPr>
              <w:pStyle w:val="RCTstable"/>
            </w:pPr>
          </w:p>
        </w:tc>
      </w:tr>
      <w:tr w:rsidR="005366DB" w:rsidRPr="00C12274" w14:paraId="09273989" w14:textId="77777777" w:rsidTr="00865B7F">
        <w:trPr>
          <w:cantSplit/>
        </w:trPr>
        <w:tc>
          <w:tcPr>
            <w:tcW w:w="1560" w:type="dxa"/>
            <w:shd w:val="clear" w:color="D9E2F3" w:themeColor="accent1" w:themeTint="33" w:fill="auto"/>
          </w:tcPr>
          <w:p w14:paraId="06337A0B" w14:textId="77777777" w:rsidR="005366DB" w:rsidRPr="00C12274" w:rsidRDefault="005366DB" w:rsidP="00AB6A13">
            <w:pPr>
              <w:pStyle w:val="RCTstable"/>
              <w:keepNext/>
            </w:pPr>
            <w:r w:rsidRPr="00C12274">
              <w:t>Incomplete outcome data</w:t>
            </w:r>
          </w:p>
        </w:tc>
        <w:tc>
          <w:tcPr>
            <w:tcW w:w="1275" w:type="dxa"/>
            <w:shd w:val="clear" w:color="D9E2F3" w:themeColor="accent1" w:themeTint="33" w:fill="FF4D19"/>
          </w:tcPr>
          <w:p w14:paraId="7FDDB2A9" w14:textId="31F55308" w:rsidR="005366DB" w:rsidRPr="00C12274" w:rsidRDefault="005366DB" w:rsidP="00AB6A13">
            <w:pPr>
              <w:pStyle w:val="RCTstable"/>
              <w:keepNext/>
            </w:pPr>
            <w:r>
              <w:t>High</w:t>
            </w:r>
            <w:r w:rsidRPr="00C12274">
              <w:t xml:space="preserve"> risk</w:t>
            </w:r>
          </w:p>
        </w:tc>
        <w:tc>
          <w:tcPr>
            <w:tcW w:w="11199" w:type="dxa"/>
            <w:shd w:val="clear" w:color="D9E2F3" w:themeColor="accent1" w:themeTint="33" w:fill="auto"/>
          </w:tcPr>
          <w:p w14:paraId="771C0636" w14:textId="7A506CFF" w:rsidR="005366DB" w:rsidRPr="00D51757" w:rsidRDefault="005366DB" w:rsidP="00AB6A13">
            <w:pPr>
              <w:pStyle w:val="RCTstable"/>
            </w:pPr>
            <w:r>
              <w:t>‘</w:t>
            </w:r>
            <w:r w:rsidRPr="00CC0682">
              <w:t>Our loss to follow up rate was low at 5% and occurred primarily due to transfer of obstetric care to another provider. Importantly, there were no differences in BMI category, age or parity in those lost to follow up.</w:t>
            </w:r>
            <w:r>
              <w:t>’ Loss to follow-up is not clear and likely to be closer to 18%.</w:t>
            </w:r>
          </w:p>
        </w:tc>
      </w:tr>
      <w:tr w:rsidR="005366DB" w:rsidRPr="00C12274" w14:paraId="7DFE24D4" w14:textId="77777777" w:rsidTr="00AB6A13">
        <w:trPr>
          <w:cantSplit/>
        </w:trPr>
        <w:tc>
          <w:tcPr>
            <w:tcW w:w="1560" w:type="dxa"/>
            <w:shd w:val="clear" w:color="D9E2F3" w:themeColor="accent1" w:themeTint="33" w:fill="auto"/>
          </w:tcPr>
          <w:p w14:paraId="40D6F03F" w14:textId="77777777" w:rsidR="005366DB" w:rsidRPr="00C12274" w:rsidRDefault="005366DB" w:rsidP="00AB6A13">
            <w:pPr>
              <w:pStyle w:val="RCTstable"/>
            </w:pPr>
            <w:r w:rsidRPr="00C12274">
              <w:t>Selective reporting</w:t>
            </w:r>
          </w:p>
        </w:tc>
        <w:tc>
          <w:tcPr>
            <w:tcW w:w="1275" w:type="dxa"/>
            <w:shd w:val="clear" w:color="D9E2F3" w:themeColor="accent1" w:themeTint="33" w:fill="70AD47" w:themeFill="accent6"/>
          </w:tcPr>
          <w:p w14:paraId="10CB7290" w14:textId="77777777" w:rsidR="005366DB" w:rsidRPr="00C12274" w:rsidRDefault="005366DB" w:rsidP="00AB6A13">
            <w:pPr>
              <w:pStyle w:val="RCTstable"/>
            </w:pPr>
            <w:r>
              <w:t>Low</w:t>
            </w:r>
            <w:r w:rsidRPr="00C12274">
              <w:t xml:space="preserve"> risk</w:t>
            </w:r>
          </w:p>
        </w:tc>
        <w:tc>
          <w:tcPr>
            <w:tcW w:w="11199" w:type="dxa"/>
            <w:shd w:val="clear" w:color="D9E2F3" w:themeColor="accent1" w:themeTint="33" w:fill="auto"/>
          </w:tcPr>
          <w:p w14:paraId="67F6B156" w14:textId="1259431E" w:rsidR="005366DB" w:rsidRPr="001969C3" w:rsidRDefault="005366DB" w:rsidP="00AB6A13">
            <w:pPr>
              <w:pStyle w:val="RCTstable"/>
            </w:pPr>
            <w:r>
              <w:t>Prespecified outcomes reported.</w:t>
            </w:r>
          </w:p>
        </w:tc>
      </w:tr>
      <w:tr w:rsidR="005366DB" w:rsidRPr="00C12274" w14:paraId="247BBD77" w14:textId="77777777" w:rsidTr="00AB6A13">
        <w:trPr>
          <w:cantSplit/>
        </w:trPr>
        <w:tc>
          <w:tcPr>
            <w:tcW w:w="1560" w:type="dxa"/>
            <w:shd w:val="clear" w:color="D9E2F3" w:themeColor="accent1" w:themeTint="33" w:fill="auto"/>
          </w:tcPr>
          <w:p w14:paraId="19D7CB22" w14:textId="77777777" w:rsidR="005366DB" w:rsidRPr="00C12274" w:rsidRDefault="005366DB" w:rsidP="00AB6A13">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0698A368" w14:textId="77777777" w:rsidR="005366DB" w:rsidRPr="00C12274" w:rsidRDefault="005366DB" w:rsidP="00AB6A13">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28C18E45" w14:textId="4872C3A2" w:rsidR="005366DB" w:rsidRPr="001969C3" w:rsidRDefault="005366DB" w:rsidP="00AB6A13">
            <w:pPr>
              <w:pStyle w:val="RCTstable"/>
            </w:pPr>
            <w:r>
              <w:t>There were no significant differences in baseline characteristics between intervention and control groups.</w:t>
            </w:r>
          </w:p>
        </w:tc>
      </w:tr>
      <w:tr w:rsidR="00C74FCC" w:rsidRPr="006234EA" w14:paraId="4CF523F4" w14:textId="77777777" w:rsidTr="00AB6A13">
        <w:trPr>
          <w:cantSplit/>
        </w:trPr>
        <w:tc>
          <w:tcPr>
            <w:tcW w:w="14034" w:type="dxa"/>
            <w:gridSpan w:val="3"/>
            <w:shd w:val="solid" w:color="D9E2F3" w:themeColor="accent1" w:themeTint="33" w:fill="auto"/>
          </w:tcPr>
          <w:p w14:paraId="0598AB6D" w14:textId="54FA3EA2" w:rsidR="00C74FCC" w:rsidRPr="00470354" w:rsidRDefault="00C74FCC" w:rsidP="001A2F28">
            <w:pPr>
              <w:pStyle w:val="Tablecell"/>
              <w:keepNext/>
              <w:spacing w:line="220" w:lineRule="exact"/>
              <w:rPr>
                <w:rFonts w:eastAsiaTheme="minorHAnsi"/>
                <w:b/>
                <w:sz w:val="16"/>
                <w:szCs w:val="16"/>
                <w:lang w:val="en-US"/>
              </w:rPr>
            </w:pPr>
            <w:r w:rsidRPr="0077024A">
              <w:rPr>
                <w:b/>
                <w:sz w:val="16"/>
                <w:szCs w:val="16"/>
              </w:rPr>
              <w:t>Daley et al 2015</w:t>
            </w:r>
            <w:r>
              <w:fldChar w:fldCharType="begin">
                <w:fldData xml:space="preserve">PEVuZE5vdGU+PENpdGU+PEF1dGhvcj5EYWxleTwvQXV0aG9yPjxZZWFyPjIwMTU8L1llYXI+PFJl
Y051bT4xNzAyPC9SZWNOdW0+PERpc3BsYXlUZXh0PjxzdHlsZSBmYWNlPSJzdXBlcnNjcmlwdCIg
Zm9udD0iVHJlYnVjaGV0IE1TIiBzaXplPSI5Ij4zODY8L3N0eWxlPjwvRGlzcGxheVRleHQ+PHJl
Y29yZD48cmVjLW51bWJlcj4xNzAyPC9yZWMtbnVtYmVyPjxmb3JlaWduLWtleXM+PGtleSBhcHA9
IkVOIiBkYi1pZD0iZXh2YXNyZngyZHRyYW9lc2FzeHAyc3pzeGEyZGY1MDI1OTJ4IiB0aW1lc3Rh
bXA9IjE1ODE5MTY5MzAiPjE3MDI8L2tleT48a2V5IGFwcD0iRU5XZWIiIGRiLWlkPSIiPjA8L2tl
eT48L2ZvcmVpZ24ta2V5cz48cmVmLXR5cGUgbmFtZT0iSm91cm5hbCBBcnRpY2xlIj4xNzwvcmVm
LXR5cGU+PGNvbnRyaWJ1dG9ycz48YXV0aG9ycz48YXV0aG9yPkRhbGV5LCBBLiBKLjwvYXV0aG9y
PjxhdXRob3I+Sm9sbHksIEsuPC9hdXRob3I+PGF1dGhvcj5KZWJiLCBTLiBBLjwvYXV0aG9yPjxh
dXRob3I+TGV3aXMsIEEuIEwuPC9hdXRob3I+PGF1dGhvcj5DbGlmZm9yZCwgUy48L2F1dGhvcj48
YXV0aG9yPlJvYWxmZSwgQS4gSy48L2F1dGhvcj48YXV0aG9yPktlbnlvbiwgUy48L2F1dGhvcj48
YXV0aG9yPkF2ZXlhcmQsIFAuPC9hdXRob3I+PC9hdXRob3JzPjwvY29udHJpYnV0b3JzPjxhdXRo
LWFkZHJlc3M+UHJpbWFyeSBDYXJlIENsaW5pY2FsIFNjaWVuY2VzLCBTY2hvb2wgb2YgSGVhbHRo
IGFuZCBQb3B1bGF0aW9uIFNjaWVuY2VzLCBDb2xsZWdlIG9mIE1lZGljYWwgYW5kIERlbnRhbCBT
Y2llbmNlcywgVW5pdmVyc2l0eSBvZiBCaXJtaW5naGFtLCBCaXJtaW5naGFtLCBCMTUgMlRUIFdl
c3QgTWlkbGFuZHMuJiN4RDtQdWJsaWMgSGVhbHRoLCBFcGlkZW1pb2xvZ3kgYW5kIEJpb3N0YXRp
c3RpY3MsIFNjaG9vbCBvZiBIZWFsdGggYW5kIFBvcHVsYXRpb24gU2NpZW5jZXMsIFVuaXZlcnNp
dHkgb2YgQmlybWluZ2hhbSwgQmlybWluZ2hhbSwgQjE1IDJUVCBXZXN0IE1pZGxhbmRzLiYjeEQ7
TnVmZmllbGQgRGVwYXJ0bWVudCBvZiBQcmltYXJ5IENhcmUgSGVhbHRoIFNjaWVuY2VzLCBVbml2
ZXJzaXR5IG9mIE94Zm9yZCwgUmFkY2xpZmZlIE9ic2VydmF0b3J5IFF1YXJ0ZXIsIFdvb2RzdG9j
ayBSb2FkLCBPeGZvcmQsIE9YMiA2R0cgVUsuJiN4RDtTY2hvb2wgb2YgU29jaWFsIGFuZCBDb21t
dW5pdHkgTWVkaWNpbmUsIFVuaXZlcnNpdHkgb2YgQnJpc3RvbCwgQ2FueW5nZSBIYWxsLCAzOSBX
aGF0bGV5IFJvYWQsIEJyaXN0b2wsIEJTOCAyUFMgU291dGggV2VzdCBFbmdsYW5kLjwvYXV0aC1h
ZGRyZXNzPjx0aXRsZXM+PHRpdGxlPkZlYXNpYmlsaXR5IGFuZCBhY2NlcHRhYmlsaXR5IG9mIHJl
Z3VsYXIgd2VpZ2hpbmcsIHNldHRpbmcgd2VpZ2h0IGdhaW4gbGltaXRzIGFuZCBwcm92aWRpbmcg
ZmVlZGJhY2sgYnkgY29tbXVuaXR5IG1pZHdpdmVzIHRvIHByZXZlbnQgZXhjZXNzIHdlaWdodCBn
YWluIGR1cmluZyBwcmVnbmFuY3k6IHJhbmRvbWlzZWQgY29udHJvbGxlZCB0cmlhbCBhbmQgcXVh
bGl0YXRpdmUgc3R1ZHk8L3RpdGxlPjxzZWNvbmRhcnktdGl0bGU+Qk1DIE9iZXM8L3NlY29uZGFy
eS10aXRsZT48L3RpdGxlcz48cGVyaW9kaWNhbD48ZnVsbC10aXRsZT5CTUMgT2JlczwvZnVsbC10
aXRsZT48L3BlcmlvZGljYWw+PHBhZ2VzPjM1PC9wYWdlcz48dm9sdW1lPjI8L3ZvbHVtZT48ZWRp
dGlvbj4yMDE1LzA5LzI1PC9lZGl0aW9uPjxrZXl3b3Jkcz48a2V5d29yZD5Db21tdW5pdHkgbWlk
d2l2ZXM8L2tleXdvcmQ+PGtleXdvcmQ+R2VzdGF0aW9uYWwgd2VpZ2h0IGdhaW48L2tleXdvcmQ+
PGtleXdvcmQ+UmVndWxhciB3ZWlnaGluZzwva2V5d29yZD48a2V5d29yZD5XZWlnaHQgZ2FpbiBs
aW1pdHM8L2tleXdvcmQ+PC9rZXl3b3Jkcz48ZGF0ZXM+PHllYXI+MjAxNTwveWVhcj48L2RhdGVz
Pjxpc2JuPjIwNTItOTUzOCAoUHJpbnQpJiN4RDsyMDUyLTk1MzggKExpbmtpbmcpPC9pc2JuPjxh
Y2Nlc3Npb24tbnVtPjI2NDAxMzQ1PC9hY2Nlc3Npb24tbnVtPjx1cmxzPjxyZWxhdGVkLXVybHM+
PHVybD5odHRwczovL3d3dy5uY2JpLm5sbS5uaWguZ292L3B1Ym1lZC8yNjQwMTM0NTwvdXJsPjwv
cmVsYXRlZC11cmxzPjwvdXJscz48Y3VzdG9tMj5QTUM0NTcyNjQ5PC9jdXN0b20yPjxlbGVjdHJv
bmljLXJlc291cmNlLW51bT4xMC4xMTg2L3M0MDYwOC0wMTUtMDA2MS01PC9lbGVjdHJvbmljLXJl
c291cmNlLW51bT48L3JlY29yZD48L0NpdGU+PC9FbmROb3RlPn==
</w:fldData>
              </w:fldChar>
            </w:r>
            <w:r w:rsidR="001A2F28">
              <w:instrText xml:space="preserve"> ADDIN EN.CITE </w:instrText>
            </w:r>
            <w:r w:rsidR="001A2F28">
              <w:fldChar w:fldCharType="begin">
                <w:fldData xml:space="preserve">PEVuZE5vdGU+PENpdGU+PEF1dGhvcj5EYWxleTwvQXV0aG9yPjxZZWFyPjIwMTU8L1llYXI+PFJl
Y051bT4xNzAyPC9SZWNOdW0+PERpc3BsYXlUZXh0PjxzdHlsZSBmYWNlPSJzdXBlcnNjcmlwdCIg
Zm9udD0iVHJlYnVjaGV0IE1TIiBzaXplPSI5Ij4zODY8L3N0eWxlPjwvRGlzcGxheVRleHQ+PHJl
Y29yZD48cmVjLW51bWJlcj4xNzAyPC9yZWMtbnVtYmVyPjxmb3JlaWduLWtleXM+PGtleSBhcHA9
IkVOIiBkYi1pZD0iZXh2YXNyZngyZHRyYW9lc2FzeHAyc3pzeGEyZGY1MDI1OTJ4IiB0aW1lc3Rh
bXA9IjE1ODE5MTY5MzAiPjE3MDI8L2tleT48a2V5IGFwcD0iRU5XZWIiIGRiLWlkPSIiPjA8L2tl
eT48L2ZvcmVpZ24ta2V5cz48cmVmLXR5cGUgbmFtZT0iSm91cm5hbCBBcnRpY2xlIj4xNzwvcmVm
LXR5cGU+PGNvbnRyaWJ1dG9ycz48YXV0aG9ycz48YXV0aG9yPkRhbGV5LCBBLiBKLjwvYXV0aG9y
PjxhdXRob3I+Sm9sbHksIEsuPC9hdXRob3I+PGF1dGhvcj5KZWJiLCBTLiBBLjwvYXV0aG9yPjxh
dXRob3I+TGV3aXMsIEEuIEwuPC9hdXRob3I+PGF1dGhvcj5DbGlmZm9yZCwgUy48L2F1dGhvcj48
YXV0aG9yPlJvYWxmZSwgQS4gSy48L2F1dGhvcj48YXV0aG9yPktlbnlvbiwgUy48L2F1dGhvcj48
YXV0aG9yPkF2ZXlhcmQsIFAuPC9hdXRob3I+PC9hdXRob3JzPjwvY29udHJpYnV0b3JzPjxhdXRo
LWFkZHJlc3M+UHJpbWFyeSBDYXJlIENsaW5pY2FsIFNjaWVuY2VzLCBTY2hvb2wgb2YgSGVhbHRo
IGFuZCBQb3B1bGF0aW9uIFNjaWVuY2VzLCBDb2xsZWdlIG9mIE1lZGljYWwgYW5kIERlbnRhbCBT
Y2llbmNlcywgVW5pdmVyc2l0eSBvZiBCaXJtaW5naGFtLCBCaXJtaW5naGFtLCBCMTUgMlRUIFdl
c3QgTWlkbGFuZHMuJiN4RDtQdWJsaWMgSGVhbHRoLCBFcGlkZW1pb2xvZ3kgYW5kIEJpb3N0YXRp
c3RpY3MsIFNjaG9vbCBvZiBIZWFsdGggYW5kIFBvcHVsYXRpb24gU2NpZW5jZXMsIFVuaXZlcnNp
dHkgb2YgQmlybWluZ2hhbSwgQmlybWluZ2hhbSwgQjE1IDJUVCBXZXN0IE1pZGxhbmRzLiYjeEQ7
TnVmZmllbGQgRGVwYXJ0bWVudCBvZiBQcmltYXJ5IENhcmUgSGVhbHRoIFNjaWVuY2VzLCBVbml2
ZXJzaXR5IG9mIE94Zm9yZCwgUmFkY2xpZmZlIE9ic2VydmF0b3J5IFF1YXJ0ZXIsIFdvb2RzdG9j
ayBSb2FkLCBPeGZvcmQsIE9YMiA2R0cgVUsuJiN4RDtTY2hvb2wgb2YgU29jaWFsIGFuZCBDb21t
dW5pdHkgTWVkaWNpbmUsIFVuaXZlcnNpdHkgb2YgQnJpc3RvbCwgQ2FueW5nZSBIYWxsLCAzOSBX
aGF0bGV5IFJvYWQsIEJyaXN0b2wsIEJTOCAyUFMgU291dGggV2VzdCBFbmdsYW5kLjwvYXV0aC1h
ZGRyZXNzPjx0aXRsZXM+PHRpdGxlPkZlYXNpYmlsaXR5IGFuZCBhY2NlcHRhYmlsaXR5IG9mIHJl
Z3VsYXIgd2VpZ2hpbmcsIHNldHRpbmcgd2VpZ2h0IGdhaW4gbGltaXRzIGFuZCBwcm92aWRpbmcg
ZmVlZGJhY2sgYnkgY29tbXVuaXR5IG1pZHdpdmVzIHRvIHByZXZlbnQgZXhjZXNzIHdlaWdodCBn
YWluIGR1cmluZyBwcmVnbmFuY3k6IHJhbmRvbWlzZWQgY29udHJvbGxlZCB0cmlhbCBhbmQgcXVh
bGl0YXRpdmUgc3R1ZHk8L3RpdGxlPjxzZWNvbmRhcnktdGl0bGU+Qk1DIE9iZXM8L3NlY29uZGFy
eS10aXRsZT48L3RpdGxlcz48cGVyaW9kaWNhbD48ZnVsbC10aXRsZT5CTUMgT2JlczwvZnVsbC10
aXRsZT48L3BlcmlvZGljYWw+PHBhZ2VzPjM1PC9wYWdlcz48dm9sdW1lPjI8L3ZvbHVtZT48ZWRp
dGlvbj4yMDE1LzA5LzI1PC9lZGl0aW9uPjxrZXl3b3Jkcz48a2V5d29yZD5Db21tdW5pdHkgbWlk
d2l2ZXM8L2tleXdvcmQ+PGtleXdvcmQ+R2VzdGF0aW9uYWwgd2VpZ2h0IGdhaW48L2tleXdvcmQ+
PGtleXdvcmQ+UmVndWxhciB3ZWlnaGluZzwva2V5d29yZD48a2V5d29yZD5XZWlnaHQgZ2FpbiBs
aW1pdHM8L2tleXdvcmQ+PC9rZXl3b3Jkcz48ZGF0ZXM+PHllYXI+MjAxNTwveWVhcj48L2RhdGVz
Pjxpc2JuPjIwNTItOTUzOCAoUHJpbnQpJiN4RDsyMDUyLTk1MzggKExpbmtpbmcpPC9pc2JuPjxh
Y2Nlc3Npb24tbnVtPjI2NDAxMzQ1PC9hY2Nlc3Npb24tbnVtPjx1cmxzPjxyZWxhdGVkLXVybHM+
PHVybD5odHRwczovL3d3dy5uY2JpLm5sbS5uaWguZ292L3B1Ym1lZC8yNjQwMTM0NTwvdXJsPjwv
cmVsYXRlZC11cmxzPjwvdXJscz48Y3VzdG9tMj5QTUM0NTcyNjQ5PC9jdXN0b20yPjxlbGVjdHJv
bmljLXJlc291cmNlLW51bT4xMC4xMTg2L3M0MDYwOC0wMTUtMDA2MS01PC9lbGVjdHJvbmljLXJl
c291cmNlLW51bT48L3JlY29yZD48L0NpdGU+PC9FbmROb3RlPn==
</w:fldData>
              </w:fldChar>
            </w:r>
            <w:r w:rsidR="001A2F28">
              <w:instrText xml:space="preserve"> ADDIN EN.CITE.DATA </w:instrText>
            </w:r>
            <w:r w:rsidR="001A2F28">
              <w:fldChar w:fldCharType="end"/>
            </w:r>
            <w:r>
              <w:fldChar w:fldCharType="separate"/>
            </w:r>
            <w:r w:rsidR="001A2F28" w:rsidRPr="001A2F28">
              <w:rPr>
                <w:noProof/>
                <w:vertAlign w:val="superscript"/>
              </w:rPr>
              <w:t>386</w:t>
            </w:r>
            <w:r>
              <w:fldChar w:fldCharType="end"/>
            </w:r>
          </w:p>
        </w:tc>
      </w:tr>
      <w:tr w:rsidR="00C74FCC" w:rsidRPr="00C12274" w14:paraId="7EF125A7" w14:textId="77777777" w:rsidTr="005366DB">
        <w:trPr>
          <w:cantSplit/>
        </w:trPr>
        <w:tc>
          <w:tcPr>
            <w:tcW w:w="1560" w:type="dxa"/>
            <w:shd w:val="clear" w:color="D9E2F3" w:themeColor="accent1" w:themeTint="33" w:fill="auto"/>
          </w:tcPr>
          <w:p w14:paraId="737119AF" w14:textId="77777777" w:rsidR="00C74FCC" w:rsidRPr="00C12274" w:rsidRDefault="00C74FCC" w:rsidP="00AB6A13">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54F34ACE" w14:textId="77777777" w:rsidR="00C74FCC" w:rsidRPr="00C12274" w:rsidRDefault="00C74FCC" w:rsidP="00AB6A13">
            <w:pPr>
              <w:pStyle w:val="RCTstable"/>
              <w:keepNext/>
            </w:pPr>
            <w:r>
              <w:t>Low</w:t>
            </w:r>
            <w:r w:rsidRPr="00C12274">
              <w:t xml:space="preserve"> risk</w:t>
            </w:r>
          </w:p>
        </w:tc>
        <w:tc>
          <w:tcPr>
            <w:tcW w:w="11199" w:type="dxa"/>
            <w:shd w:val="clear" w:color="D9E2F3" w:themeColor="accent1" w:themeTint="33" w:fill="auto"/>
          </w:tcPr>
          <w:p w14:paraId="1489A0F9" w14:textId="23CDB873" w:rsidR="00C74FCC" w:rsidRPr="009F7AB3" w:rsidRDefault="009F7AB3" w:rsidP="009F7AB3">
            <w:pPr>
              <w:pStyle w:val="RCTstable"/>
            </w:pPr>
            <w:r w:rsidRPr="009F7AB3">
              <w:t>The randomisation list was generated by the trial statistician, independent from researchers involved in</w:t>
            </w:r>
            <w:r>
              <w:t xml:space="preserve"> </w:t>
            </w:r>
            <w:r w:rsidRPr="009F7AB3">
              <w:t>recruiting and randomising participants. Participants</w:t>
            </w:r>
            <w:r>
              <w:t xml:space="preserve"> </w:t>
            </w:r>
            <w:r w:rsidRPr="009F7AB3">
              <w:t>were randomised on a 1:1 basis to intervention or usual</w:t>
            </w:r>
            <w:r>
              <w:t xml:space="preserve"> </w:t>
            </w:r>
            <w:r w:rsidRPr="009F7AB3">
              <w:t>care using random permuted blocks of mixed size (2, 4</w:t>
            </w:r>
            <w:r>
              <w:t xml:space="preserve"> </w:t>
            </w:r>
            <w:r w:rsidRPr="009F7AB3">
              <w:t xml:space="preserve">or 6) within strata (midwife). </w:t>
            </w:r>
          </w:p>
        </w:tc>
      </w:tr>
      <w:tr w:rsidR="009F7AB3" w:rsidRPr="00C12274" w14:paraId="2CC19133" w14:textId="77777777" w:rsidTr="005366DB">
        <w:trPr>
          <w:cantSplit/>
        </w:trPr>
        <w:tc>
          <w:tcPr>
            <w:tcW w:w="1560" w:type="dxa"/>
            <w:shd w:val="clear" w:color="D9E2F3" w:themeColor="accent1" w:themeTint="33" w:fill="auto"/>
          </w:tcPr>
          <w:p w14:paraId="043E7687" w14:textId="77777777" w:rsidR="009F7AB3" w:rsidRPr="00C12274" w:rsidRDefault="009F7AB3" w:rsidP="00AB6A13">
            <w:pPr>
              <w:pStyle w:val="RCTstable"/>
              <w:keepNext/>
            </w:pPr>
            <w:r w:rsidRPr="00C12274">
              <w:t xml:space="preserve">Allocation concealment </w:t>
            </w:r>
          </w:p>
        </w:tc>
        <w:tc>
          <w:tcPr>
            <w:tcW w:w="1275" w:type="dxa"/>
            <w:shd w:val="clear" w:color="auto" w:fill="70AD47" w:themeFill="accent6"/>
          </w:tcPr>
          <w:p w14:paraId="6B55BA16" w14:textId="087E4C5C" w:rsidR="009F7AB3" w:rsidRPr="00C12274" w:rsidRDefault="005366DB" w:rsidP="00AB6A13">
            <w:pPr>
              <w:pStyle w:val="RCTstable"/>
              <w:keepNext/>
            </w:pPr>
            <w:r>
              <w:t>Low</w:t>
            </w:r>
            <w:r w:rsidR="009F7AB3" w:rsidRPr="00C12274">
              <w:t xml:space="preserve"> risk</w:t>
            </w:r>
          </w:p>
        </w:tc>
        <w:tc>
          <w:tcPr>
            <w:tcW w:w="11199" w:type="dxa"/>
            <w:shd w:val="clear" w:color="D9E2F3" w:themeColor="accent1" w:themeTint="33" w:fill="auto"/>
          </w:tcPr>
          <w:p w14:paraId="52D0BBCD" w14:textId="6A50B642" w:rsidR="009F7AB3" w:rsidRPr="00D7682F" w:rsidRDefault="009F7AB3" w:rsidP="005366DB">
            <w:pPr>
              <w:pStyle w:val="RCTstable"/>
            </w:pPr>
            <w:r w:rsidRPr="009F7AB3">
              <w:t>The researcher allocated</w:t>
            </w:r>
            <w:r>
              <w:t xml:space="preserve"> </w:t>
            </w:r>
            <w:r w:rsidRPr="009F7AB3">
              <w:t>women by opening sequentially numbered opaque sealed</w:t>
            </w:r>
            <w:r>
              <w:t xml:space="preserve"> </w:t>
            </w:r>
            <w:r w:rsidRPr="009F7AB3">
              <w:t>envelopes. The researcher opened the envelope after</w:t>
            </w:r>
            <w:r>
              <w:t xml:space="preserve"> </w:t>
            </w:r>
            <w:r w:rsidRPr="009F7AB3">
              <w:t xml:space="preserve">eligibility assessment. </w:t>
            </w:r>
          </w:p>
        </w:tc>
      </w:tr>
      <w:tr w:rsidR="005366DB" w:rsidRPr="00C12274" w14:paraId="54886B3D" w14:textId="77777777" w:rsidTr="009F7AB3">
        <w:trPr>
          <w:cantSplit/>
          <w:trHeight w:val="291"/>
        </w:trPr>
        <w:tc>
          <w:tcPr>
            <w:tcW w:w="1560" w:type="dxa"/>
            <w:shd w:val="clear" w:color="D9E2F3" w:themeColor="accent1" w:themeTint="33" w:fill="auto"/>
          </w:tcPr>
          <w:p w14:paraId="18EC1052" w14:textId="77777777" w:rsidR="005366DB" w:rsidRPr="00C12274" w:rsidRDefault="005366DB" w:rsidP="00AB6A13">
            <w:pPr>
              <w:pStyle w:val="RCTstable"/>
              <w:keepNext/>
            </w:pPr>
            <w:r>
              <w:t>Performance bias</w:t>
            </w:r>
          </w:p>
        </w:tc>
        <w:tc>
          <w:tcPr>
            <w:tcW w:w="1275" w:type="dxa"/>
            <w:tcBorders>
              <w:bottom w:val="single" w:sz="4" w:space="0" w:color="auto"/>
            </w:tcBorders>
            <w:shd w:val="clear" w:color="auto" w:fill="FF4D19"/>
          </w:tcPr>
          <w:p w14:paraId="333AD582" w14:textId="77777777" w:rsidR="005366DB" w:rsidRPr="00C12274" w:rsidRDefault="005366DB" w:rsidP="00AB6A13">
            <w:pPr>
              <w:pStyle w:val="RCTstable"/>
              <w:keepNext/>
            </w:pPr>
            <w:r>
              <w:t>High</w:t>
            </w:r>
            <w:r w:rsidRPr="00C12274">
              <w:t xml:space="preserve"> risk</w:t>
            </w:r>
          </w:p>
        </w:tc>
        <w:tc>
          <w:tcPr>
            <w:tcW w:w="11199" w:type="dxa"/>
            <w:vMerge w:val="restart"/>
            <w:shd w:val="clear" w:color="D9E2F3" w:themeColor="accent1" w:themeTint="33" w:fill="auto"/>
          </w:tcPr>
          <w:p w14:paraId="731DAD25" w14:textId="322F7B58" w:rsidR="005366DB" w:rsidRPr="00D7682F" w:rsidRDefault="005366DB" w:rsidP="005366DB">
            <w:pPr>
              <w:pStyle w:val="RCTstable"/>
              <w:rPr>
                <w:rFonts w:ascii="Times" w:hAnsi="Times"/>
                <w:sz w:val="15"/>
                <w:szCs w:val="15"/>
              </w:rPr>
            </w:pPr>
            <w:r w:rsidRPr="009F7AB3">
              <w:t>Because of the nature of the</w:t>
            </w:r>
            <w:r>
              <w:t xml:space="preserve"> </w:t>
            </w:r>
            <w:r w:rsidRPr="009F7AB3">
              <w:t>intervention, participants, researchers and those delivering</w:t>
            </w:r>
            <w:r>
              <w:t xml:space="preserve"> </w:t>
            </w:r>
            <w:r w:rsidRPr="009F7AB3">
              <w:t>the intervention could not be blinded to group</w:t>
            </w:r>
            <w:r>
              <w:t xml:space="preserve"> </w:t>
            </w:r>
            <w:r w:rsidRPr="009F7AB3">
              <w:t>allocation.</w:t>
            </w:r>
          </w:p>
        </w:tc>
      </w:tr>
      <w:tr w:rsidR="005366DB" w:rsidRPr="00822EBF" w14:paraId="2DE33515" w14:textId="77777777" w:rsidTr="009F7AB3">
        <w:trPr>
          <w:cantSplit/>
        </w:trPr>
        <w:tc>
          <w:tcPr>
            <w:tcW w:w="1560" w:type="dxa"/>
            <w:shd w:val="clear" w:color="D9E2F3" w:themeColor="accent1" w:themeTint="33" w:fill="auto"/>
          </w:tcPr>
          <w:p w14:paraId="1086D450" w14:textId="77777777" w:rsidR="005366DB" w:rsidRPr="00822EBF" w:rsidRDefault="005366DB" w:rsidP="00AB6A13">
            <w:pPr>
              <w:pStyle w:val="RCTstable"/>
            </w:pPr>
            <w:r w:rsidRPr="00822EBF">
              <w:t>Detection bias</w:t>
            </w:r>
          </w:p>
        </w:tc>
        <w:tc>
          <w:tcPr>
            <w:tcW w:w="1275" w:type="dxa"/>
            <w:tcBorders>
              <w:bottom w:val="single" w:sz="4" w:space="0" w:color="auto"/>
            </w:tcBorders>
            <w:shd w:val="clear" w:color="D9E2F3" w:themeColor="accent1" w:themeTint="33" w:fill="FF4D19"/>
          </w:tcPr>
          <w:p w14:paraId="1F8BA9AD" w14:textId="2F6BD5BA" w:rsidR="005366DB" w:rsidRPr="00822EBF" w:rsidRDefault="005366DB" w:rsidP="00AB6A13">
            <w:pPr>
              <w:pStyle w:val="RCTstable"/>
            </w:pPr>
            <w:r>
              <w:t>High</w:t>
            </w:r>
            <w:r w:rsidRPr="00822EBF">
              <w:t xml:space="preserve"> risk</w:t>
            </w:r>
          </w:p>
        </w:tc>
        <w:tc>
          <w:tcPr>
            <w:tcW w:w="11199" w:type="dxa"/>
            <w:vMerge/>
            <w:shd w:val="clear" w:color="D9E2F3" w:themeColor="accent1" w:themeTint="33" w:fill="auto"/>
          </w:tcPr>
          <w:p w14:paraId="4BF9168E" w14:textId="56F307D3" w:rsidR="005366DB" w:rsidRPr="00D7682F" w:rsidRDefault="005366DB" w:rsidP="00AB6A13">
            <w:pPr>
              <w:pStyle w:val="RCTstable"/>
            </w:pPr>
          </w:p>
        </w:tc>
      </w:tr>
      <w:tr w:rsidR="005366DB" w:rsidRPr="00C12274" w14:paraId="5018FED4" w14:textId="77777777" w:rsidTr="00AB6A13">
        <w:trPr>
          <w:cantSplit/>
        </w:trPr>
        <w:tc>
          <w:tcPr>
            <w:tcW w:w="1560" w:type="dxa"/>
            <w:shd w:val="clear" w:color="D9E2F3" w:themeColor="accent1" w:themeTint="33" w:fill="auto"/>
          </w:tcPr>
          <w:p w14:paraId="007824E6" w14:textId="77777777" w:rsidR="005366DB" w:rsidRPr="00C12274" w:rsidRDefault="005366DB" w:rsidP="00AB6A13">
            <w:pPr>
              <w:pStyle w:val="RCTstable"/>
              <w:keepNext/>
            </w:pPr>
            <w:r w:rsidRPr="00C12274">
              <w:t>Incomplete outcome data</w:t>
            </w:r>
          </w:p>
        </w:tc>
        <w:tc>
          <w:tcPr>
            <w:tcW w:w="1275" w:type="dxa"/>
            <w:shd w:val="clear" w:color="D9E2F3" w:themeColor="accent1" w:themeTint="33" w:fill="70AD47" w:themeFill="accent6"/>
          </w:tcPr>
          <w:p w14:paraId="1C2C3CDC" w14:textId="77777777" w:rsidR="005366DB" w:rsidRPr="00C12274" w:rsidRDefault="005366DB" w:rsidP="00AB6A13">
            <w:pPr>
              <w:pStyle w:val="RCTstable"/>
              <w:keepNext/>
            </w:pPr>
            <w:r>
              <w:t>Low</w:t>
            </w:r>
            <w:r w:rsidRPr="00C12274">
              <w:t xml:space="preserve"> risk</w:t>
            </w:r>
          </w:p>
        </w:tc>
        <w:tc>
          <w:tcPr>
            <w:tcW w:w="11199" w:type="dxa"/>
            <w:shd w:val="clear" w:color="D9E2F3" w:themeColor="accent1" w:themeTint="33" w:fill="auto"/>
          </w:tcPr>
          <w:p w14:paraId="68278B54" w14:textId="114EF943" w:rsidR="005366DB" w:rsidRPr="00D51757" w:rsidRDefault="005366DB" w:rsidP="00AB6A13">
            <w:pPr>
              <w:pStyle w:val="RCTstable"/>
            </w:pPr>
            <w:r>
              <w:t>‘</w:t>
            </w:r>
            <w:r w:rsidRPr="00CC0682">
              <w:t>Our loss to follow up rate was low at 5% and occurred primarily due to transfer of obstetric care to another provider. Importantly, there were no differences in BMI category, age or parity in those lost to follow up.</w:t>
            </w:r>
            <w:r>
              <w:t>’</w:t>
            </w:r>
          </w:p>
        </w:tc>
      </w:tr>
      <w:tr w:rsidR="005366DB" w:rsidRPr="00C12274" w14:paraId="44F4E696" w14:textId="77777777" w:rsidTr="005366DB">
        <w:trPr>
          <w:cantSplit/>
        </w:trPr>
        <w:tc>
          <w:tcPr>
            <w:tcW w:w="1560" w:type="dxa"/>
            <w:shd w:val="clear" w:color="D9E2F3" w:themeColor="accent1" w:themeTint="33" w:fill="auto"/>
          </w:tcPr>
          <w:p w14:paraId="69F4DCFC" w14:textId="77777777" w:rsidR="005366DB" w:rsidRPr="00C12274" w:rsidRDefault="005366DB" w:rsidP="00AB6A13">
            <w:pPr>
              <w:pStyle w:val="RCTstable"/>
            </w:pPr>
            <w:r w:rsidRPr="00C12274">
              <w:t>Selective reporting</w:t>
            </w:r>
          </w:p>
        </w:tc>
        <w:tc>
          <w:tcPr>
            <w:tcW w:w="1275" w:type="dxa"/>
            <w:tcBorders>
              <w:bottom w:val="single" w:sz="4" w:space="0" w:color="auto"/>
            </w:tcBorders>
            <w:shd w:val="clear" w:color="D9E2F3" w:themeColor="accent1" w:themeTint="33" w:fill="70AD47" w:themeFill="accent6"/>
          </w:tcPr>
          <w:p w14:paraId="71CEA4CF" w14:textId="77777777" w:rsidR="005366DB" w:rsidRPr="00C12274" w:rsidRDefault="005366DB" w:rsidP="00AB6A13">
            <w:pPr>
              <w:pStyle w:val="RCTstable"/>
            </w:pPr>
            <w:r>
              <w:t>Low</w:t>
            </w:r>
            <w:r w:rsidRPr="00C12274">
              <w:t xml:space="preserve"> risk</w:t>
            </w:r>
          </w:p>
        </w:tc>
        <w:tc>
          <w:tcPr>
            <w:tcW w:w="11199" w:type="dxa"/>
            <w:shd w:val="clear" w:color="D9E2F3" w:themeColor="accent1" w:themeTint="33" w:fill="auto"/>
          </w:tcPr>
          <w:p w14:paraId="1F957D4E" w14:textId="01C2E607" w:rsidR="005366DB" w:rsidRPr="001969C3" w:rsidRDefault="005366DB" w:rsidP="00AB6A13">
            <w:pPr>
              <w:pStyle w:val="RCTstable"/>
            </w:pPr>
            <w:r>
              <w:t>Prespecified outcomes reported.</w:t>
            </w:r>
          </w:p>
        </w:tc>
      </w:tr>
      <w:tr w:rsidR="005366DB" w:rsidRPr="00C12274" w14:paraId="54B8B272" w14:textId="77777777" w:rsidTr="005366DB">
        <w:trPr>
          <w:cantSplit/>
        </w:trPr>
        <w:tc>
          <w:tcPr>
            <w:tcW w:w="1560" w:type="dxa"/>
            <w:shd w:val="clear" w:color="D9E2F3" w:themeColor="accent1" w:themeTint="33" w:fill="auto"/>
          </w:tcPr>
          <w:p w14:paraId="023EECC0" w14:textId="77777777" w:rsidR="005366DB" w:rsidRPr="00C12274" w:rsidRDefault="005366DB" w:rsidP="00AB6A13">
            <w:pPr>
              <w:pStyle w:val="RCTstable"/>
              <w:rPr>
                <w:lang w:val="en-US"/>
              </w:rPr>
            </w:pPr>
            <w:r w:rsidRPr="00C12274">
              <w:rPr>
                <w:lang w:val="en-US"/>
              </w:rPr>
              <w:t xml:space="preserve">Other limitations </w:t>
            </w:r>
          </w:p>
        </w:tc>
        <w:tc>
          <w:tcPr>
            <w:tcW w:w="1275" w:type="dxa"/>
            <w:shd w:val="clear" w:color="D9E2F3" w:themeColor="accent1" w:themeTint="33" w:fill="FF4D19"/>
          </w:tcPr>
          <w:p w14:paraId="430D3693" w14:textId="7F91EE28" w:rsidR="005366DB" w:rsidRPr="00C12274" w:rsidRDefault="005366DB" w:rsidP="00AB6A13">
            <w:pPr>
              <w:pStyle w:val="RCTstable"/>
              <w:rPr>
                <w:lang w:val="en-US"/>
              </w:rPr>
            </w:pPr>
            <w:r>
              <w:rPr>
                <w:lang w:val="en-US"/>
              </w:rPr>
              <w:t>High</w:t>
            </w:r>
            <w:r w:rsidRPr="00C12274">
              <w:rPr>
                <w:lang w:val="en-US"/>
              </w:rPr>
              <w:t xml:space="preserve"> risk</w:t>
            </w:r>
          </w:p>
        </w:tc>
        <w:tc>
          <w:tcPr>
            <w:tcW w:w="11199" w:type="dxa"/>
            <w:shd w:val="clear" w:color="D9E2F3" w:themeColor="accent1" w:themeTint="33" w:fill="auto"/>
          </w:tcPr>
          <w:p w14:paraId="6CF3816A" w14:textId="5A0D5FBB" w:rsidR="005366DB" w:rsidRPr="001969C3" w:rsidRDefault="005366DB" w:rsidP="00AB6A13">
            <w:pPr>
              <w:pStyle w:val="RCTstable"/>
            </w:pPr>
            <w:r>
              <w:t>Baseline characteristics were balanced between intervention and control groups with the exception of ethnicity and null parity where there was an imbalance.</w:t>
            </w:r>
          </w:p>
        </w:tc>
      </w:tr>
      <w:tr w:rsidR="00D7682F" w:rsidRPr="006234EA" w14:paraId="7F22AC43" w14:textId="77777777" w:rsidTr="00AB6A13">
        <w:trPr>
          <w:cantSplit/>
        </w:trPr>
        <w:tc>
          <w:tcPr>
            <w:tcW w:w="14034" w:type="dxa"/>
            <w:gridSpan w:val="3"/>
            <w:shd w:val="solid" w:color="D9E2F3" w:themeColor="accent1" w:themeTint="33" w:fill="auto"/>
          </w:tcPr>
          <w:p w14:paraId="1955797F" w14:textId="235CB252" w:rsidR="00D7682F" w:rsidRPr="00470354" w:rsidRDefault="00D7682F" w:rsidP="001A2F28">
            <w:pPr>
              <w:pStyle w:val="Tablecell"/>
              <w:keepNext/>
              <w:spacing w:line="220" w:lineRule="exact"/>
              <w:rPr>
                <w:rFonts w:eastAsiaTheme="minorHAnsi"/>
                <w:b/>
                <w:sz w:val="16"/>
                <w:szCs w:val="16"/>
                <w:lang w:val="en-US"/>
              </w:rPr>
            </w:pPr>
            <w:r w:rsidRPr="0077024A">
              <w:rPr>
                <w:b/>
                <w:sz w:val="16"/>
                <w:szCs w:val="16"/>
              </w:rPr>
              <w:t>Daley et al 2019</w:t>
            </w:r>
            <w:r>
              <w:fldChar w:fldCharType="begin">
                <w:fldData xml:space="preserve">PEVuZE5vdGU+PENpdGU+PEF1dGhvcj5EYWxleTwvQXV0aG9yPjxZZWFyPjIwMTk8L1llYXI+PFJl
Y051bT4xNzAzPC9SZWNOdW0+PERpc3BsYXlUZXh0PjxzdHlsZSBmYWNlPSJzdXBlcnNjcmlwdCIg
Zm9udD0iVHJlYnVjaGV0IE1TIiBzaXplPSI5Ij4zODc8L3N0eWxlPjwvRGlzcGxheVRleHQ+PHJl
Y29yZD48cmVjLW51bWJlcj4xNzAzPC9yZWMtbnVtYmVyPjxmb3JlaWduLWtleXM+PGtleSBhcHA9
IkVOIiBkYi1pZD0iZXh2YXNyZngyZHRyYW9lc2FzeHAyc3pzeGEyZGY1MDI1OTJ4IiB0aW1lc3Rh
bXA9IjE1ODE5MTY5NDQiPjE3MDM8L2tleT48a2V5IGFwcD0iRU5XZWIiIGRiLWlkPSIiPjA8L2tl
eT48L2ZvcmVpZ24ta2V5cz48cmVmLXR5cGUgbmFtZT0iSm91cm5hbCBBcnRpY2xlIj4xNzwvcmVm
LXR5cGU+PGNvbnRyaWJ1dG9ycz48YXV0aG9ycz48YXV0aG9yPkRhbGV5LCBBLjwvYXV0aG9yPjxh
dXRob3I+Sm9sbHksIEsuPC9hdXRob3I+PGF1dGhvcj5KZWJiLCBTLiBBLjwvYXV0aG9yPjxhdXRo
b3I+Um9hbGZlLCBBLjwvYXV0aG9yPjxhdXRob3I+TWFja2lsbGxvcCwgTC48L2F1dGhvcj48YXV0
aG9yPkxld2lzLCBBLjwvYXV0aG9yPjxhdXRob3I+Q2xpZmZvcmQsIFMuPC9hdXRob3I+PGF1dGhv
cj5Vc21hbiwgTS48L2F1dGhvcj48YXV0aG9yPk9oYWRpa2UsIEMuPC9hdXRob3I+PGF1dGhvcj5L
ZW55b24sIFMuPC9hdXRob3I+PGF1dGhvcj5NYWNBcnRodXIsIEMuPC9hdXRob3I+PGF1dGhvcj5B
dmV5YXJkLCBQLjwvYXV0aG9yPjwvYXV0aG9ycz48L2NvbnRyaWJ1dG9ycz48YXV0aC1hZGRyZXNz
PlNjaG9vbCBvZiBTcG9ydCwgRXhlcmNpc2UgYW5kIEhlYWx0aCBTY2llbmNlcywgTG91Z2hib3Jv
dWdoIFVuaXZlcnNpdHksIExvdWdoYm9yb3VnaCwgVUsgYS5kYWxleUBsYm9yby5hYy51ay4mI3hE
O0luc3RpdHV0ZSBvZiBBcHBsaWVkIEhlYWx0aCBSZXNlYXJjaCxDb2xsZWdlIG9mIE1lZGljYWwg
YW5kIERlbnRhbCBTY2llbmNlcywgVW5pdmVyc2l0eSBvZiBCaXJtaW5naGFtLCBCaXJtaW5naGFt
LCBVSy4mI3hEO051ZmZpZWxkIERlcGFydG1lbnQgb2YgUHJpbWFyeSBDYXJlIEhlYWx0aCBTY2ll
bmNlcywgVW5pdmVyc2l0eSBvZiBPeGZvcmQsIFJhZGNsaWZmZSBPYnNlcnZhdG9yeSBRdWFydGVy
LCBPeGZvcmQsIFVLLiYjeEQ7TnVmZmllbGQgRGVwYXJ0bWVudCBvZiBXb21lbiZhcG9zO3MgYW5k
IFJlcHJvZHVjdGl2ZSBIZWFsdGgsIFVuaXZlcnNpdHkgb2YgT3hmb3JkLCBKb2huIFJhZGNsaWZm
ZSBIb3NwaXRhbCwgT3hmb3JkLCBVSy4mI3hEO1BvcHVsYXRpb24gSGVhbHRoIFNjaWVuY2VzLCBC
cmlzdG9sIE1lZGljYWwgU2Nob29sLCBVbml2ZXJzaXR5IG9mIEJyaXN0b2wsIENhbnluZ2UgSGFs
bCwgQnJpc3RvbCwgVUsuJiN4RDtTaGVyd29vZCBGb3Jlc3QgSG9zcGl0YWxzIE5IUyBGb3VuZGF0
aW9uVHJ1c3QsIE5vdHRpbmdoYW1zaGlyZSwgVUsuPC9hdXRoLWFkZHJlc3M+PHRpdGxlcz48dGl0
bGU+RWZmZWN0aXZlbmVzcyBvZiBhIGJlaGF2aW91cmFsIGludGVydmVudGlvbiBpbnZvbHZpbmcg
cmVndWxhciB3ZWlnaGluZyBhbmQgZmVlZGJhY2sgYnkgY29tbXVuaXR5IG1pZHdpdmVzIHdpdGhp
biByb3V0aW5lIGFudGVuYXRhbCBjYXJlIHRvIHByZXZlbnQgZXhjZXNzaXZlIGdlc3RhdGlvbmFs
IHdlaWdodCBnYWluOiBQT1BTMiByYW5kb21pc2VkIGNvbnRyb2xsZWQgdHJpYWw8L3RpdGxlPjxz
ZWNvbmRhcnktdGl0bGU+Qk1KIE9wZW48L3NlY29uZGFyeS10aXRsZT48L3RpdGxlcz48cGVyaW9k
aWNhbD48ZnVsbC10aXRsZT5CTUogT3BlbjwvZnVsbC10aXRsZT48L3BlcmlvZGljYWw+PHBhZ2Vz
PmUwMzAxNzQ8L3BhZ2VzPjx2b2x1bWU+OTwvdm9sdW1lPjxudW1iZXI+OTwvbnVtYmVyPjxlZGl0
aW9uPjIwMTkvMDkvMTk8L2VkaXRpb24+PGtleXdvcmRzPjxrZXl3b3JkPnByZWduYW5jeTwva2V5
d29yZD48a2V5d29yZD5wcmVnbmFuY3ksIHdlaWdoaW5nLCBtaWR3aXZlcywgd2VpZ2h0PC9rZXl3
b3JkPjxrZXl3b3JkPndlaWdoaW5nPC9rZXl3b3JkPjxrZXl3b3JkPndlaWdodDwva2V5d29yZD48
L2tleXdvcmRzPjxkYXRlcz48eWVhcj4yMDE5PC95ZWFyPjxwdWItZGF0ZXM+PGRhdGU+U2VwIDE3
PC9kYXRlPjwvcHViLWRhdGVzPjwvZGF0ZXM+PGlzYm4+MjA0NC02MDU1IChFbGVjdHJvbmljKSYj
eEQ7MjA0NC02MDU1IChMaW5raW5nKTwvaXNibj48YWNjZXNzaW9uLW51bT4zMTUzMDYwODwvYWNj
ZXNzaW9uLW51bT48dXJscz48cmVsYXRlZC11cmxzPjx1cmw+aHR0cHM6Ly93d3cubmNiaS5ubG0u
bmloLmdvdi9wdWJtZWQvMzE1MzA2MDg8L3VybD48L3JlbGF0ZWQtdXJscz48L3VybHM+PGN1c3Rv
bTI+UE1DNjc1NjQyMTwvY3VzdG9tMj48ZWxlY3Ryb25pYy1yZXNvdXJjZS1udW0+MTAuMTEzNi9i
bWpvcGVuLTIwMTktMDMwMTc0PC9lbGVjdHJvbmljLXJlc291cmNlLW51bT48L3JlY29yZD48L0Np
dGU+PC9FbmROb3RlPn==
</w:fldData>
              </w:fldChar>
            </w:r>
            <w:r w:rsidR="001A2F28">
              <w:instrText xml:space="preserve"> ADDIN EN.CITE </w:instrText>
            </w:r>
            <w:r w:rsidR="001A2F28">
              <w:fldChar w:fldCharType="begin">
                <w:fldData xml:space="preserve">PEVuZE5vdGU+PENpdGU+PEF1dGhvcj5EYWxleTwvQXV0aG9yPjxZZWFyPjIwMTk8L1llYXI+PFJl
Y051bT4xNzAzPC9SZWNOdW0+PERpc3BsYXlUZXh0PjxzdHlsZSBmYWNlPSJzdXBlcnNjcmlwdCIg
Zm9udD0iVHJlYnVjaGV0IE1TIiBzaXplPSI5Ij4zODc8L3N0eWxlPjwvRGlzcGxheVRleHQ+PHJl
Y29yZD48cmVjLW51bWJlcj4xNzAzPC9yZWMtbnVtYmVyPjxmb3JlaWduLWtleXM+PGtleSBhcHA9
IkVOIiBkYi1pZD0iZXh2YXNyZngyZHRyYW9lc2FzeHAyc3pzeGEyZGY1MDI1OTJ4IiB0aW1lc3Rh
bXA9IjE1ODE5MTY5NDQiPjE3MDM8L2tleT48a2V5IGFwcD0iRU5XZWIiIGRiLWlkPSIiPjA8L2tl
eT48L2ZvcmVpZ24ta2V5cz48cmVmLXR5cGUgbmFtZT0iSm91cm5hbCBBcnRpY2xlIj4xNzwvcmVm
LXR5cGU+PGNvbnRyaWJ1dG9ycz48YXV0aG9ycz48YXV0aG9yPkRhbGV5LCBBLjwvYXV0aG9yPjxh
dXRob3I+Sm9sbHksIEsuPC9hdXRob3I+PGF1dGhvcj5KZWJiLCBTLiBBLjwvYXV0aG9yPjxhdXRo
b3I+Um9hbGZlLCBBLjwvYXV0aG9yPjxhdXRob3I+TWFja2lsbGxvcCwgTC48L2F1dGhvcj48YXV0
aG9yPkxld2lzLCBBLjwvYXV0aG9yPjxhdXRob3I+Q2xpZmZvcmQsIFMuPC9hdXRob3I+PGF1dGhv
cj5Vc21hbiwgTS48L2F1dGhvcj48YXV0aG9yPk9oYWRpa2UsIEMuPC9hdXRob3I+PGF1dGhvcj5L
ZW55b24sIFMuPC9hdXRob3I+PGF1dGhvcj5NYWNBcnRodXIsIEMuPC9hdXRob3I+PGF1dGhvcj5B
dmV5YXJkLCBQLjwvYXV0aG9yPjwvYXV0aG9ycz48L2NvbnRyaWJ1dG9ycz48YXV0aC1hZGRyZXNz
PlNjaG9vbCBvZiBTcG9ydCwgRXhlcmNpc2UgYW5kIEhlYWx0aCBTY2llbmNlcywgTG91Z2hib3Jv
dWdoIFVuaXZlcnNpdHksIExvdWdoYm9yb3VnaCwgVUsgYS5kYWxleUBsYm9yby5hYy51ay4mI3hE
O0luc3RpdHV0ZSBvZiBBcHBsaWVkIEhlYWx0aCBSZXNlYXJjaCxDb2xsZWdlIG9mIE1lZGljYWwg
YW5kIERlbnRhbCBTY2llbmNlcywgVW5pdmVyc2l0eSBvZiBCaXJtaW5naGFtLCBCaXJtaW5naGFt
LCBVSy4mI3hEO051ZmZpZWxkIERlcGFydG1lbnQgb2YgUHJpbWFyeSBDYXJlIEhlYWx0aCBTY2ll
bmNlcywgVW5pdmVyc2l0eSBvZiBPeGZvcmQsIFJhZGNsaWZmZSBPYnNlcnZhdG9yeSBRdWFydGVy
LCBPeGZvcmQsIFVLLiYjeEQ7TnVmZmllbGQgRGVwYXJ0bWVudCBvZiBXb21lbiZhcG9zO3MgYW5k
IFJlcHJvZHVjdGl2ZSBIZWFsdGgsIFVuaXZlcnNpdHkgb2YgT3hmb3JkLCBKb2huIFJhZGNsaWZm
ZSBIb3NwaXRhbCwgT3hmb3JkLCBVSy4mI3hEO1BvcHVsYXRpb24gSGVhbHRoIFNjaWVuY2VzLCBC
cmlzdG9sIE1lZGljYWwgU2Nob29sLCBVbml2ZXJzaXR5IG9mIEJyaXN0b2wsIENhbnluZ2UgSGFs
bCwgQnJpc3RvbCwgVUsuJiN4RDtTaGVyd29vZCBGb3Jlc3QgSG9zcGl0YWxzIE5IUyBGb3VuZGF0
aW9uVHJ1c3QsIE5vdHRpbmdoYW1zaGlyZSwgVUsuPC9hdXRoLWFkZHJlc3M+PHRpdGxlcz48dGl0
bGU+RWZmZWN0aXZlbmVzcyBvZiBhIGJlaGF2aW91cmFsIGludGVydmVudGlvbiBpbnZvbHZpbmcg
cmVndWxhciB3ZWlnaGluZyBhbmQgZmVlZGJhY2sgYnkgY29tbXVuaXR5IG1pZHdpdmVzIHdpdGhp
biByb3V0aW5lIGFudGVuYXRhbCBjYXJlIHRvIHByZXZlbnQgZXhjZXNzaXZlIGdlc3RhdGlvbmFs
IHdlaWdodCBnYWluOiBQT1BTMiByYW5kb21pc2VkIGNvbnRyb2xsZWQgdHJpYWw8L3RpdGxlPjxz
ZWNvbmRhcnktdGl0bGU+Qk1KIE9wZW48L3NlY29uZGFyeS10aXRsZT48L3RpdGxlcz48cGVyaW9k
aWNhbD48ZnVsbC10aXRsZT5CTUogT3BlbjwvZnVsbC10aXRsZT48L3BlcmlvZGljYWw+PHBhZ2Vz
PmUwMzAxNzQ8L3BhZ2VzPjx2b2x1bWU+OTwvdm9sdW1lPjxudW1iZXI+OTwvbnVtYmVyPjxlZGl0
aW9uPjIwMTkvMDkvMTk8L2VkaXRpb24+PGtleXdvcmRzPjxrZXl3b3JkPnByZWduYW5jeTwva2V5
d29yZD48a2V5d29yZD5wcmVnbmFuY3ksIHdlaWdoaW5nLCBtaWR3aXZlcywgd2VpZ2h0PC9rZXl3
b3JkPjxrZXl3b3JkPndlaWdoaW5nPC9rZXl3b3JkPjxrZXl3b3JkPndlaWdodDwva2V5d29yZD48
L2tleXdvcmRzPjxkYXRlcz48eWVhcj4yMDE5PC95ZWFyPjxwdWItZGF0ZXM+PGRhdGU+U2VwIDE3
PC9kYXRlPjwvcHViLWRhdGVzPjwvZGF0ZXM+PGlzYm4+MjA0NC02MDU1IChFbGVjdHJvbmljKSYj
eEQ7MjA0NC02MDU1IChMaW5raW5nKTwvaXNibj48YWNjZXNzaW9uLW51bT4zMTUzMDYwODwvYWNj
ZXNzaW9uLW51bT48dXJscz48cmVsYXRlZC11cmxzPjx1cmw+aHR0cHM6Ly93d3cubmNiaS5ubG0u
bmloLmdvdi9wdWJtZWQvMzE1MzA2MDg8L3VybD48L3JlbGF0ZWQtdXJscz48L3VybHM+PGN1c3Rv
bTI+UE1DNjc1NjQyMTwvY3VzdG9tMj48ZWxlY3Ryb25pYy1yZXNvdXJjZS1udW0+MTAuMTEzNi9i
bWpvcGVuLTIwMTktMDMwMTc0PC9lbGVjdHJvbmljLXJlc291cmNlLW51bT48L3JlY29yZD48L0Np
dGU+PC9FbmROb3RlPn==
</w:fldData>
              </w:fldChar>
            </w:r>
            <w:r w:rsidR="001A2F28">
              <w:instrText xml:space="preserve"> ADDIN EN.CITE.DATA </w:instrText>
            </w:r>
            <w:r w:rsidR="001A2F28">
              <w:fldChar w:fldCharType="end"/>
            </w:r>
            <w:r>
              <w:fldChar w:fldCharType="separate"/>
            </w:r>
            <w:r w:rsidR="001A2F28" w:rsidRPr="001A2F28">
              <w:rPr>
                <w:noProof/>
                <w:vertAlign w:val="superscript"/>
              </w:rPr>
              <w:t>387</w:t>
            </w:r>
            <w:r>
              <w:fldChar w:fldCharType="end"/>
            </w:r>
          </w:p>
        </w:tc>
      </w:tr>
      <w:tr w:rsidR="00D7682F" w:rsidRPr="00C12274" w14:paraId="7A67BE57" w14:textId="77777777" w:rsidTr="00D7682F">
        <w:trPr>
          <w:cantSplit/>
        </w:trPr>
        <w:tc>
          <w:tcPr>
            <w:tcW w:w="1560" w:type="dxa"/>
            <w:shd w:val="clear" w:color="D9E2F3" w:themeColor="accent1" w:themeTint="33" w:fill="auto"/>
          </w:tcPr>
          <w:p w14:paraId="70379035" w14:textId="77777777" w:rsidR="00D7682F" w:rsidRPr="00C12274" w:rsidRDefault="00D7682F" w:rsidP="00AB6A13">
            <w:pPr>
              <w:pStyle w:val="RCTstable"/>
              <w:keepNext/>
            </w:pPr>
            <w:r w:rsidRPr="00C12274">
              <w:t>Random sequence generation</w:t>
            </w:r>
          </w:p>
        </w:tc>
        <w:tc>
          <w:tcPr>
            <w:tcW w:w="1275" w:type="dxa"/>
            <w:tcBorders>
              <w:bottom w:val="single" w:sz="4" w:space="0" w:color="auto"/>
            </w:tcBorders>
            <w:shd w:val="clear" w:color="D9E2F3" w:themeColor="accent1" w:themeTint="33" w:fill="70AD47" w:themeFill="accent6"/>
          </w:tcPr>
          <w:p w14:paraId="1EA4237D" w14:textId="77777777" w:rsidR="00D7682F" w:rsidRPr="00C12274" w:rsidRDefault="00D7682F" w:rsidP="00AB6A13">
            <w:pPr>
              <w:pStyle w:val="RCTstable"/>
              <w:keepNext/>
            </w:pPr>
            <w:r>
              <w:t>Low</w:t>
            </w:r>
            <w:r w:rsidRPr="00C12274">
              <w:t xml:space="preserve"> risk</w:t>
            </w:r>
          </w:p>
        </w:tc>
        <w:tc>
          <w:tcPr>
            <w:tcW w:w="11199" w:type="dxa"/>
            <w:shd w:val="clear" w:color="D9E2F3" w:themeColor="accent1" w:themeTint="33" w:fill="auto"/>
          </w:tcPr>
          <w:p w14:paraId="19F22AFC" w14:textId="66954AC2" w:rsidR="00D7682F" w:rsidRPr="00D7682F" w:rsidRDefault="00D7682F" w:rsidP="00D7682F">
            <w:pPr>
              <w:pStyle w:val="RCTstable"/>
            </w:pPr>
            <w:r w:rsidRPr="00D7682F">
              <w:t>The randomisation list was created by an independent</w:t>
            </w:r>
            <w:r>
              <w:t xml:space="preserve"> </w:t>
            </w:r>
            <w:r w:rsidRPr="00D7682F">
              <w:t>statistician using nQuery Advisor V.7.0. Randomisation</w:t>
            </w:r>
            <w:r>
              <w:t xml:space="preserve"> </w:t>
            </w:r>
            <w:r w:rsidRPr="00D7682F">
              <w:t>was stratified by BMI category at recruitment (healthy</w:t>
            </w:r>
            <w:r>
              <w:t xml:space="preserve"> </w:t>
            </w:r>
            <w:r w:rsidRPr="00D7682F">
              <w:t>weight/overweight/obese) and recruitment site. Participants</w:t>
            </w:r>
            <w:r>
              <w:t xml:space="preserve"> </w:t>
            </w:r>
            <w:r w:rsidRPr="00D7682F">
              <w:t>were individually randomised using random</w:t>
            </w:r>
            <w:r>
              <w:t xml:space="preserve"> </w:t>
            </w:r>
            <w:r w:rsidRPr="00D7682F">
              <w:t>permuted blocks of mixed size (2, 4 or 6).</w:t>
            </w:r>
          </w:p>
        </w:tc>
      </w:tr>
      <w:tr w:rsidR="00D7682F" w:rsidRPr="00C12274" w14:paraId="4318CB8E" w14:textId="77777777" w:rsidTr="00D7682F">
        <w:trPr>
          <w:cantSplit/>
        </w:trPr>
        <w:tc>
          <w:tcPr>
            <w:tcW w:w="1560" w:type="dxa"/>
            <w:shd w:val="clear" w:color="D9E2F3" w:themeColor="accent1" w:themeTint="33" w:fill="auto"/>
          </w:tcPr>
          <w:p w14:paraId="78FE03AB" w14:textId="77777777" w:rsidR="00D7682F" w:rsidRPr="00C12274" w:rsidRDefault="00D7682F" w:rsidP="00AB6A13">
            <w:pPr>
              <w:pStyle w:val="RCTstable"/>
              <w:keepNext/>
            </w:pPr>
            <w:r w:rsidRPr="00C12274">
              <w:t xml:space="preserve">Allocation concealment </w:t>
            </w:r>
          </w:p>
        </w:tc>
        <w:tc>
          <w:tcPr>
            <w:tcW w:w="1275" w:type="dxa"/>
            <w:shd w:val="clear" w:color="auto" w:fill="FF4D19"/>
          </w:tcPr>
          <w:p w14:paraId="43DF9EE6" w14:textId="6F0DCC40" w:rsidR="00D7682F" w:rsidRPr="00C12274" w:rsidRDefault="00D7682F" w:rsidP="00AB6A13">
            <w:pPr>
              <w:pStyle w:val="RCTstable"/>
              <w:keepNext/>
            </w:pPr>
            <w:r>
              <w:t>High</w:t>
            </w:r>
            <w:r w:rsidRPr="00C12274">
              <w:t xml:space="preserve"> risk</w:t>
            </w:r>
          </w:p>
        </w:tc>
        <w:tc>
          <w:tcPr>
            <w:tcW w:w="11199" w:type="dxa"/>
            <w:vMerge w:val="restart"/>
            <w:shd w:val="clear" w:color="D9E2F3" w:themeColor="accent1" w:themeTint="33" w:fill="auto"/>
          </w:tcPr>
          <w:p w14:paraId="74DFA70E" w14:textId="55340A92" w:rsidR="00D7682F" w:rsidRPr="00D7682F" w:rsidRDefault="00D7682F" w:rsidP="00D7682F">
            <w:pPr>
              <w:pStyle w:val="RCTstable"/>
            </w:pPr>
            <w:r w:rsidRPr="00D7682F">
              <w:t>Due to the</w:t>
            </w:r>
            <w:r>
              <w:t xml:space="preserve"> </w:t>
            </w:r>
            <w:r w:rsidRPr="00D7682F">
              <w:t>nature of the intervention, it was not possible to blind</w:t>
            </w:r>
            <w:r>
              <w:t xml:space="preserve"> </w:t>
            </w:r>
            <w:r w:rsidRPr="00D7682F">
              <w:t>participants or community midwives to the intervention.</w:t>
            </w:r>
          </w:p>
        </w:tc>
      </w:tr>
      <w:tr w:rsidR="00D7682F" w:rsidRPr="00C12274" w14:paraId="7FB7EFFA" w14:textId="77777777" w:rsidTr="00D7682F">
        <w:trPr>
          <w:cantSplit/>
          <w:trHeight w:val="291"/>
        </w:trPr>
        <w:tc>
          <w:tcPr>
            <w:tcW w:w="1560" w:type="dxa"/>
            <w:shd w:val="clear" w:color="D9E2F3" w:themeColor="accent1" w:themeTint="33" w:fill="auto"/>
          </w:tcPr>
          <w:p w14:paraId="2945F003" w14:textId="77777777" w:rsidR="00D7682F" w:rsidRPr="00C12274" w:rsidRDefault="00D7682F" w:rsidP="00AB6A13">
            <w:pPr>
              <w:pStyle w:val="RCTstable"/>
              <w:keepNext/>
            </w:pPr>
            <w:r>
              <w:t>Performance bias</w:t>
            </w:r>
          </w:p>
        </w:tc>
        <w:tc>
          <w:tcPr>
            <w:tcW w:w="1275" w:type="dxa"/>
            <w:tcBorders>
              <w:bottom w:val="single" w:sz="4" w:space="0" w:color="auto"/>
            </w:tcBorders>
            <w:shd w:val="clear" w:color="auto" w:fill="FF4D19"/>
          </w:tcPr>
          <w:p w14:paraId="7B156C5E" w14:textId="314DF292" w:rsidR="00D7682F" w:rsidRPr="00C12274" w:rsidRDefault="00D7682F" w:rsidP="00AB6A13">
            <w:pPr>
              <w:pStyle w:val="RCTstable"/>
              <w:keepNext/>
            </w:pPr>
            <w:r>
              <w:t>High</w:t>
            </w:r>
            <w:r w:rsidRPr="00C12274">
              <w:t xml:space="preserve"> risk</w:t>
            </w:r>
          </w:p>
        </w:tc>
        <w:tc>
          <w:tcPr>
            <w:tcW w:w="11199" w:type="dxa"/>
            <w:vMerge/>
            <w:shd w:val="clear" w:color="D9E2F3" w:themeColor="accent1" w:themeTint="33" w:fill="auto"/>
          </w:tcPr>
          <w:p w14:paraId="7FEB44B6" w14:textId="47A47338" w:rsidR="00D7682F" w:rsidRPr="00D7682F" w:rsidRDefault="00D7682F" w:rsidP="00D7682F">
            <w:pPr>
              <w:spacing w:before="0" w:after="0" w:line="240" w:lineRule="auto"/>
              <w:rPr>
                <w:rFonts w:ascii="Times" w:hAnsi="Times"/>
                <w:sz w:val="15"/>
                <w:szCs w:val="15"/>
              </w:rPr>
            </w:pPr>
          </w:p>
        </w:tc>
      </w:tr>
      <w:tr w:rsidR="00D7682F" w:rsidRPr="00822EBF" w14:paraId="6D5D4AD0" w14:textId="77777777" w:rsidTr="002F478F">
        <w:trPr>
          <w:cantSplit/>
        </w:trPr>
        <w:tc>
          <w:tcPr>
            <w:tcW w:w="1560" w:type="dxa"/>
            <w:shd w:val="clear" w:color="D9E2F3" w:themeColor="accent1" w:themeTint="33" w:fill="auto"/>
          </w:tcPr>
          <w:p w14:paraId="4E7E3F62" w14:textId="77777777" w:rsidR="00D7682F" w:rsidRPr="00822EBF" w:rsidRDefault="00D7682F" w:rsidP="00AB6A13">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5C526C4A" w14:textId="2E26B5B2" w:rsidR="00D7682F" w:rsidRPr="00822EBF" w:rsidRDefault="00D7682F" w:rsidP="00AB6A13">
            <w:pPr>
              <w:pStyle w:val="RCTstable"/>
            </w:pPr>
            <w:r>
              <w:t>Low</w:t>
            </w:r>
            <w:r w:rsidRPr="00822EBF">
              <w:t xml:space="preserve"> risk</w:t>
            </w:r>
          </w:p>
        </w:tc>
        <w:tc>
          <w:tcPr>
            <w:tcW w:w="11199" w:type="dxa"/>
            <w:shd w:val="clear" w:color="D9E2F3" w:themeColor="accent1" w:themeTint="33" w:fill="auto"/>
          </w:tcPr>
          <w:p w14:paraId="61113CFB" w14:textId="110818AC" w:rsidR="00D7682F" w:rsidRPr="00D7682F" w:rsidRDefault="00D7682F" w:rsidP="00D7682F">
            <w:pPr>
              <w:pStyle w:val="RCTstable"/>
            </w:pPr>
            <w:r w:rsidRPr="00D7682F">
              <w:t>The trial statistician remained blinded to group allocation</w:t>
            </w:r>
            <w:r>
              <w:t xml:space="preserve"> </w:t>
            </w:r>
            <w:r w:rsidRPr="00D7682F">
              <w:t>until completion of analyses.</w:t>
            </w:r>
          </w:p>
        </w:tc>
      </w:tr>
      <w:tr w:rsidR="00D7682F" w:rsidRPr="00C12274" w14:paraId="7113C2E6" w14:textId="77777777" w:rsidTr="002F478F">
        <w:trPr>
          <w:cantSplit/>
        </w:trPr>
        <w:tc>
          <w:tcPr>
            <w:tcW w:w="1560" w:type="dxa"/>
            <w:shd w:val="clear" w:color="D9E2F3" w:themeColor="accent1" w:themeTint="33" w:fill="auto"/>
          </w:tcPr>
          <w:p w14:paraId="2F0C0167" w14:textId="77777777" w:rsidR="00D7682F" w:rsidRPr="00C12274" w:rsidRDefault="00D7682F" w:rsidP="00AB6A13">
            <w:pPr>
              <w:pStyle w:val="RCTstable"/>
              <w:keepNext/>
            </w:pPr>
            <w:r w:rsidRPr="00C12274">
              <w:t>Incomplete outcome data</w:t>
            </w:r>
          </w:p>
        </w:tc>
        <w:tc>
          <w:tcPr>
            <w:tcW w:w="1275" w:type="dxa"/>
            <w:shd w:val="clear" w:color="D9E2F3" w:themeColor="accent1" w:themeTint="33" w:fill="FF4D19"/>
          </w:tcPr>
          <w:p w14:paraId="7A9E9F5C" w14:textId="2F6B107E" w:rsidR="00D7682F" w:rsidRPr="00C12274" w:rsidRDefault="00F44C64" w:rsidP="00AB6A13">
            <w:pPr>
              <w:pStyle w:val="RCTstable"/>
              <w:keepNext/>
            </w:pPr>
            <w:r>
              <w:t>High</w:t>
            </w:r>
            <w:r w:rsidR="00D7682F" w:rsidRPr="00C12274">
              <w:t xml:space="preserve"> risk</w:t>
            </w:r>
          </w:p>
        </w:tc>
        <w:tc>
          <w:tcPr>
            <w:tcW w:w="11199" w:type="dxa"/>
            <w:shd w:val="clear" w:color="D9E2F3" w:themeColor="accent1" w:themeTint="33" w:fill="auto"/>
          </w:tcPr>
          <w:p w14:paraId="32548F8C" w14:textId="5A9CC1B5" w:rsidR="00D7682F" w:rsidRPr="00D51757" w:rsidRDefault="00F44C64" w:rsidP="00AB6A13">
            <w:pPr>
              <w:pStyle w:val="RCTstable"/>
            </w:pPr>
            <w:r>
              <w:t>High</w:t>
            </w:r>
            <w:r w:rsidR="0091303A">
              <w:t xml:space="preserve"> attrition in both groups</w:t>
            </w:r>
            <w:r w:rsidR="00CF6083">
              <w:t>: 24% in intervention group and 22% in control group.</w:t>
            </w:r>
          </w:p>
        </w:tc>
      </w:tr>
      <w:tr w:rsidR="00D7682F" w:rsidRPr="00C12274" w14:paraId="330A5900" w14:textId="77777777" w:rsidTr="00AB6A13">
        <w:trPr>
          <w:cantSplit/>
        </w:trPr>
        <w:tc>
          <w:tcPr>
            <w:tcW w:w="1560" w:type="dxa"/>
            <w:shd w:val="clear" w:color="D9E2F3" w:themeColor="accent1" w:themeTint="33" w:fill="auto"/>
          </w:tcPr>
          <w:p w14:paraId="1E28F7FA" w14:textId="77777777" w:rsidR="00D7682F" w:rsidRPr="00C12274" w:rsidRDefault="00D7682F" w:rsidP="00AB6A13">
            <w:pPr>
              <w:pStyle w:val="RCTstable"/>
            </w:pPr>
            <w:r w:rsidRPr="00C12274">
              <w:t>Selective reporting</w:t>
            </w:r>
          </w:p>
        </w:tc>
        <w:tc>
          <w:tcPr>
            <w:tcW w:w="1275" w:type="dxa"/>
            <w:shd w:val="clear" w:color="D9E2F3" w:themeColor="accent1" w:themeTint="33" w:fill="70AD47" w:themeFill="accent6"/>
          </w:tcPr>
          <w:p w14:paraId="24BE0691" w14:textId="77777777" w:rsidR="00D7682F" w:rsidRPr="00C12274" w:rsidRDefault="00D7682F" w:rsidP="00AB6A13">
            <w:pPr>
              <w:pStyle w:val="RCTstable"/>
            </w:pPr>
            <w:r>
              <w:t>Low</w:t>
            </w:r>
            <w:r w:rsidRPr="00C12274">
              <w:t xml:space="preserve"> risk</w:t>
            </w:r>
          </w:p>
        </w:tc>
        <w:tc>
          <w:tcPr>
            <w:tcW w:w="11199" w:type="dxa"/>
            <w:shd w:val="clear" w:color="D9E2F3" w:themeColor="accent1" w:themeTint="33" w:fill="auto"/>
          </w:tcPr>
          <w:p w14:paraId="290EACDD" w14:textId="77777777" w:rsidR="00D7682F" w:rsidRPr="001969C3" w:rsidRDefault="00D7682F" w:rsidP="00AB6A13">
            <w:pPr>
              <w:pStyle w:val="RCTstable"/>
            </w:pPr>
            <w:r>
              <w:t>Pre-specified outcomes reported.</w:t>
            </w:r>
          </w:p>
        </w:tc>
      </w:tr>
      <w:tr w:rsidR="00D7682F" w:rsidRPr="00C12274" w14:paraId="35257166" w14:textId="77777777" w:rsidTr="00AB6A13">
        <w:trPr>
          <w:cantSplit/>
        </w:trPr>
        <w:tc>
          <w:tcPr>
            <w:tcW w:w="1560" w:type="dxa"/>
            <w:shd w:val="clear" w:color="D9E2F3" w:themeColor="accent1" w:themeTint="33" w:fill="auto"/>
          </w:tcPr>
          <w:p w14:paraId="2F05301D" w14:textId="77777777" w:rsidR="00D7682F" w:rsidRPr="00C12274" w:rsidRDefault="00D7682F" w:rsidP="00AB6A13">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75139D93" w14:textId="77777777" w:rsidR="00D7682F" w:rsidRPr="00C12274" w:rsidRDefault="00D7682F" w:rsidP="00AB6A13">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0C9116D4" w14:textId="77777777" w:rsidR="00D7682F" w:rsidRPr="001969C3" w:rsidRDefault="00D7682F" w:rsidP="00AB6A13">
            <w:pPr>
              <w:pStyle w:val="RCTstable"/>
            </w:pPr>
            <w:r>
              <w:t>No significant difference between groups at baseline.</w:t>
            </w:r>
          </w:p>
        </w:tc>
      </w:tr>
    </w:tbl>
    <w:p w14:paraId="112C557B" w14:textId="0812D101" w:rsidR="008E765F" w:rsidRDefault="008E765F" w:rsidP="008E765F">
      <w:pPr>
        <w:pStyle w:val="Heading3"/>
        <w:numPr>
          <w:ilvl w:val="0"/>
          <w:numId w:val="0"/>
        </w:numPr>
        <w:rPr>
          <w:lang w:val="en"/>
        </w:rPr>
      </w:pPr>
      <w:bookmarkStart w:id="270" w:name="_Toc40956561"/>
      <w:r>
        <w:rPr>
          <w:lang w:val="en"/>
        </w:rPr>
        <w:t>Dietary intervention studies</w:t>
      </w:r>
      <w:bookmarkEnd w:id="270"/>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9E2F3" w:themeColor="accent1" w:themeTint="33" w:fill="auto"/>
        <w:tblLayout w:type="fixed"/>
        <w:tblLook w:val="0000" w:firstRow="0" w:lastRow="0" w:firstColumn="0" w:lastColumn="0" w:noHBand="0" w:noVBand="0"/>
      </w:tblPr>
      <w:tblGrid>
        <w:gridCol w:w="1560"/>
        <w:gridCol w:w="1275"/>
        <w:gridCol w:w="11199"/>
      </w:tblGrid>
      <w:tr w:rsidR="00664B0E" w:rsidRPr="00C12274" w14:paraId="71541D35" w14:textId="77777777" w:rsidTr="00BC7AEC">
        <w:trPr>
          <w:trHeight w:val="99"/>
          <w:tblHeader/>
        </w:trPr>
        <w:tc>
          <w:tcPr>
            <w:tcW w:w="1560" w:type="dxa"/>
            <w:shd w:val="solid" w:color="2F5496" w:themeColor="accent1" w:themeShade="BF" w:fill="auto"/>
          </w:tcPr>
          <w:p w14:paraId="2F06B0FD" w14:textId="77777777" w:rsidR="00664B0E" w:rsidRPr="00C12274" w:rsidRDefault="00664B0E" w:rsidP="005D4074">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 xml:space="preserve">Study limitation </w:t>
            </w:r>
          </w:p>
        </w:tc>
        <w:tc>
          <w:tcPr>
            <w:tcW w:w="1275" w:type="dxa"/>
            <w:shd w:val="solid" w:color="2F5496" w:themeColor="accent1" w:themeShade="BF" w:fill="auto"/>
          </w:tcPr>
          <w:p w14:paraId="2EC0A703" w14:textId="77777777" w:rsidR="00664B0E" w:rsidRPr="00C12274" w:rsidRDefault="00664B0E" w:rsidP="005D4074">
            <w:pPr>
              <w:pStyle w:val="Tablecell"/>
              <w:keepNext/>
              <w:jc w:val="center"/>
              <w:rPr>
                <w:rFonts w:eastAsiaTheme="minorHAnsi"/>
                <w:b/>
                <w:color w:val="FFFFFF" w:themeColor="background1"/>
                <w:sz w:val="16"/>
                <w:lang w:val="en-US"/>
              </w:rPr>
            </w:pPr>
            <w:r w:rsidRPr="00C12274">
              <w:rPr>
                <w:rFonts w:eastAsiaTheme="minorHAnsi"/>
                <w:b/>
                <w:color w:val="FFFFFF" w:themeColor="background1"/>
                <w:sz w:val="16"/>
                <w:lang w:val="en-US"/>
              </w:rPr>
              <w:t>Judgement</w:t>
            </w:r>
          </w:p>
        </w:tc>
        <w:tc>
          <w:tcPr>
            <w:tcW w:w="11199" w:type="dxa"/>
            <w:shd w:val="solid" w:color="2F5496" w:themeColor="accent1" w:themeShade="BF" w:fill="auto"/>
          </w:tcPr>
          <w:p w14:paraId="2FD3F469" w14:textId="77777777" w:rsidR="00664B0E" w:rsidRPr="00C12274" w:rsidRDefault="00664B0E" w:rsidP="005D4074">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Support for judgement</w:t>
            </w:r>
          </w:p>
        </w:tc>
      </w:tr>
      <w:tr w:rsidR="008E1224" w:rsidRPr="006234EA" w14:paraId="46C69B54" w14:textId="77777777" w:rsidTr="00BC7AEC">
        <w:trPr>
          <w:cantSplit/>
        </w:trPr>
        <w:tc>
          <w:tcPr>
            <w:tcW w:w="14034" w:type="dxa"/>
            <w:gridSpan w:val="3"/>
            <w:shd w:val="solid" w:color="D9E2F3" w:themeColor="accent1" w:themeTint="33" w:fill="auto"/>
          </w:tcPr>
          <w:p w14:paraId="02E5D91B" w14:textId="77162293" w:rsidR="008E1224" w:rsidRPr="00470354" w:rsidRDefault="008E1224" w:rsidP="002747EA">
            <w:pPr>
              <w:pStyle w:val="Tablecell"/>
              <w:keepNext/>
              <w:spacing w:line="220" w:lineRule="exact"/>
              <w:rPr>
                <w:rFonts w:eastAsiaTheme="minorHAnsi"/>
                <w:b/>
                <w:sz w:val="16"/>
                <w:szCs w:val="16"/>
                <w:lang w:val="en-US"/>
              </w:rPr>
            </w:pPr>
            <w:r>
              <w:rPr>
                <w:rFonts w:eastAsiaTheme="minorHAnsi"/>
                <w:b/>
                <w:sz w:val="16"/>
                <w:szCs w:val="16"/>
                <w:lang w:val="en-US"/>
              </w:rPr>
              <w:t>Abdel-Aziz et al 2018</w:t>
            </w:r>
            <w:r>
              <w:rPr>
                <w:rFonts w:eastAsiaTheme="minorHAnsi"/>
                <w:b/>
                <w:sz w:val="16"/>
                <w:szCs w:val="16"/>
                <w:lang w:val="en-US"/>
              </w:rPr>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rPr>
                <w:rFonts w:eastAsiaTheme="minorHAnsi"/>
                <w:b/>
                <w:sz w:val="16"/>
                <w:szCs w:val="16"/>
                <w:lang w:val="en-US"/>
              </w:rPr>
              <w:instrText xml:space="preserve"> ADDIN EN.CITE </w:instrText>
            </w:r>
            <w:r w:rsidR="002747EA">
              <w:rPr>
                <w:rFonts w:eastAsiaTheme="minorHAnsi"/>
                <w:b/>
                <w:sz w:val="16"/>
                <w:szCs w:val="16"/>
                <w:lang w:val="en-US"/>
              </w:rPr>
              <w:fldChar w:fldCharType="begin">
                <w:fldData xml:space="preserve">PEVuZE5vdGU+PENpdGU+PEF1dGhvcj5BYmRlbC1Beml6PC9BdXRob3I+PFllYXI+MjAxODwvWWVh
cj48UmVjTnVtPjEzODk8L1JlY051bT48RGlzcGxheVRleHQ+PHN0eWxlIGZhY2U9InN1cGVyc2Ny
aXB0IiBmb250PSJUcmVidWNoZXQgTVMiIHNpemU9IjkiPjQwMDwvc3R5bGU+PC9EaXNwbGF5VGV4
dD48cmVjb3JkPjxyZWMtbnVtYmVyPjEzODk8L3JlYy1udW1iZXI+PGZvcmVpZ24ta2V5cz48a2V5
IGFwcD0iRU4iIGRiLWlkPSJleHZhc3JmeDJkdHJhb2VzYXN4cDJzenN4YTJkZjUwMjU5MngiIHRp
bWVzdGFtcD0iMTU2Nzc0MjY3MSI+MTM4OTwva2V5PjxrZXkgYXBwPSJFTldlYiIgZGItaWQ9IiI+
MDwva2V5PjwvZm9yZWlnbi1rZXlzPjxyZWYtdHlwZSBuYW1lPSJKb3VybmFsIEFydGljbGUiPjE3
PC9yZWYtdHlwZT48Y29udHJpYnV0b3JzPjxhdXRob3JzPjxhdXRob3I+QWJkZWwtQXppeiwgUy5C
Liw8L2F1dGhvcj48YXV0aG9yPkhlZ2F6eSwgSS5TLiw8L2F1dGhvcj48YXV0aG9yPk1vaGFtZWQs
IEQuQS4sPC9hdXRob3I+PGF1dGhvcj5BYnUgRWwgS2FzZW0sIE0uTS5BLiw8L2F1dGhvcj48YXV0
aG9yPkhhZ2FnLCBTLlMuLDwvYXV0aG9yPjwvYXV0aG9ycz48L2NvbnRyaWJ1dG9ycz48YXV0aC1h
ZGRyZXNzPlB1YmxpYyBIZWFsdGggYW5kIENvbW11bml0eSBNZWRpY2luZSBEZXBhcnRtZW50LCBB
bCBLYXNyIEVMIEFpbmksIENhaXJvIFVuaXZlcnNpdHksIEVneXB0LiBFbGVjdHJvbmljIGFkZHJl
c3M6IFNoYWltYWFiYWhlckB5YWhvby5jb20uJiN4RDtQdWJsaWMgSGVhbHRoIGFuZCBDb21tdW5p
dHkgTWVkaWNpbmUgRGVwYXJ0bWVudCwgQWwgS2FzciBFTCBBaW5pLCBDYWlybyBVbml2ZXJzaXR5
LCBFZ3lwdC4mI3hEO09ic3RldHJpY3MgYW5kIEd5bmVjb2xvZ3kgRGVwYXJ0bWVudCwgQWwgS2Fz
ciBFTCBBaW5pLCBDYWlybyBVbml2ZXJzaXR5LCBFZ3lwdC48L2F1dGgtYWRkcmVzcz48dGl0bGVz
Pjx0aXRsZT5FZmZlY3Qgb2YgZGlldGFyeSBjb3Vuc2VsaW5nIG9uIHByZXZlbnRpbmcgZXhjZXNz
aXZlIHdlaWdodCBnYWluIGR1cmluZyBwcmVnbmFuY3k8L3RpdGxlPjxzZWNvbmRhcnktdGl0bGU+
UHVibGljIEhlYWx0aDwvc2Vjb25kYXJ5LXRpdGxlPjwvdGl0bGVzPjxwZXJpb2RpY2FsPjxmdWxs
LXRpdGxlPlB1YmxpYyBIZWFsdGg8L2Z1bGwtdGl0bGU+PC9wZXJpb2RpY2FsPjxwYWdlcz4xNzIt
MTgxPC9wYWdlcz48dm9sdW1lPjE1NDwvdm9sdW1lPjxlZGl0aW9uPjIwMTcvMTIvMTk8L2VkaXRp
b24+PGtleXdvcmRzPjxrZXl3b3JkPkFkdWx0PC9rZXl3b3JkPjxrZXl3b3JkPipDb3Vuc2VsaW5n
PC9rZXl3b3JkPjxrZXl3b3JkPipEaWV0L3BzeWNob2xvZ3k8L2tleXdvcmQ+PGtleXdvcmQ+RmVt
YWxlPC9rZXl3b3JkPjxrZXl3b3JkPipIZWFsdGggRWR1Y2F0aW9uPC9rZXl3b3JkPjxrZXl3b3Jk
Pkh1bWFuczwva2V5d29yZD48a2V5d29yZD5PYmVzaXR5LypwcmV2ZW50aW9uICZhbXA7IGNvbnRy
b2w8L2tleXdvcmQ+PGtleXdvcmQ+UHJlZ25hbmN5PC9rZXl3b3JkPjxrZXl3b3JkPlByb2dyYW0g
RXZhbHVhdGlvbjwva2V5d29yZD48a2V5d29yZD5Zb3VuZyBBZHVsdDwva2V5d29yZD48a2V5d29y
ZD5CZWhhdmlvcmFsIGludGVydmVudGlvbjwva2V5d29yZD48a2V5d29yZD5EaWV0YXJ5IGNvdW5z
ZWxpbmc8L2tleXdvcmQ+PGtleXdvcmQ+RXhjZXNzaXZlIGdlc3RhdGlvbmFsIHdlaWdodCBnYWlu
PC9rZXl3b3JkPjxrZXl3b3JkPlByZWduYW5jeSBvdXRjb21lczwva2V5d29yZD48L2tleXdvcmRz
PjxkYXRlcz48eWVhcj4yMDE4PC95ZWFyPjxwdWItZGF0ZXM+PGRhdGU+SmFuPC9kYXRlPjwvcHVi
LWRhdGVzPjwvZGF0ZXM+PGlzYm4+MTQ3Ni01NjE2IChFbGVjdHJvbmljKSYjeEQ7MDAzMy0zNTA2
IChMaW5raW5nKTwvaXNibj48YWNjZXNzaW9uLW51bT4yOTI0ODgyNzwvYWNjZXNzaW9uLW51bT48
dXJscz48cmVsYXRlZC11cmxzPjx1cmw+aHR0cHM6Ly93d3cubmNiaS5ubG0ubmloLmdvdi9wdWJt
ZWQvMjkyNDg4Mjc8L3VybD48L3JlbGF0ZWQtdXJscz48L3VybHM+PGVsZWN0cm9uaWMtcmVzb3Vy
Y2UtbnVtPjEwLjEwMTYvai5wdWhlLjIwMTcuMTAuMDE0PC9lbGVjdHJvbmljLXJlc291cmNlLW51
bT48L3JlY29yZD48L0NpdGU+PC9FbmROb3RlPgB=
</w:fldData>
              </w:fldChar>
            </w:r>
            <w:r w:rsidR="002747EA">
              <w:rPr>
                <w:rFonts w:eastAsiaTheme="minorHAnsi"/>
                <w:b/>
                <w:sz w:val="16"/>
                <w:szCs w:val="16"/>
                <w:lang w:val="en-US"/>
              </w:rPr>
              <w:instrText xml:space="preserve"> ADDIN EN.CITE.DATA </w:instrText>
            </w:r>
            <w:r w:rsidR="002747EA">
              <w:rPr>
                <w:rFonts w:eastAsiaTheme="minorHAnsi"/>
                <w:b/>
                <w:sz w:val="16"/>
                <w:szCs w:val="16"/>
                <w:lang w:val="en-US"/>
              </w:rPr>
            </w:r>
            <w:r w:rsidR="002747EA">
              <w:rPr>
                <w:rFonts w:eastAsiaTheme="minorHAnsi"/>
                <w:b/>
                <w:sz w:val="16"/>
                <w:szCs w:val="16"/>
                <w:lang w:val="en-US"/>
              </w:rPr>
              <w:fldChar w:fldCharType="end"/>
            </w:r>
            <w:r>
              <w:rPr>
                <w:rFonts w:eastAsiaTheme="minorHAnsi"/>
                <w:b/>
                <w:sz w:val="16"/>
                <w:szCs w:val="16"/>
                <w:lang w:val="en-US"/>
              </w:rPr>
            </w:r>
            <w:r>
              <w:rPr>
                <w:rFonts w:eastAsiaTheme="minorHAnsi"/>
                <w:b/>
                <w:sz w:val="16"/>
                <w:szCs w:val="16"/>
                <w:lang w:val="en-US"/>
              </w:rPr>
              <w:fldChar w:fldCharType="separate"/>
            </w:r>
            <w:r w:rsidR="002747EA" w:rsidRPr="002747EA">
              <w:rPr>
                <w:rFonts w:eastAsiaTheme="minorHAnsi"/>
                <w:b/>
                <w:noProof/>
                <w:szCs w:val="16"/>
                <w:vertAlign w:val="superscript"/>
                <w:lang w:val="en-US"/>
              </w:rPr>
              <w:t>400</w:t>
            </w:r>
            <w:r>
              <w:rPr>
                <w:rFonts w:eastAsiaTheme="minorHAnsi"/>
                <w:b/>
                <w:sz w:val="16"/>
                <w:szCs w:val="16"/>
                <w:lang w:val="en-US"/>
              </w:rPr>
              <w:fldChar w:fldCharType="end"/>
            </w:r>
          </w:p>
        </w:tc>
      </w:tr>
      <w:tr w:rsidR="008E1224" w:rsidRPr="00C12274" w14:paraId="013CCE6B" w14:textId="77777777" w:rsidTr="00BC7AEC">
        <w:trPr>
          <w:cantSplit/>
        </w:trPr>
        <w:tc>
          <w:tcPr>
            <w:tcW w:w="1560" w:type="dxa"/>
            <w:shd w:val="clear" w:color="D9E2F3" w:themeColor="accent1" w:themeTint="33" w:fill="auto"/>
          </w:tcPr>
          <w:p w14:paraId="4C41BA09" w14:textId="77777777" w:rsidR="008E1224" w:rsidRPr="00C12274" w:rsidRDefault="008E1224" w:rsidP="00A67139">
            <w:pPr>
              <w:pStyle w:val="RCTstable"/>
              <w:keepNext/>
            </w:pPr>
            <w:r w:rsidRPr="00C12274">
              <w:t>Random sequence generation</w:t>
            </w:r>
          </w:p>
        </w:tc>
        <w:tc>
          <w:tcPr>
            <w:tcW w:w="1275" w:type="dxa"/>
            <w:shd w:val="clear" w:color="D9E2F3" w:themeColor="accent1" w:themeTint="33" w:fill="70AD47" w:themeFill="accent6"/>
          </w:tcPr>
          <w:p w14:paraId="108AD7EB" w14:textId="77777777" w:rsidR="008E1224" w:rsidRPr="00C12274" w:rsidRDefault="008E1224" w:rsidP="00A67139">
            <w:pPr>
              <w:pStyle w:val="RCTstable"/>
              <w:keepNext/>
            </w:pPr>
            <w:r>
              <w:t>Low</w:t>
            </w:r>
            <w:r w:rsidRPr="00C12274">
              <w:t xml:space="preserve"> risk</w:t>
            </w:r>
          </w:p>
        </w:tc>
        <w:tc>
          <w:tcPr>
            <w:tcW w:w="11199" w:type="dxa"/>
            <w:shd w:val="clear" w:color="D9E2F3" w:themeColor="accent1" w:themeTint="33" w:fill="auto"/>
          </w:tcPr>
          <w:p w14:paraId="398A1462" w14:textId="77777777" w:rsidR="008E1224" w:rsidRPr="001969C3" w:rsidRDefault="008E1224" w:rsidP="00A67139">
            <w:pPr>
              <w:pStyle w:val="RCTstable"/>
            </w:pPr>
            <w:r>
              <w:t>Randomis</w:t>
            </w:r>
            <w:r w:rsidRPr="000B09FE">
              <w:t>ation was performed using a computer</w:t>
            </w:r>
            <w:r>
              <w:t>-</w:t>
            </w:r>
            <w:r w:rsidRPr="000B09FE">
              <w:t>generated</w:t>
            </w:r>
            <w:r>
              <w:t xml:space="preserve"> randomis</w:t>
            </w:r>
            <w:r w:rsidRPr="000B09FE">
              <w:t>ation allocation table by the researcher</w:t>
            </w:r>
            <w:r>
              <w:t xml:space="preserve"> </w:t>
            </w:r>
            <w:r w:rsidRPr="000B09FE">
              <w:t>without involvement in the study design.</w:t>
            </w:r>
          </w:p>
        </w:tc>
      </w:tr>
      <w:tr w:rsidR="008E1224" w:rsidRPr="00C12274" w14:paraId="7024AAEF" w14:textId="77777777" w:rsidTr="00BC7AEC">
        <w:trPr>
          <w:cantSplit/>
        </w:trPr>
        <w:tc>
          <w:tcPr>
            <w:tcW w:w="1560" w:type="dxa"/>
            <w:shd w:val="clear" w:color="D9E2F3" w:themeColor="accent1" w:themeTint="33" w:fill="auto"/>
          </w:tcPr>
          <w:p w14:paraId="14C7980B" w14:textId="77777777" w:rsidR="008E1224" w:rsidRPr="00C12274" w:rsidRDefault="008E1224" w:rsidP="00A67139">
            <w:pPr>
              <w:pStyle w:val="RCTstable"/>
              <w:keepNext/>
            </w:pPr>
            <w:r w:rsidRPr="00C12274">
              <w:t xml:space="preserve">Allocation concealment </w:t>
            </w:r>
          </w:p>
        </w:tc>
        <w:tc>
          <w:tcPr>
            <w:tcW w:w="1275" w:type="dxa"/>
            <w:shd w:val="clear" w:color="D9E2F3" w:themeColor="accent1" w:themeTint="33" w:fill="FFC000" w:themeFill="accent4"/>
          </w:tcPr>
          <w:p w14:paraId="4820A82D" w14:textId="77777777" w:rsidR="008E1224" w:rsidRPr="00C12274" w:rsidRDefault="008E1224" w:rsidP="00A67139">
            <w:pPr>
              <w:pStyle w:val="RCTstable"/>
              <w:keepNext/>
            </w:pPr>
            <w:r>
              <w:t>Unclear</w:t>
            </w:r>
            <w:r w:rsidRPr="00C12274">
              <w:t xml:space="preserve"> risk</w:t>
            </w:r>
          </w:p>
        </w:tc>
        <w:tc>
          <w:tcPr>
            <w:tcW w:w="11199" w:type="dxa"/>
            <w:shd w:val="clear" w:color="D9E2F3" w:themeColor="accent1" w:themeTint="33" w:fill="auto"/>
          </w:tcPr>
          <w:p w14:paraId="27E0A4F2" w14:textId="77777777" w:rsidR="008E1224" w:rsidRPr="001969C3" w:rsidRDefault="008E1224" w:rsidP="00A67139">
            <w:pPr>
              <w:pStyle w:val="RCTstable"/>
            </w:pPr>
            <w:r>
              <w:t>Not described</w:t>
            </w:r>
          </w:p>
        </w:tc>
      </w:tr>
      <w:tr w:rsidR="008E1224" w:rsidRPr="00C12274" w14:paraId="3587EF94" w14:textId="77777777" w:rsidTr="00BC7AEC">
        <w:trPr>
          <w:cantSplit/>
          <w:trHeight w:val="291"/>
        </w:trPr>
        <w:tc>
          <w:tcPr>
            <w:tcW w:w="1560" w:type="dxa"/>
            <w:shd w:val="clear" w:color="D9E2F3" w:themeColor="accent1" w:themeTint="33" w:fill="auto"/>
          </w:tcPr>
          <w:p w14:paraId="49BE768E" w14:textId="77777777" w:rsidR="008E1224" w:rsidRPr="00C12274" w:rsidRDefault="008E1224" w:rsidP="00A67139">
            <w:pPr>
              <w:pStyle w:val="RCTstable"/>
              <w:keepNext/>
            </w:pPr>
            <w:r>
              <w:t>Performance bias</w:t>
            </w:r>
          </w:p>
        </w:tc>
        <w:tc>
          <w:tcPr>
            <w:tcW w:w="1275" w:type="dxa"/>
            <w:shd w:val="clear" w:color="D9E2F3" w:themeColor="accent1" w:themeTint="33" w:fill="FFC000" w:themeFill="accent4"/>
          </w:tcPr>
          <w:p w14:paraId="2AD6F66F" w14:textId="77777777" w:rsidR="008E1224" w:rsidRPr="00C12274" w:rsidRDefault="008E1224" w:rsidP="00A67139">
            <w:pPr>
              <w:pStyle w:val="RCTstable"/>
              <w:keepNext/>
            </w:pPr>
            <w:r>
              <w:t>Unclear</w:t>
            </w:r>
            <w:r w:rsidRPr="00C12274">
              <w:t xml:space="preserve"> risk</w:t>
            </w:r>
          </w:p>
        </w:tc>
        <w:tc>
          <w:tcPr>
            <w:tcW w:w="11199" w:type="dxa"/>
            <w:shd w:val="clear" w:color="D9E2F3" w:themeColor="accent1" w:themeTint="33" w:fill="auto"/>
          </w:tcPr>
          <w:p w14:paraId="13B8D9CB" w14:textId="77777777" w:rsidR="008E1224" w:rsidRPr="001969C3" w:rsidRDefault="008E1224" w:rsidP="00A67139">
            <w:pPr>
              <w:pStyle w:val="RCTstable"/>
            </w:pPr>
            <w:r>
              <w:t>Not described</w:t>
            </w:r>
          </w:p>
        </w:tc>
      </w:tr>
      <w:tr w:rsidR="008E1224" w:rsidRPr="00822EBF" w14:paraId="6841775A" w14:textId="77777777" w:rsidTr="00D7682F">
        <w:trPr>
          <w:cantSplit/>
        </w:trPr>
        <w:tc>
          <w:tcPr>
            <w:tcW w:w="1560" w:type="dxa"/>
            <w:shd w:val="clear" w:color="D9E2F3" w:themeColor="accent1" w:themeTint="33" w:fill="auto"/>
          </w:tcPr>
          <w:p w14:paraId="3AFEC866" w14:textId="77777777" w:rsidR="008E1224" w:rsidRPr="00822EBF" w:rsidRDefault="008E1224" w:rsidP="00A67139">
            <w:pPr>
              <w:pStyle w:val="RCTstable"/>
            </w:pPr>
            <w:r w:rsidRPr="00822EBF">
              <w:t>Detection bias</w:t>
            </w:r>
          </w:p>
        </w:tc>
        <w:tc>
          <w:tcPr>
            <w:tcW w:w="1275" w:type="dxa"/>
            <w:tcBorders>
              <w:bottom w:val="single" w:sz="4" w:space="0" w:color="auto"/>
            </w:tcBorders>
            <w:shd w:val="clear" w:color="D9E2F3" w:themeColor="accent1" w:themeTint="33" w:fill="FFC000" w:themeFill="accent4"/>
          </w:tcPr>
          <w:p w14:paraId="5B5ABD68" w14:textId="77777777" w:rsidR="008E1224" w:rsidRPr="00822EBF" w:rsidRDefault="008E1224" w:rsidP="00A67139">
            <w:pPr>
              <w:pStyle w:val="RCTstable"/>
            </w:pPr>
            <w:r>
              <w:t>Unclear</w:t>
            </w:r>
            <w:r w:rsidRPr="00822EBF">
              <w:t xml:space="preserve"> risk</w:t>
            </w:r>
          </w:p>
        </w:tc>
        <w:tc>
          <w:tcPr>
            <w:tcW w:w="11199" w:type="dxa"/>
            <w:shd w:val="clear" w:color="D9E2F3" w:themeColor="accent1" w:themeTint="33" w:fill="auto"/>
          </w:tcPr>
          <w:p w14:paraId="43211C24" w14:textId="77777777" w:rsidR="008E1224" w:rsidRPr="001969C3" w:rsidRDefault="008E1224" w:rsidP="00A67139">
            <w:pPr>
              <w:pStyle w:val="RCTstable"/>
            </w:pPr>
            <w:r>
              <w:t>Not described</w:t>
            </w:r>
          </w:p>
        </w:tc>
      </w:tr>
      <w:tr w:rsidR="008E1224" w:rsidRPr="00C12274" w14:paraId="36ECCCCF" w14:textId="77777777" w:rsidTr="00BC7AEC">
        <w:trPr>
          <w:cantSplit/>
        </w:trPr>
        <w:tc>
          <w:tcPr>
            <w:tcW w:w="1560" w:type="dxa"/>
            <w:shd w:val="clear" w:color="D9E2F3" w:themeColor="accent1" w:themeTint="33" w:fill="auto"/>
          </w:tcPr>
          <w:p w14:paraId="328CB593" w14:textId="77777777" w:rsidR="008E1224" w:rsidRPr="00C12274" w:rsidRDefault="008E1224" w:rsidP="00A67139">
            <w:pPr>
              <w:pStyle w:val="RCTstable"/>
              <w:keepNext/>
            </w:pPr>
            <w:r w:rsidRPr="00C12274">
              <w:t>Incomplete outcome data</w:t>
            </w:r>
          </w:p>
        </w:tc>
        <w:tc>
          <w:tcPr>
            <w:tcW w:w="1275" w:type="dxa"/>
            <w:shd w:val="clear" w:color="D9E2F3" w:themeColor="accent1" w:themeTint="33" w:fill="FF4D19"/>
          </w:tcPr>
          <w:p w14:paraId="5B1EA83C" w14:textId="77777777" w:rsidR="008E1224" w:rsidRPr="00C12274" w:rsidRDefault="008E1224" w:rsidP="00A67139">
            <w:pPr>
              <w:pStyle w:val="RCTstable"/>
              <w:keepNext/>
            </w:pPr>
            <w:r>
              <w:t>High</w:t>
            </w:r>
            <w:r w:rsidRPr="00C12274">
              <w:t xml:space="preserve"> risk</w:t>
            </w:r>
          </w:p>
        </w:tc>
        <w:tc>
          <w:tcPr>
            <w:tcW w:w="11199" w:type="dxa"/>
            <w:shd w:val="clear" w:color="D9E2F3" w:themeColor="accent1" w:themeTint="33" w:fill="auto"/>
          </w:tcPr>
          <w:p w14:paraId="4228EBD9" w14:textId="77777777" w:rsidR="008E1224" w:rsidRPr="000B09FE" w:rsidRDefault="008E1224" w:rsidP="00A67139">
            <w:pPr>
              <w:pStyle w:val="RCTstable"/>
            </w:pPr>
            <w:r>
              <w:t>“</w:t>
            </w:r>
            <w:r w:rsidRPr="000B09FE">
              <w:t>During follow-up, 10</w:t>
            </w:r>
            <w:r>
              <w:t xml:space="preserve"> </w:t>
            </w:r>
            <w:r w:rsidRPr="000B09FE">
              <w:t>women were lost to follow-up, six were unable to be contacted</w:t>
            </w:r>
            <w:r>
              <w:t xml:space="preserve"> </w:t>
            </w:r>
            <w:r w:rsidRPr="000B09FE">
              <w:t>during pregnancy, and 15 cases were excluded (six miscarried,</w:t>
            </w:r>
            <w:r>
              <w:t xml:space="preserve"> </w:t>
            </w:r>
            <w:r w:rsidRPr="000B09FE">
              <w:t>four abortion, and five stillbirth cases</w:t>
            </w:r>
            <w:r>
              <w:t>)</w:t>
            </w:r>
            <w:r w:rsidRPr="000B09FE">
              <w:t>. Finally, data were</w:t>
            </w:r>
            <w:r>
              <w:t xml:space="preserve"> analys</w:t>
            </w:r>
            <w:r w:rsidRPr="000B09FE">
              <w:t>ed from 147 pregnant women</w:t>
            </w:r>
            <w:r>
              <w:rPr>
                <w:rFonts w:ascii="Helvetica" w:hAnsi="Helvetica"/>
              </w:rPr>
              <w:t xml:space="preserve">; </w:t>
            </w:r>
            <w:r w:rsidRPr="000B09FE">
              <w:t>75 from the intervention</w:t>
            </w:r>
            <w:r>
              <w:t xml:space="preserve"> </w:t>
            </w:r>
            <w:r w:rsidRPr="000B09FE">
              <w:t>group and 72 from the control group.</w:t>
            </w:r>
            <w:r>
              <w:t>” Does not describe whether women lost to follow-up were from the intervention or control group.</w:t>
            </w:r>
          </w:p>
        </w:tc>
      </w:tr>
      <w:tr w:rsidR="008E1224" w:rsidRPr="00C12274" w14:paraId="1E554CA9" w14:textId="77777777" w:rsidTr="00BC7AEC">
        <w:trPr>
          <w:cantSplit/>
        </w:trPr>
        <w:tc>
          <w:tcPr>
            <w:tcW w:w="1560" w:type="dxa"/>
            <w:shd w:val="clear" w:color="D9E2F3" w:themeColor="accent1" w:themeTint="33" w:fill="auto"/>
          </w:tcPr>
          <w:p w14:paraId="3579E709" w14:textId="77777777" w:rsidR="008E1224" w:rsidRPr="00C12274" w:rsidRDefault="008E1224" w:rsidP="00A67139">
            <w:pPr>
              <w:pStyle w:val="RCTstable"/>
            </w:pPr>
            <w:r w:rsidRPr="00C12274">
              <w:t>Selective reporting</w:t>
            </w:r>
          </w:p>
        </w:tc>
        <w:tc>
          <w:tcPr>
            <w:tcW w:w="1275" w:type="dxa"/>
            <w:shd w:val="clear" w:color="D9E2F3" w:themeColor="accent1" w:themeTint="33" w:fill="70AD47" w:themeFill="accent6"/>
          </w:tcPr>
          <w:p w14:paraId="20A102D6" w14:textId="77777777" w:rsidR="008E1224" w:rsidRPr="00C12274" w:rsidRDefault="008E1224" w:rsidP="00A67139">
            <w:pPr>
              <w:pStyle w:val="RCTstable"/>
            </w:pPr>
            <w:r>
              <w:t>Low</w:t>
            </w:r>
            <w:r w:rsidRPr="00C12274">
              <w:t xml:space="preserve"> risk</w:t>
            </w:r>
          </w:p>
        </w:tc>
        <w:tc>
          <w:tcPr>
            <w:tcW w:w="11199" w:type="dxa"/>
            <w:shd w:val="clear" w:color="D9E2F3" w:themeColor="accent1" w:themeTint="33" w:fill="auto"/>
          </w:tcPr>
          <w:p w14:paraId="5BF698EB" w14:textId="77777777" w:rsidR="008E1224" w:rsidRPr="001969C3" w:rsidRDefault="008E1224" w:rsidP="00A67139">
            <w:pPr>
              <w:pStyle w:val="RCTstable"/>
            </w:pPr>
            <w:r>
              <w:t>Pre-specified outcomes reported.</w:t>
            </w:r>
          </w:p>
        </w:tc>
      </w:tr>
      <w:tr w:rsidR="008E1224" w:rsidRPr="00C12274" w14:paraId="371080C2" w14:textId="77777777" w:rsidTr="00BC7AEC">
        <w:trPr>
          <w:cantSplit/>
        </w:trPr>
        <w:tc>
          <w:tcPr>
            <w:tcW w:w="1560" w:type="dxa"/>
            <w:shd w:val="clear" w:color="D9E2F3" w:themeColor="accent1" w:themeTint="33" w:fill="auto"/>
          </w:tcPr>
          <w:p w14:paraId="496AA857" w14:textId="77777777" w:rsidR="008E1224" w:rsidRPr="00C12274" w:rsidRDefault="008E1224" w:rsidP="00A67139">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1BC8ED3F" w14:textId="77777777" w:rsidR="008E1224" w:rsidRPr="00C12274" w:rsidRDefault="008E1224" w:rsidP="00A67139">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064242FC" w14:textId="77777777" w:rsidR="008E1224" w:rsidRPr="001969C3" w:rsidRDefault="008E1224" w:rsidP="00A67139">
            <w:pPr>
              <w:pStyle w:val="RCTstable"/>
            </w:pPr>
            <w:r>
              <w:t>No significant difference between groups at baseline.</w:t>
            </w:r>
          </w:p>
        </w:tc>
      </w:tr>
      <w:tr w:rsidR="00664B0E" w:rsidRPr="006234EA" w14:paraId="452A49DE" w14:textId="77777777" w:rsidTr="00BC7AEC">
        <w:trPr>
          <w:cantSplit/>
        </w:trPr>
        <w:tc>
          <w:tcPr>
            <w:tcW w:w="14034" w:type="dxa"/>
            <w:gridSpan w:val="3"/>
            <w:shd w:val="solid" w:color="D9E2F3" w:themeColor="accent1" w:themeTint="33" w:fill="auto"/>
          </w:tcPr>
          <w:p w14:paraId="42F17BE1" w14:textId="2ACE7CC8" w:rsidR="00664B0E" w:rsidRPr="00470354" w:rsidRDefault="00664B0E" w:rsidP="002747EA">
            <w:pPr>
              <w:pStyle w:val="Tablecell"/>
              <w:keepNext/>
              <w:spacing w:line="220" w:lineRule="exact"/>
              <w:rPr>
                <w:rFonts w:eastAsiaTheme="minorHAnsi"/>
                <w:b/>
                <w:sz w:val="16"/>
                <w:szCs w:val="16"/>
                <w:lang w:val="en-US"/>
              </w:rPr>
            </w:pPr>
            <w:r>
              <w:rPr>
                <w:b/>
                <w:noProof/>
                <w:sz w:val="16"/>
                <w:szCs w:val="16"/>
              </w:rPr>
              <w:t>Di Carlo 2014</w:t>
            </w:r>
            <w:r w:rsidR="00767EBF">
              <w:fldChar w:fldCharType="begin"/>
            </w:r>
            <w:r w:rsidR="002747EA">
              <w:instrText xml:space="preserve"> ADDIN EN.CITE &lt;EndNote&gt;&lt;Cite&gt;&lt;Author&gt;Di Carlo&lt;/Author&gt;&lt;Year&gt;2014&lt;/Year&gt;&lt;RecNum&gt;1387&lt;/RecNum&gt;&lt;DisplayText&gt;&lt;style face="superscript" font="Trebuchet MS" size="9"&gt;401&lt;/style&gt;&lt;/DisplayText&gt;&lt;record&gt;&lt;rec-number&gt;1387&lt;/rec-number&gt;&lt;foreign-keys&gt;&lt;key app="EN" db-id="exvasrfx2dtraoesasxp2szsxa2df502592x" timestamp="1567661568"&gt;1387&lt;/key&gt;&lt;key app="ENWeb" db-id=""&gt;0&lt;/key&gt;&lt;/foreign-keys&gt;&lt;ref-type name="Journal Article"&gt;17&lt;/ref-type&gt;&lt;contributors&gt;&lt;authors&gt;&lt;author&gt;Di Carlo, C.,&lt;/author&gt;&lt;author&gt;Iannotti, G.,&lt;/author&gt;&lt;author&gt;Sparice, S.,&lt;/author&gt;&lt;author&gt;Chiacchio, M.P.,&lt;/author&gt;&lt;author&gt;Greco, E.,&lt;/author&gt;&lt;author&gt;Tommaselli, G.A.,&lt;/author&gt;&lt;author&gt;Nappi, C.,&lt;/author&gt;&lt;/authors&gt;&lt;/contributors&gt;&lt;titles&gt;&lt;title&gt;The role of a personalized dietary intervention in managing gestational weight gain: a prospective, controlled study in a low-risk antenatal population&lt;/title&gt;&lt;secondary-title&gt;Arch Gynecol Obstet&lt;/secondary-title&gt;&lt;/titles&gt;&lt;periodical&gt;&lt;full-title&gt;Arch Gynecol Obstet&lt;/full-title&gt;&lt;/periodical&gt;&lt;pages&gt;765-70&lt;/pages&gt;&lt;volume&gt;289&lt;/volume&gt;&lt;number&gt;4&lt;/number&gt;&lt;section&gt;765&lt;/section&gt;&lt;dates&gt;&lt;year&gt;2014&lt;/year&gt;&lt;/dates&gt;&lt;isbn&gt;0932-0067&amp;#xD;1432-0711&lt;/isbn&gt;&lt;urls&gt;&lt;/urls&gt;&lt;electronic-resource-num&gt;10.1007/s00404-013-3054-y&lt;/electronic-resource-num&gt;&lt;/record&gt;&lt;/Cite&gt;&lt;/EndNote&gt;</w:instrText>
            </w:r>
            <w:r w:rsidR="00767EBF">
              <w:fldChar w:fldCharType="separate"/>
            </w:r>
            <w:r w:rsidR="002747EA" w:rsidRPr="002747EA">
              <w:rPr>
                <w:noProof/>
                <w:vertAlign w:val="superscript"/>
              </w:rPr>
              <w:t>401</w:t>
            </w:r>
            <w:r w:rsidR="00767EBF">
              <w:fldChar w:fldCharType="end"/>
            </w:r>
          </w:p>
        </w:tc>
      </w:tr>
      <w:tr w:rsidR="00664B0E" w:rsidRPr="00C12274" w14:paraId="0A36FC4A" w14:textId="77777777" w:rsidTr="00BC7AEC">
        <w:trPr>
          <w:cantSplit/>
        </w:trPr>
        <w:tc>
          <w:tcPr>
            <w:tcW w:w="1560" w:type="dxa"/>
            <w:shd w:val="clear" w:color="D9E2F3" w:themeColor="accent1" w:themeTint="33" w:fill="auto"/>
          </w:tcPr>
          <w:p w14:paraId="0260AF68" w14:textId="77777777" w:rsidR="00664B0E" w:rsidRPr="00C12274" w:rsidRDefault="00664B0E" w:rsidP="005D4074">
            <w:pPr>
              <w:pStyle w:val="RCTstable"/>
              <w:keepNext/>
            </w:pPr>
            <w:r w:rsidRPr="00C12274">
              <w:t>Random sequence generation</w:t>
            </w:r>
          </w:p>
        </w:tc>
        <w:tc>
          <w:tcPr>
            <w:tcW w:w="1275" w:type="dxa"/>
            <w:shd w:val="clear" w:color="D9E2F3" w:themeColor="accent1" w:themeTint="33" w:fill="FFC000" w:themeFill="accent4"/>
          </w:tcPr>
          <w:p w14:paraId="5235CF85" w14:textId="6CC1E408" w:rsidR="00664B0E" w:rsidRPr="00C12274" w:rsidRDefault="00664B0E" w:rsidP="005D4074">
            <w:pPr>
              <w:pStyle w:val="RCTstable"/>
              <w:keepNext/>
            </w:pPr>
            <w:r>
              <w:t>Unclear</w:t>
            </w:r>
            <w:r w:rsidRPr="00C12274">
              <w:t xml:space="preserve"> risk</w:t>
            </w:r>
          </w:p>
        </w:tc>
        <w:tc>
          <w:tcPr>
            <w:tcW w:w="11199" w:type="dxa"/>
            <w:shd w:val="clear" w:color="D9E2F3" w:themeColor="accent1" w:themeTint="33" w:fill="auto"/>
          </w:tcPr>
          <w:p w14:paraId="7566F7A2" w14:textId="4C32B61A" w:rsidR="00664B0E" w:rsidRPr="00664B0E" w:rsidRDefault="00664B0E" w:rsidP="00ED041D">
            <w:pPr>
              <w:pStyle w:val="RCTstable"/>
            </w:pPr>
            <w:r w:rsidRPr="00664B0E">
              <w:t>”Randomly allocated“ in 1:1 ratio.</w:t>
            </w:r>
          </w:p>
        </w:tc>
      </w:tr>
      <w:tr w:rsidR="00664B0E" w:rsidRPr="00C12274" w14:paraId="3A0E36DD" w14:textId="77777777" w:rsidTr="00BC7AEC">
        <w:trPr>
          <w:cantSplit/>
        </w:trPr>
        <w:tc>
          <w:tcPr>
            <w:tcW w:w="1560" w:type="dxa"/>
            <w:shd w:val="clear" w:color="D9E2F3" w:themeColor="accent1" w:themeTint="33" w:fill="auto"/>
          </w:tcPr>
          <w:p w14:paraId="7A794EDD" w14:textId="77777777" w:rsidR="00664B0E" w:rsidRPr="00C12274" w:rsidRDefault="00664B0E" w:rsidP="005D4074">
            <w:pPr>
              <w:pStyle w:val="RCTstable"/>
              <w:keepNext/>
            </w:pPr>
            <w:r w:rsidRPr="00C12274">
              <w:t xml:space="preserve">Allocation concealment </w:t>
            </w:r>
          </w:p>
        </w:tc>
        <w:tc>
          <w:tcPr>
            <w:tcW w:w="1275" w:type="dxa"/>
            <w:shd w:val="clear" w:color="D9E2F3" w:themeColor="accent1" w:themeTint="33" w:fill="70AD47" w:themeFill="accent6"/>
          </w:tcPr>
          <w:p w14:paraId="1AD36607" w14:textId="77777777" w:rsidR="00664B0E" w:rsidRPr="00C12274" w:rsidRDefault="00664B0E" w:rsidP="005D4074">
            <w:pPr>
              <w:pStyle w:val="RCTstable"/>
              <w:keepNext/>
            </w:pPr>
            <w:r w:rsidRPr="00C12274">
              <w:t>Low risk</w:t>
            </w:r>
          </w:p>
        </w:tc>
        <w:tc>
          <w:tcPr>
            <w:tcW w:w="11199" w:type="dxa"/>
            <w:shd w:val="clear" w:color="D9E2F3" w:themeColor="accent1" w:themeTint="33" w:fill="auto"/>
          </w:tcPr>
          <w:p w14:paraId="3AFDEA31" w14:textId="1292D7D9" w:rsidR="00664B0E" w:rsidRPr="00664B0E" w:rsidRDefault="00664B0E" w:rsidP="00ED041D">
            <w:pPr>
              <w:pStyle w:val="RCTstable"/>
            </w:pPr>
            <w:r w:rsidRPr="00664B0E">
              <w:t>” ...attached a sequentially numbered,</w:t>
            </w:r>
            <w:r w:rsidR="00ED041D">
              <w:t xml:space="preserve"> </w:t>
            </w:r>
            <w:r w:rsidRPr="00664B0E">
              <w:t>opaque sealed and stapled envelope containing</w:t>
            </w:r>
            <w:r w:rsidR="00ED041D">
              <w:t xml:space="preserve"> </w:t>
            </w:r>
            <w:r w:rsidRPr="00664B0E">
              <w:t>the allocation treatment to the patient</w:t>
            </w:r>
            <w:r w:rsidR="00ED041D">
              <w:t xml:space="preserve"> </w:t>
            </w:r>
            <w:r w:rsidRPr="00664B0E">
              <w:t>clinical record.“</w:t>
            </w:r>
          </w:p>
        </w:tc>
      </w:tr>
      <w:tr w:rsidR="00664B0E" w:rsidRPr="00C12274" w14:paraId="0037A076" w14:textId="77777777" w:rsidTr="00BC7AEC">
        <w:trPr>
          <w:cantSplit/>
          <w:trHeight w:val="599"/>
        </w:trPr>
        <w:tc>
          <w:tcPr>
            <w:tcW w:w="1560" w:type="dxa"/>
            <w:shd w:val="clear" w:color="D9E2F3" w:themeColor="accent1" w:themeTint="33" w:fill="auto"/>
          </w:tcPr>
          <w:p w14:paraId="4E5B86B0" w14:textId="77777777" w:rsidR="00664B0E" w:rsidRPr="00C12274" w:rsidRDefault="00664B0E" w:rsidP="005D4074">
            <w:pPr>
              <w:pStyle w:val="RCTstable"/>
              <w:keepNext/>
            </w:pPr>
            <w:r>
              <w:t>Performance bias</w:t>
            </w:r>
          </w:p>
        </w:tc>
        <w:tc>
          <w:tcPr>
            <w:tcW w:w="1275" w:type="dxa"/>
            <w:shd w:val="clear" w:color="D9E2F3" w:themeColor="accent1" w:themeTint="33" w:fill="FF4D19"/>
          </w:tcPr>
          <w:p w14:paraId="284AF5F1" w14:textId="77777777" w:rsidR="00664B0E" w:rsidRPr="00C12274" w:rsidRDefault="00664B0E" w:rsidP="005D4074">
            <w:pPr>
              <w:pStyle w:val="RCTstable"/>
              <w:keepNext/>
            </w:pPr>
            <w:r>
              <w:t>High</w:t>
            </w:r>
            <w:r w:rsidRPr="00C12274">
              <w:t xml:space="preserve"> risk</w:t>
            </w:r>
          </w:p>
        </w:tc>
        <w:tc>
          <w:tcPr>
            <w:tcW w:w="11199" w:type="dxa"/>
            <w:shd w:val="clear" w:color="D9E2F3" w:themeColor="accent1" w:themeTint="33" w:fill="auto"/>
          </w:tcPr>
          <w:p w14:paraId="5EC9D685" w14:textId="1AB8CE65" w:rsidR="00664B0E" w:rsidRPr="00ED041D" w:rsidRDefault="00ED041D" w:rsidP="00ED041D">
            <w:pPr>
              <w:pStyle w:val="RCTstable"/>
            </w:pPr>
            <w:r w:rsidRPr="00ED041D">
              <w:t>Participants not blinded due to nature of</w:t>
            </w:r>
            <w:r>
              <w:t xml:space="preserve"> </w:t>
            </w:r>
            <w:r w:rsidRPr="00ED041D">
              <w:t>intervention.</w:t>
            </w:r>
          </w:p>
        </w:tc>
      </w:tr>
      <w:tr w:rsidR="00664B0E" w:rsidRPr="00822EBF" w14:paraId="56521F0A" w14:textId="77777777" w:rsidTr="00BC7AEC">
        <w:trPr>
          <w:cantSplit/>
        </w:trPr>
        <w:tc>
          <w:tcPr>
            <w:tcW w:w="1560" w:type="dxa"/>
            <w:shd w:val="clear" w:color="D9E2F3" w:themeColor="accent1" w:themeTint="33" w:fill="auto"/>
          </w:tcPr>
          <w:p w14:paraId="711370CF" w14:textId="77777777" w:rsidR="00664B0E" w:rsidRPr="00822EBF" w:rsidRDefault="00664B0E" w:rsidP="005D4074">
            <w:pPr>
              <w:pStyle w:val="RCTstable"/>
            </w:pPr>
            <w:r w:rsidRPr="00822EBF">
              <w:t>Detection bias</w:t>
            </w:r>
          </w:p>
        </w:tc>
        <w:tc>
          <w:tcPr>
            <w:tcW w:w="1275" w:type="dxa"/>
            <w:shd w:val="clear" w:color="D9E2F3" w:themeColor="accent1" w:themeTint="33" w:fill="70AD47" w:themeFill="accent6"/>
          </w:tcPr>
          <w:p w14:paraId="11DB99E8" w14:textId="2DCBF2A8" w:rsidR="00664B0E" w:rsidRPr="00822EBF" w:rsidRDefault="00ED041D" w:rsidP="005D4074">
            <w:pPr>
              <w:pStyle w:val="RCTstable"/>
            </w:pPr>
            <w:r>
              <w:t>Low</w:t>
            </w:r>
            <w:r w:rsidR="00664B0E" w:rsidRPr="00822EBF">
              <w:t xml:space="preserve"> risk</w:t>
            </w:r>
          </w:p>
        </w:tc>
        <w:tc>
          <w:tcPr>
            <w:tcW w:w="11199" w:type="dxa"/>
            <w:shd w:val="clear" w:color="D9E2F3" w:themeColor="accent1" w:themeTint="33" w:fill="auto"/>
          </w:tcPr>
          <w:p w14:paraId="30AC1FF1" w14:textId="369077D9" w:rsidR="00664B0E" w:rsidRPr="00ED041D" w:rsidRDefault="00ED041D" w:rsidP="00ED041D">
            <w:pPr>
              <w:pStyle w:val="RCTstable"/>
            </w:pPr>
            <w:r w:rsidRPr="00ED041D">
              <w:t>”The allocation sequence was concealed</w:t>
            </w:r>
            <w:r>
              <w:t xml:space="preserve"> </w:t>
            </w:r>
            <w:r w:rsidRPr="00ED041D">
              <w:t>from the researchers.“</w:t>
            </w:r>
          </w:p>
        </w:tc>
      </w:tr>
      <w:tr w:rsidR="00664B0E" w:rsidRPr="00C12274" w14:paraId="1A2124A8" w14:textId="77777777" w:rsidTr="00BC7AEC">
        <w:trPr>
          <w:cantSplit/>
        </w:trPr>
        <w:tc>
          <w:tcPr>
            <w:tcW w:w="1560" w:type="dxa"/>
            <w:shd w:val="clear" w:color="D9E2F3" w:themeColor="accent1" w:themeTint="33" w:fill="auto"/>
          </w:tcPr>
          <w:p w14:paraId="277DAF35" w14:textId="77777777" w:rsidR="00664B0E" w:rsidRPr="00C12274" w:rsidRDefault="00664B0E" w:rsidP="005D4074">
            <w:pPr>
              <w:pStyle w:val="RCTstable"/>
              <w:keepNext/>
            </w:pPr>
            <w:r w:rsidRPr="00C12274">
              <w:t>Incomplete outcome data</w:t>
            </w:r>
          </w:p>
        </w:tc>
        <w:tc>
          <w:tcPr>
            <w:tcW w:w="1275" w:type="dxa"/>
            <w:shd w:val="clear" w:color="D9E2F3" w:themeColor="accent1" w:themeTint="33" w:fill="FF4D19"/>
          </w:tcPr>
          <w:p w14:paraId="1BB73F4D" w14:textId="77777777" w:rsidR="00664B0E" w:rsidRPr="00C12274" w:rsidRDefault="00664B0E" w:rsidP="005D4074">
            <w:pPr>
              <w:pStyle w:val="RCTstable"/>
              <w:keepNext/>
            </w:pPr>
            <w:r w:rsidRPr="00C12274">
              <w:t>High risk</w:t>
            </w:r>
          </w:p>
        </w:tc>
        <w:tc>
          <w:tcPr>
            <w:tcW w:w="11199" w:type="dxa"/>
            <w:shd w:val="clear" w:color="D9E2F3" w:themeColor="accent1" w:themeTint="33" w:fill="auto"/>
          </w:tcPr>
          <w:p w14:paraId="6004258B" w14:textId="14642DDF" w:rsidR="00664B0E" w:rsidRPr="00ED041D" w:rsidRDefault="00ED041D" w:rsidP="00ED041D">
            <w:pPr>
              <w:pStyle w:val="RCTstable"/>
            </w:pPr>
            <w:r w:rsidRPr="00ED041D">
              <w:t>22% of participants were excluded due to</w:t>
            </w:r>
            <w:r>
              <w:t xml:space="preserve"> </w:t>
            </w:r>
            <w:r w:rsidRPr="00ED041D">
              <w:t>miscarriages (9 vs 8 in diet and control</w:t>
            </w:r>
            <w:r>
              <w:t xml:space="preserve"> </w:t>
            </w:r>
            <w:r w:rsidRPr="00ED041D">
              <w:t>groups respectively), loss to follow-up (6 vs</w:t>
            </w:r>
            <w:r>
              <w:t xml:space="preserve"> </w:t>
            </w:r>
            <w:r w:rsidRPr="00ED041D">
              <w:t>7) and preterm</w:t>
            </w:r>
            <w:r>
              <w:t xml:space="preserve"> </w:t>
            </w:r>
            <w:r w:rsidRPr="00ED041D">
              <w:t>births (3 vs 1). ”Analysis</w:t>
            </w:r>
            <w:r>
              <w:t xml:space="preserve"> </w:t>
            </w:r>
            <w:r w:rsidRPr="00ED041D">
              <w:t>was</w:t>
            </w:r>
            <w:r>
              <w:t xml:space="preserve"> </w:t>
            </w:r>
            <w:r w:rsidRPr="00ED041D">
              <w:t>performed per protocol“ but protocol deviations</w:t>
            </w:r>
            <w:r>
              <w:t xml:space="preserve"> </w:t>
            </w:r>
            <w:r w:rsidRPr="00ED041D">
              <w:t>and individual denominators were</w:t>
            </w:r>
            <w:r>
              <w:t xml:space="preserve"> not reported.</w:t>
            </w:r>
          </w:p>
        </w:tc>
      </w:tr>
      <w:tr w:rsidR="00664B0E" w:rsidRPr="00C12274" w14:paraId="4556392F" w14:textId="77777777" w:rsidTr="00BC7AEC">
        <w:trPr>
          <w:cantSplit/>
        </w:trPr>
        <w:tc>
          <w:tcPr>
            <w:tcW w:w="1560" w:type="dxa"/>
            <w:shd w:val="clear" w:color="D9E2F3" w:themeColor="accent1" w:themeTint="33" w:fill="auto"/>
          </w:tcPr>
          <w:p w14:paraId="04880EBC" w14:textId="77777777" w:rsidR="00664B0E" w:rsidRPr="00C12274" w:rsidRDefault="00664B0E" w:rsidP="005D4074">
            <w:pPr>
              <w:pStyle w:val="RCTstable"/>
            </w:pPr>
            <w:r w:rsidRPr="00C12274">
              <w:t>Selective reporting</w:t>
            </w:r>
          </w:p>
        </w:tc>
        <w:tc>
          <w:tcPr>
            <w:tcW w:w="1275" w:type="dxa"/>
            <w:shd w:val="clear" w:color="D9E2F3" w:themeColor="accent1" w:themeTint="33" w:fill="FF4D19"/>
          </w:tcPr>
          <w:p w14:paraId="72AA03A2" w14:textId="7302871A" w:rsidR="00664B0E" w:rsidRPr="00C12274" w:rsidRDefault="00ED041D" w:rsidP="005D4074">
            <w:pPr>
              <w:pStyle w:val="RCTstable"/>
            </w:pPr>
            <w:r>
              <w:t>High</w:t>
            </w:r>
            <w:r w:rsidR="00664B0E" w:rsidRPr="00C12274">
              <w:t xml:space="preserve"> risk</w:t>
            </w:r>
          </w:p>
        </w:tc>
        <w:tc>
          <w:tcPr>
            <w:tcW w:w="11199" w:type="dxa"/>
            <w:shd w:val="clear" w:color="D9E2F3" w:themeColor="accent1" w:themeTint="33" w:fill="auto"/>
          </w:tcPr>
          <w:p w14:paraId="7F5A46AC" w14:textId="381A8615" w:rsidR="00664B0E" w:rsidRPr="00ED041D" w:rsidRDefault="00ED041D" w:rsidP="00ED041D">
            <w:pPr>
              <w:pStyle w:val="RCTstable"/>
            </w:pPr>
            <w:r w:rsidRPr="00ED041D">
              <w:t>Per protocol data reported with individual</w:t>
            </w:r>
            <w:r>
              <w:t xml:space="preserve"> </w:t>
            </w:r>
            <w:r w:rsidRPr="00ED041D">
              <w:t>denominators missing from most results.</w:t>
            </w:r>
            <w:r>
              <w:t xml:space="preserve"> </w:t>
            </w:r>
            <w:r w:rsidRPr="00ED041D">
              <w:t>Results not adjusted for baseline difference</w:t>
            </w:r>
            <w:r>
              <w:t xml:space="preserve"> </w:t>
            </w:r>
            <w:r w:rsidRPr="00ED041D">
              <w:t>in maternal age (older in the intervention</w:t>
            </w:r>
            <w:r>
              <w:t xml:space="preserve"> </w:t>
            </w:r>
            <w:r w:rsidRPr="00ED041D">
              <w:t>group)</w:t>
            </w:r>
            <w:r>
              <w:t>.</w:t>
            </w:r>
          </w:p>
        </w:tc>
      </w:tr>
      <w:tr w:rsidR="00664B0E" w:rsidRPr="00C12274" w14:paraId="69E6ECBA" w14:textId="77777777" w:rsidTr="00BC7AEC">
        <w:trPr>
          <w:cantSplit/>
        </w:trPr>
        <w:tc>
          <w:tcPr>
            <w:tcW w:w="1560" w:type="dxa"/>
            <w:shd w:val="clear" w:color="D9E2F3" w:themeColor="accent1" w:themeTint="33" w:fill="auto"/>
          </w:tcPr>
          <w:p w14:paraId="17DC8DED" w14:textId="77777777" w:rsidR="00664B0E" w:rsidRPr="00C12274" w:rsidRDefault="00664B0E" w:rsidP="005D4074">
            <w:pPr>
              <w:pStyle w:val="RCTstable"/>
              <w:rPr>
                <w:lang w:val="en-US"/>
              </w:rPr>
            </w:pPr>
            <w:r w:rsidRPr="00C12274">
              <w:rPr>
                <w:lang w:val="en-US"/>
              </w:rPr>
              <w:t xml:space="preserve">Other limitations </w:t>
            </w:r>
          </w:p>
        </w:tc>
        <w:tc>
          <w:tcPr>
            <w:tcW w:w="1275" w:type="dxa"/>
            <w:shd w:val="clear" w:color="D9E2F3" w:themeColor="accent1" w:themeTint="33" w:fill="FF4D19"/>
          </w:tcPr>
          <w:p w14:paraId="033D8C60" w14:textId="5386BDBA" w:rsidR="00664B0E" w:rsidRPr="00C12274" w:rsidRDefault="00ED041D" w:rsidP="005D4074">
            <w:pPr>
              <w:pStyle w:val="RCTstable"/>
              <w:rPr>
                <w:lang w:val="en-US"/>
              </w:rPr>
            </w:pPr>
            <w:r>
              <w:rPr>
                <w:lang w:val="en-US"/>
              </w:rPr>
              <w:t>High</w:t>
            </w:r>
            <w:r w:rsidR="00664B0E" w:rsidRPr="00C12274">
              <w:rPr>
                <w:lang w:val="en-US"/>
              </w:rPr>
              <w:t xml:space="preserve"> risk</w:t>
            </w:r>
          </w:p>
        </w:tc>
        <w:tc>
          <w:tcPr>
            <w:tcW w:w="11199" w:type="dxa"/>
            <w:shd w:val="clear" w:color="D9E2F3" w:themeColor="accent1" w:themeTint="33" w:fill="auto"/>
          </w:tcPr>
          <w:p w14:paraId="6B3EF918" w14:textId="6C96B1E3" w:rsidR="00664B0E" w:rsidRPr="00ED041D" w:rsidRDefault="00ED041D" w:rsidP="00ED041D">
            <w:pPr>
              <w:pStyle w:val="RCTstable"/>
            </w:pPr>
            <w:r w:rsidRPr="00ED041D">
              <w:t>Baseline difference in age of women (average</w:t>
            </w:r>
            <w:r>
              <w:t xml:space="preserve"> </w:t>
            </w:r>
            <w:r w:rsidRPr="00ED041D">
              <w:t>of 3 years older in intervention group)</w:t>
            </w:r>
            <w:r>
              <w:t>.</w:t>
            </w:r>
          </w:p>
        </w:tc>
      </w:tr>
      <w:tr w:rsidR="001969C3" w:rsidRPr="006234EA" w14:paraId="240E2928" w14:textId="77777777" w:rsidTr="00BC7AEC">
        <w:trPr>
          <w:cantSplit/>
        </w:trPr>
        <w:tc>
          <w:tcPr>
            <w:tcW w:w="14034" w:type="dxa"/>
            <w:gridSpan w:val="3"/>
            <w:shd w:val="solid" w:color="D9E2F3" w:themeColor="accent1" w:themeTint="33" w:fill="auto"/>
          </w:tcPr>
          <w:p w14:paraId="161E50CB" w14:textId="5DA66331" w:rsidR="001969C3" w:rsidRPr="00470354" w:rsidRDefault="001969C3" w:rsidP="002747EA">
            <w:pPr>
              <w:pStyle w:val="Tablecell"/>
              <w:keepNext/>
              <w:spacing w:line="220" w:lineRule="exact"/>
              <w:rPr>
                <w:rFonts w:eastAsiaTheme="minorHAnsi"/>
                <w:b/>
                <w:sz w:val="16"/>
                <w:szCs w:val="16"/>
                <w:lang w:val="en-US"/>
              </w:rPr>
            </w:pPr>
            <w:r>
              <w:rPr>
                <w:b/>
                <w:noProof/>
                <w:sz w:val="16"/>
                <w:szCs w:val="16"/>
              </w:rPr>
              <w:t>Laitinen et al 2009</w:t>
            </w:r>
            <w:r>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 </w:instrText>
            </w:r>
            <w:r w:rsidR="002747EA">
              <w:fldChar w:fldCharType="begin">
                <w:fldData xml:space="preserve">PEVuZE5vdGU+PENpdGU+PEF1dGhvcj5MYWl0aW5lbjwvQXV0aG9yPjxZZWFyPjIwMDk8L1llYXI+
PFJlY051bT4xMTQ4PC9SZWNOdW0+PERpc3BsYXlUZXh0PjxzdHlsZSBmYWNlPSJzdXBlcnNjcmlw
dCIgZm9udD0iVHJlYnVjaGV0IE1TIiBzaXplPSI5Ij4yNDA8L3N0eWxlPjwvRGlzcGxheVRleHQ+
PHJlY29yZD48cmVjLW51bWJlcj4xMTQ4PC9yZWMtbnVtYmVyPjxmb3JlaWduLWtleXM+PGtleSBh
cHA9IkVOIiBkYi1pZD0iZXh2YXNyZngyZHRyYW9lc2FzeHAyc3pzeGEyZGY1MDI1OTJ4IiB0aW1l
c3RhbXA9IjE1NTU1NjY4MTYiPjExNDg8L2tleT48a2V5IGFwcD0iRU5XZWIiIGRiLWlkPSIiPjA8
L2tleT48L2ZvcmVpZ24ta2V5cz48cmVmLXR5cGUgbmFtZT0iSm91cm5hbCBBcnRpY2xlIj4xNzwv
cmVmLXR5cGU+PGNvbnRyaWJ1dG9ycz48YXV0aG9ycz48YXV0aG9yPkxhaXRpbmVuLCBLLjwvYXV0
aG9yPjxhdXRob3I+UG91c3NhLCBULjwvYXV0aG9yPjxhdXRob3I+SXNvbGF1cmksIEUuPC9hdXRo
b3I+PGF1dGhvcj5OdXRyaXRpb24sIEFsbGVyZ3kgTXVjb3NhbCBJbW11bm9sb2d5PC9hdXRob3I+
PGF1dGhvcj5JbnRlc3RpbmFsIE1pY3JvYmlvdGEsIEdyb3VwPC9hdXRob3I+PC9hdXRob3JzPjwv
Y29udHJpYnV0b3JzPjxhdXRoLWFkZHJlc3M+RGVwYXJ0bWVudCBvZiBCaW9jaGVtaXN0cnkgYW5k
IEZvb2QgQ2hlbWlzdHJ5LCBVbml2ZXJzaXR5IG9mIFR1cmt1LCAyMDAxNCBUdXJrdSwgRmlubGFu
ZC4ga2lyc2kubGFpdGluZW5AdXR1LmZpPC9hdXRoLWFkZHJlc3M+PHRpdGxlcz48dGl0bGU+UHJv
YmlvdGljcyBhbmQgZGlldGFyeSBjb3Vuc2VsbGluZyBjb250cmlidXRlIHRvIGdsdWNvc2UgcmVn
dWxhdGlvbiBkdXJpbmcgYW5kIGFmdGVyIHByZWduYW5jeTogYSByYW5kb21pc2VkIGNvbnRyb2xs
ZWQgdHJpYWw8L3RpdGxlPjxzZWNvbmRhcnktdGl0bGU+QnIgSiBOdXRyPC9zZWNvbmRhcnktdGl0
bGU+PC90aXRsZXM+PHBlcmlvZGljYWw+PGZ1bGwtdGl0bGU+QnIgSiBOdXRyPC9mdWxsLXRpdGxl
PjwvcGVyaW9kaWNhbD48cGFnZXM+MTY3OS04NzwvcGFnZXM+PHZvbHVtZT4xMDE8L3ZvbHVtZT48
bnVtYmVyPjExPC9udW1iZXI+PGVkaXRpb24+MjAwOC8xMS8yMDwvZWRpdGlvbj48a2V5d29yZHM+
PGtleXdvcmQ+QWR1bHQ8L2tleXdvcmQ+PGtleXdvcmQ+Qmxvb2QgR2x1Y29zZS8qbWV0YWJvbGlz
bTwva2V5d29yZD48a2V5d29yZD5Db3Vuc2VsaW5nPC9rZXl3b3JkPjxrZXl3b3JkPipEaWV0PC9r
ZXl3b3JkPjxrZXl3b3JkPkVuZXJneSBJbnRha2UvcGh5c2lvbG9neTwva2V5d29yZD48a2V5d29y
ZD5GZW1hbGU8L2tleXdvcmQ+PGtleXdvcmQ+SHVtYW5zPC9rZXl3b3JkPjxrZXl3b3JkPkluc3Vs
aW4vYmxvb2Q8L2tleXdvcmQ+PGtleXdvcmQ+SW5zdWxpbiBSZXNpc3RhbmNlL3BoeXNpb2xvZ3k8
L2tleXdvcmQ+PGtleXdvcmQ+TWF0ZXJuYWwgTnV0cml0aW9uYWwgUGh5c2lvbG9naWNhbCBQaGVu
b21lbmEvKnBoeXNpb2xvZ3k8L2tleXdvcmQ+PGtleXdvcmQ+UG9zdHBhcnR1bSBQZXJpb2QvYmxv
b2Q8L2tleXdvcmQ+PGtleXdvcmQ+UHJlZ25hbmN5LypibG9vZDwva2V5d29yZD48a2V5d29yZD4q
UHJvYmlvdGljczwva2V5d29yZD48a2V5d29yZD5Qcm9zcGVjdGl2ZSBTdHVkaWVzPC9rZXl3b3Jk
PjxrZXl3b3JkPllvdW5nIEFkdWx0PC9rZXl3b3JkPjwva2V5d29yZHM+PGRhdGVzPjx5ZWFyPjIw
MDk8L3llYXI+PHB1Yi1kYXRlcz48ZGF0ZT5KdW48L2RhdGU+PC9wdWItZGF0ZXM+PC9kYXRlcz48
aXNibj4xNDc1LTI2NjIgKEVsZWN0cm9uaWMpJiN4RDswMDA3LTExNDUgKExpbmtpbmcpPC9pc2Ju
PjxhY2Nlc3Npb24tbnVtPjE5MDE3NDE4PC9hY2Nlc3Npb24tbnVtPjx1cmxzPjxyZWxhdGVkLXVy
bHM+PHVybD5odHRwczovL3d3dy5uY2JpLm5sbS5uaWguZ292L3B1Ym1lZC8xOTAxNzQxODwvdXJs
PjwvcmVsYXRlZC11cmxzPjwvdXJscz48ZWxlY3Ryb25pYy1yZXNvdXJjZS1udW0+MTAuMTAxNy9T
MDAwNzExNDUwODExMTQ2MTwvZWxlY3Ryb25pYy1yZXNvdXJjZS1udW0+PC9yZWNvcmQ+PC9DaXRl
PjwvRW5kTm90ZT4A
</w:fldData>
              </w:fldChar>
            </w:r>
            <w:r w:rsidR="002747EA">
              <w:instrText xml:space="preserve"> ADDIN EN.CITE.DATA </w:instrText>
            </w:r>
            <w:r w:rsidR="002747EA">
              <w:fldChar w:fldCharType="end"/>
            </w:r>
            <w:r>
              <w:fldChar w:fldCharType="separate"/>
            </w:r>
            <w:r w:rsidR="002747EA" w:rsidRPr="002747EA">
              <w:rPr>
                <w:noProof/>
                <w:vertAlign w:val="superscript"/>
              </w:rPr>
              <w:t>240</w:t>
            </w:r>
            <w:r>
              <w:fldChar w:fldCharType="end"/>
            </w:r>
          </w:p>
        </w:tc>
      </w:tr>
      <w:tr w:rsidR="001969C3" w:rsidRPr="00C12274" w14:paraId="07A4A659" w14:textId="77777777" w:rsidTr="00BC7AEC">
        <w:trPr>
          <w:cantSplit/>
        </w:trPr>
        <w:tc>
          <w:tcPr>
            <w:tcW w:w="1560" w:type="dxa"/>
            <w:shd w:val="clear" w:color="D9E2F3" w:themeColor="accent1" w:themeTint="33" w:fill="auto"/>
          </w:tcPr>
          <w:p w14:paraId="4E4D99DB" w14:textId="77777777" w:rsidR="001969C3" w:rsidRPr="00C12274" w:rsidRDefault="001969C3" w:rsidP="005D4074">
            <w:pPr>
              <w:pStyle w:val="RCTstable"/>
              <w:keepNext/>
            </w:pPr>
            <w:r w:rsidRPr="00C12274">
              <w:t>Random sequence generation</w:t>
            </w:r>
          </w:p>
        </w:tc>
        <w:tc>
          <w:tcPr>
            <w:tcW w:w="1275" w:type="dxa"/>
            <w:shd w:val="clear" w:color="D9E2F3" w:themeColor="accent1" w:themeTint="33" w:fill="70AD47" w:themeFill="accent6"/>
          </w:tcPr>
          <w:p w14:paraId="1214347D" w14:textId="2BF2C269" w:rsidR="001969C3" w:rsidRPr="00C12274" w:rsidRDefault="001969C3" w:rsidP="005D4074">
            <w:pPr>
              <w:pStyle w:val="RCTstable"/>
              <w:keepNext/>
            </w:pPr>
            <w:r>
              <w:t>Low</w:t>
            </w:r>
            <w:r w:rsidRPr="00C12274">
              <w:t xml:space="preserve"> risk</w:t>
            </w:r>
          </w:p>
        </w:tc>
        <w:tc>
          <w:tcPr>
            <w:tcW w:w="11199" w:type="dxa"/>
            <w:shd w:val="clear" w:color="D9E2F3" w:themeColor="accent1" w:themeTint="33" w:fill="auto"/>
          </w:tcPr>
          <w:p w14:paraId="2C2E4F4A" w14:textId="25E24AD3" w:rsidR="001969C3" w:rsidRPr="001969C3" w:rsidRDefault="001969C3" w:rsidP="001969C3">
            <w:pPr>
              <w:pStyle w:val="RCTstable"/>
            </w:pPr>
            <w:r w:rsidRPr="001969C3">
              <w:t>Women were randomly assigned to 3 study</w:t>
            </w:r>
            <w:r>
              <w:t xml:space="preserve"> </w:t>
            </w:r>
            <w:r w:rsidRPr="001969C3">
              <w:t>groups according to computer-generated</w:t>
            </w:r>
            <w:r>
              <w:t xml:space="preserve"> </w:t>
            </w:r>
            <w:r w:rsidRPr="001969C3">
              <w:t>block randomisation</w:t>
            </w:r>
            <w:r>
              <w:t>.</w:t>
            </w:r>
          </w:p>
        </w:tc>
      </w:tr>
      <w:tr w:rsidR="001969C3" w:rsidRPr="00C12274" w14:paraId="2F3AD9A6" w14:textId="77777777" w:rsidTr="00BC7AEC">
        <w:trPr>
          <w:cantSplit/>
        </w:trPr>
        <w:tc>
          <w:tcPr>
            <w:tcW w:w="1560" w:type="dxa"/>
            <w:shd w:val="clear" w:color="D9E2F3" w:themeColor="accent1" w:themeTint="33" w:fill="auto"/>
          </w:tcPr>
          <w:p w14:paraId="528E5D5A" w14:textId="77777777" w:rsidR="001969C3" w:rsidRPr="00C12274" w:rsidRDefault="001969C3" w:rsidP="005D4074">
            <w:pPr>
              <w:pStyle w:val="RCTstable"/>
              <w:keepNext/>
            </w:pPr>
            <w:r w:rsidRPr="00C12274">
              <w:t xml:space="preserve">Allocation concealment </w:t>
            </w:r>
          </w:p>
        </w:tc>
        <w:tc>
          <w:tcPr>
            <w:tcW w:w="1275" w:type="dxa"/>
            <w:shd w:val="clear" w:color="D9E2F3" w:themeColor="accent1" w:themeTint="33" w:fill="70AD47" w:themeFill="accent6"/>
          </w:tcPr>
          <w:p w14:paraId="3AA0284D" w14:textId="77777777" w:rsidR="001969C3" w:rsidRPr="00C12274" w:rsidRDefault="001969C3" w:rsidP="005D4074">
            <w:pPr>
              <w:pStyle w:val="RCTstable"/>
              <w:keepNext/>
            </w:pPr>
            <w:r w:rsidRPr="00C12274">
              <w:t>Low risk</w:t>
            </w:r>
          </w:p>
        </w:tc>
        <w:tc>
          <w:tcPr>
            <w:tcW w:w="11199" w:type="dxa"/>
            <w:shd w:val="clear" w:color="D9E2F3" w:themeColor="accent1" w:themeTint="33" w:fill="auto"/>
          </w:tcPr>
          <w:p w14:paraId="2D36ED50" w14:textId="07627BD2" w:rsidR="001969C3" w:rsidRPr="001969C3" w:rsidRDefault="001969C3" w:rsidP="001969C3">
            <w:pPr>
              <w:pStyle w:val="RCTstable"/>
            </w:pPr>
            <w:r w:rsidRPr="001969C3">
              <w:t>Using sealed envelopes. At the 1st study</w:t>
            </w:r>
            <w:r>
              <w:t xml:space="preserve"> </w:t>
            </w:r>
            <w:r w:rsidRPr="001969C3">
              <w:t>visit the envelopes were opened. The random</w:t>
            </w:r>
            <w:r>
              <w:t xml:space="preserve"> </w:t>
            </w:r>
            <w:r w:rsidRPr="001969C3">
              <w:t>allocation sequence was thus concealed until interventions were assigned</w:t>
            </w:r>
          </w:p>
        </w:tc>
      </w:tr>
      <w:tr w:rsidR="001969C3" w:rsidRPr="00C12274" w14:paraId="4DBE3EC5" w14:textId="77777777" w:rsidTr="00BC7AEC">
        <w:trPr>
          <w:cantSplit/>
          <w:trHeight w:val="291"/>
        </w:trPr>
        <w:tc>
          <w:tcPr>
            <w:tcW w:w="1560" w:type="dxa"/>
            <w:shd w:val="clear" w:color="D9E2F3" w:themeColor="accent1" w:themeTint="33" w:fill="auto"/>
          </w:tcPr>
          <w:p w14:paraId="7FBC88FF" w14:textId="77777777" w:rsidR="001969C3" w:rsidRPr="00C12274" w:rsidRDefault="001969C3" w:rsidP="005D4074">
            <w:pPr>
              <w:pStyle w:val="RCTstable"/>
              <w:keepNext/>
            </w:pPr>
            <w:r>
              <w:t>Performance bias</w:t>
            </w:r>
          </w:p>
        </w:tc>
        <w:tc>
          <w:tcPr>
            <w:tcW w:w="1275" w:type="dxa"/>
            <w:shd w:val="clear" w:color="D9E2F3" w:themeColor="accent1" w:themeTint="33" w:fill="FFC000" w:themeFill="accent4"/>
          </w:tcPr>
          <w:p w14:paraId="7EE09AB7" w14:textId="6586E927" w:rsidR="001969C3" w:rsidRPr="00C12274" w:rsidRDefault="00D072CE" w:rsidP="005D4074">
            <w:pPr>
              <w:pStyle w:val="RCTstable"/>
              <w:keepNext/>
            </w:pPr>
            <w:r>
              <w:t>Unclear</w:t>
            </w:r>
            <w:r w:rsidR="001969C3" w:rsidRPr="00C12274">
              <w:t xml:space="preserve"> risk</w:t>
            </w:r>
          </w:p>
        </w:tc>
        <w:tc>
          <w:tcPr>
            <w:tcW w:w="11199" w:type="dxa"/>
            <w:shd w:val="clear" w:color="D9E2F3" w:themeColor="accent1" w:themeTint="33" w:fill="auto"/>
          </w:tcPr>
          <w:p w14:paraId="099C56E5" w14:textId="7778B69F" w:rsidR="001969C3" w:rsidRPr="001969C3" w:rsidRDefault="001969C3" w:rsidP="001969C3">
            <w:pPr>
              <w:pStyle w:val="RCTstable"/>
            </w:pPr>
            <w:r w:rsidRPr="001969C3">
              <w:t>Probiotics/placebo were double-blind in</w:t>
            </w:r>
            <w:r>
              <w:t xml:space="preserve"> </w:t>
            </w:r>
            <w:r w:rsidRPr="001969C3">
              <w:t>the intervention groups but single blind in</w:t>
            </w:r>
            <w:r>
              <w:t xml:space="preserve"> </w:t>
            </w:r>
            <w:r w:rsidRPr="001969C3">
              <w:t>the control group</w:t>
            </w:r>
            <w:r>
              <w:t>.</w:t>
            </w:r>
            <w:r w:rsidR="003E4140">
              <w:t xml:space="preserve"> Blinding of intervention group (ie diet counselling vs no diet counselling) not described.</w:t>
            </w:r>
          </w:p>
        </w:tc>
      </w:tr>
      <w:tr w:rsidR="001969C3" w:rsidRPr="00822EBF" w14:paraId="7FAFCA1D" w14:textId="77777777" w:rsidTr="00BC7AEC">
        <w:trPr>
          <w:cantSplit/>
        </w:trPr>
        <w:tc>
          <w:tcPr>
            <w:tcW w:w="1560" w:type="dxa"/>
            <w:shd w:val="clear" w:color="D9E2F3" w:themeColor="accent1" w:themeTint="33" w:fill="auto"/>
          </w:tcPr>
          <w:p w14:paraId="167AF285" w14:textId="77777777" w:rsidR="001969C3" w:rsidRPr="00822EBF" w:rsidRDefault="001969C3" w:rsidP="005D4074">
            <w:pPr>
              <w:pStyle w:val="RCTstable"/>
            </w:pPr>
            <w:r w:rsidRPr="00822EBF">
              <w:t>Detection bias</w:t>
            </w:r>
          </w:p>
        </w:tc>
        <w:tc>
          <w:tcPr>
            <w:tcW w:w="1275" w:type="dxa"/>
            <w:shd w:val="clear" w:color="D9E2F3" w:themeColor="accent1" w:themeTint="33" w:fill="FFC000" w:themeFill="accent4"/>
          </w:tcPr>
          <w:p w14:paraId="05B6A1D3" w14:textId="30958CE8" w:rsidR="001969C3" w:rsidRPr="00822EBF" w:rsidRDefault="001969C3" w:rsidP="005D4074">
            <w:pPr>
              <w:pStyle w:val="RCTstable"/>
            </w:pPr>
            <w:r>
              <w:t>Unclear</w:t>
            </w:r>
            <w:r w:rsidRPr="00822EBF">
              <w:t xml:space="preserve"> risk</w:t>
            </w:r>
          </w:p>
        </w:tc>
        <w:tc>
          <w:tcPr>
            <w:tcW w:w="11199" w:type="dxa"/>
            <w:shd w:val="clear" w:color="D9E2F3" w:themeColor="accent1" w:themeTint="33" w:fill="auto"/>
          </w:tcPr>
          <w:p w14:paraId="4A6AD665" w14:textId="42040DA1" w:rsidR="001969C3" w:rsidRPr="001969C3" w:rsidRDefault="001969C3" w:rsidP="001969C3">
            <w:pPr>
              <w:pStyle w:val="RCTstable"/>
            </w:pPr>
            <w:r w:rsidRPr="001969C3">
              <w:t>Not described.</w:t>
            </w:r>
          </w:p>
        </w:tc>
      </w:tr>
      <w:tr w:rsidR="001969C3" w:rsidRPr="00C12274" w14:paraId="27142043" w14:textId="77777777" w:rsidTr="00BC7AEC">
        <w:trPr>
          <w:cantSplit/>
        </w:trPr>
        <w:tc>
          <w:tcPr>
            <w:tcW w:w="1560" w:type="dxa"/>
            <w:shd w:val="clear" w:color="D9E2F3" w:themeColor="accent1" w:themeTint="33" w:fill="auto"/>
          </w:tcPr>
          <w:p w14:paraId="15E9AA2E" w14:textId="77777777" w:rsidR="001969C3" w:rsidRPr="00C12274" w:rsidRDefault="001969C3" w:rsidP="005D4074">
            <w:pPr>
              <w:pStyle w:val="RCTstable"/>
              <w:keepNext/>
            </w:pPr>
            <w:r w:rsidRPr="00C12274">
              <w:t>Incomplete outcome data</w:t>
            </w:r>
          </w:p>
        </w:tc>
        <w:tc>
          <w:tcPr>
            <w:tcW w:w="1275" w:type="dxa"/>
            <w:shd w:val="clear" w:color="D9E2F3" w:themeColor="accent1" w:themeTint="33" w:fill="70AD47" w:themeFill="accent6"/>
          </w:tcPr>
          <w:p w14:paraId="40327310" w14:textId="640E19AD" w:rsidR="001969C3" w:rsidRPr="00C12274" w:rsidRDefault="001969C3" w:rsidP="005D4074">
            <w:pPr>
              <w:pStyle w:val="RCTstable"/>
              <w:keepNext/>
            </w:pPr>
            <w:r>
              <w:t>Low</w:t>
            </w:r>
            <w:r w:rsidRPr="00C12274">
              <w:t xml:space="preserve"> risk</w:t>
            </w:r>
          </w:p>
        </w:tc>
        <w:tc>
          <w:tcPr>
            <w:tcW w:w="11199" w:type="dxa"/>
            <w:shd w:val="clear" w:color="D9E2F3" w:themeColor="accent1" w:themeTint="33" w:fill="auto"/>
          </w:tcPr>
          <w:p w14:paraId="6A750A2C" w14:textId="24C25F7E" w:rsidR="001969C3" w:rsidRPr="001969C3" w:rsidRDefault="001969C3" w:rsidP="001969C3">
            <w:pPr>
              <w:pStyle w:val="RCTstable"/>
            </w:pPr>
            <w:r w:rsidRPr="001969C3">
              <w:t>No loss to follow-up (to delivery).</w:t>
            </w:r>
          </w:p>
        </w:tc>
      </w:tr>
      <w:tr w:rsidR="001969C3" w:rsidRPr="00C12274" w14:paraId="13DE0A37" w14:textId="77777777" w:rsidTr="00BC7AEC">
        <w:trPr>
          <w:cantSplit/>
        </w:trPr>
        <w:tc>
          <w:tcPr>
            <w:tcW w:w="1560" w:type="dxa"/>
            <w:shd w:val="clear" w:color="D9E2F3" w:themeColor="accent1" w:themeTint="33" w:fill="auto"/>
          </w:tcPr>
          <w:p w14:paraId="4A2681DB" w14:textId="77777777" w:rsidR="001969C3" w:rsidRPr="00C12274" w:rsidRDefault="001969C3" w:rsidP="005D4074">
            <w:pPr>
              <w:pStyle w:val="RCTstable"/>
            </w:pPr>
            <w:r w:rsidRPr="00C12274">
              <w:t>Selective reporting</w:t>
            </w:r>
          </w:p>
        </w:tc>
        <w:tc>
          <w:tcPr>
            <w:tcW w:w="1275" w:type="dxa"/>
            <w:shd w:val="clear" w:color="D9E2F3" w:themeColor="accent1" w:themeTint="33" w:fill="70AD47" w:themeFill="accent6"/>
          </w:tcPr>
          <w:p w14:paraId="42508E64" w14:textId="5DBF4034" w:rsidR="001969C3" w:rsidRPr="00C12274" w:rsidRDefault="001969C3" w:rsidP="005D4074">
            <w:pPr>
              <w:pStyle w:val="RCTstable"/>
            </w:pPr>
            <w:r>
              <w:t>Low</w:t>
            </w:r>
            <w:r w:rsidRPr="00C12274">
              <w:t xml:space="preserve"> risk</w:t>
            </w:r>
          </w:p>
        </w:tc>
        <w:tc>
          <w:tcPr>
            <w:tcW w:w="11199" w:type="dxa"/>
            <w:shd w:val="clear" w:color="D9E2F3" w:themeColor="accent1" w:themeTint="33" w:fill="auto"/>
          </w:tcPr>
          <w:p w14:paraId="27737862" w14:textId="61C97C67" w:rsidR="001969C3" w:rsidRPr="001969C3" w:rsidRDefault="001969C3" w:rsidP="001969C3">
            <w:pPr>
              <w:pStyle w:val="RCTstable"/>
            </w:pPr>
            <w:r w:rsidRPr="001969C3">
              <w:t>The outcomes reported as in the published</w:t>
            </w:r>
            <w:r>
              <w:t xml:space="preserve"> </w:t>
            </w:r>
            <w:r w:rsidRPr="001969C3">
              <w:t>protocol.</w:t>
            </w:r>
          </w:p>
        </w:tc>
      </w:tr>
      <w:tr w:rsidR="001969C3" w:rsidRPr="00C12274" w14:paraId="2FFD4690" w14:textId="77777777" w:rsidTr="00BC7AEC">
        <w:trPr>
          <w:cantSplit/>
        </w:trPr>
        <w:tc>
          <w:tcPr>
            <w:tcW w:w="1560" w:type="dxa"/>
            <w:shd w:val="clear" w:color="D9E2F3" w:themeColor="accent1" w:themeTint="33" w:fill="auto"/>
          </w:tcPr>
          <w:p w14:paraId="483AA5D0" w14:textId="77777777" w:rsidR="001969C3" w:rsidRPr="00C12274" w:rsidRDefault="001969C3" w:rsidP="005D4074">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0CF8017F" w14:textId="123E0B05" w:rsidR="001969C3" w:rsidRPr="00C12274" w:rsidRDefault="001969C3" w:rsidP="005D4074">
            <w:pPr>
              <w:pStyle w:val="RCTstable"/>
              <w:rPr>
                <w:lang w:val="en-US"/>
              </w:rPr>
            </w:pPr>
            <w:r>
              <w:rPr>
                <w:lang w:val="en-US"/>
              </w:rPr>
              <w:t>Low</w:t>
            </w:r>
            <w:r w:rsidRPr="00C12274">
              <w:rPr>
                <w:lang w:val="en-US"/>
              </w:rPr>
              <w:t xml:space="preserve"> risk</w:t>
            </w:r>
          </w:p>
        </w:tc>
        <w:tc>
          <w:tcPr>
            <w:tcW w:w="11199" w:type="dxa"/>
            <w:shd w:val="clear" w:color="D9E2F3" w:themeColor="accent1" w:themeTint="33" w:fill="auto"/>
          </w:tcPr>
          <w:p w14:paraId="215E0BF4" w14:textId="76BE117D" w:rsidR="001969C3" w:rsidRPr="001969C3" w:rsidRDefault="001969C3" w:rsidP="001969C3">
            <w:pPr>
              <w:pStyle w:val="RCTstable"/>
            </w:pPr>
            <w:r w:rsidRPr="001969C3">
              <w:t>No other bias apparent.</w:t>
            </w:r>
          </w:p>
        </w:tc>
      </w:tr>
      <w:tr w:rsidR="00773FBC" w:rsidRPr="00C12274" w14:paraId="312CF3F8" w14:textId="77777777" w:rsidTr="00BC7AEC">
        <w:trPr>
          <w:cantSplit/>
        </w:trPr>
        <w:tc>
          <w:tcPr>
            <w:tcW w:w="14034" w:type="dxa"/>
            <w:gridSpan w:val="3"/>
            <w:shd w:val="solid" w:color="D9E2F3" w:themeColor="accent1" w:themeTint="33" w:fill="auto"/>
          </w:tcPr>
          <w:p w14:paraId="26694FF3" w14:textId="7A29FC91" w:rsidR="00773FBC" w:rsidRPr="00992BA6" w:rsidRDefault="00773FBC" w:rsidP="002747EA">
            <w:pPr>
              <w:pStyle w:val="Tablecell"/>
              <w:keepNext/>
              <w:spacing w:line="220" w:lineRule="exact"/>
              <w:rPr>
                <w:rFonts w:eastAsiaTheme="minorHAnsi"/>
                <w:sz w:val="16"/>
                <w:szCs w:val="16"/>
                <w:lang w:val="en-US"/>
              </w:rPr>
            </w:pPr>
            <w:r w:rsidRPr="00C12274">
              <w:rPr>
                <w:rFonts w:eastAsiaTheme="minorHAnsi"/>
                <w:b/>
                <w:noProof/>
                <w:sz w:val="16"/>
                <w:szCs w:val="16"/>
                <w:lang w:val="en-US"/>
              </w:rPr>
              <w:t>Simmons et al 2017</w:t>
            </w:r>
            <w:r>
              <w:rPr>
                <w:rFonts w:eastAsiaTheme="minorHAnsi"/>
                <w:sz w:val="16"/>
                <w:szCs w:val="16"/>
                <w:lang w:val="en-US"/>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Pr>
                <w:rFonts w:eastAsiaTheme="minorHAnsi"/>
                <w:sz w:val="16"/>
                <w:szCs w:val="16"/>
                <w:lang w:val="en-US"/>
              </w:rPr>
            </w:r>
            <w:r>
              <w:rPr>
                <w:rFonts w:eastAsiaTheme="minorHAnsi"/>
                <w:sz w:val="16"/>
                <w:szCs w:val="16"/>
                <w:lang w:val="en-US"/>
              </w:rPr>
              <w:fldChar w:fldCharType="separate"/>
            </w:r>
            <w:r w:rsidR="002747EA" w:rsidRPr="002747EA">
              <w:rPr>
                <w:rFonts w:eastAsiaTheme="minorHAnsi"/>
                <w:noProof/>
                <w:szCs w:val="16"/>
                <w:vertAlign w:val="superscript"/>
                <w:lang w:val="en-US"/>
              </w:rPr>
              <w:t>402</w:t>
            </w:r>
            <w:r>
              <w:rPr>
                <w:rFonts w:eastAsiaTheme="minorHAnsi"/>
                <w:sz w:val="16"/>
                <w:szCs w:val="16"/>
                <w:lang w:val="en-US"/>
              </w:rPr>
              <w:fldChar w:fldCharType="end"/>
            </w:r>
          </w:p>
        </w:tc>
      </w:tr>
      <w:tr w:rsidR="00773FBC" w:rsidRPr="00C12274" w14:paraId="09D3CAB3" w14:textId="77777777" w:rsidTr="00BC7AEC">
        <w:trPr>
          <w:cantSplit/>
        </w:trPr>
        <w:tc>
          <w:tcPr>
            <w:tcW w:w="1560" w:type="dxa"/>
            <w:shd w:val="clear" w:color="D9E2F3" w:themeColor="accent1" w:themeTint="33" w:fill="auto"/>
          </w:tcPr>
          <w:p w14:paraId="24985101" w14:textId="77777777" w:rsidR="00773FBC" w:rsidRPr="00C12274" w:rsidRDefault="00773FBC" w:rsidP="00A67139">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02685A06" w14:textId="77777777" w:rsidR="00773FBC" w:rsidRPr="00C12274" w:rsidRDefault="00773FBC" w:rsidP="00A67139">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85256AB" w14:textId="77777777" w:rsidR="00773FBC" w:rsidRPr="00C12274" w:rsidRDefault="00773FBC" w:rsidP="00A67139">
            <w:pPr>
              <w:pStyle w:val="RCTstable"/>
              <w:keepNext/>
            </w:pPr>
            <w:r>
              <w:t>Randomis</w:t>
            </w:r>
            <w:r w:rsidRPr="00C12274">
              <w:t xml:space="preserve">ation to either HE+PA, HE, PA, or UC (Fig. 1) was performed using a computerized electronic random number generator, prestratified for site. </w:t>
            </w:r>
          </w:p>
        </w:tc>
      </w:tr>
      <w:tr w:rsidR="00773FBC" w:rsidRPr="00C12274" w14:paraId="4C87F908" w14:textId="77777777" w:rsidTr="00BC7AEC">
        <w:trPr>
          <w:cantSplit/>
        </w:trPr>
        <w:tc>
          <w:tcPr>
            <w:tcW w:w="1560" w:type="dxa"/>
            <w:shd w:val="clear" w:color="D9E2F3" w:themeColor="accent1" w:themeTint="33" w:fill="auto"/>
          </w:tcPr>
          <w:p w14:paraId="1D13E0B7" w14:textId="77777777" w:rsidR="00773FBC" w:rsidRPr="00C12274" w:rsidRDefault="00773FBC" w:rsidP="00A67139">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1EA07BFD" w14:textId="77777777" w:rsidR="00773FBC" w:rsidRPr="00C12274" w:rsidRDefault="00773FBC" w:rsidP="00A67139">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DC15289" w14:textId="77777777" w:rsidR="00773FBC" w:rsidRPr="00C12274" w:rsidRDefault="00773FBC" w:rsidP="00A67139">
            <w:pPr>
              <w:pStyle w:val="RCTstable"/>
              <w:keepNext/>
            </w:pPr>
            <w:r w:rsidRPr="00C12274">
              <w:t xml:space="preserve">The trial coordinator (D.S.) prepared and distributed sealed opaque envelopes, containing group allocations to each site. The allocation outcome was communicated to the participants by the coach. </w:t>
            </w:r>
          </w:p>
        </w:tc>
      </w:tr>
      <w:tr w:rsidR="00773FBC" w:rsidRPr="00C12274" w14:paraId="4C73CEFC" w14:textId="77777777" w:rsidTr="00BC7AEC">
        <w:trPr>
          <w:cantSplit/>
        </w:trPr>
        <w:tc>
          <w:tcPr>
            <w:tcW w:w="1560" w:type="dxa"/>
            <w:shd w:val="clear" w:color="D9E2F3" w:themeColor="accent1" w:themeTint="33" w:fill="auto"/>
          </w:tcPr>
          <w:p w14:paraId="176988A4" w14:textId="77777777" w:rsidR="00773FBC" w:rsidRPr="00C12274" w:rsidRDefault="00773FBC" w:rsidP="00A67139">
            <w:pPr>
              <w:keepNext/>
              <w:spacing w:before="40" w:after="40" w:line="220" w:lineRule="exact"/>
              <w:rPr>
                <w:sz w:val="16"/>
                <w:szCs w:val="16"/>
              </w:rPr>
            </w:pPr>
            <w:r>
              <w:rPr>
                <w:sz w:val="16"/>
                <w:szCs w:val="16"/>
              </w:rPr>
              <w:t>Performance bias</w:t>
            </w:r>
          </w:p>
        </w:tc>
        <w:tc>
          <w:tcPr>
            <w:tcW w:w="1275" w:type="dxa"/>
            <w:shd w:val="clear" w:color="D9E2F3" w:themeColor="accent1" w:themeTint="33" w:fill="FF4D19"/>
          </w:tcPr>
          <w:p w14:paraId="46ABC229" w14:textId="77777777" w:rsidR="00773FBC" w:rsidRPr="00C12274" w:rsidRDefault="00773FBC" w:rsidP="00A67139">
            <w:pPr>
              <w:keepNext/>
              <w:spacing w:before="40" w:after="40" w:line="220" w:lineRule="exact"/>
              <w:rPr>
                <w:sz w:val="16"/>
                <w:szCs w:val="16"/>
              </w:rPr>
            </w:pPr>
            <w:r>
              <w:rPr>
                <w:sz w:val="16"/>
                <w:szCs w:val="16"/>
              </w:rPr>
              <w:t>High</w:t>
            </w:r>
            <w:r w:rsidRPr="00C12274">
              <w:rPr>
                <w:sz w:val="16"/>
                <w:szCs w:val="16"/>
              </w:rPr>
              <w:t xml:space="preserve"> risk</w:t>
            </w:r>
          </w:p>
        </w:tc>
        <w:tc>
          <w:tcPr>
            <w:tcW w:w="11199" w:type="dxa"/>
            <w:vMerge w:val="restart"/>
            <w:shd w:val="clear" w:color="D9E2F3" w:themeColor="accent1" w:themeTint="33" w:fill="auto"/>
          </w:tcPr>
          <w:p w14:paraId="46447CC8" w14:textId="77777777" w:rsidR="00773FBC" w:rsidRPr="00C12274" w:rsidRDefault="00773FBC" w:rsidP="00A67139">
            <w:pPr>
              <w:pStyle w:val="RCTstable"/>
              <w:keepNext/>
              <w:rPr>
                <w:rFonts w:ascii="Times" w:hAnsi="Times"/>
                <w:color w:val="181A18"/>
                <w:sz w:val="15"/>
                <w:szCs w:val="15"/>
              </w:rPr>
            </w:pPr>
            <w:r w:rsidRPr="00C12274">
              <w:t>The staff involved with measurements, but not the participants, were kept unaware of the intervention. Statistical analyses were performed blinded for allocation.</w:t>
            </w:r>
          </w:p>
        </w:tc>
      </w:tr>
      <w:tr w:rsidR="00773FBC" w:rsidRPr="00C12274" w14:paraId="44C3E800" w14:textId="77777777" w:rsidTr="00BC7AEC">
        <w:trPr>
          <w:cantSplit/>
        </w:trPr>
        <w:tc>
          <w:tcPr>
            <w:tcW w:w="1560" w:type="dxa"/>
            <w:shd w:val="clear" w:color="D9E2F3" w:themeColor="accent1" w:themeTint="33" w:fill="auto"/>
          </w:tcPr>
          <w:p w14:paraId="11D87A95" w14:textId="77777777" w:rsidR="00773FBC" w:rsidRPr="00C12274" w:rsidRDefault="00773FBC" w:rsidP="00A67139">
            <w:pPr>
              <w:spacing w:before="40" w:after="40" w:line="220" w:lineRule="exact"/>
              <w:rPr>
                <w:sz w:val="16"/>
                <w:szCs w:val="16"/>
              </w:rPr>
            </w:pPr>
            <w:r>
              <w:rPr>
                <w:sz w:val="16"/>
                <w:szCs w:val="16"/>
              </w:rPr>
              <w:t>Detection bias</w:t>
            </w:r>
          </w:p>
        </w:tc>
        <w:tc>
          <w:tcPr>
            <w:tcW w:w="1275" w:type="dxa"/>
            <w:shd w:val="clear" w:color="D9E2F3" w:themeColor="accent1" w:themeTint="33" w:fill="70AD47" w:themeFill="accent6"/>
          </w:tcPr>
          <w:p w14:paraId="38E36239" w14:textId="77777777" w:rsidR="00773FBC" w:rsidRPr="00C12274" w:rsidRDefault="00773FBC" w:rsidP="00A67139">
            <w:pPr>
              <w:spacing w:before="40" w:after="40" w:line="220" w:lineRule="exact"/>
              <w:rPr>
                <w:sz w:val="16"/>
                <w:szCs w:val="16"/>
              </w:rPr>
            </w:pPr>
            <w:r>
              <w:rPr>
                <w:sz w:val="16"/>
                <w:szCs w:val="16"/>
              </w:rPr>
              <w:t>Low</w:t>
            </w:r>
            <w:r w:rsidRPr="00C12274">
              <w:rPr>
                <w:sz w:val="16"/>
                <w:szCs w:val="16"/>
              </w:rPr>
              <w:t xml:space="preserve"> risk</w:t>
            </w:r>
          </w:p>
        </w:tc>
        <w:tc>
          <w:tcPr>
            <w:tcW w:w="11199" w:type="dxa"/>
            <w:vMerge/>
            <w:shd w:val="clear" w:color="D9E2F3" w:themeColor="accent1" w:themeTint="33" w:fill="auto"/>
          </w:tcPr>
          <w:p w14:paraId="063BF21D" w14:textId="77777777" w:rsidR="00773FBC" w:rsidRPr="00C12274" w:rsidRDefault="00773FBC" w:rsidP="00A67139">
            <w:pPr>
              <w:pStyle w:val="RCTstable"/>
            </w:pPr>
          </w:p>
        </w:tc>
      </w:tr>
      <w:tr w:rsidR="00773FBC" w:rsidRPr="00C12274" w14:paraId="4EAE0A25" w14:textId="77777777" w:rsidTr="00BC7AEC">
        <w:trPr>
          <w:cantSplit/>
        </w:trPr>
        <w:tc>
          <w:tcPr>
            <w:tcW w:w="1560" w:type="dxa"/>
            <w:shd w:val="clear" w:color="D9E2F3" w:themeColor="accent1" w:themeTint="33" w:fill="auto"/>
          </w:tcPr>
          <w:p w14:paraId="2AA81AF2" w14:textId="77777777" w:rsidR="00773FBC" w:rsidRPr="00C12274" w:rsidRDefault="00773FBC" w:rsidP="00A67139">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0E1E92AE" w14:textId="77777777" w:rsidR="00773FBC" w:rsidRPr="00C12274" w:rsidRDefault="00773FBC" w:rsidP="00A67139">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5EDCBBE" w14:textId="77777777" w:rsidR="00773FBC" w:rsidRPr="00C12274" w:rsidRDefault="00773FBC" w:rsidP="00A67139">
            <w:pPr>
              <w:pStyle w:val="RCTstable"/>
            </w:pPr>
            <w:r w:rsidRPr="00C12274">
              <w:t xml:space="preserve">Data were analysed according to intention to treat and according to an </w:t>
            </w:r>
            <w:r w:rsidRPr="00C12274">
              <w:rPr>
                <w:rFonts w:ascii="Helvetica" w:hAnsi="Helvetica"/>
              </w:rPr>
              <w:t xml:space="preserve">a priori </w:t>
            </w:r>
            <w:r w:rsidRPr="00C12274">
              <w:t>statistical analysis plan. Differences between subjects withdrawing from the study and those who stayed in the study were assessed.</w:t>
            </w:r>
          </w:p>
        </w:tc>
      </w:tr>
      <w:tr w:rsidR="00773FBC" w:rsidRPr="00C12274" w14:paraId="1D0A281F" w14:textId="77777777" w:rsidTr="00BC7AEC">
        <w:trPr>
          <w:cantSplit/>
        </w:trPr>
        <w:tc>
          <w:tcPr>
            <w:tcW w:w="1560" w:type="dxa"/>
            <w:shd w:val="clear" w:color="D9E2F3" w:themeColor="accent1" w:themeTint="33" w:fill="auto"/>
          </w:tcPr>
          <w:p w14:paraId="05C80A48" w14:textId="77777777" w:rsidR="00773FBC" w:rsidRPr="00C12274" w:rsidRDefault="00773FBC" w:rsidP="00A67139">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663F21A7" w14:textId="77777777" w:rsidR="00773FBC" w:rsidRPr="00C12274" w:rsidRDefault="00773FBC" w:rsidP="00A67139">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EFAF809" w14:textId="77777777" w:rsidR="00773FBC" w:rsidRPr="00C12274" w:rsidRDefault="00773FBC" w:rsidP="00A67139">
            <w:pPr>
              <w:spacing w:before="40" w:after="40" w:line="220" w:lineRule="exact"/>
              <w:rPr>
                <w:sz w:val="16"/>
                <w:szCs w:val="16"/>
              </w:rPr>
            </w:pPr>
            <w:r w:rsidRPr="00C12274">
              <w:rPr>
                <w:sz w:val="16"/>
                <w:szCs w:val="16"/>
              </w:rPr>
              <w:t>Pre-specified outcomes reported.</w:t>
            </w:r>
          </w:p>
        </w:tc>
      </w:tr>
      <w:tr w:rsidR="00773FBC" w:rsidRPr="00C12274" w14:paraId="740B033C" w14:textId="77777777" w:rsidTr="00BC7AEC">
        <w:trPr>
          <w:cantSplit/>
        </w:trPr>
        <w:tc>
          <w:tcPr>
            <w:tcW w:w="1560" w:type="dxa"/>
            <w:shd w:val="clear" w:color="D9E2F3" w:themeColor="accent1" w:themeTint="33" w:fill="auto"/>
          </w:tcPr>
          <w:p w14:paraId="29B1DF3E" w14:textId="77777777" w:rsidR="00773FBC" w:rsidRPr="00C12274" w:rsidRDefault="00773FBC" w:rsidP="00A67139">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27CE06EC" w14:textId="77777777" w:rsidR="00773FBC" w:rsidRPr="00C12274" w:rsidRDefault="00773FBC" w:rsidP="00A67139">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25EC4475" w14:textId="77777777" w:rsidR="00773FBC" w:rsidRPr="00C12274" w:rsidRDefault="00773FBC" w:rsidP="00A67139">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2E0D34" w:rsidRPr="00C12274" w14:paraId="7AD42CEC" w14:textId="77777777" w:rsidTr="00BC7AEC">
        <w:trPr>
          <w:cantSplit/>
        </w:trPr>
        <w:tc>
          <w:tcPr>
            <w:tcW w:w="14034" w:type="dxa"/>
            <w:gridSpan w:val="3"/>
            <w:shd w:val="solid" w:color="D9E2F3" w:themeColor="accent1" w:themeTint="33" w:fill="auto"/>
          </w:tcPr>
          <w:p w14:paraId="082B2918" w14:textId="2820B018" w:rsidR="002E0D34" w:rsidRPr="00992BA6" w:rsidRDefault="002E0D34" w:rsidP="002747EA">
            <w:pPr>
              <w:pStyle w:val="Tablecell"/>
              <w:keepNext/>
              <w:spacing w:line="220" w:lineRule="exact"/>
              <w:rPr>
                <w:rFonts w:eastAsiaTheme="minorHAnsi"/>
                <w:sz w:val="16"/>
                <w:szCs w:val="16"/>
                <w:lang w:val="en-US"/>
              </w:rPr>
            </w:pPr>
            <w:r w:rsidRPr="002E0D34">
              <w:rPr>
                <w:b/>
                <w:sz w:val="16"/>
                <w:szCs w:val="16"/>
              </w:rPr>
              <w:t>Thornton et al 2009</w:t>
            </w:r>
            <w:r>
              <w:fldChar w:fldCharType="begin"/>
            </w:r>
            <w:r w:rsidR="002747EA">
              <w:instrText xml:space="preserve"> ADDIN EN.CITE &lt;EndNote&gt;&lt;Cite&gt;&lt;Author&gt;Thornton&lt;/Author&gt;&lt;Year&gt;2009&lt;/Year&gt;&lt;RecNum&gt;1138&lt;/RecNum&gt;&lt;DisplayText&gt;&lt;style face="superscript" font="Trebuchet MS" size="9"&gt;403&lt;/style&gt;&lt;/DisplayText&gt;&lt;record&gt;&lt;rec-number&gt;1138&lt;/rec-number&gt;&lt;foreign-keys&gt;&lt;key app="EN" db-id="exvasrfx2dtraoesasxp2szsxa2df502592x" timestamp="1555473644"&gt;1138&lt;/key&gt;&lt;/foreign-keys&gt;&lt;ref-type name="Journal Article"&gt;17&lt;/ref-type&gt;&lt;contributors&gt;&lt;authors&gt;&lt;author&gt;Thornton, Y. S.&lt;/author&gt;&lt;author&gt;Smarkola, C.&lt;/author&gt;&lt;author&gt;Kopacz, S. M.&lt;/author&gt;&lt;author&gt;Ishoof, S. B.&lt;/author&gt;&lt;/authors&gt;&lt;/contributors&gt;&lt;auth-address&gt;Department of Obstetrics, Divisions of Maternal-Fetal Medicine, Morristown Memorial Hospital, Morristown, New Jersey, USA. yvonne_thornton@nymc.edu&lt;/auth-address&gt;&lt;titles&gt;&lt;title&gt;Perinatal outcomes in nutritionally monitored obese pregnant women: a randomized clinical trial&lt;/title&gt;&lt;secondary-title&gt;J Natl Med Assoc&lt;/secondary-title&gt;&lt;/titles&gt;&lt;periodical&gt;&lt;full-title&gt;J Natl Med Assoc&lt;/full-title&gt;&lt;/periodical&gt;&lt;pages&gt;569-77&lt;/pages&gt;&lt;volume&gt;101&lt;/volume&gt;&lt;number&gt;6&lt;/number&gt;&lt;edition&gt;2009/07/10&lt;/edition&gt;&lt;keywords&gt;&lt;keyword&gt;Adult&lt;/keyword&gt;&lt;keyword&gt;Analysis of Variance&lt;/keyword&gt;&lt;keyword&gt;Body Mass Index&lt;/keyword&gt;&lt;keyword&gt;Female&lt;/keyword&gt;&lt;keyword&gt;Health Status&lt;/keyword&gt;&lt;keyword&gt;Humans&lt;/keyword&gt;&lt;keyword&gt;Maternal Nutritional Physiological Phenomena/*physiology&lt;/keyword&gt;&lt;keyword&gt;*Maternal Welfare&lt;/keyword&gt;&lt;keyword&gt;Multivariate Analysis&lt;/keyword&gt;&lt;keyword&gt;Nutrition Assessment&lt;/keyword&gt;&lt;keyword&gt;Nutritional Status&lt;/keyword&gt;&lt;keyword&gt;Obesity/*complications&lt;/keyword&gt;&lt;keyword&gt;Pregnancy&lt;/keyword&gt;&lt;keyword&gt;Pregnancy Complications/*epidemiology/prevention &amp;amp; control&lt;/keyword&gt;&lt;keyword&gt;*Pregnancy Outcome&lt;/keyword&gt;&lt;keyword&gt;United States/epidemiology&lt;/keyword&gt;&lt;keyword&gt;Weight Gain&lt;/keyword&gt;&lt;/keywords&gt;&lt;dates&gt;&lt;year&gt;2009&lt;/year&gt;&lt;pub-dates&gt;&lt;date&gt;Jun&lt;/date&gt;&lt;/pub-dates&gt;&lt;/dates&gt;&lt;isbn&gt;0027-9684 (Print)&amp;#xD;0027-9684 (Linking)&lt;/isbn&gt;&lt;accession-num&gt;19585925&lt;/accession-num&gt;&lt;urls&gt;&lt;related-urls&gt;&lt;url&gt;https://www.ncbi.nlm.nih.gov/pubmed/19585925&lt;/url&gt;&lt;/related-urls&gt;&lt;/urls&gt;&lt;/record&gt;&lt;/Cite&gt;&lt;/EndNote&gt;</w:instrText>
            </w:r>
            <w:r>
              <w:fldChar w:fldCharType="separate"/>
            </w:r>
            <w:r w:rsidR="002747EA" w:rsidRPr="002747EA">
              <w:rPr>
                <w:noProof/>
                <w:vertAlign w:val="superscript"/>
              </w:rPr>
              <w:t>403</w:t>
            </w:r>
            <w:r>
              <w:fldChar w:fldCharType="end"/>
            </w:r>
          </w:p>
        </w:tc>
      </w:tr>
      <w:tr w:rsidR="002E0D34" w:rsidRPr="00C12274" w14:paraId="2B120C61" w14:textId="77777777" w:rsidTr="00BC7AEC">
        <w:trPr>
          <w:cantSplit/>
        </w:trPr>
        <w:tc>
          <w:tcPr>
            <w:tcW w:w="1560" w:type="dxa"/>
            <w:shd w:val="clear" w:color="D9E2F3" w:themeColor="accent1" w:themeTint="33" w:fill="auto"/>
          </w:tcPr>
          <w:p w14:paraId="38CC4435" w14:textId="77777777" w:rsidR="002E0D34" w:rsidRPr="00C12274" w:rsidRDefault="002E0D34" w:rsidP="00A67139">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0F618371" w14:textId="77777777" w:rsidR="002E0D34" w:rsidRPr="00C12274" w:rsidRDefault="002E0D34" w:rsidP="00A67139">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AFC45E4" w14:textId="17CAAD0B" w:rsidR="002E0D34" w:rsidRPr="00E45C1C" w:rsidRDefault="00E45C1C" w:rsidP="00E45C1C">
            <w:pPr>
              <w:pStyle w:val="RCTstable"/>
            </w:pPr>
            <w:r w:rsidRPr="00E45C1C">
              <w:t>Random number table.</w:t>
            </w:r>
          </w:p>
        </w:tc>
      </w:tr>
      <w:tr w:rsidR="002E0D34" w:rsidRPr="00C12274" w14:paraId="6DCA5A6B" w14:textId="77777777" w:rsidTr="00BC7AEC">
        <w:trPr>
          <w:cantSplit/>
        </w:trPr>
        <w:tc>
          <w:tcPr>
            <w:tcW w:w="1560" w:type="dxa"/>
            <w:shd w:val="clear" w:color="D9E2F3" w:themeColor="accent1" w:themeTint="33" w:fill="auto"/>
          </w:tcPr>
          <w:p w14:paraId="6E71A2D4" w14:textId="77777777" w:rsidR="002E0D34" w:rsidRPr="00C12274" w:rsidRDefault="002E0D34" w:rsidP="00A67139">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188084B2" w14:textId="77777777" w:rsidR="002E0D34" w:rsidRPr="00C12274" w:rsidRDefault="002E0D34" w:rsidP="00A67139">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56F66E0" w14:textId="41DBE3F0" w:rsidR="002E0D34" w:rsidRPr="00E45C1C" w:rsidRDefault="00E45C1C" w:rsidP="00E45C1C">
            <w:pPr>
              <w:pStyle w:val="RCTstable"/>
            </w:pPr>
            <w:r w:rsidRPr="00E45C1C">
              <w:t>Sealed sequentially</w:t>
            </w:r>
            <w:r>
              <w:t xml:space="preserve"> numbered envelopes (no comment </w:t>
            </w:r>
            <w:r w:rsidRPr="00E45C1C">
              <w:t>re: opaque/not opaque)</w:t>
            </w:r>
          </w:p>
        </w:tc>
      </w:tr>
      <w:tr w:rsidR="002E0D34" w:rsidRPr="00C12274" w14:paraId="6DD30AFB" w14:textId="77777777" w:rsidTr="00BC7AEC">
        <w:trPr>
          <w:cantSplit/>
          <w:trHeight w:val="333"/>
        </w:trPr>
        <w:tc>
          <w:tcPr>
            <w:tcW w:w="1560" w:type="dxa"/>
            <w:shd w:val="clear" w:color="D9E2F3" w:themeColor="accent1" w:themeTint="33" w:fill="auto"/>
          </w:tcPr>
          <w:p w14:paraId="06FB99CF" w14:textId="474CA117" w:rsidR="002E0D34" w:rsidRPr="00C12274" w:rsidRDefault="00E253BC" w:rsidP="00A67139">
            <w:pPr>
              <w:keepNext/>
              <w:spacing w:before="40" w:after="40" w:line="220" w:lineRule="exact"/>
              <w:rPr>
                <w:sz w:val="16"/>
                <w:szCs w:val="16"/>
              </w:rPr>
            </w:pPr>
            <w:r>
              <w:rPr>
                <w:sz w:val="16"/>
                <w:szCs w:val="16"/>
              </w:rPr>
              <w:t>Performance bias</w:t>
            </w:r>
          </w:p>
        </w:tc>
        <w:tc>
          <w:tcPr>
            <w:tcW w:w="1275" w:type="dxa"/>
            <w:shd w:val="clear" w:color="D9E2F3" w:themeColor="accent1" w:themeTint="33" w:fill="FFC000" w:themeFill="accent4"/>
          </w:tcPr>
          <w:p w14:paraId="7D485311" w14:textId="362DFE90" w:rsidR="002E0D34" w:rsidRPr="00C12274" w:rsidRDefault="00E253BC" w:rsidP="00A67139">
            <w:pPr>
              <w:keepNext/>
              <w:spacing w:before="40" w:after="40" w:line="220" w:lineRule="exact"/>
              <w:rPr>
                <w:sz w:val="16"/>
                <w:szCs w:val="16"/>
              </w:rPr>
            </w:pPr>
            <w:r>
              <w:rPr>
                <w:sz w:val="16"/>
                <w:szCs w:val="16"/>
              </w:rPr>
              <w:t>Unclear</w:t>
            </w:r>
            <w:r w:rsidR="002E0D34" w:rsidRPr="00C12274">
              <w:rPr>
                <w:sz w:val="16"/>
                <w:szCs w:val="16"/>
              </w:rPr>
              <w:t xml:space="preserve"> risk</w:t>
            </w:r>
          </w:p>
        </w:tc>
        <w:tc>
          <w:tcPr>
            <w:tcW w:w="11199" w:type="dxa"/>
            <w:shd w:val="clear" w:color="D9E2F3" w:themeColor="accent1" w:themeTint="33" w:fill="auto"/>
          </w:tcPr>
          <w:p w14:paraId="5AA7AE35" w14:textId="724AEE90" w:rsidR="002E0D34" w:rsidRPr="00E45C1C" w:rsidRDefault="00E253BC" w:rsidP="00E45C1C">
            <w:pPr>
              <w:pStyle w:val="RCTstable"/>
              <w:rPr>
                <w:szCs w:val="24"/>
              </w:rPr>
            </w:pPr>
            <w:r>
              <w:t>Blinding not detailed</w:t>
            </w:r>
            <w:r w:rsidR="00E45C1C" w:rsidRPr="00E45C1C">
              <w:t xml:space="preserve"> and c</w:t>
            </w:r>
            <w:r w:rsidR="00E45C1C">
              <w:t xml:space="preserve">onsidered unlikely particularly </w:t>
            </w:r>
            <w:r w:rsidR="00E45C1C" w:rsidRPr="00E45C1C">
              <w:t>for women and personnel in view of the intervention</w:t>
            </w:r>
          </w:p>
        </w:tc>
      </w:tr>
      <w:tr w:rsidR="002E0D34" w:rsidRPr="00C12274" w14:paraId="6584BBEE" w14:textId="77777777" w:rsidTr="00BC7AEC">
        <w:trPr>
          <w:cantSplit/>
        </w:trPr>
        <w:tc>
          <w:tcPr>
            <w:tcW w:w="1560" w:type="dxa"/>
            <w:shd w:val="clear" w:color="D9E2F3" w:themeColor="accent1" w:themeTint="33" w:fill="auto"/>
          </w:tcPr>
          <w:p w14:paraId="54593652" w14:textId="77777777" w:rsidR="002E0D34" w:rsidRPr="00C12274" w:rsidRDefault="002E0D34" w:rsidP="00A67139">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7D85BA6E" w14:textId="36988C0B" w:rsidR="002E0D34" w:rsidRPr="00C12274" w:rsidRDefault="00E45C1C" w:rsidP="00A67139">
            <w:pPr>
              <w:spacing w:before="40" w:after="40" w:line="220" w:lineRule="exact"/>
              <w:rPr>
                <w:sz w:val="16"/>
                <w:szCs w:val="16"/>
              </w:rPr>
            </w:pPr>
            <w:r>
              <w:rPr>
                <w:sz w:val="16"/>
                <w:szCs w:val="16"/>
              </w:rPr>
              <w:t>Unclear</w:t>
            </w:r>
            <w:r w:rsidR="002E0D34" w:rsidRPr="00C12274">
              <w:rPr>
                <w:sz w:val="16"/>
                <w:szCs w:val="16"/>
              </w:rPr>
              <w:t xml:space="preserve"> risk</w:t>
            </w:r>
          </w:p>
        </w:tc>
        <w:tc>
          <w:tcPr>
            <w:tcW w:w="11199" w:type="dxa"/>
            <w:shd w:val="clear" w:color="D9E2F3" w:themeColor="accent1" w:themeTint="33" w:fill="auto"/>
          </w:tcPr>
          <w:p w14:paraId="0E4E1B94" w14:textId="6FF69E43" w:rsidR="002E0D34" w:rsidRPr="00E45C1C" w:rsidRDefault="00E45C1C" w:rsidP="00E45C1C">
            <w:pPr>
              <w:pStyle w:val="RCTstable"/>
            </w:pPr>
            <w:r w:rsidRPr="00E45C1C">
              <w:t>As above</w:t>
            </w:r>
          </w:p>
        </w:tc>
      </w:tr>
      <w:tr w:rsidR="002E0D34" w:rsidRPr="00C12274" w14:paraId="655460E0" w14:textId="77777777" w:rsidTr="00BC7AEC">
        <w:trPr>
          <w:cantSplit/>
        </w:trPr>
        <w:tc>
          <w:tcPr>
            <w:tcW w:w="1560" w:type="dxa"/>
            <w:shd w:val="clear" w:color="D9E2F3" w:themeColor="accent1" w:themeTint="33" w:fill="auto"/>
          </w:tcPr>
          <w:p w14:paraId="302A7806" w14:textId="77777777" w:rsidR="002E0D34" w:rsidRPr="00C12274" w:rsidRDefault="002E0D34" w:rsidP="00A67139">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684B3A7F" w14:textId="568A8ED8" w:rsidR="002E0D34" w:rsidRPr="00C12274" w:rsidRDefault="00E45C1C" w:rsidP="00A67139">
            <w:pPr>
              <w:spacing w:before="40" w:after="40" w:line="220" w:lineRule="exact"/>
              <w:rPr>
                <w:sz w:val="16"/>
                <w:szCs w:val="16"/>
              </w:rPr>
            </w:pPr>
            <w:r>
              <w:rPr>
                <w:sz w:val="16"/>
                <w:szCs w:val="16"/>
              </w:rPr>
              <w:t>Unclear</w:t>
            </w:r>
            <w:r w:rsidR="002E0D34" w:rsidRPr="00C12274">
              <w:rPr>
                <w:sz w:val="16"/>
                <w:szCs w:val="16"/>
              </w:rPr>
              <w:t xml:space="preserve"> risk</w:t>
            </w:r>
          </w:p>
        </w:tc>
        <w:tc>
          <w:tcPr>
            <w:tcW w:w="11199" w:type="dxa"/>
            <w:shd w:val="clear" w:color="D9E2F3" w:themeColor="accent1" w:themeTint="33" w:fill="auto"/>
          </w:tcPr>
          <w:p w14:paraId="290FFC72" w14:textId="4AC2192C" w:rsidR="002E0D34" w:rsidRPr="00E45C1C" w:rsidRDefault="00E45C1C" w:rsidP="00E45C1C">
            <w:pPr>
              <w:pStyle w:val="RCTstable"/>
            </w:pPr>
            <w:r w:rsidRPr="00E45C1C">
              <w:t>25/257 lost to follo</w:t>
            </w:r>
            <w:r>
              <w:t xml:space="preserve">w-up (8/124 in the intervention </w:t>
            </w:r>
            <w:r w:rsidRPr="00E45C1C">
              <w:t>group and 17/133 in the</w:t>
            </w:r>
            <w:r>
              <w:t xml:space="preserve"> control group; some suggestion </w:t>
            </w:r>
            <w:r w:rsidRPr="00E45C1C">
              <w:t>of greater loss in control group)</w:t>
            </w:r>
          </w:p>
        </w:tc>
      </w:tr>
      <w:tr w:rsidR="002E0D34" w:rsidRPr="00C12274" w14:paraId="5B5ED3BF" w14:textId="77777777" w:rsidTr="00BC7AEC">
        <w:trPr>
          <w:cantSplit/>
        </w:trPr>
        <w:tc>
          <w:tcPr>
            <w:tcW w:w="1560" w:type="dxa"/>
            <w:shd w:val="clear" w:color="D9E2F3" w:themeColor="accent1" w:themeTint="33" w:fill="auto"/>
          </w:tcPr>
          <w:p w14:paraId="71156BCE" w14:textId="77777777" w:rsidR="002E0D34" w:rsidRPr="00C12274" w:rsidRDefault="002E0D34" w:rsidP="00A67139">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FFC000" w:themeFill="accent4"/>
          </w:tcPr>
          <w:p w14:paraId="5DD5B665" w14:textId="6050200D" w:rsidR="002E0D34" w:rsidRPr="00C12274" w:rsidRDefault="00E45C1C" w:rsidP="00A67139">
            <w:pPr>
              <w:spacing w:before="40" w:after="40" w:line="220" w:lineRule="exact"/>
              <w:rPr>
                <w:sz w:val="16"/>
                <w:szCs w:val="16"/>
              </w:rPr>
            </w:pPr>
            <w:r>
              <w:rPr>
                <w:sz w:val="16"/>
                <w:szCs w:val="16"/>
              </w:rPr>
              <w:t>Unclear</w:t>
            </w:r>
            <w:r w:rsidR="002E0D34" w:rsidRPr="00C12274">
              <w:rPr>
                <w:sz w:val="16"/>
                <w:szCs w:val="16"/>
              </w:rPr>
              <w:t xml:space="preserve"> risk</w:t>
            </w:r>
          </w:p>
        </w:tc>
        <w:tc>
          <w:tcPr>
            <w:tcW w:w="11199" w:type="dxa"/>
            <w:shd w:val="clear" w:color="D9E2F3" w:themeColor="accent1" w:themeTint="33" w:fill="auto"/>
          </w:tcPr>
          <w:p w14:paraId="6AC32492" w14:textId="39189523" w:rsidR="002E0D34" w:rsidRPr="00E45C1C" w:rsidRDefault="003E22EF" w:rsidP="003E22EF">
            <w:pPr>
              <w:pStyle w:val="RCTstable"/>
              <w:rPr>
                <w:szCs w:val="24"/>
              </w:rPr>
            </w:pPr>
            <w:r>
              <w:t>While</w:t>
            </w:r>
            <w:r w:rsidR="00E45C1C" w:rsidRPr="00E45C1C">
              <w:t xml:space="preserve"> </w:t>
            </w:r>
            <w:r>
              <w:t>most</w:t>
            </w:r>
            <w:r w:rsidR="00E45C1C" w:rsidRPr="00E45C1C">
              <w:t xml:space="preserve"> of p</w:t>
            </w:r>
            <w:r w:rsidR="00E673B4">
              <w:t xml:space="preserve">re-specified outcomes discussed </w:t>
            </w:r>
            <w:r w:rsidR="00E45C1C" w:rsidRPr="00E45C1C">
              <w:t>in the methods were subs</w:t>
            </w:r>
            <w:r w:rsidR="00E673B4">
              <w:t xml:space="preserve">equently reported, no access to </w:t>
            </w:r>
            <w:r w:rsidR="00E45C1C" w:rsidRPr="00E45C1C">
              <w:t>a trial protocol to confiden</w:t>
            </w:r>
            <w:r w:rsidR="00E673B4">
              <w:t xml:space="preserve">tly assess selective reporting. </w:t>
            </w:r>
            <w:r>
              <w:t>Some outcomes, eg</w:t>
            </w:r>
            <w:r w:rsidR="00E45C1C" w:rsidRPr="00E45C1C">
              <w:t xml:space="preserve"> sh</w:t>
            </w:r>
            <w:r w:rsidR="00E673B4">
              <w:t xml:space="preserve">oulder dystocia, were mentioned </w:t>
            </w:r>
            <w:r w:rsidR="00E45C1C" w:rsidRPr="00E45C1C">
              <w:t>and then not reported</w:t>
            </w:r>
          </w:p>
        </w:tc>
      </w:tr>
      <w:tr w:rsidR="002E0D34" w:rsidRPr="00C12274" w14:paraId="716E6A5F" w14:textId="77777777" w:rsidTr="00BC7AEC">
        <w:trPr>
          <w:cantSplit/>
        </w:trPr>
        <w:tc>
          <w:tcPr>
            <w:tcW w:w="1560" w:type="dxa"/>
            <w:shd w:val="clear" w:color="D9E2F3" w:themeColor="accent1" w:themeTint="33" w:fill="auto"/>
          </w:tcPr>
          <w:p w14:paraId="5FEE3701" w14:textId="77777777" w:rsidR="002E0D34" w:rsidRPr="00C12274" w:rsidRDefault="002E0D34" w:rsidP="00A67139">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50C0FB6D" w14:textId="77777777" w:rsidR="002E0D34" w:rsidRPr="00C12274" w:rsidRDefault="002E0D34" w:rsidP="00A67139">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167A6B2D" w14:textId="4A995607" w:rsidR="002E0D34" w:rsidRPr="00E45C1C" w:rsidRDefault="00E45C1C" w:rsidP="00E45C1C">
            <w:pPr>
              <w:pStyle w:val="RCTstable"/>
              <w:rPr>
                <w:szCs w:val="24"/>
              </w:rPr>
            </w:pPr>
            <w:r w:rsidRPr="00E45C1C">
              <w:t>Groups appeared balan</w:t>
            </w:r>
            <w:r w:rsidR="00E673B4">
              <w:t xml:space="preserve">ced at baseline for demographic </w:t>
            </w:r>
            <w:r w:rsidRPr="00E45C1C">
              <w:t>data although women in</w:t>
            </w:r>
            <w:r w:rsidR="00E673B4">
              <w:t xml:space="preserve"> the control group were heavier </w:t>
            </w:r>
            <w:r w:rsidRPr="00E45C1C">
              <w:t>and had higher BMI a</w:t>
            </w:r>
            <w:r w:rsidR="00E673B4">
              <w:t>t baseline (P</w:t>
            </w:r>
            <w:r w:rsidR="00162E95">
              <w:t>=</w:t>
            </w:r>
            <w:r w:rsidR="00E673B4">
              <w:t xml:space="preserve">0.06). No other </w:t>
            </w:r>
            <w:r w:rsidRPr="00E45C1C">
              <w:t>obvious sources of bias</w:t>
            </w:r>
          </w:p>
        </w:tc>
      </w:tr>
      <w:tr w:rsidR="001F4320" w:rsidRPr="00C12274" w14:paraId="5555CE9F" w14:textId="77777777" w:rsidTr="00BC7AEC">
        <w:trPr>
          <w:cantSplit/>
          <w:trHeight w:val="319"/>
        </w:trPr>
        <w:tc>
          <w:tcPr>
            <w:tcW w:w="14034" w:type="dxa"/>
            <w:gridSpan w:val="3"/>
            <w:shd w:val="solid" w:color="D9E2F3" w:themeColor="accent1" w:themeTint="33" w:fill="auto"/>
          </w:tcPr>
          <w:p w14:paraId="487F43B8" w14:textId="5AD4819D" w:rsidR="001F4320" w:rsidRPr="00992BA6" w:rsidRDefault="001F4320" w:rsidP="002747EA">
            <w:pPr>
              <w:pStyle w:val="Tablecell"/>
              <w:keepNext/>
              <w:spacing w:line="220" w:lineRule="exact"/>
              <w:rPr>
                <w:rFonts w:eastAsiaTheme="minorHAnsi"/>
                <w:sz w:val="16"/>
                <w:szCs w:val="16"/>
                <w:lang w:val="en-US"/>
              </w:rPr>
            </w:pPr>
            <w:r w:rsidRPr="001F4320">
              <w:rPr>
                <w:b/>
                <w:sz w:val="16"/>
                <w:szCs w:val="16"/>
              </w:rPr>
              <w:t>Walsh et al 2012</w:t>
            </w:r>
            <w:r>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 </w:instrText>
            </w:r>
            <w:r w:rsidR="002747EA">
              <w:fldChar w:fldCharType="begin">
                <w:fldData xml:space="preserve">PEVuZE5vdGU+PENpdGU+PEF1dGhvcj5XYWxzaDwvQXV0aG9yPjxZZWFyPjIwMTI8L1llYXI+PFJl
Y051bT4xMTQxPC9SZWNOdW0+PERpc3BsYXlUZXh0PjxzdHlsZSBmYWNlPSJzdXBlcnNjcmlwdCIg
Zm9udD0iVHJlYnVjaGV0IE1TIiBzaXplPSI5Ij40MDUsNDA2PC9zdHlsZT48L0Rpc3BsYXlUZXh0
PjxyZWNvcmQ+PHJlYy1udW1iZXI+MTE0MTwvcmVjLW51bWJlcj48Zm9yZWlnbi1rZXlzPjxrZXkg
YXBwPSJFTiIgZGItaWQ9ImV4dmFzcmZ4MmR0cmFvZXNhc3hwMnN6c3hhMmRmNTAyNTkyeCIgdGlt
ZXN0YW1wPSIxNTU1NDc1NzQ3Ij4xMTQxPC9rZXk+PC9mb3JlaWduLWtleXM+PHJlZi10eXBlIG5h
bWU9IkpvdXJuYWwgQXJ0aWNsZSI+MTc8L3JlZi10eXBlPjxjb250cmlidXRvcnM+PGF1dGhvcnM+
PGF1dGhvcj5XYWxzaCwgSi4gTS48L2F1dGhvcj48YXV0aG9yPk1jR293YW4sIEMuIEEuPC9hdXRo
b3I+PGF1dGhvcj5NYWhvbnksIFIuPC9hdXRob3I+PGF1dGhvcj5Gb2xleSwgTS4gRS48L2F1dGhv
cj48YXV0aG9yPk1jQXVsaWZmZSwgRi4gTS48L2F1dGhvcj48L2F1dGhvcnM+PC9jb250cmlidXRv
cnM+PGF1dGgtYWRkcmVzcz5VQ0QgT2JzdGV0cmljcyBhbmQgR3luYWVjb2xvZ3ksIFNjaG9vbCBv
ZiBNZWRpY2luZSBhbmQgTWVkaWNhbCBTY2llbmNlLCBVbml2ZXJzaXR5IENvbGxlZ2UgRHVibGlu
LCBOYXRpb25hbCBNYXRlcm5pdHkgSG9zcGl0YWwsIER1YmxpbiwgSXJlbGFuZC48L2F1dGgtYWRk
cmVzcz48dGl0bGVzPjx0aXRsZT5Mb3cgZ2x5Y2FlbWljIGluZGV4IGRpZXQgaW4gcHJlZ25hbmN5
IHRvIHByZXZlbnQgbWFjcm9zb21pYSAoUk9MTyBzdHVkeSk6IHJhbmRvbWlzZWQgY29udHJvbCB0
cmlhbDwvdGl0bGU+PHNlY29uZGFyeS10aXRsZT5CTUo8L3NlY29uZGFyeS10aXRsZT48L3RpdGxl
cz48cGVyaW9kaWNhbD48ZnVsbC10aXRsZT5CTUo8L2Z1bGwtdGl0bGU+PC9wZXJpb2RpY2FsPjxw
YWdlcz5lNTYwNTwvcGFnZXM+PHZvbHVtZT4zNDU8L3ZvbHVtZT48ZWRpdGlvbj4yMDEyLzA5LzAx
PC9lZGl0aW9uPjxrZXl3b3Jkcz48a2V5d29yZD5BZHVsdDwva2V5d29yZD48a2V5d29yZD5BbnRo
cm9wb21ldHJ5PC9rZXl3b3JkPjxrZXl3b3JkPkJvZHkgTWFzcyBJbmRleDwva2V5d29yZD48a2V5
d29yZD4qRGlldCwgQ2FyYm9oeWRyYXRlLVJlc3RyaWN0ZWQ8L2tleXdvcmQ+PGtleXdvcmQ+RGll
dGFyeSBDYXJib2h5ZHJhdGVzL2FkbWluaXN0cmF0aW9uICZhbXA7IGRvc2FnZS9hZHZlcnNlIGVm
ZmVjdHM8L2tleXdvcmQ+PGtleXdvcmQ+RmVtYWxlPC9rZXl3b3JkPjxrZXl3b3JkPkZldGFsIE1h
Y3Jvc29taWEvKmVwaWRlbWlvbG9neS9wcmV2ZW50aW9uICZhbXA7IGNvbnRyb2w8L2tleXdvcmQ+
PGtleXdvcmQ+R2VzdGF0aW9uYWwgQWdlPC9rZXl3b3JkPjxrZXl3b3JkPkdsdWNvc2UgVG9sZXJh
bmNlIFRlc3Q8L2tleXdvcmQ+PGtleXdvcmQ+R2x5Y2VtaWMgSW5kZXg8L2tleXdvcmQ+PGtleXdv
cmQ+SHVtYW5zPC9rZXl3b3JkPjxrZXl3b3JkPkluY2lkZW5jZTwva2V5d29yZD48a2V5d29yZD5N
YXRlcm5hbCBOdXRyaXRpb25hbCBQaHlzaW9sb2dpY2FsIFBoZW5vbWVuYTwva2V5d29yZD48a2V5
d29yZD5QcmVnbmFuY3k8L2tleXdvcmQ+PGtleXdvcmQ+UHJlZ25hbmN5IENvbXBsaWNhdGlvbnMv
KmVwaWRlbWlvbG9neS9wcmV2ZW50aW9uICZhbXA7IGNvbnRyb2w8L2tleXdvcmQ+PGtleXdvcmQ+
UmlzayBGYWN0b3JzPC9rZXl3b3JkPjxrZXl3b3JkPlNlY29uZGFyeSBQcmV2ZW50aW9uPC9rZXl3
b3JkPjxrZXl3b3JkPlRyZWF0bWVudCBPdXRjb21lPC9rZXl3b3JkPjxrZXl3b3JkPldlaWdodCBH
YWluL3BoeXNpb2xvZ3k8L2tleXdvcmQ+PC9rZXl3b3Jkcz48ZGF0ZXM+PHllYXI+MjAxMjwveWVh
cj48cHViLWRhdGVzPjxkYXRlPkF1ZyAzMDwvZGF0ZT48L3B1Yi1kYXRlcz48L2RhdGVzPjxpc2Ju
PjE3NTYtMTgzMyAoRWxlY3Ryb25pYykmI3hEOzA5NTktODEzOCAoTGlua2luZyk8L2lzYm4+PGFj
Y2Vzc2lvbi1udW0+MjI5MzY3OTU8L2FjY2Vzc2lvbi1udW0+PHVybHM+PHJlbGF0ZWQtdXJscz48
dXJsPmh0dHBzOi8vd3d3Lm5jYmkubmxtLm5paC5nb3YvcHVibWVkLzIyOTM2Nzk1PC91cmw+PC9y
ZWxhdGVkLXVybHM+PC91cmxzPjxjdXN0b20yPlBNQzM0MzEyODU8L2N1c3RvbTI+PGVsZWN0cm9u
aWMtcmVzb3VyY2UtbnVtPjEwLjExMzYvYm1qLmU1NjA1PC9lbGVjdHJvbmljLXJlc291cmNlLW51
bT48L3JlY29yZD48L0NpdGU+PENpdGU+PEF1dGhvcj5Ib3JhbjwvQXV0aG9yPjxZZWFyPjIwMTQ8
L1llYXI+PFJlY051bT45MDU8L1JlY051bT48cmVjb3JkPjxyZWMtbnVtYmVyPjkwNTwvcmVjLW51
bWJlcj48Zm9yZWlnbi1rZXlzPjxrZXkgYXBwPSJFTiIgZGItaWQ9ImV4dmFzcmZ4MmR0cmFvZXNh
c3hwMnN6c3hhMmRmNTAyNTkyeCIgdGltZXN0YW1wPSIxNTQxNTQwODM5Ij45MDU8L2tleT48a2V5
IGFwcD0iRU5XZWIiIGRiLWlkPSIiPjA8L2tleT48L2ZvcmVpZ24ta2V5cz48cmVmLXR5cGUgbmFt
ZT0iSm91cm5hbCBBcnRpY2xlIj4xNzwvcmVmLXR5cGU+PGNvbnRyaWJ1dG9ycz48YXV0aG9ycz48
YXV0aG9yPkhvcmFuLCBNLiBLLjwvYXV0aG9yPjxhdXRob3I+TWNHb3dhbiwgQy4gQS48L2F1dGhv
cj48YXV0aG9yPkdpYm5leSwgRS4gUi48L2F1dGhvcj48YXV0aG9yPkRvbm5lbGx5LCBKLiBNLjwv
YXV0aG9yPjxhdXRob3I+TWNBdWxpZmZlLCBGLiBNLjwvYXV0aG9yPjwvYXV0aG9ycz48L2NvbnRy
aWJ1dG9ycz48YXV0aC1hZGRyZXNzPlVDRCBPYnN0ZXRyaWNzIGFuZCBHeW5hZWNvbG9neSwgU2No
b29sIG9mIE1lZGljaW5lIGFuZCBNZWRpY2FsIFNjaWVuY2UsIFVuaXZlcnNpdHkgQ29sbGVnZSBE
dWJsaW4sIE5hdGlvbmFsIE1hdGVybml0eSBIb3NwaXRhbCwgRHVibGluIDIsIElyZWxhbmQuIG1h
cnkuaG9yYW5AdWNkY29ubmVjdC5pZS4mI3hEO1VDRCBPYnN0ZXRyaWNzIGFuZCBHeW5hZWNvbG9n
eSwgU2Nob29sIG9mIE1lZGljaW5lIGFuZCBNZWRpY2FsIFNjaWVuY2UsIFVuaXZlcnNpdHkgQ29s
bGVnZSBEdWJsaW4sIE5hdGlvbmFsIE1hdGVybml0eSBIb3NwaXRhbCwgRHVibGluIDIsIElyZWxh
bmQuIGNtY2dvd2FAZ21haWwuY29tLiYjeEQ7VUNEIEluc3RpdHV0ZSBvZiBGb29kIGFuZCBIZWFs
dGgsIFVuaXZlcnNpdHkgQ29sbGVnZSBEdWJsaW4sIER1YmxpbiA0LCBJcmVsYW5kLiBlaWxlZW4u
Z2libmV5QHVjZC5pZS4mI3hEO1VDRCBPYnN0ZXRyaWNzIGFuZCBHeW5hZWNvbG9neSwgU2Nob29s
IG9mIE1lZGljaW5lIGFuZCBNZWRpY2FsIFNjaWVuY2UsIFVuaXZlcnNpdHkgQ29sbGVnZSBEdWJs
aW4sIE5hdGlvbmFsIE1hdGVybml0eSBIb3NwaXRhbCwgRHVibGluIDIsIElyZWxhbmQuIGplYW5k
b25uZWxseTgwQHlhaG9vLmNvLnVrLiYjeEQ7VUNEIE9ic3RldHJpY3MgYW5kIEd5bmFlY29sb2d5
LCBTY2hvb2wgb2YgTWVkaWNpbmUgYW5kIE1lZGljYWwgU2NpZW5jZSwgVW5pdmVyc2l0eSBDb2xs
ZWdlIER1YmxpbiwgTmF0aW9uYWwgTWF0ZXJuaXR5IEhvc3BpdGFsLCBEdWJsaW4gMiwgSXJlbGFu
ZC4gZmlvbm51YWxhLm1jYXVsaWZmZUB1Y2QuaWUuPC9hdXRoLWFkZHJlc3M+PHRpdGxlcz48dGl0
bGU+TWF0ZXJuYWwgZGlldCBhbmQgd2VpZ2h0IGF0IDMgbW9udGhzIHBvc3RwYXJ0dW0gZm9sbG93
aW5nIGEgcHJlZ25hbmN5IGludGVydmVudGlvbiB3aXRoIGEgbG93IGdseWNhZW1pYyBpbmRleCBk
aWV0OiByZXN1bHRzIGZyb20gdGhlIFJPTE8gcmFuZG9taXNlZCBjb250cm9sIHRyaWFsPC90aXRs
ZT48c2Vjb25kYXJ5LXRpdGxlPk51dHJpZW50czwvc2Vjb25kYXJ5LXRpdGxlPjwvdGl0bGVzPjxw
ZXJpb2RpY2FsPjxmdWxsLXRpdGxlPk51dHJpZW50czwvZnVsbC10aXRsZT48L3BlcmlvZGljYWw+
PHBhZ2VzPjI5NDYtNTU8L3BhZ2VzPjx2b2x1bWU+Njwvdm9sdW1lPjxudW1iZXI+NzwvbnVtYmVy
PjxlZGl0aW9uPjIwMTQvMDcvMjU8L2VkaXRpb24+PGtleXdvcmRzPjxrZXl3b3JkPkFkdWx0PC9r
ZXl3b3JkPjxrZXl3b3JkPkJvZHkgTWFzcyBJbmRleDwva2V5d29yZD48a2V5d29yZD5CcmVhc3Qg
RmVlZGluZzwva2V5d29yZD48a2V5d29yZD4qRGlldCwgQ2FyYm9oeWRyYXRlLVJlc3RyaWN0ZWQ8
L2tleXdvcmQ+PGtleXdvcmQ+RW5lcmd5IEludGFrZTwva2V5d29yZD48a2V5d29yZD4qRmVlZGlu
ZyBCZWhhdmlvcjwva2V5d29yZD48a2V5d29yZD5GZW1hbGU8L2tleXdvcmQ+PGtleXdvcmQ+Kkds
eWNlbWljIEluZGV4PC9rZXl3b3JkPjxrZXl3b3JkPkhlYWx0aCBCZWhhdmlvcjwva2V5d29yZD48
a2V5d29yZD5IdW1hbnM8L2tleXdvcmQ+PGtleXdvcmQ+TGlmZSBTdHlsZTwva2V5d29yZD48a2V5
d29yZD4qTWF0ZXJuYWwgTnV0cml0aW9uYWwgUGh5c2lvbG9naWNhbCBQaGVub21lbmE8L2tleXdv
cmQ+PGtleXdvcmQ+TW90b3IgQWN0aXZpdHk8L2tleXdvcmQ+PGtleXdvcmQ+T2Jlc2l0eS9wcmV2
ZW50aW9uICZhbXA7IGNvbnRyb2w8L2tleXdvcmQ+PGtleXdvcmQ+T3ZlcndlaWdodC9wcmV2ZW50
aW9uICZhbXA7IGNvbnRyb2w8L2tleXdvcmQ+PGtleXdvcmQ+KlBvc3RwYXJ0dW0gUGVyaW9kPC9r
ZXl3b3JkPjxrZXl3b3JkPlByZWduYW5jeTwva2V5d29yZD48a2V5d29yZD5QcmVnbmFuY3kgT3V0
Y29tZTwva2V5d29yZD48a2V5d29yZD5TdXJ2ZXlzIGFuZCBRdWVzdGlvbm5haXJlczwva2V5d29y
ZD48a2V5d29yZD4qV2VpZ2h0IEdhaW48L2tleXdvcmQ+PGtleXdvcmQ+V2VpZ2h0IExvc3M8L2tl
eXdvcmQ+PC9rZXl3b3Jkcz48ZGF0ZXM+PHllYXI+MjAxNDwveWVhcj48cHViLWRhdGVzPjxkYXRl
Pkp1bCAyMzwvZGF0ZT48L3B1Yi1kYXRlcz48L2RhdGVzPjxpc2JuPjIwNzItNjY0MyAoRWxlY3Ry
b25pYykmI3hEOzIwNzItNjY0MyAoTGlua2luZyk8L2lzYm4+PGFjY2Vzc2lvbi1udW0+MjUwNTcx
MDM8L2FjY2Vzc2lvbi1udW0+PHVybHM+PHJlbGF0ZWQtdXJscz48dXJsPmh0dHBzOi8vd3d3Lm5j
YmkubmxtLm5paC5nb3YvcHVibWVkLzI1MDU3MTAzPC91cmw+PC9yZWxhdGVkLXVybHM+PC91cmxz
PjxjdXN0b20yPlBNQzQxMTM3NzE8L2N1c3RvbTI+PGVsZWN0cm9uaWMtcmVzb3VyY2UtbnVtPjEw
LjMzOTAvbnU2MDcyOTQ2PC9lbGVjdHJvbmljLXJlc291cmNlLW51bT48L3JlY29yZD48L0NpdGU+
PC9FbmROb3RlPn==
</w:fldData>
              </w:fldChar>
            </w:r>
            <w:r w:rsidR="002747EA">
              <w:instrText xml:space="preserve"> ADDIN EN.CITE.DATA </w:instrText>
            </w:r>
            <w:r w:rsidR="002747EA">
              <w:fldChar w:fldCharType="end"/>
            </w:r>
            <w:r>
              <w:fldChar w:fldCharType="separate"/>
            </w:r>
            <w:r w:rsidR="002747EA" w:rsidRPr="002747EA">
              <w:rPr>
                <w:noProof/>
                <w:vertAlign w:val="superscript"/>
              </w:rPr>
              <w:t>405,406</w:t>
            </w:r>
            <w:r>
              <w:fldChar w:fldCharType="end"/>
            </w:r>
          </w:p>
        </w:tc>
      </w:tr>
      <w:tr w:rsidR="001F4320" w:rsidRPr="00C12274" w14:paraId="4A2F4D98" w14:textId="77777777" w:rsidTr="00BC7AEC">
        <w:trPr>
          <w:cantSplit/>
        </w:trPr>
        <w:tc>
          <w:tcPr>
            <w:tcW w:w="1560" w:type="dxa"/>
            <w:shd w:val="clear" w:color="D9E2F3" w:themeColor="accent1" w:themeTint="33" w:fill="auto"/>
          </w:tcPr>
          <w:p w14:paraId="57E48F5D" w14:textId="77777777" w:rsidR="001F4320" w:rsidRPr="00C12274" w:rsidRDefault="001F4320" w:rsidP="00A67139">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765CC84F" w14:textId="77777777" w:rsidR="001F4320" w:rsidRPr="00C12274" w:rsidRDefault="001F4320" w:rsidP="00A67139">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07D839F" w14:textId="2362BA9E" w:rsidR="001F4320" w:rsidRPr="00F00938" w:rsidRDefault="0094460B" w:rsidP="00F00938">
            <w:pPr>
              <w:pStyle w:val="RCTstable"/>
            </w:pPr>
            <w:r w:rsidRPr="00F00938">
              <w:t>A computer-generated random sequence was used.</w:t>
            </w:r>
            <w:r w:rsidR="001F4320" w:rsidRPr="00F00938">
              <w:t xml:space="preserve"> </w:t>
            </w:r>
          </w:p>
        </w:tc>
      </w:tr>
      <w:tr w:rsidR="001F4320" w:rsidRPr="00C12274" w14:paraId="212A3AB5" w14:textId="77777777" w:rsidTr="00BC7AEC">
        <w:trPr>
          <w:cantSplit/>
        </w:trPr>
        <w:tc>
          <w:tcPr>
            <w:tcW w:w="1560" w:type="dxa"/>
            <w:shd w:val="clear" w:color="D9E2F3" w:themeColor="accent1" w:themeTint="33" w:fill="auto"/>
          </w:tcPr>
          <w:p w14:paraId="13C08A1A" w14:textId="77777777" w:rsidR="001F4320" w:rsidRPr="00C12274" w:rsidRDefault="001F4320" w:rsidP="00A67139">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5C7EBEAB" w14:textId="77777777" w:rsidR="001F4320" w:rsidRPr="00C12274" w:rsidRDefault="001F4320" w:rsidP="00A67139">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5657AF2" w14:textId="6E26C706" w:rsidR="001F4320" w:rsidRPr="00F00938" w:rsidRDefault="0094460B" w:rsidP="00F00938">
            <w:pPr>
              <w:pStyle w:val="RCTstable"/>
            </w:pPr>
            <w:r w:rsidRPr="00F00938">
              <w:t>Sealed, opaque envelopes were used.</w:t>
            </w:r>
            <w:r w:rsidR="001F4320" w:rsidRPr="00F00938">
              <w:t xml:space="preserve"> </w:t>
            </w:r>
          </w:p>
        </w:tc>
      </w:tr>
      <w:tr w:rsidR="001F4320" w:rsidRPr="00C12274" w14:paraId="62BF70E2" w14:textId="77777777" w:rsidTr="00BC7AEC">
        <w:trPr>
          <w:cantSplit/>
        </w:trPr>
        <w:tc>
          <w:tcPr>
            <w:tcW w:w="1560" w:type="dxa"/>
            <w:shd w:val="clear" w:color="D9E2F3" w:themeColor="accent1" w:themeTint="33" w:fill="auto"/>
          </w:tcPr>
          <w:p w14:paraId="6C1AEC58" w14:textId="77777777" w:rsidR="001F4320" w:rsidRPr="00C12274" w:rsidRDefault="001F4320" w:rsidP="00A67139">
            <w:pPr>
              <w:keepNext/>
              <w:spacing w:before="40" w:after="40" w:line="220" w:lineRule="exact"/>
              <w:rPr>
                <w:sz w:val="16"/>
                <w:szCs w:val="16"/>
              </w:rPr>
            </w:pPr>
            <w:r>
              <w:rPr>
                <w:sz w:val="16"/>
                <w:szCs w:val="16"/>
              </w:rPr>
              <w:t>Performance bias</w:t>
            </w:r>
          </w:p>
        </w:tc>
        <w:tc>
          <w:tcPr>
            <w:tcW w:w="1275" w:type="dxa"/>
            <w:shd w:val="clear" w:color="D9E2F3" w:themeColor="accent1" w:themeTint="33" w:fill="FFC000" w:themeFill="accent4"/>
          </w:tcPr>
          <w:p w14:paraId="5FE9EDD1" w14:textId="3D72BF31" w:rsidR="001F4320" w:rsidRPr="00C12274" w:rsidRDefault="0094460B" w:rsidP="00A67139">
            <w:pPr>
              <w:keepNext/>
              <w:spacing w:before="40" w:after="40" w:line="220" w:lineRule="exact"/>
              <w:rPr>
                <w:sz w:val="16"/>
                <w:szCs w:val="16"/>
              </w:rPr>
            </w:pPr>
            <w:r>
              <w:rPr>
                <w:sz w:val="16"/>
                <w:szCs w:val="16"/>
              </w:rPr>
              <w:t>Unclear</w:t>
            </w:r>
            <w:r w:rsidR="001F4320" w:rsidRPr="00C12274">
              <w:rPr>
                <w:sz w:val="16"/>
                <w:szCs w:val="16"/>
              </w:rPr>
              <w:t xml:space="preserve"> risk</w:t>
            </w:r>
          </w:p>
        </w:tc>
        <w:tc>
          <w:tcPr>
            <w:tcW w:w="11199" w:type="dxa"/>
            <w:vMerge w:val="restart"/>
            <w:shd w:val="clear" w:color="D9E2F3" w:themeColor="accent1" w:themeTint="33" w:fill="auto"/>
          </w:tcPr>
          <w:p w14:paraId="2C5562E3" w14:textId="598D546C" w:rsidR="001F4320" w:rsidRPr="00F00938" w:rsidRDefault="0094460B" w:rsidP="00F00938">
            <w:pPr>
              <w:pStyle w:val="RCTstable"/>
            </w:pPr>
            <w:r w:rsidRPr="00F00938">
              <w:t>Blinding not detailed, and considered unlikely particularly for women and personnel in view of the intervention</w:t>
            </w:r>
            <w:r w:rsidR="001F4320" w:rsidRPr="00F00938">
              <w:t>.</w:t>
            </w:r>
            <w:r w:rsidRPr="00F00938">
              <w:t xml:space="preserve"> </w:t>
            </w:r>
          </w:p>
        </w:tc>
      </w:tr>
      <w:tr w:rsidR="001F4320" w:rsidRPr="00C12274" w14:paraId="38999ED9" w14:textId="77777777" w:rsidTr="00BC7AEC">
        <w:trPr>
          <w:cantSplit/>
        </w:trPr>
        <w:tc>
          <w:tcPr>
            <w:tcW w:w="1560" w:type="dxa"/>
            <w:shd w:val="clear" w:color="D9E2F3" w:themeColor="accent1" w:themeTint="33" w:fill="auto"/>
          </w:tcPr>
          <w:p w14:paraId="655A86CF" w14:textId="77777777" w:rsidR="001F4320" w:rsidRPr="00C12274" w:rsidRDefault="001F4320" w:rsidP="00A67139">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5CF2A4F0" w14:textId="66245D09" w:rsidR="001F4320" w:rsidRPr="00C12274" w:rsidRDefault="0094460B" w:rsidP="00A67139">
            <w:pPr>
              <w:spacing w:before="40" w:after="40" w:line="220" w:lineRule="exact"/>
              <w:rPr>
                <w:sz w:val="16"/>
                <w:szCs w:val="16"/>
              </w:rPr>
            </w:pPr>
            <w:r>
              <w:rPr>
                <w:sz w:val="16"/>
                <w:szCs w:val="16"/>
              </w:rPr>
              <w:t>Unclear</w:t>
            </w:r>
            <w:r w:rsidR="001F4320" w:rsidRPr="00C12274">
              <w:rPr>
                <w:sz w:val="16"/>
                <w:szCs w:val="16"/>
              </w:rPr>
              <w:t xml:space="preserve"> risk</w:t>
            </w:r>
          </w:p>
        </w:tc>
        <w:tc>
          <w:tcPr>
            <w:tcW w:w="11199" w:type="dxa"/>
            <w:vMerge/>
            <w:shd w:val="clear" w:color="D9E2F3" w:themeColor="accent1" w:themeTint="33" w:fill="auto"/>
          </w:tcPr>
          <w:p w14:paraId="63AE810C" w14:textId="77777777" w:rsidR="001F4320" w:rsidRPr="00F00938" w:rsidRDefault="001F4320" w:rsidP="00F00938">
            <w:pPr>
              <w:pStyle w:val="RCTstable"/>
            </w:pPr>
          </w:p>
        </w:tc>
      </w:tr>
      <w:tr w:rsidR="001F4320" w:rsidRPr="00C12274" w14:paraId="6F2E1F4F" w14:textId="77777777" w:rsidTr="00BC7AEC">
        <w:trPr>
          <w:cantSplit/>
        </w:trPr>
        <w:tc>
          <w:tcPr>
            <w:tcW w:w="1560" w:type="dxa"/>
            <w:shd w:val="clear" w:color="D9E2F3" w:themeColor="accent1" w:themeTint="33" w:fill="auto"/>
          </w:tcPr>
          <w:p w14:paraId="786FBD7A" w14:textId="77777777" w:rsidR="001F4320" w:rsidRPr="00C12274" w:rsidRDefault="001F4320" w:rsidP="00A67139">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71C4D892" w14:textId="77777777" w:rsidR="001F4320" w:rsidRPr="00C12274" w:rsidRDefault="001F4320" w:rsidP="00A67139">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7B53E92" w14:textId="34EEE78A" w:rsidR="001F4320" w:rsidRPr="00F00938" w:rsidRDefault="0094460B" w:rsidP="00F00938">
            <w:pPr>
              <w:pStyle w:val="RCTstable"/>
            </w:pPr>
            <w:r w:rsidRPr="00F00938">
              <w:t>Reasons for losses to follow up were documented</w:t>
            </w:r>
            <w:r w:rsidR="00F00938" w:rsidRPr="00F00938">
              <w:t xml:space="preserve"> </w:t>
            </w:r>
            <w:r w:rsidRPr="00F00938">
              <w:t>and similar between groups (10 women</w:t>
            </w:r>
            <w:r w:rsidR="00F00938" w:rsidRPr="00F00938">
              <w:t xml:space="preserve"> </w:t>
            </w:r>
            <w:r w:rsidRPr="00F00938">
              <w:t>in each group ’opted out’; 1 in each group discontinued</w:t>
            </w:r>
            <w:r w:rsidR="00F00938" w:rsidRPr="00F00938">
              <w:t xml:space="preserve"> </w:t>
            </w:r>
            <w:r w:rsidRPr="00F00938">
              <w:t>the intervention; 2 women in each</w:t>
            </w:r>
            <w:r w:rsidR="00F00938" w:rsidRPr="00F00938">
              <w:t xml:space="preserve"> </w:t>
            </w:r>
            <w:r w:rsidR="003A00FD" w:rsidRPr="00F00938">
              <w:t>group were</w:t>
            </w:r>
            <w:r w:rsidRPr="00F00938">
              <w:t xml:space="preserve"> found to have twins; 9women in the</w:t>
            </w:r>
            <w:r w:rsidR="00F00938" w:rsidRPr="00F00938">
              <w:t xml:space="preserve"> </w:t>
            </w:r>
            <w:r w:rsidRPr="00F00938">
              <w:t>intervention group and 6 in the control group</w:t>
            </w:r>
            <w:r w:rsidR="00F00938" w:rsidRPr="00F00938">
              <w:t xml:space="preserve"> </w:t>
            </w:r>
            <w:r w:rsidRPr="00F00938">
              <w:t>had early pregnancy losses). Therefore 759 (372</w:t>
            </w:r>
            <w:r w:rsidR="00F00938" w:rsidRPr="00F00938">
              <w:t xml:space="preserve"> </w:t>
            </w:r>
            <w:r w:rsidRPr="00F00938">
              <w:t>in the intervention group and 387 in the control</w:t>
            </w:r>
            <w:r w:rsidR="00F00938" w:rsidRPr="00F00938">
              <w:t xml:space="preserve"> </w:t>
            </w:r>
            <w:r w:rsidRPr="00F00938">
              <w:t>group) of the 800 (95%) women randomised</w:t>
            </w:r>
            <w:r w:rsidR="00F00938" w:rsidRPr="00F00938">
              <w:t xml:space="preserve"> </w:t>
            </w:r>
            <w:r w:rsidRPr="00F00938">
              <w:t>were included in the final analyses</w:t>
            </w:r>
          </w:p>
        </w:tc>
      </w:tr>
      <w:tr w:rsidR="001F4320" w:rsidRPr="00C12274" w14:paraId="68E5BBDC" w14:textId="77777777" w:rsidTr="00BC7AEC">
        <w:trPr>
          <w:cantSplit/>
        </w:trPr>
        <w:tc>
          <w:tcPr>
            <w:tcW w:w="1560" w:type="dxa"/>
            <w:shd w:val="clear" w:color="D9E2F3" w:themeColor="accent1" w:themeTint="33" w:fill="auto"/>
          </w:tcPr>
          <w:p w14:paraId="57740359" w14:textId="77777777" w:rsidR="001F4320" w:rsidRPr="00C12274" w:rsidRDefault="001F4320" w:rsidP="00A67139">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18B14BAB" w14:textId="77777777" w:rsidR="001F4320" w:rsidRPr="00C12274" w:rsidRDefault="001F4320" w:rsidP="00A67139">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4B0ACE5" w14:textId="43A184A2" w:rsidR="001F4320" w:rsidRPr="00F00938" w:rsidRDefault="0094460B" w:rsidP="00F00938">
            <w:pPr>
              <w:pStyle w:val="RCTstable"/>
            </w:pPr>
            <w:r w:rsidRPr="00F00938">
              <w:t>Outcomes reported as per published trial registration and/or protocol (across a number of separate manuscripts). Data for mode of birth were not reported in</w:t>
            </w:r>
            <w:r w:rsidR="003E22EF">
              <w:t xml:space="preserve"> </w:t>
            </w:r>
            <w:r w:rsidRPr="00F00938">
              <w:t>Walsh et al. 2012, and for caesarean rate no data were presented:</w:t>
            </w:r>
            <w:r w:rsidR="003E22EF">
              <w:t xml:space="preserve"> </w:t>
            </w:r>
            <w:r w:rsidRPr="00F00938">
              <w:t>“We found</w:t>
            </w:r>
            <w:r w:rsidR="00F00938" w:rsidRPr="00F00938">
              <w:t xml:space="preserve"> </w:t>
            </w:r>
            <w:r w:rsidRPr="00F00938">
              <w:t>no significant difference in the rate of caesarean</w:t>
            </w:r>
            <w:r w:rsidR="00F00938" w:rsidRPr="00F00938">
              <w:t xml:space="preserve"> </w:t>
            </w:r>
            <w:r w:rsidRPr="00F00938">
              <w:t>delivery between the two groups”; however data</w:t>
            </w:r>
            <w:r w:rsidR="00F00938" w:rsidRPr="00F00938">
              <w:t xml:space="preserve"> </w:t>
            </w:r>
            <w:r w:rsidRPr="00F00938">
              <w:t>were reported in Walsh et al. 2015.</w:t>
            </w:r>
          </w:p>
        </w:tc>
      </w:tr>
      <w:tr w:rsidR="001F4320" w:rsidRPr="00C12274" w14:paraId="01AFC4D0" w14:textId="77777777" w:rsidTr="00BC7AEC">
        <w:trPr>
          <w:cantSplit/>
        </w:trPr>
        <w:tc>
          <w:tcPr>
            <w:tcW w:w="1560" w:type="dxa"/>
            <w:shd w:val="clear" w:color="D9E2F3" w:themeColor="accent1" w:themeTint="33" w:fill="auto"/>
          </w:tcPr>
          <w:p w14:paraId="5064CBA0" w14:textId="77777777" w:rsidR="001F4320" w:rsidRPr="00C12274" w:rsidRDefault="001F4320" w:rsidP="00A67139">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45E497C2" w14:textId="77777777" w:rsidR="001F4320" w:rsidRPr="00C12274" w:rsidRDefault="001F4320" w:rsidP="00A67139">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6D9ED71F" w14:textId="77777777" w:rsidR="001F4320" w:rsidRPr="00F00938" w:rsidRDefault="001F4320" w:rsidP="00F00938">
            <w:pPr>
              <w:pStyle w:val="RCTstable"/>
            </w:pPr>
            <w:r w:rsidRPr="00F00938">
              <w:t>No significant differences between baseline characteristics of groups</w:t>
            </w:r>
          </w:p>
        </w:tc>
      </w:tr>
      <w:tr w:rsidR="002D1E1E" w:rsidRPr="00C12274" w14:paraId="1F3EA1BA" w14:textId="77777777" w:rsidTr="00BC7AEC">
        <w:trPr>
          <w:cantSplit/>
        </w:trPr>
        <w:tc>
          <w:tcPr>
            <w:tcW w:w="14034" w:type="dxa"/>
            <w:gridSpan w:val="3"/>
            <w:shd w:val="solid" w:color="D9E2F3" w:themeColor="accent1" w:themeTint="33" w:fill="auto"/>
          </w:tcPr>
          <w:p w14:paraId="70A5AF2F" w14:textId="17FE8F42" w:rsidR="002D1E1E" w:rsidRPr="00992BA6" w:rsidRDefault="002D1E1E" w:rsidP="002747EA">
            <w:pPr>
              <w:pStyle w:val="Tablecell"/>
              <w:keepNext/>
              <w:spacing w:line="220" w:lineRule="exact"/>
              <w:rPr>
                <w:rFonts w:eastAsiaTheme="minorHAnsi"/>
                <w:sz w:val="16"/>
                <w:szCs w:val="16"/>
                <w:lang w:val="en-US"/>
              </w:rPr>
            </w:pPr>
            <w:r w:rsidRPr="002D1E1E">
              <w:rPr>
                <w:b/>
                <w:sz w:val="16"/>
                <w:szCs w:val="16"/>
              </w:rPr>
              <w:t>Wolff et al 2008</w:t>
            </w:r>
            <w:r>
              <w:fldChar w:fldCharType="begin"/>
            </w:r>
            <w:r w:rsidR="002747EA">
              <w:instrText xml:space="preserve"> ADDIN EN.CITE &lt;EndNote&gt;&lt;Cite&gt;&lt;Author&gt;Wolff&lt;/Author&gt;&lt;Year&gt;2008&lt;/Year&gt;&lt;RecNum&gt;1146&lt;/RecNum&gt;&lt;DisplayText&gt;&lt;style face="superscript" font="Trebuchet MS" size="9"&gt;404&lt;/style&gt;&lt;/DisplayText&gt;&lt;record&gt;&lt;rec-number&gt;1146&lt;/rec-number&gt;&lt;foreign-keys&gt;&lt;key app="EN" db-id="exvasrfx2dtraoesasxp2szsxa2df502592x" timestamp="1555476895"&gt;1146&lt;/key&gt;&lt;/foreign-keys&gt;&lt;ref-type name="Journal Article"&gt;17&lt;/ref-type&gt;&lt;contributors&gt;&lt;authors&gt;&lt;author&gt;Wolff, S.&lt;/author&gt;&lt;author&gt;Legarth, J.&lt;/author&gt;&lt;author&gt;Vangsgaard, K.&lt;/author&gt;&lt;author&gt;Toubro, S.&lt;/author&gt;&lt;author&gt;Astrup, A.&lt;/author&gt;&lt;/authors&gt;&lt;/contributors&gt;&lt;auth-address&gt;Department of Human Nutrition, Faculty of Life Science, Copenhagen University, Copenhagen, Denmark. swo@sst.dk&lt;/auth-address&gt;&lt;titles&gt;&lt;title&gt;A randomized trial of the effects of dietary counseling on gestational weight gain and glucose metabolism in obese pregnant women&lt;/title&gt;&lt;secondary-title&gt;Int J Obes (Lond)&lt;/secondary-title&gt;&lt;/titles&gt;&lt;periodical&gt;&lt;full-title&gt;Int J Obes (Lond)&lt;/full-title&gt;&lt;/periodical&gt;&lt;pages&gt;495-501&lt;/pages&gt;&lt;volume&gt;32&lt;/volume&gt;&lt;number&gt;3&lt;/number&gt;&lt;edition&gt;2008/01/30&lt;/edition&gt;&lt;keywords&gt;&lt;keyword&gt;Adult&lt;/keyword&gt;&lt;keyword&gt;Blood Glucose/*metabolism&lt;/keyword&gt;&lt;keyword&gt;Body Mass Index&lt;/keyword&gt;&lt;keyword&gt;Counseling/*methods&lt;/keyword&gt;&lt;keyword&gt;*Diet&lt;/keyword&gt;&lt;keyword&gt;Diet Records&lt;/keyword&gt;&lt;keyword&gt;Energy Intake/physiology&lt;/keyword&gt;&lt;keyword&gt;Female&lt;/keyword&gt;&lt;keyword&gt;Glucose Tolerance Test&lt;/keyword&gt;&lt;keyword&gt;Humans&lt;/keyword&gt;&lt;keyword&gt;Insulin/metabolism&lt;/keyword&gt;&lt;keyword&gt;Leptin/metabolism&lt;/keyword&gt;&lt;keyword&gt;Obesity/*diet therapy/metabolism&lt;/keyword&gt;&lt;keyword&gt;Pregnancy&lt;/keyword&gt;&lt;keyword&gt;*Weight Gain&lt;/keyword&gt;&lt;/keywords&gt;&lt;dates&gt;&lt;year&gt;2008&lt;/year&gt;&lt;pub-dates&gt;&lt;date&gt;Mar&lt;/date&gt;&lt;/pub-dates&gt;&lt;/dates&gt;&lt;isbn&gt;1476-5497 (Electronic)&amp;#xD;0307-0565 (Linking)&lt;/isbn&gt;&lt;accession-num&gt;18227847&lt;/accession-num&gt;&lt;urls&gt;&lt;related-urls&gt;&lt;url&gt;https://www.ncbi.nlm.nih.gov/pubmed/18227847&lt;/url&gt;&lt;/related-urls&gt;&lt;/urls&gt;&lt;electronic-resource-num&gt;10.1038/sj.ijo.0803710&lt;/electronic-resource-num&gt;&lt;/record&gt;&lt;/Cite&gt;&lt;/EndNote&gt;</w:instrText>
            </w:r>
            <w:r>
              <w:fldChar w:fldCharType="separate"/>
            </w:r>
            <w:r w:rsidR="002747EA" w:rsidRPr="002747EA">
              <w:rPr>
                <w:noProof/>
                <w:vertAlign w:val="superscript"/>
              </w:rPr>
              <w:t>404</w:t>
            </w:r>
            <w:r>
              <w:fldChar w:fldCharType="end"/>
            </w:r>
          </w:p>
        </w:tc>
      </w:tr>
      <w:tr w:rsidR="002D1E1E" w:rsidRPr="00C12274" w14:paraId="1CB51AD7" w14:textId="77777777" w:rsidTr="00BC7AEC">
        <w:trPr>
          <w:cantSplit/>
        </w:trPr>
        <w:tc>
          <w:tcPr>
            <w:tcW w:w="1560" w:type="dxa"/>
            <w:shd w:val="clear" w:color="D9E2F3" w:themeColor="accent1" w:themeTint="33" w:fill="auto"/>
          </w:tcPr>
          <w:p w14:paraId="40CF1597" w14:textId="77777777" w:rsidR="002D1E1E" w:rsidRPr="00C12274" w:rsidRDefault="002D1E1E"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637C2476" w14:textId="77777777" w:rsidR="002D1E1E" w:rsidRPr="00C12274" w:rsidRDefault="002D1E1E"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C8F9E35" w14:textId="4A9FDFBD" w:rsidR="002D1E1E" w:rsidRPr="002D1E1E" w:rsidRDefault="002D1E1E" w:rsidP="006045AE">
            <w:pPr>
              <w:pStyle w:val="RCTstable"/>
              <w:keepNext/>
            </w:pPr>
            <w:r w:rsidRPr="002D1E1E">
              <w:t>Computerised randomisation.</w:t>
            </w:r>
          </w:p>
        </w:tc>
      </w:tr>
      <w:tr w:rsidR="002D1E1E" w:rsidRPr="00C12274" w14:paraId="35682EB3" w14:textId="77777777" w:rsidTr="00BC7AEC">
        <w:trPr>
          <w:cantSplit/>
        </w:trPr>
        <w:tc>
          <w:tcPr>
            <w:tcW w:w="1560" w:type="dxa"/>
            <w:shd w:val="clear" w:color="D9E2F3" w:themeColor="accent1" w:themeTint="33" w:fill="auto"/>
          </w:tcPr>
          <w:p w14:paraId="6AD37DCC" w14:textId="77777777" w:rsidR="002D1E1E" w:rsidRPr="00C12274" w:rsidRDefault="002D1E1E"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4E8DF731" w14:textId="2BA9116F" w:rsidR="002D1E1E" w:rsidRPr="00C12274" w:rsidRDefault="002D1E1E" w:rsidP="006045AE">
            <w:pPr>
              <w:keepNext/>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3750E4D9" w14:textId="71747DDD" w:rsidR="002D1E1E" w:rsidRPr="002D1E1E" w:rsidRDefault="002D1E1E" w:rsidP="006045AE">
            <w:pPr>
              <w:pStyle w:val="RCTstable"/>
              <w:keepNext/>
            </w:pPr>
            <w:r w:rsidRPr="002D1E1E">
              <w:t>No details provided.</w:t>
            </w:r>
          </w:p>
        </w:tc>
      </w:tr>
      <w:tr w:rsidR="002D1E1E" w:rsidRPr="00C12274" w14:paraId="12FC4A91" w14:textId="77777777" w:rsidTr="00BC7AEC">
        <w:trPr>
          <w:cantSplit/>
          <w:trHeight w:val="333"/>
        </w:trPr>
        <w:tc>
          <w:tcPr>
            <w:tcW w:w="1560" w:type="dxa"/>
            <w:shd w:val="clear" w:color="D9E2F3" w:themeColor="accent1" w:themeTint="33" w:fill="auto"/>
          </w:tcPr>
          <w:p w14:paraId="78D46902" w14:textId="77777777" w:rsidR="002D1E1E" w:rsidRPr="00C12274" w:rsidRDefault="002D1E1E" w:rsidP="006045AE">
            <w:pPr>
              <w:keepNext/>
              <w:spacing w:before="40" w:after="40" w:line="220" w:lineRule="exact"/>
              <w:rPr>
                <w:sz w:val="16"/>
                <w:szCs w:val="16"/>
              </w:rPr>
            </w:pPr>
            <w:r>
              <w:rPr>
                <w:sz w:val="16"/>
                <w:szCs w:val="16"/>
              </w:rPr>
              <w:t>Performance bias</w:t>
            </w:r>
          </w:p>
        </w:tc>
        <w:tc>
          <w:tcPr>
            <w:tcW w:w="1275" w:type="dxa"/>
            <w:shd w:val="clear" w:color="D9E2F3" w:themeColor="accent1" w:themeTint="33" w:fill="FFC000" w:themeFill="accent4"/>
          </w:tcPr>
          <w:p w14:paraId="07CD65B8" w14:textId="77777777" w:rsidR="002D1E1E" w:rsidRPr="00C12274" w:rsidRDefault="002D1E1E" w:rsidP="006045AE">
            <w:pPr>
              <w:keepNext/>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6DC3FE36" w14:textId="0C4D233C" w:rsidR="002D1E1E" w:rsidRPr="002D1E1E" w:rsidRDefault="002D1E1E" w:rsidP="006045AE">
            <w:pPr>
              <w:pStyle w:val="RCTstable"/>
              <w:keepNext/>
            </w:pPr>
            <w:r w:rsidRPr="002D1E1E">
              <w:t>The women and dietitians were not blinded.</w:t>
            </w:r>
          </w:p>
        </w:tc>
      </w:tr>
      <w:tr w:rsidR="002D1E1E" w:rsidRPr="00C12274" w14:paraId="5C828F88" w14:textId="77777777" w:rsidTr="00BC7AEC">
        <w:trPr>
          <w:cantSplit/>
        </w:trPr>
        <w:tc>
          <w:tcPr>
            <w:tcW w:w="1560" w:type="dxa"/>
            <w:shd w:val="clear" w:color="D9E2F3" w:themeColor="accent1" w:themeTint="33" w:fill="auto"/>
          </w:tcPr>
          <w:p w14:paraId="73C55458" w14:textId="77777777" w:rsidR="002D1E1E" w:rsidRPr="00C12274" w:rsidRDefault="002D1E1E" w:rsidP="006045AE">
            <w:pPr>
              <w:keepNext/>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7441B298" w14:textId="77777777" w:rsidR="002D1E1E" w:rsidRPr="00C12274" w:rsidRDefault="002D1E1E" w:rsidP="006045AE">
            <w:pPr>
              <w:keepNext/>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176D7086" w14:textId="3649D181" w:rsidR="002D1E1E" w:rsidRPr="002D1E1E" w:rsidRDefault="002D1E1E" w:rsidP="006045AE">
            <w:pPr>
              <w:pStyle w:val="RCTstable"/>
              <w:keepNext/>
            </w:pPr>
            <w:r w:rsidRPr="002D1E1E">
              <w:t>Quote: “The physicians and midwives were blinded in regard to the treatment assignment, and the</w:t>
            </w:r>
            <w:r w:rsidR="003A00FD">
              <w:t xml:space="preserve"> </w:t>
            </w:r>
            <w:r w:rsidRPr="002D1E1E">
              <w:t>women</w:t>
            </w:r>
            <w:r w:rsidR="003A00FD">
              <w:t xml:space="preserve"> </w:t>
            </w:r>
            <w:r w:rsidRPr="002D1E1E">
              <w:t>were asked not to reveal the allocation by the randomization”; unclear whether this was successfully achieved.</w:t>
            </w:r>
          </w:p>
        </w:tc>
      </w:tr>
      <w:tr w:rsidR="002D1E1E" w:rsidRPr="00C12274" w14:paraId="1236FA7C" w14:textId="77777777" w:rsidTr="00BC7AEC">
        <w:trPr>
          <w:cantSplit/>
        </w:trPr>
        <w:tc>
          <w:tcPr>
            <w:tcW w:w="1560" w:type="dxa"/>
            <w:shd w:val="clear" w:color="D9E2F3" w:themeColor="accent1" w:themeTint="33" w:fill="auto"/>
          </w:tcPr>
          <w:p w14:paraId="17C93FDB" w14:textId="77777777" w:rsidR="002D1E1E" w:rsidRPr="00C12274" w:rsidRDefault="002D1E1E" w:rsidP="006045AE">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1EA37A2B" w14:textId="5C0FACE8" w:rsidR="002D1E1E" w:rsidRPr="00C12274" w:rsidRDefault="002D1E1E" w:rsidP="006045AE">
            <w:pPr>
              <w:keepNext/>
              <w:spacing w:before="40" w:after="40" w:line="220" w:lineRule="exact"/>
              <w:rPr>
                <w:sz w:val="16"/>
                <w:szCs w:val="16"/>
              </w:rPr>
            </w:pPr>
            <w:r>
              <w:rPr>
                <w:sz w:val="16"/>
                <w:szCs w:val="16"/>
              </w:rPr>
              <w:t>High</w:t>
            </w:r>
            <w:r w:rsidRPr="00C12274">
              <w:rPr>
                <w:sz w:val="16"/>
                <w:szCs w:val="16"/>
              </w:rPr>
              <w:t xml:space="preserve"> risk</w:t>
            </w:r>
          </w:p>
        </w:tc>
        <w:tc>
          <w:tcPr>
            <w:tcW w:w="11199" w:type="dxa"/>
            <w:shd w:val="clear" w:color="D9E2F3" w:themeColor="accent1" w:themeTint="33" w:fill="auto"/>
          </w:tcPr>
          <w:p w14:paraId="009293A6" w14:textId="4B1F77DD" w:rsidR="002D1E1E" w:rsidRPr="002D1E1E" w:rsidRDefault="002D1E1E" w:rsidP="006045AE">
            <w:pPr>
              <w:pStyle w:val="RCTstable"/>
              <w:keepNext/>
            </w:pPr>
            <w:r w:rsidRPr="002D1E1E">
              <w:t>73 women were recruited to the study; 7 developed“ conditions that made them ineligible to continue participation” (spontaneous abortion, twin pregnancy, smoker, bedridden, diagnosis of GDM at inclusion). It was somewhat unclear whether these exclusions were pre or post randomisation; the unbalanced groups (n</w:t>
            </w:r>
            <w:r w:rsidR="00162E95">
              <w:t>=</w:t>
            </w:r>
            <w:r w:rsidRPr="002D1E1E">
              <w:t>28 and n</w:t>
            </w:r>
            <w:r w:rsidR="00162E95">
              <w:t>=</w:t>
            </w:r>
            <w:r w:rsidRPr="002D1E1E">
              <w:t>38 suggested this was following randomisation). A further 13women dropped out of the study due to lack of time, or disappointment due to being in the control group. 3 additional women developed</w:t>
            </w:r>
            <w:r w:rsidR="003A00FD">
              <w:t xml:space="preserve"> </w:t>
            </w:r>
            <w:r w:rsidRPr="002D1E1E">
              <w:t>GDM</w:t>
            </w:r>
            <w:r w:rsidR="003A00FD">
              <w:t xml:space="preserve"> </w:t>
            </w:r>
            <w:r w:rsidRPr="002D1E1E">
              <w:t>in the control group were excluded from the analyses (apart from GDM incidence). 50 women were followed to delivery (23 in the intervention group; 27 in the control group). There were missing data for blood samples (3/50), and weight measurements (15/50) postpartum; “The analyses were subsequently controlled for impact of missing values by replacing these with average of the entire group to ensure that the statistical test did not differ, significantly”.</w:t>
            </w:r>
          </w:p>
        </w:tc>
      </w:tr>
      <w:tr w:rsidR="002D1E1E" w:rsidRPr="00C12274" w14:paraId="1FD414A8" w14:textId="77777777" w:rsidTr="00BC7AEC">
        <w:trPr>
          <w:cantSplit/>
        </w:trPr>
        <w:tc>
          <w:tcPr>
            <w:tcW w:w="1560" w:type="dxa"/>
            <w:shd w:val="clear" w:color="D9E2F3" w:themeColor="accent1" w:themeTint="33" w:fill="auto"/>
          </w:tcPr>
          <w:p w14:paraId="62341CD8" w14:textId="77777777" w:rsidR="002D1E1E" w:rsidRPr="00C12274" w:rsidRDefault="002D1E1E" w:rsidP="006045AE">
            <w:pPr>
              <w:keepNext/>
              <w:spacing w:before="40" w:after="40" w:line="220" w:lineRule="exact"/>
              <w:rPr>
                <w:sz w:val="16"/>
                <w:szCs w:val="16"/>
              </w:rPr>
            </w:pPr>
            <w:r w:rsidRPr="00C12274">
              <w:rPr>
                <w:sz w:val="16"/>
                <w:szCs w:val="16"/>
              </w:rPr>
              <w:t>Selective reporting</w:t>
            </w:r>
          </w:p>
        </w:tc>
        <w:tc>
          <w:tcPr>
            <w:tcW w:w="1275" w:type="dxa"/>
            <w:shd w:val="clear" w:color="D9E2F3" w:themeColor="accent1" w:themeTint="33" w:fill="FFC000" w:themeFill="accent4"/>
          </w:tcPr>
          <w:p w14:paraId="04437FD9" w14:textId="77777777" w:rsidR="002D1E1E" w:rsidRPr="00C12274" w:rsidRDefault="002D1E1E" w:rsidP="006045AE">
            <w:pPr>
              <w:keepNext/>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2C8C5CE2" w14:textId="77777777" w:rsidR="002D1E1E" w:rsidRPr="002D1E1E" w:rsidRDefault="002D1E1E" w:rsidP="006045AE">
            <w:pPr>
              <w:pStyle w:val="RCTstable"/>
              <w:keepNext/>
            </w:pPr>
            <w:r w:rsidRPr="002D1E1E">
              <w:t>Whilst the majority of pre-specified outcomes discussed in the methods were subsequently reported, no access to a trial protocol to confidently assess selective reporting. Some outcomes, e.g. shoulder dystocia, were mentioned and then not reported</w:t>
            </w:r>
          </w:p>
        </w:tc>
      </w:tr>
      <w:tr w:rsidR="002D1E1E" w:rsidRPr="00C12274" w14:paraId="3D6FFE2D" w14:textId="77777777" w:rsidTr="00BC7AEC">
        <w:trPr>
          <w:cantSplit/>
        </w:trPr>
        <w:tc>
          <w:tcPr>
            <w:tcW w:w="1560" w:type="dxa"/>
            <w:shd w:val="clear" w:color="D9E2F3" w:themeColor="accent1" w:themeTint="33" w:fill="auto"/>
          </w:tcPr>
          <w:p w14:paraId="2629409B" w14:textId="77777777" w:rsidR="002D1E1E" w:rsidRPr="00C12274" w:rsidRDefault="002D1E1E" w:rsidP="00A67139">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17A05067" w14:textId="77777777" w:rsidR="002D1E1E" w:rsidRPr="00C12274" w:rsidRDefault="002D1E1E" w:rsidP="00A67139">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7C394DF1" w14:textId="1B7BB565" w:rsidR="002D1E1E" w:rsidRPr="002D1E1E" w:rsidRDefault="002D1E1E" w:rsidP="002D1E1E">
            <w:pPr>
              <w:pStyle w:val="RCTstable"/>
            </w:pPr>
            <w:r w:rsidRPr="002D1E1E">
              <w:t>No other obvious sources of bias identified.</w:t>
            </w:r>
          </w:p>
        </w:tc>
      </w:tr>
    </w:tbl>
    <w:p w14:paraId="48901D34" w14:textId="121F0858" w:rsidR="008E765F" w:rsidRPr="00C12274" w:rsidRDefault="008E765F" w:rsidP="00127E77">
      <w:pPr>
        <w:pStyle w:val="Heading3"/>
        <w:numPr>
          <w:ilvl w:val="0"/>
          <w:numId w:val="0"/>
        </w:numPr>
        <w:rPr>
          <w:lang w:val="en"/>
        </w:rPr>
      </w:pPr>
      <w:bookmarkStart w:id="271" w:name="_Toc40956562"/>
      <w:r>
        <w:rPr>
          <w:lang w:val="en"/>
        </w:rPr>
        <w:t>Exercise intervention studies</w:t>
      </w:r>
      <w:bookmarkEnd w:id="271"/>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9E2F3" w:themeColor="accent1" w:themeTint="33" w:fill="auto"/>
        <w:tblLayout w:type="fixed"/>
        <w:tblLook w:val="0000" w:firstRow="0" w:lastRow="0" w:firstColumn="0" w:lastColumn="0" w:noHBand="0" w:noVBand="0"/>
      </w:tblPr>
      <w:tblGrid>
        <w:gridCol w:w="1560"/>
        <w:gridCol w:w="1275"/>
        <w:gridCol w:w="11199"/>
      </w:tblGrid>
      <w:tr w:rsidR="008E765F" w:rsidRPr="00C12274" w14:paraId="4E1B8FB3" w14:textId="77777777" w:rsidTr="00BC7AEC">
        <w:trPr>
          <w:trHeight w:val="99"/>
          <w:tblHeader/>
        </w:trPr>
        <w:tc>
          <w:tcPr>
            <w:tcW w:w="1560" w:type="dxa"/>
            <w:shd w:val="solid" w:color="2F5496" w:themeColor="accent1" w:themeShade="BF" w:fill="auto"/>
          </w:tcPr>
          <w:p w14:paraId="5BBD1EBE" w14:textId="77777777" w:rsidR="008E765F" w:rsidRPr="00C12274" w:rsidRDefault="008E765F" w:rsidP="00127E77">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 xml:space="preserve">Study limitation </w:t>
            </w:r>
          </w:p>
        </w:tc>
        <w:tc>
          <w:tcPr>
            <w:tcW w:w="1275" w:type="dxa"/>
            <w:shd w:val="solid" w:color="2F5496" w:themeColor="accent1" w:themeShade="BF" w:fill="auto"/>
          </w:tcPr>
          <w:p w14:paraId="01514A7A" w14:textId="77777777" w:rsidR="008E765F" w:rsidRPr="00C12274" w:rsidRDefault="008E765F" w:rsidP="00127E77">
            <w:pPr>
              <w:pStyle w:val="Tablecell"/>
              <w:keepNext/>
              <w:jc w:val="center"/>
              <w:rPr>
                <w:rFonts w:eastAsiaTheme="minorHAnsi"/>
                <w:b/>
                <w:color w:val="FFFFFF" w:themeColor="background1"/>
                <w:sz w:val="16"/>
                <w:lang w:val="en-US"/>
              </w:rPr>
            </w:pPr>
            <w:r w:rsidRPr="00C12274">
              <w:rPr>
                <w:rFonts w:eastAsiaTheme="minorHAnsi"/>
                <w:b/>
                <w:color w:val="FFFFFF" w:themeColor="background1"/>
                <w:sz w:val="16"/>
                <w:lang w:val="en-US"/>
              </w:rPr>
              <w:t>Judgement</w:t>
            </w:r>
          </w:p>
        </w:tc>
        <w:tc>
          <w:tcPr>
            <w:tcW w:w="11199" w:type="dxa"/>
            <w:shd w:val="solid" w:color="2F5496" w:themeColor="accent1" w:themeShade="BF" w:fill="auto"/>
          </w:tcPr>
          <w:p w14:paraId="26A2C991" w14:textId="77777777" w:rsidR="008E765F" w:rsidRPr="00C12274" w:rsidRDefault="008E765F" w:rsidP="00127E77">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Support for judgement</w:t>
            </w:r>
          </w:p>
        </w:tc>
      </w:tr>
      <w:tr w:rsidR="008604A0" w:rsidRPr="006234EA" w14:paraId="3BE7DA49" w14:textId="77777777" w:rsidTr="008604A0">
        <w:trPr>
          <w:cantSplit/>
        </w:trPr>
        <w:tc>
          <w:tcPr>
            <w:tcW w:w="14034" w:type="dxa"/>
            <w:gridSpan w:val="3"/>
            <w:shd w:val="solid" w:color="D9E2F3" w:themeColor="accent1" w:themeTint="33" w:fill="auto"/>
          </w:tcPr>
          <w:p w14:paraId="010BC742" w14:textId="6D654DF8" w:rsidR="008604A0" w:rsidRPr="00470354" w:rsidRDefault="00622BD8" w:rsidP="002747EA">
            <w:pPr>
              <w:pStyle w:val="Tablecell"/>
              <w:keepNext/>
              <w:spacing w:line="220" w:lineRule="exact"/>
              <w:rPr>
                <w:rFonts w:eastAsiaTheme="minorHAnsi"/>
                <w:b/>
                <w:sz w:val="16"/>
                <w:szCs w:val="16"/>
                <w:lang w:val="en-US"/>
              </w:rPr>
            </w:pPr>
            <w:r>
              <w:rPr>
                <w:b/>
                <w:noProof/>
                <w:sz w:val="16"/>
                <w:szCs w:val="16"/>
              </w:rPr>
              <w:t>Aguilar-Cordero et al 2019</w:t>
            </w:r>
            <w:r w:rsidR="00D07346">
              <w:rPr>
                <w:rFonts w:eastAsiaTheme="minorHAnsi"/>
                <w:b/>
                <w:sz w:val="16"/>
                <w:szCs w:val="16"/>
                <w:lang w:val="en-US"/>
              </w:rPr>
              <w:fldChar w:fldCharType="begin"/>
            </w:r>
            <w:r w:rsidR="002747EA">
              <w:rPr>
                <w:rFonts w:eastAsiaTheme="minorHAnsi"/>
                <w:b/>
                <w:sz w:val="16"/>
                <w:szCs w:val="16"/>
                <w:lang w:val="en-US"/>
              </w:rPr>
              <w:instrText xml:space="preserve"> ADDIN EN.CITE &lt;EndNote&gt;&lt;Cite&gt;&lt;Author&gt;Aguilar-Cordero&lt;/Author&gt;&lt;Year&gt;2019&lt;/Year&gt;&lt;RecNum&gt;1917&lt;/RecNum&gt;&lt;DisplayText&gt;&lt;style face="superscript" font="Trebuchet MS" size="9"&gt;447&lt;/style&gt;&lt;/DisplayText&gt;&lt;record&gt;&lt;rec-number&gt;1917&lt;/rec-number&gt;&lt;foreign-keys&gt;&lt;key app="EN" db-id="exvasrfx2dtraoesasxp2szsxa2df502592x" timestamp="1588481006"&gt;1917&lt;/key&gt;&lt;/foreign-keys&gt;&lt;ref-type name="Journal Article"&gt;17&lt;/ref-type&gt;&lt;contributors&gt;&lt;authors&gt;&lt;author&gt;Aguilar-Cordero, M. J.&lt;/author&gt;&lt;author&gt;Sanchez-Garcia, J. C.&lt;/author&gt;&lt;author&gt;Rodriguez-Blanque, R.&lt;/author&gt;&lt;author&gt;Sanchez-Lopez, A. M.&lt;/author&gt;&lt;author&gt;Mur-Villar, N.&lt;/author&gt;&lt;/authors&gt;&lt;/contributors&gt;&lt;auth-address&gt;1 Maria Jose Aguilar-Cordero, PhD, University of Granada, San Cecilio Clinical Hospital, Granada, Spain.&amp;#xD;2 Juan Carlos Sanchez-Garcia, PhD, University of Granada, Granada, Spain.&amp;#xD;3 Raquel Rodriguez-Blanque, PhD, University of Granada, Granada, Spain.&amp;#xD;4 Antonio Manuel Sanchez-Lopez, PhD, University of Granada, Granada, Spain.&amp;#xD;5 Norma Mur-Villar, PhD, University of Granada, Granada, Spain; Cienfuegos School of Medical Sciences, Cienfuegos, Cuba.&lt;/auth-address&gt;&lt;titles&gt;&lt;title&gt;Moderate physical activity in an aquatic environment during pregnancy (SWEP Study) and its influence in preventing postpartum depression&lt;/title&gt;&lt;secondary-title&gt;J Am Psychiatr Nurses Assoc&lt;/secondary-title&gt;&lt;/titles&gt;&lt;periodical&gt;&lt;full-title&gt;J Am Psychiatr Nurses Assoc&lt;/full-title&gt;&lt;/periodical&gt;&lt;pages&gt;112-121&lt;/pages&gt;&lt;volume&gt;25&lt;/volume&gt;&lt;number&gt;2&lt;/number&gt;&lt;edition&gt;2018/03/02&lt;/edition&gt;&lt;keywords&gt;&lt;keyword&gt;*body mass index&lt;/keyword&gt;&lt;keyword&gt;*physical activity&lt;/keyword&gt;&lt;keyword&gt;*postpartum depression&lt;/keyword&gt;&lt;keyword&gt;*pregnancy&lt;/keyword&gt;&lt;/keywords&gt;&lt;dates&gt;&lt;year&gt;2019&lt;/year&gt;&lt;pub-dates&gt;&lt;date&gt;Mar/Apr&lt;/date&gt;&lt;/pub-dates&gt;&lt;/dates&gt;&lt;isbn&gt;1532-5725 (Electronic)&amp;#xD;1078-3903 (Linking)&lt;/isbn&gt;&lt;accession-num&gt;29490560&lt;/accession-num&gt;&lt;urls&gt;&lt;related-urls&gt;&lt;url&gt;https://www.ncbi.nlm.nih.gov/pubmed/29490560&lt;/url&gt;&lt;/related-urls&gt;&lt;/urls&gt;&lt;electronic-resource-num&gt;10.1177/1078390317753675&lt;/electronic-resource-num&gt;&lt;/record&gt;&lt;/Cite&gt;&lt;/EndNote&gt;</w:instrText>
            </w:r>
            <w:r w:rsidR="00D07346">
              <w:rPr>
                <w:rFonts w:eastAsiaTheme="minorHAnsi"/>
                <w:b/>
                <w:sz w:val="16"/>
                <w:szCs w:val="16"/>
                <w:lang w:val="en-US"/>
              </w:rPr>
              <w:fldChar w:fldCharType="separate"/>
            </w:r>
            <w:r w:rsidR="002747EA" w:rsidRPr="002747EA">
              <w:rPr>
                <w:rFonts w:eastAsiaTheme="minorHAnsi"/>
                <w:b/>
                <w:noProof/>
                <w:szCs w:val="16"/>
                <w:vertAlign w:val="superscript"/>
                <w:lang w:val="en-US"/>
              </w:rPr>
              <w:t>447</w:t>
            </w:r>
            <w:r w:rsidR="00D07346">
              <w:rPr>
                <w:rFonts w:eastAsiaTheme="minorHAnsi"/>
                <w:b/>
                <w:sz w:val="16"/>
                <w:szCs w:val="16"/>
                <w:lang w:val="en-US"/>
              </w:rPr>
              <w:fldChar w:fldCharType="end"/>
            </w:r>
          </w:p>
        </w:tc>
      </w:tr>
      <w:tr w:rsidR="008604A0" w:rsidRPr="00C12274" w14:paraId="52DA7173" w14:textId="77777777" w:rsidTr="008604A0">
        <w:trPr>
          <w:cantSplit/>
        </w:trPr>
        <w:tc>
          <w:tcPr>
            <w:tcW w:w="1560" w:type="dxa"/>
            <w:shd w:val="clear" w:color="D9E2F3" w:themeColor="accent1" w:themeTint="33" w:fill="auto"/>
          </w:tcPr>
          <w:p w14:paraId="48ADFBE9" w14:textId="77777777" w:rsidR="008604A0" w:rsidRPr="00C12274" w:rsidRDefault="008604A0" w:rsidP="008604A0">
            <w:pPr>
              <w:pStyle w:val="RCTstable"/>
              <w:keepNext/>
            </w:pPr>
            <w:r w:rsidRPr="00C12274">
              <w:t>Random sequence generation</w:t>
            </w:r>
          </w:p>
        </w:tc>
        <w:tc>
          <w:tcPr>
            <w:tcW w:w="1275" w:type="dxa"/>
            <w:shd w:val="clear" w:color="D9E2F3" w:themeColor="accent1" w:themeTint="33" w:fill="70AD47" w:themeFill="accent6"/>
          </w:tcPr>
          <w:p w14:paraId="55A5F355" w14:textId="77777777" w:rsidR="008604A0" w:rsidRPr="00C12274" w:rsidRDefault="008604A0" w:rsidP="008604A0">
            <w:pPr>
              <w:pStyle w:val="RCTstable"/>
              <w:keepNext/>
            </w:pPr>
            <w:r w:rsidRPr="00C12274">
              <w:t>Low risk</w:t>
            </w:r>
          </w:p>
        </w:tc>
        <w:tc>
          <w:tcPr>
            <w:tcW w:w="11199" w:type="dxa"/>
            <w:shd w:val="clear" w:color="D9E2F3" w:themeColor="accent1" w:themeTint="33" w:fill="auto"/>
          </w:tcPr>
          <w:p w14:paraId="5A74EDFA" w14:textId="17ED328C" w:rsidR="008604A0" w:rsidRPr="00EC7D54" w:rsidRDefault="00355DED" w:rsidP="0030223E">
            <w:pPr>
              <w:pStyle w:val="RCTstable"/>
            </w:pPr>
            <w:r w:rsidRPr="00355DED">
              <w:t>The sample was randomly assigned using a probabilistic</w:t>
            </w:r>
            <w:r>
              <w:t xml:space="preserve"> </w:t>
            </w:r>
            <w:r w:rsidRPr="00355DED">
              <w:t>technique without replacement. Each woman who met</w:t>
            </w:r>
            <w:r>
              <w:t xml:space="preserve"> </w:t>
            </w:r>
            <w:r w:rsidRPr="00355DED">
              <w:t>the inclusion criteria was given a numbered ticket by the</w:t>
            </w:r>
            <w:r w:rsidR="00462A1D">
              <w:t xml:space="preserve"> </w:t>
            </w:r>
            <w:r w:rsidRPr="00355DED">
              <w:t xml:space="preserve">researcher responsible for recruitment. </w:t>
            </w:r>
          </w:p>
        </w:tc>
      </w:tr>
      <w:tr w:rsidR="008604A0" w:rsidRPr="00C12274" w14:paraId="381F0F0C" w14:textId="77777777" w:rsidTr="008604A0">
        <w:trPr>
          <w:cantSplit/>
          <w:trHeight w:val="766"/>
        </w:trPr>
        <w:tc>
          <w:tcPr>
            <w:tcW w:w="1560" w:type="dxa"/>
            <w:shd w:val="clear" w:color="D9E2F3" w:themeColor="accent1" w:themeTint="33" w:fill="auto"/>
          </w:tcPr>
          <w:p w14:paraId="213F3C9E" w14:textId="77777777" w:rsidR="008604A0" w:rsidRPr="00C12274" w:rsidRDefault="008604A0" w:rsidP="008604A0">
            <w:pPr>
              <w:pStyle w:val="RCTstable"/>
              <w:keepNext/>
            </w:pPr>
            <w:r w:rsidRPr="00C12274">
              <w:t xml:space="preserve">Allocation concealment </w:t>
            </w:r>
          </w:p>
        </w:tc>
        <w:tc>
          <w:tcPr>
            <w:tcW w:w="1275" w:type="dxa"/>
            <w:shd w:val="clear" w:color="D9E2F3" w:themeColor="accent1" w:themeTint="33" w:fill="70AD47" w:themeFill="accent6"/>
          </w:tcPr>
          <w:p w14:paraId="12054C33" w14:textId="362B5C89" w:rsidR="008604A0" w:rsidRPr="00C12274" w:rsidRDefault="00EC7D54" w:rsidP="008604A0">
            <w:pPr>
              <w:pStyle w:val="RCTstable"/>
              <w:keepNext/>
            </w:pPr>
            <w:r>
              <w:t>Low</w:t>
            </w:r>
            <w:r w:rsidR="008604A0" w:rsidRPr="00C12274">
              <w:t xml:space="preserve"> risk</w:t>
            </w:r>
          </w:p>
        </w:tc>
        <w:tc>
          <w:tcPr>
            <w:tcW w:w="11199" w:type="dxa"/>
            <w:shd w:val="clear" w:color="D9E2F3" w:themeColor="accent1" w:themeTint="33" w:fill="auto"/>
          </w:tcPr>
          <w:p w14:paraId="7048E8FC" w14:textId="78001A14" w:rsidR="008604A0" w:rsidRPr="00C12274" w:rsidRDefault="00462A1D" w:rsidP="0030223E">
            <w:pPr>
              <w:pStyle w:val="RCTstable"/>
            </w:pPr>
            <w:r w:rsidRPr="00355DED">
              <w:t>The numbers</w:t>
            </w:r>
            <w:r>
              <w:t xml:space="preserve"> </w:t>
            </w:r>
            <w:r w:rsidRPr="00355DED">
              <w:t>assigned were placed inside an urn, from which the principal</w:t>
            </w:r>
            <w:r>
              <w:t xml:space="preserve"> </w:t>
            </w:r>
            <w:r w:rsidRPr="00355DED">
              <w:t>investigator of the clinical trial extracted the first 70</w:t>
            </w:r>
            <w:r>
              <w:t xml:space="preserve"> </w:t>
            </w:r>
            <w:r w:rsidRPr="00355DED">
              <w:t xml:space="preserve">numbers, which were assigned to the </w:t>
            </w:r>
            <w:r w:rsidR="006309EA">
              <w:t>interven</w:t>
            </w:r>
            <w:r>
              <w:t>tion group</w:t>
            </w:r>
            <w:r w:rsidRPr="00355DED">
              <w:t>. The next 70</w:t>
            </w:r>
            <w:r>
              <w:t xml:space="preserve"> </w:t>
            </w:r>
            <w:r w:rsidRPr="00355DED">
              <w:t xml:space="preserve">numbers were assigned to the </w:t>
            </w:r>
            <w:r>
              <w:t>control group</w:t>
            </w:r>
            <w:r w:rsidRPr="00355DED">
              <w:t>.</w:t>
            </w:r>
          </w:p>
        </w:tc>
      </w:tr>
      <w:tr w:rsidR="008604A0" w:rsidRPr="00C12274" w14:paraId="6E587AE2" w14:textId="77777777" w:rsidTr="008604A0">
        <w:trPr>
          <w:cantSplit/>
        </w:trPr>
        <w:tc>
          <w:tcPr>
            <w:tcW w:w="1560" w:type="dxa"/>
            <w:shd w:val="clear" w:color="D9E2F3" w:themeColor="accent1" w:themeTint="33" w:fill="auto"/>
          </w:tcPr>
          <w:p w14:paraId="1A9110CF" w14:textId="77777777" w:rsidR="008604A0" w:rsidRPr="00C12274" w:rsidRDefault="008604A0" w:rsidP="008604A0">
            <w:pPr>
              <w:pStyle w:val="RCTstable"/>
              <w:keepNext/>
            </w:pPr>
            <w:r>
              <w:t>Performance bias</w:t>
            </w:r>
          </w:p>
        </w:tc>
        <w:tc>
          <w:tcPr>
            <w:tcW w:w="1275" w:type="dxa"/>
            <w:shd w:val="clear" w:color="D9E2F3" w:themeColor="accent1" w:themeTint="33" w:fill="FF4D19"/>
          </w:tcPr>
          <w:p w14:paraId="4A3E99AF" w14:textId="77777777" w:rsidR="008604A0" w:rsidRPr="00C12274" w:rsidRDefault="008604A0" w:rsidP="008604A0">
            <w:pPr>
              <w:pStyle w:val="RCTstable"/>
              <w:keepNext/>
            </w:pPr>
            <w:r>
              <w:t>High</w:t>
            </w:r>
            <w:r w:rsidRPr="00C12274">
              <w:t xml:space="preserve"> risk</w:t>
            </w:r>
          </w:p>
        </w:tc>
        <w:tc>
          <w:tcPr>
            <w:tcW w:w="11199" w:type="dxa"/>
            <w:shd w:val="clear" w:color="D9E2F3" w:themeColor="accent1" w:themeTint="33" w:fill="auto"/>
          </w:tcPr>
          <w:p w14:paraId="5E9AA929" w14:textId="7CEA7AD7" w:rsidR="008604A0" w:rsidRPr="00C12274" w:rsidRDefault="00462A1D" w:rsidP="008604A0">
            <w:pPr>
              <w:pStyle w:val="RCTstable"/>
              <w:keepNext/>
            </w:pPr>
            <w:r>
              <w:t>Open label.</w:t>
            </w:r>
          </w:p>
        </w:tc>
      </w:tr>
      <w:tr w:rsidR="008604A0" w:rsidRPr="00822EBF" w14:paraId="2A88BE3E" w14:textId="77777777" w:rsidTr="008604A0">
        <w:trPr>
          <w:cantSplit/>
        </w:trPr>
        <w:tc>
          <w:tcPr>
            <w:tcW w:w="1560" w:type="dxa"/>
            <w:shd w:val="clear" w:color="D9E2F3" w:themeColor="accent1" w:themeTint="33" w:fill="auto"/>
          </w:tcPr>
          <w:p w14:paraId="536F2D02" w14:textId="77777777" w:rsidR="008604A0" w:rsidRPr="00822EBF" w:rsidRDefault="008604A0" w:rsidP="008604A0">
            <w:pPr>
              <w:pStyle w:val="RCTstable"/>
              <w:keepNext/>
            </w:pPr>
            <w:r w:rsidRPr="00822EBF">
              <w:t>Detection bias</w:t>
            </w:r>
          </w:p>
        </w:tc>
        <w:tc>
          <w:tcPr>
            <w:tcW w:w="1275" w:type="dxa"/>
            <w:shd w:val="clear" w:color="D9E2F3" w:themeColor="accent1" w:themeTint="33" w:fill="FFC000" w:themeFill="accent4"/>
          </w:tcPr>
          <w:p w14:paraId="6B1E77C5" w14:textId="66CB2CD4" w:rsidR="008604A0" w:rsidRPr="00822EBF" w:rsidRDefault="00462A1D" w:rsidP="008604A0">
            <w:pPr>
              <w:pStyle w:val="RCTstable"/>
              <w:keepNext/>
            </w:pPr>
            <w:r>
              <w:t>High</w:t>
            </w:r>
            <w:r w:rsidR="008604A0" w:rsidRPr="00822EBF">
              <w:t xml:space="preserve"> risk</w:t>
            </w:r>
          </w:p>
        </w:tc>
        <w:tc>
          <w:tcPr>
            <w:tcW w:w="11199" w:type="dxa"/>
            <w:shd w:val="clear" w:color="D9E2F3" w:themeColor="accent1" w:themeTint="33" w:fill="auto"/>
          </w:tcPr>
          <w:p w14:paraId="0AE5BCCD" w14:textId="75A75018" w:rsidR="008604A0" w:rsidRPr="00822EBF" w:rsidRDefault="00462A1D" w:rsidP="008604A0">
            <w:pPr>
              <w:pStyle w:val="RCTstable"/>
              <w:keepNext/>
            </w:pPr>
            <w:r>
              <w:t>Open label.</w:t>
            </w:r>
          </w:p>
        </w:tc>
      </w:tr>
      <w:tr w:rsidR="008604A0" w:rsidRPr="00C12274" w14:paraId="489BEC14" w14:textId="77777777" w:rsidTr="008604A0">
        <w:trPr>
          <w:cantSplit/>
        </w:trPr>
        <w:tc>
          <w:tcPr>
            <w:tcW w:w="1560" w:type="dxa"/>
            <w:shd w:val="clear" w:color="D9E2F3" w:themeColor="accent1" w:themeTint="33" w:fill="auto"/>
          </w:tcPr>
          <w:p w14:paraId="5AF72C16" w14:textId="77777777" w:rsidR="008604A0" w:rsidRPr="00C12274" w:rsidRDefault="008604A0" w:rsidP="008604A0">
            <w:pPr>
              <w:pStyle w:val="RCTstable"/>
              <w:keepNext/>
            </w:pPr>
            <w:r w:rsidRPr="00C12274">
              <w:t>Incomplete outcome data</w:t>
            </w:r>
          </w:p>
        </w:tc>
        <w:tc>
          <w:tcPr>
            <w:tcW w:w="1275" w:type="dxa"/>
            <w:shd w:val="clear" w:color="D9E2F3" w:themeColor="accent1" w:themeTint="33" w:fill="FF4D19"/>
          </w:tcPr>
          <w:p w14:paraId="5763207B" w14:textId="1637D2A9" w:rsidR="008604A0" w:rsidRPr="00C12274" w:rsidRDefault="00EC7D54" w:rsidP="008604A0">
            <w:pPr>
              <w:pStyle w:val="RCTstable"/>
              <w:keepNext/>
            </w:pPr>
            <w:r>
              <w:t>Low</w:t>
            </w:r>
            <w:r w:rsidR="008604A0" w:rsidRPr="00C12274">
              <w:t xml:space="preserve"> risk</w:t>
            </w:r>
          </w:p>
        </w:tc>
        <w:tc>
          <w:tcPr>
            <w:tcW w:w="11199" w:type="dxa"/>
            <w:shd w:val="clear" w:color="D9E2F3" w:themeColor="accent1" w:themeTint="33" w:fill="auto"/>
          </w:tcPr>
          <w:p w14:paraId="10E1FC62" w14:textId="3F65A5ED" w:rsidR="008604A0" w:rsidRPr="0030223E" w:rsidRDefault="00B41A5D" w:rsidP="0030223E">
            <w:pPr>
              <w:pStyle w:val="RCTstable"/>
            </w:pPr>
            <w:r w:rsidRPr="00B41A5D">
              <w:t>After the delivery, six women in the</w:t>
            </w:r>
            <w:r w:rsidR="003A00FD">
              <w:t xml:space="preserve"> </w:t>
            </w:r>
            <w:r w:rsidRPr="00B41A5D">
              <w:t>control group (CG) and five in the exercise group (EG)could not be contacted to complete the Edinburgh</w:t>
            </w:r>
            <w:r w:rsidR="003A00FD">
              <w:t xml:space="preserve"> </w:t>
            </w:r>
            <w:r w:rsidRPr="00B41A5D">
              <w:t>Postnatal Depression Scale (EPDS) questionnaire. Thus,</w:t>
            </w:r>
            <w:r>
              <w:t xml:space="preserve"> </w:t>
            </w:r>
            <w:r w:rsidRPr="00B41A5D">
              <w:t>the final study sample was composed of 65 women in the</w:t>
            </w:r>
            <w:r w:rsidR="003A00FD">
              <w:t xml:space="preserve"> </w:t>
            </w:r>
            <w:r w:rsidRPr="00B41A5D">
              <w:t>EG and 64 in the CG, all aged between 21 and 43 years.</w:t>
            </w:r>
          </w:p>
        </w:tc>
      </w:tr>
      <w:tr w:rsidR="008604A0" w:rsidRPr="00C12274" w14:paraId="6831E344" w14:textId="77777777" w:rsidTr="008604A0">
        <w:trPr>
          <w:cantSplit/>
        </w:trPr>
        <w:tc>
          <w:tcPr>
            <w:tcW w:w="1560" w:type="dxa"/>
            <w:shd w:val="clear" w:color="D9E2F3" w:themeColor="accent1" w:themeTint="33" w:fill="auto"/>
          </w:tcPr>
          <w:p w14:paraId="20BCA91D" w14:textId="77777777" w:rsidR="008604A0" w:rsidRPr="00C12274" w:rsidRDefault="008604A0" w:rsidP="008604A0">
            <w:pPr>
              <w:pStyle w:val="RCTstable"/>
            </w:pPr>
            <w:r w:rsidRPr="00C12274">
              <w:t>Selective reporting</w:t>
            </w:r>
          </w:p>
        </w:tc>
        <w:tc>
          <w:tcPr>
            <w:tcW w:w="1275" w:type="dxa"/>
            <w:shd w:val="clear" w:color="D9E2F3" w:themeColor="accent1" w:themeTint="33" w:fill="70AD47" w:themeFill="accent6"/>
          </w:tcPr>
          <w:p w14:paraId="00B07BF4" w14:textId="77777777" w:rsidR="008604A0" w:rsidRPr="00C12274" w:rsidRDefault="008604A0" w:rsidP="008604A0">
            <w:pPr>
              <w:pStyle w:val="RCTstable"/>
            </w:pPr>
            <w:r w:rsidRPr="00C12274">
              <w:t>Low risk</w:t>
            </w:r>
          </w:p>
        </w:tc>
        <w:tc>
          <w:tcPr>
            <w:tcW w:w="11199" w:type="dxa"/>
            <w:shd w:val="clear" w:color="D9E2F3" w:themeColor="accent1" w:themeTint="33" w:fill="auto"/>
          </w:tcPr>
          <w:p w14:paraId="0D8FFEE2" w14:textId="77777777" w:rsidR="008604A0" w:rsidRPr="00C12274" w:rsidRDefault="008604A0" w:rsidP="008604A0">
            <w:pPr>
              <w:pStyle w:val="RCTstable"/>
            </w:pPr>
            <w:r w:rsidRPr="00C12274">
              <w:t>Pre-specified outcomes reported.</w:t>
            </w:r>
          </w:p>
        </w:tc>
      </w:tr>
      <w:tr w:rsidR="008604A0" w:rsidRPr="00C12274" w14:paraId="6863FA44" w14:textId="77777777" w:rsidTr="008604A0">
        <w:trPr>
          <w:cantSplit/>
        </w:trPr>
        <w:tc>
          <w:tcPr>
            <w:tcW w:w="1560" w:type="dxa"/>
            <w:shd w:val="clear" w:color="D9E2F3" w:themeColor="accent1" w:themeTint="33" w:fill="auto"/>
          </w:tcPr>
          <w:p w14:paraId="5CE891C3" w14:textId="77777777" w:rsidR="008604A0" w:rsidRPr="00C12274" w:rsidRDefault="008604A0" w:rsidP="008604A0">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612CD721" w14:textId="77777777" w:rsidR="008604A0" w:rsidRPr="00C12274" w:rsidRDefault="008604A0" w:rsidP="008604A0">
            <w:pPr>
              <w:pStyle w:val="RCTstable"/>
              <w:rPr>
                <w:lang w:val="en-US"/>
              </w:rPr>
            </w:pPr>
            <w:r w:rsidRPr="00C12274">
              <w:rPr>
                <w:lang w:val="en-US"/>
              </w:rPr>
              <w:t>Low risk</w:t>
            </w:r>
          </w:p>
        </w:tc>
        <w:tc>
          <w:tcPr>
            <w:tcW w:w="11199" w:type="dxa"/>
            <w:shd w:val="clear" w:color="D9E2F3" w:themeColor="accent1" w:themeTint="33" w:fill="auto"/>
          </w:tcPr>
          <w:p w14:paraId="1045FF68" w14:textId="77777777" w:rsidR="008604A0" w:rsidRPr="00C12274" w:rsidRDefault="008604A0" w:rsidP="008604A0">
            <w:pPr>
              <w:pStyle w:val="RCTstable"/>
              <w:rPr>
                <w:lang w:val="en-US"/>
              </w:rPr>
            </w:pPr>
            <w:r w:rsidRPr="00C12274">
              <w:rPr>
                <w:lang w:val="en-US"/>
              </w:rPr>
              <w:t>No significant differences between baseline characteristics of groups</w:t>
            </w:r>
          </w:p>
        </w:tc>
      </w:tr>
      <w:tr w:rsidR="008E765F" w:rsidRPr="006234EA" w14:paraId="3B039606" w14:textId="77777777" w:rsidTr="00BC7AEC">
        <w:trPr>
          <w:cantSplit/>
        </w:trPr>
        <w:tc>
          <w:tcPr>
            <w:tcW w:w="14034" w:type="dxa"/>
            <w:gridSpan w:val="3"/>
            <w:shd w:val="solid" w:color="D9E2F3" w:themeColor="accent1" w:themeTint="33" w:fill="auto"/>
          </w:tcPr>
          <w:p w14:paraId="1264AB12" w14:textId="030B529A" w:rsidR="008E765F" w:rsidRPr="00470354" w:rsidRDefault="008E765F" w:rsidP="002747EA">
            <w:pPr>
              <w:pStyle w:val="Tablecell"/>
              <w:keepNext/>
              <w:spacing w:line="220" w:lineRule="exact"/>
              <w:rPr>
                <w:rFonts w:eastAsiaTheme="minorHAnsi"/>
                <w:b/>
                <w:sz w:val="16"/>
                <w:szCs w:val="16"/>
                <w:lang w:val="en-US"/>
              </w:rPr>
            </w:pPr>
            <w:r w:rsidRPr="006234EA">
              <w:rPr>
                <w:b/>
                <w:noProof/>
                <w:sz w:val="16"/>
                <w:szCs w:val="16"/>
              </w:rPr>
              <w:t>Bacchi et al 2018</w:t>
            </w:r>
            <w:r w:rsidRPr="00470354">
              <w:rPr>
                <w:noProof/>
                <w:sz w:val="16"/>
                <w:szCs w:val="16"/>
              </w:rPr>
              <w:fldChar w:fldCharType="begin">
                <w:fldData xml:space="preserve">PEVuZE5vdGU+PENpdGU+PEF1dGhvcj5CYWNjaGk8L0F1dGhvcj48WWVhcj4yMDE4PC9ZZWFyPjxS
ZWNOdW0+NzEwPC9SZWNOdW0+PERpc3BsYXlUZXh0PjxzdHlsZSBmYWNlPSJzdXBlcnNjcmlwdCIg
Zm9udD0iVHJlYnVjaGV0IE1TIiBzaXplPSI5Ij40MjU8L3N0eWxlPjwvRGlzcGxheVRleHQ+PHJl
Y29yZD48cmVjLW51bWJlcj43MTA8L3JlYy1udW1iZXI+PGZvcmVpZ24ta2V5cz48a2V5IGFwcD0i
RU4iIGRiLWlkPSJleHZhc3JmeDJkdHJhb2VzYXN4cDJzenN4YTJkZjUwMjU5MngiIHRpbWVzdGFt
cD0iMTU0MTQ2MjI0NiI+NzEwPC9rZXk+PC9mb3JlaWduLWtleXM+PHJlZi10eXBlIG5hbWU9Ikpv
dXJuYWwgQXJ0aWNsZSI+MTc8L3JlZi10eXBlPjxjb250cmlidXRvcnM+PGF1dGhvcnM+PGF1dGhv
cj5CYWNjaGksIE0uPC9hdXRob3I+PGF1dGhvcj5Nb3R0b2xhLCBNLiBGLjwvYXV0aG9yPjxhdXRo
b3I+UGVyYWxlcywgTS48L2F1dGhvcj48YXV0aG9yPlJlZm95bywgSS48L2F1dGhvcj48YXV0aG9y
PkJhcmFrYXQsIFIuPC9hdXRob3I+PC9hdXRob3JzPjwvY29udHJpYnV0b3JzPjxhdXRoLWFkZHJl
c3M+MSBGYWN1bHR5IG9mIFBoeXNpY2FsIEFjdGl2aXR5IGFuZCBTcG9ydCwgRmxvcmVzIFVuaXZl
cnNpdHksIEFyZ2VudGluZS4mI3hEOzIgUi4gU2FtdWVsIE1jTGF1Z2hsaW4gRm91bmRhdGlvbi1F
eGVyY2lzZSAmYW1wOyBQcmVnbmFuY3kgTGFib3JhdG9yeSwgU2Nob29sIG9mIEtpbmVzaW9sb2d5
LCBGYWN1bHR5IG9mIEhlYWx0aCBTY2llbmNlcywgVW5pdmVyc2l0eSBvZiBXZXN0ZXJuIE9udGFy
aW8sIExvbmRvbiwgQ2FuYWRhLiYjeEQ7MyBEZXBhcnRtZW50IG9mIEFuYXRvbXkgJmFtcDsgQ2Vs
bCBCaW9sb2d5LCBTY2h1bGljaCBTY2hvb2wgb2YgTWVkaWNpbmUgJmFtcDsgRGVudGlzdHJ5LCBD
aGlsZHJlbiZhcG9zO3MgSGVhbHRoIFJlc2VhcmNoIEluc3RpdHV0ZSwgVW5pdmVyc2l0eSBvZiBX
ZXN0ZXJuIE9udGFyaW8sIExvbmRvbiwgQ2FuYWRhLiYjeEQ7NCBSZXNlYXJjaCBJbnN0aXR1dGUg
b2YgSG9zcGl0YWwgMTIgZGUgT2N0dWJyZSAoJnF1b3Q7aSsxMiZxdW90OyksIE1hZHJpZCwgU3Bh
aW4uJiN4RDs1IENhbWlsbyBKb3NlIENlbGEgVW5pdmVyc2l0eSwgTWFkcmlkLCBTcGFpbi4mI3hE
OzYgQUZJUEUgUmVzZWFyY2ggR3JvdXAsIFRlY2huaWNhbCBVbml2ZXJzaXR5IG9mIE1hZHJpZCwg
U3BhaW4uPC9hdXRoLWFkZHJlc3M+PHRpdGxlcz48dGl0bGU+QXF1YXRpYyBBY3Rpdml0aWVzIER1
cmluZyBQcmVnbmFuY3kgUHJldmVudCBFeGNlc3NpdmUgTWF0ZXJuYWwgV2VpZ2h0IEdhaW4gYW5k
IFByZXNlcnZlIEJpcnRoIFdlaWdodDogQSBSYW5kb21pemVkIENsaW5pY2FsIFRyaWFsPC90aXRs
ZT48c2Vjb25kYXJ5LXRpdGxlPkFtIEogSGVhbHRoIFByb21vdDwvc2Vjb25kYXJ5LXRpdGxlPjwv
dGl0bGVzPjxwZXJpb2RpY2FsPjxmdWxsLXRpdGxlPkFtIEogSGVhbHRoIFByb21vdDwvZnVsbC10
aXRsZT48L3BlcmlvZGljYWw+PHBhZ2VzPjcyOS03MzU8L3BhZ2VzPjx2b2x1bWU+MzI8L3ZvbHVt
ZT48bnVtYmVyPjM8L251bWJlcj48ZWRpdGlvbj4yMDE3LzAzLzExPC9lZGl0aW9uPjxrZXl3b3Jk
cz48a2V5d29yZD5hcXVhdGljIGV4ZXJjaXNlPC9rZXl3b3JkPjxrZXl3b3JkPmJpcnRoIHdlaWdo
dDwva2V5d29yZD48a2V5d29yZD5tYXRlcm5hbCB3ZWlnaHQgZ2Fpbjwva2V5d29yZD48a2V5d29y
ZD5wcmVnbmFuY3k8L2tleXdvcmQ+PC9rZXl3b3Jkcz48ZGF0ZXM+PHllYXI+MjAxODwveWVhcj48
cHViLWRhdGVzPjxkYXRlPk1hcjwvZGF0ZT48L3B1Yi1kYXRlcz48L2RhdGVzPjxpc2JuPjIxNjgt
NjYwMiAoRWxlY3Ryb25pYykmI3hEOzA4OTAtMTE3MSAoTGlua2luZyk8L2lzYm4+PGFjY2Vzc2lv
bi1udW0+MjgyNzkwODU8L2FjY2Vzc2lvbi1udW0+PHVybHM+PHJlbGF0ZWQtdXJscz48dXJsPmh0
dHBzOi8vd3d3Lm5jYmkubmxtLm5paC5nb3YvcHVibWVkLzI4Mjc5MDg1PC91cmw+PC9yZWxhdGVk
LXVybHM+PC91cmxzPjxlbGVjdHJvbmljLXJlc291cmNlLW51bT4xMC4xMTc3LzA4OTAxMTcxMTc2
OTc1MjA8L2VsZWN0cm9uaWMtcmVzb3VyY2UtbnVtPjwvcmVjb3JkPjwvQ2l0ZT48L0VuZE5vdGU+
AG==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PEVuZE5vdGU+PENpdGU+PEF1dGhvcj5CYWNjaGk8L0F1dGhvcj48WWVhcj4yMDE4PC9ZZWFyPjxS
ZWNOdW0+NzEwPC9SZWNOdW0+PERpc3BsYXlUZXh0PjxzdHlsZSBmYWNlPSJzdXBlcnNjcmlwdCIg
Zm9udD0iVHJlYnVjaGV0IE1TIiBzaXplPSI5Ij40MjU8L3N0eWxlPjwvRGlzcGxheVRleHQ+PHJl
Y29yZD48cmVjLW51bWJlcj43MTA8L3JlYy1udW1iZXI+PGZvcmVpZ24ta2V5cz48a2V5IGFwcD0i
RU4iIGRiLWlkPSJleHZhc3JmeDJkdHJhb2VzYXN4cDJzenN4YTJkZjUwMjU5MngiIHRpbWVzdGFt
cD0iMTU0MTQ2MjI0NiI+NzEwPC9rZXk+PC9mb3JlaWduLWtleXM+PHJlZi10eXBlIG5hbWU9Ikpv
dXJuYWwgQXJ0aWNsZSI+MTc8L3JlZi10eXBlPjxjb250cmlidXRvcnM+PGF1dGhvcnM+PGF1dGhv
cj5CYWNjaGksIE0uPC9hdXRob3I+PGF1dGhvcj5Nb3R0b2xhLCBNLiBGLjwvYXV0aG9yPjxhdXRo
b3I+UGVyYWxlcywgTS48L2F1dGhvcj48YXV0aG9yPlJlZm95bywgSS48L2F1dGhvcj48YXV0aG9y
PkJhcmFrYXQsIFIuPC9hdXRob3I+PC9hdXRob3JzPjwvY29udHJpYnV0b3JzPjxhdXRoLWFkZHJl
c3M+MSBGYWN1bHR5IG9mIFBoeXNpY2FsIEFjdGl2aXR5IGFuZCBTcG9ydCwgRmxvcmVzIFVuaXZl
cnNpdHksIEFyZ2VudGluZS4mI3hEOzIgUi4gU2FtdWVsIE1jTGF1Z2hsaW4gRm91bmRhdGlvbi1F
eGVyY2lzZSAmYW1wOyBQcmVnbmFuY3kgTGFib3JhdG9yeSwgU2Nob29sIG9mIEtpbmVzaW9sb2d5
LCBGYWN1bHR5IG9mIEhlYWx0aCBTY2llbmNlcywgVW5pdmVyc2l0eSBvZiBXZXN0ZXJuIE9udGFy
aW8sIExvbmRvbiwgQ2FuYWRhLiYjeEQ7MyBEZXBhcnRtZW50IG9mIEFuYXRvbXkgJmFtcDsgQ2Vs
bCBCaW9sb2d5LCBTY2h1bGljaCBTY2hvb2wgb2YgTWVkaWNpbmUgJmFtcDsgRGVudGlzdHJ5LCBD
aGlsZHJlbiZhcG9zO3MgSGVhbHRoIFJlc2VhcmNoIEluc3RpdHV0ZSwgVW5pdmVyc2l0eSBvZiBX
ZXN0ZXJuIE9udGFyaW8sIExvbmRvbiwgQ2FuYWRhLiYjeEQ7NCBSZXNlYXJjaCBJbnN0aXR1dGUg
b2YgSG9zcGl0YWwgMTIgZGUgT2N0dWJyZSAoJnF1b3Q7aSsxMiZxdW90OyksIE1hZHJpZCwgU3Bh
aW4uJiN4RDs1IENhbWlsbyBKb3NlIENlbGEgVW5pdmVyc2l0eSwgTWFkcmlkLCBTcGFpbi4mI3hE
OzYgQUZJUEUgUmVzZWFyY2ggR3JvdXAsIFRlY2huaWNhbCBVbml2ZXJzaXR5IG9mIE1hZHJpZCwg
U3BhaW4uPC9hdXRoLWFkZHJlc3M+PHRpdGxlcz48dGl0bGU+QXF1YXRpYyBBY3Rpdml0aWVzIER1
cmluZyBQcmVnbmFuY3kgUHJldmVudCBFeGNlc3NpdmUgTWF0ZXJuYWwgV2VpZ2h0IEdhaW4gYW5k
IFByZXNlcnZlIEJpcnRoIFdlaWdodDogQSBSYW5kb21pemVkIENsaW5pY2FsIFRyaWFsPC90aXRs
ZT48c2Vjb25kYXJ5LXRpdGxlPkFtIEogSGVhbHRoIFByb21vdDwvc2Vjb25kYXJ5LXRpdGxlPjwv
dGl0bGVzPjxwZXJpb2RpY2FsPjxmdWxsLXRpdGxlPkFtIEogSGVhbHRoIFByb21vdDwvZnVsbC10
aXRsZT48L3BlcmlvZGljYWw+PHBhZ2VzPjcyOS03MzU8L3BhZ2VzPjx2b2x1bWU+MzI8L3ZvbHVt
ZT48bnVtYmVyPjM8L251bWJlcj48ZWRpdGlvbj4yMDE3LzAzLzExPC9lZGl0aW9uPjxrZXl3b3Jk
cz48a2V5d29yZD5hcXVhdGljIGV4ZXJjaXNlPC9rZXl3b3JkPjxrZXl3b3JkPmJpcnRoIHdlaWdo
dDwva2V5d29yZD48a2V5d29yZD5tYXRlcm5hbCB3ZWlnaHQgZ2Fpbjwva2V5d29yZD48a2V5d29y
ZD5wcmVnbmFuY3k8L2tleXdvcmQ+PC9rZXl3b3Jkcz48ZGF0ZXM+PHllYXI+MjAxODwveWVhcj48
cHViLWRhdGVzPjxkYXRlPk1hcjwvZGF0ZT48L3B1Yi1kYXRlcz48L2RhdGVzPjxpc2JuPjIxNjgt
NjYwMiAoRWxlY3Ryb25pYykmI3hEOzA4OTAtMTE3MSAoTGlua2luZyk8L2lzYm4+PGFjY2Vzc2lv
bi1udW0+MjgyNzkwODU8L2FjY2Vzc2lvbi1udW0+PHVybHM+PHJlbGF0ZWQtdXJscz48dXJsPmh0
dHBzOi8vd3d3Lm5jYmkubmxtLm5paC5nb3YvcHVibWVkLzI4Mjc5MDg1PC91cmw+PC9yZWxhdGVk
LXVybHM+PC91cmxzPjxlbGVjdHJvbmljLXJlc291cmNlLW51bT4xMC4xMTc3LzA4OTAxMTcxMTc2
OTc1MjA8L2VsZWN0cm9uaWMtcmVzb3VyY2UtbnVtPjwvcmVjb3JkPjwvQ2l0ZT48L0VuZE5vdGU+
AG==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sidRPr="00470354">
              <w:rPr>
                <w:noProof/>
                <w:sz w:val="16"/>
                <w:szCs w:val="16"/>
              </w:rPr>
            </w:r>
            <w:r w:rsidRPr="00470354">
              <w:rPr>
                <w:noProof/>
                <w:sz w:val="16"/>
                <w:szCs w:val="16"/>
              </w:rPr>
              <w:fldChar w:fldCharType="separate"/>
            </w:r>
            <w:r w:rsidR="002747EA" w:rsidRPr="002747EA">
              <w:rPr>
                <w:noProof/>
                <w:szCs w:val="16"/>
                <w:vertAlign w:val="superscript"/>
              </w:rPr>
              <w:t>425</w:t>
            </w:r>
            <w:r w:rsidRPr="00470354">
              <w:rPr>
                <w:noProof/>
                <w:sz w:val="16"/>
                <w:szCs w:val="16"/>
              </w:rPr>
              <w:fldChar w:fldCharType="end"/>
            </w:r>
          </w:p>
        </w:tc>
      </w:tr>
      <w:tr w:rsidR="008E765F" w:rsidRPr="00C12274" w14:paraId="1BD77BBA" w14:textId="77777777" w:rsidTr="00BC7AEC">
        <w:trPr>
          <w:cantSplit/>
        </w:trPr>
        <w:tc>
          <w:tcPr>
            <w:tcW w:w="1560" w:type="dxa"/>
            <w:shd w:val="clear" w:color="D9E2F3" w:themeColor="accent1" w:themeTint="33" w:fill="auto"/>
          </w:tcPr>
          <w:p w14:paraId="139F3EC5" w14:textId="77777777" w:rsidR="008E765F" w:rsidRPr="00C12274" w:rsidRDefault="008E765F" w:rsidP="00127E77">
            <w:pPr>
              <w:pStyle w:val="RCTstable"/>
              <w:keepNext/>
            </w:pPr>
            <w:r w:rsidRPr="00C12274">
              <w:t>Random sequence generation</w:t>
            </w:r>
          </w:p>
        </w:tc>
        <w:tc>
          <w:tcPr>
            <w:tcW w:w="1275" w:type="dxa"/>
            <w:shd w:val="clear" w:color="D9E2F3" w:themeColor="accent1" w:themeTint="33" w:fill="70AD47" w:themeFill="accent6"/>
          </w:tcPr>
          <w:p w14:paraId="5F37D632" w14:textId="77777777" w:rsidR="008E765F" w:rsidRPr="00C12274" w:rsidRDefault="008E765F" w:rsidP="00127E77">
            <w:pPr>
              <w:pStyle w:val="RCTstable"/>
              <w:keepNext/>
            </w:pPr>
            <w:r w:rsidRPr="00C12274">
              <w:t>Low risk</w:t>
            </w:r>
          </w:p>
        </w:tc>
        <w:tc>
          <w:tcPr>
            <w:tcW w:w="11199" w:type="dxa"/>
            <w:shd w:val="clear" w:color="D9E2F3" w:themeColor="accent1" w:themeTint="33" w:fill="auto"/>
          </w:tcPr>
          <w:p w14:paraId="7C2112B4" w14:textId="77777777" w:rsidR="008E765F" w:rsidRPr="00C12274" w:rsidRDefault="008E765F" w:rsidP="00127E77">
            <w:pPr>
              <w:pStyle w:val="RCTstable"/>
              <w:keepNext/>
            </w:pPr>
            <w:r w:rsidRPr="00C12274">
              <w:t xml:space="preserve">A computer-generated list of random numbers was used to allocate the participants into the 2 study groups (1:1 ratio) according to admission order and following the randomization list. To guarantee the concealment for the randomization procedure, each sequential number corresponded to a sealed opaque envelope containing information about the study group (exercise or control). </w:t>
            </w:r>
          </w:p>
        </w:tc>
      </w:tr>
      <w:tr w:rsidR="008E765F" w:rsidRPr="00C12274" w14:paraId="5ED93073" w14:textId="77777777" w:rsidTr="00BC7AEC">
        <w:trPr>
          <w:cantSplit/>
          <w:trHeight w:val="766"/>
        </w:trPr>
        <w:tc>
          <w:tcPr>
            <w:tcW w:w="1560" w:type="dxa"/>
            <w:shd w:val="clear" w:color="D9E2F3" w:themeColor="accent1" w:themeTint="33" w:fill="auto"/>
          </w:tcPr>
          <w:p w14:paraId="34B25D9F" w14:textId="77777777" w:rsidR="008E765F" w:rsidRPr="00C12274" w:rsidRDefault="008E765F" w:rsidP="00127E77">
            <w:pPr>
              <w:pStyle w:val="RCTstable"/>
              <w:keepNext/>
            </w:pPr>
            <w:r w:rsidRPr="00C12274">
              <w:t xml:space="preserve">Allocation concealment </w:t>
            </w:r>
          </w:p>
        </w:tc>
        <w:tc>
          <w:tcPr>
            <w:tcW w:w="1275" w:type="dxa"/>
            <w:shd w:val="clear" w:color="D9E2F3" w:themeColor="accent1" w:themeTint="33" w:fill="70AD47" w:themeFill="accent6"/>
          </w:tcPr>
          <w:p w14:paraId="39BE6871" w14:textId="77777777" w:rsidR="008E765F" w:rsidRPr="00C12274" w:rsidRDefault="008E765F" w:rsidP="00127E77">
            <w:pPr>
              <w:pStyle w:val="RCTstable"/>
              <w:keepNext/>
            </w:pPr>
            <w:r w:rsidRPr="00C12274">
              <w:t>Low risk</w:t>
            </w:r>
          </w:p>
        </w:tc>
        <w:tc>
          <w:tcPr>
            <w:tcW w:w="11199" w:type="dxa"/>
            <w:shd w:val="clear" w:color="D9E2F3" w:themeColor="accent1" w:themeTint="33" w:fill="auto"/>
          </w:tcPr>
          <w:p w14:paraId="58B97C0F" w14:textId="77777777" w:rsidR="008E765F" w:rsidRPr="00C12274" w:rsidRDefault="008E765F" w:rsidP="00127E77">
            <w:pPr>
              <w:pStyle w:val="RCTstable"/>
              <w:keepNext/>
            </w:pPr>
            <w:r w:rsidRPr="00C12274">
              <w:t>The treatment allocation system was set up so that the researcher who was in charge of randomly assigning participants to each group did not know in advance which treatment the next person would receive, a process termed “allocation concealment.” Allocation concealment prevents researchers from (unconsciously or otherwise) influencing which participants are assigned to a given intervention group.</w:t>
            </w:r>
          </w:p>
        </w:tc>
      </w:tr>
      <w:tr w:rsidR="008E765F" w:rsidRPr="00C12274" w14:paraId="0779E019" w14:textId="77777777" w:rsidTr="00BC7AEC">
        <w:trPr>
          <w:cantSplit/>
        </w:trPr>
        <w:tc>
          <w:tcPr>
            <w:tcW w:w="1560" w:type="dxa"/>
            <w:shd w:val="clear" w:color="D9E2F3" w:themeColor="accent1" w:themeTint="33" w:fill="auto"/>
          </w:tcPr>
          <w:p w14:paraId="4D24A649" w14:textId="44578048" w:rsidR="008E765F" w:rsidRPr="00C12274" w:rsidRDefault="00C465B5" w:rsidP="00127E77">
            <w:pPr>
              <w:pStyle w:val="RCTstable"/>
              <w:keepNext/>
            </w:pPr>
            <w:r>
              <w:t>Performance bias</w:t>
            </w:r>
          </w:p>
        </w:tc>
        <w:tc>
          <w:tcPr>
            <w:tcW w:w="1275" w:type="dxa"/>
            <w:shd w:val="clear" w:color="D9E2F3" w:themeColor="accent1" w:themeTint="33" w:fill="FF4D19"/>
          </w:tcPr>
          <w:p w14:paraId="120C17B0" w14:textId="08F60908" w:rsidR="008E765F" w:rsidRPr="00C12274" w:rsidRDefault="00823FC4" w:rsidP="00127E77">
            <w:pPr>
              <w:pStyle w:val="RCTstable"/>
              <w:keepNext/>
            </w:pPr>
            <w:r>
              <w:t>High</w:t>
            </w:r>
            <w:r w:rsidR="008E765F" w:rsidRPr="00C12274">
              <w:t xml:space="preserve"> risk</w:t>
            </w:r>
          </w:p>
        </w:tc>
        <w:tc>
          <w:tcPr>
            <w:tcW w:w="11199" w:type="dxa"/>
            <w:shd w:val="clear" w:color="D9E2F3" w:themeColor="accent1" w:themeTint="33" w:fill="auto"/>
          </w:tcPr>
          <w:p w14:paraId="74F57441" w14:textId="151752AF" w:rsidR="008E765F" w:rsidRPr="00C12274" w:rsidRDefault="008E765F" w:rsidP="00127E77">
            <w:pPr>
              <w:pStyle w:val="RCTstable"/>
              <w:keepNext/>
            </w:pPr>
            <w:r w:rsidRPr="00C12274">
              <w:t xml:space="preserve">Blinding of the study to the randomisation arm was impossible due to the characteristics of intervention program (physical exercise). </w:t>
            </w:r>
          </w:p>
        </w:tc>
      </w:tr>
      <w:tr w:rsidR="00823FC4" w:rsidRPr="00822EBF" w14:paraId="0B7F3A9D" w14:textId="77777777" w:rsidTr="00BC7AEC">
        <w:trPr>
          <w:cantSplit/>
        </w:trPr>
        <w:tc>
          <w:tcPr>
            <w:tcW w:w="1560" w:type="dxa"/>
            <w:shd w:val="clear" w:color="D9E2F3" w:themeColor="accent1" w:themeTint="33" w:fill="auto"/>
          </w:tcPr>
          <w:p w14:paraId="22DB4650" w14:textId="77777777" w:rsidR="00823FC4" w:rsidRPr="00822EBF" w:rsidRDefault="00823FC4" w:rsidP="00127E77">
            <w:pPr>
              <w:pStyle w:val="RCTstable"/>
              <w:keepNext/>
            </w:pPr>
            <w:r w:rsidRPr="00822EBF">
              <w:t>Detection bias</w:t>
            </w:r>
          </w:p>
        </w:tc>
        <w:tc>
          <w:tcPr>
            <w:tcW w:w="1275" w:type="dxa"/>
            <w:shd w:val="clear" w:color="D9E2F3" w:themeColor="accent1" w:themeTint="33" w:fill="FFC000" w:themeFill="accent4"/>
          </w:tcPr>
          <w:p w14:paraId="51253384" w14:textId="41BCC09B" w:rsidR="00823FC4" w:rsidRPr="00822EBF" w:rsidRDefault="00823FC4" w:rsidP="00127E77">
            <w:pPr>
              <w:pStyle w:val="RCTstable"/>
              <w:keepNext/>
            </w:pPr>
            <w:r>
              <w:t>Unclear</w:t>
            </w:r>
            <w:r w:rsidRPr="00822EBF">
              <w:t xml:space="preserve"> risk</w:t>
            </w:r>
          </w:p>
        </w:tc>
        <w:tc>
          <w:tcPr>
            <w:tcW w:w="11199" w:type="dxa"/>
            <w:shd w:val="clear" w:color="D9E2F3" w:themeColor="accent1" w:themeTint="33" w:fill="auto"/>
          </w:tcPr>
          <w:p w14:paraId="1B364199" w14:textId="35A74EF9" w:rsidR="00823FC4" w:rsidRPr="00822EBF" w:rsidRDefault="00823FC4" w:rsidP="00127E77">
            <w:pPr>
              <w:pStyle w:val="RCTstable"/>
              <w:keepNext/>
            </w:pPr>
            <w:r w:rsidRPr="00C12274">
              <w:t>No discussion of whether those assessing outcomes were blinded to allocation.</w:t>
            </w:r>
          </w:p>
        </w:tc>
      </w:tr>
      <w:tr w:rsidR="008E765F" w:rsidRPr="00C12274" w14:paraId="66DD67D6" w14:textId="77777777" w:rsidTr="00BC7AEC">
        <w:trPr>
          <w:cantSplit/>
        </w:trPr>
        <w:tc>
          <w:tcPr>
            <w:tcW w:w="1560" w:type="dxa"/>
            <w:shd w:val="clear" w:color="D9E2F3" w:themeColor="accent1" w:themeTint="33" w:fill="auto"/>
          </w:tcPr>
          <w:p w14:paraId="6996C392" w14:textId="77777777" w:rsidR="008E765F" w:rsidRPr="00C12274" w:rsidRDefault="008E765F" w:rsidP="00611251">
            <w:pPr>
              <w:pStyle w:val="RCTstable"/>
              <w:keepNext/>
            </w:pPr>
            <w:r w:rsidRPr="00C12274">
              <w:t>Incomplete outcome data</w:t>
            </w:r>
          </w:p>
        </w:tc>
        <w:tc>
          <w:tcPr>
            <w:tcW w:w="1275" w:type="dxa"/>
            <w:shd w:val="clear" w:color="D9E2F3" w:themeColor="accent1" w:themeTint="33" w:fill="FF4D19"/>
          </w:tcPr>
          <w:p w14:paraId="57D9A37C" w14:textId="77777777" w:rsidR="008E765F" w:rsidRPr="00C12274" w:rsidRDefault="008E765F" w:rsidP="00611251">
            <w:pPr>
              <w:pStyle w:val="RCTstable"/>
              <w:keepNext/>
            </w:pPr>
            <w:r w:rsidRPr="00C12274">
              <w:t>High risk</w:t>
            </w:r>
          </w:p>
        </w:tc>
        <w:tc>
          <w:tcPr>
            <w:tcW w:w="11199" w:type="dxa"/>
            <w:shd w:val="clear" w:color="D9E2F3" w:themeColor="accent1" w:themeTint="33" w:fill="auto"/>
          </w:tcPr>
          <w:p w14:paraId="5361B805" w14:textId="77777777" w:rsidR="008E765F" w:rsidRPr="00C12274" w:rsidRDefault="008E765F" w:rsidP="00611251">
            <w:pPr>
              <w:pStyle w:val="RCTstable"/>
              <w:keepNext/>
              <w:rPr>
                <w:lang w:val="en-US"/>
              </w:rPr>
            </w:pPr>
            <w:r w:rsidRPr="00C12274">
              <w:t xml:space="preserve">Unbalanced losses; 21 women (30%) in the EG were lost to follow up or excluded. A total of 8 (11%) participants in the CG were excluded from the study. </w:t>
            </w:r>
          </w:p>
        </w:tc>
      </w:tr>
      <w:tr w:rsidR="008E765F" w:rsidRPr="00C12274" w14:paraId="188A7B85" w14:textId="77777777" w:rsidTr="00BC7AEC">
        <w:trPr>
          <w:cantSplit/>
        </w:trPr>
        <w:tc>
          <w:tcPr>
            <w:tcW w:w="1560" w:type="dxa"/>
            <w:shd w:val="clear" w:color="D9E2F3" w:themeColor="accent1" w:themeTint="33" w:fill="auto"/>
          </w:tcPr>
          <w:p w14:paraId="56E57CA5" w14:textId="77777777" w:rsidR="008E765F" w:rsidRPr="00C12274" w:rsidRDefault="008E765F" w:rsidP="00611251">
            <w:pPr>
              <w:pStyle w:val="RCTstable"/>
            </w:pPr>
            <w:r w:rsidRPr="00C12274">
              <w:t>Selective reporting</w:t>
            </w:r>
          </w:p>
        </w:tc>
        <w:tc>
          <w:tcPr>
            <w:tcW w:w="1275" w:type="dxa"/>
            <w:shd w:val="clear" w:color="D9E2F3" w:themeColor="accent1" w:themeTint="33" w:fill="70AD47" w:themeFill="accent6"/>
          </w:tcPr>
          <w:p w14:paraId="3CEBA21B" w14:textId="77777777" w:rsidR="008E765F" w:rsidRPr="00C12274" w:rsidRDefault="008E765F" w:rsidP="00611251">
            <w:pPr>
              <w:pStyle w:val="RCTstable"/>
            </w:pPr>
            <w:r w:rsidRPr="00C12274">
              <w:t>Low risk</w:t>
            </w:r>
          </w:p>
        </w:tc>
        <w:tc>
          <w:tcPr>
            <w:tcW w:w="11199" w:type="dxa"/>
            <w:shd w:val="clear" w:color="D9E2F3" w:themeColor="accent1" w:themeTint="33" w:fill="auto"/>
          </w:tcPr>
          <w:p w14:paraId="36B6A952" w14:textId="77777777" w:rsidR="008E765F" w:rsidRPr="00C12274" w:rsidRDefault="008E765F" w:rsidP="00611251">
            <w:pPr>
              <w:pStyle w:val="RCTstable"/>
            </w:pPr>
            <w:r w:rsidRPr="00C12274">
              <w:t>Pre-specified outcomes reported.</w:t>
            </w:r>
          </w:p>
        </w:tc>
      </w:tr>
      <w:tr w:rsidR="008E765F" w:rsidRPr="00C12274" w14:paraId="5B136790" w14:textId="77777777" w:rsidTr="00BC7AEC">
        <w:trPr>
          <w:cantSplit/>
        </w:trPr>
        <w:tc>
          <w:tcPr>
            <w:tcW w:w="1560" w:type="dxa"/>
            <w:shd w:val="clear" w:color="D9E2F3" w:themeColor="accent1" w:themeTint="33" w:fill="auto"/>
          </w:tcPr>
          <w:p w14:paraId="13B150CC" w14:textId="77777777" w:rsidR="008E765F" w:rsidRPr="00C12274" w:rsidRDefault="008E765F" w:rsidP="00611251">
            <w:pPr>
              <w:pStyle w:val="RCTstable"/>
              <w:rPr>
                <w:lang w:val="en-US"/>
              </w:rPr>
            </w:pPr>
            <w:r w:rsidRPr="00C12274">
              <w:rPr>
                <w:lang w:val="en-US"/>
              </w:rPr>
              <w:t xml:space="preserve">Other limitations </w:t>
            </w:r>
          </w:p>
        </w:tc>
        <w:tc>
          <w:tcPr>
            <w:tcW w:w="1275" w:type="dxa"/>
            <w:shd w:val="clear" w:color="D9E2F3" w:themeColor="accent1" w:themeTint="33" w:fill="70AD47" w:themeFill="accent6"/>
          </w:tcPr>
          <w:p w14:paraId="14754D6C" w14:textId="77777777" w:rsidR="008E765F" w:rsidRPr="00C12274" w:rsidRDefault="008E765F" w:rsidP="00611251">
            <w:pPr>
              <w:pStyle w:val="RCTstable"/>
              <w:rPr>
                <w:lang w:val="en-US"/>
              </w:rPr>
            </w:pPr>
            <w:r w:rsidRPr="00C12274">
              <w:rPr>
                <w:lang w:val="en-US"/>
              </w:rPr>
              <w:t>Low risk</w:t>
            </w:r>
          </w:p>
        </w:tc>
        <w:tc>
          <w:tcPr>
            <w:tcW w:w="11199" w:type="dxa"/>
            <w:shd w:val="clear" w:color="D9E2F3" w:themeColor="accent1" w:themeTint="33" w:fill="auto"/>
          </w:tcPr>
          <w:p w14:paraId="7327DB42" w14:textId="77777777" w:rsidR="008E765F" w:rsidRPr="00C12274" w:rsidRDefault="008E765F" w:rsidP="00611251">
            <w:pPr>
              <w:pStyle w:val="RCTstable"/>
              <w:rPr>
                <w:lang w:val="en-US"/>
              </w:rPr>
            </w:pPr>
            <w:r w:rsidRPr="00C12274">
              <w:rPr>
                <w:lang w:val="en-US"/>
              </w:rPr>
              <w:t>No significant differences between baseline characteristics of groups</w:t>
            </w:r>
          </w:p>
        </w:tc>
      </w:tr>
      <w:tr w:rsidR="008E765F" w:rsidRPr="006234EA" w14:paraId="44D2D4F0" w14:textId="77777777" w:rsidTr="00BC7AEC">
        <w:trPr>
          <w:cantSplit/>
        </w:trPr>
        <w:tc>
          <w:tcPr>
            <w:tcW w:w="14034" w:type="dxa"/>
            <w:gridSpan w:val="3"/>
            <w:shd w:val="solid" w:color="D9E2F3" w:themeColor="accent1" w:themeTint="33" w:fill="auto"/>
          </w:tcPr>
          <w:p w14:paraId="1278F16E" w14:textId="7DC588CB" w:rsidR="008E765F" w:rsidRPr="00470354" w:rsidRDefault="008E765F" w:rsidP="002747EA">
            <w:pPr>
              <w:pStyle w:val="Tablecell"/>
              <w:keepNext/>
              <w:spacing w:line="220" w:lineRule="exact"/>
              <w:rPr>
                <w:rFonts w:eastAsiaTheme="minorHAnsi"/>
                <w:b/>
                <w:sz w:val="16"/>
                <w:szCs w:val="16"/>
                <w:lang w:val="en-US"/>
              </w:rPr>
            </w:pPr>
            <w:r w:rsidRPr="00470354">
              <w:rPr>
                <w:b/>
                <w:noProof/>
                <w:sz w:val="16"/>
                <w:szCs w:val="16"/>
              </w:rPr>
              <w:t>Baciuk et al 2008</w:t>
            </w:r>
            <w:r>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Zm9udD0iVHJlYnVjaGV0IE1TIiBzaXplPSI5Ij4yOTIsMzEyPC9zdHlsZT48L0Rpc3BsYXlUZXh0
PjxyZWNvcmQ+PHJlYy1udW1iZXI+Njc5PC9yZWMtbnVtYmVyPjxmb3JlaWduLWtleXM+PGtleSBh
cHA9IkVOIiBkYi1pZD0iZXh2YXNyZngyZHRyYW9lc2FzeHAyc3pzeGEyZGY1MDI1OTJ4IiB0aW1l
c3RhbXA9IjE1NDA1MjY4OTAiPjY3OTwva2V5PjwvZm9yZWlnbi1rZXlzPjxyZWYtdHlwZSBuYW1l
PSJKb3VybmFsIEFydGljbGUiPjE3PC9yZWYtdHlwZT48Y29udHJpYnV0b3JzPjxhdXRob3JzPjxh
dXRob3I+QmFjaXVrLCBFLiBQLjwvYXV0aG9yPjxhdXRob3I+UGVyZWlyYSwgUi4gSS48L2F1dGhv
cj48YXV0aG9yPkNlY2F0dGksIEouIEcuPC9hdXRob3I+PGF1dGhvcj5CcmFnYSwgQS4gRi48L2F1
dGhvcj48YXV0aG9yPkNhdmFsY2FudGUsIFMuIFIuPC9hdXRob3I+PC9hdXRob3JzPjwvY29udHJp
YnV0b3JzPjxhdXRoLWFkZHJlc3M+RGVwYXJ0bWVudCBvZiBPYnN0ZXRyaWNzIGFuZCBHeW5lY29s
b2d5LCBVbml2ZXJzaXR5IG9mIENhbXBpbmFzLCBTYW8gUGF1bG8sIEJyYXppbC4gZXJpY2F4YmFA
dGVycmEuY29tLmJyPC9hdXRoLWFkZHJlc3M+PHRpdGxlcz48dGl0bGU+V2F0ZXIgYWVyb2JpY3Mg
aW4gcHJlZ25hbmN5OiBDYXJkaW92YXNjdWxhciByZXNwb25zZSwgbGFib3IgYW5kIG5lb25hdGFs
IG91dGNvbWVzPC90aXRsZT48c2Vjb25kYXJ5LXRpdGxlPlJlcHJvZCBIZWFsdGg8L3NlY29uZGFy
eS10aXRsZT48L3RpdGxlcz48cGVyaW9kaWNhbD48ZnVsbC10aXRsZT5SZXByb2QgSGVhbHRoPC9m
dWxsLXRpdGxlPjwvcGVyaW9kaWNhbD48cGFnZXM+MTA8L3BhZ2VzPjx2b2x1bWU+NTwvdm9sdW1l
PjxlZGl0aW9uPjIwMDgvMTEvMjY8L2VkaXRpb24+PGRhdGVzPjx5ZWFyPjIwMDg8L3llYXI+PHB1
Yi1kYXRlcz48ZGF0ZT5Ob3YgMjE8L2RhdGU+PC9wdWItZGF0ZXM+PC9kYXRlcz48aXNibj4xNzQy
LTQ3NTUgKEVsZWN0cm9uaWMpJiN4RDsxNzQyLTQ3NTUgKExpbmtpbmcpPC9pc2JuPjxhY2Nlc3Np
b24tbnVtPjE5MDI1NTc5PC9hY2Nlc3Npb24tbnVtPjx1cmxzPjxyZWxhdGVkLXVybHM+PHVybD5o
dHRwczovL3d3dy5uY2JpLm5sbS5uaWguZ292L3B1Ym1lZC8xOTAyNTU3OTwvdXJsPjwvcmVsYXRl
ZC11cmxzPjwvdXJscz48Y3VzdG9tMj5QTUMyNjEzMTMxPC9jdXN0b20yPjxlbGVjdHJvbmljLXJl
c291cmNlLW51bT4xMC4xMTg2LzE3NDItNDc1NS01LTEwPC9lbGVjdHJvbmljLXJlc291cmNlLW51
bT48L3JlY29yZD48L0NpdGU+PENpdGU+PEF1dGhvcj5DYXZhbGNhbnRlPC9BdXRob3I+PFllYXI+
MjAwOTwvWWVhcj48UmVjTnVtPjYwNTwvUmVjTnVtPjxyZWNvcmQ+PHJlYy1udW1iZXI+NjA1PC9y
ZWMtbnVtYmVyPjxmb3JlaWduLWtleXM+PGtleSBhcHA9IkVOIiBkYi1pZD0iZXh2YXNyZngyZHRy
YW9lc2FzeHAyc3pzeGEyZGY1MDI1OTJ4IiB0aW1lc3RhbXA9IjE1MzkwNDgzMjIiPjYwNTwva2V5
PjxrZXkgYXBwPSJFTldlYiIgZGItaWQ9IiI+MDwva2V5PjwvZm9yZWlnbi1rZXlzPjxyZWYtdHlw
ZSBuYW1lPSJKb3VybmFsIEFydGljbGUiPjE3PC9yZWYtdHlwZT48Y29udHJpYnV0b3JzPjxhdXRo
b3JzPjxhdXRob3I+Q2F2YWxjYW50ZSwgUy4gUi48L2F1dGhvcj48YXV0aG9yPkNlY2F0dGksIEou
IEcuPC9hdXRob3I+PGF1dGhvcj5QZXJlaXJhLCBSLiBJLjwvYXV0aG9yPjxhdXRob3I+QmFjaXVr
LCBFLiBQLjwvYXV0aG9yPjxhdXRob3I+QmVybmFyZG8sIEEuIEwuPC9hdXRob3I+PGF1dGhvcj5T
aWx2ZWlyYSwgQy48L2F1dGhvcj48L2F1dGhvcnM+PC9jb250cmlidXRvcnM+PGF1dGgtYWRkcmVz
cz5EZXBhcnRtZW50IG9mIE9ic3RldHJpY3MgYW5kIEd5bmVjb2xvZ3ksIFVuaXZlcnNpdHkgb2Yg
Q2FtcGluYXMsIFNhbyBQYXVsbywgQnJhemlsLiBjY2NhdmFsY2FudGVAdGVycmEuY29tLmJyPC9h
dXRoLWFkZHJlc3M+PHRpdGxlcz48dGl0bGU+V2F0ZXIgYWVyb2JpY3MgSUk6IG1hdGVybmFsIGJv
ZHkgY29tcG9zaXRpb24gYW5kIHBlcmluYXRhbCBvdXRjb21lcyBhZnRlciBhIHByb2dyYW0gZm9y
IGxvdyByaXNrIHByZWduYW50IHdvbWVuPC90aXRsZT48c2Vjb25kYXJ5LXRpdGxlPlJlcHJvZCBI
ZWFsdGg8L3NlY29uZGFyeS10aXRsZT48L3RpdGxlcz48cGVyaW9kaWNhbD48ZnVsbC10aXRsZT5S
ZXByb2QgSGVhbHRoPC9mdWxsLXRpdGxlPjwvcGVyaW9kaWNhbD48cGFnZXM+MTwvcGFnZXM+PHZv
bHVtZT42PC92b2x1bWU+PGVkaXRpb24+MjAwOS8wMS8wODwvZWRpdGlvbj48ZGF0ZXM+PHllYXI+
MjAwOTwveWVhcj48cHViLWRhdGVzPjxkYXRlPkphbiA2PC9kYXRlPjwvcHViLWRhdGVzPjwvZGF0
ZXM+PGlzYm4+MTc0Mi00NzU1IChFbGVjdHJvbmljKSYjeEQ7MTc0Mi00NzU1IChMaW5raW5nKTwv
aXNibj48YWNjZXNzaW9uLW51bT4xOTEyNjIzOTwvYWNjZXNzaW9uLW51bT48dXJscz48cmVsYXRl
ZC11cmxzPjx1cmw+aHR0cHM6Ly93d3cubmNiaS5ubG0ubmloLmdvdi9wdWJtZWQvMTkxMjYyMzk8
L3VybD48L3JlbGF0ZWQtdXJscz48L3VybHM+PGN1c3RvbTI+UE1DMjYyODg3NTwvY3VzdG9tMj48
ZWxlY3Ryb25pYy1yZXNvdXJjZS1udW0+MTAuMTE4Ni8xNzQyLTQ3NTUtNi0xPC9lbGVjdHJvbmlj
LXJlc291cmNlLW51bT48L3JlY29yZD48L0NpdGU+PC9FbmROb3RlPn==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PEVuZE5vdGU+PENpdGU+PEF1dGhvcj5CYWNpdWs8L0F1dGhvcj48WWVhcj4yMDA4PC9ZZWFyPjxS
ZWNOdW0+Njc5PC9SZWNOdW0+PERpc3BsYXlUZXh0PjxzdHlsZSBmYWNlPSJzdXBlcnNjcmlwdCIg
Zm9udD0iVHJlYnVjaGV0IE1TIiBzaXplPSI5Ij4yOTIsMzEyPC9zdHlsZT48L0Rpc3BsYXlUZXh0
PjxyZWNvcmQ+PHJlYy1udW1iZXI+Njc5PC9yZWMtbnVtYmVyPjxmb3JlaWduLWtleXM+PGtleSBh
cHA9IkVOIiBkYi1pZD0iZXh2YXNyZngyZHRyYW9lc2FzeHAyc3pzeGEyZGY1MDI1OTJ4IiB0aW1l
c3RhbXA9IjE1NDA1MjY4OTAiPjY3OTwva2V5PjwvZm9yZWlnbi1rZXlzPjxyZWYtdHlwZSBuYW1l
PSJKb3VybmFsIEFydGljbGUiPjE3PC9yZWYtdHlwZT48Y29udHJpYnV0b3JzPjxhdXRob3JzPjxh
dXRob3I+QmFjaXVrLCBFLiBQLjwvYXV0aG9yPjxhdXRob3I+UGVyZWlyYSwgUi4gSS48L2F1dGhv
cj48YXV0aG9yPkNlY2F0dGksIEouIEcuPC9hdXRob3I+PGF1dGhvcj5CcmFnYSwgQS4gRi48L2F1
dGhvcj48YXV0aG9yPkNhdmFsY2FudGUsIFMuIFIuPC9hdXRob3I+PC9hdXRob3JzPjwvY29udHJp
YnV0b3JzPjxhdXRoLWFkZHJlc3M+RGVwYXJ0bWVudCBvZiBPYnN0ZXRyaWNzIGFuZCBHeW5lY29s
b2d5LCBVbml2ZXJzaXR5IG9mIENhbXBpbmFzLCBTYW8gUGF1bG8sIEJyYXppbC4gZXJpY2F4YmFA
dGVycmEuY29tLmJyPC9hdXRoLWFkZHJlc3M+PHRpdGxlcz48dGl0bGU+V2F0ZXIgYWVyb2JpY3Mg
aW4gcHJlZ25hbmN5OiBDYXJkaW92YXNjdWxhciByZXNwb25zZSwgbGFib3IgYW5kIG5lb25hdGFs
IG91dGNvbWVzPC90aXRsZT48c2Vjb25kYXJ5LXRpdGxlPlJlcHJvZCBIZWFsdGg8L3NlY29uZGFy
eS10aXRsZT48L3RpdGxlcz48cGVyaW9kaWNhbD48ZnVsbC10aXRsZT5SZXByb2QgSGVhbHRoPC9m
dWxsLXRpdGxlPjwvcGVyaW9kaWNhbD48cGFnZXM+MTA8L3BhZ2VzPjx2b2x1bWU+NTwvdm9sdW1l
PjxlZGl0aW9uPjIwMDgvMTEvMjY8L2VkaXRpb24+PGRhdGVzPjx5ZWFyPjIwMDg8L3llYXI+PHB1
Yi1kYXRlcz48ZGF0ZT5Ob3YgMjE8L2RhdGU+PC9wdWItZGF0ZXM+PC9kYXRlcz48aXNibj4xNzQy
LTQ3NTUgKEVsZWN0cm9uaWMpJiN4RDsxNzQyLTQ3NTUgKExpbmtpbmcpPC9pc2JuPjxhY2Nlc3Np
b24tbnVtPjE5MDI1NTc5PC9hY2Nlc3Npb24tbnVtPjx1cmxzPjxyZWxhdGVkLXVybHM+PHVybD5o
dHRwczovL3d3dy5uY2JpLm5sbS5uaWguZ292L3B1Ym1lZC8xOTAyNTU3OTwvdXJsPjwvcmVsYXRl
ZC11cmxzPjwvdXJscz48Y3VzdG9tMj5QTUMyNjEzMTMxPC9jdXN0b20yPjxlbGVjdHJvbmljLXJl
c291cmNlLW51bT4xMC4xMTg2LzE3NDItNDc1NS01LTEwPC9lbGVjdHJvbmljLXJlc291cmNlLW51
bT48L3JlY29yZD48L0NpdGU+PENpdGU+PEF1dGhvcj5DYXZhbGNhbnRlPC9BdXRob3I+PFllYXI+
MjAwOTwvWWVhcj48UmVjTnVtPjYwNTwvUmVjTnVtPjxyZWNvcmQ+PHJlYy1udW1iZXI+NjA1PC9y
ZWMtbnVtYmVyPjxmb3JlaWduLWtleXM+PGtleSBhcHA9IkVOIiBkYi1pZD0iZXh2YXNyZngyZHRy
YW9lc2FzeHAyc3pzeGEyZGY1MDI1OTJ4IiB0aW1lc3RhbXA9IjE1MzkwNDgzMjIiPjYwNTwva2V5
PjxrZXkgYXBwPSJFTldlYiIgZGItaWQ9IiI+MDwva2V5PjwvZm9yZWlnbi1rZXlzPjxyZWYtdHlw
ZSBuYW1lPSJKb3VybmFsIEFydGljbGUiPjE3PC9yZWYtdHlwZT48Y29udHJpYnV0b3JzPjxhdXRo
b3JzPjxhdXRob3I+Q2F2YWxjYW50ZSwgUy4gUi48L2F1dGhvcj48YXV0aG9yPkNlY2F0dGksIEou
IEcuPC9hdXRob3I+PGF1dGhvcj5QZXJlaXJhLCBSLiBJLjwvYXV0aG9yPjxhdXRob3I+QmFjaXVr
LCBFLiBQLjwvYXV0aG9yPjxhdXRob3I+QmVybmFyZG8sIEEuIEwuPC9hdXRob3I+PGF1dGhvcj5T
aWx2ZWlyYSwgQy48L2F1dGhvcj48L2F1dGhvcnM+PC9jb250cmlidXRvcnM+PGF1dGgtYWRkcmVz
cz5EZXBhcnRtZW50IG9mIE9ic3RldHJpY3MgYW5kIEd5bmVjb2xvZ3ksIFVuaXZlcnNpdHkgb2Yg
Q2FtcGluYXMsIFNhbyBQYXVsbywgQnJhemlsLiBjY2NhdmFsY2FudGVAdGVycmEuY29tLmJyPC9h
dXRoLWFkZHJlc3M+PHRpdGxlcz48dGl0bGU+V2F0ZXIgYWVyb2JpY3MgSUk6IG1hdGVybmFsIGJv
ZHkgY29tcG9zaXRpb24gYW5kIHBlcmluYXRhbCBvdXRjb21lcyBhZnRlciBhIHByb2dyYW0gZm9y
IGxvdyByaXNrIHByZWduYW50IHdvbWVuPC90aXRsZT48c2Vjb25kYXJ5LXRpdGxlPlJlcHJvZCBI
ZWFsdGg8L3NlY29uZGFyeS10aXRsZT48L3RpdGxlcz48cGVyaW9kaWNhbD48ZnVsbC10aXRsZT5S
ZXByb2QgSGVhbHRoPC9mdWxsLXRpdGxlPjwvcGVyaW9kaWNhbD48cGFnZXM+MTwvcGFnZXM+PHZv
bHVtZT42PC92b2x1bWU+PGVkaXRpb24+MjAwOS8wMS8wODwvZWRpdGlvbj48ZGF0ZXM+PHllYXI+
MjAwOTwveWVhcj48cHViLWRhdGVzPjxkYXRlPkphbiA2PC9kYXRlPjwvcHViLWRhdGVzPjwvZGF0
ZXM+PGlzYm4+MTc0Mi00NzU1IChFbGVjdHJvbmljKSYjeEQ7MTc0Mi00NzU1IChMaW5raW5nKTwv
aXNibj48YWNjZXNzaW9uLW51bT4xOTEyNjIzOTwvYWNjZXNzaW9uLW51bT48dXJscz48cmVsYXRl
ZC11cmxzPjx1cmw+aHR0cHM6Ly93d3cubmNiaS5ubG0ubmloLmdvdi9wdWJtZWQvMTkxMjYyMzk8
L3VybD48L3JlbGF0ZWQtdXJscz48L3VybHM+PGN1c3RvbTI+UE1DMjYyODg3NTwvY3VzdG9tMj48
ZWxlY3Ryb25pYy1yZXNvdXJjZS1udW0+MTAuMTE4Ni8xNzQyLTQ3NTUtNi0xPC9lbGVjdHJvbmlj
LXJlc291cmNlLW51bT48L3JlY29yZD48L0NpdGU+PC9FbmROb3RlPn==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292,312</w:t>
            </w:r>
            <w:r>
              <w:rPr>
                <w:noProof/>
                <w:sz w:val="16"/>
                <w:szCs w:val="16"/>
              </w:rPr>
              <w:fldChar w:fldCharType="end"/>
            </w:r>
          </w:p>
        </w:tc>
      </w:tr>
      <w:tr w:rsidR="008E765F" w:rsidRPr="00C12274" w14:paraId="57A44FCC" w14:textId="77777777" w:rsidTr="00BC7AEC">
        <w:trPr>
          <w:cantSplit/>
        </w:trPr>
        <w:tc>
          <w:tcPr>
            <w:tcW w:w="1560" w:type="dxa"/>
            <w:shd w:val="clear" w:color="D9E2F3" w:themeColor="accent1" w:themeTint="33" w:fill="auto"/>
          </w:tcPr>
          <w:p w14:paraId="673FDC11" w14:textId="77777777" w:rsidR="008E765F" w:rsidRPr="00C12274" w:rsidRDefault="008E765F" w:rsidP="00611251">
            <w:pPr>
              <w:pStyle w:val="RCTstable"/>
            </w:pPr>
            <w:r w:rsidRPr="00C12274">
              <w:t>Random sequence generation</w:t>
            </w:r>
          </w:p>
        </w:tc>
        <w:tc>
          <w:tcPr>
            <w:tcW w:w="1275" w:type="dxa"/>
            <w:shd w:val="clear" w:color="D9E2F3" w:themeColor="accent1" w:themeTint="33" w:fill="70AD47" w:themeFill="accent6"/>
          </w:tcPr>
          <w:p w14:paraId="17EA7310" w14:textId="77777777" w:rsidR="008E765F" w:rsidRPr="00C12274" w:rsidRDefault="008E765F" w:rsidP="00611251">
            <w:pPr>
              <w:pStyle w:val="RCTstable"/>
            </w:pPr>
            <w:r w:rsidRPr="00C12274">
              <w:t>Low risk</w:t>
            </w:r>
          </w:p>
        </w:tc>
        <w:tc>
          <w:tcPr>
            <w:tcW w:w="11199" w:type="dxa"/>
            <w:vMerge w:val="restart"/>
            <w:shd w:val="clear" w:color="D9E2F3" w:themeColor="accent1" w:themeTint="33" w:fill="auto"/>
          </w:tcPr>
          <w:p w14:paraId="184CDC18" w14:textId="77777777" w:rsidR="008E765F" w:rsidRPr="00C12274" w:rsidRDefault="008E765F" w:rsidP="00611251">
            <w:pPr>
              <w:pStyle w:val="RCTstable"/>
            </w:pPr>
            <w:r w:rsidRPr="00C12274">
              <w:t>Volunteers were enrolled sequentially and randomised to one of the two study groups. Each sequential number corresponded to a sealed opaque envelope containing the information on the randomisation group, according to a previously prepared computer-generated randomisation list of numbers, in order to guarantee the concealment.</w:t>
            </w:r>
          </w:p>
        </w:tc>
      </w:tr>
      <w:tr w:rsidR="008E765F" w:rsidRPr="00C12274" w14:paraId="372B4ED4" w14:textId="77777777" w:rsidTr="00BC7AEC">
        <w:trPr>
          <w:cantSplit/>
        </w:trPr>
        <w:tc>
          <w:tcPr>
            <w:tcW w:w="1560" w:type="dxa"/>
            <w:shd w:val="clear" w:color="D9E2F3" w:themeColor="accent1" w:themeTint="33" w:fill="auto"/>
          </w:tcPr>
          <w:p w14:paraId="55961F19" w14:textId="77777777" w:rsidR="008E765F" w:rsidRPr="00C12274" w:rsidRDefault="008E765F" w:rsidP="00611251">
            <w:pPr>
              <w:pStyle w:val="RCTstable"/>
            </w:pPr>
            <w:r w:rsidRPr="00C12274">
              <w:t xml:space="preserve">Allocation concealment </w:t>
            </w:r>
          </w:p>
        </w:tc>
        <w:tc>
          <w:tcPr>
            <w:tcW w:w="1275" w:type="dxa"/>
            <w:shd w:val="clear" w:color="D9E2F3" w:themeColor="accent1" w:themeTint="33" w:fill="70AD47" w:themeFill="accent6"/>
          </w:tcPr>
          <w:p w14:paraId="7B33E1B0" w14:textId="77777777" w:rsidR="008E765F" w:rsidRPr="00C12274" w:rsidRDefault="008E765F" w:rsidP="00611251">
            <w:pPr>
              <w:pStyle w:val="RCTstable"/>
            </w:pPr>
            <w:r w:rsidRPr="00C12274">
              <w:t>Low risk</w:t>
            </w:r>
          </w:p>
        </w:tc>
        <w:tc>
          <w:tcPr>
            <w:tcW w:w="11199" w:type="dxa"/>
            <w:vMerge/>
            <w:shd w:val="clear" w:color="D9E2F3" w:themeColor="accent1" w:themeTint="33" w:fill="auto"/>
          </w:tcPr>
          <w:p w14:paraId="10661474" w14:textId="77777777" w:rsidR="008E765F" w:rsidRPr="00C12274" w:rsidRDefault="008E765F" w:rsidP="00611251">
            <w:pPr>
              <w:pStyle w:val="RCTstable"/>
            </w:pPr>
          </w:p>
        </w:tc>
      </w:tr>
      <w:tr w:rsidR="008E765F" w:rsidRPr="00C12274" w14:paraId="340DE58E" w14:textId="77777777" w:rsidTr="00BC7AEC">
        <w:trPr>
          <w:cantSplit/>
        </w:trPr>
        <w:tc>
          <w:tcPr>
            <w:tcW w:w="1560" w:type="dxa"/>
            <w:shd w:val="clear" w:color="D9E2F3" w:themeColor="accent1" w:themeTint="33" w:fill="auto"/>
          </w:tcPr>
          <w:p w14:paraId="137BE6B2" w14:textId="77777777" w:rsidR="008E765F" w:rsidRPr="00C12274" w:rsidRDefault="008E765F" w:rsidP="00611251">
            <w:pPr>
              <w:pStyle w:val="RCTstable"/>
            </w:pPr>
            <w:r w:rsidRPr="00C12274">
              <w:t xml:space="preserve">Blinding </w:t>
            </w:r>
          </w:p>
        </w:tc>
        <w:tc>
          <w:tcPr>
            <w:tcW w:w="1275" w:type="dxa"/>
            <w:shd w:val="clear" w:color="D9E2F3" w:themeColor="accent1" w:themeTint="33" w:fill="FF4D19"/>
          </w:tcPr>
          <w:p w14:paraId="134DFFAD" w14:textId="6CA21592" w:rsidR="008E765F" w:rsidRPr="00C12274" w:rsidRDefault="00C465B5" w:rsidP="00611251">
            <w:pPr>
              <w:pStyle w:val="RCTstable"/>
            </w:pPr>
            <w:r>
              <w:t>High</w:t>
            </w:r>
            <w:r w:rsidR="008E765F" w:rsidRPr="00C12274">
              <w:t xml:space="preserve"> risk</w:t>
            </w:r>
          </w:p>
        </w:tc>
        <w:tc>
          <w:tcPr>
            <w:tcW w:w="11199" w:type="dxa"/>
            <w:shd w:val="clear" w:color="D9E2F3" w:themeColor="accent1" w:themeTint="33" w:fill="auto"/>
          </w:tcPr>
          <w:p w14:paraId="32564E7D" w14:textId="0CF47C98" w:rsidR="008E765F" w:rsidRPr="00C12274" w:rsidRDefault="008E765F" w:rsidP="00C465B5">
            <w:pPr>
              <w:pStyle w:val="RCTstable"/>
            </w:pPr>
            <w:r w:rsidRPr="00C12274">
              <w:t>Due to the nature of the study participants were not blinded.</w:t>
            </w:r>
          </w:p>
        </w:tc>
      </w:tr>
      <w:tr w:rsidR="00C465B5" w:rsidRPr="00822EBF" w14:paraId="6A9FBBCC" w14:textId="77777777" w:rsidTr="00BC7AEC">
        <w:trPr>
          <w:cantSplit/>
        </w:trPr>
        <w:tc>
          <w:tcPr>
            <w:tcW w:w="1560" w:type="dxa"/>
            <w:shd w:val="clear" w:color="D9E2F3" w:themeColor="accent1" w:themeTint="33" w:fill="auto"/>
          </w:tcPr>
          <w:p w14:paraId="6810C362" w14:textId="77777777" w:rsidR="00C465B5" w:rsidRPr="00822EBF" w:rsidRDefault="00C465B5" w:rsidP="009740A7">
            <w:pPr>
              <w:pStyle w:val="RCTstable"/>
            </w:pPr>
            <w:r w:rsidRPr="00822EBF">
              <w:t>Detection bias</w:t>
            </w:r>
          </w:p>
        </w:tc>
        <w:tc>
          <w:tcPr>
            <w:tcW w:w="1275" w:type="dxa"/>
            <w:shd w:val="clear" w:color="D9E2F3" w:themeColor="accent1" w:themeTint="33" w:fill="FFC000" w:themeFill="accent4"/>
          </w:tcPr>
          <w:p w14:paraId="66248082" w14:textId="77777777" w:rsidR="00C465B5" w:rsidRPr="00822EBF" w:rsidRDefault="00C465B5" w:rsidP="009740A7">
            <w:pPr>
              <w:pStyle w:val="RCTstable"/>
            </w:pPr>
            <w:r>
              <w:t>Unclear</w:t>
            </w:r>
            <w:r w:rsidRPr="00822EBF">
              <w:t xml:space="preserve"> risk</w:t>
            </w:r>
          </w:p>
        </w:tc>
        <w:tc>
          <w:tcPr>
            <w:tcW w:w="11199" w:type="dxa"/>
            <w:shd w:val="clear" w:color="D9E2F3" w:themeColor="accent1" w:themeTint="33" w:fill="auto"/>
          </w:tcPr>
          <w:p w14:paraId="2162E960" w14:textId="77777777" w:rsidR="00C465B5" w:rsidRPr="00822EBF" w:rsidRDefault="00C465B5" w:rsidP="009740A7">
            <w:pPr>
              <w:pStyle w:val="RCTstable"/>
            </w:pPr>
            <w:r w:rsidRPr="00C12274">
              <w:t>No discussion of whether those assessing outcomes were blinded to allocation.</w:t>
            </w:r>
          </w:p>
        </w:tc>
      </w:tr>
      <w:tr w:rsidR="008E765F" w:rsidRPr="00C12274" w14:paraId="49982DE8" w14:textId="77777777" w:rsidTr="00BC7AEC">
        <w:trPr>
          <w:cantSplit/>
        </w:trPr>
        <w:tc>
          <w:tcPr>
            <w:tcW w:w="1560" w:type="dxa"/>
            <w:shd w:val="clear" w:color="D9E2F3" w:themeColor="accent1" w:themeTint="33" w:fill="auto"/>
          </w:tcPr>
          <w:p w14:paraId="142C51C1" w14:textId="77777777" w:rsidR="008E765F" w:rsidRPr="00C12274" w:rsidRDefault="008E765F" w:rsidP="00611251">
            <w:pPr>
              <w:pStyle w:val="RCTstable"/>
            </w:pPr>
            <w:r w:rsidRPr="00C12274">
              <w:t>Incomplete outcome data</w:t>
            </w:r>
          </w:p>
        </w:tc>
        <w:tc>
          <w:tcPr>
            <w:tcW w:w="1275" w:type="dxa"/>
            <w:shd w:val="clear" w:color="D9E2F3" w:themeColor="accent1" w:themeTint="33" w:fill="70AD47" w:themeFill="accent6"/>
          </w:tcPr>
          <w:p w14:paraId="03491270" w14:textId="77777777" w:rsidR="008E765F" w:rsidRPr="00C12274" w:rsidRDefault="008E765F" w:rsidP="00611251">
            <w:pPr>
              <w:pStyle w:val="RCTstable"/>
            </w:pPr>
            <w:r w:rsidRPr="00C12274">
              <w:t>Low risk</w:t>
            </w:r>
          </w:p>
        </w:tc>
        <w:tc>
          <w:tcPr>
            <w:tcW w:w="11199" w:type="dxa"/>
            <w:shd w:val="clear" w:color="D9E2F3" w:themeColor="accent1" w:themeTint="33" w:fill="auto"/>
          </w:tcPr>
          <w:p w14:paraId="25550471" w14:textId="77777777" w:rsidR="008E765F" w:rsidRPr="00C12274" w:rsidRDefault="008E765F" w:rsidP="00611251">
            <w:pPr>
              <w:pStyle w:val="RCTstable"/>
            </w:pPr>
            <w:r w:rsidRPr="00C12274">
              <w:t xml:space="preserve">Outcome data at time of birth included for all participants in control group and 97% of participants in the intervention group. </w:t>
            </w:r>
          </w:p>
        </w:tc>
      </w:tr>
      <w:tr w:rsidR="008E765F" w:rsidRPr="00C12274" w14:paraId="2B79AD4A" w14:textId="77777777" w:rsidTr="00BC7AEC">
        <w:trPr>
          <w:cantSplit/>
        </w:trPr>
        <w:tc>
          <w:tcPr>
            <w:tcW w:w="1560" w:type="dxa"/>
            <w:shd w:val="clear" w:color="D9E2F3" w:themeColor="accent1" w:themeTint="33" w:fill="auto"/>
          </w:tcPr>
          <w:p w14:paraId="6E25F95E" w14:textId="77777777" w:rsidR="008E765F" w:rsidRPr="00C12274" w:rsidRDefault="008E765F" w:rsidP="00611251">
            <w:pPr>
              <w:pStyle w:val="RCTstable"/>
            </w:pPr>
            <w:r w:rsidRPr="00C12274">
              <w:t>Selective reporting</w:t>
            </w:r>
          </w:p>
        </w:tc>
        <w:tc>
          <w:tcPr>
            <w:tcW w:w="1275" w:type="dxa"/>
            <w:shd w:val="clear" w:color="D9E2F3" w:themeColor="accent1" w:themeTint="33" w:fill="70AD47" w:themeFill="accent6"/>
          </w:tcPr>
          <w:p w14:paraId="41DC6E0E" w14:textId="77777777" w:rsidR="008E765F" w:rsidRPr="00C12274" w:rsidRDefault="008E765F" w:rsidP="00611251">
            <w:pPr>
              <w:pStyle w:val="RCTstable"/>
            </w:pPr>
            <w:r w:rsidRPr="00C12274">
              <w:t>Low risk</w:t>
            </w:r>
          </w:p>
        </w:tc>
        <w:tc>
          <w:tcPr>
            <w:tcW w:w="11199" w:type="dxa"/>
            <w:shd w:val="clear" w:color="D9E2F3" w:themeColor="accent1" w:themeTint="33" w:fill="auto"/>
          </w:tcPr>
          <w:p w14:paraId="4076DFEF" w14:textId="77777777" w:rsidR="008E765F" w:rsidRPr="00C12274" w:rsidRDefault="008E765F" w:rsidP="00611251">
            <w:pPr>
              <w:pStyle w:val="RCTstable"/>
            </w:pPr>
            <w:r w:rsidRPr="00C12274">
              <w:t>Pre-specified outcomes reported.</w:t>
            </w:r>
          </w:p>
        </w:tc>
      </w:tr>
      <w:tr w:rsidR="008E765F" w:rsidRPr="00C12274" w14:paraId="6CA647A4" w14:textId="77777777" w:rsidTr="00BC7AEC">
        <w:trPr>
          <w:cantSplit/>
        </w:trPr>
        <w:tc>
          <w:tcPr>
            <w:tcW w:w="1560" w:type="dxa"/>
            <w:shd w:val="clear" w:color="D9E2F3" w:themeColor="accent1" w:themeTint="33" w:fill="auto"/>
          </w:tcPr>
          <w:p w14:paraId="75F9C513" w14:textId="77777777" w:rsidR="008E765F" w:rsidRPr="00C12274" w:rsidRDefault="008E765F" w:rsidP="00611251">
            <w:pPr>
              <w:pStyle w:val="RCTstable"/>
            </w:pPr>
            <w:r w:rsidRPr="00C12274">
              <w:t xml:space="preserve">Other limitations </w:t>
            </w:r>
          </w:p>
        </w:tc>
        <w:tc>
          <w:tcPr>
            <w:tcW w:w="1275" w:type="dxa"/>
            <w:shd w:val="clear" w:color="D9E2F3" w:themeColor="accent1" w:themeTint="33" w:fill="70AD47" w:themeFill="accent6"/>
          </w:tcPr>
          <w:p w14:paraId="0A0A57E7" w14:textId="77777777" w:rsidR="008E765F" w:rsidRPr="00C12274" w:rsidRDefault="008E765F" w:rsidP="00611251">
            <w:pPr>
              <w:pStyle w:val="RCTstable"/>
            </w:pPr>
            <w:r w:rsidRPr="00C12274">
              <w:t>Low risk</w:t>
            </w:r>
          </w:p>
        </w:tc>
        <w:tc>
          <w:tcPr>
            <w:tcW w:w="11199" w:type="dxa"/>
            <w:shd w:val="clear" w:color="D9E2F3" w:themeColor="accent1" w:themeTint="33" w:fill="auto"/>
          </w:tcPr>
          <w:p w14:paraId="49DADEE8" w14:textId="77777777" w:rsidR="008E765F" w:rsidRPr="00C12274" w:rsidRDefault="008E765F" w:rsidP="00611251">
            <w:pPr>
              <w:pStyle w:val="RCTstable"/>
            </w:pPr>
            <w:r w:rsidRPr="00C12274">
              <w:t>No significant differences between baseline characteristics of groups</w:t>
            </w:r>
          </w:p>
        </w:tc>
      </w:tr>
      <w:tr w:rsidR="008E765F" w:rsidRPr="006234EA" w14:paraId="11B95D27" w14:textId="77777777" w:rsidTr="00BC7AEC">
        <w:trPr>
          <w:cantSplit/>
        </w:trPr>
        <w:tc>
          <w:tcPr>
            <w:tcW w:w="14034" w:type="dxa"/>
            <w:gridSpan w:val="3"/>
            <w:shd w:val="solid" w:color="D9E2F3" w:themeColor="accent1" w:themeTint="33" w:fill="auto"/>
          </w:tcPr>
          <w:p w14:paraId="421744DB" w14:textId="41AF561A" w:rsidR="008E765F" w:rsidRPr="00470354" w:rsidRDefault="008E765F" w:rsidP="002747EA">
            <w:pPr>
              <w:pStyle w:val="Tablecell"/>
              <w:keepNext/>
              <w:spacing w:line="220" w:lineRule="exact"/>
              <w:rPr>
                <w:rFonts w:eastAsiaTheme="minorHAnsi"/>
                <w:b/>
                <w:sz w:val="16"/>
                <w:szCs w:val="16"/>
                <w:lang w:val="en-US"/>
              </w:rPr>
            </w:pPr>
            <w:r w:rsidRPr="006234EA">
              <w:rPr>
                <w:b/>
                <w:noProof/>
                <w:sz w:val="16"/>
                <w:szCs w:val="16"/>
              </w:rPr>
              <w:t>Barakat et al 200</w:t>
            </w:r>
            <w:r>
              <w:rPr>
                <w:b/>
                <w:noProof/>
                <w:sz w:val="16"/>
                <w:szCs w:val="16"/>
              </w:rPr>
              <w:t>9</w:t>
            </w:r>
            <w:r>
              <w:rPr>
                <w:noProof/>
                <w:sz w:val="16"/>
                <w:szCs w:val="16"/>
              </w:rPr>
              <w:fldChar w:fldCharType="begin">
                <w:fldData xml:space="preserve">PEVuZE5vdGU+PENpdGU+PEF1dGhvcj5CYXJha2F0PC9BdXRob3I+PFllYXI+MjAwODwvWWVhcj48
UmVjTnVtPjY2NzwvUmVjTnVtPjxEaXNwbGF5VGV4dD48c3R5bGUgZmFjZT0ic3VwZXJzY3JpcHQi
IGZvbnQ9IlRyZWJ1Y2hldCBNUyIgc2l6ZT0iOSI+MjkzLDMwMywzMTM8L3N0eWxlPjwvRGlzcGxh
eVRleHQ+PHJlY29yZD48cmVjLW51bWJlcj42Njc8L3JlYy1udW1iZXI+PGZvcmVpZ24ta2V5cz48
a2V5IGFwcD0iRU4iIGRiLWlkPSJleHZhc3JmeDJkdHJhb2VzYXN4cDJzenN4YTJkZjUwMjU5Mngi
IHRpbWVzdGFtcD0iMTU0MDUyNjUzOCI+NjY3PC9rZXk+PC9mb3JlaWduLWtleXM+PHJlZi10eXBl
IG5hbWU9IkpvdXJuYWwgQXJ0aWNsZSI+MTc8L3JlZi10eXBlPjxjb250cmlidXRvcnM+PGF1dGhv
cnM+PGF1dGhvcj5CYXJha2F0LCBSLjwvYXV0aG9yPjxhdXRob3I+U3RpcmxpbmcsIEouIFIuPC9h
dXRob3I+PGF1dGhvcj5MdWNpYSwgQS48L2F1dGhvcj48L2F1dGhvcnM+PC9jb250cmlidXRvcnM+
PGF1dGgtYWRkcmVzcz5JbnN0aXR1dG8gTmFjaW9uYWwgZGUgRWR1Y2FjaW9uIEZpc2ljYSAoSU5F
RiksIFVuaXZlcnNpZGFkIFBvbGl0ZWNuaWNhLCBNYWRyaWQsIFNwYWluLjwvYXV0aC1hZGRyZXNz
Pjx0aXRsZXM+PHRpdGxlPkRvZXMgZXhlcmNpc2UgdHJhaW5pbmcgZHVyaW5nIHByZWduYW5jeSBh
ZmZlY3QgZ2VzdGF0aW9uYWwgYWdlPyBBIHJhbmRvbWlzZWQgY29udHJvbGxlZCB0cmlhbDwvdGl0
bGU+PHNlY29uZGFyeS10aXRsZT5CciBKIFNwb3J0cyBNZWQ8L3NlY29uZGFyeS10aXRsZT48L3Rp
dGxlcz48cGVyaW9kaWNhbD48ZnVsbC10aXRsZT5CciBKIFNwb3J0cyBNZWQ8L2Z1bGwtdGl0bGU+
PC9wZXJpb2RpY2FsPjxwYWdlcz42NzQtODwvcGFnZXM+PHZvbHVtZT40Mjwvdm9sdW1lPjxudW1i
ZXI+ODwvbnVtYmVyPjxlZGl0aW9uPjIwMDgvMDYvMTc8L2VkaXRpb24+PGtleXdvcmRzPjxrZXl3
b3JkPkFkdWx0PC9rZXl3b3JkPjxrZXl3b3JkPkV4ZXJjaXNlLypwaHlzaW9sb2d5PC9rZXl3b3Jk
PjxrZXl3b3JkPkZlbWFsZTwva2V5d29yZD48a2V5d29yZD4qR2VzdGF0aW9uYWwgQWdlPC9rZXl3
b3JkPjxrZXl3b3JkPkh1bWFuczwva2V5d29yZD48a2V5d29yZD5JbmZhbnQsIE5ld2Jvcm48L2tl
eXdvcmQ+PGtleXdvcmQ+UGh5c2ljYWwgRWR1Y2F0aW9uIGFuZCBUcmFpbmluZy9tZXRob2RzPC9r
ZXl3b3JkPjxrZXl3b3JkPlByZWduYW5jeTwva2V5d29yZD48a2V5d29yZD5QcmVnbmFuY3kgVHJp
bWVzdGVyLCBTZWNvbmQvcGh5c2lvbG9neTwva2V5d29yZD48a2V5d29yZD5QcmVnbmFuY3kgVHJp
bWVzdGVyLCBUaGlyZC9waHlzaW9sb2d5PC9rZXl3b3JkPjxrZXl3b3JkPlByZW1hdHVyZSBCaXJ0
aC8qZXRpb2xvZ3k8L2tleXdvcmQ+PC9rZXl3b3Jkcz48ZGF0ZXM+PHllYXI+MjAwODwveWVhcj48
cHViLWRhdGVzPjxkYXRlPkF1ZzwvZGF0ZT48L3B1Yi1kYXRlcz48L2RhdGVzPjxpc2JuPjE0NzMt
MDQ4MCAoRWxlY3Ryb25pYykmI3hEOzAzMDYtMzY3NCAoTGlua2luZyk8L2lzYm4+PGFjY2Vzc2lv
bi1udW0+MTg1NTIzNzA8L2FjY2Vzc2lvbi1udW0+PHVybHM+PHJlbGF0ZWQtdXJscz48dXJsPmh0
dHBzOi8vd3d3Lm5jYmkubmxtLm5paC5nb3YvcHVibWVkLzE4NTUyMzcwPC91cmw+PC9yZWxhdGVk
LXVybHM+PC91cmxzPjxlbGVjdHJvbmljLXJlc291cmNlLW51bT4xMC4xMTM2L2Jqc20uMjAwOC4w
NDc4Mzc8L2VsZWN0cm9uaWMtcmVzb3VyY2UtbnVtPjwvcmVjb3JkPjwvQ2l0ZT48Q2l0ZT48QXV0
aG9yPkJhcmFrYXQ8L0F1dGhvcj48WWVhcj4yMDA5PC9ZZWFyPjxSZWNOdW0+NjY4PC9SZWNOdW0+
PHJlY29yZD48cmVjLW51bWJlcj42Njg8L3JlYy1udW1iZXI+PGZvcmVpZ24ta2V5cz48a2V5IGFw
cD0iRU4iIGRiLWlkPSJleHZhc3JmeDJkdHJhb2VzYXN4cDJzenN4YTJkZjUwMjU5MngiIHRpbWVz
dGFtcD0iMTU0MDUyNjU5MSI+NjY4PC9rZXk+PC9mb3JlaWduLWtleXM+PHJlZi10eXBlIG5hbWU9
IkpvdXJuYWwgQXJ0aWNsZSI+MTc8L3JlZi10eXBlPjxjb250cmlidXRvcnM+PGF1dGhvcnM+PGF1
dGhvcj5CYXJha2F0LCBSLjwvYXV0aG9yPjxhdXRob3I+THVjaWEsIEEuPC9hdXRob3I+PGF1dGhv
cj5SdWl6LCBKLiBSLjwvYXV0aG9yPjwvYXV0aG9ycz48L2NvbnRyaWJ1dG9ycz48YXV0aC1hZGRy
ZXNzPkZhY3VsdGFkIGRlIENpZW5jaWFzIGRlIGxhIEFjdGl2aWRhZCBGaXNpY2EgeSBkZWwgRGVw
b3J0ZS1JTkVGLCBVbml2ZXJzaWRhZCBQb2xpdGVjbmljYSBkZSBNYWRyaWQsIE1hZHJpZCwgU3Bh
aW4uPC9hdXRoLWFkZHJlc3M+PHRpdGxlcz48dGl0bGU+UmVzaXN0YW5jZSBleGVyY2lzZSB0cmFp
bmluZyBkdXJpbmcgcHJlZ25hbmN5IGFuZCBuZXdib3JuJmFwb3M7cyBiaXJ0aCBzaXplOiBhIHJh
bmRvbWlzZWQgY29udHJvbGxlZCB0cmlhbDwvdGl0bGU+PHNlY29uZGFyeS10aXRsZT5JbnQgSiBP
YmVzIChMb25kKTwvc2Vjb25kYXJ5LXRpdGxlPjwvdGl0bGVzPjxwZXJpb2RpY2FsPjxmdWxsLXRp
dGxlPkludCBKIE9iZXMgKExvbmQpPC9mdWxsLXRpdGxlPjwvcGVyaW9kaWNhbD48cGFnZXM+MTA0
OC01NzwvcGFnZXM+PHZvbHVtZT4zMzwvdm9sdW1lPjxudW1iZXI+OTwvbnVtYmVyPjxlZGl0aW9u
PjIwMDkvMDcvMjk8L2VkaXRpb24+PGtleXdvcmRzPjxrZXl3b3JkPkFkdWx0PC9rZXl3b3JkPjxr
ZXl3b3JkPkJpcnRoIFdlaWdodC8qcGh5c2lvbG9neTwva2V5d29yZD48a2V5d29yZD5Cb2R5IE1h
c3MgSW5kZXg8L2tleXdvcmQ+PGtleXdvcmQ+Qm9keSBTaXplPC9rZXl3b3JkPjxrZXl3b3JkPkJv
ZHkgV2VpZ2h0LypwaHlzaW9sb2d5PC9rZXl3b3JkPjxrZXl3b3JkPkZlbWFsZTwva2V5d29yZD48
a2V5d29yZD5GZXRhbCBEZXZlbG9wbWVudC8qcGh5c2lvbG9neTwva2V5d29yZD48a2V5d29yZD5I
dW1hbnM8L2tleXdvcmQ+PGtleXdvcmQ+SW5mYW50LCBOZXdib3JuPC9rZXl3b3JkPjxrZXl3b3Jk
PlByZWduYW5jeTwva2V5d29yZD48a2V5d29yZD5QcmVnbmFuY3kgVHJpbWVzdGVyLCBTZWNvbmQ8
L2tleXdvcmQ+PGtleXdvcmQ+UHJlZ25hbmN5IFRyaW1lc3RlciwgVGhpcmQ8L2tleXdvcmQ+PGtl
eXdvcmQ+UmVzaXN0YW5jZSBUcmFpbmluZy8qbWV0aG9kczwva2V5d29yZD48a2V5d29yZD5TcGFp
bi9lcGlkZW1pb2xvZ3k8L2tleXdvcmQ+PC9rZXl3b3Jkcz48ZGF0ZXM+PHllYXI+MjAwOTwveWVh
cj48cHViLWRhdGVzPjxkYXRlPlNlcDwvZGF0ZT48L3B1Yi1kYXRlcz48L2RhdGVzPjxpc2JuPjE0
NzYtNTQ5NyAoRWxlY3Ryb25pYykmI3hEOzAzMDctMDU2NSAoTGlua2luZyk8L2lzYm4+PGFjY2Vz
c2lvbi1udW0+MTk2MzYzMjA8L2FjY2Vzc2lvbi1udW0+PHVybHM+PHJlbGF0ZWQtdXJscz48dXJs
Pmh0dHBzOi8vd3d3Lm5jYmkubmxtLm5paC5nb3YvcHVibWVkLzE5NjM2MzIwPC91cmw+PC9yZWxh
dGVkLXVybHM+PC91cmxzPjxlbGVjdHJvbmljLXJlc291cmNlLW51bT4xMC4xMDM4L2lqby4yMDA5
LjE1MDwvZWxlY3Ryb25pYy1yZXNvdXJjZS1udW0+PC9yZWNvcmQ+PC9DaXRlPjxDaXRlPjxBdXRo
b3I+QmFyYWthdDwvQXV0aG9yPjxZZWFyPjIwMDk8L1llYXI+PFJlY051bT4xMDEwPC9SZWNOdW0+
PHJlY29yZD48cmVjLW51bWJlcj4xMDEwPC9yZWMtbnVtYmVyPjxmb3JlaWduLWtleXM+PGtleSBh
cHA9IkVOIiBkYi1pZD0iZXh2YXNyZngyZHRyYW9lc2FzeHAyc3pzeGEyZGY1MDI1OTJ4IiB0aW1l
c3RhbXA9IjE1NDg5ODM0NzYiPjEwMTA8L2tleT48L2ZvcmVpZ24ta2V5cz48cmVmLXR5cGUgbmFt
ZT0iSm91cm5hbCBBcnRpY2xlIj4xNzwvcmVmLXR5cGU+PGNvbnRyaWJ1dG9ycz48YXV0aG9ycz48
YXV0aG9yPkJhcmFrYXQsIFIuPC9hdXRob3I+PGF1dGhvcj5SdWl6LCBKLiBSLjwvYXV0aG9yPjxh
dXRob3I+U3RpcmxpbmcsIEouIFIuPC9hdXRob3I+PGF1dGhvcj5aYWt5bnRoaW5ha2ksIE0uPC9h
dXRob3I+PGF1dGhvcj5MdWNpYSwgQS48L2F1dGhvcj48L2F1dGhvcnM+PC9jb250cmlidXRvcnM+
PGF1dGgtYWRkcmVzcz5GYWN1bHRhZCBkZSBDaWVuY2lhcyBkZSBsYSBBY3RpdmlkYWQgRmlzaWNh
IHkgZGVsIERlcG9ydGUtSU5FRiwgVW5pdmVyc2lkYWQgUG9saXRlY25pY2EgZGUgTWFkcmlkLCBT
cGFpbi48L2F1dGgtYWRkcmVzcz48dGl0bGVzPjx0aXRsZT5UeXBlIG9mIGRlbGl2ZXJ5IGlzIG5v
dCBhZmZlY3RlZCBieSBsaWdodCByZXNpc3RhbmNlIGFuZCB0b25pbmcgZXhlcmNpc2UgdHJhaW5p
bmcgZHVyaW5nIHByZWduYW5jeTogYSByYW5kb21pemVkIGNvbnRyb2xsZWQgdHJpYWw8L3RpdGxl
PjxzZWNvbmRhcnktdGl0bGU+QW0gSiBPYnN0ZXQgR3luZWNvbDwvc2Vjb25kYXJ5LXRpdGxlPjwv
dGl0bGVzPjxwZXJpb2RpY2FsPjxmdWxsLXRpdGxlPkFtIEogT2JzdGV0IEd5bmVjb2w8L2Z1bGwt
dGl0bGU+PC9wZXJpb2RpY2FsPjxwYWdlcz41OTAgZTEtNjwvcGFnZXM+PHZvbHVtZT4yMDE8L3Zv
bHVtZT48bnVtYmVyPjY8L251bWJlcj48ZWRpdGlvbj4yMDA5LzA3LzE4PC9lZGl0aW9uPjxrZXl3
b3Jkcz48a2V5d29yZD5BZHVsdDwva2V5d29yZD48a2V5d29yZD4qRGVsaXZlcnksIE9ic3RldHJp
Yzwva2V5d29yZD48a2V5d29yZD5GZW1hbGU8L2tleXdvcmQ+PGtleXdvcmQ+SHVtYW5zPC9rZXl3
b3JkPjxrZXl3b3JkPipMYWJvciwgT2JzdGV0cmljPC9rZXl3b3JkPjxrZXl3b3JkPlByZWduYW5j
eTwva2V5d29yZD48a2V5d29yZD5QcmVnbmFuY3kgVHJpbWVzdGVyLCBTZWNvbmQ8L2tleXdvcmQ+
PGtleXdvcmQ+UHJlZ25hbmN5IFRyaW1lc3RlciwgVGhpcmQ8L2tleXdvcmQ+PGtleXdvcmQ+Kldl
aWdodCBMaWZ0aW5nPC9rZXl3b3JkPjwva2V5d29yZHM+PGRhdGVzPjx5ZWFyPjIwMDk8L3llYXI+
PHB1Yi1kYXRlcz48ZGF0ZT5EZWM8L2RhdGU+PC9wdWItZGF0ZXM+PC9kYXRlcz48aXNibj4xMDk3
LTY4NjggKEVsZWN0cm9uaWMpJiN4RDswMDAyLTkzNzggKExpbmtpbmcpPC9pc2JuPjxhY2Nlc3Np
b24tbnVtPjE5NjA4MTUxPC9hY2Nlc3Npb24tbnVtPjx1cmxzPjxyZWxhdGVkLXVybHM+PHVybD5o
dHRwczovL3d3dy5uY2JpLm5sbS5uaWguZ292L3B1Ym1lZC8xOTYwODE1MTwvdXJsPjwvcmVsYXRl
ZC11cmxzPjwvdXJscz48ZWxlY3Ryb25pYy1yZXNvdXJjZS1udW0+MTAuMTAxNi9qLmFqb2cuMjAw
OS4wNi4wMDQ8L2VsZWN0cm9uaWMtcmVzb3VyY2UtbnVtPjwvcmVjb3JkPjwvQ2l0ZT48L0VuZE5v
dGU+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PEVuZE5vdGU+PENpdGU+PEF1dGhvcj5CYXJha2F0PC9BdXRob3I+PFllYXI+MjAwODwvWWVhcj48
UmVjTnVtPjY2NzwvUmVjTnVtPjxEaXNwbGF5VGV4dD48c3R5bGUgZmFjZT0ic3VwZXJzY3JpcHQi
IGZvbnQ9IlRyZWJ1Y2hldCBNUyIgc2l6ZT0iOSI+MjkzLDMwMywzMTM8L3N0eWxlPjwvRGlzcGxh
eVRleHQ+PHJlY29yZD48cmVjLW51bWJlcj42Njc8L3JlYy1udW1iZXI+PGZvcmVpZ24ta2V5cz48
a2V5IGFwcD0iRU4iIGRiLWlkPSJleHZhc3JmeDJkdHJhb2VzYXN4cDJzenN4YTJkZjUwMjU5Mngi
IHRpbWVzdGFtcD0iMTU0MDUyNjUzOCI+NjY3PC9rZXk+PC9mb3JlaWduLWtleXM+PHJlZi10eXBl
IG5hbWU9IkpvdXJuYWwgQXJ0aWNsZSI+MTc8L3JlZi10eXBlPjxjb250cmlidXRvcnM+PGF1dGhv
cnM+PGF1dGhvcj5CYXJha2F0LCBSLjwvYXV0aG9yPjxhdXRob3I+U3RpcmxpbmcsIEouIFIuPC9h
dXRob3I+PGF1dGhvcj5MdWNpYSwgQS48L2F1dGhvcj48L2F1dGhvcnM+PC9jb250cmlidXRvcnM+
PGF1dGgtYWRkcmVzcz5JbnN0aXR1dG8gTmFjaW9uYWwgZGUgRWR1Y2FjaW9uIEZpc2ljYSAoSU5F
RiksIFVuaXZlcnNpZGFkIFBvbGl0ZWNuaWNhLCBNYWRyaWQsIFNwYWluLjwvYXV0aC1hZGRyZXNz
Pjx0aXRsZXM+PHRpdGxlPkRvZXMgZXhlcmNpc2UgdHJhaW5pbmcgZHVyaW5nIHByZWduYW5jeSBh
ZmZlY3QgZ2VzdGF0aW9uYWwgYWdlPyBBIHJhbmRvbWlzZWQgY29udHJvbGxlZCB0cmlhbDwvdGl0
bGU+PHNlY29uZGFyeS10aXRsZT5CciBKIFNwb3J0cyBNZWQ8L3NlY29uZGFyeS10aXRsZT48L3Rp
dGxlcz48cGVyaW9kaWNhbD48ZnVsbC10aXRsZT5CciBKIFNwb3J0cyBNZWQ8L2Z1bGwtdGl0bGU+
PC9wZXJpb2RpY2FsPjxwYWdlcz42NzQtODwvcGFnZXM+PHZvbHVtZT40Mjwvdm9sdW1lPjxudW1i
ZXI+ODwvbnVtYmVyPjxlZGl0aW9uPjIwMDgvMDYvMTc8L2VkaXRpb24+PGtleXdvcmRzPjxrZXl3
b3JkPkFkdWx0PC9rZXl3b3JkPjxrZXl3b3JkPkV4ZXJjaXNlLypwaHlzaW9sb2d5PC9rZXl3b3Jk
PjxrZXl3b3JkPkZlbWFsZTwva2V5d29yZD48a2V5d29yZD4qR2VzdGF0aW9uYWwgQWdlPC9rZXl3
b3JkPjxrZXl3b3JkPkh1bWFuczwva2V5d29yZD48a2V5d29yZD5JbmZhbnQsIE5ld2Jvcm48L2tl
eXdvcmQ+PGtleXdvcmQ+UGh5c2ljYWwgRWR1Y2F0aW9uIGFuZCBUcmFpbmluZy9tZXRob2RzPC9r
ZXl3b3JkPjxrZXl3b3JkPlByZWduYW5jeTwva2V5d29yZD48a2V5d29yZD5QcmVnbmFuY3kgVHJp
bWVzdGVyLCBTZWNvbmQvcGh5c2lvbG9neTwva2V5d29yZD48a2V5d29yZD5QcmVnbmFuY3kgVHJp
bWVzdGVyLCBUaGlyZC9waHlzaW9sb2d5PC9rZXl3b3JkPjxrZXl3b3JkPlByZW1hdHVyZSBCaXJ0
aC8qZXRpb2xvZ3k8L2tleXdvcmQ+PC9rZXl3b3Jkcz48ZGF0ZXM+PHllYXI+MjAwODwveWVhcj48
cHViLWRhdGVzPjxkYXRlPkF1ZzwvZGF0ZT48L3B1Yi1kYXRlcz48L2RhdGVzPjxpc2JuPjE0NzMt
MDQ4MCAoRWxlY3Ryb25pYykmI3hEOzAzMDYtMzY3NCAoTGlua2luZyk8L2lzYm4+PGFjY2Vzc2lv
bi1udW0+MTg1NTIzNzA8L2FjY2Vzc2lvbi1udW0+PHVybHM+PHJlbGF0ZWQtdXJscz48dXJsPmh0
dHBzOi8vd3d3Lm5jYmkubmxtLm5paC5nb3YvcHVibWVkLzE4NTUyMzcwPC91cmw+PC9yZWxhdGVk
LXVybHM+PC91cmxzPjxlbGVjdHJvbmljLXJlc291cmNlLW51bT4xMC4xMTM2L2Jqc20uMjAwOC4w
NDc4Mzc8L2VsZWN0cm9uaWMtcmVzb3VyY2UtbnVtPjwvcmVjb3JkPjwvQ2l0ZT48Q2l0ZT48QXV0
aG9yPkJhcmFrYXQ8L0F1dGhvcj48WWVhcj4yMDA5PC9ZZWFyPjxSZWNOdW0+NjY4PC9SZWNOdW0+
PHJlY29yZD48cmVjLW51bWJlcj42Njg8L3JlYy1udW1iZXI+PGZvcmVpZ24ta2V5cz48a2V5IGFw
cD0iRU4iIGRiLWlkPSJleHZhc3JmeDJkdHJhb2VzYXN4cDJzenN4YTJkZjUwMjU5MngiIHRpbWVz
dGFtcD0iMTU0MDUyNjU5MSI+NjY4PC9rZXk+PC9mb3JlaWduLWtleXM+PHJlZi10eXBlIG5hbWU9
IkpvdXJuYWwgQXJ0aWNsZSI+MTc8L3JlZi10eXBlPjxjb250cmlidXRvcnM+PGF1dGhvcnM+PGF1
dGhvcj5CYXJha2F0LCBSLjwvYXV0aG9yPjxhdXRob3I+THVjaWEsIEEuPC9hdXRob3I+PGF1dGhv
cj5SdWl6LCBKLiBSLjwvYXV0aG9yPjwvYXV0aG9ycz48L2NvbnRyaWJ1dG9ycz48YXV0aC1hZGRy
ZXNzPkZhY3VsdGFkIGRlIENpZW5jaWFzIGRlIGxhIEFjdGl2aWRhZCBGaXNpY2EgeSBkZWwgRGVw
b3J0ZS1JTkVGLCBVbml2ZXJzaWRhZCBQb2xpdGVjbmljYSBkZSBNYWRyaWQsIE1hZHJpZCwgU3Bh
aW4uPC9hdXRoLWFkZHJlc3M+PHRpdGxlcz48dGl0bGU+UmVzaXN0YW5jZSBleGVyY2lzZSB0cmFp
bmluZyBkdXJpbmcgcHJlZ25hbmN5IGFuZCBuZXdib3JuJmFwb3M7cyBiaXJ0aCBzaXplOiBhIHJh
bmRvbWlzZWQgY29udHJvbGxlZCB0cmlhbDwvdGl0bGU+PHNlY29uZGFyeS10aXRsZT5JbnQgSiBP
YmVzIChMb25kKTwvc2Vjb25kYXJ5LXRpdGxlPjwvdGl0bGVzPjxwZXJpb2RpY2FsPjxmdWxsLXRp
dGxlPkludCBKIE9iZXMgKExvbmQpPC9mdWxsLXRpdGxlPjwvcGVyaW9kaWNhbD48cGFnZXM+MTA0
OC01NzwvcGFnZXM+PHZvbHVtZT4zMzwvdm9sdW1lPjxudW1iZXI+OTwvbnVtYmVyPjxlZGl0aW9u
PjIwMDkvMDcvMjk8L2VkaXRpb24+PGtleXdvcmRzPjxrZXl3b3JkPkFkdWx0PC9rZXl3b3JkPjxr
ZXl3b3JkPkJpcnRoIFdlaWdodC8qcGh5c2lvbG9neTwva2V5d29yZD48a2V5d29yZD5Cb2R5IE1h
c3MgSW5kZXg8L2tleXdvcmQ+PGtleXdvcmQ+Qm9keSBTaXplPC9rZXl3b3JkPjxrZXl3b3JkPkJv
ZHkgV2VpZ2h0LypwaHlzaW9sb2d5PC9rZXl3b3JkPjxrZXl3b3JkPkZlbWFsZTwva2V5d29yZD48
a2V5d29yZD5GZXRhbCBEZXZlbG9wbWVudC8qcGh5c2lvbG9neTwva2V5d29yZD48a2V5d29yZD5I
dW1hbnM8L2tleXdvcmQ+PGtleXdvcmQ+SW5mYW50LCBOZXdib3JuPC9rZXl3b3JkPjxrZXl3b3Jk
PlByZWduYW5jeTwva2V5d29yZD48a2V5d29yZD5QcmVnbmFuY3kgVHJpbWVzdGVyLCBTZWNvbmQ8
L2tleXdvcmQ+PGtleXdvcmQ+UHJlZ25hbmN5IFRyaW1lc3RlciwgVGhpcmQ8L2tleXdvcmQ+PGtl
eXdvcmQ+UmVzaXN0YW5jZSBUcmFpbmluZy8qbWV0aG9kczwva2V5d29yZD48a2V5d29yZD5TcGFp
bi9lcGlkZW1pb2xvZ3k8L2tleXdvcmQ+PC9rZXl3b3Jkcz48ZGF0ZXM+PHllYXI+MjAwOTwveWVh
cj48cHViLWRhdGVzPjxkYXRlPlNlcDwvZGF0ZT48L3B1Yi1kYXRlcz48L2RhdGVzPjxpc2JuPjE0
NzYtNTQ5NyAoRWxlY3Ryb25pYykmI3hEOzAzMDctMDU2NSAoTGlua2luZyk8L2lzYm4+PGFjY2Vz
c2lvbi1udW0+MTk2MzYzMjA8L2FjY2Vzc2lvbi1udW0+PHVybHM+PHJlbGF0ZWQtdXJscz48dXJs
Pmh0dHBzOi8vd3d3Lm5jYmkubmxtLm5paC5nb3YvcHVibWVkLzE5NjM2MzIwPC91cmw+PC9yZWxh
dGVkLXVybHM+PC91cmxzPjxlbGVjdHJvbmljLXJlc291cmNlLW51bT4xMC4xMDM4L2lqby4yMDA5
LjE1MDwvZWxlY3Ryb25pYy1yZXNvdXJjZS1udW0+PC9yZWNvcmQ+PC9DaXRlPjxDaXRlPjxBdXRo
b3I+QmFyYWthdDwvQXV0aG9yPjxZZWFyPjIwMDk8L1llYXI+PFJlY051bT4xMDEwPC9SZWNOdW0+
PHJlY29yZD48cmVjLW51bWJlcj4xMDEwPC9yZWMtbnVtYmVyPjxmb3JlaWduLWtleXM+PGtleSBh
cHA9IkVOIiBkYi1pZD0iZXh2YXNyZngyZHRyYW9lc2FzeHAyc3pzeGEyZGY1MDI1OTJ4IiB0aW1l
c3RhbXA9IjE1NDg5ODM0NzYiPjEwMTA8L2tleT48L2ZvcmVpZ24ta2V5cz48cmVmLXR5cGUgbmFt
ZT0iSm91cm5hbCBBcnRpY2xlIj4xNzwvcmVmLXR5cGU+PGNvbnRyaWJ1dG9ycz48YXV0aG9ycz48
YXV0aG9yPkJhcmFrYXQsIFIuPC9hdXRob3I+PGF1dGhvcj5SdWl6LCBKLiBSLjwvYXV0aG9yPjxh
dXRob3I+U3RpcmxpbmcsIEouIFIuPC9hdXRob3I+PGF1dGhvcj5aYWt5bnRoaW5ha2ksIE0uPC9h
dXRob3I+PGF1dGhvcj5MdWNpYSwgQS48L2F1dGhvcj48L2F1dGhvcnM+PC9jb250cmlidXRvcnM+
PGF1dGgtYWRkcmVzcz5GYWN1bHRhZCBkZSBDaWVuY2lhcyBkZSBsYSBBY3RpdmlkYWQgRmlzaWNh
IHkgZGVsIERlcG9ydGUtSU5FRiwgVW5pdmVyc2lkYWQgUG9saXRlY25pY2EgZGUgTWFkcmlkLCBT
cGFpbi48L2F1dGgtYWRkcmVzcz48dGl0bGVzPjx0aXRsZT5UeXBlIG9mIGRlbGl2ZXJ5IGlzIG5v
dCBhZmZlY3RlZCBieSBsaWdodCByZXNpc3RhbmNlIGFuZCB0b25pbmcgZXhlcmNpc2UgdHJhaW5p
bmcgZHVyaW5nIHByZWduYW5jeTogYSByYW5kb21pemVkIGNvbnRyb2xsZWQgdHJpYWw8L3RpdGxl
PjxzZWNvbmRhcnktdGl0bGU+QW0gSiBPYnN0ZXQgR3luZWNvbDwvc2Vjb25kYXJ5LXRpdGxlPjwv
dGl0bGVzPjxwZXJpb2RpY2FsPjxmdWxsLXRpdGxlPkFtIEogT2JzdGV0IEd5bmVjb2w8L2Z1bGwt
dGl0bGU+PC9wZXJpb2RpY2FsPjxwYWdlcz41OTAgZTEtNjwvcGFnZXM+PHZvbHVtZT4yMDE8L3Zv
bHVtZT48bnVtYmVyPjY8L251bWJlcj48ZWRpdGlvbj4yMDA5LzA3LzE4PC9lZGl0aW9uPjxrZXl3
b3Jkcz48a2V5d29yZD5BZHVsdDwva2V5d29yZD48a2V5d29yZD4qRGVsaXZlcnksIE9ic3RldHJp
Yzwva2V5d29yZD48a2V5d29yZD5GZW1hbGU8L2tleXdvcmQ+PGtleXdvcmQ+SHVtYW5zPC9rZXl3
b3JkPjxrZXl3b3JkPipMYWJvciwgT2JzdGV0cmljPC9rZXl3b3JkPjxrZXl3b3JkPlByZWduYW5j
eTwva2V5d29yZD48a2V5d29yZD5QcmVnbmFuY3kgVHJpbWVzdGVyLCBTZWNvbmQ8L2tleXdvcmQ+
PGtleXdvcmQ+UHJlZ25hbmN5IFRyaW1lc3RlciwgVGhpcmQ8L2tleXdvcmQ+PGtleXdvcmQ+Kldl
aWdodCBMaWZ0aW5nPC9rZXl3b3JkPjwva2V5d29yZHM+PGRhdGVzPjx5ZWFyPjIwMDk8L3llYXI+
PHB1Yi1kYXRlcz48ZGF0ZT5EZWM8L2RhdGU+PC9wdWItZGF0ZXM+PC9kYXRlcz48aXNibj4xMDk3
LTY4NjggKEVsZWN0cm9uaWMpJiN4RDswMDAyLTkzNzggKExpbmtpbmcpPC9pc2JuPjxhY2Nlc3Np
b24tbnVtPjE5NjA4MTUxPC9hY2Nlc3Npb24tbnVtPjx1cmxzPjxyZWxhdGVkLXVybHM+PHVybD5o
dHRwczovL3d3dy5uY2JpLm5sbS5uaWguZ292L3B1Ym1lZC8xOTYwODE1MTwvdXJsPjwvcmVsYXRl
ZC11cmxzPjwvdXJscz48ZWxlY3Ryb25pYy1yZXNvdXJjZS1udW0+MTAuMTAxNi9qLmFqb2cuMjAw
OS4wNi4wMDQ8L2VsZWN0cm9uaWMtcmVzb3VyY2UtbnVtPjwvcmVjb3JkPjwvQ2l0ZT48L0VuZE5v
dGU+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293,303,313</w:t>
            </w:r>
            <w:r>
              <w:rPr>
                <w:noProof/>
                <w:sz w:val="16"/>
                <w:szCs w:val="16"/>
              </w:rPr>
              <w:fldChar w:fldCharType="end"/>
            </w:r>
          </w:p>
        </w:tc>
      </w:tr>
      <w:tr w:rsidR="008E765F" w:rsidRPr="00C12274" w14:paraId="16F3FDE7" w14:textId="77777777" w:rsidTr="00BC7AEC">
        <w:trPr>
          <w:cantSplit/>
        </w:trPr>
        <w:tc>
          <w:tcPr>
            <w:tcW w:w="1560" w:type="dxa"/>
            <w:shd w:val="clear" w:color="D9E2F3" w:themeColor="accent1" w:themeTint="33" w:fill="auto"/>
          </w:tcPr>
          <w:p w14:paraId="0F37619C"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5AA8593D"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07746283" w14:textId="77777777" w:rsidR="008E765F" w:rsidRPr="00C12274" w:rsidRDefault="008E765F" w:rsidP="00611251">
            <w:pPr>
              <w:pStyle w:val="RCTstable"/>
              <w:keepNext/>
            </w:pPr>
            <w:r w:rsidRPr="00C12274">
              <w:t>Women were randomly assigned to either a training (n=80) or a control group (n=80). No further details provided.</w:t>
            </w:r>
          </w:p>
        </w:tc>
      </w:tr>
      <w:tr w:rsidR="008E765F" w:rsidRPr="00C12274" w14:paraId="25B0E5CA" w14:textId="77777777" w:rsidTr="00BC7AEC">
        <w:trPr>
          <w:cantSplit/>
        </w:trPr>
        <w:tc>
          <w:tcPr>
            <w:tcW w:w="1560" w:type="dxa"/>
            <w:shd w:val="clear" w:color="D9E2F3" w:themeColor="accent1" w:themeTint="33" w:fill="auto"/>
          </w:tcPr>
          <w:p w14:paraId="2960573E"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6FFFB492"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FBF3715" w14:textId="77777777" w:rsidR="008E765F" w:rsidRPr="00C12274" w:rsidRDefault="008E765F" w:rsidP="00611251">
            <w:pPr>
              <w:pStyle w:val="RCTstable"/>
              <w:keepNext/>
            </w:pPr>
            <w:r w:rsidRPr="00C12274">
              <w:t xml:space="preserve">The treatment allocation system was set up so that the researcher who was in charge of randomly assigning participants to each group did not know in advance which treatment the next person would receive. </w:t>
            </w:r>
          </w:p>
        </w:tc>
      </w:tr>
      <w:tr w:rsidR="008E765F" w:rsidRPr="00C12274" w14:paraId="402EE0D3" w14:textId="77777777" w:rsidTr="00BC7AEC">
        <w:trPr>
          <w:cantSplit/>
        </w:trPr>
        <w:tc>
          <w:tcPr>
            <w:tcW w:w="1560" w:type="dxa"/>
            <w:shd w:val="clear" w:color="D9E2F3" w:themeColor="accent1" w:themeTint="33" w:fill="auto"/>
          </w:tcPr>
          <w:p w14:paraId="0E6C42F6" w14:textId="2A664E82" w:rsidR="008E765F" w:rsidRPr="00C12274" w:rsidRDefault="00C465B5" w:rsidP="00611251">
            <w:pPr>
              <w:spacing w:before="40" w:after="40" w:line="220" w:lineRule="exact"/>
              <w:rPr>
                <w:sz w:val="16"/>
                <w:szCs w:val="16"/>
              </w:rPr>
            </w:pPr>
            <w:r>
              <w:rPr>
                <w:sz w:val="16"/>
                <w:szCs w:val="16"/>
              </w:rPr>
              <w:t>Performance bias</w:t>
            </w:r>
            <w:r w:rsidR="008E765F" w:rsidRPr="00C12274">
              <w:rPr>
                <w:sz w:val="16"/>
                <w:szCs w:val="16"/>
              </w:rPr>
              <w:t xml:space="preserve"> </w:t>
            </w:r>
          </w:p>
        </w:tc>
        <w:tc>
          <w:tcPr>
            <w:tcW w:w="1275" w:type="dxa"/>
            <w:shd w:val="clear" w:color="D9E2F3" w:themeColor="accent1" w:themeTint="33" w:fill="FF4D19"/>
          </w:tcPr>
          <w:p w14:paraId="6A51A344" w14:textId="2A051FD6" w:rsidR="008E765F" w:rsidRPr="00C12274" w:rsidRDefault="00C465B5" w:rsidP="00611251">
            <w:pPr>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58F167FB" w14:textId="6A496E73" w:rsidR="008E765F" w:rsidRPr="00C12274" w:rsidRDefault="008E765F" w:rsidP="00C465B5">
            <w:pPr>
              <w:pStyle w:val="RCTstable"/>
            </w:pPr>
            <w:r w:rsidRPr="00C12274">
              <w:t>Single blind</w:t>
            </w:r>
            <w:r w:rsidR="00C465B5">
              <w:t>.</w:t>
            </w:r>
          </w:p>
        </w:tc>
      </w:tr>
      <w:tr w:rsidR="00C465B5" w:rsidRPr="00822EBF" w14:paraId="5387B31B" w14:textId="77777777" w:rsidTr="00BC7AEC">
        <w:trPr>
          <w:cantSplit/>
        </w:trPr>
        <w:tc>
          <w:tcPr>
            <w:tcW w:w="1560" w:type="dxa"/>
            <w:shd w:val="clear" w:color="D9E2F3" w:themeColor="accent1" w:themeTint="33" w:fill="auto"/>
          </w:tcPr>
          <w:p w14:paraId="0E9BC76A" w14:textId="77777777" w:rsidR="00C465B5" w:rsidRPr="00822EBF" w:rsidRDefault="00C465B5" w:rsidP="009740A7">
            <w:pPr>
              <w:pStyle w:val="RCTstable"/>
            </w:pPr>
            <w:r w:rsidRPr="00822EBF">
              <w:t>Detection bias</w:t>
            </w:r>
          </w:p>
        </w:tc>
        <w:tc>
          <w:tcPr>
            <w:tcW w:w="1275" w:type="dxa"/>
            <w:shd w:val="clear" w:color="D9E2F3" w:themeColor="accent1" w:themeTint="33" w:fill="70AD47" w:themeFill="accent6"/>
          </w:tcPr>
          <w:p w14:paraId="093DDDFD" w14:textId="087067A5" w:rsidR="00C465B5" w:rsidRPr="00822EBF" w:rsidRDefault="00C465B5" w:rsidP="009740A7">
            <w:pPr>
              <w:pStyle w:val="RCTstable"/>
            </w:pPr>
            <w:r>
              <w:t>Low</w:t>
            </w:r>
            <w:r w:rsidRPr="00822EBF">
              <w:t xml:space="preserve"> risk</w:t>
            </w:r>
          </w:p>
        </w:tc>
        <w:tc>
          <w:tcPr>
            <w:tcW w:w="11199" w:type="dxa"/>
            <w:shd w:val="clear" w:color="D9E2F3" w:themeColor="accent1" w:themeTint="33" w:fill="auto"/>
          </w:tcPr>
          <w:p w14:paraId="2579FA65" w14:textId="60E4DADD" w:rsidR="00C465B5" w:rsidRPr="00822EBF" w:rsidRDefault="00C465B5" w:rsidP="009740A7">
            <w:pPr>
              <w:pStyle w:val="RCTstable"/>
            </w:pPr>
            <w:r>
              <w:t>R</w:t>
            </w:r>
            <w:r w:rsidRPr="00C12274">
              <w:t>esearch assistants were blinded to group assignment.</w:t>
            </w:r>
          </w:p>
        </w:tc>
      </w:tr>
      <w:tr w:rsidR="008E765F" w:rsidRPr="00C12274" w14:paraId="4D3DC9B1" w14:textId="77777777" w:rsidTr="00BC7AEC">
        <w:trPr>
          <w:cantSplit/>
        </w:trPr>
        <w:tc>
          <w:tcPr>
            <w:tcW w:w="1560" w:type="dxa"/>
            <w:shd w:val="clear" w:color="D9E2F3" w:themeColor="accent1" w:themeTint="33" w:fill="auto"/>
          </w:tcPr>
          <w:p w14:paraId="6173D3EB"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3395D356"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15D9527A" w14:textId="77777777" w:rsidR="008E765F" w:rsidRPr="00C12274" w:rsidRDefault="008E765F" w:rsidP="00611251">
            <w:pPr>
              <w:spacing w:before="40" w:after="40" w:line="220" w:lineRule="exact"/>
              <w:rPr>
                <w:sz w:val="16"/>
                <w:szCs w:val="16"/>
                <w:lang w:val="en-US"/>
              </w:rPr>
            </w:pPr>
            <w:r w:rsidRPr="00C12274">
              <w:rPr>
                <w:sz w:val="16"/>
                <w:szCs w:val="16"/>
                <w:lang w:val="en-US"/>
              </w:rPr>
              <w:t>Overall attrition 11.25%; 8 (10%) women in the intervention group discontinued the intervention. 10 (12.5%) of women in the control group were lost to follow-up or discontinued participation. No ITT analysis.</w:t>
            </w:r>
          </w:p>
        </w:tc>
      </w:tr>
      <w:tr w:rsidR="008E765F" w:rsidRPr="00C12274" w14:paraId="22839D6F" w14:textId="77777777" w:rsidTr="00BC7AEC">
        <w:trPr>
          <w:cantSplit/>
        </w:trPr>
        <w:tc>
          <w:tcPr>
            <w:tcW w:w="1560" w:type="dxa"/>
            <w:shd w:val="clear" w:color="D9E2F3" w:themeColor="accent1" w:themeTint="33" w:fill="auto"/>
          </w:tcPr>
          <w:p w14:paraId="566F6E0E"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BDDF85D"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D8DC320"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0B92F736" w14:textId="77777777" w:rsidTr="00BC7AEC">
        <w:trPr>
          <w:cantSplit/>
        </w:trPr>
        <w:tc>
          <w:tcPr>
            <w:tcW w:w="1560" w:type="dxa"/>
            <w:shd w:val="clear" w:color="D9E2F3" w:themeColor="accent1" w:themeTint="33" w:fill="auto"/>
          </w:tcPr>
          <w:p w14:paraId="2E3B7A00"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AC42133"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113A7B25"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694823D3" w14:textId="77777777" w:rsidTr="00BC7AEC">
        <w:trPr>
          <w:cantSplit/>
        </w:trPr>
        <w:tc>
          <w:tcPr>
            <w:tcW w:w="14034" w:type="dxa"/>
            <w:gridSpan w:val="3"/>
            <w:shd w:val="solid" w:color="D9E2F3" w:themeColor="accent1" w:themeTint="33" w:fill="auto"/>
          </w:tcPr>
          <w:p w14:paraId="20229202" w14:textId="251E5041"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Barakat et al 2012</w:t>
            </w:r>
            <w:r>
              <w:rPr>
                <w:rFonts w:eastAsiaTheme="minorHAnsi"/>
                <w:b/>
                <w:noProof/>
                <w:sz w:val="16"/>
                <w:szCs w:val="16"/>
                <w:lang w:val="en-US"/>
              </w:rPr>
              <w:t>a</w:t>
            </w:r>
            <w:r>
              <w:rPr>
                <w:noProof/>
                <w:sz w:val="16"/>
                <w:szCs w:val="16"/>
              </w:rPr>
              <w:fldChar w:fldCharType="begin">
                <w:fldData xml:space="preserve">PEVuZE5vdGU+PENpdGU+PEF1dGhvcj5CYXJha2F0PC9BdXRob3I+PFllYXI+MjAxMTwvWWVhcj48
UmVjTnVtPjY2OTwvUmVjTnVtPjxEaXNwbGF5VGV4dD48c3R5bGUgZmFjZT0ic3VwZXJzY3JpcHQi
IGZvbnQ9IlRyZWJ1Y2hldCBNUyIgc2l6ZT0iOSI+NDI2LDQ1NDwvc3R5bGU+PC9EaXNwbGF5VGV4
dD48cmVjb3JkPjxyZWMtbnVtYmVyPjY2OTwvcmVjLW51bWJlcj48Zm9yZWlnbi1rZXlzPjxrZXkg
YXBwPSJFTiIgZGItaWQ9ImV4dmFzcmZ4MmR0cmFvZXNhc3hwMnN6c3hhMmRmNTAyNTkyeCIgdGlt
ZXN0YW1wPSIxNTQwNTI2NjI0Ij42Njk8L2tleT48L2ZvcmVpZ24ta2V5cz48cmVmLXR5cGUgbmFt
ZT0iSm91cm5hbCBBcnRpY2xlIj4xNzwvcmVmLXR5cGU+PGNvbnRyaWJ1dG9ycz48YXV0aG9ycz48
YXV0aG9yPkJhcmFrYXQsIFIuPC9hdXRob3I+PGF1dGhvcj5QZWxhZXosIE0uPC9hdXRob3I+PGF1
dGhvcj5Nb250ZWpvLCBSLjwvYXV0aG9yPjxhdXRob3I+THVhY2VzLCBNLjwvYXV0aG9yPjxhdXRo
b3I+WmFreW50aGluYWtpLCBNLjwvYXV0aG9yPjwvYXV0aG9ycz48L2NvbnRyaWJ1dG9ycz48YXV0
aC1hZGRyZXNzPkZhY3VsdGFkIGRlIENpZW5jaWFzIGRlIGxhIEFjdGl2aWRhZCBGaXNpY2EgeSBk
ZWwgRGVwb3J0ZSAtIElORUYsIFVuaXZlcnNpZGFkIFBvbGl0ZWNuaWNhIGRlIE1hZHJpZCwgU3Bh
aW4uPC9hdXRoLWFkZHJlc3M+PHRpdGxlcz48dGl0bGU+RXhlcmNpc2UgZHVyaW5nIHByZWduYW5j
eSBpbXByb3ZlcyBtYXRlcm5hbCBoZWFsdGggcGVyY2VwdGlvbjogYSByYW5kb21pemVkIGNvbnRy
b2xsZWQgdHJpYWw8L3RpdGxlPjxzZWNvbmRhcnktdGl0bGU+QW0gSiBPYnN0ZXQgR3luZWNvbDwv
c2Vjb25kYXJ5LXRpdGxlPjwvdGl0bGVzPjxwZXJpb2RpY2FsPjxmdWxsLXRpdGxlPkFtIEogT2Jz
dGV0IEd5bmVjb2w8L2Z1bGwtdGl0bGU+PC9wZXJpb2RpY2FsPjxwYWdlcz40MDIgZTEtNzwvcGFn
ZXM+PHZvbHVtZT4yMDQ8L3ZvbHVtZT48bnVtYmVyPjU8L251bWJlcj48ZWRpdGlvbj4yMDExLzAz
LzAxPC9lZGl0aW9uPjxrZXl3b3Jkcz48a2V5d29yZD5BZHVsdDwva2V5d29yZD48a2V5d29yZD5F
eGVyY2lzZS8qcHN5Y2hvbG9neTwva2V5d29yZD48a2V5d29yZD5GZW1hbGU8L2tleXdvcmQ+PGtl
eXdvcmQ+KkhlYWx0aCBTdGF0dXM8L2tleXdvcmQ+PGtleXdvcmQ+SHVtYW5zPC9rZXl3b3JkPjxr
ZXl3b3JkPk1hdGVybmFsIFdlbGZhcmUvKnBzeWNob2xvZ3k8L2tleXdvcmQ+PGtleXdvcmQ+KlBl
cmNlcHRpb248L2tleXdvcmQ+PGtleXdvcmQ+UHJlZ25hbmN5PC9rZXl3b3JkPjxrZXl3b3JkPlBy
ZWduYW5jeSBPdXRjb21lPC9rZXl3b3JkPjxrZXl3b3JkPlNlZGVudGFyeSBMaWZlc3R5bGU8L2tl
eXdvcmQ+PGtleXdvcmQ+V29tZW4mYXBvcztzIEhlYWx0aDwva2V5d29yZD48L2tleXdvcmRzPjxk
YXRlcz48eWVhcj4yMDExPC95ZWFyPjxwdWItZGF0ZXM+PGRhdGU+TWF5PC9kYXRlPjwvcHViLWRh
dGVzPjwvZGF0ZXM+PGlzYm4+MTA5Ny02ODY4IChFbGVjdHJvbmljKSYjeEQ7MDAwMi05Mzc4IChM
aW5raW5nKTwvaXNibj48YWNjZXNzaW9uLW51bT4yMTM1NDU0NzwvYWNjZXNzaW9uLW51bT48dXJs
cz48cmVsYXRlZC11cmxzPjx1cmw+aHR0cHM6Ly93d3cubmNiaS5ubG0ubmloLmdvdi9wdWJtZWQv
MjEzNTQ1NDc8L3VybD48L3JlbGF0ZWQtdXJscz48L3VybHM+PGVsZWN0cm9uaWMtcmVzb3VyY2Ut
bnVtPjEwLjEwMTYvai5ham9nLjIwMTEuMDEuMDQzPC9lbGVjdHJvbmljLXJlc291cmNlLW51bT48
L3JlY29yZD48L0NpdGU+PENpdGU+PEF1dGhvcj5CYXJha2F0PC9BdXRob3I+PFllYXI+MjAxMjwv
WWVhcj48UmVjTnVtPjY3MDwvUmVjTnVtPjxyZWNvcmQ+PHJlYy1udW1iZXI+NjcwPC9yZWMtbnVt
YmVyPjxmb3JlaWduLWtleXM+PGtleSBhcHA9IkVOIiBkYi1pZD0iZXh2YXNyZngyZHRyYW9lc2Fz
eHAyc3pzeGEyZGY1MDI1OTJ4IiB0aW1lc3RhbXA9IjE1NDA1MjY2MzYiPjY3MDwva2V5PjwvZm9y
ZWlnbi1rZXlzPjxyZWYtdHlwZSBuYW1lPSJKb3VybmFsIEFydGljbGUiPjE3PC9yZWYtdHlwZT48
Y29udHJpYnV0b3JzPjxhdXRob3JzPjxhdXRob3I+QmFyYWthdCwgUi48L2F1dGhvcj48YXV0aG9y
PkNvcmRlcm8sIFkuPC9hdXRob3I+PGF1dGhvcj5Db3Rlcm9uLCBKLjwvYXV0aG9yPjxhdXRob3I+
THVhY2VzLCBNLjwvYXV0aG9yPjxhdXRob3I+TW9udGVqbywgUi48L2F1dGhvcj48L2F1dGhvcnM+
PC9jb250cmlidXRvcnM+PGF1dGgtYWRkcmVzcz5GYWN1bHRhZCBkZSBDaWVuY2lhcyBkZSBsYSBB
Y3RpdmlkYWQgRmlzaWNhIHkgZGVsIERlcG9ydGUgLSBJTkVGLCBVbml2ZXJzaWRhZCBQb2xpdGVj
bmljYSBkZSBNYWRyaWQsIFNwYWluLiBiYXJha2F0cnViZW5AZ21haWwuY29tPC9hdXRoLWFkZHJl
c3M+PHRpdGxlcz48dGl0bGU+RXhlcmNpc2UgZHVyaW5nIHByZWduYW5jeSBpbXByb3ZlcyBtYXRl
cm5hbCBnbHVjb3NlIHNjcmVlbiBhdCAyNC0yOCB3ZWVrczogYSByYW5kb21pc2VkIGNvbnRyb2xs
ZWQgdHJpYWw8L3RpdGxlPjxzZWNvbmRhcnktdGl0bGU+QnIgSiBTcG9ydHMgTWVkPC9zZWNvbmRh
cnktdGl0bGU+PC90aXRsZXM+PHBlcmlvZGljYWw+PGZ1bGwtdGl0bGU+QnIgSiBTcG9ydHMgTWVk
PC9mdWxsLXRpdGxlPjwvcGVyaW9kaWNhbD48cGFnZXM+NjU2LTYxPC9wYWdlcz48dm9sdW1lPjQ2
PC92b2x1bWU+PG51bWJlcj45PC9udW1iZXI+PGVkaXRpb24+MjAxMS8wOS8yOTwvZWRpdGlvbj48
a2V5d29yZHM+PGtleXdvcmQ+QWR1bHQ8L2tleXdvcmQ+PGtleXdvcmQ+Qmxvb2QgR2x1Y29zZS8q
bWV0YWJvbGlzbTwva2V5d29yZD48a2V5d29yZD5EaWFiZXRlcywgR2VzdGF0aW9uYWwvYmxvb2Qv
KnByZXZlbnRpb24gJmFtcDsgY29udHJvbDwva2V5d29yZD48a2V5d29yZD5FeGVyY2lzZSBUaGVy
YXB5LyptZXRob2RzPC9rZXl3b3JkPjxrZXl3b3JkPkZlbWFsZTwva2V5d29yZD48a2V5d29yZD5H
bHVjb3NlIFRvbGVyYW5jZSBUZXN0PC9rZXl3b3JkPjxrZXl3b3JkPkh1bWFuczwva2V5d29yZD48
a2V5d29yZD5IeWRyb3RoZXJhcHk8L2tleXdvcmQ+PGtleXdvcmQ+UGF0aWVudCBDb21wbGlhbmNl
PC9rZXl3b3JkPjxrZXl3b3JkPlByZWduYW5jeTwva2V5d29yZD48a2V5d29yZD5QcmVnbmFuY3kg
T3V0Y29tZTwva2V5d29yZD48a2V5d29yZD5QcmVnbmFuY3kgVHJpbWVzdGVyLCBTZWNvbmQ8L2tl
eXdvcmQ+PGtleXdvcmQ+UHJlbmF0YWwgQ2FyZS8qbWV0aG9kczwva2V5d29yZD48a2V5d29yZD5X
ZWlnaHQgR2Fpbi9waHlzaW9sb2d5PC9rZXl3b3JkPjwva2V5d29yZHM+PGRhdGVzPjx5ZWFyPjIw
MTI8L3llYXI+PHB1Yi1kYXRlcz48ZGF0ZT5KdWw8L2RhdGU+PC9wdWItZGF0ZXM+PC9kYXRlcz48
aXNibj4xNDczLTA0ODAgKEVsZWN0cm9uaWMpJiN4RDswMzA2LTM2NzQgKExpbmtpbmcpPC9pc2Ju
PjxhY2Nlc3Npb24tbnVtPjIxOTQ4MTIwPC9hY2Nlc3Npb24tbnVtPjx1cmxzPjxyZWxhdGVkLXVy
bHM+PHVybD5odHRwczovL3d3dy5uY2JpLm5sbS5uaWguZ292L3B1Ym1lZC8yMTk0ODEyMDwvdXJs
PjwvcmVsYXRlZC11cmxzPjwvdXJscz48ZWxlY3Ryb25pYy1yZXNvdXJjZS1udW0+MTAuMTEzNi9i
anNwb3J0cy0yMDExLTA5MDAwOTwvZWxlY3Ryb25pYy1yZXNvdXJjZS1udW0+PC9yZWNvcmQ+PC9D
aXRlPjwvRW5kTm90ZT5=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PEVuZE5vdGU+PENpdGU+PEF1dGhvcj5CYXJha2F0PC9BdXRob3I+PFllYXI+MjAxMTwvWWVhcj48
UmVjTnVtPjY2OTwvUmVjTnVtPjxEaXNwbGF5VGV4dD48c3R5bGUgZmFjZT0ic3VwZXJzY3JpcHQi
IGZvbnQ9IlRyZWJ1Y2hldCBNUyIgc2l6ZT0iOSI+NDI2LDQ1NDwvc3R5bGU+PC9EaXNwbGF5VGV4
dD48cmVjb3JkPjxyZWMtbnVtYmVyPjY2OTwvcmVjLW51bWJlcj48Zm9yZWlnbi1rZXlzPjxrZXkg
YXBwPSJFTiIgZGItaWQ9ImV4dmFzcmZ4MmR0cmFvZXNhc3hwMnN6c3hhMmRmNTAyNTkyeCIgdGlt
ZXN0YW1wPSIxNTQwNTI2NjI0Ij42Njk8L2tleT48L2ZvcmVpZ24ta2V5cz48cmVmLXR5cGUgbmFt
ZT0iSm91cm5hbCBBcnRpY2xlIj4xNzwvcmVmLXR5cGU+PGNvbnRyaWJ1dG9ycz48YXV0aG9ycz48
YXV0aG9yPkJhcmFrYXQsIFIuPC9hdXRob3I+PGF1dGhvcj5QZWxhZXosIE0uPC9hdXRob3I+PGF1
dGhvcj5Nb250ZWpvLCBSLjwvYXV0aG9yPjxhdXRob3I+THVhY2VzLCBNLjwvYXV0aG9yPjxhdXRo
b3I+WmFreW50aGluYWtpLCBNLjwvYXV0aG9yPjwvYXV0aG9ycz48L2NvbnRyaWJ1dG9ycz48YXV0
aC1hZGRyZXNzPkZhY3VsdGFkIGRlIENpZW5jaWFzIGRlIGxhIEFjdGl2aWRhZCBGaXNpY2EgeSBk
ZWwgRGVwb3J0ZSAtIElORUYsIFVuaXZlcnNpZGFkIFBvbGl0ZWNuaWNhIGRlIE1hZHJpZCwgU3Bh
aW4uPC9hdXRoLWFkZHJlc3M+PHRpdGxlcz48dGl0bGU+RXhlcmNpc2UgZHVyaW5nIHByZWduYW5j
eSBpbXByb3ZlcyBtYXRlcm5hbCBoZWFsdGggcGVyY2VwdGlvbjogYSByYW5kb21pemVkIGNvbnRy
b2xsZWQgdHJpYWw8L3RpdGxlPjxzZWNvbmRhcnktdGl0bGU+QW0gSiBPYnN0ZXQgR3luZWNvbDwv
c2Vjb25kYXJ5LXRpdGxlPjwvdGl0bGVzPjxwZXJpb2RpY2FsPjxmdWxsLXRpdGxlPkFtIEogT2Jz
dGV0IEd5bmVjb2w8L2Z1bGwtdGl0bGU+PC9wZXJpb2RpY2FsPjxwYWdlcz40MDIgZTEtNzwvcGFn
ZXM+PHZvbHVtZT4yMDQ8L3ZvbHVtZT48bnVtYmVyPjU8L251bWJlcj48ZWRpdGlvbj4yMDExLzAz
LzAxPC9lZGl0aW9uPjxrZXl3b3Jkcz48a2V5d29yZD5BZHVsdDwva2V5d29yZD48a2V5d29yZD5F
eGVyY2lzZS8qcHN5Y2hvbG9neTwva2V5d29yZD48a2V5d29yZD5GZW1hbGU8L2tleXdvcmQ+PGtl
eXdvcmQ+KkhlYWx0aCBTdGF0dXM8L2tleXdvcmQ+PGtleXdvcmQ+SHVtYW5zPC9rZXl3b3JkPjxr
ZXl3b3JkPk1hdGVybmFsIFdlbGZhcmUvKnBzeWNob2xvZ3k8L2tleXdvcmQ+PGtleXdvcmQ+KlBl
cmNlcHRpb248L2tleXdvcmQ+PGtleXdvcmQ+UHJlZ25hbmN5PC9rZXl3b3JkPjxrZXl3b3JkPlBy
ZWduYW5jeSBPdXRjb21lPC9rZXl3b3JkPjxrZXl3b3JkPlNlZGVudGFyeSBMaWZlc3R5bGU8L2tl
eXdvcmQ+PGtleXdvcmQ+V29tZW4mYXBvcztzIEhlYWx0aDwva2V5d29yZD48L2tleXdvcmRzPjxk
YXRlcz48eWVhcj4yMDExPC95ZWFyPjxwdWItZGF0ZXM+PGRhdGU+TWF5PC9kYXRlPjwvcHViLWRh
dGVzPjwvZGF0ZXM+PGlzYm4+MTA5Ny02ODY4IChFbGVjdHJvbmljKSYjeEQ7MDAwMi05Mzc4IChM
aW5raW5nKTwvaXNibj48YWNjZXNzaW9uLW51bT4yMTM1NDU0NzwvYWNjZXNzaW9uLW51bT48dXJs
cz48cmVsYXRlZC11cmxzPjx1cmw+aHR0cHM6Ly93d3cubmNiaS5ubG0ubmloLmdvdi9wdWJtZWQv
MjEzNTQ1NDc8L3VybD48L3JlbGF0ZWQtdXJscz48L3VybHM+PGVsZWN0cm9uaWMtcmVzb3VyY2Ut
bnVtPjEwLjEwMTYvai5ham9nLjIwMTEuMDEuMDQzPC9lbGVjdHJvbmljLXJlc291cmNlLW51bT48
L3JlY29yZD48L0NpdGU+PENpdGU+PEF1dGhvcj5CYXJha2F0PC9BdXRob3I+PFllYXI+MjAxMjwv
WWVhcj48UmVjTnVtPjY3MDwvUmVjTnVtPjxyZWNvcmQ+PHJlYy1udW1iZXI+NjcwPC9yZWMtbnVt
YmVyPjxmb3JlaWduLWtleXM+PGtleSBhcHA9IkVOIiBkYi1pZD0iZXh2YXNyZngyZHRyYW9lc2Fz
eHAyc3pzeGEyZGY1MDI1OTJ4IiB0aW1lc3RhbXA9IjE1NDA1MjY2MzYiPjY3MDwva2V5PjwvZm9y
ZWlnbi1rZXlzPjxyZWYtdHlwZSBuYW1lPSJKb3VybmFsIEFydGljbGUiPjE3PC9yZWYtdHlwZT48
Y29udHJpYnV0b3JzPjxhdXRob3JzPjxhdXRob3I+QmFyYWthdCwgUi48L2F1dGhvcj48YXV0aG9y
PkNvcmRlcm8sIFkuPC9hdXRob3I+PGF1dGhvcj5Db3Rlcm9uLCBKLjwvYXV0aG9yPjxhdXRob3I+
THVhY2VzLCBNLjwvYXV0aG9yPjxhdXRob3I+TW9udGVqbywgUi48L2F1dGhvcj48L2F1dGhvcnM+
PC9jb250cmlidXRvcnM+PGF1dGgtYWRkcmVzcz5GYWN1bHRhZCBkZSBDaWVuY2lhcyBkZSBsYSBB
Y3RpdmlkYWQgRmlzaWNhIHkgZGVsIERlcG9ydGUgLSBJTkVGLCBVbml2ZXJzaWRhZCBQb2xpdGVj
bmljYSBkZSBNYWRyaWQsIFNwYWluLiBiYXJha2F0cnViZW5AZ21haWwuY29tPC9hdXRoLWFkZHJl
c3M+PHRpdGxlcz48dGl0bGU+RXhlcmNpc2UgZHVyaW5nIHByZWduYW5jeSBpbXByb3ZlcyBtYXRl
cm5hbCBnbHVjb3NlIHNjcmVlbiBhdCAyNC0yOCB3ZWVrczogYSByYW5kb21pc2VkIGNvbnRyb2xs
ZWQgdHJpYWw8L3RpdGxlPjxzZWNvbmRhcnktdGl0bGU+QnIgSiBTcG9ydHMgTWVkPC9zZWNvbmRh
cnktdGl0bGU+PC90aXRsZXM+PHBlcmlvZGljYWw+PGZ1bGwtdGl0bGU+QnIgSiBTcG9ydHMgTWVk
PC9mdWxsLXRpdGxlPjwvcGVyaW9kaWNhbD48cGFnZXM+NjU2LTYxPC9wYWdlcz48dm9sdW1lPjQ2
PC92b2x1bWU+PG51bWJlcj45PC9udW1iZXI+PGVkaXRpb24+MjAxMS8wOS8yOTwvZWRpdGlvbj48
a2V5d29yZHM+PGtleXdvcmQ+QWR1bHQ8L2tleXdvcmQ+PGtleXdvcmQ+Qmxvb2QgR2x1Y29zZS8q
bWV0YWJvbGlzbTwva2V5d29yZD48a2V5d29yZD5EaWFiZXRlcywgR2VzdGF0aW9uYWwvYmxvb2Qv
KnByZXZlbnRpb24gJmFtcDsgY29udHJvbDwva2V5d29yZD48a2V5d29yZD5FeGVyY2lzZSBUaGVy
YXB5LyptZXRob2RzPC9rZXl3b3JkPjxrZXl3b3JkPkZlbWFsZTwva2V5d29yZD48a2V5d29yZD5H
bHVjb3NlIFRvbGVyYW5jZSBUZXN0PC9rZXl3b3JkPjxrZXl3b3JkPkh1bWFuczwva2V5d29yZD48
a2V5d29yZD5IeWRyb3RoZXJhcHk8L2tleXdvcmQ+PGtleXdvcmQ+UGF0aWVudCBDb21wbGlhbmNl
PC9rZXl3b3JkPjxrZXl3b3JkPlByZWduYW5jeTwva2V5d29yZD48a2V5d29yZD5QcmVnbmFuY3kg
T3V0Y29tZTwva2V5d29yZD48a2V5d29yZD5QcmVnbmFuY3kgVHJpbWVzdGVyLCBTZWNvbmQ8L2tl
eXdvcmQ+PGtleXdvcmQ+UHJlbmF0YWwgQ2FyZS8qbWV0aG9kczwva2V5d29yZD48a2V5d29yZD5X
ZWlnaHQgR2Fpbi9waHlzaW9sb2d5PC9rZXl3b3JkPjwva2V5d29yZHM+PGRhdGVzPjx5ZWFyPjIw
MTI8L3llYXI+PHB1Yi1kYXRlcz48ZGF0ZT5KdWw8L2RhdGU+PC9wdWItZGF0ZXM+PC9kYXRlcz48
aXNibj4xNDczLTA0ODAgKEVsZWN0cm9uaWMpJiN4RDswMzA2LTM2NzQgKExpbmtpbmcpPC9pc2Ju
PjxhY2Nlc3Npb24tbnVtPjIxOTQ4MTIwPC9hY2Nlc3Npb24tbnVtPjx1cmxzPjxyZWxhdGVkLXVy
bHM+PHVybD5odHRwczovL3d3dy5uY2JpLm5sbS5uaWguZ292L3B1Ym1lZC8yMTk0ODEyMDwvdXJs
PjwvcmVsYXRlZC11cmxzPjwvdXJscz48ZWxlY3Ryb25pYy1yZXNvdXJjZS1udW0+MTAuMTEzNi9i
anNwb3J0cy0yMDExLTA5MDAwOTwvZWxlY3Ryb25pYy1yZXNvdXJjZS1udW0+PC9yZWNvcmQ+PC9D
aXRlPjwvRW5kTm90ZT5=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426,454</w:t>
            </w:r>
            <w:r>
              <w:rPr>
                <w:noProof/>
                <w:sz w:val="16"/>
                <w:szCs w:val="16"/>
              </w:rPr>
              <w:fldChar w:fldCharType="end"/>
            </w:r>
          </w:p>
        </w:tc>
      </w:tr>
      <w:tr w:rsidR="008E765F" w:rsidRPr="00C12274" w14:paraId="2B9F4759" w14:textId="77777777" w:rsidTr="00BC7AEC">
        <w:trPr>
          <w:cantSplit/>
        </w:trPr>
        <w:tc>
          <w:tcPr>
            <w:tcW w:w="1560" w:type="dxa"/>
            <w:shd w:val="clear" w:color="D9E2F3" w:themeColor="accent1" w:themeTint="33" w:fill="auto"/>
          </w:tcPr>
          <w:p w14:paraId="0F935256"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21CA6A50"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D5D33F6" w14:textId="77777777" w:rsidR="008E765F" w:rsidRPr="00C12274" w:rsidRDefault="008E765F" w:rsidP="006045AE">
            <w:pPr>
              <w:keepNext/>
              <w:spacing w:before="40" w:after="40" w:line="220" w:lineRule="exact"/>
              <w:rPr>
                <w:sz w:val="16"/>
                <w:szCs w:val="16"/>
              </w:rPr>
            </w:pPr>
            <w:r w:rsidRPr="00C12274">
              <w:rPr>
                <w:sz w:val="16"/>
                <w:szCs w:val="16"/>
              </w:rPr>
              <w:t>Not described</w:t>
            </w:r>
          </w:p>
        </w:tc>
      </w:tr>
      <w:tr w:rsidR="008E765F" w:rsidRPr="00C12274" w14:paraId="54705E30" w14:textId="77777777" w:rsidTr="00BC7AEC">
        <w:trPr>
          <w:cantSplit/>
        </w:trPr>
        <w:tc>
          <w:tcPr>
            <w:tcW w:w="1560" w:type="dxa"/>
            <w:shd w:val="clear" w:color="D9E2F3" w:themeColor="accent1" w:themeTint="33" w:fill="auto"/>
          </w:tcPr>
          <w:p w14:paraId="1880F93A"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26E5DC05"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B367D43" w14:textId="77777777" w:rsidR="008E765F" w:rsidRPr="00C12274" w:rsidRDefault="008E765F" w:rsidP="006045AE">
            <w:pPr>
              <w:keepNext/>
              <w:spacing w:before="40" w:after="40" w:line="220" w:lineRule="exact"/>
              <w:rPr>
                <w:sz w:val="16"/>
                <w:szCs w:val="16"/>
              </w:rPr>
            </w:pPr>
            <w:r w:rsidRPr="00C12274">
              <w:rPr>
                <w:sz w:val="16"/>
                <w:szCs w:val="16"/>
              </w:rPr>
              <w:t>Not described</w:t>
            </w:r>
          </w:p>
        </w:tc>
      </w:tr>
      <w:tr w:rsidR="008E765F" w:rsidRPr="00C12274" w14:paraId="2C6FCC04" w14:textId="77777777" w:rsidTr="00BC7AEC">
        <w:trPr>
          <w:cantSplit/>
        </w:trPr>
        <w:tc>
          <w:tcPr>
            <w:tcW w:w="1560" w:type="dxa"/>
            <w:shd w:val="clear" w:color="D9E2F3" w:themeColor="accent1" w:themeTint="33" w:fill="auto"/>
          </w:tcPr>
          <w:p w14:paraId="75DA3206" w14:textId="77777777" w:rsidR="008E765F" w:rsidRPr="00C12274" w:rsidRDefault="008E765F" w:rsidP="006045A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4EBE012C"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A3FCB86" w14:textId="77777777" w:rsidR="008E765F" w:rsidRPr="00C12274" w:rsidRDefault="008E765F" w:rsidP="006045AE">
            <w:pPr>
              <w:keepNext/>
              <w:spacing w:before="40" w:after="40" w:line="220" w:lineRule="exact"/>
              <w:rPr>
                <w:sz w:val="16"/>
                <w:szCs w:val="16"/>
              </w:rPr>
            </w:pPr>
            <w:r w:rsidRPr="00C12274">
              <w:rPr>
                <w:sz w:val="16"/>
                <w:szCs w:val="16"/>
              </w:rPr>
              <w:t>Not described</w:t>
            </w:r>
          </w:p>
        </w:tc>
      </w:tr>
      <w:tr w:rsidR="00C465B5" w:rsidRPr="00822EBF" w14:paraId="4521022A" w14:textId="77777777" w:rsidTr="00BC7AEC">
        <w:trPr>
          <w:cantSplit/>
        </w:trPr>
        <w:tc>
          <w:tcPr>
            <w:tcW w:w="1560" w:type="dxa"/>
            <w:shd w:val="clear" w:color="D9E2F3" w:themeColor="accent1" w:themeTint="33" w:fill="auto"/>
          </w:tcPr>
          <w:p w14:paraId="3970FDD9" w14:textId="77777777" w:rsidR="00C465B5" w:rsidRPr="00822EBF" w:rsidRDefault="00C465B5" w:rsidP="009740A7">
            <w:pPr>
              <w:pStyle w:val="RCTstable"/>
            </w:pPr>
            <w:r w:rsidRPr="00822EBF">
              <w:t>Detection bias</w:t>
            </w:r>
          </w:p>
        </w:tc>
        <w:tc>
          <w:tcPr>
            <w:tcW w:w="1275" w:type="dxa"/>
            <w:shd w:val="clear" w:color="D9E2F3" w:themeColor="accent1" w:themeTint="33" w:fill="FFC000" w:themeFill="accent4"/>
          </w:tcPr>
          <w:p w14:paraId="3EC73A7C" w14:textId="4D43F74A" w:rsidR="00C465B5" w:rsidRPr="00822EBF" w:rsidRDefault="00C465B5" w:rsidP="009740A7">
            <w:pPr>
              <w:pStyle w:val="RCTstable"/>
            </w:pPr>
            <w:r>
              <w:t>Unclear</w:t>
            </w:r>
            <w:r w:rsidRPr="00822EBF">
              <w:t xml:space="preserve"> risk</w:t>
            </w:r>
          </w:p>
        </w:tc>
        <w:tc>
          <w:tcPr>
            <w:tcW w:w="11199" w:type="dxa"/>
            <w:shd w:val="clear" w:color="D9E2F3" w:themeColor="accent1" w:themeTint="33" w:fill="auto"/>
          </w:tcPr>
          <w:p w14:paraId="7C1B79EA" w14:textId="5F5C0998" w:rsidR="00C465B5" w:rsidRPr="00822EBF" w:rsidRDefault="00C465B5" w:rsidP="009740A7">
            <w:pPr>
              <w:pStyle w:val="RCTstable"/>
            </w:pPr>
            <w:r w:rsidRPr="00C12274">
              <w:t>Not described</w:t>
            </w:r>
          </w:p>
        </w:tc>
      </w:tr>
      <w:tr w:rsidR="008E765F" w:rsidRPr="00C12274" w14:paraId="4B27E276" w14:textId="77777777" w:rsidTr="00BC7AEC">
        <w:trPr>
          <w:cantSplit/>
        </w:trPr>
        <w:tc>
          <w:tcPr>
            <w:tcW w:w="1560" w:type="dxa"/>
            <w:shd w:val="clear" w:color="D9E2F3" w:themeColor="accent1" w:themeTint="33" w:fill="auto"/>
          </w:tcPr>
          <w:p w14:paraId="57F2845A"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0DCC54CE"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2DE09B9" w14:textId="77777777" w:rsidR="008E765F" w:rsidRPr="00C12274" w:rsidRDefault="008E765F" w:rsidP="00611251">
            <w:pPr>
              <w:spacing w:before="40" w:after="40" w:line="220" w:lineRule="exact"/>
              <w:rPr>
                <w:sz w:val="16"/>
                <w:szCs w:val="16"/>
                <w:lang w:val="en-US"/>
              </w:rPr>
            </w:pPr>
            <w:r w:rsidRPr="00C12274">
              <w:rPr>
                <w:sz w:val="16"/>
                <w:szCs w:val="16"/>
                <w:lang w:val="en-US"/>
              </w:rPr>
              <w:t>Overall attrition 17%; 10 women (20%) from the intervention group and 7 (14%) women from the control group were not included in the final analysis; reasons provided. No ITT analysis.</w:t>
            </w:r>
          </w:p>
        </w:tc>
      </w:tr>
      <w:tr w:rsidR="008E765F" w:rsidRPr="00C12274" w14:paraId="4B361531" w14:textId="77777777" w:rsidTr="00BC7AEC">
        <w:trPr>
          <w:cantSplit/>
        </w:trPr>
        <w:tc>
          <w:tcPr>
            <w:tcW w:w="1560" w:type="dxa"/>
            <w:shd w:val="clear" w:color="D9E2F3" w:themeColor="accent1" w:themeTint="33" w:fill="auto"/>
          </w:tcPr>
          <w:p w14:paraId="5427A434"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FD348D8"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79E33CD"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3125A375" w14:textId="77777777" w:rsidTr="00BC7AEC">
        <w:trPr>
          <w:cantSplit/>
        </w:trPr>
        <w:tc>
          <w:tcPr>
            <w:tcW w:w="1560" w:type="dxa"/>
            <w:shd w:val="clear" w:color="D9E2F3" w:themeColor="accent1" w:themeTint="33" w:fill="auto"/>
          </w:tcPr>
          <w:p w14:paraId="74D7CAD8"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FFC000" w:themeFill="accent4"/>
          </w:tcPr>
          <w:p w14:paraId="158DBCB4" w14:textId="77777777" w:rsidR="008E765F" w:rsidRPr="00C12274" w:rsidRDefault="008E765F" w:rsidP="00611251">
            <w:pPr>
              <w:spacing w:before="40" w:after="40" w:line="220" w:lineRule="exact"/>
              <w:rPr>
                <w:sz w:val="16"/>
                <w:szCs w:val="16"/>
                <w:lang w:val="en-US"/>
              </w:rPr>
            </w:pPr>
            <w:r w:rsidRPr="00C12274">
              <w:rPr>
                <w:sz w:val="16"/>
                <w:szCs w:val="16"/>
                <w:lang w:val="en-US"/>
              </w:rPr>
              <w:t>Unclear risk</w:t>
            </w:r>
          </w:p>
        </w:tc>
        <w:tc>
          <w:tcPr>
            <w:tcW w:w="11199" w:type="dxa"/>
            <w:shd w:val="clear" w:color="D9E2F3" w:themeColor="accent1" w:themeTint="33" w:fill="auto"/>
          </w:tcPr>
          <w:p w14:paraId="798CFF28" w14:textId="77777777" w:rsidR="008E765F" w:rsidRPr="00C12274" w:rsidRDefault="008E765F" w:rsidP="00611251">
            <w:pPr>
              <w:spacing w:before="40" w:after="40" w:line="220" w:lineRule="exact"/>
              <w:rPr>
                <w:sz w:val="16"/>
                <w:szCs w:val="16"/>
                <w:lang w:val="en-US"/>
              </w:rPr>
            </w:pPr>
            <w:r w:rsidRPr="00C12274">
              <w:rPr>
                <w:sz w:val="16"/>
                <w:szCs w:val="16"/>
                <w:lang w:val="en-US"/>
              </w:rPr>
              <w:t>There was a significant difference in levels of maternal education between groups at baseline.</w:t>
            </w:r>
          </w:p>
        </w:tc>
      </w:tr>
      <w:tr w:rsidR="008E765F" w:rsidRPr="00C12274" w14:paraId="746598B5" w14:textId="77777777" w:rsidTr="00BC7AEC">
        <w:trPr>
          <w:cantSplit/>
        </w:trPr>
        <w:tc>
          <w:tcPr>
            <w:tcW w:w="14034" w:type="dxa"/>
            <w:gridSpan w:val="3"/>
            <w:shd w:val="solid" w:color="D9E2F3" w:themeColor="accent1" w:themeTint="33" w:fill="auto"/>
          </w:tcPr>
          <w:p w14:paraId="0BFC9826" w14:textId="7ECDD9C8"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Barakat et al 2012b</w:t>
            </w:r>
            <w:r>
              <w:rPr>
                <w:noProof/>
                <w:sz w:val="16"/>
                <w:szCs w:val="16"/>
              </w:rPr>
              <w:fldChar w:fldCharType="begin">
                <w:fldData xml:space="preserve">PEVuZE5vdGU+PENpdGU+PEF1dGhvcj5CYXJha2F0PC9BdXRob3I+PFllYXI+MjAxMjwvWWVhcj48
UmVjTnVtPjY3MTwvUmVjTnVtPjxEaXNwbGF5VGV4dD48c3R5bGUgZmFjZT0ic3VwZXJzY3JpcHQi
IGZvbnQ9IlRyZWJ1Y2hldCBNUyIgc2l6ZT0iOSI+NDI3LDUzMzwvc3R5bGU+PC9EaXNwbGF5VGV4
dD48cmVjb3JkPjxyZWMtbnVtYmVyPjY3MTwvcmVjLW51bWJlcj48Zm9yZWlnbi1rZXlzPjxrZXkg
YXBwPSJFTiIgZGItaWQ9ImV4dmFzcmZ4MmR0cmFvZXNhc3hwMnN6c3hhMmRmNTAyNTkyeCIgdGlt
ZXN0YW1wPSIxNTQwNTI2Njc0Ij42NzE8L2tleT48L2ZvcmVpZ24ta2V5cz48cmVmLXR5cGUgbmFt
ZT0iSm91cm5hbCBBcnRpY2xlIj4xNzwvcmVmLXR5cGU+PGNvbnRyaWJ1dG9ycz48YXV0aG9ycz48
YXV0aG9yPkJhcmFrYXQsIFIuPC9hdXRob3I+PGF1dGhvcj5QZWxhZXosIE0uPC9hdXRob3I+PGF1
dGhvcj5Mb3BleiwgQy48L2F1dGhvcj48YXV0aG9yPk1vbnRlam8sIFIuPC9hdXRob3I+PGF1dGhv
cj5Db3Rlcm9uLCBKLjwvYXV0aG9yPjwvYXV0aG9ycz48L2NvbnRyaWJ1dG9ycz48YXV0aC1hZGRy
ZXNzPlRlY2huaWNhbCBVbml2ZXJzaXR5IG9mIE1hZHJpZCAoVVBNKSwgTWFkcmlkLCBTcGFpbi4g
YmFyYWthdHJ1YmVuQGdtYWlsLmNvbTwvYXV0aC1hZGRyZXNzPjx0aXRsZXM+PHRpdGxlPkV4ZXJj
aXNlIGR1cmluZyBwcmVnbmFuY3kgcmVkdWNlcyB0aGUgcmF0ZSBvZiBjZXNhcmVhbiBhbmQgaW5z
dHJ1bWVudGFsIGRlbGl2ZXJpZXM6IHJlc3VsdHMgb2YgYSByYW5kb21pemVkIGNvbnRyb2xsZWQg
dHJpYWw8L3RpdGxlPjxzZWNvbmRhcnktdGl0bGU+SiBNYXRlcm4gRmV0YWwgTmVvbmF0YWwgTWVk
PC9zZWNvbmRhcnktdGl0bGU+PC90aXRsZXM+PHBlcmlvZGljYWw+PGZ1bGwtdGl0bGU+SiBNYXRl
cm4gRmV0YWwgTmVvbmF0YWwgTWVkPC9mdWxsLXRpdGxlPjwvcGVyaW9kaWNhbD48cGFnZXM+MjM3
Mi02PC9wYWdlcz48dm9sdW1lPjI1PC92b2x1bWU+PG51bWJlcj4xMTwvbnVtYmVyPjxlZGl0aW9u
PjIwMTIvMDYvMjI8L2VkaXRpb24+PGtleXdvcmRzPjxrZXl3b3JkPkFkdWx0PC9rZXl3b3JkPjxr
ZXl3b3JkPkNlc2FyZWFuIFNlY3Rpb24vKnN0YXRpc3RpY3MgJmFtcDsgbnVtZXJpY2FsIGRhdGE8
L2tleXdvcmQ+PGtleXdvcmQ+RGVsaXZlcnksIE9ic3RldHJpYy9pbnN0cnVtZW50YXRpb24vKm1l
dGhvZHMvKnN0YXRpc3RpY3MgJmFtcDsgbnVtZXJpY2FsIGRhdGE8L2tleXdvcmQ+PGtleXdvcmQ+
RXhlcmNpc2UvKnBoeXNpb2xvZ3k8L2tleXdvcmQ+PGtleXdvcmQ+RXhlcmNpc2UgVGhlcmFweS9h
ZHZlcnNlIGVmZmVjdHMvbWV0aG9kczwva2V5d29yZD48a2V5d29yZD5GZW1hbGU8L2tleXdvcmQ+
PGtleXdvcmQ+Rm9sbG93LVVwIFN0dWRpZXM8L2tleXdvcmQ+PGtleXdvcmQ+SHVtYW5zPC9rZXl3
b3JkPjxrZXl3b3JkPkluZmFudCwgTmV3Ym9ybjwva2V5d29yZD48a2V5d29yZD5QYXRpZW50IENv
bXBsaWFuY2Uvc3RhdGlzdGljcyAmYW1wOyBudW1lcmljYWwgZGF0YTwva2V5d29yZD48a2V5d29y
ZD5QaHlzaWNhbCBGaXRuZXNzL3BoeXNpb2xvZ3k8L2tleXdvcmQ+PGtleXdvcmQ+UHJlZ25hbmN5
PC9rZXl3b3JkPjxrZXl3b3JkPlByZWduYW5jeSBPdXRjb21lLyplcGlkZW1pb2xvZ3k8L2tleXdv
cmQ+PGtleXdvcmQ+U3VyZ2ljYWwgSW5zdHJ1bWVudHMvKnN0YXRpc3RpY3MgJmFtcDsgbnVtZXJp
Y2FsIGRhdGE8L2tleXdvcmQ+PC9rZXl3b3Jkcz48ZGF0ZXM+PHllYXI+MjAxMjwveWVhcj48cHVi
LWRhdGVzPjxkYXRlPk5vdjwvZGF0ZT48L3B1Yi1kYXRlcz48L2RhdGVzPjxpc2JuPjE0NzYtNDk1
NCAoRWxlY3Ryb25pYykmI3hEOzE0NzYtNDk1NCAoTGlua2luZyk8L2lzYm4+PGFjY2Vzc2lvbi1u
dW0+MjI3MTU5ODE8L2FjY2Vzc2lvbi1udW0+PHVybHM+PHJlbGF0ZWQtdXJscz48dXJsPmh0dHBz
Oi8vd3d3Lm5jYmkubmxtLm5paC5nb3YvcHVibWVkLzIyNzE1OTgxPC91cmw+PC9yZWxhdGVkLXVy
bHM+PC91cmxzPjxlbGVjdHJvbmljLXJlc291cmNlLW51bT4xMC4zMTA5LzE0NzY3MDU4LjIwMTIu
Njk2MTY1PC9lbGVjdHJvbmljLXJlc291cmNlLW51bT48L3JlY29yZD48L0NpdGU+PENpdGU+PEF1
dGhvcj5CYXJha2F0PC9BdXRob3I+PFllYXI+MjAxNDwvWWVhcj48UmVjTnVtPjY3NTwvUmVjTnVt
PjxyZWNvcmQ+PHJlYy1udW1iZXI+Njc1PC9yZWMtbnVtYmVyPjxmb3JlaWduLWtleXM+PGtleSBh
cHA9IkVOIiBkYi1pZD0iZXh2YXNyZngyZHRyYW9lc2FzeHAyc3pzeGEyZGY1MDI1OTJ4IiB0aW1l
c3RhbXA9IjE1NDA1MjY3NDkiPjY3NTwva2V5PjwvZm9yZWlnbi1rZXlzPjxyZWYtdHlwZSBuYW1l
PSJKb3VybmFsIEFydGljbGUiPjE3PC9yZWYtdHlwZT48Y29udHJpYnV0b3JzPjxhdXRob3JzPjxh
dXRob3I+QmFyYWthdCwgUi48L2F1dGhvcj48YXV0aG9yPlBlbGFleiwgTS48L2F1dGhvcj48YXV0
aG9yPk1vbnRlam8sIFIuPC9hdXRob3I+PGF1dGhvcj5SZWZveW8sIEkuPC9hdXRob3I+PGF1dGhv
cj5Db3Rlcm9uLCBKLjwvYXV0aG9yPjwvYXV0aG9ycz48L2NvbnRyaWJ1dG9ycz48YXV0aC1hZGRy
ZXNzPlNvY2lhbCBTY2llbmNlcyBvZiBQaHlzaWNhbCBBY3Rpdml0eSBhbmQgU3BvcnRzLCBUZWNo
bmljYWwgVW5pdmVyc2l0eSBvZiBNYWRyaWQsIFNwYWluLjwvYXV0aC1hZGRyZXNzPjx0aXRsZXM+
PHRpdGxlPkV4ZXJjaXNlIHRocm91Z2hvdXQgcHJlZ25hbmN5IGRvZXMgbm90IGNhdXNlIHByZXRl
cm0gZGVsaXZlcnk6IGEgcmFuZG9taXplZCwgY29udHJvbGxlZCB0cmlhbDwvdGl0bGU+PHNlY29u
ZGFyeS10aXRsZT5KIFBoeXMgQWN0IEhlYWx0aDwvc2Vjb25kYXJ5LXRpdGxlPjwvdGl0bGVzPjxw
ZXJpb2RpY2FsPjxmdWxsLXRpdGxlPkogUGh5cyBBY3QgSGVhbHRoPC9mdWxsLXRpdGxlPjwvcGVy
aW9kaWNhbD48cGFnZXM+MTAxMi03PC9wYWdlcz48dm9sdW1lPjExPC92b2x1bWU+PG51bWJlcj41
PC9udW1iZXI+PGVkaXRpb24+MjAxMy8wNS8xNzwvZWRpdGlvbj48a2V5d29yZHM+PGtleXdvcmQ+
QWR1bHQ8L2tleXdvcmQ+PGtleXdvcmQ+QW5hbHlzaXMgb2YgVmFyaWFuY2U8L2tleXdvcmQ+PGtl
eXdvcmQ+RmVtYWxlPC9rZXl3b3JkPjxrZXl3b3JkPkdlc3RhdGlvbmFsIEFnZTwva2V5d29yZD48
a2V5d29yZD5IdW1hbnM8L2tleXdvcmQ+PGtleXdvcmQ+SW5mYW50LCBOZXdib3JuPC9rZXl3b3Jk
PjxrZXl3b3JkPipNb3RvciBBY3Rpdml0eTwva2V5d29yZD48a2V5d29yZD4qUGh5c2ljYWwgQ29u
ZGl0aW9uaW5nLCBIdW1hbjwva2V5d29yZD48a2V5d29yZD4qUHJlZ25hbmN5PC9rZXl3b3JkPjxr
ZXl3b3JkPlByZWduYW5jeSBPdXRjb21lPC9rZXl3b3JkPjxrZXl3b3JkPlByZWduYW5jeSBUcmlt
ZXN0ZXIsIFNlY29uZC9waHlzaW9sb2d5PC9rZXl3b3JkPjxrZXl3b3JkPlByZWduYW5jeSBUcmlt
ZXN0ZXIsIFRoaXJkL3BoeXNpb2xvZ3k8L2tleXdvcmQ+PGtleXdvcmQ+KlByZW1hdHVyZSBCaXJ0
aDwva2V5d29yZD48a2V5d29yZD5TcGFpbjwva2V5d29yZD48L2tleXdvcmRzPjxkYXRlcz48eWVh
cj4yMDE0PC95ZWFyPjxwdWItZGF0ZXM+PGRhdGU+SnVsPC9kYXRlPjwvcHViLWRhdGVzPjwvZGF0
ZXM+PGlzYm4+MTU0My01NDc0IChFbGVjdHJvbmljKSYjeEQ7MTU0My0zMDgwIChMaW5raW5nKTwv
aXNibj48YWNjZXNzaW9uLW51bT4yMzY3NjMxMTwvYWNjZXNzaW9uLW51bT48dXJscz48cmVsYXRl
ZC11cmxzPjx1cmw+aHR0cHM6Ly93d3cubmNiaS5ubG0ubmloLmdvdi9wdWJtZWQvMjM2NzYzMTE8
L3VybD48L3JlbGF0ZWQtdXJscz48L3VybHM+PGVsZWN0cm9uaWMtcmVzb3VyY2UtbnVtPjEwLjEx
MjMvanBhaC4yMDEyLTAzNDQ8L2VsZWN0cm9uaWMtcmVzb3VyY2UtbnVtPjwvcmVjb3JkPjwvQ2l0
ZT48L0VuZE5vdGU+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PEVuZE5vdGU+PENpdGU+PEF1dGhvcj5CYXJha2F0PC9BdXRob3I+PFllYXI+MjAxMjwvWWVhcj48
UmVjTnVtPjY3MTwvUmVjTnVtPjxEaXNwbGF5VGV4dD48c3R5bGUgZmFjZT0ic3VwZXJzY3JpcHQi
IGZvbnQ9IlRyZWJ1Y2hldCBNUyIgc2l6ZT0iOSI+NDI3LDUzMzwvc3R5bGU+PC9EaXNwbGF5VGV4
dD48cmVjb3JkPjxyZWMtbnVtYmVyPjY3MTwvcmVjLW51bWJlcj48Zm9yZWlnbi1rZXlzPjxrZXkg
YXBwPSJFTiIgZGItaWQ9ImV4dmFzcmZ4MmR0cmFvZXNhc3hwMnN6c3hhMmRmNTAyNTkyeCIgdGlt
ZXN0YW1wPSIxNTQwNTI2Njc0Ij42NzE8L2tleT48L2ZvcmVpZ24ta2V5cz48cmVmLXR5cGUgbmFt
ZT0iSm91cm5hbCBBcnRpY2xlIj4xNzwvcmVmLXR5cGU+PGNvbnRyaWJ1dG9ycz48YXV0aG9ycz48
YXV0aG9yPkJhcmFrYXQsIFIuPC9hdXRob3I+PGF1dGhvcj5QZWxhZXosIE0uPC9hdXRob3I+PGF1
dGhvcj5Mb3BleiwgQy48L2F1dGhvcj48YXV0aG9yPk1vbnRlam8sIFIuPC9hdXRob3I+PGF1dGhv
cj5Db3Rlcm9uLCBKLjwvYXV0aG9yPjwvYXV0aG9ycz48L2NvbnRyaWJ1dG9ycz48YXV0aC1hZGRy
ZXNzPlRlY2huaWNhbCBVbml2ZXJzaXR5IG9mIE1hZHJpZCAoVVBNKSwgTWFkcmlkLCBTcGFpbi4g
YmFyYWthdHJ1YmVuQGdtYWlsLmNvbTwvYXV0aC1hZGRyZXNzPjx0aXRsZXM+PHRpdGxlPkV4ZXJj
aXNlIGR1cmluZyBwcmVnbmFuY3kgcmVkdWNlcyB0aGUgcmF0ZSBvZiBjZXNhcmVhbiBhbmQgaW5z
dHJ1bWVudGFsIGRlbGl2ZXJpZXM6IHJlc3VsdHMgb2YgYSByYW5kb21pemVkIGNvbnRyb2xsZWQg
dHJpYWw8L3RpdGxlPjxzZWNvbmRhcnktdGl0bGU+SiBNYXRlcm4gRmV0YWwgTmVvbmF0YWwgTWVk
PC9zZWNvbmRhcnktdGl0bGU+PC90aXRsZXM+PHBlcmlvZGljYWw+PGZ1bGwtdGl0bGU+SiBNYXRl
cm4gRmV0YWwgTmVvbmF0YWwgTWVkPC9mdWxsLXRpdGxlPjwvcGVyaW9kaWNhbD48cGFnZXM+MjM3
Mi02PC9wYWdlcz48dm9sdW1lPjI1PC92b2x1bWU+PG51bWJlcj4xMTwvbnVtYmVyPjxlZGl0aW9u
PjIwMTIvMDYvMjI8L2VkaXRpb24+PGtleXdvcmRzPjxrZXl3b3JkPkFkdWx0PC9rZXl3b3JkPjxr
ZXl3b3JkPkNlc2FyZWFuIFNlY3Rpb24vKnN0YXRpc3RpY3MgJmFtcDsgbnVtZXJpY2FsIGRhdGE8
L2tleXdvcmQ+PGtleXdvcmQ+RGVsaXZlcnksIE9ic3RldHJpYy9pbnN0cnVtZW50YXRpb24vKm1l
dGhvZHMvKnN0YXRpc3RpY3MgJmFtcDsgbnVtZXJpY2FsIGRhdGE8L2tleXdvcmQ+PGtleXdvcmQ+
RXhlcmNpc2UvKnBoeXNpb2xvZ3k8L2tleXdvcmQ+PGtleXdvcmQ+RXhlcmNpc2UgVGhlcmFweS9h
ZHZlcnNlIGVmZmVjdHMvbWV0aG9kczwva2V5d29yZD48a2V5d29yZD5GZW1hbGU8L2tleXdvcmQ+
PGtleXdvcmQ+Rm9sbG93LVVwIFN0dWRpZXM8L2tleXdvcmQ+PGtleXdvcmQ+SHVtYW5zPC9rZXl3
b3JkPjxrZXl3b3JkPkluZmFudCwgTmV3Ym9ybjwva2V5d29yZD48a2V5d29yZD5QYXRpZW50IENv
bXBsaWFuY2Uvc3RhdGlzdGljcyAmYW1wOyBudW1lcmljYWwgZGF0YTwva2V5d29yZD48a2V5d29y
ZD5QaHlzaWNhbCBGaXRuZXNzL3BoeXNpb2xvZ3k8L2tleXdvcmQ+PGtleXdvcmQ+UHJlZ25hbmN5
PC9rZXl3b3JkPjxrZXl3b3JkPlByZWduYW5jeSBPdXRjb21lLyplcGlkZW1pb2xvZ3k8L2tleXdv
cmQ+PGtleXdvcmQ+U3VyZ2ljYWwgSW5zdHJ1bWVudHMvKnN0YXRpc3RpY3MgJmFtcDsgbnVtZXJp
Y2FsIGRhdGE8L2tleXdvcmQ+PC9rZXl3b3Jkcz48ZGF0ZXM+PHllYXI+MjAxMjwveWVhcj48cHVi
LWRhdGVzPjxkYXRlPk5vdjwvZGF0ZT48L3B1Yi1kYXRlcz48L2RhdGVzPjxpc2JuPjE0NzYtNDk1
NCAoRWxlY3Ryb25pYykmI3hEOzE0NzYtNDk1NCAoTGlua2luZyk8L2lzYm4+PGFjY2Vzc2lvbi1u
dW0+MjI3MTU5ODE8L2FjY2Vzc2lvbi1udW0+PHVybHM+PHJlbGF0ZWQtdXJscz48dXJsPmh0dHBz
Oi8vd3d3Lm5jYmkubmxtLm5paC5nb3YvcHVibWVkLzIyNzE1OTgxPC91cmw+PC9yZWxhdGVkLXVy
bHM+PC91cmxzPjxlbGVjdHJvbmljLXJlc291cmNlLW51bT4xMC4zMTA5LzE0NzY3MDU4LjIwMTIu
Njk2MTY1PC9lbGVjdHJvbmljLXJlc291cmNlLW51bT48L3JlY29yZD48L0NpdGU+PENpdGU+PEF1
dGhvcj5CYXJha2F0PC9BdXRob3I+PFllYXI+MjAxNDwvWWVhcj48UmVjTnVtPjY3NTwvUmVjTnVt
PjxyZWNvcmQ+PHJlYy1udW1iZXI+Njc1PC9yZWMtbnVtYmVyPjxmb3JlaWduLWtleXM+PGtleSBh
cHA9IkVOIiBkYi1pZD0iZXh2YXNyZngyZHRyYW9lc2FzeHAyc3pzeGEyZGY1MDI1OTJ4IiB0aW1l
c3RhbXA9IjE1NDA1MjY3NDkiPjY3NTwva2V5PjwvZm9yZWlnbi1rZXlzPjxyZWYtdHlwZSBuYW1l
PSJKb3VybmFsIEFydGljbGUiPjE3PC9yZWYtdHlwZT48Y29udHJpYnV0b3JzPjxhdXRob3JzPjxh
dXRob3I+QmFyYWthdCwgUi48L2F1dGhvcj48YXV0aG9yPlBlbGFleiwgTS48L2F1dGhvcj48YXV0
aG9yPk1vbnRlam8sIFIuPC9hdXRob3I+PGF1dGhvcj5SZWZveW8sIEkuPC9hdXRob3I+PGF1dGhv
cj5Db3Rlcm9uLCBKLjwvYXV0aG9yPjwvYXV0aG9ycz48L2NvbnRyaWJ1dG9ycz48YXV0aC1hZGRy
ZXNzPlNvY2lhbCBTY2llbmNlcyBvZiBQaHlzaWNhbCBBY3Rpdml0eSBhbmQgU3BvcnRzLCBUZWNo
bmljYWwgVW5pdmVyc2l0eSBvZiBNYWRyaWQsIFNwYWluLjwvYXV0aC1hZGRyZXNzPjx0aXRsZXM+
PHRpdGxlPkV4ZXJjaXNlIHRocm91Z2hvdXQgcHJlZ25hbmN5IGRvZXMgbm90IGNhdXNlIHByZXRl
cm0gZGVsaXZlcnk6IGEgcmFuZG9taXplZCwgY29udHJvbGxlZCB0cmlhbDwvdGl0bGU+PHNlY29u
ZGFyeS10aXRsZT5KIFBoeXMgQWN0IEhlYWx0aDwvc2Vjb25kYXJ5LXRpdGxlPjwvdGl0bGVzPjxw
ZXJpb2RpY2FsPjxmdWxsLXRpdGxlPkogUGh5cyBBY3QgSGVhbHRoPC9mdWxsLXRpdGxlPjwvcGVy
aW9kaWNhbD48cGFnZXM+MTAxMi03PC9wYWdlcz48dm9sdW1lPjExPC92b2x1bWU+PG51bWJlcj41
PC9udW1iZXI+PGVkaXRpb24+MjAxMy8wNS8xNzwvZWRpdGlvbj48a2V5d29yZHM+PGtleXdvcmQ+
QWR1bHQ8L2tleXdvcmQ+PGtleXdvcmQ+QW5hbHlzaXMgb2YgVmFyaWFuY2U8L2tleXdvcmQ+PGtl
eXdvcmQ+RmVtYWxlPC9rZXl3b3JkPjxrZXl3b3JkPkdlc3RhdGlvbmFsIEFnZTwva2V5d29yZD48
a2V5d29yZD5IdW1hbnM8L2tleXdvcmQ+PGtleXdvcmQ+SW5mYW50LCBOZXdib3JuPC9rZXl3b3Jk
PjxrZXl3b3JkPipNb3RvciBBY3Rpdml0eTwva2V5d29yZD48a2V5d29yZD4qUGh5c2ljYWwgQ29u
ZGl0aW9uaW5nLCBIdW1hbjwva2V5d29yZD48a2V5d29yZD4qUHJlZ25hbmN5PC9rZXl3b3JkPjxr
ZXl3b3JkPlByZWduYW5jeSBPdXRjb21lPC9rZXl3b3JkPjxrZXl3b3JkPlByZWduYW5jeSBUcmlt
ZXN0ZXIsIFNlY29uZC9waHlzaW9sb2d5PC9rZXl3b3JkPjxrZXl3b3JkPlByZWduYW5jeSBUcmlt
ZXN0ZXIsIFRoaXJkL3BoeXNpb2xvZ3k8L2tleXdvcmQ+PGtleXdvcmQ+KlByZW1hdHVyZSBCaXJ0
aDwva2V5d29yZD48a2V5d29yZD5TcGFpbjwva2V5d29yZD48L2tleXdvcmRzPjxkYXRlcz48eWVh
cj4yMDE0PC95ZWFyPjxwdWItZGF0ZXM+PGRhdGU+SnVsPC9kYXRlPjwvcHViLWRhdGVzPjwvZGF0
ZXM+PGlzYm4+MTU0My01NDc0IChFbGVjdHJvbmljKSYjeEQ7MTU0My0zMDgwIChMaW5raW5nKTwv
aXNibj48YWNjZXNzaW9uLW51bT4yMzY3NjMxMTwvYWNjZXNzaW9uLW51bT48dXJscz48cmVsYXRl
ZC11cmxzPjx1cmw+aHR0cHM6Ly93d3cubmNiaS5ubG0ubmloLmdvdi9wdWJtZWQvMjM2NzYzMTE8
L3VybD48L3JlbGF0ZWQtdXJscz48L3VybHM+PGVsZWN0cm9uaWMtcmVzb3VyY2UtbnVtPjEwLjEx
MjMvanBhaC4yMDEyLTAzNDQ8L2VsZWN0cm9uaWMtcmVzb3VyY2UtbnVtPjwvcmVjb3JkPjwvQ2l0
ZT48L0VuZE5vdGU+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427,533</w:t>
            </w:r>
            <w:r>
              <w:rPr>
                <w:noProof/>
                <w:sz w:val="16"/>
                <w:szCs w:val="16"/>
              </w:rPr>
              <w:fldChar w:fldCharType="end"/>
            </w:r>
          </w:p>
        </w:tc>
      </w:tr>
      <w:tr w:rsidR="008E765F" w:rsidRPr="00C12274" w14:paraId="7087A6BB" w14:textId="77777777" w:rsidTr="00BC7AEC">
        <w:trPr>
          <w:cantSplit/>
        </w:trPr>
        <w:tc>
          <w:tcPr>
            <w:tcW w:w="1560" w:type="dxa"/>
            <w:shd w:val="clear" w:color="D9E2F3" w:themeColor="accent1" w:themeTint="33" w:fill="auto"/>
          </w:tcPr>
          <w:p w14:paraId="78A04CB7"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38ABF726"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8355196" w14:textId="77777777" w:rsidR="008E765F" w:rsidRPr="00C12274" w:rsidRDefault="008E765F" w:rsidP="00611251">
            <w:pPr>
              <w:pStyle w:val="RCTstable"/>
              <w:keepNext/>
            </w:pPr>
            <w:r w:rsidRPr="00C12274">
              <w:t xml:space="preserve">To allocate participants, a computer-generated list of random numbers was used. </w:t>
            </w:r>
          </w:p>
        </w:tc>
      </w:tr>
      <w:tr w:rsidR="008E765F" w:rsidRPr="00C12274" w14:paraId="284E19FE" w14:textId="77777777" w:rsidTr="00BC7AEC">
        <w:trPr>
          <w:cantSplit/>
        </w:trPr>
        <w:tc>
          <w:tcPr>
            <w:tcW w:w="1560" w:type="dxa"/>
            <w:shd w:val="clear" w:color="D9E2F3" w:themeColor="accent1" w:themeTint="33" w:fill="auto"/>
          </w:tcPr>
          <w:p w14:paraId="1F143977"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65ED4280"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A1D1226"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8E765F" w:rsidRPr="00C12274" w14:paraId="725A28F4" w14:textId="77777777" w:rsidTr="00BC7AEC">
        <w:trPr>
          <w:cantSplit/>
        </w:trPr>
        <w:tc>
          <w:tcPr>
            <w:tcW w:w="1560" w:type="dxa"/>
            <w:shd w:val="clear" w:color="D9E2F3" w:themeColor="accent1" w:themeTint="33" w:fill="auto"/>
          </w:tcPr>
          <w:p w14:paraId="5747E51C"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7C2D5A14" w14:textId="275BCD64" w:rsidR="008E765F" w:rsidRPr="00C12274" w:rsidRDefault="00C465B5"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72E5BB95" w14:textId="6C7CF268" w:rsidR="008E765F" w:rsidRPr="00C12274" w:rsidRDefault="008E765F" w:rsidP="00C465B5">
            <w:pPr>
              <w:keepNext/>
              <w:spacing w:before="40" w:after="40" w:line="220" w:lineRule="exact"/>
              <w:rPr>
                <w:sz w:val="16"/>
                <w:szCs w:val="16"/>
              </w:rPr>
            </w:pPr>
            <w:r w:rsidRPr="00C12274">
              <w:rPr>
                <w:sz w:val="16"/>
                <w:szCs w:val="16"/>
              </w:rPr>
              <w:t xml:space="preserve">Not blinded for participants. </w:t>
            </w:r>
          </w:p>
        </w:tc>
      </w:tr>
      <w:tr w:rsidR="00C465B5" w:rsidRPr="00822EBF" w14:paraId="7238F9E1" w14:textId="77777777" w:rsidTr="00BC7AEC">
        <w:trPr>
          <w:cantSplit/>
        </w:trPr>
        <w:tc>
          <w:tcPr>
            <w:tcW w:w="1560" w:type="dxa"/>
            <w:shd w:val="clear" w:color="D9E2F3" w:themeColor="accent1" w:themeTint="33" w:fill="auto"/>
          </w:tcPr>
          <w:p w14:paraId="1165B9F5" w14:textId="77777777" w:rsidR="00C465B5" w:rsidRPr="00822EBF" w:rsidRDefault="00C465B5" w:rsidP="009740A7">
            <w:pPr>
              <w:pStyle w:val="RCTstable"/>
            </w:pPr>
            <w:r w:rsidRPr="00822EBF">
              <w:t>Detection bias</w:t>
            </w:r>
          </w:p>
        </w:tc>
        <w:tc>
          <w:tcPr>
            <w:tcW w:w="1275" w:type="dxa"/>
            <w:shd w:val="clear" w:color="D9E2F3" w:themeColor="accent1" w:themeTint="33" w:fill="FFC000" w:themeFill="accent4"/>
          </w:tcPr>
          <w:p w14:paraId="069B9598" w14:textId="77777777" w:rsidR="00C465B5" w:rsidRPr="00822EBF" w:rsidRDefault="00C465B5" w:rsidP="009740A7">
            <w:pPr>
              <w:pStyle w:val="RCTstable"/>
            </w:pPr>
            <w:r>
              <w:t>Unclear</w:t>
            </w:r>
            <w:r w:rsidRPr="00822EBF">
              <w:t xml:space="preserve"> risk</w:t>
            </w:r>
          </w:p>
        </w:tc>
        <w:tc>
          <w:tcPr>
            <w:tcW w:w="11199" w:type="dxa"/>
            <w:shd w:val="clear" w:color="D9E2F3" w:themeColor="accent1" w:themeTint="33" w:fill="auto"/>
          </w:tcPr>
          <w:p w14:paraId="19C6946E" w14:textId="31986D63" w:rsidR="00C465B5" w:rsidRPr="00822EBF" w:rsidRDefault="00C465B5" w:rsidP="009740A7">
            <w:pPr>
              <w:pStyle w:val="RCTstable"/>
            </w:pPr>
            <w:r w:rsidRPr="00C12274">
              <w:t>No discussion of whether those assessing outcomes were blind to allocation.</w:t>
            </w:r>
          </w:p>
        </w:tc>
      </w:tr>
      <w:tr w:rsidR="008E765F" w:rsidRPr="00C12274" w14:paraId="2EA7124D" w14:textId="77777777" w:rsidTr="00BC7AEC">
        <w:trPr>
          <w:cantSplit/>
        </w:trPr>
        <w:tc>
          <w:tcPr>
            <w:tcW w:w="1560" w:type="dxa"/>
            <w:shd w:val="clear" w:color="D9E2F3" w:themeColor="accent1" w:themeTint="33" w:fill="auto"/>
          </w:tcPr>
          <w:p w14:paraId="07E21327"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0705720C"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6F4F6A5"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Overall attrition 9%; 22 women (14%) from the intervention group and 8 (5%) women from the control group were not included in the final analysis; reasons provided. No ITT analysis.</w:t>
            </w:r>
          </w:p>
        </w:tc>
      </w:tr>
      <w:tr w:rsidR="008E765F" w:rsidRPr="00C12274" w14:paraId="7EE09966" w14:textId="77777777" w:rsidTr="00BC7AEC">
        <w:trPr>
          <w:cantSplit/>
        </w:trPr>
        <w:tc>
          <w:tcPr>
            <w:tcW w:w="1560" w:type="dxa"/>
            <w:shd w:val="clear" w:color="D9E2F3" w:themeColor="accent1" w:themeTint="33" w:fill="auto"/>
          </w:tcPr>
          <w:p w14:paraId="5A75DF46"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77036F52"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9D29665"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634C7F89" w14:textId="77777777" w:rsidTr="00BC7AEC">
        <w:trPr>
          <w:cantSplit/>
        </w:trPr>
        <w:tc>
          <w:tcPr>
            <w:tcW w:w="1560" w:type="dxa"/>
            <w:shd w:val="clear" w:color="D9E2F3" w:themeColor="accent1" w:themeTint="33" w:fill="auto"/>
          </w:tcPr>
          <w:p w14:paraId="0969CFCD"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B5594C2"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5D38B389"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1E9C6DE7" w14:textId="77777777" w:rsidTr="00BC7AEC">
        <w:trPr>
          <w:cantSplit/>
        </w:trPr>
        <w:tc>
          <w:tcPr>
            <w:tcW w:w="14034" w:type="dxa"/>
            <w:gridSpan w:val="3"/>
            <w:shd w:val="solid" w:color="D9E2F3" w:themeColor="accent1" w:themeTint="33" w:fill="auto"/>
          </w:tcPr>
          <w:p w14:paraId="08C592C6" w14:textId="18845C7C"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Barakat et al 2013</w:t>
            </w:r>
            <w:r>
              <w:rPr>
                <w:sz w:val="16"/>
                <w:szCs w:val="16"/>
              </w:rPr>
              <w:fldChar w:fldCharType="begin"/>
            </w:r>
            <w:r w:rsidR="002747EA">
              <w:rPr>
                <w:sz w:val="16"/>
                <w:szCs w:val="16"/>
              </w:rPr>
              <w:instrText xml:space="preserve"> ADDIN EN.CITE &lt;EndNote&gt;&lt;Cite&gt;&lt;Author&gt;Barakat&lt;/Author&gt;&lt;Year&gt;2013&lt;/Year&gt;&lt;RecNum&gt;712&lt;/RecNum&gt;&lt;DisplayText&gt;&lt;style face="superscript" font="Trebuchet MS" size="9"&gt;428&lt;/style&gt;&lt;/DisplayText&gt;&lt;record&gt;&lt;rec-number&gt;712&lt;/rec-number&gt;&lt;foreign-keys&gt;&lt;key app="EN" db-id="exvasrfx2dtraoesasxp2szsxa2df502592x" timestamp="1541462331"&gt;712&lt;/key&gt;&lt;/foreign-keys&gt;&lt;ref-type name="Journal Article"&gt;17&lt;/ref-type&gt;&lt;contributors&gt;&lt;authors&gt;&lt;author&gt;Barakat, R.&lt;/author&gt;&lt;author&gt;Pelaez, M.&lt;/author&gt;&lt;author&gt;Lopez, C.&lt;/author&gt;&lt;author&gt;Lucia, A.&lt;/author&gt;&lt;author&gt;Ruiz, J. R.&lt;/author&gt;&lt;/authors&gt;&lt;/contributors&gt;&lt;auth-address&gt;Facultad de Ciencias de la Actividad Fisica y del Deporte-INEF, Universidad Politecnica de Madrid, Madrid, Spain.&lt;/auth-address&gt;&lt;titles&gt;&lt;title&gt;Exercise during pregnancy and gestational diabetes-related adverse effects: a randomised controlled trial&lt;/title&gt;&lt;secondary-title&gt;Br J Sports Med&lt;/secondary-title&gt;&lt;/titles&gt;&lt;periodical&gt;&lt;full-title&gt;Br J Sports Med&lt;/full-title&gt;&lt;/periodical&gt;&lt;pages&gt;630-6&lt;/pages&gt;&lt;volume&gt;47&lt;/volume&gt;&lt;number&gt;10&lt;/number&gt;&lt;edition&gt;2013/02/01&lt;/edition&gt;&lt;keywords&gt;&lt;keyword&gt;Adult&lt;/keyword&gt;&lt;keyword&gt;Birth Weight&lt;/keyword&gt;&lt;keyword&gt;Diabetes, Gestational/*prevention &amp;amp; control&lt;/keyword&gt;&lt;keyword&gt;Exercise Therapy/*methods&lt;/keyword&gt;&lt;keyword&gt;Female&lt;/keyword&gt;&lt;keyword&gt;Fetal Macrosomia/prevention &amp;amp; control&lt;/keyword&gt;&lt;keyword&gt;Humans&lt;/keyword&gt;&lt;keyword&gt;Pregnancy&lt;/keyword&gt;&lt;keyword&gt;Pregnancy Outcome&lt;/keyword&gt;&lt;keyword&gt;Pregnancy Trimester, Second&lt;/keyword&gt;&lt;keyword&gt;Pregnancy Trimester, Third&lt;/keyword&gt;&lt;keyword&gt;Prenatal Care/methods&lt;/keyword&gt;&lt;keyword&gt;Weight Gain&lt;/keyword&gt;&lt;keyword&gt;Diabetes&lt;/keyword&gt;&lt;keyword&gt;Women in sport&lt;/keyword&gt;&lt;/keywords&gt;&lt;dates&gt;&lt;year&gt;2013&lt;/year&gt;&lt;pub-dates&gt;&lt;date&gt;Jul&lt;/date&gt;&lt;/pub-dates&gt;&lt;/dates&gt;&lt;isbn&gt;1473-0480 (Electronic)&amp;#xD;0306-3674 (Linking)&lt;/isbn&gt;&lt;accession-num&gt;23365418&lt;/accession-num&gt;&lt;urls&gt;&lt;related-urls&gt;&lt;url&gt;https://www.ncbi.nlm.nih.gov/pubmed/23365418&lt;/url&gt;&lt;/related-urls&gt;&lt;/urls&gt;&lt;electronic-resource-num&gt;10.1136/bjsports-2012-091788&lt;/electronic-resource-num&gt;&lt;/record&gt;&lt;/Cite&gt;&lt;/EndNote&gt;</w:instrText>
            </w:r>
            <w:r>
              <w:rPr>
                <w:sz w:val="16"/>
                <w:szCs w:val="16"/>
              </w:rPr>
              <w:fldChar w:fldCharType="separate"/>
            </w:r>
            <w:r w:rsidR="002747EA" w:rsidRPr="002747EA">
              <w:rPr>
                <w:noProof/>
                <w:szCs w:val="16"/>
                <w:vertAlign w:val="superscript"/>
              </w:rPr>
              <w:t>428</w:t>
            </w:r>
            <w:r>
              <w:rPr>
                <w:sz w:val="16"/>
                <w:szCs w:val="16"/>
              </w:rPr>
              <w:fldChar w:fldCharType="end"/>
            </w:r>
          </w:p>
        </w:tc>
      </w:tr>
      <w:tr w:rsidR="008E765F" w:rsidRPr="00C12274" w14:paraId="3B248E9D" w14:textId="77777777" w:rsidTr="00BC7AEC">
        <w:trPr>
          <w:cantSplit/>
        </w:trPr>
        <w:tc>
          <w:tcPr>
            <w:tcW w:w="1560" w:type="dxa"/>
            <w:shd w:val="clear" w:color="D9E2F3" w:themeColor="accent1" w:themeTint="33" w:fill="auto"/>
          </w:tcPr>
          <w:p w14:paraId="723104B1"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5D8DE8F8"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82F56E0" w14:textId="77777777" w:rsidR="008E765F" w:rsidRPr="00C12274" w:rsidRDefault="008E765F" w:rsidP="006045AE">
            <w:pPr>
              <w:pStyle w:val="RCTstable"/>
              <w:keepNext/>
            </w:pPr>
            <w:r w:rsidRPr="00C12274">
              <w:t>Not described</w:t>
            </w:r>
          </w:p>
        </w:tc>
      </w:tr>
      <w:tr w:rsidR="008E765F" w:rsidRPr="00C12274" w14:paraId="62ACED9B" w14:textId="77777777" w:rsidTr="00BC7AEC">
        <w:trPr>
          <w:cantSplit/>
        </w:trPr>
        <w:tc>
          <w:tcPr>
            <w:tcW w:w="1560" w:type="dxa"/>
            <w:shd w:val="clear" w:color="D9E2F3" w:themeColor="accent1" w:themeTint="33" w:fill="auto"/>
          </w:tcPr>
          <w:p w14:paraId="04800291"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3DEF2CDF"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B9949B2" w14:textId="77777777" w:rsidR="008E765F" w:rsidRPr="00C12274" w:rsidRDefault="008E765F" w:rsidP="006045AE">
            <w:pPr>
              <w:pStyle w:val="RCTstable"/>
              <w:keepNext/>
            </w:pPr>
            <w:r w:rsidRPr="00C12274">
              <w:t>The participant randomisation assignment followed an allocation concealment process, that is, the researcher in charge of randomly assigning participants did not know in advance which treatment the next person would receive and did not participate in the assessments.</w:t>
            </w:r>
          </w:p>
        </w:tc>
      </w:tr>
      <w:tr w:rsidR="008E765F" w:rsidRPr="00C12274" w14:paraId="432BEDC9" w14:textId="77777777" w:rsidTr="00BC7AEC">
        <w:trPr>
          <w:cantSplit/>
        </w:trPr>
        <w:tc>
          <w:tcPr>
            <w:tcW w:w="1560" w:type="dxa"/>
            <w:shd w:val="clear" w:color="D9E2F3" w:themeColor="accent1" w:themeTint="33" w:fill="auto"/>
          </w:tcPr>
          <w:p w14:paraId="1F243923" w14:textId="77777777" w:rsidR="008E765F" w:rsidRPr="00C12274" w:rsidRDefault="008E765F" w:rsidP="006045A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4BB0C7C9" w14:textId="3F41FB20" w:rsidR="008E765F" w:rsidRPr="00C12274" w:rsidRDefault="00C465B5" w:rsidP="006045AE">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57ED3C37" w14:textId="28B96F54" w:rsidR="008E765F" w:rsidRPr="00C12274" w:rsidRDefault="008E765F" w:rsidP="006045AE">
            <w:pPr>
              <w:pStyle w:val="RCTstable"/>
              <w:keepNext/>
            </w:pPr>
            <w:r w:rsidRPr="00C12274">
              <w:t xml:space="preserve">Participants were explicitly informed on the group to which they were assigned as well as on the study hypotheses and were reminded not to discuss their randomisation assignments with assessment staff. </w:t>
            </w:r>
          </w:p>
        </w:tc>
      </w:tr>
      <w:tr w:rsidR="00C465B5" w:rsidRPr="00822EBF" w14:paraId="58B666E1" w14:textId="77777777" w:rsidTr="00BC7AEC">
        <w:trPr>
          <w:cantSplit/>
        </w:trPr>
        <w:tc>
          <w:tcPr>
            <w:tcW w:w="1560" w:type="dxa"/>
            <w:shd w:val="clear" w:color="D9E2F3" w:themeColor="accent1" w:themeTint="33" w:fill="auto"/>
          </w:tcPr>
          <w:p w14:paraId="356E3B28" w14:textId="77777777" w:rsidR="00C465B5" w:rsidRPr="00822EBF" w:rsidRDefault="00C465B5" w:rsidP="009740A7">
            <w:pPr>
              <w:pStyle w:val="RCTstable"/>
            </w:pPr>
            <w:r w:rsidRPr="00822EBF">
              <w:t>Detection bias</w:t>
            </w:r>
          </w:p>
        </w:tc>
        <w:tc>
          <w:tcPr>
            <w:tcW w:w="1275" w:type="dxa"/>
            <w:shd w:val="clear" w:color="D9E2F3" w:themeColor="accent1" w:themeTint="33" w:fill="70AD47" w:themeFill="accent6"/>
          </w:tcPr>
          <w:p w14:paraId="60E03CCE" w14:textId="7FFA6456" w:rsidR="00C465B5" w:rsidRPr="00822EBF" w:rsidRDefault="00C465B5" w:rsidP="009740A7">
            <w:pPr>
              <w:pStyle w:val="RCTstable"/>
            </w:pPr>
            <w:r>
              <w:t>Low</w:t>
            </w:r>
            <w:r w:rsidRPr="00822EBF">
              <w:t xml:space="preserve"> risk</w:t>
            </w:r>
          </w:p>
        </w:tc>
        <w:tc>
          <w:tcPr>
            <w:tcW w:w="11199" w:type="dxa"/>
            <w:shd w:val="clear" w:color="D9E2F3" w:themeColor="accent1" w:themeTint="33" w:fill="auto"/>
          </w:tcPr>
          <w:p w14:paraId="15898B6C" w14:textId="6CF0B45E" w:rsidR="00C465B5" w:rsidRPr="00822EBF" w:rsidRDefault="00C465B5" w:rsidP="009740A7">
            <w:pPr>
              <w:pStyle w:val="RCTstable"/>
            </w:pPr>
            <w:r w:rsidRPr="00C12274">
              <w:t>Assessment staff was blinded to the participant randomisation assignment. Owing to the nature of the study, it was not possible to conceal the group assignment from the staff involved in exercise training sessions.</w:t>
            </w:r>
          </w:p>
        </w:tc>
      </w:tr>
      <w:tr w:rsidR="008E765F" w:rsidRPr="00C12274" w14:paraId="24A2AF39" w14:textId="77777777" w:rsidTr="00BC7AEC">
        <w:trPr>
          <w:cantSplit/>
        </w:trPr>
        <w:tc>
          <w:tcPr>
            <w:tcW w:w="1560" w:type="dxa"/>
            <w:shd w:val="clear" w:color="D9E2F3" w:themeColor="accent1" w:themeTint="33" w:fill="auto"/>
          </w:tcPr>
          <w:p w14:paraId="074E0FC4"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58BF7A37"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4C069AB" w14:textId="77777777" w:rsidR="008E765F" w:rsidRPr="00C12274" w:rsidRDefault="008E765F" w:rsidP="00611251">
            <w:pPr>
              <w:spacing w:before="40" w:after="40" w:line="220" w:lineRule="exact"/>
              <w:rPr>
                <w:sz w:val="16"/>
                <w:szCs w:val="16"/>
                <w:lang w:val="en-US"/>
              </w:rPr>
            </w:pPr>
            <w:r w:rsidRPr="00C12274">
              <w:rPr>
                <w:sz w:val="16"/>
                <w:szCs w:val="16"/>
                <w:lang w:val="en-US"/>
              </w:rPr>
              <w:t>Overall attrition 16%; 45 women (18%) from the intervention group and 37 women (14.5%) from the control group were not included in the final analysis; reasons provided. No ITT analysis.</w:t>
            </w:r>
          </w:p>
        </w:tc>
      </w:tr>
      <w:tr w:rsidR="008E765F" w:rsidRPr="00C12274" w14:paraId="7F239E9A" w14:textId="77777777" w:rsidTr="00BC7AEC">
        <w:trPr>
          <w:cantSplit/>
        </w:trPr>
        <w:tc>
          <w:tcPr>
            <w:tcW w:w="1560" w:type="dxa"/>
            <w:shd w:val="clear" w:color="D9E2F3" w:themeColor="accent1" w:themeTint="33" w:fill="auto"/>
          </w:tcPr>
          <w:p w14:paraId="1028D8FB"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A18BC4D"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1FC8267"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50FB8127" w14:textId="77777777" w:rsidTr="00BC7AEC">
        <w:trPr>
          <w:cantSplit/>
        </w:trPr>
        <w:tc>
          <w:tcPr>
            <w:tcW w:w="1560" w:type="dxa"/>
            <w:shd w:val="clear" w:color="D9E2F3" w:themeColor="accent1" w:themeTint="33" w:fill="auto"/>
          </w:tcPr>
          <w:p w14:paraId="14887D73"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53414FDC"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BA195C6"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3D714970" w14:textId="77777777" w:rsidTr="00BC7AEC">
        <w:trPr>
          <w:cantSplit/>
        </w:trPr>
        <w:tc>
          <w:tcPr>
            <w:tcW w:w="14034" w:type="dxa"/>
            <w:gridSpan w:val="3"/>
            <w:shd w:val="solid" w:color="D9E2F3" w:themeColor="accent1" w:themeTint="33" w:fill="auto"/>
          </w:tcPr>
          <w:p w14:paraId="5B96A629" w14:textId="0C50FE89"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Barakat et al 2014b</w:t>
            </w:r>
            <w:r>
              <w:rPr>
                <w:sz w:val="16"/>
                <w:szCs w:val="16"/>
              </w:rPr>
              <w:fldChar w:fldCharType="begin">
                <w:fldData xml:space="preserve">PEVuZE5vdGU+PENpdGU+PEF1dGhvcj5CYXJha2F0PC9BdXRob3I+PFllYXI+MjAxNDwvWWVhcj48
UmVjTnVtPjY3NDwvUmVjTnVtPjxEaXNwbGF5VGV4dD48c3R5bGUgZmFjZT0ic3VwZXJzY3JpcHQi
IGZvbnQ9IlRyZWJ1Y2hldCBNUyIgc2l6ZT0iOSI+NDI5PC9zdHlsZT48L0Rpc3BsYXlUZXh0Pjxy
ZWNvcmQ+PHJlYy1udW1iZXI+Njc0PC9yZWMtbnVtYmVyPjxmb3JlaWduLWtleXM+PGtleSBhcHA9
IkVOIiBkYi1pZD0iZXh2YXNyZngyZHRyYW9lc2FzeHAyc3pzeGEyZGY1MDI1OTJ4IiB0aW1lc3Rh
bXA9IjE1NDA1MjY3NDkiPjY3NDwva2V5PjwvZm9yZWlnbi1rZXlzPjxyZWYtdHlwZSBuYW1lPSJK
b3VybmFsIEFydGljbGUiPjE3PC9yZWYtdHlwZT48Y29udHJpYnV0b3JzPjxhdXRob3JzPjxhdXRo
b3I+QmFyYWthdCwgUi48L2F1dGhvcj48YXV0aG9yPlBlcmFsZXMsIE0uPC9hdXRob3I+PGF1dGhv
cj5CYWNjaGksIE0uPC9hdXRob3I+PGF1dGhvcj5Db3Rlcm9uLCBKLjwvYXV0aG9yPjxhdXRob3I+
UmVmb3lvLCBJLjwvYXV0aG9yPjwvYXV0aG9ycz48L2NvbnRyaWJ1dG9ycz48dGl0bGVzPjx0aXRs
ZT5BIHByb2dyYW0gb2YgZXhlcmNpc2UgdGhyb3VnaG91dCBwcmVnbmFuY3kuIElzIGl0IHNhZmUg
dG8gbW90aGVyIGFuZCBuZXdib3JuPzwvdGl0bGU+PHNlY29uZGFyeS10aXRsZT5BbSBKIEhlYWx0
aCBQcm9tb3Q8L3NlY29uZGFyeS10aXRsZT48L3RpdGxlcz48cGVyaW9kaWNhbD48ZnVsbC10aXRs
ZT5BbSBKIEhlYWx0aCBQcm9tb3Q8L2Z1bGwtdGl0bGU+PC9wZXJpb2RpY2FsPjxwYWdlcz4yLTg8
L3BhZ2VzPjx2b2x1bWU+Mjk8L3ZvbHVtZT48bnVtYmVyPjE8L251bWJlcj48ZWRpdGlvbj4yMDEz
LzExLzEwPC9lZGl0aW9uPjxrZXl3b3Jkcz48a2V5d29yZD5BZHVsdDwva2V5d29yZD48a2V5d29y
ZD5BcGdhciBTY29yZTwva2V5d29yZD48a2V5d29yZD5CaXJ0aCBXZWlnaHQvcGh5c2lvbG9neTwv
a2V5d29yZD48a2V5d29yZD5Cb2R5IE1hc3MgSW5kZXg8L2tleXdvcmQ+PGtleXdvcmQ+RGlhYmV0
ZXMsIEdlc3RhdGlvbmFsL2VwaWRlbWlvbG9neTwva2V5d29yZD48a2V5d29yZD5GZW1hbGU8L2tl
eXdvcmQ+PGtleXdvcmQ+R2VzdGF0aW9uYWwgQWdlPC9rZXl3b3JkPjxrZXl3b3JkPkh1bWFuczwv
a2V5d29yZD48a2V5d29yZD5JbmZhbnQsIE5ld2Jvcm48L2tleXdvcmQ+PGtleXdvcmQ+KlBoeXNp
Y2FsIENvbmRpdGlvbmluZywgSHVtYW4vYWR2ZXJzZSBlZmZlY3RzL21ldGhvZHM8L2tleXdvcmQ+
PGtleXdvcmQ+KlByZWduYW5jeS9waHlzaW9sb2d5PC9rZXl3b3JkPjxrZXl3b3JkPlByZWduYW5j
eSBPdXRjb21lPC9rZXl3b3JkPjxrZXl3b3JkPldlaWdodCBHYWluL3BoeXNpb2xvZ3k8L2tleXdv
cmQ+PGtleXdvcmQ+SGVhbHRoIGZvY3VzOiBwaHlzaWNhbCBhY3Rpdml0eTwva2V5d29yZD48a2V5
d29yZD5NYW51c2NyaXB0IGZvcm1hdDogcmVzZWFyY2g8L2tleXdvcmQ+PGtleXdvcmQ+TWF0ZXJu
YWw8L2tleXdvcmQ+PGtleXdvcmQ+T3V0Y29tZSBtZWFzdXJlOiBiZWhhdmlvcmFsPC9rZXl3b3Jk
PjxrZXl3b3JkPlBoeXNpY2FsIEV4ZXJjaXNlPC9rZXl3b3JkPjxrZXl3b3JkPlByZWduYW5jeSBP
dXRjb21lczwva2V5d29yZD48a2V5d29yZD5QcmV2ZW50aW9uIFJlc2VhcmNoPC9rZXl3b3JkPjxr
ZXl3b3JkPlJlc2VhcmNoIHB1cnBvc2U6IGludGVydmVudGlvbiB0ZXN0aW5nPC9rZXl3b3JkPjxr
ZXl3b3JkPlNldHRpbmc6IGhlYWx0aCBjYXJlPC9rZXl3b3JkPjxrZXl3b3JkPlN0cmF0ZWd5OiBi
ZWhhdmlvciBjaGFuZ2UsIGN1bHR1cmUgY2hhbmdlPC9rZXl3b3JkPjxrZXl3b3JkPlN0dWR5IGRl
c2lnbjogcmFuZG9taXplZCB0cmlhbDwva2V5d29yZD48a2V5d29yZD5UYXJnZXQgcG9wdWxhdGlv
biBhZ2U6IGFkdWx0czwva2V5d29yZD48a2V5d29yZD5UYXJnZXQgcG9wdWxhdGlvbiBjaXJjdW1z
dGFuY2VzOiBlZHVjYXRpb248L2tleXdvcmQ+PGtleXdvcmQ+V2VpZ2h0IEdhaW48L2tleXdvcmQ+
PC9rZXl3b3Jkcz48ZGF0ZXM+PHllYXI+MjAxNDwveWVhcj48cHViLWRhdGVzPjxkYXRlPlNlcC1P
Y3Q8L2RhdGU+PC9wdWItZGF0ZXM+PC9kYXRlcz48aXNibj4yMTY4LTY2MDIgKEVsZWN0cm9uaWMp
JiN4RDswODkwLTExNzEgKExpbmtpbmcpPC9pc2JuPjxhY2Nlc3Npb24tbnVtPjI0MjAwMzM1PC9h
Y2Nlc3Npb24tbnVtPjx1cmxzPjxyZWxhdGVkLXVybHM+PHVybD5odHRwczovL3d3dy5uY2JpLm5s
bS5uaWguZ292L3B1Ym1lZC8yNDIwMDMzNTwvdXJsPjwvcmVsYXRlZC11cmxzPjwvdXJscz48ZWxl
Y3Ryb25pYy1yZXNvdXJjZS1udW0+MTAuNDI3OC9hamhwLjEzMDEzMS1RVUFOLTU2PC9lbGVjdHJv
bmljLXJlc291cmNlLW51bT48L3JlY29yZD48L0NpdGU+PC9FbmROb3RlPn==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PEVuZE5vdGU+PENpdGU+PEF1dGhvcj5CYXJha2F0PC9BdXRob3I+PFllYXI+MjAxNDwvWWVhcj48
UmVjTnVtPjY3NDwvUmVjTnVtPjxEaXNwbGF5VGV4dD48c3R5bGUgZmFjZT0ic3VwZXJzY3JpcHQi
IGZvbnQ9IlRyZWJ1Y2hldCBNUyIgc2l6ZT0iOSI+NDI5PC9zdHlsZT48L0Rpc3BsYXlUZXh0Pjxy
ZWNvcmQ+PHJlYy1udW1iZXI+Njc0PC9yZWMtbnVtYmVyPjxmb3JlaWduLWtleXM+PGtleSBhcHA9
IkVOIiBkYi1pZD0iZXh2YXNyZngyZHRyYW9lc2FzeHAyc3pzeGEyZGY1MDI1OTJ4IiB0aW1lc3Rh
bXA9IjE1NDA1MjY3NDkiPjY3NDwva2V5PjwvZm9yZWlnbi1rZXlzPjxyZWYtdHlwZSBuYW1lPSJK
b3VybmFsIEFydGljbGUiPjE3PC9yZWYtdHlwZT48Y29udHJpYnV0b3JzPjxhdXRob3JzPjxhdXRo
b3I+QmFyYWthdCwgUi48L2F1dGhvcj48YXV0aG9yPlBlcmFsZXMsIE0uPC9hdXRob3I+PGF1dGhv
cj5CYWNjaGksIE0uPC9hdXRob3I+PGF1dGhvcj5Db3Rlcm9uLCBKLjwvYXV0aG9yPjxhdXRob3I+
UmVmb3lvLCBJLjwvYXV0aG9yPjwvYXV0aG9ycz48L2NvbnRyaWJ1dG9ycz48dGl0bGVzPjx0aXRs
ZT5BIHByb2dyYW0gb2YgZXhlcmNpc2UgdGhyb3VnaG91dCBwcmVnbmFuY3kuIElzIGl0IHNhZmUg
dG8gbW90aGVyIGFuZCBuZXdib3JuPzwvdGl0bGU+PHNlY29uZGFyeS10aXRsZT5BbSBKIEhlYWx0
aCBQcm9tb3Q8L3NlY29uZGFyeS10aXRsZT48L3RpdGxlcz48cGVyaW9kaWNhbD48ZnVsbC10aXRs
ZT5BbSBKIEhlYWx0aCBQcm9tb3Q8L2Z1bGwtdGl0bGU+PC9wZXJpb2RpY2FsPjxwYWdlcz4yLTg8
L3BhZ2VzPjx2b2x1bWU+Mjk8L3ZvbHVtZT48bnVtYmVyPjE8L251bWJlcj48ZWRpdGlvbj4yMDEz
LzExLzEwPC9lZGl0aW9uPjxrZXl3b3Jkcz48a2V5d29yZD5BZHVsdDwva2V5d29yZD48a2V5d29y
ZD5BcGdhciBTY29yZTwva2V5d29yZD48a2V5d29yZD5CaXJ0aCBXZWlnaHQvcGh5c2lvbG9neTwv
a2V5d29yZD48a2V5d29yZD5Cb2R5IE1hc3MgSW5kZXg8L2tleXdvcmQ+PGtleXdvcmQ+RGlhYmV0
ZXMsIEdlc3RhdGlvbmFsL2VwaWRlbWlvbG9neTwva2V5d29yZD48a2V5d29yZD5GZW1hbGU8L2tl
eXdvcmQ+PGtleXdvcmQ+R2VzdGF0aW9uYWwgQWdlPC9rZXl3b3JkPjxrZXl3b3JkPkh1bWFuczwv
a2V5d29yZD48a2V5d29yZD5JbmZhbnQsIE5ld2Jvcm48L2tleXdvcmQ+PGtleXdvcmQ+KlBoeXNp
Y2FsIENvbmRpdGlvbmluZywgSHVtYW4vYWR2ZXJzZSBlZmZlY3RzL21ldGhvZHM8L2tleXdvcmQ+
PGtleXdvcmQ+KlByZWduYW5jeS9waHlzaW9sb2d5PC9rZXl3b3JkPjxrZXl3b3JkPlByZWduYW5j
eSBPdXRjb21lPC9rZXl3b3JkPjxrZXl3b3JkPldlaWdodCBHYWluL3BoeXNpb2xvZ3k8L2tleXdv
cmQ+PGtleXdvcmQ+SGVhbHRoIGZvY3VzOiBwaHlzaWNhbCBhY3Rpdml0eTwva2V5d29yZD48a2V5
d29yZD5NYW51c2NyaXB0IGZvcm1hdDogcmVzZWFyY2g8L2tleXdvcmQ+PGtleXdvcmQ+TWF0ZXJu
YWw8L2tleXdvcmQ+PGtleXdvcmQ+T3V0Y29tZSBtZWFzdXJlOiBiZWhhdmlvcmFsPC9rZXl3b3Jk
PjxrZXl3b3JkPlBoeXNpY2FsIEV4ZXJjaXNlPC9rZXl3b3JkPjxrZXl3b3JkPlByZWduYW5jeSBP
dXRjb21lczwva2V5d29yZD48a2V5d29yZD5QcmV2ZW50aW9uIFJlc2VhcmNoPC9rZXl3b3JkPjxr
ZXl3b3JkPlJlc2VhcmNoIHB1cnBvc2U6IGludGVydmVudGlvbiB0ZXN0aW5nPC9rZXl3b3JkPjxr
ZXl3b3JkPlNldHRpbmc6IGhlYWx0aCBjYXJlPC9rZXl3b3JkPjxrZXl3b3JkPlN0cmF0ZWd5OiBi
ZWhhdmlvciBjaGFuZ2UsIGN1bHR1cmUgY2hhbmdlPC9rZXl3b3JkPjxrZXl3b3JkPlN0dWR5IGRl
c2lnbjogcmFuZG9taXplZCB0cmlhbDwva2V5d29yZD48a2V5d29yZD5UYXJnZXQgcG9wdWxhdGlv
biBhZ2U6IGFkdWx0czwva2V5d29yZD48a2V5d29yZD5UYXJnZXQgcG9wdWxhdGlvbiBjaXJjdW1z
dGFuY2VzOiBlZHVjYXRpb248L2tleXdvcmQ+PGtleXdvcmQ+V2VpZ2h0IEdhaW48L2tleXdvcmQ+
PC9rZXl3b3Jkcz48ZGF0ZXM+PHllYXI+MjAxNDwveWVhcj48cHViLWRhdGVzPjxkYXRlPlNlcC1P
Y3Q8L2RhdGU+PC9wdWItZGF0ZXM+PC9kYXRlcz48aXNibj4yMTY4LTY2MDIgKEVsZWN0cm9uaWMp
JiN4RDswODkwLTExNzEgKExpbmtpbmcpPC9pc2JuPjxhY2Nlc3Npb24tbnVtPjI0MjAwMzM1PC9h
Y2Nlc3Npb24tbnVtPjx1cmxzPjxyZWxhdGVkLXVybHM+PHVybD5odHRwczovL3d3dy5uY2JpLm5s
bS5uaWguZ292L3B1Ym1lZC8yNDIwMDMzNTwvdXJsPjwvcmVsYXRlZC11cmxzPjwvdXJscz48ZWxl
Y3Ryb25pYy1yZXNvdXJjZS1udW0+MTAuNDI3OC9hamhwLjEzMDEzMS1RVUFOLTU2PC9lbGVjdHJv
bmljLXJlc291cmNlLW51bT48L3JlY29yZD48L0NpdGU+PC9FbmROb3RlPn==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429</w:t>
            </w:r>
            <w:r>
              <w:rPr>
                <w:sz w:val="16"/>
                <w:szCs w:val="16"/>
              </w:rPr>
              <w:fldChar w:fldCharType="end"/>
            </w:r>
          </w:p>
        </w:tc>
      </w:tr>
      <w:tr w:rsidR="008E765F" w:rsidRPr="00C12274" w14:paraId="518E93F2" w14:textId="77777777" w:rsidTr="00BC7AEC">
        <w:trPr>
          <w:cantSplit/>
        </w:trPr>
        <w:tc>
          <w:tcPr>
            <w:tcW w:w="1560" w:type="dxa"/>
            <w:shd w:val="clear" w:color="D9E2F3" w:themeColor="accent1" w:themeTint="33" w:fill="auto"/>
          </w:tcPr>
          <w:p w14:paraId="3E1B1FA9"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319A654C"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B2CD25B" w14:textId="77777777" w:rsidR="008E765F" w:rsidRPr="00C12274" w:rsidRDefault="008E765F" w:rsidP="00611251">
            <w:pPr>
              <w:pStyle w:val="RCTstable"/>
              <w:keepNext/>
            </w:pPr>
            <w:r w:rsidRPr="00C12274">
              <w:t>For allocation of the participants, a computer-generated list of random numbers was used.</w:t>
            </w:r>
          </w:p>
        </w:tc>
      </w:tr>
      <w:tr w:rsidR="008E765F" w:rsidRPr="00C12274" w14:paraId="6C6F278D" w14:textId="77777777" w:rsidTr="00BC7AEC">
        <w:trPr>
          <w:cantSplit/>
        </w:trPr>
        <w:tc>
          <w:tcPr>
            <w:tcW w:w="1560" w:type="dxa"/>
            <w:shd w:val="clear" w:color="D9E2F3" w:themeColor="accent1" w:themeTint="33" w:fill="auto"/>
          </w:tcPr>
          <w:p w14:paraId="65CE8F2B"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40573FCF"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E37C435"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8E765F" w:rsidRPr="00C12274" w14:paraId="6B711E83" w14:textId="77777777" w:rsidTr="00BC7AEC">
        <w:trPr>
          <w:cantSplit/>
        </w:trPr>
        <w:tc>
          <w:tcPr>
            <w:tcW w:w="1560" w:type="dxa"/>
            <w:shd w:val="clear" w:color="D9E2F3" w:themeColor="accent1" w:themeTint="33" w:fill="auto"/>
          </w:tcPr>
          <w:p w14:paraId="7F4D47A0"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52C1CB9F"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FAD6E65"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C465B5" w:rsidRPr="00C12274" w14:paraId="602B7536" w14:textId="77777777" w:rsidTr="00BC7AEC">
        <w:trPr>
          <w:cantSplit/>
        </w:trPr>
        <w:tc>
          <w:tcPr>
            <w:tcW w:w="1560" w:type="dxa"/>
            <w:shd w:val="clear" w:color="D9E2F3" w:themeColor="accent1" w:themeTint="33" w:fill="auto"/>
          </w:tcPr>
          <w:p w14:paraId="26A08ED7" w14:textId="518B2676" w:rsidR="00C465B5" w:rsidRPr="00C12274" w:rsidRDefault="00C465B5"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78949758" w14:textId="77777777" w:rsidR="00C465B5" w:rsidRPr="00C12274" w:rsidRDefault="00C465B5"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77F0D3B" w14:textId="77777777" w:rsidR="00C465B5" w:rsidRPr="00C12274" w:rsidRDefault="00C465B5" w:rsidP="009740A7">
            <w:pPr>
              <w:keepNext/>
              <w:spacing w:before="40" w:after="40" w:line="220" w:lineRule="exact"/>
              <w:rPr>
                <w:sz w:val="16"/>
                <w:szCs w:val="16"/>
              </w:rPr>
            </w:pPr>
            <w:r w:rsidRPr="00C12274">
              <w:rPr>
                <w:sz w:val="16"/>
                <w:szCs w:val="16"/>
              </w:rPr>
              <w:t>Not described</w:t>
            </w:r>
          </w:p>
        </w:tc>
      </w:tr>
      <w:tr w:rsidR="008E765F" w:rsidRPr="00C12274" w14:paraId="45CEC77F" w14:textId="77777777" w:rsidTr="00BC7AEC">
        <w:trPr>
          <w:cantSplit/>
        </w:trPr>
        <w:tc>
          <w:tcPr>
            <w:tcW w:w="1560" w:type="dxa"/>
            <w:shd w:val="clear" w:color="D9E2F3" w:themeColor="accent1" w:themeTint="33" w:fill="auto"/>
          </w:tcPr>
          <w:p w14:paraId="6DAC7150"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0B83EF4B"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F7FD301" w14:textId="77777777" w:rsidR="008E765F" w:rsidRPr="00C12274" w:rsidRDefault="008E765F" w:rsidP="00611251">
            <w:pPr>
              <w:spacing w:before="40" w:after="40" w:line="220" w:lineRule="exact"/>
              <w:rPr>
                <w:sz w:val="16"/>
                <w:szCs w:val="16"/>
                <w:lang w:val="en-US"/>
              </w:rPr>
            </w:pPr>
            <w:r w:rsidRPr="00C12274">
              <w:rPr>
                <w:sz w:val="16"/>
                <w:szCs w:val="16"/>
                <w:lang w:val="en-US"/>
              </w:rPr>
              <w:t>Overall attrition 20%; 21 women (22%) from the intervention group and 21 women (18%) from the control group were not included in the final analysis; reasons provided. No ITT analysis.</w:t>
            </w:r>
          </w:p>
        </w:tc>
      </w:tr>
      <w:tr w:rsidR="008E765F" w:rsidRPr="00C12274" w14:paraId="4C9B5430" w14:textId="77777777" w:rsidTr="00BC7AEC">
        <w:trPr>
          <w:cantSplit/>
        </w:trPr>
        <w:tc>
          <w:tcPr>
            <w:tcW w:w="1560" w:type="dxa"/>
            <w:shd w:val="clear" w:color="D9E2F3" w:themeColor="accent1" w:themeTint="33" w:fill="auto"/>
          </w:tcPr>
          <w:p w14:paraId="28C82FD3"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22DF7F94"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32E2701"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2A2F0F37" w14:textId="77777777" w:rsidTr="00BC7AEC">
        <w:trPr>
          <w:cantSplit/>
        </w:trPr>
        <w:tc>
          <w:tcPr>
            <w:tcW w:w="1560" w:type="dxa"/>
            <w:shd w:val="clear" w:color="D9E2F3" w:themeColor="accent1" w:themeTint="33" w:fill="auto"/>
          </w:tcPr>
          <w:p w14:paraId="7DF994F8"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AD4DEA2"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36DE677"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1F1AA4EC" w14:textId="77777777" w:rsidTr="00BC7AEC">
        <w:trPr>
          <w:cantSplit/>
        </w:trPr>
        <w:tc>
          <w:tcPr>
            <w:tcW w:w="14034" w:type="dxa"/>
            <w:gridSpan w:val="3"/>
            <w:shd w:val="solid" w:color="D9E2F3" w:themeColor="accent1" w:themeTint="33" w:fill="auto"/>
          </w:tcPr>
          <w:p w14:paraId="6A677C5B" w14:textId="6D9D2D40"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Barakat et al 2016</w:t>
            </w:r>
            <w:r>
              <w:rPr>
                <w:sz w:val="16"/>
                <w:szCs w:val="16"/>
              </w:rPr>
              <w:fldChar w:fldCharType="begin">
                <w:fldData xml:space="preserve">PEVuZE5vdGU+PENpdGU+PEF1dGhvcj5CYXJha2F0PC9BdXRob3I+PFllYXI+MjAxNjwvWWVhcj48
UmVjTnVtPjY3NjwvUmVjTnVtPjxEaXNwbGF5VGV4dD48c3R5bGUgZmFjZT0ic3VwZXJzY3JpcHQi
IGZvbnQ9IlRyZWJ1Y2hldCBNUyIgc2l6ZT0iOSI+NDMwPC9zdHlsZT48L0Rpc3BsYXlUZXh0Pjxy
ZWNvcmQ+PHJlYy1udW1iZXI+Njc2PC9yZWMtbnVtYmVyPjxmb3JlaWduLWtleXM+PGtleSBhcHA9
IkVOIiBkYi1pZD0iZXh2YXNyZngyZHRyYW9lc2FzeHAyc3pzeGEyZGY1MDI1OTJ4IiB0aW1lc3Rh
bXA9IjE1NDA1MjY3ODMiPjY3Njwva2V5PjwvZm9yZWlnbi1rZXlzPjxyZWYtdHlwZSBuYW1lPSJK
b3VybmFsIEFydGljbGUiPjE3PC9yZWYtdHlwZT48Y29udHJpYnV0b3JzPjxhdXRob3JzPjxhdXRo
b3I+QmFyYWthdCwgUi48L2F1dGhvcj48YXV0aG9yPlBlbGFleiwgTS48L2F1dGhvcj48YXV0aG9y
PkNvcmRlcm8sIFkuPC9hdXRob3I+PGF1dGhvcj5QZXJhbGVzLCBNLjwvYXV0aG9yPjxhdXRob3I+
TG9wZXosIEMuPC9hdXRob3I+PGF1dGhvcj5Db3Rlcm9uLCBKLjwvYXV0aG9yPjxhdXRob3I+TW90
dG9sYSwgTS4gRi48L2F1dGhvcj48L2F1dGhvcnM+PC9jb250cmlidXRvcnM+PGF1dGgtYWRkcmVz
cz5QaHlzaWNhbCBBY3Rpdml0eSBhbmQgU3BvcnRzIGluIFNwZWNpZmljIFBvcHVsYXRpb25zIChB
RklQRSkgUmVzZWFyY2ggR3JvdXAsIEZhY3VsdHkgb2YgUGh5c2ljYWwgQWN0aXZpdHkgYW5kIFNw
b3J0cyBTY2llbmNlcy1GYWN1bHRhZCBkZSBDaWVuY2lhcyBkZSBsYSBBY3RpdmlkYWQgRmlzaWNh
IHkgZWwgRGVwb3J0ZSwgVGVjaG5pY2FsIFVuaXZlcnNpdHkgb2YgTWFkcmlkLCBNYWRyaWQsIFNw
YWluLiYjeEQ7Q2F0aG9saWMgVW5pdmVyc2l0eSBvZiBNdXJjaWEsIE11cmNpYSwgU3BhaW4uJiN4
RDtSLiBTYW11ZWwgTWNMYXVnaGxpbiBGb3VuZGF0aW9uLUV4ZXJjaXNlIGFuZCBQcmVnbmFuY3kg
TGFib3JhdG9yeSwgU2Nob29sIG9mIEtpbmVzaW9sb2d5LCBGYWN1bHR5IG9mIEhlYWx0aCBTY2ll
bmNlcywgRGVwYXJ0bWVudCBvZiBBbmF0b215IGFuZCBDZWxsIEJpb2xvZ3ksIFNjaHVsaWNoIFNj
aG9vbCBvZiBNZWRpY2luZSBhbmQgRGVudGlzdHJ5LCBDaGlsZHJlbiZhcG9zO3MgSGVhbHRoIFJl
c2VhcmNoIEluc3RpdHV0ZSwgVW5pdmVyc2l0eSBvZiBXZXN0ZXJuIE9udGFyaW8sIExvbmRvbiwg
T250YXJpbywgQ2FuYWRhLiBFbGVjdHJvbmljIGFkZHJlc3M6IG1tb3R0b2xhQHV3by5jYS48L2F1
dGgtYWRkcmVzcz48dGl0bGVzPjx0aXRsZT5FeGVyY2lzZSBkdXJpbmcgcHJlZ25hbmN5IHByb3Rl
Y3RzIGFnYWluc3QgaHlwZXJ0ZW5zaW9uIGFuZCBtYWNyb3NvbWlhOiByYW5kb21pemVkIGNsaW5p
Y2FsIHRyaWFsPC90aXRsZT48c2Vjb25kYXJ5LXRpdGxlPkFtIEogT2JzdGV0IEd5bmVjb2w8L3Nl
Y29uZGFyeS10aXRsZT48L3RpdGxlcz48cGVyaW9kaWNhbD48ZnVsbC10aXRsZT5BbSBKIE9ic3Rl
dCBHeW5lY29sPC9mdWxsLXRpdGxlPjwvcGVyaW9kaWNhbD48cGFnZXM+NjQ5IGUxLTg8L3BhZ2Vz
Pjx2b2x1bWU+MjE0PC92b2x1bWU+PG51bWJlcj41PC9udW1iZXI+PGVkaXRpb24+MjAxNS8xMi8y
NjwvZWRpdGlvbj48a2V5d29yZHM+PGtleXdvcmQ+QWR1bHQ8L2tleXdvcmQ+PGtleXdvcmQ+Qmly
dGggV2VpZ2h0PC9rZXl3b3JkPjxrZXl3b3JkPkRpYWJldGVzLCBHZXN0YXRpb25hbC9wcmV2ZW50
aW9uICZhbXA7IGNvbnRyb2w8L2tleXdvcmQ+PGtleXdvcmQ+KkV4ZXJjaXNlPC9rZXl3b3JkPjxr
ZXl3b3JkPkZlbWFsZTwva2V5d29yZD48a2V5d29yZD5GZXRhbCBNYWNyb3NvbWlhLypwcmV2ZW50
aW9uICZhbXA7IGNvbnRyb2w8L2tleXdvcmQ+PGtleXdvcmQ+SHVtYW5zPC9rZXl3b3JkPjxrZXl3
b3JkPkh5cGVydGVuc2lvbiwgUHJlZ25hbmN5LUluZHVjZWQvKnByZXZlbnRpb24gJmFtcDsgY29u
dHJvbDwva2V5d29yZD48a2V5d29yZD5JbmZhbnQsIE5ld2Jvcm48L2tleXdvcmQ+PGtleXdvcmQ+
UHJlZ25hbmN5PC9rZXl3b3JkPjxrZXl3b3JkPldlaWdodCBHYWluPC9rZXl3b3JkPjxrZXl3b3Jk
PipnZXN0YXRpb25hbCB3ZWlnaHQgZ2Fpbjwva2V5d29yZD48a2V5d29yZD4qaHlwZXJ0ZW5zaW9u
PC9rZXl3b3JkPjxrZXl3b3JkPippbnRlcnZlbnRpb248L2tleXdvcmQ+PGtleXdvcmQ+Km91dGNv
bWU8L2tleXdvcmQ+PGtleXdvcmQ+KnByZWduYW5jeTwva2V5d29yZD48L2tleXdvcmRzPjxkYXRl
cz48eWVhcj4yMDE2PC95ZWFyPjxwdWItZGF0ZXM+PGRhdGU+TWF5PC9kYXRlPjwvcHViLWRhdGVz
PjwvZGF0ZXM+PGlzYm4+MTA5Ny02ODY4IChFbGVjdHJvbmljKSYjeEQ7MDAwMi05Mzc4IChMaW5r
aW5nKTwvaXNibj48YWNjZXNzaW9uLW51bT4yNjcwNDg5NDwvYWNjZXNzaW9uLW51bT48dXJscz48
cmVsYXRlZC11cmxzPjx1cmw+aHR0cHM6Ly93d3cubmNiaS5ubG0ubmloLmdvdi9wdWJtZWQvMjY3
MDQ4OTQ8L3VybD48L3JlbGF0ZWQtdXJscz48L3VybHM+PGVsZWN0cm9uaWMtcmVzb3VyY2UtbnVt
PjEwLjEwMTYvai5ham9nLjIwMTUuMTEuMDM5PC9lbGVjdHJvbmljLXJlc291cmNlLW51bT48L3Jl
Y29yZD48L0NpdGU+PC9FbmROb3RlPgB=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PEVuZE5vdGU+PENpdGU+PEF1dGhvcj5CYXJha2F0PC9BdXRob3I+PFllYXI+MjAxNjwvWWVhcj48
UmVjTnVtPjY3NjwvUmVjTnVtPjxEaXNwbGF5VGV4dD48c3R5bGUgZmFjZT0ic3VwZXJzY3JpcHQi
IGZvbnQ9IlRyZWJ1Y2hldCBNUyIgc2l6ZT0iOSI+NDMwPC9zdHlsZT48L0Rpc3BsYXlUZXh0Pjxy
ZWNvcmQ+PHJlYy1udW1iZXI+Njc2PC9yZWMtbnVtYmVyPjxmb3JlaWduLWtleXM+PGtleSBhcHA9
IkVOIiBkYi1pZD0iZXh2YXNyZngyZHRyYW9lc2FzeHAyc3pzeGEyZGY1MDI1OTJ4IiB0aW1lc3Rh
bXA9IjE1NDA1MjY3ODMiPjY3Njwva2V5PjwvZm9yZWlnbi1rZXlzPjxyZWYtdHlwZSBuYW1lPSJK
b3VybmFsIEFydGljbGUiPjE3PC9yZWYtdHlwZT48Y29udHJpYnV0b3JzPjxhdXRob3JzPjxhdXRo
b3I+QmFyYWthdCwgUi48L2F1dGhvcj48YXV0aG9yPlBlbGFleiwgTS48L2F1dGhvcj48YXV0aG9y
PkNvcmRlcm8sIFkuPC9hdXRob3I+PGF1dGhvcj5QZXJhbGVzLCBNLjwvYXV0aG9yPjxhdXRob3I+
TG9wZXosIEMuPC9hdXRob3I+PGF1dGhvcj5Db3Rlcm9uLCBKLjwvYXV0aG9yPjxhdXRob3I+TW90
dG9sYSwgTS4gRi48L2F1dGhvcj48L2F1dGhvcnM+PC9jb250cmlidXRvcnM+PGF1dGgtYWRkcmVz
cz5QaHlzaWNhbCBBY3Rpdml0eSBhbmQgU3BvcnRzIGluIFNwZWNpZmljIFBvcHVsYXRpb25zIChB
RklQRSkgUmVzZWFyY2ggR3JvdXAsIEZhY3VsdHkgb2YgUGh5c2ljYWwgQWN0aXZpdHkgYW5kIFNw
b3J0cyBTY2llbmNlcy1GYWN1bHRhZCBkZSBDaWVuY2lhcyBkZSBsYSBBY3RpdmlkYWQgRmlzaWNh
IHkgZWwgRGVwb3J0ZSwgVGVjaG5pY2FsIFVuaXZlcnNpdHkgb2YgTWFkcmlkLCBNYWRyaWQsIFNw
YWluLiYjeEQ7Q2F0aG9saWMgVW5pdmVyc2l0eSBvZiBNdXJjaWEsIE11cmNpYSwgU3BhaW4uJiN4
RDtSLiBTYW11ZWwgTWNMYXVnaGxpbiBGb3VuZGF0aW9uLUV4ZXJjaXNlIGFuZCBQcmVnbmFuY3kg
TGFib3JhdG9yeSwgU2Nob29sIG9mIEtpbmVzaW9sb2d5LCBGYWN1bHR5IG9mIEhlYWx0aCBTY2ll
bmNlcywgRGVwYXJ0bWVudCBvZiBBbmF0b215IGFuZCBDZWxsIEJpb2xvZ3ksIFNjaHVsaWNoIFNj
aG9vbCBvZiBNZWRpY2luZSBhbmQgRGVudGlzdHJ5LCBDaGlsZHJlbiZhcG9zO3MgSGVhbHRoIFJl
c2VhcmNoIEluc3RpdHV0ZSwgVW5pdmVyc2l0eSBvZiBXZXN0ZXJuIE9udGFyaW8sIExvbmRvbiwg
T250YXJpbywgQ2FuYWRhLiBFbGVjdHJvbmljIGFkZHJlc3M6IG1tb3R0b2xhQHV3by5jYS48L2F1
dGgtYWRkcmVzcz48dGl0bGVzPjx0aXRsZT5FeGVyY2lzZSBkdXJpbmcgcHJlZ25hbmN5IHByb3Rl
Y3RzIGFnYWluc3QgaHlwZXJ0ZW5zaW9uIGFuZCBtYWNyb3NvbWlhOiByYW5kb21pemVkIGNsaW5p
Y2FsIHRyaWFsPC90aXRsZT48c2Vjb25kYXJ5LXRpdGxlPkFtIEogT2JzdGV0IEd5bmVjb2w8L3Nl
Y29uZGFyeS10aXRsZT48L3RpdGxlcz48cGVyaW9kaWNhbD48ZnVsbC10aXRsZT5BbSBKIE9ic3Rl
dCBHeW5lY29sPC9mdWxsLXRpdGxlPjwvcGVyaW9kaWNhbD48cGFnZXM+NjQ5IGUxLTg8L3BhZ2Vz
Pjx2b2x1bWU+MjE0PC92b2x1bWU+PG51bWJlcj41PC9udW1iZXI+PGVkaXRpb24+MjAxNS8xMi8y
NjwvZWRpdGlvbj48a2V5d29yZHM+PGtleXdvcmQ+QWR1bHQ8L2tleXdvcmQ+PGtleXdvcmQ+Qmly
dGggV2VpZ2h0PC9rZXl3b3JkPjxrZXl3b3JkPkRpYWJldGVzLCBHZXN0YXRpb25hbC9wcmV2ZW50
aW9uICZhbXA7IGNvbnRyb2w8L2tleXdvcmQ+PGtleXdvcmQ+KkV4ZXJjaXNlPC9rZXl3b3JkPjxr
ZXl3b3JkPkZlbWFsZTwva2V5d29yZD48a2V5d29yZD5GZXRhbCBNYWNyb3NvbWlhLypwcmV2ZW50
aW9uICZhbXA7IGNvbnRyb2w8L2tleXdvcmQ+PGtleXdvcmQ+SHVtYW5zPC9rZXl3b3JkPjxrZXl3
b3JkPkh5cGVydGVuc2lvbiwgUHJlZ25hbmN5LUluZHVjZWQvKnByZXZlbnRpb24gJmFtcDsgY29u
dHJvbDwva2V5d29yZD48a2V5d29yZD5JbmZhbnQsIE5ld2Jvcm48L2tleXdvcmQ+PGtleXdvcmQ+
UHJlZ25hbmN5PC9rZXl3b3JkPjxrZXl3b3JkPldlaWdodCBHYWluPC9rZXl3b3JkPjxrZXl3b3Jk
PipnZXN0YXRpb25hbCB3ZWlnaHQgZ2Fpbjwva2V5d29yZD48a2V5d29yZD4qaHlwZXJ0ZW5zaW9u
PC9rZXl3b3JkPjxrZXl3b3JkPippbnRlcnZlbnRpb248L2tleXdvcmQ+PGtleXdvcmQ+Km91dGNv
bWU8L2tleXdvcmQ+PGtleXdvcmQ+KnByZWduYW5jeTwva2V5d29yZD48L2tleXdvcmRzPjxkYXRl
cz48eWVhcj4yMDE2PC95ZWFyPjxwdWItZGF0ZXM+PGRhdGU+TWF5PC9kYXRlPjwvcHViLWRhdGVz
PjwvZGF0ZXM+PGlzYm4+MTA5Ny02ODY4IChFbGVjdHJvbmljKSYjeEQ7MDAwMi05Mzc4IChMaW5r
aW5nKTwvaXNibj48YWNjZXNzaW9uLW51bT4yNjcwNDg5NDwvYWNjZXNzaW9uLW51bT48dXJscz48
cmVsYXRlZC11cmxzPjx1cmw+aHR0cHM6Ly93d3cubmNiaS5ubG0ubmloLmdvdi9wdWJtZWQvMjY3
MDQ4OTQ8L3VybD48L3JlbGF0ZWQtdXJscz48L3VybHM+PGVsZWN0cm9uaWMtcmVzb3VyY2UtbnVt
PjEwLjEwMTYvai5ham9nLjIwMTUuMTEuMDM5PC9lbGVjdHJvbmljLXJlc291cmNlLW51bT48L3Jl
Y29yZD48L0NpdGU+PC9FbmROb3RlPgB=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430</w:t>
            </w:r>
            <w:r>
              <w:rPr>
                <w:sz w:val="16"/>
                <w:szCs w:val="16"/>
              </w:rPr>
              <w:fldChar w:fldCharType="end"/>
            </w:r>
          </w:p>
        </w:tc>
      </w:tr>
      <w:tr w:rsidR="008E765F" w:rsidRPr="00C12274" w14:paraId="00CD407B" w14:textId="77777777" w:rsidTr="00BC7AEC">
        <w:trPr>
          <w:cantSplit/>
        </w:trPr>
        <w:tc>
          <w:tcPr>
            <w:tcW w:w="1560" w:type="dxa"/>
            <w:shd w:val="clear" w:color="D9E2F3" w:themeColor="accent1" w:themeTint="33" w:fill="auto"/>
          </w:tcPr>
          <w:p w14:paraId="5C35C0DB"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15348A92"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vMerge w:val="restart"/>
            <w:shd w:val="clear" w:color="D9E2F3" w:themeColor="accent1" w:themeTint="33" w:fill="auto"/>
          </w:tcPr>
          <w:p w14:paraId="1BB4C3EE" w14:textId="77777777" w:rsidR="008E765F" w:rsidRPr="00C12274" w:rsidRDefault="008E765F" w:rsidP="00611251">
            <w:pPr>
              <w:pStyle w:val="RCTstable"/>
              <w:keepNext/>
            </w:pPr>
            <w:r w:rsidRPr="00C12274">
              <w:t xml:space="preserve">The participant randomization assignment followed an allocation concealment process using a random numbers table. </w:t>
            </w:r>
          </w:p>
        </w:tc>
      </w:tr>
      <w:tr w:rsidR="008E765F" w:rsidRPr="00C12274" w14:paraId="6CA271BF" w14:textId="77777777" w:rsidTr="00BC7AEC">
        <w:trPr>
          <w:cantSplit/>
        </w:trPr>
        <w:tc>
          <w:tcPr>
            <w:tcW w:w="1560" w:type="dxa"/>
            <w:shd w:val="clear" w:color="D9E2F3" w:themeColor="accent1" w:themeTint="33" w:fill="auto"/>
          </w:tcPr>
          <w:p w14:paraId="5D2F58F1"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7C740079"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vMerge/>
            <w:shd w:val="clear" w:color="D9E2F3" w:themeColor="accent1" w:themeTint="33" w:fill="auto"/>
          </w:tcPr>
          <w:p w14:paraId="09430EFB" w14:textId="77777777" w:rsidR="008E765F" w:rsidRPr="00C12274" w:rsidRDefault="008E765F" w:rsidP="00611251">
            <w:pPr>
              <w:keepNext/>
              <w:spacing w:before="40" w:after="40" w:line="220" w:lineRule="exact"/>
              <w:rPr>
                <w:sz w:val="16"/>
                <w:szCs w:val="16"/>
              </w:rPr>
            </w:pPr>
          </w:p>
        </w:tc>
      </w:tr>
      <w:tr w:rsidR="00C465B5" w:rsidRPr="00C12274" w14:paraId="194BE7B9" w14:textId="77777777" w:rsidTr="00BC7AEC">
        <w:trPr>
          <w:cantSplit/>
        </w:trPr>
        <w:tc>
          <w:tcPr>
            <w:tcW w:w="1560" w:type="dxa"/>
            <w:shd w:val="clear" w:color="D9E2F3" w:themeColor="accent1" w:themeTint="33" w:fill="auto"/>
          </w:tcPr>
          <w:p w14:paraId="2E053D39" w14:textId="0622DDDB" w:rsidR="00C465B5" w:rsidRPr="00C12274" w:rsidRDefault="00C465B5" w:rsidP="00611251">
            <w:pPr>
              <w:keepNext/>
              <w:spacing w:before="40" w:after="40" w:line="220" w:lineRule="exact"/>
              <w:rPr>
                <w:sz w:val="16"/>
                <w:szCs w:val="16"/>
              </w:rPr>
            </w:pPr>
            <w:r>
              <w:rPr>
                <w:sz w:val="16"/>
                <w:szCs w:val="16"/>
              </w:rPr>
              <w:t>Performance bias</w:t>
            </w:r>
          </w:p>
        </w:tc>
        <w:tc>
          <w:tcPr>
            <w:tcW w:w="1275" w:type="dxa"/>
            <w:shd w:val="clear" w:color="D9E2F3" w:themeColor="accent1" w:themeTint="33" w:fill="FFC000" w:themeFill="accent4"/>
          </w:tcPr>
          <w:p w14:paraId="1A0A8EF9" w14:textId="7C98638D" w:rsidR="00C465B5" w:rsidRPr="00C12274" w:rsidRDefault="00372B31" w:rsidP="00611251">
            <w:pPr>
              <w:keepNext/>
              <w:spacing w:before="40" w:after="40" w:line="220" w:lineRule="exact"/>
              <w:rPr>
                <w:sz w:val="16"/>
                <w:szCs w:val="16"/>
              </w:rPr>
            </w:pPr>
            <w:r>
              <w:rPr>
                <w:sz w:val="16"/>
                <w:szCs w:val="16"/>
              </w:rPr>
              <w:t>Unclear</w:t>
            </w:r>
            <w:r w:rsidR="00C465B5">
              <w:rPr>
                <w:sz w:val="16"/>
                <w:szCs w:val="16"/>
              </w:rPr>
              <w:t xml:space="preserve"> risk</w:t>
            </w:r>
          </w:p>
        </w:tc>
        <w:tc>
          <w:tcPr>
            <w:tcW w:w="11199" w:type="dxa"/>
            <w:shd w:val="clear" w:color="D9E2F3" w:themeColor="accent1" w:themeTint="33" w:fill="auto"/>
          </w:tcPr>
          <w:p w14:paraId="221BA314" w14:textId="7D3020AA" w:rsidR="00C465B5" w:rsidRPr="00C12274" w:rsidRDefault="00372B31" w:rsidP="00611251">
            <w:pPr>
              <w:pStyle w:val="RCTstable"/>
              <w:keepNext/>
            </w:pPr>
            <w:r>
              <w:t>Not described</w:t>
            </w:r>
          </w:p>
        </w:tc>
      </w:tr>
      <w:tr w:rsidR="008E765F" w:rsidRPr="00C12274" w14:paraId="5B617410" w14:textId="77777777" w:rsidTr="00BC7AEC">
        <w:trPr>
          <w:cantSplit/>
        </w:trPr>
        <w:tc>
          <w:tcPr>
            <w:tcW w:w="1560" w:type="dxa"/>
            <w:shd w:val="clear" w:color="D9E2F3" w:themeColor="accent1" w:themeTint="33" w:fill="auto"/>
          </w:tcPr>
          <w:p w14:paraId="2EF29FED" w14:textId="2EACF7A2" w:rsidR="008E765F" w:rsidRPr="00C12274" w:rsidRDefault="00C465B5" w:rsidP="00611251">
            <w:pPr>
              <w:keepNext/>
              <w:spacing w:before="40" w:after="40" w:line="220" w:lineRule="exact"/>
              <w:rPr>
                <w:sz w:val="16"/>
                <w:szCs w:val="16"/>
              </w:rPr>
            </w:pPr>
            <w:r>
              <w:rPr>
                <w:sz w:val="16"/>
                <w:szCs w:val="16"/>
              </w:rPr>
              <w:t>Detection bias</w:t>
            </w:r>
          </w:p>
        </w:tc>
        <w:tc>
          <w:tcPr>
            <w:tcW w:w="1275" w:type="dxa"/>
            <w:shd w:val="clear" w:color="D9E2F3" w:themeColor="accent1" w:themeTint="33" w:fill="70AD47" w:themeFill="accent6"/>
          </w:tcPr>
          <w:p w14:paraId="2CEE2489"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6FC62A7" w14:textId="77777777" w:rsidR="008E765F" w:rsidRPr="00C12274" w:rsidRDefault="008E765F" w:rsidP="00611251">
            <w:pPr>
              <w:pStyle w:val="RCTstable"/>
              <w:keepNext/>
            </w:pPr>
            <w:r w:rsidRPr="00C12274">
              <w:t>Assessment staff members were blinded to assignment.</w:t>
            </w:r>
          </w:p>
        </w:tc>
      </w:tr>
      <w:tr w:rsidR="008E765F" w:rsidRPr="00C12274" w14:paraId="7A6B473E" w14:textId="77777777" w:rsidTr="00BC7AEC">
        <w:trPr>
          <w:cantSplit/>
        </w:trPr>
        <w:tc>
          <w:tcPr>
            <w:tcW w:w="1560" w:type="dxa"/>
            <w:shd w:val="clear" w:color="D9E2F3" w:themeColor="accent1" w:themeTint="33" w:fill="auto"/>
          </w:tcPr>
          <w:p w14:paraId="44AE6A05"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72262458"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C4D3EB4" w14:textId="77777777" w:rsidR="008E765F" w:rsidRPr="00C12274" w:rsidRDefault="008E765F" w:rsidP="00611251">
            <w:pPr>
              <w:spacing w:before="40" w:after="40" w:line="220" w:lineRule="exact"/>
              <w:rPr>
                <w:sz w:val="16"/>
                <w:szCs w:val="16"/>
                <w:lang w:val="en-US"/>
              </w:rPr>
            </w:pPr>
            <w:r w:rsidRPr="00C12274">
              <w:rPr>
                <w:sz w:val="16"/>
                <w:szCs w:val="16"/>
                <w:lang w:val="en-US"/>
              </w:rPr>
              <w:t>Overall attrition 9%; 38 women (9%) from the intervention group and 37 women (9%) from the control group were not included in the final analysis; reasons provided. No ITT analysis.</w:t>
            </w:r>
          </w:p>
        </w:tc>
      </w:tr>
      <w:tr w:rsidR="008E765F" w:rsidRPr="00C12274" w14:paraId="3581DB97" w14:textId="77777777" w:rsidTr="00BC7AEC">
        <w:trPr>
          <w:cantSplit/>
        </w:trPr>
        <w:tc>
          <w:tcPr>
            <w:tcW w:w="1560" w:type="dxa"/>
            <w:shd w:val="clear" w:color="D9E2F3" w:themeColor="accent1" w:themeTint="33" w:fill="auto"/>
          </w:tcPr>
          <w:p w14:paraId="00991D26"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CFFE598"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017A0D5"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0384069B" w14:textId="77777777" w:rsidTr="00BC7AEC">
        <w:trPr>
          <w:cantSplit/>
        </w:trPr>
        <w:tc>
          <w:tcPr>
            <w:tcW w:w="1560" w:type="dxa"/>
            <w:shd w:val="clear" w:color="D9E2F3" w:themeColor="accent1" w:themeTint="33" w:fill="auto"/>
          </w:tcPr>
          <w:p w14:paraId="51D207AC"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017D26D5"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39476896"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03D86489" w14:textId="77777777" w:rsidTr="00BC7AEC">
        <w:trPr>
          <w:cantSplit/>
        </w:trPr>
        <w:tc>
          <w:tcPr>
            <w:tcW w:w="14034" w:type="dxa"/>
            <w:gridSpan w:val="3"/>
            <w:shd w:val="solid" w:color="D9E2F3" w:themeColor="accent1" w:themeTint="33" w:fill="auto"/>
          </w:tcPr>
          <w:p w14:paraId="7AFE2B84" w14:textId="7FBF2D1C"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Barakat et al 2018</w:t>
            </w:r>
            <w:r>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rPr>
                <w:sz w:val="16"/>
                <w:szCs w:val="16"/>
              </w:rPr>
              <w:instrText xml:space="preserve"> ADDIN EN.CITE </w:instrText>
            </w:r>
            <w:r w:rsidR="002747EA">
              <w:rPr>
                <w:sz w:val="16"/>
                <w:szCs w:val="16"/>
              </w:rPr>
              <w:fldChar w:fldCharType="begin">
                <w:fldData xml:space="preserve">PEVuZE5vdGU+PENpdGU+PEF1dGhvcj5CYXJha2F0PC9BdXRob3I+PFllYXI+MjAxODwvWWVhcj48
UmVjTnVtPjcxMTwvUmVjTnVtPjxEaXNwbGF5VGV4dD48c3R5bGUgZmFjZT0ic3VwZXJzY3JpcHQi
IGZvbnQ9IlRyZWJ1Y2hldCBNUyIgc2l6ZT0iOSI+Mjk0PC9zdHlsZT48L0Rpc3BsYXlUZXh0Pjxy
ZWNvcmQ+PHJlYy1udW1iZXI+NzExPC9yZWMtbnVtYmVyPjxmb3JlaWduLWtleXM+PGtleSBhcHA9
IkVOIiBkYi1pZD0iZXh2YXNyZngyZHRyYW9lc2FzeHAyc3pzeGEyZGY1MDI1OTJ4IiB0aW1lc3Rh
bXA9IjE1NDE0NjIyODUiPjcxMTwva2V5PjwvZm9yZWlnbi1rZXlzPjxyZWYtdHlwZSBuYW1lPSJK
b3VybmFsIEFydGljbGUiPjE3PC9yZWYtdHlwZT48Y29udHJpYnV0b3JzPjxhdXRob3JzPjxhdXRo
b3I+QmFyYWthdCwgUi48L2F1dGhvcj48YXV0aG9yPkZyYW5jbywgRS48L2F1dGhvcj48YXV0aG9y
PlBlcmFsZXMsIE0uPC9hdXRob3I+PGF1dGhvcj5Mb3BleiwgQy48L2F1dGhvcj48YXV0aG9yPk1v
dHRvbGEsIE0uIEYuPC9hdXRob3I+PC9hdXRob3JzPjwvY29udHJpYnV0b3JzPjxhdXRoLWFkZHJl
c3M+QUZJUEUgUmVzZWFyY2ggR3JvdXAsIFRlY2huaWNhbCBVbml2ZXJzaXR5IG9mIE1hZHJpZCwg
U3BhaW4uIEVsZWN0cm9uaWMgYWRkcmVzczogYmFyYWthdHJ1YmVuQGdtYWlsLmNvbS4mI3hEO0FG
SVBFIFJlc2VhcmNoIEdyb3VwLCBUZWNobmljYWwgVW5pdmVyc2l0eSBvZiBNYWRyaWQsIFNwYWlu
LiYjeEQ7Q2FtaWxvIEpvc2UgQ2VsYSBVbml2ZXJzaXR5LCBNYWRyaWQsIFNwYWluOyBSZXNlYXJj
aCBJbnN0aXR1dGUgb2YgSG9zcGl0YWwgMTIgZGUgT2N0dWJyZSAoJmFwb3M7aSsxMiZhcG9zOyks
IE1hZHJpZCwgU3BhaW4uJiN4RDtSIFNhbXVlbCBNY0xhdWdobGluIEZvdW5kYXRpb24tRXhlcmNp
c2UgJmFtcDsgUHJlZ25hbmN5IExhYm9yYXRvcnksIFNjaG9vbCBvZiBLaW5lc2lvbG9neSwgRmFj
dWx0eSBvZiBIZWFsdGggU2NpZW5jZXMsIENhbmFkYTsgRGVwdCBvZiBBbmF0b215ICZhbXA7IENl
bGwgQmlvbG9neSwgU2NodWxpY2ggU2Nob29sIG9mIE1lZGljaW5lICZhbXA7IERlbnRpc3RyeSwg
Q2hpbGRyZW4mYXBvcztzIEhlYWx0aCBSZXNlYXJjaCBJbnN0aXR1dGUsIFVuaXZlcnNpdHkgb2Yg
V2VzdGVybiBPbnRhcmlvLCBMb25kb24sIENhbmFkYS48L2F1dGgtYWRkcmVzcz48dGl0bGVzPjx0
aXRsZT5FeGVyY2lzZSBkdXJpbmcgcHJlZ25hbmN5IGlzIGFzc29jaWF0ZWQgd2l0aCBhIHNob3J0
ZXIgZHVyYXRpb24gb2YgbGFib3IuIEEgcmFuZG9taXplZCBjbGluaWNhbCB0cmlhbDwvdGl0bGU+
PHNlY29uZGFyeS10aXRsZT5FdXIgSiBPYnN0ZXQgR3luZWNvbCBSZXByb2QgQmlvbDwvc2Vjb25k
YXJ5LXRpdGxlPjwvdGl0bGVzPjxwZXJpb2RpY2FsPjxmdWxsLXRpdGxlPkV1ciBKIE9ic3RldCBH
eW5lY29sIFJlcHJvZCBCaW9sPC9mdWxsLXRpdGxlPjwvcGVyaW9kaWNhbD48cGFnZXM+MzMtNDA8
L3BhZ2VzPjx2b2x1bWU+MjI0PC92b2x1bWU+PGVkaXRpb24+MjAxOC8wMy8xMzwvZWRpdGlvbj48
a2V5d29yZHM+PGtleXdvcmQ+QWR1bHQ8L2tleXdvcmQ+PGtleXdvcmQ+KkV4ZXJjaXNlPC9rZXl3
b3JkPjxrZXl3b3JkPkZlbWFsZTwva2V5d29yZD48a2V5d29yZD5IdW1hbnM8L2tleXdvcmQ+PGtl
eXdvcmQ+KkxhYm9yIFN0YWdlLCBGaXJzdDwva2V5d29yZD48a2V5d29yZD5QcmVnbmFuY3k8L2tl
eXdvcmQ+PGtleXdvcmQ+KkR1cmF0aW9uPC9rZXl3b3JkPjxrZXl3b3JkPipMYWJvcjwva2V5d29y
ZD48a2V5d29yZD4qUHJlZ25hbmN5PC9rZXl3b3JkPjwva2V5d29yZHM+PGRhdGVzPjx5ZWFyPjIw
MTg8L3llYXI+PHB1Yi1kYXRlcz48ZGF0ZT5NYXk8L2RhdGU+PC9wdWItZGF0ZXM+PC9kYXRlcz48
aXNibj4xODcyLTc2NTQgKEVsZWN0cm9uaWMpJiN4RDswMzAxLTIxMTUgKExpbmtpbmcpPC9pc2Ju
PjxhY2Nlc3Npb24tbnVtPjI5NTI5NDc1PC9hY2Nlc3Npb24tbnVtPjx1cmxzPjxyZWxhdGVkLXVy
bHM+PHVybD5odHRwczovL3d3dy5uY2JpLm5sbS5uaWguZ292L3B1Ym1lZC8yOTUyOTQ3NTwvdXJs
PjwvcmVsYXRlZC11cmxzPjwvdXJscz48ZWxlY3Ryb25pYy1yZXNvdXJjZS1udW0+MTAuMTAxNi9q
LmVqb2dyYi4yMDE4LjAzLjAwOTwvZWxlY3Ryb25pYy1yZXNvdXJjZS1udW0+PC9yZWNvcmQ+PC9D
aXRlPjwvRW5kTm90ZT5=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294</w:t>
            </w:r>
            <w:r>
              <w:rPr>
                <w:sz w:val="16"/>
                <w:szCs w:val="16"/>
              </w:rPr>
              <w:fldChar w:fldCharType="end"/>
            </w:r>
          </w:p>
        </w:tc>
      </w:tr>
      <w:tr w:rsidR="008E765F" w:rsidRPr="00C12274" w14:paraId="26842C71" w14:textId="77777777" w:rsidTr="00BC7AEC">
        <w:trPr>
          <w:cantSplit/>
        </w:trPr>
        <w:tc>
          <w:tcPr>
            <w:tcW w:w="1560" w:type="dxa"/>
            <w:shd w:val="clear" w:color="D9E2F3" w:themeColor="accent1" w:themeTint="33" w:fill="auto"/>
          </w:tcPr>
          <w:p w14:paraId="1F959FBB"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4A1D991B"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C878848" w14:textId="77777777" w:rsidR="008E765F" w:rsidRPr="00C12274" w:rsidRDefault="008E765F" w:rsidP="00611251">
            <w:pPr>
              <w:pStyle w:val="RCTstable"/>
              <w:keepNext/>
            </w:pPr>
            <w:r w:rsidRPr="00C12274">
              <w:t>A computer-generated list of random numbers was used to allocate the participants into the study groups.</w:t>
            </w:r>
          </w:p>
        </w:tc>
      </w:tr>
      <w:tr w:rsidR="008E765F" w:rsidRPr="00C12274" w14:paraId="5061F9A8" w14:textId="77777777" w:rsidTr="00BC7AEC">
        <w:trPr>
          <w:cantSplit/>
        </w:trPr>
        <w:tc>
          <w:tcPr>
            <w:tcW w:w="1560" w:type="dxa"/>
            <w:shd w:val="clear" w:color="D9E2F3" w:themeColor="accent1" w:themeTint="33" w:fill="auto"/>
          </w:tcPr>
          <w:p w14:paraId="37A9AF50"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03B755C0"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B615761" w14:textId="77777777" w:rsidR="008E765F" w:rsidRPr="00C12274" w:rsidRDefault="008E765F" w:rsidP="00611251">
            <w:pPr>
              <w:pStyle w:val="RCTstable"/>
              <w:keepNext/>
            </w:pPr>
            <w:r w:rsidRPr="00C12274">
              <w:t>The treatment allocation system was set up so that the researcher who was in charge of randomly assigning participants to each group did not know in advance which treatment the next person would receive.</w:t>
            </w:r>
          </w:p>
        </w:tc>
      </w:tr>
      <w:tr w:rsidR="008E765F" w:rsidRPr="00C12274" w14:paraId="52FD2641" w14:textId="77777777" w:rsidTr="00BC7AEC">
        <w:trPr>
          <w:cantSplit/>
        </w:trPr>
        <w:tc>
          <w:tcPr>
            <w:tcW w:w="1560" w:type="dxa"/>
            <w:shd w:val="clear" w:color="D9E2F3" w:themeColor="accent1" w:themeTint="33" w:fill="auto"/>
          </w:tcPr>
          <w:p w14:paraId="59B37E91" w14:textId="70107D68" w:rsidR="008E765F" w:rsidRPr="00C12274" w:rsidRDefault="00372B31" w:rsidP="00611251">
            <w:pPr>
              <w:keepNext/>
              <w:spacing w:before="40" w:after="40" w:line="220" w:lineRule="exact"/>
              <w:rPr>
                <w:sz w:val="16"/>
                <w:szCs w:val="16"/>
              </w:rPr>
            </w:pPr>
            <w:r>
              <w:rPr>
                <w:sz w:val="16"/>
                <w:szCs w:val="16"/>
              </w:rPr>
              <w:t>Performance bias</w:t>
            </w:r>
            <w:r w:rsidR="008E765F" w:rsidRPr="00C12274">
              <w:rPr>
                <w:sz w:val="16"/>
                <w:szCs w:val="16"/>
              </w:rPr>
              <w:t xml:space="preserve"> </w:t>
            </w:r>
          </w:p>
        </w:tc>
        <w:tc>
          <w:tcPr>
            <w:tcW w:w="1275" w:type="dxa"/>
            <w:shd w:val="clear" w:color="D9E2F3" w:themeColor="accent1" w:themeTint="33" w:fill="FFC000" w:themeFill="accent4"/>
          </w:tcPr>
          <w:p w14:paraId="560B6707"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0E7C5608"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372B31" w:rsidRPr="00C12274" w14:paraId="59C808C8" w14:textId="77777777" w:rsidTr="00BC7AEC">
        <w:trPr>
          <w:cantSplit/>
        </w:trPr>
        <w:tc>
          <w:tcPr>
            <w:tcW w:w="1560" w:type="dxa"/>
            <w:shd w:val="clear" w:color="D9E2F3" w:themeColor="accent1" w:themeTint="33" w:fill="auto"/>
          </w:tcPr>
          <w:p w14:paraId="37F3861A" w14:textId="7BC469CB" w:rsidR="00372B31" w:rsidRPr="00C12274" w:rsidRDefault="00372B31"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146C6BB7" w14:textId="77777777" w:rsidR="00372B31" w:rsidRPr="00C12274" w:rsidRDefault="00372B31"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1E6D14EA" w14:textId="77777777" w:rsidR="00372B31" w:rsidRPr="00C12274" w:rsidRDefault="00372B31" w:rsidP="009740A7">
            <w:pPr>
              <w:keepNext/>
              <w:spacing w:before="40" w:after="40" w:line="220" w:lineRule="exact"/>
              <w:rPr>
                <w:sz w:val="16"/>
                <w:szCs w:val="16"/>
              </w:rPr>
            </w:pPr>
            <w:r w:rsidRPr="00C12274">
              <w:rPr>
                <w:sz w:val="16"/>
                <w:szCs w:val="16"/>
              </w:rPr>
              <w:t>Not described</w:t>
            </w:r>
          </w:p>
        </w:tc>
      </w:tr>
      <w:tr w:rsidR="008E765F" w:rsidRPr="00C12274" w14:paraId="4D9778EE" w14:textId="77777777" w:rsidTr="00BC7AEC">
        <w:trPr>
          <w:cantSplit/>
        </w:trPr>
        <w:tc>
          <w:tcPr>
            <w:tcW w:w="1560" w:type="dxa"/>
            <w:shd w:val="clear" w:color="D9E2F3" w:themeColor="accent1" w:themeTint="33" w:fill="auto"/>
          </w:tcPr>
          <w:p w14:paraId="54B1720A"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3670CF16"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0C55696"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In the intervention group, 51 women were lost to follow-up and 53 were excluded as they had a caesarean section. In the control group, 28 women were lost to follow-up and 51 were excluded due to caesarean section. Reasons for loss to follow-up included. ITT and per protocol analysis included.</w:t>
            </w:r>
          </w:p>
        </w:tc>
      </w:tr>
      <w:tr w:rsidR="008E765F" w:rsidRPr="00C12274" w14:paraId="1B15C715" w14:textId="77777777" w:rsidTr="00BC7AEC">
        <w:trPr>
          <w:cantSplit/>
        </w:trPr>
        <w:tc>
          <w:tcPr>
            <w:tcW w:w="1560" w:type="dxa"/>
            <w:shd w:val="clear" w:color="D9E2F3" w:themeColor="accent1" w:themeTint="33" w:fill="auto"/>
          </w:tcPr>
          <w:p w14:paraId="47072464"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780BF9AD"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E764A85"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0F4B5DFE" w14:textId="77777777" w:rsidTr="00BC7AEC">
        <w:trPr>
          <w:cantSplit/>
        </w:trPr>
        <w:tc>
          <w:tcPr>
            <w:tcW w:w="1560" w:type="dxa"/>
            <w:shd w:val="clear" w:color="D9E2F3" w:themeColor="accent1" w:themeTint="33" w:fill="auto"/>
          </w:tcPr>
          <w:p w14:paraId="2D83205C"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1A7D37F3"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50D8268A"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0FA924AF" w14:textId="77777777" w:rsidTr="00BC7AEC">
        <w:trPr>
          <w:cantSplit/>
        </w:trPr>
        <w:tc>
          <w:tcPr>
            <w:tcW w:w="14034" w:type="dxa"/>
            <w:gridSpan w:val="3"/>
            <w:shd w:val="solid" w:color="D9E2F3" w:themeColor="accent1" w:themeTint="33" w:fill="auto"/>
          </w:tcPr>
          <w:p w14:paraId="5961954A" w14:textId="0D02D7FE"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Bisson et al 2015</w:t>
            </w:r>
            <w:r>
              <w:rPr>
                <w:sz w:val="16"/>
                <w:szCs w:val="16"/>
              </w:rPr>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PEVuZE5vdGU+PENpdGU+PEF1dGhvcj5CaXNzb248L0F1dGhvcj48WWVhcj4yMDE1PC9ZZWFyPjxS
ZWNOdW0+Njc3PC9SZWNOdW0+PERpc3BsYXlUZXh0PjxzdHlsZSBmYWNlPSJzdXBlcnNjcmlwdCIg
Zm9udD0iVHJlYnVjaGV0IE1TIiBzaXplPSI5Ij4yNjk8L3N0eWxlPjwvRGlzcGxheVRleHQ+PHJl
Y29yZD48cmVjLW51bWJlcj42Nzc8L3JlYy1udW1iZXI+PGZvcmVpZ24ta2V5cz48a2V5IGFwcD0i
RU4iIGRiLWlkPSJleHZhc3JmeDJkdHJhb2VzYXN4cDJzenN4YTJkZjUwMjU5MngiIHRpbWVzdGFt
cD0iMTU0MDUyNjgxNCI+Njc3PC9rZXk+PC9mb3JlaWduLWtleXM+PHJlZi10eXBlIG5hbWU9Ikpv
dXJuYWwgQXJ0aWNsZSI+MTc8L3JlZi10eXBlPjxjb250cmlidXRvcnM+PGF1dGhvcnM+PGF1dGhv
cj5CaXNzb24sIE0uPC9hdXRob3I+PGF1dGhvcj5BbG1lcmFzLCBOLjwvYXV0aG9yPjxhdXRob3I+
RHVmcmVzbmUsIFMuIFMuPC9hdXRob3I+PGF1dGhvcj5Sb2JpdGFpbGxlLCBKLjwvYXV0aG9yPjxh
dXRob3I+UmhlYXVtZSwgQy48L2F1dGhvcj48YXV0aG9yPkJ1am9sZCwgRS48L2F1dGhvcj48YXV0
aG9yPkZyZW5ldHRlLCBKLjwvYXV0aG9yPjxhdXRob3I+VHJlbWJsYXksIEEuPC9hdXRob3I+PGF1
dGhvcj5NYXJjLCBJLjwvYXV0aG9yPjwvYXV0aG9ycz48L2NvbnRyaWJ1dG9ycz48YXV0aC1hZGRy
ZXNzPkRlcGFydG1lbnQgb2YgUGVkaWF0cmljcywgQ2VudHJlIGhvc3BpdGFsaWVyIHVuaXZlcnNp
dGFpcmUgKENIVSkgZGUgUXVlYmVjLCBMYXZhbCBVbml2ZXJzaXR5LCBRdWViZWMgQ2l0eSwgUHJv
dmluY2Ugb2YgUXVlYmVjLCBDYW5hZGE7IERlcGFydG1lbnQgb2YgS2luZXNpb2xvZ3ksIExhdmFs
IFVuaXZlcnNpdHksIFF1ZWJlYyBDaXR5LCBQcm92aW5jZSBvZiBRdWViZWMsIENhbmFkYS4mI3hE
O0RlcGFydG1lbnQgb2YgS2luZXNpb2xvZ3ksIExhdmFsIFVuaXZlcnNpdHksIFF1ZWJlYyBDaXR5
LCBQcm92aW5jZSBvZiBRdWViZWMsIENhbmFkYS4mI3hEO0RlcGFydG1lbnQgb2YgUmVoYWJpbGl0
YXRpb24sIENIVSBkZSBRdWViZWMsIExhdmFsIFVuaXZlcnNpdHksIFF1ZWJlYyBDaXR5LCBQcm92
aW5jZSBvZiBRdWViZWMsIENhbmFkYS4mI3hEO0RlcGFydG1lbnQgb2YgRm9vZCBTY2llbmNlIGFu
ZCBOdXRyaXRpb24sIExhdmFsIFVuaXZlcnNpdHksIFF1ZWJlYyBDaXR5LCBQcm92aW5jZSBvZiBR
dWViZWMsIENhbmFkYS4mI3hEO0RlcGFydG1lbnQgb2YgRmFtaWx5IE1lZGljaW5lIGFuZCBFbWVy
Z2VuY3kgTWVkaWNpbmUsIExhdmFsIFVuaXZlcnNpdHksIFF1ZWJlYyBDaXR5LCBQcm92aW5jZSBv
ZiBRdWViZWMuJiN4RDtEZXBhcnRtZW50IG9mIE9ic3RldHJpY3MgYW5kIEd5bmVjb2xvZ3ksIENI
VSBkZSBRdWViZWMsIExhdmFsIFVuaXZlcnNpdHksIFF1ZWJlYyBDaXR5LCBQcm92aW5jZSBvZiBR
dWViZWMsIENhbmFkYS4mI3hEO0RlcGFydG1lbnQgb2YgUGVkaWF0cmljcywgQ2VudHJlIGhvc3Bp
dGFsaWVyIHVuaXZlcnNpdGFpcmUgKENIVSkgZGUgUXVlYmVjLCBMYXZhbCBVbml2ZXJzaXR5LCBR
dWViZWMgQ2l0eSwgUHJvdmluY2Ugb2YgUXVlYmVjLCBDYW5hZGEuPC9hdXRoLWFkZHJlc3M+PHRp
dGxlcz48dGl0bGU+QSAxMi1XZWVrIEV4ZXJjaXNlIFByb2dyYW0gZm9yIFByZWduYW50IFdvbWVu
IHdpdGggT2Jlc2l0eSB0byBJbXByb3ZlIFBoeXNpY2FsIEFjdGl2aXR5IExldmVsczogQW4gT3Bl
biBSYW5kb21pc2VkIFByZWxpbWluYXJ5IFN0dWR5PC90aXRsZT48c2Vjb25kYXJ5LXRpdGxlPlBM
b1MgT25lPC9zZWNvbmRhcnktdGl0bGU+PC90aXRsZXM+PHBlcmlvZGljYWw+PGZ1bGwtdGl0bGU+
UExvUyBPbmU8L2Z1bGwtdGl0bGU+PC9wZXJpb2RpY2FsPjxwYWdlcz5lMDEzNzc0MjwvcGFnZXM+
PHZvbHVtZT4xMDwvdm9sdW1lPjxudW1iZXI+OTwvbnVtYmVyPjxlZGl0aW9uPjIwMTUvMDkvMTc8
L2VkaXRpb24+PGtleXdvcmRzPjxrZXl3b3JkPkFkdWx0PC9rZXl3b3JkPjxrZXl3b3JkPipCb2R5
IE1hc3MgSW5kZXg8L2tleXdvcmQ+PGtleXdvcmQ+Qm9keSBXZWlnaHQ8L2tleXdvcmQ+PGtleXdv
cmQ+Q2FzZS1Db250cm9sIFN0dWRpZXM8L2tleXdvcmQ+PGtleXdvcmQ+RW5lcmd5IEludGFrZTwv
a2V5d29yZD48a2V5d29yZD5FeGVyY2lzZSBUaGVyYXB5LyptZXRob2RzPC9rZXl3b3JkPjxrZXl3
b3JkPkZlbWFsZTwva2V5d29yZD48a2V5d29yZD5IdW1hbnM8L2tleXdvcmQ+PGtleXdvcmQ+Kkxp
ZmUgU3R5bGU8L2tleXdvcmQ+PGtleXdvcmQ+T2Jlc2l0eS9wcmV2ZW50aW9uICZhbXA7IGNvbnRy
b2wvKnRoZXJhcHk8L2tleXdvcmQ+PGtleXdvcmQ+T3h5Z2VuIENvbnN1bXB0aW9uPC9rZXl3b3Jk
PjxrZXl3b3JkPlByZWduYW5jeTwva2V5d29yZD48a2V5d29yZD5QcmVnbmFuY3kgT3V0Y29tZTwv
a2V5d29yZD48a2V5d29yZD5QcmVnbmFudCBXb21lbjwva2V5d29yZD48a2V5d29yZD5XZWlnaHQg
R2Fpbjwva2V5d29yZD48L2tleXdvcmRzPjxkYXRlcz48eWVhcj4yMDE1PC95ZWFyPjwvZGF0ZXM+
PGlzYm4+MTkzMi02MjAzIChFbGVjdHJvbmljKSYjeEQ7MTkzMi02MjAzIChMaW5raW5nKTwvaXNi
bj48YWNjZXNzaW9uLW51bT4yNjM3NTQ3MTwvYWNjZXNzaW9uLW51bT48dXJscz48cmVsYXRlZC11
cmxzPjx1cmw+aHR0cHM6Ly93d3cubmNiaS5ubG0ubmloLmdvdi9wdWJtZWQvMjYzNzU0NzE8L3Vy
bD48L3JlbGF0ZWQtdXJscz48L3VybHM+PGN1c3RvbTI+UE1DNDU3Mzc1NzwvY3VzdG9tMj48ZWxl
Y3Ryb25pYy1yZXNvdXJjZS1udW0+MTAuMTM3MS9qb3VybmFsLnBvbmUuMDEzNzc0MjwvZWxlY3Ry
b25pYy1yZXNvdXJjZS1udW0+PC9yZWNvcmQ+PC9DaXRlPjwvRW5kTm90ZT4A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269</w:t>
            </w:r>
            <w:r>
              <w:rPr>
                <w:sz w:val="16"/>
                <w:szCs w:val="16"/>
              </w:rPr>
              <w:fldChar w:fldCharType="end"/>
            </w:r>
          </w:p>
        </w:tc>
      </w:tr>
      <w:tr w:rsidR="008E765F" w:rsidRPr="00C12274" w14:paraId="68120E16" w14:textId="77777777" w:rsidTr="00BC7AEC">
        <w:trPr>
          <w:cantSplit/>
        </w:trPr>
        <w:tc>
          <w:tcPr>
            <w:tcW w:w="1560" w:type="dxa"/>
            <w:shd w:val="clear" w:color="D9E2F3" w:themeColor="accent1" w:themeTint="33" w:fill="auto"/>
          </w:tcPr>
          <w:p w14:paraId="66F0F728"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4546B277"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4395F83" w14:textId="77777777" w:rsidR="008E765F" w:rsidRPr="00C12274" w:rsidRDefault="008E765F" w:rsidP="00611251">
            <w:pPr>
              <w:pStyle w:val="RCTstable"/>
              <w:keepNext/>
              <w:rPr>
                <w:szCs w:val="24"/>
              </w:rPr>
            </w:pPr>
            <w:r w:rsidRPr="00C12274">
              <w:t>Randomisation was stratified according to parity and based on a computer-generated random numbers table.</w:t>
            </w:r>
          </w:p>
        </w:tc>
      </w:tr>
      <w:tr w:rsidR="008E765F" w:rsidRPr="00C12274" w14:paraId="12731CA0" w14:textId="77777777" w:rsidTr="00BC7AEC">
        <w:trPr>
          <w:cantSplit/>
        </w:trPr>
        <w:tc>
          <w:tcPr>
            <w:tcW w:w="1560" w:type="dxa"/>
            <w:shd w:val="clear" w:color="D9E2F3" w:themeColor="accent1" w:themeTint="33" w:fill="auto"/>
          </w:tcPr>
          <w:p w14:paraId="17B3589B"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565AFA6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B449E20" w14:textId="77777777" w:rsidR="008E765F" w:rsidRPr="00C12274" w:rsidRDefault="008E765F" w:rsidP="00611251">
            <w:pPr>
              <w:pStyle w:val="RCTstable"/>
              <w:keepNext/>
              <w:rPr>
                <w:szCs w:val="24"/>
              </w:rPr>
            </w:pPr>
            <w:r w:rsidRPr="00C12274">
              <w:t>Sealed envelopes were kept in a secure place by a research assistant not involved in the study and provided to a kinesiologist at the time of allocation.</w:t>
            </w:r>
          </w:p>
        </w:tc>
      </w:tr>
      <w:tr w:rsidR="008E765F" w:rsidRPr="00C12274" w14:paraId="3A1E335A" w14:textId="77777777" w:rsidTr="00BC7AEC">
        <w:trPr>
          <w:cantSplit/>
          <w:trHeight w:val="333"/>
        </w:trPr>
        <w:tc>
          <w:tcPr>
            <w:tcW w:w="1560" w:type="dxa"/>
            <w:shd w:val="clear" w:color="D9E2F3" w:themeColor="accent1" w:themeTint="33" w:fill="auto"/>
          </w:tcPr>
          <w:p w14:paraId="651DE849"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47652145" w14:textId="0F5CC8DD" w:rsidR="008E765F" w:rsidRPr="00C12274" w:rsidRDefault="008D5FB7"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0DBA2B5C" w14:textId="6601C93C" w:rsidR="008E765F" w:rsidRPr="00C12274" w:rsidRDefault="008E765F" w:rsidP="00372B31">
            <w:pPr>
              <w:pStyle w:val="RCTstable"/>
              <w:keepNext/>
              <w:rPr>
                <w:szCs w:val="24"/>
              </w:rPr>
            </w:pPr>
            <w:r w:rsidRPr="00C12274">
              <w:t xml:space="preserve">Due to the nature of the intervention, kinesiologists in charge of training and participants were not blinded to group assignment. </w:t>
            </w:r>
          </w:p>
        </w:tc>
      </w:tr>
      <w:tr w:rsidR="00372B31" w:rsidRPr="00C12274" w14:paraId="07960F76" w14:textId="77777777" w:rsidTr="00BC7AEC">
        <w:trPr>
          <w:cantSplit/>
        </w:trPr>
        <w:tc>
          <w:tcPr>
            <w:tcW w:w="1560" w:type="dxa"/>
            <w:shd w:val="clear" w:color="D9E2F3" w:themeColor="accent1" w:themeTint="33" w:fill="auto"/>
          </w:tcPr>
          <w:p w14:paraId="362FEB88" w14:textId="77777777" w:rsidR="00372B31" w:rsidRPr="00C12274" w:rsidRDefault="00372B31"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676B8C75" w14:textId="77777777" w:rsidR="00372B31" w:rsidRPr="00C12274" w:rsidRDefault="00372B31"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3F84C5B" w14:textId="12792BFB" w:rsidR="00372B31" w:rsidRPr="00C12274" w:rsidRDefault="00372B31" w:rsidP="00372B31">
            <w:pPr>
              <w:pStyle w:val="RCTstable"/>
            </w:pPr>
            <w:r w:rsidRPr="00C12274">
              <w:t>No discussion of whether those assessing outcomes were blinded to allocation.</w:t>
            </w:r>
          </w:p>
        </w:tc>
      </w:tr>
      <w:tr w:rsidR="008E765F" w:rsidRPr="00C12274" w14:paraId="4A89F1F7" w14:textId="77777777" w:rsidTr="00BC7AEC">
        <w:trPr>
          <w:cantSplit/>
        </w:trPr>
        <w:tc>
          <w:tcPr>
            <w:tcW w:w="1560" w:type="dxa"/>
            <w:shd w:val="clear" w:color="D9E2F3" w:themeColor="accent1" w:themeTint="33" w:fill="auto"/>
          </w:tcPr>
          <w:p w14:paraId="33A4CFC0"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54C2BA3D"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D6F868F" w14:textId="77777777" w:rsidR="008E765F" w:rsidRPr="00C12274" w:rsidRDefault="008E765F" w:rsidP="00611251">
            <w:pPr>
              <w:pStyle w:val="RCTstable"/>
              <w:rPr>
                <w:szCs w:val="24"/>
              </w:rPr>
            </w:pPr>
            <w:r w:rsidRPr="00C12274">
              <w:t xml:space="preserve">One participant in the intervention group withdrew after randomisation (lack of time). Two participants withdrew from the control group after randomisation (unsatisfied with group allocation). </w:t>
            </w:r>
            <w:r w:rsidRPr="00C12274">
              <w:rPr>
                <w:lang w:val="en-US"/>
              </w:rPr>
              <w:t>No ITT analysis but bias unlikely.</w:t>
            </w:r>
          </w:p>
        </w:tc>
      </w:tr>
      <w:tr w:rsidR="008E765F" w:rsidRPr="00C12274" w14:paraId="390F56CB" w14:textId="77777777" w:rsidTr="00BC7AEC">
        <w:trPr>
          <w:cantSplit/>
        </w:trPr>
        <w:tc>
          <w:tcPr>
            <w:tcW w:w="1560" w:type="dxa"/>
            <w:shd w:val="clear" w:color="D9E2F3" w:themeColor="accent1" w:themeTint="33" w:fill="auto"/>
          </w:tcPr>
          <w:p w14:paraId="29147EA7"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124B920E"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82EDE34"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44E900C6" w14:textId="77777777" w:rsidTr="00BC7AEC">
        <w:trPr>
          <w:cantSplit/>
        </w:trPr>
        <w:tc>
          <w:tcPr>
            <w:tcW w:w="1560" w:type="dxa"/>
            <w:shd w:val="clear" w:color="D9E2F3" w:themeColor="accent1" w:themeTint="33" w:fill="auto"/>
          </w:tcPr>
          <w:p w14:paraId="1C8184C9"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2FCFE119"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54FB39E6"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6A3D1D5F" w14:textId="77777777" w:rsidTr="00BC7AEC">
        <w:trPr>
          <w:cantSplit/>
        </w:trPr>
        <w:tc>
          <w:tcPr>
            <w:tcW w:w="14034" w:type="dxa"/>
            <w:gridSpan w:val="3"/>
            <w:shd w:val="solid" w:color="D9E2F3" w:themeColor="accent1" w:themeTint="33" w:fill="auto"/>
          </w:tcPr>
          <w:p w14:paraId="39CF8C10" w14:textId="2241011A"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Cordero et al 2015</w:t>
            </w:r>
            <w:r>
              <w:rPr>
                <w:sz w:val="16"/>
                <w:szCs w:val="16"/>
              </w:rPr>
              <w:fldChar w:fldCharType="begin"/>
            </w:r>
            <w:r w:rsidR="002747EA">
              <w:rPr>
                <w:sz w:val="16"/>
                <w:szCs w:val="16"/>
              </w:rPr>
              <w:instrText xml:space="preserve"> ADDIN EN.CITE &lt;EndNote&gt;&lt;Cite&gt;&lt;Author&gt;Cordero&lt;/Author&gt;&lt;Year&gt;2015&lt;/Year&gt;&lt;RecNum&gt;1016&lt;/RecNum&gt;&lt;DisplayText&gt;&lt;style face="superscript" font="Trebuchet MS" size="9"&gt;431&lt;/style&gt;&lt;/DisplayText&gt;&lt;record&gt;&lt;rec-number&gt;1016&lt;/rec-number&gt;&lt;foreign-keys&gt;&lt;key app="EN" db-id="exvasrfx2dtraoesasxp2szsxa2df502592x" timestamp="1548983476"&gt;1016&lt;/key&gt;&lt;/foreign-keys&gt;&lt;ref-type name="Journal Article"&gt;17&lt;/ref-type&gt;&lt;contributors&gt;&lt;authors&gt;&lt;author&gt;Cordero, Y.,&lt;/author&gt;&lt;author&gt;Mottola, M.F.&lt;/author&gt;&lt;author&gt;Vargas, J.,&lt;/author&gt;&lt;author&gt;Blanco, M.,&lt;/author&gt;&lt;author&gt;Barakat, R.,&lt;/author&gt;&lt;/authors&gt;&lt;/contributors&gt;&lt;titles&gt;&lt;title&gt;Exercise Is associated with a reduction in gestational diabetes mellitus&lt;/title&gt;&lt;secondary-title&gt;Medicine &amp;amp; Science in Sports &amp;amp; Exercise&lt;/secondary-title&gt;&lt;/titles&gt;&lt;periodical&gt;&lt;full-title&gt;Medicine &amp;amp; Science in Sports &amp;amp; Exercise&lt;/full-title&gt;&lt;/periodical&gt;&lt;pages&gt;1328-1333&lt;/pages&gt;&lt;volume&gt;47&lt;/volume&gt;&lt;number&gt;7&lt;/number&gt;&lt;section&gt;1328&lt;/section&gt;&lt;dates&gt;&lt;year&gt;2015&lt;/year&gt;&lt;/dates&gt;&lt;isbn&gt;0195-9131&lt;/isbn&gt;&lt;urls&gt;&lt;/urls&gt;&lt;electronic-resource-num&gt;10.1249/mss.0000000000000547&lt;/electronic-resource-num&gt;&lt;/record&gt;&lt;/Cite&gt;&lt;/EndNote&gt;</w:instrText>
            </w:r>
            <w:r>
              <w:rPr>
                <w:sz w:val="16"/>
                <w:szCs w:val="16"/>
              </w:rPr>
              <w:fldChar w:fldCharType="separate"/>
            </w:r>
            <w:r w:rsidR="002747EA" w:rsidRPr="002747EA">
              <w:rPr>
                <w:noProof/>
                <w:szCs w:val="16"/>
                <w:vertAlign w:val="superscript"/>
              </w:rPr>
              <w:t>431</w:t>
            </w:r>
            <w:r>
              <w:rPr>
                <w:sz w:val="16"/>
                <w:szCs w:val="16"/>
              </w:rPr>
              <w:fldChar w:fldCharType="end"/>
            </w:r>
          </w:p>
        </w:tc>
      </w:tr>
      <w:tr w:rsidR="008E765F" w:rsidRPr="00C12274" w14:paraId="7B2B6C85" w14:textId="77777777" w:rsidTr="00BC7AEC">
        <w:trPr>
          <w:cantSplit/>
        </w:trPr>
        <w:tc>
          <w:tcPr>
            <w:tcW w:w="1560" w:type="dxa"/>
            <w:shd w:val="clear" w:color="D9E2F3" w:themeColor="accent1" w:themeTint="33" w:fill="auto"/>
          </w:tcPr>
          <w:p w14:paraId="459CC45E"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2A26117B"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11797287"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8E765F" w:rsidRPr="00C12274" w14:paraId="427C1FB1" w14:textId="77777777" w:rsidTr="00BC7AEC">
        <w:trPr>
          <w:cantSplit/>
        </w:trPr>
        <w:tc>
          <w:tcPr>
            <w:tcW w:w="1560" w:type="dxa"/>
            <w:shd w:val="clear" w:color="D9E2F3" w:themeColor="accent1" w:themeTint="33" w:fill="auto"/>
          </w:tcPr>
          <w:p w14:paraId="4BEF3575"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32E2AF2F"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3D676435"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8E765F" w:rsidRPr="00C12274" w14:paraId="3C33143E" w14:textId="77777777" w:rsidTr="00BC7AEC">
        <w:trPr>
          <w:cantSplit/>
        </w:trPr>
        <w:tc>
          <w:tcPr>
            <w:tcW w:w="1560" w:type="dxa"/>
            <w:shd w:val="clear" w:color="D9E2F3" w:themeColor="accent1" w:themeTint="33" w:fill="auto"/>
          </w:tcPr>
          <w:p w14:paraId="2ED8AC5B"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4958FDD8"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60F18B0" w14:textId="77777777" w:rsidR="008E765F" w:rsidRPr="00C12274" w:rsidRDefault="008E765F" w:rsidP="00611251">
            <w:pPr>
              <w:keepNext/>
              <w:spacing w:before="40" w:after="40" w:line="220" w:lineRule="exact"/>
              <w:rPr>
                <w:sz w:val="16"/>
                <w:szCs w:val="16"/>
              </w:rPr>
            </w:pPr>
            <w:r w:rsidRPr="00C12274">
              <w:rPr>
                <w:sz w:val="16"/>
                <w:szCs w:val="16"/>
              </w:rPr>
              <w:t>Not described.</w:t>
            </w:r>
          </w:p>
        </w:tc>
      </w:tr>
      <w:tr w:rsidR="00372B31" w:rsidRPr="00C12274" w14:paraId="36D5AE50" w14:textId="77777777" w:rsidTr="00BC7AEC">
        <w:trPr>
          <w:cantSplit/>
        </w:trPr>
        <w:tc>
          <w:tcPr>
            <w:tcW w:w="1560" w:type="dxa"/>
            <w:shd w:val="clear" w:color="D9E2F3" w:themeColor="accent1" w:themeTint="33" w:fill="auto"/>
          </w:tcPr>
          <w:p w14:paraId="4041B6E2" w14:textId="77777777" w:rsidR="00372B31" w:rsidRPr="00C12274" w:rsidRDefault="00372B31"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3411CC33" w14:textId="77777777" w:rsidR="00372B31" w:rsidRPr="00C12274" w:rsidRDefault="00372B31"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9D3A109" w14:textId="01DC0749" w:rsidR="00372B31" w:rsidRPr="00C12274" w:rsidRDefault="00372B31" w:rsidP="009740A7">
            <w:pPr>
              <w:pStyle w:val="RCTstable"/>
            </w:pPr>
            <w:r w:rsidRPr="00C12274">
              <w:t>Not described.</w:t>
            </w:r>
          </w:p>
        </w:tc>
      </w:tr>
      <w:tr w:rsidR="008E765F" w:rsidRPr="00C12274" w14:paraId="75E2111A" w14:textId="77777777" w:rsidTr="00BC7AEC">
        <w:trPr>
          <w:cantSplit/>
        </w:trPr>
        <w:tc>
          <w:tcPr>
            <w:tcW w:w="1560" w:type="dxa"/>
            <w:shd w:val="clear" w:color="D9E2F3" w:themeColor="accent1" w:themeTint="33" w:fill="auto"/>
          </w:tcPr>
          <w:p w14:paraId="0E9C758E"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235672B3"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67AF3A6"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Overall attrition 25%; In the intervention group, 2 women were lost to follow-up and 19 discontinued the intervention (17%). In the control group, 43 women were lost to follow-up and 21 withdrew from the study (29%). No ITT analysis.</w:t>
            </w:r>
          </w:p>
        </w:tc>
      </w:tr>
      <w:tr w:rsidR="008E765F" w:rsidRPr="00C12274" w14:paraId="6D899C43" w14:textId="77777777" w:rsidTr="00BC7AEC">
        <w:trPr>
          <w:cantSplit/>
        </w:trPr>
        <w:tc>
          <w:tcPr>
            <w:tcW w:w="1560" w:type="dxa"/>
            <w:shd w:val="clear" w:color="D9E2F3" w:themeColor="accent1" w:themeTint="33" w:fill="auto"/>
          </w:tcPr>
          <w:p w14:paraId="7CB6FE90"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1350DEB7"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07CC476" w14:textId="77777777" w:rsidR="008E765F" w:rsidRPr="00C12274" w:rsidRDefault="008E765F" w:rsidP="00611251">
            <w:pPr>
              <w:spacing w:before="40" w:after="40" w:line="220" w:lineRule="exact"/>
              <w:rPr>
                <w:sz w:val="16"/>
                <w:szCs w:val="16"/>
              </w:rPr>
            </w:pPr>
            <w:r w:rsidRPr="00C12274">
              <w:rPr>
                <w:sz w:val="16"/>
                <w:szCs w:val="16"/>
              </w:rPr>
              <w:t>All pre-specified outcomes reported.</w:t>
            </w:r>
          </w:p>
        </w:tc>
      </w:tr>
      <w:tr w:rsidR="008E765F" w:rsidRPr="00C12274" w14:paraId="1A0E5496" w14:textId="77777777" w:rsidTr="00BC7AEC">
        <w:trPr>
          <w:cantSplit/>
        </w:trPr>
        <w:tc>
          <w:tcPr>
            <w:tcW w:w="1560" w:type="dxa"/>
            <w:shd w:val="clear" w:color="D9E2F3" w:themeColor="accent1" w:themeTint="33" w:fill="auto"/>
          </w:tcPr>
          <w:p w14:paraId="533C956C"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563D3D67"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6698B36"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662A5A69" w14:textId="77777777" w:rsidTr="00BC7AEC">
        <w:trPr>
          <w:cantSplit/>
        </w:trPr>
        <w:tc>
          <w:tcPr>
            <w:tcW w:w="14034" w:type="dxa"/>
            <w:gridSpan w:val="3"/>
            <w:shd w:val="solid" w:color="D9E2F3" w:themeColor="accent1" w:themeTint="33" w:fill="auto"/>
          </w:tcPr>
          <w:p w14:paraId="32CFBA49" w14:textId="2B280D1D" w:rsidR="008E765F" w:rsidRPr="00C12274" w:rsidRDefault="008E765F" w:rsidP="002747EA">
            <w:pPr>
              <w:keepNext/>
              <w:spacing w:before="20" w:after="20" w:line="240" w:lineRule="auto"/>
              <w:rPr>
                <w:b/>
              </w:rPr>
            </w:pPr>
            <w:r w:rsidRPr="00C12274">
              <w:rPr>
                <w:b/>
                <w:noProof/>
                <w:sz w:val="16"/>
              </w:rPr>
              <w:t>da Silva et al 2017</w:t>
            </w:r>
            <w:r>
              <w:rPr>
                <w:sz w:val="16"/>
                <w:szCs w:val="16"/>
              </w:rPr>
              <w:fldChar w:fldCharType="begin">
                <w:fldData xml:space="preserve">PEVuZE5vdGU+PENpdGU+PEF1dGhvcj5kYSBTaWx2YTwvQXV0aG9yPjxZZWFyPjIwMTc8L1llYXI+
PFJlY051bT42ODQ8L1JlY051bT48RGlzcGxheVRleHQ+PHN0eWxlIGZhY2U9InN1cGVyc2NyaXB0
IiBmb250PSJUcmVidWNoZXQgTVMiIHNpemU9IjkiPjQzMjwvc3R5bGU+PC9EaXNwbGF5VGV4dD48
cmVjb3JkPjxyZWMtbnVtYmVyPjY4NDwvcmVjLW51bWJlcj48Zm9yZWlnbi1rZXlzPjxrZXkgYXBw
PSJFTiIgZGItaWQ9ImV4dmFzcmZ4MmR0cmFvZXNhc3hwMnN6c3hhMmRmNTAyNTkyeCIgdGltZXN0
YW1wPSIxNTQwNTI3MTM1Ij42ODQ8L2tleT48L2ZvcmVpZ24ta2V5cz48cmVmLXR5cGUgbmFtZT0i
Sm91cm5hbCBBcnRpY2xlIj4xNzwvcmVmLXR5cGU+PGNvbnRyaWJ1dG9ycz48YXV0aG9ycz48YXV0
aG9yPmRhIFNpbHZhLCBTLiBHLjwvYXV0aG9yPjxhdXRob3I+SGFsbGFsLCBQLiBDLjwvYXV0aG9y
PjxhdXRob3I+RG9taW5ndWVzLCBNLiBSLjwvYXV0aG9yPjxhdXRob3I+QmVydG9sZGksIEEuIEQu
PC9hdXRob3I+PGF1dGhvcj5TaWx2ZWlyYSwgTS4gRi4gRC48L2F1dGhvcj48YXV0aG9yPkJhc3Nh
bmksIEQuPC9hdXRob3I+PGF1dGhvcj5kYSBTaWx2YSwgSS4gQy4gTS48L2F1dGhvcj48YXV0aG9y
PmRhIFNpbHZhLCBCLiBHLiBDLjwvYXV0aG9yPjxhdXRob3I+Q29sbCwgQy4gVi4gTi48L2F1dGhv
cj48YXV0aG9yPkV2ZW5zb24sIEsuPC9hdXRob3I+PC9hdXRob3JzPjwvY29udHJpYnV0b3JzPjxh
dXRoLWFkZHJlc3M+UG9zdGdyYWR1YXRlIFByb2dyYW0gaW4gRXBpZGVtaW9sb2d5LCBGZWRlcmFs
IFVuaXZlcnNpdHkgb2YgUGVsb3RhcywgUnVhIE1hcmVjaGFsIERlb2Rvcm8sIDExNjAtMyBkZWdy
ZWVzIHBpc28sIENFUDogOTYwMjAtMjIwLCBCYWlycm8gQ2VudHJvLCBQZWxvdGFzLCBSaW8gR3Jh
bmRlIGRvIFN1bCwgQnJhemlsLiBzZ2luYXJAZ21haWwuY29tLiYjeEQ7RGVwYXJ0bWVudCBvZiBF
cGlkZW1pb2xvZ3ksIEdpbGxpbmdzIFNjaG9vbCBvZiBHbG9iYWwgUHVibGljIEhlYWx0aCwgVW5p
dmVyc2l0eSBvZiBOb3J0aCBDYXJvbGluYSAtIENoYXBlbCBIaWxsLCBDaGFwZWwgSGlsbCwgTkMs
IFVTQS4gc2dpbmFyQGdtYWlsLmNvbS4mI3hEO1Bvc3RncmFkdWF0ZSBQcm9ncmFtIGluIEVwaWRl
bWlvbG9neSwgRmVkZXJhbCBVbml2ZXJzaXR5IG9mIFBlbG90YXMsIFJ1YSBNYXJlY2hhbCBEZW9k
b3JvLCAxMTYwLTMgZGVncmVlcyBwaXNvLCBDRVA6IDk2MDIwLTIyMCwgQmFpcnJvIENlbnRybywg
UGVsb3RhcywgUmlvIEdyYW5kZSBkbyBTdWwsIEJyYXppbC4mI3hEO1Bvc3RncmFkdWF0ZSBQcm9n
cmFtIGluIFBoeXNpY2FsIEVkdWNhdGlvbiwgRmVkZXJhbCBVbml2ZXJzaXR5IG9mIFBlbG90YXMs
IFBlbG90YXMsIEJyYXppbC4mI3hEO0RlcGFydG1lbnQgb2YgUGFlZGlhdHJpY3MsIEZhY3VsdHkg
b2YgTWVkaWNpbmUsIENlbnRyZSBmb3IgR2xvYmFsIENoaWxkIEhlYWx0aCwgVW5pdmVyc2l0eSBv
ZiBUb3JvbnRvOyBLaW5nJmFwb3M7cyBDb2xsZWdlIENpcmNsZSwgVGhlIEhvc3BpdGFsIGZvciBT
aWNrIENoaWxkcmVuLCBUb3JvbnRvLCBDYW5hZGEuJiN4RDtEZXBhcnRtZW50IG9mIEVwaWRlbWlv
bG9neSwgR2lsbGluZ3MgU2Nob29sIG9mIEdsb2JhbCBQdWJsaWMgSGVhbHRoLCBVbml2ZXJzaXR5
IG9mIE5vcnRoIENhcm9saW5hIC0gQ2hhcGVsIEhpbGwsIENoYXBlbCBIaWxsLCBOQywgVVNBLjwv
YXV0aC1hZGRyZXNzPjx0aXRsZXM+PHRpdGxlPkEgcmFuZG9taXplZCBjb250cm9sbGVkIHRyaWFs
IG9mIGV4ZXJjaXNlIGR1cmluZyBwcmVnbmFuY3kgb24gbWF0ZXJuYWwgYW5kIG5lb25hdGFsIG91
dGNvbWVzOiByZXN1bHRzIGZyb20gdGhlIFBBTUVMQSBzdHVkeTwvdGl0bGU+PHNlY29uZGFyeS10
aXRsZT5JbnQgSiBCZWhhdiBOdXRyIFBoeXMgQWN0PC9zZWNvbmRhcnktdGl0bGU+PC90aXRsZXM+
PHBlcmlvZGljYWw+PGZ1bGwtdGl0bGU+SW50IEogQmVoYXYgTnV0ciBQaHlzIEFjdDwvZnVsbC10
aXRsZT48L3BlcmlvZGljYWw+PHBhZ2VzPjE3NTwvcGFnZXM+PHZvbHVtZT4xNDwvdm9sdW1lPjxu
dW1iZXI+MTwvbnVtYmVyPjxlZGl0aW9uPjIwMTcvMTIvMjQ8L2VkaXRpb24+PGtleXdvcmRzPjxr
ZXl3b3JkPkFkdWx0PC9rZXl3b3JkPjxrZXl3b3JkPkJpcnRoIFdlaWdodDwva2V5d29yZD48a2V5
d29yZD5Cb2R5IE1hc3MgSW5kZXg8L2tleXdvcmQ+PGtleXdvcmQ+QnJhemlsPC9rZXl3b3JkPjxr
ZXl3b3JkPkNvaG9ydCBTdHVkaWVzPC9rZXl3b3JkPjxrZXl3b3JkPkRpYWJldGVzLCBHZXN0YXRp
b25hbC9lcGlkZW1pb2xvZ3kvcHJldmVudGlvbiAmYW1wOyBjb250cm9sPC9rZXl3b3JkPjxrZXl3
b3JkPipFeGVyY2lzZTwva2V5d29yZD48a2V5d29yZD5GZW1hbGU8L2tleXdvcmQ+PGtleXdvcmQ+
R2VzdGF0aW9uYWwgQWdlPC9rZXl3b3JkPjxrZXl3b3JkPkh1bWFuczwva2V5d29yZD48a2V5d29y
ZD5JbmNpZGVuY2U8L2tleXdvcmQ+PGtleXdvcmQ+SW5mYW50PC9rZXl3b3JkPjxrZXl3b3JkPlBh
dGllbnQgQ29tcGxpYW5jZTwva2V5d29yZD48a2V5d29yZD5QcmUtRWNsYW1wc2lhLyplcGlkZW1p
b2xvZ3kvcHJldmVudGlvbiAmYW1wOyBjb250cm9sPC9rZXl3b3JkPjxrZXl3b3JkPlByZWduYW5j
eTwva2V5d29yZD48a2V5d29yZD4qUHJlZ25hbmN5IE91dGNvbWU8L2tleXdvcmQ+PGtleXdvcmQ+
UHJlbWF0dXJlIEJpcnRoLyplcGlkZW1pb2xvZ3kvcHJldmVudGlvbiAmYW1wOyBjb250cm9sPC9r
ZXl3b3JkPjxrZXl3b3JkPlByZW5hdGFsIENhcmU8L2tleXdvcmQ+PGtleXdvcmQ+U2FtcGxlIFNp
emU8L2tleXdvcmQ+PGtleXdvcmQ+V2VpZ2h0IEdhaW48L2tleXdvcmQ+PGtleXdvcmQ+WW91bmcg
QWR1bHQ8L2tleXdvcmQ+PGtleXdvcmQ+KkludGVydmVudGlvbiBzdHVkaWVzPC9rZXl3b3JkPjxr
ZXl3b3JkPipNYXRlcm5hbC1jaGlsZCBoZWFsdGg8L2tleXdvcmQ+PGtleXdvcmQ+KlBoeXNpY2Fs
IGFjdGl2aXR5PC9rZXl3b3JkPjxrZXl3b3JkPipQcmVnbmFudCB3b21hbjwva2V5d29yZD48a2V5
d29yZD4qUmFuZG9taXplZCBjb250cm9sbGVkIHRyaWFsPC9rZXl3b3JkPjwva2V5d29yZHM+PGRh
dGVzPjx5ZWFyPjIwMTc8L3llYXI+PHB1Yi1kYXRlcz48ZGF0ZT5EZWMgMjI8L2RhdGU+PC9wdWIt
ZGF0ZXM+PC9kYXRlcz48aXNibj4xNDc5LTU4NjggKEVsZWN0cm9uaWMpJiN4RDsxNDc5LTU4Njgg
KExpbmtpbmcpPC9pc2JuPjxhY2Nlc3Npb24tbnVtPjI5MjczMDQ0PC9hY2Nlc3Npb24tbnVtPjx1
cmxzPjxyZWxhdGVkLXVybHM+PHVybD5odHRwczovL3d3dy5uY2JpLm5sbS5uaWguZ292L3B1Ym1l
ZC8yOTI3MzA0NDwvdXJsPjwvcmVsYXRlZC11cmxzPjwvdXJscz48Y3VzdG9tMj5QTUM1NzQxOTI0
PC9jdXN0b20yPjxlbGVjdHJvbmljLXJlc291cmNlLW51bT4xMC4xMTg2L3MxMjk2Ni0wMTctMDYz
Mi02PC9lbGVjdHJvbmljLXJlc291cmNlLW51bT48L3JlY29yZD48L0NpdGU+PC9FbmROb3RlPgB=
</w:fldData>
              </w:fldChar>
            </w:r>
            <w:r w:rsidR="002747EA">
              <w:rPr>
                <w:sz w:val="16"/>
                <w:szCs w:val="16"/>
              </w:rPr>
              <w:instrText xml:space="preserve"> ADDIN EN.CITE </w:instrText>
            </w:r>
            <w:r w:rsidR="002747EA">
              <w:rPr>
                <w:sz w:val="16"/>
                <w:szCs w:val="16"/>
              </w:rPr>
              <w:fldChar w:fldCharType="begin">
                <w:fldData xml:space="preserve">PEVuZE5vdGU+PENpdGU+PEF1dGhvcj5kYSBTaWx2YTwvQXV0aG9yPjxZZWFyPjIwMTc8L1llYXI+
PFJlY051bT42ODQ8L1JlY051bT48RGlzcGxheVRleHQ+PHN0eWxlIGZhY2U9InN1cGVyc2NyaXB0
IiBmb250PSJUcmVidWNoZXQgTVMiIHNpemU9IjkiPjQzMjwvc3R5bGU+PC9EaXNwbGF5VGV4dD48
cmVjb3JkPjxyZWMtbnVtYmVyPjY4NDwvcmVjLW51bWJlcj48Zm9yZWlnbi1rZXlzPjxrZXkgYXBw
PSJFTiIgZGItaWQ9ImV4dmFzcmZ4MmR0cmFvZXNhc3hwMnN6c3hhMmRmNTAyNTkyeCIgdGltZXN0
YW1wPSIxNTQwNTI3MTM1Ij42ODQ8L2tleT48L2ZvcmVpZ24ta2V5cz48cmVmLXR5cGUgbmFtZT0i
Sm91cm5hbCBBcnRpY2xlIj4xNzwvcmVmLXR5cGU+PGNvbnRyaWJ1dG9ycz48YXV0aG9ycz48YXV0
aG9yPmRhIFNpbHZhLCBTLiBHLjwvYXV0aG9yPjxhdXRob3I+SGFsbGFsLCBQLiBDLjwvYXV0aG9y
PjxhdXRob3I+RG9taW5ndWVzLCBNLiBSLjwvYXV0aG9yPjxhdXRob3I+QmVydG9sZGksIEEuIEQu
PC9hdXRob3I+PGF1dGhvcj5TaWx2ZWlyYSwgTS4gRi4gRC48L2F1dGhvcj48YXV0aG9yPkJhc3Nh
bmksIEQuPC9hdXRob3I+PGF1dGhvcj5kYSBTaWx2YSwgSS4gQy4gTS48L2F1dGhvcj48YXV0aG9y
PmRhIFNpbHZhLCBCLiBHLiBDLjwvYXV0aG9yPjxhdXRob3I+Q29sbCwgQy4gVi4gTi48L2F1dGhv
cj48YXV0aG9yPkV2ZW5zb24sIEsuPC9hdXRob3I+PC9hdXRob3JzPjwvY29udHJpYnV0b3JzPjxh
dXRoLWFkZHJlc3M+UG9zdGdyYWR1YXRlIFByb2dyYW0gaW4gRXBpZGVtaW9sb2d5LCBGZWRlcmFs
IFVuaXZlcnNpdHkgb2YgUGVsb3RhcywgUnVhIE1hcmVjaGFsIERlb2Rvcm8sIDExNjAtMyBkZWdy
ZWVzIHBpc28sIENFUDogOTYwMjAtMjIwLCBCYWlycm8gQ2VudHJvLCBQZWxvdGFzLCBSaW8gR3Jh
bmRlIGRvIFN1bCwgQnJhemlsLiBzZ2luYXJAZ21haWwuY29tLiYjeEQ7RGVwYXJ0bWVudCBvZiBF
cGlkZW1pb2xvZ3ksIEdpbGxpbmdzIFNjaG9vbCBvZiBHbG9iYWwgUHVibGljIEhlYWx0aCwgVW5p
dmVyc2l0eSBvZiBOb3J0aCBDYXJvbGluYSAtIENoYXBlbCBIaWxsLCBDaGFwZWwgSGlsbCwgTkMs
IFVTQS4gc2dpbmFyQGdtYWlsLmNvbS4mI3hEO1Bvc3RncmFkdWF0ZSBQcm9ncmFtIGluIEVwaWRl
bWlvbG9neSwgRmVkZXJhbCBVbml2ZXJzaXR5IG9mIFBlbG90YXMsIFJ1YSBNYXJlY2hhbCBEZW9k
b3JvLCAxMTYwLTMgZGVncmVlcyBwaXNvLCBDRVA6IDk2MDIwLTIyMCwgQmFpcnJvIENlbnRybywg
UGVsb3RhcywgUmlvIEdyYW5kZSBkbyBTdWwsIEJyYXppbC4mI3hEO1Bvc3RncmFkdWF0ZSBQcm9n
cmFtIGluIFBoeXNpY2FsIEVkdWNhdGlvbiwgRmVkZXJhbCBVbml2ZXJzaXR5IG9mIFBlbG90YXMs
IFBlbG90YXMsIEJyYXppbC4mI3hEO0RlcGFydG1lbnQgb2YgUGFlZGlhdHJpY3MsIEZhY3VsdHkg
b2YgTWVkaWNpbmUsIENlbnRyZSBmb3IgR2xvYmFsIENoaWxkIEhlYWx0aCwgVW5pdmVyc2l0eSBv
ZiBUb3JvbnRvOyBLaW5nJmFwb3M7cyBDb2xsZWdlIENpcmNsZSwgVGhlIEhvc3BpdGFsIGZvciBT
aWNrIENoaWxkcmVuLCBUb3JvbnRvLCBDYW5hZGEuJiN4RDtEZXBhcnRtZW50IG9mIEVwaWRlbWlv
bG9neSwgR2lsbGluZ3MgU2Nob29sIG9mIEdsb2JhbCBQdWJsaWMgSGVhbHRoLCBVbml2ZXJzaXR5
IG9mIE5vcnRoIENhcm9saW5hIC0gQ2hhcGVsIEhpbGwsIENoYXBlbCBIaWxsLCBOQywgVVNBLjwv
YXV0aC1hZGRyZXNzPjx0aXRsZXM+PHRpdGxlPkEgcmFuZG9taXplZCBjb250cm9sbGVkIHRyaWFs
IG9mIGV4ZXJjaXNlIGR1cmluZyBwcmVnbmFuY3kgb24gbWF0ZXJuYWwgYW5kIG5lb25hdGFsIG91
dGNvbWVzOiByZXN1bHRzIGZyb20gdGhlIFBBTUVMQSBzdHVkeTwvdGl0bGU+PHNlY29uZGFyeS10
aXRsZT5JbnQgSiBCZWhhdiBOdXRyIFBoeXMgQWN0PC9zZWNvbmRhcnktdGl0bGU+PC90aXRsZXM+
PHBlcmlvZGljYWw+PGZ1bGwtdGl0bGU+SW50IEogQmVoYXYgTnV0ciBQaHlzIEFjdDwvZnVsbC10
aXRsZT48L3BlcmlvZGljYWw+PHBhZ2VzPjE3NTwvcGFnZXM+PHZvbHVtZT4xNDwvdm9sdW1lPjxu
dW1iZXI+MTwvbnVtYmVyPjxlZGl0aW9uPjIwMTcvMTIvMjQ8L2VkaXRpb24+PGtleXdvcmRzPjxr
ZXl3b3JkPkFkdWx0PC9rZXl3b3JkPjxrZXl3b3JkPkJpcnRoIFdlaWdodDwva2V5d29yZD48a2V5
d29yZD5Cb2R5IE1hc3MgSW5kZXg8L2tleXdvcmQ+PGtleXdvcmQ+QnJhemlsPC9rZXl3b3JkPjxr
ZXl3b3JkPkNvaG9ydCBTdHVkaWVzPC9rZXl3b3JkPjxrZXl3b3JkPkRpYWJldGVzLCBHZXN0YXRp
b25hbC9lcGlkZW1pb2xvZ3kvcHJldmVudGlvbiAmYW1wOyBjb250cm9sPC9rZXl3b3JkPjxrZXl3
b3JkPipFeGVyY2lzZTwva2V5d29yZD48a2V5d29yZD5GZW1hbGU8L2tleXdvcmQ+PGtleXdvcmQ+
R2VzdGF0aW9uYWwgQWdlPC9rZXl3b3JkPjxrZXl3b3JkPkh1bWFuczwva2V5d29yZD48a2V5d29y
ZD5JbmNpZGVuY2U8L2tleXdvcmQ+PGtleXdvcmQ+SW5mYW50PC9rZXl3b3JkPjxrZXl3b3JkPlBh
dGllbnQgQ29tcGxpYW5jZTwva2V5d29yZD48a2V5d29yZD5QcmUtRWNsYW1wc2lhLyplcGlkZW1p
b2xvZ3kvcHJldmVudGlvbiAmYW1wOyBjb250cm9sPC9rZXl3b3JkPjxrZXl3b3JkPlByZWduYW5j
eTwva2V5d29yZD48a2V5d29yZD4qUHJlZ25hbmN5IE91dGNvbWU8L2tleXdvcmQ+PGtleXdvcmQ+
UHJlbWF0dXJlIEJpcnRoLyplcGlkZW1pb2xvZ3kvcHJldmVudGlvbiAmYW1wOyBjb250cm9sPC9r
ZXl3b3JkPjxrZXl3b3JkPlByZW5hdGFsIENhcmU8L2tleXdvcmQ+PGtleXdvcmQ+U2FtcGxlIFNp
emU8L2tleXdvcmQ+PGtleXdvcmQ+V2VpZ2h0IEdhaW48L2tleXdvcmQ+PGtleXdvcmQ+WW91bmcg
QWR1bHQ8L2tleXdvcmQ+PGtleXdvcmQ+KkludGVydmVudGlvbiBzdHVkaWVzPC9rZXl3b3JkPjxr
ZXl3b3JkPipNYXRlcm5hbC1jaGlsZCBoZWFsdGg8L2tleXdvcmQ+PGtleXdvcmQ+KlBoeXNpY2Fs
IGFjdGl2aXR5PC9rZXl3b3JkPjxrZXl3b3JkPipQcmVnbmFudCB3b21hbjwva2V5d29yZD48a2V5
d29yZD4qUmFuZG9taXplZCBjb250cm9sbGVkIHRyaWFsPC9rZXl3b3JkPjwva2V5d29yZHM+PGRh
dGVzPjx5ZWFyPjIwMTc8L3llYXI+PHB1Yi1kYXRlcz48ZGF0ZT5EZWMgMjI8L2RhdGU+PC9wdWIt
ZGF0ZXM+PC9kYXRlcz48aXNibj4xNDc5LTU4NjggKEVsZWN0cm9uaWMpJiN4RDsxNDc5LTU4Njgg
KExpbmtpbmcpPC9pc2JuPjxhY2Nlc3Npb24tbnVtPjI5MjczMDQ0PC9hY2Nlc3Npb24tbnVtPjx1
cmxzPjxyZWxhdGVkLXVybHM+PHVybD5odHRwczovL3d3dy5uY2JpLm5sbS5uaWguZ292L3B1Ym1l
ZC8yOTI3MzA0NDwvdXJsPjwvcmVsYXRlZC11cmxzPjwvdXJscz48Y3VzdG9tMj5QTUM1NzQxOTI0
PC9jdXN0b20yPjxlbGVjdHJvbmljLXJlc291cmNlLW51bT4xMC4xMTg2L3MxMjk2Ni0wMTctMDYz
Mi02PC9lbGVjdHJvbmljLXJlc291cmNlLW51bT48L3JlY29yZD48L0NpdGU+PC9FbmROb3RlPgB=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432</w:t>
            </w:r>
            <w:r>
              <w:rPr>
                <w:sz w:val="16"/>
                <w:szCs w:val="16"/>
              </w:rPr>
              <w:fldChar w:fldCharType="end"/>
            </w:r>
          </w:p>
        </w:tc>
      </w:tr>
      <w:tr w:rsidR="008E765F" w:rsidRPr="00C12274" w14:paraId="413CF137" w14:textId="77777777" w:rsidTr="00BC7AEC">
        <w:trPr>
          <w:cantSplit/>
        </w:trPr>
        <w:tc>
          <w:tcPr>
            <w:tcW w:w="1560" w:type="dxa"/>
            <w:shd w:val="clear" w:color="D9E2F3" w:themeColor="accent1" w:themeTint="33" w:fill="auto"/>
          </w:tcPr>
          <w:p w14:paraId="01DB4A76"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54C43BF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73CC422" w14:textId="77777777" w:rsidR="008E765F" w:rsidRPr="00C12274" w:rsidRDefault="008E765F" w:rsidP="00611251">
            <w:pPr>
              <w:pStyle w:val="RCTstable"/>
              <w:keepNext/>
            </w:pPr>
            <w:r w:rsidRPr="00C12274">
              <w:t xml:space="preserve">Participants were assigned to either an exercise or control group using a computerized random-number generator. </w:t>
            </w:r>
          </w:p>
        </w:tc>
      </w:tr>
      <w:tr w:rsidR="008E765F" w:rsidRPr="00C12274" w14:paraId="260B69D3" w14:textId="77777777" w:rsidTr="00BC7AEC">
        <w:trPr>
          <w:cantSplit/>
        </w:trPr>
        <w:tc>
          <w:tcPr>
            <w:tcW w:w="1560" w:type="dxa"/>
            <w:shd w:val="clear" w:color="D9E2F3" w:themeColor="accent1" w:themeTint="33" w:fill="auto"/>
          </w:tcPr>
          <w:p w14:paraId="59FEB2E8"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1B2245A6"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CD6C334" w14:textId="77777777" w:rsidR="008E765F" w:rsidRPr="00C12274" w:rsidRDefault="008E765F" w:rsidP="00611251">
            <w:pPr>
              <w:pStyle w:val="RCTstable"/>
              <w:keepNext/>
            </w:pPr>
            <w:r w:rsidRPr="00C12274">
              <w:t>The staff involved with exercise intervention or outcome assessments had no influence on the randomisation procedure.</w:t>
            </w:r>
          </w:p>
        </w:tc>
      </w:tr>
      <w:tr w:rsidR="008E765F" w:rsidRPr="00C12274" w14:paraId="7B337E2C" w14:textId="77777777" w:rsidTr="00BC7AEC">
        <w:trPr>
          <w:cantSplit/>
        </w:trPr>
        <w:tc>
          <w:tcPr>
            <w:tcW w:w="1560" w:type="dxa"/>
            <w:shd w:val="clear" w:color="D9E2F3" w:themeColor="accent1" w:themeTint="33" w:fill="auto"/>
          </w:tcPr>
          <w:p w14:paraId="1EE78584"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32F9E5D5" w14:textId="444146F3" w:rsidR="008E765F" w:rsidRPr="00C12274" w:rsidRDefault="00372B31"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37F2DDCB" w14:textId="64F1B666" w:rsidR="008E765F" w:rsidRPr="00C12274" w:rsidRDefault="008E765F" w:rsidP="00372B31">
            <w:pPr>
              <w:pStyle w:val="RCTstable"/>
              <w:keepNext/>
              <w:rPr>
                <w:rFonts w:ascii="Times" w:hAnsi="Times"/>
                <w:color w:val="181A18"/>
                <w:sz w:val="15"/>
                <w:szCs w:val="15"/>
              </w:rPr>
            </w:pPr>
            <w:r w:rsidRPr="00C12274">
              <w:t xml:space="preserve">The nature of this trial meant that participants and staff were not masked to the type of intervention. However, the principal researcher was not involved in the exercise training and analyses were performed blinded for group allocation. </w:t>
            </w:r>
          </w:p>
        </w:tc>
      </w:tr>
      <w:tr w:rsidR="00372B31" w:rsidRPr="00C12274" w14:paraId="3C38C396" w14:textId="77777777" w:rsidTr="00BC7AEC">
        <w:trPr>
          <w:cantSplit/>
        </w:trPr>
        <w:tc>
          <w:tcPr>
            <w:tcW w:w="1560" w:type="dxa"/>
            <w:shd w:val="clear" w:color="D9E2F3" w:themeColor="accent1" w:themeTint="33" w:fill="auto"/>
          </w:tcPr>
          <w:p w14:paraId="6F287AF7" w14:textId="77777777" w:rsidR="00372B31" w:rsidRPr="00C12274" w:rsidRDefault="00372B31"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7F024359" w14:textId="4D8CDF9D" w:rsidR="00372B31" w:rsidRPr="00C12274" w:rsidRDefault="00372B31" w:rsidP="009740A7">
            <w:pPr>
              <w:keepNext/>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14DEA3A6" w14:textId="24F7908F" w:rsidR="00372B31" w:rsidRPr="00C12274" w:rsidRDefault="00372B31" w:rsidP="009740A7">
            <w:pPr>
              <w:pStyle w:val="RCTstable"/>
            </w:pPr>
            <w:r w:rsidRPr="00C12274">
              <w:t>The assessors of the primary study outcomes were blinded.</w:t>
            </w:r>
          </w:p>
        </w:tc>
      </w:tr>
      <w:tr w:rsidR="008E765F" w:rsidRPr="00C12274" w14:paraId="643848BD" w14:textId="77777777" w:rsidTr="00BC7AEC">
        <w:trPr>
          <w:cantSplit/>
        </w:trPr>
        <w:tc>
          <w:tcPr>
            <w:tcW w:w="1560" w:type="dxa"/>
            <w:shd w:val="clear" w:color="D9E2F3" w:themeColor="accent1" w:themeTint="33" w:fill="auto"/>
          </w:tcPr>
          <w:p w14:paraId="017C5E7E"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1B41A8AB"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0F077FF"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ITT and per protocol analysis included.</w:t>
            </w:r>
          </w:p>
        </w:tc>
      </w:tr>
      <w:tr w:rsidR="008E765F" w:rsidRPr="00C12274" w14:paraId="049F7670" w14:textId="77777777" w:rsidTr="00BC7AEC">
        <w:trPr>
          <w:cantSplit/>
        </w:trPr>
        <w:tc>
          <w:tcPr>
            <w:tcW w:w="1560" w:type="dxa"/>
            <w:shd w:val="clear" w:color="D9E2F3" w:themeColor="accent1" w:themeTint="33" w:fill="auto"/>
          </w:tcPr>
          <w:p w14:paraId="5E4B6DC0"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EBE3898"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28DCA87"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64D71EDC" w14:textId="77777777" w:rsidTr="00BC7AEC">
        <w:trPr>
          <w:cantSplit/>
        </w:trPr>
        <w:tc>
          <w:tcPr>
            <w:tcW w:w="1560" w:type="dxa"/>
            <w:shd w:val="clear" w:color="D9E2F3" w:themeColor="accent1" w:themeTint="33" w:fill="auto"/>
          </w:tcPr>
          <w:p w14:paraId="748F4E8C"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8C542FA"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2A73CE0"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2C372A99" w14:textId="77777777" w:rsidTr="00BC7AEC">
        <w:trPr>
          <w:cantSplit/>
        </w:trPr>
        <w:tc>
          <w:tcPr>
            <w:tcW w:w="14034" w:type="dxa"/>
            <w:gridSpan w:val="3"/>
            <w:shd w:val="solid" w:color="D9E2F3" w:themeColor="accent1" w:themeTint="33" w:fill="auto"/>
          </w:tcPr>
          <w:p w14:paraId="2BC7D4B0" w14:textId="3557C424"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Daly et al 2017</w:t>
            </w:r>
            <w:r>
              <w:rPr>
                <w:sz w:val="16"/>
                <w:szCs w:val="16"/>
              </w:rPr>
              <w:fldChar w:fldCharType="begin"/>
            </w:r>
            <w:r w:rsidR="002747EA">
              <w:rPr>
                <w:sz w:val="16"/>
                <w:szCs w:val="16"/>
              </w:rPr>
              <w:instrText xml:space="preserve"> ADDIN EN.CITE &lt;EndNote&gt;&lt;Cite&gt;&lt;Author&gt;Daly&lt;/Author&gt;&lt;Year&gt;2017&lt;/Year&gt;&lt;RecNum&gt;685&lt;/RecNum&gt;&lt;DisplayText&gt;&lt;style face="superscript" font="Trebuchet MS" size="9"&gt;433&lt;/style&gt;&lt;/DisplayText&gt;&lt;record&gt;&lt;rec-number&gt;685&lt;/rec-number&gt;&lt;foreign-keys&gt;&lt;key app="EN" db-id="exvasrfx2dtraoesasxp2szsxa2df502592x" timestamp="1540527171"&gt;685&lt;/key&gt;&lt;/foreign-keys&gt;&lt;ref-type name="Journal Article"&gt;17&lt;/ref-type&gt;&lt;contributors&gt;&lt;authors&gt;&lt;author&gt;Daly, N.&lt;/author&gt;&lt;author&gt;Farren, M.&lt;/author&gt;&lt;author&gt;McKeating, A.&lt;/author&gt;&lt;author&gt;O&amp;apos;Kelly, R.&lt;/author&gt;&lt;author&gt;Stapleton, M.&lt;/author&gt;&lt;author&gt;Turner, M. J.&lt;/author&gt;&lt;/authors&gt;&lt;/contributors&gt;&lt;auth-address&gt;UCD Centre for Human Reproduction, Coombe Women and Infants University Hospital, Dublin, Ireland.&lt;/auth-address&gt;&lt;titles&gt;&lt;title&gt;A Medically Supervised Pregnancy Exercise Intervention in Obese Women: A Randomized Controlled Trial&lt;/title&gt;&lt;secondary-title&gt;Obstet Gynecol&lt;/secondary-title&gt;&lt;/titles&gt;&lt;periodical&gt;&lt;full-title&gt;Obstet Gynecol&lt;/full-title&gt;&lt;/periodical&gt;&lt;pages&gt;1001-1010&lt;/pages&gt;&lt;volume&gt;130&lt;/volume&gt;&lt;number&gt;5&lt;/number&gt;&lt;edition&gt;2017/10/11&lt;/edition&gt;&lt;keywords&gt;&lt;keyword&gt;Adult&lt;/keyword&gt;&lt;keyword&gt;Blood Glucose/analysis&lt;/keyword&gt;&lt;keyword&gt;Exercise Therapy/*methods&lt;/keyword&gt;&lt;keyword&gt;Fasting/blood&lt;/keyword&gt;&lt;keyword&gt;Female&lt;/keyword&gt;&lt;keyword&gt;Humans&lt;/keyword&gt;&lt;keyword&gt;Obesity/blood/complications/*therapy&lt;/keyword&gt;&lt;keyword&gt;Pregnancy&lt;/keyword&gt;&lt;keyword&gt;Pregnancy Complications/blood/etiology/*therapy&lt;/keyword&gt;&lt;keyword&gt;Prenatal Care/*methods&lt;/keyword&gt;&lt;keyword&gt;Treatment Outcome&lt;/keyword&gt;&lt;keyword&gt;Weight Gain&lt;/keyword&gt;&lt;/keywords&gt;&lt;dates&gt;&lt;year&gt;2017&lt;/year&gt;&lt;pub-dates&gt;&lt;date&gt;Nov&lt;/date&gt;&lt;/pub-dates&gt;&lt;/dates&gt;&lt;isbn&gt;1873-233X (Electronic)&amp;#xD;0029-7844 (Linking)&lt;/isbn&gt;&lt;accession-num&gt;29016485&lt;/accession-num&gt;&lt;urls&gt;&lt;related-urls&gt;&lt;url&gt;https://www.ncbi.nlm.nih.gov/pubmed/29016485&lt;/url&gt;&lt;/related-urls&gt;&lt;/urls&gt;&lt;electronic-resource-num&gt;10.1097/AOG.0000000000002267&lt;/electronic-resource-num&gt;&lt;/record&gt;&lt;/Cite&gt;&lt;/EndNote&gt;</w:instrText>
            </w:r>
            <w:r>
              <w:rPr>
                <w:sz w:val="16"/>
                <w:szCs w:val="16"/>
              </w:rPr>
              <w:fldChar w:fldCharType="separate"/>
            </w:r>
            <w:r w:rsidR="002747EA" w:rsidRPr="002747EA">
              <w:rPr>
                <w:noProof/>
                <w:szCs w:val="16"/>
                <w:vertAlign w:val="superscript"/>
              </w:rPr>
              <w:t>433</w:t>
            </w:r>
            <w:r>
              <w:rPr>
                <w:sz w:val="16"/>
                <w:szCs w:val="16"/>
              </w:rPr>
              <w:fldChar w:fldCharType="end"/>
            </w:r>
          </w:p>
        </w:tc>
      </w:tr>
      <w:tr w:rsidR="008E765F" w:rsidRPr="00C12274" w14:paraId="16D170B4" w14:textId="77777777" w:rsidTr="00BC7AEC">
        <w:trPr>
          <w:cantSplit/>
        </w:trPr>
        <w:tc>
          <w:tcPr>
            <w:tcW w:w="1560" w:type="dxa"/>
            <w:shd w:val="clear" w:color="D9E2F3" w:themeColor="accent1" w:themeTint="33" w:fill="auto"/>
          </w:tcPr>
          <w:p w14:paraId="5B69EE12"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09DF151D"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E39B494" w14:textId="77777777" w:rsidR="008E765F" w:rsidRPr="00C12274" w:rsidRDefault="008E765F" w:rsidP="00611251">
            <w:pPr>
              <w:pStyle w:val="RCTstable"/>
              <w:keepNext/>
            </w:pPr>
            <w:r w:rsidRPr="00C12274">
              <w:t>The randomisation sequence was computer-generated by an independent statistician and was stratified by parity and World Health Organization BMI category.</w:t>
            </w:r>
            <w:r w:rsidRPr="00C12274">
              <w:rPr>
                <w:sz w:val="10"/>
                <w:szCs w:val="10"/>
              </w:rPr>
              <w:t xml:space="preserve"> </w:t>
            </w:r>
          </w:p>
        </w:tc>
      </w:tr>
      <w:tr w:rsidR="008E765F" w:rsidRPr="00C12274" w14:paraId="0F349A48" w14:textId="77777777" w:rsidTr="00BC7AEC">
        <w:trPr>
          <w:cantSplit/>
        </w:trPr>
        <w:tc>
          <w:tcPr>
            <w:tcW w:w="1560" w:type="dxa"/>
            <w:shd w:val="clear" w:color="D9E2F3" w:themeColor="accent1" w:themeTint="33" w:fill="auto"/>
          </w:tcPr>
          <w:p w14:paraId="7BDD622F"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770C992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95BBB7E" w14:textId="77777777" w:rsidR="008E765F" w:rsidRPr="00C12274" w:rsidRDefault="008E765F" w:rsidP="00611251">
            <w:pPr>
              <w:pStyle w:val="RCTstable"/>
              <w:keepNext/>
            </w:pPr>
            <w:r w:rsidRPr="00C12274">
              <w:t>Sequentially numbered opaque sealed envelopes were prepared by an independent research administrator. Women were randomized by another independent research administrator into either the exercise intervention or control arm.</w:t>
            </w:r>
          </w:p>
        </w:tc>
      </w:tr>
      <w:tr w:rsidR="008E765F" w:rsidRPr="00C12274" w14:paraId="70243D4D" w14:textId="77777777" w:rsidTr="00BC7AEC">
        <w:trPr>
          <w:cantSplit/>
        </w:trPr>
        <w:tc>
          <w:tcPr>
            <w:tcW w:w="1560" w:type="dxa"/>
            <w:shd w:val="clear" w:color="D9E2F3" w:themeColor="accent1" w:themeTint="33" w:fill="auto"/>
          </w:tcPr>
          <w:p w14:paraId="700F76E6"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1C513EFB" w14:textId="0A8B03F0" w:rsidR="008E765F" w:rsidRPr="00C12274" w:rsidRDefault="00372B31" w:rsidP="00611251">
            <w:pPr>
              <w:keepNext/>
              <w:spacing w:before="40" w:after="40" w:line="220" w:lineRule="exact"/>
              <w:rPr>
                <w:sz w:val="16"/>
                <w:szCs w:val="16"/>
              </w:rPr>
            </w:pPr>
            <w:r>
              <w:rPr>
                <w:sz w:val="16"/>
                <w:szCs w:val="16"/>
              </w:rPr>
              <w:t>Unclear</w:t>
            </w:r>
            <w:r w:rsidR="008E765F" w:rsidRPr="00C12274">
              <w:rPr>
                <w:sz w:val="16"/>
                <w:szCs w:val="16"/>
              </w:rPr>
              <w:t xml:space="preserve"> risk</w:t>
            </w:r>
          </w:p>
        </w:tc>
        <w:tc>
          <w:tcPr>
            <w:tcW w:w="11199" w:type="dxa"/>
            <w:shd w:val="clear" w:color="D9E2F3" w:themeColor="accent1" w:themeTint="33" w:fill="auto"/>
          </w:tcPr>
          <w:p w14:paraId="73E9EC89" w14:textId="1222D0B5" w:rsidR="008E765F" w:rsidRPr="00372B31" w:rsidRDefault="00372B31" w:rsidP="00372B31">
            <w:pPr>
              <w:pStyle w:val="RCTstable"/>
            </w:pPr>
            <w:r>
              <w:t>Not described.</w:t>
            </w:r>
          </w:p>
        </w:tc>
      </w:tr>
      <w:tr w:rsidR="00372B31" w:rsidRPr="00C12274" w14:paraId="04C34517" w14:textId="77777777" w:rsidTr="00BC7AEC">
        <w:trPr>
          <w:cantSplit/>
        </w:trPr>
        <w:tc>
          <w:tcPr>
            <w:tcW w:w="1560" w:type="dxa"/>
            <w:shd w:val="clear" w:color="D9E2F3" w:themeColor="accent1" w:themeTint="33" w:fill="auto"/>
          </w:tcPr>
          <w:p w14:paraId="7523F6C8" w14:textId="77777777" w:rsidR="00372B31" w:rsidRPr="00C12274" w:rsidRDefault="00372B31"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7FBF43E6" w14:textId="77777777" w:rsidR="00372B31" w:rsidRPr="00C12274" w:rsidRDefault="00372B31" w:rsidP="009740A7">
            <w:pPr>
              <w:keepNext/>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679CC876" w14:textId="004CB9D7" w:rsidR="00372B31" w:rsidRPr="00C12274" w:rsidRDefault="00372B31" w:rsidP="009740A7">
            <w:pPr>
              <w:pStyle w:val="RCTstable"/>
            </w:pPr>
            <w:r w:rsidRPr="00C12274">
              <w:t>The clinical teams caring for the women were blinded to the randomisation result.</w:t>
            </w:r>
          </w:p>
        </w:tc>
      </w:tr>
      <w:tr w:rsidR="008E765F" w:rsidRPr="00C12274" w14:paraId="3FDD2670" w14:textId="77777777" w:rsidTr="00BC7AEC">
        <w:trPr>
          <w:cantSplit/>
        </w:trPr>
        <w:tc>
          <w:tcPr>
            <w:tcW w:w="1560" w:type="dxa"/>
            <w:shd w:val="clear" w:color="D9E2F3" w:themeColor="accent1" w:themeTint="33" w:fill="auto"/>
          </w:tcPr>
          <w:p w14:paraId="3950A4CA"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65CEAFEC"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53FE912"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11 women were excluded or lost to follow-up in the intervention group and 8 in the control group. ITT analysis conducted.</w:t>
            </w:r>
          </w:p>
        </w:tc>
      </w:tr>
      <w:tr w:rsidR="008E765F" w:rsidRPr="00C12274" w14:paraId="6FACD203" w14:textId="77777777" w:rsidTr="00BC7AEC">
        <w:trPr>
          <w:cantSplit/>
        </w:trPr>
        <w:tc>
          <w:tcPr>
            <w:tcW w:w="1560" w:type="dxa"/>
            <w:shd w:val="clear" w:color="D9E2F3" w:themeColor="accent1" w:themeTint="33" w:fill="auto"/>
          </w:tcPr>
          <w:p w14:paraId="22187ACB"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202B8B00"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1803CE4"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3E8E9BF2" w14:textId="77777777" w:rsidTr="00BC7AEC">
        <w:trPr>
          <w:cantSplit/>
        </w:trPr>
        <w:tc>
          <w:tcPr>
            <w:tcW w:w="1560" w:type="dxa"/>
            <w:shd w:val="clear" w:color="D9E2F3" w:themeColor="accent1" w:themeTint="33" w:fill="auto"/>
          </w:tcPr>
          <w:p w14:paraId="5401BF77"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21B142A"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43E18A97"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518ADBB9" w14:textId="77777777" w:rsidTr="00BC7AEC">
        <w:trPr>
          <w:cantSplit/>
        </w:trPr>
        <w:tc>
          <w:tcPr>
            <w:tcW w:w="14034" w:type="dxa"/>
            <w:gridSpan w:val="3"/>
            <w:shd w:val="solid" w:color="D9E2F3" w:themeColor="accent1" w:themeTint="33" w:fill="auto"/>
          </w:tcPr>
          <w:p w14:paraId="00016BA2" w14:textId="470F7CD9"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de Oliveria Melo et al 2012</w:t>
            </w:r>
            <w:r>
              <w:rPr>
                <w:rFonts w:eastAsiaTheme="minorHAnsi"/>
                <w:noProof/>
                <w:sz w:val="16"/>
                <w:szCs w:val="16"/>
                <w:lang w:val="en-US"/>
              </w:rPr>
              <w:fldChar w:fldCharType="begin"/>
            </w:r>
            <w:r w:rsidR="002747EA">
              <w:rPr>
                <w:rFonts w:eastAsiaTheme="minorHAnsi"/>
                <w:noProof/>
                <w:sz w:val="16"/>
                <w:szCs w:val="16"/>
                <w:lang w:val="en-US"/>
              </w:rPr>
              <w:instrText xml:space="preserve"> ADDIN EN.CITE &lt;EndNote&gt;&lt;Cite&gt;&lt;Author&gt;de Oliveria Melo&lt;/Author&gt;&lt;Year&gt;2012&lt;/Year&gt;&lt;RecNum&gt;687&lt;/RecNum&gt;&lt;DisplayText&gt;&lt;style face="superscript" font="Trebuchet MS" size="9"&gt;270&lt;/style&gt;&lt;/DisplayText&gt;&lt;record&gt;&lt;rec-number&gt;687&lt;/rec-number&gt;&lt;foreign-keys&gt;&lt;key app="EN" db-id="exvasrfx2dtraoesasxp2szsxa2df502592x" timestamp="1540527319"&gt;687&lt;/key&gt;&lt;/foreign-keys&gt;&lt;ref-type name="Journal Article"&gt;17&lt;/ref-type&gt;&lt;contributors&gt;&lt;authors&gt;&lt;author&gt;de Oliveria Melo, A. S.&lt;/author&gt;&lt;author&gt;Silva, J. L.&lt;/author&gt;&lt;author&gt;Tavares, J. S.&lt;/author&gt;&lt;author&gt;Barros, V. O.&lt;/author&gt;&lt;author&gt;Leite, D. F.&lt;/author&gt;&lt;author&gt;Amorim, M. M.&lt;/author&gt;&lt;/authors&gt;&lt;/contributors&gt;&lt;auth-address&gt;Department of Obstetrics, School Medical Sciences, University of Campinas, Campinas, Brazil. asomelo@gmail.com&lt;/auth-address&gt;&lt;titles&gt;&lt;title&gt;Effect of a physical exercise program during pregnancy on uteroplacental and fetal blood flow and fetal growth: a randomized controlled trial&lt;/title&gt;&lt;secondary-title&gt;Obstet Gynecol&lt;/secondary-title&gt;&lt;/titles&gt;&lt;periodical&gt;&lt;full-title&gt;Obstet Gynecol&lt;/full-title&gt;&lt;/periodical&gt;&lt;pages&gt;302-10&lt;/pages&gt;&lt;volume&gt;120&lt;/volume&gt;&lt;number&gt;2 Pt 1&lt;/number&gt;&lt;edition&gt;2012/07/25&lt;/edition&gt;&lt;keywords&gt;&lt;keyword&gt;Adult&lt;/keyword&gt;&lt;keyword&gt;*Birth Weight&lt;/keyword&gt;&lt;keyword&gt;Blood Pressure&lt;/keyword&gt;&lt;keyword&gt;Exercise/*physiology&lt;/keyword&gt;&lt;keyword&gt;Female&lt;/keyword&gt;&lt;keyword&gt;*Fetal Development&lt;/keyword&gt;&lt;keyword&gt;Fetus/blood supply&lt;/keyword&gt;&lt;keyword&gt;Humans&lt;/keyword&gt;&lt;keyword&gt;Infant, Newborn&lt;/keyword&gt;&lt;keyword&gt;Physical Fitness&lt;/keyword&gt;&lt;keyword&gt;*Placental Circulation&lt;/keyword&gt;&lt;keyword&gt;Pregnancy/*physiology&lt;/keyword&gt;&lt;keyword&gt;Young Adult&lt;/keyword&gt;&lt;/keywords&gt;&lt;dates&gt;&lt;year&gt;2012&lt;/year&gt;&lt;pub-dates&gt;&lt;date&gt;Aug&lt;/date&gt;&lt;/pub-dates&gt;&lt;/dates&gt;&lt;isbn&gt;1873-233X (Electronic)&amp;#xD;0029-7844 (Linking)&lt;/isbn&gt;&lt;accession-num&gt;22825089&lt;/accession-num&gt;&lt;urls&gt;&lt;related-urls&gt;&lt;url&gt;https://www.ncbi.nlm.nih.gov/pubmed/22825089&lt;/url&gt;&lt;/related-urls&gt;&lt;/urls&gt;&lt;electronic-resource-num&gt;10.1097/AOG.0b013e31825de592&lt;/electronic-resource-num&gt;&lt;/record&gt;&lt;/Cite&gt;&lt;/EndNote&gt;</w:instrText>
            </w:r>
            <w:r>
              <w:rPr>
                <w:rFonts w:eastAsiaTheme="minorHAnsi"/>
                <w:noProof/>
                <w:sz w:val="16"/>
                <w:szCs w:val="16"/>
                <w:lang w:val="en-US"/>
              </w:rPr>
              <w:fldChar w:fldCharType="separate"/>
            </w:r>
            <w:r w:rsidR="002747EA" w:rsidRPr="002747EA">
              <w:rPr>
                <w:rFonts w:eastAsiaTheme="minorHAnsi"/>
                <w:noProof/>
                <w:szCs w:val="16"/>
                <w:vertAlign w:val="superscript"/>
                <w:lang w:val="en-US"/>
              </w:rPr>
              <w:t>270</w:t>
            </w:r>
            <w:r>
              <w:rPr>
                <w:rFonts w:eastAsiaTheme="minorHAnsi"/>
                <w:noProof/>
                <w:sz w:val="16"/>
                <w:szCs w:val="16"/>
                <w:lang w:val="en-US"/>
              </w:rPr>
              <w:fldChar w:fldCharType="end"/>
            </w:r>
          </w:p>
        </w:tc>
      </w:tr>
      <w:tr w:rsidR="008E765F" w:rsidRPr="00C12274" w14:paraId="499DF9EE" w14:textId="77777777" w:rsidTr="00BC7AEC">
        <w:trPr>
          <w:cantSplit/>
        </w:trPr>
        <w:tc>
          <w:tcPr>
            <w:tcW w:w="1560" w:type="dxa"/>
            <w:shd w:val="clear" w:color="D9E2F3" w:themeColor="accent1" w:themeTint="33" w:fill="auto"/>
          </w:tcPr>
          <w:p w14:paraId="571C390D"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70C57E30"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386E8CD" w14:textId="77777777" w:rsidR="008E765F" w:rsidRPr="00C12274" w:rsidRDefault="008E765F" w:rsidP="006045AE">
            <w:pPr>
              <w:pStyle w:val="RCTstable"/>
              <w:keepNext/>
            </w:pPr>
            <w:r w:rsidRPr="00C12274">
              <w:t xml:space="preserve">Randomisation sequence was generated in blocks of 10 using the Random Allocation software program 1.0 by another investigator who did not participate directly in the study. </w:t>
            </w:r>
          </w:p>
        </w:tc>
      </w:tr>
      <w:tr w:rsidR="008E765F" w:rsidRPr="00C12274" w14:paraId="1C2CBFBB" w14:textId="77777777" w:rsidTr="00BC7AEC">
        <w:trPr>
          <w:cantSplit/>
        </w:trPr>
        <w:tc>
          <w:tcPr>
            <w:tcW w:w="1560" w:type="dxa"/>
            <w:shd w:val="clear" w:color="D9E2F3" w:themeColor="accent1" w:themeTint="33" w:fill="auto"/>
          </w:tcPr>
          <w:p w14:paraId="4C8A0A29"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66B4938B"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88D34BB" w14:textId="77777777" w:rsidR="008E765F" w:rsidRPr="00C12274" w:rsidRDefault="008E765F" w:rsidP="006045AE">
            <w:pPr>
              <w:pStyle w:val="RCTstable"/>
              <w:keepNext/>
            </w:pPr>
            <w:r w:rsidRPr="00C12274">
              <w:t>This investigator also prepared the sealed opaque envelopes containing the randomization group for each participant. Group assignment was defined only after the woman had agreed to participate in the study, thus guaranteeing that allocation remained concealed until the participant had been admitted to the trial.</w:t>
            </w:r>
          </w:p>
        </w:tc>
      </w:tr>
      <w:tr w:rsidR="008E765F" w:rsidRPr="00C12274" w14:paraId="297A3F4B" w14:textId="77777777" w:rsidTr="00BC7AEC">
        <w:trPr>
          <w:cantSplit/>
        </w:trPr>
        <w:tc>
          <w:tcPr>
            <w:tcW w:w="1560" w:type="dxa"/>
            <w:shd w:val="clear" w:color="D9E2F3" w:themeColor="accent1" w:themeTint="33" w:fill="auto"/>
          </w:tcPr>
          <w:p w14:paraId="7BC41B95" w14:textId="77777777" w:rsidR="008E765F" w:rsidRPr="00C12274" w:rsidRDefault="008E765F" w:rsidP="00611251">
            <w:pPr>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2D631B3E" w14:textId="3A9E8A7B" w:rsidR="008E765F" w:rsidRPr="00C12274" w:rsidRDefault="00DF1663" w:rsidP="00611251">
            <w:pPr>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4E18D398" w14:textId="22F400C0" w:rsidR="008E765F" w:rsidRPr="00C12274" w:rsidRDefault="008E765F" w:rsidP="00DF1663">
            <w:pPr>
              <w:pStyle w:val="RCTstable"/>
            </w:pPr>
            <w:r w:rsidRPr="00C12274">
              <w:t>This was an open study because it was impossible to blind the investigators and the research participants</w:t>
            </w:r>
            <w:r w:rsidR="00DF1663">
              <w:t>.</w:t>
            </w:r>
            <w:r w:rsidRPr="00C12274">
              <w:t xml:space="preserve"> </w:t>
            </w:r>
          </w:p>
        </w:tc>
      </w:tr>
      <w:tr w:rsidR="000E5D83" w:rsidRPr="00C12274" w14:paraId="762C0A95" w14:textId="77777777" w:rsidTr="00BC7AEC">
        <w:trPr>
          <w:cantSplit/>
        </w:trPr>
        <w:tc>
          <w:tcPr>
            <w:tcW w:w="1560" w:type="dxa"/>
            <w:shd w:val="clear" w:color="D9E2F3" w:themeColor="accent1" w:themeTint="33" w:fill="auto"/>
          </w:tcPr>
          <w:p w14:paraId="2C2D209A" w14:textId="77777777" w:rsidR="000E5D83" w:rsidRPr="00C12274" w:rsidRDefault="000E5D83"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5A48768E" w14:textId="77777777" w:rsidR="000E5D83" w:rsidRPr="00C12274" w:rsidRDefault="000E5D83" w:rsidP="009740A7">
            <w:pPr>
              <w:keepNext/>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28F911C9" w14:textId="7129E83E" w:rsidR="000E5D83" w:rsidRPr="00C12274" w:rsidRDefault="00DF1663" w:rsidP="009740A7">
            <w:pPr>
              <w:pStyle w:val="RCTstable"/>
            </w:pPr>
            <w:r>
              <w:t>T</w:t>
            </w:r>
            <w:r w:rsidRPr="00C12274">
              <w:t>he investigators involved in monitoring the ultrasound variables and in the statistical analysis were unaware of the group to which the patient had been assigned.</w:t>
            </w:r>
          </w:p>
        </w:tc>
      </w:tr>
      <w:tr w:rsidR="008E765F" w:rsidRPr="00C12274" w14:paraId="1A04BDC6" w14:textId="77777777" w:rsidTr="00BC7AEC">
        <w:trPr>
          <w:cantSplit/>
        </w:trPr>
        <w:tc>
          <w:tcPr>
            <w:tcW w:w="1560" w:type="dxa"/>
            <w:shd w:val="clear" w:color="D9E2F3" w:themeColor="accent1" w:themeTint="33" w:fill="auto"/>
          </w:tcPr>
          <w:p w14:paraId="51DAE840"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560CCE71"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458B42B" w14:textId="77777777" w:rsidR="008E765F" w:rsidRPr="00C12274" w:rsidRDefault="008E765F" w:rsidP="00611251">
            <w:pPr>
              <w:spacing w:before="40" w:after="40" w:line="220" w:lineRule="exact"/>
              <w:rPr>
                <w:sz w:val="16"/>
                <w:szCs w:val="16"/>
                <w:lang w:val="en-US"/>
              </w:rPr>
            </w:pPr>
            <w:r w:rsidRPr="00C12274">
              <w:rPr>
                <w:sz w:val="16"/>
                <w:szCs w:val="16"/>
                <w:lang w:val="en-US"/>
              </w:rPr>
              <w:t>Balanced losses between group. ITT analysis conducted.</w:t>
            </w:r>
          </w:p>
        </w:tc>
      </w:tr>
      <w:tr w:rsidR="008E765F" w:rsidRPr="00C12274" w14:paraId="6C80B782" w14:textId="77777777" w:rsidTr="00BC7AEC">
        <w:trPr>
          <w:cantSplit/>
        </w:trPr>
        <w:tc>
          <w:tcPr>
            <w:tcW w:w="1560" w:type="dxa"/>
            <w:shd w:val="clear" w:color="D9E2F3" w:themeColor="accent1" w:themeTint="33" w:fill="auto"/>
          </w:tcPr>
          <w:p w14:paraId="42F11AD7"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69F6FA4"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D8AAFA3"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24A48AEA" w14:textId="77777777" w:rsidTr="00BC7AEC">
        <w:trPr>
          <w:cantSplit/>
        </w:trPr>
        <w:tc>
          <w:tcPr>
            <w:tcW w:w="1560" w:type="dxa"/>
            <w:shd w:val="clear" w:color="D9E2F3" w:themeColor="accent1" w:themeTint="33" w:fill="auto"/>
          </w:tcPr>
          <w:p w14:paraId="210CF861"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09A16859"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102CE046"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491C83C7" w14:textId="77777777" w:rsidTr="00BC7AEC">
        <w:trPr>
          <w:cantSplit/>
        </w:trPr>
        <w:tc>
          <w:tcPr>
            <w:tcW w:w="14034" w:type="dxa"/>
            <w:gridSpan w:val="3"/>
            <w:shd w:val="solid" w:color="D9E2F3" w:themeColor="accent1" w:themeTint="33" w:fill="auto"/>
          </w:tcPr>
          <w:p w14:paraId="5771F04C" w14:textId="2C6CBB0E"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Dekker Nitert et al 2015</w:t>
            </w:r>
            <w:r>
              <w:rPr>
                <w:rFonts w:eastAsiaTheme="minorHAnsi"/>
                <w:noProof/>
                <w:sz w:val="16"/>
                <w:szCs w:val="16"/>
                <w:lang w:val="en-US"/>
              </w:rPr>
              <w:fldChar w:fldCharType="begin">
                <w:fldData xml:space="preserve">PEVuZE5vdGU+PENpdGU+PEF1dGhvcj5EZWtrZXIgTml0ZXJ0PC9BdXRob3I+PFllYXI+MjAxNTwv
WWVhcj48UmVjTnVtPjY4NjwvUmVjTnVtPjxEaXNwbGF5VGV4dD48c3R5bGUgZmFjZT0ic3VwZXJz
Y3JpcHQiIGZvbnQ9IlRyZWJ1Y2hldCBNUyIgc2l6ZT0iOSI+NDQ4PC9zdHlsZT48L0Rpc3BsYXlU
ZXh0PjxyZWNvcmQ+PHJlYy1udW1iZXI+Njg2PC9yZWMtbnVtYmVyPjxmb3JlaWduLWtleXM+PGtl
eSBhcHA9IkVOIiBkYi1pZD0iZXh2YXNyZngyZHRyYW9lc2FzeHAyc3pzeGEyZGY1MDI1OTJ4IiB0
aW1lc3RhbXA9IjE1NDA1MjcyMzgiPjY4Njwva2V5PjwvZm9yZWlnbi1rZXlzPjxyZWYtdHlwZSBu
YW1lPSJKb3VybmFsIEFydGljbGUiPjE3PC9yZWYtdHlwZT48Y29udHJpYnV0b3JzPjxhdXRob3Jz
PjxhdXRob3I+RGVra2VyIE5pdGVydCwgTS48L2F1dGhvcj48YXV0aG9yPkJhcnJldHQsIEguIEwu
PC9hdXRob3I+PGF1dGhvcj5EZW5ueSwgSy4gSi48L2F1dGhvcj48YXV0aG9yPk1jSW50eXJlLCBI
LiBELjwvYXV0aG9yPjxhdXRob3I+Q2FsbGF3YXksIEwuIEsuPC9hdXRob3I+PGF1dGhvcj5CYW1i
aW5vIGdyb3VwPC9hdXRob3I+PC9hdXRob3JzPjwvY29udHJpYnV0b3JzPjxhdXRoLWFkZHJlc3M+
U2Nob29sIG9mIE1lZGljaW5lLCBUaGUgVW5pdmVyc2l0eSBvZiBRdWVlbnNsYW5kLCBIZXJzdG9u
LCBRdWVlbnNsYW5kLCBBdXN0cmFsaWE7IFVRIENlbnRyZSBmb3IgQ2xpbmljYWwgUmVzZWFyY2gs
IFRoZSBVbml2ZXJzaXR5IG9mIFF1ZWVuc2xhbmQsIEhlcnN0b24sIFF1ZWVuc2xhbmQsIEF1c3Ry
YWxpYS48L2F1dGgtYWRkcmVzcz48dGl0bGVzPjx0aXRsZT5FeGVyY2lzZSBpbiBwcmVnbmFuY3kg
ZG9lcyBub3QgYWx0ZXIgZ2VzdGF0aW9uYWwgd2VpZ2h0IGdhaW4sIE1DUC0xIG9yIGxlcHRpbiBp
biBvYmVzZSB3b21lbjwvdGl0bGU+PHNlY29uZGFyeS10aXRsZT5BdXN0IE4gWiBKIE9ic3RldCBH
eW5hZWNvbDwvc2Vjb25kYXJ5LXRpdGxlPjwvdGl0bGVzPjxwZXJpb2RpY2FsPjxmdWxsLXRpdGxl
PkF1c3QgTiBaIEogT2JzdGV0IEd5bmFlY29sPC9mdWxsLXRpdGxlPjwvcGVyaW9kaWNhbD48cGFn
ZXM+MjctMzM8L3BhZ2VzPjx2b2x1bWU+NTU8L3ZvbHVtZT48bnVtYmVyPjE8L251bWJlcj48ZWRp
dGlvbj4yMDE1LzAyLzE4PC9lZGl0aW9uPjxrZXl3b3Jkcz48a2V5d29yZD5BZHVsdDwva2V5d29y
ZD48a2V5d29yZD5DaGVtb2tpbmUgQ0NMMi9ibG9vZDwva2V5d29yZD48a2V5d29yZD5FeGVyY2lz
ZS8qcGh5c2lvbG9neTwva2V5d29yZD48a2V5d29yZD5GZW1hbGU8L2tleXdvcmQ+PGtleXdvcmQ+
SHVtYW5zPC9rZXl3b3JkPjxrZXl3b3JkPkludGVybGV1a2luLTgvYmxvb2Q8L2tleXdvcmQ+PGtl
eXdvcmQ+TGVwdGluL2Jsb29kPC9rZXl3b3JkPjxrZXl3b3JkPk9iZXNpdHkvKmJsb29kL3RoZXJh
cHk8L2tleXdvcmQ+PGtleXdvcmQ+UGlsb3QgUHJvamVjdHM8L2tleXdvcmQ+PGtleXdvcmQ+UHJl
Z25hbmN5PC9rZXl3b3JkPjxrZXl3b3JkPlByZWduYW5jeSBDb21wbGljYXRpb25zLypibG9vZC9w
cmV2ZW50aW9uICZhbXA7IGNvbnRyb2w8L2tleXdvcmQ+PGtleXdvcmQ+KldlaWdodCBHYWluPC9r
ZXl3b3JkPjxrZXl3b3JkPllvdW5nIEFkdWx0PC9rZXl3b3JkPjxrZXl3b3JkPmV4ZXJjaXNlPC9r
ZXl3b3JkPjxrZXl3b3JkPmdlc3RhdGlvbmFsIHdlaWdodCBnYWluPC9rZXl3b3JkPjxrZXl3b3Jk
PmxpcGlkczwva2V5d29yZD48a2V5d29yZD5vYmVzaXR5PC9rZXl3b3JkPjwva2V5d29yZHM+PGRh
dGVzPjx5ZWFyPjIwMTU8L3llYXI+PHB1Yi1kYXRlcz48ZGF0ZT5GZWI8L2RhdGU+PC9wdWItZGF0
ZXM+PC9kYXRlcz48aXNibj4xNDc5LTgyOFggKEVsZWN0cm9uaWMpJiN4RDswMDA0LTg2NjYgKExp
bmtpbmcpPC9pc2JuPjxhY2Nlc3Npb24tbnVtPjI1Njg4ODE3PC9hY2Nlc3Npb24tbnVtPjx1cmxz
PjxyZWxhdGVkLXVybHM+PHVybD5odHRwczovL3d3dy5uY2JpLm5sbS5uaWguZ292L3B1Ym1lZC8y
NTY4ODgxNzwvdXJsPjwvcmVsYXRlZC11cmxzPjwvdXJscz48ZWxlY3Ryb25pYy1yZXNvdXJjZS1u
dW0+MTAuMTExMS9ham8uMTIzMDA8L2VsZWN0cm9uaWMtcmVzb3VyY2UtbnVtPjwvcmVjb3JkPjwv
Q2l0ZT48L0VuZE5vdGU+
</w:fldData>
              </w:fldChar>
            </w:r>
            <w:r w:rsidR="002747EA">
              <w:rPr>
                <w:rFonts w:eastAsiaTheme="minorHAnsi"/>
                <w:noProof/>
                <w:sz w:val="16"/>
                <w:szCs w:val="16"/>
                <w:lang w:val="en-US"/>
              </w:rPr>
              <w:instrText xml:space="preserve"> ADDIN EN.CITE </w:instrText>
            </w:r>
            <w:r w:rsidR="002747EA">
              <w:rPr>
                <w:rFonts w:eastAsiaTheme="minorHAnsi"/>
                <w:noProof/>
                <w:sz w:val="16"/>
                <w:szCs w:val="16"/>
                <w:lang w:val="en-US"/>
              </w:rPr>
              <w:fldChar w:fldCharType="begin">
                <w:fldData xml:space="preserve">PEVuZE5vdGU+PENpdGU+PEF1dGhvcj5EZWtrZXIgTml0ZXJ0PC9BdXRob3I+PFllYXI+MjAxNTwv
WWVhcj48UmVjTnVtPjY4NjwvUmVjTnVtPjxEaXNwbGF5VGV4dD48c3R5bGUgZmFjZT0ic3VwZXJz
Y3JpcHQiIGZvbnQ9IlRyZWJ1Y2hldCBNUyIgc2l6ZT0iOSI+NDQ4PC9zdHlsZT48L0Rpc3BsYXlU
ZXh0PjxyZWNvcmQ+PHJlYy1udW1iZXI+Njg2PC9yZWMtbnVtYmVyPjxmb3JlaWduLWtleXM+PGtl
eSBhcHA9IkVOIiBkYi1pZD0iZXh2YXNyZngyZHRyYW9lc2FzeHAyc3pzeGEyZGY1MDI1OTJ4IiB0
aW1lc3RhbXA9IjE1NDA1MjcyMzgiPjY4Njwva2V5PjwvZm9yZWlnbi1rZXlzPjxyZWYtdHlwZSBu
YW1lPSJKb3VybmFsIEFydGljbGUiPjE3PC9yZWYtdHlwZT48Y29udHJpYnV0b3JzPjxhdXRob3Jz
PjxhdXRob3I+RGVra2VyIE5pdGVydCwgTS48L2F1dGhvcj48YXV0aG9yPkJhcnJldHQsIEguIEwu
PC9hdXRob3I+PGF1dGhvcj5EZW5ueSwgSy4gSi48L2F1dGhvcj48YXV0aG9yPk1jSW50eXJlLCBI
LiBELjwvYXV0aG9yPjxhdXRob3I+Q2FsbGF3YXksIEwuIEsuPC9hdXRob3I+PGF1dGhvcj5CYW1i
aW5vIGdyb3VwPC9hdXRob3I+PC9hdXRob3JzPjwvY29udHJpYnV0b3JzPjxhdXRoLWFkZHJlc3M+
U2Nob29sIG9mIE1lZGljaW5lLCBUaGUgVW5pdmVyc2l0eSBvZiBRdWVlbnNsYW5kLCBIZXJzdG9u
LCBRdWVlbnNsYW5kLCBBdXN0cmFsaWE7IFVRIENlbnRyZSBmb3IgQ2xpbmljYWwgUmVzZWFyY2gs
IFRoZSBVbml2ZXJzaXR5IG9mIFF1ZWVuc2xhbmQsIEhlcnN0b24sIFF1ZWVuc2xhbmQsIEF1c3Ry
YWxpYS48L2F1dGgtYWRkcmVzcz48dGl0bGVzPjx0aXRsZT5FeGVyY2lzZSBpbiBwcmVnbmFuY3kg
ZG9lcyBub3QgYWx0ZXIgZ2VzdGF0aW9uYWwgd2VpZ2h0IGdhaW4sIE1DUC0xIG9yIGxlcHRpbiBp
biBvYmVzZSB3b21lbjwvdGl0bGU+PHNlY29uZGFyeS10aXRsZT5BdXN0IE4gWiBKIE9ic3RldCBH
eW5hZWNvbDwvc2Vjb25kYXJ5LXRpdGxlPjwvdGl0bGVzPjxwZXJpb2RpY2FsPjxmdWxsLXRpdGxl
PkF1c3QgTiBaIEogT2JzdGV0IEd5bmFlY29sPC9mdWxsLXRpdGxlPjwvcGVyaW9kaWNhbD48cGFn
ZXM+MjctMzM8L3BhZ2VzPjx2b2x1bWU+NTU8L3ZvbHVtZT48bnVtYmVyPjE8L251bWJlcj48ZWRp
dGlvbj4yMDE1LzAyLzE4PC9lZGl0aW9uPjxrZXl3b3Jkcz48a2V5d29yZD5BZHVsdDwva2V5d29y
ZD48a2V5d29yZD5DaGVtb2tpbmUgQ0NMMi9ibG9vZDwva2V5d29yZD48a2V5d29yZD5FeGVyY2lz
ZS8qcGh5c2lvbG9neTwva2V5d29yZD48a2V5d29yZD5GZW1hbGU8L2tleXdvcmQ+PGtleXdvcmQ+
SHVtYW5zPC9rZXl3b3JkPjxrZXl3b3JkPkludGVybGV1a2luLTgvYmxvb2Q8L2tleXdvcmQ+PGtl
eXdvcmQ+TGVwdGluL2Jsb29kPC9rZXl3b3JkPjxrZXl3b3JkPk9iZXNpdHkvKmJsb29kL3RoZXJh
cHk8L2tleXdvcmQ+PGtleXdvcmQ+UGlsb3QgUHJvamVjdHM8L2tleXdvcmQ+PGtleXdvcmQ+UHJl
Z25hbmN5PC9rZXl3b3JkPjxrZXl3b3JkPlByZWduYW5jeSBDb21wbGljYXRpb25zLypibG9vZC9w
cmV2ZW50aW9uICZhbXA7IGNvbnRyb2w8L2tleXdvcmQ+PGtleXdvcmQ+KldlaWdodCBHYWluPC9r
ZXl3b3JkPjxrZXl3b3JkPllvdW5nIEFkdWx0PC9rZXl3b3JkPjxrZXl3b3JkPmV4ZXJjaXNlPC9r
ZXl3b3JkPjxrZXl3b3JkPmdlc3RhdGlvbmFsIHdlaWdodCBnYWluPC9rZXl3b3JkPjxrZXl3b3Jk
PmxpcGlkczwva2V5d29yZD48a2V5d29yZD5vYmVzaXR5PC9rZXl3b3JkPjwva2V5d29yZHM+PGRh
dGVzPjx5ZWFyPjIwMTU8L3llYXI+PHB1Yi1kYXRlcz48ZGF0ZT5GZWI8L2RhdGU+PC9wdWItZGF0
ZXM+PC9kYXRlcz48aXNibj4xNDc5LTgyOFggKEVsZWN0cm9uaWMpJiN4RDswMDA0LTg2NjYgKExp
bmtpbmcpPC9pc2JuPjxhY2Nlc3Npb24tbnVtPjI1Njg4ODE3PC9hY2Nlc3Npb24tbnVtPjx1cmxz
PjxyZWxhdGVkLXVybHM+PHVybD5odHRwczovL3d3dy5uY2JpLm5sbS5uaWguZ292L3B1Ym1lZC8y
NTY4ODgxNzwvdXJsPjwvcmVsYXRlZC11cmxzPjwvdXJscz48ZWxlY3Ryb25pYy1yZXNvdXJjZS1u
dW0+MTAuMTExMS9ham8uMTIzMDA8L2VsZWN0cm9uaWMtcmVzb3VyY2UtbnVtPjwvcmVjb3JkPjwv
Q2l0ZT48L0VuZE5vdGU+
</w:fldData>
              </w:fldChar>
            </w:r>
            <w:r w:rsidR="002747EA">
              <w:rPr>
                <w:rFonts w:eastAsiaTheme="minorHAnsi"/>
                <w:noProof/>
                <w:sz w:val="16"/>
                <w:szCs w:val="16"/>
                <w:lang w:val="en-US"/>
              </w:rPr>
              <w:instrText xml:space="preserve"> ADDIN EN.CITE.DATA </w:instrText>
            </w:r>
            <w:r w:rsidR="002747EA">
              <w:rPr>
                <w:rFonts w:eastAsiaTheme="minorHAnsi"/>
                <w:noProof/>
                <w:sz w:val="16"/>
                <w:szCs w:val="16"/>
                <w:lang w:val="en-US"/>
              </w:rPr>
            </w:r>
            <w:r w:rsidR="002747EA">
              <w:rPr>
                <w:rFonts w:eastAsiaTheme="minorHAnsi"/>
                <w:noProof/>
                <w:sz w:val="16"/>
                <w:szCs w:val="16"/>
                <w:lang w:val="en-US"/>
              </w:rPr>
              <w:fldChar w:fldCharType="end"/>
            </w:r>
            <w:r>
              <w:rPr>
                <w:rFonts w:eastAsiaTheme="minorHAnsi"/>
                <w:noProof/>
                <w:sz w:val="16"/>
                <w:szCs w:val="16"/>
                <w:lang w:val="en-US"/>
              </w:rPr>
            </w:r>
            <w:r>
              <w:rPr>
                <w:rFonts w:eastAsiaTheme="minorHAnsi"/>
                <w:noProof/>
                <w:sz w:val="16"/>
                <w:szCs w:val="16"/>
                <w:lang w:val="en-US"/>
              </w:rPr>
              <w:fldChar w:fldCharType="separate"/>
            </w:r>
            <w:r w:rsidR="002747EA" w:rsidRPr="002747EA">
              <w:rPr>
                <w:rFonts w:eastAsiaTheme="minorHAnsi"/>
                <w:noProof/>
                <w:szCs w:val="16"/>
                <w:vertAlign w:val="superscript"/>
                <w:lang w:val="en-US"/>
              </w:rPr>
              <w:t>448</w:t>
            </w:r>
            <w:r>
              <w:rPr>
                <w:rFonts w:eastAsiaTheme="minorHAnsi"/>
                <w:noProof/>
                <w:sz w:val="16"/>
                <w:szCs w:val="16"/>
                <w:lang w:val="en-US"/>
              </w:rPr>
              <w:fldChar w:fldCharType="end"/>
            </w:r>
          </w:p>
        </w:tc>
      </w:tr>
      <w:tr w:rsidR="008E765F" w:rsidRPr="00C12274" w14:paraId="27ADA2B2" w14:textId="77777777" w:rsidTr="00BC7AEC">
        <w:trPr>
          <w:cantSplit/>
        </w:trPr>
        <w:tc>
          <w:tcPr>
            <w:tcW w:w="1560" w:type="dxa"/>
            <w:shd w:val="clear" w:color="D9E2F3" w:themeColor="accent1" w:themeTint="33" w:fill="auto"/>
          </w:tcPr>
          <w:p w14:paraId="65F83FE8"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7FB8A695"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9DB9345" w14:textId="77777777" w:rsidR="008E765F" w:rsidRPr="00C12274" w:rsidRDefault="008E765F" w:rsidP="00611251">
            <w:pPr>
              <w:pStyle w:val="RCTstable"/>
              <w:keepNext/>
            </w:pPr>
            <w:r w:rsidRPr="00C12274">
              <w:t>Women were randomised to the intervention or standard care arm by random number allocation through an external service</w:t>
            </w:r>
          </w:p>
        </w:tc>
      </w:tr>
      <w:tr w:rsidR="008E765F" w:rsidRPr="00C12274" w14:paraId="48A4D03D" w14:textId="77777777" w:rsidTr="00BC7AEC">
        <w:trPr>
          <w:cantSplit/>
        </w:trPr>
        <w:tc>
          <w:tcPr>
            <w:tcW w:w="1560" w:type="dxa"/>
            <w:shd w:val="clear" w:color="D9E2F3" w:themeColor="accent1" w:themeTint="33" w:fill="auto"/>
          </w:tcPr>
          <w:p w14:paraId="4B475E54"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0BFAAA4A"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A639055" w14:textId="77777777" w:rsidR="008E765F" w:rsidRPr="00C12274" w:rsidRDefault="008E765F" w:rsidP="00611251">
            <w:pPr>
              <w:pStyle w:val="RCTstable"/>
              <w:keepNext/>
            </w:pPr>
            <w:r w:rsidRPr="00C12274">
              <w:t>Not described</w:t>
            </w:r>
          </w:p>
        </w:tc>
      </w:tr>
      <w:tr w:rsidR="008E765F" w:rsidRPr="00C12274" w14:paraId="764F3016" w14:textId="77777777" w:rsidTr="00BC7AEC">
        <w:trPr>
          <w:cantSplit/>
        </w:trPr>
        <w:tc>
          <w:tcPr>
            <w:tcW w:w="1560" w:type="dxa"/>
            <w:shd w:val="clear" w:color="D9E2F3" w:themeColor="accent1" w:themeTint="33" w:fill="auto"/>
          </w:tcPr>
          <w:p w14:paraId="75D5994F"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1E677425"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01DF8071" w14:textId="77777777" w:rsidR="008E765F" w:rsidRPr="00C12274" w:rsidRDefault="008E765F" w:rsidP="00611251">
            <w:pPr>
              <w:pStyle w:val="RCTstable"/>
              <w:keepNext/>
            </w:pPr>
            <w:r w:rsidRPr="00C12274">
              <w:t>Not described</w:t>
            </w:r>
          </w:p>
        </w:tc>
      </w:tr>
      <w:tr w:rsidR="00486B97" w:rsidRPr="00C12274" w14:paraId="7EB062C4" w14:textId="77777777" w:rsidTr="00BC7AEC">
        <w:trPr>
          <w:cantSplit/>
        </w:trPr>
        <w:tc>
          <w:tcPr>
            <w:tcW w:w="1560" w:type="dxa"/>
            <w:shd w:val="clear" w:color="D9E2F3" w:themeColor="accent1" w:themeTint="33" w:fill="auto"/>
          </w:tcPr>
          <w:p w14:paraId="508126DA" w14:textId="77777777" w:rsidR="00486B97" w:rsidRPr="00C12274" w:rsidRDefault="00486B97"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05BC5536" w14:textId="12551DD3" w:rsidR="00486B97" w:rsidRPr="00C12274" w:rsidRDefault="00486B97" w:rsidP="009740A7">
            <w:pPr>
              <w:keepNext/>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251DAE31" w14:textId="6995AB1D" w:rsidR="00486B97" w:rsidRPr="00C12274" w:rsidRDefault="00486B97" w:rsidP="009740A7">
            <w:pPr>
              <w:pStyle w:val="RCTstable"/>
            </w:pPr>
            <w:r w:rsidRPr="00C12274">
              <w:t>Not described</w:t>
            </w:r>
          </w:p>
        </w:tc>
      </w:tr>
      <w:tr w:rsidR="008E765F" w:rsidRPr="00C12274" w14:paraId="385D1223" w14:textId="77777777" w:rsidTr="00BC7AEC">
        <w:trPr>
          <w:cantSplit/>
        </w:trPr>
        <w:tc>
          <w:tcPr>
            <w:tcW w:w="1560" w:type="dxa"/>
            <w:shd w:val="clear" w:color="D9E2F3" w:themeColor="accent1" w:themeTint="33" w:fill="auto"/>
          </w:tcPr>
          <w:p w14:paraId="56F4AF4F"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03F64916"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A5E8D3D" w14:textId="77777777" w:rsidR="008E765F" w:rsidRPr="00C12274" w:rsidRDefault="008E765F" w:rsidP="00611251">
            <w:pPr>
              <w:spacing w:before="40" w:after="40" w:line="220" w:lineRule="exact"/>
              <w:rPr>
                <w:sz w:val="16"/>
                <w:szCs w:val="16"/>
                <w:lang w:val="en-US"/>
              </w:rPr>
            </w:pPr>
            <w:r w:rsidRPr="00C12274">
              <w:rPr>
                <w:sz w:val="16"/>
                <w:szCs w:val="16"/>
                <w:lang w:val="en-US"/>
              </w:rPr>
              <w:t>No loss to follow-up reported</w:t>
            </w:r>
          </w:p>
        </w:tc>
      </w:tr>
      <w:tr w:rsidR="008E765F" w:rsidRPr="00C12274" w14:paraId="48714C27" w14:textId="77777777" w:rsidTr="00BC7AEC">
        <w:trPr>
          <w:cantSplit/>
        </w:trPr>
        <w:tc>
          <w:tcPr>
            <w:tcW w:w="1560" w:type="dxa"/>
            <w:shd w:val="clear" w:color="D9E2F3" w:themeColor="accent1" w:themeTint="33" w:fill="auto"/>
          </w:tcPr>
          <w:p w14:paraId="658D8C4C"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24C39AC"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14D2AD7"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480CE537" w14:textId="77777777" w:rsidTr="00BC7AEC">
        <w:trPr>
          <w:cantSplit/>
        </w:trPr>
        <w:tc>
          <w:tcPr>
            <w:tcW w:w="1560" w:type="dxa"/>
            <w:shd w:val="clear" w:color="D9E2F3" w:themeColor="accent1" w:themeTint="33" w:fill="auto"/>
          </w:tcPr>
          <w:p w14:paraId="3D83610A"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FFC000" w:themeFill="accent4"/>
          </w:tcPr>
          <w:p w14:paraId="742E938C" w14:textId="77777777" w:rsidR="008E765F" w:rsidRPr="00C12274" w:rsidRDefault="008E765F" w:rsidP="00611251">
            <w:pPr>
              <w:spacing w:before="40" w:after="40" w:line="220" w:lineRule="exact"/>
              <w:rPr>
                <w:sz w:val="16"/>
                <w:szCs w:val="16"/>
                <w:lang w:val="en-US"/>
              </w:rPr>
            </w:pPr>
            <w:r w:rsidRPr="00C12274">
              <w:rPr>
                <w:sz w:val="16"/>
                <w:szCs w:val="16"/>
                <w:lang w:val="en-US"/>
              </w:rPr>
              <w:t>Unclear risk</w:t>
            </w:r>
          </w:p>
        </w:tc>
        <w:tc>
          <w:tcPr>
            <w:tcW w:w="11199" w:type="dxa"/>
            <w:shd w:val="clear" w:color="D9E2F3" w:themeColor="accent1" w:themeTint="33" w:fill="auto"/>
          </w:tcPr>
          <w:p w14:paraId="39DF56AC" w14:textId="77777777" w:rsidR="008E765F" w:rsidRPr="00C12274" w:rsidRDefault="008E765F" w:rsidP="00611251">
            <w:pPr>
              <w:pStyle w:val="RCTstable"/>
            </w:pPr>
            <w:r w:rsidRPr="00C12274">
              <w:t>Levels of physical activity were low and women randomised to the control group also increased their level of physical activity, which further reduces the power of the study to detect differences.</w:t>
            </w:r>
          </w:p>
        </w:tc>
      </w:tr>
      <w:tr w:rsidR="008E765F" w:rsidRPr="00C12274" w14:paraId="084D70FD" w14:textId="77777777" w:rsidTr="00BC7AEC">
        <w:trPr>
          <w:cantSplit/>
        </w:trPr>
        <w:tc>
          <w:tcPr>
            <w:tcW w:w="14034" w:type="dxa"/>
            <w:gridSpan w:val="3"/>
            <w:shd w:val="solid" w:color="D9E2F3" w:themeColor="accent1" w:themeTint="33" w:fill="auto"/>
          </w:tcPr>
          <w:p w14:paraId="31C25BED" w14:textId="4D0EC326"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Garnæs et al 201</w:t>
            </w:r>
            <w:r>
              <w:rPr>
                <w:rFonts w:eastAsiaTheme="minorHAnsi"/>
                <w:b/>
                <w:noProof/>
                <w:sz w:val="16"/>
                <w:szCs w:val="16"/>
                <w:lang w:val="en-US"/>
              </w:rPr>
              <w:t>6</w:t>
            </w:r>
            <w:r>
              <w:rPr>
                <w:rFonts w:eastAsiaTheme="minorHAnsi"/>
                <w:sz w:val="16"/>
                <w:szCs w:val="16"/>
                <w:lang w:val="en-US"/>
              </w:rPr>
              <w:fldChar w:fldCharType="begin">
                <w:fldData xml:space="preserve">PEVuZE5vdGU+PENpdGU+PEF1dGhvcj5HYXJuw6ZzPC9BdXRob3I+PFllYXI+MjAxODwvWWVhcj48
UmVjTnVtPjEwMjM8L1JlY051bT48RGlzcGxheVRleHQ+PHN0eWxlIGZhY2U9InN1cGVyc2NyaXB0
IiBmb250PSJUcmVidWNoZXQgTVMiIHNpemU9IjkiPjMwNCwzMTQsMzE1LDUzNzwvc3R5bGU+PC9E
aXNwbGF5VGV4dD48cmVjb3JkPjxyZWMtbnVtYmVyPjEwMjM8L3JlYy1udW1iZXI+PGZvcmVpZ24t
a2V5cz48a2V5IGFwcD0iRU4iIGRiLWlkPSJleHZhc3JmeDJkdHJhb2VzYXN4cDJzenN4YTJkZjUw
MjU5MngiIHRpbWVzdGFtcD0iMTU0ODk4MzQ3NiI+MTAyMzwva2V5PjwvZm9yZWlnbi1rZXlzPjxy
ZWYtdHlwZSBuYW1lPSJKb3VybmFsIEFydGljbGUiPjE3PC9yZWYtdHlwZT48Y29udHJpYnV0b3Jz
PjxhdXRob3JzPjxhdXRob3I+R2FybsOmcywgS2lyc3RpIEsuPC9hdXRob3I+PGF1dGhvcj5Nw7hy
a3ZlZCwgU2l2PC9hdXRob3I+PGF1dGhvcj5TYWx2ZXNlbiwgS2plbGwgw4U8L2F1dGhvcj48YXV0
aG9yPlNhbHZlc2VuLCDDmHl2aW5kPC9hdXRob3I+PGF1dGhvcj5Nb2hvbGR0LCBUcmluZTwvYXV0
aG9yPjwvYXV0aG9ycz48L2NvbnRyaWJ1dG9ycz48dGl0bGVzPjx0aXRsZT5FeGVyY2lzZSB0cmFp
bmluZyBkdXJpbmcgcHJlZ25hbmN5IHJlZHVjZXMgY2lyY3VsYXRpbmcgaW5zdWxpbiBsZXZlbHMg
aW4gb3ZlcndlaWdodC9vYmVzZSB3b21lbiBwb3N0cGFydHVtOiBzZWNvbmRhcnkgYW5hbHlzaXMg
b2YgYSByYW5kb21pc2VkIGNvbnRyb2xsZWQgdHJpYWwgKHRoZSBFVElQIHRyaWFsKTwvdGl0bGU+
PHNlY29uZGFyeS10aXRsZT5CTUMgUHJlZ25hbmN5IGFuZCBDaGlsZGJpcnRoPC9zZWNvbmRhcnkt
dGl0bGU+PC90aXRsZXM+PHBlcmlvZGljYWw+PGZ1bGwtdGl0bGU+Qk1DIFByZWduYW5jeSBhbmQg
Q2hpbGRiaXJ0aDwvZnVsbC10aXRsZT48L3BlcmlvZGljYWw+PHZvbHVtZT4xODwvdm9sdW1lPjxu
dW1iZXI+MTwvbnVtYmVyPjxkYXRlcz48eWVhcj4yMDE4PC95ZWFyPjwvZGF0ZXM+PGlzYm4+MTQ3
MS0yMzkzPC9pc2JuPjx1cmxzPjwvdXJscz48ZWxlY3Ryb25pYy1yZXNvdXJjZS1udW0+MTAuMTE4
Ni9zMTI4ODQtMDE3LTE2NTMtNTwvZWxlY3Ryb25pYy1yZXNvdXJjZS1udW0+PC9yZWNvcmQ+PC9D
aXRlPjxDaXRlPjxBdXRob3I+R2FybmFlczwvQXV0aG9yPjxZZWFyPjIwMTY8L1llYXI+PFJlY051
bT42ODg8L1JlY051bT48cmVjb3JkPjxyZWMtbnVtYmVyPjY4ODwvcmVjLW51bWJlcj48Zm9yZWln
bi1rZXlzPjxrZXkgYXBwPSJFTiIgZGItaWQ9ImV4dmFzcmZ4MmR0cmFvZXNhc3hwMnN6c3hhMmRm
NTAyNTkyeCIgdGltZXN0YW1wPSIxNTQwNTI3MzkzIj42ODg8L2tleT48L2ZvcmVpZ24ta2V5cz48
cmVmLXR5cGUgbmFtZT0iSm91cm5hbCBBcnRpY2xlIj4xNzwvcmVmLXR5cGU+PGNvbnRyaWJ1dG9y
cz48YXV0aG9ycz48YXV0aG9yPkdhcm5hZXMsIEsuIEsuPC9hdXRob3I+PGF1dGhvcj5Nb3JrdmVk
LCBTLjwvYXV0aG9yPjxhdXRob3I+U2FsdmVzZW4sIE8uPC9hdXRob3I+PGF1dGhvcj5Nb2hvbGR0
LCBULjwvYXV0aG9yPjwvYXV0aG9ycz48L2NvbnRyaWJ1dG9ycz48YXV0aC1hZGRyZXNzPkRlcGFy
dG1lbnQgb2YgQ2lyY3VsYXRpb24gYW5kIE1lZGljYWwgSW1hZ2luZywgTWVkaWNhbCBGYWN1bHR5
LCBOb3J3ZWdpYW4gVW5pdmVyc2l0eSBvZiBTY2llbmNlIGFuZCBUZWNobm9sb2d5IChOVE5VKSwg
VHJvbmRoZWltLCBOb3J3YXkuJiN4RDtEZXBhcnRtZW50IG9mIFB1YmxpYyBIZWFsdGggYW5kIEdl
bmVyYWwgUHJhY3RpY2UsIE1lZGljYWwgRmFjdWx0eSwgTm9yd2VnaWFuIFVuaXZlcnNpdHkgb2Yg
U2NpZW5jZSBhbmQgVGVjaG5vbG9neSAoTlROVSksIFRyb25kaGVpbSwgTm9yd2F5LiYjeEQ7Q2xp
bmljYWwgU2VydmljZSwgU3QuIE9sYXZzIEhvc3BpdGFsLCBUcm9uZGhlaW0gVW5pdmVyc2l0eSBI
b3NwaXRhbCwgVHJvbmRoZWltLCBOb3J3YXkuJiN4RDtEZXBhcnRtZW50IG9mIFdvbWVuJmFwb3M7
cyBIZWFsdGgsIFN0LiBPbGF2cyBIb3NwaXRhbCwgVHJvbmRoZWltIFVuaXZlcnNpdHkgSG9zcGl0
YWwsIFRyb25kaGVpbSwgTm9yd2F5LjwvYXV0aC1hZGRyZXNzPjx0aXRsZXM+PHRpdGxlPkV4ZXJj
aXNlIFRyYWluaW5nIGFuZCBXZWlnaHQgR2FpbiBpbiBPYmVzZSBQcmVnbmFudCBXb21lbjogQSBS
YW5kb21pemVkIENvbnRyb2xsZWQgVHJpYWwgKEVUSVAgVHJpYWwpPC90aXRsZT48c2Vjb25kYXJ5
LXRpdGxlPlBMb1MgTWVkPC9zZWNvbmRhcnktdGl0bGU+PC90aXRsZXM+PHBlcmlvZGljYWw+PGZ1
bGwtdGl0bGU+UExvUyBNZWQ8L2Z1bGwtdGl0bGU+PC9wZXJpb2RpY2FsPjxwYWdlcz5lMTAwMjA3
OTwvcGFnZXM+PHZvbHVtZT4xMzwvdm9sdW1lPjxudW1iZXI+NzwvbnVtYmVyPjxlZGl0aW9uPjIw
MTYvMDcvMjg8L2VkaXRpb24+PGtleXdvcmRzPjxrZXl3b3JkPkFkdWx0PC9rZXl3b3JkPjxrZXl3
b3JkPkJsb29kIFByZXNzdXJlPC9rZXl3b3JkPjxrZXl3b3JkPkRpYWJldGVzLCBHZXN0YXRpb25h
bC9wcmV2ZW50aW9uICZhbXA7IGNvbnRyb2w8L2tleXdvcmQ+PGtleXdvcmQ+RXhlcmNpc2UvcGh5
c2lvbG9neTwva2V5d29yZD48a2V5d29yZD5FeGVyY2lzZSBUaGVyYXB5L2FkdmVyc2UgZWZmZWN0
cy8qbWV0aG9kczwva2V5d29yZD48a2V5d29yZD5GZW1hbGU8L2tleXdvcmQ+PGtleXdvcmQ+SHVt
YW5zPC9rZXl3b3JkPjxrZXl3b3JkPk9iZXNpdHkvKmNvbXBsaWNhdGlvbnMvcHJldmVudGlvbiAm
YW1wOyBjb250cm9sL3RoZXJhcHk8L2tleXdvcmQ+PGtleXdvcmQ+T3ZlcndlaWdodC9jb21wbGlj
YXRpb25zL3ByZXZlbnRpb24gJmFtcDsgY29udHJvbC90aGVyYXB5PC9rZXl3b3JkPjxrZXl3b3Jk
PlByZWduYW5jeTwva2V5d29yZD48a2V5d29yZD5QcmVnbmFuY3kgQ29tcGxpY2F0aW9ucy9wcmV2
ZW50aW9uICZhbXA7IGNvbnRyb2wvKnRoZXJhcHk8L2tleXdvcmQ+PGtleXdvcmQ+VHJlYXRtZW50
IE91dGNvbWU8L2tleXdvcmQ+PGtleXdvcmQ+V2VpZ2h0IEdhaW48L2tleXdvcmQ+PC9rZXl3b3Jk
cz48ZGF0ZXM+PHllYXI+MjAxNjwveWVhcj48cHViLWRhdGVzPjxkYXRlPkp1bDwvZGF0ZT48L3B1
Yi1kYXRlcz48L2RhdGVzPjxpc2JuPjE1NDktMTY3NiAoRWxlY3Ryb25pYykmI3hEOzE1NDktMTI3
NyAoTGlua2luZyk8L2lzYm4+PGFjY2Vzc2lvbi1udW0+Mjc0NTkzNzU8L2FjY2Vzc2lvbi1udW0+
PHVybHM+PHJlbGF0ZWQtdXJscz48dXJsPmh0dHBzOi8vd3d3Lm5jYmkubmxtLm5paC5nb3YvcHVi
bWVkLzI3NDU5Mzc1PC91cmw+PC9yZWxhdGVkLXVybHM+PC91cmxzPjxjdXN0b20yPlBNQzQ5NjEz
OTI8L2N1c3RvbTI+PGVsZWN0cm9uaWMtcmVzb3VyY2UtbnVtPjEwLjEzNzEvam91cm5hbC5wbWVk
LjEwMDIwNzk8L2VsZWN0cm9uaWMtcmVzb3VyY2UtbnVtPjwvcmVjb3JkPjwvQ2l0ZT48Q2l0ZT48
QXV0aG9yPkdhcm5hZXM8L0F1dGhvcj48WWVhcj4yMDE3PC9ZZWFyPjxSZWNOdW0+NjA3PC9SZWNO
dW0+PHJlY29yZD48cmVjLW51bWJlcj42MDc8L3JlYy1udW1iZXI+PGZvcmVpZ24ta2V5cz48a2V5
IGFwcD0iRU4iIGRiLWlkPSJleHZhc3JmeDJkdHJhb2VzYXN4cDJzenN4YTJkZjUwMjU5MngiIHRp
bWVzdGFtcD0iMTUzOTA0ODMzMCI+NjA3PC9rZXk+PGtleSBhcHA9IkVOV2ViIiBkYi1pZD0iIj4w
PC9rZXk+PC9mb3JlaWduLWtleXM+PHJlZi10eXBlIG5hbWU9IkpvdXJuYWwgQXJ0aWNsZSI+MTc8
L3JlZi10eXBlPjxjb250cmlidXRvcnM+PGF1dGhvcnM+PGF1dGhvcj5HYXJuYWVzLCBLLiBLLjwv
YXV0aG9yPjxhdXRob3I+TnlybmVzLCBTLiBBLjwvYXV0aG9yPjxhdXRob3I+U2FsdmVzZW4sIEsu
IEEuPC9hdXRob3I+PGF1dGhvcj5TYWx2ZXNlbiwgTy48L2F1dGhvcj48YXV0aG9yPk1vcmt2ZWQs
IFMuPC9hdXRob3I+PGF1dGhvcj5Nb2hvbGR0LCBULjwvYXV0aG9yPjwvYXV0aG9ycz48L2NvbnRy
aWJ1dG9ycz48YXV0aC1hZGRyZXNzPkRlcGFydG1lbnQgb2YgQ2lyY3VsYXRpb24gYW5kIE1lZGlj
YWwgSW1hZ2luZywgTlROVSwgTm9yd2VnaWFuIFVuaXZlcnNpdHkgb2YgU2NpZW5jZSBhbmQgVGVj
aG5vbG9neSwgVHJvbmRoZWltLCBOb3J3YXkuJiN4RDtEZXBhcnRtZW50IG9mIFBhZWRpYXRyaWNz
LCBTdC4gT2xhdnMgSG9zcGl0YWwsIFRyb25kaGVpbSBVbml2ZXJzaXR5IEhvc3BpdGFsLCBUcm9u
ZGhlaW0sIE5vcndheS4mI3hEO0RlcGFydG1lbnQgb2YgT2JzdGV0cmljcyBhbmQgR3luYWVjb2xv
Z3ksIFN0LiBPbGF2cyBIb3NwaXRhbCwgVHJvbmRoZWltIFVuaXZlcnNpdHkgSG9zcGl0YWwsIFRy
b25kaGVpbSwgTm9yd2F5LiYjeEQ7RGVwYXJ0bWVudCBvZiBMYWJvcmF0b3J5IE1lZGljaW5lLCBD
aGlsZHJlbiZhcG9zO3MgYW5kIFdvbWVuJmFwb3M7cyBIZWFsdGgsIE5vcndlZ2lhbiBVbml2ZXJz
aXR5IG9mIFNjaWVuY2UgYW5kIFRlY2hub2xvZ3ksIFRyb25kaGVpbSwgTm9yd2F5LiYjeEQ7RGVw
YXJ0bWVudCBvZiBQdWJsaWMgSGVhbHRoIGFuZCBHZW5lcmFsIFByYWN0aWNlLCBOVE5VLCBOb3J3
ZWdpYW4gVW5pdmVyc2l0eSBvZiBTY2llbmNlIGFuZCBUZWNobm9sb2d5LCBUcm9uZGhlaW0sIE5v
cndheS4mI3hEO0NsaW5pY2FsIFNlcnZpY2UsIFN0LiBPbGF2cyBIb3NwaXRhbCwgVHJvbmRoZWlt
IFVuaXZlcnNpdHkgSG9zcGl0YWwsIFRyb25kaGVpbSwgTm9yd2F5LjwvYXV0aC1hZGRyZXNzPjx0
aXRsZXM+PHRpdGxlPkVmZmVjdCBvZiBzdXBlcnZpc2VkIGV4ZXJjaXNlIHRyYWluaW5nIGR1cmlu
ZyBwcmVnbmFuY3kgb24gbmVvbmF0YWwgYW5kIG1hdGVybmFsIG91dGNvbWVzIGFtb25nIG92ZXJ3
ZWlnaHQgYW5kIG9iZXNlIHdvbWVuLiBTZWNvbmRhcnkgYW5hbHlzZXMgb2YgdGhlIEVUSVAgdHJp
YWw6IEEgcmFuZG9taXNlZCBjb250cm9sbGVkIHRyaWFsPC90aXRsZT48c2Vjb25kYXJ5LXRpdGxl
PlBMb1MgT25lPC9zZWNvbmRhcnktdGl0bGU+PC90aXRsZXM+PHBlcmlvZGljYWw+PGZ1bGwtdGl0
bGU+UExvUyBPbmU8L2Z1bGwtdGl0bGU+PC9wZXJpb2RpY2FsPjxwYWdlcz5lMDE3MzkzNzwvcGFn
ZXM+PHZvbHVtZT4xMjwvdm9sdW1lPjxudW1iZXI+MzwvbnVtYmVyPjxlZGl0aW9uPjIwMTcvMDMv
MjM8L2VkaXRpb24+PGtleXdvcmRzPjxrZXl3b3JkPkFkdWx0PC9rZXl3b3JkPjxrZXl3b3JkPkJp
cnRoIFdlaWdodDwva2V5d29yZD48a2V5d29yZD5FeGVyY2lzZSBUaGVyYXB5LyptZXRob2RzPC9r
ZXl3b3JkPjxrZXl3b3JkPkZlbWFsZTwva2V5d29yZD48a2V5d29yZD5IdW1hbnM8L2tleXdvcmQ+
PGtleXdvcmQ+SW5mYW50LCBOZXdib3JuPC9rZXl3b3JkPjxrZXl3b3JkPk9iZXNpdHkvKmNvbXBs
aWNhdGlvbnMvKnRoZXJhcHk8L2tleXdvcmQ+PGtleXdvcmQ+T3ZlcndlaWdodC8qY29tcGxpY2F0
aW9ucy8qdGhlcmFweTwva2V5d29yZD48a2V5d29yZD5QcmVnbmFuY3k8L2tleXdvcmQ+PGtleXdv
cmQ+UHJlZ25hbmN5IENvbXBsaWNhdGlvbnMvKnRoZXJhcHk8L2tleXdvcmQ+PGtleXdvcmQ+UHJl
Z25hbmN5IE91dGNvbWU8L2tleXdvcmQ+PC9rZXl3b3Jkcz48ZGF0ZXM+PHllYXI+MjAxNzwveWVh
cj48L2RhdGVzPjxpc2JuPjE5MzItNjIwMyAoRWxlY3Ryb25pYykmI3hEOzE5MzItNjIwMyAoTGlu
a2luZyk8L2lzYm4+PGFjY2Vzc2lvbi1udW0+MjgzMjM4OTM8L2FjY2Vzc2lvbi1udW0+PHVybHM+
PHJlbGF0ZWQtdXJscz48dXJsPmh0dHBzOi8vd3d3Lm5jYmkubmxtLm5paC5nb3YvcHVibWVkLzI4
MzIzODkzPC91cmw+PC9yZWxhdGVkLXVybHM+PC91cmxzPjxjdXN0b20yPlBNQzUzNjAyNTQ8L2N1
c3RvbTI+PGVsZWN0cm9uaWMtcmVzb3VyY2UtbnVtPjEwLjEzNzEvam91cm5hbC5wb25lLjAxNzM5
Mzc8L2VsZWN0cm9uaWMtcmVzb3VyY2UtbnVtPjwvcmVjb3JkPjwvQ2l0ZT48Q2l0ZT48QXV0aG9y
Pkdhcm5hZXM8L0F1dGhvcj48WWVhcj4yMDE5PC9ZZWFyPjxSZWNOdW0+MTkxODwvUmVjTnVtPjxy
ZWNvcmQ+PHJlYy1udW1iZXI+MTkxODwvcmVjLW51bWJlcj48Zm9yZWlnbi1rZXlzPjxrZXkgYXBw
PSJFTiIgZGItaWQ9ImV4dmFzcmZ4MmR0cmFvZXNhc3hwMnN6c3hhMmRmNTAyNTkyeCIgdGltZXN0
YW1wPSIxNTg4NDgzNTU0Ij4xOTE4PC9rZXk+PGtleSBhcHA9IkVOV2ViIiBkYi1pZD0iIj4wPC9r
ZXk+PC9mb3JlaWduLWtleXM+PHJlZi10eXBlIG5hbWU9IkpvdXJuYWwgQXJ0aWNsZSI+MTc8L3Jl
Zi10eXBlPjxjb250cmlidXRvcnM+PGF1dGhvcnM+PGF1dGhvcj5HYXJuYWVzLCBLLiBLLjwvYXV0
aG9yPjxhdXRob3I+SGVsdmlrLCBBLiBTLjwvYXV0aG9yPjxhdXRob3I+U3RhZm5lLCBTLiBOLjwv
YXV0aG9yPjxhdXRob3I+TW9ya3ZlZCwgUy48L2F1dGhvcj48YXV0aG9yPlNhbHZlc2VuLCBLLjwv
YXV0aG9yPjxhdXRob3I+U2FsdmVzZW4sIE8uPC9hdXRob3I+PGF1dGhvcj5Nb2hvbGR0LCBULjwv
YXV0aG9yPjwvYXV0aG9ycz48L2NvbnRyaWJ1dG9ycz48YXV0aC1hZGRyZXNzPkRlcGFydG1lbnQg
b2YgT2JzdGV0cmljcyBhbmQgR3luYWVjb2xvZ3ksIFN0LiBPbGF2cyBIb3NwaXRhbCwgVHJvbmRo
ZWltIFVuaXZlcnNpdHkgSG9zcGl0YWwsIFRyb25kaGVpbSwgTm9yd2F5IGtpcnN0aS5rLmdhcm5h
c0BudG51Lm5vLiYjeEQ7RGVwYXJ0bWVudCBvZiBQdWJsaWMgSGVhbHRoIGFuZCBOdXJzaW5nLCBO
VE5VIEZhY3VsdHkgb2YgTWVkaWNpbmUgYW5kIEhlYWx0aCBTY2llbmNlcywgVHJvbmRoZWltLCBO
b3J3YXkuJiN4RDtEZXBhcnRtZW50IG9mIENpcmN1bGF0aW9uIGFuZCBNZWRpY2FsIEltYWdpbmcs
IE5UTlUgRmFjdWx0eSBvZiBNZWRpY2luZSBhbmQgSGVhbHRoIFNjaWVuY2VzLCBUcm9uZGhlaW0s
IE5vcndheS4mI3hEO0dlbmVyYWwgUHJhY3RpY2UgUmVzZWFyY2ggVW5pdCwgRGVwYXJ0bWVudCBv
ZiBQdWJsaWMgSGVhbHRoIGFuZCBOdXJzaW5nLCBOVE5VIEZhY3VsdHkgb2YgTWVkaWNpbmUgYW5k
IEhlYWx0aCBTY2llbmNlcywgVHJvbmRoZWltLCBOb3J3YXkuJiN4RDtDbGluaWNhbCBTZXJ2aWNl
cywgU3QuIE9sYXZzIEhvc3BpdGFsLCBUcm9uZGhlaW0gVW5pdmVyc2l0eSBIb3NwaXRhbCwgVHJv
bmRoZWltLCBOb3J3YXkuJiN4RDtUaGUgQ2VudHJhbCBOb3J3YXkgUmVnaW9uYWwgSGVhbHRoIEF1
dGhvcml0eSwgU3Rqb3JkYWwsIE5vcndheS4mI3hEO0RlcGFydG1lbnQgb2YgT2JzdGV0cmljcyBh
bmQgR3luYWVjb2xvZ3ksIFN0LiBPbGF2cyBIb3NwaXRhbCwgVHJvbmRoZWltIFVuaXZlcnNpdHkg
SG9zcGl0YWwsIFRyb25kaGVpbSwgTm9yd2F5LiYjeEQ7RGVwYXJ0bWVudCBvZiBDbGluaWNhbCBh
bmQgTW9sZWN1bGFyIE1lZGljaW5lLCBOVE5VIEZhY3VsdHkgb2YgTWVkaWNpbmUgYW5kIEhlYWx0
aCBTY2llbmNlcywgVHJvbmRoZWltLCBOb3J3YXkuPC9hdXRoLWFkZHJlc3M+PHRpdGxlcz48dGl0
bGU+RWZmZWN0cyBvZiBzdXBlcnZpc2VkIGV4ZXJjaXNlIHRyYWluaW5nIGR1cmluZyBwcmVnbmFu
Y3kgb24gcHN5Y2hvbG9naWNhbCB3ZWxsLWJlaW5nIGFtb25nIG92ZXJ3ZWlnaHQgYW5kIG9iZXNl
IHdvbWVuOiBzZWNvbmRhcnkgYW5hbHlzZXMgb2YgdGhlIEVUSVAtdHJpYWwsIGEgcmFuZG9taXNl
ZCBjb250cm9sbGVkIHRyaWFsPC90aXRsZT48c2Vjb25kYXJ5LXRpdGxlPkJNSiBPcGVuPC9zZWNv
bmRhcnktdGl0bGU+PC90aXRsZXM+PHBlcmlvZGljYWw+PGZ1bGwtdGl0bGU+Qk1KIE9wZW48L2Z1
bGwtdGl0bGU+PC9wZXJpb2RpY2FsPjxwYWdlcz5lMDI4MjUyPC9wYWdlcz48dm9sdW1lPjk8L3Zv
bHVtZT48bnVtYmVyPjExPC9udW1iZXI+PGVkaXRpb24+MjAxOS8xMS8yMzwvZWRpdGlvbj48a2V5
d29yZHM+PGtleXdvcmQ+KmFueGlldHk8L2tleXdvcmQ+PGtleXdvcmQ+KmRlcHJlc3Npb248L2tl
eXdvcmQ+PGtleXdvcmQ+Km1hdGVybmFsIGhlYWx0aDwva2V5d29yZD48a2V5d29yZD4qbWVudGFs
IGhlYWx0aDwva2V5d29yZD48a2V5d29yZD4qcHJlZ25hbmN5IGNvbXBsaWNhdGlvbnM8L2tleXdv
cmQ+PC9rZXl3b3Jkcz48ZGF0ZXM+PHllYXI+MjAxOTwveWVhcj48cHViLWRhdGVzPjxkYXRlPk5v
diAyMTwvZGF0ZT48L3B1Yi1kYXRlcz48L2RhdGVzPjxpc2JuPjIwNDQtNjA1NSAoRWxlY3Ryb25p
YykmI3hEOzIwNDQtNjA1NSAoTGlua2luZyk8L2lzYm4+PGFjY2Vzc2lvbi1udW0+MzE3NTM4NjY8
L2FjY2Vzc2lvbi1udW0+PHVybHM+PHJlbGF0ZWQtdXJscz48dXJsPmh0dHBzOi8vd3d3Lm5jYmku
bmxtLm5paC5nb3YvcHVibWVkLzMxNzUzODY2PC91cmw+PC9yZWxhdGVkLXVybHM+PC91cmxzPjxj
dXN0b20yPlBNQzY4ODY5Njc8L2N1c3RvbTI+PGVsZWN0cm9uaWMtcmVzb3VyY2UtbnVtPjEwLjEx
MzYvYm1qb3Blbi0yMDE4LTAyODI1MjwvZWxlY3Ryb25pYy1yZXNvdXJjZS1udW0+PC9yZWNvcmQ+
PC9DaXRlPjwvRW5kTm90ZT4A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PEVuZE5vdGU+PENpdGU+PEF1dGhvcj5HYXJuw6ZzPC9BdXRob3I+PFllYXI+MjAxODwvWWVhcj48
UmVjTnVtPjEwMjM8L1JlY051bT48RGlzcGxheVRleHQ+PHN0eWxlIGZhY2U9InN1cGVyc2NyaXB0
IiBmb250PSJUcmVidWNoZXQgTVMiIHNpemU9IjkiPjMwNCwzMTQsMzE1LDUzNzwvc3R5bGU+PC9E
aXNwbGF5VGV4dD48cmVjb3JkPjxyZWMtbnVtYmVyPjEwMjM8L3JlYy1udW1iZXI+PGZvcmVpZ24t
a2V5cz48a2V5IGFwcD0iRU4iIGRiLWlkPSJleHZhc3JmeDJkdHJhb2VzYXN4cDJzenN4YTJkZjUw
MjU5MngiIHRpbWVzdGFtcD0iMTU0ODk4MzQ3NiI+MTAyMzwva2V5PjwvZm9yZWlnbi1rZXlzPjxy
ZWYtdHlwZSBuYW1lPSJKb3VybmFsIEFydGljbGUiPjE3PC9yZWYtdHlwZT48Y29udHJpYnV0b3Jz
PjxhdXRob3JzPjxhdXRob3I+R2FybsOmcywgS2lyc3RpIEsuPC9hdXRob3I+PGF1dGhvcj5Nw7hy
a3ZlZCwgU2l2PC9hdXRob3I+PGF1dGhvcj5TYWx2ZXNlbiwgS2plbGwgw4U8L2F1dGhvcj48YXV0
aG9yPlNhbHZlc2VuLCDDmHl2aW5kPC9hdXRob3I+PGF1dGhvcj5Nb2hvbGR0LCBUcmluZTwvYXV0
aG9yPjwvYXV0aG9ycz48L2NvbnRyaWJ1dG9ycz48dGl0bGVzPjx0aXRsZT5FeGVyY2lzZSB0cmFp
bmluZyBkdXJpbmcgcHJlZ25hbmN5IHJlZHVjZXMgY2lyY3VsYXRpbmcgaW5zdWxpbiBsZXZlbHMg
aW4gb3ZlcndlaWdodC9vYmVzZSB3b21lbiBwb3N0cGFydHVtOiBzZWNvbmRhcnkgYW5hbHlzaXMg
b2YgYSByYW5kb21pc2VkIGNvbnRyb2xsZWQgdHJpYWwgKHRoZSBFVElQIHRyaWFsKTwvdGl0bGU+
PHNlY29uZGFyeS10aXRsZT5CTUMgUHJlZ25hbmN5IGFuZCBDaGlsZGJpcnRoPC9zZWNvbmRhcnkt
dGl0bGU+PC90aXRsZXM+PHBlcmlvZGljYWw+PGZ1bGwtdGl0bGU+Qk1DIFByZWduYW5jeSBhbmQg
Q2hpbGRiaXJ0aDwvZnVsbC10aXRsZT48L3BlcmlvZGljYWw+PHZvbHVtZT4xODwvdm9sdW1lPjxu
dW1iZXI+MTwvbnVtYmVyPjxkYXRlcz48eWVhcj4yMDE4PC95ZWFyPjwvZGF0ZXM+PGlzYm4+MTQ3
MS0yMzkzPC9pc2JuPjx1cmxzPjwvdXJscz48ZWxlY3Ryb25pYy1yZXNvdXJjZS1udW0+MTAuMTE4
Ni9zMTI4ODQtMDE3LTE2NTMtNTwvZWxlY3Ryb25pYy1yZXNvdXJjZS1udW0+PC9yZWNvcmQ+PC9D
aXRlPjxDaXRlPjxBdXRob3I+R2FybmFlczwvQXV0aG9yPjxZZWFyPjIwMTY8L1llYXI+PFJlY051
bT42ODg8L1JlY051bT48cmVjb3JkPjxyZWMtbnVtYmVyPjY4ODwvcmVjLW51bWJlcj48Zm9yZWln
bi1rZXlzPjxrZXkgYXBwPSJFTiIgZGItaWQ9ImV4dmFzcmZ4MmR0cmFvZXNhc3hwMnN6c3hhMmRm
NTAyNTkyeCIgdGltZXN0YW1wPSIxNTQwNTI3MzkzIj42ODg8L2tleT48L2ZvcmVpZ24ta2V5cz48
cmVmLXR5cGUgbmFtZT0iSm91cm5hbCBBcnRpY2xlIj4xNzwvcmVmLXR5cGU+PGNvbnRyaWJ1dG9y
cz48YXV0aG9ycz48YXV0aG9yPkdhcm5hZXMsIEsuIEsuPC9hdXRob3I+PGF1dGhvcj5Nb3JrdmVk
LCBTLjwvYXV0aG9yPjxhdXRob3I+U2FsdmVzZW4sIE8uPC9hdXRob3I+PGF1dGhvcj5Nb2hvbGR0
LCBULjwvYXV0aG9yPjwvYXV0aG9ycz48L2NvbnRyaWJ1dG9ycz48YXV0aC1hZGRyZXNzPkRlcGFy
dG1lbnQgb2YgQ2lyY3VsYXRpb24gYW5kIE1lZGljYWwgSW1hZ2luZywgTWVkaWNhbCBGYWN1bHR5
LCBOb3J3ZWdpYW4gVW5pdmVyc2l0eSBvZiBTY2llbmNlIGFuZCBUZWNobm9sb2d5IChOVE5VKSwg
VHJvbmRoZWltLCBOb3J3YXkuJiN4RDtEZXBhcnRtZW50IG9mIFB1YmxpYyBIZWFsdGggYW5kIEdl
bmVyYWwgUHJhY3RpY2UsIE1lZGljYWwgRmFjdWx0eSwgTm9yd2VnaWFuIFVuaXZlcnNpdHkgb2Yg
U2NpZW5jZSBhbmQgVGVjaG5vbG9neSAoTlROVSksIFRyb25kaGVpbSwgTm9yd2F5LiYjeEQ7Q2xp
bmljYWwgU2VydmljZSwgU3QuIE9sYXZzIEhvc3BpdGFsLCBUcm9uZGhlaW0gVW5pdmVyc2l0eSBI
b3NwaXRhbCwgVHJvbmRoZWltLCBOb3J3YXkuJiN4RDtEZXBhcnRtZW50IG9mIFdvbWVuJmFwb3M7
cyBIZWFsdGgsIFN0LiBPbGF2cyBIb3NwaXRhbCwgVHJvbmRoZWltIFVuaXZlcnNpdHkgSG9zcGl0
YWwsIFRyb25kaGVpbSwgTm9yd2F5LjwvYXV0aC1hZGRyZXNzPjx0aXRsZXM+PHRpdGxlPkV4ZXJj
aXNlIFRyYWluaW5nIGFuZCBXZWlnaHQgR2FpbiBpbiBPYmVzZSBQcmVnbmFudCBXb21lbjogQSBS
YW5kb21pemVkIENvbnRyb2xsZWQgVHJpYWwgKEVUSVAgVHJpYWwpPC90aXRsZT48c2Vjb25kYXJ5
LXRpdGxlPlBMb1MgTWVkPC9zZWNvbmRhcnktdGl0bGU+PC90aXRsZXM+PHBlcmlvZGljYWw+PGZ1
bGwtdGl0bGU+UExvUyBNZWQ8L2Z1bGwtdGl0bGU+PC9wZXJpb2RpY2FsPjxwYWdlcz5lMTAwMjA3
OTwvcGFnZXM+PHZvbHVtZT4xMzwvdm9sdW1lPjxudW1iZXI+NzwvbnVtYmVyPjxlZGl0aW9uPjIw
MTYvMDcvMjg8L2VkaXRpb24+PGtleXdvcmRzPjxrZXl3b3JkPkFkdWx0PC9rZXl3b3JkPjxrZXl3
b3JkPkJsb29kIFByZXNzdXJlPC9rZXl3b3JkPjxrZXl3b3JkPkRpYWJldGVzLCBHZXN0YXRpb25h
bC9wcmV2ZW50aW9uICZhbXA7IGNvbnRyb2w8L2tleXdvcmQ+PGtleXdvcmQ+RXhlcmNpc2UvcGh5
c2lvbG9neTwva2V5d29yZD48a2V5d29yZD5FeGVyY2lzZSBUaGVyYXB5L2FkdmVyc2UgZWZmZWN0
cy8qbWV0aG9kczwva2V5d29yZD48a2V5d29yZD5GZW1hbGU8L2tleXdvcmQ+PGtleXdvcmQ+SHVt
YW5zPC9rZXl3b3JkPjxrZXl3b3JkPk9iZXNpdHkvKmNvbXBsaWNhdGlvbnMvcHJldmVudGlvbiAm
YW1wOyBjb250cm9sL3RoZXJhcHk8L2tleXdvcmQ+PGtleXdvcmQ+T3ZlcndlaWdodC9jb21wbGlj
YXRpb25zL3ByZXZlbnRpb24gJmFtcDsgY29udHJvbC90aGVyYXB5PC9rZXl3b3JkPjxrZXl3b3Jk
PlByZWduYW5jeTwva2V5d29yZD48a2V5d29yZD5QcmVnbmFuY3kgQ29tcGxpY2F0aW9ucy9wcmV2
ZW50aW9uICZhbXA7IGNvbnRyb2wvKnRoZXJhcHk8L2tleXdvcmQ+PGtleXdvcmQ+VHJlYXRtZW50
IE91dGNvbWU8L2tleXdvcmQ+PGtleXdvcmQ+V2VpZ2h0IEdhaW48L2tleXdvcmQ+PC9rZXl3b3Jk
cz48ZGF0ZXM+PHllYXI+MjAxNjwveWVhcj48cHViLWRhdGVzPjxkYXRlPkp1bDwvZGF0ZT48L3B1
Yi1kYXRlcz48L2RhdGVzPjxpc2JuPjE1NDktMTY3NiAoRWxlY3Ryb25pYykmI3hEOzE1NDktMTI3
NyAoTGlua2luZyk8L2lzYm4+PGFjY2Vzc2lvbi1udW0+Mjc0NTkzNzU8L2FjY2Vzc2lvbi1udW0+
PHVybHM+PHJlbGF0ZWQtdXJscz48dXJsPmh0dHBzOi8vd3d3Lm5jYmkubmxtLm5paC5nb3YvcHVi
bWVkLzI3NDU5Mzc1PC91cmw+PC9yZWxhdGVkLXVybHM+PC91cmxzPjxjdXN0b20yPlBNQzQ5NjEz
OTI8L2N1c3RvbTI+PGVsZWN0cm9uaWMtcmVzb3VyY2UtbnVtPjEwLjEzNzEvam91cm5hbC5wbWVk
LjEwMDIwNzk8L2VsZWN0cm9uaWMtcmVzb3VyY2UtbnVtPjwvcmVjb3JkPjwvQ2l0ZT48Q2l0ZT48
QXV0aG9yPkdhcm5hZXM8L0F1dGhvcj48WWVhcj4yMDE3PC9ZZWFyPjxSZWNOdW0+NjA3PC9SZWNO
dW0+PHJlY29yZD48cmVjLW51bWJlcj42MDc8L3JlYy1udW1iZXI+PGZvcmVpZ24ta2V5cz48a2V5
IGFwcD0iRU4iIGRiLWlkPSJleHZhc3JmeDJkdHJhb2VzYXN4cDJzenN4YTJkZjUwMjU5MngiIHRp
bWVzdGFtcD0iMTUzOTA0ODMzMCI+NjA3PC9rZXk+PGtleSBhcHA9IkVOV2ViIiBkYi1pZD0iIj4w
PC9rZXk+PC9mb3JlaWduLWtleXM+PHJlZi10eXBlIG5hbWU9IkpvdXJuYWwgQXJ0aWNsZSI+MTc8
L3JlZi10eXBlPjxjb250cmlidXRvcnM+PGF1dGhvcnM+PGF1dGhvcj5HYXJuYWVzLCBLLiBLLjwv
YXV0aG9yPjxhdXRob3I+TnlybmVzLCBTLiBBLjwvYXV0aG9yPjxhdXRob3I+U2FsdmVzZW4sIEsu
IEEuPC9hdXRob3I+PGF1dGhvcj5TYWx2ZXNlbiwgTy48L2F1dGhvcj48YXV0aG9yPk1vcmt2ZWQs
IFMuPC9hdXRob3I+PGF1dGhvcj5Nb2hvbGR0LCBULjwvYXV0aG9yPjwvYXV0aG9ycz48L2NvbnRy
aWJ1dG9ycz48YXV0aC1hZGRyZXNzPkRlcGFydG1lbnQgb2YgQ2lyY3VsYXRpb24gYW5kIE1lZGlj
YWwgSW1hZ2luZywgTlROVSwgTm9yd2VnaWFuIFVuaXZlcnNpdHkgb2YgU2NpZW5jZSBhbmQgVGVj
aG5vbG9neSwgVHJvbmRoZWltLCBOb3J3YXkuJiN4RDtEZXBhcnRtZW50IG9mIFBhZWRpYXRyaWNz
LCBTdC4gT2xhdnMgSG9zcGl0YWwsIFRyb25kaGVpbSBVbml2ZXJzaXR5IEhvc3BpdGFsLCBUcm9u
ZGhlaW0sIE5vcndheS4mI3hEO0RlcGFydG1lbnQgb2YgT2JzdGV0cmljcyBhbmQgR3luYWVjb2xv
Z3ksIFN0LiBPbGF2cyBIb3NwaXRhbCwgVHJvbmRoZWltIFVuaXZlcnNpdHkgSG9zcGl0YWwsIFRy
b25kaGVpbSwgTm9yd2F5LiYjeEQ7RGVwYXJ0bWVudCBvZiBMYWJvcmF0b3J5IE1lZGljaW5lLCBD
aGlsZHJlbiZhcG9zO3MgYW5kIFdvbWVuJmFwb3M7cyBIZWFsdGgsIE5vcndlZ2lhbiBVbml2ZXJz
aXR5IG9mIFNjaWVuY2UgYW5kIFRlY2hub2xvZ3ksIFRyb25kaGVpbSwgTm9yd2F5LiYjeEQ7RGVw
YXJ0bWVudCBvZiBQdWJsaWMgSGVhbHRoIGFuZCBHZW5lcmFsIFByYWN0aWNlLCBOVE5VLCBOb3J3
ZWdpYW4gVW5pdmVyc2l0eSBvZiBTY2llbmNlIGFuZCBUZWNobm9sb2d5LCBUcm9uZGhlaW0sIE5v
cndheS4mI3hEO0NsaW5pY2FsIFNlcnZpY2UsIFN0LiBPbGF2cyBIb3NwaXRhbCwgVHJvbmRoZWlt
IFVuaXZlcnNpdHkgSG9zcGl0YWwsIFRyb25kaGVpbSwgTm9yd2F5LjwvYXV0aC1hZGRyZXNzPjx0
aXRsZXM+PHRpdGxlPkVmZmVjdCBvZiBzdXBlcnZpc2VkIGV4ZXJjaXNlIHRyYWluaW5nIGR1cmlu
ZyBwcmVnbmFuY3kgb24gbmVvbmF0YWwgYW5kIG1hdGVybmFsIG91dGNvbWVzIGFtb25nIG92ZXJ3
ZWlnaHQgYW5kIG9iZXNlIHdvbWVuLiBTZWNvbmRhcnkgYW5hbHlzZXMgb2YgdGhlIEVUSVAgdHJp
YWw6IEEgcmFuZG9taXNlZCBjb250cm9sbGVkIHRyaWFsPC90aXRsZT48c2Vjb25kYXJ5LXRpdGxl
PlBMb1MgT25lPC9zZWNvbmRhcnktdGl0bGU+PC90aXRsZXM+PHBlcmlvZGljYWw+PGZ1bGwtdGl0
bGU+UExvUyBPbmU8L2Z1bGwtdGl0bGU+PC9wZXJpb2RpY2FsPjxwYWdlcz5lMDE3MzkzNzwvcGFn
ZXM+PHZvbHVtZT4xMjwvdm9sdW1lPjxudW1iZXI+MzwvbnVtYmVyPjxlZGl0aW9uPjIwMTcvMDMv
MjM8L2VkaXRpb24+PGtleXdvcmRzPjxrZXl3b3JkPkFkdWx0PC9rZXl3b3JkPjxrZXl3b3JkPkJp
cnRoIFdlaWdodDwva2V5d29yZD48a2V5d29yZD5FeGVyY2lzZSBUaGVyYXB5LyptZXRob2RzPC9r
ZXl3b3JkPjxrZXl3b3JkPkZlbWFsZTwva2V5d29yZD48a2V5d29yZD5IdW1hbnM8L2tleXdvcmQ+
PGtleXdvcmQ+SW5mYW50LCBOZXdib3JuPC9rZXl3b3JkPjxrZXl3b3JkPk9iZXNpdHkvKmNvbXBs
aWNhdGlvbnMvKnRoZXJhcHk8L2tleXdvcmQ+PGtleXdvcmQ+T3ZlcndlaWdodC8qY29tcGxpY2F0
aW9ucy8qdGhlcmFweTwva2V5d29yZD48a2V5d29yZD5QcmVnbmFuY3k8L2tleXdvcmQ+PGtleXdv
cmQ+UHJlZ25hbmN5IENvbXBsaWNhdGlvbnMvKnRoZXJhcHk8L2tleXdvcmQ+PGtleXdvcmQ+UHJl
Z25hbmN5IE91dGNvbWU8L2tleXdvcmQ+PC9rZXl3b3Jkcz48ZGF0ZXM+PHllYXI+MjAxNzwveWVh
cj48L2RhdGVzPjxpc2JuPjE5MzItNjIwMyAoRWxlY3Ryb25pYykmI3hEOzE5MzItNjIwMyAoTGlu
a2luZyk8L2lzYm4+PGFjY2Vzc2lvbi1udW0+MjgzMjM4OTM8L2FjY2Vzc2lvbi1udW0+PHVybHM+
PHJlbGF0ZWQtdXJscz48dXJsPmh0dHBzOi8vd3d3Lm5jYmkubmxtLm5paC5nb3YvcHVibWVkLzI4
MzIzODkzPC91cmw+PC9yZWxhdGVkLXVybHM+PC91cmxzPjxjdXN0b20yPlBNQzUzNjAyNTQ8L2N1
c3RvbTI+PGVsZWN0cm9uaWMtcmVzb3VyY2UtbnVtPjEwLjEzNzEvam91cm5hbC5wb25lLjAxNzM5
Mzc8L2VsZWN0cm9uaWMtcmVzb3VyY2UtbnVtPjwvcmVjb3JkPjwvQ2l0ZT48Q2l0ZT48QXV0aG9y
Pkdhcm5hZXM8L0F1dGhvcj48WWVhcj4yMDE5PC9ZZWFyPjxSZWNOdW0+MTkxODwvUmVjTnVtPjxy
ZWNvcmQ+PHJlYy1udW1iZXI+MTkxODwvcmVjLW51bWJlcj48Zm9yZWlnbi1rZXlzPjxrZXkgYXBw
PSJFTiIgZGItaWQ9ImV4dmFzcmZ4MmR0cmFvZXNhc3hwMnN6c3hhMmRmNTAyNTkyeCIgdGltZXN0
YW1wPSIxNTg4NDgzNTU0Ij4xOTE4PC9rZXk+PGtleSBhcHA9IkVOV2ViIiBkYi1pZD0iIj4wPC9r
ZXk+PC9mb3JlaWduLWtleXM+PHJlZi10eXBlIG5hbWU9IkpvdXJuYWwgQXJ0aWNsZSI+MTc8L3Jl
Zi10eXBlPjxjb250cmlidXRvcnM+PGF1dGhvcnM+PGF1dGhvcj5HYXJuYWVzLCBLLiBLLjwvYXV0
aG9yPjxhdXRob3I+SGVsdmlrLCBBLiBTLjwvYXV0aG9yPjxhdXRob3I+U3RhZm5lLCBTLiBOLjwv
YXV0aG9yPjxhdXRob3I+TW9ya3ZlZCwgUy48L2F1dGhvcj48YXV0aG9yPlNhbHZlc2VuLCBLLjwv
YXV0aG9yPjxhdXRob3I+U2FsdmVzZW4sIE8uPC9hdXRob3I+PGF1dGhvcj5Nb2hvbGR0LCBULjwv
YXV0aG9yPjwvYXV0aG9ycz48L2NvbnRyaWJ1dG9ycz48YXV0aC1hZGRyZXNzPkRlcGFydG1lbnQg
b2YgT2JzdGV0cmljcyBhbmQgR3luYWVjb2xvZ3ksIFN0LiBPbGF2cyBIb3NwaXRhbCwgVHJvbmRo
ZWltIFVuaXZlcnNpdHkgSG9zcGl0YWwsIFRyb25kaGVpbSwgTm9yd2F5IGtpcnN0aS5rLmdhcm5h
c0BudG51Lm5vLiYjeEQ7RGVwYXJ0bWVudCBvZiBQdWJsaWMgSGVhbHRoIGFuZCBOdXJzaW5nLCBO
VE5VIEZhY3VsdHkgb2YgTWVkaWNpbmUgYW5kIEhlYWx0aCBTY2llbmNlcywgVHJvbmRoZWltLCBO
b3J3YXkuJiN4RDtEZXBhcnRtZW50IG9mIENpcmN1bGF0aW9uIGFuZCBNZWRpY2FsIEltYWdpbmcs
IE5UTlUgRmFjdWx0eSBvZiBNZWRpY2luZSBhbmQgSGVhbHRoIFNjaWVuY2VzLCBUcm9uZGhlaW0s
IE5vcndheS4mI3hEO0dlbmVyYWwgUHJhY3RpY2UgUmVzZWFyY2ggVW5pdCwgRGVwYXJ0bWVudCBv
ZiBQdWJsaWMgSGVhbHRoIGFuZCBOdXJzaW5nLCBOVE5VIEZhY3VsdHkgb2YgTWVkaWNpbmUgYW5k
IEhlYWx0aCBTY2llbmNlcywgVHJvbmRoZWltLCBOb3J3YXkuJiN4RDtDbGluaWNhbCBTZXJ2aWNl
cywgU3QuIE9sYXZzIEhvc3BpdGFsLCBUcm9uZGhlaW0gVW5pdmVyc2l0eSBIb3NwaXRhbCwgVHJv
bmRoZWltLCBOb3J3YXkuJiN4RDtUaGUgQ2VudHJhbCBOb3J3YXkgUmVnaW9uYWwgSGVhbHRoIEF1
dGhvcml0eSwgU3Rqb3JkYWwsIE5vcndheS4mI3hEO0RlcGFydG1lbnQgb2YgT2JzdGV0cmljcyBh
bmQgR3luYWVjb2xvZ3ksIFN0LiBPbGF2cyBIb3NwaXRhbCwgVHJvbmRoZWltIFVuaXZlcnNpdHkg
SG9zcGl0YWwsIFRyb25kaGVpbSwgTm9yd2F5LiYjeEQ7RGVwYXJ0bWVudCBvZiBDbGluaWNhbCBh
bmQgTW9sZWN1bGFyIE1lZGljaW5lLCBOVE5VIEZhY3VsdHkgb2YgTWVkaWNpbmUgYW5kIEhlYWx0
aCBTY2llbmNlcywgVHJvbmRoZWltLCBOb3J3YXkuPC9hdXRoLWFkZHJlc3M+PHRpdGxlcz48dGl0
bGU+RWZmZWN0cyBvZiBzdXBlcnZpc2VkIGV4ZXJjaXNlIHRyYWluaW5nIGR1cmluZyBwcmVnbmFu
Y3kgb24gcHN5Y2hvbG9naWNhbCB3ZWxsLWJlaW5nIGFtb25nIG92ZXJ3ZWlnaHQgYW5kIG9iZXNl
IHdvbWVuOiBzZWNvbmRhcnkgYW5hbHlzZXMgb2YgdGhlIEVUSVAtdHJpYWwsIGEgcmFuZG9taXNl
ZCBjb250cm9sbGVkIHRyaWFsPC90aXRsZT48c2Vjb25kYXJ5LXRpdGxlPkJNSiBPcGVuPC9zZWNv
bmRhcnktdGl0bGU+PC90aXRsZXM+PHBlcmlvZGljYWw+PGZ1bGwtdGl0bGU+Qk1KIE9wZW48L2Z1
bGwtdGl0bGU+PC9wZXJpb2RpY2FsPjxwYWdlcz5lMDI4MjUyPC9wYWdlcz48dm9sdW1lPjk8L3Zv
bHVtZT48bnVtYmVyPjExPC9udW1iZXI+PGVkaXRpb24+MjAxOS8xMS8yMzwvZWRpdGlvbj48a2V5
d29yZHM+PGtleXdvcmQ+KmFueGlldHk8L2tleXdvcmQ+PGtleXdvcmQ+KmRlcHJlc3Npb248L2tl
eXdvcmQ+PGtleXdvcmQ+Km1hdGVybmFsIGhlYWx0aDwva2V5d29yZD48a2V5d29yZD4qbWVudGFs
IGhlYWx0aDwva2V5d29yZD48a2V5d29yZD4qcHJlZ25hbmN5IGNvbXBsaWNhdGlvbnM8L2tleXdv
cmQ+PC9rZXl3b3Jkcz48ZGF0ZXM+PHllYXI+MjAxOTwveWVhcj48cHViLWRhdGVzPjxkYXRlPk5v
diAyMTwvZGF0ZT48L3B1Yi1kYXRlcz48L2RhdGVzPjxpc2JuPjIwNDQtNjA1NSAoRWxlY3Ryb25p
YykmI3hEOzIwNDQtNjA1NSAoTGlua2luZyk8L2lzYm4+PGFjY2Vzc2lvbi1udW0+MzE3NTM4NjY8
L2FjY2Vzc2lvbi1udW0+PHVybHM+PHJlbGF0ZWQtdXJscz48dXJsPmh0dHBzOi8vd3d3Lm5jYmku
bmxtLm5paC5nb3YvcHVibWVkLzMxNzUzODY2PC91cmw+PC9yZWxhdGVkLXVybHM+PC91cmxzPjxj
dXN0b20yPlBNQzY4ODY5Njc8L2N1c3RvbTI+PGVsZWN0cm9uaWMtcmVzb3VyY2UtbnVtPjEwLjEx
MzYvYm1qb3Blbi0yMDE4LTAyODI1MjwvZWxlY3Ryb25pYy1yZXNvdXJjZS1udW0+PC9yZWNvcmQ+
PC9DaXRlPjwvRW5kTm90ZT4A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Pr>
                <w:rFonts w:eastAsiaTheme="minorHAnsi"/>
                <w:sz w:val="16"/>
                <w:szCs w:val="16"/>
                <w:lang w:val="en-US"/>
              </w:rPr>
            </w:r>
            <w:r>
              <w:rPr>
                <w:rFonts w:eastAsiaTheme="minorHAnsi"/>
                <w:sz w:val="16"/>
                <w:szCs w:val="16"/>
                <w:lang w:val="en-US"/>
              </w:rPr>
              <w:fldChar w:fldCharType="separate"/>
            </w:r>
            <w:r w:rsidR="002747EA" w:rsidRPr="002747EA">
              <w:rPr>
                <w:rFonts w:eastAsiaTheme="minorHAnsi"/>
                <w:noProof/>
                <w:szCs w:val="16"/>
                <w:vertAlign w:val="superscript"/>
                <w:lang w:val="en-US"/>
              </w:rPr>
              <w:t>304,314,315,537</w:t>
            </w:r>
            <w:r>
              <w:rPr>
                <w:rFonts w:eastAsiaTheme="minorHAnsi"/>
                <w:sz w:val="16"/>
                <w:szCs w:val="16"/>
                <w:lang w:val="en-US"/>
              </w:rPr>
              <w:fldChar w:fldCharType="end"/>
            </w:r>
          </w:p>
        </w:tc>
      </w:tr>
      <w:tr w:rsidR="008E765F" w:rsidRPr="00C12274" w14:paraId="0A4C3C91" w14:textId="77777777" w:rsidTr="00BC7AEC">
        <w:trPr>
          <w:cantSplit/>
        </w:trPr>
        <w:tc>
          <w:tcPr>
            <w:tcW w:w="1560" w:type="dxa"/>
            <w:shd w:val="clear" w:color="D9E2F3" w:themeColor="accent1" w:themeTint="33" w:fill="auto"/>
          </w:tcPr>
          <w:p w14:paraId="1DF43DE1"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3DF69B68"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8B4C73D" w14:textId="77777777" w:rsidR="008E765F" w:rsidRPr="00C12274" w:rsidRDefault="008E765F" w:rsidP="00611251">
            <w:pPr>
              <w:pStyle w:val="RCTstable"/>
              <w:keepNext/>
            </w:pPr>
            <w:r w:rsidRPr="00C12274">
              <w:t xml:space="preserve">Participants were randomly allocated 1:1 to the intervention or the control group. Allocation was done using a computer random number generator developed and administrated at the Unit for Applied Clinical Research, NTNU. The randomization had varying block sizes, with the first, the smallest, and the largest block defined by the computer technician at the Unit for Applied Clinical Research. </w:t>
            </w:r>
          </w:p>
        </w:tc>
      </w:tr>
      <w:tr w:rsidR="008E765F" w:rsidRPr="00C12274" w14:paraId="0DAF4073" w14:textId="77777777" w:rsidTr="00BC7AEC">
        <w:trPr>
          <w:cantSplit/>
        </w:trPr>
        <w:tc>
          <w:tcPr>
            <w:tcW w:w="1560" w:type="dxa"/>
            <w:shd w:val="clear" w:color="D9E2F3" w:themeColor="accent1" w:themeTint="33" w:fill="auto"/>
          </w:tcPr>
          <w:p w14:paraId="29BC2C24"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4D19"/>
          </w:tcPr>
          <w:p w14:paraId="32F63406" w14:textId="77777777" w:rsidR="008E765F" w:rsidRPr="00C12274" w:rsidRDefault="008E765F" w:rsidP="00611251">
            <w:pPr>
              <w:keepNext/>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2A36A6F1" w14:textId="77777777" w:rsidR="008E765F" w:rsidRPr="00C12274" w:rsidRDefault="008E765F" w:rsidP="00611251">
            <w:pPr>
              <w:pStyle w:val="RCTstable"/>
              <w:keepNext/>
            </w:pPr>
            <w:r w:rsidRPr="00C12274">
              <w:t>The investigators enrolling the patients (K. K. G. and T. M.) got the allocation results on screen and by e-mail after registration of each new participant into the study and did not have the full randomization list available.</w:t>
            </w:r>
          </w:p>
        </w:tc>
      </w:tr>
      <w:tr w:rsidR="008E765F" w:rsidRPr="00C12274" w14:paraId="5A5FAAFC" w14:textId="77777777" w:rsidTr="00BC7AEC">
        <w:trPr>
          <w:cantSplit/>
        </w:trPr>
        <w:tc>
          <w:tcPr>
            <w:tcW w:w="1560" w:type="dxa"/>
            <w:shd w:val="clear" w:color="D9E2F3" w:themeColor="accent1" w:themeTint="33" w:fill="auto"/>
          </w:tcPr>
          <w:p w14:paraId="1748278A" w14:textId="3179E836" w:rsidR="008E765F" w:rsidRPr="00C12274" w:rsidRDefault="00374FB1" w:rsidP="00611251">
            <w:pPr>
              <w:keepNext/>
              <w:spacing w:before="40" w:after="40" w:line="220" w:lineRule="exact"/>
              <w:rPr>
                <w:sz w:val="16"/>
                <w:szCs w:val="16"/>
              </w:rPr>
            </w:pPr>
            <w:r>
              <w:rPr>
                <w:sz w:val="16"/>
                <w:szCs w:val="16"/>
              </w:rPr>
              <w:t>Performance bias</w:t>
            </w:r>
            <w:r w:rsidR="008E765F" w:rsidRPr="00C12274">
              <w:rPr>
                <w:sz w:val="16"/>
                <w:szCs w:val="16"/>
              </w:rPr>
              <w:t xml:space="preserve"> </w:t>
            </w:r>
          </w:p>
        </w:tc>
        <w:tc>
          <w:tcPr>
            <w:tcW w:w="1275" w:type="dxa"/>
            <w:shd w:val="clear" w:color="D9E2F3" w:themeColor="accent1" w:themeTint="33" w:fill="FFC000" w:themeFill="accent4"/>
          </w:tcPr>
          <w:p w14:paraId="46218F9B" w14:textId="32DE2486" w:rsidR="008E765F" w:rsidRPr="00C12274" w:rsidRDefault="00551123" w:rsidP="00611251">
            <w:pPr>
              <w:keepNext/>
              <w:spacing w:before="40" w:after="40" w:line="220" w:lineRule="exact"/>
              <w:rPr>
                <w:sz w:val="16"/>
                <w:szCs w:val="16"/>
              </w:rPr>
            </w:pPr>
            <w:r>
              <w:rPr>
                <w:sz w:val="16"/>
                <w:szCs w:val="16"/>
              </w:rPr>
              <w:t>Unclear</w:t>
            </w:r>
            <w:r w:rsidR="008E765F" w:rsidRPr="00C12274">
              <w:rPr>
                <w:sz w:val="16"/>
                <w:szCs w:val="16"/>
              </w:rPr>
              <w:t xml:space="preserve"> risk</w:t>
            </w:r>
          </w:p>
        </w:tc>
        <w:tc>
          <w:tcPr>
            <w:tcW w:w="11199" w:type="dxa"/>
            <w:shd w:val="clear" w:color="D9E2F3" w:themeColor="accent1" w:themeTint="33" w:fill="auto"/>
          </w:tcPr>
          <w:p w14:paraId="108F092D" w14:textId="42DC2042" w:rsidR="008E765F" w:rsidRPr="00C12274" w:rsidRDefault="00551123" w:rsidP="00374FB1">
            <w:pPr>
              <w:pStyle w:val="RCTstable"/>
              <w:keepNext/>
            </w:pPr>
            <w:r>
              <w:t>Not described</w:t>
            </w:r>
          </w:p>
        </w:tc>
      </w:tr>
      <w:tr w:rsidR="00486B97" w:rsidRPr="00C12274" w14:paraId="58A7BCA6" w14:textId="77777777" w:rsidTr="00BC7AEC">
        <w:trPr>
          <w:cantSplit/>
        </w:trPr>
        <w:tc>
          <w:tcPr>
            <w:tcW w:w="1560" w:type="dxa"/>
            <w:shd w:val="clear" w:color="D9E2F3" w:themeColor="accent1" w:themeTint="33" w:fill="auto"/>
          </w:tcPr>
          <w:p w14:paraId="56E8707B" w14:textId="77777777" w:rsidR="00486B97" w:rsidRPr="00C12274" w:rsidRDefault="00486B97"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2E2FFD9F" w14:textId="0E11B961" w:rsidR="00486B97" w:rsidRPr="00C12274" w:rsidRDefault="00A449F7" w:rsidP="009740A7">
            <w:pPr>
              <w:keepNext/>
              <w:spacing w:before="40" w:after="40" w:line="220" w:lineRule="exact"/>
              <w:rPr>
                <w:sz w:val="16"/>
                <w:szCs w:val="16"/>
              </w:rPr>
            </w:pPr>
            <w:r>
              <w:rPr>
                <w:sz w:val="16"/>
                <w:szCs w:val="16"/>
              </w:rPr>
              <w:t>Low</w:t>
            </w:r>
            <w:r w:rsidR="00486B97" w:rsidRPr="00C12274">
              <w:rPr>
                <w:sz w:val="16"/>
                <w:szCs w:val="16"/>
              </w:rPr>
              <w:t xml:space="preserve"> risk</w:t>
            </w:r>
          </w:p>
        </w:tc>
        <w:tc>
          <w:tcPr>
            <w:tcW w:w="11199" w:type="dxa"/>
            <w:shd w:val="clear" w:color="D9E2F3" w:themeColor="accent1" w:themeTint="33" w:fill="auto"/>
          </w:tcPr>
          <w:p w14:paraId="02217590" w14:textId="4EBC6D77" w:rsidR="00486B97" w:rsidRPr="00C12274" w:rsidRDefault="00551123" w:rsidP="009740A7">
            <w:pPr>
              <w:pStyle w:val="RCTstable"/>
            </w:pPr>
            <w:r w:rsidRPr="00C12274">
              <w:t xml:space="preserve">Weight measurement at delivery and blood analyses were done by personnel blinded for group allocation. All other assessments and intervention administration were done non-blinded. </w:t>
            </w:r>
            <w:r w:rsidR="00374FB1" w:rsidRPr="00C12274">
              <w:t>The statistician conducting the statistical analyses was blinded for group allocation.</w:t>
            </w:r>
          </w:p>
        </w:tc>
      </w:tr>
      <w:tr w:rsidR="008E765F" w:rsidRPr="00C12274" w14:paraId="5FA289CE" w14:textId="77777777" w:rsidTr="00BC7AEC">
        <w:trPr>
          <w:cantSplit/>
        </w:trPr>
        <w:tc>
          <w:tcPr>
            <w:tcW w:w="1560" w:type="dxa"/>
            <w:shd w:val="clear" w:color="D9E2F3" w:themeColor="accent1" w:themeTint="33" w:fill="auto"/>
          </w:tcPr>
          <w:p w14:paraId="232F62C2"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6BEC84D1"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BB025AF" w14:textId="77777777" w:rsidR="008E765F" w:rsidRPr="00C12274" w:rsidRDefault="008E765F" w:rsidP="00611251">
            <w:pPr>
              <w:pStyle w:val="RCTstable"/>
            </w:pPr>
            <w:r w:rsidRPr="00C12274">
              <w:t>The trial and the principal analyses were based on intention to treat. All available data were used at all time points. We also performed, as described in the original protocol, per protocol analyses including only the women in the exercise group who adhered to the exercise protocol</w:t>
            </w:r>
          </w:p>
        </w:tc>
      </w:tr>
      <w:tr w:rsidR="008E765F" w:rsidRPr="00C12274" w14:paraId="2A17B1C0" w14:textId="77777777" w:rsidTr="00BC7AEC">
        <w:trPr>
          <w:cantSplit/>
        </w:trPr>
        <w:tc>
          <w:tcPr>
            <w:tcW w:w="1560" w:type="dxa"/>
            <w:shd w:val="clear" w:color="D9E2F3" w:themeColor="accent1" w:themeTint="33" w:fill="auto"/>
          </w:tcPr>
          <w:p w14:paraId="798D9EF1"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49176E19"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2E79A50"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47D04F45" w14:textId="77777777" w:rsidTr="00BC7AEC">
        <w:trPr>
          <w:cantSplit/>
        </w:trPr>
        <w:tc>
          <w:tcPr>
            <w:tcW w:w="1560" w:type="dxa"/>
            <w:shd w:val="clear" w:color="D9E2F3" w:themeColor="accent1" w:themeTint="33" w:fill="auto"/>
          </w:tcPr>
          <w:p w14:paraId="6A0ADF8D"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E2F0508"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2CE0D175"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7F586713" w14:textId="77777777" w:rsidTr="00BC7AEC">
        <w:trPr>
          <w:cantSplit/>
        </w:trPr>
        <w:tc>
          <w:tcPr>
            <w:tcW w:w="14034" w:type="dxa"/>
            <w:gridSpan w:val="3"/>
            <w:shd w:val="solid" w:color="D9E2F3" w:themeColor="accent1" w:themeTint="33" w:fill="auto"/>
          </w:tcPr>
          <w:p w14:paraId="1D7DD4C6" w14:textId="2C527D7C"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Garshasbi &amp; Faghih Zadeh 2005</w:t>
            </w:r>
            <w:r>
              <w:rPr>
                <w:rFonts w:eastAsiaTheme="minorHAnsi"/>
                <w:noProof/>
                <w:sz w:val="16"/>
                <w:szCs w:val="16"/>
                <w:lang w:val="en-US"/>
              </w:rPr>
              <w:fldChar w:fldCharType="begin"/>
            </w:r>
            <w:r w:rsidR="002747EA">
              <w:rPr>
                <w:rFonts w:eastAsiaTheme="minorHAnsi"/>
                <w:noProof/>
                <w:sz w:val="16"/>
                <w:szCs w:val="16"/>
                <w:lang w:val="en-US"/>
              </w:rPr>
              <w:instrText xml:space="preserve"> ADDIN EN.CITE &lt;EndNote&gt;&lt;Cite&gt;&lt;Author&gt;Garshasbi&lt;/Author&gt;&lt;Year&gt;2005&lt;/Year&gt;&lt;RecNum&gt;689&lt;/RecNum&gt;&lt;DisplayText&gt;&lt;style face="superscript" font="Trebuchet MS" size="9"&gt;434&lt;/style&gt;&lt;/DisplayText&gt;&lt;record&gt;&lt;rec-number&gt;689&lt;/rec-number&gt;&lt;foreign-keys&gt;&lt;key app="EN" db-id="exvasrfx2dtraoesasxp2szsxa2df502592x" timestamp="1540527420"&gt;689&lt;/key&gt;&lt;/foreign-keys&gt;&lt;ref-type name="Journal Article"&gt;17&lt;/ref-type&gt;&lt;contributors&gt;&lt;authors&gt;&lt;author&gt;Garshasbi, A.&lt;/author&gt;&lt;author&gt;Faghih Zadeh, S.&lt;/author&gt;&lt;/authors&gt;&lt;/contributors&gt;&lt;auth-address&gt;Department of Obstetrics and Gynecology, Shahed University, Faculty of Medicine, 1481973411 Tehran, Iran. agarshasbi@obgyn.net&lt;/auth-address&gt;&lt;titles&gt;&lt;title&gt;The effect of exercise on the intensity of low back pain in pregnant women&lt;/title&gt;&lt;secondary-title&gt;Int J Gynaecol Obstet&lt;/secondary-title&gt;&lt;/titles&gt;&lt;periodical&gt;&lt;full-title&gt;Int J Gynaecol Obstet&lt;/full-title&gt;&lt;/periodical&gt;&lt;pages&gt;271-5&lt;/pages&gt;&lt;volume&gt;88&lt;/volume&gt;&lt;number&gt;3&lt;/number&gt;&lt;edition&gt;2005/03/01&lt;/edition&gt;&lt;keywords&gt;&lt;keyword&gt;Biomechanical Phenomena&lt;/keyword&gt;&lt;keyword&gt;*Exercise Therapy&lt;/keyword&gt;&lt;keyword&gt;Female&lt;/keyword&gt;&lt;keyword&gt;Humans&lt;/keyword&gt;&lt;keyword&gt;Low Back Pain/physiopathology/*prevention &amp;amp; control&lt;/keyword&gt;&lt;keyword&gt;Pregnancy&lt;/keyword&gt;&lt;keyword&gt;Pregnancy Complications/*prevention &amp;amp; control&lt;/keyword&gt;&lt;keyword&gt;Pregnancy Trimester, Second&lt;/keyword&gt;&lt;keyword&gt;Pregnancy Trimester, Third&lt;/keyword&gt;&lt;keyword&gt;Prospective Studies&lt;/keyword&gt;&lt;keyword&gt;Spine/physiopathology&lt;/keyword&gt;&lt;/keywords&gt;&lt;dates&gt;&lt;year&gt;2005&lt;/year&gt;&lt;pub-dates&gt;&lt;date&gt;Mar&lt;/date&gt;&lt;/pub-dates&gt;&lt;/dates&gt;&lt;isbn&gt;0020-7292 (Print)&amp;#xD;0020-7292 (Linking)&lt;/isbn&gt;&lt;accession-num&gt;15733880&lt;/accession-num&gt;&lt;urls&gt;&lt;related-urls&gt;&lt;url&gt;https://www.ncbi.nlm.nih.gov/pubmed/15733880&lt;/url&gt;&lt;/related-urls&gt;&lt;/urls&gt;&lt;electronic-resource-num&gt;10.1016/j.ijgo.2004.12.001&lt;/electronic-resource-num&gt;&lt;/record&gt;&lt;/Cite&gt;&lt;/EndNote&gt;</w:instrText>
            </w:r>
            <w:r>
              <w:rPr>
                <w:rFonts w:eastAsiaTheme="minorHAnsi"/>
                <w:noProof/>
                <w:sz w:val="16"/>
                <w:szCs w:val="16"/>
                <w:lang w:val="en-US"/>
              </w:rPr>
              <w:fldChar w:fldCharType="separate"/>
            </w:r>
            <w:r w:rsidR="002747EA" w:rsidRPr="002747EA">
              <w:rPr>
                <w:rFonts w:eastAsiaTheme="minorHAnsi"/>
                <w:noProof/>
                <w:szCs w:val="16"/>
                <w:vertAlign w:val="superscript"/>
                <w:lang w:val="en-US"/>
              </w:rPr>
              <w:t>434</w:t>
            </w:r>
            <w:r>
              <w:rPr>
                <w:rFonts w:eastAsiaTheme="minorHAnsi"/>
                <w:noProof/>
                <w:sz w:val="16"/>
                <w:szCs w:val="16"/>
                <w:lang w:val="en-US"/>
              </w:rPr>
              <w:fldChar w:fldCharType="end"/>
            </w:r>
          </w:p>
        </w:tc>
      </w:tr>
      <w:tr w:rsidR="008E765F" w:rsidRPr="00C12274" w14:paraId="3B8ED172" w14:textId="77777777" w:rsidTr="00BC7AEC">
        <w:trPr>
          <w:cantSplit/>
        </w:trPr>
        <w:tc>
          <w:tcPr>
            <w:tcW w:w="1560" w:type="dxa"/>
            <w:shd w:val="clear" w:color="D9E2F3" w:themeColor="accent1" w:themeTint="33" w:fill="auto"/>
          </w:tcPr>
          <w:p w14:paraId="7D77381D"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61B0A63F"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0E6A683" w14:textId="77777777" w:rsidR="008E765F" w:rsidRPr="00C12274" w:rsidRDefault="008E765F" w:rsidP="00611251">
            <w:pPr>
              <w:pStyle w:val="RCTstable"/>
              <w:keepNext/>
            </w:pPr>
            <w:r w:rsidRPr="00C12274">
              <w:t>Not described</w:t>
            </w:r>
          </w:p>
        </w:tc>
      </w:tr>
      <w:tr w:rsidR="008E765F" w:rsidRPr="00C12274" w14:paraId="2CEC07FD" w14:textId="77777777" w:rsidTr="00BC7AEC">
        <w:trPr>
          <w:cantSplit/>
        </w:trPr>
        <w:tc>
          <w:tcPr>
            <w:tcW w:w="1560" w:type="dxa"/>
            <w:shd w:val="clear" w:color="D9E2F3" w:themeColor="accent1" w:themeTint="33" w:fill="auto"/>
          </w:tcPr>
          <w:p w14:paraId="7105E4CB"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0A272C8C"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BE4A072" w14:textId="77777777" w:rsidR="008E765F" w:rsidRPr="00C12274" w:rsidRDefault="008E765F" w:rsidP="00611251">
            <w:pPr>
              <w:pStyle w:val="RCTstable"/>
              <w:keepNext/>
            </w:pPr>
            <w:r w:rsidRPr="00C12274">
              <w:t>Using sealed envelopes, the women who accepted the offer were randomized into two groups</w:t>
            </w:r>
          </w:p>
        </w:tc>
      </w:tr>
      <w:tr w:rsidR="008E765F" w:rsidRPr="00C12274" w14:paraId="64DE4EF8" w14:textId="77777777" w:rsidTr="00BC7AEC">
        <w:trPr>
          <w:cantSplit/>
        </w:trPr>
        <w:tc>
          <w:tcPr>
            <w:tcW w:w="1560" w:type="dxa"/>
            <w:shd w:val="clear" w:color="D9E2F3" w:themeColor="accent1" w:themeTint="33" w:fill="auto"/>
          </w:tcPr>
          <w:p w14:paraId="75FB2ED4"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40406484"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015CEC35" w14:textId="77777777" w:rsidR="008E765F" w:rsidRPr="00C12274" w:rsidRDefault="008E765F" w:rsidP="00611251">
            <w:pPr>
              <w:pStyle w:val="RCTstable"/>
              <w:keepNext/>
            </w:pPr>
            <w:r w:rsidRPr="00C12274">
              <w:t>Not described</w:t>
            </w:r>
          </w:p>
        </w:tc>
      </w:tr>
      <w:tr w:rsidR="00722F2A" w:rsidRPr="00C12274" w14:paraId="376E6C97" w14:textId="77777777" w:rsidTr="00BC7AEC">
        <w:trPr>
          <w:cantSplit/>
        </w:trPr>
        <w:tc>
          <w:tcPr>
            <w:tcW w:w="1560" w:type="dxa"/>
            <w:shd w:val="clear" w:color="D9E2F3" w:themeColor="accent1" w:themeTint="33" w:fill="auto"/>
          </w:tcPr>
          <w:p w14:paraId="073EC987" w14:textId="77777777" w:rsidR="00722F2A" w:rsidRPr="00C12274" w:rsidRDefault="00722F2A"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0EC60475" w14:textId="50AF4704" w:rsidR="00722F2A" w:rsidRPr="00C12274" w:rsidRDefault="00FE54AE" w:rsidP="009740A7">
            <w:pPr>
              <w:keepNext/>
              <w:spacing w:before="40" w:after="40" w:line="220" w:lineRule="exact"/>
              <w:rPr>
                <w:sz w:val="16"/>
                <w:szCs w:val="16"/>
              </w:rPr>
            </w:pPr>
            <w:r>
              <w:rPr>
                <w:sz w:val="16"/>
                <w:szCs w:val="16"/>
              </w:rPr>
              <w:t>Unclear</w:t>
            </w:r>
            <w:r w:rsidR="00722F2A" w:rsidRPr="00C12274">
              <w:rPr>
                <w:sz w:val="16"/>
                <w:szCs w:val="16"/>
              </w:rPr>
              <w:t xml:space="preserve"> risk</w:t>
            </w:r>
          </w:p>
        </w:tc>
        <w:tc>
          <w:tcPr>
            <w:tcW w:w="11199" w:type="dxa"/>
            <w:shd w:val="clear" w:color="D9E2F3" w:themeColor="accent1" w:themeTint="33" w:fill="auto"/>
          </w:tcPr>
          <w:p w14:paraId="5DA5A9C2" w14:textId="293607FD" w:rsidR="00722F2A" w:rsidRPr="00C12274" w:rsidRDefault="00FE54AE" w:rsidP="009740A7">
            <w:pPr>
              <w:pStyle w:val="RCTstable"/>
            </w:pPr>
            <w:r>
              <w:t>Not described</w:t>
            </w:r>
          </w:p>
        </w:tc>
      </w:tr>
      <w:tr w:rsidR="008E765F" w:rsidRPr="00C12274" w14:paraId="34DA6B30" w14:textId="77777777" w:rsidTr="00BC7AEC">
        <w:trPr>
          <w:cantSplit/>
        </w:trPr>
        <w:tc>
          <w:tcPr>
            <w:tcW w:w="1560" w:type="dxa"/>
            <w:shd w:val="clear" w:color="D9E2F3" w:themeColor="accent1" w:themeTint="33" w:fill="auto"/>
          </w:tcPr>
          <w:p w14:paraId="3F887642"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712D9212"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C49C368" w14:textId="77777777" w:rsidR="008E765F" w:rsidRPr="00C12274" w:rsidRDefault="008E765F" w:rsidP="00611251">
            <w:pPr>
              <w:pStyle w:val="RCTstable"/>
            </w:pPr>
            <w:r w:rsidRPr="00C12274">
              <w:t>“Fifty-four women in the exercise group were excluded due to exclusion criteria of study”</w:t>
            </w:r>
          </w:p>
        </w:tc>
      </w:tr>
      <w:tr w:rsidR="008E765F" w:rsidRPr="00C12274" w14:paraId="4A38CBDB" w14:textId="77777777" w:rsidTr="00BC7AEC">
        <w:trPr>
          <w:cantSplit/>
        </w:trPr>
        <w:tc>
          <w:tcPr>
            <w:tcW w:w="1560" w:type="dxa"/>
            <w:shd w:val="clear" w:color="D9E2F3" w:themeColor="accent1" w:themeTint="33" w:fill="auto"/>
          </w:tcPr>
          <w:p w14:paraId="3A4ED466"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7D371D39"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669218C"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67F7C7EC" w14:textId="77777777" w:rsidTr="00BC7AEC">
        <w:trPr>
          <w:cantSplit/>
        </w:trPr>
        <w:tc>
          <w:tcPr>
            <w:tcW w:w="1560" w:type="dxa"/>
            <w:shd w:val="clear" w:color="D9E2F3" w:themeColor="accent1" w:themeTint="33" w:fill="auto"/>
          </w:tcPr>
          <w:p w14:paraId="7FF15BC8"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95B15F1"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6665BC5A"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2EB9B6E2" w14:textId="77777777" w:rsidTr="00BC7AEC">
        <w:trPr>
          <w:cantSplit/>
        </w:trPr>
        <w:tc>
          <w:tcPr>
            <w:tcW w:w="14034" w:type="dxa"/>
            <w:gridSpan w:val="3"/>
            <w:shd w:val="solid" w:color="D9E2F3" w:themeColor="accent1" w:themeTint="33" w:fill="auto"/>
          </w:tcPr>
          <w:p w14:paraId="27BD92E9" w14:textId="6E54BB7E"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Guelfi et al 2016</w:t>
            </w:r>
            <w:r>
              <w:rPr>
                <w:rFonts w:eastAsiaTheme="minorHAnsi"/>
                <w:noProof/>
                <w:sz w:val="16"/>
                <w:szCs w:val="16"/>
                <w:lang w:val="en-US"/>
              </w:rPr>
              <w:fldChar w:fldCharType="begin"/>
            </w:r>
            <w:r w:rsidR="002747EA">
              <w:rPr>
                <w:rFonts w:eastAsiaTheme="minorHAnsi"/>
                <w:noProof/>
                <w:sz w:val="16"/>
                <w:szCs w:val="16"/>
                <w:lang w:val="en-US"/>
              </w:rPr>
              <w:instrText xml:space="preserve"> ADDIN EN.CITE &lt;EndNote&gt;&lt;Cite&gt;&lt;Author&gt;Guelfi&lt;/Author&gt;&lt;Year&gt;2016&lt;/Year&gt;&lt;RecNum&gt;723&lt;/RecNum&gt;&lt;DisplayText&gt;&lt;style face="superscript" font="Trebuchet MS" size="9"&gt;271&lt;/style&gt;&lt;/DisplayText&gt;&lt;record&gt;&lt;rec-number&gt;723&lt;/rec-number&gt;&lt;foreign-keys&gt;&lt;key app="EN" db-id="exvasrfx2dtraoesasxp2szsxa2df502592x" timestamp="1541464880"&gt;723&lt;/key&gt;&lt;/foreign-keys&gt;&lt;ref-type name="Journal Article"&gt;17&lt;/ref-type&gt;&lt;contributors&gt;&lt;authors&gt;&lt;author&gt;Guelfi, K. J.&lt;/author&gt;&lt;author&gt;Ong, M. J.&lt;/author&gt;&lt;author&gt;Crisp, N. A.&lt;/author&gt;&lt;author&gt;Fournier, P. A.&lt;/author&gt;&lt;author&gt;Wallman, K. E.&lt;/author&gt;&lt;author&gt;Grove, J. R.&lt;/author&gt;&lt;author&gt;Doherty, D. A.&lt;/author&gt;&lt;author&gt;Newnham, J. P.&lt;/author&gt;&lt;/authors&gt;&lt;/contributors&gt;&lt;auth-address&gt;School of Sport Science, Exercise and Health and the School of Women&amp;apos;s and Infants&amp;apos; Health, the University of Western Australia, Perth, Western Australia, Australia.&lt;/auth-address&gt;&lt;titles&gt;&lt;title&gt;Regular Exercise to Prevent the Recurrence of Gestational Diabetes Mellitus: A Randomized Controlled Trial&lt;/title&gt;&lt;secondary-title&gt;Obstet Gynecol&lt;/secondary-title&gt;&lt;/titles&gt;&lt;periodical&gt;&lt;full-title&gt;Obstet Gynecol&lt;/full-title&gt;&lt;/periodical&gt;&lt;pages&gt;819-27&lt;/pages&gt;&lt;volume&gt;128&lt;/volume&gt;&lt;number&gt;4&lt;/number&gt;&lt;edition&gt;2016/09/09&lt;/edition&gt;&lt;keywords&gt;&lt;keyword&gt;Adult&lt;/keyword&gt;&lt;keyword&gt;Diabetes, Gestational/blood/*prevention &amp;amp; control&lt;/keyword&gt;&lt;keyword&gt;*Exercise Therapy&lt;/keyword&gt;&lt;keyword&gt;Female&lt;/keyword&gt;&lt;keyword&gt;Glucose Tolerance Test&lt;/keyword&gt;&lt;keyword&gt;Humans&lt;/keyword&gt;&lt;keyword&gt;Pregnancy&lt;/keyword&gt;&lt;keyword&gt;Pregnancy Outcome&lt;/keyword&gt;&lt;keyword&gt;*Prenatal Care&lt;/keyword&gt;&lt;keyword&gt;Recurrence&lt;/keyword&gt;&lt;keyword&gt;Treatment Outcome&lt;/keyword&gt;&lt;/keywords&gt;&lt;dates&gt;&lt;year&gt;2016&lt;/year&gt;&lt;pub-dates&gt;&lt;date&gt;Oct&lt;/date&gt;&lt;/pub-dates&gt;&lt;/dates&gt;&lt;isbn&gt;1873-233X (Electronic)&amp;#xD;0029-7844 (Linking)&lt;/isbn&gt;&lt;accession-num&gt;27607876&lt;/accession-num&gt;&lt;urls&gt;&lt;related-urls&gt;&lt;url&gt;https://www.ncbi.nlm.nih.gov/pubmed/27607876&lt;/url&gt;&lt;/related-urls&gt;&lt;/urls&gt;&lt;electronic-resource-num&gt;10.1097/AOG.0000000000001632&lt;/electronic-resource-num&gt;&lt;/record&gt;&lt;/Cite&gt;&lt;/EndNote&gt;</w:instrText>
            </w:r>
            <w:r>
              <w:rPr>
                <w:rFonts w:eastAsiaTheme="minorHAnsi"/>
                <w:noProof/>
                <w:sz w:val="16"/>
                <w:szCs w:val="16"/>
                <w:lang w:val="en-US"/>
              </w:rPr>
              <w:fldChar w:fldCharType="separate"/>
            </w:r>
            <w:r w:rsidR="002747EA" w:rsidRPr="002747EA">
              <w:rPr>
                <w:rFonts w:eastAsiaTheme="minorHAnsi"/>
                <w:noProof/>
                <w:szCs w:val="16"/>
                <w:vertAlign w:val="superscript"/>
                <w:lang w:val="en-US"/>
              </w:rPr>
              <w:t>271</w:t>
            </w:r>
            <w:r>
              <w:rPr>
                <w:rFonts w:eastAsiaTheme="minorHAnsi"/>
                <w:noProof/>
                <w:sz w:val="16"/>
                <w:szCs w:val="16"/>
                <w:lang w:val="en-US"/>
              </w:rPr>
              <w:fldChar w:fldCharType="end"/>
            </w:r>
          </w:p>
        </w:tc>
      </w:tr>
      <w:tr w:rsidR="008E765F" w:rsidRPr="00C12274" w14:paraId="0DB0C4C7" w14:textId="77777777" w:rsidTr="00BC7AEC">
        <w:trPr>
          <w:cantSplit/>
        </w:trPr>
        <w:tc>
          <w:tcPr>
            <w:tcW w:w="1560" w:type="dxa"/>
            <w:shd w:val="clear" w:color="D9E2F3" w:themeColor="accent1" w:themeTint="33" w:fill="auto"/>
          </w:tcPr>
          <w:p w14:paraId="25A9C575"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7D08ECAC"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A6C7426" w14:textId="77777777" w:rsidR="008E765F" w:rsidRPr="00C12274" w:rsidRDefault="008E765F" w:rsidP="00611251">
            <w:pPr>
              <w:pStyle w:val="RCTstable"/>
              <w:keepNext/>
            </w:pPr>
            <w:r w:rsidRPr="00C12274">
              <w:t>Eligible women were randomized using a custom-designed computer program on a dedicated laptop that stratified by body mass index (calculated as weight (kg)/[height (m)]</w:t>
            </w:r>
            <w:r w:rsidRPr="00C12274">
              <w:rPr>
                <w:sz w:val="10"/>
                <w:szCs w:val="10"/>
              </w:rPr>
              <w:t>2</w:t>
            </w:r>
            <w:r w:rsidRPr="00C12274">
              <w:t>, less than 30, 30</w:t>
            </w:r>
            <w:r w:rsidRPr="00C12274">
              <w:rPr>
                <w:rFonts w:ascii="Helvetica" w:hAnsi="Helvetica"/>
              </w:rPr>
              <w:t>–</w:t>
            </w:r>
            <w:r w:rsidRPr="00C12274">
              <w:t>34.9, or greater than 35) and maternal age (younger than or 35 years or older).</w:t>
            </w:r>
          </w:p>
        </w:tc>
      </w:tr>
      <w:tr w:rsidR="008E765F" w:rsidRPr="00C12274" w14:paraId="708C5576" w14:textId="77777777" w:rsidTr="00BC7AEC">
        <w:trPr>
          <w:cantSplit/>
        </w:trPr>
        <w:tc>
          <w:tcPr>
            <w:tcW w:w="1560" w:type="dxa"/>
            <w:shd w:val="clear" w:color="D9E2F3" w:themeColor="accent1" w:themeTint="33" w:fill="auto"/>
          </w:tcPr>
          <w:p w14:paraId="5179BA25"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45E6EB97"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6E8EB01" w14:textId="77777777" w:rsidR="008E765F" w:rsidRPr="00C12274" w:rsidRDefault="008E765F" w:rsidP="00611251">
            <w:pPr>
              <w:pStyle w:val="RCTstable"/>
              <w:keepNext/>
            </w:pPr>
            <w:r w:rsidRPr="00C12274">
              <w:t>Not described</w:t>
            </w:r>
          </w:p>
        </w:tc>
      </w:tr>
      <w:tr w:rsidR="008E765F" w:rsidRPr="00C12274" w14:paraId="000E9630" w14:textId="77777777" w:rsidTr="00BC7AEC">
        <w:trPr>
          <w:cantSplit/>
        </w:trPr>
        <w:tc>
          <w:tcPr>
            <w:tcW w:w="1560" w:type="dxa"/>
            <w:shd w:val="clear" w:color="D9E2F3" w:themeColor="accent1" w:themeTint="33" w:fill="auto"/>
          </w:tcPr>
          <w:p w14:paraId="52B77060"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625EEAEA"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E66FD41" w14:textId="77777777" w:rsidR="008E765F" w:rsidRPr="00C12274" w:rsidRDefault="008E765F" w:rsidP="00611251">
            <w:pPr>
              <w:pStyle w:val="RCTstable"/>
              <w:keepNext/>
            </w:pPr>
            <w:r w:rsidRPr="00C12274">
              <w:t>Not described</w:t>
            </w:r>
          </w:p>
        </w:tc>
      </w:tr>
      <w:tr w:rsidR="00FE54AE" w:rsidRPr="00C12274" w14:paraId="3E82580E" w14:textId="77777777" w:rsidTr="00BC7AEC">
        <w:trPr>
          <w:cantSplit/>
        </w:trPr>
        <w:tc>
          <w:tcPr>
            <w:tcW w:w="1560" w:type="dxa"/>
            <w:shd w:val="clear" w:color="D9E2F3" w:themeColor="accent1" w:themeTint="33" w:fill="auto"/>
          </w:tcPr>
          <w:p w14:paraId="3E70ABA0" w14:textId="77777777" w:rsidR="00FE54AE" w:rsidRPr="00C12274" w:rsidRDefault="00FE54AE"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0374EA93" w14:textId="77777777" w:rsidR="00FE54AE" w:rsidRPr="00C12274" w:rsidRDefault="00FE54AE" w:rsidP="009740A7">
            <w:pPr>
              <w:keepNext/>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3757CDE3" w14:textId="77777777" w:rsidR="00FE54AE" w:rsidRPr="00C12274" w:rsidRDefault="00FE54AE" w:rsidP="009740A7">
            <w:pPr>
              <w:pStyle w:val="RCTstable"/>
            </w:pPr>
            <w:r>
              <w:t>Not described</w:t>
            </w:r>
          </w:p>
        </w:tc>
      </w:tr>
      <w:tr w:rsidR="008E765F" w:rsidRPr="00C12274" w14:paraId="31E54B14" w14:textId="77777777" w:rsidTr="00BC7AEC">
        <w:trPr>
          <w:cantSplit/>
        </w:trPr>
        <w:tc>
          <w:tcPr>
            <w:tcW w:w="1560" w:type="dxa"/>
            <w:shd w:val="clear" w:color="D9E2F3" w:themeColor="accent1" w:themeTint="33" w:fill="auto"/>
          </w:tcPr>
          <w:p w14:paraId="4AA44E62"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1C5FE01E"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525B033" w14:textId="77777777" w:rsidR="008E765F" w:rsidRPr="00C12274" w:rsidRDefault="008E765F" w:rsidP="00611251">
            <w:pPr>
              <w:pStyle w:val="RCTstable"/>
            </w:pPr>
            <w:r w:rsidRPr="00C12274">
              <w:t>Balanced losses. Statistical analysis was conducted based on intention-to-treat using SPSS.</w:t>
            </w:r>
          </w:p>
        </w:tc>
      </w:tr>
      <w:tr w:rsidR="008E765F" w:rsidRPr="00C12274" w14:paraId="44DEFCA5" w14:textId="77777777" w:rsidTr="00BC7AEC">
        <w:trPr>
          <w:cantSplit/>
        </w:trPr>
        <w:tc>
          <w:tcPr>
            <w:tcW w:w="1560" w:type="dxa"/>
            <w:shd w:val="clear" w:color="D9E2F3" w:themeColor="accent1" w:themeTint="33" w:fill="auto"/>
          </w:tcPr>
          <w:p w14:paraId="447DFABC"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008C82D"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BF443EF"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5237B2C3" w14:textId="77777777" w:rsidTr="00BC7AEC">
        <w:trPr>
          <w:cantSplit/>
        </w:trPr>
        <w:tc>
          <w:tcPr>
            <w:tcW w:w="1560" w:type="dxa"/>
            <w:shd w:val="clear" w:color="D9E2F3" w:themeColor="accent1" w:themeTint="33" w:fill="auto"/>
          </w:tcPr>
          <w:p w14:paraId="398F1118"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408FA6AD"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61FA1655"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35D80780" w14:textId="77777777" w:rsidTr="00BC7AEC">
        <w:trPr>
          <w:cantSplit/>
        </w:trPr>
        <w:tc>
          <w:tcPr>
            <w:tcW w:w="14034" w:type="dxa"/>
            <w:gridSpan w:val="3"/>
            <w:shd w:val="solid" w:color="D9E2F3" w:themeColor="accent1" w:themeTint="33" w:fill="auto"/>
          </w:tcPr>
          <w:p w14:paraId="3DD1D4A8" w14:textId="66627643" w:rsidR="008E765F" w:rsidRPr="00C12274" w:rsidRDefault="008E765F" w:rsidP="002747EA">
            <w:pPr>
              <w:pStyle w:val="Tablecell"/>
              <w:keepNext/>
              <w:spacing w:line="220" w:lineRule="exact"/>
              <w:rPr>
                <w:rFonts w:eastAsiaTheme="minorHAnsi"/>
                <w:b/>
                <w:sz w:val="16"/>
                <w:szCs w:val="16"/>
                <w:lang w:val="en-US"/>
              </w:rPr>
            </w:pPr>
            <w:r>
              <w:rPr>
                <w:rFonts w:eastAsiaTheme="minorHAnsi"/>
                <w:b/>
                <w:noProof/>
                <w:sz w:val="16"/>
                <w:szCs w:val="16"/>
                <w:lang w:val="en-US"/>
              </w:rPr>
              <w:t>Haakstad &amp; Bo 2011</w:t>
            </w:r>
            <w:r>
              <w:rPr>
                <w:rFonts w:eastAsiaTheme="minorHAnsi"/>
                <w:noProof/>
                <w:sz w:val="16"/>
                <w:szCs w:val="16"/>
                <w:lang w:val="en-US"/>
              </w:rPr>
              <w:fldChar w:fldCharType="begin">
                <w:fldData xml:space="preserve">PEVuZE5vdGU+PENpdGU+PEF1dGhvcj5IYWFrc3RhZDwvQXV0aG9yPjxZZWFyPjIwMTE8L1llYXI+
PFJlY051bT42OTE8L1JlY051bT48RGlzcGxheVRleHQ+PHN0eWxlIGZhY2U9InN1cGVyc2NyaXB0
IiBmb250PSJUcmVidWNoZXQgTVMiIHNpemU9IjkiPjI3OCw0MzUsNTM4PC9zdHlsZT48L0Rpc3Bs
YXlUZXh0PjxyZWNvcmQ+PHJlYy1udW1iZXI+NjkxPC9yZWMtbnVtYmVyPjxmb3JlaWduLWtleXM+
PGtleSBhcHA9IkVOIiBkYi1pZD0iZXh2YXNyZngyZHRyYW9lc2FzeHAyc3pzeGEyZGY1MDI1OTJ4
IiB0aW1lc3RhbXA9IjE1NDA1Mjc1MjEiPjY5MTwva2V5PjwvZm9yZWlnbi1rZXlzPjxyZWYtdHlw
ZSBuYW1lPSJKb3VybmFsIEFydGljbGUiPjE3PC9yZWYtdHlwZT48Y29udHJpYnV0b3JzPjxhdXRo
b3JzPjxhdXRob3I+SGFha3N0YWQsIEwuIEEuPC9hdXRob3I+PGF1dGhvcj5CbywgSy48L2F1dGhv
cj48L2F1dGhvcnM+PC9jb250cmlidXRvcnM+PGF1dGgtYWRkcmVzcz5Ob3J3ZWdpYW4gU2Nob29s
IG9mIFNwb3J0IFNjaWVuY2VzLCBEZXBhcnRtZW50IG9mIFNwb3J0cyBNZWRpY2luZSwgVWxsZXZh
bCBTdGFkaW9uIDA4MDYgT3NsbywgTm9yd2F5LiBsYWhhYWtzdGFkQG5paC5ubzwvYXV0aC1hZGRy
ZXNzPjx0aXRsZXM+PHRpdGxlPkV4ZXJjaXNlIGluIHByZWduYW50IHdvbWVuIGFuZCBiaXJ0aCB3
ZWlnaHQ6IGEgcmFuZG9taXplZCBjb250cm9sbGVkIHRyaWFsPC90aXRsZT48c2Vjb25kYXJ5LXRp
dGxlPkJNQyBQcmVnbmFuY3kgQ2hpbGRiaXJ0aDwvc2Vjb25kYXJ5LXRpdGxlPjwvdGl0bGVzPjxw
ZXJpb2RpY2FsPjxmdWxsLXRpdGxlPkJNQyBQcmVnbmFuY3kgQ2hpbGRiaXJ0aDwvZnVsbC10aXRs
ZT48L3BlcmlvZGljYWw+PHBhZ2VzPjY2PC9wYWdlcz48dm9sdW1lPjExPC92b2x1bWU+PGVkaXRp
b24+MjAxMS8xMC8wNDwvZWRpdGlvbj48a2V5d29yZHM+PGtleXdvcmQ+QWR1bHQ8L2tleXdvcmQ+
PGtleXdvcmQ+QXBnYXIgU2NvcmU8L2tleXdvcmQ+PGtleXdvcmQ+KkJpcnRoIFdlaWdodDwva2V5
d29yZD48a2V5d29yZD5Cb2R5IE1hc3MgSW5kZXg8L2tleXdvcmQ+PGtleXdvcmQ+RmVtYWxlPC9r
ZXl3b3JkPjxrZXl3b3JkPkdlc3RhdGlvbmFsIEFnZTwva2V5d29yZD48a2V5d29yZD5IdW1hbnM8
L2tleXdvcmQ+PGtleXdvcmQ+SW5mYW50LCBOZXdib3JuPC9rZXl3b3JkPjxrZXl3b3JkPipNb3Rv
ciBBY3Rpdml0eTwva2V5d29yZD48a2V5d29yZD4qUHJlZ25hbmN5PC9rZXl3b3JkPjxrZXl3b3Jk
PlByZWduYW5jeSBUcmltZXN0ZXIsIFNlY29uZDwva2V5d29yZD48a2V5d29yZD5QcmVnbmFuY3kg
VHJpbWVzdGVyLCBUaGlyZDwva2V5d29yZD48L2tleXdvcmRzPjxkYXRlcz48eWVhcj4yMDExPC95
ZWFyPjxwdWItZGF0ZXM+PGRhdGU+U2VwIDMwPC9kYXRlPjwvcHViLWRhdGVzPjwvZGF0ZXM+PGlz
Ym4+MTQ3MS0yMzkzIChFbGVjdHJvbmljKSYjeEQ7MTQ3MS0yMzkzIChMaW5raW5nKTwvaXNibj48
YWNjZXNzaW9uLW51bT4yMTk2MTUzNDwvYWNjZXNzaW9uLW51bT48dXJscz48cmVsYXRlZC11cmxz
Pjx1cmw+aHR0cHM6Ly93d3cubmNiaS5ubG0ubmloLmdvdi9wdWJtZWQvMjE5NjE1MzQ8L3VybD48
L3JlbGF0ZWQtdXJscz48L3VybHM+PGN1c3RvbTI+UE1DMzE5ODc0MDwvY3VzdG9tMj48ZWxlY3Ry
b25pYy1yZXNvdXJjZS1udW0+MTAuMTE4Ni8xNDcxLTIzOTMtMTEtNjY8L2VsZWN0cm9uaWMtcmVz
b3VyY2UtbnVtPjwvcmVjb3JkPjwvQ2l0ZT48Q2l0ZT48QXV0aG9yPkhhYWtzdGFkPC9BdXRob3I+
PFllYXI+MjAxMTwvWWVhcj48UmVjTnVtPjY5MjwvUmVjTnVtPjxyZWNvcmQ+PHJlYy1udW1iZXI+
NjkyPC9yZWMtbnVtYmVyPjxmb3JlaWduLWtleXM+PGtleSBhcHA9IkVOIiBkYi1pZD0iZXh2YXNy
ZngyZHRyYW9lc2FzeHAyc3pzeGEyZGY1MDI1OTJ4IiB0aW1lc3RhbXA9IjE1NDA1Mjc1MjEiPjY5
Mjwva2V5PjwvZm9yZWlnbi1rZXlzPjxyZWYtdHlwZSBuYW1lPSJKb3VybmFsIEFydGljbGUiPjE3
PC9yZWYtdHlwZT48Y29udHJpYnV0b3JzPjxhdXRob3JzPjxhdXRob3I+SGFha3N0YWQsIEwuIEEu
PC9hdXRob3I+PGF1dGhvcj5CbywgSy48L2F1dGhvcj48L2F1dGhvcnM+PC9jb250cmlidXRvcnM+
PGF1dGgtYWRkcmVzcz5Ob3J3ZWdpYW4gU2Nob29sIG9mIFNwb3J0IFNjaWVuY2VzLCBEZXBhcnRt
ZW50IG9mIFNwb3J0cyBNZWRpY2luZSwgVWxsZXZhbCBTdGFkaW9uLCBPc2xvLCBOb3J3YXkuIGxl
bmUuaGFha3N0YWRAbmloLm5vPC9hdXRoLWFkZHJlc3M+PHRpdGxlcz48dGl0bGU+RWZmZWN0IG9m
IHJlZ3VsYXIgZXhlcmNpc2Ugb24gcHJldmVudGlvbiBvZiBleGNlc3NpdmUgd2VpZ2h0IGdhaW4g
aW4gcHJlZ25hbmN5OiBhIHJhbmRvbWlzZWQgY29udHJvbGxlZCB0cmlhbDwvdGl0bGU+PHNlY29u
ZGFyeS10aXRsZT5FdXIgSiBDb250cmFjZXB0IFJlcHJvZCBIZWFsdGggQ2FyZTwvc2Vjb25kYXJ5
LXRpdGxlPjwvdGl0bGVzPjxwZXJpb2RpY2FsPjxmdWxsLXRpdGxlPkV1ciBKIENvbnRyYWNlcHQg
UmVwcm9kIEhlYWx0aCBDYXJlPC9mdWxsLXRpdGxlPjwvcGVyaW9kaWNhbD48cGFnZXM+MTE2LTI1
PC9wYWdlcz48dm9sdW1lPjE2PC92b2x1bWU+PG51bWJlcj4yPC9udW1iZXI+PGVkaXRpb24+MjAx
MS8wMy8yMzwvZWRpdGlvbj48a2V5d29yZHM+PGtleXdvcmQ+QWR1bHQ8L2tleXdvcmQ+PGtleXdv
cmQ+KkV4ZXJjaXNlPC9rZXl3b3JkPjxrZXl3b3JkPkZlbWFsZTwva2V5d29yZD48a2V5d29yZD4q
SGVhbHRoIEJlaGF2aW9yPC9rZXl3b3JkPjxrZXl3b3JkPkhlYWx0aCBQcm9tb3Rpb24vKm1ldGhv
ZHM8L2tleXdvcmQ+PGtleXdvcmQ+SHVtYW5zPC9rZXl3b3JkPjxrZXl3b3JkPlBvc3RwYXJ0dW0g
UGVyaW9kPC9rZXl3b3JkPjxrZXl3b3JkPlByZWduYW5jeS8qcGh5c2lvbG9neTwva2V5d29yZD48
a2V5d29yZD5QcmVuYXRhbCBDYXJlLyptZXRob2RzPC9rZXl3b3JkPjxrZXl3b3JkPldlaWdodCBH
YWluLypwaHlzaW9sb2d5PC9rZXl3b3JkPjxrZXl3b3JkPllvdW5nIEFkdWx0PC9rZXl3b3JkPjwv
a2V5d29yZHM+PGRhdGVzPjx5ZWFyPjIwMTE8L3llYXI+PHB1Yi1kYXRlcz48ZGF0ZT5BcHI8L2Rh
dGU+PC9wdWItZGF0ZXM+PC9kYXRlcz48aXNibj4xNDczLTA3ODIgKEVsZWN0cm9uaWMpJiN4RDsx
MzYyLTUxODcgKExpbmtpbmcpPC9pc2JuPjxhY2Nlc3Npb24tbnVtPjIxNDE3NTYxPC9hY2Nlc3Np
b24tbnVtPjx1cmxzPjxyZWxhdGVkLXVybHM+PHVybD5odHRwczovL3d3dy5uY2JpLm5sbS5uaWgu
Z292L3B1Ym1lZC8yMTQxNzU2MTwvdXJsPjwvcmVsYXRlZC11cmxzPjwvdXJscz48ZWxlY3Ryb25p
Yy1yZXNvdXJjZS1udW0+MTAuMzEwOS8xMzYyNTE4Ny4yMDExLjU2MDMwNzwvZWxlY3Ryb25pYy1y
ZXNvdXJjZS1udW0+PC9yZWNvcmQ+PC9DaXRlPjxDaXRlPjxBdXRob3I+SGFha3N0YWQ8L0F1dGhv
cj48WWVhcj4yMDE2PC9ZZWFyPjxSZWNOdW0+MTAyNzwvUmVjTnVtPjxyZWNvcmQ+PHJlYy1udW1i
ZXI+MTAyNzwvcmVjLW51bWJlcj48Zm9yZWlnbi1rZXlzPjxrZXkgYXBwPSJFTiIgZGItaWQ9ImV4
dmFzcmZ4MmR0cmFvZXNhc3hwMnN6c3hhMmRmNTAyNTkyeCIgdGltZXN0YW1wPSIxNTQ4OTgzNDc2
Ij4xMDI3PC9rZXk+PC9mb3JlaWduLWtleXM+PHJlZi10eXBlIG5hbWU9IkpvdXJuYWwgQXJ0aWNs
ZSI+MTc8L3JlZi10eXBlPjxjb250cmlidXRvcnM+PGF1dGhvcnM+PGF1dGhvcj5IYWFrc3RhZCwg
TC4gQS48L2F1dGhvcj48YXV0aG9yPlRvcnNldCwgQi48L2F1dGhvcj48YXV0aG9yPkJvLCBLLjwv
YXV0aG9yPjwvYXV0aG9ycz48L2NvbnRyaWJ1dG9ycz48YXV0aC1hZGRyZXNzPk5vcndlZ2lhbiBT
Y2hvb2wgb2YgU3BvcnRzIFNjaWVuY2VzLCBEZXBhcnRtZW50IG9mIFNwb3J0cyBNZWRpY2luZSwg
Tm9yd2F5LiBFbGVjdHJvbmljIGFkZHJlc3M6IGxhaGFha3N0YWRAbmloLm5vLiYjeEQ7Tm9yd2Vn
aWFuIFNjaG9vbCBvZiBTcG9ydHMgU2NpZW5jZXMsIERlcGFydG1lbnQgb2YgU3BvcnRzIE1lZGlj
aW5lLCBOb3J3YXkuIEVsZWN0cm9uaWMgYWRkcmVzczogYi5zLnRvcnNldEBuaWgubm8uJiN4RDtO
b3J3ZWdpYW4gU2Nob29sIG9mIFNwb3J0cyBTY2llbmNlcywgRGVwYXJ0bWVudCBvZiBTcG9ydHMg
TWVkaWNpbmUsIE5vcndheS4gRWxlY3Ryb25pYyBhZGRyZXNzOiBrYXJpLmJvQG5paC5uby48L2F1
dGgtYWRkcmVzcz48dGl0bGVzPjx0aXRsZT5XaGF0IGlzIHRoZSBlZmZlY3Qgb2YgcmVndWxhciBn
cm91cCBleGVyY2lzZSBvbiBtYXRlcm5hbCBwc3ljaG9sb2dpY2FsIG91dGNvbWVzIGFuZCBjb21t
b24gcHJlZ25hbmN5IGNvbXBsYWludHM/IEFuIGFzc2Vzc29yIGJsaW5kZWQgUkNUPC90aXRsZT48
c2Vjb25kYXJ5LXRpdGxlPk1pZHdpZmVyeTwvc2Vjb25kYXJ5LXRpdGxlPjwvdGl0bGVzPjxwZXJp
b2RpY2FsPjxmdWxsLXRpdGxlPk1pZHdpZmVyeTwvZnVsbC10aXRsZT48L3BlcmlvZGljYWw+PHBh
Z2VzPjgxLTY8L3BhZ2VzPjx2b2x1bWU+MzI8L3ZvbHVtZT48ZWRpdGlvbj4yMDE1LzExLzE4PC9l
ZGl0aW9uPjxrZXl3b3Jkcz48a2V5d29yZD5BZHVsdDwva2V5d29yZD48a2V5d29yZD4qRXhlcmNp
c2UvcGh5c2lvbG9neS9wc3ljaG9sb2d5PC9rZXl3b3JkPjxrZXl3b3JkPkZlbWFsZTwva2V5d29y
ZD48a2V5d29yZD5IdW1hbnM8L2tleXdvcmQ+PGtleXdvcmQ+T3V0Y29tZSBBc3Nlc3NtZW50IChI
ZWFsdGggQ2FyZSk8L2tleXdvcmQ+PGtleXdvcmQ+UHJlZ25hbmN5L3BoeXNpb2xvZ3kvKnBzeWNo
b2xvZ3k8L2tleXdvcmQ+PGtleXdvcmQ+UHJlZ25hbmN5IENvbXBsaWNhdGlvbnMvcHN5Y2hvbG9n
eS8qdGhlcmFweTwva2V5d29yZD48a2V5d29yZD4qUXVhbGl0eSBvZiBMaWZlPC9rZXl3b3JkPjxr
ZXl3b3JkPlNpbmdsZS1CbGluZCBNZXRob2Q8L2tleXdvcmQ+PGtleXdvcmQ+RXhlcmNpc2U8L2tl
eXdvcmQ+PGtleXdvcmQ+TWF0ZXJuYWwgd2VsbC1iZWluZzwva2V5d29yZD48a2V5d29yZD5QcmVn
bmFuY3kgY29tcGxhaW50PC9rZXl3b3JkPjxrZXl3b3JkPlByZWduYW5jeSBkZXByZXNzaW9uPC9r
ZXl3b3JkPjxrZXl3b3JkPlF1YWxpdHkgb2YgbGlmZTwva2V5d29yZD48L2tleXdvcmRzPjxkYXRl
cz48eWVhcj4yMDE2PC95ZWFyPjxwdWItZGF0ZXM+PGRhdGU+SmFuPC9kYXRlPjwvcHViLWRhdGVz
PjwvZGF0ZXM+PGlzYm4+MTUzMi0zMDk5IChFbGVjdHJvbmljKSYjeEQ7MDI2Ni02MTM4IChMaW5r
aW5nKTwvaXNibj48YWNjZXNzaW9uLW51bT4yNjU3NDA1MDwvYWNjZXNzaW9uLW51bT48dXJscz48
cmVsYXRlZC11cmxzPjx1cmw+aHR0cHM6Ly93d3cubmNiaS5ubG0ubmloLmdvdi9wdWJtZWQvMjY1
NzQwNTA8L3VybD48L3JlbGF0ZWQtdXJscz48L3VybHM+PGVsZWN0cm9uaWMtcmVzb3VyY2UtbnVt
PjEwLjEwMTYvai5taWR3LjIwMTUuMTAuMDA4PC9lbGVjdHJvbmljLXJlc291cmNlLW51bT48L3Jl
Y29yZD48L0NpdGU+PC9FbmROb3RlPgB=
</w:fldData>
              </w:fldChar>
            </w:r>
            <w:r w:rsidR="002747EA">
              <w:rPr>
                <w:rFonts w:eastAsiaTheme="minorHAnsi"/>
                <w:noProof/>
                <w:sz w:val="16"/>
                <w:szCs w:val="16"/>
                <w:lang w:val="en-US"/>
              </w:rPr>
              <w:instrText xml:space="preserve"> ADDIN EN.CITE </w:instrText>
            </w:r>
            <w:r w:rsidR="002747EA">
              <w:rPr>
                <w:rFonts w:eastAsiaTheme="minorHAnsi"/>
                <w:noProof/>
                <w:sz w:val="16"/>
                <w:szCs w:val="16"/>
                <w:lang w:val="en-US"/>
              </w:rPr>
              <w:fldChar w:fldCharType="begin">
                <w:fldData xml:space="preserve">PEVuZE5vdGU+PENpdGU+PEF1dGhvcj5IYWFrc3RhZDwvQXV0aG9yPjxZZWFyPjIwMTE8L1llYXI+
PFJlY051bT42OTE8L1JlY051bT48RGlzcGxheVRleHQ+PHN0eWxlIGZhY2U9InN1cGVyc2NyaXB0
IiBmb250PSJUcmVidWNoZXQgTVMiIHNpemU9IjkiPjI3OCw0MzUsNTM4PC9zdHlsZT48L0Rpc3Bs
YXlUZXh0PjxyZWNvcmQ+PHJlYy1udW1iZXI+NjkxPC9yZWMtbnVtYmVyPjxmb3JlaWduLWtleXM+
PGtleSBhcHA9IkVOIiBkYi1pZD0iZXh2YXNyZngyZHRyYW9lc2FzeHAyc3pzeGEyZGY1MDI1OTJ4
IiB0aW1lc3RhbXA9IjE1NDA1Mjc1MjEiPjY5MTwva2V5PjwvZm9yZWlnbi1rZXlzPjxyZWYtdHlw
ZSBuYW1lPSJKb3VybmFsIEFydGljbGUiPjE3PC9yZWYtdHlwZT48Y29udHJpYnV0b3JzPjxhdXRo
b3JzPjxhdXRob3I+SGFha3N0YWQsIEwuIEEuPC9hdXRob3I+PGF1dGhvcj5CbywgSy48L2F1dGhv
cj48L2F1dGhvcnM+PC9jb250cmlidXRvcnM+PGF1dGgtYWRkcmVzcz5Ob3J3ZWdpYW4gU2Nob29s
IG9mIFNwb3J0IFNjaWVuY2VzLCBEZXBhcnRtZW50IG9mIFNwb3J0cyBNZWRpY2luZSwgVWxsZXZh
bCBTdGFkaW9uIDA4MDYgT3NsbywgTm9yd2F5LiBsYWhhYWtzdGFkQG5paC5ubzwvYXV0aC1hZGRy
ZXNzPjx0aXRsZXM+PHRpdGxlPkV4ZXJjaXNlIGluIHByZWduYW50IHdvbWVuIGFuZCBiaXJ0aCB3
ZWlnaHQ6IGEgcmFuZG9taXplZCBjb250cm9sbGVkIHRyaWFsPC90aXRsZT48c2Vjb25kYXJ5LXRp
dGxlPkJNQyBQcmVnbmFuY3kgQ2hpbGRiaXJ0aDwvc2Vjb25kYXJ5LXRpdGxlPjwvdGl0bGVzPjxw
ZXJpb2RpY2FsPjxmdWxsLXRpdGxlPkJNQyBQcmVnbmFuY3kgQ2hpbGRiaXJ0aDwvZnVsbC10aXRs
ZT48L3BlcmlvZGljYWw+PHBhZ2VzPjY2PC9wYWdlcz48dm9sdW1lPjExPC92b2x1bWU+PGVkaXRp
b24+MjAxMS8xMC8wNDwvZWRpdGlvbj48a2V5d29yZHM+PGtleXdvcmQ+QWR1bHQ8L2tleXdvcmQ+
PGtleXdvcmQ+QXBnYXIgU2NvcmU8L2tleXdvcmQ+PGtleXdvcmQ+KkJpcnRoIFdlaWdodDwva2V5
d29yZD48a2V5d29yZD5Cb2R5IE1hc3MgSW5kZXg8L2tleXdvcmQ+PGtleXdvcmQ+RmVtYWxlPC9r
ZXl3b3JkPjxrZXl3b3JkPkdlc3RhdGlvbmFsIEFnZTwva2V5d29yZD48a2V5d29yZD5IdW1hbnM8
L2tleXdvcmQ+PGtleXdvcmQ+SW5mYW50LCBOZXdib3JuPC9rZXl3b3JkPjxrZXl3b3JkPipNb3Rv
ciBBY3Rpdml0eTwva2V5d29yZD48a2V5d29yZD4qUHJlZ25hbmN5PC9rZXl3b3JkPjxrZXl3b3Jk
PlByZWduYW5jeSBUcmltZXN0ZXIsIFNlY29uZDwva2V5d29yZD48a2V5d29yZD5QcmVnbmFuY3kg
VHJpbWVzdGVyLCBUaGlyZDwva2V5d29yZD48L2tleXdvcmRzPjxkYXRlcz48eWVhcj4yMDExPC95
ZWFyPjxwdWItZGF0ZXM+PGRhdGU+U2VwIDMwPC9kYXRlPjwvcHViLWRhdGVzPjwvZGF0ZXM+PGlz
Ym4+MTQ3MS0yMzkzIChFbGVjdHJvbmljKSYjeEQ7MTQ3MS0yMzkzIChMaW5raW5nKTwvaXNibj48
YWNjZXNzaW9uLW51bT4yMTk2MTUzNDwvYWNjZXNzaW9uLW51bT48dXJscz48cmVsYXRlZC11cmxz
Pjx1cmw+aHR0cHM6Ly93d3cubmNiaS5ubG0ubmloLmdvdi9wdWJtZWQvMjE5NjE1MzQ8L3VybD48
L3JlbGF0ZWQtdXJscz48L3VybHM+PGN1c3RvbTI+UE1DMzE5ODc0MDwvY3VzdG9tMj48ZWxlY3Ry
b25pYy1yZXNvdXJjZS1udW0+MTAuMTE4Ni8xNDcxLTIzOTMtMTEtNjY8L2VsZWN0cm9uaWMtcmVz
b3VyY2UtbnVtPjwvcmVjb3JkPjwvQ2l0ZT48Q2l0ZT48QXV0aG9yPkhhYWtzdGFkPC9BdXRob3I+
PFllYXI+MjAxMTwvWWVhcj48UmVjTnVtPjY5MjwvUmVjTnVtPjxyZWNvcmQ+PHJlYy1udW1iZXI+
NjkyPC9yZWMtbnVtYmVyPjxmb3JlaWduLWtleXM+PGtleSBhcHA9IkVOIiBkYi1pZD0iZXh2YXNy
ZngyZHRyYW9lc2FzeHAyc3pzeGEyZGY1MDI1OTJ4IiB0aW1lc3RhbXA9IjE1NDA1Mjc1MjEiPjY5
Mjwva2V5PjwvZm9yZWlnbi1rZXlzPjxyZWYtdHlwZSBuYW1lPSJKb3VybmFsIEFydGljbGUiPjE3
PC9yZWYtdHlwZT48Y29udHJpYnV0b3JzPjxhdXRob3JzPjxhdXRob3I+SGFha3N0YWQsIEwuIEEu
PC9hdXRob3I+PGF1dGhvcj5CbywgSy48L2F1dGhvcj48L2F1dGhvcnM+PC9jb250cmlidXRvcnM+
PGF1dGgtYWRkcmVzcz5Ob3J3ZWdpYW4gU2Nob29sIG9mIFNwb3J0IFNjaWVuY2VzLCBEZXBhcnRt
ZW50IG9mIFNwb3J0cyBNZWRpY2luZSwgVWxsZXZhbCBTdGFkaW9uLCBPc2xvLCBOb3J3YXkuIGxl
bmUuaGFha3N0YWRAbmloLm5vPC9hdXRoLWFkZHJlc3M+PHRpdGxlcz48dGl0bGU+RWZmZWN0IG9m
IHJlZ3VsYXIgZXhlcmNpc2Ugb24gcHJldmVudGlvbiBvZiBleGNlc3NpdmUgd2VpZ2h0IGdhaW4g
aW4gcHJlZ25hbmN5OiBhIHJhbmRvbWlzZWQgY29udHJvbGxlZCB0cmlhbDwvdGl0bGU+PHNlY29u
ZGFyeS10aXRsZT5FdXIgSiBDb250cmFjZXB0IFJlcHJvZCBIZWFsdGggQ2FyZTwvc2Vjb25kYXJ5
LXRpdGxlPjwvdGl0bGVzPjxwZXJpb2RpY2FsPjxmdWxsLXRpdGxlPkV1ciBKIENvbnRyYWNlcHQg
UmVwcm9kIEhlYWx0aCBDYXJlPC9mdWxsLXRpdGxlPjwvcGVyaW9kaWNhbD48cGFnZXM+MTE2LTI1
PC9wYWdlcz48dm9sdW1lPjE2PC92b2x1bWU+PG51bWJlcj4yPC9udW1iZXI+PGVkaXRpb24+MjAx
MS8wMy8yMzwvZWRpdGlvbj48a2V5d29yZHM+PGtleXdvcmQ+QWR1bHQ8L2tleXdvcmQ+PGtleXdv
cmQ+KkV4ZXJjaXNlPC9rZXl3b3JkPjxrZXl3b3JkPkZlbWFsZTwva2V5d29yZD48a2V5d29yZD4q
SGVhbHRoIEJlaGF2aW9yPC9rZXl3b3JkPjxrZXl3b3JkPkhlYWx0aCBQcm9tb3Rpb24vKm1ldGhv
ZHM8L2tleXdvcmQ+PGtleXdvcmQ+SHVtYW5zPC9rZXl3b3JkPjxrZXl3b3JkPlBvc3RwYXJ0dW0g
UGVyaW9kPC9rZXl3b3JkPjxrZXl3b3JkPlByZWduYW5jeS8qcGh5c2lvbG9neTwva2V5d29yZD48
a2V5d29yZD5QcmVuYXRhbCBDYXJlLyptZXRob2RzPC9rZXl3b3JkPjxrZXl3b3JkPldlaWdodCBH
YWluLypwaHlzaW9sb2d5PC9rZXl3b3JkPjxrZXl3b3JkPllvdW5nIEFkdWx0PC9rZXl3b3JkPjwv
a2V5d29yZHM+PGRhdGVzPjx5ZWFyPjIwMTE8L3llYXI+PHB1Yi1kYXRlcz48ZGF0ZT5BcHI8L2Rh
dGU+PC9wdWItZGF0ZXM+PC9kYXRlcz48aXNibj4xNDczLTA3ODIgKEVsZWN0cm9uaWMpJiN4RDsx
MzYyLTUxODcgKExpbmtpbmcpPC9pc2JuPjxhY2Nlc3Npb24tbnVtPjIxNDE3NTYxPC9hY2Nlc3Np
b24tbnVtPjx1cmxzPjxyZWxhdGVkLXVybHM+PHVybD5odHRwczovL3d3dy5uY2JpLm5sbS5uaWgu
Z292L3B1Ym1lZC8yMTQxNzU2MTwvdXJsPjwvcmVsYXRlZC11cmxzPjwvdXJscz48ZWxlY3Ryb25p
Yy1yZXNvdXJjZS1udW0+MTAuMzEwOS8xMzYyNTE4Ny4yMDExLjU2MDMwNzwvZWxlY3Ryb25pYy1y
ZXNvdXJjZS1udW0+PC9yZWNvcmQ+PC9DaXRlPjxDaXRlPjxBdXRob3I+SGFha3N0YWQ8L0F1dGhv
cj48WWVhcj4yMDE2PC9ZZWFyPjxSZWNOdW0+MTAyNzwvUmVjTnVtPjxyZWNvcmQ+PHJlYy1udW1i
ZXI+MTAyNzwvcmVjLW51bWJlcj48Zm9yZWlnbi1rZXlzPjxrZXkgYXBwPSJFTiIgZGItaWQ9ImV4
dmFzcmZ4MmR0cmFvZXNhc3hwMnN6c3hhMmRmNTAyNTkyeCIgdGltZXN0YW1wPSIxNTQ4OTgzNDc2
Ij4xMDI3PC9rZXk+PC9mb3JlaWduLWtleXM+PHJlZi10eXBlIG5hbWU9IkpvdXJuYWwgQXJ0aWNs
ZSI+MTc8L3JlZi10eXBlPjxjb250cmlidXRvcnM+PGF1dGhvcnM+PGF1dGhvcj5IYWFrc3RhZCwg
TC4gQS48L2F1dGhvcj48YXV0aG9yPlRvcnNldCwgQi48L2F1dGhvcj48YXV0aG9yPkJvLCBLLjwv
YXV0aG9yPjwvYXV0aG9ycz48L2NvbnRyaWJ1dG9ycz48YXV0aC1hZGRyZXNzPk5vcndlZ2lhbiBT
Y2hvb2wgb2YgU3BvcnRzIFNjaWVuY2VzLCBEZXBhcnRtZW50IG9mIFNwb3J0cyBNZWRpY2luZSwg
Tm9yd2F5LiBFbGVjdHJvbmljIGFkZHJlc3M6IGxhaGFha3N0YWRAbmloLm5vLiYjeEQ7Tm9yd2Vn
aWFuIFNjaG9vbCBvZiBTcG9ydHMgU2NpZW5jZXMsIERlcGFydG1lbnQgb2YgU3BvcnRzIE1lZGlj
aW5lLCBOb3J3YXkuIEVsZWN0cm9uaWMgYWRkcmVzczogYi5zLnRvcnNldEBuaWgubm8uJiN4RDtO
b3J3ZWdpYW4gU2Nob29sIG9mIFNwb3J0cyBTY2llbmNlcywgRGVwYXJ0bWVudCBvZiBTcG9ydHMg
TWVkaWNpbmUsIE5vcndheS4gRWxlY3Ryb25pYyBhZGRyZXNzOiBrYXJpLmJvQG5paC5uby48L2F1
dGgtYWRkcmVzcz48dGl0bGVzPjx0aXRsZT5XaGF0IGlzIHRoZSBlZmZlY3Qgb2YgcmVndWxhciBn
cm91cCBleGVyY2lzZSBvbiBtYXRlcm5hbCBwc3ljaG9sb2dpY2FsIG91dGNvbWVzIGFuZCBjb21t
b24gcHJlZ25hbmN5IGNvbXBsYWludHM/IEFuIGFzc2Vzc29yIGJsaW5kZWQgUkNUPC90aXRsZT48
c2Vjb25kYXJ5LXRpdGxlPk1pZHdpZmVyeTwvc2Vjb25kYXJ5LXRpdGxlPjwvdGl0bGVzPjxwZXJp
b2RpY2FsPjxmdWxsLXRpdGxlPk1pZHdpZmVyeTwvZnVsbC10aXRsZT48L3BlcmlvZGljYWw+PHBh
Z2VzPjgxLTY8L3BhZ2VzPjx2b2x1bWU+MzI8L3ZvbHVtZT48ZWRpdGlvbj4yMDE1LzExLzE4PC9l
ZGl0aW9uPjxrZXl3b3Jkcz48a2V5d29yZD5BZHVsdDwva2V5d29yZD48a2V5d29yZD4qRXhlcmNp
c2UvcGh5c2lvbG9neS9wc3ljaG9sb2d5PC9rZXl3b3JkPjxrZXl3b3JkPkZlbWFsZTwva2V5d29y
ZD48a2V5d29yZD5IdW1hbnM8L2tleXdvcmQ+PGtleXdvcmQ+T3V0Y29tZSBBc3Nlc3NtZW50IChI
ZWFsdGggQ2FyZSk8L2tleXdvcmQ+PGtleXdvcmQ+UHJlZ25hbmN5L3BoeXNpb2xvZ3kvKnBzeWNo
b2xvZ3k8L2tleXdvcmQ+PGtleXdvcmQ+UHJlZ25hbmN5IENvbXBsaWNhdGlvbnMvcHN5Y2hvbG9n
eS8qdGhlcmFweTwva2V5d29yZD48a2V5d29yZD4qUXVhbGl0eSBvZiBMaWZlPC9rZXl3b3JkPjxr
ZXl3b3JkPlNpbmdsZS1CbGluZCBNZXRob2Q8L2tleXdvcmQ+PGtleXdvcmQ+RXhlcmNpc2U8L2tl
eXdvcmQ+PGtleXdvcmQ+TWF0ZXJuYWwgd2VsbC1iZWluZzwva2V5d29yZD48a2V5d29yZD5QcmVn
bmFuY3kgY29tcGxhaW50PC9rZXl3b3JkPjxrZXl3b3JkPlByZWduYW5jeSBkZXByZXNzaW9uPC9r
ZXl3b3JkPjxrZXl3b3JkPlF1YWxpdHkgb2YgbGlmZTwva2V5d29yZD48L2tleXdvcmRzPjxkYXRl
cz48eWVhcj4yMDE2PC95ZWFyPjxwdWItZGF0ZXM+PGRhdGU+SmFuPC9kYXRlPjwvcHViLWRhdGVz
PjwvZGF0ZXM+PGlzYm4+MTUzMi0zMDk5IChFbGVjdHJvbmljKSYjeEQ7MDI2Ni02MTM4IChMaW5r
aW5nKTwvaXNibj48YWNjZXNzaW9uLW51bT4yNjU3NDA1MDwvYWNjZXNzaW9uLW51bT48dXJscz48
cmVsYXRlZC11cmxzPjx1cmw+aHR0cHM6Ly93d3cubmNiaS5ubG0ubmloLmdvdi9wdWJtZWQvMjY1
NzQwNTA8L3VybD48L3JlbGF0ZWQtdXJscz48L3VybHM+PGVsZWN0cm9uaWMtcmVzb3VyY2UtbnVt
PjEwLjEwMTYvai5taWR3LjIwMTUuMTAuMDA4PC9lbGVjdHJvbmljLXJlc291cmNlLW51bT48L3Jl
Y29yZD48L0NpdGU+PC9FbmROb3RlPgB=
</w:fldData>
              </w:fldChar>
            </w:r>
            <w:r w:rsidR="002747EA">
              <w:rPr>
                <w:rFonts w:eastAsiaTheme="minorHAnsi"/>
                <w:noProof/>
                <w:sz w:val="16"/>
                <w:szCs w:val="16"/>
                <w:lang w:val="en-US"/>
              </w:rPr>
              <w:instrText xml:space="preserve"> ADDIN EN.CITE.DATA </w:instrText>
            </w:r>
            <w:r w:rsidR="002747EA">
              <w:rPr>
                <w:rFonts w:eastAsiaTheme="minorHAnsi"/>
                <w:noProof/>
                <w:sz w:val="16"/>
                <w:szCs w:val="16"/>
                <w:lang w:val="en-US"/>
              </w:rPr>
            </w:r>
            <w:r w:rsidR="002747EA">
              <w:rPr>
                <w:rFonts w:eastAsiaTheme="minorHAnsi"/>
                <w:noProof/>
                <w:sz w:val="16"/>
                <w:szCs w:val="16"/>
                <w:lang w:val="en-US"/>
              </w:rPr>
              <w:fldChar w:fldCharType="end"/>
            </w:r>
            <w:r>
              <w:rPr>
                <w:rFonts w:eastAsiaTheme="minorHAnsi"/>
                <w:noProof/>
                <w:sz w:val="16"/>
                <w:szCs w:val="16"/>
                <w:lang w:val="en-US"/>
              </w:rPr>
            </w:r>
            <w:r>
              <w:rPr>
                <w:rFonts w:eastAsiaTheme="minorHAnsi"/>
                <w:noProof/>
                <w:sz w:val="16"/>
                <w:szCs w:val="16"/>
                <w:lang w:val="en-US"/>
              </w:rPr>
              <w:fldChar w:fldCharType="separate"/>
            </w:r>
            <w:r w:rsidR="002747EA" w:rsidRPr="002747EA">
              <w:rPr>
                <w:rFonts w:eastAsiaTheme="minorHAnsi"/>
                <w:noProof/>
                <w:szCs w:val="16"/>
                <w:vertAlign w:val="superscript"/>
                <w:lang w:val="en-US"/>
              </w:rPr>
              <w:t>278,435,538</w:t>
            </w:r>
            <w:r>
              <w:rPr>
                <w:rFonts w:eastAsiaTheme="minorHAnsi"/>
                <w:noProof/>
                <w:sz w:val="16"/>
                <w:szCs w:val="16"/>
                <w:lang w:val="en-US"/>
              </w:rPr>
              <w:fldChar w:fldCharType="end"/>
            </w:r>
          </w:p>
        </w:tc>
      </w:tr>
      <w:tr w:rsidR="008E765F" w:rsidRPr="00C12274" w14:paraId="0B2F0C28" w14:textId="77777777" w:rsidTr="00BC7AEC">
        <w:trPr>
          <w:cantSplit/>
        </w:trPr>
        <w:tc>
          <w:tcPr>
            <w:tcW w:w="1560" w:type="dxa"/>
            <w:shd w:val="clear" w:color="D9E2F3" w:themeColor="accent1" w:themeTint="33" w:fill="auto"/>
          </w:tcPr>
          <w:p w14:paraId="3BA48481"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317C1BE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14690D6" w14:textId="77777777" w:rsidR="008E765F" w:rsidRPr="00C12274" w:rsidRDefault="008E765F" w:rsidP="00611251">
            <w:pPr>
              <w:pStyle w:val="RCTstable"/>
              <w:keepNext/>
            </w:pPr>
            <w:r w:rsidRPr="00C12274">
              <w:t>Used “a simple (not block) computerised randomisation programme”</w:t>
            </w:r>
          </w:p>
        </w:tc>
      </w:tr>
      <w:tr w:rsidR="008E765F" w:rsidRPr="00C12274" w14:paraId="3380DBFC" w14:textId="77777777" w:rsidTr="00BC7AEC">
        <w:trPr>
          <w:cantSplit/>
        </w:trPr>
        <w:tc>
          <w:tcPr>
            <w:tcW w:w="1560" w:type="dxa"/>
            <w:shd w:val="clear" w:color="D9E2F3" w:themeColor="accent1" w:themeTint="33" w:fill="auto"/>
          </w:tcPr>
          <w:p w14:paraId="26F206AB"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2DF68C9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67BB94E" w14:textId="77777777" w:rsidR="008E765F" w:rsidRPr="00C12274" w:rsidRDefault="008E765F" w:rsidP="00611251">
            <w:pPr>
              <w:pStyle w:val="RCTstable"/>
              <w:keepNext/>
            </w:pPr>
            <w:r w:rsidRPr="00C12274">
              <w:t>An independent person...assigned the participants to either an exercise group or a control group.</w:t>
            </w:r>
          </w:p>
        </w:tc>
      </w:tr>
      <w:tr w:rsidR="008E765F" w:rsidRPr="00C12274" w14:paraId="606BAEA8" w14:textId="77777777" w:rsidTr="00BC7AEC">
        <w:trPr>
          <w:cantSplit/>
        </w:trPr>
        <w:tc>
          <w:tcPr>
            <w:tcW w:w="1560" w:type="dxa"/>
            <w:shd w:val="clear" w:color="D9E2F3" w:themeColor="accent1" w:themeTint="33" w:fill="auto"/>
          </w:tcPr>
          <w:p w14:paraId="71843141"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77627B3A" w14:textId="3D3F4E27" w:rsidR="008E765F" w:rsidRPr="00C12274" w:rsidRDefault="00FE54AE"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181E6093" w14:textId="40D06212" w:rsidR="008E765F" w:rsidRPr="00C12274" w:rsidRDefault="008E765F" w:rsidP="00FE54AE">
            <w:pPr>
              <w:pStyle w:val="RCTstable"/>
              <w:keepNext/>
              <w:rPr>
                <w:szCs w:val="24"/>
              </w:rPr>
            </w:pPr>
            <w:r w:rsidRPr="00C12274">
              <w:t>Par</w:t>
            </w:r>
            <w:r w:rsidR="00FE54AE">
              <w:t>ticipant blinding not possible.</w:t>
            </w:r>
            <w:r w:rsidRPr="00C12274">
              <w:t xml:space="preserve"> </w:t>
            </w:r>
          </w:p>
        </w:tc>
      </w:tr>
      <w:tr w:rsidR="00FE54AE" w:rsidRPr="00C12274" w14:paraId="5C4E5C3B" w14:textId="77777777" w:rsidTr="00BC7AEC">
        <w:trPr>
          <w:cantSplit/>
        </w:trPr>
        <w:tc>
          <w:tcPr>
            <w:tcW w:w="1560" w:type="dxa"/>
            <w:shd w:val="clear" w:color="D9E2F3" w:themeColor="accent1" w:themeTint="33" w:fill="auto"/>
          </w:tcPr>
          <w:p w14:paraId="757E7AF1" w14:textId="77777777" w:rsidR="00FE54AE" w:rsidRPr="00C12274" w:rsidRDefault="00FE54AE"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103F638B" w14:textId="3E20744B" w:rsidR="00FE54AE" w:rsidRPr="00C12274" w:rsidRDefault="00FE54AE" w:rsidP="009740A7">
            <w:pPr>
              <w:keepNext/>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6ADA85DD" w14:textId="154F343E" w:rsidR="00FE54AE" w:rsidRPr="00C12274" w:rsidRDefault="00FE54AE" w:rsidP="009740A7">
            <w:pPr>
              <w:pStyle w:val="RCTstable"/>
            </w:pPr>
            <w:r>
              <w:t>P</w:t>
            </w:r>
            <w:r w:rsidRPr="00C12274">
              <w:t>rincipal investigator was blinded to group allocation</w:t>
            </w:r>
            <w:r>
              <w:t>.</w:t>
            </w:r>
          </w:p>
        </w:tc>
      </w:tr>
      <w:tr w:rsidR="008E765F" w:rsidRPr="00C12274" w14:paraId="5DFC60CD" w14:textId="77777777" w:rsidTr="00BC7AEC">
        <w:trPr>
          <w:cantSplit/>
        </w:trPr>
        <w:tc>
          <w:tcPr>
            <w:tcW w:w="1560" w:type="dxa"/>
            <w:shd w:val="clear" w:color="D9E2F3" w:themeColor="accent1" w:themeTint="33" w:fill="auto"/>
          </w:tcPr>
          <w:p w14:paraId="1E185945"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272577AC"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36CBF86" w14:textId="77777777" w:rsidR="008E765F" w:rsidRPr="00C12274" w:rsidRDefault="008E765F" w:rsidP="00611251">
            <w:pPr>
              <w:pStyle w:val="RCTstable"/>
              <w:keepNext/>
              <w:rPr>
                <w:szCs w:val="24"/>
              </w:rPr>
            </w:pPr>
            <w:r w:rsidRPr="00C12274">
              <w:t>Drop-out rates of 19% and 21% in exercise and control arms, respectively. ITT analysis conducted.</w:t>
            </w:r>
          </w:p>
        </w:tc>
      </w:tr>
      <w:tr w:rsidR="008E765F" w:rsidRPr="00C12274" w14:paraId="136AFE8F" w14:textId="77777777" w:rsidTr="00BC7AEC">
        <w:trPr>
          <w:cantSplit/>
        </w:trPr>
        <w:tc>
          <w:tcPr>
            <w:tcW w:w="1560" w:type="dxa"/>
            <w:shd w:val="clear" w:color="D9E2F3" w:themeColor="accent1" w:themeTint="33" w:fill="auto"/>
          </w:tcPr>
          <w:p w14:paraId="361A929B"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FFC000" w:themeFill="accent4"/>
          </w:tcPr>
          <w:p w14:paraId="347720FF"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939A490" w14:textId="77777777" w:rsidR="008E765F" w:rsidRPr="00C12274" w:rsidRDefault="008E765F" w:rsidP="00611251">
            <w:pPr>
              <w:pStyle w:val="RCTstable"/>
            </w:pPr>
            <w:r w:rsidRPr="00C12274">
              <w:t>Could not determine.</w:t>
            </w:r>
          </w:p>
        </w:tc>
      </w:tr>
      <w:tr w:rsidR="008E765F" w:rsidRPr="00C12274" w14:paraId="4AC65FD3" w14:textId="77777777" w:rsidTr="00BC7AEC">
        <w:trPr>
          <w:cantSplit/>
        </w:trPr>
        <w:tc>
          <w:tcPr>
            <w:tcW w:w="1560" w:type="dxa"/>
            <w:shd w:val="clear" w:color="D9E2F3" w:themeColor="accent1" w:themeTint="33" w:fill="auto"/>
          </w:tcPr>
          <w:p w14:paraId="0AB46A0D"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FFC000" w:themeFill="accent4"/>
          </w:tcPr>
          <w:p w14:paraId="46552DBE" w14:textId="77777777" w:rsidR="008E765F" w:rsidRPr="00C12274" w:rsidRDefault="008E765F" w:rsidP="00611251">
            <w:pPr>
              <w:spacing w:before="40" w:after="40" w:line="220" w:lineRule="exact"/>
              <w:rPr>
                <w:sz w:val="16"/>
                <w:szCs w:val="16"/>
                <w:lang w:val="en-US"/>
              </w:rPr>
            </w:pPr>
            <w:r w:rsidRPr="00C12274">
              <w:rPr>
                <w:sz w:val="16"/>
                <w:szCs w:val="16"/>
                <w:lang w:val="en-US"/>
              </w:rPr>
              <w:t>Unclear risk</w:t>
            </w:r>
          </w:p>
        </w:tc>
        <w:tc>
          <w:tcPr>
            <w:tcW w:w="11199" w:type="dxa"/>
            <w:shd w:val="clear" w:color="D9E2F3" w:themeColor="accent1" w:themeTint="33" w:fill="auto"/>
          </w:tcPr>
          <w:p w14:paraId="4CC8B4A1" w14:textId="77777777" w:rsidR="008E765F" w:rsidRPr="00C12274" w:rsidRDefault="008E765F" w:rsidP="00611251">
            <w:pPr>
              <w:pStyle w:val="RCTstable"/>
              <w:rPr>
                <w:szCs w:val="24"/>
              </w:rPr>
            </w:pPr>
            <w:r w:rsidRPr="00C12274">
              <w:t>Denominators in report tables were the total exercise and control group N, despite stating drop-outs in each group of 10 and 11 women, respectively</w:t>
            </w:r>
          </w:p>
        </w:tc>
      </w:tr>
      <w:tr w:rsidR="008E765F" w:rsidRPr="00C12274" w14:paraId="2164E6A4" w14:textId="77777777" w:rsidTr="00BC7AEC">
        <w:trPr>
          <w:cantSplit/>
        </w:trPr>
        <w:tc>
          <w:tcPr>
            <w:tcW w:w="14034" w:type="dxa"/>
            <w:gridSpan w:val="3"/>
            <w:shd w:val="solid" w:color="D9E2F3" w:themeColor="accent1" w:themeTint="33" w:fill="auto"/>
          </w:tcPr>
          <w:p w14:paraId="37570B9A" w14:textId="674B3573"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Hopkins et al 2010</w:t>
            </w:r>
            <w:r>
              <w:rPr>
                <w:noProof/>
                <w:sz w:val="16"/>
                <w:szCs w:val="16"/>
              </w:rPr>
              <w:fldChar w:fldCharType="begin">
                <w:fldData xml:space="preserve">PEVuZE5vdGU+PENpdGU+PEF1dGhvcj5Ib3BraW5zPC9BdXRob3I+PFllYXI+MjAxMDwvWWVhcj48
UmVjTnVtPjY5MzwvUmVjTnVtPjxEaXNwbGF5VGV4dD48c3R5bGUgZmFjZT0ic3VwZXJzY3JpcHQi
IGZvbnQ9IlRyZWJ1Y2hldCBNUyIgc2l6ZT0iOSI+MjcyLDU0MDwvc3R5bGU+PC9EaXNwbGF5VGV4
dD48cmVjb3JkPjxyZWMtbnVtYmVyPjY5MzwvcmVjLW51bWJlcj48Zm9yZWlnbi1rZXlzPjxrZXkg
YXBwPSJFTiIgZGItaWQ9ImV4dmFzcmZ4MmR0cmFvZXNhc3hwMnN6c3hhMmRmNTAyNTkyeCIgdGlt
ZXN0YW1wPSIxNTQwNTMwMDY3Ij42OTM8L2tleT48L2ZvcmVpZ24ta2V5cz48cmVmLXR5cGUgbmFt
ZT0iSm91cm5hbCBBcnRpY2xlIj4xNzwvcmVmLXR5cGU+PGNvbnRyaWJ1dG9ycz48YXV0aG9ycz48
YXV0aG9yPkhvcGtpbnMsIFMuIEEuPC9hdXRob3I+PGF1dGhvcj5CYWxkaSwgSi4gQy48L2F1dGhv
cj48YXV0aG9yPkN1dGZpZWxkLCBXLiBTLjwvYXV0aG9yPjxhdXRob3I+TWNDb3dhbiwgTC48L2F1
dGhvcj48YXV0aG9yPkhvZm1hbiwgUC4gTC48L2F1dGhvcj48L2F1dGhvcnM+PC9jb250cmlidXRv
cnM+PGF1dGgtYWRkcmVzcz5MaWdnaW5zIEluc3RpdHV0ZSwgVGhlIFVuaXZlcnNpdHkgb2YgQXVj
a2xhbmQsIFBPIEJveCA5MjAxOSwgQXVja2xhbmQgMTE0MiwgTmV3IFplYWxhbmQuPC9hdXRoLWFk
ZHJlc3M+PHRpdGxlcz48dGl0bGU+RXhlcmNpc2UgdHJhaW5pbmcgaW4gcHJlZ25hbmN5IHJlZHVj
ZXMgb2Zmc3ByaW5nIHNpemUgd2l0aG91dCBjaGFuZ2VzIGluIG1hdGVybmFsIGluc3VsaW4gc2Vu
c2l0aXZpdHk8L3RpdGxlPjxzZWNvbmRhcnktdGl0bGU+SiBDbGluIEVuZG9jcmlub2wgTWV0YWI8
L3NlY29uZGFyeS10aXRsZT48L3RpdGxlcz48cGVyaW9kaWNhbD48ZnVsbC10aXRsZT5KIENsaW4g
RW5kb2NyaW5vbCBNZXRhYjwvZnVsbC10aXRsZT48L3BlcmlvZGljYWw+PHBhZ2VzPjIwODAtODwv
cGFnZXM+PHZvbHVtZT45NTwvdm9sdW1lPjxudW1iZXI+NTwvbnVtYmVyPjxlZGl0aW9uPjIwMTAv
MDMvMjY8L2VkaXRpb24+PGtleXdvcmRzPjxrZXl3b3JkPkFkdWx0PC9rZXl3b3JkPjxrZXl3b3Jk
PkFlcm9iaW9zaXM8L2tleXdvcmQ+PGtleXdvcmQ+QmljeWNsaW5nPC9rZXl3b3JkPjxrZXl3b3Jk
PipCaXJ0aCBXZWlnaHQ8L2tleXdvcmQ+PGtleXdvcmQ+Qmxvb2QgR2x1Y29zZS9tZXRhYm9saXNt
PC9rZXl3b3JkPjxrZXl3b3JkPkJvZHkgTWFzcyBJbmRleDwva2V5d29yZD48a2V5d29yZD5FeGVy
Y2lzZS8qcGh5c2lvbG9neTwva2V5d29yZD48a2V5d29yZD5GZW1hbGU8L2tleXdvcmQ+PGtleXdv
cmQ+RmV0YWwgQmxvb2QvY2hlbWlzdHJ5PC9rZXl3b3JkPjxrZXl3b3JkPkZldGFsIERldmVsb3Bt
ZW50LypwaHlzaW9sb2d5PC9rZXl3b3JkPjxrZXl3b3JkPkh1bWFuczwva2V5d29yZD48a2V5d29y
ZD5JbmZhbnQsIE5ld2Jvcm48L2tleXdvcmQ+PGtleXdvcmQ+SW5zdWxpbi8qYmxvb2Q8L2tleXdv
cmQ+PGtleXdvcmQ+SW5zdWxpbi1MaWtlIEdyb3d0aCBGYWN0b3IgSS9tZXRhYm9saXNtPC9rZXl3
b3JkPjxrZXl3b3JkPkluc3VsaW4tTGlrZSBHcm93dGggRmFjdG9yIElJL21ldGFib2xpc208L2tl
eXdvcmQ+PGtleXdvcmQ+TWFsZTwva2V5d29yZD48a2V5d29yZD5QcmVnbmFuY3k8L2tleXdvcmQ+
PGtleXdvcmQ+UHJlZ25hbmN5IFRyaW1lc3RlciwgU2Vjb25kPC9rZXl3b3JkPjxrZXl3b3JkPlBy
ZWduYW5jeSBUcmltZXN0ZXIsIFRoaXJkPC9rZXl3b3JkPjxrZXl3b3JkPlV0ZXJ1cy9waHlzaW9s
b2d5PC9rZXl3b3JkPjwva2V5d29yZHM+PGRhdGVzPjx5ZWFyPjIwMTA8L3llYXI+PHB1Yi1kYXRl
cz48ZGF0ZT5NYXk8L2RhdGU+PC9wdWItZGF0ZXM+PC9kYXRlcz48aXNibj4xOTQ1LTcxOTcgKEVs
ZWN0cm9uaWMpJiN4RDswMDIxLTk3MlggKExpbmtpbmcpPC9pc2JuPjxhY2Nlc3Npb24tbnVtPjIw
MzM1NDQ5PC9hY2Nlc3Npb24tbnVtPjx1cmxzPjxyZWxhdGVkLXVybHM+PHVybD5odHRwczovL3d3
dy5uY2JpLm5sbS5uaWguZ292L3B1Ym1lZC8yMDMzNTQ0OTwvdXJsPjwvcmVsYXRlZC11cmxzPjwv
dXJscz48ZWxlY3Ryb25pYy1yZXNvdXJjZS1udW0+MTAuMTIxMC9qYy4yMDA5LTIyNTU8L2VsZWN0
cm9uaWMtcmVzb3VyY2UtbnVtPjwvcmVjb3JkPjwvQ2l0ZT48Q2l0ZT48QXV0aG9yPkhvcGtpbnM8
L0F1dGhvcj48WWVhcj4yMDExPC9ZZWFyPjxSZWNOdW0+NzI4PC9SZWNOdW0+PHJlY29yZD48cmVj
LW51bWJlcj43Mjg8L3JlYy1udW1iZXI+PGZvcmVpZ24ta2V5cz48a2V5IGFwcD0iRU4iIGRiLWlk
PSJleHZhc3JmeDJkdHJhb2VzYXN4cDJzenN4YTJkZjUwMjU5MngiIHRpbWVzdGFtcD0iMTU0MTQ2
NTU5NCI+NzI4PC9rZXk+PC9mb3JlaWduLWtleXM+PHJlZi10eXBlIG5hbWU9IkpvdXJuYWwgQXJ0
aWNsZSI+MTc8L3JlZi10eXBlPjxjb250cmlidXRvcnM+PGF1dGhvcnM+PGF1dGhvcj5Ib3BraW5z
LCBTLiBBLjwvYXV0aG9yPjxhdXRob3I+QmFsZGksIEouIEMuPC9hdXRob3I+PGF1dGhvcj5DdXRm
aWVsZCwgVy4gUy48L2F1dGhvcj48YXV0aG9yPk1jQ293YW4sIEwuPC9hdXRob3I+PGF1dGhvcj5I
b2ZtYW4sIFAuIEwuPC9hdXRob3I+PC9hdXRob3JzPjwvY29udHJpYnV0b3JzPjxhdXRoLWFkZHJl
c3M+TGlnZ2lucyBJbnN0aXR1dGUsIFRoZSBVbml2ZXJzaXR5IG9mIEF1Y2tsYW5kLCBBdWNrbGFu
ZCwgTmV3IFplYWxhbmQuPC9hdXRoLWFkZHJlc3M+PHRpdGxlcz48dGl0bGU+RWZmZWN0cyBvZiBl
eGVyY2lzZSB0cmFpbmluZyBvbiBtYXRlcm5hbCBob3Jtb25hbCBjaGFuZ2VzIGluIHByZWduYW5j
eTwvdGl0bGU+PHNlY29uZGFyeS10aXRsZT5DbGluIEVuZG9jcmlub2wgKE94Zik8L3NlY29uZGFy
eS10aXRsZT48L3RpdGxlcz48cGVyaW9kaWNhbD48ZnVsbC10aXRsZT5DbGluIEVuZG9jcmlub2wg
KE94Zik8L2Z1bGwtdGl0bGU+PC9wZXJpb2RpY2FsPjxwYWdlcz40OTUtNTAwPC9wYWdlcz48dm9s
dW1lPjc0PC92b2x1bWU+PG51bWJlcj40PC9udW1iZXI+PGVkaXRpb24+MjAxMS8wMS8wNTwvZWRp
dGlvbj48a2V5d29yZHM+PGtleXdvcmQ+QWR1bHQ8L2tleXdvcmQ+PGtleXdvcmQ+QmlydGggV2Vp
Z2h0LypwaHlzaW9sb2d5PC9rZXl3b3JkPjxrZXl3b3JkPkV4ZXJjaXNlLypwaHlzaW9sb2d5PC9r
ZXl3b3JkPjxrZXl3b3JkPkZhdHR5IEFjaWRzLCBOb25lc3RlcmlmaWVkL2Jsb29kPC9rZXl3b3Jk
PjxrZXl3b3JkPkZlbWFsZTwva2V5d29yZD48a2V5d29yZD5Ib3Jtb25lcy8qYmxvb2Q8L2tleXdv
cmQ+PGtleXdvcmQ+SHVtYW5zPC9rZXl3b3JkPjxrZXl3b3JkPkluZmFudCwgTmV3Ym9ybjwva2V5
d29yZD48a2V5d29yZD5JbnN1bGluLUxpa2UgR3Jvd3RoIEZhY3RvciBCaW5kaW5nIFByb3RlaW4g
MS9ibG9vZDwva2V5d29yZD48a2V5d29yZD5JbnN1bGluLUxpa2UgR3Jvd3RoIEZhY3RvciBCaW5k
aW5nIFByb3RlaW4gMy9ibG9vZDwva2V5d29yZD48a2V5d29yZD5JbnN1bGluLUxpa2UgR3Jvd3Ro
IEZhY3RvciBJL21ldGFib2xpc208L2tleXdvcmQ+PGtleXdvcmQ+SW5zdWxpbi1MaWtlIEdyb3d0
aCBGYWN0b3IgSUkvbWV0YWJvbGlzbTwva2V5d29yZD48a2V5d29yZD5MZXB0aW4vYmxvb2Q8L2tl
eXdvcmQ+PGtleXdvcmQ+UGxhY2VudGEgR3Jvd3RoIEZhY3Rvcjwva2V5d29yZD48a2V5d29yZD5Q
bGFjZW50YWwgSG9ybW9uZXMvYmxvb2Q8L2tleXdvcmQ+PGtleXdvcmQ+UHJlZ25hbmN5PC9rZXl3
b3JkPjxrZXl3b3JkPlByZWduYW5jeSBQcm90ZWlucy9ibG9vZDwva2V5d29yZD48a2V5d29yZD5Z
b3VuZyBBZHVsdDwva2V5d29yZD48L2tleXdvcmRzPjxkYXRlcz48eWVhcj4yMDExPC95ZWFyPjxw
dWItZGF0ZXM+PGRhdGU+QXByPC9kYXRlPjwvcHViLWRhdGVzPjwvZGF0ZXM+PGlzYm4+MTM2NS0y
MjY1IChFbGVjdHJvbmljKSYjeEQ7MDMwMC0wNjY0IChMaW5raW5nKTwvaXNibj48YWNjZXNzaW9u
LW51bT4yMTE5ODc0MDwvYWNjZXNzaW9uLW51bT48dXJscz48cmVsYXRlZC11cmxzPjx1cmw+aHR0
cHM6Ly93d3cubmNiaS5ubG0ubmloLmdvdi9wdWJtZWQvMjExOTg3NDA8L3VybD48L3JlbGF0ZWQt
dXJscz48L3VybHM+PGVsZWN0cm9uaWMtcmVzb3VyY2UtbnVtPjEwLjExMTEvai4xMzY1LTIyNjUu
MjAxMC4wMzk2NC54PC9lbGVjdHJvbmljLXJlc291cmNlLW51bT48L3JlY29yZD48L0NpdGU+PC9F
bmROb3RlPn==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PEVuZE5vdGU+PENpdGU+PEF1dGhvcj5Ib3BraW5zPC9BdXRob3I+PFllYXI+MjAxMDwvWWVhcj48
UmVjTnVtPjY5MzwvUmVjTnVtPjxEaXNwbGF5VGV4dD48c3R5bGUgZmFjZT0ic3VwZXJzY3JpcHQi
IGZvbnQ9IlRyZWJ1Y2hldCBNUyIgc2l6ZT0iOSI+MjcyLDU0MDwvc3R5bGU+PC9EaXNwbGF5VGV4
dD48cmVjb3JkPjxyZWMtbnVtYmVyPjY5MzwvcmVjLW51bWJlcj48Zm9yZWlnbi1rZXlzPjxrZXkg
YXBwPSJFTiIgZGItaWQ9ImV4dmFzcmZ4MmR0cmFvZXNhc3hwMnN6c3hhMmRmNTAyNTkyeCIgdGlt
ZXN0YW1wPSIxNTQwNTMwMDY3Ij42OTM8L2tleT48L2ZvcmVpZ24ta2V5cz48cmVmLXR5cGUgbmFt
ZT0iSm91cm5hbCBBcnRpY2xlIj4xNzwvcmVmLXR5cGU+PGNvbnRyaWJ1dG9ycz48YXV0aG9ycz48
YXV0aG9yPkhvcGtpbnMsIFMuIEEuPC9hdXRob3I+PGF1dGhvcj5CYWxkaSwgSi4gQy48L2F1dGhv
cj48YXV0aG9yPkN1dGZpZWxkLCBXLiBTLjwvYXV0aG9yPjxhdXRob3I+TWNDb3dhbiwgTC48L2F1
dGhvcj48YXV0aG9yPkhvZm1hbiwgUC4gTC48L2F1dGhvcj48L2F1dGhvcnM+PC9jb250cmlidXRv
cnM+PGF1dGgtYWRkcmVzcz5MaWdnaW5zIEluc3RpdHV0ZSwgVGhlIFVuaXZlcnNpdHkgb2YgQXVj
a2xhbmQsIFBPIEJveCA5MjAxOSwgQXVja2xhbmQgMTE0MiwgTmV3IFplYWxhbmQuPC9hdXRoLWFk
ZHJlc3M+PHRpdGxlcz48dGl0bGU+RXhlcmNpc2UgdHJhaW5pbmcgaW4gcHJlZ25hbmN5IHJlZHVj
ZXMgb2Zmc3ByaW5nIHNpemUgd2l0aG91dCBjaGFuZ2VzIGluIG1hdGVybmFsIGluc3VsaW4gc2Vu
c2l0aXZpdHk8L3RpdGxlPjxzZWNvbmRhcnktdGl0bGU+SiBDbGluIEVuZG9jcmlub2wgTWV0YWI8
L3NlY29uZGFyeS10aXRsZT48L3RpdGxlcz48cGVyaW9kaWNhbD48ZnVsbC10aXRsZT5KIENsaW4g
RW5kb2NyaW5vbCBNZXRhYjwvZnVsbC10aXRsZT48L3BlcmlvZGljYWw+PHBhZ2VzPjIwODAtODwv
cGFnZXM+PHZvbHVtZT45NTwvdm9sdW1lPjxudW1iZXI+NTwvbnVtYmVyPjxlZGl0aW9uPjIwMTAv
MDMvMjY8L2VkaXRpb24+PGtleXdvcmRzPjxrZXl3b3JkPkFkdWx0PC9rZXl3b3JkPjxrZXl3b3Jk
PkFlcm9iaW9zaXM8L2tleXdvcmQ+PGtleXdvcmQ+QmljeWNsaW5nPC9rZXl3b3JkPjxrZXl3b3Jk
PipCaXJ0aCBXZWlnaHQ8L2tleXdvcmQ+PGtleXdvcmQ+Qmxvb2QgR2x1Y29zZS9tZXRhYm9saXNt
PC9rZXl3b3JkPjxrZXl3b3JkPkJvZHkgTWFzcyBJbmRleDwva2V5d29yZD48a2V5d29yZD5FeGVy
Y2lzZS8qcGh5c2lvbG9neTwva2V5d29yZD48a2V5d29yZD5GZW1hbGU8L2tleXdvcmQ+PGtleXdv
cmQ+RmV0YWwgQmxvb2QvY2hlbWlzdHJ5PC9rZXl3b3JkPjxrZXl3b3JkPkZldGFsIERldmVsb3Bt
ZW50LypwaHlzaW9sb2d5PC9rZXl3b3JkPjxrZXl3b3JkPkh1bWFuczwva2V5d29yZD48a2V5d29y
ZD5JbmZhbnQsIE5ld2Jvcm48L2tleXdvcmQ+PGtleXdvcmQ+SW5zdWxpbi8qYmxvb2Q8L2tleXdv
cmQ+PGtleXdvcmQ+SW5zdWxpbi1MaWtlIEdyb3d0aCBGYWN0b3IgSS9tZXRhYm9saXNtPC9rZXl3
b3JkPjxrZXl3b3JkPkluc3VsaW4tTGlrZSBHcm93dGggRmFjdG9yIElJL21ldGFib2xpc208L2tl
eXdvcmQ+PGtleXdvcmQ+TWFsZTwva2V5d29yZD48a2V5d29yZD5QcmVnbmFuY3k8L2tleXdvcmQ+
PGtleXdvcmQ+UHJlZ25hbmN5IFRyaW1lc3RlciwgU2Vjb25kPC9rZXl3b3JkPjxrZXl3b3JkPlBy
ZWduYW5jeSBUcmltZXN0ZXIsIFRoaXJkPC9rZXl3b3JkPjxrZXl3b3JkPlV0ZXJ1cy9waHlzaW9s
b2d5PC9rZXl3b3JkPjwva2V5d29yZHM+PGRhdGVzPjx5ZWFyPjIwMTA8L3llYXI+PHB1Yi1kYXRl
cz48ZGF0ZT5NYXk8L2RhdGU+PC9wdWItZGF0ZXM+PC9kYXRlcz48aXNibj4xOTQ1LTcxOTcgKEVs
ZWN0cm9uaWMpJiN4RDswMDIxLTk3MlggKExpbmtpbmcpPC9pc2JuPjxhY2Nlc3Npb24tbnVtPjIw
MzM1NDQ5PC9hY2Nlc3Npb24tbnVtPjx1cmxzPjxyZWxhdGVkLXVybHM+PHVybD5odHRwczovL3d3
dy5uY2JpLm5sbS5uaWguZ292L3B1Ym1lZC8yMDMzNTQ0OTwvdXJsPjwvcmVsYXRlZC11cmxzPjwv
dXJscz48ZWxlY3Ryb25pYy1yZXNvdXJjZS1udW0+MTAuMTIxMC9qYy4yMDA5LTIyNTU8L2VsZWN0
cm9uaWMtcmVzb3VyY2UtbnVtPjwvcmVjb3JkPjwvQ2l0ZT48Q2l0ZT48QXV0aG9yPkhvcGtpbnM8
L0F1dGhvcj48WWVhcj4yMDExPC9ZZWFyPjxSZWNOdW0+NzI4PC9SZWNOdW0+PHJlY29yZD48cmVj
LW51bWJlcj43Mjg8L3JlYy1udW1iZXI+PGZvcmVpZ24ta2V5cz48a2V5IGFwcD0iRU4iIGRiLWlk
PSJleHZhc3JmeDJkdHJhb2VzYXN4cDJzenN4YTJkZjUwMjU5MngiIHRpbWVzdGFtcD0iMTU0MTQ2
NTU5NCI+NzI4PC9rZXk+PC9mb3JlaWduLWtleXM+PHJlZi10eXBlIG5hbWU9IkpvdXJuYWwgQXJ0
aWNsZSI+MTc8L3JlZi10eXBlPjxjb250cmlidXRvcnM+PGF1dGhvcnM+PGF1dGhvcj5Ib3BraW5z
LCBTLiBBLjwvYXV0aG9yPjxhdXRob3I+QmFsZGksIEouIEMuPC9hdXRob3I+PGF1dGhvcj5DdXRm
aWVsZCwgVy4gUy48L2F1dGhvcj48YXV0aG9yPk1jQ293YW4sIEwuPC9hdXRob3I+PGF1dGhvcj5I
b2ZtYW4sIFAuIEwuPC9hdXRob3I+PC9hdXRob3JzPjwvY29udHJpYnV0b3JzPjxhdXRoLWFkZHJl
c3M+TGlnZ2lucyBJbnN0aXR1dGUsIFRoZSBVbml2ZXJzaXR5IG9mIEF1Y2tsYW5kLCBBdWNrbGFu
ZCwgTmV3IFplYWxhbmQuPC9hdXRoLWFkZHJlc3M+PHRpdGxlcz48dGl0bGU+RWZmZWN0cyBvZiBl
eGVyY2lzZSB0cmFpbmluZyBvbiBtYXRlcm5hbCBob3Jtb25hbCBjaGFuZ2VzIGluIHByZWduYW5j
eTwvdGl0bGU+PHNlY29uZGFyeS10aXRsZT5DbGluIEVuZG9jcmlub2wgKE94Zik8L3NlY29uZGFy
eS10aXRsZT48L3RpdGxlcz48cGVyaW9kaWNhbD48ZnVsbC10aXRsZT5DbGluIEVuZG9jcmlub2wg
KE94Zik8L2Z1bGwtdGl0bGU+PC9wZXJpb2RpY2FsPjxwYWdlcz40OTUtNTAwPC9wYWdlcz48dm9s
dW1lPjc0PC92b2x1bWU+PG51bWJlcj40PC9udW1iZXI+PGVkaXRpb24+MjAxMS8wMS8wNTwvZWRp
dGlvbj48a2V5d29yZHM+PGtleXdvcmQ+QWR1bHQ8L2tleXdvcmQ+PGtleXdvcmQ+QmlydGggV2Vp
Z2h0LypwaHlzaW9sb2d5PC9rZXl3b3JkPjxrZXl3b3JkPkV4ZXJjaXNlLypwaHlzaW9sb2d5PC9r
ZXl3b3JkPjxrZXl3b3JkPkZhdHR5IEFjaWRzLCBOb25lc3RlcmlmaWVkL2Jsb29kPC9rZXl3b3Jk
PjxrZXl3b3JkPkZlbWFsZTwva2V5d29yZD48a2V5d29yZD5Ib3Jtb25lcy8qYmxvb2Q8L2tleXdv
cmQ+PGtleXdvcmQ+SHVtYW5zPC9rZXl3b3JkPjxrZXl3b3JkPkluZmFudCwgTmV3Ym9ybjwva2V5
d29yZD48a2V5d29yZD5JbnN1bGluLUxpa2UgR3Jvd3RoIEZhY3RvciBCaW5kaW5nIFByb3RlaW4g
MS9ibG9vZDwva2V5d29yZD48a2V5d29yZD5JbnN1bGluLUxpa2UgR3Jvd3RoIEZhY3RvciBCaW5k
aW5nIFByb3RlaW4gMy9ibG9vZDwva2V5d29yZD48a2V5d29yZD5JbnN1bGluLUxpa2UgR3Jvd3Ro
IEZhY3RvciBJL21ldGFib2xpc208L2tleXdvcmQ+PGtleXdvcmQ+SW5zdWxpbi1MaWtlIEdyb3d0
aCBGYWN0b3IgSUkvbWV0YWJvbGlzbTwva2V5d29yZD48a2V5d29yZD5MZXB0aW4vYmxvb2Q8L2tl
eXdvcmQ+PGtleXdvcmQ+UGxhY2VudGEgR3Jvd3RoIEZhY3Rvcjwva2V5d29yZD48a2V5d29yZD5Q
bGFjZW50YWwgSG9ybW9uZXMvYmxvb2Q8L2tleXdvcmQ+PGtleXdvcmQ+UHJlZ25hbmN5PC9rZXl3
b3JkPjxrZXl3b3JkPlByZWduYW5jeSBQcm90ZWlucy9ibG9vZDwva2V5d29yZD48a2V5d29yZD5Z
b3VuZyBBZHVsdDwva2V5d29yZD48L2tleXdvcmRzPjxkYXRlcz48eWVhcj4yMDExPC95ZWFyPjxw
dWItZGF0ZXM+PGRhdGU+QXByPC9kYXRlPjwvcHViLWRhdGVzPjwvZGF0ZXM+PGlzYm4+MTM2NS0y
MjY1IChFbGVjdHJvbmljKSYjeEQ7MDMwMC0wNjY0IChMaW5raW5nKTwvaXNibj48YWNjZXNzaW9u
LW51bT4yMTE5ODc0MDwvYWNjZXNzaW9uLW51bT48dXJscz48cmVsYXRlZC11cmxzPjx1cmw+aHR0
cHM6Ly93d3cubmNiaS5ubG0ubmloLmdvdi9wdWJtZWQvMjExOTg3NDA8L3VybD48L3JlbGF0ZWQt
dXJscz48L3VybHM+PGVsZWN0cm9uaWMtcmVzb3VyY2UtbnVtPjEwLjExMTEvai4xMzY1LTIyNjUu
MjAxMC4wMzk2NC54PC9lbGVjdHJvbmljLXJlc291cmNlLW51bT48L3JlY29yZD48L0NpdGU+PC9F
bmROb3RlPn==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272,540</w:t>
            </w:r>
            <w:r>
              <w:rPr>
                <w:noProof/>
                <w:sz w:val="16"/>
                <w:szCs w:val="16"/>
              </w:rPr>
              <w:fldChar w:fldCharType="end"/>
            </w:r>
          </w:p>
        </w:tc>
      </w:tr>
      <w:tr w:rsidR="008E765F" w:rsidRPr="00C12274" w14:paraId="3519818A" w14:textId="77777777" w:rsidTr="00BC7AEC">
        <w:trPr>
          <w:cantSplit/>
        </w:trPr>
        <w:tc>
          <w:tcPr>
            <w:tcW w:w="1560" w:type="dxa"/>
            <w:shd w:val="clear" w:color="D9E2F3" w:themeColor="accent1" w:themeTint="33" w:fill="auto"/>
          </w:tcPr>
          <w:p w14:paraId="36F0F74C"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554BF0A8"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D5C32E6" w14:textId="77777777" w:rsidR="008E765F" w:rsidRPr="00C12274" w:rsidRDefault="008E765F" w:rsidP="00611251">
            <w:pPr>
              <w:pStyle w:val="RCTstable"/>
              <w:keepNext/>
            </w:pPr>
            <w:r w:rsidRPr="00C12274">
              <w:t>Not described</w:t>
            </w:r>
          </w:p>
        </w:tc>
      </w:tr>
      <w:tr w:rsidR="008E765F" w:rsidRPr="00C12274" w14:paraId="716CAB69" w14:textId="77777777" w:rsidTr="00BC7AEC">
        <w:trPr>
          <w:cantSplit/>
          <w:trHeight w:val="543"/>
        </w:trPr>
        <w:tc>
          <w:tcPr>
            <w:tcW w:w="1560" w:type="dxa"/>
            <w:shd w:val="clear" w:color="D9E2F3" w:themeColor="accent1" w:themeTint="33" w:fill="auto"/>
          </w:tcPr>
          <w:p w14:paraId="2E8B58C3"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32D8EB36"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6C43D33" w14:textId="77777777" w:rsidR="008E765F" w:rsidRPr="00C12274" w:rsidRDefault="008E765F" w:rsidP="00611251">
            <w:pPr>
              <w:pStyle w:val="RCTstable"/>
              <w:keepNext/>
            </w:pPr>
            <w:r w:rsidRPr="00C12274">
              <w:t>Not described</w:t>
            </w:r>
          </w:p>
        </w:tc>
      </w:tr>
      <w:tr w:rsidR="008E765F" w:rsidRPr="00C12274" w14:paraId="4210123D" w14:textId="77777777" w:rsidTr="00BC7AEC">
        <w:trPr>
          <w:cantSplit/>
          <w:trHeight w:val="325"/>
        </w:trPr>
        <w:tc>
          <w:tcPr>
            <w:tcW w:w="1560" w:type="dxa"/>
            <w:shd w:val="clear" w:color="D9E2F3" w:themeColor="accent1" w:themeTint="33" w:fill="auto"/>
          </w:tcPr>
          <w:p w14:paraId="70F8CBD6"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13B0B1C7"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CA0DB75" w14:textId="77777777" w:rsidR="008E765F" w:rsidRPr="00C12274" w:rsidRDefault="008E765F" w:rsidP="00611251">
            <w:pPr>
              <w:pStyle w:val="RCTstable"/>
              <w:keepNext/>
            </w:pPr>
            <w:r w:rsidRPr="00C12274">
              <w:t>Not described</w:t>
            </w:r>
          </w:p>
        </w:tc>
      </w:tr>
      <w:tr w:rsidR="00FE54AE" w:rsidRPr="00C12274" w14:paraId="199B2685" w14:textId="77777777" w:rsidTr="00BC7AEC">
        <w:trPr>
          <w:cantSplit/>
        </w:trPr>
        <w:tc>
          <w:tcPr>
            <w:tcW w:w="1560" w:type="dxa"/>
            <w:shd w:val="clear" w:color="D9E2F3" w:themeColor="accent1" w:themeTint="33" w:fill="auto"/>
          </w:tcPr>
          <w:p w14:paraId="439A04CE" w14:textId="77777777" w:rsidR="00FE54AE" w:rsidRPr="00C12274" w:rsidRDefault="00FE54AE"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06B72962" w14:textId="77777777" w:rsidR="00FE54AE" w:rsidRPr="00C12274" w:rsidRDefault="00FE54AE" w:rsidP="009740A7">
            <w:pPr>
              <w:keepNext/>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3BBB4036" w14:textId="72C1DD5B" w:rsidR="00FE54AE" w:rsidRPr="00C12274" w:rsidRDefault="00FE54AE" w:rsidP="009740A7">
            <w:pPr>
              <w:pStyle w:val="RCTstable"/>
            </w:pPr>
            <w:r w:rsidRPr="00C12274">
              <w:t>Not described</w:t>
            </w:r>
          </w:p>
        </w:tc>
      </w:tr>
      <w:tr w:rsidR="008E765F" w:rsidRPr="00C12274" w14:paraId="74E272AD" w14:textId="77777777" w:rsidTr="00BC7AEC">
        <w:trPr>
          <w:cantSplit/>
        </w:trPr>
        <w:tc>
          <w:tcPr>
            <w:tcW w:w="1560" w:type="dxa"/>
            <w:shd w:val="clear" w:color="D9E2F3" w:themeColor="accent1" w:themeTint="33" w:fill="auto"/>
          </w:tcPr>
          <w:p w14:paraId="7D987603"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5CF458B5" w14:textId="77777777" w:rsidR="008E765F" w:rsidRPr="00C12274" w:rsidRDefault="008E765F" w:rsidP="00611251">
            <w:pPr>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24FC0F44" w14:textId="77777777" w:rsidR="008E765F" w:rsidRPr="00C12274" w:rsidRDefault="008E765F" w:rsidP="00611251">
            <w:pPr>
              <w:pStyle w:val="RCTstable"/>
            </w:pPr>
            <w:r w:rsidRPr="00C12274">
              <w:t>A total of 14 (14.3%) participants (2 from the intervention group [4%] and 12 from the control group [24%]) lost to follow-up during the study period</w:t>
            </w:r>
          </w:p>
        </w:tc>
      </w:tr>
      <w:tr w:rsidR="008E765F" w:rsidRPr="00C12274" w14:paraId="59CC2790" w14:textId="77777777" w:rsidTr="00BC7AEC">
        <w:trPr>
          <w:cantSplit/>
        </w:trPr>
        <w:tc>
          <w:tcPr>
            <w:tcW w:w="1560" w:type="dxa"/>
            <w:shd w:val="clear" w:color="D9E2F3" w:themeColor="accent1" w:themeTint="33" w:fill="auto"/>
          </w:tcPr>
          <w:p w14:paraId="2E5641EC"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E2BC3F1"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008B9C9"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33329850" w14:textId="77777777" w:rsidTr="00BC7AEC">
        <w:trPr>
          <w:cantSplit/>
        </w:trPr>
        <w:tc>
          <w:tcPr>
            <w:tcW w:w="1560" w:type="dxa"/>
            <w:shd w:val="clear" w:color="D9E2F3" w:themeColor="accent1" w:themeTint="33" w:fill="auto"/>
          </w:tcPr>
          <w:p w14:paraId="0816AD76"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9093BCA"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2247AFDE"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168335C2" w14:textId="77777777" w:rsidTr="00BC7AEC">
        <w:trPr>
          <w:cantSplit/>
        </w:trPr>
        <w:tc>
          <w:tcPr>
            <w:tcW w:w="14034" w:type="dxa"/>
            <w:gridSpan w:val="3"/>
            <w:shd w:val="solid" w:color="D9E2F3" w:themeColor="accent1" w:themeTint="33" w:fill="auto"/>
          </w:tcPr>
          <w:p w14:paraId="370A0589" w14:textId="0DF57589"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Kong et al 2014</w:t>
            </w:r>
            <w:r>
              <w:rPr>
                <w:noProof/>
                <w:sz w:val="16"/>
                <w:szCs w:val="16"/>
              </w:rPr>
              <w:fldChar w:fldCharType="begin">
                <w:fldData xml:space="preserve">PEVuZE5vdGU+PENpdGU+PEF1dGhvcj5Lb25nPC9BdXRob3I+PFllYXI+MjAxNDwvWWVhcj48UmVj
TnVtPjc0ODwvUmVjTnVtPjxEaXNwbGF5VGV4dD48c3R5bGUgZmFjZT0ic3VwZXJzY3JpcHQiIGZv
bnQ9IlRyZWJ1Y2hldCBNUyIgc2l6ZT0iOSI+NDQ5LDU0MTwvc3R5bGU+PC9EaXNwbGF5VGV4dD48
cmVjb3JkPjxyZWMtbnVtYmVyPjc0ODwvcmVjLW51bWJlcj48Zm9yZWlnbi1rZXlzPjxrZXkgYXBw
PSJFTiIgZGItaWQ9ImV4dmFzcmZ4MmR0cmFvZXNhc3hwMnN6c3hhMmRmNTAyNTkyeCIgdGltZXN0
YW1wPSIxNTQxNDY3OTA1Ij43NDg8L2tleT48a2V5IGFwcD0iRU5XZWIiIGRiLWlkPSIiPjA8L2tl
eT48L2ZvcmVpZ24ta2V5cz48cmVmLXR5cGUgbmFtZT0iSm91cm5hbCBBcnRpY2xlIj4xNzwvcmVm
LXR5cGU+PGNvbnRyaWJ1dG9ycz48YXV0aG9ycz48YXV0aG9yPktvbmcsIEsuIEwuPC9hdXRob3I+
PGF1dGhvcj5DYW1wYmVsbCwgQy48L2F1dGhvcj48YXV0aG9yPldhZ25lciwgSy48L2F1dGhvcj48
YXV0aG9yPlBldGVyc29uLCBBLjwvYXV0aG9yPjxhdXRob3I+TGFubmluZ2hhbS1Gb3N0ZXIsIEwu
PC9hdXRob3I+PC9hdXRob3JzPjwvY29udHJpYnV0b3JzPjx0aXRsZXM+PHRpdGxlPkltcGFjdCBv
ZiBhIHdhbGtpbmcgaW50ZXJ2ZW50aW9uIGR1cmluZyBwcmVnbmFuY3kgb24gcG9zdC1wYXJ0dW0g
d2VpZ2h0IHJldGVudGlvbiBhbmQgaW5mYW50IGFudGhyb3BvbWV0cmljIG91dGNvbWVzPC90aXRs
ZT48c2Vjb25kYXJ5LXRpdGxlPkpvdXJuYWwgb2YgRGV2ZWxvcG1lbnRhbCBPcmlnaW5zIG9mIEhl
YWx0aCBhbmQgRGlzZWFzZTwvc2Vjb25kYXJ5LXRpdGxlPjwvdGl0bGVzPjxwZXJpb2RpY2FsPjxm
dWxsLXRpdGxlPkpvdXJuYWwgb2YgRGV2ZWxvcG1lbnRhbCBPcmlnaW5zIG9mIEhlYWx0aCBhbmQg
RGlzZWFzZTwvZnVsbC10aXRsZT48L3BlcmlvZGljYWw+PHBhZ2VzPjI1OS0yNjc8L3BhZ2VzPjx2
b2x1bWU+NTwvdm9sdW1lPjxudW1iZXI+MDM8L251bWJlcj48c2VjdGlvbj4yNTk8L3NlY3Rpb24+
PGRhdGVzPjx5ZWFyPjIwMTQ8L3llYXI+PC9kYXRlcz48aXNibj4yMDQwLTE3NDQmI3hEOzIwNDAt
MTc1MjwvaXNibj48dXJscz48L3VybHM+PGVsZWN0cm9uaWMtcmVzb3VyY2UtbnVtPjEwLjEwMTcv
czIwNDAxNzQ0MTQwMDAxMTc8L2VsZWN0cm9uaWMtcmVzb3VyY2UtbnVtPjwvcmVjb3JkPjwvQ2l0
ZT48Q2l0ZT48QXV0aG9yPktvbmc8L0F1dGhvcj48WWVhcj4yMDE0PC9ZZWFyPjxSZWNOdW0+Njk2
PC9SZWNOdW0+PHJlY29yZD48cmVjLW51bWJlcj42OTY8L3JlYy1udW1iZXI+PGZvcmVpZ24ta2V5
cz48a2V5IGFwcD0iRU4iIGRiLWlkPSJleHZhc3JmeDJkdHJhb2VzYXN4cDJzenN4YTJkZjUwMjU5
MngiIHRpbWVzdGFtcD0iMTU0MDUzMDIzNiI+Njk2PC9rZXk+PC9mb3JlaWduLWtleXM+PHJlZi10
eXBlIG5hbWU9IkpvdXJuYWwgQXJ0aWNsZSI+MTc8L3JlZi10eXBlPjxjb250cmlidXRvcnM+PGF1
dGhvcnM+PGF1dGhvcj5Lb25nLCBLLiBMLjwvYXV0aG9yPjxhdXRob3I+Q2FtcGJlbGwsIEMuIEcu
PC9hdXRob3I+PGF1dGhvcj5Gb3N0ZXIsIFIuIEMuPC9hdXRob3I+PGF1dGhvcj5QZXRlcnNvbiwg
QS4gRC48L2F1dGhvcj48YXV0aG9yPkxhbm5pbmdoYW0tRm9zdGVyLCBMLjwvYXV0aG9yPjwvYXV0
aG9ycz48L2NvbnRyaWJ1dG9ycz48YXV0aC1hZGRyZXNzPjFEZXBhcnRtZW50IG9mIEZvb2QgU2Np
ZW5jZSBhbmQgSHVtYW4gTnV0cml0aW9uLCBJb3dhIFN0YXRlIFVuaXZlcnNpdHksIEFtZXMsIElB
OyAySW50ZXJkZXBhcnRtZW50YWwgR3JhZHVhdGUgUHJvZ3JhbSBpbiBOdXRyaXRpb25hbCBTY2ll
bmNlcywgSW93YSBTdGF0ZSBVbml2ZXJzaXR5LCBBbWVzLCBJQTsgM0RlcGFydG1lbnQgb2YgU3Rh
dGlzdGljcywgSW93YSBTdGF0ZSBVbml2ZXJzaXR5LCBBbWVzLCBJQTsgYW5kIDREZXBhcnRtZW50
IG9mIEtpbmVzaW9sb2d5LCBJb3dhIFN0YXRlIFVuaXZlcnNpdHksIEFtZXMsIElBLjwvYXV0aC1h
ZGRyZXNzPjx0aXRsZXM+PHRpdGxlPkEgcGlsb3Qgd2Fsa2luZyBwcm9ncmFtIHByb21vdGVzIG1v
ZGVyYXRlLWludGVuc2l0eSBwaHlzaWNhbCBhY3Rpdml0eSBkdXJpbmcgcHJlZ25hbmN5PC90aXRs
ZT48c2Vjb25kYXJ5LXRpdGxlPk1lZCBTY2kgU3BvcnRzIEV4ZXJjPC9zZWNvbmRhcnktdGl0bGU+
PC90aXRsZXM+PHBlcmlvZGljYWw+PGZ1bGwtdGl0bGU+TWVkIFNjaSBTcG9ydHMgRXhlcmM8L2Z1
bGwtdGl0bGU+PC9wZXJpb2RpY2FsPjxwYWdlcz40NjItNzE8L3BhZ2VzPjx2b2x1bWU+NDY8L3Zv
bHVtZT48bnVtYmVyPjM8L251bWJlcj48ZWRpdGlvbj4yMDEzLzA5LzA1PC9lZGl0aW9uPjxrZXl3
b3Jkcz48a2V5d29yZD5BZHVsdDwva2V5d29yZD48a2V5d29yZD5BbnRocm9wb21ldHJ5PC9rZXl3
b3JkPjxrZXl3b3JkPkV4ZXJjaXNlLypwaHlzaW9sb2d5PC9rZXl3b3JkPjxrZXl3b3JkPkZlbWFs
ZTwva2V5d29yZD48a2V5d29yZD4qSGVhbHRoIFByb21vdGlvbjwva2V5d29yZD48a2V5d29yZD5I
dW1hbnM8L2tleXdvcmQ+PGtleXdvcmQ+Kk92ZXJ3ZWlnaHQvcGh5c2lvcGF0aG9sb2d5PC9rZXl3
b3JkPjxrZXl3b3JkPlBpbG90IFByb2plY3RzPC9rZXl3b3JkPjxrZXl3b3JkPlByZWduYW5jeTwv
a2V5d29yZD48a2V5d29yZD4qUHJlZ25hbmN5IENvbXBsaWNhdGlvbnM8L2tleXdvcmQ+PGtleXdv
cmQ+UHJlZ25hbmN5IE91dGNvbWU8L2tleXdvcmQ+PGtleXdvcmQ+U3RhdGlzdGljcywgTm9ucGFy
YW1ldHJpYzwva2V5d29yZD48a2V5d29yZD5TdXJ2ZXlzIGFuZCBRdWVzdGlvbm5haXJlczwva2V5
d29yZD48a2V5d29yZD5XYWxraW5nLypwaHlzaW9sb2d5PC9rZXl3b3JkPjxrZXl3b3JkPllvdW5n
IEFkdWx0PC9rZXl3b3JkPjwva2V5d29yZHM+PGRhdGVzPjx5ZWFyPjIwMTQ8L3llYXI+PHB1Yi1k
YXRlcz48ZGF0ZT5NYXI8L2RhdGU+PC9wdWItZGF0ZXM+PC9kYXRlcz48aXNibj4xNTMwLTAzMTUg
KEVsZWN0cm9uaWMpJiN4RDswMTk1LTkxMzEgKExpbmtpbmcpPC9pc2JuPjxhY2Nlc3Npb24tbnVt
PjI0MDAyMzQ4PC9hY2Nlc3Npb24tbnVtPjx1cmxzPjxyZWxhdGVkLXVybHM+PHVybD5odHRwczov
L3d3dy5uY2JpLm5sbS5uaWguZ292L3B1Ym1lZC8yNDAwMjM0ODwvdXJsPjwvcmVsYXRlZC11cmxz
PjwvdXJscz48ZWxlY3Ryb25pYy1yZXNvdXJjZS1udW0+MTAuMTI0OS9NU1MuMDAwMDAwMDAwMDAw
MDE0MTwvZWxlY3Ryb25pYy1yZXNvdXJjZS1udW0+PC9yZWNvcmQ+PC9DaXRlPjwvRW5kTm90ZT5=
</w:fldData>
              </w:fldChar>
            </w:r>
            <w:r w:rsidR="002747EA">
              <w:rPr>
                <w:noProof/>
                <w:sz w:val="16"/>
                <w:szCs w:val="16"/>
              </w:rPr>
              <w:instrText xml:space="preserve"> ADDIN EN.CITE </w:instrText>
            </w:r>
            <w:r w:rsidR="002747EA">
              <w:rPr>
                <w:noProof/>
                <w:sz w:val="16"/>
                <w:szCs w:val="16"/>
              </w:rPr>
              <w:fldChar w:fldCharType="begin">
                <w:fldData xml:space="preserve">PEVuZE5vdGU+PENpdGU+PEF1dGhvcj5Lb25nPC9BdXRob3I+PFllYXI+MjAxNDwvWWVhcj48UmVj
TnVtPjc0ODwvUmVjTnVtPjxEaXNwbGF5VGV4dD48c3R5bGUgZmFjZT0ic3VwZXJzY3JpcHQiIGZv
bnQ9IlRyZWJ1Y2hldCBNUyIgc2l6ZT0iOSI+NDQ5LDU0MTwvc3R5bGU+PC9EaXNwbGF5VGV4dD48
cmVjb3JkPjxyZWMtbnVtYmVyPjc0ODwvcmVjLW51bWJlcj48Zm9yZWlnbi1rZXlzPjxrZXkgYXBw
PSJFTiIgZGItaWQ9ImV4dmFzcmZ4MmR0cmFvZXNhc3hwMnN6c3hhMmRmNTAyNTkyeCIgdGltZXN0
YW1wPSIxNTQxNDY3OTA1Ij43NDg8L2tleT48a2V5IGFwcD0iRU5XZWIiIGRiLWlkPSIiPjA8L2tl
eT48L2ZvcmVpZ24ta2V5cz48cmVmLXR5cGUgbmFtZT0iSm91cm5hbCBBcnRpY2xlIj4xNzwvcmVm
LXR5cGU+PGNvbnRyaWJ1dG9ycz48YXV0aG9ycz48YXV0aG9yPktvbmcsIEsuIEwuPC9hdXRob3I+
PGF1dGhvcj5DYW1wYmVsbCwgQy48L2F1dGhvcj48YXV0aG9yPldhZ25lciwgSy48L2F1dGhvcj48
YXV0aG9yPlBldGVyc29uLCBBLjwvYXV0aG9yPjxhdXRob3I+TGFubmluZ2hhbS1Gb3N0ZXIsIEwu
PC9hdXRob3I+PC9hdXRob3JzPjwvY29udHJpYnV0b3JzPjx0aXRsZXM+PHRpdGxlPkltcGFjdCBv
ZiBhIHdhbGtpbmcgaW50ZXJ2ZW50aW9uIGR1cmluZyBwcmVnbmFuY3kgb24gcG9zdC1wYXJ0dW0g
d2VpZ2h0IHJldGVudGlvbiBhbmQgaW5mYW50IGFudGhyb3BvbWV0cmljIG91dGNvbWVzPC90aXRs
ZT48c2Vjb25kYXJ5LXRpdGxlPkpvdXJuYWwgb2YgRGV2ZWxvcG1lbnRhbCBPcmlnaW5zIG9mIEhl
YWx0aCBhbmQgRGlzZWFzZTwvc2Vjb25kYXJ5LXRpdGxlPjwvdGl0bGVzPjxwZXJpb2RpY2FsPjxm
dWxsLXRpdGxlPkpvdXJuYWwgb2YgRGV2ZWxvcG1lbnRhbCBPcmlnaW5zIG9mIEhlYWx0aCBhbmQg
RGlzZWFzZTwvZnVsbC10aXRsZT48L3BlcmlvZGljYWw+PHBhZ2VzPjI1OS0yNjc8L3BhZ2VzPjx2
b2x1bWU+NTwvdm9sdW1lPjxudW1iZXI+MDM8L251bWJlcj48c2VjdGlvbj4yNTk8L3NlY3Rpb24+
PGRhdGVzPjx5ZWFyPjIwMTQ8L3llYXI+PC9kYXRlcz48aXNibj4yMDQwLTE3NDQmI3hEOzIwNDAt
MTc1MjwvaXNibj48dXJscz48L3VybHM+PGVsZWN0cm9uaWMtcmVzb3VyY2UtbnVtPjEwLjEwMTcv
czIwNDAxNzQ0MTQwMDAxMTc8L2VsZWN0cm9uaWMtcmVzb3VyY2UtbnVtPjwvcmVjb3JkPjwvQ2l0
ZT48Q2l0ZT48QXV0aG9yPktvbmc8L0F1dGhvcj48WWVhcj4yMDE0PC9ZZWFyPjxSZWNOdW0+Njk2
PC9SZWNOdW0+PHJlY29yZD48cmVjLW51bWJlcj42OTY8L3JlYy1udW1iZXI+PGZvcmVpZ24ta2V5
cz48a2V5IGFwcD0iRU4iIGRiLWlkPSJleHZhc3JmeDJkdHJhb2VzYXN4cDJzenN4YTJkZjUwMjU5
MngiIHRpbWVzdGFtcD0iMTU0MDUzMDIzNiI+Njk2PC9rZXk+PC9mb3JlaWduLWtleXM+PHJlZi10
eXBlIG5hbWU9IkpvdXJuYWwgQXJ0aWNsZSI+MTc8L3JlZi10eXBlPjxjb250cmlidXRvcnM+PGF1
dGhvcnM+PGF1dGhvcj5Lb25nLCBLLiBMLjwvYXV0aG9yPjxhdXRob3I+Q2FtcGJlbGwsIEMuIEcu
PC9hdXRob3I+PGF1dGhvcj5Gb3N0ZXIsIFIuIEMuPC9hdXRob3I+PGF1dGhvcj5QZXRlcnNvbiwg
QS4gRC48L2F1dGhvcj48YXV0aG9yPkxhbm5pbmdoYW0tRm9zdGVyLCBMLjwvYXV0aG9yPjwvYXV0
aG9ycz48L2NvbnRyaWJ1dG9ycz48YXV0aC1hZGRyZXNzPjFEZXBhcnRtZW50IG9mIEZvb2QgU2Np
ZW5jZSBhbmQgSHVtYW4gTnV0cml0aW9uLCBJb3dhIFN0YXRlIFVuaXZlcnNpdHksIEFtZXMsIElB
OyAySW50ZXJkZXBhcnRtZW50YWwgR3JhZHVhdGUgUHJvZ3JhbSBpbiBOdXRyaXRpb25hbCBTY2ll
bmNlcywgSW93YSBTdGF0ZSBVbml2ZXJzaXR5LCBBbWVzLCBJQTsgM0RlcGFydG1lbnQgb2YgU3Rh
dGlzdGljcywgSW93YSBTdGF0ZSBVbml2ZXJzaXR5LCBBbWVzLCBJQTsgYW5kIDREZXBhcnRtZW50
IG9mIEtpbmVzaW9sb2d5LCBJb3dhIFN0YXRlIFVuaXZlcnNpdHksIEFtZXMsIElBLjwvYXV0aC1h
ZGRyZXNzPjx0aXRsZXM+PHRpdGxlPkEgcGlsb3Qgd2Fsa2luZyBwcm9ncmFtIHByb21vdGVzIG1v
ZGVyYXRlLWludGVuc2l0eSBwaHlzaWNhbCBhY3Rpdml0eSBkdXJpbmcgcHJlZ25hbmN5PC90aXRs
ZT48c2Vjb25kYXJ5LXRpdGxlPk1lZCBTY2kgU3BvcnRzIEV4ZXJjPC9zZWNvbmRhcnktdGl0bGU+
PC90aXRsZXM+PHBlcmlvZGljYWw+PGZ1bGwtdGl0bGU+TWVkIFNjaSBTcG9ydHMgRXhlcmM8L2Z1
bGwtdGl0bGU+PC9wZXJpb2RpY2FsPjxwYWdlcz40NjItNzE8L3BhZ2VzPjx2b2x1bWU+NDY8L3Zv
bHVtZT48bnVtYmVyPjM8L251bWJlcj48ZWRpdGlvbj4yMDEzLzA5LzA1PC9lZGl0aW9uPjxrZXl3
b3Jkcz48a2V5d29yZD5BZHVsdDwva2V5d29yZD48a2V5d29yZD5BbnRocm9wb21ldHJ5PC9rZXl3
b3JkPjxrZXl3b3JkPkV4ZXJjaXNlLypwaHlzaW9sb2d5PC9rZXl3b3JkPjxrZXl3b3JkPkZlbWFs
ZTwva2V5d29yZD48a2V5d29yZD4qSGVhbHRoIFByb21vdGlvbjwva2V5d29yZD48a2V5d29yZD5I
dW1hbnM8L2tleXdvcmQ+PGtleXdvcmQ+Kk92ZXJ3ZWlnaHQvcGh5c2lvcGF0aG9sb2d5PC9rZXl3
b3JkPjxrZXl3b3JkPlBpbG90IFByb2plY3RzPC9rZXl3b3JkPjxrZXl3b3JkPlByZWduYW5jeTwv
a2V5d29yZD48a2V5d29yZD4qUHJlZ25hbmN5IENvbXBsaWNhdGlvbnM8L2tleXdvcmQ+PGtleXdv
cmQ+UHJlZ25hbmN5IE91dGNvbWU8L2tleXdvcmQ+PGtleXdvcmQ+U3RhdGlzdGljcywgTm9ucGFy
YW1ldHJpYzwva2V5d29yZD48a2V5d29yZD5TdXJ2ZXlzIGFuZCBRdWVzdGlvbm5haXJlczwva2V5
d29yZD48a2V5d29yZD5XYWxraW5nLypwaHlzaW9sb2d5PC9rZXl3b3JkPjxrZXl3b3JkPllvdW5n
IEFkdWx0PC9rZXl3b3JkPjwva2V5d29yZHM+PGRhdGVzPjx5ZWFyPjIwMTQ8L3llYXI+PHB1Yi1k
YXRlcz48ZGF0ZT5NYXI8L2RhdGU+PC9wdWItZGF0ZXM+PC9kYXRlcz48aXNibj4xNTMwLTAzMTUg
KEVsZWN0cm9uaWMpJiN4RDswMTk1LTkxMzEgKExpbmtpbmcpPC9pc2JuPjxhY2Nlc3Npb24tbnVt
PjI0MDAyMzQ4PC9hY2Nlc3Npb24tbnVtPjx1cmxzPjxyZWxhdGVkLXVybHM+PHVybD5odHRwczov
L3d3dy5uY2JpLm5sbS5uaWguZ292L3B1Ym1lZC8yNDAwMjM0ODwvdXJsPjwvcmVsYXRlZC11cmxz
PjwvdXJscz48ZWxlY3Ryb25pYy1yZXNvdXJjZS1udW0+MTAuMTI0OS9NU1MuMDAwMDAwMDAwMDAw
MDE0MTwvZWxlY3Ryb25pYy1yZXNvdXJjZS1udW0+PC9yZWNvcmQ+PC9DaXRlPjwvRW5kTm90ZT5=
</w:fldData>
              </w:fldChar>
            </w:r>
            <w:r w:rsidR="002747EA">
              <w:rPr>
                <w:noProof/>
                <w:sz w:val="16"/>
                <w:szCs w:val="16"/>
              </w:rPr>
              <w:instrText xml:space="preserve"> ADDIN EN.CITE.DATA </w:instrText>
            </w:r>
            <w:r w:rsidR="002747EA">
              <w:rPr>
                <w:noProof/>
                <w:sz w:val="16"/>
                <w:szCs w:val="16"/>
              </w:rPr>
            </w:r>
            <w:r w:rsidR="002747EA">
              <w:rPr>
                <w:noProof/>
                <w:sz w:val="16"/>
                <w:szCs w:val="16"/>
              </w:rPr>
              <w:fldChar w:fldCharType="end"/>
            </w:r>
            <w:r>
              <w:rPr>
                <w:noProof/>
                <w:sz w:val="16"/>
                <w:szCs w:val="16"/>
              </w:rPr>
            </w:r>
            <w:r>
              <w:rPr>
                <w:noProof/>
                <w:sz w:val="16"/>
                <w:szCs w:val="16"/>
              </w:rPr>
              <w:fldChar w:fldCharType="separate"/>
            </w:r>
            <w:r w:rsidR="002747EA" w:rsidRPr="002747EA">
              <w:rPr>
                <w:noProof/>
                <w:szCs w:val="16"/>
                <w:vertAlign w:val="superscript"/>
              </w:rPr>
              <w:t>449,541</w:t>
            </w:r>
            <w:r>
              <w:rPr>
                <w:noProof/>
                <w:sz w:val="16"/>
                <w:szCs w:val="16"/>
              </w:rPr>
              <w:fldChar w:fldCharType="end"/>
            </w:r>
          </w:p>
        </w:tc>
      </w:tr>
      <w:tr w:rsidR="008E765F" w:rsidRPr="00C12274" w14:paraId="22B0B98F" w14:textId="77777777" w:rsidTr="00BC7AEC">
        <w:trPr>
          <w:cantSplit/>
        </w:trPr>
        <w:tc>
          <w:tcPr>
            <w:tcW w:w="1560" w:type="dxa"/>
            <w:shd w:val="clear" w:color="D9E2F3" w:themeColor="accent1" w:themeTint="33" w:fill="auto"/>
          </w:tcPr>
          <w:p w14:paraId="42B216EA"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4525D4C4"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7604129" w14:textId="77777777" w:rsidR="008E765F" w:rsidRPr="00C12274" w:rsidRDefault="008E765F" w:rsidP="00611251">
            <w:pPr>
              <w:pStyle w:val="RCTstable"/>
              <w:keepNext/>
            </w:pPr>
            <w:r w:rsidRPr="00C12274">
              <w:t>Participants were randomly assigned to the intervention or control group using a computer-based random number generator (Microsoft Excel 2010, WA)</w:t>
            </w:r>
          </w:p>
        </w:tc>
      </w:tr>
      <w:tr w:rsidR="008E765F" w:rsidRPr="00C12274" w14:paraId="44BDCBEA" w14:textId="77777777" w:rsidTr="00BC7AEC">
        <w:trPr>
          <w:cantSplit/>
        </w:trPr>
        <w:tc>
          <w:tcPr>
            <w:tcW w:w="1560" w:type="dxa"/>
            <w:shd w:val="clear" w:color="D9E2F3" w:themeColor="accent1" w:themeTint="33" w:fill="auto"/>
          </w:tcPr>
          <w:p w14:paraId="70CB597F"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44353FF8"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9E3D70C" w14:textId="77777777" w:rsidR="008E765F" w:rsidRPr="00C12274" w:rsidRDefault="008E765F" w:rsidP="00611251">
            <w:pPr>
              <w:pStyle w:val="RCTstable"/>
              <w:keepNext/>
            </w:pPr>
            <w:r w:rsidRPr="00C12274">
              <w:t>Before baseline data collection, all participants and research personnel were blinded to the group allocation. A study coordinator revealed the study groups to women at the baseline data collection visit.</w:t>
            </w:r>
          </w:p>
        </w:tc>
      </w:tr>
      <w:tr w:rsidR="008E765F" w:rsidRPr="00C12274" w14:paraId="53B2DC1A" w14:textId="77777777" w:rsidTr="00BC7AEC">
        <w:trPr>
          <w:cantSplit/>
        </w:trPr>
        <w:tc>
          <w:tcPr>
            <w:tcW w:w="1560" w:type="dxa"/>
            <w:shd w:val="clear" w:color="D9E2F3" w:themeColor="accent1" w:themeTint="33" w:fill="auto"/>
          </w:tcPr>
          <w:p w14:paraId="4044A0B5"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23D60B49" w14:textId="77777777" w:rsidR="008E765F" w:rsidRPr="00C12274" w:rsidRDefault="008E765F" w:rsidP="00611251">
            <w:pPr>
              <w:keepNext/>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657BA697" w14:textId="7E94D22A" w:rsidR="008E765F" w:rsidRPr="00C12274" w:rsidRDefault="008E765F" w:rsidP="00C5093C">
            <w:pPr>
              <w:pStyle w:val="RCTstable"/>
            </w:pPr>
            <w:r w:rsidRPr="00C12274">
              <w:t xml:space="preserve">Blinding of participants to intervention was not possible due to the nature of the intervention. </w:t>
            </w:r>
          </w:p>
        </w:tc>
      </w:tr>
      <w:tr w:rsidR="00C5093C" w:rsidRPr="00C12274" w14:paraId="6197FC3A" w14:textId="77777777" w:rsidTr="00BC7AEC">
        <w:trPr>
          <w:cantSplit/>
        </w:trPr>
        <w:tc>
          <w:tcPr>
            <w:tcW w:w="1560" w:type="dxa"/>
            <w:shd w:val="clear" w:color="D9E2F3" w:themeColor="accent1" w:themeTint="33" w:fill="auto"/>
          </w:tcPr>
          <w:p w14:paraId="4110FE1A" w14:textId="77777777" w:rsidR="00C5093C" w:rsidRPr="00C12274" w:rsidRDefault="00C5093C"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4D19"/>
          </w:tcPr>
          <w:p w14:paraId="43F11039" w14:textId="5B2EDECE" w:rsidR="00C5093C" w:rsidRPr="00C12274" w:rsidRDefault="00C5093C" w:rsidP="009740A7">
            <w:pPr>
              <w:keepNext/>
              <w:spacing w:before="40" w:after="40" w:line="220" w:lineRule="exact"/>
              <w:rPr>
                <w:sz w:val="16"/>
                <w:szCs w:val="16"/>
              </w:rPr>
            </w:pPr>
            <w:r>
              <w:rPr>
                <w:sz w:val="16"/>
                <w:szCs w:val="16"/>
              </w:rPr>
              <w:t>High</w:t>
            </w:r>
            <w:r w:rsidRPr="00C12274">
              <w:rPr>
                <w:sz w:val="16"/>
                <w:szCs w:val="16"/>
              </w:rPr>
              <w:t xml:space="preserve"> risk</w:t>
            </w:r>
          </w:p>
        </w:tc>
        <w:tc>
          <w:tcPr>
            <w:tcW w:w="11199" w:type="dxa"/>
            <w:shd w:val="clear" w:color="D9E2F3" w:themeColor="accent1" w:themeTint="33" w:fill="auto"/>
          </w:tcPr>
          <w:p w14:paraId="12084050" w14:textId="71C7C22A" w:rsidR="00C5093C" w:rsidRPr="00C12274" w:rsidRDefault="00C5093C" w:rsidP="009740A7">
            <w:pPr>
              <w:pStyle w:val="RCTstable"/>
            </w:pPr>
            <w:r w:rsidRPr="00C12274">
              <w:t>Study coordinator not blinded</w:t>
            </w:r>
            <w:r>
              <w:t>.</w:t>
            </w:r>
          </w:p>
        </w:tc>
      </w:tr>
      <w:tr w:rsidR="008E765F" w:rsidRPr="00C12274" w14:paraId="3803AA97" w14:textId="77777777" w:rsidTr="00BC7AEC">
        <w:trPr>
          <w:cantSplit/>
        </w:trPr>
        <w:tc>
          <w:tcPr>
            <w:tcW w:w="1560" w:type="dxa"/>
            <w:shd w:val="clear" w:color="D9E2F3" w:themeColor="accent1" w:themeTint="33" w:fill="auto"/>
          </w:tcPr>
          <w:p w14:paraId="0FB2A4D8"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536AAC50"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E615B98"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Balanced losses between groups. No ITT analysis but likely low risk of bias.</w:t>
            </w:r>
          </w:p>
        </w:tc>
      </w:tr>
      <w:tr w:rsidR="008E765F" w:rsidRPr="00C12274" w14:paraId="64AFAA01" w14:textId="77777777" w:rsidTr="00BC7AEC">
        <w:trPr>
          <w:cantSplit/>
        </w:trPr>
        <w:tc>
          <w:tcPr>
            <w:tcW w:w="1560" w:type="dxa"/>
            <w:shd w:val="clear" w:color="D9E2F3" w:themeColor="accent1" w:themeTint="33" w:fill="auto"/>
          </w:tcPr>
          <w:p w14:paraId="7FB42A8F"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DD1A9A2"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F658518"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58A29EB1" w14:textId="77777777" w:rsidTr="00BC7AEC">
        <w:trPr>
          <w:cantSplit/>
        </w:trPr>
        <w:tc>
          <w:tcPr>
            <w:tcW w:w="1560" w:type="dxa"/>
            <w:shd w:val="clear" w:color="D9E2F3" w:themeColor="accent1" w:themeTint="33" w:fill="auto"/>
          </w:tcPr>
          <w:p w14:paraId="4219E2B9"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761B9E6F"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1C99F041"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58CEC66E" w14:textId="77777777" w:rsidTr="00BC7AEC">
        <w:trPr>
          <w:cantSplit/>
        </w:trPr>
        <w:tc>
          <w:tcPr>
            <w:tcW w:w="14034" w:type="dxa"/>
            <w:gridSpan w:val="3"/>
            <w:shd w:val="solid" w:color="D9E2F3" w:themeColor="accent1" w:themeTint="33" w:fill="auto"/>
          </w:tcPr>
          <w:p w14:paraId="71AEC52A" w14:textId="30B7F01C"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Murtezani et al 2014</w:t>
            </w:r>
            <w:r>
              <w:rPr>
                <w:sz w:val="16"/>
                <w:szCs w:val="16"/>
              </w:rPr>
              <w:fldChar w:fldCharType="begin"/>
            </w:r>
            <w:r w:rsidR="002747EA">
              <w:rPr>
                <w:sz w:val="16"/>
                <w:szCs w:val="16"/>
              </w:rPr>
              <w:instrText xml:space="preserve"> ADDIN EN.CITE &lt;EndNote&gt;&lt;Cite&gt;&lt;Author&gt;Murtezani&lt;/Author&gt;&lt;Year&gt;2014&lt;/Year&gt;&lt;RecNum&gt;699&lt;/RecNum&gt;&lt;DisplayText&gt;&lt;style face="superscript" font="Trebuchet MS" size="9"&gt;436&lt;/style&gt;&lt;/DisplayText&gt;&lt;record&gt;&lt;rec-number&gt;699&lt;/rec-number&gt;&lt;foreign-keys&gt;&lt;key app="EN" db-id="exvasrfx2dtraoesasxp2szsxa2df502592x" timestamp="1540530361"&gt;699&lt;/key&gt;&lt;/foreign-keys&gt;&lt;ref-type name="Journal Article"&gt;17&lt;/ref-type&gt;&lt;contributors&gt;&lt;authors&gt;&lt;author&gt;Murtezani, A.&lt;/author&gt;&lt;author&gt;Pacarada, M.&lt;/author&gt;&lt;author&gt;Ibraimi, Z.&lt;/author&gt;&lt;author&gt;Nevzati, A.&lt;/author&gt;&lt;author&gt;Abazi, N.&lt;/author&gt;&lt;/authors&gt;&lt;/contributors&gt;&lt;auth-address&gt;Physical Medicine and Rehabilitation Clinic University Clinical Center of Kosovo Prishtina, Republic of Kosovo - ardianaa@yahoo.com.&lt;/auth-address&gt;&lt;titles&gt;&lt;title&gt;The impact of exercise during pregnancy on neonatal outcomes: a randomized controlled trial&lt;/title&gt;&lt;secondary-title&gt;J Sports Med Phys Fitness&lt;/secondary-title&gt;&lt;/titles&gt;&lt;periodical&gt;&lt;full-title&gt;J Sports Med Phys Fitness&lt;/full-title&gt;&lt;/periodical&gt;&lt;pages&gt;802-8&lt;/pages&gt;&lt;volume&gt;54&lt;/volume&gt;&lt;number&gt;6&lt;/number&gt;&lt;edition&gt;2014/10/29&lt;/edition&gt;&lt;keywords&gt;&lt;keyword&gt;Adult&lt;/keyword&gt;&lt;keyword&gt;Apgar Score&lt;/keyword&gt;&lt;keyword&gt;Birth Weight&lt;/keyword&gt;&lt;keyword&gt;Exercise/*physiology&lt;/keyword&gt;&lt;keyword&gt;Female&lt;/keyword&gt;&lt;keyword&gt;Gestational Age&lt;/keyword&gt;&lt;keyword&gt;Humans&lt;/keyword&gt;&lt;keyword&gt;Infant, Newborn/*growth &amp;amp; development&lt;/keyword&gt;&lt;keyword&gt;Male&lt;/keyword&gt;&lt;keyword&gt;Pregnancy/*physiology&lt;/keyword&gt;&lt;keyword&gt;Resistance Training&lt;/keyword&gt;&lt;keyword&gt;Young Adult&lt;/keyword&gt;&lt;/keywords&gt;&lt;dates&gt;&lt;year&gt;2014&lt;/year&gt;&lt;pub-dates&gt;&lt;date&gt;Dec&lt;/date&gt;&lt;/pub-dates&gt;&lt;/dates&gt;&lt;isbn&gt;0022-4707 (Print)&amp;#xD;0022-4707 (Linking)&lt;/isbn&gt;&lt;accession-num&gt;25350037&lt;/accession-num&gt;&lt;urls&gt;&lt;related-urls&gt;&lt;url&gt;https://www.ncbi.nlm.nih.gov/pubmed/25350037&lt;/url&gt;&lt;/related-urls&gt;&lt;/urls&gt;&lt;/record&gt;&lt;/Cite&gt;&lt;/EndNote&gt;</w:instrText>
            </w:r>
            <w:r>
              <w:rPr>
                <w:sz w:val="16"/>
                <w:szCs w:val="16"/>
              </w:rPr>
              <w:fldChar w:fldCharType="separate"/>
            </w:r>
            <w:r w:rsidR="002747EA" w:rsidRPr="002747EA">
              <w:rPr>
                <w:noProof/>
                <w:szCs w:val="16"/>
                <w:vertAlign w:val="superscript"/>
              </w:rPr>
              <w:t>436</w:t>
            </w:r>
            <w:r>
              <w:rPr>
                <w:sz w:val="16"/>
                <w:szCs w:val="16"/>
              </w:rPr>
              <w:fldChar w:fldCharType="end"/>
            </w:r>
          </w:p>
        </w:tc>
      </w:tr>
      <w:tr w:rsidR="008E765F" w:rsidRPr="00C12274" w14:paraId="1C3EBED4" w14:textId="77777777" w:rsidTr="00BC7AEC">
        <w:trPr>
          <w:cantSplit/>
        </w:trPr>
        <w:tc>
          <w:tcPr>
            <w:tcW w:w="1560" w:type="dxa"/>
            <w:shd w:val="clear" w:color="D9E2F3" w:themeColor="accent1" w:themeTint="33" w:fill="auto"/>
          </w:tcPr>
          <w:p w14:paraId="0F9F52A4"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6E320789"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058082F" w14:textId="77777777" w:rsidR="008E765F" w:rsidRPr="00C12274" w:rsidRDefault="008E765F" w:rsidP="00611251">
            <w:pPr>
              <w:pStyle w:val="RCTstable"/>
              <w:keepNext/>
            </w:pPr>
            <w:r w:rsidRPr="00C12274">
              <w:rPr>
                <w:color w:val="000000"/>
                <w:szCs w:val="18"/>
              </w:rPr>
              <w:t xml:space="preserve">The </w:t>
            </w:r>
            <w:r w:rsidRPr="00C12274">
              <w:t>random assignment procedure was performed using random numbers generated by a computer program.</w:t>
            </w:r>
          </w:p>
        </w:tc>
      </w:tr>
      <w:tr w:rsidR="008E765F" w:rsidRPr="00C12274" w14:paraId="182D965E" w14:textId="77777777" w:rsidTr="00BC7AEC">
        <w:trPr>
          <w:cantSplit/>
        </w:trPr>
        <w:tc>
          <w:tcPr>
            <w:tcW w:w="1560" w:type="dxa"/>
            <w:shd w:val="clear" w:color="D9E2F3" w:themeColor="accent1" w:themeTint="33" w:fill="auto"/>
          </w:tcPr>
          <w:p w14:paraId="2E2B96FF"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594C6F28"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451260C" w14:textId="77777777" w:rsidR="008E765F" w:rsidRPr="00C12274" w:rsidRDefault="008E765F" w:rsidP="00611251">
            <w:pPr>
              <w:pStyle w:val="RCTstable"/>
              <w:keepNext/>
            </w:pPr>
            <w:r w:rsidRPr="00C12274">
              <w:t>Not described</w:t>
            </w:r>
          </w:p>
        </w:tc>
      </w:tr>
      <w:tr w:rsidR="008E765F" w:rsidRPr="00C12274" w14:paraId="5D905198" w14:textId="77777777" w:rsidTr="00BC7AEC">
        <w:trPr>
          <w:cantSplit/>
        </w:trPr>
        <w:tc>
          <w:tcPr>
            <w:tcW w:w="1560" w:type="dxa"/>
            <w:shd w:val="clear" w:color="D9E2F3" w:themeColor="accent1" w:themeTint="33" w:fill="auto"/>
          </w:tcPr>
          <w:p w14:paraId="27EE5F3A"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7EC80E0E"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BD0350E" w14:textId="77777777" w:rsidR="008E765F" w:rsidRPr="00C12274" w:rsidRDefault="008E765F" w:rsidP="00611251">
            <w:pPr>
              <w:pStyle w:val="RCTstable"/>
              <w:keepNext/>
            </w:pPr>
            <w:r w:rsidRPr="00C12274">
              <w:t>Not described</w:t>
            </w:r>
          </w:p>
        </w:tc>
      </w:tr>
      <w:tr w:rsidR="002B003B" w:rsidRPr="00C12274" w14:paraId="2FB316E5" w14:textId="77777777" w:rsidTr="00BC7AEC">
        <w:trPr>
          <w:cantSplit/>
        </w:trPr>
        <w:tc>
          <w:tcPr>
            <w:tcW w:w="1560" w:type="dxa"/>
            <w:shd w:val="clear" w:color="D9E2F3" w:themeColor="accent1" w:themeTint="33" w:fill="auto"/>
          </w:tcPr>
          <w:p w14:paraId="5A8C41C0" w14:textId="2DEF1D90" w:rsidR="002B003B" w:rsidRPr="00C12274" w:rsidRDefault="002B003B"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51C34B59" w14:textId="77777777" w:rsidR="002B003B" w:rsidRPr="00C12274" w:rsidRDefault="002B003B"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C2E850D" w14:textId="77777777" w:rsidR="002B003B" w:rsidRPr="00C12274" w:rsidRDefault="002B003B" w:rsidP="009740A7">
            <w:pPr>
              <w:pStyle w:val="RCTstable"/>
              <w:keepNext/>
            </w:pPr>
            <w:r w:rsidRPr="00C12274">
              <w:t>Not described</w:t>
            </w:r>
          </w:p>
        </w:tc>
      </w:tr>
      <w:tr w:rsidR="008E765F" w:rsidRPr="00C12274" w14:paraId="74E0344E" w14:textId="77777777" w:rsidTr="00BC7AEC">
        <w:trPr>
          <w:cantSplit/>
        </w:trPr>
        <w:tc>
          <w:tcPr>
            <w:tcW w:w="1560" w:type="dxa"/>
            <w:shd w:val="clear" w:color="D9E2F3" w:themeColor="accent1" w:themeTint="33" w:fill="auto"/>
          </w:tcPr>
          <w:p w14:paraId="0497298F"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362217A9"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4F27786" w14:textId="77777777" w:rsidR="008E765F" w:rsidRPr="00C12274" w:rsidRDefault="008E765F" w:rsidP="00611251">
            <w:pPr>
              <w:pStyle w:val="RCTstable"/>
              <w:keepNext/>
            </w:pPr>
            <w:r w:rsidRPr="00C12274">
              <w:t>The data were analysed on an intention to treat basis. </w:t>
            </w:r>
          </w:p>
        </w:tc>
      </w:tr>
      <w:tr w:rsidR="008E765F" w:rsidRPr="00C12274" w14:paraId="3E30B032" w14:textId="77777777" w:rsidTr="00BC7AEC">
        <w:trPr>
          <w:cantSplit/>
        </w:trPr>
        <w:tc>
          <w:tcPr>
            <w:tcW w:w="1560" w:type="dxa"/>
            <w:shd w:val="clear" w:color="D9E2F3" w:themeColor="accent1" w:themeTint="33" w:fill="auto"/>
          </w:tcPr>
          <w:p w14:paraId="5843925D"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352E7B5"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E8FD024"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46B7BC23" w14:textId="77777777" w:rsidTr="00BC7AEC">
        <w:trPr>
          <w:cantSplit/>
        </w:trPr>
        <w:tc>
          <w:tcPr>
            <w:tcW w:w="1560" w:type="dxa"/>
            <w:shd w:val="clear" w:color="D9E2F3" w:themeColor="accent1" w:themeTint="33" w:fill="auto"/>
          </w:tcPr>
          <w:p w14:paraId="6CE45410"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0E79EB38"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76416B21"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0EE37DD1" w14:textId="77777777" w:rsidTr="00BC7AEC">
        <w:trPr>
          <w:cantSplit/>
        </w:trPr>
        <w:tc>
          <w:tcPr>
            <w:tcW w:w="14034" w:type="dxa"/>
            <w:gridSpan w:val="3"/>
            <w:shd w:val="solid" w:color="D9E2F3" w:themeColor="accent1" w:themeTint="33" w:fill="auto"/>
          </w:tcPr>
          <w:p w14:paraId="11B95AF7" w14:textId="52A08D97" w:rsidR="008E765F" w:rsidRPr="00C12274" w:rsidRDefault="008E765F" w:rsidP="002747EA">
            <w:pPr>
              <w:pStyle w:val="Tablecell"/>
              <w:keepNext/>
              <w:spacing w:line="220" w:lineRule="exact"/>
              <w:rPr>
                <w:rFonts w:eastAsiaTheme="minorHAnsi"/>
                <w:b/>
                <w:sz w:val="16"/>
                <w:szCs w:val="16"/>
                <w:lang w:val="en-US"/>
              </w:rPr>
            </w:pPr>
            <w:r>
              <w:rPr>
                <w:rFonts w:eastAsiaTheme="minorHAnsi"/>
                <w:b/>
                <w:noProof/>
                <w:sz w:val="16"/>
                <w:szCs w:val="16"/>
                <w:lang w:val="en-US"/>
              </w:rPr>
              <w:t>Nascimento et al 2011</w:t>
            </w:r>
            <w:r>
              <w:rPr>
                <w:sz w:val="16"/>
                <w:szCs w:val="16"/>
              </w:rPr>
              <w:fldChar w:fldCharType="begin"/>
            </w:r>
            <w:r w:rsidR="002747EA">
              <w:rPr>
                <w:sz w:val="16"/>
                <w:szCs w:val="16"/>
              </w:rPr>
              <w:instrText xml:space="preserve"> ADDIN EN.CITE &lt;EndNote&gt;&lt;Cite&gt;&lt;Author&gt;Nascimento&lt;/Author&gt;&lt;Year&gt;2011&lt;/Year&gt;&lt;RecNum&gt;1040&lt;/RecNum&gt;&lt;DisplayText&gt;&lt;style face="superscript" font="Trebuchet MS" size="9"&gt;437&lt;/style&gt;&lt;/DisplayText&gt;&lt;record&gt;&lt;rec-number&gt;1040&lt;/rec-number&gt;&lt;foreign-keys&gt;&lt;key app="EN" db-id="exvasrfx2dtraoesasxp2szsxa2df502592x" timestamp="1548983476"&gt;1040&lt;/key&gt;&lt;/foreign-keys&gt;&lt;ref-type name="Journal Article"&gt;17&lt;/ref-type&gt;&lt;contributors&gt;&lt;authors&gt;&lt;author&gt;Nascimento, S. L.&lt;/author&gt;&lt;author&gt;Surita, F. G.&lt;/author&gt;&lt;author&gt;Parpinelli, MÂ&lt;/author&gt;&lt;author&gt;Siani, S.&lt;/author&gt;&lt;author&gt;Pinto e Silva, J. L.&lt;/author&gt;&lt;/authors&gt;&lt;/contributors&gt;&lt;titles&gt;&lt;title&gt;The effect of an antenatal physical exercise programme on maternal/perinatal outcomes and quality of life in overweight and obese pregnant women: a randomised clinical trial&lt;/title&gt;&lt;secondary-title&gt;BJOG: An International Journal of Obstetrics &amp;amp; Gynaecology&lt;/secondary-title&gt;&lt;/titles&gt;&lt;periodical&gt;&lt;full-title&gt;BJOG: An International Journal of Obstetrics &amp;amp; Gynaecology&lt;/full-title&gt;&lt;/periodical&gt;&lt;pages&gt;1455-1463&lt;/pages&gt;&lt;volume&gt;118&lt;/volume&gt;&lt;number&gt;12&lt;/number&gt;&lt;section&gt;1455&lt;/section&gt;&lt;dates&gt;&lt;year&gt;2011&lt;/year&gt;&lt;/dates&gt;&lt;isbn&gt;14700328&lt;/isbn&gt;&lt;urls&gt;&lt;/urls&gt;&lt;electronic-resource-num&gt;10.1111/j.1471-0528.2011.03084.x&lt;/electronic-resource-num&gt;&lt;/record&gt;&lt;/Cite&gt;&lt;/EndNote&gt;</w:instrText>
            </w:r>
            <w:r>
              <w:rPr>
                <w:sz w:val="16"/>
                <w:szCs w:val="16"/>
              </w:rPr>
              <w:fldChar w:fldCharType="separate"/>
            </w:r>
            <w:r w:rsidR="002747EA" w:rsidRPr="002747EA">
              <w:rPr>
                <w:noProof/>
                <w:szCs w:val="16"/>
                <w:vertAlign w:val="superscript"/>
              </w:rPr>
              <w:t>437</w:t>
            </w:r>
            <w:r>
              <w:rPr>
                <w:sz w:val="16"/>
                <w:szCs w:val="16"/>
              </w:rPr>
              <w:fldChar w:fldCharType="end"/>
            </w:r>
          </w:p>
        </w:tc>
      </w:tr>
      <w:tr w:rsidR="008E765F" w:rsidRPr="00C12274" w14:paraId="1F38E072" w14:textId="77777777" w:rsidTr="00BC7AEC">
        <w:trPr>
          <w:cantSplit/>
        </w:trPr>
        <w:tc>
          <w:tcPr>
            <w:tcW w:w="1560" w:type="dxa"/>
            <w:shd w:val="clear" w:color="D9E2F3" w:themeColor="accent1" w:themeTint="33" w:fill="auto"/>
          </w:tcPr>
          <w:p w14:paraId="485E645C"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683D086B"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878D966" w14:textId="77777777" w:rsidR="008E765F" w:rsidRPr="00C12274" w:rsidRDefault="008E765F" w:rsidP="00611251">
            <w:pPr>
              <w:pStyle w:val="RCTstable"/>
              <w:keepNext/>
            </w:pPr>
            <w:r w:rsidRPr="00C12274">
              <w:t xml:space="preserve">The pregnant women were randomised to the groups using the SAS statistical program (SAS Institute, Cary, NC, USA), which generated a list of random numbers based on a uniform distribution. </w:t>
            </w:r>
          </w:p>
        </w:tc>
      </w:tr>
      <w:tr w:rsidR="008E765F" w:rsidRPr="00C12274" w14:paraId="560C8129" w14:textId="77777777" w:rsidTr="00BC7AEC">
        <w:trPr>
          <w:cantSplit/>
        </w:trPr>
        <w:tc>
          <w:tcPr>
            <w:tcW w:w="1560" w:type="dxa"/>
            <w:shd w:val="clear" w:color="D9E2F3" w:themeColor="accent1" w:themeTint="33" w:fill="auto"/>
          </w:tcPr>
          <w:p w14:paraId="64072657"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0156C8E7"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965EB9B" w14:textId="77777777" w:rsidR="008E765F" w:rsidRPr="00C12274" w:rsidRDefault="008E765F" w:rsidP="00611251">
            <w:pPr>
              <w:pStyle w:val="RCTstable"/>
              <w:keepNext/>
            </w:pPr>
            <w:r w:rsidRPr="00C12274">
              <w:t>The sequence was randomly distributed in opaque envelopes, which were sealed and sequentially numbered. Each participant received a sequence number corresponding to a sealed envelope.</w:t>
            </w:r>
          </w:p>
        </w:tc>
      </w:tr>
      <w:tr w:rsidR="008E765F" w:rsidRPr="00C12274" w14:paraId="3DF82BF3" w14:textId="77777777" w:rsidTr="00BC7AEC">
        <w:trPr>
          <w:cantSplit/>
          <w:trHeight w:val="339"/>
        </w:trPr>
        <w:tc>
          <w:tcPr>
            <w:tcW w:w="1560" w:type="dxa"/>
            <w:shd w:val="clear" w:color="D9E2F3" w:themeColor="accent1" w:themeTint="33" w:fill="auto"/>
          </w:tcPr>
          <w:p w14:paraId="38C3DDD5"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4D220959"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DCD746C" w14:textId="77777777" w:rsidR="008E765F" w:rsidRPr="00C12274" w:rsidRDefault="008E765F" w:rsidP="00611251">
            <w:pPr>
              <w:pStyle w:val="RCTstable"/>
              <w:keepNext/>
            </w:pPr>
            <w:r w:rsidRPr="00C12274">
              <w:t>Not described.</w:t>
            </w:r>
          </w:p>
        </w:tc>
      </w:tr>
      <w:tr w:rsidR="00940D12" w:rsidRPr="00C12274" w14:paraId="7F188A48" w14:textId="77777777" w:rsidTr="00BC7AEC">
        <w:trPr>
          <w:cantSplit/>
        </w:trPr>
        <w:tc>
          <w:tcPr>
            <w:tcW w:w="1560" w:type="dxa"/>
            <w:shd w:val="clear" w:color="D9E2F3" w:themeColor="accent1" w:themeTint="33" w:fill="auto"/>
          </w:tcPr>
          <w:p w14:paraId="20B97452" w14:textId="18CD5F17" w:rsidR="00940D12" w:rsidRPr="00C12274" w:rsidRDefault="00940D12"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05B02B89" w14:textId="77777777" w:rsidR="00940D12" w:rsidRPr="00C12274" w:rsidRDefault="00940D12"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282CDA8" w14:textId="77777777" w:rsidR="00940D12" w:rsidRPr="00C12274" w:rsidRDefault="00940D12" w:rsidP="009740A7">
            <w:pPr>
              <w:pStyle w:val="RCTstable"/>
              <w:keepNext/>
            </w:pPr>
            <w:r w:rsidRPr="00C12274">
              <w:t>Not described</w:t>
            </w:r>
          </w:p>
        </w:tc>
      </w:tr>
      <w:tr w:rsidR="008E765F" w:rsidRPr="00C12274" w14:paraId="228CE16B" w14:textId="77777777" w:rsidTr="00BC7AEC">
        <w:trPr>
          <w:cantSplit/>
        </w:trPr>
        <w:tc>
          <w:tcPr>
            <w:tcW w:w="1560" w:type="dxa"/>
            <w:shd w:val="clear" w:color="D9E2F3" w:themeColor="accent1" w:themeTint="33" w:fill="auto"/>
          </w:tcPr>
          <w:p w14:paraId="74BAE583"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4103C36F"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86D4214" w14:textId="77777777" w:rsidR="008E765F" w:rsidRPr="00C12274" w:rsidRDefault="008E765F" w:rsidP="00611251">
            <w:pPr>
              <w:pStyle w:val="RCTstable"/>
              <w:keepNext/>
              <w:rPr>
                <w:lang w:val="en-US"/>
              </w:rPr>
            </w:pPr>
            <w:r w:rsidRPr="00C12274">
              <w:t>1 woman in each group withdrew. For neonatal weight outcome, missing data were &gt;20% but similar numbers missing in each group. Authors indicate that this was because some women delivered at other hospitals</w:t>
            </w:r>
          </w:p>
        </w:tc>
      </w:tr>
      <w:tr w:rsidR="008E765F" w:rsidRPr="00C12274" w14:paraId="691D3437" w14:textId="77777777" w:rsidTr="00BC7AEC">
        <w:trPr>
          <w:cantSplit/>
        </w:trPr>
        <w:tc>
          <w:tcPr>
            <w:tcW w:w="1560" w:type="dxa"/>
            <w:shd w:val="clear" w:color="D9E2F3" w:themeColor="accent1" w:themeTint="33" w:fill="auto"/>
          </w:tcPr>
          <w:p w14:paraId="11B08BC8"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CEF3D31"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10B49DB"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516CC3DD" w14:textId="77777777" w:rsidTr="00BC7AEC">
        <w:trPr>
          <w:cantSplit/>
        </w:trPr>
        <w:tc>
          <w:tcPr>
            <w:tcW w:w="1560" w:type="dxa"/>
            <w:shd w:val="clear" w:color="D9E2F3" w:themeColor="accent1" w:themeTint="33" w:fill="auto"/>
          </w:tcPr>
          <w:p w14:paraId="20692422"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7C9BF361"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5D4D7F0"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076653FA" w14:textId="77777777" w:rsidTr="00BC7AEC">
        <w:trPr>
          <w:cantSplit/>
        </w:trPr>
        <w:tc>
          <w:tcPr>
            <w:tcW w:w="14034" w:type="dxa"/>
            <w:gridSpan w:val="3"/>
            <w:shd w:val="solid" w:color="D9E2F3" w:themeColor="accent1" w:themeTint="33" w:fill="auto"/>
          </w:tcPr>
          <w:p w14:paraId="54A2DF88" w14:textId="518ABC77"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Ong et al 2009</w:t>
            </w:r>
            <w:r>
              <w:rPr>
                <w:sz w:val="16"/>
                <w:szCs w:val="16"/>
              </w:rPr>
              <w:fldChar w:fldCharType="begin">
                <w:fldData xml:space="preserve">PEVuZE5vdGU+PENpdGU+PEF1dGhvcj5Pbmc8L0F1dGhvcj48WWVhcj4yMDA5PC9ZZWFyPjxSZWNO
dW0+NzAyPC9SZWNOdW0+PERpc3BsYXlUZXh0PjxzdHlsZSBmYWNlPSJzdXBlcnNjcmlwdCIgZm9u
dD0iVHJlYnVjaGV0IE1TIiBzaXplPSI5Ij40NTA8L3N0eWxlPjwvRGlzcGxheVRleHQ+PHJlY29y
ZD48cmVjLW51bWJlcj43MDI8L3JlYy1udW1iZXI+PGZvcmVpZ24ta2V5cz48a2V5IGFwcD0iRU4i
IGRiLWlkPSJleHZhc3JmeDJkdHJhb2VzYXN4cDJzenN4YTJkZjUwMjU5MngiIHRpbWVzdGFtcD0i
MTU0MDUzMDQ4MyI+NzAyPC9rZXk+PC9mb3JlaWduLWtleXM+PHJlZi10eXBlIG5hbWU9IkpvdXJu
YWwgQXJ0aWNsZSI+MTc8L3JlZi10eXBlPjxjb250cmlidXRvcnM+PGF1dGhvcnM+PGF1dGhvcj5P
bmcsIE0uIEouPC9hdXRob3I+PGF1dGhvcj5HdWVsZmksIEsuIEouPC9hdXRob3I+PGF1dGhvcj5I
dW50ZXIsIFQuPC9hdXRob3I+PGF1dGhvcj5XYWxsbWFuLCBLLiBFLjwvYXV0aG9yPjxhdXRob3I+
Rm91cm5pZXIsIFAuIEEuPC9hdXRob3I+PGF1dGhvcj5OZXduaGFtLCBKLiBQLjwvYXV0aG9yPjwv
YXV0aG9ycz48L2NvbnRyaWJ1dG9ycz48YXV0aC1hZGRyZXNzPlNjaG9vbCBvZiBTcG9ydCBTY2ll
bmNlLCBFeGVyY2lzZSBhbmQgSGVhbHRoLCBUaGUgVW5pdmVyc2l0eSBvZiBXZXN0ZXJuIEF1c3Ry
YWxpYSwgQ3Jhd2xleSwgV0EgNjAwOSwgQXVzdHJhbGlhLjwvYXV0aC1hZGRyZXNzPjx0aXRsZXM+
PHRpdGxlPlN1cGVydmlzZWQgaG9tZS1iYXNlZCBleGVyY2lzZSBtYXkgYXR0ZW51YXRlIHRoZSBk
ZWNsaW5lIG9mIGdsdWNvc2UgdG9sZXJhbmNlIGluIG9iZXNlIHByZWduYW50IHdvbWVuPC90aXRs
ZT48c2Vjb25kYXJ5LXRpdGxlPkRpYWJldGVzIE1ldGFiPC9zZWNvbmRhcnktdGl0bGU+PC90aXRs
ZXM+PHBlcmlvZGljYWw+PGZ1bGwtdGl0bGU+RGlhYmV0ZXMgTWV0YWI8L2Z1bGwtdGl0bGU+PC9w
ZXJpb2RpY2FsPjxwYWdlcz40MTgtMjE8L3BhZ2VzPjx2b2x1bWU+MzU8L3ZvbHVtZT48bnVtYmVy
PjU8L251bWJlcj48ZWRpdGlvbj4yMDA5LzA5LzE1PC9lZGl0aW9uPjxrZXl3b3Jkcz48a2V5d29y
ZD5BZHVsdDwva2V5d29yZD48a2V5d29yZD5CbG9vZCBHbHVjb3NlL2FuYWx5c2lzPC9rZXl3b3Jk
PjxrZXl3b3JkPkJvZHkgTWFzcyBJbmRleDwva2V5d29yZD48a2V5d29yZD5FeGVyY2lzZSBUaGVy
YXB5LyptZXRob2RzPC9rZXl3b3JkPjxrZXl3b3JkPkZlbWFsZTwva2V5d29yZD48a2V5d29yZD5H
bHVjb3NlIEludG9sZXJhbmNlL3ByZXZlbnRpb24gJmFtcDsgY29udHJvbC8qdGhlcmFweTwva2V5
d29yZD48a2V5d29yZD5HbHVjb3NlIFRvbGVyYW5jZSBUZXN0PC9rZXl3b3JkPjxrZXl3b3JkPkhv
bWUgQ2FyZSBTZXJ2aWNlcy9zdGF0aXN0aWNzICZhbXA7IG51bWVyaWNhbCBkYXRhPC9rZXl3b3Jk
PjxrZXl3b3JkPkh1bWFuczwva2V5d29yZD48a2V5d29yZD5JbnN1bGluL2Jsb29kPC9rZXl3b3Jk
PjxrZXl3b3JkPk9iZXNpdHkvKnBoeXNpb3BhdGhvbG9neTwva2V5d29yZD48a2V5d29yZD5QaHlz
aWNhbCBGaXRuZXNzPC9rZXl3b3JkPjxrZXl3b3JkPlByZWduYW5jeTwva2V5d29yZD48a2V5d29y
ZD5QcmVnbmFuY3kgQ29tcGxpY2F0aW9ucy8qcGh5c2lvcGF0aG9sb2d5PC9rZXl3b3JkPjxrZXl3
b3JkPlByZWduYW5jeSBUcmltZXN0ZXIsIFNlY29uZDwva2V5d29yZD48L2tleXdvcmRzPjxkYXRl
cz48eWVhcj4yMDA5PC95ZWFyPjxwdWItZGF0ZXM+PGRhdGU+Tm92PC9kYXRlPjwvcHViLWRhdGVz
PjwvZGF0ZXM+PGlzYm4+MTg3OC0xNzgwIChFbGVjdHJvbmljKSYjeEQ7MTI2Mi0zNjM2IChMaW5r
aW5nKTwvaXNibj48YWNjZXNzaW9uLW51bT4xOTc0Nzg2OTwvYWNjZXNzaW9uLW51bT48dXJscz48
cmVsYXRlZC11cmxzPjx1cmw+aHR0cHM6Ly93d3cubmNiaS5ubG0ubmloLmdvdi9wdWJtZWQvMTk3
NDc4Njk8L3VybD48L3JlbGF0ZWQtdXJscz48L3VybHM+PGVsZWN0cm9uaWMtcmVzb3VyY2UtbnVt
PjEwLjEwMTYvai5kaWFiZXQuMjAwOS4wNC4wMDg8L2VsZWN0cm9uaWMtcmVzb3VyY2UtbnVtPjwv
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PEVuZE5vdGU+PENpdGU+PEF1dGhvcj5Pbmc8L0F1dGhvcj48WWVhcj4yMDA5PC9ZZWFyPjxSZWNO
dW0+NzAyPC9SZWNOdW0+PERpc3BsYXlUZXh0PjxzdHlsZSBmYWNlPSJzdXBlcnNjcmlwdCIgZm9u
dD0iVHJlYnVjaGV0IE1TIiBzaXplPSI5Ij40NTA8L3N0eWxlPjwvRGlzcGxheVRleHQ+PHJlY29y
ZD48cmVjLW51bWJlcj43MDI8L3JlYy1udW1iZXI+PGZvcmVpZ24ta2V5cz48a2V5IGFwcD0iRU4i
IGRiLWlkPSJleHZhc3JmeDJkdHJhb2VzYXN4cDJzenN4YTJkZjUwMjU5MngiIHRpbWVzdGFtcD0i
MTU0MDUzMDQ4MyI+NzAyPC9rZXk+PC9mb3JlaWduLWtleXM+PHJlZi10eXBlIG5hbWU9IkpvdXJu
YWwgQXJ0aWNsZSI+MTc8L3JlZi10eXBlPjxjb250cmlidXRvcnM+PGF1dGhvcnM+PGF1dGhvcj5P
bmcsIE0uIEouPC9hdXRob3I+PGF1dGhvcj5HdWVsZmksIEsuIEouPC9hdXRob3I+PGF1dGhvcj5I
dW50ZXIsIFQuPC9hdXRob3I+PGF1dGhvcj5XYWxsbWFuLCBLLiBFLjwvYXV0aG9yPjxhdXRob3I+
Rm91cm5pZXIsIFAuIEEuPC9hdXRob3I+PGF1dGhvcj5OZXduaGFtLCBKLiBQLjwvYXV0aG9yPjwv
YXV0aG9ycz48L2NvbnRyaWJ1dG9ycz48YXV0aC1hZGRyZXNzPlNjaG9vbCBvZiBTcG9ydCBTY2ll
bmNlLCBFeGVyY2lzZSBhbmQgSGVhbHRoLCBUaGUgVW5pdmVyc2l0eSBvZiBXZXN0ZXJuIEF1c3Ry
YWxpYSwgQ3Jhd2xleSwgV0EgNjAwOSwgQXVzdHJhbGlhLjwvYXV0aC1hZGRyZXNzPjx0aXRsZXM+
PHRpdGxlPlN1cGVydmlzZWQgaG9tZS1iYXNlZCBleGVyY2lzZSBtYXkgYXR0ZW51YXRlIHRoZSBk
ZWNsaW5lIG9mIGdsdWNvc2UgdG9sZXJhbmNlIGluIG9iZXNlIHByZWduYW50IHdvbWVuPC90aXRs
ZT48c2Vjb25kYXJ5LXRpdGxlPkRpYWJldGVzIE1ldGFiPC9zZWNvbmRhcnktdGl0bGU+PC90aXRs
ZXM+PHBlcmlvZGljYWw+PGZ1bGwtdGl0bGU+RGlhYmV0ZXMgTWV0YWI8L2Z1bGwtdGl0bGU+PC9w
ZXJpb2RpY2FsPjxwYWdlcz40MTgtMjE8L3BhZ2VzPjx2b2x1bWU+MzU8L3ZvbHVtZT48bnVtYmVy
PjU8L251bWJlcj48ZWRpdGlvbj4yMDA5LzA5LzE1PC9lZGl0aW9uPjxrZXl3b3Jkcz48a2V5d29y
ZD5BZHVsdDwva2V5d29yZD48a2V5d29yZD5CbG9vZCBHbHVjb3NlL2FuYWx5c2lzPC9rZXl3b3Jk
PjxrZXl3b3JkPkJvZHkgTWFzcyBJbmRleDwva2V5d29yZD48a2V5d29yZD5FeGVyY2lzZSBUaGVy
YXB5LyptZXRob2RzPC9rZXl3b3JkPjxrZXl3b3JkPkZlbWFsZTwva2V5d29yZD48a2V5d29yZD5H
bHVjb3NlIEludG9sZXJhbmNlL3ByZXZlbnRpb24gJmFtcDsgY29udHJvbC8qdGhlcmFweTwva2V5
d29yZD48a2V5d29yZD5HbHVjb3NlIFRvbGVyYW5jZSBUZXN0PC9rZXl3b3JkPjxrZXl3b3JkPkhv
bWUgQ2FyZSBTZXJ2aWNlcy9zdGF0aXN0aWNzICZhbXA7IG51bWVyaWNhbCBkYXRhPC9rZXl3b3Jk
PjxrZXl3b3JkPkh1bWFuczwva2V5d29yZD48a2V5d29yZD5JbnN1bGluL2Jsb29kPC9rZXl3b3Jk
PjxrZXl3b3JkPk9iZXNpdHkvKnBoeXNpb3BhdGhvbG9neTwva2V5d29yZD48a2V5d29yZD5QaHlz
aWNhbCBGaXRuZXNzPC9rZXl3b3JkPjxrZXl3b3JkPlByZWduYW5jeTwva2V5d29yZD48a2V5d29y
ZD5QcmVnbmFuY3kgQ29tcGxpY2F0aW9ucy8qcGh5c2lvcGF0aG9sb2d5PC9rZXl3b3JkPjxrZXl3
b3JkPlByZWduYW5jeSBUcmltZXN0ZXIsIFNlY29uZDwva2V5d29yZD48L2tleXdvcmRzPjxkYXRl
cz48eWVhcj4yMDA5PC95ZWFyPjxwdWItZGF0ZXM+PGRhdGU+Tm92PC9kYXRlPjwvcHViLWRhdGVz
PjwvZGF0ZXM+PGlzYm4+MTg3OC0xNzgwIChFbGVjdHJvbmljKSYjeEQ7MTI2Mi0zNjM2IChMaW5r
aW5nKTwvaXNibj48YWNjZXNzaW9uLW51bT4xOTc0Nzg2OTwvYWNjZXNzaW9uLW51bT48dXJscz48
cmVsYXRlZC11cmxzPjx1cmw+aHR0cHM6Ly93d3cubmNiaS5ubG0ubmloLmdvdi9wdWJtZWQvMTk3
NDc4Njk8L3VybD48L3JlbGF0ZWQtdXJscz48L3VybHM+PGVsZWN0cm9uaWMtcmVzb3VyY2UtbnVt
PjEwLjEwMTYvai5kaWFiZXQuMjAwOS4wNC4wMDg8L2VsZWN0cm9uaWMtcmVzb3VyY2UtbnVtPjwv
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450</w:t>
            </w:r>
            <w:r>
              <w:rPr>
                <w:sz w:val="16"/>
                <w:szCs w:val="16"/>
              </w:rPr>
              <w:fldChar w:fldCharType="end"/>
            </w:r>
          </w:p>
        </w:tc>
      </w:tr>
      <w:tr w:rsidR="008E765F" w:rsidRPr="00C12274" w14:paraId="1F6F5203" w14:textId="77777777" w:rsidTr="00BC7AEC">
        <w:trPr>
          <w:cantSplit/>
        </w:trPr>
        <w:tc>
          <w:tcPr>
            <w:tcW w:w="1560" w:type="dxa"/>
            <w:shd w:val="clear" w:color="D9E2F3" w:themeColor="accent1" w:themeTint="33" w:fill="auto"/>
          </w:tcPr>
          <w:p w14:paraId="7BB0630D"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38D4E3A2"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A2D85B5" w14:textId="77777777" w:rsidR="008E765F" w:rsidRPr="00C12274" w:rsidRDefault="008E765F" w:rsidP="006045AE">
            <w:pPr>
              <w:pStyle w:val="RCTstable"/>
              <w:keepNext/>
            </w:pPr>
            <w:r w:rsidRPr="00C12274">
              <w:t>Described as “women were randomly allocated into either an exercise intervention group or a control group”, no other information available</w:t>
            </w:r>
          </w:p>
        </w:tc>
      </w:tr>
      <w:tr w:rsidR="008E765F" w:rsidRPr="00C12274" w14:paraId="0066A667" w14:textId="77777777" w:rsidTr="00BC7AEC">
        <w:trPr>
          <w:cantSplit/>
        </w:trPr>
        <w:tc>
          <w:tcPr>
            <w:tcW w:w="1560" w:type="dxa"/>
            <w:shd w:val="clear" w:color="D9E2F3" w:themeColor="accent1" w:themeTint="33" w:fill="auto"/>
          </w:tcPr>
          <w:p w14:paraId="0CAA0E17"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72EB4964"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76B74A5" w14:textId="77777777" w:rsidR="008E765F" w:rsidRPr="00C12274" w:rsidRDefault="008E765F" w:rsidP="006045AE">
            <w:pPr>
              <w:pStyle w:val="RCTstable"/>
              <w:keepNext/>
            </w:pPr>
            <w:r w:rsidRPr="00C12274">
              <w:t>Not described</w:t>
            </w:r>
          </w:p>
        </w:tc>
      </w:tr>
      <w:tr w:rsidR="008E765F" w:rsidRPr="00C12274" w14:paraId="65896A69" w14:textId="77777777" w:rsidTr="00BC7AEC">
        <w:trPr>
          <w:cantSplit/>
        </w:trPr>
        <w:tc>
          <w:tcPr>
            <w:tcW w:w="1560" w:type="dxa"/>
            <w:shd w:val="clear" w:color="D9E2F3" w:themeColor="accent1" w:themeTint="33" w:fill="auto"/>
          </w:tcPr>
          <w:p w14:paraId="7D0A6354" w14:textId="77777777" w:rsidR="008E765F" w:rsidRPr="00C12274" w:rsidRDefault="008E765F" w:rsidP="006045A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12918A47"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47271EC" w14:textId="77777777" w:rsidR="008E765F" w:rsidRPr="00C12274" w:rsidRDefault="008E765F" w:rsidP="006045AE">
            <w:pPr>
              <w:pStyle w:val="RCTstable"/>
              <w:keepNext/>
            </w:pPr>
            <w:r w:rsidRPr="00C12274">
              <w:t>No information available on whether outcome assessors were blinded to group allocation or not</w:t>
            </w:r>
          </w:p>
        </w:tc>
      </w:tr>
      <w:tr w:rsidR="00940D12" w:rsidRPr="00C12274" w14:paraId="1665D529" w14:textId="77777777" w:rsidTr="00BC7AEC">
        <w:trPr>
          <w:cantSplit/>
        </w:trPr>
        <w:tc>
          <w:tcPr>
            <w:tcW w:w="1560" w:type="dxa"/>
            <w:shd w:val="clear" w:color="D9E2F3" w:themeColor="accent1" w:themeTint="33" w:fill="auto"/>
          </w:tcPr>
          <w:p w14:paraId="7BCA20B3" w14:textId="77777777" w:rsidR="00940D12" w:rsidRPr="00C12274" w:rsidRDefault="00940D12"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FFC000" w:themeFill="accent4"/>
          </w:tcPr>
          <w:p w14:paraId="14557F99" w14:textId="77777777" w:rsidR="00940D12" w:rsidRPr="00C12274" w:rsidRDefault="00940D12" w:rsidP="009740A7">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F0CBAC5" w14:textId="77777777" w:rsidR="00940D12" w:rsidRPr="00C12274" w:rsidRDefault="00940D12" w:rsidP="009740A7">
            <w:pPr>
              <w:pStyle w:val="RCTstable"/>
              <w:keepNext/>
            </w:pPr>
            <w:r w:rsidRPr="00C12274">
              <w:t>Not described</w:t>
            </w:r>
          </w:p>
        </w:tc>
      </w:tr>
      <w:tr w:rsidR="008E765F" w:rsidRPr="00C12274" w14:paraId="77254920" w14:textId="77777777" w:rsidTr="00BC7AEC">
        <w:trPr>
          <w:cantSplit/>
        </w:trPr>
        <w:tc>
          <w:tcPr>
            <w:tcW w:w="1560" w:type="dxa"/>
            <w:shd w:val="clear" w:color="D9E2F3" w:themeColor="accent1" w:themeTint="33" w:fill="auto"/>
          </w:tcPr>
          <w:p w14:paraId="63C42BC3"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77CFCE13"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7A21A0DD" w14:textId="77777777" w:rsidR="008E765F" w:rsidRPr="00C12274" w:rsidRDefault="008E765F" w:rsidP="00611251">
            <w:pPr>
              <w:pStyle w:val="RCTstable"/>
            </w:pPr>
            <w:r w:rsidRPr="00C12274">
              <w:t>No losses to follow-up or post randomisation exclusion.</w:t>
            </w:r>
          </w:p>
        </w:tc>
      </w:tr>
      <w:tr w:rsidR="008E765F" w:rsidRPr="00C12274" w14:paraId="46CDAE1C" w14:textId="77777777" w:rsidTr="00BC7AEC">
        <w:trPr>
          <w:cantSplit/>
        </w:trPr>
        <w:tc>
          <w:tcPr>
            <w:tcW w:w="1560" w:type="dxa"/>
            <w:shd w:val="clear" w:color="D9E2F3" w:themeColor="accent1" w:themeTint="33" w:fill="auto"/>
          </w:tcPr>
          <w:p w14:paraId="6C7340CA"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1C898271"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25DE2AB"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37B7B050" w14:textId="77777777" w:rsidTr="00BC7AEC">
        <w:trPr>
          <w:cantSplit/>
        </w:trPr>
        <w:tc>
          <w:tcPr>
            <w:tcW w:w="1560" w:type="dxa"/>
            <w:shd w:val="clear" w:color="D9E2F3" w:themeColor="accent1" w:themeTint="33" w:fill="auto"/>
          </w:tcPr>
          <w:p w14:paraId="5B9D48E7"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C02B2DD"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4E94A62B" w14:textId="77777777" w:rsidR="008E765F" w:rsidRPr="00C12274" w:rsidRDefault="008E765F" w:rsidP="00611251">
            <w:pPr>
              <w:pStyle w:val="RCTstable"/>
            </w:pPr>
            <w:r w:rsidRPr="00C12274">
              <w:t>No obvious risk of other bias.</w:t>
            </w:r>
          </w:p>
        </w:tc>
      </w:tr>
      <w:tr w:rsidR="008E765F" w:rsidRPr="00C12274" w14:paraId="5036512D" w14:textId="77777777" w:rsidTr="00BC7AEC">
        <w:trPr>
          <w:cantSplit/>
        </w:trPr>
        <w:tc>
          <w:tcPr>
            <w:tcW w:w="14034" w:type="dxa"/>
            <w:gridSpan w:val="3"/>
            <w:shd w:val="solid" w:color="D9E2F3" w:themeColor="accent1" w:themeTint="33" w:fill="auto"/>
          </w:tcPr>
          <w:p w14:paraId="1CF3CE19" w14:textId="78F590A8"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Oostdam et al 2012</w:t>
            </w:r>
            <w:r>
              <w:rPr>
                <w:sz w:val="16"/>
                <w:szCs w:val="16"/>
              </w:rPr>
              <w:fldChar w:fldCharType="begin">
                <w:fldData xml:space="preserve">PEVuZE5vdGU+PENpdGU+PEF1dGhvcj5Pb3N0ZGFtPC9BdXRob3I+PFllYXI+MjAxMjwvWWVhcj48
UmVjTnVtPjYxMDwvUmVjTnVtPjxEaXNwbGF5VGV4dD48c3R5bGUgZmFjZT0ic3VwZXJzY3JpcHQi
IGZvbnQ9IlRyZWJ1Y2hldCBNUyIgc2l6ZT0iOSI+NDM4PC9zdHlsZT48L0Rpc3BsYXlUZXh0Pjxy
ZWNvcmQ+PHJlYy1udW1iZXI+NjEwPC9yZWMtbnVtYmVyPjxmb3JlaWduLWtleXM+PGtleSBhcHA9
IkVOIiBkYi1pZD0iZXh2YXNyZngyZHRyYW9lc2FzeHAyc3pzeGEyZGY1MDI1OTJ4IiB0aW1lc3Rh
bXA9IjE1MzkwNDgzNDUiPjYxMDwva2V5PjxrZXkgYXBwPSJFTldlYiIgZGItaWQ9IiI+MDwva2V5
PjwvZm9yZWlnbi1rZXlzPjxyZWYtdHlwZSBuYW1lPSJKb3VybmFsIEFydGljbGUiPjE3PC9yZWYt
dHlwZT48Y29udHJpYnV0b3JzPjxhdXRob3JzPjxhdXRob3I+T29zdGRhbSwgTi48L2F1dGhvcj48
YXV0aG9yPnZhbiBQb3BwZWwsIE0uIE4uPC9hdXRob3I+PGF1dGhvcj5Xb3V0ZXJzLCBNLiBHLjwv
YXV0aG9yPjxhdXRob3I+RWVraG9mZiwgRS4gTS48L2F1dGhvcj48YXV0aG9yPkJla2VkYW0sIEQu
IEouPC9hdXRob3I+PGF1dGhvcj5LdWNoZW5iZWNrZXIsIFcuIEsuPC9hdXRob3I+PGF1dGhvcj5R
dWFydGVybywgSC4gVy48L2F1dGhvcj48YXV0aG9yPkhlcmVzLCBNLiBILjwvYXV0aG9yPjxhdXRo
b3I+dmFuIE1lY2hlbGVuLCBXLjwvYXV0aG9yPjwvYXV0aG9ycz48L2NvbnRyaWJ1dG9ycz48YXV0
aC1hZGRyZXNzPkRlcGFydG1lbnQgb2YgUHVibGljIGFuZCBPY2N1cGF0aW9uYWwgSGVhbHRoLCBF
TUdPKyBJbnN0aXR1dGUgZm9yIEhlYWx0aCBhbmQgQ2FyZSBSZXNlYXJjaCwgVlUgVW5pdmVyc2l0
eSBNZWRpY2FsIENlbnRlciwgQW1zdGVyZGFtLCBUaGUgTmV0aGVybGFuZHMuPC9hdXRoLWFkZHJl
c3M+PHRpdGxlcz48dGl0bGU+Tm8gZWZmZWN0IG9mIHRoZSBGaXRGb3IyIGV4ZXJjaXNlIHByb2dy
YW1tZSBvbiBibG9vZCBnbHVjb3NlLCBpbnN1bGluIHNlbnNpdGl2aXR5LCBhbmQgYmlydGh3ZWln
aHQgaW4gcHJlZ25hbnQgd29tZW4gd2hvIHdlcmUgb3ZlcndlaWdodCBhbmQgYXQgcmlzayBmb3Ig
Z2VzdGF0aW9uYWwgZGlhYmV0ZXM6IHJlc3VsdHMgb2YgYSByYW5kb21pc2VkIGNvbnRyb2xsZWQg
dHJpYWw8L3RpdGxlPjxzZWNvbmRhcnktdGl0bGU+QkpPRzwvc2Vjb25kYXJ5LXRpdGxlPjwvdGl0
bGVzPjxwZXJpb2RpY2FsPjxmdWxsLXRpdGxlPkJKT0c8L2Z1bGwtdGl0bGU+PC9wZXJpb2RpY2Fs
PjxwYWdlcz4xMDk4LTEwNzwvcGFnZXM+PHZvbHVtZT4xMTk8L3ZvbHVtZT48bnVtYmVyPjk8L251
bWJlcj48ZWRpdGlvbj4yMDEyLzA1LzI0PC9lZGl0aW9uPjxrZXl3b3Jkcz48a2V5d29yZD5BZHVs
dDwva2V5d29yZD48a2V5d29yZD5CaXJ0aCBXZWlnaHQvKnBoeXNpb2xvZ3k8L2tleXdvcmQ+PGtl
eXdvcmQ+Qmxvb2QgR2x1Y29zZS8qbWV0YWJvbGlzbTwva2V5d29yZD48a2V5d29yZD5EaWFiZXRl
cyBNZWxsaXR1cywgVHlwZSAyL2dlbmV0aWNzPC9rZXl3b3JkPjxrZXl3b3JkPkRpYWJldGVzLCBH
ZXN0YXRpb25hbC9ibG9vZC9waHlzaW9wYXRob2xvZ3kvKnByZXZlbnRpb24gJmFtcDsgY29udHJv
bDwva2V5d29yZD48a2V5d29yZD5FeGVyY2lzZSBUaGVyYXB5LyptZXRob2RzPC9rZXl3b3JkPjxr
ZXl3b3JkPkZhc3RpbmcvYmxvb2Q8L2tleXdvcmQ+PGtleXdvcmQ+RmVtYWxlPC9rZXl3b3JkPjxr
ZXl3b3JkPkdlc3RhdGlvbmFsIEFnZTwva2V5d29yZD48a2V5d29yZD5HbHljYXRlZCBIZW1vZ2xv
YmluIEEvbWV0YWJvbGlzbTwva2V5d29yZD48a2V5d29yZD5IdW1hbnM8L2tleXdvcmQ+PGtleXdv
cmQ+SW5zdWxpbiBSZXNpc3RhbmNlLypwaHlzaW9sb2d5PC9rZXl3b3JkPjxrZXl3b3JkPk92ZXJ3
ZWlnaHQvYmxvb2QvcGh5c2lvcGF0aG9sb2d5Lyp0aGVyYXB5PC9rZXl3b3JkPjxrZXl3b3JkPlBh
dGllbnQgQ29tcGxpYW5jZTwva2V5d29yZD48a2V5d29yZD5QZWRpZ3JlZTwva2V5d29yZD48a2V5
d29yZD5QcmVnbmFuY3k8L2tleXdvcmQ+PGtleXdvcmQ+UHJlZ25hbmN5IE91dGNvbWU8L2tleXdv
cmQ+PGtleXdvcmQ+UHJlZ25hbmN5IFRyaW1lc3RlciwgU2Vjb25kPC9rZXl3b3JkPjxrZXl3b3Jk
PlByZWduYW5jeSBUcmltZXN0ZXIsIFRoaXJkPC9rZXl3b3JkPjwva2V5d29yZHM+PGRhdGVzPjx5
ZWFyPjIwMTI8L3llYXI+PHB1Yi1kYXRlcz48ZGF0ZT5BdWc8L2RhdGU+PC9wdWItZGF0ZXM+PC9k
YXRlcz48aXNibj4xNDcxLTA1MjggKEVsZWN0cm9uaWMpJiN4RDsxNDcwLTAzMjggKExpbmtpbmcp
PC9pc2JuPjxhY2Nlc3Npb24tbnVtPjIyNjE2OTEzPC9hY2Nlc3Npb24tbnVtPjx1cmxzPjxyZWxh
dGVkLXVybHM+PHVybD5odHRwczovL3d3dy5uY2JpLm5sbS5uaWguZ292L3B1Ym1lZC8yMjYxNjkx
MzwvdXJsPjwvcmVsYXRlZC11cmxzPjwvdXJscz48ZWxlY3Ryb25pYy1yZXNvdXJjZS1udW0+MTAu
MTExMS9qLjE0NzEtMDUyOC4yMDEyLjAzMzY2Lng8L2VsZWN0cm9uaWMtcmVzb3VyY2UtbnVtPjwv
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PEVuZE5vdGU+PENpdGU+PEF1dGhvcj5Pb3N0ZGFtPC9BdXRob3I+PFllYXI+MjAxMjwvWWVhcj48
UmVjTnVtPjYxMDwvUmVjTnVtPjxEaXNwbGF5VGV4dD48c3R5bGUgZmFjZT0ic3VwZXJzY3JpcHQi
IGZvbnQ9IlRyZWJ1Y2hldCBNUyIgc2l6ZT0iOSI+NDM4PC9zdHlsZT48L0Rpc3BsYXlUZXh0Pjxy
ZWNvcmQ+PHJlYy1udW1iZXI+NjEwPC9yZWMtbnVtYmVyPjxmb3JlaWduLWtleXM+PGtleSBhcHA9
IkVOIiBkYi1pZD0iZXh2YXNyZngyZHRyYW9lc2FzeHAyc3pzeGEyZGY1MDI1OTJ4IiB0aW1lc3Rh
bXA9IjE1MzkwNDgzNDUiPjYxMDwva2V5PjxrZXkgYXBwPSJFTldlYiIgZGItaWQ9IiI+MDwva2V5
PjwvZm9yZWlnbi1rZXlzPjxyZWYtdHlwZSBuYW1lPSJKb3VybmFsIEFydGljbGUiPjE3PC9yZWYt
dHlwZT48Y29udHJpYnV0b3JzPjxhdXRob3JzPjxhdXRob3I+T29zdGRhbSwgTi48L2F1dGhvcj48
YXV0aG9yPnZhbiBQb3BwZWwsIE0uIE4uPC9hdXRob3I+PGF1dGhvcj5Xb3V0ZXJzLCBNLiBHLjwv
YXV0aG9yPjxhdXRob3I+RWVraG9mZiwgRS4gTS48L2F1dGhvcj48YXV0aG9yPkJla2VkYW0sIEQu
IEouPC9hdXRob3I+PGF1dGhvcj5LdWNoZW5iZWNrZXIsIFcuIEsuPC9hdXRob3I+PGF1dGhvcj5R
dWFydGVybywgSC4gVy48L2F1dGhvcj48YXV0aG9yPkhlcmVzLCBNLiBILjwvYXV0aG9yPjxhdXRo
b3I+dmFuIE1lY2hlbGVuLCBXLjwvYXV0aG9yPjwvYXV0aG9ycz48L2NvbnRyaWJ1dG9ycz48YXV0
aC1hZGRyZXNzPkRlcGFydG1lbnQgb2YgUHVibGljIGFuZCBPY2N1cGF0aW9uYWwgSGVhbHRoLCBF
TUdPKyBJbnN0aXR1dGUgZm9yIEhlYWx0aCBhbmQgQ2FyZSBSZXNlYXJjaCwgVlUgVW5pdmVyc2l0
eSBNZWRpY2FsIENlbnRlciwgQW1zdGVyZGFtLCBUaGUgTmV0aGVybGFuZHMuPC9hdXRoLWFkZHJl
c3M+PHRpdGxlcz48dGl0bGU+Tm8gZWZmZWN0IG9mIHRoZSBGaXRGb3IyIGV4ZXJjaXNlIHByb2dy
YW1tZSBvbiBibG9vZCBnbHVjb3NlLCBpbnN1bGluIHNlbnNpdGl2aXR5LCBhbmQgYmlydGh3ZWln
aHQgaW4gcHJlZ25hbnQgd29tZW4gd2hvIHdlcmUgb3ZlcndlaWdodCBhbmQgYXQgcmlzayBmb3Ig
Z2VzdGF0aW9uYWwgZGlhYmV0ZXM6IHJlc3VsdHMgb2YgYSByYW5kb21pc2VkIGNvbnRyb2xsZWQg
dHJpYWw8L3RpdGxlPjxzZWNvbmRhcnktdGl0bGU+QkpPRzwvc2Vjb25kYXJ5LXRpdGxlPjwvdGl0
bGVzPjxwZXJpb2RpY2FsPjxmdWxsLXRpdGxlPkJKT0c8L2Z1bGwtdGl0bGU+PC9wZXJpb2RpY2Fs
PjxwYWdlcz4xMDk4LTEwNzwvcGFnZXM+PHZvbHVtZT4xMTk8L3ZvbHVtZT48bnVtYmVyPjk8L251
bWJlcj48ZWRpdGlvbj4yMDEyLzA1LzI0PC9lZGl0aW9uPjxrZXl3b3Jkcz48a2V5d29yZD5BZHVs
dDwva2V5d29yZD48a2V5d29yZD5CaXJ0aCBXZWlnaHQvKnBoeXNpb2xvZ3k8L2tleXdvcmQ+PGtl
eXdvcmQ+Qmxvb2QgR2x1Y29zZS8qbWV0YWJvbGlzbTwva2V5d29yZD48a2V5d29yZD5EaWFiZXRl
cyBNZWxsaXR1cywgVHlwZSAyL2dlbmV0aWNzPC9rZXl3b3JkPjxrZXl3b3JkPkRpYWJldGVzLCBH
ZXN0YXRpb25hbC9ibG9vZC9waHlzaW9wYXRob2xvZ3kvKnByZXZlbnRpb24gJmFtcDsgY29udHJv
bDwva2V5d29yZD48a2V5d29yZD5FeGVyY2lzZSBUaGVyYXB5LyptZXRob2RzPC9rZXl3b3JkPjxr
ZXl3b3JkPkZhc3RpbmcvYmxvb2Q8L2tleXdvcmQ+PGtleXdvcmQ+RmVtYWxlPC9rZXl3b3JkPjxr
ZXl3b3JkPkdlc3RhdGlvbmFsIEFnZTwva2V5d29yZD48a2V5d29yZD5HbHljYXRlZCBIZW1vZ2xv
YmluIEEvbWV0YWJvbGlzbTwva2V5d29yZD48a2V5d29yZD5IdW1hbnM8L2tleXdvcmQ+PGtleXdv
cmQ+SW5zdWxpbiBSZXNpc3RhbmNlLypwaHlzaW9sb2d5PC9rZXl3b3JkPjxrZXl3b3JkPk92ZXJ3
ZWlnaHQvYmxvb2QvcGh5c2lvcGF0aG9sb2d5Lyp0aGVyYXB5PC9rZXl3b3JkPjxrZXl3b3JkPlBh
dGllbnQgQ29tcGxpYW5jZTwva2V5d29yZD48a2V5d29yZD5QZWRpZ3JlZTwva2V5d29yZD48a2V5
d29yZD5QcmVnbmFuY3k8L2tleXdvcmQ+PGtleXdvcmQ+UHJlZ25hbmN5IE91dGNvbWU8L2tleXdv
cmQ+PGtleXdvcmQ+UHJlZ25hbmN5IFRyaW1lc3RlciwgU2Vjb25kPC9rZXl3b3JkPjxrZXl3b3Jk
PlByZWduYW5jeSBUcmltZXN0ZXIsIFRoaXJkPC9rZXl3b3JkPjwva2V5d29yZHM+PGRhdGVzPjx5
ZWFyPjIwMTI8L3llYXI+PHB1Yi1kYXRlcz48ZGF0ZT5BdWc8L2RhdGU+PC9wdWItZGF0ZXM+PC9k
YXRlcz48aXNibj4xNDcxLTA1MjggKEVsZWN0cm9uaWMpJiN4RDsxNDcwLTAzMjggKExpbmtpbmcp
PC9pc2JuPjxhY2Nlc3Npb24tbnVtPjIyNjE2OTEzPC9hY2Nlc3Npb24tbnVtPjx1cmxzPjxyZWxh
dGVkLXVybHM+PHVybD5odHRwczovL3d3dy5uY2JpLm5sbS5uaWguZ292L3B1Ym1lZC8yMjYxNjkx
MzwvdXJsPjwvcmVsYXRlZC11cmxzPjwvdXJscz48ZWxlY3Ryb25pYy1yZXNvdXJjZS1udW0+MTAu
MTExMS9qLjE0NzEtMDUyOC4yMDEyLjAzMzY2Lng8L2VsZWN0cm9uaWMtcmVzb3VyY2UtbnVtPjwv
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438</w:t>
            </w:r>
            <w:r>
              <w:rPr>
                <w:sz w:val="16"/>
                <w:szCs w:val="16"/>
              </w:rPr>
              <w:fldChar w:fldCharType="end"/>
            </w:r>
          </w:p>
        </w:tc>
      </w:tr>
      <w:tr w:rsidR="008E765F" w:rsidRPr="00C12274" w14:paraId="2F77D3E1" w14:textId="77777777" w:rsidTr="00BC7AEC">
        <w:trPr>
          <w:cantSplit/>
        </w:trPr>
        <w:tc>
          <w:tcPr>
            <w:tcW w:w="1560" w:type="dxa"/>
            <w:shd w:val="clear" w:color="D9E2F3" w:themeColor="accent1" w:themeTint="33" w:fill="auto"/>
          </w:tcPr>
          <w:p w14:paraId="4ED4F8BF"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5B57A99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vAlign w:val="center"/>
          </w:tcPr>
          <w:p w14:paraId="4D1165B6" w14:textId="77777777" w:rsidR="008E765F" w:rsidRPr="00C12274" w:rsidRDefault="008E765F" w:rsidP="00611251">
            <w:pPr>
              <w:pStyle w:val="RCTstable"/>
              <w:keepNext/>
            </w:pPr>
            <w:r w:rsidRPr="00C12274">
              <w:t>Block randomisation, stratified by hospital.</w:t>
            </w:r>
          </w:p>
        </w:tc>
      </w:tr>
      <w:tr w:rsidR="008E765F" w:rsidRPr="00C12274" w14:paraId="29D9491C" w14:textId="77777777" w:rsidTr="00BC7AEC">
        <w:trPr>
          <w:cantSplit/>
        </w:trPr>
        <w:tc>
          <w:tcPr>
            <w:tcW w:w="1560" w:type="dxa"/>
            <w:shd w:val="clear" w:color="D9E2F3" w:themeColor="accent1" w:themeTint="33" w:fill="auto"/>
          </w:tcPr>
          <w:p w14:paraId="230833A2"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0CB19FFA"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vAlign w:val="center"/>
          </w:tcPr>
          <w:p w14:paraId="1552F04C" w14:textId="77777777" w:rsidR="008E765F" w:rsidRPr="00C12274" w:rsidRDefault="008E765F" w:rsidP="00611251">
            <w:pPr>
              <w:pStyle w:val="RCTstable"/>
              <w:keepNext/>
            </w:pPr>
            <w:r w:rsidRPr="00C12274">
              <w:t>Women were recruited by midwives and gynaecologists who were unaware of the allocation of other women, with no risk of compromising allocation concealment.</w:t>
            </w:r>
          </w:p>
        </w:tc>
      </w:tr>
      <w:tr w:rsidR="008E765F" w:rsidRPr="00C12274" w14:paraId="6707E89F" w14:textId="77777777" w:rsidTr="00BC7AEC">
        <w:trPr>
          <w:cantSplit/>
        </w:trPr>
        <w:tc>
          <w:tcPr>
            <w:tcW w:w="1560" w:type="dxa"/>
            <w:shd w:val="clear" w:color="D9E2F3" w:themeColor="accent1" w:themeTint="33" w:fill="auto"/>
          </w:tcPr>
          <w:p w14:paraId="0FD6852D"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33BFC632" w14:textId="6114008F" w:rsidR="008E765F" w:rsidRPr="00C12274" w:rsidRDefault="00940D12" w:rsidP="00611251">
            <w:pPr>
              <w:keepNext/>
              <w:spacing w:before="40" w:after="40" w:line="220" w:lineRule="exact"/>
              <w:rPr>
                <w:sz w:val="16"/>
                <w:szCs w:val="16"/>
              </w:rPr>
            </w:pPr>
            <w:r>
              <w:rPr>
                <w:sz w:val="16"/>
                <w:szCs w:val="16"/>
              </w:rPr>
              <w:t>Unclear</w:t>
            </w:r>
            <w:r w:rsidR="008E765F" w:rsidRPr="00C12274">
              <w:rPr>
                <w:sz w:val="16"/>
                <w:szCs w:val="16"/>
              </w:rPr>
              <w:t xml:space="preserve"> risk</w:t>
            </w:r>
          </w:p>
        </w:tc>
        <w:tc>
          <w:tcPr>
            <w:tcW w:w="11199" w:type="dxa"/>
            <w:shd w:val="clear" w:color="D9E2F3" w:themeColor="accent1" w:themeTint="33" w:fill="auto"/>
            <w:vAlign w:val="center"/>
          </w:tcPr>
          <w:p w14:paraId="5F234481" w14:textId="447DB176" w:rsidR="008E765F" w:rsidRPr="00C12274" w:rsidRDefault="00940D12" w:rsidP="00611251">
            <w:pPr>
              <w:pStyle w:val="RCTstable"/>
              <w:keepNext/>
            </w:pPr>
            <w:r>
              <w:t>Not described</w:t>
            </w:r>
          </w:p>
        </w:tc>
      </w:tr>
      <w:tr w:rsidR="00940D12" w:rsidRPr="00C12274" w14:paraId="32D1C46B" w14:textId="77777777" w:rsidTr="00BC7AEC">
        <w:trPr>
          <w:cantSplit/>
        </w:trPr>
        <w:tc>
          <w:tcPr>
            <w:tcW w:w="1560" w:type="dxa"/>
            <w:shd w:val="clear" w:color="D9E2F3" w:themeColor="accent1" w:themeTint="33" w:fill="auto"/>
          </w:tcPr>
          <w:p w14:paraId="551F2A6D" w14:textId="77777777" w:rsidR="00940D12" w:rsidRPr="00C12274" w:rsidRDefault="00940D12" w:rsidP="009740A7">
            <w:pPr>
              <w:keepNext/>
              <w:spacing w:before="40" w:after="40" w:line="220" w:lineRule="exact"/>
              <w:rPr>
                <w:sz w:val="16"/>
                <w:szCs w:val="16"/>
              </w:rPr>
            </w:pPr>
            <w:r>
              <w:rPr>
                <w:sz w:val="16"/>
                <w:szCs w:val="16"/>
              </w:rPr>
              <w:t>Detection bias</w:t>
            </w:r>
            <w:r w:rsidRPr="00C12274">
              <w:rPr>
                <w:sz w:val="16"/>
                <w:szCs w:val="16"/>
              </w:rPr>
              <w:t xml:space="preserve"> </w:t>
            </w:r>
          </w:p>
        </w:tc>
        <w:tc>
          <w:tcPr>
            <w:tcW w:w="1275" w:type="dxa"/>
            <w:shd w:val="clear" w:color="D9E2F3" w:themeColor="accent1" w:themeTint="33" w:fill="70AD47" w:themeFill="accent6"/>
          </w:tcPr>
          <w:p w14:paraId="27AB8B10" w14:textId="5D04DDB3" w:rsidR="00940D12" w:rsidRPr="00C12274" w:rsidRDefault="00940D12" w:rsidP="009740A7">
            <w:pPr>
              <w:keepNext/>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7B02BB20" w14:textId="77F12135" w:rsidR="00940D12" w:rsidRPr="00C12274" w:rsidRDefault="00940D12" w:rsidP="009740A7">
            <w:pPr>
              <w:pStyle w:val="RCTstable"/>
              <w:keepNext/>
            </w:pPr>
            <w:r w:rsidRPr="00C12274">
              <w:t>All outcome measures were assessed by independent examiners, unaware of group allocation.</w:t>
            </w:r>
          </w:p>
        </w:tc>
      </w:tr>
      <w:tr w:rsidR="008E765F" w:rsidRPr="00C12274" w14:paraId="061D45CE" w14:textId="77777777" w:rsidTr="00BC7AEC">
        <w:trPr>
          <w:cantSplit/>
        </w:trPr>
        <w:tc>
          <w:tcPr>
            <w:tcW w:w="1560" w:type="dxa"/>
            <w:shd w:val="clear" w:color="D9E2F3" w:themeColor="accent1" w:themeTint="33" w:fill="auto"/>
          </w:tcPr>
          <w:p w14:paraId="3573FAD9"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3D6B1D91" w14:textId="77777777" w:rsidR="008E765F" w:rsidRPr="00C12274" w:rsidRDefault="008E765F" w:rsidP="00611251">
            <w:pPr>
              <w:keepNext/>
              <w:spacing w:before="40" w:after="40" w:line="220" w:lineRule="exact"/>
              <w:rPr>
                <w:sz w:val="16"/>
                <w:szCs w:val="16"/>
              </w:rPr>
            </w:pPr>
            <w:r w:rsidRPr="00C12274">
              <w:rPr>
                <w:sz w:val="16"/>
                <w:szCs w:val="16"/>
              </w:rPr>
              <w:t>High risk</w:t>
            </w:r>
          </w:p>
        </w:tc>
        <w:tc>
          <w:tcPr>
            <w:tcW w:w="11199" w:type="dxa"/>
            <w:shd w:val="clear" w:color="D9E2F3" w:themeColor="accent1" w:themeTint="33" w:fill="auto"/>
            <w:vAlign w:val="center"/>
          </w:tcPr>
          <w:p w14:paraId="515A0922" w14:textId="77777777" w:rsidR="008E765F" w:rsidRPr="00C12274" w:rsidRDefault="008E765F" w:rsidP="00611251">
            <w:pPr>
              <w:pStyle w:val="RCTstable"/>
              <w:keepNext/>
              <w:rPr>
                <w:lang w:val="en-US"/>
              </w:rPr>
            </w:pPr>
            <w:r w:rsidRPr="00C12274">
              <w:t>High dropout rates, especially at 32 weeks (19/62 [31%] did not respond in intervention group and 12/59 [20%] did not respond in control group). For GWG outcome dropout rate was 31% overall</w:t>
            </w:r>
          </w:p>
        </w:tc>
      </w:tr>
      <w:tr w:rsidR="008E765F" w:rsidRPr="00C12274" w14:paraId="028721A9" w14:textId="77777777" w:rsidTr="00BC7AEC">
        <w:trPr>
          <w:cantSplit/>
        </w:trPr>
        <w:tc>
          <w:tcPr>
            <w:tcW w:w="1560" w:type="dxa"/>
            <w:shd w:val="clear" w:color="D9E2F3" w:themeColor="accent1" w:themeTint="33" w:fill="auto"/>
          </w:tcPr>
          <w:p w14:paraId="2C0BAB41"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56B5B806" w14:textId="77777777" w:rsidR="008E765F" w:rsidRPr="00C12274" w:rsidRDefault="008E765F" w:rsidP="00611251">
            <w:pPr>
              <w:pStyle w:val="RCTstable"/>
            </w:pPr>
            <w:r w:rsidRPr="00C12274">
              <w:t>Low risk</w:t>
            </w:r>
          </w:p>
        </w:tc>
        <w:tc>
          <w:tcPr>
            <w:tcW w:w="11199" w:type="dxa"/>
            <w:shd w:val="clear" w:color="D9E2F3" w:themeColor="accent1" w:themeTint="33" w:fill="auto"/>
            <w:vAlign w:val="center"/>
          </w:tcPr>
          <w:p w14:paraId="1461AF19" w14:textId="77777777" w:rsidR="008E765F" w:rsidRPr="00C12274" w:rsidRDefault="008E765F" w:rsidP="00611251">
            <w:pPr>
              <w:pStyle w:val="RCTstable"/>
            </w:pPr>
            <w:r w:rsidRPr="00C12274">
              <w:t>Pre-specified outcomes reported.</w:t>
            </w:r>
          </w:p>
        </w:tc>
      </w:tr>
      <w:tr w:rsidR="008E765F" w:rsidRPr="00C12274" w14:paraId="1E3A5544" w14:textId="77777777" w:rsidTr="00BC7AEC">
        <w:trPr>
          <w:cantSplit/>
        </w:trPr>
        <w:tc>
          <w:tcPr>
            <w:tcW w:w="1560" w:type="dxa"/>
            <w:shd w:val="clear" w:color="D9E2F3" w:themeColor="accent1" w:themeTint="33" w:fill="auto"/>
          </w:tcPr>
          <w:p w14:paraId="15230020"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FF4D19"/>
          </w:tcPr>
          <w:p w14:paraId="7AC89A26" w14:textId="77777777" w:rsidR="008E765F" w:rsidRPr="00C12274" w:rsidRDefault="008E765F" w:rsidP="00611251">
            <w:pPr>
              <w:spacing w:before="40" w:after="40" w:line="220" w:lineRule="exact"/>
              <w:rPr>
                <w:sz w:val="16"/>
                <w:szCs w:val="16"/>
                <w:lang w:val="en-US"/>
              </w:rPr>
            </w:pPr>
            <w:r w:rsidRPr="00C12274">
              <w:rPr>
                <w:sz w:val="16"/>
                <w:szCs w:val="16"/>
                <w:lang w:val="en-US"/>
              </w:rPr>
              <w:t>High risk</w:t>
            </w:r>
          </w:p>
        </w:tc>
        <w:tc>
          <w:tcPr>
            <w:tcW w:w="11199" w:type="dxa"/>
            <w:shd w:val="clear" w:color="D9E2F3" w:themeColor="accent1" w:themeTint="33" w:fill="auto"/>
            <w:vAlign w:val="center"/>
          </w:tcPr>
          <w:p w14:paraId="7CCEA26E" w14:textId="77777777" w:rsidR="008E765F" w:rsidRPr="00C12274" w:rsidRDefault="008E765F" w:rsidP="00611251">
            <w:pPr>
              <w:pStyle w:val="RCTstable"/>
              <w:rPr>
                <w:lang w:val="en-US"/>
              </w:rPr>
            </w:pPr>
            <w:r w:rsidRPr="00C12274">
              <w:t>Poor adherence to the intervention – ‘only a small proportion (16.3%) of the women in our intervention group attended at least half of the training sessions’</w:t>
            </w:r>
            <w:r w:rsidRPr="00C12274">
              <w:br/>
              <w:t>Follow-up weight gain data were collected at 32 weeks (much earlier than most other included studies)</w:t>
            </w:r>
          </w:p>
        </w:tc>
      </w:tr>
      <w:tr w:rsidR="008E765F" w:rsidRPr="00C12274" w14:paraId="134B1F09" w14:textId="77777777" w:rsidTr="00BC7AEC">
        <w:trPr>
          <w:cantSplit/>
        </w:trPr>
        <w:tc>
          <w:tcPr>
            <w:tcW w:w="14034" w:type="dxa"/>
            <w:gridSpan w:val="3"/>
            <w:shd w:val="solid" w:color="D9E2F3" w:themeColor="accent1" w:themeTint="33" w:fill="auto"/>
          </w:tcPr>
          <w:p w14:paraId="3EE5DC8F" w14:textId="512C32A4"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Perales et al 2015a</w:t>
            </w:r>
            <w:r>
              <w:rPr>
                <w:sz w:val="16"/>
                <w:szCs w:val="16"/>
              </w:rPr>
              <w:fldChar w:fldCharType="begin"/>
            </w:r>
            <w:r w:rsidR="002747EA">
              <w:rPr>
                <w:sz w:val="16"/>
                <w:szCs w:val="16"/>
              </w:rPr>
              <w:instrText xml:space="preserve"> ADDIN EN.CITE &lt;EndNote&gt;&lt;Cite&gt;&lt;Author&gt;Perales&lt;/Author&gt;&lt;Year&gt;2015&lt;/Year&gt;&lt;RecNum&gt;1071&lt;/RecNum&gt;&lt;DisplayText&gt;&lt;style face="superscript" font="Trebuchet MS" size="9"&gt;439&lt;/style&gt;&lt;/DisplayText&gt;&lt;record&gt;&lt;rec-number&gt;1071&lt;/rec-number&gt;&lt;foreign-keys&gt;&lt;key app="EN" db-id="exvasrfx2dtraoesasxp2szsxa2df502592x" timestamp="1548991373"&gt;1071&lt;/key&gt;&lt;/foreign-keys&gt;&lt;ref-type name="Journal Article"&gt;17&lt;/ref-type&gt;&lt;contributors&gt;&lt;authors&gt;&lt;author&gt;Perales, M.,&lt;/author&gt;&lt;author&gt;Cordero, Y.,&lt;/author&gt;&lt;author&gt;Vargas, M.,&lt;/author&gt;&lt;author&gt;Lucia, A.,&lt;/author&gt;&lt;author&gt;Barakat, R.,&lt;/author&gt;&lt;/authors&gt;&lt;/contributors&gt;&lt;titles&gt;&lt;title&gt;Exercise and depression in overweight and obese pregnant women: A randomised controlled trial&lt;/title&gt;&lt;secondary-title&gt;Arch Med Deporte&lt;/secondary-title&gt;&lt;/titles&gt;&lt;periodical&gt;&lt;full-title&gt;Arch Med Deporte&lt;/full-title&gt;&lt;/periodical&gt;&lt;pages&gt;156-163&lt;/pages&gt;&lt;volume&gt;32&lt;/volume&gt;&lt;dates&gt;&lt;year&gt;2015&lt;/year&gt;&lt;/dates&gt;&lt;urls&gt;&lt;/urls&gt;&lt;/record&gt;&lt;/Cite&gt;&lt;/EndNote&gt;</w:instrText>
            </w:r>
            <w:r>
              <w:rPr>
                <w:sz w:val="16"/>
                <w:szCs w:val="16"/>
              </w:rPr>
              <w:fldChar w:fldCharType="separate"/>
            </w:r>
            <w:r w:rsidR="002747EA" w:rsidRPr="002747EA">
              <w:rPr>
                <w:noProof/>
                <w:szCs w:val="16"/>
                <w:vertAlign w:val="superscript"/>
              </w:rPr>
              <w:t>439</w:t>
            </w:r>
            <w:r>
              <w:rPr>
                <w:sz w:val="16"/>
                <w:szCs w:val="16"/>
              </w:rPr>
              <w:fldChar w:fldCharType="end"/>
            </w:r>
          </w:p>
        </w:tc>
      </w:tr>
      <w:tr w:rsidR="008E765F" w:rsidRPr="00C12274" w14:paraId="44C6D366" w14:textId="77777777" w:rsidTr="00BC7AEC">
        <w:trPr>
          <w:cantSplit/>
        </w:trPr>
        <w:tc>
          <w:tcPr>
            <w:tcW w:w="1560" w:type="dxa"/>
            <w:shd w:val="clear" w:color="D9E2F3" w:themeColor="accent1" w:themeTint="33" w:fill="auto"/>
          </w:tcPr>
          <w:p w14:paraId="43F261E1"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44A1C4C3"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D064662" w14:textId="77777777" w:rsidR="008E765F" w:rsidRPr="00C12274" w:rsidRDefault="008E765F" w:rsidP="006045AE">
            <w:pPr>
              <w:pStyle w:val="RCTstable"/>
              <w:keepNext/>
            </w:pPr>
            <w:r w:rsidRPr="00C12274">
              <w:t xml:space="preserve">A computer-generated list of random numbers was used to allocate the participants into the groups. </w:t>
            </w:r>
          </w:p>
        </w:tc>
      </w:tr>
      <w:tr w:rsidR="008E765F" w:rsidRPr="00C12274" w14:paraId="1EBE2078" w14:textId="77777777" w:rsidTr="00BC7AEC">
        <w:trPr>
          <w:cantSplit/>
        </w:trPr>
        <w:tc>
          <w:tcPr>
            <w:tcW w:w="1560" w:type="dxa"/>
            <w:shd w:val="clear" w:color="D9E2F3" w:themeColor="accent1" w:themeTint="33" w:fill="auto"/>
          </w:tcPr>
          <w:p w14:paraId="1AA8D9EE"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5ABD4C30"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B20A747" w14:textId="77777777" w:rsidR="008E765F" w:rsidRPr="00C12274" w:rsidRDefault="008E765F" w:rsidP="006045AE">
            <w:pPr>
              <w:pStyle w:val="RCTstable"/>
              <w:keepNext/>
            </w:pPr>
            <w:r w:rsidRPr="00C12274">
              <w:t>Not described</w:t>
            </w:r>
          </w:p>
        </w:tc>
      </w:tr>
      <w:tr w:rsidR="008E765F" w:rsidRPr="00C12274" w14:paraId="7EB0F5BB" w14:textId="77777777" w:rsidTr="00BC7AEC">
        <w:trPr>
          <w:cantSplit/>
        </w:trPr>
        <w:tc>
          <w:tcPr>
            <w:tcW w:w="1560" w:type="dxa"/>
            <w:shd w:val="clear" w:color="D9E2F3" w:themeColor="accent1" w:themeTint="33" w:fill="auto"/>
          </w:tcPr>
          <w:p w14:paraId="7EF04E9E" w14:textId="77777777" w:rsidR="008E765F" w:rsidRPr="00C12274" w:rsidRDefault="008E765F" w:rsidP="00611251">
            <w:pPr>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6404F7FC"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DAA70AA" w14:textId="77777777" w:rsidR="008E765F" w:rsidRPr="00C12274" w:rsidRDefault="008E765F" w:rsidP="00611251">
            <w:pPr>
              <w:pStyle w:val="RCTstable"/>
            </w:pPr>
            <w:r w:rsidRPr="00C12274">
              <w:t>Not described</w:t>
            </w:r>
          </w:p>
        </w:tc>
      </w:tr>
      <w:tr w:rsidR="00940D12" w:rsidRPr="00C12274" w14:paraId="47F71A36" w14:textId="77777777" w:rsidTr="00BC7AEC">
        <w:trPr>
          <w:cantSplit/>
        </w:trPr>
        <w:tc>
          <w:tcPr>
            <w:tcW w:w="1560" w:type="dxa"/>
            <w:shd w:val="clear" w:color="D9E2F3" w:themeColor="accent1" w:themeTint="33" w:fill="auto"/>
          </w:tcPr>
          <w:p w14:paraId="4D0C0E80" w14:textId="2954FDA0" w:rsidR="00940D12" w:rsidRPr="00C12274" w:rsidRDefault="00940D12"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62951618" w14:textId="77777777" w:rsidR="00940D12" w:rsidRPr="00C12274" w:rsidRDefault="00940D12" w:rsidP="009740A7">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0C7D8F82" w14:textId="77777777" w:rsidR="00940D12" w:rsidRPr="00C12274" w:rsidRDefault="00940D12" w:rsidP="009740A7">
            <w:pPr>
              <w:pStyle w:val="RCTstable"/>
            </w:pPr>
            <w:r w:rsidRPr="00C12274">
              <w:t>Not described</w:t>
            </w:r>
          </w:p>
        </w:tc>
      </w:tr>
      <w:tr w:rsidR="008E765F" w:rsidRPr="00C12274" w14:paraId="02F5943D" w14:textId="77777777" w:rsidTr="00BC7AEC">
        <w:trPr>
          <w:cantSplit/>
        </w:trPr>
        <w:tc>
          <w:tcPr>
            <w:tcW w:w="1560" w:type="dxa"/>
            <w:shd w:val="clear" w:color="D9E2F3" w:themeColor="accent1" w:themeTint="33" w:fill="auto"/>
          </w:tcPr>
          <w:p w14:paraId="65D00E2D"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79BCCF4D"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B69BFF2"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10 women were lost to follow-up in each group. 3 women from the intervention group were excluded as they did not meet the minimum attendance requirements. No ITT analysis but likely low risk of bias. </w:t>
            </w:r>
          </w:p>
        </w:tc>
      </w:tr>
      <w:tr w:rsidR="008E765F" w:rsidRPr="00C12274" w14:paraId="20FD4781" w14:textId="77777777" w:rsidTr="00BC7AEC">
        <w:trPr>
          <w:cantSplit/>
        </w:trPr>
        <w:tc>
          <w:tcPr>
            <w:tcW w:w="1560" w:type="dxa"/>
            <w:shd w:val="clear" w:color="D9E2F3" w:themeColor="accent1" w:themeTint="33" w:fill="auto"/>
          </w:tcPr>
          <w:p w14:paraId="22449C2A"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D27ACFC"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6241318"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22283585" w14:textId="77777777" w:rsidTr="00BC7AEC">
        <w:trPr>
          <w:cantSplit/>
        </w:trPr>
        <w:tc>
          <w:tcPr>
            <w:tcW w:w="1560" w:type="dxa"/>
            <w:shd w:val="clear" w:color="D9E2F3" w:themeColor="accent1" w:themeTint="33" w:fill="auto"/>
          </w:tcPr>
          <w:p w14:paraId="2FACD3CA"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1445C181"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531D3287"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5A1711FC" w14:textId="77777777" w:rsidTr="00BC7AEC">
        <w:trPr>
          <w:cantSplit/>
        </w:trPr>
        <w:tc>
          <w:tcPr>
            <w:tcW w:w="14034" w:type="dxa"/>
            <w:gridSpan w:val="3"/>
            <w:shd w:val="solid" w:color="D9E2F3" w:themeColor="accent1" w:themeTint="33" w:fill="auto"/>
          </w:tcPr>
          <w:p w14:paraId="7B99E5F0" w14:textId="024D3761"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Perales et al 2015b</w:t>
            </w:r>
            <w:r>
              <w:rPr>
                <w:sz w:val="16"/>
                <w:szCs w:val="16"/>
              </w:rPr>
              <w:fldChar w:fldCharType="begin">
                <w:fldData xml:space="preserve">PEVuZE5vdGU+PENpdGU+PEF1dGhvcj5QZXJhbGVzPC9BdXRob3I+PFllYXI+MjAxNTwvWWVhcj48
UmVjTnVtPjcwNDwvUmVjTnVtPjxEaXNwbGF5VGV4dD48c3R5bGUgZmFjZT0ic3VwZXJzY3JpcHQi
IGZvbnQ9IlRyZWJ1Y2hldCBNUyIgc2l6ZT0iOSI+NDQwPC9zdHlsZT48L0Rpc3BsYXlUZXh0Pjxy
ZWNvcmQ+PHJlYy1udW1iZXI+NzA0PC9yZWMtbnVtYmVyPjxmb3JlaWduLWtleXM+PGtleSBhcHA9
IkVOIiBkYi1pZD0iZXh2YXNyZngyZHRyYW9lc2FzeHAyc3pzeGEyZGY1MDI1OTJ4IiB0aW1lc3Rh
bXA9IjE1NDA1MzA1NjQiPjcwNDwva2V5PjwvZm9yZWlnbi1rZXlzPjxyZWYtdHlwZSBuYW1lPSJK
b3VybmFsIEFydGljbGUiPjE3PC9yZWYtdHlwZT48Y29udHJpYnV0b3JzPjxhdXRob3JzPjxhdXRo
b3I+UGVyYWxlcywgTS48L2F1dGhvcj48YXV0aG9yPlJlZm95bywgSS48L2F1dGhvcj48YXV0aG9y
PkNvdGVyb24sIEouPC9hdXRob3I+PGF1dGhvcj5CYWNjaGksIE0uPC9hdXRob3I+PGF1dGhvcj5C
YXJha2F0LCBSLjwvYXV0aG9yPjwvYXV0aG9ycz48L2NvbnRyaWJ1dG9ycz48YXV0aC1hZGRyZXNz
PkRlcGFydG1lbnQgb2YgU29jaWFsIFNjaWVuY2VzLCBQaHlzaWNhbCBBY3Rpdml0eSBhbmQgU3Bv
cnQgU2NpZW5jZXMgRmFjdWx0eS1JTkVGLCBUZWNobmljYWwgVW5pdmVyc2l0eSBvZiBNYWRyaWQs
IE1hZHJpZCwgU3BhaW4uJiN4RDtGYWN1bHR5IG9mIFBoeXNpY2FsIEFjdGl2aXR5IGFuZCBTcG9y
dHMsIFVuaXZlcnNpdHkgb2YgRmxvcmVzLCBCdWVub3MgQWlyZXMsIEFyZ2VudGluYS4mI3hEO0Rl
cGFydG1lbnQgb2YgU29jaWFsIFNjaWVuY2VzLCBQaHlzaWNhbCBBY3Rpdml0eSBhbmQgU3BvcnQg
U2NpZW5jZXMgRmFjdWx0eS1JTkVGLCBUZWNobmljYWwgVW5pdmVyc2l0eSBvZiBNYWRyaWQsIE1h
ZHJpZCwgU3BhaW4gYmFyYWthdHJ1YmVuQGdtYWlsLmNvbS48L2F1dGgtYWRkcmVzcz48dGl0bGVz
Pjx0aXRsZT5FeGVyY2lzZSBkdXJpbmcgcHJlZ25hbmN5IGF0dGVudWF0ZXMgcHJlbmF0YWwgZGVw
cmVzc2lvbjogYSByYW5kb21pemVkIGNvbnRyb2xsZWQgdHJpYWw8L3RpdGxlPjxzZWNvbmRhcnkt
dGl0bGU+RXZhbCBIZWFsdGggUHJvZjwvc2Vjb25kYXJ5LXRpdGxlPjwvdGl0bGVzPjxwZXJpb2Rp
Y2FsPjxmdWxsLXRpdGxlPkV2YWwgSGVhbHRoIFByb2Y8L2Z1bGwtdGl0bGU+PC9wZXJpb2RpY2Fs
PjxwYWdlcz41OS03MjwvcGFnZXM+PHZvbHVtZT4zODwvdm9sdW1lPjxudW1iZXI+MTwvbnVtYmVy
PjxlZGl0aW9uPjIwMTQvMDUvMzA8L2VkaXRpb24+PGtleXdvcmRzPjxrZXl3b3JkPkFkdWx0PC9r
ZXl3b3JkPjxrZXl3b3JkPkFwZ2FyIFNjb3JlPC9rZXl3b3JkPjxrZXl3b3JkPkJvZHkgTWFzcyBJ
bmRleDwva2V5d29yZD48a2V5d29yZD5EZXByZXNzaW9uLyp0aGVyYXB5PC9rZXl3b3JkPjxrZXl3
b3JkPkV4ZXJjaXNlIFRoZXJhcHkvKm1ldGhvZHM8L2tleXdvcmQ+PGtleXdvcmQ+RmVtYWxlPC9r
ZXl3b3JkPjxrZXl3b3JkPkh1bWFuczwva2V5d29yZD48a2V5d29yZD5QcmVnbmFuY3k8L2tleXdv
cmQ+PGtleXdvcmQ+UHJlZ25hbmN5IENvbXBsaWNhdGlvbnMvKnRoZXJhcHk8L2tleXdvcmQ+PGtl
eXdvcmQ+UHJlZ25hbmN5IE91dGNvbWU8L2tleXdvcmQ+PGtleXdvcmQ+U3BhaW48L2tleXdvcmQ+
PGtleXdvcmQ+V2VpZ2h0IEdhaW48L2tleXdvcmQ+PGtleXdvcmQ+ZGVwcmVzc2lvbjwva2V5d29y
ZD48a2V5d29yZD5leGVyY2lzZTwva2V5d29yZD48a2V5d29yZD5wcmVuYXRhbDwva2V5d29yZD48
a2V5d29yZD53ZWxsLWJlaW5nPC9rZXl3b3JkPjwva2V5d29yZHM+PGRhdGVzPjx5ZWFyPjIwMTU8
L3llYXI+PHB1Yi1kYXRlcz48ZGF0ZT5NYXI8L2RhdGU+PC9wdWItZGF0ZXM+PC9kYXRlcz48aXNi
bj4xNTUyLTM5MTggKEVsZWN0cm9uaWMpJiN4RDswMTYzLTI3ODcgKExpbmtpbmcpPC9pc2JuPjxh
Y2Nlc3Npb24tbnVtPjI0ODcyNDQyPC9hY2Nlc3Npb24tbnVtPjx1cmxzPjxyZWxhdGVkLXVybHM+
PHVybD5odHRwczovL3d3dy5uY2JpLm5sbS5uaWguZ292L3B1Ym1lZC8yNDg3MjQ0MjwvdXJsPjwv
cmVsYXRlZC11cmxzPjwvdXJscz48ZWxlY3Ryb25pYy1yZXNvdXJjZS1udW0+MTAuMTE3Ny8wMTYz
Mjc4NzE0NTMzNTY2PC9lbGVjdHJvbmljLXJlc291cmNlLW51bT48L3JlY29yZD48L0NpdGU+PC9F
bmROb3RlPgB=
</w:fldData>
              </w:fldChar>
            </w:r>
            <w:r w:rsidR="002747EA">
              <w:rPr>
                <w:sz w:val="16"/>
                <w:szCs w:val="16"/>
              </w:rPr>
              <w:instrText xml:space="preserve"> ADDIN EN.CITE </w:instrText>
            </w:r>
            <w:r w:rsidR="002747EA">
              <w:rPr>
                <w:sz w:val="16"/>
                <w:szCs w:val="16"/>
              </w:rPr>
              <w:fldChar w:fldCharType="begin">
                <w:fldData xml:space="preserve">PEVuZE5vdGU+PENpdGU+PEF1dGhvcj5QZXJhbGVzPC9BdXRob3I+PFllYXI+MjAxNTwvWWVhcj48
UmVjTnVtPjcwNDwvUmVjTnVtPjxEaXNwbGF5VGV4dD48c3R5bGUgZmFjZT0ic3VwZXJzY3JpcHQi
IGZvbnQ9IlRyZWJ1Y2hldCBNUyIgc2l6ZT0iOSI+NDQwPC9zdHlsZT48L0Rpc3BsYXlUZXh0Pjxy
ZWNvcmQ+PHJlYy1udW1iZXI+NzA0PC9yZWMtbnVtYmVyPjxmb3JlaWduLWtleXM+PGtleSBhcHA9
IkVOIiBkYi1pZD0iZXh2YXNyZngyZHRyYW9lc2FzeHAyc3pzeGEyZGY1MDI1OTJ4IiB0aW1lc3Rh
bXA9IjE1NDA1MzA1NjQiPjcwNDwva2V5PjwvZm9yZWlnbi1rZXlzPjxyZWYtdHlwZSBuYW1lPSJK
b3VybmFsIEFydGljbGUiPjE3PC9yZWYtdHlwZT48Y29udHJpYnV0b3JzPjxhdXRob3JzPjxhdXRo
b3I+UGVyYWxlcywgTS48L2F1dGhvcj48YXV0aG9yPlJlZm95bywgSS48L2F1dGhvcj48YXV0aG9y
PkNvdGVyb24sIEouPC9hdXRob3I+PGF1dGhvcj5CYWNjaGksIE0uPC9hdXRob3I+PGF1dGhvcj5C
YXJha2F0LCBSLjwvYXV0aG9yPjwvYXV0aG9ycz48L2NvbnRyaWJ1dG9ycz48YXV0aC1hZGRyZXNz
PkRlcGFydG1lbnQgb2YgU29jaWFsIFNjaWVuY2VzLCBQaHlzaWNhbCBBY3Rpdml0eSBhbmQgU3Bv
cnQgU2NpZW5jZXMgRmFjdWx0eS1JTkVGLCBUZWNobmljYWwgVW5pdmVyc2l0eSBvZiBNYWRyaWQs
IE1hZHJpZCwgU3BhaW4uJiN4RDtGYWN1bHR5IG9mIFBoeXNpY2FsIEFjdGl2aXR5IGFuZCBTcG9y
dHMsIFVuaXZlcnNpdHkgb2YgRmxvcmVzLCBCdWVub3MgQWlyZXMsIEFyZ2VudGluYS4mI3hEO0Rl
cGFydG1lbnQgb2YgU29jaWFsIFNjaWVuY2VzLCBQaHlzaWNhbCBBY3Rpdml0eSBhbmQgU3BvcnQg
U2NpZW5jZXMgRmFjdWx0eS1JTkVGLCBUZWNobmljYWwgVW5pdmVyc2l0eSBvZiBNYWRyaWQsIE1h
ZHJpZCwgU3BhaW4gYmFyYWthdHJ1YmVuQGdtYWlsLmNvbS48L2F1dGgtYWRkcmVzcz48dGl0bGVz
Pjx0aXRsZT5FeGVyY2lzZSBkdXJpbmcgcHJlZ25hbmN5IGF0dGVudWF0ZXMgcHJlbmF0YWwgZGVw
cmVzc2lvbjogYSByYW5kb21pemVkIGNvbnRyb2xsZWQgdHJpYWw8L3RpdGxlPjxzZWNvbmRhcnkt
dGl0bGU+RXZhbCBIZWFsdGggUHJvZjwvc2Vjb25kYXJ5LXRpdGxlPjwvdGl0bGVzPjxwZXJpb2Rp
Y2FsPjxmdWxsLXRpdGxlPkV2YWwgSGVhbHRoIFByb2Y8L2Z1bGwtdGl0bGU+PC9wZXJpb2RpY2Fs
PjxwYWdlcz41OS03MjwvcGFnZXM+PHZvbHVtZT4zODwvdm9sdW1lPjxudW1iZXI+MTwvbnVtYmVy
PjxlZGl0aW9uPjIwMTQvMDUvMzA8L2VkaXRpb24+PGtleXdvcmRzPjxrZXl3b3JkPkFkdWx0PC9r
ZXl3b3JkPjxrZXl3b3JkPkFwZ2FyIFNjb3JlPC9rZXl3b3JkPjxrZXl3b3JkPkJvZHkgTWFzcyBJ
bmRleDwva2V5d29yZD48a2V5d29yZD5EZXByZXNzaW9uLyp0aGVyYXB5PC9rZXl3b3JkPjxrZXl3
b3JkPkV4ZXJjaXNlIFRoZXJhcHkvKm1ldGhvZHM8L2tleXdvcmQ+PGtleXdvcmQ+RmVtYWxlPC9r
ZXl3b3JkPjxrZXl3b3JkPkh1bWFuczwva2V5d29yZD48a2V5d29yZD5QcmVnbmFuY3k8L2tleXdv
cmQ+PGtleXdvcmQ+UHJlZ25hbmN5IENvbXBsaWNhdGlvbnMvKnRoZXJhcHk8L2tleXdvcmQ+PGtl
eXdvcmQ+UHJlZ25hbmN5IE91dGNvbWU8L2tleXdvcmQ+PGtleXdvcmQ+U3BhaW48L2tleXdvcmQ+
PGtleXdvcmQ+V2VpZ2h0IEdhaW48L2tleXdvcmQ+PGtleXdvcmQ+ZGVwcmVzc2lvbjwva2V5d29y
ZD48a2V5d29yZD5leGVyY2lzZTwva2V5d29yZD48a2V5d29yZD5wcmVuYXRhbDwva2V5d29yZD48
a2V5d29yZD53ZWxsLWJlaW5nPC9rZXl3b3JkPjwva2V5d29yZHM+PGRhdGVzPjx5ZWFyPjIwMTU8
L3llYXI+PHB1Yi1kYXRlcz48ZGF0ZT5NYXI8L2RhdGU+PC9wdWItZGF0ZXM+PC9kYXRlcz48aXNi
bj4xNTUyLTM5MTggKEVsZWN0cm9uaWMpJiN4RDswMTYzLTI3ODcgKExpbmtpbmcpPC9pc2JuPjxh
Y2Nlc3Npb24tbnVtPjI0ODcyNDQyPC9hY2Nlc3Npb24tbnVtPjx1cmxzPjxyZWxhdGVkLXVybHM+
PHVybD5odHRwczovL3d3dy5uY2JpLm5sbS5uaWguZ292L3B1Ym1lZC8yNDg3MjQ0MjwvdXJsPjwv
cmVsYXRlZC11cmxzPjwvdXJscz48ZWxlY3Ryb25pYy1yZXNvdXJjZS1udW0+MTAuMTE3Ny8wMTYz
Mjc4NzE0NTMzNTY2PC9lbGVjdHJvbmljLXJlc291cmNlLW51bT48L3JlY29yZD48L0NpdGU+PC9F
bmROb3RlPgB=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440</w:t>
            </w:r>
            <w:r>
              <w:rPr>
                <w:sz w:val="16"/>
                <w:szCs w:val="16"/>
              </w:rPr>
              <w:fldChar w:fldCharType="end"/>
            </w:r>
          </w:p>
        </w:tc>
      </w:tr>
      <w:tr w:rsidR="008E765F" w:rsidRPr="00C12274" w14:paraId="5F20F915" w14:textId="77777777" w:rsidTr="00BC7AEC">
        <w:trPr>
          <w:cantSplit/>
        </w:trPr>
        <w:tc>
          <w:tcPr>
            <w:tcW w:w="1560" w:type="dxa"/>
            <w:shd w:val="clear" w:color="D9E2F3" w:themeColor="accent1" w:themeTint="33" w:fill="auto"/>
          </w:tcPr>
          <w:p w14:paraId="4219DCAB"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75336A14"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07978ED" w14:textId="77777777" w:rsidR="008E765F" w:rsidRPr="00C12274" w:rsidRDefault="008E765F" w:rsidP="00611251">
            <w:pPr>
              <w:pStyle w:val="RCTstable"/>
              <w:keepNext/>
            </w:pPr>
            <w:r w:rsidRPr="00C12274">
              <w:t>A computer-generated list of random numbers was used</w:t>
            </w:r>
          </w:p>
        </w:tc>
      </w:tr>
      <w:tr w:rsidR="008E765F" w:rsidRPr="00C12274" w14:paraId="5993FD22" w14:textId="77777777" w:rsidTr="00BC7AEC">
        <w:trPr>
          <w:cantSplit/>
        </w:trPr>
        <w:tc>
          <w:tcPr>
            <w:tcW w:w="1560" w:type="dxa"/>
            <w:shd w:val="clear" w:color="D9E2F3" w:themeColor="accent1" w:themeTint="33" w:fill="auto"/>
          </w:tcPr>
          <w:p w14:paraId="0F00846E"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21E535B9"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14AB1CD" w14:textId="77777777" w:rsidR="008E765F" w:rsidRPr="00C12274" w:rsidRDefault="008E765F" w:rsidP="00611251">
            <w:pPr>
              <w:pStyle w:val="RCTstable"/>
              <w:keepNext/>
            </w:pPr>
            <w:r w:rsidRPr="00C12274">
              <w:t>Not described</w:t>
            </w:r>
          </w:p>
        </w:tc>
      </w:tr>
      <w:tr w:rsidR="008E765F" w:rsidRPr="00C12274" w14:paraId="2441F426" w14:textId="77777777" w:rsidTr="00BC7AEC">
        <w:trPr>
          <w:cantSplit/>
        </w:trPr>
        <w:tc>
          <w:tcPr>
            <w:tcW w:w="1560" w:type="dxa"/>
            <w:shd w:val="clear" w:color="D9E2F3" w:themeColor="accent1" w:themeTint="33" w:fill="auto"/>
          </w:tcPr>
          <w:p w14:paraId="1D62DE57"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74F8730A"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A6232C0" w14:textId="77777777" w:rsidR="008E765F" w:rsidRPr="00C12274" w:rsidRDefault="008E765F" w:rsidP="00611251">
            <w:pPr>
              <w:pStyle w:val="RCTstable"/>
              <w:keepNext/>
            </w:pPr>
            <w:r w:rsidRPr="00C12274">
              <w:t>Not described</w:t>
            </w:r>
          </w:p>
        </w:tc>
      </w:tr>
      <w:tr w:rsidR="00F35540" w:rsidRPr="00C12274" w14:paraId="0C2FC302" w14:textId="77777777" w:rsidTr="00BC7AEC">
        <w:trPr>
          <w:cantSplit/>
        </w:trPr>
        <w:tc>
          <w:tcPr>
            <w:tcW w:w="1560" w:type="dxa"/>
            <w:shd w:val="clear" w:color="D9E2F3" w:themeColor="accent1" w:themeTint="33" w:fill="auto"/>
          </w:tcPr>
          <w:p w14:paraId="1A4F88D6" w14:textId="77777777" w:rsidR="00F35540" w:rsidRPr="00C12274" w:rsidRDefault="00F35540"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78414531" w14:textId="77777777" w:rsidR="00F35540" w:rsidRPr="00C12274" w:rsidRDefault="00F35540" w:rsidP="009740A7">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B0865A1" w14:textId="77777777" w:rsidR="00F35540" w:rsidRPr="00C12274" w:rsidRDefault="00F35540" w:rsidP="009740A7">
            <w:pPr>
              <w:pStyle w:val="RCTstable"/>
            </w:pPr>
            <w:r w:rsidRPr="00C12274">
              <w:t>Not described</w:t>
            </w:r>
          </w:p>
        </w:tc>
      </w:tr>
      <w:tr w:rsidR="008E765F" w:rsidRPr="00C12274" w14:paraId="10AFCDC5" w14:textId="77777777" w:rsidTr="00BC7AEC">
        <w:trPr>
          <w:cantSplit/>
        </w:trPr>
        <w:tc>
          <w:tcPr>
            <w:tcW w:w="1560" w:type="dxa"/>
            <w:shd w:val="clear" w:color="D9E2F3" w:themeColor="accent1" w:themeTint="33" w:fill="auto"/>
          </w:tcPr>
          <w:p w14:paraId="11402E26"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66372133"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C01809C" w14:textId="77777777" w:rsidR="008E765F" w:rsidRPr="00C12274" w:rsidRDefault="008E765F" w:rsidP="00611251">
            <w:pPr>
              <w:spacing w:before="40" w:after="40" w:line="220" w:lineRule="exact"/>
              <w:rPr>
                <w:sz w:val="16"/>
                <w:szCs w:val="16"/>
                <w:lang w:val="en-US"/>
              </w:rPr>
            </w:pPr>
            <w:r w:rsidRPr="00C12274">
              <w:rPr>
                <w:sz w:val="16"/>
                <w:szCs w:val="16"/>
                <w:lang w:val="en-US"/>
              </w:rPr>
              <w:t>Balanced losses. No ITT analysis.</w:t>
            </w:r>
          </w:p>
        </w:tc>
      </w:tr>
      <w:tr w:rsidR="008E765F" w:rsidRPr="00C12274" w14:paraId="752E7E7A" w14:textId="77777777" w:rsidTr="00BC7AEC">
        <w:trPr>
          <w:cantSplit/>
        </w:trPr>
        <w:tc>
          <w:tcPr>
            <w:tcW w:w="1560" w:type="dxa"/>
            <w:shd w:val="clear" w:color="D9E2F3" w:themeColor="accent1" w:themeTint="33" w:fill="auto"/>
          </w:tcPr>
          <w:p w14:paraId="4375C406"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17EE02A2"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0E7BC46"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4A01B4E5" w14:textId="77777777" w:rsidTr="00BC7AEC">
        <w:trPr>
          <w:cantSplit/>
        </w:trPr>
        <w:tc>
          <w:tcPr>
            <w:tcW w:w="1560" w:type="dxa"/>
            <w:shd w:val="clear" w:color="D9E2F3" w:themeColor="accent1" w:themeTint="33" w:fill="auto"/>
          </w:tcPr>
          <w:p w14:paraId="13B6FF3E"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E6A96CE"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A286044"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2343294C" w14:textId="77777777" w:rsidTr="00BC7AEC">
        <w:trPr>
          <w:cantSplit/>
        </w:trPr>
        <w:tc>
          <w:tcPr>
            <w:tcW w:w="14034" w:type="dxa"/>
            <w:gridSpan w:val="3"/>
            <w:shd w:val="solid" w:color="D9E2F3" w:themeColor="accent1" w:themeTint="33" w:fill="auto"/>
          </w:tcPr>
          <w:p w14:paraId="3E8584C4" w14:textId="61AECA81"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Perales et al 2016a</w:t>
            </w:r>
            <w:r>
              <w:rPr>
                <w:sz w:val="16"/>
                <w:szCs w:val="16"/>
              </w:rPr>
              <w:fldChar w:fldCharType="begin"/>
            </w:r>
            <w:r w:rsidR="002747EA">
              <w:rPr>
                <w:sz w:val="16"/>
                <w:szCs w:val="16"/>
              </w:rPr>
              <w:instrText xml:space="preserve"> ADDIN EN.CITE &lt;EndNote&gt;&lt;Cite&gt;&lt;Author&gt;Perales&lt;/Author&gt;&lt;Year&gt;2016&lt;/Year&gt;&lt;RecNum&gt;924&lt;/RecNum&gt;&lt;DisplayText&gt;&lt;style face="superscript" font="Trebuchet MS" size="9"&gt;295&lt;/style&gt;&lt;/DisplayText&gt;&lt;record&gt;&lt;rec-number&gt;924&lt;/rec-number&gt;&lt;foreign-keys&gt;&lt;key app="EN" db-id="exvasrfx2dtraoesasxp2szsxa2df502592x" timestamp="1541540925"&gt;924&lt;/key&gt;&lt;key app="ENWeb" db-id=""&gt;0&lt;/key&gt;&lt;/foreign-keys&gt;&lt;ref-type name="Journal Article"&gt;17&lt;/ref-type&gt;&lt;contributors&gt;&lt;authors&gt;&lt;author&gt;Perales, Maria&lt;/author&gt;&lt;author&gt;Calabria, Irene&lt;/author&gt;&lt;author&gt;Lopez, Carmina&lt;/author&gt;&lt;author&gt;Franco, Evelia&lt;/author&gt;&lt;author&gt;Coteron, Javier&lt;/author&gt;&lt;author&gt;Barakat, Ruben&lt;/author&gt;&lt;/authors&gt;&lt;/contributors&gt;&lt;titles&gt;&lt;title&gt;Regular Exercise Throughout Pregnancy is Associated with a Shorter First Stage of Labor&lt;/title&gt;&lt;secondary-title&gt;American Journal of Health Promotion&lt;/secondary-title&gt;&lt;/titles&gt;&lt;periodical&gt;&lt;full-title&gt;American Journal of Health Promotion&lt;/full-title&gt;&lt;/periodical&gt;&lt;pages&gt;149-157&lt;/pages&gt;&lt;volume&gt;30&lt;/volume&gt;&lt;number&gt;3&lt;/number&gt;&lt;section&gt;149&lt;/section&gt;&lt;dates&gt;&lt;year&gt;2016&lt;/year&gt;&lt;/dates&gt;&lt;isbn&gt;0890-1171&amp;#xD;2168-6602&lt;/isbn&gt;&lt;urls&gt;&lt;/urls&gt;&lt;electronic-resource-num&gt;10.4278/ajhp.140221-QUAN-79&lt;/electronic-resource-num&gt;&lt;/record&gt;&lt;/Cite&gt;&lt;/EndNote&gt;</w:instrText>
            </w:r>
            <w:r>
              <w:rPr>
                <w:sz w:val="16"/>
                <w:szCs w:val="16"/>
              </w:rPr>
              <w:fldChar w:fldCharType="separate"/>
            </w:r>
            <w:r w:rsidR="002747EA" w:rsidRPr="002747EA">
              <w:rPr>
                <w:noProof/>
                <w:szCs w:val="16"/>
                <w:vertAlign w:val="superscript"/>
              </w:rPr>
              <w:t>295</w:t>
            </w:r>
            <w:r>
              <w:rPr>
                <w:sz w:val="16"/>
                <w:szCs w:val="16"/>
              </w:rPr>
              <w:fldChar w:fldCharType="end"/>
            </w:r>
          </w:p>
        </w:tc>
      </w:tr>
      <w:tr w:rsidR="008E765F" w:rsidRPr="00C12274" w14:paraId="54C1713A" w14:textId="77777777" w:rsidTr="00BC7AEC">
        <w:trPr>
          <w:cantSplit/>
        </w:trPr>
        <w:tc>
          <w:tcPr>
            <w:tcW w:w="1560" w:type="dxa"/>
            <w:shd w:val="clear" w:color="D9E2F3" w:themeColor="accent1" w:themeTint="33" w:fill="auto"/>
          </w:tcPr>
          <w:p w14:paraId="62941722"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66485AFA"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0D70AAE" w14:textId="77777777" w:rsidR="008E765F" w:rsidRPr="00C12274" w:rsidRDefault="008E765F" w:rsidP="006045AE">
            <w:pPr>
              <w:pStyle w:val="RCTstable"/>
              <w:keepNext/>
            </w:pPr>
            <w:r w:rsidRPr="00C12274">
              <w:t>A computer-generated list of random numbers was used</w:t>
            </w:r>
          </w:p>
        </w:tc>
      </w:tr>
      <w:tr w:rsidR="008E765F" w:rsidRPr="00C12274" w14:paraId="6D0EC7B8" w14:textId="77777777" w:rsidTr="00BC7AEC">
        <w:trPr>
          <w:cantSplit/>
        </w:trPr>
        <w:tc>
          <w:tcPr>
            <w:tcW w:w="1560" w:type="dxa"/>
            <w:shd w:val="clear" w:color="D9E2F3" w:themeColor="accent1" w:themeTint="33" w:fill="auto"/>
          </w:tcPr>
          <w:p w14:paraId="1C21AADF"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52A4E20F"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1A814A5E" w14:textId="77777777" w:rsidR="008E765F" w:rsidRPr="00C12274" w:rsidRDefault="008E765F" w:rsidP="006045AE">
            <w:pPr>
              <w:pStyle w:val="RCTstable"/>
              <w:keepNext/>
            </w:pPr>
            <w:r w:rsidRPr="00C12274">
              <w:t>Not described</w:t>
            </w:r>
          </w:p>
        </w:tc>
      </w:tr>
      <w:tr w:rsidR="008E765F" w:rsidRPr="00C12274" w14:paraId="78409175" w14:textId="77777777" w:rsidTr="00BC7AEC">
        <w:trPr>
          <w:cantSplit/>
        </w:trPr>
        <w:tc>
          <w:tcPr>
            <w:tcW w:w="1560" w:type="dxa"/>
            <w:shd w:val="clear" w:color="D9E2F3" w:themeColor="accent1" w:themeTint="33" w:fill="auto"/>
          </w:tcPr>
          <w:p w14:paraId="6B10DA4C" w14:textId="77777777" w:rsidR="008E765F" w:rsidRPr="00C12274" w:rsidRDefault="008E765F" w:rsidP="006045A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00938A94"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3737F1B6" w14:textId="77777777" w:rsidR="008E765F" w:rsidRPr="00C12274" w:rsidRDefault="008E765F" w:rsidP="006045AE">
            <w:pPr>
              <w:pStyle w:val="RCTstable"/>
              <w:keepNext/>
              <w:rPr>
                <w:rFonts w:ascii="Times" w:hAnsi="Times"/>
                <w:color w:val="181A18"/>
                <w:sz w:val="15"/>
                <w:szCs w:val="15"/>
              </w:rPr>
            </w:pPr>
            <w:r w:rsidRPr="00C12274">
              <w:t>Not described</w:t>
            </w:r>
          </w:p>
        </w:tc>
      </w:tr>
      <w:tr w:rsidR="00325EFF" w:rsidRPr="00C12274" w14:paraId="2E037630" w14:textId="77777777" w:rsidTr="00BC7AEC">
        <w:trPr>
          <w:cantSplit/>
        </w:trPr>
        <w:tc>
          <w:tcPr>
            <w:tcW w:w="1560" w:type="dxa"/>
            <w:shd w:val="clear" w:color="D9E2F3" w:themeColor="accent1" w:themeTint="33" w:fill="auto"/>
          </w:tcPr>
          <w:p w14:paraId="42DDDE05" w14:textId="77777777" w:rsidR="00325EFF" w:rsidRPr="00C12274" w:rsidRDefault="00325EFF"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549B3E02" w14:textId="77777777" w:rsidR="00325EFF" w:rsidRPr="00C12274" w:rsidRDefault="00325EFF" w:rsidP="009740A7">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2A6A48C" w14:textId="77777777" w:rsidR="00325EFF" w:rsidRPr="00C12274" w:rsidRDefault="00325EFF" w:rsidP="009740A7">
            <w:pPr>
              <w:pStyle w:val="RCTstable"/>
            </w:pPr>
            <w:r w:rsidRPr="00C12274">
              <w:t>Not described</w:t>
            </w:r>
          </w:p>
        </w:tc>
      </w:tr>
      <w:tr w:rsidR="008E765F" w:rsidRPr="00C12274" w14:paraId="5BDF4451" w14:textId="77777777" w:rsidTr="00BC7AEC">
        <w:trPr>
          <w:cantSplit/>
        </w:trPr>
        <w:tc>
          <w:tcPr>
            <w:tcW w:w="1560" w:type="dxa"/>
            <w:shd w:val="clear" w:color="D9E2F3" w:themeColor="accent1" w:themeTint="33" w:fill="auto"/>
          </w:tcPr>
          <w:p w14:paraId="60191F9A"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3EDE3894"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E2D533D" w14:textId="77777777" w:rsidR="008E765F" w:rsidRPr="00C12274" w:rsidRDefault="008E765F" w:rsidP="00611251">
            <w:pPr>
              <w:spacing w:before="40" w:after="40" w:line="220" w:lineRule="exact"/>
              <w:rPr>
                <w:sz w:val="16"/>
                <w:szCs w:val="16"/>
                <w:lang w:val="en-US"/>
              </w:rPr>
            </w:pPr>
            <w:r w:rsidRPr="00C12274">
              <w:rPr>
                <w:sz w:val="16"/>
                <w:szCs w:val="16"/>
                <w:lang w:val="en-US"/>
              </w:rPr>
              <w:t>Losses of 23% in the intervention group and 17% in the control group. No ITT analysis.</w:t>
            </w:r>
          </w:p>
        </w:tc>
      </w:tr>
      <w:tr w:rsidR="008E765F" w:rsidRPr="00C12274" w14:paraId="5F507C24" w14:textId="77777777" w:rsidTr="00BC7AEC">
        <w:trPr>
          <w:cantSplit/>
        </w:trPr>
        <w:tc>
          <w:tcPr>
            <w:tcW w:w="1560" w:type="dxa"/>
            <w:shd w:val="clear" w:color="D9E2F3" w:themeColor="accent1" w:themeTint="33" w:fill="auto"/>
          </w:tcPr>
          <w:p w14:paraId="1F4CCCB1"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6055600A"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652533F"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6C57EDEA" w14:textId="77777777" w:rsidTr="00BC7AEC">
        <w:trPr>
          <w:cantSplit/>
        </w:trPr>
        <w:tc>
          <w:tcPr>
            <w:tcW w:w="1560" w:type="dxa"/>
            <w:shd w:val="clear" w:color="D9E2F3" w:themeColor="accent1" w:themeTint="33" w:fill="auto"/>
          </w:tcPr>
          <w:p w14:paraId="2DB74C44"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BF5A8B6"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4A56506B"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674202EB" w14:textId="77777777" w:rsidTr="00BC7AEC">
        <w:trPr>
          <w:cantSplit/>
        </w:trPr>
        <w:tc>
          <w:tcPr>
            <w:tcW w:w="14034" w:type="dxa"/>
            <w:gridSpan w:val="3"/>
            <w:shd w:val="solid" w:color="D9E2F3" w:themeColor="accent1" w:themeTint="33" w:fill="auto"/>
          </w:tcPr>
          <w:p w14:paraId="044F0A12" w14:textId="7B946697"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Perales et al 2016b</w:t>
            </w:r>
            <w:r>
              <w:rPr>
                <w:sz w:val="16"/>
                <w:szCs w:val="16"/>
              </w:rPr>
              <w:fldChar w:fldCharType="begin">
                <w:fldData xml:space="preserve">PEVuZE5vdGU+PENpdGU+PEF1dGhvcj5QZXJhbGVzPC9BdXRob3I+PFllYXI+MjAxNjwvWWVhcj48
UmVjTnVtPjEwNjY8L1JlY051bT48RGlzcGxheVRleHQ+PHN0eWxlIGZhY2U9InN1cGVyc2NyaXB0
IiBmb250PSJUcmVidWNoZXQgTVMiIHNpemU9IjkiPjI5Njwvc3R5bGU+PC9EaXNwbGF5VGV4dD48
cmVjb3JkPjxyZWMtbnVtYmVyPjEwNjY8L3JlYy1udW1iZXI+PGZvcmVpZ24ta2V5cz48a2V5IGFw
cD0iRU4iIGRiLWlkPSJleHZhc3JmeDJkdHJhb2VzYXN4cDJzenN4YTJkZjUwMjU5MngiIHRpbWVz
dGFtcD0iMTU0ODk5MDI5NiI+MTA2Njwva2V5PjwvZm9yZWlnbi1rZXlzPjxyZWYtdHlwZSBuYW1l
PSJKb3VybmFsIEFydGljbGUiPjE3PC9yZWYtdHlwZT48Y29udHJpYnV0b3JzPjxhdXRob3JzPjxh
dXRob3I+UGVyYWxlcywgTS48L2F1dGhvcj48YXV0aG9yPlNhbnRvcy1Mb3phbm8sIEEuPC9hdXRo
b3I+PGF1dGhvcj5TYW5jaGlzLUdvbWFyLCBGLjwvYXV0aG9yPjxhdXRob3I+THVhY2VzLCBNLjwv
YXV0aG9yPjxhdXRob3I+UGFyZWphLUdhbGVhbm8sIEguPC9hdXRob3I+PGF1dGhvcj5HYXJhdGFj
aGVhLCBOLjwvYXV0aG9yPjxhdXRob3I+QmFyYWthdCwgUi48L2F1dGhvcj48YXV0aG9yPkx1Y2lh
LCBBLjwvYXV0aG9yPjwvYXV0aG9ycz48L2NvbnRyaWJ1dG9ycz48YXV0aC1hZGRyZXNzPjFSZXNl
YXJjaCBJbnN0aXR1dGUgSG9zcGl0YWwgMTIgZGUgT2N0dWJyZSAoJmFwb3M7aSsxMiZhcG9zOyks
IE1hZHJpZCwgU1BBSU47IDJBRklQRSBSZXNlYXJjaCBHcm91cCwgRmFjdWx0eSBvZiBQaHlzaWNh
bCBBY3Rpdml0eSBhbmQgU3BvcnRzIFNjaWVuY2VzIElORUYsIFRlY2huaWNhbCBVbml2ZXJzaXR5
IG9mIE1hZHJpZCwgU1BBSU47IDNHSURGWVMsIERlcGFydG1lbnQgb2YgSGVhbHRoIFNjaWVuY2Vz
LCBFdXJvcGVhbiBVbml2ZXJzaXR5IE1pZ3VlbCBkZSBDZXJ2YW50ZXMsIFZhbGxhZG9saWQsIFNQ
QUlOOyA0RGVwYXJ0bWVudCBvZiBDYXJkaW9sb2d5LCBDYXJkaW92YXNjdWxhciBJbnN0aXR1dGUs
IEhvc3BpdGFsIENsaW5pY28gU2FuIENhcmxvcywgTWFkcmlkLCBTUEFJTjsgNVNjaG9vbCBvZiBE
b2N0b3JhdGUgU3R1ZGllcyBhbmQgUmVzZWFyY2gsIEV1cm9wZWFuIFVuaXZlcnNpdHksIE1hZHJp
ZCwgU1BBSU47IGFuZCA2RGVwYXJ0YW1lbnRvIGRlIEZpc2lhdHJpYSB5IEVuZmVybWVyaWEuIEZh
Y3VsdGFkIGRlIENpZW5jaWFzIGRlIGxhIFNhbHVkIHkgZGVsIERlcG9ydGUuIEluc3RpdHV0byBB
Z3JvYWxpbWVudGFyaW8gZGUgQXJhZ29uLUlBMiwgVW5pdmVyc2lkYWQgZGUgWmFyYWdvemEtQ0lU
QSwgWmFyYWdvemEsIFNQQUlOLjwvYXV0aC1hZGRyZXNzPjx0aXRsZXM+PHRpdGxlPk1hdGVybmFs
IENhcmRpYWMgQWRhcHRhdGlvbnMgdG8gYSBQaHlzaWNhbCBFeGVyY2lzZSBQcm9ncmFtIGR1cmlu
ZyBQcmVnbmFuY3k8L3RpdGxlPjxzZWNvbmRhcnktdGl0bGU+TWVkIFNjaSBTcG9ydHMgRXhlcmM8
L3NlY29uZGFyeS10aXRsZT48L3RpdGxlcz48cGVyaW9kaWNhbD48ZnVsbC10aXRsZT5NZWQgU2Np
IFNwb3J0cyBFeGVyYzwvZnVsbC10aXRsZT48L3BlcmlvZGljYWw+PHBhZ2VzPjg5Ni05MDY8L3Bh
Z2VzPjx2b2x1bWU+NDg8L3ZvbHVtZT48bnVtYmVyPjU8L251bWJlcj48ZWRpdGlvbj4yMDE1LzEy
LzI0PC9lZGl0aW9uPjxrZXl3b3Jkcz48a2V5d29yZD5BZHVsdDwva2V5d29yZD48a2V5d29yZD5B
dHJpYWwgUmVtb2RlbGluZzwva2V5d29yZD48a2V5d29yZD5DYXJkaW92YXNjdWxhciBEaXNlYXNl
cy9wcmV2ZW50aW9uICZhbXA7IGNvbnRyb2w8L2tleXdvcmQ+PGtleXdvcmQ+KkNhcmRpb3Zhc2N1
bGFyIFBoeXNpb2xvZ2ljYWwgUGhlbm9tZW5hPC9rZXl3b3JkPjxrZXl3b3JkPkRlcHJlc3Npb24v
cHJldmVudGlvbiAmYW1wOyBjb250cm9sPC9rZXl3b3JkPjxrZXl3b3JkPkVjaG9jYXJkaW9ncmFw
aHk8L2tleXdvcmQ+PGtleXdvcmQ+KkV4ZXJjaXNlPC9rZXl3b3JkPjxrZXl3b3JkPkZlbWFsZTwv
a2V5d29yZD48a2V5d29yZD5IZW1vZHluYW1pY3M8L2tleXdvcmQ+PGtleXdvcmQ+SHVtYW5zPC9r
ZXl3b3JkPjxrZXl3b3JkPlByZWduYW5jeS8qcGh5c2lvbG9neTwva2V5d29yZD48a2V5d29yZD5Q
cmVnbmFuY3kgT3V0Y29tZTwva2V5d29yZD48a2V5d29yZD5SaXNrIEZhY3RvcnM8L2tleXdvcmQ+
PGtleXdvcmQ+VmVudHJpY3VsYXIgRnVuY3Rpb24sIExlZnQ8L2tleXdvcmQ+PGtleXdvcmQ+VmVu
dHJpY3VsYXIgUmVtb2RlbGluZzwva2V5d29yZD48a2V5d29yZD5XZWlnaHQgR2Fpbjwva2V5d29y
ZD48L2tleXdvcmRzPjxkYXRlcz48eWVhcj4yMDE2PC95ZWFyPjxwdWItZGF0ZXM+PGRhdGU+TWF5
PC9kYXRlPjwvcHViLWRhdGVzPjwvZGF0ZXM+PGlzYm4+MTUzMC0wMzE1IChFbGVjdHJvbmljKSYj
eEQ7MDE5NS05MTMxIChMaW5raW5nKTwvaXNibj48YWNjZXNzaW9uLW51bT4yNjY5NDg0ODwvYWNj
ZXNzaW9uLW51bT48dXJscz48cmVsYXRlZC11cmxzPjx1cmw+aHR0cHM6Ly93d3cubmNiaS5ubG0u
bmloLmdvdi9wdWJtZWQvMjY2OTQ4NDg8L3VybD48L3JlbGF0ZWQtdXJscz48L3VybHM+PGVsZWN0
cm9uaWMtcmVzb3VyY2UtbnVtPjEwLjEyNDkvTVNTLjAwMDAwMDAwMDAwMDA4Mzc8L2VsZWN0cm9u
aWMtcmVzb3VyY2UtbnVtPjwvcmVjb3JkPjwvQ2l0ZT48L0VuZE5vdGU+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PEVuZE5vdGU+PENpdGU+PEF1dGhvcj5QZXJhbGVzPC9BdXRob3I+PFllYXI+MjAxNjwvWWVhcj48
UmVjTnVtPjEwNjY8L1JlY051bT48RGlzcGxheVRleHQ+PHN0eWxlIGZhY2U9InN1cGVyc2NyaXB0
IiBmb250PSJUcmVidWNoZXQgTVMiIHNpemU9IjkiPjI5Njwvc3R5bGU+PC9EaXNwbGF5VGV4dD48
cmVjb3JkPjxyZWMtbnVtYmVyPjEwNjY8L3JlYy1udW1iZXI+PGZvcmVpZ24ta2V5cz48a2V5IGFw
cD0iRU4iIGRiLWlkPSJleHZhc3JmeDJkdHJhb2VzYXN4cDJzenN4YTJkZjUwMjU5MngiIHRpbWVz
dGFtcD0iMTU0ODk5MDI5NiI+MTA2Njwva2V5PjwvZm9yZWlnbi1rZXlzPjxyZWYtdHlwZSBuYW1l
PSJKb3VybmFsIEFydGljbGUiPjE3PC9yZWYtdHlwZT48Y29udHJpYnV0b3JzPjxhdXRob3JzPjxh
dXRob3I+UGVyYWxlcywgTS48L2F1dGhvcj48YXV0aG9yPlNhbnRvcy1Mb3phbm8sIEEuPC9hdXRo
b3I+PGF1dGhvcj5TYW5jaGlzLUdvbWFyLCBGLjwvYXV0aG9yPjxhdXRob3I+THVhY2VzLCBNLjwv
YXV0aG9yPjxhdXRob3I+UGFyZWphLUdhbGVhbm8sIEguPC9hdXRob3I+PGF1dGhvcj5HYXJhdGFj
aGVhLCBOLjwvYXV0aG9yPjxhdXRob3I+QmFyYWthdCwgUi48L2F1dGhvcj48YXV0aG9yPkx1Y2lh
LCBBLjwvYXV0aG9yPjwvYXV0aG9ycz48L2NvbnRyaWJ1dG9ycz48YXV0aC1hZGRyZXNzPjFSZXNl
YXJjaCBJbnN0aXR1dGUgSG9zcGl0YWwgMTIgZGUgT2N0dWJyZSAoJmFwb3M7aSsxMiZhcG9zOyks
IE1hZHJpZCwgU1BBSU47IDJBRklQRSBSZXNlYXJjaCBHcm91cCwgRmFjdWx0eSBvZiBQaHlzaWNh
bCBBY3Rpdml0eSBhbmQgU3BvcnRzIFNjaWVuY2VzIElORUYsIFRlY2huaWNhbCBVbml2ZXJzaXR5
IG9mIE1hZHJpZCwgU1BBSU47IDNHSURGWVMsIERlcGFydG1lbnQgb2YgSGVhbHRoIFNjaWVuY2Vz
LCBFdXJvcGVhbiBVbml2ZXJzaXR5IE1pZ3VlbCBkZSBDZXJ2YW50ZXMsIFZhbGxhZG9saWQsIFNQ
QUlOOyA0RGVwYXJ0bWVudCBvZiBDYXJkaW9sb2d5LCBDYXJkaW92YXNjdWxhciBJbnN0aXR1dGUs
IEhvc3BpdGFsIENsaW5pY28gU2FuIENhcmxvcywgTWFkcmlkLCBTUEFJTjsgNVNjaG9vbCBvZiBE
b2N0b3JhdGUgU3R1ZGllcyBhbmQgUmVzZWFyY2gsIEV1cm9wZWFuIFVuaXZlcnNpdHksIE1hZHJp
ZCwgU1BBSU47IGFuZCA2RGVwYXJ0YW1lbnRvIGRlIEZpc2lhdHJpYSB5IEVuZmVybWVyaWEuIEZh
Y3VsdGFkIGRlIENpZW5jaWFzIGRlIGxhIFNhbHVkIHkgZGVsIERlcG9ydGUuIEluc3RpdHV0byBB
Z3JvYWxpbWVudGFyaW8gZGUgQXJhZ29uLUlBMiwgVW5pdmVyc2lkYWQgZGUgWmFyYWdvemEtQ0lU
QSwgWmFyYWdvemEsIFNQQUlOLjwvYXV0aC1hZGRyZXNzPjx0aXRsZXM+PHRpdGxlPk1hdGVybmFs
IENhcmRpYWMgQWRhcHRhdGlvbnMgdG8gYSBQaHlzaWNhbCBFeGVyY2lzZSBQcm9ncmFtIGR1cmlu
ZyBQcmVnbmFuY3k8L3RpdGxlPjxzZWNvbmRhcnktdGl0bGU+TWVkIFNjaSBTcG9ydHMgRXhlcmM8
L3NlY29uZGFyeS10aXRsZT48L3RpdGxlcz48cGVyaW9kaWNhbD48ZnVsbC10aXRsZT5NZWQgU2Np
IFNwb3J0cyBFeGVyYzwvZnVsbC10aXRsZT48L3BlcmlvZGljYWw+PHBhZ2VzPjg5Ni05MDY8L3Bh
Z2VzPjx2b2x1bWU+NDg8L3ZvbHVtZT48bnVtYmVyPjU8L251bWJlcj48ZWRpdGlvbj4yMDE1LzEy
LzI0PC9lZGl0aW9uPjxrZXl3b3Jkcz48a2V5d29yZD5BZHVsdDwva2V5d29yZD48a2V5d29yZD5B
dHJpYWwgUmVtb2RlbGluZzwva2V5d29yZD48a2V5d29yZD5DYXJkaW92YXNjdWxhciBEaXNlYXNl
cy9wcmV2ZW50aW9uICZhbXA7IGNvbnRyb2w8L2tleXdvcmQ+PGtleXdvcmQ+KkNhcmRpb3Zhc2N1
bGFyIFBoeXNpb2xvZ2ljYWwgUGhlbm9tZW5hPC9rZXl3b3JkPjxrZXl3b3JkPkRlcHJlc3Npb24v
cHJldmVudGlvbiAmYW1wOyBjb250cm9sPC9rZXl3b3JkPjxrZXl3b3JkPkVjaG9jYXJkaW9ncmFw
aHk8L2tleXdvcmQ+PGtleXdvcmQ+KkV4ZXJjaXNlPC9rZXl3b3JkPjxrZXl3b3JkPkZlbWFsZTwv
a2V5d29yZD48a2V5d29yZD5IZW1vZHluYW1pY3M8L2tleXdvcmQ+PGtleXdvcmQ+SHVtYW5zPC9r
ZXl3b3JkPjxrZXl3b3JkPlByZWduYW5jeS8qcGh5c2lvbG9neTwva2V5d29yZD48a2V5d29yZD5Q
cmVnbmFuY3kgT3V0Y29tZTwva2V5d29yZD48a2V5d29yZD5SaXNrIEZhY3RvcnM8L2tleXdvcmQ+
PGtleXdvcmQ+VmVudHJpY3VsYXIgRnVuY3Rpb24sIExlZnQ8L2tleXdvcmQ+PGtleXdvcmQ+VmVu
dHJpY3VsYXIgUmVtb2RlbGluZzwva2V5d29yZD48a2V5d29yZD5XZWlnaHQgR2Fpbjwva2V5d29y
ZD48L2tleXdvcmRzPjxkYXRlcz48eWVhcj4yMDE2PC95ZWFyPjxwdWItZGF0ZXM+PGRhdGU+TWF5
PC9kYXRlPjwvcHViLWRhdGVzPjwvZGF0ZXM+PGlzYm4+MTUzMC0wMzE1IChFbGVjdHJvbmljKSYj
eEQ7MDE5NS05MTMxIChMaW5raW5nKTwvaXNibj48YWNjZXNzaW9uLW51bT4yNjY5NDg0ODwvYWNj
ZXNzaW9uLW51bT48dXJscz48cmVsYXRlZC11cmxzPjx1cmw+aHR0cHM6Ly93d3cubmNiaS5ubG0u
bmloLmdvdi9wdWJtZWQvMjY2OTQ4NDg8L3VybD48L3JlbGF0ZWQtdXJscz48L3VybHM+PGVsZWN0
cm9uaWMtcmVzb3VyY2UtbnVtPjEwLjEyNDkvTVNTLjAwMDAwMDAwMDAwMDA4Mzc8L2VsZWN0cm9u
aWMtcmVzb3VyY2UtbnVtPjwvcmVjb3JkPjwvQ2l0ZT48L0VuZE5vdGU+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296</w:t>
            </w:r>
            <w:r>
              <w:rPr>
                <w:sz w:val="16"/>
                <w:szCs w:val="16"/>
              </w:rPr>
              <w:fldChar w:fldCharType="end"/>
            </w:r>
          </w:p>
        </w:tc>
      </w:tr>
      <w:tr w:rsidR="008E765F" w:rsidRPr="00C12274" w14:paraId="1E3D40E0" w14:textId="77777777" w:rsidTr="00BC7AEC">
        <w:trPr>
          <w:cantSplit/>
        </w:trPr>
        <w:tc>
          <w:tcPr>
            <w:tcW w:w="1560" w:type="dxa"/>
            <w:shd w:val="clear" w:color="D9E2F3" w:themeColor="accent1" w:themeTint="33" w:fill="auto"/>
          </w:tcPr>
          <w:p w14:paraId="6A76DBEB"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6CDFAB72"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BC135E4" w14:textId="77777777" w:rsidR="008E765F" w:rsidRPr="00C12274" w:rsidRDefault="008E765F" w:rsidP="00611251">
            <w:pPr>
              <w:pStyle w:val="RCTstable"/>
              <w:keepNext/>
            </w:pPr>
            <w:r w:rsidRPr="00C12274">
              <w:t>A computer-generated list of random numbers was used</w:t>
            </w:r>
          </w:p>
        </w:tc>
      </w:tr>
      <w:tr w:rsidR="008E765F" w:rsidRPr="00C12274" w14:paraId="620C24B0" w14:textId="77777777" w:rsidTr="00BC7AEC">
        <w:trPr>
          <w:cantSplit/>
        </w:trPr>
        <w:tc>
          <w:tcPr>
            <w:tcW w:w="1560" w:type="dxa"/>
            <w:shd w:val="clear" w:color="D9E2F3" w:themeColor="accent1" w:themeTint="33" w:fill="auto"/>
          </w:tcPr>
          <w:p w14:paraId="2EEE8B12"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105A0623"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8AA22F6" w14:textId="77777777" w:rsidR="008E765F" w:rsidRPr="00C12274" w:rsidRDefault="008E765F" w:rsidP="00611251">
            <w:pPr>
              <w:pStyle w:val="RCTstable"/>
              <w:keepNext/>
            </w:pPr>
            <w:r w:rsidRPr="00C12274">
              <w:t>Not described</w:t>
            </w:r>
          </w:p>
        </w:tc>
      </w:tr>
      <w:tr w:rsidR="008E765F" w:rsidRPr="00C12274" w14:paraId="7B9569E7" w14:textId="77777777" w:rsidTr="00BC7AEC">
        <w:trPr>
          <w:cantSplit/>
        </w:trPr>
        <w:tc>
          <w:tcPr>
            <w:tcW w:w="1560" w:type="dxa"/>
            <w:shd w:val="clear" w:color="D9E2F3" w:themeColor="accent1" w:themeTint="33" w:fill="auto"/>
          </w:tcPr>
          <w:p w14:paraId="06E84E4E"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1910BC10" w14:textId="65DDDDEF" w:rsidR="008E765F" w:rsidRPr="00C12274" w:rsidRDefault="00325EFF"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320B6E5B" w14:textId="00BFEB32" w:rsidR="008E765F" w:rsidRPr="00C12274" w:rsidRDefault="00325EFF" w:rsidP="00611251">
            <w:pPr>
              <w:pStyle w:val="RCTstable"/>
              <w:keepNext/>
            </w:pPr>
            <w:r w:rsidRPr="00C12274">
              <w:t>The study participants and the qualified fitness instructors who supervised the exercise sessions were not blinded to the group allocation</w:t>
            </w:r>
          </w:p>
        </w:tc>
      </w:tr>
      <w:tr w:rsidR="00325EFF" w:rsidRPr="00C12274" w14:paraId="4FA2EC43" w14:textId="77777777" w:rsidTr="00BC7AEC">
        <w:trPr>
          <w:cantSplit/>
        </w:trPr>
        <w:tc>
          <w:tcPr>
            <w:tcW w:w="1560" w:type="dxa"/>
            <w:shd w:val="clear" w:color="D9E2F3" w:themeColor="accent1" w:themeTint="33" w:fill="auto"/>
          </w:tcPr>
          <w:p w14:paraId="7BF861E0" w14:textId="77777777" w:rsidR="00325EFF" w:rsidRPr="00C12274" w:rsidRDefault="00325EFF" w:rsidP="009740A7">
            <w:pPr>
              <w:spacing w:before="40" w:after="40" w:line="220" w:lineRule="exact"/>
              <w:rPr>
                <w:sz w:val="16"/>
                <w:szCs w:val="16"/>
              </w:rPr>
            </w:pPr>
            <w:r>
              <w:rPr>
                <w:sz w:val="16"/>
                <w:szCs w:val="16"/>
              </w:rPr>
              <w:t>Detection bias</w:t>
            </w:r>
          </w:p>
        </w:tc>
        <w:tc>
          <w:tcPr>
            <w:tcW w:w="1275" w:type="dxa"/>
            <w:shd w:val="clear" w:color="D9E2F3" w:themeColor="accent1" w:themeTint="33" w:fill="FF4D19"/>
          </w:tcPr>
          <w:p w14:paraId="02CFCDAF" w14:textId="0E6C6DAD" w:rsidR="00325EFF" w:rsidRPr="00C12274" w:rsidRDefault="00325EFF" w:rsidP="009740A7">
            <w:pPr>
              <w:spacing w:before="40" w:after="40" w:line="220" w:lineRule="exact"/>
              <w:rPr>
                <w:sz w:val="16"/>
                <w:szCs w:val="16"/>
              </w:rPr>
            </w:pPr>
            <w:r>
              <w:rPr>
                <w:sz w:val="16"/>
                <w:szCs w:val="16"/>
              </w:rPr>
              <w:t>High</w:t>
            </w:r>
            <w:r w:rsidRPr="00C12274">
              <w:rPr>
                <w:sz w:val="16"/>
                <w:szCs w:val="16"/>
              </w:rPr>
              <w:t xml:space="preserve"> risk</w:t>
            </w:r>
          </w:p>
        </w:tc>
        <w:tc>
          <w:tcPr>
            <w:tcW w:w="11199" w:type="dxa"/>
            <w:shd w:val="clear" w:color="D9E2F3" w:themeColor="accent1" w:themeTint="33" w:fill="auto"/>
          </w:tcPr>
          <w:p w14:paraId="79125710" w14:textId="08183435" w:rsidR="00325EFF" w:rsidRPr="00C12274" w:rsidRDefault="00325EFF" w:rsidP="009740A7">
            <w:pPr>
              <w:pStyle w:val="RCTstable"/>
            </w:pPr>
            <w:r w:rsidRPr="00C12274">
              <w:t>The study participants and the qualified fitness instructors who supervised the exercise sessions were not blinded to the group allocation</w:t>
            </w:r>
          </w:p>
        </w:tc>
      </w:tr>
      <w:tr w:rsidR="008E765F" w:rsidRPr="00C12274" w14:paraId="477985F9" w14:textId="77777777" w:rsidTr="00BC7AEC">
        <w:trPr>
          <w:cantSplit/>
        </w:trPr>
        <w:tc>
          <w:tcPr>
            <w:tcW w:w="1560" w:type="dxa"/>
            <w:shd w:val="clear" w:color="D9E2F3" w:themeColor="accent1" w:themeTint="33" w:fill="auto"/>
          </w:tcPr>
          <w:p w14:paraId="2E0CC2BF"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3A97EEBB" w14:textId="77777777" w:rsidR="008E765F" w:rsidRPr="00C12274" w:rsidRDefault="008E765F" w:rsidP="00611251">
            <w:pPr>
              <w:keepNext/>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71AE5180" w14:textId="77777777" w:rsidR="008E765F" w:rsidRPr="00C12274" w:rsidRDefault="008E765F" w:rsidP="00611251">
            <w:pPr>
              <w:keepNext/>
              <w:spacing w:before="40" w:after="40" w:line="220" w:lineRule="exact"/>
              <w:rPr>
                <w:sz w:val="16"/>
                <w:szCs w:val="16"/>
                <w:lang w:val="en-US"/>
              </w:rPr>
            </w:pPr>
            <w:r w:rsidRPr="00C12274">
              <w:rPr>
                <w:sz w:val="16"/>
                <w:szCs w:val="16"/>
                <w:lang w:val="en-US"/>
              </w:rPr>
              <w:t xml:space="preserve">Unbalanced losses; 51% in intervention group and 30% in the control group. </w:t>
            </w:r>
          </w:p>
        </w:tc>
      </w:tr>
      <w:tr w:rsidR="008E765F" w:rsidRPr="00C12274" w14:paraId="19DA2FEC" w14:textId="77777777" w:rsidTr="00BC7AEC">
        <w:trPr>
          <w:cantSplit/>
        </w:trPr>
        <w:tc>
          <w:tcPr>
            <w:tcW w:w="1560" w:type="dxa"/>
            <w:shd w:val="clear" w:color="D9E2F3" w:themeColor="accent1" w:themeTint="33" w:fill="auto"/>
          </w:tcPr>
          <w:p w14:paraId="1C157FA5"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7FCE9CC7"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4617535"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22EDC38D" w14:textId="77777777" w:rsidTr="00BC7AEC">
        <w:trPr>
          <w:cantSplit/>
        </w:trPr>
        <w:tc>
          <w:tcPr>
            <w:tcW w:w="1560" w:type="dxa"/>
            <w:shd w:val="clear" w:color="D9E2F3" w:themeColor="accent1" w:themeTint="33" w:fill="auto"/>
          </w:tcPr>
          <w:p w14:paraId="626D3704"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12E47CD5"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6295ABD4"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71F5BC83" w14:textId="77777777" w:rsidTr="00BC7AEC">
        <w:trPr>
          <w:cantSplit/>
        </w:trPr>
        <w:tc>
          <w:tcPr>
            <w:tcW w:w="14034" w:type="dxa"/>
            <w:gridSpan w:val="3"/>
            <w:shd w:val="solid" w:color="D9E2F3" w:themeColor="accent1" w:themeTint="33" w:fill="auto"/>
          </w:tcPr>
          <w:p w14:paraId="1673C268" w14:textId="6BE82D92"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Petrov Fieril et al 2015</w:t>
            </w:r>
            <w:r>
              <w:rPr>
                <w:sz w:val="16"/>
                <w:szCs w:val="16"/>
              </w:rPr>
              <w:fldChar w:fldCharType="begin">
                <w:fldData xml:space="preserve">PEVuZE5vdGU+PENpdGU+PEF1dGhvcj5QZXRyb3YgRmllcmlsPC9BdXRob3I+PFllYXI+MjAxNTwv
WWVhcj48UmVjTnVtPjkzMjwvUmVjTnVtPjxEaXNwbGF5VGV4dD48c3R5bGUgZmFjZT0ic3VwZXJz
Y3JpcHQiIGZvbnQ9IlRyZWJ1Y2hldCBNUyIgc2l6ZT0iOSI+NDUzPC9zdHlsZT48L0Rpc3BsYXlU
ZXh0PjxyZWNvcmQ+PHJlYy1udW1iZXI+OTMyPC9yZWMtbnVtYmVyPjxmb3JlaWduLWtleXM+PGtl
eSBhcHA9IkVOIiBkYi1pZD0iZXh2YXNyZngyZHRyYW9lc2FzeHAyc3pzeGEyZGY1MDI1OTJ4IiB0
aW1lc3RhbXA9IjE1NDE1NDA5NTciPjkzMjwva2V5PjxrZXkgYXBwPSJFTldlYiIgZGItaWQ9IiI+
MDwva2V5PjwvZm9yZWlnbi1rZXlzPjxyZWYtdHlwZSBuYW1lPSJKb3VybmFsIEFydGljbGUiPjE3
PC9yZWYtdHlwZT48Y29udHJpYnV0b3JzPjxhdXRob3JzPjxhdXRob3I+UGV0cm92IEZpZXJpbCwg
Sy48L2F1dGhvcj48YXV0aG9yPkdsYW50eiwgQS48L2F1dGhvcj48YXV0aG9yPkZhZ2V2aWsgT2xz
ZW4sIE0uPC9hdXRob3I+PC9hdXRob3JzPjwvY29udHJpYnV0b3JzPjxhdXRoLWFkZHJlc3M+SW5z
dGl0dXRlIG9mIE5ldXJvc2NpZW5jZSBhbmQgUGh5c2lvbG9neSwgVW5pdmVyc2l0eSBvZiBHb3Ro
ZW5idXJnLCBHb3RoZW5idXJnLCBTd2VkZW4uPC9hdXRoLWFkZHJlc3M+PHRpdGxlcz48dGl0bGU+
VGhlIGVmZmljYWN5IG9mIG1vZGVyYXRlLXRvLXZpZ29yb3VzIHJlc2lzdGFuY2UgZXhlcmNpc2Ug
ZHVyaW5nIHByZWduYW5jeTogYSByYW5kb21pemVkIGNvbnRyb2xsZWQgdHJpYWw8L3RpdGxlPjxz
ZWNvbmRhcnktdGl0bGU+QWN0YSBPYnN0ZXQgR3luZWNvbCBTY2FuZDwvc2Vjb25kYXJ5LXRpdGxl
PjwvdGl0bGVzPjxwZXJpb2RpY2FsPjxmdWxsLXRpdGxlPkFjdGEgT2JzdGV0IEd5bmVjb2wgU2Nh
bmQ8L2Z1bGwtdGl0bGU+PC9wZXJpb2RpY2FsPjxwYWdlcz4zNS00MjwvcGFnZXM+PHZvbHVtZT45
NDwvdm9sdW1lPjxudW1iZXI+MTwvbnVtYmVyPjxlZGl0aW9uPjIwMTQvMTAvMDg8L2VkaXRpb24+
PGtleXdvcmRzPjxrZXl3b3JkPkFkdWx0PC9rZXl3b3JkPjxrZXl3b3JkPkJsb29kIFByZXNzdXJl
IERldGVybWluYXRpb24vbWV0aG9kczwva2V5d29yZD48a2V5d29yZD5GZW1hbGU8L2tleXdvcmQ+
PGtleXdvcmQ+R2VzdGF0aW9uYWwgQWdlPC9rZXl3b3JkPjxrZXl3b3JkPkhlYXJ0IFJhdGUvcGh5
c2lvbG9neTwva2V5d29yZD48a2V5d29yZD5IdW1hbnM8L2tleXdvcmQ+PGtleXdvcmQ+TW9uaXRv
cmluZywgUGh5c2lvbG9naWMvbWV0aG9kczwva2V5d29yZD48a2V5d29yZD5QaHlzaWNhbCBFbmR1
cmFuY2UvKnBoeXNpb2xvZ3k8L2tleXdvcmQ+PGtleXdvcmQ+UGh5c2ljYWwgRml0bmVzcy9waHlz
aW9sb2d5PC9rZXl3b3JkPjxrZXl3b3JkPlByZWduYW5jeTwva2V5d29yZD48a2V5d29yZD4qUHJl
Z25hbmN5IE91dGNvbWU8L2tleXdvcmQ+PGtleXdvcmQ+UHJvc3BlY3RpdmUgU3R1ZGllczwva2V5
d29yZD48a2V5d29yZD4qUXVhbGl0eSBvZiBMaWZlPC9rZXl3b3JkPjxrZXl3b3JkPlJlZmVyZW5j
ZSBWYWx1ZXM8L2tleXdvcmQ+PGtleXdvcmQ+UmVzaXN0YW5jZSBUcmFpbmluZy8qbWV0aG9kczwv
a2V5d29yZD48a2V5d29yZD5Td2VkZW48L2tleXdvcmQ+PGtleXdvcmQ+RXhlcmNpc2U8L2tleXdv
cmQ+PGtleXdvcmQ+cHVibGljIGhlYWx0aDwva2V5d29yZD48a2V5d29yZD5yYW5kb21pemVkIGNv
bnRyb2xsZWQgdHJpYWw8L2tleXdvcmQ+PC9rZXl3b3Jkcz48ZGF0ZXM+PHllYXI+MjAxNTwveWVh
cj48cHViLWRhdGVzPjxkYXRlPkphbjwvZGF0ZT48L3B1Yi1kYXRlcz48L2RhdGVzPjxpc2JuPjE2
MDAtMDQxMiAoRWxlY3Ryb25pYykmI3hEOzAwMDEtNjM0OSAoTGlua2luZyk8L2lzYm4+PGFjY2Vz
c2lvbi1udW0+MjUyODcyODI8L2FjY2Vzc2lvbi1udW0+PHVybHM+PHJlbGF0ZWQtdXJscz48dXJs
Pmh0dHBzOi8vd3d3Lm5jYmkubmxtLm5paC5nb3YvcHVibWVkLzI1Mjg3MjgyPC91cmw+PC9yZWxh
dGVkLXVybHM+PC91cmxzPjxlbGVjdHJvbmljLXJlc291cmNlLW51bT4xMC4xMTExL2FvZ3MuMTI1
MjU8L2VsZWN0cm9uaWMtcmVzb3VyY2UtbnVtPjwvcmVjb3JkPjwvQ2l0ZT48L0VuZE5vdGU+
</w:fldData>
              </w:fldChar>
            </w:r>
            <w:r w:rsidR="002747EA">
              <w:rPr>
                <w:sz w:val="16"/>
                <w:szCs w:val="16"/>
              </w:rPr>
              <w:instrText xml:space="preserve"> ADDIN EN.CITE </w:instrText>
            </w:r>
            <w:r w:rsidR="002747EA">
              <w:rPr>
                <w:sz w:val="16"/>
                <w:szCs w:val="16"/>
              </w:rPr>
              <w:fldChar w:fldCharType="begin">
                <w:fldData xml:space="preserve">PEVuZE5vdGU+PENpdGU+PEF1dGhvcj5QZXRyb3YgRmllcmlsPC9BdXRob3I+PFllYXI+MjAxNTwv
WWVhcj48UmVjTnVtPjkzMjwvUmVjTnVtPjxEaXNwbGF5VGV4dD48c3R5bGUgZmFjZT0ic3VwZXJz
Y3JpcHQiIGZvbnQ9IlRyZWJ1Y2hldCBNUyIgc2l6ZT0iOSI+NDUzPC9zdHlsZT48L0Rpc3BsYXlU
ZXh0PjxyZWNvcmQ+PHJlYy1udW1iZXI+OTMyPC9yZWMtbnVtYmVyPjxmb3JlaWduLWtleXM+PGtl
eSBhcHA9IkVOIiBkYi1pZD0iZXh2YXNyZngyZHRyYW9lc2FzeHAyc3pzeGEyZGY1MDI1OTJ4IiB0
aW1lc3RhbXA9IjE1NDE1NDA5NTciPjkzMjwva2V5PjxrZXkgYXBwPSJFTldlYiIgZGItaWQ9IiI+
MDwva2V5PjwvZm9yZWlnbi1rZXlzPjxyZWYtdHlwZSBuYW1lPSJKb3VybmFsIEFydGljbGUiPjE3
PC9yZWYtdHlwZT48Y29udHJpYnV0b3JzPjxhdXRob3JzPjxhdXRob3I+UGV0cm92IEZpZXJpbCwg
Sy48L2F1dGhvcj48YXV0aG9yPkdsYW50eiwgQS48L2F1dGhvcj48YXV0aG9yPkZhZ2V2aWsgT2xz
ZW4sIE0uPC9hdXRob3I+PC9hdXRob3JzPjwvY29udHJpYnV0b3JzPjxhdXRoLWFkZHJlc3M+SW5z
dGl0dXRlIG9mIE5ldXJvc2NpZW5jZSBhbmQgUGh5c2lvbG9neSwgVW5pdmVyc2l0eSBvZiBHb3Ro
ZW5idXJnLCBHb3RoZW5idXJnLCBTd2VkZW4uPC9hdXRoLWFkZHJlc3M+PHRpdGxlcz48dGl0bGU+
VGhlIGVmZmljYWN5IG9mIG1vZGVyYXRlLXRvLXZpZ29yb3VzIHJlc2lzdGFuY2UgZXhlcmNpc2Ug
ZHVyaW5nIHByZWduYW5jeTogYSByYW5kb21pemVkIGNvbnRyb2xsZWQgdHJpYWw8L3RpdGxlPjxz
ZWNvbmRhcnktdGl0bGU+QWN0YSBPYnN0ZXQgR3luZWNvbCBTY2FuZDwvc2Vjb25kYXJ5LXRpdGxl
PjwvdGl0bGVzPjxwZXJpb2RpY2FsPjxmdWxsLXRpdGxlPkFjdGEgT2JzdGV0IEd5bmVjb2wgU2Nh
bmQ8L2Z1bGwtdGl0bGU+PC9wZXJpb2RpY2FsPjxwYWdlcz4zNS00MjwvcGFnZXM+PHZvbHVtZT45
NDwvdm9sdW1lPjxudW1iZXI+MTwvbnVtYmVyPjxlZGl0aW9uPjIwMTQvMTAvMDg8L2VkaXRpb24+
PGtleXdvcmRzPjxrZXl3b3JkPkFkdWx0PC9rZXl3b3JkPjxrZXl3b3JkPkJsb29kIFByZXNzdXJl
IERldGVybWluYXRpb24vbWV0aG9kczwva2V5d29yZD48a2V5d29yZD5GZW1hbGU8L2tleXdvcmQ+
PGtleXdvcmQ+R2VzdGF0aW9uYWwgQWdlPC9rZXl3b3JkPjxrZXl3b3JkPkhlYXJ0IFJhdGUvcGh5
c2lvbG9neTwva2V5d29yZD48a2V5d29yZD5IdW1hbnM8L2tleXdvcmQ+PGtleXdvcmQ+TW9uaXRv
cmluZywgUGh5c2lvbG9naWMvbWV0aG9kczwva2V5d29yZD48a2V5d29yZD5QaHlzaWNhbCBFbmR1
cmFuY2UvKnBoeXNpb2xvZ3k8L2tleXdvcmQ+PGtleXdvcmQ+UGh5c2ljYWwgRml0bmVzcy9waHlz
aW9sb2d5PC9rZXl3b3JkPjxrZXl3b3JkPlByZWduYW5jeTwva2V5d29yZD48a2V5d29yZD4qUHJl
Z25hbmN5IE91dGNvbWU8L2tleXdvcmQ+PGtleXdvcmQ+UHJvc3BlY3RpdmUgU3R1ZGllczwva2V5
d29yZD48a2V5d29yZD4qUXVhbGl0eSBvZiBMaWZlPC9rZXl3b3JkPjxrZXl3b3JkPlJlZmVyZW5j
ZSBWYWx1ZXM8L2tleXdvcmQ+PGtleXdvcmQ+UmVzaXN0YW5jZSBUcmFpbmluZy8qbWV0aG9kczwv
a2V5d29yZD48a2V5d29yZD5Td2VkZW48L2tleXdvcmQ+PGtleXdvcmQ+RXhlcmNpc2U8L2tleXdv
cmQ+PGtleXdvcmQ+cHVibGljIGhlYWx0aDwva2V5d29yZD48a2V5d29yZD5yYW5kb21pemVkIGNv
bnRyb2xsZWQgdHJpYWw8L2tleXdvcmQ+PC9rZXl3b3Jkcz48ZGF0ZXM+PHllYXI+MjAxNTwveWVh
cj48cHViLWRhdGVzPjxkYXRlPkphbjwvZGF0ZT48L3B1Yi1kYXRlcz48L2RhdGVzPjxpc2JuPjE2
MDAtMDQxMiAoRWxlY3Ryb25pYykmI3hEOzAwMDEtNjM0OSAoTGlua2luZyk8L2lzYm4+PGFjY2Vz
c2lvbi1udW0+MjUyODcyODI8L2FjY2Vzc2lvbi1udW0+PHVybHM+PHJlbGF0ZWQtdXJscz48dXJs
Pmh0dHBzOi8vd3d3Lm5jYmkubmxtLm5paC5nb3YvcHVibWVkLzI1Mjg3MjgyPC91cmw+PC9yZWxh
dGVkLXVybHM+PC91cmxzPjxlbGVjdHJvbmljLXJlc291cmNlLW51bT4xMC4xMTExL2FvZ3MuMTI1
MjU8L2VsZWN0cm9uaWMtcmVzb3VyY2UtbnVtPjwvcmVjb3JkPjwvQ2l0ZT48L0VuZE5vdGU+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453</w:t>
            </w:r>
            <w:r>
              <w:rPr>
                <w:sz w:val="16"/>
                <w:szCs w:val="16"/>
              </w:rPr>
              <w:fldChar w:fldCharType="end"/>
            </w:r>
          </w:p>
        </w:tc>
      </w:tr>
      <w:tr w:rsidR="008E765F" w:rsidRPr="00C12274" w14:paraId="703F6E50" w14:textId="77777777" w:rsidTr="00BC7AEC">
        <w:trPr>
          <w:cantSplit/>
        </w:trPr>
        <w:tc>
          <w:tcPr>
            <w:tcW w:w="1560" w:type="dxa"/>
            <w:shd w:val="clear" w:color="D9E2F3" w:themeColor="accent1" w:themeTint="33" w:fill="auto"/>
          </w:tcPr>
          <w:p w14:paraId="7B4DD849"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746F5B88"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F1769B6" w14:textId="77777777" w:rsidR="008E765F" w:rsidRPr="00C12274" w:rsidRDefault="008E765F" w:rsidP="006045AE">
            <w:pPr>
              <w:pStyle w:val="RCTstable"/>
              <w:keepNext/>
            </w:pPr>
            <w:r w:rsidRPr="00C12274">
              <w:t>Participants were randomly assigned to either the intervention group or the control group (allocation ratio 1:1)“, however the group sizes were significantly different (51 vs 41, respectively)</w:t>
            </w:r>
          </w:p>
        </w:tc>
      </w:tr>
      <w:tr w:rsidR="008E765F" w:rsidRPr="00C12274" w14:paraId="063D4B80" w14:textId="77777777" w:rsidTr="00BC7AEC">
        <w:trPr>
          <w:cantSplit/>
        </w:trPr>
        <w:tc>
          <w:tcPr>
            <w:tcW w:w="1560" w:type="dxa"/>
            <w:shd w:val="clear" w:color="D9E2F3" w:themeColor="accent1" w:themeTint="33" w:fill="auto"/>
          </w:tcPr>
          <w:p w14:paraId="4C77F55D"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310CC5D4"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20E3613" w14:textId="77777777" w:rsidR="008E765F" w:rsidRPr="00C12274" w:rsidRDefault="008E765F" w:rsidP="006045AE">
            <w:pPr>
              <w:pStyle w:val="RCTstable"/>
              <w:keepNext/>
            </w:pPr>
            <w:r w:rsidRPr="00C12274">
              <w:t>The research coordinator performed the randomization by using opaque sealed envelopes, which were randomly picked out before the meeting with each participant.</w:t>
            </w:r>
          </w:p>
        </w:tc>
      </w:tr>
      <w:tr w:rsidR="008E765F" w:rsidRPr="00C12274" w14:paraId="5AA7A7DB" w14:textId="77777777" w:rsidTr="00BC7AEC">
        <w:trPr>
          <w:cantSplit/>
        </w:trPr>
        <w:tc>
          <w:tcPr>
            <w:tcW w:w="1560" w:type="dxa"/>
            <w:shd w:val="clear" w:color="D9E2F3" w:themeColor="accent1" w:themeTint="33" w:fill="auto"/>
          </w:tcPr>
          <w:p w14:paraId="788623BF" w14:textId="77777777" w:rsidR="008E765F" w:rsidRPr="00C12274" w:rsidRDefault="008E765F" w:rsidP="006045A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4D1643B5" w14:textId="21074638" w:rsidR="008E765F" w:rsidRPr="00C12274" w:rsidRDefault="00325EFF" w:rsidP="006045AE">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6A305131" w14:textId="7E3AB299" w:rsidR="008E765F" w:rsidRPr="00C12274" w:rsidRDefault="008E765F" w:rsidP="006045AE">
            <w:pPr>
              <w:pStyle w:val="RCTstable"/>
              <w:keepNext/>
            </w:pPr>
            <w:r w:rsidRPr="00C12274">
              <w:t xml:space="preserve">Not blinded to participants. </w:t>
            </w:r>
          </w:p>
        </w:tc>
      </w:tr>
      <w:tr w:rsidR="00325EFF" w:rsidRPr="00C12274" w14:paraId="29648084" w14:textId="77777777" w:rsidTr="00BC7AEC">
        <w:trPr>
          <w:cantSplit/>
        </w:trPr>
        <w:tc>
          <w:tcPr>
            <w:tcW w:w="1560" w:type="dxa"/>
            <w:shd w:val="clear" w:color="D9E2F3" w:themeColor="accent1" w:themeTint="33" w:fill="auto"/>
          </w:tcPr>
          <w:p w14:paraId="095D7845" w14:textId="77777777" w:rsidR="00325EFF" w:rsidRPr="00C12274" w:rsidRDefault="00325EFF" w:rsidP="009740A7">
            <w:pPr>
              <w:spacing w:before="40" w:after="40" w:line="220" w:lineRule="exact"/>
              <w:rPr>
                <w:sz w:val="16"/>
                <w:szCs w:val="16"/>
              </w:rPr>
            </w:pPr>
            <w:r>
              <w:rPr>
                <w:sz w:val="16"/>
                <w:szCs w:val="16"/>
              </w:rPr>
              <w:t>Detection bias</w:t>
            </w:r>
          </w:p>
        </w:tc>
        <w:tc>
          <w:tcPr>
            <w:tcW w:w="1275" w:type="dxa"/>
            <w:shd w:val="clear" w:color="D9E2F3" w:themeColor="accent1" w:themeTint="33" w:fill="70AD47" w:themeFill="accent6"/>
          </w:tcPr>
          <w:p w14:paraId="61DBA9BC" w14:textId="1B0DF62E" w:rsidR="00325EFF" w:rsidRPr="00C12274" w:rsidRDefault="00325EFF" w:rsidP="009740A7">
            <w:pPr>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430B73C1" w14:textId="0C55E6CD" w:rsidR="00325EFF" w:rsidRPr="00C12274" w:rsidRDefault="00325EFF" w:rsidP="009740A7">
            <w:pPr>
              <w:pStyle w:val="RCTstable"/>
            </w:pPr>
            <w:r w:rsidRPr="00C12274">
              <w:t>All data were collected at a primary health care location by an investigator who was blinded to group allocation</w:t>
            </w:r>
          </w:p>
        </w:tc>
      </w:tr>
      <w:tr w:rsidR="008E765F" w:rsidRPr="00C12274" w14:paraId="49C848FA" w14:textId="77777777" w:rsidTr="00BC7AEC">
        <w:trPr>
          <w:cantSplit/>
        </w:trPr>
        <w:tc>
          <w:tcPr>
            <w:tcW w:w="1560" w:type="dxa"/>
            <w:shd w:val="clear" w:color="D9E2F3" w:themeColor="accent1" w:themeTint="33" w:fill="auto"/>
          </w:tcPr>
          <w:p w14:paraId="6CDF5B57"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4FC01031" w14:textId="77777777" w:rsidR="008E765F" w:rsidRPr="00C12274" w:rsidRDefault="008E765F" w:rsidP="00611251">
            <w:pPr>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1639FDBF" w14:textId="77777777" w:rsidR="008E765F" w:rsidRPr="00C12274" w:rsidRDefault="008E765F" w:rsidP="00611251">
            <w:pPr>
              <w:pStyle w:val="RCTstable"/>
            </w:pPr>
            <w:r w:rsidRPr="00C12274">
              <w:t>25% and 18% of participants dropped out of the intervention and control groups, respectively</w:t>
            </w:r>
          </w:p>
        </w:tc>
      </w:tr>
      <w:tr w:rsidR="008E765F" w:rsidRPr="00C12274" w14:paraId="16F652C7" w14:textId="77777777" w:rsidTr="00BC7AEC">
        <w:trPr>
          <w:cantSplit/>
        </w:trPr>
        <w:tc>
          <w:tcPr>
            <w:tcW w:w="1560" w:type="dxa"/>
            <w:shd w:val="clear" w:color="D9E2F3" w:themeColor="accent1" w:themeTint="33" w:fill="auto"/>
          </w:tcPr>
          <w:p w14:paraId="23A46854"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FF4D19"/>
          </w:tcPr>
          <w:p w14:paraId="75431942" w14:textId="77777777" w:rsidR="008E765F" w:rsidRPr="00C12274" w:rsidRDefault="008E765F" w:rsidP="00611251">
            <w:pPr>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2A2CE267" w14:textId="77777777" w:rsidR="008E765F" w:rsidRPr="00C12274" w:rsidRDefault="008E765F" w:rsidP="00611251">
            <w:pPr>
              <w:pStyle w:val="RCTstable"/>
            </w:pPr>
            <w:r w:rsidRPr="00C12274">
              <w:t>Protocol not seen. GWG and EGWG not reported.</w:t>
            </w:r>
          </w:p>
        </w:tc>
      </w:tr>
      <w:tr w:rsidR="008E765F" w:rsidRPr="00C12274" w14:paraId="0871E769" w14:textId="77777777" w:rsidTr="00BC7AEC">
        <w:trPr>
          <w:cantSplit/>
        </w:trPr>
        <w:tc>
          <w:tcPr>
            <w:tcW w:w="1560" w:type="dxa"/>
            <w:shd w:val="clear" w:color="D9E2F3" w:themeColor="accent1" w:themeTint="33" w:fill="auto"/>
          </w:tcPr>
          <w:p w14:paraId="02D2491B"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584B35BF"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5859CF48"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3C6E3425" w14:textId="77777777" w:rsidTr="00BC7AEC">
        <w:trPr>
          <w:cantSplit/>
        </w:trPr>
        <w:tc>
          <w:tcPr>
            <w:tcW w:w="14034" w:type="dxa"/>
            <w:gridSpan w:val="3"/>
            <w:shd w:val="solid" w:color="D9E2F3" w:themeColor="accent1" w:themeTint="33" w:fill="auto"/>
          </w:tcPr>
          <w:p w14:paraId="14C749FD" w14:textId="489BA4E6"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Pinzon et al 2012</w:t>
            </w:r>
            <w:r>
              <w:rPr>
                <w:sz w:val="16"/>
                <w:szCs w:val="16"/>
              </w:rPr>
              <w:fldChar w:fldCharType="begin">
                <w:fldData xml:space="preserve">PEVuZE5vdGU+PENpdGU+PEF1dGhvcj5QaW56b248L0F1dGhvcj48WWVhcj4yMDEyPC9ZZWFyPjxS
ZWNOdW0+MTA0NzwvUmVjTnVtPjxEaXNwbGF5VGV4dD48c3R5bGUgZmFjZT0ic3VwZXJzY3JpcHQi
IGZvbnQ9IlRyZWJ1Y2hldCBNUyIgc2l6ZT0iOSI+NDQxPC9zdHlsZT48L0Rpc3BsYXlUZXh0Pjxy
ZWNvcmQ+PHJlYy1udW1iZXI+MTA0NzwvcmVjLW51bWJlcj48Zm9yZWlnbi1rZXlzPjxrZXkgYXBw
PSJFTiIgZGItaWQ9ImV4dmFzcmZ4MmR0cmFvZXNhc3hwMnN6c3hhMmRmNTAyNTkyeCIgdGltZXN0
YW1wPSIxNTQ4OTgzNDc2Ij4xMDQ3PC9rZXk+PC9mb3JlaWduLWtleXM+PHJlZi10eXBlIG5hbWU9
IkpvdXJuYWwgQXJ0aWNsZSI+MTc8L3JlZi10eXBlPjxjb250cmlidXRvcnM+PGF1dGhvcnM+PGF1
dGhvcj5QaW56b24sIEQuIEMuPC9hdXRob3I+PGF1dGhvcj5aYW1vcmEsIEsuPC9hdXRob3I+PGF1
dGhvcj5NYXJ0aW5leiwgSi4gSC48L2F1dGhvcj48YXV0aG9yPkZsb3Jlei1Mb3BleiwgTS4gRS48
L2F1dGhvcj48YXV0aG9yPmRlIFBsYXRhLCBBLiBDLjwvYXV0aG9yPjxhdXRob3I+TW9zcXVlcmEs
IE0uPC9hdXRob3I+PGF1dGhvcj5SYW1pcmV6LVZlbGV6LCBSLjwvYXV0aG9yPjwvYXV0aG9ycz48
L2NvbnRyaWJ1dG9ycz48YXV0aC1hZGRyZXNzPlByb2dyYW1hIGRlIEZpc2lvdGVyYXBpYSwgRnVu
ZGFjaW9uIFVuaXZlcnNpdGFyaWEgTWFyaWEgQ2FubywgQ2FsaSwgQ29sb21iaWEuJiN4RDtGYWN1
bHRhZCBkZSBFbmZlcm1lcmlhIHkgUmVoYWJpbGl0YWNpb24sIFVuaXZlcnNpZGFkIGRlIGxhIFNh
YmFuYSwgQ2hpYSwgQ29sb21iaWEuJiN4RDtHcnVwbyBkZSBOdXRyaWNpb24sIERlcGFydGFtZW50
byBkZSBDaWVuY2lhcyBGaXNpb2xvZ2ljYXMsIEVzY3VlbGEgZGUgQ2llbmNpYXMgQmFzaWNhcywg
VW5pdmVyc2lkYWQgZGVsIFZhbGxlLCBDYWxpLCBDb2xvbWJpYS4mI3hEO0dydXBvIEdJQ0FFRFMs
IEZhY3VsdGFkIGRlIEN1bHR1cmEgRmlzaWNhLCBEZXBvcnRlIHkgUmVjcmVhY2lvbiwgVW5pdmVy
c2lkYWQgU2FudG9vIFRvbWFzLjwvYXV0aC1hZGRyZXNzPjx0aXRsZXM+PHRpdGxlPlR5cGUgb2Yg
ZGVsaXZlcnkgYW5kIGdlc3RhdGlvbmFsIGFnZSBpcyBub3QgYWZmZWN0ZWQgYnkgcHJlZ25hbnQg
TGF0aW4tQW1lcmljYW4gd29tZW4gZW5nYWdpbmcgaW4gdmlnb3JvdXMgZXhlcmNpc2U6IGEgc2Vj
b25kYXJ5IGFuYWx5c2lzIG9mIGRhdGEgZnJvbSBhIGNvbnRyb2xsZWQgcmFuZG9taXplZCB0cmlh
bDwvdGl0bGU+PHNlY29uZGFyeS10aXRsZT5SZXYgU2FsdWQgUHVibGljYSAoQm9nb3RhKTwvc2Vj
b25kYXJ5LXRpdGxlPjwvdGl0bGVzPjxwZXJpb2RpY2FsPjxmdWxsLXRpdGxlPlJldiBTYWx1ZCBQ
dWJsaWNhIChCb2dvdGEpPC9mdWxsLXRpdGxlPjwvcGVyaW9kaWNhbD48cGFnZXM+NzMxLTQzPC9w
YWdlcz48dm9sdW1lPjE0PC92b2x1bWU+PG51bWJlcj41PC9udW1iZXI+PGVkaXRpb24+MjAxMi8x
MC8wMTwvZWRpdGlvbj48a2V5d29yZHM+PGtleXdvcmQ+QWR1bHQ8L2tleXdvcmQ+PGtleXdvcmQ+
QW50aHJvcG9tZXRyeTwva2V5d29yZD48a2V5d29yZD5BcGdhciBTY29yZTwva2V5d29yZD48a2V5
d29yZD5CaXJ0aCBXZWlnaHQ8L2tleXdvcmQ+PGtleXdvcmQ+Qmxvb2QgUHJlc3N1cmU8L2tleXdv
cmQ+PGtleXdvcmQ+Qm9keSBXZWlnaHQ8L2tleXdvcmQ+PGtleXdvcmQ+Q29sb21iaWE8L2tleXdv
cmQ+PGtleXdvcmQ+RGVsaXZlcnksIE9ic3RldHJpYy8qc3RhdGlzdGljcyAmYW1wOyBudW1lcmlj
YWwgZGF0YTwva2V5d29yZD48a2V5d29yZD4qRXhlcmNpc2U8L2tleXdvcmQ+PGtleXdvcmQ+RmVt
YWxlPC9rZXl3b3JkPjxrZXl3b3JkPipHZXN0YXRpb25hbCBBZ2U8L2tleXdvcmQ+PGtleXdvcmQ+
SG9zcGl0YWxzLCBNYXRlcm5pdHk8L2tleXdvcmQ+PGtleXdvcmQ+SHVtYW5zPC9rZXl3b3JkPjxr
ZXl3b3JkPkluZmFudCwgTmV3Ym9ybjwva2V5d29yZD48a2V5d29yZD5QcmVnbmFuY3kvKnBoeXNp
b2xvZ3k8L2tleXdvcmQ+PGtleXdvcmQ+UHJlZ25hbmN5IE91dGNvbWU8L2tleXdvcmQ+PGtleXdv
cmQ+UHJlbmF0YWwgQ2FyZTwva2V5d29yZD48a2V5d29yZD5SYW5kb21pemVkIENvbnRyb2xsZWQg
VHJpYWxzIGFzIFRvcGljPC9rZXl3b3JkPjxrZXl3b3JkPlNvY2lvZWNvbm9taWMgRmFjdG9yczwv
a2V5d29yZD48a2V5d29yZD5UZXJ0aWFyeSBDYXJlIENlbnRlcnM8L2tleXdvcmQ+PGtleXdvcmQ+
V2VpZ2h0IEdhaW48L2tleXdvcmQ+PGtleXdvcmQ+WW91bmcgQWR1bHQ8L2tleXdvcmQ+PC9rZXl3
b3Jkcz48ZGF0ZXM+PHllYXI+MjAxMjwveWVhcj48cHViLWRhdGVzPjxkYXRlPk9jdDwvZGF0ZT48
L3B1Yi1kYXRlcz48L2RhdGVzPjxpc2JuPjAxMjQtMDA2NCAoUHJpbnQpJiN4RDswMTI0LTAwNjQg
KExpbmtpbmcpPC9pc2JuPjxhY2Nlc3Npb24tbnVtPjI0NjUyMzUzPC9hY2Nlc3Npb24tbnVtPjx1
cmxzPjxyZWxhdGVkLXVybHM+PHVybD5odHRwczovL3d3dy5uY2JpLm5sbS5uaWguZ292L3B1Ym1l
ZC8yNDY1MjM1MzwvdXJsPjwvcmVsYXRlZC11cmxzPjwvdXJscz48L3JlY29yZD48L0NpdGU+PC9F
bmROb3RlPn==
</w:fldData>
              </w:fldChar>
            </w:r>
            <w:r w:rsidR="002747EA">
              <w:rPr>
                <w:sz w:val="16"/>
                <w:szCs w:val="16"/>
              </w:rPr>
              <w:instrText xml:space="preserve"> ADDIN EN.CITE </w:instrText>
            </w:r>
            <w:r w:rsidR="002747EA">
              <w:rPr>
                <w:sz w:val="16"/>
                <w:szCs w:val="16"/>
              </w:rPr>
              <w:fldChar w:fldCharType="begin">
                <w:fldData xml:space="preserve">PEVuZE5vdGU+PENpdGU+PEF1dGhvcj5QaW56b248L0F1dGhvcj48WWVhcj4yMDEyPC9ZZWFyPjxS
ZWNOdW0+MTA0NzwvUmVjTnVtPjxEaXNwbGF5VGV4dD48c3R5bGUgZmFjZT0ic3VwZXJzY3JpcHQi
IGZvbnQ9IlRyZWJ1Y2hldCBNUyIgc2l6ZT0iOSI+NDQxPC9zdHlsZT48L0Rpc3BsYXlUZXh0Pjxy
ZWNvcmQ+PHJlYy1udW1iZXI+MTA0NzwvcmVjLW51bWJlcj48Zm9yZWlnbi1rZXlzPjxrZXkgYXBw
PSJFTiIgZGItaWQ9ImV4dmFzcmZ4MmR0cmFvZXNhc3hwMnN6c3hhMmRmNTAyNTkyeCIgdGltZXN0
YW1wPSIxNTQ4OTgzNDc2Ij4xMDQ3PC9rZXk+PC9mb3JlaWduLWtleXM+PHJlZi10eXBlIG5hbWU9
IkpvdXJuYWwgQXJ0aWNsZSI+MTc8L3JlZi10eXBlPjxjb250cmlidXRvcnM+PGF1dGhvcnM+PGF1
dGhvcj5QaW56b24sIEQuIEMuPC9hdXRob3I+PGF1dGhvcj5aYW1vcmEsIEsuPC9hdXRob3I+PGF1
dGhvcj5NYXJ0aW5leiwgSi4gSC48L2F1dGhvcj48YXV0aG9yPkZsb3Jlei1Mb3BleiwgTS4gRS48
L2F1dGhvcj48YXV0aG9yPmRlIFBsYXRhLCBBLiBDLjwvYXV0aG9yPjxhdXRob3I+TW9zcXVlcmEs
IE0uPC9hdXRob3I+PGF1dGhvcj5SYW1pcmV6LVZlbGV6LCBSLjwvYXV0aG9yPjwvYXV0aG9ycz48
L2NvbnRyaWJ1dG9ycz48YXV0aC1hZGRyZXNzPlByb2dyYW1hIGRlIEZpc2lvdGVyYXBpYSwgRnVu
ZGFjaW9uIFVuaXZlcnNpdGFyaWEgTWFyaWEgQ2FubywgQ2FsaSwgQ29sb21iaWEuJiN4RDtGYWN1
bHRhZCBkZSBFbmZlcm1lcmlhIHkgUmVoYWJpbGl0YWNpb24sIFVuaXZlcnNpZGFkIGRlIGxhIFNh
YmFuYSwgQ2hpYSwgQ29sb21iaWEuJiN4RDtHcnVwbyBkZSBOdXRyaWNpb24sIERlcGFydGFtZW50
byBkZSBDaWVuY2lhcyBGaXNpb2xvZ2ljYXMsIEVzY3VlbGEgZGUgQ2llbmNpYXMgQmFzaWNhcywg
VW5pdmVyc2lkYWQgZGVsIFZhbGxlLCBDYWxpLCBDb2xvbWJpYS4mI3hEO0dydXBvIEdJQ0FFRFMs
IEZhY3VsdGFkIGRlIEN1bHR1cmEgRmlzaWNhLCBEZXBvcnRlIHkgUmVjcmVhY2lvbiwgVW5pdmVy
c2lkYWQgU2FudG9vIFRvbWFzLjwvYXV0aC1hZGRyZXNzPjx0aXRsZXM+PHRpdGxlPlR5cGUgb2Yg
ZGVsaXZlcnkgYW5kIGdlc3RhdGlvbmFsIGFnZSBpcyBub3QgYWZmZWN0ZWQgYnkgcHJlZ25hbnQg
TGF0aW4tQW1lcmljYW4gd29tZW4gZW5nYWdpbmcgaW4gdmlnb3JvdXMgZXhlcmNpc2U6IGEgc2Vj
b25kYXJ5IGFuYWx5c2lzIG9mIGRhdGEgZnJvbSBhIGNvbnRyb2xsZWQgcmFuZG9taXplZCB0cmlh
bDwvdGl0bGU+PHNlY29uZGFyeS10aXRsZT5SZXYgU2FsdWQgUHVibGljYSAoQm9nb3RhKTwvc2Vj
b25kYXJ5LXRpdGxlPjwvdGl0bGVzPjxwZXJpb2RpY2FsPjxmdWxsLXRpdGxlPlJldiBTYWx1ZCBQ
dWJsaWNhIChCb2dvdGEpPC9mdWxsLXRpdGxlPjwvcGVyaW9kaWNhbD48cGFnZXM+NzMxLTQzPC9w
YWdlcz48dm9sdW1lPjE0PC92b2x1bWU+PG51bWJlcj41PC9udW1iZXI+PGVkaXRpb24+MjAxMi8x
MC8wMTwvZWRpdGlvbj48a2V5d29yZHM+PGtleXdvcmQ+QWR1bHQ8L2tleXdvcmQ+PGtleXdvcmQ+
QW50aHJvcG9tZXRyeTwva2V5d29yZD48a2V5d29yZD5BcGdhciBTY29yZTwva2V5d29yZD48a2V5
d29yZD5CaXJ0aCBXZWlnaHQ8L2tleXdvcmQ+PGtleXdvcmQ+Qmxvb2QgUHJlc3N1cmU8L2tleXdv
cmQ+PGtleXdvcmQ+Qm9keSBXZWlnaHQ8L2tleXdvcmQ+PGtleXdvcmQ+Q29sb21iaWE8L2tleXdv
cmQ+PGtleXdvcmQ+RGVsaXZlcnksIE9ic3RldHJpYy8qc3RhdGlzdGljcyAmYW1wOyBudW1lcmlj
YWwgZGF0YTwva2V5d29yZD48a2V5d29yZD4qRXhlcmNpc2U8L2tleXdvcmQ+PGtleXdvcmQ+RmVt
YWxlPC9rZXl3b3JkPjxrZXl3b3JkPipHZXN0YXRpb25hbCBBZ2U8L2tleXdvcmQ+PGtleXdvcmQ+
SG9zcGl0YWxzLCBNYXRlcm5pdHk8L2tleXdvcmQ+PGtleXdvcmQ+SHVtYW5zPC9rZXl3b3JkPjxr
ZXl3b3JkPkluZmFudCwgTmV3Ym9ybjwva2V5d29yZD48a2V5d29yZD5QcmVnbmFuY3kvKnBoeXNp
b2xvZ3k8L2tleXdvcmQ+PGtleXdvcmQ+UHJlZ25hbmN5IE91dGNvbWU8L2tleXdvcmQ+PGtleXdv
cmQ+UHJlbmF0YWwgQ2FyZTwva2V5d29yZD48a2V5d29yZD5SYW5kb21pemVkIENvbnRyb2xsZWQg
VHJpYWxzIGFzIFRvcGljPC9rZXl3b3JkPjxrZXl3b3JkPlNvY2lvZWNvbm9taWMgRmFjdG9yczwv
a2V5d29yZD48a2V5d29yZD5UZXJ0aWFyeSBDYXJlIENlbnRlcnM8L2tleXdvcmQ+PGtleXdvcmQ+
V2VpZ2h0IEdhaW48L2tleXdvcmQ+PGtleXdvcmQ+WW91bmcgQWR1bHQ8L2tleXdvcmQ+PC9rZXl3
b3Jkcz48ZGF0ZXM+PHllYXI+MjAxMjwveWVhcj48cHViLWRhdGVzPjxkYXRlPk9jdDwvZGF0ZT48
L3B1Yi1kYXRlcz48L2RhdGVzPjxpc2JuPjAxMjQtMDA2NCAoUHJpbnQpJiN4RDswMTI0LTAwNjQg
KExpbmtpbmcpPC9pc2JuPjxhY2Nlc3Npb24tbnVtPjI0NjUyMzUzPC9hY2Nlc3Npb24tbnVtPjx1
cmxzPjxyZWxhdGVkLXVybHM+PHVybD5odHRwczovL3d3dy5uY2JpLm5sbS5uaWguZ292L3B1Ym1l
ZC8yNDY1MjM1MzwvdXJsPjwvcmVsYXRlZC11cmxzPjwvdXJscz48L3JlY29yZD48L0NpdGU+PC9F
bmROb3RlPn==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441</w:t>
            </w:r>
            <w:r>
              <w:rPr>
                <w:sz w:val="16"/>
                <w:szCs w:val="16"/>
              </w:rPr>
              <w:fldChar w:fldCharType="end"/>
            </w:r>
          </w:p>
        </w:tc>
      </w:tr>
      <w:tr w:rsidR="008E765F" w:rsidRPr="00C12274" w14:paraId="2EE158B7" w14:textId="77777777" w:rsidTr="00BC7AEC">
        <w:trPr>
          <w:cantSplit/>
        </w:trPr>
        <w:tc>
          <w:tcPr>
            <w:tcW w:w="1560" w:type="dxa"/>
            <w:shd w:val="clear" w:color="D9E2F3" w:themeColor="accent1" w:themeTint="33" w:fill="auto"/>
          </w:tcPr>
          <w:p w14:paraId="6AD342FC"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45BDABB1"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8707FBE" w14:textId="77777777" w:rsidR="008E765F" w:rsidRPr="00C12274" w:rsidRDefault="008E765F" w:rsidP="00611251">
            <w:pPr>
              <w:pStyle w:val="RCTstable"/>
              <w:keepNext/>
            </w:pPr>
            <w:r w:rsidRPr="00C12274">
              <w:t xml:space="preserve">The volunteers were randomly allocated to one of two groups, according to admission order, following a computer-generated randomisation list. </w:t>
            </w:r>
          </w:p>
        </w:tc>
      </w:tr>
      <w:tr w:rsidR="008E765F" w:rsidRPr="00C12274" w14:paraId="6C8A3095" w14:textId="77777777" w:rsidTr="00BC7AEC">
        <w:trPr>
          <w:cantSplit/>
        </w:trPr>
        <w:tc>
          <w:tcPr>
            <w:tcW w:w="1560" w:type="dxa"/>
            <w:shd w:val="clear" w:color="D9E2F3" w:themeColor="accent1" w:themeTint="33" w:fill="auto"/>
          </w:tcPr>
          <w:p w14:paraId="16154345"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48C258ED"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2DA520A" w14:textId="77777777" w:rsidR="008E765F" w:rsidRPr="00C12274" w:rsidRDefault="008E765F" w:rsidP="00611251">
            <w:pPr>
              <w:pStyle w:val="RCTstable"/>
              <w:keepNext/>
            </w:pPr>
            <w:r w:rsidRPr="00C12274">
              <w:t>To guarantee concealment for randomisation, each sequential number corresponded to a sealed opaque envelope containing the questionnaires and information regarding the randomization group. </w:t>
            </w:r>
          </w:p>
        </w:tc>
      </w:tr>
      <w:tr w:rsidR="008E765F" w:rsidRPr="00C12274" w14:paraId="4B3A96F3" w14:textId="77777777" w:rsidTr="00BC7AEC">
        <w:trPr>
          <w:cantSplit/>
        </w:trPr>
        <w:tc>
          <w:tcPr>
            <w:tcW w:w="1560" w:type="dxa"/>
            <w:shd w:val="clear" w:color="D9E2F3" w:themeColor="accent1" w:themeTint="33" w:fill="auto"/>
          </w:tcPr>
          <w:p w14:paraId="0C76B400"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40E41ED2" w14:textId="03079B3F" w:rsidR="008E765F" w:rsidRPr="00C12274" w:rsidRDefault="00516C26"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0A7F2852" w14:textId="6A1458A0" w:rsidR="008E765F" w:rsidRPr="00C12274" w:rsidRDefault="008E765F" w:rsidP="00611251">
            <w:pPr>
              <w:pStyle w:val="RCTstable"/>
              <w:keepNext/>
            </w:pPr>
            <w:r w:rsidRPr="00C12274">
              <w:t>Due to the nature of the study, it was not possible to blind the women participating.</w:t>
            </w:r>
          </w:p>
        </w:tc>
      </w:tr>
      <w:tr w:rsidR="00D77937" w:rsidRPr="00C12274" w14:paraId="14E06017" w14:textId="77777777" w:rsidTr="00BC7AEC">
        <w:trPr>
          <w:cantSplit/>
        </w:trPr>
        <w:tc>
          <w:tcPr>
            <w:tcW w:w="1560" w:type="dxa"/>
            <w:shd w:val="clear" w:color="D9E2F3" w:themeColor="accent1" w:themeTint="33" w:fill="auto"/>
          </w:tcPr>
          <w:p w14:paraId="66216611" w14:textId="77777777" w:rsidR="00D77937" w:rsidRPr="00C12274" w:rsidRDefault="00D77937" w:rsidP="009740A7">
            <w:pPr>
              <w:spacing w:before="40" w:after="40" w:line="220" w:lineRule="exact"/>
              <w:rPr>
                <w:sz w:val="16"/>
                <w:szCs w:val="16"/>
              </w:rPr>
            </w:pPr>
            <w:r>
              <w:rPr>
                <w:sz w:val="16"/>
                <w:szCs w:val="16"/>
              </w:rPr>
              <w:t>Detection bias</w:t>
            </w:r>
          </w:p>
        </w:tc>
        <w:tc>
          <w:tcPr>
            <w:tcW w:w="1275" w:type="dxa"/>
            <w:shd w:val="clear" w:color="D9E2F3" w:themeColor="accent1" w:themeTint="33" w:fill="70AD47" w:themeFill="accent6"/>
          </w:tcPr>
          <w:p w14:paraId="2A5589E5" w14:textId="77777777" w:rsidR="00D77937" w:rsidRPr="00C12274" w:rsidRDefault="00D77937" w:rsidP="009740A7">
            <w:pPr>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2E97E95D" w14:textId="69258E40" w:rsidR="00D77937" w:rsidRPr="00C12274" w:rsidRDefault="00516C26" w:rsidP="009740A7">
            <w:pPr>
              <w:pStyle w:val="RCTstable"/>
            </w:pPr>
            <w:r w:rsidRPr="00C12274">
              <w:t>Research assistants were blinded to the group assignment of the subjects and were in charge of the prenatal care of the women.</w:t>
            </w:r>
          </w:p>
        </w:tc>
      </w:tr>
      <w:tr w:rsidR="008E765F" w:rsidRPr="00C12274" w14:paraId="5D80024C" w14:textId="77777777" w:rsidTr="00BC7AEC">
        <w:trPr>
          <w:cantSplit/>
        </w:trPr>
        <w:tc>
          <w:tcPr>
            <w:tcW w:w="1560" w:type="dxa"/>
            <w:shd w:val="clear" w:color="D9E2F3" w:themeColor="accent1" w:themeTint="33" w:fill="auto"/>
          </w:tcPr>
          <w:p w14:paraId="21BDB4DB"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05D00177" w14:textId="77777777" w:rsidR="008E765F" w:rsidRPr="00C12274" w:rsidRDefault="008E765F" w:rsidP="00611251">
            <w:pPr>
              <w:keepNext/>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17D4E5C9" w14:textId="77777777" w:rsidR="008E765F" w:rsidRPr="00C12274" w:rsidRDefault="008E765F" w:rsidP="00611251">
            <w:pPr>
              <w:pStyle w:val="RCTstable"/>
              <w:keepNext/>
            </w:pPr>
            <w:r w:rsidRPr="00C12274">
              <w:t>14 women withdrew early (22%; 9 in study and 5 in control arm) therefore 50/64 women assessed for fitness outcomes. Weight and pregnancy outcome data were only available for 35/64 women (55%; 18 in study and 17 in control group)</w:t>
            </w:r>
          </w:p>
        </w:tc>
      </w:tr>
      <w:tr w:rsidR="008E765F" w:rsidRPr="00C12274" w14:paraId="2491CC7B" w14:textId="77777777" w:rsidTr="00BC7AEC">
        <w:trPr>
          <w:cantSplit/>
        </w:trPr>
        <w:tc>
          <w:tcPr>
            <w:tcW w:w="1560" w:type="dxa"/>
            <w:shd w:val="clear" w:color="D9E2F3" w:themeColor="accent1" w:themeTint="33" w:fill="auto"/>
          </w:tcPr>
          <w:p w14:paraId="12E4F2E1"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FFC000" w:themeFill="accent4"/>
          </w:tcPr>
          <w:p w14:paraId="74467056"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4D5081D6" w14:textId="77777777" w:rsidR="008E765F" w:rsidRPr="00C12274" w:rsidRDefault="008E765F" w:rsidP="00611251">
            <w:pPr>
              <w:pStyle w:val="RCTstable"/>
            </w:pPr>
            <w:r w:rsidRPr="00C12274">
              <w:t>Unable to comment as study protocol not seen.</w:t>
            </w:r>
          </w:p>
        </w:tc>
      </w:tr>
      <w:tr w:rsidR="008E765F" w:rsidRPr="00C12274" w14:paraId="50D8C288" w14:textId="77777777" w:rsidTr="00BC7AEC">
        <w:trPr>
          <w:cantSplit/>
        </w:trPr>
        <w:tc>
          <w:tcPr>
            <w:tcW w:w="1560" w:type="dxa"/>
            <w:shd w:val="clear" w:color="D9E2F3" w:themeColor="accent1" w:themeTint="33" w:fill="auto"/>
          </w:tcPr>
          <w:p w14:paraId="085E4714"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23D98D2E"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6C09D90D"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22AB96B3" w14:textId="77777777" w:rsidTr="00BC7AEC">
        <w:trPr>
          <w:cantSplit/>
        </w:trPr>
        <w:tc>
          <w:tcPr>
            <w:tcW w:w="14034" w:type="dxa"/>
            <w:gridSpan w:val="3"/>
            <w:shd w:val="solid" w:color="D9E2F3" w:themeColor="accent1" w:themeTint="33" w:fill="auto"/>
          </w:tcPr>
          <w:p w14:paraId="26ABAA28" w14:textId="2C247047"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Price et al 2012</w:t>
            </w:r>
            <w:r>
              <w:rPr>
                <w:sz w:val="16"/>
                <w:szCs w:val="16"/>
              </w:rPr>
              <w:fldChar w:fldCharType="begin"/>
            </w:r>
            <w:r w:rsidR="002747EA">
              <w:rPr>
                <w:sz w:val="16"/>
                <w:szCs w:val="16"/>
              </w:rPr>
              <w:instrText xml:space="preserve"> ADDIN EN.CITE &lt;EndNote&gt;&lt;Cite&gt;&lt;Author&gt;Price&lt;/Author&gt;&lt;Year&gt;2012&lt;/Year&gt;&lt;RecNum&gt;707&lt;/RecNum&gt;&lt;DisplayText&gt;&lt;style face="superscript" font="Trebuchet MS" size="9"&gt;442&lt;/style&gt;&lt;/DisplayText&gt;&lt;record&gt;&lt;rec-number&gt;707&lt;/rec-number&gt;&lt;foreign-keys&gt;&lt;key app="EN" db-id="exvasrfx2dtraoesasxp2szsxa2df502592x" timestamp="1540532222"&gt;707&lt;/key&gt;&lt;/foreign-keys&gt;&lt;ref-type name="Journal Article"&gt;17&lt;/ref-type&gt;&lt;contributors&gt;&lt;authors&gt;&lt;author&gt;Price, B. B.&lt;/author&gt;&lt;author&gt;Amini, S. B.&lt;/author&gt;&lt;author&gt;Kappeler, K.&lt;/author&gt;&lt;/authors&gt;&lt;/contributors&gt;&lt;auth-address&gt;Professional Association, Austin, TX, USA. beeprice@grandecom.net&lt;/auth-address&gt;&lt;titles&gt;&lt;title&gt;Exercise in pregnancy: effect on fitness and obstetric outcomes-a randomized trial&lt;/title&gt;&lt;secondary-title&gt;Med Sci Sports Exerc&lt;/secondary-title&gt;&lt;/titles&gt;&lt;periodical&gt;&lt;full-title&gt;Med Sci Sports Exerc&lt;/full-title&gt;&lt;/periodical&gt;&lt;pages&gt;2263-9&lt;/pages&gt;&lt;volume&gt;44&lt;/volume&gt;&lt;number&gt;12&lt;/number&gt;&lt;edition&gt;2012/07/31&lt;/edition&gt;&lt;keywords&gt;&lt;keyword&gt;Adolescent&lt;/keyword&gt;&lt;keyword&gt;Adult&lt;/keyword&gt;&lt;keyword&gt;Exercise/*physiology&lt;/keyword&gt;&lt;keyword&gt;Female&lt;/keyword&gt;&lt;keyword&gt;Gestational Age&lt;/keyword&gt;&lt;keyword&gt;Humans&lt;/keyword&gt;&lt;keyword&gt;Muscle Strength/physiology&lt;/keyword&gt;&lt;keyword&gt;Outcome Assessment (Health Care)&lt;/keyword&gt;&lt;keyword&gt;Physical Fitness/*physiology&lt;/keyword&gt;&lt;keyword&gt;Pregnancy&lt;/keyword&gt;&lt;keyword&gt;*Pregnancy Outcome&lt;/keyword&gt;&lt;keyword&gt;Prospective Studies&lt;/keyword&gt;&lt;keyword&gt;Texas&lt;/keyword&gt;&lt;keyword&gt;Young Adult&lt;/keyword&gt;&lt;/keywords&gt;&lt;dates&gt;&lt;year&gt;2012&lt;/year&gt;&lt;pub-dates&gt;&lt;date&gt;Dec&lt;/date&gt;&lt;/pub-dates&gt;&lt;/dates&gt;&lt;isbn&gt;1530-0315 (Electronic)&amp;#xD;0195-9131 (Linking)&lt;/isbn&gt;&lt;accession-num&gt;22843114&lt;/accession-num&gt;&lt;urls&gt;&lt;related-urls&gt;&lt;url&gt;https://www.ncbi.nlm.nih.gov/pubmed/22843114&lt;/url&gt;&lt;/related-urls&gt;&lt;/urls&gt;&lt;electronic-resource-num&gt;10.1249/MSS.0b013e318267ad67&lt;/electronic-resource-num&gt;&lt;/record&gt;&lt;/Cite&gt;&lt;/EndNote&gt;</w:instrText>
            </w:r>
            <w:r>
              <w:rPr>
                <w:sz w:val="16"/>
                <w:szCs w:val="16"/>
              </w:rPr>
              <w:fldChar w:fldCharType="separate"/>
            </w:r>
            <w:r w:rsidR="002747EA" w:rsidRPr="002747EA">
              <w:rPr>
                <w:noProof/>
                <w:szCs w:val="16"/>
                <w:vertAlign w:val="superscript"/>
              </w:rPr>
              <w:t>442</w:t>
            </w:r>
            <w:r>
              <w:rPr>
                <w:sz w:val="16"/>
                <w:szCs w:val="16"/>
              </w:rPr>
              <w:fldChar w:fldCharType="end"/>
            </w:r>
          </w:p>
        </w:tc>
      </w:tr>
      <w:tr w:rsidR="008E765F" w:rsidRPr="00C12274" w14:paraId="1820562E" w14:textId="77777777" w:rsidTr="00BC7AEC">
        <w:trPr>
          <w:cantSplit/>
        </w:trPr>
        <w:tc>
          <w:tcPr>
            <w:tcW w:w="1560" w:type="dxa"/>
            <w:shd w:val="clear" w:color="D9E2F3" w:themeColor="accent1" w:themeTint="33" w:fill="auto"/>
          </w:tcPr>
          <w:p w14:paraId="2BC12686" w14:textId="77777777" w:rsidR="008E765F" w:rsidRPr="00C12274" w:rsidRDefault="008E765F" w:rsidP="006045A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2BEF9FD3" w14:textId="77777777" w:rsidR="008E765F" w:rsidRPr="00C12274" w:rsidRDefault="008E765F" w:rsidP="006045AE">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2D31D86" w14:textId="77777777" w:rsidR="008E765F" w:rsidRPr="00C12274" w:rsidRDefault="008E765F" w:rsidP="006045AE">
            <w:pPr>
              <w:pStyle w:val="RCTstable"/>
              <w:keepNext/>
            </w:pPr>
            <w:r w:rsidRPr="00C12274">
              <w:t>Randomly assigned</w:t>
            </w:r>
          </w:p>
        </w:tc>
      </w:tr>
      <w:tr w:rsidR="008E765F" w:rsidRPr="00C12274" w14:paraId="08760615" w14:textId="77777777" w:rsidTr="00BC7AEC">
        <w:trPr>
          <w:cantSplit/>
        </w:trPr>
        <w:tc>
          <w:tcPr>
            <w:tcW w:w="1560" w:type="dxa"/>
            <w:shd w:val="clear" w:color="D9E2F3" w:themeColor="accent1" w:themeTint="33" w:fill="auto"/>
          </w:tcPr>
          <w:p w14:paraId="2B96D48A" w14:textId="77777777" w:rsidR="008E765F" w:rsidRPr="00C12274" w:rsidRDefault="008E765F" w:rsidP="006045A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546483F4" w14:textId="77777777" w:rsidR="008E765F" w:rsidRPr="00C12274" w:rsidRDefault="008E765F" w:rsidP="006045A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F270EF8" w14:textId="77777777" w:rsidR="008E765F" w:rsidRPr="00C12274" w:rsidRDefault="008E765F" w:rsidP="006045AE">
            <w:pPr>
              <w:pStyle w:val="RCTstable"/>
              <w:keepNext/>
            </w:pPr>
            <w:r w:rsidRPr="00C12274">
              <w:t>Subjects were randomised using numbered, opaque envelopes containing an equal number of group assignments prepared by the study statistician</w:t>
            </w:r>
          </w:p>
        </w:tc>
      </w:tr>
      <w:tr w:rsidR="00516C26" w:rsidRPr="00C12274" w14:paraId="4E0FB309" w14:textId="77777777" w:rsidTr="00BC7AEC">
        <w:trPr>
          <w:cantSplit/>
        </w:trPr>
        <w:tc>
          <w:tcPr>
            <w:tcW w:w="1560" w:type="dxa"/>
            <w:shd w:val="clear" w:color="D9E2F3" w:themeColor="accent1" w:themeTint="33" w:fill="auto"/>
          </w:tcPr>
          <w:p w14:paraId="32D3F9C5" w14:textId="77777777" w:rsidR="00516C26" w:rsidRPr="00C12274" w:rsidRDefault="00516C26" w:rsidP="006045A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0921BF81" w14:textId="77777777" w:rsidR="00516C26" w:rsidRPr="00C12274" w:rsidRDefault="00516C26" w:rsidP="006045AE">
            <w:pPr>
              <w:keepNext/>
              <w:spacing w:before="40" w:after="40" w:line="220" w:lineRule="exact"/>
              <w:rPr>
                <w:sz w:val="16"/>
                <w:szCs w:val="16"/>
              </w:rPr>
            </w:pPr>
            <w:r w:rsidRPr="00C12274">
              <w:rPr>
                <w:sz w:val="16"/>
                <w:szCs w:val="16"/>
              </w:rPr>
              <w:t>High risk</w:t>
            </w:r>
          </w:p>
        </w:tc>
        <w:tc>
          <w:tcPr>
            <w:tcW w:w="11199" w:type="dxa"/>
            <w:vMerge w:val="restart"/>
            <w:shd w:val="clear" w:color="D9E2F3" w:themeColor="accent1" w:themeTint="33" w:fill="auto"/>
          </w:tcPr>
          <w:p w14:paraId="6EBC6F88" w14:textId="77777777" w:rsidR="00516C26" w:rsidRPr="00C12274" w:rsidRDefault="00516C26" w:rsidP="006045AE">
            <w:pPr>
              <w:pStyle w:val="RCTstable"/>
              <w:keepNext/>
            </w:pPr>
            <w:r w:rsidRPr="00C12274">
              <w:t>Participants and personnel not blinded. Author kept a log of attendance</w:t>
            </w:r>
            <w:r w:rsidRPr="008D5FB7">
              <w:t xml:space="preserve"> and seemed to perform the fitness assessments</w:t>
            </w:r>
          </w:p>
        </w:tc>
      </w:tr>
      <w:tr w:rsidR="00516C26" w:rsidRPr="00C12274" w14:paraId="3806D7E1" w14:textId="77777777" w:rsidTr="00BC7AEC">
        <w:trPr>
          <w:cantSplit/>
        </w:trPr>
        <w:tc>
          <w:tcPr>
            <w:tcW w:w="1560" w:type="dxa"/>
            <w:shd w:val="clear" w:color="D9E2F3" w:themeColor="accent1" w:themeTint="33" w:fill="auto"/>
          </w:tcPr>
          <w:p w14:paraId="397E79C8" w14:textId="77777777" w:rsidR="00516C26" w:rsidRPr="00C12274" w:rsidRDefault="00516C26" w:rsidP="009740A7">
            <w:pPr>
              <w:spacing w:before="40" w:after="40" w:line="220" w:lineRule="exact"/>
              <w:rPr>
                <w:sz w:val="16"/>
                <w:szCs w:val="16"/>
              </w:rPr>
            </w:pPr>
            <w:r>
              <w:rPr>
                <w:sz w:val="16"/>
                <w:szCs w:val="16"/>
              </w:rPr>
              <w:t>Detection bias</w:t>
            </w:r>
          </w:p>
        </w:tc>
        <w:tc>
          <w:tcPr>
            <w:tcW w:w="1275" w:type="dxa"/>
            <w:shd w:val="clear" w:color="D9E2F3" w:themeColor="accent1" w:themeTint="33" w:fill="FF4D19"/>
          </w:tcPr>
          <w:p w14:paraId="4412B789" w14:textId="047C927E" w:rsidR="00516C26" w:rsidRPr="00C12274" w:rsidRDefault="00516C26" w:rsidP="009740A7">
            <w:pPr>
              <w:spacing w:before="40" w:after="40" w:line="220" w:lineRule="exact"/>
              <w:rPr>
                <w:sz w:val="16"/>
                <w:szCs w:val="16"/>
              </w:rPr>
            </w:pPr>
            <w:r>
              <w:rPr>
                <w:sz w:val="16"/>
                <w:szCs w:val="16"/>
              </w:rPr>
              <w:t>High</w:t>
            </w:r>
            <w:r w:rsidRPr="00C12274">
              <w:rPr>
                <w:sz w:val="16"/>
                <w:szCs w:val="16"/>
              </w:rPr>
              <w:t xml:space="preserve"> risk</w:t>
            </w:r>
          </w:p>
        </w:tc>
        <w:tc>
          <w:tcPr>
            <w:tcW w:w="11199" w:type="dxa"/>
            <w:vMerge/>
            <w:shd w:val="clear" w:color="D9E2F3" w:themeColor="accent1" w:themeTint="33" w:fill="auto"/>
          </w:tcPr>
          <w:p w14:paraId="1D17E05C" w14:textId="3A0CAEFC" w:rsidR="00516C26" w:rsidRPr="00C12274" w:rsidRDefault="00516C26" w:rsidP="009740A7">
            <w:pPr>
              <w:pStyle w:val="RCTstable"/>
            </w:pPr>
          </w:p>
        </w:tc>
      </w:tr>
      <w:tr w:rsidR="008E765F" w:rsidRPr="00C12274" w14:paraId="29B87BCA" w14:textId="77777777" w:rsidTr="00BC7AEC">
        <w:trPr>
          <w:cantSplit/>
        </w:trPr>
        <w:tc>
          <w:tcPr>
            <w:tcW w:w="1560" w:type="dxa"/>
            <w:shd w:val="clear" w:color="D9E2F3" w:themeColor="accent1" w:themeTint="33" w:fill="auto"/>
          </w:tcPr>
          <w:p w14:paraId="4B543936"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79239764" w14:textId="77777777" w:rsidR="008E765F" w:rsidRPr="00C12274" w:rsidRDefault="008E765F" w:rsidP="00611251">
            <w:pPr>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6573E22B" w14:textId="77777777" w:rsidR="008E765F" w:rsidRPr="00C12274" w:rsidRDefault="008E765F" w:rsidP="00611251">
            <w:pPr>
              <w:pStyle w:val="RCTstable"/>
            </w:pPr>
            <w:r w:rsidRPr="00C12274">
              <w:t>12/43 (28%) and 17/48 (35%) dropped out in the intervention and control groups, respectively.</w:t>
            </w:r>
          </w:p>
        </w:tc>
      </w:tr>
      <w:tr w:rsidR="008E765F" w:rsidRPr="00C12274" w14:paraId="11AC51FF" w14:textId="77777777" w:rsidTr="00BC7AEC">
        <w:trPr>
          <w:cantSplit/>
        </w:trPr>
        <w:tc>
          <w:tcPr>
            <w:tcW w:w="1560" w:type="dxa"/>
            <w:shd w:val="clear" w:color="D9E2F3" w:themeColor="accent1" w:themeTint="33" w:fill="auto"/>
          </w:tcPr>
          <w:p w14:paraId="2571CB00"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FFC000" w:themeFill="accent4"/>
          </w:tcPr>
          <w:p w14:paraId="198597F1"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3522C355" w14:textId="77777777" w:rsidR="008E765F" w:rsidRPr="00C12274" w:rsidRDefault="008E765F" w:rsidP="00611251">
            <w:pPr>
              <w:pStyle w:val="RCTstable"/>
            </w:pPr>
            <w:r w:rsidRPr="00C12274">
              <w:t>Mean weight gain (12.4 kg vs 10.5 kg in intervention and control groups, respectively) was NR with standard deviations or denominators so these data were not usable in this meta-analysis</w:t>
            </w:r>
          </w:p>
        </w:tc>
      </w:tr>
      <w:tr w:rsidR="008E765F" w:rsidRPr="00C12274" w14:paraId="2CC7A364" w14:textId="77777777" w:rsidTr="00BC7AEC">
        <w:trPr>
          <w:cantSplit/>
        </w:trPr>
        <w:tc>
          <w:tcPr>
            <w:tcW w:w="1560" w:type="dxa"/>
            <w:shd w:val="clear" w:color="D9E2F3" w:themeColor="accent1" w:themeTint="33" w:fill="auto"/>
          </w:tcPr>
          <w:p w14:paraId="1AD26D5E"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FF4D19"/>
          </w:tcPr>
          <w:p w14:paraId="15BA7ECD" w14:textId="77777777" w:rsidR="008E765F" w:rsidRPr="00C12274" w:rsidRDefault="008E765F" w:rsidP="00611251">
            <w:pPr>
              <w:spacing w:before="40" w:after="40" w:line="220" w:lineRule="exact"/>
              <w:rPr>
                <w:sz w:val="16"/>
                <w:szCs w:val="16"/>
                <w:lang w:val="en-US"/>
              </w:rPr>
            </w:pPr>
            <w:r w:rsidRPr="00C12274">
              <w:rPr>
                <w:sz w:val="16"/>
                <w:szCs w:val="16"/>
                <w:lang w:val="en-US"/>
              </w:rPr>
              <w:t>High risk</w:t>
            </w:r>
          </w:p>
        </w:tc>
        <w:tc>
          <w:tcPr>
            <w:tcW w:w="11199" w:type="dxa"/>
            <w:shd w:val="clear" w:color="D9E2F3" w:themeColor="accent1" w:themeTint="33" w:fill="auto"/>
          </w:tcPr>
          <w:p w14:paraId="2E9F352C" w14:textId="77777777" w:rsidR="008E765F" w:rsidRPr="00C12274" w:rsidRDefault="008E765F" w:rsidP="00611251">
            <w:pPr>
              <w:pStyle w:val="RCTstable"/>
            </w:pPr>
            <w:r w:rsidRPr="00C12274">
              <w:t>Baseline BMI was significantly lower in the intervention group and loss to follow-up was high. Also, ”control subjects were told not to exercise because it would blur the distinction between the groups“. This contributed to high drop out rates in the control group and may make results less generalisable by enforcing no exercise.</w:t>
            </w:r>
          </w:p>
        </w:tc>
      </w:tr>
      <w:tr w:rsidR="008E765F" w:rsidRPr="00C12274" w14:paraId="3B698611" w14:textId="77777777" w:rsidTr="00BC7AEC">
        <w:trPr>
          <w:cantSplit/>
        </w:trPr>
        <w:tc>
          <w:tcPr>
            <w:tcW w:w="14034" w:type="dxa"/>
            <w:gridSpan w:val="3"/>
            <w:shd w:val="solid" w:color="D9E2F3" w:themeColor="accent1" w:themeTint="33" w:fill="auto"/>
          </w:tcPr>
          <w:p w14:paraId="01D3F4F8" w14:textId="53B65988"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Renault et al 2014</w:t>
            </w:r>
            <w:r>
              <w:rPr>
                <w:sz w:val="16"/>
                <w:szCs w:val="16"/>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 w:val="16"/>
                <w:szCs w:val="16"/>
              </w:rPr>
              <w:instrText xml:space="preserve"> ADDIN EN.CITE </w:instrText>
            </w:r>
            <w:r w:rsidR="002747EA">
              <w:rPr>
                <w:sz w:val="16"/>
                <w:szCs w:val="16"/>
              </w:rP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rPr>
                <w:sz w:val="16"/>
                <w:szCs w:val="16"/>
              </w:rPr>
              <w:instrText xml:space="preserve"> ADDIN EN.CITE.DATA </w:instrText>
            </w:r>
            <w:r w:rsidR="002747EA">
              <w:rPr>
                <w:sz w:val="16"/>
                <w:szCs w:val="16"/>
              </w:rPr>
            </w:r>
            <w:r w:rsidR="002747EA">
              <w:rPr>
                <w:sz w:val="16"/>
                <w:szCs w:val="16"/>
              </w:rPr>
              <w:fldChar w:fldCharType="end"/>
            </w:r>
            <w:r>
              <w:rPr>
                <w:sz w:val="16"/>
                <w:szCs w:val="16"/>
              </w:rPr>
            </w:r>
            <w:r>
              <w:rPr>
                <w:sz w:val="16"/>
                <w:szCs w:val="16"/>
              </w:rPr>
              <w:fldChar w:fldCharType="separate"/>
            </w:r>
            <w:r w:rsidR="002747EA" w:rsidRPr="002747EA">
              <w:rPr>
                <w:noProof/>
                <w:szCs w:val="16"/>
                <w:vertAlign w:val="superscript"/>
              </w:rPr>
              <w:t>451</w:t>
            </w:r>
            <w:r>
              <w:rPr>
                <w:sz w:val="16"/>
                <w:szCs w:val="16"/>
              </w:rPr>
              <w:fldChar w:fldCharType="end"/>
            </w:r>
          </w:p>
        </w:tc>
      </w:tr>
      <w:tr w:rsidR="008E765F" w:rsidRPr="00C12274" w14:paraId="0BFC4B78" w14:textId="77777777" w:rsidTr="00BC7AEC">
        <w:trPr>
          <w:cantSplit/>
        </w:trPr>
        <w:tc>
          <w:tcPr>
            <w:tcW w:w="1560" w:type="dxa"/>
            <w:shd w:val="clear" w:color="D9E2F3" w:themeColor="accent1" w:themeTint="33" w:fill="auto"/>
          </w:tcPr>
          <w:p w14:paraId="5A4907F4"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3EC2FAF3"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92217EA" w14:textId="77777777" w:rsidR="008E765F" w:rsidRPr="00C12274" w:rsidRDefault="008E765F" w:rsidP="00611251">
            <w:pPr>
              <w:pStyle w:val="RCTstable"/>
              <w:keepNext/>
            </w:pPr>
            <w:r w:rsidRPr="00C12274">
              <w:t>The randomization was stratified according to parity to ensure equal distribution of primiparous in the 3 groups</w:t>
            </w:r>
          </w:p>
        </w:tc>
      </w:tr>
      <w:tr w:rsidR="008E765F" w:rsidRPr="00C12274" w14:paraId="5A22BC88" w14:textId="77777777" w:rsidTr="00BC7AEC">
        <w:trPr>
          <w:cantSplit/>
        </w:trPr>
        <w:tc>
          <w:tcPr>
            <w:tcW w:w="1560" w:type="dxa"/>
            <w:shd w:val="clear" w:color="D9E2F3" w:themeColor="accent1" w:themeTint="33" w:fill="auto"/>
          </w:tcPr>
          <w:p w14:paraId="68E7FDCD"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27009F0E"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DE2A00B" w14:textId="77777777" w:rsidR="008E765F" w:rsidRPr="00C12274" w:rsidRDefault="008E765F" w:rsidP="00611251">
            <w:pPr>
              <w:pStyle w:val="RCTstable"/>
              <w:keepNext/>
            </w:pPr>
            <w:r w:rsidRPr="00C12274">
              <w:t>Web allocation by an independent organisation properly concealed the procedure</w:t>
            </w:r>
          </w:p>
        </w:tc>
      </w:tr>
      <w:tr w:rsidR="008E765F" w:rsidRPr="00C12274" w14:paraId="054A283D" w14:textId="77777777" w:rsidTr="00BC7AEC">
        <w:trPr>
          <w:cantSplit/>
        </w:trPr>
        <w:tc>
          <w:tcPr>
            <w:tcW w:w="1560" w:type="dxa"/>
            <w:shd w:val="clear" w:color="D9E2F3" w:themeColor="accent1" w:themeTint="33" w:fill="auto"/>
          </w:tcPr>
          <w:p w14:paraId="01A794E3"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15077606" w14:textId="033BD293" w:rsidR="008E765F" w:rsidRPr="00C12274" w:rsidRDefault="00516C26"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5A478870" w14:textId="0A178705" w:rsidR="008E765F" w:rsidRPr="00C12274" w:rsidRDefault="008E765F" w:rsidP="00516C26">
            <w:pPr>
              <w:pStyle w:val="RCTstable"/>
              <w:keepNext/>
            </w:pPr>
            <w:r w:rsidRPr="00C12274">
              <w:t xml:space="preserve">Blinding not possible due to the nature of the study. </w:t>
            </w:r>
          </w:p>
        </w:tc>
      </w:tr>
      <w:tr w:rsidR="00516C26" w:rsidRPr="00C12274" w14:paraId="792FFBC1" w14:textId="77777777" w:rsidTr="00BC7AEC">
        <w:trPr>
          <w:cantSplit/>
        </w:trPr>
        <w:tc>
          <w:tcPr>
            <w:tcW w:w="1560" w:type="dxa"/>
            <w:shd w:val="clear" w:color="D9E2F3" w:themeColor="accent1" w:themeTint="33" w:fill="auto"/>
          </w:tcPr>
          <w:p w14:paraId="76E3D2D5" w14:textId="77777777" w:rsidR="00516C26" w:rsidRPr="00C12274" w:rsidRDefault="00516C26"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1D1C3F40" w14:textId="2359AFB1" w:rsidR="00516C26" w:rsidRPr="00C12274" w:rsidRDefault="00516C26" w:rsidP="009740A7">
            <w:pPr>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5FB3361E" w14:textId="7541919C" w:rsidR="00516C26" w:rsidRPr="00C12274" w:rsidRDefault="00516C26" w:rsidP="009740A7">
            <w:pPr>
              <w:pStyle w:val="RCTstable"/>
            </w:pPr>
            <w:r w:rsidRPr="00C12274">
              <w:t>Assessor blinding not described.</w:t>
            </w:r>
          </w:p>
        </w:tc>
      </w:tr>
      <w:tr w:rsidR="008E765F" w:rsidRPr="00C12274" w14:paraId="7ADAA1C4" w14:textId="77777777" w:rsidTr="00BC7AEC">
        <w:trPr>
          <w:cantSplit/>
        </w:trPr>
        <w:tc>
          <w:tcPr>
            <w:tcW w:w="1560" w:type="dxa"/>
            <w:shd w:val="clear" w:color="D9E2F3" w:themeColor="accent1" w:themeTint="33" w:fill="auto"/>
          </w:tcPr>
          <w:p w14:paraId="08F66B67"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70830D94"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EACEBB0" w14:textId="77777777" w:rsidR="008E765F" w:rsidRPr="00C12274" w:rsidRDefault="008E765F" w:rsidP="00611251">
            <w:pPr>
              <w:pStyle w:val="RCTstable"/>
            </w:pPr>
            <w:r w:rsidRPr="00C12274">
              <w:t>Low attrition rates for most outcomes.</w:t>
            </w:r>
          </w:p>
        </w:tc>
      </w:tr>
      <w:tr w:rsidR="008E765F" w:rsidRPr="00C12274" w14:paraId="119AC88A" w14:textId="77777777" w:rsidTr="00BC7AEC">
        <w:trPr>
          <w:cantSplit/>
        </w:trPr>
        <w:tc>
          <w:tcPr>
            <w:tcW w:w="1560" w:type="dxa"/>
            <w:shd w:val="clear" w:color="D9E2F3" w:themeColor="accent1" w:themeTint="33" w:fill="auto"/>
          </w:tcPr>
          <w:p w14:paraId="307CCC86"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FFC000" w:themeFill="accent4"/>
          </w:tcPr>
          <w:p w14:paraId="3EBEEEF2"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3DE19195" w14:textId="77777777" w:rsidR="008E765F" w:rsidRPr="00C12274" w:rsidRDefault="008E765F" w:rsidP="00611251">
            <w:pPr>
              <w:pStyle w:val="RCTstable"/>
            </w:pPr>
            <w:r w:rsidRPr="00C12274">
              <w:t>Could not determine.</w:t>
            </w:r>
          </w:p>
        </w:tc>
      </w:tr>
      <w:tr w:rsidR="008E765F" w:rsidRPr="00C12274" w14:paraId="0A4EC645" w14:textId="77777777" w:rsidTr="00BC7AEC">
        <w:trPr>
          <w:cantSplit/>
        </w:trPr>
        <w:tc>
          <w:tcPr>
            <w:tcW w:w="1560" w:type="dxa"/>
            <w:shd w:val="clear" w:color="D9E2F3" w:themeColor="accent1" w:themeTint="33" w:fill="auto"/>
          </w:tcPr>
          <w:p w14:paraId="7A0C0D94"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B71D07D"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185830A4" w14:textId="77777777" w:rsidR="008E765F" w:rsidRPr="00C12274" w:rsidRDefault="008E765F" w:rsidP="00611251">
            <w:pPr>
              <w:pStyle w:val="RCTstable"/>
            </w:pPr>
            <w:r w:rsidRPr="00C12274">
              <w:t>Baseline characteristics were comparable. Good compliance.</w:t>
            </w:r>
          </w:p>
        </w:tc>
      </w:tr>
      <w:tr w:rsidR="008E765F" w:rsidRPr="00C12274" w14:paraId="560F94AB" w14:textId="77777777" w:rsidTr="00BC7AEC">
        <w:trPr>
          <w:cantSplit/>
        </w:trPr>
        <w:tc>
          <w:tcPr>
            <w:tcW w:w="14034" w:type="dxa"/>
            <w:gridSpan w:val="3"/>
            <w:shd w:val="solid" w:color="D9E2F3" w:themeColor="accent1" w:themeTint="33" w:fill="auto"/>
          </w:tcPr>
          <w:p w14:paraId="0B18EB82" w14:textId="39A790BC"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Ruiz et al 2013</w:t>
            </w:r>
            <w:r>
              <w:rPr>
                <w:rFonts w:eastAsiaTheme="minorHAnsi"/>
                <w:sz w:val="16"/>
                <w:szCs w:val="16"/>
                <w:lang w:val="en-US"/>
              </w:rPr>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PEVuZE5vdGU+PENpdGU+PEF1dGhvcj5SdWl6PC9BdXRob3I+PFllYXI+MjAxMzwvWWVhcj48UmVj
TnVtPjY3MzwvUmVjTnVtPjxEaXNwbGF5VGV4dD48c3R5bGUgZmFjZT0ic3VwZXJzY3JpcHQiIGZv
bnQ9IlRyZWJ1Y2hldCBNUyIgc2l6ZT0iOSI+NDQzPC9zdHlsZT48L0Rpc3BsYXlUZXh0PjxyZWNv
cmQ+PHJlYy1udW1iZXI+NjczPC9yZWMtbnVtYmVyPjxmb3JlaWduLWtleXM+PGtleSBhcHA9IkVO
IiBkYi1pZD0iZXh2YXNyZngyZHRyYW9lc2FzeHAyc3pzeGEyZGY1MDI1OTJ4IiB0aW1lc3RhbXA9
IjE1NDA1MjY3NDkiPjY3Mzwva2V5PjwvZm9yZWlnbi1rZXlzPjxyZWYtdHlwZSBuYW1lPSJKb3Vy
bmFsIEFydGljbGUiPjE3PC9yZWYtdHlwZT48Y29udHJpYnV0b3JzPjxhdXRob3JzPjxhdXRob3I+
UnVpeiwgSi4gUi48L2F1dGhvcj48YXV0aG9yPlBlcmFsZXMsIE0uPC9hdXRob3I+PGF1dGhvcj5Q
ZWxhZXosIE0uPC9hdXRob3I+PGF1dGhvcj5Mb3BleiwgQy48L2F1dGhvcj48YXV0aG9yPkx1Y2lh
LCBBLjwvYXV0aG9yPjxhdXRob3I+QmFyYWthdCwgUi48L2F1dGhvcj48L2F1dGhvcnM+PC9jb250
cmlidXRvcnM+PGF1dGgtYWRkcmVzcz5Qcm9tb3RpbmcgRml0bmVzcyBhbmQgSGVhbHRoIFRocm91
Z2ggUGh5c2ljYWwgQWN0aXZpdHkgUmVzZWFyY2ggR3JvdXAsIERlcGFydG1lbnQgb2YgUGh5c2lj
YWwgRWR1Y2F0aW9uIGFuZCBTcG9ydHMsIFNjaG9vbCBvZiBTcG9ydCBTY2llbmNlcywgVW5pdmVy
c2l0eSBvZiBHcmFuYWRhLCBHcmFuYWRhLCBTcGFpbi4gRWxlY3Ryb25pYyBhZGRyZXNzOiBydWl6
akB1Z3IuZXMuPC9hdXRoLWFkZHJlc3M+PHRpdGxlcz48dGl0bGU+U3VwZXJ2aXNlZCBleGVyY2lz
ZS1iYXNlZCBpbnRlcnZlbnRpb24gdG8gcHJldmVudCBleGNlc3NpdmUgZ2VzdGF0aW9uYWwgd2Vp
Z2h0IGdhaW46IGEgcmFuZG9taXplZCBjb250cm9sbGVkIHRyaWFsPC90aXRsZT48c2Vjb25kYXJ5
LXRpdGxlPk1heW8gQ2xpbiBQcm9jPC9zZWNvbmRhcnktdGl0bGU+PC90aXRsZXM+PHBlcmlvZGlj
YWw+PGZ1bGwtdGl0bGU+TWF5byBDbGluIFByb2M8L2Z1bGwtdGl0bGU+PC9wZXJpb2RpY2FsPjxw
YWdlcz4xMzg4LTk3PC9wYWdlcz48dm9sdW1lPjg4PC92b2x1bWU+PG51bWJlcj4xMjwvbnVtYmVy
PjxlZGl0aW9uPjIwMTMvMTIvMDM8L2VkaXRpb24+PGtleXdvcmRzPjxrZXl3b3JkPkFkdWx0PC9r
ZXl3b3JkPjxrZXl3b3JkPkJvZHkgTWFzcyBJbmRleDwva2V5d29yZD48a2V5d29yZD4qRXhlcmNp
c2U8L2tleXdvcmQ+PGtleXdvcmQ+RmVtYWxlPC9rZXl3b3JkPjxrZXl3b3JkPkh1bWFuczwva2V5
d29yZD48a2V5d29yZD5OYXRpb25hbCBBY2FkZW1pZXMgb2YgU2NpZW5jZSwgRW5naW5lZXJpbmcs
IGFuZCBNZWRpY2luZSAoVS5TLikgSGVhbHRoIGFuZDwva2V5d29yZD48a2V5d29yZD5NZWRpY2lu
ZSBEaXZpc2lvbjwva2V5d29yZD48a2V5d29yZD5PYmVzaXR5L2V0aW9sb2d5LypwcmV2ZW50aW9u
ICZhbXA7IGNvbnRyb2w8L2tleXdvcmQ+PGtleXdvcmQ+T2RkcyBSYXRpbzwva2V5d29yZD48a2V5
d29yZD5QcmFjdGljZSBHdWlkZWxpbmVzIGFzIFRvcGljPC9rZXl3b3JkPjxrZXl3b3JkPlByZWdu
YW5jeTwva2V5d29yZD48a2V5d29yZD5QcmVnbmFuY3kgQ29tcGxpY2F0aW9ucy8qcHJldmVudGlv
biAmYW1wOyBjb250cm9sPC9rZXl3b3JkPjxrZXl3b3JkPlJpc2sgRmFjdG9yczwva2V5d29yZD48
a2V5d29yZD5UcmVhdG1lbnQgT3V0Y29tZTwva2V5d29yZD48a2V5d29yZD5Vbml0ZWQgU3RhdGVz
PC9rZXl3b3JkPjxrZXl3b3JkPipXZWlnaHQgR2Fpbjwva2V5d29yZD48a2V5d29yZD5CbWk8L2tl
eXdvcmQ+PGtleXdvcmQ+SW9tPC9rZXl3b3JkPjxrZXl3b3JkPkluc3RpdHV0ZSBvZiBNZWRpY2lu
ZTwva2V5d29yZD48a2V5d29yZD5Pcjwva2V5d29yZD48a2V5d29yZD5SY3Q8L2tleXdvcmQ+PGtl
eXdvcmQ+cmFuZG9taXplZCBjb250cm9sbGVkIHRyaWFsPC9rZXl3b3JkPjwva2V5d29yZHM+PGRh
dGVzPjx5ZWFyPjIwMTM8L3llYXI+PHB1Yi1kYXRlcz48ZGF0ZT5EZWM8L2RhdGU+PC9wdWItZGF0
ZXM+PC9kYXRlcz48aXNibj4xOTQyLTU1NDYgKEVsZWN0cm9uaWMpJiN4RDswMDI1LTYxOTYgKExp
bmtpbmcpPC9pc2JuPjxhY2Nlc3Npb24tbnVtPjI0MjkwMTEyPC9hY2Nlc3Npb24tbnVtPjx1cmxz
PjxyZWxhdGVkLXVybHM+PHVybD5odHRwczovL3d3dy5uY2JpLm5sbS5uaWguZ292L3B1Ym1lZC8y
NDI5MDExMjwvdXJsPjwvcmVsYXRlZC11cmxzPjwvdXJscz48ZWxlY3Ryb25pYy1yZXNvdXJjZS1u
dW0+MTAuMTAxNi9qLm1heW9jcC4yMDEzLjA3LjAyMDwvZWxlY3Ryb25pYy1yZXNvdXJjZS1udW0+
PC9yZWNvcmQ+PC9DaXRlPjwvRW5kTm90ZT4A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Pr>
                <w:rFonts w:eastAsiaTheme="minorHAnsi"/>
                <w:sz w:val="16"/>
                <w:szCs w:val="16"/>
                <w:lang w:val="en-US"/>
              </w:rPr>
            </w:r>
            <w:r>
              <w:rPr>
                <w:rFonts w:eastAsiaTheme="minorHAnsi"/>
                <w:sz w:val="16"/>
                <w:szCs w:val="16"/>
                <w:lang w:val="en-US"/>
              </w:rPr>
              <w:fldChar w:fldCharType="separate"/>
            </w:r>
            <w:r w:rsidR="002747EA" w:rsidRPr="002747EA">
              <w:rPr>
                <w:rFonts w:eastAsiaTheme="minorHAnsi"/>
                <w:noProof/>
                <w:szCs w:val="16"/>
                <w:vertAlign w:val="superscript"/>
                <w:lang w:val="en-US"/>
              </w:rPr>
              <w:t>443</w:t>
            </w:r>
            <w:r>
              <w:rPr>
                <w:rFonts w:eastAsiaTheme="minorHAnsi"/>
                <w:sz w:val="16"/>
                <w:szCs w:val="16"/>
                <w:lang w:val="en-US"/>
              </w:rPr>
              <w:fldChar w:fldCharType="end"/>
            </w:r>
          </w:p>
        </w:tc>
      </w:tr>
      <w:tr w:rsidR="008E765F" w:rsidRPr="00C12274" w14:paraId="7DF8A7F7" w14:textId="77777777" w:rsidTr="00BC7AEC">
        <w:trPr>
          <w:cantSplit/>
        </w:trPr>
        <w:tc>
          <w:tcPr>
            <w:tcW w:w="1560" w:type="dxa"/>
            <w:shd w:val="clear" w:color="D9E2F3" w:themeColor="accent1" w:themeTint="33" w:fill="auto"/>
          </w:tcPr>
          <w:p w14:paraId="2EC75809"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30892B09"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1944C2FA" w14:textId="77777777" w:rsidR="008E765F" w:rsidRPr="00C12274" w:rsidRDefault="008E765F" w:rsidP="00611251">
            <w:pPr>
              <w:pStyle w:val="RCTstable"/>
              <w:keepNext/>
            </w:pPr>
            <w:r w:rsidRPr="00C12274">
              <w:t>Computer generated.</w:t>
            </w:r>
          </w:p>
        </w:tc>
      </w:tr>
      <w:tr w:rsidR="008E765F" w:rsidRPr="00C12274" w14:paraId="04FCA7DF" w14:textId="77777777" w:rsidTr="00BC7AEC">
        <w:trPr>
          <w:cantSplit/>
        </w:trPr>
        <w:tc>
          <w:tcPr>
            <w:tcW w:w="1560" w:type="dxa"/>
            <w:shd w:val="clear" w:color="D9E2F3" w:themeColor="accent1" w:themeTint="33" w:fill="auto"/>
          </w:tcPr>
          <w:p w14:paraId="4750A2F2"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7B87ED43"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8A60AE4" w14:textId="77777777" w:rsidR="008E765F" w:rsidRPr="00C12274" w:rsidRDefault="008E765F" w:rsidP="00611251">
            <w:pPr>
              <w:pStyle w:val="RCTstable"/>
              <w:keepNext/>
            </w:pPr>
            <w:r w:rsidRPr="00C12274">
              <w:t>Not described</w:t>
            </w:r>
          </w:p>
        </w:tc>
      </w:tr>
      <w:tr w:rsidR="008E765F" w:rsidRPr="00C12274" w14:paraId="76978313" w14:textId="77777777" w:rsidTr="00BC7AEC">
        <w:trPr>
          <w:cantSplit/>
        </w:trPr>
        <w:tc>
          <w:tcPr>
            <w:tcW w:w="1560" w:type="dxa"/>
            <w:shd w:val="clear" w:color="D9E2F3" w:themeColor="accent1" w:themeTint="33" w:fill="auto"/>
          </w:tcPr>
          <w:p w14:paraId="6BC0BDB9"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5C3B4663"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9081842" w14:textId="77777777" w:rsidR="008E765F" w:rsidRPr="00C12274" w:rsidRDefault="008E765F" w:rsidP="00611251">
            <w:pPr>
              <w:pStyle w:val="RCTstable"/>
              <w:keepNext/>
              <w:rPr>
                <w:rFonts w:ascii="Times" w:hAnsi="Times"/>
                <w:color w:val="181A18"/>
                <w:sz w:val="15"/>
                <w:szCs w:val="15"/>
              </w:rPr>
            </w:pPr>
            <w:r w:rsidRPr="00C12274">
              <w:t>Not described</w:t>
            </w:r>
          </w:p>
        </w:tc>
      </w:tr>
      <w:tr w:rsidR="00F04834" w:rsidRPr="00C12274" w14:paraId="61BA522A" w14:textId="77777777" w:rsidTr="00BC7AEC">
        <w:trPr>
          <w:cantSplit/>
        </w:trPr>
        <w:tc>
          <w:tcPr>
            <w:tcW w:w="1560" w:type="dxa"/>
            <w:shd w:val="clear" w:color="D9E2F3" w:themeColor="accent1" w:themeTint="33" w:fill="auto"/>
          </w:tcPr>
          <w:p w14:paraId="44D07216" w14:textId="77777777" w:rsidR="00F04834" w:rsidRPr="00C12274" w:rsidRDefault="00F04834"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0BB5A03E" w14:textId="77777777" w:rsidR="00F04834" w:rsidRPr="00C12274" w:rsidRDefault="00F04834" w:rsidP="009740A7">
            <w:pPr>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51D133BA" w14:textId="4525AC67" w:rsidR="00F04834" w:rsidRPr="00C12274" w:rsidRDefault="00F04834" w:rsidP="009740A7">
            <w:pPr>
              <w:pStyle w:val="RCTstable"/>
            </w:pPr>
            <w:r>
              <w:t>N</w:t>
            </w:r>
            <w:r w:rsidRPr="00C12274">
              <w:t>ot described.</w:t>
            </w:r>
          </w:p>
        </w:tc>
      </w:tr>
      <w:tr w:rsidR="008E765F" w:rsidRPr="00C12274" w14:paraId="207DE7AF" w14:textId="77777777" w:rsidTr="00BC7AEC">
        <w:trPr>
          <w:cantSplit/>
        </w:trPr>
        <w:tc>
          <w:tcPr>
            <w:tcW w:w="1560" w:type="dxa"/>
            <w:shd w:val="clear" w:color="D9E2F3" w:themeColor="accent1" w:themeTint="33" w:fill="auto"/>
          </w:tcPr>
          <w:p w14:paraId="2D8C6DB5"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7F5991B1"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A372472" w14:textId="77777777" w:rsidR="008E765F" w:rsidRPr="00C12274" w:rsidRDefault="008E765F" w:rsidP="00611251">
            <w:pPr>
              <w:pStyle w:val="RCTstable"/>
              <w:keepNext/>
              <w:rPr>
                <w:szCs w:val="24"/>
              </w:rPr>
            </w:pPr>
            <w:r w:rsidRPr="00C12274">
              <w:t>14% attrition overall. 68 women in the control arm and 70 in the intervention arm were lost to follow-up. No protocol deviations</w:t>
            </w:r>
          </w:p>
        </w:tc>
      </w:tr>
      <w:tr w:rsidR="008E765F" w:rsidRPr="00C12274" w14:paraId="73EE85F9" w14:textId="77777777" w:rsidTr="00BC7AEC">
        <w:trPr>
          <w:cantSplit/>
        </w:trPr>
        <w:tc>
          <w:tcPr>
            <w:tcW w:w="1560" w:type="dxa"/>
            <w:shd w:val="clear" w:color="D9E2F3" w:themeColor="accent1" w:themeTint="33" w:fill="auto"/>
          </w:tcPr>
          <w:p w14:paraId="192DD5E1"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E72E026"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80DC940"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07A5267D" w14:textId="77777777" w:rsidTr="00BC7AEC">
        <w:trPr>
          <w:cantSplit/>
        </w:trPr>
        <w:tc>
          <w:tcPr>
            <w:tcW w:w="1560" w:type="dxa"/>
            <w:shd w:val="clear" w:color="D9E2F3" w:themeColor="accent1" w:themeTint="33" w:fill="auto"/>
          </w:tcPr>
          <w:p w14:paraId="2096869D"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49B6F0E7"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A44ACC8"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66730FF9" w14:textId="77777777" w:rsidTr="00BC7AEC">
        <w:trPr>
          <w:cantSplit/>
        </w:trPr>
        <w:tc>
          <w:tcPr>
            <w:tcW w:w="14034" w:type="dxa"/>
            <w:gridSpan w:val="3"/>
            <w:shd w:val="solid" w:color="D9E2F3" w:themeColor="accent1" w:themeTint="33" w:fill="auto"/>
          </w:tcPr>
          <w:p w14:paraId="65C234DE" w14:textId="2C1170C3" w:rsidR="008E765F" w:rsidRPr="00992BA6" w:rsidRDefault="008E765F" w:rsidP="002747EA">
            <w:pPr>
              <w:pStyle w:val="Tablecell"/>
              <w:keepNext/>
              <w:spacing w:line="220" w:lineRule="exact"/>
              <w:rPr>
                <w:rFonts w:eastAsiaTheme="minorHAnsi"/>
                <w:sz w:val="16"/>
                <w:szCs w:val="16"/>
                <w:lang w:val="en-US"/>
              </w:rPr>
            </w:pPr>
            <w:r w:rsidRPr="00C12274">
              <w:rPr>
                <w:rFonts w:eastAsiaTheme="minorHAnsi"/>
                <w:b/>
                <w:noProof/>
                <w:sz w:val="16"/>
                <w:szCs w:val="16"/>
                <w:lang w:val="en-US"/>
              </w:rPr>
              <w:t>Seneviratne et al 2016</w:t>
            </w:r>
            <w:r>
              <w:rPr>
                <w:rFonts w:eastAsiaTheme="minorHAnsi"/>
                <w:sz w:val="16"/>
                <w:szCs w:val="16"/>
                <w:lang w:val="en-US"/>
              </w:rPr>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PEVuZE5vdGU+PENpdGU+PEF1dGhvcj5TZW5ldmlyYXRuZTwvQXV0aG9yPjxZZWFyPjIwMTY8L1ll
YXI+PFJlY051bT45NDU8L1JlY051bT48RGlzcGxheVRleHQ+PHN0eWxlIGZhY2U9InN1cGVyc2Ny
aXB0IiBmb250PSJUcmVidWNoZXQgTVMiIHNpemU9IjkiPjI3Mzwvc3R5bGU+PC9EaXNwbGF5VGV4
dD48cmVjb3JkPjxyZWMtbnVtYmVyPjk0NTwvcmVjLW51bWJlcj48Zm9yZWlnbi1rZXlzPjxrZXkg
YXBwPSJFTiIgZGItaWQ9ImV4dmFzcmZ4MmR0cmFvZXNhc3hwMnN6c3hhMmRmNTAyNTkyeCIgdGlt
ZXN0YW1wPSIxNTQxNTQxODQ5Ij45NDU8L2tleT48a2V5IGFwcD0iRU5XZWIiIGRiLWlkPSIiPjA8
L2tleT48L2ZvcmVpZ24ta2V5cz48cmVmLXR5cGUgbmFtZT0iSm91cm5hbCBBcnRpY2xlIj4xNzwv
cmVmLXR5cGU+PGNvbnRyaWJ1dG9ycz48YXV0aG9ycz48YXV0aG9yPlNlbmV2aXJhdG5lLCBTLiBO
LjwvYXV0aG9yPjxhdXRob3I+SmlhbmcsIFkuPC9hdXRob3I+PGF1dGhvcj5EZXJyYWlrLCBKLjwv
YXV0aG9yPjxhdXRob3I+TWNDb3dhbiwgTC48L2F1dGhvcj48YXV0aG9yPlBhcnJ5LCBHLiBLLjwv
YXV0aG9yPjxhdXRob3I+QmlnZ3MsIEouIEIuPC9hdXRob3I+PGF1dGhvcj5DcmFpZ2llLCBTLjwv
YXV0aG9yPjxhdXRob3I+R3Vzc28sIFMuPC9hdXRob3I+PGF1dGhvcj5QZXJlcywgRy48L2F1dGhv
cj48YXV0aG9yPlJvZHJpZ3VlcywgUi4gTy48L2F1dGhvcj48YXV0aG9yPkVrZXJvbWEsIEEuPC9h
dXRob3I+PGF1dGhvcj5DdXRmaWVsZCwgVy4gUy48L2F1dGhvcj48YXV0aG9yPkhvZm1hbiwgUC4g
TC48L2F1dGhvcj48L2F1dGhvcnM+PC9jb250cmlidXRvcnM+PGF1dGgtYWRkcmVzcz5MaWdnaW5z
IEluc3RpdHV0ZSwgVW5pdmVyc2l0eSBvZiBBdWNrbGFuZCwgQXVja2xhbmQsIE5ldyBaZWFsYW5k
LiYjeEQ7R3JhdmlkYTogTmF0aW9uYWwgQ2VudHJlIGZvciBHcm93dGggYW5kIERldmVsb3BtZW50
LCBBdWNrbGFuZCwgTmV3IFplYWxhbmQuJiN4RDtEZXBhcnRtZW50IG9mIFN0YXRpc3RpY3MsIFVu
aXZlcnNpdHkgb2YgQXVja2xhbmQsIEF1Y2tsYW5kLCBOZXcgWmVhbGFuZC4mI3hEO0RlcGFydG1l
bnQgb2YgT2JzdGV0cmljcyBhbmQgR3luYWVjb2xvZ3ksIEZhY3VsdHkgb2YgTWVkaWNhbCBhbmQg
SGVhbHRoIFNjaWVuY2UsIFVuaXZlcnNpdHkgb2YgQXVja2xhbmQsIEF1Y2tsYW5kLCBOZXcgWmVh
bGFuZC48L2F1dGgtYWRkcmVzcz48dGl0bGVzPjx0aXRsZT5FZmZlY3RzIG9mIGFudGVuYXRhbCBl
eGVyY2lzZSBpbiBvdmVyd2VpZ2h0IGFuZCBvYmVzZSBwcmVnbmFudCB3b21lbiBvbiBtYXRlcm5h
bCBhbmQgcGVyaW5hdGFsIG91dGNvbWVzOiBhIHJhbmRvbWlzZWQgY29udHJvbGxlZCB0cmlhbDwv
dGl0bGU+PHNlY29uZGFyeS10aXRsZT5CSk9HPC9zZWNvbmRhcnktdGl0bGU+PC90aXRsZXM+PHBl
cmlvZGljYWw+PGZ1bGwtdGl0bGU+QkpPRzwvZnVsbC10aXRsZT48L3BlcmlvZGljYWw+PHBhZ2Vz
PjU4OC05NzwvcGFnZXM+PHZvbHVtZT4xMjM8L3ZvbHVtZT48bnVtYmVyPjQ8L251bWJlcj48ZWRp
dGlvbj4yMDE1LzExLzA3PC9lZGl0aW9uPjxrZXl3b3Jkcz48a2V5d29yZD5BZHVsdDwva2V5d29y
ZD48a2V5d29yZD5Cb2R5IE1hc3MgSW5kZXg8L2tleXdvcmQ+PGtleXdvcmQ+KkV4ZXJjaXNlIFRo
ZXJhcHk8L2tleXdvcmQ+PGtleXdvcmQ+RmVtYWxlPC9rZXl3b3JkPjxrZXl3b3JkPkh1bWFuczwv
a2V5d29yZD48a2V5d29yZD5OZXcgWmVhbGFuZC9lcGlkZW1pb2xvZ3k8L2tleXdvcmQ+PGtleXdv
cmQ+T2Jlc2l0eS9lcGlkZW1pb2xvZ3kvcHJldmVudGlvbiAmYW1wOyBjb250cm9sLyp0aGVyYXB5
PC9rZXl3b3JkPjxrZXl3b3JkPk92ZXJ3ZWlnaHQvZXBpZGVtaW9sb2d5L3ByZXZlbnRpb24gJmFt
cDsgY29udHJvbC8qdGhlcmFweTwva2V5d29yZD48a2V5d29yZD5QYXRpZW50IENvbXBsaWFuY2U8
L2tleXdvcmQ+PGtleXdvcmQ+UHJlZ25hbmN5PC9rZXl3b3JkPjxrZXl3b3JkPlByZWduYW5jeSBP
dXRjb21lPC9rZXl3b3JkPjxrZXl3b3JkPipQcmVnbmFudCBXb21lbi9wc3ljaG9sb2d5PC9rZXl3
b3JkPjxrZXl3b3JkPipQcmVuYXRhbCBDYXJlPC9rZXl3b3JkPjxrZXl3b3JkPlF1YWxpdHkgb2Yg
TGlmZTwva2V5d29yZD48a2V5d29yZD5SaXNrIFJlZHVjdGlvbiBCZWhhdmlvcjwva2V5d29yZD48
a2V5d29yZD5UcmVhdG1lbnQgT3V0Y29tZTwva2V5d29yZD48a2V5d29yZD5XZWlnaHQgR2Fpbjwv
a2V5d29yZD48a2V5d29yZD5BbnRlbmF0YWwgZXhlcmNpc2U8L2tleXdvcmQ+PGtleXdvcmQ+Ym9k
eSBjb21wb3NpdGlvbjwva2V5d29yZD48a2V5d29yZD5vYmVzaXR5PC9rZXl3b3JkPjwva2V5d29y
ZHM+PGRhdGVzPjx5ZWFyPjIwMTY8L3llYXI+PHB1Yi1kYXRlcz48ZGF0ZT5NYXI8L2RhdGU+PC9w
dWItZGF0ZXM+PC9kYXRlcz48aXNibj4xNDcxLTA1MjggKEVsZWN0cm9uaWMpJiN4RDsxNDcwLTAz
MjggKExpbmtpbmcpPC9pc2JuPjxhY2Nlc3Npb24tbnVtPjI2NTQyNDE5PC9hY2Nlc3Npb24tbnVt
Pjx1cmxzPjxyZWxhdGVkLXVybHM+PHVybD5odHRwczovL3d3dy5uY2JpLm5sbS5uaWguZ292L3B1
Ym1lZC8yNjU0MjQxOTwvdXJsPjwvcmVsYXRlZC11cmxzPjwvdXJscz48ZWxlY3Ryb25pYy1yZXNv
dXJjZS1udW0+MTAuMTExMS8xNDcxLTA1MjguMTM3Mzg8L2VsZWN0cm9uaWMtcmVzb3VyY2UtbnVt
PjwvcmVjb3JkPjwvQ2l0ZT48L0VuZE5vdGU+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Pr>
                <w:rFonts w:eastAsiaTheme="minorHAnsi"/>
                <w:sz w:val="16"/>
                <w:szCs w:val="16"/>
                <w:lang w:val="en-US"/>
              </w:rPr>
            </w:r>
            <w:r>
              <w:rPr>
                <w:rFonts w:eastAsiaTheme="minorHAnsi"/>
                <w:sz w:val="16"/>
                <w:szCs w:val="16"/>
                <w:lang w:val="en-US"/>
              </w:rPr>
              <w:fldChar w:fldCharType="separate"/>
            </w:r>
            <w:r w:rsidR="002747EA" w:rsidRPr="002747EA">
              <w:rPr>
                <w:rFonts w:eastAsiaTheme="minorHAnsi"/>
                <w:noProof/>
                <w:szCs w:val="16"/>
                <w:vertAlign w:val="superscript"/>
                <w:lang w:val="en-US"/>
              </w:rPr>
              <w:t>273</w:t>
            </w:r>
            <w:r>
              <w:rPr>
                <w:rFonts w:eastAsiaTheme="minorHAnsi"/>
                <w:sz w:val="16"/>
                <w:szCs w:val="16"/>
                <w:lang w:val="en-US"/>
              </w:rPr>
              <w:fldChar w:fldCharType="end"/>
            </w:r>
          </w:p>
        </w:tc>
      </w:tr>
      <w:tr w:rsidR="008E765F" w:rsidRPr="00C12274" w14:paraId="7971102A" w14:textId="77777777" w:rsidTr="00BC7AEC">
        <w:trPr>
          <w:cantSplit/>
        </w:trPr>
        <w:tc>
          <w:tcPr>
            <w:tcW w:w="1560" w:type="dxa"/>
            <w:shd w:val="clear" w:color="D9E2F3" w:themeColor="accent1" w:themeTint="33" w:fill="auto"/>
          </w:tcPr>
          <w:p w14:paraId="6738AFCD"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04BD3E57"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B0D548A" w14:textId="77777777" w:rsidR="008E765F" w:rsidRPr="00C12274" w:rsidRDefault="008E765F" w:rsidP="00611251">
            <w:pPr>
              <w:pStyle w:val="RCTstable"/>
              <w:keepNext/>
            </w:pPr>
            <w:r w:rsidRPr="00C12274">
              <w:t xml:space="preserve">Randomisation sequences were generated by a biostatistician with no clinical involvement in the trial, and were used sequentially according to enrolment order. </w:t>
            </w:r>
          </w:p>
        </w:tc>
      </w:tr>
      <w:tr w:rsidR="008E765F" w:rsidRPr="00C12274" w14:paraId="79D2263D" w14:textId="77777777" w:rsidTr="00BC7AEC">
        <w:trPr>
          <w:cantSplit/>
        </w:trPr>
        <w:tc>
          <w:tcPr>
            <w:tcW w:w="1560" w:type="dxa"/>
            <w:shd w:val="clear" w:color="D9E2F3" w:themeColor="accent1" w:themeTint="33" w:fill="auto"/>
          </w:tcPr>
          <w:p w14:paraId="018619F7"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109ED234"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7F2D495" w14:textId="77777777" w:rsidR="008E765F" w:rsidRPr="00C12274" w:rsidRDefault="008E765F" w:rsidP="00611251">
            <w:pPr>
              <w:pStyle w:val="RCTstable"/>
              <w:keepNext/>
            </w:pPr>
            <w:r w:rsidRPr="00C12274">
              <w:t>Randomisation sequences were stored securely with password protection, and group allocation revealed to participants only after completion of baseline assessments. The recruitment coordinator (responsible for order of enrolment) did not have access to the randomisation tables at any time, maintaining allocation concealment.</w:t>
            </w:r>
          </w:p>
        </w:tc>
      </w:tr>
      <w:tr w:rsidR="008E765F" w:rsidRPr="00C12274" w14:paraId="565C6105" w14:textId="77777777" w:rsidTr="00BC7AEC">
        <w:trPr>
          <w:cantSplit/>
        </w:trPr>
        <w:tc>
          <w:tcPr>
            <w:tcW w:w="1560" w:type="dxa"/>
            <w:shd w:val="clear" w:color="D9E2F3" w:themeColor="accent1" w:themeTint="33" w:fill="auto"/>
          </w:tcPr>
          <w:p w14:paraId="0E11ED0C"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60BF94A3"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30B622A8" w14:textId="5B1AF3CB" w:rsidR="008E765F" w:rsidRPr="00C12274" w:rsidRDefault="008E765F" w:rsidP="00F04834">
            <w:pPr>
              <w:pStyle w:val="RCTstable"/>
              <w:keepNext/>
            </w:pPr>
            <w:r w:rsidRPr="00C12274">
              <w:t xml:space="preserve">Due to the nature of the intervention, participants were un-blinded to group allocation after completion of baseline assessments. </w:t>
            </w:r>
          </w:p>
        </w:tc>
      </w:tr>
      <w:tr w:rsidR="00F04834" w:rsidRPr="00C12274" w14:paraId="201B871C" w14:textId="77777777" w:rsidTr="00BC7AEC">
        <w:trPr>
          <w:cantSplit/>
        </w:trPr>
        <w:tc>
          <w:tcPr>
            <w:tcW w:w="1560" w:type="dxa"/>
            <w:shd w:val="clear" w:color="D9E2F3" w:themeColor="accent1" w:themeTint="33" w:fill="auto"/>
          </w:tcPr>
          <w:p w14:paraId="5153C5B5" w14:textId="77777777" w:rsidR="00F04834" w:rsidRPr="00C12274" w:rsidRDefault="00F04834"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15D485E0" w14:textId="77777777" w:rsidR="00F04834" w:rsidRPr="00C12274" w:rsidRDefault="00F04834" w:rsidP="009740A7">
            <w:pPr>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1520A30B" w14:textId="77777777" w:rsidR="00F04834" w:rsidRPr="00C12274" w:rsidRDefault="00F04834" w:rsidP="009740A7">
            <w:pPr>
              <w:pStyle w:val="RCTstable"/>
            </w:pPr>
            <w:r w:rsidRPr="00C12274">
              <w:t>Assessor blinding not described.</w:t>
            </w:r>
          </w:p>
        </w:tc>
      </w:tr>
      <w:tr w:rsidR="008E765F" w:rsidRPr="00C12274" w14:paraId="4D5ACC7E" w14:textId="77777777" w:rsidTr="00BC7AEC">
        <w:trPr>
          <w:cantSplit/>
        </w:trPr>
        <w:tc>
          <w:tcPr>
            <w:tcW w:w="1560" w:type="dxa"/>
            <w:shd w:val="clear" w:color="D9E2F3" w:themeColor="accent1" w:themeTint="33" w:fill="auto"/>
          </w:tcPr>
          <w:p w14:paraId="3102DC6D"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55CF12BE"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40EF85D" w14:textId="77777777" w:rsidR="008E765F" w:rsidRPr="00C12274" w:rsidRDefault="008E765F" w:rsidP="00611251">
            <w:pPr>
              <w:spacing w:before="40" w:after="40" w:line="220" w:lineRule="exact"/>
              <w:rPr>
                <w:sz w:val="16"/>
                <w:szCs w:val="16"/>
                <w:lang w:val="en-US"/>
              </w:rPr>
            </w:pPr>
            <w:r w:rsidRPr="00C12274">
              <w:rPr>
                <w:sz w:val="16"/>
                <w:szCs w:val="16"/>
                <w:lang w:val="en-US"/>
              </w:rPr>
              <w:t>ITT analysis conducted.</w:t>
            </w:r>
          </w:p>
        </w:tc>
      </w:tr>
      <w:tr w:rsidR="008E765F" w:rsidRPr="00C12274" w14:paraId="0F20A445" w14:textId="77777777" w:rsidTr="00BC7AEC">
        <w:trPr>
          <w:cantSplit/>
        </w:trPr>
        <w:tc>
          <w:tcPr>
            <w:tcW w:w="1560" w:type="dxa"/>
            <w:shd w:val="clear" w:color="D9E2F3" w:themeColor="accent1" w:themeTint="33" w:fill="auto"/>
          </w:tcPr>
          <w:p w14:paraId="2F63ED45"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27922E55"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E084A8C"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3CDF66EF" w14:textId="77777777" w:rsidTr="00BC7AEC">
        <w:trPr>
          <w:cantSplit/>
        </w:trPr>
        <w:tc>
          <w:tcPr>
            <w:tcW w:w="1560" w:type="dxa"/>
            <w:shd w:val="clear" w:color="D9E2F3" w:themeColor="accent1" w:themeTint="33" w:fill="auto"/>
          </w:tcPr>
          <w:p w14:paraId="724AA283"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34496551"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7EC0934A"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06D6B9AD" w14:textId="77777777" w:rsidTr="00BC7AEC">
        <w:trPr>
          <w:cantSplit/>
        </w:trPr>
        <w:tc>
          <w:tcPr>
            <w:tcW w:w="14034" w:type="dxa"/>
            <w:gridSpan w:val="3"/>
            <w:shd w:val="solid" w:color="D9E2F3" w:themeColor="accent1" w:themeTint="33" w:fill="auto"/>
          </w:tcPr>
          <w:p w14:paraId="617CABC6" w14:textId="17E7289F" w:rsidR="008E765F" w:rsidRPr="00992BA6" w:rsidRDefault="008E765F" w:rsidP="002747EA">
            <w:pPr>
              <w:pStyle w:val="Tablecell"/>
              <w:keepNext/>
              <w:spacing w:line="220" w:lineRule="exact"/>
              <w:rPr>
                <w:rFonts w:eastAsiaTheme="minorHAnsi"/>
                <w:sz w:val="16"/>
                <w:szCs w:val="16"/>
                <w:lang w:val="en-US"/>
              </w:rPr>
            </w:pPr>
            <w:r w:rsidRPr="00C12274">
              <w:rPr>
                <w:rFonts w:eastAsiaTheme="minorHAnsi"/>
                <w:b/>
                <w:noProof/>
                <w:sz w:val="16"/>
                <w:szCs w:val="16"/>
                <w:lang w:val="en-US"/>
              </w:rPr>
              <w:t>Simmons et al 2017</w:t>
            </w:r>
            <w:r>
              <w:rPr>
                <w:rFonts w:eastAsiaTheme="minorHAnsi"/>
                <w:sz w:val="16"/>
                <w:szCs w:val="16"/>
                <w:lang w:val="en-US"/>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Pr>
                <w:rFonts w:eastAsiaTheme="minorHAnsi"/>
                <w:sz w:val="16"/>
                <w:szCs w:val="16"/>
                <w:lang w:val="en-US"/>
              </w:rPr>
            </w:r>
            <w:r>
              <w:rPr>
                <w:rFonts w:eastAsiaTheme="minorHAnsi"/>
                <w:sz w:val="16"/>
                <w:szCs w:val="16"/>
                <w:lang w:val="en-US"/>
              </w:rPr>
              <w:fldChar w:fldCharType="separate"/>
            </w:r>
            <w:r w:rsidR="002747EA" w:rsidRPr="002747EA">
              <w:rPr>
                <w:rFonts w:eastAsiaTheme="minorHAnsi"/>
                <w:noProof/>
                <w:szCs w:val="16"/>
                <w:vertAlign w:val="superscript"/>
                <w:lang w:val="en-US"/>
              </w:rPr>
              <w:t>402</w:t>
            </w:r>
            <w:r>
              <w:rPr>
                <w:rFonts w:eastAsiaTheme="minorHAnsi"/>
                <w:sz w:val="16"/>
                <w:szCs w:val="16"/>
                <w:lang w:val="en-US"/>
              </w:rPr>
              <w:fldChar w:fldCharType="end"/>
            </w:r>
          </w:p>
        </w:tc>
      </w:tr>
      <w:tr w:rsidR="008E765F" w:rsidRPr="00C12274" w14:paraId="3E46CE7B" w14:textId="77777777" w:rsidTr="00BC7AEC">
        <w:trPr>
          <w:cantSplit/>
        </w:trPr>
        <w:tc>
          <w:tcPr>
            <w:tcW w:w="1560" w:type="dxa"/>
            <w:shd w:val="clear" w:color="D9E2F3" w:themeColor="accent1" w:themeTint="33" w:fill="auto"/>
          </w:tcPr>
          <w:p w14:paraId="769DE727"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22B9C40C"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BA2C405" w14:textId="77777777" w:rsidR="008E765F" w:rsidRPr="00C12274" w:rsidRDefault="008E765F" w:rsidP="00611251">
            <w:pPr>
              <w:pStyle w:val="RCTstable"/>
              <w:keepNext/>
            </w:pPr>
            <w:r w:rsidRPr="00C12274">
              <w:t xml:space="preserve">Randomization to either HE+PA, HE, PA, or UC (Fig. 1) was performed using a computerized electronic random number generator, prestratified for site. </w:t>
            </w:r>
          </w:p>
        </w:tc>
      </w:tr>
      <w:tr w:rsidR="008E765F" w:rsidRPr="00C12274" w14:paraId="06CA0DFE" w14:textId="77777777" w:rsidTr="00BC7AEC">
        <w:trPr>
          <w:cantSplit/>
        </w:trPr>
        <w:tc>
          <w:tcPr>
            <w:tcW w:w="1560" w:type="dxa"/>
            <w:shd w:val="clear" w:color="D9E2F3" w:themeColor="accent1" w:themeTint="33" w:fill="auto"/>
          </w:tcPr>
          <w:p w14:paraId="3D6C1648"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769F9A93"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63F9F21C" w14:textId="77777777" w:rsidR="008E765F" w:rsidRPr="00C12274" w:rsidRDefault="008E765F" w:rsidP="00611251">
            <w:pPr>
              <w:pStyle w:val="RCTstable"/>
              <w:keepNext/>
            </w:pPr>
            <w:r w:rsidRPr="00C12274">
              <w:t xml:space="preserve">The trial coordinator (D.S.) prepared and distributed sealed opaque envelopes, containing group allocations to each site. The allocation outcome was communicated to the participants by the coach. </w:t>
            </w:r>
          </w:p>
        </w:tc>
      </w:tr>
      <w:tr w:rsidR="00F04834" w:rsidRPr="00C12274" w14:paraId="401E923A" w14:textId="77777777" w:rsidTr="00BC7AEC">
        <w:trPr>
          <w:cantSplit/>
        </w:trPr>
        <w:tc>
          <w:tcPr>
            <w:tcW w:w="1560" w:type="dxa"/>
            <w:shd w:val="clear" w:color="D9E2F3" w:themeColor="accent1" w:themeTint="33" w:fill="auto"/>
          </w:tcPr>
          <w:p w14:paraId="10877961" w14:textId="77777777" w:rsidR="00F04834" w:rsidRPr="00C12274" w:rsidRDefault="00F04834"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3848493E" w14:textId="2F42430C" w:rsidR="00F04834" w:rsidRPr="00C12274" w:rsidRDefault="00F04834" w:rsidP="00611251">
            <w:pPr>
              <w:keepNext/>
              <w:spacing w:before="40" w:after="40" w:line="220" w:lineRule="exact"/>
              <w:rPr>
                <w:sz w:val="16"/>
                <w:szCs w:val="16"/>
              </w:rPr>
            </w:pPr>
            <w:r>
              <w:rPr>
                <w:sz w:val="16"/>
                <w:szCs w:val="16"/>
              </w:rPr>
              <w:t>High</w:t>
            </w:r>
            <w:r w:rsidRPr="00C12274">
              <w:rPr>
                <w:sz w:val="16"/>
                <w:szCs w:val="16"/>
              </w:rPr>
              <w:t xml:space="preserve"> risk</w:t>
            </w:r>
          </w:p>
        </w:tc>
        <w:tc>
          <w:tcPr>
            <w:tcW w:w="11199" w:type="dxa"/>
            <w:vMerge w:val="restart"/>
            <w:shd w:val="clear" w:color="D9E2F3" w:themeColor="accent1" w:themeTint="33" w:fill="auto"/>
          </w:tcPr>
          <w:p w14:paraId="482EA28B" w14:textId="77777777" w:rsidR="00F04834" w:rsidRPr="00C12274" w:rsidRDefault="00F04834" w:rsidP="00611251">
            <w:pPr>
              <w:pStyle w:val="RCTstable"/>
              <w:keepNext/>
              <w:rPr>
                <w:rFonts w:ascii="Times" w:hAnsi="Times"/>
                <w:color w:val="181A18"/>
                <w:sz w:val="15"/>
                <w:szCs w:val="15"/>
              </w:rPr>
            </w:pPr>
            <w:r w:rsidRPr="00C12274">
              <w:t>The staff involved with measurements, but not the participants, were kept unaware of the intervention. Statistical analyses were performed blinded for allocation.</w:t>
            </w:r>
          </w:p>
        </w:tc>
      </w:tr>
      <w:tr w:rsidR="00F04834" w:rsidRPr="00C12274" w14:paraId="24A6FEF7" w14:textId="77777777" w:rsidTr="00BC7AEC">
        <w:trPr>
          <w:cantSplit/>
        </w:trPr>
        <w:tc>
          <w:tcPr>
            <w:tcW w:w="1560" w:type="dxa"/>
            <w:shd w:val="clear" w:color="D9E2F3" w:themeColor="accent1" w:themeTint="33" w:fill="auto"/>
          </w:tcPr>
          <w:p w14:paraId="5CFB83CB" w14:textId="77777777" w:rsidR="00F04834" w:rsidRPr="00C12274" w:rsidRDefault="00F04834" w:rsidP="009740A7">
            <w:pPr>
              <w:spacing w:before="40" w:after="40" w:line="220" w:lineRule="exact"/>
              <w:rPr>
                <w:sz w:val="16"/>
                <w:szCs w:val="16"/>
              </w:rPr>
            </w:pPr>
            <w:r>
              <w:rPr>
                <w:sz w:val="16"/>
                <w:szCs w:val="16"/>
              </w:rPr>
              <w:t>Detection bias</w:t>
            </w:r>
          </w:p>
        </w:tc>
        <w:tc>
          <w:tcPr>
            <w:tcW w:w="1275" w:type="dxa"/>
            <w:shd w:val="clear" w:color="D9E2F3" w:themeColor="accent1" w:themeTint="33" w:fill="70AD47" w:themeFill="accent6"/>
          </w:tcPr>
          <w:p w14:paraId="37FBE07B" w14:textId="1C918158" w:rsidR="00F04834" w:rsidRPr="00C12274" w:rsidRDefault="00F04834" w:rsidP="009740A7">
            <w:pPr>
              <w:spacing w:before="40" w:after="40" w:line="220" w:lineRule="exact"/>
              <w:rPr>
                <w:sz w:val="16"/>
                <w:szCs w:val="16"/>
              </w:rPr>
            </w:pPr>
            <w:r>
              <w:rPr>
                <w:sz w:val="16"/>
                <w:szCs w:val="16"/>
              </w:rPr>
              <w:t>Low</w:t>
            </w:r>
            <w:r w:rsidRPr="00C12274">
              <w:rPr>
                <w:sz w:val="16"/>
                <w:szCs w:val="16"/>
              </w:rPr>
              <w:t xml:space="preserve"> risk</w:t>
            </w:r>
          </w:p>
        </w:tc>
        <w:tc>
          <w:tcPr>
            <w:tcW w:w="11199" w:type="dxa"/>
            <w:vMerge/>
            <w:shd w:val="clear" w:color="D9E2F3" w:themeColor="accent1" w:themeTint="33" w:fill="auto"/>
          </w:tcPr>
          <w:p w14:paraId="54DFB170" w14:textId="35900513" w:rsidR="00F04834" w:rsidRPr="00C12274" w:rsidRDefault="00F04834" w:rsidP="009740A7">
            <w:pPr>
              <w:pStyle w:val="RCTstable"/>
            </w:pPr>
          </w:p>
        </w:tc>
      </w:tr>
      <w:tr w:rsidR="008E765F" w:rsidRPr="00C12274" w14:paraId="72CE238F" w14:textId="77777777" w:rsidTr="00BC7AEC">
        <w:trPr>
          <w:cantSplit/>
        </w:trPr>
        <w:tc>
          <w:tcPr>
            <w:tcW w:w="1560" w:type="dxa"/>
            <w:shd w:val="clear" w:color="D9E2F3" w:themeColor="accent1" w:themeTint="33" w:fill="auto"/>
          </w:tcPr>
          <w:p w14:paraId="6FDC8BD7"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70AD47" w:themeFill="accent6"/>
          </w:tcPr>
          <w:p w14:paraId="7AEDAFF6"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B847020" w14:textId="77777777" w:rsidR="008E765F" w:rsidRPr="00C12274" w:rsidRDefault="008E765F" w:rsidP="00611251">
            <w:pPr>
              <w:pStyle w:val="RCTstable"/>
            </w:pPr>
            <w:r w:rsidRPr="00C12274">
              <w:t xml:space="preserve">Data were analysed according to intention to treat and according to an </w:t>
            </w:r>
            <w:r w:rsidRPr="00C12274">
              <w:rPr>
                <w:rFonts w:ascii="Helvetica" w:hAnsi="Helvetica"/>
              </w:rPr>
              <w:t xml:space="preserve">a priori </w:t>
            </w:r>
            <w:r w:rsidRPr="00C12274">
              <w:t>statistical analysis plan. Differences between subjects withdrawing from the study and those who stayed in the study were assessed.</w:t>
            </w:r>
          </w:p>
        </w:tc>
      </w:tr>
      <w:tr w:rsidR="008E765F" w:rsidRPr="00C12274" w14:paraId="331AAA1A" w14:textId="77777777" w:rsidTr="00BC7AEC">
        <w:trPr>
          <w:cantSplit/>
        </w:trPr>
        <w:tc>
          <w:tcPr>
            <w:tcW w:w="1560" w:type="dxa"/>
            <w:shd w:val="clear" w:color="D9E2F3" w:themeColor="accent1" w:themeTint="33" w:fill="auto"/>
          </w:tcPr>
          <w:p w14:paraId="69371E08"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02880721"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78637E2"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6C204528" w14:textId="77777777" w:rsidTr="00BC7AEC">
        <w:trPr>
          <w:cantSplit/>
        </w:trPr>
        <w:tc>
          <w:tcPr>
            <w:tcW w:w="1560" w:type="dxa"/>
            <w:shd w:val="clear" w:color="D9E2F3" w:themeColor="accent1" w:themeTint="33" w:fill="auto"/>
          </w:tcPr>
          <w:p w14:paraId="20FC7F7D"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11B3A24C"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336606D1"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7518FBE7" w14:textId="77777777" w:rsidTr="00BC7AEC">
        <w:trPr>
          <w:cantSplit/>
        </w:trPr>
        <w:tc>
          <w:tcPr>
            <w:tcW w:w="14034" w:type="dxa"/>
            <w:gridSpan w:val="3"/>
            <w:shd w:val="solid" w:color="D9E2F3" w:themeColor="accent1" w:themeTint="33" w:fill="auto"/>
          </w:tcPr>
          <w:p w14:paraId="2D0A0971" w14:textId="383AA533" w:rsidR="008E765F" w:rsidRPr="00992BA6" w:rsidRDefault="008E765F" w:rsidP="002747EA">
            <w:pPr>
              <w:pStyle w:val="Tablecell"/>
              <w:keepNext/>
              <w:spacing w:line="220" w:lineRule="exact"/>
              <w:rPr>
                <w:rFonts w:eastAsiaTheme="minorHAnsi"/>
                <w:sz w:val="16"/>
                <w:szCs w:val="16"/>
                <w:lang w:val="en-US"/>
              </w:rPr>
            </w:pPr>
            <w:r w:rsidRPr="00C12274">
              <w:rPr>
                <w:rFonts w:eastAsiaTheme="minorHAnsi"/>
                <w:b/>
                <w:noProof/>
                <w:sz w:val="16"/>
                <w:szCs w:val="16"/>
                <w:lang w:val="en-US"/>
              </w:rPr>
              <w:t>SongØYgard et al 2012</w:t>
            </w:r>
            <w:r>
              <w:rPr>
                <w:rFonts w:eastAsiaTheme="minorHAnsi"/>
                <w:sz w:val="16"/>
                <w:szCs w:val="16"/>
                <w:lang w:val="en-US"/>
              </w:rPr>
              <w:fldChar w:fldCharType="begin"/>
            </w:r>
            <w:r w:rsidR="002747EA">
              <w:rPr>
                <w:rFonts w:eastAsiaTheme="minorHAnsi"/>
                <w:sz w:val="16"/>
                <w:szCs w:val="16"/>
                <w:lang w:val="en-US"/>
              </w:rPr>
              <w:instrText xml:space="preserve"> ADDIN EN.CITE &lt;EndNote&gt;&lt;Cite&gt;&lt;Author&gt;SongØYgard&lt;/Author&gt;&lt;Year&gt;2012&lt;/Year&gt;&lt;RecNum&gt;866&lt;/RecNum&gt;&lt;DisplayText&gt;&lt;style face="superscript" font="Trebuchet MS" size="9"&gt;444&lt;/style&gt;&lt;/DisplayText&gt;&lt;record&gt;&lt;rec-number&gt;866&lt;/rec-number&gt;&lt;foreign-keys&gt;&lt;key app="EN" db-id="exvasrfx2dtraoesasxp2szsxa2df502592x" timestamp="1541540693"&gt;866&lt;/key&gt;&lt;key app="ENWeb" db-id=""&gt;0&lt;/key&gt;&lt;/foreign-keys&gt;&lt;ref-type name="Journal Article"&gt;17&lt;/ref-type&gt;&lt;contributors&gt;&lt;authors&gt;&lt;author&gt;SongØYgard, Kristian M.&lt;/author&gt;&lt;author&gt;Stafne, Signe N.&lt;/author&gt;&lt;author&gt;Evensen, Kari Anne I.&lt;/author&gt;&lt;author&gt;Salvesen, Kjell Å&lt;/author&gt;&lt;author&gt;Vik, Torstein&lt;/author&gt;&lt;author&gt;MØRkved, S. I. V.&lt;/author&gt;&lt;/authors&gt;&lt;/contributors&gt;&lt;titles&gt;&lt;title&gt;Does exercise during pregnancy prevent postnatal depression?&lt;/title&gt;&lt;secondary-title&gt;Acta Obstetricia et Gynecologica Scandinavica&lt;/secondary-title&gt;&lt;/titles&gt;&lt;periodical&gt;&lt;full-title&gt;Acta Obstetricia et Gynecologica Scandinavica&lt;/full-title&gt;&lt;/periodical&gt;&lt;pages&gt;62-67&lt;/pages&gt;&lt;volume&gt;91&lt;/volume&gt;&lt;number&gt;1&lt;/number&gt;&lt;section&gt;62&lt;/section&gt;&lt;dates&gt;&lt;year&gt;2012&lt;/year&gt;&lt;/dates&gt;&lt;isbn&gt;00016349&lt;/isbn&gt;&lt;urls&gt;&lt;/urls&gt;&lt;electronic-resource-num&gt;10.1111/j.1600-0412.2011.01262.x&lt;/electronic-resource-num&gt;&lt;/record&gt;&lt;/Cite&gt;&lt;/EndNote&gt;</w:instrText>
            </w:r>
            <w:r>
              <w:rPr>
                <w:rFonts w:eastAsiaTheme="minorHAnsi"/>
                <w:sz w:val="16"/>
                <w:szCs w:val="16"/>
                <w:lang w:val="en-US"/>
              </w:rPr>
              <w:fldChar w:fldCharType="separate"/>
            </w:r>
            <w:r w:rsidR="002747EA" w:rsidRPr="002747EA">
              <w:rPr>
                <w:rFonts w:eastAsiaTheme="minorHAnsi"/>
                <w:noProof/>
                <w:szCs w:val="16"/>
                <w:vertAlign w:val="superscript"/>
                <w:lang w:val="en-US"/>
              </w:rPr>
              <w:t>444</w:t>
            </w:r>
            <w:r>
              <w:rPr>
                <w:rFonts w:eastAsiaTheme="minorHAnsi"/>
                <w:sz w:val="16"/>
                <w:szCs w:val="16"/>
                <w:lang w:val="en-US"/>
              </w:rPr>
              <w:fldChar w:fldCharType="end"/>
            </w:r>
          </w:p>
        </w:tc>
      </w:tr>
      <w:tr w:rsidR="008E765F" w:rsidRPr="00C12274" w14:paraId="02A24D11" w14:textId="77777777" w:rsidTr="00BC7AEC">
        <w:trPr>
          <w:cantSplit/>
        </w:trPr>
        <w:tc>
          <w:tcPr>
            <w:tcW w:w="1560" w:type="dxa"/>
            <w:shd w:val="clear" w:color="D9E2F3" w:themeColor="accent1" w:themeTint="33" w:fill="auto"/>
          </w:tcPr>
          <w:p w14:paraId="5A84D489"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34DA8348"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DEB3022" w14:textId="77777777" w:rsidR="008E765F" w:rsidRPr="00C12274" w:rsidRDefault="008E765F" w:rsidP="00611251">
            <w:pPr>
              <w:pStyle w:val="RCTstable"/>
              <w:keepNext/>
            </w:pPr>
            <w:r w:rsidRPr="00C12274">
              <w:t>The women were randomly allocated in blocks of 30 to intervention and control groups following a computerized randomization procedure.</w:t>
            </w:r>
          </w:p>
        </w:tc>
      </w:tr>
      <w:tr w:rsidR="008E765F" w:rsidRPr="00C12274" w14:paraId="494D69F1" w14:textId="77777777" w:rsidTr="00BC7AEC">
        <w:trPr>
          <w:cantSplit/>
        </w:trPr>
        <w:tc>
          <w:tcPr>
            <w:tcW w:w="1560" w:type="dxa"/>
            <w:shd w:val="clear" w:color="D9E2F3" w:themeColor="accent1" w:themeTint="33" w:fill="auto"/>
          </w:tcPr>
          <w:p w14:paraId="277327F2"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C000" w:themeFill="accent4"/>
          </w:tcPr>
          <w:p w14:paraId="07D02D30"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58622C61" w14:textId="77777777" w:rsidR="008E765F" w:rsidRPr="00C12274" w:rsidRDefault="008E765F" w:rsidP="00611251">
            <w:pPr>
              <w:pStyle w:val="RCTstable"/>
              <w:keepNext/>
            </w:pPr>
            <w:r w:rsidRPr="00C12274">
              <w:t>Not described</w:t>
            </w:r>
          </w:p>
        </w:tc>
      </w:tr>
      <w:tr w:rsidR="008E765F" w:rsidRPr="00C12274" w14:paraId="2759F688" w14:textId="77777777" w:rsidTr="00BC7AEC">
        <w:trPr>
          <w:cantSplit/>
        </w:trPr>
        <w:tc>
          <w:tcPr>
            <w:tcW w:w="1560" w:type="dxa"/>
            <w:shd w:val="clear" w:color="D9E2F3" w:themeColor="accent1" w:themeTint="33" w:fill="auto"/>
          </w:tcPr>
          <w:p w14:paraId="39E62130"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4C93F1B9" w14:textId="3E29545B" w:rsidR="008E765F" w:rsidRPr="00C12274" w:rsidRDefault="00F04834"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62AD2464" w14:textId="622928F6" w:rsidR="008E765F" w:rsidRPr="00C12274" w:rsidRDefault="008E765F" w:rsidP="00F04834">
            <w:pPr>
              <w:pStyle w:val="RCTstable"/>
              <w:keepNext/>
            </w:pPr>
            <w:r w:rsidRPr="00C12274">
              <w:t xml:space="preserve">Due to the nature of the intervention, participants were not blinded to allocation. </w:t>
            </w:r>
          </w:p>
        </w:tc>
      </w:tr>
      <w:tr w:rsidR="00F04834" w:rsidRPr="00C12274" w14:paraId="51806112" w14:textId="77777777" w:rsidTr="00BC7AEC">
        <w:trPr>
          <w:cantSplit/>
        </w:trPr>
        <w:tc>
          <w:tcPr>
            <w:tcW w:w="1560" w:type="dxa"/>
            <w:shd w:val="clear" w:color="D9E2F3" w:themeColor="accent1" w:themeTint="33" w:fill="auto"/>
          </w:tcPr>
          <w:p w14:paraId="19800974" w14:textId="77777777" w:rsidR="00F04834" w:rsidRPr="00C12274" w:rsidRDefault="00F04834" w:rsidP="009740A7">
            <w:pPr>
              <w:spacing w:before="40" w:after="40" w:line="220" w:lineRule="exact"/>
              <w:rPr>
                <w:sz w:val="16"/>
                <w:szCs w:val="16"/>
              </w:rPr>
            </w:pPr>
            <w:r>
              <w:rPr>
                <w:sz w:val="16"/>
                <w:szCs w:val="16"/>
              </w:rPr>
              <w:t>Detection bias</w:t>
            </w:r>
          </w:p>
        </w:tc>
        <w:tc>
          <w:tcPr>
            <w:tcW w:w="1275" w:type="dxa"/>
            <w:shd w:val="clear" w:color="D9E2F3" w:themeColor="accent1" w:themeTint="33" w:fill="70AD47" w:themeFill="accent6"/>
          </w:tcPr>
          <w:p w14:paraId="5FF75BE3" w14:textId="5E5458BE" w:rsidR="00F04834" w:rsidRPr="00C12274" w:rsidRDefault="00F04834" w:rsidP="009740A7">
            <w:pPr>
              <w:spacing w:before="40" w:after="40" w:line="220" w:lineRule="exact"/>
              <w:rPr>
                <w:sz w:val="16"/>
                <w:szCs w:val="16"/>
              </w:rPr>
            </w:pPr>
            <w:r>
              <w:rPr>
                <w:sz w:val="16"/>
                <w:szCs w:val="16"/>
              </w:rPr>
              <w:t>Low</w:t>
            </w:r>
            <w:r w:rsidRPr="00C12274">
              <w:rPr>
                <w:sz w:val="16"/>
                <w:szCs w:val="16"/>
              </w:rPr>
              <w:t xml:space="preserve"> risk</w:t>
            </w:r>
          </w:p>
        </w:tc>
        <w:tc>
          <w:tcPr>
            <w:tcW w:w="11199" w:type="dxa"/>
            <w:shd w:val="clear" w:color="D9E2F3" w:themeColor="accent1" w:themeTint="33" w:fill="auto"/>
          </w:tcPr>
          <w:p w14:paraId="2F8D0EE0" w14:textId="2D12044D" w:rsidR="00F04834" w:rsidRPr="00C12274" w:rsidRDefault="00F04834" w:rsidP="009740A7">
            <w:pPr>
              <w:pStyle w:val="RCTstable"/>
            </w:pPr>
            <w:r w:rsidRPr="00C12274">
              <w:t>Authors who analysed the data were not involved in the intervention and were blinded to allocation.</w:t>
            </w:r>
          </w:p>
        </w:tc>
      </w:tr>
      <w:tr w:rsidR="008E765F" w:rsidRPr="00C12274" w14:paraId="167E98B1" w14:textId="77777777" w:rsidTr="00BC7AEC">
        <w:trPr>
          <w:cantSplit/>
        </w:trPr>
        <w:tc>
          <w:tcPr>
            <w:tcW w:w="1560" w:type="dxa"/>
            <w:shd w:val="clear" w:color="D9E2F3" w:themeColor="accent1" w:themeTint="33" w:fill="auto"/>
          </w:tcPr>
          <w:p w14:paraId="41538FF4"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3DC66798" w14:textId="77777777" w:rsidR="008E765F" w:rsidRPr="00C12274" w:rsidRDefault="008E765F" w:rsidP="00611251">
            <w:pPr>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7F8117E5" w14:textId="77777777" w:rsidR="008E765F" w:rsidRPr="00C12274" w:rsidRDefault="008E765F" w:rsidP="00611251">
            <w:pPr>
              <w:pStyle w:val="RCTstable"/>
            </w:pPr>
            <w:r w:rsidRPr="00C12274">
              <w:rPr>
                <w:lang w:val="en-US"/>
              </w:rPr>
              <w:t xml:space="preserve">Unbalanced high attrition; </w:t>
            </w:r>
            <w:r w:rsidRPr="00C12274">
              <w:t xml:space="preserve">11.7% in the intervention group and 20.2% in the </w:t>
            </w:r>
            <w:r w:rsidRPr="00C12274">
              <w:rPr>
                <w:rFonts w:ascii="Helvetica" w:hAnsi="Helvetica"/>
              </w:rPr>
              <w:t>control group</w:t>
            </w:r>
            <w:r w:rsidRPr="00C12274">
              <w:t>. Only 57% of women followed the recommended exercise protocol.</w:t>
            </w:r>
          </w:p>
        </w:tc>
      </w:tr>
      <w:tr w:rsidR="008E765F" w:rsidRPr="00C12274" w14:paraId="5CFE6E1C" w14:textId="77777777" w:rsidTr="00BC7AEC">
        <w:trPr>
          <w:cantSplit/>
        </w:trPr>
        <w:tc>
          <w:tcPr>
            <w:tcW w:w="1560" w:type="dxa"/>
            <w:shd w:val="clear" w:color="D9E2F3" w:themeColor="accent1" w:themeTint="33" w:fill="auto"/>
          </w:tcPr>
          <w:p w14:paraId="11B47261"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5294AFEE"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D2E1C3F"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17D7531E" w14:textId="77777777" w:rsidTr="00BC7AEC">
        <w:trPr>
          <w:cantSplit/>
        </w:trPr>
        <w:tc>
          <w:tcPr>
            <w:tcW w:w="1560" w:type="dxa"/>
            <w:shd w:val="clear" w:color="D9E2F3" w:themeColor="accent1" w:themeTint="33" w:fill="auto"/>
          </w:tcPr>
          <w:p w14:paraId="27D2FE1E"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646B857C"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0BECD5EB"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1D736EA6" w14:textId="77777777" w:rsidTr="00BC7AEC">
        <w:trPr>
          <w:cantSplit/>
        </w:trPr>
        <w:tc>
          <w:tcPr>
            <w:tcW w:w="14034" w:type="dxa"/>
            <w:gridSpan w:val="3"/>
            <w:shd w:val="solid" w:color="D9E2F3" w:themeColor="accent1" w:themeTint="33" w:fill="auto"/>
          </w:tcPr>
          <w:p w14:paraId="3A9C68F6" w14:textId="3B2E4F33" w:rsidR="008E765F" w:rsidRPr="00C12274" w:rsidRDefault="008E765F" w:rsidP="002747EA">
            <w:pPr>
              <w:pStyle w:val="Tablecell"/>
              <w:keepNext/>
              <w:spacing w:line="220" w:lineRule="exact"/>
              <w:rPr>
                <w:rFonts w:eastAsiaTheme="minorHAnsi"/>
                <w:b/>
                <w:sz w:val="16"/>
                <w:szCs w:val="16"/>
                <w:lang w:val="en-US"/>
              </w:rPr>
            </w:pPr>
            <w:r w:rsidRPr="00C12274">
              <w:rPr>
                <w:rFonts w:eastAsiaTheme="minorHAnsi"/>
                <w:b/>
                <w:noProof/>
                <w:sz w:val="16"/>
                <w:szCs w:val="16"/>
                <w:lang w:val="en-US"/>
              </w:rPr>
              <w:t>Stafne et al 2012</w:t>
            </w:r>
            <w:r>
              <w:rPr>
                <w:sz w:val="16"/>
                <w:szCs w:val="16"/>
              </w:rPr>
              <w:fldChar w:fldCharType="begin"/>
            </w:r>
            <w:r w:rsidR="002747EA">
              <w:rPr>
                <w:sz w:val="16"/>
                <w:szCs w:val="16"/>
              </w:rPr>
              <w:instrText xml:space="preserve"> ADDIN EN.CITE &lt;EndNote&gt;&lt;Cite&gt;&lt;Author&gt;Stafne&lt;/Author&gt;&lt;Year&gt;2012&lt;/Year&gt;&lt;RecNum&gt;1060&lt;/RecNum&gt;&lt;DisplayText&gt;&lt;style face="superscript" font="Trebuchet MS" size="9"&gt;445&lt;/style&gt;&lt;/DisplayText&gt;&lt;record&gt;&lt;rec-number&gt;1060&lt;/rec-number&gt;&lt;foreign-keys&gt;&lt;key app="EN" db-id="exvasrfx2dtraoesasxp2szsxa2df502592x" timestamp="1548983476"&gt;1060&lt;/key&gt;&lt;/foreign-keys&gt;&lt;ref-type name="Journal Article"&gt;17&lt;/ref-type&gt;&lt;contributors&gt;&lt;authors&gt;&lt;author&gt;Stafne, Signe N.&lt;/author&gt;&lt;author&gt;Salvesen, Kjell </w:instrText>
            </w:r>
            <w:r w:rsidR="002747EA">
              <w:rPr>
                <w:rFonts w:ascii="MS Mincho" w:eastAsia="MS Mincho" w:hAnsi="MS Mincho" w:cs="MS Mincho"/>
                <w:sz w:val="16"/>
                <w:szCs w:val="16"/>
              </w:rPr>
              <w:instrText>Å</w:instrText>
            </w:r>
            <w:r w:rsidR="002747EA">
              <w:rPr>
                <w:sz w:val="16"/>
                <w:szCs w:val="16"/>
              </w:rPr>
              <w:instrText>&lt;/author&gt;&lt;author&gt;Romundstad, Pål R.&lt;/author&gt;&lt;author&gt;Eggebø, Torbjørn M.&lt;/author&gt;&lt;author&gt;Carlsen, Sven M.&lt;/author&gt;&lt;author&gt;Mørkved, Siv&lt;/author&gt;&lt;/authors&gt;&lt;/contributors&gt;&lt;titles&gt;&lt;title&gt;Regular Exercise During Pregnancy to Prevent Gestational Diabetes&lt;/title&gt;&lt;secondary-title&gt;Obstetrics &amp;amp; Gynecology&lt;/secondary-title&gt;&lt;/titles&gt;&lt;periodical&gt;&lt;full-title&gt;Obstetrics &amp;amp; Gynecology&lt;/full-title&gt;&lt;/periodical&gt;&lt;pages&gt;29-36&lt;/pages&gt;&lt;volume&gt;119&lt;/volume&gt;&lt;number&gt;1&lt;/number&gt;&lt;section&gt;29&lt;/section&gt;&lt;dates&gt;&lt;year&gt;2012&lt;/year&gt;&lt;/dates&gt;&lt;isbn&gt;0029-7844&lt;/isbn&gt;&lt;urls&gt;&lt;/urls&gt;&lt;electronic-resource-num&gt;10.1097/AOG.0b013e3182393f86&lt;/electronic-resource-num&gt;&lt;/record&gt;&lt;/Cite&gt;&lt;/EndNote&gt;</w:instrText>
            </w:r>
            <w:r>
              <w:rPr>
                <w:sz w:val="16"/>
                <w:szCs w:val="16"/>
              </w:rPr>
              <w:fldChar w:fldCharType="separate"/>
            </w:r>
            <w:r w:rsidR="002747EA" w:rsidRPr="002747EA">
              <w:rPr>
                <w:noProof/>
                <w:szCs w:val="16"/>
                <w:vertAlign w:val="superscript"/>
              </w:rPr>
              <w:t>445</w:t>
            </w:r>
            <w:r>
              <w:rPr>
                <w:sz w:val="16"/>
                <w:szCs w:val="16"/>
              </w:rPr>
              <w:fldChar w:fldCharType="end"/>
            </w:r>
          </w:p>
        </w:tc>
      </w:tr>
      <w:tr w:rsidR="008E765F" w:rsidRPr="00C12274" w14:paraId="64138F7E" w14:textId="77777777" w:rsidTr="00BC7AEC">
        <w:trPr>
          <w:cantSplit/>
        </w:trPr>
        <w:tc>
          <w:tcPr>
            <w:tcW w:w="1560" w:type="dxa"/>
            <w:shd w:val="clear" w:color="D9E2F3" w:themeColor="accent1" w:themeTint="33" w:fill="auto"/>
          </w:tcPr>
          <w:p w14:paraId="7068A281"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792F24A6"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209DE2D3" w14:textId="77777777" w:rsidR="008E765F" w:rsidRPr="00C12274" w:rsidRDefault="008E765F" w:rsidP="00611251">
            <w:pPr>
              <w:pStyle w:val="RCTstable"/>
              <w:keepNext/>
            </w:pPr>
            <w:r w:rsidRPr="00C12274">
              <w:t xml:space="preserve">Concealed randomization in blocks of 30 was performed at the Unit for Applied Clinical Research, Norwegian University of Technology and Science, by a Web-based computerized procedure. </w:t>
            </w:r>
          </w:p>
        </w:tc>
      </w:tr>
      <w:tr w:rsidR="008E765F" w:rsidRPr="00C12274" w14:paraId="09DDF2CF" w14:textId="77777777" w:rsidTr="00BC7AEC">
        <w:trPr>
          <w:cantSplit/>
        </w:trPr>
        <w:tc>
          <w:tcPr>
            <w:tcW w:w="1560" w:type="dxa"/>
            <w:shd w:val="clear" w:color="D9E2F3" w:themeColor="accent1" w:themeTint="33" w:fill="auto"/>
          </w:tcPr>
          <w:p w14:paraId="5D74C29E"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635B0C2D"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36EEFFF4" w14:textId="77777777" w:rsidR="008E765F" w:rsidRPr="00C12274" w:rsidRDefault="008E765F" w:rsidP="00611251">
            <w:pPr>
              <w:pStyle w:val="RCTstable"/>
              <w:keepNext/>
            </w:pPr>
            <w:r w:rsidRPr="00C12274">
              <w:t>The staff involved with training or outcome assessments had no influence on the randomization procedure.</w:t>
            </w:r>
          </w:p>
        </w:tc>
      </w:tr>
      <w:tr w:rsidR="008E765F" w:rsidRPr="00C12274" w14:paraId="433E4DC1" w14:textId="77777777" w:rsidTr="00BC7AEC">
        <w:trPr>
          <w:cantSplit/>
        </w:trPr>
        <w:tc>
          <w:tcPr>
            <w:tcW w:w="1560" w:type="dxa"/>
            <w:shd w:val="clear" w:color="D9E2F3" w:themeColor="accent1" w:themeTint="33" w:fill="auto"/>
          </w:tcPr>
          <w:p w14:paraId="22B8A766"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20FAB060" w14:textId="161ABB8E" w:rsidR="008E765F" w:rsidRPr="00C12274" w:rsidRDefault="00F04834" w:rsidP="00611251">
            <w:pPr>
              <w:keepNext/>
              <w:spacing w:before="40" w:after="40" w:line="220" w:lineRule="exact"/>
              <w:rPr>
                <w:sz w:val="16"/>
                <w:szCs w:val="16"/>
              </w:rPr>
            </w:pPr>
            <w:r>
              <w:rPr>
                <w:sz w:val="16"/>
                <w:szCs w:val="16"/>
              </w:rPr>
              <w:t>High</w:t>
            </w:r>
            <w:r w:rsidR="008E765F" w:rsidRPr="00C12274">
              <w:rPr>
                <w:sz w:val="16"/>
                <w:szCs w:val="16"/>
              </w:rPr>
              <w:t xml:space="preserve"> risk</w:t>
            </w:r>
          </w:p>
        </w:tc>
        <w:tc>
          <w:tcPr>
            <w:tcW w:w="11199" w:type="dxa"/>
            <w:shd w:val="clear" w:color="D9E2F3" w:themeColor="accent1" w:themeTint="33" w:fill="auto"/>
          </w:tcPr>
          <w:p w14:paraId="4C4D0ED1" w14:textId="3E4C3C2E" w:rsidR="008E765F" w:rsidRPr="00C12274" w:rsidRDefault="008E765F" w:rsidP="00F04834">
            <w:pPr>
              <w:pStyle w:val="RCTstable"/>
              <w:keepNext/>
            </w:pPr>
            <w:r w:rsidRPr="00C12274">
              <w:t xml:space="preserve">Because of the nature of the study it was not blinded. </w:t>
            </w:r>
          </w:p>
        </w:tc>
      </w:tr>
      <w:tr w:rsidR="00F04834" w:rsidRPr="00C12274" w14:paraId="3EC3F12D" w14:textId="77777777" w:rsidTr="00BC7AEC">
        <w:trPr>
          <w:cantSplit/>
        </w:trPr>
        <w:tc>
          <w:tcPr>
            <w:tcW w:w="1560" w:type="dxa"/>
            <w:shd w:val="clear" w:color="D9E2F3" w:themeColor="accent1" w:themeTint="33" w:fill="auto"/>
          </w:tcPr>
          <w:p w14:paraId="0431EB3F" w14:textId="77777777" w:rsidR="00F04834" w:rsidRPr="00C12274" w:rsidRDefault="00F04834"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0A1A811E" w14:textId="4A596DFF" w:rsidR="00F04834" w:rsidRPr="00C12274" w:rsidRDefault="00F04834" w:rsidP="009740A7">
            <w:pPr>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35D81C56" w14:textId="4D6E0D09" w:rsidR="00F04834" w:rsidRPr="00C12274" w:rsidRDefault="00F04834" w:rsidP="009740A7">
            <w:pPr>
              <w:pStyle w:val="RCTstable"/>
            </w:pPr>
            <w:r>
              <w:t>A</w:t>
            </w:r>
            <w:r w:rsidRPr="00C12274">
              <w:t>nalyses of glucose and insulin levels were perform</w:t>
            </w:r>
            <w:r>
              <w:t>ed blinded for group allocation</w:t>
            </w:r>
            <w:r w:rsidRPr="00C12274">
              <w:t>; no information on whether outcome assessors for other outcomes were blinded for group allocation</w:t>
            </w:r>
          </w:p>
        </w:tc>
      </w:tr>
      <w:tr w:rsidR="008E765F" w:rsidRPr="00C12274" w14:paraId="31A476C1" w14:textId="77777777" w:rsidTr="00BC7AEC">
        <w:trPr>
          <w:cantSplit/>
        </w:trPr>
        <w:tc>
          <w:tcPr>
            <w:tcW w:w="1560" w:type="dxa"/>
            <w:shd w:val="clear" w:color="D9E2F3" w:themeColor="accent1" w:themeTint="33" w:fill="auto"/>
          </w:tcPr>
          <w:p w14:paraId="4839B92F" w14:textId="77777777" w:rsidR="008E765F" w:rsidRPr="00C12274" w:rsidRDefault="008E765F" w:rsidP="00611251">
            <w:pPr>
              <w:keepNext/>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69821245" w14:textId="77777777" w:rsidR="008E765F" w:rsidRPr="00C12274" w:rsidRDefault="008E765F" w:rsidP="00611251">
            <w:pPr>
              <w:keepNext/>
              <w:spacing w:before="40" w:after="40" w:line="220" w:lineRule="exact"/>
              <w:rPr>
                <w:sz w:val="16"/>
                <w:szCs w:val="16"/>
              </w:rPr>
            </w:pPr>
            <w:r w:rsidRPr="00C12274">
              <w:rPr>
                <w:sz w:val="16"/>
                <w:szCs w:val="16"/>
              </w:rPr>
              <w:t>High risk</w:t>
            </w:r>
          </w:p>
        </w:tc>
        <w:tc>
          <w:tcPr>
            <w:tcW w:w="11199" w:type="dxa"/>
            <w:shd w:val="clear" w:color="D9E2F3" w:themeColor="accent1" w:themeTint="33" w:fill="auto"/>
          </w:tcPr>
          <w:p w14:paraId="3E03C4DF" w14:textId="77777777" w:rsidR="008E765F" w:rsidRPr="00C12274" w:rsidRDefault="008E765F" w:rsidP="00611251">
            <w:pPr>
              <w:pStyle w:val="RCTstable"/>
            </w:pPr>
            <w:r w:rsidRPr="00C12274">
              <w:t>18% dropout overall with more dropouts in the control group (24% vs the intervention group 13%)</w:t>
            </w:r>
          </w:p>
        </w:tc>
      </w:tr>
      <w:tr w:rsidR="008E765F" w:rsidRPr="00C12274" w14:paraId="12E32058" w14:textId="77777777" w:rsidTr="00BC7AEC">
        <w:trPr>
          <w:cantSplit/>
        </w:trPr>
        <w:tc>
          <w:tcPr>
            <w:tcW w:w="1560" w:type="dxa"/>
            <w:shd w:val="clear" w:color="D9E2F3" w:themeColor="accent1" w:themeTint="33" w:fill="auto"/>
          </w:tcPr>
          <w:p w14:paraId="0D6C987E"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1A22CD1A"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423222E"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2C139330" w14:textId="77777777" w:rsidTr="00BC7AEC">
        <w:trPr>
          <w:cantSplit/>
        </w:trPr>
        <w:tc>
          <w:tcPr>
            <w:tcW w:w="1560" w:type="dxa"/>
            <w:shd w:val="clear" w:color="D9E2F3" w:themeColor="accent1" w:themeTint="33" w:fill="auto"/>
          </w:tcPr>
          <w:p w14:paraId="2E5C9D72"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FF4D19"/>
          </w:tcPr>
          <w:p w14:paraId="3210F136" w14:textId="77777777" w:rsidR="008E765F" w:rsidRPr="00C12274" w:rsidRDefault="008E765F" w:rsidP="00611251">
            <w:pPr>
              <w:spacing w:before="40" w:after="40" w:line="220" w:lineRule="exact"/>
              <w:rPr>
                <w:sz w:val="16"/>
                <w:szCs w:val="16"/>
                <w:lang w:val="en-US"/>
              </w:rPr>
            </w:pPr>
            <w:r w:rsidRPr="00C12274">
              <w:rPr>
                <w:sz w:val="16"/>
                <w:szCs w:val="16"/>
                <w:lang w:val="en-US"/>
              </w:rPr>
              <w:t>High risk</w:t>
            </w:r>
          </w:p>
        </w:tc>
        <w:tc>
          <w:tcPr>
            <w:tcW w:w="11199" w:type="dxa"/>
            <w:shd w:val="clear" w:color="D9E2F3" w:themeColor="accent1" w:themeTint="33" w:fill="auto"/>
          </w:tcPr>
          <w:p w14:paraId="4F027371" w14:textId="77777777" w:rsidR="008E765F" w:rsidRPr="00C12274" w:rsidRDefault="008E765F" w:rsidP="00611251">
            <w:pPr>
              <w:pStyle w:val="RCTstable"/>
            </w:pPr>
            <w:r w:rsidRPr="00C12274">
              <w:t>At baseline, women in the intervention group had lower insulin resistance. Women lost to follow-up reported performing less regular exercise before pregnancy than women completing the study</w:t>
            </w:r>
          </w:p>
        </w:tc>
      </w:tr>
      <w:tr w:rsidR="008E765F" w:rsidRPr="00C12274" w14:paraId="25A20E15" w14:textId="77777777" w:rsidTr="00BC7AEC">
        <w:trPr>
          <w:cantSplit/>
        </w:trPr>
        <w:tc>
          <w:tcPr>
            <w:tcW w:w="14034" w:type="dxa"/>
            <w:gridSpan w:val="3"/>
            <w:shd w:val="solid" w:color="D9E2F3" w:themeColor="accent1" w:themeTint="33" w:fill="auto"/>
          </w:tcPr>
          <w:p w14:paraId="060269D0" w14:textId="00AB93BE" w:rsidR="008E765F" w:rsidRPr="00992BA6" w:rsidRDefault="008E765F" w:rsidP="002747EA">
            <w:pPr>
              <w:pStyle w:val="Tablecell"/>
              <w:keepNext/>
              <w:spacing w:line="220" w:lineRule="exact"/>
              <w:rPr>
                <w:rFonts w:eastAsiaTheme="minorHAnsi"/>
                <w:sz w:val="16"/>
                <w:szCs w:val="16"/>
                <w:lang w:val="en-US"/>
              </w:rPr>
            </w:pPr>
            <w:r w:rsidRPr="00C12274">
              <w:rPr>
                <w:rFonts w:eastAsiaTheme="minorHAnsi"/>
                <w:b/>
                <w:noProof/>
                <w:sz w:val="16"/>
                <w:szCs w:val="16"/>
                <w:lang w:val="en-US"/>
              </w:rPr>
              <w:t>Taniguchi &amp; Sato 2016</w:t>
            </w:r>
            <w:r>
              <w:rPr>
                <w:rFonts w:eastAsiaTheme="minorHAnsi"/>
                <w:sz w:val="16"/>
                <w:szCs w:val="16"/>
                <w:lang w:val="en-US"/>
              </w:rPr>
              <w:fldChar w:fldCharType="begin"/>
            </w:r>
            <w:r w:rsidR="002747EA">
              <w:rPr>
                <w:rFonts w:eastAsiaTheme="minorHAnsi"/>
                <w:sz w:val="16"/>
                <w:szCs w:val="16"/>
                <w:lang w:val="en-US"/>
              </w:rPr>
              <w:instrText xml:space="preserve"> ADDIN EN.CITE &lt;EndNote&gt;&lt;Cite&gt;&lt;Author&gt;Taniguchi&lt;/Author&gt;&lt;Year&gt;2016&lt;/Year&gt;&lt;RecNum&gt;911&lt;/RecNum&gt;&lt;DisplayText&gt;&lt;style face="superscript" font="Trebuchet MS" size="9"&gt;299&lt;/style&gt;&lt;/DisplayText&gt;&lt;record&gt;&lt;rec-number&gt;911&lt;/rec-number&gt;&lt;foreign-keys&gt;&lt;key app="EN" db-id="exvasrfx2dtraoesasxp2szsxa2df502592x" timestamp="1541540861"&gt;911&lt;/key&gt;&lt;key app="ENWeb" db-id=""&gt;0&lt;/key&gt;&lt;/foreign-keys&gt;&lt;ref-type name="Journal Article"&gt;17&lt;/ref-type&gt;&lt;contributors&gt;&lt;authors&gt;&lt;author&gt;Taniguchi, C.&lt;/author&gt;&lt;author&gt;Sato, C.&lt;/author&gt;&lt;/authors&gt;&lt;/contributors&gt;&lt;auth-address&gt;Kanagawa University of Human Services, Kanagawa Prefecture, Japan. taniguchi.m7b@kuhs.ac.jp.&amp;#xD;Otsuka Medical Clinic, Toshima-ku, Japan.&lt;/auth-address&gt;&lt;titles&gt;&lt;title&gt;Home-based walking during pregnancy affects mood and birth outcomes among sedentary women: A randomized controlled trial&lt;/title&gt;&lt;secondary-title&gt;Int J Nurs Pract&lt;/secondary-title&gt;&lt;/titles&gt;&lt;periodical&gt;&lt;full-title&gt;Int J Nurs Pract&lt;/full-title&gt;&lt;/periodical&gt;&lt;pages&gt;420-426&lt;/pages&gt;&lt;volume&gt;22&lt;/volume&gt;&lt;number&gt;5&lt;/number&gt;&lt;edition&gt;2016/06/09&lt;/edition&gt;&lt;keywords&gt;&lt;keyword&gt;Adult&lt;/keyword&gt;&lt;keyword&gt;*Affect&lt;/keyword&gt;&lt;keyword&gt;Female&lt;/keyword&gt;&lt;keyword&gt;Humans&lt;/keyword&gt;&lt;keyword&gt;Pregnancy&lt;/keyword&gt;&lt;keyword&gt;*Pregnancy Outcome&lt;/keyword&gt;&lt;keyword&gt;*Sedentary Lifestyle&lt;/keyword&gt;&lt;keyword&gt;*Walking&lt;/keyword&gt;&lt;keyword&gt;Young Adult&lt;/keyword&gt;&lt;keyword&gt;*Profile of Mood States&lt;/keyword&gt;&lt;keyword&gt;*exercise&lt;/keyword&gt;&lt;keyword&gt;*nursing&lt;/keyword&gt;&lt;keyword&gt;*pregnancy&lt;/keyword&gt;&lt;keyword&gt;*randomized controlled trial&lt;/keyword&gt;&lt;/keywords&gt;&lt;dates&gt;&lt;year&gt;2016&lt;/year&gt;&lt;pub-dates&gt;&lt;date&gt;Oct&lt;/date&gt;&lt;/pub-dates&gt;&lt;/dates&gt;&lt;isbn&gt;1440-172X (Electronic)&amp;#xD;1322-7114 (Linking)&lt;/isbn&gt;&lt;accession-num&gt;27272937&lt;/accession-num&gt;&lt;urls&gt;&lt;related-urls&gt;&lt;url&gt;https://www.ncbi.nlm.nih.gov/pubmed/27272937&lt;/url&gt;&lt;/related-urls&gt;&lt;/urls&gt;&lt;electronic-resource-num&gt;10.1111/ijn.12453&lt;/electronic-resource-num&gt;&lt;/record&gt;&lt;/Cite&gt;&lt;/EndNote&gt;</w:instrText>
            </w:r>
            <w:r>
              <w:rPr>
                <w:rFonts w:eastAsiaTheme="minorHAnsi"/>
                <w:sz w:val="16"/>
                <w:szCs w:val="16"/>
                <w:lang w:val="en-US"/>
              </w:rPr>
              <w:fldChar w:fldCharType="separate"/>
            </w:r>
            <w:r w:rsidR="002747EA" w:rsidRPr="002747EA">
              <w:rPr>
                <w:rFonts w:eastAsiaTheme="minorHAnsi"/>
                <w:noProof/>
                <w:szCs w:val="16"/>
                <w:vertAlign w:val="superscript"/>
                <w:lang w:val="en-US"/>
              </w:rPr>
              <w:t>299</w:t>
            </w:r>
            <w:r>
              <w:rPr>
                <w:rFonts w:eastAsiaTheme="minorHAnsi"/>
                <w:sz w:val="16"/>
                <w:szCs w:val="16"/>
                <w:lang w:val="en-US"/>
              </w:rPr>
              <w:fldChar w:fldCharType="end"/>
            </w:r>
          </w:p>
        </w:tc>
      </w:tr>
      <w:tr w:rsidR="008E765F" w:rsidRPr="00C12274" w14:paraId="77AA5C74" w14:textId="77777777" w:rsidTr="00BC7AEC">
        <w:trPr>
          <w:cantSplit/>
        </w:trPr>
        <w:tc>
          <w:tcPr>
            <w:tcW w:w="1560" w:type="dxa"/>
            <w:shd w:val="clear" w:color="D9E2F3" w:themeColor="accent1" w:themeTint="33" w:fill="auto"/>
          </w:tcPr>
          <w:p w14:paraId="5502F3F9" w14:textId="77777777" w:rsidR="008E765F" w:rsidRPr="00C12274" w:rsidRDefault="008E765F" w:rsidP="00611251">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FFC000" w:themeFill="accent4"/>
          </w:tcPr>
          <w:p w14:paraId="6D568812"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2BAF1AF8" w14:textId="77777777" w:rsidR="008E765F" w:rsidRPr="00C12274" w:rsidRDefault="008E765F" w:rsidP="00611251">
            <w:pPr>
              <w:pStyle w:val="RCTstable"/>
              <w:keepNext/>
            </w:pPr>
            <w:r w:rsidRPr="00C12274">
              <w:t>“Random sampling”</w:t>
            </w:r>
          </w:p>
        </w:tc>
      </w:tr>
      <w:tr w:rsidR="008E765F" w:rsidRPr="00C12274" w14:paraId="14408A25" w14:textId="77777777" w:rsidTr="00BC7AEC">
        <w:trPr>
          <w:cantSplit/>
        </w:trPr>
        <w:tc>
          <w:tcPr>
            <w:tcW w:w="1560" w:type="dxa"/>
            <w:shd w:val="clear" w:color="D9E2F3" w:themeColor="accent1" w:themeTint="33" w:fill="auto"/>
          </w:tcPr>
          <w:p w14:paraId="5DA9CF77" w14:textId="77777777" w:rsidR="008E765F" w:rsidRPr="00C12274" w:rsidRDefault="008E765F" w:rsidP="00611251">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70AD47" w:themeFill="accent6"/>
          </w:tcPr>
          <w:p w14:paraId="5688F5D9" w14:textId="77777777" w:rsidR="008E765F" w:rsidRPr="00C12274" w:rsidRDefault="008E765F" w:rsidP="00611251">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F4C7C11" w14:textId="77777777" w:rsidR="008E765F" w:rsidRPr="00C12274" w:rsidRDefault="008E765F" w:rsidP="00611251">
            <w:pPr>
              <w:pStyle w:val="RCTstable"/>
              <w:keepNext/>
            </w:pPr>
            <w:r w:rsidRPr="00C12274">
              <w:t>The researcher handed out sealed, sequentially numbered opaque envelopes in turn. The doctor and clinic staff members were unaware of which groups the participants had been assigned to until the end of the study.</w:t>
            </w:r>
          </w:p>
        </w:tc>
      </w:tr>
      <w:tr w:rsidR="008E765F" w:rsidRPr="00C12274" w14:paraId="0F9FE4C9" w14:textId="77777777" w:rsidTr="00BC7AEC">
        <w:trPr>
          <w:cantSplit/>
        </w:trPr>
        <w:tc>
          <w:tcPr>
            <w:tcW w:w="1560" w:type="dxa"/>
            <w:shd w:val="clear" w:color="D9E2F3" w:themeColor="accent1" w:themeTint="33" w:fill="auto"/>
          </w:tcPr>
          <w:p w14:paraId="0B006B7C" w14:textId="77777777" w:rsidR="008E765F" w:rsidRPr="00C12274" w:rsidRDefault="008E765F" w:rsidP="00611251">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C000" w:themeFill="accent4"/>
          </w:tcPr>
          <w:p w14:paraId="2A2836CF" w14:textId="77777777" w:rsidR="008E765F" w:rsidRPr="00C12274" w:rsidRDefault="008E765F" w:rsidP="00611251">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3CB76F8" w14:textId="77777777" w:rsidR="008E765F" w:rsidRPr="00C12274" w:rsidRDefault="008E765F" w:rsidP="00611251">
            <w:pPr>
              <w:pStyle w:val="RCTstable"/>
              <w:keepNext/>
            </w:pPr>
            <w:r w:rsidRPr="00C12274">
              <w:t>Not described</w:t>
            </w:r>
          </w:p>
        </w:tc>
      </w:tr>
      <w:tr w:rsidR="00F04834" w:rsidRPr="00C12274" w14:paraId="76A3015E" w14:textId="77777777" w:rsidTr="00BC7AEC">
        <w:trPr>
          <w:cantSplit/>
        </w:trPr>
        <w:tc>
          <w:tcPr>
            <w:tcW w:w="1560" w:type="dxa"/>
            <w:shd w:val="clear" w:color="D9E2F3" w:themeColor="accent1" w:themeTint="33" w:fill="auto"/>
          </w:tcPr>
          <w:p w14:paraId="0681672B" w14:textId="77777777" w:rsidR="00F04834" w:rsidRPr="00C12274" w:rsidRDefault="00F04834" w:rsidP="009740A7">
            <w:pPr>
              <w:spacing w:before="40" w:after="40" w:line="220" w:lineRule="exact"/>
              <w:rPr>
                <w:sz w:val="16"/>
                <w:szCs w:val="16"/>
              </w:rPr>
            </w:pPr>
            <w:r>
              <w:rPr>
                <w:sz w:val="16"/>
                <w:szCs w:val="16"/>
              </w:rPr>
              <w:t>Detection bias</w:t>
            </w:r>
          </w:p>
        </w:tc>
        <w:tc>
          <w:tcPr>
            <w:tcW w:w="1275" w:type="dxa"/>
            <w:shd w:val="clear" w:color="D9E2F3" w:themeColor="accent1" w:themeTint="33" w:fill="FFC000" w:themeFill="accent4"/>
          </w:tcPr>
          <w:p w14:paraId="2D5FA202" w14:textId="77777777" w:rsidR="00F04834" w:rsidRPr="00C12274" w:rsidRDefault="00F04834" w:rsidP="009740A7">
            <w:pPr>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48D6E1D8" w14:textId="6E200EA8" w:rsidR="00F04834" w:rsidRPr="00C12274" w:rsidRDefault="00F04834" w:rsidP="009740A7">
            <w:pPr>
              <w:pStyle w:val="RCTstable"/>
            </w:pPr>
            <w:r w:rsidRPr="00C12274">
              <w:t>Not described</w:t>
            </w:r>
          </w:p>
        </w:tc>
      </w:tr>
      <w:tr w:rsidR="008E765F" w:rsidRPr="00C12274" w14:paraId="4F02E3D7" w14:textId="77777777" w:rsidTr="00BC7AEC">
        <w:trPr>
          <w:cantSplit/>
        </w:trPr>
        <w:tc>
          <w:tcPr>
            <w:tcW w:w="1560" w:type="dxa"/>
            <w:shd w:val="clear" w:color="D9E2F3" w:themeColor="accent1" w:themeTint="33" w:fill="auto"/>
          </w:tcPr>
          <w:p w14:paraId="04189A96"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3EEF1C5F" w14:textId="77777777" w:rsidR="008E765F" w:rsidRPr="00C12274" w:rsidRDefault="008E765F" w:rsidP="00611251">
            <w:pPr>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762044F8" w14:textId="77777777" w:rsidR="008E765F" w:rsidRPr="00C12274" w:rsidRDefault="008E765F" w:rsidP="00611251">
            <w:pPr>
              <w:pStyle w:val="RCTstable"/>
            </w:pPr>
            <w:r w:rsidRPr="00C12274">
              <w:t xml:space="preserve">Six women in the walking group dropped out during the study period as did </w:t>
            </w:r>
            <w:r w:rsidRPr="00C12274">
              <w:rPr>
                <w:rFonts w:ascii="Helvetica" w:hAnsi="Helvetica"/>
              </w:rPr>
              <w:t>fi</w:t>
            </w:r>
            <w:r w:rsidRPr="00C12274">
              <w:t xml:space="preserve">ve women in the control group. Only </w:t>
            </w:r>
            <w:r w:rsidRPr="00C12274">
              <w:rPr>
                <w:rFonts w:ascii="Helvetica" w:hAnsi="Helvetica"/>
              </w:rPr>
              <w:t>fi</w:t>
            </w:r>
            <w:r w:rsidRPr="00C12274">
              <w:t>ve (of 54) women completed 100% of the intervention, although 32 completed 80% or more.</w:t>
            </w:r>
          </w:p>
        </w:tc>
      </w:tr>
      <w:tr w:rsidR="008E765F" w:rsidRPr="00C12274" w14:paraId="4666F041" w14:textId="77777777" w:rsidTr="00BC7AEC">
        <w:trPr>
          <w:cantSplit/>
        </w:trPr>
        <w:tc>
          <w:tcPr>
            <w:tcW w:w="1560" w:type="dxa"/>
            <w:shd w:val="clear" w:color="D9E2F3" w:themeColor="accent1" w:themeTint="33" w:fill="auto"/>
          </w:tcPr>
          <w:p w14:paraId="3CEB91C9"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444AE54"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49E08BFB"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5CBECC2F" w14:textId="77777777" w:rsidTr="00BC7AEC">
        <w:trPr>
          <w:cantSplit/>
        </w:trPr>
        <w:tc>
          <w:tcPr>
            <w:tcW w:w="1560" w:type="dxa"/>
            <w:shd w:val="clear" w:color="D9E2F3" w:themeColor="accent1" w:themeTint="33" w:fill="auto"/>
          </w:tcPr>
          <w:p w14:paraId="761BBFCF"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219A4C02"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37629A1B"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237E23" w:rsidRPr="00C12274" w14:paraId="6DBBC366" w14:textId="77777777" w:rsidTr="00237E23">
        <w:trPr>
          <w:cantSplit/>
        </w:trPr>
        <w:tc>
          <w:tcPr>
            <w:tcW w:w="14034" w:type="dxa"/>
            <w:gridSpan w:val="3"/>
            <w:shd w:val="solid" w:color="D9E2F3" w:themeColor="accent1" w:themeTint="33" w:fill="auto"/>
          </w:tcPr>
          <w:p w14:paraId="29AD0594" w14:textId="301D660E" w:rsidR="00237E23" w:rsidRPr="00992BA6" w:rsidRDefault="00AF552E" w:rsidP="002747EA">
            <w:pPr>
              <w:pStyle w:val="Tablecell"/>
              <w:keepNext/>
              <w:spacing w:line="220" w:lineRule="exact"/>
              <w:rPr>
                <w:rFonts w:eastAsiaTheme="minorHAnsi"/>
                <w:sz w:val="16"/>
                <w:szCs w:val="16"/>
                <w:lang w:val="en-US"/>
              </w:rPr>
            </w:pPr>
            <w:r>
              <w:rPr>
                <w:rFonts w:eastAsiaTheme="minorHAnsi"/>
                <w:b/>
                <w:noProof/>
                <w:sz w:val="16"/>
                <w:szCs w:val="16"/>
                <w:lang w:val="en-US"/>
              </w:rPr>
              <w:t>Vargas-Terrones et al 2018</w:t>
            </w:r>
            <w:r w:rsidR="00D07346">
              <w:rPr>
                <w:rFonts w:eastAsiaTheme="minorHAnsi"/>
                <w:sz w:val="16"/>
                <w:szCs w:val="16"/>
                <w:lang w:val="en-US"/>
              </w:rPr>
              <w:fldChar w:fldCharType="begin">
                <w:fldData xml:space="preserve">PEVuZE5vdGU+PENpdGU+PEF1dGhvcj5WYXJnYXMtVGVycm9uZXM8L0F1dGhvcj48WWVhcj4yMDE5
PC9ZZWFyPjxSZWNOdW0+MTkyMDwvUmVjTnVtPjxEaXNwbGF5VGV4dD48c3R5bGUgZmFjZT0ic3Vw
ZXJzY3JpcHQiIGZvbnQ9IlRyZWJ1Y2hldCBNUyIgc2l6ZT0iOSI+NDQ2PC9zdHlsZT48L0Rpc3Bs
YXlUZXh0PjxyZWNvcmQ+PHJlYy1udW1iZXI+MTkyMDwvcmVjLW51bWJlcj48Zm9yZWlnbi1rZXlz
PjxrZXkgYXBwPSJFTiIgZGItaWQ9ImV4dmFzcmZ4MmR0cmFvZXNhc3hwMnN6c3hhMmRmNTAyNTky
eCIgdGltZXN0YW1wPSIxNTg4NDg2ODc1Ij4xOTIwPC9rZXk+PGtleSBhcHA9IkVOV2ViIiBkYi1p
ZD0iIj4wPC9rZXk+PC9mb3JlaWduLWtleXM+PHJlZi10eXBlIG5hbWU9IkpvdXJuYWwgQXJ0aWNs
ZSI+MTc8L3JlZi10eXBlPjxjb250cmlidXRvcnM+PGF1dGhvcnM+PGF1dGhvcj5WYXJnYXMtVGVy
cm9uZXMsIE0uPC9hdXRob3I+PGF1dGhvcj5CYXJha2F0LCBSLjwvYXV0aG9yPjxhdXRob3I+U2Fu
dGFjcnV6LCBCLjwvYXV0aG9yPjxhdXRob3I+RmVybmFuZGV6LUJ1aGlnYXMsIEkuPC9hdXRob3I+
PGF1dGhvcj5Nb3R0b2xhLCBNLiBGLjwvYXV0aG9yPjwvYXV0aG9ycz48L2NvbnRyaWJ1dG9ycz48
YXV0aC1hZGRyZXNzPkRlcGFydG1lbnQgb2YgU29jaWFsIFNjaWVuY2VzIG9mIFBoeXNpY2FsIEFj
dGl2aXR5LCBTcG9ydHMgYW5kIExlaXN1cmUsIEZhY3VsdHkgb2YgU2NpZW5jZXMgZm9yIFBoeXNp
Y2FsIEFjdGl2aXR5IGFuZCBTcG9ydCwgSU5FRiwgVGVjaG5pY2FsIFVuaXZlcnNpdHkgb2YgTWFk
cmlkIChVUE0pLCBNYWRyaWQsIFNwYWluLiYjeEQ7RGVwYXJ0bWVudCBvZiBPYnN0ZXRyaWNzIGFu
ZCBHeW5lY29sb2d5LCBVbml2ZXJzaXR5IEhvc3BpdGFsIG9mIFRvcnJlam9uLCBNYWRyaWQsIFNw
YWluLiYjeEQ7UiBTYW11ZWwgTWNMYXVnaGxpbiBGb3VuZGF0aW9uIC0gRXhlcmNpc2UgYW5kIFBy
ZWduYW5jeSBMYWJvcmF0b3J5LCBTY2hvb2wgb2YgS2luZXNpb2xvZ3ksIFRoZSBVbml2ZXJzaXR5
IG9mIFdlc3Rlcm4gT250YXJpbywgTG9uZG9uLCBPbnRhcmlvLCBDYW5hZGEuPC9hdXRoLWFkZHJl
c3M+PHRpdGxlcz48dGl0bGU+UGh5c2ljYWwgZXhlcmNpc2UgcHJvZ3JhbW1lIGR1cmluZyBwcmVn
bmFuY3kgZGVjcmVhc2VzIHBlcmluYXRhbCBkZXByZXNzaW9uIHJpc2s6IGEgcmFuZG9taXNlZCBj
b250cm9sbGVkIHRyaWFsPC90aXRsZT48c2Vjb25kYXJ5LXRpdGxlPkJyIEogU3BvcnRzIE1lZDwv
c2Vjb25kYXJ5LXRpdGxlPjwvdGl0bGVzPjxwZXJpb2RpY2FsPjxmdWxsLXRpdGxlPkJyIEogU3Bv
cnRzIE1lZDwvZnVsbC10aXRsZT48L3BlcmlvZGljYWw+PHBhZ2VzPjM0OC0zNTM8L3BhZ2VzPjx2
b2x1bWU+NTM8L3ZvbHVtZT48bnVtYmVyPjY8L251bWJlcj48ZWRpdGlvbj4yMDE4LzA2LzE1PC9l
ZGl0aW9uPjxrZXl3b3Jkcz48a2V5d29yZD5BZHVsdDwva2V5d29yZD48a2V5d29yZD5EZXByZXNz
aW9uLypwcmV2ZW50aW9uICZhbXA7IGNvbnRyb2w8L2tleXdvcmQ+PGtleXdvcmQ+KkV4ZXJjaXNl
PC9rZXl3b3JkPjxrZXl3b3JkPkZlbWFsZTwva2V5d29yZD48a2V5d29yZD5IdW1hbnM8L2tleXdv
cmQ+PGtleXdvcmQ+UG9zdHBhcnR1bSBQZXJpb2Q8L2tleXdvcmQ+PGtleXdvcmQ+UHJlZ25hbmN5
PC9rZXl3b3JkPjxrZXl3b3JkPlByZWduYW5jeSBDb21wbGljYXRpb25zLypwc3ljaG9sb2d5PC9r
ZXl3b3JkPjxrZXl3b3JkPmRlcHJlc3Npb248L2tleXdvcmQ+PGtleXdvcmQ+ZXhlcmNpc2UgcGh5
c2ljYWwgYWN0aXZpdHk8L2tleXdvcmQ+PGtleXdvcmQ+cHN5Y2hvbG9neTwva2V5d29yZD48L2tl
eXdvcmRzPjxkYXRlcz48eWVhcj4yMDE5PC95ZWFyPjxwdWItZGF0ZXM+PGRhdGU+TWFyPC9kYXRl
PjwvcHViLWRhdGVzPjwvZGF0ZXM+PGlzYm4+MTQ3My0wNDgwIChFbGVjdHJvbmljKSYjeEQ7MDMw
Ni0zNjc0IChMaW5raW5nKTwvaXNibj48YWNjZXNzaW9uLW51bT4yOTg5OTA1MDwvYWNjZXNzaW9u
LW51bT48dXJscz48cmVsYXRlZC11cmxzPjx1cmw+aHR0cHM6Ly93d3cubmNiaS5ubG0ubmloLmdv
di9wdWJtZWQvMjk4OTkwNTA8L3VybD48L3JlbGF0ZWQtdXJscz48L3VybHM+PGVsZWN0cm9uaWMt
cmVzb3VyY2UtbnVtPjEwLjExMzYvYmpzcG9ydHMtMjAxNy0wOTg5MjY8L2VsZWN0cm9uaWMtcmVz
b3VyY2UtbnVtPjwvcmVjb3JkPjwvQ2l0ZT48L0VuZE5vdGU+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PEVuZE5vdGU+PENpdGU+PEF1dGhvcj5WYXJnYXMtVGVycm9uZXM8L0F1dGhvcj48WWVhcj4yMDE5
PC9ZZWFyPjxSZWNOdW0+MTkyMDwvUmVjTnVtPjxEaXNwbGF5VGV4dD48c3R5bGUgZmFjZT0ic3Vw
ZXJzY3JpcHQiIGZvbnQ9IlRyZWJ1Y2hldCBNUyIgc2l6ZT0iOSI+NDQ2PC9zdHlsZT48L0Rpc3Bs
YXlUZXh0PjxyZWNvcmQ+PHJlYy1udW1iZXI+MTkyMDwvcmVjLW51bWJlcj48Zm9yZWlnbi1rZXlz
PjxrZXkgYXBwPSJFTiIgZGItaWQ9ImV4dmFzcmZ4MmR0cmFvZXNhc3hwMnN6c3hhMmRmNTAyNTky
eCIgdGltZXN0YW1wPSIxNTg4NDg2ODc1Ij4xOTIwPC9rZXk+PGtleSBhcHA9IkVOV2ViIiBkYi1p
ZD0iIj4wPC9rZXk+PC9mb3JlaWduLWtleXM+PHJlZi10eXBlIG5hbWU9IkpvdXJuYWwgQXJ0aWNs
ZSI+MTc8L3JlZi10eXBlPjxjb250cmlidXRvcnM+PGF1dGhvcnM+PGF1dGhvcj5WYXJnYXMtVGVy
cm9uZXMsIE0uPC9hdXRob3I+PGF1dGhvcj5CYXJha2F0LCBSLjwvYXV0aG9yPjxhdXRob3I+U2Fu
dGFjcnV6LCBCLjwvYXV0aG9yPjxhdXRob3I+RmVybmFuZGV6LUJ1aGlnYXMsIEkuPC9hdXRob3I+
PGF1dGhvcj5Nb3R0b2xhLCBNLiBGLjwvYXV0aG9yPjwvYXV0aG9ycz48L2NvbnRyaWJ1dG9ycz48
YXV0aC1hZGRyZXNzPkRlcGFydG1lbnQgb2YgU29jaWFsIFNjaWVuY2VzIG9mIFBoeXNpY2FsIEFj
dGl2aXR5LCBTcG9ydHMgYW5kIExlaXN1cmUsIEZhY3VsdHkgb2YgU2NpZW5jZXMgZm9yIFBoeXNp
Y2FsIEFjdGl2aXR5IGFuZCBTcG9ydCwgSU5FRiwgVGVjaG5pY2FsIFVuaXZlcnNpdHkgb2YgTWFk
cmlkIChVUE0pLCBNYWRyaWQsIFNwYWluLiYjeEQ7RGVwYXJ0bWVudCBvZiBPYnN0ZXRyaWNzIGFu
ZCBHeW5lY29sb2d5LCBVbml2ZXJzaXR5IEhvc3BpdGFsIG9mIFRvcnJlam9uLCBNYWRyaWQsIFNw
YWluLiYjeEQ7UiBTYW11ZWwgTWNMYXVnaGxpbiBGb3VuZGF0aW9uIC0gRXhlcmNpc2UgYW5kIFBy
ZWduYW5jeSBMYWJvcmF0b3J5LCBTY2hvb2wgb2YgS2luZXNpb2xvZ3ksIFRoZSBVbml2ZXJzaXR5
IG9mIFdlc3Rlcm4gT250YXJpbywgTG9uZG9uLCBPbnRhcmlvLCBDYW5hZGEuPC9hdXRoLWFkZHJl
c3M+PHRpdGxlcz48dGl0bGU+UGh5c2ljYWwgZXhlcmNpc2UgcHJvZ3JhbW1lIGR1cmluZyBwcmVn
bmFuY3kgZGVjcmVhc2VzIHBlcmluYXRhbCBkZXByZXNzaW9uIHJpc2s6IGEgcmFuZG9taXNlZCBj
b250cm9sbGVkIHRyaWFsPC90aXRsZT48c2Vjb25kYXJ5LXRpdGxlPkJyIEogU3BvcnRzIE1lZDwv
c2Vjb25kYXJ5LXRpdGxlPjwvdGl0bGVzPjxwZXJpb2RpY2FsPjxmdWxsLXRpdGxlPkJyIEogU3Bv
cnRzIE1lZDwvZnVsbC10aXRsZT48L3BlcmlvZGljYWw+PHBhZ2VzPjM0OC0zNTM8L3BhZ2VzPjx2
b2x1bWU+NTM8L3ZvbHVtZT48bnVtYmVyPjY8L251bWJlcj48ZWRpdGlvbj4yMDE4LzA2LzE1PC9l
ZGl0aW9uPjxrZXl3b3Jkcz48a2V5d29yZD5BZHVsdDwva2V5d29yZD48a2V5d29yZD5EZXByZXNz
aW9uLypwcmV2ZW50aW9uICZhbXA7IGNvbnRyb2w8L2tleXdvcmQ+PGtleXdvcmQ+KkV4ZXJjaXNl
PC9rZXl3b3JkPjxrZXl3b3JkPkZlbWFsZTwva2V5d29yZD48a2V5d29yZD5IdW1hbnM8L2tleXdv
cmQ+PGtleXdvcmQ+UG9zdHBhcnR1bSBQZXJpb2Q8L2tleXdvcmQ+PGtleXdvcmQ+UHJlZ25hbmN5
PC9rZXl3b3JkPjxrZXl3b3JkPlByZWduYW5jeSBDb21wbGljYXRpb25zLypwc3ljaG9sb2d5PC9r
ZXl3b3JkPjxrZXl3b3JkPmRlcHJlc3Npb248L2tleXdvcmQ+PGtleXdvcmQ+ZXhlcmNpc2UgcGh5
c2ljYWwgYWN0aXZpdHk8L2tleXdvcmQ+PGtleXdvcmQ+cHN5Y2hvbG9neTwva2V5d29yZD48L2tl
eXdvcmRzPjxkYXRlcz48eWVhcj4yMDE5PC95ZWFyPjxwdWItZGF0ZXM+PGRhdGU+TWFyPC9kYXRl
PjwvcHViLWRhdGVzPjwvZGF0ZXM+PGlzYm4+MTQ3My0wNDgwIChFbGVjdHJvbmljKSYjeEQ7MDMw
Ni0zNjc0IChMaW5raW5nKTwvaXNibj48YWNjZXNzaW9uLW51bT4yOTg5OTA1MDwvYWNjZXNzaW9u
LW51bT48dXJscz48cmVsYXRlZC11cmxzPjx1cmw+aHR0cHM6Ly93d3cubmNiaS5ubG0ubmloLmdv
di9wdWJtZWQvMjk4OTkwNTA8L3VybD48L3JlbGF0ZWQtdXJscz48L3VybHM+PGVsZWN0cm9uaWMt
cmVzb3VyY2UtbnVtPjEwLjExMzYvYmpzcG9ydHMtMjAxNy0wOTg5MjY8L2VsZWN0cm9uaWMtcmVz
b3VyY2UtbnVtPjwvcmVjb3JkPjwvQ2l0ZT48L0VuZE5vdGU+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sidR="00D07346">
              <w:rPr>
                <w:rFonts w:eastAsiaTheme="minorHAnsi"/>
                <w:sz w:val="16"/>
                <w:szCs w:val="16"/>
                <w:lang w:val="en-US"/>
              </w:rPr>
            </w:r>
            <w:r w:rsidR="00D07346">
              <w:rPr>
                <w:rFonts w:eastAsiaTheme="minorHAnsi"/>
                <w:sz w:val="16"/>
                <w:szCs w:val="16"/>
                <w:lang w:val="en-US"/>
              </w:rPr>
              <w:fldChar w:fldCharType="separate"/>
            </w:r>
            <w:r w:rsidR="002747EA" w:rsidRPr="002747EA">
              <w:rPr>
                <w:rFonts w:eastAsiaTheme="minorHAnsi"/>
                <w:noProof/>
                <w:szCs w:val="16"/>
                <w:vertAlign w:val="superscript"/>
                <w:lang w:val="en-US"/>
              </w:rPr>
              <w:t>446</w:t>
            </w:r>
            <w:r w:rsidR="00D07346">
              <w:rPr>
                <w:rFonts w:eastAsiaTheme="minorHAnsi"/>
                <w:sz w:val="16"/>
                <w:szCs w:val="16"/>
                <w:lang w:val="en-US"/>
              </w:rPr>
              <w:fldChar w:fldCharType="end"/>
            </w:r>
          </w:p>
        </w:tc>
      </w:tr>
      <w:tr w:rsidR="00237E23" w:rsidRPr="00C12274" w14:paraId="4E2ED6B5" w14:textId="77777777" w:rsidTr="0030223E">
        <w:trPr>
          <w:cantSplit/>
        </w:trPr>
        <w:tc>
          <w:tcPr>
            <w:tcW w:w="1560" w:type="dxa"/>
            <w:shd w:val="clear" w:color="D9E2F3" w:themeColor="accent1" w:themeTint="33" w:fill="auto"/>
          </w:tcPr>
          <w:p w14:paraId="57440894" w14:textId="77777777" w:rsidR="00237E23" w:rsidRPr="00C12274" w:rsidRDefault="00237E23" w:rsidP="00237E23">
            <w:pPr>
              <w:keepNext/>
              <w:spacing w:before="40" w:after="40" w:line="220" w:lineRule="exact"/>
              <w:rPr>
                <w:sz w:val="16"/>
                <w:szCs w:val="16"/>
              </w:rPr>
            </w:pPr>
            <w:r w:rsidRPr="00C12274">
              <w:rPr>
                <w:sz w:val="16"/>
                <w:szCs w:val="16"/>
              </w:rPr>
              <w:t>Random sequence generation</w:t>
            </w:r>
          </w:p>
        </w:tc>
        <w:tc>
          <w:tcPr>
            <w:tcW w:w="1275" w:type="dxa"/>
            <w:tcBorders>
              <w:bottom w:val="single" w:sz="4" w:space="0" w:color="auto"/>
            </w:tcBorders>
            <w:shd w:val="clear" w:color="D9E2F3" w:themeColor="accent1" w:themeTint="33" w:fill="70AD47" w:themeFill="accent6"/>
          </w:tcPr>
          <w:p w14:paraId="6809FE97" w14:textId="2594FAB5" w:rsidR="00237E23" w:rsidRPr="00C12274" w:rsidRDefault="002C1E4A" w:rsidP="00237E23">
            <w:pPr>
              <w:keepNext/>
              <w:spacing w:before="40" w:after="40" w:line="220" w:lineRule="exact"/>
              <w:rPr>
                <w:sz w:val="16"/>
                <w:szCs w:val="16"/>
              </w:rPr>
            </w:pPr>
            <w:r>
              <w:rPr>
                <w:sz w:val="16"/>
                <w:szCs w:val="16"/>
              </w:rPr>
              <w:t>Low</w:t>
            </w:r>
            <w:r w:rsidR="00237E23" w:rsidRPr="00C12274">
              <w:rPr>
                <w:sz w:val="16"/>
                <w:szCs w:val="16"/>
              </w:rPr>
              <w:t xml:space="preserve"> risk</w:t>
            </w:r>
          </w:p>
        </w:tc>
        <w:tc>
          <w:tcPr>
            <w:tcW w:w="11199" w:type="dxa"/>
            <w:shd w:val="clear" w:color="D9E2F3" w:themeColor="accent1" w:themeTint="33" w:fill="auto"/>
          </w:tcPr>
          <w:p w14:paraId="6278C51D" w14:textId="1521ABAD" w:rsidR="00237E23" w:rsidRPr="002C1E4A" w:rsidRDefault="00DD6DCC" w:rsidP="0030223E">
            <w:pPr>
              <w:pStyle w:val="RCTstable"/>
            </w:pPr>
            <w:r>
              <w:t>“</w:t>
            </w:r>
            <w:r w:rsidR="002C1E4A" w:rsidRPr="002C1E4A">
              <w:t>A simple randomisation was performed with the Epidat V.3.1</w:t>
            </w:r>
            <w:r w:rsidR="002C1E4A">
              <w:t xml:space="preserve"> </w:t>
            </w:r>
            <w:r w:rsidR="002C1E4A" w:rsidRPr="002C1E4A">
              <w:t>program to allocate the participants into two groups in order</w:t>
            </w:r>
            <w:r w:rsidR="002C1E4A">
              <w:t xml:space="preserve"> </w:t>
            </w:r>
            <w:r w:rsidR="002C1E4A" w:rsidRPr="002C1E4A">
              <w:t>of entry: intervention group (IG) and control group (CG). For</w:t>
            </w:r>
            <w:r w:rsidR="002C1E4A">
              <w:t xml:space="preserve"> </w:t>
            </w:r>
            <w:r w:rsidR="002C1E4A" w:rsidRPr="002C1E4A">
              <w:t>this, a computer-generated list of random numbers (n=200) was</w:t>
            </w:r>
            <w:r w:rsidR="002C1E4A">
              <w:t xml:space="preserve"> </w:t>
            </w:r>
            <w:r w:rsidR="002C1E4A" w:rsidRPr="002C1E4A">
              <w:t>created through the Epidat option of balanced groups (similar</w:t>
            </w:r>
            <w:r w:rsidR="002C1E4A">
              <w:t xml:space="preserve"> </w:t>
            </w:r>
            <w:r w:rsidR="002C1E4A" w:rsidRPr="002C1E4A">
              <w:t>but not of equal size).</w:t>
            </w:r>
            <w:r>
              <w:t>”</w:t>
            </w:r>
          </w:p>
        </w:tc>
      </w:tr>
      <w:tr w:rsidR="00237E23" w:rsidRPr="00C12274" w14:paraId="0F395D26" w14:textId="77777777" w:rsidTr="0030223E">
        <w:trPr>
          <w:cantSplit/>
        </w:trPr>
        <w:tc>
          <w:tcPr>
            <w:tcW w:w="1560" w:type="dxa"/>
            <w:shd w:val="clear" w:color="D9E2F3" w:themeColor="accent1" w:themeTint="33" w:fill="auto"/>
          </w:tcPr>
          <w:p w14:paraId="75EFAA2E" w14:textId="77777777" w:rsidR="00237E23" w:rsidRPr="00C12274" w:rsidRDefault="00237E23" w:rsidP="00237E23">
            <w:pPr>
              <w:keepNext/>
              <w:spacing w:before="40" w:after="40" w:line="220" w:lineRule="exact"/>
              <w:rPr>
                <w:sz w:val="16"/>
                <w:szCs w:val="16"/>
              </w:rPr>
            </w:pPr>
            <w:r w:rsidRPr="00C12274">
              <w:rPr>
                <w:sz w:val="16"/>
                <w:szCs w:val="16"/>
              </w:rPr>
              <w:t xml:space="preserve">Allocation concealment </w:t>
            </w:r>
          </w:p>
        </w:tc>
        <w:tc>
          <w:tcPr>
            <w:tcW w:w="1275" w:type="dxa"/>
            <w:shd w:val="clear" w:color="auto" w:fill="FFC000" w:themeFill="accent4"/>
          </w:tcPr>
          <w:p w14:paraId="06608B0B" w14:textId="673F5510" w:rsidR="00237E23" w:rsidRPr="00C12274" w:rsidRDefault="00990FE0" w:rsidP="00237E23">
            <w:pPr>
              <w:keepNext/>
              <w:spacing w:before="40" w:after="40" w:line="220" w:lineRule="exact"/>
              <w:rPr>
                <w:sz w:val="16"/>
                <w:szCs w:val="16"/>
              </w:rPr>
            </w:pPr>
            <w:r>
              <w:rPr>
                <w:sz w:val="16"/>
                <w:szCs w:val="16"/>
              </w:rPr>
              <w:t>Unclear</w:t>
            </w:r>
            <w:r w:rsidR="00237E23" w:rsidRPr="00C12274">
              <w:rPr>
                <w:sz w:val="16"/>
                <w:szCs w:val="16"/>
              </w:rPr>
              <w:t xml:space="preserve"> risk</w:t>
            </w:r>
          </w:p>
        </w:tc>
        <w:tc>
          <w:tcPr>
            <w:tcW w:w="11199" w:type="dxa"/>
            <w:shd w:val="clear" w:color="D9E2F3" w:themeColor="accent1" w:themeTint="33" w:fill="auto"/>
          </w:tcPr>
          <w:p w14:paraId="40C2E0DD" w14:textId="600038A6" w:rsidR="00237E23" w:rsidRPr="00C12274" w:rsidRDefault="00990FE0" w:rsidP="00237E23">
            <w:pPr>
              <w:pStyle w:val="RCTstable"/>
              <w:keepNext/>
            </w:pPr>
            <w:r>
              <w:t>Not described</w:t>
            </w:r>
          </w:p>
        </w:tc>
      </w:tr>
      <w:tr w:rsidR="00237E23" w:rsidRPr="00C12274" w14:paraId="70B27E8B" w14:textId="77777777" w:rsidTr="0030223E">
        <w:trPr>
          <w:cantSplit/>
        </w:trPr>
        <w:tc>
          <w:tcPr>
            <w:tcW w:w="1560" w:type="dxa"/>
            <w:shd w:val="clear" w:color="D9E2F3" w:themeColor="accent1" w:themeTint="33" w:fill="auto"/>
          </w:tcPr>
          <w:p w14:paraId="26B72CA2" w14:textId="77777777" w:rsidR="00237E23" w:rsidRPr="00C12274" w:rsidRDefault="00237E23" w:rsidP="00237E23">
            <w:pPr>
              <w:keepNext/>
              <w:spacing w:before="40" w:after="40" w:line="220" w:lineRule="exact"/>
              <w:rPr>
                <w:sz w:val="16"/>
                <w:szCs w:val="16"/>
              </w:rPr>
            </w:pPr>
            <w:r w:rsidRPr="00C12274">
              <w:rPr>
                <w:sz w:val="16"/>
                <w:szCs w:val="16"/>
              </w:rPr>
              <w:t xml:space="preserve">Blinding </w:t>
            </w:r>
          </w:p>
        </w:tc>
        <w:tc>
          <w:tcPr>
            <w:tcW w:w="1275" w:type="dxa"/>
            <w:shd w:val="clear" w:color="auto" w:fill="FFC000" w:themeFill="accent4"/>
          </w:tcPr>
          <w:p w14:paraId="5C3814AC" w14:textId="77777777" w:rsidR="00237E23" w:rsidRPr="00C12274" w:rsidRDefault="00237E23" w:rsidP="00237E23">
            <w:pPr>
              <w:keepNext/>
              <w:spacing w:before="40" w:after="40" w:line="220" w:lineRule="exact"/>
              <w:rPr>
                <w:sz w:val="16"/>
                <w:szCs w:val="16"/>
              </w:rPr>
            </w:pPr>
            <w:r w:rsidRPr="00C12274">
              <w:rPr>
                <w:sz w:val="16"/>
                <w:szCs w:val="16"/>
              </w:rPr>
              <w:t>Unclear risk</w:t>
            </w:r>
          </w:p>
        </w:tc>
        <w:tc>
          <w:tcPr>
            <w:tcW w:w="11199" w:type="dxa"/>
            <w:shd w:val="clear" w:color="D9E2F3" w:themeColor="accent1" w:themeTint="33" w:fill="auto"/>
          </w:tcPr>
          <w:p w14:paraId="6E7DF1CF" w14:textId="77777777" w:rsidR="00237E23" w:rsidRPr="00C12274" w:rsidRDefault="00237E23" w:rsidP="00237E23">
            <w:pPr>
              <w:pStyle w:val="RCTstable"/>
              <w:keepNext/>
            </w:pPr>
            <w:r w:rsidRPr="00C12274">
              <w:t>Not described</w:t>
            </w:r>
          </w:p>
        </w:tc>
      </w:tr>
      <w:tr w:rsidR="00237E23" w:rsidRPr="00C12274" w14:paraId="3BC55F4D" w14:textId="77777777" w:rsidTr="0030223E">
        <w:trPr>
          <w:cantSplit/>
        </w:trPr>
        <w:tc>
          <w:tcPr>
            <w:tcW w:w="1560" w:type="dxa"/>
            <w:shd w:val="clear" w:color="D9E2F3" w:themeColor="accent1" w:themeTint="33" w:fill="auto"/>
          </w:tcPr>
          <w:p w14:paraId="0AAD8D84" w14:textId="77777777" w:rsidR="00237E23" w:rsidRPr="00C12274" w:rsidRDefault="00237E23" w:rsidP="00237E23">
            <w:pPr>
              <w:spacing w:before="40" w:after="40" w:line="220" w:lineRule="exact"/>
              <w:rPr>
                <w:sz w:val="16"/>
                <w:szCs w:val="16"/>
              </w:rPr>
            </w:pPr>
            <w:r>
              <w:rPr>
                <w:sz w:val="16"/>
                <w:szCs w:val="16"/>
              </w:rPr>
              <w:t>Detection bias</w:t>
            </w:r>
          </w:p>
        </w:tc>
        <w:tc>
          <w:tcPr>
            <w:tcW w:w="1275" w:type="dxa"/>
            <w:tcBorders>
              <w:bottom w:val="single" w:sz="4" w:space="0" w:color="auto"/>
            </w:tcBorders>
            <w:shd w:val="clear" w:color="auto" w:fill="FFC000" w:themeFill="accent4"/>
          </w:tcPr>
          <w:p w14:paraId="3F1AAD89" w14:textId="77777777" w:rsidR="00237E23" w:rsidRPr="00C12274" w:rsidRDefault="00237E23" w:rsidP="00237E23">
            <w:pPr>
              <w:spacing w:before="40" w:after="40" w:line="220" w:lineRule="exact"/>
              <w:rPr>
                <w:sz w:val="16"/>
                <w:szCs w:val="16"/>
              </w:rPr>
            </w:pPr>
            <w:r>
              <w:rPr>
                <w:sz w:val="16"/>
                <w:szCs w:val="16"/>
              </w:rPr>
              <w:t>Unclear</w:t>
            </w:r>
            <w:r w:rsidRPr="00C12274">
              <w:rPr>
                <w:sz w:val="16"/>
                <w:szCs w:val="16"/>
              </w:rPr>
              <w:t xml:space="preserve"> risk</w:t>
            </w:r>
          </w:p>
        </w:tc>
        <w:tc>
          <w:tcPr>
            <w:tcW w:w="11199" w:type="dxa"/>
            <w:shd w:val="clear" w:color="D9E2F3" w:themeColor="accent1" w:themeTint="33" w:fill="auto"/>
          </w:tcPr>
          <w:p w14:paraId="7D803D87" w14:textId="77777777" w:rsidR="00237E23" w:rsidRPr="00C12274" w:rsidRDefault="00237E23" w:rsidP="00237E23">
            <w:pPr>
              <w:pStyle w:val="RCTstable"/>
            </w:pPr>
            <w:r w:rsidRPr="00C12274">
              <w:t>Not described</w:t>
            </w:r>
          </w:p>
        </w:tc>
      </w:tr>
      <w:tr w:rsidR="00237E23" w:rsidRPr="00C12274" w14:paraId="350548FB" w14:textId="77777777" w:rsidTr="0030223E">
        <w:trPr>
          <w:cantSplit/>
        </w:trPr>
        <w:tc>
          <w:tcPr>
            <w:tcW w:w="1560" w:type="dxa"/>
            <w:shd w:val="clear" w:color="D9E2F3" w:themeColor="accent1" w:themeTint="33" w:fill="auto"/>
          </w:tcPr>
          <w:p w14:paraId="1DE5DF2C" w14:textId="77777777" w:rsidR="00237E23" w:rsidRPr="00C12274" w:rsidRDefault="00237E23" w:rsidP="00237E23">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4D19"/>
          </w:tcPr>
          <w:p w14:paraId="16AF586E" w14:textId="68CC7435" w:rsidR="00237E23" w:rsidRPr="00C12274" w:rsidRDefault="0066158E" w:rsidP="00237E23">
            <w:pPr>
              <w:spacing w:before="40" w:after="40" w:line="220" w:lineRule="exact"/>
              <w:rPr>
                <w:sz w:val="16"/>
                <w:szCs w:val="16"/>
              </w:rPr>
            </w:pPr>
            <w:r>
              <w:rPr>
                <w:sz w:val="16"/>
                <w:szCs w:val="16"/>
              </w:rPr>
              <w:t>High</w:t>
            </w:r>
            <w:r w:rsidR="00237E23" w:rsidRPr="00C12274">
              <w:rPr>
                <w:sz w:val="16"/>
                <w:szCs w:val="16"/>
              </w:rPr>
              <w:t xml:space="preserve"> risk</w:t>
            </w:r>
          </w:p>
        </w:tc>
        <w:tc>
          <w:tcPr>
            <w:tcW w:w="11199" w:type="dxa"/>
            <w:shd w:val="clear" w:color="D9E2F3" w:themeColor="accent1" w:themeTint="33" w:fill="auto"/>
          </w:tcPr>
          <w:p w14:paraId="5FE02556" w14:textId="23CECD1B" w:rsidR="00237E23" w:rsidRPr="0066158E" w:rsidRDefault="0066158E" w:rsidP="0066158E">
            <w:pPr>
              <w:pStyle w:val="RCTstable"/>
            </w:pPr>
            <w:r>
              <w:t>“</w:t>
            </w:r>
            <w:r w:rsidRPr="0066158E">
              <w:t>Significant differences were found in the percentage of participants</w:t>
            </w:r>
            <w:r>
              <w:t xml:space="preserve"> </w:t>
            </w:r>
            <w:r w:rsidRPr="0066158E">
              <w:t>who dropped out of the study (</w:t>
            </w:r>
            <w:r w:rsidRPr="0066158E">
              <w:rPr>
                <w:rFonts w:ascii="Helvetica" w:hAnsi="Helvetica"/>
              </w:rPr>
              <w:t>χ</w:t>
            </w:r>
            <w:r w:rsidRPr="0066158E">
              <w:rPr>
                <w:sz w:val="9"/>
                <w:szCs w:val="9"/>
              </w:rPr>
              <w:t>2</w:t>
            </w:r>
            <w:r w:rsidRPr="0066158E">
              <w:t>=6.72; p=0.01), being</w:t>
            </w:r>
            <w:r>
              <w:t xml:space="preserve"> </w:t>
            </w:r>
            <w:r w:rsidRPr="0066158E">
              <w:t>13% (n=7) in the CG compared with 1.4% (n=1) in the IG,</w:t>
            </w:r>
            <w:r>
              <w:t xml:space="preserve"> </w:t>
            </w:r>
            <w:r w:rsidRPr="0066158E">
              <w:t>based on the data available at 6 weeks postpartum.</w:t>
            </w:r>
            <w:r>
              <w:t>”</w:t>
            </w:r>
          </w:p>
        </w:tc>
      </w:tr>
      <w:tr w:rsidR="00237E23" w:rsidRPr="00C12274" w14:paraId="0FC76651" w14:textId="77777777" w:rsidTr="00237E23">
        <w:trPr>
          <w:cantSplit/>
        </w:trPr>
        <w:tc>
          <w:tcPr>
            <w:tcW w:w="1560" w:type="dxa"/>
            <w:shd w:val="clear" w:color="D9E2F3" w:themeColor="accent1" w:themeTint="33" w:fill="auto"/>
          </w:tcPr>
          <w:p w14:paraId="26CD9EE0" w14:textId="77777777" w:rsidR="00237E23" w:rsidRPr="00C12274" w:rsidRDefault="00237E23" w:rsidP="00237E23">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3954BB1C" w14:textId="77777777" w:rsidR="00237E23" w:rsidRPr="00C12274" w:rsidRDefault="00237E23" w:rsidP="00237E23">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29B02CF" w14:textId="77777777" w:rsidR="00237E23" w:rsidRPr="00C12274" w:rsidRDefault="00237E23" w:rsidP="00237E23">
            <w:pPr>
              <w:spacing w:before="40" w:after="40" w:line="220" w:lineRule="exact"/>
              <w:rPr>
                <w:sz w:val="16"/>
                <w:szCs w:val="16"/>
              </w:rPr>
            </w:pPr>
            <w:r w:rsidRPr="00C12274">
              <w:rPr>
                <w:sz w:val="16"/>
                <w:szCs w:val="16"/>
              </w:rPr>
              <w:t>Pre-specified outcomes reported.</w:t>
            </w:r>
          </w:p>
        </w:tc>
      </w:tr>
      <w:tr w:rsidR="00237E23" w:rsidRPr="00C12274" w14:paraId="1E35955C" w14:textId="77777777" w:rsidTr="00237E23">
        <w:trPr>
          <w:cantSplit/>
        </w:trPr>
        <w:tc>
          <w:tcPr>
            <w:tcW w:w="1560" w:type="dxa"/>
            <w:shd w:val="clear" w:color="D9E2F3" w:themeColor="accent1" w:themeTint="33" w:fill="auto"/>
          </w:tcPr>
          <w:p w14:paraId="6FACDDDC" w14:textId="77777777" w:rsidR="00237E23" w:rsidRPr="00C12274" w:rsidRDefault="00237E23" w:rsidP="00237E23">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55C826C0" w14:textId="77777777" w:rsidR="00237E23" w:rsidRPr="00C12274" w:rsidRDefault="00237E23" w:rsidP="00237E23">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7A8367E4" w14:textId="77777777" w:rsidR="00237E23" w:rsidRPr="00C12274" w:rsidRDefault="00237E23" w:rsidP="00237E23">
            <w:pPr>
              <w:spacing w:before="40" w:after="40" w:line="220" w:lineRule="exact"/>
              <w:rPr>
                <w:sz w:val="16"/>
                <w:szCs w:val="16"/>
                <w:lang w:val="en-US"/>
              </w:rPr>
            </w:pPr>
            <w:r w:rsidRPr="00C12274">
              <w:rPr>
                <w:sz w:val="16"/>
                <w:szCs w:val="16"/>
                <w:lang w:val="en-US"/>
              </w:rPr>
              <w:t>No significant differences between baseline characteristics of groups</w:t>
            </w:r>
          </w:p>
        </w:tc>
      </w:tr>
      <w:tr w:rsidR="008E765F" w:rsidRPr="00C12274" w14:paraId="47A622F0" w14:textId="77777777" w:rsidTr="00BC7AEC">
        <w:trPr>
          <w:cantSplit/>
        </w:trPr>
        <w:tc>
          <w:tcPr>
            <w:tcW w:w="14034" w:type="dxa"/>
            <w:gridSpan w:val="3"/>
            <w:shd w:val="solid" w:color="D9E2F3" w:themeColor="accent1" w:themeTint="33" w:fill="auto"/>
          </w:tcPr>
          <w:p w14:paraId="1EAC00C4" w14:textId="3F88E3BE" w:rsidR="008E765F" w:rsidRPr="0093032B" w:rsidRDefault="008E765F" w:rsidP="002747EA">
            <w:pPr>
              <w:pStyle w:val="Tablecell"/>
              <w:keepNext/>
              <w:spacing w:line="220" w:lineRule="exact"/>
              <w:rPr>
                <w:rFonts w:eastAsiaTheme="minorHAnsi"/>
                <w:sz w:val="16"/>
                <w:szCs w:val="16"/>
                <w:lang w:val="en-US"/>
              </w:rPr>
            </w:pPr>
            <w:r w:rsidRPr="00C12274">
              <w:rPr>
                <w:rFonts w:eastAsiaTheme="minorHAnsi"/>
                <w:b/>
                <w:noProof/>
                <w:sz w:val="16"/>
                <w:szCs w:val="16"/>
                <w:lang w:val="en-US"/>
              </w:rPr>
              <w:t>Wang et al 2017</w:t>
            </w:r>
            <w:r>
              <w:rPr>
                <w:rFonts w:eastAsiaTheme="minorHAnsi"/>
                <w:sz w:val="16"/>
                <w:szCs w:val="16"/>
                <w:lang w:val="en-US"/>
              </w:rPr>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rPr>
                <w:rFonts w:eastAsiaTheme="minorHAnsi"/>
                <w:sz w:val="16"/>
                <w:szCs w:val="16"/>
                <w:lang w:val="en-US"/>
              </w:rPr>
              <w:instrText xml:space="preserve"> ADDIN EN.CITE </w:instrText>
            </w:r>
            <w:r w:rsidR="002747EA">
              <w:rPr>
                <w:rFonts w:eastAsiaTheme="minorHAnsi"/>
                <w:sz w:val="16"/>
                <w:szCs w:val="16"/>
                <w:lang w:val="en-US"/>
              </w:rPr>
              <w:fldChar w:fldCharType="begin">
                <w:fldData xml:space="preserve">PEVuZE5vdGU+PENpdGU+PEF1dGhvcj5XYW5nPC9BdXRob3I+PFllYXI+MjAxNzwvWWVhcj48UmVj
TnVtPjk2MzwvUmVjTnVtPjxEaXNwbGF5VGV4dD48c3R5bGUgZmFjZT0ic3VwZXJzY3JpcHQiIGZv
bnQ9IlRyZWJ1Y2hldCBNUyIgc2l6ZT0iOSI+NDUyPC9zdHlsZT48L0Rpc3BsYXlUZXh0PjxyZWNv
cmQ+PHJlYy1udW1iZXI+OTYzPC9yZWMtbnVtYmVyPjxmb3JlaWduLWtleXM+PGtleSBhcHA9IkVO
IiBkYi1pZD0iZXh2YXNyZngyZHRyYW9lc2FzeHAyc3pzeGEyZGY1MDI1OTJ4IiB0aW1lc3RhbXA9
IjE1NDE1NDE5MzQiPjk2Mzwva2V5PjxrZXkgYXBwPSJFTldlYiIgZGItaWQ9IiI+MDwva2V5Pjwv
Zm9yZWlnbi1rZXlzPjxyZWYtdHlwZSBuYW1lPSJKb3VybmFsIEFydGljbGUiPjE3PC9yZWYtdHlw
ZT48Y29udHJpYnV0b3JzPjxhdXRob3JzPjxhdXRob3I+V2FuZywgQy48L2F1dGhvcj48YXV0aG9y
PldlaSwgWS48L2F1dGhvcj48YXV0aG9yPlpoYW5nLCBYLjwvYXV0aG9yPjxhdXRob3I+Wmhhbmcs
IFkuPC9hdXRob3I+PGF1dGhvcj5YdSwgUS48L2F1dGhvcj48YXV0aG9yPlN1biwgWS48L2F1dGhv
cj48YXV0aG9yPlN1LCBTLjwvYXV0aG9yPjxhdXRob3I+WmhhbmcsIEwuPC9hdXRob3I+PGF1dGhv
cj5MaXUsIEMuPC9hdXRob3I+PGF1dGhvcj5GZW5nLCBZLjwvYXV0aG9yPjxhdXRob3I+U2hvdSwg
Qy48L2F1dGhvcj48YXV0aG9yPkd1ZWxmaSwgSy4gSi48L2F1dGhvcj48YXV0aG9yPk5ld25oYW0s
IEouIFAuPC9hdXRob3I+PGF1dGhvcj5ZYW5nLCBILjwvYXV0aG9yPjwvYXV0aG9ycz48L2NvbnRy
aWJ1dG9ycz48YXV0aC1hZGRyZXNzPkRlcGFydG1lbnQgb2YgT2JzdGV0cmljcyBhbmQgR3luZWNv
bG9neSwgUGVraW5nIFVuaXZlcnNpdHkgRmlyc3QgSG9zcGl0YWwsIEJlaWppbmcsIENoaW5hLiYj
eEQ7RGl2aXNpb24gb2YgSG9zcGl0YWwgTWVkaWNpbmUsIEhhbGxtYXJrIEhlYWx0aCBTeXN0ZW0s
IE1lZGZvcmQsIE1BLiYjeEQ7U2Nob29scyBvZiBTcG9ydCBTY2llbmNlLCBFeGVyY2lzZSwgYW5k
IEhlYWx0aCwgVW5pdmVyc2l0eSBvZiBXZXN0ZXJuIEF1c3RyYWxpYSwgUGVydGgsIEF1c3RyYWxp
YS4mI3hEO1dvbWVuJmFwb3M7cyBhbmQgSW5mYW50cyZhcG9zOyBIZWFsdGgsIFVuaXZlcnNpdHkg
b2YgV2VzdGVybiBBdXN0cmFsaWEsIFBlcnRoLCBBdXN0cmFsaWEuJiN4RDtEZXBhcnRtZW50IG9m
IE9ic3RldHJpY3MgYW5kIEd5bmVjb2xvZ3ksIFBla2luZyBVbml2ZXJzaXR5IEZpcnN0IEhvc3Bp
dGFsLCBCZWlqaW5nLCBDaGluYS4gRWxlY3Ryb25pYyBhZGRyZXNzOiB5YW5naHVpeGlhQGJqbXUu
ZWR1LmNuLjwvYXV0aC1hZGRyZXNzPjx0aXRsZXM+PHRpdGxlPkEgcmFuZG9taXplZCBjbGluaWNh
bCB0cmlhbCBvZiBleGVyY2lzZSBkdXJpbmcgcHJlZ25hbmN5IHRvIHByZXZlbnQgZ2VzdGF0aW9u
YWwgZGlhYmV0ZXMgbWVsbGl0dXMgYW5kIGltcHJvdmUgcHJlZ25hbmN5IG91dGNvbWUgaW4gb3Zl
cndlaWdodCBhbmQgb2Jlc2UgcHJlZ25hbnQgd29tZW48L3RpdGxlPjxzZWNvbmRhcnktdGl0bGU+
QW0gSiBPYnN0ZXQgR3luZWNvbDwvc2Vjb25kYXJ5LXRpdGxlPjwvdGl0bGVzPjxwZXJpb2RpY2Fs
PjxmdWxsLXRpdGxlPkFtIEogT2JzdGV0IEd5bmVjb2w8L2Z1bGwtdGl0bGU+PC9wZXJpb2RpY2Fs
PjxwYWdlcz4zNDAtMzUxPC9wYWdlcz48dm9sdW1lPjIxNjwvdm9sdW1lPjxudW1iZXI+NDwvbnVt
YmVyPjxlZGl0aW9uPjIwMTcvMDIvMDY8L2VkaXRpb24+PGtleXdvcmRzPjxrZXl3b3JkPkFkdWx0
PC9rZXl3b3JkPjxrZXl3b3JkPkNlc2FyZWFuIFNlY3Rpb24vc3RhdGlzdGljcyAmYW1wOyBudW1l
cmljYWwgZGF0YTwva2V5d29yZD48a2V5d29yZD5DaGluYS9lcGlkZW1pb2xvZ3k8L2tleXdvcmQ+
PGtleXdvcmQ+RGlhYmV0ZXMsIEdlc3RhdGlvbmFsLypwcmV2ZW50aW9uICZhbXA7IGNvbnRyb2w8
L2tleXdvcmQ+PGtleXdvcmQ+KkV4ZXJjaXNlPC9rZXl3b3JkPjxrZXl3b3JkPkZlbWFsZTwva2V5
d29yZD48a2V5d29yZD5GZXRhbCBNYWNyb3NvbWlhL2VwaWRlbWlvbG9neTwva2V5d29yZD48a2V5
d29yZD5HZXN0YXRpb25hbCBBZ2U8L2tleXdvcmQ+PGtleXdvcmQ+SHVtYW5zPC9rZXl3b3JkPjxr
ZXl3b3JkPkh5cGVydGVuc2lvbiwgUHJlZ25hbmN5LUluZHVjZWQvZXBpZGVtaW9sb2d5PC9rZXl3
b3JkPjxrZXl3b3JkPkluZmFudCwgTmV3Ym9ybjwva2V5d29yZD48a2V5d29yZD5JbnN1bGluIFJl
c2lzdGFuY2U8L2tleXdvcmQ+PGtleXdvcmQ+T2Jlc2l0eS8qdGhlcmFweTwva2V5d29yZD48a2V5
d29yZD5PdmVyd2VpZ2h0Lyp0aGVyYXB5PC9rZXl3b3JkPjxrZXl3b3JkPlByZWduYW5jeTwva2V5
d29yZD48a2V5d29yZD5QcmVtYXR1cmUgQmlydGgvZXBpZGVtaW9sb2d5PC9rZXl3b3JkPjxrZXl3
b3JkPlByb3NwZWN0aXZlIFN0dWRpZXM8L2tleXdvcmQ+PGtleXdvcmQ+V2VpZ2h0IEdhaW48L2tl
eXdvcmQ+PGtleXdvcmQ+KmFkdmVyc2UgcHJlZ25hbmN5IG91dGNvbWU8L2tleXdvcmQ+PGtleXdv
cmQ+Kmdlc3RhdGlvbmFsIGRpYWJldGVzIG1lbGxpdHVzPC9rZXl3b3JkPjxrZXl3b3JkPipvYmVz
aXR5PC9rZXl3b3JkPjxrZXl3b3JkPipvdmVyd2VpZ2h0PC9rZXl3b3JkPjxrZXl3b3JkPipwcmVn
bmFudCB3b21lbjwva2V5d29yZD48L2tleXdvcmRzPjxkYXRlcz48eWVhcj4yMDE3PC95ZWFyPjxw
dWItZGF0ZXM+PGRhdGU+QXByPC9kYXRlPjwvcHViLWRhdGVzPjwvZGF0ZXM+PGlzYm4+MTA5Ny02
ODY4IChFbGVjdHJvbmljKSYjeEQ7MDAwMi05Mzc4IChMaW5raW5nKTwvaXNibj48YWNjZXNzaW9u
LW51bT4yODE2MTMwNjwvYWNjZXNzaW9uLW51bT48dXJscz48cmVsYXRlZC11cmxzPjx1cmw+aHR0
cHM6Ly93d3cubmNiaS5ubG0ubmloLmdvdi9wdWJtZWQvMjgxNjEzMDY8L3VybD48L3JlbGF0ZWQt
dXJscz48L3VybHM+PGVsZWN0cm9uaWMtcmVzb3VyY2UtbnVtPjEwLjEwMTYvai5ham9nLjIwMTcu
MDEuMDM3PC9lbGVjdHJvbmljLXJlc291cmNlLW51bT48L3JlY29yZD48L0NpdGU+PC9FbmROb3Rl
Pn==
</w:fldData>
              </w:fldChar>
            </w:r>
            <w:r w:rsidR="002747EA">
              <w:rPr>
                <w:rFonts w:eastAsiaTheme="minorHAnsi"/>
                <w:sz w:val="16"/>
                <w:szCs w:val="16"/>
                <w:lang w:val="en-US"/>
              </w:rPr>
              <w:instrText xml:space="preserve"> ADDIN EN.CITE.DATA </w:instrText>
            </w:r>
            <w:r w:rsidR="002747EA">
              <w:rPr>
                <w:rFonts w:eastAsiaTheme="minorHAnsi"/>
                <w:sz w:val="16"/>
                <w:szCs w:val="16"/>
                <w:lang w:val="en-US"/>
              </w:rPr>
            </w:r>
            <w:r w:rsidR="002747EA">
              <w:rPr>
                <w:rFonts w:eastAsiaTheme="minorHAnsi"/>
                <w:sz w:val="16"/>
                <w:szCs w:val="16"/>
                <w:lang w:val="en-US"/>
              </w:rPr>
              <w:fldChar w:fldCharType="end"/>
            </w:r>
            <w:r>
              <w:rPr>
                <w:rFonts w:eastAsiaTheme="minorHAnsi"/>
                <w:sz w:val="16"/>
                <w:szCs w:val="16"/>
                <w:lang w:val="en-US"/>
              </w:rPr>
            </w:r>
            <w:r>
              <w:rPr>
                <w:rFonts w:eastAsiaTheme="minorHAnsi"/>
                <w:sz w:val="16"/>
                <w:szCs w:val="16"/>
                <w:lang w:val="en-US"/>
              </w:rPr>
              <w:fldChar w:fldCharType="separate"/>
            </w:r>
            <w:r w:rsidR="002747EA" w:rsidRPr="002747EA">
              <w:rPr>
                <w:rFonts w:eastAsiaTheme="minorHAnsi"/>
                <w:noProof/>
                <w:szCs w:val="16"/>
                <w:vertAlign w:val="superscript"/>
                <w:lang w:val="en-US"/>
              </w:rPr>
              <w:t>452</w:t>
            </w:r>
            <w:r>
              <w:rPr>
                <w:rFonts w:eastAsiaTheme="minorHAnsi"/>
                <w:sz w:val="16"/>
                <w:szCs w:val="16"/>
                <w:lang w:val="en-US"/>
              </w:rPr>
              <w:fldChar w:fldCharType="end"/>
            </w:r>
          </w:p>
        </w:tc>
      </w:tr>
      <w:tr w:rsidR="008E765F" w:rsidRPr="00C12274" w14:paraId="0B841FD5" w14:textId="77777777" w:rsidTr="00BC7AEC">
        <w:trPr>
          <w:cantSplit/>
        </w:trPr>
        <w:tc>
          <w:tcPr>
            <w:tcW w:w="1560" w:type="dxa"/>
            <w:shd w:val="clear" w:color="D9E2F3" w:themeColor="accent1" w:themeTint="33" w:fill="auto"/>
          </w:tcPr>
          <w:p w14:paraId="4B9732D2" w14:textId="77777777" w:rsidR="008E765F" w:rsidRPr="00C12274" w:rsidRDefault="008E765F" w:rsidP="0030223E">
            <w:pPr>
              <w:keepNext/>
              <w:spacing w:before="40" w:after="40" w:line="220" w:lineRule="exact"/>
              <w:rPr>
                <w:sz w:val="16"/>
                <w:szCs w:val="16"/>
              </w:rPr>
            </w:pPr>
            <w:r w:rsidRPr="00C12274">
              <w:rPr>
                <w:sz w:val="16"/>
                <w:szCs w:val="16"/>
              </w:rPr>
              <w:t>Random sequence generation</w:t>
            </w:r>
          </w:p>
        </w:tc>
        <w:tc>
          <w:tcPr>
            <w:tcW w:w="1275" w:type="dxa"/>
            <w:shd w:val="clear" w:color="D9E2F3" w:themeColor="accent1" w:themeTint="33" w:fill="70AD47" w:themeFill="accent6"/>
          </w:tcPr>
          <w:p w14:paraId="02856FC5" w14:textId="77777777" w:rsidR="008E765F" w:rsidRPr="00C12274" w:rsidRDefault="008E765F" w:rsidP="0030223E">
            <w:pPr>
              <w:keepNext/>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541D84FF" w14:textId="77777777" w:rsidR="008E765F" w:rsidRPr="00C12274" w:rsidRDefault="008E765F" w:rsidP="0030223E">
            <w:pPr>
              <w:pStyle w:val="RCTstable"/>
              <w:keepNext/>
            </w:pPr>
            <w:r w:rsidRPr="00C12274">
              <w:t xml:space="preserve">Women were randomly allocated using an automatic computer-generated random number table. </w:t>
            </w:r>
          </w:p>
        </w:tc>
      </w:tr>
      <w:tr w:rsidR="00F04834" w:rsidRPr="00C12274" w14:paraId="49004C3B" w14:textId="77777777" w:rsidTr="00BC7AEC">
        <w:trPr>
          <w:cantSplit/>
        </w:trPr>
        <w:tc>
          <w:tcPr>
            <w:tcW w:w="1560" w:type="dxa"/>
            <w:shd w:val="clear" w:color="D9E2F3" w:themeColor="accent1" w:themeTint="33" w:fill="auto"/>
          </w:tcPr>
          <w:p w14:paraId="66C5D5CA" w14:textId="77777777" w:rsidR="00F04834" w:rsidRPr="00C12274" w:rsidRDefault="00F04834" w:rsidP="0030223E">
            <w:pPr>
              <w:keepNext/>
              <w:spacing w:before="40" w:after="40" w:line="220" w:lineRule="exact"/>
              <w:rPr>
                <w:sz w:val="16"/>
                <w:szCs w:val="16"/>
              </w:rPr>
            </w:pPr>
            <w:r w:rsidRPr="00C12274">
              <w:rPr>
                <w:sz w:val="16"/>
                <w:szCs w:val="16"/>
              </w:rPr>
              <w:t xml:space="preserve">Allocation concealment </w:t>
            </w:r>
          </w:p>
        </w:tc>
        <w:tc>
          <w:tcPr>
            <w:tcW w:w="1275" w:type="dxa"/>
            <w:shd w:val="clear" w:color="D9E2F3" w:themeColor="accent1" w:themeTint="33" w:fill="FF4D19"/>
          </w:tcPr>
          <w:p w14:paraId="4EA7950D" w14:textId="77777777" w:rsidR="00F04834" w:rsidRPr="00C12274" w:rsidRDefault="00F04834" w:rsidP="0030223E">
            <w:pPr>
              <w:keepNext/>
              <w:spacing w:before="40" w:after="40" w:line="220" w:lineRule="exact"/>
              <w:rPr>
                <w:sz w:val="16"/>
                <w:szCs w:val="16"/>
              </w:rPr>
            </w:pPr>
            <w:r w:rsidRPr="00C12274">
              <w:rPr>
                <w:sz w:val="16"/>
                <w:szCs w:val="16"/>
              </w:rPr>
              <w:t>High risk</w:t>
            </w:r>
          </w:p>
        </w:tc>
        <w:tc>
          <w:tcPr>
            <w:tcW w:w="11199" w:type="dxa"/>
            <w:vMerge w:val="restart"/>
            <w:shd w:val="clear" w:color="D9E2F3" w:themeColor="accent1" w:themeTint="33" w:fill="auto"/>
          </w:tcPr>
          <w:p w14:paraId="0E0DF86E" w14:textId="77777777" w:rsidR="00F04834" w:rsidRPr="00C12274" w:rsidRDefault="00F04834" w:rsidP="0030223E">
            <w:pPr>
              <w:pStyle w:val="RCTstable"/>
              <w:keepNext/>
            </w:pPr>
            <w:r w:rsidRPr="00C12274">
              <w:t>Due to the nature of the intervention, all participants and research staff were aware of the allocations.</w:t>
            </w:r>
          </w:p>
        </w:tc>
      </w:tr>
      <w:tr w:rsidR="00F04834" w:rsidRPr="00C12274" w14:paraId="248288C1" w14:textId="77777777" w:rsidTr="00BC7AEC">
        <w:trPr>
          <w:cantSplit/>
        </w:trPr>
        <w:tc>
          <w:tcPr>
            <w:tcW w:w="1560" w:type="dxa"/>
            <w:shd w:val="clear" w:color="D9E2F3" w:themeColor="accent1" w:themeTint="33" w:fill="auto"/>
          </w:tcPr>
          <w:p w14:paraId="2B795D16" w14:textId="77777777" w:rsidR="00F04834" w:rsidRPr="00C12274" w:rsidRDefault="00F04834" w:rsidP="0030223E">
            <w:pPr>
              <w:keepNext/>
              <w:spacing w:before="40" w:after="40" w:line="220" w:lineRule="exact"/>
              <w:rPr>
                <w:sz w:val="16"/>
                <w:szCs w:val="16"/>
              </w:rPr>
            </w:pPr>
            <w:r w:rsidRPr="00C12274">
              <w:rPr>
                <w:sz w:val="16"/>
                <w:szCs w:val="16"/>
              </w:rPr>
              <w:t xml:space="preserve">Blinding </w:t>
            </w:r>
          </w:p>
        </w:tc>
        <w:tc>
          <w:tcPr>
            <w:tcW w:w="1275" w:type="dxa"/>
            <w:shd w:val="clear" w:color="D9E2F3" w:themeColor="accent1" w:themeTint="33" w:fill="FF4D19"/>
          </w:tcPr>
          <w:p w14:paraId="69F4CCD0" w14:textId="77777777" w:rsidR="00F04834" w:rsidRPr="00C12274" w:rsidRDefault="00F04834" w:rsidP="0030223E">
            <w:pPr>
              <w:keepNext/>
              <w:spacing w:before="40" w:after="40" w:line="220" w:lineRule="exact"/>
              <w:rPr>
                <w:sz w:val="16"/>
                <w:szCs w:val="16"/>
              </w:rPr>
            </w:pPr>
            <w:r w:rsidRPr="00C12274">
              <w:rPr>
                <w:sz w:val="16"/>
                <w:szCs w:val="16"/>
              </w:rPr>
              <w:t>High risk</w:t>
            </w:r>
          </w:p>
        </w:tc>
        <w:tc>
          <w:tcPr>
            <w:tcW w:w="11199" w:type="dxa"/>
            <w:vMerge/>
            <w:shd w:val="clear" w:color="D9E2F3" w:themeColor="accent1" w:themeTint="33" w:fill="auto"/>
          </w:tcPr>
          <w:p w14:paraId="6F622DC3" w14:textId="77777777" w:rsidR="00F04834" w:rsidRPr="00C12274" w:rsidRDefault="00F04834" w:rsidP="0030223E">
            <w:pPr>
              <w:pStyle w:val="RCTstable"/>
              <w:keepNext/>
              <w:rPr>
                <w:rFonts w:ascii="Times" w:hAnsi="Times"/>
                <w:color w:val="181A18"/>
                <w:sz w:val="15"/>
                <w:szCs w:val="15"/>
              </w:rPr>
            </w:pPr>
          </w:p>
        </w:tc>
      </w:tr>
      <w:tr w:rsidR="00F04834" w:rsidRPr="00C12274" w14:paraId="4A9071D3" w14:textId="77777777" w:rsidTr="00BC7AEC">
        <w:trPr>
          <w:cantSplit/>
        </w:trPr>
        <w:tc>
          <w:tcPr>
            <w:tcW w:w="1560" w:type="dxa"/>
            <w:shd w:val="clear" w:color="D9E2F3" w:themeColor="accent1" w:themeTint="33" w:fill="auto"/>
          </w:tcPr>
          <w:p w14:paraId="190A1B4E" w14:textId="226B75AF" w:rsidR="00F04834" w:rsidRPr="00C12274" w:rsidRDefault="00F04834" w:rsidP="00611251">
            <w:pPr>
              <w:spacing w:before="40" w:after="40" w:line="220" w:lineRule="exact"/>
              <w:rPr>
                <w:sz w:val="16"/>
                <w:szCs w:val="16"/>
              </w:rPr>
            </w:pPr>
            <w:r>
              <w:rPr>
                <w:sz w:val="16"/>
                <w:szCs w:val="16"/>
              </w:rPr>
              <w:t>Detection bias</w:t>
            </w:r>
          </w:p>
        </w:tc>
        <w:tc>
          <w:tcPr>
            <w:tcW w:w="1275" w:type="dxa"/>
            <w:shd w:val="clear" w:color="D9E2F3" w:themeColor="accent1" w:themeTint="33" w:fill="FF4D19"/>
          </w:tcPr>
          <w:p w14:paraId="33C648FE" w14:textId="0F8E7FBC" w:rsidR="00F04834" w:rsidRPr="00C12274" w:rsidRDefault="00F04834" w:rsidP="00611251">
            <w:pPr>
              <w:spacing w:before="40" w:after="40" w:line="220" w:lineRule="exact"/>
              <w:rPr>
                <w:sz w:val="16"/>
                <w:szCs w:val="16"/>
              </w:rPr>
            </w:pPr>
            <w:r>
              <w:rPr>
                <w:sz w:val="16"/>
                <w:szCs w:val="16"/>
              </w:rPr>
              <w:t>High risk</w:t>
            </w:r>
          </w:p>
        </w:tc>
        <w:tc>
          <w:tcPr>
            <w:tcW w:w="11199" w:type="dxa"/>
            <w:vMerge/>
            <w:shd w:val="clear" w:color="D9E2F3" w:themeColor="accent1" w:themeTint="33" w:fill="auto"/>
          </w:tcPr>
          <w:p w14:paraId="58EB00F4" w14:textId="77777777" w:rsidR="00F04834" w:rsidRPr="00C12274" w:rsidRDefault="00F04834" w:rsidP="00611251">
            <w:pPr>
              <w:spacing w:before="40" w:after="40" w:line="220" w:lineRule="exact"/>
              <w:rPr>
                <w:sz w:val="16"/>
                <w:szCs w:val="16"/>
                <w:lang w:val="en-US"/>
              </w:rPr>
            </w:pPr>
          </w:p>
        </w:tc>
      </w:tr>
      <w:tr w:rsidR="008E765F" w:rsidRPr="00C12274" w14:paraId="13F3F521" w14:textId="77777777" w:rsidTr="00BC7AEC">
        <w:trPr>
          <w:cantSplit/>
        </w:trPr>
        <w:tc>
          <w:tcPr>
            <w:tcW w:w="1560" w:type="dxa"/>
            <w:shd w:val="clear" w:color="D9E2F3" w:themeColor="accent1" w:themeTint="33" w:fill="auto"/>
          </w:tcPr>
          <w:p w14:paraId="3EC511C8" w14:textId="77777777" w:rsidR="008E765F" w:rsidRPr="00C12274" w:rsidRDefault="008E765F" w:rsidP="00611251">
            <w:pPr>
              <w:spacing w:before="40" w:after="40" w:line="220" w:lineRule="exact"/>
              <w:rPr>
                <w:sz w:val="16"/>
                <w:szCs w:val="16"/>
              </w:rPr>
            </w:pPr>
            <w:r w:rsidRPr="00C12274">
              <w:rPr>
                <w:sz w:val="16"/>
                <w:szCs w:val="16"/>
              </w:rPr>
              <w:t>Incomplete outcome data</w:t>
            </w:r>
          </w:p>
        </w:tc>
        <w:tc>
          <w:tcPr>
            <w:tcW w:w="1275" w:type="dxa"/>
            <w:shd w:val="clear" w:color="D9E2F3" w:themeColor="accent1" w:themeTint="33" w:fill="FFC000" w:themeFill="accent4"/>
          </w:tcPr>
          <w:p w14:paraId="2947EBF1" w14:textId="77777777" w:rsidR="008E765F" w:rsidRPr="00C12274" w:rsidRDefault="008E765F" w:rsidP="00611251">
            <w:pPr>
              <w:spacing w:before="40" w:after="40" w:line="220" w:lineRule="exact"/>
              <w:rPr>
                <w:sz w:val="16"/>
                <w:szCs w:val="16"/>
              </w:rPr>
            </w:pPr>
            <w:r w:rsidRPr="00C12274">
              <w:rPr>
                <w:sz w:val="16"/>
                <w:szCs w:val="16"/>
              </w:rPr>
              <w:t>Unclear</w:t>
            </w:r>
          </w:p>
        </w:tc>
        <w:tc>
          <w:tcPr>
            <w:tcW w:w="11199" w:type="dxa"/>
            <w:shd w:val="clear" w:color="D9E2F3" w:themeColor="accent1" w:themeTint="33" w:fill="auto"/>
          </w:tcPr>
          <w:p w14:paraId="47333E90" w14:textId="77777777" w:rsidR="008E765F" w:rsidRPr="00C12274" w:rsidRDefault="008E765F" w:rsidP="00611251">
            <w:pPr>
              <w:spacing w:before="40" w:after="40" w:line="220" w:lineRule="exact"/>
              <w:rPr>
                <w:sz w:val="16"/>
                <w:szCs w:val="16"/>
                <w:lang w:val="en-US"/>
              </w:rPr>
            </w:pPr>
            <w:r w:rsidRPr="00C12274">
              <w:rPr>
                <w:sz w:val="16"/>
                <w:szCs w:val="16"/>
                <w:lang w:val="en-US"/>
              </w:rPr>
              <w:t>High overall attrition (25%). Loss to follow-up was similar in the intervention (25%) and control (24%) groups.</w:t>
            </w:r>
          </w:p>
        </w:tc>
      </w:tr>
      <w:tr w:rsidR="008E765F" w:rsidRPr="00C12274" w14:paraId="28454356" w14:textId="77777777" w:rsidTr="00BC7AEC">
        <w:trPr>
          <w:cantSplit/>
        </w:trPr>
        <w:tc>
          <w:tcPr>
            <w:tcW w:w="1560" w:type="dxa"/>
            <w:shd w:val="clear" w:color="D9E2F3" w:themeColor="accent1" w:themeTint="33" w:fill="auto"/>
          </w:tcPr>
          <w:p w14:paraId="110FAC29" w14:textId="77777777" w:rsidR="008E765F" w:rsidRPr="00C12274" w:rsidRDefault="008E765F" w:rsidP="00611251">
            <w:pPr>
              <w:spacing w:before="40" w:after="40" w:line="220" w:lineRule="exact"/>
              <w:rPr>
                <w:sz w:val="16"/>
                <w:szCs w:val="16"/>
              </w:rPr>
            </w:pPr>
            <w:r w:rsidRPr="00C12274">
              <w:rPr>
                <w:sz w:val="16"/>
                <w:szCs w:val="16"/>
              </w:rPr>
              <w:t>Selective reporting</w:t>
            </w:r>
          </w:p>
        </w:tc>
        <w:tc>
          <w:tcPr>
            <w:tcW w:w="1275" w:type="dxa"/>
            <w:shd w:val="clear" w:color="D9E2F3" w:themeColor="accent1" w:themeTint="33" w:fill="70AD47" w:themeFill="accent6"/>
          </w:tcPr>
          <w:p w14:paraId="214C6B13" w14:textId="77777777" w:rsidR="008E765F" w:rsidRPr="00C12274" w:rsidRDefault="008E765F" w:rsidP="00611251">
            <w:pPr>
              <w:spacing w:before="40" w:after="40" w:line="220" w:lineRule="exact"/>
              <w:rPr>
                <w:sz w:val="16"/>
                <w:szCs w:val="16"/>
              </w:rPr>
            </w:pPr>
            <w:r w:rsidRPr="00C12274">
              <w:rPr>
                <w:sz w:val="16"/>
                <w:szCs w:val="16"/>
              </w:rPr>
              <w:t>Low risk</w:t>
            </w:r>
          </w:p>
        </w:tc>
        <w:tc>
          <w:tcPr>
            <w:tcW w:w="11199" w:type="dxa"/>
            <w:shd w:val="clear" w:color="D9E2F3" w:themeColor="accent1" w:themeTint="33" w:fill="auto"/>
          </w:tcPr>
          <w:p w14:paraId="0BB48B00" w14:textId="77777777" w:rsidR="008E765F" w:rsidRPr="00C12274" w:rsidRDefault="008E765F" w:rsidP="00611251">
            <w:pPr>
              <w:spacing w:before="40" w:after="40" w:line="220" w:lineRule="exact"/>
              <w:rPr>
                <w:sz w:val="16"/>
                <w:szCs w:val="16"/>
              </w:rPr>
            </w:pPr>
            <w:r w:rsidRPr="00C12274">
              <w:rPr>
                <w:sz w:val="16"/>
                <w:szCs w:val="16"/>
              </w:rPr>
              <w:t>Pre-specified outcomes reported.</w:t>
            </w:r>
          </w:p>
        </w:tc>
      </w:tr>
      <w:tr w:rsidR="008E765F" w:rsidRPr="00C12274" w14:paraId="27BEE454" w14:textId="77777777" w:rsidTr="00BC7AEC">
        <w:trPr>
          <w:cantSplit/>
        </w:trPr>
        <w:tc>
          <w:tcPr>
            <w:tcW w:w="1560" w:type="dxa"/>
            <w:shd w:val="clear" w:color="D9E2F3" w:themeColor="accent1" w:themeTint="33" w:fill="auto"/>
          </w:tcPr>
          <w:p w14:paraId="043506E6" w14:textId="77777777" w:rsidR="008E765F" w:rsidRPr="00C12274" w:rsidRDefault="008E765F" w:rsidP="00611251">
            <w:pPr>
              <w:spacing w:before="40" w:after="40" w:line="220" w:lineRule="exact"/>
              <w:rPr>
                <w:sz w:val="16"/>
                <w:szCs w:val="16"/>
                <w:lang w:val="en-US"/>
              </w:rPr>
            </w:pPr>
            <w:r w:rsidRPr="00C12274">
              <w:rPr>
                <w:sz w:val="16"/>
                <w:szCs w:val="16"/>
                <w:lang w:val="en-US"/>
              </w:rPr>
              <w:t xml:space="preserve">Other limitations </w:t>
            </w:r>
          </w:p>
        </w:tc>
        <w:tc>
          <w:tcPr>
            <w:tcW w:w="1275" w:type="dxa"/>
            <w:shd w:val="clear" w:color="D9E2F3" w:themeColor="accent1" w:themeTint="33" w:fill="70AD47" w:themeFill="accent6"/>
          </w:tcPr>
          <w:p w14:paraId="01565211" w14:textId="77777777" w:rsidR="008E765F" w:rsidRPr="00C12274" w:rsidRDefault="008E765F" w:rsidP="00611251">
            <w:pPr>
              <w:spacing w:before="40" w:after="40" w:line="220" w:lineRule="exact"/>
              <w:rPr>
                <w:sz w:val="16"/>
                <w:szCs w:val="16"/>
                <w:lang w:val="en-US"/>
              </w:rPr>
            </w:pPr>
            <w:r w:rsidRPr="00C12274">
              <w:rPr>
                <w:sz w:val="16"/>
                <w:szCs w:val="16"/>
                <w:lang w:val="en-US"/>
              </w:rPr>
              <w:t>Low risk</w:t>
            </w:r>
          </w:p>
        </w:tc>
        <w:tc>
          <w:tcPr>
            <w:tcW w:w="11199" w:type="dxa"/>
            <w:shd w:val="clear" w:color="D9E2F3" w:themeColor="accent1" w:themeTint="33" w:fill="auto"/>
          </w:tcPr>
          <w:p w14:paraId="6797059A" w14:textId="77777777" w:rsidR="008E765F" w:rsidRPr="00C12274" w:rsidRDefault="008E765F" w:rsidP="00611251">
            <w:pPr>
              <w:spacing w:before="40" w:after="40" w:line="220" w:lineRule="exact"/>
              <w:rPr>
                <w:sz w:val="16"/>
                <w:szCs w:val="16"/>
                <w:lang w:val="en-US"/>
              </w:rPr>
            </w:pPr>
            <w:r w:rsidRPr="00C12274">
              <w:rPr>
                <w:sz w:val="16"/>
                <w:szCs w:val="16"/>
                <w:lang w:val="en-US"/>
              </w:rPr>
              <w:t>No significant differences between baseline characteristics of groups</w:t>
            </w:r>
          </w:p>
        </w:tc>
      </w:tr>
    </w:tbl>
    <w:p w14:paraId="570F1ABA" w14:textId="73DFDAF9" w:rsidR="008E765F" w:rsidRDefault="008E765F" w:rsidP="00611251">
      <w:pPr>
        <w:pStyle w:val="Heading3"/>
        <w:numPr>
          <w:ilvl w:val="0"/>
          <w:numId w:val="0"/>
        </w:numPr>
      </w:pPr>
      <w:bookmarkStart w:id="272" w:name="_Toc40956563"/>
      <w:r>
        <w:t>Lifestyle counselling intervention studies</w:t>
      </w:r>
      <w:bookmarkEnd w:id="272"/>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D9E2F3" w:themeColor="accent1" w:themeTint="33" w:fill="auto"/>
        <w:tblLayout w:type="fixed"/>
        <w:tblLook w:val="0000" w:firstRow="0" w:lastRow="0" w:firstColumn="0" w:lastColumn="0" w:noHBand="0" w:noVBand="0"/>
      </w:tblPr>
      <w:tblGrid>
        <w:gridCol w:w="1560"/>
        <w:gridCol w:w="1275"/>
        <w:gridCol w:w="11199"/>
      </w:tblGrid>
      <w:tr w:rsidR="008E765F" w:rsidRPr="00C12274" w14:paraId="0DBD2FAE" w14:textId="77777777" w:rsidTr="005A5EBF">
        <w:trPr>
          <w:trHeight w:val="99"/>
          <w:tblHeader/>
        </w:trPr>
        <w:tc>
          <w:tcPr>
            <w:tcW w:w="1560" w:type="dxa"/>
            <w:shd w:val="solid" w:color="2F5496" w:themeColor="accent1" w:themeShade="BF" w:fill="auto"/>
          </w:tcPr>
          <w:p w14:paraId="7981385E" w14:textId="77777777" w:rsidR="008E765F" w:rsidRPr="00C12274" w:rsidRDefault="008E765F" w:rsidP="00611251">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 xml:space="preserve">Study limitation </w:t>
            </w:r>
          </w:p>
        </w:tc>
        <w:tc>
          <w:tcPr>
            <w:tcW w:w="1275" w:type="dxa"/>
            <w:shd w:val="solid" w:color="2F5496" w:themeColor="accent1" w:themeShade="BF" w:fill="auto"/>
          </w:tcPr>
          <w:p w14:paraId="6D5C7671" w14:textId="77777777" w:rsidR="008E765F" w:rsidRPr="00C12274" w:rsidRDefault="008E765F" w:rsidP="00611251">
            <w:pPr>
              <w:pStyle w:val="Tablecell"/>
              <w:keepNext/>
              <w:jc w:val="center"/>
              <w:rPr>
                <w:rFonts w:eastAsiaTheme="minorHAnsi"/>
                <w:b/>
                <w:color w:val="FFFFFF" w:themeColor="background1"/>
                <w:sz w:val="16"/>
                <w:lang w:val="en-US"/>
              </w:rPr>
            </w:pPr>
            <w:r w:rsidRPr="00C12274">
              <w:rPr>
                <w:rFonts w:eastAsiaTheme="minorHAnsi"/>
                <w:b/>
                <w:color w:val="FFFFFF" w:themeColor="background1"/>
                <w:sz w:val="16"/>
                <w:lang w:val="en-US"/>
              </w:rPr>
              <w:t>Judgement</w:t>
            </w:r>
          </w:p>
        </w:tc>
        <w:tc>
          <w:tcPr>
            <w:tcW w:w="11199" w:type="dxa"/>
            <w:shd w:val="solid" w:color="2F5496" w:themeColor="accent1" w:themeShade="BF" w:fill="auto"/>
          </w:tcPr>
          <w:p w14:paraId="0F38B67A" w14:textId="77777777" w:rsidR="008E765F" w:rsidRPr="00C12274" w:rsidRDefault="008E765F" w:rsidP="00611251">
            <w:pPr>
              <w:pStyle w:val="Tablecell"/>
              <w:keepNext/>
              <w:rPr>
                <w:rFonts w:eastAsiaTheme="minorHAnsi"/>
                <w:b/>
                <w:color w:val="FFFFFF" w:themeColor="background1"/>
                <w:sz w:val="16"/>
                <w:lang w:val="en-US"/>
              </w:rPr>
            </w:pPr>
            <w:r w:rsidRPr="00C12274">
              <w:rPr>
                <w:rFonts w:eastAsiaTheme="minorHAnsi"/>
                <w:b/>
                <w:color w:val="FFFFFF" w:themeColor="background1"/>
                <w:sz w:val="16"/>
                <w:lang w:val="en-US"/>
              </w:rPr>
              <w:t>Support for judgement</w:t>
            </w:r>
          </w:p>
        </w:tc>
      </w:tr>
      <w:tr w:rsidR="00A04997" w:rsidRPr="00A657F0" w14:paraId="38942E89" w14:textId="77777777" w:rsidTr="005A5EBF">
        <w:trPr>
          <w:cantSplit/>
        </w:trPr>
        <w:tc>
          <w:tcPr>
            <w:tcW w:w="14034" w:type="dxa"/>
            <w:gridSpan w:val="3"/>
            <w:shd w:val="solid" w:color="D9E2F3" w:themeColor="accent1" w:themeTint="33" w:fill="auto"/>
          </w:tcPr>
          <w:p w14:paraId="11530284" w14:textId="133A60E0" w:rsidR="00A04997" w:rsidRPr="00A657F0" w:rsidRDefault="00A04997" w:rsidP="002747EA">
            <w:pPr>
              <w:pStyle w:val="RCTstable"/>
              <w:keepNext/>
              <w:rPr>
                <w:b/>
              </w:rPr>
            </w:pPr>
            <w:r w:rsidRPr="0025597C">
              <w:rPr>
                <w:rFonts w:ascii="Century Gothic" w:hAnsi="Century Gothic"/>
                <w:b/>
                <w:noProof/>
              </w:rPr>
              <w:t>Alt</w:t>
            </w:r>
            <w:r>
              <w:rPr>
                <w:rFonts w:ascii="Century Gothic" w:hAnsi="Century Gothic"/>
                <w:b/>
                <w:noProof/>
              </w:rPr>
              <w:t>azan</w:t>
            </w:r>
            <w:r w:rsidRPr="0025597C">
              <w:rPr>
                <w:rFonts w:ascii="Century Gothic" w:hAnsi="Century Gothic"/>
                <w:b/>
                <w:noProof/>
              </w:rPr>
              <w:t xml:space="preserve"> et al 20</w:t>
            </w:r>
            <w:r>
              <w:rPr>
                <w:rFonts w:ascii="Century Gothic" w:hAnsi="Century Gothic"/>
                <w:b/>
                <w:noProof/>
              </w:rPr>
              <w:t>19</w:t>
            </w:r>
            <w:r w:rsidR="00E37D04">
              <w:rPr>
                <w:rFonts w:ascii="Century Gothic" w:hAnsi="Century Gothic"/>
                <w:noProof/>
              </w:rPr>
              <w:fldChar w:fldCharType="begin">
                <w:fldData xml:space="preserve">PEVuZE5vdGU+PENpdGU+PEF1dGhvcj5BbHRhemFuPC9BdXRob3I+PFllYXI+MjAxOTwvWWVhcj48
UmVjTnVtPjEzNzk8L1JlY051bT48RGlzcGxheVRleHQ+PHN0eWxlIGZhY2U9InN1cGVyc2NyaXB0
IiBmb250PSJUcmVidWNoZXQgTVMiIHNpemU9IjkiPjUwNzwvc3R5bGU+PC9EaXNwbGF5VGV4dD48
cmVjb3JkPjxyZWMtbnVtYmVyPjEzNzk8L3JlYy1udW1iZXI+PGZvcmVpZ24ta2V5cz48a2V5IGFw
cD0iRU4iIGRiLWlkPSJleHZhc3JmeDJkdHJhb2VzYXN4cDJzenN4YTJkZjUwMjU5MngiIHRpbWVz
dGFtcD0iMTU2NzA2MTUxNCI+MTM3OTwva2V5PjxrZXkgYXBwPSJFTldlYiIgZGItaWQ9IiI+MDwv
a2V5PjwvZm9yZWlnbi1rZXlzPjxyZWYtdHlwZSBuYW1lPSJKb3VybmFsIEFydGljbGUiPjE3PC9y
ZWYtdHlwZT48Y29udHJpYnV0b3JzPjxhdXRob3JzPjxhdXRob3I+QWx0YXphbiwgQS4gRC48L2F1
dGhvcj48YXV0aG9yPlJlZG1hbiwgTC4gTS48L2F1dGhvcj48YXV0aG9yPkJ1cnRvbiwgSi4gSC48
L2F1dGhvcj48YXV0aG9yPkJleWwsIFIuIEEuPC9hdXRob3I+PGF1dGhvcj5DYWluLCBMLiBFLjwv
YXV0aG9yPjxhdXRob3I+U3V0dG9uLCBFLiBGLjwvYXV0aG9yPjxhdXRob3I+TWFydGluLCBDLiBL
LjwvYXV0aG9yPjwvYXV0aG9ycz48L2NvbnRyaWJ1dG9ycz48YXV0aC1hZGRyZXNzPlBlbm5pbmd0
b24gQmlvbWVkaWNhbCBSZXNlYXJjaCBDZW50ZXIsIExvdWlzaWFuYSBTdGF0ZSBVbml2ZXJzaXR5
LCA2NDAwIFBlcmtpbnMgUm9hZCwgQmF0b24gUm91Z2UsIExBLCA3MDgwOCwgVVNBLiYjeEQ7UGVu
bmluZ3RvbiBCaW9tZWRpY2FsIFJlc2VhcmNoIENlbnRlciwgTG91aXNpYW5hIFN0YXRlIFVuaXZl
cnNpdHksIDY0MDAgUGVya2lucyBSb2FkLCBCYXRvbiBSb3VnZSwgTEEsIDcwODA4LCBVU0EuIGNv
cmJ5Lm1hcnRpbkBwYnJjLmVkdS48L2F1dGgtYWRkcmVzcz48dGl0bGVzPjx0aXRsZT5Nb29kIGFu
ZCBxdWFsaXR5IG9mIGxpZmUgY2hhbmdlcyBpbiBwcmVnbmFuY3kgYW5kIHBvc3RwYXJ0dW0gYW5k
IHRoZSBlZmZlY3Qgb2YgYSBiZWhhdmlvcmFsIGludGVydmVudGlvbiB0YXJnZXRpbmcgZXhjZXNz
IGdlc3RhdGlvbmFsIHdlaWdodCBnYWluIGluIHdvbWVuIHdpdGggb3ZlcndlaWdodCBhbmQgb2Jl
c2l0eTogYSBwYXJhbGxlbC1hcm0gcmFuZG9taXplZCBjb250cm9sbGVkIHBpbG90IHRyaWFsPC90
aXRsZT48c2Vjb25kYXJ5LXRpdGxlPkJNQyBQcmVnbmFuY3kgQ2hpbGRiaXJ0aDwvc2Vjb25kYXJ5
LXRpdGxlPjwvdGl0bGVzPjxwZXJpb2RpY2FsPjxmdWxsLXRpdGxlPkJNQyBQcmVnbmFuY3kgQ2hp
bGRiaXJ0aDwvZnVsbC10aXRsZT48L3BlcmlvZGljYWw+PHBhZ2VzPjUwPC9wYWdlcz48dm9sdW1l
PjE5PC92b2x1bWU+PG51bWJlcj4xPC9udW1iZXI+PGVkaXRpb24+MjAxOS8wMS8zMTwvZWRpdGlv
bj48a2V5d29yZHM+PGtleXdvcmQ+QWR1bHQ8L2tleXdvcmQ+PGtleXdvcmQ+QmVoYXZpb3IgVGhl
cmFweS8qbWV0aG9kczwva2V5d29yZD48a2V5d29yZD5GZW1hbGU8L2tleXdvcmQ+PGtleXdvcmQ+
Kkdlc3RhdGlvbmFsIFdlaWdodCBHYWluPC9rZXl3b3JkPjxrZXl3b3JkPkh1bWFuczwva2V5d29y
ZD48a2V5d29yZD5MaWZlIFN0eWxlPC9rZXl3b3JkPjxrZXl3b3JkPk92ZXJ3ZWlnaHQvKnByZXZl
bnRpb24gJmFtcDsgY29udHJvbDwva2V5d29yZD48a2V5d29yZD5QaWxvdCBQcm9qZWN0czwva2V5
d29yZD48a2V5d29yZD5QcmVnbmFuY3k8L2tleXdvcmQ+PGtleXdvcmQ+UHJlbmF0YWwgQ2FyZS8q
bWV0aG9kczwva2V5d29yZD48a2V5d29yZD5RdWFsaXR5IG9mIExpZmUvKnBzeWNob2xvZ3k8L2tl
eXdvcmQ+PGtleXdvcmQ+VHJlYXRtZW50IE91dGNvbWU8L2tleXdvcmQ+PGtleXdvcmQ+V2VpZ2h0
IEdhaW48L2tleXdvcmQ+PGtleXdvcmQ+R2VzdGF0aW9uYWwgd2VpZ2h0IGdhaW48L2tleXdvcmQ+
PGtleXdvcmQ+TWVudGFsIGhlYWx0aDwva2V5d29yZD48a2V5d29yZD5RdWFsaXR5IG9mIGxpZmU8
L2tleXdvcmQ+PC9rZXl3b3Jkcz48ZGF0ZXM+PHllYXI+MjAxOTwveWVhcj48cHViLWRhdGVzPjxk
YXRlPkphbiAyOTwvZGF0ZT48L3B1Yi1kYXRlcz48L2RhdGVzPjxpc2JuPjE0NzEtMjM5MyAoRWxl
Y3Ryb25pYykmI3hEOzE0NzEtMjM5MyAoTGlua2luZyk8L2lzYm4+PGFjY2Vzc2lvbi1udW0+MzA2
OTY0MDg8L2FjY2Vzc2lvbi1udW0+PHVybHM+PHJlbGF0ZWQtdXJscz48dXJsPmh0dHBzOi8vd3d3
Lm5jYmkubmxtLm5paC5nb3YvcHVibWVkLzMwNjk2NDA4PC91cmw+PC9yZWxhdGVkLXVybHM+PC91
cmxzPjxjdXN0b20yPlBNQzYzNTIzNTI8L2N1c3RvbTI+PGVsZWN0cm9uaWMtcmVzb3VyY2UtbnVt
PjEwLjExODYvczEyODg0LTAxOS0yMTk2LTg8L2VsZWN0cm9uaWMtcmVzb3VyY2UtbnVtPjwvcmVj
b3JkPjwvQ2l0ZT48L0VuZE5vdGU+AG==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PEVuZE5vdGU+PENpdGU+PEF1dGhvcj5BbHRhemFuPC9BdXRob3I+PFllYXI+MjAxOTwvWWVhcj48
UmVjTnVtPjEzNzk8L1JlY051bT48RGlzcGxheVRleHQ+PHN0eWxlIGZhY2U9InN1cGVyc2NyaXB0
IiBmb250PSJUcmVidWNoZXQgTVMiIHNpemU9IjkiPjUwNzwvc3R5bGU+PC9EaXNwbGF5VGV4dD48
cmVjb3JkPjxyZWMtbnVtYmVyPjEzNzk8L3JlYy1udW1iZXI+PGZvcmVpZ24ta2V5cz48a2V5IGFw
cD0iRU4iIGRiLWlkPSJleHZhc3JmeDJkdHJhb2VzYXN4cDJzenN4YTJkZjUwMjU5MngiIHRpbWVz
dGFtcD0iMTU2NzA2MTUxNCI+MTM3OTwva2V5PjxrZXkgYXBwPSJFTldlYiIgZGItaWQ9IiI+MDwv
a2V5PjwvZm9yZWlnbi1rZXlzPjxyZWYtdHlwZSBuYW1lPSJKb3VybmFsIEFydGljbGUiPjE3PC9y
ZWYtdHlwZT48Y29udHJpYnV0b3JzPjxhdXRob3JzPjxhdXRob3I+QWx0YXphbiwgQS4gRC48L2F1
dGhvcj48YXV0aG9yPlJlZG1hbiwgTC4gTS48L2F1dGhvcj48YXV0aG9yPkJ1cnRvbiwgSi4gSC48
L2F1dGhvcj48YXV0aG9yPkJleWwsIFIuIEEuPC9hdXRob3I+PGF1dGhvcj5DYWluLCBMLiBFLjwv
YXV0aG9yPjxhdXRob3I+U3V0dG9uLCBFLiBGLjwvYXV0aG9yPjxhdXRob3I+TWFydGluLCBDLiBL
LjwvYXV0aG9yPjwvYXV0aG9ycz48L2NvbnRyaWJ1dG9ycz48YXV0aC1hZGRyZXNzPlBlbm5pbmd0
b24gQmlvbWVkaWNhbCBSZXNlYXJjaCBDZW50ZXIsIExvdWlzaWFuYSBTdGF0ZSBVbml2ZXJzaXR5
LCA2NDAwIFBlcmtpbnMgUm9hZCwgQmF0b24gUm91Z2UsIExBLCA3MDgwOCwgVVNBLiYjeEQ7UGVu
bmluZ3RvbiBCaW9tZWRpY2FsIFJlc2VhcmNoIENlbnRlciwgTG91aXNpYW5hIFN0YXRlIFVuaXZl
cnNpdHksIDY0MDAgUGVya2lucyBSb2FkLCBCYXRvbiBSb3VnZSwgTEEsIDcwODA4LCBVU0EuIGNv
cmJ5Lm1hcnRpbkBwYnJjLmVkdS48L2F1dGgtYWRkcmVzcz48dGl0bGVzPjx0aXRsZT5Nb29kIGFu
ZCBxdWFsaXR5IG9mIGxpZmUgY2hhbmdlcyBpbiBwcmVnbmFuY3kgYW5kIHBvc3RwYXJ0dW0gYW5k
IHRoZSBlZmZlY3Qgb2YgYSBiZWhhdmlvcmFsIGludGVydmVudGlvbiB0YXJnZXRpbmcgZXhjZXNz
IGdlc3RhdGlvbmFsIHdlaWdodCBnYWluIGluIHdvbWVuIHdpdGggb3ZlcndlaWdodCBhbmQgb2Jl
c2l0eTogYSBwYXJhbGxlbC1hcm0gcmFuZG9taXplZCBjb250cm9sbGVkIHBpbG90IHRyaWFsPC90
aXRsZT48c2Vjb25kYXJ5LXRpdGxlPkJNQyBQcmVnbmFuY3kgQ2hpbGRiaXJ0aDwvc2Vjb25kYXJ5
LXRpdGxlPjwvdGl0bGVzPjxwZXJpb2RpY2FsPjxmdWxsLXRpdGxlPkJNQyBQcmVnbmFuY3kgQ2hp
bGRiaXJ0aDwvZnVsbC10aXRsZT48L3BlcmlvZGljYWw+PHBhZ2VzPjUwPC9wYWdlcz48dm9sdW1l
PjE5PC92b2x1bWU+PG51bWJlcj4xPC9udW1iZXI+PGVkaXRpb24+MjAxOS8wMS8zMTwvZWRpdGlv
bj48a2V5d29yZHM+PGtleXdvcmQ+QWR1bHQ8L2tleXdvcmQ+PGtleXdvcmQ+QmVoYXZpb3IgVGhl
cmFweS8qbWV0aG9kczwva2V5d29yZD48a2V5d29yZD5GZW1hbGU8L2tleXdvcmQ+PGtleXdvcmQ+
Kkdlc3RhdGlvbmFsIFdlaWdodCBHYWluPC9rZXl3b3JkPjxrZXl3b3JkPkh1bWFuczwva2V5d29y
ZD48a2V5d29yZD5MaWZlIFN0eWxlPC9rZXl3b3JkPjxrZXl3b3JkPk92ZXJ3ZWlnaHQvKnByZXZl
bnRpb24gJmFtcDsgY29udHJvbDwva2V5d29yZD48a2V5d29yZD5QaWxvdCBQcm9qZWN0czwva2V5
d29yZD48a2V5d29yZD5QcmVnbmFuY3k8L2tleXdvcmQ+PGtleXdvcmQ+UHJlbmF0YWwgQ2FyZS8q
bWV0aG9kczwva2V5d29yZD48a2V5d29yZD5RdWFsaXR5IG9mIExpZmUvKnBzeWNob2xvZ3k8L2tl
eXdvcmQ+PGtleXdvcmQ+VHJlYXRtZW50IE91dGNvbWU8L2tleXdvcmQ+PGtleXdvcmQ+V2VpZ2h0
IEdhaW48L2tleXdvcmQ+PGtleXdvcmQ+R2VzdGF0aW9uYWwgd2VpZ2h0IGdhaW48L2tleXdvcmQ+
PGtleXdvcmQ+TWVudGFsIGhlYWx0aDwva2V5d29yZD48a2V5d29yZD5RdWFsaXR5IG9mIGxpZmU8
L2tleXdvcmQ+PC9rZXl3b3Jkcz48ZGF0ZXM+PHllYXI+MjAxOTwveWVhcj48cHViLWRhdGVzPjxk
YXRlPkphbiAyOTwvZGF0ZT48L3B1Yi1kYXRlcz48L2RhdGVzPjxpc2JuPjE0NzEtMjM5MyAoRWxl
Y3Ryb25pYykmI3hEOzE0NzEtMjM5MyAoTGlua2luZyk8L2lzYm4+PGFjY2Vzc2lvbi1udW0+MzA2
OTY0MDg8L2FjY2Vzc2lvbi1udW0+PHVybHM+PHJlbGF0ZWQtdXJscz48dXJsPmh0dHBzOi8vd3d3
Lm5jYmkubmxtLm5paC5nb3YvcHVibWVkLzMwNjk2NDA4PC91cmw+PC9yZWxhdGVkLXVybHM+PC91
cmxzPjxjdXN0b20yPlBNQzYzNTIzNTI8L2N1c3RvbTI+PGVsZWN0cm9uaWMtcmVzb3VyY2UtbnVt
PjEwLjExODYvczEyODg0LTAxOS0yMTk2LTg8L2VsZWN0cm9uaWMtcmVzb3VyY2UtbnVtPjwvcmVj
b3JkPjwvQ2l0ZT48L0VuZE5vdGU+AG==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E37D04">
              <w:rPr>
                <w:rFonts w:ascii="Century Gothic" w:hAnsi="Century Gothic"/>
                <w:noProof/>
              </w:rPr>
            </w:r>
            <w:r w:rsidR="00E37D04">
              <w:rPr>
                <w:rFonts w:ascii="Century Gothic" w:hAnsi="Century Gothic"/>
                <w:noProof/>
              </w:rPr>
              <w:fldChar w:fldCharType="separate"/>
            </w:r>
            <w:r w:rsidR="002747EA" w:rsidRPr="002747EA">
              <w:rPr>
                <w:noProof/>
                <w:sz w:val="18"/>
                <w:vertAlign w:val="superscript"/>
              </w:rPr>
              <w:t>507</w:t>
            </w:r>
            <w:r w:rsidR="00E37D04">
              <w:rPr>
                <w:rFonts w:ascii="Century Gothic" w:hAnsi="Century Gothic"/>
                <w:noProof/>
              </w:rPr>
              <w:fldChar w:fldCharType="end"/>
            </w:r>
          </w:p>
        </w:tc>
      </w:tr>
      <w:tr w:rsidR="00A04997" w:rsidRPr="00822EBF" w14:paraId="45C5C98E" w14:textId="77777777" w:rsidTr="005A5EBF">
        <w:trPr>
          <w:cantSplit/>
        </w:trPr>
        <w:tc>
          <w:tcPr>
            <w:tcW w:w="1560" w:type="dxa"/>
            <w:shd w:val="clear" w:color="D9E2F3" w:themeColor="accent1" w:themeTint="33" w:fill="auto"/>
          </w:tcPr>
          <w:p w14:paraId="27CA1A88" w14:textId="77777777" w:rsidR="00A04997" w:rsidRPr="00822EBF" w:rsidRDefault="00A04997" w:rsidP="00465384">
            <w:pPr>
              <w:pStyle w:val="RCTstable"/>
              <w:keepNext/>
            </w:pPr>
            <w:r w:rsidRPr="00822EBF">
              <w:t>Random sequence generation</w:t>
            </w:r>
          </w:p>
        </w:tc>
        <w:tc>
          <w:tcPr>
            <w:tcW w:w="1275" w:type="dxa"/>
            <w:shd w:val="clear" w:color="D9E2F3" w:themeColor="accent1" w:themeTint="33" w:fill="FF4D19"/>
          </w:tcPr>
          <w:p w14:paraId="0F68A84E" w14:textId="7E4FAC0F" w:rsidR="00A04997" w:rsidRPr="00822EBF" w:rsidRDefault="00E07FA2" w:rsidP="00465384">
            <w:pPr>
              <w:pStyle w:val="RCTstable"/>
              <w:keepNext/>
            </w:pPr>
            <w:r>
              <w:t>High</w:t>
            </w:r>
            <w:r w:rsidR="00A04997" w:rsidRPr="00822EBF">
              <w:t xml:space="preserve"> risk</w:t>
            </w:r>
          </w:p>
        </w:tc>
        <w:tc>
          <w:tcPr>
            <w:tcW w:w="11199" w:type="dxa"/>
            <w:shd w:val="clear" w:color="D9E2F3" w:themeColor="accent1" w:themeTint="33" w:fill="auto"/>
          </w:tcPr>
          <w:p w14:paraId="3D0D6418" w14:textId="45C3790B" w:rsidR="00A04997" w:rsidRPr="00146CE3" w:rsidRDefault="0094128D" w:rsidP="00146CE3">
            <w:pPr>
              <w:pStyle w:val="RCTstable"/>
            </w:pPr>
            <w:r>
              <w:t>“</w:t>
            </w:r>
            <w:r w:rsidR="00146CE3" w:rsidRPr="00146CE3">
              <w:t>Random assignment</w:t>
            </w:r>
            <w:r w:rsidR="00146CE3">
              <w:t xml:space="preserve"> </w:t>
            </w:r>
            <w:r w:rsidR="00146CE3" w:rsidRPr="00146CE3">
              <w:t>was stratified by enrollment body mass index (BMI) class</w:t>
            </w:r>
            <w:r w:rsidR="00146CE3">
              <w:t xml:space="preserve"> </w:t>
            </w:r>
            <w:r w:rsidR="00146CE3" w:rsidRPr="00146CE3">
              <w:t>and was prepared prior to study initiation by the biostatistician</w:t>
            </w:r>
            <w:r w:rsidR="00146CE3">
              <w:t xml:space="preserve"> </w:t>
            </w:r>
            <w:r w:rsidR="00146CE3" w:rsidRPr="00146CE3">
              <w:t xml:space="preserve">who numbered and sealed envelopes until an </w:t>
            </w:r>
            <w:r w:rsidR="00FD5A49">
              <w:t>unbli</w:t>
            </w:r>
            <w:r w:rsidR="00146CE3">
              <w:t xml:space="preserve">nded </w:t>
            </w:r>
            <w:r w:rsidR="00146CE3" w:rsidRPr="00146CE3">
              <w:t>staff member could retrieve the appropriate</w:t>
            </w:r>
            <w:r w:rsidR="00146CE3">
              <w:t xml:space="preserve"> </w:t>
            </w:r>
            <w:r w:rsidR="00146CE3" w:rsidRPr="00146CE3">
              <w:t>envelope.</w:t>
            </w:r>
            <w:r w:rsidR="00146CE3">
              <w:t>”</w:t>
            </w:r>
          </w:p>
        </w:tc>
      </w:tr>
      <w:tr w:rsidR="00A04997" w:rsidRPr="00822EBF" w14:paraId="34309934" w14:textId="77777777" w:rsidTr="005A5EBF">
        <w:trPr>
          <w:cantSplit/>
          <w:trHeight w:val="543"/>
        </w:trPr>
        <w:tc>
          <w:tcPr>
            <w:tcW w:w="1560" w:type="dxa"/>
            <w:shd w:val="clear" w:color="D9E2F3" w:themeColor="accent1" w:themeTint="33" w:fill="auto"/>
          </w:tcPr>
          <w:p w14:paraId="4FD22873" w14:textId="77777777" w:rsidR="00A04997" w:rsidRPr="00822EBF" w:rsidRDefault="00A04997" w:rsidP="00465384">
            <w:pPr>
              <w:pStyle w:val="RCTstable"/>
              <w:keepNext/>
            </w:pPr>
            <w:r w:rsidRPr="00822EBF">
              <w:t xml:space="preserve">Allocation concealment </w:t>
            </w:r>
          </w:p>
        </w:tc>
        <w:tc>
          <w:tcPr>
            <w:tcW w:w="1275" w:type="dxa"/>
            <w:shd w:val="clear" w:color="D9E2F3" w:themeColor="accent1" w:themeTint="33" w:fill="FFC000" w:themeFill="accent4"/>
          </w:tcPr>
          <w:p w14:paraId="4C6691C7" w14:textId="77777777" w:rsidR="00A04997" w:rsidRPr="00822EBF" w:rsidRDefault="00A04997" w:rsidP="00465384">
            <w:pPr>
              <w:pStyle w:val="RCTstable"/>
              <w:keepNext/>
            </w:pPr>
            <w:r w:rsidRPr="00822EBF">
              <w:t>Unclear risk</w:t>
            </w:r>
          </w:p>
        </w:tc>
        <w:tc>
          <w:tcPr>
            <w:tcW w:w="11199" w:type="dxa"/>
            <w:shd w:val="clear" w:color="D9E2F3" w:themeColor="accent1" w:themeTint="33" w:fill="auto"/>
          </w:tcPr>
          <w:p w14:paraId="15F35C82" w14:textId="77777777" w:rsidR="00A04997" w:rsidRPr="00822EBF" w:rsidRDefault="00A04997" w:rsidP="00465384">
            <w:pPr>
              <w:pStyle w:val="RCTstable"/>
              <w:keepNext/>
            </w:pPr>
            <w:r w:rsidRPr="00822EBF">
              <w:t>Not described</w:t>
            </w:r>
          </w:p>
        </w:tc>
      </w:tr>
      <w:tr w:rsidR="00A04997" w:rsidRPr="00822EBF" w14:paraId="56303445" w14:textId="77777777" w:rsidTr="005A5EBF">
        <w:trPr>
          <w:cantSplit/>
        </w:trPr>
        <w:tc>
          <w:tcPr>
            <w:tcW w:w="1560" w:type="dxa"/>
            <w:shd w:val="clear" w:color="D9E2F3" w:themeColor="accent1" w:themeTint="33" w:fill="auto"/>
          </w:tcPr>
          <w:p w14:paraId="47723FA6" w14:textId="77777777" w:rsidR="00A04997" w:rsidRPr="00822EBF" w:rsidRDefault="00A04997" w:rsidP="00465384">
            <w:pPr>
              <w:pStyle w:val="RCTstable"/>
              <w:keepNext/>
            </w:pPr>
            <w:r w:rsidRPr="00822EBF">
              <w:t>Performance bias</w:t>
            </w:r>
          </w:p>
        </w:tc>
        <w:tc>
          <w:tcPr>
            <w:tcW w:w="1275" w:type="dxa"/>
            <w:shd w:val="clear" w:color="D9E2F3" w:themeColor="accent1" w:themeTint="33" w:fill="FFC000" w:themeFill="accent4"/>
          </w:tcPr>
          <w:p w14:paraId="0500A265" w14:textId="45E2E40C" w:rsidR="00A04997" w:rsidRPr="00822EBF" w:rsidRDefault="00146CE3" w:rsidP="00465384">
            <w:pPr>
              <w:pStyle w:val="RCTstable"/>
              <w:keepNext/>
            </w:pPr>
            <w:r>
              <w:t>Unclear</w:t>
            </w:r>
            <w:r w:rsidR="00A04997" w:rsidRPr="00822EBF">
              <w:t xml:space="preserve"> risk</w:t>
            </w:r>
          </w:p>
        </w:tc>
        <w:tc>
          <w:tcPr>
            <w:tcW w:w="11199" w:type="dxa"/>
            <w:shd w:val="clear" w:color="D9E2F3" w:themeColor="accent1" w:themeTint="33" w:fill="auto"/>
          </w:tcPr>
          <w:p w14:paraId="04629D10" w14:textId="1B60F2BC" w:rsidR="00A04997" w:rsidRPr="00822EBF" w:rsidRDefault="00146CE3" w:rsidP="00465384">
            <w:pPr>
              <w:pStyle w:val="RCTstable"/>
              <w:keepNext/>
            </w:pPr>
            <w:r>
              <w:t>Not described</w:t>
            </w:r>
          </w:p>
        </w:tc>
      </w:tr>
      <w:tr w:rsidR="00A04997" w:rsidRPr="00822EBF" w14:paraId="7075FBAB" w14:textId="77777777" w:rsidTr="005A5EBF">
        <w:trPr>
          <w:cantSplit/>
        </w:trPr>
        <w:tc>
          <w:tcPr>
            <w:tcW w:w="1560" w:type="dxa"/>
            <w:shd w:val="clear" w:color="D9E2F3" w:themeColor="accent1" w:themeTint="33" w:fill="auto"/>
          </w:tcPr>
          <w:p w14:paraId="12522385" w14:textId="77777777" w:rsidR="00A04997" w:rsidRPr="00822EBF" w:rsidRDefault="00A04997" w:rsidP="00465384">
            <w:pPr>
              <w:pStyle w:val="RCTstable"/>
            </w:pPr>
            <w:r w:rsidRPr="00822EBF">
              <w:t>Detection bias</w:t>
            </w:r>
          </w:p>
        </w:tc>
        <w:tc>
          <w:tcPr>
            <w:tcW w:w="1275" w:type="dxa"/>
            <w:shd w:val="clear" w:color="D9E2F3" w:themeColor="accent1" w:themeTint="33" w:fill="FF4D19"/>
          </w:tcPr>
          <w:p w14:paraId="742960BB" w14:textId="2ACB7842" w:rsidR="00A04997" w:rsidRPr="00822EBF" w:rsidRDefault="00146CE3" w:rsidP="00465384">
            <w:pPr>
              <w:pStyle w:val="RCTstable"/>
            </w:pPr>
            <w:r>
              <w:t>High</w:t>
            </w:r>
            <w:r w:rsidR="00A04997" w:rsidRPr="00822EBF">
              <w:t xml:space="preserve"> risk</w:t>
            </w:r>
          </w:p>
        </w:tc>
        <w:tc>
          <w:tcPr>
            <w:tcW w:w="11199" w:type="dxa"/>
            <w:shd w:val="clear" w:color="D9E2F3" w:themeColor="accent1" w:themeTint="33" w:fill="auto"/>
          </w:tcPr>
          <w:p w14:paraId="7270E7B5" w14:textId="51F904AD" w:rsidR="00A04997" w:rsidRPr="00822EBF" w:rsidRDefault="00A04997" w:rsidP="00465384">
            <w:pPr>
              <w:pStyle w:val="RCTstable"/>
            </w:pPr>
            <w:r w:rsidRPr="00822EBF">
              <w:t xml:space="preserve">Research assistants </w:t>
            </w:r>
            <w:r w:rsidR="00463F6D">
              <w:t xml:space="preserve">were not </w:t>
            </w:r>
            <w:r w:rsidRPr="00822EBF">
              <w:t>blinded to treatment allocation.</w:t>
            </w:r>
          </w:p>
        </w:tc>
      </w:tr>
      <w:tr w:rsidR="00A04997" w:rsidRPr="00822EBF" w14:paraId="69A5CE67" w14:textId="77777777" w:rsidTr="005A5EBF">
        <w:trPr>
          <w:cantSplit/>
        </w:trPr>
        <w:tc>
          <w:tcPr>
            <w:tcW w:w="1560" w:type="dxa"/>
            <w:shd w:val="clear" w:color="D9E2F3" w:themeColor="accent1" w:themeTint="33" w:fill="auto"/>
          </w:tcPr>
          <w:p w14:paraId="7944C521" w14:textId="77777777" w:rsidR="00A04997" w:rsidRPr="00822EBF" w:rsidRDefault="00A04997" w:rsidP="00465384">
            <w:pPr>
              <w:pStyle w:val="RCTstable"/>
            </w:pPr>
            <w:r w:rsidRPr="00822EBF">
              <w:t>Incomplete outcome data</w:t>
            </w:r>
          </w:p>
        </w:tc>
        <w:tc>
          <w:tcPr>
            <w:tcW w:w="1275" w:type="dxa"/>
            <w:shd w:val="clear" w:color="D9E2F3" w:themeColor="accent1" w:themeTint="33" w:fill="FF4D19"/>
          </w:tcPr>
          <w:p w14:paraId="5E4B867C" w14:textId="12766C0E" w:rsidR="00A04997" w:rsidRPr="00822EBF" w:rsidRDefault="00FD5A49" w:rsidP="00465384">
            <w:pPr>
              <w:pStyle w:val="RCTstable"/>
            </w:pPr>
            <w:r>
              <w:t>High</w:t>
            </w:r>
            <w:r w:rsidR="00A04997" w:rsidRPr="00822EBF">
              <w:t xml:space="preserve"> risk</w:t>
            </w:r>
          </w:p>
        </w:tc>
        <w:tc>
          <w:tcPr>
            <w:tcW w:w="11199" w:type="dxa"/>
            <w:shd w:val="clear" w:color="D9E2F3" w:themeColor="accent1" w:themeTint="33" w:fill="auto"/>
          </w:tcPr>
          <w:p w14:paraId="12733ADC" w14:textId="0993B13B" w:rsidR="00A04997" w:rsidRPr="00C52483" w:rsidRDefault="00C52483" w:rsidP="00C52483">
            <w:pPr>
              <w:pStyle w:val="RCTstable"/>
            </w:pPr>
            <w:r w:rsidRPr="00C52483">
              <w:t>Four women dropped due</w:t>
            </w:r>
            <w:r>
              <w:t xml:space="preserve"> </w:t>
            </w:r>
            <w:r w:rsidRPr="00C52483">
              <w:t>to miscarriage and 7 women did not complete psychological</w:t>
            </w:r>
            <w:r>
              <w:t xml:space="preserve"> </w:t>
            </w:r>
            <w:r w:rsidRPr="00C52483">
              <w:t>assessments after baseline so 11 women were not</w:t>
            </w:r>
            <w:r>
              <w:t xml:space="preserve"> </w:t>
            </w:r>
            <w:r w:rsidRPr="00C52483">
              <w:t>included. Of the 11 women, 5 were dropped from the</w:t>
            </w:r>
            <w:r>
              <w:t xml:space="preserve"> </w:t>
            </w:r>
            <w:r w:rsidRPr="00C52483">
              <w:t>SmartMoms® intervention, and 6 were dropped from the</w:t>
            </w:r>
            <w:r>
              <w:t xml:space="preserve"> </w:t>
            </w:r>
            <w:r w:rsidRPr="00C52483">
              <w:t>Usual Care group.</w:t>
            </w:r>
            <w:r w:rsidR="00FD5A49">
              <w:t xml:space="preserve"> This meant that 86.5% of women randomised to the intervention group and 65% of women randomised to the control group were included in the analysis.</w:t>
            </w:r>
          </w:p>
        </w:tc>
      </w:tr>
      <w:tr w:rsidR="00A04997" w:rsidRPr="00822EBF" w14:paraId="6036F1BB" w14:textId="77777777" w:rsidTr="005A5EBF">
        <w:trPr>
          <w:cantSplit/>
        </w:trPr>
        <w:tc>
          <w:tcPr>
            <w:tcW w:w="1560" w:type="dxa"/>
            <w:shd w:val="clear" w:color="D9E2F3" w:themeColor="accent1" w:themeTint="33" w:fill="auto"/>
          </w:tcPr>
          <w:p w14:paraId="18EC465F" w14:textId="77777777" w:rsidR="00A04997" w:rsidRPr="00822EBF" w:rsidRDefault="00A04997" w:rsidP="00465384">
            <w:pPr>
              <w:pStyle w:val="RCTstable"/>
            </w:pPr>
            <w:r w:rsidRPr="00822EBF">
              <w:t>Selective reporting</w:t>
            </w:r>
          </w:p>
        </w:tc>
        <w:tc>
          <w:tcPr>
            <w:tcW w:w="1275" w:type="dxa"/>
            <w:shd w:val="clear" w:color="D9E2F3" w:themeColor="accent1" w:themeTint="33" w:fill="FFC000" w:themeFill="accent4"/>
          </w:tcPr>
          <w:p w14:paraId="3B547524" w14:textId="77777777" w:rsidR="00A04997" w:rsidRPr="00822EBF" w:rsidRDefault="00A04997" w:rsidP="00465384">
            <w:pPr>
              <w:pStyle w:val="RCTstable"/>
            </w:pPr>
            <w:r w:rsidRPr="00822EBF">
              <w:t>Unclear risk</w:t>
            </w:r>
          </w:p>
        </w:tc>
        <w:tc>
          <w:tcPr>
            <w:tcW w:w="11199" w:type="dxa"/>
            <w:shd w:val="clear" w:color="D9E2F3" w:themeColor="accent1" w:themeTint="33" w:fill="auto"/>
          </w:tcPr>
          <w:p w14:paraId="321EBC9F" w14:textId="77777777" w:rsidR="00A04997" w:rsidRPr="00822EBF" w:rsidRDefault="00A04997" w:rsidP="00465384">
            <w:pPr>
              <w:pStyle w:val="RCTstable"/>
            </w:pPr>
            <w:r w:rsidRPr="00822EBF">
              <w:t>All expected outcomes reported.</w:t>
            </w:r>
          </w:p>
        </w:tc>
      </w:tr>
      <w:tr w:rsidR="00A04997" w:rsidRPr="00822EBF" w14:paraId="03EAB5C2" w14:textId="77777777" w:rsidTr="005A5EBF">
        <w:trPr>
          <w:cantSplit/>
        </w:trPr>
        <w:tc>
          <w:tcPr>
            <w:tcW w:w="1560" w:type="dxa"/>
            <w:shd w:val="clear" w:color="D9E2F3" w:themeColor="accent1" w:themeTint="33" w:fill="auto"/>
          </w:tcPr>
          <w:p w14:paraId="36E48832" w14:textId="77777777" w:rsidR="00A04997" w:rsidRPr="00822EBF" w:rsidRDefault="00A04997" w:rsidP="00465384">
            <w:pPr>
              <w:pStyle w:val="RCTstable"/>
            </w:pPr>
            <w:r w:rsidRPr="00822EBF">
              <w:t xml:space="preserve">Other limitations </w:t>
            </w:r>
          </w:p>
        </w:tc>
        <w:tc>
          <w:tcPr>
            <w:tcW w:w="1275" w:type="dxa"/>
            <w:shd w:val="clear" w:color="D9E2F3" w:themeColor="accent1" w:themeTint="33" w:fill="70AD47" w:themeFill="accent6"/>
          </w:tcPr>
          <w:p w14:paraId="7849CA44" w14:textId="4E0718A3" w:rsidR="00A04997" w:rsidRPr="00822EBF" w:rsidRDefault="00C52483" w:rsidP="00465384">
            <w:pPr>
              <w:pStyle w:val="RCTstable"/>
            </w:pPr>
            <w:r>
              <w:t>Low</w:t>
            </w:r>
            <w:r w:rsidR="00A04997" w:rsidRPr="00822EBF">
              <w:t xml:space="preserve"> risk</w:t>
            </w:r>
          </w:p>
        </w:tc>
        <w:tc>
          <w:tcPr>
            <w:tcW w:w="11199" w:type="dxa"/>
            <w:shd w:val="clear" w:color="D9E2F3" w:themeColor="accent1" w:themeTint="33" w:fill="auto"/>
          </w:tcPr>
          <w:p w14:paraId="41E18651" w14:textId="3916C08A" w:rsidR="00A04997" w:rsidRPr="00C52483" w:rsidRDefault="00C52483" w:rsidP="00C52483">
            <w:pPr>
              <w:pStyle w:val="RCTstable"/>
            </w:pPr>
            <w:r>
              <w:t>“</w:t>
            </w:r>
            <w:r w:rsidRPr="00C52483">
              <w:t>The demographic characteristics of the</w:t>
            </w:r>
            <w:r>
              <w:t xml:space="preserve"> </w:t>
            </w:r>
            <w:r w:rsidRPr="00C52483">
              <w:t>SmartMoms® Intervention and Usual Care groups were</w:t>
            </w:r>
            <w:r>
              <w:t xml:space="preserve"> </w:t>
            </w:r>
            <w:r w:rsidRPr="00C52483">
              <w:t>similar with no statistical differences observed between</w:t>
            </w:r>
            <w:r>
              <w:t xml:space="preserve"> </w:t>
            </w:r>
            <w:r w:rsidRPr="00C52483">
              <w:t xml:space="preserve">groups at </w:t>
            </w:r>
            <w:r>
              <w:t>enrolment.”</w:t>
            </w:r>
          </w:p>
        </w:tc>
      </w:tr>
      <w:tr w:rsidR="008E765F" w:rsidRPr="00A657F0" w14:paraId="3EDE321F" w14:textId="77777777" w:rsidTr="005A5EBF">
        <w:trPr>
          <w:cantSplit/>
        </w:trPr>
        <w:tc>
          <w:tcPr>
            <w:tcW w:w="14034" w:type="dxa"/>
            <w:gridSpan w:val="3"/>
            <w:shd w:val="solid" w:color="D9E2F3" w:themeColor="accent1" w:themeTint="33" w:fill="auto"/>
          </w:tcPr>
          <w:p w14:paraId="2DDAD305" w14:textId="5F81C363" w:rsidR="008E765F" w:rsidRPr="00A657F0" w:rsidRDefault="008E765F" w:rsidP="002747EA">
            <w:pPr>
              <w:pStyle w:val="RCTstable"/>
              <w:keepNext/>
              <w:rPr>
                <w:b/>
              </w:rPr>
            </w:pPr>
            <w:r w:rsidRPr="0025597C">
              <w:rPr>
                <w:rFonts w:ascii="Century Gothic" w:hAnsi="Century Gothic"/>
                <w:b/>
                <w:noProof/>
              </w:rPr>
              <w:t>Althuizen et al 2013</w:t>
            </w:r>
            <w:r>
              <w:rPr>
                <w:rFonts w:ascii="Century Gothic" w:hAnsi="Century Gothic"/>
                <w:b/>
                <w:noProof/>
              </w:rPr>
              <w:fldChar w:fldCharType="begin"/>
            </w:r>
            <w:r w:rsidR="002747EA">
              <w:rPr>
                <w:rFonts w:ascii="Century Gothic" w:hAnsi="Century Gothic"/>
                <w:b/>
                <w:noProof/>
              </w:rPr>
              <w:instrText xml:space="preserve"> ADDIN EN.CITE &lt;EndNote&gt;&lt;Cite&gt;&lt;Author&gt;Althuizen&lt;/Author&gt;&lt;Year&gt;2013&lt;/Year&gt;&lt;RecNum&gt;709&lt;/RecNum&gt;&lt;DisplayText&gt;&lt;style face="superscript" font="Trebuchet MS" size="9"&gt;485&lt;/style&gt;&lt;/DisplayText&gt;&lt;record&gt;&lt;rec-number&gt;709&lt;/rec-number&gt;&lt;foreign-keys&gt;&lt;key app="EN" db-id="exvasrfx2dtraoesasxp2szsxa2df502592x" timestamp="1541462216"&gt;709&lt;/key&gt;&lt;/foreign-keys&gt;&lt;ref-type name="Journal Article"&gt;17&lt;/ref-type&gt;&lt;contributors&gt;&lt;authors&gt;&lt;author&gt;Althuizen, E.&lt;/author&gt;&lt;author&gt;van der Wijden, C. L.&lt;/author&gt;&lt;author&gt;van Mechelen, W.&lt;/author&gt;&lt;author&gt;Seidell, J. C.&lt;/author&gt;&lt;author&gt;van Poppel, M. N.&lt;/author&gt;&lt;/authors&gt;&lt;/contributors&gt;&lt;auth-address&gt;Department of Public and Occupational Health and the EMGO Institute for Health and Care Research, VU University Medical Centre, Amsterdam, The Netherlands.&lt;/auth-address&gt;&lt;titles&gt;&lt;title&gt;The effect of a counselling intervention on weight changes during and after pregnancy: a randomised trial&lt;/title&gt;&lt;secondary-title&gt;BJOG&lt;/secondary-title&gt;&lt;/titles&gt;&lt;periodical&gt;&lt;full-title&gt;BJOG&lt;/full-title&gt;&lt;/periodical&gt;&lt;pages&gt;92-9&lt;/pages&gt;&lt;volume&gt;120&lt;/volume&gt;&lt;number&gt;1&lt;/number&gt;&lt;edition&gt;2012/11/06&lt;/edition&gt;&lt;keywords&gt;&lt;keyword&gt;Adult&lt;/keyword&gt;&lt;keyword&gt;Birth Weight&lt;/keyword&gt;&lt;keyword&gt;Body Mass Index&lt;/keyword&gt;&lt;keyword&gt;Counseling/*methods&lt;/keyword&gt;&lt;keyword&gt;Female&lt;/keyword&gt;&lt;keyword&gt;Humans&lt;/keyword&gt;&lt;keyword&gt;Netherlands&lt;/keyword&gt;&lt;keyword&gt;Overweight/*prevention &amp;amp; control&lt;/keyword&gt;&lt;keyword&gt;Patient Compliance&lt;/keyword&gt;&lt;keyword&gt;Pregnancy&lt;/keyword&gt;&lt;keyword&gt;Pregnancy Complications/*prevention &amp;amp; control&lt;/keyword&gt;&lt;keyword&gt;Pregnancy Outcome&lt;/keyword&gt;&lt;keyword&gt;Prenatal Care/*methods&lt;/keyword&gt;&lt;keyword&gt;Weight Gain&lt;/keyword&gt;&lt;/keywords&gt;&lt;dates&gt;&lt;year&gt;2013&lt;/year&gt;&lt;pub-dates&gt;&lt;date&gt;Jan&lt;/date&gt;&lt;/pub-dates&gt;&lt;/dates&gt;&lt;isbn&gt;1471-0528 (Electronic)&amp;#xD;1470-0328 (Linking)&lt;/isbn&gt;&lt;accession-num&gt;23121074&lt;/accession-num&gt;&lt;urls&gt;&lt;related-urls&gt;&lt;url&gt;https://www.ncbi.nlm.nih.gov/pubmed/23121074&lt;/url&gt;&lt;/related-urls&gt;&lt;/urls&gt;&lt;electronic-resource-num&gt;10.1111/1471-0528.12014&lt;/electronic-resource-num&gt;&lt;/record&gt;&lt;/Cite&gt;&lt;/EndNote&gt;</w:instrText>
            </w:r>
            <w:r>
              <w:rPr>
                <w:rFonts w:ascii="Century Gothic" w:hAnsi="Century Gothic"/>
                <w:b/>
                <w:noProof/>
              </w:rPr>
              <w:fldChar w:fldCharType="separate"/>
            </w:r>
            <w:r w:rsidR="002747EA" w:rsidRPr="002747EA">
              <w:rPr>
                <w:b/>
                <w:noProof/>
                <w:sz w:val="18"/>
                <w:vertAlign w:val="superscript"/>
              </w:rPr>
              <w:t>485</w:t>
            </w:r>
            <w:r>
              <w:rPr>
                <w:rFonts w:ascii="Century Gothic" w:hAnsi="Century Gothic"/>
                <w:b/>
                <w:noProof/>
              </w:rPr>
              <w:fldChar w:fldCharType="end"/>
            </w:r>
          </w:p>
        </w:tc>
      </w:tr>
      <w:tr w:rsidR="008E765F" w:rsidRPr="00822EBF" w14:paraId="02EA5A25" w14:textId="77777777" w:rsidTr="005A5EBF">
        <w:trPr>
          <w:cantSplit/>
        </w:trPr>
        <w:tc>
          <w:tcPr>
            <w:tcW w:w="1560" w:type="dxa"/>
            <w:shd w:val="clear" w:color="D9E2F3" w:themeColor="accent1" w:themeTint="33" w:fill="auto"/>
          </w:tcPr>
          <w:p w14:paraId="6D3597CA"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3C0D19FE"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5DAAF79E" w14:textId="77777777" w:rsidR="008E765F" w:rsidRPr="00822EBF" w:rsidRDefault="008E765F" w:rsidP="00611251">
            <w:pPr>
              <w:pStyle w:val="RCTstable"/>
              <w:keepNext/>
            </w:pPr>
            <w:r>
              <w:t>“</w:t>
            </w:r>
            <w:r w:rsidRPr="00822EBF">
              <w:t>A computerised random number generator drew up an allocation schedule prestratified for midwifery practices.</w:t>
            </w:r>
            <w:r>
              <w:t>”</w:t>
            </w:r>
          </w:p>
        </w:tc>
      </w:tr>
      <w:tr w:rsidR="008E765F" w:rsidRPr="00822EBF" w14:paraId="263CA461" w14:textId="77777777" w:rsidTr="005A5EBF">
        <w:trPr>
          <w:cantSplit/>
        </w:trPr>
        <w:tc>
          <w:tcPr>
            <w:tcW w:w="1560" w:type="dxa"/>
            <w:shd w:val="clear" w:color="D9E2F3" w:themeColor="accent1" w:themeTint="33" w:fill="auto"/>
          </w:tcPr>
          <w:p w14:paraId="7390E693" w14:textId="77777777" w:rsidR="008E765F" w:rsidRPr="00822EBF" w:rsidRDefault="008E765F" w:rsidP="00611251">
            <w:pPr>
              <w:pStyle w:val="RCTstable"/>
              <w:keepNext/>
            </w:pPr>
            <w:r w:rsidRPr="00822EBF">
              <w:t xml:space="preserve">Allocation concealment </w:t>
            </w:r>
          </w:p>
        </w:tc>
        <w:tc>
          <w:tcPr>
            <w:tcW w:w="1275" w:type="dxa"/>
            <w:shd w:val="clear" w:color="D9E2F3" w:themeColor="accent1" w:themeTint="33" w:fill="FFC000" w:themeFill="accent4"/>
          </w:tcPr>
          <w:p w14:paraId="18EA8AE5" w14:textId="77777777" w:rsidR="008E765F" w:rsidRPr="00822EBF" w:rsidRDefault="008E765F" w:rsidP="00611251">
            <w:pPr>
              <w:pStyle w:val="RCTstable"/>
              <w:keepNext/>
            </w:pPr>
            <w:r w:rsidRPr="00822EBF">
              <w:t>Unclear risk</w:t>
            </w:r>
          </w:p>
        </w:tc>
        <w:tc>
          <w:tcPr>
            <w:tcW w:w="11199" w:type="dxa"/>
            <w:shd w:val="clear" w:color="D9E2F3" w:themeColor="accent1" w:themeTint="33" w:fill="auto"/>
          </w:tcPr>
          <w:p w14:paraId="78DF368C" w14:textId="77777777" w:rsidR="008E765F" w:rsidRPr="00822EBF" w:rsidRDefault="008E765F" w:rsidP="00611251">
            <w:pPr>
              <w:pStyle w:val="RCTstable"/>
              <w:keepNext/>
            </w:pPr>
            <w:r w:rsidRPr="00822EBF">
              <w:t>Not described</w:t>
            </w:r>
          </w:p>
        </w:tc>
      </w:tr>
      <w:tr w:rsidR="008E765F" w:rsidRPr="00822EBF" w14:paraId="52E01DA0" w14:textId="77777777" w:rsidTr="005A5EBF">
        <w:trPr>
          <w:cantSplit/>
        </w:trPr>
        <w:tc>
          <w:tcPr>
            <w:tcW w:w="1560" w:type="dxa"/>
            <w:shd w:val="clear" w:color="D9E2F3" w:themeColor="accent1" w:themeTint="33" w:fill="auto"/>
          </w:tcPr>
          <w:p w14:paraId="7F7AD91A" w14:textId="77777777" w:rsidR="008E765F" w:rsidRPr="00822EBF" w:rsidRDefault="008E765F" w:rsidP="00611251">
            <w:pPr>
              <w:pStyle w:val="RCTstable"/>
              <w:keepNext/>
            </w:pPr>
            <w:r w:rsidRPr="00822EBF">
              <w:t>Performance bias</w:t>
            </w:r>
          </w:p>
        </w:tc>
        <w:tc>
          <w:tcPr>
            <w:tcW w:w="1275" w:type="dxa"/>
            <w:shd w:val="clear" w:color="D9E2F3" w:themeColor="accent1" w:themeTint="33" w:fill="FF4D19"/>
          </w:tcPr>
          <w:p w14:paraId="26E7BFAB" w14:textId="77777777" w:rsidR="008E765F" w:rsidRPr="00822EBF" w:rsidRDefault="008E765F" w:rsidP="00611251">
            <w:pPr>
              <w:pStyle w:val="RCTstable"/>
              <w:keepNext/>
            </w:pPr>
            <w:r w:rsidRPr="00822EBF">
              <w:t>High risk</w:t>
            </w:r>
          </w:p>
        </w:tc>
        <w:tc>
          <w:tcPr>
            <w:tcW w:w="11199" w:type="dxa"/>
            <w:shd w:val="clear" w:color="D9E2F3" w:themeColor="accent1" w:themeTint="33" w:fill="auto"/>
          </w:tcPr>
          <w:p w14:paraId="23B0DB77" w14:textId="77777777" w:rsidR="008E765F" w:rsidRPr="00822EBF" w:rsidRDefault="008E765F" w:rsidP="00611251">
            <w:pPr>
              <w:pStyle w:val="RCTstable"/>
              <w:keepNext/>
            </w:pPr>
            <w:r>
              <w:t>“</w:t>
            </w:r>
            <w:r w:rsidRPr="00822EBF">
              <w:t>Participant blinding not possible for the intervention</w:t>
            </w:r>
            <w:r>
              <w:t>.”</w:t>
            </w:r>
          </w:p>
        </w:tc>
      </w:tr>
      <w:tr w:rsidR="008E765F" w:rsidRPr="00822EBF" w14:paraId="4793F29E" w14:textId="77777777" w:rsidTr="005A5EBF">
        <w:trPr>
          <w:cantSplit/>
        </w:trPr>
        <w:tc>
          <w:tcPr>
            <w:tcW w:w="1560" w:type="dxa"/>
            <w:shd w:val="clear" w:color="D9E2F3" w:themeColor="accent1" w:themeTint="33" w:fill="auto"/>
          </w:tcPr>
          <w:p w14:paraId="7ADD6235"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1A0D785A"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11CEDA28" w14:textId="77777777" w:rsidR="008E765F" w:rsidRPr="00822EBF" w:rsidRDefault="008E765F" w:rsidP="00611251">
            <w:pPr>
              <w:pStyle w:val="RCTstable"/>
            </w:pPr>
            <w:r>
              <w:t>“</w:t>
            </w:r>
            <w:r w:rsidRPr="00822EBF">
              <w:t>Research assistants blinded to treatment allocation.</w:t>
            </w:r>
            <w:r>
              <w:t>”</w:t>
            </w:r>
          </w:p>
        </w:tc>
      </w:tr>
      <w:tr w:rsidR="008E765F" w:rsidRPr="00822EBF" w14:paraId="4E924F49" w14:textId="77777777" w:rsidTr="005A5EBF">
        <w:trPr>
          <w:cantSplit/>
        </w:trPr>
        <w:tc>
          <w:tcPr>
            <w:tcW w:w="1560" w:type="dxa"/>
            <w:shd w:val="clear" w:color="D9E2F3" w:themeColor="accent1" w:themeTint="33" w:fill="auto"/>
          </w:tcPr>
          <w:p w14:paraId="11CF792F"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5F68B51F"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EF9572E" w14:textId="77777777" w:rsidR="008E765F" w:rsidRPr="00822EBF" w:rsidRDefault="008E765F" w:rsidP="00611251">
            <w:pPr>
              <w:pStyle w:val="RCTstable"/>
            </w:pPr>
            <w:r w:rsidRPr="00822EBF">
              <w:t>11% of participants (17 in intervention and 10 in control group) dropped out during the course of the study. Reasons for loss to follow-up given.</w:t>
            </w:r>
          </w:p>
        </w:tc>
      </w:tr>
      <w:tr w:rsidR="008E765F" w:rsidRPr="00822EBF" w14:paraId="4BE3E442" w14:textId="77777777" w:rsidTr="005A5EBF">
        <w:trPr>
          <w:cantSplit/>
        </w:trPr>
        <w:tc>
          <w:tcPr>
            <w:tcW w:w="1560" w:type="dxa"/>
            <w:shd w:val="clear" w:color="D9E2F3" w:themeColor="accent1" w:themeTint="33" w:fill="auto"/>
          </w:tcPr>
          <w:p w14:paraId="5DF8799C"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205E4A90"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C5F3793" w14:textId="77777777" w:rsidR="008E765F" w:rsidRPr="00822EBF" w:rsidRDefault="008E765F" w:rsidP="00611251">
            <w:pPr>
              <w:pStyle w:val="RCTstable"/>
            </w:pPr>
            <w:r w:rsidRPr="00822EBF">
              <w:t>All expected outcomes reported.</w:t>
            </w:r>
          </w:p>
        </w:tc>
      </w:tr>
      <w:tr w:rsidR="008E765F" w:rsidRPr="00822EBF" w14:paraId="7EF21F42" w14:textId="77777777" w:rsidTr="005A5EBF">
        <w:trPr>
          <w:cantSplit/>
        </w:trPr>
        <w:tc>
          <w:tcPr>
            <w:tcW w:w="1560" w:type="dxa"/>
            <w:shd w:val="clear" w:color="D9E2F3" w:themeColor="accent1" w:themeTint="33" w:fill="auto"/>
          </w:tcPr>
          <w:p w14:paraId="00B89A5D"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450681DB"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5B07E83" w14:textId="77777777" w:rsidR="008E765F" w:rsidRPr="00822EBF" w:rsidRDefault="008E765F" w:rsidP="00611251">
            <w:pPr>
              <w:pStyle w:val="RCTstable"/>
            </w:pPr>
            <w:r w:rsidRPr="00822EBF">
              <w:t>None noted. Baseline characteristics comparable.</w:t>
            </w:r>
          </w:p>
        </w:tc>
      </w:tr>
      <w:tr w:rsidR="008E765F" w:rsidRPr="00A657F0" w14:paraId="65FD843F" w14:textId="77777777" w:rsidTr="005A5EBF">
        <w:trPr>
          <w:cantSplit/>
        </w:trPr>
        <w:tc>
          <w:tcPr>
            <w:tcW w:w="14034" w:type="dxa"/>
            <w:gridSpan w:val="3"/>
            <w:shd w:val="solid" w:color="D9E2F3" w:themeColor="accent1" w:themeTint="33" w:fill="auto"/>
          </w:tcPr>
          <w:p w14:paraId="29A6259B" w14:textId="7BEA69C6" w:rsidR="008E765F" w:rsidRPr="00A657F0" w:rsidRDefault="008E765F" w:rsidP="002747EA">
            <w:pPr>
              <w:pStyle w:val="RCTstable"/>
              <w:keepNext/>
              <w:rPr>
                <w:b/>
              </w:rPr>
            </w:pPr>
            <w:r w:rsidRPr="0025597C">
              <w:rPr>
                <w:rFonts w:ascii="Century Gothic" w:hAnsi="Century Gothic"/>
                <w:b/>
                <w:noProof/>
              </w:rPr>
              <w:t>Asbee et al 2009</w:t>
            </w:r>
            <w:r>
              <w:fldChar w:fldCharType="begin"/>
            </w:r>
            <w:r w:rsidR="002747EA">
              <w:instrText xml:space="preserve"> ADDIN EN.CITE &lt;EndNote&gt;&lt;Cite&gt;&lt;Author&gt;Asbee&lt;/Author&gt;&lt;Year&gt;2009&lt;/Year&gt;&lt;RecNum&gt;666&lt;/RecNum&gt;&lt;DisplayText&gt;&lt;style face="superscript" font="Trebuchet MS" size="9"&gt;488&lt;/style&gt;&lt;/DisplayText&gt;&lt;record&gt;&lt;rec-number&gt;666&lt;/rec-number&gt;&lt;foreign-keys&gt;&lt;key app="EN" db-id="exvasrfx2dtraoesasxp2szsxa2df502592x" timestamp="1540526495"&gt;666&lt;/key&gt;&lt;/foreign-keys&gt;&lt;ref-type name="Journal Article"&gt;17&lt;/ref-type&gt;&lt;contributors&gt;&lt;authors&gt;&lt;author&gt;Asbee, S. M.&lt;/author&gt;&lt;author&gt;Jenkins, T. R.&lt;/author&gt;&lt;author&gt;Butler, J. R.&lt;/author&gt;&lt;author&gt;White, J.&lt;/author&gt;&lt;author&gt;Elliot, M.&lt;/author&gt;&lt;author&gt;Rutledge, A.&lt;/author&gt;&lt;/authors&gt;&lt;/contributors&gt;&lt;auth-address&gt;Carolinas Medical Center, Charlotte, North Carolina, USA. drshelly@earthlink.net&lt;/auth-address&gt;&lt;titles&gt;&lt;title&gt;Preventing excessive weight gain during pregnancy through dietary and lifestyle counseling: a randomized controlled trial&lt;/title&gt;&lt;secondary-title&gt;Obstet Gynecol&lt;/secondary-title&gt;&lt;/titles&gt;&lt;periodical&gt;&lt;full-title&gt;Obstet Gynecol&lt;/full-title&gt;&lt;/periodical&gt;&lt;pages&gt;305-12&lt;/pages&gt;&lt;volume&gt;113&lt;/volume&gt;&lt;number&gt;2 Pt 1&lt;/number&gt;&lt;edition&gt;2009/01/22&lt;/edition&gt;&lt;keywords&gt;&lt;keyword&gt;Adult&lt;/keyword&gt;&lt;keyword&gt;Birth Weight&lt;/keyword&gt;&lt;keyword&gt;Body Mass Index&lt;/keyword&gt;&lt;keyword&gt;*Directive Counseling&lt;/keyword&gt;&lt;keyword&gt;Female&lt;/keyword&gt;&lt;keyword&gt;Humans&lt;/keyword&gt;&lt;keyword&gt;Infant, Newborn&lt;/keyword&gt;&lt;keyword&gt;Middle Aged&lt;/keyword&gt;&lt;keyword&gt;Obesity/*diet therapy/*prevention &amp;amp; control&lt;/keyword&gt;&lt;keyword&gt;Patient Compliance&lt;/keyword&gt;&lt;keyword&gt;Pregnancy&lt;/keyword&gt;&lt;keyword&gt;Pregnancy Complications/*diet therapy/*prevention &amp;amp; control&lt;/keyword&gt;&lt;keyword&gt;Prenatal Care/*methods&lt;/keyword&gt;&lt;keyword&gt;Risk Reduction Behavior&lt;/keyword&gt;&lt;keyword&gt;Weight Gain&lt;/keyword&gt;&lt;keyword&gt;Young Adult&lt;/keyword&gt;&lt;/keywords&gt;&lt;dates&gt;&lt;year&gt;2009&lt;/year&gt;&lt;pub-dates&gt;&lt;date&gt;Feb&lt;/date&gt;&lt;/pub-dates&gt;&lt;/dates&gt;&lt;isbn&gt;0029-7844 (Print)&amp;#xD;0029-7844 (Linking)&lt;/isbn&gt;&lt;accession-num&gt;19155899&lt;/accession-num&gt;&lt;urls&gt;&lt;related-urls&gt;&lt;url&gt;https://www.ncbi.nlm.nih.gov/pubmed/19155899&lt;/url&gt;&lt;/related-urls&gt;&lt;/urls&gt;&lt;electronic-resource-num&gt;10.1097/AOG.0b013e318195baef&lt;/electronic-resource-num&gt;&lt;/record&gt;&lt;/Cite&gt;&lt;/EndNote&gt;</w:instrText>
            </w:r>
            <w:r>
              <w:fldChar w:fldCharType="separate"/>
            </w:r>
            <w:r w:rsidR="002747EA" w:rsidRPr="002747EA">
              <w:rPr>
                <w:noProof/>
                <w:sz w:val="18"/>
                <w:vertAlign w:val="superscript"/>
              </w:rPr>
              <w:t>488</w:t>
            </w:r>
            <w:r>
              <w:fldChar w:fldCharType="end"/>
            </w:r>
          </w:p>
        </w:tc>
      </w:tr>
      <w:tr w:rsidR="008E765F" w:rsidRPr="00822EBF" w14:paraId="5D16344B" w14:textId="77777777" w:rsidTr="005A5EBF">
        <w:trPr>
          <w:cantSplit/>
        </w:trPr>
        <w:tc>
          <w:tcPr>
            <w:tcW w:w="1560" w:type="dxa"/>
            <w:shd w:val="clear" w:color="D9E2F3" w:themeColor="accent1" w:themeTint="33" w:fill="auto"/>
          </w:tcPr>
          <w:p w14:paraId="49C75607" w14:textId="77777777" w:rsidR="008E765F" w:rsidRPr="00822EBF" w:rsidRDefault="008E765F" w:rsidP="003B5251">
            <w:pPr>
              <w:pStyle w:val="RCTstable"/>
              <w:keepNext/>
            </w:pPr>
            <w:r w:rsidRPr="00822EBF">
              <w:t>Random sequence generation</w:t>
            </w:r>
          </w:p>
        </w:tc>
        <w:tc>
          <w:tcPr>
            <w:tcW w:w="1275" w:type="dxa"/>
            <w:shd w:val="clear" w:color="D9E2F3" w:themeColor="accent1" w:themeTint="33" w:fill="70AD47" w:themeFill="accent6"/>
          </w:tcPr>
          <w:p w14:paraId="7F3C2F05" w14:textId="77777777" w:rsidR="008E765F" w:rsidRPr="00822EBF" w:rsidRDefault="008E765F" w:rsidP="003B5251">
            <w:pPr>
              <w:pStyle w:val="RCTstable"/>
              <w:keepNext/>
            </w:pPr>
            <w:r w:rsidRPr="00822EBF">
              <w:t>Low risk</w:t>
            </w:r>
          </w:p>
        </w:tc>
        <w:tc>
          <w:tcPr>
            <w:tcW w:w="11199" w:type="dxa"/>
            <w:shd w:val="clear" w:color="D9E2F3" w:themeColor="accent1" w:themeTint="33" w:fill="auto"/>
          </w:tcPr>
          <w:p w14:paraId="42E4C2E9" w14:textId="77777777" w:rsidR="008E765F" w:rsidRPr="00822EBF" w:rsidRDefault="008E765F" w:rsidP="003B5251">
            <w:pPr>
              <w:pStyle w:val="RCTstable"/>
              <w:keepNext/>
            </w:pPr>
            <w:r>
              <w:t>“</w:t>
            </w:r>
            <w:r w:rsidRPr="00822EBF">
              <w:t>Randomisation was performed using computer-generated random allocation</w:t>
            </w:r>
            <w:r>
              <w:t>.”</w:t>
            </w:r>
          </w:p>
        </w:tc>
      </w:tr>
      <w:tr w:rsidR="008E765F" w:rsidRPr="00822EBF" w14:paraId="3AAECBC0" w14:textId="77777777" w:rsidTr="005A5EBF">
        <w:trPr>
          <w:cantSplit/>
        </w:trPr>
        <w:tc>
          <w:tcPr>
            <w:tcW w:w="1560" w:type="dxa"/>
            <w:shd w:val="clear" w:color="D9E2F3" w:themeColor="accent1" w:themeTint="33" w:fill="auto"/>
          </w:tcPr>
          <w:p w14:paraId="37E0FE4F"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4D88E71A"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1816B873" w14:textId="77777777" w:rsidR="008E765F" w:rsidRPr="00822EBF" w:rsidRDefault="008E765F" w:rsidP="00611251">
            <w:pPr>
              <w:pStyle w:val="RCTstable"/>
            </w:pPr>
            <w:r>
              <w:t>“</w:t>
            </w:r>
            <w:r w:rsidRPr="00822EBF">
              <w:t>Study randomization was numbered and sealed in an opaque envelope. Randomisation occurred in consecutive order at the time of the new obstetrical visit</w:t>
            </w:r>
            <w:r>
              <w:t>.”</w:t>
            </w:r>
          </w:p>
        </w:tc>
      </w:tr>
      <w:tr w:rsidR="008E765F" w:rsidRPr="00822EBF" w14:paraId="09829BE8" w14:textId="77777777" w:rsidTr="005A5EBF">
        <w:trPr>
          <w:cantSplit/>
        </w:trPr>
        <w:tc>
          <w:tcPr>
            <w:tcW w:w="1560" w:type="dxa"/>
            <w:shd w:val="clear" w:color="D9E2F3" w:themeColor="accent1" w:themeTint="33" w:fill="auto"/>
          </w:tcPr>
          <w:p w14:paraId="5ECB5286"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3929CD59"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13B7B40A" w14:textId="77777777" w:rsidR="008E765F" w:rsidRPr="00822EBF" w:rsidRDefault="008E765F" w:rsidP="00611251">
            <w:pPr>
              <w:pStyle w:val="RCTstable"/>
            </w:pPr>
            <w:r w:rsidRPr="00822EBF">
              <w:t>Blinding of women and trial personnel not considered feasible in view of the intervention and control</w:t>
            </w:r>
          </w:p>
        </w:tc>
      </w:tr>
      <w:tr w:rsidR="008E765F" w:rsidRPr="00822EBF" w14:paraId="2876A80C" w14:textId="77777777" w:rsidTr="005A5EBF">
        <w:trPr>
          <w:cantSplit/>
        </w:trPr>
        <w:tc>
          <w:tcPr>
            <w:tcW w:w="1560" w:type="dxa"/>
            <w:shd w:val="clear" w:color="D9E2F3" w:themeColor="accent1" w:themeTint="33" w:fill="auto"/>
          </w:tcPr>
          <w:p w14:paraId="72A3D690"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126B56DD"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3AF01C33" w14:textId="77777777" w:rsidR="008E765F" w:rsidRPr="00822EBF" w:rsidRDefault="008E765F" w:rsidP="00611251">
            <w:pPr>
              <w:pStyle w:val="RCTstable"/>
            </w:pPr>
            <w:r>
              <w:t>Not described</w:t>
            </w:r>
            <w:r w:rsidRPr="00822EBF">
              <w:t>.</w:t>
            </w:r>
          </w:p>
        </w:tc>
      </w:tr>
      <w:tr w:rsidR="008E765F" w:rsidRPr="00822EBF" w14:paraId="650CE2BE" w14:textId="77777777" w:rsidTr="005A5EBF">
        <w:trPr>
          <w:cantSplit/>
        </w:trPr>
        <w:tc>
          <w:tcPr>
            <w:tcW w:w="1560" w:type="dxa"/>
            <w:shd w:val="clear" w:color="D9E2F3" w:themeColor="accent1" w:themeTint="33" w:fill="auto"/>
          </w:tcPr>
          <w:p w14:paraId="6B198DD4" w14:textId="77777777" w:rsidR="008E765F" w:rsidRPr="00822EBF" w:rsidRDefault="008E765F" w:rsidP="00611251">
            <w:pPr>
              <w:pStyle w:val="RCTstable"/>
            </w:pPr>
            <w:r w:rsidRPr="00822EBF">
              <w:t>Incomplete outcome data</w:t>
            </w:r>
          </w:p>
        </w:tc>
        <w:tc>
          <w:tcPr>
            <w:tcW w:w="1275" w:type="dxa"/>
            <w:shd w:val="clear" w:color="D9E2F3" w:themeColor="accent1" w:themeTint="33" w:fill="FF4D19"/>
          </w:tcPr>
          <w:p w14:paraId="4E62E411"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42D4494D" w14:textId="77777777" w:rsidR="008E765F" w:rsidRPr="00822EBF" w:rsidRDefault="008E765F" w:rsidP="00611251">
            <w:pPr>
              <w:pStyle w:val="RCTstable"/>
            </w:pPr>
            <w:r w:rsidRPr="00822EBF">
              <w:t>Of 144 women randomised, 44 (31%) were excluded after randomisation; therefore 100 (69%) were included in the analyses. It was unclear which groups the excluded women had been randomised to. No other losses to follow-up were reported</w:t>
            </w:r>
            <w:r>
              <w:t>.</w:t>
            </w:r>
          </w:p>
        </w:tc>
      </w:tr>
      <w:tr w:rsidR="008E765F" w:rsidRPr="00822EBF" w14:paraId="3AA5EB9F" w14:textId="77777777" w:rsidTr="005A5EBF">
        <w:trPr>
          <w:cantSplit/>
        </w:trPr>
        <w:tc>
          <w:tcPr>
            <w:tcW w:w="1560" w:type="dxa"/>
            <w:shd w:val="clear" w:color="D9E2F3" w:themeColor="accent1" w:themeTint="33" w:fill="auto"/>
          </w:tcPr>
          <w:p w14:paraId="3A636FB6" w14:textId="77777777" w:rsidR="008E765F" w:rsidRPr="00822EBF" w:rsidRDefault="008E765F" w:rsidP="00611251">
            <w:pPr>
              <w:pStyle w:val="RCTstable"/>
            </w:pPr>
            <w:r w:rsidRPr="00822EBF">
              <w:t>Selective reporting</w:t>
            </w:r>
          </w:p>
        </w:tc>
        <w:tc>
          <w:tcPr>
            <w:tcW w:w="1275" w:type="dxa"/>
            <w:shd w:val="clear" w:color="D9E2F3" w:themeColor="accent1" w:themeTint="33" w:fill="FF4D19"/>
          </w:tcPr>
          <w:p w14:paraId="13C1670C"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7D9AE73C" w14:textId="77777777" w:rsidR="008E765F" w:rsidRPr="00822EBF" w:rsidRDefault="008E765F" w:rsidP="00611251">
            <w:pPr>
              <w:pStyle w:val="RCTstable"/>
            </w:pPr>
            <w:r w:rsidRPr="00822EBF">
              <w:t>Outcomes were not clearly pre-specified in the methods (only total GWG and BM</w:t>
            </w:r>
            <w:r>
              <w:t xml:space="preserve">I change from pre-pregnancy </w:t>
            </w:r>
            <w:r w:rsidRPr="00822EBF">
              <w:t>to before delivery were discussed in the methods).</w:t>
            </w:r>
            <w:r>
              <w:t xml:space="preserve"> </w:t>
            </w:r>
            <w:r w:rsidRPr="00822EBF">
              <w:t>While the results section details secondary outcomes including operative vaginal birth, neonatal weight, pre-eclampsia, GDM, vaginal/perinatal lacerations and shoulder dystocia, no numeric outcome</w:t>
            </w:r>
            <w:r>
              <w:t xml:space="preserve"> data were reported; quote: “</w:t>
            </w:r>
            <w:r w:rsidRPr="00822EBF">
              <w:t xml:space="preserve">no statistically significant differences were noted between the </w:t>
            </w:r>
            <w:r>
              <w:t>groups”</w:t>
            </w:r>
            <w:r w:rsidRPr="00822EBF">
              <w:t>.</w:t>
            </w:r>
          </w:p>
        </w:tc>
      </w:tr>
      <w:tr w:rsidR="008E765F" w:rsidRPr="00822EBF" w14:paraId="511C9A04" w14:textId="77777777" w:rsidTr="005A5EBF">
        <w:trPr>
          <w:cantSplit/>
        </w:trPr>
        <w:tc>
          <w:tcPr>
            <w:tcW w:w="1560" w:type="dxa"/>
            <w:shd w:val="clear" w:color="D9E2F3" w:themeColor="accent1" w:themeTint="33" w:fill="auto"/>
          </w:tcPr>
          <w:p w14:paraId="0A4D124D"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49C3B7CA"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46E937A" w14:textId="77777777" w:rsidR="008E765F" w:rsidRPr="00822EBF" w:rsidRDefault="008E765F" w:rsidP="00611251">
            <w:pPr>
              <w:pStyle w:val="RCTstable"/>
            </w:pPr>
            <w:r w:rsidRPr="00822EBF">
              <w:t>No obvious sources of other bias identified.</w:t>
            </w:r>
          </w:p>
        </w:tc>
      </w:tr>
      <w:tr w:rsidR="008E765F" w:rsidRPr="003956DD" w14:paraId="24F99477" w14:textId="77777777" w:rsidTr="005A5EBF">
        <w:trPr>
          <w:cantSplit/>
        </w:trPr>
        <w:tc>
          <w:tcPr>
            <w:tcW w:w="14034" w:type="dxa"/>
            <w:gridSpan w:val="3"/>
            <w:shd w:val="solid" w:color="D9E2F3" w:themeColor="accent1" w:themeTint="33" w:fill="auto"/>
          </w:tcPr>
          <w:p w14:paraId="514D7E78" w14:textId="11E75AE9" w:rsidR="008E765F" w:rsidRPr="003956DD" w:rsidRDefault="008E765F" w:rsidP="002747EA">
            <w:pPr>
              <w:pStyle w:val="RCTstable"/>
              <w:keepNext/>
              <w:rPr>
                <w:b/>
              </w:rPr>
            </w:pPr>
            <w:r w:rsidRPr="0025597C">
              <w:rPr>
                <w:rFonts w:ascii="Century Gothic" w:hAnsi="Century Gothic"/>
                <w:b/>
                <w:noProof/>
              </w:rPr>
              <w:t>Asci &amp; Rathfisch 2016</w:t>
            </w:r>
            <w:r w:rsidRPr="00C77F44">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 </w:instrText>
            </w:r>
            <w:r w:rsidR="002747EA">
              <w:fldChar w:fldCharType="begin">
                <w:fldData xml:space="preserve">PEVuZE5vdGU+PENpdGU+PEF1dGhvcj5Bc2NpPC9BdXRob3I+PFllYXI+MjAxNjwvWWVhcj48UmVj
TnVtPjc0MjwvUmVjTnVtPjxEaXNwbGF5VGV4dD48c3R5bGUgZmFjZT0ic3VwZXJzY3JpcHQiIGZv
bnQ9IlRyZWJ1Y2hldCBNUyIgc2l6ZT0iOSI+NDg5PC9zdHlsZT48L0Rpc3BsYXlUZXh0PjxyZWNv
cmQ+PHJlYy1udW1iZXI+NzQyPC9yZWMtbnVtYmVyPjxmb3JlaWduLWtleXM+PGtleSBhcHA9IkVO
IiBkYi1pZD0iZXh2YXNyZngyZHRyYW9lc2FzeHAyc3pzeGEyZGY1MDI1OTJ4IiB0aW1lc3RhbXA9
IjE1NDE0Njc4NjgiPjc0Mjwva2V5PjxrZXkgYXBwPSJFTldlYiIgZGItaWQ9IiI+MDwva2V5Pjwv
Zm9yZWlnbi1rZXlzPjxyZWYtdHlwZSBuYW1lPSJKb3VybmFsIEFydGljbGUiPjE3PC9yZWYtdHlw
ZT48Y29udHJpYnV0b3JzPjxhdXRob3JzPjxhdXRob3I+QXNjaSwgTy48L2F1dGhvcj48YXV0aG9y
PlJhdGhmaXNjaCwgRy48L2F1dGhvcj48L2F1dGhvcnM+PC9jb250cmlidXRvcnM+PGF1dGgtYWRk
cmVzcz5OdXJzaW5nIERlcGFydG1lbnQgb2YgSGVhbHRoIFNjaWVuY2VzIEZhY3VsdHksIEFydHZp
biBDb3J1aCBVbml2ZXJzaXR5LCBDYXlhZ3ppIE1haC4gTGlmbGV2aGEgU29rLiwgMDgwMCwgQXJ0
dmluLCBUdXJrZXkuIGFzY2kucy5vemxlbUBnbWFpbC5jb20uJiN4RDtOdXJzaW5nIEZhY3VsdHkg
b2YgT2JzdGV0cmljcyBOdXJzaW5nIERlcGFydG1lbnQsIEZsb3JlbmNlIE5pZ2h0aW5nYWxlIFNj
aG9vbCBvZiBOdXJzaW5nLCBJc3RhbmJ1bCBVbml2ZXJzaXR5LCBBYmlkZWkgSHVycml5ZXQgY2Fk
LiwgMzQzODEsIElzdGFuYnVsLCBUdXJrZXkuIGd1bHVteWlsQHlhaG9vLmNvbS48L2F1dGgtYWRk
cmVzcz48dGl0bGVzPjx0aXRsZT5FZmZlY3Qgb2YgbGlmZXN0eWxlIGludGVydmVudGlvbnMgb2Yg
cHJlZ25hbnQgd29tZW4gb24gdGhlaXIgZGlldGFyeSBoYWJpdHMsIGxpZmVzdHlsZSBiZWhhdmlv
cnMsIGFuZCB3ZWlnaHQgZ2FpbjogYSByYW5kb21pemVkIGNvbnRyb2xsZWQgdHJpYWw8L3RpdGxl
PjxzZWNvbmRhcnktdGl0bGU+SiBIZWFsdGggUG9wdWwgTnV0cjwvc2Vjb25kYXJ5LXRpdGxlPjwv
dGl0bGVzPjxwZXJpb2RpY2FsPjxmdWxsLXRpdGxlPkogSGVhbHRoIFBvcHVsIE51dHI8L2Z1bGwt
dGl0bGU+PC9wZXJpb2RpY2FsPjxwYWdlcz43PC9wYWdlcz48dm9sdW1lPjM1PC92b2x1bWU+PGVk
aXRpb24+MjAxNi8wMi8yNjwvZWRpdGlvbj48a2V5d29yZHM+PGtleXdvcmQ+QWR1bHQ8L2tleXdv
cmQ+PGtleXdvcmQ+Qm9keSBNYXNzIEluZGV4PC9rZXl3b3JkPjxrZXl3b3JkPkZlZWRpbmcgQmVo
YXZpb3IvZXRobm9sb2d5PC9rZXl3b3JkPjxrZXl3b3JkPkZlbWFsZTwva2V5d29yZD48a2V5d29y
ZD5Gb2xsb3ctVXAgU3R1ZGllczwva2V5d29yZD48a2V5d29yZD5IYWJpdHM8L2tleXdvcmQ+PGtl
eXdvcmQ+KkhlYWx0aHkgRGlldC9ldGhub2xvZ3k8L2tleXdvcmQ+PGtleXdvcmQ+KkhlYWx0aHkg
TGlmZXN0eWxlPC9rZXl3b3JkPjxrZXl3b3JkPkh1bWFuczwva2V5d29yZD48a2V5d29yZD5NYXRl
cm5hbCBCZWhhdmlvci9ldGhub2xvZ3k8L2tleXdvcmQ+PGtleXdvcmQ+Kk1hdGVybmFsIE51dHJp
dGlvbmFsIFBoeXNpb2xvZ2ljYWwgUGhlbm9tZW5hL2V0aG5vbG9neTwva2V5d29yZD48a2V5d29y
ZD5PdmVyd2VpZ2h0L2V0aG5vbG9neS8qcHJldmVudGlvbiAmYW1wOyBjb250cm9sPC9rZXl3b3Jk
PjxrZXl3b3JkPlBhdGllbnQgQ29tcGxpYW5jZS9ldGhub2xvZ3k8L2tleXdvcmQ+PGtleXdvcmQ+
UGF0aWVudCBEcm9wb3V0czwva2V5d29yZD48a2V5d29yZD4qUHJlY2lzaW9uIE1lZGljaW5lPC9r
ZXl3b3JkPjxrZXl3b3JkPlByZWduYW5jeTwva2V5d29yZD48a2V5d29yZD5QcmVnbmFuY3kgQ29t
cGxpY2F0aW9ucy9ldGhub2xvZ3kvKnByZXZlbnRpb24gJmFtcDsgY29udHJvbDwva2V5d29yZD48
a2V5d29yZD5TaW5nbGUtQmxpbmQgTWV0aG9kPC9rZXl3b3JkPjxrZXl3b3JkPlR1cmtleTwva2V5
d29yZD48a2V5d29yZD4qVXJiYW4gSGVhbHRoL2V0aG5vbG9neTwva2V5d29yZD48a2V5d29yZD5X
ZWlnaHQgR2Fpbi9ldGhub2xvZ3k8L2tleXdvcmQ+PGtleXdvcmQ+WW91bmcgQWR1bHQ8L2tleXdv
cmQ+PC9rZXl3b3Jkcz48ZGF0ZXM+PHllYXI+MjAxNjwveWVhcj48cHViLWRhdGVzPjxkYXRlPkZl
YiAyNDwvZGF0ZT48L3B1Yi1kYXRlcz48L2RhdGVzPjxpc2JuPjIwNzItMTMxNSAoRWxlY3Ryb25p
YykmI3hEOzE2MDYtMDk5NyAoTGlua2luZyk8L2lzYm4+PGFjY2Vzc2lvbi1udW0+MjY5MTEyMDQ8
L2FjY2Vzc2lvbi1udW0+PHVybHM+PHJlbGF0ZWQtdXJscz48dXJsPmh0dHBzOi8vd3d3Lm5jYmku
bmxtLm5paC5nb3YvcHVibWVkLzI2OTExMjA0PC91cmw+PC9yZWxhdGVkLXVybHM+PC91cmxzPjxj
dXN0b20yPlBNQzUwMjU5NzY8L2N1c3RvbTI+PGVsZWN0cm9uaWMtcmVzb3VyY2UtbnVtPjEwLjEx
ODYvczQxMDQzLTAxNi0wMDQ0LTI8L2VsZWN0cm9uaWMtcmVzb3VyY2UtbnVtPjwvcmVjb3JkPjwv
Q2l0ZT48L0VuZE5vdGU+AG==
</w:fldData>
              </w:fldChar>
            </w:r>
            <w:r w:rsidR="002747EA">
              <w:instrText xml:space="preserve"> ADDIN EN.CITE.DATA </w:instrText>
            </w:r>
            <w:r w:rsidR="002747EA">
              <w:fldChar w:fldCharType="end"/>
            </w:r>
            <w:r w:rsidRPr="00C77F44">
              <w:fldChar w:fldCharType="separate"/>
            </w:r>
            <w:r w:rsidR="002747EA" w:rsidRPr="002747EA">
              <w:rPr>
                <w:noProof/>
                <w:sz w:val="18"/>
                <w:vertAlign w:val="superscript"/>
              </w:rPr>
              <w:t>489</w:t>
            </w:r>
            <w:r w:rsidRPr="00C77F44">
              <w:fldChar w:fldCharType="end"/>
            </w:r>
          </w:p>
        </w:tc>
      </w:tr>
      <w:tr w:rsidR="008E765F" w:rsidRPr="00822EBF" w14:paraId="6297A000" w14:textId="77777777" w:rsidTr="005A5EBF">
        <w:trPr>
          <w:cantSplit/>
        </w:trPr>
        <w:tc>
          <w:tcPr>
            <w:tcW w:w="1560" w:type="dxa"/>
            <w:shd w:val="clear" w:color="D9E2F3" w:themeColor="accent1" w:themeTint="33" w:fill="auto"/>
          </w:tcPr>
          <w:p w14:paraId="15C16F07" w14:textId="77777777" w:rsidR="008E765F" w:rsidRPr="00822EBF" w:rsidRDefault="008E765F" w:rsidP="0066158E">
            <w:pPr>
              <w:pStyle w:val="RCTstable"/>
              <w:keepNext/>
            </w:pPr>
            <w:r w:rsidRPr="00822EBF">
              <w:t>Random sequence generation</w:t>
            </w:r>
          </w:p>
        </w:tc>
        <w:tc>
          <w:tcPr>
            <w:tcW w:w="1275" w:type="dxa"/>
            <w:shd w:val="clear" w:color="D9E2F3" w:themeColor="accent1" w:themeTint="33" w:fill="70AD47" w:themeFill="accent6"/>
          </w:tcPr>
          <w:p w14:paraId="38CD1232" w14:textId="77777777" w:rsidR="008E765F" w:rsidRPr="00822EBF" w:rsidRDefault="008E765F" w:rsidP="008459E9">
            <w:pPr>
              <w:pStyle w:val="RCTstable"/>
              <w:keepNext/>
            </w:pPr>
            <w:r w:rsidRPr="00822EBF">
              <w:t>Low risk</w:t>
            </w:r>
          </w:p>
        </w:tc>
        <w:tc>
          <w:tcPr>
            <w:tcW w:w="11199" w:type="dxa"/>
            <w:shd w:val="clear" w:color="D9E2F3" w:themeColor="accent1" w:themeTint="33" w:fill="auto"/>
          </w:tcPr>
          <w:p w14:paraId="2E3FD9EA" w14:textId="77777777" w:rsidR="008E765F" w:rsidRPr="00822EBF" w:rsidRDefault="008E765F" w:rsidP="008459E9">
            <w:pPr>
              <w:pStyle w:val="RCTstable"/>
              <w:keepNext/>
            </w:pPr>
            <w:r>
              <w:t>“</w:t>
            </w:r>
            <w:r w:rsidRPr="00822EBF">
              <w:t xml:space="preserve">The women were divided into randomized groups by a staff </w:t>
            </w:r>
            <w:r>
              <w:t xml:space="preserve">[member] </w:t>
            </w:r>
            <w:r w:rsidRPr="00822EBF">
              <w:t>who was not involved in this study, by drawing lots.</w:t>
            </w:r>
            <w:r>
              <w:t>”</w:t>
            </w:r>
          </w:p>
        </w:tc>
      </w:tr>
      <w:tr w:rsidR="008E765F" w:rsidRPr="00822EBF" w14:paraId="6B02B208" w14:textId="77777777" w:rsidTr="005A5EBF">
        <w:trPr>
          <w:cantSplit/>
        </w:trPr>
        <w:tc>
          <w:tcPr>
            <w:tcW w:w="1560" w:type="dxa"/>
            <w:shd w:val="clear" w:color="D9E2F3" w:themeColor="accent1" w:themeTint="33" w:fill="auto"/>
          </w:tcPr>
          <w:p w14:paraId="6DE21077" w14:textId="77777777" w:rsidR="008E765F" w:rsidRPr="00822EBF" w:rsidRDefault="008E765F" w:rsidP="0030223E">
            <w:pPr>
              <w:pStyle w:val="RCTstable"/>
              <w:keepNext/>
            </w:pPr>
            <w:r w:rsidRPr="00822EBF">
              <w:t xml:space="preserve">Allocation concealment </w:t>
            </w:r>
          </w:p>
        </w:tc>
        <w:tc>
          <w:tcPr>
            <w:tcW w:w="1275" w:type="dxa"/>
            <w:shd w:val="clear" w:color="D9E2F3" w:themeColor="accent1" w:themeTint="33" w:fill="FFC000" w:themeFill="accent4"/>
          </w:tcPr>
          <w:p w14:paraId="149E97B9" w14:textId="77777777" w:rsidR="008E765F" w:rsidRPr="00822EBF" w:rsidRDefault="008E765F" w:rsidP="0030223E">
            <w:pPr>
              <w:pStyle w:val="RCTstable"/>
              <w:keepNext/>
            </w:pPr>
            <w:r w:rsidRPr="00822EBF">
              <w:t>Unclear risk</w:t>
            </w:r>
          </w:p>
        </w:tc>
        <w:tc>
          <w:tcPr>
            <w:tcW w:w="11199" w:type="dxa"/>
            <w:shd w:val="clear" w:color="D9E2F3" w:themeColor="accent1" w:themeTint="33" w:fill="auto"/>
          </w:tcPr>
          <w:p w14:paraId="232F5CAA" w14:textId="77777777" w:rsidR="008E765F" w:rsidRPr="00822EBF" w:rsidRDefault="008E765F" w:rsidP="0030223E">
            <w:pPr>
              <w:pStyle w:val="RCTstable"/>
              <w:keepNext/>
            </w:pPr>
            <w:r w:rsidRPr="00822EBF">
              <w:t>Not described.</w:t>
            </w:r>
          </w:p>
        </w:tc>
      </w:tr>
      <w:tr w:rsidR="008E765F" w:rsidRPr="00822EBF" w14:paraId="6ED76DB5" w14:textId="77777777" w:rsidTr="005A5EBF">
        <w:trPr>
          <w:cantSplit/>
        </w:trPr>
        <w:tc>
          <w:tcPr>
            <w:tcW w:w="1560" w:type="dxa"/>
            <w:shd w:val="clear" w:color="D9E2F3" w:themeColor="accent1" w:themeTint="33" w:fill="auto"/>
          </w:tcPr>
          <w:p w14:paraId="6174D9A9" w14:textId="77777777" w:rsidR="008E765F" w:rsidRPr="00822EBF" w:rsidRDefault="008E765F" w:rsidP="00611251">
            <w:pPr>
              <w:pStyle w:val="RCTstable"/>
            </w:pPr>
            <w:r w:rsidRPr="00822EBF">
              <w:t>Performance bias</w:t>
            </w:r>
          </w:p>
        </w:tc>
        <w:tc>
          <w:tcPr>
            <w:tcW w:w="1275" w:type="dxa"/>
            <w:shd w:val="clear" w:color="D9E2F3" w:themeColor="accent1" w:themeTint="33" w:fill="FFC000" w:themeFill="accent4"/>
          </w:tcPr>
          <w:p w14:paraId="5ACF12DE"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513ACC2" w14:textId="77777777" w:rsidR="008E765F" w:rsidRPr="00822EBF" w:rsidRDefault="008E765F" w:rsidP="00611251">
            <w:pPr>
              <w:pStyle w:val="RCTstable"/>
            </w:pPr>
            <w:r>
              <w:t>“</w:t>
            </w:r>
            <w:r w:rsidRPr="00822EBF">
              <w:t>Participants were blind about which group they were involved in and the evaluated study outcomes.</w:t>
            </w:r>
            <w:r>
              <w:t>”</w:t>
            </w:r>
            <w:r w:rsidRPr="00822EBF">
              <w:t xml:space="preserve"> Not clear how participants could be unaware of the group to which they were allocated.</w:t>
            </w:r>
          </w:p>
        </w:tc>
      </w:tr>
      <w:tr w:rsidR="008E765F" w:rsidRPr="00822EBF" w14:paraId="4D92762D" w14:textId="77777777" w:rsidTr="005A5EBF">
        <w:trPr>
          <w:cantSplit/>
        </w:trPr>
        <w:tc>
          <w:tcPr>
            <w:tcW w:w="1560" w:type="dxa"/>
            <w:shd w:val="clear" w:color="D9E2F3" w:themeColor="accent1" w:themeTint="33" w:fill="auto"/>
          </w:tcPr>
          <w:p w14:paraId="5998B3C9"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523609C0"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E20DB85" w14:textId="77777777" w:rsidR="008E765F" w:rsidRPr="00822EBF" w:rsidRDefault="008E765F" w:rsidP="00611251">
            <w:pPr>
              <w:pStyle w:val="RCTstable"/>
            </w:pPr>
            <w:r w:rsidRPr="00822EBF">
              <w:t>Not described</w:t>
            </w:r>
            <w:r>
              <w:t>.</w:t>
            </w:r>
          </w:p>
        </w:tc>
      </w:tr>
      <w:tr w:rsidR="008E765F" w:rsidRPr="00822EBF" w14:paraId="4A472965" w14:textId="77777777" w:rsidTr="005A5EBF">
        <w:trPr>
          <w:cantSplit/>
        </w:trPr>
        <w:tc>
          <w:tcPr>
            <w:tcW w:w="1560" w:type="dxa"/>
            <w:shd w:val="clear" w:color="D9E2F3" w:themeColor="accent1" w:themeTint="33" w:fill="auto"/>
          </w:tcPr>
          <w:p w14:paraId="06CC75BE"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6CCDA1E2"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7C84D38" w14:textId="77777777" w:rsidR="008E765F" w:rsidRPr="00822EBF" w:rsidRDefault="008E765F" w:rsidP="00611251">
            <w:pPr>
              <w:pStyle w:val="RCTstable"/>
            </w:pPr>
            <w:r w:rsidRPr="00822EBF">
              <w:t>Balanced attrition between groups.</w:t>
            </w:r>
          </w:p>
        </w:tc>
      </w:tr>
      <w:tr w:rsidR="008E765F" w:rsidRPr="00822EBF" w14:paraId="0D71792D" w14:textId="77777777" w:rsidTr="005A5EBF">
        <w:trPr>
          <w:cantSplit/>
        </w:trPr>
        <w:tc>
          <w:tcPr>
            <w:tcW w:w="1560" w:type="dxa"/>
            <w:shd w:val="clear" w:color="D9E2F3" w:themeColor="accent1" w:themeTint="33" w:fill="auto"/>
          </w:tcPr>
          <w:p w14:paraId="270BEF8B"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0FF177E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D916236" w14:textId="77777777" w:rsidR="008E765F" w:rsidRPr="00822EBF" w:rsidRDefault="008E765F" w:rsidP="00611251">
            <w:pPr>
              <w:pStyle w:val="RCTstable"/>
            </w:pPr>
            <w:r w:rsidRPr="00822EBF">
              <w:t>Pre-specified outcomes reported.</w:t>
            </w:r>
          </w:p>
        </w:tc>
      </w:tr>
      <w:tr w:rsidR="008E765F" w:rsidRPr="00822EBF" w14:paraId="18F5F62F" w14:textId="77777777" w:rsidTr="005A5EBF">
        <w:trPr>
          <w:cantSplit/>
        </w:trPr>
        <w:tc>
          <w:tcPr>
            <w:tcW w:w="1560" w:type="dxa"/>
            <w:shd w:val="clear" w:color="D9E2F3" w:themeColor="accent1" w:themeTint="33" w:fill="auto"/>
          </w:tcPr>
          <w:p w14:paraId="554278BB"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721E7F6A"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170AEB6A" w14:textId="77777777" w:rsidR="008E765F" w:rsidRPr="00822EBF" w:rsidRDefault="008E765F" w:rsidP="00611251">
            <w:pPr>
              <w:pStyle w:val="RCTstable"/>
            </w:pPr>
            <w:r w:rsidRPr="00822EBF">
              <w:t>No obvious sources of other bias identified</w:t>
            </w:r>
          </w:p>
        </w:tc>
      </w:tr>
      <w:tr w:rsidR="008E765F" w:rsidRPr="003956DD" w14:paraId="1D3A90FC" w14:textId="77777777" w:rsidTr="005A5EBF">
        <w:trPr>
          <w:cantSplit/>
        </w:trPr>
        <w:tc>
          <w:tcPr>
            <w:tcW w:w="14034" w:type="dxa"/>
            <w:gridSpan w:val="3"/>
            <w:shd w:val="solid" w:color="D9E2F3" w:themeColor="accent1" w:themeTint="33" w:fill="auto"/>
          </w:tcPr>
          <w:p w14:paraId="2EF23727" w14:textId="75E63F20" w:rsidR="008E765F" w:rsidRPr="003956DD" w:rsidRDefault="008E765F" w:rsidP="002747EA">
            <w:pPr>
              <w:pStyle w:val="RCTstable"/>
              <w:keepNext/>
              <w:rPr>
                <w:b/>
              </w:rPr>
            </w:pPr>
            <w:r w:rsidRPr="0025597C">
              <w:rPr>
                <w:rFonts w:ascii="Century Gothic" w:hAnsi="Century Gothic"/>
                <w:b/>
                <w:noProof/>
              </w:rPr>
              <w:t>Bogaerts et al 2013</w:t>
            </w:r>
            <w:r>
              <w:fldChar w:fldCharType="begin">
                <w:fldData xml:space="preserve">PEVuZE5vdGU+PENpdGU+PEF1dGhvcj5Cb2dhZXJ0czwvQXV0aG9yPjxZZWFyPjIwMTM8L1llYXI+
PFJlY051bT43MTM8L1JlY051bT48RGlzcGxheVRleHQ+PHN0eWxlIGZhY2U9InN1cGVyc2NyaXB0
IiBmb250PSJUcmVidWNoZXQgTVMiIHNpemU9IjkiPjUxMDwvc3R5bGU+PC9EaXNwbGF5VGV4dD48
cmVjb3JkPjxyZWMtbnVtYmVyPjcxMzwvcmVjLW51bWJlcj48Zm9yZWlnbi1rZXlzPjxrZXkgYXBw
PSJFTiIgZGItaWQ9ImV4dmFzcmZ4MmR0cmFvZXNhc3hwMnN6c3hhMmRmNTAyNTkyeCIgdGltZXN0
YW1wPSIxNTQxNDYyNDQzIj43MTM8L2tleT48L2ZvcmVpZ24ta2V5cz48cmVmLXR5cGUgbmFtZT0i
Sm91cm5hbCBBcnRpY2xlIj4xNzwvcmVmLXR5cGU+PGNvbnRyaWJ1dG9ycz48YXV0aG9ycz48YXV0
aG9yPkJvZ2FlcnRzLCBBLiBGLjwvYXV0aG9yPjxhdXRob3I+RGV2bGllZ2VyLCBSLjwvYXV0aG9y
PjxhdXRob3I+TnV5dHMsIEUuPC9hdXRob3I+PGF1dGhvcj5XaXR0ZXJzLCBJLjwvYXV0aG9yPjxh
dXRob3I+R3lzZWxhZXJzLCBXLjwvYXV0aG9yPjxhdXRob3I+VmFuIGRlbiBCZXJnaCwgQi4gUi48
L2F1dGhvcj48L2F1dGhvcnM+PC9jb250cmlidXRvcnM+PGF1dGgtYWRkcmVzcz5EZXBhcnRtZW50
IG9mIEhlYWx0aGNhcmUgUmVzZWFyY2gsIFBITCBVbml2ZXJzaXR5IENvbGxlZ2UsIExpbWJ1cmcg
Q2F0aG9saWMgVW5pdmVyc2l0eSBDb2xsZWdlLCBIYXNzZWx0LCBCZWxnaXVtLjwvYXV0aC1hZGRy
ZXNzPjx0aXRsZXM+PHRpdGxlPkVmZmVjdHMgb2YgbGlmZXN0eWxlIGludGVydmVudGlvbiBpbiBv
YmVzZSBwcmVnbmFudCB3b21lbiBvbiBnZXN0YXRpb25hbCB3ZWlnaHQgZ2FpbiBhbmQgbWVudGFs
IGhlYWx0aDogYSByYW5kb21pemVkIGNvbnRyb2xsZWQgdHJpYWw8L3RpdGxlPjxzZWNvbmRhcnkt
dGl0bGU+SW50IEogT2JlcyAoTG9uZCk8L3NlY29uZGFyeS10aXRsZT48L3RpdGxlcz48cGVyaW9k
aWNhbD48ZnVsbC10aXRsZT5JbnQgSiBPYmVzIChMb25kKTwvZnVsbC10aXRsZT48L3BlcmlvZGlj
YWw+PHBhZ2VzPjgxNC0yMTwvcGFnZXM+PHZvbHVtZT4zNzwvdm9sdW1lPjxudW1iZXI+NjwvbnVt
YmVyPjxlZGl0aW9uPjIwMTIvMTAvMDQ8L2VkaXRpb24+PGtleXdvcmRzPjxrZXl3b3JkPkFkdWx0
PC9rZXl3b3JkPjxrZXl3b3JkPkFueGlldHkvZXBpZGVtaW9sb2d5LypwcmV2ZW50aW9uICZhbXA7
IGNvbnRyb2w8L2tleXdvcmQ+PGtleXdvcmQ+QmVsZ2l1bS9lcGlkZW1pb2xvZ3k8L2tleXdvcmQ+
PGtleXdvcmQ+Qm9keSBNYXNzIEluZGV4PC9rZXl3b3JkPjxrZXl3b3JkPkRlcHJlc3Npb24vZXBp
ZGVtaW9sb2d5LypwcmV2ZW50aW9uICZhbXA7IGNvbnRyb2w8L2tleXdvcmQ+PGtleXdvcmQ+RmVt
YWxlPC9rZXl3b3JkPjxrZXl3b3JkPkhlYWx0aCBLbm93bGVkZ2UsIEF0dGl0dWRlcywgUHJhY3Rp
Y2U8L2tleXdvcmQ+PGtleXdvcmQ+SHVtYW5zPC9rZXl3b3JkPjxrZXl3b3JkPipMaWZlIFN0eWxl
PC9rZXl3b3JkPjxrZXl3b3JkPkxvbmdpdHVkaW5hbCBTdHVkaWVzPC9rZXl3b3JkPjxrZXl3b3Jk
Pk1vdGl2YXRpb248L2tleXdvcmQ+PGtleXdvcmQ+T2Jlc2l0eS9lcGlkZW1pb2xvZ3kvcHJldmVu
dGlvbiAmYW1wOyBjb250cm9sL3BzeWNob2xvZ3kvKnRoZXJhcHk8L2tleXdvcmQ+PGtleXdvcmQ+
UGF0aWVudCBFZHVjYXRpb24gYXMgVG9waWM8L2tleXdvcmQ+PGtleXdvcmQ+UHJlZ25hbmN5PC9r
ZXl3b3JkPjxrZXl3b3JkPlByZWduYW5jeSBDb21wbGljYXRpb25zL2VwaWRlbWlvbG9neS9wcmV2
ZW50aW9uICZhbXA7IGNvbnRyb2wvcHN5Y2hvbG9neS8qdGhlcmFweTwva2V5d29yZD48a2V5d29y
ZD5QcmVuYXRhbCBDYXJlLyptZXRob2RzPC9rZXl3b3JkPjxrZXl3b3JkPlByZXZhbGVuY2U8L2tl
eXdvcmQ+PGtleXdvcmQ+UmlzayBGYWN0b3JzPC9rZXl3b3JkPjxrZXl3b3JkPlJpc2sgUmVkdWN0
aW9uIEJlaGF2aW9yPC9rZXl3b3JkPjxrZXl3b3JkPlN1cnZleXMgYW5kIFF1ZXN0aW9ubmFpcmVz
PC9rZXl3b3JkPjxrZXl3b3JkPipXZWlnaHQgR2Fpbjwva2V5d29yZD48L2tleXdvcmRzPjxkYXRl
cz48eWVhcj4yMDEzPC95ZWFyPjxwdWItZGF0ZXM+PGRhdGU+SnVuPC9kYXRlPjwvcHViLWRhdGVz
PjwvZGF0ZXM+PGlzYm4+MTQ3Ni01NDk3IChFbGVjdHJvbmljKSYjeEQ7MDMwNy0wNTY1IChMaW5r
aW5nKTwvaXNibj48YWNjZXNzaW9uLW51bT4yMzAzMjQwNDwvYWNjZXNzaW9uLW51bT48dXJscz48
cmVsYXRlZC11cmxzPjx1cmw+aHR0cHM6Ly93d3cubmNiaS5ubG0ubmloLmdvdi9wdWJtZWQvMjMw
MzI0MDQ8L3VybD48L3JlbGF0ZWQtdXJscz48L3VybHM+PGVsZWN0cm9uaWMtcmVzb3VyY2UtbnVt
PjEwLjEwMzgvaWpvLjIwMTIuMTYyPC9lbGVjdHJvbmljLXJlc291cmNlLW51bT48L3JlY29yZD48
L0NpdGU+PC9FbmROb3RlPn==
</w:fldData>
              </w:fldChar>
            </w:r>
            <w:r w:rsidR="002747EA">
              <w:instrText xml:space="preserve"> ADDIN EN.CITE </w:instrText>
            </w:r>
            <w:r w:rsidR="002747EA">
              <w:fldChar w:fldCharType="begin">
                <w:fldData xml:space="preserve">PEVuZE5vdGU+PENpdGU+PEF1dGhvcj5Cb2dhZXJ0czwvQXV0aG9yPjxZZWFyPjIwMTM8L1llYXI+
PFJlY051bT43MTM8L1JlY051bT48RGlzcGxheVRleHQ+PHN0eWxlIGZhY2U9InN1cGVyc2NyaXB0
IiBmb250PSJUcmVidWNoZXQgTVMiIHNpemU9IjkiPjUxMDwvc3R5bGU+PC9EaXNwbGF5VGV4dD48
cmVjb3JkPjxyZWMtbnVtYmVyPjcxMzwvcmVjLW51bWJlcj48Zm9yZWlnbi1rZXlzPjxrZXkgYXBw
PSJFTiIgZGItaWQ9ImV4dmFzcmZ4MmR0cmFvZXNhc3hwMnN6c3hhMmRmNTAyNTkyeCIgdGltZXN0
YW1wPSIxNTQxNDYyNDQzIj43MTM8L2tleT48L2ZvcmVpZ24ta2V5cz48cmVmLXR5cGUgbmFtZT0i
Sm91cm5hbCBBcnRpY2xlIj4xNzwvcmVmLXR5cGU+PGNvbnRyaWJ1dG9ycz48YXV0aG9ycz48YXV0
aG9yPkJvZ2FlcnRzLCBBLiBGLjwvYXV0aG9yPjxhdXRob3I+RGV2bGllZ2VyLCBSLjwvYXV0aG9y
PjxhdXRob3I+TnV5dHMsIEUuPC9hdXRob3I+PGF1dGhvcj5XaXR0ZXJzLCBJLjwvYXV0aG9yPjxh
dXRob3I+R3lzZWxhZXJzLCBXLjwvYXV0aG9yPjxhdXRob3I+VmFuIGRlbiBCZXJnaCwgQi4gUi48
L2F1dGhvcj48L2F1dGhvcnM+PC9jb250cmlidXRvcnM+PGF1dGgtYWRkcmVzcz5EZXBhcnRtZW50
IG9mIEhlYWx0aGNhcmUgUmVzZWFyY2gsIFBITCBVbml2ZXJzaXR5IENvbGxlZ2UsIExpbWJ1cmcg
Q2F0aG9saWMgVW5pdmVyc2l0eSBDb2xsZWdlLCBIYXNzZWx0LCBCZWxnaXVtLjwvYXV0aC1hZGRy
ZXNzPjx0aXRsZXM+PHRpdGxlPkVmZmVjdHMgb2YgbGlmZXN0eWxlIGludGVydmVudGlvbiBpbiBv
YmVzZSBwcmVnbmFudCB3b21lbiBvbiBnZXN0YXRpb25hbCB3ZWlnaHQgZ2FpbiBhbmQgbWVudGFs
IGhlYWx0aDogYSByYW5kb21pemVkIGNvbnRyb2xsZWQgdHJpYWw8L3RpdGxlPjxzZWNvbmRhcnkt
dGl0bGU+SW50IEogT2JlcyAoTG9uZCk8L3NlY29uZGFyeS10aXRsZT48L3RpdGxlcz48cGVyaW9k
aWNhbD48ZnVsbC10aXRsZT5JbnQgSiBPYmVzIChMb25kKTwvZnVsbC10aXRsZT48L3BlcmlvZGlj
YWw+PHBhZ2VzPjgxNC0yMTwvcGFnZXM+PHZvbHVtZT4zNzwvdm9sdW1lPjxudW1iZXI+NjwvbnVt
YmVyPjxlZGl0aW9uPjIwMTIvMTAvMDQ8L2VkaXRpb24+PGtleXdvcmRzPjxrZXl3b3JkPkFkdWx0
PC9rZXl3b3JkPjxrZXl3b3JkPkFueGlldHkvZXBpZGVtaW9sb2d5LypwcmV2ZW50aW9uICZhbXA7
IGNvbnRyb2w8L2tleXdvcmQ+PGtleXdvcmQ+QmVsZ2l1bS9lcGlkZW1pb2xvZ3k8L2tleXdvcmQ+
PGtleXdvcmQ+Qm9keSBNYXNzIEluZGV4PC9rZXl3b3JkPjxrZXl3b3JkPkRlcHJlc3Npb24vZXBp
ZGVtaW9sb2d5LypwcmV2ZW50aW9uICZhbXA7IGNvbnRyb2w8L2tleXdvcmQ+PGtleXdvcmQ+RmVt
YWxlPC9rZXl3b3JkPjxrZXl3b3JkPkhlYWx0aCBLbm93bGVkZ2UsIEF0dGl0dWRlcywgUHJhY3Rp
Y2U8L2tleXdvcmQ+PGtleXdvcmQ+SHVtYW5zPC9rZXl3b3JkPjxrZXl3b3JkPipMaWZlIFN0eWxl
PC9rZXl3b3JkPjxrZXl3b3JkPkxvbmdpdHVkaW5hbCBTdHVkaWVzPC9rZXl3b3JkPjxrZXl3b3Jk
Pk1vdGl2YXRpb248L2tleXdvcmQ+PGtleXdvcmQ+T2Jlc2l0eS9lcGlkZW1pb2xvZ3kvcHJldmVu
dGlvbiAmYW1wOyBjb250cm9sL3BzeWNob2xvZ3kvKnRoZXJhcHk8L2tleXdvcmQ+PGtleXdvcmQ+
UGF0aWVudCBFZHVjYXRpb24gYXMgVG9waWM8L2tleXdvcmQ+PGtleXdvcmQ+UHJlZ25hbmN5PC9r
ZXl3b3JkPjxrZXl3b3JkPlByZWduYW5jeSBDb21wbGljYXRpb25zL2VwaWRlbWlvbG9neS9wcmV2
ZW50aW9uICZhbXA7IGNvbnRyb2wvcHN5Y2hvbG9neS8qdGhlcmFweTwva2V5d29yZD48a2V5d29y
ZD5QcmVuYXRhbCBDYXJlLyptZXRob2RzPC9rZXl3b3JkPjxrZXl3b3JkPlByZXZhbGVuY2U8L2tl
eXdvcmQ+PGtleXdvcmQ+UmlzayBGYWN0b3JzPC9rZXl3b3JkPjxrZXl3b3JkPlJpc2sgUmVkdWN0
aW9uIEJlaGF2aW9yPC9rZXl3b3JkPjxrZXl3b3JkPlN1cnZleXMgYW5kIFF1ZXN0aW9ubmFpcmVz
PC9rZXl3b3JkPjxrZXl3b3JkPipXZWlnaHQgR2Fpbjwva2V5d29yZD48L2tleXdvcmRzPjxkYXRl
cz48eWVhcj4yMDEzPC95ZWFyPjxwdWItZGF0ZXM+PGRhdGU+SnVuPC9kYXRlPjwvcHViLWRhdGVz
PjwvZGF0ZXM+PGlzYm4+MTQ3Ni01NDk3IChFbGVjdHJvbmljKSYjeEQ7MDMwNy0wNTY1IChMaW5r
aW5nKTwvaXNibj48YWNjZXNzaW9uLW51bT4yMzAzMjQwNDwvYWNjZXNzaW9uLW51bT48dXJscz48
cmVsYXRlZC11cmxzPjx1cmw+aHR0cHM6Ly93d3cubmNiaS5ubG0ubmloLmdvdi9wdWJtZWQvMjMw
MzI0MDQ8L3VybD48L3JlbGF0ZWQtdXJscz48L3VybHM+PGVsZWN0cm9uaWMtcmVzb3VyY2UtbnVt
PjEwLjEwMzgvaWpvLjIwMTIuMTYyPC9lbGVjdHJvbmljLXJlc291cmNlLW51bT48L3JlY29yZD48
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510</w:t>
            </w:r>
            <w:r>
              <w:fldChar w:fldCharType="end"/>
            </w:r>
          </w:p>
        </w:tc>
      </w:tr>
      <w:tr w:rsidR="008E765F" w:rsidRPr="00822EBF" w14:paraId="3B1F9733" w14:textId="77777777" w:rsidTr="005A5EBF">
        <w:trPr>
          <w:cantSplit/>
        </w:trPr>
        <w:tc>
          <w:tcPr>
            <w:tcW w:w="1560" w:type="dxa"/>
            <w:shd w:val="clear" w:color="D9E2F3" w:themeColor="accent1" w:themeTint="33" w:fill="auto"/>
          </w:tcPr>
          <w:p w14:paraId="6AD8E7C4" w14:textId="77777777" w:rsidR="008E765F" w:rsidRPr="00822EBF" w:rsidRDefault="008E765F" w:rsidP="003B5251">
            <w:pPr>
              <w:pStyle w:val="RCTstable"/>
              <w:keepNext/>
            </w:pPr>
            <w:r w:rsidRPr="00822EBF">
              <w:t>Random sequence generation</w:t>
            </w:r>
          </w:p>
        </w:tc>
        <w:tc>
          <w:tcPr>
            <w:tcW w:w="1275" w:type="dxa"/>
            <w:shd w:val="clear" w:color="D9E2F3" w:themeColor="accent1" w:themeTint="33" w:fill="FFC000" w:themeFill="accent4"/>
          </w:tcPr>
          <w:p w14:paraId="1E402A57" w14:textId="77777777" w:rsidR="008E765F" w:rsidRPr="00822EBF" w:rsidRDefault="008E765F" w:rsidP="003B5251">
            <w:pPr>
              <w:pStyle w:val="RCTstable"/>
              <w:keepNext/>
            </w:pPr>
            <w:r w:rsidRPr="00822EBF">
              <w:t>Unclear risk</w:t>
            </w:r>
          </w:p>
        </w:tc>
        <w:tc>
          <w:tcPr>
            <w:tcW w:w="11199" w:type="dxa"/>
            <w:shd w:val="clear" w:color="D9E2F3" w:themeColor="accent1" w:themeTint="33" w:fill="auto"/>
          </w:tcPr>
          <w:p w14:paraId="1EA500E2" w14:textId="77777777" w:rsidR="008E765F" w:rsidRPr="00822EBF" w:rsidRDefault="008E765F" w:rsidP="003B5251">
            <w:pPr>
              <w:pStyle w:val="RCTstable"/>
              <w:keepNext/>
            </w:pPr>
            <w:r w:rsidRPr="00822EBF">
              <w:t>Not described</w:t>
            </w:r>
            <w:r>
              <w:t>.</w:t>
            </w:r>
          </w:p>
        </w:tc>
      </w:tr>
      <w:tr w:rsidR="008E765F" w:rsidRPr="00822EBF" w14:paraId="664BCD33" w14:textId="77777777" w:rsidTr="005A5EBF">
        <w:trPr>
          <w:cantSplit/>
        </w:trPr>
        <w:tc>
          <w:tcPr>
            <w:tcW w:w="1560" w:type="dxa"/>
            <w:shd w:val="clear" w:color="D9E2F3" w:themeColor="accent1" w:themeTint="33" w:fill="auto"/>
          </w:tcPr>
          <w:p w14:paraId="45F842BD"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602523E0"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BDE32B4" w14:textId="77777777" w:rsidR="008E765F" w:rsidRPr="00822EBF" w:rsidRDefault="008E765F" w:rsidP="00611251">
            <w:pPr>
              <w:pStyle w:val="RCTstable"/>
            </w:pPr>
            <w:r>
              <w:t>“Randomis</w:t>
            </w:r>
            <w:r w:rsidRPr="00822EBF">
              <w:t>ation took place by choosing one opaque envelope containing a ticket indicating one of the three groups</w:t>
            </w:r>
            <w:r>
              <w:t>.”</w:t>
            </w:r>
          </w:p>
        </w:tc>
      </w:tr>
      <w:tr w:rsidR="008E765F" w:rsidRPr="00822EBF" w14:paraId="6B658556" w14:textId="77777777" w:rsidTr="005A5EBF">
        <w:trPr>
          <w:cantSplit/>
          <w:trHeight w:val="319"/>
        </w:trPr>
        <w:tc>
          <w:tcPr>
            <w:tcW w:w="1560" w:type="dxa"/>
            <w:shd w:val="clear" w:color="D9E2F3" w:themeColor="accent1" w:themeTint="33" w:fill="auto"/>
          </w:tcPr>
          <w:p w14:paraId="050C0502" w14:textId="77777777" w:rsidR="008E765F" w:rsidRPr="00822EBF" w:rsidRDefault="008E765F" w:rsidP="00611251">
            <w:pPr>
              <w:pStyle w:val="RCTstable"/>
            </w:pPr>
            <w:r w:rsidRPr="00822EBF">
              <w:t>Performance bias</w:t>
            </w:r>
          </w:p>
        </w:tc>
        <w:tc>
          <w:tcPr>
            <w:tcW w:w="1275" w:type="dxa"/>
            <w:shd w:val="clear" w:color="D9E2F3" w:themeColor="accent1" w:themeTint="33" w:fill="FFC000" w:themeFill="accent4"/>
          </w:tcPr>
          <w:p w14:paraId="3928CB4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6D0B73C7" w14:textId="77777777" w:rsidR="008E765F" w:rsidRPr="00822EBF" w:rsidRDefault="008E765F" w:rsidP="00611251">
            <w:pPr>
              <w:pStyle w:val="RCTstable"/>
            </w:pPr>
            <w:r w:rsidRPr="00822EBF">
              <w:t>Not described</w:t>
            </w:r>
            <w:r>
              <w:t>.</w:t>
            </w:r>
          </w:p>
        </w:tc>
      </w:tr>
      <w:tr w:rsidR="008E765F" w:rsidRPr="00822EBF" w14:paraId="0445746C" w14:textId="77777777" w:rsidTr="005A5EBF">
        <w:trPr>
          <w:cantSplit/>
        </w:trPr>
        <w:tc>
          <w:tcPr>
            <w:tcW w:w="1560" w:type="dxa"/>
            <w:shd w:val="clear" w:color="D9E2F3" w:themeColor="accent1" w:themeTint="33" w:fill="auto"/>
          </w:tcPr>
          <w:p w14:paraId="30B931C0"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4BB64FD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C20E031" w14:textId="77777777" w:rsidR="008E765F" w:rsidRPr="00822EBF" w:rsidRDefault="008E765F" w:rsidP="00611251">
            <w:pPr>
              <w:pStyle w:val="RCTstable"/>
            </w:pPr>
            <w:r w:rsidRPr="00822EBF">
              <w:t>Not described</w:t>
            </w:r>
            <w:r>
              <w:t>.</w:t>
            </w:r>
          </w:p>
        </w:tc>
      </w:tr>
      <w:tr w:rsidR="008E765F" w:rsidRPr="00822EBF" w14:paraId="6833F7A0" w14:textId="77777777" w:rsidTr="005A5EBF">
        <w:trPr>
          <w:cantSplit/>
        </w:trPr>
        <w:tc>
          <w:tcPr>
            <w:tcW w:w="1560" w:type="dxa"/>
            <w:shd w:val="clear" w:color="D9E2F3" w:themeColor="accent1" w:themeTint="33" w:fill="auto"/>
          </w:tcPr>
          <w:p w14:paraId="779004AF"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6B10A947"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93B04CC" w14:textId="77777777" w:rsidR="008E765F" w:rsidRPr="00822EBF" w:rsidRDefault="008E765F" w:rsidP="00611251">
            <w:pPr>
              <w:pStyle w:val="RCTstable"/>
            </w:pPr>
            <w:r w:rsidRPr="00822EBF">
              <w:t>Low attrition and reasons given.</w:t>
            </w:r>
          </w:p>
        </w:tc>
      </w:tr>
      <w:tr w:rsidR="008E765F" w:rsidRPr="00822EBF" w14:paraId="037F11E5" w14:textId="77777777" w:rsidTr="005A5EBF">
        <w:trPr>
          <w:cantSplit/>
        </w:trPr>
        <w:tc>
          <w:tcPr>
            <w:tcW w:w="1560" w:type="dxa"/>
            <w:shd w:val="clear" w:color="D9E2F3" w:themeColor="accent1" w:themeTint="33" w:fill="auto"/>
          </w:tcPr>
          <w:p w14:paraId="2CAF9629"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67205EFC"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FE8DD4F" w14:textId="77777777" w:rsidR="008E765F" w:rsidRPr="00822EBF" w:rsidRDefault="008E765F" w:rsidP="00611251">
            <w:pPr>
              <w:pStyle w:val="RCTstable"/>
            </w:pPr>
            <w:r w:rsidRPr="00822EBF">
              <w:t>Pre-specified outcomes reported.</w:t>
            </w:r>
          </w:p>
        </w:tc>
      </w:tr>
      <w:tr w:rsidR="008E765F" w:rsidRPr="00822EBF" w14:paraId="61D5F949" w14:textId="77777777" w:rsidTr="005A5EBF">
        <w:trPr>
          <w:cantSplit/>
        </w:trPr>
        <w:tc>
          <w:tcPr>
            <w:tcW w:w="1560" w:type="dxa"/>
            <w:shd w:val="clear" w:color="D9E2F3" w:themeColor="accent1" w:themeTint="33" w:fill="auto"/>
          </w:tcPr>
          <w:p w14:paraId="3CDE2AC6"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4D19"/>
          </w:tcPr>
          <w:p w14:paraId="321BCAB1"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6F3BBD31" w14:textId="77777777" w:rsidR="008E765F" w:rsidRPr="00822EBF" w:rsidRDefault="008E765F" w:rsidP="00611251">
            <w:pPr>
              <w:pStyle w:val="RCTstable"/>
            </w:pPr>
            <w:r w:rsidRPr="00822EBF">
              <w:t>“Obese women with GDM or preterm delivery, as well as those with missing psychological measurements throughout pregnancy, were not excluded but this was controlled for in the statistical models.”</w:t>
            </w:r>
          </w:p>
        </w:tc>
      </w:tr>
      <w:tr w:rsidR="008E765F" w:rsidRPr="00822EBF" w14:paraId="0C0378ED" w14:textId="77777777" w:rsidTr="005A5EBF">
        <w:trPr>
          <w:cantSplit/>
        </w:trPr>
        <w:tc>
          <w:tcPr>
            <w:tcW w:w="14034" w:type="dxa"/>
            <w:gridSpan w:val="3"/>
            <w:shd w:val="solid" w:color="D9E2F3" w:themeColor="accent1" w:themeTint="33" w:fill="auto"/>
          </w:tcPr>
          <w:p w14:paraId="68C9425B" w14:textId="1370B1E5" w:rsidR="008E765F" w:rsidRPr="00822EBF" w:rsidRDefault="008E765F" w:rsidP="002747EA">
            <w:pPr>
              <w:pStyle w:val="RCTstable"/>
              <w:keepNext/>
            </w:pPr>
            <w:r w:rsidRPr="00EE0195">
              <w:rPr>
                <w:rFonts w:ascii="Century Gothic" w:hAnsi="Century Gothic"/>
                <w:b/>
                <w:noProof/>
              </w:rPr>
              <w:t>Bruno et al 2017</w:t>
            </w:r>
            <w:r>
              <w:fldChar w:fldCharType="begin">
                <w:fldData xml:space="preserve">PEVuZE5vdGU+PENpdGU+PEF1dGhvcj5CcnVubzwvQXV0aG9yPjxZZWFyPjIwMTc8L1llYXI+PFJl
Y051bT43NjU8L1JlY051bT48RGlzcGxheVRleHQ+PHN0eWxlIGZhY2U9InN1cGVyc2NyaXB0IiBm
b250PSJUcmVidWNoZXQgTVMiIHNpemU9IjkiPjQ5OTwvc3R5bGU+PC9EaXNwbGF5VGV4dD48cmVj
b3JkPjxyZWMtbnVtYmVyPjc2NTwvcmVjLW51bWJlcj48Zm9yZWlnbi1rZXlzPjxrZXkgYXBwPSJF
TiIgZGItaWQ9ImV4dmFzcmZ4MmR0cmFvZXNhc3hwMnN6c3hhMmRmNTAyNTkyeCIgdGltZXN0YW1w
PSIxNTQxNDg3MDM0Ij43NjU8L2tleT48L2ZvcmVpZ24ta2V5cz48cmVmLXR5cGUgbmFtZT0iSm91
cm5hbCBBcnRpY2xlIj4xNzwvcmVmLXR5cGU+PGNvbnRyaWJ1dG9ycz48YXV0aG9ycz48YXV0aG9y
PkJydW5vLCBSLjwvYXV0aG9yPjxhdXRob3I+UGV0cmVsbGEsIEUuPC9hdXRob3I+PGF1dGhvcj5C
ZXJ0YXJpbmksIFYuPC9hdXRob3I+PGF1dGhvcj5QZWRyaWVsbGksIEcuPC9hdXRob3I+PGF1dGhv
cj5OZXJpLCBJLjwvYXV0aG9yPjxhdXRob3I+RmFjY2hpbmV0dGksIEYuPC9hdXRob3I+PC9hdXRo
b3JzPjwvY29udHJpYnV0b3JzPjxhdXRoLWFkZHJlc3M+TW90aGVyLUluZmFudCBEZXBhcnRtZW50
LCBVbml2ZXJzaXR5IG9mIE1vZGVuYSBhbmQgUmVnZ2lvIEVtaWxpYSwgSXRhbHkuPC9hdXRoLWFk
ZHJlc3M+PHRpdGxlcz48dGl0bGU+QWRoZXJlbmNlIHRvIGEgbGlmZXN0eWxlIHByb2dyYW1tZSBp
biBvdmVyd2VpZ2h0L29iZXNlIHByZWduYW50IHdvbWVuIGFuZCBlZmZlY3Qgb24gZ2VzdGF0aW9u
YWwgZGlhYmV0ZXMgbWVsbGl0dXM6IGEgcmFuZG9taXplZCBjb250cm9sbGVkIHRyaWFsPC90aXRs
ZT48c2Vjb25kYXJ5LXRpdGxlPk1hdGVybiBDaGlsZCBOdXRyPC9zZWNvbmRhcnktdGl0bGU+PC90
aXRsZXM+PHBlcmlvZGljYWw+PGZ1bGwtdGl0bGU+TWF0ZXJuIENoaWxkIE51dHI8L2Z1bGwtdGl0
bGU+PC9wZXJpb2RpY2FsPjx2b2x1bWU+MTM8L3ZvbHVtZT48bnVtYmVyPjM8L251bWJlcj48ZWRp
dGlvbj4yMDE2LzA5LzIxPC9lZGl0aW9uPjxrZXl3b3Jkcz48a2V5d29yZD5BZHVsdDwva2V5d29y
ZD48a2V5d29yZD5CaXJ0aCBXZWlnaHQ8L2tleXdvcmQ+PGtleXdvcmQ+Qmxvb2QgR2x1Y29zZS9t
ZXRhYm9saXNtPC9rZXl3b3JkPjxrZXl3b3JkPkJvZHkgTWFzcyBJbmRleDwva2V5d29yZD48a2V5
d29yZD5EaWFiZXRlcywgR2VzdGF0aW9uYWwvKnByZXZlbnRpb24gJmFtcDsgY29udHJvbDwva2V5
d29yZD48a2V5d29yZD5FeGVyY2lzZTwva2V5d29yZD48a2V5d29yZD5GZW1hbGU8L2tleXdvcmQ+
PGtleXdvcmQ+Rm9sbG93LVVwIFN0dWRpZXM8L2tleXdvcmQ+PGtleXdvcmQ+KkhlYWx0aHkgRGll
dDwva2V5d29yZD48a2V5d29yZD5IdW1hbnM8L2tleXdvcmQ+PGtleXdvcmQ+SHlwZXJ0ZW5zaW9u
L3ByZXZlbnRpb24gJmFtcDsgY29udHJvbDwva2V5d29yZD48a2V5d29yZD5JdGFseTwva2V5d29y
ZD48a2V5d29yZD4qTGlmZSBTdHlsZTwva2V5d29yZD48a2V5d29yZD5PYmVzaXR5Lyp0aGVyYXB5
PC9rZXl3b3JkPjxrZXl3b3JkPk92ZXJ3ZWlnaHQvKnRoZXJhcHk8L2tleXdvcmQ+PGtleXdvcmQ+
KlBhdGllbnQgQ29tcGxpYW5jZTwva2V5d29yZD48a2V5d29yZD5QcmVnbmFuY3k8L2tleXdvcmQ+
PGtleXdvcmQ+UHJlbWF0dXJlIEJpcnRoL3ByZXZlbnRpb24gJmFtcDsgY29udHJvbDwva2V5d29y
ZD48a2V5d29yZD5Qcm9zcGVjdGl2ZSBTdHVkaWVzPC9rZXl3b3JkPjxrZXl3b3JkPlN1cnZleXMg
YW5kIFF1ZXN0aW9ubmFpcmVzPC9rZXl3b3JkPjxrZXl3b3JkPlRyZWF0bWVudCBPdXRjb21lPC9r
ZXl3b3JkPjxrZXl3b3JkPllvdW5nIEFkdWx0PC9rZXl3b3JkPjxrZXl3b3JkPipkaWFiZXRlczwv
a2V5d29yZD48a2V5d29yZD4qZmV0YWwgZ3Jvd3RoPC9rZXl3b3JkPjxrZXl3b3JkPipvYmVzaXR5
PC9rZXl3b3JkPjxrZXl3b3JkPipwaHlzaWNhbCBhY3Rpdml0eTwva2V5d29yZD48a2V5d29yZD4q
cHJlZ25hbmN5IGFuZCBudXRyaXRpb248L2tleXdvcmQ+PGtleXdvcmQ+KnByZWduYW5jeSBvdXRj
b21lPC9rZXl3b3JkPjwva2V5d29yZHM+PGRhdGVzPjx5ZWFyPjIwMTc8L3llYXI+PHB1Yi1kYXRl
cz48ZGF0ZT5KdWw8L2RhdGU+PC9wdWItZGF0ZXM+PC9kYXRlcz48aXNibj4xNzQwLTg3MDkgKEVs
ZWN0cm9uaWMpJiN4RDsxNzQwLTg2OTUgKExpbmtpbmcpPC9pc2JuPjxhY2Nlc3Npb24tbnVtPjI3
NjQ3ODM3PC9hY2Nlc3Npb24tbnVtPjx1cmxzPjxyZWxhdGVkLXVybHM+PHVybD5odHRwczovL3d3
dy5uY2JpLm5sbS5uaWguZ292L3B1Ym1lZC8yNzY0NzgzNzwvdXJsPjwvcmVsYXRlZC11cmxzPjwv
dXJscz48ZWxlY3Ryb25pYy1yZXNvdXJjZS1udW0+MTAuMTExMS9tY24uMTIzMzM8L2VsZWN0cm9u
aWMtcmVzb3VyY2UtbnVtPjwvcmVjb3JkPjwvQ2l0ZT48L0VuZE5vdGU+
</w:fldData>
              </w:fldChar>
            </w:r>
            <w:r w:rsidR="002747EA">
              <w:instrText xml:space="preserve"> ADDIN EN.CITE </w:instrText>
            </w:r>
            <w:r w:rsidR="002747EA">
              <w:fldChar w:fldCharType="begin">
                <w:fldData xml:space="preserve">PEVuZE5vdGU+PENpdGU+PEF1dGhvcj5CcnVubzwvQXV0aG9yPjxZZWFyPjIwMTc8L1llYXI+PFJl
Y051bT43NjU8L1JlY051bT48RGlzcGxheVRleHQ+PHN0eWxlIGZhY2U9InN1cGVyc2NyaXB0IiBm
b250PSJUcmVidWNoZXQgTVMiIHNpemU9IjkiPjQ5OTwvc3R5bGU+PC9EaXNwbGF5VGV4dD48cmVj
b3JkPjxyZWMtbnVtYmVyPjc2NTwvcmVjLW51bWJlcj48Zm9yZWlnbi1rZXlzPjxrZXkgYXBwPSJF
TiIgZGItaWQ9ImV4dmFzcmZ4MmR0cmFvZXNhc3hwMnN6c3hhMmRmNTAyNTkyeCIgdGltZXN0YW1w
PSIxNTQxNDg3MDM0Ij43NjU8L2tleT48L2ZvcmVpZ24ta2V5cz48cmVmLXR5cGUgbmFtZT0iSm91
cm5hbCBBcnRpY2xlIj4xNzwvcmVmLXR5cGU+PGNvbnRyaWJ1dG9ycz48YXV0aG9ycz48YXV0aG9y
PkJydW5vLCBSLjwvYXV0aG9yPjxhdXRob3I+UGV0cmVsbGEsIEUuPC9hdXRob3I+PGF1dGhvcj5C
ZXJ0YXJpbmksIFYuPC9hdXRob3I+PGF1dGhvcj5QZWRyaWVsbGksIEcuPC9hdXRob3I+PGF1dGhv
cj5OZXJpLCBJLjwvYXV0aG9yPjxhdXRob3I+RmFjY2hpbmV0dGksIEYuPC9hdXRob3I+PC9hdXRo
b3JzPjwvY29udHJpYnV0b3JzPjxhdXRoLWFkZHJlc3M+TW90aGVyLUluZmFudCBEZXBhcnRtZW50
LCBVbml2ZXJzaXR5IG9mIE1vZGVuYSBhbmQgUmVnZ2lvIEVtaWxpYSwgSXRhbHkuPC9hdXRoLWFk
ZHJlc3M+PHRpdGxlcz48dGl0bGU+QWRoZXJlbmNlIHRvIGEgbGlmZXN0eWxlIHByb2dyYW1tZSBp
biBvdmVyd2VpZ2h0L29iZXNlIHByZWduYW50IHdvbWVuIGFuZCBlZmZlY3Qgb24gZ2VzdGF0aW9u
YWwgZGlhYmV0ZXMgbWVsbGl0dXM6IGEgcmFuZG9taXplZCBjb250cm9sbGVkIHRyaWFsPC90aXRs
ZT48c2Vjb25kYXJ5LXRpdGxlPk1hdGVybiBDaGlsZCBOdXRyPC9zZWNvbmRhcnktdGl0bGU+PC90
aXRsZXM+PHBlcmlvZGljYWw+PGZ1bGwtdGl0bGU+TWF0ZXJuIENoaWxkIE51dHI8L2Z1bGwtdGl0
bGU+PC9wZXJpb2RpY2FsPjx2b2x1bWU+MTM8L3ZvbHVtZT48bnVtYmVyPjM8L251bWJlcj48ZWRp
dGlvbj4yMDE2LzA5LzIxPC9lZGl0aW9uPjxrZXl3b3Jkcz48a2V5d29yZD5BZHVsdDwva2V5d29y
ZD48a2V5d29yZD5CaXJ0aCBXZWlnaHQ8L2tleXdvcmQ+PGtleXdvcmQ+Qmxvb2QgR2x1Y29zZS9t
ZXRhYm9saXNtPC9rZXl3b3JkPjxrZXl3b3JkPkJvZHkgTWFzcyBJbmRleDwva2V5d29yZD48a2V5
d29yZD5EaWFiZXRlcywgR2VzdGF0aW9uYWwvKnByZXZlbnRpb24gJmFtcDsgY29udHJvbDwva2V5
d29yZD48a2V5d29yZD5FeGVyY2lzZTwva2V5d29yZD48a2V5d29yZD5GZW1hbGU8L2tleXdvcmQ+
PGtleXdvcmQ+Rm9sbG93LVVwIFN0dWRpZXM8L2tleXdvcmQ+PGtleXdvcmQ+KkhlYWx0aHkgRGll
dDwva2V5d29yZD48a2V5d29yZD5IdW1hbnM8L2tleXdvcmQ+PGtleXdvcmQ+SHlwZXJ0ZW5zaW9u
L3ByZXZlbnRpb24gJmFtcDsgY29udHJvbDwva2V5d29yZD48a2V5d29yZD5JdGFseTwva2V5d29y
ZD48a2V5d29yZD4qTGlmZSBTdHlsZTwva2V5d29yZD48a2V5d29yZD5PYmVzaXR5Lyp0aGVyYXB5
PC9rZXl3b3JkPjxrZXl3b3JkPk92ZXJ3ZWlnaHQvKnRoZXJhcHk8L2tleXdvcmQ+PGtleXdvcmQ+
KlBhdGllbnQgQ29tcGxpYW5jZTwva2V5d29yZD48a2V5d29yZD5QcmVnbmFuY3k8L2tleXdvcmQ+
PGtleXdvcmQ+UHJlbWF0dXJlIEJpcnRoL3ByZXZlbnRpb24gJmFtcDsgY29udHJvbDwva2V5d29y
ZD48a2V5d29yZD5Qcm9zcGVjdGl2ZSBTdHVkaWVzPC9rZXl3b3JkPjxrZXl3b3JkPlN1cnZleXMg
YW5kIFF1ZXN0aW9ubmFpcmVzPC9rZXl3b3JkPjxrZXl3b3JkPlRyZWF0bWVudCBPdXRjb21lPC9r
ZXl3b3JkPjxrZXl3b3JkPllvdW5nIEFkdWx0PC9rZXl3b3JkPjxrZXl3b3JkPipkaWFiZXRlczwv
a2V5d29yZD48a2V5d29yZD4qZmV0YWwgZ3Jvd3RoPC9rZXl3b3JkPjxrZXl3b3JkPipvYmVzaXR5
PC9rZXl3b3JkPjxrZXl3b3JkPipwaHlzaWNhbCBhY3Rpdml0eTwva2V5d29yZD48a2V5d29yZD4q
cHJlZ25hbmN5IGFuZCBudXRyaXRpb248L2tleXdvcmQ+PGtleXdvcmQ+KnByZWduYW5jeSBvdXRj
b21lPC9rZXl3b3JkPjwva2V5d29yZHM+PGRhdGVzPjx5ZWFyPjIwMTc8L3llYXI+PHB1Yi1kYXRl
cz48ZGF0ZT5KdWw8L2RhdGU+PC9wdWItZGF0ZXM+PC9kYXRlcz48aXNibj4xNzQwLTg3MDkgKEVs
ZWN0cm9uaWMpJiN4RDsxNzQwLTg2OTUgKExpbmtpbmcpPC9pc2JuPjxhY2Nlc3Npb24tbnVtPjI3
NjQ3ODM3PC9hY2Nlc3Npb24tbnVtPjx1cmxzPjxyZWxhdGVkLXVybHM+PHVybD5odHRwczovL3d3
dy5uY2JpLm5sbS5uaWguZ292L3B1Ym1lZC8yNzY0NzgzNzwvdXJsPjwvcmVsYXRlZC11cmxzPjwv
dXJscz48ZWxlY3Ryb25pYy1yZXNvdXJjZS1udW0+MTAuMTExMS9tY24uMTIzMzM8L2VsZWN0cm9u
aWMtcmVzb3VyY2UtbnVtPjwvcmVjb3JkPjwvQ2l0ZT48L0VuZE5vdGU+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499</w:t>
            </w:r>
            <w:r>
              <w:fldChar w:fldCharType="end"/>
            </w:r>
          </w:p>
        </w:tc>
      </w:tr>
      <w:tr w:rsidR="008E765F" w:rsidRPr="00822EBF" w14:paraId="66B5A16F" w14:textId="77777777" w:rsidTr="005A5EBF">
        <w:trPr>
          <w:cantSplit/>
        </w:trPr>
        <w:tc>
          <w:tcPr>
            <w:tcW w:w="1560" w:type="dxa"/>
            <w:shd w:val="clear" w:color="D9E2F3" w:themeColor="accent1" w:themeTint="33" w:fill="auto"/>
          </w:tcPr>
          <w:p w14:paraId="7C42C3BB"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285BE082"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67C0B391" w14:textId="77777777" w:rsidR="008E765F" w:rsidRPr="00822EBF" w:rsidRDefault="008E765F" w:rsidP="00611251">
            <w:pPr>
              <w:pStyle w:val="RCTstable"/>
              <w:keepNext/>
            </w:pPr>
            <w:r>
              <w:t>“The randomis</w:t>
            </w:r>
            <w:r w:rsidRPr="00822EBF">
              <w:t>ation list was obtained by computer-generated random allocation with a 1:1 ratio</w:t>
            </w:r>
            <w:r>
              <w:t>.”</w:t>
            </w:r>
          </w:p>
        </w:tc>
      </w:tr>
      <w:tr w:rsidR="008E765F" w:rsidRPr="00822EBF" w14:paraId="2A4CD79E" w14:textId="77777777" w:rsidTr="005A5EBF">
        <w:trPr>
          <w:cantSplit/>
        </w:trPr>
        <w:tc>
          <w:tcPr>
            <w:tcW w:w="1560" w:type="dxa"/>
            <w:shd w:val="clear" w:color="D9E2F3" w:themeColor="accent1" w:themeTint="33" w:fill="auto"/>
          </w:tcPr>
          <w:p w14:paraId="60FEFE68" w14:textId="77777777" w:rsidR="008E765F" w:rsidRPr="00822EBF" w:rsidRDefault="008E765F" w:rsidP="00611251">
            <w:pPr>
              <w:pStyle w:val="RCTstable"/>
              <w:keepNext/>
            </w:pPr>
            <w:r w:rsidRPr="00822EBF">
              <w:t xml:space="preserve">Allocation concealment </w:t>
            </w:r>
          </w:p>
        </w:tc>
        <w:tc>
          <w:tcPr>
            <w:tcW w:w="1275" w:type="dxa"/>
            <w:shd w:val="clear" w:color="D9E2F3" w:themeColor="accent1" w:themeTint="33" w:fill="70AD47" w:themeFill="accent6"/>
          </w:tcPr>
          <w:p w14:paraId="3172C8E1"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1B912533" w14:textId="77777777" w:rsidR="008E765F" w:rsidRPr="00822EBF" w:rsidRDefault="008E765F" w:rsidP="00611251">
            <w:pPr>
              <w:pStyle w:val="RCTstable"/>
              <w:keepNext/>
            </w:pPr>
            <w:r>
              <w:t>“</w:t>
            </w:r>
            <w:r w:rsidRPr="00822EBF">
              <w:t>The allocations were sealed in numbered white envelopes, which were kept in the midwifery facility. After eligibility was assessed, a midwife opened the next random envelope</w:t>
            </w:r>
            <w:r>
              <w:t>.”</w:t>
            </w:r>
          </w:p>
        </w:tc>
      </w:tr>
      <w:tr w:rsidR="008E765F" w:rsidRPr="00822EBF" w14:paraId="5307DC78" w14:textId="77777777" w:rsidTr="005A5EBF">
        <w:trPr>
          <w:cantSplit/>
        </w:trPr>
        <w:tc>
          <w:tcPr>
            <w:tcW w:w="1560" w:type="dxa"/>
            <w:shd w:val="clear" w:color="D9E2F3" w:themeColor="accent1" w:themeTint="33" w:fill="auto"/>
          </w:tcPr>
          <w:p w14:paraId="60F883D1"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38E5C457"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61AA0828" w14:textId="77777777" w:rsidR="008E765F" w:rsidRPr="00822EBF" w:rsidRDefault="008E765F" w:rsidP="00611251">
            <w:pPr>
              <w:pStyle w:val="RCTstable"/>
            </w:pPr>
            <w:r w:rsidRPr="00822EBF">
              <w:t>The trial was described as</w:t>
            </w:r>
            <w:r>
              <w:t xml:space="preserve"> open: “</w:t>
            </w:r>
            <w:r w:rsidRPr="00822EBF">
              <w:t xml:space="preserve">Because of the study design, the gynaecologist and the dietitian knew the </w:t>
            </w:r>
            <w:r>
              <w:t>group allocation of the patient”</w:t>
            </w:r>
            <w:r w:rsidRPr="00822EBF">
              <w:t>.</w:t>
            </w:r>
          </w:p>
        </w:tc>
      </w:tr>
      <w:tr w:rsidR="008E765F" w:rsidRPr="00822EBF" w14:paraId="610A10A1" w14:textId="77777777" w:rsidTr="005A5EBF">
        <w:trPr>
          <w:cantSplit/>
        </w:trPr>
        <w:tc>
          <w:tcPr>
            <w:tcW w:w="1560" w:type="dxa"/>
            <w:shd w:val="clear" w:color="D9E2F3" w:themeColor="accent1" w:themeTint="33" w:fill="auto"/>
          </w:tcPr>
          <w:p w14:paraId="6FA1BDAF"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2AF6D777"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AB4B17E" w14:textId="77777777" w:rsidR="008E765F" w:rsidRPr="00822EBF" w:rsidRDefault="008E765F" w:rsidP="00611251">
            <w:pPr>
              <w:pStyle w:val="RCTstable"/>
            </w:pPr>
            <w:r w:rsidRPr="00822EBF">
              <w:t>“The obstetrician in charge of the enrolled women was blind to the allocation group. The data regarding the delivery and the newborns were collected from the clinical records by two residents who were blind to the allocation group.” Not clear whether some outcomes (such as GDM and GWG) were able to be assessed blind.</w:t>
            </w:r>
          </w:p>
        </w:tc>
      </w:tr>
      <w:tr w:rsidR="008E765F" w:rsidRPr="00822EBF" w14:paraId="4256865B" w14:textId="77777777" w:rsidTr="005A5EBF">
        <w:trPr>
          <w:cantSplit/>
        </w:trPr>
        <w:tc>
          <w:tcPr>
            <w:tcW w:w="1560" w:type="dxa"/>
            <w:shd w:val="clear" w:color="D9E2F3" w:themeColor="accent1" w:themeTint="33" w:fill="auto"/>
          </w:tcPr>
          <w:p w14:paraId="5A2CD2DE" w14:textId="77777777" w:rsidR="008E765F" w:rsidRPr="00822EBF" w:rsidRDefault="008E765F" w:rsidP="00611251">
            <w:pPr>
              <w:pStyle w:val="RCTstable"/>
            </w:pPr>
            <w:r w:rsidRPr="00822EBF">
              <w:t>Incomplete outcome data</w:t>
            </w:r>
          </w:p>
        </w:tc>
        <w:tc>
          <w:tcPr>
            <w:tcW w:w="1275" w:type="dxa"/>
            <w:shd w:val="clear" w:color="D9E2F3" w:themeColor="accent1" w:themeTint="33" w:fill="FF4D19"/>
          </w:tcPr>
          <w:p w14:paraId="04A27B73"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6866945C" w14:textId="77777777" w:rsidR="008E765F" w:rsidRPr="00822EBF" w:rsidRDefault="008E765F" w:rsidP="00611251">
            <w:pPr>
              <w:pStyle w:val="RCTstable"/>
            </w:pPr>
            <w:r w:rsidRPr="00822EBF">
              <w:t>Of 191 women randomised, 131 (69%) women were included in the analyses. Women lost to follow-up were significantly younger, had a lower educational level and were more frequently overweight</w:t>
            </w:r>
          </w:p>
        </w:tc>
      </w:tr>
      <w:tr w:rsidR="008E765F" w:rsidRPr="00822EBF" w14:paraId="1D07B388" w14:textId="77777777" w:rsidTr="005A5EBF">
        <w:trPr>
          <w:cantSplit/>
        </w:trPr>
        <w:tc>
          <w:tcPr>
            <w:tcW w:w="1560" w:type="dxa"/>
            <w:shd w:val="clear" w:color="D9E2F3" w:themeColor="accent1" w:themeTint="33" w:fill="auto"/>
          </w:tcPr>
          <w:p w14:paraId="0C6D3158" w14:textId="77777777" w:rsidR="008E765F" w:rsidRPr="00822EBF" w:rsidRDefault="008E765F" w:rsidP="00611251">
            <w:pPr>
              <w:pStyle w:val="RCTstable"/>
            </w:pPr>
            <w:r w:rsidRPr="00822EBF">
              <w:t>Selective reporting</w:t>
            </w:r>
          </w:p>
        </w:tc>
        <w:tc>
          <w:tcPr>
            <w:tcW w:w="1275" w:type="dxa"/>
            <w:shd w:val="clear" w:color="D9E2F3" w:themeColor="accent1" w:themeTint="33" w:fill="FF4D19"/>
          </w:tcPr>
          <w:p w14:paraId="540AC01B"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3B789C0F" w14:textId="77777777" w:rsidR="008E765F" w:rsidRPr="00822EBF" w:rsidRDefault="008E765F" w:rsidP="00611251">
            <w:pPr>
              <w:pStyle w:val="RCTstable"/>
            </w:pPr>
            <w:r w:rsidRPr="00822EBF">
              <w:t>The protocol, published with ClinicalTrials.gov, was modified before the preliminary analyses; the primary</w:t>
            </w:r>
            <w:r>
              <w:t xml:space="preserve"> </w:t>
            </w:r>
            <w:r w:rsidRPr="00822EBF">
              <w:t>outcome was changed, and additional secondary outcomes were included. The reporting of outcomes is incomplete for outcomes such as NICU admission (”were very few and did not differ between the groups“).</w:t>
            </w:r>
          </w:p>
        </w:tc>
      </w:tr>
      <w:tr w:rsidR="008E765F" w:rsidRPr="00822EBF" w14:paraId="0F65C3AA" w14:textId="77777777" w:rsidTr="005A5EBF">
        <w:trPr>
          <w:cantSplit/>
        </w:trPr>
        <w:tc>
          <w:tcPr>
            <w:tcW w:w="1560" w:type="dxa"/>
            <w:shd w:val="clear" w:color="D9E2F3" w:themeColor="accent1" w:themeTint="33" w:fill="auto"/>
          </w:tcPr>
          <w:p w14:paraId="4B7F3834"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6A9C0DE3"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FCDA5FC" w14:textId="77777777" w:rsidR="008E765F" w:rsidRPr="003956DD" w:rsidRDefault="008E765F" w:rsidP="00611251">
            <w:pPr>
              <w:pStyle w:val="RCTstable"/>
            </w:pPr>
            <w:r w:rsidRPr="003956DD">
              <w:t>No obvious sources of other bias identified</w:t>
            </w:r>
            <w:r>
              <w:t>.</w:t>
            </w:r>
          </w:p>
        </w:tc>
      </w:tr>
      <w:tr w:rsidR="00B029D1" w:rsidRPr="00822EBF" w14:paraId="74F05CB0" w14:textId="77777777" w:rsidTr="00E44521">
        <w:trPr>
          <w:cantSplit/>
        </w:trPr>
        <w:tc>
          <w:tcPr>
            <w:tcW w:w="14034" w:type="dxa"/>
            <w:gridSpan w:val="3"/>
            <w:shd w:val="solid" w:color="D9E2F3" w:themeColor="accent1" w:themeTint="33" w:fill="auto"/>
          </w:tcPr>
          <w:p w14:paraId="04FCE52B" w14:textId="5162B236" w:rsidR="00B029D1" w:rsidRPr="00822EBF" w:rsidRDefault="00B029D1" w:rsidP="002747EA">
            <w:pPr>
              <w:pStyle w:val="RCTstable"/>
              <w:keepNext/>
            </w:pPr>
            <w:r>
              <w:rPr>
                <w:rFonts w:ascii="Century Gothic" w:hAnsi="Century Gothic"/>
                <w:b/>
                <w:noProof/>
              </w:rPr>
              <w:t>Buckingham-Schutt et al 2019</w:t>
            </w:r>
            <w:r w:rsidR="00D07346">
              <w:fldChar w:fldCharType="begin">
                <w:fldData xml:space="preserve">PEVuZE5vdGU+PENpdGU+PEF1dGhvcj5CdWNraW5naGFtLVNjaHV0dDwvQXV0aG9yPjxZZWFyPjIw
MTk8L1llYXI+PFJlY051bT4xOTI2PC9SZWNOdW0+PERpc3BsYXlUZXh0PjxzdHlsZSBmYWNlPSJz
dXBlcnNjcmlwdCIgZm9udD0iVHJlYnVjaGV0IE1TIiBzaXplPSI5Ij40ODM8L3N0eWxlPjwvRGlz
cGxheVRleHQ+PHJlY29yZD48cmVjLW51bWJlcj4xOTI2PC9yZWMtbnVtYmVyPjxmb3JlaWduLWtl
eXM+PGtleSBhcHA9IkVOIiBkYi1pZD0iZXh2YXNyZngyZHRyYW9lc2FzeHAyc3pzeGEyZGY1MDI1
OTJ4IiB0aW1lc3RhbXA9IjE1ODg1NzA2MjUiPjE5MjY8L2tleT48L2ZvcmVpZ24ta2V5cz48cmVm
LXR5cGUgbmFtZT0iSm91cm5hbCBBcnRpY2xlIj4xNzwvcmVmLXR5cGU+PGNvbnRyaWJ1dG9ycz48
YXV0aG9ycz48YXV0aG9yPkJ1Y2tpbmdoYW0tU2NodXR0LCBMLiBNLjwvYXV0aG9yPjxhdXRob3I+
RWxsaW5nc29uLCBMLiBELjwvYXV0aG9yPjxhdXRob3I+VmF6b3UsIFMuPC9hdXRob3I+PGF1dGhv
cj5DYW1wYmVsbCwgQy4gRy48L2F1dGhvcj48L2F1dGhvcnM+PC9jb250cmlidXRvcnM+PGF1dGgt
YWRkcmVzcz5UaGUgSGFya2luIEluc3RpdHV0ZSwgRHJha2UgVW5pdmVyc2l0eSwgRGVzIE1vaW5l
cywgSUEuJiN4RDtLaW5lc2lvbG9neSBEZXBhcnRtZW50LCBJb3dhIFN0YXRlIFVuaXZlcnNpdHks
IEFtZXMsIElBLiYjeEQ7Rm9vZCBTY2llbmNlIGFuZCBIdW1hbiBOdXRyaXRpb24gRGVwYXJ0bWVu
dC48L2F1dGgtYWRkcmVzcz48dGl0bGVzPjx0aXRsZT5UaGUgQmVoYXZpb3JhbCBXZWxsbmVzcyBp
biBQcmVnbmFuY3kgc3R1ZHk6IGEgcmFuZG9taXplZCBjb250cm9sbGVkIHRyaWFsIG9mIGEgbXVs
dGktY29tcG9uZW50IGludGVydmVudGlvbiB0byBwcm9tb3RlIGFwcHJvcHJpYXRlIHdlaWdodCBn
YWluPC90aXRsZT48c2Vjb25kYXJ5LXRpdGxlPkFtIEogQ2xpbiBOdXRyPC9zZWNvbmRhcnktdGl0
bGU+PC90aXRsZXM+PHBlcmlvZGljYWw+PGZ1bGwtdGl0bGU+QW0gSiBDbGluIE51dHI8L2Z1bGwt
dGl0bGU+PC9wZXJpb2RpY2FsPjxwYWdlcz4xMDcxLTEwNzk8L3BhZ2VzPjx2b2x1bWU+MTA5PC92
b2x1bWU+PG51bWJlcj40PC9udW1iZXI+PGVkaXRpb24+MjAxOS8wNC8wNjwvZWRpdGlvbj48a2V5
d29yZHM+PGtleXdvcmQ+QWR1bHQ8L2tleXdvcmQ+PGtleXdvcmQ+RGlldC8qcHN5Y2hvbG9neTwv
a2V5d29yZD48a2V5d29yZD5FeGVyY2lzZTwva2V5d29yZD48a2V5d29yZD5GZWVkaW5nIEJlaGF2
aW9yPC9rZXl3b3JkPjxrZXl3b3JkPkZlbWFsZTwva2V5d29yZD48a2V5d29yZD4qR2VzdGF0aW9u
YWwgV2VpZ2h0IEdhaW48L2tleXdvcmQ+PGtleXdvcmQ+SHVtYW5zPC9rZXl3b3JkPjxrZXl3b3Jk
PkxpZmUgU3R5bGU8L2tleXdvcmQ+PGtleXdvcmQ+TWF0ZXJuYWwgQmVoYXZpb3I8L2tleXdvcmQ+
PGtleXdvcmQ+UG9zdHBhcnR1bSBQZXJpb2QvbWV0YWJvbGlzbS9wc3ljaG9sb2d5PC9rZXl3b3Jk
PjxrZXl3b3JkPlByZWduYW5jeS9tZXRhYm9saXNtLypwc3ljaG9sb2d5PC9rZXl3b3JkPjxrZXl3
b3JkPlByZW5hdGFsIENhcmUvKnBzeWNob2xvZ3k8L2tleXdvcmQ+PGtleXdvcmQ+UHJlbmF0YWwg
TnV0cml0aW9uYWwgUGh5c2lvbG9naWNhbCBQaGVub21lbmE8L2tleXdvcmQ+PGtleXdvcmQ+WW91
bmcgQWR1bHQ8L2tleXdvcmQ+PGtleXdvcmQ+Km11bHRpLWNvbXBvbmVudCBpbnRlcnZlbnRpb248
L2tleXdvcmQ+PGtleXdvcmQ+Km51dHJpdGlvbjwva2V5d29yZD48a2V5d29yZD4qcGh5c2ljYWwg
YWN0aXZpdHk8L2tleXdvcmQ+PGtleXdvcmQ+KnByZWduYW5jeTwva2V5d29yZD48L2tleXdvcmRz
PjxkYXRlcz48eWVhcj4yMDE5PC95ZWFyPjxwdWItZGF0ZXM+PGRhdGU+QXByIDE8L2RhdGU+PC9w
dWItZGF0ZXM+PC9kYXRlcz48aXNibj4xOTM4LTMyMDcgKEVsZWN0cm9uaWMpJiN4RDswMDAyLTkx
NjUgKExpbmtpbmcpPC9pc2JuPjxhY2Nlc3Npb24tbnVtPjMwOTQ5NjkxPC9hY2Nlc3Npb24tbnVt
Pjx1cmxzPjxyZWxhdGVkLXVybHM+PHVybD5odHRwczovL3d3dy5uY2JpLm5sbS5uaWguZ292L3B1
Ym1lZC8zMDk0OTY5MTwvdXJsPjwvcmVsYXRlZC11cmxzPjwvdXJscz48ZWxlY3Ryb25pYy1yZXNv
dXJjZS1udW0+MTAuMTA5My9hamNuL25xeTM1OTwvZWxlY3Ryb25pYy1yZXNvdXJjZS1udW0+PC9y
ZWNvcmQ+PC9DaXRlPjwvRW5kTm90ZT4A
</w:fldData>
              </w:fldChar>
            </w:r>
            <w:r w:rsidR="002747EA">
              <w:instrText xml:space="preserve"> ADDIN EN.CITE </w:instrText>
            </w:r>
            <w:r w:rsidR="002747EA">
              <w:fldChar w:fldCharType="begin">
                <w:fldData xml:space="preserve">PEVuZE5vdGU+PENpdGU+PEF1dGhvcj5CdWNraW5naGFtLVNjaHV0dDwvQXV0aG9yPjxZZWFyPjIw
MTk8L1llYXI+PFJlY051bT4xOTI2PC9SZWNOdW0+PERpc3BsYXlUZXh0PjxzdHlsZSBmYWNlPSJz
dXBlcnNjcmlwdCIgZm9udD0iVHJlYnVjaGV0IE1TIiBzaXplPSI5Ij40ODM8L3N0eWxlPjwvRGlz
cGxheVRleHQ+PHJlY29yZD48cmVjLW51bWJlcj4xOTI2PC9yZWMtbnVtYmVyPjxmb3JlaWduLWtl
eXM+PGtleSBhcHA9IkVOIiBkYi1pZD0iZXh2YXNyZngyZHRyYW9lc2FzeHAyc3pzeGEyZGY1MDI1
OTJ4IiB0aW1lc3RhbXA9IjE1ODg1NzA2MjUiPjE5MjY8L2tleT48L2ZvcmVpZ24ta2V5cz48cmVm
LXR5cGUgbmFtZT0iSm91cm5hbCBBcnRpY2xlIj4xNzwvcmVmLXR5cGU+PGNvbnRyaWJ1dG9ycz48
YXV0aG9ycz48YXV0aG9yPkJ1Y2tpbmdoYW0tU2NodXR0LCBMLiBNLjwvYXV0aG9yPjxhdXRob3I+
RWxsaW5nc29uLCBMLiBELjwvYXV0aG9yPjxhdXRob3I+VmF6b3UsIFMuPC9hdXRob3I+PGF1dGhv
cj5DYW1wYmVsbCwgQy4gRy48L2F1dGhvcj48L2F1dGhvcnM+PC9jb250cmlidXRvcnM+PGF1dGgt
YWRkcmVzcz5UaGUgSGFya2luIEluc3RpdHV0ZSwgRHJha2UgVW5pdmVyc2l0eSwgRGVzIE1vaW5l
cywgSUEuJiN4RDtLaW5lc2lvbG9neSBEZXBhcnRtZW50LCBJb3dhIFN0YXRlIFVuaXZlcnNpdHks
IEFtZXMsIElBLiYjeEQ7Rm9vZCBTY2llbmNlIGFuZCBIdW1hbiBOdXRyaXRpb24gRGVwYXJ0bWVu
dC48L2F1dGgtYWRkcmVzcz48dGl0bGVzPjx0aXRsZT5UaGUgQmVoYXZpb3JhbCBXZWxsbmVzcyBp
biBQcmVnbmFuY3kgc3R1ZHk6IGEgcmFuZG9taXplZCBjb250cm9sbGVkIHRyaWFsIG9mIGEgbXVs
dGktY29tcG9uZW50IGludGVydmVudGlvbiB0byBwcm9tb3RlIGFwcHJvcHJpYXRlIHdlaWdodCBn
YWluPC90aXRsZT48c2Vjb25kYXJ5LXRpdGxlPkFtIEogQ2xpbiBOdXRyPC9zZWNvbmRhcnktdGl0
bGU+PC90aXRsZXM+PHBlcmlvZGljYWw+PGZ1bGwtdGl0bGU+QW0gSiBDbGluIE51dHI8L2Z1bGwt
dGl0bGU+PC9wZXJpb2RpY2FsPjxwYWdlcz4xMDcxLTEwNzk8L3BhZ2VzPjx2b2x1bWU+MTA5PC92
b2x1bWU+PG51bWJlcj40PC9udW1iZXI+PGVkaXRpb24+MjAxOS8wNC8wNjwvZWRpdGlvbj48a2V5
d29yZHM+PGtleXdvcmQ+QWR1bHQ8L2tleXdvcmQ+PGtleXdvcmQ+RGlldC8qcHN5Y2hvbG9neTwv
a2V5d29yZD48a2V5d29yZD5FeGVyY2lzZTwva2V5d29yZD48a2V5d29yZD5GZWVkaW5nIEJlaGF2
aW9yPC9rZXl3b3JkPjxrZXl3b3JkPkZlbWFsZTwva2V5d29yZD48a2V5d29yZD4qR2VzdGF0aW9u
YWwgV2VpZ2h0IEdhaW48L2tleXdvcmQ+PGtleXdvcmQ+SHVtYW5zPC9rZXl3b3JkPjxrZXl3b3Jk
PkxpZmUgU3R5bGU8L2tleXdvcmQ+PGtleXdvcmQ+TWF0ZXJuYWwgQmVoYXZpb3I8L2tleXdvcmQ+
PGtleXdvcmQ+UG9zdHBhcnR1bSBQZXJpb2QvbWV0YWJvbGlzbS9wc3ljaG9sb2d5PC9rZXl3b3Jk
PjxrZXl3b3JkPlByZWduYW5jeS9tZXRhYm9saXNtLypwc3ljaG9sb2d5PC9rZXl3b3JkPjxrZXl3
b3JkPlByZW5hdGFsIENhcmUvKnBzeWNob2xvZ3k8L2tleXdvcmQ+PGtleXdvcmQ+UHJlbmF0YWwg
TnV0cml0aW9uYWwgUGh5c2lvbG9naWNhbCBQaGVub21lbmE8L2tleXdvcmQ+PGtleXdvcmQ+WW91
bmcgQWR1bHQ8L2tleXdvcmQ+PGtleXdvcmQ+Km11bHRpLWNvbXBvbmVudCBpbnRlcnZlbnRpb248
L2tleXdvcmQ+PGtleXdvcmQ+Km51dHJpdGlvbjwva2V5d29yZD48a2V5d29yZD4qcGh5c2ljYWwg
YWN0aXZpdHk8L2tleXdvcmQ+PGtleXdvcmQ+KnByZWduYW5jeTwva2V5d29yZD48L2tleXdvcmRz
PjxkYXRlcz48eWVhcj4yMDE5PC95ZWFyPjxwdWItZGF0ZXM+PGRhdGU+QXByIDE8L2RhdGU+PC9w
dWItZGF0ZXM+PC9kYXRlcz48aXNibj4xOTM4LTMyMDcgKEVsZWN0cm9uaWMpJiN4RDswMDAyLTkx
NjUgKExpbmtpbmcpPC9pc2JuPjxhY2Nlc3Npb24tbnVtPjMwOTQ5NjkxPC9hY2Nlc3Npb24tbnVt
Pjx1cmxzPjxyZWxhdGVkLXVybHM+PHVybD5odHRwczovL3d3dy5uY2JpLm5sbS5uaWguZ292L3B1
Ym1lZC8zMDk0OTY5MTwvdXJsPjwvcmVsYXRlZC11cmxzPjwvdXJscz48ZWxlY3Ryb25pYy1yZXNv
dXJjZS1udW0+MTAuMTA5My9hamNuL25xeTM1OTwvZWxlY3Ryb25pYy1yZXNvdXJjZS1udW0+PC9y
ZWNvcmQ+PC9DaXRlPjwvRW5kTm90ZT4A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483</w:t>
            </w:r>
            <w:r w:rsidR="00D07346">
              <w:fldChar w:fldCharType="end"/>
            </w:r>
          </w:p>
        </w:tc>
      </w:tr>
      <w:tr w:rsidR="00B029D1" w:rsidRPr="00822EBF" w14:paraId="16A5845D" w14:textId="77777777" w:rsidTr="0030223E">
        <w:trPr>
          <w:cantSplit/>
        </w:trPr>
        <w:tc>
          <w:tcPr>
            <w:tcW w:w="1560" w:type="dxa"/>
            <w:shd w:val="clear" w:color="D9E2F3" w:themeColor="accent1" w:themeTint="33" w:fill="auto"/>
          </w:tcPr>
          <w:p w14:paraId="4420C360" w14:textId="77777777" w:rsidR="00B029D1" w:rsidRPr="00822EBF" w:rsidRDefault="00B029D1" w:rsidP="00E44521">
            <w:pPr>
              <w:pStyle w:val="RCTstable"/>
              <w:keepNext/>
            </w:pPr>
            <w:r w:rsidRPr="00822EBF">
              <w:t>Random sequence generation</w:t>
            </w:r>
          </w:p>
        </w:tc>
        <w:tc>
          <w:tcPr>
            <w:tcW w:w="1275" w:type="dxa"/>
            <w:shd w:val="clear" w:color="auto" w:fill="FFC000" w:themeFill="accent4"/>
          </w:tcPr>
          <w:p w14:paraId="37F40208" w14:textId="5EAF4AF3" w:rsidR="00B029D1" w:rsidRPr="00822EBF" w:rsidRDefault="00BA67D0" w:rsidP="00E44521">
            <w:pPr>
              <w:pStyle w:val="RCTstable"/>
              <w:keepNext/>
            </w:pPr>
            <w:r>
              <w:t>Unclear</w:t>
            </w:r>
            <w:r w:rsidR="00B029D1" w:rsidRPr="00822EBF">
              <w:t xml:space="preserve"> risk</w:t>
            </w:r>
          </w:p>
        </w:tc>
        <w:tc>
          <w:tcPr>
            <w:tcW w:w="11199" w:type="dxa"/>
            <w:shd w:val="clear" w:color="D9E2F3" w:themeColor="accent1" w:themeTint="33" w:fill="auto"/>
          </w:tcPr>
          <w:p w14:paraId="26FEC3AD" w14:textId="7821A54F" w:rsidR="00B029D1" w:rsidRPr="00822EBF" w:rsidRDefault="00BA67D0" w:rsidP="00E44521">
            <w:pPr>
              <w:pStyle w:val="RCTstable"/>
              <w:keepNext/>
            </w:pPr>
            <w:r>
              <w:t>Not described</w:t>
            </w:r>
          </w:p>
        </w:tc>
      </w:tr>
      <w:tr w:rsidR="00B029D1" w:rsidRPr="00822EBF" w14:paraId="0D9F80AB" w14:textId="77777777" w:rsidTr="0030223E">
        <w:trPr>
          <w:cantSplit/>
        </w:trPr>
        <w:tc>
          <w:tcPr>
            <w:tcW w:w="1560" w:type="dxa"/>
            <w:shd w:val="clear" w:color="D9E2F3" w:themeColor="accent1" w:themeTint="33" w:fill="auto"/>
          </w:tcPr>
          <w:p w14:paraId="66D3A652" w14:textId="77777777" w:rsidR="00B029D1" w:rsidRPr="00822EBF" w:rsidRDefault="00B029D1" w:rsidP="00E44521">
            <w:pPr>
              <w:pStyle w:val="RCTstable"/>
              <w:keepNext/>
            </w:pPr>
            <w:r w:rsidRPr="00822EBF">
              <w:t xml:space="preserve">Allocation concealment </w:t>
            </w:r>
          </w:p>
        </w:tc>
        <w:tc>
          <w:tcPr>
            <w:tcW w:w="1275" w:type="dxa"/>
            <w:shd w:val="clear" w:color="auto" w:fill="FFC000" w:themeFill="accent4"/>
          </w:tcPr>
          <w:p w14:paraId="60A07D04" w14:textId="66E15E7D" w:rsidR="00B029D1" w:rsidRPr="00822EBF" w:rsidRDefault="00BA67D0" w:rsidP="00E44521">
            <w:pPr>
              <w:pStyle w:val="RCTstable"/>
              <w:keepNext/>
            </w:pPr>
            <w:r>
              <w:t>Unclear</w:t>
            </w:r>
            <w:r w:rsidR="00B029D1" w:rsidRPr="00822EBF">
              <w:t xml:space="preserve"> risk</w:t>
            </w:r>
          </w:p>
        </w:tc>
        <w:tc>
          <w:tcPr>
            <w:tcW w:w="11199" w:type="dxa"/>
            <w:shd w:val="clear" w:color="D9E2F3" w:themeColor="accent1" w:themeTint="33" w:fill="auto"/>
          </w:tcPr>
          <w:p w14:paraId="07E8EB82" w14:textId="044848E7" w:rsidR="00B029D1" w:rsidRPr="00822EBF" w:rsidRDefault="00BA67D0" w:rsidP="00E44521">
            <w:pPr>
              <w:pStyle w:val="RCTstable"/>
              <w:keepNext/>
            </w:pPr>
            <w:r>
              <w:t>Not described</w:t>
            </w:r>
          </w:p>
        </w:tc>
      </w:tr>
      <w:tr w:rsidR="00B029D1" w:rsidRPr="00822EBF" w14:paraId="60C80872" w14:textId="77777777" w:rsidTr="0030223E">
        <w:trPr>
          <w:cantSplit/>
        </w:trPr>
        <w:tc>
          <w:tcPr>
            <w:tcW w:w="1560" w:type="dxa"/>
            <w:shd w:val="clear" w:color="D9E2F3" w:themeColor="accent1" w:themeTint="33" w:fill="auto"/>
          </w:tcPr>
          <w:p w14:paraId="3B17DA91" w14:textId="77777777" w:rsidR="00B029D1" w:rsidRPr="00822EBF" w:rsidRDefault="00B029D1" w:rsidP="00E44521">
            <w:pPr>
              <w:pStyle w:val="RCTstable"/>
            </w:pPr>
            <w:r w:rsidRPr="00822EBF">
              <w:t>Performance bias</w:t>
            </w:r>
          </w:p>
        </w:tc>
        <w:tc>
          <w:tcPr>
            <w:tcW w:w="1275" w:type="dxa"/>
            <w:shd w:val="clear" w:color="auto" w:fill="FFC000" w:themeFill="accent4"/>
          </w:tcPr>
          <w:p w14:paraId="1D28BA3B" w14:textId="7437DDFB" w:rsidR="00B029D1" w:rsidRPr="00822EBF" w:rsidRDefault="00BA67D0" w:rsidP="00E44521">
            <w:pPr>
              <w:pStyle w:val="RCTstable"/>
            </w:pPr>
            <w:r>
              <w:t>Unclear</w:t>
            </w:r>
            <w:r w:rsidR="00B029D1" w:rsidRPr="00822EBF">
              <w:t xml:space="preserve"> risk</w:t>
            </w:r>
          </w:p>
        </w:tc>
        <w:tc>
          <w:tcPr>
            <w:tcW w:w="11199" w:type="dxa"/>
            <w:shd w:val="clear" w:color="D9E2F3" w:themeColor="accent1" w:themeTint="33" w:fill="auto"/>
          </w:tcPr>
          <w:p w14:paraId="3E7D1CD6" w14:textId="18AC762B" w:rsidR="00B029D1" w:rsidRPr="00822EBF" w:rsidRDefault="00BA67D0" w:rsidP="00E44521">
            <w:pPr>
              <w:pStyle w:val="RCTstable"/>
            </w:pPr>
            <w:r>
              <w:t>Not described</w:t>
            </w:r>
          </w:p>
        </w:tc>
      </w:tr>
      <w:tr w:rsidR="00B029D1" w:rsidRPr="00822EBF" w14:paraId="1F6571AE" w14:textId="77777777" w:rsidTr="0030223E">
        <w:trPr>
          <w:cantSplit/>
        </w:trPr>
        <w:tc>
          <w:tcPr>
            <w:tcW w:w="1560" w:type="dxa"/>
            <w:shd w:val="clear" w:color="D9E2F3" w:themeColor="accent1" w:themeTint="33" w:fill="auto"/>
          </w:tcPr>
          <w:p w14:paraId="74F8DAEC" w14:textId="77777777" w:rsidR="00B029D1" w:rsidRPr="00822EBF" w:rsidRDefault="00B029D1" w:rsidP="00E44521">
            <w:pPr>
              <w:pStyle w:val="RCTstable"/>
            </w:pPr>
            <w:r w:rsidRPr="00822EBF">
              <w:t>Detection bias</w:t>
            </w:r>
          </w:p>
        </w:tc>
        <w:tc>
          <w:tcPr>
            <w:tcW w:w="1275" w:type="dxa"/>
            <w:shd w:val="clear" w:color="auto" w:fill="FFC000" w:themeFill="accent4"/>
          </w:tcPr>
          <w:p w14:paraId="09F383F4" w14:textId="0490ED31" w:rsidR="00B029D1" w:rsidRPr="00822EBF" w:rsidRDefault="00BA67D0" w:rsidP="00E44521">
            <w:pPr>
              <w:pStyle w:val="RCTstable"/>
            </w:pPr>
            <w:r>
              <w:t>Unclear</w:t>
            </w:r>
            <w:r w:rsidR="00B029D1" w:rsidRPr="00822EBF">
              <w:t xml:space="preserve"> risk</w:t>
            </w:r>
          </w:p>
        </w:tc>
        <w:tc>
          <w:tcPr>
            <w:tcW w:w="11199" w:type="dxa"/>
            <w:shd w:val="clear" w:color="D9E2F3" w:themeColor="accent1" w:themeTint="33" w:fill="auto"/>
          </w:tcPr>
          <w:p w14:paraId="5E19D0A0" w14:textId="03423515" w:rsidR="00B029D1" w:rsidRPr="00822EBF" w:rsidRDefault="00BA67D0" w:rsidP="00E44521">
            <w:pPr>
              <w:pStyle w:val="RCTstable"/>
            </w:pPr>
            <w:r>
              <w:t>Not described</w:t>
            </w:r>
          </w:p>
        </w:tc>
      </w:tr>
      <w:tr w:rsidR="00B029D1" w:rsidRPr="00822EBF" w14:paraId="6CAD40E0" w14:textId="77777777" w:rsidTr="0030223E">
        <w:trPr>
          <w:cantSplit/>
        </w:trPr>
        <w:tc>
          <w:tcPr>
            <w:tcW w:w="1560" w:type="dxa"/>
            <w:shd w:val="clear" w:color="D9E2F3" w:themeColor="accent1" w:themeTint="33" w:fill="auto"/>
          </w:tcPr>
          <w:p w14:paraId="11C6D4BD" w14:textId="77777777" w:rsidR="00B029D1" w:rsidRPr="00822EBF" w:rsidRDefault="00B029D1" w:rsidP="00E44521">
            <w:pPr>
              <w:pStyle w:val="RCTstable"/>
            </w:pPr>
            <w:r w:rsidRPr="00822EBF">
              <w:t>Incomplete outcome data</w:t>
            </w:r>
          </w:p>
        </w:tc>
        <w:tc>
          <w:tcPr>
            <w:tcW w:w="1275" w:type="dxa"/>
            <w:tcBorders>
              <w:bottom w:val="single" w:sz="4" w:space="0" w:color="auto"/>
            </w:tcBorders>
            <w:shd w:val="clear" w:color="auto" w:fill="FFC000" w:themeFill="accent4"/>
          </w:tcPr>
          <w:p w14:paraId="13DC16CD" w14:textId="19672B8D" w:rsidR="00B029D1" w:rsidRPr="00822EBF" w:rsidRDefault="00E0447B" w:rsidP="00E44521">
            <w:pPr>
              <w:pStyle w:val="RCTstable"/>
            </w:pPr>
            <w:r>
              <w:t>Unclear</w:t>
            </w:r>
            <w:r w:rsidR="00B029D1" w:rsidRPr="00822EBF">
              <w:t xml:space="preserve"> risk</w:t>
            </w:r>
          </w:p>
        </w:tc>
        <w:tc>
          <w:tcPr>
            <w:tcW w:w="11199" w:type="dxa"/>
            <w:shd w:val="clear" w:color="D9E2F3" w:themeColor="accent1" w:themeTint="33" w:fill="auto"/>
          </w:tcPr>
          <w:p w14:paraId="7D637C87" w14:textId="043D566C" w:rsidR="00B029D1" w:rsidRPr="00822EBF" w:rsidRDefault="00E0447B" w:rsidP="00E44521">
            <w:pPr>
              <w:pStyle w:val="RCTstable"/>
            </w:pPr>
            <w:r>
              <w:t>Some data appear to be missing from the CONSORT diagram.</w:t>
            </w:r>
          </w:p>
        </w:tc>
      </w:tr>
      <w:tr w:rsidR="00B029D1" w:rsidRPr="00822EBF" w14:paraId="424D5A10" w14:textId="77777777" w:rsidTr="0030223E">
        <w:trPr>
          <w:cantSplit/>
        </w:trPr>
        <w:tc>
          <w:tcPr>
            <w:tcW w:w="1560" w:type="dxa"/>
            <w:shd w:val="clear" w:color="D9E2F3" w:themeColor="accent1" w:themeTint="33" w:fill="auto"/>
          </w:tcPr>
          <w:p w14:paraId="4D9EB8B3" w14:textId="77777777" w:rsidR="00B029D1" w:rsidRPr="00822EBF" w:rsidRDefault="00B029D1" w:rsidP="00E44521">
            <w:pPr>
              <w:pStyle w:val="RCTstable"/>
            </w:pPr>
            <w:r w:rsidRPr="00822EBF">
              <w:t>Selective reporting</w:t>
            </w:r>
          </w:p>
        </w:tc>
        <w:tc>
          <w:tcPr>
            <w:tcW w:w="1275" w:type="dxa"/>
            <w:shd w:val="clear" w:color="auto" w:fill="70AD47" w:themeFill="accent6"/>
          </w:tcPr>
          <w:p w14:paraId="5D209772" w14:textId="04B73282" w:rsidR="00B029D1" w:rsidRPr="00822EBF" w:rsidRDefault="00E0447B" w:rsidP="00E44521">
            <w:pPr>
              <w:pStyle w:val="RCTstable"/>
            </w:pPr>
            <w:r>
              <w:t>Low</w:t>
            </w:r>
            <w:r w:rsidR="00B029D1" w:rsidRPr="00822EBF">
              <w:t xml:space="preserve"> risk</w:t>
            </w:r>
          </w:p>
        </w:tc>
        <w:tc>
          <w:tcPr>
            <w:tcW w:w="11199" w:type="dxa"/>
            <w:shd w:val="clear" w:color="D9E2F3" w:themeColor="accent1" w:themeTint="33" w:fill="auto"/>
          </w:tcPr>
          <w:p w14:paraId="465EEA3F" w14:textId="0319648C" w:rsidR="00B029D1" w:rsidRPr="00822EBF" w:rsidRDefault="00E0447B" w:rsidP="00E44521">
            <w:pPr>
              <w:pStyle w:val="RCTstable"/>
            </w:pPr>
            <w:r>
              <w:t>Pre-specified outcomes reported.</w:t>
            </w:r>
          </w:p>
        </w:tc>
      </w:tr>
      <w:tr w:rsidR="00B029D1" w:rsidRPr="00822EBF" w14:paraId="5B64883B" w14:textId="77777777" w:rsidTr="0030223E">
        <w:trPr>
          <w:cantSplit/>
        </w:trPr>
        <w:tc>
          <w:tcPr>
            <w:tcW w:w="1560" w:type="dxa"/>
            <w:shd w:val="clear" w:color="D9E2F3" w:themeColor="accent1" w:themeTint="33" w:fill="auto"/>
          </w:tcPr>
          <w:p w14:paraId="2C84F639" w14:textId="77777777" w:rsidR="00B029D1" w:rsidRPr="00822EBF" w:rsidRDefault="00B029D1" w:rsidP="00E44521">
            <w:pPr>
              <w:pStyle w:val="RCTstable"/>
            </w:pPr>
            <w:r w:rsidRPr="00822EBF">
              <w:t xml:space="preserve">Other limitations </w:t>
            </w:r>
          </w:p>
        </w:tc>
        <w:tc>
          <w:tcPr>
            <w:tcW w:w="1275" w:type="dxa"/>
            <w:shd w:val="clear" w:color="auto" w:fill="70AD47" w:themeFill="accent6"/>
          </w:tcPr>
          <w:p w14:paraId="03E6BD74" w14:textId="77777777" w:rsidR="00B029D1" w:rsidRPr="00822EBF" w:rsidRDefault="00B029D1" w:rsidP="00E44521">
            <w:pPr>
              <w:pStyle w:val="RCTstable"/>
            </w:pPr>
            <w:r w:rsidRPr="00822EBF">
              <w:t>Low risk</w:t>
            </w:r>
          </w:p>
        </w:tc>
        <w:tc>
          <w:tcPr>
            <w:tcW w:w="11199" w:type="dxa"/>
            <w:shd w:val="clear" w:color="D9E2F3" w:themeColor="accent1" w:themeTint="33" w:fill="auto"/>
          </w:tcPr>
          <w:p w14:paraId="45FECF53" w14:textId="77777777" w:rsidR="00B029D1" w:rsidRPr="003956DD" w:rsidRDefault="00B029D1" w:rsidP="00E44521">
            <w:pPr>
              <w:pStyle w:val="RCTstable"/>
            </w:pPr>
            <w:r w:rsidRPr="003956DD">
              <w:t>No obvious sources of other bias identified</w:t>
            </w:r>
            <w:r>
              <w:t>.</w:t>
            </w:r>
          </w:p>
        </w:tc>
      </w:tr>
      <w:tr w:rsidR="00BB51A6" w:rsidRPr="00822EBF" w14:paraId="479017AA" w14:textId="77777777" w:rsidTr="00E44521">
        <w:trPr>
          <w:cantSplit/>
        </w:trPr>
        <w:tc>
          <w:tcPr>
            <w:tcW w:w="14034" w:type="dxa"/>
            <w:gridSpan w:val="3"/>
            <w:shd w:val="solid" w:color="D9E2F3" w:themeColor="accent1" w:themeTint="33" w:fill="auto"/>
          </w:tcPr>
          <w:p w14:paraId="485031B7" w14:textId="2F51426F" w:rsidR="00BB51A6" w:rsidRPr="00822EBF" w:rsidRDefault="00BB51A6" w:rsidP="002747EA">
            <w:pPr>
              <w:pStyle w:val="RCTstable"/>
              <w:keepNext/>
            </w:pPr>
            <w:r>
              <w:rPr>
                <w:rFonts w:ascii="Century Gothic" w:hAnsi="Century Gothic"/>
                <w:b/>
                <w:noProof/>
              </w:rPr>
              <w:t>Chan et al 2018</w:t>
            </w:r>
            <w:r w:rsidR="00D07346">
              <w:fldChar w:fldCharType="begin">
                <w:fldData xml:space="preserve">PEVuZE5vdGU+PENpdGU+PEF1dGhvcj5DaGFuPC9BdXRob3I+PFllYXI+MjAxODwvWWVhcj48UmVj
TnVtPjE5MjM8L1JlY051bT48RGlzcGxheVRleHQ+PHN0eWxlIGZhY2U9InN1cGVyc2NyaXB0IiBm
b250PSJUcmVidWNoZXQgTVMiIHNpemU9IjkiPjUxODwvc3R5bGU+PC9EaXNwbGF5VGV4dD48cmVj
b3JkPjxyZWMtbnVtYmVyPjE5MjM8L3JlYy1udW1iZXI+PGZvcmVpZ24ta2V5cz48a2V5IGFwcD0i
RU4iIGRiLWlkPSJleHZhc3JmeDJkdHJhb2VzYXN4cDJzenN4YTJkZjUwMjU5MngiIHRpbWVzdGFt
cD0iMTU4ODU2NjIzNCI+MTkyMzwva2V5PjxrZXkgYXBwPSJFTldlYiIgZGItaWQ9IiI+MDwva2V5
PjwvZm9yZWlnbi1rZXlzPjxyZWYtdHlwZSBuYW1lPSJKb3VybmFsIEFydGljbGUiPjE3PC9yZWYt
dHlwZT48Y29udHJpYnV0b3JzPjxhdXRob3JzPjxhdXRob3I+Q2hhbiwgUi4gUy48L2F1dGhvcj48
YXV0aG9yPlRhbSwgVy4gSC48L2F1dGhvcj48YXV0aG9yPkhvLCBJLiBDLjwvYXV0aG9yPjxhdXRo
b3I+S3dhbiwgTS4gVy48L2F1dGhvcj48YXV0aG9yPkxpLCBMLiBTLjwvYXV0aG9yPjxhdXRob3I+
U2VhLCBNLiBNLjwvYXV0aG9yPjxhdXRob3I+V29vLCBKLjwvYXV0aG9yPjwvYXV0aG9ycz48L2Nv
bnRyaWJ1dG9ycz48YXV0aC1hZGRyZXNzPkRlcGFydG1lbnQgb2YgTWVkaWNpbmUgYW5kIFRoZXJh
cGV1dGljcywgVGhlIENoaW5lc2UgVW5pdmVyc2l0eSBvZiBIb25nIEtvbmcsIEhvbmcgS29uZywg
Q2hpbmEuIHJ1dGhjaGFuc21AY3Voay5lZHUuaGsuJiN4RDtEZXBhcnRtZW50IG9mIE9ic3RldHJp
Y3MgYW5kIEd5bmFlY29sb2d5LCBUaGUgQ2hpbmVzZSBVbml2ZXJzaXR5IG9mIEhvbmcgS29uZywg
SG9uZyBLb25nLCBDaGluYS4mI3hEO0RlcGFydG1lbnQgb2YgTWVkaWNpbmUgYW5kIFRoZXJhcGV1
dGljcywgVGhlIENoaW5lc2UgVW5pdmVyc2l0eSBvZiBIb25nIEtvbmcsIEhvbmcgS29uZywgQ2hp
bmEuJiN4RDtDZW50cmUgZm9yIE51dHJpdGlvbmFsIFN0dWRpZXMsIFRoZSBDaGluZXNlIFVuaXZl
cnNpdHkgb2YgSG9uZyBLb25nLCBIb25nIEtvbmcsIENoaW5hLjwvYXV0aC1hZGRyZXNzPjx0aXRs
ZXM+PHRpdGxlPlJhbmRvbWl6ZWQgdHJpYWwgZXhhbWluaW5nIGVmZmVjdGl2ZW5lc3Mgb2YgbGlm
ZXN0eWxlIGludGVydmVudGlvbiBpbiByZWR1Y2luZyBnZXN0YXRpb25hbCBkaWFiZXRlcyBpbiBo
aWdoIHJpc2sgQ2hpbmVzZSBwcmVnbmFudCB3b21lbiBpbiBIb25nIEtvbmc8L3RpdGxlPjxzZWNv
bmRhcnktdGl0bGU+U2NpIFJlcDwvc2Vjb25kYXJ5LXRpdGxlPjwvdGl0bGVzPjxwZXJpb2RpY2Fs
PjxmdWxsLXRpdGxlPlNjaSBSZXA8L2Z1bGwtdGl0bGU+PC9wZXJpb2RpY2FsPjxwYWdlcz4xMzg0
OTwvcGFnZXM+PHZvbHVtZT44PC92b2x1bWU+PG51bWJlcj4xPC9udW1iZXI+PGVkaXRpb24+MjAx
OC8wOS8xNjwvZWRpdGlvbj48a2V5d29yZHM+PGtleXdvcmQ+QWR1bHQ8L2tleXdvcmQ+PGtleXdv
cmQ+RGlhYmV0ZXMsIEdlc3RhdGlvbmFsLypwcmV2ZW50aW9uICZhbXA7IGNvbnRyb2w8L2tleXdv
cmQ+PGtleXdvcmQ+RmVtYWxlPC9rZXl3b3JkPjxrZXl3b3JkPkhvbmcgS29uZzwva2V5d29yZD48
a2V5d29yZD5IdW1hbnM8L2tleXdvcmQ+PGtleXdvcmQ+KkxpZmUgU3R5bGU8L2tleXdvcmQ+PGtl
eXdvcmQ+T3V0Y29tZSBBc3Nlc3NtZW50LCBIZWFsdGggQ2FyZTwva2V5d29yZD48a2V5d29yZD5Q
cmVnbmFuY3k8L2tleXdvcmQ+PGtleXdvcmQ+Umlzazwva2V5d29yZD48L2tleXdvcmRzPjxkYXRl
cz48eWVhcj4yMDE4PC95ZWFyPjxwdWItZGF0ZXM+PGRhdGU+U2VwIDE0PC9kYXRlPjwvcHViLWRh
dGVzPjwvZGF0ZXM+PGlzYm4+MjA0NS0yMzIyIChFbGVjdHJvbmljKSYjeEQ7MjA0NS0yMzIyIChM
aW5raW5nKTwvaXNibj48YWNjZXNzaW9uLW51bT4zMDIxODAxMjwvYWNjZXNzaW9uLW51bT48dXJs
cz48cmVsYXRlZC11cmxzPjx1cmw+aHR0cHM6Ly93d3cubmNiaS5ubG0ubmloLmdvdi9wdWJtZWQv
MzAyMTgwMTI8L3VybD48L3JlbGF0ZWQtdXJscz48L3VybHM+PGN1c3RvbTI+UE1DNjEzODcwODwv
Y3VzdG9tMj48ZWxlY3Ryb25pYy1yZXNvdXJjZS1udW0+MTAuMTAzOC9zNDE1OTgtMDE4LTMyMjg1
LTY8L2VsZWN0cm9uaWMtcmVzb3VyY2UtbnVtPjwvcmVjb3JkPjwvQ2l0ZT48L0VuZE5vdGU+AG==
</w:fldData>
              </w:fldChar>
            </w:r>
            <w:r w:rsidR="002747EA">
              <w:instrText xml:space="preserve"> ADDIN EN.CITE </w:instrText>
            </w:r>
            <w:r w:rsidR="002747EA">
              <w:fldChar w:fldCharType="begin">
                <w:fldData xml:space="preserve">PEVuZE5vdGU+PENpdGU+PEF1dGhvcj5DaGFuPC9BdXRob3I+PFllYXI+MjAxODwvWWVhcj48UmVj
TnVtPjE5MjM8L1JlY051bT48RGlzcGxheVRleHQ+PHN0eWxlIGZhY2U9InN1cGVyc2NyaXB0IiBm
b250PSJUcmVidWNoZXQgTVMiIHNpemU9IjkiPjUxODwvc3R5bGU+PC9EaXNwbGF5VGV4dD48cmVj
b3JkPjxyZWMtbnVtYmVyPjE5MjM8L3JlYy1udW1iZXI+PGZvcmVpZ24ta2V5cz48a2V5IGFwcD0i
RU4iIGRiLWlkPSJleHZhc3JmeDJkdHJhb2VzYXN4cDJzenN4YTJkZjUwMjU5MngiIHRpbWVzdGFt
cD0iMTU4ODU2NjIzNCI+MTkyMzwva2V5PjxrZXkgYXBwPSJFTldlYiIgZGItaWQ9IiI+MDwva2V5
PjwvZm9yZWlnbi1rZXlzPjxyZWYtdHlwZSBuYW1lPSJKb3VybmFsIEFydGljbGUiPjE3PC9yZWYt
dHlwZT48Y29udHJpYnV0b3JzPjxhdXRob3JzPjxhdXRob3I+Q2hhbiwgUi4gUy48L2F1dGhvcj48
YXV0aG9yPlRhbSwgVy4gSC48L2F1dGhvcj48YXV0aG9yPkhvLCBJLiBDLjwvYXV0aG9yPjxhdXRo
b3I+S3dhbiwgTS4gVy48L2F1dGhvcj48YXV0aG9yPkxpLCBMLiBTLjwvYXV0aG9yPjxhdXRob3I+
U2VhLCBNLiBNLjwvYXV0aG9yPjxhdXRob3I+V29vLCBKLjwvYXV0aG9yPjwvYXV0aG9ycz48L2Nv
bnRyaWJ1dG9ycz48YXV0aC1hZGRyZXNzPkRlcGFydG1lbnQgb2YgTWVkaWNpbmUgYW5kIFRoZXJh
cGV1dGljcywgVGhlIENoaW5lc2UgVW5pdmVyc2l0eSBvZiBIb25nIEtvbmcsIEhvbmcgS29uZywg
Q2hpbmEuIHJ1dGhjaGFuc21AY3Voay5lZHUuaGsuJiN4RDtEZXBhcnRtZW50IG9mIE9ic3RldHJp
Y3MgYW5kIEd5bmFlY29sb2d5LCBUaGUgQ2hpbmVzZSBVbml2ZXJzaXR5IG9mIEhvbmcgS29uZywg
SG9uZyBLb25nLCBDaGluYS4mI3hEO0RlcGFydG1lbnQgb2YgTWVkaWNpbmUgYW5kIFRoZXJhcGV1
dGljcywgVGhlIENoaW5lc2UgVW5pdmVyc2l0eSBvZiBIb25nIEtvbmcsIEhvbmcgS29uZywgQ2hp
bmEuJiN4RDtDZW50cmUgZm9yIE51dHJpdGlvbmFsIFN0dWRpZXMsIFRoZSBDaGluZXNlIFVuaXZl
cnNpdHkgb2YgSG9uZyBLb25nLCBIb25nIEtvbmcsIENoaW5hLjwvYXV0aC1hZGRyZXNzPjx0aXRs
ZXM+PHRpdGxlPlJhbmRvbWl6ZWQgdHJpYWwgZXhhbWluaW5nIGVmZmVjdGl2ZW5lc3Mgb2YgbGlm
ZXN0eWxlIGludGVydmVudGlvbiBpbiByZWR1Y2luZyBnZXN0YXRpb25hbCBkaWFiZXRlcyBpbiBo
aWdoIHJpc2sgQ2hpbmVzZSBwcmVnbmFudCB3b21lbiBpbiBIb25nIEtvbmc8L3RpdGxlPjxzZWNv
bmRhcnktdGl0bGU+U2NpIFJlcDwvc2Vjb25kYXJ5LXRpdGxlPjwvdGl0bGVzPjxwZXJpb2RpY2Fs
PjxmdWxsLXRpdGxlPlNjaSBSZXA8L2Z1bGwtdGl0bGU+PC9wZXJpb2RpY2FsPjxwYWdlcz4xMzg0
OTwvcGFnZXM+PHZvbHVtZT44PC92b2x1bWU+PG51bWJlcj4xPC9udW1iZXI+PGVkaXRpb24+MjAx
OC8wOS8xNjwvZWRpdGlvbj48a2V5d29yZHM+PGtleXdvcmQ+QWR1bHQ8L2tleXdvcmQ+PGtleXdv
cmQ+RGlhYmV0ZXMsIEdlc3RhdGlvbmFsLypwcmV2ZW50aW9uICZhbXA7IGNvbnRyb2w8L2tleXdv
cmQ+PGtleXdvcmQ+RmVtYWxlPC9rZXl3b3JkPjxrZXl3b3JkPkhvbmcgS29uZzwva2V5d29yZD48
a2V5d29yZD5IdW1hbnM8L2tleXdvcmQ+PGtleXdvcmQ+KkxpZmUgU3R5bGU8L2tleXdvcmQ+PGtl
eXdvcmQ+T3V0Y29tZSBBc3Nlc3NtZW50LCBIZWFsdGggQ2FyZTwva2V5d29yZD48a2V5d29yZD5Q
cmVnbmFuY3k8L2tleXdvcmQ+PGtleXdvcmQ+Umlzazwva2V5d29yZD48L2tleXdvcmRzPjxkYXRl
cz48eWVhcj4yMDE4PC95ZWFyPjxwdWItZGF0ZXM+PGRhdGU+U2VwIDE0PC9kYXRlPjwvcHViLWRh
dGVzPjwvZGF0ZXM+PGlzYm4+MjA0NS0yMzIyIChFbGVjdHJvbmljKSYjeEQ7MjA0NS0yMzIyIChM
aW5raW5nKTwvaXNibj48YWNjZXNzaW9uLW51bT4zMDIxODAxMjwvYWNjZXNzaW9uLW51bT48dXJs
cz48cmVsYXRlZC11cmxzPjx1cmw+aHR0cHM6Ly93d3cubmNiaS5ubG0ubmloLmdvdi9wdWJtZWQv
MzAyMTgwMTI8L3VybD48L3JlbGF0ZWQtdXJscz48L3VybHM+PGN1c3RvbTI+UE1DNjEzODcwODwv
Y3VzdG9tMj48ZWxlY3Ryb25pYy1yZXNvdXJjZS1udW0+MTAuMTAzOC9zNDE1OTgtMDE4LTMyMjg1
LTY8L2VsZWN0cm9uaWMtcmVzb3VyY2UtbnVtPjwvcmVjb3JkPjwvQ2l0ZT48L0VuZE5vdGU+AG==
</w:fldData>
              </w:fldChar>
            </w:r>
            <w:r w:rsidR="002747EA">
              <w:instrText xml:space="preserve"> ADDIN EN.CITE.DATA </w:instrText>
            </w:r>
            <w:r w:rsidR="002747EA">
              <w:fldChar w:fldCharType="end"/>
            </w:r>
            <w:r w:rsidR="00D07346">
              <w:fldChar w:fldCharType="separate"/>
            </w:r>
            <w:r w:rsidR="002747EA" w:rsidRPr="002747EA">
              <w:rPr>
                <w:noProof/>
                <w:sz w:val="18"/>
                <w:vertAlign w:val="superscript"/>
              </w:rPr>
              <w:t>518</w:t>
            </w:r>
            <w:r w:rsidR="00D07346">
              <w:fldChar w:fldCharType="end"/>
            </w:r>
          </w:p>
        </w:tc>
      </w:tr>
      <w:tr w:rsidR="00BB51A6" w:rsidRPr="00822EBF" w14:paraId="486DBDEA" w14:textId="77777777" w:rsidTr="00E44521">
        <w:trPr>
          <w:cantSplit/>
        </w:trPr>
        <w:tc>
          <w:tcPr>
            <w:tcW w:w="1560" w:type="dxa"/>
            <w:shd w:val="clear" w:color="D9E2F3" w:themeColor="accent1" w:themeTint="33" w:fill="auto"/>
          </w:tcPr>
          <w:p w14:paraId="7DE8BAF5" w14:textId="77777777" w:rsidR="00BB51A6" w:rsidRPr="00822EBF" w:rsidRDefault="00BB51A6" w:rsidP="00E44521">
            <w:pPr>
              <w:pStyle w:val="RCTstable"/>
              <w:keepNext/>
            </w:pPr>
            <w:r w:rsidRPr="00822EBF">
              <w:t>Random sequence generation</w:t>
            </w:r>
          </w:p>
        </w:tc>
        <w:tc>
          <w:tcPr>
            <w:tcW w:w="1275" w:type="dxa"/>
            <w:shd w:val="clear" w:color="D9E2F3" w:themeColor="accent1" w:themeTint="33" w:fill="70AD47" w:themeFill="accent6"/>
          </w:tcPr>
          <w:p w14:paraId="64593FEA" w14:textId="77777777" w:rsidR="00BB51A6" w:rsidRPr="00822EBF" w:rsidRDefault="00BB51A6" w:rsidP="00E44521">
            <w:pPr>
              <w:pStyle w:val="RCTstable"/>
              <w:keepNext/>
            </w:pPr>
            <w:r w:rsidRPr="00822EBF">
              <w:t>Low risk</w:t>
            </w:r>
          </w:p>
        </w:tc>
        <w:tc>
          <w:tcPr>
            <w:tcW w:w="11199" w:type="dxa"/>
            <w:shd w:val="clear" w:color="D9E2F3" w:themeColor="accent1" w:themeTint="33" w:fill="auto"/>
          </w:tcPr>
          <w:p w14:paraId="4EF5D809" w14:textId="65679BDD" w:rsidR="00BB51A6" w:rsidRPr="00BB51A6" w:rsidRDefault="00BB51A6" w:rsidP="0030223E">
            <w:pPr>
              <w:pStyle w:val="RCTstable"/>
            </w:pPr>
            <w:r>
              <w:t>“Randomis</w:t>
            </w:r>
            <w:r w:rsidRPr="00BB51A6">
              <w:t>ation was performed through the use of a computer-generated list of random numbers</w:t>
            </w:r>
            <w:r>
              <w:t xml:space="preserve"> </w:t>
            </w:r>
            <w:r w:rsidRPr="00BB51A6">
              <w:t>in blocks of 6 by a study coordinator.</w:t>
            </w:r>
            <w:r>
              <w:t>”</w:t>
            </w:r>
          </w:p>
        </w:tc>
      </w:tr>
      <w:tr w:rsidR="00BB51A6" w:rsidRPr="00822EBF" w14:paraId="72E86E2C" w14:textId="77777777" w:rsidTr="00E44521">
        <w:trPr>
          <w:cantSplit/>
        </w:trPr>
        <w:tc>
          <w:tcPr>
            <w:tcW w:w="1560" w:type="dxa"/>
            <w:shd w:val="clear" w:color="D9E2F3" w:themeColor="accent1" w:themeTint="33" w:fill="auto"/>
          </w:tcPr>
          <w:p w14:paraId="351BA262" w14:textId="77777777" w:rsidR="00BB51A6" w:rsidRPr="00822EBF" w:rsidRDefault="00BB51A6" w:rsidP="00E44521">
            <w:pPr>
              <w:pStyle w:val="RCTstable"/>
              <w:keepNext/>
            </w:pPr>
            <w:r w:rsidRPr="00822EBF">
              <w:t xml:space="preserve">Allocation concealment </w:t>
            </w:r>
          </w:p>
        </w:tc>
        <w:tc>
          <w:tcPr>
            <w:tcW w:w="1275" w:type="dxa"/>
            <w:shd w:val="clear" w:color="D9E2F3" w:themeColor="accent1" w:themeTint="33" w:fill="70AD47" w:themeFill="accent6"/>
          </w:tcPr>
          <w:p w14:paraId="0031646B" w14:textId="77777777" w:rsidR="00BB51A6" w:rsidRPr="00822EBF" w:rsidRDefault="00BB51A6" w:rsidP="00E44521">
            <w:pPr>
              <w:pStyle w:val="RCTstable"/>
              <w:keepNext/>
            </w:pPr>
            <w:r w:rsidRPr="00822EBF">
              <w:t>Low risk</w:t>
            </w:r>
          </w:p>
        </w:tc>
        <w:tc>
          <w:tcPr>
            <w:tcW w:w="11199" w:type="dxa"/>
            <w:shd w:val="clear" w:color="D9E2F3" w:themeColor="accent1" w:themeTint="33" w:fill="auto"/>
          </w:tcPr>
          <w:p w14:paraId="01E6160C" w14:textId="0A13BCEF" w:rsidR="00BB51A6" w:rsidRPr="00822EBF" w:rsidRDefault="00BB51A6" w:rsidP="00BB51A6">
            <w:pPr>
              <w:pStyle w:val="RCTstable"/>
              <w:keepNext/>
            </w:pPr>
            <w:r>
              <w:t>“</w:t>
            </w:r>
            <w:r w:rsidRPr="00BB51A6">
              <w:t>Treatment assignments were concealed in consecutively-numbered sealed</w:t>
            </w:r>
            <w:r>
              <w:t xml:space="preserve"> </w:t>
            </w:r>
            <w:r w:rsidRPr="00BB51A6">
              <w:t>envelopes, which were opened sequen</w:t>
            </w:r>
            <w:r>
              <w:t>tially upon subject enrollment.”</w:t>
            </w:r>
          </w:p>
        </w:tc>
      </w:tr>
      <w:tr w:rsidR="00BB51A6" w:rsidRPr="00822EBF" w14:paraId="64C85CD5" w14:textId="77777777" w:rsidTr="00E44521">
        <w:trPr>
          <w:cantSplit/>
        </w:trPr>
        <w:tc>
          <w:tcPr>
            <w:tcW w:w="1560" w:type="dxa"/>
            <w:shd w:val="clear" w:color="D9E2F3" w:themeColor="accent1" w:themeTint="33" w:fill="auto"/>
          </w:tcPr>
          <w:p w14:paraId="59D795D1" w14:textId="77777777" w:rsidR="00BB51A6" w:rsidRPr="00822EBF" w:rsidRDefault="00BB51A6" w:rsidP="00E44521">
            <w:pPr>
              <w:pStyle w:val="RCTstable"/>
            </w:pPr>
            <w:r w:rsidRPr="00822EBF">
              <w:t>Performance bias</w:t>
            </w:r>
          </w:p>
        </w:tc>
        <w:tc>
          <w:tcPr>
            <w:tcW w:w="1275" w:type="dxa"/>
            <w:shd w:val="clear" w:color="D9E2F3" w:themeColor="accent1" w:themeTint="33" w:fill="FF4D19"/>
          </w:tcPr>
          <w:p w14:paraId="3E9B590E" w14:textId="77777777" w:rsidR="00BB51A6" w:rsidRPr="00822EBF" w:rsidRDefault="00BB51A6" w:rsidP="00E44521">
            <w:pPr>
              <w:pStyle w:val="RCTstable"/>
            </w:pPr>
            <w:r w:rsidRPr="00822EBF">
              <w:t>High risk</w:t>
            </w:r>
          </w:p>
        </w:tc>
        <w:tc>
          <w:tcPr>
            <w:tcW w:w="11199" w:type="dxa"/>
            <w:shd w:val="clear" w:color="D9E2F3" w:themeColor="accent1" w:themeTint="33" w:fill="auto"/>
          </w:tcPr>
          <w:p w14:paraId="68B437AA" w14:textId="335D159D" w:rsidR="00BB51A6" w:rsidRPr="00822EBF" w:rsidRDefault="00BB51A6" w:rsidP="00BB51A6">
            <w:pPr>
              <w:pStyle w:val="RCTstable"/>
            </w:pPr>
            <w:r>
              <w:t>“</w:t>
            </w:r>
            <w:r w:rsidRPr="00BB51A6">
              <w:t>The interventionists (the dietitian and the</w:t>
            </w:r>
            <w:r>
              <w:t xml:space="preserve"> </w:t>
            </w:r>
            <w:r w:rsidRPr="00BB51A6">
              <w:t>exercise instructor), the participants and the study coordinator were not blinded to the treatment assignment.</w:t>
            </w:r>
            <w:r>
              <w:t xml:space="preserve"> </w:t>
            </w:r>
            <w:r w:rsidRPr="00BB51A6">
              <w:t>However, the interventionists did not</w:t>
            </w:r>
            <w:r>
              <w:t xml:space="preserve"> take any outcome measurements.”</w:t>
            </w:r>
          </w:p>
        </w:tc>
      </w:tr>
      <w:tr w:rsidR="00BB51A6" w:rsidRPr="00822EBF" w14:paraId="627EC096" w14:textId="77777777" w:rsidTr="00E44521">
        <w:trPr>
          <w:cantSplit/>
        </w:trPr>
        <w:tc>
          <w:tcPr>
            <w:tcW w:w="1560" w:type="dxa"/>
            <w:shd w:val="clear" w:color="D9E2F3" w:themeColor="accent1" w:themeTint="33" w:fill="auto"/>
          </w:tcPr>
          <w:p w14:paraId="759E3CAE" w14:textId="77777777" w:rsidR="00BB51A6" w:rsidRPr="00822EBF" w:rsidRDefault="00BB51A6" w:rsidP="00E44521">
            <w:pPr>
              <w:pStyle w:val="RCTstable"/>
            </w:pPr>
            <w:r w:rsidRPr="00822EBF">
              <w:t>Detection bias</w:t>
            </w:r>
          </w:p>
        </w:tc>
        <w:tc>
          <w:tcPr>
            <w:tcW w:w="1275" w:type="dxa"/>
            <w:shd w:val="clear" w:color="D9E2F3" w:themeColor="accent1" w:themeTint="33" w:fill="70AD47" w:themeFill="accent6"/>
          </w:tcPr>
          <w:p w14:paraId="528ACF3A" w14:textId="77777777" w:rsidR="00BB51A6" w:rsidRPr="00822EBF" w:rsidRDefault="00BB51A6" w:rsidP="00E44521">
            <w:pPr>
              <w:pStyle w:val="RCTstable"/>
            </w:pPr>
            <w:r w:rsidRPr="00822EBF">
              <w:t>Low risk</w:t>
            </w:r>
          </w:p>
        </w:tc>
        <w:tc>
          <w:tcPr>
            <w:tcW w:w="11199" w:type="dxa"/>
            <w:shd w:val="clear" w:color="D9E2F3" w:themeColor="accent1" w:themeTint="33" w:fill="auto"/>
          </w:tcPr>
          <w:p w14:paraId="323CD331" w14:textId="451F4CE9" w:rsidR="00BB51A6" w:rsidRPr="00822EBF" w:rsidRDefault="00BB51A6" w:rsidP="00E44521">
            <w:pPr>
              <w:pStyle w:val="RCTstable"/>
            </w:pPr>
            <w:r w:rsidRPr="00822EBF">
              <w:t>“</w:t>
            </w:r>
            <w:r w:rsidRPr="00BB51A6">
              <w:t>All investigators, outcome assessors,</w:t>
            </w:r>
            <w:r>
              <w:t xml:space="preserve"> </w:t>
            </w:r>
            <w:r w:rsidRPr="00BB51A6">
              <w:t>clinicians and nurses of routine antenatal and postnatal care were blinded to the treatment assignment.</w:t>
            </w:r>
            <w:r>
              <w:t>”</w:t>
            </w:r>
          </w:p>
        </w:tc>
      </w:tr>
      <w:tr w:rsidR="00BB51A6" w:rsidRPr="00822EBF" w14:paraId="09DF1B25" w14:textId="77777777" w:rsidTr="00E44521">
        <w:trPr>
          <w:cantSplit/>
        </w:trPr>
        <w:tc>
          <w:tcPr>
            <w:tcW w:w="1560" w:type="dxa"/>
            <w:shd w:val="clear" w:color="D9E2F3" w:themeColor="accent1" w:themeTint="33" w:fill="auto"/>
          </w:tcPr>
          <w:p w14:paraId="33AF26C4" w14:textId="77777777" w:rsidR="00BB51A6" w:rsidRPr="00822EBF" w:rsidRDefault="00BB51A6" w:rsidP="00E44521">
            <w:pPr>
              <w:pStyle w:val="RCTstable"/>
            </w:pPr>
            <w:r w:rsidRPr="00822EBF">
              <w:t>Incomplete outcome data</w:t>
            </w:r>
          </w:p>
        </w:tc>
        <w:tc>
          <w:tcPr>
            <w:tcW w:w="1275" w:type="dxa"/>
            <w:shd w:val="clear" w:color="D9E2F3" w:themeColor="accent1" w:themeTint="33" w:fill="FF4D19"/>
          </w:tcPr>
          <w:p w14:paraId="616EF2BC" w14:textId="2FA27D0E" w:rsidR="00BB51A6" w:rsidRPr="00822EBF" w:rsidRDefault="00B743C6" w:rsidP="00E44521">
            <w:pPr>
              <w:pStyle w:val="RCTstable"/>
            </w:pPr>
            <w:r>
              <w:t>Low</w:t>
            </w:r>
            <w:r w:rsidR="00BB51A6" w:rsidRPr="00822EBF">
              <w:t xml:space="preserve"> risk</w:t>
            </w:r>
          </w:p>
        </w:tc>
        <w:tc>
          <w:tcPr>
            <w:tcW w:w="11199" w:type="dxa"/>
            <w:shd w:val="clear" w:color="D9E2F3" w:themeColor="accent1" w:themeTint="33" w:fill="auto"/>
          </w:tcPr>
          <w:p w14:paraId="786305B6" w14:textId="7B86F131" w:rsidR="00BB51A6" w:rsidRPr="00822EBF" w:rsidRDefault="006734CB" w:rsidP="0030223E">
            <w:pPr>
              <w:pStyle w:val="RCTstable"/>
              <w:ind w:left="720" w:hanging="720"/>
            </w:pPr>
            <w:r>
              <w:t>Loss to follow-up described and reasons given.</w:t>
            </w:r>
          </w:p>
        </w:tc>
      </w:tr>
      <w:tr w:rsidR="00BB51A6" w:rsidRPr="00822EBF" w14:paraId="0DBBDEDF" w14:textId="77777777" w:rsidTr="00E44521">
        <w:trPr>
          <w:cantSplit/>
        </w:trPr>
        <w:tc>
          <w:tcPr>
            <w:tcW w:w="1560" w:type="dxa"/>
            <w:shd w:val="clear" w:color="D9E2F3" w:themeColor="accent1" w:themeTint="33" w:fill="auto"/>
          </w:tcPr>
          <w:p w14:paraId="4F211004" w14:textId="77777777" w:rsidR="00BB51A6" w:rsidRPr="00822EBF" w:rsidRDefault="00BB51A6" w:rsidP="00E44521">
            <w:pPr>
              <w:pStyle w:val="RCTstable"/>
            </w:pPr>
            <w:r w:rsidRPr="00822EBF">
              <w:t>Selective reporting</w:t>
            </w:r>
          </w:p>
        </w:tc>
        <w:tc>
          <w:tcPr>
            <w:tcW w:w="1275" w:type="dxa"/>
            <w:shd w:val="clear" w:color="D9E2F3" w:themeColor="accent1" w:themeTint="33" w:fill="FF4D19"/>
          </w:tcPr>
          <w:p w14:paraId="42703E6C" w14:textId="045F8257" w:rsidR="00BB51A6" w:rsidRPr="00822EBF" w:rsidRDefault="00B743C6" w:rsidP="00E44521">
            <w:pPr>
              <w:pStyle w:val="RCTstable"/>
            </w:pPr>
            <w:r>
              <w:t>Low</w:t>
            </w:r>
            <w:r w:rsidR="00BB51A6" w:rsidRPr="00822EBF">
              <w:t xml:space="preserve"> risk</w:t>
            </w:r>
          </w:p>
        </w:tc>
        <w:tc>
          <w:tcPr>
            <w:tcW w:w="11199" w:type="dxa"/>
            <w:shd w:val="clear" w:color="D9E2F3" w:themeColor="accent1" w:themeTint="33" w:fill="auto"/>
          </w:tcPr>
          <w:p w14:paraId="67178E52" w14:textId="5F17FCC6" w:rsidR="00BB51A6" w:rsidRPr="00822EBF" w:rsidRDefault="00B743C6" w:rsidP="00E44521">
            <w:pPr>
              <w:pStyle w:val="RCTstable"/>
            </w:pPr>
            <w:r>
              <w:t>Pre-specified outcomes reported.</w:t>
            </w:r>
          </w:p>
        </w:tc>
      </w:tr>
      <w:tr w:rsidR="00BB51A6" w:rsidRPr="00822EBF" w14:paraId="592E8058" w14:textId="77777777" w:rsidTr="00E44521">
        <w:trPr>
          <w:cantSplit/>
        </w:trPr>
        <w:tc>
          <w:tcPr>
            <w:tcW w:w="1560" w:type="dxa"/>
            <w:shd w:val="clear" w:color="D9E2F3" w:themeColor="accent1" w:themeTint="33" w:fill="auto"/>
          </w:tcPr>
          <w:p w14:paraId="7B61C6E2" w14:textId="77777777" w:rsidR="00BB51A6" w:rsidRPr="00822EBF" w:rsidRDefault="00BB51A6" w:rsidP="00E44521">
            <w:pPr>
              <w:pStyle w:val="RCTstable"/>
            </w:pPr>
            <w:r w:rsidRPr="00822EBF">
              <w:t xml:space="preserve">Other limitations </w:t>
            </w:r>
          </w:p>
        </w:tc>
        <w:tc>
          <w:tcPr>
            <w:tcW w:w="1275" w:type="dxa"/>
            <w:shd w:val="clear" w:color="D9E2F3" w:themeColor="accent1" w:themeTint="33" w:fill="70AD47" w:themeFill="accent6"/>
          </w:tcPr>
          <w:p w14:paraId="7117BCF1" w14:textId="77777777" w:rsidR="00BB51A6" w:rsidRPr="00822EBF" w:rsidRDefault="00BB51A6" w:rsidP="00E44521">
            <w:pPr>
              <w:pStyle w:val="RCTstable"/>
            </w:pPr>
            <w:r w:rsidRPr="00822EBF">
              <w:t>Low risk</w:t>
            </w:r>
          </w:p>
        </w:tc>
        <w:tc>
          <w:tcPr>
            <w:tcW w:w="11199" w:type="dxa"/>
            <w:shd w:val="clear" w:color="D9E2F3" w:themeColor="accent1" w:themeTint="33" w:fill="auto"/>
          </w:tcPr>
          <w:p w14:paraId="36B858AC" w14:textId="77777777" w:rsidR="00BB51A6" w:rsidRPr="003956DD" w:rsidRDefault="00BB51A6" w:rsidP="00E44521">
            <w:pPr>
              <w:pStyle w:val="RCTstable"/>
            </w:pPr>
            <w:r w:rsidRPr="003956DD">
              <w:t>No obvious sources of other bias identified</w:t>
            </w:r>
            <w:r>
              <w:t>.</w:t>
            </w:r>
          </w:p>
        </w:tc>
      </w:tr>
      <w:tr w:rsidR="008E765F" w:rsidRPr="003956DD" w14:paraId="5723479B" w14:textId="77777777" w:rsidTr="005A5EBF">
        <w:trPr>
          <w:cantSplit/>
        </w:trPr>
        <w:tc>
          <w:tcPr>
            <w:tcW w:w="14034" w:type="dxa"/>
            <w:gridSpan w:val="3"/>
            <w:shd w:val="solid" w:color="D9E2F3" w:themeColor="accent1" w:themeTint="33" w:fill="auto"/>
          </w:tcPr>
          <w:p w14:paraId="4E1001D6" w14:textId="16BB0DC1" w:rsidR="008E765F" w:rsidRPr="003956DD" w:rsidRDefault="008E765F" w:rsidP="002747EA">
            <w:pPr>
              <w:pStyle w:val="RCTstable"/>
              <w:keepNext/>
              <w:rPr>
                <w:b/>
              </w:rPr>
            </w:pPr>
            <w:r w:rsidRPr="0025597C">
              <w:rPr>
                <w:rFonts w:ascii="Century Gothic" w:hAnsi="Century Gothic"/>
                <w:b/>
                <w:noProof/>
              </w:rPr>
              <w:t>Dodd et al 2014</w:t>
            </w:r>
            <w:r>
              <w:rPr>
                <w:rFonts w:ascii="Century Gothic" w:hAnsi="Century Gothic"/>
                <w:noProof/>
              </w:rPr>
              <w:fldChar w:fldCharType="begin">
                <w:fldData xml:space="preserve">PEVuZE5vdGU+PENpdGU+PEF1dGhvcj5Eb2RkPC9BdXRob3I+PFllYXI+MjAxNDwvWWVhcj48UmVj
TnVtPjcxODwvUmVjTnVtPjxEaXNwbGF5VGV4dD48c3R5bGUgZmFjZT0ic3VwZXJzY3JpcHQiIGZv
bnQ9IlRyZWJ1Y2hldCBNUyIgc2l6ZT0iOSI+NTAxLDUyMSw1NDMsNTQ0PC9zdHlsZT48L0Rpc3Bs
YXlUZXh0PjxyZWNvcmQ+PHJlYy1udW1iZXI+NzE4PC9yZWMtbnVtYmVyPjxmb3JlaWduLWtleXM+
PGtleSBhcHA9IkVOIiBkYi1pZD0iZXh2YXNyZngyZHRyYW9lc2FzeHAyc3pzeGEyZGY1MDI1OTJ4
IiB0aW1lc3RhbXA9IjE1NDE0NjQwODgiPjcxODwva2V5PjwvZm9yZWlnbi1rZXlzPjxyZWYtdHlw
ZSBuYW1lPSJKb3VybmFsIEFydGljbGUiPjE3PC9yZWYtdHlwZT48Y29udHJpYnV0b3JzPjxhdXRo
b3JzPjxhdXRob3I+RG9kZCwgSi4gTS48L2F1dGhvcj48YXV0aG9yPlR1cm5idWxsLCBELjwvYXV0
aG9yPjxhdXRob3I+TWNQaGVlLCBBLiBKLjwvYXV0aG9yPjxhdXRob3I+RGV1c3NlbiwgQS4gUi48
L2F1dGhvcj48YXV0aG9yPkdyaXZlbGwsIFIuIE0uPC9hdXRob3I+PGF1dGhvcj5ZZWxsYW5kLCBM
LiBOLjwvYXV0aG9yPjxhdXRob3I+Q3Jvd3RoZXIsIEMuIEEuPC9hdXRob3I+PGF1dGhvcj5XaXR0
ZXJ0LCBHLjwvYXV0aG9yPjxhdXRob3I+T3dlbnMsIEouIEEuPC9hdXRob3I+PGF1dGhvcj5Sb2Jp
bnNvbiwgSi4gUy48L2F1dGhvcj48YXV0aG9yPkxpbWl0IFJhbmRvbWlzZWQgVHJpYWwgR3JvdXA8
L2F1dGhvcj48L2F1dGhvcnM+PC9jb250cmlidXRvcnM+PGF1dGgtYWRkcmVzcz5Sb2JpbnNvbiBJ
bnN0aXR1dGUgYW5kIFNjaG9vbCBvZiBQYWVkaWF0cmljcyBhbmQgUmVwcm9kdWN0aXZlIEhlYWx0
aCwgVW5pdmVyc2l0eSBvZiBBZGVsYWlkZSwgNzIgS2luZyBXaWxsaWFtIFJvYWQsIE5vcnRoIEFk
ZWxhaWRlLCBTb3V0aCBBdXN0cmFsaWEsIEF1c3RyYWxpYSA1MDA2LjwvYXV0aC1hZGRyZXNzPjx0
aXRsZXM+PHRpdGxlPkFudGVuYXRhbCBsaWZlc3R5bGUgYWR2aWNlIGZvciB3b21lbiB3aG8gYXJl
IG92ZXJ3ZWlnaHQgb3Igb2Jlc2U6IExJTUlUIHJhbmRvbWlzZWQgdHJpYWw8L3RpdGxlPjxzZWNv
bmRhcnktdGl0bGU+Qk1KPC9zZWNvbmRhcnktdGl0bGU+PC90aXRsZXM+PHBlcmlvZGljYWw+PGZ1
bGwtdGl0bGU+Qk1KPC9mdWxsLXRpdGxlPjwvcGVyaW9kaWNhbD48cGFnZXM+ZzEyODU8L3BhZ2Vz
Pjx2b2x1bWU+MzQ4PC92b2x1bWU+PGVkaXRpb24+MjAxNC8wMi8xMjwvZWRpdGlvbj48a2V5d29y
ZHM+PGtleXdvcmQ+QWR1bHQ8L2tleXdvcmQ+PGtleXdvcmQ+QmlydGggV2VpZ2h0PC9rZXl3b3Jk
PjxrZXl3b3JkPkRpYWJldGVzLCBHZXN0YXRpb25hbC9wcmV2ZW50aW9uICZhbXA7IGNvbnRyb2w8
L2tleXdvcmQ+PGtleXdvcmQ+RmVtYWxlPC9rZXl3b3JkPjxrZXl3b3JkPkZldGFsIE1hY3Jvc29t
aWEvcHJldmVudGlvbiAmYW1wOyBjb250cm9sPC9rZXl3b3JkPjxrZXl3b3JkPkdlc3RhdGlvbmFs
IEFnZTwva2V5d29yZD48a2V5d29yZD4qSGVhbHRoIFByb21vdGlvbi9tZXRob2RzPC9rZXl3b3Jk
PjxrZXl3b3JkPkh1bWFuczwva2V5d29yZD48a2V5d29yZD5IeXBlcnRlbnNpb24vY29tcGxpY2F0
aW9ucy9wcmV2ZW50aW9uICZhbXA7IGNvbnRyb2w8L2tleXdvcmQ+PGtleXdvcmQ+SW5mYW50LCBO
ZXdib3JuPC9rZXl3b3JkPjxrZXl3b3JkPk1hbGU8L2tleXdvcmQ+PGtleXdvcmQ+T2Jlc2l0eS8q
Y29tcGxpY2F0aW9ucy9wcmV2ZW50aW9uICZhbXA7IGNvbnRyb2w8L2tleXdvcmQ+PGtleXdvcmQ+
T3ZlcndlaWdodC8qY29tcGxpY2F0aW9ucy9wcmV2ZW50aW9uICZhbXA7IGNvbnRyb2w8L2tleXdv
cmQ+PGtleXdvcmQ+UHJlLUVjbGFtcHNpYS9wcmV2ZW50aW9uICZhbXA7IGNvbnRyb2w8L2tleXdv
cmQ+PGtleXdvcmQ+UHJlZ25hbmN5PC9rZXl3b3JkPjxrZXl3b3JkPlByZWduYW5jeSBDb21wbGlj
YXRpb25zLypwcmV2ZW50aW9uICZhbXA7IGNvbnRyb2w8L2tleXdvcmQ+PGtleXdvcmQ+UHJlZ25h
bmN5IE91dGNvbWUvZXBpZGVtaW9sb2d5PC9rZXl3b3JkPjxrZXl3b3JkPlJpc2sgUmVkdWN0aW9u
IEJlaGF2aW9yPC9rZXl3b3JkPjxrZXl3b3JkPldlaWdodCBSZWR1Y3Rpb24gUHJvZ3JhbXMvbWV0
aG9kczwva2V5d29yZD48L2tleXdvcmRzPjxkYXRlcz48eWVhcj4yMDE0PC95ZWFyPjxwdWItZGF0
ZXM+PGRhdGU+RmViIDEwPC9kYXRlPjwvcHViLWRhdGVzPjwvZGF0ZXM+PGlzYm4+MTc1Ni0xODMz
IChFbGVjdHJvbmljKSYjeEQ7MDk1OS04MTM4IChMaW5raW5nKTwvaXNibj48YWNjZXNzaW9uLW51
bT4yNDUxMzQ0MjwvYWNjZXNzaW9uLW51bT48dXJscz48cmVsYXRlZC11cmxzPjx1cmw+aHR0cHM6
Ly93d3cubmNiaS5ubG0ubmloLmdvdi9wdWJtZWQvMjQ1MTM0NDI8L3VybD48L3JlbGF0ZWQtdXJs
cz48L3VybHM+PGN1c3RvbTI+UE1DMzkxOTE3OTwvY3VzdG9tMj48ZWxlY3Ryb25pYy1yZXNvdXJj
ZS1udW0+MTAuMTEzNi9ibWouZzEyODU8L2VsZWN0cm9uaWMtcmVzb3VyY2UtbnVtPjwvcmVjb3Jk
PjwvQ2l0ZT48Q2l0ZT48QXV0aG9yPkRvZGQ8L0F1dGhvcj48WWVhcj4yMDE0PC9ZZWFyPjxSZWNO
dW0+MTA4MDwvUmVjTnVtPjxyZWNvcmQ+PHJlYy1udW1iZXI+MTA4MDwvcmVjLW51bWJlcj48Zm9y
ZWlnbi1rZXlzPjxrZXkgYXBwPSJFTiIgZGItaWQ9ImV4dmFzcmZ4MmR0cmFvZXNhc3hwMnN6c3hh
MmRmNTAyNTkyeCIgdGltZXN0YW1wPSIxNTUyOTQ2NDcyIj4xMDgwPC9rZXk+PGtleSBhcHA9IkVO
V2ViIiBkYi1pZD0iIj4wPC9rZXk+PC9mb3JlaWduLWtleXM+PHJlZi10eXBlIG5hbWU9IkpvdXJu
YWwgQXJ0aWNsZSI+MTc8L3JlZi10eXBlPjxjb250cmlidXRvcnM+PGF1dGhvcnM+PGF1dGhvcj5E
b2RkLCBKb2RpZSBNLjwvYXV0aG9yPjxhdXRob3I+R3JpdmVsbCwgUm9zYWxpZSBNLjwvYXV0aG9y
PjxhdXRob3I+T3dlbnMsIEp1bGllIEEuPC9hdXRob3I+PC9hdXRob3JzPjwvY29udHJpYnV0b3Jz
Pjx0aXRsZXM+PHRpdGxlPkFudGVuYXRhbCBEaWV0YXJ5IGFuZCBMaWZlc3R5bGUgSW50ZXJ2ZW50
aW9ucyBmb3IgV29tZW4gV2hvIGFyZSBPdmVyd2VpZ2h0IG9yIE9iZXNlOiBPdXRjb21lcyBmcm9t
IHRoZSBMSU1JVCBSYW5kb21pemVkIFRyaWFsPC90aXRsZT48c2Vjb25kYXJ5LXRpdGxlPkN1cnJl
bnQgTnV0cml0aW9uIFJlcG9ydHM8L3NlY29uZGFyeS10aXRsZT48L3RpdGxlcz48cGVyaW9kaWNh
bD48ZnVsbC10aXRsZT5DdXJyZW50IE51dHJpdGlvbiBSZXBvcnRzPC9mdWxsLXRpdGxlPjwvcGVy
aW9kaWNhbD48cGFnZXM+MzkyLTM5OTwvcGFnZXM+PHZvbHVtZT4zPC92b2x1bWU+PG51bWJlcj40
PC9udW1iZXI+PHNlY3Rpb24+MzkyPC9zZWN0aW9uPjxkYXRlcz48eWVhcj4yMDE0PC95ZWFyPjwv
ZGF0ZXM+PGlzYm4+MjE2MS0zMzExPC9pc2JuPjx1cmxzPjwvdXJscz48ZWxlY3Ryb25pYy1yZXNv
dXJjZS1udW0+MTAuMTAwNy9zMTM2NjgtMDE0LTAxMDEtNzwvZWxlY3Ryb25pYy1yZXNvdXJjZS1u
dW0+PC9yZWNvcmQ+PC9DaXRlPjxDaXRlPjxBdXRob3I+RG9kZDwvQXV0aG9yPjxZZWFyPjIwMTU8
L1llYXI+PFJlY051bT4xMDc5PC9SZWNOdW0+PHJlY29yZD48cmVjLW51bWJlcj4xMDc5PC9yZWMt
bnVtYmVyPjxmb3JlaWduLWtleXM+PGtleSBhcHA9IkVOIiBkYi1pZD0iZXh2YXNyZngyZHRyYW9l
c2FzeHAyc3pzeGEyZGY1MDI1OTJ4IiB0aW1lc3RhbXA9IjE1NTI5NDY0NjkiPjEwNzk8L2tleT48
a2V5IGFwcD0iRU5XZWIiIGRiLWlkPSIiPjA8L2tleT48L2ZvcmVpZ24ta2V5cz48cmVmLXR5cGUg
bmFtZT0iSm91cm5hbCBBcnRpY2xlIj4xNzwvcmVmLXR5cGU+PGNvbnRyaWJ1dG9ycz48YXV0aG9y
cz48YXV0aG9yPkRvZGQsIEpvZGllIE0uPC9hdXRob3I+PGF1dGhvcj5P4oCZQnJpZW4sIENlY2Vs
aWEgTS48L2F1dGhvcj48YXV0aG9yPkdyaXZlbGwsIFJvc2FsaWUgTS48L2F1dGhvcj48L2F1dGhv
cnM+PC9jb250cmlidXRvcnM+PHRpdGxlcz48dGl0bGU+TW9kaWZ5aW5nIGRpZXQgYW5kIHBoeXNp
Y2FsIGFjdGl2aXR5IHRvIHN1cHBvcnQgcHJlZ25hbnQgd29tZW4gd2hvIGFyZSBvdmVyd2VpZ2h0
IG9yIG9iZXNlPC90aXRsZT48c2Vjb25kYXJ5LXRpdGxlPkN1cnJlbnQgT3BpbmlvbiBpbiBDbGlu
aWNhbCBOdXRyaXRpb24gYW5kIE1ldGFib2xpYyBDYXJlPC9zZWNvbmRhcnktdGl0bGU+PC90aXRs
ZXM+PHBlcmlvZGljYWw+PGZ1bGwtdGl0bGU+Q3VycmVudCBPcGluaW9uIGluIENsaW5pY2FsIE51
dHJpdGlvbiBhbmQgTWV0YWJvbGljIENhcmU8L2Z1bGwtdGl0bGU+PC9wZXJpb2RpY2FsPjxwYWdl
cz4zMTgtMzIzPC9wYWdlcz48dm9sdW1lPjE4PC92b2x1bWU+PG51bWJlcj4zPC9udW1iZXI+PHNl
Y3Rpb24+MzE4PC9zZWN0aW9uPjxkYXRlcz48eWVhcj4yMDE1PC95ZWFyPjwvZGF0ZXM+PGlzYm4+
MTM2My0xOTUwPC9pc2JuPjx1cmxzPjwvdXJscz48ZWxlY3Ryb25pYy1yZXNvdXJjZS1udW0+MTAu
MTA5Ny9tY28uMDAwMDAwMDAwMDAwMDE3MDwvZWxlY3Ryb25pYy1yZXNvdXJjZS1udW0+PC9yZWNv
cmQ+PC9DaXRlPjxDaXRlPjxBdXRob3I+RG9kZDwvQXV0aG9yPjxZZWFyPjIwMTY8L1llYXI+PFJl
Y051bT44NDY8L1JlY051bT48cmVjb3JkPjxyZWMtbnVtYmVyPjg0NjwvcmVjLW51bWJlcj48Zm9y
ZWlnbi1rZXlzPjxrZXkgYXBwPSJFTiIgZGItaWQ9ImV4dmFzcmZ4MmR0cmFvZXNhc3hwMnN6c3hh
MmRmNTAyNTkyeCIgdGltZXN0YW1wPSIxNTQxNTQwNjEzIj44NDY8L2tleT48a2V5IGFwcD0iRU5X
ZWIiIGRiLWlkPSIiPjA8L2tleT48L2ZvcmVpZ24ta2V5cz48cmVmLXR5cGUgbmFtZT0iSm91cm5h
bCBBcnRpY2xlIj4xNzwvcmVmLXR5cGU+PGNvbnRyaWJ1dG9ycz48YXV0aG9ycz48YXV0aG9yPkRv
ZGQsIEouIE0uPC9hdXRob3I+PGF1dGhvcj5EZXVzc2VuLCBBLiBSLjwvYXV0aG9yPjxhdXRob3I+
TW9oYW1hZCwgSS48L2F1dGhvcj48YXV0aG9yPlJpZmFzLVNoaW1hbiwgUy4gTC48L2F1dGhvcj48
YXV0aG9yPlllbGxhbmQsIEwuIE4uPC9hdXRob3I+PGF1dGhvcj5Mb3Vpc2UsIEouPC9hdXRob3I+
PGF1dGhvcj5NY1BoZWUsIEEuIEouPC9hdXRob3I+PGF1dGhvcj5Hcml2ZWxsLCBSLiBNLjwvYXV0
aG9yPjxhdXRob3I+T3dlbnMsIEouIEEuPC9hdXRob3I+PGF1dGhvcj5HaWxsbWFuLCBNLiBXLjwv
YXV0aG9yPjxhdXRob3I+Um9iaW5zb24sIEouIFMuPC9hdXRob3I+PC9hdXRob3JzPjwvY29udHJp
YnV0b3JzPjxhdXRoLWFkZHJlc3M+RGlzY2lwbGluZSBvZiBPYnN0ZXRyaWNzIGFuZCBHeW5hZWNv
bG9neSwgVGhlIFJvYmluc29uIFJlc2VhcmNoIEluc3RpdHV0ZSwgVGhlIFVuaXZlcnNpdHkgb2Yg
QWRlbGFpZGUsIEFkZWxhaWRlLCBTQSwgQXVzdHJhbGlhLiYjeEQ7V29tZW4mYXBvcztzIGFuZCBC
YWJpZXMgRGl2aXNpb24sIERlcGFydG1lbnQgb2YgUGVyaW5hdGFsIE1lZGljaW5lLCBUaGUgV29t
ZW4mYXBvcztzIGFuZCBDaGlsZHJlbiZhcG9zO3MgSG9zcGl0YWwsIE5vcnRoIEFkZWxhaWRlLCBT
QSwgQXVzdHJhbGlhLiYjeEQ7T2Jlc2l0eSBQcmV2ZW50aW9uIFByb2dyYW0sIERlcGFydG1lbnQg
b2YgUG9wdWxhdGlvbiBNZWRpY2luZSwgSGFydmFyZCBNZWRpY2FsIFNjaG9vbCwgSGFydmFyZCBQ
aWxncmltIEhlYWx0aCBDYXJlIEluc3RpdHV0ZSwgQm9zdG9uLCBNQSwgVVNBLiYjeEQ7V29tZW4m
YXBvcztzIGFuZCBDaGlsZHJlbiZhcG9zO3MgSGVhbHRoIFJlc2VhcmNoIEluc3RpdHV0ZSwgTm9y
dGggQWRlbGFpZGUsIFNBLCBBdXN0cmFsaWEuJiN4RDtTY2hvb2wgb2YgUG9wdWxhdGlvbiBIZWFs
dGgsIFRoZSBVbml2ZXJzaXR5IG9mIEFkZWxhaWRlLCBBZGVsYWlkZSwgU0EsIEF1c3RyYWxpYS4m
I3hEO1dvbWVuJmFwb3M7cyBhbmQgQmFiaWVzIERpdmlzaW9uLCBEZXBhcnRtZW50IG9mIE5lb25h
dGFsIE1lZGljaW5lLCBUaGUgV29tZW4mYXBvcztzIGFuZCBDaGlsZHJlbiZhcG9zO3MgSG9zcGl0
YWwsIEFkZWxhaWRlLCBTQSwgQXVzdHJhbGlhLjwvYXV0aC1hZGRyZXNzPjx0aXRsZXM+PHRpdGxl
PlRoZSBlZmZlY3Qgb2YgYW50ZW5hdGFsIGxpZmVzdHlsZSBhZHZpY2UgZm9yIHdvbWVuIHdobyBh
cmUgb3ZlcndlaWdodCBvciBvYmVzZSBvbiBzZWNvbmRhcnkgbWVhc3VyZXMgb2YgbmVvbmF0YWwg
Ym9keSBjb21wb3NpdGlvbjogdGhlIExJTUlUIHJhbmRvbWlzZWQgdHJpYWw8L3RpdGxlPjxzZWNv
bmRhcnktdGl0bGU+QkpPRzwvc2Vjb25kYXJ5LXRpdGxlPjwvdGl0bGVzPjxwZXJpb2RpY2FsPjxm
dWxsLXRpdGxlPkJKT0c8L2Z1bGwtdGl0bGU+PC9wZXJpb2RpY2FsPjxwYWdlcz4yNDQtNTM8L3Bh
Z2VzPjx2b2x1bWU+MTIzPC92b2x1bWU+PG51bWJlcj4yPC9udW1iZXI+PGVkaXRpb24+MjAxNi8w
Mi8wNDwvZWRpdGlvbj48a2V5d29yZHM+PGtleXdvcmQ+QWR1bHQ8L2tleXdvcmQ+PGtleXdvcmQ+
Qm9keSBDb21wb3NpdGlvbjwva2V5d29yZD48a2V5d29yZD5EaXJlY3RpdmUgQ291bnNlbGluZy8q
bWV0aG9kczwva2V5d29yZD48a2V5d29yZD5GZWVkaW5nIEJlaGF2aW9yLypwc3ljaG9sb2d5PC9r
ZXl3b3JkPjxrZXl3b3JkPkZlbWFsZTwva2V5d29yZD48a2V5d29yZD5IdW1hbnM8L2tleXdvcmQ+
PGtleXdvcmQ+SW5mYW50LCBOZXdib3JuPC9rZXl3b3JkPjxrZXl3b3JkPkxpZmUgU3R5bGU8L2tl
eXdvcmQ+PGtleXdvcmQ+TmV3IFplYWxhbmQvZXBpZGVtaW9sb2d5PC9rZXl3b3JkPjxrZXl3b3Jk
Pk9iZXNpdHkvZXBpZGVtaW9sb2d5LypwcmV2ZW50aW9uICZhbXA7IGNvbnRyb2wvcHN5Y2hvbG9n
eTwva2V5d29yZD48a2V5d29yZD5QZXJpbmF0YWwgQ2FyZS8qbWV0aG9kczwva2V5d29yZD48a2V5
d29yZD5QcmVnbmFuY3k8L2tleXdvcmQ+PGtleXdvcmQ+UHJlZ25hbmN5IENvbXBsaWNhdGlvbnMv
ZXBpZGVtaW9sb2d5LypwcmV2ZW50aW9uICZhbXA7IGNvbnRyb2wvcHN5Y2hvbG9neTwva2V5d29y
ZD48a2V5d29yZD5QcmVnbmFudCBXb21lbi8qcHN5Y2hvbG9neTwva2V5d29yZD48a2V5d29yZD5T
b3V0aCBBdXN0cmFsaWEvZXBpZGVtaW9sb2d5PC9rZXl3b3JkPjxrZXl3b3JkPlRyZWF0bWVudCBP
dXRjb21lPC9rZXl3b3JkPjxrZXl3b3JkPldlaWdodCBHYWluPC9rZXl3b3JkPjxrZXl3b3JkPkFu
dGVuYXRhbCBkaWV0YXJ5IGFuZCBsaWZlc3R5bGUgaW50ZXJ2ZW50aW9uPC9rZXl3b3JkPjxrZXl3
b3JkPm5lb25hdGFsIGFudGhyb3BvbWV0cnk8L2tleXdvcmQ+PGtleXdvcmQ+cmFuZG9taXNlZCB0
cmlhbDwva2V5d29yZD48a2V5d29yZD5za2luZm9sZCB0aGlja25lc3MgbWVhc3VyZW1lbnRzPC9r
ZXl3b3JkPjwva2V5d29yZHM+PGRhdGVzPjx5ZWFyPjIwMTY8L3llYXI+PHB1Yi1kYXRlcz48ZGF0
ZT5KYW48L2RhdGU+PC9wdWItZGF0ZXM+PC9kYXRlcz48aXNibj4xNDcxLTA1MjggKEVsZWN0cm9u
aWMpJiN4RDsxNDcwLTAzMjggKExpbmtpbmcpPC9pc2JuPjxhY2Nlc3Npb24tbnVtPjI2ODQxMjE3
PC9hY2Nlc3Npb24tbnVtPjx1cmxzPjxyZWxhdGVkLXVybHM+PHVybD5odHRwczovL3d3dy5uY2Jp
Lm5sbS5uaWguZ292L3B1Ym1lZC8yNjg0MTIxNzwvdXJsPjwvcmVsYXRlZC11cmxzPjwvdXJscz48
Y3VzdG9tMj5QTUM0ODU5NDMzPC9jdXN0b20yPjxlbGVjdHJvbmljLXJlc291cmNlLW51bT4xMC4x
MTExLzE0NzEtMDUyOC4xMzc5NjwvZWxlY3Ryb25pYy1yZXNvdXJjZS1udW0+PC9yZWNvcmQ+PC9D
aXRlPjwvRW5kTm90ZT5=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PEVuZE5vdGU+PENpdGU+PEF1dGhvcj5Eb2RkPC9BdXRob3I+PFllYXI+MjAxNDwvWWVhcj48UmVj
TnVtPjcxODwvUmVjTnVtPjxEaXNwbGF5VGV4dD48c3R5bGUgZmFjZT0ic3VwZXJzY3JpcHQiIGZv
bnQ9IlRyZWJ1Y2hldCBNUyIgc2l6ZT0iOSI+NTAxLDUyMSw1NDMsNTQ0PC9zdHlsZT48L0Rpc3Bs
YXlUZXh0PjxyZWNvcmQ+PHJlYy1udW1iZXI+NzE4PC9yZWMtbnVtYmVyPjxmb3JlaWduLWtleXM+
PGtleSBhcHA9IkVOIiBkYi1pZD0iZXh2YXNyZngyZHRyYW9lc2FzeHAyc3pzeGEyZGY1MDI1OTJ4
IiB0aW1lc3RhbXA9IjE1NDE0NjQwODgiPjcxODwva2V5PjwvZm9yZWlnbi1rZXlzPjxyZWYtdHlw
ZSBuYW1lPSJKb3VybmFsIEFydGljbGUiPjE3PC9yZWYtdHlwZT48Y29udHJpYnV0b3JzPjxhdXRo
b3JzPjxhdXRob3I+RG9kZCwgSi4gTS48L2F1dGhvcj48YXV0aG9yPlR1cm5idWxsLCBELjwvYXV0
aG9yPjxhdXRob3I+TWNQaGVlLCBBLiBKLjwvYXV0aG9yPjxhdXRob3I+RGV1c3NlbiwgQS4gUi48
L2F1dGhvcj48YXV0aG9yPkdyaXZlbGwsIFIuIE0uPC9hdXRob3I+PGF1dGhvcj5ZZWxsYW5kLCBM
LiBOLjwvYXV0aG9yPjxhdXRob3I+Q3Jvd3RoZXIsIEMuIEEuPC9hdXRob3I+PGF1dGhvcj5XaXR0
ZXJ0LCBHLjwvYXV0aG9yPjxhdXRob3I+T3dlbnMsIEouIEEuPC9hdXRob3I+PGF1dGhvcj5Sb2Jp
bnNvbiwgSi4gUy48L2F1dGhvcj48YXV0aG9yPkxpbWl0IFJhbmRvbWlzZWQgVHJpYWwgR3JvdXA8
L2F1dGhvcj48L2F1dGhvcnM+PC9jb250cmlidXRvcnM+PGF1dGgtYWRkcmVzcz5Sb2JpbnNvbiBJ
bnN0aXR1dGUgYW5kIFNjaG9vbCBvZiBQYWVkaWF0cmljcyBhbmQgUmVwcm9kdWN0aXZlIEhlYWx0
aCwgVW5pdmVyc2l0eSBvZiBBZGVsYWlkZSwgNzIgS2luZyBXaWxsaWFtIFJvYWQsIE5vcnRoIEFk
ZWxhaWRlLCBTb3V0aCBBdXN0cmFsaWEsIEF1c3RyYWxpYSA1MDA2LjwvYXV0aC1hZGRyZXNzPjx0
aXRsZXM+PHRpdGxlPkFudGVuYXRhbCBsaWZlc3R5bGUgYWR2aWNlIGZvciB3b21lbiB3aG8gYXJl
IG92ZXJ3ZWlnaHQgb3Igb2Jlc2U6IExJTUlUIHJhbmRvbWlzZWQgdHJpYWw8L3RpdGxlPjxzZWNv
bmRhcnktdGl0bGU+Qk1KPC9zZWNvbmRhcnktdGl0bGU+PC90aXRsZXM+PHBlcmlvZGljYWw+PGZ1
bGwtdGl0bGU+Qk1KPC9mdWxsLXRpdGxlPjwvcGVyaW9kaWNhbD48cGFnZXM+ZzEyODU8L3BhZ2Vz
Pjx2b2x1bWU+MzQ4PC92b2x1bWU+PGVkaXRpb24+MjAxNC8wMi8xMjwvZWRpdGlvbj48a2V5d29y
ZHM+PGtleXdvcmQ+QWR1bHQ8L2tleXdvcmQ+PGtleXdvcmQ+QmlydGggV2VpZ2h0PC9rZXl3b3Jk
PjxrZXl3b3JkPkRpYWJldGVzLCBHZXN0YXRpb25hbC9wcmV2ZW50aW9uICZhbXA7IGNvbnRyb2w8
L2tleXdvcmQ+PGtleXdvcmQ+RmVtYWxlPC9rZXl3b3JkPjxrZXl3b3JkPkZldGFsIE1hY3Jvc29t
aWEvcHJldmVudGlvbiAmYW1wOyBjb250cm9sPC9rZXl3b3JkPjxrZXl3b3JkPkdlc3RhdGlvbmFs
IEFnZTwva2V5d29yZD48a2V5d29yZD4qSGVhbHRoIFByb21vdGlvbi9tZXRob2RzPC9rZXl3b3Jk
PjxrZXl3b3JkPkh1bWFuczwva2V5d29yZD48a2V5d29yZD5IeXBlcnRlbnNpb24vY29tcGxpY2F0
aW9ucy9wcmV2ZW50aW9uICZhbXA7IGNvbnRyb2w8L2tleXdvcmQ+PGtleXdvcmQ+SW5mYW50LCBO
ZXdib3JuPC9rZXl3b3JkPjxrZXl3b3JkPk1hbGU8L2tleXdvcmQ+PGtleXdvcmQ+T2Jlc2l0eS8q
Y29tcGxpY2F0aW9ucy9wcmV2ZW50aW9uICZhbXA7IGNvbnRyb2w8L2tleXdvcmQ+PGtleXdvcmQ+
T3ZlcndlaWdodC8qY29tcGxpY2F0aW9ucy9wcmV2ZW50aW9uICZhbXA7IGNvbnRyb2w8L2tleXdv
cmQ+PGtleXdvcmQ+UHJlLUVjbGFtcHNpYS9wcmV2ZW50aW9uICZhbXA7IGNvbnRyb2w8L2tleXdv
cmQ+PGtleXdvcmQ+UHJlZ25hbmN5PC9rZXl3b3JkPjxrZXl3b3JkPlByZWduYW5jeSBDb21wbGlj
YXRpb25zLypwcmV2ZW50aW9uICZhbXA7IGNvbnRyb2w8L2tleXdvcmQ+PGtleXdvcmQ+UHJlZ25h
bmN5IE91dGNvbWUvZXBpZGVtaW9sb2d5PC9rZXl3b3JkPjxrZXl3b3JkPlJpc2sgUmVkdWN0aW9u
IEJlaGF2aW9yPC9rZXl3b3JkPjxrZXl3b3JkPldlaWdodCBSZWR1Y3Rpb24gUHJvZ3JhbXMvbWV0
aG9kczwva2V5d29yZD48L2tleXdvcmRzPjxkYXRlcz48eWVhcj4yMDE0PC95ZWFyPjxwdWItZGF0
ZXM+PGRhdGU+RmViIDEwPC9kYXRlPjwvcHViLWRhdGVzPjwvZGF0ZXM+PGlzYm4+MTc1Ni0xODMz
IChFbGVjdHJvbmljKSYjeEQ7MDk1OS04MTM4IChMaW5raW5nKTwvaXNibj48YWNjZXNzaW9uLW51
bT4yNDUxMzQ0MjwvYWNjZXNzaW9uLW51bT48dXJscz48cmVsYXRlZC11cmxzPjx1cmw+aHR0cHM6
Ly93d3cubmNiaS5ubG0ubmloLmdvdi9wdWJtZWQvMjQ1MTM0NDI8L3VybD48L3JlbGF0ZWQtdXJs
cz48L3VybHM+PGN1c3RvbTI+UE1DMzkxOTE3OTwvY3VzdG9tMj48ZWxlY3Ryb25pYy1yZXNvdXJj
ZS1udW0+MTAuMTEzNi9ibWouZzEyODU8L2VsZWN0cm9uaWMtcmVzb3VyY2UtbnVtPjwvcmVjb3Jk
PjwvQ2l0ZT48Q2l0ZT48QXV0aG9yPkRvZGQ8L0F1dGhvcj48WWVhcj4yMDE0PC9ZZWFyPjxSZWNO
dW0+MTA4MDwvUmVjTnVtPjxyZWNvcmQ+PHJlYy1udW1iZXI+MTA4MDwvcmVjLW51bWJlcj48Zm9y
ZWlnbi1rZXlzPjxrZXkgYXBwPSJFTiIgZGItaWQ9ImV4dmFzcmZ4MmR0cmFvZXNhc3hwMnN6c3hh
MmRmNTAyNTkyeCIgdGltZXN0YW1wPSIxNTUyOTQ2NDcyIj4xMDgwPC9rZXk+PGtleSBhcHA9IkVO
V2ViIiBkYi1pZD0iIj4wPC9rZXk+PC9mb3JlaWduLWtleXM+PHJlZi10eXBlIG5hbWU9IkpvdXJu
YWwgQXJ0aWNsZSI+MTc8L3JlZi10eXBlPjxjb250cmlidXRvcnM+PGF1dGhvcnM+PGF1dGhvcj5E
b2RkLCBKb2RpZSBNLjwvYXV0aG9yPjxhdXRob3I+R3JpdmVsbCwgUm9zYWxpZSBNLjwvYXV0aG9y
PjxhdXRob3I+T3dlbnMsIEp1bGllIEEuPC9hdXRob3I+PC9hdXRob3JzPjwvY29udHJpYnV0b3Jz
Pjx0aXRsZXM+PHRpdGxlPkFudGVuYXRhbCBEaWV0YXJ5IGFuZCBMaWZlc3R5bGUgSW50ZXJ2ZW50
aW9ucyBmb3IgV29tZW4gV2hvIGFyZSBPdmVyd2VpZ2h0IG9yIE9iZXNlOiBPdXRjb21lcyBmcm9t
IHRoZSBMSU1JVCBSYW5kb21pemVkIFRyaWFsPC90aXRsZT48c2Vjb25kYXJ5LXRpdGxlPkN1cnJl
bnQgTnV0cml0aW9uIFJlcG9ydHM8L3NlY29uZGFyeS10aXRsZT48L3RpdGxlcz48cGVyaW9kaWNh
bD48ZnVsbC10aXRsZT5DdXJyZW50IE51dHJpdGlvbiBSZXBvcnRzPC9mdWxsLXRpdGxlPjwvcGVy
aW9kaWNhbD48cGFnZXM+MzkyLTM5OTwvcGFnZXM+PHZvbHVtZT4zPC92b2x1bWU+PG51bWJlcj40
PC9udW1iZXI+PHNlY3Rpb24+MzkyPC9zZWN0aW9uPjxkYXRlcz48eWVhcj4yMDE0PC95ZWFyPjwv
ZGF0ZXM+PGlzYm4+MjE2MS0zMzExPC9pc2JuPjx1cmxzPjwvdXJscz48ZWxlY3Ryb25pYy1yZXNv
dXJjZS1udW0+MTAuMTAwNy9zMTM2NjgtMDE0LTAxMDEtNzwvZWxlY3Ryb25pYy1yZXNvdXJjZS1u
dW0+PC9yZWNvcmQ+PC9DaXRlPjxDaXRlPjxBdXRob3I+RG9kZDwvQXV0aG9yPjxZZWFyPjIwMTU8
L1llYXI+PFJlY051bT4xMDc5PC9SZWNOdW0+PHJlY29yZD48cmVjLW51bWJlcj4xMDc5PC9yZWMt
bnVtYmVyPjxmb3JlaWduLWtleXM+PGtleSBhcHA9IkVOIiBkYi1pZD0iZXh2YXNyZngyZHRyYW9l
c2FzeHAyc3pzeGEyZGY1MDI1OTJ4IiB0aW1lc3RhbXA9IjE1NTI5NDY0NjkiPjEwNzk8L2tleT48
a2V5IGFwcD0iRU5XZWIiIGRiLWlkPSIiPjA8L2tleT48L2ZvcmVpZ24ta2V5cz48cmVmLXR5cGUg
bmFtZT0iSm91cm5hbCBBcnRpY2xlIj4xNzwvcmVmLXR5cGU+PGNvbnRyaWJ1dG9ycz48YXV0aG9y
cz48YXV0aG9yPkRvZGQsIEpvZGllIE0uPC9hdXRob3I+PGF1dGhvcj5P4oCZQnJpZW4sIENlY2Vs
aWEgTS48L2F1dGhvcj48YXV0aG9yPkdyaXZlbGwsIFJvc2FsaWUgTS48L2F1dGhvcj48L2F1dGhv
cnM+PC9jb250cmlidXRvcnM+PHRpdGxlcz48dGl0bGU+TW9kaWZ5aW5nIGRpZXQgYW5kIHBoeXNp
Y2FsIGFjdGl2aXR5IHRvIHN1cHBvcnQgcHJlZ25hbnQgd29tZW4gd2hvIGFyZSBvdmVyd2VpZ2h0
IG9yIG9iZXNlPC90aXRsZT48c2Vjb25kYXJ5LXRpdGxlPkN1cnJlbnQgT3BpbmlvbiBpbiBDbGlu
aWNhbCBOdXRyaXRpb24gYW5kIE1ldGFib2xpYyBDYXJlPC9zZWNvbmRhcnktdGl0bGU+PC90aXRs
ZXM+PHBlcmlvZGljYWw+PGZ1bGwtdGl0bGU+Q3VycmVudCBPcGluaW9uIGluIENsaW5pY2FsIE51
dHJpdGlvbiBhbmQgTWV0YWJvbGljIENhcmU8L2Z1bGwtdGl0bGU+PC9wZXJpb2RpY2FsPjxwYWdl
cz4zMTgtMzIzPC9wYWdlcz48dm9sdW1lPjE4PC92b2x1bWU+PG51bWJlcj4zPC9udW1iZXI+PHNl
Y3Rpb24+MzE4PC9zZWN0aW9uPjxkYXRlcz48eWVhcj4yMDE1PC95ZWFyPjwvZGF0ZXM+PGlzYm4+
MTM2My0xOTUwPC9pc2JuPjx1cmxzPjwvdXJscz48ZWxlY3Ryb25pYy1yZXNvdXJjZS1udW0+MTAu
MTA5Ny9tY28uMDAwMDAwMDAwMDAwMDE3MDwvZWxlY3Ryb25pYy1yZXNvdXJjZS1udW0+PC9yZWNv
cmQ+PC9DaXRlPjxDaXRlPjxBdXRob3I+RG9kZDwvQXV0aG9yPjxZZWFyPjIwMTY8L1llYXI+PFJl
Y051bT44NDY8L1JlY051bT48cmVjb3JkPjxyZWMtbnVtYmVyPjg0NjwvcmVjLW51bWJlcj48Zm9y
ZWlnbi1rZXlzPjxrZXkgYXBwPSJFTiIgZGItaWQ9ImV4dmFzcmZ4MmR0cmFvZXNhc3hwMnN6c3hh
MmRmNTAyNTkyeCIgdGltZXN0YW1wPSIxNTQxNTQwNjEzIj44NDY8L2tleT48a2V5IGFwcD0iRU5X
ZWIiIGRiLWlkPSIiPjA8L2tleT48L2ZvcmVpZ24ta2V5cz48cmVmLXR5cGUgbmFtZT0iSm91cm5h
bCBBcnRpY2xlIj4xNzwvcmVmLXR5cGU+PGNvbnRyaWJ1dG9ycz48YXV0aG9ycz48YXV0aG9yPkRv
ZGQsIEouIE0uPC9hdXRob3I+PGF1dGhvcj5EZXVzc2VuLCBBLiBSLjwvYXV0aG9yPjxhdXRob3I+
TW9oYW1hZCwgSS48L2F1dGhvcj48YXV0aG9yPlJpZmFzLVNoaW1hbiwgUy4gTC48L2F1dGhvcj48
YXV0aG9yPlllbGxhbmQsIEwuIE4uPC9hdXRob3I+PGF1dGhvcj5Mb3Vpc2UsIEouPC9hdXRob3I+
PGF1dGhvcj5NY1BoZWUsIEEuIEouPC9hdXRob3I+PGF1dGhvcj5Hcml2ZWxsLCBSLiBNLjwvYXV0
aG9yPjxhdXRob3I+T3dlbnMsIEouIEEuPC9hdXRob3I+PGF1dGhvcj5HaWxsbWFuLCBNLiBXLjwv
YXV0aG9yPjxhdXRob3I+Um9iaW5zb24sIEouIFMuPC9hdXRob3I+PC9hdXRob3JzPjwvY29udHJp
YnV0b3JzPjxhdXRoLWFkZHJlc3M+RGlzY2lwbGluZSBvZiBPYnN0ZXRyaWNzIGFuZCBHeW5hZWNv
bG9neSwgVGhlIFJvYmluc29uIFJlc2VhcmNoIEluc3RpdHV0ZSwgVGhlIFVuaXZlcnNpdHkgb2Yg
QWRlbGFpZGUsIEFkZWxhaWRlLCBTQSwgQXVzdHJhbGlhLiYjeEQ7V29tZW4mYXBvcztzIGFuZCBC
YWJpZXMgRGl2aXNpb24sIERlcGFydG1lbnQgb2YgUGVyaW5hdGFsIE1lZGljaW5lLCBUaGUgV29t
ZW4mYXBvcztzIGFuZCBDaGlsZHJlbiZhcG9zO3MgSG9zcGl0YWwsIE5vcnRoIEFkZWxhaWRlLCBT
QSwgQXVzdHJhbGlhLiYjeEQ7T2Jlc2l0eSBQcmV2ZW50aW9uIFByb2dyYW0sIERlcGFydG1lbnQg
b2YgUG9wdWxhdGlvbiBNZWRpY2luZSwgSGFydmFyZCBNZWRpY2FsIFNjaG9vbCwgSGFydmFyZCBQ
aWxncmltIEhlYWx0aCBDYXJlIEluc3RpdHV0ZSwgQm9zdG9uLCBNQSwgVVNBLiYjeEQ7V29tZW4m
YXBvcztzIGFuZCBDaGlsZHJlbiZhcG9zO3MgSGVhbHRoIFJlc2VhcmNoIEluc3RpdHV0ZSwgTm9y
dGggQWRlbGFpZGUsIFNBLCBBdXN0cmFsaWEuJiN4RDtTY2hvb2wgb2YgUG9wdWxhdGlvbiBIZWFs
dGgsIFRoZSBVbml2ZXJzaXR5IG9mIEFkZWxhaWRlLCBBZGVsYWlkZSwgU0EsIEF1c3RyYWxpYS4m
I3hEO1dvbWVuJmFwb3M7cyBhbmQgQmFiaWVzIERpdmlzaW9uLCBEZXBhcnRtZW50IG9mIE5lb25h
dGFsIE1lZGljaW5lLCBUaGUgV29tZW4mYXBvcztzIGFuZCBDaGlsZHJlbiZhcG9zO3MgSG9zcGl0
YWwsIEFkZWxhaWRlLCBTQSwgQXVzdHJhbGlhLjwvYXV0aC1hZGRyZXNzPjx0aXRsZXM+PHRpdGxl
PlRoZSBlZmZlY3Qgb2YgYW50ZW5hdGFsIGxpZmVzdHlsZSBhZHZpY2UgZm9yIHdvbWVuIHdobyBh
cmUgb3ZlcndlaWdodCBvciBvYmVzZSBvbiBzZWNvbmRhcnkgbWVhc3VyZXMgb2YgbmVvbmF0YWwg
Ym9keSBjb21wb3NpdGlvbjogdGhlIExJTUlUIHJhbmRvbWlzZWQgdHJpYWw8L3RpdGxlPjxzZWNv
bmRhcnktdGl0bGU+QkpPRzwvc2Vjb25kYXJ5LXRpdGxlPjwvdGl0bGVzPjxwZXJpb2RpY2FsPjxm
dWxsLXRpdGxlPkJKT0c8L2Z1bGwtdGl0bGU+PC9wZXJpb2RpY2FsPjxwYWdlcz4yNDQtNTM8L3Bh
Z2VzPjx2b2x1bWU+MTIzPC92b2x1bWU+PG51bWJlcj4yPC9udW1iZXI+PGVkaXRpb24+MjAxNi8w
Mi8wNDwvZWRpdGlvbj48a2V5d29yZHM+PGtleXdvcmQ+QWR1bHQ8L2tleXdvcmQ+PGtleXdvcmQ+
Qm9keSBDb21wb3NpdGlvbjwva2V5d29yZD48a2V5d29yZD5EaXJlY3RpdmUgQ291bnNlbGluZy8q
bWV0aG9kczwva2V5d29yZD48a2V5d29yZD5GZWVkaW5nIEJlaGF2aW9yLypwc3ljaG9sb2d5PC9r
ZXl3b3JkPjxrZXl3b3JkPkZlbWFsZTwva2V5d29yZD48a2V5d29yZD5IdW1hbnM8L2tleXdvcmQ+
PGtleXdvcmQ+SW5mYW50LCBOZXdib3JuPC9rZXl3b3JkPjxrZXl3b3JkPkxpZmUgU3R5bGU8L2tl
eXdvcmQ+PGtleXdvcmQ+TmV3IFplYWxhbmQvZXBpZGVtaW9sb2d5PC9rZXl3b3JkPjxrZXl3b3Jk
Pk9iZXNpdHkvZXBpZGVtaW9sb2d5LypwcmV2ZW50aW9uICZhbXA7IGNvbnRyb2wvcHN5Y2hvbG9n
eTwva2V5d29yZD48a2V5d29yZD5QZXJpbmF0YWwgQ2FyZS8qbWV0aG9kczwva2V5d29yZD48a2V5
d29yZD5QcmVnbmFuY3k8L2tleXdvcmQ+PGtleXdvcmQ+UHJlZ25hbmN5IENvbXBsaWNhdGlvbnMv
ZXBpZGVtaW9sb2d5LypwcmV2ZW50aW9uICZhbXA7IGNvbnRyb2wvcHN5Y2hvbG9neTwva2V5d29y
ZD48a2V5d29yZD5QcmVnbmFudCBXb21lbi8qcHN5Y2hvbG9neTwva2V5d29yZD48a2V5d29yZD5T
b3V0aCBBdXN0cmFsaWEvZXBpZGVtaW9sb2d5PC9rZXl3b3JkPjxrZXl3b3JkPlRyZWF0bWVudCBP
dXRjb21lPC9rZXl3b3JkPjxrZXl3b3JkPldlaWdodCBHYWluPC9rZXl3b3JkPjxrZXl3b3JkPkFu
dGVuYXRhbCBkaWV0YXJ5IGFuZCBsaWZlc3R5bGUgaW50ZXJ2ZW50aW9uPC9rZXl3b3JkPjxrZXl3
b3JkPm5lb25hdGFsIGFudGhyb3BvbWV0cnk8L2tleXdvcmQ+PGtleXdvcmQ+cmFuZG9taXNlZCB0
cmlhbDwva2V5d29yZD48a2V5d29yZD5za2luZm9sZCB0aGlja25lc3MgbWVhc3VyZW1lbnRzPC9r
ZXl3b3JkPjwva2V5d29yZHM+PGRhdGVzPjx5ZWFyPjIwMTY8L3llYXI+PHB1Yi1kYXRlcz48ZGF0
ZT5KYW48L2RhdGU+PC9wdWItZGF0ZXM+PC9kYXRlcz48aXNibj4xNDcxLTA1MjggKEVsZWN0cm9u
aWMpJiN4RDsxNDcwLTAzMjggKExpbmtpbmcpPC9pc2JuPjxhY2Nlc3Npb24tbnVtPjI2ODQxMjE3
PC9hY2Nlc3Npb24tbnVtPjx1cmxzPjxyZWxhdGVkLXVybHM+PHVybD5odHRwczovL3d3dy5uY2Jp
Lm5sbS5uaWguZ292L3B1Ym1lZC8yNjg0MTIxNzwvdXJsPjwvcmVsYXRlZC11cmxzPjwvdXJscz48
Y3VzdG9tMj5QTUM0ODU5NDMzPC9jdXN0b20yPjxlbGVjdHJvbmljLXJlc291cmNlLW51bT4xMC4x
MTExLzE0NzEtMDUyOC4xMzc5NjwvZWxlY3Ryb25pYy1yZXNvdXJjZS1udW0+PC9yZWNvcmQ+PC9D
aXRlPjwvRW5kTm90ZT5=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501,521,543,544</w:t>
            </w:r>
            <w:r>
              <w:rPr>
                <w:rFonts w:ascii="Century Gothic" w:hAnsi="Century Gothic"/>
                <w:noProof/>
              </w:rPr>
              <w:fldChar w:fldCharType="end"/>
            </w:r>
          </w:p>
        </w:tc>
      </w:tr>
      <w:tr w:rsidR="008E765F" w:rsidRPr="00822EBF" w14:paraId="754B938B" w14:textId="77777777" w:rsidTr="005A5EBF">
        <w:trPr>
          <w:cantSplit/>
        </w:trPr>
        <w:tc>
          <w:tcPr>
            <w:tcW w:w="1560" w:type="dxa"/>
            <w:shd w:val="clear" w:color="D9E2F3" w:themeColor="accent1" w:themeTint="33" w:fill="auto"/>
          </w:tcPr>
          <w:p w14:paraId="7F7EEF7A"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43B62A49"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3E80FBE0" w14:textId="77777777" w:rsidR="008E765F" w:rsidRPr="00822EBF" w:rsidRDefault="008E765F" w:rsidP="006045AE">
            <w:pPr>
              <w:pStyle w:val="RCTstable"/>
              <w:keepNext/>
            </w:pPr>
            <w:r>
              <w:t>“The computer-</w:t>
            </w:r>
            <w:r w:rsidRPr="00822EBF">
              <w:t>generated randomisation schedule used balanced variable blocks in the ratio 1:1 and was</w:t>
            </w:r>
            <w:r>
              <w:t xml:space="preserve"> </w:t>
            </w:r>
            <w:r w:rsidRPr="00822EBF">
              <w:t>prepared by an investigator not involved with recruitment or clinical care</w:t>
            </w:r>
            <w:r>
              <w:t>.”</w:t>
            </w:r>
          </w:p>
        </w:tc>
      </w:tr>
      <w:tr w:rsidR="008E765F" w:rsidRPr="00822EBF" w14:paraId="78D7C085" w14:textId="77777777" w:rsidTr="005A5EBF">
        <w:trPr>
          <w:cantSplit/>
        </w:trPr>
        <w:tc>
          <w:tcPr>
            <w:tcW w:w="1560" w:type="dxa"/>
            <w:shd w:val="clear" w:color="D9E2F3" w:themeColor="accent1" w:themeTint="33" w:fill="auto"/>
          </w:tcPr>
          <w:p w14:paraId="6F682D29" w14:textId="77777777" w:rsidR="008E765F" w:rsidRPr="00822EBF" w:rsidRDefault="008E765F" w:rsidP="006045AE">
            <w:pPr>
              <w:pStyle w:val="RCTstable"/>
              <w:keepNext/>
            </w:pPr>
            <w:r w:rsidRPr="00822EBF">
              <w:t xml:space="preserve">Allocation concealment </w:t>
            </w:r>
          </w:p>
        </w:tc>
        <w:tc>
          <w:tcPr>
            <w:tcW w:w="1275" w:type="dxa"/>
            <w:shd w:val="clear" w:color="D9E2F3" w:themeColor="accent1" w:themeTint="33" w:fill="70AD47" w:themeFill="accent6"/>
          </w:tcPr>
          <w:p w14:paraId="0A996CDE"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3AF23493" w14:textId="77777777" w:rsidR="008E765F" w:rsidRPr="00822EBF" w:rsidRDefault="008E765F" w:rsidP="006045AE">
            <w:pPr>
              <w:pStyle w:val="RCTstable"/>
              <w:keepNext/>
            </w:pPr>
            <w:r>
              <w:t>“</w:t>
            </w:r>
            <w:r w:rsidRPr="00822EBF">
              <w:t>A research assistant counselled eligible women and then randomised them to receive lifestyle advice or standard care by telephoning the central randomisation service</w:t>
            </w:r>
            <w:r>
              <w:t>.”</w:t>
            </w:r>
          </w:p>
        </w:tc>
      </w:tr>
      <w:tr w:rsidR="008E765F" w:rsidRPr="00822EBF" w14:paraId="7C49B1F5" w14:textId="77777777" w:rsidTr="005A5EBF">
        <w:trPr>
          <w:cantSplit/>
        </w:trPr>
        <w:tc>
          <w:tcPr>
            <w:tcW w:w="1560" w:type="dxa"/>
            <w:shd w:val="clear" w:color="D9E2F3" w:themeColor="accent1" w:themeTint="33" w:fill="auto"/>
          </w:tcPr>
          <w:p w14:paraId="08019559" w14:textId="77777777" w:rsidR="008E765F" w:rsidRPr="00822EBF" w:rsidRDefault="008E765F" w:rsidP="006045AE">
            <w:pPr>
              <w:pStyle w:val="RCTstable"/>
              <w:keepNext/>
            </w:pPr>
            <w:r w:rsidRPr="00822EBF">
              <w:t>Performance bias</w:t>
            </w:r>
          </w:p>
        </w:tc>
        <w:tc>
          <w:tcPr>
            <w:tcW w:w="1275" w:type="dxa"/>
            <w:shd w:val="clear" w:color="D9E2F3" w:themeColor="accent1" w:themeTint="33" w:fill="FF4D19"/>
          </w:tcPr>
          <w:p w14:paraId="3FCB2184" w14:textId="77777777" w:rsidR="008E765F" w:rsidRPr="00822EBF" w:rsidRDefault="008E765F" w:rsidP="006045AE">
            <w:pPr>
              <w:pStyle w:val="RCTstable"/>
              <w:keepNext/>
            </w:pPr>
            <w:r w:rsidRPr="00822EBF">
              <w:t>High risk</w:t>
            </w:r>
          </w:p>
        </w:tc>
        <w:tc>
          <w:tcPr>
            <w:tcW w:w="11199" w:type="dxa"/>
            <w:shd w:val="clear" w:color="D9E2F3" w:themeColor="accent1" w:themeTint="33" w:fill="auto"/>
          </w:tcPr>
          <w:p w14:paraId="6ED1A8E8" w14:textId="77777777" w:rsidR="008E765F" w:rsidRPr="00822EBF" w:rsidRDefault="008E765F" w:rsidP="006045AE">
            <w:pPr>
              <w:pStyle w:val="RCTstable"/>
              <w:keepNext/>
            </w:pPr>
            <w:r w:rsidRPr="00822EBF">
              <w:t>Blinding of women and trial personnel not considered feasible in view of the intervention and control</w:t>
            </w:r>
          </w:p>
        </w:tc>
      </w:tr>
      <w:tr w:rsidR="008E765F" w:rsidRPr="00822EBF" w14:paraId="7E830D66" w14:textId="77777777" w:rsidTr="005A5EBF">
        <w:trPr>
          <w:cantSplit/>
        </w:trPr>
        <w:tc>
          <w:tcPr>
            <w:tcW w:w="1560" w:type="dxa"/>
            <w:shd w:val="clear" w:color="D9E2F3" w:themeColor="accent1" w:themeTint="33" w:fill="auto"/>
          </w:tcPr>
          <w:p w14:paraId="323CF094"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66E618E2"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4557C02" w14:textId="77777777" w:rsidR="008E765F" w:rsidRPr="00822EBF" w:rsidRDefault="008E765F" w:rsidP="00611251">
            <w:pPr>
              <w:pStyle w:val="RCTstable"/>
            </w:pPr>
            <w:r>
              <w:t>“</w:t>
            </w:r>
            <w:r w:rsidRPr="00822EBF">
              <w:t>Outcome assessors were blinded to the treatment group allocated. After birth, a research assistant not involved in providing the intervention and blinded to treatment allocation obtained information relating to antenatal, birth, and infant outcomes from the case notes.</w:t>
            </w:r>
            <w:r>
              <w:t>”</w:t>
            </w:r>
          </w:p>
        </w:tc>
      </w:tr>
      <w:tr w:rsidR="008E765F" w:rsidRPr="00822EBF" w14:paraId="6A547AFC" w14:textId="77777777" w:rsidTr="005A5EBF">
        <w:trPr>
          <w:cantSplit/>
        </w:trPr>
        <w:tc>
          <w:tcPr>
            <w:tcW w:w="1560" w:type="dxa"/>
            <w:shd w:val="clear" w:color="D9E2F3" w:themeColor="accent1" w:themeTint="33" w:fill="auto"/>
          </w:tcPr>
          <w:p w14:paraId="04A5F67F"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6DEE241A"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3EBDB99" w14:textId="77777777" w:rsidR="008E765F" w:rsidRPr="00822EBF" w:rsidRDefault="008E765F" w:rsidP="00611251">
            <w:pPr>
              <w:pStyle w:val="RCTstable"/>
            </w:pPr>
            <w:r>
              <w:t>Low attrition (97%</w:t>
            </w:r>
            <w:r w:rsidRPr="00822EBF">
              <w:t xml:space="preserve"> women included in the analyses)</w:t>
            </w:r>
            <w:r>
              <w:t xml:space="preserve"> with reasons given.</w:t>
            </w:r>
          </w:p>
        </w:tc>
      </w:tr>
      <w:tr w:rsidR="008E765F" w:rsidRPr="00822EBF" w14:paraId="240EDCF1" w14:textId="77777777" w:rsidTr="005A5EBF">
        <w:trPr>
          <w:cantSplit/>
        </w:trPr>
        <w:tc>
          <w:tcPr>
            <w:tcW w:w="1560" w:type="dxa"/>
            <w:shd w:val="clear" w:color="D9E2F3" w:themeColor="accent1" w:themeTint="33" w:fill="auto"/>
          </w:tcPr>
          <w:p w14:paraId="45FEFFCC"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62A7FE50"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1D42EA8" w14:textId="77777777" w:rsidR="008E765F" w:rsidRPr="00822EBF" w:rsidRDefault="008E765F" w:rsidP="00611251">
            <w:pPr>
              <w:pStyle w:val="RCTstable"/>
            </w:pPr>
            <w:r w:rsidRPr="00822EBF">
              <w:t>Data for pre-specified outcomes (according to published trial protocol) were reported</w:t>
            </w:r>
            <w:r>
              <w:t>.</w:t>
            </w:r>
          </w:p>
        </w:tc>
      </w:tr>
      <w:tr w:rsidR="008E765F" w:rsidRPr="00822EBF" w14:paraId="06A24BB1" w14:textId="77777777" w:rsidTr="005A5EBF">
        <w:trPr>
          <w:cantSplit/>
        </w:trPr>
        <w:tc>
          <w:tcPr>
            <w:tcW w:w="1560" w:type="dxa"/>
            <w:shd w:val="clear" w:color="D9E2F3" w:themeColor="accent1" w:themeTint="33" w:fill="auto"/>
          </w:tcPr>
          <w:p w14:paraId="693ED154"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29F1842B"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1683ABE" w14:textId="77777777" w:rsidR="008E765F" w:rsidRPr="00822EBF" w:rsidRDefault="008E765F" w:rsidP="00611251">
            <w:pPr>
              <w:pStyle w:val="RCTstable"/>
            </w:pPr>
            <w:r w:rsidRPr="00822EBF">
              <w:t>No obvious sources of other bias identified</w:t>
            </w:r>
          </w:p>
        </w:tc>
      </w:tr>
      <w:tr w:rsidR="005D5943" w:rsidRPr="003956DD" w14:paraId="28511902" w14:textId="77777777" w:rsidTr="00E44521">
        <w:trPr>
          <w:cantSplit/>
        </w:trPr>
        <w:tc>
          <w:tcPr>
            <w:tcW w:w="14034" w:type="dxa"/>
            <w:gridSpan w:val="3"/>
            <w:shd w:val="solid" w:color="D9E2F3" w:themeColor="accent1" w:themeTint="33" w:fill="auto"/>
          </w:tcPr>
          <w:p w14:paraId="115FEE99" w14:textId="66221782" w:rsidR="005D5943" w:rsidRPr="003956DD" w:rsidRDefault="005D5943" w:rsidP="002747EA">
            <w:pPr>
              <w:pStyle w:val="RCTstable"/>
              <w:keepNext/>
              <w:rPr>
                <w:b/>
              </w:rPr>
            </w:pPr>
            <w:r w:rsidRPr="0025597C">
              <w:rPr>
                <w:rFonts w:ascii="Century Gothic" w:hAnsi="Century Gothic"/>
                <w:b/>
                <w:noProof/>
              </w:rPr>
              <w:t>Dodd et al 201</w:t>
            </w:r>
            <w:r>
              <w:rPr>
                <w:rFonts w:ascii="Century Gothic" w:hAnsi="Century Gothic"/>
                <w:b/>
                <w:noProof/>
              </w:rPr>
              <w:t>9</w:t>
            </w:r>
            <w:r w:rsidR="00D07346">
              <w:rPr>
                <w:b/>
              </w:rPr>
              <w:fldChar w:fldCharType="begin"/>
            </w:r>
            <w:r w:rsidR="002747EA">
              <w:rPr>
                <w:b/>
              </w:rPr>
              <w:instrText xml:space="preserve"> ADDIN EN.CITE &lt;EndNote&gt;&lt;Cite&gt;&lt;Author&gt;Dodd&lt;/Author&gt;&lt;Year&gt;2019&lt;/Year&gt;&lt;RecNum&gt;1922&lt;/RecNum&gt;&lt;DisplayText&gt;&lt;style face="superscript" font="Trebuchet MS" size="9"&gt;484&lt;/style&gt;&lt;/DisplayText&gt;&lt;record&gt;&lt;rec-number&gt;1922&lt;/rec-number&gt;&lt;foreign-keys&gt;&lt;key app="EN" db-id="exvasrfx2dtraoesasxp2szsxa2df502592x" timestamp="1588560368"&gt;1922&lt;/key&gt;&lt;key app="ENWeb" db-id=""&gt;0&lt;/key&gt;&lt;/foreign-keys&gt;&lt;ref-type name="Journal Article"&gt;17&lt;/ref-type&gt;&lt;contributors&gt;&lt;authors&gt;&lt;author&gt;Dodd, J. M.&lt;/author&gt;&lt;author&gt;Deussen, A. R.&lt;/author&gt;&lt;author&gt;Louise, J.&lt;/author&gt;&lt;/authors&gt;&lt;/contributors&gt;&lt;auth-address&gt;Discipline of Obstetrics &amp;amp; Gynaecology, and Robinson Research Institute, The University of Adelaide, Adelaide, SA 5006, Australia.&amp;#xD;Department of Perinatal Medicine Women&amp;apos;s and Children&amp;apos;s Hospital, North Adelaide, Adelaide, SA 5006, Australia.&lt;/auth-address&gt;&lt;titles&gt;&lt;title&gt;A randomised trial to optimise gestational weight gain and improve maternal and infant health outcomes through antenatal dietary, lifestyle and exercise advice: The OPTIMISE randomised trial&lt;/title&gt;&lt;secondary-title&gt;Nutrients&lt;/secondary-title&gt;&lt;/titles&gt;&lt;periodical&gt;&lt;full-title&gt;Nutrients&lt;/full-title&gt;&lt;/periodical&gt;&lt;volume&gt;11&lt;/volume&gt;&lt;number&gt;12&lt;/number&gt;&lt;edition&gt;2019/12/08&lt;/edition&gt;&lt;keywords&gt;&lt;keyword&gt;dietary and lifestyle intervention&lt;/keyword&gt;&lt;keyword&gt;gestational weight gain&lt;/keyword&gt;&lt;keyword&gt;randomised controlled trial&lt;/keyword&gt;&lt;/keywords&gt;&lt;dates&gt;&lt;year&gt;2019&lt;/year&gt;&lt;pub-dates&gt;&lt;date&gt;Dec 2&lt;/date&gt;&lt;/pub-dates&gt;&lt;/dates&gt;&lt;isbn&gt;2072-6643 (Electronic)&amp;#xD;2072-6643 (Linking)&lt;/isbn&gt;&lt;accession-num&gt;31810217&lt;/accession-num&gt;&lt;urls&gt;&lt;related-urls&gt;&lt;url&gt;https://www.ncbi.nlm.nih.gov/pubmed/31810217&lt;/url&gt;&lt;/related-urls&gt;&lt;/urls&gt;&lt;custom2&gt;PMC6949931&lt;/custom2&gt;&lt;electronic-resource-num&gt;10.3390/nu11122911&lt;/electronic-resource-num&gt;&lt;/record&gt;&lt;/Cite&gt;&lt;/EndNote&gt;</w:instrText>
            </w:r>
            <w:r w:rsidR="00D07346">
              <w:rPr>
                <w:b/>
              </w:rPr>
              <w:fldChar w:fldCharType="separate"/>
            </w:r>
            <w:r w:rsidR="002747EA" w:rsidRPr="002747EA">
              <w:rPr>
                <w:b/>
                <w:noProof/>
                <w:sz w:val="18"/>
                <w:vertAlign w:val="superscript"/>
              </w:rPr>
              <w:t>484</w:t>
            </w:r>
            <w:r w:rsidR="00D07346">
              <w:rPr>
                <w:b/>
              </w:rPr>
              <w:fldChar w:fldCharType="end"/>
            </w:r>
          </w:p>
        </w:tc>
      </w:tr>
      <w:tr w:rsidR="005D5943" w:rsidRPr="00822EBF" w14:paraId="28850A8A" w14:textId="77777777" w:rsidTr="0030223E">
        <w:trPr>
          <w:cantSplit/>
        </w:trPr>
        <w:tc>
          <w:tcPr>
            <w:tcW w:w="1560" w:type="dxa"/>
            <w:shd w:val="clear" w:color="D9E2F3" w:themeColor="accent1" w:themeTint="33" w:fill="auto"/>
          </w:tcPr>
          <w:p w14:paraId="4A3928C2" w14:textId="77777777" w:rsidR="005D5943" w:rsidRPr="00822EBF" w:rsidRDefault="005D5943" w:rsidP="00E44521">
            <w:pPr>
              <w:pStyle w:val="RCTstable"/>
              <w:keepNext/>
            </w:pPr>
            <w:r w:rsidRPr="00822EBF">
              <w:t>Random sequence generation</w:t>
            </w:r>
          </w:p>
        </w:tc>
        <w:tc>
          <w:tcPr>
            <w:tcW w:w="1275" w:type="dxa"/>
            <w:tcBorders>
              <w:bottom w:val="single" w:sz="4" w:space="0" w:color="auto"/>
            </w:tcBorders>
            <w:shd w:val="clear" w:color="D9E2F3" w:themeColor="accent1" w:themeTint="33" w:fill="70AD47" w:themeFill="accent6"/>
          </w:tcPr>
          <w:p w14:paraId="0DDD7BD0" w14:textId="77777777" w:rsidR="005D5943" w:rsidRPr="00822EBF" w:rsidRDefault="005D5943" w:rsidP="00E44521">
            <w:pPr>
              <w:pStyle w:val="RCTstable"/>
              <w:keepNext/>
            </w:pPr>
            <w:r w:rsidRPr="00822EBF">
              <w:t>Low risk</w:t>
            </w:r>
          </w:p>
        </w:tc>
        <w:tc>
          <w:tcPr>
            <w:tcW w:w="11199" w:type="dxa"/>
            <w:shd w:val="clear" w:color="D9E2F3" w:themeColor="accent1" w:themeTint="33" w:fill="auto"/>
          </w:tcPr>
          <w:p w14:paraId="04E38C2B" w14:textId="1E591DEB" w:rsidR="005D5943" w:rsidRPr="00D44388" w:rsidRDefault="005D5943" w:rsidP="0030223E">
            <w:pPr>
              <w:pStyle w:val="RCTstable"/>
            </w:pPr>
            <w:r>
              <w:t>“</w:t>
            </w:r>
            <w:r w:rsidR="00D44388" w:rsidRPr="00D44388">
              <w:t>We used a computer-based randomisation service in the Discipline of Obstetrics</w:t>
            </w:r>
            <w:r w:rsidR="00D44388">
              <w:t xml:space="preserve"> </w:t>
            </w:r>
            <w:r w:rsidR="00D44388" w:rsidRPr="00D44388">
              <w:t>and Gynaecology, The University of Adelaide. The randomisation schedule used balanced variable</w:t>
            </w:r>
            <w:r w:rsidR="00D44388">
              <w:t xml:space="preserve"> </w:t>
            </w:r>
            <w:r w:rsidR="00D44388" w:rsidRPr="00D44388">
              <w:t>blocks with stratification for parity (0 versus 1 or more) and was prepared by an investigator who was</w:t>
            </w:r>
            <w:r w:rsidR="00D44388">
              <w:t xml:space="preserve"> </w:t>
            </w:r>
            <w:r w:rsidR="00D44388" w:rsidRPr="00D44388">
              <w:t>not involved with recruitment or clinical care.</w:t>
            </w:r>
            <w:r>
              <w:t>”</w:t>
            </w:r>
          </w:p>
        </w:tc>
      </w:tr>
      <w:tr w:rsidR="005D5943" w:rsidRPr="00822EBF" w14:paraId="032543C1" w14:textId="77777777" w:rsidTr="0030223E">
        <w:trPr>
          <w:cantSplit/>
        </w:trPr>
        <w:tc>
          <w:tcPr>
            <w:tcW w:w="1560" w:type="dxa"/>
            <w:shd w:val="clear" w:color="D9E2F3" w:themeColor="accent1" w:themeTint="33" w:fill="auto"/>
          </w:tcPr>
          <w:p w14:paraId="12F21D76" w14:textId="77777777" w:rsidR="005D5943" w:rsidRPr="00822EBF" w:rsidRDefault="005D5943" w:rsidP="00E44521">
            <w:pPr>
              <w:pStyle w:val="RCTstable"/>
            </w:pPr>
            <w:r w:rsidRPr="00822EBF">
              <w:t xml:space="preserve">Allocation concealment </w:t>
            </w:r>
          </w:p>
        </w:tc>
        <w:tc>
          <w:tcPr>
            <w:tcW w:w="1275" w:type="dxa"/>
            <w:shd w:val="clear" w:color="D9E2F3" w:themeColor="accent1" w:themeTint="33" w:fill="FFC000" w:themeFill="accent4"/>
          </w:tcPr>
          <w:p w14:paraId="6D60FCB9" w14:textId="2EA33442" w:rsidR="005D5943" w:rsidRPr="00822EBF" w:rsidRDefault="00FC73AE" w:rsidP="00E44521">
            <w:pPr>
              <w:pStyle w:val="RCTstable"/>
            </w:pPr>
            <w:r>
              <w:t>Unclear</w:t>
            </w:r>
            <w:r w:rsidR="005D5943" w:rsidRPr="00822EBF">
              <w:t xml:space="preserve"> risk</w:t>
            </w:r>
          </w:p>
        </w:tc>
        <w:tc>
          <w:tcPr>
            <w:tcW w:w="11199" w:type="dxa"/>
            <w:shd w:val="clear" w:color="D9E2F3" w:themeColor="accent1" w:themeTint="33" w:fill="auto"/>
          </w:tcPr>
          <w:p w14:paraId="3CCC42A3" w14:textId="4618A483" w:rsidR="005D5943" w:rsidRPr="00822EBF" w:rsidRDefault="00FC73AE" w:rsidP="00E44521">
            <w:pPr>
              <w:pStyle w:val="RCTstable"/>
            </w:pPr>
            <w:r>
              <w:t>Not described.</w:t>
            </w:r>
          </w:p>
        </w:tc>
      </w:tr>
      <w:tr w:rsidR="005D5943" w:rsidRPr="00822EBF" w14:paraId="19BBCEB6" w14:textId="77777777" w:rsidTr="00E44521">
        <w:trPr>
          <w:cantSplit/>
        </w:trPr>
        <w:tc>
          <w:tcPr>
            <w:tcW w:w="1560" w:type="dxa"/>
            <w:shd w:val="clear" w:color="D9E2F3" w:themeColor="accent1" w:themeTint="33" w:fill="auto"/>
          </w:tcPr>
          <w:p w14:paraId="47A5031A" w14:textId="77777777" w:rsidR="005D5943" w:rsidRPr="00822EBF" w:rsidRDefault="005D5943" w:rsidP="00E44521">
            <w:pPr>
              <w:pStyle w:val="RCTstable"/>
            </w:pPr>
            <w:r w:rsidRPr="00822EBF">
              <w:t>Performance bias</w:t>
            </w:r>
          </w:p>
        </w:tc>
        <w:tc>
          <w:tcPr>
            <w:tcW w:w="1275" w:type="dxa"/>
            <w:shd w:val="clear" w:color="D9E2F3" w:themeColor="accent1" w:themeTint="33" w:fill="FF4D19"/>
          </w:tcPr>
          <w:p w14:paraId="2074DAEF" w14:textId="77777777" w:rsidR="005D5943" w:rsidRPr="00822EBF" w:rsidRDefault="005D5943" w:rsidP="00E44521">
            <w:pPr>
              <w:pStyle w:val="RCTstable"/>
            </w:pPr>
            <w:r w:rsidRPr="00822EBF">
              <w:t>High risk</w:t>
            </w:r>
          </w:p>
        </w:tc>
        <w:tc>
          <w:tcPr>
            <w:tcW w:w="11199" w:type="dxa"/>
            <w:shd w:val="clear" w:color="D9E2F3" w:themeColor="accent1" w:themeTint="33" w:fill="auto"/>
          </w:tcPr>
          <w:p w14:paraId="3DFFCF2D" w14:textId="239F0387" w:rsidR="005D5943" w:rsidRPr="00D44388" w:rsidRDefault="00FC73AE" w:rsidP="00D44388">
            <w:pPr>
              <w:pStyle w:val="RCTstable"/>
            </w:pPr>
            <w:r>
              <w:t>“</w:t>
            </w:r>
            <w:r w:rsidR="00D44388" w:rsidRPr="00D44388">
              <w:t>Blinding of participants was not possible given the nature of the intervention</w:t>
            </w:r>
            <w:r w:rsidR="00D44388">
              <w:t>.</w:t>
            </w:r>
            <w:r>
              <w:t>”</w:t>
            </w:r>
          </w:p>
        </w:tc>
      </w:tr>
      <w:tr w:rsidR="005D5943" w:rsidRPr="00822EBF" w14:paraId="66ED0B4D" w14:textId="77777777" w:rsidTr="00E44521">
        <w:trPr>
          <w:cantSplit/>
        </w:trPr>
        <w:tc>
          <w:tcPr>
            <w:tcW w:w="1560" w:type="dxa"/>
            <w:shd w:val="clear" w:color="D9E2F3" w:themeColor="accent1" w:themeTint="33" w:fill="auto"/>
          </w:tcPr>
          <w:p w14:paraId="54F5DC08" w14:textId="77777777" w:rsidR="005D5943" w:rsidRPr="00822EBF" w:rsidRDefault="005D5943" w:rsidP="00E44521">
            <w:pPr>
              <w:pStyle w:val="RCTstable"/>
            </w:pPr>
            <w:r w:rsidRPr="00822EBF">
              <w:t>Detection bias</w:t>
            </w:r>
          </w:p>
        </w:tc>
        <w:tc>
          <w:tcPr>
            <w:tcW w:w="1275" w:type="dxa"/>
            <w:shd w:val="clear" w:color="D9E2F3" w:themeColor="accent1" w:themeTint="33" w:fill="70AD47" w:themeFill="accent6"/>
          </w:tcPr>
          <w:p w14:paraId="7706F66B" w14:textId="77777777" w:rsidR="005D5943" w:rsidRPr="00822EBF" w:rsidRDefault="005D5943" w:rsidP="00E44521">
            <w:pPr>
              <w:pStyle w:val="RCTstable"/>
            </w:pPr>
            <w:r w:rsidRPr="00822EBF">
              <w:t>Low risk</w:t>
            </w:r>
          </w:p>
        </w:tc>
        <w:tc>
          <w:tcPr>
            <w:tcW w:w="11199" w:type="dxa"/>
            <w:shd w:val="clear" w:color="D9E2F3" w:themeColor="accent1" w:themeTint="33" w:fill="auto"/>
          </w:tcPr>
          <w:p w14:paraId="61286D11" w14:textId="7D3939C5" w:rsidR="005D5943" w:rsidRPr="00822EBF" w:rsidRDefault="005D5943" w:rsidP="00D44388">
            <w:pPr>
              <w:pStyle w:val="RCTstable"/>
            </w:pPr>
            <w:r>
              <w:t>“</w:t>
            </w:r>
            <w:r w:rsidR="00D44388">
              <w:t>W</w:t>
            </w:r>
            <w:r w:rsidR="00D44388" w:rsidRPr="00D44388">
              <w:t>here possible,</w:t>
            </w:r>
            <w:r w:rsidR="00D44388">
              <w:t xml:space="preserve"> </w:t>
            </w:r>
            <w:r w:rsidR="00D44388" w:rsidRPr="00D44388">
              <w:t>antenatal care-providers, outcome assessors and data analysts were blinded to treatment allocation.</w:t>
            </w:r>
            <w:r>
              <w:t>”</w:t>
            </w:r>
          </w:p>
        </w:tc>
      </w:tr>
      <w:tr w:rsidR="005D5943" w:rsidRPr="00822EBF" w14:paraId="03F5157C" w14:textId="77777777" w:rsidTr="00E44521">
        <w:trPr>
          <w:cantSplit/>
        </w:trPr>
        <w:tc>
          <w:tcPr>
            <w:tcW w:w="1560" w:type="dxa"/>
            <w:shd w:val="clear" w:color="D9E2F3" w:themeColor="accent1" w:themeTint="33" w:fill="auto"/>
          </w:tcPr>
          <w:p w14:paraId="2ED778EB" w14:textId="77777777" w:rsidR="005D5943" w:rsidRPr="00822EBF" w:rsidRDefault="005D5943" w:rsidP="00E44521">
            <w:pPr>
              <w:pStyle w:val="RCTstable"/>
            </w:pPr>
            <w:r w:rsidRPr="00822EBF">
              <w:t>Incomplete outcome data</w:t>
            </w:r>
          </w:p>
        </w:tc>
        <w:tc>
          <w:tcPr>
            <w:tcW w:w="1275" w:type="dxa"/>
            <w:shd w:val="clear" w:color="D9E2F3" w:themeColor="accent1" w:themeTint="33" w:fill="70AD47" w:themeFill="accent6"/>
          </w:tcPr>
          <w:p w14:paraId="1B469116" w14:textId="77777777" w:rsidR="005D5943" w:rsidRPr="00822EBF" w:rsidRDefault="005D5943" w:rsidP="00E44521">
            <w:pPr>
              <w:pStyle w:val="RCTstable"/>
            </w:pPr>
            <w:r w:rsidRPr="00822EBF">
              <w:t>Low risk</w:t>
            </w:r>
          </w:p>
        </w:tc>
        <w:tc>
          <w:tcPr>
            <w:tcW w:w="11199" w:type="dxa"/>
            <w:shd w:val="clear" w:color="D9E2F3" w:themeColor="accent1" w:themeTint="33" w:fill="auto"/>
          </w:tcPr>
          <w:p w14:paraId="7D38B7EE" w14:textId="4E5D8BB2" w:rsidR="005D5943" w:rsidRPr="00822EBF" w:rsidRDefault="002721AB" w:rsidP="00E44521">
            <w:pPr>
              <w:pStyle w:val="RCTstable"/>
            </w:pPr>
            <w:r>
              <w:t>Loss to follow-up described and reasons given.</w:t>
            </w:r>
          </w:p>
        </w:tc>
      </w:tr>
      <w:tr w:rsidR="005D5943" w:rsidRPr="00822EBF" w14:paraId="637BCCBA" w14:textId="77777777" w:rsidTr="00E44521">
        <w:trPr>
          <w:cantSplit/>
        </w:trPr>
        <w:tc>
          <w:tcPr>
            <w:tcW w:w="1560" w:type="dxa"/>
            <w:shd w:val="clear" w:color="D9E2F3" w:themeColor="accent1" w:themeTint="33" w:fill="auto"/>
          </w:tcPr>
          <w:p w14:paraId="6C45D870" w14:textId="77777777" w:rsidR="005D5943" w:rsidRPr="00822EBF" w:rsidRDefault="005D5943" w:rsidP="00E44521">
            <w:pPr>
              <w:pStyle w:val="RCTstable"/>
            </w:pPr>
            <w:r w:rsidRPr="00822EBF">
              <w:t>Selective reporting</w:t>
            </w:r>
          </w:p>
        </w:tc>
        <w:tc>
          <w:tcPr>
            <w:tcW w:w="1275" w:type="dxa"/>
            <w:shd w:val="clear" w:color="D9E2F3" w:themeColor="accent1" w:themeTint="33" w:fill="70AD47" w:themeFill="accent6"/>
          </w:tcPr>
          <w:p w14:paraId="4E8D28D6" w14:textId="77777777" w:rsidR="005D5943" w:rsidRPr="00822EBF" w:rsidRDefault="005D5943" w:rsidP="00E44521">
            <w:pPr>
              <w:pStyle w:val="RCTstable"/>
            </w:pPr>
            <w:r w:rsidRPr="00822EBF">
              <w:t>Low risk</w:t>
            </w:r>
          </w:p>
        </w:tc>
        <w:tc>
          <w:tcPr>
            <w:tcW w:w="11199" w:type="dxa"/>
            <w:shd w:val="clear" w:color="D9E2F3" w:themeColor="accent1" w:themeTint="33" w:fill="auto"/>
          </w:tcPr>
          <w:p w14:paraId="1864862B" w14:textId="1334BAF9" w:rsidR="005D5943" w:rsidRPr="00822EBF" w:rsidRDefault="005D5943" w:rsidP="00E44521">
            <w:pPr>
              <w:pStyle w:val="RCTstable"/>
            </w:pPr>
            <w:r w:rsidRPr="00822EBF">
              <w:t>Data for pre-specified outco</w:t>
            </w:r>
            <w:r w:rsidR="00D44388">
              <w:t xml:space="preserve">mes </w:t>
            </w:r>
            <w:r w:rsidRPr="00822EBF">
              <w:t>were reported</w:t>
            </w:r>
            <w:r>
              <w:t>.</w:t>
            </w:r>
          </w:p>
        </w:tc>
      </w:tr>
      <w:tr w:rsidR="005D5943" w:rsidRPr="00822EBF" w14:paraId="3E9332BE" w14:textId="77777777" w:rsidTr="00E44521">
        <w:trPr>
          <w:cantSplit/>
        </w:trPr>
        <w:tc>
          <w:tcPr>
            <w:tcW w:w="1560" w:type="dxa"/>
            <w:shd w:val="clear" w:color="D9E2F3" w:themeColor="accent1" w:themeTint="33" w:fill="auto"/>
          </w:tcPr>
          <w:p w14:paraId="1F69E2C0" w14:textId="77777777" w:rsidR="005D5943" w:rsidRPr="00822EBF" w:rsidRDefault="005D5943" w:rsidP="00E44521">
            <w:pPr>
              <w:pStyle w:val="RCTstable"/>
            </w:pPr>
            <w:r w:rsidRPr="00822EBF">
              <w:t xml:space="preserve">Other limitations </w:t>
            </w:r>
          </w:p>
        </w:tc>
        <w:tc>
          <w:tcPr>
            <w:tcW w:w="1275" w:type="dxa"/>
            <w:shd w:val="clear" w:color="D9E2F3" w:themeColor="accent1" w:themeTint="33" w:fill="70AD47" w:themeFill="accent6"/>
          </w:tcPr>
          <w:p w14:paraId="3C2C97CC" w14:textId="77777777" w:rsidR="005D5943" w:rsidRPr="00822EBF" w:rsidRDefault="005D5943" w:rsidP="00E44521">
            <w:pPr>
              <w:pStyle w:val="RCTstable"/>
            </w:pPr>
            <w:r w:rsidRPr="00822EBF">
              <w:t>Low risk</w:t>
            </w:r>
          </w:p>
        </w:tc>
        <w:tc>
          <w:tcPr>
            <w:tcW w:w="11199" w:type="dxa"/>
            <w:shd w:val="clear" w:color="D9E2F3" w:themeColor="accent1" w:themeTint="33" w:fill="auto"/>
          </w:tcPr>
          <w:p w14:paraId="15C841DB" w14:textId="77777777" w:rsidR="005D5943" w:rsidRPr="00822EBF" w:rsidRDefault="005D5943" w:rsidP="00E44521">
            <w:pPr>
              <w:pStyle w:val="RCTstable"/>
            </w:pPr>
            <w:r w:rsidRPr="00822EBF">
              <w:t>No obvious sources of other bias identified</w:t>
            </w:r>
          </w:p>
        </w:tc>
      </w:tr>
      <w:tr w:rsidR="008E765F" w:rsidRPr="003956DD" w14:paraId="4544EC21" w14:textId="77777777" w:rsidTr="005A5EBF">
        <w:trPr>
          <w:cantSplit/>
        </w:trPr>
        <w:tc>
          <w:tcPr>
            <w:tcW w:w="14034" w:type="dxa"/>
            <w:gridSpan w:val="3"/>
            <w:shd w:val="solid" w:color="D9E2F3" w:themeColor="accent1" w:themeTint="33" w:fill="auto"/>
          </w:tcPr>
          <w:p w14:paraId="1B3E6F6A" w14:textId="1B4BA465" w:rsidR="008E765F" w:rsidRPr="003956DD" w:rsidRDefault="008E765F" w:rsidP="002747EA">
            <w:pPr>
              <w:pStyle w:val="RCTstable"/>
              <w:keepNext/>
              <w:rPr>
                <w:b/>
              </w:rPr>
            </w:pPr>
            <w:r w:rsidRPr="0025597C">
              <w:rPr>
                <w:rFonts w:ascii="Century Gothic" w:hAnsi="Century Gothic"/>
                <w:b/>
                <w:noProof/>
              </w:rPr>
              <w:t>Gallagher et al 2018</w:t>
            </w:r>
            <w:r>
              <w:fldChar w:fldCharType="begin"/>
            </w:r>
            <w:r w:rsidR="002747EA">
              <w:instrText xml:space="preserve"> ADDIN EN.CITE &lt;EndNote&gt;&lt;Cite&gt;&lt;Author&gt;Gallagher&lt;/Author&gt;&lt;Year&gt;2018&lt;/Year&gt;&lt;RecNum&gt;744&lt;/RecNum&gt;&lt;DisplayText&gt;&lt;style face="superscript" font="Trebuchet MS" size="9"&gt;502&lt;/style&gt;&lt;/DisplayText&gt;&lt;record&gt;&lt;rec-number&gt;744&lt;/rec-number&gt;&lt;foreign-keys&gt;&lt;key app="EN" db-id="exvasrfx2dtraoesasxp2szsxa2df502592x" timestamp="1541467879"&gt;744&lt;/key&gt;&lt;key app="ENWeb" db-id=""&gt;0&lt;/key&gt;&lt;/foreign-keys&gt;&lt;ref-type name="Journal Article"&gt;17&lt;/ref-type&gt;&lt;contributors&gt;&lt;authors&gt;&lt;author&gt;Gallagher, Dympna&lt;/author&gt;&lt;author&gt;Rosenn, Barak&lt;/author&gt;&lt;author&gt;Toro-Ramos, Tatiana&lt;/author&gt;&lt;author&gt;Paley, Charles&lt;/author&gt;&lt;author&gt;Gidwani, Sonia&lt;/author&gt;&lt;author&gt;Horowitz, Michelle&lt;/author&gt;&lt;author&gt;Crane, Janet&lt;/author&gt;&lt;author&gt;Lin, Susan&lt;/author&gt;&lt;author&gt;Thornton, John C.&lt;/author&gt;&lt;author&gt;Pi-Sunyer, Xavier&lt;/author&gt;&lt;/authors&gt;&lt;/contributors&gt;&lt;titles&gt;&lt;title&gt;Greater Neonatal Fat-Free Mass and Similar Fat Mass Following a Randomized Trial to Control Excess Gestational Weight Gain&lt;/title&gt;&lt;secondary-title&gt;Obesity&lt;/secondary-title&gt;&lt;/titles&gt;&lt;periodical&gt;&lt;full-title&gt;Obesity&lt;/full-title&gt;&lt;/periodical&gt;&lt;pages&gt;578-587&lt;/pages&gt;&lt;volume&gt;26&lt;/volume&gt;&lt;number&gt;3&lt;/number&gt;&lt;section&gt;578&lt;/section&gt;&lt;dates&gt;&lt;year&gt;2018&lt;/year&gt;&lt;/dates&gt;&lt;isbn&gt;19307381&lt;/isbn&gt;&lt;urls&gt;&lt;/urls&gt;&lt;electronic-resource-num&gt;10.1002/oby.22079&lt;/electronic-resource-num&gt;&lt;/record&gt;&lt;/Cite&gt;&lt;/EndNote&gt;</w:instrText>
            </w:r>
            <w:r>
              <w:fldChar w:fldCharType="separate"/>
            </w:r>
            <w:r w:rsidR="002747EA" w:rsidRPr="002747EA">
              <w:rPr>
                <w:noProof/>
                <w:sz w:val="18"/>
                <w:vertAlign w:val="superscript"/>
              </w:rPr>
              <w:t>502</w:t>
            </w:r>
            <w:r>
              <w:fldChar w:fldCharType="end"/>
            </w:r>
          </w:p>
        </w:tc>
      </w:tr>
      <w:tr w:rsidR="008E765F" w:rsidRPr="00822EBF" w14:paraId="3B374C51" w14:textId="77777777" w:rsidTr="005A5EBF">
        <w:trPr>
          <w:cantSplit/>
        </w:trPr>
        <w:tc>
          <w:tcPr>
            <w:tcW w:w="1560" w:type="dxa"/>
            <w:shd w:val="clear" w:color="D9E2F3" w:themeColor="accent1" w:themeTint="33" w:fill="auto"/>
          </w:tcPr>
          <w:p w14:paraId="002397CB"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7082E623" w14:textId="77777777" w:rsidR="008E765F" w:rsidRPr="00822EBF" w:rsidRDefault="008E765F" w:rsidP="006045AE">
            <w:pPr>
              <w:pStyle w:val="RCTstable"/>
              <w:keepNext/>
            </w:pPr>
            <w:r>
              <w:t>Low</w:t>
            </w:r>
            <w:r w:rsidRPr="00822EBF">
              <w:t xml:space="preserve"> risk</w:t>
            </w:r>
          </w:p>
        </w:tc>
        <w:tc>
          <w:tcPr>
            <w:tcW w:w="11199" w:type="dxa"/>
            <w:shd w:val="clear" w:color="D9E2F3" w:themeColor="accent1" w:themeTint="33" w:fill="auto"/>
          </w:tcPr>
          <w:p w14:paraId="68C3D10A" w14:textId="77777777" w:rsidR="008E765F" w:rsidRPr="00822EBF" w:rsidRDefault="008E765F" w:rsidP="006045AE">
            <w:pPr>
              <w:pStyle w:val="RCTstable"/>
              <w:keepNext/>
            </w:pPr>
            <w:r w:rsidRPr="008B61D5">
              <w:t xml:space="preserve">The random allocation sequence was computer generated by the data manager. </w:t>
            </w:r>
          </w:p>
        </w:tc>
      </w:tr>
      <w:tr w:rsidR="008E765F" w:rsidRPr="00822EBF" w14:paraId="1E712544" w14:textId="77777777" w:rsidTr="005A5EBF">
        <w:trPr>
          <w:cantSplit/>
        </w:trPr>
        <w:tc>
          <w:tcPr>
            <w:tcW w:w="1560" w:type="dxa"/>
            <w:shd w:val="clear" w:color="D9E2F3" w:themeColor="accent1" w:themeTint="33" w:fill="auto"/>
          </w:tcPr>
          <w:p w14:paraId="5377978A" w14:textId="77777777" w:rsidR="008E765F" w:rsidRPr="00822EBF" w:rsidRDefault="008E765F" w:rsidP="006045AE">
            <w:pPr>
              <w:pStyle w:val="RCTstable"/>
              <w:keepNext/>
            </w:pPr>
            <w:r w:rsidRPr="00822EBF">
              <w:t xml:space="preserve">Allocation concealment </w:t>
            </w:r>
          </w:p>
        </w:tc>
        <w:tc>
          <w:tcPr>
            <w:tcW w:w="1275" w:type="dxa"/>
            <w:shd w:val="clear" w:color="D9E2F3" w:themeColor="accent1" w:themeTint="33" w:fill="FFC000" w:themeFill="accent4"/>
          </w:tcPr>
          <w:p w14:paraId="2DFD7A5A" w14:textId="77777777" w:rsidR="008E765F" w:rsidRPr="00822EBF" w:rsidRDefault="008E765F" w:rsidP="006045AE">
            <w:pPr>
              <w:pStyle w:val="RCTstable"/>
              <w:keepNext/>
            </w:pPr>
            <w:r w:rsidRPr="00822EBF">
              <w:t>Unclear risk</w:t>
            </w:r>
          </w:p>
        </w:tc>
        <w:tc>
          <w:tcPr>
            <w:tcW w:w="11199" w:type="dxa"/>
            <w:shd w:val="clear" w:color="D9E2F3" w:themeColor="accent1" w:themeTint="33" w:fill="auto"/>
          </w:tcPr>
          <w:p w14:paraId="704B93C7" w14:textId="77777777" w:rsidR="008E765F" w:rsidRPr="00822EBF" w:rsidRDefault="008E765F" w:rsidP="006045AE">
            <w:pPr>
              <w:pStyle w:val="RCTstable"/>
              <w:keepNext/>
            </w:pPr>
            <w:r w:rsidRPr="00822EBF">
              <w:t>Not described</w:t>
            </w:r>
            <w:r>
              <w:t>.</w:t>
            </w:r>
          </w:p>
        </w:tc>
      </w:tr>
      <w:tr w:rsidR="008E765F" w:rsidRPr="00822EBF" w14:paraId="65EF82F4" w14:textId="77777777" w:rsidTr="005A5EBF">
        <w:trPr>
          <w:cantSplit/>
        </w:trPr>
        <w:tc>
          <w:tcPr>
            <w:tcW w:w="1560" w:type="dxa"/>
            <w:shd w:val="clear" w:color="D9E2F3" w:themeColor="accent1" w:themeTint="33" w:fill="auto"/>
          </w:tcPr>
          <w:p w14:paraId="75AF71CC"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66ADA5FA" w14:textId="77777777" w:rsidR="008E765F" w:rsidRPr="00822EBF" w:rsidRDefault="008E765F" w:rsidP="00611251">
            <w:pPr>
              <w:pStyle w:val="RCTstable"/>
            </w:pPr>
            <w:r>
              <w:t>High</w:t>
            </w:r>
            <w:r w:rsidRPr="00822EBF">
              <w:t xml:space="preserve"> risk</w:t>
            </w:r>
          </w:p>
        </w:tc>
        <w:tc>
          <w:tcPr>
            <w:tcW w:w="11199" w:type="dxa"/>
            <w:shd w:val="clear" w:color="D9E2F3" w:themeColor="accent1" w:themeTint="33" w:fill="auto"/>
          </w:tcPr>
          <w:p w14:paraId="2EC5663A" w14:textId="77777777" w:rsidR="008E765F" w:rsidRPr="008B61D5" w:rsidRDefault="008E765F" w:rsidP="00611251">
            <w:pPr>
              <w:pStyle w:val="RCTstable"/>
            </w:pPr>
            <w:r w:rsidRPr="008B61D5">
              <w:t>A printed copy was placed in the participant’s chart and the staff c</w:t>
            </w:r>
            <w:r>
              <w:t>ompleting the randomis</w:t>
            </w:r>
            <w:r w:rsidRPr="008B61D5">
              <w:t>ation informed the participant immediately in person of group assignment. </w:t>
            </w:r>
          </w:p>
        </w:tc>
      </w:tr>
      <w:tr w:rsidR="008E765F" w:rsidRPr="00822EBF" w14:paraId="12FF64CF" w14:textId="77777777" w:rsidTr="005A5EBF">
        <w:trPr>
          <w:cantSplit/>
        </w:trPr>
        <w:tc>
          <w:tcPr>
            <w:tcW w:w="1560" w:type="dxa"/>
            <w:shd w:val="clear" w:color="D9E2F3" w:themeColor="accent1" w:themeTint="33" w:fill="auto"/>
          </w:tcPr>
          <w:p w14:paraId="307FBA36"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2F176EDA" w14:textId="77777777" w:rsidR="008E765F" w:rsidRPr="00822EBF" w:rsidRDefault="008E765F" w:rsidP="00611251">
            <w:pPr>
              <w:pStyle w:val="RCTstable"/>
            </w:pPr>
            <w:r>
              <w:t>Low</w:t>
            </w:r>
            <w:r w:rsidRPr="00822EBF">
              <w:t xml:space="preserve"> risk</w:t>
            </w:r>
          </w:p>
        </w:tc>
        <w:tc>
          <w:tcPr>
            <w:tcW w:w="11199" w:type="dxa"/>
            <w:shd w:val="clear" w:color="D9E2F3" w:themeColor="accent1" w:themeTint="33" w:fill="auto"/>
          </w:tcPr>
          <w:p w14:paraId="310474BE" w14:textId="77777777" w:rsidR="008E765F" w:rsidRPr="008B61D5" w:rsidRDefault="008E765F" w:rsidP="00611251">
            <w:pPr>
              <w:pStyle w:val="RCTstable"/>
              <w:rPr>
                <w:rFonts w:ascii="Times New Roman" w:hAnsi="Times New Roman"/>
                <w:sz w:val="17"/>
                <w:szCs w:val="17"/>
              </w:rPr>
            </w:pPr>
            <w:r w:rsidRPr="008B61D5">
              <w:t>Staff involved in collection of measurements were blind to group assignment. </w:t>
            </w:r>
          </w:p>
        </w:tc>
      </w:tr>
      <w:tr w:rsidR="008E765F" w:rsidRPr="00822EBF" w14:paraId="306C8432" w14:textId="77777777" w:rsidTr="005A5EBF">
        <w:trPr>
          <w:cantSplit/>
        </w:trPr>
        <w:tc>
          <w:tcPr>
            <w:tcW w:w="1560" w:type="dxa"/>
            <w:shd w:val="clear" w:color="D9E2F3" w:themeColor="accent1" w:themeTint="33" w:fill="auto"/>
          </w:tcPr>
          <w:p w14:paraId="6ACB0D1F" w14:textId="77777777" w:rsidR="008E765F" w:rsidRPr="00822EBF" w:rsidRDefault="008E765F" w:rsidP="00611251">
            <w:pPr>
              <w:pStyle w:val="RCTstable"/>
            </w:pPr>
            <w:r w:rsidRPr="00822EBF">
              <w:t>Incomplete outcome data</w:t>
            </w:r>
          </w:p>
        </w:tc>
        <w:tc>
          <w:tcPr>
            <w:tcW w:w="1275" w:type="dxa"/>
            <w:shd w:val="clear" w:color="D9E2F3" w:themeColor="accent1" w:themeTint="33" w:fill="FF4D19"/>
          </w:tcPr>
          <w:p w14:paraId="0AC359BF"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0356B50E" w14:textId="77777777" w:rsidR="008E765F" w:rsidRPr="00822EBF" w:rsidRDefault="008E765F" w:rsidP="00611251">
            <w:pPr>
              <w:pStyle w:val="RCTstable"/>
            </w:pPr>
            <w:r w:rsidRPr="00822EBF">
              <w:t>Reasons for attrition between allocation and study visits not given.</w:t>
            </w:r>
          </w:p>
        </w:tc>
      </w:tr>
      <w:tr w:rsidR="008E765F" w:rsidRPr="00822EBF" w14:paraId="135FA824" w14:textId="77777777" w:rsidTr="005A5EBF">
        <w:trPr>
          <w:cantSplit/>
        </w:trPr>
        <w:tc>
          <w:tcPr>
            <w:tcW w:w="1560" w:type="dxa"/>
            <w:shd w:val="clear" w:color="D9E2F3" w:themeColor="accent1" w:themeTint="33" w:fill="auto"/>
          </w:tcPr>
          <w:p w14:paraId="4E184F26"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15A14E9B"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8515611" w14:textId="77777777" w:rsidR="008E765F" w:rsidRPr="00822EBF" w:rsidRDefault="008E765F" w:rsidP="00611251">
            <w:pPr>
              <w:pStyle w:val="RCTstable"/>
            </w:pPr>
            <w:r w:rsidRPr="00822EBF">
              <w:t>All pre-specified outcomes reported</w:t>
            </w:r>
          </w:p>
        </w:tc>
      </w:tr>
      <w:tr w:rsidR="008E765F" w:rsidRPr="00822EBF" w14:paraId="3B751742" w14:textId="77777777" w:rsidTr="005A5EBF">
        <w:trPr>
          <w:cantSplit/>
        </w:trPr>
        <w:tc>
          <w:tcPr>
            <w:tcW w:w="1560" w:type="dxa"/>
            <w:shd w:val="clear" w:color="D9E2F3" w:themeColor="accent1" w:themeTint="33" w:fill="auto"/>
          </w:tcPr>
          <w:p w14:paraId="57C21803"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4D19"/>
          </w:tcPr>
          <w:p w14:paraId="4C200800"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03DFCAD6" w14:textId="77777777" w:rsidR="008E765F" w:rsidRPr="00822EBF" w:rsidRDefault="008E765F" w:rsidP="00611251">
            <w:pPr>
              <w:pStyle w:val="RCTstable"/>
            </w:pPr>
            <w:r w:rsidRPr="00822EBF">
              <w:t>Attendance at exercise classes was extremely poor at 9.7%.</w:t>
            </w:r>
          </w:p>
        </w:tc>
      </w:tr>
      <w:tr w:rsidR="008E765F" w:rsidRPr="003956DD" w14:paraId="1CF69522" w14:textId="77777777" w:rsidTr="005A5EBF">
        <w:trPr>
          <w:cantSplit/>
        </w:trPr>
        <w:tc>
          <w:tcPr>
            <w:tcW w:w="14034" w:type="dxa"/>
            <w:gridSpan w:val="3"/>
            <w:shd w:val="solid" w:color="D9E2F3" w:themeColor="accent1" w:themeTint="33" w:fill="auto"/>
          </w:tcPr>
          <w:p w14:paraId="160A1C91" w14:textId="23BD75C1" w:rsidR="008E765F" w:rsidRPr="003956DD" w:rsidRDefault="008E765F" w:rsidP="002747EA">
            <w:pPr>
              <w:pStyle w:val="RCTstable"/>
              <w:keepNext/>
              <w:rPr>
                <w:b/>
              </w:rPr>
            </w:pPr>
            <w:r w:rsidRPr="0025597C">
              <w:rPr>
                <w:rFonts w:ascii="Century Gothic" w:hAnsi="Century Gothic"/>
                <w:b/>
                <w:noProof/>
              </w:rPr>
              <w:t>Guelinckx et al 2010</w:t>
            </w:r>
            <w:r>
              <w:fldChar w:fldCharType="begin"/>
            </w:r>
            <w:r w:rsidR="002747EA">
              <w:instrText xml:space="preserve"> ADDIN EN.CITE &lt;EndNote&gt;&lt;Cite&gt;&lt;Author&gt;Guelinckx&lt;/Author&gt;&lt;Year&gt;2010&lt;/Year&gt;&lt;RecNum&gt;722&lt;/RecNum&gt;&lt;DisplayText&gt;&lt;style face="superscript" font="Trebuchet MS" size="9"&gt;511&lt;/style&gt;&lt;/DisplayText&gt;&lt;record&gt;&lt;rec-number&gt;722&lt;/rec-number&gt;&lt;foreign-keys&gt;&lt;key app="EN" db-id="exvasrfx2dtraoesasxp2szsxa2df502592x" timestamp="1541464777"&gt;722&lt;/key&gt;&lt;/foreign-keys&gt;&lt;ref-type name="Journal Article"&gt;17&lt;/ref-type&gt;&lt;contributors&gt;&lt;authors&gt;&lt;author&gt;Guelinckx, I.&lt;/author&gt;&lt;author&gt;Devlieger, R.&lt;/author&gt;&lt;author&gt;Mullie, P.&lt;/author&gt;&lt;author&gt;Vansant, G.&lt;/author&gt;&lt;/authors&gt;&lt;/contributors&gt;&lt;auth-address&gt;Department of Nutrition-Public Health Medicine, LFoRCe, Catholic University Leuven, Leuven, Belgium. isabelle.guelinckx@med.kuleuven.be&lt;/auth-address&gt;&lt;titles&gt;&lt;title&gt;Effect of lifestyle intervention on dietary habits, physical activity, and gestational weight gain in obese pregnant women: a randomized controlled trial&lt;/title&gt;&lt;secondary-title&gt;Am J Clin Nutr&lt;/secondary-title&gt;&lt;/titles&gt;&lt;periodical&gt;&lt;full-title&gt;Am J Clin Nutr&lt;/full-title&gt;&lt;/periodical&gt;&lt;pages&gt;373-80&lt;/pages&gt;&lt;volume&gt;91&lt;/volume&gt;&lt;number&gt;2&lt;/number&gt;&lt;edition&gt;2009/12/04&lt;/edition&gt;&lt;keywords&gt;&lt;keyword&gt;Adult&lt;/keyword&gt;&lt;keyword&gt;Behavior Therapy/*methods&lt;/keyword&gt;&lt;keyword&gt;Feeding Behavior/physiology&lt;/keyword&gt;&lt;keyword&gt;Female&lt;/keyword&gt;&lt;keyword&gt;Humans&lt;/keyword&gt;&lt;keyword&gt;Infant, Newborn&lt;/keyword&gt;&lt;keyword&gt;*Life Style&lt;/keyword&gt;&lt;keyword&gt;Motor Activity/physiology&lt;/keyword&gt;&lt;keyword&gt;Obesity/physiopathology/*therapy&lt;/keyword&gt;&lt;keyword&gt;Pregnancy&lt;/keyword&gt;&lt;keyword&gt;Pregnancy Complications/physiopathology/*therapy&lt;/keyword&gt;&lt;keyword&gt;Prenatal Nutritional Physiological Phenomena&lt;/keyword&gt;&lt;keyword&gt;Weight Gain/*physiology&lt;/keyword&gt;&lt;/keywords&gt;&lt;dates&gt;&lt;year&gt;2010&lt;/year&gt;&lt;pub-dates&gt;&lt;date&gt;Feb&lt;/date&gt;&lt;/pub-dates&gt;&lt;/dates&gt;&lt;isbn&gt;1938-3207 (Electronic)&amp;#xD;0002-9165 (Linking)&lt;/isbn&gt;&lt;accession-num&gt;19955397&lt;/accession-num&gt;&lt;urls&gt;&lt;related-urls&gt;&lt;url&gt;https://www.ncbi.nlm.nih.gov/pubmed/19955397&lt;/url&gt;&lt;/related-urls&gt;&lt;/urls&gt;&lt;electronic-resource-num&gt;10.3945/ajcn.2009.28166&lt;/electronic-resource-num&gt;&lt;/record&gt;&lt;/Cite&gt;&lt;/EndNote&gt;</w:instrText>
            </w:r>
            <w:r>
              <w:fldChar w:fldCharType="separate"/>
            </w:r>
            <w:r w:rsidR="002747EA" w:rsidRPr="002747EA">
              <w:rPr>
                <w:noProof/>
                <w:sz w:val="18"/>
                <w:vertAlign w:val="superscript"/>
              </w:rPr>
              <w:t>511</w:t>
            </w:r>
            <w:r>
              <w:fldChar w:fldCharType="end"/>
            </w:r>
          </w:p>
        </w:tc>
      </w:tr>
      <w:tr w:rsidR="008E765F" w:rsidRPr="00822EBF" w14:paraId="41F57BD1" w14:textId="77777777" w:rsidTr="005A5EBF">
        <w:trPr>
          <w:cantSplit/>
        </w:trPr>
        <w:tc>
          <w:tcPr>
            <w:tcW w:w="1560" w:type="dxa"/>
            <w:shd w:val="clear" w:color="D9E2F3" w:themeColor="accent1" w:themeTint="33" w:fill="auto"/>
          </w:tcPr>
          <w:p w14:paraId="3AC40481" w14:textId="77777777" w:rsidR="008E765F" w:rsidRPr="00822EBF" w:rsidRDefault="008E765F" w:rsidP="003B5251">
            <w:pPr>
              <w:pStyle w:val="RCTstable"/>
              <w:keepNext/>
            </w:pPr>
            <w:r w:rsidRPr="00822EBF">
              <w:t>Random sequence generation</w:t>
            </w:r>
          </w:p>
        </w:tc>
        <w:tc>
          <w:tcPr>
            <w:tcW w:w="1275" w:type="dxa"/>
            <w:shd w:val="clear" w:color="D9E2F3" w:themeColor="accent1" w:themeTint="33" w:fill="FFC000" w:themeFill="accent4"/>
          </w:tcPr>
          <w:p w14:paraId="0CEDA9D3" w14:textId="77777777" w:rsidR="008E765F" w:rsidRPr="00822EBF" w:rsidRDefault="008E765F" w:rsidP="003B5251">
            <w:pPr>
              <w:pStyle w:val="RCTstable"/>
              <w:keepNext/>
            </w:pPr>
            <w:r w:rsidRPr="00822EBF">
              <w:t>Unclear risk</w:t>
            </w:r>
          </w:p>
        </w:tc>
        <w:tc>
          <w:tcPr>
            <w:tcW w:w="11199" w:type="dxa"/>
            <w:shd w:val="clear" w:color="D9E2F3" w:themeColor="accent1" w:themeTint="33" w:fill="auto"/>
          </w:tcPr>
          <w:p w14:paraId="1498B8C8" w14:textId="77777777" w:rsidR="008E765F" w:rsidRPr="00822EBF" w:rsidRDefault="008E765F" w:rsidP="003B5251">
            <w:pPr>
              <w:pStyle w:val="RCTstable"/>
              <w:keepNext/>
            </w:pPr>
            <w:r w:rsidRPr="00822EBF">
              <w:t>Not described</w:t>
            </w:r>
            <w:r>
              <w:t>.</w:t>
            </w:r>
          </w:p>
        </w:tc>
      </w:tr>
      <w:tr w:rsidR="008E765F" w:rsidRPr="00822EBF" w14:paraId="277185F7" w14:textId="77777777" w:rsidTr="005A5EBF">
        <w:trPr>
          <w:cantSplit/>
        </w:trPr>
        <w:tc>
          <w:tcPr>
            <w:tcW w:w="1560" w:type="dxa"/>
            <w:shd w:val="clear" w:color="D9E2F3" w:themeColor="accent1" w:themeTint="33" w:fill="auto"/>
          </w:tcPr>
          <w:p w14:paraId="019BCC62" w14:textId="77777777" w:rsidR="008E765F" w:rsidRPr="00822EBF" w:rsidRDefault="008E765F" w:rsidP="003B5251">
            <w:pPr>
              <w:pStyle w:val="RCTstable"/>
              <w:keepNext/>
            </w:pPr>
            <w:r w:rsidRPr="00822EBF">
              <w:t xml:space="preserve">Allocation concealment </w:t>
            </w:r>
          </w:p>
        </w:tc>
        <w:tc>
          <w:tcPr>
            <w:tcW w:w="1275" w:type="dxa"/>
            <w:shd w:val="clear" w:color="D9E2F3" w:themeColor="accent1" w:themeTint="33" w:fill="70AD47" w:themeFill="accent6"/>
          </w:tcPr>
          <w:p w14:paraId="50FC7BB4" w14:textId="77777777" w:rsidR="008E765F" w:rsidRPr="00822EBF" w:rsidRDefault="008E765F" w:rsidP="003B5251">
            <w:pPr>
              <w:pStyle w:val="RCTstable"/>
              <w:keepNext/>
            </w:pPr>
            <w:r w:rsidRPr="00822EBF">
              <w:t>Low risk</w:t>
            </w:r>
          </w:p>
        </w:tc>
        <w:tc>
          <w:tcPr>
            <w:tcW w:w="11199" w:type="dxa"/>
            <w:shd w:val="clear" w:color="D9E2F3" w:themeColor="accent1" w:themeTint="33" w:fill="auto"/>
          </w:tcPr>
          <w:p w14:paraId="012299C3" w14:textId="77777777" w:rsidR="008E765F" w:rsidRPr="00822EBF" w:rsidRDefault="008E765F" w:rsidP="003B5251">
            <w:pPr>
              <w:pStyle w:val="RCTstable"/>
              <w:keepNext/>
            </w:pPr>
            <w:r>
              <w:t>“</w:t>
            </w:r>
            <w:r w:rsidRPr="00822EBF">
              <w:t>Patients were randomly assigned by using block randomisation</w:t>
            </w:r>
            <w:r>
              <w:t>.”</w:t>
            </w:r>
          </w:p>
        </w:tc>
      </w:tr>
      <w:tr w:rsidR="008E765F" w:rsidRPr="00822EBF" w14:paraId="23D48FDC" w14:textId="77777777" w:rsidTr="005A5EBF">
        <w:trPr>
          <w:cantSplit/>
        </w:trPr>
        <w:tc>
          <w:tcPr>
            <w:tcW w:w="1560" w:type="dxa"/>
            <w:shd w:val="clear" w:color="D9E2F3" w:themeColor="accent1" w:themeTint="33" w:fill="auto"/>
          </w:tcPr>
          <w:p w14:paraId="492D0A15" w14:textId="77777777" w:rsidR="008E765F" w:rsidRPr="00822EBF" w:rsidRDefault="008E765F" w:rsidP="00611251">
            <w:pPr>
              <w:pStyle w:val="RCTstable"/>
            </w:pPr>
            <w:r w:rsidRPr="00822EBF">
              <w:t>Performance bias</w:t>
            </w:r>
          </w:p>
        </w:tc>
        <w:tc>
          <w:tcPr>
            <w:tcW w:w="1275" w:type="dxa"/>
            <w:shd w:val="clear" w:color="D9E2F3" w:themeColor="accent1" w:themeTint="33" w:fill="FFC000" w:themeFill="accent4"/>
          </w:tcPr>
          <w:p w14:paraId="5FE8933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863B2F0" w14:textId="77777777" w:rsidR="008E765F" w:rsidRPr="00822EBF" w:rsidRDefault="008E765F" w:rsidP="00611251">
            <w:pPr>
              <w:pStyle w:val="RCTstable"/>
            </w:pPr>
            <w:r w:rsidRPr="00822EBF">
              <w:t>Not described</w:t>
            </w:r>
            <w:r>
              <w:t>.</w:t>
            </w:r>
          </w:p>
        </w:tc>
      </w:tr>
      <w:tr w:rsidR="008E765F" w:rsidRPr="00822EBF" w14:paraId="20A2C133" w14:textId="77777777" w:rsidTr="005A5EBF">
        <w:trPr>
          <w:cantSplit/>
        </w:trPr>
        <w:tc>
          <w:tcPr>
            <w:tcW w:w="1560" w:type="dxa"/>
            <w:shd w:val="clear" w:color="D9E2F3" w:themeColor="accent1" w:themeTint="33" w:fill="auto"/>
          </w:tcPr>
          <w:p w14:paraId="2C9FA957"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04302DD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475B9CFF" w14:textId="77777777" w:rsidR="008E765F" w:rsidRPr="00822EBF" w:rsidRDefault="008E765F" w:rsidP="00611251">
            <w:pPr>
              <w:pStyle w:val="RCTstable"/>
            </w:pPr>
            <w:r w:rsidRPr="00822EBF">
              <w:t>Not described</w:t>
            </w:r>
            <w:r>
              <w:t>.</w:t>
            </w:r>
          </w:p>
        </w:tc>
      </w:tr>
      <w:tr w:rsidR="008E765F" w:rsidRPr="00822EBF" w14:paraId="1CDA448C" w14:textId="77777777" w:rsidTr="005A5EBF">
        <w:trPr>
          <w:cantSplit/>
        </w:trPr>
        <w:tc>
          <w:tcPr>
            <w:tcW w:w="1560" w:type="dxa"/>
            <w:shd w:val="clear" w:color="D9E2F3" w:themeColor="accent1" w:themeTint="33" w:fill="auto"/>
          </w:tcPr>
          <w:p w14:paraId="1EDA7DD9"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3F1AA9C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CEFF6C1" w14:textId="77777777" w:rsidR="008E765F" w:rsidRPr="00822EBF" w:rsidRDefault="008E765F" w:rsidP="00611251">
            <w:pPr>
              <w:pStyle w:val="RCTstable"/>
            </w:pPr>
            <w:r w:rsidRPr="00822EBF">
              <w:t>Loss to follow-up 9.7%. Reasons for excluding the participants from each group were similar</w:t>
            </w:r>
          </w:p>
        </w:tc>
      </w:tr>
      <w:tr w:rsidR="008E765F" w:rsidRPr="00822EBF" w14:paraId="154F2A91" w14:textId="77777777" w:rsidTr="005A5EBF">
        <w:trPr>
          <w:cantSplit/>
        </w:trPr>
        <w:tc>
          <w:tcPr>
            <w:tcW w:w="1560" w:type="dxa"/>
            <w:shd w:val="clear" w:color="D9E2F3" w:themeColor="accent1" w:themeTint="33" w:fill="auto"/>
          </w:tcPr>
          <w:p w14:paraId="7C848134"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025D99A3"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BDBAB80" w14:textId="77777777" w:rsidR="008E765F" w:rsidRPr="00822EBF" w:rsidRDefault="008E765F" w:rsidP="00611251">
            <w:pPr>
              <w:pStyle w:val="RCTstable"/>
            </w:pPr>
            <w:r w:rsidRPr="00822EBF">
              <w:t>Could not determine.</w:t>
            </w:r>
          </w:p>
        </w:tc>
      </w:tr>
      <w:tr w:rsidR="008E765F" w:rsidRPr="00822EBF" w14:paraId="2EAFC8D8" w14:textId="77777777" w:rsidTr="005A5EBF">
        <w:trPr>
          <w:cantSplit/>
        </w:trPr>
        <w:tc>
          <w:tcPr>
            <w:tcW w:w="1560" w:type="dxa"/>
            <w:shd w:val="clear" w:color="D9E2F3" w:themeColor="accent1" w:themeTint="33" w:fill="auto"/>
          </w:tcPr>
          <w:p w14:paraId="1920B7B9"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1734ECC8"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46C6D73" w14:textId="77777777" w:rsidR="008E765F" w:rsidRPr="00822EBF" w:rsidRDefault="008E765F" w:rsidP="00611251">
            <w:pPr>
              <w:pStyle w:val="RCTstable"/>
            </w:pPr>
            <w:r w:rsidRPr="00822EBF">
              <w:t>Baseline characteristics of participants were similar between intervention and control groups.</w:t>
            </w:r>
          </w:p>
        </w:tc>
      </w:tr>
      <w:tr w:rsidR="008E765F" w:rsidRPr="00F012B5" w14:paraId="53D612A9" w14:textId="77777777" w:rsidTr="005A5EBF">
        <w:trPr>
          <w:cantSplit/>
        </w:trPr>
        <w:tc>
          <w:tcPr>
            <w:tcW w:w="14034" w:type="dxa"/>
            <w:gridSpan w:val="3"/>
            <w:shd w:val="solid" w:color="D9E2F3" w:themeColor="accent1" w:themeTint="33" w:fill="auto"/>
          </w:tcPr>
          <w:p w14:paraId="28B8C7CF" w14:textId="0D9495BB" w:rsidR="008E765F" w:rsidRPr="00F012B5" w:rsidRDefault="008E765F" w:rsidP="002747EA">
            <w:pPr>
              <w:pStyle w:val="RCTstable"/>
              <w:keepNext/>
              <w:rPr>
                <w:b/>
              </w:rPr>
            </w:pPr>
            <w:r w:rsidRPr="0025597C">
              <w:rPr>
                <w:rFonts w:ascii="Century Gothic" w:hAnsi="Century Gothic"/>
                <w:b/>
                <w:noProof/>
              </w:rPr>
              <w:t>Harrison et al 2013</w:t>
            </w:r>
            <w:r>
              <w:rPr>
                <w:rFonts w:ascii="Century Gothic" w:hAnsi="Century Gothic"/>
                <w:noProof/>
              </w:rPr>
              <w:fldChar w:fldCharType="begin">
                <w:fldData xml:space="preserve">PEVuZE5vdGU+PENpdGU+PEF1dGhvcj5IYXJyaXNvbjwvQXV0aG9yPjxZZWFyPjIwMTM8L1llYXI+
PFJlY051bT43MjU8L1JlY051bT48RGlzcGxheVRleHQ+PHN0eWxlIGZhY2U9InN1cGVyc2NyaXB0
IiBmb250PSJUcmVidWNoZXQgTVMiIHNpemU9IjkiPjUyMCw1NDU8L3N0eWxlPjwvRGlzcGxheVRl
eHQ+PHJlY29yZD48cmVjLW51bWJlcj43MjU8L3JlYy1udW1iZXI+PGZvcmVpZ24ta2V5cz48a2V5
IGFwcD0iRU4iIGRiLWlkPSJleHZhc3JmeDJkdHJhb2VzYXN4cDJzenN4YTJkZjUwMjU5MngiIHRp
bWVzdGFtcD0iMTU0MTQ2NTA1MCI+NzI1PC9rZXk+PC9mb3JlaWduLWtleXM+PHJlZi10eXBlIG5h
bWU9IkpvdXJuYWwgQXJ0aWNsZSI+MTc8L3JlZi10eXBlPjxjb250cmlidXRvcnM+PGF1dGhvcnM+
PGF1dGhvcj5IYXJyaXNvbiwgQy4gTC48L2F1dGhvcj48YXV0aG9yPkxvbWJhcmQsIEMuIEIuPC9h
dXRob3I+PGF1dGhvcj5TdHJhdXNzLCBCLiBKLjwvYXV0aG9yPjxhdXRob3I+VGVlZGUsIEguIEou
PC9hdXRob3I+PC9hdXRob3JzPjwvY29udHJpYnV0b3JzPjxhdXRoLWFkZHJlc3M+V29tZW4mYXBv
cztzIFJlcHJvZHVjdGl2ZSBSZXNlYXJjaCB1bml0LCBTY2hvb2wgb2YgUHVibGljIEhlYWx0aCBh
bmQgUHJldmVudGl2ZSBNZWRpY2luZSwgTW9uYXNoIFVuaXZlcnNpdHksIENsYXl0b24sIFZpY3Rv
cmlhLCBBdXN0cmFsaWEuPC9hdXRoLWFkZHJlc3M+PHRpdGxlcz48dGl0bGU+T3B0aW1pemluZyBo
ZWFsdGh5IGdlc3RhdGlvbmFsIHdlaWdodCBnYWluIGluIHdvbWVuIGF0IGhpZ2ggcmlzayBvZiBn
ZXN0YXRpb25hbCBkaWFiZXRlczogYSByYW5kb21pemVkIGNvbnRyb2xsZWQgdHJpYWw8L3RpdGxl
PjxzZWNvbmRhcnktdGl0bGU+T2Jlc2l0eSAoU2lsdmVyIFNwcmluZyk8L3NlY29uZGFyeS10aXRs
ZT48L3RpdGxlcz48cGVyaW9kaWNhbD48ZnVsbC10aXRsZT5PYmVzaXR5IChTaWx2ZXIgU3ByaW5n
KTwvZnVsbC10aXRsZT48L3BlcmlvZGljYWw+PHBhZ2VzPjkwNC05PC9wYWdlcz48dm9sdW1lPjIx
PC92b2x1bWU+PG51bWJlcj41PC9udW1iZXI+PGVkaXRpb24+MjAxMy8wNi8yMTwvZWRpdGlvbj48
a2V5d29yZHM+PGtleXdvcmQ+QWR1bHQ8L2tleXdvcmQ+PGtleXdvcmQ+KkJvZHkgTWFzcyBJbmRl
eDwva2V5d29yZD48a2V5d29yZD5EaWFiZXRlcywgR2VzdGF0aW9uYWwvZXBpZGVtaW9sb2d5Lypw
cmV2ZW50aW9uICZhbXA7IGNvbnRyb2w8L2tleXdvcmQ+PGtleXdvcmQ+RmVtYWxlPC9rZXl3b3Jk
PjxrZXl3b3JkPkh1bWFuczwva2V5d29yZD48a2V5d29yZD4qTGlmZSBTdHlsZTwva2V5d29yZD48
a2V5d29yZD5Nb3RvciBBY3Rpdml0eTwva2V5d29yZD48a2V5d29yZD5PYmVzaXR5L2NvbXBsaWNh
dGlvbnMvdGhlcmFweTwva2V5d29yZD48a2V5d29yZD5QcmVnbmFuY3k8L2tleXdvcmQ+PGtleXdv
cmQ+UHJlbmF0YWwgQ2FyZTwva2V5d29yZD48a2V5d29yZD5SaXNrIEZhY3RvcnM8L2tleXdvcmQ+
PGtleXdvcmQ+KldhbGtpbmc8L2tleXdvcmQ+PGtleXdvcmQ+KldlaWdodCBHYWluPC9rZXl3b3Jk
Pjwva2V5d29yZHM+PGRhdGVzPjx5ZWFyPjIwMTM8L3llYXI+PHB1Yi1kYXRlcz48ZGF0ZT5NYXk8
L2RhdGU+PC9wdWItZGF0ZXM+PC9kYXRlcz48aXNibj4xOTMwLTczOVggKEVsZWN0cm9uaWMpJiN4
RDsxOTMwLTczODEgKExpbmtpbmcpPC9pc2JuPjxhY2Nlc3Npb24tbnVtPjIzNzg0ODkyPC9hY2Nl
c3Npb24tbnVtPjx1cmxzPjxyZWxhdGVkLXVybHM+PHVybD5odHRwczovL3d3dy5uY2JpLm5sbS5u
aWguZ292L3B1Ym1lZC8yMzc4NDg5MjwvdXJsPjwvcmVsYXRlZC11cmxzPjwvdXJscz48ZWxlY3Ry
b25pYy1yZXNvdXJjZS1udW0+MTAuMTAwMi9vYnkuMjAxNjM8L2VsZWN0cm9uaWMtcmVzb3VyY2Ut
bnVtPjwvcmVjb3JkPjwvQ2l0ZT48Q2l0ZT48QXV0aG9yPkhhcnJpc29uPC9BdXRob3I+PFllYXI+
MjAxNDwvWWVhcj48UmVjTnVtPjEwOTg8L1JlY051bT48cmVjb3JkPjxyZWMtbnVtYmVyPjEwOTg8
L3JlYy1udW1iZXI+PGZvcmVpZ24ta2V5cz48a2V5IGFwcD0iRU4iIGRiLWlkPSJleHZhc3JmeDJk
dHJhb2VzYXN4cDJzenN4YTJkZjUwMjU5MngiIHRpbWVzdGFtcD0iMTU1Mjk0NzA3NyI+MTA5ODwv
a2V5PjwvZm9yZWlnbi1rZXlzPjxyZWYtdHlwZSBuYW1lPSJKb3VybmFsIEFydGljbGUiPjE3PC9y
ZWYtdHlwZT48Y29udHJpYnV0b3JzPjxhdXRob3JzPjxhdXRob3I+SGFycmlzb24sIEMuIEwuPC9h
dXRob3I+PGF1dGhvcj5Mb21iYXJkLCBDLiBCLjwvYXV0aG9yPjxhdXRob3I+VGVlZGUsIEguIEou
PC9hdXRob3I+PC9hdXRob3JzPjwvY29udHJpYnV0b3JzPjx0aXRsZXM+PHRpdGxlPkxpbWl0aW5n
IHBvc3RwYXJ0dW0gd2VpZ2h0IHJldGVudGlvbiB0aHJvdWdoIGVhcmx5IGFudGVuYXRhbCBpbnRl
cnZlbnRpb246IHRoZSBIZUxQLWhlciByYW5kb21pc2VkIGNvbnRyb2xsZWQgdHJpYWw8L3RpdGxl
PjxzZWNvbmRhcnktdGl0bGU+SW50IEogQmVoYXYgTnV0ciBQaHlzIEFjdDwvc2Vjb25kYXJ5LXRp
dGxlPjwvdGl0bGVzPjxwZXJpb2RpY2FsPjxmdWxsLXRpdGxlPkludCBKIEJlaGF2IE51dHIgUGh5
cyBBY3Q8L2Z1bGwtdGl0bGU+PC9wZXJpb2RpY2FsPjxwYWdlcz4xMzQ8L3BhZ2VzPjx2b2x1bWU+
MTE8L3ZvbHVtZT48ZWRpdGlvbj4yMDE0LzExLzAyPC9lZGl0aW9uPjxrZXl3b3Jkcz48a2V5d29y
ZD5BZHVsdDwva2V5d29yZD48a2V5d29yZD5Cb2R5IE1hc3MgSW5kZXg8L2tleXdvcmQ+PGtleXdv
cmQ+RGlhYmV0ZXMsIEdlc3RhdGlvbmFsPC9rZXl3b3JkPjxrZXl3b3JkPkRpZXQ8L2tleXdvcmQ+
PGtleXdvcmQ+RmVtYWxlPC9rZXl3b3JkPjxrZXl3b3JkPipIZWFsdGggQmVoYXZpb3I8L2tleXdv
cmQ+PGtleXdvcmQ+SHVtYW5zPC9rZXl3b3JkPjxrZXl3b3JkPkxpZmUgU3R5bGU8L2tleXdvcmQ+
PGtleXdvcmQ+TW90b3IgQWN0aXZpdHk8L2tleXdvcmQ+PGtleXdvcmQ+T2Jlc2l0eS9wcmV2ZW50
aW9uICZhbXA7IGNvbnRyb2w8L2tleXdvcmQ+PGtleXdvcmQ+T3ZlcndlaWdodC9wcmV2ZW50aW9u
ICZhbXA7IGNvbnRyb2w8L2tleXdvcmQ+PGtleXdvcmQ+KlBvc3RwYXJ0dW0gUGVyaW9kPC9rZXl3
b3JkPjxrZXl3b3JkPlByZWduYW5jeTwva2V5d29yZD48a2V5d29yZD5QcmVuYXRhbCBDYXJlPC9r
ZXl3b3JkPjxrZXl3b3JkPlJpc2sgRmFjdG9yczwva2V5d29yZD48a2V5d29yZD5TdXJ2ZXlzIGFu
ZCBRdWVzdGlvbm5haXJlczwva2V5d29yZD48a2V5d29yZD5UcmVhdG1lbnQgT3V0Y29tZTwva2V5
d29yZD48a2V5d29yZD4qV2VpZ2h0IEdhaW48L2tleXdvcmQ+PC9rZXl3b3Jkcz48ZGF0ZXM+PHll
YXI+MjAxNDwveWVhcj48cHViLWRhdGVzPjxkYXRlPk9jdCAzMTwvZGF0ZT48L3B1Yi1kYXRlcz48
L2RhdGVzPjxpc2JuPjE0NzktNTg2OCAoRWxlY3Ryb25pYykmI3hEOzE0NzktNTg2OCAoTGlua2lu
Zyk8L2lzYm4+PGFjY2Vzc2lvbi1udW0+MjUzNTg5MDk8L2FjY2Vzc2lvbi1udW0+PHVybHM+PHJl
bGF0ZWQtdXJscz48dXJsPmh0dHBzOi8vd3d3Lm5jYmkubmxtLm5paC5nb3YvcHVibWVkLzI1MzU4
OTA5PC91cmw+PC9yZWxhdGVkLXVybHM+PC91cmxzPjxjdXN0b20yPlBNQzQyMjE3MTg8L2N1c3Rv
bTI+PGVsZWN0cm9uaWMtcmVzb3VyY2UtbnVtPjEwLjExODYvczEyOTY2LTAxNC0wMTM0LTg8L2Vs
ZWN0cm9uaWMtcmVzb3VyY2UtbnVtPjwvcmVjb3JkPjwvQ2l0ZT48L0VuZE5vdGU+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PEVuZE5vdGU+PENpdGU+PEF1dGhvcj5IYXJyaXNvbjwvQXV0aG9yPjxZZWFyPjIwMTM8L1llYXI+
PFJlY051bT43MjU8L1JlY051bT48RGlzcGxheVRleHQ+PHN0eWxlIGZhY2U9InN1cGVyc2NyaXB0
IiBmb250PSJUcmVidWNoZXQgTVMiIHNpemU9IjkiPjUyMCw1NDU8L3N0eWxlPjwvRGlzcGxheVRl
eHQ+PHJlY29yZD48cmVjLW51bWJlcj43MjU8L3JlYy1udW1iZXI+PGZvcmVpZ24ta2V5cz48a2V5
IGFwcD0iRU4iIGRiLWlkPSJleHZhc3JmeDJkdHJhb2VzYXN4cDJzenN4YTJkZjUwMjU5MngiIHRp
bWVzdGFtcD0iMTU0MTQ2NTA1MCI+NzI1PC9rZXk+PC9mb3JlaWduLWtleXM+PHJlZi10eXBlIG5h
bWU9IkpvdXJuYWwgQXJ0aWNsZSI+MTc8L3JlZi10eXBlPjxjb250cmlidXRvcnM+PGF1dGhvcnM+
PGF1dGhvcj5IYXJyaXNvbiwgQy4gTC48L2F1dGhvcj48YXV0aG9yPkxvbWJhcmQsIEMuIEIuPC9h
dXRob3I+PGF1dGhvcj5TdHJhdXNzLCBCLiBKLjwvYXV0aG9yPjxhdXRob3I+VGVlZGUsIEguIEou
PC9hdXRob3I+PC9hdXRob3JzPjwvY29udHJpYnV0b3JzPjxhdXRoLWFkZHJlc3M+V29tZW4mYXBv
cztzIFJlcHJvZHVjdGl2ZSBSZXNlYXJjaCB1bml0LCBTY2hvb2wgb2YgUHVibGljIEhlYWx0aCBh
bmQgUHJldmVudGl2ZSBNZWRpY2luZSwgTW9uYXNoIFVuaXZlcnNpdHksIENsYXl0b24sIFZpY3Rv
cmlhLCBBdXN0cmFsaWEuPC9hdXRoLWFkZHJlc3M+PHRpdGxlcz48dGl0bGU+T3B0aW1pemluZyBo
ZWFsdGh5IGdlc3RhdGlvbmFsIHdlaWdodCBnYWluIGluIHdvbWVuIGF0IGhpZ2ggcmlzayBvZiBn
ZXN0YXRpb25hbCBkaWFiZXRlczogYSByYW5kb21pemVkIGNvbnRyb2xsZWQgdHJpYWw8L3RpdGxl
PjxzZWNvbmRhcnktdGl0bGU+T2Jlc2l0eSAoU2lsdmVyIFNwcmluZyk8L3NlY29uZGFyeS10aXRs
ZT48L3RpdGxlcz48cGVyaW9kaWNhbD48ZnVsbC10aXRsZT5PYmVzaXR5IChTaWx2ZXIgU3ByaW5n
KTwvZnVsbC10aXRsZT48L3BlcmlvZGljYWw+PHBhZ2VzPjkwNC05PC9wYWdlcz48dm9sdW1lPjIx
PC92b2x1bWU+PG51bWJlcj41PC9udW1iZXI+PGVkaXRpb24+MjAxMy8wNi8yMTwvZWRpdGlvbj48
a2V5d29yZHM+PGtleXdvcmQ+QWR1bHQ8L2tleXdvcmQ+PGtleXdvcmQ+KkJvZHkgTWFzcyBJbmRl
eDwva2V5d29yZD48a2V5d29yZD5EaWFiZXRlcywgR2VzdGF0aW9uYWwvZXBpZGVtaW9sb2d5Lypw
cmV2ZW50aW9uICZhbXA7IGNvbnRyb2w8L2tleXdvcmQ+PGtleXdvcmQ+RmVtYWxlPC9rZXl3b3Jk
PjxrZXl3b3JkPkh1bWFuczwva2V5d29yZD48a2V5d29yZD4qTGlmZSBTdHlsZTwva2V5d29yZD48
a2V5d29yZD5Nb3RvciBBY3Rpdml0eTwva2V5d29yZD48a2V5d29yZD5PYmVzaXR5L2NvbXBsaWNh
dGlvbnMvdGhlcmFweTwva2V5d29yZD48a2V5d29yZD5QcmVnbmFuY3k8L2tleXdvcmQ+PGtleXdv
cmQ+UHJlbmF0YWwgQ2FyZTwva2V5d29yZD48a2V5d29yZD5SaXNrIEZhY3RvcnM8L2tleXdvcmQ+
PGtleXdvcmQ+KldhbGtpbmc8L2tleXdvcmQ+PGtleXdvcmQ+KldlaWdodCBHYWluPC9rZXl3b3Jk
Pjwva2V5d29yZHM+PGRhdGVzPjx5ZWFyPjIwMTM8L3llYXI+PHB1Yi1kYXRlcz48ZGF0ZT5NYXk8
L2RhdGU+PC9wdWItZGF0ZXM+PC9kYXRlcz48aXNibj4xOTMwLTczOVggKEVsZWN0cm9uaWMpJiN4
RDsxOTMwLTczODEgKExpbmtpbmcpPC9pc2JuPjxhY2Nlc3Npb24tbnVtPjIzNzg0ODkyPC9hY2Nl
c3Npb24tbnVtPjx1cmxzPjxyZWxhdGVkLXVybHM+PHVybD5odHRwczovL3d3dy5uY2JpLm5sbS5u
aWguZ292L3B1Ym1lZC8yMzc4NDg5MjwvdXJsPjwvcmVsYXRlZC11cmxzPjwvdXJscz48ZWxlY3Ry
b25pYy1yZXNvdXJjZS1udW0+MTAuMTAwMi9vYnkuMjAxNjM8L2VsZWN0cm9uaWMtcmVzb3VyY2Ut
bnVtPjwvcmVjb3JkPjwvQ2l0ZT48Q2l0ZT48QXV0aG9yPkhhcnJpc29uPC9BdXRob3I+PFllYXI+
MjAxNDwvWWVhcj48UmVjTnVtPjEwOTg8L1JlY051bT48cmVjb3JkPjxyZWMtbnVtYmVyPjEwOTg8
L3JlYy1udW1iZXI+PGZvcmVpZ24ta2V5cz48a2V5IGFwcD0iRU4iIGRiLWlkPSJleHZhc3JmeDJk
dHJhb2VzYXN4cDJzenN4YTJkZjUwMjU5MngiIHRpbWVzdGFtcD0iMTU1Mjk0NzA3NyI+MTA5ODwv
a2V5PjwvZm9yZWlnbi1rZXlzPjxyZWYtdHlwZSBuYW1lPSJKb3VybmFsIEFydGljbGUiPjE3PC9y
ZWYtdHlwZT48Y29udHJpYnV0b3JzPjxhdXRob3JzPjxhdXRob3I+SGFycmlzb24sIEMuIEwuPC9h
dXRob3I+PGF1dGhvcj5Mb21iYXJkLCBDLiBCLjwvYXV0aG9yPjxhdXRob3I+VGVlZGUsIEguIEou
PC9hdXRob3I+PC9hdXRob3JzPjwvY29udHJpYnV0b3JzPjx0aXRsZXM+PHRpdGxlPkxpbWl0aW5n
IHBvc3RwYXJ0dW0gd2VpZ2h0IHJldGVudGlvbiB0aHJvdWdoIGVhcmx5IGFudGVuYXRhbCBpbnRl
cnZlbnRpb246IHRoZSBIZUxQLWhlciByYW5kb21pc2VkIGNvbnRyb2xsZWQgdHJpYWw8L3RpdGxl
PjxzZWNvbmRhcnktdGl0bGU+SW50IEogQmVoYXYgTnV0ciBQaHlzIEFjdDwvc2Vjb25kYXJ5LXRp
dGxlPjwvdGl0bGVzPjxwZXJpb2RpY2FsPjxmdWxsLXRpdGxlPkludCBKIEJlaGF2IE51dHIgUGh5
cyBBY3Q8L2Z1bGwtdGl0bGU+PC9wZXJpb2RpY2FsPjxwYWdlcz4xMzQ8L3BhZ2VzPjx2b2x1bWU+
MTE8L3ZvbHVtZT48ZWRpdGlvbj4yMDE0LzExLzAyPC9lZGl0aW9uPjxrZXl3b3Jkcz48a2V5d29y
ZD5BZHVsdDwva2V5d29yZD48a2V5d29yZD5Cb2R5IE1hc3MgSW5kZXg8L2tleXdvcmQ+PGtleXdv
cmQ+RGlhYmV0ZXMsIEdlc3RhdGlvbmFsPC9rZXl3b3JkPjxrZXl3b3JkPkRpZXQ8L2tleXdvcmQ+
PGtleXdvcmQ+RmVtYWxlPC9rZXl3b3JkPjxrZXl3b3JkPipIZWFsdGggQmVoYXZpb3I8L2tleXdv
cmQ+PGtleXdvcmQ+SHVtYW5zPC9rZXl3b3JkPjxrZXl3b3JkPkxpZmUgU3R5bGU8L2tleXdvcmQ+
PGtleXdvcmQ+TW90b3IgQWN0aXZpdHk8L2tleXdvcmQ+PGtleXdvcmQ+T2Jlc2l0eS9wcmV2ZW50
aW9uICZhbXA7IGNvbnRyb2w8L2tleXdvcmQ+PGtleXdvcmQ+T3ZlcndlaWdodC9wcmV2ZW50aW9u
ICZhbXA7IGNvbnRyb2w8L2tleXdvcmQ+PGtleXdvcmQ+KlBvc3RwYXJ0dW0gUGVyaW9kPC9rZXl3
b3JkPjxrZXl3b3JkPlByZWduYW5jeTwva2V5d29yZD48a2V5d29yZD5QcmVuYXRhbCBDYXJlPC9r
ZXl3b3JkPjxrZXl3b3JkPlJpc2sgRmFjdG9yczwva2V5d29yZD48a2V5d29yZD5TdXJ2ZXlzIGFu
ZCBRdWVzdGlvbm5haXJlczwva2V5d29yZD48a2V5d29yZD5UcmVhdG1lbnQgT3V0Y29tZTwva2V5
d29yZD48a2V5d29yZD4qV2VpZ2h0IEdhaW48L2tleXdvcmQ+PC9rZXl3b3Jkcz48ZGF0ZXM+PHll
YXI+MjAxNDwveWVhcj48cHViLWRhdGVzPjxkYXRlPk9jdCAzMTwvZGF0ZT48L3B1Yi1kYXRlcz48
L2RhdGVzPjxpc2JuPjE0NzktNTg2OCAoRWxlY3Ryb25pYykmI3hEOzE0NzktNTg2OCAoTGlua2lu
Zyk8L2lzYm4+PGFjY2Vzc2lvbi1udW0+MjUzNTg5MDk8L2FjY2Vzc2lvbi1udW0+PHVybHM+PHJl
bGF0ZWQtdXJscz48dXJsPmh0dHBzOi8vd3d3Lm5jYmkubmxtLm5paC5nb3YvcHVibWVkLzI1MzU4
OTA5PC91cmw+PC9yZWxhdGVkLXVybHM+PC91cmxzPjxjdXN0b20yPlBNQzQyMjE3MTg8L2N1c3Rv
bTI+PGVsZWN0cm9uaWMtcmVzb3VyY2UtbnVtPjEwLjExODYvczEyOTY2LTAxNC0wMTM0LTg8L2Vs
ZWN0cm9uaWMtcmVzb3VyY2UtbnVtPjwvcmVjb3JkPjwvQ2l0ZT48L0VuZE5vdGU+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520,545</w:t>
            </w:r>
            <w:r>
              <w:rPr>
                <w:rFonts w:ascii="Century Gothic" w:hAnsi="Century Gothic"/>
                <w:noProof/>
              </w:rPr>
              <w:fldChar w:fldCharType="end"/>
            </w:r>
          </w:p>
        </w:tc>
      </w:tr>
      <w:tr w:rsidR="008E765F" w:rsidRPr="00822EBF" w14:paraId="5F502BBC" w14:textId="77777777" w:rsidTr="005A5EBF">
        <w:trPr>
          <w:cantSplit/>
        </w:trPr>
        <w:tc>
          <w:tcPr>
            <w:tcW w:w="1560" w:type="dxa"/>
            <w:shd w:val="clear" w:color="D9E2F3" w:themeColor="accent1" w:themeTint="33" w:fill="auto"/>
          </w:tcPr>
          <w:p w14:paraId="5696BBA7"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6FA9E2D6"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63701E88" w14:textId="77777777" w:rsidR="008E765F" w:rsidRPr="00822EBF" w:rsidRDefault="008E765F" w:rsidP="00611251">
            <w:pPr>
              <w:pStyle w:val="RCTstable"/>
              <w:keepNext/>
            </w:pPr>
            <w:r>
              <w:t>“</w:t>
            </w:r>
            <w:r w:rsidRPr="00822EBF">
              <w:t>Participating women were randomly assigned to intervention or control thr</w:t>
            </w:r>
            <w:r>
              <w:t>ough computer-generated randomis</w:t>
            </w:r>
            <w:r w:rsidRPr="00822EBF">
              <w:t>ed sequencing</w:t>
            </w:r>
            <w:r>
              <w:t>.”</w:t>
            </w:r>
          </w:p>
        </w:tc>
      </w:tr>
      <w:tr w:rsidR="008E765F" w:rsidRPr="00822EBF" w14:paraId="7D7593CA" w14:textId="77777777" w:rsidTr="005A5EBF">
        <w:trPr>
          <w:cantSplit/>
        </w:trPr>
        <w:tc>
          <w:tcPr>
            <w:tcW w:w="1560" w:type="dxa"/>
            <w:shd w:val="clear" w:color="D9E2F3" w:themeColor="accent1" w:themeTint="33" w:fill="auto"/>
          </w:tcPr>
          <w:p w14:paraId="21AAAD75" w14:textId="77777777" w:rsidR="008E765F" w:rsidRPr="00822EBF" w:rsidRDefault="008E765F" w:rsidP="00611251">
            <w:pPr>
              <w:pStyle w:val="RCTstable"/>
              <w:keepNext/>
            </w:pPr>
            <w:r w:rsidRPr="00822EBF">
              <w:t xml:space="preserve">Allocation concealment </w:t>
            </w:r>
          </w:p>
        </w:tc>
        <w:tc>
          <w:tcPr>
            <w:tcW w:w="1275" w:type="dxa"/>
            <w:shd w:val="clear" w:color="D9E2F3" w:themeColor="accent1" w:themeTint="33" w:fill="70AD47" w:themeFill="accent6"/>
          </w:tcPr>
          <w:p w14:paraId="2BCD1308"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755FF637" w14:textId="77777777" w:rsidR="008E765F" w:rsidRPr="00822EBF" w:rsidRDefault="008E765F" w:rsidP="00611251">
            <w:pPr>
              <w:pStyle w:val="RCTstable"/>
              <w:keepNext/>
            </w:pPr>
            <w:r>
              <w:t>“</w:t>
            </w:r>
            <w:r w:rsidRPr="00822EBF">
              <w:t>Allocation concealment was achieved by using sealed opaque envelopes</w:t>
            </w:r>
            <w:r>
              <w:t>.”</w:t>
            </w:r>
          </w:p>
        </w:tc>
      </w:tr>
      <w:tr w:rsidR="008E765F" w:rsidRPr="00822EBF" w14:paraId="6FC43AD5" w14:textId="77777777" w:rsidTr="005A5EBF">
        <w:trPr>
          <w:cantSplit/>
        </w:trPr>
        <w:tc>
          <w:tcPr>
            <w:tcW w:w="1560" w:type="dxa"/>
            <w:shd w:val="clear" w:color="D9E2F3" w:themeColor="accent1" w:themeTint="33" w:fill="auto"/>
          </w:tcPr>
          <w:p w14:paraId="22B3974F" w14:textId="77777777" w:rsidR="008E765F" w:rsidRPr="00822EBF" w:rsidRDefault="008E765F" w:rsidP="00611251">
            <w:pPr>
              <w:pStyle w:val="RCTstable"/>
              <w:keepNext/>
            </w:pPr>
            <w:r w:rsidRPr="00822EBF">
              <w:t>Performance bias</w:t>
            </w:r>
          </w:p>
        </w:tc>
        <w:tc>
          <w:tcPr>
            <w:tcW w:w="1275" w:type="dxa"/>
            <w:shd w:val="clear" w:color="D9E2F3" w:themeColor="accent1" w:themeTint="33" w:fill="FF4D19"/>
          </w:tcPr>
          <w:p w14:paraId="5EC06CF7" w14:textId="77777777" w:rsidR="008E765F" w:rsidRPr="00822EBF" w:rsidRDefault="008E765F" w:rsidP="00611251">
            <w:pPr>
              <w:pStyle w:val="RCTstable"/>
              <w:keepNext/>
            </w:pPr>
            <w:r w:rsidRPr="00822EBF">
              <w:t>High risk</w:t>
            </w:r>
          </w:p>
        </w:tc>
        <w:tc>
          <w:tcPr>
            <w:tcW w:w="11199" w:type="dxa"/>
            <w:shd w:val="clear" w:color="D9E2F3" w:themeColor="accent1" w:themeTint="33" w:fill="auto"/>
          </w:tcPr>
          <w:p w14:paraId="17213393" w14:textId="77777777" w:rsidR="008E765F" w:rsidRPr="00822EBF" w:rsidRDefault="008E765F" w:rsidP="00611251">
            <w:pPr>
              <w:pStyle w:val="RCTstable"/>
              <w:keepNext/>
            </w:pPr>
            <w:r w:rsidRPr="00822EBF">
              <w:t>Due to the nature of the intervention and control, it was not p</w:t>
            </w:r>
            <w:r>
              <w:t>ossible to blind women, though “</w:t>
            </w:r>
            <w:r w:rsidRPr="00822EBF">
              <w:t>pedometers were sealed to blind p</w:t>
            </w:r>
            <w:r>
              <w:t>articipants to their step count”</w:t>
            </w:r>
            <w:r w:rsidRPr="00822EBF">
              <w:t>.</w:t>
            </w:r>
          </w:p>
        </w:tc>
      </w:tr>
      <w:tr w:rsidR="008E765F" w:rsidRPr="00822EBF" w14:paraId="2BA089B5" w14:textId="77777777" w:rsidTr="005A5EBF">
        <w:trPr>
          <w:cantSplit/>
        </w:trPr>
        <w:tc>
          <w:tcPr>
            <w:tcW w:w="1560" w:type="dxa"/>
            <w:shd w:val="clear" w:color="D9E2F3" w:themeColor="accent1" w:themeTint="33" w:fill="auto"/>
          </w:tcPr>
          <w:p w14:paraId="5611F291"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099381D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AE7D9EE" w14:textId="77777777" w:rsidR="008E765F" w:rsidRPr="00822EBF" w:rsidRDefault="008E765F" w:rsidP="00611251">
            <w:pPr>
              <w:pStyle w:val="RCTstable"/>
            </w:pPr>
            <w:r>
              <w:t>“</w:t>
            </w:r>
            <w:r w:rsidRPr="00822EBF">
              <w:t>Care providers, investigators, and outcome data analysers were blinded to group allocation; Anthropometric assessment included weight... and height measured by a registered nurse unaware of participant allocation</w:t>
            </w:r>
            <w:r>
              <w:t>.”</w:t>
            </w:r>
          </w:p>
        </w:tc>
      </w:tr>
      <w:tr w:rsidR="008E765F" w:rsidRPr="00822EBF" w14:paraId="0776FA24" w14:textId="77777777" w:rsidTr="005A5EBF">
        <w:trPr>
          <w:cantSplit/>
        </w:trPr>
        <w:tc>
          <w:tcPr>
            <w:tcW w:w="1560" w:type="dxa"/>
            <w:shd w:val="clear" w:color="D9E2F3" w:themeColor="accent1" w:themeTint="33" w:fill="auto"/>
          </w:tcPr>
          <w:p w14:paraId="48CF9D2D"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5FCD989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D62EEFB" w14:textId="77777777" w:rsidR="008E765F" w:rsidRPr="00822EBF" w:rsidRDefault="008E765F" w:rsidP="00611251">
            <w:pPr>
              <w:pStyle w:val="RCTstable"/>
            </w:pPr>
            <w:r>
              <w:t>Low attrition, (</w:t>
            </w:r>
            <w:r w:rsidRPr="00822EBF">
              <w:t>86%</w:t>
            </w:r>
            <w:r>
              <w:t xml:space="preserve"> of intervention group and 92% of the control group</w:t>
            </w:r>
            <w:r w:rsidRPr="00822EBF">
              <w:t xml:space="preserve"> analysed</w:t>
            </w:r>
            <w:r>
              <w:t>) with reasons for loss to follow-up given.</w:t>
            </w:r>
          </w:p>
        </w:tc>
      </w:tr>
      <w:tr w:rsidR="008E765F" w:rsidRPr="00822EBF" w14:paraId="541AD451" w14:textId="77777777" w:rsidTr="005A5EBF">
        <w:trPr>
          <w:cantSplit/>
        </w:trPr>
        <w:tc>
          <w:tcPr>
            <w:tcW w:w="1560" w:type="dxa"/>
            <w:shd w:val="clear" w:color="D9E2F3" w:themeColor="accent1" w:themeTint="33" w:fill="auto"/>
          </w:tcPr>
          <w:p w14:paraId="7A66DA5E"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56D4373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6563422" w14:textId="77777777" w:rsidR="008E765F" w:rsidRPr="00822EBF" w:rsidRDefault="008E765F" w:rsidP="00611251">
            <w:pPr>
              <w:pStyle w:val="RCTstable"/>
            </w:pPr>
            <w:r w:rsidRPr="00822EBF">
              <w:t>With no access to a trial protocol, it was not possible to confidently assess selective reporting</w:t>
            </w:r>
            <w:r>
              <w:t>.</w:t>
            </w:r>
          </w:p>
        </w:tc>
      </w:tr>
      <w:tr w:rsidR="008E765F" w:rsidRPr="00822EBF" w14:paraId="6755DB7A" w14:textId="77777777" w:rsidTr="005A5EBF">
        <w:trPr>
          <w:cantSplit/>
        </w:trPr>
        <w:tc>
          <w:tcPr>
            <w:tcW w:w="1560" w:type="dxa"/>
            <w:shd w:val="clear" w:color="D9E2F3" w:themeColor="accent1" w:themeTint="33" w:fill="auto"/>
          </w:tcPr>
          <w:p w14:paraId="24500AB5"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2DB78F15"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5F8DD7C" w14:textId="77777777" w:rsidR="008E765F" w:rsidRPr="00822EBF" w:rsidRDefault="008E765F" w:rsidP="00611251">
            <w:pPr>
              <w:pStyle w:val="RCTstable"/>
            </w:pPr>
            <w:r w:rsidRPr="00822EBF">
              <w:t>No obvious sources of other bias identified</w:t>
            </w:r>
            <w:r>
              <w:t>.</w:t>
            </w:r>
          </w:p>
        </w:tc>
      </w:tr>
      <w:tr w:rsidR="008E765F" w:rsidRPr="00BC78AE" w14:paraId="7EEDBEE8" w14:textId="77777777" w:rsidTr="005A5EBF">
        <w:trPr>
          <w:cantSplit/>
        </w:trPr>
        <w:tc>
          <w:tcPr>
            <w:tcW w:w="14034" w:type="dxa"/>
            <w:gridSpan w:val="3"/>
            <w:shd w:val="solid" w:color="D9E2F3" w:themeColor="accent1" w:themeTint="33" w:fill="auto"/>
          </w:tcPr>
          <w:p w14:paraId="63D1B3DB" w14:textId="339C2E7D" w:rsidR="008E765F" w:rsidRPr="00BC78AE" w:rsidRDefault="008E765F" w:rsidP="002747EA">
            <w:pPr>
              <w:pStyle w:val="RCTstable"/>
              <w:keepNext/>
              <w:rPr>
                <w:b/>
              </w:rPr>
            </w:pPr>
            <w:r w:rsidRPr="0025597C">
              <w:rPr>
                <w:rFonts w:ascii="Century Gothic" w:hAnsi="Century Gothic"/>
                <w:b/>
                <w:noProof/>
              </w:rPr>
              <w:t>Hawkins et al 2014</w:t>
            </w:r>
            <w:r>
              <w:fldChar w:fldCharType="begin">
                <w:fldData xml:space="preserve">PEVuZE5vdGU+PENpdGU+PEF1dGhvcj5IYXdraW5zPC9BdXRob3I+PFllYXI+MjAxNTwvWWVhcj48
UmVjTnVtPjcyNjwvUmVjTnVtPjxEaXNwbGF5VGV4dD48c3R5bGUgZmFjZT0ic3VwZXJzY3JpcHQi
IGZvbnQ9IlRyZWJ1Y2hldCBNUyIgc2l6ZT0iOSI+NTAzPC9zdHlsZT48L0Rpc3BsYXlUZXh0Pjxy
ZWNvcmQ+PHJlYy1udW1iZXI+NzI2PC9yZWMtbnVtYmVyPjxmb3JlaWduLWtleXM+PGtleSBhcHA9
IkVOIiBkYi1pZD0iZXh2YXNyZngyZHRyYW9lc2FzeHAyc3pzeGEyZGY1MDI1OTJ4IiB0aW1lc3Rh
bXA9IjE1NDE0NjUzMjIiPjcyNjwva2V5PjwvZm9yZWlnbi1rZXlzPjxyZWYtdHlwZSBuYW1lPSJK
b3VybmFsIEFydGljbGUiPjE3PC9yZWYtdHlwZT48Y29udHJpYnV0b3JzPjxhdXRob3JzPjxhdXRo
b3I+SGF3a2lucywgTS48L2F1dGhvcj48YXV0aG9yPkhvc2tlciwgTS48L2F1dGhvcj48YXV0aG9y
Pk1hcmN1cywgQi4gSC48L2F1dGhvcj48YXV0aG9yPlJvc2FsLCBNLiBDLjwvYXV0aG9yPjxhdXRo
b3I+QnJhdW4sIEIuPC9hdXRob3I+PGF1dGhvcj5TdGFuZWssIEUuIEouLCAzcmQ8L2F1dGhvcj48
YXV0aG9yPk1hcmtlbnNvbiwgRy48L2F1dGhvcj48YXV0aG9yPkNoYXNhbi1UYWJlciwgTC48L2F1
dGhvcj48L2F1dGhvcnM+PC9jb250cmlidXRvcnM+PGF1dGgtYWRkcmVzcz5EaXZpc2lvbiBvZiBC
aW9zdGF0aXN0aWNzIGFuZCBFcGlkZW1pb2xvZ3ksIERlcGFydG1lbnQgb2YgUHVibGljIEhlYWx0
aCwgU2Nob29sIG9mIFB1YmxpYyBIZWFsdGggYW5kIEhlYWx0aCBTY2llbmNlcywgVW5pdmVyc2l0
eSBvZiBNYXNzYWNodXNldHRzLCBBbWhlcnN0LCBNQSwgVVNBLjwvYXV0aC1hZGRyZXNzPjx0aXRs
ZXM+PHRpdGxlPkEgcHJlZ25hbmN5IGxpZmVzdHlsZSBpbnRlcnZlbnRpb24gdG8gcHJldmVudCBn
ZXN0YXRpb25hbCBkaWFiZXRlcyByaXNrIGZhY3RvcnMgaW4gb3ZlcndlaWdodCBIaXNwYW5pYyB3
b21lbjogYSBmZWFzaWJpbGl0eSByYW5kb21pemVkIGNvbnRyb2xsZWQgdHJpYWw8L3RpdGxlPjxz
ZWNvbmRhcnktdGl0bGU+RGlhYmV0IE1lZDwvc2Vjb25kYXJ5LXRpdGxlPjwvdGl0bGVzPjxwZXJp
b2RpY2FsPjxmdWxsLXRpdGxlPkRpYWJldCBNZWQ8L2Z1bGwtdGl0bGU+PC9wZXJpb2RpY2FsPjxw
YWdlcz4xMDgtMTU8L3BhZ2VzPjx2b2x1bWU+MzI8L3ZvbHVtZT48bnVtYmVyPjE8L251bWJlcj48
ZWRpdGlvbj4yMDE0LzEwLzE0PC9lZGl0aW9uPjxrZXl3b3Jkcz48a2V5d29yZD5BZHVsdDwva2V5
d29yZD48a2V5d29yZD5CaXJ0aCBXZWlnaHQ8L2tleXdvcmQ+PGtleXdvcmQ+RGlhYmV0ZXMsIEdl
c3RhdGlvbmFsLypwcmV2ZW50aW9uICZhbXA7IGNvbnRyb2w8L2tleXdvcmQ+PGtleXdvcmQ+RGll
dDwva2V5d29yZD48a2V5d29yZD5FeGVyY2lzZTwva2V5d29yZD48a2V5d29yZD5GZWFzaWJpbGl0
eSBTdHVkaWVzPC9rZXl3b3JkPjxrZXl3b3JkPkZlZWRpbmcgQmVoYXZpb3I8L2tleXdvcmQ+PGtl
eXdvcmQ+RmVtYWxlPC9rZXl3b3JkPjxrZXl3b3JkPkhpc3BhbmljIEFtZXJpY2Fucy8qc3RhdGlz
dGljcyAmYW1wOyBudW1lcmljYWwgZGF0YTwva2V5d29yZD48a2V5d29yZD5IdW1hbnM8L2tleXdv
cmQ+PGtleXdvcmQ+SW5mYW50LCBOZXdib3JuPC9rZXl3b3JkPjxrZXl3b3JkPk1hbGU8L2tleXdv
cmQ+PGtleXdvcmQ+T3ZlcndlaWdodC9jb21wbGljYXRpb25zLypwcmV2ZW50aW9uICZhbXA7IGNv
bnRyb2w8L2tleXdvcmQ+PGtleXdvcmQ+UGF0aWVudCBDb21wbGlhbmNlPC9rZXl3b3JkPjxrZXl3
b3JkPlByZWduYW5jeTwva2V5d29yZD48a2V5d29yZD5QcmVuYXRhbCBDYXJlPC9rZXl3b3JkPjxr
ZXl3b3JkPipQcmltYXJ5IFByZXZlbnRpb248L2tleXdvcmQ+PGtleXdvcmQ+UmlzayBGYWN0b3Jz
PC9rZXl3b3JkPjxrZXl3b3JkPipSaXNrIFJlZHVjdGlvbiBCZWhhdmlvcjwva2V5d29yZD48a2V5
d29yZD5UcmVhdG1lbnQgT3V0Y29tZTwva2V5d29yZD48a2V5d29yZD5Vbml0ZWQgU3RhdGVzL2Vw
aWRlbWlvbG9neTwva2V5d29yZD48a2V5d29yZD5XZWlnaHQgR2Fpbjwva2V5d29yZD48L2tleXdv
cmRzPjxkYXRlcz48eWVhcj4yMDE1PC95ZWFyPjxwdWItZGF0ZXM+PGRhdGU+SmFuPC9kYXRlPjwv
cHViLWRhdGVzPjwvZGF0ZXM+PGlzYm4+MTQ2NC01NDkxIChFbGVjdHJvbmljKSYjeEQ7MDc0Mi0z
MDcxIChMaW5raW5nKTwvaXNibj48YWNjZXNzaW9uLW51bT4yNTMwNjkyNTwvYWNjZXNzaW9uLW51
bT48dXJscz48cmVsYXRlZC11cmxzPjx1cmw+aHR0cHM6Ly93d3cubmNiaS5ubG0ubmloLmdvdi9w
dWJtZWQvMjUzMDY5MjU8L3VybD48L3JlbGF0ZWQtdXJscz48L3VybHM+PGVsZWN0cm9uaWMtcmVz
b3VyY2UtbnVtPjEwLjExMTEvZG1lLjEyNjAxPC9lbGVjdHJvbmljLXJlc291cmNlLW51bT48L3Jl
Y29yZD48L0NpdGU+PC9FbmROb3RlPn==
</w:fldData>
              </w:fldChar>
            </w:r>
            <w:r w:rsidR="002747EA">
              <w:instrText xml:space="preserve"> ADDIN EN.CITE </w:instrText>
            </w:r>
            <w:r w:rsidR="002747EA">
              <w:fldChar w:fldCharType="begin">
                <w:fldData xml:space="preserve">PEVuZE5vdGU+PENpdGU+PEF1dGhvcj5IYXdraW5zPC9BdXRob3I+PFllYXI+MjAxNTwvWWVhcj48
UmVjTnVtPjcyNjwvUmVjTnVtPjxEaXNwbGF5VGV4dD48c3R5bGUgZmFjZT0ic3VwZXJzY3JpcHQi
IGZvbnQ9IlRyZWJ1Y2hldCBNUyIgc2l6ZT0iOSI+NTAzPC9zdHlsZT48L0Rpc3BsYXlUZXh0Pjxy
ZWNvcmQ+PHJlYy1udW1iZXI+NzI2PC9yZWMtbnVtYmVyPjxmb3JlaWduLWtleXM+PGtleSBhcHA9
IkVOIiBkYi1pZD0iZXh2YXNyZngyZHRyYW9lc2FzeHAyc3pzeGEyZGY1MDI1OTJ4IiB0aW1lc3Rh
bXA9IjE1NDE0NjUzMjIiPjcyNjwva2V5PjwvZm9yZWlnbi1rZXlzPjxyZWYtdHlwZSBuYW1lPSJK
b3VybmFsIEFydGljbGUiPjE3PC9yZWYtdHlwZT48Y29udHJpYnV0b3JzPjxhdXRob3JzPjxhdXRo
b3I+SGF3a2lucywgTS48L2F1dGhvcj48YXV0aG9yPkhvc2tlciwgTS48L2F1dGhvcj48YXV0aG9y
Pk1hcmN1cywgQi4gSC48L2F1dGhvcj48YXV0aG9yPlJvc2FsLCBNLiBDLjwvYXV0aG9yPjxhdXRo
b3I+QnJhdW4sIEIuPC9hdXRob3I+PGF1dGhvcj5TdGFuZWssIEUuIEouLCAzcmQ8L2F1dGhvcj48
YXV0aG9yPk1hcmtlbnNvbiwgRy48L2F1dGhvcj48YXV0aG9yPkNoYXNhbi1UYWJlciwgTC48L2F1
dGhvcj48L2F1dGhvcnM+PC9jb250cmlidXRvcnM+PGF1dGgtYWRkcmVzcz5EaXZpc2lvbiBvZiBC
aW9zdGF0aXN0aWNzIGFuZCBFcGlkZW1pb2xvZ3ksIERlcGFydG1lbnQgb2YgUHVibGljIEhlYWx0
aCwgU2Nob29sIG9mIFB1YmxpYyBIZWFsdGggYW5kIEhlYWx0aCBTY2llbmNlcywgVW5pdmVyc2l0
eSBvZiBNYXNzYWNodXNldHRzLCBBbWhlcnN0LCBNQSwgVVNBLjwvYXV0aC1hZGRyZXNzPjx0aXRs
ZXM+PHRpdGxlPkEgcHJlZ25hbmN5IGxpZmVzdHlsZSBpbnRlcnZlbnRpb24gdG8gcHJldmVudCBn
ZXN0YXRpb25hbCBkaWFiZXRlcyByaXNrIGZhY3RvcnMgaW4gb3ZlcndlaWdodCBIaXNwYW5pYyB3
b21lbjogYSBmZWFzaWJpbGl0eSByYW5kb21pemVkIGNvbnRyb2xsZWQgdHJpYWw8L3RpdGxlPjxz
ZWNvbmRhcnktdGl0bGU+RGlhYmV0IE1lZDwvc2Vjb25kYXJ5LXRpdGxlPjwvdGl0bGVzPjxwZXJp
b2RpY2FsPjxmdWxsLXRpdGxlPkRpYWJldCBNZWQ8L2Z1bGwtdGl0bGU+PC9wZXJpb2RpY2FsPjxw
YWdlcz4xMDgtMTU8L3BhZ2VzPjx2b2x1bWU+MzI8L3ZvbHVtZT48bnVtYmVyPjE8L251bWJlcj48
ZWRpdGlvbj4yMDE0LzEwLzE0PC9lZGl0aW9uPjxrZXl3b3Jkcz48a2V5d29yZD5BZHVsdDwva2V5
d29yZD48a2V5d29yZD5CaXJ0aCBXZWlnaHQ8L2tleXdvcmQ+PGtleXdvcmQ+RGlhYmV0ZXMsIEdl
c3RhdGlvbmFsLypwcmV2ZW50aW9uICZhbXA7IGNvbnRyb2w8L2tleXdvcmQ+PGtleXdvcmQ+RGll
dDwva2V5d29yZD48a2V5d29yZD5FeGVyY2lzZTwva2V5d29yZD48a2V5d29yZD5GZWFzaWJpbGl0
eSBTdHVkaWVzPC9rZXl3b3JkPjxrZXl3b3JkPkZlZWRpbmcgQmVoYXZpb3I8L2tleXdvcmQ+PGtl
eXdvcmQ+RmVtYWxlPC9rZXl3b3JkPjxrZXl3b3JkPkhpc3BhbmljIEFtZXJpY2Fucy8qc3RhdGlz
dGljcyAmYW1wOyBudW1lcmljYWwgZGF0YTwva2V5d29yZD48a2V5d29yZD5IdW1hbnM8L2tleXdv
cmQ+PGtleXdvcmQ+SW5mYW50LCBOZXdib3JuPC9rZXl3b3JkPjxrZXl3b3JkPk1hbGU8L2tleXdv
cmQ+PGtleXdvcmQ+T3ZlcndlaWdodC9jb21wbGljYXRpb25zLypwcmV2ZW50aW9uICZhbXA7IGNv
bnRyb2w8L2tleXdvcmQ+PGtleXdvcmQ+UGF0aWVudCBDb21wbGlhbmNlPC9rZXl3b3JkPjxrZXl3
b3JkPlByZWduYW5jeTwva2V5d29yZD48a2V5d29yZD5QcmVuYXRhbCBDYXJlPC9rZXl3b3JkPjxr
ZXl3b3JkPipQcmltYXJ5IFByZXZlbnRpb248L2tleXdvcmQ+PGtleXdvcmQ+UmlzayBGYWN0b3Jz
PC9rZXl3b3JkPjxrZXl3b3JkPipSaXNrIFJlZHVjdGlvbiBCZWhhdmlvcjwva2V5d29yZD48a2V5
d29yZD5UcmVhdG1lbnQgT3V0Y29tZTwva2V5d29yZD48a2V5d29yZD5Vbml0ZWQgU3RhdGVzL2Vw
aWRlbWlvbG9neTwva2V5d29yZD48a2V5d29yZD5XZWlnaHQgR2Fpbjwva2V5d29yZD48L2tleXdv
cmRzPjxkYXRlcz48eWVhcj4yMDE1PC95ZWFyPjxwdWItZGF0ZXM+PGRhdGU+SmFuPC9kYXRlPjwv
cHViLWRhdGVzPjwvZGF0ZXM+PGlzYm4+MTQ2NC01NDkxIChFbGVjdHJvbmljKSYjeEQ7MDc0Mi0z
MDcxIChMaW5raW5nKTwvaXNibj48YWNjZXNzaW9uLW51bT4yNTMwNjkyNTwvYWNjZXNzaW9uLW51
bT48dXJscz48cmVsYXRlZC11cmxzPjx1cmw+aHR0cHM6Ly93d3cubmNiaS5ubG0ubmloLmdvdi9w
dWJtZWQvMjUzMDY5MjU8L3VybD48L3JlbGF0ZWQtdXJscz48L3VybHM+PGVsZWN0cm9uaWMtcmVz
b3VyY2UtbnVtPjEwLjExMTEvZG1lLjEyNjAxPC9lbGVjdHJvbmljLXJlc291cmNlLW51bT48L3Jl
Y29yZD48L0NpdGU+PC9FbmROb3RlPn==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503</w:t>
            </w:r>
            <w:r>
              <w:fldChar w:fldCharType="end"/>
            </w:r>
          </w:p>
        </w:tc>
      </w:tr>
      <w:tr w:rsidR="008E765F" w:rsidRPr="00822EBF" w14:paraId="341CFD7C" w14:textId="77777777" w:rsidTr="005A5EBF">
        <w:trPr>
          <w:cantSplit/>
        </w:trPr>
        <w:tc>
          <w:tcPr>
            <w:tcW w:w="1560" w:type="dxa"/>
            <w:shd w:val="clear" w:color="D9E2F3" w:themeColor="accent1" w:themeTint="33" w:fill="auto"/>
          </w:tcPr>
          <w:p w14:paraId="01C1CF22" w14:textId="77777777" w:rsidR="008E765F" w:rsidRPr="00822EBF" w:rsidRDefault="008E765F" w:rsidP="003B5251">
            <w:pPr>
              <w:pStyle w:val="RCTstable"/>
              <w:keepNext/>
            </w:pPr>
            <w:r w:rsidRPr="00822EBF">
              <w:t>Random sequence generation</w:t>
            </w:r>
          </w:p>
        </w:tc>
        <w:tc>
          <w:tcPr>
            <w:tcW w:w="1275" w:type="dxa"/>
            <w:shd w:val="clear" w:color="D9E2F3" w:themeColor="accent1" w:themeTint="33" w:fill="FFC000" w:themeFill="accent4"/>
          </w:tcPr>
          <w:p w14:paraId="033400C8" w14:textId="77777777" w:rsidR="008E765F" w:rsidRPr="00822EBF" w:rsidRDefault="008E765F" w:rsidP="003B5251">
            <w:pPr>
              <w:pStyle w:val="RCTstable"/>
              <w:keepNext/>
            </w:pPr>
            <w:r w:rsidRPr="00822EBF">
              <w:t>Unclear risk</w:t>
            </w:r>
          </w:p>
        </w:tc>
        <w:tc>
          <w:tcPr>
            <w:tcW w:w="11199" w:type="dxa"/>
            <w:shd w:val="clear" w:color="D9E2F3" w:themeColor="accent1" w:themeTint="33" w:fill="auto"/>
          </w:tcPr>
          <w:p w14:paraId="7D0E9953" w14:textId="77777777" w:rsidR="008E765F" w:rsidRPr="00822EBF" w:rsidRDefault="008E765F" w:rsidP="003B5251">
            <w:pPr>
              <w:pStyle w:val="RCTstable"/>
              <w:keepNext/>
            </w:pPr>
            <w:r>
              <w:t>“Eligible patients were randomis</w:t>
            </w:r>
            <w:r w:rsidRPr="00822EBF">
              <w:t>ed... by the health educators to either a lifestyle intervention or a standard care group. Randomization was stratified by age (&lt; 30 years, ≥ 30 years) and pre-pregnancy BMI (25-30 kg/m², ≥ 30</w:t>
            </w:r>
            <w:r>
              <w:t xml:space="preserve"> kg/m²with a block size of four</w:t>
            </w:r>
            <w:r w:rsidRPr="00822EBF">
              <w:t>.</w:t>
            </w:r>
            <w:r>
              <w:t>”</w:t>
            </w:r>
          </w:p>
        </w:tc>
      </w:tr>
      <w:tr w:rsidR="008E765F" w:rsidRPr="00822EBF" w14:paraId="1FA53928" w14:textId="77777777" w:rsidTr="005A5EBF">
        <w:trPr>
          <w:cantSplit/>
        </w:trPr>
        <w:tc>
          <w:tcPr>
            <w:tcW w:w="1560" w:type="dxa"/>
            <w:shd w:val="clear" w:color="D9E2F3" w:themeColor="accent1" w:themeTint="33" w:fill="auto"/>
          </w:tcPr>
          <w:p w14:paraId="57354574" w14:textId="77777777" w:rsidR="008E765F" w:rsidRPr="00822EBF" w:rsidRDefault="008E765F" w:rsidP="003B5251">
            <w:pPr>
              <w:pStyle w:val="RCTstable"/>
              <w:keepNext/>
            </w:pPr>
            <w:r w:rsidRPr="00822EBF">
              <w:t xml:space="preserve">Allocation concealment </w:t>
            </w:r>
          </w:p>
        </w:tc>
        <w:tc>
          <w:tcPr>
            <w:tcW w:w="1275" w:type="dxa"/>
            <w:shd w:val="clear" w:color="D9E2F3" w:themeColor="accent1" w:themeTint="33" w:fill="FFC000" w:themeFill="accent4"/>
          </w:tcPr>
          <w:p w14:paraId="31B650F4" w14:textId="77777777" w:rsidR="008E765F" w:rsidRPr="00822EBF" w:rsidRDefault="008E765F" w:rsidP="003B5251">
            <w:pPr>
              <w:pStyle w:val="RCTstable"/>
              <w:keepNext/>
            </w:pPr>
            <w:r w:rsidRPr="00822EBF">
              <w:t>Unclear risk</w:t>
            </w:r>
          </w:p>
        </w:tc>
        <w:tc>
          <w:tcPr>
            <w:tcW w:w="11199" w:type="dxa"/>
            <w:shd w:val="clear" w:color="D9E2F3" w:themeColor="accent1" w:themeTint="33" w:fill="auto"/>
          </w:tcPr>
          <w:p w14:paraId="3A4C6400" w14:textId="77777777" w:rsidR="008E765F" w:rsidRPr="00822EBF" w:rsidRDefault="008E765F" w:rsidP="003B5251">
            <w:pPr>
              <w:pStyle w:val="RCTstable"/>
              <w:keepNext/>
            </w:pPr>
            <w:r w:rsidRPr="00822EBF">
              <w:t>As above; no further information provided.</w:t>
            </w:r>
          </w:p>
        </w:tc>
      </w:tr>
      <w:tr w:rsidR="008E765F" w:rsidRPr="00822EBF" w14:paraId="22DF44F2" w14:textId="77777777" w:rsidTr="005A5EBF">
        <w:trPr>
          <w:cantSplit/>
        </w:trPr>
        <w:tc>
          <w:tcPr>
            <w:tcW w:w="1560" w:type="dxa"/>
            <w:shd w:val="clear" w:color="D9E2F3" w:themeColor="accent1" w:themeTint="33" w:fill="auto"/>
          </w:tcPr>
          <w:p w14:paraId="208E6F40"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134EBB2D"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4E6F676B" w14:textId="77777777" w:rsidR="008E765F" w:rsidRPr="00822EBF" w:rsidRDefault="008E765F" w:rsidP="00611251">
            <w:pPr>
              <w:pStyle w:val="RCTstable"/>
            </w:pPr>
            <w:r w:rsidRPr="00822EBF">
              <w:t>Blinding of women and trial personnel not considered feasible in view of the intervention and control</w:t>
            </w:r>
          </w:p>
        </w:tc>
      </w:tr>
      <w:tr w:rsidR="008E765F" w:rsidRPr="00822EBF" w14:paraId="0B248C1D" w14:textId="77777777" w:rsidTr="005A5EBF">
        <w:trPr>
          <w:cantSplit/>
        </w:trPr>
        <w:tc>
          <w:tcPr>
            <w:tcW w:w="1560" w:type="dxa"/>
            <w:shd w:val="clear" w:color="D9E2F3" w:themeColor="accent1" w:themeTint="33" w:fill="auto"/>
          </w:tcPr>
          <w:p w14:paraId="6A64BFEB"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3623899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C61486F" w14:textId="77777777" w:rsidR="008E765F" w:rsidRPr="00822EBF" w:rsidRDefault="008E765F" w:rsidP="00611251">
            <w:pPr>
              <w:pStyle w:val="RCTstable"/>
            </w:pPr>
            <w:r>
              <w:t>“</w:t>
            </w:r>
            <w:r w:rsidRPr="00822EBF">
              <w:t>Assessments were conducted by telephone, at baseline, mid-pregnancy, and at 6 weeks postpartum by bilingual and bicultural interviewers blinded to the assigned intervention group</w:t>
            </w:r>
            <w:r>
              <w:t>.”</w:t>
            </w:r>
          </w:p>
        </w:tc>
      </w:tr>
      <w:tr w:rsidR="008E765F" w:rsidRPr="00822EBF" w14:paraId="31DD2D8A" w14:textId="77777777" w:rsidTr="005A5EBF">
        <w:trPr>
          <w:cantSplit/>
        </w:trPr>
        <w:tc>
          <w:tcPr>
            <w:tcW w:w="1560" w:type="dxa"/>
            <w:shd w:val="clear" w:color="D9E2F3" w:themeColor="accent1" w:themeTint="33" w:fill="auto"/>
          </w:tcPr>
          <w:p w14:paraId="141FFA72"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29D7ACF3"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212AF55" w14:textId="77777777" w:rsidR="008E765F" w:rsidRPr="00822EBF" w:rsidRDefault="008E765F" w:rsidP="00611251">
            <w:pPr>
              <w:pStyle w:val="RCTstable"/>
            </w:pPr>
            <w:r w:rsidRPr="00822EBF">
              <w:t>Of the 33</w:t>
            </w:r>
            <w:r>
              <w:t xml:space="preserve"> </w:t>
            </w:r>
            <w:r w:rsidRPr="00822EBF">
              <w:t>women randomised to the intervention group, 30 (94%), 32 (97%) and 24 (75%) were available for the mid-pregnancy, clinical outcome and postpartum assessments, respectively. Of the 35 women randomised to the</w:t>
            </w:r>
            <w:r>
              <w:t xml:space="preserve"> </w:t>
            </w:r>
            <w:r w:rsidRPr="00822EBF">
              <w:t>control group, 29 (85%), 34 (97%) and 29 (85%) were available for the mid-pregnancy, clinical outcome and postpartum assessments respectively. The losses at mid</w:t>
            </w:r>
            <w:r>
              <w:t>-</w:t>
            </w:r>
            <w:r w:rsidRPr="00822EBF">
              <w:t>pregnancy and postpartum were associated with women being unable to be contacted via telephone; losses for</w:t>
            </w:r>
            <w:r>
              <w:t xml:space="preserve"> </w:t>
            </w:r>
            <w:r w:rsidRPr="00822EBF">
              <w:t>clinical outcomes were associated with women being delivered</w:t>
            </w:r>
            <w:r>
              <w:t xml:space="preserve"> </w:t>
            </w:r>
            <w:r w:rsidRPr="00822EBF">
              <w:t>off-site</w:t>
            </w:r>
          </w:p>
        </w:tc>
      </w:tr>
      <w:tr w:rsidR="008E765F" w:rsidRPr="00822EBF" w14:paraId="76B74DCF" w14:textId="77777777" w:rsidTr="005A5EBF">
        <w:trPr>
          <w:cantSplit/>
        </w:trPr>
        <w:tc>
          <w:tcPr>
            <w:tcW w:w="1560" w:type="dxa"/>
            <w:shd w:val="clear" w:color="D9E2F3" w:themeColor="accent1" w:themeTint="33" w:fill="auto"/>
          </w:tcPr>
          <w:p w14:paraId="0D28E2EC" w14:textId="77777777" w:rsidR="008E765F" w:rsidRPr="00822EBF" w:rsidRDefault="008E765F" w:rsidP="00611251">
            <w:pPr>
              <w:pStyle w:val="RCTstable"/>
            </w:pPr>
            <w:r w:rsidRPr="00822EBF">
              <w:t>Selective reporting</w:t>
            </w:r>
          </w:p>
        </w:tc>
        <w:tc>
          <w:tcPr>
            <w:tcW w:w="1275" w:type="dxa"/>
            <w:shd w:val="clear" w:color="D9E2F3" w:themeColor="accent1" w:themeTint="33" w:fill="FF4D19"/>
          </w:tcPr>
          <w:p w14:paraId="74963EC3"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42F2C689" w14:textId="77777777" w:rsidR="008E765F" w:rsidRPr="00822EBF" w:rsidRDefault="008E765F" w:rsidP="00611251">
            <w:pPr>
              <w:pStyle w:val="RCTstable"/>
            </w:pPr>
            <w:r w:rsidRPr="00822EBF">
              <w:t>Reporting of GDM is incomplete (only the number of</w:t>
            </w:r>
            <w:r>
              <w:t xml:space="preserve"> </w:t>
            </w:r>
            <w:r w:rsidRPr="00822EBF">
              <w:t>cases across both groups in text) and a very limited number</w:t>
            </w:r>
            <w:r>
              <w:t xml:space="preserve"> </w:t>
            </w:r>
            <w:r w:rsidRPr="00822EBF">
              <w:t>of clinical outcomes are reported</w:t>
            </w:r>
          </w:p>
        </w:tc>
      </w:tr>
      <w:tr w:rsidR="008E765F" w:rsidRPr="00822EBF" w14:paraId="6BFF93ED" w14:textId="77777777" w:rsidTr="005A5EBF">
        <w:trPr>
          <w:cantSplit/>
        </w:trPr>
        <w:tc>
          <w:tcPr>
            <w:tcW w:w="1560" w:type="dxa"/>
            <w:shd w:val="clear" w:color="D9E2F3" w:themeColor="accent1" w:themeTint="33" w:fill="auto"/>
          </w:tcPr>
          <w:p w14:paraId="7130E872"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7C524D2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C65E498" w14:textId="77777777" w:rsidR="008E765F" w:rsidRPr="00822EBF" w:rsidRDefault="008E765F" w:rsidP="00611251">
            <w:pPr>
              <w:pStyle w:val="RCTstable"/>
            </w:pPr>
            <w:r w:rsidRPr="00822EBF">
              <w:t>No obvious sources of other bias identified</w:t>
            </w:r>
          </w:p>
        </w:tc>
      </w:tr>
      <w:tr w:rsidR="008E765F" w:rsidRPr="00994D84" w14:paraId="591F6E10" w14:textId="77777777" w:rsidTr="005A5EBF">
        <w:trPr>
          <w:cantSplit/>
        </w:trPr>
        <w:tc>
          <w:tcPr>
            <w:tcW w:w="14034" w:type="dxa"/>
            <w:gridSpan w:val="3"/>
            <w:shd w:val="solid" w:color="D9E2F3" w:themeColor="accent1" w:themeTint="33" w:fill="auto"/>
          </w:tcPr>
          <w:p w14:paraId="433165E9" w14:textId="6862614C" w:rsidR="008E765F" w:rsidRPr="00994D84" w:rsidRDefault="008E765F" w:rsidP="002747EA">
            <w:pPr>
              <w:pStyle w:val="RCTstable"/>
              <w:keepNext/>
              <w:rPr>
                <w:b/>
              </w:rPr>
            </w:pPr>
            <w:r w:rsidRPr="0025597C">
              <w:rPr>
                <w:rFonts w:ascii="Century Gothic" w:hAnsi="Century Gothic"/>
                <w:b/>
                <w:noProof/>
              </w:rPr>
              <w:t>Hui et al 2012</w:t>
            </w:r>
            <w:r>
              <w:fldChar w:fldCharType="begin">
                <w:fldData xml:space="preserve">PEVuZE5vdGU+PENpdGU+PEF1dGhvcj5IdWk8L0F1dGhvcj48WWVhcj4yMDEyPC9ZZWFyPjxSZWNO
dW0+NzQ2PC9SZWNOdW0+PERpc3BsYXlUZXh0PjxzdHlsZSBmYWNlPSJzdXBlcnNjcmlwdCIgZm9u
dD0iVHJlYnVjaGV0IE1TIiBzaXplPSI5Ij40OTA8L3N0eWxlPjwvRGlzcGxheVRleHQ+PHJlY29y
ZD48cmVjLW51bWJlcj43NDY8L3JlYy1udW1iZXI+PGZvcmVpZ24ta2V5cz48a2V5IGFwcD0iRU4i
IGRiLWlkPSJleHZhc3JmeDJkdHJhb2VzYXN4cDJzenN4YTJkZjUwMjU5MngiIHRpbWVzdGFtcD0i
MTU0MTQ2Nzg5NCI+NzQ2PC9rZXk+PGtleSBhcHA9IkVOV2ViIiBkYi1pZD0iIj4wPC9rZXk+PC9m
b3JlaWduLWtleXM+PHJlZi10eXBlIG5hbWU9IkpvdXJuYWwgQXJ0aWNsZSI+MTc8L3JlZi10eXBl
Pjxjb250cmlidXRvcnM+PGF1dGhvcnM+PGF1dGhvcj5IdWksIEEuPC9hdXRob3I+PGF1dGhvcj5C
YWNrLCBMLjwvYXV0aG9yPjxhdXRob3I+THVkd2lnLCBTLjwvYXV0aG9yPjxhdXRob3I+R2FyZGlu
ZXIsIFAuPC9hdXRob3I+PGF1dGhvcj5TZXZlbmh1eXNlbiwgRy48L2F1dGhvcj48YXV0aG9yPkRl
YW4sIEguPC9hdXRob3I+PGF1dGhvcj5TZWxsZXJzLCBFLjwvYXV0aG9yPjxhdXRob3I+TWNHYXZv
Y2ssIEouPC9hdXRob3I+PGF1dGhvcj5Nb3JyaXMsIE0uPC9hdXRob3I+PGF1dGhvcj5CcnVjZSwg
Uy48L2F1dGhvcj48YXV0aG9yPk11cnJheSwgUi48L2F1dGhvcj48YXV0aG9yPlNoZW4sIEcuIFgu
PC9hdXRob3I+PC9hdXRob3JzPjwvY29udHJpYnV0b3JzPjxhdXRoLWFkZHJlc3M+RGVwYXJ0bWVu
dCBvZiBJbnRlcm5hbCBNZWRpY2luZSwgVW5pdmVyc2l0eSBvZiBNYW5pdG9iYSwgV2lubmlwZWcs
IE1hbml0b2JhLCBDYW5hZGEuPC9hdXRoLWFkZHJlc3M+PHRpdGxlcz48dGl0bGU+TGlmZXN0eWxl
IGludGVydmVudGlvbiBvbiBkaWV0IGFuZCBleGVyY2lzZSByZWR1Y2VkIGV4Y2Vzc2l2ZSBnZXN0
YXRpb25hbCB3ZWlnaHQgZ2FpbiBpbiBwcmVnbmFudCB3b21lbiB1bmRlciBhIHJhbmRvbWlzZWQg
Y29udHJvbGxlZCB0cmlhbDwvdGl0bGU+PHNlY29uZGFyeS10aXRsZT5CSk9HPC9zZWNvbmRhcnkt
dGl0bGU+PC90aXRsZXM+PHBlcmlvZGljYWw+PGZ1bGwtdGl0bGU+QkpPRzwvZnVsbC10aXRsZT48
L3BlcmlvZGljYWw+PHBhZ2VzPjcwLTc8L3BhZ2VzPjx2b2x1bWU+MTE5PC92b2x1bWU+PG51bWJl
cj4xPC9udW1iZXI+PGVkaXRpb24+MjAxMS8xMC8yNTwvZWRpdGlvbj48a2V5d29yZHM+PGtleXdv
cmQ+QWR1bHQ8L2tleXdvcmQ+PGtleXdvcmQ+Q291bnNlbGluZzwva2V5d29yZD48a2V5d29yZD4q
RGlldDwva2V5d29yZD48a2V5d29yZD5FbmVyZ3kgSW50YWtlPC9rZXl3b3JkPjxrZXl3b3JkPkV4
ZXJjaXNlIFRoZXJhcHkvKm1ldGhvZHM8L2tleXdvcmQ+PGtleXdvcmQ+RmVtYWxlPC9rZXl3b3Jk
PjxrZXl3b3JkPkh1bWFuczwva2V5d29yZD48a2V5d29yZD4qTGlmZSBTdHlsZTwva2V5d29yZD48
a2V5d29yZD5QYXRpZW50IEVkdWNhdGlvbiBhcyBUb3BpYzwva2V5d29yZD48a2V5d29yZD5QcmVn
bmFuY3k8L2tleXdvcmQ+PGtleXdvcmQ+UHJlZ25hbmN5IENvbXBsaWNhdGlvbnMvKnByZXZlbnRp
b24gJmFtcDsgY29udHJvbDwva2V5d29yZD48a2V5d29yZD5QcmVnbmFuY3kgT3V0Y29tZTwva2V5
d29yZD48a2V5d29yZD5QcmVuYXRhbCBDYXJlLyptZXRob2RzPC9rZXl3b3JkPjxrZXl3b3JkPlVy
YmFuIEhlYWx0aDwva2V5d29yZD48a2V5d29yZD5XZWlnaHQgR2Fpbi8qcGh5c2lvbG9neTwva2V5
d29yZD48a2V5d29yZD5Zb3VuZyBBZHVsdDwva2V5d29yZD48L2tleXdvcmRzPjxkYXRlcz48eWVh
cj4yMDEyPC95ZWFyPjxwdWItZGF0ZXM+PGRhdGU+SmFuPC9kYXRlPjwvcHViLWRhdGVzPjwvZGF0
ZXM+PGlzYm4+MTQ3MS0wNTI4IChFbGVjdHJvbmljKSYjeEQ7MTQ3MC0wMzI4IChMaW5raW5nKTwv
aXNibj48YWNjZXNzaW9uLW51bT4yMjAxNzk2NzwvYWNjZXNzaW9uLW51bT48dXJscz48cmVsYXRl
ZC11cmxzPjx1cmw+aHR0cHM6Ly93d3cubmNiaS5ubG0ubmloLmdvdi9wdWJtZWQvMjIwMTc5Njc8
L3VybD48L3JlbGF0ZWQtdXJscz48L3VybHM+PGVsZWN0cm9uaWMtcmVzb3VyY2UtbnVtPjEwLjEx
MTEvai4xNDcxLTA1MjguMjAxMS4wMzE4NC54PC9lbGVjdHJvbmljLXJlc291cmNlLW51bT48L3Jl
Y29yZD48L0NpdGU+PC9FbmROb3RlPn==
</w:fldData>
              </w:fldChar>
            </w:r>
            <w:r w:rsidR="002747EA">
              <w:instrText xml:space="preserve"> ADDIN EN.CITE </w:instrText>
            </w:r>
            <w:r w:rsidR="002747EA">
              <w:fldChar w:fldCharType="begin">
                <w:fldData xml:space="preserve">PEVuZE5vdGU+PENpdGU+PEF1dGhvcj5IdWk8L0F1dGhvcj48WWVhcj4yMDEyPC9ZZWFyPjxSZWNO
dW0+NzQ2PC9SZWNOdW0+PERpc3BsYXlUZXh0PjxzdHlsZSBmYWNlPSJzdXBlcnNjcmlwdCIgZm9u
dD0iVHJlYnVjaGV0IE1TIiBzaXplPSI5Ij40OTA8L3N0eWxlPjwvRGlzcGxheVRleHQ+PHJlY29y
ZD48cmVjLW51bWJlcj43NDY8L3JlYy1udW1iZXI+PGZvcmVpZ24ta2V5cz48a2V5IGFwcD0iRU4i
IGRiLWlkPSJleHZhc3JmeDJkdHJhb2VzYXN4cDJzenN4YTJkZjUwMjU5MngiIHRpbWVzdGFtcD0i
MTU0MTQ2Nzg5NCI+NzQ2PC9rZXk+PGtleSBhcHA9IkVOV2ViIiBkYi1pZD0iIj4wPC9rZXk+PC9m
b3JlaWduLWtleXM+PHJlZi10eXBlIG5hbWU9IkpvdXJuYWwgQXJ0aWNsZSI+MTc8L3JlZi10eXBl
Pjxjb250cmlidXRvcnM+PGF1dGhvcnM+PGF1dGhvcj5IdWksIEEuPC9hdXRob3I+PGF1dGhvcj5C
YWNrLCBMLjwvYXV0aG9yPjxhdXRob3I+THVkd2lnLCBTLjwvYXV0aG9yPjxhdXRob3I+R2FyZGlu
ZXIsIFAuPC9hdXRob3I+PGF1dGhvcj5TZXZlbmh1eXNlbiwgRy48L2F1dGhvcj48YXV0aG9yPkRl
YW4sIEguPC9hdXRob3I+PGF1dGhvcj5TZWxsZXJzLCBFLjwvYXV0aG9yPjxhdXRob3I+TWNHYXZv
Y2ssIEouPC9hdXRob3I+PGF1dGhvcj5Nb3JyaXMsIE0uPC9hdXRob3I+PGF1dGhvcj5CcnVjZSwg
Uy48L2F1dGhvcj48YXV0aG9yPk11cnJheSwgUi48L2F1dGhvcj48YXV0aG9yPlNoZW4sIEcuIFgu
PC9hdXRob3I+PC9hdXRob3JzPjwvY29udHJpYnV0b3JzPjxhdXRoLWFkZHJlc3M+RGVwYXJ0bWVu
dCBvZiBJbnRlcm5hbCBNZWRpY2luZSwgVW5pdmVyc2l0eSBvZiBNYW5pdG9iYSwgV2lubmlwZWcs
IE1hbml0b2JhLCBDYW5hZGEuPC9hdXRoLWFkZHJlc3M+PHRpdGxlcz48dGl0bGU+TGlmZXN0eWxl
IGludGVydmVudGlvbiBvbiBkaWV0IGFuZCBleGVyY2lzZSByZWR1Y2VkIGV4Y2Vzc2l2ZSBnZXN0
YXRpb25hbCB3ZWlnaHQgZ2FpbiBpbiBwcmVnbmFudCB3b21lbiB1bmRlciBhIHJhbmRvbWlzZWQg
Y29udHJvbGxlZCB0cmlhbDwvdGl0bGU+PHNlY29uZGFyeS10aXRsZT5CSk9HPC9zZWNvbmRhcnkt
dGl0bGU+PC90aXRsZXM+PHBlcmlvZGljYWw+PGZ1bGwtdGl0bGU+QkpPRzwvZnVsbC10aXRsZT48
L3BlcmlvZGljYWw+PHBhZ2VzPjcwLTc8L3BhZ2VzPjx2b2x1bWU+MTE5PC92b2x1bWU+PG51bWJl
cj4xPC9udW1iZXI+PGVkaXRpb24+MjAxMS8xMC8yNTwvZWRpdGlvbj48a2V5d29yZHM+PGtleXdv
cmQ+QWR1bHQ8L2tleXdvcmQ+PGtleXdvcmQ+Q291bnNlbGluZzwva2V5d29yZD48a2V5d29yZD4q
RGlldDwva2V5d29yZD48a2V5d29yZD5FbmVyZ3kgSW50YWtlPC9rZXl3b3JkPjxrZXl3b3JkPkV4
ZXJjaXNlIFRoZXJhcHkvKm1ldGhvZHM8L2tleXdvcmQ+PGtleXdvcmQ+RmVtYWxlPC9rZXl3b3Jk
PjxrZXl3b3JkPkh1bWFuczwva2V5d29yZD48a2V5d29yZD4qTGlmZSBTdHlsZTwva2V5d29yZD48
a2V5d29yZD5QYXRpZW50IEVkdWNhdGlvbiBhcyBUb3BpYzwva2V5d29yZD48a2V5d29yZD5QcmVn
bmFuY3k8L2tleXdvcmQ+PGtleXdvcmQ+UHJlZ25hbmN5IENvbXBsaWNhdGlvbnMvKnByZXZlbnRp
b24gJmFtcDsgY29udHJvbDwva2V5d29yZD48a2V5d29yZD5QcmVnbmFuY3kgT3V0Y29tZTwva2V5
d29yZD48a2V5d29yZD5QcmVuYXRhbCBDYXJlLyptZXRob2RzPC9rZXl3b3JkPjxrZXl3b3JkPlVy
YmFuIEhlYWx0aDwva2V5d29yZD48a2V5d29yZD5XZWlnaHQgR2Fpbi8qcGh5c2lvbG9neTwva2V5
d29yZD48a2V5d29yZD5Zb3VuZyBBZHVsdDwva2V5d29yZD48L2tleXdvcmRzPjxkYXRlcz48eWVh
cj4yMDEyPC95ZWFyPjxwdWItZGF0ZXM+PGRhdGU+SmFuPC9kYXRlPjwvcHViLWRhdGVzPjwvZGF0
ZXM+PGlzYm4+MTQ3MS0wNTI4IChFbGVjdHJvbmljKSYjeEQ7MTQ3MC0wMzI4IChMaW5raW5nKTwv
aXNibj48YWNjZXNzaW9uLW51bT4yMjAxNzk2NzwvYWNjZXNzaW9uLW51bT48dXJscz48cmVsYXRl
ZC11cmxzPjx1cmw+aHR0cHM6Ly93d3cubmNiaS5ubG0ubmloLmdvdi9wdWJtZWQvMjIwMTc5Njc8
L3VybD48L3JlbGF0ZWQtdXJscz48L3VybHM+PGVsZWN0cm9uaWMtcmVzb3VyY2UtbnVtPjEwLjEx
MTEvai4xNDcxLTA1MjguMjAxMS4wMzE4NC54PC9lbGVjdHJvbmljLXJlc291cmNlLW51bT48L3Jl
Y29yZD48L0NpdGU+PC9FbmROb3RlPn==
</w:fldData>
              </w:fldChar>
            </w:r>
            <w:r w:rsidR="002747EA">
              <w:instrText xml:space="preserve"> ADDIN EN.CITE.DATA </w:instrText>
            </w:r>
            <w:r w:rsidR="002747EA">
              <w:fldChar w:fldCharType="end"/>
            </w:r>
            <w:r>
              <w:fldChar w:fldCharType="separate"/>
            </w:r>
            <w:r w:rsidR="002747EA" w:rsidRPr="002747EA">
              <w:rPr>
                <w:noProof/>
                <w:sz w:val="18"/>
                <w:vertAlign w:val="superscript"/>
              </w:rPr>
              <w:t>490</w:t>
            </w:r>
            <w:r>
              <w:fldChar w:fldCharType="end"/>
            </w:r>
          </w:p>
        </w:tc>
      </w:tr>
      <w:tr w:rsidR="008E765F" w:rsidRPr="00822EBF" w14:paraId="0894D37B" w14:textId="77777777" w:rsidTr="005A5EBF">
        <w:trPr>
          <w:cantSplit/>
        </w:trPr>
        <w:tc>
          <w:tcPr>
            <w:tcW w:w="1560" w:type="dxa"/>
            <w:shd w:val="clear" w:color="D9E2F3" w:themeColor="accent1" w:themeTint="33" w:fill="auto"/>
          </w:tcPr>
          <w:p w14:paraId="25CE5486"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778D640E"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064462F4" w14:textId="77777777" w:rsidR="008E765F" w:rsidRPr="00822EBF" w:rsidRDefault="008E765F" w:rsidP="006045AE">
            <w:pPr>
              <w:pStyle w:val="RCTstable"/>
              <w:keepNext/>
            </w:pPr>
            <w:r>
              <w:t>“</w:t>
            </w:r>
            <w:r w:rsidRPr="00822EBF">
              <w:t>Randomisation was performed using a computer-generated</w:t>
            </w:r>
            <w:r>
              <w:t xml:space="preserve"> </w:t>
            </w:r>
            <w:r w:rsidRPr="00822EBF">
              <w:t>randomisation allocation table by a staff member without involvement in the study design</w:t>
            </w:r>
            <w:r>
              <w:t>.”</w:t>
            </w:r>
          </w:p>
        </w:tc>
      </w:tr>
      <w:tr w:rsidR="008E765F" w:rsidRPr="00822EBF" w14:paraId="7CC440CA" w14:textId="77777777" w:rsidTr="005A5EBF">
        <w:trPr>
          <w:cantSplit/>
        </w:trPr>
        <w:tc>
          <w:tcPr>
            <w:tcW w:w="1560" w:type="dxa"/>
            <w:shd w:val="clear" w:color="D9E2F3" w:themeColor="accent1" w:themeTint="33" w:fill="auto"/>
          </w:tcPr>
          <w:p w14:paraId="5081C8EF"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1E065BF5"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5028564" w14:textId="77777777" w:rsidR="008E765F" w:rsidRPr="00822EBF" w:rsidRDefault="008E765F" w:rsidP="00611251">
            <w:pPr>
              <w:pStyle w:val="RCTstable"/>
            </w:pPr>
            <w:r>
              <w:t>“</w:t>
            </w:r>
            <w:r w:rsidRPr="00822EBF">
              <w:t>After randomisation, participants received a sealed envelope labelled with the assigned randomisation number, which contained instructions for participants</w:t>
            </w:r>
            <w:r>
              <w:t>.”</w:t>
            </w:r>
          </w:p>
        </w:tc>
      </w:tr>
      <w:tr w:rsidR="008E765F" w:rsidRPr="00822EBF" w14:paraId="378D0818" w14:textId="77777777" w:rsidTr="005A5EBF">
        <w:trPr>
          <w:cantSplit/>
        </w:trPr>
        <w:tc>
          <w:tcPr>
            <w:tcW w:w="1560" w:type="dxa"/>
            <w:shd w:val="clear" w:color="D9E2F3" w:themeColor="accent1" w:themeTint="33" w:fill="auto"/>
          </w:tcPr>
          <w:p w14:paraId="0FF68224"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7EEB632F"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2749068D" w14:textId="77777777" w:rsidR="008E765F" w:rsidRPr="00822EBF" w:rsidRDefault="008E765F" w:rsidP="00611251">
            <w:pPr>
              <w:pStyle w:val="RCTstable"/>
            </w:pPr>
            <w:r w:rsidRPr="00822EBF">
              <w:t>The nature of the study meant that participants and study staff were not blinded to the types of interventions</w:t>
            </w:r>
          </w:p>
        </w:tc>
      </w:tr>
      <w:tr w:rsidR="008E765F" w:rsidRPr="00822EBF" w14:paraId="0BA61A68" w14:textId="77777777" w:rsidTr="005A5EBF">
        <w:trPr>
          <w:cantSplit/>
        </w:trPr>
        <w:tc>
          <w:tcPr>
            <w:tcW w:w="1560" w:type="dxa"/>
            <w:shd w:val="clear" w:color="D9E2F3" w:themeColor="accent1" w:themeTint="33" w:fill="auto"/>
          </w:tcPr>
          <w:p w14:paraId="387C5563"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14E49A8C"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109AFB3" w14:textId="77777777" w:rsidR="008E765F" w:rsidRPr="00822EBF" w:rsidRDefault="008E765F" w:rsidP="00611251">
            <w:pPr>
              <w:pStyle w:val="RCTstable"/>
            </w:pPr>
            <w:r w:rsidRPr="00822EBF">
              <w:t>Not described</w:t>
            </w:r>
          </w:p>
        </w:tc>
      </w:tr>
      <w:tr w:rsidR="008E765F" w:rsidRPr="00822EBF" w14:paraId="4F5F0050" w14:textId="77777777" w:rsidTr="005A5EBF">
        <w:trPr>
          <w:cantSplit/>
        </w:trPr>
        <w:tc>
          <w:tcPr>
            <w:tcW w:w="1560" w:type="dxa"/>
            <w:shd w:val="clear" w:color="D9E2F3" w:themeColor="accent1" w:themeTint="33" w:fill="auto"/>
          </w:tcPr>
          <w:p w14:paraId="7E4FB9FB" w14:textId="77777777" w:rsidR="008E765F" w:rsidRPr="00822EBF" w:rsidRDefault="008E765F" w:rsidP="00611251">
            <w:pPr>
              <w:pStyle w:val="RCTstable"/>
            </w:pPr>
            <w:r w:rsidRPr="00822EBF">
              <w:t>Incomplete outcome data</w:t>
            </w:r>
          </w:p>
        </w:tc>
        <w:tc>
          <w:tcPr>
            <w:tcW w:w="1275" w:type="dxa"/>
            <w:shd w:val="clear" w:color="D9E2F3" w:themeColor="accent1" w:themeTint="33" w:fill="FFC000" w:themeFill="accent4"/>
          </w:tcPr>
          <w:p w14:paraId="539EC6D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D3F45A2" w14:textId="77777777" w:rsidR="008E765F" w:rsidRPr="00822EBF" w:rsidRDefault="008E765F" w:rsidP="00611251">
            <w:pPr>
              <w:pStyle w:val="RCTstable"/>
            </w:pPr>
            <w:r w:rsidRPr="00822EBF">
              <w:t>Suggestion of differential attrition</w:t>
            </w:r>
            <w:r>
              <w:t>; 91% of intervention group and 79% of control group included in analysis. Reasons given.</w:t>
            </w:r>
          </w:p>
        </w:tc>
      </w:tr>
      <w:tr w:rsidR="008E765F" w:rsidRPr="00822EBF" w14:paraId="509FAF08" w14:textId="77777777" w:rsidTr="005A5EBF">
        <w:trPr>
          <w:cantSplit/>
        </w:trPr>
        <w:tc>
          <w:tcPr>
            <w:tcW w:w="1560" w:type="dxa"/>
            <w:shd w:val="clear" w:color="D9E2F3" w:themeColor="accent1" w:themeTint="33" w:fill="auto"/>
          </w:tcPr>
          <w:p w14:paraId="0A9BDA34"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180EA7E7"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54C0670" w14:textId="77777777" w:rsidR="008E765F" w:rsidRPr="00822EBF" w:rsidRDefault="008E765F" w:rsidP="00611251">
            <w:pPr>
              <w:pStyle w:val="RCTstable"/>
            </w:pPr>
            <w:r w:rsidRPr="00822EBF">
              <w:t>With no access to a trial protocol, it was not possible to confidently assess selective reporting</w:t>
            </w:r>
          </w:p>
        </w:tc>
      </w:tr>
      <w:tr w:rsidR="008E765F" w:rsidRPr="00822EBF" w14:paraId="293BCFF9" w14:textId="77777777" w:rsidTr="005A5EBF">
        <w:trPr>
          <w:cantSplit/>
        </w:trPr>
        <w:tc>
          <w:tcPr>
            <w:tcW w:w="1560" w:type="dxa"/>
            <w:shd w:val="clear" w:color="D9E2F3" w:themeColor="accent1" w:themeTint="33" w:fill="auto"/>
          </w:tcPr>
          <w:p w14:paraId="190AB687"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4B090CBE"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53ABB9A" w14:textId="77777777" w:rsidR="008E765F" w:rsidRPr="00822EBF" w:rsidRDefault="008E765F" w:rsidP="00611251">
            <w:pPr>
              <w:pStyle w:val="RCTstable"/>
            </w:pPr>
            <w:r w:rsidRPr="00822EBF">
              <w:t>No obvious sources of other bias identified</w:t>
            </w:r>
          </w:p>
        </w:tc>
      </w:tr>
      <w:tr w:rsidR="008E765F" w:rsidRPr="00994D84" w14:paraId="65C39063" w14:textId="77777777" w:rsidTr="005A5EBF">
        <w:trPr>
          <w:cantSplit/>
        </w:trPr>
        <w:tc>
          <w:tcPr>
            <w:tcW w:w="14034" w:type="dxa"/>
            <w:gridSpan w:val="3"/>
            <w:shd w:val="solid" w:color="D9E2F3" w:themeColor="accent1" w:themeTint="33" w:fill="auto"/>
          </w:tcPr>
          <w:p w14:paraId="76A652CE" w14:textId="46EB9053" w:rsidR="008E765F" w:rsidRPr="00994D84" w:rsidRDefault="008E765F" w:rsidP="002747EA">
            <w:pPr>
              <w:pStyle w:val="RCTstable"/>
              <w:keepNext/>
              <w:rPr>
                <w:b/>
              </w:rPr>
            </w:pPr>
            <w:r w:rsidRPr="0025597C">
              <w:rPr>
                <w:rFonts w:ascii="Century Gothic" w:hAnsi="Century Gothic"/>
                <w:b/>
                <w:noProof/>
              </w:rPr>
              <w:t>Hui et al 2014</w:t>
            </w:r>
            <w:r>
              <w:fldChar w:fldCharType="begin">
                <w:fldData xml:space="preserve">PEVuZE5vdGU+PENpdGU+PEF1dGhvcj5IdWk8L0F1dGhvcj48WWVhcj4yMDE0PC9ZZWFyPjxSZWNO
dW0+NzYzPC9SZWNOdW0+PERpc3BsYXlUZXh0PjxzdHlsZSBmYWNlPSJzdXBlcnNjcmlwdCIgZm9u
dD0iVHJlYnVjaGV0IE1TIiBzaXplPSI5Ij40OTE8L3N0eWxlPjwvRGlzcGxheVRleHQ+PHJlY29y
ZD48cmVjLW51bWJlcj43NjM8L3JlYy1udW1iZXI+PGZvcmVpZ24ta2V5cz48a2V5IGFwcD0iRU4i
IGRiLWlkPSJleHZhc3JmeDJkdHJhb2VzYXN4cDJzenN4YTJkZjUwMjU5MngiIHRpbWVzdGFtcD0i
MTU0MTQ2ODQ0NiI+NzYzPC9rZXk+PC9mb3JlaWduLWtleXM+PHJlZi10eXBlIG5hbWU9IkpvdXJu
YWwgQXJ0aWNsZSI+MTc8L3JlZi10eXBlPjxjb250cmlidXRvcnM+PGF1dGhvcnM+PGF1dGhvcj5I
dWksIEEuIEwuPC9hdXRob3I+PGF1dGhvcj5CYWNrLCBMLjwvYXV0aG9yPjxhdXRob3I+THVkd2ln
LCBTLjwvYXV0aG9yPjxhdXRob3I+R2FyZGluZXIsIFAuPC9hdXRob3I+PGF1dGhvcj5TZXZlbmh1
eXNlbiwgRy48L2F1dGhvcj48YXV0aG9yPkRlYW4sIEguIEouPC9hdXRob3I+PGF1dGhvcj5TZWxs
ZXJzLCBFLjwvYXV0aG9yPjxhdXRob3I+TWNHYXZvY2ssIEouPC9hdXRob3I+PGF1dGhvcj5Nb3Jy
aXMsIE0uPC9hdXRob3I+PGF1dGhvcj5KaWFuZywgRC48L2F1dGhvcj48YXV0aG9yPlNoZW4sIEcu
IFguPC9hdXRob3I+PC9hdXRob3JzPjwvY29udHJpYnV0b3JzPjxhdXRoLWFkZHJlc3M+RGVwYXJ0
bWVudHMgb2YgSW50ZXJuYWwgTWVkaWNpbmUsIFVuaXZlcnNpdHkgb2YgTWFuaXRvYmEsIFJvb20g
ODAxRCwgNzE1IE1jRGVybW90IEF2ZSwsIFdpbm5pcGVnLCBNQiBSM0UgM1A0LCBDYW5hZGEuIEFt
eS5IdWlAbWVkLnVtYW5pdG9iYS5jYS48L2F1dGgtYWRkcmVzcz48dGl0bGVzPjx0aXRsZT5FZmZl
Y3RzIG9mIGxpZmVzdHlsZSBpbnRlcnZlbnRpb24gb24gZGlldGFyeSBpbnRha2UsIHBoeXNpY2Fs
IGFjdGl2aXR5IGxldmVsLCBhbmQgZ2VzdGF0aW9uYWwgd2VpZ2h0IGdhaW4gaW4gcHJlZ25hbnQg
d29tZW4gd2l0aCBkaWZmZXJlbnQgcHJlLXByZWduYW5jeSBCb2R5IE1hc3MgSW5kZXggaW4gYSBy
YW5kb21pemVkIGNvbnRyb2wgdHJpYWw8L3RpdGxlPjxzZWNvbmRhcnktdGl0bGU+Qk1DIFByZWdu
YW5jeSBDaGlsZGJpcnRoPC9zZWNvbmRhcnktdGl0bGU+PC90aXRsZXM+PHBlcmlvZGljYWw+PGZ1
bGwtdGl0bGU+Qk1DIFByZWduYW5jeSBDaGlsZGJpcnRoPC9mdWxsLXRpdGxlPjwvcGVyaW9kaWNh
bD48cGFnZXM+MzMxPC9wYWdlcz48dm9sdW1lPjE0PC92b2x1bWU+PGVkaXRpb24+MjAxNC8wOS8y
NTwvZWRpdGlvbj48a2V5d29yZHM+PGtleXdvcmQ+QWR1bHQ8L2tleXdvcmQ+PGtleXdvcmQ+KkJv
ZHkgTWFzcyBJbmRleDwva2V5d29yZD48a2V5d29yZD5Db3Vuc2VsaW5nPC9rZXl3b3JkPjxrZXl3
b3JkPipEaWV0PC9rZXl3b3JkPjxrZXl3b3JkPkVuZXJneSBJbnRha2U8L2tleXdvcmQ+PGtleXdv
cmQ+RXhlcmNpc2UgVGhlcmFweS8qbWV0aG9kczwva2V5d29yZD48a2V5d29yZD5GZW1hbGU8L2tl
eXdvcmQ+PGtleXdvcmQ+Rm9sbG93LVVwIFN0dWRpZXM8L2tleXdvcmQ+PGtleXdvcmQ+R2VzdGF0
aW9uYWwgQWdlPC9rZXl3b3JkPjxrZXl3b3JkPkh1bWFuczwva2V5d29yZD48a2V5d29yZD4qTGlm
ZSBTdHlsZTwva2V5d29yZD48a2V5d29yZD5PYmVzaXR5L3ByZXZlbnRpb24gJmFtcDsgY29udHJv
bC8qdGhlcmFweTwva2V5d29yZD48a2V5d29yZD5QYXRpZW50IENvbXBsaWFuY2Uvc3RhdGlzdGlj
cyAmYW1wOyBudW1lcmljYWwgZGF0YTwva2V5d29yZD48a2V5d29yZD5QYXRpZW50IEVkdWNhdGlv
biBhcyBUb3BpYzwva2V5d29yZD48a2V5d29yZD5QcmVnbmFuY3k8L2tleXdvcmQ+PGtleXdvcmQ+
UHJlZ25hbmN5IE91dGNvbWU8L2tleXdvcmQ+PGtleXdvcmQ+UHJlbmF0YWwgQ2FyZS9tZXRob2Rz
PC9rZXl3b3JkPjxrZXl3b3JkPipXZWlnaHQgR2Fpbjwva2V5d29yZD48a2V5d29yZD5Zb3VuZyBB
ZHVsdDwva2V5d29yZD48L2tleXdvcmRzPjxkYXRlcz48eWVhcj4yMDE0PC95ZWFyPjxwdWItZGF0
ZXM+PGRhdGU+U2VwIDI0PC9kYXRlPjwvcHViLWRhdGVzPjwvZGF0ZXM+PGlzYm4+MTQ3MS0yMzkz
IChFbGVjdHJvbmljKSYjeEQ7MTQ3MS0yMzkzIChMaW5raW5nKTwvaXNibj48YWNjZXNzaW9uLW51
bT4yNTI0ODc5NzwvYWNjZXNzaW9uLW51bT48dXJscz48cmVsYXRlZC11cmxzPjx1cmw+aHR0cHM6
Ly93d3cubmNiaS5ubG0ubmloLmdvdi9wdWJtZWQvMjUyNDg3OTc8L3VybD48L3JlbGF0ZWQtdXJs
cz48L3VybHM+PGN1c3RvbTI+UE1DNDI4NzQ3MDwvY3VzdG9tMj48ZWxlY3Ryb25pYy1yZXNvdXJj
ZS1udW0+MTAuMTE4Ni8xNDcxLTIzOTMtMTQtMzMxPC9lbGVjdHJvbmljLXJlc291cmNlLW51bT48
L3JlY29yZD48L0NpdGU+PC9FbmROb3RlPgB=
</w:fldData>
              </w:fldChar>
            </w:r>
            <w:r w:rsidR="002747EA">
              <w:instrText xml:space="preserve"> ADDIN EN.CITE </w:instrText>
            </w:r>
            <w:r w:rsidR="002747EA">
              <w:fldChar w:fldCharType="begin">
                <w:fldData xml:space="preserve">PEVuZE5vdGU+PENpdGU+PEF1dGhvcj5IdWk8L0F1dGhvcj48WWVhcj4yMDE0PC9ZZWFyPjxSZWNO
dW0+NzYzPC9SZWNOdW0+PERpc3BsYXlUZXh0PjxzdHlsZSBmYWNlPSJzdXBlcnNjcmlwdCIgZm9u
dD0iVHJlYnVjaGV0IE1TIiBzaXplPSI5Ij40OTE8L3N0eWxlPjwvRGlzcGxheVRleHQ+PHJlY29y
ZD48cmVjLW51bWJlcj43NjM8L3JlYy1udW1iZXI+PGZvcmVpZ24ta2V5cz48a2V5IGFwcD0iRU4i
IGRiLWlkPSJleHZhc3JmeDJkdHJhb2VzYXN4cDJzenN4YTJkZjUwMjU5MngiIHRpbWVzdGFtcD0i
MTU0MTQ2ODQ0NiI+NzYzPC9rZXk+PC9mb3JlaWduLWtleXM+PHJlZi10eXBlIG5hbWU9IkpvdXJu
YWwgQXJ0aWNsZSI+MTc8L3JlZi10eXBlPjxjb250cmlidXRvcnM+PGF1dGhvcnM+PGF1dGhvcj5I
dWksIEEuIEwuPC9hdXRob3I+PGF1dGhvcj5CYWNrLCBMLjwvYXV0aG9yPjxhdXRob3I+THVkd2ln
LCBTLjwvYXV0aG9yPjxhdXRob3I+R2FyZGluZXIsIFAuPC9hdXRob3I+PGF1dGhvcj5TZXZlbmh1
eXNlbiwgRy48L2F1dGhvcj48YXV0aG9yPkRlYW4sIEguIEouPC9hdXRob3I+PGF1dGhvcj5TZWxs
ZXJzLCBFLjwvYXV0aG9yPjxhdXRob3I+TWNHYXZvY2ssIEouPC9hdXRob3I+PGF1dGhvcj5Nb3Jy
aXMsIE0uPC9hdXRob3I+PGF1dGhvcj5KaWFuZywgRC48L2F1dGhvcj48YXV0aG9yPlNoZW4sIEcu
IFguPC9hdXRob3I+PC9hdXRob3JzPjwvY29udHJpYnV0b3JzPjxhdXRoLWFkZHJlc3M+RGVwYXJ0
bWVudHMgb2YgSW50ZXJuYWwgTWVkaWNpbmUsIFVuaXZlcnNpdHkgb2YgTWFuaXRvYmEsIFJvb20g
ODAxRCwgNzE1IE1jRGVybW90IEF2ZSwsIFdpbm5pcGVnLCBNQiBSM0UgM1A0LCBDYW5hZGEuIEFt
eS5IdWlAbWVkLnVtYW5pdG9iYS5jYS48L2F1dGgtYWRkcmVzcz48dGl0bGVzPjx0aXRsZT5FZmZl
Y3RzIG9mIGxpZmVzdHlsZSBpbnRlcnZlbnRpb24gb24gZGlldGFyeSBpbnRha2UsIHBoeXNpY2Fs
IGFjdGl2aXR5IGxldmVsLCBhbmQgZ2VzdGF0aW9uYWwgd2VpZ2h0IGdhaW4gaW4gcHJlZ25hbnQg
d29tZW4gd2l0aCBkaWZmZXJlbnQgcHJlLXByZWduYW5jeSBCb2R5IE1hc3MgSW5kZXggaW4gYSBy
YW5kb21pemVkIGNvbnRyb2wgdHJpYWw8L3RpdGxlPjxzZWNvbmRhcnktdGl0bGU+Qk1DIFByZWdu
YW5jeSBDaGlsZGJpcnRoPC9zZWNvbmRhcnktdGl0bGU+PC90aXRsZXM+PHBlcmlvZGljYWw+PGZ1
bGwtdGl0bGU+Qk1DIFByZWduYW5jeSBDaGlsZGJpcnRoPC9mdWxsLXRpdGxlPjwvcGVyaW9kaWNh
bD48cGFnZXM+MzMxPC9wYWdlcz48dm9sdW1lPjE0PC92b2x1bWU+PGVkaXRpb24+MjAxNC8wOS8y
NTwvZWRpdGlvbj48a2V5d29yZHM+PGtleXdvcmQ+QWR1bHQ8L2tleXdvcmQ+PGtleXdvcmQ+KkJv
ZHkgTWFzcyBJbmRleDwva2V5d29yZD48a2V5d29yZD5Db3Vuc2VsaW5nPC9rZXl3b3JkPjxrZXl3
b3JkPipEaWV0PC9rZXl3b3JkPjxrZXl3b3JkPkVuZXJneSBJbnRha2U8L2tleXdvcmQ+PGtleXdv
cmQ+RXhlcmNpc2UgVGhlcmFweS8qbWV0aG9kczwva2V5d29yZD48a2V5d29yZD5GZW1hbGU8L2tl
eXdvcmQ+PGtleXdvcmQ+Rm9sbG93LVVwIFN0dWRpZXM8L2tleXdvcmQ+PGtleXdvcmQ+R2VzdGF0
aW9uYWwgQWdlPC9rZXl3b3JkPjxrZXl3b3JkPkh1bWFuczwva2V5d29yZD48a2V5d29yZD4qTGlm
ZSBTdHlsZTwva2V5d29yZD48a2V5d29yZD5PYmVzaXR5L3ByZXZlbnRpb24gJmFtcDsgY29udHJv
bC8qdGhlcmFweTwva2V5d29yZD48a2V5d29yZD5QYXRpZW50IENvbXBsaWFuY2Uvc3RhdGlzdGlj
cyAmYW1wOyBudW1lcmljYWwgZGF0YTwva2V5d29yZD48a2V5d29yZD5QYXRpZW50IEVkdWNhdGlv
biBhcyBUb3BpYzwva2V5d29yZD48a2V5d29yZD5QcmVnbmFuY3k8L2tleXdvcmQ+PGtleXdvcmQ+
UHJlZ25hbmN5IE91dGNvbWU8L2tleXdvcmQ+PGtleXdvcmQ+UHJlbmF0YWwgQ2FyZS9tZXRob2Rz
PC9rZXl3b3JkPjxrZXl3b3JkPipXZWlnaHQgR2Fpbjwva2V5d29yZD48a2V5d29yZD5Zb3VuZyBB
ZHVsdDwva2V5d29yZD48L2tleXdvcmRzPjxkYXRlcz48eWVhcj4yMDE0PC95ZWFyPjxwdWItZGF0
ZXM+PGRhdGU+U2VwIDI0PC9kYXRlPjwvcHViLWRhdGVzPjwvZGF0ZXM+PGlzYm4+MTQ3MS0yMzkz
IChFbGVjdHJvbmljKSYjeEQ7MTQ3MS0yMzkzIChMaW5raW5nKTwvaXNibj48YWNjZXNzaW9uLW51
bT4yNTI0ODc5NzwvYWNjZXNzaW9uLW51bT48dXJscz48cmVsYXRlZC11cmxzPjx1cmw+aHR0cHM6
Ly93d3cubmNiaS5ubG0ubmloLmdvdi9wdWJtZWQvMjUyNDg3OTc8L3VybD48L3JlbGF0ZWQtdXJs
cz48L3VybHM+PGN1c3RvbTI+UE1DNDI4NzQ3MDwvY3VzdG9tMj48ZWxlY3Ryb25pYy1yZXNvdXJj
ZS1udW0+MTAuMTE4Ni8xNDcxLTIzOTMtMTQtMzMxPC9lbGVjdHJvbmljLXJlc291cmNlLW51bT48
L3JlY29yZD48L0NpdGU+PC9FbmROb3RlPgB=
</w:fldData>
              </w:fldChar>
            </w:r>
            <w:r w:rsidR="002747EA">
              <w:instrText xml:space="preserve"> ADDIN EN.CITE.DATA </w:instrText>
            </w:r>
            <w:r w:rsidR="002747EA">
              <w:fldChar w:fldCharType="end"/>
            </w:r>
            <w:r>
              <w:fldChar w:fldCharType="separate"/>
            </w:r>
            <w:r w:rsidR="002747EA" w:rsidRPr="002747EA">
              <w:rPr>
                <w:noProof/>
                <w:sz w:val="18"/>
                <w:vertAlign w:val="superscript"/>
              </w:rPr>
              <w:t>491</w:t>
            </w:r>
            <w:r>
              <w:fldChar w:fldCharType="end"/>
            </w:r>
          </w:p>
        </w:tc>
      </w:tr>
      <w:tr w:rsidR="008E765F" w:rsidRPr="00822EBF" w14:paraId="06382DDF" w14:textId="77777777" w:rsidTr="005A5EBF">
        <w:trPr>
          <w:cantSplit/>
        </w:trPr>
        <w:tc>
          <w:tcPr>
            <w:tcW w:w="1560" w:type="dxa"/>
            <w:shd w:val="clear" w:color="D9E2F3" w:themeColor="accent1" w:themeTint="33" w:fill="auto"/>
          </w:tcPr>
          <w:p w14:paraId="1A870101"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483E5170"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19C719DF" w14:textId="77777777" w:rsidR="008E765F" w:rsidRPr="00822EBF" w:rsidRDefault="008E765F" w:rsidP="00611251">
            <w:pPr>
              <w:pStyle w:val="RCTstable"/>
              <w:keepNext/>
            </w:pPr>
            <w:r>
              <w:t>“Randomis</w:t>
            </w:r>
            <w:r w:rsidRPr="00822EBF">
              <w:t>ation was performed using a computer-generated</w:t>
            </w:r>
            <w:r>
              <w:t xml:space="preserve"> </w:t>
            </w:r>
            <w:r w:rsidRPr="00822EBF">
              <w:t>randomization allocation table by a staff</w:t>
            </w:r>
            <w:r>
              <w:t xml:space="preserve"> </w:t>
            </w:r>
            <w:r w:rsidRPr="00822EBF">
              <w:t>member without involvement in the study design</w:t>
            </w:r>
            <w:r>
              <w:t>.”</w:t>
            </w:r>
          </w:p>
        </w:tc>
      </w:tr>
      <w:tr w:rsidR="008E765F" w:rsidRPr="00822EBF" w14:paraId="45EE8A13" w14:textId="77777777" w:rsidTr="005A5EBF">
        <w:trPr>
          <w:cantSplit/>
        </w:trPr>
        <w:tc>
          <w:tcPr>
            <w:tcW w:w="1560" w:type="dxa"/>
            <w:shd w:val="clear" w:color="D9E2F3" w:themeColor="accent1" w:themeTint="33" w:fill="auto"/>
          </w:tcPr>
          <w:p w14:paraId="34447DC8"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429A3D38"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22B65D6" w14:textId="77777777" w:rsidR="008E765F" w:rsidRPr="00822EBF" w:rsidRDefault="008E765F" w:rsidP="00611251">
            <w:pPr>
              <w:pStyle w:val="RCTstable"/>
            </w:pPr>
            <w:r>
              <w:t>“</w:t>
            </w:r>
            <w:r w:rsidRPr="00822EBF">
              <w:t>After randomisation participants received a sealed envelope labelled with the assigned randomisation number, which contained instructions for participants</w:t>
            </w:r>
            <w:r>
              <w:t>.”</w:t>
            </w:r>
          </w:p>
        </w:tc>
      </w:tr>
      <w:tr w:rsidR="008E765F" w:rsidRPr="00822EBF" w14:paraId="29180AF2" w14:textId="77777777" w:rsidTr="005A5EBF">
        <w:trPr>
          <w:cantSplit/>
        </w:trPr>
        <w:tc>
          <w:tcPr>
            <w:tcW w:w="1560" w:type="dxa"/>
            <w:shd w:val="clear" w:color="D9E2F3" w:themeColor="accent1" w:themeTint="33" w:fill="auto"/>
          </w:tcPr>
          <w:p w14:paraId="6B33D1BE"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3E0253DE"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7A585093" w14:textId="77777777" w:rsidR="008E765F" w:rsidRPr="00822EBF" w:rsidRDefault="008E765F" w:rsidP="00611251">
            <w:pPr>
              <w:pStyle w:val="RCTstable"/>
            </w:pPr>
            <w:r>
              <w:t>Authors reported that “</w:t>
            </w:r>
            <w:r w:rsidRPr="00822EBF">
              <w:t>the nature of the study meant that participants and study staff were not blinde</w:t>
            </w:r>
            <w:r>
              <w:t>d to the types of interventions”</w:t>
            </w:r>
            <w:r w:rsidRPr="00822EBF">
              <w:t>.</w:t>
            </w:r>
          </w:p>
        </w:tc>
      </w:tr>
      <w:tr w:rsidR="008E765F" w:rsidRPr="00822EBF" w14:paraId="4DC96449" w14:textId="77777777" w:rsidTr="005A5EBF">
        <w:trPr>
          <w:cantSplit/>
        </w:trPr>
        <w:tc>
          <w:tcPr>
            <w:tcW w:w="1560" w:type="dxa"/>
            <w:shd w:val="clear" w:color="D9E2F3" w:themeColor="accent1" w:themeTint="33" w:fill="auto"/>
          </w:tcPr>
          <w:p w14:paraId="1A689CFD"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3A5B5CCB"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E03AB24" w14:textId="77777777" w:rsidR="008E765F" w:rsidRPr="00822EBF" w:rsidRDefault="008E765F" w:rsidP="00611251">
            <w:pPr>
              <w:pStyle w:val="RCTstable"/>
            </w:pPr>
            <w:r>
              <w:t>“</w:t>
            </w:r>
            <w:r w:rsidRPr="00822EBF">
              <w:t>Data on delivery route,</w:t>
            </w:r>
            <w:r>
              <w:t xml:space="preserve"> </w:t>
            </w:r>
            <w:r w:rsidRPr="00822EBF">
              <w:t>maternal</w:t>
            </w:r>
            <w:r>
              <w:t xml:space="preserve"> </w:t>
            </w:r>
            <w:r w:rsidRPr="00822EBF">
              <w:t>weight at delivery room, birth weight and birth weight-related obstetric procedures (induction, forceps or caesarean section) were collected from hospital medical charts by student assistants wi</w:t>
            </w:r>
            <w:r>
              <w:t>thout knowledge in study design</w:t>
            </w:r>
            <w:r w:rsidRPr="00822EBF">
              <w:t>.</w:t>
            </w:r>
            <w:r>
              <w:t>”</w:t>
            </w:r>
            <w:r w:rsidRPr="00822EBF">
              <w:t xml:space="preserve"> </w:t>
            </w:r>
          </w:p>
        </w:tc>
      </w:tr>
      <w:tr w:rsidR="008E765F" w:rsidRPr="00822EBF" w14:paraId="14CB0AEC" w14:textId="77777777" w:rsidTr="005A5EBF">
        <w:trPr>
          <w:cantSplit/>
        </w:trPr>
        <w:tc>
          <w:tcPr>
            <w:tcW w:w="1560" w:type="dxa"/>
            <w:shd w:val="clear" w:color="D9E2F3" w:themeColor="accent1" w:themeTint="33" w:fill="auto"/>
          </w:tcPr>
          <w:p w14:paraId="4219270D"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59FBF217"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1834A6D" w14:textId="77777777" w:rsidR="008E765F" w:rsidRPr="00822EBF" w:rsidRDefault="008E765F" w:rsidP="00611251">
            <w:pPr>
              <w:pStyle w:val="RCTstable"/>
            </w:pPr>
            <w:r>
              <w:t>“</w:t>
            </w:r>
            <w:r w:rsidRPr="00822EBF">
              <w:t>None of the participants discon</w:t>
            </w:r>
            <w:r>
              <w:t>tinued during the participation”</w:t>
            </w:r>
            <w:r w:rsidRPr="00822EBF">
              <w:t>. No losses or exclusions.</w:t>
            </w:r>
          </w:p>
        </w:tc>
      </w:tr>
      <w:tr w:rsidR="008E765F" w:rsidRPr="00822EBF" w14:paraId="73786A08" w14:textId="77777777" w:rsidTr="005A5EBF">
        <w:trPr>
          <w:cantSplit/>
        </w:trPr>
        <w:tc>
          <w:tcPr>
            <w:tcW w:w="1560" w:type="dxa"/>
            <w:shd w:val="clear" w:color="D9E2F3" w:themeColor="accent1" w:themeTint="33" w:fill="auto"/>
          </w:tcPr>
          <w:p w14:paraId="4C6EB29C"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4DC6F153"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6424D125" w14:textId="77777777" w:rsidR="008E765F" w:rsidRPr="00822EBF" w:rsidRDefault="008E765F" w:rsidP="00611251">
            <w:pPr>
              <w:pStyle w:val="RCTstable"/>
            </w:pPr>
            <w:r w:rsidRPr="00822EBF">
              <w:t>With no access to a trial protocol, it was not possible to confidently assess selective reporting</w:t>
            </w:r>
            <w:r>
              <w:t>.</w:t>
            </w:r>
          </w:p>
        </w:tc>
      </w:tr>
      <w:tr w:rsidR="008E765F" w:rsidRPr="00822EBF" w14:paraId="1F1E6D37" w14:textId="77777777" w:rsidTr="005A5EBF">
        <w:trPr>
          <w:cantSplit/>
        </w:trPr>
        <w:tc>
          <w:tcPr>
            <w:tcW w:w="1560" w:type="dxa"/>
            <w:shd w:val="clear" w:color="D9E2F3" w:themeColor="accent1" w:themeTint="33" w:fill="auto"/>
          </w:tcPr>
          <w:p w14:paraId="6D889CD4"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2CF56ED2"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EA9473A" w14:textId="77777777" w:rsidR="008E765F" w:rsidRPr="00822EBF" w:rsidRDefault="008E765F" w:rsidP="00611251">
            <w:pPr>
              <w:pStyle w:val="RCTstable"/>
            </w:pPr>
            <w:r w:rsidRPr="00822EBF">
              <w:t>No obvious sources of other bias identified</w:t>
            </w:r>
            <w:r>
              <w:t>.</w:t>
            </w:r>
          </w:p>
        </w:tc>
      </w:tr>
      <w:tr w:rsidR="008E765F" w:rsidRPr="00994D84" w14:paraId="4774A9D0" w14:textId="77777777" w:rsidTr="005A5EBF">
        <w:trPr>
          <w:cantSplit/>
        </w:trPr>
        <w:tc>
          <w:tcPr>
            <w:tcW w:w="14034" w:type="dxa"/>
            <w:gridSpan w:val="3"/>
            <w:shd w:val="solid" w:color="D9E2F3" w:themeColor="accent1" w:themeTint="33" w:fill="auto"/>
          </w:tcPr>
          <w:p w14:paraId="6D509518" w14:textId="3A795778" w:rsidR="008E765F" w:rsidRPr="00994D84" w:rsidRDefault="008E765F" w:rsidP="002747EA">
            <w:pPr>
              <w:pStyle w:val="RCTstable"/>
              <w:keepNext/>
              <w:rPr>
                <w:b/>
              </w:rPr>
            </w:pPr>
            <w:r w:rsidRPr="0025597C">
              <w:rPr>
                <w:rFonts w:ascii="Century Gothic" w:hAnsi="Century Gothic"/>
                <w:b/>
                <w:noProof/>
              </w:rPr>
              <w:t>Jing et al 2015</w:t>
            </w:r>
            <w:r>
              <w:fldChar w:fldCharType="begin">
                <w:fldData xml:space="preserve">PEVuZE5vdGU+PENpdGU+PEF1dGhvcj5KaW5nPC9BdXRob3I+PFllYXI+MjAxNTwvWWVhcj48UmVj
TnVtPjYwOTwvUmVjTnVtPjxEaXNwbGF5VGV4dD48c3R5bGUgZmFjZT0ic3VwZXJzY3JpcHQiIGZv
bnQ9IlRyZWJ1Y2hldCBNUyIgc2l6ZT0iOSI+NDkyPC9zdHlsZT48L0Rpc3BsYXlUZXh0PjxyZWNv
cmQ+PHJlYy1udW1iZXI+NjA5PC9yZWMtbnVtYmVyPjxmb3JlaWduLWtleXM+PGtleSBhcHA9IkVO
IiBkYi1pZD0iZXh2YXNyZngyZHRyYW9lc2FzeHAyc3pzeGEyZGY1MDI1OTJ4IiB0aW1lc3RhbXA9
IjE1MzkwNDgzMzkiPjYwOTwva2V5PjxrZXkgYXBwPSJFTldlYiIgZGItaWQ9IiI+MDwva2V5Pjwv
Zm9yZWlnbi1rZXlzPjxyZWYtdHlwZSBuYW1lPSJKb3VybmFsIEFydGljbGUiPjE3PC9yZWYtdHlw
ZT48Y29udHJpYnV0b3JzPjxhdXRob3JzPjxhdXRob3I+SmluZywgVy48L2F1dGhvcj48YXV0aG9y
Pkh1YW5nLCBZLjwvYXV0aG9yPjxhdXRob3I+TGl1LCBYLjwvYXV0aG9yPjxhdXRob3I+THVvLCBC
LjwvYXV0aG9yPjxhdXRob3I+WWFuZywgWS48L2F1dGhvcj48YXV0aG9yPkxpYW8sIFMuPC9hdXRo
b3I+PC9hdXRob3JzPjwvY29udHJpYnV0b3JzPjxhdXRoLWFkZHJlc3M+RGVwYXJ0bWVudCBvZiBP
YnN0ZXRyaWNzLCBXZXN0IENoaW5hIFNlY29uZCBVbml2ZXJzaXR5IEhvc3BpdGFsLCBTaWNodWFu
IFVuaXZlcnNpdHksIENoZW5nZHUsIFNpY2h1YW4sIENoaW5hLiYjeEQ7RGVwYXJ0bWVudCBvZiBP
YnN0ZXRyaWNzLCBXZXN0IENoaW5hIFNlY29uZCBVbml2ZXJzaXR5IEhvc3BpdGFsLCBTaWNodWFu
IFVuaXZlcnNpdHksIENoZW5nZHUsIFNpY2h1YW4sIENoaW5hLiBFbGVjdHJvbmljIGFkZHJlc3M6
IDI4NDI3MDc3OEBxcS5jb20uPC9hdXRoLWFkZHJlc3M+PHRpdGxlcz48dGl0bGU+VGhlIGVmZmVj
dCBvZiBhIHBlcnNvbmFsaXplZCBpbnRlcnZlbnRpb24gb24gd2VpZ2h0IGdhaW4gYW5kIHBoeXNp
Y2FsIGFjdGl2aXR5IGFtb25nIHByZWduYW50IHdvbWVuIGluIENoaW5hPC90aXRsZT48c2Vjb25k
YXJ5LXRpdGxlPkludCBKIEd5bmFlY29sIE9ic3RldDwvc2Vjb25kYXJ5LXRpdGxlPjwvdGl0bGVz
PjxwZXJpb2RpY2FsPjxmdWxsLXRpdGxlPkludCBKIEd5bmFlY29sIE9ic3RldDwvZnVsbC10aXRs
ZT48L3BlcmlvZGljYWw+PHBhZ2VzPjEzOC00MTwvcGFnZXM+PHZvbHVtZT4xMjk8L3ZvbHVtZT48
bnVtYmVyPjI8L251bWJlcj48ZWRpdGlvbj4yMDE1LzAyLzI0PC9lZGl0aW9uPjxrZXl3b3Jkcz48
a2V5d29yZD5BZHVsdDwva2V5d29yZD48a2V5d29yZD5DaGluYTwva2V5d29yZD48a2V5d29yZD5E
aWFiZXRlcywgR2VzdGF0aW9uYWwvcHJldmVudGlvbiAmYW1wOyBjb250cm9sPC9rZXl3b3JkPjxr
ZXl3b3JkPkRpZXQ8L2tleXdvcmQ+PGtleXdvcmQ+RmVtYWxlPC9rZXl3b3JkPjxrZXl3b3JkPkh1
bWFuczwva2V5d29yZD48a2V5d29yZD4qTW90b3IgQWN0aXZpdHk8L2tleXdvcmQ+PGtleXdvcmQ+
UHJlZ25hbmN5PC9rZXl3b3JkPjxrZXl3b3JkPlByZWduYW5jeSBDb21wbGljYXRpb25zLypwcmV2
ZW50aW9uICZhbXA7IGNvbnRyb2w8L2tleXdvcmQ+PGtleXdvcmQ+UHJlbmF0YWwgRWR1Y2F0aW9u
LyptZXRob2RzPC9rZXl3b3JkPjxrZXl3b3JkPlByZW5hdGFsIE51dHJpdGlvbmFsIFBoeXNpb2xv
Z2ljYWwgUGhlbm9tZW5hPC9rZXl3b3JkPjxrZXl3b3JkPlN1cnZleXMgYW5kIFF1ZXN0aW9ubmFp
cmVzPC9rZXl3b3JkPjxrZXl3b3JkPipXZWlnaHQgR2Fpbjwva2V5d29yZD48a2V5d29yZD5FeGNl
c3NpdmUgd2VpZ2h0IGdhaW48L2tleXdvcmQ+PGtleXdvcmQ+R2VzdGF0aW9uYWwgZGlhYmV0ZXMg
bWVsbGl0dXM8L2tleXdvcmQ+PGtleXdvcmQ+SGVhbHRoIGJlbGllZiBtb2RlbDwva2V5d29yZD48
a2V5d29yZD5JbnRlcnZlbnRpb248L2tleXdvcmQ+PGtleXdvcmQ+UGh5c2ljYWwgYWN0aXZpdHk8
L2tleXdvcmQ+PC9rZXl3b3Jkcz48ZGF0ZXM+PHllYXI+MjAxNTwveWVhcj48cHViLWRhdGVzPjxk
YXRlPk1heTwvZGF0ZT48L3B1Yi1kYXRlcz48L2RhdGVzPjxpc2JuPjE4NzktMzQ3OSAoRWxlY3Ry
b25pYykmI3hEOzAwMjAtNzI5MiAoTGlua2luZyk8L2lzYm4+PGFjY2Vzc2lvbi1udW0+MjU2OTc5
NjU8L2FjY2Vzc2lvbi1udW0+PHVybHM+PHJlbGF0ZWQtdXJscz48dXJsPmh0dHBzOi8vd3d3Lm5j
YmkubmxtLm5paC5nb3YvcHVibWVkLzI1Njk3OTY1PC91cmw+PC9yZWxhdGVkLXVybHM+PC91cmxz
PjxlbGVjdHJvbmljLXJlc291cmNlLW51bT4xMC4xMDE2L2ouaWpnby4yMDE0LjExLjAxNDwvZWxl
Y3Ryb25pYy1yZXNvdXJjZS1udW0+PC9yZWNvcmQ+PC9DaXRlPjwvRW5kTm90ZT4A
</w:fldData>
              </w:fldChar>
            </w:r>
            <w:r w:rsidR="002747EA">
              <w:instrText xml:space="preserve"> ADDIN EN.CITE </w:instrText>
            </w:r>
            <w:r w:rsidR="002747EA">
              <w:fldChar w:fldCharType="begin">
                <w:fldData xml:space="preserve">PEVuZE5vdGU+PENpdGU+PEF1dGhvcj5KaW5nPC9BdXRob3I+PFllYXI+MjAxNTwvWWVhcj48UmVj
TnVtPjYwOTwvUmVjTnVtPjxEaXNwbGF5VGV4dD48c3R5bGUgZmFjZT0ic3VwZXJzY3JpcHQiIGZv
bnQ9IlRyZWJ1Y2hldCBNUyIgc2l6ZT0iOSI+NDkyPC9zdHlsZT48L0Rpc3BsYXlUZXh0PjxyZWNv
cmQ+PHJlYy1udW1iZXI+NjA5PC9yZWMtbnVtYmVyPjxmb3JlaWduLWtleXM+PGtleSBhcHA9IkVO
IiBkYi1pZD0iZXh2YXNyZngyZHRyYW9lc2FzeHAyc3pzeGEyZGY1MDI1OTJ4IiB0aW1lc3RhbXA9
IjE1MzkwNDgzMzkiPjYwOTwva2V5PjxrZXkgYXBwPSJFTldlYiIgZGItaWQ9IiI+MDwva2V5Pjwv
Zm9yZWlnbi1rZXlzPjxyZWYtdHlwZSBuYW1lPSJKb3VybmFsIEFydGljbGUiPjE3PC9yZWYtdHlw
ZT48Y29udHJpYnV0b3JzPjxhdXRob3JzPjxhdXRob3I+SmluZywgVy48L2F1dGhvcj48YXV0aG9y
Pkh1YW5nLCBZLjwvYXV0aG9yPjxhdXRob3I+TGl1LCBYLjwvYXV0aG9yPjxhdXRob3I+THVvLCBC
LjwvYXV0aG9yPjxhdXRob3I+WWFuZywgWS48L2F1dGhvcj48YXV0aG9yPkxpYW8sIFMuPC9hdXRo
b3I+PC9hdXRob3JzPjwvY29udHJpYnV0b3JzPjxhdXRoLWFkZHJlc3M+RGVwYXJ0bWVudCBvZiBP
YnN0ZXRyaWNzLCBXZXN0IENoaW5hIFNlY29uZCBVbml2ZXJzaXR5IEhvc3BpdGFsLCBTaWNodWFu
IFVuaXZlcnNpdHksIENoZW5nZHUsIFNpY2h1YW4sIENoaW5hLiYjeEQ7RGVwYXJ0bWVudCBvZiBP
YnN0ZXRyaWNzLCBXZXN0IENoaW5hIFNlY29uZCBVbml2ZXJzaXR5IEhvc3BpdGFsLCBTaWNodWFu
IFVuaXZlcnNpdHksIENoZW5nZHUsIFNpY2h1YW4sIENoaW5hLiBFbGVjdHJvbmljIGFkZHJlc3M6
IDI4NDI3MDc3OEBxcS5jb20uPC9hdXRoLWFkZHJlc3M+PHRpdGxlcz48dGl0bGU+VGhlIGVmZmVj
dCBvZiBhIHBlcnNvbmFsaXplZCBpbnRlcnZlbnRpb24gb24gd2VpZ2h0IGdhaW4gYW5kIHBoeXNp
Y2FsIGFjdGl2aXR5IGFtb25nIHByZWduYW50IHdvbWVuIGluIENoaW5hPC90aXRsZT48c2Vjb25k
YXJ5LXRpdGxlPkludCBKIEd5bmFlY29sIE9ic3RldDwvc2Vjb25kYXJ5LXRpdGxlPjwvdGl0bGVz
PjxwZXJpb2RpY2FsPjxmdWxsLXRpdGxlPkludCBKIEd5bmFlY29sIE9ic3RldDwvZnVsbC10aXRs
ZT48L3BlcmlvZGljYWw+PHBhZ2VzPjEzOC00MTwvcGFnZXM+PHZvbHVtZT4xMjk8L3ZvbHVtZT48
bnVtYmVyPjI8L251bWJlcj48ZWRpdGlvbj4yMDE1LzAyLzI0PC9lZGl0aW9uPjxrZXl3b3Jkcz48
a2V5d29yZD5BZHVsdDwva2V5d29yZD48a2V5d29yZD5DaGluYTwva2V5d29yZD48a2V5d29yZD5E
aWFiZXRlcywgR2VzdGF0aW9uYWwvcHJldmVudGlvbiAmYW1wOyBjb250cm9sPC9rZXl3b3JkPjxr
ZXl3b3JkPkRpZXQ8L2tleXdvcmQ+PGtleXdvcmQ+RmVtYWxlPC9rZXl3b3JkPjxrZXl3b3JkPkh1
bWFuczwva2V5d29yZD48a2V5d29yZD4qTW90b3IgQWN0aXZpdHk8L2tleXdvcmQ+PGtleXdvcmQ+
UHJlZ25hbmN5PC9rZXl3b3JkPjxrZXl3b3JkPlByZWduYW5jeSBDb21wbGljYXRpb25zLypwcmV2
ZW50aW9uICZhbXA7IGNvbnRyb2w8L2tleXdvcmQ+PGtleXdvcmQ+UHJlbmF0YWwgRWR1Y2F0aW9u
LyptZXRob2RzPC9rZXl3b3JkPjxrZXl3b3JkPlByZW5hdGFsIE51dHJpdGlvbmFsIFBoeXNpb2xv
Z2ljYWwgUGhlbm9tZW5hPC9rZXl3b3JkPjxrZXl3b3JkPlN1cnZleXMgYW5kIFF1ZXN0aW9ubmFp
cmVzPC9rZXl3b3JkPjxrZXl3b3JkPipXZWlnaHQgR2Fpbjwva2V5d29yZD48a2V5d29yZD5FeGNl
c3NpdmUgd2VpZ2h0IGdhaW48L2tleXdvcmQ+PGtleXdvcmQ+R2VzdGF0aW9uYWwgZGlhYmV0ZXMg
bWVsbGl0dXM8L2tleXdvcmQ+PGtleXdvcmQ+SGVhbHRoIGJlbGllZiBtb2RlbDwva2V5d29yZD48
a2V5d29yZD5JbnRlcnZlbnRpb248L2tleXdvcmQ+PGtleXdvcmQ+UGh5c2ljYWwgYWN0aXZpdHk8
L2tleXdvcmQ+PC9rZXl3b3Jkcz48ZGF0ZXM+PHllYXI+MjAxNTwveWVhcj48cHViLWRhdGVzPjxk
YXRlPk1heTwvZGF0ZT48L3B1Yi1kYXRlcz48L2RhdGVzPjxpc2JuPjE4NzktMzQ3OSAoRWxlY3Ry
b25pYykmI3hEOzAwMjAtNzI5MiAoTGlua2luZyk8L2lzYm4+PGFjY2Vzc2lvbi1udW0+MjU2OTc5
NjU8L2FjY2Vzc2lvbi1udW0+PHVybHM+PHJlbGF0ZWQtdXJscz48dXJsPmh0dHBzOi8vd3d3Lm5j
YmkubmxtLm5paC5nb3YvcHVibWVkLzI1Njk3OTY1PC91cmw+PC9yZWxhdGVkLXVybHM+PC91cmxz
PjxlbGVjdHJvbmljLXJlc291cmNlLW51bT4xMC4xMDE2L2ouaWpnby4yMDE0LjExLjAxNDwvZWxl
Y3Ryb25pYy1yZXNvdXJjZS1udW0+PC9yZWNvcmQ+PC9DaXRlPjwvRW5kTm90ZT4A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sz w:val="18"/>
                <w:vertAlign w:val="superscript"/>
              </w:rPr>
              <w:t>492</w:t>
            </w:r>
            <w:r>
              <w:fldChar w:fldCharType="end"/>
            </w:r>
          </w:p>
        </w:tc>
      </w:tr>
      <w:tr w:rsidR="008E765F" w:rsidRPr="00822EBF" w14:paraId="2FD92C09" w14:textId="77777777" w:rsidTr="005A5EBF">
        <w:trPr>
          <w:cantSplit/>
        </w:trPr>
        <w:tc>
          <w:tcPr>
            <w:tcW w:w="1560" w:type="dxa"/>
            <w:shd w:val="clear" w:color="D9E2F3" w:themeColor="accent1" w:themeTint="33" w:fill="auto"/>
          </w:tcPr>
          <w:p w14:paraId="61A36036" w14:textId="77777777" w:rsidR="008E765F" w:rsidRPr="00822EBF" w:rsidRDefault="008E765F" w:rsidP="003B5251">
            <w:pPr>
              <w:pStyle w:val="RCTstable"/>
              <w:keepNext/>
            </w:pPr>
            <w:r w:rsidRPr="00822EBF">
              <w:t>Random sequence generation</w:t>
            </w:r>
          </w:p>
        </w:tc>
        <w:tc>
          <w:tcPr>
            <w:tcW w:w="1275" w:type="dxa"/>
            <w:shd w:val="clear" w:color="D9E2F3" w:themeColor="accent1" w:themeTint="33" w:fill="70AD47" w:themeFill="accent6"/>
          </w:tcPr>
          <w:p w14:paraId="53AED4AD" w14:textId="77777777" w:rsidR="008E765F" w:rsidRPr="00822EBF" w:rsidRDefault="008E765F" w:rsidP="003B5251">
            <w:pPr>
              <w:pStyle w:val="RCTstable"/>
              <w:keepNext/>
            </w:pPr>
            <w:r w:rsidRPr="00822EBF">
              <w:t>Low risk</w:t>
            </w:r>
          </w:p>
        </w:tc>
        <w:tc>
          <w:tcPr>
            <w:tcW w:w="11199" w:type="dxa"/>
            <w:shd w:val="clear" w:color="D9E2F3" w:themeColor="accent1" w:themeTint="33" w:fill="auto"/>
          </w:tcPr>
          <w:p w14:paraId="7521E19D" w14:textId="77777777" w:rsidR="008E765F" w:rsidRPr="00822EBF" w:rsidRDefault="008E765F" w:rsidP="003B5251">
            <w:pPr>
              <w:pStyle w:val="RCTstable"/>
              <w:keepNext/>
            </w:pPr>
            <w:r>
              <w:t>“</w:t>
            </w:r>
            <w:r w:rsidRPr="00822EBF">
              <w:t>The participants were divided according to t</w:t>
            </w:r>
            <w:r>
              <w:t>he sequence of time and randomis</w:t>
            </w:r>
            <w:r w:rsidRPr="00822EBF">
              <w:t>ed numbers produced by SAS version 11.0 (SAS Institute Inc, Raleigh, NC, USA)</w:t>
            </w:r>
            <w:r>
              <w:t>.”</w:t>
            </w:r>
          </w:p>
        </w:tc>
      </w:tr>
      <w:tr w:rsidR="008E765F" w:rsidRPr="00822EBF" w14:paraId="1C59D351" w14:textId="77777777" w:rsidTr="005A5EBF">
        <w:trPr>
          <w:cantSplit/>
        </w:trPr>
        <w:tc>
          <w:tcPr>
            <w:tcW w:w="1560" w:type="dxa"/>
            <w:shd w:val="clear" w:color="D9E2F3" w:themeColor="accent1" w:themeTint="33" w:fill="auto"/>
          </w:tcPr>
          <w:p w14:paraId="397B339B" w14:textId="77777777" w:rsidR="008E765F" w:rsidRPr="00822EBF" w:rsidRDefault="008E765F" w:rsidP="003B5251">
            <w:pPr>
              <w:pStyle w:val="RCTstable"/>
              <w:keepNext/>
            </w:pPr>
            <w:r w:rsidRPr="00822EBF">
              <w:t xml:space="preserve">Allocation concealment </w:t>
            </w:r>
          </w:p>
        </w:tc>
        <w:tc>
          <w:tcPr>
            <w:tcW w:w="1275" w:type="dxa"/>
            <w:shd w:val="clear" w:color="D9E2F3" w:themeColor="accent1" w:themeTint="33" w:fill="FFC000" w:themeFill="accent4"/>
          </w:tcPr>
          <w:p w14:paraId="46778F16" w14:textId="77777777" w:rsidR="008E765F" w:rsidRPr="00822EBF" w:rsidRDefault="008E765F" w:rsidP="003B5251">
            <w:pPr>
              <w:pStyle w:val="RCTstable"/>
              <w:keepNext/>
            </w:pPr>
            <w:r w:rsidRPr="00822EBF">
              <w:t>Unclear risk</w:t>
            </w:r>
          </w:p>
        </w:tc>
        <w:tc>
          <w:tcPr>
            <w:tcW w:w="11199" w:type="dxa"/>
            <w:shd w:val="clear" w:color="D9E2F3" w:themeColor="accent1" w:themeTint="33" w:fill="auto"/>
          </w:tcPr>
          <w:p w14:paraId="73B9074C" w14:textId="77777777" w:rsidR="008E765F" w:rsidRPr="00822EBF" w:rsidRDefault="008E765F" w:rsidP="003B5251">
            <w:pPr>
              <w:pStyle w:val="RCTstable"/>
              <w:keepNext/>
            </w:pPr>
            <w:r w:rsidRPr="00822EBF">
              <w:t>Not described</w:t>
            </w:r>
            <w:r>
              <w:t>.</w:t>
            </w:r>
          </w:p>
        </w:tc>
      </w:tr>
      <w:tr w:rsidR="008E765F" w:rsidRPr="00822EBF" w14:paraId="36413617" w14:textId="77777777" w:rsidTr="005A5EBF">
        <w:trPr>
          <w:cantSplit/>
        </w:trPr>
        <w:tc>
          <w:tcPr>
            <w:tcW w:w="1560" w:type="dxa"/>
            <w:shd w:val="clear" w:color="D9E2F3" w:themeColor="accent1" w:themeTint="33" w:fill="auto"/>
          </w:tcPr>
          <w:p w14:paraId="3D0C82B3"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23FED051"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018A6B40" w14:textId="77777777" w:rsidR="008E765F" w:rsidRPr="00822EBF" w:rsidRDefault="008E765F" w:rsidP="00611251">
            <w:pPr>
              <w:pStyle w:val="RCTstable"/>
            </w:pPr>
            <w:r>
              <w:t>“</w:t>
            </w:r>
            <w:r w:rsidRPr="00822EBF">
              <w:t>Participants and data analysts were masked to group assignment. The investigators were not masked to the assignment so that they could implement the persona</w:t>
            </w:r>
            <w:r>
              <w:t>lis</w:t>
            </w:r>
            <w:r w:rsidRPr="00822EBF">
              <w:t xml:space="preserve">ed intervention for </w:t>
            </w:r>
            <w:r>
              <w:t>women in the intervention group</w:t>
            </w:r>
            <w:r w:rsidRPr="00822EBF">
              <w:t>.</w:t>
            </w:r>
            <w:r>
              <w:t>” While authors report</w:t>
            </w:r>
            <w:r w:rsidRPr="00822EBF">
              <w:t xml:space="preserve"> women were blinded, blinding of women was not considered feasible in view of the intervention and control</w:t>
            </w:r>
          </w:p>
        </w:tc>
      </w:tr>
      <w:tr w:rsidR="008E765F" w:rsidRPr="00822EBF" w14:paraId="55542E93" w14:textId="77777777" w:rsidTr="005A5EBF">
        <w:trPr>
          <w:cantSplit/>
        </w:trPr>
        <w:tc>
          <w:tcPr>
            <w:tcW w:w="1560" w:type="dxa"/>
            <w:shd w:val="clear" w:color="D9E2F3" w:themeColor="accent1" w:themeTint="33" w:fill="auto"/>
          </w:tcPr>
          <w:p w14:paraId="7EC4E0E7"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61F4ED56"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C41D9FB" w14:textId="77777777" w:rsidR="008E765F" w:rsidRPr="00822EBF" w:rsidRDefault="008E765F" w:rsidP="00611251">
            <w:pPr>
              <w:pStyle w:val="RCTstable"/>
            </w:pPr>
            <w:r w:rsidRPr="00822EBF">
              <w:t>Not described</w:t>
            </w:r>
            <w:r>
              <w:t>.</w:t>
            </w:r>
          </w:p>
        </w:tc>
      </w:tr>
      <w:tr w:rsidR="008E765F" w:rsidRPr="00822EBF" w14:paraId="1B922995" w14:textId="77777777" w:rsidTr="005A5EBF">
        <w:trPr>
          <w:cantSplit/>
        </w:trPr>
        <w:tc>
          <w:tcPr>
            <w:tcW w:w="1560" w:type="dxa"/>
            <w:shd w:val="clear" w:color="D9E2F3" w:themeColor="accent1" w:themeTint="33" w:fill="auto"/>
          </w:tcPr>
          <w:p w14:paraId="198BA6AE" w14:textId="77777777" w:rsidR="008E765F" w:rsidRPr="00822EBF" w:rsidRDefault="008E765F" w:rsidP="00611251">
            <w:pPr>
              <w:pStyle w:val="RCTstable"/>
            </w:pPr>
            <w:r w:rsidRPr="00822EBF">
              <w:t>Incomplete outcome data</w:t>
            </w:r>
          </w:p>
        </w:tc>
        <w:tc>
          <w:tcPr>
            <w:tcW w:w="1275" w:type="dxa"/>
            <w:shd w:val="clear" w:color="D9E2F3" w:themeColor="accent1" w:themeTint="33" w:fill="FFC000" w:themeFill="accent4"/>
          </w:tcPr>
          <w:p w14:paraId="1D861C8E"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3D024808" w14:textId="77777777" w:rsidR="008E765F" w:rsidRPr="00822EBF" w:rsidRDefault="008E765F" w:rsidP="00611251">
            <w:pPr>
              <w:pStyle w:val="RCTstable"/>
            </w:pPr>
            <w:r>
              <w:t>“</w:t>
            </w:r>
            <w:r w:rsidRPr="00822EBF">
              <w:t>Only women who finished the whole stud</w:t>
            </w:r>
            <w:r>
              <w:t>y were included in the analysis</w:t>
            </w:r>
            <w:r w:rsidRPr="00822EBF">
              <w:t>.</w:t>
            </w:r>
            <w:r>
              <w:t>”</w:t>
            </w:r>
            <w:r w:rsidRPr="00822EBF">
              <w:t xml:space="preserve"> Suggestion of differential attrition</w:t>
            </w:r>
            <w:r>
              <w:t>; 88% of intervention group and 81% of control group included in analysis.</w:t>
            </w:r>
          </w:p>
        </w:tc>
      </w:tr>
      <w:tr w:rsidR="008E765F" w:rsidRPr="00822EBF" w14:paraId="79ACDDA6" w14:textId="77777777" w:rsidTr="005A5EBF">
        <w:trPr>
          <w:cantSplit/>
        </w:trPr>
        <w:tc>
          <w:tcPr>
            <w:tcW w:w="1560" w:type="dxa"/>
            <w:shd w:val="clear" w:color="D9E2F3" w:themeColor="accent1" w:themeTint="33" w:fill="auto"/>
          </w:tcPr>
          <w:p w14:paraId="51520854"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5316582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1B3FCD1F" w14:textId="77777777" w:rsidR="008E765F" w:rsidRPr="00822EBF" w:rsidRDefault="008E765F" w:rsidP="00611251">
            <w:pPr>
              <w:pStyle w:val="RCTstable"/>
            </w:pPr>
            <w:r w:rsidRPr="00822EBF">
              <w:t>With no access to a trial protocol, it was not possible to confidently assess selective reporting</w:t>
            </w:r>
          </w:p>
        </w:tc>
      </w:tr>
      <w:tr w:rsidR="008E765F" w:rsidRPr="00822EBF" w14:paraId="591DA26E" w14:textId="77777777" w:rsidTr="005A5EBF">
        <w:trPr>
          <w:cantSplit/>
        </w:trPr>
        <w:tc>
          <w:tcPr>
            <w:tcW w:w="1560" w:type="dxa"/>
            <w:shd w:val="clear" w:color="D9E2F3" w:themeColor="accent1" w:themeTint="33" w:fill="auto"/>
          </w:tcPr>
          <w:p w14:paraId="77C01CC4"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201C87F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198AC7B" w14:textId="77777777" w:rsidR="008E765F" w:rsidRPr="00822EBF" w:rsidRDefault="008E765F" w:rsidP="00611251">
            <w:pPr>
              <w:pStyle w:val="RCTstable"/>
            </w:pPr>
            <w:r w:rsidRPr="00822EBF">
              <w:t>No obvious sources of other bias identified</w:t>
            </w:r>
          </w:p>
        </w:tc>
      </w:tr>
      <w:tr w:rsidR="0068288F" w:rsidRPr="00994D84" w14:paraId="32734482" w14:textId="77777777" w:rsidTr="005A5EBF">
        <w:trPr>
          <w:cantSplit/>
        </w:trPr>
        <w:tc>
          <w:tcPr>
            <w:tcW w:w="14034" w:type="dxa"/>
            <w:gridSpan w:val="3"/>
            <w:shd w:val="solid" w:color="D9E2F3" w:themeColor="accent1" w:themeTint="33" w:fill="auto"/>
          </w:tcPr>
          <w:p w14:paraId="304DC45F" w14:textId="4663CCFB" w:rsidR="0068288F" w:rsidRPr="0068288F" w:rsidRDefault="0068288F" w:rsidP="002747EA">
            <w:pPr>
              <w:pStyle w:val="RCTstable"/>
              <w:keepNext/>
              <w:rPr>
                <w:rFonts w:ascii="Century Gothic" w:hAnsi="Century Gothic"/>
                <w:noProof/>
              </w:rPr>
            </w:pPr>
            <w:r>
              <w:rPr>
                <w:rFonts w:ascii="Century Gothic" w:hAnsi="Century Gothic"/>
                <w:b/>
                <w:noProof/>
              </w:rPr>
              <w:t>Kennelly et al 2018</w:t>
            </w:r>
            <w:r w:rsidR="00E37D04">
              <w:rPr>
                <w:rFonts w:ascii="Century Gothic" w:hAnsi="Century Gothic"/>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PEVuZE5vdGU+PENpdGU+PEF1dGhvcj5LZW5uZWxseTwvQXV0aG9yPjxZZWFyPjIwMTg8L1llYXI+
PFJlY051bT4xMzc4PC9SZWNOdW0+PERpc3BsYXlUZXh0PjxzdHlsZSBmYWNlPSJzdXBlcnNjcmlw
dCIgZm9udD0iVHJlYnVjaGV0IE1TIiBzaXplPSI5Ij41MDY8L3N0eWxlPjwvRGlzcGxheVRleHQ+
PHJlY29yZD48cmVjLW51bWJlcj4xMzc4PC9yZWMtbnVtYmVyPjxmb3JlaWduLWtleXM+PGtleSBh
cHA9IkVOIiBkYi1pZD0iZXh2YXNyZngyZHRyYW9lc2FzeHAyc3pzeGEyZGY1MDI1OTJ4IiB0aW1l
c3RhbXA9IjE1NjcwNTQzOTciPjEzNzg8L2tleT48a2V5IGFwcD0iRU5XZWIiIGRiLWlkPSIiPjA8
L2tleT48L2ZvcmVpZ24ta2V5cz48cmVmLXR5cGUgbmFtZT0iSm91cm5hbCBBcnRpY2xlIj4xNzwv
cmVmLXR5cGU+PGNvbnRyaWJ1dG9ycz48YXV0aG9ycz48YXV0aG9yPktlbm5lbGx5LCBNLiBBLjwv
YXV0aG9yPjxhdXRob3I+QWluc2NvdWdoLCBLLjwvYXV0aG9yPjxhdXRob3I+TGluZHNheSwgSy4g
TC48L2F1dGhvcj48YXV0aG9yPk8mYXBvcztTdWxsaXZhbiwgRS48L2F1dGhvcj48YXV0aG9yPkdp
Ym5leSwgRS4gUi48L2F1dGhvcj48YXV0aG9yPk1jQ2FydGh5LCBNLjwvYXV0aG9yPjxhdXRob3I+
U2VndXJhZG8sIFIuPC9hdXRob3I+PGF1dGhvcj5EZVZpdG8sIEcuPC9hdXRob3I+PGF1dGhvcj5N
YWd1aXJlLCBPLjwvYXV0aG9yPjxhdXRob3I+U21pdGgsIFQuPC9hdXRob3I+PGF1dGhvcj5IYXR1
bmljLCBNLjwvYXV0aG9yPjxhdXRob3I+TWNBdWxpZmZlLCBGLiBNLjwvYXV0aG9yPjwvYXV0aG9y
cz48L2NvbnRyaWJ1dG9ycz48YXV0aC1hZGRyZXNzPlVDRCBQZXJpbmF0YWwgUmVzZWFyY2ggQ2Vu
dHJlLCBPYnN0ZXRyaWNzIGFuZCBHeW5hZWNvbG9neSwgU2Nob29sIG9mIE1lZGljaW5lLCB0aGUg
VUNEIEluc3RpdHV0ZSBvZiBGb29kIGFuZCBIZWFsdGgsIFVDRCBDU1RBUiwgYW5kIHRoZSBTY2hv
b2wgb2YgUHVibGljIEhlYWx0aCwgUGh5c2ljYWwgJmFtcDsgU3BvcnRzIFNjaWVuY2VzLCBIZWFs
dGggU2NpZW5jZXMgQ2VudHJlLCBVbml2ZXJzaXR5IENvbGxlZ2UgRHVibGluLCBEdWJsaW4sIHRo
ZSBEZXBhcnRtZW50IG9mIE1hbmFnZW1lbnQgJmFtcDsgTWFya2V0aW5nLCBVbml2ZXJzaXR5IENv
bGxlZ2UgQ29yaywgQ29yaywgYW5kIHRoZSBEZXBhcnRtZW50IG9mIEVuZG9jcmlub2xvZ3ksIFN0
LiBWaW5jZW50JmFwb3M7cyBVbml2ZXJzaXR5IEhvc3BpdGFsLCBhbmQgdGhlIERlcGFydG1lbnQg
b2YgRW5kb2NyaW5vbG9neSwgTmF0aW9uYWwgTWF0ZXJuaXR5IEhvc3BpdGFsLCBEdWJsaW4sIEly
ZWxhbmQuPC9hdXRoLWFkZHJlc3M+PHRpdGxlcz48dGl0bGU+UHJlZ25hbmN5IEV4ZXJjaXNlIGFu
ZCBOdXRyaXRpb24gV2l0aCBTbWFydHBob25lIEFwcGxpY2F0aW9uIFN1cHBvcnQ6IEEgUmFuZG9t
aXplZCBDb250cm9sbGVkIFRyaWFsPC90aXRsZT48c2Vjb25kYXJ5LXRpdGxlPk9ic3RldCBHeW5l
Y29sPC9zZWNvbmRhcnktdGl0bGU+PC90aXRsZXM+PHBlcmlvZGljYWw+PGZ1bGwtdGl0bGU+T2Jz
dGV0IEd5bmVjb2w8L2Z1bGwtdGl0bGU+PC9wZXJpb2RpY2FsPjxwYWdlcz44MTgtODI2PC9wYWdl
cz48dm9sdW1lPjEzMTwvdm9sdW1lPjxudW1iZXI+NTwvbnVtYmVyPjxlZGl0aW9uPjIwMTgvMDQv
MTA8L2VkaXRpb24+PGtleXdvcmRzPjxrZXl3b3JkPkFkdWx0PC9rZXl3b3JkPjxrZXl3b3JkPkJl
aGF2aW9yIENvbnRyb2wvKm1ldGhvZHM8L2tleXdvcmQ+PGtleXdvcmQ+Qm9keSBNYXNzIEluZGV4
PC9rZXl3b3JkPjxrZXl3b3JkPipEaWFiZXRlcywgR2VzdGF0aW9uYWwvZGlhZ25vc2lzL2VwaWRl
bWlvbG9neS9wcmV2ZW50aW9uICZhbXA7IGNvbnRyb2wvcHN5Y2hvbG9neTwva2V5d29yZD48a2V5
d29yZD5FeGVyY2lzZS9waHlzaW9sb2d5Lypwc3ljaG9sb2d5PC9rZXl3b3JkPjxrZXl3b3JkPkZl
bWFsZTwva2V5d29yZD48a2V5d29yZD5IZWFsdGggQmVoYXZpb3I8L2tleXdvcmQ+PGtleXdvcmQ+
SGVhbHRoeSBMaWZlc3R5bGU8L2tleXdvcmQ+PGtleXdvcmQ+SHVtYW5zPC9rZXl3b3JkPjxrZXl3
b3JkPkluY2lkZW5jZTwva2V5d29yZD48a2V5d29yZD5Nb2JpbGUgQXBwbGljYXRpb25zPC9rZXl3
b3JkPjxrZXl3b3JkPipPYmVzaXR5L2RpYWdub3Npcy9wc3ljaG9sb2d5L3RoZXJhcHk8L2tleXdv
cmQ+PGtleXdvcmQ+UHJlZ25hbmN5PC9rZXl3b3JkPjxrZXl3b3JkPipQcmVnbmFuY3kgQ29tcGxp
Y2F0aW9ucy9kaWFnbm9zaXMvcHN5Y2hvbG9neS90aGVyYXB5PC9rZXl3b3JkPjxrZXl3b3JkPlBy
ZWduYW5jeSBPdXRjb21lL2VwaWRlbWlvbG9neTwva2V5d29yZD48a2V5d29yZD5QcmVuYXRhbCBD
YXJlL21ldGhvZHM8L2tleXdvcmQ+PGtleXdvcmQ+UHJlbmF0YWwgTnV0cml0aW9uYWwgUGh5c2lv
bG9naWNhbCBQaGVub21lbmEvKnBoeXNpb2xvZ3k8L2tleXdvcmQ+PGtleXdvcmQ+KlNtYXJ0cGhv
bmU8L2tleXdvcmQ+PC9rZXl3b3Jkcz48ZGF0ZXM+PHllYXI+MjAxODwveWVhcj48cHViLWRhdGVz
PjxkYXRlPk1heTwvZGF0ZT48L3B1Yi1kYXRlcz48L2RhdGVzPjxpc2JuPjE4NzMtMjMzWCAoRWxl
Y3Ryb25pYykmI3hEOzAwMjktNzg0NCAoTGlua2luZyk8L2lzYm4+PGFjY2Vzc2lvbi1udW0+Mjk2
MzAwMDk8L2FjY2Vzc2lvbi1udW0+PHVybHM+PHJlbGF0ZWQtdXJscz48dXJsPmh0dHBzOi8vd3d3
Lm5jYmkubmxtLm5paC5nb3YvcHVibWVkLzI5NjMwMDA5PC91cmw+PC9yZWxhdGVkLXVybHM+PC91
cmxzPjxlbGVjdHJvbmljLXJlc291cmNlLW51bT4xMC4xMDk3L0FPRy4wMDAwMDAwMDAwMDAyNTgy
PC9lbGVjdHJvbmljLXJlc291cmNlLW51bT48L3JlY29yZD48L0NpdGU+PC9FbmROb3RlPgB=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E37D04">
              <w:rPr>
                <w:rFonts w:ascii="Century Gothic" w:hAnsi="Century Gothic"/>
                <w:noProof/>
              </w:rPr>
            </w:r>
            <w:r w:rsidR="00E37D04">
              <w:rPr>
                <w:rFonts w:ascii="Century Gothic" w:hAnsi="Century Gothic"/>
                <w:noProof/>
              </w:rPr>
              <w:fldChar w:fldCharType="separate"/>
            </w:r>
            <w:r w:rsidR="002747EA" w:rsidRPr="002747EA">
              <w:rPr>
                <w:noProof/>
                <w:sz w:val="18"/>
                <w:vertAlign w:val="superscript"/>
              </w:rPr>
              <w:t>506</w:t>
            </w:r>
            <w:r w:rsidR="00E37D04">
              <w:rPr>
                <w:rFonts w:ascii="Century Gothic" w:hAnsi="Century Gothic"/>
                <w:noProof/>
              </w:rPr>
              <w:fldChar w:fldCharType="end"/>
            </w:r>
          </w:p>
        </w:tc>
      </w:tr>
      <w:tr w:rsidR="0068288F" w:rsidRPr="00822EBF" w14:paraId="169C9965" w14:textId="77777777" w:rsidTr="005A5EBF">
        <w:trPr>
          <w:cantSplit/>
        </w:trPr>
        <w:tc>
          <w:tcPr>
            <w:tcW w:w="1560" w:type="dxa"/>
            <w:shd w:val="clear" w:color="D9E2F3" w:themeColor="accent1" w:themeTint="33" w:fill="auto"/>
          </w:tcPr>
          <w:p w14:paraId="0B17FA75" w14:textId="77777777" w:rsidR="0068288F" w:rsidRPr="00822EBF" w:rsidRDefault="0068288F" w:rsidP="00465384">
            <w:pPr>
              <w:pStyle w:val="RCTstable"/>
              <w:keepNext/>
            </w:pPr>
            <w:r w:rsidRPr="00822EBF">
              <w:t>Random sequence generation</w:t>
            </w:r>
          </w:p>
        </w:tc>
        <w:tc>
          <w:tcPr>
            <w:tcW w:w="1275" w:type="dxa"/>
            <w:shd w:val="clear" w:color="D9E2F3" w:themeColor="accent1" w:themeTint="33" w:fill="70AD47" w:themeFill="accent6"/>
          </w:tcPr>
          <w:p w14:paraId="31F01C11" w14:textId="4C8C54C7" w:rsidR="0068288F" w:rsidRPr="00822EBF" w:rsidRDefault="00637F39" w:rsidP="00465384">
            <w:pPr>
              <w:pStyle w:val="RCTstable"/>
              <w:keepNext/>
            </w:pPr>
            <w:r>
              <w:t>Low</w:t>
            </w:r>
            <w:r w:rsidR="0068288F" w:rsidRPr="00822EBF">
              <w:t xml:space="preserve"> risk</w:t>
            </w:r>
          </w:p>
        </w:tc>
        <w:tc>
          <w:tcPr>
            <w:tcW w:w="11199" w:type="dxa"/>
            <w:shd w:val="clear" w:color="D9E2F3" w:themeColor="accent1" w:themeTint="33" w:fill="auto"/>
          </w:tcPr>
          <w:p w14:paraId="63718F8A" w14:textId="74DFEA18" w:rsidR="0068288F" w:rsidRPr="00822EBF" w:rsidRDefault="00637F39" w:rsidP="00637F39">
            <w:pPr>
              <w:pStyle w:val="RCTstable"/>
            </w:pPr>
            <w:r>
              <w:t>Randomis</w:t>
            </w:r>
            <w:r w:rsidRPr="00637F39">
              <w:t>ation was performed using a computer-</w:t>
            </w:r>
            <w:r>
              <w:t xml:space="preserve"> </w:t>
            </w:r>
            <w:r w:rsidRPr="00637F39">
              <w:t>generated sequence in a ratio of one to one.</w:t>
            </w:r>
          </w:p>
        </w:tc>
      </w:tr>
      <w:tr w:rsidR="0068288F" w:rsidRPr="00822EBF" w14:paraId="424472CC" w14:textId="77777777" w:rsidTr="005A5EBF">
        <w:trPr>
          <w:cantSplit/>
        </w:trPr>
        <w:tc>
          <w:tcPr>
            <w:tcW w:w="1560" w:type="dxa"/>
            <w:shd w:val="clear" w:color="D9E2F3" w:themeColor="accent1" w:themeTint="33" w:fill="auto"/>
          </w:tcPr>
          <w:p w14:paraId="10B57FA0" w14:textId="77777777" w:rsidR="0068288F" w:rsidRPr="00822EBF" w:rsidRDefault="0068288F" w:rsidP="00465384">
            <w:pPr>
              <w:pStyle w:val="RCTstable"/>
            </w:pPr>
            <w:r w:rsidRPr="00822EBF">
              <w:t xml:space="preserve">Allocation concealment </w:t>
            </w:r>
          </w:p>
        </w:tc>
        <w:tc>
          <w:tcPr>
            <w:tcW w:w="1275" w:type="dxa"/>
            <w:shd w:val="clear" w:color="D9E2F3" w:themeColor="accent1" w:themeTint="33" w:fill="70AD47" w:themeFill="accent6"/>
          </w:tcPr>
          <w:p w14:paraId="1DEDDEFD" w14:textId="77777777" w:rsidR="0068288F" w:rsidRPr="00822EBF" w:rsidRDefault="0068288F" w:rsidP="00465384">
            <w:pPr>
              <w:pStyle w:val="RCTstable"/>
            </w:pPr>
            <w:r w:rsidRPr="00822EBF">
              <w:t>Low risk</w:t>
            </w:r>
          </w:p>
        </w:tc>
        <w:tc>
          <w:tcPr>
            <w:tcW w:w="11199" w:type="dxa"/>
            <w:shd w:val="clear" w:color="D9E2F3" w:themeColor="accent1" w:themeTint="33" w:fill="auto"/>
          </w:tcPr>
          <w:p w14:paraId="49905CC9" w14:textId="2CD08D43" w:rsidR="0068288F" w:rsidRPr="00822EBF" w:rsidRDefault="00637F39" w:rsidP="00465384">
            <w:pPr>
              <w:pStyle w:val="RCTstable"/>
            </w:pPr>
            <w:r w:rsidRPr="00637F39">
              <w:t>The biostatistician prepared sequentially numbered,</w:t>
            </w:r>
            <w:r>
              <w:t xml:space="preserve"> </w:t>
            </w:r>
            <w:r w:rsidRPr="00637F39">
              <w:t>sealed opaque envelopes, which were opened at the</w:t>
            </w:r>
            <w:r>
              <w:t xml:space="preserve"> </w:t>
            </w:r>
            <w:r w:rsidRPr="00637F39">
              <w:t>first study visit.</w:t>
            </w:r>
          </w:p>
        </w:tc>
      </w:tr>
      <w:tr w:rsidR="00637F39" w:rsidRPr="00822EBF" w14:paraId="391BA4F1" w14:textId="77777777" w:rsidTr="005A5EBF">
        <w:trPr>
          <w:cantSplit/>
        </w:trPr>
        <w:tc>
          <w:tcPr>
            <w:tcW w:w="1560" w:type="dxa"/>
            <w:shd w:val="clear" w:color="D9E2F3" w:themeColor="accent1" w:themeTint="33" w:fill="auto"/>
          </w:tcPr>
          <w:p w14:paraId="56F4C58A" w14:textId="77777777" w:rsidR="00637F39" w:rsidRPr="00822EBF" w:rsidRDefault="00637F39" w:rsidP="00465384">
            <w:pPr>
              <w:pStyle w:val="RCTstable"/>
            </w:pPr>
            <w:r w:rsidRPr="00822EBF">
              <w:t>Performance bias</w:t>
            </w:r>
          </w:p>
        </w:tc>
        <w:tc>
          <w:tcPr>
            <w:tcW w:w="1275" w:type="dxa"/>
            <w:shd w:val="clear" w:color="D9E2F3" w:themeColor="accent1" w:themeTint="33" w:fill="FF4D19"/>
          </w:tcPr>
          <w:p w14:paraId="074B1946" w14:textId="77777777" w:rsidR="00637F39" w:rsidRPr="00822EBF" w:rsidRDefault="00637F39" w:rsidP="00465384">
            <w:pPr>
              <w:pStyle w:val="RCTstable"/>
            </w:pPr>
            <w:r w:rsidRPr="00822EBF">
              <w:t>High risk</w:t>
            </w:r>
          </w:p>
        </w:tc>
        <w:tc>
          <w:tcPr>
            <w:tcW w:w="11199" w:type="dxa"/>
            <w:vMerge w:val="restart"/>
            <w:shd w:val="clear" w:color="D9E2F3" w:themeColor="accent1" w:themeTint="33" w:fill="auto"/>
          </w:tcPr>
          <w:p w14:paraId="6715599C" w14:textId="08507776" w:rsidR="00637F39" w:rsidRPr="00822EBF" w:rsidRDefault="00637F39" w:rsidP="00465384">
            <w:pPr>
              <w:pStyle w:val="RCTstable"/>
            </w:pPr>
            <w:r w:rsidRPr="00637F39">
              <w:t>As a result of the</w:t>
            </w:r>
            <w:r>
              <w:t xml:space="preserve"> </w:t>
            </w:r>
            <w:r w:rsidRPr="00637F39">
              <w:t>nature of the intervention, neither participants nor</w:t>
            </w:r>
            <w:r>
              <w:t xml:space="preserve"> </w:t>
            </w:r>
            <w:r w:rsidRPr="00637F39">
              <w:t>researchers were blinded to the intervention or</w:t>
            </w:r>
            <w:r>
              <w:t xml:space="preserve"> </w:t>
            </w:r>
            <w:r w:rsidRPr="00637F39">
              <w:t>outcomes.</w:t>
            </w:r>
          </w:p>
        </w:tc>
      </w:tr>
      <w:tr w:rsidR="00637F39" w:rsidRPr="00822EBF" w14:paraId="3825A90D" w14:textId="77777777" w:rsidTr="005A5EBF">
        <w:trPr>
          <w:cantSplit/>
        </w:trPr>
        <w:tc>
          <w:tcPr>
            <w:tcW w:w="1560" w:type="dxa"/>
            <w:shd w:val="clear" w:color="D9E2F3" w:themeColor="accent1" w:themeTint="33" w:fill="auto"/>
          </w:tcPr>
          <w:p w14:paraId="74938146" w14:textId="77777777" w:rsidR="00637F39" w:rsidRPr="00822EBF" w:rsidRDefault="00637F39" w:rsidP="00465384">
            <w:pPr>
              <w:pStyle w:val="RCTstable"/>
            </w:pPr>
            <w:r w:rsidRPr="00822EBF">
              <w:t>Detection bias</w:t>
            </w:r>
          </w:p>
        </w:tc>
        <w:tc>
          <w:tcPr>
            <w:tcW w:w="1275" w:type="dxa"/>
            <w:shd w:val="clear" w:color="D9E2F3" w:themeColor="accent1" w:themeTint="33" w:fill="FF4D19"/>
          </w:tcPr>
          <w:p w14:paraId="59D33E75" w14:textId="2FC72568" w:rsidR="00637F39" w:rsidRPr="00822EBF" w:rsidRDefault="00637F39" w:rsidP="00465384">
            <w:pPr>
              <w:pStyle w:val="RCTstable"/>
            </w:pPr>
            <w:r>
              <w:t>High</w:t>
            </w:r>
            <w:r w:rsidRPr="00822EBF">
              <w:t xml:space="preserve"> risk</w:t>
            </w:r>
          </w:p>
        </w:tc>
        <w:tc>
          <w:tcPr>
            <w:tcW w:w="11199" w:type="dxa"/>
            <w:vMerge/>
            <w:shd w:val="clear" w:color="D9E2F3" w:themeColor="accent1" w:themeTint="33" w:fill="auto"/>
          </w:tcPr>
          <w:p w14:paraId="180FFB3A" w14:textId="05E68918" w:rsidR="00637F39" w:rsidRPr="00822EBF" w:rsidRDefault="00637F39" w:rsidP="00465384">
            <w:pPr>
              <w:pStyle w:val="RCTstable"/>
            </w:pPr>
          </w:p>
        </w:tc>
      </w:tr>
      <w:tr w:rsidR="0068288F" w:rsidRPr="00822EBF" w14:paraId="5B308AE5" w14:textId="77777777" w:rsidTr="005A5EBF">
        <w:trPr>
          <w:cantSplit/>
        </w:trPr>
        <w:tc>
          <w:tcPr>
            <w:tcW w:w="1560" w:type="dxa"/>
            <w:shd w:val="clear" w:color="D9E2F3" w:themeColor="accent1" w:themeTint="33" w:fill="auto"/>
          </w:tcPr>
          <w:p w14:paraId="17D32E6B" w14:textId="77777777" w:rsidR="0068288F" w:rsidRPr="00822EBF" w:rsidRDefault="0068288F" w:rsidP="00465384">
            <w:pPr>
              <w:pStyle w:val="RCTstable"/>
            </w:pPr>
            <w:r w:rsidRPr="00822EBF">
              <w:t>Incomplete outcome data</w:t>
            </w:r>
          </w:p>
        </w:tc>
        <w:tc>
          <w:tcPr>
            <w:tcW w:w="1275" w:type="dxa"/>
            <w:shd w:val="clear" w:color="D9E2F3" w:themeColor="accent1" w:themeTint="33" w:fill="70AD47" w:themeFill="accent6"/>
          </w:tcPr>
          <w:p w14:paraId="1BA8786B" w14:textId="77777777" w:rsidR="0068288F" w:rsidRPr="00822EBF" w:rsidRDefault="0068288F" w:rsidP="00465384">
            <w:pPr>
              <w:pStyle w:val="RCTstable"/>
            </w:pPr>
            <w:r w:rsidRPr="00822EBF">
              <w:t>Low risk</w:t>
            </w:r>
          </w:p>
        </w:tc>
        <w:tc>
          <w:tcPr>
            <w:tcW w:w="11199" w:type="dxa"/>
            <w:shd w:val="clear" w:color="D9E2F3" w:themeColor="accent1" w:themeTint="33" w:fill="auto"/>
          </w:tcPr>
          <w:p w14:paraId="29206788" w14:textId="0C18CABD" w:rsidR="0068288F" w:rsidRPr="00822EBF" w:rsidRDefault="007B50D2" w:rsidP="007B50D2">
            <w:pPr>
              <w:pStyle w:val="RCTstable"/>
            </w:pPr>
            <w:r>
              <w:t>Low attrition; primary outcome data were available for 87% of intervention group and 90</w:t>
            </w:r>
            <w:r w:rsidR="0068288F">
              <w:t>% of control group. Reasons given.</w:t>
            </w:r>
          </w:p>
        </w:tc>
      </w:tr>
      <w:tr w:rsidR="0068288F" w:rsidRPr="00822EBF" w14:paraId="01FC4F74" w14:textId="77777777" w:rsidTr="005A5EBF">
        <w:trPr>
          <w:cantSplit/>
        </w:trPr>
        <w:tc>
          <w:tcPr>
            <w:tcW w:w="1560" w:type="dxa"/>
            <w:shd w:val="clear" w:color="D9E2F3" w:themeColor="accent1" w:themeTint="33" w:fill="auto"/>
          </w:tcPr>
          <w:p w14:paraId="704D5FC3" w14:textId="77777777" w:rsidR="0068288F" w:rsidRPr="00822EBF" w:rsidRDefault="0068288F" w:rsidP="00465384">
            <w:pPr>
              <w:pStyle w:val="RCTstable"/>
            </w:pPr>
            <w:r w:rsidRPr="00822EBF">
              <w:t>Selective reporting</w:t>
            </w:r>
          </w:p>
        </w:tc>
        <w:tc>
          <w:tcPr>
            <w:tcW w:w="1275" w:type="dxa"/>
            <w:shd w:val="clear" w:color="D9E2F3" w:themeColor="accent1" w:themeTint="33" w:fill="70AD47" w:themeFill="accent6"/>
          </w:tcPr>
          <w:p w14:paraId="635F9D3F" w14:textId="200957E9" w:rsidR="0068288F" w:rsidRPr="00822EBF" w:rsidRDefault="0042702F" w:rsidP="00465384">
            <w:pPr>
              <w:pStyle w:val="RCTstable"/>
            </w:pPr>
            <w:r>
              <w:t>Low</w:t>
            </w:r>
            <w:r w:rsidR="0068288F" w:rsidRPr="00822EBF">
              <w:t xml:space="preserve"> risk</w:t>
            </w:r>
          </w:p>
        </w:tc>
        <w:tc>
          <w:tcPr>
            <w:tcW w:w="11199" w:type="dxa"/>
            <w:shd w:val="clear" w:color="D9E2F3" w:themeColor="accent1" w:themeTint="33" w:fill="auto"/>
          </w:tcPr>
          <w:p w14:paraId="662058D2" w14:textId="6B281DDA" w:rsidR="0068288F" w:rsidRPr="00822EBF" w:rsidRDefault="0042702F" w:rsidP="00465384">
            <w:pPr>
              <w:pStyle w:val="RCTstable"/>
            </w:pPr>
            <w:r>
              <w:t>Pre-specified outcomes reported.</w:t>
            </w:r>
          </w:p>
        </w:tc>
      </w:tr>
      <w:tr w:rsidR="0068288F" w:rsidRPr="00822EBF" w14:paraId="07CE4E23" w14:textId="77777777" w:rsidTr="005A5EBF">
        <w:trPr>
          <w:cantSplit/>
        </w:trPr>
        <w:tc>
          <w:tcPr>
            <w:tcW w:w="1560" w:type="dxa"/>
            <w:shd w:val="clear" w:color="D9E2F3" w:themeColor="accent1" w:themeTint="33" w:fill="auto"/>
          </w:tcPr>
          <w:p w14:paraId="4780BC7A" w14:textId="77777777" w:rsidR="0068288F" w:rsidRPr="00822EBF" w:rsidRDefault="0068288F" w:rsidP="00465384">
            <w:pPr>
              <w:pStyle w:val="RCTstable"/>
            </w:pPr>
            <w:r w:rsidRPr="00822EBF">
              <w:t xml:space="preserve">Other limitations </w:t>
            </w:r>
          </w:p>
        </w:tc>
        <w:tc>
          <w:tcPr>
            <w:tcW w:w="1275" w:type="dxa"/>
            <w:shd w:val="clear" w:color="D9E2F3" w:themeColor="accent1" w:themeTint="33" w:fill="70AD47" w:themeFill="accent6"/>
          </w:tcPr>
          <w:p w14:paraId="30CB7C06" w14:textId="77777777" w:rsidR="0068288F" w:rsidRPr="00822EBF" w:rsidRDefault="0068288F" w:rsidP="00465384">
            <w:pPr>
              <w:pStyle w:val="RCTstable"/>
            </w:pPr>
            <w:r w:rsidRPr="00822EBF">
              <w:t>Low risk</w:t>
            </w:r>
          </w:p>
        </w:tc>
        <w:tc>
          <w:tcPr>
            <w:tcW w:w="11199" w:type="dxa"/>
            <w:shd w:val="clear" w:color="D9E2F3" w:themeColor="accent1" w:themeTint="33" w:fill="auto"/>
          </w:tcPr>
          <w:p w14:paraId="0961CBA6" w14:textId="77777777" w:rsidR="0068288F" w:rsidRPr="00822EBF" w:rsidRDefault="0068288F" w:rsidP="00465384">
            <w:pPr>
              <w:pStyle w:val="RCTstable"/>
            </w:pPr>
            <w:r w:rsidRPr="00822EBF">
              <w:t>No obvious sources of other bias identified</w:t>
            </w:r>
          </w:p>
        </w:tc>
      </w:tr>
      <w:tr w:rsidR="005735A5" w:rsidRPr="00994D84" w14:paraId="3B01D4AB" w14:textId="77777777" w:rsidTr="005A5EBF">
        <w:trPr>
          <w:cantSplit/>
        </w:trPr>
        <w:tc>
          <w:tcPr>
            <w:tcW w:w="14034" w:type="dxa"/>
            <w:gridSpan w:val="3"/>
            <w:shd w:val="solid" w:color="D9E2F3" w:themeColor="accent1" w:themeTint="33" w:fill="auto"/>
          </w:tcPr>
          <w:p w14:paraId="35A94D28" w14:textId="507EB4E8" w:rsidR="005735A5" w:rsidRPr="0068288F" w:rsidRDefault="005735A5" w:rsidP="002747EA">
            <w:pPr>
              <w:pStyle w:val="RCTstable"/>
              <w:keepNext/>
              <w:rPr>
                <w:rFonts w:ascii="Century Gothic" w:hAnsi="Century Gothic"/>
                <w:noProof/>
              </w:rPr>
            </w:pPr>
            <w:r>
              <w:rPr>
                <w:rFonts w:ascii="Century Gothic" w:hAnsi="Century Gothic"/>
                <w:b/>
                <w:noProof/>
              </w:rPr>
              <w:t>Kiani-Asiabar et al 2018</w:t>
            </w:r>
            <w:r w:rsidR="00E37D04">
              <w:rPr>
                <w:rFonts w:ascii="Century Gothic" w:hAnsi="Century Gothic"/>
                <w:noProof/>
              </w:rPr>
              <w:fldChar w:fldCharType="begin"/>
            </w:r>
            <w:r w:rsidR="002747EA">
              <w:rPr>
                <w:rFonts w:ascii="Century Gothic" w:hAnsi="Century Gothic"/>
                <w:noProof/>
              </w:rPr>
              <w:instrText xml:space="preserve"> ADDIN EN.CITE &lt;EndNote&gt;&lt;Cite&gt;&lt;Author&gt;Kiani Asiabar&lt;/Author&gt;&lt;Year&gt;2018&lt;/Year&gt;&lt;RecNum&gt;1380&lt;/RecNum&gt;&lt;DisplayText&gt;&lt;style face="superscript" font="Trebuchet MS" size="9"&gt;498&lt;/style&gt;&lt;/DisplayText&gt;&lt;record&gt;&lt;rec-number&gt;1380&lt;/rec-number&gt;&lt;foreign-keys&gt;&lt;key app="EN" db-id="exvasrfx2dtraoesasxp2szsxa2df502592x" timestamp="1567124571"&gt;1380&lt;/key&gt;&lt;key app="ENWeb" db-id=""&gt;0&lt;/key&gt;&lt;/foreign-keys&gt;&lt;ref-type name="Journal Article"&gt;17&lt;/ref-type&gt;&lt;contributors&gt;&lt;authors&gt;&lt;author&gt;Kiani Asiabar, A.&lt;/author&gt;&lt;author&gt;Amin Shokravi, F.&lt;/author&gt;&lt;author&gt;Hajifaraji, M.&lt;/author&gt;&lt;author&gt;Zayeri, F.&lt;/author&gt;&lt;/authors&gt;&lt;/contributors&gt;&lt;auth-address&gt;Department of Health Education and Health Promotion, Faculty of Medical Sciences, Tarbiat Modares University, Tehran, Iran.&amp;#xD;Department of Midwifery, Faculty of Nursing and Midwifery, Shahed University, Tehran, Iran.&amp;#xD;Department of Health Educations and Health Promotion, Faculty of Medical Sciences, Tarbiat Modares University, Tehran, Iran.&amp;#xD;National Nutrition and Food Technology Research Institute, School of Nutrition Sciences and Food Technology, Shahid Beheshti University of Medical Sciences, Tehran, Iran.&amp;#xD;Department of Biostatistics, Faculty of Paramedical Sciences, Shahid Beheshti University of Medical Sciences, Tehran, Iran.&lt;/auth-address&gt;&lt;titles&gt;&lt;title&gt;The effect of an educational intervention in early pregnancy with spouse&amp;apos;s participation on optimal gestational weight gain in pregnancy: a randomized controlled trial&lt;/title&gt;&lt;secondary-title&gt;Health Educ Res&lt;/secondary-title&gt;&lt;/titles&gt;&lt;periodical&gt;&lt;full-title&gt;Health Educ Res&lt;/full-title&gt;&lt;/periodical&gt;&lt;pages&gt;535-547&lt;/pages&gt;&lt;volume&gt;33&lt;/volume&gt;&lt;number&gt;6&lt;/number&gt;&lt;edition&gt;2018/11/30&lt;/edition&gt;&lt;dates&gt;&lt;year&gt;2018&lt;/year&gt;&lt;pub-dates&gt;&lt;date&gt;Dec 1&lt;/date&gt;&lt;/pub-dates&gt;&lt;/dates&gt;&lt;isbn&gt;1465-3648 (Electronic)&amp;#xD;0268-1153 (Linking)&lt;/isbn&gt;&lt;accession-num&gt;30496409&lt;/accession-num&gt;&lt;urls&gt;&lt;related-urls&gt;&lt;url&gt;https://www.ncbi.nlm.nih.gov/pubmed/30496409&lt;/url&gt;&lt;/related-urls&gt;&lt;/urls&gt;&lt;electronic-resource-num&gt;10.1093/her/cyy040&lt;/electronic-resource-num&gt;&lt;/record&gt;&lt;/Cite&gt;&lt;/EndNote&gt;</w:instrText>
            </w:r>
            <w:r w:rsidR="00E37D04">
              <w:rPr>
                <w:rFonts w:ascii="Century Gothic" w:hAnsi="Century Gothic"/>
                <w:noProof/>
              </w:rPr>
              <w:fldChar w:fldCharType="separate"/>
            </w:r>
            <w:r w:rsidR="002747EA" w:rsidRPr="002747EA">
              <w:rPr>
                <w:noProof/>
                <w:sz w:val="18"/>
                <w:vertAlign w:val="superscript"/>
              </w:rPr>
              <w:t>498</w:t>
            </w:r>
            <w:r w:rsidR="00E37D04">
              <w:rPr>
                <w:rFonts w:ascii="Century Gothic" w:hAnsi="Century Gothic"/>
                <w:noProof/>
              </w:rPr>
              <w:fldChar w:fldCharType="end"/>
            </w:r>
          </w:p>
        </w:tc>
      </w:tr>
      <w:tr w:rsidR="005735A5" w:rsidRPr="00822EBF" w14:paraId="6F127A7D" w14:textId="77777777" w:rsidTr="005A5EBF">
        <w:trPr>
          <w:cantSplit/>
        </w:trPr>
        <w:tc>
          <w:tcPr>
            <w:tcW w:w="1560" w:type="dxa"/>
            <w:shd w:val="clear" w:color="D9E2F3" w:themeColor="accent1" w:themeTint="33" w:fill="auto"/>
          </w:tcPr>
          <w:p w14:paraId="5048757E" w14:textId="77777777" w:rsidR="005735A5" w:rsidRPr="00822EBF" w:rsidRDefault="005735A5" w:rsidP="003B5251">
            <w:pPr>
              <w:pStyle w:val="RCTstable"/>
              <w:keepNext/>
            </w:pPr>
            <w:r w:rsidRPr="00822EBF">
              <w:t>Random sequence generation</w:t>
            </w:r>
          </w:p>
        </w:tc>
        <w:tc>
          <w:tcPr>
            <w:tcW w:w="1275" w:type="dxa"/>
            <w:shd w:val="clear" w:color="D9E2F3" w:themeColor="accent1" w:themeTint="33" w:fill="FF4D19"/>
          </w:tcPr>
          <w:p w14:paraId="06D046A8" w14:textId="54D9B53A" w:rsidR="005735A5" w:rsidRPr="00822EBF" w:rsidRDefault="003C78E1" w:rsidP="003B5251">
            <w:pPr>
              <w:pStyle w:val="RCTstable"/>
              <w:keepNext/>
            </w:pPr>
            <w:r>
              <w:t>High</w:t>
            </w:r>
            <w:r w:rsidR="005735A5" w:rsidRPr="00822EBF">
              <w:t xml:space="preserve"> risk</w:t>
            </w:r>
          </w:p>
        </w:tc>
        <w:tc>
          <w:tcPr>
            <w:tcW w:w="11199" w:type="dxa"/>
            <w:shd w:val="clear" w:color="D9E2F3" w:themeColor="accent1" w:themeTint="33" w:fill="auto"/>
          </w:tcPr>
          <w:p w14:paraId="7F335360" w14:textId="23EFF266" w:rsidR="005735A5" w:rsidRPr="003C78E1" w:rsidRDefault="003C78E1" w:rsidP="003B5251">
            <w:pPr>
              <w:pStyle w:val="RCTstable"/>
              <w:keepNext/>
            </w:pPr>
            <w:r>
              <w:t>Randomis</w:t>
            </w:r>
            <w:r w:rsidRPr="003C78E1">
              <w:t>ations were performed using</w:t>
            </w:r>
            <w:r>
              <w:t xml:space="preserve"> </w:t>
            </w:r>
            <w:r w:rsidRPr="003C78E1">
              <w:t>the method of the roll of a die.</w:t>
            </w:r>
            <w:r>
              <w:t xml:space="preserve"> </w:t>
            </w:r>
            <w:r w:rsidRPr="003C78E1">
              <w:t>Those participants with numbers 1 and 2 framed</w:t>
            </w:r>
            <w:r>
              <w:t xml:space="preserve"> </w:t>
            </w:r>
            <w:r w:rsidRPr="003C78E1">
              <w:t>group A; 3 and 4, group B and 5 and 6, group C</w:t>
            </w:r>
          </w:p>
        </w:tc>
      </w:tr>
      <w:tr w:rsidR="005735A5" w:rsidRPr="00822EBF" w14:paraId="7F68D25D" w14:textId="77777777" w:rsidTr="005A5EBF">
        <w:trPr>
          <w:cantSplit/>
        </w:trPr>
        <w:tc>
          <w:tcPr>
            <w:tcW w:w="1560" w:type="dxa"/>
            <w:shd w:val="clear" w:color="D9E2F3" w:themeColor="accent1" w:themeTint="33" w:fill="auto"/>
          </w:tcPr>
          <w:p w14:paraId="32F20DEA" w14:textId="77777777" w:rsidR="005735A5" w:rsidRPr="00822EBF" w:rsidRDefault="005735A5" w:rsidP="003B5251">
            <w:pPr>
              <w:pStyle w:val="RCTstable"/>
              <w:keepNext/>
            </w:pPr>
            <w:r w:rsidRPr="00822EBF">
              <w:t xml:space="preserve">Allocation concealment </w:t>
            </w:r>
          </w:p>
        </w:tc>
        <w:tc>
          <w:tcPr>
            <w:tcW w:w="1275" w:type="dxa"/>
            <w:shd w:val="clear" w:color="D9E2F3" w:themeColor="accent1" w:themeTint="33" w:fill="FFC000" w:themeFill="accent4"/>
          </w:tcPr>
          <w:p w14:paraId="0B0C9145" w14:textId="15D17E24" w:rsidR="005735A5" w:rsidRPr="00822EBF" w:rsidRDefault="003C78E1" w:rsidP="003B5251">
            <w:pPr>
              <w:pStyle w:val="RCTstable"/>
              <w:keepNext/>
            </w:pPr>
            <w:r>
              <w:t>Unclear</w:t>
            </w:r>
            <w:r w:rsidR="005735A5" w:rsidRPr="00822EBF">
              <w:t xml:space="preserve"> risk</w:t>
            </w:r>
          </w:p>
        </w:tc>
        <w:tc>
          <w:tcPr>
            <w:tcW w:w="11199" w:type="dxa"/>
            <w:shd w:val="clear" w:color="D9E2F3" w:themeColor="accent1" w:themeTint="33" w:fill="auto"/>
          </w:tcPr>
          <w:p w14:paraId="7C2DAD93" w14:textId="4836AE26" w:rsidR="005735A5" w:rsidRPr="00822EBF" w:rsidRDefault="003C78E1" w:rsidP="003B5251">
            <w:pPr>
              <w:pStyle w:val="RCTstable"/>
              <w:keepNext/>
            </w:pPr>
            <w:r>
              <w:t>Not described</w:t>
            </w:r>
          </w:p>
        </w:tc>
      </w:tr>
      <w:tr w:rsidR="005735A5" w:rsidRPr="00822EBF" w14:paraId="4667CC18" w14:textId="77777777" w:rsidTr="005A5EBF">
        <w:trPr>
          <w:cantSplit/>
        </w:trPr>
        <w:tc>
          <w:tcPr>
            <w:tcW w:w="1560" w:type="dxa"/>
            <w:shd w:val="clear" w:color="D9E2F3" w:themeColor="accent1" w:themeTint="33" w:fill="auto"/>
          </w:tcPr>
          <w:p w14:paraId="735B44A0" w14:textId="77777777" w:rsidR="005735A5" w:rsidRPr="00822EBF" w:rsidRDefault="005735A5" w:rsidP="00465384">
            <w:pPr>
              <w:pStyle w:val="RCTstable"/>
            </w:pPr>
            <w:r w:rsidRPr="00822EBF">
              <w:t>Performance bias</w:t>
            </w:r>
          </w:p>
        </w:tc>
        <w:tc>
          <w:tcPr>
            <w:tcW w:w="1275" w:type="dxa"/>
            <w:shd w:val="clear" w:color="D9E2F3" w:themeColor="accent1" w:themeTint="33" w:fill="FFC000" w:themeFill="accent4"/>
          </w:tcPr>
          <w:p w14:paraId="0F649E4C" w14:textId="6F702C1D" w:rsidR="005735A5" w:rsidRPr="00822EBF" w:rsidRDefault="003C78E1" w:rsidP="00465384">
            <w:pPr>
              <w:pStyle w:val="RCTstable"/>
            </w:pPr>
            <w:r>
              <w:t>Unclear</w:t>
            </w:r>
            <w:r w:rsidR="005735A5" w:rsidRPr="00822EBF">
              <w:t xml:space="preserve"> risk</w:t>
            </w:r>
          </w:p>
        </w:tc>
        <w:tc>
          <w:tcPr>
            <w:tcW w:w="11199" w:type="dxa"/>
            <w:shd w:val="clear" w:color="D9E2F3" w:themeColor="accent1" w:themeTint="33" w:fill="auto"/>
          </w:tcPr>
          <w:p w14:paraId="221979F1" w14:textId="09AD8B2E" w:rsidR="005735A5" w:rsidRPr="00822EBF" w:rsidRDefault="003C78E1" w:rsidP="00465384">
            <w:pPr>
              <w:pStyle w:val="RCTstable"/>
            </w:pPr>
            <w:r>
              <w:t>Not described</w:t>
            </w:r>
          </w:p>
        </w:tc>
      </w:tr>
      <w:tr w:rsidR="005735A5" w:rsidRPr="00822EBF" w14:paraId="60FDF04D" w14:textId="77777777" w:rsidTr="005A5EBF">
        <w:trPr>
          <w:cantSplit/>
        </w:trPr>
        <w:tc>
          <w:tcPr>
            <w:tcW w:w="1560" w:type="dxa"/>
            <w:shd w:val="clear" w:color="D9E2F3" w:themeColor="accent1" w:themeTint="33" w:fill="auto"/>
          </w:tcPr>
          <w:p w14:paraId="170DA1BE" w14:textId="77777777" w:rsidR="005735A5" w:rsidRPr="00822EBF" w:rsidRDefault="005735A5" w:rsidP="00465384">
            <w:pPr>
              <w:pStyle w:val="RCTstable"/>
            </w:pPr>
            <w:r w:rsidRPr="00822EBF">
              <w:t>Detection bias</w:t>
            </w:r>
          </w:p>
        </w:tc>
        <w:tc>
          <w:tcPr>
            <w:tcW w:w="1275" w:type="dxa"/>
            <w:shd w:val="clear" w:color="D9E2F3" w:themeColor="accent1" w:themeTint="33" w:fill="FFC000" w:themeFill="accent4"/>
          </w:tcPr>
          <w:p w14:paraId="0102B485" w14:textId="2798E276" w:rsidR="005735A5" w:rsidRPr="00822EBF" w:rsidRDefault="003C78E1" w:rsidP="00465384">
            <w:pPr>
              <w:pStyle w:val="RCTstable"/>
            </w:pPr>
            <w:r>
              <w:t>Unclear</w:t>
            </w:r>
            <w:r w:rsidR="005735A5" w:rsidRPr="00822EBF">
              <w:t xml:space="preserve"> risk</w:t>
            </w:r>
          </w:p>
        </w:tc>
        <w:tc>
          <w:tcPr>
            <w:tcW w:w="11199" w:type="dxa"/>
            <w:shd w:val="clear" w:color="D9E2F3" w:themeColor="accent1" w:themeTint="33" w:fill="auto"/>
          </w:tcPr>
          <w:p w14:paraId="5FD3F229" w14:textId="2F34851C" w:rsidR="005735A5" w:rsidRPr="00822EBF" w:rsidRDefault="003C78E1" w:rsidP="00465384">
            <w:pPr>
              <w:pStyle w:val="RCTstable"/>
            </w:pPr>
            <w:r>
              <w:t>Not described</w:t>
            </w:r>
          </w:p>
        </w:tc>
      </w:tr>
      <w:tr w:rsidR="005735A5" w:rsidRPr="00822EBF" w14:paraId="23D3DB7A" w14:textId="77777777" w:rsidTr="005A5EBF">
        <w:trPr>
          <w:cantSplit/>
        </w:trPr>
        <w:tc>
          <w:tcPr>
            <w:tcW w:w="1560" w:type="dxa"/>
            <w:shd w:val="clear" w:color="D9E2F3" w:themeColor="accent1" w:themeTint="33" w:fill="auto"/>
          </w:tcPr>
          <w:p w14:paraId="08F8A460" w14:textId="77777777" w:rsidR="005735A5" w:rsidRPr="00822EBF" w:rsidRDefault="005735A5" w:rsidP="00465384">
            <w:pPr>
              <w:pStyle w:val="RCTstable"/>
            </w:pPr>
            <w:r w:rsidRPr="00822EBF">
              <w:t>Incomplete outcome data</w:t>
            </w:r>
          </w:p>
        </w:tc>
        <w:tc>
          <w:tcPr>
            <w:tcW w:w="1275" w:type="dxa"/>
            <w:shd w:val="clear" w:color="D9E2F3" w:themeColor="accent1" w:themeTint="33" w:fill="FFC000" w:themeFill="accent4"/>
          </w:tcPr>
          <w:p w14:paraId="45C6A7A7" w14:textId="7E80AF39" w:rsidR="005735A5" w:rsidRPr="00822EBF" w:rsidRDefault="00975771" w:rsidP="00465384">
            <w:pPr>
              <w:pStyle w:val="RCTstable"/>
            </w:pPr>
            <w:r>
              <w:t>Unclear</w:t>
            </w:r>
            <w:r w:rsidR="005735A5" w:rsidRPr="00822EBF">
              <w:t xml:space="preserve"> risk</w:t>
            </w:r>
          </w:p>
        </w:tc>
        <w:tc>
          <w:tcPr>
            <w:tcW w:w="11199" w:type="dxa"/>
            <w:shd w:val="clear" w:color="D9E2F3" w:themeColor="accent1" w:themeTint="33" w:fill="auto"/>
          </w:tcPr>
          <w:p w14:paraId="711A9505" w14:textId="2F4309B0" w:rsidR="005735A5" w:rsidRPr="00822EBF" w:rsidRDefault="005735A5" w:rsidP="00975771">
            <w:pPr>
              <w:pStyle w:val="RCTstable"/>
            </w:pPr>
            <w:r>
              <w:t>Low attrition; primary outcome data were available for 8</w:t>
            </w:r>
            <w:r w:rsidR="00975771">
              <w:t>2</w:t>
            </w:r>
            <w:r>
              <w:t xml:space="preserve">% of intervention group </w:t>
            </w:r>
            <w:r w:rsidR="00975771">
              <w:t>A, 84% of intervention Group B and 8</w:t>
            </w:r>
            <w:r>
              <w:t>0% of control group. Reasons given.</w:t>
            </w:r>
            <w:r w:rsidR="00975771">
              <w:t xml:space="preserve"> There is a discrepancy between the flow diagram, text and reporting of outcomes in Group A, with one women apparently lost to follow-up without explanation.</w:t>
            </w:r>
          </w:p>
        </w:tc>
      </w:tr>
      <w:tr w:rsidR="005735A5" w:rsidRPr="00822EBF" w14:paraId="53C615C0" w14:textId="77777777" w:rsidTr="005A5EBF">
        <w:trPr>
          <w:cantSplit/>
        </w:trPr>
        <w:tc>
          <w:tcPr>
            <w:tcW w:w="1560" w:type="dxa"/>
            <w:shd w:val="clear" w:color="D9E2F3" w:themeColor="accent1" w:themeTint="33" w:fill="auto"/>
          </w:tcPr>
          <w:p w14:paraId="11979823" w14:textId="77777777" w:rsidR="005735A5" w:rsidRPr="00822EBF" w:rsidRDefault="005735A5" w:rsidP="00465384">
            <w:pPr>
              <w:pStyle w:val="RCTstable"/>
            </w:pPr>
            <w:r w:rsidRPr="00822EBF">
              <w:t>Selective reporting</w:t>
            </w:r>
          </w:p>
        </w:tc>
        <w:tc>
          <w:tcPr>
            <w:tcW w:w="1275" w:type="dxa"/>
            <w:shd w:val="clear" w:color="D9E2F3" w:themeColor="accent1" w:themeTint="33" w:fill="70AD47" w:themeFill="accent6"/>
          </w:tcPr>
          <w:p w14:paraId="7FB42EC2" w14:textId="77777777" w:rsidR="005735A5" w:rsidRPr="00822EBF" w:rsidRDefault="005735A5" w:rsidP="00465384">
            <w:pPr>
              <w:pStyle w:val="RCTstable"/>
            </w:pPr>
            <w:r>
              <w:t>Low</w:t>
            </w:r>
            <w:r w:rsidRPr="00822EBF">
              <w:t xml:space="preserve"> risk</w:t>
            </w:r>
          </w:p>
        </w:tc>
        <w:tc>
          <w:tcPr>
            <w:tcW w:w="11199" w:type="dxa"/>
            <w:shd w:val="clear" w:color="D9E2F3" w:themeColor="accent1" w:themeTint="33" w:fill="auto"/>
          </w:tcPr>
          <w:p w14:paraId="3E72C396" w14:textId="77777777" w:rsidR="005735A5" w:rsidRPr="00822EBF" w:rsidRDefault="005735A5" w:rsidP="00465384">
            <w:pPr>
              <w:pStyle w:val="RCTstable"/>
            </w:pPr>
            <w:r>
              <w:t>Pre-specified outcomes reported.</w:t>
            </w:r>
          </w:p>
        </w:tc>
      </w:tr>
      <w:tr w:rsidR="005735A5" w:rsidRPr="00822EBF" w14:paraId="58BD77B1" w14:textId="77777777" w:rsidTr="005A5EBF">
        <w:trPr>
          <w:cantSplit/>
        </w:trPr>
        <w:tc>
          <w:tcPr>
            <w:tcW w:w="1560" w:type="dxa"/>
            <w:shd w:val="clear" w:color="D9E2F3" w:themeColor="accent1" w:themeTint="33" w:fill="auto"/>
          </w:tcPr>
          <w:p w14:paraId="713D52CB" w14:textId="77777777" w:rsidR="005735A5" w:rsidRPr="00822EBF" w:rsidRDefault="005735A5" w:rsidP="00465384">
            <w:pPr>
              <w:pStyle w:val="RCTstable"/>
            </w:pPr>
            <w:r w:rsidRPr="00822EBF">
              <w:t xml:space="preserve">Other limitations </w:t>
            </w:r>
          </w:p>
        </w:tc>
        <w:tc>
          <w:tcPr>
            <w:tcW w:w="1275" w:type="dxa"/>
            <w:shd w:val="clear" w:color="D9E2F3" w:themeColor="accent1" w:themeTint="33" w:fill="70AD47" w:themeFill="accent6"/>
          </w:tcPr>
          <w:p w14:paraId="589E331A" w14:textId="77777777" w:rsidR="005735A5" w:rsidRPr="00822EBF" w:rsidRDefault="005735A5" w:rsidP="00465384">
            <w:pPr>
              <w:pStyle w:val="RCTstable"/>
            </w:pPr>
            <w:r w:rsidRPr="00822EBF">
              <w:t>Low risk</w:t>
            </w:r>
          </w:p>
        </w:tc>
        <w:tc>
          <w:tcPr>
            <w:tcW w:w="11199" w:type="dxa"/>
            <w:shd w:val="clear" w:color="D9E2F3" w:themeColor="accent1" w:themeTint="33" w:fill="auto"/>
          </w:tcPr>
          <w:p w14:paraId="481B41F0" w14:textId="4B29F6DA" w:rsidR="005735A5" w:rsidRPr="00FC0E28" w:rsidRDefault="00FC0E28" w:rsidP="00FC0E28">
            <w:pPr>
              <w:pStyle w:val="RCTstable"/>
            </w:pPr>
            <w:r w:rsidRPr="00FC0E28">
              <w:t>Data</w:t>
            </w:r>
            <w:r>
              <w:t xml:space="preserve"> </w:t>
            </w:r>
            <w:r w:rsidRPr="00FC0E28">
              <w:t>analysis showed no differences between the intervention</w:t>
            </w:r>
            <w:r>
              <w:t xml:space="preserve"> </w:t>
            </w:r>
            <w:r w:rsidRPr="00FC0E28">
              <w:t>groups (A and B) and the control group</w:t>
            </w:r>
          </w:p>
        </w:tc>
      </w:tr>
      <w:tr w:rsidR="008E765F" w:rsidRPr="00994D84" w14:paraId="071E9F4D" w14:textId="77777777" w:rsidTr="005A5EBF">
        <w:trPr>
          <w:cantSplit/>
        </w:trPr>
        <w:tc>
          <w:tcPr>
            <w:tcW w:w="14034" w:type="dxa"/>
            <w:gridSpan w:val="3"/>
            <w:shd w:val="solid" w:color="D9E2F3" w:themeColor="accent1" w:themeTint="33" w:fill="auto"/>
          </w:tcPr>
          <w:p w14:paraId="60ED3532" w14:textId="6E319BB3" w:rsidR="008E765F" w:rsidRPr="00994D84" w:rsidRDefault="008E765F" w:rsidP="002747EA">
            <w:pPr>
              <w:pStyle w:val="RCTstable"/>
              <w:keepNext/>
              <w:rPr>
                <w:b/>
              </w:rPr>
            </w:pPr>
            <w:r w:rsidRPr="0025597C">
              <w:rPr>
                <w:rFonts w:ascii="Century Gothic" w:hAnsi="Century Gothic"/>
                <w:b/>
                <w:noProof/>
              </w:rPr>
              <w:t>Koivusalo et al 2016</w:t>
            </w:r>
            <w:r>
              <w:fldChar w:fldCharType="begin"/>
            </w:r>
            <w:r w:rsidR="002747EA">
              <w:instrText xml:space="preserve"> ADDIN EN.CITE &lt;EndNote&gt;&lt;Cite&gt;&lt;Author&gt;Koivusalo&lt;/Author&gt;&lt;Year&gt;2016&lt;/Year&gt;&lt;RecNum&gt;733&lt;/RecNum&gt;&lt;DisplayText&gt;&lt;style face="superscript" font="Trebuchet MS" size="9"&gt;519&lt;/style&gt;&lt;/DisplayText&gt;&lt;record&gt;&lt;rec-number&gt;733&lt;/rec-number&gt;&lt;foreign-keys&gt;&lt;key app="EN" db-id="exvasrfx2dtraoesasxp2szsxa2df502592x" timestamp="1541467766"&gt;733&lt;/key&gt;&lt;key app="ENWeb" db-id=""&gt;0&lt;/key&gt;&lt;/foreign-keys&gt;&lt;ref-type name="Journal Article"&gt;17&lt;/ref-type&gt;&lt;contributors&gt;&lt;authors&gt;&lt;author&gt;Koivusalo, S.B.,&lt;/author&gt;&lt;author&gt;Rönö, K.,&lt;/author&gt;&lt;author&gt;Klemetti, M.M.,&lt;/author&gt;&lt;author&gt;Roine, R.P.,&lt;/author&gt;&lt;author&gt;Lindström, J.,&lt;/author&gt;&lt;author&gt;Erkkola, M.,&lt;/author&gt;&lt;/authors&gt;&lt;/contributors&gt;&lt;titles&gt;&lt;title&gt;Gestational diabetes mellitus can be prevented by lifestyle intervention: The Finnish Gestational Diabetes Prevention Study (RADIEL)&lt;/title&gt;&lt;secondary-title&gt;Diabetes Care&lt;/secondary-title&gt;&lt;/titles&gt;&lt;periodical&gt;&lt;full-title&gt;Diabetes Care&lt;/full-title&gt;&lt;/periodical&gt;&lt;pages&gt;24-30&lt;/pages&gt;&lt;volume&gt;39&lt;/volume&gt;&lt;number&gt;1&lt;/number&gt;&lt;section&gt;24&lt;/section&gt;&lt;dates&gt;&lt;year&gt;2016&lt;/year&gt;&lt;/dates&gt;&lt;isbn&gt;0149-5992&amp;#xD;1935-5548&lt;/isbn&gt;&lt;urls&gt;&lt;/urls&gt;&lt;electronic-resource-num&gt;10.2337/dc15-0511&lt;/electronic-resource-num&gt;&lt;/record&gt;&lt;/Cite&gt;&lt;/EndNote&gt;</w:instrText>
            </w:r>
            <w:r>
              <w:fldChar w:fldCharType="separate"/>
            </w:r>
            <w:r w:rsidR="002747EA" w:rsidRPr="002747EA">
              <w:rPr>
                <w:noProof/>
                <w:sz w:val="18"/>
                <w:vertAlign w:val="superscript"/>
              </w:rPr>
              <w:t>519</w:t>
            </w:r>
            <w:r>
              <w:fldChar w:fldCharType="end"/>
            </w:r>
          </w:p>
        </w:tc>
      </w:tr>
      <w:tr w:rsidR="008E765F" w:rsidRPr="00822EBF" w14:paraId="25454A83" w14:textId="77777777" w:rsidTr="005A5EBF">
        <w:trPr>
          <w:cantSplit/>
        </w:trPr>
        <w:tc>
          <w:tcPr>
            <w:tcW w:w="1560" w:type="dxa"/>
            <w:shd w:val="clear" w:color="D9E2F3" w:themeColor="accent1" w:themeTint="33" w:fill="auto"/>
          </w:tcPr>
          <w:p w14:paraId="3CD2022C" w14:textId="77777777" w:rsidR="008E765F" w:rsidRPr="00822EBF" w:rsidRDefault="008E765F" w:rsidP="00973885">
            <w:pPr>
              <w:pStyle w:val="RCTstable"/>
              <w:keepNext/>
            </w:pPr>
            <w:r w:rsidRPr="00822EBF">
              <w:t>Random sequence generation</w:t>
            </w:r>
          </w:p>
        </w:tc>
        <w:tc>
          <w:tcPr>
            <w:tcW w:w="1275" w:type="dxa"/>
            <w:shd w:val="clear" w:color="D9E2F3" w:themeColor="accent1" w:themeTint="33" w:fill="FFC000" w:themeFill="accent4"/>
          </w:tcPr>
          <w:p w14:paraId="5FAA2A79" w14:textId="77777777" w:rsidR="008E765F" w:rsidRPr="00822EBF" w:rsidRDefault="008E765F" w:rsidP="00973885">
            <w:pPr>
              <w:pStyle w:val="RCTstable"/>
              <w:keepNext/>
            </w:pPr>
            <w:r w:rsidRPr="00822EBF">
              <w:t>Unclear risk</w:t>
            </w:r>
          </w:p>
        </w:tc>
        <w:tc>
          <w:tcPr>
            <w:tcW w:w="11199" w:type="dxa"/>
            <w:shd w:val="clear" w:color="D9E2F3" w:themeColor="accent1" w:themeTint="33" w:fill="auto"/>
          </w:tcPr>
          <w:p w14:paraId="1E2C51A8" w14:textId="77777777" w:rsidR="008E765F" w:rsidRPr="00822EBF" w:rsidRDefault="008E765F" w:rsidP="00973885">
            <w:pPr>
              <w:pStyle w:val="RCTstable"/>
              <w:keepNext/>
            </w:pPr>
            <w:r>
              <w:t>“In the randomis</w:t>
            </w:r>
            <w:r w:rsidRPr="00822EBF">
              <w:t xml:space="preserve">ation process, we used randomly permuted blocks stratified by risk factors </w:t>
            </w:r>
            <w:r>
              <w:t>(BMI ≥30 kg/m², history of GDM)</w:t>
            </w:r>
            <w:r w:rsidRPr="00822EBF">
              <w:t>.</w:t>
            </w:r>
            <w:r>
              <w:t>”</w:t>
            </w:r>
            <w:r w:rsidRPr="00822EBF">
              <w:t xml:space="preserve"> Not stated how randomly permuted blocks were generated</w:t>
            </w:r>
            <w:r>
              <w:t>.”</w:t>
            </w:r>
          </w:p>
        </w:tc>
      </w:tr>
      <w:tr w:rsidR="008E765F" w:rsidRPr="00822EBF" w14:paraId="08391CF2" w14:textId="77777777" w:rsidTr="005A5EBF">
        <w:trPr>
          <w:cantSplit/>
        </w:trPr>
        <w:tc>
          <w:tcPr>
            <w:tcW w:w="1560" w:type="dxa"/>
            <w:shd w:val="clear" w:color="D9E2F3" w:themeColor="accent1" w:themeTint="33" w:fill="auto"/>
          </w:tcPr>
          <w:p w14:paraId="6E484B12" w14:textId="77777777" w:rsidR="008E765F" w:rsidRPr="00822EBF" w:rsidRDefault="008E765F" w:rsidP="00973885">
            <w:pPr>
              <w:pStyle w:val="RCTstable"/>
              <w:keepNext/>
            </w:pPr>
            <w:r w:rsidRPr="00822EBF">
              <w:t xml:space="preserve">Allocation concealment </w:t>
            </w:r>
          </w:p>
        </w:tc>
        <w:tc>
          <w:tcPr>
            <w:tcW w:w="1275" w:type="dxa"/>
            <w:shd w:val="clear" w:color="D9E2F3" w:themeColor="accent1" w:themeTint="33" w:fill="70AD47" w:themeFill="accent6"/>
          </w:tcPr>
          <w:p w14:paraId="6674D651" w14:textId="77777777" w:rsidR="008E765F" w:rsidRPr="00822EBF" w:rsidRDefault="008E765F" w:rsidP="00973885">
            <w:pPr>
              <w:pStyle w:val="RCTstable"/>
              <w:keepNext/>
            </w:pPr>
            <w:r w:rsidRPr="00822EBF">
              <w:t>Low risk</w:t>
            </w:r>
          </w:p>
        </w:tc>
        <w:tc>
          <w:tcPr>
            <w:tcW w:w="11199" w:type="dxa"/>
            <w:shd w:val="clear" w:color="D9E2F3" w:themeColor="accent1" w:themeTint="33" w:fill="auto"/>
          </w:tcPr>
          <w:p w14:paraId="2B4EC71B" w14:textId="77777777" w:rsidR="008E765F" w:rsidRPr="00822EBF" w:rsidRDefault="008E765F" w:rsidP="00973885">
            <w:pPr>
              <w:pStyle w:val="RCTstable"/>
              <w:keepNext/>
            </w:pPr>
            <w:r>
              <w:t>“</w:t>
            </w:r>
            <w:r w:rsidRPr="00822EBF">
              <w:t>The randomisation was performed by a study nurse and by dispensing the next sequentially numbered subject code and opening the corresponding code envelope, which included the intervention arm</w:t>
            </w:r>
            <w:r>
              <w:t xml:space="preserve"> </w:t>
            </w:r>
            <w:r w:rsidRPr="00822EBF">
              <w:t>to be assigned to the subject</w:t>
            </w:r>
            <w:r>
              <w:t>.”</w:t>
            </w:r>
          </w:p>
        </w:tc>
      </w:tr>
      <w:tr w:rsidR="008E765F" w:rsidRPr="00822EBF" w14:paraId="021A8E2E" w14:textId="77777777" w:rsidTr="005A5EBF">
        <w:trPr>
          <w:cantSplit/>
        </w:trPr>
        <w:tc>
          <w:tcPr>
            <w:tcW w:w="1560" w:type="dxa"/>
            <w:shd w:val="clear" w:color="D9E2F3" w:themeColor="accent1" w:themeTint="33" w:fill="auto"/>
          </w:tcPr>
          <w:p w14:paraId="121823FE" w14:textId="77777777" w:rsidR="008E765F" w:rsidRPr="00822EBF" w:rsidRDefault="008E765F" w:rsidP="00973885">
            <w:pPr>
              <w:pStyle w:val="RCTstable"/>
              <w:keepNext/>
            </w:pPr>
            <w:r w:rsidRPr="00822EBF">
              <w:t>Performance bias</w:t>
            </w:r>
          </w:p>
        </w:tc>
        <w:tc>
          <w:tcPr>
            <w:tcW w:w="1275" w:type="dxa"/>
            <w:shd w:val="clear" w:color="D9E2F3" w:themeColor="accent1" w:themeTint="33" w:fill="FF4D19"/>
          </w:tcPr>
          <w:p w14:paraId="432983F7" w14:textId="77777777" w:rsidR="008E765F" w:rsidRPr="00822EBF" w:rsidRDefault="008E765F" w:rsidP="00973885">
            <w:pPr>
              <w:pStyle w:val="RCTstable"/>
              <w:keepNext/>
            </w:pPr>
            <w:r w:rsidRPr="00822EBF">
              <w:t>High risk</w:t>
            </w:r>
          </w:p>
        </w:tc>
        <w:tc>
          <w:tcPr>
            <w:tcW w:w="11199" w:type="dxa"/>
            <w:shd w:val="clear" w:color="D9E2F3" w:themeColor="accent1" w:themeTint="33" w:fill="auto"/>
          </w:tcPr>
          <w:p w14:paraId="2AB87984" w14:textId="77777777" w:rsidR="008E765F" w:rsidRPr="00822EBF" w:rsidRDefault="008E765F" w:rsidP="00973885">
            <w:pPr>
              <w:pStyle w:val="RCTstable"/>
              <w:keepNext/>
            </w:pPr>
            <w:r w:rsidRPr="00822EBF">
              <w:t>Blinding of women and trial personnel not considered feasible in view of the intervention and control</w:t>
            </w:r>
            <w:r>
              <w:t>.</w:t>
            </w:r>
          </w:p>
        </w:tc>
      </w:tr>
      <w:tr w:rsidR="008E765F" w:rsidRPr="00822EBF" w14:paraId="5AC6D04A" w14:textId="77777777" w:rsidTr="005A5EBF">
        <w:trPr>
          <w:cantSplit/>
        </w:trPr>
        <w:tc>
          <w:tcPr>
            <w:tcW w:w="1560" w:type="dxa"/>
            <w:shd w:val="clear" w:color="D9E2F3" w:themeColor="accent1" w:themeTint="33" w:fill="auto"/>
          </w:tcPr>
          <w:p w14:paraId="4FCD2A4A"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0CDC3FD7"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889D53F" w14:textId="77777777" w:rsidR="008E765F" w:rsidRPr="00822EBF" w:rsidRDefault="008E765F" w:rsidP="00611251">
            <w:pPr>
              <w:pStyle w:val="RCTstable"/>
            </w:pPr>
            <w:r>
              <w:t>“</w:t>
            </w:r>
            <w:r w:rsidRPr="00822EBF">
              <w:t>Blinded-study physicians reviewed participants’ obstetric records and confirmed maternal and neonatal diagnosis</w:t>
            </w:r>
            <w:r>
              <w:t>.”</w:t>
            </w:r>
          </w:p>
        </w:tc>
      </w:tr>
      <w:tr w:rsidR="008E765F" w:rsidRPr="00822EBF" w14:paraId="15C533D3" w14:textId="77777777" w:rsidTr="005A5EBF">
        <w:trPr>
          <w:cantSplit/>
        </w:trPr>
        <w:tc>
          <w:tcPr>
            <w:tcW w:w="1560" w:type="dxa"/>
            <w:shd w:val="clear" w:color="D9E2F3" w:themeColor="accent1" w:themeTint="33" w:fill="auto"/>
          </w:tcPr>
          <w:p w14:paraId="18319135"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409C6E6D"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C453313" w14:textId="77777777" w:rsidR="008E765F" w:rsidRPr="00822EBF" w:rsidRDefault="008E765F" w:rsidP="00611251">
            <w:pPr>
              <w:pStyle w:val="RCTstable"/>
            </w:pPr>
            <w:r>
              <w:t>Low attrition; 93% of intervention group and 91% of control group included in analysis. Reasons given.</w:t>
            </w:r>
          </w:p>
        </w:tc>
      </w:tr>
      <w:tr w:rsidR="008E765F" w:rsidRPr="00822EBF" w14:paraId="1BB16EAB" w14:textId="77777777" w:rsidTr="005A5EBF">
        <w:trPr>
          <w:cantSplit/>
        </w:trPr>
        <w:tc>
          <w:tcPr>
            <w:tcW w:w="1560" w:type="dxa"/>
            <w:shd w:val="clear" w:color="D9E2F3" w:themeColor="accent1" w:themeTint="33" w:fill="auto"/>
          </w:tcPr>
          <w:p w14:paraId="4961E9E9"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4C577BB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3310C4B" w14:textId="77777777" w:rsidR="008E765F" w:rsidRPr="00822EBF" w:rsidRDefault="008E765F" w:rsidP="00611251">
            <w:pPr>
              <w:pStyle w:val="RCTstable"/>
            </w:pPr>
            <w:r w:rsidRPr="00822EBF">
              <w:t>The trial has reported on perinatal outcomes; the trial protocol indicates that 12-month follow-up is also complete (this was not reported on), and that there will be ongoing follow-up to 10 years for mothers, fathers and children. The protocol indicates additional outcomes which have not yet been reported (including maternal</w:t>
            </w:r>
            <w:r>
              <w:t xml:space="preserve"> </w:t>
            </w:r>
            <w:r w:rsidRPr="00822EBF">
              <w:t>quality of life, cost-effectiveness, prevention of maternal type 2 diabetes 1 year after birth, small-for-gestational age and neonatal hypoglycaemia)</w:t>
            </w:r>
            <w:r>
              <w:t>.</w:t>
            </w:r>
          </w:p>
        </w:tc>
      </w:tr>
      <w:tr w:rsidR="008E765F" w:rsidRPr="00822EBF" w14:paraId="182F8681" w14:textId="77777777" w:rsidTr="005A5EBF">
        <w:trPr>
          <w:cantSplit/>
        </w:trPr>
        <w:tc>
          <w:tcPr>
            <w:tcW w:w="1560" w:type="dxa"/>
            <w:shd w:val="clear" w:color="D9E2F3" w:themeColor="accent1" w:themeTint="33" w:fill="auto"/>
          </w:tcPr>
          <w:p w14:paraId="00EF4C4C"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774EBF98"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3192F12" w14:textId="77777777" w:rsidR="008E765F" w:rsidRPr="00822EBF" w:rsidRDefault="008E765F" w:rsidP="00611251">
            <w:pPr>
              <w:pStyle w:val="RCTstable"/>
            </w:pPr>
            <w:r w:rsidRPr="00822EBF">
              <w:t>No obvious sources of other bias identified</w:t>
            </w:r>
          </w:p>
        </w:tc>
      </w:tr>
      <w:tr w:rsidR="008E765F" w:rsidRPr="00B52546" w14:paraId="46F0F955" w14:textId="77777777" w:rsidTr="005A5EBF">
        <w:trPr>
          <w:cantSplit/>
        </w:trPr>
        <w:tc>
          <w:tcPr>
            <w:tcW w:w="14034" w:type="dxa"/>
            <w:gridSpan w:val="3"/>
            <w:shd w:val="solid" w:color="D9E2F3" w:themeColor="accent1" w:themeTint="33" w:fill="auto"/>
          </w:tcPr>
          <w:p w14:paraId="7247C8D8" w14:textId="6C4C8A08" w:rsidR="008E765F" w:rsidRPr="00B52546" w:rsidRDefault="008E765F" w:rsidP="002747EA">
            <w:pPr>
              <w:pStyle w:val="RCTstable"/>
              <w:keepNext/>
              <w:rPr>
                <w:b/>
              </w:rPr>
            </w:pPr>
            <w:r w:rsidRPr="0025597C">
              <w:rPr>
                <w:rFonts w:ascii="Century Gothic" w:hAnsi="Century Gothic"/>
                <w:b/>
                <w:noProof/>
              </w:rPr>
              <w:t>Korpi-Hyovalti et al 2011</w:t>
            </w:r>
            <w:r>
              <w:rPr>
                <w:rFonts w:ascii="Century Gothic" w:hAnsi="Century Gothic"/>
                <w:noProof/>
              </w:rPr>
              <w:fldChar w:fldCharType="begin">
                <w:fldData xml:space="preserve">PEVuZE5vdGU+PENpdGU+PEF1dGhvcj5Lb3JwaS1IeW92YWx0aTwvQXV0aG9yPjxZZWFyPjIwMTE8
L1llYXI+PFJlY051bT42OTc8L1JlY051bT48RGlzcGxheVRleHQ+PHN0eWxlIGZhY2U9InN1cGVy
c2NyaXB0IiBmb250PSJUcmVidWNoZXQgTVMiIHNpemU9IjkiPjUxNiw1NDY8L3N0eWxlPjwvRGlz
cGxheVRleHQ+PHJlY29yZD48cmVjLW51bWJlcj42OTc8L3JlYy1udW1iZXI+PGZvcmVpZ24ta2V5
cz48a2V5IGFwcD0iRU4iIGRiLWlkPSJleHZhc3JmeDJkdHJhb2VzYXN4cDJzenN4YTJkZjUwMjU5
MngiIHRpbWVzdGFtcD0iMTU0MDUzMDI2OCI+Njk3PC9rZXk+PC9mb3JlaWduLWtleXM+PHJlZi10
eXBlIG5hbWU9IkpvdXJuYWwgQXJ0aWNsZSI+MTc8L3JlZi10eXBlPjxjb250cmlidXRvcnM+PGF1
dGhvcnM+PGF1dGhvcj5Lb3JwaS1IeW92YWx0aSwgRS4gQS48L2F1dGhvcj48YXV0aG9yPkxhYWtz
b25lbiwgRC4gRS48L2F1dGhvcj48YXV0aG9yPlNjaHdhYiwgVS4gUy48L2F1dGhvcj48YXV0aG9y
PlZhbmhhcGloYSwgVC4gSC48L2F1dGhvcj48YXV0aG9yPlZpaGxhLCBLLiBSLjwvYXV0aG9yPjxh
dXRob3I+SGVpbm9uZW4sIFMuIFQuPC9hdXRob3I+PGF1dGhvcj5OaXNrYW5lbiwgTC4gSy48L2F1
dGhvcj48L2F1dGhvcnM+PC9jb250cmlidXRvcnM+PGF1dGgtYWRkcmVzcz5EZXBhcnRtZW50IG9m
IEludGVybmFsIE1lZGljaW5lLCBTZWluYWpva2kgQ2VudHJhbCBIb3NwaXRhbCwgU2VpbmFqb2tp
LCBGaW5sYW5kLiBlZXZhLmtvcnBpLWh5b3ZhbHRpQGVwc2hwLmZpPC9hdXRoLWFkZHJlc3M+PHRp
dGxlcz48dGl0bGU+RmVhc2liaWxpdHkgb2YgYSBsaWZlc3R5bGUgaW50ZXJ2ZW50aW9uIGluIGVh
cmx5IHByZWduYW5jeSB0byBwcmV2ZW50IGRldGVyaW9yYXRpb24gb2YgZ2x1Y29zZSB0b2xlcmFu
Y2U8L3RpdGxlPjxzZWNvbmRhcnktdGl0bGU+Qk1DIFB1YmxpYyBIZWFsdGg8L3NlY29uZGFyeS10
aXRsZT48L3RpdGxlcz48cGVyaW9kaWNhbD48ZnVsbC10aXRsZT5CTUMgUHVibGljIEhlYWx0aDwv
ZnVsbC10aXRsZT48L3BlcmlvZGljYWw+PHBhZ2VzPjE3OTwvcGFnZXM+PHZvbHVtZT4xMTwvdm9s
dW1lPjxlZGl0aW9uPjIwMTEvMDMvMjU8L2VkaXRpb24+PGtleXdvcmRzPjxrZXl3b3JkPkFkdWx0
PC9rZXl3b3JkPjxrZXl3b3JkPkRpYWJldGVzLCBHZXN0YXRpb25hbC8qcHJldmVudGlvbiAmYW1w
OyBjb250cm9sPC9rZXl3b3JkPjxrZXl3b3JkPipEaXJlY3RpdmUgQ291bnNlbGluZzwva2V5d29y
ZD48a2V5d29yZD5GZWFzaWJpbGl0eSBTdHVkaWVzPC9rZXl3b3JkPjxrZXl3b3JkPkZlbWFsZTwv
a2V5d29yZD48a2V5d29yZD5GaW5sYW5kPC9rZXl3b3JkPjxrZXl3b3JkPkZvbGxvdy1VcCBTdHVk
aWVzPC9rZXl3b3JkPjxrZXl3b3JkPkdsdWNvc2UgSW50b2xlcmFuY2UvKnByZXZlbnRpb24gJmFt
cDsgY29udHJvbDwva2V5d29yZD48a2V5d29yZD5HbHVjb3NlIFRvbGVyYW5jZSBUZXN0PC9rZXl3
b3JkPjxrZXl3b3JkPkh1bWFuczwva2V5d29yZD48a2V5d29yZD4qTGlmZSBTdHlsZTwva2V5d29y
ZD48a2V5d29yZD5QcmVnbmFuY3k8L2tleXdvcmQ+PGtleXdvcmQ+UmlzayBGYWN0b3JzPC9rZXl3
b3JkPjxrZXl3b3JkPlRpbWUgRmFjdG9yczwva2V5d29yZD48L2tleXdvcmRzPjxkYXRlcz48eWVh
cj4yMDExPC95ZWFyPjxwdWItZGF0ZXM+PGRhdGU+TWFyIDI0PC9kYXRlPjwvcHViLWRhdGVzPjwv
ZGF0ZXM+PGlzYm4+MTQ3MS0yNDU4IChFbGVjdHJvbmljKSYjeEQ7MTQ3MS0yNDU4IChMaW5raW5n
KTwvaXNibj48YWNjZXNzaW9uLW51bT4yMTQyOTIzNDwvYWNjZXNzaW9uLW51bT48dXJscz48cmVs
YXRlZC11cmxzPjx1cmw+aHR0cHM6Ly93d3cubmNiaS5ubG0ubmloLmdvdi9wdWJtZWQvMjE0Mjky
MzQ8L3VybD48L3JlbGF0ZWQtdXJscz48L3VybHM+PGN1c3RvbTI+UE1DMzA3ODA5NTwvY3VzdG9t
Mj48ZWxlY3Ryb25pYy1yZXNvdXJjZS1udW0+MTAuMTE4Ni8xNDcxLTI0NTgtMTEtMTc5PC9lbGVj
dHJvbmljLXJlc291cmNlLW51bT48L3JlY29yZD48L0NpdGU+PENpdGU+PEF1dGhvcj5Lb3JwaS1I
eW92YWx0aTwvQXV0aG9yPjxZZWFyPjIwMTI8L1llYXI+PFJlY051bT43Njk8L1JlY051bT48cmVj
b3JkPjxyZWMtbnVtYmVyPjc2OTwvcmVjLW51bWJlcj48Zm9yZWlnbi1rZXlzPjxrZXkgYXBwPSJF
TiIgZGItaWQ9ImV4dmFzcmZ4MmR0cmFvZXNhc3hwMnN6c3hhMmRmNTAyNTkyeCIgdGltZXN0YW1w
PSIxNTQxNDkwMDkyIj43Njk8L2tleT48L2ZvcmVpZ24ta2V5cz48cmVmLXR5cGUgbmFtZT0iSm91
cm5hbCBBcnRpY2xlIj4xNzwvcmVmLXR5cGU+PGNvbnRyaWJ1dG9ycz48YXV0aG9ycz48YXV0aG9y
PktvcnBpLUh5b3ZhbHRpLCBFLjwvYXV0aG9yPjxhdXRob3I+U2Nod2FiLCBVLjwvYXV0aG9yPjxh
dXRob3I+TGFha3NvbmVuLCBELiBFLjwvYXV0aG9yPjxhdXRob3I+TGluamFtYSwgSC48L2F1dGhv
cj48YXV0aG9yPkhlaW5vbmVuLCBTLjwvYXV0aG9yPjxhdXRob3I+Tmlza2FuZW4sIEwuPC9hdXRo
b3I+PC9hdXRob3JzPjwvY29udHJpYnV0b3JzPjxhdXRoLWFkZHJlc3M+RGVwYXJ0bWVudCBvZiBJ
bnRlcm5hbCBNZWRpY2luZSwgU2VpbmFqb2tpIENlbnRyYWwgSG9zcGl0YWwsIFNlaW5ham9raSwg
RmlubGFuZC4gZWV2YS5rb3JwaS1oeW92YWx0aUBlcHNocC5maTwvYXV0aC1hZGRyZXNzPjx0aXRs
ZXM+PHRpdGxlPkVmZmVjdCBvZiBpbnRlbnNpdmUgY291bnNlbGxpbmcgb24gdGhlIHF1YWxpdHkg
b2YgZGlldGFyeSBmYXRzIGluIHByZWduYW50IHdvbWVuIGF0IGhpZ2ggcmlzayBvZiBnZXN0YXRp
b25hbCBkaWFiZXRlcyBtZWxsaXR1czwvdGl0bGU+PHNlY29uZGFyeS10aXRsZT5CciBKIE51dHI8
L3NlY29uZGFyeS10aXRsZT48L3RpdGxlcz48cGVyaW9kaWNhbD48ZnVsbC10aXRsZT5CciBKIE51
dHI8L2Z1bGwtdGl0bGU+PC9wZXJpb2RpY2FsPjxwYWdlcz45MTAtNzwvcGFnZXM+PHZvbHVtZT4x
MDg8L3ZvbHVtZT48bnVtYmVyPjU8L251bWJlcj48ZWRpdGlvbj4yMDExLzExLzE5PC9lZGl0aW9u
PjxrZXl3b3Jkcz48a2V5d29yZD4qQ291bnNlbGluZzwva2V5d29yZD48a2V5d29yZD5EaWFiZXRl
cywgR2VzdGF0aW9uYWwvZXBpZGVtaW9sb2d5LypwcmV2ZW50aW9uICZhbXA7IGNvbnRyb2w8L2tl
eXdvcmQ+PGtleXdvcmQ+RGlldGFyeSBGYXRzLyphZG1pbmlzdHJhdGlvbiAmYW1wOyBkb3NhZ2U8
L2tleXdvcmQ+PGtleXdvcmQ+RmVtYWxlPC9rZXl3b3JkPjxrZXl3b3JkPkh1bWFuczwva2V5d29y
ZD48a2V5d29yZD5QcmVnbmFuY3k8L2tleXdvcmQ+PGtleXdvcmQ+UmlzayBGYWN0b3JzPC9rZXl3
b3JkPjxrZXl3b3JkPlN1cnZleXMgYW5kIFF1ZXN0aW9ubmFpcmVzPC9rZXl3b3JkPjwva2V5d29y
ZHM+PGRhdGVzPjx5ZWFyPjIwMTI8L3llYXI+PHB1Yi1kYXRlcz48ZGF0ZT5TZXA8L2RhdGU+PC9w
dWItZGF0ZXM+PC9kYXRlcz48aXNibj4xNDc1LTI2NjIgKEVsZWN0cm9uaWMpJiN4RDswMDA3LTEx
NDUgKExpbmtpbmcpPC9pc2JuPjxhY2Nlc3Npb24tbnVtPjIyMDkzNDg1PC9hY2Nlc3Npb24tbnVt
Pjx1cmxzPjxyZWxhdGVkLXVybHM+PHVybD5odHRwczovL3d3dy5uY2JpLm5sbS5uaWguZ292L3B1
Ym1lZC8yMjA5MzQ4NTwvdXJsPjwvcmVsYXRlZC11cmxzPjwvdXJscz48ZWxlY3Ryb25pYy1yZXNv
dXJjZS1udW0+MTAuMTAxNy9TMDAwNzExNDUxMTAwNjExODwvZWxlY3Ryb25pYy1yZXNvdXJjZS1u
dW0+PC9yZWNvcmQ+PC9DaXRlPjwvRW5kTm90ZT5=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PEVuZE5vdGU+PENpdGU+PEF1dGhvcj5Lb3JwaS1IeW92YWx0aTwvQXV0aG9yPjxZZWFyPjIwMTE8
L1llYXI+PFJlY051bT42OTc8L1JlY051bT48RGlzcGxheVRleHQ+PHN0eWxlIGZhY2U9InN1cGVy
c2NyaXB0IiBmb250PSJUcmVidWNoZXQgTVMiIHNpemU9IjkiPjUxNiw1NDY8L3N0eWxlPjwvRGlz
cGxheVRleHQ+PHJlY29yZD48cmVjLW51bWJlcj42OTc8L3JlYy1udW1iZXI+PGZvcmVpZ24ta2V5
cz48a2V5IGFwcD0iRU4iIGRiLWlkPSJleHZhc3JmeDJkdHJhb2VzYXN4cDJzenN4YTJkZjUwMjU5
MngiIHRpbWVzdGFtcD0iMTU0MDUzMDI2OCI+Njk3PC9rZXk+PC9mb3JlaWduLWtleXM+PHJlZi10
eXBlIG5hbWU9IkpvdXJuYWwgQXJ0aWNsZSI+MTc8L3JlZi10eXBlPjxjb250cmlidXRvcnM+PGF1
dGhvcnM+PGF1dGhvcj5Lb3JwaS1IeW92YWx0aSwgRS4gQS48L2F1dGhvcj48YXV0aG9yPkxhYWtz
b25lbiwgRC4gRS48L2F1dGhvcj48YXV0aG9yPlNjaHdhYiwgVS4gUy48L2F1dGhvcj48YXV0aG9y
PlZhbmhhcGloYSwgVC4gSC48L2F1dGhvcj48YXV0aG9yPlZpaGxhLCBLLiBSLjwvYXV0aG9yPjxh
dXRob3I+SGVpbm9uZW4sIFMuIFQuPC9hdXRob3I+PGF1dGhvcj5OaXNrYW5lbiwgTC4gSy48L2F1
dGhvcj48L2F1dGhvcnM+PC9jb250cmlidXRvcnM+PGF1dGgtYWRkcmVzcz5EZXBhcnRtZW50IG9m
IEludGVybmFsIE1lZGljaW5lLCBTZWluYWpva2kgQ2VudHJhbCBIb3NwaXRhbCwgU2VpbmFqb2tp
LCBGaW5sYW5kLiBlZXZhLmtvcnBpLWh5b3ZhbHRpQGVwc2hwLmZpPC9hdXRoLWFkZHJlc3M+PHRp
dGxlcz48dGl0bGU+RmVhc2liaWxpdHkgb2YgYSBsaWZlc3R5bGUgaW50ZXJ2ZW50aW9uIGluIGVh
cmx5IHByZWduYW5jeSB0byBwcmV2ZW50IGRldGVyaW9yYXRpb24gb2YgZ2x1Y29zZSB0b2xlcmFu
Y2U8L3RpdGxlPjxzZWNvbmRhcnktdGl0bGU+Qk1DIFB1YmxpYyBIZWFsdGg8L3NlY29uZGFyeS10
aXRsZT48L3RpdGxlcz48cGVyaW9kaWNhbD48ZnVsbC10aXRsZT5CTUMgUHVibGljIEhlYWx0aDwv
ZnVsbC10aXRsZT48L3BlcmlvZGljYWw+PHBhZ2VzPjE3OTwvcGFnZXM+PHZvbHVtZT4xMTwvdm9s
dW1lPjxlZGl0aW9uPjIwMTEvMDMvMjU8L2VkaXRpb24+PGtleXdvcmRzPjxrZXl3b3JkPkFkdWx0
PC9rZXl3b3JkPjxrZXl3b3JkPkRpYWJldGVzLCBHZXN0YXRpb25hbC8qcHJldmVudGlvbiAmYW1w
OyBjb250cm9sPC9rZXl3b3JkPjxrZXl3b3JkPipEaXJlY3RpdmUgQ291bnNlbGluZzwva2V5d29y
ZD48a2V5d29yZD5GZWFzaWJpbGl0eSBTdHVkaWVzPC9rZXl3b3JkPjxrZXl3b3JkPkZlbWFsZTwv
a2V5d29yZD48a2V5d29yZD5GaW5sYW5kPC9rZXl3b3JkPjxrZXl3b3JkPkZvbGxvdy1VcCBTdHVk
aWVzPC9rZXl3b3JkPjxrZXl3b3JkPkdsdWNvc2UgSW50b2xlcmFuY2UvKnByZXZlbnRpb24gJmFt
cDsgY29udHJvbDwva2V5d29yZD48a2V5d29yZD5HbHVjb3NlIFRvbGVyYW5jZSBUZXN0PC9rZXl3
b3JkPjxrZXl3b3JkPkh1bWFuczwva2V5d29yZD48a2V5d29yZD4qTGlmZSBTdHlsZTwva2V5d29y
ZD48a2V5d29yZD5QcmVnbmFuY3k8L2tleXdvcmQ+PGtleXdvcmQ+UmlzayBGYWN0b3JzPC9rZXl3
b3JkPjxrZXl3b3JkPlRpbWUgRmFjdG9yczwva2V5d29yZD48L2tleXdvcmRzPjxkYXRlcz48eWVh
cj4yMDExPC95ZWFyPjxwdWItZGF0ZXM+PGRhdGU+TWFyIDI0PC9kYXRlPjwvcHViLWRhdGVzPjwv
ZGF0ZXM+PGlzYm4+MTQ3MS0yNDU4IChFbGVjdHJvbmljKSYjeEQ7MTQ3MS0yNDU4IChMaW5raW5n
KTwvaXNibj48YWNjZXNzaW9uLW51bT4yMTQyOTIzNDwvYWNjZXNzaW9uLW51bT48dXJscz48cmVs
YXRlZC11cmxzPjx1cmw+aHR0cHM6Ly93d3cubmNiaS5ubG0ubmloLmdvdi9wdWJtZWQvMjE0Mjky
MzQ8L3VybD48L3JlbGF0ZWQtdXJscz48L3VybHM+PGN1c3RvbTI+UE1DMzA3ODA5NTwvY3VzdG9t
Mj48ZWxlY3Ryb25pYy1yZXNvdXJjZS1udW0+MTAuMTE4Ni8xNDcxLTI0NTgtMTEtMTc5PC9lbGVj
dHJvbmljLXJlc291cmNlLW51bT48L3JlY29yZD48L0NpdGU+PENpdGU+PEF1dGhvcj5Lb3JwaS1I
eW92YWx0aTwvQXV0aG9yPjxZZWFyPjIwMTI8L1llYXI+PFJlY051bT43Njk8L1JlY051bT48cmVj
b3JkPjxyZWMtbnVtYmVyPjc2OTwvcmVjLW51bWJlcj48Zm9yZWlnbi1rZXlzPjxrZXkgYXBwPSJF
TiIgZGItaWQ9ImV4dmFzcmZ4MmR0cmFvZXNhc3hwMnN6c3hhMmRmNTAyNTkyeCIgdGltZXN0YW1w
PSIxNTQxNDkwMDkyIj43Njk8L2tleT48L2ZvcmVpZ24ta2V5cz48cmVmLXR5cGUgbmFtZT0iSm91
cm5hbCBBcnRpY2xlIj4xNzwvcmVmLXR5cGU+PGNvbnRyaWJ1dG9ycz48YXV0aG9ycz48YXV0aG9y
PktvcnBpLUh5b3ZhbHRpLCBFLjwvYXV0aG9yPjxhdXRob3I+U2Nod2FiLCBVLjwvYXV0aG9yPjxh
dXRob3I+TGFha3NvbmVuLCBELiBFLjwvYXV0aG9yPjxhdXRob3I+TGluamFtYSwgSC48L2F1dGhv
cj48YXV0aG9yPkhlaW5vbmVuLCBTLjwvYXV0aG9yPjxhdXRob3I+Tmlza2FuZW4sIEwuPC9hdXRo
b3I+PC9hdXRob3JzPjwvY29udHJpYnV0b3JzPjxhdXRoLWFkZHJlc3M+RGVwYXJ0bWVudCBvZiBJ
bnRlcm5hbCBNZWRpY2luZSwgU2VpbmFqb2tpIENlbnRyYWwgSG9zcGl0YWwsIFNlaW5ham9raSwg
RmlubGFuZC4gZWV2YS5rb3JwaS1oeW92YWx0aUBlcHNocC5maTwvYXV0aC1hZGRyZXNzPjx0aXRs
ZXM+PHRpdGxlPkVmZmVjdCBvZiBpbnRlbnNpdmUgY291bnNlbGxpbmcgb24gdGhlIHF1YWxpdHkg
b2YgZGlldGFyeSBmYXRzIGluIHByZWduYW50IHdvbWVuIGF0IGhpZ2ggcmlzayBvZiBnZXN0YXRp
b25hbCBkaWFiZXRlcyBtZWxsaXR1czwvdGl0bGU+PHNlY29uZGFyeS10aXRsZT5CciBKIE51dHI8
L3NlY29uZGFyeS10aXRsZT48L3RpdGxlcz48cGVyaW9kaWNhbD48ZnVsbC10aXRsZT5CciBKIE51
dHI8L2Z1bGwtdGl0bGU+PC9wZXJpb2RpY2FsPjxwYWdlcz45MTAtNzwvcGFnZXM+PHZvbHVtZT4x
MDg8L3ZvbHVtZT48bnVtYmVyPjU8L251bWJlcj48ZWRpdGlvbj4yMDExLzExLzE5PC9lZGl0aW9u
PjxrZXl3b3Jkcz48a2V5d29yZD4qQ291bnNlbGluZzwva2V5d29yZD48a2V5d29yZD5EaWFiZXRl
cywgR2VzdGF0aW9uYWwvZXBpZGVtaW9sb2d5LypwcmV2ZW50aW9uICZhbXA7IGNvbnRyb2w8L2tl
eXdvcmQ+PGtleXdvcmQ+RGlldGFyeSBGYXRzLyphZG1pbmlzdHJhdGlvbiAmYW1wOyBkb3NhZ2U8
L2tleXdvcmQ+PGtleXdvcmQ+RmVtYWxlPC9rZXl3b3JkPjxrZXl3b3JkPkh1bWFuczwva2V5d29y
ZD48a2V5d29yZD5QcmVnbmFuY3k8L2tleXdvcmQ+PGtleXdvcmQ+UmlzayBGYWN0b3JzPC9rZXl3
b3JkPjxrZXl3b3JkPlN1cnZleXMgYW5kIFF1ZXN0aW9ubmFpcmVzPC9rZXl3b3JkPjwva2V5d29y
ZHM+PGRhdGVzPjx5ZWFyPjIwMTI8L3llYXI+PHB1Yi1kYXRlcz48ZGF0ZT5TZXA8L2RhdGU+PC9w
dWItZGF0ZXM+PC9kYXRlcz48aXNibj4xNDc1LTI2NjIgKEVsZWN0cm9uaWMpJiN4RDswMDA3LTEx
NDUgKExpbmtpbmcpPC9pc2JuPjxhY2Nlc3Npb24tbnVtPjIyMDkzNDg1PC9hY2Nlc3Npb24tbnVt
Pjx1cmxzPjxyZWxhdGVkLXVybHM+PHVybD5odHRwczovL3d3dy5uY2JpLm5sbS5uaWguZ292L3B1
Ym1lZC8yMjA5MzQ4NTwvdXJsPjwvcmVsYXRlZC11cmxzPjwvdXJscz48ZWxlY3Ryb25pYy1yZXNv
dXJjZS1udW0+MTAuMTAxNy9TMDAwNzExNDUxMTAwNjExODwvZWxlY3Ryb25pYy1yZXNvdXJjZS1u
dW0+PC9yZWNvcmQ+PC9DaXRlPjwvRW5kTm90ZT5=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516,546</w:t>
            </w:r>
            <w:r>
              <w:rPr>
                <w:rFonts w:ascii="Century Gothic" w:hAnsi="Century Gothic"/>
                <w:noProof/>
              </w:rPr>
              <w:fldChar w:fldCharType="end"/>
            </w:r>
          </w:p>
        </w:tc>
      </w:tr>
      <w:tr w:rsidR="008E765F" w:rsidRPr="00822EBF" w14:paraId="37C085A4" w14:textId="77777777" w:rsidTr="005A5EBF">
        <w:trPr>
          <w:cantSplit/>
        </w:trPr>
        <w:tc>
          <w:tcPr>
            <w:tcW w:w="1560" w:type="dxa"/>
            <w:shd w:val="clear" w:color="D9E2F3" w:themeColor="accent1" w:themeTint="33" w:fill="auto"/>
          </w:tcPr>
          <w:p w14:paraId="259A1D41" w14:textId="77777777" w:rsidR="008E765F" w:rsidRPr="00822EBF" w:rsidRDefault="008E765F" w:rsidP="003B5251">
            <w:pPr>
              <w:pStyle w:val="RCTstable"/>
              <w:keepNext/>
            </w:pPr>
            <w:r w:rsidRPr="00822EBF">
              <w:t>Random sequence generation</w:t>
            </w:r>
          </w:p>
        </w:tc>
        <w:tc>
          <w:tcPr>
            <w:tcW w:w="1275" w:type="dxa"/>
            <w:shd w:val="clear" w:color="D9E2F3" w:themeColor="accent1" w:themeTint="33" w:fill="70AD47" w:themeFill="accent6"/>
          </w:tcPr>
          <w:p w14:paraId="24610541" w14:textId="77777777" w:rsidR="008E765F" w:rsidRPr="00822EBF" w:rsidRDefault="008E765F" w:rsidP="003B5251">
            <w:pPr>
              <w:pStyle w:val="RCTstable"/>
              <w:keepNext/>
            </w:pPr>
            <w:r w:rsidRPr="00822EBF">
              <w:t>Low risk</w:t>
            </w:r>
          </w:p>
        </w:tc>
        <w:tc>
          <w:tcPr>
            <w:tcW w:w="11199" w:type="dxa"/>
            <w:shd w:val="clear" w:color="D9E2F3" w:themeColor="accent1" w:themeTint="33" w:fill="auto"/>
          </w:tcPr>
          <w:p w14:paraId="391362C2" w14:textId="77777777" w:rsidR="008E765F" w:rsidRPr="00822EBF" w:rsidRDefault="008E765F" w:rsidP="003B5251">
            <w:pPr>
              <w:pStyle w:val="RCTstable"/>
              <w:keepNext/>
            </w:pPr>
            <w:r>
              <w:t>“</w:t>
            </w:r>
            <w:r w:rsidRPr="00822EBF">
              <w:t>These high-risk women were randomly assigned to the lifestyle intervention group... or to the close follow- up group... by the study physician in the Central Hospital with the use of a computed randomisation list</w:t>
            </w:r>
            <w:r>
              <w:t>.”</w:t>
            </w:r>
          </w:p>
        </w:tc>
      </w:tr>
      <w:tr w:rsidR="008E765F" w:rsidRPr="00822EBF" w14:paraId="6984FB81" w14:textId="77777777" w:rsidTr="005A5EBF">
        <w:trPr>
          <w:cantSplit/>
        </w:trPr>
        <w:tc>
          <w:tcPr>
            <w:tcW w:w="1560" w:type="dxa"/>
            <w:shd w:val="clear" w:color="D9E2F3" w:themeColor="accent1" w:themeTint="33" w:fill="auto"/>
          </w:tcPr>
          <w:p w14:paraId="6FD3C442"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FFC000" w:themeFill="accent4"/>
          </w:tcPr>
          <w:p w14:paraId="2A1D1675"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38F3515C" w14:textId="77777777" w:rsidR="008E765F" w:rsidRPr="00822EBF" w:rsidRDefault="008E765F" w:rsidP="00611251">
            <w:pPr>
              <w:pStyle w:val="RCTstable"/>
            </w:pPr>
            <w:r>
              <w:t>“</w:t>
            </w:r>
            <w:r w:rsidRPr="00822EBF">
              <w:t>The health care nurses who scheduled the study visits did not have access to the randomisation list</w:t>
            </w:r>
            <w:r>
              <w:t>.”</w:t>
            </w:r>
          </w:p>
        </w:tc>
      </w:tr>
      <w:tr w:rsidR="008E765F" w:rsidRPr="00822EBF" w14:paraId="15588130" w14:textId="77777777" w:rsidTr="005A5EBF">
        <w:trPr>
          <w:cantSplit/>
        </w:trPr>
        <w:tc>
          <w:tcPr>
            <w:tcW w:w="1560" w:type="dxa"/>
            <w:shd w:val="clear" w:color="D9E2F3" w:themeColor="accent1" w:themeTint="33" w:fill="auto"/>
          </w:tcPr>
          <w:p w14:paraId="2DB16FD6"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0B1C34C5"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54211CBE" w14:textId="77777777" w:rsidR="008E765F" w:rsidRPr="00822EBF" w:rsidRDefault="008E765F" w:rsidP="00611251">
            <w:pPr>
              <w:pStyle w:val="RCTstable"/>
            </w:pPr>
            <w:r w:rsidRPr="00822EBF">
              <w:t>N</w:t>
            </w:r>
            <w:r>
              <w:t>o blinding, trial described as “open”</w:t>
            </w:r>
            <w:r w:rsidRPr="00822EBF">
              <w:t>.</w:t>
            </w:r>
          </w:p>
        </w:tc>
      </w:tr>
      <w:tr w:rsidR="008E765F" w:rsidRPr="00822EBF" w14:paraId="7838E08F" w14:textId="77777777" w:rsidTr="005A5EBF">
        <w:trPr>
          <w:cantSplit/>
        </w:trPr>
        <w:tc>
          <w:tcPr>
            <w:tcW w:w="1560" w:type="dxa"/>
            <w:shd w:val="clear" w:color="D9E2F3" w:themeColor="accent1" w:themeTint="33" w:fill="auto"/>
          </w:tcPr>
          <w:p w14:paraId="7F60D1F2"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4063240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36691434" w14:textId="77777777" w:rsidR="008E765F" w:rsidRPr="00822EBF" w:rsidRDefault="008E765F" w:rsidP="00611251">
            <w:pPr>
              <w:pStyle w:val="RCTstable"/>
            </w:pPr>
            <w:r>
              <w:t>Trial described as “open”</w:t>
            </w:r>
            <w:r w:rsidRPr="00822EBF">
              <w:t>. No further information provided.</w:t>
            </w:r>
          </w:p>
        </w:tc>
      </w:tr>
      <w:tr w:rsidR="008E765F" w:rsidRPr="00822EBF" w14:paraId="45184309" w14:textId="77777777" w:rsidTr="005A5EBF">
        <w:trPr>
          <w:cantSplit/>
        </w:trPr>
        <w:tc>
          <w:tcPr>
            <w:tcW w:w="1560" w:type="dxa"/>
            <w:shd w:val="clear" w:color="D9E2F3" w:themeColor="accent1" w:themeTint="33" w:fill="auto"/>
          </w:tcPr>
          <w:p w14:paraId="390BCDB4" w14:textId="77777777" w:rsidR="008E765F" w:rsidRPr="00822EBF" w:rsidRDefault="008E765F" w:rsidP="00611251">
            <w:pPr>
              <w:pStyle w:val="RCTstable"/>
            </w:pPr>
            <w:r w:rsidRPr="00822EBF">
              <w:t>Incomplete outcome data</w:t>
            </w:r>
          </w:p>
        </w:tc>
        <w:tc>
          <w:tcPr>
            <w:tcW w:w="1275" w:type="dxa"/>
            <w:shd w:val="clear" w:color="D9E2F3" w:themeColor="accent1" w:themeTint="33" w:fill="FFC000" w:themeFill="accent4"/>
          </w:tcPr>
          <w:p w14:paraId="14DF40B2"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3C19905" w14:textId="77777777" w:rsidR="008E765F" w:rsidRPr="00822EBF" w:rsidRDefault="008E765F" w:rsidP="00611251">
            <w:pPr>
              <w:pStyle w:val="RCTstable"/>
            </w:pPr>
            <w:r w:rsidRPr="00822EBF">
              <w:t>60 women were randomised; 54 women (90%) were analysed. 3 women dropped out from each group (4 due to early miscarriage, 1 with a twin pregnancy, and 1 woman moved away). No detail of whether the characteristics of the women lost to follow-up differed from those analysed</w:t>
            </w:r>
          </w:p>
        </w:tc>
      </w:tr>
      <w:tr w:rsidR="008E765F" w:rsidRPr="00822EBF" w14:paraId="37BCD239" w14:textId="77777777" w:rsidTr="005A5EBF">
        <w:trPr>
          <w:cantSplit/>
        </w:trPr>
        <w:tc>
          <w:tcPr>
            <w:tcW w:w="1560" w:type="dxa"/>
            <w:shd w:val="clear" w:color="D9E2F3" w:themeColor="accent1" w:themeTint="33" w:fill="auto"/>
          </w:tcPr>
          <w:p w14:paraId="4ED09187" w14:textId="77777777" w:rsidR="008E765F" w:rsidRPr="00822EBF" w:rsidRDefault="008E765F" w:rsidP="00611251">
            <w:pPr>
              <w:pStyle w:val="RCTstable"/>
            </w:pPr>
            <w:r w:rsidRPr="00822EBF">
              <w:t>Selective reporting</w:t>
            </w:r>
          </w:p>
        </w:tc>
        <w:tc>
          <w:tcPr>
            <w:tcW w:w="1275" w:type="dxa"/>
            <w:shd w:val="clear" w:color="D9E2F3" w:themeColor="accent1" w:themeTint="33" w:fill="FF4D19"/>
          </w:tcPr>
          <w:p w14:paraId="326BB90B"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69A69C08" w14:textId="77777777" w:rsidR="008E765F" w:rsidRPr="00822EBF" w:rsidRDefault="008E765F" w:rsidP="00611251">
            <w:pPr>
              <w:pStyle w:val="RCTstable"/>
            </w:pPr>
            <w:r w:rsidRPr="00822EBF">
              <w:t>For the baseline characteristics, and a number of other outcomes, data were reported by groups,</w:t>
            </w:r>
            <w:r>
              <w:t xml:space="preserve"> with the P values reported as “NS”</w:t>
            </w:r>
            <w:r w:rsidRPr="00822EBF">
              <w:t xml:space="preserve"> (indicating non-significance). For a number of outcomes</w:t>
            </w:r>
            <w:r>
              <w:t>, the data were not presented (“</w:t>
            </w:r>
            <w:r w:rsidRPr="00822EBF">
              <w:t>There was no statistically significant difference between the randomised groups in terms of pre-eclampsia, induction of labo</w:t>
            </w:r>
            <w:r>
              <w:t>u</w:t>
            </w:r>
            <w:r w:rsidRPr="00822EBF">
              <w:t>r, lacerations, C</w:t>
            </w:r>
            <w:r>
              <w:t>a</w:t>
            </w:r>
            <w:r w:rsidRPr="00822EBF">
              <w:t>esare</w:t>
            </w:r>
            <w:r>
              <w:t>an deliveries (data not shown)”</w:t>
            </w:r>
            <w:r w:rsidRPr="00822EBF">
              <w:t>)</w:t>
            </w:r>
          </w:p>
        </w:tc>
      </w:tr>
      <w:tr w:rsidR="008E765F" w:rsidRPr="00822EBF" w14:paraId="3CBA0517" w14:textId="77777777" w:rsidTr="005A5EBF">
        <w:trPr>
          <w:cantSplit/>
        </w:trPr>
        <w:tc>
          <w:tcPr>
            <w:tcW w:w="1560" w:type="dxa"/>
            <w:shd w:val="clear" w:color="D9E2F3" w:themeColor="accent1" w:themeTint="33" w:fill="auto"/>
          </w:tcPr>
          <w:p w14:paraId="61D99D16"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746C40A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7F99445" w14:textId="02429393" w:rsidR="008E765F" w:rsidRPr="00822EBF" w:rsidRDefault="008E765F" w:rsidP="00611251">
            <w:pPr>
              <w:pStyle w:val="RCTstable"/>
            </w:pPr>
            <w:r w:rsidRPr="00822EBF">
              <w:t>Pre-pregnancy weight in the intervention group tended</w:t>
            </w:r>
            <w:r>
              <w:t xml:space="preserve"> to be higher (P</w:t>
            </w:r>
            <w:r w:rsidR="00162E95">
              <w:t>=</w:t>
            </w:r>
            <w:r>
              <w:t>0.061) with “all women weighing over 100 kg”</w:t>
            </w:r>
            <w:r w:rsidRPr="00822EBF">
              <w:t xml:space="preserve"> being in the intervention group. Women in the control group tended to have a higher educational status (P</w:t>
            </w:r>
            <w:r w:rsidR="00162E95">
              <w:t>=</w:t>
            </w:r>
            <w:r w:rsidRPr="00822EBF">
              <w:t>0.080)</w:t>
            </w:r>
            <w:r>
              <w:t>.</w:t>
            </w:r>
          </w:p>
        </w:tc>
      </w:tr>
      <w:tr w:rsidR="00605856" w:rsidRPr="00B52546" w14:paraId="5D5EE455" w14:textId="77777777" w:rsidTr="005A5EBF">
        <w:trPr>
          <w:cantSplit/>
        </w:trPr>
        <w:tc>
          <w:tcPr>
            <w:tcW w:w="14034" w:type="dxa"/>
            <w:gridSpan w:val="3"/>
            <w:shd w:val="solid" w:color="D9E2F3" w:themeColor="accent1" w:themeTint="33" w:fill="auto"/>
          </w:tcPr>
          <w:p w14:paraId="44D29304" w14:textId="5A5BF7AB" w:rsidR="00605856" w:rsidRPr="00B52546" w:rsidRDefault="00605856" w:rsidP="002747EA">
            <w:pPr>
              <w:pStyle w:val="RCTstable"/>
              <w:keepNext/>
              <w:rPr>
                <w:b/>
              </w:rPr>
            </w:pPr>
            <w:r>
              <w:rPr>
                <w:rFonts w:ascii="Century Gothic" w:hAnsi="Century Gothic"/>
                <w:b/>
                <w:noProof/>
              </w:rPr>
              <w:t>Kunath et al 2019</w:t>
            </w:r>
            <w:r w:rsidR="00E37D04">
              <w:rPr>
                <w:rFonts w:ascii="Century Gothic" w:hAnsi="Century Gothic"/>
                <w:b/>
                <w:noProof/>
              </w:rPr>
              <w:fldChar w:fldCharType="begin">
                <w:fldData xml:space="preserve">PEVuZE5vdGU+PENpdGU+PEF1dGhvcj5LdW5hdGg8L0F1dGhvcj48WWVhcj4yMDE5PC9ZZWFyPjxS
ZWNOdW0+MTM3NzwvUmVjTnVtPjxEaXNwbGF5VGV4dD48c3R5bGUgZmFjZT0ic3VwZXJzY3JpcHQi
IGZvbnQ9IlRyZWJ1Y2hldCBNUyIgc2l6ZT0iOSI+NDk3PC9zdHlsZT48L0Rpc3BsYXlUZXh0Pjxy
ZWNvcmQ+PHJlYy1udW1iZXI+MTM3NzwvcmVjLW51bWJlcj48Zm9yZWlnbi1rZXlzPjxrZXkgYXBw
PSJFTiIgZGItaWQ9ImV4dmFzcmZ4MmR0cmFvZXNhc3hwMnN6c3hhMmRmNTAyNTkyeCIgdGltZXN0
YW1wPSIxNTY3MDM5NTM2Ij4xMzc3PC9rZXk+PGtleSBhcHA9IkVOV2ViIiBkYi1pZD0iIj4wPC9r
ZXk+PC9mb3JlaWduLWtleXM+PHJlZi10eXBlIG5hbWU9IkpvdXJuYWwgQXJ0aWNsZSI+MTc8L3Jl
Zi10eXBlPjxjb250cmlidXRvcnM+PGF1dGhvcnM+PGF1dGhvcj5LdW5hdGgsIEouPC9hdXRob3I+
PGF1dGhvcj5HdW50aGVyLCBKLjwvYXV0aG9yPjxhdXRob3I+UmF1aCwgSy48L2F1dGhvcj48YXV0
aG9yPkhvZmZtYW5uLCBKLjwvYXV0aG9yPjxhdXRob3I+U3RlY2hlciwgTC48L2F1dGhvcj48YXV0
aG9yPlJvc2VuZmVsZCwgRS48L2F1dGhvcj48YXV0aG9yPktpY2ssIEwuPC9hdXRob3I+PGF1dGhv
cj5VbG0sIEsuPC9hdXRob3I+PGF1dGhvcj5IYXVuZXIsIEguPC9hdXRob3I+PC9hdXRob3JzPjwv
Y29udHJpYnV0b3JzPjxhdXRoLWFkZHJlc3M+RWxzZSBLcm9uZXItRnJlc2VuaXVzLUNlbnRyZSBm
b3IgTnV0cml0aW9uYWwgTWVkaWNpbmUsIEtsaW5pa3VtIHJlY2h0cyBkZXIgSXNhciwgVGVjaG5p
Y2FsIFVuaXZlcnNpdHkgb2YgTXVuaWNoLCBHZW9yZy1CcmF1Y2hsZS1SaW5nIDYyLCA4MDk5Miwg
TXVuaWNoLCBHZXJtYW55LiYjeEQ7Q29tcGV0ZW5jZSBDZW50cmUgZm9yIE51dHJpdGlvbiAoS0Vy
biksIEFtIEdlcmV1dGggNCwgODUzNTQsIEZyZWlzaW5nLCBHZXJtYW55LiYjeEQ7SW5zdGl0dXRl
IG9mIE1lZGljYWwgSW5mb3JtYXRpY3MsIFN0YXRpc3RpY3MgYW5kIEVwaWRlbWlvbG9neSwgS2xp
bmlrdW0gcmVjaHRzIGRlciBJc2FyLCBUZWNobmljYWwgVW5pdmVyc2l0eSBvZiBNdW5pY2gsIElz
bWFuaW5nZXIgU3RyYXNzZSAyMiwgODE2NzUsIE11bmljaCwgR2VybWFueS4mI3hEO0Vsc2UgS3Jv
bmVyLUZyZXNlbml1cy1DZW50cmUgZm9yIE51dHJpdGlvbmFsIE1lZGljaW5lLCBLbGluaWt1bSBy
ZWNodHMgZGVyIElzYXIsIFRlY2huaWNhbCBVbml2ZXJzaXR5IG9mIE11bmljaCwgR2VvcmctQnJh
dWNobGUtUmluZyA2MiwgODA5OTIsIE11bmljaCwgR2VybWFueS4gaGFucy5oYXVuZXJAdHVtLmRl
LjwvYXV0aC1hZGRyZXNzPjx0aXRsZXM+PHRpdGxlPkVmZmVjdHMgb2YgYSBsaWZlc3R5bGUgaW50
ZXJ2ZW50aW9uIGR1cmluZyBwcmVnbmFuY3kgdG8gcHJldmVudCBleGNlc3NpdmUgZ2VzdGF0aW9u
YWwgd2VpZ2h0IGdhaW4gaW4gcm91dGluZSBjYXJlIC0gdGhlIGNsdXN0ZXItcmFuZG9taXNlZCBH
ZWxpUyB0cmlhbDwvdGl0bGU+PHNlY29uZGFyeS10aXRsZT5CTUMgTWVkPC9zZWNvbmRhcnktdGl0
bGU+PC90aXRsZXM+PHBlcmlvZGljYWw+PGZ1bGwtdGl0bGU+Qk1DIE1lZDwvZnVsbC10aXRsZT48
L3BlcmlvZGljYWw+PHBhZ2VzPjU8L3BhZ2VzPjx2b2x1bWU+MTc8L3ZvbHVtZT48bnVtYmVyPjE8
L251bWJlcj48ZWRpdGlvbj4yMDE5LzAxLzE1PC9lZGl0aW9uPjxrZXl3b3Jkcz48a2V5d29yZD5B
ZHVsdDwva2V5d29yZD48a2V5d29yZD5Db3Vuc2VsaW5nL21ldGhvZHM8L2tleXdvcmQ+PGtleXdv
cmQ+RGlhYmV0ZXMsIEdlc3RhdGlvbmFsL3ByZXZlbnRpb24gJmFtcDsgY29udHJvbDwva2V5d29y
ZD48a2V5d29yZD5EaWV0IFRoZXJhcHkvbWV0aG9kczwva2V5d29yZD48a2V5d29yZD5FeGVyY2lz
ZSBUaGVyYXB5L21ldGhvZHM8L2tleXdvcmQ+PGtleXdvcmQ+RmVtYWxlPC9rZXl3b3JkPjxrZXl3
b3JkPipHZXN0YXRpb25hbCBXZWlnaHQgR2Fpbjwva2V5d29yZD48a2V5d29yZD5IdW1hbnM8L2tl
eXdvcmQ+PGtleXdvcmQ+TGlmZSBTdHlsZTwva2V5d29yZD48a2V5d29yZD5QZWRpYXRyaWMgT2Jl
c2l0eS9wcmV2ZW50aW9uICZhbXA7IGNvbnRyb2w8L2tleXdvcmQ+PGtleXdvcmQ+UHJlZ25hbmN5
PC9rZXl3b3JkPjxrZXl3b3JkPlByZWduYW5jeSBDb21wbGljYXRpb25zLypwcmV2ZW50aW9uICZh
bXA7IGNvbnRyb2w8L2tleXdvcmQ+PGtleXdvcmQ+UHJlbmF0YWwgQ2FyZS8qbWV0aG9kczwva2V5
d29yZD48a2V5d29yZD4qTGlmZXN0eWxlIGludGVydmVudGlvbjwva2V5d29yZD48a2V5d29yZD4q
Y2hpbGRob29kIG9iZXNpdHk8L2tleXdvcmQ+PGtleXdvcmQ+KmRpZXQ8L2tleXdvcmQ+PGtleXdv
cmQ+KmV4ZXJjaXNlPC9rZXl3b3JkPjxrZXl3b3JkPipnZXN0YXRpb25hbCBkaWFiZXRlczwva2V5
d29yZD48a2V5d29yZD4qb2Jlc2l0eSBwcmV2ZW50aW9uPC9rZXl3b3JkPjxrZXl3b3JkPipvYnN0
ZXRyaWMgb3V0Y29tZXM8L2tleXdvcmQ+PGtleXdvcmQ+KnByZWduYW5jeTwva2V5d29yZD48a2V5
d29yZD4qd2VpZ2h0IHJldGVudGlvbjwva2V5d29yZD48L2tleXdvcmRzPjxkYXRlcz48eWVhcj4y
MDE5PC95ZWFyPjxwdWItZGF0ZXM+PGRhdGU+SmFuIDE0PC9kYXRlPjwvcHViLWRhdGVzPjwvZGF0
ZXM+PGlzYm4+MTc0MS03MDE1IChFbGVjdHJvbmljKSYjeEQ7MTc0MS03MDE1IChMaW5raW5nKTwv
aXNibj48YWNjZXNzaW9uLW51bT4zMDYzNjYzNjwvYWNjZXNzaW9uLW51bT48dXJscz48cmVsYXRl
ZC11cmxzPjx1cmw+aHR0cHM6Ly93d3cubmNiaS5ubG0ubmloLmdvdi9wdWJtZWQvMzA2MzY2MzY8
L3VybD48L3JlbGF0ZWQtdXJscz48L3VybHM+PGN1c3RvbTI+UE1DNjMzMDc1MzwvY3VzdG9tMj48
ZWxlY3Ryb25pYy1yZXNvdXJjZS1udW0+MTAuMTE4Ni9zMTI5MTYtMDE4LTEyMzUtejwvZWxlY3Ry
b25pYy1yZXNvdXJjZS1udW0+PC9yZWNvcmQ+PC9DaXRlPjwvRW5kTm90ZT4A
</w:fldData>
              </w:fldChar>
            </w:r>
            <w:r w:rsidR="002747EA">
              <w:rPr>
                <w:rFonts w:ascii="Century Gothic" w:hAnsi="Century Gothic"/>
                <w:b/>
                <w:noProof/>
              </w:rPr>
              <w:instrText xml:space="preserve"> ADDIN EN.CITE </w:instrText>
            </w:r>
            <w:r w:rsidR="002747EA">
              <w:rPr>
                <w:rFonts w:ascii="Century Gothic" w:hAnsi="Century Gothic"/>
                <w:b/>
                <w:noProof/>
              </w:rPr>
              <w:fldChar w:fldCharType="begin">
                <w:fldData xml:space="preserve">PEVuZE5vdGU+PENpdGU+PEF1dGhvcj5LdW5hdGg8L0F1dGhvcj48WWVhcj4yMDE5PC9ZZWFyPjxS
ZWNOdW0+MTM3NzwvUmVjTnVtPjxEaXNwbGF5VGV4dD48c3R5bGUgZmFjZT0ic3VwZXJzY3JpcHQi
IGZvbnQ9IlRyZWJ1Y2hldCBNUyIgc2l6ZT0iOSI+NDk3PC9zdHlsZT48L0Rpc3BsYXlUZXh0Pjxy
ZWNvcmQ+PHJlYy1udW1iZXI+MTM3NzwvcmVjLW51bWJlcj48Zm9yZWlnbi1rZXlzPjxrZXkgYXBw
PSJFTiIgZGItaWQ9ImV4dmFzcmZ4MmR0cmFvZXNhc3hwMnN6c3hhMmRmNTAyNTkyeCIgdGltZXN0
YW1wPSIxNTY3MDM5NTM2Ij4xMzc3PC9rZXk+PGtleSBhcHA9IkVOV2ViIiBkYi1pZD0iIj4wPC9r
ZXk+PC9mb3JlaWduLWtleXM+PHJlZi10eXBlIG5hbWU9IkpvdXJuYWwgQXJ0aWNsZSI+MTc8L3Jl
Zi10eXBlPjxjb250cmlidXRvcnM+PGF1dGhvcnM+PGF1dGhvcj5LdW5hdGgsIEouPC9hdXRob3I+
PGF1dGhvcj5HdW50aGVyLCBKLjwvYXV0aG9yPjxhdXRob3I+UmF1aCwgSy48L2F1dGhvcj48YXV0
aG9yPkhvZmZtYW5uLCBKLjwvYXV0aG9yPjxhdXRob3I+U3RlY2hlciwgTC48L2F1dGhvcj48YXV0
aG9yPlJvc2VuZmVsZCwgRS48L2F1dGhvcj48YXV0aG9yPktpY2ssIEwuPC9hdXRob3I+PGF1dGhv
cj5VbG0sIEsuPC9hdXRob3I+PGF1dGhvcj5IYXVuZXIsIEguPC9hdXRob3I+PC9hdXRob3JzPjwv
Y29udHJpYnV0b3JzPjxhdXRoLWFkZHJlc3M+RWxzZSBLcm9uZXItRnJlc2VuaXVzLUNlbnRyZSBm
b3IgTnV0cml0aW9uYWwgTWVkaWNpbmUsIEtsaW5pa3VtIHJlY2h0cyBkZXIgSXNhciwgVGVjaG5p
Y2FsIFVuaXZlcnNpdHkgb2YgTXVuaWNoLCBHZW9yZy1CcmF1Y2hsZS1SaW5nIDYyLCA4MDk5Miwg
TXVuaWNoLCBHZXJtYW55LiYjeEQ7Q29tcGV0ZW5jZSBDZW50cmUgZm9yIE51dHJpdGlvbiAoS0Vy
biksIEFtIEdlcmV1dGggNCwgODUzNTQsIEZyZWlzaW5nLCBHZXJtYW55LiYjeEQ7SW5zdGl0dXRl
IG9mIE1lZGljYWwgSW5mb3JtYXRpY3MsIFN0YXRpc3RpY3MgYW5kIEVwaWRlbWlvbG9neSwgS2xp
bmlrdW0gcmVjaHRzIGRlciBJc2FyLCBUZWNobmljYWwgVW5pdmVyc2l0eSBvZiBNdW5pY2gsIElz
bWFuaW5nZXIgU3RyYXNzZSAyMiwgODE2NzUsIE11bmljaCwgR2VybWFueS4mI3hEO0Vsc2UgS3Jv
bmVyLUZyZXNlbml1cy1DZW50cmUgZm9yIE51dHJpdGlvbmFsIE1lZGljaW5lLCBLbGluaWt1bSBy
ZWNodHMgZGVyIElzYXIsIFRlY2huaWNhbCBVbml2ZXJzaXR5IG9mIE11bmljaCwgR2VvcmctQnJh
dWNobGUtUmluZyA2MiwgODA5OTIsIE11bmljaCwgR2VybWFueS4gaGFucy5oYXVuZXJAdHVtLmRl
LjwvYXV0aC1hZGRyZXNzPjx0aXRsZXM+PHRpdGxlPkVmZmVjdHMgb2YgYSBsaWZlc3R5bGUgaW50
ZXJ2ZW50aW9uIGR1cmluZyBwcmVnbmFuY3kgdG8gcHJldmVudCBleGNlc3NpdmUgZ2VzdGF0aW9u
YWwgd2VpZ2h0IGdhaW4gaW4gcm91dGluZSBjYXJlIC0gdGhlIGNsdXN0ZXItcmFuZG9taXNlZCBH
ZWxpUyB0cmlhbDwvdGl0bGU+PHNlY29uZGFyeS10aXRsZT5CTUMgTWVkPC9zZWNvbmRhcnktdGl0
bGU+PC90aXRsZXM+PHBlcmlvZGljYWw+PGZ1bGwtdGl0bGU+Qk1DIE1lZDwvZnVsbC10aXRsZT48
L3BlcmlvZGljYWw+PHBhZ2VzPjU8L3BhZ2VzPjx2b2x1bWU+MTc8L3ZvbHVtZT48bnVtYmVyPjE8
L251bWJlcj48ZWRpdGlvbj4yMDE5LzAxLzE1PC9lZGl0aW9uPjxrZXl3b3Jkcz48a2V5d29yZD5B
ZHVsdDwva2V5d29yZD48a2V5d29yZD5Db3Vuc2VsaW5nL21ldGhvZHM8L2tleXdvcmQ+PGtleXdv
cmQ+RGlhYmV0ZXMsIEdlc3RhdGlvbmFsL3ByZXZlbnRpb24gJmFtcDsgY29udHJvbDwva2V5d29y
ZD48a2V5d29yZD5EaWV0IFRoZXJhcHkvbWV0aG9kczwva2V5d29yZD48a2V5d29yZD5FeGVyY2lz
ZSBUaGVyYXB5L21ldGhvZHM8L2tleXdvcmQ+PGtleXdvcmQ+RmVtYWxlPC9rZXl3b3JkPjxrZXl3
b3JkPipHZXN0YXRpb25hbCBXZWlnaHQgR2Fpbjwva2V5d29yZD48a2V5d29yZD5IdW1hbnM8L2tl
eXdvcmQ+PGtleXdvcmQ+TGlmZSBTdHlsZTwva2V5d29yZD48a2V5d29yZD5QZWRpYXRyaWMgT2Jl
c2l0eS9wcmV2ZW50aW9uICZhbXA7IGNvbnRyb2w8L2tleXdvcmQ+PGtleXdvcmQ+UHJlZ25hbmN5
PC9rZXl3b3JkPjxrZXl3b3JkPlByZWduYW5jeSBDb21wbGljYXRpb25zLypwcmV2ZW50aW9uICZh
bXA7IGNvbnRyb2w8L2tleXdvcmQ+PGtleXdvcmQ+UHJlbmF0YWwgQ2FyZS8qbWV0aG9kczwva2V5
d29yZD48a2V5d29yZD4qTGlmZXN0eWxlIGludGVydmVudGlvbjwva2V5d29yZD48a2V5d29yZD4q
Y2hpbGRob29kIG9iZXNpdHk8L2tleXdvcmQ+PGtleXdvcmQ+KmRpZXQ8L2tleXdvcmQ+PGtleXdv
cmQ+KmV4ZXJjaXNlPC9rZXl3b3JkPjxrZXl3b3JkPipnZXN0YXRpb25hbCBkaWFiZXRlczwva2V5
d29yZD48a2V5d29yZD4qb2Jlc2l0eSBwcmV2ZW50aW9uPC9rZXl3b3JkPjxrZXl3b3JkPipvYnN0
ZXRyaWMgb3V0Y29tZXM8L2tleXdvcmQ+PGtleXdvcmQ+KnByZWduYW5jeTwva2V5d29yZD48a2V5
d29yZD4qd2VpZ2h0IHJldGVudGlvbjwva2V5d29yZD48L2tleXdvcmRzPjxkYXRlcz48eWVhcj4y
MDE5PC95ZWFyPjxwdWItZGF0ZXM+PGRhdGU+SmFuIDE0PC9kYXRlPjwvcHViLWRhdGVzPjwvZGF0
ZXM+PGlzYm4+MTc0MS03MDE1IChFbGVjdHJvbmljKSYjeEQ7MTc0MS03MDE1IChMaW5raW5nKTwv
aXNibj48YWNjZXNzaW9uLW51bT4zMDYzNjYzNjwvYWNjZXNzaW9uLW51bT48dXJscz48cmVsYXRl
ZC11cmxzPjx1cmw+aHR0cHM6Ly93d3cubmNiaS5ubG0ubmloLmdvdi9wdWJtZWQvMzA2MzY2MzY8
L3VybD48L3JlbGF0ZWQtdXJscz48L3VybHM+PGN1c3RvbTI+UE1DNjMzMDc1MzwvY3VzdG9tMj48
ZWxlY3Ryb25pYy1yZXNvdXJjZS1udW0+MTAuMTE4Ni9zMTI5MTYtMDE4LTEyMzUtejwvZWxlY3Ry
b25pYy1yZXNvdXJjZS1udW0+PC9yZWNvcmQ+PC9DaXRlPjwvRW5kTm90ZT4A
</w:fldData>
              </w:fldChar>
            </w:r>
            <w:r w:rsidR="002747EA">
              <w:rPr>
                <w:rFonts w:ascii="Century Gothic" w:hAnsi="Century Gothic"/>
                <w:b/>
                <w:noProof/>
              </w:rPr>
              <w:instrText xml:space="preserve"> ADDIN EN.CITE.DATA </w:instrText>
            </w:r>
            <w:r w:rsidR="002747EA">
              <w:rPr>
                <w:rFonts w:ascii="Century Gothic" w:hAnsi="Century Gothic"/>
                <w:b/>
                <w:noProof/>
              </w:rPr>
            </w:r>
            <w:r w:rsidR="002747EA">
              <w:rPr>
                <w:rFonts w:ascii="Century Gothic" w:hAnsi="Century Gothic"/>
                <w:b/>
                <w:noProof/>
              </w:rPr>
              <w:fldChar w:fldCharType="end"/>
            </w:r>
            <w:r w:rsidR="00E37D04">
              <w:rPr>
                <w:rFonts w:ascii="Century Gothic" w:hAnsi="Century Gothic"/>
                <w:b/>
                <w:noProof/>
              </w:rPr>
            </w:r>
            <w:r w:rsidR="00E37D04">
              <w:rPr>
                <w:rFonts w:ascii="Century Gothic" w:hAnsi="Century Gothic"/>
                <w:b/>
                <w:noProof/>
              </w:rPr>
              <w:fldChar w:fldCharType="separate"/>
            </w:r>
            <w:r w:rsidR="002747EA" w:rsidRPr="002747EA">
              <w:rPr>
                <w:b/>
                <w:noProof/>
                <w:sz w:val="18"/>
                <w:vertAlign w:val="superscript"/>
              </w:rPr>
              <w:t>497</w:t>
            </w:r>
            <w:r w:rsidR="00E37D04">
              <w:rPr>
                <w:rFonts w:ascii="Century Gothic" w:hAnsi="Century Gothic"/>
                <w:b/>
                <w:noProof/>
              </w:rPr>
              <w:fldChar w:fldCharType="end"/>
            </w:r>
          </w:p>
        </w:tc>
      </w:tr>
      <w:tr w:rsidR="00284A11" w:rsidRPr="00822EBF" w14:paraId="73A96E5F" w14:textId="77777777" w:rsidTr="005A5EBF">
        <w:trPr>
          <w:cantSplit/>
        </w:trPr>
        <w:tc>
          <w:tcPr>
            <w:tcW w:w="1560" w:type="dxa"/>
            <w:shd w:val="clear" w:color="D9E2F3" w:themeColor="accent1" w:themeTint="33" w:fill="auto"/>
          </w:tcPr>
          <w:p w14:paraId="1C6A6F97" w14:textId="77777777" w:rsidR="00284A11" w:rsidRPr="00822EBF" w:rsidRDefault="00284A11" w:rsidP="00DB441B">
            <w:pPr>
              <w:pStyle w:val="RCTstable"/>
              <w:keepNext/>
            </w:pPr>
            <w:r w:rsidRPr="00822EBF">
              <w:t>Random sequence generation</w:t>
            </w:r>
          </w:p>
        </w:tc>
        <w:tc>
          <w:tcPr>
            <w:tcW w:w="1275" w:type="dxa"/>
            <w:shd w:val="clear" w:color="D9E2F3" w:themeColor="accent1" w:themeTint="33" w:fill="70AD47" w:themeFill="accent6"/>
          </w:tcPr>
          <w:p w14:paraId="3A47BE1C" w14:textId="77777777" w:rsidR="00284A11" w:rsidRPr="00822EBF" w:rsidRDefault="00284A11" w:rsidP="00DB441B">
            <w:pPr>
              <w:pStyle w:val="RCTstable"/>
              <w:keepNext/>
            </w:pPr>
            <w:r w:rsidRPr="00822EBF">
              <w:t>Low risk</w:t>
            </w:r>
          </w:p>
        </w:tc>
        <w:tc>
          <w:tcPr>
            <w:tcW w:w="11199" w:type="dxa"/>
            <w:shd w:val="clear" w:color="D9E2F3" w:themeColor="accent1" w:themeTint="33" w:fill="auto"/>
          </w:tcPr>
          <w:p w14:paraId="6D55123C" w14:textId="4BBA9814" w:rsidR="00284A11" w:rsidRPr="00822EBF" w:rsidRDefault="00284A11" w:rsidP="00DB441B">
            <w:pPr>
              <w:pStyle w:val="RCTstable"/>
              <w:keepNext/>
            </w:pPr>
            <w:r>
              <w:t xml:space="preserve">Cluster randomised — </w:t>
            </w:r>
            <w:r w:rsidRPr="007B154D">
              <w:t>Within these five regions, paired cluster randomisation</w:t>
            </w:r>
            <w:r>
              <w:t xml:space="preserve"> </w:t>
            </w:r>
            <w:r w:rsidRPr="007B154D">
              <w:t>was conducted by matching two areas per</w:t>
            </w:r>
            <w:r>
              <w:t xml:space="preserve"> </w:t>
            </w:r>
            <w:r w:rsidRPr="007B154D">
              <w:t>region according to birth figures and socioeconomic</w:t>
            </w:r>
            <w:r>
              <w:t xml:space="preserve"> </w:t>
            </w:r>
            <w:r w:rsidRPr="007B154D">
              <w:t>status. In each of the five pairs, both urban and rural</w:t>
            </w:r>
            <w:r>
              <w:t xml:space="preserve"> </w:t>
            </w:r>
            <w:r w:rsidRPr="007B154D">
              <w:t>districts were included. One area of each pair was randomly</w:t>
            </w:r>
            <w:r>
              <w:t xml:space="preserve"> </w:t>
            </w:r>
            <w:r w:rsidRPr="007B154D">
              <w:t>assigned to the intervention and the other to the</w:t>
            </w:r>
            <w:r>
              <w:t xml:space="preserve"> </w:t>
            </w:r>
            <w:r w:rsidRPr="007B154D">
              <w:t>control group.</w:t>
            </w:r>
          </w:p>
        </w:tc>
      </w:tr>
      <w:tr w:rsidR="00284A11" w:rsidRPr="00822EBF" w14:paraId="5A275898" w14:textId="77777777" w:rsidTr="005A5EBF">
        <w:trPr>
          <w:cantSplit/>
        </w:trPr>
        <w:tc>
          <w:tcPr>
            <w:tcW w:w="1560" w:type="dxa"/>
            <w:shd w:val="clear" w:color="D9E2F3" w:themeColor="accent1" w:themeTint="33" w:fill="auto"/>
          </w:tcPr>
          <w:p w14:paraId="45FC25FA" w14:textId="77777777" w:rsidR="00284A11" w:rsidRPr="00822EBF" w:rsidRDefault="00284A11" w:rsidP="00DB441B">
            <w:pPr>
              <w:pStyle w:val="RCTstable"/>
              <w:keepNext/>
            </w:pPr>
            <w:r w:rsidRPr="00822EBF">
              <w:t xml:space="preserve">Allocation concealment </w:t>
            </w:r>
          </w:p>
        </w:tc>
        <w:tc>
          <w:tcPr>
            <w:tcW w:w="1275" w:type="dxa"/>
            <w:shd w:val="clear" w:color="D9E2F3" w:themeColor="accent1" w:themeTint="33" w:fill="FFC000" w:themeFill="accent4"/>
          </w:tcPr>
          <w:p w14:paraId="7549BE36" w14:textId="77777777" w:rsidR="00284A11" w:rsidRPr="00822EBF" w:rsidRDefault="00284A11" w:rsidP="00DB441B">
            <w:pPr>
              <w:pStyle w:val="RCTstable"/>
              <w:keepNext/>
            </w:pPr>
            <w:r w:rsidRPr="00822EBF">
              <w:t>Unclear risk</w:t>
            </w:r>
          </w:p>
        </w:tc>
        <w:tc>
          <w:tcPr>
            <w:tcW w:w="11199" w:type="dxa"/>
            <w:shd w:val="clear" w:color="D9E2F3" w:themeColor="accent1" w:themeTint="33" w:fill="auto"/>
          </w:tcPr>
          <w:p w14:paraId="29130804" w14:textId="69A82BA4" w:rsidR="00284A11" w:rsidRPr="00822EBF" w:rsidRDefault="00284A11" w:rsidP="00DB441B">
            <w:pPr>
              <w:pStyle w:val="RCTstable"/>
              <w:keepNext/>
            </w:pPr>
            <w:r>
              <w:t>Not described.</w:t>
            </w:r>
          </w:p>
        </w:tc>
      </w:tr>
      <w:tr w:rsidR="00284A11" w:rsidRPr="00822EBF" w14:paraId="3872BAA5" w14:textId="77777777" w:rsidTr="005A5EBF">
        <w:trPr>
          <w:cantSplit/>
        </w:trPr>
        <w:tc>
          <w:tcPr>
            <w:tcW w:w="1560" w:type="dxa"/>
            <w:shd w:val="clear" w:color="D9E2F3" w:themeColor="accent1" w:themeTint="33" w:fill="auto"/>
          </w:tcPr>
          <w:p w14:paraId="327EA293" w14:textId="77777777" w:rsidR="00284A11" w:rsidRPr="00822EBF" w:rsidRDefault="00284A11" w:rsidP="00DB441B">
            <w:pPr>
              <w:pStyle w:val="RCTstable"/>
              <w:keepNext/>
            </w:pPr>
            <w:r w:rsidRPr="00822EBF">
              <w:t>Performance bias</w:t>
            </w:r>
          </w:p>
        </w:tc>
        <w:tc>
          <w:tcPr>
            <w:tcW w:w="1275" w:type="dxa"/>
            <w:shd w:val="clear" w:color="D9E2F3" w:themeColor="accent1" w:themeTint="33" w:fill="FFC000" w:themeFill="accent4"/>
          </w:tcPr>
          <w:p w14:paraId="3F2FB5B2" w14:textId="4C5FAA53" w:rsidR="00284A11" w:rsidRPr="00822EBF" w:rsidRDefault="00284A11" w:rsidP="00DB441B">
            <w:pPr>
              <w:pStyle w:val="RCTstable"/>
              <w:keepNext/>
            </w:pPr>
            <w:r>
              <w:t>Unclear</w:t>
            </w:r>
            <w:r w:rsidRPr="00822EBF">
              <w:t xml:space="preserve"> risk</w:t>
            </w:r>
          </w:p>
        </w:tc>
        <w:tc>
          <w:tcPr>
            <w:tcW w:w="11199" w:type="dxa"/>
            <w:shd w:val="clear" w:color="D9E2F3" w:themeColor="accent1" w:themeTint="33" w:fill="auto"/>
          </w:tcPr>
          <w:p w14:paraId="245A54C4" w14:textId="3D29D74E" w:rsidR="00284A11" w:rsidRPr="00822EBF" w:rsidRDefault="00284A11" w:rsidP="00DB441B">
            <w:pPr>
              <w:pStyle w:val="RCTstable"/>
              <w:keepNext/>
            </w:pPr>
            <w:r>
              <w:t>Not described.</w:t>
            </w:r>
          </w:p>
        </w:tc>
      </w:tr>
      <w:tr w:rsidR="00284A11" w:rsidRPr="00822EBF" w14:paraId="3AD525DF" w14:textId="77777777" w:rsidTr="005A5EBF">
        <w:trPr>
          <w:cantSplit/>
        </w:trPr>
        <w:tc>
          <w:tcPr>
            <w:tcW w:w="1560" w:type="dxa"/>
            <w:shd w:val="clear" w:color="D9E2F3" w:themeColor="accent1" w:themeTint="33" w:fill="auto"/>
          </w:tcPr>
          <w:p w14:paraId="246F24CF" w14:textId="77777777" w:rsidR="00284A11" w:rsidRPr="00822EBF" w:rsidRDefault="00284A11" w:rsidP="00DB441B">
            <w:pPr>
              <w:pStyle w:val="RCTstable"/>
              <w:keepNext/>
            </w:pPr>
            <w:r w:rsidRPr="00822EBF">
              <w:t>Detection bias</w:t>
            </w:r>
          </w:p>
        </w:tc>
        <w:tc>
          <w:tcPr>
            <w:tcW w:w="1275" w:type="dxa"/>
            <w:shd w:val="clear" w:color="D9E2F3" w:themeColor="accent1" w:themeTint="33" w:fill="FFC000" w:themeFill="accent4"/>
          </w:tcPr>
          <w:p w14:paraId="56E3DD02" w14:textId="77777777" w:rsidR="00284A11" w:rsidRPr="00822EBF" w:rsidRDefault="00284A11" w:rsidP="00DB441B">
            <w:pPr>
              <w:pStyle w:val="RCTstable"/>
              <w:keepNext/>
            </w:pPr>
            <w:r w:rsidRPr="00822EBF">
              <w:t>Unclear risk</w:t>
            </w:r>
          </w:p>
        </w:tc>
        <w:tc>
          <w:tcPr>
            <w:tcW w:w="11199" w:type="dxa"/>
            <w:shd w:val="clear" w:color="D9E2F3" w:themeColor="accent1" w:themeTint="33" w:fill="auto"/>
          </w:tcPr>
          <w:p w14:paraId="7EA27E53" w14:textId="66F524B6" w:rsidR="00284A11" w:rsidRPr="00822EBF" w:rsidRDefault="00284A11" w:rsidP="00DB441B">
            <w:pPr>
              <w:pStyle w:val="RCTstable"/>
              <w:keepNext/>
            </w:pPr>
            <w:r w:rsidRPr="00822EBF">
              <w:t>Not described</w:t>
            </w:r>
            <w:r>
              <w:t>.</w:t>
            </w:r>
          </w:p>
        </w:tc>
      </w:tr>
      <w:tr w:rsidR="00284A11" w:rsidRPr="00822EBF" w14:paraId="43378704" w14:textId="77777777" w:rsidTr="005A5EBF">
        <w:trPr>
          <w:cantSplit/>
        </w:trPr>
        <w:tc>
          <w:tcPr>
            <w:tcW w:w="1560" w:type="dxa"/>
            <w:shd w:val="clear" w:color="D9E2F3" w:themeColor="accent1" w:themeTint="33" w:fill="auto"/>
          </w:tcPr>
          <w:p w14:paraId="1E1AAF42" w14:textId="77777777" w:rsidR="00284A11" w:rsidRPr="00822EBF" w:rsidRDefault="00284A11" w:rsidP="00465384">
            <w:pPr>
              <w:pStyle w:val="RCTstable"/>
            </w:pPr>
            <w:r w:rsidRPr="00822EBF">
              <w:t>Incomplete outcome data</w:t>
            </w:r>
          </w:p>
        </w:tc>
        <w:tc>
          <w:tcPr>
            <w:tcW w:w="1275" w:type="dxa"/>
            <w:shd w:val="clear" w:color="D9E2F3" w:themeColor="accent1" w:themeTint="33" w:fill="70AD47" w:themeFill="accent6"/>
          </w:tcPr>
          <w:p w14:paraId="00C24941" w14:textId="243565A9" w:rsidR="00284A11" w:rsidRPr="00822EBF" w:rsidRDefault="00284A11" w:rsidP="00465384">
            <w:pPr>
              <w:pStyle w:val="RCTstable"/>
            </w:pPr>
            <w:r>
              <w:t>Low</w:t>
            </w:r>
            <w:r w:rsidRPr="00822EBF">
              <w:t xml:space="preserve"> risk</w:t>
            </w:r>
          </w:p>
        </w:tc>
        <w:tc>
          <w:tcPr>
            <w:tcW w:w="11199" w:type="dxa"/>
            <w:shd w:val="clear" w:color="D9E2F3" w:themeColor="accent1" w:themeTint="33" w:fill="auto"/>
          </w:tcPr>
          <w:p w14:paraId="3880E0A9" w14:textId="26FA0D59" w:rsidR="00284A11" w:rsidRPr="00822EBF" w:rsidRDefault="00284A11" w:rsidP="00465384">
            <w:pPr>
              <w:pStyle w:val="RCTstable"/>
            </w:pPr>
            <w:r w:rsidRPr="000B4253">
              <w:t>Reasons for</w:t>
            </w:r>
            <w:r>
              <w:t xml:space="preserve"> </w:t>
            </w:r>
            <w:r w:rsidRPr="000B4253">
              <w:t>missing outcome data were miscarriage (</w:t>
            </w:r>
            <w:r w:rsidRPr="000B4253">
              <w:rPr>
                <w:rFonts w:ascii="Helvetica" w:hAnsi="Helvetica"/>
              </w:rPr>
              <w:t>n</w:t>
            </w:r>
            <w:r w:rsidR="00162E95">
              <w:rPr>
                <w:rFonts w:ascii="Helvetica" w:hAnsi="Helvetica"/>
              </w:rPr>
              <w:t>=</w:t>
            </w:r>
            <w:r w:rsidRPr="000B4253">
              <w:t>73), termination</w:t>
            </w:r>
            <w:r>
              <w:t xml:space="preserve"> </w:t>
            </w:r>
            <w:r w:rsidRPr="000B4253">
              <w:t>(</w:t>
            </w:r>
            <w:r w:rsidRPr="000B4253">
              <w:rPr>
                <w:rFonts w:ascii="Helvetica" w:hAnsi="Helvetica"/>
              </w:rPr>
              <w:t>n</w:t>
            </w:r>
            <w:r w:rsidR="00162E95">
              <w:rPr>
                <w:rFonts w:ascii="Helvetica" w:hAnsi="Helvetica"/>
              </w:rPr>
              <w:t>=</w:t>
            </w:r>
            <w:r w:rsidRPr="000B4253">
              <w:t>9) or severe pregnancy complications (</w:t>
            </w:r>
            <w:r w:rsidRPr="000B4253">
              <w:rPr>
                <w:rFonts w:ascii="Helvetica" w:hAnsi="Helvetica"/>
              </w:rPr>
              <w:t>n</w:t>
            </w:r>
            <w:r w:rsidR="00162E95">
              <w:rPr>
                <w:rFonts w:ascii="Helvetica" w:hAnsi="Helvetica"/>
              </w:rPr>
              <w:t>=</w:t>
            </w:r>
            <w:r w:rsidRPr="000B4253">
              <w:t>4). A</w:t>
            </w:r>
            <w:r>
              <w:t xml:space="preserve"> </w:t>
            </w:r>
            <w:r w:rsidRPr="000B4253">
              <w:t>further 158 (7.0%) women dropped out from both groups</w:t>
            </w:r>
            <w:r>
              <w:t xml:space="preserve"> </w:t>
            </w:r>
            <w:r w:rsidRPr="000B4253">
              <w:t>due to (multiple answers were possible) change of practice</w:t>
            </w:r>
            <w:r>
              <w:t xml:space="preserve"> </w:t>
            </w:r>
            <w:r w:rsidRPr="000B4253">
              <w:t>or residence (</w:t>
            </w:r>
            <w:r w:rsidRPr="000B4253">
              <w:rPr>
                <w:rFonts w:ascii="Helvetica" w:hAnsi="Helvetica"/>
              </w:rPr>
              <w:t>n</w:t>
            </w:r>
            <w:r w:rsidR="00162E95">
              <w:rPr>
                <w:rFonts w:ascii="Helvetica" w:hAnsi="Helvetica"/>
              </w:rPr>
              <w:t>=</w:t>
            </w:r>
            <w:r w:rsidRPr="000B4253">
              <w:t>65), decline of further study visits</w:t>
            </w:r>
            <w:r>
              <w:t xml:space="preserve"> </w:t>
            </w:r>
            <w:r w:rsidRPr="000B4253">
              <w:t>(</w:t>
            </w:r>
            <w:r w:rsidRPr="000B4253">
              <w:rPr>
                <w:rFonts w:ascii="Helvetica" w:hAnsi="Helvetica"/>
              </w:rPr>
              <w:t>n</w:t>
            </w:r>
            <w:r w:rsidR="00162E95">
              <w:rPr>
                <w:rFonts w:ascii="Helvetica" w:hAnsi="Helvetica"/>
              </w:rPr>
              <w:t>=</w:t>
            </w:r>
            <w:r w:rsidRPr="000B4253">
              <w:t>59) or no longer reachable (</w:t>
            </w:r>
            <w:r w:rsidRPr="000B4253">
              <w:rPr>
                <w:rFonts w:ascii="Helvetica" w:hAnsi="Helvetica"/>
              </w:rPr>
              <w:t>n</w:t>
            </w:r>
            <w:r w:rsidR="00162E95">
              <w:rPr>
                <w:rFonts w:ascii="Helvetica" w:hAnsi="Helvetica"/>
              </w:rPr>
              <w:t>=</w:t>
            </w:r>
            <w:r w:rsidRPr="000B4253">
              <w:t>31).</w:t>
            </w:r>
          </w:p>
        </w:tc>
      </w:tr>
      <w:tr w:rsidR="00284A11" w:rsidRPr="00822EBF" w14:paraId="1277DC3B" w14:textId="77777777" w:rsidTr="005A5EBF">
        <w:trPr>
          <w:cantSplit/>
        </w:trPr>
        <w:tc>
          <w:tcPr>
            <w:tcW w:w="1560" w:type="dxa"/>
            <w:shd w:val="clear" w:color="D9E2F3" w:themeColor="accent1" w:themeTint="33" w:fill="auto"/>
          </w:tcPr>
          <w:p w14:paraId="44437EAB" w14:textId="77777777" w:rsidR="00284A11" w:rsidRPr="00822EBF" w:rsidRDefault="00284A11" w:rsidP="00465384">
            <w:pPr>
              <w:pStyle w:val="RCTstable"/>
            </w:pPr>
            <w:r w:rsidRPr="00822EBF">
              <w:t>Selective reporting</w:t>
            </w:r>
          </w:p>
        </w:tc>
        <w:tc>
          <w:tcPr>
            <w:tcW w:w="1275" w:type="dxa"/>
            <w:shd w:val="clear" w:color="D9E2F3" w:themeColor="accent1" w:themeTint="33" w:fill="FFC000" w:themeFill="accent4"/>
          </w:tcPr>
          <w:p w14:paraId="6C5F3445" w14:textId="533A0258" w:rsidR="00284A11" w:rsidRPr="00822EBF" w:rsidRDefault="00284A11" w:rsidP="00465384">
            <w:pPr>
              <w:pStyle w:val="RCTstable"/>
            </w:pPr>
            <w:r>
              <w:t>Unclear</w:t>
            </w:r>
            <w:r w:rsidRPr="00822EBF">
              <w:t xml:space="preserve"> risk</w:t>
            </w:r>
          </w:p>
        </w:tc>
        <w:tc>
          <w:tcPr>
            <w:tcW w:w="11199" w:type="dxa"/>
            <w:shd w:val="clear" w:color="D9E2F3" w:themeColor="accent1" w:themeTint="33" w:fill="auto"/>
          </w:tcPr>
          <w:p w14:paraId="1B652637" w14:textId="6CA8C97C" w:rsidR="00284A11" w:rsidRPr="00822EBF" w:rsidRDefault="00284A11" w:rsidP="00465384">
            <w:pPr>
              <w:pStyle w:val="RCTstable"/>
            </w:pPr>
            <w:r>
              <w:t>Some secondary outcomes described in the study design have not yet been reported.</w:t>
            </w:r>
          </w:p>
        </w:tc>
      </w:tr>
      <w:tr w:rsidR="00284A11" w:rsidRPr="00822EBF" w14:paraId="7482BDE9" w14:textId="77777777" w:rsidTr="005A5EBF">
        <w:trPr>
          <w:cantSplit/>
        </w:trPr>
        <w:tc>
          <w:tcPr>
            <w:tcW w:w="1560" w:type="dxa"/>
            <w:shd w:val="clear" w:color="D9E2F3" w:themeColor="accent1" w:themeTint="33" w:fill="auto"/>
          </w:tcPr>
          <w:p w14:paraId="1B488B84" w14:textId="77777777" w:rsidR="00284A11" w:rsidRPr="00822EBF" w:rsidRDefault="00284A11" w:rsidP="00465384">
            <w:pPr>
              <w:pStyle w:val="RCTstable"/>
            </w:pPr>
            <w:r w:rsidRPr="00822EBF">
              <w:t xml:space="preserve">Other limitations </w:t>
            </w:r>
          </w:p>
        </w:tc>
        <w:tc>
          <w:tcPr>
            <w:tcW w:w="1275" w:type="dxa"/>
            <w:shd w:val="clear" w:color="D9E2F3" w:themeColor="accent1" w:themeTint="33" w:fill="FFC000" w:themeFill="accent4"/>
          </w:tcPr>
          <w:p w14:paraId="491D16C0" w14:textId="77777777" w:rsidR="00284A11" w:rsidRPr="00822EBF" w:rsidRDefault="00284A11" w:rsidP="00465384">
            <w:pPr>
              <w:pStyle w:val="RCTstable"/>
            </w:pPr>
            <w:r w:rsidRPr="00822EBF">
              <w:t>Unclear risk</w:t>
            </w:r>
          </w:p>
        </w:tc>
        <w:tc>
          <w:tcPr>
            <w:tcW w:w="11199" w:type="dxa"/>
            <w:shd w:val="clear" w:color="D9E2F3" w:themeColor="accent1" w:themeTint="33" w:fill="auto"/>
          </w:tcPr>
          <w:p w14:paraId="7BFEAEBF" w14:textId="07E92E66" w:rsidR="00284A11" w:rsidRPr="00822EBF" w:rsidRDefault="00284A11" w:rsidP="00465384">
            <w:pPr>
              <w:pStyle w:val="RCTstable"/>
            </w:pPr>
            <w:r>
              <w:t>The proportion of nulliparous women was higher in the intervention (62%) than in the control group (53%).</w:t>
            </w:r>
          </w:p>
        </w:tc>
      </w:tr>
      <w:tr w:rsidR="008E765F" w:rsidRPr="00B52546" w14:paraId="1A295749" w14:textId="77777777" w:rsidTr="005A5EBF">
        <w:trPr>
          <w:cantSplit/>
        </w:trPr>
        <w:tc>
          <w:tcPr>
            <w:tcW w:w="14034" w:type="dxa"/>
            <w:gridSpan w:val="3"/>
            <w:shd w:val="solid" w:color="D9E2F3" w:themeColor="accent1" w:themeTint="33" w:fill="auto"/>
          </w:tcPr>
          <w:p w14:paraId="47621E18" w14:textId="6AE8435D" w:rsidR="008E765F" w:rsidRPr="00B52546" w:rsidRDefault="008E765F" w:rsidP="002747EA">
            <w:pPr>
              <w:pStyle w:val="RCTstable"/>
              <w:keepNext/>
              <w:rPr>
                <w:b/>
              </w:rPr>
            </w:pPr>
            <w:r w:rsidRPr="0025597C">
              <w:rPr>
                <w:rFonts w:ascii="Century Gothic" w:hAnsi="Century Gothic"/>
                <w:b/>
                <w:noProof/>
              </w:rPr>
              <w:t>Luoto et al 2011</w:t>
            </w:r>
            <w:r>
              <w:rPr>
                <w:rFonts w:ascii="Century Gothic" w:hAnsi="Century Gothic"/>
                <w:noProof/>
              </w:rPr>
              <w:fldChar w:fldCharType="begin">
                <w:fldData xml:space="preserve">PEVuZE5vdGU+PENpdGU+PEF1dGhvcj5MdW90bzwvQXV0aG9yPjxZZWFyPjIwMTE8L1llYXI+PFJl
Y051bT4xMDg0PC9SZWNOdW0+PERpc3BsYXlUZXh0PjxzdHlsZSBmYWNlPSJzdXBlcnNjcmlwdCIg
Zm9udD0iVHJlYnVjaGV0IE1TIiBzaXplPSI5Ij41MjIsNTQ4LTU1MDwvc3R5bGU+PC9EaXNwbGF5
VGV4dD48cmVjb3JkPjxyZWMtbnVtYmVyPjEwODQ8L3JlYy1udW1iZXI+PGZvcmVpZ24ta2V5cz48
a2V5IGFwcD0iRU4iIGRiLWlkPSJleHZhc3JmeDJkdHJhb2VzYXN4cDJzenN4YTJkZjUwMjU5Mngi
IHRpbWVzdGFtcD0iMTU1Mjk0NjUwMSI+MTA4NDwva2V5PjxrZXkgYXBwPSJFTldlYiIgZGItaWQ9
IiI+MDwva2V5PjwvZm9yZWlnbi1rZXlzPjxyZWYtdHlwZSBuYW1lPSJKb3VybmFsIEFydGljbGUi
PjE3PC9yZWYtdHlwZT48Y29udHJpYnV0b3JzPjxhdXRob3JzPjxhdXRob3I+THVvdG8sIFIuPC9h
dXRob3I+PGF1dGhvcj5LaW5udW5lbiwgVC4gSS48L2F1dGhvcj48YXV0aG9yPkFpdHRhc2Fsbywg
TS48L2F1dGhvcj48YXV0aG9yPktvbHUsIFAuPC9hdXRob3I+PGF1dGhvcj5SYWl0YW5lbiwgSi48
L2F1dGhvcj48YXV0aG9yPk9qYWxhLCBLLjwvYXV0aG9yPjxhdXRob3I+TWFuc2lra2FtYWtpLCBL
LjwvYXV0aG9yPjxhdXRob3I+TGFtYmVyZywgUy48L2F1dGhvcj48YXV0aG9yPlZhc2Fua2FyaSwg
VC48L2F1dGhvcj48YXV0aG9yPktvbXVsYWluZW4sIFQuPC9hdXRob3I+PGF1dGhvcj5UdWxva2Fz
LCBTLjwvYXV0aG9yPjwvYXV0aG9ycz48L2NvbnRyaWJ1dG9ycz48YXV0aC1hZGRyZXNzPlVLSyBJ
bnN0aXR1dGUgZm9yIEhlYWx0aCBQcm9tb3Rpb24gUmVzZWFyY2gsIFRhbXBlcmUsIEZpbmxhbmQu
IHJpaXR0YS5sdW90b0B1dGEuZmk8L2F1dGgtYWRkcmVzcz48dGl0bGVzPjx0aXRsZT5QcmltYXJ5
IHByZXZlbnRpb24gb2YgZ2VzdGF0aW9uYWwgZGlhYmV0ZXMgbWVsbGl0dXMgYW5kIGxhcmdlLWZv
ci1nZXN0YXRpb25hbC1hZ2UgbmV3Ym9ybnMgYnkgbGlmZXN0eWxlIGNvdW5zZWxpbmc6IGEgY2x1
c3Rlci1yYW5kb21pemVkIGNvbnRyb2xsZWQgdHJpYWw8L3RpdGxlPjxzZWNvbmRhcnktdGl0bGU+
UExvUyBNZWQ8L3NlY29uZGFyeS10aXRsZT48L3RpdGxlcz48cGVyaW9kaWNhbD48ZnVsbC10aXRs
ZT5QTG9TIE1lZDwvZnVsbC10aXRsZT48L3BlcmlvZGljYWw+PHBhZ2VzPmUxMDAxMDM2PC9wYWdl
cz48dm9sdW1lPjg8L3ZvbHVtZT48bnVtYmVyPjU8L251bWJlcj48ZWRpdGlvbj4yMDExLzA1LzI2
PC9lZGl0aW9uPjxrZXl3b3Jkcz48a2V5d29yZD5BZHVsdDwva2V5d29yZD48a2V5d29yZD5CZWhh
dmlvci9waHlzaW9sb2d5PC9rZXl3b3JkPjxrZXl3b3JkPkJpcnRoIFdlaWdodC8qcGh5c2lvbG9n
eTwva2V5d29yZD48a2V5d29yZD5EaWFiZXRlcywgR2VzdGF0aW9uYWwvKnByZXZlbnRpb24gJmFt
cDsgY29udHJvbDwva2V5d29yZD48a2V5d29yZD5EaWV0PC9rZXl3b3JkPjxrZXl3b3JkPkZlbWFs
ZTwva2V5d29yZD48a2V5d29yZD5GaW5sYW5kPC9rZXl3b3JkPjxrZXl3b3JkPipHZXN0YXRpb25h
bCBBZ2U8L2tleXdvcmQ+PGtleXdvcmQ+R2x1Y29zZSBUb2xlcmFuY2UgVGVzdDwva2V5d29yZD48
a2V5d29yZD4qSGVhbHRoIEVkdWNhdGlvbjwva2V5d29yZD48a2V5d29yZD5IdW1hbnM8L2tleXdv
cmQ+PGtleXdvcmQ+SW5mYW50LCBOZXdib3JuPC9rZXl3b3JkPjxrZXl3b3JkPkluc3VsaW4vbWV0
YWJvbGlzbTwva2V5d29yZD48a2V5d29yZD4qTGlmZSBTdHlsZTwva2V5d29yZD48a2V5d29yZD5N
b3RvciBBY3Rpdml0eTwva2V5d29yZD48a2V5d29yZD5QYXRpZW50IENvbXBsaWFuY2U8L2tleXdv
cmQ+PGtleXdvcmQ+UHJlZ25hbmN5PC9rZXl3b3JkPjxrZXl3b3JkPipQcmltYXJ5IFByZXZlbnRp
b248L2tleXdvcmQ+PGtleXdvcmQ+VHJlYXRtZW50IE91dGNvbWU8L2tleXdvcmQ+PC9rZXl3b3Jk
cz48ZGF0ZXM+PHllYXI+MjAxMTwveWVhcj48cHViLWRhdGVzPjxkYXRlPk1heTwvZGF0ZT48L3B1
Yi1kYXRlcz48L2RhdGVzPjxpc2JuPjE1NDktMTY3NiAoRWxlY3Ryb25pYykmI3hEOzE1NDktMTI3
NyAoTGlua2luZyk8L2lzYm4+PGFjY2Vzc2lvbi1udW0+MjE2MTA4NjA8L2FjY2Vzc2lvbi1udW0+
PHVybHM+PHJlbGF0ZWQtdXJscz48dXJsPmh0dHBzOi8vd3d3Lm5jYmkubmxtLm5paC5nb3YvcHVi
bWVkLzIxNjEwODYwPC91cmw+PC9yZWxhdGVkLXVybHM+PC91cmxzPjxjdXN0b20yPlBNQzMwOTY2
MTA8L2N1c3RvbTI+PGVsZWN0cm9uaWMtcmVzb3VyY2UtbnVtPjEwLjEzNzEvam91cm5hbC5wbWVk
LjEwMDEwMzY8L2VsZWN0cm9uaWMtcmVzb3VyY2UtbnVtPjwvcmVjb3JkPjwvQ2l0ZT48Q2l0ZT48
QXV0aG9yPktpbm51bmVuPC9BdXRob3I+PFllYXI+MjAxMjwvWWVhcj48UmVjTnVtPjEwODM8L1Jl
Y051bT48cmVjb3JkPjxyZWMtbnVtYmVyPjEwODM8L3JlYy1udW1iZXI+PGZvcmVpZ24ta2V5cz48
a2V5IGFwcD0iRU4iIGRiLWlkPSJleHZhc3JmeDJkdHJhb2VzYXN4cDJzenN4YTJkZjUwMjU5Mngi
IHRpbWVzdGFtcD0iMTU1Mjk0NjQ4OCI+MTA4Mzwva2V5PjxrZXkgYXBwPSJFTldlYiIgZGItaWQ9
IiI+MDwva2V5PjwvZm9yZWlnbi1rZXlzPjxyZWYtdHlwZSBuYW1lPSJKb3VybmFsIEFydGljbGUi
PjE3PC9yZWYtdHlwZT48Y29udHJpYnV0b3JzPjxhdXRob3JzPjxhdXRob3I+S2lubnVuZW4sIFQu
IEkuPC9hdXRob3I+PGF1dGhvcj5SYWl0YW5lbiwgSi48L2F1dGhvcj48YXV0aG9yPkFpdHRhc2Fs
bywgTS48L2F1dGhvcj48YXV0aG9yPkx1b3RvLCBSLjwvYXV0aG9yPjwvYXV0aG9ycz48L2NvbnRy
aWJ1dG9ycz48YXV0aC1hZGRyZXNzPlNjaG9vbCBvZiBIZWFsdGggU2NpZW5jZXMsIFVuaXZlcnNp
dHkgb2YgVGFtcGVyZSwgVGFtcGVyZSwgRmlubGFuZC4gdGFyamEuaS5raW5udW5lbkB1dGEuZmk8
L2F1dGgtYWRkcmVzcz48dGl0bGVzPjx0aXRsZT5QcmV2ZW50aW5nIGV4Y2Vzc2l2ZSBnZXN0YXRp
b25hbCB3ZWlnaHQgZ2Fpbi0tYSBzZWNvbmRhcnkgYW5hbHlzaXMgb2YgYSBjbHVzdGVyLXJhbmRv
bWlzZWQgY29udHJvbGxlZCB0cmlhbDwvdGl0bGU+PHNlY29uZGFyeS10aXRsZT5FdXIgSiBDbGlu
IE51dHI8L3NlY29uZGFyeS10aXRsZT48L3RpdGxlcz48cGVyaW9kaWNhbD48ZnVsbC10aXRsZT5F
dXIgSiBDbGluIE51dHI8L2Z1bGwtdGl0bGU+PC9wZXJpb2RpY2FsPjxwYWdlcz4xMzQ0LTUwPC9w
YWdlcz48dm9sdW1lPjY2PC92b2x1bWU+PG51bWJlcj4xMjwvbnVtYmVyPjxlZGl0aW9uPjIwMTIv
MTIvMDY8L2VkaXRpb24+PGtleXdvcmRzPjxrZXl3b3JkPkFkb2xlc2NlbnQ8L2tleXdvcmQ+PGtl
eXdvcmQ+QWR1bHQ8L2tleXdvcmQ+PGtleXdvcmQ+KkJvZHkgTWFzcyBJbmRleDwva2V5d29yZD48
a2V5d29yZD4qQ291bnNlbGluZzwva2V5d29yZD48a2V5d29yZD4qRGlhYmV0ZXMsIEdlc3RhdGlv
bmFsPC9rZXl3b3JkPjxrZXl3b3JkPipEaWV0PC9rZXl3b3JkPjxrZXl3b3JkPkVuZXJneSBJbnRh
a2U8L2tleXdvcmQ+PGtleXdvcmQ+KkV4ZXJjaXNlPC9rZXl3b3JkPjxrZXl3b3JkPkZlbWFsZTwv
a2V5d29yZD48a2V5d29yZD5GaW5sYW5kPC9rZXl3b3JkPjxrZXl3b3JkPkh1bWFuczwva2V5d29y
ZD48a2V5d29yZD5Mb2dpc3RpYyBNb2RlbHM8L2tleXdvcmQ+PGtleXdvcmQ+T2Jlc2l0eS8qcHJl
dmVudGlvbiAmYW1wOyBjb250cm9sPC9rZXl3b3JkPjxrZXl3b3JkPk9kZHMgUmF0aW88L2tleXdv
cmQ+PGtleXdvcmQ+T3ZlcndlaWdodDwva2V5d29yZD48a2V5d29yZD5QcmVnbmFuY3k8L2tleXdv
cmQ+PGtleXdvcmQ+UmlzayBGYWN0b3JzPC9rZXl3b3JkPjxrZXl3b3JkPipXZWlnaHQgR2Fpbjwv
a2V5d29yZD48a2V5d29yZD5Zb3VuZyBBZHVsdDwva2V5d29yZD48L2tleXdvcmRzPjxkYXRlcz48
eWVhcj4yMDEyPC95ZWFyPjxwdWItZGF0ZXM+PGRhdGU+RGVjPC9kYXRlPjwvcHViLWRhdGVzPjwv
ZGF0ZXM+PGlzYm4+MTQ3Ni01NjQwIChFbGVjdHJvbmljKSYjeEQ7MDk1NC0zMDA3IChMaW5raW5n
KTwvaXNibj48YWNjZXNzaW9uLW51bT4yMzIxMTY1NjwvYWNjZXNzaW9uLW51bT48dXJscz48cmVs
YXRlZC11cmxzPjx1cmw+aHR0cHM6Ly93d3cubmNiaS5ubG0ubmloLmdvdi9wdWJtZWQvMjMyMTE2
NTY8L3VybD48L3JlbGF0ZWQtdXJscz48L3VybHM+PGVsZWN0cm9uaWMtcmVzb3VyY2UtbnVtPjEw
LjEwMzgvZWpjbi4yMDEyLjE0NjwvZWxlY3Ryb25pYy1yZXNvdXJjZS1udW0+PC9yZWNvcmQ+PC9D
aXRlPjxDaXRlPjxBdXRob3I+S29sdTwvQXV0aG9yPjxZZWFyPjIwMTM8L1llYXI+PFJlY051bT43
MzQ8L1JlY051bT48cmVjb3JkPjxyZWMtbnVtYmVyPjczNDwvcmVjLW51bWJlcj48Zm9yZWlnbi1r
ZXlzPjxrZXkgYXBwPSJFTiIgZGItaWQ9ImV4dmFzcmZ4MmR0cmFvZXNhc3hwMnN6c3hhMmRmNTAy
NTkyeCIgdGltZXN0YW1wPSIxNTQxNDY3NzczIj43MzQ8L2tleT48a2V5IGFwcD0iRU5XZWIiIGRi
LWlkPSIiPjA8L2tleT48L2ZvcmVpZ24ta2V5cz48cmVmLXR5cGUgbmFtZT0iSm91cm5hbCBBcnRp
Y2xlIj4xNzwvcmVmLXR5cGU+PGNvbnRyaWJ1dG9ycz48YXV0aG9ycz48YXV0aG9yPktvbHUsIFDD
pGl2aTwvYXV0aG9yPjxhdXRob3I+UmFpdGFuZW4sIEphbmk8L2F1dGhvcj48YXV0aG9yPlJpc3Nh
bmVuLCBQZWtrYTwvYXV0aG9yPjxhdXRob3I+THVvdG8sIFJpaXR0YTwvYXV0aG9yPjwvYXV0aG9y
cz48L2NvbnRyaWJ1dG9ycz48dGl0bGVzPjx0aXRsZT5Db3N0LUVmZmVjdGl2ZW5lc3Mgb2YgTGlm
ZXN0eWxlIENvdW5zZWxsaW5nIGFzIFByaW1hcnkgUHJldmVudGlvbiBvZiBHZXN0YXRpb25hbCBE
aWFiZXRlcyBNZWxsaXR1czogRmluZGluZ3MgZnJvbSBhIENsdXN0ZXItUmFuZG9taXNlZCBUcmlh
bDwvdGl0bGU+PHNlY29uZGFyeS10aXRsZT5QTG9TIE9ORTwvc2Vjb25kYXJ5LXRpdGxlPjwvdGl0
bGVzPjxwZXJpb2RpY2FsPjxmdWxsLXRpdGxlPlBMb1MgT25lPC9mdWxsLXRpdGxlPjwvcGVyaW9k
aWNhbD48dm9sdW1lPjg8L3ZvbHVtZT48bnVtYmVyPjI8L251bWJlcj48c2VjdGlvbj5lNTYzOTI8
L3NlY3Rpb24+PGRhdGVzPjx5ZWFyPjIwMTM8L3llYXI+PC9kYXRlcz48aXNibj4xOTMyLTYyMDM8
L2lzYm4+PHVybHM+PC91cmxzPjxlbGVjdHJvbmljLXJlc291cmNlLW51bT4xMC4xMzcxL2pvdXJu
YWwucG9uZS4wMDU2MzkyPC9lbGVjdHJvbmljLXJlc291cmNlLW51bT48L3JlY29yZD48L0NpdGU+
PENpdGU+PEF1dGhvcj5Lb2x1PC9BdXRob3I+PFllYXI+MjAxNjwvWWVhcj48UmVjTnVtPjczNTwv
UmVjTnVtPjxyZWNvcmQ+PHJlYy1udW1iZXI+NzM1PC9yZWMtbnVtYmVyPjxmb3JlaWduLWtleXM+
PGtleSBhcHA9IkVOIiBkYi1pZD0iZXh2YXNyZngyZHRyYW9lc2FzeHAyc3pzeGEyZGY1MDI1OTJ4
IiB0aW1lc3RhbXA9IjE1NDE0Njc3ODQiPjczNTwva2V5PjxrZXkgYXBwPSJFTldlYiIgZGItaWQ9
IiI+MDwva2V5PjwvZm9yZWlnbi1rZXlzPjxyZWYtdHlwZSBuYW1lPSJKb3VybmFsIEFydGljbGUi
PjE3PC9yZWYtdHlwZT48Y29udHJpYnV0b3JzPjxhdXRob3JzPjxhdXRob3I+S29sdSwgUC48L2F1
dGhvcj48YXV0aG9yPlJhaXRhbmVuLCBKLjwvYXV0aG9yPjxhdXRob3I+UHVoa2FsYSwgSi48L2F1
dGhvcj48YXV0aG9yPlR1b21pbmVuLCBQLjwvYXV0aG9yPjxhdXRob3I+SHVzdSwgUC48L2F1dGhv
cj48YXV0aG9yPkx1b3RvLCBSLjwvYXV0aG9yPjwvYXV0aG9ycz48L2NvbnRyaWJ1dG9ycz48YXV0
aC1hZGRyZXNzPlVLSyBJbnN0aXR1dGUgZm9yIEhlYWx0aCBQcm9tb3Rpb24sIFRhbXBlcmUsIEZp
bmxhbmQuJiN4RDtTY2hvb2wgb2YgSGVhbHRoIFNjaWVuY2VzLCBVbml2ZXJzaXR5IG9mIFRhbXBl
cmUsIFRhbXBlcmUsIEZpbmxhbmQuPC9hdXRoLWFkZHJlc3M+PHRpdGxlcz48dGl0bGU+RWZmZWN0
aXZlbmVzcyBhbmQgQ29zdC1FZmZlY3RpdmVuZXNzIG9mIGEgQ2x1c3Rlci1SYW5kb21pemVkIFBy
ZW5hdGFsIExpZmVzdHlsZSBDb3Vuc2VsaW5nIFRyaWFsOiBBIFNldmVuLVllYXIgRm9sbG93LVVw
PC90aXRsZT48c2Vjb25kYXJ5LXRpdGxlPlBMb1MgT25lPC9zZWNvbmRhcnktdGl0bGU+PC90aXRs
ZXM+PHBlcmlvZGljYWw+PGZ1bGwtdGl0bGU+UExvUyBPbmU8L2Z1bGwtdGl0bGU+PC9wZXJpb2Rp
Y2FsPjxwYWdlcz5lMDE2Nzc1OTwvcGFnZXM+PHZvbHVtZT4xMTwvdm9sdW1lPjxudW1iZXI+MTI8
L251bWJlcj48ZWRpdGlvbj4yMDE2LzEyLzEwPC9lZGl0aW9uPjxrZXl3b3Jkcz48a2V5d29yZD5B
ZHVsdDwva2V5d29yZD48a2V5d29yZD5Cb2R5IE1hc3MgSW5kZXg8L2tleXdvcmQ+PGtleXdvcmQ+
Q2hpbGQ8L2tleXdvcmQ+PGtleXdvcmQ+Q29zdC1CZW5lZml0IEFuYWx5c2lzPC9rZXl3b3JkPjxr
ZXl3b3JkPipDb3Vuc2VsaW5nL2Vjb25vbWljczwva2V5d29yZD48a2V5d29yZD5EaWFiZXRlcyBN
ZWxsaXR1cywgVHlwZSAyL2Vjb25vbWljcy9lcGlkZW1pb2xvZ3kvKnByZXZlbnRpb24gJmFtcDsg
Y29udHJvbDwva2V5d29yZD48a2V5d29yZD5EaWFiZXRlcywgR2VzdGF0aW9uYWwvZWNvbm9taWNz
L2VwaWRlbWlvbG9neS8qcHJldmVudGlvbiAmYW1wOyBjb250cm9sPC9rZXl3b3JkPjxrZXl3b3Jk
PkRpZXQ8L2tleXdvcmQ+PGtleXdvcmQ+RmVtYWxlPC9rZXl3b3JkPjxrZXl3b3JkPkZvbGxvdy1V
cCBTdHVkaWVzPC9rZXl3b3JkPjxrZXl3b3JkPkhlYWx0aCBDYXJlIENvc3RzPC9rZXl3b3JkPjxr
ZXl3b3JkPkh1bWFuczwva2V5d29yZD48a2V5d29yZD4qTGlmZSBTdHlsZTwva2V5d29yZD48a2V5
d29yZD4qTWF0ZXJuYWwgSGVhbHRoIFNlcnZpY2VzL2Vjb25vbWljczwva2V5d29yZD48a2V5d29y
ZD5QcmVnbmFuY3k8L2tleXdvcmQ+PGtleXdvcmQ+UHJlbmF0YWwgQ2FyZS9lY29ub21pY3M8L2tl
eXdvcmQ+PGtleXdvcmQ+UXVhbGl0eS1BZGp1c3RlZCBMaWZlIFllYXJzPC9rZXl3b3JkPjxrZXl3
b3JkPldlaWdodCBHYWluPC9rZXl3b3JkPjwva2V5d29yZHM+PGRhdGVzPjx5ZWFyPjIwMTY8L3ll
YXI+PC9kYXRlcz48aXNibj4xOTMyLTYyMDMgKEVsZWN0cm9uaWMpJiN4RDsxOTMyLTYyMDMgKExp
bmtpbmcpPC9pc2JuPjxhY2Nlc3Npb24tbnVtPjI3OTM2MDgzPC9hY2Nlc3Npb24tbnVtPjx1cmxz
PjxyZWxhdGVkLXVybHM+PHVybD5odHRwczovL3d3dy5uY2JpLm5sbS5uaWguZ292L3B1Ym1lZC8y
NzkzNjA4MzwvdXJsPjwvcmVsYXRlZC11cmxzPjwvdXJscz48Y3VzdG9tMj5QTUM1MTQ3OTc4PC9j
dXN0b20yPjxlbGVjdHJvbmljLXJlc291cmNlLW51bT4xMC4xMzcxL2pvdXJuYWwucG9uZS4wMTY3
NzU5PC9lbGVjdHJvbmljLXJlc291cmNlLW51bT48L3JlY29yZD48L0NpdGU+PC9FbmROb3RlPn==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PEVuZE5vdGU+PENpdGU+PEF1dGhvcj5MdW90bzwvQXV0aG9yPjxZZWFyPjIwMTE8L1llYXI+PFJl
Y051bT4xMDg0PC9SZWNOdW0+PERpc3BsYXlUZXh0PjxzdHlsZSBmYWNlPSJzdXBlcnNjcmlwdCIg
Zm9udD0iVHJlYnVjaGV0IE1TIiBzaXplPSI5Ij41MjIsNTQ4LTU1MDwvc3R5bGU+PC9EaXNwbGF5
VGV4dD48cmVjb3JkPjxyZWMtbnVtYmVyPjEwODQ8L3JlYy1udW1iZXI+PGZvcmVpZ24ta2V5cz48
a2V5IGFwcD0iRU4iIGRiLWlkPSJleHZhc3JmeDJkdHJhb2VzYXN4cDJzenN4YTJkZjUwMjU5Mngi
IHRpbWVzdGFtcD0iMTU1Mjk0NjUwMSI+MTA4NDwva2V5PjxrZXkgYXBwPSJFTldlYiIgZGItaWQ9
IiI+MDwva2V5PjwvZm9yZWlnbi1rZXlzPjxyZWYtdHlwZSBuYW1lPSJKb3VybmFsIEFydGljbGUi
PjE3PC9yZWYtdHlwZT48Y29udHJpYnV0b3JzPjxhdXRob3JzPjxhdXRob3I+THVvdG8sIFIuPC9h
dXRob3I+PGF1dGhvcj5LaW5udW5lbiwgVC4gSS48L2F1dGhvcj48YXV0aG9yPkFpdHRhc2Fsbywg
TS48L2F1dGhvcj48YXV0aG9yPktvbHUsIFAuPC9hdXRob3I+PGF1dGhvcj5SYWl0YW5lbiwgSi48
L2F1dGhvcj48YXV0aG9yPk9qYWxhLCBLLjwvYXV0aG9yPjxhdXRob3I+TWFuc2lra2FtYWtpLCBL
LjwvYXV0aG9yPjxhdXRob3I+TGFtYmVyZywgUy48L2F1dGhvcj48YXV0aG9yPlZhc2Fua2FyaSwg
VC48L2F1dGhvcj48YXV0aG9yPktvbXVsYWluZW4sIFQuPC9hdXRob3I+PGF1dGhvcj5UdWxva2Fz
LCBTLjwvYXV0aG9yPjwvYXV0aG9ycz48L2NvbnRyaWJ1dG9ycz48YXV0aC1hZGRyZXNzPlVLSyBJ
bnN0aXR1dGUgZm9yIEhlYWx0aCBQcm9tb3Rpb24gUmVzZWFyY2gsIFRhbXBlcmUsIEZpbmxhbmQu
IHJpaXR0YS5sdW90b0B1dGEuZmk8L2F1dGgtYWRkcmVzcz48dGl0bGVzPjx0aXRsZT5QcmltYXJ5
IHByZXZlbnRpb24gb2YgZ2VzdGF0aW9uYWwgZGlhYmV0ZXMgbWVsbGl0dXMgYW5kIGxhcmdlLWZv
ci1nZXN0YXRpb25hbC1hZ2UgbmV3Ym9ybnMgYnkgbGlmZXN0eWxlIGNvdW5zZWxpbmc6IGEgY2x1
c3Rlci1yYW5kb21pemVkIGNvbnRyb2xsZWQgdHJpYWw8L3RpdGxlPjxzZWNvbmRhcnktdGl0bGU+
UExvUyBNZWQ8L3NlY29uZGFyeS10aXRsZT48L3RpdGxlcz48cGVyaW9kaWNhbD48ZnVsbC10aXRs
ZT5QTG9TIE1lZDwvZnVsbC10aXRsZT48L3BlcmlvZGljYWw+PHBhZ2VzPmUxMDAxMDM2PC9wYWdl
cz48dm9sdW1lPjg8L3ZvbHVtZT48bnVtYmVyPjU8L251bWJlcj48ZWRpdGlvbj4yMDExLzA1LzI2
PC9lZGl0aW9uPjxrZXl3b3Jkcz48a2V5d29yZD5BZHVsdDwva2V5d29yZD48a2V5d29yZD5CZWhh
dmlvci9waHlzaW9sb2d5PC9rZXl3b3JkPjxrZXl3b3JkPkJpcnRoIFdlaWdodC8qcGh5c2lvbG9n
eTwva2V5d29yZD48a2V5d29yZD5EaWFiZXRlcywgR2VzdGF0aW9uYWwvKnByZXZlbnRpb24gJmFt
cDsgY29udHJvbDwva2V5d29yZD48a2V5d29yZD5EaWV0PC9rZXl3b3JkPjxrZXl3b3JkPkZlbWFs
ZTwva2V5d29yZD48a2V5d29yZD5GaW5sYW5kPC9rZXl3b3JkPjxrZXl3b3JkPipHZXN0YXRpb25h
bCBBZ2U8L2tleXdvcmQ+PGtleXdvcmQ+R2x1Y29zZSBUb2xlcmFuY2UgVGVzdDwva2V5d29yZD48
a2V5d29yZD4qSGVhbHRoIEVkdWNhdGlvbjwva2V5d29yZD48a2V5d29yZD5IdW1hbnM8L2tleXdv
cmQ+PGtleXdvcmQ+SW5mYW50LCBOZXdib3JuPC9rZXl3b3JkPjxrZXl3b3JkPkluc3VsaW4vbWV0
YWJvbGlzbTwva2V5d29yZD48a2V5d29yZD4qTGlmZSBTdHlsZTwva2V5d29yZD48a2V5d29yZD5N
b3RvciBBY3Rpdml0eTwva2V5d29yZD48a2V5d29yZD5QYXRpZW50IENvbXBsaWFuY2U8L2tleXdv
cmQ+PGtleXdvcmQ+UHJlZ25hbmN5PC9rZXl3b3JkPjxrZXl3b3JkPipQcmltYXJ5IFByZXZlbnRp
b248L2tleXdvcmQ+PGtleXdvcmQ+VHJlYXRtZW50IE91dGNvbWU8L2tleXdvcmQ+PC9rZXl3b3Jk
cz48ZGF0ZXM+PHllYXI+MjAxMTwveWVhcj48cHViLWRhdGVzPjxkYXRlPk1heTwvZGF0ZT48L3B1
Yi1kYXRlcz48L2RhdGVzPjxpc2JuPjE1NDktMTY3NiAoRWxlY3Ryb25pYykmI3hEOzE1NDktMTI3
NyAoTGlua2luZyk8L2lzYm4+PGFjY2Vzc2lvbi1udW0+MjE2MTA4NjA8L2FjY2Vzc2lvbi1udW0+
PHVybHM+PHJlbGF0ZWQtdXJscz48dXJsPmh0dHBzOi8vd3d3Lm5jYmkubmxtLm5paC5nb3YvcHVi
bWVkLzIxNjEwODYwPC91cmw+PC9yZWxhdGVkLXVybHM+PC91cmxzPjxjdXN0b20yPlBNQzMwOTY2
MTA8L2N1c3RvbTI+PGVsZWN0cm9uaWMtcmVzb3VyY2UtbnVtPjEwLjEzNzEvam91cm5hbC5wbWVk
LjEwMDEwMzY8L2VsZWN0cm9uaWMtcmVzb3VyY2UtbnVtPjwvcmVjb3JkPjwvQ2l0ZT48Q2l0ZT48
QXV0aG9yPktpbm51bmVuPC9BdXRob3I+PFllYXI+MjAxMjwvWWVhcj48UmVjTnVtPjEwODM8L1Jl
Y051bT48cmVjb3JkPjxyZWMtbnVtYmVyPjEwODM8L3JlYy1udW1iZXI+PGZvcmVpZ24ta2V5cz48
a2V5IGFwcD0iRU4iIGRiLWlkPSJleHZhc3JmeDJkdHJhb2VzYXN4cDJzenN4YTJkZjUwMjU5Mngi
IHRpbWVzdGFtcD0iMTU1Mjk0NjQ4OCI+MTA4Mzwva2V5PjxrZXkgYXBwPSJFTldlYiIgZGItaWQ9
IiI+MDwva2V5PjwvZm9yZWlnbi1rZXlzPjxyZWYtdHlwZSBuYW1lPSJKb3VybmFsIEFydGljbGUi
PjE3PC9yZWYtdHlwZT48Y29udHJpYnV0b3JzPjxhdXRob3JzPjxhdXRob3I+S2lubnVuZW4sIFQu
IEkuPC9hdXRob3I+PGF1dGhvcj5SYWl0YW5lbiwgSi48L2F1dGhvcj48YXV0aG9yPkFpdHRhc2Fs
bywgTS48L2F1dGhvcj48YXV0aG9yPkx1b3RvLCBSLjwvYXV0aG9yPjwvYXV0aG9ycz48L2NvbnRy
aWJ1dG9ycz48YXV0aC1hZGRyZXNzPlNjaG9vbCBvZiBIZWFsdGggU2NpZW5jZXMsIFVuaXZlcnNp
dHkgb2YgVGFtcGVyZSwgVGFtcGVyZSwgRmlubGFuZC4gdGFyamEuaS5raW5udW5lbkB1dGEuZmk8
L2F1dGgtYWRkcmVzcz48dGl0bGVzPjx0aXRsZT5QcmV2ZW50aW5nIGV4Y2Vzc2l2ZSBnZXN0YXRp
b25hbCB3ZWlnaHQgZ2Fpbi0tYSBzZWNvbmRhcnkgYW5hbHlzaXMgb2YgYSBjbHVzdGVyLXJhbmRv
bWlzZWQgY29udHJvbGxlZCB0cmlhbDwvdGl0bGU+PHNlY29uZGFyeS10aXRsZT5FdXIgSiBDbGlu
IE51dHI8L3NlY29uZGFyeS10aXRsZT48L3RpdGxlcz48cGVyaW9kaWNhbD48ZnVsbC10aXRsZT5F
dXIgSiBDbGluIE51dHI8L2Z1bGwtdGl0bGU+PC9wZXJpb2RpY2FsPjxwYWdlcz4xMzQ0LTUwPC9w
YWdlcz48dm9sdW1lPjY2PC92b2x1bWU+PG51bWJlcj4xMjwvbnVtYmVyPjxlZGl0aW9uPjIwMTIv
MTIvMDY8L2VkaXRpb24+PGtleXdvcmRzPjxrZXl3b3JkPkFkb2xlc2NlbnQ8L2tleXdvcmQ+PGtl
eXdvcmQ+QWR1bHQ8L2tleXdvcmQ+PGtleXdvcmQ+KkJvZHkgTWFzcyBJbmRleDwva2V5d29yZD48
a2V5d29yZD4qQ291bnNlbGluZzwva2V5d29yZD48a2V5d29yZD4qRGlhYmV0ZXMsIEdlc3RhdGlv
bmFsPC9rZXl3b3JkPjxrZXl3b3JkPipEaWV0PC9rZXl3b3JkPjxrZXl3b3JkPkVuZXJneSBJbnRh
a2U8L2tleXdvcmQ+PGtleXdvcmQ+KkV4ZXJjaXNlPC9rZXl3b3JkPjxrZXl3b3JkPkZlbWFsZTwv
a2V5d29yZD48a2V5d29yZD5GaW5sYW5kPC9rZXl3b3JkPjxrZXl3b3JkPkh1bWFuczwva2V5d29y
ZD48a2V5d29yZD5Mb2dpc3RpYyBNb2RlbHM8L2tleXdvcmQ+PGtleXdvcmQ+T2Jlc2l0eS8qcHJl
dmVudGlvbiAmYW1wOyBjb250cm9sPC9rZXl3b3JkPjxrZXl3b3JkPk9kZHMgUmF0aW88L2tleXdv
cmQ+PGtleXdvcmQ+T3ZlcndlaWdodDwva2V5d29yZD48a2V5d29yZD5QcmVnbmFuY3k8L2tleXdv
cmQ+PGtleXdvcmQ+UmlzayBGYWN0b3JzPC9rZXl3b3JkPjxrZXl3b3JkPipXZWlnaHQgR2Fpbjwv
a2V5d29yZD48a2V5d29yZD5Zb3VuZyBBZHVsdDwva2V5d29yZD48L2tleXdvcmRzPjxkYXRlcz48
eWVhcj4yMDEyPC95ZWFyPjxwdWItZGF0ZXM+PGRhdGU+RGVjPC9kYXRlPjwvcHViLWRhdGVzPjwv
ZGF0ZXM+PGlzYm4+MTQ3Ni01NjQwIChFbGVjdHJvbmljKSYjeEQ7MDk1NC0zMDA3IChMaW5raW5n
KTwvaXNibj48YWNjZXNzaW9uLW51bT4yMzIxMTY1NjwvYWNjZXNzaW9uLW51bT48dXJscz48cmVs
YXRlZC11cmxzPjx1cmw+aHR0cHM6Ly93d3cubmNiaS5ubG0ubmloLmdvdi9wdWJtZWQvMjMyMTE2
NTY8L3VybD48L3JlbGF0ZWQtdXJscz48L3VybHM+PGVsZWN0cm9uaWMtcmVzb3VyY2UtbnVtPjEw
LjEwMzgvZWpjbi4yMDEyLjE0NjwvZWxlY3Ryb25pYy1yZXNvdXJjZS1udW0+PC9yZWNvcmQ+PC9D
aXRlPjxDaXRlPjxBdXRob3I+S29sdTwvQXV0aG9yPjxZZWFyPjIwMTM8L1llYXI+PFJlY051bT43
MzQ8L1JlY051bT48cmVjb3JkPjxyZWMtbnVtYmVyPjczNDwvcmVjLW51bWJlcj48Zm9yZWlnbi1r
ZXlzPjxrZXkgYXBwPSJFTiIgZGItaWQ9ImV4dmFzcmZ4MmR0cmFvZXNhc3hwMnN6c3hhMmRmNTAy
NTkyeCIgdGltZXN0YW1wPSIxNTQxNDY3NzczIj43MzQ8L2tleT48a2V5IGFwcD0iRU5XZWIiIGRi
LWlkPSIiPjA8L2tleT48L2ZvcmVpZ24ta2V5cz48cmVmLXR5cGUgbmFtZT0iSm91cm5hbCBBcnRp
Y2xlIj4xNzwvcmVmLXR5cGU+PGNvbnRyaWJ1dG9ycz48YXV0aG9ycz48YXV0aG9yPktvbHUsIFDD
pGl2aTwvYXV0aG9yPjxhdXRob3I+UmFpdGFuZW4sIEphbmk8L2F1dGhvcj48YXV0aG9yPlJpc3Nh
bmVuLCBQZWtrYTwvYXV0aG9yPjxhdXRob3I+THVvdG8sIFJpaXR0YTwvYXV0aG9yPjwvYXV0aG9y
cz48L2NvbnRyaWJ1dG9ycz48dGl0bGVzPjx0aXRsZT5Db3N0LUVmZmVjdGl2ZW5lc3Mgb2YgTGlm
ZXN0eWxlIENvdW5zZWxsaW5nIGFzIFByaW1hcnkgUHJldmVudGlvbiBvZiBHZXN0YXRpb25hbCBE
aWFiZXRlcyBNZWxsaXR1czogRmluZGluZ3MgZnJvbSBhIENsdXN0ZXItUmFuZG9taXNlZCBUcmlh
bDwvdGl0bGU+PHNlY29uZGFyeS10aXRsZT5QTG9TIE9ORTwvc2Vjb25kYXJ5LXRpdGxlPjwvdGl0
bGVzPjxwZXJpb2RpY2FsPjxmdWxsLXRpdGxlPlBMb1MgT25lPC9mdWxsLXRpdGxlPjwvcGVyaW9k
aWNhbD48dm9sdW1lPjg8L3ZvbHVtZT48bnVtYmVyPjI8L251bWJlcj48c2VjdGlvbj5lNTYzOTI8
L3NlY3Rpb24+PGRhdGVzPjx5ZWFyPjIwMTM8L3llYXI+PC9kYXRlcz48aXNibj4xOTMyLTYyMDM8
L2lzYm4+PHVybHM+PC91cmxzPjxlbGVjdHJvbmljLXJlc291cmNlLW51bT4xMC4xMzcxL2pvdXJu
YWwucG9uZS4wMDU2MzkyPC9lbGVjdHJvbmljLXJlc291cmNlLW51bT48L3JlY29yZD48L0NpdGU+
PENpdGU+PEF1dGhvcj5Lb2x1PC9BdXRob3I+PFllYXI+MjAxNjwvWWVhcj48UmVjTnVtPjczNTwv
UmVjTnVtPjxyZWNvcmQ+PHJlYy1udW1iZXI+NzM1PC9yZWMtbnVtYmVyPjxmb3JlaWduLWtleXM+
PGtleSBhcHA9IkVOIiBkYi1pZD0iZXh2YXNyZngyZHRyYW9lc2FzeHAyc3pzeGEyZGY1MDI1OTJ4
IiB0aW1lc3RhbXA9IjE1NDE0Njc3ODQiPjczNTwva2V5PjxrZXkgYXBwPSJFTldlYiIgZGItaWQ9
IiI+MDwva2V5PjwvZm9yZWlnbi1rZXlzPjxyZWYtdHlwZSBuYW1lPSJKb3VybmFsIEFydGljbGUi
PjE3PC9yZWYtdHlwZT48Y29udHJpYnV0b3JzPjxhdXRob3JzPjxhdXRob3I+S29sdSwgUC48L2F1
dGhvcj48YXV0aG9yPlJhaXRhbmVuLCBKLjwvYXV0aG9yPjxhdXRob3I+UHVoa2FsYSwgSi48L2F1
dGhvcj48YXV0aG9yPlR1b21pbmVuLCBQLjwvYXV0aG9yPjxhdXRob3I+SHVzdSwgUC48L2F1dGhv
cj48YXV0aG9yPkx1b3RvLCBSLjwvYXV0aG9yPjwvYXV0aG9ycz48L2NvbnRyaWJ1dG9ycz48YXV0
aC1hZGRyZXNzPlVLSyBJbnN0aXR1dGUgZm9yIEhlYWx0aCBQcm9tb3Rpb24sIFRhbXBlcmUsIEZp
bmxhbmQuJiN4RDtTY2hvb2wgb2YgSGVhbHRoIFNjaWVuY2VzLCBVbml2ZXJzaXR5IG9mIFRhbXBl
cmUsIFRhbXBlcmUsIEZpbmxhbmQuPC9hdXRoLWFkZHJlc3M+PHRpdGxlcz48dGl0bGU+RWZmZWN0
aXZlbmVzcyBhbmQgQ29zdC1FZmZlY3RpdmVuZXNzIG9mIGEgQ2x1c3Rlci1SYW5kb21pemVkIFBy
ZW5hdGFsIExpZmVzdHlsZSBDb3Vuc2VsaW5nIFRyaWFsOiBBIFNldmVuLVllYXIgRm9sbG93LVVw
PC90aXRsZT48c2Vjb25kYXJ5LXRpdGxlPlBMb1MgT25lPC9zZWNvbmRhcnktdGl0bGU+PC90aXRs
ZXM+PHBlcmlvZGljYWw+PGZ1bGwtdGl0bGU+UExvUyBPbmU8L2Z1bGwtdGl0bGU+PC9wZXJpb2Rp
Y2FsPjxwYWdlcz5lMDE2Nzc1OTwvcGFnZXM+PHZvbHVtZT4xMTwvdm9sdW1lPjxudW1iZXI+MTI8
L251bWJlcj48ZWRpdGlvbj4yMDE2LzEyLzEwPC9lZGl0aW9uPjxrZXl3b3Jkcz48a2V5d29yZD5B
ZHVsdDwva2V5d29yZD48a2V5d29yZD5Cb2R5IE1hc3MgSW5kZXg8L2tleXdvcmQ+PGtleXdvcmQ+
Q2hpbGQ8L2tleXdvcmQ+PGtleXdvcmQ+Q29zdC1CZW5lZml0IEFuYWx5c2lzPC9rZXl3b3JkPjxr
ZXl3b3JkPipDb3Vuc2VsaW5nL2Vjb25vbWljczwva2V5d29yZD48a2V5d29yZD5EaWFiZXRlcyBN
ZWxsaXR1cywgVHlwZSAyL2Vjb25vbWljcy9lcGlkZW1pb2xvZ3kvKnByZXZlbnRpb24gJmFtcDsg
Y29udHJvbDwva2V5d29yZD48a2V5d29yZD5EaWFiZXRlcywgR2VzdGF0aW9uYWwvZWNvbm9taWNz
L2VwaWRlbWlvbG9neS8qcHJldmVudGlvbiAmYW1wOyBjb250cm9sPC9rZXl3b3JkPjxrZXl3b3Jk
PkRpZXQ8L2tleXdvcmQ+PGtleXdvcmQ+RmVtYWxlPC9rZXl3b3JkPjxrZXl3b3JkPkZvbGxvdy1V
cCBTdHVkaWVzPC9rZXl3b3JkPjxrZXl3b3JkPkhlYWx0aCBDYXJlIENvc3RzPC9rZXl3b3JkPjxr
ZXl3b3JkPkh1bWFuczwva2V5d29yZD48a2V5d29yZD4qTGlmZSBTdHlsZTwva2V5d29yZD48a2V5
d29yZD4qTWF0ZXJuYWwgSGVhbHRoIFNlcnZpY2VzL2Vjb25vbWljczwva2V5d29yZD48a2V5d29y
ZD5QcmVnbmFuY3k8L2tleXdvcmQ+PGtleXdvcmQ+UHJlbmF0YWwgQ2FyZS9lY29ub21pY3M8L2tl
eXdvcmQ+PGtleXdvcmQ+UXVhbGl0eS1BZGp1c3RlZCBMaWZlIFllYXJzPC9rZXl3b3JkPjxrZXl3
b3JkPldlaWdodCBHYWluPC9rZXl3b3JkPjwva2V5d29yZHM+PGRhdGVzPjx5ZWFyPjIwMTY8L3ll
YXI+PC9kYXRlcz48aXNibj4xOTMyLTYyMDMgKEVsZWN0cm9uaWMpJiN4RDsxOTMyLTYyMDMgKExp
bmtpbmcpPC9pc2JuPjxhY2Nlc3Npb24tbnVtPjI3OTM2MDgzPC9hY2Nlc3Npb24tbnVtPjx1cmxz
PjxyZWxhdGVkLXVybHM+PHVybD5odHRwczovL3d3dy5uY2JpLm5sbS5uaWguZ292L3B1Ym1lZC8y
NzkzNjA4MzwvdXJsPjwvcmVsYXRlZC11cmxzPjwvdXJscz48Y3VzdG9tMj5QTUM1MTQ3OTc4PC9j
dXN0b20yPjxlbGVjdHJvbmljLXJlc291cmNlLW51bT4xMC4xMzcxL2pvdXJuYWwucG9uZS4wMTY3
NzU5PC9lbGVjdHJvbmljLXJlc291cmNlLW51bT48L3JlY29yZD48L0NpdGU+PC9FbmROb3RlPn==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522,548-550</w:t>
            </w:r>
            <w:r>
              <w:rPr>
                <w:rFonts w:ascii="Century Gothic" w:hAnsi="Century Gothic"/>
                <w:noProof/>
              </w:rPr>
              <w:fldChar w:fldCharType="end"/>
            </w:r>
          </w:p>
        </w:tc>
      </w:tr>
      <w:tr w:rsidR="008E765F" w:rsidRPr="00822EBF" w14:paraId="6F68D73E" w14:textId="77777777" w:rsidTr="005A5EBF">
        <w:trPr>
          <w:cantSplit/>
        </w:trPr>
        <w:tc>
          <w:tcPr>
            <w:tcW w:w="1560" w:type="dxa"/>
            <w:shd w:val="clear" w:color="D9E2F3" w:themeColor="accent1" w:themeTint="33" w:fill="auto"/>
          </w:tcPr>
          <w:p w14:paraId="3F0659D2"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71B0A002"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1FF75AF3" w14:textId="77777777" w:rsidR="008E765F" w:rsidRPr="00822EBF" w:rsidRDefault="008E765F" w:rsidP="00611251">
            <w:pPr>
              <w:pStyle w:val="RCTstable"/>
              <w:keepNext/>
            </w:pPr>
            <w:r>
              <w:t>“In the randomis</w:t>
            </w:r>
            <w:r w:rsidRPr="00822EBF">
              <w:t>ation process, participating municipalities were first pairwise matched with regard to annual number of births, size and socioeconomic level of the population, estimated incidence of GDM, and urbanity level. M</w:t>
            </w:r>
            <w:r>
              <w:t>unicipalities were then randomis</w:t>
            </w:r>
            <w:r w:rsidRPr="00822EBF">
              <w:t>ed by computer</w:t>
            </w:r>
            <w:r>
              <w:t>.”</w:t>
            </w:r>
          </w:p>
        </w:tc>
      </w:tr>
      <w:tr w:rsidR="008E765F" w:rsidRPr="00822EBF" w14:paraId="247D86F2" w14:textId="77777777" w:rsidTr="005A5EBF">
        <w:trPr>
          <w:cantSplit/>
        </w:trPr>
        <w:tc>
          <w:tcPr>
            <w:tcW w:w="1560" w:type="dxa"/>
            <w:shd w:val="clear" w:color="D9E2F3" w:themeColor="accent1" w:themeTint="33" w:fill="auto"/>
          </w:tcPr>
          <w:p w14:paraId="241663DB"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FFC000" w:themeFill="accent4"/>
          </w:tcPr>
          <w:p w14:paraId="0A0185A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7702662" w14:textId="77777777" w:rsidR="008E765F" w:rsidRPr="00822EBF" w:rsidRDefault="008E765F" w:rsidP="00611251">
            <w:pPr>
              <w:pStyle w:val="RCTstable"/>
            </w:pPr>
            <w:r w:rsidRPr="00822EBF">
              <w:t>Not described</w:t>
            </w:r>
            <w:r>
              <w:t>.</w:t>
            </w:r>
          </w:p>
        </w:tc>
      </w:tr>
      <w:tr w:rsidR="008E765F" w:rsidRPr="00822EBF" w14:paraId="0518D91A" w14:textId="77777777" w:rsidTr="005A5EBF">
        <w:trPr>
          <w:cantSplit/>
        </w:trPr>
        <w:tc>
          <w:tcPr>
            <w:tcW w:w="1560" w:type="dxa"/>
            <w:shd w:val="clear" w:color="D9E2F3" w:themeColor="accent1" w:themeTint="33" w:fill="auto"/>
          </w:tcPr>
          <w:p w14:paraId="7EAEC9CD"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1280C027"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70584340" w14:textId="77777777" w:rsidR="008E765F" w:rsidRPr="00822EBF" w:rsidRDefault="008E765F" w:rsidP="00611251">
            <w:pPr>
              <w:pStyle w:val="RCTstable"/>
            </w:pPr>
            <w:r>
              <w:t>“</w:t>
            </w:r>
            <w:r w:rsidRPr="00822EBF">
              <w:t>An inevitable limitation is also that the women and the nurses in the usual care group could not be blinded for the purpose of the study, which may have resulted in changes in their health behavio</w:t>
            </w:r>
            <w:r>
              <w:t>u</w:t>
            </w:r>
            <w:r w:rsidRPr="00822EBF">
              <w:t>r or counse</w:t>
            </w:r>
            <w:r>
              <w:t>l</w:t>
            </w:r>
            <w:r w:rsidRPr="00822EBF">
              <w:t>ling practices</w:t>
            </w:r>
            <w:r>
              <w:t>.”</w:t>
            </w:r>
          </w:p>
        </w:tc>
      </w:tr>
      <w:tr w:rsidR="008E765F" w:rsidRPr="00822EBF" w14:paraId="5FA883A4" w14:textId="77777777" w:rsidTr="005A5EBF">
        <w:trPr>
          <w:cantSplit/>
        </w:trPr>
        <w:tc>
          <w:tcPr>
            <w:tcW w:w="1560" w:type="dxa"/>
            <w:shd w:val="clear" w:color="D9E2F3" w:themeColor="accent1" w:themeTint="33" w:fill="auto"/>
          </w:tcPr>
          <w:p w14:paraId="254D6ED2"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26A146DB"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14280DDD" w14:textId="77777777" w:rsidR="008E765F" w:rsidRPr="00822EBF" w:rsidRDefault="008E765F" w:rsidP="00611251">
            <w:pPr>
              <w:pStyle w:val="RCTstable"/>
            </w:pPr>
            <w:r w:rsidRPr="00822EBF">
              <w:t>Not described</w:t>
            </w:r>
            <w:r>
              <w:t>.</w:t>
            </w:r>
          </w:p>
        </w:tc>
      </w:tr>
      <w:tr w:rsidR="008E765F" w:rsidRPr="00822EBF" w14:paraId="14F220D8" w14:textId="77777777" w:rsidTr="005A5EBF">
        <w:trPr>
          <w:cantSplit/>
        </w:trPr>
        <w:tc>
          <w:tcPr>
            <w:tcW w:w="1560" w:type="dxa"/>
            <w:shd w:val="clear" w:color="D9E2F3" w:themeColor="accent1" w:themeTint="33" w:fill="auto"/>
          </w:tcPr>
          <w:p w14:paraId="5ECF18CC" w14:textId="77777777" w:rsidR="008E765F" w:rsidRPr="00822EBF" w:rsidRDefault="008E765F" w:rsidP="00611251">
            <w:pPr>
              <w:pStyle w:val="RCTstable"/>
            </w:pPr>
            <w:r w:rsidRPr="00822EBF">
              <w:t>Incomplete outcome data</w:t>
            </w:r>
          </w:p>
        </w:tc>
        <w:tc>
          <w:tcPr>
            <w:tcW w:w="1275" w:type="dxa"/>
            <w:shd w:val="clear" w:color="D9E2F3" w:themeColor="accent1" w:themeTint="33" w:fill="FF4D19"/>
          </w:tcPr>
          <w:p w14:paraId="49F72B5E"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2A478626" w14:textId="3D9BC611" w:rsidR="008E765F" w:rsidRPr="00822EBF" w:rsidRDefault="008E765F" w:rsidP="00611251">
            <w:pPr>
              <w:pStyle w:val="RCTstable"/>
            </w:pPr>
            <w:r w:rsidRPr="00822EBF">
              <w:t xml:space="preserve">14 clusters were randomised and all included in the analyses. Of the women who received the allocated intervention, </w:t>
            </w:r>
            <w:r>
              <w:t>89%</w:t>
            </w:r>
            <w:r w:rsidRPr="00822EBF">
              <w:t xml:space="preserve"> were followed up in </w:t>
            </w:r>
            <w:r>
              <w:t>the intervention group and 92%</w:t>
            </w:r>
            <w:r w:rsidRPr="00822EBF">
              <w:t xml:space="preserve"> in the control group. For some outcomes ”n Missing“ is reported in the tables - it is unclear however from which groups the data are missing (for example, GWG ”n Missing“</w:t>
            </w:r>
            <w:r w:rsidR="00162E95">
              <w:t>=</w:t>
            </w:r>
            <w:r w:rsidRPr="00822EBF">
              <w:t>31, and it is unclear if these women are from the intervention or control groups)</w:t>
            </w:r>
          </w:p>
        </w:tc>
      </w:tr>
      <w:tr w:rsidR="008E765F" w:rsidRPr="00822EBF" w14:paraId="1C704A45" w14:textId="77777777" w:rsidTr="005A5EBF">
        <w:trPr>
          <w:cantSplit/>
        </w:trPr>
        <w:tc>
          <w:tcPr>
            <w:tcW w:w="1560" w:type="dxa"/>
            <w:shd w:val="clear" w:color="D9E2F3" w:themeColor="accent1" w:themeTint="33" w:fill="auto"/>
          </w:tcPr>
          <w:p w14:paraId="27E2CB6C"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42A2B69E" w14:textId="77777777" w:rsidR="008E765F" w:rsidRPr="00822EBF" w:rsidRDefault="008E765F" w:rsidP="00611251">
            <w:pPr>
              <w:pStyle w:val="RCTstable"/>
            </w:pPr>
            <w:r>
              <w:t>Low</w:t>
            </w:r>
            <w:r w:rsidRPr="00822EBF">
              <w:t xml:space="preserve"> risk</w:t>
            </w:r>
          </w:p>
        </w:tc>
        <w:tc>
          <w:tcPr>
            <w:tcW w:w="11199" w:type="dxa"/>
            <w:shd w:val="clear" w:color="D9E2F3" w:themeColor="accent1" w:themeTint="33" w:fill="auto"/>
          </w:tcPr>
          <w:p w14:paraId="774490B4" w14:textId="77777777" w:rsidR="008E765F" w:rsidRPr="00822EBF" w:rsidRDefault="008E765F" w:rsidP="00611251">
            <w:pPr>
              <w:pStyle w:val="RCTstable"/>
            </w:pPr>
            <w:r>
              <w:t>Pre-specified outcomes reported.</w:t>
            </w:r>
          </w:p>
        </w:tc>
      </w:tr>
      <w:tr w:rsidR="008E765F" w:rsidRPr="00822EBF" w14:paraId="00441E1E" w14:textId="77777777" w:rsidTr="005A5EBF">
        <w:trPr>
          <w:cantSplit/>
        </w:trPr>
        <w:tc>
          <w:tcPr>
            <w:tcW w:w="1560" w:type="dxa"/>
            <w:shd w:val="clear" w:color="D9E2F3" w:themeColor="accent1" w:themeTint="33" w:fill="auto"/>
          </w:tcPr>
          <w:p w14:paraId="1ADDFCBB"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5135463C"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3D43D66" w14:textId="77777777" w:rsidR="008E765F" w:rsidRPr="00822EBF" w:rsidRDefault="008E765F" w:rsidP="00611251">
            <w:pPr>
              <w:pStyle w:val="RCTstable"/>
            </w:pPr>
            <w:r w:rsidRPr="00822EBF">
              <w:t>There were more women in the intervention</w:t>
            </w:r>
            <w:r>
              <w:t xml:space="preserve"> </w:t>
            </w:r>
            <w:r w:rsidRPr="00822EBF">
              <w:t>group with high education than in the usual</w:t>
            </w:r>
            <w:r>
              <w:t xml:space="preserve"> </w:t>
            </w:r>
            <w:r w:rsidRPr="00822EBF">
              <w:t>care group. The trial’s statistical methods appear</w:t>
            </w:r>
            <w:r>
              <w:t xml:space="preserve"> </w:t>
            </w:r>
            <w:r w:rsidRPr="00822EBF">
              <w:t>to take clustering into account, and a number</w:t>
            </w:r>
            <w:r>
              <w:t xml:space="preserve"> </w:t>
            </w:r>
            <w:r w:rsidRPr="00822EBF">
              <w:t>of individual level characteristics such as education</w:t>
            </w:r>
            <w:r>
              <w:t xml:space="preserve"> </w:t>
            </w:r>
            <w:r w:rsidRPr="00822EBF">
              <w:t>(unadjusted and adjusted analyses were performed)</w:t>
            </w:r>
          </w:p>
        </w:tc>
      </w:tr>
      <w:tr w:rsidR="008E765F" w:rsidRPr="008D72BD" w14:paraId="5E48797B" w14:textId="77777777" w:rsidTr="005A5EBF">
        <w:trPr>
          <w:cantSplit/>
        </w:trPr>
        <w:tc>
          <w:tcPr>
            <w:tcW w:w="14034" w:type="dxa"/>
            <w:gridSpan w:val="3"/>
            <w:shd w:val="solid" w:color="D9E2F3" w:themeColor="accent1" w:themeTint="33" w:fill="auto"/>
          </w:tcPr>
          <w:p w14:paraId="504410E1" w14:textId="0D1C86BD" w:rsidR="008E765F" w:rsidRPr="008D72BD" w:rsidRDefault="008E765F" w:rsidP="002747EA">
            <w:pPr>
              <w:pStyle w:val="RCTstable"/>
              <w:keepNext/>
              <w:rPr>
                <w:b/>
              </w:rPr>
            </w:pPr>
            <w:r w:rsidRPr="0025597C">
              <w:rPr>
                <w:rFonts w:ascii="Century Gothic" w:hAnsi="Century Gothic"/>
                <w:b/>
                <w:noProof/>
              </w:rPr>
              <w:t>Pawalia et al 2017</w:t>
            </w:r>
            <w:r>
              <w:fldChar w:fldCharType="begin"/>
            </w:r>
            <w:r w:rsidR="002747EA">
              <w:instrText xml:space="preserve"> ADDIN EN.CITE &lt;EndNote&gt;&lt;Cite&gt;&lt;Author&gt;Pawalia&lt;/Author&gt;&lt;Year&gt;2017&lt;/Year&gt;&lt;RecNum&gt;750&lt;/RecNum&gt;&lt;DisplayText&gt;&lt;style face="superscript" font="Trebuchet MS" size="9"&gt;493&lt;/style&gt;&lt;/DisplayText&gt;&lt;record&gt;&lt;rec-number&gt;750&lt;/rec-number&gt;&lt;foreign-keys&gt;&lt;key app="EN" db-id="exvasrfx2dtraoesasxp2szsxa2df502592x" timestamp="1541467919"&gt;750&lt;/key&gt;&lt;key app="ENWeb" db-id=""&gt;0&lt;/key&gt;&lt;/foreign-keys&gt;&lt;ref-type name="Journal Article"&gt;17&lt;/ref-type&gt;&lt;contributors&gt;&lt;authors&gt;&lt;author&gt;Pawalia, Alka&lt;/author&gt;&lt;author&gt;Kulandaivelan, Sivachidambaram&lt;/author&gt;&lt;author&gt;Savant, Satya&lt;/author&gt;&lt;author&gt;Yadav, Vikram Singh&lt;/author&gt;&lt;/authors&gt;&lt;/contributors&gt;&lt;titles&gt;&lt;title&gt;Exercise in Pregnancy: Effect on Obesity Parameters in Indian Women – A Randomized Controlled Trial&lt;/title&gt;&lt;secondary-title&gt;Romanian Journal of Diabetes Nutrition and Metabolic Diseases&lt;/secondary-title&gt;&lt;/titles&gt;&lt;periodical&gt;&lt;full-title&gt;Romanian Journal of Diabetes Nutrition and Metabolic Diseases&lt;/full-title&gt;&lt;/periodical&gt;&lt;volume&gt;24&lt;/volume&gt;&lt;number&gt;4&lt;/number&gt;&lt;dates&gt;&lt;year&gt;2017&lt;/year&gt;&lt;/dates&gt;&lt;isbn&gt;2284-6417&lt;/isbn&gt;&lt;urls&gt;&lt;/urls&gt;&lt;electronic-resource-num&gt;10.1515/rjdnmd-2017-0037&lt;/electronic-resource-num&gt;&lt;/record&gt;&lt;/Cite&gt;&lt;/EndNote&gt;</w:instrText>
            </w:r>
            <w:r>
              <w:fldChar w:fldCharType="separate"/>
            </w:r>
            <w:r w:rsidR="002747EA" w:rsidRPr="002747EA">
              <w:rPr>
                <w:noProof/>
                <w:sz w:val="18"/>
                <w:vertAlign w:val="superscript"/>
              </w:rPr>
              <w:t>493</w:t>
            </w:r>
            <w:r>
              <w:fldChar w:fldCharType="end"/>
            </w:r>
          </w:p>
        </w:tc>
      </w:tr>
      <w:tr w:rsidR="008E765F" w:rsidRPr="00822EBF" w14:paraId="50D70A2A" w14:textId="77777777" w:rsidTr="005A5EBF">
        <w:trPr>
          <w:cantSplit/>
        </w:trPr>
        <w:tc>
          <w:tcPr>
            <w:tcW w:w="1560" w:type="dxa"/>
            <w:shd w:val="clear" w:color="D9E2F3" w:themeColor="accent1" w:themeTint="33" w:fill="auto"/>
          </w:tcPr>
          <w:p w14:paraId="1D694192" w14:textId="77777777" w:rsidR="008E765F" w:rsidRPr="00822EBF" w:rsidRDefault="008E765F" w:rsidP="00D33EC5">
            <w:pPr>
              <w:pStyle w:val="RCTstable"/>
              <w:keepNext/>
            </w:pPr>
            <w:r w:rsidRPr="00822EBF">
              <w:t>Random sequence generation</w:t>
            </w:r>
          </w:p>
        </w:tc>
        <w:tc>
          <w:tcPr>
            <w:tcW w:w="1275" w:type="dxa"/>
            <w:shd w:val="clear" w:color="D9E2F3" w:themeColor="accent1" w:themeTint="33" w:fill="FFC000" w:themeFill="accent4"/>
          </w:tcPr>
          <w:p w14:paraId="6A05485E" w14:textId="77777777" w:rsidR="008E765F" w:rsidRPr="00822EBF" w:rsidRDefault="008E765F" w:rsidP="00D33EC5">
            <w:pPr>
              <w:pStyle w:val="RCTstable"/>
              <w:keepNext/>
            </w:pPr>
            <w:r w:rsidRPr="00822EBF">
              <w:t>Unclear risk</w:t>
            </w:r>
          </w:p>
        </w:tc>
        <w:tc>
          <w:tcPr>
            <w:tcW w:w="11199" w:type="dxa"/>
            <w:shd w:val="clear" w:color="D9E2F3" w:themeColor="accent1" w:themeTint="33" w:fill="auto"/>
          </w:tcPr>
          <w:p w14:paraId="67B61F2E" w14:textId="77777777" w:rsidR="008E765F" w:rsidRPr="00822EBF" w:rsidRDefault="008E765F" w:rsidP="00D33EC5">
            <w:pPr>
              <w:pStyle w:val="RCTstable"/>
              <w:keepNext/>
            </w:pPr>
            <w:r w:rsidRPr="00822EBF">
              <w:t>Not described</w:t>
            </w:r>
          </w:p>
        </w:tc>
      </w:tr>
      <w:tr w:rsidR="008E765F" w:rsidRPr="00822EBF" w14:paraId="4BDD0D52" w14:textId="77777777" w:rsidTr="005A5EBF">
        <w:trPr>
          <w:cantSplit/>
        </w:trPr>
        <w:tc>
          <w:tcPr>
            <w:tcW w:w="1560" w:type="dxa"/>
            <w:shd w:val="clear" w:color="D9E2F3" w:themeColor="accent1" w:themeTint="33" w:fill="auto"/>
          </w:tcPr>
          <w:p w14:paraId="64ADE105"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FFC000" w:themeFill="accent4"/>
          </w:tcPr>
          <w:p w14:paraId="7D9E6F0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421572AC" w14:textId="77777777" w:rsidR="008E765F" w:rsidRPr="00822EBF" w:rsidRDefault="008E765F" w:rsidP="00611251">
            <w:pPr>
              <w:pStyle w:val="RCTstable"/>
            </w:pPr>
            <w:r w:rsidRPr="00822EBF">
              <w:t>Not described</w:t>
            </w:r>
          </w:p>
        </w:tc>
      </w:tr>
      <w:tr w:rsidR="008E765F" w:rsidRPr="00822EBF" w14:paraId="43F5A817" w14:textId="77777777" w:rsidTr="005A5EBF">
        <w:trPr>
          <w:cantSplit/>
        </w:trPr>
        <w:tc>
          <w:tcPr>
            <w:tcW w:w="1560" w:type="dxa"/>
            <w:shd w:val="clear" w:color="D9E2F3" w:themeColor="accent1" w:themeTint="33" w:fill="auto"/>
          </w:tcPr>
          <w:p w14:paraId="7A54DEA6" w14:textId="77777777" w:rsidR="008E765F" w:rsidRPr="00822EBF" w:rsidRDefault="008E765F" w:rsidP="00611251">
            <w:pPr>
              <w:pStyle w:val="RCTstable"/>
            </w:pPr>
            <w:r w:rsidRPr="00822EBF">
              <w:t>Performance bias</w:t>
            </w:r>
          </w:p>
        </w:tc>
        <w:tc>
          <w:tcPr>
            <w:tcW w:w="1275" w:type="dxa"/>
            <w:shd w:val="clear" w:color="D9E2F3" w:themeColor="accent1" w:themeTint="33" w:fill="FFC000" w:themeFill="accent4"/>
          </w:tcPr>
          <w:p w14:paraId="24EE7AAC"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6BE4CF68" w14:textId="77777777" w:rsidR="008E765F" w:rsidRPr="00822EBF" w:rsidRDefault="008E765F" w:rsidP="00611251">
            <w:pPr>
              <w:pStyle w:val="RCTstable"/>
            </w:pPr>
            <w:r w:rsidRPr="00822EBF">
              <w:t>Not described</w:t>
            </w:r>
          </w:p>
        </w:tc>
      </w:tr>
      <w:tr w:rsidR="008E765F" w:rsidRPr="00822EBF" w14:paraId="5F897584" w14:textId="77777777" w:rsidTr="005A5EBF">
        <w:trPr>
          <w:cantSplit/>
        </w:trPr>
        <w:tc>
          <w:tcPr>
            <w:tcW w:w="1560" w:type="dxa"/>
            <w:shd w:val="clear" w:color="D9E2F3" w:themeColor="accent1" w:themeTint="33" w:fill="auto"/>
          </w:tcPr>
          <w:p w14:paraId="423E55FE"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6C75D0BB"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ED57F81" w14:textId="77777777" w:rsidR="008E765F" w:rsidRPr="00822EBF" w:rsidRDefault="008E765F" w:rsidP="00611251">
            <w:pPr>
              <w:pStyle w:val="RCTstable"/>
            </w:pPr>
            <w:r w:rsidRPr="00822EBF">
              <w:t>Not described</w:t>
            </w:r>
          </w:p>
        </w:tc>
      </w:tr>
      <w:tr w:rsidR="008E765F" w:rsidRPr="00822EBF" w14:paraId="19668D4C" w14:textId="77777777" w:rsidTr="005A5EBF">
        <w:trPr>
          <w:cantSplit/>
        </w:trPr>
        <w:tc>
          <w:tcPr>
            <w:tcW w:w="1560" w:type="dxa"/>
            <w:shd w:val="clear" w:color="D9E2F3" w:themeColor="accent1" w:themeTint="33" w:fill="auto"/>
          </w:tcPr>
          <w:p w14:paraId="376E3A52" w14:textId="77777777" w:rsidR="008E765F" w:rsidRPr="00822EBF" w:rsidRDefault="008E765F" w:rsidP="00611251">
            <w:pPr>
              <w:pStyle w:val="RCTstable"/>
            </w:pPr>
            <w:r w:rsidRPr="00822EBF">
              <w:t>Incomplete outcome data</w:t>
            </w:r>
          </w:p>
        </w:tc>
        <w:tc>
          <w:tcPr>
            <w:tcW w:w="1275" w:type="dxa"/>
            <w:shd w:val="clear" w:color="D9E2F3" w:themeColor="accent1" w:themeTint="33" w:fill="FF4D19"/>
          </w:tcPr>
          <w:p w14:paraId="1AC02ED0"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59D09EED" w14:textId="77777777" w:rsidR="008E765F" w:rsidRDefault="008E765F" w:rsidP="00611251">
            <w:pPr>
              <w:pStyle w:val="RCTstable"/>
            </w:pPr>
            <w:r>
              <w:t>“</w:t>
            </w:r>
            <w:r w:rsidRPr="00822EBF">
              <w:t>Some subjects were lost to follow up; they are not included in this paper.</w:t>
            </w:r>
            <w:r>
              <w:t>”</w:t>
            </w:r>
            <w:r w:rsidRPr="00822EBF">
              <w:t xml:space="preserve"> </w:t>
            </w:r>
          </w:p>
          <w:p w14:paraId="336DE13C" w14:textId="77777777" w:rsidR="008E765F" w:rsidRPr="00822EBF" w:rsidRDefault="008E765F" w:rsidP="00611251">
            <w:pPr>
              <w:pStyle w:val="RCTstable"/>
            </w:pPr>
            <w:r>
              <w:t>“</w:t>
            </w:r>
            <w:r w:rsidRPr="00822EBF">
              <w:t>Some women wanted to learn exercises during pregnancy after they were allocated to control group. Such subjects were taught exercises for home, as not doing so would have been ethically wrong but they were excluded from the study in final analysis to prevent contamination.</w:t>
            </w:r>
            <w:r>
              <w:t>”</w:t>
            </w:r>
          </w:p>
        </w:tc>
      </w:tr>
      <w:tr w:rsidR="008E765F" w:rsidRPr="00822EBF" w14:paraId="472ECA9C" w14:textId="77777777" w:rsidTr="005A5EBF">
        <w:trPr>
          <w:cantSplit/>
        </w:trPr>
        <w:tc>
          <w:tcPr>
            <w:tcW w:w="1560" w:type="dxa"/>
            <w:shd w:val="clear" w:color="D9E2F3" w:themeColor="accent1" w:themeTint="33" w:fill="auto"/>
          </w:tcPr>
          <w:p w14:paraId="0E474F90"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60C40E9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C6FC6E9" w14:textId="77777777" w:rsidR="008E765F" w:rsidRPr="00822EBF" w:rsidRDefault="008E765F" w:rsidP="00611251">
            <w:pPr>
              <w:pStyle w:val="RCTstable"/>
            </w:pPr>
            <w:r w:rsidRPr="00822EBF">
              <w:t>Pre-specified outcomes reported.</w:t>
            </w:r>
          </w:p>
        </w:tc>
      </w:tr>
      <w:tr w:rsidR="008E765F" w:rsidRPr="00822EBF" w14:paraId="0B12CEE7" w14:textId="77777777" w:rsidTr="005A5EBF">
        <w:trPr>
          <w:cantSplit/>
        </w:trPr>
        <w:tc>
          <w:tcPr>
            <w:tcW w:w="1560" w:type="dxa"/>
            <w:shd w:val="clear" w:color="D9E2F3" w:themeColor="accent1" w:themeTint="33" w:fill="auto"/>
          </w:tcPr>
          <w:p w14:paraId="691FA713"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4D19"/>
          </w:tcPr>
          <w:p w14:paraId="7E596D06"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47B87950" w14:textId="77777777" w:rsidR="008E765F" w:rsidRPr="00822EBF" w:rsidRDefault="008E765F" w:rsidP="00611251">
            <w:pPr>
              <w:pStyle w:val="RCTstable"/>
            </w:pPr>
            <w:r w:rsidRPr="00822EBF">
              <w:t>Women in the control group had a higher mean BMI at baseline.</w:t>
            </w:r>
          </w:p>
        </w:tc>
      </w:tr>
      <w:tr w:rsidR="008E765F" w:rsidRPr="0033376A" w14:paraId="4779BBDF" w14:textId="77777777" w:rsidTr="005A5EBF">
        <w:trPr>
          <w:cantSplit/>
        </w:trPr>
        <w:tc>
          <w:tcPr>
            <w:tcW w:w="14034" w:type="dxa"/>
            <w:gridSpan w:val="3"/>
            <w:shd w:val="solid" w:color="D9E2F3" w:themeColor="accent1" w:themeTint="33" w:fill="auto"/>
          </w:tcPr>
          <w:p w14:paraId="6B98296A" w14:textId="1C640091" w:rsidR="008E765F" w:rsidRPr="0033376A" w:rsidRDefault="008E765F" w:rsidP="002747EA">
            <w:pPr>
              <w:pStyle w:val="RCTstable"/>
              <w:keepNext/>
              <w:rPr>
                <w:b/>
              </w:rPr>
            </w:pPr>
            <w:r w:rsidRPr="0025597C">
              <w:rPr>
                <w:rFonts w:ascii="Century Gothic" w:hAnsi="Century Gothic"/>
                <w:b/>
                <w:noProof/>
              </w:rPr>
              <w:t>Petrella et al 2013</w:t>
            </w:r>
            <w:r>
              <w:fldChar w:fldCharType="begin"/>
            </w:r>
            <w:r w:rsidR="002747EA">
              <w:instrText xml:space="preserve"> ADDIN EN.CITE &lt;EndNote&gt;&lt;Cite&gt;&lt;Author&gt;Petrella&lt;/Author&gt;&lt;Year&gt;2013&lt;/Year&gt;&lt;RecNum&gt;751&lt;/RecNum&gt;&lt;DisplayText&gt;&lt;style face="superscript" font="Trebuchet MS" size="9"&gt;504&lt;/style&gt;&lt;/DisplayText&gt;&lt;record&gt;&lt;rec-number&gt;751&lt;/rec-number&gt;&lt;foreign-keys&gt;&lt;key app="EN" db-id="exvasrfx2dtraoesasxp2szsxa2df502592x" timestamp="1541467931"&gt;751&lt;/key&gt;&lt;key app="ENWeb" db-id=""&gt;0&lt;/key&gt;&lt;/foreign-keys&gt;&lt;ref-type name="Journal Article"&gt;17&lt;/ref-type&gt;&lt;contributors&gt;&lt;authors&gt;&lt;author&gt;Petrella, E.&lt;/author&gt;&lt;author&gt;Malavolti, M.&lt;/author&gt;&lt;author&gt;Bertarini, V.&lt;/author&gt;&lt;author&gt;Pignatti, L.&lt;/author&gt;&lt;author&gt;Neri, I.&lt;/author&gt;&lt;author&gt;Battistini, N. C.&lt;/author&gt;&lt;author&gt;Facchinetti, F.&lt;/author&gt;&lt;/authors&gt;&lt;/contributors&gt;&lt;titles&gt;&lt;title&gt;Gestational weight gain in overweight and obese women enrolled in a healthy lifestyle and eating habits program&lt;/title&gt;&lt;secondary-title&gt;J Maternal-Fetal &amp;amp; Neonatal Med&lt;/secondary-title&gt;&lt;/titles&gt;&lt;periodical&gt;&lt;full-title&gt;J Maternal-Fetal &amp;amp; Neonatal Med&lt;/full-title&gt;&lt;/periodical&gt;&lt;pages&gt;1348-1352&lt;/pages&gt;&lt;volume&gt;27&lt;/volume&gt;&lt;number&gt;13&lt;/number&gt;&lt;section&gt;1348&lt;/section&gt;&lt;dates&gt;&lt;year&gt;2013&lt;/year&gt;&lt;/dates&gt;&lt;isbn&gt;1476-7058&amp;#xD;1476-4954&lt;/isbn&gt;&lt;urls&gt;&lt;/urls&gt;&lt;electronic-resource-num&gt;10.3109/14767058.2013.858318&lt;/electronic-resource-num&gt;&lt;/record&gt;&lt;/Cite&gt;&lt;/EndNote&gt;</w:instrText>
            </w:r>
            <w:r>
              <w:fldChar w:fldCharType="separate"/>
            </w:r>
            <w:r w:rsidR="002747EA" w:rsidRPr="002747EA">
              <w:rPr>
                <w:noProof/>
                <w:sz w:val="18"/>
                <w:vertAlign w:val="superscript"/>
              </w:rPr>
              <w:t>504</w:t>
            </w:r>
            <w:r>
              <w:fldChar w:fldCharType="end"/>
            </w:r>
          </w:p>
        </w:tc>
      </w:tr>
      <w:tr w:rsidR="008E765F" w:rsidRPr="00822EBF" w14:paraId="47E1F82F" w14:textId="77777777" w:rsidTr="005A5EBF">
        <w:trPr>
          <w:cantSplit/>
        </w:trPr>
        <w:tc>
          <w:tcPr>
            <w:tcW w:w="1560" w:type="dxa"/>
            <w:shd w:val="clear" w:color="D9E2F3" w:themeColor="accent1" w:themeTint="33" w:fill="auto"/>
          </w:tcPr>
          <w:p w14:paraId="2429374D"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5C3B3DEB"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67C33C02" w14:textId="77777777" w:rsidR="008E765F" w:rsidRPr="00822EBF" w:rsidRDefault="008E765F" w:rsidP="00611251">
            <w:pPr>
              <w:pStyle w:val="RCTstable"/>
              <w:keepNext/>
            </w:pPr>
            <w:r>
              <w:t>“Randomis</w:t>
            </w:r>
            <w:r w:rsidRPr="00822EBF">
              <w:t>ation list was obtained by using a computer-generated random allocation in blocks of three</w:t>
            </w:r>
            <w:r>
              <w:t>.”</w:t>
            </w:r>
          </w:p>
        </w:tc>
      </w:tr>
      <w:tr w:rsidR="008E765F" w:rsidRPr="00822EBF" w14:paraId="5C22C6C0" w14:textId="77777777" w:rsidTr="005A5EBF">
        <w:trPr>
          <w:cantSplit/>
        </w:trPr>
        <w:tc>
          <w:tcPr>
            <w:tcW w:w="1560" w:type="dxa"/>
            <w:shd w:val="clear" w:color="D9E2F3" w:themeColor="accent1" w:themeTint="33" w:fill="auto"/>
          </w:tcPr>
          <w:p w14:paraId="42FB0CA6"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3421138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3F6BFA3" w14:textId="77777777" w:rsidR="008E765F" w:rsidRPr="00822EBF" w:rsidRDefault="008E765F" w:rsidP="00611251">
            <w:pPr>
              <w:pStyle w:val="RCTstable"/>
            </w:pPr>
            <w:r>
              <w:t>“</w:t>
            </w:r>
            <w:r w:rsidRPr="00822EBF">
              <w:t>The numbers were sealed in numbered white envelopes. After eligibility assessment, the midwife open the next envelope.</w:t>
            </w:r>
            <w:r>
              <w:t>”</w:t>
            </w:r>
          </w:p>
        </w:tc>
      </w:tr>
      <w:tr w:rsidR="008E765F" w:rsidRPr="00822EBF" w14:paraId="55079CDB" w14:textId="77777777" w:rsidTr="005A5EBF">
        <w:trPr>
          <w:cantSplit/>
        </w:trPr>
        <w:tc>
          <w:tcPr>
            <w:tcW w:w="1560" w:type="dxa"/>
            <w:shd w:val="clear" w:color="D9E2F3" w:themeColor="accent1" w:themeTint="33" w:fill="auto"/>
          </w:tcPr>
          <w:p w14:paraId="3D2F9B60"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666893BB"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54F84F50" w14:textId="77777777" w:rsidR="008E765F" w:rsidRPr="00822EBF" w:rsidRDefault="008E765F" w:rsidP="00611251">
            <w:pPr>
              <w:pStyle w:val="RCTstable"/>
            </w:pPr>
            <w:r w:rsidRPr="00822EBF">
              <w:t>Blinding of women and trial personnel not considered feasible in view of the intervention and control</w:t>
            </w:r>
          </w:p>
        </w:tc>
      </w:tr>
      <w:tr w:rsidR="008E765F" w:rsidRPr="00822EBF" w14:paraId="794CADA4" w14:textId="77777777" w:rsidTr="005A5EBF">
        <w:trPr>
          <w:cantSplit/>
        </w:trPr>
        <w:tc>
          <w:tcPr>
            <w:tcW w:w="1560" w:type="dxa"/>
            <w:shd w:val="clear" w:color="D9E2F3" w:themeColor="accent1" w:themeTint="33" w:fill="auto"/>
          </w:tcPr>
          <w:p w14:paraId="201973DF"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0B7F0496"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2DFA86A" w14:textId="77777777" w:rsidR="008E765F" w:rsidRPr="00822EBF" w:rsidRDefault="008E765F" w:rsidP="00611251">
            <w:pPr>
              <w:pStyle w:val="RCTstable"/>
            </w:pPr>
            <w:r w:rsidRPr="00822EBF">
              <w:t>Not described</w:t>
            </w:r>
          </w:p>
        </w:tc>
      </w:tr>
      <w:tr w:rsidR="008E765F" w:rsidRPr="00822EBF" w14:paraId="3087EB98" w14:textId="77777777" w:rsidTr="005A5EBF">
        <w:trPr>
          <w:cantSplit/>
        </w:trPr>
        <w:tc>
          <w:tcPr>
            <w:tcW w:w="1560" w:type="dxa"/>
            <w:shd w:val="clear" w:color="D9E2F3" w:themeColor="accent1" w:themeTint="33" w:fill="auto"/>
          </w:tcPr>
          <w:p w14:paraId="0DAE6331"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762016F4"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81D8BC5" w14:textId="77777777" w:rsidR="008E765F" w:rsidRPr="00822EBF" w:rsidRDefault="008E765F" w:rsidP="00611251">
            <w:pPr>
              <w:pStyle w:val="RCTstable"/>
            </w:pPr>
            <w:r>
              <w:t>“Two women randomis</w:t>
            </w:r>
            <w:r w:rsidRPr="00822EBF">
              <w:t>ed to Controls later withdrew their consent for the study. Therefore, the remnant participants were 33 in the Therapeutic Lifestyle Changes group and 28 in the Controls</w:t>
            </w:r>
            <w:r>
              <w:t>.”</w:t>
            </w:r>
          </w:p>
        </w:tc>
      </w:tr>
      <w:tr w:rsidR="008E765F" w:rsidRPr="00822EBF" w14:paraId="3950CA8C" w14:textId="77777777" w:rsidTr="005A5EBF">
        <w:trPr>
          <w:cantSplit/>
        </w:trPr>
        <w:tc>
          <w:tcPr>
            <w:tcW w:w="1560" w:type="dxa"/>
            <w:shd w:val="clear" w:color="D9E2F3" w:themeColor="accent1" w:themeTint="33" w:fill="auto"/>
          </w:tcPr>
          <w:p w14:paraId="6965F6B1" w14:textId="77777777" w:rsidR="008E765F" w:rsidRPr="00822EBF" w:rsidRDefault="008E765F" w:rsidP="00611251">
            <w:pPr>
              <w:pStyle w:val="RCTstable"/>
            </w:pPr>
            <w:r w:rsidRPr="00822EBF">
              <w:t>Selective reporting</w:t>
            </w:r>
          </w:p>
        </w:tc>
        <w:tc>
          <w:tcPr>
            <w:tcW w:w="1275" w:type="dxa"/>
            <w:shd w:val="clear" w:color="D9E2F3" w:themeColor="accent1" w:themeTint="33" w:fill="FF4D19"/>
          </w:tcPr>
          <w:p w14:paraId="07B5C14A"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62C4F751" w14:textId="77777777" w:rsidR="008E765F" w:rsidRPr="00822EBF" w:rsidRDefault="008E765F" w:rsidP="00611251">
            <w:pPr>
              <w:pStyle w:val="RCTstable"/>
            </w:pPr>
            <w:r w:rsidRPr="00822EBF">
              <w:t>A number of outcomes are reported incompletely as ”similar“ between groups, or ”no statistically significant differences“.</w:t>
            </w:r>
          </w:p>
        </w:tc>
      </w:tr>
      <w:tr w:rsidR="008E765F" w:rsidRPr="00822EBF" w14:paraId="412E401F" w14:textId="77777777" w:rsidTr="005A5EBF">
        <w:trPr>
          <w:cantSplit/>
        </w:trPr>
        <w:tc>
          <w:tcPr>
            <w:tcW w:w="1560" w:type="dxa"/>
            <w:shd w:val="clear" w:color="D9E2F3" w:themeColor="accent1" w:themeTint="33" w:fill="auto"/>
          </w:tcPr>
          <w:p w14:paraId="6B773AD1"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58185B9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97E667B" w14:textId="77777777" w:rsidR="008E765F" w:rsidRPr="00822EBF" w:rsidRDefault="008E765F" w:rsidP="00611251">
            <w:pPr>
              <w:pStyle w:val="RCTstable"/>
            </w:pPr>
            <w:r w:rsidRPr="00822EBF">
              <w:t>No obvious sources of other bias identified</w:t>
            </w:r>
            <w:r>
              <w:t>.</w:t>
            </w:r>
          </w:p>
        </w:tc>
      </w:tr>
      <w:tr w:rsidR="008E765F" w:rsidRPr="0033376A" w14:paraId="18D3BCC7" w14:textId="77777777" w:rsidTr="005A5EBF">
        <w:trPr>
          <w:cantSplit/>
        </w:trPr>
        <w:tc>
          <w:tcPr>
            <w:tcW w:w="14034" w:type="dxa"/>
            <w:gridSpan w:val="3"/>
            <w:shd w:val="solid" w:color="D9E2F3" w:themeColor="accent1" w:themeTint="33" w:fill="auto"/>
          </w:tcPr>
          <w:p w14:paraId="265EAB06" w14:textId="09BCB2C9" w:rsidR="008E765F" w:rsidRPr="0033376A" w:rsidRDefault="008E765F" w:rsidP="002747EA">
            <w:pPr>
              <w:pStyle w:val="RCTstable"/>
              <w:keepNext/>
              <w:rPr>
                <w:b/>
              </w:rPr>
            </w:pPr>
            <w:r w:rsidRPr="0025597C">
              <w:rPr>
                <w:rFonts w:ascii="Century Gothic" w:hAnsi="Century Gothic"/>
                <w:b/>
                <w:noProof/>
              </w:rPr>
              <w:t>Phelan et al 2011</w:t>
            </w:r>
            <w:r>
              <w:rPr>
                <w:rFonts w:ascii="Century Gothic" w:hAnsi="Century Gothic"/>
                <w:noProof/>
              </w:rPr>
              <w:fldChar w:fldCharType="begin">
                <w:fldData xml:space="preserve">PEVuZE5vdGU+PENpdGU+PEF1dGhvcj5QaGVsYW48L0F1dGhvcj48WWVhcj4yMDExPC9ZZWFyPjxS
ZWNOdW0+NzA1PC9SZWNOdW0+PERpc3BsYXlUZXh0PjxzdHlsZSBmYWNlPSJzdXBlcnNjcmlwdCIg
Zm9udD0iVHJlYnVjaGV0IE1TIiBzaXplPSI5Ij40OTQsNTUxPC9zdHlsZT48L0Rpc3BsYXlUZXh0
PjxyZWNvcmQ+PHJlYy1udW1iZXI+NzA1PC9yZWMtbnVtYmVyPjxmb3JlaWduLWtleXM+PGtleSBh
cHA9IkVOIiBkYi1pZD0iZXh2YXNyZngyZHRyYW9lc2FzeHAyc3pzeGEyZGY1MDI1OTJ4IiB0aW1l
c3RhbXA9IjE1NDA1MzA2MzYiPjcwNTwva2V5PjwvZm9yZWlnbi1rZXlzPjxyZWYtdHlwZSBuYW1l
PSJKb3VybmFsIEFydGljbGUiPjE3PC9yZWYtdHlwZT48Y29udHJpYnV0b3JzPjxhdXRob3JzPjxh
dXRob3I+UGhlbGFuLCBTLjwvYXV0aG9yPjxhdXRob3I+UGhpcHBzLCBNLiBHLjwvYXV0aG9yPjxh
dXRob3I+QWJyYW1zLCBCLjwvYXV0aG9yPjxhdXRob3I+RGFycm9jaCwgRi48L2F1dGhvcj48YXV0
aG9yPlNjaGFmZm5lciwgQS48L2F1dGhvcj48YXV0aG9yPldpbmcsIFIuIFIuPC9hdXRob3I+PC9h
dXRob3JzPjwvY29udHJpYnV0b3JzPjxhdXRoLWFkZHJlc3M+RGVwYXJ0bWVudHMgb2YgS2luZXNp
b2xvZ3ksIENhbGlmb3JuaWEgUG9seXRlY2huaWMgU3RhdGUgVW5pdmVyc2l0eSwgU2FuIEx1aXMg
T2Jpc3BvLCA5MzQwNy0wMzg2LCBVU0EuIHNwaGVsYW5AY2FscG9seS5lZHU8L2F1dGgtYWRkcmVz
cz48dGl0bGVzPjx0aXRsZT5SYW5kb21pemVkIHRyaWFsIG9mIGEgYmVoYXZpb3JhbCBpbnRlcnZl
bnRpb24gdG8gcHJldmVudCBleGNlc3NpdmUgZ2VzdGF0aW9uYWwgd2VpZ2h0IGdhaW46IHRoZSBG
aXQgZm9yIERlbGl2ZXJ5IFN0dWR5PC90aXRsZT48c2Vjb25kYXJ5LXRpdGxlPkFtIEogQ2xpbiBO
dXRyPC9zZWNvbmRhcnktdGl0bGU+PC90aXRsZXM+PHBlcmlvZGljYWw+PGZ1bGwtdGl0bGU+QW0g
SiBDbGluIE51dHI8L2Z1bGwtdGl0bGU+PC9wZXJpb2RpY2FsPjxwYWdlcz43NzItOTwvcGFnZXM+
PHZvbHVtZT45Mzwvdm9sdW1lPjxudW1iZXI+NDwvbnVtYmVyPjxlZGl0aW9uPjIwMTEvMDIvMTI8
L2VkaXRpb24+PGtleXdvcmRzPjxrZXl3b3JkPkFkdWx0PC9rZXl3b3JkPjxrZXl3b3JkPkJlaGF2
aW9yPC9rZXl3b3JkPjxrZXl3b3JkPipCZWhhdmlvciBUaGVyYXB5PC9rZXl3b3JkPjxrZXl3b3Jk
PipEaWV0PC9rZXl3b3JkPjxrZXl3b3JkPipFeGVyY2lzZTwva2V5d29yZD48a2V5d29yZD5GZW1h
bGU8L2tleXdvcmQ+PGtleXdvcmQ+KkhlYWx0aCBQcm9tb3Rpb248L2tleXdvcmQ+PGtleXdvcmQ+
SHVtYW5zPC9rZXl3b3JkPjxrZXl3b3JkPkludGVudGlvbiB0byBUcmVhdCBBbmFseXNpczwva2V5
d29yZD48a2V5d29yZD5PYmVzaXR5L2NvbXBsaWNhdGlvbnMvZXBpZGVtaW9sb2d5LypwcmV2ZW50
aW9uICZhbXA7IGNvbnRyb2w8L2tleXdvcmQ+PGtleXdvcmQ+UG9zdHBhcnR1bSBQZXJpb2Q8L2tl
eXdvcmQ+PGtleXdvcmQ+UHJlZ25hbmN5PC9rZXl3b3JkPjxrZXl3b3JkPlByZWduYW5jeSBDb21w
bGljYXRpb25zLypwcmV2ZW50aW9uICZhbXA7IGNvbnRyb2w8L2tleXdvcmQ+PGtleXdvcmQ+UHJl
dmFsZW5jZTwva2V5d29yZD48a2V5d29yZD5SZWZlcmVuY2UgVmFsdWVzPC9rZXl3b3JkPjxrZXl3
b3JkPlNpbmdsZS1CbGluZCBNZXRob2Q8L2tleXdvcmQ+PGtleXdvcmQ+U3RhbmRhcmQgb2YgQ2Fy
ZTwva2V5d29yZD48a2V5d29yZD5UcmVhdG1lbnQgT3V0Y29tZTwva2V5d29yZD48a2V5d29yZD4q
V2VpZ2h0IEdhaW48L2tleXdvcmQ+PGtleXdvcmQ+WW91bmcgQWR1bHQ8L2tleXdvcmQ+PC9rZXl3
b3Jkcz48ZGF0ZXM+PHllYXI+MjAxMTwveWVhcj48cHViLWRhdGVzPjxkYXRlPkFwcjwvZGF0ZT48
L3B1Yi1kYXRlcz48L2RhdGVzPjxpc2JuPjE5MzgtMzIwNyAoRWxlY3Ryb25pYykmI3hEOzAwMDIt
OTE2NSAoTGlua2luZyk8L2lzYm4+PGFjY2Vzc2lvbi1udW0+MjEzMTA4MzY8L2FjY2Vzc2lvbi1u
dW0+PHVybHM+PHJlbGF0ZWQtdXJscz48dXJsPmh0dHBzOi8vd3d3Lm5jYmkubmxtLm5paC5nb3Yv
cHVibWVkLzIxMzEwODM2PC91cmw+PC9yZWxhdGVkLXVybHM+PC91cmxzPjxjdXN0b20yPlBNQzMw
NTc1NDY8L2N1c3RvbTI+PGVsZWN0cm9uaWMtcmVzb3VyY2UtbnVtPjEwLjM5NDUvYWpjbi4xMTAu
MDA1MzA2PC9lbGVjdHJvbmljLXJlc291cmNlLW51bT48L3JlY29yZD48L0NpdGU+PENpdGU+PEF1
dGhvcj5QaGVsYW48L0F1dGhvcj48WWVhcj4yMDE0PC9ZZWFyPjxSZWNOdW0+NzUyPC9SZWNOdW0+
PHJlY29yZD48cmVjLW51bWJlcj43NTI8L3JlYy1udW1iZXI+PGZvcmVpZ24ta2V5cz48a2V5IGFw
cD0iRU4iIGRiLWlkPSJleHZhc3JmeDJkdHJhb2VzYXN4cDJzenN4YTJkZjUwMjU5MngiIHRpbWVz
dGFtcD0iMTU0MTQ2Nzk0MSI+NzUyPC9rZXk+PGtleSBhcHA9IkVOV2ViIiBkYi1pZD0iIj4wPC9r
ZXk+PC9mb3JlaWduLWtleXM+PHJlZi10eXBlIG5hbWU9IkpvdXJuYWwgQXJ0aWNsZSI+MTc8L3Jl
Zi10eXBlPjxjb250cmlidXRvcnM+PGF1dGhvcnM+PGF1dGhvcj5QaGVsYW4sIFMuPC9hdXRob3I+
PGF1dGhvcj5QaGlwcHMsIE0uIEcuPC9hdXRob3I+PGF1dGhvcj5BYnJhbXMsIEIuPC9hdXRob3I+
PGF1dGhvcj5EYXJyb2NoLCBGLjwvYXV0aG9yPjxhdXRob3I+R3JhbnRoYW0sIEsuPC9hdXRob3I+
PGF1dGhvcj5TY2hhZmZuZXIsIEEuPC9hdXRob3I+PGF1dGhvcj5XaW5nLCBSLiBSLjwvYXV0aG9y
PjwvYXV0aG9ycz48L2NvbnRyaWJ1dG9ycz48YXV0aC1hZGRyZXNzPktpbmVzaW9sb2d5IERlcGFy
dG1lbnQgKFNQKSBhbmQgU3RhdGlzdGljcyBEZXBhcnRtZW50IChBUyBhbmQgS0cpLCBDYWxpZm9y
bmlhIFBvbHl0ZWNobmljIFN0YXRlIFVuaXZlcnNpdHksIFNhbiBMdWlzIE9iaXNwbywgQ0E7IHRo
ZSBXYXJyZW4gQWxwZXJ0IE1lZGljYWwgU2Nob29sLCBEZXBhcnRtZW50IG9mIFBzeWNoaWF0cnkg
YW5kIEh1bWFuIEJlaGF2aW9yLCBhbmQgVGhlIE1pcmlhbSBIb3NwaXRhbCwgV2VpZ2h0IENvbnRy
b2wgYW5kIERpYWJldGVzIFJlc2VhcmNoIENlbnRlciwgQnJvd24gVW5pdmVyc2l0eSwgUHJvdmlk
ZW5jZSwgUkkgKFNQLCBSUlcsIGFuZCBGRCk7IHRoZSBEZXBhcnRtZW50IG9mIE9ic3RldHJpY3Mg
YW5kIEd5bmVjb2xvZ3kgYW5kIFdvbWVuICZhbXA7IEluZmFudHMgSG9zcGl0YWwgb2YgUmhvZGUg
SXNsYW5kLCBEaXZpc2lvbiBvZiBSZXNlYXJjaCwgV2FycmVuIEFscGVydCBNZWRpY2FsIFNjaG9v
bCwgQnJvd24gVW5pdmVyc2l0eSwgUHJvdmlkZW5jZSwgUkkgKE1HUCk7IGFuZCB0aGUgVW5pdmVy
c2l0eSBvZiBDYWxpZm9ybmlhLCBCZXJrZWxleSwgU2Nob29sIG9mIFB1YmxpYyBIZWFsdGgsIEJl
cmtlbGV5LCBDQSAoQkEpLjwvYXV0aC1hZGRyZXNzPjx0aXRsZXM+PHRpdGxlPkRvZXMgYmVoYXZp
b3JhbCBpbnRlcnZlbnRpb24gaW4gcHJlZ25hbmN5IHJlZHVjZSBwb3N0cGFydHVtIHdlaWdodCBy
ZXRlbnRpb24/IFR3ZWx2ZS1tb250aCBvdXRjb21lcyBvZiB0aGUgRml0IGZvciBEZWxpdmVyeSBy
YW5kb21pemVkIHRyaWFsPC90aXRsZT48c2Vjb25kYXJ5LXRpdGxlPkFtIEogQ2xpbiBOdXRyPC9z
ZWNvbmRhcnktdGl0bGU+PC90aXRsZXM+PHBlcmlvZGljYWw+PGZ1bGwtdGl0bGU+QW0gSiBDbGlu
IE51dHI8L2Z1bGwtdGl0bGU+PC9wZXJpb2RpY2FsPjxwYWdlcz4zMDItMTE8L3BhZ2VzPjx2b2x1
bWU+OTk8L3ZvbHVtZT48bnVtYmVyPjI8L251bWJlcj48ZWRpdGlvbj4yMDEzLzExLzI5PC9lZGl0
aW9uPjxrZXl3b3Jkcz48a2V5d29yZD5BZG9sZXNjZW50PC9rZXl3b3JkPjxrZXl3b3JkPkFkdWx0
PC9rZXl3b3JkPjxrZXl3b3JkPkJvZHkgTWFzcyBJbmRleDwva2V5d29yZD48a2V5d29yZD5EaWV0
PC9rZXl3b3JkPjxrZXl3b3JkPkV4ZXJjaXNlL3BoeXNpb2xvZ3k8L2tleXdvcmQ+PGtleXdvcmQ+
KkZlZWRpbmcgQmVoYXZpb3I8L2tleXdvcmQ+PGtleXdvcmQ+RmVtYWxlPC9rZXl3b3JkPjxrZXl3
b3JkPkZvbGxvdy1VcCBTdHVkaWVzPC9rZXl3b3JkPjxrZXl3b3JkPkh1bWFuczwva2V5d29yZD48
a2V5d29yZD5MaWZlIFN0eWxlPC9rZXl3b3JkPjxrZXl3b3JkPkxvZ2lzdGljIE1vZGVsczwva2V5
d29yZD48a2V5d29yZD5PYmVzaXR5LypwcmV2ZW50aW9uICZhbXA7IGNvbnRyb2w8L2tleXdvcmQ+
PGtleXdvcmQ+T3ZlcndlaWdodC8qcHJldmVudGlvbiAmYW1wOyBjb250cm9sPC9rZXl3b3JkPjxr
ZXl3b3JkPlBpbG90IFByb2plY3RzPC9rZXl3b3JkPjxrZXl3b3JkPlBvc3RwYXJ0dW0gUGVyaW9k
LypwaHlzaW9sb2d5PC9rZXl3b3JkPjxrZXl3b3JkPlByZWduYW5jeTwva2V5d29yZD48a2V5d29y
ZD5SaXNrIEZhY3RvcnM8L2tleXdvcmQ+PGtleXdvcmQ+U2luZ2xlLUJsaW5kIE1ldGhvZDwva2V5
d29yZD48a2V5d29yZD5TdXJ2ZXlzIGFuZCBRdWVzdGlvbm5haXJlczwva2V5d29yZD48a2V5d29y
ZD5XZWlnaHQgR2Fpbi8qcGh5c2lvbG9neTwva2V5d29yZD48a2V5d29yZD5Zb3VuZyBBZHVsdDwv
a2V5d29yZD48L2tleXdvcmRzPjxkYXRlcz48eWVhcj4yMDE0PC95ZWFyPjxwdWItZGF0ZXM+PGRh
dGU+RmViPC9kYXRlPjwvcHViLWRhdGVzPjwvZGF0ZXM+PGlzYm4+MTkzOC0zMjA3IChFbGVjdHJv
bmljKSYjeEQ7MDAwMi05MTY1IChMaW5raW5nKTwvaXNibj48YWNjZXNzaW9uLW51bT4yNDI4NDQz
ODwvYWNjZXNzaW9uLW51bT48dXJscz48cmVsYXRlZC11cmxzPjx1cmw+aHR0cHM6Ly93d3cubmNi
aS5ubG0ubmloLmdvdi9wdWJtZWQvMjQyODQ0Mzg8L3VybD48L3JlbGF0ZWQtdXJscz48L3VybHM+
PGN1c3RvbTI+UE1DMzg5MzcyMzwvY3VzdG9tMj48ZWxlY3Ryb25pYy1yZXNvdXJjZS1udW0+MTAu
Mzk0NS9hamNuLjExMy4wNzAxNTE8L2VsZWN0cm9uaWMtcmVzb3VyY2UtbnVtPjwvcmVjb3JkPjwv
Q2l0ZT48L0VuZE5vdGU+AG==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PEVuZE5vdGU+PENpdGU+PEF1dGhvcj5QaGVsYW48L0F1dGhvcj48WWVhcj4yMDExPC9ZZWFyPjxS
ZWNOdW0+NzA1PC9SZWNOdW0+PERpc3BsYXlUZXh0PjxzdHlsZSBmYWNlPSJzdXBlcnNjcmlwdCIg
Zm9udD0iVHJlYnVjaGV0IE1TIiBzaXplPSI5Ij40OTQsNTUxPC9zdHlsZT48L0Rpc3BsYXlUZXh0
PjxyZWNvcmQ+PHJlYy1udW1iZXI+NzA1PC9yZWMtbnVtYmVyPjxmb3JlaWduLWtleXM+PGtleSBh
cHA9IkVOIiBkYi1pZD0iZXh2YXNyZngyZHRyYW9lc2FzeHAyc3pzeGEyZGY1MDI1OTJ4IiB0aW1l
c3RhbXA9IjE1NDA1MzA2MzYiPjcwNTwva2V5PjwvZm9yZWlnbi1rZXlzPjxyZWYtdHlwZSBuYW1l
PSJKb3VybmFsIEFydGljbGUiPjE3PC9yZWYtdHlwZT48Y29udHJpYnV0b3JzPjxhdXRob3JzPjxh
dXRob3I+UGhlbGFuLCBTLjwvYXV0aG9yPjxhdXRob3I+UGhpcHBzLCBNLiBHLjwvYXV0aG9yPjxh
dXRob3I+QWJyYW1zLCBCLjwvYXV0aG9yPjxhdXRob3I+RGFycm9jaCwgRi48L2F1dGhvcj48YXV0
aG9yPlNjaGFmZm5lciwgQS48L2F1dGhvcj48YXV0aG9yPldpbmcsIFIuIFIuPC9hdXRob3I+PC9h
dXRob3JzPjwvY29udHJpYnV0b3JzPjxhdXRoLWFkZHJlc3M+RGVwYXJ0bWVudHMgb2YgS2luZXNp
b2xvZ3ksIENhbGlmb3JuaWEgUG9seXRlY2huaWMgU3RhdGUgVW5pdmVyc2l0eSwgU2FuIEx1aXMg
T2Jpc3BvLCA5MzQwNy0wMzg2LCBVU0EuIHNwaGVsYW5AY2FscG9seS5lZHU8L2F1dGgtYWRkcmVz
cz48dGl0bGVzPjx0aXRsZT5SYW5kb21pemVkIHRyaWFsIG9mIGEgYmVoYXZpb3JhbCBpbnRlcnZl
bnRpb24gdG8gcHJldmVudCBleGNlc3NpdmUgZ2VzdGF0aW9uYWwgd2VpZ2h0IGdhaW46IHRoZSBG
aXQgZm9yIERlbGl2ZXJ5IFN0dWR5PC90aXRsZT48c2Vjb25kYXJ5LXRpdGxlPkFtIEogQ2xpbiBO
dXRyPC9zZWNvbmRhcnktdGl0bGU+PC90aXRsZXM+PHBlcmlvZGljYWw+PGZ1bGwtdGl0bGU+QW0g
SiBDbGluIE51dHI8L2Z1bGwtdGl0bGU+PC9wZXJpb2RpY2FsPjxwYWdlcz43NzItOTwvcGFnZXM+
PHZvbHVtZT45Mzwvdm9sdW1lPjxudW1iZXI+NDwvbnVtYmVyPjxlZGl0aW9uPjIwMTEvMDIvMTI8
L2VkaXRpb24+PGtleXdvcmRzPjxrZXl3b3JkPkFkdWx0PC9rZXl3b3JkPjxrZXl3b3JkPkJlaGF2
aW9yPC9rZXl3b3JkPjxrZXl3b3JkPipCZWhhdmlvciBUaGVyYXB5PC9rZXl3b3JkPjxrZXl3b3Jk
PipEaWV0PC9rZXl3b3JkPjxrZXl3b3JkPipFeGVyY2lzZTwva2V5d29yZD48a2V5d29yZD5GZW1h
bGU8L2tleXdvcmQ+PGtleXdvcmQ+KkhlYWx0aCBQcm9tb3Rpb248L2tleXdvcmQ+PGtleXdvcmQ+
SHVtYW5zPC9rZXl3b3JkPjxrZXl3b3JkPkludGVudGlvbiB0byBUcmVhdCBBbmFseXNpczwva2V5
d29yZD48a2V5d29yZD5PYmVzaXR5L2NvbXBsaWNhdGlvbnMvZXBpZGVtaW9sb2d5LypwcmV2ZW50
aW9uICZhbXA7IGNvbnRyb2w8L2tleXdvcmQ+PGtleXdvcmQ+UG9zdHBhcnR1bSBQZXJpb2Q8L2tl
eXdvcmQ+PGtleXdvcmQ+UHJlZ25hbmN5PC9rZXl3b3JkPjxrZXl3b3JkPlByZWduYW5jeSBDb21w
bGljYXRpb25zLypwcmV2ZW50aW9uICZhbXA7IGNvbnRyb2w8L2tleXdvcmQ+PGtleXdvcmQ+UHJl
dmFsZW5jZTwva2V5d29yZD48a2V5d29yZD5SZWZlcmVuY2UgVmFsdWVzPC9rZXl3b3JkPjxrZXl3
b3JkPlNpbmdsZS1CbGluZCBNZXRob2Q8L2tleXdvcmQ+PGtleXdvcmQ+U3RhbmRhcmQgb2YgQ2Fy
ZTwva2V5d29yZD48a2V5d29yZD5UcmVhdG1lbnQgT3V0Y29tZTwva2V5d29yZD48a2V5d29yZD4q
V2VpZ2h0IEdhaW48L2tleXdvcmQ+PGtleXdvcmQ+WW91bmcgQWR1bHQ8L2tleXdvcmQ+PC9rZXl3
b3Jkcz48ZGF0ZXM+PHllYXI+MjAxMTwveWVhcj48cHViLWRhdGVzPjxkYXRlPkFwcjwvZGF0ZT48
L3B1Yi1kYXRlcz48L2RhdGVzPjxpc2JuPjE5MzgtMzIwNyAoRWxlY3Ryb25pYykmI3hEOzAwMDIt
OTE2NSAoTGlua2luZyk8L2lzYm4+PGFjY2Vzc2lvbi1udW0+MjEzMTA4MzY8L2FjY2Vzc2lvbi1u
dW0+PHVybHM+PHJlbGF0ZWQtdXJscz48dXJsPmh0dHBzOi8vd3d3Lm5jYmkubmxtLm5paC5nb3Yv
cHVibWVkLzIxMzEwODM2PC91cmw+PC9yZWxhdGVkLXVybHM+PC91cmxzPjxjdXN0b20yPlBNQzMw
NTc1NDY8L2N1c3RvbTI+PGVsZWN0cm9uaWMtcmVzb3VyY2UtbnVtPjEwLjM5NDUvYWpjbi4xMTAu
MDA1MzA2PC9lbGVjdHJvbmljLXJlc291cmNlLW51bT48L3JlY29yZD48L0NpdGU+PENpdGU+PEF1
dGhvcj5QaGVsYW48L0F1dGhvcj48WWVhcj4yMDE0PC9ZZWFyPjxSZWNOdW0+NzUyPC9SZWNOdW0+
PHJlY29yZD48cmVjLW51bWJlcj43NTI8L3JlYy1udW1iZXI+PGZvcmVpZ24ta2V5cz48a2V5IGFw
cD0iRU4iIGRiLWlkPSJleHZhc3JmeDJkdHJhb2VzYXN4cDJzenN4YTJkZjUwMjU5MngiIHRpbWVz
dGFtcD0iMTU0MTQ2Nzk0MSI+NzUyPC9rZXk+PGtleSBhcHA9IkVOV2ViIiBkYi1pZD0iIj4wPC9r
ZXk+PC9mb3JlaWduLWtleXM+PHJlZi10eXBlIG5hbWU9IkpvdXJuYWwgQXJ0aWNsZSI+MTc8L3Jl
Zi10eXBlPjxjb250cmlidXRvcnM+PGF1dGhvcnM+PGF1dGhvcj5QaGVsYW4sIFMuPC9hdXRob3I+
PGF1dGhvcj5QaGlwcHMsIE0uIEcuPC9hdXRob3I+PGF1dGhvcj5BYnJhbXMsIEIuPC9hdXRob3I+
PGF1dGhvcj5EYXJyb2NoLCBGLjwvYXV0aG9yPjxhdXRob3I+R3JhbnRoYW0sIEsuPC9hdXRob3I+
PGF1dGhvcj5TY2hhZmZuZXIsIEEuPC9hdXRob3I+PGF1dGhvcj5XaW5nLCBSLiBSLjwvYXV0aG9y
PjwvYXV0aG9ycz48L2NvbnRyaWJ1dG9ycz48YXV0aC1hZGRyZXNzPktpbmVzaW9sb2d5IERlcGFy
dG1lbnQgKFNQKSBhbmQgU3RhdGlzdGljcyBEZXBhcnRtZW50IChBUyBhbmQgS0cpLCBDYWxpZm9y
bmlhIFBvbHl0ZWNobmljIFN0YXRlIFVuaXZlcnNpdHksIFNhbiBMdWlzIE9iaXNwbywgQ0E7IHRo
ZSBXYXJyZW4gQWxwZXJ0IE1lZGljYWwgU2Nob29sLCBEZXBhcnRtZW50IG9mIFBzeWNoaWF0cnkg
YW5kIEh1bWFuIEJlaGF2aW9yLCBhbmQgVGhlIE1pcmlhbSBIb3NwaXRhbCwgV2VpZ2h0IENvbnRy
b2wgYW5kIERpYWJldGVzIFJlc2VhcmNoIENlbnRlciwgQnJvd24gVW5pdmVyc2l0eSwgUHJvdmlk
ZW5jZSwgUkkgKFNQLCBSUlcsIGFuZCBGRCk7IHRoZSBEZXBhcnRtZW50IG9mIE9ic3RldHJpY3Mg
YW5kIEd5bmVjb2xvZ3kgYW5kIFdvbWVuICZhbXA7IEluZmFudHMgSG9zcGl0YWwgb2YgUmhvZGUg
SXNsYW5kLCBEaXZpc2lvbiBvZiBSZXNlYXJjaCwgV2FycmVuIEFscGVydCBNZWRpY2FsIFNjaG9v
bCwgQnJvd24gVW5pdmVyc2l0eSwgUHJvdmlkZW5jZSwgUkkgKE1HUCk7IGFuZCB0aGUgVW5pdmVy
c2l0eSBvZiBDYWxpZm9ybmlhLCBCZXJrZWxleSwgU2Nob29sIG9mIFB1YmxpYyBIZWFsdGgsIEJl
cmtlbGV5LCBDQSAoQkEpLjwvYXV0aC1hZGRyZXNzPjx0aXRsZXM+PHRpdGxlPkRvZXMgYmVoYXZp
b3JhbCBpbnRlcnZlbnRpb24gaW4gcHJlZ25hbmN5IHJlZHVjZSBwb3N0cGFydHVtIHdlaWdodCBy
ZXRlbnRpb24/IFR3ZWx2ZS1tb250aCBvdXRjb21lcyBvZiB0aGUgRml0IGZvciBEZWxpdmVyeSBy
YW5kb21pemVkIHRyaWFsPC90aXRsZT48c2Vjb25kYXJ5LXRpdGxlPkFtIEogQ2xpbiBOdXRyPC9z
ZWNvbmRhcnktdGl0bGU+PC90aXRsZXM+PHBlcmlvZGljYWw+PGZ1bGwtdGl0bGU+QW0gSiBDbGlu
IE51dHI8L2Z1bGwtdGl0bGU+PC9wZXJpb2RpY2FsPjxwYWdlcz4zMDItMTE8L3BhZ2VzPjx2b2x1
bWU+OTk8L3ZvbHVtZT48bnVtYmVyPjI8L251bWJlcj48ZWRpdGlvbj4yMDEzLzExLzI5PC9lZGl0
aW9uPjxrZXl3b3Jkcz48a2V5d29yZD5BZG9sZXNjZW50PC9rZXl3b3JkPjxrZXl3b3JkPkFkdWx0
PC9rZXl3b3JkPjxrZXl3b3JkPkJvZHkgTWFzcyBJbmRleDwva2V5d29yZD48a2V5d29yZD5EaWV0
PC9rZXl3b3JkPjxrZXl3b3JkPkV4ZXJjaXNlL3BoeXNpb2xvZ3k8L2tleXdvcmQ+PGtleXdvcmQ+
KkZlZWRpbmcgQmVoYXZpb3I8L2tleXdvcmQ+PGtleXdvcmQ+RmVtYWxlPC9rZXl3b3JkPjxrZXl3
b3JkPkZvbGxvdy1VcCBTdHVkaWVzPC9rZXl3b3JkPjxrZXl3b3JkPkh1bWFuczwva2V5d29yZD48
a2V5d29yZD5MaWZlIFN0eWxlPC9rZXl3b3JkPjxrZXl3b3JkPkxvZ2lzdGljIE1vZGVsczwva2V5
d29yZD48a2V5d29yZD5PYmVzaXR5LypwcmV2ZW50aW9uICZhbXA7IGNvbnRyb2w8L2tleXdvcmQ+
PGtleXdvcmQ+T3ZlcndlaWdodC8qcHJldmVudGlvbiAmYW1wOyBjb250cm9sPC9rZXl3b3JkPjxr
ZXl3b3JkPlBpbG90IFByb2plY3RzPC9rZXl3b3JkPjxrZXl3b3JkPlBvc3RwYXJ0dW0gUGVyaW9k
LypwaHlzaW9sb2d5PC9rZXl3b3JkPjxrZXl3b3JkPlByZWduYW5jeTwva2V5d29yZD48a2V5d29y
ZD5SaXNrIEZhY3RvcnM8L2tleXdvcmQ+PGtleXdvcmQ+U2luZ2xlLUJsaW5kIE1ldGhvZDwva2V5
d29yZD48a2V5d29yZD5TdXJ2ZXlzIGFuZCBRdWVzdGlvbm5haXJlczwva2V5d29yZD48a2V5d29y
ZD5XZWlnaHQgR2Fpbi8qcGh5c2lvbG9neTwva2V5d29yZD48a2V5d29yZD5Zb3VuZyBBZHVsdDwv
a2V5d29yZD48L2tleXdvcmRzPjxkYXRlcz48eWVhcj4yMDE0PC95ZWFyPjxwdWItZGF0ZXM+PGRh
dGU+RmViPC9kYXRlPjwvcHViLWRhdGVzPjwvZGF0ZXM+PGlzYm4+MTkzOC0zMjA3IChFbGVjdHJv
bmljKSYjeEQ7MDAwMi05MTY1IChMaW5raW5nKTwvaXNibj48YWNjZXNzaW9uLW51bT4yNDI4NDQz
ODwvYWNjZXNzaW9uLW51bT48dXJscz48cmVsYXRlZC11cmxzPjx1cmw+aHR0cHM6Ly93d3cubmNi
aS5ubG0ubmloLmdvdi9wdWJtZWQvMjQyODQ0Mzg8L3VybD48L3JlbGF0ZWQtdXJscz48L3VybHM+
PGN1c3RvbTI+UE1DMzg5MzcyMzwvY3VzdG9tMj48ZWxlY3Ryb25pYy1yZXNvdXJjZS1udW0+MTAu
Mzk0NS9hamNuLjExMy4wNzAxNTE8L2VsZWN0cm9uaWMtcmVzb3VyY2UtbnVtPjwvcmVjb3JkPjwv
Q2l0ZT48L0VuZE5vdGU+AG==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494,551</w:t>
            </w:r>
            <w:r>
              <w:rPr>
                <w:rFonts w:ascii="Century Gothic" w:hAnsi="Century Gothic"/>
                <w:noProof/>
              </w:rPr>
              <w:fldChar w:fldCharType="end"/>
            </w:r>
          </w:p>
        </w:tc>
      </w:tr>
      <w:tr w:rsidR="008E765F" w:rsidRPr="00822EBF" w14:paraId="2A07ED27" w14:textId="77777777" w:rsidTr="005A5EBF">
        <w:trPr>
          <w:cantSplit/>
        </w:trPr>
        <w:tc>
          <w:tcPr>
            <w:tcW w:w="1560" w:type="dxa"/>
            <w:shd w:val="clear" w:color="D9E2F3" w:themeColor="accent1" w:themeTint="33" w:fill="auto"/>
          </w:tcPr>
          <w:p w14:paraId="0DFDEF98" w14:textId="77777777" w:rsidR="008E765F" w:rsidRPr="00822EBF" w:rsidRDefault="008E765F" w:rsidP="00D33EC5">
            <w:pPr>
              <w:pStyle w:val="RCTstable"/>
              <w:keepNext/>
            </w:pPr>
            <w:r w:rsidRPr="00822EBF">
              <w:t>Random sequence generation</w:t>
            </w:r>
          </w:p>
        </w:tc>
        <w:tc>
          <w:tcPr>
            <w:tcW w:w="1275" w:type="dxa"/>
            <w:shd w:val="clear" w:color="D9E2F3" w:themeColor="accent1" w:themeTint="33" w:fill="70AD47" w:themeFill="accent6"/>
          </w:tcPr>
          <w:p w14:paraId="61DD50C4" w14:textId="77777777" w:rsidR="008E765F" w:rsidRPr="00822EBF" w:rsidRDefault="008E765F" w:rsidP="00D33EC5">
            <w:pPr>
              <w:pStyle w:val="RCTstable"/>
              <w:keepNext/>
            </w:pPr>
            <w:r w:rsidRPr="00822EBF">
              <w:t>Low risk</w:t>
            </w:r>
          </w:p>
        </w:tc>
        <w:tc>
          <w:tcPr>
            <w:tcW w:w="11199" w:type="dxa"/>
            <w:shd w:val="clear" w:color="D9E2F3" w:themeColor="accent1" w:themeTint="33" w:fill="auto"/>
          </w:tcPr>
          <w:p w14:paraId="0270520A" w14:textId="77777777" w:rsidR="008E765F" w:rsidRPr="00822EBF" w:rsidRDefault="008E765F" w:rsidP="00D33EC5">
            <w:pPr>
              <w:pStyle w:val="RCTstable"/>
              <w:keepNext/>
            </w:pPr>
            <w:r>
              <w:t>“</w:t>
            </w:r>
            <w:r w:rsidRPr="00822EBF">
              <w:t>Randomisation was computer-generated in randomly varying block sizes and stratified by clinic and BMI category</w:t>
            </w:r>
            <w:r>
              <w:t>.”</w:t>
            </w:r>
          </w:p>
        </w:tc>
      </w:tr>
      <w:tr w:rsidR="008E765F" w:rsidRPr="00822EBF" w14:paraId="33CE0165" w14:textId="77777777" w:rsidTr="005A5EBF">
        <w:trPr>
          <w:cantSplit/>
        </w:trPr>
        <w:tc>
          <w:tcPr>
            <w:tcW w:w="1560" w:type="dxa"/>
            <w:shd w:val="clear" w:color="D9E2F3" w:themeColor="accent1" w:themeTint="33" w:fill="auto"/>
          </w:tcPr>
          <w:p w14:paraId="0D21A865" w14:textId="77777777" w:rsidR="008E765F" w:rsidRPr="00822EBF" w:rsidRDefault="008E765F" w:rsidP="00D33EC5">
            <w:pPr>
              <w:pStyle w:val="RCTstable"/>
              <w:keepNext/>
            </w:pPr>
            <w:r w:rsidRPr="00822EBF">
              <w:t xml:space="preserve">Allocation concealment </w:t>
            </w:r>
          </w:p>
        </w:tc>
        <w:tc>
          <w:tcPr>
            <w:tcW w:w="1275" w:type="dxa"/>
            <w:shd w:val="clear" w:color="D9E2F3" w:themeColor="accent1" w:themeTint="33" w:fill="70AD47" w:themeFill="accent6"/>
          </w:tcPr>
          <w:p w14:paraId="5F45F026" w14:textId="77777777" w:rsidR="008E765F" w:rsidRPr="00822EBF" w:rsidRDefault="008E765F" w:rsidP="00D33EC5">
            <w:pPr>
              <w:pStyle w:val="RCTstable"/>
              <w:keepNext/>
            </w:pPr>
            <w:r w:rsidRPr="00822EBF">
              <w:t>Low risk</w:t>
            </w:r>
          </w:p>
        </w:tc>
        <w:tc>
          <w:tcPr>
            <w:tcW w:w="11199" w:type="dxa"/>
            <w:shd w:val="clear" w:color="D9E2F3" w:themeColor="accent1" w:themeTint="33" w:fill="auto"/>
          </w:tcPr>
          <w:p w14:paraId="191ACA42" w14:textId="77777777" w:rsidR="008E765F" w:rsidRPr="00822EBF" w:rsidRDefault="008E765F" w:rsidP="00D33EC5">
            <w:pPr>
              <w:pStyle w:val="RCTstable"/>
              <w:keepNext/>
            </w:pPr>
            <w:r>
              <w:t>“</w:t>
            </w:r>
            <w:r w:rsidRPr="00822EBF">
              <w:t>Allocation was concealed in opaque envelopes prepared by the study statistician</w:t>
            </w:r>
            <w:r>
              <w:t>.”</w:t>
            </w:r>
          </w:p>
        </w:tc>
      </w:tr>
      <w:tr w:rsidR="008E765F" w:rsidRPr="00822EBF" w14:paraId="51F3DB04" w14:textId="77777777" w:rsidTr="005A5EBF">
        <w:trPr>
          <w:cantSplit/>
        </w:trPr>
        <w:tc>
          <w:tcPr>
            <w:tcW w:w="1560" w:type="dxa"/>
            <w:shd w:val="clear" w:color="D9E2F3" w:themeColor="accent1" w:themeTint="33" w:fill="auto"/>
          </w:tcPr>
          <w:p w14:paraId="01185B1C"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1E6BE55D"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2C4AF05D" w14:textId="77777777" w:rsidR="008E765F" w:rsidRPr="00822EBF" w:rsidRDefault="008E765F" w:rsidP="00611251">
            <w:pPr>
              <w:pStyle w:val="RCTstable"/>
            </w:pPr>
            <w:r>
              <w:t>“</w:t>
            </w:r>
            <w:r w:rsidRPr="00822EBF">
              <w:t>Clinic staff and physicians were blinded to subject randomis</w:t>
            </w:r>
            <w:r>
              <w:t>ation to prevent contamination.”</w:t>
            </w:r>
            <w:r w:rsidRPr="00822EBF">
              <w:t xml:space="preserve"> However, blinding of women and trial personnel not considered feasible in view of the intervention and control</w:t>
            </w:r>
          </w:p>
        </w:tc>
      </w:tr>
      <w:tr w:rsidR="008E765F" w:rsidRPr="00822EBF" w14:paraId="6B279B24" w14:textId="77777777" w:rsidTr="005A5EBF">
        <w:trPr>
          <w:cantSplit/>
        </w:trPr>
        <w:tc>
          <w:tcPr>
            <w:tcW w:w="1560" w:type="dxa"/>
            <w:shd w:val="clear" w:color="D9E2F3" w:themeColor="accent1" w:themeTint="33" w:fill="auto"/>
          </w:tcPr>
          <w:p w14:paraId="132605A1"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34B2B320"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68EB0F6" w14:textId="77777777" w:rsidR="008E765F" w:rsidRPr="001B0731" w:rsidRDefault="008E765F" w:rsidP="00611251">
            <w:pPr>
              <w:pStyle w:val="RCTstable"/>
            </w:pPr>
            <w:r>
              <w:t>“</w:t>
            </w:r>
            <w:r w:rsidRPr="001B0731">
              <w:t>The clinic staff and physicians at these offices were blind to</w:t>
            </w:r>
            <w:r>
              <w:t xml:space="preserve"> subject randomis</w:t>
            </w:r>
            <w:r w:rsidRPr="001B0731">
              <w:t>ation to prevent contamination of the data.</w:t>
            </w:r>
            <w:r>
              <w:t>”</w:t>
            </w:r>
          </w:p>
        </w:tc>
      </w:tr>
      <w:tr w:rsidR="008E765F" w:rsidRPr="00822EBF" w14:paraId="4C391B73" w14:textId="77777777" w:rsidTr="005A5EBF">
        <w:trPr>
          <w:cantSplit/>
        </w:trPr>
        <w:tc>
          <w:tcPr>
            <w:tcW w:w="1560" w:type="dxa"/>
            <w:shd w:val="clear" w:color="D9E2F3" w:themeColor="accent1" w:themeTint="33" w:fill="auto"/>
          </w:tcPr>
          <w:p w14:paraId="6977A2BF"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2DAB5E2B"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24856DD" w14:textId="77777777" w:rsidR="008E765F" w:rsidRPr="00822EBF" w:rsidRDefault="008E765F" w:rsidP="00611251">
            <w:pPr>
              <w:pStyle w:val="RCTstable"/>
            </w:pPr>
            <w:r>
              <w:t>Balanced attrition with reasons given.</w:t>
            </w:r>
            <w:r w:rsidRPr="00822EBF">
              <w:t xml:space="preserve"> ITT analysis was performed assuming that those lost to follow-up were treatment failures. It was reported that this revealed almost identical results as for those completing the study (data not shown)</w:t>
            </w:r>
            <w:r>
              <w:t>.</w:t>
            </w:r>
          </w:p>
        </w:tc>
      </w:tr>
      <w:tr w:rsidR="008E765F" w:rsidRPr="00822EBF" w14:paraId="7C24DF75" w14:textId="77777777" w:rsidTr="005A5EBF">
        <w:trPr>
          <w:cantSplit/>
        </w:trPr>
        <w:tc>
          <w:tcPr>
            <w:tcW w:w="1560" w:type="dxa"/>
            <w:shd w:val="clear" w:color="D9E2F3" w:themeColor="accent1" w:themeTint="33" w:fill="auto"/>
          </w:tcPr>
          <w:p w14:paraId="45DEE956"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13AA6AED"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BD4C20B" w14:textId="77777777" w:rsidR="008E765F" w:rsidRPr="00822EBF" w:rsidRDefault="008E765F" w:rsidP="00611251">
            <w:pPr>
              <w:pStyle w:val="RCTstable"/>
            </w:pPr>
            <w:r w:rsidRPr="00822EBF">
              <w:t>Assessment from published study report.</w:t>
            </w:r>
          </w:p>
        </w:tc>
      </w:tr>
      <w:tr w:rsidR="008E765F" w:rsidRPr="00822EBF" w14:paraId="502E124E" w14:textId="77777777" w:rsidTr="005A5EBF">
        <w:trPr>
          <w:cantSplit/>
        </w:trPr>
        <w:tc>
          <w:tcPr>
            <w:tcW w:w="1560" w:type="dxa"/>
            <w:shd w:val="clear" w:color="D9E2F3" w:themeColor="accent1" w:themeTint="33" w:fill="auto"/>
          </w:tcPr>
          <w:p w14:paraId="2D9D85F0"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0F281A89"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108EC527" w14:textId="77777777" w:rsidR="008E765F" w:rsidRPr="00822EBF" w:rsidRDefault="008E765F" w:rsidP="00611251">
            <w:pPr>
              <w:pStyle w:val="RCTstable"/>
            </w:pPr>
            <w:r>
              <w:t>The two</w:t>
            </w:r>
            <w:r w:rsidRPr="00822EBF">
              <w:t xml:space="preserve"> study groups did not significantly differ on key baseline measures (sample stratified)</w:t>
            </w:r>
            <w:r>
              <w:t>.</w:t>
            </w:r>
          </w:p>
        </w:tc>
      </w:tr>
      <w:tr w:rsidR="00D33EC5" w:rsidRPr="0033376A" w14:paraId="1ED66C16" w14:textId="77777777" w:rsidTr="005A5EBF">
        <w:trPr>
          <w:cantSplit/>
        </w:trPr>
        <w:tc>
          <w:tcPr>
            <w:tcW w:w="14034" w:type="dxa"/>
            <w:gridSpan w:val="3"/>
            <w:shd w:val="solid" w:color="D9E2F3" w:themeColor="accent1" w:themeTint="33" w:fill="auto"/>
          </w:tcPr>
          <w:p w14:paraId="79892ED4" w14:textId="69C046C7" w:rsidR="00D33EC5" w:rsidRPr="0033376A" w:rsidRDefault="00D33EC5" w:rsidP="002747EA">
            <w:pPr>
              <w:pStyle w:val="RCTstable"/>
              <w:keepNext/>
              <w:rPr>
                <w:b/>
              </w:rPr>
            </w:pPr>
            <w:r w:rsidRPr="0025597C">
              <w:rPr>
                <w:rFonts w:ascii="Century Gothic" w:hAnsi="Century Gothic"/>
                <w:b/>
                <w:noProof/>
              </w:rPr>
              <w:t>Phelan et al 201</w:t>
            </w:r>
            <w:r w:rsidR="000B4DE7">
              <w:rPr>
                <w:rFonts w:ascii="Century Gothic" w:hAnsi="Century Gothic"/>
                <w:b/>
                <w:noProof/>
              </w:rPr>
              <w:t>8</w:t>
            </w:r>
            <w:r w:rsidR="00E37D04">
              <w:rPr>
                <w:rFonts w:ascii="Century Gothic" w:hAnsi="Century Gothic"/>
                <w:noProof/>
              </w:rPr>
              <w:fldChar w:fldCharType="begin">
                <w:fldData xml:space="preserve">PEVuZE5vdGU+PENpdGU+PEF1dGhvcj5QaGVsYW48L0F1dGhvcj48WWVhcj4yMDE4PC9ZZWFyPjxS
ZWNOdW0+MTM4NjwvUmVjTnVtPjxEaXNwbGF5VGV4dD48c3R5bGUgZmFjZT0ic3VwZXJzY3JpcHQi
IGZvbnQ9IlRyZWJ1Y2hldCBNUyIgc2l6ZT0iOSI+NTA4PC9zdHlsZT48L0Rpc3BsYXlUZXh0Pjxy
ZWNvcmQ+PHJlYy1udW1iZXI+MTM4NjwvcmVjLW51bWJlcj48Zm9yZWlnbi1rZXlzPjxrZXkgYXBw
PSJFTiIgZGItaWQ9ImV4dmFzcmZ4MmR0cmFvZXNhc3hwMnN6c3hhMmRmNTAyNTkyeCIgdGltZXN0
YW1wPSIxNTY3MzgyNDg1Ij4xMzg2PC9rZXk+PC9mb3JlaWduLWtleXM+PHJlZi10eXBlIG5hbWU9
IkpvdXJuYWwgQXJ0aWNsZSI+MTc8L3JlZi10eXBlPjxjb250cmlidXRvcnM+PGF1dGhvcnM+PGF1
dGhvcj5QaGVsYW4sIFMuPC9hdXRob3I+PGF1dGhvcj5XaW5nLCBSLiBSLjwvYXV0aG9yPjxhdXRo
b3I+QnJhbm5lbiwgQS48L2F1dGhvcj48YXV0aG9yPk1jSHVnaCwgQS48L2F1dGhvcj48YXV0aG9y
PkhhZ29iaWFuLCBULiBBLjwvYXV0aG9yPjxhdXRob3I+U2NoYWZmbmVyLCBBLjwvYXV0aG9yPjxh
dXRob3I+SmVsYWxpYW4sIEUuPC9hdXRob3I+PGF1dGhvcj5IYXJ0LCBDLiBOLjwvYXV0aG9yPjxh
dXRob3I+U2Nob2xsLCBULiBPLjwvYXV0aG9yPjxhdXRob3I+TXVub3otQ2hyaXN0aWFuLCBLLjwv
YXV0aG9yPjxhdXRob3I+WWluLCBFLjwvYXV0aG9yPjxhdXRob3I+UGhpcHBzLCBNLiBHLjwvYXV0
aG9yPjxhdXRob3I+S2VhZGxlLCBTLjwvYXV0aG9yPjxhdXRob3I+QWJyYW1zLCBCLjwvYXV0aG9y
PjwvYXV0aG9ycz48L2NvbnRyaWJ1dG9ycz48YXV0aC1hZGRyZXNzPkRlcGFydG1lbnRzIG9mIEtp
bmVzaW9sb2d5LCBTdGF0aXN0aWNzLCBhbmQgTW9kZXJuIExhbmd1YWdlcywgQ2FsaWZvcm5pYSBQ
b2x5dGVjaG5pYyBTdGF0ZSBVbml2ZXJzaXR5LCBTYW4gTHVpcyBPYmlzcG8sIENBLiYjeEQ7RGVw
YXJ0bWVudCBvZiBQc3ljaGlhdHJ5IGFuZCBIdW1hbiBCZWhhdmlvciwgV2FycmVuIEFscGVydCBN
ZWRpY2FsIFNjaG9vbCBhdCBCcm93biBVbml2ZXJzaXR5LCBQcm92aWRlbmNlLCBSSS4mI3hEO0Rl
cGFydG1lbnRzIG9mIFN0YXRpc3RpY3MsIGFuZCBNb2Rlcm4gTGFuZ3VhZ2VzLCBDYWxpZm9ybmlh
IFBvbHl0ZWNobmljIFN0YXRlIFVuaXZlcnNpdHksIFNhbiBMdWlzIE9iaXNwbywgQ0EuJiN4RDtE
ZXBhcnRtZW50IG9mIFNvY2lhbCBhbmQgQmVoYXZpb3JhbCBTY2llbmNlcywgVGVtcGxlIFVuaXZl
cnNpdHkgQ2VudGVyIGZvciBPYmVzaXR5IFJlc2VhcmNoIGFuZCBFZHVjYXRpb24sIFBoaWxhZGVs
cGhpYSwgUEEuJiN4RDtEZXBhcnRtZW50IG9mIE9ic3RldHJpY3MgYW5kIEd5bmVjb2xvZ3ksIFVu
aXZlcnNpdHkgb2YgTWVkaWNpbmUgYW5kIERlbnRpc3RyeSBvZiBOZXcgSmVyc2V5IChub3cgUm93
YW4pLCBHbGFzc2Jvcm8sIE5KLiYjeEQ7RGVwYXJ0bWVudHMgb2YgTW9kZXJuIExhbmd1YWdlcywg
Q2FsaWZvcm5pYSBQb2x5dGVjaG5pYyBTdGF0ZSBVbml2ZXJzaXR5LCBTYW4gTHVpcyBPYmlzcG8s
IENBLiYjeEQ7UGFjaWZpYyBDZW50cmFsIENvYXN0IEhlYWx0aCBDZW50ZXJzLCBTYW50YSBNYXJp
YSBXb21lbiZhcG9zO3MgSGVhbHRoLCBTYW50YSBNYXJpYSwgQ0EuJiN4RDtEZXBhcnRtZW50IG9m
IE9ic3RldHJpY3MgYW5kIEd5bmVjb2xvZ3ksIFdhcnJlbiBBbHBlcnQgTWVkaWNhbCBTY2hvb2wg
b2YgQnJvd24gVW5pdmVyc2l0eSBhbmQgV29tZW4gYW5kIEluZmFudHMgSG9zcGl0YWwsIFByb3Zp
ZGVuY2UsIFJJLiYjeEQ7RGl2aXNpb24gb2YgRXBpZGVtaW9sb2d5LCBVbml2ZXJzaXR5IG9mIENh
bGlmb3JuaWEgYXQgQmVya2VsZXkgU2Nob29sIG9mIFB1YmxpYyBIZWFsdGgsIEJlcmtlbGV5LCBD
QS48L2F1dGgtYWRkcmVzcz48dGl0bGVzPjx0aXRsZT5SYW5kb21pemVkIGNvbnRyb2xsZWQgY2xp
bmljYWwgdHJpYWwgb2YgYmVoYXZpb3JhbCBsaWZlc3R5bGUgaW50ZXJ2ZW50aW9uIHdpdGggcGFy
dGlhbCBtZWFsIHJlcGxhY2VtZW50IHRvIHJlZHVjZSBleGNlc3NpdmUgZ2VzdGF0aW9uYWwgd2Vp
Z2h0IGdhaW48L3RpdGxlPjxzZWNvbmRhcnktdGl0bGU+QW0gSiBDbGluIE51dHI8L3NlY29uZGFy
eS10aXRsZT48L3RpdGxlcz48cGVyaW9kaWNhbD48ZnVsbC10aXRsZT5BbSBKIENsaW4gTnV0cjwv
ZnVsbC10aXRsZT48L3BlcmlvZGljYWw+PHBhZ2VzPjE4My0xOTQ8L3BhZ2VzPjx2b2x1bWU+MTA3
PC92b2x1bWU+PG51bWJlcj4yPC9udW1iZXI+PGVkaXRpb24+MjAxOC8wMy8xMzwvZWRpdGlvbj48
a2V5d29yZHM+PGtleXdvcmQ+QWR1bHQ8L2tleXdvcmQ+PGtleXdvcmQ+Qm9keSBNYXNzIEluZGV4
PC9rZXl3b3JkPjxrZXl3b3JkPkNhbGlmb3JuaWE8L2tleXdvcmQ+PGtleXdvcmQ+RGlldDwva2V5
d29yZD48a2V5d29yZD5FdGhuaWMgR3JvdXBzPC9rZXl3b3JkPjxrZXl3b3JkPkV4ZXJjaXNlPC9r
ZXl3b3JkPjxrZXl3b3JkPkZlbWFsZTwva2V5d29yZD48a2V5d29yZD4qR2VzdGF0aW9uYWwgV2Vp
Z2h0IEdhaW48L2tleXdvcmQ+PGtleXdvcmQ+KkhlYWx0aCBCZWhhdmlvcjwva2V5d29yZD48a2V5
d29yZD5IdW1hbnM8L2tleXdvcmQ+PGtleXdvcmQ+SW5jaWRlbmNlPC9rZXl3b3JkPjxrZXl3b3Jk
PipMaWZlIFN0eWxlPC9rZXl3b3JkPjxrZXl3b3JkPk1lYWxzPC9rZXl3b3JkPjxrZXl3b3JkPk51
dHJpdGlvbiBBc3Nlc3NtZW50PC9rZXl3b3JkPjxrZXl3b3JkPk9iZXNpdHkvKnByZXZlbnRpb24g
JmFtcDsgY29udHJvbDwva2V5d29yZD48a2V5d29yZD5PdmVyd2VpZ2h0LypwcmV2ZW50aW9uICZh
bXA7IGNvbnRyb2w8L2tleXdvcmQ+PGtleXdvcmQ+UHJlZ25hbmN5PC9rZXl3b3JkPjxrZXl3b3Jk
PlByZWduYW5jeSBDb21wbGljYXRpb25zLypwcmV2ZW50aW9uICZhbXA7IGNvbnRyb2w8L2tleXdv
cmQ+PGtleXdvcmQ+UHJlZ25hbmN5IE91dGNvbWU8L2tleXdvcmQ+PGtleXdvcmQ+UmlzayBGYWN0
b3JzPC9rZXl3b3JkPjxrZXl3b3JkPllvdW5nIEFkdWx0PC9rZXl3b3JkPjwva2V5d29yZHM+PGRh
dGVzPjx5ZWFyPjIwMTg8L3llYXI+PHB1Yi1kYXRlcz48ZGF0ZT5GZWIgMTwvZGF0ZT48L3B1Yi1k
YXRlcz48L2RhdGVzPjxpc2JuPjE5MzgtMzIwNyAoRWxlY3Ryb25pYykmI3hEOzAwMDItOTE2NSAo
TGlua2luZyk8L2lzYm4+PGFjY2Vzc2lvbi1udW0+Mjk1MjkxNTc8L2FjY2Vzc2lvbi1udW0+PHVy
bHM+PHJlbGF0ZWQtdXJscz48dXJsPmh0dHBzOi8vd3d3Lm5jYmkubmxtLm5paC5nb3YvcHVibWVk
LzI5NTI5MTU3PC91cmw+PC9yZWxhdGVkLXVybHM+PC91cmxzPjxjdXN0b20yPlBNQzY0NTUwMzA8
L2N1c3RvbTI+PGVsZWN0cm9uaWMtcmVzb3VyY2UtbnVtPjEwLjEwOTMvYWpjbi9ucXgwNDM8L2Vs
ZWN0cm9uaWMtcmVzb3VyY2UtbnVtPjwvcmVjb3JkPjwvQ2l0ZT48L0VuZE5vdGU+AG==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PEVuZE5vdGU+PENpdGU+PEF1dGhvcj5QaGVsYW48L0F1dGhvcj48WWVhcj4yMDE4PC9ZZWFyPjxS
ZWNOdW0+MTM4NjwvUmVjTnVtPjxEaXNwbGF5VGV4dD48c3R5bGUgZmFjZT0ic3VwZXJzY3JpcHQi
IGZvbnQ9IlRyZWJ1Y2hldCBNUyIgc2l6ZT0iOSI+NTA4PC9zdHlsZT48L0Rpc3BsYXlUZXh0Pjxy
ZWNvcmQ+PHJlYy1udW1iZXI+MTM4NjwvcmVjLW51bWJlcj48Zm9yZWlnbi1rZXlzPjxrZXkgYXBw
PSJFTiIgZGItaWQ9ImV4dmFzcmZ4MmR0cmFvZXNhc3hwMnN6c3hhMmRmNTAyNTkyeCIgdGltZXN0
YW1wPSIxNTY3MzgyNDg1Ij4xMzg2PC9rZXk+PC9mb3JlaWduLWtleXM+PHJlZi10eXBlIG5hbWU9
IkpvdXJuYWwgQXJ0aWNsZSI+MTc8L3JlZi10eXBlPjxjb250cmlidXRvcnM+PGF1dGhvcnM+PGF1
dGhvcj5QaGVsYW4sIFMuPC9hdXRob3I+PGF1dGhvcj5XaW5nLCBSLiBSLjwvYXV0aG9yPjxhdXRo
b3I+QnJhbm5lbiwgQS48L2F1dGhvcj48YXV0aG9yPk1jSHVnaCwgQS48L2F1dGhvcj48YXV0aG9y
PkhhZ29iaWFuLCBULiBBLjwvYXV0aG9yPjxhdXRob3I+U2NoYWZmbmVyLCBBLjwvYXV0aG9yPjxh
dXRob3I+SmVsYWxpYW4sIEUuPC9hdXRob3I+PGF1dGhvcj5IYXJ0LCBDLiBOLjwvYXV0aG9yPjxh
dXRob3I+U2Nob2xsLCBULiBPLjwvYXV0aG9yPjxhdXRob3I+TXVub3otQ2hyaXN0aWFuLCBLLjwv
YXV0aG9yPjxhdXRob3I+WWluLCBFLjwvYXV0aG9yPjxhdXRob3I+UGhpcHBzLCBNLiBHLjwvYXV0
aG9yPjxhdXRob3I+S2VhZGxlLCBTLjwvYXV0aG9yPjxhdXRob3I+QWJyYW1zLCBCLjwvYXV0aG9y
PjwvYXV0aG9ycz48L2NvbnRyaWJ1dG9ycz48YXV0aC1hZGRyZXNzPkRlcGFydG1lbnRzIG9mIEtp
bmVzaW9sb2d5LCBTdGF0aXN0aWNzLCBhbmQgTW9kZXJuIExhbmd1YWdlcywgQ2FsaWZvcm5pYSBQ
b2x5dGVjaG5pYyBTdGF0ZSBVbml2ZXJzaXR5LCBTYW4gTHVpcyBPYmlzcG8sIENBLiYjeEQ7RGVw
YXJ0bWVudCBvZiBQc3ljaGlhdHJ5IGFuZCBIdW1hbiBCZWhhdmlvciwgV2FycmVuIEFscGVydCBN
ZWRpY2FsIFNjaG9vbCBhdCBCcm93biBVbml2ZXJzaXR5LCBQcm92aWRlbmNlLCBSSS4mI3hEO0Rl
cGFydG1lbnRzIG9mIFN0YXRpc3RpY3MsIGFuZCBNb2Rlcm4gTGFuZ3VhZ2VzLCBDYWxpZm9ybmlh
IFBvbHl0ZWNobmljIFN0YXRlIFVuaXZlcnNpdHksIFNhbiBMdWlzIE9iaXNwbywgQ0EuJiN4RDtE
ZXBhcnRtZW50IG9mIFNvY2lhbCBhbmQgQmVoYXZpb3JhbCBTY2llbmNlcywgVGVtcGxlIFVuaXZl
cnNpdHkgQ2VudGVyIGZvciBPYmVzaXR5IFJlc2VhcmNoIGFuZCBFZHVjYXRpb24sIFBoaWxhZGVs
cGhpYSwgUEEuJiN4RDtEZXBhcnRtZW50IG9mIE9ic3RldHJpY3MgYW5kIEd5bmVjb2xvZ3ksIFVu
aXZlcnNpdHkgb2YgTWVkaWNpbmUgYW5kIERlbnRpc3RyeSBvZiBOZXcgSmVyc2V5IChub3cgUm93
YW4pLCBHbGFzc2Jvcm8sIE5KLiYjeEQ7RGVwYXJ0bWVudHMgb2YgTW9kZXJuIExhbmd1YWdlcywg
Q2FsaWZvcm5pYSBQb2x5dGVjaG5pYyBTdGF0ZSBVbml2ZXJzaXR5LCBTYW4gTHVpcyBPYmlzcG8s
IENBLiYjeEQ7UGFjaWZpYyBDZW50cmFsIENvYXN0IEhlYWx0aCBDZW50ZXJzLCBTYW50YSBNYXJp
YSBXb21lbiZhcG9zO3MgSGVhbHRoLCBTYW50YSBNYXJpYSwgQ0EuJiN4RDtEZXBhcnRtZW50IG9m
IE9ic3RldHJpY3MgYW5kIEd5bmVjb2xvZ3ksIFdhcnJlbiBBbHBlcnQgTWVkaWNhbCBTY2hvb2wg
b2YgQnJvd24gVW5pdmVyc2l0eSBhbmQgV29tZW4gYW5kIEluZmFudHMgSG9zcGl0YWwsIFByb3Zp
ZGVuY2UsIFJJLiYjeEQ7RGl2aXNpb24gb2YgRXBpZGVtaW9sb2d5LCBVbml2ZXJzaXR5IG9mIENh
bGlmb3JuaWEgYXQgQmVya2VsZXkgU2Nob29sIG9mIFB1YmxpYyBIZWFsdGgsIEJlcmtlbGV5LCBD
QS48L2F1dGgtYWRkcmVzcz48dGl0bGVzPjx0aXRsZT5SYW5kb21pemVkIGNvbnRyb2xsZWQgY2xp
bmljYWwgdHJpYWwgb2YgYmVoYXZpb3JhbCBsaWZlc3R5bGUgaW50ZXJ2ZW50aW9uIHdpdGggcGFy
dGlhbCBtZWFsIHJlcGxhY2VtZW50IHRvIHJlZHVjZSBleGNlc3NpdmUgZ2VzdGF0aW9uYWwgd2Vp
Z2h0IGdhaW48L3RpdGxlPjxzZWNvbmRhcnktdGl0bGU+QW0gSiBDbGluIE51dHI8L3NlY29uZGFy
eS10aXRsZT48L3RpdGxlcz48cGVyaW9kaWNhbD48ZnVsbC10aXRsZT5BbSBKIENsaW4gTnV0cjwv
ZnVsbC10aXRsZT48L3BlcmlvZGljYWw+PHBhZ2VzPjE4My0xOTQ8L3BhZ2VzPjx2b2x1bWU+MTA3
PC92b2x1bWU+PG51bWJlcj4yPC9udW1iZXI+PGVkaXRpb24+MjAxOC8wMy8xMzwvZWRpdGlvbj48
a2V5d29yZHM+PGtleXdvcmQ+QWR1bHQ8L2tleXdvcmQ+PGtleXdvcmQ+Qm9keSBNYXNzIEluZGV4
PC9rZXl3b3JkPjxrZXl3b3JkPkNhbGlmb3JuaWE8L2tleXdvcmQ+PGtleXdvcmQ+RGlldDwva2V5
d29yZD48a2V5d29yZD5FdGhuaWMgR3JvdXBzPC9rZXl3b3JkPjxrZXl3b3JkPkV4ZXJjaXNlPC9r
ZXl3b3JkPjxrZXl3b3JkPkZlbWFsZTwva2V5d29yZD48a2V5d29yZD4qR2VzdGF0aW9uYWwgV2Vp
Z2h0IEdhaW48L2tleXdvcmQ+PGtleXdvcmQ+KkhlYWx0aCBCZWhhdmlvcjwva2V5d29yZD48a2V5
d29yZD5IdW1hbnM8L2tleXdvcmQ+PGtleXdvcmQ+SW5jaWRlbmNlPC9rZXl3b3JkPjxrZXl3b3Jk
PipMaWZlIFN0eWxlPC9rZXl3b3JkPjxrZXl3b3JkPk1lYWxzPC9rZXl3b3JkPjxrZXl3b3JkPk51
dHJpdGlvbiBBc3Nlc3NtZW50PC9rZXl3b3JkPjxrZXl3b3JkPk9iZXNpdHkvKnByZXZlbnRpb24g
JmFtcDsgY29udHJvbDwva2V5d29yZD48a2V5d29yZD5PdmVyd2VpZ2h0LypwcmV2ZW50aW9uICZh
bXA7IGNvbnRyb2w8L2tleXdvcmQ+PGtleXdvcmQ+UHJlZ25hbmN5PC9rZXl3b3JkPjxrZXl3b3Jk
PlByZWduYW5jeSBDb21wbGljYXRpb25zLypwcmV2ZW50aW9uICZhbXA7IGNvbnRyb2w8L2tleXdv
cmQ+PGtleXdvcmQ+UHJlZ25hbmN5IE91dGNvbWU8L2tleXdvcmQ+PGtleXdvcmQ+UmlzayBGYWN0
b3JzPC9rZXl3b3JkPjxrZXl3b3JkPllvdW5nIEFkdWx0PC9rZXl3b3JkPjwva2V5d29yZHM+PGRh
dGVzPjx5ZWFyPjIwMTg8L3llYXI+PHB1Yi1kYXRlcz48ZGF0ZT5GZWIgMTwvZGF0ZT48L3B1Yi1k
YXRlcz48L2RhdGVzPjxpc2JuPjE5MzgtMzIwNyAoRWxlY3Ryb25pYykmI3hEOzAwMDItOTE2NSAo
TGlua2luZyk8L2lzYm4+PGFjY2Vzc2lvbi1udW0+Mjk1MjkxNTc8L2FjY2Vzc2lvbi1udW0+PHVy
bHM+PHJlbGF0ZWQtdXJscz48dXJsPmh0dHBzOi8vd3d3Lm5jYmkubmxtLm5paC5nb3YvcHVibWVk
LzI5NTI5MTU3PC91cmw+PC9yZWxhdGVkLXVybHM+PC91cmxzPjxjdXN0b20yPlBNQzY0NTUwMzA8
L2N1c3RvbTI+PGVsZWN0cm9uaWMtcmVzb3VyY2UtbnVtPjEwLjEwOTMvYWpjbi9ucXgwNDM8L2Vs
ZWN0cm9uaWMtcmVzb3VyY2UtbnVtPjwvcmVjb3JkPjwvQ2l0ZT48L0VuZE5vdGU+AG==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00E37D04">
              <w:rPr>
                <w:rFonts w:ascii="Century Gothic" w:hAnsi="Century Gothic"/>
                <w:noProof/>
              </w:rPr>
            </w:r>
            <w:r w:rsidR="00E37D04">
              <w:rPr>
                <w:rFonts w:ascii="Century Gothic" w:hAnsi="Century Gothic"/>
                <w:noProof/>
              </w:rPr>
              <w:fldChar w:fldCharType="separate"/>
            </w:r>
            <w:r w:rsidR="002747EA" w:rsidRPr="002747EA">
              <w:rPr>
                <w:noProof/>
                <w:sz w:val="18"/>
                <w:vertAlign w:val="superscript"/>
              </w:rPr>
              <w:t>508</w:t>
            </w:r>
            <w:r w:rsidR="00E37D04">
              <w:rPr>
                <w:rFonts w:ascii="Century Gothic" w:hAnsi="Century Gothic"/>
                <w:noProof/>
              </w:rPr>
              <w:fldChar w:fldCharType="end"/>
            </w:r>
          </w:p>
        </w:tc>
      </w:tr>
      <w:tr w:rsidR="00D33EC5" w:rsidRPr="00822EBF" w14:paraId="2464CF16" w14:textId="77777777" w:rsidTr="005A5EBF">
        <w:trPr>
          <w:cantSplit/>
        </w:trPr>
        <w:tc>
          <w:tcPr>
            <w:tcW w:w="1560" w:type="dxa"/>
            <w:shd w:val="clear" w:color="D9E2F3" w:themeColor="accent1" w:themeTint="33" w:fill="auto"/>
          </w:tcPr>
          <w:p w14:paraId="22FD3F37" w14:textId="77777777" w:rsidR="00D33EC5" w:rsidRPr="00822EBF" w:rsidRDefault="00D33EC5" w:rsidP="00E37D04">
            <w:pPr>
              <w:pStyle w:val="RCTstable"/>
              <w:keepNext/>
            </w:pPr>
            <w:r w:rsidRPr="00822EBF">
              <w:t>Random sequence generation</w:t>
            </w:r>
          </w:p>
        </w:tc>
        <w:tc>
          <w:tcPr>
            <w:tcW w:w="1275" w:type="dxa"/>
            <w:shd w:val="clear" w:color="D9E2F3" w:themeColor="accent1" w:themeTint="33" w:fill="70AD47" w:themeFill="accent6"/>
          </w:tcPr>
          <w:p w14:paraId="686EF5CC" w14:textId="77777777" w:rsidR="00D33EC5" w:rsidRPr="00822EBF" w:rsidRDefault="00D33EC5" w:rsidP="00E37D04">
            <w:pPr>
              <w:pStyle w:val="RCTstable"/>
              <w:keepNext/>
            </w:pPr>
            <w:r w:rsidRPr="00822EBF">
              <w:t>Low risk</w:t>
            </w:r>
          </w:p>
        </w:tc>
        <w:tc>
          <w:tcPr>
            <w:tcW w:w="11199" w:type="dxa"/>
            <w:shd w:val="clear" w:color="D9E2F3" w:themeColor="accent1" w:themeTint="33" w:fill="auto"/>
          </w:tcPr>
          <w:p w14:paraId="03D884A1" w14:textId="2A394AFB" w:rsidR="00D33EC5" w:rsidRPr="00822EBF" w:rsidRDefault="00D33EC5" w:rsidP="00047010">
            <w:pPr>
              <w:pStyle w:val="RCTstable"/>
            </w:pPr>
            <w:r>
              <w:t>“</w:t>
            </w:r>
            <w:r w:rsidR="00047010">
              <w:t>Randomis</w:t>
            </w:r>
            <w:r w:rsidR="00047010" w:rsidRPr="00047010">
              <w:t>ation was computer-generated by</w:t>
            </w:r>
            <w:r w:rsidR="00047010">
              <w:t xml:space="preserve"> </w:t>
            </w:r>
            <w:r w:rsidR="00047010" w:rsidRPr="00047010">
              <w:t>the study statistician, and women were randomly assigned within</w:t>
            </w:r>
            <w:r w:rsidR="00047010">
              <w:t xml:space="preserve"> </w:t>
            </w:r>
            <w:r w:rsidR="00047010" w:rsidRPr="00047010">
              <w:t>site and by ethnicity (Hispanic or non-Hispanic)</w:t>
            </w:r>
            <w:r>
              <w:t>.”</w:t>
            </w:r>
          </w:p>
        </w:tc>
      </w:tr>
      <w:tr w:rsidR="00D33EC5" w:rsidRPr="00822EBF" w14:paraId="7B1FDC67" w14:textId="77777777" w:rsidTr="005A5EBF">
        <w:trPr>
          <w:cantSplit/>
        </w:trPr>
        <w:tc>
          <w:tcPr>
            <w:tcW w:w="1560" w:type="dxa"/>
            <w:shd w:val="clear" w:color="D9E2F3" w:themeColor="accent1" w:themeTint="33" w:fill="auto"/>
          </w:tcPr>
          <w:p w14:paraId="4A69341E" w14:textId="77777777" w:rsidR="00D33EC5" w:rsidRPr="00822EBF" w:rsidRDefault="00D33EC5" w:rsidP="00E37D04">
            <w:pPr>
              <w:pStyle w:val="RCTstable"/>
              <w:keepNext/>
            </w:pPr>
            <w:r w:rsidRPr="00822EBF">
              <w:t xml:space="preserve">Allocation concealment </w:t>
            </w:r>
          </w:p>
        </w:tc>
        <w:tc>
          <w:tcPr>
            <w:tcW w:w="1275" w:type="dxa"/>
            <w:shd w:val="clear" w:color="D9E2F3" w:themeColor="accent1" w:themeTint="33" w:fill="FFC000" w:themeFill="accent4"/>
          </w:tcPr>
          <w:p w14:paraId="4101346C" w14:textId="20120ABA" w:rsidR="00D33EC5" w:rsidRPr="00822EBF" w:rsidRDefault="00047010" w:rsidP="00E37D04">
            <w:pPr>
              <w:pStyle w:val="RCTstable"/>
              <w:keepNext/>
            </w:pPr>
            <w:r>
              <w:t>Unclear</w:t>
            </w:r>
            <w:r w:rsidR="00D33EC5" w:rsidRPr="00822EBF">
              <w:t xml:space="preserve"> risk</w:t>
            </w:r>
          </w:p>
        </w:tc>
        <w:tc>
          <w:tcPr>
            <w:tcW w:w="11199" w:type="dxa"/>
            <w:shd w:val="clear" w:color="D9E2F3" w:themeColor="accent1" w:themeTint="33" w:fill="auto"/>
          </w:tcPr>
          <w:p w14:paraId="6644DEAF" w14:textId="78CA29BF" w:rsidR="00D33EC5" w:rsidRPr="00822EBF" w:rsidRDefault="00047010" w:rsidP="00E37D04">
            <w:pPr>
              <w:pStyle w:val="RCTstable"/>
              <w:keepNext/>
            </w:pPr>
            <w:r>
              <w:t>Not described</w:t>
            </w:r>
          </w:p>
        </w:tc>
      </w:tr>
      <w:tr w:rsidR="00D33EC5" w:rsidRPr="00822EBF" w14:paraId="40C39F73" w14:textId="77777777" w:rsidTr="005A5EBF">
        <w:trPr>
          <w:cantSplit/>
        </w:trPr>
        <w:tc>
          <w:tcPr>
            <w:tcW w:w="1560" w:type="dxa"/>
            <w:shd w:val="clear" w:color="D9E2F3" w:themeColor="accent1" w:themeTint="33" w:fill="auto"/>
          </w:tcPr>
          <w:p w14:paraId="10574CCA" w14:textId="77777777" w:rsidR="00D33EC5" w:rsidRPr="00822EBF" w:rsidRDefault="00D33EC5" w:rsidP="00E37D04">
            <w:pPr>
              <w:pStyle w:val="RCTstable"/>
            </w:pPr>
            <w:r w:rsidRPr="00822EBF">
              <w:t>Performance bias</w:t>
            </w:r>
          </w:p>
        </w:tc>
        <w:tc>
          <w:tcPr>
            <w:tcW w:w="1275" w:type="dxa"/>
            <w:shd w:val="clear" w:color="D9E2F3" w:themeColor="accent1" w:themeTint="33" w:fill="FF4D19"/>
          </w:tcPr>
          <w:p w14:paraId="00298E1F" w14:textId="77777777" w:rsidR="00D33EC5" w:rsidRPr="00822EBF" w:rsidRDefault="00D33EC5" w:rsidP="00E37D04">
            <w:pPr>
              <w:pStyle w:val="RCTstable"/>
            </w:pPr>
            <w:r w:rsidRPr="00822EBF">
              <w:t>High risk</w:t>
            </w:r>
          </w:p>
        </w:tc>
        <w:tc>
          <w:tcPr>
            <w:tcW w:w="11199" w:type="dxa"/>
            <w:shd w:val="clear" w:color="D9E2F3" w:themeColor="accent1" w:themeTint="33" w:fill="auto"/>
          </w:tcPr>
          <w:p w14:paraId="553DD93B" w14:textId="4B97394B" w:rsidR="00D33EC5" w:rsidRPr="00365D65" w:rsidRDefault="00D33EC5" w:rsidP="00365D65">
            <w:pPr>
              <w:pStyle w:val="RCTstable"/>
            </w:pPr>
            <w:r>
              <w:t>“</w:t>
            </w:r>
            <w:r w:rsidR="00365D65" w:rsidRPr="00365D65">
              <w:t>Participants were not blinded to treatment</w:t>
            </w:r>
            <w:r w:rsidR="00365D65">
              <w:t xml:space="preserve"> </w:t>
            </w:r>
            <w:r w:rsidR="00365D65" w:rsidRPr="00365D65">
              <w:t>assignment, which could have biased responses to meal replacement</w:t>
            </w:r>
            <w:r w:rsidR="00365D65">
              <w:t xml:space="preserve"> </w:t>
            </w:r>
            <w:r w:rsidR="00365D65" w:rsidRPr="00365D65">
              <w:t>intake and other self-reported measures</w:t>
            </w:r>
            <w:r w:rsidR="00365D65">
              <w:t>.”</w:t>
            </w:r>
          </w:p>
        </w:tc>
      </w:tr>
      <w:tr w:rsidR="00D33EC5" w:rsidRPr="00822EBF" w14:paraId="5311EAC2" w14:textId="77777777" w:rsidTr="005A5EBF">
        <w:trPr>
          <w:cantSplit/>
        </w:trPr>
        <w:tc>
          <w:tcPr>
            <w:tcW w:w="1560" w:type="dxa"/>
            <w:shd w:val="clear" w:color="D9E2F3" w:themeColor="accent1" w:themeTint="33" w:fill="auto"/>
          </w:tcPr>
          <w:p w14:paraId="2BC8E009" w14:textId="77777777" w:rsidR="00D33EC5" w:rsidRPr="00822EBF" w:rsidRDefault="00D33EC5" w:rsidP="00E37D04">
            <w:pPr>
              <w:pStyle w:val="RCTstable"/>
            </w:pPr>
            <w:r w:rsidRPr="00822EBF">
              <w:t>Detection bias</w:t>
            </w:r>
          </w:p>
        </w:tc>
        <w:tc>
          <w:tcPr>
            <w:tcW w:w="1275" w:type="dxa"/>
            <w:shd w:val="clear" w:color="D9E2F3" w:themeColor="accent1" w:themeTint="33" w:fill="FFC000" w:themeFill="accent4"/>
          </w:tcPr>
          <w:p w14:paraId="54478A44" w14:textId="23EA5B5E" w:rsidR="00D33EC5" w:rsidRPr="00822EBF" w:rsidRDefault="0094354C" w:rsidP="00E37D04">
            <w:pPr>
              <w:pStyle w:val="RCTstable"/>
            </w:pPr>
            <w:r>
              <w:t>Unclear</w:t>
            </w:r>
            <w:r w:rsidR="00D33EC5" w:rsidRPr="00822EBF">
              <w:t xml:space="preserve"> risk</w:t>
            </w:r>
          </w:p>
        </w:tc>
        <w:tc>
          <w:tcPr>
            <w:tcW w:w="11199" w:type="dxa"/>
            <w:shd w:val="clear" w:color="D9E2F3" w:themeColor="accent1" w:themeTint="33" w:fill="auto"/>
          </w:tcPr>
          <w:p w14:paraId="57903A1A" w14:textId="0D0E2AF8" w:rsidR="00D33EC5" w:rsidRPr="001B0731" w:rsidRDefault="0094354C" w:rsidP="00E37D04">
            <w:pPr>
              <w:pStyle w:val="RCTstable"/>
            </w:pPr>
            <w:r>
              <w:t>Study is described as blinded but process not described.</w:t>
            </w:r>
          </w:p>
        </w:tc>
      </w:tr>
      <w:tr w:rsidR="00D33EC5" w:rsidRPr="00822EBF" w14:paraId="105573A1" w14:textId="77777777" w:rsidTr="005A5EBF">
        <w:trPr>
          <w:cantSplit/>
        </w:trPr>
        <w:tc>
          <w:tcPr>
            <w:tcW w:w="1560" w:type="dxa"/>
            <w:shd w:val="clear" w:color="D9E2F3" w:themeColor="accent1" w:themeTint="33" w:fill="auto"/>
          </w:tcPr>
          <w:p w14:paraId="71680338" w14:textId="77777777" w:rsidR="00D33EC5" w:rsidRPr="00822EBF" w:rsidRDefault="00D33EC5" w:rsidP="00E37D04">
            <w:pPr>
              <w:pStyle w:val="RCTstable"/>
            </w:pPr>
            <w:r w:rsidRPr="00822EBF">
              <w:t>Incomplete outcome data</w:t>
            </w:r>
          </w:p>
        </w:tc>
        <w:tc>
          <w:tcPr>
            <w:tcW w:w="1275" w:type="dxa"/>
            <w:shd w:val="clear" w:color="D9E2F3" w:themeColor="accent1" w:themeTint="33" w:fill="70AD47" w:themeFill="accent6"/>
          </w:tcPr>
          <w:p w14:paraId="3E506704" w14:textId="77777777" w:rsidR="00D33EC5" w:rsidRPr="00822EBF" w:rsidRDefault="00D33EC5" w:rsidP="00E37D04">
            <w:pPr>
              <w:pStyle w:val="RCTstable"/>
            </w:pPr>
            <w:r w:rsidRPr="00822EBF">
              <w:t>Low risk</w:t>
            </w:r>
          </w:p>
        </w:tc>
        <w:tc>
          <w:tcPr>
            <w:tcW w:w="11199" w:type="dxa"/>
            <w:shd w:val="clear" w:color="D9E2F3" w:themeColor="accent1" w:themeTint="33" w:fill="auto"/>
          </w:tcPr>
          <w:p w14:paraId="2D8CDF0B" w14:textId="4ED111B7" w:rsidR="00D33EC5" w:rsidRPr="00634E39" w:rsidRDefault="00634E39" w:rsidP="00634E39">
            <w:pPr>
              <w:pStyle w:val="RCTstable"/>
            </w:pPr>
            <w:r>
              <w:t xml:space="preserve">After randomisation, 4 </w:t>
            </w:r>
            <w:r w:rsidRPr="00634E39">
              <w:t>usual-care and 3 intervention participants withdrew participation and</w:t>
            </w:r>
            <w:r>
              <w:t xml:space="preserve"> </w:t>
            </w:r>
            <w:r w:rsidRPr="00634E39">
              <w:t>1 participant was lost to follow-up, leaving an analytic sample of 256.</w:t>
            </w:r>
          </w:p>
        </w:tc>
      </w:tr>
      <w:tr w:rsidR="00D33EC5" w:rsidRPr="00822EBF" w14:paraId="71FD7180" w14:textId="77777777" w:rsidTr="005A5EBF">
        <w:trPr>
          <w:cantSplit/>
        </w:trPr>
        <w:tc>
          <w:tcPr>
            <w:tcW w:w="1560" w:type="dxa"/>
            <w:shd w:val="clear" w:color="D9E2F3" w:themeColor="accent1" w:themeTint="33" w:fill="auto"/>
          </w:tcPr>
          <w:p w14:paraId="394197AB" w14:textId="77777777" w:rsidR="00D33EC5" w:rsidRPr="00822EBF" w:rsidRDefault="00D33EC5" w:rsidP="00E37D04">
            <w:pPr>
              <w:pStyle w:val="RCTstable"/>
            </w:pPr>
            <w:r w:rsidRPr="00822EBF">
              <w:t>Selective reporting</w:t>
            </w:r>
          </w:p>
        </w:tc>
        <w:tc>
          <w:tcPr>
            <w:tcW w:w="1275" w:type="dxa"/>
            <w:shd w:val="clear" w:color="D9E2F3" w:themeColor="accent1" w:themeTint="33" w:fill="70AD47" w:themeFill="accent6"/>
          </w:tcPr>
          <w:p w14:paraId="24644D18" w14:textId="1D0833BD" w:rsidR="00D33EC5" w:rsidRPr="00822EBF" w:rsidRDefault="00634E39" w:rsidP="00E37D04">
            <w:pPr>
              <w:pStyle w:val="RCTstable"/>
            </w:pPr>
            <w:r>
              <w:t>Low</w:t>
            </w:r>
            <w:r w:rsidR="00D33EC5" w:rsidRPr="00822EBF">
              <w:t xml:space="preserve"> risk</w:t>
            </w:r>
          </w:p>
        </w:tc>
        <w:tc>
          <w:tcPr>
            <w:tcW w:w="11199" w:type="dxa"/>
            <w:shd w:val="clear" w:color="D9E2F3" w:themeColor="accent1" w:themeTint="33" w:fill="auto"/>
          </w:tcPr>
          <w:p w14:paraId="36EE609E" w14:textId="45A16B74" w:rsidR="00D33EC5" w:rsidRPr="00822EBF" w:rsidRDefault="00634E39" w:rsidP="00E37D04">
            <w:pPr>
              <w:pStyle w:val="RCTstable"/>
            </w:pPr>
            <w:r>
              <w:t>Pre-specified outcomes reported.</w:t>
            </w:r>
          </w:p>
        </w:tc>
      </w:tr>
      <w:tr w:rsidR="00D33EC5" w:rsidRPr="00822EBF" w14:paraId="5D38CDF1" w14:textId="77777777" w:rsidTr="005A5EBF">
        <w:trPr>
          <w:cantSplit/>
        </w:trPr>
        <w:tc>
          <w:tcPr>
            <w:tcW w:w="1560" w:type="dxa"/>
            <w:shd w:val="clear" w:color="D9E2F3" w:themeColor="accent1" w:themeTint="33" w:fill="auto"/>
          </w:tcPr>
          <w:p w14:paraId="22F82F1E" w14:textId="77777777" w:rsidR="00D33EC5" w:rsidRPr="00822EBF" w:rsidRDefault="00D33EC5" w:rsidP="00E37D04">
            <w:pPr>
              <w:pStyle w:val="RCTstable"/>
            </w:pPr>
            <w:r w:rsidRPr="00822EBF">
              <w:t xml:space="preserve">Other limitations </w:t>
            </w:r>
          </w:p>
        </w:tc>
        <w:tc>
          <w:tcPr>
            <w:tcW w:w="1275" w:type="dxa"/>
            <w:shd w:val="clear" w:color="D9E2F3" w:themeColor="accent1" w:themeTint="33" w:fill="70AD47" w:themeFill="accent6"/>
          </w:tcPr>
          <w:p w14:paraId="26344FDE" w14:textId="77777777" w:rsidR="00D33EC5" w:rsidRPr="00822EBF" w:rsidRDefault="00D33EC5" w:rsidP="00E37D04">
            <w:pPr>
              <w:pStyle w:val="RCTstable"/>
            </w:pPr>
            <w:r w:rsidRPr="00822EBF">
              <w:t>Low risk</w:t>
            </w:r>
          </w:p>
        </w:tc>
        <w:tc>
          <w:tcPr>
            <w:tcW w:w="11199" w:type="dxa"/>
            <w:shd w:val="clear" w:color="D9E2F3" w:themeColor="accent1" w:themeTint="33" w:fill="auto"/>
          </w:tcPr>
          <w:p w14:paraId="3FE8B371" w14:textId="704B5D65" w:rsidR="00D33EC5" w:rsidRPr="00822EBF" w:rsidRDefault="00D33EC5" w:rsidP="0094354C">
            <w:pPr>
              <w:pStyle w:val="RCTstable"/>
            </w:pPr>
            <w:r>
              <w:t>The two</w:t>
            </w:r>
            <w:r w:rsidRPr="00822EBF">
              <w:t xml:space="preserve"> study groups did not significantly differ on key baseline measures</w:t>
            </w:r>
            <w:r>
              <w:t>.</w:t>
            </w:r>
          </w:p>
        </w:tc>
      </w:tr>
      <w:tr w:rsidR="008E765F" w:rsidRPr="00AB617D" w14:paraId="7B54C683" w14:textId="77777777" w:rsidTr="005A5EBF">
        <w:trPr>
          <w:cantSplit/>
        </w:trPr>
        <w:tc>
          <w:tcPr>
            <w:tcW w:w="14034" w:type="dxa"/>
            <w:gridSpan w:val="3"/>
            <w:shd w:val="solid" w:color="D9E2F3" w:themeColor="accent1" w:themeTint="33" w:fill="auto"/>
          </w:tcPr>
          <w:p w14:paraId="12810977" w14:textId="11D4F065" w:rsidR="008E765F" w:rsidRPr="00AB617D" w:rsidRDefault="008E765F" w:rsidP="002747EA">
            <w:pPr>
              <w:pStyle w:val="RCTstable"/>
              <w:keepNext/>
              <w:rPr>
                <w:b/>
              </w:rPr>
            </w:pPr>
            <w:r w:rsidRPr="0025597C">
              <w:rPr>
                <w:rFonts w:ascii="Century Gothic" w:hAnsi="Century Gothic"/>
                <w:b/>
                <w:noProof/>
              </w:rPr>
              <w:t>Polley et al 2002</w:t>
            </w:r>
            <w:r>
              <w:fldChar w:fldCharType="begin"/>
            </w:r>
            <w:r w:rsidR="002747EA">
              <w:instrText xml:space="preserve"> ADDIN EN.CITE &lt;EndNote&gt;&lt;Cite&gt;&lt;Author&gt;Polley&lt;/Author&gt;&lt;Year&gt;2002&lt;/Year&gt;&lt;RecNum&gt;706&lt;/RecNum&gt;&lt;DisplayText&gt;&lt;style face="superscript" font="Trebuchet MS" size="9"&gt;495&lt;/style&gt;&lt;/DisplayText&gt;&lt;record&gt;&lt;rec-number&gt;706&lt;/rec-number&gt;&lt;foreign-keys&gt;&lt;key app="EN" db-id="exvasrfx2dtraoesasxp2szsxa2df502592x" timestamp="1540530674"&gt;706&lt;/key&gt;&lt;/foreign-keys&gt;&lt;ref-type name="Journal Article"&gt;17&lt;/ref-type&gt;&lt;contributors&gt;&lt;authors&gt;&lt;author&gt;Polley, B. A.&lt;/author&gt;&lt;author&gt;Wing, R. R.&lt;/author&gt;&lt;author&gt;Sims, C. J.&lt;/author&gt;&lt;/authors&gt;&lt;/contributors&gt;&lt;auth-address&gt;University of Pittsburgh, Pittsburgh, Pennsylvania, USA.&lt;/auth-address&gt;&lt;titles&gt;&lt;title&gt;Randomized controlled trial to prevent excessive weight gain in pregnant women&lt;/title&gt;&lt;secondary-title&gt;Int J Obes Relat Metab Disord&lt;/secondary-title&gt;&lt;/titles&gt;&lt;periodical&gt;&lt;full-title&gt;Int J Obes Relat Metab Disord&lt;/full-title&gt;&lt;/periodical&gt;&lt;pages&gt;1494-502&lt;/pages&gt;&lt;volume&gt;26&lt;/volume&gt;&lt;number&gt;11&lt;/number&gt;&lt;edition&gt;2002/11/20&lt;/edition&gt;&lt;keywords&gt;&lt;keyword&gt;Adult&lt;/keyword&gt;&lt;keyword&gt;Exercise Therapy/*methods&lt;/keyword&gt;&lt;keyword&gt;Female&lt;/keyword&gt;&lt;keyword&gt;Health Behavior&lt;/keyword&gt;&lt;keyword&gt;Humans&lt;/keyword&gt;&lt;keyword&gt;Obesity/*prevention &amp;amp; control&lt;/keyword&gt;&lt;keyword&gt;Postnatal Care/methods&lt;/keyword&gt;&lt;keyword&gt;Pregnancy&lt;/keyword&gt;&lt;keyword&gt;Pregnancy Complications/*prevention &amp;amp; control&lt;/keyword&gt;&lt;keyword&gt;Pregnancy Outcome&lt;/keyword&gt;&lt;keyword&gt;Prenatal Care/methods&lt;/keyword&gt;&lt;keyword&gt;Weight Gain&lt;/keyword&gt;&lt;/keywords&gt;&lt;dates&gt;&lt;year&gt;2002&lt;/year&gt;&lt;pub-dates&gt;&lt;date&gt;Nov&lt;/date&gt;&lt;/pub-dates&gt;&lt;/dates&gt;&lt;accession-num&gt;12439652&lt;/accession-num&gt;&lt;urls&gt;&lt;related-urls&gt;&lt;url&gt;https://www.ncbi.nlm.nih.gov/pubmed/12439652&lt;/url&gt;&lt;/related-urls&gt;&lt;/urls&gt;&lt;electronic-resource-num&gt;10.1038/sj.ijo.0802130&lt;/electronic-resource-num&gt;&lt;/record&gt;&lt;/Cite&gt;&lt;/EndNote&gt;</w:instrText>
            </w:r>
            <w:r>
              <w:fldChar w:fldCharType="separate"/>
            </w:r>
            <w:r w:rsidR="002747EA" w:rsidRPr="002747EA">
              <w:rPr>
                <w:noProof/>
                <w:sz w:val="18"/>
                <w:vertAlign w:val="superscript"/>
              </w:rPr>
              <w:t>495</w:t>
            </w:r>
            <w:r>
              <w:fldChar w:fldCharType="end"/>
            </w:r>
          </w:p>
        </w:tc>
      </w:tr>
      <w:tr w:rsidR="008E765F" w:rsidRPr="00822EBF" w14:paraId="58B302C5" w14:textId="77777777" w:rsidTr="005A5EBF">
        <w:trPr>
          <w:cantSplit/>
        </w:trPr>
        <w:tc>
          <w:tcPr>
            <w:tcW w:w="1560" w:type="dxa"/>
            <w:shd w:val="clear" w:color="D9E2F3" w:themeColor="accent1" w:themeTint="33" w:fill="auto"/>
          </w:tcPr>
          <w:p w14:paraId="7E5076D6"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FFC000" w:themeFill="accent4"/>
          </w:tcPr>
          <w:p w14:paraId="6FEBFBA1" w14:textId="77777777" w:rsidR="008E765F" w:rsidRPr="00822EBF" w:rsidRDefault="008E765F" w:rsidP="00611251">
            <w:pPr>
              <w:pStyle w:val="RCTstable"/>
              <w:keepNext/>
            </w:pPr>
            <w:r w:rsidRPr="00822EBF">
              <w:t>Unclear risk</w:t>
            </w:r>
          </w:p>
        </w:tc>
        <w:tc>
          <w:tcPr>
            <w:tcW w:w="11199" w:type="dxa"/>
            <w:shd w:val="clear" w:color="D9E2F3" w:themeColor="accent1" w:themeTint="33" w:fill="auto"/>
          </w:tcPr>
          <w:p w14:paraId="4B21547C" w14:textId="77777777" w:rsidR="008E765F" w:rsidRPr="00822EBF" w:rsidRDefault="008E765F" w:rsidP="00611251">
            <w:pPr>
              <w:pStyle w:val="RCTstable"/>
              <w:keepNext/>
            </w:pPr>
            <w:r>
              <w:t>“</w:t>
            </w:r>
            <w:r w:rsidRPr="00822EBF">
              <w:t>Women were randomly assigned to the standard care control group or to the intervention</w:t>
            </w:r>
            <w:r>
              <w:t>.”</w:t>
            </w:r>
          </w:p>
        </w:tc>
      </w:tr>
      <w:tr w:rsidR="008E765F" w:rsidRPr="00822EBF" w14:paraId="1D384940" w14:textId="77777777" w:rsidTr="005A5EBF">
        <w:trPr>
          <w:cantSplit/>
        </w:trPr>
        <w:tc>
          <w:tcPr>
            <w:tcW w:w="1560" w:type="dxa"/>
            <w:shd w:val="clear" w:color="D9E2F3" w:themeColor="accent1" w:themeTint="33" w:fill="auto"/>
          </w:tcPr>
          <w:p w14:paraId="667E24B8" w14:textId="77777777" w:rsidR="008E765F" w:rsidRPr="00822EBF" w:rsidRDefault="008E765F" w:rsidP="00611251">
            <w:pPr>
              <w:pStyle w:val="RCTstable"/>
              <w:keepNext/>
            </w:pPr>
            <w:r w:rsidRPr="00822EBF">
              <w:t xml:space="preserve">Allocation concealment </w:t>
            </w:r>
          </w:p>
        </w:tc>
        <w:tc>
          <w:tcPr>
            <w:tcW w:w="1275" w:type="dxa"/>
            <w:shd w:val="clear" w:color="D9E2F3" w:themeColor="accent1" w:themeTint="33" w:fill="FFC000" w:themeFill="accent4"/>
          </w:tcPr>
          <w:p w14:paraId="105388EE" w14:textId="77777777" w:rsidR="008E765F" w:rsidRPr="00822EBF" w:rsidRDefault="008E765F" w:rsidP="00611251">
            <w:pPr>
              <w:pStyle w:val="RCTstable"/>
              <w:keepNext/>
            </w:pPr>
            <w:r w:rsidRPr="00822EBF">
              <w:t>Unclear risk</w:t>
            </w:r>
          </w:p>
        </w:tc>
        <w:tc>
          <w:tcPr>
            <w:tcW w:w="11199" w:type="dxa"/>
            <w:shd w:val="clear" w:color="D9E2F3" w:themeColor="accent1" w:themeTint="33" w:fill="auto"/>
          </w:tcPr>
          <w:p w14:paraId="6FB8BD05" w14:textId="77777777" w:rsidR="008E765F" w:rsidRPr="00822EBF" w:rsidRDefault="008E765F" w:rsidP="00611251">
            <w:pPr>
              <w:pStyle w:val="RCTstable"/>
              <w:keepNext/>
            </w:pPr>
            <w:r w:rsidRPr="00822EBF">
              <w:t>Not described</w:t>
            </w:r>
            <w:r>
              <w:t>.</w:t>
            </w:r>
          </w:p>
        </w:tc>
      </w:tr>
      <w:tr w:rsidR="008E765F" w:rsidRPr="00822EBF" w14:paraId="51AAAA87" w14:textId="77777777" w:rsidTr="005A5EBF">
        <w:trPr>
          <w:cantSplit/>
        </w:trPr>
        <w:tc>
          <w:tcPr>
            <w:tcW w:w="1560" w:type="dxa"/>
            <w:shd w:val="clear" w:color="D9E2F3" w:themeColor="accent1" w:themeTint="33" w:fill="auto"/>
          </w:tcPr>
          <w:p w14:paraId="135EED67" w14:textId="77777777" w:rsidR="008E765F" w:rsidRPr="00822EBF" w:rsidRDefault="008E765F" w:rsidP="00611251">
            <w:pPr>
              <w:pStyle w:val="RCTstable"/>
              <w:keepNext/>
            </w:pPr>
            <w:r w:rsidRPr="00822EBF">
              <w:t>Performance bias</w:t>
            </w:r>
          </w:p>
        </w:tc>
        <w:tc>
          <w:tcPr>
            <w:tcW w:w="1275" w:type="dxa"/>
            <w:shd w:val="clear" w:color="D9E2F3" w:themeColor="accent1" w:themeTint="33" w:fill="FF4D19"/>
          </w:tcPr>
          <w:p w14:paraId="3BC63108" w14:textId="77777777" w:rsidR="008E765F" w:rsidRPr="00822EBF" w:rsidRDefault="008E765F" w:rsidP="00611251">
            <w:pPr>
              <w:pStyle w:val="RCTstable"/>
              <w:keepNext/>
            </w:pPr>
            <w:r w:rsidRPr="00822EBF">
              <w:t>High risk</w:t>
            </w:r>
          </w:p>
        </w:tc>
        <w:tc>
          <w:tcPr>
            <w:tcW w:w="11199" w:type="dxa"/>
            <w:shd w:val="clear" w:color="D9E2F3" w:themeColor="accent1" w:themeTint="33" w:fill="auto"/>
          </w:tcPr>
          <w:p w14:paraId="3D53C49E" w14:textId="77777777" w:rsidR="008E765F" w:rsidRPr="00822EBF" w:rsidRDefault="008E765F" w:rsidP="00611251">
            <w:pPr>
              <w:pStyle w:val="RCTstable"/>
              <w:keepNext/>
            </w:pPr>
            <w:r w:rsidRPr="00822EBF">
              <w:t>Blinding of women and trial personnel not considered feasible in view of the intervention and control</w:t>
            </w:r>
          </w:p>
        </w:tc>
      </w:tr>
      <w:tr w:rsidR="008E765F" w:rsidRPr="00822EBF" w14:paraId="76111B36" w14:textId="77777777" w:rsidTr="005A5EBF">
        <w:trPr>
          <w:cantSplit/>
        </w:trPr>
        <w:tc>
          <w:tcPr>
            <w:tcW w:w="1560" w:type="dxa"/>
            <w:shd w:val="clear" w:color="D9E2F3" w:themeColor="accent1" w:themeTint="33" w:fill="auto"/>
          </w:tcPr>
          <w:p w14:paraId="1B5CE1AD"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554A5B26"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097AE94" w14:textId="77777777" w:rsidR="008E765F" w:rsidRPr="00822EBF" w:rsidRDefault="008E765F" w:rsidP="00611251">
            <w:pPr>
              <w:pStyle w:val="RCTstable"/>
            </w:pPr>
            <w:r w:rsidRPr="00822EBF">
              <w:t>Not described</w:t>
            </w:r>
            <w:r>
              <w:t>.</w:t>
            </w:r>
          </w:p>
        </w:tc>
      </w:tr>
      <w:tr w:rsidR="008E765F" w:rsidRPr="00822EBF" w14:paraId="08F53AC4" w14:textId="77777777" w:rsidTr="005A5EBF">
        <w:trPr>
          <w:cantSplit/>
        </w:trPr>
        <w:tc>
          <w:tcPr>
            <w:tcW w:w="1560" w:type="dxa"/>
            <w:shd w:val="clear" w:color="D9E2F3" w:themeColor="accent1" w:themeTint="33" w:fill="auto"/>
          </w:tcPr>
          <w:p w14:paraId="094DD058"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093E7ED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D949A6E" w14:textId="77777777" w:rsidR="008E765F" w:rsidRPr="00822EBF" w:rsidRDefault="008E765F" w:rsidP="00611251">
            <w:pPr>
              <w:pStyle w:val="RCTstable"/>
            </w:pPr>
            <w:r w:rsidRPr="00822EBF">
              <w:t>Minimal losses to follow-up during the pregnancy period: of 61 women randomised to the intervention group, 2 women moved out of the area, 1 had a miscarriage, and 1 withdrew; thus 57 (93%) were followed to delivery; in the control group, of 59 women randomised, 4 women moved out of the area and 2 had miscarriages; thus 53 (90%) were followed to delivery. Follow-up: an additional 23 intervention group women were lost to postpartum follow-up, thus 34 (56%) were followed postpartum; an additional 13 control group women were lost postpartum, thus 40 (68%) were followed</w:t>
            </w:r>
            <w:r>
              <w:t xml:space="preserve"> </w:t>
            </w:r>
            <w:r w:rsidRPr="00822EBF">
              <w:t>postpartum</w:t>
            </w:r>
          </w:p>
        </w:tc>
      </w:tr>
      <w:tr w:rsidR="008E765F" w:rsidRPr="00822EBF" w14:paraId="374505DB" w14:textId="77777777" w:rsidTr="005A5EBF">
        <w:trPr>
          <w:cantSplit/>
        </w:trPr>
        <w:tc>
          <w:tcPr>
            <w:tcW w:w="1560" w:type="dxa"/>
            <w:shd w:val="clear" w:color="D9E2F3" w:themeColor="accent1" w:themeTint="33" w:fill="auto"/>
          </w:tcPr>
          <w:p w14:paraId="42DC2BA6"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13834CDC"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F284753" w14:textId="77777777" w:rsidR="008E765F" w:rsidRPr="00822EBF" w:rsidRDefault="008E765F" w:rsidP="00611251">
            <w:pPr>
              <w:pStyle w:val="RCTstable"/>
            </w:pPr>
            <w:r w:rsidRPr="00822EBF">
              <w:t>While outcomes were described in the methods, with no access to a trial protocol, it is not possible to confidently assess selective reporting</w:t>
            </w:r>
            <w:r>
              <w:t>.</w:t>
            </w:r>
          </w:p>
        </w:tc>
      </w:tr>
      <w:tr w:rsidR="008E765F" w:rsidRPr="00822EBF" w14:paraId="3F059366" w14:textId="77777777" w:rsidTr="005A5EBF">
        <w:trPr>
          <w:cantSplit/>
        </w:trPr>
        <w:tc>
          <w:tcPr>
            <w:tcW w:w="1560" w:type="dxa"/>
            <w:shd w:val="clear" w:color="D9E2F3" w:themeColor="accent1" w:themeTint="33" w:fill="auto"/>
          </w:tcPr>
          <w:p w14:paraId="6DFE8011"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57840063"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E0FCBAC" w14:textId="77777777" w:rsidR="008E765F" w:rsidRPr="00822EBF" w:rsidRDefault="008E765F" w:rsidP="00611251">
            <w:pPr>
              <w:pStyle w:val="RCTstable"/>
            </w:pPr>
            <w:r w:rsidRPr="00822EBF">
              <w:t>No obvious sources of other bias identified (16/90 refused), and higher in overweight black women than in any of the other 3 weight-by-race categories</w:t>
            </w:r>
          </w:p>
        </w:tc>
      </w:tr>
      <w:tr w:rsidR="008E765F" w:rsidRPr="00AB617D" w14:paraId="6788E5CB" w14:textId="77777777" w:rsidTr="005A5EBF">
        <w:trPr>
          <w:cantSplit/>
        </w:trPr>
        <w:tc>
          <w:tcPr>
            <w:tcW w:w="14034" w:type="dxa"/>
            <w:gridSpan w:val="3"/>
            <w:shd w:val="solid" w:color="D9E2F3" w:themeColor="accent1" w:themeTint="33" w:fill="auto"/>
          </w:tcPr>
          <w:p w14:paraId="53F48B17" w14:textId="1403A9EE" w:rsidR="008E765F" w:rsidRPr="00AB617D" w:rsidRDefault="008E765F" w:rsidP="002747EA">
            <w:pPr>
              <w:pStyle w:val="RCTstable"/>
              <w:keepNext/>
              <w:rPr>
                <w:b/>
              </w:rPr>
            </w:pPr>
            <w:r w:rsidRPr="0025597C">
              <w:rPr>
                <w:rFonts w:ascii="Century Gothic" w:hAnsi="Century Gothic"/>
                <w:b/>
                <w:noProof/>
              </w:rPr>
              <w:t>Poston et al 2013</w:t>
            </w:r>
            <w:r>
              <w:fldChar w:fldCharType="begin">
                <w:fldData xml:space="preserve">PEVuZE5vdGU+PENpdGU+PEF1dGhvcj5Qb3N0b248L0F1dGhvcj48WWVhcj4yMDEzPC9ZZWFyPjxS
ZWNOdW0+MTEwNTwvUmVjTnVtPjxEaXNwbGF5VGV4dD48c3R5bGUgZmFjZT0ic3VwZXJzY3JpcHQi
IGZvbnQ9IlRyZWJ1Y2hldCBNUyIgc2l6ZT0iOSI+NTEyPC9zdHlsZT48L0Rpc3BsYXlUZXh0Pjxy
ZWNvcmQ+PHJlYy1udW1iZXI+MTEwNTwvcmVjLW51bWJlcj48Zm9yZWlnbi1rZXlzPjxrZXkgYXBw
PSJFTiIgZGItaWQ9ImV4dmFzcmZ4MmR0cmFvZXNhc3hwMnN6c3hhMmRmNTAyNTkyeCIgdGltZXN0
YW1wPSIxNTUyOTQ4Mjc1Ij4xMTA1PC9rZXk+PC9mb3JlaWduLWtleXM+PHJlZi10eXBlIG5hbWU9
IkpvdXJuYWwgQXJ0aWNsZSI+MTc8L3JlZi10eXBlPjxjb250cmlidXRvcnM+PGF1dGhvcnM+PGF1
dGhvcj5Qb3N0b24sIEwuPC9hdXRob3I+PGF1dGhvcj5CcmlsZXksIEEuIEwuPC9hdXRob3I+PGF1
dGhvcj5CYXJyLCBTLjwvYXV0aG9yPjxhdXRob3I+QmVsbCwgUi48L2F1dGhvcj48YXV0aG9yPkNy
b2tlciwgSC48L2F1dGhvcj48YXV0aG9yPkNveG9uLCBLLjwvYXV0aG9yPjxhdXRob3I+RXNzZXgs
IEguIE4uPC9hdXRob3I+PGF1dGhvcj5IdW50LCBDLjwvYXV0aG9yPjxhdXRob3I+SGF5ZXMsIEwu
PC9hdXRob3I+PGF1dGhvcj5Ib3dhcmQsIEwuIE0uPC9hdXRob3I+PGF1dGhvcj5LaGF6YWV6YWRl
aCwgTi48L2F1dGhvcj48YXV0aG9yPktpbm51bmVuLCBULjwvYXV0aG9yPjxhdXRob3I+TmVsc29u
LCBTLiBNLjwvYXV0aG9yPjxhdXRob3I+T3RlbmctTnRpbSwgRS48L2F1dGhvcj48YXV0aG9yPlJv
YnNvbiwgUy4gQy48L2F1dGhvcj48YXV0aG9yPlNhdHRhciwgTi48L2F1dGhvcj48YXV0aG9yPlNl
ZWQsIFAuIFQuPC9hdXRob3I+PGF1dGhvcj5XYXJkbGUsIEouPC9hdXRob3I+PGF1dGhvcj5TYW5k
ZXJzLCBULiBBLjwvYXV0aG9yPjxhdXRob3I+U2FuZGFsbCwgSi48L2F1dGhvcj48L2F1dGhvcnM+
PC9jb250cmlidXRvcnM+PHRpdGxlcz48dGl0bGU+RGV2ZWxvcGluZyBhIGNvbXBsZXggaW50ZXJ2
ZW50aW9uIGZvciBkaWV0IGFuZCBhY3Rpdml0eSBiZWhhdmlvdXIgY2hhbmdlIGluIG9iZXNlIHBy
ZWduYW50IHdvbWVuICh0aGUgVVBCRUFUIHRyaWFsKTsgYXNzZXNzbWVudCBvZiBiZWhhdmlvdXJh
bCBjaGFuZ2UgYW5kIHByb2Nlc3MgZXZhbHVhdGlvbiBpbiBhIHBpbG90IHJhbmRvbWlzZWQgY29u
dHJvbGxlZCB0cmlhbDwvdGl0bGU+PHNlY29uZGFyeS10aXRsZT5CTUMgUHJlZ25hbmN5IENoaWxk
YmlydGg8L3NlY29uZGFyeS10aXRsZT48L3RpdGxlcz48cGVyaW9kaWNhbD48ZnVsbC10aXRsZT5C
TUMgUHJlZ25hbmN5IENoaWxkYmlydGg8L2Z1bGwtdGl0bGU+PC9wZXJpb2RpY2FsPjxwYWdlcz4x
NDg8L3BhZ2VzPjx2b2x1bWU+MTM8L3ZvbHVtZT48ZWRpdGlvbj4yMDEzLzA3LzE3PC9lZGl0aW9u
PjxrZXl3b3Jkcz48a2V5d29yZD5BY2NlbGVyb21ldHJ5PC9rZXl3b3JkPjxrZXl3b3JkPkFkb2xl
c2NlbnQ8L2tleXdvcmQ+PGtleXdvcmQ+QWR1bHQ8L2tleXdvcmQ+PGtleXdvcmQ+QmVoYXZpb3Ig
VGhlcmFweS8qbWV0aG9kczwva2V5d29yZD48a2V5d29yZD5Cb2R5IE1hc3MgSW5kZXg8L2tleXdv
cmQ+PGtleXdvcmQ+RGlhYmV0ZXMsIEdlc3RhdGlvbmFsLypwcmV2ZW50aW9uICZhbXA7IGNvbnRy
b2w8L2tleXdvcmQ+PGtleXdvcmQ+RGlldCBUaGVyYXB5LyptZXRob2RzPC9rZXl3b3JkPjxrZXl3
b3JkPkV4ZXJjaXNlIFRoZXJhcHkvKm1ldGhvZHM8L2tleXdvcmQ+PGtleXdvcmQ+RmVhc2liaWxp
dHkgU3R1ZGllczwva2V5d29yZD48a2V5d29yZD5GZW1hbGU8L2tleXdvcmQ+PGtleXdvcmQ+SHVt
YW5zPC9rZXl3b3JkPjxrZXl3b3JkPipNb3RvciBBY3Rpdml0eTwva2V5d29yZD48a2V5d29yZD5P
YmVzaXR5Lyp0aGVyYXB5PC9rZXl3b3JkPjxrZXl3b3JkPlBpbG90IFByb2plY3RzPC9rZXl3b3Jk
PjxrZXl3b3JkPlByZWduYW5jeTwva2V5d29yZD48a2V5d29yZD5QcmVnbmFuY3kgQ29tcGxpY2F0
aW9ucy8qdGhlcmFweTwva2V5d29yZD48a2V5d29yZD5QcmVuYXRhbCBDYXJlL21ldGhvZHM8L2tl
eXdvcmQ+PGtleXdvcmQ+WW91bmcgQWR1bHQ8L2tleXdvcmQ+PC9rZXl3b3Jkcz48ZGF0ZXM+PHll
YXI+MjAxMzwveWVhcj48cHViLWRhdGVzPjxkYXRlPkp1bCAxNTwvZGF0ZT48L3B1Yi1kYXRlcz48
L2RhdGVzPjxpc2JuPjE0NzEtMjM5MyAoRWxlY3Ryb25pYykmI3hEOzE0NzEtMjM5MyAoTGlua2lu
Zyk8L2lzYm4+PGFjY2Vzc2lvbi1udW0+MjM4NTU3MDg8L2FjY2Vzc2lvbi1udW0+PHVybHM+PHJl
bGF0ZWQtdXJscz48dXJsPmh0dHBzOi8vd3d3Lm5jYmkubmxtLm5paC5nb3YvcHVibWVkLzIzODU1
NzA4PC91cmw+PC9yZWxhdGVkLXVybHM+PC91cmxzPjxjdXN0b20yPlBNQzM3MTg2MzA8L2N1c3Rv
bTI+PGVsZWN0cm9uaWMtcmVzb3VyY2UtbnVtPjEwLjExODYvMTQ3MS0yMzkzLTEzLTE0ODwvZWxl
Y3Ryb25pYy1yZXNvdXJjZS1udW0+PC9yZWNvcmQ+PC9DaXRlPjwvRW5kTm90ZT5=
</w:fldData>
              </w:fldChar>
            </w:r>
            <w:r w:rsidR="002747EA">
              <w:instrText xml:space="preserve"> ADDIN EN.CITE </w:instrText>
            </w:r>
            <w:r w:rsidR="002747EA">
              <w:fldChar w:fldCharType="begin">
                <w:fldData xml:space="preserve">PEVuZE5vdGU+PENpdGU+PEF1dGhvcj5Qb3N0b248L0F1dGhvcj48WWVhcj4yMDEzPC9ZZWFyPjxS
ZWNOdW0+MTEwNTwvUmVjTnVtPjxEaXNwbGF5VGV4dD48c3R5bGUgZmFjZT0ic3VwZXJzY3JpcHQi
IGZvbnQ9IlRyZWJ1Y2hldCBNUyIgc2l6ZT0iOSI+NTEyPC9zdHlsZT48L0Rpc3BsYXlUZXh0Pjxy
ZWNvcmQ+PHJlYy1udW1iZXI+MTEwNTwvcmVjLW51bWJlcj48Zm9yZWlnbi1rZXlzPjxrZXkgYXBw
PSJFTiIgZGItaWQ9ImV4dmFzcmZ4MmR0cmFvZXNhc3hwMnN6c3hhMmRmNTAyNTkyeCIgdGltZXN0
YW1wPSIxNTUyOTQ4Mjc1Ij4xMTA1PC9rZXk+PC9mb3JlaWduLWtleXM+PHJlZi10eXBlIG5hbWU9
IkpvdXJuYWwgQXJ0aWNsZSI+MTc8L3JlZi10eXBlPjxjb250cmlidXRvcnM+PGF1dGhvcnM+PGF1
dGhvcj5Qb3N0b24sIEwuPC9hdXRob3I+PGF1dGhvcj5CcmlsZXksIEEuIEwuPC9hdXRob3I+PGF1
dGhvcj5CYXJyLCBTLjwvYXV0aG9yPjxhdXRob3I+QmVsbCwgUi48L2F1dGhvcj48YXV0aG9yPkNy
b2tlciwgSC48L2F1dGhvcj48YXV0aG9yPkNveG9uLCBLLjwvYXV0aG9yPjxhdXRob3I+RXNzZXgs
IEguIE4uPC9hdXRob3I+PGF1dGhvcj5IdW50LCBDLjwvYXV0aG9yPjxhdXRob3I+SGF5ZXMsIEwu
PC9hdXRob3I+PGF1dGhvcj5Ib3dhcmQsIEwuIE0uPC9hdXRob3I+PGF1dGhvcj5LaGF6YWV6YWRl
aCwgTi48L2F1dGhvcj48YXV0aG9yPktpbm51bmVuLCBULjwvYXV0aG9yPjxhdXRob3I+TmVsc29u
LCBTLiBNLjwvYXV0aG9yPjxhdXRob3I+T3RlbmctTnRpbSwgRS48L2F1dGhvcj48YXV0aG9yPlJv
YnNvbiwgUy4gQy48L2F1dGhvcj48YXV0aG9yPlNhdHRhciwgTi48L2F1dGhvcj48YXV0aG9yPlNl
ZWQsIFAuIFQuPC9hdXRob3I+PGF1dGhvcj5XYXJkbGUsIEouPC9hdXRob3I+PGF1dGhvcj5TYW5k
ZXJzLCBULiBBLjwvYXV0aG9yPjxhdXRob3I+U2FuZGFsbCwgSi48L2F1dGhvcj48L2F1dGhvcnM+
PC9jb250cmlidXRvcnM+PHRpdGxlcz48dGl0bGU+RGV2ZWxvcGluZyBhIGNvbXBsZXggaW50ZXJ2
ZW50aW9uIGZvciBkaWV0IGFuZCBhY3Rpdml0eSBiZWhhdmlvdXIgY2hhbmdlIGluIG9iZXNlIHBy
ZWduYW50IHdvbWVuICh0aGUgVVBCRUFUIHRyaWFsKTsgYXNzZXNzbWVudCBvZiBiZWhhdmlvdXJh
bCBjaGFuZ2UgYW5kIHByb2Nlc3MgZXZhbHVhdGlvbiBpbiBhIHBpbG90IHJhbmRvbWlzZWQgY29u
dHJvbGxlZCB0cmlhbDwvdGl0bGU+PHNlY29uZGFyeS10aXRsZT5CTUMgUHJlZ25hbmN5IENoaWxk
YmlydGg8L3NlY29uZGFyeS10aXRsZT48L3RpdGxlcz48cGVyaW9kaWNhbD48ZnVsbC10aXRsZT5C
TUMgUHJlZ25hbmN5IENoaWxkYmlydGg8L2Z1bGwtdGl0bGU+PC9wZXJpb2RpY2FsPjxwYWdlcz4x
NDg8L3BhZ2VzPjx2b2x1bWU+MTM8L3ZvbHVtZT48ZWRpdGlvbj4yMDEzLzA3LzE3PC9lZGl0aW9u
PjxrZXl3b3Jkcz48a2V5d29yZD5BY2NlbGVyb21ldHJ5PC9rZXl3b3JkPjxrZXl3b3JkPkFkb2xl
c2NlbnQ8L2tleXdvcmQ+PGtleXdvcmQ+QWR1bHQ8L2tleXdvcmQ+PGtleXdvcmQ+QmVoYXZpb3Ig
VGhlcmFweS8qbWV0aG9kczwva2V5d29yZD48a2V5d29yZD5Cb2R5IE1hc3MgSW5kZXg8L2tleXdv
cmQ+PGtleXdvcmQ+RGlhYmV0ZXMsIEdlc3RhdGlvbmFsLypwcmV2ZW50aW9uICZhbXA7IGNvbnRy
b2w8L2tleXdvcmQ+PGtleXdvcmQ+RGlldCBUaGVyYXB5LyptZXRob2RzPC9rZXl3b3JkPjxrZXl3
b3JkPkV4ZXJjaXNlIFRoZXJhcHkvKm1ldGhvZHM8L2tleXdvcmQ+PGtleXdvcmQ+RmVhc2liaWxp
dHkgU3R1ZGllczwva2V5d29yZD48a2V5d29yZD5GZW1hbGU8L2tleXdvcmQ+PGtleXdvcmQ+SHVt
YW5zPC9rZXl3b3JkPjxrZXl3b3JkPipNb3RvciBBY3Rpdml0eTwva2V5d29yZD48a2V5d29yZD5P
YmVzaXR5Lyp0aGVyYXB5PC9rZXl3b3JkPjxrZXl3b3JkPlBpbG90IFByb2plY3RzPC9rZXl3b3Jk
PjxrZXl3b3JkPlByZWduYW5jeTwva2V5d29yZD48a2V5d29yZD5QcmVnbmFuY3kgQ29tcGxpY2F0
aW9ucy8qdGhlcmFweTwva2V5d29yZD48a2V5d29yZD5QcmVuYXRhbCBDYXJlL21ldGhvZHM8L2tl
eXdvcmQ+PGtleXdvcmQ+WW91bmcgQWR1bHQ8L2tleXdvcmQ+PC9rZXl3b3Jkcz48ZGF0ZXM+PHll
YXI+MjAxMzwveWVhcj48cHViLWRhdGVzPjxkYXRlPkp1bCAxNTwvZGF0ZT48L3B1Yi1kYXRlcz48
L2RhdGVzPjxpc2JuPjE0NzEtMjM5MyAoRWxlY3Ryb25pYykmI3hEOzE0NzEtMjM5MyAoTGlua2lu
Zyk8L2lzYm4+PGFjY2Vzc2lvbi1udW0+MjM4NTU3MDg8L2FjY2Vzc2lvbi1udW0+PHVybHM+PHJl
bGF0ZWQtdXJscz48dXJsPmh0dHBzOi8vd3d3Lm5jYmkubmxtLm5paC5nb3YvcHVibWVkLzIzODU1
NzA4PC91cmw+PC9yZWxhdGVkLXVybHM+PC91cmxzPjxjdXN0b20yPlBNQzM3MTg2MzA8L2N1c3Rv
bTI+PGVsZWN0cm9uaWMtcmVzb3VyY2UtbnVtPjEwLjExODYvMTQ3MS0yMzkzLTEzLTE0ODwvZWxl
Y3Ryb25pYy1yZXNvdXJjZS1udW0+PC9yZWNvcmQ+PC9DaXRlPjwvRW5kTm90ZT5=
</w:fldData>
              </w:fldChar>
            </w:r>
            <w:r w:rsidR="002747EA">
              <w:instrText xml:space="preserve"> ADDIN EN.CITE.DATA </w:instrText>
            </w:r>
            <w:r w:rsidR="002747EA">
              <w:fldChar w:fldCharType="end"/>
            </w:r>
            <w:r>
              <w:fldChar w:fldCharType="separate"/>
            </w:r>
            <w:r w:rsidR="002747EA" w:rsidRPr="002747EA">
              <w:rPr>
                <w:noProof/>
                <w:sz w:val="18"/>
                <w:vertAlign w:val="superscript"/>
              </w:rPr>
              <w:t>512</w:t>
            </w:r>
            <w:r>
              <w:fldChar w:fldCharType="end"/>
            </w:r>
          </w:p>
        </w:tc>
      </w:tr>
      <w:tr w:rsidR="008E765F" w:rsidRPr="00822EBF" w14:paraId="110DF884" w14:textId="77777777" w:rsidTr="005A5EBF">
        <w:trPr>
          <w:cantSplit/>
        </w:trPr>
        <w:tc>
          <w:tcPr>
            <w:tcW w:w="1560" w:type="dxa"/>
            <w:shd w:val="clear" w:color="D9E2F3" w:themeColor="accent1" w:themeTint="33" w:fill="auto"/>
          </w:tcPr>
          <w:p w14:paraId="09E480EE"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1E32D852"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1FA17B90" w14:textId="77777777" w:rsidR="008E765F" w:rsidRPr="00822EBF" w:rsidRDefault="008E765F" w:rsidP="006045AE">
            <w:pPr>
              <w:pStyle w:val="RCTstable"/>
              <w:keepNext/>
            </w:pPr>
            <w:r>
              <w:t>“</w:t>
            </w:r>
            <w:r w:rsidRPr="00822EBF">
              <w:t>The randomised treatment</w:t>
            </w:r>
            <w:r>
              <w:t xml:space="preserve"> </w:t>
            </w:r>
            <w:r w:rsidRPr="00822EBF">
              <w:t>was allocated automatically, balanced by minimisation for maternal age, centre, ethnicity, parity and BMI</w:t>
            </w:r>
            <w:r>
              <w:t>.”</w:t>
            </w:r>
          </w:p>
        </w:tc>
      </w:tr>
      <w:tr w:rsidR="008E765F" w:rsidRPr="00822EBF" w14:paraId="71B96919" w14:textId="77777777" w:rsidTr="005A5EBF">
        <w:trPr>
          <w:cantSplit/>
        </w:trPr>
        <w:tc>
          <w:tcPr>
            <w:tcW w:w="1560" w:type="dxa"/>
            <w:shd w:val="clear" w:color="D9E2F3" w:themeColor="accent1" w:themeTint="33" w:fill="auto"/>
          </w:tcPr>
          <w:p w14:paraId="60039214"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0407F6F7"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09A1236" w14:textId="77777777" w:rsidR="008E765F" w:rsidRPr="00822EBF" w:rsidRDefault="008E765F" w:rsidP="00611251">
            <w:pPr>
              <w:pStyle w:val="RCTstable"/>
            </w:pPr>
            <w:r>
              <w:t>“</w:t>
            </w:r>
            <w:r w:rsidRPr="00822EBF">
              <w:t>Randomisation was performed online</w:t>
            </w:r>
            <w:r>
              <w:t>.”</w:t>
            </w:r>
          </w:p>
        </w:tc>
      </w:tr>
      <w:tr w:rsidR="008E765F" w:rsidRPr="00822EBF" w14:paraId="50E958A6" w14:textId="77777777" w:rsidTr="005A5EBF">
        <w:trPr>
          <w:cantSplit/>
        </w:trPr>
        <w:tc>
          <w:tcPr>
            <w:tcW w:w="1560" w:type="dxa"/>
            <w:shd w:val="clear" w:color="D9E2F3" w:themeColor="accent1" w:themeTint="33" w:fill="auto"/>
          </w:tcPr>
          <w:p w14:paraId="7101C8DC"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6C838599"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0CA92B28" w14:textId="77777777" w:rsidR="008E765F" w:rsidRPr="00822EBF" w:rsidRDefault="008E765F" w:rsidP="00611251">
            <w:pPr>
              <w:pStyle w:val="RCTstable"/>
            </w:pPr>
            <w:r w:rsidRPr="00822EBF">
              <w:t>Blinding of women and trial personnel not considered feasible in view of the intervention and control</w:t>
            </w:r>
          </w:p>
        </w:tc>
      </w:tr>
      <w:tr w:rsidR="008E765F" w:rsidRPr="00822EBF" w14:paraId="03BD0EF9" w14:textId="77777777" w:rsidTr="005A5EBF">
        <w:trPr>
          <w:cantSplit/>
        </w:trPr>
        <w:tc>
          <w:tcPr>
            <w:tcW w:w="1560" w:type="dxa"/>
            <w:shd w:val="clear" w:color="D9E2F3" w:themeColor="accent1" w:themeTint="33" w:fill="auto"/>
          </w:tcPr>
          <w:p w14:paraId="22FABE36"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085FD24C"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F135552" w14:textId="77777777" w:rsidR="008E765F" w:rsidRPr="00822EBF" w:rsidRDefault="008E765F" w:rsidP="00611251">
            <w:pPr>
              <w:pStyle w:val="RCTstable"/>
            </w:pPr>
            <w:r w:rsidRPr="00822EBF">
              <w:t>Not described</w:t>
            </w:r>
            <w:r>
              <w:t>.</w:t>
            </w:r>
          </w:p>
        </w:tc>
      </w:tr>
      <w:tr w:rsidR="008E765F" w:rsidRPr="00822EBF" w14:paraId="49D5F60F" w14:textId="77777777" w:rsidTr="005A5EBF">
        <w:trPr>
          <w:cantSplit/>
        </w:trPr>
        <w:tc>
          <w:tcPr>
            <w:tcW w:w="1560" w:type="dxa"/>
            <w:shd w:val="clear" w:color="D9E2F3" w:themeColor="accent1" w:themeTint="33" w:fill="auto"/>
          </w:tcPr>
          <w:p w14:paraId="06F41451"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5CBC2132"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85256BA" w14:textId="4C62BD9D" w:rsidR="008E765F" w:rsidRPr="00822EBF" w:rsidRDefault="000B4DE7" w:rsidP="00611251">
            <w:pPr>
              <w:pStyle w:val="RCTstable"/>
            </w:pPr>
            <w:r>
              <w:t>Study retention was 99.6% (256 of 257).</w:t>
            </w:r>
          </w:p>
        </w:tc>
      </w:tr>
      <w:tr w:rsidR="008E765F" w:rsidRPr="00822EBF" w14:paraId="00DF65C8" w14:textId="77777777" w:rsidTr="005A5EBF">
        <w:trPr>
          <w:cantSplit/>
        </w:trPr>
        <w:tc>
          <w:tcPr>
            <w:tcW w:w="1560" w:type="dxa"/>
            <w:shd w:val="clear" w:color="D9E2F3" w:themeColor="accent1" w:themeTint="33" w:fill="auto"/>
          </w:tcPr>
          <w:p w14:paraId="304D8B25"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29DFE14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CD27501" w14:textId="77777777" w:rsidR="008E765F" w:rsidRPr="00822EBF" w:rsidRDefault="008E765F" w:rsidP="00611251">
            <w:pPr>
              <w:pStyle w:val="RCTstable"/>
            </w:pPr>
            <w:r w:rsidRPr="00822EBF">
              <w:t>With no access to a trial protocol, it was not possible</w:t>
            </w:r>
            <w:r>
              <w:t xml:space="preserve"> </w:t>
            </w:r>
            <w:r w:rsidRPr="00822EBF">
              <w:t>to confidently assess selective reporting. The methods</w:t>
            </w:r>
            <w:r>
              <w:t xml:space="preserve"> </w:t>
            </w:r>
            <w:r w:rsidRPr="00822EBF">
              <w:t>specify a number of clinical outcomes for which data</w:t>
            </w:r>
            <w:r>
              <w:t xml:space="preserve"> were “recorded but not reported”.</w:t>
            </w:r>
          </w:p>
        </w:tc>
      </w:tr>
      <w:tr w:rsidR="008E765F" w:rsidRPr="00822EBF" w14:paraId="6C0E0935" w14:textId="77777777" w:rsidTr="005A5EBF">
        <w:trPr>
          <w:cantSplit/>
        </w:trPr>
        <w:tc>
          <w:tcPr>
            <w:tcW w:w="1560" w:type="dxa"/>
            <w:shd w:val="clear" w:color="D9E2F3" w:themeColor="accent1" w:themeTint="33" w:fill="auto"/>
          </w:tcPr>
          <w:p w14:paraId="155068E6"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48D4FEB8"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E3CC2E8" w14:textId="77777777" w:rsidR="008E765F" w:rsidRPr="00822EBF" w:rsidRDefault="008E765F" w:rsidP="00611251">
            <w:pPr>
              <w:pStyle w:val="RCTstable"/>
            </w:pPr>
            <w:r w:rsidRPr="00822EBF">
              <w:t>No obvious sources of other bias identified</w:t>
            </w:r>
            <w:r>
              <w:t>.</w:t>
            </w:r>
          </w:p>
        </w:tc>
      </w:tr>
      <w:tr w:rsidR="008E765F" w:rsidRPr="00D93E90" w14:paraId="7619100B" w14:textId="77777777" w:rsidTr="005A5EBF">
        <w:trPr>
          <w:cantSplit/>
        </w:trPr>
        <w:tc>
          <w:tcPr>
            <w:tcW w:w="14034" w:type="dxa"/>
            <w:gridSpan w:val="3"/>
            <w:shd w:val="solid" w:color="D9E2F3" w:themeColor="accent1" w:themeTint="33" w:fill="auto"/>
          </w:tcPr>
          <w:p w14:paraId="718428AB" w14:textId="080C9F83" w:rsidR="008E765F" w:rsidRPr="00D93E90" w:rsidRDefault="008E765F" w:rsidP="002747EA">
            <w:pPr>
              <w:pStyle w:val="RCTstable"/>
              <w:keepNext/>
              <w:rPr>
                <w:b/>
              </w:rPr>
            </w:pPr>
            <w:r w:rsidRPr="0025597C">
              <w:rPr>
                <w:rFonts w:ascii="Century Gothic" w:hAnsi="Century Gothic"/>
                <w:b/>
                <w:noProof/>
              </w:rPr>
              <w:t>Poston et al 2015</w:t>
            </w:r>
            <w:r>
              <w:rPr>
                <w:rFonts w:ascii="Century Gothic" w:hAnsi="Century Gothic"/>
                <w:noProof/>
              </w:rPr>
              <w:fldChar w:fldCharType="begin">
                <w:fldData xml:space="preserve">PEVuZE5vdGU+PENpdGU+PEF1dGhvcj5Qb3N0b248L0F1dGhvcj48WWVhcj4yMDE1PC9ZZWFyPjxS
ZWNOdW0+NjEyPC9SZWNOdW0+PERpc3BsYXlUZXh0PjxzdHlsZSBmYWNlPSJzdXBlcnNjcmlwdCIg
Zm9udD0iVHJlYnVjaGV0IE1TIiBzaXplPSI5Ij41MTMsNTUyPC9zdHlsZT48L0Rpc3BsYXlUZXh0
PjxyZWNvcmQ+PHJlYy1udW1iZXI+NjEyPC9yZWMtbnVtYmVyPjxmb3JlaWduLWtleXM+PGtleSBh
cHA9IkVOIiBkYi1pZD0iZXh2YXNyZngyZHRyYW9lc2FzeHAyc3pzeGEyZGY1MDI1OTJ4IiB0aW1l
c3RhbXA9IjE1MzkwNDgzNDgiPjYxMjwva2V5PjxrZXkgYXBwPSJFTldlYiIgZGItaWQ9IiI+MDwv
a2V5PjwvZm9yZWlnbi1rZXlzPjxyZWYtdHlwZSBuYW1lPSJKb3VybmFsIEFydGljbGUiPjE3PC9y
ZWYtdHlwZT48Y29udHJpYnV0b3JzPjxhdXRob3JzPjxhdXRob3I+UG9zdG9uLCBMLiw8L2F1dGhv
cj48YXV0aG9yPkJlbGwsIFIuLDwvYXV0aG9yPjxhdXRob3I+Q3Jva2VyLCBILiw8L2F1dGhvcj48
YXV0aG9yPkZseW5uLCBBLkMuLDwvYXV0aG9yPjxhdXRob3I+R29kZnJleSwgSy5NLiw8L2F1dGhv
cj48YXV0aG9yPkdvZmYsIEwuLDwvYXV0aG9yPjwvYXV0aG9ycz48L2NvbnRyaWJ1dG9ycz48dGl0
bGVzPjx0aXRsZT5FZmZlY3Qgb2YgYSBiZWhhdmlvdXJhbCBpbnRlcnZlbnRpb24gaW4gb2Jlc2Ug
cHJlZ25hbnQgd29tZW4gKHRoZSBVUEJFQVQgc3R1ZHkpOiBhIG11bHRpY2VudHJlLCByYW5kb21p
c2VkIGNvbnRyb2xsZWQgdHJpYWw8L3RpdGxlPjxzZWNvbmRhcnktdGl0bGU+VGhlIExhbmNldCBE
aWFiZXRlcyAmYW1wOyBFbmRvY3Jpbm9sb2d5PC9zZWNvbmRhcnktdGl0bGU+PC90aXRsZXM+PHBl
cmlvZGljYWw+PGZ1bGwtdGl0bGU+VGhlIExhbmNldCBEaWFiZXRlcyAmYW1wOyBFbmRvY3Jpbm9s
b2d5PC9mdWxsLXRpdGxlPjwvcGVyaW9kaWNhbD48cGFnZXM+NzY3LTc3NzwvcGFnZXM+PHZvbHVt
ZT4zPC92b2x1bWU+PG51bWJlcj4xMDwvbnVtYmVyPjxzZWN0aW9uPjc2Nzwvc2VjdGlvbj48ZGF0
ZXM+PHllYXI+MjAxNTwveWVhcj48L2RhdGVzPjxpc2JuPjIyMTM4NTg3PC9pc2JuPjx1cmxzPjwv
dXJscz48ZWxlY3Ryb25pYy1yZXNvdXJjZS1udW0+MTAuMTAxNi9zMjIxMy04NTg3KDE1KTAwMjI3
LTI8L2VsZWN0cm9uaWMtcmVzb3VyY2UtbnVtPjwvcmVjb3JkPjwvQ2l0ZT48Q2l0ZT48QXV0aG9y
PlBhdGVsPC9BdXRob3I+PFllYXI+MjAxNzwvWWVhcj48UmVjTnVtPjkyOTwvUmVjTnVtPjxyZWNv
cmQ+PHJlYy1udW1iZXI+OTI5PC9yZWMtbnVtYmVyPjxmb3JlaWduLWtleXM+PGtleSBhcHA9IkVO
IiBkYi1pZD0iZXh2YXNyZngyZHRyYW9lc2FzeHAyc3pzeGEyZGY1MDI1OTJ4IiB0aW1lc3RhbXA9
IjE1NDE1NDA5NDEiPjkyOTwva2V5PjxrZXkgYXBwPSJFTldlYiIgZGItaWQ9IiI+MDwva2V5Pjwv
Zm9yZWlnbi1rZXlzPjxyZWYtdHlwZSBuYW1lPSJKb3VybmFsIEFydGljbGUiPjE3PC9yZWYtdHlw
ZT48Y29udHJpYnV0b3JzPjxhdXRob3JzPjxhdXRob3I+UGF0ZWwsIE4uPC9hdXRob3I+PGF1dGhv
cj5Hb2RmcmV5LCBLLiBNLjwvYXV0aG9yPjxhdXRob3I+UGFzdXBhdGh5LCBELjwvYXV0aG9yPjxh
dXRob3I+TGV2aW4sIEouPC9hdXRob3I+PGF1dGhvcj5GbHlubiwgQS4gQy48L2F1dGhvcj48YXV0
aG9yPkhheWVzLCBMLjwvYXV0aG9yPjxhdXRob3I+QnJpbGV5LCBBLiBMLjwvYXV0aG9yPjxhdXRo
b3I+QmVsbCwgUi48L2F1dGhvcj48YXV0aG9yPkxhd2xvciwgRC4gQS48L2F1dGhvcj48YXV0aG9y
Pk90ZW5nLU50aW0sIEUuPC9hdXRob3I+PGF1dGhvcj5OZWxzb24sIFMuIE0uPC9hdXRob3I+PGF1
dGhvcj5Sb2Jzb24sIFMuIEMuPC9hdXRob3I+PGF1dGhvcj5TYXR0YXIsIE4uPC9hdXRob3I+PGF1
dGhvcj5TaW5naCwgQy48L2F1dGhvcj48YXV0aG9yPldhcmRsZSwgSi48L2F1dGhvcj48YXV0aG9y
PldoaXRlLCBTLiBMLjwvYXV0aG9yPjxhdXRob3I+U2VlZCwgUC4gVC48L2F1dGhvcj48YXV0aG9y
PlBvc3RvbiwgTC48L2F1dGhvcj48L2F1dGhvcnM+PC9jb250cmlidXRvcnM+PGF1dGgtYWRkcmVz
cz5EaXZpc2lvbiBvZiBXb21lbiZhcG9zO3MgSGVhbHRoLCBXb21lbiZhcG9zO3MgSGVhbHRoIEFj
YWRlbWljIENlbnRyZSwgRmFjdWx0eSBvZiBMaWZlIFNjaWVuY2VzIGFuZCBNZWRpY2luZSwgS2lu
ZyZhcG9zO3MgQ29sbGVnZSBMb25kb24sIFN0IFRob21hcyZhcG9zOyBIb3NwaXRhbCwgTG9uZG9u
LCBVSy4mI3hEO01SQyBMaWZlY291cnNlIEVwaWRlbWlvbG9neSBVbml0IGFuZCBOSUhSIFNvdXRo
YW1wdG9uIEJpb21lZGljYWwgUmVzZWFyY2ggQ2VudHJlLCBVbml2ZXJzaXR5IG9mIFNvdXRoYW1w
dG9uIGFuZCBVbml2ZXJzaXR5IEhvc3BpdGFsIFNvdXRoYW1wdG9uIE5IUyBGb3VuZGF0aW9uIFRy
dXN0LCBTb3V0aGFtcHRvbiwgVUsuJiN4RDtGYWN1bHR5IG9mIEVwaWRlbWlvbG9neSBhbmQgUG9w
dWxhdGlvbiBIZWFsdGgsIExvbmRvbiBTY2hvb2wgb2YgSHlnaWVuZSBhbmQgVHJvcGljYWwgTWVk
aWNpbmUsIExvbmRvbiwgVUsuJiN4RDtEaXZpc2lvbiBvZiBEaWFiZXRlcyBhbmQgTnV0cml0aW9u
YWwgU2NpZW5jZXMsIEtpbmcmYXBvcztzIENvbGxlZ2UgTG9uZG9uLCBMb25kb24sIFVLLiYjeEQ7
SW5zdGl0dXRlIG9mIEhlYWx0aCBhbmQgU29jaWV0eSwgTmV3Y2FzdGxlIFVuaXZlcnNpdHksIE5l
d2Nhc3RsZSB1cG9uIFR5bmUsIFVLLiYjeEQ7TVJDIEludGVncmF0aXZlIEVwaWRlbWlvbG9neSBV
bml0IGF0IHRoZSBVbml2ZXJzaXR5IG9mIEJyaXN0b2wgYW5kIFNjaG9vbCBvZiBTb2NpYWwgYW5k
IENvbW11bml0eSBNZWRpY2luZSwgQnJpc3RvbCwgVUsuJiN4RDtEZXBhcnRtZW50IG9mIE9ic3Rl
dHJpY3MgYW5kIEd5bmFlY29sb2d5LCBHdXlzIGFuZCBTdCBUaG9tYXMmYXBvczsgTkhTIEZvdW5k
YXRpb24gVHJ1c3QsIExvbmRvbiwgVUsuJiN4RDtTY2hvb2wgb2YgTWVkaWNpbmUsIFVuaXZlcnNp
dHkgb2YgR2xhc2dvdywgR2xhc2dvdywgVUsuJiN4RDtJbnN0aXR1dGUgb2YgQ2VsbHVsYXIgTWVk
aWNpbmUgVXRlcmluZSBDZWxsIFNpZ25hbGxpbmcgR3JvdXAgTmV3Y2FzdGxlIFVuaXZlcnNpdHks
IE5ld2Nhc3RsZSwgVUsuJiN4RDtJbnN0aXR1dGUgb2YgQ2FyZGlvdmFzY3VsYXIgYW5kIE1lZGlj
YWwgU2NpZW5jZXMsIFVuaXZlcnNpdHkgb2YgR2xhc2dvdywgR2xhc2dvdywgVUsuJiN4RDtIZWFs
dGggQmVoYXZpb3VyIFJlc2VhcmNoIENlbnRyZSwgSW5zdGl0dXRlIG9mIEVwaWRlbWlvbG9neSBh
bmQgSGVhbHRoLCBVbml2ZXJzaXR5IENvbGxlZ2UgTG9uZG9uLCBMb25kb24sIFVLLjwvYXV0aC1h
ZGRyZXNzPjx0aXRsZXM+PHRpdGxlPkluZmFudCBhZGlwb3NpdHkgZm9sbG93aW5nIGEgcmFuZG9t
aXNlZCBjb250cm9sbGVkIHRyaWFsIG9mIGEgYmVoYXZpb3VyYWwgaW50ZXJ2ZW50aW9uIGluIG9i
ZXNlIHByZWduYW5jeTwvdGl0bGU+PHNlY29uZGFyeS10aXRsZT5JbnQgSiBPYmVzIChMb25kKTwv
c2Vjb25kYXJ5LXRpdGxlPjwvdGl0bGVzPjxwZXJpb2RpY2FsPjxmdWxsLXRpdGxlPkludCBKIE9i
ZXMgKExvbmQpPC9mdWxsLXRpdGxlPjwvcGVyaW9kaWNhbD48cGFnZXM+MTAxOC0xMDI2PC9wYWdl
cz48dm9sdW1lPjQxPC92b2x1bWU+PG51bWJlcj43PC9udW1iZXI+PGVkaXRpb24+MjAxNy8wMi8y
MjwvZWRpdGlvbj48a2V5d29yZHM+PGtleXdvcmQ+QWRpcG9zaXR5LypwaHlzaW9sb2d5PC9rZXl3
b3JkPjxrZXl3b3JkPkFkdWx0PC9rZXl3b3JkPjxrZXl3b3JkPkJvZHkgTWFzcyBJbmRleDwva2V5
d29yZD48a2V5d29yZD5DaGlsZCBEZXZlbG9wbWVudC8qcGh5c2lvbG9neTwva2V5d29yZD48a2V5
d29yZD5EaWV0PC9rZXl3b3JkPjxrZXl3b3JkPkV4ZXJjaXNlPC9rZXl3b3JkPjxrZXl3b3JkPkZl
bWFsZTwva2V5d29yZD48a2V5d29yZD5Gb2xsb3ctVXAgU3R1ZGllczwva2V5d29yZD48a2V5d29y
ZD5IdW1hbnM8L2tleXdvcmQ+PGtleXdvcmQ+SW5mYW50PC9rZXl3b3JkPjxrZXl3b3JkPkluZmFu
dCwgTmV3Ym9ybjwva2V5d29yZD48a2V5d29yZD5NYWxlPC9rZXl3b3JkPjxrZXl3b3JkPipNYXRl
cm5hbCBOdXRyaXRpb25hbCBQaHlzaW9sb2dpY2FsIFBoZW5vbWVuYTwva2V5d29yZD48a2V5d29y
ZD5Nb3RoZXJzPC9rZXl3b3JkPjxrZXl3b3JkPk9iZXNpdHkvZXBpZGVtaW9sb2d5L3BoeXNpb3Bh
dGhvbG9neS8qcHJldmVudGlvbiAmYW1wOyBjb250cm9sPC9rZXl3b3JkPjxrZXl3b3JkPlBvc3Rw
YXJ0dW0gUGVyaW9kLypwaHlzaW9sb2d5PC9rZXl3b3JkPjxrZXl3b3JkPlByZWduYW5jeTwva2V5
d29yZD48a2V5d29yZD5QcmVnbmFuY3kgQ29tcGxpY2F0aW9ucy9lcGlkZW1pb2xvZ3kvcGh5c2lv
cGF0aG9sb2d5LypwcmV2ZW50aW9uICZhbXA7IGNvbnRyb2w8L2tleXdvcmQ+PGtleXdvcmQ+KlBy
ZW5hdGFsIE51dHJpdGlvbmFsIFBoeXNpb2xvZ2ljYWwgUGhlbm9tZW5hPC9rZXl3b3JkPjxrZXl3
b3JkPlJpc2sgUmVkdWN0aW9uIEJlaGF2aW9yPC9rZXl3b3JkPjxrZXl3b3JkPlNraW5mb2xkIFRo
aWNrbmVzczwva2V5d29yZD48a2V5d29yZD5TdXJ2ZXlzIGFuZCBRdWVzdGlvbm5haXJlczwva2V5
d29yZD48a2V5d29yZD5Vbml0ZWQgS2luZ2RvbS9lcGlkZW1pb2xvZ3k8L2tleXdvcmQ+PGtleXdv
cmQ+V2VpZ2h0IEdhaW4vKnBoeXNpb2xvZ3k8L2tleXdvcmQ+PC9rZXl3b3Jkcz48ZGF0ZXM+PHll
YXI+MjAxNzwveWVhcj48cHViLWRhdGVzPjxkYXRlPkp1bDwvZGF0ZT48L3B1Yi1kYXRlcz48L2Rh
dGVzPjxpc2JuPjE0NzYtNTQ5NyAoRWxlY3Ryb25pYykmI3hEOzAzMDctMDU2NSAoTGlua2luZyk8
L2lzYm4+PGFjY2Vzc2lvbi1udW0+MjgyMTY2NDQ8L2FjY2Vzc2lvbi1udW0+PHVybHM+PHJlbGF0
ZWQtdXJscz48dXJsPmh0dHBzOi8vd3d3Lm5jYmkubmxtLm5paC5nb3YvcHVibWVkLzI4MjE2NjQ0
PC91cmw+PC9yZWxhdGVkLXVybHM+PC91cmxzPjxjdXN0b20yPlBNQzU0ODIzOTU8L2N1c3RvbTI+
PGVsZWN0cm9uaWMtcmVzb3VyY2UtbnVtPjEwLjEwMzgvaWpvLjIwMTcuNDQ8L2VsZWN0cm9uaWMt
cmVzb3VyY2UtbnVtPjwvcmVjb3JkPjwvQ2l0ZT48L0VuZE5vdGU+AG==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PEVuZE5vdGU+PENpdGU+PEF1dGhvcj5Qb3N0b248L0F1dGhvcj48WWVhcj4yMDE1PC9ZZWFyPjxS
ZWNOdW0+NjEyPC9SZWNOdW0+PERpc3BsYXlUZXh0PjxzdHlsZSBmYWNlPSJzdXBlcnNjcmlwdCIg
Zm9udD0iVHJlYnVjaGV0IE1TIiBzaXplPSI5Ij41MTMsNTUyPC9zdHlsZT48L0Rpc3BsYXlUZXh0
PjxyZWNvcmQ+PHJlYy1udW1iZXI+NjEyPC9yZWMtbnVtYmVyPjxmb3JlaWduLWtleXM+PGtleSBh
cHA9IkVOIiBkYi1pZD0iZXh2YXNyZngyZHRyYW9lc2FzeHAyc3pzeGEyZGY1MDI1OTJ4IiB0aW1l
c3RhbXA9IjE1MzkwNDgzNDgiPjYxMjwva2V5PjxrZXkgYXBwPSJFTldlYiIgZGItaWQ9IiI+MDwv
a2V5PjwvZm9yZWlnbi1rZXlzPjxyZWYtdHlwZSBuYW1lPSJKb3VybmFsIEFydGljbGUiPjE3PC9y
ZWYtdHlwZT48Y29udHJpYnV0b3JzPjxhdXRob3JzPjxhdXRob3I+UG9zdG9uLCBMLiw8L2F1dGhv
cj48YXV0aG9yPkJlbGwsIFIuLDwvYXV0aG9yPjxhdXRob3I+Q3Jva2VyLCBILiw8L2F1dGhvcj48
YXV0aG9yPkZseW5uLCBBLkMuLDwvYXV0aG9yPjxhdXRob3I+R29kZnJleSwgSy5NLiw8L2F1dGhv
cj48YXV0aG9yPkdvZmYsIEwuLDwvYXV0aG9yPjwvYXV0aG9ycz48L2NvbnRyaWJ1dG9ycz48dGl0
bGVzPjx0aXRsZT5FZmZlY3Qgb2YgYSBiZWhhdmlvdXJhbCBpbnRlcnZlbnRpb24gaW4gb2Jlc2Ug
cHJlZ25hbnQgd29tZW4gKHRoZSBVUEJFQVQgc3R1ZHkpOiBhIG11bHRpY2VudHJlLCByYW5kb21p
c2VkIGNvbnRyb2xsZWQgdHJpYWw8L3RpdGxlPjxzZWNvbmRhcnktdGl0bGU+VGhlIExhbmNldCBE
aWFiZXRlcyAmYW1wOyBFbmRvY3Jpbm9sb2d5PC9zZWNvbmRhcnktdGl0bGU+PC90aXRsZXM+PHBl
cmlvZGljYWw+PGZ1bGwtdGl0bGU+VGhlIExhbmNldCBEaWFiZXRlcyAmYW1wOyBFbmRvY3Jpbm9s
b2d5PC9mdWxsLXRpdGxlPjwvcGVyaW9kaWNhbD48cGFnZXM+NzY3LTc3NzwvcGFnZXM+PHZvbHVt
ZT4zPC92b2x1bWU+PG51bWJlcj4xMDwvbnVtYmVyPjxzZWN0aW9uPjc2Nzwvc2VjdGlvbj48ZGF0
ZXM+PHllYXI+MjAxNTwveWVhcj48L2RhdGVzPjxpc2JuPjIyMTM4NTg3PC9pc2JuPjx1cmxzPjwv
dXJscz48ZWxlY3Ryb25pYy1yZXNvdXJjZS1udW0+MTAuMTAxNi9zMjIxMy04NTg3KDE1KTAwMjI3
LTI8L2VsZWN0cm9uaWMtcmVzb3VyY2UtbnVtPjwvcmVjb3JkPjwvQ2l0ZT48Q2l0ZT48QXV0aG9y
PlBhdGVsPC9BdXRob3I+PFllYXI+MjAxNzwvWWVhcj48UmVjTnVtPjkyOTwvUmVjTnVtPjxyZWNv
cmQ+PHJlYy1udW1iZXI+OTI5PC9yZWMtbnVtYmVyPjxmb3JlaWduLWtleXM+PGtleSBhcHA9IkVO
IiBkYi1pZD0iZXh2YXNyZngyZHRyYW9lc2FzeHAyc3pzeGEyZGY1MDI1OTJ4IiB0aW1lc3RhbXA9
IjE1NDE1NDA5NDEiPjkyOTwva2V5PjxrZXkgYXBwPSJFTldlYiIgZGItaWQ9IiI+MDwva2V5Pjwv
Zm9yZWlnbi1rZXlzPjxyZWYtdHlwZSBuYW1lPSJKb3VybmFsIEFydGljbGUiPjE3PC9yZWYtdHlw
ZT48Y29udHJpYnV0b3JzPjxhdXRob3JzPjxhdXRob3I+UGF0ZWwsIE4uPC9hdXRob3I+PGF1dGhv
cj5Hb2RmcmV5LCBLLiBNLjwvYXV0aG9yPjxhdXRob3I+UGFzdXBhdGh5LCBELjwvYXV0aG9yPjxh
dXRob3I+TGV2aW4sIEouPC9hdXRob3I+PGF1dGhvcj5GbHlubiwgQS4gQy48L2F1dGhvcj48YXV0
aG9yPkhheWVzLCBMLjwvYXV0aG9yPjxhdXRob3I+QnJpbGV5LCBBLiBMLjwvYXV0aG9yPjxhdXRo
b3I+QmVsbCwgUi48L2F1dGhvcj48YXV0aG9yPkxhd2xvciwgRC4gQS48L2F1dGhvcj48YXV0aG9y
Pk90ZW5nLU50aW0sIEUuPC9hdXRob3I+PGF1dGhvcj5OZWxzb24sIFMuIE0uPC9hdXRob3I+PGF1
dGhvcj5Sb2Jzb24sIFMuIEMuPC9hdXRob3I+PGF1dGhvcj5TYXR0YXIsIE4uPC9hdXRob3I+PGF1
dGhvcj5TaW5naCwgQy48L2F1dGhvcj48YXV0aG9yPldhcmRsZSwgSi48L2F1dGhvcj48YXV0aG9y
PldoaXRlLCBTLiBMLjwvYXV0aG9yPjxhdXRob3I+U2VlZCwgUC4gVC48L2F1dGhvcj48YXV0aG9y
PlBvc3RvbiwgTC48L2F1dGhvcj48L2F1dGhvcnM+PC9jb250cmlidXRvcnM+PGF1dGgtYWRkcmVz
cz5EaXZpc2lvbiBvZiBXb21lbiZhcG9zO3MgSGVhbHRoLCBXb21lbiZhcG9zO3MgSGVhbHRoIEFj
YWRlbWljIENlbnRyZSwgRmFjdWx0eSBvZiBMaWZlIFNjaWVuY2VzIGFuZCBNZWRpY2luZSwgS2lu
ZyZhcG9zO3MgQ29sbGVnZSBMb25kb24sIFN0IFRob21hcyZhcG9zOyBIb3NwaXRhbCwgTG9uZG9u
LCBVSy4mI3hEO01SQyBMaWZlY291cnNlIEVwaWRlbWlvbG9neSBVbml0IGFuZCBOSUhSIFNvdXRo
YW1wdG9uIEJpb21lZGljYWwgUmVzZWFyY2ggQ2VudHJlLCBVbml2ZXJzaXR5IG9mIFNvdXRoYW1w
dG9uIGFuZCBVbml2ZXJzaXR5IEhvc3BpdGFsIFNvdXRoYW1wdG9uIE5IUyBGb3VuZGF0aW9uIFRy
dXN0LCBTb3V0aGFtcHRvbiwgVUsuJiN4RDtGYWN1bHR5IG9mIEVwaWRlbWlvbG9neSBhbmQgUG9w
dWxhdGlvbiBIZWFsdGgsIExvbmRvbiBTY2hvb2wgb2YgSHlnaWVuZSBhbmQgVHJvcGljYWwgTWVk
aWNpbmUsIExvbmRvbiwgVUsuJiN4RDtEaXZpc2lvbiBvZiBEaWFiZXRlcyBhbmQgTnV0cml0aW9u
YWwgU2NpZW5jZXMsIEtpbmcmYXBvcztzIENvbGxlZ2UgTG9uZG9uLCBMb25kb24sIFVLLiYjeEQ7
SW5zdGl0dXRlIG9mIEhlYWx0aCBhbmQgU29jaWV0eSwgTmV3Y2FzdGxlIFVuaXZlcnNpdHksIE5l
d2Nhc3RsZSB1cG9uIFR5bmUsIFVLLiYjeEQ7TVJDIEludGVncmF0aXZlIEVwaWRlbWlvbG9neSBV
bml0IGF0IHRoZSBVbml2ZXJzaXR5IG9mIEJyaXN0b2wgYW5kIFNjaG9vbCBvZiBTb2NpYWwgYW5k
IENvbW11bml0eSBNZWRpY2luZSwgQnJpc3RvbCwgVUsuJiN4RDtEZXBhcnRtZW50IG9mIE9ic3Rl
dHJpY3MgYW5kIEd5bmFlY29sb2d5LCBHdXlzIGFuZCBTdCBUaG9tYXMmYXBvczsgTkhTIEZvdW5k
YXRpb24gVHJ1c3QsIExvbmRvbiwgVUsuJiN4RDtTY2hvb2wgb2YgTWVkaWNpbmUsIFVuaXZlcnNp
dHkgb2YgR2xhc2dvdywgR2xhc2dvdywgVUsuJiN4RDtJbnN0aXR1dGUgb2YgQ2VsbHVsYXIgTWVk
aWNpbmUgVXRlcmluZSBDZWxsIFNpZ25hbGxpbmcgR3JvdXAgTmV3Y2FzdGxlIFVuaXZlcnNpdHks
IE5ld2Nhc3RsZSwgVUsuJiN4RDtJbnN0aXR1dGUgb2YgQ2FyZGlvdmFzY3VsYXIgYW5kIE1lZGlj
YWwgU2NpZW5jZXMsIFVuaXZlcnNpdHkgb2YgR2xhc2dvdywgR2xhc2dvdywgVUsuJiN4RDtIZWFs
dGggQmVoYXZpb3VyIFJlc2VhcmNoIENlbnRyZSwgSW5zdGl0dXRlIG9mIEVwaWRlbWlvbG9neSBh
bmQgSGVhbHRoLCBVbml2ZXJzaXR5IENvbGxlZ2UgTG9uZG9uLCBMb25kb24sIFVLLjwvYXV0aC1h
ZGRyZXNzPjx0aXRsZXM+PHRpdGxlPkluZmFudCBhZGlwb3NpdHkgZm9sbG93aW5nIGEgcmFuZG9t
aXNlZCBjb250cm9sbGVkIHRyaWFsIG9mIGEgYmVoYXZpb3VyYWwgaW50ZXJ2ZW50aW9uIGluIG9i
ZXNlIHByZWduYW5jeTwvdGl0bGU+PHNlY29uZGFyeS10aXRsZT5JbnQgSiBPYmVzIChMb25kKTwv
c2Vjb25kYXJ5LXRpdGxlPjwvdGl0bGVzPjxwZXJpb2RpY2FsPjxmdWxsLXRpdGxlPkludCBKIE9i
ZXMgKExvbmQpPC9mdWxsLXRpdGxlPjwvcGVyaW9kaWNhbD48cGFnZXM+MTAxOC0xMDI2PC9wYWdl
cz48dm9sdW1lPjQxPC92b2x1bWU+PG51bWJlcj43PC9udW1iZXI+PGVkaXRpb24+MjAxNy8wMi8y
MjwvZWRpdGlvbj48a2V5d29yZHM+PGtleXdvcmQ+QWRpcG9zaXR5LypwaHlzaW9sb2d5PC9rZXl3
b3JkPjxrZXl3b3JkPkFkdWx0PC9rZXl3b3JkPjxrZXl3b3JkPkJvZHkgTWFzcyBJbmRleDwva2V5
d29yZD48a2V5d29yZD5DaGlsZCBEZXZlbG9wbWVudC8qcGh5c2lvbG9neTwva2V5d29yZD48a2V5
d29yZD5EaWV0PC9rZXl3b3JkPjxrZXl3b3JkPkV4ZXJjaXNlPC9rZXl3b3JkPjxrZXl3b3JkPkZl
bWFsZTwva2V5d29yZD48a2V5d29yZD5Gb2xsb3ctVXAgU3R1ZGllczwva2V5d29yZD48a2V5d29y
ZD5IdW1hbnM8L2tleXdvcmQ+PGtleXdvcmQ+SW5mYW50PC9rZXl3b3JkPjxrZXl3b3JkPkluZmFu
dCwgTmV3Ym9ybjwva2V5d29yZD48a2V5d29yZD5NYWxlPC9rZXl3b3JkPjxrZXl3b3JkPipNYXRl
cm5hbCBOdXRyaXRpb25hbCBQaHlzaW9sb2dpY2FsIFBoZW5vbWVuYTwva2V5d29yZD48a2V5d29y
ZD5Nb3RoZXJzPC9rZXl3b3JkPjxrZXl3b3JkPk9iZXNpdHkvZXBpZGVtaW9sb2d5L3BoeXNpb3Bh
dGhvbG9neS8qcHJldmVudGlvbiAmYW1wOyBjb250cm9sPC9rZXl3b3JkPjxrZXl3b3JkPlBvc3Rw
YXJ0dW0gUGVyaW9kLypwaHlzaW9sb2d5PC9rZXl3b3JkPjxrZXl3b3JkPlByZWduYW5jeTwva2V5
d29yZD48a2V5d29yZD5QcmVnbmFuY3kgQ29tcGxpY2F0aW9ucy9lcGlkZW1pb2xvZ3kvcGh5c2lv
cGF0aG9sb2d5LypwcmV2ZW50aW9uICZhbXA7IGNvbnRyb2w8L2tleXdvcmQ+PGtleXdvcmQ+KlBy
ZW5hdGFsIE51dHJpdGlvbmFsIFBoeXNpb2xvZ2ljYWwgUGhlbm9tZW5hPC9rZXl3b3JkPjxrZXl3
b3JkPlJpc2sgUmVkdWN0aW9uIEJlaGF2aW9yPC9rZXl3b3JkPjxrZXl3b3JkPlNraW5mb2xkIFRo
aWNrbmVzczwva2V5d29yZD48a2V5d29yZD5TdXJ2ZXlzIGFuZCBRdWVzdGlvbm5haXJlczwva2V5
d29yZD48a2V5d29yZD5Vbml0ZWQgS2luZ2RvbS9lcGlkZW1pb2xvZ3k8L2tleXdvcmQ+PGtleXdv
cmQ+V2VpZ2h0IEdhaW4vKnBoeXNpb2xvZ3k8L2tleXdvcmQ+PC9rZXl3b3Jkcz48ZGF0ZXM+PHll
YXI+MjAxNzwveWVhcj48cHViLWRhdGVzPjxkYXRlPkp1bDwvZGF0ZT48L3B1Yi1kYXRlcz48L2Rh
dGVzPjxpc2JuPjE0NzYtNTQ5NyAoRWxlY3Ryb25pYykmI3hEOzAzMDctMDU2NSAoTGlua2luZyk8
L2lzYm4+PGFjY2Vzc2lvbi1udW0+MjgyMTY2NDQ8L2FjY2Vzc2lvbi1udW0+PHVybHM+PHJlbGF0
ZWQtdXJscz48dXJsPmh0dHBzOi8vd3d3Lm5jYmkubmxtLm5paC5nb3YvcHVibWVkLzI4MjE2NjQ0
PC91cmw+PC9yZWxhdGVkLXVybHM+PC91cmxzPjxjdXN0b20yPlBNQzU0ODIzOTU8L2N1c3RvbTI+
PGVsZWN0cm9uaWMtcmVzb3VyY2UtbnVtPjEwLjEwMzgvaWpvLjIwMTcuNDQ8L2VsZWN0cm9uaWMt
cmVzb3VyY2UtbnVtPjwvcmVjb3JkPjwvQ2l0ZT48L0VuZE5vdGU+AG==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513,552</w:t>
            </w:r>
            <w:r>
              <w:rPr>
                <w:rFonts w:ascii="Century Gothic" w:hAnsi="Century Gothic"/>
                <w:noProof/>
              </w:rPr>
              <w:fldChar w:fldCharType="end"/>
            </w:r>
          </w:p>
        </w:tc>
      </w:tr>
      <w:tr w:rsidR="008E765F" w:rsidRPr="00822EBF" w14:paraId="33F9C600" w14:textId="77777777" w:rsidTr="005A5EBF">
        <w:trPr>
          <w:cantSplit/>
        </w:trPr>
        <w:tc>
          <w:tcPr>
            <w:tcW w:w="1560" w:type="dxa"/>
            <w:shd w:val="clear" w:color="D9E2F3" w:themeColor="accent1" w:themeTint="33" w:fill="auto"/>
          </w:tcPr>
          <w:p w14:paraId="3A8973CD"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462C586A"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2E48A54A" w14:textId="77777777" w:rsidR="008E765F" w:rsidRPr="00822EBF" w:rsidRDefault="008E765F" w:rsidP="00611251">
            <w:pPr>
              <w:pStyle w:val="RCTstable"/>
              <w:keepNext/>
            </w:pPr>
            <w:r>
              <w:t>“</w:t>
            </w:r>
            <w:r w:rsidRPr="00822EBF">
              <w:t>We used a computer-generated randomisation procedure via a password-protected website</w:t>
            </w:r>
            <w:r>
              <w:t>.”</w:t>
            </w:r>
          </w:p>
        </w:tc>
      </w:tr>
      <w:tr w:rsidR="008E765F" w:rsidRPr="00822EBF" w14:paraId="704FBF34" w14:textId="77777777" w:rsidTr="005A5EBF">
        <w:trPr>
          <w:cantSplit/>
        </w:trPr>
        <w:tc>
          <w:tcPr>
            <w:tcW w:w="1560" w:type="dxa"/>
            <w:shd w:val="clear" w:color="D9E2F3" w:themeColor="accent1" w:themeTint="33" w:fill="auto"/>
          </w:tcPr>
          <w:p w14:paraId="102DB7BC" w14:textId="77777777" w:rsidR="008E765F" w:rsidRPr="00822EBF" w:rsidRDefault="008E765F" w:rsidP="00611251">
            <w:pPr>
              <w:pStyle w:val="RCTstable"/>
              <w:keepNext/>
            </w:pPr>
            <w:r w:rsidRPr="00822EBF">
              <w:t xml:space="preserve">Allocation concealment </w:t>
            </w:r>
          </w:p>
        </w:tc>
        <w:tc>
          <w:tcPr>
            <w:tcW w:w="1275" w:type="dxa"/>
            <w:shd w:val="clear" w:color="D9E2F3" w:themeColor="accent1" w:themeTint="33" w:fill="70AD47" w:themeFill="accent6"/>
          </w:tcPr>
          <w:p w14:paraId="44EE5095"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05964132" w14:textId="77777777" w:rsidR="008E765F" w:rsidRPr="00822EBF" w:rsidRDefault="008E765F" w:rsidP="00611251">
            <w:pPr>
              <w:pStyle w:val="RCTstable"/>
              <w:keepNext/>
            </w:pPr>
            <w:r>
              <w:t>“A</w:t>
            </w:r>
            <w:r w:rsidRPr="00822EBF">
              <w:t>llocation to study groups was done by centre’s UPBEAT trial midwife</w:t>
            </w:r>
            <w:r>
              <w:t>.”</w:t>
            </w:r>
          </w:p>
        </w:tc>
      </w:tr>
      <w:tr w:rsidR="008E765F" w:rsidRPr="00822EBF" w14:paraId="1EB2B094" w14:textId="77777777" w:rsidTr="005A5EBF">
        <w:trPr>
          <w:cantSplit/>
        </w:trPr>
        <w:tc>
          <w:tcPr>
            <w:tcW w:w="1560" w:type="dxa"/>
            <w:shd w:val="clear" w:color="D9E2F3" w:themeColor="accent1" w:themeTint="33" w:fill="auto"/>
          </w:tcPr>
          <w:p w14:paraId="3E6715E4"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13BFAA2A"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3AEFDB09" w14:textId="77777777" w:rsidR="008E765F" w:rsidRPr="00822EBF" w:rsidRDefault="008E765F" w:rsidP="00611251">
            <w:pPr>
              <w:pStyle w:val="RCTstable"/>
            </w:pPr>
            <w:r>
              <w:t>“I</w:t>
            </w:r>
            <w:r w:rsidRPr="00822EBF">
              <w:t xml:space="preserve">n view of the nature of the intervention, participants and </w:t>
            </w:r>
            <w:r>
              <w:t>staff were aware of allocations.”</w:t>
            </w:r>
          </w:p>
        </w:tc>
      </w:tr>
      <w:tr w:rsidR="008E765F" w:rsidRPr="00822EBF" w14:paraId="7ED92F5C" w14:textId="77777777" w:rsidTr="005A5EBF">
        <w:trPr>
          <w:cantSplit/>
        </w:trPr>
        <w:tc>
          <w:tcPr>
            <w:tcW w:w="1560" w:type="dxa"/>
            <w:shd w:val="clear" w:color="D9E2F3" w:themeColor="accent1" w:themeTint="33" w:fill="auto"/>
          </w:tcPr>
          <w:p w14:paraId="482CDC1B"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7C04D67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60A396B3" w14:textId="77777777" w:rsidR="008E765F" w:rsidRPr="00822EBF" w:rsidRDefault="008E765F" w:rsidP="00611251">
            <w:pPr>
              <w:pStyle w:val="RCTstable"/>
            </w:pPr>
            <w:r w:rsidRPr="00822EBF">
              <w:t>Not described</w:t>
            </w:r>
            <w:r>
              <w:t>.</w:t>
            </w:r>
          </w:p>
        </w:tc>
      </w:tr>
      <w:tr w:rsidR="008E765F" w:rsidRPr="00822EBF" w14:paraId="14E1CDCF" w14:textId="77777777" w:rsidTr="005A5EBF">
        <w:trPr>
          <w:cantSplit/>
        </w:trPr>
        <w:tc>
          <w:tcPr>
            <w:tcW w:w="1560" w:type="dxa"/>
            <w:shd w:val="clear" w:color="D9E2F3" w:themeColor="accent1" w:themeTint="33" w:fill="auto"/>
          </w:tcPr>
          <w:p w14:paraId="6CFAD08F" w14:textId="77777777" w:rsidR="008E765F" w:rsidRPr="00822EBF" w:rsidRDefault="008E765F" w:rsidP="00611251">
            <w:pPr>
              <w:pStyle w:val="RCTstable"/>
            </w:pPr>
            <w:r w:rsidRPr="00822EBF">
              <w:t>Incomplete outcome data</w:t>
            </w:r>
          </w:p>
        </w:tc>
        <w:tc>
          <w:tcPr>
            <w:tcW w:w="1275" w:type="dxa"/>
            <w:shd w:val="clear" w:color="D9E2F3" w:themeColor="accent1" w:themeTint="33" w:fill="FFC000" w:themeFill="accent4"/>
          </w:tcPr>
          <w:p w14:paraId="6D1FECC4"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CCB0DEA" w14:textId="77777777" w:rsidR="008E765F" w:rsidRPr="00822EBF" w:rsidRDefault="008E765F" w:rsidP="00611251">
            <w:pPr>
              <w:pStyle w:val="RCTstable"/>
            </w:pPr>
            <w:r>
              <w:t>P</w:t>
            </w:r>
            <w:r w:rsidRPr="00822EBF">
              <w:t xml:space="preserve">rimary outcome data were available for </w:t>
            </w:r>
            <w:r>
              <w:t>80% of</w:t>
            </w:r>
            <w:r w:rsidRPr="00822EBF">
              <w:t xml:space="preserve"> </w:t>
            </w:r>
            <w:r>
              <w:t>women and 97% of</w:t>
            </w:r>
            <w:r w:rsidRPr="00822EBF">
              <w:t xml:space="preserve"> infants</w:t>
            </w:r>
            <w:r>
              <w:t xml:space="preserve"> in the intervention group and 84% of</w:t>
            </w:r>
            <w:r w:rsidRPr="00822EBF">
              <w:t xml:space="preserve"> mothers and</w:t>
            </w:r>
            <w:r>
              <w:t xml:space="preserve"> 97% of</w:t>
            </w:r>
            <w:r w:rsidRPr="00822EBF">
              <w:t xml:space="preserve"> infants</w:t>
            </w:r>
            <w:r>
              <w:t xml:space="preserve"> in the control group. Authors reported that “</w:t>
            </w:r>
            <w:r w:rsidRPr="00822EBF">
              <w:t>the main reason for missing outcome data was that participants declined</w:t>
            </w:r>
            <w:r>
              <w:t xml:space="preserve"> to attend further study visits.” </w:t>
            </w:r>
            <w:r w:rsidRPr="00822EBF">
              <w:t>More women in the intervention group (16%) compared with the control group (12%) failed to complete the</w:t>
            </w:r>
            <w:r>
              <w:t xml:space="preserve"> </w:t>
            </w:r>
            <w:r w:rsidRPr="00822EBF">
              <w:t>OGTT required for the primary outcome</w:t>
            </w:r>
            <w:r>
              <w:t>.</w:t>
            </w:r>
          </w:p>
        </w:tc>
      </w:tr>
      <w:tr w:rsidR="008E765F" w:rsidRPr="00822EBF" w14:paraId="383AD0B3" w14:textId="77777777" w:rsidTr="005A5EBF">
        <w:trPr>
          <w:cantSplit/>
        </w:trPr>
        <w:tc>
          <w:tcPr>
            <w:tcW w:w="1560" w:type="dxa"/>
            <w:shd w:val="clear" w:color="D9E2F3" w:themeColor="accent1" w:themeTint="33" w:fill="auto"/>
          </w:tcPr>
          <w:p w14:paraId="35A14528"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06E6E9E6"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3A7D247" w14:textId="77777777" w:rsidR="008E765F" w:rsidRPr="00822EBF" w:rsidRDefault="008E765F" w:rsidP="00611251">
            <w:pPr>
              <w:pStyle w:val="RCTstable"/>
            </w:pPr>
            <w:r>
              <w:t>Pre-specified outcomes reported.</w:t>
            </w:r>
          </w:p>
        </w:tc>
      </w:tr>
      <w:tr w:rsidR="008E765F" w:rsidRPr="00822EBF" w14:paraId="45E9439B" w14:textId="77777777" w:rsidTr="005A5EBF">
        <w:trPr>
          <w:cantSplit/>
        </w:trPr>
        <w:tc>
          <w:tcPr>
            <w:tcW w:w="1560" w:type="dxa"/>
            <w:shd w:val="clear" w:color="D9E2F3" w:themeColor="accent1" w:themeTint="33" w:fill="auto"/>
          </w:tcPr>
          <w:p w14:paraId="436533E0"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1C83F1D8"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CE19A4D" w14:textId="77777777" w:rsidR="008E765F" w:rsidRPr="00822EBF" w:rsidRDefault="008E765F" w:rsidP="00611251">
            <w:pPr>
              <w:pStyle w:val="RCTstable"/>
            </w:pPr>
            <w:r w:rsidRPr="00822EBF">
              <w:t>No obvious sources of other bias identified</w:t>
            </w:r>
            <w:r>
              <w:t>.</w:t>
            </w:r>
          </w:p>
        </w:tc>
      </w:tr>
      <w:tr w:rsidR="008E765F" w:rsidRPr="00D93E90" w14:paraId="67BCF9C1" w14:textId="77777777" w:rsidTr="005A5EBF">
        <w:trPr>
          <w:cantSplit/>
        </w:trPr>
        <w:tc>
          <w:tcPr>
            <w:tcW w:w="14034" w:type="dxa"/>
            <w:gridSpan w:val="3"/>
            <w:shd w:val="solid" w:color="D9E2F3" w:themeColor="accent1" w:themeTint="33" w:fill="auto"/>
          </w:tcPr>
          <w:p w14:paraId="20D35DAA" w14:textId="7A2FFFE8" w:rsidR="008E765F" w:rsidRPr="00D93E90" w:rsidRDefault="008E765F" w:rsidP="002747EA">
            <w:pPr>
              <w:pStyle w:val="RCTstable"/>
              <w:keepNext/>
              <w:rPr>
                <w:b/>
              </w:rPr>
            </w:pPr>
            <w:r w:rsidRPr="0025597C">
              <w:rPr>
                <w:rFonts w:ascii="Century Gothic" w:hAnsi="Century Gothic"/>
                <w:b/>
                <w:noProof/>
              </w:rPr>
              <w:t>Rauh et al 2013</w:t>
            </w:r>
            <w:r>
              <w:rPr>
                <w:rFonts w:ascii="Century Gothic" w:hAnsi="Century Gothic"/>
                <w:noProof/>
              </w:rPr>
              <w:fldChar w:fldCharType="begin">
                <w:fldData xml:space="preserve">PEVuZE5vdGU+PENpdGU+PEF1dGhvcj5SYXVoPC9BdXRob3I+PFllYXI+MjAxMzwvWWVhcj48UmVj
TnVtPjExMDk8L1JlY051bT48RGlzcGxheVRleHQ+PHN0eWxlIGZhY2U9InN1cGVyc2NyaXB0IiBm
b250PSJUcmVidWNoZXQgTVMiIHNpemU9IjkiPjQ5Niw1NTQ8L3N0eWxlPjwvRGlzcGxheVRleHQ+
PHJlY29yZD48cmVjLW51bWJlcj4xMTA5PC9yZWMtbnVtYmVyPjxmb3JlaWduLWtleXM+PGtleSBh
cHA9IkVOIiBkYi1pZD0iZXh2YXNyZngyZHRyYW9lc2FzeHAyc3pzeGEyZGY1MDI1OTJ4IiB0aW1l
c3RhbXA9IjE1NTI5NDg0ODUiPjExMDk8L2tleT48L2ZvcmVpZ24ta2V5cz48cmVmLXR5cGUgbmFt
ZT0iSm91cm5hbCBBcnRpY2xlIj4xNzwvcmVmLXR5cGU+PGNvbnRyaWJ1dG9ycz48YXV0aG9ycz48
YXV0aG9yPlJhdWgsIEsuPC9hdXRob3I+PGF1dGhvcj5HYWJyaWVsLCBFLjwvYXV0aG9yPjxhdXRo
b3I+S2Vyc2NoYmF1bSwgRS48L2F1dGhvcj48YXV0aG9yPlNjaHVzdGVyLCBULjwvYXV0aG9yPjxh
dXRob3I+dm9uIEtyaWVzLCBSLjwvYXV0aG9yPjxhdXRob3I+QW1hbm4tR2Fzc25lciwgVS48L2F1
dGhvcj48YXV0aG9yPkhhdW5lciwgSC48L2F1dGhvcj48L2F1dGhvcnM+PC9jb250cmlidXRvcnM+
PHRpdGxlcz48dGl0bGU+U2FmZXR5IGFuZCBlZmZpY2FjeSBvZiBhIGxpZmVzdHlsZSBpbnRlcnZl
bnRpb24gZm9yIHByZWduYW50IHdvbWVuIHRvIHByZXZlbnQgZXhjZXNzaXZlIG1hdGVybmFsIHdl
aWdodCBnYWluOiBhIGNsdXN0ZXItcmFuZG9taXplZCBjb250cm9sbGVkIHRyaWFsPC90aXRsZT48
c2Vjb25kYXJ5LXRpdGxlPkJNQyBQcmVnbmFuY3kgQ2hpbGRiaXJ0aDwvc2Vjb25kYXJ5LXRpdGxl
PjwvdGl0bGVzPjxwZXJpb2RpY2FsPjxmdWxsLXRpdGxlPkJNQyBQcmVnbmFuY3kgQ2hpbGRiaXJ0
aDwvZnVsbC10aXRsZT48L3BlcmlvZGljYWw+PHBhZ2VzPjE1MTwvcGFnZXM+PHZvbHVtZT4xMzwv
dm9sdW1lPjxlZGl0aW9uPjIwMTMvMDcvMjA8L2VkaXRpb24+PGtleXdvcmRzPjxrZXl3b3JkPkFk
dWx0PC9rZXl3b3JkPjxrZXl3b3JkPipCaXJ0aCBXZWlnaHQ8L2tleXdvcmQ+PGtleXdvcmQ+Q291
bnNlbGluZy8qbWV0aG9kczwva2V5d29yZD48a2V5d29yZD4qRW5lcmd5IEludGFrZTwva2V5d29y
ZD48a2V5d29yZD5GZWFzaWJpbGl0eSBTdHVkaWVzPC9rZXl3b3JkPjxrZXl3b3JkPkZlbWFsZTwv
a2V5d29yZD48a2V5d29yZD5IdW1hbnM8L2tleXdvcmQ+PGtleXdvcmQ+SW5mYW50LCBOZXdib3Ju
PC9rZXl3b3JkPjxrZXl3b3JkPipNb3RvciBBY3Rpdml0eTwva2V5d29yZD48a2V5d29yZD5PYmVz
aXR5LypwcmV2ZW50aW9uICZhbXA7IGNvbnRyb2w8L2tleXdvcmQ+PGtleXdvcmQ+T3ZlcndlaWdo
dC9wcmV2ZW50aW9uICZhbXA7IGNvbnRyb2w8L2tleXdvcmQ+PGtleXdvcmQ+UG9zdHBhcnR1bSBQ
ZXJpb2Q8L2tleXdvcmQ+PGtleXdvcmQ+UHJlZ25hbmN5PC9rZXl3b3JkPjxrZXl3b3JkPlByZWdu
YW5jeSBDb21wbGljYXRpb25zLypwcmV2ZW50aW9uICZhbXA7IGNvbnRyb2w8L2tleXdvcmQ+PGtl
eXdvcmQ+UHJlZ25hbmN5IE91dGNvbWU8L2tleXdvcmQ+PGtleXdvcmQ+KldlaWdodCBHYWluPC9r
ZXl3b3JkPjwva2V5d29yZHM+PGRhdGVzPjx5ZWFyPjIwMTM8L3llYXI+PHB1Yi1kYXRlcz48ZGF0
ZT5KdWwgMTY8L2RhdGU+PC9wdWItZGF0ZXM+PC9kYXRlcz48aXNibj4xNDcxLTIzOTMgKEVsZWN0
cm9uaWMpJiN4RDsxNDcxLTIzOTMgKExpbmtpbmcpPC9pc2JuPjxhY2Nlc3Npb24tbnVtPjIzODY1
NjI0PC9hY2Nlc3Npb24tbnVtPjx1cmxzPjxyZWxhdGVkLXVybHM+PHVybD5odHRwczovL3d3dy5u
Y2JpLm5sbS5uaWguZ292L3B1Ym1lZC8yMzg2NTYyNDwvdXJsPjwvcmVsYXRlZC11cmxzPjwvdXJs
cz48Y3VzdG9tMj5QTUMzNzE4NzA3PC9jdXN0b20yPjxlbGVjdHJvbmljLXJlc291cmNlLW51bT4x
MC4xMTg2LzE0NzEtMjM5My0xMy0xNTE8L2VsZWN0cm9uaWMtcmVzb3VyY2UtbnVtPjwvcmVjb3Jk
PjwvQ2l0ZT48Q2l0ZT48QXV0aG9yPlJhdWg8L0F1dGhvcj48WWVhcj4yMDE1PC9ZZWFyPjxSZWNO
dW0+NzUzPC9SZWNOdW0+PHJlY29yZD48cmVjLW51bWJlcj43NTM8L3JlYy1udW1iZXI+PGZvcmVp
Z24ta2V5cz48a2V5IGFwcD0iRU4iIGRiLWlkPSJleHZhc3JmeDJkdHJhb2VzYXN4cDJzenN4YTJk
ZjUwMjU5MngiIHRpbWVzdGFtcD0iMTU0MTQ2Nzk0NyI+NzUzPC9rZXk+PGtleSBhcHA9IkVOV2Vi
IiBkYi1pZD0iIj4wPC9rZXk+PC9mb3JlaWduLWtleXM+PHJlZi10eXBlIG5hbWU9IkpvdXJuYWwg
QXJ0aWNsZSI+MTc8L3JlZi10eXBlPjxjb250cmlidXRvcnM+PGF1dGhvcnM+PGF1dGhvcj5SYXVo
LCBLLjwvYXV0aG9yPjxhdXRob3I+R3VudGhlciwgSi48L2F1dGhvcj48YXV0aG9yPkt1bmF0aCwg
Si48L2F1dGhvcj48YXV0aG9yPlN0ZWNoZXIsIEwuPC9hdXRob3I+PGF1dGhvcj5IYXVuZXIsIEgu
PC9hdXRob3I+PC9hdXRob3JzPjwvY29udHJpYnV0b3JzPjxhdXRoLWFkZHJlc3M+WklFTCAtIFJl
c2VhcmNoIENlbnRyZSBmb3IgTnV0cml0aW9uIGFuZCBGb29kIFNjaWVuY2VzLCBUZWNobmlzY2hl
IFVuaXZlcnNpdGF0IE11bmNoZW4sIEZyZWlzaW5nLVdlaWhlbnN0ZXBoYW4sIEdlcm1hbnkuIEth
dGhyaW4uUmF1aEBLRXJuLmJheWVybi5kZS4mI3hEO0NvbXBldGVuY2UgQ2VudHJlIGZvciBOdXRy
aXRpb24gKEtFcm4pLCBGcmVpc2luZywgR2VybWFueS4gS2F0aHJpbi5SYXVoQEtFcm4uYmF5ZXJu
LmRlLiYjeEQ7WklFTCAtIFJlc2VhcmNoIENlbnRyZSBmb3IgTnV0cml0aW9uIGFuZCBGb29kIFNj
aWVuY2VzLCBUZWNobmlzY2hlIFVuaXZlcnNpdGF0IE11bmNoZW4sIEZyZWlzaW5nLVdlaWhlbnN0
ZXBoYW4sIEdlcm1hbnkuIGp1bGlhLmd1ZW50aGVyQHR1bS5kZS4mI3hEO0Vsc2UgS3JvbmVyLUZy
ZXNlbml1cy1DZW50ZXIgZm9yIE51dHJpdGlvbmFsIE1lZGljaW5lLCBDaGFpciBvZiBOdXRyaXRp
b25hbCBNZWRpY2luZSwgVGVjaG5pc2NoZSBVbml2ZXJzaXRhdCBNdW5jaGVuLCBGcmVpc2luZy1X
ZWloZW5zdGVwaGFuLCBHZXJtYW55LiBqdWxpYS5ndWVudGhlckB0dW0uZGUuJiN4RDtFbHNlIEty
b25lci1GcmVzZW5pdXMtQ2VudHJlIGZvciBOdXRyaXRpb25hbCBNZWRpY2luZSwgS2xpbmlrdW0g
cmVjaHRzIGRlciBJc2FyLCBUZWNobmlzY2hlIFVuaXZlcnNpdGF0IE11bmNoZW4sIE11bmljaCwg
R2VybWFueS4ganVsaWEuZ3VlbnRoZXJAdHVtLmRlLiYjeEQ7WklFTCAtIFJlc2VhcmNoIENlbnRy
ZSBmb3IgTnV0cml0aW9uIGFuZCBGb29kIFNjaWVuY2VzLCBUZWNobmlzY2hlIFVuaXZlcnNpdGF0
IE11bmNoZW4sIEZyZWlzaW5nLVdlaWhlbnN0ZXBoYW4sIEdlcm1hbnkuIGp1bGlhLmt1bmF0aEB0
dW0uZGUuJiN4RDtFbHNlIEtyb25lci1GcmVzZW5pdXMtQ2VudGVyIGZvciBOdXRyaXRpb25hbCBN
ZWRpY2luZSwgQ2hhaXIgb2YgTnV0cml0aW9uYWwgTWVkaWNpbmUsIFRlY2huaXNjaGUgVW5pdmVy
c2l0YXQgTXVuY2hlbiwgRnJlaXNpbmctV2VpaGVuc3RlcGhhbiwgR2VybWFueS4ganVsaWEua3Vu
YXRoQHR1bS5kZS4mI3hEO0Vsc2UgS3JvbmVyLUZyZXNlbml1cy1DZW50cmUgZm9yIE51dHJpdGlv
bmFsIE1lZGljaW5lLCBLbGluaWt1bSByZWNodHMgZGVyIElzYXIsIFRlY2huaXNjaGUgVW5pdmVy
c2l0YXQgTXVuY2hlbiwgTXVuaWNoLCBHZXJtYW55LiBqdWxpYS5rdW5hdGhAdHVtLmRlLiYjeEQ7
RWxzZSBLcm9uZXItRnJlc2VuaXVzLUNlbnRyZSBmb3IgTnV0cml0aW9uYWwgTWVkaWNpbmUsIEts
aW5pa3VtIHJlY2h0cyBkZXIgSXNhciwgVGVjaG5pc2NoZSBVbml2ZXJzaXRhdCBNdW5jaGVuLCBN
dW5pY2gsIEdlcm1hbnkuIGx5bm5lLmNyZXNzd2VsbEB0dW0uZGUuJiN4RDtaSUVMIC0gUmVzZWFy
Y2ggQ2VudHJlIGZvciBOdXRyaXRpb24gYW5kIEZvb2QgU2NpZW5jZXMsIFRlY2huaXNjaGUgVW5p
dmVyc2l0YXQgTXVuY2hlbiwgRnJlaXNpbmctV2VpaGVuc3RlcGhhbiwgR2VybWFueS4gaGFucy5o
YXVuZXJAdHVtLmRlLiYjeEQ7RWxzZSBLcm9uZXItRnJlc2VuaXVzLUNlbnRlciBmb3IgTnV0cml0
aW9uYWwgTWVkaWNpbmUsIENoYWlyIG9mIE51dHJpdGlvbmFsIE1lZGljaW5lLCBUZWNobmlzY2hl
IFVuaXZlcnNpdGF0IE11bmNoZW4sIEZyZWlzaW5nLVdlaWhlbnN0ZXBoYW4sIEdlcm1hbnkuIGhh
bnMuaGF1bmVyQHR1bS5kZS4mI3hEO0Vsc2UgS3JvbmVyLUZyZXNlbml1cy1DZW50cmUgZm9yIE51
dHJpdGlvbmFsIE1lZGljaW5lLCBLbGluaWt1bSByZWNodHMgZGVyIElzYXIsIFRlY2huaXNjaGUg
VW5pdmVyc2l0YXQgTXVuY2hlbiwgTXVuaWNoLCBHZXJtYW55LiBoYW5zLmhhdW5lckB0dW0uZGUu
PC9hdXRoLWFkZHJlc3M+PHRpdGxlcz48dGl0bGU+TGlmZXN0eWxlIGludGVydmVudGlvbiB0byBw
cmV2ZW50IGV4Y2Vzc2l2ZSBtYXRlcm5hbCB3ZWlnaHQgZ2FpbjogbW90aGVyIGFuZCBpbmZhbnQg
Zm9sbG93LXVwIGF0IDEyIG1vbnRocyBwb3N0cGFydHVtPC90aXRsZT48c2Vjb25kYXJ5LXRpdGxl
PkJNQyBQcmVnbmFuY3kgQ2hpbGRiaXJ0aDwvc2Vjb25kYXJ5LXRpdGxlPjwvdGl0bGVzPjxwZXJp
b2RpY2FsPjxmdWxsLXRpdGxlPkJNQyBQcmVnbmFuY3kgQ2hpbGRiaXJ0aDwvZnVsbC10aXRsZT48
L3BlcmlvZGljYWw+PHBhZ2VzPjI2NTwvcGFnZXM+PHZvbHVtZT4xNTwvdm9sdW1lPjxlZGl0aW9u
PjIwMTUvMTAvMTc8L2VkaXRpb24+PGtleXdvcmRzPjxrZXl3b3JkPkFkdWx0PC9rZXl3b3JkPjxr
ZXl3b3JkPkJlaGF2aW9yIFRoZXJhcHkvKm1ldGhvZHM8L2tleXdvcmQ+PGtleXdvcmQ+Q291bnNl
bGluZzwva2V5d29yZD48a2V5d29yZD5EaWV0PC9rZXl3b3JkPjxrZXl3b3JkPkVuZXJneSBJbnRh
a2U8L2tleXdvcmQ+PGtleXdvcmQ+RXhlcmNpc2U8L2tleXdvcmQ+PGtleXdvcmQ+RmVtYWxlPC9r
ZXl3b3JkPjxrZXl3b3JkPkZvbGxvdy1VcCBTdHVkaWVzPC9rZXl3b3JkPjxrZXl3b3JkPkh1bWFu
czwva2V5d29yZD48a2V5d29yZD5JbmZhbnQ8L2tleXdvcmQ+PGtleXdvcmQ+KkxpZmUgU3R5bGU8
L2tleXdvcmQ+PGtleXdvcmQ+TG9naXN0aWMgTW9kZWxzPC9rZXl3b3JkPjxrZXl3b3JkPk1vdGhl
cnM8L2tleXdvcmQ+PGtleXdvcmQ+T3ZlcndlaWdodC8qcHJldmVudGlvbiAmYW1wOyBjb250cm9s
PC9rZXl3b3JkPjxrZXl3b3JkPlBvc3RwYXJ0dW0gUGVyaW9kPC9rZXl3b3JkPjxrZXl3b3JkPlBy
ZWduYW5jeTwva2V5d29yZD48a2V5d29yZD5QcmVuYXRhbCBDYXJlL21ldGhvZHM8L2tleXdvcmQ+
PGtleXdvcmQ+KlByZW5hdGFsIE51dHJpdGlvbmFsIFBoeXNpb2xvZ2ljYWwgUGhlbm9tZW5hPC9r
ZXl3b3JkPjxrZXl3b3JkPipXZWlnaHQgR2Fpbjwva2V5d29yZD48L2tleXdvcmRzPjxkYXRlcz48
eWVhcj4yMDE1PC95ZWFyPjxwdWItZGF0ZXM+PGRhdGU+T2N0IDE1PC9kYXRlPjwvcHViLWRhdGVz
PjwvZGF0ZXM+PGlzYm4+MTQ3MS0yMzkzIChFbGVjdHJvbmljKSYjeEQ7MTQ3MS0yMzkzIChMaW5r
aW5nKTwvaXNibj48YWNjZXNzaW9uLW51bT4yNjQ3MjEzMzwvYWNjZXNzaW9uLW51bT48dXJscz48
cmVsYXRlZC11cmxzPjx1cmw+aHR0cHM6Ly93d3cubmNiaS5ubG0ubmloLmdvdi9wdWJtZWQvMjY0
NzIxMzM8L3VybD48L3JlbGF0ZWQtdXJscz48L3VybHM+PGN1c3RvbTI+UE1DNDYwODE0MjwvY3Vz
dG9tMj48ZWxlY3Ryb25pYy1yZXNvdXJjZS1udW0+MTAuMTE4Ni9zMTI4ODQtMDE1LTA3MDEtMjwv
ZWxlY3Ryb25pYy1yZXNvdXJjZS1udW0+PC9yZWNvcmQ+PC9DaXRlPjwvRW5kTm90ZT5=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PEVuZE5vdGU+PENpdGU+PEF1dGhvcj5SYXVoPC9BdXRob3I+PFllYXI+MjAxMzwvWWVhcj48UmVj
TnVtPjExMDk8L1JlY051bT48RGlzcGxheVRleHQ+PHN0eWxlIGZhY2U9InN1cGVyc2NyaXB0IiBm
b250PSJUcmVidWNoZXQgTVMiIHNpemU9IjkiPjQ5Niw1NTQ8L3N0eWxlPjwvRGlzcGxheVRleHQ+
PHJlY29yZD48cmVjLW51bWJlcj4xMTA5PC9yZWMtbnVtYmVyPjxmb3JlaWduLWtleXM+PGtleSBh
cHA9IkVOIiBkYi1pZD0iZXh2YXNyZngyZHRyYW9lc2FzeHAyc3pzeGEyZGY1MDI1OTJ4IiB0aW1l
c3RhbXA9IjE1NTI5NDg0ODUiPjExMDk8L2tleT48L2ZvcmVpZ24ta2V5cz48cmVmLXR5cGUgbmFt
ZT0iSm91cm5hbCBBcnRpY2xlIj4xNzwvcmVmLXR5cGU+PGNvbnRyaWJ1dG9ycz48YXV0aG9ycz48
YXV0aG9yPlJhdWgsIEsuPC9hdXRob3I+PGF1dGhvcj5HYWJyaWVsLCBFLjwvYXV0aG9yPjxhdXRo
b3I+S2Vyc2NoYmF1bSwgRS48L2F1dGhvcj48YXV0aG9yPlNjaHVzdGVyLCBULjwvYXV0aG9yPjxh
dXRob3I+dm9uIEtyaWVzLCBSLjwvYXV0aG9yPjxhdXRob3I+QW1hbm4tR2Fzc25lciwgVS48L2F1
dGhvcj48YXV0aG9yPkhhdW5lciwgSC48L2F1dGhvcj48L2F1dGhvcnM+PC9jb250cmlidXRvcnM+
PHRpdGxlcz48dGl0bGU+U2FmZXR5IGFuZCBlZmZpY2FjeSBvZiBhIGxpZmVzdHlsZSBpbnRlcnZl
bnRpb24gZm9yIHByZWduYW50IHdvbWVuIHRvIHByZXZlbnQgZXhjZXNzaXZlIG1hdGVybmFsIHdl
aWdodCBnYWluOiBhIGNsdXN0ZXItcmFuZG9taXplZCBjb250cm9sbGVkIHRyaWFsPC90aXRsZT48
c2Vjb25kYXJ5LXRpdGxlPkJNQyBQcmVnbmFuY3kgQ2hpbGRiaXJ0aDwvc2Vjb25kYXJ5LXRpdGxl
PjwvdGl0bGVzPjxwZXJpb2RpY2FsPjxmdWxsLXRpdGxlPkJNQyBQcmVnbmFuY3kgQ2hpbGRiaXJ0
aDwvZnVsbC10aXRsZT48L3BlcmlvZGljYWw+PHBhZ2VzPjE1MTwvcGFnZXM+PHZvbHVtZT4xMzwv
dm9sdW1lPjxlZGl0aW9uPjIwMTMvMDcvMjA8L2VkaXRpb24+PGtleXdvcmRzPjxrZXl3b3JkPkFk
dWx0PC9rZXl3b3JkPjxrZXl3b3JkPipCaXJ0aCBXZWlnaHQ8L2tleXdvcmQ+PGtleXdvcmQ+Q291
bnNlbGluZy8qbWV0aG9kczwva2V5d29yZD48a2V5d29yZD4qRW5lcmd5IEludGFrZTwva2V5d29y
ZD48a2V5d29yZD5GZWFzaWJpbGl0eSBTdHVkaWVzPC9rZXl3b3JkPjxrZXl3b3JkPkZlbWFsZTwv
a2V5d29yZD48a2V5d29yZD5IdW1hbnM8L2tleXdvcmQ+PGtleXdvcmQ+SW5mYW50LCBOZXdib3Ju
PC9rZXl3b3JkPjxrZXl3b3JkPipNb3RvciBBY3Rpdml0eTwva2V5d29yZD48a2V5d29yZD5PYmVz
aXR5LypwcmV2ZW50aW9uICZhbXA7IGNvbnRyb2w8L2tleXdvcmQ+PGtleXdvcmQ+T3ZlcndlaWdo
dC9wcmV2ZW50aW9uICZhbXA7IGNvbnRyb2w8L2tleXdvcmQ+PGtleXdvcmQ+UG9zdHBhcnR1bSBQ
ZXJpb2Q8L2tleXdvcmQ+PGtleXdvcmQ+UHJlZ25hbmN5PC9rZXl3b3JkPjxrZXl3b3JkPlByZWdu
YW5jeSBDb21wbGljYXRpb25zLypwcmV2ZW50aW9uICZhbXA7IGNvbnRyb2w8L2tleXdvcmQ+PGtl
eXdvcmQ+UHJlZ25hbmN5IE91dGNvbWU8L2tleXdvcmQ+PGtleXdvcmQ+KldlaWdodCBHYWluPC9r
ZXl3b3JkPjwva2V5d29yZHM+PGRhdGVzPjx5ZWFyPjIwMTM8L3llYXI+PHB1Yi1kYXRlcz48ZGF0
ZT5KdWwgMTY8L2RhdGU+PC9wdWItZGF0ZXM+PC9kYXRlcz48aXNibj4xNDcxLTIzOTMgKEVsZWN0
cm9uaWMpJiN4RDsxNDcxLTIzOTMgKExpbmtpbmcpPC9pc2JuPjxhY2Nlc3Npb24tbnVtPjIzODY1
NjI0PC9hY2Nlc3Npb24tbnVtPjx1cmxzPjxyZWxhdGVkLXVybHM+PHVybD5odHRwczovL3d3dy5u
Y2JpLm5sbS5uaWguZ292L3B1Ym1lZC8yMzg2NTYyNDwvdXJsPjwvcmVsYXRlZC11cmxzPjwvdXJs
cz48Y3VzdG9tMj5QTUMzNzE4NzA3PC9jdXN0b20yPjxlbGVjdHJvbmljLXJlc291cmNlLW51bT4x
MC4xMTg2LzE0NzEtMjM5My0xMy0xNTE8L2VsZWN0cm9uaWMtcmVzb3VyY2UtbnVtPjwvcmVjb3Jk
PjwvQ2l0ZT48Q2l0ZT48QXV0aG9yPlJhdWg8L0F1dGhvcj48WWVhcj4yMDE1PC9ZZWFyPjxSZWNO
dW0+NzUzPC9SZWNOdW0+PHJlY29yZD48cmVjLW51bWJlcj43NTM8L3JlYy1udW1iZXI+PGZvcmVp
Z24ta2V5cz48a2V5IGFwcD0iRU4iIGRiLWlkPSJleHZhc3JmeDJkdHJhb2VzYXN4cDJzenN4YTJk
ZjUwMjU5MngiIHRpbWVzdGFtcD0iMTU0MTQ2Nzk0NyI+NzUzPC9rZXk+PGtleSBhcHA9IkVOV2Vi
IiBkYi1pZD0iIj4wPC9rZXk+PC9mb3JlaWduLWtleXM+PHJlZi10eXBlIG5hbWU9IkpvdXJuYWwg
QXJ0aWNsZSI+MTc8L3JlZi10eXBlPjxjb250cmlidXRvcnM+PGF1dGhvcnM+PGF1dGhvcj5SYXVo
LCBLLjwvYXV0aG9yPjxhdXRob3I+R3VudGhlciwgSi48L2F1dGhvcj48YXV0aG9yPkt1bmF0aCwg
Si48L2F1dGhvcj48YXV0aG9yPlN0ZWNoZXIsIEwuPC9hdXRob3I+PGF1dGhvcj5IYXVuZXIsIEgu
PC9hdXRob3I+PC9hdXRob3JzPjwvY29udHJpYnV0b3JzPjxhdXRoLWFkZHJlc3M+WklFTCAtIFJl
c2VhcmNoIENlbnRyZSBmb3IgTnV0cml0aW9uIGFuZCBGb29kIFNjaWVuY2VzLCBUZWNobmlzY2hl
IFVuaXZlcnNpdGF0IE11bmNoZW4sIEZyZWlzaW5nLVdlaWhlbnN0ZXBoYW4sIEdlcm1hbnkuIEth
dGhyaW4uUmF1aEBLRXJuLmJheWVybi5kZS4mI3hEO0NvbXBldGVuY2UgQ2VudHJlIGZvciBOdXRy
aXRpb24gKEtFcm4pLCBGcmVpc2luZywgR2VybWFueS4gS2F0aHJpbi5SYXVoQEtFcm4uYmF5ZXJu
LmRlLiYjeEQ7WklFTCAtIFJlc2VhcmNoIENlbnRyZSBmb3IgTnV0cml0aW9uIGFuZCBGb29kIFNj
aWVuY2VzLCBUZWNobmlzY2hlIFVuaXZlcnNpdGF0IE11bmNoZW4sIEZyZWlzaW5nLVdlaWhlbnN0
ZXBoYW4sIEdlcm1hbnkuIGp1bGlhLmd1ZW50aGVyQHR1bS5kZS4mI3hEO0Vsc2UgS3JvbmVyLUZy
ZXNlbml1cy1DZW50ZXIgZm9yIE51dHJpdGlvbmFsIE1lZGljaW5lLCBDaGFpciBvZiBOdXRyaXRp
b25hbCBNZWRpY2luZSwgVGVjaG5pc2NoZSBVbml2ZXJzaXRhdCBNdW5jaGVuLCBGcmVpc2luZy1X
ZWloZW5zdGVwaGFuLCBHZXJtYW55LiBqdWxpYS5ndWVudGhlckB0dW0uZGUuJiN4RDtFbHNlIEty
b25lci1GcmVzZW5pdXMtQ2VudHJlIGZvciBOdXRyaXRpb25hbCBNZWRpY2luZSwgS2xpbmlrdW0g
cmVjaHRzIGRlciBJc2FyLCBUZWNobmlzY2hlIFVuaXZlcnNpdGF0IE11bmNoZW4sIE11bmljaCwg
R2VybWFueS4ganVsaWEuZ3VlbnRoZXJAdHVtLmRlLiYjeEQ7WklFTCAtIFJlc2VhcmNoIENlbnRy
ZSBmb3IgTnV0cml0aW9uIGFuZCBGb29kIFNjaWVuY2VzLCBUZWNobmlzY2hlIFVuaXZlcnNpdGF0
IE11bmNoZW4sIEZyZWlzaW5nLVdlaWhlbnN0ZXBoYW4sIEdlcm1hbnkuIGp1bGlhLmt1bmF0aEB0
dW0uZGUuJiN4RDtFbHNlIEtyb25lci1GcmVzZW5pdXMtQ2VudGVyIGZvciBOdXRyaXRpb25hbCBN
ZWRpY2luZSwgQ2hhaXIgb2YgTnV0cml0aW9uYWwgTWVkaWNpbmUsIFRlY2huaXNjaGUgVW5pdmVy
c2l0YXQgTXVuY2hlbiwgRnJlaXNpbmctV2VpaGVuc3RlcGhhbiwgR2VybWFueS4ganVsaWEua3Vu
YXRoQHR1bS5kZS4mI3hEO0Vsc2UgS3JvbmVyLUZyZXNlbml1cy1DZW50cmUgZm9yIE51dHJpdGlv
bmFsIE1lZGljaW5lLCBLbGluaWt1bSByZWNodHMgZGVyIElzYXIsIFRlY2huaXNjaGUgVW5pdmVy
c2l0YXQgTXVuY2hlbiwgTXVuaWNoLCBHZXJtYW55LiBqdWxpYS5rdW5hdGhAdHVtLmRlLiYjeEQ7
RWxzZSBLcm9uZXItRnJlc2VuaXVzLUNlbnRyZSBmb3IgTnV0cml0aW9uYWwgTWVkaWNpbmUsIEts
aW5pa3VtIHJlY2h0cyBkZXIgSXNhciwgVGVjaG5pc2NoZSBVbml2ZXJzaXRhdCBNdW5jaGVuLCBN
dW5pY2gsIEdlcm1hbnkuIGx5bm5lLmNyZXNzd2VsbEB0dW0uZGUuJiN4RDtaSUVMIC0gUmVzZWFy
Y2ggQ2VudHJlIGZvciBOdXRyaXRpb24gYW5kIEZvb2QgU2NpZW5jZXMsIFRlY2huaXNjaGUgVW5p
dmVyc2l0YXQgTXVuY2hlbiwgRnJlaXNpbmctV2VpaGVuc3RlcGhhbiwgR2VybWFueS4gaGFucy5o
YXVuZXJAdHVtLmRlLiYjeEQ7RWxzZSBLcm9uZXItRnJlc2VuaXVzLUNlbnRlciBmb3IgTnV0cml0
aW9uYWwgTWVkaWNpbmUsIENoYWlyIG9mIE51dHJpdGlvbmFsIE1lZGljaW5lLCBUZWNobmlzY2hl
IFVuaXZlcnNpdGF0IE11bmNoZW4sIEZyZWlzaW5nLVdlaWhlbnN0ZXBoYW4sIEdlcm1hbnkuIGhh
bnMuaGF1bmVyQHR1bS5kZS4mI3hEO0Vsc2UgS3JvbmVyLUZyZXNlbml1cy1DZW50cmUgZm9yIE51
dHJpdGlvbmFsIE1lZGljaW5lLCBLbGluaWt1bSByZWNodHMgZGVyIElzYXIsIFRlY2huaXNjaGUg
VW5pdmVyc2l0YXQgTXVuY2hlbiwgTXVuaWNoLCBHZXJtYW55LiBoYW5zLmhhdW5lckB0dW0uZGUu
PC9hdXRoLWFkZHJlc3M+PHRpdGxlcz48dGl0bGU+TGlmZXN0eWxlIGludGVydmVudGlvbiB0byBw
cmV2ZW50IGV4Y2Vzc2l2ZSBtYXRlcm5hbCB3ZWlnaHQgZ2FpbjogbW90aGVyIGFuZCBpbmZhbnQg
Zm9sbG93LXVwIGF0IDEyIG1vbnRocyBwb3N0cGFydHVtPC90aXRsZT48c2Vjb25kYXJ5LXRpdGxl
PkJNQyBQcmVnbmFuY3kgQ2hpbGRiaXJ0aDwvc2Vjb25kYXJ5LXRpdGxlPjwvdGl0bGVzPjxwZXJp
b2RpY2FsPjxmdWxsLXRpdGxlPkJNQyBQcmVnbmFuY3kgQ2hpbGRiaXJ0aDwvZnVsbC10aXRsZT48
L3BlcmlvZGljYWw+PHBhZ2VzPjI2NTwvcGFnZXM+PHZvbHVtZT4xNTwvdm9sdW1lPjxlZGl0aW9u
PjIwMTUvMTAvMTc8L2VkaXRpb24+PGtleXdvcmRzPjxrZXl3b3JkPkFkdWx0PC9rZXl3b3JkPjxr
ZXl3b3JkPkJlaGF2aW9yIFRoZXJhcHkvKm1ldGhvZHM8L2tleXdvcmQ+PGtleXdvcmQ+Q291bnNl
bGluZzwva2V5d29yZD48a2V5d29yZD5EaWV0PC9rZXl3b3JkPjxrZXl3b3JkPkVuZXJneSBJbnRh
a2U8L2tleXdvcmQ+PGtleXdvcmQ+RXhlcmNpc2U8L2tleXdvcmQ+PGtleXdvcmQ+RmVtYWxlPC9r
ZXl3b3JkPjxrZXl3b3JkPkZvbGxvdy1VcCBTdHVkaWVzPC9rZXl3b3JkPjxrZXl3b3JkPkh1bWFu
czwva2V5d29yZD48a2V5d29yZD5JbmZhbnQ8L2tleXdvcmQ+PGtleXdvcmQ+KkxpZmUgU3R5bGU8
L2tleXdvcmQ+PGtleXdvcmQ+TG9naXN0aWMgTW9kZWxzPC9rZXl3b3JkPjxrZXl3b3JkPk1vdGhl
cnM8L2tleXdvcmQ+PGtleXdvcmQ+T3ZlcndlaWdodC8qcHJldmVudGlvbiAmYW1wOyBjb250cm9s
PC9rZXl3b3JkPjxrZXl3b3JkPlBvc3RwYXJ0dW0gUGVyaW9kPC9rZXl3b3JkPjxrZXl3b3JkPlBy
ZWduYW5jeTwva2V5d29yZD48a2V5d29yZD5QcmVuYXRhbCBDYXJlL21ldGhvZHM8L2tleXdvcmQ+
PGtleXdvcmQ+KlByZW5hdGFsIE51dHJpdGlvbmFsIFBoeXNpb2xvZ2ljYWwgUGhlbm9tZW5hPC9r
ZXl3b3JkPjxrZXl3b3JkPipXZWlnaHQgR2Fpbjwva2V5d29yZD48L2tleXdvcmRzPjxkYXRlcz48
eWVhcj4yMDE1PC95ZWFyPjxwdWItZGF0ZXM+PGRhdGU+T2N0IDE1PC9kYXRlPjwvcHViLWRhdGVz
PjwvZGF0ZXM+PGlzYm4+MTQ3MS0yMzkzIChFbGVjdHJvbmljKSYjeEQ7MTQ3MS0yMzkzIChMaW5r
aW5nKTwvaXNibj48YWNjZXNzaW9uLW51bT4yNjQ3MjEzMzwvYWNjZXNzaW9uLW51bT48dXJscz48
cmVsYXRlZC11cmxzPjx1cmw+aHR0cHM6Ly93d3cubmNiaS5ubG0ubmloLmdvdi9wdWJtZWQvMjY0
NzIxMzM8L3VybD48L3JlbGF0ZWQtdXJscz48L3VybHM+PGN1c3RvbTI+UE1DNDYwODE0MjwvY3Vz
dG9tMj48ZWxlY3Ryb25pYy1yZXNvdXJjZS1udW0+MTAuMTE4Ni9zMTI4ODQtMDE1LTA3MDEtMjwv
ZWxlY3Ryb25pYy1yZXNvdXJjZS1udW0+PC9yZWNvcmQ+PC9DaXRlPjwvRW5kTm90ZT5=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496,554</w:t>
            </w:r>
            <w:r>
              <w:rPr>
                <w:rFonts w:ascii="Century Gothic" w:hAnsi="Century Gothic"/>
                <w:noProof/>
              </w:rPr>
              <w:fldChar w:fldCharType="end"/>
            </w:r>
          </w:p>
        </w:tc>
      </w:tr>
      <w:tr w:rsidR="008E765F" w:rsidRPr="00822EBF" w14:paraId="15B3041A" w14:textId="77777777" w:rsidTr="005A5EBF">
        <w:trPr>
          <w:cantSplit/>
        </w:trPr>
        <w:tc>
          <w:tcPr>
            <w:tcW w:w="1560" w:type="dxa"/>
            <w:shd w:val="clear" w:color="D9E2F3" w:themeColor="accent1" w:themeTint="33" w:fill="auto"/>
          </w:tcPr>
          <w:p w14:paraId="57C64764"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6CAD9ED8"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5BB3A44D" w14:textId="77777777" w:rsidR="008E765F" w:rsidRPr="00822EBF" w:rsidRDefault="008E765F" w:rsidP="006045AE">
            <w:pPr>
              <w:pStyle w:val="RCTstable"/>
              <w:keepNext/>
            </w:pPr>
            <w:r>
              <w:t>Women “</w:t>
            </w:r>
            <w:r w:rsidRPr="00822EBF">
              <w:t>were randomly assigned to either an ‘intervention’</w:t>
            </w:r>
            <w:r>
              <w:t xml:space="preserve"> </w:t>
            </w:r>
            <w:r w:rsidRPr="00822EBF">
              <w:t>or ‘control group’ using a computer-generated</w:t>
            </w:r>
            <w:r>
              <w:t xml:space="preserve"> randomisation allocation table.”</w:t>
            </w:r>
          </w:p>
        </w:tc>
      </w:tr>
      <w:tr w:rsidR="008E765F" w:rsidRPr="00822EBF" w14:paraId="7A2F4806" w14:textId="77777777" w:rsidTr="005A5EBF">
        <w:trPr>
          <w:cantSplit/>
        </w:trPr>
        <w:tc>
          <w:tcPr>
            <w:tcW w:w="1560" w:type="dxa"/>
            <w:shd w:val="clear" w:color="D9E2F3" w:themeColor="accent1" w:themeTint="33" w:fill="auto"/>
          </w:tcPr>
          <w:p w14:paraId="0FB12307" w14:textId="77777777" w:rsidR="008E765F" w:rsidRPr="00822EBF" w:rsidRDefault="008E765F" w:rsidP="006045AE">
            <w:pPr>
              <w:pStyle w:val="RCTstable"/>
              <w:keepNext/>
            </w:pPr>
            <w:r w:rsidRPr="00822EBF">
              <w:t xml:space="preserve">Allocation concealment </w:t>
            </w:r>
          </w:p>
        </w:tc>
        <w:tc>
          <w:tcPr>
            <w:tcW w:w="1275" w:type="dxa"/>
            <w:shd w:val="clear" w:color="D9E2F3" w:themeColor="accent1" w:themeTint="33" w:fill="70AD47" w:themeFill="accent6"/>
          </w:tcPr>
          <w:p w14:paraId="19998542"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3199F3EB" w14:textId="77777777" w:rsidR="008E765F" w:rsidRPr="00822EBF" w:rsidRDefault="008E765F" w:rsidP="006045AE">
            <w:pPr>
              <w:pStyle w:val="RCTstable"/>
              <w:keepNext/>
            </w:pPr>
            <w:r>
              <w:t>“Randomis</w:t>
            </w:r>
            <w:r w:rsidRPr="00822EBF">
              <w:t>ation was performed by a researcher not involved in the study design thereby preventing allocation bias.</w:t>
            </w:r>
            <w:r>
              <w:t>”</w:t>
            </w:r>
          </w:p>
        </w:tc>
      </w:tr>
      <w:tr w:rsidR="008E765F" w:rsidRPr="00822EBF" w14:paraId="64103FDB" w14:textId="77777777" w:rsidTr="005A5EBF">
        <w:trPr>
          <w:cantSplit/>
        </w:trPr>
        <w:tc>
          <w:tcPr>
            <w:tcW w:w="1560" w:type="dxa"/>
            <w:shd w:val="clear" w:color="D9E2F3" w:themeColor="accent1" w:themeTint="33" w:fill="auto"/>
          </w:tcPr>
          <w:p w14:paraId="02EAFD3A" w14:textId="77777777" w:rsidR="008E765F" w:rsidRPr="00822EBF" w:rsidRDefault="008E765F" w:rsidP="006045AE">
            <w:pPr>
              <w:pStyle w:val="RCTstable"/>
              <w:keepNext/>
            </w:pPr>
            <w:r w:rsidRPr="00822EBF">
              <w:t>Performance bias</w:t>
            </w:r>
          </w:p>
        </w:tc>
        <w:tc>
          <w:tcPr>
            <w:tcW w:w="1275" w:type="dxa"/>
            <w:shd w:val="clear" w:color="D9E2F3" w:themeColor="accent1" w:themeTint="33" w:fill="FF4D19"/>
          </w:tcPr>
          <w:p w14:paraId="0C01550B" w14:textId="77777777" w:rsidR="008E765F" w:rsidRPr="00822EBF" w:rsidRDefault="008E765F" w:rsidP="006045AE">
            <w:pPr>
              <w:pStyle w:val="RCTstable"/>
              <w:keepNext/>
            </w:pPr>
            <w:r w:rsidRPr="00822EBF">
              <w:t>High risk</w:t>
            </w:r>
          </w:p>
        </w:tc>
        <w:tc>
          <w:tcPr>
            <w:tcW w:w="11199" w:type="dxa"/>
            <w:shd w:val="clear" w:color="D9E2F3" w:themeColor="accent1" w:themeTint="33" w:fill="auto"/>
          </w:tcPr>
          <w:p w14:paraId="2A28389A" w14:textId="77777777" w:rsidR="008E765F" w:rsidRPr="00822EBF" w:rsidRDefault="008E765F" w:rsidP="006045AE">
            <w:pPr>
              <w:pStyle w:val="RCTstable"/>
              <w:keepNext/>
            </w:pPr>
            <w:r>
              <w:t xml:space="preserve">The trial was </w:t>
            </w:r>
            <w:r w:rsidRPr="00822EBF">
              <w:t>open</w:t>
            </w:r>
            <w:r>
              <w:t>-label</w:t>
            </w:r>
            <w:r w:rsidRPr="00822EBF">
              <w:t xml:space="preserve">. </w:t>
            </w:r>
            <w:r>
              <w:t>“</w:t>
            </w:r>
            <w:r w:rsidRPr="00822EBF">
              <w:t>The nature of the study meant that participants and study staff were not blinded to the types of interventions</w:t>
            </w:r>
            <w:r>
              <w:t>.”</w:t>
            </w:r>
          </w:p>
        </w:tc>
      </w:tr>
      <w:tr w:rsidR="008E765F" w:rsidRPr="00822EBF" w14:paraId="0020EACF" w14:textId="77777777" w:rsidTr="005A5EBF">
        <w:trPr>
          <w:cantSplit/>
        </w:trPr>
        <w:tc>
          <w:tcPr>
            <w:tcW w:w="1560" w:type="dxa"/>
            <w:shd w:val="clear" w:color="D9E2F3" w:themeColor="accent1" w:themeTint="33" w:fill="auto"/>
          </w:tcPr>
          <w:p w14:paraId="5E6E8FEF"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52949E0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A7FB3C9" w14:textId="77777777" w:rsidR="008E765F" w:rsidRPr="00822EBF" w:rsidRDefault="008E765F" w:rsidP="00611251">
            <w:pPr>
              <w:pStyle w:val="RCTstable"/>
            </w:pPr>
            <w:r w:rsidRPr="00822EBF">
              <w:t>Not described</w:t>
            </w:r>
            <w:r>
              <w:t>.</w:t>
            </w:r>
          </w:p>
        </w:tc>
      </w:tr>
      <w:tr w:rsidR="008E765F" w:rsidRPr="00822EBF" w14:paraId="4751D9DA" w14:textId="77777777" w:rsidTr="005A5EBF">
        <w:trPr>
          <w:cantSplit/>
        </w:trPr>
        <w:tc>
          <w:tcPr>
            <w:tcW w:w="1560" w:type="dxa"/>
            <w:shd w:val="clear" w:color="D9E2F3" w:themeColor="accent1" w:themeTint="33" w:fill="auto"/>
          </w:tcPr>
          <w:p w14:paraId="09DCB0F0"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727CA155"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3246204C" w14:textId="77777777" w:rsidR="008E765F" w:rsidRPr="00822EBF" w:rsidRDefault="008E765F" w:rsidP="00611251">
            <w:pPr>
              <w:pStyle w:val="RCTstable"/>
            </w:pPr>
            <w:r>
              <w:t xml:space="preserve">Balanced attrition; 91% of intervention group and 89% of control group included in analysis with reasons given. </w:t>
            </w:r>
            <w:r w:rsidRPr="00822EBF">
              <w:t xml:space="preserve">Follow-up: </w:t>
            </w:r>
            <w:r>
              <w:t>91% of women in the intervention group and 87% of</w:t>
            </w:r>
            <w:r w:rsidRPr="00822EBF">
              <w:t xml:space="preserve"> women in the control group could be contacted at the 4-month follow-up</w:t>
            </w:r>
            <w:r>
              <w:t xml:space="preserve"> and 89% of women in the intervention group and 78% of</w:t>
            </w:r>
            <w:r w:rsidRPr="00822EBF">
              <w:t xml:space="preserve"> women in the control group were included in the 1-year follow-up</w:t>
            </w:r>
            <w:r>
              <w:t>.</w:t>
            </w:r>
          </w:p>
        </w:tc>
      </w:tr>
      <w:tr w:rsidR="008E765F" w:rsidRPr="00822EBF" w14:paraId="3BFAFCE0" w14:textId="77777777" w:rsidTr="005A5EBF">
        <w:trPr>
          <w:cantSplit/>
        </w:trPr>
        <w:tc>
          <w:tcPr>
            <w:tcW w:w="1560" w:type="dxa"/>
            <w:shd w:val="clear" w:color="D9E2F3" w:themeColor="accent1" w:themeTint="33" w:fill="auto"/>
          </w:tcPr>
          <w:p w14:paraId="2A1F5CA9"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1032786B"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B425D1C" w14:textId="77777777" w:rsidR="008E765F" w:rsidRPr="00822EBF" w:rsidRDefault="008E765F" w:rsidP="00611251">
            <w:pPr>
              <w:pStyle w:val="RCTstable"/>
            </w:pPr>
            <w:r w:rsidRPr="00822EBF">
              <w:t>With no access to a trial protocol, it was not possible to confidently assess selective reporting</w:t>
            </w:r>
            <w:r>
              <w:t>.</w:t>
            </w:r>
          </w:p>
        </w:tc>
      </w:tr>
      <w:tr w:rsidR="008E765F" w:rsidRPr="00822EBF" w14:paraId="373C4BA8" w14:textId="77777777" w:rsidTr="005A5EBF">
        <w:trPr>
          <w:cantSplit/>
        </w:trPr>
        <w:tc>
          <w:tcPr>
            <w:tcW w:w="1560" w:type="dxa"/>
            <w:shd w:val="clear" w:color="D9E2F3" w:themeColor="accent1" w:themeTint="33" w:fill="auto"/>
          </w:tcPr>
          <w:p w14:paraId="26C3E10A"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4D19"/>
          </w:tcPr>
          <w:p w14:paraId="439CF0EF"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76D3D26B" w14:textId="77777777" w:rsidR="008E765F" w:rsidRPr="00822EBF" w:rsidRDefault="008E765F" w:rsidP="00611251">
            <w:pPr>
              <w:pStyle w:val="RCTstable"/>
            </w:pPr>
            <w:r>
              <w:t>“</w:t>
            </w:r>
            <w:r w:rsidRPr="00822EBF">
              <w:t>During recruitment, however it turned out that it was easier to recruit women for the intervention group than for the control group, yielding a 2:1 ratio“. The authors speculated that this may</w:t>
            </w:r>
            <w:r>
              <w:t xml:space="preserve"> </w:t>
            </w:r>
            <w:r w:rsidRPr="00822EBF">
              <w:t>have been due to unmotivated gynaecologists/practice staff recruiting women, or low numbers of pregnant women among the control practices; they acknowledge that as practice staff and women were not blinded, knowledge of the ’control group’ status of these practices may have influence recruitment and participation rates, raising the possibility of post-randomisation selection.</w:t>
            </w:r>
            <w:r>
              <w:t xml:space="preserve"> </w:t>
            </w:r>
            <w:r w:rsidRPr="00822EBF">
              <w:t>Pre</w:t>
            </w:r>
            <w:r>
              <w:t>-pregnancy weight and BMI were “although slightly”</w:t>
            </w:r>
            <w:r w:rsidRPr="00822EBF">
              <w:t xml:space="preserve"> significantly higher in the control group, compared to the intervention group (with more overweight and obese women in the</w:t>
            </w:r>
            <w:r>
              <w:t xml:space="preserve"> </w:t>
            </w:r>
            <w:r w:rsidRPr="00822EBF">
              <w:t>control group); median weight at the first antenatal visit was also higher among women in the control group. The sample size calculations did not take into account clustering</w:t>
            </w:r>
            <w:r>
              <w:t>.</w:t>
            </w:r>
          </w:p>
        </w:tc>
      </w:tr>
      <w:tr w:rsidR="008E765F" w:rsidRPr="0048317A" w14:paraId="7278DA9D" w14:textId="77777777" w:rsidTr="005A5EBF">
        <w:trPr>
          <w:cantSplit/>
        </w:trPr>
        <w:tc>
          <w:tcPr>
            <w:tcW w:w="14034" w:type="dxa"/>
            <w:gridSpan w:val="3"/>
            <w:shd w:val="solid" w:color="D9E2F3" w:themeColor="accent1" w:themeTint="33" w:fill="auto"/>
          </w:tcPr>
          <w:p w14:paraId="1F2F3E61" w14:textId="666B7EE7" w:rsidR="008E765F" w:rsidRPr="0048317A" w:rsidRDefault="008E765F" w:rsidP="002747EA">
            <w:pPr>
              <w:pStyle w:val="RCTstable"/>
              <w:rPr>
                <w:b/>
              </w:rPr>
            </w:pPr>
            <w:r w:rsidRPr="0048317A">
              <w:rPr>
                <w:b/>
              </w:rPr>
              <w:t>Renault et al 2014</w:t>
            </w:r>
            <w:r>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instrText xml:space="preserve"> ADDIN EN.CITE </w:instrText>
            </w:r>
            <w:r w:rsidR="002747EA">
              <w:fldChar w:fldCharType="begin">
                <w:fldData xml:space="preserve">PEVuZE5vdGU+PENpdGU+PEF1dGhvcj5SZW5hdWx0PC9BdXRob3I+PFllYXI+MjAxNDwvWWVhcj48
UmVjTnVtPjkzNzwvUmVjTnVtPjxEaXNwbGF5VGV4dD48c3R5bGUgZmFjZT0ic3VwZXJzY3JpcHQi
IGZvbnQ9IlRyZWJ1Y2hldCBNUyIgc2l6ZT0iOSI+NDUxPC9zdHlsZT48L0Rpc3BsYXlUZXh0Pjxy
ZWNvcmQ+PHJlYy1udW1iZXI+OTM3PC9yZWMtbnVtYmVyPjxmb3JlaWduLWtleXM+PGtleSBhcHA9
IkVOIiBkYi1pZD0iZXh2YXNyZngyZHRyYW9lc2FzeHAyc3pzeGEyZGY1MDI1OTJ4IiB0aW1lc3Rh
bXA9IjE1NDE1NDE4MTQiPjkzNzwva2V5PjxrZXkgYXBwPSJFTldlYiIgZGItaWQ9IiI+MDwva2V5
PjwvZm9yZWlnbi1rZXlzPjxyZWYtdHlwZSBuYW1lPSJKb3VybmFsIEFydGljbGUiPjE3PC9yZWYt
dHlwZT48Y29udHJpYnV0b3JzPjxhdXRob3JzPjxhdXRob3I+UmVuYXVsdCwgSy4gTS48L2F1dGhv
cj48YXV0aG9yPk5vcmdhYXJkLCBLLjwvYXV0aG9yPjxhdXRob3I+TmlsYXMsIEwuPC9hdXRob3I+
PGF1dGhvcj5DYXJsc2VuLCBFLiBNLjwvYXV0aG9yPjxhdXRob3I+Q29ydGVzLCBELjwvYXV0aG9y
PjxhdXRob3I+UHJ5ZHMsIE8uPC9hdXRob3I+PGF1dGhvcj5TZWNoZXIsIE4uIEouPC9hdXRob3I+
PC9hdXRob3JzPjwvY29udHJpYnV0b3JzPjxhdXRoLWFkZHJlc3M+RGVwYXJ0bWVudCBvZiBPYnN0
ZXRyaWNzIGFuZCBHeW5lY29sb2d5LCBIdmlkb3ZyZSBIb3NwaXRhbCwgVW5pdmVyc2l0eSBvZiBD
b3BlbmhhZ2VuLCBIdmlkb3ZyZSwgRGVubWFyay4gRWxlY3Ryb25pYyBhZGRyZXNzOiBLcmVuYXVs
dEBkYWRsbmV0LmRrLiYjeEQ7RGVwYXJ0bWVudCBvZiBFbmRvY3Jpbm9sb2d5LCBIdmlkb3ZyZSBI
b3NwaXRhbCwgVW5pdmVyc2l0eSBvZiBDb3BlbmhhZ2VuLCBIdmlkb3ZyZSwgRGVubWFyay4mI3hE
O0RlcGFydG1lbnQgb2YgT2JzdGV0cmljcyBhbmQgR3luZWNvbG9neSwgSHZpZG92cmUgSG9zcGl0
YWwsIFVuaXZlcnNpdHkgb2YgQ29wZW5oYWdlbiwgSHZpZG92cmUsIERlbm1hcmsuJiN4RDtEZXBh
cnRtZW50IG9mIFBlZGlhdHJpY3MsIEh2aWRvdnJlIEhvc3BpdGFsLCBVbml2ZXJzaXR5IG9mIENv
cGVuaGFnZW4sIEh2aWRvdnJlLCBEZW5tYXJrLjwvYXV0aC1hZGRyZXNzPjx0aXRsZXM+PHRpdGxl
PlRoZSBUcmVhdG1lbnQgb2YgT2Jlc2UgUHJlZ25hbnQgV29tZW4gKFRPUCkgc3R1ZHk6IGEgcmFu
ZG9taXplZCBjb250cm9sbGVkIHRyaWFsIG9mIHRoZSBlZmZlY3Qgb2YgcGh5c2ljYWwgYWN0aXZp
dHkgaW50ZXJ2ZW50aW9uIGFzc2Vzc2VkIGJ5IHBlZG9tZXRlciB3aXRoIG9yIHdpdGhvdXQgZGll
dGFyeSBpbnRlcnZlbnRpb24gaW4gb2Jlc2UgcHJlZ25hbnQgd29tZW48L3RpdGxlPjxzZWNvbmRh
cnktdGl0bGU+QW0gSiBPYnN0ZXQgR3luZWNvbDwvc2Vjb25kYXJ5LXRpdGxlPjwvdGl0bGVzPjxw
ZXJpb2RpY2FsPjxmdWxsLXRpdGxlPkFtIEogT2JzdGV0IEd5bmVjb2w8L2Z1bGwtdGl0bGU+PC9w
ZXJpb2RpY2FsPjxwYWdlcz4xMzQgZTEtOTwvcGFnZXM+PHZvbHVtZT4yMTA8L3ZvbHVtZT48bnVt
YmVyPjI8L251bWJlcj48ZWRpdGlvbj4yMDEzLzA5LzI2PC9lZGl0aW9uPjxrZXl3b3Jkcz48a2V5
d29yZD5BY3RpZ3JhcGh5PC9rZXl3b3JkPjxrZXl3b3JkPkFkdWx0PC9rZXl3b3JkPjxrZXl3b3Jk
PkNvbWJpbmVkIE1vZGFsaXR5IFRoZXJhcHk8L2tleXdvcmQ+PGtleXdvcmQ+RGlldCwgTWVkaXRl
cnJhbmVhbjwva2V5d29yZD48a2V5d29yZD5FbmVyZ3kgSW50YWtlPC9rZXl3b3JkPjxrZXl3b3Jk
PipFeGVyY2lzZTwva2V5d29yZD48a2V5d29yZD5GZW1hbGU8L2tleXdvcmQ+PGtleXdvcmQ+SHVt
YW5zPC9rZXl3b3JkPjxrZXl3b3JkPk9iZXNpdHkvZGlldCB0aGVyYXB5Lyp0aGVyYXB5PC9rZXl3
b3JkPjxrZXl3b3JkPlByZWduYW5jeTwva2V5d29yZD48a2V5d29yZD5QcmVnbmFuY3kgQ29tcGxp
Y2F0aW9ucy9kaWV0IHRoZXJhcHkvKnRoZXJhcHk8L2tleXdvcmQ+PGtleXdvcmQ+ZGlldDwva2V5
d29yZD48a2V5d29yZD5pbnRlcnZlbnRpb248L2tleXdvcmQ+PGtleXdvcmQ+b2Jlc2l0eTwva2V5
d29yZD48a2V5d29yZD5wZWRvbWV0ZXI8L2tleXdvcmQ+PGtleXdvcmQ+cGh5c2ljYWwgYWN0aXZp
dHk8L2tleXdvcmQ+PC9rZXl3b3Jkcz48ZGF0ZXM+PHllYXI+MjAxNDwveWVhcj48cHViLWRhdGVz
PjxkYXRlPkZlYjwvZGF0ZT48L3B1Yi1kYXRlcz48L2RhdGVzPjxpc2JuPjEwOTctNjg2OCAoRWxl
Y3Ryb25pYykmI3hEOzAwMDItOTM3OCAoTGlua2luZyk8L2lzYm4+PGFjY2Vzc2lvbi1udW0+MjQw
NjA0NDk8L2FjY2Vzc2lvbi1udW0+PHVybHM+PHJlbGF0ZWQtdXJscz48dXJsPmh0dHBzOi8vd3d3
Lm5jYmkubmxtLm5paC5nb3YvcHVibWVkLzI0MDYwNDQ5PC91cmw+PC9yZWxhdGVkLXVybHM+PC91
cmxzPjxlbGVjdHJvbmljLXJlc291cmNlLW51bT4xMC4xMDE2L2ouYWpvZy4yMDEzLjA5LjAyOTwv
ZWxlY3Ryb25pYy1yZXNvdXJjZS1udW0+PC9yZWNvcmQ+PC9DaXRlPjwvRW5kTm90ZT4A
</w:fldData>
              </w:fldChar>
            </w:r>
            <w:r w:rsidR="002747EA">
              <w:instrText xml:space="preserve"> ADDIN EN.CITE.DATA </w:instrText>
            </w:r>
            <w:r w:rsidR="002747EA">
              <w:fldChar w:fldCharType="end"/>
            </w:r>
            <w:r>
              <w:fldChar w:fldCharType="separate"/>
            </w:r>
            <w:r w:rsidR="002747EA" w:rsidRPr="002747EA">
              <w:rPr>
                <w:noProof/>
                <w:sz w:val="18"/>
                <w:vertAlign w:val="superscript"/>
              </w:rPr>
              <w:t>451</w:t>
            </w:r>
            <w:r>
              <w:fldChar w:fldCharType="end"/>
            </w:r>
          </w:p>
        </w:tc>
      </w:tr>
      <w:tr w:rsidR="008E765F" w:rsidRPr="00822EBF" w14:paraId="3655AFB4" w14:textId="77777777" w:rsidTr="005A5EBF">
        <w:trPr>
          <w:cantSplit/>
        </w:trPr>
        <w:tc>
          <w:tcPr>
            <w:tcW w:w="1560" w:type="dxa"/>
            <w:shd w:val="clear" w:color="D9E2F3" w:themeColor="accent1" w:themeTint="33" w:fill="auto"/>
          </w:tcPr>
          <w:p w14:paraId="2167AEE6" w14:textId="77777777" w:rsidR="008E765F" w:rsidRPr="00822EBF" w:rsidRDefault="008E765F" w:rsidP="00611251">
            <w:pPr>
              <w:pStyle w:val="RCTstable"/>
            </w:pPr>
            <w:r w:rsidRPr="00822EBF">
              <w:t>Random sequence generation</w:t>
            </w:r>
          </w:p>
        </w:tc>
        <w:tc>
          <w:tcPr>
            <w:tcW w:w="1275" w:type="dxa"/>
            <w:shd w:val="clear" w:color="D9E2F3" w:themeColor="accent1" w:themeTint="33" w:fill="FFC000" w:themeFill="accent4"/>
          </w:tcPr>
          <w:p w14:paraId="21AD7CC2"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1797D1BB" w14:textId="77777777" w:rsidR="008E765F" w:rsidRPr="00822EBF" w:rsidRDefault="008E765F" w:rsidP="00611251">
            <w:pPr>
              <w:pStyle w:val="RCTstable"/>
            </w:pPr>
            <w:r>
              <w:t>“The randomis</w:t>
            </w:r>
            <w:r w:rsidRPr="00822EBF">
              <w:t>ation was stratified according to parity to ensure equal distribution of primiparous in the 3 groups</w:t>
            </w:r>
            <w:r>
              <w:t>.”</w:t>
            </w:r>
          </w:p>
        </w:tc>
      </w:tr>
      <w:tr w:rsidR="008E765F" w:rsidRPr="00822EBF" w14:paraId="01BDBB2E" w14:textId="77777777" w:rsidTr="005A5EBF">
        <w:trPr>
          <w:cantSplit/>
        </w:trPr>
        <w:tc>
          <w:tcPr>
            <w:tcW w:w="1560" w:type="dxa"/>
            <w:shd w:val="clear" w:color="D9E2F3" w:themeColor="accent1" w:themeTint="33" w:fill="auto"/>
          </w:tcPr>
          <w:p w14:paraId="10424BC8"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5A6204C2"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D5D5CCA" w14:textId="77777777" w:rsidR="008E765F" w:rsidRPr="00822EBF" w:rsidRDefault="008E765F" w:rsidP="00611251">
            <w:pPr>
              <w:pStyle w:val="RCTstable"/>
            </w:pPr>
            <w:r>
              <w:t>“</w:t>
            </w:r>
            <w:r w:rsidRPr="00822EBF">
              <w:t>Web allocation by an independent organisation properly concealed the procedure</w:t>
            </w:r>
            <w:r>
              <w:t>.”</w:t>
            </w:r>
          </w:p>
        </w:tc>
      </w:tr>
      <w:tr w:rsidR="008E765F" w:rsidRPr="00822EBF" w14:paraId="43901BE4" w14:textId="77777777" w:rsidTr="005A5EBF">
        <w:trPr>
          <w:cantSplit/>
        </w:trPr>
        <w:tc>
          <w:tcPr>
            <w:tcW w:w="1560" w:type="dxa"/>
            <w:shd w:val="clear" w:color="D9E2F3" w:themeColor="accent1" w:themeTint="33" w:fill="auto"/>
          </w:tcPr>
          <w:p w14:paraId="66C288AF"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50028B86"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0CAF7E62" w14:textId="77777777" w:rsidR="008E765F" w:rsidRPr="00822EBF" w:rsidRDefault="008E765F" w:rsidP="00611251">
            <w:pPr>
              <w:pStyle w:val="RCTstable"/>
            </w:pPr>
            <w:r w:rsidRPr="00822EBF">
              <w:t xml:space="preserve">Blinding not possible due to the nature of the study. </w:t>
            </w:r>
          </w:p>
        </w:tc>
      </w:tr>
      <w:tr w:rsidR="008E765F" w:rsidRPr="00822EBF" w14:paraId="4778D315" w14:textId="77777777" w:rsidTr="005A5EBF">
        <w:trPr>
          <w:cantSplit/>
        </w:trPr>
        <w:tc>
          <w:tcPr>
            <w:tcW w:w="1560" w:type="dxa"/>
            <w:shd w:val="clear" w:color="D9E2F3" w:themeColor="accent1" w:themeTint="33" w:fill="auto"/>
          </w:tcPr>
          <w:p w14:paraId="0A8ACCB4"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09DBC4D3" w14:textId="77777777" w:rsidR="008E765F" w:rsidRPr="00822EBF" w:rsidRDefault="008E765F" w:rsidP="00611251">
            <w:pPr>
              <w:pStyle w:val="RCTstable"/>
            </w:pPr>
            <w:r>
              <w:t>Unclear risk</w:t>
            </w:r>
          </w:p>
        </w:tc>
        <w:tc>
          <w:tcPr>
            <w:tcW w:w="11199" w:type="dxa"/>
            <w:shd w:val="clear" w:color="D9E2F3" w:themeColor="accent1" w:themeTint="33" w:fill="auto"/>
          </w:tcPr>
          <w:p w14:paraId="4F1A854E" w14:textId="77777777" w:rsidR="008E765F" w:rsidRPr="00822EBF" w:rsidRDefault="008E765F" w:rsidP="00611251">
            <w:pPr>
              <w:pStyle w:val="RCTstable"/>
            </w:pPr>
            <w:r>
              <w:t>N</w:t>
            </w:r>
            <w:r w:rsidRPr="00822EBF">
              <w:t>ot described.</w:t>
            </w:r>
          </w:p>
        </w:tc>
      </w:tr>
      <w:tr w:rsidR="008E765F" w:rsidRPr="00822EBF" w14:paraId="02738917" w14:textId="77777777" w:rsidTr="005A5EBF">
        <w:trPr>
          <w:cantSplit/>
        </w:trPr>
        <w:tc>
          <w:tcPr>
            <w:tcW w:w="1560" w:type="dxa"/>
            <w:shd w:val="clear" w:color="D9E2F3" w:themeColor="accent1" w:themeTint="33" w:fill="auto"/>
          </w:tcPr>
          <w:p w14:paraId="0146ACFE"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0F673004"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4A9D596" w14:textId="77777777" w:rsidR="008E765F" w:rsidRPr="00822EBF" w:rsidRDefault="008E765F" w:rsidP="00611251">
            <w:pPr>
              <w:pStyle w:val="RCTstable"/>
            </w:pPr>
            <w:r w:rsidRPr="00822EBF">
              <w:t>Low attrition rates for most outcomes.</w:t>
            </w:r>
          </w:p>
        </w:tc>
      </w:tr>
      <w:tr w:rsidR="008E765F" w:rsidRPr="00822EBF" w14:paraId="35523D09" w14:textId="77777777" w:rsidTr="005A5EBF">
        <w:trPr>
          <w:cantSplit/>
        </w:trPr>
        <w:tc>
          <w:tcPr>
            <w:tcW w:w="1560" w:type="dxa"/>
            <w:shd w:val="clear" w:color="D9E2F3" w:themeColor="accent1" w:themeTint="33" w:fill="auto"/>
          </w:tcPr>
          <w:p w14:paraId="255EEBEB"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458D6D2E"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5DA24587" w14:textId="77777777" w:rsidR="008E765F" w:rsidRPr="00822EBF" w:rsidRDefault="008E765F" w:rsidP="00611251">
            <w:pPr>
              <w:pStyle w:val="RCTstable"/>
            </w:pPr>
            <w:r w:rsidRPr="00822EBF">
              <w:t>Could not determine.</w:t>
            </w:r>
          </w:p>
        </w:tc>
      </w:tr>
      <w:tr w:rsidR="008E765F" w:rsidRPr="00822EBF" w14:paraId="13071F3A" w14:textId="77777777" w:rsidTr="005A5EBF">
        <w:trPr>
          <w:cantSplit/>
        </w:trPr>
        <w:tc>
          <w:tcPr>
            <w:tcW w:w="1560" w:type="dxa"/>
            <w:shd w:val="clear" w:color="D9E2F3" w:themeColor="accent1" w:themeTint="33" w:fill="auto"/>
          </w:tcPr>
          <w:p w14:paraId="2EFC58D0"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21E7F589"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AC357AB" w14:textId="77777777" w:rsidR="008E765F" w:rsidRPr="00822EBF" w:rsidRDefault="008E765F" w:rsidP="00611251">
            <w:pPr>
              <w:pStyle w:val="RCTstable"/>
            </w:pPr>
            <w:r w:rsidRPr="00822EBF">
              <w:t>Baseline characteristics were comparable. Good compliance.</w:t>
            </w:r>
          </w:p>
        </w:tc>
      </w:tr>
      <w:tr w:rsidR="008E765F" w:rsidRPr="0048317A" w14:paraId="76164B0A" w14:textId="77777777" w:rsidTr="005A5EBF">
        <w:trPr>
          <w:cantSplit/>
        </w:trPr>
        <w:tc>
          <w:tcPr>
            <w:tcW w:w="14034" w:type="dxa"/>
            <w:gridSpan w:val="3"/>
            <w:shd w:val="solid" w:color="D9E2F3" w:themeColor="accent1" w:themeTint="33" w:fill="auto"/>
          </w:tcPr>
          <w:p w14:paraId="1345C153" w14:textId="589F78F9" w:rsidR="008E765F" w:rsidRPr="0048317A" w:rsidRDefault="008E765F" w:rsidP="002747EA">
            <w:pPr>
              <w:pStyle w:val="RCTstable"/>
              <w:keepNext/>
              <w:rPr>
                <w:b/>
              </w:rPr>
            </w:pPr>
            <w:r w:rsidRPr="0025597C">
              <w:rPr>
                <w:rFonts w:ascii="Century Gothic" w:hAnsi="Century Gothic"/>
                <w:b/>
                <w:noProof/>
              </w:rPr>
              <w:t>Ronnberg et al 2015</w:t>
            </w:r>
            <w:r>
              <w:rPr>
                <w:rFonts w:ascii="Century Gothic" w:hAnsi="Century Gothic"/>
                <w:noProof/>
              </w:rPr>
              <w:fldChar w:fldCharType="begin">
                <w:fldData xml:space="preserve">PEVuZE5vdGU+PENpdGU+PEF1dGhvcj5Sb25uYmVyZzwvQXV0aG9yPjxZZWFyPjIwMTU8L1llYXI+
PFJlY051bT43NTQ8L1JlY051bT48RGlzcGxheVRleHQ+PHN0eWxlIGZhY2U9InN1cGVyc2NyaXB0
IiBmb250PSJUcmVidWNoZXQgTVMiIHNpemU9IjkiPjQ4Niw1NTUsNTU2PC9zdHlsZT48L0Rpc3Bs
YXlUZXh0PjxyZWNvcmQ+PHJlYy1udW1iZXI+NzU0PC9yZWMtbnVtYmVyPjxmb3JlaWduLWtleXM+
PGtleSBhcHA9IkVOIiBkYi1pZD0iZXh2YXNyZngyZHRyYW9lc2FzeHAyc3pzeGEyZGY1MDI1OTJ4
IiB0aW1lc3RhbXA9IjE1NDE0Njc5NTIiPjc1NDwva2V5PjxrZXkgYXBwPSJFTldlYiIgZGItaWQ9
IiI+MDwva2V5PjwvZm9yZWlnbi1rZXlzPjxyZWYtdHlwZSBuYW1lPSJKb3VybmFsIEFydGljbGUi
PjE3PC9yZWYtdHlwZT48Y29udHJpYnV0b3JzPjxhdXRob3JzPjxhdXRob3I+Um9ubmJlcmcsIEEu
IEsuPC9hdXRob3I+PGF1dGhvcj5Pc3RsdW5kLCBJLjwvYXV0aG9yPjxhdXRob3I+RmFkbCwgSC48
L2F1dGhvcj48YXV0aG9yPkdvdHR2YWxsLCBULjwvYXV0aG9yPjxhdXRob3I+Tmlsc3NvbiwgSy48
L2F1dGhvcj48L2F1dGhvcnM+PC9jb250cmlidXRvcnM+PHRpdGxlcz48dGl0bGU+SW50ZXJ2ZW50
aW9uIGR1cmluZyBwcmVnbmFuY3kgdG8gcmVkdWNlIGV4Y2Vzc2l2ZSBnZXN0YXRpb25hbCB3ZWln
aHQgZ2Fpbi1hIHJhbmRvbWlzZWQgY29udHJvbGxlZCB0cmlhbDwvdGl0bGU+PHNlY29uZGFyeS10
aXRsZT5CSk9HOiBBbiBJbnRlcm5hdGlvbmFsIEpvdXJuYWwgb2YgT2JzdGV0cmljcyAmYW1wOyBH
eW5hZWNvbG9neTwvc2Vjb25kYXJ5LXRpdGxlPjwvdGl0bGVzPjxwZXJpb2RpY2FsPjxmdWxsLXRp
dGxlPkJKT0c6IEFuIEludGVybmF0aW9uYWwgSm91cm5hbCBvZiBPYnN0ZXRyaWNzICZhbXA7IEd5
bmFlY29sb2d5PC9mdWxsLXRpdGxlPjwvcGVyaW9kaWNhbD48cGFnZXM+NTM3LTU0NDwvcGFnZXM+
PHZvbHVtZT4xMjI8L3ZvbHVtZT48bnVtYmVyPjQ8L251bWJlcj48c2VjdGlvbj41Mzc8L3NlY3Rp
b24+PGRhdGVzPjx5ZWFyPjIwMTU8L3llYXI+PC9kYXRlcz48aXNibj4xNDcwMDMyODwvaXNibj48
dXJscz48L3VybHM+PGVsZWN0cm9uaWMtcmVzb3VyY2UtbnVtPjEwLjExMTEvMTQ3MS0wNTI4LjEz
MTMxPC9lbGVjdHJvbmljLXJlc291cmNlLW51bT48L3JlY29yZD48L0NpdGU+PENpdGU+PEF1dGhv
cj5Sb25uYmVyZzwvQXV0aG9yPjxZZWFyPjIwMTY8L1llYXI+PFJlY051bT43NTU8L1JlY051bT48
cmVjb3JkPjxyZWMtbnVtYmVyPjc1NTwvcmVjLW51bWJlcj48Zm9yZWlnbi1rZXlzPjxrZXkgYXBw
PSJFTiIgZGItaWQ9ImV4dmFzcmZ4MmR0cmFvZXNhc3hwMnN6c3hhMmRmNTAyNTkyeCIgdGltZXN0
YW1wPSIxNTQxNDY3OTU5Ij43NTU8L2tleT48a2V5IGFwcD0iRU5XZWIiIGRiLWlkPSIiPjA8L2tl
eT48L2ZvcmVpZ24ta2V5cz48cmVmLXR5cGUgbmFtZT0iSm91cm5hbCBBcnRpY2xlIj4xNzwvcmVm
LXR5cGU+PGNvbnRyaWJ1dG9ycz48YXV0aG9ycz48YXV0aG9yPlJvbm5iZXJnLCBBbm5LcmlzdGlu
PC9hdXRob3I+PGF1dGhvcj5IYW5zb24sIFVsZjwvYXV0aG9yPjxhdXRob3I+T3N0bHVuZCwgSW5n
cmlkPC9hdXRob3I+PGF1dGhvcj5OaWxzc29uLCBLZXJzdGluPC9hdXRob3I+PC9hdXRob3JzPjwv
Y29udHJpYnV0b3JzPjx0aXRsZXM+PHRpdGxlPkVmZmVjdHMgb24gcG9zdHBhcnR1bSB3ZWlnaHQg
cmV0ZW50aW9uIGFmdGVyIGFudGVuYXRhbCBsaWZlc3R5bGUgaW50ZXJ2ZW50aW9uIC0gYSBzZWNv
bmRhcnkgYW5hbHlzaXMgb2YgYSByYW5kb21pemVkIGNvbnRyb2xsZWQgdHJpYWw8L3RpdGxlPjxz
ZWNvbmRhcnktdGl0bGU+QWN0YSBPYnN0ZXRyaWNpYSBldCBHeW5lY29sb2dpY2EgU2NhbmRpbmF2
aWNhPC9zZWNvbmRhcnktdGl0bGU+PC90aXRsZXM+PHBlcmlvZGljYWw+PGZ1bGwtdGl0bGU+QWN0
YSBPYnN0ZXRyaWNpYSBldCBHeW5lY29sb2dpY2EgU2NhbmRpbmF2aWNhPC9mdWxsLXRpdGxlPjwv
cGVyaW9kaWNhbD48cGFnZXM+OTk5LTEwMDc8L3BhZ2VzPjx2b2x1bWU+OTU8L3ZvbHVtZT48bnVt
YmVyPjk8L251bWJlcj48c2VjdGlvbj45OTk8L3NlY3Rpb24+PGRhdGVzPjx5ZWFyPjIwMTY8L3ll
YXI+PC9kYXRlcz48aXNibj4wMDAxNjM0OTwvaXNibj48dXJscz48L3VybHM+PGVsZWN0cm9uaWMt
cmVzb3VyY2UtbnVtPjEwLjExMTEvYW9ncy4xMjkxMDwvZWxlY3Ryb25pYy1yZXNvdXJjZS1udW0+
PC9yZWNvcmQ+PC9DaXRlPjxDaXRlPjxBdXRob3I+Um9ubmJlcmc8L0F1dGhvcj48WWVhcj4yMDE3
PC9ZZWFyPjxSZWNOdW0+OTMwPC9SZWNOdW0+PHJlY29yZD48cmVjLW51bWJlcj45MzA8L3JlYy1u
dW1iZXI+PGZvcmVpZ24ta2V5cz48a2V5IGFwcD0iRU4iIGRiLWlkPSJleHZhc3JmeDJkdHJhb2Vz
YXN4cDJzenN4YTJkZjUwMjU5MngiIHRpbWVzdGFtcD0iMTU0MTU0MDk0NiI+OTMwPC9rZXk+PGtl
eSBhcHA9IkVOV2ViIiBkYi1pZD0iIj4wPC9rZXk+PC9mb3JlaWduLWtleXM+PHJlZi10eXBlIG5h
bWU9IkpvdXJuYWwgQXJ0aWNsZSI+MTc8L3JlZi10eXBlPjxjb250cmlidXRvcnM+PGF1dGhvcnM+
PGF1dGhvcj5Sb25uYmVyZywgQW5uLUtyaXN0aW48L2F1dGhvcj48YXV0aG9yPkhhbnNvbiwgVWxm
PC9hdXRob3I+PGF1dGhvcj5OaWxzc29uLCBLZXJzdGluPC9hdXRob3I+PC9hdXRob3JzPjwvY29u
dHJpYnV0b3JzPjx0aXRsZXM+PHRpdGxlPkVmZmVjdHMgb2YgYW4gYW50ZW5hdGFsIGxpZmVzdHls
ZSBpbnRlcnZlbnRpb24gb24gb2Zmc3ByaW5nIG9iZXNpdHkgLSBhIDUteWVhciBmb2xsb3ctdXAg
b2YgYSByYW5kb21pemVkIGNvbnRyb2xsZWQgdHJpYWw8L3RpdGxlPjxzZWNvbmRhcnktdGl0bGU+
QWN0YSBPYnN0ZXRyaWNpYSBldCBHeW5lY29sb2dpY2EgU2NhbmRpbmF2aWNhPC9zZWNvbmRhcnkt
dGl0bGU+PC90aXRsZXM+PHBlcmlvZGljYWw+PGZ1bGwtdGl0bGU+QWN0YSBPYnN0ZXRyaWNpYSBl
dCBHeW5lY29sb2dpY2EgU2NhbmRpbmF2aWNhPC9mdWxsLXRpdGxlPjwvcGVyaW9kaWNhbD48cGFn
ZXM+MTA5My0xMDk5PC9wYWdlcz48dm9sdW1lPjk2PC92b2x1bWU+PG51bWJlcj45PC9udW1iZXI+
PHNlY3Rpb24+MTA5Mzwvc2VjdGlvbj48ZGF0ZXM+PHllYXI+MjAxNzwveWVhcj48L2RhdGVzPjxp
c2JuPjAwMDE2MzQ5PC9pc2JuPjx1cmxzPjwvdXJscz48ZWxlY3Ryb25pYy1yZXNvdXJjZS1udW0+
MTAuMTExMS9hb2dzLjEzMTY4PC9lbGVjdHJvbmljLXJlc291cmNlLW51bT48L3JlY29yZD48L0Np
dGU+PC9FbmROb3RlPn==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PEVuZE5vdGU+PENpdGU+PEF1dGhvcj5Sb25uYmVyZzwvQXV0aG9yPjxZZWFyPjIwMTU8L1llYXI+
PFJlY051bT43NTQ8L1JlY051bT48RGlzcGxheVRleHQ+PHN0eWxlIGZhY2U9InN1cGVyc2NyaXB0
IiBmb250PSJUcmVidWNoZXQgTVMiIHNpemU9IjkiPjQ4Niw1NTUsNTU2PC9zdHlsZT48L0Rpc3Bs
YXlUZXh0PjxyZWNvcmQ+PHJlYy1udW1iZXI+NzU0PC9yZWMtbnVtYmVyPjxmb3JlaWduLWtleXM+
PGtleSBhcHA9IkVOIiBkYi1pZD0iZXh2YXNyZngyZHRyYW9lc2FzeHAyc3pzeGEyZGY1MDI1OTJ4
IiB0aW1lc3RhbXA9IjE1NDE0Njc5NTIiPjc1NDwva2V5PjxrZXkgYXBwPSJFTldlYiIgZGItaWQ9
IiI+MDwva2V5PjwvZm9yZWlnbi1rZXlzPjxyZWYtdHlwZSBuYW1lPSJKb3VybmFsIEFydGljbGUi
PjE3PC9yZWYtdHlwZT48Y29udHJpYnV0b3JzPjxhdXRob3JzPjxhdXRob3I+Um9ubmJlcmcsIEEu
IEsuPC9hdXRob3I+PGF1dGhvcj5Pc3RsdW5kLCBJLjwvYXV0aG9yPjxhdXRob3I+RmFkbCwgSC48
L2F1dGhvcj48YXV0aG9yPkdvdHR2YWxsLCBULjwvYXV0aG9yPjxhdXRob3I+Tmlsc3NvbiwgSy48
L2F1dGhvcj48L2F1dGhvcnM+PC9jb250cmlidXRvcnM+PHRpdGxlcz48dGl0bGU+SW50ZXJ2ZW50
aW9uIGR1cmluZyBwcmVnbmFuY3kgdG8gcmVkdWNlIGV4Y2Vzc2l2ZSBnZXN0YXRpb25hbCB3ZWln
aHQgZ2Fpbi1hIHJhbmRvbWlzZWQgY29udHJvbGxlZCB0cmlhbDwvdGl0bGU+PHNlY29uZGFyeS10
aXRsZT5CSk9HOiBBbiBJbnRlcm5hdGlvbmFsIEpvdXJuYWwgb2YgT2JzdGV0cmljcyAmYW1wOyBH
eW5hZWNvbG9neTwvc2Vjb25kYXJ5LXRpdGxlPjwvdGl0bGVzPjxwZXJpb2RpY2FsPjxmdWxsLXRp
dGxlPkJKT0c6IEFuIEludGVybmF0aW9uYWwgSm91cm5hbCBvZiBPYnN0ZXRyaWNzICZhbXA7IEd5
bmFlY29sb2d5PC9mdWxsLXRpdGxlPjwvcGVyaW9kaWNhbD48cGFnZXM+NTM3LTU0NDwvcGFnZXM+
PHZvbHVtZT4xMjI8L3ZvbHVtZT48bnVtYmVyPjQ8L251bWJlcj48c2VjdGlvbj41Mzc8L3NlY3Rp
b24+PGRhdGVzPjx5ZWFyPjIwMTU8L3llYXI+PC9kYXRlcz48aXNibj4xNDcwMDMyODwvaXNibj48
dXJscz48L3VybHM+PGVsZWN0cm9uaWMtcmVzb3VyY2UtbnVtPjEwLjExMTEvMTQ3MS0wNTI4LjEz
MTMxPC9lbGVjdHJvbmljLXJlc291cmNlLW51bT48L3JlY29yZD48L0NpdGU+PENpdGU+PEF1dGhv
cj5Sb25uYmVyZzwvQXV0aG9yPjxZZWFyPjIwMTY8L1llYXI+PFJlY051bT43NTU8L1JlY051bT48
cmVjb3JkPjxyZWMtbnVtYmVyPjc1NTwvcmVjLW51bWJlcj48Zm9yZWlnbi1rZXlzPjxrZXkgYXBw
PSJFTiIgZGItaWQ9ImV4dmFzcmZ4MmR0cmFvZXNhc3hwMnN6c3hhMmRmNTAyNTkyeCIgdGltZXN0
YW1wPSIxNTQxNDY3OTU5Ij43NTU8L2tleT48a2V5IGFwcD0iRU5XZWIiIGRiLWlkPSIiPjA8L2tl
eT48L2ZvcmVpZ24ta2V5cz48cmVmLXR5cGUgbmFtZT0iSm91cm5hbCBBcnRpY2xlIj4xNzwvcmVm
LXR5cGU+PGNvbnRyaWJ1dG9ycz48YXV0aG9ycz48YXV0aG9yPlJvbm5iZXJnLCBBbm5LcmlzdGlu
PC9hdXRob3I+PGF1dGhvcj5IYW5zb24sIFVsZjwvYXV0aG9yPjxhdXRob3I+T3N0bHVuZCwgSW5n
cmlkPC9hdXRob3I+PGF1dGhvcj5OaWxzc29uLCBLZXJzdGluPC9hdXRob3I+PC9hdXRob3JzPjwv
Y29udHJpYnV0b3JzPjx0aXRsZXM+PHRpdGxlPkVmZmVjdHMgb24gcG9zdHBhcnR1bSB3ZWlnaHQg
cmV0ZW50aW9uIGFmdGVyIGFudGVuYXRhbCBsaWZlc3R5bGUgaW50ZXJ2ZW50aW9uIC0gYSBzZWNv
bmRhcnkgYW5hbHlzaXMgb2YgYSByYW5kb21pemVkIGNvbnRyb2xsZWQgdHJpYWw8L3RpdGxlPjxz
ZWNvbmRhcnktdGl0bGU+QWN0YSBPYnN0ZXRyaWNpYSBldCBHeW5lY29sb2dpY2EgU2NhbmRpbmF2
aWNhPC9zZWNvbmRhcnktdGl0bGU+PC90aXRsZXM+PHBlcmlvZGljYWw+PGZ1bGwtdGl0bGU+QWN0
YSBPYnN0ZXRyaWNpYSBldCBHeW5lY29sb2dpY2EgU2NhbmRpbmF2aWNhPC9mdWxsLXRpdGxlPjwv
cGVyaW9kaWNhbD48cGFnZXM+OTk5LTEwMDc8L3BhZ2VzPjx2b2x1bWU+OTU8L3ZvbHVtZT48bnVt
YmVyPjk8L251bWJlcj48c2VjdGlvbj45OTk8L3NlY3Rpb24+PGRhdGVzPjx5ZWFyPjIwMTY8L3ll
YXI+PC9kYXRlcz48aXNibj4wMDAxNjM0OTwvaXNibj48dXJscz48L3VybHM+PGVsZWN0cm9uaWMt
cmVzb3VyY2UtbnVtPjEwLjExMTEvYW9ncy4xMjkxMDwvZWxlY3Ryb25pYy1yZXNvdXJjZS1udW0+
PC9yZWNvcmQ+PC9DaXRlPjxDaXRlPjxBdXRob3I+Um9ubmJlcmc8L0F1dGhvcj48WWVhcj4yMDE3
PC9ZZWFyPjxSZWNOdW0+OTMwPC9SZWNOdW0+PHJlY29yZD48cmVjLW51bWJlcj45MzA8L3JlYy1u
dW1iZXI+PGZvcmVpZ24ta2V5cz48a2V5IGFwcD0iRU4iIGRiLWlkPSJleHZhc3JmeDJkdHJhb2Vz
YXN4cDJzenN4YTJkZjUwMjU5MngiIHRpbWVzdGFtcD0iMTU0MTU0MDk0NiI+OTMwPC9rZXk+PGtl
eSBhcHA9IkVOV2ViIiBkYi1pZD0iIj4wPC9rZXk+PC9mb3JlaWduLWtleXM+PHJlZi10eXBlIG5h
bWU9IkpvdXJuYWwgQXJ0aWNsZSI+MTc8L3JlZi10eXBlPjxjb250cmlidXRvcnM+PGF1dGhvcnM+
PGF1dGhvcj5Sb25uYmVyZywgQW5uLUtyaXN0aW48L2F1dGhvcj48YXV0aG9yPkhhbnNvbiwgVWxm
PC9hdXRob3I+PGF1dGhvcj5OaWxzc29uLCBLZXJzdGluPC9hdXRob3I+PC9hdXRob3JzPjwvY29u
dHJpYnV0b3JzPjx0aXRsZXM+PHRpdGxlPkVmZmVjdHMgb2YgYW4gYW50ZW5hdGFsIGxpZmVzdHls
ZSBpbnRlcnZlbnRpb24gb24gb2Zmc3ByaW5nIG9iZXNpdHkgLSBhIDUteWVhciBmb2xsb3ctdXAg
b2YgYSByYW5kb21pemVkIGNvbnRyb2xsZWQgdHJpYWw8L3RpdGxlPjxzZWNvbmRhcnktdGl0bGU+
QWN0YSBPYnN0ZXRyaWNpYSBldCBHeW5lY29sb2dpY2EgU2NhbmRpbmF2aWNhPC9zZWNvbmRhcnkt
dGl0bGU+PC90aXRsZXM+PHBlcmlvZGljYWw+PGZ1bGwtdGl0bGU+QWN0YSBPYnN0ZXRyaWNpYSBl
dCBHeW5lY29sb2dpY2EgU2NhbmRpbmF2aWNhPC9mdWxsLXRpdGxlPjwvcGVyaW9kaWNhbD48cGFn
ZXM+MTA5My0xMDk5PC9wYWdlcz48dm9sdW1lPjk2PC92b2x1bWU+PG51bWJlcj45PC9udW1iZXI+
PHNlY3Rpb24+MTA5Mzwvc2VjdGlvbj48ZGF0ZXM+PHllYXI+MjAxNzwveWVhcj48L2RhdGVzPjxp
c2JuPjAwMDE2MzQ5PC9pc2JuPjx1cmxzPjwvdXJscz48ZWxlY3Ryb25pYy1yZXNvdXJjZS1udW0+
MTAuMTExMS9hb2dzLjEzMTY4PC9lbGVjdHJvbmljLXJlc291cmNlLW51bT48L3JlY29yZD48L0Np
dGU+PC9FbmROb3RlPn==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486,555,556</w:t>
            </w:r>
            <w:r>
              <w:rPr>
                <w:rFonts w:ascii="Century Gothic" w:hAnsi="Century Gothic"/>
                <w:noProof/>
              </w:rPr>
              <w:fldChar w:fldCharType="end"/>
            </w:r>
          </w:p>
        </w:tc>
      </w:tr>
      <w:tr w:rsidR="008E765F" w:rsidRPr="00822EBF" w14:paraId="00BB3353" w14:textId="77777777" w:rsidTr="005A5EBF">
        <w:trPr>
          <w:cantSplit/>
        </w:trPr>
        <w:tc>
          <w:tcPr>
            <w:tcW w:w="1560" w:type="dxa"/>
            <w:shd w:val="clear" w:color="D9E2F3" w:themeColor="accent1" w:themeTint="33" w:fill="auto"/>
          </w:tcPr>
          <w:p w14:paraId="5049C02F" w14:textId="77777777" w:rsidR="008E765F" w:rsidRPr="00822EBF" w:rsidRDefault="008E765F" w:rsidP="00611251">
            <w:pPr>
              <w:pStyle w:val="RCTstable"/>
            </w:pPr>
            <w:r w:rsidRPr="00822EBF">
              <w:t>Random sequence generation</w:t>
            </w:r>
          </w:p>
        </w:tc>
        <w:tc>
          <w:tcPr>
            <w:tcW w:w="1275" w:type="dxa"/>
            <w:shd w:val="clear" w:color="D9E2F3" w:themeColor="accent1" w:themeTint="33" w:fill="FFC000" w:themeFill="accent4"/>
          </w:tcPr>
          <w:p w14:paraId="385EA72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23FB2CD" w14:textId="77777777" w:rsidR="008E765F" w:rsidRPr="00822EBF" w:rsidRDefault="008E765F" w:rsidP="00611251">
            <w:pPr>
              <w:pStyle w:val="RCTstable"/>
            </w:pPr>
            <w:r w:rsidRPr="00822EBF">
              <w:t>Consecutive randomisation after written informed consent was applied.</w:t>
            </w:r>
          </w:p>
        </w:tc>
      </w:tr>
      <w:tr w:rsidR="008E765F" w:rsidRPr="00822EBF" w14:paraId="26C903E2" w14:textId="77777777" w:rsidTr="005A5EBF">
        <w:trPr>
          <w:cantSplit/>
        </w:trPr>
        <w:tc>
          <w:tcPr>
            <w:tcW w:w="1560" w:type="dxa"/>
            <w:shd w:val="clear" w:color="D9E2F3" w:themeColor="accent1" w:themeTint="33" w:fill="auto"/>
          </w:tcPr>
          <w:p w14:paraId="28ACAA41"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FFC000" w:themeFill="accent4"/>
          </w:tcPr>
          <w:p w14:paraId="030C54D0"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B1E5C56" w14:textId="77777777" w:rsidR="008E765F" w:rsidRPr="00822EBF" w:rsidRDefault="008E765F" w:rsidP="00611251">
            <w:pPr>
              <w:pStyle w:val="RCTstable"/>
            </w:pPr>
            <w:r w:rsidRPr="00822EBF">
              <w:t>The person responsible for producing the random sequence of group allocation had no other involvement in the study.</w:t>
            </w:r>
          </w:p>
        </w:tc>
      </w:tr>
      <w:tr w:rsidR="008E765F" w:rsidRPr="00822EBF" w14:paraId="36280A99" w14:textId="77777777" w:rsidTr="005A5EBF">
        <w:trPr>
          <w:cantSplit/>
        </w:trPr>
        <w:tc>
          <w:tcPr>
            <w:tcW w:w="1560" w:type="dxa"/>
            <w:shd w:val="clear" w:color="D9E2F3" w:themeColor="accent1" w:themeTint="33" w:fill="auto"/>
          </w:tcPr>
          <w:p w14:paraId="08A6C382"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00A70CF9"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23A96F85" w14:textId="77777777" w:rsidR="008E765F" w:rsidRPr="00822EBF" w:rsidRDefault="008E765F" w:rsidP="00611251">
            <w:pPr>
              <w:pStyle w:val="RCTstable"/>
            </w:pPr>
            <w:r w:rsidRPr="00822EBF">
              <w:t>The study participants were not blinded to treatment. However, achieving blinding of treatment allocation for educational and exercise interventions is not feasible.</w:t>
            </w:r>
          </w:p>
        </w:tc>
      </w:tr>
      <w:tr w:rsidR="008E765F" w:rsidRPr="00822EBF" w14:paraId="6B8AF1E0" w14:textId="77777777" w:rsidTr="005A5EBF">
        <w:trPr>
          <w:cantSplit/>
        </w:trPr>
        <w:tc>
          <w:tcPr>
            <w:tcW w:w="1560" w:type="dxa"/>
            <w:shd w:val="clear" w:color="D9E2F3" w:themeColor="accent1" w:themeTint="33" w:fill="auto"/>
          </w:tcPr>
          <w:p w14:paraId="392B6749"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512639A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427DB4B9" w14:textId="77777777" w:rsidR="008E765F" w:rsidRPr="00822EBF" w:rsidRDefault="008E765F" w:rsidP="00611251">
            <w:pPr>
              <w:pStyle w:val="RCTstable"/>
            </w:pPr>
            <w:r w:rsidRPr="00822EBF">
              <w:t>Not described</w:t>
            </w:r>
          </w:p>
        </w:tc>
      </w:tr>
      <w:tr w:rsidR="008E765F" w:rsidRPr="00822EBF" w14:paraId="029A30EE" w14:textId="77777777" w:rsidTr="005A5EBF">
        <w:trPr>
          <w:cantSplit/>
        </w:trPr>
        <w:tc>
          <w:tcPr>
            <w:tcW w:w="1560" w:type="dxa"/>
            <w:shd w:val="clear" w:color="D9E2F3" w:themeColor="accent1" w:themeTint="33" w:fill="auto"/>
          </w:tcPr>
          <w:p w14:paraId="4C6E01F4"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334DD6EA"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C3AB0B7" w14:textId="77777777" w:rsidR="008E765F" w:rsidRPr="00822EBF" w:rsidRDefault="008E765F" w:rsidP="00611251">
            <w:pPr>
              <w:pStyle w:val="RCTstable"/>
            </w:pPr>
            <w:r w:rsidRPr="00822EBF">
              <w:t>There was a low loss to follow up (8%) in the group receiving intervention versus an intermediate loss (11%) in the group receiving standard care. The participants who were lost to follow up did not differ in age, parity or BMI category between groups. All data analysis was carried out according to intention to treat and according to the pre-established analysis plan</w:t>
            </w:r>
          </w:p>
        </w:tc>
      </w:tr>
      <w:tr w:rsidR="008E765F" w:rsidRPr="00822EBF" w14:paraId="158B8B60" w14:textId="77777777" w:rsidTr="005A5EBF">
        <w:trPr>
          <w:cantSplit/>
        </w:trPr>
        <w:tc>
          <w:tcPr>
            <w:tcW w:w="1560" w:type="dxa"/>
            <w:shd w:val="clear" w:color="D9E2F3" w:themeColor="accent1" w:themeTint="33" w:fill="auto"/>
          </w:tcPr>
          <w:p w14:paraId="7053C2C5"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5863F52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DBFE39C" w14:textId="77777777" w:rsidR="008E765F" w:rsidRPr="00822EBF" w:rsidRDefault="008E765F" w:rsidP="00611251">
            <w:pPr>
              <w:pStyle w:val="RCTstable"/>
            </w:pPr>
            <w:r w:rsidRPr="00822EBF">
              <w:t>Pre-specified outcomes reported.</w:t>
            </w:r>
          </w:p>
        </w:tc>
      </w:tr>
      <w:tr w:rsidR="008E765F" w:rsidRPr="00822EBF" w14:paraId="77DFB8D3" w14:textId="77777777" w:rsidTr="005A5EBF">
        <w:trPr>
          <w:cantSplit/>
        </w:trPr>
        <w:tc>
          <w:tcPr>
            <w:tcW w:w="1560" w:type="dxa"/>
            <w:shd w:val="clear" w:color="D9E2F3" w:themeColor="accent1" w:themeTint="33" w:fill="auto"/>
          </w:tcPr>
          <w:p w14:paraId="256EA217"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204D1962"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48D393F3" w14:textId="77777777" w:rsidR="008E765F" w:rsidRPr="00822EBF" w:rsidRDefault="008E765F" w:rsidP="00611251">
            <w:pPr>
              <w:pStyle w:val="RCTstable"/>
            </w:pPr>
            <w:r w:rsidRPr="00822EBF">
              <w:t xml:space="preserve">The consecutive randomisation used led to the same midwife receiving patients from both study groups in her practice. The caregiver’s awareness of IOM recommendations could have </w:t>
            </w:r>
            <w:r>
              <w:t>a</w:t>
            </w:r>
            <w:r w:rsidRPr="00822EBF">
              <w:t>ffected performance of standard maternity care.</w:t>
            </w:r>
          </w:p>
        </w:tc>
      </w:tr>
      <w:tr w:rsidR="00045F63" w:rsidRPr="0048317A" w14:paraId="23A369BC" w14:textId="77777777" w:rsidTr="005A5EBF">
        <w:trPr>
          <w:cantSplit/>
        </w:trPr>
        <w:tc>
          <w:tcPr>
            <w:tcW w:w="14034" w:type="dxa"/>
            <w:gridSpan w:val="3"/>
            <w:shd w:val="solid" w:color="D9E2F3" w:themeColor="accent1" w:themeTint="33" w:fill="auto"/>
          </w:tcPr>
          <w:p w14:paraId="7D78F030" w14:textId="2EDACF8E" w:rsidR="00045F63" w:rsidRPr="0048317A" w:rsidRDefault="00045F63" w:rsidP="002747EA">
            <w:pPr>
              <w:pStyle w:val="RCTstable"/>
              <w:keepNext/>
              <w:rPr>
                <w:b/>
              </w:rPr>
            </w:pPr>
            <w:r>
              <w:rPr>
                <w:rFonts w:ascii="Century Gothic" w:hAnsi="Century Gothic"/>
                <w:b/>
                <w:noProof/>
              </w:rPr>
              <w:t>Ruchat et al 2012</w:t>
            </w:r>
            <w:r w:rsidR="00E37D04">
              <w:fldChar w:fldCharType="begin"/>
            </w:r>
            <w:r w:rsidR="002747EA">
              <w:instrText xml:space="preserve"> ADDIN EN.CITE &lt;EndNote&gt;&lt;Cite&gt;&lt;Author&gt;Ruchat&lt;/Author&gt;&lt;Year&gt;2012&lt;/Year&gt;&lt;RecNum&gt;756&lt;/RecNum&gt;&lt;DisplayText&gt;&lt;style face="superscript" font="Trebuchet MS" size="9"&gt;482&lt;/style&gt;&lt;/DisplayText&gt;&lt;record&gt;&lt;rec-number&gt;756&lt;/rec-number&gt;&lt;foreign-keys&gt;&lt;key app="EN" db-id="exvasrfx2dtraoesasxp2szsxa2df502592x" timestamp="1541467965"&gt;756&lt;/key&gt;&lt;key app="ENWeb" db-id=""&gt;0&lt;/key&gt;&lt;/foreign-keys&gt;&lt;ref-type name="Journal Article"&gt;17&lt;/ref-type&gt;&lt;contributors&gt;&lt;authors&gt;&lt;author&gt;Ruchat, S-M.,&lt;/author&gt;&lt;author&gt;Davenport, M.H.,&lt;/author&gt;&lt;author&gt;Giroux, I.,&lt;/author&gt;&lt;author&gt;Hillier, M.,&lt;/author&gt;&lt;author&gt;Batada, A.,&lt;/author&gt;&lt;author&gt;Sopper, M.M.,&lt;/author&gt;&lt;author&gt;Hammond, J.M.S.,&lt;/author&gt;&lt;author&gt;Mottola, M.F.,&lt;/author&gt;&lt;/authors&gt;&lt;/contributors&gt;&lt;titles&gt;&lt;title&gt;Nutrition and exercise reduce excessive weight gain in normal-weight pregnant women&lt;/title&gt;&lt;secondary-title&gt;Medicine &amp;amp; Science in Sports &amp;amp; Exercise&lt;/secondary-title&gt;&lt;/titles&gt;&lt;periodical&gt;&lt;full-title&gt;Medicine &amp;amp; Science in Sports &amp;amp; Exercise&lt;/full-title&gt;&lt;/periodical&gt;&lt;pages&gt;1419-1426&lt;/pages&gt;&lt;volume&gt;44&lt;/volume&gt;&lt;number&gt;8&lt;/number&gt;&lt;section&gt;1419&lt;/section&gt;&lt;dates&gt;&lt;year&gt;2012&lt;/year&gt;&lt;/dates&gt;&lt;isbn&gt;0195-9131&lt;/isbn&gt;&lt;urls&gt;&lt;/urls&gt;&lt;electronic-resource-num&gt;10.1249/MSS.0b013e31825365f1&lt;/electronic-resource-num&gt;&lt;/record&gt;&lt;/Cite&gt;&lt;/EndNote&gt;</w:instrText>
            </w:r>
            <w:r w:rsidR="00E37D04">
              <w:fldChar w:fldCharType="separate"/>
            </w:r>
            <w:r w:rsidR="002747EA" w:rsidRPr="002747EA">
              <w:rPr>
                <w:noProof/>
                <w:sz w:val="18"/>
                <w:vertAlign w:val="superscript"/>
              </w:rPr>
              <w:t>482</w:t>
            </w:r>
            <w:r w:rsidR="00E37D04">
              <w:fldChar w:fldCharType="end"/>
            </w:r>
          </w:p>
        </w:tc>
      </w:tr>
      <w:tr w:rsidR="00045F63" w:rsidRPr="00822EBF" w14:paraId="2AA72DA6" w14:textId="77777777" w:rsidTr="005A5EBF">
        <w:trPr>
          <w:cantSplit/>
        </w:trPr>
        <w:tc>
          <w:tcPr>
            <w:tcW w:w="1560" w:type="dxa"/>
            <w:shd w:val="clear" w:color="D9E2F3" w:themeColor="accent1" w:themeTint="33" w:fill="auto"/>
          </w:tcPr>
          <w:p w14:paraId="4F1C145B" w14:textId="77777777" w:rsidR="00045F63" w:rsidRPr="00822EBF" w:rsidRDefault="00045F63" w:rsidP="00045F63">
            <w:pPr>
              <w:pStyle w:val="RCTstable"/>
              <w:keepNext/>
            </w:pPr>
            <w:r w:rsidRPr="00822EBF">
              <w:t>Random sequence generation</w:t>
            </w:r>
          </w:p>
        </w:tc>
        <w:tc>
          <w:tcPr>
            <w:tcW w:w="1275" w:type="dxa"/>
            <w:shd w:val="clear" w:color="D9E2F3" w:themeColor="accent1" w:themeTint="33" w:fill="FFC000" w:themeFill="accent4"/>
          </w:tcPr>
          <w:p w14:paraId="0345D6B5" w14:textId="77777777" w:rsidR="00045F63" w:rsidRPr="00822EBF" w:rsidRDefault="00045F63" w:rsidP="00045F63">
            <w:pPr>
              <w:pStyle w:val="RCTstable"/>
              <w:keepNext/>
            </w:pPr>
            <w:r w:rsidRPr="00822EBF">
              <w:t>Unclear risk</w:t>
            </w:r>
          </w:p>
        </w:tc>
        <w:tc>
          <w:tcPr>
            <w:tcW w:w="11199" w:type="dxa"/>
            <w:shd w:val="clear" w:color="D9E2F3" w:themeColor="accent1" w:themeTint="33" w:fill="auto"/>
          </w:tcPr>
          <w:p w14:paraId="294A8398" w14:textId="7F92685B" w:rsidR="00045F63" w:rsidRPr="00045F63" w:rsidRDefault="00045F63" w:rsidP="00045F63">
            <w:pPr>
              <w:pStyle w:val="RCTstable"/>
            </w:pPr>
            <w:r>
              <w:t>“Each woman was randomis</w:t>
            </w:r>
            <w:r w:rsidRPr="00045F63">
              <w:t>ed</w:t>
            </w:r>
            <w:r>
              <w:t xml:space="preserve"> using a randomis</w:t>
            </w:r>
            <w:r w:rsidRPr="00045F63">
              <w:t>ed/block procedure with four subjects</w:t>
            </w:r>
            <w:r>
              <w:t xml:space="preserve"> </w:t>
            </w:r>
            <w:r w:rsidRPr="00045F63">
              <w:t>per block into either the LI (30% HRR) or MI (70% HRR)</w:t>
            </w:r>
            <w:r>
              <w:t xml:space="preserve"> </w:t>
            </w:r>
            <w:r w:rsidRPr="00045F63">
              <w:t>group</w:t>
            </w:r>
            <w:r>
              <w:t>.”</w:t>
            </w:r>
          </w:p>
        </w:tc>
      </w:tr>
      <w:tr w:rsidR="00045F63" w:rsidRPr="00822EBF" w14:paraId="06F659E8" w14:textId="77777777" w:rsidTr="005A5EBF">
        <w:trPr>
          <w:cantSplit/>
        </w:trPr>
        <w:tc>
          <w:tcPr>
            <w:tcW w:w="1560" w:type="dxa"/>
            <w:shd w:val="clear" w:color="D9E2F3" w:themeColor="accent1" w:themeTint="33" w:fill="auto"/>
          </w:tcPr>
          <w:p w14:paraId="6A8EF219" w14:textId="77777777" w:rsidR="00045F63" w:rsidRPr="00822EBF" w:rsidRDefault="00045F63" w:rsidP="00E37D04">
            <w:pPr>
              <w:pStyle w:val="RCTstable"/>
            </w:pPr>
            <w:r w:rsidRPr="00822EBF">
              <w:t xml:space="preserve">Allocation concealment </w:t>
            </w:r>
          </w:p>
        </w:tc>
        <w:tc>
          <w:tcPr>
            <w:tcW w:w="1275" w:type="dxa"/>
            <w:shd w:val="clear" w:color="D9E2F3" w:themeColor="accent1" w:themeTint="33" w:fill="FFC000" w:themeFill="accent4"/>
          </w:tcPr>
          <w:p w14:paraId="08EA9D26" w14:textId="77777777" w:rsidR="00045F63" w:rsidRPr="00822EBF" w:rsidRDefault="00045F63" w:rsidP="00E37D04">
            <w:pPr>
              <w:pStyle w:val="RCTstable"/>
            </w:pPr>
            <w:r w:rsidRPr="00822EBF">
              <w:t>Unclear risk</w:t>
            </w:r>
          </w:p>
        </w:tc>
        <w:tc>
          <w:tcPr>
            <w:tcW w:w="11199" w:type="dxa"/>
            <w:shd w:val="clear" w:color="D9E2F3" w:themeColor="accent1" w:themeTint="33" w:fill="auto"/>
          </w:tcPr>
          <w:p w14:paraId="2B9B7C25" w14:textId="421BEACB" w:rsidR="00045F63" w:rsidRPr="00822EBF" w:rsidRDefault="00045F63" w:rsidP="00E37D04">
            <w:pPr>
              <w:pStyle w:val="RCTstable"/>
            </w:pPr>
            <w:r>
              <w:t>Not described</w:t>
            </w:r>
          </w:p>
        </w:tc>
      </w:tr>
      <w:tr w:rsidR="00045F63" w:rsidRPr="00822EBF" w14:paraId="7014475A" w14:textId="77777777" w:rsidTr="005A5EBF">
        <w:trPr>
          <w:cantSplit/>
        </w:trPr>
        <w:tc>
          <w:tcPr>
            <w:tcW w:w="1560" w:type="dxa"/>
            <w:shd w:val="clear" w:color="D9E2F3" w:themeColor="accent1" w:themeTint="33" w:fill="auto"/>
          </w:tcPr>
          <w:p w14:paraId="33E3D12E" w14:textId="77777777" w:rsidR="00045F63" w:rsidRPr="00822EBF" w:rsidRDefault="00045F63" w:rsidP="00E37D04">
            <w:pPr>
              <w:pStyle w:val="RCTstable"/>
            </w:pPr>
            <w:r w:rsidRPr="00822EBF">
              <w:t>Performance bias</w:t>
            </w:r>
          </w:p>
        </w:tc>
        <w:tc>
          <w:tcPr>
            <w:tcW w:w="1275" w:type="dxa"/>
            <w:shd w:val="clear" w:color="D9E2F3" w:themeColor="accent1" w:themeTint="33" w:fill="FFC000" w:themeFill="accent4"/>
          </w:tcPr>
          <w:p w14:paraId="45DC9885" w14:textId="7DAC8F58" w:rsidR="00045F63" w:rsidRPr="00822EBF" w:rsidRDefault="00045F63" w:rsidP="00E37D04">
            <w:pPr>
              <w:pStyle w:val="RCTstable"/>
            </w:pPr>
            <w:r>
              <w:t>Unclear</w:t>
            </w:r>
            <w:r w:rsidRPr="00822EBF">
              <w:t xml:space="preserve"> risk</w:t>
            </w:r>
          </w:p>
        </w:tc>
        <w:tc>
          <w:tcPr>
            <w:tcW w:w="11199" w:type="dxa"/>
            <w:shd w:val="clear" w:color="D9E2F3" w:themeColor="accent1" w:themeTint="33" w:fill="auto"/>
          </w:tcPr>
          <w:p w14:paraId="3AD3F2BE" w14:textId="1A363BC4" w:rsidR="00045F63" w:rsidRPr="00822EBF" w:rsidRDefault="00045F63" w:rsidP="00E37D04">
            <w:pPr>
              <w:pStyle w:val="RCTstable"/>
            </w:pPr>
            <w:r>
              <w:t>Not described</w:t>
            </w:r>
          </w:p>
        </w:tc>
      </w:tr>
      <w:tr w:rsidR="00045F63" w:rsidRPr="00822EBF" w14:paraId="03F98591" w14:textId="77777777" w:rsidTr="005A5EBF">
        <w:trPr>
          <w:cantSplit/>
        </w:trPr>
        <w:tc>
          <w:tcPr>
            <w:tcW w:w="1560" w:type="dxa"/>
            <w:shd w:val="clear" w:color="D9E2F3" w:themeColor="accent1" w:themeTint="33" w:fill="auto"/>
          </w:tcPr>
          <w:p w14:paraId="550229DA" w14:textId="77777777" w:rsidR="00045F63" w:rsidRPr="00822EBF" w:rsidRDefault="00045F63" w:rsidP="00E37D04">
            <w:pPr>
              <w:pStyle w:val="RCTstable"/>
            </w:pPr>
            <w:r w:rsidRPr="00822EBF">
              <w:t>Detection bias</w:t>
            </w:r>
          </w:p>
        </w:tc>
        <w:tc>
          <w:tcPr>
            <w:tcW w:w="1275" w:type="dxa"/>
            <w:shd w:val="clear" w:color="D9E2F3" w:themeColor="accent1" w:themeTint="33" w:fill="FFC000" w:themeFill="accent4"/>
          </w:tcPr>
          <w:p w14:paraId="4F0C683C" w14:textId="77777777" w:rsidR="00045F63" w:rsidRPr="00822EBF" w:rsidRDefault="00045F63" w:rsidP="00E37D04">
            <w:pPr>
              <w:pStyle w:val="RCTstable"/>
            </w:pPr>
            <w:r w:rsidRPr="00822EBF">
              <w:t>Unclear risk</w:t>
            </w:r>
          </w:p>
        </w:tc>
        <w:tc>
          <w:tcPr>
            <w:tcW w:w="11199" w:type="dxa"/>
            <w:shd w:val="clear" w:color="D9E2F3" w:themeColor="accent1" w:themeTint="33" w:fill="auto"/>
          </w:tcPr>
          <w:p w14:paraId="2A07B00C" w14:textId="77777777" w:rsidR="00045F63" w:rsidRPr="00822EBF" w:rsidRDefault="00045F63" w:rsidP="00E37D04">
            <w:pPr>
              <w:pStyle w:val="RCTstable"/>
            </w:pPr>
            <w:r w:rsidRPr="00822EBF">
              <w:t>Not described</w:t>
            </w:r>
          </w:p>
        </w:tc>
      </w:tr>
      <w:tr w:rsidR="00045F63" w:rsidRPr="00822EBF" w14:paraId="32EBAF6B" w14:textId="77777777" w:rsidTr="005A5EBF">
        <w:trPr>
          <w:cantSplit/>
        </w:trPr>
        <w:tc>
          <w:tcPr>
            <w:tcW w:w="1560" w:type="dxa"/>
            <w:shd w:val="clear" w:color="D9E2F3" w:themeColor="accent1" w:themeTint="33" w:fill="auto"/>
          </w:tcPr>
          <w:p w14:paraId="1685D0EA" w14:textId="77777777" w:rsidR="00045F63" w:rsidRPr="00822EBF" w:rsidRDefault="00045F63" w:rsidP="00E37D04">
            <w:pPr>
              <w:pStyle w:val="RCTstable"/>
            </w:pPr>
            <w:r w:rsidRPr="00822EBF">
              <w:t>Incomplete outcome data</w:t>
            </w:r>
          </w:p>
        </w:tc>
        <w:tc>
          <w:tcPr>
            <w:tcW w:w="1275" w:type="dxa"/>
            <w:shd w:val="clear" w:color="D9E2F3" w:themeColor="accent1" w:themeTint="33" w:fill="70AD47" w:themeFill="accent6"/>
          </w:tcPr>
          <w:p w14:paraId="26AC4E31" w14:textId="77777777" w:rsidR="00045F63" w:rsidRPr="00822EBF" w:rsidRDefault="00045F63" w:rsidP="00E37D04">
            <w:pPr>
              <w:pStyle w:val="RCTstable"/>
            </w:pPr>
            <w:r w:rsidRPr="00822EBF">
              <w:t>Low risk</w:t>
            </w:r>
          </w:p>
        </w:tc>
        <w:tc>
          <w:tcPr>
            <w:tcW w:w="11199" w:type="dxa"/>
            <w:shd w:val="clear" w:color="D9E2F3" w:themeColor="accent1" w:themeTint="33" w:fill="auto"/>
          </w:tcPr>
          <w:p w14:paraId="3B407595" w14:textId="29E4BD1D" w:rsidR="00045F63" w:rsidRPr="0006345F" w:rsidRDefault="0006345F" w:rsidP="0006345F">
            <w:pPr>
              <w:pStyle w:val="RCTstable"/>
            </w:pPr>
            <w:r w:rsidRPr="0006345F">
              <w:t>Forty-nine of the 73 participants</w:t>
            </w:r>
            <w:r>
              <w:t xml:space="preserve"> </w:t>
            </w:r>
            <w:r w:rsidRPr="0006345F">
              <w:t>completed the intervention. Before randomization,</w:t>
            </w:r>
            <w:r>
              <w:t xml:space="preserve"> </w:t>
            </w:r>
            <w:r w:rsidRPr="0006345F">
              <w:t>seven women decided to withdraw after the peak exercise</w:t>
            </w:r>
            <w:r>
              <w:t xml:space="preserve"> </w:t>
            </w:r>
            <w:r w:rsidRPr="0006345F">
              <w:t>test, eight women (MI group, n</w:t>
            </w:r>
            <w:r w:rsidR="00162E95">
              <w:t>=</w:t>
            </w:r>
            <w:r w:rsidRPr="0006345F">
              <w:t>4; LI group, n</w:t>
            </w:r>
            <w:r w:rsidR="00162E95">
              <w:t>=</w:t>
            </w:r>
            <w:r w:rsidRPr="0006345F">
              <w:t>4) dropped</w:t>
            </w:r>
            <w:r>
              <w:t xml:space="preserve"> </w:t>
            </w:r>
            <w:r w:rsidRPr="0006345F">
              <w:t>out because of reasons unrelated to exercise, nine women (MI</w:t>
            </w:r>
            <w:r>
              <w:t xml:space="preserve"> </w:t>
            </w:r>
            <w:r w:rsidRPr="0006345F">
              <w:t>group, n</w:t>
            </w:r>
            <w:r w:rsidR="00162E95">
              <w:t>=</w:t>
            </w:r>
            <w:r w:rsidRPr="0006345F">
              <w:t>3; LI group, n</w:t>
            </w:r>
            <w:r w:rsidR="00162E95">
              <w:t>=</w:t>
            </w:r>
            <w:r w:rsidRPr="0006345F">
              <w:t>6) dropped out because of time</w:t>
            </w:r>
            <w:r>
              <w:t xml:space="preserve"> </w:t>
            </w:r>
            <w:r w:rsidRPr="0006345F">
              <w:t>commitment concerns, leaving 26 women in the MI group</w:t>
            </w:r>
            <w:r>
              <w:t xml:space="preserve"> </w:t>
            </w:r>
            <w:r w:rsidRPr="0006345F">
              <w:t>and 23 women in the LI group.</w:t>
            </w:r>
          </w:p>
        </w:tc>
      </w:tr>
      <w:tr w:rsidR="00045F63" w:rsidRPr="00822EBF" w14:paraId="48E8FB61" w14:textId="77777777" w:rsidTr="005A5EBF">
        <w:trPr>
          <w:cantSplit/>
        </w:trPr>
        <w:tc>
          <w:tcPr>
            <w:tcW w:w="1560" w:type="dxa"/>
            <w:shd w:val="clear" w:color="D9E2F3" w:themeColor="accent1" w:themeTint="33" w:fill="auto"/>
          </w:tcPr>
          <w:p w14:paraId="16B570FE" w14:textId="77777777" w:rsidR="00045F63" w:rsidRPr="00822EBF" w:rsidRDefault="00045F63" w:rsidP="00E37D04">
            <w:pPr>
              <w:pStyle w:val="RCTstable"/>
            </w:pPr>
            <w:r w:rsidRPr="00822EBF">
              <w:t>Selective reporting</w:t>
            </w:r>
          </w:p>
        </w:tc>
        <w:tc>
          <w:tcPr>
            <w:tcW w:w="1275" w:type="dxa"/>
            <w:shd w:val="clear" w:color="D9E2F3" w:themeColor="accent1" w:themeTint="33" w:fill="70AD47" w:themeFill="accent6"/>
          </w:tcPr>
          <w:p w14:paraId="49BC80F0" w14:textId="77777777" w:rsidR="00045F63" w:rsidRPr="00822EBF" w:rsidRDefault="00045F63" w:rsidP="00E37D04">
            <w:pPr>
              <w:pStyle w:val="RCTstable"/>
            </w:pPr>
            <w:r w:rsidRPr="00822EBF">
              <w:t>Low risk</w:t>
            </w:r>
          </w:p>
        </w:tc>
        <w:tc>
          <w:tcPr>
            <w:tcW w:w="11199" w:type="dxa"/>
            <w:shd w:val="clear" w:color="D9E2F3" w:themeColor="accent1" w:themeTint="33" w:fill="auto"/>
          </w:tcPr>
          <w:p w14:paraId="5FAB47A9" w14:textId="77777777" w:rsidR="00045F63" w:rsidRPr="00822EBF" w:rsidRDefault="00045F63" w:rsidP="00E37D04">
            <w:pPr>
              <w:pStyle w:val="RCTstable"/>
            </w:pPr>
            <w:r w:rsidRPr="00822EBF">
              <w:t>Pre-specified outcomes reported.</w:t>
            </w:r>
          </w:p>
        </w:tc>
      </w:tr>
      <w:tr w:rsidR="00045F63" w:rsidRPr="00822EBF" w14:paraId="3E4A712E" w14:textId="77777777" w:rsidTr="005A5EBF">
        <w:trPr>
          <w:cantSplit/>
        </w:trPr>
        <w:tc>
          <w:tcPr>
            <w:tcW w:w="1560" w:type="dxa"/>
            <w:shd w:val="clear" w:color="D9E2F3" w:themeColor="accent1" w:themeTint="33" w:fill="auto"/>
          </w:tcPr>
          <w:p w14:paraId="2D00A20A" w14:textId="77777777" w:rsidR="00045F63" w:rsidRPr="00822EBF" w:rsidRDefault="00045F63" w:rsidP="00E37D04">
            <w:pPr>
              <w:pStyle w:val="RCTstable"/>
            </w:pPr>
            <w:r w:rsidRPr="00822EBF">
              <w:t xml:space="preserve">Other limitations </w:t>
            </w:r>
          </w:p>
        </w:tc>
        <w:tc>
          <w:tcPr>
            <w:tcW w:w="1275" w:type="dxa"/>
            <w:shd w:val="clear" w:color="D9E2F3" w:themeColor="accent1" w:themeTint="33" w:fill="FFC000" w:themeFill="accent4"/>
          </w:tcPr>
          <w:p w14:paraId="0C551F65" w14:textId="77777777" w:rsidR="00045F63" w:rsidRPr="00822EBF" w:rsidRDefault="00045F63" w:rsidP="00E37D04">
            <w:pPr>
              <w:pStyle w:val="RCTstable"/>
            </w:pPr>
            <w:r w:rsidRPr="00822EBF">
              <w:t>Unclear risk</w:t>
            </w:r>
          </w:p>
        </w:tc>
        <w:tc>
          <w:tcPr>
            <w:tcW w:w="11199" w:type="dxa"/>
            <w:shd w:val="clear" w:color="D9E2F3" w:themeColor="accent1" w:themeTint="33" w:fill="auto"/>
          </w:tcPr>
          <w:p w14:paraId="38A21D4A" w14:textId="42F25739" w:rsidR="00045F63" w:rsidRPr="00822EBF" w:rsidRDefault="00BA38F2" w:rsidP="00E37D04">
            <w:pPr>
              <w:pStyle w:val="RCTstable"/>
            </w:pPr>
            <w:r>
              <w:t>Historical control</w:t>
            </w:r>
          </w:p>
        </w:tc>
      </w:tr>
      <w:tr w:rsidR="008E765F" w:rsidRPr="0048317A" w14:paraId="2B7EBF7F" w14:textId="77777777" w:rsidTr="005A5EBF">
        <w:trPr>
          <w:cantSplit/>
        </w:trPr>
        <w:tc>
          <w:tcPr>
            <w:tcW w:w="14034" w:type="dxa"/>
            <w:gridSpan w:val="3"/>
            <w:shd w:val="solid" w:color="D9E2F3" w:themeColor="accent1" w:themeTint="33" w:fill="auto"/>
          </w:tcPr>
          <w:p w14:paraId="5CC277E7" w14:textId="675FF437" w:rsidR="008E765F" w:rsidRPr="0048317A" w:rsidRDefault="008E765F" w:rsidP="002747EA">
            <w:pPr>
              <w:pStyle w:val="RCTstable"/>
              <w:keepNext/>
              <w:rPr>
                <w:b/>
              </w:rPr>
            </w:pPr>
            <w:r w:rsidRPr="0025597C">
              <w:rPr>
                <w:rFonts w:ascii="Century Gothic" w:hAnsi="Century Gothic"/>
                <w:b/>
                <w:noProof/>
              </w:rPr>
              <w:t>Sagedal et al 2017</w:t>
            </w:r>
            <w:r w:rsidRPr="00EC3092">
              <w:rPr>
                <w:rFonts w:ascii="Century Gothic" w:hAnsi="Century Gothic"/>
                <w:noProof/>
              </w:rPr>
              <w:fldChar w:fldCharType="begin">
                <w:fldData xml:space="preserve">PEVuZE5vdGU+PENpdGU+PEF1dGhvcj5TYWdlZGFsPC9BdXRob3I+PFllYXI+MjAxNzwvWWVhcj48
UmVjTnVtPjkzOTwvUmVjTnVtPjxEaXNwbGF5VGV4dD48c3R5bGUgZmFjZT0ic3VwZXJzY3JpcHQi
IGZvbnQ9IlRyZWJ1Y2hldCBNUyIgc2l6ZT0iOSI+MzAwLDQ4Nyw1NTc8L3N0eWxlPjwvRGlzcGxh
eVRleHQ+PHJlY29yZD48cmVjLW51bWJlcj45Mzk8L3JlYy1udW1iZXI+PGZvcmVpZ24ta2V5cz48
a2V5IGFwcD0iRU4iIGRiLWlkPSJleHZhc3JmeDJkdHJhb2VzYXN4cDJzenN4YTJkZjUwMjU5Mngi
IHRpbWVzdGFtcD0iMTU0MTU0MTgyMiI+OTM5PC9rZXk+PGtleSBhcHA9IkVOV2ViIiBkYi1pZD0i
Ij4wPC9rZXk+PC9mb3JlaWduLWtleXM+PHJlZi10eXBlIG5hbWU9IkpvdXJuYWwgQXJ0aWNsZSI+
MTc8L3JlZi10eXBlPjxjb250cmlidXRvcnM+PGF1dGhvcnM+PGF1dGhvcj5TYWdlZGFsLCBMLiBS
LjwvYXV0aG9yPjxhdXRob3I+VmlzdGFkLCBJLjwvYXV0aG9yPjxhdXRob3I+T3ZlcmJ5LCBOLiBD
LjwvYXV0aG9yPjxhdXRob3I+QmVyZSwgRS48L2F1dGhvcj48YXV0aG9yPlRvcnN0dmVpdCwgTS4g
Sy48L2F1dGhvcj48YXV0aG9yPkxvaG5lLVNlaWxlciwgSC48L2F1dGhvcj48YXV0aG9yPkhpbGxl
c3VuZCwgRS4gUi48L2F1dGhvcj48YXV0aG9yPlByaXBwLCBBLjwvYXV0aG9yPjxhdXRob3I+SGVu
cmlrc2VuLCBULjwvYXV0aG9yPjwvYXV0aG9ycz48L2NvbnRyaWJ1dG9ycz48YXV0aC1hZGRyZXNz
PkRlcGFydG1lbnQgb2YgT2JzdGV0cmljcyBhbmQgR3luZWNvbG9neS9EZXBhcnRtZW50IG9mIFJl
c2VhcmNoLCBTb3JsYW5kZXQgSG9zcGl0YWwsIFBvc3Rib3ggNDE2LCA0NjA0LCBLcmlzdGlhbnNh
bmQsIE5vcndheS4gbGluZGEuc2FnZWRhbEBzc2hmLm5vLiYjeEQ7RGVwYXJ0bWVudCBvZiBPYnN0
ZXRyaWNzIGFuZCBHeW5lY29sb2d5L0RlcGFydG1lbnQgb2YgUmVzZWFyY2gsIFNvcmxhbmRldCBI
b3NwaXRhbCwgUG9zdGJveCA0MTYsIDQ2MDQsIEtyaXN0aWFuc2FuZCwgTm9yd2F5LiYjeEQ7RGVw
YXJ0bWVudCBvZiBQdWJsaWMgSGVhbHRoLCBTcG9ydHMgYW5kIE51dHJpdGlvbiwgVW5pdmVyc2l0
eSBvZiBBZ2RlciwgUG9zdGJveCA0MjIsIDQ2MDQsIEtyaXN0aWFuc2FuZCwgTm9yd2F5LiYjeEQ7
RGVwYXJ0bWVudCBvZiBCaW9zdGF0aXN0aWNzIGFuZCBFcGlkZW1pb2xvZ3ksIE9zbG8gVW5pdmVy
c2l0eSBIb3NwaXRhbCwgUG9zdGJveCA0OTUwLCBOeWRhbGVuLCAwNDI0LCBPc2xvLCBOb3J3YXku
JiN4RDtTZWN0aW9uIG9mIE9ic3RldHJpY3MsIFdvbWVuIGFuZCBDaGlsZHJlbiZhcG9zO3MgRGl2
aXNpb24sIE9zbG8gVW5pdmVyc2l0eSBIb3NwaXRhbCBhbmQgVW5pdmVyc2l0eSBvZiBPc2xvLCBQ
b3N0Ym94IDQ5NTAsIE55ZGFsZW4sIDA0MjQsIE9zbG8sIE5vcndheS48L2F1dGgtYWRkcmVzcz48
dGl0bGVzPjx0aXRsZT5UaGUgZWZmZWN0IG9mIGEgcHJlbmF0YWwgbGlmZXN0eWxlIGludGVydmVu
dGlvbiBvbiBnbHVjb3NlIG1ldGFib2xpc206IHJlc3VsdHMgb2YgdGhlIE5vcndlZ2lhbiBGaXQg
Zm9yIERlbGl2ZXJ5IHJhbmRvbWl6ZWQgY29udHJvbGxlZCB0cmlhbDwvdGl0bGU+PHNlY29uZGFy
eS10aXRsZT5CTUMgUHJlZ25hbmN5IENoaWxkYmlydGg8L3NlY29uZGFyeS10aXRsZT48L3RpdGxl
cz48cGVyaW9kaWNhbD48ZnVsbC10aXRsZT5CTUMgUHJlZ25hbmN5IENoaWxkYmlydGg8L2Z1bGwt
dGl0bGU+PC9wZXJpb2RpY2FsPjxwYWdlcz4xNjc8L3BhZ2VzPjx2b2x1bWU+MTc8L3ZvbHVtZT48
bnVtYmVyPjE8L251bWJlcj48ZWRpdGlvbj4yMDE3LzA2LzA1PC9lZGl0aW9uPjxrZXl3b3Jkcz48
a2V5d29yZD5BZHVsdDwva2V5d29yZD48a2V5d29yZD5Cb2R5IE1hc3MgSW5kZXg8L2tleXdvcmQ+
PGtleXdvcmQ+RGlhYmV0ZXMsIEdlc3RhdGlvbmFsL3ByZXZlbnRpb24gJmFtcDsgY29udHJvbDwv
a2V5d29yZD48a2V5d29yZD5GZW1hbGU8L2tleXdvcmQ+PGtleXdvcmQ+SGVhbHRoIFByb21vdGlv
bi8qbWV0aG9kczwva2V5d29yZD48a2V5d29yZD5IdW1hbnM8L2tleXdvcmQ+PGtleXdvcmQ+Kklu
c3VsaW4gUmVzaXN0YW5jZTwva2V5d29yZD48a2V5d29yZD5Ob3J3YXk8L2tleXdvcmQ+PGtleXdv
cmQ+T2Jlc2l0eS9tZXRhYm9saXNtLypwcmV2ZW50aW9uICZhbXA7IGNvbnRyb2w8L2tleXdvcmQ+
PGtleXdvcmQ+UHJlZ25hbmN5PC9rZXl3b3JkPjxrZXl3b3JkPlByZWduYW5jeSBDb21wbGljYXRp
b25zL21ldGFib2xpc20vKnByZXZlbnRpb24gJmFtcDsgY29udHJvbDwva2V5d29yZD48a2V5d29y
ZD5QcmVuYXRhbCBDYXJlLyptZXRob2RzPC9rZXl3b3JkPjxrZXl3b3JkPllvdW5nIEFkdWx0PC9r
ZXl3b3JkPjxrZXl3b3JkPkdlc3RhdGlvbmFsIGRpYWJldGVzPC9rZXl3b3JkPjxrZXl3b3JkPklu
dGVydmVudGlvbjwva2V5d29yZD48a2V5d29yZD5MaWZlc3R5bGU8L2tleXdvcmQ+PGtleXdvcmQ+
T2Jlc2l0eTwva2V5d29yZD48a2V5d29yZD5PdmVyd2VpZ2h0PC9rZXl3b3JkPjwva2V5d29yZHM+
PGRhdGVzPjx5ZWFyPjIwMTc8L3llYXI+PHB1Yi1kYXRlcz48ZGF0ZT5KdW4gMjwvZGF0ZT48L3B1
Yi1kYXRlcz48L2RhdGVzPjxpc2JuPjE0NzEtMjM5MyAoRWxlY3Ryb25pYykmI3hEOzE0NzEtMjM5
MyAoTGlua2luZyk8L2lzYm4+PGFjY2Vzc2lvbi1udW0+Mjg1Nzc1NDU8L2FjY2Vzc2lvbi1udW0+
PHVybHM+PHJlbGF0ZWQtdXJscz48dXJsPmh0dHBzOi8vd3d3Lm5jYmkubmxtLm5paC5nb3YvcHVi
bWVkLzI4NTc3NTQ1PC91cmw+PC9yZWxhdGVkLXVybHM+PC91cmxzPjxjdXN0b20yPlBNQzU0NTc1
NDM8L2N1c3RvbTI+PGVsZWN0cm9uaWMtcmVzb3VyY2UtbnVtPjEwLjExODYvczEyODg0LTAxNy0x
MzQwLTY8L2VsZWN0cm9uaWMtcmVzb3VyY2UtbnVtPjwvcmVjb3JkPjwvQ2l0ZT48Q2l0ZT48QXV0
aG9yPlNhZ2VkYWw8L0F1dGhvcj48WWVhcj4yMDE3PC9ZZWFyPjxSZWNOdW0+MTA5MTwvUmVjTnVt
PjxyZWNvcmQ+PHJlYy1udW1iZXI+MTA5MTwvcmVjLW51bWJlcj48Zm9yZWlnbi1rZXlzPjxrZXkg
YXBwPSJFTiIgZGItaWQ9ImV4dmFzcmZ4MmR0cmFvZXNhc3hwMnN6c3hhMmRmNTAyNTkyeCIgdGlt
ZXN0YW1wPSIxNTUyOTQ2NTM0Ij4xMDkxPC9rZXk+PGtleSBhcHA9IkVOV2ViIiBkYi1pZD0iIj4w
PC9rZXk+PC9mb3JlaWduLWtleXM+PHJlZi10eXBlIG5hbWU9IkpvdXJuYWwgQXJ0aWNsZSI+MTc8
L3JlZi10eXBlPjxjb250cmlidXRvcnM+PGF1dGhvcnM+PGF1dGhvcj5TYWdlZGFsLCBMLiBSLjwv
YXV0aG9yPjxhdXRob3I+U2FuZGEsIEIuPC9hdXRob3I+PGF1dGhvcj7DmHZlcmJ5LCBOLiBDLjwv
YXV0aG9yPjxhdXRob3I+QmVyZSwgRS48L2F1dGhvcj48YXV0aG9yPlRvcnN0dmVpdCwgTS4gSy48
L2F1dGhvcj48YXV0aG9yPkxvaG5lLVNlaWxlciwgSC48L2F1dGhvcj48YXV0aG9yPkhpbGxlc3Vu
ZCwgRS4gUi48L2F1dGhvcj48YXV0aG9yPlByaXBwLCBBLiBILjwvYXV0aG9yPjxhdXRob3I+SGVu
cmlrc2VuLCBULjwvYXV0aG9yPjxhdXRob3I+VmlzdGFkLCBJLjwvYXV0aG9yPjwvYXV0aG9ycz48
L2NvbnRyaWJ1dG9ycz48dGl0bGVzPjx0aXRsZT5UaGUgZWZmZWN0IG9mIHByZW5hdGFsIGxpZmVz
dHlsZSBpbnRlcnZlbnRpb24gb24gd2VpZ2h0IHJldGVudGlvbiAxMsKgbW9udGhzIHBvc3RwYXJ0
dW06IHJlc3VsdHMgb2YgdGhlIE5vcndlZ2lhbiBGaXQgZm9yIERlbGl2ZXJ5IHJhbmRvbWlzZWQg
Y29udHJvbGxlZCB0cmlhbDwvdGl0bGU+PHNlY29uZGFyeS10aXRsZT5CSk9HOiBBbiBJbnRlcm5h
dGlvbmFsIEpvdXJuYWwgb2YgT2JzdGV0cmljcyAmYW1wOyBHeW5hZWNvbG9neTwvc2Vjb25kYXJ5
LXRpdGxlPjwvdGl0bGVzPjxwZXJpb2RpY2FsPjxmdWxsLXRpdGxlPkJKT0c6IEFuIEludGVybmF0
aW9uYWwgSm91cm5hbCBvZiBPYnN0ZXRyaWNzICZhbXA7IEd5bmFlY29sb2d5PC9mdWxsLXRpdGxl
PjwvcGVyaW9kaWNhbD48cGFnZXM+MTExLTEyMTwvcGFnZXM+PHZvbHVtZT4xMjQ8L3ZvbHVtZT48
bnVtYmVyPjE8L251bWJlcj48c2VjdGlvbj4xMTE8L3NlY3Rpb24+PGRhdGVzPjx5ZWFyPjIwMTc8
L3llYXI+PC9kYXRlcz48aXNibj4xNDcwMDMyODwvaXNibj48dXJscz48L3VybHM+PGVsZWN0cm9u
aWMtcmVzb3VyY2UtbnVtPjEwLjExMTEvMTQ3MS0wNTI4LjEzODYzPC9lbGVjdHJvbmljLXJlc291
cmNlLW51bT48L3JlY29yZD48L0NpdGU+PENpdGU+PEF1dGhvcj5TYW5kYTwvQXV0aG9yPjxZZWFy
PjIwMTg8L1llYXI+PFJlY051bT45MjU8L1JlY051bT48cmVjb3JkPjxyZWMtbnVtYmVyPjkyNTwv
cmVjLW51bWJlcj48Zm9yZWlnbi1rZXlzPjxrZXkgYXBwPSJFTiIgZGItaWQ9ImV4dmFzcmZ4MmR0
cmFvZXNhc3hwMnN6c3hhMmRmNTAyNTkyeCIgdGltZXN0YW1wPSIxNTQxNTQwOTI5Ij45MjU8L2tl
eT48a2V5IGFwcD0iRU5XZWIiIGRiLWlkPSIiPjA8L2tleT48L2ZvcmVpZ24ta2V5cz48cmVmLXR5
cGUgbmFtZT0iSm91cm5hbCBBcnRpY2xlIj4xNzwvcmVmLXR5cGU+PGNvbnRyaWJ1dG9ycz48YXV0
aG9ycz48YXV0aG9yPlNhbmRhLCBCLjwvYXV0aG9yPjxhdXRob3I+VmlzdGFkLCBJLjwvYXV0aG9y
PjxhdXRob3I+U2FnZWRhbCwgTC4gUi48L2F1dGhvcj48YXV0aG9yPkhhYWtzdGFkLCBMLiBBLiBI
LjwvYXV0aG9yPjxhdXRob3I+TG9obmUtU2VpbGVyLCBILjwvYXV0aG9yPjxhdXRob3I+VG9yc3R2
ZWl0LCBNLiBLLjwvYXV0aG9yPjwvYXV0aG9ycz48L2NvbnRyaWJ1dG9ycz48YXV0aC1hZGRyZXNz
PkZhY3VsdHkgb2YgSGVhbHRoIGFuZCBTcG9ydCBTY2llbmNlcywgVW5pdmVyc2l0eSBvZiBBZ2Rl
ciwgS3Jpc3RpYW5zYW5kLCBOb3J3YXkuJiN4RDtEZXBhcnRtZW50IG9mIE9ic3RldHJpY3MgYW5k
IEd5bmVjb2xvZ3ksIFNvdXRoZXJuIE5vcndheSBIb3NwaXRhbCBUcnVzdCwgS3Jpc3RpYW5zYW5k
LCBOb3J3YXkuJiN4RDtOb3J3ZWdpYW4gU2Nob29sIG9mIFNwb3J0cyBTY2llbmNlLCBPc2xvLCBO
b3J3YXkuPC9hdXRoLWFkZHJlc3M+PHRpdGxlcz48dGl0bGU+V2hhdCBpcyB0aGUgZWZmZWN0IG9m
IHBoeXNpY2FsIGFjdGl2aXR5IG9uIGR1cmF0aW9uIGFuZCBtb2RlIG9mIGRlbGl2ZXJ5PyBTZWNv
bmRhcnkgYW5hbHlzaXMgZnJvbSB0aGUgTm9yd2VnaWFuIEZpdCBmb3IgRGVsaXZlcnkgdHJpYWw8
L3RpdGxlPjxzZWNvbmRhcnktdGl0bGU+QWN0YSBPYnN0ZXQgR3luZWNvbCBTY2FuZDwvc2Vjb25k
YXJ5LXRpdGxlPjwvdGl0bGVzPjxwZXJpb2RpY2FsPjxmdWxsLXRpdGxlPkFjdGEgT2JzdGV0IEd5
bmVjb2wgU2NhbmQ8L2Z1bGwtdGl0bGU+PC9wZXJpb2RpY2FsPjxwYWdlcz44NjEtODcxPC9wYWdl
cz48dm9sdW1lPjk3PC92b2x1bWU+PG51bWJlcj43PC9udW1iZXI+PGVkaXRpb24+MjAxOC8wNS8x
MTwvZWRpdGlvbj48a2V5d29yZHM+PGtleXdvcmQ+RXhlcmNpc2U8L2tleXdvcmQ+PGtleXdvcmQ+
Y2VzYXJlYW4gc2VjdGlvbjwva2V5d29yZD48a2V5d29yZD5kZWxpdmVyeSBvdXRjb21lczwva2V5
d29yZD48a2V5d29yZD5sYWJvcjwva2V5d29yZD48a2V5d29yZD5wcmVnbmFuY3k8L2tleXdvcmQ+
PGtleXdvcmQ+cmFuZG9taXplZCBjb250cm9sbGVkIHRyaWFsPC9rZXl3b3JkPjwva2V5d29yZHM+
PGRhdGVzPjx5ZWFyPjIwMTg8L3llYXI+PHB1Yi1kYXRlcz48ZGF0ZT5KdWw8L2RhdGU+PC9wdWIt
ZGF0ZXM+PC9kYXRlcz48aXNibj4xNjAwLTA0MTIgKEVsZWN0cm9uaWMpJiN4RDswMDAxLTYzNDkg
KExpbmtpbmcpPC9pc2JuPjxhY2Nlc3Npb24tbnVtPjI5NzQ0ODY2PC9hY2Nlc3Npb24tbnVtPjx1
cmxzPjxyZWxhdGVkLXVybHM+PHVybD5odHRwczovL3d3dy5uY2JpLm5sbS5uaWguZ292L3B1Ym1l
ZC8yOTc0NDg2NjwvdXJsPjwvcmVsYXRlZC11cmxzPjwvdXJscz48ZWxlY3Ryb25pYy1yZXNvdXJj
ZS1udW0+MTAuMTExMS9hb2dzLjEzMzUxPC9lbGVjdHJvbmljLXJlc291cmNlLW51bT48L3JlY29y
ZD48L0NpdGU+PC9FbmROb3RlPgB=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PEVuZE5vdGU+PENpdGU+PEF1dGhvcj5TYWdlZGFsPC9BdXRob3I+PFllYXI+MjAxNzwvWWVhcj48
UmVjTnVtPjkzOTwvUmVjTnVtPjxEaXNwbGF5VGV4dD48c3R5bGUgZmFjZT0ic3VwZXJzY3JpcHQi
IGZvbnQ9IlRyZWJ1Y2hldCBNUyIgc2l6ZT0iOSI+MzAwLDQ4Nyw1NTc8L3N0eWxlPjwvRGlzcGxh
eVRleHQ+PHJlY29yZD48cmVjLW51bWJlcj45Mzk8L3JlYy1udW1iZXI+PGZvcmVpZ24ta2V5cz48
a2V5IGFwcD0iRU4iIGRiLWlkPSJleHZhc3JmeDJkdHJhb2VzYXN4cDJzenN4YTJkZjUwMjU5Mngi
IHRpbWVzdGFtcD0iMTU0MTU0MTgyMiI+OTM5PC9rZXk+PGtleSBhcHA9IkVOV2ViIiBkYi1pZD0i
Ij4wPC9rZXk+PC9mb3JlaWduLWtleXM+PHJlZi10eXBlIG5hbWU9IkpvdXJuYWwgQXJ0aWNsZSI+
MTc8L3JlZi10eXBlPjxjb250cmlidXRvcnM+PGF1dGhvcnM+PGF1dGhvcj5TYWdlZGFsLCBMLiBS
LjwvYXV0aG9yPjxhdXRob3I+VmlzdGFkLCBJLjwvYXV0aG9yPjxhdXRob3I+T3ZlcmJ5LCBOLiBD
LjwvYXV0aG9yPjxhdXRob3I+QmVyZSwgRS48L2F1dGhvcj48YXV0aG9yPlRvcnN0dmVpdCwgTS4g
Sy48L2F1dGhvcj48YXV0aG9yPkxvaG5lLVNlaWxlciwgSC48L2F1dGhvcj48YXV0aG9yPkhpbGxl
c3VuZCwgRS4gUi48L2F1dGhvcj48YXV0aG9yPlByaXBwLCBBLjwvYXV0aG9yPjxhdXRob3I+SGVu
cmlrc2VuLCBULjwvYXV0aG9yPjwvYXV0aG9ycz48L2NvbnRyaWJ1dG9ycz48YXV0aC1hZGRyZXNz
PkRlcGFydG1lbnQgb2YgT2JzdGV0cmljcyBhbmQgR3luZWNvbG9neS9EZXBhcnRtZW50IG9mIFJl
c2VhcmNoLCBTb3JsYW5kZXQgSG9zcGl0YWwsIFBvc3Rib3ggNDE2LCA0NjA0LCBLcmlzdGlhbnNh
bmQsIE5vcndheS4gbGluZGEuc2FnZWRhbEBzc2hmLm5vLiYjeEQ7RGVwYXJ0bWVudCBvZiBPYnN0
ZXRyaWNzIGFuZCBHeW5lY29sb2d5L0RlcGFydG1lbnQgb2YgUmVzZWFyY2gsIFNvcmxhbmRldCBI
b3NwaXRhbCwgUG9zdGJveCA0MTYsIDQ2MDQsIEtyaXN0aWFuc2FuZCwgTm9yd2F5LiYjeEQ7RGVw
YXJ0bWVudCBvZiBQdWJsaWMgSGVhbHRoLCBTcG9ydHMgYW5kIE51dHJpdGlvbiwgVW5pdmVyc2l0
eSBvZiBBZ2RlciwgUG9zdGJveCA0MjIsIDQ2MDQsIEtyaXN0aWFuc2FuZCwgTm9yd2F5LiYjeEQ7
RGVwYXJ0bWVudCBvZiBCaW9zdGF0aXN0aWNzIGFuZCBFcGlkZW1pb2xvZ3ksIE9zbG8gVW5pdmVy
c2l0eSBIb3NwaXRhbCwgUG9zdGJveCA0OTUwLCBOeWRhbGVuLCAwNDI0LCBPc2xvLCBOb3J3YXku
JiN4RDtTZWN0aW9uIG9mIE9ic3RldHJpY3MsIFdvbWVuIGFuZCBDaGlsZHJlbiZhcG9zO3MgRGl2
aXNpb24sIE9zbG8gVW5pdmVyc2l0eSBIb3NwaXRhbCBhbmQgVW5pdmVyc2l0eSBvZiBPc2xvLCBQ
b3N0Ym94IDQ5NTAsIE55ZGFsZW4sIDA0MjQsIE9zbG8sIE5vcndheS48L2F1dGgtYWRkcmVzcz48
dGl0bGVzPjx0aXRsZT5UaGUgZWZmZWN0IG9mIGEgcHJlbmF0YWwgbGlmZXN0eWxlIGludGVydmVu
dGlvbiBvbiBnbHVjb3NlIG1ldGFib2xpc206IHJlc3VsdHMgb2YgdGhlIE5vcndlZ2lhbiBGaXQg
Zm9yIERlbGl2ZXJ5IHJhbmRvbWl6ZWQgY29udHJvbGxlZCB0cmlhbDwvdGl0bGU+PHNlY29uZGFy
eS10aXRsZT5CTUMgUHJlZ25hbmN5IENoaWxkYmlydGg8L3NlY29uZGFyeS10aXRsZT48L3RpdGxl
cz48cGVyaW9kaWNhbD48ZnVsbC10aXRsZT5CTUMgUHJlZ25hbmN5IENoaWxkYmlydGg8L2Z1bGwt
dGl0bGU+PC9wZXJpb2RpY2FsPjxwYWdlcz4xNjc8L3BhZ2VzPjx2b2x1bWU+MTc8L3ZvbHVtZT48
bnVtYmVyPjE8L251bWJlcj48ZWRpdGlvbj4yMDE3LzA2LzA1PC9lZGl0aW9uPjxrZXl3b3Jkcz48
a2V5d29yZD5BZHVsdDwva2V5d29yZD48a2V5d29yZD5Cb2R5IE1hc3MgSW5kZXg8L2tleXdvcmQ+
PGtleXdvcmQ+RGlhYmV0ZXMsIEdlc3RhdGlvbmFsL3ByZXZlbnRpb24gJmFtcDsgY29udHJvbDwv
a2V5d29yZD48a2V5d29yZD5GZW1hbGU8L2tleXdvcmQ+PGtleXdvcmQ+SGVhbHRoIFByb21vdGlv
bi8qbWV0aG9kczwva2V5d29yZD48a2V5d29yZD5IdW1hbnM8L2tleXdvcmQ+PGtleXdvcmQ+Kklu
c3VsaW4gUmVzaXN0YW5jZTwva2V5d29yZD48a2V5d29yZD5Ob3J3YXk8L2tleXdvcmQ+PGtleXdv
cmQ+T2Jlc2l0eS9tZXRhYm9saXNtLypwcmV2ZW50aW9uICZhbXA7IGNvbnRyb2w8L2tleXdvcmQ+
PGtleXdvcmQ+UHJlZ25hbmN5PC9rZXl3b3JkPjxrZXl3b3JkPlByZWduYW5jeSBDb21wbGljYXRp
b25zL21ldGFib2xpc20vKnByZXZlbnRpb24gJmFtcDsgY29udHJvbDwva2V5d29yZD48a2V5d29y
ZD5QcmVuYXRhbCBDYXJlLyptZXRob2RzPC9rZXl3b3JkPjxrZXl3b3JkPllvdW5nIEFkdWx0PC9r
ZXl3b3JkPjxrZXl3b3JkPkdlc3RhdGlvbmFsIGRpYWJldGVzPC9rZXl3b3JkPjxrZXl3b3JkPklu
dGVydmVudGlvbjwva2V5d29yZD48a2V5d29yZD5MaWZlc3R5bGU8L2tleXdvcmQ+PGtleXdvcmQ+
T2Jlc2l0eTwva2V5d29yZD48a2V5d29yZD5PdmVyd2VpZ2h0PC9rZXl3b3JkPjwva2V5d29yZHM+
PGRhdGVzPjx5ZWFyPjIwMTc8L3llYXI+PHB1Yi1kYXRlcz48ZGF0ZT5KdW4gMjwvZGF0ZT48L3B1
Yi1kYXRlcz48L2RhdGVzPjxpc2JuPjE0NzEtMjM5MyAoRWxlY3Ryb25pYykmI3hEOzE0NzEtMjM5
MyAoTGlua2luZyk8L2lzYm4+PGFjY2Vzc2lvbi1udW0+Mjg1Nzc1NDU8L2FjY2Vzc2lvbi1udW0+
PHVybHM+PHJlbGF0ZWQtdXJscz48dXJsPmh0dHBzOi8vd3d3Lm5jYmkubmxtLm5paC5nb3YvcHVi
bWVkLzI4NTc3NTQ1PC91cmw+PC9yZWxhdGVkLXVybHM+PC91cmxzPjxjdXN0b20yPlBNQzU0NTc1
NDM8L2N1c3RvbTI+PGVsZWN0cm9uaWMtcmVzb3VyY2UtbnVtPjEwLjExODYvczEyODg0LTAxNy0x
MzQwLTY8L2VsZWN0cm9uaWMtcmVzb3VyY2UtbnVtPjwvcmVjb3JkPjwvQ2l0ZT48Q2l0ZT48QXV0
aG9yPlNhZ2VkYWw8L0F1dGhvcj48WWVhcj4yMDE3PC9ZZWFyPjxSZWNOdW0+MTA5MTwvUmVjTnVt
PjxyZWNvcmQ+PHJlYy1udW1iZXI+MTA5MTwvcmVjLW51bWJlcj48Zm9yZWlnbi1rZXlzPjxrZXkg
YXBwPSJFTiIgZGItaWQ9ImV4dmFzcmZ4MmR0cmFvZXNhc3hwMnN6c3hhMmRmNTAyNTkyeCIgdGlt
ZXN0YW1wPSIxNTUyOTQ2NTM0Ij4xMDkxPC9rZXk+PGtleSBhcHA9IkVOV2ViIiBkYi1pZD0iIj4w
PC9rZXk+PC9mb3JlaWduLWtleXM+PHJlZi10eXBlIG5hbWU9IkpvdXJuYWwgQXJ0aWNsZSI+MTc8
L3JlZi10eXBlPjxjb250cmlidXRvcnM+PGF1dGhvcnM+PGF1dGhvcj5TYWdlZGFsLCBMLiBSLjwv
YXV0aG9yPjxhdXRob3I+U2FuZGEsIEIuPC9hdXRob3I+PGF1dGhvcj7DmHZlcmJ5LCBOLiBDLjwv
YXV0aG9yPjxhdXRob3I+QmVyZSwgRS48L2F1dGhvcj48YXV0aG9yPlRvcnN0dmVpdCwgTS4gSy48
L2F1dGhvcj48YXV0aG9yPkxvaG5lLVNlaWxlciwgSC48L2F1dGhvcj48YXV0aG9yPkhpbGxlc3Vu
ZCwgRS4gUi48L2F1dGhvcj48YXV0aG9yPlByaXBwLCBBLiBILjwvYXV0aG9yPjxhdXRob3I+SGVu
cmlrc2VuLCBULjwvYXV0aG9yPjxhdXRob3I+VmlzdGFkLCBJLjwvYXV0aG9yPjwvYXV0aG9ycz48
L2NvbnRyaWJ1dG9ycz48dGl0bGVzPjx0aXRsZT5UaGUgZWZmZWN0IG9mIHByZW5hdGFsIGxpZmVz
dHlsZSBpbnRlcnZlbnRpb24gb24gd2VpZ2h0IHJldGVudGlvbiAxMsKgbW9udGhzIHBvc3RwYXJ0
dW06IHJlc3VsdHMgb2YgdGhlIE5vcndlZ2lhbiBGaXQgZm9yIERlbGl2ZXJ5IHJhbmRvbWlzZWQg
Y29udHJvbGxlZCB0cmlhbDwvdGl0bGU+PHNlY29uZGFyeS10aXRsZT5CSk9HOiBBbiBJbnRlcm5h
dGlvbmFsIEpvdXJuYWwgb2YgT2JzdGV0cmljcyAmYW1wOyBHeW5hZWNvbG9neTwvc2Vjb25kYXJ5
LXRpdGxlPjwvdGl0bGVzPjxwZXJpb2RpY2FsPjxmdWxsLXRpdGxlPkJKT0c6IEFuIEludGVybmF0
aW9uYWwgSm91cm5hbCBvZiBPYnN0ZXRyaWNzICZhbXA7IEd5bmFlY29sb2d5PC9mdWxsLXRpdGxl
PjwvcGVyaW9kaWNhbD48cGFnZXM+MTExLTEyMTwvcGFnZXM+PHZvbHVtZT4xMjQ8L3ZvbHVtZT48
bnVtYmVyPjE8L251bWJlcj48c2VjdGlvbj4xMTE8L3NlY3Rpb24+PGRhdGVzPjx5ZWFyPjIwMTc8
L3llYXI+PC9kYXRlcz48aXNibj4xNDcwMDMyODwvaXNibj48dXJscz48L3VybHM+PGVsZWN0cm9u
aWMtcmVzb3VyY2UtbnVtPjEwLjExMTEvMTQ3MS0wNTI4LjEzODYzPC9lbGVjdHJvbmljLXJlc291
cmNlLW51bT48L3JlY29yZD48L0NpdGU+PENpdGU+PEF1dGhvcj5TYW5kYTwvQXV0aG9yPjxZZWFy
PjIwMTg8L1llYXI+PFJlY051bT45MjU8L1JlY051bT48cmVjb3JkPjxyZWMtbnVtYmVyPjkyNTwv
cmVjLW51bWJlcj48Zm9yZWlnbi1rZXlzPjxrZXkgYXBwPSJFTiIgZGItaWQ9ImV4dmFzcmZ4MmR0
cmFvZXNhc3hwMnN6c3hhMmRmNTAyNTkyeCIgdGltZXN0YW1wPSIxNTQxNTQwOTI5Ij45MjU8L2tl
eT48a2V5IGFwcD0iRU5XZWIiIGRiLWlkPSIiPjA8L2tleT48L2ZvcmVpZ24ta2V5cz48cmVmLXR5
cGUgbmFtZT0iSm91cm5hbCBBcnRpY2xlIj4xNzwvcmVmLXR5cGU+PGNvbnRyaWJ1dG9ycz48YXV0
aG9ycz48YXV0aG9yPlNhbmRhLCBCLjwvYXV0aG9yPjxhdXRob3I+VmlzdGFkLCBJLjwvYXV0aG9y
PjxhdXRob3I+U2FnZWRhbCwgTC4gUi48L2F1dGhvcj48YXV0aG9yPkhhYWtzdGFkLCBMLiBBLiBI
LjwvYXV0aG9yPjxhdXRob3I+TG9obmUtU2VpbGVyLCBILjwvYXV0aG9yPjxhdXRob3I+VG9yc3R2
ZWl0LCBNLiBLLjwvYXV0aG9yPjwvYXV0aG9ycz48L2NvbnRyaWJ1dG9ycz48YXV0aC1hZGRyZXNz
PkZhY3VsdHkgb2YgSGVhbHRoIGFuZCBTcG9ydCBTY2llbmNlcywgVW5pdmVyc2l0eSBvZiBBZ2Rl
ciwgS3Jpc3RpYW5zYW5kLCBOb3J3YXkuJiN4RDtEZXBhcnRtZW50IG9mIE9ic3RldHJpY3MgYW5k
IEd5bmVjb2xvZ3ksIFNvdXRoZXJuIE5vcndheSBIb3NwaXRhbCBUcnVzdCwgS3Jpc3RpYW5zYW5k
LCBOb3J3YXkuJiN4RDtOb3J3ZWdpYW4gU2Nob29sIG9mIFNwb3J0cyBTY2llbmNlLCBPc2xvLCBO
b3J3YXkuPC9hdXRoLWFkZHJlc3M+PHRpdGxlcz48dGl0bGU+V2hhdCBpcyB0aGUgZWZmZWN0IG9m
IHBoeXNpY2FsIGFjdGl2aXR5IG9uIGR1cmF0aW9uIGFuZCBtb2RlIG9mIGRlbGl2ZXJ5PyBTZWNv
bmRhcnkgYW5hbHlzaXMgZnJvbSB0aGUgTm9yd2VnaWFuIEZpdCBmb3IgRGVsaXZlcnkgdHJpYWw8
L3RpdGxlPjxzZWNvbmRhcnktdGl0bGU+QWN0YSBPYnN0ZXQgR3luZWNvbCBTY2FuZDwvc2Vjb25k
YXJ5LXRpdGxlPjwvdGl0bGVzPjxwZXJpb2RpY2FsPjxmdWxsLXRpdGxlPkFjdGEgT2JzdGV0IEd5
bmVjb2wgU2NhbmQ8L2Z1bGwtdGl0bGU+PC9wZXJpb2RpY2FsPjxwYWdlcz44NjEtODcxPC9wYWdl
cz48dm9sdW1lPjk3PC92b2x1bWU+PG51bWJlcj43PC9udW1iZXI+PGVkaXRpb24+MjAxOC8wNS8x
MTwvZWRpdGlvbj48a2V5d29yZHM+PGtleXdvcmQ+RXhlcmNpc2U8L2tleXdvcmQ+PGtleXdvcmQ+
Y2VzYXJlYW4gc2VjdGlvbjwva2V5d29yZD48a2V5d29yZD5kZWxpdmVyeSBvdXRjb21lczwva2V5
d29yZD48a2V5d29yZD5sYWJvcjwva2V5d29yZD48a2V5d29yZD5wcmVnbmFuY3k8L2tleXdvcmQ+
PGtleXdvcmQ+cmFuZG9taXplZCBjb250cm9sbGVkIHRyaWFsPC9rZXl3b3JkPjwva2V5d29yZHM+
PGRhdGVzPjx5ZWFyPjIwMTg8L3llYXI+PHB1Yi1kYXRlcz48ZGF0ZT5KdWw8L2RhdGU+PC9wdWIt
ZGF0ZXM+PC9kYXRlcz48aXNibj4xNjAwLTA0MTIgKEVsZWN0cm9uaWMpJiN4RDswMDAxLTYzNDkg
KExpbmtpbmcpPC9pc2JuPjxhY2Nlc3Npb24tbnVtPjI5NzQ0ODY2PC9hY2Nlc3Npb24tbnVtPjx1
cmxzPjxyZWxhdGVkLXVybHM+PHVybD5odHRwczovL3d3dy5uY2JpLm5sbS5uaWguZ292L3B1Ym1l
ZC8yOTc0NDg2NjwvdXJsPjwvcmVsYXRlZC11cmxzPjwvdXJscz48ZWxlY3Ryb25pYy1yZXNvdXJj
ZS1udW0+MTAuMTExMS9hb2dzLjEzMzUxPC9lbGVjdHJvbmljLXJlc291cmNlLW51bT48L3JlY29y
ZD48L0NpdGU+PC9FbmROb3RlPgB=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sidRPr="00EC3092">
              <w:rPr>
                <w:rFonts w:ascii="Century Gothic" w:hAnsi="Century Gothic"/>
                <w:noProof/>
              </w:rPr>
            </w:r>
            <w:r w:rsidRPr="00EC3092">
              <w:rPr>
                <w:rFonts w:ascii="Century Gothic" w:hAnsi="Century Gothic"/>
                <w:noProof/>
              </w:rPr>
              <w:fldChar w:fldCharType="separate"/>
            </w:r>
            <w:r w:rsidR="002747EA" w:rsidRPr="002747EA">
              <w:rPr>
                <w:noProof/>
                <w:sz w:val="18"/>
                <w:vertAlign w:val="superscript"/>
              </w:rPr>
              <w:t>300,487,557</w:t>
            </w:r>
            <w:r w:rsidRPr="00EC3092">
              <w:rPr>
                <w:rFonts w:ascii="Century Gothic" w:hAnsi="Century Gothic"/>
                <w:noProof/>
              </w:rPr>
              <w:fldChar w:fldCharType="end"/>
            </w:r>
          </w:p>
        </w:tc>
      </w:tr>
      <w:tr w:rsidR="008E765F" w:rsidRPr="00822EBF" w14:paraId="6CBF51CF" w14:textId="77777777" w:rsidTr="005A5EBF">
        <w:trPr>
          <w:cantSplit/>
        </w:trPr>
        <w:tc>
          <w:tcPr>
            <w:tcW w:w="1560" w:type="dxa"/>
            <w:shd w:val="clear" w:color="D9E2F3" w:themeColor="accent1" w:themeTint="33" w:fill="auto"/>
          </w:tcPr>
          <w:p w14:paraId="3885382A" w14:textId="77777777" w:rsidR="008E765F" w:rsidRPr="00822EBF" w:rsidRDefault="008E765F" w:rsidP="00611251">
            <w:pPr>
              <w:pStyle w:val="RCTstable"/>
              <w:keepNext/>
            </w:pPr>
            <w:r w:rsidRPr="00822EBF">
              <w:t>Random sequence generation</w:t>
            </w:r>
          </w:p>
        </w:tc>
        <w:tc>
          <w:tcPr>
            <w:tcW w:w="1275" w:type="dxa"/>
            <w:shd w:val="clear" w:color="D9E2F3" w:themeColor="accent1" w:themeTint="33" w:fill="70AD47" w:themeFill="accent6"/>
          </w:tcPr>
          <w:p w14:paraId="69C8729B" w14:textId="77777777" w:rsidR="008E765F" w:rsidRPr="00822EBF" w:rsidRDefault="008E765F" w:rsidP="00611251">
            <w:pPr>
              <w:pStyle w:val="RCTstable"/>
              <w:keepNext/>
            </w:pPr>
            <w:r w:rsidRPr="00822EBF">
              <w:t>Low risk</w:t>
            </w:r>
          </w:p>
        </w:tc>
        <w:tc>
          <w:tcPr>
            <w:tcW w:w="11199" w:type="dxa"/>
            <w:shd w:val="clear" w:color="D9E2F3" w:themeColor="accent1" w:themeTint="33" w:fill="auto"/>
          </w:tcPr>
          <w:p w14:paraId="49E18BDC" w14:textId="77777777" w:rsidR="008E765F" w:rsidRPr="00822EBF" w:rsidRDefault="008E765F" w:rsidP="00611251">
            <w:pPr>
              <w:pStyle w:val="RCTstable"/>
              <w:keepNext/>
            </w:pPr>
            <w:r>
              <w:t xml:space="preserve">Women were randomised </w:t>
            </w:r>
            <w:r w:rsidRPr="00822EBF">
              <w:t>“using a</w:t>
            </w:r>
            <w:r>
              <w:t xml:space="preserve"> computer-generated list with 1:</w:t>
            </w:r>
            <w:r w:rsidRPr="00822EBF">
              <w:t>1 allocation ratio in blocks of 20”.</w:t>
            </w:r>
          </w:p>
        </w:tc>
      </w:tr>
      <w:tr w:rsidR="008E765F" w:rsidRPr="00822EBF" w14:paraId="00AF9112" w14:textId="77777777" w:rsidTr="005A5EBF">
        <w:trPr>
          <w:cantSplit/>
        </w:trPr>
        <w:tc>
          <w:tcPr>
            <w:tcW w:w="1560" w:type="dxa"/>
            <w:shd w:val="clear" w:color="D9E2F3" w:themeColor="accent1" w:themeTint="33" w:fill="auto"/>
          </w:tcPr>
          <w:p w14:paraId="02B258B5"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0F01B774" w14:textId="77777777" w:rsidR="008E765F" w:rsidRPr="00822EBF" w:rsidRDefault="008E765F" w:rsidP="00611251">
            <w:pPr>
              <w:pStyle w:val="RCTstable"/>
            </w:pPr>
            <w:r>
              <w:t>Low</w:t>
            </w:r>
            <w:r w:rsidRPr="00822EBF">
              <w:t xml:space="preserve"> risk</w:t>
            </w:r>
          </w:p>
        </w:tc>
        <w:tc>
          <w:tcPr>
            <w:tcW w:w="11199" w:type="dxa"/>
            <w:shd w:val="clear" w:color="D9E2F3" w:themeColor="accent1" w:themeTint="33" w:fill="auto"/>
          </w:tcPr>
          <w:p w14:paraId="4FE78A40" w14:textId="77777777" w:rsidR="008E765F" w:rsidRPr="00822EBF" w:rsidRDefault="008E765F" w:rsidP="00611251">
            <w:pPr>
              <w:pStyle w:val="RCTstable"/>
            </w:pPr>
            <w:r w:rsidRPr="00822EBF">
              <w:t>“A research nurse assigned participants...The research nurse never met the participants, had no role in recruitment or measurements, and had no knowledge of questionnaire responses”.</w:t>
            </w:r>
          </w:p>
        </w:tc>
      </w:tr>
      <w:tr w:rsidR="008E765F" w:rsidRPr="00822EBF" w14:paraId="38FABABA" w14:textId="77777777" w:rsidTr="005A5EBF">
        <w:trPr>
          <w:cantSplit/>
        </w:trPr>
        <w:tc>
          <w:tcPr>
            <w:tcW w:w="1560" w:type="dxa"/>
            <w:shd w:val="clear" w:color="D9E2F3" w:themeColor="accent1" w:themeTint="33" w:fill="auto"/>
          </w:tcPr>
          <w:p w14:paraId="6A5D0E84"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0F02D9E4"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7B6DA909" w14:textId="77777777" w:rsidR="008E765F" w:rsidRPr="00822EBF" w:rsidRDefault="008E765F" w:rsidP="00611251">
            <w:pPr>
              <w:pStyle w:val="RCTstable"/>
            </w:pPr>
            <w:r w:rsidRPr="00822EBF">
              <w:t>“It was not feasible to blind participants to their group allocation, but they were instructed to refrain from revealing this to assessors”.</w:t>
            </w:r>
          </w:p>
        </w:tc>
      </w:tr>
      <w:tr w:rsidR="008E765F" w:rsidRPr="00822EBF" w14:paraId="232EBE3D" w14:textId="77777777" w:rsidTr="005A5EBF">
        <w:trPr>
          <w:cantSplit/>
        </w:trPr>
        <w:tc>
          <w:tcPr>
            <w:tcW w:w="1560" w:type="dxa"/>
            <w:shd w:val="clear" w:color="D9E2F3" w:themeColor="accent1" w:themeTint="33" w:fill="auto"/>
          </w:tcPr>
          <w:p w14:paraId="05DA402D"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20DCA038"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4AFB3BB7" w14:textId="77777777" w:rsidR="008E765F" w:rsidRPr="00822EBF" w:rsidRDefault="008E765F" w:rsidP="00611251">
            <w:pPr>
              <w:pStyle w:val="RCTstable"/>
            </w:pPr>
            <w:r w:rsidRPr="00822EBF">
              <w:t>“All examinations, blood test evaluations, record reviews, and scoring of questionnaire responses were performed by assessors blinded to group allocation”.</w:t>
            </w:r>
          </w:p>
        </w:tc>
      </w:tr>
      <w:tr w:rsidR="008E765F" w:rsidRPr="00822EBF" w14:paraId="3C6E718E" w14:textId="77777777" w:rsidTr="005A5EBF">
        <w:trPr>
          <w:cantSplit/>
        </w:trPr>
        <w:tc>
          <w:tcPr>
            <w:tcW w:w="1560" w:type="dxa"/>
            <w:shd w:val="clear" w:color="D9E2F3" w:themeColor="accent1" w:themeTint="33" w:fill="auto"/>
          </w:tcPr>
          <w:p w14:paraId="5344ED12"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1647AD40"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6CE1E54" w14:textId="77777777" w:rsidR="008E765F" w:rsidRPr="00822EBF" w:rsidRDefault="008E765F" w:rsidP="00611251">
            <w:pPr>
              <w:pStyle w:val="RCTstable"/>
            </w:pPr>
            <w:r>
              <w:t>Balanced attrition; 98% of intervention group and 97% of control group</w:t>
            </w:r>
            <w:r w:rsidRPr="00822EBF">
              <w:t xml:space="preserve"> were included in the main analyses (14 and 15 women respectively</w:t>
            </w:r>
            <w:r>
              <w:t xml:space="preserve"> </w:t>
            </w:r>
            <w:r w:rsidRPr="00822EBF">
              <w:t>withdrew</w:t>
            </w:r>
            <w:r>
              <w:t xml:space="preserve"> from</w:t>
            </w:r>
            <w:r w:rsidRPr="00822EBF">
              <w:t xml:space="preserve"> participation but consented to data collection)</w:t>
            </w:r>
            <w:r>
              <w:t xml:space="preserve"> and </w:t>
            </w:r>
            <w:r w:rsidRPr="00822EBF">
              <w:t>66%</w:t>
            </w:r>
            <w:r>
              <w:t xml:space="preserve"> of</w:t>
            </w:r>
            <w:r w:rsidRPr="00822EBF">
              <w:t xml:space="preserve"> the intervention group and </w:t>
            </w:r>
            <w:r>
              <w:t>62% of</w:t>
            </w:r>
            <w:r w:rsidRPr="00822EBF">
              <w:t xml:space="preserve"> the</w:t>
            </w:r>
            <w:r>
              <w:t xml:space="preserve"> </w:t>
            </w:r>
            <w:r w:rsidRPr="00822EBF">
              <w:t>control group were included in the 12-month analyses.</w:t>
            </w:r>
            <w:r>
              <w:t xml:space="preserve"> </w:t>
            </w:r>
          </w:p>
        </w:tc>
      </w:tr>
      <w:tr w:rsidR="008E765F" w:rsidRPr="00822EBF" w14:paraId="4218CEF0" w14:textId="77777777" w:rsidTr="005A5EBF">
        <w:trPr>
          <w:cantSplit/>
        </w:trPr>
        <w:tc>
          <w:tcPr>
            <w:tcW w:w="1560" w:type="dxa"/>
            <w:shd w:val="clear" w:color="D9E2F3" w:themeColor="accent1" w:themeTint="33" w:fill="auto"/>
          </w:tcPr>
          <w:p w14:paraId="740723C8"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50F4AFA2"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602BCFB" w14:textId="77777777" w:rsidR="008E765F" w:rsidRPr="00822EBF" w:rsidRDefault="008E765F" w:rsidP="00611251">
            <w:pPr>
              <w:pStyle w:val="RCTstable"/>
            </w:pPr>
            <w:r w:rsidRPr="00822EBF">
              <w:t>Outcomes reported as per the published trial protocol, except for the pre-specified outcomes ’maternal glucose levels, and ’hormones related to glucose metabolism</w:t>
            </w:r>
            <w:r>
              <w:t>’.</w:t>
            </w:r>
          </w:p>
        </w:tc>
      </w:tr>
      <w:tr w:rsidR="008E765F" w:rsidRPr="00822EBF" w14:paraId="1EA8B445" w14:textId="77777777" w:rsidTr="005A5EBF">
        <w:trPr>
          <w:cantSplit/>
        </w:trPr>
        <w:tc>
          <w:tcPr>
            <w:tcW w:w="1560" w:type="dxa"/>
            <w:shd w:val="clear" w:color="D9E2F3" w:themeColor="accent1" w:themeTint="33" w:fill="auto"/>
          </w:tcPr>
          <w:p w14:paraId="4CC79A4A"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2076DF34"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B5D8AF6" w14:textId="77777777" w:rsidR="008E765F" w:rsidRPr="00822EBF" w:rsidRDefault="008E765F" w:rsidP="00611251">
            <w:pPr>
              <w:pStyle w:val="RCTstable"/>
            </w:pPr>
            <w:r w:rsidRPr="00822EBF">
              <w:t>No obvious sources of other bias identified</w:t>
            </w:r>
            <w:r>
              <w:t>.</w:t>
            </w:r>
          </w:p>
        </w:tc>
      </w:tr>
      <w:tr w:rsidR="008E765F" w:rsidRPr="0048317A" w14:paraId="4AB44C64" w14:textId="77777777" w:rsidTr="005A5EBF">
        <w:trPr>
          <w:cantSplit/>
        </w:trPr>
        <w:tc>
          <w:tcPr>
            <w:tcW w:w="14034" w:type="dxa"/>
            <w:gridSpan w:val="3"/>
            <w:shd w:val="solid" w:color="D9E2F3" w:themeColor="accent1" w:themeTint="33" w:fill="auto"/>
          </w:tcPr>
          <w:p w14:paraId="491877AF" w14:textId="3793F7BB" w:rsidR="008E765F" w:rsidRPr="0048317A" w:rsidRDefault="008E765F" w:rsidP="002747EA">
            <w:pPr>
              <w:pStyle w:val="RCTstable"/>
              <w:keepNext/>
              <w:rPr>
                <w:b/>
              </w:rPr>
            </w:pPr>
            <w:r w:rsidRPr="0048317A">
              <w:rPr>
                <w:b/>
              </w:rPr>
              <w:t>Simmons et al 2017</w:t>
            </w:r>
            <w:r>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 </w:instrText>
            </w:r>
            <w:r w:rsidR="002747EA">
              <w:fldChar w:fldCharType="begin">
                <w:fldData xml:space="preserve">PEVuZE5vdGU+PENpdGU+PEF1dGhvcj5TaW1tb25zPC9BdXRob3I+PFllYXI+MjAxNzwvWWVhcj48
UmVjTnVtPjEwNTc8L1JlY051bT48RGlzcGxheVRleHQ+PHN0eWxlIGZhY2U9InN1cGVyc2NyaXB0
IiBmb250PSJUcmVidWNoZXQgTVMiIHNpemU9IjkiPjQwMjwvc3R5bGU+PC9EaXNwbGF5VGV4dD48
cmVjb3JkPjxyZWMtbnVtYmVyPjEwNTc8L3JlYy1udW1iZXI+PGZvcmVpZ24ta2V5cz48a2V5IGFw
cD0iRU4iIGRiLWlkPSJleHZhc3JmeDJkdHJhb2VzYXN4cDJzenN4YTJkZjUwMjU5MngiIHRpbWVz
dGFtcD0iMTU0ODk4MzQ3NiI+MTA1Nzwva2V5PjwvZm9yZWlnbi1rZXlzPjxyZWYtdHlwZSBuYW1l
PSJKb3VybmFsIEFydGljbGUiPjE3PC9yZWYtdHlwZT48Y29udHJpYnV0b3JzPjxhdXRob3JzPjxh
dXRob3I+U2ltbW9ucywgRC48L2F1dGhvcj48YXV0aG9yPkRldmxpZWdlciwgUi48L2F1dGhvcj48
YXV0aG9yPnZhbiBBc3NjaGUsIEEuPC9hdXRob3I+PGF1dGhvcj5KYW5zLCBHLjwvYXV0aG9yPjxh
dXRob3I+R2FsamFhcmQsIFMuPC9hdXRob3I+PGF1dGhvcj5Db3Jjb3ksIFIuPC9hdXRob3I+PGF1
dGhvcj5BZGVsYW50YWRvLCBKLiBNLjwvYXV0aG9yPjxhdXRob3I+RHVubmUsIEYuPC9hdXRob3I+
PGF1dGhvcj5EZXNveWUsIEcuPC9hdXRob3I+PGF1dGhvcj5IYXJyZWl0ZXIsIEouPC9hdXRob3I+
PGF1dGhvcj5LYXV0emt5LVdpbGxlciwgQS48L2F1dGhvcj48YXV0aG9yPkRhbW0sIFAuPC9hdXRo
b3I+PGF1dGhvcj5NYXRoaWVzZW4sIEUuIFIuPC9hdXRob3I+PGF1dGhvcj5KZW5zZW4sIEQuIE0u
PC9hdXRob3I+PGF1dGhvcj5BbmRlcnNlbiwgTC48L2F1dGhvcj48YXV0aG9yPkxhcG9sbGEsIEEu
PC9hdXRob3I+PGF1dGhvcj5EYWxmcmEsIE0uIEcuPC9hdXRob3I+PGF1dGhvcj5CZXJ0b2xvdHRv
LCBBLjwvYXV0aG9yPjxhdXRob3I+V2VuZGVyLU96ZWdvd3NrYSwgRS48L2F1dGhvcj48YXV0aG9y
Plphd2llanNrYSwgQS48L2F1dGhvcj48YXV0aG9yPkhpbGwsIEQuPC9hdXRob3I+PGF1dGhvcj5T
bm9laywgRi4gSi48L2F1dGhvcj48YXV0aG9yPkplbHNtYSwgSi4gRy48L2F1dGhvcj48YXV0aG9y
PnZhbiBQb3BwZWwsIE0uIE4uPC9hdXRob3I+PC9hdXRob3JzPjwvY29udHJpYnV0b3JzPjxhdXRo
LWFkZHJlc3M+V2VzdGVybiBTeWRuZXkgVW5pdmVyc2l0eSwgQ2FtcGJlbGx0b3duLCBOZXcgU291
dGggV2FsZXMgMjU2MCwgQXVzdHJhbGlhLiYjeEQ7SW5zdGl0dXRlIG9mIE1ldGFib2xpYyBTY2ll
bmNlLCBBZGRlbmJyb29rZSZhcG9zO3MgSG9zcGl0YWwsIENhbWJyaWRnZSwgQ0IyIDBRUSBFbmds
YW5kLiYjeEQ7RGVwYXJ0bWVudCBvZiBEZXZlbG9wbWVudCBhbmQgUmVnZW5lcmF0aW9uOiBQcmVn
bmFuY3ksIEZldHVzIGFuZCBOZW9uYXRlLCBHeW5hZWNvbG9neSBhbmQgT2JzdGV0cmljcywgVW5p
dmVyc2l0eSBIb3NwaXRhbHMsIEthdGhvbGlla2UgVW5pdmVyc2l0ZWl0IExldXZlbiwgTGV1dmVu
LCBCZWxnaXVtLiYjeEQ7RGl2aXNpb24gb2YgT2JzdGV0cmljcyBhbmQgUHJlbmF0YWwgTWVkaWNp
bmUsIERlcGFydG1lbnQgb2YgT2JzdGV0cmljcyBhbmQgR3luYWVjb2xvZ3ksIEVyYXNtdXMgVW5p
dmVyc2l0eSBNZWRpY2FsIENlbnRlciBSb3R0ZXJkYW0sIFJvdHRlcmRhbSwgVGhlIE5ldGhlcmxh
bmRzLiYjeEQ7SW5zdGl0dXQgZGUgUmVjZXJjYSBkZSBsIEhvc3BpdGFsIGRlIGxhIFNhbnRhIENy
ZXUgaSBTYW50IFBhdSwgQmFyY2Vsb25hLCBTcGFpbi4mI3hEO0NJQkVSIEJpb2VuZ2luZWVyaW5n
LCBCaW9tYXRlcmlhbHMgYW5kIE5hbm90ZWNobm9sb2d5LCBJbnN0aXR1dG8gZGUgU2FsdWQgQ2Fy
bG9zIElJSSwgWmFyYWdvemEsIFNwYWluLiYjeEQ7R2Fsd2F5IERpYWJldGVzIFJlc2VhcmNoIENl
bnRyZSBhbmQgQ29sbGVnZSBvZiBNZWRpY2luZSBOdXJzaW5nIGFuZCBIZWFsdGggU2NpZW5jZXMs
IE5hdGlvbmFsIFVuaXZlcnNpdHkgb2YgSXJlbGFuZCwgR2Fsd2F5LCBJcmVsYW5kLiYjeEQ7RGVw
YXJ0bWVudCBvZiBPYnN0ZXRyaWNzIGFuZCBHeW5lY29sb2d5LCBNZWRpemluaXNjaGUgVW5pdmVy
c2l0YWV0IEdyYXosIEdyYXosIEF1c3RyaWEuJiN4RDtHZW5kZXIgTWVkaWNpbmUgVW5pdCwgRW5k
b2NyaW5vbG9neSBhbmQgTWV0YWJvbGlzbSwgRGVwYXJ0bWVudCBvZiBJbnRlcm5hbCBNZWRpY2lu
ZSBJSUksIE1lZGljYWwgVW5pdmVyc2l0eSBvZiBWaWVubmEsIFZpZW5uYSwgQXVzdHJpYS4mI3hE
O0NlbnRlciBmb3IgUHJlZ25hbnQgV29tZW4gd2l0aCBEaWFiZXRlcywgRGVwYXJ0bWVudHMgb2Yg
RW5kb2NyaW5vbG9neSBhbmQgT2JzdGV0cmljcywgUmlnc2hvc3BpdGFsZXQsIEluc3RpdHV0ZSBv
ZiBDbGluaWNhbCBNZWRpY2luZSwgRmFjdWx0eSBvZiBIZWFsdGggYW5kIE1lZGljYWwgU2NpZW5j
ZXMsIFVuaXZlcnNpdHkgb2YgQ29wZW5oYWdlbiwgQ29wZW5oYWdlbiwgRGVubWFyay4mI3hEO0Rl
cGFydG1lbnQgb2YgRW5kb2NyaW5vbG9neSBhbmQgRGVwYXJ0bWVudCBvZiBHeW5lY29sb2d5IGFu
ZCBPYnN0ZXRyaWNzLCBPZGVuc2UgVW5pdmVyc2l0eSBIb3NwaXRhbCwgT2RlbnNlLCBEZW5tYXJr
LiYjeEQ7RGVwYXJ0bWVudCBvZiBDbGluaWNhbCBSZXNlYXJjaCwgRmFjdWx0eSBvZiBIZWFsdGgg
U2NpZW5jZXMsIFVuaXZlcnNpdHkgb2YgU291dGhlcm4gRGVubWFyaywgT2RlbnNlLCBEZW5tYXJr
LiYjeEQ7VW5pdmVyc2l0YSBEZWdsaSBTdHVkaSBkaSBQYWRvdmEsIFBhZHVhLCBJdGFseS4mI3hE
O0F6aWVuZGEgT3NwZWRhbGllcm8gVW5pdmVyc2l0YXJpYS1QaXNhLCBQaXNhIEl0YWx5LiYjeEQ7
TWVkaWNhbCBGYWN1bHR5IEksIFBvem5hbiBVbml2ZXJzaXR5IG9mIE1lZGljYWwgU2NpZW5jZXMs
IFBvem5hbiwgUG9sYW5kLiYjeEQ7UmVjaGVyY2hlIGVuIFNhbnRlIExhd3NvbiBTQSwgQnJvbnNj
aGhvZmVuLCBTd2l0emVybGFuZC4mI3hEO0RlcGFydG1lbnQgb2YgTWVkaWNhbCBQc3ljaG9sb2d5
LCBFTUdPKyBJbnN0aXR1dGUgZm9yIEhlYWx0aCBhbmQgQ2FyZSBSZXNlYXJjaCwgVlUgVW5pdmVy
c2l0eSBNZWRpY2FsIENlbnRyZSwgQW1zdGVyZGFtLCBUaGUgTmV0aGVybGFuZHMuJiN4RDtEZXBh
cnRtZW50IG9mIE1lZGljYWwgUHN5Y2hvbG9neSwgQWNhZGVtaWMgTWVkaWNhbCBDZW50cmUsIEFt
c3RlcmRhbSwgVGhlIE5ldGhlcmxhbmRzLiYjeEQ7RGVwYXJ0bWVudCBvZiBQdWJsaWMgYW5kIE9j
Y3VwYXRpb25hbCBIZWFsdGgsIEVNR08rIEluc3RpdHV0ZSBmb3IgSGVhbHRoIGFuZCBDYXJlIFJl
c2VhcmNoLCBWVSBVbml2ZXJzaXR5IE1lZGljYWwgQ2VudHJlLCBBbXN0ZXJkYW0sIFRoZSBOZXRo
ZXJsYW5kczsgYW5kLiYjeEQ7SW5zdGl0dXRlIG9mIFNwb3J0IFNjaWVuY2UsIFVuaXZlcnNpdHkg
b2YgR3JheiwgR3JheiwgQXVzdHJpYS48L2F1dGgtYWRkcmVzcz48dGl0bGVzPjx0aXRsZT5FZmZl
Y3Qgb2YgUGh5c2ljYWwgQWN0aXZpdHkgYW5kL29yIEhlYWx0aHkgRWF0aW5nIG9uIEdETSBSaXNr
OiBUaGUgREFMSSBMaWZlc3R5bGUgU3R1ZHk8L3RpdGxlPjxzZWNvbmRhcnktdGl0bGU+SiBDbGlu
IEVuZG9jcmlub2wgTWV0YWI8L3NlY29uZGFyeS10aXRsZT48L3RpdGxlcz48cGVyaW9kaWNhbD48
ZnVsbC10aXRsZT5KIENsaW4gRW5kb2NyaW5vbCBNZXRhYjwvZnVsbC10aXRsZT48L3BlcmlvZGlj
YWw+PHBhZ2VzPjkwMy05MTM8L3BhZ2VzPjx2b2x1bWU+MTAyPC92b2x1bWU+PG51bWJlcj4zPC9u
dW1iZXI+PGVkaXRpb24+MjAxNi8xMi8xMDwvZWRpdGlvbj48ZGF0ZXM+PHllYXI+MjAxNzwveWVh
cj48cHViLWRhdGVzPjxkYXRlPk1hciAxPC9kYXRlPjwvcHViLWRhdGVzPjwvZGF0ZXM+PGlzYm4+
MTk0NS03MTk3IChFbGVjdHJvbmljKSYjeEQ7MDAyMS05NzJYIChMaW5raW5nKTwvaXNibj48YWNj
ZXNzaW9uLW51bT4yNzkzNTc2NzwvYWNjZXNzaW9uLW51bT48dXJscz48cmVsYXRlZC11cmxzPjx1
cmw+aHR0cHM6Ly93d3cubmNiaS5ubG0ubmloLmdvdi9wdWJtZWQvMjc5MzU3Njc8L3VybD48L3Jl
bGF0ZWQtdXJscz48L3VybHM+PGN1c3RvbTI+UE1DNTQ2MDY4ODwvY3VzdG9tMj48ZWxlY3Ryb25p
Yy1yZXNvdXJjZS1udW0+MTAuMTIxMC9qYy4yMDE2LTM0NTU8L2VsZWN0cm9uaWMtcmVzb3VyY2Ut
bnVtPjwvcmVjb3JkPjwvQ2l0ZT48L0VuZE5vdGU+
</w:fldData>
              </w:fldChar>
            </w:r>
            <w:r w:rsidR="002747EA">
              <w:instrText xml:space="preserve"> ADDIN EN.CITE.DATA </w:instrText>
            </w:r>
            <w:r w:rsidR="002747EA">
              <w:fldChar w:fldCharType="end"/>
            </w:r>
            <w:r>
              <w:fldChar w:fldCharType="separate"/>
            </w:r>
            <w:r w:rsidR="002747EA" w:rsidRPr="002747EA">
              <w:rPr>
                <w:noProof/>
                <w:sz w:val="18"/>
                <w:vertAlign w:val="superscript"/>
              </w:rPr>
              <w:t>402</w:t>
            </w:r>
            <w:r>
              <w:fldChar w:fldCharType="end"/>
            </w:r>
          </w:p>
        </w:tc>
      </w:tr>
      <w:tr w:rsidR="008E765F" w:rsidRPr="00822EBF" w14:paraId="685E5944" w14:textId="77777777" w:rsidTr="005A5EBF">
        <w:trPr>
          <w:cantSplit/>
        </w:trPr>
        <w:tc>
          <w:tcPr>
            <w:tcW w:w="1560" w:type="dxa"/>
            <w:shd w:val="clear" w:color="D9E2F3" w:themeColor="accent1" w:themeTint="33" w:fill="auto"/>
          </w:tcPr>
          <w:p w14:paraId="01E36DAD" w14:textId="77777777" w:rsidR="008E765F" w:rsidRPr="00822EBF" w:rsidRDefault="008E765F" w:rsidP="00E37D04">
            <w:pPr>
              <w:pStyle w:val="RCTstable"/>
              <w:keepNext/>
            </w:pPr>
            <w:r w:rsidRPr="00822EBF">
              <w:t>Random sequence generation</w:t>
            </w:r>
          </w:p>
        </w:tc>
        <w:tc>
          <w:tcPr>
            <w:tcW w:w="1275" w:type="dxa"/>
            <w:shd w:val="clear" w:color="D9E2F3" w:themeColor="accent1" w:themeTint="33" w:fill="70AD47" w:themeFill="accent6"/>
          </w:tcPr>
          <w:p w14:paraId="0CF3350E" w14:textId="77777777" w:rsidR="008E765F" w:rsidRPr="00822EBF" w:rsidRDefault="008E765F" w:rsidP="00E37D04">
            <w:pPr>
              <w:pStyle w:val="RCTstable"/>
              <w:keepNext/>
            </w:pPr>
            <w:r w:rsidRPr="00822EBF">
              <w:t>Low risk</w:t>
            </w:r>
          </w:p>
        </w:tc>
        <w:tc>
          <w:tcPr>
            <w:tcW w:w="11199" w:type="dxa"/>
            <w:shd w:val="clear" w:color="D9E2F3" w:themeColor="accent1" w:themeTint="33" w:fill="auto"/>
          </w:tcPr>
          <w:p w14:paraId="69471E32" w14:textId="77777777" w:rsidR="008E765F" w:rsidRPr="00822EBF" w:rsidRDefault="008E765F" w:rsidP="00E37D04">
            <w:pPr>
              <w:pStyle w:val="RCTstable"/>
              <w:keepNext/>
            </w:pPr>
            <w:r>
              <w:t>“Randomis</w:t>
            </w:r>
            <w:r w:rsidRPr="00822EBF">
              <w:t xml:space="preserve">ation </w:t>
            </w:r>
            <w:r>
              <w:t>…</w:t>
            </w:r>
            <w:r w:rsidRPr="00822EBF">
              <w:t xml:space="preserve"> </w:t>
            </w:r>
            <w:r>
              <w:t>was performed using a computeris</w:t>
            </w:r>
            <w:r w:rsidRPr="00822EBF">
              <w:t>ed electronic random number generator, prestratified for site.</w:t>
            </w:r>
            <w:r>
              <w:t>”</w:t>
            </w:r>
          </w:p>
        </w:tc>
      </w:tr>
      <w:tr w:rsidR="008E765F" w:rsidRPr="00822EBF" w14:paraId="3378D5D5" w14:textId="77777777" w:rsidTr="005A5EBF">
        <w:trPr>
          <w:cantSplit/>
        </w:trPr>
        <w:tc>
          <w:tcPr>
            <w:tcW w:w="1560" w:type="dxa"/>
            <w:shd w:val="clear" w:color="D9E2F3" w:themeColor="accent1" w:themeTint="33" w:fill="auto"/>
          </w:tcPr>
          <w:p w14:paraId="069372F4"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70AD47" w:themeFill="accent6"/>
          </w:tcPr>
          <w:p w14:paraId="61ADA7AC"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5E0651B1" w14:textId="77777777" w:rsidR="008E765F" w:rsidRPr="00822EBF" w:rsidRDefault="008E765F" w:rsidP="00611251">
            <w:pPr>
              <w:pStyle w:val="RCTstable"/>
            </w:pPr>
            <w:r w:rsidRPr="00822EBF">
              <w:t xml:space="preserve">The trial coordinator (D.S.) prepared and distributed sealed opaque envelopes, containing group allocations to each site. The allocation outcome was communicated to the participants by the coach. </w:t>
            </w:r>
          </w:p>
        </w:tc>
      </w:tr>
      <w:tr w:rsidR="008E765F" w:rsidRPr="00822EBF" w14:paraId="57DEDBE4" w14:textId="77777777" w:rsidTr="005A5EBF">
        <w:trPr>
          <w:cantSplit/>
        </w:trPr>
        <w:tc>
          <w:tcPr>
            <w:tcW w:w="1560" w:type="dxa"/>
            <w:shd w:val="clear" w:color="D9E2F3" w:themeColor="accent1" w:themeTint="33" w:fill="auto"/>
          </w:tcPr>
          <w:p w14:paraId="3DB020C0"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28E52D75" w14:textId="77777777" w:rsidR="008E765F" w:rsidRPr="00822EBF" w:rsidRDefault="008E765F" w:rsidP="00611251">
            <w:pPr>
              <w:pStyle w:val="RCTstable"/>
            </w:pPr>
            <w:r>
              <w:t>High</w:t>
            </w:r>
            <w:r w:rsidRPr="00822EBF">
              <w:t xml:space="preserve"> risk</w:t>
            </w:r>
          </w:p>
        </w:tc>
        <w:tc>
          <w:tcPr>
            <w:tcW w:w="11199" w:type="dxa"/>
            <w:shd w:val="clear" w:color="D9E2F3" w:themeColor="accent1" w:themeTint="33" w:fill="auto"/>
          </w:tcPr>
          <w:p w14:paraId="7B0DB4D2" w14:textId="77777777" w:rsidR="008E765F" w:rsidRPr="00822EBF" w:rsidRDefault="008E765F" w:rsidP="00611251">
            <w:pPr>
              <w:pStyle w:val="RCTstable"/>
            </w:pPr>
            <w:r w:rsidRPr="00822EBF">
              <w:t xml:space="preserve">The staff involved with measurements, but not the participants, were kept unaware of the intervention. </w:t>
            </w:r>
          </w:p>
        </w:tc>
      </w:tr>
      <w:tr w:rsidR="008E765F" w:rsidRPr="00822EBF" w14:paraId="750298D0" w14:textId="77777777" w:rsidTr="005A5EBF">
        <w:trPr>
          <w:cantSplit/>
        </w:trPr>
        <w:tc>
          <w:tcPr>
            <w:tcW w:w="1560" w:type="dxa"/>
            <w:shd w:val="clear" w:color="D9E2F3" w:themeColor="accent1" w:themeTint="33" w:fill="auto"/>
          </w:tcPr>
          <w:p w14:paraId="1BA6A08F"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626A428C" w14:textId="77777777" w:rsidR="008E765F" w:rsidRPr="00822EBF" w:rsidRDefault="008E765F" w:rsidP="00611251">
            <w:pPr>
              <w:pStyle w:val="RCTstable"/>
            </w:pPr>
            <w:r>
              <w:t>Low risk</w:t>
            </w:r>
          </w:p>
        </w:tc>
        <w:tc>
          <w:tcPr>
            <w:tcW w:w="11199" w:type="dxa"/>
            <w:shd w:val="clear" w:color="D9E2F3" w:themeColor="accent1" w:themeTint="33" w:fill="auto"/>
          </w:tcPr>
          <w:p w14:paraId="2187E255" w14:textId="77777777" w:rsidR="008E765F" w:rsidRPr="00822EBF" w:rsidRDefault="008E765F" w:rsidP="00611251">
            <w:pPr>
              <w:pStyle w:val="RCTstable"/>
            </w:pPr>
            <w:r w:rsidRPr="00822EBF">
              <w:t>Statistical analyses were performed blinded for allocation.</w:t>
            </w:r>
          </w:p>
        </w:tc>
      </w:tr>
      <w:tr w:rsidR="008E765F" w:rsidRPr="00822EBF" w14:paraId="1B7D87F9" w14:textId="77777777" w:rsidTr="005A5EBF">
        <w:trPr>
          <w:cantSplit/>
        </w:trPr>
        <w:tc>
          <w:tcPr>
            <w:tcW w:w="1560" w:type="dxa"/>
            <w:shd w:val="clear" w:color="D9E2F3" w:themeColor="accent1" w:themeTint="33" w:fill="auto"/>
          </w:tcPr>
          <w:p w14:paraId="7FAD5DC4"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38F3324C"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4DD5E75" w14:textId="77777777" w:rsidR="008E765F" w:rsidRPr="00822EBF" w:rsidRDefault="008E765F" w:rsidP="00611251">
            <w:pPr>
              <w:pStyle w:val="RCTstable"/>
            </w:pPr>
            <w:r w:rsidRPr="00822EBF">
              <w:t>Data were analysed according to intention to treat and according to an a priori statistical analysis plan. Differences between</w:t>
            </w:r>
            <w:r>
              <w:t xml:space="preserve"> women</w:t>
            </w:r>
            <w:r w:rsidRPr="00822EBF">
              <w:t xml:space="preserve"> withdrawing from the study and those who stayed in the study were assessed.</w:t>
            </w:r>
          </w:p>
        </w:tc>
      </w:tr>
      <w:tr w:rsidR="008E765F" w:rsidRPr="00822EBF" w14:paraId="6987D1B2" w14:textId="77777777" w:rsidTr="005A5EBF">
        <w:trPr>
          <w:cantSplit/>
        </w:trPr>
        <w:tc>
          <w:tcPr>
            <w:tcW w:w="1560" w:type="dxa"/>
            <w:shd w:val="clear" w:color="D9E2F3" w:themeColor="accent1" w:themeTint="33" w:fill="auto"/>
          </w:tcPr>
          <w:p w14:paraId="39D60A4A"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63558083"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230144E" w14:textId="77777777" w:rsidR="008E765F" w:rsidRPr="00822EBF" w:rsidRDefault="008E765F" w:rsidP="00611251">
            <w:pPr>
              <w:pStyle w:val="RCTstable"/>
            </w:pPr>
            <w:r w:rsidRPr="00822EBF">
              <w:t>Pre-specified outcomes reported.</w:t>
            </w:r>
          </w:p>
        </w:tc>
      </w:tr>
      <w:tr w:rsidR="008E765F" w:rsidRPr="00822EBF" w14:paraId="37CF46C8" w14:textId="77777777" w:rsidTr="005A5EBF">
        <w:trPr>
          <w:cantSplit/>
        </w:trPr>
        <w:tc>
          <w:tcPr>
            <w:tcW w:w="1560" w:type="dxa"/>
            <w:shd w:val="clear" w:color="D9E2F3" w:themeColor="accent1" w:themeTint="33" w:fill="auto"/>
          </w:tcPr>
          <w:p w14:paraId="1A847FF2"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682D1811"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5012403" w14:textId="77777777" w:rsidR="008E765F" w:rsidRPr="00822EBF" w:rsidRDefault="008E765F" w:rsidP="00611251">
            <w:pPr>
              <w:pStyle w:val="RCTstable"/>
            </w:pPr>
            <w:r w:rsidRPr="00822EBF">
              <w:t>No significant differences between baseline characteristics of groups</w:t>
            </w:r>
          </w:p>
        </w:tc>
      </w:tr>
      <w:tr w:rsidR="00312100" w:rsidRPr="00A657F0" w14:paraId="53877E9B" w14:textId="77777777" w:rsidTr="00312100">
        <w:trPr>
          <w:cantSplit/>
        </w:trPr>
        <w:tc>
          <w:tcPr>
            <w:tcW w:w="14034" w:type="dxa"/>
            <w:gridSpan w:val="3"/>
            <w:shd w:val="solid" w:color="D9E2F3" w:themeColor="accent1" w:themeTint="33" w:fill="auto"/>
          </w:tcPr>
          <w:p w14:paraId="0E7C59A3" w14:textId="1C6200F5" w:rsidR="00312100" w:rsidRPr="00A657F0" w:rsidRDefault="00312100" w:rsidP="002747EA">
            <w:pPr>
              <w:pStyle w:val="RCTstable"/>
              <w:keepNext/>
              <w:rPr>
                <w:b/>
              </w:rPr>
            </w:pPr>
            <w:r>
              <w:rPr>
                <w:b/>
              </w:rPr>
              <w:t>Trak-Fellermeier et al 2019</w:t>
            </w:r>
            <w:r w:rsidR="00D07346">
              <w:rPr>
                <w:b/>
              </w:rPr>
              <w:fldChar w:fldCharType="begin">
                <w:fldData xml:space="preserve">PEVuZE5vdGU+PENpdGU+PEF1dGhvcj5UcmFrLUZlbGxlcm1laWVyPC9BdXRob3I+PFllYXI+MjAx
OTwvWWVhcj48UmVjTnVtPjE5MjE8L1JlY051bT48RGlzcGxheVRleHQ+PHN0eWxlIGZhY2U9InN1
cGVyc2NyaXB0IiBmb250PSJUcmVidWNoZXQgTVMiIHNpemU9IjkiPjUwOTwvc3R5bGU+PC9EaXNw
bGF5VGV4dD48cmVjb3JkPjxyZWMtbnVtYmVyPjE5MjE8L3JlYy1udW1iZXI+PGZvcmVpZ24ta2V5
cz48a2V5IGFwcD0iRU4iIGRiLWlkPSJleHZhc3JmeDJkdHJhb2VzYXN4cDJzenN4YTJkZjUwMjU5
MngiIHRpbWVzdGFtcD0iMTU4ODU1NjU5NSI+MTkyMTwva2V5PjxrZXkgYXBwPSJFTldlYiIgZGIt
aWQ9IiI+MDwva2V5PjwvZm9yZWlnbi1rZXlzPjxyZWYtdHlwZSBuYW1lPSJKb3VybmFsIEFydGlj
bGUiPjE3PC9yZWYtdHlwZT48Y29udHJpYnV0b3JzPjxhdXRob3JzPjxhdXRob3I+VHJhay1GZWxs
ZXJtZWllciwgTS4gQS48L2F1dGhvcj48YXV0aG9yPkNhbXBvcywgTS48L2F1dGhvcj48YXV0aG9y
Pk1lbGVuZGV6LCBNLjwvYXV0aG9yPjxhdXRob3I+UG9tZXJveSwgSi48L2F1dGhvcj48YXV0aG9y
PlBhbGFjaW9zLCBDLjwvYXV0aG9yPjxhdXRob3I+Uml2ZXJhLVZpbmFzLCBKLjwvYXV0aG9yPjxh
dXRob3I+TWVuZGV6LCBLLjwvYXV0aG9yPjxhdXRob3I+RmVibywgSS48L2F1dGhvcj48YXV0aG9y
PldpbGxldHQsIFcuPC9hdXRob3I+PGF1dGhvcj5HaWxsbWFuLCBNLiBXLjwvYXV0aG9yPjxhdXRo
b3I+RnJhbmtzLCBQLiBXLjwvYXV0aG9yPjxhdXRob3I+Sm9zaGlwdXJhLCBLLjwvYXV0aG9yPjwv
YXV0aG9ycz48L2NvbnRyaWJ1dG9ycz48YXV0aC1hZGRyZXNzPkNlbnRlciBmb3IgQ2xpbmljYWwg
UmVzZWFyY2ggYW5kIEhlYWx0aCBQcm9tb3Rpb24sIFNjaG9vbCBvZiBEZW50YWwgTWVkaWNpbmUs
IE1lZGljYWwgU2NpZW5jZXMgQ2FtcHVzLCBVbml2ZXJzaXR5IG9mIFB1ZXJ0byBSaWNvLCBTYW4g
SnVhbiwgUFIsIFVTQSwga2F1bXVkaS5qb3NoaXB1cmFAdXByLmVkdS4mI3hEO0NsaW5pY2FsIFJl
c2VhcmNoIENlbnRlciwgTWFyc2hmaWVsZCBDbGluaWMgUmVzZWFyY2ggSW5zdGl0dXRlLCBNYXJz
aGZpZWxkIENsaW5pYyBIZWFsdGggU3lzdGVtLCBNYXJzaGZpZWxkLCBXSSwgVVNBLiYjeEQ7RGVw
YXJ0bWVudCBvZiBEaWV0ZXRpY3MgYW5kIE51dHJpdGlvbiwgUm9iZXJ0IFN0ZW1wZWwgQ29sbGVn
ZSBvZiBQdWJsaWMgSGVhbHRoICZhbXA7IFNvY2lhbCBXb3JrLCBGbG9yaWRhIEludGVybmF0aW9u
YWwgVW5pdmVyc2l0eSwgTWlhbWksIEZMLCBVU0EuJiN4RDtEZXBhcnRtZW50IG9mIE9ic3RldHJp
Y3MgYW5kIEd5bmVjb2xvZ3ksIFNjaG9vbCBvZiBNZWRpY2luZSwgTWVkaWNhbCBTY2llbmNlcyBD
YW1wdXMsIFVuaXZlcnNpdHkgb2YgUHVlcnRvIFJpY28sIFNhbiBKdWFuLCBQUiwgVVNBLiYjeEQ7
RGVwYXJ0bWVudCBvZiBQZWRpYXRyaWNzLCBTY2hvb2wgb2YgTWVkaWNpbmUsIE1lZGljYWwgU2Np
ZW5jZXMgQ2FtcHVzLCBVbml2ZXJzaXR5IG9mIFB1ZXJ0byBSaWNvLCBTYW4gSnVhbiwgUFIsIFVT
QS4mI3hEO0RlcGFydG1lbnQgb2YgTnV0cml0aW9uLCBIYXJ2YXJkIFQuSC4gQ2hhbiBTY2hvb2wg
b2YgUHVibGljIEhlYWx0aCwgSGFydmFyZCBVbml2ZXJzaXR5LCBCb3N0b24sIE1BLCBVU0EuJiN4
RDtEaXZpc2lvbiBvZiBDaHJvbmljIERpc2Vhc2UgUmVzZWFyY2ggQWNyb3NzIHRoZSBMaWZlIENv
dXJzZSwgRGVwYXJ0bWVudCBvZiBQb3B1bGF0aW9uIE1lZGljaW5lLCBIYXJ2YXJkIE1lZGljYWwg
U2Nob29sIGFuZCBIYXJ2YXJkIFBpbGdyaW0gSGVhbHRoIENhcmUgSW5zdGl0dXRlLCBCb3N0b24s
IE1BLiYjeEQ7RGVwYXJ0bWVudCBvZiBDbGluaWNhbCBTY2llbmNlcywgR2VuZXRpYyBhbmQgTW9s
ZWN1bGFyIEVwaWRlbWlvbG9neSBVbml0LCBMdW5kIFVuaXZlcnNpdHksIFNrYW5lIFVuaXZlcnNp
dHkgSG9zcGl0YWwsIE1hbG1vLCBTd2VkZW4uJiN4RDtEZXBhcnRtZW50IG9mIEVwaWRlbWlvbG9n
eSwgSGFydmFyZCBULkguIENoYW4gUHVibGljIEhlYWx0aCBTY2hvb2wsIEhhcnZhcmQgVW5pdmVy
c2l0eSwgQm9zdG9uLCBNQSwgVVNBLCBrYXVtdWRpLmpvc2hpcHVyYUB1cHIuZWR1LjwvYXV0aC1h
ZGRyZXNzPjx0aXRsZXM+PHRpdGxlPlBFQVJMUyByYW5kb21pemVkIGxpZmVzdHlsZSB0cmlhbCBp
biBwcmVnbmFudCBIaXNwYW5pYyB3b21lbiB3aXRoIG92ZXJ3ZWlnaHQvb2Jlc2l0eTogZ2VzdGF0
aW9uYWwgd2VpZ2h0IGdhaW4gYW5kIG9mZnNwcmluZyBiaXJ0aHdlaWdodDwvdGl0bGU+PHNlY29u
ZGFyeS10aXRsZT5EaWFiZXRlcyBNZXRhYiBTeW5kciBPYmVzPC9zZWNvbmRhcnktdGl0bGU+PC90
aXRsZXM+PHBlcmlvZGljYWw+PGZ1bGwtdGl0bGU+RGlhYmV0ZXMgTWV0YWIgU3luZHIgT2Jlczwv
ZnVsbC10aXRsZT48L3BlcmlvZGljYWw+PHBhZ2VzPjIyNS0yMzg8L3BhZ2VzPjx2b2x1bWU+MTI8
L3ZvbHVtZT48ZWRpdGlvbj4yMDE5LzAzLzEzPC9lZGl0aW9uPjxrZXl3b3Jkcz48a2V5d29yZD5i
aXJ0aHdlaWdodDwva2V5d29yZD48a2V5d29yZD5nZXN0YXRpb25hbCB3ZWlnaHQgZ2Fpbjwva2V5
d29yZD48a2V5d29yZD5pbnRlcnZlbnRpb248L2tleXdvcmQ+PGtleXdvcmQ+bGlmZXN0eWxlIG1v
ZGlmaWNhdGlvbjwva2V5d29yZD48a2V5d29yZD5uZW9uYXRhbDwva2V5d29yZD48a2V5d29yZD5v
YmVzZTwva2V5d29yZD48a2V5d29yZD5vdmVyd2VpZ2h0PC9rZXl3b3JkPjxrZXl3b3JkPnByZWdu
YW5jeTwva2V5d29yZD48a2V5d29yZD5yYW5kb21pemVkIGNvbnRyb2xsZWQgdHJpYWw8L2tleXdv
cmQ+PGtleXdvcmQ+SGVhbHRoIE91dGNvbWVzIChFQ0hPKSBQcm9ncmFtLCBPZmZpY2Ugb2YgdGhl
IERpcmVjdG9yLCBOYXRpb25hbCBJbnN0aXR1dGVzIG9mPC9rZXl3b3JkPjxrZXl3b3JkPkhlYWx0
aCAoVGhlIHZpZXdzIGV4cHJlc3NlZCBpbiB0aGlzIGFydGljbGUgZG8gbm90IG5lY2Vzc2FyaWx5
IHJlcHJlc2VudCB0aGU8L2tleXdvcmQ+PGtleXdvcmQ+dmlld3Mgb2YgdGhlIFVTIEdvdmVybm1l
bnQsIHRoZSBEZXBhcnRtZW50IG9mIEhlYWx0aCBhbmQgSHVtYW4gU2VydmljZXMgb3IgdGhlPC9r
ZXl3b3JkPjxrZXl3b3JkPk5hdGlvbmFsIEluc3RpdHV0ZXMgb2YgSGVhbHRoKS4gVGhlIGF1dGhv
cnMgcmVwb3J0IG5vIG90aGVyIGNvbmZsaWN0cyBvZiBpbnRlcmVzdDwva2V5d29yZD48a2V5d29y
ZD5pbiB0aGlzIHdvcmsuPC9rZXl3b3JkPjwva2V5d29yZHM+PGRhdGVzPjx5ZWFyPjIwMTk8L3ll
YXI+PC9kYXRlcz48aXNibj4xMTc4LTcwMDcgKFByaW50KSYjeEQ7MTE3OC03MDA3IChMaW5raW5n
KTwvaXNibj48YWNjZXNzaW9uLW51bT4zMDg1ODcxNTwvYWNjZXNzaW9uLW51bT48dXJscz48cmVs
YXRlZC11cmxzPjx1cmw+aHR0cHM6Ly93d3cubmNiaS5ubG0ubmloLmdvdi9wdWJtZWQvMzA4NTg3
MTU8L3VybD48L3JlbGF0ZWQtdXJscz48L3VybHM+PGN1c3RvbTI+UE1DNjM4NTc0MzwvY3VzdG9t
Mj48ZWxlY3Ryb25pYy1yZXNvdXJjZS1udW0+MTAuMjE0Ny9ETVNPLlMxNzkwMDk8L2VsZWN0cm9u
aWMtcmVzb3VyY2UtbnVtPjwvcmVjb3JkPjwvQ2l0ZT48L0VuZE5vdGU+
</w:fldData>
              </w:fldChar>
            </w:r>
            <w:r w:rsidR="002747EA">
              <w:rPr>
                <w:b/>
              </w:rPr>
              <w:instrText xml:space="preserve"> ADDIN EN.CITE </w:instrText>
            </w:r>
            <w:r w:rsidR="002747EA">
              <w:rPr>
                <w:b/>
              </w:rPr>
              <w:fldChar w:fldCharType="begin">
                <w:fldData xml:space="preserve">PEVuZE5vdGU+PENpdGU+PEF1dGhvcj5UcmFrLUZlbGxlcm1laWVyPC9BdXRob3I+PFllYXI+MjAx
OTwvWWVhcj48UmVjTnVtPjE5MjE8L1JlY051bT48RGlzcGxheVRleHQ+PHN0eWxlIGZhY2U9InN1
cGVyc2NyaXB0IiBmb250PSJUcmVidWNoZXQgTVMiIHNpemU9IjkiPjUwOTwvc3R5bGU+PC9EaXNw
bGF5VGV4dD48cmVjb3JkPjxyZWMtbnVtYmVyPjE5MjE8L3JlYy1udW1iZXI+PGZvcmVpZ24ta2V5
cz48a2V5IGFwcD0iRU4iIGRiLWlkPSJleHZhc3JmeDJkdHJhb2VzYXN4cDJzenN4YTJkZjUwMjU5
MngiIHRpbWVzdGFtcD0iMTU4ODU1NjU5NSI+MTkyMTwva2V5PjxrZXkgYXBwPSJFTldlYiIgZGIt
aWQ9IiI+MDwva2V5PjwvZm9yZWlnbi1rZXlzPjxyZWYtdHlwZSBuYW1lPSJKb3VybmFsIEFydGlj
bGUiPjE3PC9yZWYtdHlwZT48Y29udHJpYnV0b3JzPjxhdXRob3JzPjxhdXRob3I+VHJhay1GZWxs
ZXJtZWllciwgTS4gQS48L2F1dGhvcj48YXV0aG9yPkNhbXBvcywgTS48L2F1dGhvcj48YXV0aG9y
Pk1lbGVuZGV6LCBNLjwvYXV0aG9yPjxhdXRob3I+UG9tZXJveSwgSi48L2F1dGhvcj48YXV0aG9y
PlBhbGFjaW9zLCBDLjwvYXV0aG9yPjxhdXRob3I+Uml2ZXJhLVZpbmFzLCBKLjwvYXV0aG9yPjxh
dXRob3I+TWVuZGV6LCBLLjwvYXV0aG9yPjxhdXRob3I+RmVibywgSS48L2F1dGhvcj48YXV0aG9y
PldpbGxldHQsIFcuPC9hdXRob3I+PGF1dGhvcj5HaWxsbWFuLCBNLiBXLjwvYXV0aG9yPjxhdXRo
b3I+RnJhbmtzLCBQLiBXLjwvYXV0aG9yPjxhdXRob3I+Sm9zaGlwdXJhLCBLLjwvYXV0aG9yPjwv
YXV0aG9ycz48L2NvbnRyaWJ1dG9ycz48YXV0aC1hZGRyZXNzPkNlbnRlciBmb3IgQ2xpbmljYWwg
UmVzZWFyY2ggYW5kIEhlYWx0aCBQcm9tb3Rpb24sIFNjaG9vbCBvZiBEZW50YWwgTWVkaWNpbmUs
IE1lZGljYWwgU2NpZW5jZXMgQ2FtcHVzLCBVbml2ZXJzaXR5IG9mIFB1ZXJ0byBSaWNvLCBTYW4g
SnVhbiwgUFIsIFVTQSwga2F1bXVkaS5qb3NoaXB1cmFAdXByLmVkdS4mI3hEO0NsaW5pY2FsIFJl
c2VhcmNoIENlbnRlciwgTWFyc2hmaWVsZCBDbGluaWMgUmVzZWFyY2ggSW5zdGl0dXRlLCBNYXJz
aGZpZWxkIENsaW5pYyBIZWFsdGggU3lzdGVtLCBNYXJzaGZpZWxkLCBXSSwgVVNBLiYjeEQ7RGVw
YXJ0bWVudCBvZiBEaWV0ZXRpY3MgYW5kIE51dHJpdGlvbiwgUm9iZXJ0IFN0ZW1wZWwgQ29sbGVn
ZSBvZiBQdWJsaWMgSGVhbHRoICZhbXA7IFNvY2lhbCBXb3JrLCBGbG9yaWRhIEludGVybmF0aW9u
YWwgVW5pdmVyc2l0eSwgTWlhbWksIEZMLCBVU0EuJiN4RDtEZXBhcnRtZW50IG9mIE9ic3RldHJp
Y3MgYW5kIEd5bmVjb2xvZ3ksIFNjaG9vbCBvZiBNZWRpY2luZSwgTWVkaWNhbCBTY2llbmNlcyBD
YW1wdXMsIFVuaXZlcnNpdHkgb2YgUHVlcnRvIFJpY28sIFNhbiBKdWFuLCBQUiwgVVNBLiYjeEQ7
RGVwYXJ0bWVudCBvZiBQZWRpYXRyaWNzLCBTY2hvb2wgb2YgTWVkaWNpbmUsIE1lZGljYWwgU2Np
ZW5jZXMgQ2FtcHVzLCBVbml2ZXJzaXR5IG9mIFB1ZXJ0byBSaWNvLCBTYW4gSnVhbiwgUFIsIFVT
QS4mI3hEO0RlcGFydG1lbnQgb2YgTnV0cml0aW9uLCBIYXJ2YXJkIFQuSC4gQ2hhbiBTY2hvb2wg
b2YgUHVibGljIEhlYWx0aCwgSGFydmFyZCBVbml2ZXJzaXR5LCBCb3N0b24sIE1BLCBVU0EuJiN4
RDtEaXZpc2lvbiBvZiBDaHJvbmljIERpc2Vhc2UgUmVzZWFyY2ggQWNyb3NzIHRoZSBMaWZlIENv
dXJzZSwgRGVwYXJ0bWVudCBvZiBQb3B1bGF0aW9uIE1lZGljaW5lLCBIYXJ2YXJkIE1lZGljYWwg
U2Nob29sIGFuZCBIYXJ2YXJkIFBpbGdyaW0gSGVhbHRoIENhcmUgSW5zdGl0dXRlLCBCb3N0b24s
IE1BLiYjeEQ7RGVwYXJ0bWVudCBvZiBDbGluaWNhbCBTY2llbmNlcywgR2VuZXRpYyBhbmQgTW9s
ZWN1bGFyIEVwaWRlbWlvbG9neSBVbml0LCBMdW5kIFVuaXZlcnNpdHksIFNrYW5lIFVuaXZlcnNp
dHkgSG9zcGl0YWwsIE1hbG1vLCBTd2VkZW4uJiN4RDtEZXBhcnRtZW50IG9mIEVwaWRlbWlvbG9n
eSwgSGFydmFyZCBULkguIENoYW4gUHVibGljIEhlYWx0aCBTY2hvb2wsIEhhcnZhcmQgVW5pdmVy
c2l0eSwgQm9zdG9uLCBNQSwgVVNBLCBrYXVtdWRpLmpvc2hpcHVyYUB1cHIuZWR1LjwvYXV0aC1h
ZGRyZXNzPjx0aXRsZXM+PHRpdGxlPlBFQVJMUyByYW5kb21pemVkIGxpZmVzdHlsZSB0cmlhbCBp
biBwcmVnbmFudCBIaXNwYW5pYyB3b21lbiB3aXRoIG92ZXJ3ZWlnaHQvb2Jlc2l0eTogZ2VzdGF0
aW9uYWwgd2VpZ2h0IGdhaW4gYW5kIG9mZnNwcmluZyBiaXJ0aHdlaWdodDwvdGl0bGU+PHNlY29u
ZGFyeS10aXRsZT5EaWFiZXRlcyBNZXRhYiBTeW5kciBPYmVzPC9zZWNvbmRhcnktdGl0bGU+PC90
aXRsZXM+PHBlcmlvZGljYWw+PGZ1bGwtdGl0bGU+RGlhYmV0ZXMgTWV0YWIgU3luZHIgT2Jlczwv
ZnVsbC10aXRsZT48L3BlcmlvZGljYWw+PHBhZ2VzPjIyNS0yMzg8L3BhZ2VzPjx2b2x1bWU+MTI8
L3ZvbHVtZT48ZWRpdGlvbj4yMDE5LzAzLzEzPC9lZGl0aW9uPjxrZXl3b3Jkcz48a2V5d29yZD5i
aXJ0aHdlaWdodDwva2V5d29yZD48a2V5d29yZD5nZXN0YXRpb25hbCB3ZWlnaHQgZ2Fpbjwva2V5
d29yZD48a2V5d29yZD5pbnRlcnZlbnRpb248L2tleXdvcmQ+PGtleXdvcmQ+bGlmZXN0eWxlIG1v
ZGlmaWNhdGlvbjwva2V5d29yZD48a2V5d29yZD5uZW9uYXRhbDwva2V5d29yZD48a2V5d29yZD5v
YmVzZTwva2V5d29yZD48a2V5d29yZD5vdmVyd2VpZ2h0PC9rZXl3b3JkPjxrZXl3b3JkPnByZWdu
YW5jeTwva2V5d29yZD48a2V5d29yZD5yYW5kb21pemVkIGNvbnRyb2xsZWQgdHJpYWw8L2tleXdv
cmQ+PGtleXdvcmQ+SGVhbHRoIE91dGNvbWVzIChFQ0hPKSBQcm9ncmFtLCBPZmZpY2Ugb2YgdGhl
IERpcmVjdG9yLCBOYXRpb25hbCBJbnN0aXR1dGVzIG9mPC9rZXl3b3JkPjxrZXl3b3JkPkhlYWx0
aCAoVGhlIHZpZXdzIGV4cHJlc3NlZCBpbiB0aGlzIGFydGljbGUgZG8gbm90IG5lY2Vzc2FyaWx5
IHJlcHJlc2VudCB0aGU8L2tleXdvcmQ+PGtleXdvcmQ+dmlld3Mgb2YgdGhlIFVTIEdvdmVybm1l
bnQsIHRoZSBEZXBhcnRtZW50IG9mIEhlYWx0aCBhbmQgSHVtYW4gU2VydmljZXMgb3IgdGhlPC9r
ZXl3b3JkPjxrZXl3b3JkPk5hdGlvbmFsIEluc3RpdHV0ZXMgb2YgSGVhbHRoKS4gVGhlIGF1dGhv
cnMgcmVwb3J0IG5vIG90aGVyIGNvbmZsaWN0cyBvZiBpbnRlcmVzdDwva2V5d29yZD48a2V5d29y
ZD5pbiB0aGlzIHdvcmsuPC9rZXl3b3JkPjwva2V5d29yZHM+PGRhdGVzPjx5ZWFyPjIwMTk8L3ll
YXI+PC9kYXRlcz48aXNibj4xMTc4LTcwMDcgKFByaW50KSYjeEQ7MTE3OC03MDA3IChMaW5raW5n
KTwvaXNibj48YWNjZXNzaW9uLW51bT4zMDg1ODcxNTwvYWNjZXNzaW9uLW51bT48dXJscz48cmVs
YXRlZC11cmxzPjx1cmw+aHR0cHM6Ly93d3cubmNiaS5ubG0ubmloLmdvdi9wdWJtZWQvMzA4NTg3
MTU8L3VybD48L3JlbGF0ZWQtdXJscz48L3VybHM+PGN1c3RvbTI+UE1DNjM4NTc0MzwvY3VzdG9t
Mj48ZWxlY3Ryb25pYy1yZXNvdXJjZS1udW0+MTAuMjE0Ny9ETVNPLlMxNzkwMDk8L2VsZWN0cm9u
aWMtcmVzb3VyY2UtbnVtPjwvcmVjb3JkPjwvQ2l0ZT48L0VuZE5vdGU+
</w:fldData>
              </w:fldChar>
            </w:r>
            <w:r w:rsidR="002747EA">
              <w:rPr>
                <w:b/>
              </w:rPr>
              <w:instrText xml:space="preserve"> ADDIN EN.CITE.DATA </w:instrText>
            </w:r>
            <w:r w:rsidR="002747EA">
              <w:rPr>
                <w:b/>
              </w:rPr>
            </w:r>
            <w:r w:rsidR="002747EA">
              <w:rPr>
                <w:b/>
              </w:rPr>
              <w:fldChar w:fldCharType="end"/>
            </w:r>
            <w:r w:rsidR="00D07346">
              <w:rPr>
                <w:b/>
              </w:rPr>
            </w:r>
            <w:r w:rsidR="00D07346">
              <w:rPr>
                <w:b/>
              </w:rPr>
              <w:fldChar w:fldCharType="separate"/>
            </w:r>
            <w:r w:rsidR="002747EA" w:rsidRPr="002747EA">
              <w:rPr>
                <w:b/>
                <w:noProof/>
                <w:sz w:val="18"/>
                <w:vertAlign w:val="superscript"/>
              </w:rPr>
              <w:t>509</w:t>
            </w:r>
            <w:r w:rsidR="00D07346">
              <w:rPr>
                <w:b/>
              </w:rPr>
              <w:fldChar w:fldCharType="end"/>
            </w:r>
          </w:p>
        </w:tc>
      </w:tr>
      <w:tr w:rsidR="00312100" w:rsidRPr="00822EBF" w14:paraId="0DA9B831" w14:textId="77777777" w:rsidTr="00312100">
        <w:trPr>
          <w:cantSplit/>
        </w:trPr>
        <w:tc>
          <w:tcPr>
            <w:tcW w:w="1560" w:type="dxa"/>
            <w:shd w:val="clear" w:color="D9E2F3" w:themeColor="accent1" w:themeTint="33" w:fill="auto"/>
          </w:tcPr>
          <w:p w14:paraId="1010E996" w14:textId="77777777" w:rsidR="00312100" w:rsidRPr="00822EBF" w:rsidRDefault="00312100" w:rsidP="00312100">
            <w:pPr>
              <w:pStyle w:val="RCTstable"/>
              <w:keepNext/>
            </w:pPr>
            <w:r w:rsidRPr="00822EBF">
              <w:t>Random sequence generation</w:t>
            </w:r>
          </w:p>
        </w:tc>
        <w:tc>
          <w:tcPr>
            <w:tcW w:w="1275" w:type="dxa"/>
            <w:shd w:val="clear" w:color="D9E2F3" w:themeColor="accent1" w:themeTint="33" w:fill="70AD47" w:themeFill="accent6"/>
          </w:tcPr>
          <w:p w14:paraId="73DDDAD5" w14:textId="77777777" w:rsidR="00312100" w:rsidRPr="00822EBF" w:rsidRDefault="00312100" w:rsidP="00312100">
            <w:pPr>
              <w:pStyle w:val="RCTstable"/>
              <w:keepNext/>
            </w:pPr>
            <w:r w:rsidRPr="00822EBF">
              <w:t>Low risk</w:t>
            </w:r>
          </w:p>
        </w:tc>
        <w:tc>
          <w:tcPr>
            <w:tcW w:w="11199" w:type="dxa"/>
            <w:shd w:val="clear" w:color="D9E2F3" w:themeColor="accent1" w:themeTint="33" w:fill="auto"/>
          </w:tcPr>
          <w:p w14:paraId="21211830" w14:textId="7CE437DF" w:rsidR="00312100" w:rsidRPr="00F815BA" w:rsidRDefault="00F815BA" w:rsidP="00F815BA">
            <w:pPr>
              <w:pStyle w:val="RCTstable"/>
            </w:pPr>
            <w:r>
              <w:t>“</w:t>
            </w:r>
            <w:r w:rsidRPr="00F815BA">
              <w:t>An independent RCU statistician generated an ur</w:t>
            </w:r>
            <w:r>
              <w:t>n randomis</w:t>
            </w:r>
            <w:r w:rsidRPr="00F815BA">
              <w:t>ation</w:t>
            </w:r>
            <w:r>
              <w:t xml:space="preserve"> </w:t>
            </w:r>
            <w:r w:rsidRPr="00F815BA">
              <w:t>scheme.</w:t>
            </w:r>
            <w:r w:rsidR="00312100">
              <w:t>”</w:t>
            </w:r>
          </w:p>
        </w:tc>
      </w:tr>
      <w:tr w:rsidR="00312100" w:rsidRPr="00822EBF" w14:paraId="74E1CA0C" w14:textId="77777777" w:rsidTr="00312100">
        <w:trPr>
          <w:cantSplit/>
        </w:trPr>
        <w:tc>
          <w:tcPr>
            <w:tcW w:w="1560" w:type="dxa"/>
            <w:shd w:val="clear" w:color="D9E2F3" w:themeColor="accent1" w:themeTint="33" w:fill="auto"/>
          </w:tcPr>
          <w:p w14:paraId="430BDF9B" w14:textId="77777777" w:rsidR="00312100" w:rsidRPr="00822EBF" w:rsidRDefault="00312100" w:rsidP="00312100">
            <w:pPr>
              <w:pStyle w:val="RCTstable"/>
              <w:keepNext/>
            </w:pPr>
            <w:r w:rsidRPr="00822EBF">
              <w:t xml:space="preserve">Allocation concealment </w:t>
            </w:r>
          </w:p>
        </w:tc>
        <w:tc>
          <w:tcPr>
            <w:tcW w:w="1275" w:type="dxa"/>
            <w:shd w:val="clear" w:color="D9E2F3" w:themeColor="accent1" w:themeTint="33" w:fill="FFC000" w:themeFill="accent4"/>
          </w:tcPr>
          <w:p w14:paraId="398E12CD" w14:textId="77777777" w:rsidR="00312100" w:rsidRPr="00822EBF" w:rsidRDefault="00312100" w:rsidP="00312100">
            <w:pPr>
              <w:pStyle w:val="RCTstable"/>
              <w:keepNext/>
            </w:pPr>
            <w:r w:rsidRPr="00822EBF">
              <w:t>Unclear risk</w:t>
            </w:r>
          </w:p>
        </w:tc>
        <w:tc>
          <w:tcPr>
            <w:tcW w:w="11199" w:type="dxa"/>
            <w:shd w:val="clear" w:color="D9E2F3" w:themeColor="accent1" w:themeTint="33" w:fill="auto"/>
          </w:tcPr>
          <w:p w14:paraId="1A7425FB" w14:textId="77777777" w:rsidR="00312100" w:rsidRPr="00822EBF" w:rsidRDefault="00312100" w:rsidP="00312100">
            <w:pPr>
              <w:pStyle w:val="RCTstable"/>
              <w:keepNext/>
            </w:pPr>
            <w:r w:rsidRPr="00822EBF">
              <w:t>Not described</w:t>
            </w:r>
          </w:p>
        </w:tc>
      </w:tr>
      <w:tr w:rsidR="00312100" w:rsidRPr="00822EBF" w14:paraId="061975C8" w14:textId="77777777" w:rsidTr="00312100">
        <w:trPr>
          <w:cantSplit/>
        </w:trPr>
        <w:tc>
          <w:tcPr>
            <w:tcW w:w="1560" w:type="dxa"/>
            <w:shd w:val="clear" w:color="D9E2F3" w:themeColor="accent1" w:themeTint="33" w:fill="auto"/>
          </w:tcPr>
          <w:p w14:paraId="15113396" w14:textId="77777777" w:rsidR="00312100" w:rsidRPr="00822EBF" w:rsidRDefault="00312100" w:rsidP="00312100">
            <w:pPr>
              <w:pStyle w:val="RCTstable"/>
              <w:keepNext/>
            </w:pPr>
            <w:r w:rsidRPr="00822EBF">
              <w:t>Performance bias</w:t>
            </w:r>
          </w:p>
        </w:tc>
        <w:tc>
          <w:tcPr>
            <w:tcW w:w="1275" w:type="dxa"/>
            <w:shd w:val="clear" w:color="D9E2F3" w:themeColor="accent1" w:themeTint="33" w:fill="FFC000" w:themeFill="accent4"/>
          </w:tcPr>
          <w:p w14:paraId="4FF4B378" w14:textId="77777777" w:rsidR="00312100" w:rsidRPr="00822EBF" w:rsidRDefault="00312100" w:rsidP="00312100">
            <w:pPr>
              <w:pStyle w:val="RCTstable"/>
              <w:keepNext/>
            </w:pPr>
            <w:r>
              <w:t>Unclear</w:t>
            </w:r>
            <w:r w:rsidRPr="00822EBF">
              <w:t xml:space="preserve"> risk</w:t>
            </w:r>
          </w:p>
        </w:tc>
        <w:tc>
          <w:tcPr>
            <w:tcW w:w="11199" w:type="dxa"/>
            <w:shd w:val="clear" w:color="D9E2F3" w:themeColor="accent1" w:themeTint="33" w:fill="auto"/>
          </w:tcPr>
          <w:p w14:paraId="7995E259" w14:textId="01D17474" w:rsidR="00312100" w:rsidRPr="00F815BA" w:rsidRDefault="000C4DCD" w:rsidP="0030223E">
            <w:pPr>
              <w:pStyle w:val="RCTstable"/>
            </w:pPr>
            <w:r>
              <w:t>Not described</w:t>
            </w:r>
          </w:p>
        </w:tc>
      </w:tr>
      <w:tr w:rsidR="00312100" w:rsidRPr="00822EBF" w14:paraId="58478194" w14:textId="77777777" w:rsidTr="0030223E">
        <w:trPr>
          <w:cantSplit/>
        </w:trPr>
        <w:tc>
          <w:tcPr>
            <w:tcW w:w="1560" w:type="dxa"/>
            <w:shd w:val="clear" w:color="D9E2F3" w:themeColor="accent1" w:themeTint="33" w:fill="auto"/>
          </w:tcPr>
          <w:p w14:paraId="19C84077" w14:textId="77777777" w:rsidR="00312100" w:rsidRPr="00822EBF" w:rsidRDefault="00312100" w:rsidP="00312100">
            <w:pPr>
              <w:pStyle w:val="RCTstable"/>
            </w:pPr>
            <w:r w:rsidRPr="00822EBF">
              <w:t>Detection bias</w:t>
            </w:r>
          </w:p>
        </w:tc>
        <w:tc>
          <w:tcPr>
            <w:tcW w:w="1275" w:type="dxa"/>
            <w:tcBorders>
              <w:bottom w:val="single" w:sz="4" w:space="0" w:color="auto"/>
            </w:tcBorders>
            <w:shd w:val="clear" w:color="D9E2F3" w:themeColor="accent1" w:themeTint="33" w:fill="70AD47" w:themeFill="accent6"/>
          </w:tcPr>
          <w:p w14:paraId="325DE1A9" w14:textId="77777777" w:rsidR="00312100" w:rsidRPr="00822EBF" w:rsidRDefault="00312100" w:rsidP="00312100">
            <w:pPr>
              <w:pStyle w:val="RCTstable"/>
            </w:pPr>
            <w:r w:rsidRPr="00822EBF">
              <w:t>Low risk</w:t>
            </w:r>
          </w:p>
        </w:tc>
        <w:tc>
          <w:tcPr>
            <w:tcW w:w="11199" w:type="dxa"/>
            <w:shd w:val="clear" w:color="D9E2F3" w:themeColor="accent1" w:themeTint="33" w:fill="auto"/>
          </w:tcPr>
          <w:p w14:paraId="56A6CE5C" w14:textId="4CFD9669" w:rsidR="00312100" w:rsidRPr="004706D0" w:rsidRDefault="00F815BA" w:rsidP="00312100">
            <w:pPr>
              <w:pStyle w:val="RCTstable"/>
              <w:rPr>
                <w:sz w:val="14"/>
                <w:szCs w:val="14"/>
              </w:rPr>
            </w:pPr>
            <w:r>
              <w:t>“</w:t>
            </w:r>
            <w:r w:rsidRPr="00F815BA">
              <w:t>Study staff other than a designated</w:t>
            </w:r>
            <w:r>
              <w:t xml:space="preserve"> </w:t>
            </w:r>
            <w:r w:rsidRPr="00F815BA">
              <w:t>statistician and intervention staff remained blinded until the</w:t>
            </w:r>
            <w:r>
              <w:t xml:space="preserve"> </w:t>
            </w:r>
            <w:r w:rsidRPr="00F815BA">
              <w:t>trial concluded.</w:t>
            </w:r>
            <w:r>
              <w:t>”</w:t>
            </w:r>
          </w:p>
        </w:tc>
      </w:tr>
      <w:tr w:rsidR="00312100" w:rsidRPr="00822EBF" w14:paraId="6615A55B" w14:textId="77777777" w:rsidTr="0030223E">
        <w:trPr>
          <w:cantSplit/>
        </w:trPr>
        <w:tc>
          <w:tcPr>
            <w:tcW w:w="1560" w:type="dxa"/>
            <w:shd w:val="clear" w:color="D9E2F3" w:themeColor="accent1" w:themeTint="33" w:fill="auto"/>
          </w:tcPr>
          <w:p w14:paraId="4A42E2A8" w14:textId="77777777" w:rsidR="00312100" w:rsidRPr="00822EBF" w:rsidRDefault="00312100" w:rsidP="00312100">
            <w:pPr>
              <w:pStyle w:val="RCTstable"/>
            </w:pPr>
            <w:r w:rsidRPr="00822EBF">
              <w:t>Incomplete outcome data</w:t>
            </w:r>
          </w:p>
        </w:tc>
        <w:tc>
          <w:tcPr>
            <w:tcW w:w="1275" w:type="dxa"/>
            <w:shd w:val="clear" w:color="D9E2F3" w:themeColor="accent1" w:themeTint="33" w:fill="FF4D19"/>
          </w:tcPr>
          <w:p w14:paraId="02FE2359" w14:textId="1246EA31" w:rsidR="00312100" w:rsidRPr="00822EBF" w:rsidRDefault="005B0665" w:rsidP="00312100">
            <w:pPr>
              <w:pStyle w:val="RCTstable"/>
            </w:pPr>
            <w:r>
              <w:t>High</w:t>
            </w:r>
            <w:r w:rsidR="00312100" w:rsidRPr="00822EBF">
              <w:t xml:space="preserve"> risk</w:t>
            </w:r>
          </w:p>
        </w:tc>
        <w:tc>
          <w:tcPr>
            <w:tcW w:w="11199" w:type="dxa"/>
            <w:shd w:val="clear" w:color="D9E2F3" w:themeColor="accent1" w:themeTint="33" w:fill="auto"/>
          </w:tcPr>
          <w:p w14:paraId="6A9EB86A" w14:textId="0B879069" w:rsidR="00312100" w:rsidRPr="000C73B3" w:rsidRDefault="005B0665" w:rsidP="00312100">
            <w:pPr>
              <w:pStyle w:val="RCTstable"/>
            </w:pPr>
            <w:r>
              <w:t>Primary outcome imputed for 7/15 women in the intervention group and 4/16 in the control group.</w:t>
            </w:r>
          </w:p>
        </w:tc>
      </w:tr>
      <w:tr w:rsidR="00312100" w:rsidRPr="00822EBF" w14:paraId="0B65615F" w14:textId="77777777" w:rsidTr="0030223E">
        <w:trPr>
          <w:cantSplit/>
        </w:trPr>
        <w:tc>
          <w:tcPr>
            <w:tcW w:w="1560" w:type="dxa"/>
            <w:shd w:val="clear" w:color="D9E2F3" w:themeColor="accent1" w:themeTint="33" w:fill="auto"/>
          </w:tcPr>
          <w:p w14:paraId="677585A6" w14:textId="77777777" w:rsidR="00312100" w:rsidRPr="00822EBF" w:rsidRDefault="00312100" w:rsidP="00312100">
            <w:pPr>
              <w:pStyle w:val="RCTstable"/>
            </w:pPr>
            <w:r w:rsidRPr="00822EBF">
              <w:t>Selective reporting</w:t>
            </w:r>
          </w:p>
        </w:tc>
        <w:tc>
          <w:tcPr>
            <w:tcW w:w="1275" w:type="dxa"/>
            <w:tcBorders>
              <w:bottom w:val="single" w:sz="4" w:space="0" w:color="auto"/>
            </w:tcBorders>
            <w:shd w:val="clear" w:color="D9E2F3" w:themeColor="accent1" w:themeTint="33" w:fill="70AD47" w:themeFill="accent6"/>
          </w:tcPr>
          <w:p w14:paraId="2295193B" w14:textId="77777777" w:rsidR="00312100" w:rsidRPr="00822EBF" w:rsidRDefault="00312100" w:rsidP="00312100">
            <w:pPr>
              <w:pStyle w:val="RCTstable"/>
            </w:pPr>
            <w:r>
              <w:t>Low</w:t>
            </w:r>
            <w:r w:rsidRPr="00822EBF">
              <w:t xml:space="preserve"> risk</w:t>
            </w:r>
          </w:p>
        </w:tc>
        <w:tc>
          <w:tcPr>
            <w:tcW w:w="11199" w:type="dxa"/>
            <w:shd w:val="clear" w:color="D9E2F3" w:themeColor="accent1" w:themeTint="33" w:fill="auto"/>
          </w:tcPr>
          <w:p w14:paraId="4CF5C3CD" w14:textId="07866975" w:rsidR="00312100" w:rsidRPr="00822EBF" w:rsidRDefault="00312100" w:rsidP="00493046">
            <w:pPr>
              <w:pStyle w:val="RCTstable"/>
            </w:pPr>
            <w:r w:rsidRPr="00822EBF">
              <w:t xml:space="preserve">All </w:t>
            </w:r>
            <w:r w:rsidR="00493046">
              <w:t>pre-specified</w:t>
            </w:r>
            <w:r w:rsidRPr="00822EBF">
              <w:t xml:space="preserve"> outcomes reported.</w:t>
            </w:r>
          </w:p>
        </w:tc>
      </w:tr>
      <w:tr w:rsidR="00312100" w:rsidRPr="00822EBF" w14:paraId="4EE54BE5" w14:textId="77777777" w:rsidTr="0030223E">
        <w:trPr>
          <w:cantSplit/>
        </w:trPr>
        <w:tc>
          <w:tcPr>
            <w:tcW w:w="1560" w:type="dxa"/>
            <w:shd w:val="clear" w:color="D9E2F3" w:themeColor="accent1" w:themeTint="33" w:fill="auto"/>
          </w:tcPr>
          <w:p w14:paraId="4B554171" w14:textId="77777777" w:rsidR="00312100" w:rsidRPr="00822EBF" w:rsidRDefault="00312100" w:rsidP="00312100">
            <w:pPr>
              <w:pStyle w:val="RCTstable"/>
            </w:pPr>
            <w:r w:rsidRPr="00822EBF">
              <w:t xml:space="preserve">Other limitations </w:t>
            </w:r>
          </w:p>
        </w:tc>
        <w:tc>
          <w:tcPr>
            <w:tcW w:w="1275" w:type="dxa"/>
            <w:shd w:val="clear" w:color="D9E2F3" w:themeColor="accent1" w:themeTint="33" w:fill="FF4D19"/>
          </w:tcPr>
          <w:p w14:paraId="20BC7447" w14:textId="6ACFA7F1" w:rsidR="00312100" w:rsidRPr="00822EBF" w:rsidRDefault="00493046" w:rsidP="00312100">
            <w:pPr>
              <w:pStyle w:val="RCTstable"/>
            </w:pPr>
            <w:r>
              <w:t>High</w:t>
            </w:r>
            <w:r w:rsidR="00312100" w:rsidRPr="00822EBF">
              <w:t xml:space="preserve"> risk</w:t>
            </w:r>
          </w:p>
        </w:tc>
        <w:tc>
          <w:tcPr>
            <w:tcW w:w="11199" w:type="dxa"/>
            <w:shd w:val="clear" w:color="D9E2F3" w:themeColor="accent1" w:themeTint="33" w:fill="auto"/>
          </w:tcPr>
          <w:p w14:paraId="78C594AB" w14:textId="017063E4" w:rsidR="00312100" w:rsidRPr="00822EBF" w:rsidRDefault="00493046" w:rsidP="00312100">
            <w:pPr>
              <w:pStyle w:val="RCTstable"/>
            </w:pPr>
            <w:r>
              <w:t>A higher proportion of women in the control group were African American (46.7 vs 6.3%) and a higher proportion of women in the intervention group were obese (87.5 vs 53.3%).</w:t>
            </w:r>
          </w:p>
        </w:tc>
      </w:tr>
      <w:tr w:rsidR="009F7A26" w:rsidRPr="00A657F0" w14:paraId="44679CDF" w14:textId="77777777" w:rsidTr="005A5EBF">
        <w:trPr>
          <w:cantSplit/>
        </w:trPr>
        <w:tc>
          <w:tcPr>
            <w:tcW w:w="14034" w:type="dxa"/>
            <w:gridSpan w:val="3"/>
            <w:shd w:val="solid" w:color="D9E2F3" w:themeColor="accent1" w:themeTint="33" w:fill="auto"/>
          </w:tcPr>
          <w:p w14:paraId="7059E9B4" w14:textId="4FE546AB" w:rsidR="009F7A26" w:rsidRPr="00A657F0" w:rsidRDefault="002D7E5A" w:rsidP="002747EA">
            <w:pPr>
              <w:pStyle w:val="RCTstable"/>
              <w:keepNext/>
              <w:rPr>
                <w:b/>
              </w:rPr>
            </w:pPr>
            <w:r>
              <w:rPr>
                <w:rFonts w:ascii="Century Gothic" w:hAnsi="Century Gothic"/>
                <w:b/>
                <w:noProof/>
              </w:rPr>
              <w:t>Van Horn et al 2018</w:t>
            </w:r>
            <w:r w:rsidR="00E37D04">
              <w:rPr>
                <w:b/>
              </w:rPr>
              <w:fldChar w:fldCharType="begin">
                <w:fldData xml:space="preserve">PEVuZE5vdGU+PENpdGU+PEF1dGhvcj5WYW4gSG9ybjwvQXV0aG9yPjxZZWFyPjIwMTg8L1llYXI+
PFJlY051bT4xMzc2PC9SZWNOdW0+PERpc3BsYXlUZXh0PjxzdHlsZSBmYWNlPSJzdXBlcnNjcmlw
dCIgZm9udD0iVHJlYnVjaGV0IE1TIiBzaXplPSI5Ij41MDU8L3N0eWxlPjwvRGlzcGxheVRleHQ+
PHJlY29yZD48cmVjLW51bWJlcj4xMzc2PC9yZWMtbnVtYmVyPjxmb3JlaWduLWtleXM+PGtleSBh
cHA9IkVOIiBkYi1pZD0iZXh2YXNyZngyZHRyYW9lc2FzeHAyc3pzeGEyZGY1MDI1OTJ4IiB0aW1l
c3RhbXA9IjE1NjcwMzU5ODciPjEzNzY8L2tleT48a2V5IGFwcD0iRU5XZWIiIGRiLWlkPSIiPjA8
L2tleT48L2ZvcmVpZ24ta2V5cz48cmVmLXR5cGUgbmFtZT0iSm91cm5hbCBBcnRpY2xlIj4xNzwv
cmVmLXR5cGU+PGNvbnRyaWJ1dG9ycz48YXV0aG9ycz48YXV0aG9yPlZhbiBIb3JuLCBMLjwvYXV0
aG9yPjxhdXRob3I+UGVhY2VtYW4sIEEuPC9hdXRob3I+PGF1dGhvcj5Ld2FzbnksIE0uPC9hdXRo
b3I+PGF1dGhvcj5WaW5jZW50LCBFLjwvYXV0aG9yPjxhdXRob3I+Rm91Z2h0LCBBLjwvYXV0aG9y
PjxhdXRob3I+Sm9zZWZzb24sIEouPC9hdXRob3I+PGF1dGhvcj5TcHJpbmcsIEIuPC9hdXRob3I+
PGF1dGhvcj5OZWZmLCBMLiBNLjwvYXV0aG9yPjxhdXRob3I+R2VybmhvZmVyLCBOLjwvYXV0aG9y
PjwvYXV0aG9ycz48L2NvbnRyaWJ1dG9ycz48YXV0aC1hZGRyZXNzPkRlcGFydG1lbnQgb2YgUHJl
dmVudGl2ZSBNZWRpY2luZSwgTm9ydGh3ZXN0ZXJuIFVuaXZlcnNpdHkgRmVpbmJlcmcgU2Nob29s
IG9mIE1lZGljaW5lLCBDaGljYWdvLCBJbGxpbm9pcy4gRWxlY3Ryb25pYyBhZGRyZXNzOiBsdmFu
aG9ybkBub3J0aHdlc3Rlcm4uZWR1LiYjeEQ7RGVwYXJ0bWVudCBvZiBPYnN0ZXRyaWNzIGFuZCBH
eW5lY29sb2d5LCBOb3J0aHdlc3Rlcm4gVW5pdmVyc2l0eSBGZWluYmVyZyBTY2hvb2wgb2YgTWVk
aWNpbmUsIENoaWNhZ28sIElsbGlub2lzLiYjeEQ7RGVwYXJ0bWVudCBvZiBQcmV2ZW50aXZlIE1l
ZGljaW5lLCBOb3J0aHdlc3Rlcm4gVW5pdmVyc2l0eSBGZWluYmVyZyBTY2hvb2wgb2YgTWVkaWNp
bmUsIENoaWNhZ28sIElsbGlub2lzLiYjeEQ7RGVwYXJ0bWVudCBvZiBQcmV2ZW50aXZlIE1lZGlj
aW5lLCBOb3J0aHdlc3Rlcm4gVW5pdmVyc2l0eSBGZWluYmVyZyBTY2hvb2wgb2YgTWVkaWNpbmUs
IENoaWNhZ28sIElsbGlub2lzOyBBbm4gYW5kIFJvYmVydCBILiBMdXJpZSBDaGlsZHJlbiZhcG9z
O3MgSG9zcGl0YWwgb2YgQ2hpY2FnbywgQ2hpY2FnbywgSWxsaW5vaXMuJiN4RDtEZXBhcnRtZW50
IG9mIE1lZGljaW5lLCBOb3J0aHdlc3Rlcm4gVW5pdmVyc2l0eSBGZWluYmVyZyBTY2hvb2wgb2Yg
TWVkaWNpbmUsIENoaWNhZ28sIElsbGlub2lzLjwvYXV0aC1hZGRyZXNzPjx0aXRsZXM+PHRpdGxl
PkRpZXRhcnkgQXBwcm9hY2hlcyB0byBTdG9wIEh5cGVydGVuc2lvbiBEaWV0IGFuZCBBY3Rpdml0
eSB0byBMaW1pdCBHZXN0YXRpb25hbCBXZWlnaHQ6IE1hdGVybmFsIE9mZnNwcmluZyBNZXRhYm9s
aWNzIEZhbWlseSBJbnRlcnZlbnRpb24gVHJpYWwsIGEgVGVjaG5vbG9neSBFbmhhbmNlZCBSYW5k
b21pemVkIFRyaWFsPC90aXRsZT48c2Vjb25kYXJ5LXRpdGxlPkFtIEogUHJldiBNZWQ8L3NlY29u
ZGFyeS10aXRsZT48L3RpdGxlcz48cGVyaW9kaWNhbD48ZnVsbC10aXRsZT5BbSBKIFByZXYgTWVk
PC9mdWxsLXRpdGxlPjwvcGVyaW9kaWNhbD48cGFnZXM+NjAzLTYxNDwvcGFnZXM+PHZvbHVtZT41
NTwvdm9sdW1lPjxudW1iZXI+NTwvbnVtYmVyPjxlZGl0aW9uPjIwMTgvMDkvMjk8L2VkaXRpb24+
PGRhdGVzPjx5ZWFyPjIwMTg8L3llYXI+PHB1Yi1kYXRlcz48ZGF0ZT5Ob3Y8L2RhdGU+PC9wdWIt
ZGF0ZXM+PC9kYXRlcz48aXNibj4xODczLTI2MDcgKEVsZWN0cm9uaWMpJiN4RDswNzQ5LTM3OTcg
KExpbmtpbmcpPC9pc2JuPjxhY2Nlc3Npb24tbnVtPjMwMjYyMTQ4PC9hY2Nlc3Npb24tbnVtPjx1
cmxzPjxyZWxhdGVkLXVybHM+PHVybD5odHRwczovL3d3dy5uY2JpLm5sbS5uaWguZ292L3B1Ym1l
ZC8zMDI2MjE0ODwvdXJsPjwvcmVsYXRlZC11cmxzPjwvdXJscz48ZWxlY3Ryb25pYy1yZXNvdXJj
ZS1udW0+MTAuMTAxNi9qLmFtZXByZS4yMDE4LjA2LjAxNTwvZWxlY3Ryb25pYy1yZXNvdXJjZS1u
dW0+PC9yZWNvcmQ+PC9DaXRlPjwvRW5kTm90ZT4A
</w:fldData>
              </w:fldChar>
            </w:r>
            <w:r w:rsidR="002747EA">
              <w:rPr>
                <w:b/>
              </w:rPr>
              <w:instrText xml:space="preserve"> ADDIN EN.CITE </w:instrText>
            </w:r>
            <w:r w:rsidR="002747EA">
              <w:rPr>
                <w:b/>
              </w:rPr>
              <w:fldChar w:fldCharType="begin">
                <w:fldData xml:space="preserve">PEVuZE5vdGU+PENpdGU+PEF1dGhvcj5WYW4gSG9ybjwvQXV0aG9yPjxZZWFyPjIwMTg8L1llYXI+
PFJlY051bT4xMzc2PC9SZWNOdW0+PERpc3BsYXlUZXh0PjxzdHlsZSBmYWNlPSJzdXBlcnNjcmlw
dCIgZm9udD0iVHJlYnVjaGV0IE1TIiBzaXplPSI5Ij41MDU8L3N0eWxlPjwvRGlzcGxheVRleHQ+
PHJlY29yZD48cmVjLW51bWJlcj4xMzc2PC9yZWMtbnVtYmVyPjxmb3JlaWduLWtleXM+PGtleSBh
cHA9IkVOIiBkYi1pZD0iZXh2YXNyZngyZHRyYW9lc2FzeHAyc3pzeGEyZGY1MDI1OTJ4IiB0aW1l
c3RhbXA9IjE1NjcwMzU5ODciPjEzNzY8L2tleT48a2V5IGFwcD0iRU5XZWIiIGRiLWlkPSIiPjA8
L2tleT48L2ZvcmVpZ24ta2V5cz48cmVmLXR5cGUgbmFtZT0iSm91cm5hbCBBcnRpY2xlIj4xNzwv
cmVmLXR5cGU+PGNvbnRyaWJ1dG9ycz48YXV0aG9ycz48YXV0aG9yPlZhbiBIb3JuLCBMLjwvYXV0
aG9yPjxhdXRob3I+UGVhY2VtYW4sIEEuPC9hdXRob3I+PGF1dGhvcj5Ld2FzbnksIE0uPC9hdXRo
b3I+PGF1dGhvcj5WaW5jZW50LCBFLjwvYXV0aG9yPjxhdXRob3I+Rm91Z2h0LCBBLjwvYXV0aG9y
PjxhdXRob3I+Sm9zZWZzb24sIEouPC9hdXRob3I+PGF1dGhvcj5TcHJpbmcsIEIuPC9hdXRob3I+
PGF1dGhvcj5OZWZmLCBMLiBNLjwvYXV0aG9yPjxhdXRob3I+R2VybmhvZmVyLCBOLjwvYXV0aG9y
PjwvYXV0aG9ycz48L2NvbnRyaWJ1dG9ycz48YXV0aC1hZGRyZXNzPkRlcGFydG1lbnQgb2YgUHJl
dmVudGl2ZSBNZWRpY2luZSwgTm9ydGh3ZXN0ZXJuIFVuaXZlcnNpdHkgRmVpbmJlcmcgU2Nob29s
IG9mIE1lZGljaW5lLCBDaGljYWdvLCBJbGxpbm9pcy4gRWxlY3Ryb25pYyBhZGRyZXNzOiBsdmFu
aG9ybkBub3J0aHdlc3Rlcm4uZWR1LiYjeEQ7RGVwYXJ0bWVudCBvZiBPYnN0ZXRyaWNzIGFuZCBH
eW5lY29sb2d5LCBOb3J0aHdlc3Rlcm4gVW5pdmVyc2l0eSBGZWluYmVyZyBTY2hvb2wgb2YgTWVk
aWNpbmUsIENoaWNhZ28sIElsbGlub2lzLiYjeEQ7RGVwYXJ0bWVudCBvZiBQcmV2ZW50aXZlIE1l
ZGljaW5lLCBOb3J0aHdlc3Rlcm4gVW5pdmVyc2l0eSBGZWluYmVyZyBTY2hvb2wgb2YgTWVkaWNp
bmUsIENoaWNhZ28sIElsbGlub2lzLiYjeEQ7RGVwYXJ0bWVudCBvZiBQcmV2ZW50aXZlIE1lZGlj
aW5lLCBOb3J0aHdlc3Rlcm4gVW5pdmVyc2l0eSBGZWluYmVyZyBTY2hvb2wgb2YgTWVkaWNpbmUs
IENoaWNhZ28sIElsbGlub2lzOyBBbm4gYW5kIFJvYmVydCBILiBMdXJpZSBDaGlsZHJlbiZhcG9z
O3MgSG9zcGl0YWwgb2YgQ2hpY2FnbywgQ2hpY2FnbywgSWxsaW5vaXMuJiN4RDtEZXBhcnRtZW50
IG9mIE1lZGljaW5lLCBOb3J0aHdlc3Rlcm4gVW5pdmVyc2l0eSBGZWluYmVyZyBTY2hvb2wgb2Yg
TWVkaWNpbmUsIENoaWNhZ28sIElsbGlub2lzLjwvYXV0aC1hZGRyZXNzPjx0aXRsZXM+PHRpdGxl
PkRpZXRhcnkgQXBwcm9hY2hlcyB0byBTdG9wIEh5cGVydGVuc2lvbiBEaWV0IGFuZCBBY3Rpdml0
eSB0byBMaW1pdCBHZXN0YXRpb25hbCBXZWlnaHQ6IE1hdGVybmFsIE9mZnNwcmluZyBNZXRhYm9s
aWNzIEZhbWlseSBJbnRlcnZlbnRpb24gVHJpYWwsIGEgVGVjaG5vbG9neSBFbmhhbmNlZCBSYW5k
b21pemVkIFRyaWFsPC90aXRsZT48c2Vjb25kYXJ5LXRpdGxlPkFtIEogUHJldiBNZWQ8L3NlY29u
ZGFyeS10aXRsZT48L3RpdGxlcz48cGVyaW9kaWNhbD48ZnVsbC10aXRsZT5BbSBKIFByZXYgTWVk
PC9mdWxsLXRpdGxlPjwvcGVyaW9kaWNhbD48cGFnZXM+NjAzLTYxNDwvcGFnZXM+PHZvbHVtZT41
NTwvdm9sdW1lPjxudW1iZXI+NTwvbnVtYmVyPjxlZGl0aW9uPjIwMTgvMDkvMjk8L2VkaXRpb24+
PGRhdGVzPjx5ZWFyPjIwMTg8L3llYXI+PHB1Yi1kYXRlcz48ZGF0ZT5Ob3Y8L2RhdGU+PC9wdWIt
ZGF0ZXM+PC9kYXRlcz48aXNibj4xODczLTI2MDcgKEVsZWN0cm9uaWMpJiN4RDswNzQ5LTM3OTcg
KExpbmtpbmcpPC9pc2JuPjxhY2Nlc3Npb24tbnVtPjMwMjYyMTQ4PC9hY2Nlc3Npb24tbnVtPjx1
cmxzPjxyZWxhdGVkLXVybHM+PHVybD5odHRwczovL3d3dy5uY2JpLm5sbS5uaWguZ292L3B1Ym1l
ZC8zMDI2MjE0ODwvdXJsPjwvcmVsYXRlZC11cmxzPjwvdXJscz48ZWxlY3Ryb25pYy1yZXNvdXJj
ZS1udW0+MTAuMTAxNi9qLmFtZXByZS4yMDE4LjA2LjAxNTwvZWxlY3Ryb25pYy1yZXNvdXJjZS1u
dW0+PC9yZWNvcmQ+PC9DaXRlPjwvRW5kTm90ZT4A
</w:fldData>
              </w:fldChar>
            </w:r>
            <w:r w:rsidR="002747EA">
              <w:rPr>
                <w:b/>
              </w:rPr>
              <w:instrText xml:space="preserve"> ADDIN EN.CITE.DATA </w:instrText>
            </w:r>
            <w:r w:rsidR="002747EA">
              <w:rPr>
                <w:b/>
              </w:rPr>
            </w:r>
            <w:r w:rsidR="002747EA">
              <w:rPr>
                <w:b/>
              </w:rPr>
              <w:fldChar w:fldCharType="end"/>
            </w:r>
            <w:r w:rsidR="00E37D04">
              <w:rPr>
                <w:b/>
              </w:rPr>
            </w:r>
            <w:r w:rsidR="00E37D04">
              <w:rPr>
                <w:b/>
              </w:rPr>
              <w:fldChar w:fldCharType="separate"/>
            </w:r>
            <w:r w:rsidR="002747EA" w:rsidRPr="002747EA">
              <w:rPr>
                <w:b/>
                <w:noProof/>
                <w:sz w:val="18"/>
                <w:vertAlign w:val="superscript"/>
              </w:rPr>
              <w:t>505</w:t>
            </w:r>
            <w:r w:rsidR="00E37D04">
              <w:rPr>
                <w:b/>
              </w:rPr>
              <w:fldChar w:fldCharType="end"/>
            </w:r>
          </w:p>
        </w:tc>
      </w:tr>
      <w:tr w:rsidR="009F7A26" w:rsidRPr="00822EBF" w14:paraId="70489761" w14:textId="77777777" w:rsidTr="005A5EBF">
        <w:trPr>
          <w:cantSplit/>
        </w:trPr>
        <w:tc>
          <w:tcPr>
            <w:tcW w:w="1560" w:type="dxa"/>
            <w:shd w:val="clear" w:color="D9E2F3" w:themeColor="accent1" w:themeTint="33" w:fill="auto"/>
          </w:tcPr>
          <w:p w14:paraId="55F9E1DD" w14:textId="77777777" w:rsidR="009F7A26" w:rsidRPr="00822EBF" w:rsidRDefault="009F7A26" w:rsidP="009F7A26">
            <w:pPr>
              <w:pStyle w:val="RCTstable"/>
              <w:keepNext/>
            </w:pPr>
            <w:r w:rsidRPr="00822EBF">
              <w:t>Random sequence generation</w:t>
            </w:r>
          </w:p>
        </w:tc>
        <w:tc>
          <w:tcPr>
            <w:tcW w:w="1275" w:type="dxa"/>
            <w:shd w:val="clear" w:color="D9E2F3" w:themeColor="accent1" w:themeTint="33" w:fill="70AD47" w:themeFill="accent6"/>
          </w:tcPr>
          <w:p w14:paraId="6E5AC6BB" w14:textId="77777777" w:rsidR="009F7A26" w:rsidRPr="00822EBF" w:rsidRDefault="009F7A26" w:rsidP="009F7A26">
            <w:pPr>
              <w:pStyle w:val="RCTstable"/>
              <w:keepNext/>
            </w:pPr>
            <w:r w:rsidRPr="00822EBF">
              <w:t>Low risk</w:t>
            </w:r>
          </w:p>
        </w:tc>
        <w:tc>
          <w:tcPr>
            <w:tcW w:w="11199" w:type="dxa"/>
            <w:shd w:val="clear" w:color="D9E2F3" w:themeColor="accent1" w:themeTint="33" w:fill="auto"/>
          </w:tcPr>
          <w:p w14:paraId="2B86DFE8" w14:textId="3DE24BE3" w:rsidR="009F7A26" w:rsidRPr="00921A06" w:rsidRDefault="009F7A26" w:rsidP="00921A06">
            <w:pPr>
              <w:pStyle w:val="RCTstable"/>
            </w:pPr>
            <w:r>
              <w:t>“</w:t>
            </w:r>
            <w:r w:rsidR="00921A06">
              <w:t>E</w:t>
            </w:r>
            <w:r w:rsidR="00921A06" w:rsidRPr="00921A06">
              <w:t>ligible pregnant women were randomized</w:t>
            </w:r>
            <w:r w:rsidR="00921A06">
              <w:t xml:space="preserve"> </w:t>
            </w:r>
            <w:r w:rsidR="00921A06" w:rsidRPr="00921A06">
              <w:t>at a 1:1 allocation in random blocks of four and six</w:t>
            </w:r>
            <w:r>
              <w:t>”</w:t>
            </w:r>
          </w:p>
        </w:tc>
      </w:tr>
      <w:tr w:rsidR="009F7A26" w:rsidRPr="00822EBF" w14:paraId="4225F430" w14:textId="77777777" w:rsidTr="005A5EBF">
        <w:trPr>
          <w:cantSplit/>
        </w:trPr>
        <w:tc>
          <w:tcPr>
            <w:tcW w:w="1560" w:type="dxa"/>
            <w:shd w:val="clear" w:color="D9E2F3" w:themeColor="accent1" w:themeTint="33" w:fill="auto"/>
          </w:tcPr>
          <w:p w14:paraId="2BE444BF" w14:textId="77777777" w:rsidR="009F7A26" w:rsidRPr="00822EBF" w:rsidRDefault="009F7A26" w:rsidP="009F7A26">
            <w:pPr>
              <w:pStyle w:val="RCTstable"/>
              <w:keepNext/>
            </w:pPr>
            <w:r w:rsidRPr="00822EBF">
              <w:t xml:space="preserve">Allocation concealment </w:t>
            </w:r>
          </w:p>
        </w:tc>
        <w:tc>
          <w:tcPr>
            <w:tcW w:w="1275" w:type="dxa"/>
            <w:shd w:val="clear" w:color="D9E2F3" w:themeColor="accent1" w:themeTint="33" w:fill="FFC000" w:themeFill="accent4"/>
          </w:tcPr>
          <w:p w14:paraId="6F2E2B6D" w14:textId="77777777" w:rsidR="009F7A26" w:rsidRPr="00822EBF" w:rsidRDefault="009F7A26" w:rsidP="009F7A26">
            <w:pPr>
              <w:pStyle w:val="RCTstable"/>
              <w:keepNext/>
            </w:pPr>
            <w:r w:rsidRPr="00822EBF">
              <w:t>Unclear risk</w:t>
            </w:r>
          </w:p>
        </w:tc>
        <w:tc>
          <w:tcPr>
            <w:tcW w:w="11199" w:type="dxa"/>
            <w:shd w:val="clear" w:color="D9E2F3" w:themeColor="accent1" w:themeTint="33" w:fill="auto"/>
          </w:tcPr>
          <w:p w14:paraId="5944DED8" w14:textId="77777777" w:rsidR="009F7A26" w:rsidRPr="00822EBF" w:rsidRDefault="009F7A26" w:rsidP="009F7A26">
            <w:pPr>
              <w:pStyle w:val="RCTstable"/>
              <w:keepNext/>
            </w:pPr>
            <w:r w:rsidRPr="00822EBF">
              <w:t>Not described</w:t>
            </w:r>
          </w:p>
        </w:tc>
      </w:tr>
      <w:tr w:rsidR="009F7A26" w:rsidRPr="00822EBF" w14:paraId="46863DF1" w14:textId="77777777" w:rsidTr="005A5EBF">
        <w:trPr>
          <w:cantSplit/>
        </w:trPr>
        <w:tc>
          <w:tcPr>
            <w:tcW w:w="1560" w:type="dxa"/>
            <w:shd w:val="clear" w:color="D9E2F3" w:themeColor="accent1" w:themeTint="33" w:fill="auto"/>
          </w:tcPr>
          <w:p w14:paraId="4515A89C" w14:textId="77777777" w:rsidR="009F7A26" w:rsidRPr="00822EBF" w:rsidRDefault="009F7A26" w:rsidP="009F7A26">
            <w:pPr>
              <w:pStyle w:val="RCTstable"/>
              <w:keepNext/>
            </w:pPr>
            <w:r w:rsidRPr="00822EBF">
              <w:t>Performance bias</w:t>
            </w:r>
          </w:p>
        </w:tc>
        <w:tc>
          <w:tcPr>
            <w:tcW w:w="1275" w:type="dxa"/>
            <w:shd w:val="clear" w:color="D9E2F3" w:themeColor="accent1" w:themeTint="33" w:fill="FFC000" w:themeFill="accent4"/>
          </w:tcPr>
          <w:p w14:paraId="6AF233F9" w14:textId="53026ED4" w:rsidR="009F7A26" w:rsidRPr="00822EBF" w:rsidRDefault="00F747B5" w:rsidP="009F7A26">
            <w:pPr>
              <w:pStyle w:val="RCTstable"/>
              <w:keepNext/>
            </w:pPr>
            <w:r>
              <w:t>Unclear</w:t>
            </w:r>
            <w:r w:rsidR="009F7A26" w:rsidRPr="00822EBF">
              <w:t xml:space="preserve"> risk</w:t>
            </w:r>
          </w:p>
        </w:tc>
        <w:tc>
          <w:tcPr>
            <w:tcW w:w="11199" w:type="dxa"/>
            <w:shd w:val="clear" w:color="D9E2F3" w:themeColor="accent1" w:themeTint="33" w:fill="auto"/>
          </w:tcPr>
          <w:p w14:paraId="68C0C659" w14:textId="23E42802" w:rsidR="009F7A26" w:rsidRPr="00822EBF" w:rsidRDefault="00F747B5" w:rsidP="009F7A26">
            <w:pPr>
              <w:pStyle w:val="RCTstable"/>
              <w:keepNext/>
            </w:pPr>
            <w:r>
              <w:t>Not described</w:t>
            </w:r>
          </w:p>
        </w:tc>
      </w:tr>
      <w:tr w:rsidR="009F7A26" w:rsidRPr="00822EBF" w14:paraId="1FDB5913" w14:textId="77777777" w:rsidTr="005A5EBF">
        <w:trPr>
          <w:cantSplit/>
        </w:trPr>
        <w:tc>
          <w:tcPr>
            <w:tcW w:w="1560" w:type="dxa"/>
            <w:shd w:val="clear" w:color="D9E2F3" w:themeColor="accent1" w:themeTint="33" w:fill="auto"/>
          </w:tcPr>
          <w:p w14:paraId="270318D3" w14:textId="77777777" w:rsidR="009F7A26" w:rsidRPr="00822EBF" w:rsidRDefault="009F7A26" w:rsidP="009F7A26">
            <w:pPr>
              <w:pStyle w:val="RCTstable"/>
            </w:pPr>
            <w:r w:rsidRPr="00822EBF">
              <w:t>Detection bias</w:t>
            </w:r>
          </w:p>
        </w:tc>
        <w:tc>
          <w:tcPr>
            <w:tcW w:w="1275" w:type="dxa"/>
            <w:shd w:val="clear" w:color="D9E2F3" w:themeColor="accent1" w:themeTint="33" w:fill="70AD47" w:themeFill="accent6"/>
          </w:tcPr>
          <w:p w14:paraId="3CDC1B10" w14:textId="77777777" w:rsidR="009F7A26" w:rsidRPr="00822EBF" w:rsidRDefault="009F7A26" w:rsidP="009F7A26">
            <w:pPr>
              <w:pStyle w:val="RCTstable"/>
            </w:pPr>
            <w:r w:rsidRPr="00822EBF">
              <w:t>Low risk</w:t>
            </w:r>
          </w:p>
        </w:tc>
        <w:tc>
          <w:tcPr>
            <w:tcW w:w="11199" w:type="dxa"/>
            <w:shd w:val="clear" w:color="D9E2F3" w:themeColor="accent1" w:themeTint="33" w:fill="auto"/>
          </w:tcPr>
          <w:p w14:paraId="6307086E" w14:textId="1215295A" w:rsidR="009F7A26" w:rsidRPr="004706D0" w:rsidRDefault="009F7A26" w:rsidP="004706D0">
            <w:pPr>
              <w:pStyle w:val="RCTstable"/>
              <w:rPr>
                <w:sz w:val="14"/>
                <w:szCs w:val="14"/>
              </w:rPr>
            </w:pPr>
            <w:r>
              <w:t>“</w:t>
            </w:r>
            <w:r w:rsidR="004706D0" w:rsidRPr="004706D0">
              <w:t>Blinded study personnel collected all</w:t>
            </w:r>
            <w:r w:rsidR="004706D0">
              <w:t xml:space="preserve"> </w:t>
            </w:r>
            <w:r w:rsidR="004706D0" w:rsidRPr="004706D0">
              <w:rPr>
                <w:sz w:val="14"/>
                <w:szCs w:val="14"/>
              </w:rPr>
              <w:t>data</w:t>
            </w:r>
            <w:r w:rsidRPr="00822EBF">
              <w:t>.</w:t>
            </w:r>
            <w:r>
              <w:t>”</w:t>
            </w:r>
          </w:p>
        </w:tc>
      </w:tr>
      <w:tr w:rsidR="009F7A26" w:rsidRPr="00822EBF" w14:paraId="1D017861" w14:textId="77777777" w:rsidTr="005A5EBF">
        <w:trPr>
          <w:cantSplit/>
        </w:trPr>
        <w:tc>
          <w:tcPr>
            <w:tcW w:w="1560" w:type="dxa"/>
            <w:shd w:val="clear" w:color="D9E2F3" w:themeColor="accent1" w:themeTint="33" w:fill="auto"/>
          </w:tcPr>
          <w:p w14:paraId="3CF50412" w14:textId="77777777" w:rsidR="009F7A26" w:rsidRPr="00822EBF" w:rsidRDefault="009F7A26" w:rsidP="009F7A26">
            <w:pPr>
              <w:pStyle w:val="RCTstable"/>
            </w:pPr>
            <w:r w:rsidRPr="00822EBF">
              <w:t>Incomplete outcome data</w:t>
            </w:r>
          </w:p>
        </w:tc>
        <w:tc>
          <w:tcPr>
            <w:tcW w:w="1275" w:type="dxa"/>
            <w:shd w:val="clear" w:color="D9E2F3" w:themeColor="accent1" w:themeTint="33" w:fill="70AD47" w:themeFill="accent6"/>
          </w:tcPr>
          <w:p w14:paraId="1EA9FC09" w14:textId="77777777" w:rsidR="009F7A26" w:rsidRPr="00822EBF" w:rsidRDefault="009F7A26" w:rsidP="009F7A26">
            <w:pPr>
              <w:pStyle w:val="RCTstable"/>
            </w:pPr>
            <w:r w:rsidRPr="00822EBF">
              <w:t>Low risk</w:t>
            </w:r>
          </w:p>
        </w:tc>
        <w:tc>
          <w:tcPr>
            <w:tcW w:w="11199" w:type="dxa"/>
            <w:shd w:val="clear" w:color="D9E2F3" w:themeColor="accent1" w:themeTint="33" w:fill="auto"/>
          </w:tcPr>
          <w:p w14:paraId="7A36A268" w14:textId="233B26E0" w:rsidR="009F7A26" w:rsidRPr="000C73B3" w:rsidRDefault="000C73B3" w:rsidP="000C73B3">
            <w:pPr>
              <w:pStyle w:val="RCTstable"/>
            </w:pPr>
            <w:r>
              <w:t>After randomis</w:t>
            </w:r>
            <w:r w:rsidRPr="000C73B3">
              <w:t xml:space="preserve">ation, </w:t>
            </w:r>
            <w:r w:rsidRPr="000C73B3">
              <w:rPr>
                <w:rFonts w:ascii="Helvetica" w:hAnsi="Helvetica"/>
              </w:rPr>
              <w:t>fi</w:t>
            </w:r>
            <w:r w:rsidRPr="000C73B3">
              <w:t>ve participants experienced</w:t>
            </w:r>
            <w:r>
              <w:t xml:space="preserve"> </w:t>
            </w:r>
            <w:r w:rsidRPr="000C73B3">
              <w:t>pregnancy losses; hence for secondary outcomes, the</w:t>
            </w:r>
            <w:r>
              <w:t xml:space="preserve"> </w:t>
            </w:r>
            <w:r w:rsidRPr="000C73B3">
              <w:t>sample sizes vary.</w:t>
            </w:r>
          </w:p>
        </w:tc>
      </w:tr>
      <w:tr w:rsidR="009F7A26" w:rsidRPr="00822EBF" w14:paraId="69B9A8F6" w14:textId="77777777" w:rsidTr="005A5EBF">
        <w:trPr>
          <w:cantSplit/>
        </w:trPr>
        <w:tc>
          <w:tcPr>
            <w:tcW w:w="1560" w:type="dxa"/>
            <w:shd w:val="clear" w:color="D9E2F3" w:themeColor="accent1" w:themeTint="33" w:fill="auto"/>
          </w:tcPr>
          <w:p w14:paraId="5C73D9CF" w14:textId="77777777" w:rsidR="009F7A26" w:rsidRPr="00822EBF" w:rsidRDefault="009F7A26" w:rsidP="009F7A26">
            <w:pPr>
              <w:pStyle w:val="RCTstable"/>
            </w:pPr>
            <w:r w:rsidRPr="00822EBF">
              <w:t>Selective reporting</w:t>
            </w:r>
          </w:p>
        </w:tc>
        <w:tc>
          <w:tcPr>
            <w:tcW w:w="1275" w:type="dxa"/>
            <w:shd w:val="clear" w:color="D9E2F3" w:themeColor="accent1" w:themeTint="33" w:fill="70AD47" w:themeFill="accent6"/>
          </w:tcPr>
          <w:p w14:paraId="6377B95B" w14:textId="0919F548" w:rsidR="009F7A26" w:rsidRPr="00822EBF" w:rsidRDefault="000C73B3" w:rsidP="009F7A26">
            <w:pPr>
              <w:pStyle w:val="RCTstable"/>
            </w:pPr>
            <w:r>
              <w:t>Low</w:t>
            </w:r>
            <w:r w:rsidR="009F7A26" w:rsidRPr="00822EBF">
              <w:t xml:space="preserve"> risk</w:t>
            </w:r>
          </w:p>
        </w:tc>
        <w:tc>
          <w:tcPr>
            <w:tcW w:w="11199" w:type="dxa"/>
            <w:shd w:val="clear" w:color="D9E2F3" w:themeColor="accent1" w:themeTint="33" w:fill="auto"/>
          </w:tcPr>
          <w:p w14:paraId="030ECC20" w14:textId="77777777" w:rsidR="009F7A26" w:rsidRPr="00822EBF" w:rsidRDefault="009F7A26" w:rsidP="009F7A26">
            <w:pPr>
              <w:pStyle w:val="RCTstable"/>
            </w:pPr>
            <w:r w:rsidRPr="00822EBF">
              <w:t>All expected outcomes reported.</w:t>
            </w:r>
          </w:p>
        </w:tc>
      </w:tr>
      <w:tr w:rsidR="009F7A26" w:rsidRPr="00822EBF" w14:paraId="073004A0" w14:textId="77777777" w:rsidTr="005A5EBF">
        <w:trPr>
          <w:cantSplit/>
        </w:trPr>
        <w:tc>
          <w:tcPr>
            <w:tcW w:w="1560" w:type="dxa"/>
            <w:shd w:val="clear" w:color="D9E2F3" w:themeColor="accent1" w:themeTint="33" w:fill="auto"/>
          </w:tcPr>
          <w:p w14:paraId="1293CE33" w14:textId="77777777" w:rsidR="009F7A26" w:rsidRPr="00822EBF" w:rsidRDefault="009F7A26" w:rsidP="009F7A26">
            <w:pPr>
              <w:pStyle w:val="RCTstable"/>
            </w:pPr>
            <w:r w:rsidRPr="00822EBF">
              <w:t xml:space="preserve">Other limitations </w:t>
            </w:r>
          </w:p>
        </w:tc>
        <w:tc>
          <w:tcPr>
            <w:tcW w:w="1275" w:type="dxa"/>
            <w:shd w:val="clear" w:color="D9E2F3" w:themeColor="accent1" w:themeTint="33" w:fill="70AD47" w:themeFill="accent6"/>
          </w:tcPr>
          <w:p w14:paraId="4B5A2310" w14:textId="77777777" w:rsidR="009F7A26" w:rsidRPr="00822EBF" w:rsidRDefault="009F7A26" w:rsidP="009F7A26">
            <w:pPr>
              <w:pStyle w:val="RCTstable"/>
            </w:pPr>
            <w:r w:rsidRPr="00822EBF">
              <w:t>Low risk</w:t>
            </w:r>
          </w:p>
        </w:tc>
        <w:tc>
          <w:tcPr>
            <w:tcW w:w="11199" w:type="dxa"/>
            <w:shd w:val="clear" w:color="D9E2F3" w:themeColor="accent1" w:themeTint="33" w:fill="auto"/>
          </w:tcPr>
          <w:p w14:paraId="5C0000EA" w14:textId="77777777" w:rsidR="009F7A26" w:rsidRPr="00822EBF" w:rsidRDefault="009F7A26" w:rsidP="009F7A26">
            <w:pPr>
              <w:pStyle w:val="RCTstable"/>
            </w:pPr>
            <w:r w:rsidRPr="00822EBF">
              <w:t>None noted. Baseline characteristics comparable.</w:t>
            </w:r>
          </w:p>
        </w:tc>
      </w:tr>
      <w:tr w:rsidR="008E765F" w:rsidRPr="0048317A" w14:paraId="63CB01E6" w14:textId="77777777" w:rsidTr="005A5EBF">
        <w:trPr>
          <w:cantSplit/>
        </w:trPr>
        <w:tc>
          <w:tcPr>
            <w:tcW w:w="14034" w:type="dxa"/>
            <w:gridSpan w:val="3"/>
            <w:shd w:val="solid" w:color="D9E2F3" w:themeColor="accent1" w:themeTint="33" w:fill="auto"/>
          </w:tcPr>
          <w:p w14:paraId="25DB2945" w14:textId="7EF61F6F" w:rsidR="008E765F" w:rsidRPr="0048317A" w:rsidRDefault="008E765F" w:rsidP="002747EA">
            <w:pPr>
              <w:pStyle w:val="RCTstable"/>
              <w:keepNext/>
              <w:rPr>
                <w:b/>
              </w:rPr>
            </w:pPr>
            <w:r w:rsidRPr="0025597C">
              <w:rPr>
                <w:rFonts w:ascii="Century Gothic" w:hAnsi="Century Gothic"/>
                <w:b/>
                <w:noProof/>
              </w:rPr>
              <w:t>Vesco et al 2012</w:t>
            </w:r>
            <w:r>
              <w:rPr>
                <w:rFonts w:ascii="Century Gothic" w:hAnsi="Century Gothic"/>
                <w:noProof/>
              </w:rPr>
              <w:fldChar w:fldCharType="begin">
                <w:fldData xml:space="preserve">PEVuZE5vdGU+PENpdGU+PEF1dGhvcj5WZXNjbzwvQXV0aG9yPjxZZWFyPjIwMTI8L1llYXI+PFJl
Y051bT4xMTMwPC9SZWNOdW0+PERpc3BsYXlUZXh0PjxzdHlsZSBmYWNlPSJzdXBlcnNjcmlwdCIg
Zm9udD0iVHJlYnVjaGV0IE1TIiBzaXplPSI5Ij41MTQsNTU4LDU1OTwvc3R5bGU+PC9EaXNwbGF5
VGV4dD48cmVjb3JkPjxyZWMtbnVtYmVyPjExMzA8L3JlYy1udW1iZXI+PGZvcmVpZ24ta2V5cz48
a2V5IGFwcD0iRU4iIGRiLWlkPSJleHZhc3JmeDJkdHJhb2VzYXN4cDJzenN4YTJkZjUwMjU5Mngi
IHRpbWVzdGFtcD0iMTU1MzQwODk4NiI+MTEzMDwva2V5PjwvZm9yZWlnbi1rZXlzPjxyZWYtdHlw
ZSBuYW1lPSJKb3VybmFsIEFydGljbGUiPjE3PC9yZWYtdHlwZT48Y29udHJpYnV0b3JzPjxhdXRo
b3JzPjxhdXRob3I+VmVzY28sIEsuIEsuPC9hdXRob3I+PGF1dGhvcj5LYXJhbmphLCBOLjwvYXV0
aG9yPjxhdXRob3I+S2luZywgSi4gQy48L2F1dGhvcj48YXV0aG9yPkdpbGxtYW4sIE0uIFcuPC9h
dXRob3I+PGF1dGhvcj5QZXJyaW4sIE4uPC9hdXRob3I+PGF1dGhvcj5NY0V2b3ksIEMuPC9hdXRo
b3I+PGF1dGhvcj5FY2toYXJkdCwgQy48L2F1dGhvcj48YXV0aG9yPlNtaXRoLCBLLiBTLjwvYXV0
aG9yPjxhdXRob3I+U3RldmVucywgVi4gSi48L2F1dGhvcj48L2F1dGhvcnM+PC9jb250cmlidXRv
cnM+PGF1dGgtYWRkcmVzcz5DZW50ZXIgZm9yIEhlYWx0aCBSZXNlYXJjaCwgS2Fpc2VyIFBlcm1h
bmVudGUsIE5vcnRod2VzdCwgUG9ydGxhbmQsIE9SIDk3MjI3LCBVU0EuIGtpbWJlcmx5LmsudmVz
Y29Aa3BjaHIub3JnPC9hdXRoLWFkZHJlc3M+PHRpdGxlcz48dGl0bGU+SGVhbHRoeSBNb21zLCBh
IHJhbmRvbWl6ZWQgdHJpYWwgdG8gcHJvbW90ZSBhbmQgZXZhbHVhdGUgd2VpZ2h0IG1haW50ZW5h
bmNlIGFtb25nIG9iZXNlIHByZWduYW50IHdvbWVuOiBzdHVkeSBkZXNpZ24gYW5kIHJhdGlvbmFs
ZTwvdGl0bGU+PHNlY29uZGFyeS10aXRsZT5Db250ZW1wIENsaW4gVHJpYWxzPC9zZWNvbmRhcnkt
dGl0bGU+PC90aXRsZXM+PHBlcmlvZGljYWw+PGZ1bGwtdGl0bGU+Q29udGVtcCBDbGluIFRyaWFs
czwvZnVsbC10aXRsZT48L3BlcmlvZGljYWw+PHBhZ2VzPjc3Ny04NTwvcGFnZXM+PHZvbHVtZT4z
Mzwvdm9sdW1lPjxudW1iZXI+NDwvbnVtYmVyPjxlZGl0aW9uPjIwMTIvMDQvMDM8L2VkaXRpb24+
PGtleXdvcmRzPjxrZXl3b3JkPkFkb2xlc2NlbnQ8L2tleXdvcmQ+PGtleXdvcmQ+QWR1bHQ8L2tl
eXdvcmQ+PGtleXdvcmQ+QmlydGggV2VpZ2h0PC9rZXl3b3JkPjxrZXl3b3JkPkNsaW5pY2FsIFBy
b3RvY29sczwva2V5d29yZD48a2V5d29yZD5Db21iaW5lZCBNb2RhbGl0eSBUaGVyYXB5PC9rZXl3
b3JkPjxrZXl3b3JkPkRpZXQgVGhlcmFweS8qbWV0aG9kczwva2V5d29yZD48a2V5d29yZD5FeGVy
Y2lzZSBUaGVyYXB5LyptZXRob2RzPC9rZXl3b3JkPjxrZXl3b3JkPkZlYXNpYmlsaXR5IFN0dWRp
ZXM8L2tleXdvcmQ+PGtleXdvcmQ+RmVtYWxlPC9rZXl3b3JkPjxrZXl3b3JkPkh1bWFuczwva2V5
d29yZD48a2V5d29yZD5JbmZhbnQsIE5ld2Jvcm48L2tleXdvcmQ+PGtleXdvcmQ+SW50ZW50aW9u
IHRvIFRyZWF0IEFuYWx5c2lzPC9rZXl3b3JkPjxrZXl3b3JkPkxvZ2lzdGljIE1vZGVsczwva2V5
d29yZD48a2V5d29yZD5PYmVzaXR5Lyp0aGVyYXB5PC9rZXl3b3JkPjxrZXl3b3JkPlByZWduYW5j
eTwva2V5d29yZD48a2V5d29yZD5QcmVnbmFuY3kgQ29tcGxpY2F0aW9ucy8qdGhlcmFweTwva2V5
d29yZD48a2V5d29yZD5Qc3ljaG90aGVyYXB5LCBHcm91cC8qbWV0aG9kczwva2V5d29yZD48a2V5
d29yZD5SZXNlYXJjaCBEZXNpZ248L2tleXdvcmQ+PGtleXdvcmQ+VHJlYXRtZW50IE91dGNvbWU8
L2tleXdvcmQ+PGtleXdvcmQ+V2VpZ2h0IEdhaW48L2tleXdvcmQ+PGtleXdvcmQ+WW91bmcgQWR1
bHQ8L2tleXdvcmQ+PC9rZXl3b3Jkcz48ZGF0ZXM+PHllYXI+MjAxMjwveWVhcj48cHViLWRhdGVz
PjxkYXRlPkp1bDwvZGF0ZT48L3B1Yi1kYXRlcz48L2RhdGVzPjxpc2JuPjE1NTktMjAzMCAoRWxl
Y3Ryb25pYykmI3hEOzE1NTEtNzE0NCAoTGlua2luZyk8L2lzYm4+PGFjY2Vzc2lvbi1udW0+MjI0
NjUyNTY8L2FjY2Vzc2lvbi1udW0+PHVybHM+PHJlbGF0ZWQtdXJscz48dXJsPmh0dHBzOi8vd3d3
Lm5jYmkubmxtLm5paC5nb3YvcHVibWVkLzIyNDY1MjU2PC91cmw+PC9yZWxhdGVkLXVybHM+PC91
cmxzPjxjdXN0b20yPlBNQzMzNjE1MTk8L2N1c3RvbTI+PGVsZWN0cm9uaWMtcmVzb3VyY2UtbnVt
PjEwLjEwMTYvai5jY3QuMjAxMi4wMy4wMDY8L2VsZWN0cm9uaWMtcmVzb3VyY2UtbnVtPjwvcmVj
b3JkPjwvQ2l0ZT48Q2l0ZT48QXV0aG9yPlZlc2NvPC9BdXRob3I+PFllYXI+MjAxNDwvWWVhcj48
UmVjTnVtPjExMjI8L1JlY051bT48cmVjb3JkPjxyZWMtbnVtYmVyPjExMjI8L3JlYy1udW1iZXI+
PGZvcmVpZ24ta2V5cz48a2V5IGFwcD0iRU4iIGRiLWlkPSJleHZhc3JmeDJkdHJhb2VzYXN4cDJz
enN4YTJkZjUwMjU5MngiIHRpbWVzdGFtcD0iMTU1MzQwODk4NiI+MTEyMjwva2V5PjwvZm9yZWln
bi1rZXlzPjxyZWYtdHlwZSBuYW1lPSJKb3VybmFsIEFydGljbGUiPjE3PC9yZWYtdHlwZT48Y29u
dHJpYnV0b3JzPjxhdXRob3JzPjxhdXRob3I+VmVzY28sIEsuIEsuPC9hdXRob3I+PGF1dGhvcj5L
YXJhbmphLCBOLjwvYXV0aG9yPjxhdXRob3I+S2luZywgSi4gQy48L2F1dGhvcj48YXV0aG9yPkdp
bGxtYW4sIE0uIFcuPC9hdXRob3I+PGF1dGhvcj5MZW8sIE0uIEMuPC9hdXRob3I+PGF1dGhvcj5Q
ZXJyaW4sIE4uPC9hdXRob3I+PGF1dGhvcj5NY0V2b3ksIEMuIFQuPC9hdXRob3I+PGF1dGhvcj5F
Y2toYXJkdCwgQy4gTC48L2F1dGhvcj48YXV0aG9yPlNtaXRoLCBLLiBTLjwvYXV0aG9yPjxhdXRo
b3I+U3RldmVucywgVi4gSi48L2F1dGhvcj48L2F1dGhvcnM+PC9jb250cmlidXRvcnM+PGF1dGgt
YWRkcmVzcz5DZW50ZXIgZm9yIEhlYWx0aCBSZXNlYXJjaCwgS2Fpc2VyIFBlcm1hbmVudGUsIE5v
cnRod2VzdCwgMzgwMCBOLiBJbnRlcnN0YXRlIEF2ZW51ZSwgUG9ydGxhbmQsIE9yZWdvbiwgOTcy
MjcsIFVTQTsgRGVwYXJ0bWVudCBvZiBPYnN0ZXRyaWNzIGFuZCBHeW5lY29sb2d5LCBLYWlzZXIg
UGVybWFuZW50ZSwgTm9ydGh3ZXN0LCA1MDAgTkUgTXVsdG5vbWFoIFN0cmVldCwgUG9ydGxhbmQs
IE9yZWdvbiwgOTcyMzIsIFVTQS48L2F1dGgtYWRkcmVzcz48dGl0bGVzPjx0aXRsZT5FZmZpY2Fj
eSBvZiBhIGdyb3VwLWJhc2VkIGRpZXRhcnkgaW50ZXJ2ZW50aW9uIGZvciBsaW1pdGluZyBnZXN0
YXRpb25hbCB3ZWlnaHQgZ2FpbiBhbW9uZyBvYmVzZSB3b21lbjogYSByYW5kb21pemVkIHRyaWFs
PC90aXRsZT48c2Vjb25kYXJ5LXRpdGxlPk9iZXNpdHkgKFNpbHZlciBTcHJpbmcpPC9zZWNvbmRh
cnktdGl0bGU+PC90aXRsZXM+PHBlcmlvZGljYWw+PGZ1bGwtdGl0bGU+T2Jlc2l0eSAoU2lsdmVy
IFNwcmluZyk8L2Z1bGwtdGl0bGU+PC9wZXJpb2RpY2FsPjxwYWdlcz4xOTg5LTk2PC9wYWdlcz48
dm9sdW1lPjIyPC92b2x1bWU+PG51bWJlcj45PC9udW1iZXI+PGVkaXRpb24+MjAxNC8wOC8yOTwv
ZWRpdGlvbj48a2V5d29yZHM+PGtleXdvcmQ+QWR1bHQ8L2tleXdvcmQ+PGtleXdvcmQ+QmlydGgg
V2VpZ2h0PC9rZXl3b3JkPjxrZXl3b3JkPkNvdW5zZWxpbmc8L2tleXdvcmQ+PGtleXdvcmQ+RW5l
cmd5IEludGFrZS9waHlzaW9sb2d5PC9rZXl3b3JkPjxrZXl3b3JkPkZlbWFsZTwva2V5d29yZD48
a2V5d29yZD5HZXN0YXRpb25hbCBBZ2U8L2tleXdvcmQ+PGtleXdvcmQ+Kkdyb3VwIFByb2Nlc3Nl
czwva2V5d29yZD48a2V5d29yZD5IdW1hbnM8L2tleXdvcmQ+PGtleXdvcmQ+SHlwZXJ0ZW5zaW9u
LCBQcmVnbmFuY3ktSW5kdWNlZC9wcmV2ZW50aW9uICZhbXA7IGNvbnRyb2w8L2tleXdvcmQ+PGtl
eXdvcmQ+SW5mYW50LCBOZXdib3JuPC9rZXl3b3JkPjxrZXl3b3JkPk9iZXNpdHkvKmRpZXQgdGhl
cmFweTwva2V5d29yZD48a2V5d29yZD5QcmVnbmFuY3k8L2tleXdvcmQ+PGtleXdvcmQ+UHJlZ25h
bmN5IENvbXBsaWNhdGlvbnMvKmRpZXQgdGhlcmFweS9wcmV2ZW50aW9uICZhbXA7IGNvbnRyb2w8
L2tleXdvcmQ+PGtleXdvcmQ+U2VsZi1IZWxwIEdyb3Vwczwva2V5d29yZD48a2V5d29yZD5UcmVh
dG1lbnQgT3V0Y29tZTwva2V5d29yZD48a2V5d29yZD4qV2VpZ2h0IEdhaW48L2tleXdvcmQ+PGtl
eXdvcmQ+WW91bmcgQWR1bHQ8L2tleXdvcmQ+PC9rZXl3b3Jkcz48ZGF0ZXM+PHllYXI+MjAxNDwv
eWVhcj48cHViLWRhdGVzPjxkYXRlPlNlcDwvZGF0ZT48L3B1Yi1kYXRlcz48L2RhdGVzPjxpc2Ju
PjE5MzAtNzM5WCAoRWxlY3Ryb25pYykmI3hEOzE5MzAtNzM4MSAoTGlua2luZyk8L2lzYm4+PGFj
Y2Vzc2lvbi1udW0+MjUxNjQyNTk8L2FjY2Vzc2lvbi1udW0+PHVybHM+PHJlbGF0ZWQtdXJscz48
dXJsPmh0dHBzOi8vd3d3Lm5jYmkubmxtLm5paC5nb3YvcHVibWVkLzI1MTY0MjU5PC91cmw+PC9y
ZWxhdGVkLXVybHM+PC91cmxzPjxjdXN0b20yPlBNQzQ0MDc4MTc8L2N1c3RvbTI+PGVsZWN0cm9u
aWMtcmVzb3VyY2UtbnVtPjEwLjEwMDIvb2J5LjIwODMxPC9lbGVjdHJvbmljLXJlc291cmNlLW51
bT48L3JlY29yZD48L0NpdGU+PENpdGU+PEF1dGhvcj5WZXNjbzwvQXV0aG9yPjxZZWFyPjIwMTY8
L1llYXI+PFJlY051bT4xMTE1PC9SZWNOdW0+PHJlY29yZD48cmVjLW51bWJlcj4xMTE1PC9yZWMt
bnVtYmVyPjxmb3JlaWduLWtleXM+PGtleSBhcHA9IkVOIiBkYi1pZD0iZXh2YXNyZngyZHRyYW9l
c2FzeHAyc3pzeGEyZGY1MDI1OTJ4IiB0aW1lc3RhbXA9IjE1NTM0MDg5ODYiPjExMTU8L2tleT48
L2ZvcmVpZ24ta2V5cz48cmVmLXR5cGUgbmFtZT0iSm91cm5hbCBBcnRpY2xlIj4xNzwvcmVmLXR5
cGU+PGNvbnRyaWJ1dG9ycz48YXV0aG9ycz48YXV0aG9yPlZlc2NvLCBLLiBLLjwvYXV0aG9yPjxh
dXRob3I+TGVvLCBNLiBDLjwvYXV0aG9yPjxhdXRob3I+S2FyYW5qYSwgTi48L2F1dGhvcj48YXV0
aG9yPkdpbGxtYW4sIE0uIFcuPC9hdXRob3I+PGF1dGhvcj5NY0V2b3ksIEMuIFQuPC9hdXRob3I+
PGF1dGhvcj5LaW5nLCBKLiBDLjwvYXV0aG9yPjxhdXRob3I+RWNraGFyZHQsIEMuIEwuPC9hdXRo
b3I+PGF1dGhvcj5TbWl0aCwgSy4gUy48L2F1dGhvcj48YXV0aG9yPlBlcnJpbiwgTi48L2F1dGhv
cj48YXV0aG9yPlN0ZXZlbnMsIFYuIEouPC9hdXRob3I+PC9hdXRob3JzPjwvY29udHJpYnV0b3Jz
PjxhdXRoLWFkZHJlc3M+Q2VudGVyIGZvciBIZWFsdGggUmVzZWFyY2gsIEthaXNlciBQZXJtYW5l
bnRlIE5vcnRod2VzdCwgUG9ydGxhbmQsIE9yZWdvbiwgVVNBLiBraW1iZXJseS5rLnZlc2NvQGtw
Y2hyLm9yZy4mI3hEO0RlcGFydG1lbnQgb2YgT2JzdGV0cmljcyAmYW1wOyBHeW5lY29sb2d5LCBL
YWlzZXIgUGVybWFuZW50ZSBOb3J0aHdlc3QsIFBvcnRsYW5kLCBPcmVnb24sIFVTQS4ga2ltYmVy
bHkuay52ZXNjb0BrcGNoci5vcmcuJiN4RDtDZW50ZXIgZm9yIEhlYWx0aCBSZXNlYXJjaCwgS2Fp
c2VyIFBlcm1hbmVudGUgTm9ydGh3ZXN0LCBQb3J0bGFuZCwgT3JlZ29uLCBVU0EuJiN4RDtPYmVz
aXR5IFByZXZlbnRpb24gUHJvZ3JhbSwgSGFydmFyZCBNZWRpY2FsIFNjaG9vbC9IYXJ2YXJkIFBp
bGdyaW0gSGVhbHRoIENhcmUgSW5zdGl0dXRlLCBCb3N0b24sIE1hc3NhY2h1c2V0dHMsIFVTQS4m
I3hEO09iZXNpdHkgUHJldmVudGlvbiBQcm9ncmFtLCBPcmVnb24gSGVhbHRoICZhbXA7IFNjaWVu
Y2UgVW5pdmVyc2l0eSwgUG9ydGxhbmQsIE9yZWdvbiwgVVNBLiYjeEQ7UGVkaWF0cmljIGFuZCBD
aGlsZCBIZWFsdGggUmVzZWFyY2ggUHJvZ3JhbSwgQ2hpbGRyZW4mYXBvcztzIEhvc3BpdGFsIE9h
a2xhbmQgUmVzZWFyY2ggSW5zdGl0dXRlLCBPYWtsYW5kLCBDYWxpZm9ybmlhLCBVU0EuJiN4RDtT
Y2hvb2wgb2YgQ29tbXVuaXR5IEhlYWx0aCwgUG9ydGxhbmQgU3RhdGUgVW5pdmVyc2l0eSwgUG9y
dGxhbmQsIE9yZWdvbiwgVVNBLjwvYXV0aC1hZGRyZXNzPjx0aXRsZXM+PHRpdGxlPk9uZS15ZWFy
IHBvc3RwYXJ0dW0gb3V0Y29tZXMgZm9sbG93aW5nIGEgd2VpZ2h0IG1hbmFnZW1lbnQgaW50ZXJ2
ZW50aW9uIGluIHByZWduYW50IHdvbWVuIHdpdGggb2Jlc2l0eTwvdGl0bGU+PHNlY29uZGFyeS10
aXRsZT5PYmVzaXR5IChTaWx2ZXIgU3ByaW5nKTwvc2Vjb25kYXJ5LXRpdGxlPjwvdGl0bGVzPjxw
ZXJpb2RpY2FsPjxmdWxsLXRpdGxlPk9iZXNpdHkgKFNpbHZlciBTcHJpbmcpPC9mdWxsLXRpdGxl
PjwvcGVyaW9kaWNhbD48cGFnZXM+MjA0Mi05PC9wYWdlcz48dm9sdW1lPjI0PC92b2x1bWU+PG51
bWJlcj4xMDwvbnVtYmVyPjxlZGl0aW9uPjIwMTYvMDkvMjg8L2VkaXRpb24+PGtleXdvcmRzPjxr
ZXl3b3JkPkFkdWx0PC9rZXl3b3JkPjxrZXl3b3JkPkJvZHkgTWFzcyBJbmRleDwva2V5d29yZD48
a2V5d29yZD5Db3Vuc2VsaW5nLyptZXRob2RzPC9rZXl3b3JkPjxrZXl3b3JkPkRpZXQvc3RhdGlz
dGljcyAmYW1wOyBudW1lcmljYWwgZGF0YTwva2V5d29yZD48a2V5d29yZD5GZW1hbGU8L2tleXdv
cmQ+PGtleXdvcmQ+R2VzdGF0aW9uYWwgQWdlPC9rZXl3b3JkPjxrZXl3b3JkPkh1bWFuczwva2V5
d29yZD48a2V5d29yZD5JbmZhbnQsIE5ld2Jvcm48L2tleXdvcmQ+PGtleXdvcmQ+TW90aGVyczwv
a2V5d29yZD48a2V5d29yZD5PYmVzaXR5Lyp0aGVyYXB5PC9rZXl3b3JkPjxrZXl3b3JkPlBvc3Ru
YXRhbCBDYXJlLyptZXRob2RzPC9rZXl3b3JkPjxrZXl3b3JkPlByZWduYW5jeTwva2V5d29yZD48
a2V5d29yZD5QcmVnbmFuY3kgQ29tcGxpY2F0aW9ucy9wcmV2ZW50aW9uICZhbXA7IGNvbnRyb2wv
KnRoZXJhcHk8L2tleXdvcmQ+PGtleXdvcmQ+UHJlbmF0YWwgQ2FyZS8qbWV0aG9kczwva2V5d29y
ZD48a2V5d29yZD5UcmVhdG1lbnQgT3V0Y29tZTwva2V5d29yZD48a2V5d29yZD5XZWlnaHQgR2Fp
bjwva2V5d29yZD48a2V5d29yZD5XZWlnaHQgUmVkdWN0aW9uIFByb2dyYW1zLyptZXRob2RzPC9r
ZXl3b3JkPjwva2V5d29yZHM+PGRhdGVzPjx5ZWFyPjIwMTY8L3llYXI+PHB1Yi1kYXRlcz48ZGF0
ZT5PY3Q8L2RhdGU+PC9wdWItZGF0ZXM+PC9kYXRlcz48aXNibj4xOTMwLTczOVggKEVsZWN0cm9u
aWMpJiN4RDsxOTMwLTczODEgKExpbmtpbmcpPC9pc2JuPjxhY2Nlc3Npb24tbnVtPjI3NjcwMzk5
PC9hY2Nlc3Npb24tbnVtPjx1cmxzPjxyZWxhdGVkLXVybHM+PHVybD5odHRwczovL3d3dy5uY2Jp
Lm5sbS5uaWguZ292L3B1Ym1lZC8yNzY3MDM5OTwvdXJsPjwvcmVsYXRlZC11cmxzPjwvdXJscz48
Y3VzdG9tMj5QTUM1MDg0OTEwPC9jdXN0b20yPjxlbGVjdHJvbmljLXJlc291cmNlLW51bT4xMC4x
MDAyL29ieS4yMTU5NzwvZWxlY3Ryb25pYy1yZXNvdXJjZS1udW0+PC9yZWNvcmQ+PC9DaXRlPjwv
RW5kTm90ZT5=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PEVuZE5vdGU+PENpdGU+PEF1dGhvcj5WZXNjbzwvQXV0aG9yPjxZZWFyPjIwMTI8L1llYXI+PFJl
Y051bT4xMTMwPC9SZWNOdW0+PERpc3BsYXlUZXh0PjxzdHlsZSBmYWNlPSJzdXBlcnNjcmlwdCIg
Zm9udD0iVHJlYnVjaGV0IE1TIiBzaXplPSI5Ij41MTQsNTU4LDU1OTwvc3R5bGU+PC9EaXNwbGF5
VGV4dD48cmVjb3JkPjxyZWMtbnVtYmVyPjExMzA8L3JlYy1udW1iZXI+PGZvcmVpZ24ta2V5cz48
a2V5IGFwcD0iRU4iIGRiLWlkPSJleHZhc3JmeDJkdHJhb2VzYXN4cDJzenN4YTJkZjUwMjU5Mngi
IHRpbWVzdGFtcD0iMTU1MzQwODk4NiI+MTEzMDwva2V5PjwvZm9yZWlnbi1rZXlzPjxyZWYtdHlw
ZSBuYW1lPSJKb3VybmFsIEFydGljbGUiPjE3PC9yZWYtdHlwZT48Y29udHJpYnV0b3JzPjxhdXRo
b3JzPjxhdXRob3I+VmVzY28sIEsuIEsuPC9hdXRob3I+PGF1dGhvcj5LYXJhbmphLCBOLjwvYXV0
aG9yPjxhdXRob3I+S2luZywgSi4gQy48L2F1dGhvcj48YXV0aG9yPkdpbGxtYW4sIE0uIFcuPC9h
dXRob3I+PGF1dGhvcj5QZXJyaW4sIE4uPC9hdXRob3I+PGF1dGhvcj5NY0V2b3ksIEMuPC9hdXRo
b3I+PGF1dGhvcj5FY2toYXJkdCwgQy48L2F1dGhvcj48YXV0aG9yPlNtaXRoLCBLLiBTLjwvYXV0
aG9yPjxhdXRob3I+U3RldmVucywgVi4gSi48L2F1dGhvcj48L2F1dGhvcnM+PC9jb250cmlidXRv
cnM+PGF1dGgtYWRkcmVzcz5DZW50ZXIgZm9yIEhlYWx0aCBSZXNlYXJjaCwgS2Fpc2VyIFBlcm1h
bmVudGUsIE5vcnRod2VzdCwgUG9ydGxhbmQsIE9SIDk3MjI3LCBVU0EuIGtpbWJlcmx5LmsudmVz
Y29Aa3BjaHIub3JnPC9hdXRoLWFkZHJlc3M+PHRpdGxlcz48dGl0bGU+SGVhbHRoeSBNb21zLCBh
IHJhbmRvbWl6ZWQgdHJpYWwgdG8gcHJvbW90ZSBhbmQgZXZhbHVhdGUgd2VpZ2h0IG1haW50ZW5h
bmNlIGFtb25nIG9iZXNlIHByZWduYW50IHdvbWVuOiBzdHVkeSBkZXNpZ24gYW5kIHJhdGlvbmFs
ZTwvdGl0bGU+PHNlY29uZGFyeS10aXRsZT5Db250ZW1wIENsaW4gVHJpYWxzPC9zZWNvbmRhcnkt
dGl0bGU+PC90aXRsZXM+PHBlcmlvZGljYWw+PGZ1bGwtdGl0bGU+Q29udGVtcCBDbGluIFRyaWFs
czwvZnVsbC10aXRsZT48L3BlcmlvZGljYWw+PHBhZ2VzPjc3Ny04NTwvcGFnZXM+PHZvbHVtZT4z
Mzwvdm9sdW1lPjxudW1iZXI+NDwvbnVtYmVyPjxlZGl0aW9uPjIwMTIvMDQvMDM8L2VkaXRpb24+
PGtleXdvcmRzPjxrZXl3b3JkPkFkb2xlc2NlbnQ8L2tleXdvcmQ+PGtleXdvcmQ+QWR1bHQ8L2tl
eXdvcmQ+PGtleXdvcmQ+QmlydGggV2VpZ2h0PC9rZXl3b3JkPjxrZXl3b3JkPkNsaW5pY2FsIFBy
b3RvY29sczwva2V5d29yZD48a2V5d29yZD5Db21iaW5lZCBNb2RhbGl0eSBUaGVyYXB5PC9rZXl3
b3JkPjxrZXl3b3JkPkRpZXQgVGhlcmFweS8qbWV0aG9kczwva2V5d29yZD48a2V5d29yZD5FeGVy
Y2lzZSBUaGVyYXB5LyptZXRob2RzPC9rZXl3b3JkPjxrZXl3b3JkPkZlYXNpYmlsaXR5IFN0dWRp
ZXM8L2tleXdvcmQ+PGtleXdvcmQ+RmVtYWxlPC9rZXl3b3JkPjxrZXl3b3JkPkh1bWFuczwva2V5
d29yZD48a2V5d29yZD5JbmZhbnQsIE5ld2Jvcm48L2tleXdvcmQ+PGtleXdvcmQ+SW50ZW50aW9u
IHRvIFRyZWF0IEFuYWx5c2lzPC9rZXl3b3JkPjxrZXl3b3JkPkxvZ2lzdGljIE1vZGVsczwva2V5
d29yZD48a2V5d29yZD5PYmVzaXR5Lyp0aGVyYXB5PC9rZXl3b3JkPjxrZXl3b3JkPlByZWduYW5j
eTwva2V5d29yZD48a2V5d29yZD5QcmVnbmFuY3kgQ29tcGxpY2F0aW9ucy8qdGhlcmFweTwva2V5
d29yZD48a2V5d29yZD5Qc3ljaG90aGVyYXB5LCBHcm91cC8qbWV0aG9kczwva2V5d29yZD48a2V5
d29yZD5SZXNlYXJjaCBEZXNpZ248L2tleXdvcmQ+PGtleXdvcmQ+VHJlYXRtZW50IE91dGNvbWU8
L2tleXdvcmQ+PGtleXdvcmQ+V2VpZ2h0IEdhaW48L2tleXdvcmQ+PGtleXdvcmQ+WW91bmcgQWR1
bHQ8L2tleXdvcmQ+PC9rZXl3b3Jkcz48ZGF0ZXM+PHllYXI+MjAxMjwveWVhcj48cHViLWRhdGVz
PjxkYXRlPkp1bDwvZGF0ZT48L3B1Yi1kYXRlcz48L2RhdGVzPjxpc2JuPjE1NTktMjAzMCAoRWxl
Y3Ryb25pYykmI3hEOzE1NTEtNzE0NCAoTGlua2luZyk8L2lzYm4+PGFjY2Vzc2lvbi1udW0+MjI0
NjUyNTY8L2FjY2Vzc2lvbi1udW0+PHVybHM+PHJlbGF0ZWQtdXJscz48dXJsPmh0dHBzOi8vd3d3
Lm5jYmkubmxtLm5paC5nb3YvcHVibWVkLzIyNDY1MjU2PC91cmw+PC9yZWxhdGVkLXVybHM+PC91
cmxzPjxjdXN0b20yPlBNQzMzNjE1MTk8L2N1c3RvbTI+PGVsZWN0cm9uaWMtcmVzb3VyY2UtbnVt
PjEwLjEwMTYvai5jY3QuMjAxMi4wMy4wMDY8L2VsZWN0cm9uaWMtcmVzb3VyY2UtbnVtPjwvcmVj
b3JkPjwvQ2l0ZT48Q2l0ZT48QXV0aG9yPlZlc2NvPC9BdXRob3I+PFllYXI+MjAxNDwvWWVhcj48
UmVjTnVtPjExMjI8L1JlY051bT48cmVjb3JkPjxyZWMtbnVtYmVyPjExMjI8L3JlYy1udW1iZXI+
PGZvcmVpZ24ta2V5cz48a2V5IGFwcD0iRU4iIGRiLWlkPSJleHZhc3JmeDJkdHJhb2VzYXN4cDJz
enN4YTJkZjUwMjU5MngiIHRpbWVzdGFtcD0iMTU1MzQwODk4NiI+MTEyMjwva2V5PjwvZm9yZWln
bi1rZXlzPjxyZWYtdHlwZSBuYW1lPSJKb3VybmFsIEFydGljbGUiPjE3PC9yZWYtdHlwZT48Y29u
dHJpYnV0b3JzPjxhdXRob3JzPjxhdXRob3I+VmVzY28sIEsuIEsuPC9hdXRob3I+PGF1dGhvcj5L
YXJhbmphLCBOLjwvYXV0aG9yPjxhdXRob3I+S2luZywgSi4gQy48L2F1dGhvcj48YXV0aG9yPkdp
bGxtYW4sIE0uIFcuPC9hdXRob3I+PGF1dGhvcj5MZW8sIE0uIEMuPC9hdXRob3I+PGF1dGhvcj5Q
ZXJyaW4sIE4uPC9hdXRob3I+PGF1dGhvcj5NY0V2b3ksIEMuIFQuPC9hdXRob3I+PGF1dGhvcj5F
Y2toYXJkdCwgQy4gTC48L2F1dGhvcj48YXV0aG9yPlNtaXRoLCBLLiBTLjwvYXV0aG9yPjxhdXRo
b3I+U3RldmVucywgVi4gSi48L2F1dGhvcj48L2F1dGhvcnM+PC9jb250cmlidXRvcnM+PGF1dGgt
YWRkcmVzcz5DZW50ZXIgZm9yIEhlYWx0aCBSZXNlYXJjaCwgS2Fpc2VyIFBlcm1hbmVudGUsIE5v
cnRod2VzdCwgMzgwMCBOLiBJbnRlcnN0YXRlIEF2ZW51ZSwgUG9ydGxhbmQsIE9yZWdvbiwgOTcy
MjcsIFVTQTsgRGVwYXJ0bWVudCBvZiBPYnN0ZXRyaWNzIGFuZCBHeW5lY29sb2d5LCBLYWlzZXIg
UGVybWFuZW50ZSwgTm9ydGh3ZXN0LCA1MDAgTkUgTXVsdG5vbWFoIFN0cmVldCwgUG9ydGxhbmQs
IE9yZWdvbiwgOTcyMzIsIFVTQS48L2F1dGgtYWRkcmVzcz48dGl0bGVzPjx0aXRsZT5FZmZpY2Fj
eSBvZiBhIGdyb3VwLWJhc2VkIGRpZXRhcnkgaW50ZXJ2ZW50aW9uIGZvciBsaW1pdGluZyBnZXN0
YXRpb25hbCB3ZWlnaHQgZ2FpbiBhbW9uZyBvYmVzZSB3b21lbjogYSByYW5kb21pemVkIHRyaWFs
PC90aXRsZT48c2Vjb25kYXJ5LXRpdGxlPk9iZXNpdHkgKFNpbHZlciBTcHJpbmcpPC9zZWNvbmRh
cnktdGl0bGU+PC90aXRsZXM+PHBlcmlvZGljYWw+PGZ1bGwtdGl0bGU+T2Jlc2l0eSAoU2lsdmVy
IFNwcmluZyk8L2Z1bGwtdGl0bGU+PC9wZXJpb2RpY2FsPjxwYWdlcz4xOTg5LTk2PC9wYWdlcz48
dm9sdW1lPjIyPC92b2x1bWU+PG51bWJlcj45PC9udW1iZXI+PGVkaXRpb24+MjAxNC8wOC8yOTwv
ZWRpdGlvbj48a2V5d29yZHM+PGtleXdvcmQ+QWR1bHQ8L2tleXdvcmQ+PGtleXdvcmQ+QmlydGgg
V2VpZ2h0PC9rZXl3b3JkPjxrZXl3b3JkPkNvdW5zZWxpbmc8L2tleXdvcmQ+PGtleXdvcmQ+RW5l
cmd5IEludGFrZS9waHlzaW9sb2d5PC9rZXl3b3JkPjxrZXl3b3JkPkZlbWFsZTwva2V5d29yZD48
a2V5d29yZD5HZXN0YXRpb25hbCBBZ2U8L2tleXdvcmQ+PGtleXdvcmQ+Kkdyb3VwIFByb2Nlc3Nl
czwva2V5d29yZD48a2V5d29yZD5IdW1hbnM8L2tleXdvcmQ+PGtleXdvcmQ+SHlwZXJ0ZW5zaW9u
LCBQcmVnbmFuY3ktSW5kdWNlZC9wcmV2ZW50aW9uICZhbXA7IGNvbnRyb2w8L2tleXdvcmQ+PGtl
eXdvcmQ+SW5mYW50LCBOZXdib3JuPC9rZXl3b3JkPjxrZXl3b3JkPk9iZXNpdHkvKmRpZXQgdGhl
cmFweTwva2V5d29yZD48a2V5d29yZD5QcmVnbmFuY3k8L2tleXdvcmQ+PGtleXdvcmQ+UHJlZ25h
bmN5IENvbXBsaWNhdGlvbnMvKmRpZXQgdGhlcmFweS9wcmV2ZW50aW9uICZhbXA7IGNvbnRyb2w8
L2tleXdvcmQ+PGtleXdvcmQ+U2VsZi1IZWxwIEdyb3Vwczwva2V5d29yZD48a2V5d29yZD5UcmVh
dG1lbnQgT3V0Y29tZTwva2V5d29yZD48a2V5d29yZD4qV2VpZ2h0IEdhaW48L2tleXdvcmQ+PGtl
eXdvcmQ+WW91bmcgQWR1bHQ8L2tleXdvcmQ+PC9rZXl3b3Jkcz48ZGF0ZXM+PHllYXI+MjAxNDwv
eWVhcj48cHViLWRhdGVzPjxkYXRlPlNlcDwvZGF0ZT48L3B1Yi1kYXRlcz48L2RhdGVzPjxpc2Ju
PjE5MzAtNzM5WCAoRWxlY3Ryb25pYykmI3hEOzE5MzAtNzM4MSAoTGlua2luZyk8L2lzYm4+PGFj
Y2Vzc2lvbi1udW0+MjUxNjQyNTk8L2FjY2Vzc2lvbi1udW0+PHVybHM+PHJlbGF0ZWQtdXJscz48
dXJsPmh0dHBzOi8vd3d3Lm5jYmkubmxtLm5paC5nb3YvcHVibWVkLzI1MTY0MjU5PC91cmw+PC9y
ZWxhdGVkLXVybHM+PC91cmxzPjxjdXN0b20yPlBNQzQ0MDc4MTc8L2N1c3RvbTI+PGVsZWN0cm9u
aWMtcmVzb3VyY2UtbnVtPjEwLjEwMDIvb2J5LjIwODMxPC9lbGVjdHJvbmljLXJlc291cmNlLW51
bT48L3JlY29yZD48L0NpdGU+PENpdGU+PEF1dGhvcj5WZXNjbzwvQXV0aG9yPjxZZWFyPjIwMTY8
L1llYXI+PFJlY051bT4xMTE1PC9SZWNOdW0+PHJlY29yZD48cmVjLW51bWJlcj4xMTE1PC9yZWMt
bnVtYmVyPjxmb3JlaWduLWtleXM+PGtleSBhcHA9IkVOIiBkYi1pZD0iZXh2YXNyZngyZHRyYW9l
c2FzeHAyc3pzeGEyZGY1MDI1OTJ4IiB0aW1lc3RhbXA9IjE1NTM0MDg5ODYiPjExMTU8L2tleT48
L2ZvcmVpZ24ta2V5cz48cmVmLXR5cGUgbmFtZT0iSm91cm5hbCBBcnRpY2xlIj4xNzwvcmVmLXR5
cGU+PGNvbnRyaWJ1dG9ycz48YXV0aG9ycz48YXV0aG9yPlZlc2NvLCBLLiBLLjwvYXV0aG9yPjxh
dXRob3I+TGVvLCBNLiBDLjwvYXV0aG9yPjxhdXRob3I+S2FyYW5qYSwgTi48L2F1dGhvcj48YXV0
aG9yPkdpbGxtYW4sIE0uIFcuPC9hdXRob3I+PGF1dGhvcj5NY0V2b3ksIEMuIFQuPC9hdXRob3I+
PGF1dGhvcj5LaW5nLCBKLiBDLjwvYXV0aG9yPjxhdXRob3I+RWNraGFyZHQsIEMuIEwuPC9hdXRo
b3I+PGF1dGhvcj5TbWl0aCwgSy4gUy48L2F1dGhvcj48YXV0aG9yPlBlcnJpbiwgTi48L2F1dGhv
cj48YXV0aG9yPlN0ZXZlbnMsIFYuIEouPC9hdXRob3I+PC9hdXRob3JzPjwvY29udHJpYnV0b3Jz
PjxhdXRoLWFkZHJlc3M+Q2VudGVyIGZvciBIZWFsdGggUmVzZWFyY2gsIEthaXNlciBQZXJtYW5l
bnRlIE5vcnRod2VzdCwgUG9ydGxhbmQsIE9yZWdvbiwgVVNBLiBraW1iZXJseS5rLnZlc2NvQGtw
Y2hyLm9yZy4mI3hEO0RlcGFydG1lbnQgb2YgT2JzdGV0cmljcyAmYW1wOyBHeW5lY29sb2d5LCBL
YWlzZXIgUGVybWFuZW50ZSBOb3J0aHdlc3QsIFBvcnRsYW5kLCBPcmVnb24sIFVTQS4ga2ltYmVy
bHkuay52ZXNjb0BrcGNoci5vcmcuJiN4RDtDZW50ZXIgZm9yIEhlYWx0aCBSZXNlYXJjaCwgS2Fp
c2VyIFBlcm1hbmVudGUgTm9ydGh3ZXN0LCBQb3J0bGFuZCwgT3JlZ29uLCBVU0EuJiN4RDtPYmVz
aXR5IFByZXZlbnRpb24gUHJvZ3JhbSwgSGFydmFyZCBNZWRpY2FsIFNjaG9vbC9IYXJ2YXJkIFBp
bGdyaW0gSGVhbHRoIENhcmUgSW5zdGl0dXRlLCBCb3N0b24sIE1hc3NhY2h1c2V0dHMsIFVTQS4m
I3hEO09iZXNpdHkgUHJldmVudGlvbiBQcm9ncmFtLCBPcmVnb24gSGVhbHRoICZhbXA7IFNjaWVu
Y2UgVW5pdmVyc2l0eSwgUG9ydGxhbmQsIE9yZWdvbiwgVVNBLiYjeEQ7UGVkaWF0cmljIGFuZCBD
aGlsZCBIZWFsdGggUmVzZWFyY2ggUHJvZ3JhbSwgQ2hpbGRyZW4mYXBvcztzIEhvc3BpdGFsIE9h
a2xhbmQgUmVzZWFyY2ggSW5zdGl0dXRlLCBPYWtsYW5kLCBDYWxpZm9ybmlhLCBVU0EuJiN4RDtT
Y2hvb2wgb2YgQ29tbXVuaXR5IEhlYWx0aCwgUG9ydGxhbmQgU3RhdGUgVW5pdmVyc2l0eSwgUG9y
dGxhbmQsIE9yZWdvbiwgVVNBLjwvYXV0aC1hZGRyZXNzPjx0aXRsZXM+PHRpdGxlPk9uZS15ZWFy
IHBvc3RwYXJ0dW0gb3V0Y29tZXMgZm9sbG93aW5nIGEgd2VpZ2h0IG1hbmFnZW1lbnQgaW50ZXJ2
ZW50aW9uIGluIHByZWduYW50IHdvbWVuIHdpdGggb2Jlc2l0eTwvdGl0bGU+PHNlY29uZGFyeS10
aXRsZT5PYmVzaXR5IChTaWx2ZXIgU3ByaW5nKTwvc2Vjb25kYXJ5LXRpdGxlPjwvdGl0bGVzPjxw
ZXJpb2RpY2FsPjxmdWxsLXRpdGxlPk9iZXNpdHkgKFNpbHZlciBTcHJpbmcpPC9mdWxsLXRpdGxl
PjwvcGVyaW9kaWNhbD48cGFnZXM+MjA0Mi05PC9wYWdlcz48dm9sdW1lPjI0PC92b2x1bWU+PG51
bWJlcj4xMDwvbnVtYmVyPjxlZGl0aW9uPjIwMTYvMDkvMjg8L2VkaXRpb24+PGtleXdvcmRzPjxr
ZXl3b3JkPkFkdWx0PC9rZXl3b3JkPjxrZXl3b3JkPkJvZHkgTWFzcyBJbmRleDwva2V5d29yZD48
a2V5d29yZD5Db3Vuc2VsaW5nLyptZXRob2RzPC9rZXl3b3JkPjxrZXl3b3JkPkRpZXQvc3RhdGlz
dGljcyAmYW1wOyBudW1lcmljYWwgZGF0YTwva2V5d29yZD48a2V5d29yZD5GZW1hbGU8L2tleXdv
cmQ+PGtleXdvcmQ+R2VzdGF0aW9uYWwgQWdlPC9rZXl3b3JkPjxrZXl3b3JkPkh1bWFuczwva2V5
d29yZD48a2V5d29yZD5JbmZhbnQsIE5ld2Jvcm48L2tleXdvcmQ+PGtleXdvcmQ+TW90aGVyczwv
a2V5d29yZD48a2V5d29yZD5PYmVzaXR5Lyp0aGVyYXB5PC9rZXl3b3JkPjxrZXl3b3JkPlBvc3Ru
YXRhbCBDYXJlLyptZXRob2RzPC9rZXl3b3JkPjxrZXl3b3JkPlByZWduYW5jeTwva2V5d29yZD48
a2V5d29yZD5QcmVnbmFuY3kgQ29tcGxpY2F0aW9ucy9wcmV2ZW50aW9uICZhbXA7IGNvbnRyb2wv
KnRoZXJhcHk8L2tleXdvcmQ+PGtleXdvcmQ+UHJlbmF0YWwgQ2FyZS8qbWV0aG9kczwva2V5d29y
ZD48a2V5d29yZD5UcmVhdG1lbnQgT3V0Y29tZTwva2V5d29yZD48a2V5d29yZD5XZWlnaHQgR2Fp
bjwva2V5d29yZD48a2V5d29yZD5XZWlnaHQgUmVkdWN0aW9uIFByb2dyYW1zLyptZXRob2RzPC9r
ZXl3b3JkPjwva2V5d29yZHM+PGRhdGVzPjx5ZWFyPjIwMTY8L3llYXI+PHB1Yi1kYXRlcz48ZGF0
ZT5PY3Q8L2RhdGU+PC9wdWItZGF0ZXM+PC9kYXRlcz48aXNibj4xOTMwLTczOVggKEVsZWN0cm9u
aWMpJiN4RDsxOTMwLTczODEgKExpbmtpbmcpPC9pc2JuPjxhY2Nlc3Npb24tbnVtPjI3NjcwMzk5
PC9hY2Nlc3Npb24tbnVtPjx1cmxzPjxyZWxhdGVkLXVybHM+PHVybD5odHRwczovL3d3dy5uY2Jp
Lm5sbS5uaWguZ292L3B1Ym1lZC8yNzY3MDM5OTwvdXJsPjwvcmVsYXRlZC11cmxzPjwvdXJscz48
Y3VzdG9tMj5QTUM1MDg0OTEwPC9jdXN0b20yPjxlbGVjdHJvbmljLXJlc291cmNlLW51bT4xMC4x
MDAyL29ieS4yMTU5NzwvZWxlY3Ryb25pYy1yZXNvdXJjZS1udW0+PC9yZWNvcmQ+PC9DaXRlPjwv
RW5kTm90ZT5=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514,558,559</w:t>
            </w:r>
            <w:r>
              <w:rPr>
                <w:rFonts w:ascii="Century Gothic" w:hAnsi="Century Gothic"/>
                <w:noProof/>
              </w:rPr>
              <w:fldChar w:fldCharType="end"/>
            </w:r>
          </w:p>
        </w:tc>
      </w:tr>
      <w:tr w:rsidR="008E765F" w:rsidRPr="00822EBF" w14:paraId="5636A966" w14:textId="77777777" w:rsidTr="005A5EBF">
        <w:trPr>
          <w:cantSplit/>
        </w:trPr>
        <w:tc>
          <w:tcPr>
            <w:tcW w:w="1560" w:type="dxa"/>
            <w:shd w:val="clear" w:color="D9E2F3" w:themeColor="accent1" w:themeTint="33" w:fill="auto"/>
          </w:tcPr>
          <w:p w14:paraId="7E14B97B" w14:textId="77777777" w:rsidR="008E765F" w:rsidRPr="00822EBF" w:rsidRDefault="008E765F" w:rsidP="00E37D04">
            <w:pPr>
              <w:pStyle w:val="RCTstable"/>
              <w:keepNext/>
            </w:pPr>
            <w:r w:rsidRPr="00822EBF">
              <w:t>Random sequence generation</w:t>
            </w:r>
          </w:p>
        </w:tc>
        <w:tc>
          <w:tcPr>
            <w:tcW w:w="1275" w:type="dxa"/>
            <w:shd w:val="clear" w:color="D9E2F3" w:themeColor="accent1" w:themeTint="33" w:fill="70AD47" w:themeFill="accent6"/>
          </w:tcPr>
          <w:p w14:paraId="7C1C9738" w14:textId="77777777" w:rsidR="008E765F" w:rsidRPr="00822EBF" w:rsidRDefault="008E765F" w:rsidP="00E37D04">
            <w:pPr>
              <w:pStyle w:val="RCTstable"/>
              <w:keepNext/>
            </w:pPr>
            <w:r w:rsidRPr="00822EBF">
              <w:t>Low risk</w:t>
            </w:r>
          </w:p>
        </w:tc>
        <w:tc>
          <w:tcPr>
            <w:tcW w:w="11199" w:type="dxa"/>
            <w:shd w:val="clear" w:color="D9E2F3" w:themeColor="accent1" w:themeTint="33" w:fill="auto"/>
          </w:tcPr>
          <w:p w14:paraId="6FE24324" w14:textId="77777777" w:rsidR="008E765F" w:rsidRPr="00822EBF" w:rsidRDefault="008E765F" w:rsidP="00E37D04">
            <w:pPr>
              <w:pStyle w:val="RCTstable"/>
              <w:keepNext/>
            </w:pPr>
            <w:r w:rsidRPr="00822EBF">
              <w:t>”Randomisation ...using a computerised algorithm to generate the random assignments in blocks of four.“</w:t>
            </w:r>
          </w:p>
        </w:tc>
      </w:tr>
      <w:tr w:rsidR="008E765F" w:rsidRPr="00822EBF" w14:paraId="72BD4CB1" w14:textId="77777777" w:rsidTr="005A5EBF">
        <w:trPr>
          <w:cantSplit/>
        </w:trPr>
        <w:tc>
          <w:tcPr>
            <w:tcW w:w="1560" w:type="dxa"/>
            <w:shd w:val="clear" w:color="D9E2F3" w:themeColor="accent1" w:themeTint="33" w:fill="auto"/>
          </w:tcPr>
          <w:p w14:paraId="0A0D887F" w14:textId="77777777" w:rsidR="008E765F" w:rsidRPr="00822EBF" w:rsidRDefault="008E765F" w:rsidP="00E37D04">
            <w:pPr>
              <w:pStyle w:val="RCTstable"/>
              <w:keepNext/>
            </w:pPr>
            <w:r w:rsidRPr="00822EBF">
              <w:t xml:space="preserve">Allocation concealment </w:t>
            </w:r>
          </w:p>
        </w:tc>
        <w:tc>
          <w:tcPr>
            <w:tcW w:w="1275" w:type="dxa"/>
            <w:shd w:val="clear" w:color="D9E2F3" w:themeColor="accent1" w:themeTint="33" w:fill="FFC000" w:themeFill="accent4"/>
          </w:tcPr>
          <w:p w14:paraId="443A2CD4" w14:textId="77777777" w:rsidR="008E765F" w:rsidRPr="00822EBF" w:rsidRDefault="008E765F" w:rsidP="00E37D04">
            <w:pPr>
              <w:pStyle w:val="RCTstable"/>
              <w:keepNext/>
            </w:pPr>
            <w:r w:rsidRPr="00822EBF">
              <w:t>Unclear risk</w:t>
            </w:r>
          </w:p>
        </w:tc>
        <w:tc>
          <w:tcPr>
            <w:tcW w:w="11199" w:type="dxa"/>
            <w:shd w:val="clear" w:color="D9E2F3" w:themeColor="accent1" w:themeTint="33" w:fill="auto"/>
          </w:tcPr>
          <w:p w14:paraId="06D69FCE" w14:textId="77777777" w:rsidR="008E765F" w:rsidRPr="00822EBF" w:rsidRDefault="008E765F" w:rsidP="00E37D04">
            <w:pPr>
              <w:pStyle w:val="RCTstable"/>
              <w:keepNext/>
            </w:pPr>
            <w:r w:rsidRPr="00822EBF">
              <w:t>Not described</w:t>
            </w:r>
          </w:p>
        </w:tc>
      </w:tr>
      <w:tr w:rsidR="008E765F" w:rsidRPr="00822EBF" w14:paraId="403FCF77" w14:textId="77777777" w:rsidTr="005A5EBF">
        <w:trPr>
          <w:cantSplit/>
        </w:trPr>
        <w:tc>
          <w:tcPr>
            <w:tcW w:w="1560" w:type="dxa"/>
            <w:shd w:val="clear" w:color="D9E2F3" w:themeColor="accent1" w:themeTint="33" w:fill="auto"/>
          </w:tcPr>
          <w:p w14:paraId="63341E9B" w14:textId="77777777" w:rsidR="008E765F" w:rsidRPr="00822EBF" w:rsidRDefault="008E765F" w:rsidP="00E37D04">
            <w:pPr>
              <w:pStyle w:val="RCTstable"/>
              <w:keepNext/>
            </w:pPr>
            <w:r w:rsidRPr="00822EBF">
              <w:t>Performance bias</w:t>
            </w:r>
          </w:p>
        </w:tc>
        <w:tc>
          <w:tcPr>
            <w:tcW w:w="1275" w:type="dxa"/>
            <w:shd w:val="clear" w:color="D9E2F3" w:themeColor="accent1" w:themeTint="33" w:fill="FFC000" w:themeFill="accent4"/>
          </w:tcPr>
          <w:p w14:paraId="61870755" w14:textId="77777777" w:rsidR="008E765F" w:rsidRPr="00822EBF" w:rsidRDefault="008E765F" w:rsidP="00E37D04">
            <w:pPr>
              <w:pStyle w:val="RCTstable"/>
              <w:keepNext/>
            </w:pPr>
            <w:r w:rsidRPr="00822EBF">
              <w:t>Unclear risk</w:t>
            </w:r>
          </w:p>
        </w:tc>
        <w:tc>
          <w:tcPr>
            <w:tcW w:w="11199" w:type="dxa"/>
            <w:shd w:val="clear" w:color="D9E2F3" w:themeColor="accent1" w:themeTint="33" w:fill="auto"/>
          </w:tcPr>
          <w:p w14:paraId="14313EB8" w14:textId="77777777" w:rsidR="008E765F" w:rsidRPr="00822EBF" w:rsidRDefault="008E765F" w:rsidP="00E37D04">
            <w:pPr>
              <w:pStyle w:val="RCTstable"/>
              <w:keepNext/>
            </w:pPr>
            <w:r w:rsidRPr="00822EBF">
              <w:t>Not described</w:t>
            </w:r>
          </w:p>
        </w:tc>
      </w:tr>
      <w:tr w:rsidR="008E765F" w:rsidRPr="00822EBF" w14:paraId="39455103" w14:textId="77777777" w:rsidTr="005A5EBF">
        <w:trPr>
          <w:cantSplit/>
        </w:trPr>
        <w:tc>
          <w:tcPr>
            <w:tcW w:w="1560" w:type="dxa"/>
            <w:shd w:val="clear" w:color="D9E2F3" w:themeColor="accent1" w:themeTint="33" w:fill="auto"/>
          </w:tcPr>
          <w:p w14:paraId="6B06F207"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047FE2AB"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392771CB" w14:textId="77777777" w:rsidR="008E765F" w:rsidRPr="00822EBF" w:rsidRDefault="008E765F" w:rsidP="00611251">
            <w:pPr>
              <w:pStyle w:val="RCTstable"/>
            </w:pPr>
            <w:r w:rsidRPr="00822EBF">
              <w:t>Not described</w:t>
            </w:r>
          </w:p>
        </w:tc>
      </w:tr>
      <w:tr w:rsidR="008E765F" w:rsidRPr="00822EBF" w14:paraId="68B56A7C" w14:textId="77777777" w:rsidTr="005A5EBF">
        <w:trPr>
          <w:cantSplit/>
        </w:trPr>
        <w:tc>
          <w:tcPr>
            <w:tcW w:w="1560" w:type="dxa"/>
            <w:shd w:val="clear" w:color="D9E2F3" w:themeColor="accent1" w:themeTint="33" w:fill="auto"/>
          </w:tcPr>
          <w:p w14:paraId="3341B8E2" w14:textId="77777777" w:rsidR="008E765F" w:rsidRPr="00822EBF" w:rsidRDefault="008E765F" w:rsidP="00611251">
            <w:pPr>
              <w:pStyle w:val="RCTstable"/>
            </w:pPr>
            <w:r w:rsidRPr="00822EBF">
              <w:t>Incomplete outcome data</w:t>
            </w:r>
          </w:p>
        </w:tc>
        <w:tc>
          <w:tcPr>
            <w:tcW w:w="1275" w:type="dxa"/>
            <w:shd w:val="clear" w:color="D9E2F3" w:themeColor="accent1" w:themeTint="33" w:fill="FFC000" w:themeFill="accent4"/>
          </w:tcPr>
          <w:p w14:paraId="7B5E72F1"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16C7445" w14:textId="77777777" w:rsidR="008E765F" w:rsidRPr="00822EBF" w:rsidRDefault="008E765F" w:rsidP="00611251">
            <w:pPr>
              <w:pStyle w:val="RCTstable"/>
            </w:pPr>
            <w:r w:rsidRPr="00822EBF">
              <w:t>Good follow-up achieved.</w:t>
            </w:r>
          </w:p>
        </w:tc>
      </w:tr>
      <w:tr w:rsidR="008E765F" w:rsidRPr="00822EBF" w14:paraId="5AC69294" w14:textId="77777777" w:rsidTr="005A5EBF">
        <w:trPr>
          <w:cantSplit/>
        </w:trPr>
        <w:tc>
          <w:tcPr>
            <w:tcW w:w="1560" w:type="dxa"/>
            <w:shd w:val="clear" w:color="D9E2F3" w:themeColor="accent1" w:themeTint="33" w:fill="auto"/>
          </w:tcPr>
          <w:p w14:paraId="12C2F4C9"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5C357F69"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B65C86C" w14:textId="77777777" w:rsidR="008E765F" w:rsidRPr="00822EBF" w:rsidRDefault="008E765F" w:rsidP="00611251">
            <w:pPr>
              <w:pStyle w:val="RCTstable"/>
            </w:pPr>
            <w:r w:rsidRPr="00822EBF">
              <w:t>Prespecified outcomes were reported. ITT analysis.</w:t>
            </w:r>
          </w:p>
        </w:tc>
      </w:tr>
      <w:tr w:rsidR="008E765F" w:rsidRPr="00822EBF" w14:paraId="17F31D1B" w14:textId="77777777" w:rsidTr="005A5EBF">
        <w:trPr>
          <w:cantSplit/>
        </w:trPr>
        <w:tc>
          <w:tcPr>
            <w:tcW w:w="1560" w:type="dxa"/>
            <w:shd w:val="clear" w:color="D9E2F3" w:themeColor="accent1" w:themeTint="33" w:fill="auto"/>
          </w:tcPr>
          <w:p w14:paraId="0EF20C37"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76CB424A"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6EBB0671" w14:textId="77777777" w:rsidR="008E765F" w:rsidRPr="00822EBF" w:rsidRDefault="008E765F" w:rsidP="00611251">
            <w:pPr>
              <w:pStyle w:val="RCTstable"/>
            </w:pPr>
            <w:r w:rsidRPr="00822EBF">
              <w:t>Follow-up weight gain data were collected at 34 weeks (i.e. earlier than most other included studies)</w:t>
            </w:r>
          </w:p>
        </w:tc>
      </w:tr>
      <w:tr w:rsidR="008E765F" w:rsidRPr="0048317A" w14:paraId="5C448DFF" w14:textId="77777777" w:rsidTr="005A5EBF">
        <w:trPr>
          <w:cantSplit/>
        </w:trPr>
        <w:tc>
          <w:tcPr>
            <w:tcW w:w="14034" w:type="dxa"/>
            <w:gridSpan w:val="3"/>
            <w:shd w:val="solid" w:color="D9E2F3" w:themeColor="accent1" w:themeTint="33" w:fill="auto"/>
          </w:tcPr>
          <w:p w14:paraId="64B0589E" w14:textId="5B445418" w:rsidR="008E765F" w:rsidRPr="0048317A" w:rsidRDefault="008E765F" w:rsidP="002747EA">
            <w:pPr>
              <w:pStyle w:val="RCTstable"/>
              <w:keepNext/>
              <w:rPr>
                <w:b/>
              </w:rPr>
            </w:pPr>
            <w:r w:rsidRPr="0025597C">
              <w:rPr>
                <w:rFonts w:ascii="Century Gothic" w:hAnsi="Century Gothic"/>
                <w:b/>
                <w:noProof/>
              </w:rPr>
              <w:t>Vinter et al 2011</w:t>
            </w:r>
            <w:r>
              <w:rPr>
                <w:rFonts w:ascii="Century Gothic" w:hAnsi="Century Gothic"/>
                <w:noProof/>
              </w:rPr>
              <w:fldChar w:fldCharType="begin">
                <w:fldData xml:space="preserve">PEVuZE5vdGU+PENpdGU+PEF1dGhvcj5WaW50ZXI8L0F1dGhvcj48WWVhcj4yMDExPC9ZZWFyPjxS
ZWNOdW0+MTExMTwvUmVjTnVtPjxEaXNwbGF5VGV4dD48c3R5bGUgZmFjZT0ic3VwZXJzY3JpcHQi
IGZvbnQ9IlRyZWJ1Y2hldCBNUyIgc2l6ZT0iOSI+NTE1LDU2MCw1NjE8L3N0eWxlPjwvRGlzcGxh
eVRleHQ+PHJlY29yZD48cmVjLW51bWJlcj4xMTExPC9yZWMtbnVtYmVyPjxmb3JlaWduLWtleXM+
PGtleSBhcHA9IkVOIiBkYi1pZD0iZXh2YXNyZngyZHRyYW9lc2FzeHAyc3pzeGEyZGY1MDI1OTJ4
IiB0aW1lc3RhbXA9IjE1NTI5NDg2MTciPjExMTE8L2tleT48L2ZvcmVpZ24ta2V5cz48cmVmLXR5
cGUgbmFtZT0iSm91cm5hbCBBcnRpY2xlIj4xNzwvcmVmLXR5cGU+PGNvbnRyaWJ1dG9ycz48YXV0
aG9ycz48YXV0aG9yPlZpbnRlciwgQy4gQS48L2F1dGhvcj48YXV0aG9yPkplbnNlbiwgRC4gTS48
L2F1dGhvcj48YXV0aG9yPk92ZXNlbiwgUC48L2F1dGhvcj48YXV0aG9yPkJlY2stTmllbHNlbiwg
SC48L2F1dGhvcj48YXV0aG9yPkpvcmdlbnNlbiwgSi4gUy48L2F1dGhvcj48L2F1dGhvcnM+PC9j
b250cmlidXRvcnM+PGF1dGgtYWRkcmVzcz5EZXBhcnRtZW50IG9mIEd5bmVjb2xvZ3kgYW5kIE9i
c3RldHJpY3MsIE9kZW5zZSBVbml2ZXJzaXR5IEhvc3BpdGFsLCBPZGVuc2UsIERlbm1hcmsuIGMu
dmludGVyQGRhZGxuZXQuZGs8L2F1dGgtYWRkcmVzcz48dGl0bGVzPjx0aXRsZT5UaGUgTGlQIChM
aWZlc3R5bGUgaW4gUHJlZ25hbmN5KSBzdHVkeTogYSByYW5kb21pemVkIGNvbnRyb2xsZWQgdHJp
YWwgb2YgbGlmZXN0eWxlIGludGVydmVudGlvbiBpbiAzNjAgb2Jlc2UgcHJlZ25hbnQgd29tZW48
L3RpdGxlPjxzZWNvbmRhcnktdGl0bGU+RGlhYmV0ZXMgQ2FyZTwvc2Vjb25kYXJ5LXRpdGxlPjwv
dGl0bGVzPjxwZXJpb2RpY2FsPjxmdWxsLXRpdGxlPkRpYWJldGVzIENhcmU8L2Z1bGwtdGl0bGU+
PC9wZXJpb2RpY2FsPjxwYWdlcz4yNTAyLTc8L3BhZ2VzPjx2b2x1bWU+MzQ8L3ZvbHVtZT48bnVt
YmVyPjEyPC9udW1iZXI+PGVkaXRpb24+MjAxMS8xMC8wNjwvZWRpdGlvbj48a2V5d29yZHM+PGtl
eXdvcmQ+QWRvbGVzY2VudDwva2V5d29yZD48a2V5d29yZD5BZHVsdDwva2V5d29yZD48a2V5d29y
ZD5EZW5tYXJrPC9rZXl3b3JkPjxrZXl3b3JkPkRpcmVjdGl2ZSBDb3Vuc2VsaW5nPC9rZXl3b3Jk
PjxrZXl3b3JkPkZlbWFsZTwva2V5d29yZD48a2V5d29yZD5IdW1hbnM8L2tleXdvcmQ+PGtleXdv
cmQ+KkxpZmUgU3R5bGU8L2tleXdvcmQ+PGtleXdvcmQ+TW90b3IgQWN0aXZpdHk8L2tleXdvcmQ+
PGtleXdvcmQ+T2Jlc2l0eS9kaWV0IHRoZXJhcHkvKnRoZXJhcHk8L2tleXdvcmQ+PGtleXdvcmQ+
UGh5c2ljYWwgRWR1Y2F0aW9uIGFuZCBUcmFpbmluZzwva2V5d29yZD48a2V5d29yZD5QcmVnbmFu
Y3k8L2tleXdvcmQ+PGtleXdvcmQ+UHJlZ25hbmN5IENvbXBsaWNhdGlvbnMvZGlldCB0aGVyYXB5
Lyp0aGVyYXB5PC9rZXl3b3JkPjxrZXl3b3JkPlByZWduYW5jeSBPdXRjb21lPC9rZXl3b3JkPjxr
ZXl3b3JkPldlaWdodCBHYWluPC9rZXl3b3JkPjwva2V5d29yZHM+PGRhdGVzPjx5ZWFyPjIwMTE8
L3llYXI+PHB1Yi1kYXRlcz48ZGF0ZT5EZWM8L2RhdGU+PC9wdWItZGF0ZXM+PC9kYXRlcz48aXNi
bj4xOTM1LTU1NDggKEVsZWN0cm9uaWMpJiN4RDswMTQ5LTU5OTIgKExpbmtpbmcpPC9pc2JuPjxh
Y2Nlc3Npb24tbnVtPjIxOTcyNDExPC9hY2Nlc3Npb24tbnVtPjx1cmxzPjxyZWxhdGVkLXVybHM+
PHVybD5odHRwczovL3d3dy5uY2JpLm5sbS5uaWguZ292L3B1Ym1lZC8yMTk3MjQxMTwvdXJsPjwv
cmVsYXRlZC11cmxzPjwvdXJscz48Y3VzdG9tMj5QTUMzMjIwODQ0PC9jdXN0b20yPjxlbGVjdHJv
bmljLXJlc291cmNlLW51bT4xMC4yMzM3L2RjMTEtMTE1MDwvZWxlY3Ryb25pYy1yZXNvdXJjZS1u
dW0+PC9yZWNvcmQ+PC9DaXRlPjxDaXRlPjxBdXRob3I+VmludGVyPC9BdXRob3I+PFllYXI+MjAx
NDwvWWVhcj48UmVjTnVtPjEwOTY8L1JlY051bT48cmVjb3JkPjxyZWMtbnVtYmVyPjEwOTY8L3Jl
Yy1udW1iZXI+PGZvcmVpZ24ta2V5cz48a2V5IGFwcD0iRU4iIGRiLWlkPSJleHZhc3JmeDJkdHJh
b2VzYXN4cDJzenN4YTJkZjUwMjU5MngiIHRpbWVzdGFtcD0iMTU1Mjk0NjU1MSI+MTA5Njwva2V5
PjxrZXkgYXBwPSJFTldlYiIgZGItaWQ9IiI+MDwva2V5PjwvZm9yZWlnbi1rZXlzPjxyZWYtdHlw
ZSBuYW1lPSJKb3VybmFsIEFydGljbGUiPjE3PC9yZWYtdHlwZT48Y29udHJpYnV0b3JzPjxhdXRo
b3JzPjxhdXRob3I+VmludGVyLCBDLiBBLjwvYXV0aG9yPjxhdXRob3I+SsO4cmdlbnNlbiwgSi4g
Uy48L2F1dGhvcj48YXV0aG9yPk92ZXNlbiwgUC48L2F1dGhvcj48YXV0aG9yPkJlY2stTmllbHNl
biwgSC48L2F1dGhvcj48YXV0aG9yPlNreXR0aGUsIEEuPC9hdXRob3I+PGF1dGhvcj5KZW5zZW4s
IEQuIE0uPC9hdXRob3I+PC9hdXRob3JzPjwvY29udHJpYnV0b3JzPjx0aXRsZXM+PHRpdGxlPk1l
dGFib2xpYyBlZmZlY3RzIG9mIGxpZmVzdHlsZSBpbnRlcnZlbnRpb24gaW4gb2Jlc2UgcHJlZ25h
bnQgd29tZW4uIFJlc3VsdHMgZnJvbSB0aGUgcmFuZG9taXplZCBjb250cm9sbGVkIHRyaWFsIOKA
mExpZmVzdHlsZSBpbiBQcmVnbmFuY3nigJkgKExpUCk8L3RpdGxlPjxzZWNvbmRhcnktdGl0bGU+
RGlhYmV0aWMgTWVkaWNpbmU8L3NlY29uZGFyeS10aXRsZT48L3RpdGxlcz48cGVyaW9kaWNhbD48
ZnVsbC10aXRsZT5EaWFiZXRpYyBNZWRpY2luZTwvZnVsbC10aXRsZT48L3BlcmlvZGljYWw+PHBh
Z2VzPjEzMjMtMTMzMDwvcGFnZXM+PHZvbHVtZT4zMTwvdm9sdW1lPjxudW1iZXI+MTE8L251bWJl
cj48c2VjdGlvbj4xMzIzPC9zZWN0aW9uPjxkYXRlcz48eWVhcj4yMDE0PC95ZWFyPjwvZGF0ZXM+
PGlzYm4+MDc0MjMwNzE8L2lzYm4+PHVybHM+PC91cmxzPjxlbGVjdHJvbmljLXJlc291cmNlLW51
bT4xMC4xMTExL2RtZS4xMjU0ODwvZWxlY3Ryb25pYy1yZXNvdXJjZS1udW0+PC9yZWNvcmQ+PC9D
aXRlPjxDaXRlPjxBdXRob3I+VmludGVyPC9BdXRob3I+PFllYXI+MjAxNDwvWWVhcj48UmVjTnVt
Pjc2MDwvUmVjTnVtPjxyZWNvcmQ+PHJlYy1udW1iZXI+NzYwPC9yZWMtbnVtYmVyPjxmb3JlaWdu
LWtleXM+PGtleSBhcHA9IkVOIiBkYi1pZD0iZXh2YXNyZngyZHRyYW9lc2FzeHAyc3pzeGEyZGY1
MDI1OTJ4IiB0aW1lc3RhbXA9IjE1NDE0Njc5ODgiPjc2MDwva2V5PjxrZXkgYXBwPSJFTldlYiIg
ZGItaWQ9IiI+MDwva2V5PjwvZm9yZWlnbi1rZXlzPjxyZWYtdHlwZSBuYW1lPSJKb3VybmFsIEFy
dGljbGUiPjE3PC9yZWYtdHlwZT48Y29udHJpYnV0b3JzPjxhdXRob3JzPjxhdXRob3I+VmludGVy
LCBDLiBBLjwvYXV0aG9yPjxhdXRob3I+SmVuc2VuLCBELiBNLjwvYXV0aG9yPjxhdXRob3I+T3Zl
c2VuLCBQLjwvYXV0aG9yPjxhdXRob3I+QmVjay1OaWVsc2VuLCBILjwvYXV0aG9yPjxhdXRob3I+
VGFudmlnLCBNLjwvYXV0aG9yPjxhdXRob3I+TGFtb250LCBSLiBGLjwvYXV0aG9yPjxhdXRob3I+
Sm9yZ2Vuc2VuLCBKLiBTLjwvYXV0aG9yPjwvYXV0aG9ycz48L2NvbnRyaWJ1dG9ycz48YXV0aC1h
ZGRyZXNzPkRlcGFydG1lbnQgb2YgR3luZWNvbG9neSBhbmQgT2JzdGV0cmljcywgT2RlbnNlIFVu
aXZlcnNpdHkgSG9zcGl0YWwsIE9kZW5zZSwgRGVubWFyazsgVW5pdmVyc2l0eSBvZiBTb3V0aGVy
biBEZW5tYXJrLCBPZGVuc2UsIERlbm1hcmsuPC9hdXRoLWFkZHJlc3M+PHRpdGxlcz48dGl0bGU+
UG9zdHBhcnR1bSB3ZWlnaHQgcmV0ZW50aW9uIGFuZCBicmVhc3RmZWVkaW5nIGFtb25nIG9iZXNl
IHdvbWVuIGZyb20gdGhlIHJhbmRvbWl6ZWQgY29udHJvbGxlZCBMaWZlc3R5bGUgaW4gUHJlZ25h
bmN5IChMaVApIHRyaWFsPC90aXRsZT48c2Vjb25kYXJ5LXRpdGxlPkFjdGEgT2JzdGV0IEd5bmVj
b2wgU2NhbmQ8L3NlY29uZGFyeS10aXRsZT48L3RpdGxlcz48cGVyaW9kaWNhbD48ZnVsbC10aXRs
ZT5BY3RhIE9ic3RldCBHeW5lY29sIFNjYW5kPC9mdWxsLXRpdGxlPjwvcGVyaW9kaWNhbD48cGFn
ZXM+Nzk0LTgwMTwvcGFnZXM+PHZvbHVtZT45Mzwvdm9sdW1lPjxudW1iZXI+ODwvbnVtYmVyPjxl
ZGl0aW9uPjIwMTQvMDUvMjA8L2VkaXRpb24+PGtleXdvcmRzPjxrZXl3b3JkPipCcmVhc3QgRmVl
ZGluZy9zdGF0aXN0aWNzICZhbXA7IG51bWVyaWNhbCBkYXRhPC9rZXl3b3JkPjxrZXl3b3JkPkRp
ZXQgVGhlcmFweTwva2V5d29yZD48a2V5d29yZD5FeGVyY2lzZSBUaGVyYXB5PC9rZXl3b3JkPjxr
ZXl3b3JkPkZlbWFsZTwva2V5d29yZD48a2V5d29yZD5Gb2xsb3ctVXAgU3R1ZGllczwva2V5d29y
ZD48a2V5d29yZD5IdW1hbnM8L2tleXdvcmQ+PGtleXdvcmQ+TGlmZSBTdHlsZTwva2V5d29yZD48
a2V5d29yZD5MaW5lYXIgTW9kZWxzPC9rZXl3b3JkPjxrZXl3b3JkPk9iZXNpdHkvKnRoZXJhcHk8
L2tleXdvcmQ+PGtleXdvcmQ+KlBvc3RwYXJ0dW0gUGVyaW9kPC9rZXl3b3JkPjxrZXl3b3JkPlBy
ZWduYW5jeTwva2V5d29yZD48a2V5d29yZD5QcmVnbmFuY3kgQ29tcGxpY2F0aW9ucy8qdGhlcmFw
eTwva2V5d29yZD48a2V5d29yZD5QcmVuYXRhbCBDYXJlLyptZXRob2RzPC9rZXl3b3JkPjxrZXl3
b3JkPlRyZWF0bWVudCBPdXRjb21lPC9rZXl3b3JkPjxrZXl3b3JkPldlaWdodCBHYWluPC9rZXl3
b3JkPjxrZXl3b3JkPipXZWlnaHQgTG9zczwva2V5d29yZD48a2V5d29yZD5XZWlnaHQgUmVkdWN0
aW9uIFByb2dyYW1zLyptZXRob2RzPC9rZXl3b3JkPjxrZXl3b3JkPkJyZWFzdGZlZWRpbmc8L2tl
eXdvcmQ+PGtleXdvcmQ+Z2VzdGF0aW9uYWwgd2VpZ2h0IGdhaW48L2tleXdvcmQ+PGtleXdvcmQ+
aW50ZXJ2ZW50aW9uPC9rZXl3b3JkPjxrZXl3b3JkPmxpZmVzdHlsZTwva2V5d29yZD48a2V5d29y
ZD5vYmVzaXR5PC9rZXl3b3JkPjxrZXl3b3JkPnBvc3RwYXJ0dW0gd2VpZ2h0IHJldGVudGlvbjwv
a2V5d29yZD48L2tleXdvcmRzPjxkYXRlcz48eWVhcj4yMDE0PC95ZWFyPjxwdWItZGF0ZXM+PGRh
dGU+QXVnPC9kYXRlPjwvcHViLWRhdGVzPjwvZGF0ZXM+PGlzYm4+MTYwMC0wNDEyIChFbGVjdHJv
bmljKSYjeEQ7MDAwMS02MzQ5IChMaW5raW5nKTwvaXNibj48YWNjZXNzaW9uLW51bT4yNDgzNDc5
MjwvYWNjZXNzaW9uLW51bT48dXJscz48cmVsYXRlZC11cmxzPjx1cmw+aHR0cHM6Ly93d3cubmNi
aS5ubG0ubmloLmdvdi9wdWJtZWQvMjQ4MzQ3OTI8L3VybD48L3JlbGF0ZWQtdXJscz48L3VybHM+
PGVsZWN0cm9uaWMtcmVzb3VyY2UtbnVtPjEwLjExMTEvYW9ncy4xMjQyOTwvZWxlY3Ryb25pYy1y
ZXNvdXJjZS1udW0+PC9yZWNvcmQ+PC9DaXRlPjwvRW5kTm90ZT4A
</w:fldData>
              </w:fldChar>
            </w:r>
            <w:r w:rsidR="002747EA">
              <w:rPr>
                <w:rFonts w:ascii="Century Gothic" w:hAnsi="Century Gothic"/>
                <w:noProof/>
              </w:rPr>
              <w:instrText xml:space="preserve"> ADDIN EN.CITE </w:instrText>
            </w:r>
            <w:r w:rsidR="002747EA">
              <w:rPr>
                <w:rFonts w:ascii="Century Gothic" w:hAnsi="Century Gothic"/>
                <w:noProof/>
              </w:rPr>
              <w:fldChar w:fldCharType="begin">
                <w:fldData xml:space="preserve">PEVuZE5vdGU+PENpdGU+PEF1dGhvcj5WaW50ZXI8L0F1dGhvcj48WWVhcj4yMDExPC9ZZWFyPjxS
ZWNOdW0+MTExMTwvUmVjTnVtPjxEaXNwbGF5VGV4dD48c3R5bGUgZmFjZT0ic3VwZXJzY3JpcHQi
IGZvbnQ9IlRyZWJ1Y2hldCBNUyIgc2l6ZT0iOSI+NTE1LDU2MCw1NjE8L3N0eWxlPjwvRGlzcGxh
eVRleHQ+PHJlY29yZD48cmVjLW51bWJlcj4xMTExPC9yZWMtbnVtYmVyPjxmb3JlaWduLWtleXM+
PGtleSBhcHA9IkVOIiBkYi1pZD0iZXh2YXNyZngyZHRyYW9lc2FzeHAyc3pzeGEyZGY1MDI1OTJ4
IiB0aW1lc3RhbXA9IjE1NTI5NDg2MTciPjExMTE8L2tleT48L2ZvcmVpZ24ta2V5cz48cmVmLXR5
cGUgbmFtZT0iSm91cm5hbCBBcnRpY2xlIj4xNzwvcmVmLXR5cGU+PGNvbnRyaWJ1dG9ycz48YXV0
aG9ycz48YXV0aG9yPlZpbnRlciwgQy4gQS48L2F1dGhvcj48YXV0aG9yPkplbnNlbiwgRC4gTS48
L2F1dGhvcj48YXV0aG9yPk92ZXNlbiwgUC48L2F1dGhvcj48YXV0aG9yPkJlY2stTmllbHNlbiwg
SC48L2F1dGhvcj48YXV0aG9yPkpvcmdlbnNlbiwgSi4gUy48L2F1dGhvcj48L2F1dGhvcnM+PC9j
b250cmlidXRvcnM+PGF1dGgtYWRkcmVzcz5EZXBhcnRtZW50IG9mIEd5bmVjb2xvZ3kgYW5kIE9i
c3RldHJpY3MsIE9kZW5zZSBVbml2ZXJzaXR5IEhvc3BpdGFsLCBPZGVuc2UsIERlbm1hcmsuIGMu
dmludGVyQGRhZGxuZXQuZGs8L2F1dGgtYWRkcmVzcz48dGl0bGVzPjx0aXRsZT5UaGUgTGlQIChM
aWZlc3R5bGUgaW4gUHJlZ25hbmN5KSBzdHVkeTogYSByYW5kb21pemVkIGNvbnRyb2xsZWQgdHJp
YWwgb2YgbGlmZXN0eWxlIGludGVydmVudGlvbiBpbiAzNjAgb2Jlc2UgcHJlZ25hbnQgd29tZW48
L3RpdGxlPjxzZWNvbmRhcnktdGl0bGU+RGlhYmV0ZXMgQ2FyZTwvc2Vjb25kYXJ5LXRpdGxlPjwv
dGl0bGVzPjxwZXJpb2RpY2FsPjxmdWxsLXRpdGxlPkRpYWJldGVzIENhcmU8L2Z1bGwtdGl0bGU+
PC9wZXJpb2RpY2FsPjxwYWdlcz4yNTAyLTc8L3BhZ2VzPjx2b2x1bWU+MzQ8L3ZvbHVtZT48bnVt
YmVyPjEyPC9udW1iZXI+PGVkaXRpb24+MjAxMS8xMC8wNjwvZWRpdGlvbj48a2V5d29yZHM+PGtl
eXdvcmQ+QWRvbGVzY2VudDwva2V5d29yZD48a2V5d29yZD5BZHVsdDwva2V5d29yZD48a2V5d29y
ZD5EZW5tYXJrPC9rZXl3b3JkPjxrZXl3b3JkPkRpcmVjdGl2ZSBDb3Vuc2VsaW5nPC9rZXl3b3Jk
PjxrZXl3b3JkPkZlbWFsZTwva2V5d29yZD48a2V5d29yZD5IdW1hbnM8L2tleXdvcmQ+PGtleXdv
cmQ+KkxpZmUgU3R5bGU8L2tleXdvcmQ+PGtleXdvcmQ+TW90b3IgQWN0aXZpdHk8L2tleXdvcmQ+
PGtleXdvcmQ+T2Jlc2l0eS9kaWV0IHRoZXJhcHkvKnRoZXJhcHk8L2tleXdvcmQ+PGtleXdvcmQ+
UGh5c2ljYWwgRWR1Y2F0aW9uIGFuZCBUcmFpbmluZzwva2V5d29yZD48a2V5d29yZD5QcmVnbmFu
Y3k8L2tleXdvcmQ+PGtleXdvcmQ+UHJlZ25hbmN5IENvbXBsaWNhdGlvbnMvZGlldCB0aGVyYXB5
Lyp0aGVyYXB5PC9rZXl3b3JkPjxrZXl3b3JkPlByZWduYW5jeSBPdXRjb21lPC9rZXl3b3JkPjxr
ZXl3b3JkPldlaWdodCBHYWluPC9rZXl3b3JkPjwva2V5d29yZHM+PGRhdGVzPjx5ZWFyPjIwMTE8
L3llYXI+PHB1Yi1kYXRlcz48ZGF0ZT5EZWM8L2RhdGU+PC9wdWItZGF0ZXM+PC9kYXRlcz48aXNi
bj4xOTM1LTU1NDggKEVsZWN0cm9uaWMpJiN4RDswMTQ5LTU5OTIgKExpbmtpbmcpPC9pc2JuPjxh
Y2Nlc3Npb24tbnVtPjIxOTcyNDExPC9hY2Nlc3Npb24tbnVtPjx1cmxzPjxyZWxhdGVkLXVybHM+
PHVybD5odHRwczovL3d3dy5uY2JpLm5sbS5uaWguZ292L3B1Ym1lZC8yMTk3MjQxMTwvdXJsPjwv
cmVsYXRlZC11cmxzPjwvdXJscz48Y3VzdG9tMj5QTUMzMjIwODQ0PC9jdXN0b20yPjxlbGVjdHJv
bmljLXJlc291cmNlLW51bT4xMC4yMzM3L2RjMTEtMTE1MDwvZWxlY3Ryb25pYy1yZXNvdXJjZS1u
dW0+PC9yZWNvcmQ+PC9DaXRlPjxDaXRlPjxBdXRob3I+VmludGVyPC9BdXRob3I+PFllYXI+MjAx
NDwvWWVhcj48UmVjTnVtPjEwOTY8L1JlY051bT48cmVjb3JkPjxyZWMtbnVtYmVyPjEwOTY8L3Jl
Yy1udW1iZXI+PGZvcmVpZ24ta2V5cz48a2V5IGFwcD0iRU4iIGRiLWlkPSJleHZhc3JmeDJkdHJh
b2VzYXN4cDJzenN4YTJkZjUwMjU5MngiIHRpbWVzdGFtcD0iMTU1Mjk0NjU1MSI+MTA5Njwva2V5
PjxrZXkgYXBwPSJFTldlYiIgZGItaWQ9IiI+MDwva2V5PjwvZm9yZWlnbi1rZXlzPjxyZWYtdHlw
ZSBuYW1lPSJKb3VybmFsIEFydGljbGUiPjE3PC9yZWYtdHlwZT48Y29udHJpYnV0b3JzPjxhdXRo
b3JzPjxhdXRob3I+VmludGVyLCBDLiBBLjwvYXV0aG9yPjxhdXRob3I+SsO4cmdlbnNlbiwgSi4g
Uy48L2F1dGhvcj48YXV0aG9yPk92ZXNlbiwgUC48L2F1dGhvcj48YXV0aG9yPkJlY2stTmllbHNl
biwgSC48L2F1dGhvcj48YXV0aG9yPlNreXR0aGUsIEEuPC9hdXRob3I+PGF1dGhvcj5KZW5zZW4s
IEQuIE0uPC9hdXRob3I+PC9hdXRob3JzPjwvY29udHJpYnV0b3JzPjx0aXRsZXM+PHRpdGxlPk1l
dGFib2xpYyBlZmZlY3RzIG9mIGxpZmVzdHlsZSBpbnRlcnZlbnRpb24gaW4gb2Jlc2UgcHJlZ25h
bnQgd29tZW4uIFJlc3VsdHMgZnJvbSB0aGUgcmFuZG9taXplZCBjb250cm9sbGVkIHRyaWFsIOKA
mExpZmVzdHlsZSBpbiBQcmVnbmFuY3nigJkgKExpUCk8L3RpdGxlPjxzZWNvbmRhcnktdGl0bGU+
RGlhYmV0aWMgTWVkaWNpbmU8L3NlY29uZGFyeS10aXRsZT48L3RpdGxlcz48cGVyaW9kaWNhbD48
ZnVsbC10aXRsZT5EaWFiZXRpYyBNZWRpY2luZTwvZnVsbC10aXRsZT48L3BlcmlvZGljYWw+PHBh
Z2VzPjEzMjMtMTMzMDwvcGFnZXM+PHZvbHVtZT4zMTwvdm9sdW1lPjxudW1iZXI+MTE8L251bWJl
cj48c2VjdGlvbj4xMzIzPC9zZWN0aW9uPjxkYXRlcz48eWVhcj4yMDE0PC95ZWFyPjwvZGF0ZXM+
PGlzYm4+MDc0MjMwNzE8L2lzYm4+PHVybHM+PC91cmxzPjxlbGVjdHJvbmljLXJlc291cmNlLW51
bT4xMC4xMTExL2RtZS4xMjU0ODwvZWxlY3Ryb25pYy1yZXNvdXJjZS1udW0+PC9yZWNvcmQ+PC9D
aXRlPjxDaXRlPjxBdXRob3I+VmludGVyPC9BdXRob3I+PFllYXI+MjAxNDwvWWVhcj48UmVjTnVt
Pjc2MDwvUmVjTnVtPjxyZWNvcmQ+PHJlYy1udW1iZXI+NzYwPC9yZWMtbnVtYmVyPjxmb3JlaWdu
LWtleXM+PGtleSBhcHA9IkVOIiBkYi1pZD0iZXh2YXNyZngyZHRyYW9lc2FzeHAyc3pzeGEyZGY1
MDI1OTJ4IiB0aW1lc3RhbXA9IjE1NDE0Njc5ODgiPjc2MDwva2V5PjxrZXkgYXBwPSJFTldlYiIg
ZGItaWQ9IiI+MDwva2V5PjwvZm9yZWlnbi1rZXlzPjxyZWYtdHlwZSBuYW1lPSJKb3VybmFsIEFy
dGljbGUiPjE3PC9yZWYtdHlwZT48Y29udHJpYnV0b3JzPjxhdXRob3JzPjxhdXRob3I+VmludGVy
LCBDLiBBLjwvYXV0aG9yPjxhdXRob3I+SmVuc2VuLCBELiBNLjwvYXV0aG9yPjxhdXRob3I+T3Zl
c2VuLCBQLjwvYXV0aG9yPjxhdXRob3I+QmVjay1OaWVsc2VuLCBILjwvYXV0aG9yPjxhdXRob3I+
VGFudmlnLCBNLjwvYXV0aG9yPjxhdXRob3I+TGFtb250LCBSLiBGLjwvYXV0aG9yPjxhdXRob3I+
Sm9yZ2Vuc2VuLCBKLiBTLjwvYXV0aG9yPjwvYXV0aG9ycz48L2NvbnRyaWJ1dG9ycz48YXV0aC1h
ZGRyZXNzPkRlcGFydG1lbnQgb2YgR3luZWNvbG9neSBhbmQgT2JzdGV0cmljcywgT2RlbnNlIFVu
aXZlcnNpdHkgSG9zcGl0YWwsIE9kZW5zZSwgRGVubWFyazsgVW5pdmVyc2l0eSBvZiBTb3V0aGVy
biBEZW5tYXJrLCBPZGVuc2UsIERlbm1hcmsuPC9hdXRoLWFkZHJlc3M+PHRpdGxlcz48dGl0bGU+
UG9zdHBhcnR1bSB3ZWlnaHQgcmV0ZW50aW9uIGFuZCBicmVhc3RmZWVkaW5nIGFtb25nIG9iZXNl
IHdvbWVuIGZyb20gdGhlIHJhbmRvbWl6ZWQgY29udHJvbGxlZCBMaWZlc3R5bGUgaW4gUHJlZ25h
bmN5IChMaVApIHRyaWFsPC90aXRsZT48c2Vjb25kYXJ5LXRpdGxlPkFjdGEgT2JzdGV0IEd5bmVj
b2wgU2NhbmQ8L3NlY29uZGFyeS10aXRsZT48L3RpdGxlcz48cGVyaW9kaWNhbD48ZnVsbC10aXRs
ZT5BY3RhIE9ic3RldCBHeW5lY29sIFNjYW5kPC9mdWxsLXRpdGxlPjwvcGVyaW9kaWNhbD48cGFn
ZXM+Nzk0LTgwMTwvcGFnZXM+PHZvbHVtZT45Mzwvdm9sdW1lPjxudW1iZXI+ODwvbnVtYmVyPjxl
ZGl0aW9uPjIwMTQvMDUvMjA8L2VkaXRpb24+PGtleXdvcmRzPjxrZXl3b3JkPipCcmVhc3QgRmVl
ZGluZy9zdGF0aXN0aWNzICZhbXA7IG51bWVyaWNhbCBkYXRhPC9rZXl3b3JkPjxrZXl3b3JkPkRp
ZXQgVGhlcmFweTwva2V5d29yZD48a2V5d29yZD5FeGVyY2lzZSBUaGVyYXB5PC9rZXl3b3JkPjxr
ZXl3b3JkPkZlbWFsZTwva2V5d29yZD48a2V5d29yZD5Gb2xsb3ctVXAgU3R1ZGllczwva2V5d29y
ZD48a2V5d29yZD5IdW1hbnM8L2tleXdvcmQ+PGtleXdvcmQ+TGlmZSBTdHlsZTwva2V5d29yZD48
a2V5d29yZD5MaW5lYXIgTW9kZWxzPC9rZXl3b3JkPjxrZXl3b3JkPk9iZXNpdHkvKnRoZXJhcHk8
L2tleXdvcmQ+PGtleXdvcmQ+KlBvc3RwYXJ0dW0gUGVyaW9kPC9rZXl3b3JkPjxrZXl3b3JkPlBy
ZWduYW5jeTwva2V5d29yZD48a2V5d29yZD5QcmVnbmFuY3kgQ29tcGxpY2F0aW9ucy8qdGhlcmFw
eTwva2V5d29yZD48a2V5d29yZD5QcmVuYXRhbCBDYXJlLyptZXRob2RzPC9rZXl3b3JkPjxrZXl3
b3JkPlRyZWF0bWVudCBPdXRjb21lPC9rZXl3b3JkPjxrZXl3b3JkPldlaWdodCBHYWluPC9rZXl3
b3JkPjxrZXl3b3JkPipXZWlnaHQgTG9zczwva2V5d29yZD48a2V5d29yZD5XZWlnaHQgUmVkdWN0
aW9uIFByb2dyYW1zLyptZXRob2RzPC9rZXl3b3JkPjxrZXl3b3JkPkJyZWFzdGZlZWRpbmc8L2tl
eXdvcmQ+PGtleXdvcmQ+Z2VzdGF0aW9uYWwgd2VpZ2h0IGdhaW48L2tleXdvcmQ+PGtleXdvcmQ+
aW50ZXJ2ZW50aW9uPC9rZXl3b3JkPjxrZXl3b3JkPmxpZmVzdHlsZTwva2V5d29yZD48a2V5d29y
ZD5vYmVzaXR5PC9rZXl3b3JkPjxrZXl3b3JkPnBvc3RwYXJ0dW0gd2VpZ2h0IHJldGVudGlvbjwv
a2V5d29yZD48L2tleXdvcmRzPjxkYXRlcz48eWVhcj4yMDE0PC95ZWFyPjxwdWItZGF0ZXM+PGRh
dGU+QXVnPC9kYXRlPjwvcHViLWRhdGVzPjwvZGF0ZXM+PGlzYm4+MTYwMC0wNDEyIChFbGVjdHJv
bmljKSYjeEQ7MDAwMS02MzQ5IChMaW5raW5nKTwvaXNibj48YWNjZXNzaW9uLW51bT4yNDgzNDc5
MjwvYWNjZXNzaW9uLW51bT48dXJscz48cmVsYXRlZC11cmxzPjx1cmw+aHR0cHM6Ly93d3cubmNi
aS5ubG0ubmloLmdvdi9wdWJtZWQvMjQ4MzQ3OTI8L3VybD48L3JlbGF0ZWQtdXJscz48L3VybHM+
PGVsZWN0cm9uaWMtcmVzb3VyY2UtbnVtPjEwLjExMTEvYW9ncy4xMjQyOTwvZWxlY3Ryb25pYy1y
ZXNvdXJjZS1udW0+PC9yZWNvcmQ+PC9DaXRlPjwvRW5kTm90ZT4A
</w:fldData>
              </w:fldChar>
            </w:r>
            <w:r w:rsidR="002747EA">
              <w:rPr>
                <w:rFonts w:ascii="Century Gothic" w:hAnsi="Century Gothic"/>
                <w:noProof/>
              </w:rPr>
              <w:instrText xml:space="preserve"> ADDIN EN.CITE.DATA </w:instrText>
            </w:r>
            <w:r w:rsidR="002747EA">
              <w:rPr>
                <w:rFonts w:ascii="Century Gothic" w:hAnsi="Century Gothic"/>
                <w:noProof/>
              </w:rPr>
            </w:r>
            <w:r w:rsidR="002747EA">
              <w:rPr>
                <w:rFonts w:ascii="Century Gothic" w:hAnsi="Century Gothic"/>
                <w:noProof/>
              </w:rPr>
              <w:fldChar w:fldCharType="end"/>
            </w:r>
            <w:r>
              <w:rPr>
                <w:rFonts w:ascii="Century Gothic" w:hAnsi="Century Gothic"/>
                <w:noProof/>
              </w:rPr>
            </w:r>
            <w:r>
              <w:rPr>
                <w:rFonts w:ascii="Century Gothic" w:hAnsi="Century Gothic"/>
                <w:noProof/>
              </w:rPr>
              <w:fldChar w:fldCharType="separate"/>
            </w:r>
            <w:r w:rsidR="002747EA" w:rsidRPr="002747EA">
              <w:rPr>
                <w:noProof/>
                <w:sz w:val="18"/>
                <w:vertAlign w:val="superscript"/>
              </w:rPr>
              <w:t>515,560,561</w:t>
            </w:r>
            <w:r>
              <w:rPr>
                <w:rFonts w:ascii="Century Gothic" w:hAnsi="Century Gothic"/>
                <w:noProof/>
              </w:rPr>
              <w:fldChar w:fldCharType="end"/>
            </w:r>
          </w:p>
        </w:tc>
      </w:tr>
      <w:tr w:rsidR="008E765F" w:rsidRPr="00822EBF" w14:paraId="5B577630" w14:textId="77777777" w:rsidTr="005A5EBF">
        <w:trPr>
          <w:cantSplit/>
        </w:trPr>
        <w:tc>
          <w:tcPr>
            <w:tcW w:w="1560" w:type="dxa"/>
            <w:shd w:val="clear" w:color="D9E2F3" w:themeColor="accent1" w:themeTint="33" w:fill="auto"/>
          </w:tcPr>
          <w:p w14:paraId="4D085F5B"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553EF93A"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6BEC17BC" w14:textId="77777777" w:rsidR="008E765F" w:rsidRPr="00822EBF" w:rsidRDefault="008E765F" w:rsidP="006045AE">
            <w:pPr>
              <w:pStyle w:val="RCTstable"/>
              <w:keepNext/>
            </w:pPr>
            <w:r>
              <w:t>“P</w:t>
            </w:r>
            <w:r w:rsidRPr="00822EBF">
              <w:t>articipants were randomized 1:1 by computer-generated</w:t>
            </w:r>
            <w:r>
              <w:t xml:space="preserve"> </w:t>
            </w:r>
            <w:r w:rsidRPr="00822EBF">
              <w:t>numbers</w:t>
            </w:r>
            <w:r>
              <w:t>.”</w:t>
            </w:r>
          </w:p>
        </w:tc>
      </w:tr>
      <w:tr w:rsidR="008E765F" w:rsidRPr="00822EBF" w14:paraId="1F2C17F6" w14:textId="77777777" w:rsidTr="005A5EBF">
        <w:trPr>
          <w:cantSplit/>
        </w:trPr>
        <w:tc>
          <w:tcPr>
            <w:tcW w:w="1560" w:type="dxa"/>
            <w:shd w:val="clear" w:color="D9E2F3" w:themeColor="accent1" w:themeTint="33" w:fill="auto"/>
          </w:tcPr>
          <w:p w14:paraId="455E090C" w14:textId="77777777" w:rsidR="008E765F" w:rsidRPr="00822EBF" w:rsidRDefault="008E765F" w:rsidP="006045AE">
            <w:pPr>
              <w:pStyle w:val="RCTstable"/>
              <w:keepNext/>
            </w:pPr>
            <w:r w:rsidRPr="00822EBF">
              <w:t xml:space="preserve">Allocation concealment </w:t>
            </w:r>
          </w:p>
        </w:tc>
        <w:tc>
          <w:tcPr>
            <w:tcW w:w="1275" w:type="dxa"/>
            <w:shd w:val="clear" w:color="D9E2F3" w:themeColor="accent1" w:themeTint="33" w:fill="70AD47" w:themeFill="accent6"/>
          </w:tcPr>
          <w:p w14:paraId="438DE3A1"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35628243" w14:textId="77777777" w:rsidR="008E765F" w:rsidRPr="00822EBF" w:rsidRDefault="008E765F" w:rsidP="006045AE">
            <w:pPr>
              <w:pStyle w:val="RCTstable"/>
              <w:keepNext/>
            </w:pPr>
            <w:r>
              <w:t>Women received allocation “</w:t>
            </w:r>
            <w:r w:rsidRPr="00822EBF">
              <w:t>in closed, opaque envelopes</w:t>
            </w:r>
            <w:r>
              <w:t>”.</w:t>
            </w:r>
          </w:p>
        </w:tc>
      </w:tr>
      <w:tr w:rsidR="008E765F" w:rsidRPr="00822EBF" w14:paraId="5A1D605E" w14:textId="77777777" w:rsidTr="005A5EBF">
        <w:trPr>
          <w:cantSplit/>
        </w:trPr>
        <w:tc>
          <w:tcPr>
            <w:tcW w:w="1560" w:type="dxa"/>
            <w:shd w:val="clear" w:color="D9E2F3" w:themeColor="accent1" w:themeTint="33" w:fill="auto"/>
          </w:tcPr>
          <w:p w14:paraId="79A0071D" w14:textId="77777777" w:rsidR="008E765F" w:rsidRPr="00822EBF" w:rsidRDefault="008E765F" w:rsidP="006045AE">
            <w:pPr>
              <w:pStyle w:val="RCTstable"/>
              <w:keepNext/>
            </w:pPr>
            <w:r w:rsidRPr="00822EBF">
              <w:t>Performance bias</w:t>
            </w:r>
          </w:p>
        </w:tc>
        <w:tc>
          <w:tcPr>
            <w:tcW w:w="1275" w:type="dxa"/>
            <w:shd w:val="clear" w:color="D9E2F3" w:themeColor="accent1" w:themeTint="33" w:fill="FF4D19"/>
          </w:tcPr>
          <w:p w14:paraId="0B3DE012" w14:textId="77777777" w:rsidR="008E765F" w:rsidRPr="00822EBF" w:rsidRDefault="008E765F" w:rsidP="006045AE">
            <w:pPr>
              <w:pStyle w:val="RCTstable"/>
              <w:keepNext/>
            </w:pPr>
            <w:r w:rsidRPr="00822EBF">
              <w:t>High risk</w:t>
            </w:r>
          </w:p>
        </w:tc>
        <w:tc>
          <w:tcPr>
            <w:tcW w:w="11199" w:type="dxa"/>
            <w:shd w:val="clear" w:color="D9E2F3" w:themeColor="accent1" w:themeTint="33" w:fill="auto"/>
          </w:tcPr>
          <w:p w14:paraId="5FC9C1D1" w14:textId="77777777" w:rsidR="008E765F" w:rsidRPr="00822EBF" w:rsidRDefault="008E765F" w:rsidP="006045AE">
            <w:pPr>
              <w:pStyle w:val="RCTstable"/>
              <w:keepNext/>
            </w:pPr>
            <w:r>
              <w:t>Trial described as “non-blinded”</w:t>
            </w:r>
            <w:r w:rsidRPr="00822EBF">
              <w:t>;</w:t>
            </w:r>
            <w:r>
              <w:t xml:space="preserve"> “</w:t>
            </w:r>
            <w:r w:rsidRPr="00822EBF">
              <w:t>blinding was not</w:t>
            </w:r>
            <w:r>
              <w:t xml:space="preserve"> possible for pragmatic reasons”; “</w:t>
            </w:r>
            <w:r w:rsidRPr="00822EBF">
              <w:t>there was no blinding to patie</w:t>
            </w:r>
            <w:r>
              <w:t>nts or healthcare professionals”</w:t>
            </w:r>
            <w:r w:rsidRPr="00822EBF">
              <w:t>.</w:t>
            </w:r>
          </w:p>
        </w:tc>
      </w:tr>
      <w:tr w:rsidR="008E765F" w:rsidRPr="00822EBF" w14:paraId="7CEC93F2" w14:textId="77777777" w:rsidTr="005A5EBF">
        <w:trPr>
          <w:cantSplit/>
        </w:trPr>
        <w:tc>
          <w:tcPr>
            <w:tcW w:w="1560" w:type="dxa"/>
            <w:shd w:val="clear" w:color="D9E2F3" w:themeColor="accent1" w:themeTint="33" w:fill="auto"/>
          </w:tcPr>
          <w:p w14:paraId="3406D023"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046BAE54" w14:textId="77777777" w:rsidR="008E765F" w:rsidRPr="00822EBF" w:rsidRDefault="008E765F" w:rsidP="00611251">
            <w:pPr>
              <w:pStyle w:val="RCTstable"/>
            </w:pPr>
            <w:r>
              <w:t>Unclear</w:t>
            </w:r>
            <w:r w:rsidRPr="00822EBF">
              <w:t xml:space="preserve"> risk</w:t>
            </w:r>
          </w:p>
        </w:tc>
        <w:tc>
          <w:tcPr>
            <w:tcW w:w="11199" w:type="dxa"/>
            <w:shd w:val="clear" w:color="D9E2F3" w:themeColor="accent1" w:themeTint="33" w:fill="auto"/>
          </w:tcPr>
          <w:p w14:paraId="320B774D" w14:textId="77777777" w:rsidR="008E765F" w:rsidRPr="00822EBF" w:rsidRDefault="008E765F" w:rsidP="00611251">
            <w:pPr>
              <w:pStyle w:val="RCTstable"/>
            </w:pPr>
            <w:r>
              <w:t>See above</w:t>
            </w:r>
            <w:r>
              <w:br/>
              <w:t>For 2.8-year follow-up: “</w:t>
            </w:r>
            <w:r w:rsidRPr="00822EBF">
              <w:t>All children were measured by</w:t>
            </w:r>
            <w:r>
              <w:t xml:space="preserve"> </w:t>
            </w:r>
            <w:r w:rsidRPr="00822EBF">
              <w:t>a medical doctor (M.T.) and a research bioanalyst, both</w:t>
            </w:r>
            <w:r>
              <w:t xml:space="preserve"> blinded to the LiP intervention”</w:t>
            </w:r>
            <w:r w:rsidRPr="00822EBF">
              <w:t>.</w:t>
            </w:r>
          </w:p>
        </w:tc>
      </w:tr>
      <w:tr w:rsidR="008E765F" w:rsidRPr="00822EBF" w14:paraId="409413E6" w14:textId="77777777" w:rsidTr="005A5EBF">
        <w:trPr>
          <w:cantSplit/>
        </w:trPr>
        <w:tc>
          <w:tcPr>
            <w:tcW w:w="1560" w:type="dxa"/>
            <w:shd w:val="clear" w:color="D9E2F3" w:themeColor="accent1" w:themeTint="33" w:fill="auto"/>
          </w:tcPr>
          <w:p w14:paraId="1AF495FD" w14:textId="77777777" w:rsidR="008E765F" w:rsidRPr="00822EBF" w:rsidRDefault="008E765F" w:rsidP="00611251">
            <w:pPr>
              <w:pStyle w:val="RCTstable"/>
            </w:pPr>
            <w:r w:rsidRPr="00822EBF">
              <w:t>Incomplete outcome data</w:t>
            </w:r>
          </w:p>
        </w:tc>
        <w:tc>
          <w:tcPr>
            <w:tcW w:w="1275" w:type="dxa"/>
            <w:shd w:val="clear" w:color="D9E2F3" w:themeColor="accent1" w:themeTint="33" w:fill="FFC000" w:themeFill="accent4"/>
          </w:tcPr>
          <w:p w14:paraId="342AD41E"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6A184821" w14:textId="77777777" w:rsidR="008E765F" w:rsidRPr="00822EBF" w:rsidRDefault="008E765F" w:rsidP="00611251">
            <w:pPr>
              <w:pStyle w:val="RCTstable"/>
            </w:pPr>
            <w:r>
              <w:t xml:space="preserve">Balanced attrition; 83% of </w:t>
            </w:r>
            <w:r w:rsidRPr="00822EBF">
              <w:t xml:space="preserve">women in the intervention group and </w:t>
            </w:r>
            <w:r>
              <w:t>86% of women</w:t>
            </w:r>
            <w:r w:rsidRPr="00822EBF">
              <w:t xml:space="preserve"> in the</w:t>
            </w:r>
            <w:r>
              <w:t xml:space="preserve"> </w:t>
            </w:r>
            <w:r w:rsidRPr="00822EBF">
              <w:t>control group were included in analyses</w:t>
            </w:r>
            <w:r>
              <w:t>, with reasons given. Follow-up</w:t>
            </w:r>
            <w:r w:rsidRPr="00822EBF">
              <w:t xml:space="preserve"> a</w:t>
            </w:r>
            <w:r>
              <w:t>t 6-month postpartum follow-up included 68% of women</w:t>
            </w:r>
            <w:r w:rsidRPr="00822EBF">
              <w:t xml:space="preserve"> in the intervention</w:t>
            </w:r>
            <w:r>
              <w:t xml:space="preserve"> </w:t>
            </w:r>
            <w:r w:rsidRPr="00822EBF">
              <w:t>group</w:t>
            </w:r>
            <w:r>
              <w:t xml:space="preserve"> and 64% of women in the control group. T</w:t>
            </w:r>
            <w:r w:rsidRPr="00822EBF">
              <w:t>he</w:t>
            </w:r>
            <w:r>
              <w:t xml:space="preserve"> </w:t>
            </w:r>
            <w:r w:rsidRPr="00822EBF">
              <w:t>66 women who did not attend, and were excluded had</w:t>
            </w:r>
            <w:r>
              <w:t xml:space="preserve"> </w:t>
            </w:r>
            <w:r w:rsidRPr="00822EBF">
              <w:t>”higher mean pre gestational BMI, higher GWG and more</w:t>
            </w:r>
            <w:r>
              <w:t xml:space="preserve"> </w:t>
            </w:r>
            <w:r w:rsidRPr="00822EBF">
              <w:t>obstetric or neonatal complications, but the differences were</w:t>
            </w:r>
            <w:r>
              <w:t xml:space="preserve"> </w:t>
            </w:r>
            <w:r w:rsidRPr="00822EBF">
              <w:t>not significant compared with those who did attend“.</w:t>
            </w:r>
            <w:r>
              <w:t xml:space="preserve"> </w:t>
            </w:r>
            <w:r w:rsidRPr="00822EBF">
              <w:t>For 2.8-year follow-up</w:t>
            </w:r>
            <w:r>
              <w:t xml:space="preserve"> included </w:t>
            </w:r>
            <w:r w:rsidRPr="00822EBF">
              <w:t>55%</w:t>
            </w:r>
            <w:r>
              <w:t xml:space="preserve"> of infants </w:t>
            </w:r>
            <w:r w:rsidRPr="00822EBF">
              <w:t>in the intervention</w:t>
            </w:r>
            <w:r>
              <w:t xml:space="preserve"> </w:t>
            </w:r>
            <w:r w:rsidRPr="00822EBF">
              <w:t>group and 49%</w:t>
            </w:r>
            <w:r>
              <w:t xml:space="preserve"> of infants </w:t>
            </w:r>
            <w:r w:rsidRPr="00822EBF">
              <w:t>in the control group</w:t>
            </w:r>
            <w:r>
              <w:t>.</w:t>
            </w:r>
          </w:p>
        </w:tc>
      </w:tr>
      <w:tr w:rsidR="008E765F" w:rsidRPr="00822EBF" w14:paraId="39A0BCB5" w14:textId="77777777" w:rsidTr="005A5EBF">
        <w:trPr>
          <w:cantSplit/>
        </w:trPr>
        <w:tc>
          <w:tcPr>
            <w:tcW w:w="1560" w:type="dxa"/>
            <w:shd w:val="clear" w:color="D9E2F3" w:themeColor="accent1" w:themeTint="33" w:fill="auto"/>
          </w:tcPr>
          <w:p w14:paraId="0BCC2657"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31E78B88"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1AE0B587" w14:textId="77777777" w:rsidR="008E765F" w:rsidRPr="00822EBF" w:rsidRDefault="008E765F" w:rsidP="00611251">
            <w:pPr>
              <w:pStyle w:val="RCTstable"/>
            </w:pPr>
            <w:r w:rsidRPr="00822EBF">
              <w:t>With no access to a trial protocol, it was not possible</w:t>
            </w:r>
            <w:r>
              <w:t xml:space="preserve"> </w:t>
            </w:r>
            <w:r w:rsidRPr="00822EBF">
              <w:t>to confidently assess selective reporting. A protocol for</w:t>
            </w:r>
            <w:r>
              <w:t xml:space="preserve"> </w:t>
            </w:r>
            <w:r w:rsidRPr="00822EBF">
              <w:t>the infant follow-up was supplied as supporting information.</w:t>
            </w:r>
            <w:r>
              <w:t xml:space="preserve"> </w:t>
            </w:r>
            <w:r w:rsidRPr="00822EBF">
              <w:t>The tria</w:t>
            </w:r>
            <w:r>
              <w:t xml:space="preserve">l registration lists “Metabolic Markers” </w:t>
            </w:r>
            <w:r w:rsidRPr="00822EBF">
              <w:t>as secondary outcome measures, however data were not</w:t>
            </w:r>
            <w:r>
              <w:t xml:space="preserve"> </w:t>
            </w:r>
            <w:r w:rsidRPr="00822EBF">
              <w:t>reported for these outcomes. Some data are reported incompletely,</w:t>
            </w:r>
            <w:r>
              <w:t xml:space="preserve"> </w:t>
            </w:r>
            <w:r w:rsidRPr="00822EBF">
              <w:t>e.g. breastfeeding at 5 months, ”no differences between the intervention groups“, and weight development</w:t>
            </w:r>
            <w:r>
              <w:t xml:space="preserve"> </w:t>
            </w:r>
            <w:r w:rsidRPr="00822EBF">
              <w:t>f</w:t>
            </w:r>
            <w:r>
              <w:t>rom 0-5 months and 0-12 months “</w:t>
            </w:r>
            <w:r w:rsidRPr="00822EBF">
              <w:t>no difference...</w:t>
            </w:r>
            <w:r>
              <w:t xml:space="preserve"> </w:t>
            </w:r>
            <w:r w:rsidRPr="00822EBF">
              <w:t>between the intervention groups...(data not known)</w:t>
            </w:r>
            <w:r>
              <w:t>”</w:t>
            </w:r>
            <w:r w:rsidRPr="00822EBF">
              <w:t>.</w:t>
            </w:r>
          </w:p>
        </w:tc>
      </w:tr>
      <w:tr w:rsidR="008E765F" w:rsidRPr="00822EBF" w14:paraId="0CD62E3A" w14:textId="77777777" w:rsidTr="005A5EBF">
        <w:trPr>
          <w:cantSplit/>
        </w:trPr>
        <w:tc>
          <w:tcPr>
            <w:tcW w:w="1560" w:type="dxa"/>
            <w:shd w:val="clear" w:color="D9E2F3" w:themeColor="accent1" w:themeTint="33" w:fill="auto"/>
          </w:tcPr>
          <w:p w14:paraId="66743C3A"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70AD47" w:themeFill="accent6"/>
          </w:tcPr>
          <w:p w14:paraId="14375A0F"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2A86B4E3" w14:textId="77777777" w:rsidR="008E765F" w:rsidRPr="00822EBF" w:rsidRDefault="008E765F" w:rsidP="00611251">
            <w:pPr>
              <w:pStyle w:val="RCTstable"/>
            </w:pPr>
            <w:r w:rsidRPr="00822EBF">
              <w:t>The groups did not differ significantly on any maternal</w:t>
            </w:r>
            <w:r>
              <w:t xml:space="preserve"> </w:t>
            </w:r>
            <w:r w:rsidRPr="00822EBF">
              <w:t>baseline characteristics, although there were</w:t>
            </w:r>
            <w:r>
              <w:t xml:space="preserve"> </w:t>
            </w:r>
            <w:r w:rsidRPr="00822EBF">
              <w:t>more smokers</w:t>
            </w:r>
            <w:r>
              <w:t xml:space="preserve"> </w:t>
            </w:r>
            <w:r w:rsidRPr="00822EBF">
              <w:t>in the control group despite stratified randomisation</w:t>
            </w:r>
            <w:r>
              <w:t xml:space="preserve"> </w:t>
            </w:r>
            <w:r w:rsidRPr="00822EBF">
              <w:t>(11.7% versus 7.3%). The dropout group was older and</w:t>
            </w:r>
            <w:r>
              <w:t xml:space="preserve"> </w:t>
            </w:r>
            <w:r w:rsidRPr="00822EBF">
              <w:t>had a higher percentage with a BMI ≥ 40 kg/m², and a</w:t>
            </w:r>
            <w:r>
              <w:t xml:space="preserve"> </w:t>
            </w:r>
            <w:r w:rsidRPr="00822EBF">
              <w:t>higher percentage of smokers, compared with the completing</w:t>
            </w:r>
            <w:r>
              <w:t xml:space="preserve"> </w:t>
            </w:r>
            <w:r w:rsidRPr="00822EBF">
              <w:t>group (though not statistically significant). For</w:t>
            </w:r>
            <w:r>
              <w:t xml:space="preserve"> the follow-up trial: “</w:t>
            </w:r>
            <w:r w:rsidRPr="00822EBF">
              <w:t>At baseline, there were no differences</w:t>
            </w:r>
            <w:r>
              <w:t xml:space="preserve"> </w:t>
            </w:r>
            <w:r w:rsidRPr="00822EBF">
              <w:t>between those who attended and who were lost to follow-up</w:t>
            </w:r>
            <w:r>
              <w:t xml:space="preserve"> </w:t>
            </w:r>
            <w:r w:rsidRPr="00822EBF">
              <w:t>except for 20-h OGTT plasma glucose values performed at</w:t>
            </w:r>
            <w:r>
              <w:t xml:space="preserve"> </w:t>
            </w:r>
            <w:r w:rsidRPr="00822EBF">
              <w:t>28 weeks gestation“.</w:t>
            </w:r>
          </w:p>
        </w:tc>
      </w:tr>
      <w:tr w:rsidR="008E765F" w:rsidRPr="0048317A" w14:paraId="257D576C" w14:textId="77777777" w:rsidTr="005A5EBF">
        <w:trPr>
          <w:cantSplit/>
        </w:trPr>
        <w:tc>
          <w:tcPr>
            <w:tcW w:w="14034" w:type="dxa"/>
            <w:gridSpan w:val="3"/>
            <w:shd w:val="solid" w:color="D9E2F3" w:themeColor="accent1" w:themeTint="33" w:fill="auto"/>
          </w:tcPr>
          <w:p w14:paraId="0FB81EAC" w14:textId="20CA9D66" w:rsidR="008E765F" w:rsidRPr="0048317A" w:rsidRDefault="008E765F" w:rsidP="002747EA">
            <w:pPr>
              <w:pStyle w:val="RCTstable"/>
              <w:rPr>
                <w:b/>
              </w:rPr>
            </w:pPr>
            <w:r w:rsidRPr="0025597C">
              <w:rPr>
                <w:rFonts w:ascii="Century Gothic" w:hAnsi="Century Gothic"/>
                <w:b/>
                <w:noProof/>
              </w:rPr>
              <w:t>Wang et al 2015</w:t>
            </w:r>
            <w:r>
              <w:fldChar w:fldCharType="begin"/>
            </w:r>
            <w:r w:rsidR="002747EA">
              <w:instrText xml:space="preserve"> ADDIN EN.CITE &lt;EndNote&gt;&lt;Cite&gt;&lt;Author&gt;Wang&lt;/Author&gt;&lt;Year&gt;2015&lt;/Year&gt;&lt;RecNum&gt;740&lt;/RecNum&gt;&lt;DisplayText&gt;&lt;style face="superscript" font="Trebuchet MS" size="9"&gt;517&lt;/style&gt;&lt;/DisplayText&gt;&lt;record&gt;&lt;rec-number&gt;740&lt;/rec-number&gt;&lt;foreign-keys&gt;&lt;key app="EN" db-id="exvasrfx2dtraoesasxp2szsxa2df502592x" timestamp="1541467811"&gt;740&lt;/key&gt;&lt;key app="ENWeb" db-id=""&gt;0&lt;/key&gt;&lt;/foreign-keys&gt;&lt;ref-type name="Journal Article"&gt;17&lt;/ref-type&gt;&lt;contributors&gt;&lt;authors&gt;&lt;author&gt;Wang, Shuang&lt;/author&gt;&lt;author&gt;Ma, Jing-Mei&lt;/author&gt;&lt;author&gt;Yang, Hui-Xia&lt;/author&gt;&lt;/authors&gt;&lt;/contributors&gt;&lt;titles&gt;&lt;title&gt;Lifestyle intervention for gestational diabetes mellitus prevention: A cluster-randomized controlled study&lt;/title&gt;&lt;secondary-title&gt;Chronic Diseases and Translational Medicine&lt;/secondary-title&gt;&lt;/titles&gt;&lt;periodical&gt;&lt;full-title&gt;Chronic Diseases and Translational Medicine&lt;/full-title&gt;&lt;/periodical&gt;&lt;pages&gt;169-174&lt;/pages&gt;&lt;volume&gt;1&lt;/volume&gt;&lt;number&gt;3&lt;/number&gt;&lt;section&gt;169&lt;/section&gt;&lt;dates&gt;&lt;year&gt;2015&lt;/year&gt;&lt;/dates&gt;&lt;isbn&gt;2095882X&lt;/isbn&gt;&lt;urls&gt;&lt;/urls&gt;&lt;electronic-resource-num&gt;10.1016/j.cdtm.2015.09.001&lt;/electronic-resource-num&gt;&lt;/record&gt;&lt;/Cite&gt;&lt;/EndNote&gt;</w:instrText>
            </w:r>
            <w:r>
              <w:fldChar w:fldCharType="separate"/>
            </w:r>
            <w:r w:rsidR="002747EA" w:rsidRPr="002747EA">
              <w:rPr>
                <w:noProof/>
                <w:sz w:val="18"/>
                <w:vertAlign w:val="superscript"/>
              </w:rPr>
              <w:t>517</w:t>
            </w:r>
            <w:r>
              <w:fldChar w:fldCharType="end"/>
            </w:r>
          </w:p>
        </w:tc>
      </w:tr>
      <w:tr w:rsidR="008E765F" w:rsidRPr="00822EBF" w14:paraId="436BB878" w14:textId="77777777" w:rsidTr="005A5EBF">
        <w:trPr>
          <w:cantSplit/>
        </w:trPr>
        <w:tc>
          <w:tcPr>
            <w:tcW w:w="1560" w:type="dxa"/>
            <w:shd w:val="clear" w:color="D9E2F3" w:themeColor="accent1" w:themeTint="33" w:fill="auto"/>
          </w:tcPr>
          <w:p w14:paraId="548F80C8" w14:textId="77777777" w:rsidR="008E765F" w:rsidRPr="00822EBF" w:rsidRDefault="008E765F" w:rsidP="00611251">
            <w:pPr>
              <w:pStyle w:val="RCTstable"/>
            </w:pPr>
            <w:r w:rsidRPr="00822EBF">
              <w:t>Random sequence generation</w:t>
            </w:r>
          </w:p>
        </w:tc>
        <w:tc>
          <w:tcPr>
            <w:tcW w:w="1275" w:type="dxa"/>
            <w:shd w:val="clear" w:color="D9E2F3" w:themeColor="accent1" w:themeTint="33" w:fill="FFC000" w:themeFill="accent4"/>
          </w:tcPr>
          <w:p w14:paraId="204C5B7D"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C5E944A" w14:textId="77777777" w:rsidR="008E765F" w:rsidRPr="00822EBF" w:rsidRDefault="008E765F" w:rsidP="00611251">
            <w:pPr>
              <w:pStyle w:val="RCTstable"/>
            </w:pPr>
            <w:r w:rsidRPr="00822EBF">
              <w:t>Authors reported that the trial was cluster randomised.</w:t>
            </w:r>
            <w:r>
              <w:t xml:space="preserve"> </w:t>
            </w:r>
            <w:r w:rsidRPr="00822EBF">
              <w:t>However, it is not clear how clustering was used. The</w:t>
            </w:r>
            <w:r>
              <w:t xml:space="preserve"> </w:t>
            </w:r>
            <w:r w:rsidRPr="00822EBF">
              <w:t>sequence gene</w:t>
            </w:r>
            <w:r>
              <w:t>ration is simply described as: “</w:t>
            </w:r>
            <w:r w:rsidRPr="00822EBF">
              <w:t>exponential</w:t>
            </w:r>
            <w:r>
              <w:t xml:space="preserve"> </w:t>
            </w:r>
            <w:r w:rsidRPr="00822EBF">
              <w:t>random numbers produced the intervention group and the</w:t>
            </w:r>
            <w:r>
              <w:t xml:space="preserve"> control group”</w:t>
            </w:r>
            <w:r w:rsidRPr="00822EBF">
              <w:t>.</w:t>
            </w:r>
          </w:p>
        </w:tc>
      </w:tr>
      <w:tr w:rsidR="008E765F" w:rsidRPr="00822EBF" w14:paraId="1803592F" w14:textId="77777777" w:rsidTr="005A5EBF">
        <w:trPr>
          <w:cantSplit/>
        </w:trPr>
        <w:tc>
          <w:tcPr>
            <w:tcW w:w="1560" w:type="dxa"/>
            <w:shd w:val="clear" w:color="D9E2F3" w:themeColor="accent1" w:themeTint="33" w:fill="auto"/>
          </w:tcPr>
          <w:p w14:paraId="1690A86A" w14:textId="77777777" w:rsidR="008E765F" w:rsidRPr="00822EBF" w:rsidRDefault="008E765F" w:rsidP="00611251">
            <w:pPr>
              <w:pStyle w:val="RCTstable"/>
            </w:pPr>
            <w:r w:rsidRPr="00822EBF">
              <w:t xml:space="preserve">Allocation concealment </w:t>
            </w:r>
          </w:p>
        </w:tc>
        <w:tc>
          <w:tcPr>
            <w:tcW w:w="1275" w:type="dxa"/>
            <w:shd w:val="clear" w:color="D9E2F3" w:themeColor="accent1" w:themeTint="33" w:fill="FFC000" w:themeFill="accent4"/>
          </w:tcPr>
          <w:p w14:paraId="4699B5A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11DAF55B" w14:textId="77777777" w:rsidR="008E765F" w:rsidRPr="00822EBF" w:rsidRDefault="008E765F" w:rsidP="00611251">
            <w:pPr>
              <w:pStyle w:val="RCTstable"/>
            </w:pPr>
            <w:r w:rsidRPr="00822EBF">
              <w:t>Not described</w:t>
            </w:r>
            <w:r>
              <w:t>.</w:t>
            </w:r>
          </w:p>
        </w:tc>
      </w:tr>
      <w:tr w:rsidR="008E765F" w:rsidRPr="00822EBF" w14:paraId="32B966AA" w14:textId="77777777" w:rsidTr="005A5EBF">
        <w:trPr>
          <w:cantSplit/>
        </w:trPr>
        <w:tc>
          <w:tcPr>
            <w:tcW w:w="1560" w:type="dxa"/>
            <w:shd w:val="clear" w:color="D9E2F3" w:themeColor="accent1" w:themeTint="33" w:fill="auto"/>
          </w:tcPr>
          <w:p w14:paraId="53813198" w14:textId="77777777" w:rsidR="008E765F" w:rsidRPr="00822EBF" w:rsidRDefault="008E765F" w:rsidP="00611251">
            <w:pPr>
              <w:pStyle w:val="RCTstable"/>
            </w:pPr>
            <w:r w:rsidRPr="00822EBF">
              <w:t>Performance bias</w:t>
            </w:r>
          </w:p>
        </w:tc>
        <w:tc>
          <w:tcPr>
            <w:tcW w:w="1275" w:type="dxa"/>
            <w:shd w:val="clear" w:color="D9E2F3" w:themeColor="accent1" w:themeTint="33" w:fill="FF4D19"/>
          </w:tcPr>
          <w:p w14:paraId="1E58860A"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451ADDBD" w14:textId="77777777" w:rsidR="008E765F" w:rsidRPr="00822EBF" w:rsidRDefault="008E765F" w:rsidP="00611251">
            <w:pPr>
              <w:pStyle w:val="RCTstable"/>
            </w:pPr>
            <w:r w:rsidRPr="00822EBF">
              <w:t>Blinding of women and trial personnel not considered</w:t>
            </w:r>
            <w:r>
              <w:t xml:space="preserve"> </w:t>
            </w:r>
            <w:r w:rsidRPr="00822EBF">
              <w:t>feasible in view of the intervention and control</w:t>
            </w:r>
            <w:r>
              <w:t>.</w:t>
            </w:r>
          </w:p>
        </w:tc>
      </w:tr>
      <w:tr w:rsidR="008E765F" w:rsidRPr="00822EBF" w14:paraId="779D2949" w14:textId="77777777" w:rsidTr="005A5EBF">
        <w:trPr>
          <w:cantSplit/>
        </w:trPr>
        <w:tc>
          <w:tcPr>
            <w:tcW w:w="1560" w:type="dxa"/>
            <w:shd w:val="clear" w:color="D9E2F3" w:themeColor="accent1" w:themeTint="33" w:fill="auto"/>
          </w:tcPr>
          <w:p w14:paraId="0DA45AC8" w14:textId="77777777" w:rsidR="008E765F" w:rsidRPr="00822EBF" w:rsidRDefault="008E765F" w:rsidP="00611251">
            <w:pPr>
              <w:pStyle w:val="RCTstable"/>
            </w:pPr>
            <w:r w:rsidRPr="00822EBF">
              <w:t>Detection bias</w:t>
            </w:r>
          </w:p>
        </w:tc>
        <w:tc>
          <w:tcPr>
            <w:tcW w:w="1275" w:type="dxa"/>
            <w:shd w:val="clear" w:color="D9E2F3" w:themeColor="accent1" w:themeTint="33" w:fill="FFC000" w:themeFill="accent4"/>
          </w:tcPr>
          <w:p w14:paraId="753B6805"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03127EF5" w14:textId="77777777" w:rsidR="008E765F" w:rsidRPr="00822EBF" w:rsidRDefault="008E765F" w:rsidP="00611251">
            <w:pPr>
              <w:pStyle w:val="RCTstable"/>
            </w:pPr>
            <w:r w:rsidRPr="00822EBF">
              <w:t>Not described</w:t>
            </w:r>
            <w:r>
              <w:t>.</w:t>
            </w:r>
          </w:p>
        </w:tc>
      </w:tr>
      <w:tr w:rsidR="008E765F" w:rsidRPr="00822EBF" w14:paraId="0B710305" w14:textId="77777777" w:rsidTr="005A5EBF">
        <w:trPr>
          <w:cantSplit/>
        </w:trPr>
        <w:tc>
          <w:tcPr>
            <w:tcW w:w="1560" w:type="dxa"/>
            <w:shd w:val="clear" w:color="D9E2F3" w:themeColor="accent1" w:themeTint="33" w:fill="auto"/>
          </w:tcPr>
          <w:p w14:paraId="6345BCC5" w14:textId="77777777" w:rsidR="008E765F" w:rsidRPr="00822EBF" w:rsidRDefault="008E765F" w:rsidP="00611251">
            <w:pPr>
              <w:pStyle w:val="RCTstable"/>
            </w:pPr>
            <w:r w:rsidRPr="00822EBF">
              <w:t>Incomplete outcome data</w:t>
            </w:r>
          </w:p>
        </w:tc>
        <w:tc>
          <w:tcPr>
            <w:tcW w:w="1275" w:type="dxa"/>
            <w:shd w:val="clear" w:color="D9E2F3" w:themeColor="accent1" w:themeTint="33" w:fill="70AD47" w:themeFill="accent6"/>
          </w:tcPr>
          <w:p w14:paraId="0567CE07"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7A578AB4" w14:textId="77777777" w:rsidR="008E765F" w:rsidRPr="00822EBF" w:rsidRDefault="008E765F" w:rsidP="00611251">
            <w:pPr>
              <w:pStyle w:val="RCTstable"/>
            </w:pPr>
            <w:r>
              <w:t>Balanced attrition; 91% of intervention group and 92% of control group</w:t>
            </w:r>
            <w:r w:rsidRPr="00822EBF">
              <w:t xml:space="preserve"> were followed up and included in the</w:t>
            </w:r>
            <w:r>
              <w:t xml:space="preserve"> </w:t>
            </w:r>
            <w:r w:rsidRPr="00822EBF">
              <w:t>analyses</w:t>
            </w:r>
            <w:r>
              <w:t>, with reasons for attrition given.</w:t>
            </w:r>
          </w:p>
        </w:tc>
      </w:tr>
      <w:tr w:rsidR="008E765F" w:rsidRPr="00822EBF" w14:paraId="7DFE5CF6" w14:textId="77777777" w:rsidTr="005A5EBF">
        <w:trPr>
          <w:cantSplit/>
        </w:trPr>
        <w:tc>
          <w:tcPr>
            <w:tcW w:w="1560" w:type="dxa"/>
            <w:shd w:val="clear" w:color="D9E2F3" w:themeColor="accent1" w:themeTint="33" w:fill="auto"/>
          </w:tcPr>
          <w:p w14:paraId="098D9263" w14:textId="77777777" w:rsidR="008E765F" w:rsidRPr="00822EBF" w:rsidRDefault="008E765F" w:rsidP="00611251">
            <w:pPr>
              <w:pStyle w:val="RCTstable"/>
            </w:pPr>
            <w:r w:rsidRPr="00822EBF">
              <w:t>Selective reporting</w:t>
            </w:r>
          </w:p>
        </w:tc>
        <w:tc>
          <w:tcPr>
            <w:tcW w:w="1275" w:type="dxa"/>
            <w:shd w:val="clear" w:color="D9E2F3" w:themeColor="accent1" w:themeTint="33" w:fill="FFC000" w:themeFill="accent4"/>
          </w:tcPr>
          <w:p w14:paraId="1735A2F4"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7FB92CF3" w14:textId="77777777" w:rsidR="008E765F" w:rsidRPr="00822EBF" w:rsidRDefault="008E765F" w:rsidP="00611251">
            <w:pPr>
              <w:pStyle w:val="RCTstable"/>
            </w:pPr>
            <w:r w:rsidRPr="00822EBF">
              <w:t>With no access to a trial protocol, it was not possible to</w:t>
            </w:r>
            <w:r>
              <w:t xml:space="preserve"> </w:t>
            </w:r>
            <w:r w:rsidRPr="00822EBF">
              <w:t>confidently assess selective reporting</w:t>
            </w:r>
            <w:r>
              <w:t>.</w:t>
            </w:r>
          </w:p>
        </w:tc>
      </w:tr>
      <w:tr w:rsidR="008E765F" w:rsidRPr="00822EBF" w14:paraId="119D0826" w14:textId="77777777" w:rsidTr="005A5EBF">
        <w:trPr>
          <w:cantSplit/>
        </w:trPr>
        <w:tc>
          <w:tcPr>
            <w:tcW w:w="1560" w:type="dxa"/>
            <w:shd w:val="clear" w:color="D9E2F3" w:themeColor="accent1" w:themeTint="33" w:fill="auto"/>
          </w:tcPr>
          <w:p w14:paraId="22413EC8"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3C124A69"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24BD6A20" w14:textId="77777777" w:rsidR="008E765F" w:rsidRPr="00822EBF" w:rsidRDefault="008E765F" w:rsidP="00611251">
            <w:pPr>
              <w:pStyle w:val="RCTstable"/>
            </w:pPr>
            <w:r w:rsidRPr="00822EBF">
              <w:t>Limited methodological detail provided; insufficient information</w:t>
            </w:r>
            <w:r>
              <w:t xml:space="preserve"> </w:t>
            </w:r>
            <w:r w:rsidRPr="00822EBF">
              <w:t>to determine risk of other bias</w:t>
            </w:r>
            <w:r>
              <w:t>.</w:t>
            </w:r>
          </w:p>
        </w:tc>
      </w:tr>
      <w:tr w:rsidR="008E765F" w:rsidRPr="0048317A" w14:paraId="662B7E02" w14:textId="77777777" w:rsidTr="005A5EBF">
        <w:trPr>
          <w:cantSplit/>
        </w:trPr>
        <w:tc>
          <w:tcPr>
            <w:tcW w:w="14034" w:type="dxa"/>
            <w:gridSpan w:val="3"/>
            <w:shd w:val="solid" w:color="D9E2F3" w:themeColor="accent1" w:themeTint="33" w:fill="auto"/>
          </w:tcPr>
          <w:p w14:paraId="504E47F6" w14:textId="0C0EE432" w:rsidR="008E765F" w:rsidRPr="0048317A" w:rsidRDefault="008E765F" w:rsidP="002747EA">
            <w:pPr>
              <w:pStyle w:val="RCTstable"/>
              <w:keepNext/>
              <w:rPr>
                <w:b/>
              </w:rPr>
            </w:pPr>
            <w:r w:rsidRPr="0025597C">
              <w:rPr>
                <w:rFonts w:ascii="Century Gothic" w:hAnsi="Century Gothic"/>
                <w:b/>
                <w:noProof/>
              </w:rPr>
              <w:t>Willcox et al 2017</w:t>
            </w:r>
            <w:r>
              <w:fldChar w:fldCharType="begin"/>
            </w:r>
            <w:r w:rsidR="002747EA">
              <w:instrText xml:space="preserve"> ADDIN EN.CITE &lt;EndNote&gt;&lt;Cite&gt;&lt;Author&gt;Willcox&lt;/Author&gt;&lt;Year&gt;2017&lt;/Year&gt;&lt;RecNum&gt;965&lt;/RecNum&gt;&lt;DisplayText&gt;&lt;style face="superscript" font="Trebuchet MS" size="9"&gt;500&lt;/style&gt;&lt;/DisplayText&gt;&lt;record&gt;&lt;rec-number&gt;965&lt;/rec-number&gt;&lt;foreign-keys&gt;&lt;key app="EN" db-id="exvasrfx2dtraoesasxp2szsxa2df502592x" timestamp="1552950079"&gt;965&lt;/key&gt;&lt;key app="ENWeb" db-id=""&gt;0&lt;/key&gt;&lt;/foreign-keys&gt;&lt;ref-type name="Journal Article"&gt;17&lt;/ref-type&gt;&lt;contributors&gt;&lt;authors&gt;&lt;author&gt;Willcox, J.C.,&lt;/author&gt;&lt;author&gt;Wilkinson, S.A.,&lt;/author&gt;&lt;author&gt;Lappas, M.,&lt;/author&gt;&lt;author&gt;Ball, K.,&lt;/author&gt;&lt;author&gt;Crawford, D.,&lt;/author&gt;&lt;author&gt;McCarthy, E.A.,&lt;/author&gt;&lt;author&gt;Fjeldsoe, B.,&lt;/author&gt;&lt;/authors&gt;&lt;/contributors&gt;&lt;auth-address&gt;Departments of Medicine, Public Health, and Ob/Gyn, Temple University, Philadelphia, PA, USA.&lt;/auth-address&gt;&lt;titles&gt;&lt;title&gt;A mobile health intervention promoting healthy gestational weight gain for women entering pregnancy at a high body mass index: the txt4two pilot randomised controlled trial&lt;/title&gt;&lt;secondary-title&gt;BJOG&lt;/secondary-title&gt;&lt;/titles&gt;&lt;periodical&gt;&lt;full-title&gt;BJOG&lt;/full-title&gt;&lt;/periodical&gt;&lt;pages&gt;1718-28&lt;/pages&gt;&lt;volume&gt;124&lt;/volume&gt;&lt;number&gt;11&lt;/number&gt;&lt;edition&gt;2017/04/20&lt;/edition&gt;&lt;dates&gt;&lt;year&gt;2017&lt;/year&gt;&lt;pub-dates&gt;&lt;date&gt;Oct&lt;/date&gt;&lt;/pub-dates&gt;&lt;/dates&gt;&lt;isbn&gt;1471-0528 (Electronic)&amp;#xD;1470-0328 (Linking)&lt;/isbn&gt;&lt;accession-num&gt;28422398&lt;/accession-num&gt;&lt;urls&gt;&lt;related-urls&gt;&lt;url&gt;https://www.ncbi.nlm.nih.gov/pubmed/28422398&lt;/url&gt;&lt;/related-urls&gt;&lt;/urls&gt;&lt;electronic-resource-num&gt;10.1111/1471-0528.14693&lt;/electronic-resource-num&gt;&lt;/record&gt;&lt;/Cite&gt;&lt;/EndNote&gt;</w:instrText>
            </w:r>
            <w:r>
              <w:fldChar w:fldCharType="separate"/>
            </w:r>
            <w:r w:rsidR="002747EA" w:rsidRPr="002747EA">
              <w:rPr>
                <w:noProof/>
                <w:sz w:val="18"/>
                <w:vertAlign w:val="superscript"/>
              </w:rPr>
              <w:t>500</w:t>
            </w:r>
            <w:r>
              <w:fldChar w:fldCharType="end"/>
            </w:r>
          </w:p>
        </w:tc>
      </w:tr>
      <w:tr w:rsidR="008E765F" w:rsidRPr="00822EBF" w14:paraId="712DD24D" w14:textId="77777777" w:rsidTr="005A5EBF">
        <w:trPr>
          <w:cantSplit/>
        </w:trPr>
        <w:tc>
          <w:tcPr>
            <w:tcW w:w="1560" w:type="dxa"/>
            <w:shd w:val="clear" w:color="D9E2F3" w:themeColor="accent1" w:themeTint="33" w:fill="auto"/>
          </w:tcPr>
          <w:p w14:paraId="2D8E042B" w14:textId="77777777" w:rsidR="008E765F" w:rsidRPr="00822EBF" w:rsidRDefault="008E765F" w:rsidP="006045AE">
            <w:pPr>
              <w:pStyle w:val="RCTstable"/>
              <w:keepNext/>
            </w:pPr>
            <w:r w:rsidRPr="00822EBF">
              <w:t>Random sequence generation</w:t>
            </w:r>
          </w:p>
        </w:tc>
        <w:tc>
          <w:tcPr>
            <w:tcW w:w="1275" w:type="dxa"/>
            <w:shd w:val="clear" w:color="D9E2F3" w:themeColor="accent1" w:themeTint="33" w:fill="70AD47" w:themeFill="accent6"/>
          </w:tcPr>
          <w:p w14:paraId="3C42BF9C"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67BDA347" w14:textId="77777777" w:rsidR="008E765F" w:rsidRPr="00822EBF" w:rsidRDefault="008E765F" w:rsidP="006045AE">
            <w:pPr>
              <w:pStyle w:val="RCTstable"/>
              <w:keepNext/>
            </w:pPr>
            <w:r>
              <w:t>“</w:t>
            </w:r>
            <w:r w:rsidRPr="00822EBF">
              <w:t>Randomisation utilised computer-generated random numbers.</w:t>
            </w:r>
            <w:r>
              <w:t>”</w:t>
            </w:r>
          </w:p>
        </w:tc>
      </w:tr>
      <w:tr w:rsidR="008E765F" w:rsidRPr="00822EBF" w14:paraId="1CEBEF03" w14:textId="77777777" w:rsidTr="005A5EBF">
        <w:trPr>
          <w:cantSplit/>
        </w:trPr>
        <w:tc>
          <w:tcPr>
            <w:tcW w:w="1560" w:type="dxa"/>
            <w:shd w:val="clear" w:color="D9E2F3" w:themeColor="accent1" w:themeTint="33" w:fill="auto"/>
          </w:tcPr>
          <w:p w14:paraId="05E9C950" w14:textId="77777777" w:rsidR="008E765F" w:rsidRPr="00822EBF" w:rsidRDefault="008E765F" w:rsidP="006045AE">
            <w:pPr>
              <w:pStyle w:val="RCTstable"/>
              <w:keepNext/>
            </w:pPr>
            <w:r w:rsidRPr="00822EBF">
              <w:t xml:space="preserve">Allocation concealment </w:t>
            </w:r>
          </w:p>
        </w:tc>
        <w:tc>
          <w:tcPr>
            <w:tcW w:w="1275" w:type="dxa"/>
            <w:shd w:val="clear" w:color="D9E2F3" w:themeColor="accent1" w:themeTint="33" w:fill="70AD47" w:themeFill="accent6"/>
          </w:tcPr>
          <w:p w14:paraId="74DCC6EB" w14:textId="77777777" w:rsidR="008E765F" w:rsidRPr="00822EBF" w:rsidRDefault="008E765F" w:rsidP="006045AE">
            <w:pPr>
              <w:pStyle w:val="RCTstable"/>
              <w:keepNext/>
            </w:pPr>
            <w:r w:rsidRPr="00822EBF">
              <w:t>Low risk</w:t>
            </w:r>
          </w:p>
        </w:tc>
        <w:tc>
          <w:tcPr>
            <w:tcW w:w="11199" w:type="dxa"/>
            <w:shd w:val="clear" w:color="D9E2F3" w:themeColor="accent1" w:themeTint="33" w:fill="auto"/>
          </w:tcPr>
          <w:p w14:paraId="54C822CD" w14:textId="77777777" w:rsidR="008E765F" w:rsidRPr="00822EBF" w:rsidRDefault="008E765F" w:rsidP="006045AE">
            <w:pPr>
              <w:pStyle w:val="RCTstable"/>
              <w:keepNext/>
            </w:pPr>
            <w:r>
              <w:t>“</w:t>
            </w:r>
            <w:r w:rsidRPr="00822EBF">
              <w:t>Numbered cards allocating women to either the intervention or control groups were placed in opaque, sequentially numbered envelopes.</w:t>
            </w:r>
            <w:r>
              <w:t>”</w:t>
            </w:r>
          </w:p>
        </w:tc>
      </w:tr>
      <w:tr w:rsidR="008E765F" w:rsidRPr="00822EBF" w14:paraId="49A2B54B" w14:textId="77777777" w:rsidTr="005A5EBF">
        <w:trPr>
          <w:cantSplit/>
        </w:trPr>
        <w:tc>
          <w:tcPr>
            <w:tcW w:w="1560" w:type="dxa"/>
            <w:shd w:val="clear" w:color="D9E2F3" w:themeColor="accent1" w:themeTint="33" w:fill="auto"/>
          </w:tcPr>
          <w:p w14:paraId="223D0615" w14:textId="77777777" w:rsidR="008E765F" w:rsidRPr="00822EBF" w:rsidRDefault="008E765F" w:rsidP="006045AE">
            <w:pPr>
              <w:pStyle w:val="RCTstable"/>
              <w:keepNext/>
            </w:pPr>
            <w:r w:rsidRPr="00822EBF">
              <w:t>Performance bias</w:t>
            </w:r>
          </w:p>
        </w:tc>
        <w:tc>
          <w:tcPr>
            <w:tcW w:w="1275" w:type="dxa"/>
            <w:shd w:val="clear" w:color="D9E2F3" w:themeColor="accent1" w:themeTint="33" w:fill="FF4D19"/>
          </w:tcPr>
          <w:p w14:paraId="1A1F0BC1" w14:textId="77777777" w:rsidR="008E765F" w:rsidRPr="00822EBF" w:rsidRDefault="008E765F" w:rsidP="006045AE">
            <w:pPr>
              <w:pStyle w:val="RCTstable"/>
              <w:keepNext/>
            </w:pPr>
            <w:r w:rsidRPr="00822EBF">
              <w:t>High risk</w:t>
            </w:r>
          </w:p>
        </w:tc>
        <w:tc>
          <w:tcPr>
            <w:tcW w:w="11199" w:type="dxa"/>
            <w:shd w:val="clear" w:color="D9E2F3" w:themeColor="accent1" w:themeTint="33" w:fill="auto"/>
          </w:tcPr>
          <w:p w14:paraId="3412A077" w14:textId="77777777" w:rsidR="008E765F" w:rsidRPr="00822EBF" w:rsidRDefault="008E765F" w:rsidP="006045AE">
            <w:pPr>
              <w:pStyle w:val="RCTstable"/>
              <w:keepNext/>
            </w:pPr>
            <w:r w:rsidRPr="00822EBF">
              <w:t>Given the nature of the intervention, participants could not be blinded to group assignment.</w:t>
            </w:r>
          </w:p>
        </w:tc>
      </w:tr>
      <w:tr w:rsidR="008E765F" w:rsidRPr="00822EBF" w14:paraId="72AE4A73" w14:textId="77777777" w:rsidTr="005A5EBF">
        <w:trPr>
          <w:cantSplit/>
        </w:trPr>
        <w:tc>
          <w:tcPr>
            <w:tcW w:w="1560" w:type="dxa"/>
            <w:shd w:val="clear" w:color="D9E2F3" w:themeColor="accent1" w:themeTint="33" w:fill="auto"/>
          </w:tcPr>
          <w:p w14:paraId="0211E3B4" w14:textId="77777777" w:rsidR="008E765F" w:rsidRPr="00822EBF" w:rsidRDefault="008E765F" w:rsidP="00611251">
            <w:pPr>
              <w:pStyle w:val="RCTstable"/>
            </w:pPr>
            <w:r w:rsidRPr="00822EBF">
              <w:t>Detection bias</w:t>
            </w:r>
          </w:p>
        </w:tc>
        <w:tc>
          <w:tcPr>
            <w:tcW w:w="1275" w:type="dxa"/>
            <w:shd w:val="clear" w:color="D9E2F3" w:themeColor="accent1" w:themeTint="33" w:fill="70AD47" w:themeFill="accent6"/>
          </w:tcPr>
          <w:p w14:paraId="0359219F"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0D6B9135" w14:textId="77777777" w:rsidR="008E765F" w:rsidRPr="00822EBF" w:rsidRDefault="008E765F" w:rsidP="00611251">
            <w:pPr>
              <w:pStyle w:val="RCTstable"/>
            </w:pPr>
            <w:r>
              <w:t>“</w:t>
            </w:r>
            <w:r w:rsidRPr="00822EBF">
              <w:t>The participant group allocation was re-coded by an independent researcher to ensure that the data analyst was blinded to allocation.</w:t>
            </w:r>
            <w:r>
              <w:t>”</w:t>
            </w:r>
          </w:p>
        </w:tc>
      </w:tr>
      <w:tr w:rsidR="008E765F" w:rsidRPr="00822EBF" w14:paraId="242E4EA0" w14:textId="77777777" w:rsidTr="005A5EBF">
        <w:trPr>
          <w:cantSplit/>
        </w:trPr>
        <w:tc>
          <w:tcPr>
            <w:tcW w:w="1560" w:type="dxa"/>
            <w:shd w:val="clear" w:color="D9E2F3" w:themeColor="accent1" w:themeTint="33" w:fill="auto"/>
          </w:tcPr>
          <w:p w14:paraId="236B152D" w14:textId="77777777" w:rsidR="008E765F" w:rsidRPr="00822EBF" w:rsidRDefault="008E765F" w:rsidP="00611251">
            <w:pPr>
              <w:pStyle w:val="RCTstable"/>
            </w:pPr>
            <w:r w:rsidRPr="00822EBF">
              <w:t>Incomplete outcome data</w:t>
            </w:r>
          </w:p>
        </w:tc>
        <w:tc>
          <w:tcPr>
            <w:tcW w:w="1275" w:type="dxa"/>
            <w:shd w:val="clear" w:color="D9E2F3" w:themeColor="accent1" w:themeTint="33" w:fill="FF4D19"/>
          </w:tcPr>
          <w:p w14:paraId="5E183716" w14:textId="77777777" w:rsidR="008E765F" w:rsidRPr="00822EBF" w:rsidRDefault="008E765F" w:rsidP="00611251">
            <w:pPr>
              <w:pStyle w:val="RCTstable"/>
            </w:pPr>
            <w:r w:rsidRPr="00822EBF">
              <w:t>High risk</w:t>
            </w:r>
          </w:p>
        </w:tc>
        <w:tc>
          <w:tcPr>
            <w:tcW w:w="11199" w:type="dxa"/>
            <w:shd w:val="clear" w:color="D9E2F3" w:themeColor="accent1" w:themeTint="33" w:fill="auto"/>
          </w:tcPr>
          <w:p w14:paraId="62063BBB" w14:textId="77777777" w:rsidR="008E765F" w:rsidRPr="00822EBF" w:rsidRDefault="008E765F" w:rsidP="00611251">
            <w:pPr>
              <w:pStyle w:val="RCTstable"/>
            </w:pPr>
            <w:r w:rsidRPr="00822EBF">
              <w:t>Four women from each arm withdrew early in the intervention due to miscarriage or pregnancy complications, and one woman withdrew from the intervention arm citing dislike of the intervention.</w:t>
            </w:r>
          </w:p>
        </w:tc>
      </w:tr>
      <w:tr w:rsidR="008E765F" w:rsidRPr="00822EBF" w14:paraId="0A52999D" w14:textId="77777777" w:rsidTr="005A5EBF">
        <w:trPr>
          <w:cantSplit/>
        </w:trPr>
        <w:tc>
          <w:tcPr>
            <w:tcW w:w="1560" w:type="dxa"/>
            <w:shd w:val="clear" w:color="D9E2F3" w:themeColor="accent1" w:themeTint="33" w:fill="auto"/>
          </w:tcPr>
          <w:p w14:paraId="1F8B13DD" w14:textId="77777777" w:rsidR="008E765F" w:rsidRPr="00822EBF" w:rsidRDefault="008E765F" w:rsidP="00611251">
            <w:pPr>
              <w:pStyle w:val="RCTstable"/>
            </w:pPr>
            <w:r w:rsidRPr="00822EBF">
              <w:t>Selective reporting</w:t>
            </w:r>
          </w:p>
        </w:tc>
        <w:tc>
          <w:tcPr>
            <w:tcW w:w="1275" w:type="dxa"/>
            <w:shd w:val="clear" w:color="D9E2F3" w:themeColor="accent1" w:themeTint="33" w:fill="70AD47" w:themeFill="accent6"/>
          </w:tcPr>
          <w:p w14:paraId="3585C08E" w14:textId="77777777" w:rsidR="008E765F" w:rsidRPr="00822EBF" w:rsidRDefault="008E765F" w:rsidP="00611251">
            <w:pPr>
              <w:pStyle w:val="RCTstable"/>
            </w:pPr>
            <w:r w:rsidRPr="00822EBF">
              <w:t>Low risk</w:t>
            </w:r>
          </w:p>
        </w:tc>
        <w:tc>
          <w:tcPr>
            <w:tcW w:w="11199" w:type="dxa"/>
            <w:shd w:val="clear" w:color="D9E2F3" w:themeColor="accent1" w:themeTint="33" w:fill="auto"/>
          </w:tcPr>
          <w:p w14:paraId="6738D50F" w14:textId="77777777" w:rsidR="008E765F" w:rsidRPr="00822EBF" w:rsidRDefault="008E765F" w:rsidP="00611251">
            <w:pPr>
              <w:pStyle w:val="RCTstable"/>
            </w:pPr>
            <w:r w:rsidRPr="00822EBF">
              <w:t>Pre-specified outcomes reported.</w:t>
            </w:r>
          </w:p>
        </w:tc>
      </w:tr>
      <w:tr w:rsidR="008E765F" w:rsidRPr="00822EBF" w14:paraId="6DBD9359" w14:textId="77777777" w:rsidTr="005A5EBF">
        <w:trPr>
          <w:cantSplit/>
        </w:trPr>
        <w:tc>
          <w:tcPr>
            <w:tcW w:w="1560" w:type="dxa"/>
            <w:shd w:val="clear" w:color="D9E2F3" w:themeColor="accent1" w:themeTint="33" w:fill="auto"/>
          </w:tcPr>
          <w:p w14:paraId="1DDBC480" w14:textId="77777777" w:rsidR="008E765F" w:rsidRPr="00822EBF" w:rsidRDefault="008E765F" w:rsidP="00611251">
            <w:pPr>
              <w:pStyle w:val="RCTstable"/>
            </w:pPr>
            <w:r w:rsidRPr="00822EBF">
              <w:t xml:space="preserve">Other limitations </w:t>
            </w:r>
          </w:p>
        </w:tc>
        <w:tc>
          <w:tcPr>
            <w:tcW w:w="1275" w:type="dxa"/>
            <w:shd w:val="clear" w:color="D9E2F3" w:themeColor="accent1" w:themeTint="33" w:fill="FFC000" w:themeFill="accent4"/>
          </w:tcPr>
          <w:p w14:paraId="130E1947" w14:textId="77777777" w:rsidR="008E765F" w:rsidRPr="00822EBF" w:rsidRDefault="008E765F" w:rsidP="00611251">
            <w:pPr>
              <w:pStyle w:val="RCTstable"/>
            </w:pPr>
            <w:r w:rsidRPr="00822EBF">
              <w:t>Unclear risk</w:t>
            </w:r>
          </w:p>
        </w:tc>
        <w:tc>
          <w:tcPr>
            <w:tcW w:w="11199" w:type="dxa"/>
            <w:shd w:val="clear" w:color="D9E2F3" w:themeColor="accent1" w:themeTint="33" w:fill="auto"/>
          </w:tcPr>
          <w:p w14:paraId="1EEC63CE" w14:textId="77777777" w:rsidR="008E765F" w:rsidRPr="00822EBF" w:rsidRDefault="008E765F" w:rsidP="00611251">
            <w:pPr>
              <w:pStyle w:val="RCTstable"/>
            </w:pPr>
            <w:r w:rsidRPr="00822EBF">
              <w:t>A higher proportion of the intervention group had lower household incomes than in the control group.</w:t>
            </w:r>
          </w:p>
        </w:tc>
      </w:tr>
    </w:tbl>
    <w:p w14:paraId="1CCAC268" w14:textId="77777777" w:rsidR="008E765F" w:rsidRPr="00C12274" w:rsidRDefault="008E765F" w:rsidP="008E765F"/>
    <w:p w14:paraId="2990DA09" w14:textId="77777777" w:rsidR="008E765F" w:rsidRPr="00C12274" w:rsidRDefault="008E765F" w:rsidP="008E765F">
      <w:pPr>
        <w:pStyle w:val="Heading1"/>
        <w:numPr>
          <w:ilvl w:val="0"/>
          <w:numId w:val="0"/>
        </w:numPr>
        <w:sectPr w:rsidR="008E765F" w:rsidRPr="00C12274" w:rsidSect="000E26CA">
          <w:pgSz w:w="16820" w:h="11900" w:orient="landscape"/>
          <w:pgMar w:top="1418" w:right="1134" w:bottom="1418" w:left="1134" w:header="709" w:footer="709" w:gutter="0"/>
          <w:cols w:space="708"/>
          <w:docGrid w:linePitch="360"/>
        </w:sectPr>
      </w:pPr>
    </w:p>
    <w:p w14:paraId="624B276F" w14:textId="63BC4A53" w:rsidR="00BF2BF6" w:rsidRDefault="00B92B93" w:rsidP="00BF2BF6">
      <w:pPr>
        <w:pStyle w:val="Heading2"/>
        <w:numPr>
          <w:ilvl w:val="0"/>
          <w:numId w:val="0"/>
        </w:numPr>
        <w:rPr>
          <w:lang w:val="en-AU"/>
        </w:rPr>
      </w:pPr>
      <w:bookmarkStart w:id="273" w:name="_Toc40956564"/>
      <w:r>
        <w:rPr>
          <w:lang w:val="en-AU"/>
        </w:rPr>
        <w:t>C</w:t>
      </w:r>
      <w:r w:rsidR="00BF2BF6">
        <w:rPr>
          <w:lang w:val="en-AU"/>
        </w:rPr>
        <w:tab/>
      </w:r>
      <w:r w:rsidR="00BF2BF6" w:rsidRPr="00C12274">
        <w:rPr>
          <w:lang w:val="en-AU"/>
        </w:rPr>
        <w:t>Analyses</w:t>
      </w:r>
      <w:bookmarkEnd w:id="244"/>
      <w:bookmarkEnd w:id="273"/>
      <w:r w:rsidR="00BF2BF6">
        <w:rPr>
          <w:lang w:val="en-AU"/>
        </w:rPr>
        <w:t xml:space="preserve"> </w:t>
      </w:r>
    </w:p>
    <w:p w14:paraId="345E30A8" w14:textId="6BBCA966" w:rsidR="00E760BE" w:rsidRDefault="00D9689A" w:rsidP="008E765F">
      <w:pPr>
        <w:pStyle w:val="Heading3"/>
        <w:numPr>
          <w:ilvl w:val="0"/>
          <w:numId w:val="0"/>
        </w:numPr>
        <w:rPr>
          <w:lang w:val="en-AU"/>
        </w:rPr>
      </w:pPr>
      <w:bookmarkStart w:id="274" w:name="_Toc40956565"/>
      <w:r>
        <w:rPr>
          <w:lang w:val="en-AU"/>
        </w:rPr>
        <w:t xml:space="preserve">Comparison 1: </w:t>
      </w:r>
      <w:r w:rsidR="00E760BE">
        <w:rPr>
          <w:lang w:val="en-AU"/>
        </w:rPr>
        <w:t>Probiotics versus placebo</w:t>
      </w:r>
      <w:bookmarkEnd w:id="274"/>
    </w:p>
    <w:p w14:paraId="05C46903" w14:textId="5AFD486B" w:rsidR="00E760BE" w:rsidRDefault="00E760BE" w:rsidP="00E760BE">
      <w:pPr>
        <w:pStyle w:val="Heading5"/>
        <w:rPr>
          <w:lang w:val="en-AU"/>
        </w:rPr>
      </w:pPr>
      <w:r>
        <w:rPr>
          <w:lang w:val="en-AU"/>
        </w:rPr>
        <w:t>Maternal outcomes</w:t>
      </w:r>
    </w:p>
    <w:p w14:paraId="0A26D4EB" w14:textId="3444EF42" w:rsidR="00E760BE" w:rsidRDefault="00E760BE" w:rsidP="00E760BE">
      <w:pPr>
        <w:pStyle w:val="Heading6"/>
      </w:pPr>
      <w:bookmarkStart w:id="275" w:name="_Ref32819065"/>
      <w:r w:rsidRPr="00E760BE">
        <w:t>1.1</w:t>
      </w:r>
      <w:r w:rsidRPr="00E760BE">
        <w:tab/>
      </w:r>
      <w:r>
        <w:t>Gestational diabetes</w:t>
      </w:r>
      <w:bookmarkEnd w:id="275"/>
    </w:p>
    <w:p w14:paraId="50A6A0B8" w14:textId="5DC2455E" w:rsidR="00DF7920" w:rsidRDefault="006D2F20" w:rsidP="00DF7920">
      <w:pPr>
        <w:pStyle w:val="Figure"/>
      </w:pPr>
      <w:r>
        <w:rPr>
          <w:noProof/>
          <w:lang w:val="en-AU" w:eastAsia="en-AU"/>
        </w:rPr>
        <w:drawing>
          <wp:inline distT="0" distB="0" distL="0" distR="0" wp14:anchorId="00EC1286" wp14:editId="3C49508C">
            <wp:extent cx="5756275" cy="2622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DM.png"/>
                    <pic:cNvPicPr/>
                  </pic:nvPicPr>
                  <pic:blipFill>
                    <a:blip r:embed="rId45">
                      <a:extLst>
                        <a:ext uri="{28A0092B-C50C-407E-A947-70E740481C1C}">
                          <a14:useLocalDpi xmlns:a14="http://schemas.microsoft.com/office/drawing/2010/main" val="0"/>
                        </a:ext>
                      </a:extLst>
                    </a:blip>
                    <a:stretch>
                      <a:fillRect/>
                    </a:stretch>
                  </pic:blipFill>
                  <pic:spPr>
                    <a:xfrm>
                      <a:off x="0" y="0"/>
                      <a:ext cx="5756275" cy="2622550"/>
                    </a:xfrm>
                    <a:prstGeom prst="rect">
                      <a:avLst/>
                    </a:prstGeom>
                  </pic:spPr>
                </pic:pic>
              </a:graphicData>
            </a:graphic>
          </wp:inline>
        </w:drawing>
      </w:r>
    </w:p>
    <w:p w14:paraId="2BF6C088" w14:textId="107A25D6" w:rsidR="00E760BE" w:rsidRDefault="00E760BE" w:rsidP="00DF7920">
      <w:pPr>
        <w:pStyle w:val="Heading6"/>
      </w:pPr>
      <w:bookmarkStart w:id="276" w:name="_Ref32819098"/>
      <w:r>
        <w:t>1.2</w:t>
      </w:r>
      <w:r>
        <w:tab/>
        <w:t>Gestational hypertension</w:t>
      </w:r>
      <w:bookmarkEnd w:id="276"/>
    </w:p>
    <w:p w14:paraId="23708FAF" w14:textId="2349E487" w:rsidR="00DF7920" w:rsidRDefault="006D2F20" w:rsidP="00DF7920">
      <w:pPr>
        <w:pStyle w:val="Figure"/>
      </w:pPr>
      <w:r>
        <w:rPr>
          <w:noProof/>
          <w:lang w:val="en-AU" w:eastAsia="en-AU"/>
        </w:rPr>
        <w:drawing>
          <wp:inline distT="0" distB="0" distL="0" distR="0" wp14:anchorId="64D0CB5C" wp14:editId="0649E5D3">
            <wp:extent cx="5756275" cy="213487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BP.png"/>
                    <pic:cNvPicPr/>
                  </pic:nvPicPr>
                  <pic:blipFill>
                    <a:blip r:embed="rId46">
                      <a:extLst>
                        <a:ext uri="{28A0092B-C50C-407E-A947-70E740481C1C}">
                          <a14:useLocalDpi xmlns:a14="http://schemas.microsoft.com/office/drawing/2010/main" val="0"/>
                        </a:ext>
                      </a:extLst>
                    </a:blip>
                    <a:stretch>
                      <a:fillRect/>
                    </a:stretch>
                  </pic:blipFill>
                  <pic:spPr>
                    <a:xfrm>
                      <a:off x="0" y="0"/>
                      <a:ext cx="5756275" cy="2134870"/>
                    </a:xfrm>
                    <a:prstGeom prst="rect">
                      <a:avLst/>
                    </a:prstGeom>
                  </pic:spPr>
                </pic:pic>
              </a:graphicData>
            </a:graphic>
          </wp:inline>
        </w:drawing>
      </w:r>
    </w:p>
    <w:p w14:paraId="539B8640" w14:textId="41442F44" w:rsidR="00E760BE" w:rsidRDefault="00E760BE" w:rsidP="00DF7920">
      <w:pPr>
        <w:pStyle w:val="Heading6"/>
      </w:pPr>
      <w:bookmarkStart w:id="277" w:name="_Ref32819223"/>
      <w:r>
        <w:t>1.3</w:t>
      </w:r>
      <w:r>
        <w:tab/>
        <w:t>Pre-eclampsia</w:t>
      </w:r>
      <w:bookmarkEnd w:id="277"/>
    </w:p>
    <w:p w14:paraId="3044E213" w14:textId="68EE8954" w:rsidR="00DF7920" w:rsidRDefault="006D2F20" w:rsidP="00DF7920">
      <w:pPr>
        <w:pStyle w:val="Figure"/>
      </w:pPr>
      <w:r>
        <w:rPr>
          <w:noProof/>
          <w:lang w:val="en-AU" w:eastAsia="en-AU"/>
        </w:rPr>
        <w:drawing>
          <wp:inline distT="0" distB="0" distL="0" distR="0" wp14:anchorId="22174C23" wp14:editId="0BA11B0A">
            <wp:extent cx="5756275" cy="2002155"/>
            <wp:effectExtent l="0" t="0" r="952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eeclampsia.png"/>
                    <pic:cNvPicPr/>
                  </pic:nvPicPr>
                  <pic:blipFill>
                    <a:blip r:embed="rId47">
                      <a:extLst>
                        <a:ext uri="{28A0092B-C50C-407E-A947-70E740481C1C}">
                          <a14:useLocalDpi xmlns:a14="http://schemas.microsoft.com/office/drawing/2010/main" val="0"/>
                        </a:ext>
                      </a:extLst>
                    </a:blip>
                    <a:stretch>
                      <a:fillRect/>
                    </a:stretch>
                  </pic:blipFill>
                  <pic:spPr>
                    <a:xfrm>
                      <a:off x="0" y="0"/>
                      <a:ext cx="5756275" cy="2002155"/>
                    </a:xfrm>
                    <a:prstGeom prst="rect">
                      <a:avLst/>
                    </a:prstGeom>
                  </pic:spPr>
                </pic:pic>
              </a:graphicData>
            </a:graphic>
          </wp:inline>
        </w:drawing>
      </w:r>
    </w:p>
    <w:p w14:paraId="39D526F4" w14:textId="2458E537" w:rsidR="00E760BE" w:rsidRDefault="00E760BE" w:rsidP="00DF7920">
      <w:pPr>
        <w:pStyle w:val="Heading6"/>
      </w:pPr>
      <w:bookmarkStart w:id="278" w:name="_Ref32819293"/>
      <w:r>
        <w:t>1.4</w:t>
      </w:r>
      <w:r>
        <w:tab/>
        <w:t>Bacterial vaginosis</w:t>
      </w:r>
      <w:bookmarkEnd w:id="278"/>
    </w:p>
    <w:p w14:paraId="5DA1C0E7" w14:textId="43A8AD4A" w:rsidR="00DF7920" w:rsidRDefault="006D2F20" w:rsidP="00DF7920">
      <w:pPr>
        <w:pStyle w:val="Figure"/>
      </w:pPr>
      <w:r>
        <w:rPr>
          <w:noProof/>
          <w:lang w:val="en-AU" w:eastAsia="en-AU"/>
        </w:rPr>
        <w:drawing>
          <wp:inline distT="0" distB="0" distL="0" distR="0" wp14:anchorId="390CD2DD" wp14:editId="6D3510BF">
            <wp:extent cx="5756275" cy="2002155"/>
            <wp:effectExtent l="0" t="0" r="952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V.png"/>
                    <pic:cNvPicPr/>
                  </pic:nvPicPr>
                  <pic:blipFill>
                    <a:blip r:embed="rId48">
                      <a:extLst>
                        <a:ext uri="{28A0092B-C50C-407E-A947-70E740481C1C}">
                          <a14:useLocalDpi xmlns:a14="http://schemas.microsoft.com/office/drawing/2010/main" val="0"/>
                        </a:ext>
                      </a:extLst>
                    </a:blip>
                    <a:stretch>
                      <a:fillRect/>
                    </a:stretch>
                  </pic:blipFill>
                  <pic:spPr>
                    <a:xfrm>
                      <a:off x="0" y="0"/>
                      <a:ext cx="5756275" cy="2002155"/>
                    </a:xfrm>
                    <a:prstGeom prst="rect">
                      <a:avLst/>
                    </a:prstGeom>
                  </pic:spPr>
                </pic:pic>
              </a:graphicData>
            </a:graphic>
          </wp:inline>
        </w:drawing>
      </w:r>
    </w:p>
    <w:p w14:paraId="3AA105D1" w14:textId="77777777" w:rsidR="00E760BE" w:rsidRDefault="00E760BE" w:rsidP="00DF7920">
      <w:pPr>
        <w:pStyle w:val="Heading6"/>
      </w:pPr>
      <w:bookmarkStart w:id="279" w:name="_Ref32819630"/>
      <w:r>
        <w:t>1.5</w:t>
      </w:r>
      <w:r>
        <w:tab/>
        <w:t>Group B streptococcus</w:t>
      </w:r>
      <w:bookmarkEnd w:id="279"/>
    </w:p>
    <w:p w14:paraId="64C1F2E6" w14:textId="6095E610" w:rsidR="007858A4" w:rsidRDefault="007858A4" w:rsidP="00DF7920">
      <w:pPr>
        <w:pStyle w:val="Figure"/>
      </w:pPr>
      <w:r>
        <w:rPr>
          <w:noProof/>
          <w:lang w:val="en-AU" w:eastAsia="en-AU"/>
        </w:rPr>
        <w:drawing>
          <wp:inline distT="0" distB="0" distL="0" distR="0" wp14:anchorId="71A7D059" wp14:editId="699C821A">
            <wp:extent cx="5756275" cy="2085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BS.png"/>
                    <pic:cNvPicPr/>
                  </pic:nvPicPr>
                  <pic:blipFill>
                    <a:blip r:embed="rId49">
                      <a:extLst>
                        <a:ext uri="{28A0092B-C50C-407E-A947-70E740481C1C}">
                          <a14:useLocalDpi xmlns:a14="http://schemas.microsoft.com/office/drawing/2010/main" val="0"/>
                        </a:ext>
                      </a:extLst>
                    </a:blip>
                    <a:stretch>
                      <a:fillRect/>
                    </a:stretch>
                  </pic:blipFill>
                  <pic:spPr>
                    <a:xfrm>
                      <a:off x="0" y="0"/>
                      <a:ext cx="5756275" cy="2085975"/>
                    </a:xfrm>
                    <a:prstGeom prst="rect">
                      <a:avLst/>
                    </a:prstGeom>
                  </pic:spPr>
                </pic:pic>
              </a:graphicData>
            </a:graphic>
          </wp:inline>
        </w:drawing>
      </w:r>
    </w:p>
    <w:p w14:paraId="0107D3E7" w14:textId="298281BC" w:rsidR="00E760BE" w:rsidRDefault="00E760BE" w:rsidP="00DF7920">
      <w:pPr>
        <w:pStyle w:val="Heading6"/>
      </w:pPr>
      <w:bookmarkStart w:id="280" w:name="_Ref32819328"/>
      <w:r>
        <w:t>1.6</w:t>
      </w:r>
      <w:r>
        <w:tab/>
        <w:t>Caesarean section</w:t>
      </w:r>
      <w:bookmarkEnd w:id="280"/>
    </w:p>
    <w:p w14:paraId="36533954" w14:textId="2DC83DBD" w:rsidR="00DF7920" w:rsidRDefault="006D2F20" w:rsidP="00DF7920">
      <w:pPr>
        <w:pStyle w:val="Figure"/>
      </w:pPr>
      <w:r>
        <w:rPr>
          <w:noProof/>
          <w:lang w:val="en-AU" w:eastAsia="en-AU"/>
        </w:rPr>
        <w:drawing>
          <wp:inline distT="0" distB="0" distL="0" distR="0" wp14:anchorId="75F558F1" wp14:editId="43EC4F2C">
            <wp:extent cx="5756275" cy="335661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S.png"/>
                    <pic:cNvPicPr/>
                  </pic:nvPicPr>
                  <pic:blipFill>
                    <a:blip r:embed="rId50">
                      <a:extLst>
                        <a:ext uri="{28A0092B-C50C-407E-A947-70E740481C1C}">
                          <a14:useLocalDpi xmlns:a14="http://schemas.microsoft.com/office/drawing/2010/main" val="0"/>
                        </a:ext>
                      </a:extLst>
                    </a:blip>
                    <a:stretch>
                      <a:fillRect/>
                    </a:stretch>
                  </pic:blipFill>
                  <pic:spPr>
                    <a:xfrm>
                      <a:off x="0" y="0"/>
                      <a:ext cx="5756275" cy="3356610"/>
                    </a:xfrm>
                    <a:prstGeom prst="rect">
                      <a:avLst/>
                    </a:prstGeom>
                  </pic:spPr>
                </pic:pic>
              </a:graphicData>
            </a:graphic>
          </wp:inline>
        </w:drawing>
      </w:r>
    </w:p>
    <w:p w14:paraId="0EB7D3EE" w14:textId="5B2DC28C" w:rsidR="00E760BE" w:rsidRPr="00E760BE" w:rsidRDefault="00E760BE" w:rsidP="00E760BE">
      <w:pPr>
        <w:pStyle w:val="Heading5"/>
        <w:rPr>
          <w:lang w:val="en-AU"/>
        </w:rPr>
      </w:pPr>
      <w:r w:rsidRPr="00E760BE">
        <w:rPr>
          <w:lang w:val="en-AU"/>
        </w:rPr>
        <w:t>Infant outcomes</w:t>
      </w:r>
    </w:p>
    <w:p w14:paraId="3D4A01A4" w14:textId="1D2D0B5E" w:rsidR="00E760BE" w:rsidRDefault="00E760BE" w:rsidP="00DF7920">
      <w:pPr>
        <w:pStyle w:val="Heading6"/>
      </w:pPr>
      <w:bookmarkStart w:id="281" w:name="_Ref32819360"/>
      <w:r>
        <w:t>1.7</w:t>
      </w:r>
      <w:r>
        <w:tab/>
        <w:t>Perinatal death</w:t>
      </w:r>
      <w:bookmarkEnd w:id="281"/>
    </w:p>
    <w:p w14:paraId="0F7AE8DB" w14:textId="1895FBB0" w:rsidR="006D2F20" w:rsidRDefault="006D2F20" w:rsidP="006D2F20">
      <w:pPr>
        <w:pStyle w:val="Figure"/>
      </w:pPr>
      <w:r>
        <w:rPr>
          <w:noProof/>
          <w:lang w:val="en-AU" w:eastAsia="en-AU"/>
        </w:rPr>
        <w:drawing>
          <wp:inline distT="0" distB="0" distL="0" distR="0" wp14:anchorId="4CE54183" wp14:editId="47EE14CF">
            <wp:extent cx="5756275" cy="25146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inatal death.png"/>
                    <pic:cNvPicPr/>
                  </pic:nvPicPr>
                  <pic:blipFill>
                    <a:blip r:embed="rId51">
                      <a:extLst>
                        <a:ext uri="{28A0092B-C50C-407E-A947-70E740481C1C}">
                          <a14:useLocalDpi xmlns:a14="http://schemas.microsoft.com/office/drawing/2010/main" val="0"/>
                        </a:ext>
                      </a:extLst>
                    </a:blip>
                    <a:stretch>
                      <a:fillRect/>
                    </a:stretch>
                  </pic:blipFill>
                  <pic:spPr>
                    <a:xfrm>
                      <a:off x="0" y="0"/>
                      <a:ext cx="5756275" cy="2514600"/>
                    </a:xfrm>
                    <a:prstGeom prst="rect">
                      <a:avLst/>
                    </a:prstGeom>
                  </pic:spPr>
                </pic:pic>
              </a:graphicData>
            </a:graphic>
          </wp:inline>
        </w:drawing>
      </w:r>
    </w:p>
    <w:p w14:paraId="058D6A20" w14:textId="752F7CE2" w:rsidR="00E760BE" w:rsidRDefault="00E760BE" w:rsidP="00DF7920">
      <w:pPr>
        <w:pStyle w:val="Heading6"/>
      </w:pPr>
      <w:bookmarkStart w:id="282" w:name="_Ref32819392"/>
      <w:r>
        <w:t>1.8</w:t>
      </w:r>
      <w:r>
        <w:tab/>
        <w:t>Preterm birth &lt;37 weeks</w:t>
      </w:r>
      <w:bookmarkEnd w:id="282"/>
    </w:p>
    <w:p w14:paraId="7943C35E" w14:textId="2845B122" w:rsidR="006D2F20" w:rsidRDefault="006D2F20" w:rsidP="006D2F20">
      <w:pPr>
        <w:pStyle w:val="Figure"/>
      </w:pPr>
      <w:r>
        <w:rPr>
          <w:noProof/>
          <w:lang w:val="en-AU" w:eastAsia="en-AU"/>
        </w:rPr>
        <w:drawing>
          <wp:inline distT="0" distB="0" distL="0" distR="0" wp14:anchorId="14A92232" wp14:editId="286808E7">
            <wp:extent cx="5756275" cy="3554730"/>
            <wp:effectExtent l="0" t="0" r="952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eterm.png"/>
                    <pic:cNvPicPr/>
                  </pic:nvPicPr>
                  <pic:blipFill>
                    <a:blip r:embed="rId52">
                      <a:extLst>
                        <a:ext uri="{28A0092B-C50C-407E-A947-70E740481C1C}">
                          <a14:useLocalDpi xmlns:a14="http://schemas.microsoft.com/office/drawing/2010/main" val="0"/>
                        </a:ext>
                      </a:extLst>
                    </a:blip>
                    <a:stretch>
                      <a:fillRect/>
                    </a:stretch>
                  </pic:blipFill>
                  <pic:spPr>
                    <a:xfrm>
                      <a:off x="0" y="0"/>
                      <a:ext cx="5756275" cy="3554730"/>
                    </a:xfrm>
                    <a:prstGeom prst="rect">
                      <a:avLst/>
                    </a:prstGeom>
                  </pic:spPr>
                </pic:pic>
              </a:graphicData>
            </a:graphic>
          </wp:inline>
        </w:drawing>
      </w:r>
    </w:p>
    <w:p w14:paraId="500F474F" w14:textId="053AE043" w:rsidR="00E760BE" w:rsidRDefault="00E760BE" w:rsidP="00DF7920">
      <w:pPr>
        <w:pStyle w:val="Heading6"/>
      </w:pPr>
      <w:bookmarkStart w:id="283" w:name="_Ref32819423"/>
      <w:r>
        <w:t>1.9</w:t>
      </w:r>
      <w:r>
        <w:tab/>
        <w:t>Small for gestational age</w:t>
      </w:r>
      <w:bookmarkEnd w:id="283"/>
    </w:p>
    <w:p w14:paraId="37AAD4A0" w14:textId="03C88843" w:rsidR="006D2F20" w:rsidRDefault="006D2F20" w:rsidP="006D2F20">
      <w:pPr>
        <w:pStyle w:val="Figure"/>
      </w:pPr>
      <w:r>
        <w:rPr>
          <w:noProof/>
          <w:lang w:val="en-AU" w:eastAsia="en-AU"/>
        </w:rPr>
        <w:drawing>
          <wp:inline distT="0" distB="0" distL="0" distR="0" wp14:anchorId="3F20122F" wp14:editId="0ACDDAA7">
            <wp:extent cx="5756275" cy="2081530"/>
            <wp:effectExtent l="0" t="0" r="9525"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GA.png"/>
                    <pic:cNvPicPr/>
                  </pic:nvPicPr>
                  <pic:blipFill>
                    <a:blip r:embed="rId53">
                      <a:extLst>
                        <a:ext uri="{28A0092B-C50C-407E-A947-70E740481C1C}">
                          <a14:useLocalDpi xmlns:a14="http://schemas.microsoft.com/office/drawing/2010/main" val="0"/>
                        </a:ext>
                      </a:extLst>
                    </a:blip>
                    <a:stretch>
                      <a:fillRect/>
                    </a:stretch>
                  </pic:blipFill>
                  <pic:spPr>
                    <a:xfrm>
                      <a:off x="0" y="0"/>
                      <a:ext cx="5756275" cy="2081530"/>
                    </a:xfrm>
                    <a:prstGeom prst="rect">
                      <a:avLst/>
                    </a:prstGeom>
                  </pic:spPr>
                </pic:pic>
              </a:graphicData>
            </a:graphic>
          </wp:inline>
        </w:drawing>
      </w:r>
    </w:p>
    <w:p w14:paraId="39D6EC7A" w14:textId="045BD502" w:rsidR="00E760BE" w:rsidRDefault="00E760BE" w:rsidP="00DF7920">
      <w:pPr>
        <w:pStyle w:val="Heading6"/>
      </w:pPr>
      <w:bookmarkStart w:id="284" w:name="_Ref32819448"/>
      <w:r>
        <w:t>1.10</w:t>
      </w:r>
      <w:r>
        <w:tab/>
        <w:t>Large for gestational age</w:t>
      </w:r>
      <w:bookmarkEnd w:id="284"/>
    </w:p>
    <w:p w14:paraId="2FABD21F" w14:textId="2F08E130" w:rsidR="006D2F20" w:rsidRDefault="006D2F20" w:rsidP="006D2F20">
      <w:pPr>
        <w:pStyle w:val="Figure"/>
      </w:pPr>
      <w:r>
        <w:rPr>
          <w:noProof/>
          <w:lang w:val="en-AU" w:eastAsia="en-AU"/>
        </w:rPr>
        <w:drawing>
          <wp:inline distT="0" distB="0" distL="0" distR="0" wp14:anchorId="02B3CCB4" wp14:editId="09937CBC">
            <wp:extent cx="5756275" cy="2107565"/>
            <wp:effectExtent l="0" t="0" r="9525"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GA.png"/>
                    <pic:cNvPicPr/>
                  </pic:nvPicPr>
                  <pic:blipFill>
                    <a:blip r:embed="rId54">
                      <a:extLst>
                        <a:ext uri="{28A0092B-C50C-407E-A947-70E740481C1C}">
                          <a14:useLocalDpi xmlns:a14="http://schemas.microsoft.com/office/drawing/2010/main" val="0"/>
                        </a:ext>
                      </a:extLst>
                    </a:blip>
                    <a:stretch>
                      <a:fillRect/>
                    </a:stretch>
                  </pic:blipFill>
                  <pic:spPr>
                    <a:xfrm>
                      <a:off x="0" y="0"/>
                      <a:ext cx="5756275" cy="2107565"/>
                    </a:xfrm>
                    <a:prstGeom prst="rect">
                      <a:avLst/>
                    </a:prstGeom>
                  </pic:spPr>
                </pic:pic>
              </a:graphicData>
            </a:graphic>
          </wp:inline>
        </w:drawing>
      </w:r>
    </w:p>
    <w:p w14:paraId="015E2D7A" w14:textId="21F71031" w:rsidR="00E760BE" w:rsidRPr="00E760BE" w:rsidRDefault="00E760BE" w:rsidP="00DF7920">
      <w:pPr>
        <w:pStyle w:val="Heading6"/>
      </w:pPr>
      <w:bookmarkStart w:id="285" w:name="_Ref32819472"/>
      <w:r>
        <w:t>1.11</w:t>
      </w:r>
      <w:r>
        <w:tab/>
        <w:t>Macrosomia &gt;4,000 g</w:t>
      </w:r>
      <w:bookmarkEnd w:id="285"/>
    </w:p>
    <w:p w14:paraId="6DA8BA7D" w14:textId="754ACA0A" w:rsidR="006D2F20" w:rsidRDefault="006D2F20" w:rsidP="006D2F20">
      <w:pPr>
        <w:pStyle w:val="Figure"/>
      </w:pPr>
      <w:r>
        <w:rPr>
          <w:noProof/>
          <w:lang w:val="en-AU" w:eastAsia="en-AU"/>
        </w:rPr>
        <w:drawing>
          <wp:inline distT="0" distB="0" distL="0" distR="0" wp14:anchorId="5135E13C" wp14:editId="1F345DA9">
            <wp:extent cx="5756275" cy="2529205"/>
            <wp:effectExtent l="0" t="0" r="9525"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acrosomia.png"/>
                    <pic:cNvPicPr/>
                  </pic:nvPicPr>
                  <pic:blipFill>
                    <a:blip r:embed="rId55">
                      <a:extLst>
                        <a:ext uri="{28A0092B-C50C-407E-A947-70E740481C1C}">
                          <a14:useLocalDpi xmlns:a14="http://schemas.microsoft.com/office/drawing/2010/main" val="0"/>
                        </a:ext>
                      </a:extLst>
                    </a:blip>
                    <a:stretch>
                      <a:fillRect/>
                    </a:stretch>
                  </pic:blipFill>
                  <pic:spPr>
                    <a:xfrm>
                      <a:off x="0" y="0"/>
                      <a:ext cx="5756275" cy="2529205"/>
                    </a:xfrm>
                    <a:prstGeom prst="rect">
                      <a:avLst/>
                    </a:prstGeom>
                  </pic:spPr>
                </pic:pic>
              </a:graphicData>
            </a:graphic>
          </wp:inline>
        </w:drawing>
      </w:r>
    </w:p>
    <w:p w14:paraId="17F0C36A" w14:textId="201B4687" w:rsidR="00D9689A" w:rsidRDefault="00D9689A" w:rsidP="008E765F">
      <w:pPr>
        <w:pStyle w:val="Heading3"/>
        <w:numPr>
          <w:ilvl w:val="0"/>
          <w:numId w:val="0"/>
        </w:numPr>
        <w:rPr>
          <w:lang w:val="en-AU"/>
        </w:rPr>
      </w:pPr>
      <w:bookmarkStart w:id="286" w:name="_Toc40956566"/>
      <w:r>
        <w:rPr>
          <w:lang w:val="en-AU"/>
        </w:rPr>
        <w:t>Comparison 2: Regular weighing and advice on weight gain versus usual care</w:t>
      </w:r>
      <w:bookmarkEnd w:id="286"/>
    </w:p>
    <w:p w14:paraId="241AA6EE" w14:textId="3FB8DE4B" w:rsidR="00D9689A" w:rsidRPr="00D9689A" w:rsidRDefault="00D9689A" w:rsidP="00D9689A">
      <w:pPr>
        <w:pStyle w:val="Heading5"/>
        <w:rPr>
          <w:lang w:val="en-AU"/>
        </w:rPr>
      </w:pPr>
      <w:r w:rsidRPr="00D9689A">
        <w:rPr>
          <w:lang w:val="en-AU"/>
        </w:rPr>
        <w:t>Maternal outcomes</w:t>
      </w:r>
    </w:p>
    <w:p w14:paraId="798A0A44" w14:textId="45927EE7" w:rsidR="00D9689A" w:rsidRDefault="00D9689A" w:rsidP="00D9689A">
      <w:pPr>
        <w:pStyle w:val="Heading6"/>
      </w:pPr>
      <w:bookmarkStart w:id="287" w:name="_Ref35261740"/>
      <w:r>
        <w:t>2.1</w:t>
      </w:r>
      <w:r>
        <w:tab/>
        <w:t>Weight gain exceeding IOM guidelines</w:t>
      </w:r>
      <w:bookmarkEnd w:id="287"/>
    </w:p>
    <w:p w14:paraId="4D35EC27" w14:textId="2A3D46E6" w:rsidR="00D9689A" w:rsidRDefault="00C127FD" w:rsidP="00D9689A">
      <w:pPr>
        <w:pStyle w:val="Figure"/>
        <w:rPr>
          <w:noProof/>
        </w:rPr>
      </w:pPr>
      <w:r>
        <w:rPr>
          <w:noProof/>
          <w:lang w:val="en-AU" w:eastAsia="en-AU"/>
        </w:rPr>
        <w:drawing>
          <wp:inline distT="0" distB="0" distL="0" distR="0" wp14:anchorId="0BD59FED" wp14:editId="0115DC2E">
            <wp:extent cx="5756275" cy="2085975"/>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EWG.png"/>
                    <pic:cNvPicPr/>
                  </pic:nvPicPr>
                  <pic:blipFill>
                    <a:blip r:embed="rId56">
                      <a:extLst>
                        <a:ext uri="{28A0092B-C50C-407E-A947-70E740481C1C}">
                          <a14:useLocalDpi xmlns:a14="http://schemas.microsoft.com/office/drawing/2010/main" val="0"/>
                        </a:ext>
                      </a:extLst>
                    </a:blip>
                    <a:stretch>
                      <a:fillRect/>
                    </a:stretch>
                  </pic:blipFill>
                  <pic:spPr>
                    <a:xfrm>
                      <a:off x="0" y="0"/>
                      <a:ext cx="5756275" cy="2085975"/>
                    </a:xfrm>
                    <a:prstGeom prst="rect">
                      <a:avLst/>
                    </a:prstGeom>
                  </pic:spPr>
                </pic:pic>
              </a:graphicData>
            </a:graphic>
          </wp:inline>
        </w:drawing>
      </w:r>
    </w:p>
    <w:p w14:paraId="46A70937" w14:textId="23C8BFCF" w:rsidR="00D9689A" w:rsidRDefault="00402670" w:rsidP="00402670">
      <w:pPr>
        <w:pStyle w:val="Heading6"/>
      </w:pPr>
      <w:bookmarkStart w:id="288" w:name="_Ref35261777"/>
      <w:r>
        <w:t xml:space="preserve">2.2 </w:t>
      </w:r>
      <w:r w:rsidR="005B07FB">
        <w:tab/>
      </w:r>
      <w:r>
        <w:t xml:space="preserve">Mean </w:t>
      </w:r>
      <w:r w:rsidR="00D9689A">
        <w:t>weight gain</w:t>
      </w:r>
      <w:r>
        <w:t xml:space="preserve"> (kg per week)</w:t>
      </w:r>
      <w:bookmarkEnd w:id="288"/>
    </w:p>
    <w:p w14:paraId="6F69C021" w14:textId="02516375" w:rsidR="00402670" w:rsidRDefault="00C127FD" w:rsidP="00402670">
      <w:pPr>
        <w:pStyle w:val="Figure"/>
        <w:rPr>
          <w:noProof/>
        </w:rPr>
      </w:pPr>
      <w:r>
        <w:rPr>
          <w:noProof/>
          <w:lang w:val="en-AU" w:eastAsia="en-AU"/>
        </w:rPr>
        <w:drawing>
          <wp:inline distT="0" distB="0" distL="0" distR="0" wp14:anchorId="07612426" wp14:editId="3753E2BD">
            <wp:extent cx="5756275" cy="1765300"/>
            <wp:effectExtent l="0" t="0" r="9525"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eekly weight gain.png"/>
                    <pic:cNvPicPr/>
                  </pic:nvPicPr>
                  <pic:blipFill>
                    <a:blip r:embed="rId57">
                      <a:extLst>
                        <a:ext uri="{28A0092B-C50C-407E-A947-70E740481C1C}">
                          <a14:useLocalDpi xmlns:a14="http://schemas.microsoft.com/office/drawing/2010/main" val="0"/>
                        </a:ext>
                      </a:extLst>
                    </a:blip>
                    <a:stretch>
                      <a:fillRect/>
                    </a:stretch>
                  </pic:blipFill>
                  <pic:spPr>
                    <a:xfrm>
                      <a:off x="0" y="0"/>
                      <a:ext cx="5756275" cy="1765300"/>
                    </a:xfrm>
                    <a:prstGeom prst="rect">
                      <a:avLst/>
                    </a:prstGeom>
                  </pic:spPr>
                </pic:pic>
              </a:graphicData>
            </a:graphic>
          </wp:inline>
        </w:drawing>
      </w:r>
    </w:p>
    <w:p w14:paraId="29F2ED2B" w14:textId="2117A95B" w:rsidR="005B07FB" w:rsidRDefault="005B07FB" w:rsidP="005B07FB">
      <w:pPr>
        <w:pStyle w:val="Heading6"/>
      </w:pPr>
      <w:bookmarkStart w:id="289" w:name="_Ref35261844"/>
      <w:r>
        <w:t>2.3</w:t>
      </w:r>
      <w:r>
        <w:tab/>
        <w:t>Depression</w:t>
      </w:r>
      <w:bookmarkEnd w:id="289"/>
    </w:p>
    <w:p w14:paraId="44789BDC" w14:textId="7618EFEE" w:rsidR="005B07FB" w:rsidRDefault="00AA1A84" w:rsidP="00402670">
      <w:pPr>
        <w:pStyle w:val="Figure"/>
        <w:rPr>
          <w:noProof/>
        </w:rPr>
      </w:pPr>
      <w:r>
        <w:rPr>
          <w:noProof/>
          <w:lang w:val="en-AU" w:eastAsia="en-AU"/>
        </w:rPr>
        <w:drawing>
          <wp:inline distT="0" distB="0" distL="0" distR="0" wp14:anchorId="35B976C5" wp14:editId="3A1236BE">
            <wp:extent cx="5756275" cy="175641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epression.png"/>
                    <pic:cNvPicPr/>
                  </pic:nvPicPr>
                  <pic:blipFill>
                    <a:blip r:embed="rId58">
                      <a:extLst>
                        <a:ext uri="{28A0092B-C50C-407E-A947-70E740481C1C}">
                          <a14:useLocalDpi xmlns:a14="http://schemas.microsoft.com/office/drawing/2010/main" val="0"/>
                        </a:ext>
                      </a:extLst>
                    </a:blip>
                    <a:stretch>
                      <a:fillRect/>
                    </a:stretch>
                  </pic:blipFill>
                  <pic:spPr>
                    <a:xfrm>
                      <a:off x="0" y="0"/>
                      <a:ext cx="5756275" cy="1756410"/>
                    </a:xfrm>
                    <a:prstGeom prst="rect">
                      <a:avLst/>
                    </a:prstGeom>
                  </pic:spPr>
                </pic:pic>
              </a:graphicData>
            </a:graphic>
          </wp:inline>
        </w:drawing>
      </w:r>
    </w:p>
    <w:p w14:paraId="27D2D618" w14:textId="67732111" w:rsidR="005B07FB" w:rsidRDefault="005B07FB" w:rsidP="005B07FB">
      <w:pPr>
        <w:pStyle w:val="Heading6"/>
      </w:pPr>
      <w:bookmarkStart w:id="290" w:name="_Ref35261858"/>
      <w:r>
        <w:t>2.4</w:t>
      </w:r>
      <w:r>
        <w:tab/>
        <w:t>Anxiety</w:t>
      </w:r>
      <w:bookmarkEnd w:id="290"/>
    </w:p>
    <w:p w14:paraId="05F88876" w14:textId="1E87A922" w:rsidR="005B07FB" w:rsidRPr="00402670" w:rsidRDefault="005B07FB" w:rsidP="00402670">
      <w:pPr>
        <w:pStyle w:val="Figure"/>
        <w:rPr>
          <w:noProof/>
        </w:rPr>
      </w:pPr>
      <w:r>
        <w:rPr>
          <w:noProof/>
          <w:lang w:val="en-AU" w:eastAsia="en-AU"/>
        </w:rPr>
        <w:drawing>
          <wp:inline distT="0" distB="0" distL="0" distR="0" wp14:anchorId="55702F8D" wp14:editId="78632A93">
            <wp:extent cx="5756275" cy="175641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nxiety.png"/>
                    <pic:cNvPicPr/>
                  </pic:nvPicPr>
                  <pic:blipFill>
                    <a:blip r:embed="rId59">
                      <a:extLst>
                        <a:ext uri="{28A0092B-C50C-407E-A947-70E740481C1C}">
                          <a14:useLocalDpi xmlns:a14="http://schemas.microsoft.com/office/drawing/2010/main" val="0"/>
                        </a:ext>
                      </a:extLst>
                    </a:blip>
                    <a:stretch>
                      <a:fillRect/>
                    </a:stretch>
                  </pic:blipFill>
                  <pic:spPr>
                    <a:xfrm>
                      <a:off x="0" y="0"/>
                      <a:ext cx="5756275" cy="1756410"/>
                    </a:xfrm>
                    <a:prstGeom prst="rect">
                      <a:avLst/>
                    </a:prstGeom>
                  </pic:spPr>
                </pic:pic>
              </a:graphicData>
            </a:graphic>
          </wp:inline>
        </w:drawing>
      </w:r>
    </w:p>
    <w:p w14:paraId="281AF3C6" w14:textId="516D5E04" w:rsidR="008E765F" w:rsidRDefault="00D9689A" w:rsidP="008E765F">
      <w:pPr>
        <w:pStyle w:val="Heading3"/>
        <w:numPr>
          <w:ilvl w:val="0"/>
          <w:numId w:val="0"/>
        </w:numPr>
        <w:rPr>
          <w:lang w:val="en-AU"/>
        </w:rPr>
      </w:pPr>
      <w:bookmarkStart w:id="291" w:name="_Toc40956567"/>
      <w:r>
        <w:rPr>
          <w:lang w:val="en-AU"/>
        </w:rPr>
        <w:t xml:space="preserve">Comparison 3: </w:t>
      </w:r>
      <w:r w:rsidR="008E765F">
        <w:rPr>
          <w:lang w:val="en-AU"/>
        </w:rPr>
        <w:t>Diet versus usual care</w:t>
      </w:r>
      <w:bookmarkEnd w:id="291"/>
    </w:p>
    <w:p w14:paraId="0CEB03C4" w14:textId="77777777" w:rsidR="003E22EF" w:rsidRPr="00C12274" w:rsidRDefault="003E22EF" w:rsidP="003E22EF">
      <w:pPr>
        <w:pStyle w:val="Heading5"/>
        <w:rPr>
          <w:lang w:val="en-AU"/>
        </w:rPr>
      </w:pPr>
      <w:r w:rsidRPr="00C12274">
        <w:rPr>
          <w:lang w:val="en-AU"/>
        </w:rPr>
        <w:t>Maternal outcomes</w:t>
      </w:r>
    </w:p>
    <w:p w14:paraId="2EFC1F44" w14:textId="7CC6171E" w:rsidR="003E22EF" w:rsidRDefault="00CB6081" w:rsidP="003E22EF">
      <w:pPr>
        <w:pStyle w:val="Heading6"/>
      </w:pPr>
      <w:bookmarkStart w:id="292" w:name="_Ref24815270"/>
      <w:r>
        <w:t>3</w:t>
      </w:r>
      <w:r w:rsidR="003E22EF" w:rsidRPr="000840CF">
        <w:t>.1</w:t>
      </w:r>
      <w:r w:rsidR="003E22EF" w:rsidRPr="000840CF">
        <w:tab/>
        <w:t>Mean gestational weight gain</w:t>
      </w:r>
      <w:bookmarkEnd w:id="292"/>
    </w:p>
    <w:p w14:paraId="18DCEE09" w14:textId="5B79C8D8" w:rsidR="003E22EF" w:rsidRDefault="009F468A" w:rsidP="003E22EF">
      <w:pPr>
        <w:pStyle w:val="Figure"/>
      </w:pPr>
      <w:r>
        <w:rPr>
          <w:noProof/>
          <w:lang w:val="en-AU" w:eastAsia="en-AU"/>
        </w:rPr>
        <w:drawing>
          <wp:inline distT="0" distB="0" distL="0" distR="0" wp14:anchorId="6A1AE327" wp14:editId="25C53038">
            <wp:extent cx="5756275" cy="213741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 MGW.png"/>
                    <pic:cNvPicPr/>
                  </pic:nvPicPr>
                  <pic:blipFill>
                    <a:blip r:embed="rId60">
                      <a:extLst>
                        <a:ext uri="{28A0092B-C50C-407E-A947-70E740481C1C}">
                          <a14:useLocalDpi xmlns:a14="http://schemas.microsoft.com/office/drawing/2010/main" val="0"/>
                        </a:ext>
                      </a:extLst>
                    </a:blip>
                    <a:stretch>
                      <a:fillRect/>
                    </a:stretch>
                  </pic:blipFill>
                  <pic:spPr>
                    <a:xfrm>
                      <a:off x="0" y="0"/>
                      <a:ext cx="5756275" cy="2137410"/>
                    </a:xfrm>
                    <a:prstGeom prst="rect">
                      <a:avLst/>
                    </a:prstGeom>
                  </pic:spPr>
                </pic:pic>
              </a:graphicData>
            </a:graphic>
          </wp:inline>
        </w:drawing>
      </w:r>
    </w:p>
    <w:p w14:paraId="18D790AA" w14:textId="678CC2F4" w:rsidR="009F468A" w:rsidRDefault="00CB6081" w:rsidP="009F468A">
      <w:pPr>
        <w:pStyle w:val="Heading6"/>
      </w:pPr>
      <w:bookmarkStart w:id="293" w:name="_Ref24815382"/>
      <w:r>
        <w:t>3</w:t>
      </w:r>
      <w:r w:rsidR="009F468A">
        <w:t>.2</w:t>
      </w:r>
      <w:r w:rsidR="009F468A">
        <w:tab/>
        <w:t>Weight gain exceeding IOM guidelines</w:t>
      </w:r>
      <w:bookmarkEnd w:id="293"/>
    </w:p>
    <w:p w14:paraId="20D585B4" w14:textId="21306BA9" w:rsidR="009F468A" w:rsidRDefault="009F468A" w:rsidP="009F468A">
      <w:pPr>
        <w:pStyle w:val="Figure"/>
      </w:pPr>
      <w:r>
        <w:rPr>
          <w:noProof/>
          <w:lang w:val="en-AU" w:eastAsia="en-AU"/>
        </w:rPr>
        <w:drawing>
          <wp:inline distT="0" distB="0" distL="0" distR="0" wp14:anchorId="599EF920" wp14:editId="7462E896">
            <wp:extent cx="5756275" cy="219011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 Excess weight gain.png"/>
                    <pic:cNvPicPr/>
                  </pic:nvPicPr>
                  <pic:blipFill>
                    <a:blip r:embed="rId61">
                      <a:extLst>
                        <a:ext uri="{28A0092B-C50C-407E-A947-70E740481C1C}">
                          <a14:useLocalDpi xmlns:a14="http://schemas.microsoft.com/office/drawing/2010/main" val="0"/>
                        </a:ext>
                      </a:extLst>
                    </a:blip>
                    <a:stretch>
                      <a:fillRect/>
                    </a:stretch>
                  </pic:blipFill>
                  <pic:spPr>
                    <a:xfrm>
                      <a:off x="0" y="0"/>
                      <a:ext cx="5756275" cy="2190115"/>
                    </a:xfrm>
                    <a:prstGeom prst="rect">
                      <a:avLst/>
                    </a:prstGeom>
                  </pic:spPr>
                </pic:pic>
              </a:graphicData>
            </a:graphic>
          </wp:inline>
        </w:drawing>
      </w:r>
    </w:p>
    <w:p w14:paraId="39977240" w14:textId="4E1074DB" w:rsidR="009F468A" w:rsidRDefault="00CB6081" w:rsidP="009F468A">
      <w:pPr>
        <w:pStyle w:val="Heading6"/>
      </w:pPr>
      <w:bookmarkStart w:id="294" w:name="_Ref24815449"/>
      <w:r>
        <w:t>3</w:t>
      </w:r>
      <w:r w:rsidR="009F468A" w:rsidRPr="00C12274">
        <w:t>.3</w:t>
      </w:r>
      <w:r w:rsidR="009F468A" w:rsidRPr="00C12274">
        <w:tab/>
        <w:t>Gestational diabetes</w:t>
      </w:r>
      <w:bookmarkEnd w:id="294"/>
    </w:p>
    <w:p w14:paraId="37CC92CB" w14:textId="4A85C55E" w:rsidR="009F468A" w:rsidRDefault="004D34B9" w:rsidP="009F468A">
      <w:pPr>
        <w:pStyle w:val="Figure"/>
      </w:pPr>
      <w:r>
        <w:rPr>
          <w:noProof/>
          <w:lang w:val="en-AU" w:eastAsia="en-AU"/>
        </w:rPr>
        <w:drawing>
          <wp:inline distT="0" distB="0" distL="0" distR="0" wp14:anchorId="08F18111" wp14:editId="75253F9D">
            <wp:extent cx="5756275" cy="2350770"/>
            <wp:effectExtent l="0" t="0" r="9525"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 GDM.png"/>
                    <pic:cNvPicPr/>
                  </pic:nvPicPr>
                  <pic:blipFill>
                    <a:blip r:embed="rId62">
                      <a:extLst>
                        <a:ext uri="{28A0092B-C50C-407E-A947-70E740481C1C}">
                          <a14:useLocalDpi xmlns:a14="http://schemas.microsoft.com/office/drawing/2010/main" val="0"/>
                        </a:ext>
                      </a:extLst>
                    </a:blip>
                    <a:stretch>
                      <a:fillRect/>
                    </a:stretch>
                  </pic:blipFill>
                  <pic:spPr>
                    <a:xfrm>
                      <a:off x="0" y="0"/>
                      <a:ext cx="5756275" cy="2350770"/>
                    </a:xfrm>
                    <a:prstGeom prst="rect">
                      <a:avLst/>
                    </a:prstGeom>
                  </pic:spPr>
                </pic:pic>
              </a:graphicData>
            </a:graphic>
          </wp:inline>
        </w:drawing>
      </w:r>
    </w:p>
    <w:p w14:paraId="7EAD531B" w14:textId="77777777" w:rsidR="004D34B9" w:rsidRPr="00E92B0C" w:rsidRDefault="004D34B9" w:rsidP="004D34B9">
      <w:pPr>
        <w:pStyle w:val="Figure"/>
        <w:rPr>
          <w:sz w:val="16"/>
          <w:szCs w:val="16"/>
        </w:rPr>
      </w:pPr>
      <w:r w:rsidRPr="00E92B0C">
        <w:rPr>
          <w:sz w:val="16"/>
          <w:szCs w:val="16"/>
        </w:rPr>
        <w:t>Note: Studies differed in diagnostic criteria for gestational diabetes.</w:t>
      </w:r>
    </w:p>
    <w:p w14:paraId="5A5A3B54" w14:textId="400B9D90" w:rsidR="004D34B9" w:rsidRPr="00C12274" w:rsidRDefault="00CB6081" w:rsidP="004D34B9">
      <w:pPr>
        <w:pStyle w:val="Heading6"/>
      </w:pPr>
      <w:bookmarkStart w:id="295" w:name="_Ref24815513"/>
      <w:r>
        <w:t>3</w:t>
      </w:r>
      <w:r w:rsidR="004D34B9" w:rsidRPr="00C12274">
        <w:t>.4</w:t>
      </w:r>
      <w:r w:rsidR="004D34B9" w:rsidRPr="00C12274">
        <w:tab/>
        <w:t>Gestational hypertension</w:t>
      </w:r>
      <w:bookmarkEnd w:id="295"/>
    </w:p>
    <w:p w14:paraId="0DF4AD69" w14:textId="3EB42B83" w:rsidR="004D34B9" w:rsidRDefault="004D34B9" w:rsidP="009F468A">
      <w:pPr>
        <w:pStyle w:val="Figure"/>
      </w:pPr>
      <w:r>
        <w:rPr>
          <w:noProof/>
          <w:lang w:val="en-AU" w:eastAsia="en-AU"/>
        </w:rPr>
        <w:drawing>
          <wp:inline distT="0" distB="0" distL="0" distR="0" wp14:anchorId="20F61423" wp14:editId="35DB7982">
            <wp:extent cx="5756275" cy="208597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 HBP.png"/>
                    <pic:cNvPicPr/>
                  </pic:nvPicPr>
                  <pic:blipFill>
                    <a:blip r:embed="rId63">
                      <a:extLst>
                        <a:ext uri="{28A0092B-C50C-407E-A947-70E740481C1C}">
                          <a14:useLocalDpi xmlns:a14="http://schemas.microsoft.com/office/drawing/2010/main" val="0"/>
                        </a:ext>
                      </a:extLst>
                    </a:blip>
                    <a:stretch>
                      <a:fillRect/>
                    </a:stretch>
                  </pic:blipFill>
                  <pic:spPr>
                    <a:xfrm>
                      <a:off x="0" y="0"/>
                      <a:ext cx="5756275" cy="2085975"/>
                    </a:xfrm>
                    <a:prstGeom prst="rect">
                      <a:avLst/>
                    </a:prstGeom>
                  </pic:spPr>
                </pic:pic>
              </a:graphicData>
            </a:graphic>
          </wp:inline>
        </w:drawing>
      </w:r>
    </w:p>
    <w:p w14:paraId="573DB9F1" w14:textId="0F6921F1" w:rsidR="004D34B9" w:rsidRPr="00C12274" w:rsidRDefault="00CB6081" w:rsidP="004D34B9">
      <w:pPr>
        <w:pStyle w:val="Heading6"/>
      </w:pPr>
      <w:bookmarkStart w:id="296" w:name="_Ref24815590"/>
      <w:r>
        <w:t>3</w:t>
      </w:r>
      <w:r w:rsidR="004D34B9" w:rsidRPr="00C12274">
        <w:t>.5</w:t>
      </w:r>
      <w:r w:rsidR="004D34B9" w:rsidRPr="00C12274">
        <w:tab/>
        <w:t>Pre-eclampsia</w:t>
      </w:r>
      <w:bookmarkEnd w:id="296"/>
    </w:p>
    <w:p w14:paraId="3FD140B3" w14:textId="71C18568" w:rsidR="004D34B9" w:rsidRDefault="000B4C7B" w:rsidP="009F468A">
      <w:pPr>
        <w:pStyle w:val="Figure"/>
      </w:pPr>
      <w:r>
        <w:rPr>
          <w:noProof/>
          <w:lang w:val="en-AU" w:eastAsia="en-AU"/>
        </w:rPr>
        <w:drawing>
          <wp:inline distT="0" distB="0" distL="0" distR="0" wp14:anchorId="2827D9B9" wp14:editId="65BAFE86">
            <wp:extent cx="5756275" cy="1922780"/>
            <wp:effectExtent l="0" t="0" r="952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5 pre-eclampsia.png"/>
                    <pic:cNvPicPr/>
                  </pic:nvPicPr>
                  <pic:blipFill>
                    <a:blip r:embed="rId64">
                      <a:extLst>
                        <a:ext uri="{28A0092B-C50C-407E-A947-70E740481C1C}">
                          <a14:useLocalDpi xmlns:a14="http://schemas.microsoft.com/office/drawing/2010/main" val="0"/>
                        </a:ext>
                      </a:extLst>
                    </a:blip>
                    <a:stretch>
                      <a:fillRect/>
                    </a:stretch>
                  </pic:blipFill>
                  <pic:spPr>
                    <a:xfrm>
                      <a:off x="0" y="0"/>
                      <a:ext cx="5756275" cy="1922780"/>
                    </a:xfrm>
                    <a:prstGeom prst="rect">
                      <a:avLst/>
                    </a:prstGeom>
                  </pic:spPr>
                </pic:pic>
              </a:graphicData>
            </a:graphic>
          </wp:inline>
        </w:drawing>
      </w:r>
    </w:p>
    <w:p w14:paraId="47B482CA" w14:textId="11A089BE" w:rsidR="000B4C7B" w:rsidRPr="00C12274" w:rsidRDefault="00CB6081" w:rsidP="000B4C7B">
      <w:pPr>
        <w:pStyle w:val="Heading6"/>
      </w:pPr>
      <w:bookmarkStart w:id="297" w:name="_Ref24815656"/>
      <w:r>
        <w:t>3</w:t>
      </w:r>
      <w:r w:rsidR="000B4C7B" w:rsidRPr="000840CF">
        <w:t>.6</w:t>
      </w:r>
      <w:r w:rsidR="000B4C7B" w:rsidRPr="000840CF">
        <w:tab/>
        <w:t>Caesarean section</w:t>
      </w:r>
      <w:bookmarkEnd w:id="297"/>
    </w:p>
    <w:p w14:paraId="3B730C88" w14:textId="787FF5BF" w:rsidR="000B4C7B" w:rsidRDefault="00420B92" w:rsidP="009F468A">
      <w:pPr>
        <w:pStyle w:val="Figure"/>
      </w:pPr>
      <w:r>
        <w:rPr>
          <w:noProof/>
          <w:lang w:val="en-AU" w:eastAsia="en-AU"/>
        </w:rPr>
        <w:drawing>
          <wp:inline distT="0" distB="0" distL="0" distR="0" wp14:anchorId="6003A1DC" wp14:editId="6FF57852">
            <wp:extent cx="5756275" cy="2350770"/>
            <wp:effectExtent l="0" t="0" r="9525"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 CS.png"/>
                    <pic:cNvPicPr/>
                  </pic:nvPicPr>
                  <pic:blipFill>
                    <a:blip r:embed="rId65">
                      <a:extLst>
                        <a:ext uri="{28A0092B-C50C-407E-A947-70E740481C1C}">
                          <a14:useLocalDpi xmlns:a14="http://schemas.microsoft.com/office/drawing/2010/main" val="0"/>
                        </a:ext>
                      </a:extLst>
                    </a:blip>
                    <a:stretch>
                      <a:fillRect/>
                    </a:stretch>
                  </pic:blipFill>
                  <pic:spPr>
                    <a:xfrm>
                      <a:off x="0" y="0"/>
                      <a:ext cx="5756275" cy="2350770"/>
                    </a:xfrm>
                    <a:prstGeom prst="rect">
                      <a:avLst/>
                    </a:prstGeom>
                  </pic:spPr>
                </pic:pic>
              </a:graphicData>
            </a:graphic>
          </wp:inline>
        </w:drawing>
      </w:r>
    </w:p>
    <w:p w14:paraId="5BC29382" w14:textId="2A741A2A" w:rsidR="00420B92" w:rsidRDefault="00CB6081" w:rsidP="00420B92">
      <w:pPr>
        <w:pStyle w:val="Heading6"/>
      </w:pPr>
      <w:bookmarkStart w:id="298" w:name="_Ref24815745"/>
      <w:r>
        <w:t>3</w:t>
      </w:r>
      <w:r w:rsidR="00420B92">
        <w:t>.7</w:t>
      </w:r>
      <w:r w:rsidR="00420B92">
        <w:tab/>
        <w:t>Postnatal weight retention</w:t>
      </w:r>
      <w:bookmarkEnd w:id="298"/>
    </w:p>
    <w:p w14:paraId="3C4A2D82" w14:textId="6F38CFF7" w:rsidR="001352FB" w:rsidRPr="003E22EF" w:rsidRDefault="001352FB" w:rsidP="009F468A">
      <w:pPr>
        <w:pStyle w:val="Figure"/>
      </w:pPr>
      <w:r>
        <w:rPr>
          <w:noProof/>
          <w:lang w:val="en-AU" w:eastAsia="en-AU"/>
        </w:rPr>
        <w:drawing>
          <wp:inline distT="0" distB="0" distL="0" distR="0" wp14:anchorId="718F2DF0" wp14:editId="08E816A3">
            <wp:extent cx="5756275" cy="1826895"/>
            <wp:effectExtent l="0" t="0" r="952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7 Weight retention.png"/>
                    <pic:cNvPicPr/>
                  </pic:nvPicPr>
                  <pic:blipFill>
                    <a:blip r:embed="rId66">
                      <a:extLst>
                        <a:ext uri="{28A0092B-C50C-407E-A947-70E740481C1C}">
                          <a14:useLocalDpi xmlns:a14="http://schemas.microsoft.com/office/drawing/2010/main" val="0"/>
                        </a:ext>
                      </a:extLst>
                    </a:blip>
                    <a:stretch>
                      <a:fillRect/>
                    </a:stretch>
                  </pic:blipFill>
                  <pic:spPr>
                    <a:xfrm>
                      <a:off x="0" y="0"/>
                      <a:ext cx="5756275" cy="1826895"/>
                    </a:xfrm>
                    <a:prstGeom prst="rect">
                      <a:avLst/>
                    </a:prstGeom>
                  </pic:spPr>
                </pic:pic>
              </a:graphicData>
            </a:graphic>
          </wp:inline>
        </w:drawing>
      </w:r>
    </w:p>
    <w:p w14:paraId="1D598768" w14:textId="77777777" w:rsidR="00420B92" w:rsidRPr="00C12274" w:rsidRDefault="00420B92" w:rsidP="00420B92">
      <w:pPr>
        <w:pStyle w:val="Heading5"/>
      </w:pPr>
      <w:r w:rsidRPr="00C12274">
        <w:t>Infant outcomes</w:t>
      </w:r>
    </w:p>
    <w:p w14:paraId="0EAC6A84" w14:textId="364000E8" w:rsidR="00420B92" w:rsidRDefault="00CB6081" w:rsidP="00420B92">
      <w:pPr>
        <w:pStyle w:val="Heading6"/>
      </w:pPr>
      <w:bookmarkStart w:id="299" w:name="_Ref24816204"/>
      <w:r>
        <w:t>3</w:t>
      </w:r>
      <w:r w:rsidR="00420B92">
        <w:t>.8</w:t>
      </w:r>
      <w:r w:rsidR="00420B92" w:rsidRPr="00C12274">
        <w:tab/>
        <w:t>Preterm birth</w:t>
      </w:r>
      <w:bookmarkEnd w:id="299"/>
    </w:p>
    <w:p w14:paraId="1F4D7D1D" w14:textId="6BA5EA27" w:rsidR="00420B92" w:rsidRDefault="00ED7BC8" w:rsidP="00ED7BC8">
      <w:pPr>
        <w:pStyle w:val="Figure"/>
      </w:pPr>
      <w:r>
        <w:rPr>
          <w:noProof/>
          <w:lang w:val="en-AU" w:eastAsia="en-AU"/>
        </w:rPr>
        <w:drawing>
          <wp:inline distT="0" distB="0" distL="0" distR="0" wp14:anchorId="5714DA85" wp14:editId="1024CE33">
            <wp:extent cx="5756275" cy="219011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8 Preterm.png"/>
                    <pic:cNvPicPr/>
                  </pic:nvPicPr>
                  <pic:blipFill>
                    <a:blip r:embed="rId67">
                      <a:extLst>
                        <a:ext uri="{28A0092B-C50C-407E-A947-70E740481C1C}">
                          <a14:useLocalDpi xmlns:a14="http://schemas.microsoft.com/office/drawing/2010/main" val="0"/>
                        </a:ext>
                      </a:extLst>
                    </a:blip>
                    <a:stretch>
                      <a:fillRect/>
                    </a:stretch>
                  </pic:blipFill>
                  <pic:spPr>
                    <a:xfrm>
                      <a:off x="0" y="0"/>
                      <a:ext cx="5756275" cy="2190115"/>
                    </a:xfrm>
                    <a:prstGeom prst="rect">
                      <a:avLst/>
                    </a:prstGeom>
                  </pic:spPr>
                </pic:pic>
              </a:graphicData>
            </a:graphic>
          </wp:inline>
        </w:drawing>
      </w:r>
    </w:p>
    <w:p w14:paraId="77309199" w14:textId="65DDF3C0" w:rsidR="00ED7BC8" w:rsidRPr="00C12274" w:rsidRDefault="00CB6081" w:rsidP="00ED7BC8">
      <w:pPr>
        <w:pStyle w:val="Heading6"/>
      </w:pPr>
      <w:bookmarkStart w:id="300" w:name="_Ref24816846"/>
      <w:r>
        <w:t>3</w:t>
      </w:r>
      <w:r w:rsidR="00ED7BC8">
        <w:t>.9</w:t>
      </w:r>
      <w:r w:rsidR="00ED7BC8" w:rsidRPr="00C12274">
        <w:tab/>
        <w:t>Macrosomia</w:t>
      </w:r>
      <w:bookmarkEnd w:id="300"/>
    </w:p>
    <w:p w14:paraId="6F074022" w14:textId="5FE0E219" w:rsidR="00ED7BC8" w:rsidRDefault="002D081D" w:rsidP="00ED7BC8">
      <w:pPr>
        <w:pStyle w:val="Figure"/>
      </w:pPr>
      <w:r>
        <w:rPr>
          <w:noProof/>
          <w:lang w:val="en-AU" w:eastAsia="en-AU"/>
        </w:rPr>
        <w:drawing>
          <wp:inline distT="0" distB="0" distL="0" distR="0" wp14:anchorId="514EB219" wp14:editId="5628144F">
            <wp:extent cx="5756275" cy="2072005"/>
            <wp:effectExtent l="0" t="0" r="952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9 macrosomia.png"/>
                    <pic:cNvPicPr/>
                  </pic:nvPicPr>
                  <pic:blipFill>
                    <a:blip r:embed="rId68">
                      <a:extLst>
                        <a:ext uri="{28A0092B-C50C-407E-A947-70E740481C1C}">
                          <a14:useLocalDpi xmlns:a14="http://schemas.microsoft.com/office/drawing/2010/main" val="0"/>
                        </a:ext>
                      </a:extLst>
                    </a:blip>
                    <a:stretch>
                      <a:fillRect/>
                    </a:stretch>
                  </pic:blipFill>
                  <pic:spPr>
                    <a:xfrm>
                      <a:off x="0" y="0"/>
                      <a:ext cx="5756275" cy="2072005"/>
                    </a:xfrm>
                    <a:prstGeom prst="rect">
                      <a:avLst/>
                    </a:prstGeom>
                  </pic:spPr>
                </pic:pic>
              </a:graphicData>
            </a:graphic>
          </wp:inline>
        </w:drawing>
      </w:r>
    </w:p>
    <w:p w14:paraId="4B305B17" w14:textId="4D9AC89A" w:rsidR="00D83201" w:rsidRPr="00C12274" w:rsidRDefault="00CB6081" w:rsidP="00D83201">
      <w:pPr>
        <w:pStyle w:val="Heading6"/>
      </w:pPr>
      <w:bookmarkStart w:id="301" w:name="_Ref24816985"/>
      <w:r>
        <w:t>3</w:t>
      </w:r>
      <w:r w:rsidR="00D83201">
        <w:t>.</w:t>
      </w:r>
      <w:r w:rsidR="00A67139">
        <w:t>10</w:t>
      </w:r>
      <w:r w:rsidR="00D83201">
        <w:tab/>
      </w:r>
      <w:r w:rsidR="00817D95">
        <w:t xml:space="preserve">Early childhood </w:t>
      </w:r>
      <w:r w:rsidR="00D83201">
        <w:t>weight</w:t>
      </w:r>
      <w:bookmarkEnd w:id="301"/>
    </w:p>
    <w:p w14:paraId="090EA565" w14:textId="5071FD93" w:rsidR="00D83201" w:rsidRPr="00420B92" w:rsidRDefault="00D83201" w:rsidP="00CD7246">
      <w:pPr>
        <w:pStyle w:val="Figure"/>
      </w:pPr>
      <w:r>
        <w:rPr>
          <w:noProof/>
          <w:lang w:val="en-AU" w:eastAsia="en-AU"/>
        </w:rPr>
        <w:drawing>
          <wp:inline distT="0" distB="0" distL="0" distR="0" wp14:anchorId="4019C034" wp14:editId="1450A1DF">
            <wp:extent cx="5756275" cy="173799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13 childhood weight.png"/>
                    <pic:cNvPicPr/>
                  </pic:nvPicPr>
                  <pic:blipFill>
                    <a:blip r:embed="rId69">
                      <a:extLst>
                        <a:ext uri="{28A0092B-C50C-407E-A947-70E740481C1C}">
                          <a14:useLocalDpi xmlns:a14="http://schemas.microsoft.com/office/drawing/2010/main" val="0"/>
                        </a:ext>
                      </a:extLst>
                    </a:blip>
                    <a:stretch>
                      <a:fillRect/>
                    </a:stretch>
                  </pic:blipFill>
                  <pic:spPr>
                    <a:xfrm>
                      <a:off x="0" y="0"/>
                      <a:ext cx="5756275" cy="1737995"/>
                    </a:xfrm>
                    <a:prstGeom prst="rect">
                      <a:avLst/>
                    </a:prstGeom>
                  </pic:spPr>
                </pic:pic>
              </a:graphicData>
            </a:graphic>
          </wp:inline>
        </w:drawing>
      </w:r>
    </w:p>
    <w:p w14:paraId="544262DF" w14:textId="77777777" w:rsidR="00D83201" w:rsidRDefault="00D83201" w:rsidP="00CD7246">
      <w:pPr>
        <w:pStyle w:val="Figure"/>
        <w:rPr>
          <w:lang w:val="en-AU"/>
        </w:rPr>
        <w:sectPr w:rsidR="00D83201" w:rsidSect="008A6B17">
          <w:pgSz w:w="11901" w:h="16817"/>
          <w:pgMar w:top="1134" w:right="1418" w:bottom="1134" w:left="1418" w:header="709" w:footer="709" w:gutter="0"/>
          <w:cols w:space="708"/>
          <w:docGrid w:linePitch="360"/>
        </w:sectPr>
      </w:pPr>
    </w:p>
    <w:p w14:paraId="09E9BEFF" w14:textId="393EAA10" w:rsidR="00BF2BF6" w:rsidRPr="00C12274" w:rsidRDefault="00BF2BF6" w:rsidP="008E765F">
      <w:pPr>
        <w:pStyle w:val="Heading3"/>
        <w:numPr>
          <w:ilvl w:val="0"/>
          <w:numId w:val="0"/>
        </w:numPr>
        <w:rPr>
          <w:lang w:val="en-AU"/>
        </w:rPr>
      </w:pPr>
      <w:bookmarkStart w:id="302" w:name="_Toc40956568"/>
      <w:r>
        <w:rPr>
          <w:lang w:val="en-AU"/>
        </w:rPr>
        <w:t xml:space="preserve">Comparison </w:t>
      </w:r>
      <w:r w:rsidR="00CB6081">
        <w:rPr>
          <w:lang w:val="en-AU"/>
        </w:rPr>
        <w:t>4</w:t>
      </w:r>
      <w:r>
        <w:rPr>
          <w:lang w:val="en-AU"/>
        </w:rPr>
        <w:t>: Exercise versus usual care</w:t>
      </w:r>
      <w:bookmarkEnd w:id="302"/>
    </w:p>
    <w:p w14:paraId="6750F462" w14:textId="77777777" w:rsidR="00BF2BF6" w:rsidRPr="00C12274" w:rsidRDefault="00BF2BF6" w:rsidP="00BF2BF6">
      <w:pPr>
        <w:pStyle w:val="Heading5"/>
        <w:rPr>
          <w:lang w:val="en-AU"/>
        </w:rPr>
      </w:pPr>
      <w:bookmarkStart w:id="303" w:name="_Toc3807159"/>
      <w:r w:rsidRPr="00C12274">
        <w:rPr>
          <w:lang w:val="en-AU"/>
        </w:rPr>
        <w:t>Maternal outcomes</w:t>
      </w:r>
      <w:bookmarkEnd w:id="303"/>
    </w:p>
    <w:p w14:paraId="27BC32D6" w14:textId="4B10F940" w:rsidR="00BF2BF6" w:rsidRPr="00C12274" w:rsidRDefault="00CB6081" w:rsidP="00BF2BF6">
      <w:pPr>
        <w:pStyle w:val="Heading6"/>
      </w:pPr>
      <w:bookmarkStart w:id="304" w:name="_Ref9000137"/>
      <w:r>
        <w:t>4</w:t>
      </w:r>
      <w:r w:rsidR="00BF2BF6" w:rsidRPr="000840CF">
        <w:t>.1</w:t>
      </w:r>
      <w:r w:rsidR="00BF2BF6" w:rsidRPr="000840CF">
        <w:tab/>
        <w:t>Mean gestational weight gain</w:t>
      </w:r>
      <w:bookmarkEnd w:id="304"/>
    </w:p>
    <w:p w14:paraId="2614B075" w14:textId="2BC99C34" w:rsidR="005C26C6" w:rsidRDefault="00B8273F" w:rsidP="00BF2BF6">
      <w:pPr>
        <w:pStyle w:val="Figure"/>
      </w:pPr>
      <w:r>
        <w:rPr>
          <w:noProof/>
          <w:lang w:val="en-AU" w:eastAsia="en-AU"/>
        </w:rPr>
        <w:drawing>
          <wp:inline distT="0" distB="0" distL="0" distR="0" wp14:anchorId="10BFD2C2" wp14:editId="34B9D317">
            <wp:extent cx="5756275" cy="45212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1 GWG.png"/>
                    <pic:cNvPicPr/>
                  </pic:nvPicPr>
                  <pic:blipFill>
                    <a:blip r:embed="rId70">
                      <a:extLst>
                        <a:ext uri="{28A0092B-C50C-407E-A947-70E740481C1C}">
                          <a14:useLocalDpi xmlns:a14="http://schemas.microsoft.com/office/drawing/2010/main" val="0"/>
                        </a:ext>
                      </a:extLst>
                    </a:blip>
                    <a:stretch>
                      <a:fillRect/>
                    </a:stretch>
                  </pic:blipFill>
                  <pic:spPr>
                    <a:xfrm>
                      <a:off x="0" y="0"/>
                      <a:ext cx="5756275" cy="4521200"/>
                    </a:xfrm>
                    <a:prstGeom prst="rect">
                      <a:avLst/>
                    </a:prstGeom>
                  </pic:spPr>
                </pic:pic>
              </a:graphicData>
            </a:graphic>
          </wp:inline>
        </w:drawing>
      </w:r>
    </w:p>
    <w:p w14:paraId="163D6FBA" w14:textId="77777777" w:rsidR="00BF2BF6" w:rsidRDefault="00BF2BF6" w:rsidP="00BF2BF6">
      <w:pPr>
        <w:pStyle w:val="Heading6"/>
      </w:pPr>
      <w:r>
        <w:t xml:space="preserve">Mean gestational weight gain among women who were overweight or obese </w:t>
      </w:r>
    </w:p>
    <w:p w14:paraId="20E16BF9" w14:textId="7B8A53D4" w:rsidR="00D82E4B" w:rsidRPr="00C12274" w:rsidRDefault="00D82E4B" w:rsidP="00BF2BF6">
      <w:pPr>
        <w:pStyle w:val="Figure"/>
      </w:pPr>
      <w:r>
        <w:rPr>
          <w:noProof/>
          <w:lang w:val="en-AU" w:eastAsia="en-AU"/>
        </w:rPr>
        <w:drawing>
          <wp:inline distT="0" distB="0" distL="0" distR="0" wp14:anchorId="04BEE435" wp14:editId="66D42A62">
            <wp:extent cx="5756275" cy="2711450"/>
            <wp:effectExtent l="0" t="0" r="952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eight gain o&amp;o.png"/>
                    <pic:cNvPicPr/>
                  </pic:nvPicPr>
                  <pic:blipFill>
                    <a:blip r:embed="rId71">
                      <a:extLst>
                        <a:ext uri="{28A0092B-C50C-407E-A947-70E740481C1C}">
                          <a14:useLocalDpi xmlns:a14="http://schemas.microsoft.com/office/drawing/2010/main" val="0"/>
                        </a:ext>
                      </a:extLst>
                    </a:blip>
                    <a:stretch>
                      <a:fillRect/>
                    </a:stretch>
                  </pic:blipFill>
                  <pic:spPr>
                    <a:xfrm>
                      <a:off x="0" y="0"/>
                      <a:ext cx="5756275" cy="2711450"/>
                    </a:xfrm>
                    <a:prstGeom prst="rect">
                      <a:avLst/>
                    </a:prstGeom>
                  </pic:spPr>
                </pic:pic>
              </a:graphicData>
            </a:graphic>
          </wp:inline>
        </w:drawing>
      </w:r>
    </w:p>
    <w:p w14:paraId="231D5164" w14:textId="760BA790" w:rsidR="00BF2BF6" w:rsidRPr="00C12274" w:rsidRDefault="00CB6081" w:rsidP="00BF2BF6">
      <w:pPr>
        <w:pStyle w:val="Heading6"/>
      </w:pPr>
      <w:bookmarkStart w:id="305" w:name="_Ref9000158"/>
      <w:r>
        <w:t>4</w:t>
      </w:r>
      <w:r w:rsidR="00BF2BF6" w:rsidRPr="00C12274">
        <w:t>.2</w:t>
      </w:r>
      <w:r w:rsidR="00BF2BF6" w:rsidRPr="00C12274">
        <w:tab/>
        <w:t>Weight gain exceeding IOM guidelines</w:t>
      </w:r>
      <w:bookmarkEnd w:id="305"/>
    </w:p>
    <w:p w14:paraId="4294FDFB" w14:textId="050F7DFE" w:rsidR="00D82E4B" w:rsidRPr="00C12274" w:rsidRDefault="00D82E4B" w:rsidP="00BF2BF6">
      <w:pPr>
        <w:pStyle w:val="Figure"/>
      </w:pPr>
      <w:r>
        <w:rPr>
          <w:noProof/>
          <w:lang w:val="en-AU" w:eastAsia="en-AU"/>
        </w:rPr>
        <w:drawing>
          <wp:inline distT="0" distB="0" distL="0" distR="0" wp14:anchorId="3E6119B8" wp14:editId="0B1567BA">
            <wp:extent cx="5756275" cy="3457575"/>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2 EWG.png"/>
                    <pic:cNvPicPr/>
                  </pic:nvPicPr>
                  <pic:blipFill>
                    <a:blip r:embed="rId72">
                      <a:extLst>
                        <a:ext uri="{28A0092B-C50C-407E-A947-70E740481C1C}">
                          <a14:useLocalDpi xmlns:a14="http://schemas.microsoft.com/office/drawing/2010/main" val="0"/>
                        </a:ext>
                      </a:extLst>
                    </a:blip>
                    <a:stretch>
                      <a:fillRect/>
                    </a:stretch>
                  </pic:blipFill>
                  <pic:spPr>
                    <a:xfrm>
                      <a:off x="0" y="0"/>
                      <a:ext cx="5756275" cy="3457575"/>
                    </a:xfrm>
                    <a:prstGeom prst="rect">
                      <a:avLst/>
                    </a:prstGeom>
                  </pic:spPr>
                </pic:pic>
              </a:graphicData>
            </a:graphic>
          </wp:inline>
        </w:drawing>
      </w:r>
    </w:p>
    <w:p w14:paraId="22EF4083" w14:textId="7B78585B" w:rsidR="00BF2BF6" w:rsidRDefault="00CB6081" w:rsidP="008F5EDC">
      <w:pPr>
        <w:pStyle w:val="Heading6"/>
      </w:pPr>
      <w:bookmarkStart w:id="306" w:name="_Ref9000191"/>
      <w:r>
        <w:t>4</w:t>
      </w:r>
      <w:r w:rsidR="00BF2BF6" w:rsidRPr="00C12274">
        <w:t>.3</w:t>
      </w:r>
      <w:r w:rsidR="00BF2BF6" w:rsidRPr="00C12274">
        <w:tab/>
        <w:t>Gestational diabetes</w:t>
      </w:r>
      <w:bookmarkEnd w:id="306"/>
    </w:p>
    <w:p w14:paraId="7724A8AA" w14:textId="1F4B2AA3" w:rsidR="00D82E4B" w:rsidRDefault="00D82E4B" w:rsidP="00BF2BF6">
      <w:pPr>
        <w:pStyle w:val="Figure"/>
      </w:pPr>
      <w:r>
        <w:rPr>
          <w:noProof/>
          <w:lang w:val="en-AU" w:eastAsia="en-AU"/>
        </w:rPr>
        <w:drawing>
          <wp:inline distT="0" distB="0" distL="0" distR="0" wp14:anchorId="21AF76B3" wp14:editId="6199B7B9">
            <wp:extent cx="5756275" cy="3981450"/>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3 GDM.png"/>
                    <pic:cNvPicPr/>
                  </pic:nvPicPr>
                  <pic:blipFill>
                    <a:blip r:embed="rId73">
                      <a:extLst>
                        <a:ext uri="{28A0092B-C50C-407E-A947-70E740481C1C}">
                          <a14:useLocalDpi xmlns:a14="http://schemas.microsoft.com/office/drawing/2010/main" val="0"/>
                        </a:ext>
                      </a:extLst>
                    </a:blip>
                    <a:stretch>
                      <a:fillRect/>
                    </a:stretch>
                  </pic:blipFill>
                  <pic:spPr>
                    <a:xfrm>
                      <a:off x="0" y="0"/>
                      <a:ext cx="5756275" cy="3981450"/>
                    </a:xfrm>
                    <a:prstGeom prst="rect">
                      <a:avLst/>
                    </a:prstGeom>
                  </pic:spPr>
                </pic:pic>
              </a:graphicData>
            </a:graphic>
          </wp:inline>
        </w:drawing>
      </w:r>
    </w:p>
    <w:p w14:paraId="4F8A94D7" w14:textId="77777777" w:rsidR="00BF2BF6" w:rsidRPr="00E92B0C" w:rsidRDefault="00BF2BF6" w:rsidP="00BF2BF6">
      <w:pPr>
        <w:pStyle w:val="Figure"/>
        <w:rPr>
          <w:sz w:val="16"/>
          <w:szCs w:val="16"/>
        </w:rPr>
      </w:pPr>
      <w:r w:rsidRPr="00E92B0C">
        <w:rPr>
          <w:sz w:val="16"/>
          <w:szCs w:val="16"/>
        </w:rPr>
        <w:t>Note: Studies differed in diagnostic criteria for gestational diabetes.</w:t>
      </w:r>
    </w:p>
    <w:p w14:paraId="127CDF3D" w14:textId="5737F005" w:rsidR="00BF2BF6" w:rsidRPr="00C12274" w:rsidRDefault="00CB6081" w:rsidP="00BF2BF6">
      <w:pPr>
        <w:pStyle w:val="Heading6"/>
      </w:pPr>
      <w:bookmarkStart w:id="307" w:name="_Ref9000213"/>
      <w:r>
        <w:t>4</w:t>
      </w:r>
      <w:r w:rsidR="00BF2BF6" w:rsidRPr="00C12274">
        <w:t>.4</w:t>
      </w:r>
      <w:r w:rsidR="00BF2BF6" w:rsidRPr="00C12274">
        <w:tab/>
        <w:t>Gestational hypertension</w:t>
      </w:r>
      <w:bookmarkEnd w:id="307"/>
    </w:p>
    <w:p w14:paraId="37A13F65" w14:textId="54F3E009" w:rsidR="00D82E4B" w:rsidRPr="00C12274" w:rsidRDefault="00D82E4B" w:rsidP="00BF2BF6">
      <w:pPr>
        <w:pStyle w:val="Figure"/>
      </w:pPr>
      <w:r>
        <w:rPr>
          <w:noProof/>
          <w:lang w:val="en-AU" w:eastAsia="en-AU"/>
        </w:rPr>
        <w:drawing>
          <wp:inline distT="0" distB="0" distL="0" distR="0" wp14:anchorId="2AE69D13" wp14:editId="6ED8505F">
            <wp:extent cx="5756275" cy="25146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 HBP.png"/>
                    <pic:cNvPicPr/>
                  </pic:nvPicPr>
                  <pic:blipFill>
                    <a:blip r:embed="rId74">
                      <a:extLst>
                        <a:ext uri="{28A0092B-C50C-407E-A947-70E740481C1C}">
                          <a14:useLocalDpi xmlns:a14="http://schemas.microsoft.com/office/drawing/2010/main" val="0"/>
                        </a:ext>
                      </a:extLst>
                    </a:blip>
                    <a:stretch>
                      <a:fillRect/>
                    </a:stretch>
                  </pic:blipFill>
                  <pic:spPr>
                    <a:xfrm>
                      <a:off x="0" y="0"/>
                      <a:ext cx="5756275" cy="2514600"/>
                    </a:xfrm>
                    <a:prstGeom prst="rect">
                      <a:avLst/>
                    </a:prstGeom>
                  </pic:spPr>
                </pic:pic>
              </a:graphicData>
            </a:graphic>
          </wp:inline>
        </w:drawing>
      </w:r>
    </w:p>
    <w:p w14:paraId="47757C53" w14:textId="4AB725E7" w:rsidR="00BF2BF6" w:rsidRPr="00C12274" w:rsidRDefault="00CB6081" w:rsidP="00BF2BF6">
      <w:pPr>
        <w:pStyle w:val="Heading6"/>
      </w:pPr>
      <w:bookmarkStart w:id="308" w:name="_Ref9000292"/>
      <w:r>
        <w:t>4</w:t>
      </w:r>
      <w:r w:rsidR="00BF2BF6" w:rsidRPr="00C12274">
        <w:t>.5</w:t>
      </w:r>
      <w:r w:rsidR="00BF2BF6" w:rsidRPr="00C12274">
        <w:tab/>
        <w:t>Pre-eclampsia</w:t>
      </w:r>
      <w:bookmarkEnd w:id="308"/>
    </w:p>
    <w:p w14:paraId="17A77AF2" w14:textId="02702158" w:rsidR="007E7AAD" w:rsidRPr="00C12274" w:rsidRDefault="007E7AAD" w:rsidP="00BF2BF6">
      <w:pPr>
        <w:pStyle w:val="Figure"/>
      </w:pPr>
      <w:r>
        <w:rPr>
          <w:noProof/>
          <w:lang w:val="en-AU" w:eastAsia="en-AU"/>
        </w:rPr>
        <w:drawing>
          <wp:inline distT="0" distB="0" distL="0" distR="0" wp14:anchorId="22BBD668" wp14:editId="5084AAC1">
            <wp:extent cx="5756275" cy="25222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5 preeclampsia.png"/>
                    <pic:cNvPicPr/>
                  </pic:nvPicPr>
                  <pic:blipFill>
                    <a:blip r:embed="rId75">
                      <a:extLst>
                        <a:ext uri="{28A0092B-C50C-407E-A947-70E740481C1C}">
                          <a14:useLocalDpi xmlns:a14="http://schemas.microsoft.com/office/drawing/2010/main" val="0"/>
                        </a:ext>
                      </a:extLst>
                    </a:blip>
                    <a:stretch>
                      <a:fillRect/>
                    </a:stretch>
                  </pic:blipFill>
                  <pic:spPr>
                    <a:xfrm>
                      <a:off x="0" y="0"/>
                      <a:ext cx="5756275" cy="2522220"/>
                    </a:xfrm>
                    <a:prstGeom prst="rect">
                      <a:avLst/>
                    </a:prstGeom>
                  </pic:spPr>
                </pic:pic>
              </a:graphicData>
            </a:graphic>
          </wp:inline>
        </w:drawing>
      </w:r>
    </w:p>
    <w:p w14:paraId="0F7BA907" w14:textId="011E1870" w:rsidR="00BF2BF6" w:rsidRPr="00C12274" w:rsidRDefault="00CB6081" w:rsidP="00BF2BF6">
      <w:pPr>
        <w:pStyle w:val="Heading6"/>
      </w:pPr>
      <w:bookmarkStart w:id="309" w:name="_Ref9000228"/>
      <w:r>
        <w:t>4</w:t>
      </w:r>
      <w:r w:rsidR="00BF2BF6" w:rsidRPr="000840CF">
        <w:t>.6</w:t>
      </w:r>
      <w:r w:rsidR="00BF2BF6" w:rsidRPr="000840CF">
        <w:tab/>
        <w:t>Caesarean section</w:t>
      </w:r>
      <w:bookmarkEnd w:id="309"/>
    </w:p>
    <w:p w14:paraId="49A84996" w14:textId="0FC98810" w:rsidR="00D82E4B" w:rsidRPr="00C12274" w:rsidRDefault="00E900D4" w:rsidP="00BF2BF6">
      <w:pPr>
        <w:pStyle w:val="Figure"/>
      </w:pPr>
      <w:r>
        <w:rPr>
          <w:noProof/>
          <w:lang w:val="en-AU" w:eastAsia="en-AU"/>
        </w:rPr>
        <w:drawing>
          <wp:inline distT="0" distB="0" distL="0" distR="0" wp14:anchorId="0C547747" wp14:editId="18A35CF6">
            <wp:extent cx="5756275" cy="4505325"/>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6 ceasarean.png"/>
                    <pic:cNvPicPr/>
                  </pic:nvPicPr>
                  <pic:blipFill>
                    <a:blip r:embed="rId76">
                      <a:extLst>
                        <a:ext uri="{28A0092B-C50C-407E-A947-70E740481C1C}">
                          <a14:useLocalDpi xmlns:a14="http://schemas.microsoft.com/office/drawing/2010/main" val="0"/>
                        </a:ext>
                      </a:extLst>
                    </a:blip>
                    <a:stretch>
                      <a:fillRect/>
                    </a:stretch>
                  </pic:blipFill>
                  <pic:spPr>
                    <a:xfrm>
                      <a:off x="0" y="0"/>
                      <a:ext cx="5756275" cy="4505325"/>
                    </a:xfrm>
                    <a:prstGeom prst="rect">
                      <a:avLst/>
                    </a:prstGeom>
                  </pic:spPr>
                </pic:pic>
              </a:graphicData>
            </a:graphic>
          </wp:inline>
        </w:drawing>
      </w:r>
    </w:p>
    <w:p w14:paraId="049FAB89" w14:textId="56A973FF" w:rsidR="00BF2BF6" w:rsidRPr="00C12274" w:rsidRDefault="00CB6081" w:rsidP="00BF2BF6">
      <w:pPr>
        <w:pStyle w:val="Heading6"/>
      </w:pPr>
      <w:bookmarkStart w:id="310" w:name="_Ref9000249"/>
      <w:r>
        <w:t>4</w:t>
      </w:r>
      <w:r w:rsidR="00BF2BF6" w:rsidRPr="00C12274">
        <w:t>.7</w:t>
      </w:r>
      <w:r w:rsidR="00BF2BF6" w:rsidRPr="00C12274">
        <w:tab/>
        <w:t>Antenatal depression</w:t>
      </w:r>
      <w:bookmarkEnd w:id="310"/>
    </w:p>
    <w:p w14:paraId="47A8F7D0" w14:textId="54830C76" w:rsidR="00B550DC" w:rsidRDefault="00E900D4" w:rsidP="00BF2BF6">
      <w:pPr>
        <w:pStyle w:val="Figure"/>
      </w:pPr>
      <w:r>
        <w:rPr>
          <w:noProof/>
          <w:lang w:val="en-AU" w:eastAsia="en-AU"/>
        </w:rPr>
        <w:drawing>
          <wp:inline distT="0" distB="0" distL="0" distR="0" wp14:anchorId="79F5B3C4" wp14:editId="574B405D">
            <wp:extent cx="5756275" cy="2302510"/>
            <wp:effectExtent l="0" t="0" r="9525"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7 Depression.png"/>
                    <pic:cNvPicPr/>
                  </pic:nvPicPr>
                  <pic:blipFill>
                    <a:blip r:embed="rId77">
                      <a:extLst>
                        <a:ext uri="{28A0092B-C50C-407E-A947-70E740481C1C}">
                          <a14:useLocalDpi xmlns:a14="http://schemas.microsoft.com/office/drawing/2010/main" val="0"/>
                        </a:ext>
                      </a:extLst>
                    </a:blip>
                    <a:stretch>
                      <a:fillRect/>
                    </a:stretch>
                  </pic:blipFill>
                  <pic:spPr>
                    <a:xfrm>
                      <a:off x="0" y="0"/>
                      <a:ext cx="5756275" cy="2302510"/>
                    </a:xfrm>
                    <a:prstGeom prst="rect">
                      <a:avLst/>
                    </a:prstGeom>
                  </pic:spPr>
                </pic:pic>
              </a:graphicData>
            </a:graphic>
          </wp:inline>
        </w:drawing>
      </w:r>
    </w:p>
    <w:p w14:paraId="357F9E7B" w14:textId="77777777" w:rsidR="007E0CC6" w:rsidRDefault="00CB6081" w:rsidP="00E25752">
      <w:pPr>
        <w:pStyle w:val="Heading6"/>
      </w:pPr>
      <w:bookmarkStart w:id="311" w:name="_Ref40446198"/>
      <w:bookmarkStart w:id="312" w:name="_Ref8999425"/>
      <w:r>
        <w:t>4</w:t>
      </w:r>
      <w:r w:rsidR="00BF2BF6">
        <w:t>.8</w:t>
      </w:r>
      <w:r w:rsidR="00BF2BF6">
        <w:tab/>
        <w:t xml:space="preserve">Postnatal </w:t>
      </w:r>
      <w:r w:rsidR="007E0CC6">
        <w:t>depression</w:t>
      </w:r>
      <w:bookmarkEnd w:id="311"/>
    </w:p>
    <w:p w14:paraId="48190369" w14:textId="04B21885" w:rsidR="007E0CC6" w:rsidRPr="00175279" w:rsidRDefault="007E0CC6" w:rsidP="0030223E">
      <w:pPr>
        <w:pStyle w:val="Figure"/>
      </w:pPr>
      <w:r w:rsidRPr="00886445">
        <w:rPr>
          <w:noProof/>
          <w:lang w:val="en-AU" w:eastAsia="en-AU"/>
        </w:rPr>
        <w:drawing>
          <wp:inline distT="0" distB="0" distL="0" distR="0" wp14:anchorId="3F636BDA" wp14:editId="389C46DF">
            <wp:extent cx="5756275" cy="22021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ND.png"/>
                    <pic:cNvPicPr/>
                  </pic:nvPicPr>
                  <pic:blipFill>
                    <a:blip r:embed="rId78">
                      <a:extLst>
                        <a:ext uri="{28A0092B-C50C-407E-A947-70E740481C1C}">
                          <a14:useLocalDpi xmlns:a14="http://schemas.microsoft.com/office/drawing/2010/main" val="0"/>
                        </a:ext>
                      </a:extLst>
                    </a:blip>
                    <a:stretch>
                      <a:fillRect/>
                    </a:stretch>
                  </pic:blipFill>
                  <pic:spPr>
                    <a:xfrm>
                      <a:off x="0" y="0"/>
                      <a:ext cx="5756275" cy="2202180"/>
                    </a:xfrm>
                    <a:prstGeom prst="rect">
                      <a:avLst/>
                    </a:prstGeom>
                  </pic:spPr>
                </pic:pic>
              </a:graphicData>
            </a:graphic>
          </wp:inline>
        </w:drawing>
      </w:r>
    </w:p>
    <w:p w14:paraId="22E06989" w14:textId="30FF2AC8" w:rsidR="00B550DC" w:rsidRDefault="007E0CC6" w:rsidP="00E25752">
      <w:pPr>
        <w:pStyle w:val="Heading6"/>
      </w:pPr>
      <w:r>
        <w:t>4.9</w:t>
      </w:r>
      <w:r>
        <w:tab/>
        <w:t xml:space="preserve">Postnatal </w:t>
      </w:r>
      <w:r w:rsidR="00BF2BF6">
        <w:t>weight retention</w:t>
      </w:r>
      <w:bookmarkEnd w:id="312"/>
    </w:p>
    <w:p w14:paraId="7EC447F7" w14:textId="1EA14DA4" w:rsidR="00387D37" w:rsidRPr="009C7278" w:rsidRDefault="00E900D4" w:rsidP="00BF2BF6">
      <w:pPr>
        <w:pStyle w:val="Figure"/>
      </w:pPr>
      <w:r>
        <w:rPr>
          <w:noProof/>
          <w:lang w:val="en-AU" w:eastAsia="en-AU"/>
        </w:rPr>
        <w:drawing>
          <wp:inline distT="0" distB="0" distL="0" distR="0" wp14:anchorId="2EF65DA8" wp14:editId="0A39FEEC">
            <wp:extent cx="5756275" cy="2126615"/>
            <wp:effectExtent l="0" t="0" r="9525" b="698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17 weight retention.png"/>
                    <pic:cNvPicPr/>
                  </pic:nvPicPr>
                  <pic:blipFill>
                    <a:blip r:embed="rId79">
                      <a:extLst>
                        <a:ext uri="{28A0092B-C50C-407E-A947-70E740481C1C}">
                          <a14:useLocalDpi xmlns:a14="http://schemas.microsoft.com/office/drawing/2010/main" val="0"/>
                        </a:ext>
                      </a:extLst>
                    </a:blip>
                    <a:stretch>
                      <a:fillRect/>
                    </a:stretch>
                  </pic:blipFill>
                  <pic:spPr>
                    <a:xfrm>
                      <a:off x="0" y="0"/>
                      <a:ext cx="5756275" cy="2126615"/>
                    </a:xfrm>
                    <a:prstGeom prst="rect">
                      <a:avLst/>
                    </a:prstGeom>
                  </pic:spPr>
                </pic:pic>
              </a:graphicData>
            </a:graphic>
          </wp:inline>
        </w:drawing>
      </w:r>
    </w:p>
    <w:p w14:paraId="6CF050E0" w14:textId="77777777" w:rsidR="00BF2BF6" w:rsidRPr="00C12274" w:rsidRDefault="00BF2BF6" w:rsidP="00BF2BF6">
      <w:pPr>
        <w:pStyle w:val="Heading5"/>
      </w:pPr>
      <w:bookmarkStart w:id="313" w:name="_Toc3807160"/>
      <w:r w:rsidRPr="00C12274">
        <w:t>Infant outcomes</w:t>
      </w:r>
      <w:bookmarkEnd w:id="313"/>
    </w:p>
    <w:p w14:paraId="5A5B9596" w14:textId="2F2C51BE" w:rsidR="00BF2BF6" w:rsidRPr="00C12274" w:rsidRDefault="00CB6081" w:rsidP="00BF2BF6">
      <w:pPr>
        <w:pStyle w:val="Heading6"/>
      </w:pPr>
      <w:bookmarkStart w:id="314" w:name="_Ref9000412"/>
      <w:r>
        <w:t>4</w:t>
      </w:r>
      <w:r w:rsidR="00BF2BF6">
        <w:t>.</w:t>
      </w:r>
      <w:r w:rsidR="007E0CC6">
        <w:t>10</w:t>
      </w:r>
      <w:r w:rsidR="00BF2BF6" w:rsidRPr="00C12274">
        <w:tab/>
        <w:t>Preterm birth</w:t>
      </w:r>
      <w:bookmarkEnd w:id="314"/>
    </w:p>
    <w:p w14:paraId="4A1D531E" w14:textId="497F9410" w:rsidR="00AA5021" w:rsidRPr="00C12274" w:rsidRDefault="00AA5021" w:rsidP="00BF2BF6">
      <w:pPr>
        <w:pStyle w:val="Figure"/>
      </w:pPr>
      <w:r>
        <w:rPr>
          <w:noProof/>
          <w:lang w:val="en-AU" w:eastAsia="en-AU"/>
        </w:rPr>
        <w:drawing>
          <wp:inline distT="0" distB="0" distL="0" distR="0" wp14:anchorId="3E6002FA" wp14:editId="62E7E8B7">
            <wp:extent cx="5756275" cy="3457575"/>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8 preterm.png"/>
                    <pic:cNvPicPr/>
                  </pic:nvPicPr>
                  <pic:blipFill>
                    <a:blip r:embed="rId80">
                      <a:extLst>
                        <a:ext uri="{28A0092B-C50C-407E-A947-70E740481C1C}">
                          <a14:useLocalDpi xmlns:a14="http://schemas.microsoft.com/office/drawing/2010/main" val="0"/>
                        </a:ext>
                      </a:extLst>
                    </a:blip>
                    <a:stretch>
                      <a:fillRect/>
                    </a:stretch>
                  </pic:blipFill>
                  <pic:spPr>
                    <a:xfrm>
                      <a:off x="0" y="0"/>
                      <a:ext cx="5756275" cy="3457575"/>
                    </a:xfrm>
                    <a:prstGeom prst="rect">
                      <a:avLst/>
                    </a:prstGeom>
                  </pic:spPr>
                </pic:pic>
              </a:graphicData>
            </a:graphic>
          </wp:inline>
        </w:drawing>
      </w:r>
    </w:p>
    <w:p w14:paraId="737D5F70" w14:textId="45AC43C5" w:rsidR="00BF2BF6" w:rsidRPr="00C12274" w:rsidRDefault="00CB6081" w:rsidP="00BF2BF6">
      <w:pPr>
        <w:pStyle w:val="Heading6"/>
      </w:pPr>
      <w:bookmarkStart w:id="315" w:name="_Ref9000428"/>
      <w:r>
        <w:t>4</w:t>
      </w:r>
      <w:r w:rsidR="00BF2BF6">
        <w:t>.1</w:t>
      </w:r>
      <w:r w:rsidR="00E900D4">
        <w:t>1</w:t>
      </w:r>
      <w:r w:rsidR="00BF2BF6" w:rsidRPr="00C12274">
        <w:tab/>
        <w:t>Low birth weight</w:t>
      </w:r>
      <w:bookmarkEnd w:id="315"/>
    </w:p>
    <w:p w14:paraId="75D7A073" w14:textId="07E3EECD" w:rsidR="00AA5021" w:rsidRPr="00C12274" w:rsidRDefault="00AA5021" w:rsidP="00BF2BF6">
      <w:pPr>
        <w:pStyle w:val="Figure"/>
      </w:pPr>
      <w:r>
        <w:rPr>
          <w:noProof/>
          <w:lang w:val="en-AU" w:eastAsia="en-AU"/>
        </w:rPr>
        <w:drawing>
          <wp:inline distT="0" distB="0" distL="0" distR="0" wp14:anchorId="4E4CE458" wp14:editId="4FFF56C3">
            <wp:extent cx="5756275" cy="2933700"/>
            <wp:effectExtent l="0" t="0" r="9525"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9 LBW.png"/>
                    <pic:cNvPicPr/>
                  </pic:nvPicPr>
                  <pic:blipFill>
                    <a:blip r:embed="rId81">
                      <a:extLst>
                        <a:ext uri="{28A0092B-C50C-407E-A947-70E740481C1C}">
                          <a14:useLocalDpi xmlns:a14="http://schemas.microsoft.com/office/drawing/2010/main" val="0"/>
                        </a:ext>
                      </a:extLst>
                    </a:blip>
                    <a:stretch>
                      <a:fillRect/>
                    </a:stretch>
                  </pic:blipFill>
                  <pic:spPr>
                    <a:xfrm>
                      <a:off x="0" y="0"/>
                      <a:ext cx="5756275" cy="2933700"/>
                    </a:xfrm>
                    <a:prstGeom prst="rect">
                      <a:avLst/>
                    </a:prstGeom>
                  </pic:spPr>
                </pic:pic>
              </a:graphicData>
            </a:graphic>
          </wp:inline>
        </w:drawing>
      </w:r>
    </w:p>
    <w:p w14:paraId="7E6B79C3" w14:textId="2DAF249B" w:rsidR="00BF2BF6" w:rsidRPr="00C12274" w:rsidRDefault="00CB6081" w:rsidP="00BF2BF6">
      <w:pPr>
        <w:pStyle w:val="Heading6"/>
      </w:pPr>
      <w:bookmarkStart w:id="316" w:name="_Ref9000394"/>
      <w:r>
        <w:t>4</w:t>
      </w:r>
      <w:r w:rsidR="00BF2BF6">
        <w:t>.1</w:t>
      </w:r>
      <w:r w:rsidR="00E900D4">
        <w:t>2</w:t>
      </w:r>
      <w:r w:rsidR="00BF2BF6" w:rsidRPr="00C12274">
        <w:tab/>
        <w:t>Macrosomia</w:t>
      </w:r>
      <w:bookmarkEnd w:id="316"/>
    </w:p>
    <w:p w14:paraId="11B05DDF" w14:textId="4D0F283F" w:rsidR="00AA5021" w:rsidRPr="00C12274" w:rsidRDefault="00AA5021" w:rsidP="00BF2BF6">
      <w:pPr>
        <w:pStyle w:val="Figure"/>
      </w:pPr>
      <w:r>
        <w:rPr>
          <w:noProof/>
          <w:lang w:val="en-AU" w:eastAsia="en-AU"/>
        </w:rPr>
        <w:drawing>
          <wp:inline distT="0" distB="0" distL="0" distR="0" wp14:anchorId="5987E2AF" wp14:editId="06136026">
            <wp:extent cx="5756275" cy="3457575"/>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10 macrosomia.png"/>
                    <pic:cNvPicPr/>
                  </pic:nvPicPr>
                  <pic:blipFill>
                    <a:blip r:embed="rId82">
                      <a:extLst>
                        <a:ext uri="{28A0092B-C50C-407E-A947-70E740481C1C}">
                          <a14:useLocalDpi xmlns:a14="http://schemas.microsoft.com/office/drawing/2010/main" val="0"/>
                        </a:ext>
                      </a:extLst>
                    </a:blip>
                    <a:stretch>
                      <a:fillRect/>
                    </a:stretch>
                  </pic:blipFill>
                  <pic:spPr>
                    <a:xfrm>
                      <a:off x="0" y="0"/>
                      <a:ext cx="5756275" cy="3457575"/>
                    </a:xfrm>
                    <a:prstGeom prst="rect">
                      <a:avLst/>
                    </a:prstGeom>
                  </pic:spPr>
                </pic:pic>
              </a:graphicData>
            </a:graphic>
          </wp:inline>
        </w:drawing>
      </w:r>
    </w:p>
    <w:p w14:paraId="1DA6A3C9" w14:textId="23BFCE22" w:rsidR="00BF2BF6" w:rsidRPr="00C12274" w:rsidRDefault="00CB6081" w:rsidP="00BF2BF6">
      <w:pPr>
        <w:pStyle w:val="Heading6"/>
      </w:pPr>
      <w:bookmarkStart w:id="317" w:name="_Ref9000443"/>
      <w:r>
        <w:t>4</w:t>
      </w:r>
      <w:r w:rsidR="00BF2BF6">
        <w:t>.1</w:t>
      </w:r>
      <w:r w:rsidR="00E900D4">
        <w:t>3</w:t>
      </w:r>
      <w:r w:rsidR="00BF2BF6" w:rsidRPr="00C12274">
        <w:tab/>
        <w:t>Small for gestational age</w:t>
      </w:r>
      <w:bookmarkEnd w:id="317"/>
    </w:p>
    <w:p w14:paraId="4049D546" w14:textId="517877F2" w:rsidR="00FC3D91" w:rsidRPr="00C12274" w:rsidRDefault="00FC3D91" w:rsidP="00BF2BF6">
      <w:pPr>
        <w:pStyle w:val="Figure"/>
      </w:pPr>
      <w:r>
        <w:rPr>
          <w:noProof/>
          <w:lang w:val="en-AU" w:eastAsia="en-AU"/>
        </w:rPr>
        <w:drawing>
          <wp:inline distT="0" distB="0" distL="0" distR="0" wp14:anchorId="159E4CC4" wp14:editId="686CB018">
            <wp:extent cx="5756275" cy="282448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1 SGA.png"/>
                    <pic:cNvPicPr/>
                  </pic:nvPicPr>
                  <pic:blipFill>
                    <a:blip r:embed="rId83">
                      <a:extLst>
                        <a:ext uri="{28A0092B-C50C-407E-A947-70E740481C1C}">
                          <a14:useLocalDpi xmlns:a14="http://schemas.microsoft.com/office/drawing/2010/main" val="0"/>
                        </a:ext>
                      </a:extLst>
                    </a:blip>
                    <a:stretch>
                      <a:fillRect/>
                    </a:stretch>
                  </pic:blipFill>
                  <pic:spPr>
                    <a:xfrm>
                      <a:off x="0" y="0"/>
                      <a:ext cx="5756275" cy="2824480"/>
                    </a:xfrm>
                    <a:prstGeom prst="rect">
                      <a:avLst/>
                    </a:prstGeom>
                  </pic:spPr>
                </pic:pic>
              </a:graphicData>
            </a:graphic>
          </wp:inline>
        </w:drawing>
      </w:r>
    </w:p>
    <w:p w14:paraId="42180703" w14:textId="7F395885" w:rsidR="00BF2BF6" w:rsidRPr="00C12274" w:rsidRDefault="00CB6081" w:rsidP="00BF2BF6">
      <w:pPr>
        <w:pStyle w:val="Heading6"/>
      </w:pPr>
      <w:bookmarkStart w:id="318" w:name="_Ref9000461"/>
      <w:r>
        <w:t>4</w:t>
      </w:r>
      <w:r w:rsidR="00BF2BF6">
        <w:t>.1</w:t>
      </w:r>
      <w:r w:rsidR="00E900D4">
        <w:t>4</w:t>
      </w:r>
      <w:r w:rsidR="00BF2BF6" w:rsidRPr="00C12274">
        <w:tab/>
        <w:t>Large for gestational age</w:t>
      </w:r>
      <w:bookmarkEnd w:id="318"/>
    </w:p>
    <w:p w14:paraId="2524FD29" w14:textId="7DB0F350" w:rsidR="0002333A" w:rsidRPr="00C12274" w:rsidRDefault="0002333A" w:rsidP="00BF2BF6">
      <w:pPr>
        <w:pStyle w:val="Figure"/>
      </w:pPr>
      <w:r>
        <w:rPr>
          <w:noProof/>
          <w:lang w:val="en-AU" w:eastAsia="en-AU"/>
        </w:rPr>
        <w:drawing>
          <wp:inline distT="0" distB="0" distL="0" distR="0" wp14:anchorId="0873343C" wp14:editId="6A3EAD73">
            <wp:extent cx="5756275" cy="272351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2 LGA.png"/>
                    <pic:cNvPicPr/>
                  </pic:nvPicPr>
                  <pic:blipFill>
                    <a:blip r:embed="rId84">
                      <a:extLst>
                        <a:ext uri="{28A0092B-C50C-407E-A947-70E740481C1C}">
                          <a14:useLocalDpi xmlns:a14="http://schemas.microsoft.com/office/drawing/2010/main" val="0"/>
                        </a:ext>
                      </a:extLst>
                    </a:blip>
                    <a:stretch>
                      <a:fillRect/>
                    </a:stretch>
                  </pic:blipFill>
                  <pic:spPr>
                    <a:xfrm>
                      <a:off x="0" y="0"/>
                      <a:ext cx="5756275" cy="2723515"/>
                    </a:xfrm>
                    <a:prstGeom prst="rect">
                      <a:avLst/>
                    </a:prstGeom>
                  </pic:spPr>
                </pic:pic>
              </a:graphicData>
            </a:graphic>
          </wp:inline>
        </w:drawing>
      </w:r>
    </w:p>
    <w:p w14:paraId="449D4864" w14:textId="55CB2D92" w:rsidR="00BF2BF6" w:rsidRPr="00C12274" w:rsidRDefault="00CB6081" w:rsidP="00BF2BF6">
      <w:pPr>
        <w:pStyle w:val="Heading6"/>
      </w:pPr>
      <w:bookmarkStart w:id="319" w:name="_Ref9000485"/>
      <w:r>
        <w:t>4</w:t>
      </w:r>
      <w:r w:rsidR="00BF2BF6">
        <w:t>.1</w:t>
      </w:r>
      <w:r w:rsidR="00E900D4">
        <w:t>5</w:t>
      </w:r>
      <w:r w:rsidR="00BF2BF6">
        <w:tab/>
      </w:r>
      <w:r w:rsidR="00BF2BF6" w:rsidRPr="00C12274">
        <w:t>Apgar score &lt;7 at 5 minutes</w:t>
      </w:r>
      <w:bookmarkEnd w:id="319"/>
    </w:p>
    <w:p w14:paraId="3B1D99C2" w14:textId="1D2C167F" w:rsidR="003440B9" w:rsidRPr="00C12274" w:rsidRDefault="003440B9" w:rsidP="00BF2BF6">
      <w:pPr>
        <w:pStyle w:val="Figure"/>
      </w:pPr>
      <w:r>
        <w:rPr>
          <w:noProof/>
          <w:lang w:val="en-AU" w:eastAsia="en-AU"/>
        </w:rPr>
        <w:drawing>
          <wp:inline distT="0" distB="0" distL="0" distR="0" wp14:anchorId="3F67D230" wp14:editId="57E4F3E7">
            <wp:extent cx="5756275" cy="2305050"/>
            <wp:effectExtent l="0" t="0" r="952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14 Agpar score less than 7.png"/>
                    <pic:cNvPicPr/>
                  </pic:nvPicPr>
                  <pic:blipFill>
                    <a:blip r:embed="rId85">
                      <a:extLst>
                        <a:ext uri="{28A0092B-C50C-407E-A947-70E740481C1C}">
                          <a14:useLocalDpi xmlns:a14="http://schemas.microsoft.com/office/drawing/2010/main" val="0"/>
                        </a:ext>
                      </a:extLst>
                    </a:blip>
                    <a:stretch>
                      <a:fillRect/>
                    </a:stretch>
                  </pic:blipFill>
                  <pic:spPr>
                    <a:xfrm>
                      <a:off x="0" y="0"/>
                      <a:ext cx="5756275" cy="2305050"/>
                    </a:xfrm>
                    <a:prstGeom prst="rect">
                      <a:avLst/>
                    </a:prstGeom>
                  </pic:spPr>
                </pic:pic>
              </a:graphicData>
            </a:graphic>
          </wp:inline>
        </w:drawing>
      </w:r>
    </w:p>
    <w:p w14:paraId="08232582" w14:textId="4311EF61" w:rsidR="008E765F" w:rsidRPr="00C12274" w:rsidRDefault="00CB6081" w:rsidP="00611251">
      <w:pPr>
        <w:pStyle w:val="Heading3"/>
        <w:numPr>
          <w:ilvl w:val="0"/>
          <w:numId w:val="0"/>
        </w:numPr>
        <w:rPr>
          <w:lang w:val="en-AU"/>
        </w:rPr>
      </w:pPr>
      <w:bookmarkStart w:id="320" w:name="_Toc40956569"/>
      <w:r>
        <w:rPr>
          <w:lang w:val="en-AU"/>
        </w:rPr>
        <w:t>Comparison 5</w:t>
      </w:r>
      <w:r w:rsidR="008E765F">
        <w:rPr>
          <w:lang w:val="en-AU"/>
        </w:rPr>
        <w:t>: Lifestyle counselling as part of pregnancy care</w:t>
      </w:r>
      <w:r w:rsidR="007A69A9">
        <w:rPr>
          <w:lang w:val="en-AU"/>
        </w:rPr>
        <w:t xml:space="preserve"> versus usual care alone</w:t>
      </w:r>
      <w:bookmarkEnd w:id="320"/>
    </w:p>
    <w:p w14:paraId="47629789" w14:textId="77777777" w:rsidR="008E765F" w:rsidRPr="00C12274" w:rsidRDefault="008E765F" w:rsidP="008E765F">
      <w:pPr>
        <w:pStyle w:val="Heading5"/>
        <w:rPr>
          <w:lang w:val="en-AU"/>
        </w:rPr>
      </w:pPr>
      <w:bookmarkStart w:id="321" w:name="_Toc1661215"/>
      <w:bookmarkStart w:id="322" w:name="_Toc5978454"/>
      <w:r w:rsidRPr="00C12274">
        <w:rPr>
          <w:lang w:val="en-AU"/>
        </w:rPr>
        <w:t>Maternal outcomes</w:t>
      </w:r>
      <w:bookmarkEnd w:id="321"/>
      <w:bookmarkEnd w:id="322"/>
    </w:p>
    <w:p w14:paraId="2C5C3C29" w14:textId="3E1C7957" w:rsidR="008E765F" w:rsidRPr="00C12274" w:rsidRDefault="00CB6081" w:rsidP="008E765F">
      <w:pPr>
        <w:pStyle w:val="Heading6"/>
      </w:pPr>
      <w:bookmarkStart w:id="323" w:name="_Toc1661216"/>
      <w:bookmarkStart w:id="324" w:name="_Ref2167603"/>
      <w:r>
        <w:t>5</w:t>
      </w:r>
      <w:r w:rsidR="008E765F" w:rsidRPr="00C12274">
        <w:t>.1</w:t>
      </w:r>
      <w:r w:rsidR="008E765F" w:rsidRPr="00C12274">
        <w:tab/>
        <w:t>Mean gestational weight gain</w:t>
      </w:r>
      <w:bookmarkEnd w:id="323"/>
      <w:bookmarkEnd w:id="324"/>
    </w:p>
    <w:p w14:paraId="12658BEC" w14:textId="736DB175" w:rsidR="00941544" w:rsidRDefault="00C05019" w:rsidP="008E765F">
      <w:pPr>
        <w:pStyle w:val="Figure"/>
      </w:pPr>
      <w:r>
        <w:rPr>
          <w:noProof/>
          <w:lang w:val="en-AU" w:eastAsia="en-AU"/>
        </w:rPr>
        <w:drawing>
          <wp:inline distT="0" distB="0" distL="0" distR="0" wp14:anchorId="6ED85BF2" wp14:editId="0FB44D76">
            <wp:extent cx="5756275" cy="6468110"/>
            <wp:effectExtent l="0" t="0" r="9525"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1 GWG.png"/>
                    <pic:cNvPicPr/>
                  </pic:nvPicPr>
                  <pic:blipFill>
                    <a:blip r:embed="rId86">
                      <a:extLst>
                        <a:ext uri="{28A0092B-C50C-407E-A947-70E740481C1C}">
                          <a14:useLocalDpi xmlns:a14="http://schemas.microsoft.com/office/drawing/2010/main" val="0"/>
                        </a:ext>
                      </a:extLst>
                    </a:blip>
                    <a:stretch>
                      <a:fillRect/>
                    </a:stretch>
                  </pic:blipFill>
                  <pic:spPr>
                    <a:xfrm>
                      <a:off x="0" y="0"/>
                      <a:ext cx="5756275" cy="6468110"/>
                    </a:xfrm>
                    <a:prstGeom prst="rect">
                      <a:avLst/>
                    </a:prstGeom>
                  </pic:spPr>
                </pic:pic>
              </a:graphicData>
            </a:graphic>
          </wp:inline>
        </w:drawing>
      </w:r>
    </w:p>
    <w:p w14:paraId="079D24A8" w14:textId="77777777" w:rsidR="00AA613F" w:rsidRDefault="00AA613F" w:rsidP="008E765F">
      <w:pPr>
        <w:pStyle w:val="Figure"/>
      </w:pPr>
    </w:p>
    <w:p w14:paraId="741E696D" w14:textId="5B1D12BA" w:rsidR="008E765F" w:rsidRDefault="00D15A78" w:rsidP="007E786A">
      <w:pPr>
        <w:pStyle w:val="Heading6"/>
      </w:pPr>
      <w:bookmarkStart w:id="325" w:name="_Toc1661217"/>
      <w:bookmarkStart w:id="326" w:name="_Ref2168000"/>
      <w:r>
        <w:t>5</w:t>
      </w:r>
      <w:r w:rsidR="008E765F" w:rsidRPr="00C12274">
        <w:t>.2</w:t>
      </w:r>
      <w:r w:rsidR="008E765F" w:rsidRPr="00C12274">
        <w:tab/>
        <w:t xml:space="preserve">Weight gain exceeding IOM </w:t>
      </w:r>
      <w:bookmarkEnd w:id="325"/>
      <w:bookmarkEnd w:id="326"/>
      <w:r w:rsidR="008E765F" w:rsidRPr="00C12274">
        <w:t>guidelines</w:t>
      </w:r>
    </w:p>
    <w:p w14:paraId="64870458" w14:textId="33F740D9" w:rsidR="00941544" w:rsidRPr="00C12274" w:rsidRDefault="00C05019" w:rsidP="008E765F">
      <w:pPr>
        <w:pStyle w:val="Figure"/>
      </w:pPr>
      <w:r>
        <w:rPr>
          <w:noProof/>
          <w:lang w:val="en-AU" w:eastAsia="en-AU"/>
        </w:rPr>
        <w:drawing>
          <wp:inline distT="0" distB="0" distL="0" distR="0" wp14:anchorId="4E549A8E" wp14:editId="167CBE51">
            <wp:extent cx="5756275" cy="51054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2 EWG.png"/>
                    <pic:cNvPicPr/>
                  </pic:nvPicPr>
                  <pic:blipFill>
                    <a:blip r:embed="rId87">
                      <a:extLst>
                        <a:ext uri="{28A0092B-C50C-407E-A947-70E740481C1C}">
                          <a14:useLocalDpi xmlns:a14="http://schemas.microsoft.com/office/drawing/2010/main" val="0"/>
                        </a:ext>
                      </a:extLst>
                    </a:blip>
                    <a:stretch>
                      <a:fillRect/>
                    </a:stretch>
                  </pic:blipFill>
                  <pic:spPr>
                    <a:xfrm>
                      <a:off x="0" y="0"/>
                      <a:ext cx="5756275" cy="5105400"/>
                    </a:xfrm>
                    <a:prstGeom prst="rect">
                      <a:avLst/>
                    </a:prstGeom>
                  </pic:spPr>
                </pic:pic>
              </a:graphicData>
            </a:graphic>
          </wp:inline>
        </w:drawing>
      </w:r>
    </w:p>
    <w:p w14:paraId="46EACFCE" w14:textId="7657B853" w:rsidR="008E765F" w:rsidRDefault="00D15A78" w:rsidP="007E786A">
      <w:pPr>
        <w:pStyle w:val="Heading6"/>
      </w:pPr>
      <w:bookmarkStart w:id="327" w:name="_Toc1661218"/>
      <w:bookmarkStart w:id="328" w:name="_Ref2168025"/>
      <w:r>
        <w:t>5</w:t>
      </w:r>
      <w:r w:rsidR="008E765F" w:rsidRPr="00C12274">
        <w:t>.3</w:t>
      </w:r>
      <w:r w:rsidR="008E765F" w:rsidRPr="00C12274">
        <w:tab/>
        <w:t xml:space="preserve">Gestational </w:t>
      </w:r>
      <w:bookmarkEnd w:id="327"/>
      <w:bookmarkEnd w:id="328"/>
      <w:r w:rsidR="008E765F" w:rsidRPr="00C12274">
        <w:t>diabetes</w:t>
      </w:r>
    </w:p>
    <w:p w14:paraId="7960679A" w14:textId="66C1A453" w:rsidR="00941544" w:rsidRDefault="00303B86" w:rsidP="008E765F">
      <w:pPr>
        <w:pStyle w:val="Figure"/>
      </w:pPr>
      <w:r>
        <w:rPr>
          <w:noProof/>
          <w:lang w:val="en-AU" w:eastAsia="en-AU"/>
        </w:rPr>
        <w:drawing>
          <wp:inline distT="0" distB="0" distL="0" distR="0" wp14:anchorId="37874BF9" wp14:editId="5EAD9EB1">
            <wp:extent cx="5756275" cy="4482465"/>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1.3 GDM.png"/>
                    <pic:cNvPicPr/>
                  </pic:nvPicPr>
                  <pic:blipFill>
                    <a:blip r:embed="rId88">
                      <a:extLst>
                        <a:ext uri="{28A0092B-C50C-407E-A947-70E740481C1C}">
                          <a14:useLocalDpi xmlns:a14="http://schemas.microsoft.com/office/drawing/2010/main" val="0"/>
                        </a:ext>
                      </a:extLst>
                    </a:blip>
                    <a:stretch>
                      <a:fillRect/>
                    </a:stretch>
                  </pic:blipFill>
                  <pic:spPr>
                    <a:xfrm>
                      <a:off x="0" y="0"/>
                      <a:ext cx="5756275" cy="4482465"/>
                    </a:xfrm>
                    <a:prstGeom prst="rect">
                      <a:avLst/>
                    </a:prstGeom>
                  </pic:spPr>
                </pic:pic>
              </a:graphicData>
            </a:graphic>
          </wp:inline>
        </w:drawing>
      </w:r>
    </w:p>
    <w:p w14:paraId="3932E635" w14:textId="77777777" w:rsidR="008E765F" w:rsidRPr="00C12274" w:rsidRDefault="008E765F" w:rsidP="008E765F">
      <w:pPr>
        <w:pStyle w:val="Figure"/>
      </w:pPr>
      <w:r>
        <w:t>Note: Studies differed in diagnostic criteria for gestational diabetes.</w:t>
      </w:r>
    </w:p>
    <w:p w14:paraId="1BCD1EB1" w14:textId="2FE35A7B" w:rsidR="008E765F" w:rsidRDefault="00D15A78" w:rsidP="007E786A">
      <w:pPr>
        <w:pStyle w:val="Heading6"/>
      </w:pPr>
      <w:bookmarkStart w:id="329" w:name="_Toc1661219"/>
      <w:bookmarkStart w:id="330" w:name="_Ref2168446"/>
      <w:bookmarkStart w:id="331" w:name="_Toc1661221"/>
      <w:r>
        <w:t>5</w:t>
      </w:r>
      <w:r w:rsidR="008E765F" w:rsidRPr="00C12274">
        <w:t>.4</w:t>
      </w:r>
      <w:r w:rsidR="008E765F" w:rsidRPr="00C12274">
        <w:tab/>
        <w:t>Gestational hypertension</w:t>
      </w:r>
      <w:bookmarkEnd w:id="329"/>
      <w:bookmarkEnd w:id="330"/>
    </w:p>
    <w:p w14:paraId="0A561A76" w14:textId="23F30D25" w:rsidR="007E786A" w:rsidRPr="00C12274" w:rsidRDefault="00303B86" w:rsidP="008E765F">
      <w:pPr>
        <w:pStyle w:val="Figure"/>
      </w:pPr>
      <w:r>
        <w:rPr>
          <w:noProof/>
          <w:lang w:val="en-AU" w:eastAsia="en-AU"/>
        </w:rPr>
        <w:drawing>
          <wp:inline distT="0" distB="0" distL="0" distR="0" wp14:anchorId="51A3047C" wp14:editId="2191183B">
            <wp:extent cx="5756275" cy="3168650"/>
            <wp:effectExtent l="0" t="0" r="952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4 HBP.png"/>
                    <pic:cNvPicPr/>
                  </pic:nvPicPr>
                  <pic:blipFill>
                    <a:blip r:embed="rId89">
                      <a:extLst>
                        <a:ext uri="{28A0092B-C50C-407E-A947-70E740481C1C}">
                          <a14:useLocalDpi xmlns:a14="http://schemas.microsoft.com/office/drawing/2010/main" val="0"/>
                        </a:ext>
                      </a:extLst>
                    </a:blip>
                    <a:stretch>
                      <a:fillRect/>
                    </a:stretch>
                  </pic:blipFill>
                  <pic:spPr>
                    <a:xfrm>
                      <a:off x="0" y="0"/>
                      <a:ext cx="5756275" cy="3168650"/>
                    </a:xfrm>
                    <a:prstGeom prst="rect">
                      <a:avLst/>
                    </a:prstGeom>
                  </pic:spPr>
                </pic:pic>
              </a:graphicData>
            </a:graphic>
          </wp:inline>
        </w:drawing>
      </w:r>
    </w:p>
    <w:p w14:paraId="6FFBE7FF" w14:textId="2EBDCAEB" w:rsidR="008E765F" w:rsidRDefault="00D15A78" w:rsidP="00C8120F">
      <w:pPr>
        <w:pStyle w:val="Heading6"/>
      </w:pPr>
      <w:bookmarkStart w:id="332" w:name="_Toc1661220"/>
      <w:bookmarkStart w:id="333" w:name="_Ref2168474"/>
      <w:bookmarkStart w:id="334" w:name="_Ref5615491"/>
      <w:r>
        <w:t>5</w:t>
      </w:r>
      <w:r w:rsidR="008E765F" w:rsidRPr="00C12274">
        <w:t>.5</w:t>
      </w:r>
      <w:r w:rsidR="008E765F" w:rsidRPr="00C12274">
        <w:tab/>
        <w:t>Pre-eclampsia</w:t>
      </w:r>
      <w:bookmarkEnd w:id="332"/>
      <w:bookmarkEnd w:id="333"/>
      <w:bookmarkEnd w:id="334"/>
    </w:p>
    <w:p w14:paraId="1410F2C3" w14:textId="3E4C0568" w:rsidR="007E786A" w:rsidRPr="00C12274" w:rsidRDefault="00B828FF" w:rsidP="008E765F">
      <w:pPr>
        <w:pStyle w:val="Figure"/>
      </w:pPr>
      <w:r>
        <w:rPr>
          <w:noProof/>
          <w:lang w:val="en-AU" w:eastAsia="en-AU"/>
        </w:rPr>
        <w:drawing>
          <wp:inline distT="0" distB="0" distL="0" distR="0" wp14:anchorId="5D16FEB3" wp14:editId="03291DE3">
            <wp:extent cx="5756275" cy="333756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5 preeclampsia.png"/>
                    <pic:cNvPicPr/>
                  </pic:nvPicPr>
                  <pic:blipFill>
                    <a:blip r:embed="rId90">
                      <a:extLst>
                        <a:ext uri="{28A0092B-C50C-407E-A947-70E740481C1C}">
                          <a14:useLocalDpi xmlns:a14="http://schemas.microsoft.com/office/drawing/2010/main" val="0"/>
                        </a:ext>
                      </a:extLst>
                    </a:blip>
                    <a:stretch>
                      <a:fillRect/>
                    </a:stretch>
                  </pic:blipFill>
                  <pic:spPr>
                    <a:xfrm>
                      <a:off x="0" y="0"/>
                      <a:ext cx="5756275" cy="3337560"/>
                    </a:xfrm>
                    <a:prstGeom prst="rect">
                      <a:avLst/>
                    </a:prstGeom>
                  </pic:spPr>
                </pic:pic>
              </a:graphicData>
            </a:graphic>
          </wp:inline>
        </w:drawing>
      </w:r>
    </w:p>
    <w:p w14:paraId="553ED0F0" w14:textId="252850F0" w:rsidR="008E765F" w:rsidRDefault="00D15A78" w:rsidP="00C8120F">
      <w:pPr>
        <w:pStyle w:val="Heading6"/>
      </w:pPr>
      <w:bookmarkStart w:id="335" w:name="_Ref2168506"/>
      <w:r>
        <w:t>5</w:t>
      </w:r>
      <w:r w:rsidR="008E765F" w:rsidRPr="00C12274">
        <w:t>.6</w:t>
      </w:r>
      <w:r w:rsidR="008E765F" w:rsidRPr="00C12274">
        <w:tab/>
        <w:t>Caesarean section</w:t>
      </w:r>
      <w:bookmarkEnd w:id="331"/>
      <w:bookmarkEnd w:id="335"/>
    </w:p>
    <w:p w14:paraId="3D97F844" w14:textId="165B4A00" w:rsidR="00941544" w:rsidRPr="00C12274" w:rsidRDefault="00B828FF" w:rsidP="008E765F">
      <w:pPr>
        <w:pStyle w:val="Figure"/>
      </w:pPr>
      <w:r>
        <w:rPr>
          <w:noProof/>
          <w:lang w:val="en-AU" w:eastAsia="en-AU"/>
        </w:rPr>
        <w:drawing>
          <wp:inline distT="0" distB="0" distL="0" distR="0" wp14:anchorId="56790991" wp14:editId="46D9C815">
            <wp:extent cx="5756275" cy="4485005"/>
            <wp:effectExtent l="0" t="0" r="9525" b="1079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 CS.png"/>
                    <pic:cNvPicPr/>
                  </pic:nvPicPr>
                  <pic:blipFill>
                    <a:blip r:embed="rId91">
                      <a:extLst>
                        <a:ext uri="{28A0092B-C50C-407E-A947-70E740481C1C}">
                          <a14:useLocalDpi xmlns:a14="http://schemas.microsoft.com/office/drawing/2010/main" val="0"/>
                        </a:ext>
                      </a:extLst>
                    </a:blip>
                    <a:stretch>
                      <a:fillRect/>
                    </a:stretch>
                  </pic:blipFill>
                  <pic:spPr>
                    <a:xfrm>
                      <a:off x="0" y="0"/>
                      <a:ext cx="5756275" cy="4485005"/>
                    </a:xfrm>
                    <a:prstGeom prst="rect">
                      <a:avLst/>
                    </a:prstGeom>
                  </pic:spPr>
                </pic:pic>
              </a:graphicData>
            </a:graphic>
          </wp:inline>
        </w:drawing>
      </w:r>
    </w:p>
    <w:p w14:paraId="4A9DF27B" w14:textId="77777777" w:rsidR="00C05019" w:rsidRDefault="00D15A78" w:rsidP="00C8120F">
      <w:pPr>
        <w:pStyle w:val="Heading6"/>
      </w:pPr>
      <w:bookmarkStart w:id="336" w:name="_Ref3737614"/>
      <w:bookmarkStart w:id="337" w:name="_Ref40449458"/>
      <w:bookmarkStart w:id="338" w:name="_Ref5615452"/>
      <w:r>
        <w:t>5</w:t>
      </w:r>
      <w:r w:rsidR="008E765F" w:rsidRPr="00C12274">
        <w:t>.7</w:t>
      </w:r>
      <w:r w:rsidR="008E765F" w:rsidRPr="00C12274">
        <w:tab/>
      </w:r>
      <w:bookmarkEnd w:id="336"/>
      <w:r w:rsidR="00C05019">
        <w:t>Antenatal depression</w:t>
      </w:r>
      <w:bookmarkEnd w:id="337"/>
    </w:p>
    <w:p w14:paraId="0814774B" w14:textId="66D13BD2" w:rsidR="00C05019" w:rsidRPr="00C05019" w:rsidRDefault="00303B86" w:rsidP="0030223E">
      <w:pPr>
        <w:pStyle w:val="Figure"/>
      </w:pPr>
      <w:r w:rsidRPr="00886445">
        <w:rPr>
          <w:noProof/>
          <w:lang w:val="en-AU" w:eastAsia="en-AU"/>
        </w:rPr>
        <w:drawing>
          <wp:inline distT="0" distB="0" distL="0" distR="0" wp14:anchorId="03F0C7BA" wp14:editId="49804A1C">
            <wp:extent cx="5756275" cy="1981835"/>
            <wp:effectExtent l="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ntenatal depression.png"/>
                    <pic:cNvPicPr/>
                  </pic:nvPicPr>
                  <pic:blipFill>
                    <a:blip r:embed="rId92">
                      <a:extLst>
                        <a:ext uri="{28A0092B-C50C-407E-A947-70E740481C1C}">
                          <a14:useLocalDpi xmlns:a14="http://schemas.microsoft.com/office/drawing/2010/main" val="0"/>
                        </a:ext>
                      </a:extLst>
                    </a:blip>
                    <a:stretch>
                      <a:fillRect/>
                    </a:stretch>
                  </pic:blipFill>
                  <pic:spPr>
                    <a:xfrm>
                      <a:off x="0" y="0"/>
                      <a:ext cx="5756275" cy="1981835"/>
                    </a:xfrm>
                    <a:prstGeom prst="rect">
                      <a:avLst/>
                    </a:prstGeom>
                  </pic:spPr>
                </pic:pic>
              </a:graphicData>
            </a:graphic>
          </wp:inline>
        </w:drawing>
      </w:r>
    </w:p>
    <w:p w14:paraId="3BD8D6E0" w14:textId="5A6DA9C1" w:rsidR="008E765F" w:rsidRDefault="00C05019" w:rsidP="00C8120F">
      <w:pPr>
        <w:pStyle w:val="Heading6"/>
      </w:pPr>
      <w:r>
        <w:t>5.8</w:t>
      </w:r>
      <w:r>
        <w:tab/>
      </w:r>
      <w:r w:rsidR="008E765F">
        <w:t>Postnatal weight retention</w:t>
      </w:r>
      <w:bookmarkEnd w:id="338"/>
    </w:p>
    <w:p w14:paraId="36159637" w14:textId="62863B41" w:rsidR="00C8120F" w:rsidRPr="00C12274" w:rsidRDefault="00C8120F" w:rsidP="008E765F">
      <w:pPr>
        <w:pStyle w:val="Figure"/>
      </w:pPr>
      <w:r>
        <w:rPr>
          <w:noProof/>
          <w:lang w:val="en-AU" w:eastAsia="en-AU"/>
        </w:rPr>
        <w:drawing>
          <wp:inline distT="0" distB="0" distL="0" distR="0" wp14:anchorId="529C1A88" wp14:editId="312FB64B">
            <wp:extent cx="5756275" cy="3501390"/>
            <wp:effectExtent l="0" t="0" r="952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7 WR.png"/>
                    <pic:cNvPicPr/>
                  </pic:nvPicPr>
                  <pic:blipFill>
                    <a:blip r:embed="rId93">
                      <a:extLst>
                        <a:ext uri="{28A0092B-C50C-407E-A947-70E740481C1C}">
                          <a14:useLocalDpi xmlns:a14="http://schemas.microsoft.com/office/drawing/2010/main" val="0"/>
                        </a:ext>
                      </a:extLst>
                    </a:blip>
                    <a:stretch>
                      <a:fillRect/>
                    </a:stretch>
                  </pic:blipFill>
                  <pic:spPr>
                    <a:xfrm>
                      <a:off x="0" y="0"/>
                      <a:ext cx="5756275" cy="3501390"/>
                    </a:xfrm>
                    <a:prstGeom prst="rect">
                      <a:avLst/>
                    </a:prstGeom>
                  </pic:spPr>
                </pic:pic>
              </a:graphicData>
            </a:graphic>
          </wp:inline>
        </w:drawing>
      </w:r>
    </w:p>
    <w:p w14:paraId="08B821A6" w14:textId="77777777" w:rsidR="008E765F" w:rsidRPr="00C12274" w:rsidRDefault="008E765F" w:rsidP="008E765F">
      <w:pPr>
        <w:pStyle w:val="Heading5"/>
      </w:pPr>
      <w:bookmarkStart w:id="339" w:name="_Toc1661222"/>
      <w:bookmarkStart w:id="340" w:name="_Toc5978455"/>
      <w:r w:rsidRPr="00C12274">
        <w:t>Infant outcomes</w:t>
      </w:r>
      <w:bookmarkEnd w:id="339"/>
      <w:bookmarkEnd w:id="340"/>
    </w:p>
    <w:p w14:paraId="761BBD19" w14:textId="45C1ED1C" w:rsidR="008E765F" w:rsidRDefault="00D15A78" w:rsidP="00C8120F">
      <w:pPr>
        <w:pStyle w:val="Heading6"/>
      </w:pPr>
      <w:bookmarkStart w:id="341" w:name="_Toc1661223"/>
      <w:bookmarkStart w:id="342" w:name="_Ref2168590"/>
      <w:bookmarkStart w:id="343" w:name="_Ref5615556"/>
      <w:r>
        <w:t>5</w:t>
      </w:r>
      <w:r w:rsidR="008E765F" w:rsidRPr="00C12274">
        <w:t>.</w:t>
      </w:r>
      <w:r w:rsidR="00B828FF">
        <w:t>9</w:t>
      </w:r>
      <w:r w:rsidR="008E765F" w:rsidRPr="00C12274">
        <w:tab/>
        <w:t xml:space="preserve">Preterm </w:t>
      </w:r>
      <w:bookmarkEnd w:id="341"/>
      <w:bookmarkEnd w:id="342"/>
      <w:r w:rsidR="008E765F" w:rsidRPr="00C12274">
        <w:t>birth</w:t>
      </w:r>
      <w:bookmarkEnd w:id="343"/>
    </w:p>
    <w:p w14:paraId="7747D5A2" w14:textId="2586A9FE" w:rsidR="00340A58" w:rsidRPr="00C12274" w:rsidRDefault="00B828FF" w:rsidP="008E765F">
      <w:pPr>
        <w:pStyle w:val="Figure"/>
      </w:pPr>
      <w:r>
        <w:rPr>
          <w:noProof/>
          <w:lang w:val="en-AU" w:eastAsia="en-AU"/>
        </w:rPr>
        <w:drawing>
          <wp:inline distT="0" distB="0" distL="0" distR="0" wp14:anchorId="23C0C1B0" wp14:editId="75E4F815">
            <wp:extent cx="5756275" cy="3650615"/>
            <wp:effectExtent l="0" t="0" r="952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1.8 preterm.png"/>
                    <pic:cNvPicPr/>
                  </pic:nvPicPr>
                  <pic:blipFill>
                    <a:blip r:embed="rId94">
                      <a:extLst>
                        <a:ext uri="{28A0092B-C50C-407E-A947-70E740481C1C}">
                          <a14:useLocalDpi xmlns:a14="http://schemas.microsoft.com/office/drawing/2010/main" val="0"/>
                        </a:ext>
                      </a:extLst>
                    </a:blip>
                    <a:stretch>
                      <a:fillRect/>
                    </a:stretch>
                  </pic:blipFill>
                  <pic:spPr>
                    <a:xfrm>
                      <a:off x="0" y="0"/>
                      <a:ext cx="5756275" cy="3650615"/>
                    </a:xfrm>
                    <a:prstGeom prst="rect">
                      <a:avLst/>
                    </a:prstGeom>
                  </pic:spPr>
                </pic:pic>
              </a:graphicData>
            </a:graphic>
          </wp:inline>
        </w:drawing>
      </w:r>
    </w:p>
    <w:p w14:paraId="242E1D69" w14:textId="5E9E9682" w:rsidR="008E765F" w:rsidRDefault="00D15A78" w:rsidP="005D0706">
      <w:pPr>
        <w:pStyle w:val="Heading6"/>
      </w:pPr>
      <w:bookmarkStart w:id="344" w:name="_Toc1661224"/>
      <w:bookmarkStart w:id="345" w:name="_Ref2168616"/>
      <w:r>
        <w:t>5</w:t>
      </w:r>
      <w:r w:rsidR="008E765F" w:rsidRPr="00C12274">
        <w:t>.</w:t>
      </w:r>
      <w:r w:rsidR="00B828FF">
        <w:t>10</w:t>
      </w:r>
      <w:r w:rsidR="008E765F" w:rsidRPr="00C12274">
        <w:tab/>
        <w:t>Low birth weight</w:t>
      </w:r>
      <w:bookmarkEnd w:id="344"/>
      <w:bookmarkEnd w:id="345"/>
    </w:p>
    <w:p w14:paraId="7482361F" w14:textId="46A8FD78" w:rsidR="00C8120F" w:rsidRPr="00C12274" w:rsidRDefault="00B828FF" w:rsidP="008E765F">
      <w:pPr>
        <w:pStyle w:val="Figure"/>
      </w:pPr>
      <w:r>
        <w:rPr>
          <w:noProof/>
          <w:lang w:val="en-AU" w:eastAsia="en-AU"/>
        </w:rPr>
        <w:drawing>
          <wp:inline distT="0" distB="0" distL="0" distR="0" wp14:anchorId="5C70D089" wp14:editId="08D232CE">
            <wp:extent cx="5756275" cy="2190115"/>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1.9 LBW.png"/>
                    <pic:cNvPicPr/>
                  </pic:nvPicPr>
                  <pic:blipFill>
                    <a:blip r:embed="rId95">
                      <a:extLst>
                        <a:ext uri="{28A0092B-C50C-407E-A947-70E740481C1C}">
                          <a14:useLocalDpi xmlns:a14="http://schemas.microsoft.com/office/drawing/2010/main" val="0"/>
                        </a:ext>
                      </a:extLst>
                    </a:blip>
                    <a:stretch>
                      <a:fillRect/>
                    </a:stretch>
                  </pic:blipFill>
                  <pic:spPr>
                    <a:xfrm>
                      <a:off x="0" y="0"/>
                      <a:ext cx="5756275" cy="2190115"/>
                    </a:xfrm>
                    <a:prstGeom prst="rect">
                      <a:avLst/>
                    </a:prstGeom>
                  </pic:spPr>
                </pic:pic>
              </a:graphicData>
            </a:graphic>
          </wp:inline>
        </w:drawing>
      </w:r>
    </w:p>
    <w:p w14:paraId="43F558E8" w14:textId="4CD19D04" w:rsidR="008E765F" w:rsidRDefault="00D15A78" w:rsidP="005D0706">
      <w:pPr>
        <w:pStyle w:val="Heading6"/>
      </w:pPr>
      <w:bookmarkStart w:id="346" w:name="_Toc1661225"/>
      <w:bookmarkStart w:id="347" w:name="_Ref2168560"/>
      <w:bookmarkStart w:id="348" w:name="_Ref5615583"/>
      <w:bookmarkStart w:id="349" w:name="_Ref9000948"/>
      <w:r>
        <w:t>5</w:t>
      </w:r>
      <w:r w:rsidR="008E765F" w:rsidRPr="00C12274">
        <w:t>.1</w:t>
      </w:r>
      <w:r w:rsidR="00B04E28">
        <w:t>1</w:t>
      </w:r>
      <w:r w:rsidR="008E765F" w:rsidRPr="00C12274">
        <w:tab/>
        <w:t>Macrosomia</w:t>
      </w:r>
      <w:bookmarkEnd w:id="346"/>
      <w:bookmarkEnd w:id="347"/>
      <w:bookmarkEnd w:id="348"/>
      <w:bookmarkEnd w:id="349"/>
      <w:r w:rsidR="00340A58">
        <w:t xml:space="preserve"> &gt;4,000 g</w:t>
      </w:r>
    </w:p>
    <w:p w14:paraId="17B30765" w14:textId="0814C322" w:rsidR="005D0706" w:rsidRPr="00C12274" w:rsidRDefault="00B04E28" w:rsidP="008E765F">
      <w:pPr>
        <w:pStyle w:val="Figure"/>
      </w:pPr>
      <w:r>
        <w:rPr>
          <w:noProof/>
          <w:lang w:val="en-AU" w:eastAsia="en-AU"/>
        </w:rPr>
        <w:drawing>
          <wp:inline distT="0" distB="0" distL="0" distR="0" wp14:anchorId="47DA80F9" wp14:editId="33CCD1E3">
            <wp:extent cx="5756275" cy="500634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1.10 Macro.png"/>
                    <pic:cNvPicPr/>
                  </pic:nvPicPr>
                  <pic:blipFill>
                    <a:blip r:embed="rId96">
                      <a:extLst>
                        <a:ext uri="{28A0092B-C50C-407E-A947-70E740481C1C}">
                          <a14:useLocalDpi xmlns:a14="http://schemas.microsoft.com/office/drawing/2010/main" val="0"/>
                        </a:ext>
                      </a:extLst>
                    </a:blip>
                    <a:stretch>
                      <a:fillRect/>
                    </a:stretch>
                  </pic:blipFill>
                  <pic:spPr>
                    <a:xfrm>
                      <a:off x="0" y="0"/>
                      <a:ext cx="5756275" cy="5006340"/>
                    </a:xfrm>
                    <a:prstGeom prst="rect">
                      <a:avLst/>
                    </a:prstGeom>
                  </pic:spPr>
                </pic:pic>
              </a:graphicData>
            </a:graphic>
          </wp:inline>
        </w:drawing>
      </w:r>
    </w:p>
    <w:p w14:paraId="33BC45CE" w14:textId="132B65DE" w:rsidR="008E765F" w:rsidRDefault="00D15A78" w:rsidP="005D0706">
      <w:pPr>
        <w:pStyle w:val="Heading6"/>
      </w:pPr>
      <w:bookmarkStart w:id="350" w:name="_Toc1661226"/>
      <w:bookmarkStart w:id="351" w:name="_Ref2168646"/>
      <w:r>
        <w:t>5</w:t>
      </w:r>
      <w:r w:rsidR="008E765F" w:rsidRPr="00C12274">
        <w:t>.1</w:t>
      </w:r>
      <w:r w:rsidR="00B04E28">
        <w:t>2</w:t>
      </w:r>
      <w:r w:rsidR="008E765F" w:rsidRPr="00C12274">
        <w:tab/>
        <w:t>Small for gestational age</w:t>
      </w:r>
      <w:bookmarkEnd w:id="350"/>
      <w:bookmarkEnd w:id="351"/>
    </w:p>
    <w:p w14:paraId="56EA544A" w14:textId="74686137" w:rsidR="00340A58" w:rsidRPr="00C12274" w:rsidRDefault="00F30B0A" w:rsidP="008E765F">
      <w:pPr>
        <w:pStyle w:val="Figure"/>
      </w:pPr>
      <w:r>
        <w:rPr>
          <w:noProof/>
          <w:lang w:val="en-AU" w:eastAsia="en-AU"/>
        </w:rPr>
        <w:drawing>
          <wp:inline distT="0" distB="0" distL="0" distR="0" wp14:anchorId="5369DE5F" wp14:editId="3A9CD285">
            <wp:extent cx="5756275" cy="3392170"/>
            <wp:effectExtent l="0" t="0" r="9525" b="1143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11 SGA.png"/>
                    <pic:cNvPicPr/>
                  </pic:nvPicPr>
                  <pic:blipFill>
                    <a:blip r:embed="rId97">
                      <a:extLst>
                        <a:ext uri="{28A0092B-C50C-407E-A947-70E740481C1C}">
                          <a14:useLocalDpi xmlns:a14="http://schemas.microsoft.com/office/drawing/2010/main" val="0"/>
                        </a:ext>
                      </a:extLst>
                    </a:blip>
                    <a:stretch>
                      <a:fillRect/>
                    </a:stretch>
                  </pic:blipFill>
                  <pic:spPr>
                    <a:xfrm>
                      <a:off x="0" y="0"/>
                      <a:ext cx="5756275" cy="3392170"/>
                    </a:xfrm>
                    <a:prstGeom prst="rect">
                      <a:avLst/>
                    </a:prstGeom>
                  </pic:spPr>
                </pic:pic>
              </a:graphicData>
            </a:graphic>
          </wp:inline>
        </w:drawing>
      </w:r>
    </w:p>
    <w:p w14:paraId="0CC609EF" w14:textId="6492C642" w:rsidR="008E765F" w:rsidRDefault="00D15A78" w:rsidP="005D0706">
      <w:pPr>
        <w:pStyle w:val="Heading6"/>
      </w:pPr>
      <w:bookmarkStart w:id="352" w:name="_Toc1661227"/>
      <w:bookmarkStart w:id="353" w:name="_Ref2168674"/>
      <w:r>
        <w:t>5</w:t>
      </w:r>
      <w:r w:rsidR="008E765F" w:rsidRPr="00C12274">
        <w:t>.1</w:t>
      </w:r>
      <w:r w:rsidR="00B04E28">
        <w:t>3</w:t>
      </w:r>
      <w:r w:rsidR="008E765F" w:rsidRPr="00C12274">
        <w:tab/>
        <w:t>Large for gestational age</w:t>
      </w:r>
      <w:bookmarkEnd w:id="352"/>
      <w:bookmarkEnd w:id="353"/>
    </w:p>
    <w:p w14:paraId="1AA8E9E6" w14:textId="2BA20637" w:rsidR="00340A58" w:rsidRPr="00C12274" w:rsidRDefault="00B04E28" w:rsidP="008E765F">
      <w:pPr>
        <w:pStyle w:val="Figure"/>
      </w:pPr>
      <w:r>
        <w:rPr>
          <w:noProof/>
          <w:lang w:val="en-AU" w:eastAsia="en-AU"/>
        </w:rPr>
        <w:drawing>
          <wp:inline distT="0" distB="0" distL="0" distR="0" wp14:anchorId="78AF371F" wp14:editId="52022B3B">
            <wp:extent cx="5756275" cy="4008755"/>
            <wp:effectExtent l="0" t="0" r="9525" b="444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12 LGA.png"/>
                    <pic:cNvPicPr/>
                  </pic:nvPicPr>
                  <pic:blipFill>
                    <a:blip r:embed="rId98">
                      <a:extLst>
                        <a:ext uri="{28A0092B-C50C-407E-A947-70E740481C1C}">
                          <a14:useLocalDpi xmlns:a14="http://schemas.microsoft.com/office/drawing/2010/main" val="0"/>
                        </a:ext>
                      </a:extLst>
                    </a:blip>
                    <a:stretch>
                      <a:fillRect/>
                    </a:stretch>
                  </pic:blipFill>
                  <pic:spPr>
                    <a:xfrm>
                      <a:off x="0" y="0"/>
                      <a:ext cx="5756275" cy="4008755"/>
                    </a:xfrm>
                    <a:prstGeom prst="rect">
                      <a:avLst/>
                    </a:prstGeom>
                  </pic:spPr>
                </pic:pic>
              </a:graphicData>
            </a:graphic>
          </wp:inline>
        </w:drawing>
      </w:r>
    </w:p>
    <w:p w14:paraId="2477C52E" w14:textId="7D918EE1" w:rsidR="008E765F" w:rsidRPr="00C12274" w:rsidRDefault="00D15A78" w:rsidP="008E765F">
      <w:pPr>
        <w:pStyle w:val="Heading6"/>
      </w:pPr>
      <w:bookmarkStart w:id="354" w:name="_Toc1661228"/>
      <w:bookmarkStart w:id="355" w:name="_Ref2168696"/>
      <w:r>
        <w:t>5</w:t>
      </w:r>
      <w:r w:rsidR="008E765F">
        <w:t>.1</w:t>
      </w:r>
      <w:r w:rsidR="00B04E28">
        <w:t>4</w:t>
      </w:r>
      <w:r w:rsidR="008E765F">
        <w:tab/>
      </w:r>
      <w:r w:rsidR="008E765F" w:rsidRPr="00C12274">
        <w:t>Apgar score &lt;7 at 5 minutes</w:t>
      </w:r>
      <w:bookmarkEnd w:id="354"/>
      <w:bookmarkEnd w:id="355"/>
    </w:p>
    <w:p w14:paraId="21D447C2" w14:textId="77777777" w:rsidR="008E765F" w:rsidRPr="00C12274" w:rsidRDefault="008E765F" w:rsidP="008E765F">
      <w:pPr>
        <w:pStyle w:val="Figure"/>
      </w:pPr>
      <w:r>
        <w:rPr>
          <w:noProof/>
          <w:lang w:val="en-AU" w:eastAsia="en-AU"/>
        </w:rPr>
        <w:drawing>
          <wp:inline distT="0" distB="0" distL="0" distR="0" wp14:anchorId="7E976A18" wp14:editId="11CE0CD6">
            <wp:extent cx="5756275" cy="2085975"/>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13 Apgar.png"/>
                    <pic:cNvPicPr/>
                  </pic:nvPicPr>
                  <pic:blipFill>
                    <a:blip r:embed="rId99">
                      <a:extLst>
                        <a:ext uri="{28A0092B-C50C-407E-A947-70E740481C1C}">
                          <a14:useLocalDpi xmlns:a14="http://schemas.microsoft.com/office/drawing/2010/main" val="0"/>
                        </a:ext>
                      </a:extLst>
                    </a:blip>
                    <a:stretch>
                      <a:fillRect/>
                    </a:stretch>
                  </pic:blipFill>
                  <pic:spPr>
                    <a:xfrm>
                      <a:off x="0" y="0"/>
                      <a:ext cx="5756275" cy="2085975"/>
                    </a:xfrm>
                    <a:prstGeom prst="rect">
                      <a:avLst/>
                    </a:prstGeom>
                  </pic:spPr>
                </pic:pic>
              </a:graphicData>
            </a:graphic>
          </wp:inline>
        </w:drawing>
      </w:r>
    </w:p>
    <w:p w14:paraId="67D1B358" w14:textId="5BC24D91" w:rsidR="008E765F" w:rsidRDefault="00D15A78" w:rsidP="008E765F">
      <w:pPr>
        <w:pStyle w:val="Heading6"/>
      </w:pPr>
      <w:bookmarkStart w:id="356" w:name="_Ref5615643"/>
      <w:r>
        <w:t>5</w:t>
      </w:r>
      <w:r w:rsidR="008E765F">
        <w:t>.1</w:t>
      </w:r>
      <w:r w:rsidR="00B04E28">
        <w:t>5</w:t>
      </w:r>
      <w:r w:rsidR="008E765F">
        <w:t xml:space="preserve"> </w:t>
      </w:r>
      <w:r w:rsidR="00F4680E">
        <w:t>W</w:t>
      </w:r>
      <w:r w:rsidR="008E765F">
        <w:t>eight</w:t>
      </w:r>
      <w:bookmarkEnd w:id="356"/>
      <w:r w:rsidR="00F4680E">
        <w:t xml:space="preserve"> in early childhood</w:t>
      </w:r>
    </w:p>
    <w:p w14:paraId="72DA16F3" w14:textId="77777777" w:rsidR="008E765F" w:rsidRPr="00857BA3" w:rsidRDefault="008E765F" w:rsidP="008E765F">
      <w:pPr>
        <w:pStyle w:val="Figure"/>
      </w:pPr>
      <w:r>
        <w:rPr>
          <w:noProof/>
          <w:lang w:val="en-AU" w:eastAsia="en-AU"/>
        </w:rPr>
        <w:drawing>
          <wp:inline distT="0" distB="0" distL="0" distR="0" wp14:anchorId="28CF39CC" wp14:editId="30E90899">
            <wp:extent cx="5756275" cy="1955165"/>
            <wp:effectExtent l="0" t="0" r="952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4 CW.png"/>
                    <pic:cNvPicPr/>
                  </pic:nvPicPr>
                  <pic:blipFill>
                    <a:blip r:embed="rId100">
                      <a:extLst>
                        <a:ext uri="{28A0092B-C50C-407E-A947-70E740481C1C}">
                          <a14:useLocalDpi xmlns:a14="http://schemas.microsoft.com/office/drawing/2010/main" val="0"/>
                        </a:ext>
                      </a:extLst>
                    </a:blip>
                    <a:stretch>
                      <a:fillRect/>
                    </a:stretch>
                  </pic:blipFill>
                  <pic:spPr>
                    <a:xfrm>
                      <a:off x="0" y="0"/>
                      <a:ext cx="5756275" cy="1955165"/>
                    </a:xfrm>
                    <a:prstGeom prst="rect">
                      <a:avLst/>
                    </a:prstGeom>
                  </pic:spPr>
                </pic:pic>
              </a:graphicData>
            </a:graphic>
          </wp:inline>
        </w:drawing>
      </w:r>
    </w:p>
    <w:p w14:paraId="33AF5C44" w14:textId="77777777" w:rsidR="008E765F" w:rsidRPr="00C12274" w:rsidRDefault="008E765F" w:rsidP="008E765F">
      <w:pPr>
        <w:pStyle w:val="Figure"/>
        <w:sectPr w:rsidR="008E765F" w:rsidRPr="00C12274" w:rsidSect="008A6B17">
          <w:pgSz w:w="11901" w:h="16817"/>
          <w:pgMar w:top="1134" w:right="1418" w:bottom="1134" w:left="1418" w:header="709" w:footer="709" w:gutter="0"/>
          <w:cols w:space="708"/>
          <w:docGrid w:linePitch="360"/>
        </w:sectPr>
      </w:pPr>
    </w:p>
    <w:p w14:paraId="183B598F" w14:textId="0D2697C1" w:rsidR="003523C5" w:rsidRDefault="003523C5" w:rsidP="003523C5">
      <w:pPr>
        <w:pStyle w:val="Heading2"/>
        <w:numPr>
          <w:ilvl w:val="0"/>
          <w:numId w:val="0"/>
        </w:numPr>
      </w:pPr>
      <w:bookmarkStart w:id="357" w:name="_Ref516930546"/>
      <w:bookmarkStart w:id="358" w:name="_Toc40956570"/>
      <w:r>
        <w:t>D</w:t>
      </w:r>
      <w:r>
        <w:tab/>
        <w:t>Excluded studies</w:t>
      </w:r>
      <w:bookmarkEnd w:id="357"/>
      <w:bookmarkEnd w:id="358"/>
    </w:p>
    <w:p w14:paraId="37E7815E" w14:textId="64B8F2F5" w:rsidR="003523C5" w:rsidRDefault="00101525" w:rsidP="003523C5">
      <w:pPr>
        <w:pStyle w:val="Heading3"/>
        <w:numPr>
          <w:ilvl w:val="0"/>
          <w:numId w:val="0"/>
        </w:numPr>
      </w:pPr>
      <w:bookmarkStart w:id="359" w:name="_Toc40956571"/>
      <w:r>
        <w:t>Diet</w:t>
      </w:r>
      <w:r w:rsidR="00110F60">
        <w:t xml:space="preserve"> (questions 1, 2 and 9)</w:t>
      </w:r>
      <w:bookmarkEnd w:id="359"/>
    </w:p>
    <w:p w14:paraId="10A86983" w14:textId="77777777" w:rsidR="00B90025" w:rsidRDefault="00B90025" w:rsidP="00B90025">
      <w:pPr>
        <w:pStyle w:val="Heading4"/>
        <w:rPr>
          <w:noProof/>
        </w:rPr>
      </w:pPr>
      <w:r>
        <w:rPr>
          <w:noProof/>
        </w:rPr>
        <w:t>Duplicate</w:t>
      </w:r>
    </w:p>
    <w:p w14:paraId="27E48CA6" w14:textId="77777777" w:rsidR="00B90025" w:rsidRPr="00AF584E" w:rsidRDefault="00B90025" w:rsidP="00B90025">
      <w:pPr>
        <w:pStyle w:val="Excluded"/>
        <w:rPr>
          <w:noProof/>
        </w:rPr>
      </w:pPr>
      <w:r w:rsidRPr="00AF584E">
        <w:rPr>
          <w:noProof/>
        </w:rPr>
        <w:t xml:space="preserve">Allen R, Rogozinska E, Sivarajasingam P et al (2014) Effect of diet- and lifestyle-based metabolic risk-modifying interventions on preeclampsia: a meta-analysis. </w:t>
      </w:r>
      <w:r w:rsidRPr="00AF584E">
        <w:rPr>
          <w:i/>
          <w:noProof/>
        </w:rPr>
        <w:t>Acta Obstet Gynecol Scand</w:t>
      </w:r>
      <w:r w:rsidRPr="00AF584E">
        <w:rPr>
          <w:noProof/>
        </w:rPr>
        <w:t xml:space="preserve"> 93(10): 973-85.</w:t>
      </w:r>
    </w:p>
    <w:p w14:paraId="05F48FC7" w14:textId="77777777" w:rsidR="00B90025" w:rsidRPr="00AF584E" w:rsidRDefault="00B90025" w:rsidP="00B90025">
      <w:pPr>
        <w:pStyle w:val="Excluded"/>
        <w:rPr>
          <w:noProof/>
        </w:rPr>
      </w:pPr>
      <w:r w:rsidRPr="00AF584E">
        <w:rPr>
          <w:noProof/>
        </w:rPr>
        <w:t xml:space="preserve">Anleu E, Reyes M, Araya BM et al (2019) Effectiveness of an intervention of dietary counseling for overweight and obese pregnant women in the consumption of sugars and energy. </w:t>
      </w:r>
      <w:r w:rsidRPr="00AF584E">
        <w:rPr>
          <w:i/>
          <w:noProof/>
        </w:rPr>
        <w:t>Nutrients</w:t>
      </w:r>
      <w:r w:rsidRPr="00AF584E">
        <w:rPr>
          <w:noProof/>
        </w:rPr>
        <w:t xml:space="preserve"> 11(2).</w:t>
      </w:r>
    </w:p>
    <w:p w14:paraId="123C861C" w14:textId="77777777" w:rsidR="00B90025" w:rsidRPr="00AF584E" w:rsidRDefault="00B90025" w:rsidP="00B90025">
      <w:pPr>
        <w:pStyle w:val="Excluded"/>
        <w:rPr>
          <w:noProof/>
        </w:rPr>
      </w:pPr>
      <w:r w:rsidRPr="00AF584E">
        <w:rPr>
          <w:noProof/>
        </w:rPr>
        <w:t xml:space="preserve">Asci O &amp; Rathfisch G (2016) Effect of lifestyle interventions of pregnant women on their dietary habits, lifestyle behaviors, and weight gain: a randomized controlled trial. </w:t>
      </w:r>
      <w:r w:rsidRPr="00AF584E">
        <w:rPr>
          <w:i/>
          <w:noProof/>
        </w:rPr>
        <w:t>J Health Popul Nutr</w:t>
      </w:r>
      <w:r w:rsidRPr="00AF584E">
        <w:rPr>
          <w:noProof/>
        </w:rPr>
        <w:t xml:space="preserve"> 35: 7.</w:t>
      </w:r>
    </w:p>
    <w:p w14:paraId="36F19838" w14:textId="77777777" w:rsidR="00B90025" w:rsidRPr="00AF584E" w:rsidRDefault="00B90025" w:rsidP="00B90025">
      <w:pPr>
        <w:pStyle w:val="Excluded"/>
        <w:rPr>
          <w:noProof/>
        </w:rPr>
      </w:pPr>
      <w:r w:rsidRPr="00AF584E">
        <w:rPr>
          <w:noProof/>
        </w:rPr>
        <w:t xml:space="preserve">Assaf-Balut C, Garcia de la Torre N, Fuentes M et al (2018) A high adherence to six food targets of the mediterranean diet in the late first trimester is associated with a reduction in the risk of materno-foetal outcomes: The St. Carlos Gestational Diabetes Mellitus Prevention Study. </w:t>
      </w:r>
      <w:r w:rsidRPr="00AF584E">
        <w:rPr>
          <w:i/>
          <w:noProof/>
        </w:rPr>
        <w:t>Nutrients</w:t>
      </w:r>
      <w:r w:rsidRPr="00AF584E">
        <w:rPr>
          <w:noProof/>
        </w:rPr>
        <w:t xml:space="preserve"> 11(1).</w:t>
      </w:r>
    </w:p>
    <w:p w14:paraId="6D697116" w14:textId="77777777" w:rsidR="00B90025" w:rsidRPr="00AF584E" w:rsidRDefault="00B90025" w:rsidP="00B90025">
      <w:pPr>
        <w:pStyle w:val="Excluded"/>
        <w:rPr>
          <w:noProof/>
        </w:rPr>
      </w:pPr>
      <w:r w:rsidRPr="00AF584E">
        <w:rPr>
          <w:noProof/>
        </w:rPr>
        <w:t xml:space="preserve">Baroni L, Goggi S, Battaglino R et al (2018) Vegan nutrition for mothers and children: practical tools for healthcare providers. </w:t>
      </w:r>
      <w:r w:rsidRPr="00AF584E">
        <w:rPr>
          <w:i/>
          <w:noProof/>
        </w:rPr>
        <w:t>Nutrients</w:t>
      </w:r>
      <w:r w:rsidRPr="00AF584E">
        <w:rPr>
          <w:noProof/>
        </w:rPr>
        <w:t xml:space="preserve"> 11(1).</w:t>
      </w:r>
    </w:p>
    <w:p w14:paraId="0124438B" w14:textId="77777777" w:rsidR="00B90025" w:rsidRPr="00AF584E" w:rsidRDefault="00B90025" w:rsidP="00B90025">
      <w:pPr>
        <w:pStyle w:val="Excluded"/>
        <w:rPr>
          <w:noProof/>
        </w:rPr>
      </w:pPr>
      <w:r w:rsidRPr="00AF584E">
        <w:rPr>
          <w:noProof/>
        </w:rPr>
        <w:t xml:space="preserve">Bennett CJ, Walker RE, Blumfield ML et al (2018) Interventions designed to reduce excessive gestational weight gain can reduce the incidence of gestational diabetes mellitus: A systematic review and meta-analysis of randomised controlled trials. </w:t>
      </w:r>
      <w:r w:rsidRPr="00AF584E">
        <w:rPr>
          <w:i/>
          <w:noProof/>
        </w:rPr>
        <w:t>Diabetes Res Clin Pract</w:t>
      </w:r>
      <w:r w:rsidRPr="00AF584E">
        <w:rPr>
          <w:noProof/>
        </w:rPr>
        <w:t xml:space="preserve"> 141: 69-79.</w:t>
      </w:r>
    </w:p>
    <w:p w14:paraId="673FEA5C" w14:textId="77777777" w:rsidR="00B90025" w:rsidRPr="00AF584E" w:rsidRDefault="00B90025" w:rsidP="00B90025">
      <w:pPr>
        <w:pStyle w:val="Excluded"/>
        <w:rPr>
          <w:noProof/>
        </w:rPr>
      </w:pPr>
      <w:r w:rsidRPr="00AF584E">
        <w:rPr>
          <w:noProof/>
        </w:rPr>
        <w:t xml:space="preserve">Chatzi L, Rifas-Shiman SL, Georgiou V et al (2017) Adherence to the Mediterranean diet during pregnancy and offspring adiposity and cardiometabolic traits in childhood. </w:t>
      </w:r>
      <w:r w:rsidRPr="00AF584E">
        <w:rPr>
          <w:i/>
          <w:noProof/>
        </w:rPr>
        <w:t>Pediatr Obes</w:t>
      </w:r>
      <w:r w:rsidRPr="00AF584E">
        <w:rPr>
          <w:noProof/>
        </w:rPr>
        <w:t xml:space="preserve"> 12 Suppl 1: 47-56.</w:t>
      </w:r>
    </w:p>
    <w:p w14:paraId="1A0EB47A" w14:textId="77777777" w:rsidR="00B90025" w:rsidRPr="00AF584E" w:rsidRDefault="00B90025" w:rsidP="00B90025">
      <w:pPr>
        <w:pStyle w:val="Excluded"/>
        <w:rPr>
          <w:noProof/>
        </w:rPr>
      </w:pPr>
      <w:r w:rsidRPr="00AF584E">
        <w:rPr>
          <w:noProof/>
        </w:rPr>
        <w:t xml:space="preserve">Donazar-Ezcurra M, Lopez-Del Burgo C, Bes-Rastrollo M (2017) Primary prevention of gestational diabetes mellitus through nutritional factors: a systematic review. </w:t>
      </w:r>
      <w:r w:rsidRPr="00AF584E">
        <w:rPr>
          <w:i/>
          <w:noProof/>
        </w:rPr>
        <w:t>BMC Pregnancy Childbirth</w:t>
      </w:r>
      <w:r w:rsidRPr="00AF584E">
        <w:rPr>
          <w:noProof/>
        </w:rPr>
        <w:t xml:space="preserve"> 17(1): 30.</w:t>
      </w:r>
    </w:p>
    <w:p w14:paraId="412E5E39" w14:textId="77777777" w:rsidR="00B90025" w:rsidRPr="00AF584E" w:rsidRDefault="00B90025" w:rsidP="00B90025">
      <w:pPr>
        <w:pStyle w:val="Excluded"/>
        <w:rPr>
          <w:noProof/>
        </w:rPr>
      </w:pPr>
      <w:r w:rsidRPr="00AF584E">
        <w:rPr>
          <w:noProof/>
        </w:rPr>
        <w:t xml:space="preserve">Emmett PM, Jones LR, Golding J (2015) Pregnancy diet and associated outcomes in the Avon Longitudinal Study of Parents and Children. </w:t>
      </w:r>
      <w:r w:rsidRPr="00AF584E">
        <w:rPr>
          <w:i/>
          <w:noProof/>
        </w:rPr>
        <w:t>Nutr Rev</w:t>
      </w:r>
      <w:r w:rsidRPr="00AF584E">
        <w:rPr>
          <w:noProof/>
        </w:rPr>
        <w:t xml:space="preserve"> 73 Suppl 3: 154-74.</w:t>
      </w:r>
    </w:p>
    <w:p w14:paraId="2AE18980" w14:textId="77777777" w:rsidR="00B90025" w:rsidRPr="00AF584E" w:rsidRDefault="00B90025" w:rsidP="00B90025">
      <w:pPr>
        <w:pStyle w:val="Excluded"/>
        <w:rPr>
          <w:noProof/>
        </w:rPr>
      </w:pPr>
      <w:r w:rsidRPr="00AF584E">
        <w:rPr>
          <w:noProof/>
        </w:rPr>
        <w:t xml:space="preserve">Foster M, Herulah UN, Prasad A et al (2015) Zinc status of vegetarians during pregnancy: a systematic review of observational studies and meta-analysis of zinc intake. </w:t>
      </w:r>
      <w:r w:rsidRPr="00AF584E">
        <w:rPr>
          <w:i/>
          <w:noProof/>
        </w:rPr>
        <w:t>Nutrients</w:t>
      </w:r>
      <w:r w:rsidRPr="00AF584E">
        <w:rPr>
          <w:noProof/>
        </w:rPr>
        <w:t xml:space="preserve"> 7(6): 4512-25.</w:t>
      </w:r>
    </w:p>
    <w:p w14:paraId="2964B058" w14:textId="77777777" w:rsidR="00B90025" w:rsidRPr="00AF584E" w:rsidRDefault="00B90025" w:rsidP="00B90025">
      <w:pPr>
        <w:pStyle w:val="Excluded"/>
        <w:rPr>
          <w:noProof/>
        </w:rPr>
      </w:pPr>
      <w:r w:rsidRPr="00AF584E">
        <w:rPr>
          <w:noProof/>
        </w:rPr>
        <w:t xml:space="preserve">Horan MK, McGowan CA, Gibney ER et al (2014) Maternal diet and weight at 3 months postpartum following a pregnancy intervention with a low glycaemic index diet: results from the ROLO randomised control trial. </w:t>
      </w:r>
      <w:r w:rsidRPr="00AF584E">
        <w:rPr>
          <w:i/>
          <w:noProof/>
        </w:rPr>
        <w:t>Nutrients</w:t>
      </w:r>
      <w:r w:rsidRPr="00AF584E">
        <w:rPr>
          <w:noProof/>
        </w:rPr>
        <w:t xml:space="preserve"> 6(7): 2946-55.</w:t>
      </w:r>
    </w:p>
    <w:p w14:paraId="16CDE654" w14:textId="77777777" w:rsidR="00B90025" w:rsidRPr="00AF584E" w:rsidRDefault="00B90025" w:rsidP="00B90025">
      <w:pPr>
        <w:pStyle w:val="Excluded"/>
        <w:rPr>
          <w:noProof/>
        </w:rPr>
      </w:pPr>
      <w:r w:rsidRPr="00AF584E">
        <w:rPr>
          <w:noProof/>
        </w:rPr>
        <w:t xml:space="preserve">Kolu P, Raitanen J, Puhkala J et al (2016) Effectiveness and cost-effectiveness of a cluster-randomized prenatal lifestyle counseling trial: a seven-year follow-up. </w:t>
      </w:r>
      <w:r w:rsidRPr="00AF584E">
        <w:rPr>
          <w:i/>
          <w:noProof/>
        </w:rPr>
        <w:t>PLoS One</w:t>
      </w:r>
      <w:r w:rsidRPr="00AF584E">
        <w:rPr>
          <w:noProof/>
        </w:rPr>
        <w:t xml:space="preserve"> 11(12): e0167759.</w:t>
      </w:r>
    </w:p>
    <w:p w14:paraId="7409ED7E" w14:textId="77777777" w:rsidR="00B90025" w:rsidRPr="00AF584E" w:rsidRDefault="00B90025" w:rsidP="00B90025">
      <w:pPr>
        <w:pStyle w:val="Excluded"/>
        <w:rPr>
          <w:noProof/>
        </w:rPr>
      </w:pPr>
      <w:r w:rsidRPr="00AF584E">
        <w:rPr>
          <w:noProof/>
        </w:rPr>
        <w:t xml:space="preserve">Lee YQ, Collins CE, Schumacher TL et al (2018) Disparities exist between the dietary intake of Indigenous Australian women during pregnancy and the Australian dietary guidelines: the Gomeroi gaaynggal study. </w:t>
      </w:r>
      <w:r w:rsidRPr="00AF584E">
        <w:rPr>
          <w:i/>
          <w:noProof/>
        </w:rPr>
        <w:t>J Hum Nutr Diet</w:t>
      </w:r>
      <w:r w:rsidRPr="00AF584E">
        <w:rPr>
          <w:noProof/>
        </w:rPr>
        <w:t xml:space="preserve"> 31(4): 473-85.</w:t>
      </w:r>
    </w:p>
    <w:p w14:paraId="3BE8F7D4" w14:textId="77777777" w:rsidR="00B90025" w:rsidRPr="00AF584E" w:rsidRDefault="00B90025" w:rsidP="00B90025">
      <w:pPr>
        <w:pStyle w:val="Excluded"/>
        <w:rPr>
          <w:noProof/>
        </w:rPr>
      </w:pPr>
      <w:r w:rsidRPr="00AF584E">
        <w:rPr>
          <w:noProof/>
        </w:rPr>
        <w:t xml:space="preserve">Raghavan R, Dreibelbis C, Kingshipp BL et al (2019) Dietary patterns before and during pregnancy and maternal outcomes: a systematic review. </w:t>
      </w:r>
      <w:r w:rsidRPr="00AF584E">
        <w:rPr>
          <w:i/>
          <w:noProof/>
        </w:rPr>
        <w:t>Am J Clin Nutr</w:t>
      </w:r>
      <w:r w:rsidRPr="00AF584E">
        <w:rPr>
          <w:noProof/>
        </w:rPr>
        <w:t xml:space="preserve"> 109(Suppl_7): 705S-28S.</w:t>
      </w:r>
    </w:p>
    <w:p w14:paraId="73785FFF" w14:textId="77777777" w:rsidR="00B90025" w:rsidRPr="00AF584E" w:rsidRDefault="00B90025" w:rsidP="00B90025">
      <w:pPr>
        <w:pStyle w:val="Excluded"/>
        <w:rPr>
          <w:noProof/>
        </w:rPr>
      </w:pPr>
      <w:r w:rsidRPr="00AF584E">
        <w:rPr>
          <w:noProof/>
        </w:rPr>
        <w:t xml:space="preserve">Renault KM, Carlsen EM, Norgaard K et al (2015) Intake of sweets, snacks and soft drinks predicts weight gain in obese pregnant women: detailed analysis of the results of a randomised controlled trial. </w:t>
      </w:r>
      <w:r w:rsidRPr="00AF584E">
        <w:rPr>
          <w:i/>
          <w:noProof/>
        </w:rPr>
        <w:t>PLoS One</w:t>
      </w:r>
      <w:r w:rsidRPr="00AF584E">
        <w:rPr>
          <w:noProof/>
        </w:rPr>
        <w:t xml:space="preserve"> 10(7): e0133041.</w:t>
      </w:r>
    </w:p>
    <w:p w14:paraId="6C07ADA0" w14:textId="77777777" w:rsidR="00B90025" w:rsidRPr="00AF584E" w:rsidRDefault="00B90025" w:rsidP="00B90025">
      <w:pPr>
        <w:pStyle w:val="Excluded"/>
        <w:rPr>
          <w:noProof/>
        </w:rPr>
      </w:pPr>
      <w:r w:rsidRPr="00AF584E">
        <w:rPr>
          <w:noProof/>
        </w:rPr>
        <w:t xml:space="preserve">Schumacher TL, Weatherall L, Keogh L et al (2018) Characterizing gestational weight gain in a cohort of Indigenous Australian women. </w:t>
      </w:r>
      <w:r w:rsidRPr="00AF584E">
        <w:rPr>
          <w:i/>
          <w:noProof/>
        </w:rPr>
        <w:t>Midwifery</w:t>
      </w:r>
      <w:r w:rsidRPr="00AF584E">
        <w:rPr>
          <w:noProof/>
        </w:rPr>
        <w:t xml:space="preserve"> 60: 13-19.</w:t>
      </w:r>
    </w:p>
    <w:p w14:paraId="7D9CB3DB" w14:textId="77777777" w:rsidR="00B90025" w:rsidRPr="00AF584E" w:rsidRDefault="00B90025" w:rsidP="00B90025">
      <w:pPr>
        <w:pStyle w:val="Excluded"/>
        <w:rPr>
          <w:noProof/>
        </w:rPr>
      </w:pPr>
      <w:r w:rsidRPr="00AF584E">
        <w:rPr>
          <w:noProof/>
        </w:rPr>
        <w:t xml:space="preserve">Tieu J, Shepherd E, Middleton P et al (2017) Dietary advice interventions in pregnancy for preventing gestational diabetes mellitus. </w:t>
      </w:r>
      <w:r w:rsidRPr="00AF584E">
        <w:rPr>
          <w:i/>
          <w:noProof/>
        </w:rPr>
        <w:t>Cochrane Database Syst Rev</w:t>
      </w:r>
      <w:r w:rsidRPr="00AF584E">
        <w:rPr>
          <w:noProof/>
        </w:rPr>
        <w:t xml:space="preserve"> 1: CD006674.</w:t>
      </w:r>
    </w:p>
    <w:p w14:paraId="7FACC593" w14:textId="77777777" w:rsidR="00B90025" w:rsidRDefault="00B90025" w:rsidP="00B90025">
      <w:pPr>
        <w:pStyle w:val="Heading4"/>
        <w:rPr>
          <w:noProof/>
        </w:rPr>
      </w:pPr>
      <w:r>
        <w:rPr>
          <w:noProof/>
        </w:rPr>
        <w:t>Narrative review</w:t>
      </w:r>
    </w:p>
    <w:p w14:paraId="2224A3B2" w14:textId="77777777" w:rsidR="00B90025" w:rsidRPr="00EB1258" w:rsidRDefault="00B90025" w:rsidP="00B90025">
      <w:pPr>
        <w:pStyle w:val="Excluded"/>
        <w:rPr>
          <w:noProof/>
        </w:rPr>
      </w:pPr>
      <w:r w:rsidRPr="00EB1258">
        <w:rPr>
          <w:noProof/>
        </w:rPr>
        <w:t xml:space="preserve">Abiri B, Kelishadi R, Sadeghi H et al (2016) Effects of maternal diet during pregnancy on the risk of childhood acute lymphoblastic leukemia: a systematic review. </w:t>
      </w:r>
      <w:r w:rsidRPr="00EB1258">
        <w:rPr>
          <w:i/>
          <w:noProof/>
        </w:rPr>
        <w:t>Nutrition and Cancer</w:t>
      </w:r>
      <w:r w:rsidRPr="00EB1258">
        <w:rPr>
          <w:noProof/>
        </w:rPr>
        <w:t xml:space="preserve"> 68(7): 1065-72.</w:t>
      </w:r>
    </w:p>
    <w:p w14:paraId="72A8B0EA" w14:textId="77777777" w:rsidR="00B90025" w:rsidRPr="00EB1258" w:rsidRDefault="00B90025" w:rsidP="00B90025">
      <w:pPr>
        <w:pStyle w:val="Excluded"/>
        <w:rPr>
          <w:noProof/>
        </w:rPr>
      </w:pPr>
      <w:r w:rsidRPr="00EB1258">
        <w:rPr>
          <w:noProof/>
        </w:rPr>
        <w:t xml:space="preserve">Baroni L, Goggi S, Battaglino R et al (2018) Vegan nutrition for mothers and children: practical tools for healthcare providers. </w:t>
      </w:r>
      <w:r w:rsidRPr="00EB1258">
        <w:rPr>
          <w:i/>
          <w:noProof/>
        </w:rPr>
        <w:t>Nutrients</w:t>
      </w:r>
      <w:r w:rsidRPr="00EB1258">
        <w:rPr>
          <w:noProof/>
        </w:rPr>
        <w:t xml:space="preserve"> 11(1).</w:t>
      </w:r>
    </w:p>
    <w:p w14:paraId="4C97E543" w14:textId="77777777" w:rsidR="00B90025" w:rsidRPr="00EB1258" w:rsidRDefault="00B90025" w:rsidP="00B90025">
      <w:pPr>
        <w:pStyle w:val="Excluded"/>
        <w:rPr>
          <w:noProof/>
        </w:rPr>
      </w:pPr>
      <w:r w:rsidRPr="00EB1258">
        <w:rPr>
          <w:noProof/>
        </w:rPr>
        <w:t xml:space="preserve">Baskin R, Hill B, Jacka FN et al (2015) The association between diet quality and mental health during the perinatal period. A systematic review. </w:t>
      </w:r>
      <w:r w:rsidRPr="00EB1258">
        <w:rPr>
          <w:i/>
          <w:noProof/>
        </w:rPr>
        <w:t>Appetite</w:t>
      </w:r>
      <w:r w:rsidRPr="00EB1258">
        <w:rPr>
          <w:noProof/>
        </w:rPr>
        <w:t xml:space="preserve"> 91: 41-7.</w:t>
      </w:r>
    </w:p>
    <w:p w14:paraId="7A4316AD" w14:textId="77777777" w:rsidR="00B90025" w:rsidRPr="00EB1258" w:rsidRDefault="00B90025" w:rsidP="00B90025">
      <w:pPr>
        <w:pStyle w:val="Excluded"/>
        <w:rPr>
          <w:noProof/>
        </w:rPr>
      </w:pPr>
      <w:r w:rsidRPr="00EB1258">
        <w:rPr>
          <w:noProof/>
        </w:rPr>
        <w:t xml:space="preserve">Biagi C, Nunzio MD, Bordoni A et al (2019) Effect of adherence to Mediterranean diet during pregnancy on children's health: a systematic review. </w:t>
      </w:r>
      <w:r w:rsidRPr="00EB1258">
        <w:rPr>
          <w:i/>
          <w:noProof/>
        </w:rPr>
        <w:t>Nutrients</w:t>
      </w:r>
      <w:r w:rsidRPr="00EB1258">
        <w:rPr>
          <w:noProof/>
        </w:rPr>
        <w:t xml:space="preserve"> 11(5).</w:t>
      </w:r>
    </w:p>
    <w:p w14:paraId="7AC9D4CB" w14:textId="77777777" w:rsidR="00B90025" w:rsidRPr="00EB1258" w:rsidRDefault="00B90025" w:rsidP="00B90025">
      <w:pPr>
        <w:pStyle w:val="Excluded"/>
        <w:rPr>
          <w:noProof/>
        </w:rPr>
      </w:pPr>
      <w:r w:rsidRPr="00EB1258">
        <w:rPr>
          <w:noProof/>
        </w:rPr>
        <w:t xml:space="preserve">D'Souza L, Jayaweera H, Pickett KE (2016) Pregnancy diets, migration, and birth outcomes. </w:t>
      </w:r>
      <w:r w:rsidRPr="00EB1258">
        <w:rPr>
          <w:i/>
          <w:noProof/>
        </w:rPr>
        <w:t>Health Care Women Int</w:t>
      </w:r>
      <w:r w:rsidRPr="00EB1258">
        <w:rPr>
          <w:noProof/>
        </w:rPr>
        <w:t xml:space="preserve"> 37(9): 964-78.</w:t>
      </w:r>
    </w:p>
    <w:p w14:paraId="2BF569F5" w14:textId="77777777" w:rsidR="00B90025" w:rsidRPr="00EB1258" w:rsidRDefault="00B90025" w:rsidP="00B90025">
      <w:pPr>
        <w:pStyle w:val="Excluded"/>
        <w:rPr>
          <w:noProof/>
        </w:rPr>
      </w:pPr>
      <w:r w:rsidRPr="00EB1258">
        <w:rPr>
          <w:noProof/>
        </w:rPr>
        <w:t xml:space="preserve">Donazar-Ezcurra M, Lopez-Del Burgo C, Bes-Rastrollo M (2017) Primary prevention of gestational diabetes mellitus through nutritional factors: a systematic review. </w:t>
      </w:r>
      <w:r w:rsidRPr="00EB1258">
        <w:rPr>
          <w:i/>
          <w:noProof/>
        </w:rPr>
        <w:t>BMC Pregnancy Childbirth</w:t>
      </w:r>
      <w:r w:rsidRPr="00EB1258">
        <w:rPr>
          <w:noProof/>
        </w:rPr>
        <w:t xml:space="preserve"> 17(1): 30.</w:t>
      </w:r>
    </w:p>
    <w:p w14:paraId="00EE9960" w14:textId="77777777" w:rsidR="00B90025" w:rsidRPr="00EB1258" w:rsidRDefault="00B90025" w:rsidP="00B90025">
      <w:pPr>
        <w:pStyle w:val="Excluded"/>
        <w:rPr>
          <w:noProof/>
        </w:rPr>
      </w:pPr>
      <w:r w:rsidRPr="00EB1258">
        <w:rPr>
          <w:noProof/>
        </w:rPr>
        <w:t xml:space="preserve">Elliott-Sale KJ, Graham A, Hanley SJ et al (2019) Modern dietary guidelines for healthy pregnancy; maximising maternal and foetal outcomes and limiting excessive gestational weight gain. </w:t>
      </w:r>
      <w:r w:rsidRPr="00EB1258">
        <w:rPr>
          <w:i/>
          <w:noProof/>
        </w:rPr>
        <w:t>Eur J Sport Sci</w:t>
      </w:r>
      <w:r w:rsidRPr="00EB1258">
        <w:rPr>
          <w:noProof/>
        </w:rPr>
        <w:t xml:space="preserve"> 19(1): 62-70.</w:t>
      </w:r>
    </w:p>
    <w:p w14:paraId="5C7EA248" w14:textId="77777777" w:rsidR="00B90025" w:rsidRPr="00EB1258" w:rsidRDefault="00B90025" w:rsidP="00B90025">
      <w:pPr>
        <w:pStyle w:val="Excluded"/>
        <w:rPr>
          <w:noProof/>
        </w:rPr>
      </w:pPr>
      <w:r w:rsidRPr="00EB1258">
        <w:rPr>
          <w:noProof/>
        </w:rPr>
        <w:t xml:space="preserve">Flynn AC, Dalrymple K, Barr S et al (2016) Dietary interventions in overweight and obese pregnant women: a systematic review of the content, delivery, and outcomes of randomized controlled trials. </w:t>
      </w:r>
      <w:r w:rsidRPr="00EB1258">
        <w:rPr>
          <w:i/>
          <w:noProof/>
        </w:rPr>
        <w:t>Nutr Rev</w:t>
      </w:r>
      <w:r w:rsidRPr="00EB1258">
        <w:rPr>
          <w:noProof/>
        </w:rPr>
        <w:t xml:space="preserve"> 74(5): 312-28.</w:t>
      </w:r>
    </w:p>
    <w:p w14:paraId="01249D05" w14:textId="77777777" w:rsidR="00B90025" w:rsidRPr="00EB1258" w:rsidRDefault="00B90025" w:rsidP="00B90025">
      <w:pPr>
        <w:pStyle w:val="Excluded"/>
        <w:rPr>
          <w:noProof/>
        </w:rPr>
      </w:pPr>
      <w:r w:rsidRPr="00EB1258">
        <w:rPr>
          <w:noProof/>
        </w:rPr>
        <w:t xml:space="preserve">Leermakers ET, Moreira EM, Kiefte-de Jong JC et al (2015) Effects of choline on health across the life course: a systematic review. </w:t>
      </w:r>
      <w:r w:rsidRPr="00EB1258">
        <w:rPr>
          <w:i/>
          <w:noProof/>
        </w:rPr>
        <w:t>Nutr Rev</w:t>
      </w:r>
      <w:r w:rsidRPr="00EB1258">
        <w:rPr>
          <w:noProof/>
        </w:rPr>
        <w:t xml:space="preserve"> 73(8): 500-22.</w:t>
      </w:r>
    </w:p>
    <w:p w14:paraId="74A8873B" w14:textId="77777777" w:rsidR="00B90025" w:rsidRPr="00EB1258" w:rsidRDefault="00B90025" w:rsidP="00B90025">
      <w:pPr>
        <w:pStyle w:val="Excluded"/>
        <w:rPr>
          <w:noProof/>
        </w:rPr>
      </w:pPr>
      <w:r w:rsidRPr="00EB1258">
        <w:rPr>
          <w:noProof/>
        </w:rPr>
        <w:t xml:space="preserve">Moonesinghe H, Patil VK, Dean T et al (2016) Association between healthy eating in pregnancy and allergic status of the offspring in childhood. </w:t>
      </w:r>
      <w:r w:rsidRPr="00EB1258">
        <w:rPr>
          <w:i/>
          <w:noProof/>
        </w:rPr>
        <w:t>Ann Allergy Asthma Immunol</w:t>
      </w:r>
      <w:r w:rsidRPr="00EB1258">
        <w:rPr>
          <w:noProof/>
        </w:rPr>
        <w:t xml:space="preserve"> 116(2): 163-5.</w:t>
      </w:r>
    </w:p>
    <w:p w14:paraId="0058C80B" w14:textId="77777777" w:rsidR="00B90025" w:rsidRPr="00EB1258" w:rsidRDefault="00B90025" w:rsidP="00B90025">
      <w:pPr>
        <w:pStyle w:val="Excluded"/>
        <w:rPr>
          <w:noProof/>
        </w:rPr>
      </w:pPr>
      <w:r w:rsidRPr="00EB1258">
        <w:rPr>
          <w:noProof/>
        </w:rPr>
        <w:t xml:space="preserve">Mousa A, Naqash A, Lim S (2019) Macronutrient and micronutrient intake during pregnancy: an overview of recent evidence. </w:t>
      </w:r>
      <w:r w:rsidRPr="00EB1258">
        <w:rPr>
          <w:i/>
          <w:noProof/>
        </w:rPr>
        <w:t>Nutrients</w:t>
      </w:r>
      <w:r w:rsidRPr="00EB1258">
        <w:rPr>
          <w:noProof/>
        </w:rPr>
        <w:t xml:space="preserve"> 11(2).</w:t>
      </w:r>
    </w:p>
    <w:p w14:paraId="68FEF256" w14:textId="77777777" w:rsidR="00B90025" w:rsidRPr="00EB1258" w:rsidRDefault="00B90025" w:rsidP="00B90025">
      <w:pPr>
        <w:pStyle w:val="Excluded"/>
        <w:rPr>
          <w:noProof/>
        </w:rPr>
      </w:pPr>
      <w:r w:rsidRPr="00EB1258">
        <w:rPr>
          <w:noProof/>
        </w:rPr>
        <w:t xml:space="preserve">O'Neil A, Itsiopoulos C, Skouteris H et al (2014) Preventing mental health problems in offspring by targeting dietary intake of pregnant women. </w:t>
      </w:r>
      <w:r w:rsidRPr="00EB1258">
        <w:rPr>
          <w:i/>
          <w:noProof/>
        </w:rPr>
        <w:t>BMC Med</w:t>
      </w:r>
      <w:r w:rsidRPr="00EB1258">
        <w:rPr>
          <w:noProof/>
        </w:rPr>
        <w:t xml:space="preserve"> 12: 208.</w:t>
      </w:r>
    </w:p>
    <w:p w14:paraId="17A3AAC2" w14:textId="77777777" w:rsidR="00B90025" w:rsidRPr="00EB1258" w:rsidRDefault="00B90025" w:rsidP="00B90025">
      <w:pPr>
        <w:pStyle w:val="Excluded"/>
        <w:rPr>
          <w:noProof/>
        </w:rPr>
      </w:pPr>
      <w:r w:rsidRPr="00EB1258">
        <w:rPr>
          <w:noProof/>
        </w:rPr>
        <w:t xml:space="preserve">Oostingh EC, Hall J, Koster MPH et al (2019) The impact of maternal lifestyle factors on periconception outcomes: a systematic review of observational studies. </w:t>
      </w:r>
      <w:r w:rsidRPr="00EB1258">
        <w:rPr>
          <w:i/>
          <w:noProof/>
        </w:rPr>
        <w:t>Reprod Biomed Online</w:t>
      </w:r>
      <w:r w:rsidRPr="00EB1258">
        <w:rPr>
          <w:noProof/>
        </w:rPr>
        <w:t xml:space="preserve"> 38(1): 77-94.</w:t>
      </w:r>
    </w:p>
    <w:p w14:paraId="7CDA8A59" w14:textId="77777777" w:rsidR="00B90025" w:rsidRPr="00EB1258" w:rsidRDefault="00B90025" w:rsidP="00B90025">
      <w:pPr>
        <w:pStyle w:val="Excluded"/>
        <w:rPr>
          <w:noProof/>
        </w:rPr>
      </w:pPr>
      <w:r w:rsidRPr="00EB1258">
        <w:rPr>
          <w:noProof/>
        </w:rPr>
        <w:t xml:space="preserve">Rees WD (2019) Interactions between nutrients in the maternal diet and the implications for the long-term health of the offspring. </w:t>
      </w:r>
      <w:r w:rsidRPr="00EB1258">
        <w:rPr>
          <w:i/>
          <w:noProof/>
        </w:rPr>
        <w:t>Proc Nutr Soc</w:t>
      </w:r>
      <w:r w:rsidRPr="00EB1258">
        <w:rPr>
          <w:noProof/>
        </w:rPr>
        <w:t xml:space="preserve"> 78(1): 88-96.</w:t>
      </w:r>
    </w:p>
    <w:p w14:paraId="66FA692C" w14:textId="77777777" w:rsidR="00B90025" w:rsidRPr="00EB1258" w:rsidRDefault="00B90025" w:rsidP="00B90025">
      <w:pPr>
        <w:pStyle w:val="Excluded"/>
        <w:rPr>
          <w:noProof/>
        </w:rPr>
      </w:pPr>
      <w:r w:rsidRPr="00EB1258">
        <w:rPr>
          <w:noProof/>
        </w:rPr>
        <w:t xml:space="preserve">Sparling TM, Henschke N, Nesbitt RC et al (2017) The role of diet and nutritional supplementation in perinatal depression: a systematic review. </w:t>
      </w:r>
      <w:r w:rsidRPr="00EB1258">
        <w:rPr>
          <w:i/>
          <w:noProof/>
        </w:rPr>
        <w:t>Matern Child Nutr</w:t>
      </w:r>
      <w:r w:rsidRPr="00EB1258">
        <w:rPr>
          <w:noProof/>
        </w:rPr>
        <w:t xml:space="preserve"> 13(1).</w:t>
      </w:r>
    </w:p>
    <w:p w14:paraId="2FA1AC1B" w14:textId="77777777" w:rsidR="00B90025" w:rsidRPr="00EB1258" w:rsidRDefault="00B90025" w:rsidP="00B90025">
      <w:pPr>
        <w:pStyle w:val="Excluded"/>
        <w:rPr>
          <w:noProof/>
        </w:rPr>
      </w:pPr>
      <w:r w:rsidRPr="00EB1258">
        <w:rPr>
          <w:noProof/>
        </w:rPr>
        <w:t xml:space="preserve">Tielemans MJ, Garcia AH, Peralta Santos A et al (2016) Macronutrient composition and gestational weight gain: a systematic review. </w:t>
      </w:r>
      <w:r w:rsidRPr="00EB1258">
        <w:rPr>
          <w:i/>
          <w:noProof/>
        </w:rPr>
        <w:t>Am J Clin Nutr</w:t>
      </w:r>
      <w:r w:rsidRPr="00EB1258">
        <w:rPr>
          <w:noProof/>
        </w:rPr>
        <w:t xml:space="preserve"> 103(1): 83-99.</w:t>
      </w:r>
    </w:p>
    <w:p w14:paraId="68544998" w14:textId="77777777" w:rsidR="00B90025" w:rsidRPr="004D55A5" w:rsidRDefault="00B90025" w:rsidP="00B90025">
      <w:pPr>
        <w:pStyle w:val="Heading4"/>
        <w:rPr>
          <w:noProof/>
        </w:rPr>
      </w:pPr>
      <w:r>
        <w:rPr>
          <w:noProof/>
        </w:rPr>
        <w:t>Wrong study design</w:t>
      </w:r>
    </w:p>
    <w:p w14:paraId="0498387E" w14:textId="77777777" w:rsidR="00B90025" w:rsidRPr="00AB7B12" w:rsidRDefault="00B90025" w:rsidP="00B90025">
      <w:pPr>
        <w:pStyle w:val="Excluded"/>
        <w:rPr>
          <w:noProof/>
        </w:rPr>
      </w:pPr>
      <w:r w:rsidRPr="00AB7B12">
        <w:rPr>
          <w:noProof/>
        </w:rPr>
        <w:t xml:space="preserve">Mijatovic-Vukas J, Capling L, Cheng S et al (2018) Associations of diet and physical activity with risk for gestational diabetes mellitus: a systematic review and meta-analysis. </w:t>
      </w:r>
      <w:r w:rsidRPr="00AB7B12">
        <w:rPr>
          <w:i/>
          <w:noProof/>
        </w:rPr>
        <w:t>Nutrients</w:t>
      </w:r>
      <w:r w:rsidRPr="00AB7B12">
        <w:rPr>
          <w:noProof/>
        </w:rPr>
        <w:t xml:space="preserve"> 10(6).</w:t>
      </w:r>
    </w:p>
    <w:p w14:paraId="5EBBFF4E" w14:textId="77777777" w:rsidR="00B90025" w:rsidRPr="00AB7B12" w:rsidRDefault="00B90025" w:rsidP="00B90025">
      <w:pPr>
        <w:pStyle w:val="Excluded"/>
        <w:rPr>
          <w:noProof/>
        </w:rPr>
      </w:pPr>
      <w:r w:rsidRPr="00AB7B12">
        <w:rPr>
          <w:noProof/>
        </w:rPr>
        <w:t xml:space="preserve">Opie RS, Neff M, Tierney AC (2016) A behavioural nutrition intervention for obese pregnant women: Effects on diet quality, weight gain and the incidence of gestational diabetes. </w:t>
      </w:r>
      <w:r w:rsidRPr="00AB7B12">
        <w:rPr>
          <w:i/>
          <w:noProof/>
        </w:rPr>
        <w:t>Aust N Z J Obstet Gynaecol</w:t>
      </w:r>
      <w:r w:rsidRPr="00AB7B12">
        <w:rPr>
          <w:noProof/>
        </w:rPr>
        <w:t xml:space="preserve"> 56(4): 364-73.</w:t>
      </w:r>
    </w:p>
    <w:p w14:paraId="6D3E42C0" w14:textId="77777777" w:rsidR="00B90025" w:rsidRDefault="00B90025" w:rsidP="00B90025">
      <w:pPr>
        <w:pStyle w:val="Heading4"/>
        <w:rPr>
          <w:noProof/>
        </w:rPr>
      </w:pPr>
      <w:r>
        <w:rPr>
          <w:noProof/>
        </w:rPr>
        <w:t>Wrong setting</w:t>
      </w:r>
    </w:p>
    <w:p w14:paraId="0893C3C7" w14:textId="77777777" w:rsidR="00B90025" w:rsidRPr="00AB7B12" w:rsidRDefault="00B90025" w:rsidP="00B90025">
      <w:pPr>
        <w:pStyle w:val="Excluded"/>
        <w:rPr>
          <w:noProof/>
        </w:rPr>
      </w:pPr>
      <w:r w:rsidRPr="00AB7B12">
        <w:rPr>
          <w:noProof/>
        </w:rPr>
        <w:t xml:space="preserve">Anleu E, Reyes M, Araya BM et al (2019) Effectiveness of an intervention of dietary counseling for overweight and obese pregnant women in the consumption of sugars and energy. </w:t>
      </w:r>
      <w:r w:rsidRPr="00AB7B12">
        <w:rPr>
          <w:i/>
          <w:noProof/>
        </w:rPr>
        <w:t>Nutrients</w:t>
      </w:r>
      <w:r w:rsidRPr="00AB7B12">
        <w:rPr>
          <w:noProof/>
        </w:rPr>
        <w:t xml:space="preserve"> 11(2).</w:t>
      </w:r>
    </w:p>
    <w:p w14:paraId="27CA5EDE" w14:textId="77777777" w:rsidR="00B90025" w:rsidRPr="00AB7B12" w:rsidRDefault="00B90025" w:rsidP="00B90025">
      <w:pPr>
        <w:pStyle w:val="Excluded"/>
        <w:rPr>
          <w:noProof/>
        </w:rPr>
      </w:pPr>
      <w:r w:rsidRPr="00AB7B12">
        <w:rPr>
          <w:noProof/>
        </w:rPr>
        <w:t xml:space="preserve">Lau Y, Klainin-Yobas P, Htun TP et al (2017) Electronic-based lifestyle interventions in overweight or obese perinatal women: a systematic review and meta-analysis. </w:t>
      </w:r>
      <w:r w:rsidRPr="00AB7B12">
        <w:rPr>
          <w:i/>
          <w:noProof/>
        </w:rPr>
        <w:t>Obes Rev</w:t>
      </w:r>
      <w:r w:rsidRPr="00AB7B12">
        <w:rPr>
          <w:noProof/>
        </w:rPr>
        <w:t xml:space="preserve"> 18(9): 1071-87.</w:t>
      </w:r>
    </w:p>
    <w:p w14:paraId="19A63F9F" w14:textId="77777777" w:rsidR="00B90025" w:rsidRPr="00AB7B12" w:rsidRDefault="00B90025" w:rsidP="00B90025">
      <w:pPr>
        <w:pStyle w:val="Excluded"/>
        <w:rPr>
          <w:noProof/>
        </w:rPr>
      </w:pPr>
      <w:r w:rsidRPr="00AB7B12">
        <w:rPr>
          <w:noProof/>
        </w:rPr>
        <w:t xml:space="preserve">O'Brien OA, McCarthy M, Gibney ER et al (2014) Technology-supported dietary and lifestyle interventions in healthy pregnant women: a systematic review. </w:t>
      </w:r>
      <w:r w:rsidRPr="00AB7B12">
        <w:rPr>
          <w:i/>
          <w:noProof/>
        </w:rPr>
        <w:t>Eur J Clin Nutr</w:t>
      </w:r>
      <w:r w:rsidRPr="00AB7B12">
        <w:rPr>
          <w:noProof/>
        </w:rPr>
        <w:t xml:space="preserve"> 68(7): 760-6.</w:t>
      </w:r>
    </w:p>
    <w:p w14:paraId="19E3697E" w14:textId="77777777" w:rsidR="00B90025" w:rsidRPr="00AB7B12" w:rsidRDefault="00B90025" w:rsidP="00B90025">
      <w:pPr>
        <w:pStyle w:val="Excluded"/>
        <w:rPr>
          <w:noProof/>
        </w:rPr>
      </w:pPr>
      <w:r w:rsidRPr="00AB7B12">
        <w:rPr>
          <w:noProof/>
        </w:rPr>
        <w:t xml:space="preserve">Okesene-Gafa KAM, Li M, McKinlay CJD et al (2019) Effect of antenatal dietary interventions in maternal obesity on pregnancy weight-gain and birthweight: Healthy Mums and Babies (HUMBA) randomized trial. </w:t>
      </w:r>
      <w:r w:rsidRPr="00AB7B12">
        <w:rPr>
          <w:i/>
          <w:noProof/>
        </w:rPr>
        <w:t>Am J Obstet Gynecol</w:t>
      </w:r>
      <w:r w:rsidRPr="00AB7B12">
        <w:rPr>
          <w:noProof/>
        </w:rPr>
        <w:t xml:space="preserve"> 221(2): 152 e1-52 e13.</w:t>
      </w:r>
    </w:p>
    <w:p w14:paraId="4452B920" w14:textId="77777777" w:rsidR="00B90025" w:rsidRPr="00AB7B12" w:rsidRDefault="00B90025" w:rsidP="00B90025">
      <w:pPr>
        <w:pStyle w:val="Excluded"/>
        <w:rPr>
          <w:noProof/>
        </w:rPr>
      </w:pPr>
      <w:r w:rsidRPr="00AB7B12">
        <w:rPr>
          <w:noProof/>
        </w:rPr>
        <w:t xml:space="preserve">Sherifali D, Nerenberg KA, Wilson S et al (2017) The effectiveness of ehealth technologies on weight management in pregnant and postpartum women: systematic review and meta-analysis. </w:t>
      </w:r>
      <w:r w:rsidRPr="00AB7B12">
        <w:rPr>
          <w:i/>
          <w:noProof/>
        </w:rPr>
        <w:t>J Med Internet Res</w:t>
      </w:r>
      <w:r w:rsidRPr="00AB7B12">
        <w:rPr>
          <w:noProof/>
        </w:rPr>
        <w:t xml:space="preserve"> 19(10): e337.</w:t>
      </w:r>
    </w:p>
    <w:p w14:paraId="3494DCDD" w14:textId="77777777" w:rsidR="00B90025" w:rsidRDefault="00B90025" w:rsidP="00B90025">
      <w:pPr>
        <w:pStyle w:val="Heading4"/>
        <w:rPr>
          <w:noProof/>
        </w:rPr>
      </w:pPr>
      <w:r>
        <w:rPr>
          <w:noProof/>
        </w:rPr>
        <w:t>Wrong population</w:t>
      </w:r>
    </w:p>
    <w:p w14:paraId="4DE9D4C3" w14:textId="77777777" w:rsidR="00B90025" w:rsidRPr="0094248D" w:rsidRDefault="00B90025" w:rsidP="00B90025">
      <w:pPr>
        <w:pStyle w:val="Excluded"/>
        <w:rPr>
          <w:noProof/>
        </w:rPr>
      </w:pPr>
      <w:r w:rsidRPr="0094248D">
        <w:rPr>
          <w:noProof/>
        </w:rPr>
        <w:t xml:space="preserve">Bao W, Bowers K, Tobias DK et al (2014) Prepregnancy low-carbohydrate dietary pattern and risk of gestational diabetes mellitus: a prospective cohort study. </w:t>
      </w:r>
      <w:r w:rsidRPr="0094248D">
        <w:rPr>
          <w:i/>
          <w:noProof/>
        </w:rPr>
        <w:t>Am J Clin Nutr</w:t>
      </w:r>
      <w:r w:rsidRPr="0094248D">
        <w:rPr>
          <w:noProof/>
        </w:rPr>
        <w:t xml:space="preserve"> 99(6): 1378-84.</w:t>
      </w:r>
    </w:p>
    <w:p w14:paraId="1E942BD0" w14:textId="77777777" w:rsidR="00B90025" w:rsidRPr="0094248D" w:rsidRDefault="00B90025" w:rsidP="00B90025">
      <w:pPr>
        <w:pStyle w:val="Excluded"/>
        <w:rPr>
          <w:noProof/>
        </w:rPr>
      </w:pPr>
      <w:r w:rsidRPr="0094248D">
        <w:rPr>
          <w:noProof/>
        </w:rPr>
        <w:t xml:space="preserve">Bricker L, Reed K, Wood L et al (2015) Nutritional advice for improving outcomes in multiple pregnancies. </w:t>
      </w:r>
      <w:r w:rsidRPr="0094248D">
        <w:rPr>
          <w:i/>
          <w:noProof/>
        </w:rPr>
        <w:t>Cochrane Database Syst Rev</w:t>
      </w:r>
      <w:r w:rsidRPr="0094248D">
        <w:rPr>
          <w:noProof/>
        </w:rPr>
        <w:t>(11): CD008867.</w:t>
      </w:r>
    </w:p>
    <w:p w14:paraId="35617E6A" w14:textId="77777777" w:rsidR="00B90025" w:rsidRPr="0094248D" w:rsidRDefault="00B90025" w:rsidP="00B90025">
      <w:pPr>
        <w:pStyle w:val="Excluded"/>
        <w:rPr>
          <w:noProof/>
        </w:rPr>
      </w:pPr>
      <w:r w:rsidRPr="0094248D">
        <w:rPr>
          <w:noProof/>
        </w:rPr>
        <w:t xml:space="preserve">Callaghan-Gillespie M, Schaffner AA, Garcia P et al (2017) Trial of ready-to-use supplemental food and corn-soy blend in pregnant Malawian women with moderate malnutrition: a randomized controlled clinical trial. </w:t>
      </w:r>
      <w:r w:rsidRPr="0094248D">
        <w:rPr>
          <w:i/>
          <w:noProof/>
        </w:rPr>
        <w:t>Am J Clin Nutr</w:t>
      </w:r>
      <w:r w:rsidRPr="0094248D">
        <w:rPr>
          <w:noProof/>
        </w:rPr>
        <w:t xml:space="preserve"> 106(4): 1062-69.</w:t>
      </w:r>
    </w:p>
    <w:p w14:paraId="783B76A8" w14:textId="77777777" w:rsidR="00B90025" w:rsidRPr="0094248D" w:rsidRDefault="00B90025" w:rsidP="00B90025">
      <w:pPr>
        <w:pStyle w:val="Excluded"/>
        <w:rPr>
          <w:noProof/>
        </w:rPr>
      </w:pPr>
      <w:r w:rsidRPr="0094248D">
        <w:rPr>
          <w:noProof/>
        </w:rPr>
        <w:t xml:space="preserve">Carmichael SL, Yang W, Gilboa S et al (2016) Elevated body mass index and decreased diet quality among women and risk of birth defects in their offspring. </w:t>
      </w:r>
      <w:r w:rsidRPr="0094248D">
        <w:rPr>
          <w:i/>
          <w:noProof/>
        </w:rPr>
        <w:t>Birth Defects Res A Clin Mol Teratol</w:t>
      </w:r>
      <w:r w:rsidRPr="0094248D">
        <w:rPr>
          <w:noProof/>
        </w:rPr>
        <w:t xml:space="preserve"> 106(3): 164-71.</w:t>
      </w:r>
    </w:p>
    <w:p w14:paraId="1C43F62E" w14:textId="77777777" w:rsidR="00B90025" w:rsidRPr="0094248D" w:rsidRDefault="00B90025" w:rsidP="00B90025">
      <w:pPr>
        <w:pStyle w:val="Excluded"/>
        <w:rPr>
          <w:noProof/>
        </w:rPr>
      </w:pPr>
      <w:r w:rsidRPr="0094248D">
        <w:rPr>
          <w:noProof/>
        </w:rPr>
        <w:t xml:space="preserve">Deveer R, Deever M, Akbaba E et al (2013) The effect of diet on pregnancy outcomes among pregnants with abnormal glucose challenge test. </w:t>
      </w:r>
      <w:r w:rsidRPr="0094248D">
        <w:rPr>
          <w:i/>
          <w:noProof/>
        </w:rPr>
        <w:t>Eur Rev Med Pharmacol</w:t>
      </w:r>
      <w:r w:rsidRPr="0094248D">
        <w:rPr>
          <w:noProof/>
        </w:rPr>
        <w:t xml:space="preserve"> 17: 1258-61.</w:t>
      </w:r>
    </w:p>
    <w:p w14:paraId="764812F5" w14:textId="77777777" w:rsidR="00B90025" w:rsidRPr="0094248D" w:rsidRDefault="00B90025" w:rsidP="00B90025">
      <w:pPr>
        <w:pStyle w:val="Excluded"/>
        <w:rPr>
          <w:noProof/>
        </w:rPr>
      </w:pPr>
      <w:r w:rsidRPr="0094248D">
        <w:rPr>
          <w:noProof/>
        </w:rPr>
        <w:t xml:space="preserve">Donazar-Ezcurra M, Lopez-Del Burgo C, Martinez-Gonzalez MA et al (2017) Pre-pregnancy adherences to empirically derived dietary patterns and gestational diabetes risk in a Mediterranean cohort: the Seguimiento Universidad de Navarra (SUN) project. </w:t>
      </w:r>
      <w:r w:rsidRPr="0094248D">
        <w:rPr>
          <w:i/>
          <w:noProof/>
        </w:rPr>
        <w:t>Br J Nutr</w:t>
      </w:r>
      <w:r w:rsidRPr="0094248D">
        <w:rPr>
          <w:noProof/>
        </w:rPr>
        <w:t xml:space="preserve"> 118(9): 715-21.</w:t>
      </w:r>
    </w:p>
    <w:p w14:paraId="460C2F73" w14:textId="77777777" w:rsidR="00B90025" w:rsidRPr="0094248D" w:rsidRDefault="00B90025" w:rsidP="00B90025">
      <w:pPr>
        <w:pStyle w:val="Excluded"/>
        <w:rPr>
          <w:noProof/>
        </w:rPr>
      </w:pPr>
      <w:r w:rsidRPr="0094248D">
        <w:rPr>
          <w:noProof/>
        </w:rPr>
        <w:t xml:space="preserve">Jarman M, Mathe N, Ramazani F et al (2018) Dietary patterns prior to pregnancy and associations with pregnancy complications. </w:t>
      </w:r>
      <w:r w:rsidRPr="0094248D">
        <w:rPr>
          <w:i/>
          <w:noProof/>
        </w:rPr>
        <w:t>Nutrients</w:t>
      </w:r>
      <w:r w:rsidRPr="0094248D">
        <w:rPr>
          <w:noProof/>
        </w:rPr>
        <w:t xml:space="preserve"> 10(7).</w:t>
      </w:r>
    </w:p>
    <w:p w14:paraId="5C851EB9" w14:textId="77777777" w:rsidR="00B90025" w:rsidRPr="0094248D" w:rsidRDefault="00B90025" w:rsidP="00B90025">
      <w:pPr>
        <w:pStyle w:val="Excluded"/>
        <w:rPr>
          <w:noProof/>
        </w:rPr>
      </w:pPr>
      <w:r w:rsidRPr="0094248D">
        <w:rPr>
          <w:noProof/>
        </w:rPr>
        <w:t xml:space="preserve">Koutelidakis AE, Alexatou O, Kousaiti S et al (2018) Higher adherence to Mediterranean diet prior to pregnancy is associated with decreased risk for deviation from the maternal recommended gestational weight gain. </w:t>
      </w:r>
      <w:r w:rsidRPr="0094248D">
        <w:rPr>
          <w:i/>
          <w:noProof/>
        </w:rPr>
        <w:t>Int J Food Sci Nutr</w:t>
      </w:r>
      <w:r w:rsidRPr="0094248D">
        <w:rPr>
          <w:noProof/>
        </w:rPr>
        <w:t xml:space="preserve"> 69(1): 84-92.</w:t>
      </w:r>
    </w:p>
    <w:p w14:paraId="79F89823" w14:textId="77777777" w:rsidR="00B90025" w:rsidRPr="0094248D" w:rsidRDefault="00B90025" w:rsidP="00B90025">
      <w:pPr>
        <w:pStyle w:val="Excluded"/>
        <w:rPr>
          <w:noProof/>
        </w:rPr>
      </w:pPr>
      <w:r w:rsidRPr="0094248D">
        <w:rPr>
          <w:noProof/>
        </w:rPr>
        <w:t xml:space="preserve">Lamyian M, Hosseinpour-Niazi S, Mirmiran P et al (2017) Pre-pregnancy fast food consumption is associated with gestational diabetes mellitus among Tehranian women. </w:t>
      </w:r>
      <w:r w:rsidRPr="0094248D">
        <w:rPr>
          <w:i/>
          <w:noProof/>
        </w:rPr>
        <w:t>Nutrients</w:t>
      </w:r>
      <w:r w:rsidRPr="0094248D">
        <w:rPr>
          <w:noProof/>
        </w:rPr>
        <w:t xml:space="preserve"> 9(3).</w:t>
      </w:r>
    </w:p>
    <w:p w14:paraId="50F17D5C" w14:textId="77777777" w:rsidR="00B90025" w:rsidRPr="0094248D" w:rsidRDefault="00B90025" w:rsidP="00B90025">
      <w:pPr>
        <w:pStyle w:val="Excluded"/>
        <w:rPr>
          <w:noProof/>
        </w:rPr>
      </w:pPr>
      <w:r w:rsidRPr="0094248D">
        <w:rPr>
          <w:noProof/>
        </w:rPr>
        <w:t xml:space="preserve">Looman M, Schoenaker D, Soedamah-Muthu SS et al (2018) Pre-pregnancy dietary carbohydrate quantity and quality, and risk of developing gestational diabetes: the Australian Longitudinal Study on Women's Health. </w:t>
      </w:r>
      <w:r w:rsidRPr="0094248D">
        <w:rPr>
          <w:i/>
          <w:noProof/>
        </w:rPr>
        <w:t>Br J Nutr</w:t>
      </w:r>
      <w:r w:rsidRPr="0094248D">
        <w:rPr>
          <w:noProof/>
        </w:rPr>
        <w:t xml:space="preserve"> 120(4): 435-44.</w:t>
      </w:r>
    </w:p>
    <w:p w14:paraId="5B631BFF" w14:textId="77777777" w:rsidR="00B90025" w:rsidRPr="0094248D" w:rsidRDefault="00B90025" w:rsidP="00B90025">
      <w:pPr>
        <w:pStyle w:val="Excluded"/>
        <w:rPr>
          <w:noProof/>
        </w:rPr>
      </w:pPr>
      <w:r w:rsidRPr="0094248D">
        <w:rPr>
          <w:noProof/>
        </w:rPr>
        <w:t xml:space="preserve">Mijatovic-Vukas J, Capling L, Cheng S et al (2018) Associations of Diet and Physical Activity with Risk for Gestational Diabetes Mellitus: A Systematic Review and Meta-Analysis. </w:t>
      </w:r>
      <w:r w:rsidRPr="0094248D">
        <w:rPr>
          <w:i/>
          <w:noProof/>
        </w:rPr>
        <w:t>Nutrients</w:t>
      </w:r>
      <w:r w:rsidRPr="0094248D">
        <w:rPr>
          <w:noProof/>
        </w:rPr>
        <w:t xml:space="preserve"> 10(6).</w:t>
      </w:r>
    </w:p>
    <w:p w14:paraId="0435DCDB" w14:textId="77777777" w:rsidR="00B90025" w:rsidRPr="0094248D" w:rsidRDefault="00B90025" w:rsidP="00B90025">
      <w:pPr>
        <w:pStyle w:val="Excluded"/>
        <w:rPr>
          <w:noProof/>
        </w:rPr>
      </w:pPr>
      <w:r w:rsidRPr="0094248D">
        <w:rPr>
          <w:noProof/>
        </w:rPr>
        <w:t xml:space="preserve">Ormesher L, Myers JE, Chmiel C et al (2018) Effects of dietary nitrate supplementation, from beetroot juice, on blood pressure in hypertensive pregnant women: A randomised, double-blind, placebo-controlled feasibility trial. </w:t>
      </w:r>
      <w:r w:rsidRPr="0094248D">
        <w:rPr>
          <w:i/>
          <w:noProof/>
        </w:rPr>
        <w:t>Nitric Oxide</w:t>
      </w:r>
      <w:r w:rsidRPr="0094248D">
        <w:rPr>
          <w:noProof/>
        </w:rPr>
        <w:t xml:space="preserve"> 80: 37-44.</w:t>
      </w:r>
    </w:p>
    <w:p w14:paraId="21668185" w14:textId="77777777" w:rsidR="00B90025" w:rsidRPr="0094248D" w:rsidRDefault="00B90025" w:rsidP="00B90025">
      <w:pPr>
        <w:pStyle w:val="Excluded"/>
        <w:rPr>
          <w:noProof/>
        </w:rPr>
      </w:pPr>
      <w:r w:rsidRPr="0094248D">
        <w:rPr>
          <w:noProof/>
        </w:rPr>
        <w:t xml:space="preserve">Osorio-Yanez C, Gelaye B, Qiu C et al (2017) Maternal intake of fried foods and risk of gestational diabetes mellitus. </w:t>
      </w:r>
      <w:r w:rsidRPr="0094248D">
        <w:rPr>
          <w:i/>
          <w:noProof/>
        </w:rPr>
        <w:t>Ann Epidemiol</w:t>
      </w:r>
      <w:r w:rsidRPr="0094248D">
        <w:rPr>
          <w:noProof/>
        </w:rPr>
        <w:t xml:space="preserve"> 27(6): 384-90 e1.</w:t>
      </w:r>
    </w:p>
    <w:p w14:paraId="74839B7D" w14:textId="77777777" w:rsidR="00B90025" w:rsidRPr="0094248D" w:rsidRDefault="00B90025" w:rsidP="00B90025">
      <w:pPr>
        <w:pStyle w:val="Excluded"/>
        <w:rPr>
          <w:noProof/>
        </w:rPr>
      </w:pPr>
      <w:r w:rsidRPr="0094248D">
        <w:rPr>
          <w:noProof/>
        </w:rPr>
        <w:t xml:space="preserve">Parisi F, Rousian M, Koning IV et al (2018) Periconceptional maternal dairy-rich dietary pattern is associated with prenatal cerebellar growth. </w:t>
      </w:r>
      <w:r w:rsidRPr="0094248D">
        <w:rPr>
          <w:i/>
          <w:noProof/>
        </w:rPr>
        <w:t>PLoS One</w:t>
      </w:r>
      <w:r w:rsidRPr="0094248D">
        <w:rPr>
          <w:noProof/>
        </w:rPr>
        <w:t xml:space="preserve"> 13(5): e0197901.</w:t>
      </w:r>
    </w:p>
    <w:p w14:paraId="77F0F1E2" w14:textId="77777777" w:rsidR="00B90025" w:rsidRDefault="00B90025" w:rsidP="00B90025">
      <w:pPr>
        <w:pStyle w:val="Heading4"/>
      </w:pPr>
      <w:r>
        <w:t>Wrong outcomes</w:t>
      </w:r>
    </w:p>
    <w:p w14:paraId="717C6575" w14:textId="77777777" w:rsidR="00B90025" w:rsidRPr="002E5284" w:rsidRDefault="00B90025" w:rsidP="00B90025">
      <w:pPr>
        <w:pStyle w:val="Excluded"/>
        <w:rPr>
          <w:noProof/>
        </w:rPr>
      </w:pPr>
      <w:r w:rsidRPr="002E5284">
        <w:rPr>
          <w:noProof/>
        </w:rPr>
        <w:t xml:space="preserve">Donnelly JM, Walsh JM, Byrne J et al (2015) Impact of maternal diet on neonatal anthropometry: a randomized controlled trial. </w:t>
      </w:r>
      <w:r w:rsidRPr="002E5284">
        <w:rPr>
          <w:i/>
          <w:noProof/>
        </w:rPr>
        <w:t>Pediatr Obes</w:t>
      </w:r>
      <w:r w:rsidRPr="002E5284">
        <w:rPr>
          <w:noProof/>
        </w:rPr>
        <w:t xml:space="preserve"> 10(1): 52-6.</w:t>
      </w:r>
    </w:p>
    <w:p w14:paraId="4C4D2B2B" w14:textId="77777777" w:rsidR="00B90025" w:rsidRPr="002E5284" w:rsidRDefault="00B90025" w:rsidP="00B90025">
      <w:pPr>
        <w:pStyle w:val="Excluded"/>
        <w:rPr>
          <w:noProof/>
        </w:rPr>
      </w:pPr>
      <w:r w:rsidRPr="002E5284">
        <w:rPr>
          <w:noProof/>
        </w:rPr>
        <w:t xml:space="preserve">Gresham E, Bisquera A, Byles JE et al (2016) Effects of dietary interventions on pregnancy outcomes: a systematic review and meta-analysis. </w:t>
      </w:r>
      <w:r w:rsidRPr="002E5284">
        <w:rPr>
          <w:i/>
          <w:noProof/>
        </w:rPr>
        <w:t>Matern Child Nutr</w:t>
      </w:r>
      <w:r w:rsidRPr="002E5284">
        <w:rPr>
          <w:noProof/>
        </w:rPr>
        <w:t xml:space="preserve"> 12(1): 5-23.</w:t>
      </w:r>
    </w:p>
    <w:p w14:paraId="477DFF97" w14:textId="77777777" w:rsidR="00B90025" w:rsidRPr="002E5284" w:rsidRDefault="00B90025" w:rsidP="00B90025">
      <w:pPr>
        <w:pStyle w:val="Excluded"/>
        <w:rPr>
          <w:noProof/>
        </w:rPr>
      </w:pPr>
      <w:r w:rsidRPr="002E5284">
        <w:rPr>
          <w:noProof/>
        </w:rPr>
        <w:t xml:space="preserve">Horan MK, McGowan CA, Gibney ER et al (2016) Maternal nutrition and glycaemic index during pregnancy impacts on offspring adiposity at 6 months of age--analysis from the ROLO randomised controlled trial. </w:t>
      </w:r>
      <w:r w:rsidRPr="002E5284">
        <w:rPr>
          <w:i/>
          <w:noProof/>
        </w:rPr>
        <w:t>Nutrients</w:t>
      </w:r>
      <w:r w:rsidRPr="002E5284">
        <w:rPr>
          <w:noProof/>
        </w:rPr>
        <w:t xml:space="preserve"> 8(1).</w:t>
      </w:r>
    </w:p>
    <w:p w14:paraId="47C31E12" w14:textId="77777777" w:rsidR="00B90025" w:rsidRPr="002E5284" w:rsidRDefault="00B90025" w:rsidP="00B90025">
      <w:pPr>
        <w:pStyle w:val="Excluded"/>
        <w:rPr>
          <w:noProof/>
        </w:rPr>
      </w:pPr>
      <w:r w:rsidRPr="002E5284">
        <w:rPr>
          <w:noProof/>
        </w:rPr>
        <w:t xml:space="preserve">Kinnunen TI, Puhkala J, Raitanen J et al (2014) Effects of dietary counselling on food habits and dietary intake of Finnish pregnant women at increased risk for gestational diabetes - a secondary analysis of a cluster-randomized controlled trial. </w:t>
      </w:r>
      <w:r w:rsidRPr="002E5284">
        <w:rPr>
          <w:i/>
          <w:noProof/>
        </w:rPr>
        <w:t>Matern Child Nutr</w:t>
      </w:r>
      <w:r w:rsidRPr="002E5284">
        <w:rPr>
          <w:noProof/>
        </w:rPr>
        <w:t xml:space="preserve"> 10(2): 184-97.</w:t>
      </w:r>
    </w:p>
    <w:p w14:paraId="236566B1" w14:textId="77777777" w:rsidR="00B90025" w:rsidRPr="002E5284" w:rsidRDefault="00B90025" w:rsidP="00B90025">
      <w:pPr>
        <w:pStyle w:val="Excluded"/>
        <w:rPr>
          <w:noProof/>
        </w:rPr>
      </w:pPr>
      <w:r w:rsidRPr="002E5284">
        <w:rPr>
          <w:noProof/>
        </w:rPr>
        <w:t xml:space="preserve">Ota E, Hori H, Mori R et al (2015) Antenatal dietary education and supplementation to increase energy and protein intake. </w:t>
      </w:r>
      <w:r w:rsidRPr="002E5284">
        <w:rPr>
          <w:i/>
          <w:noProof/>
        </w:rPr>
        <w:t>Cochrane Database Syst Rev</w:t>
      </w:r>
      <w:r w:rsidRPr="002E5284">
        <w:rPr>
          <w:noProof/>
        </w:rPr>
        <w:t>(6): CD000032.</w:t>
      </w:r>
    </w:p>
    <w:p w14:paraId="04215917" w14:textId="77777777" w:rsidR="00B90025" w:rsidRPr="002E5284" w:rsidRDefault="00B90025" w:rsidP="00B90025">
      <w:pPr>
        <w:pStyle w:val="Excluded"/>
        <w:rPr>
          <w:noProof/>
        </w:rPr>
      </w:pPr>
      <w:r w:rsidRPr="002E5284">
        <w:rPr>
          <w:noProof/>
        </w:rPr>
        <w:t xml:space="preserve">Taylor RM, Fealy SM, Bisquera A et al (2017) Effects of nutritional interventions during pregnancy on infant and child cognitive outcomes: a systematic review and meta-analysis. </w:t>
      </w:r>
      <w:r w:rsidRPr="002E5284">
        <w:rPr>
          <w:i/>
          <w:noProof/>
        </w:rPr>
        <w:t>Nutrients</w:t>
      </w:r>
      <w:r w:rsidRPr="002E5284">
        <w:rPr>
          <w:noProof/>
        </w:rPr>
        <w:t xml:space="preserve"> 9(11).</w:t>
      </w:r>
    </w:p>
    <w:p w14:paraId="0E637118" w14:textId="77777777" w:rsidR="00B90025" w:rsidRDefault="00B90025" w:rsidP="00B90025">
      <w:pPr>
        <w:pStyle w:val="Heading4"/>
      </w:pPr>
      <w:r>
        <w:t>Wrong comparator</w:t>
      </w:r>
    </w:p>
    <w:p w14:paraId="17F65FDE" w14:textId="77777777" w:rsidR="00B90025" w:rsidRPr="002E5284" w:rsidRDefault="00B90025" w:rsidP="00B90025">
      <w:pPr>
        <w:pStyle w:val="Excluded"/>
        <w:rPr>
          <w:noProof/>
        </w:rPr>
      </w:pPr>
      <w:r w:rsidRPr="002E5284">
        <w:rPr>
          <w:noProof/>
        </w:rPr>
        <w:t xml:space="preserve">Hill B, Skouteris H, Fuller-Tyszkiewicz M et al (2016) Can a health coaching intervention delivered during pregnancy help prevent excessive gestational weight gain? </w:t>
      </w:r>
      <w:r w:rsidRPr="002E5284">
        <w:rPr>
          <w:i/>
          <w:noProof/>
        </w:rPr>
        <w:t>Journal of Behavioral Medicine</w:t>
      </w:r>
      <w:r w:rsidRPr="002E5284">
        <w:rPr>
          <w:noProof/>
        </w:rPr>
        <w:t xml:space="preserve"> 39(5): 793-803.</w:t>
      </w:r>
    </w:p>
    <w:p w14:paraId="61C87953" w14:textId="77777777" w:rsidR="00B90025" w:rsidRPr="002E5284" w:rsidRDefault="00B90025" w:rsidP="00B90025">
      <w:pPr>
        <w:pStyle w:val="Excluded"/>
        <w:rPr>
          <w:noProof/>
        </w:rPr>
      </w:pPr>
      <w:r w:rsidRPr="002E5284">
        <w:rPr>
          <w:noProof/>
        </w:rPr>
        <w:t xml:space="preserve">Kizirian NV, Kong Y, Muirhead R et al (2016) Effects of a low-glycemic index diet during pregnancy on offspring growth, body composition, and vascular health: a pilot randomized controlled trial. </w:t>
      </w:r>
      <w:r w:rsidRPr="002E5284">
        <w:rPr>
          <w:i/>
          <w:noProof/>
        </w:rPr>
        <w:t>Am J Clin Nutr</w:t>
      </w:r>
      <w:r w:rsidRPr="002E5284">
        <w:rPr>
          <w:noProof/>
        </w:rPr>
        <w:t xml:space="preserve"> 103(4): 1073-82.</w:t>
      </w:r>
    </w:p>
    <w:p w14:paraId="62E34F66" w14:textId="77777777" w:rsidR="00B90025" w:rsidRPr="002E5284" w:rsidRDefault="00B90025" w:rsidP="00B90025">
      <w:pPr>
        <w:pStyle w:val="Excluded"/>
        <w:rPr>
          <w:noProof/>
        </w:rPr>
      </w:pPr>
      <w:r w:rsidRPr="002E5284">
        <w:rPr>
          <w:noProof/>
        </w:rPr>
        <w:t xml:space="preserve">Moses RG, Casey SA, Quinn EG et al (2014) Pregnancy and Glycemic Index Outcomes study: effects of low glycemic index compared with conventional dietary advice on selected pregnancy outcomes. </w:t>
      </w:r>
      <w:r w:rsidRPr="002E5284">
        <w:rPr>
          <w:i/>
          <w:noProof/>
        </w:rPr>
        <w:t>Am J Clin Nutr</w:t>
      </w:r>
      <w:r w:rsidRPr="002E5284">
        <w:rPr>
          <w:noProof/>
        </w:rPr>
        <w:t xml:space="preserve"> 99(3): 517-23.</w:t>
      </w:r>
    </w:p>
    <w:p w14:paraId="4569EB9F" w14:textId="77777777" w:rsidR="00B90025" w:rsidRPr="002E5284" w:rsidRDefault="00B90025" w:rsidP="00B90025">
      <w:pPr>
        <w:pStyle w:val="Excluded"/>
        <w:rPr>
          <w:noProof/>
        </w:rPr>
      </w:pPr>
      <w:r w:rsidRPr="002E5284">
        <w:rPr>
          <w:noProof/>
        </w:rPr>
        <w:t xml:space="preserve">Skouteris H, McPhie S, Hill B et al (2016) Health coaching to prevent excessive gestational weight gain: A randomized-controlled trial. </w:t>
      </w:r>
      <w:r w:rsidRPr="002E5284">
        <w:rPr>
          <w:i/>
          <w:noProof/>
        </w:rPr>
        <w:t>Br J Health Psychol</w:t>
      </w:r>
      <w:r w:rsidRPr="002E5284">
        <w:rPr>
          <w:noProof/>
        </w:rPr>
        <w:t xml:space="preserve"> 21(1): 31-51.</w:t>
      </w:r>
    </w:p>
    <w:p w14:paraId="0B811E5D" w14:textId="77777777" w:rsidR="00B90025" w:rsidRDefault="00B90025" w:rsidP="00B90025">
      <w:pPr>
        <w:pStyle w:val="Heading4"/>
      </w:pPr>
      <w:r>
        <w:t>Study included in a systematic review</w:t>
      </w:r>
    </w:p>
    <w:p w14:paraId="737682F7" w14:textId="77777777" w:rsidR="00B90025" w:rsidRPr="00EB1258" w:rsidRDefault="00B90025" w:rsidP="00B90025">
      <w:pPr>
        <w:pStyle w:val="Excluded"/>
        <w:rPr>
          <w:noProof/>
        </w:rPr>
      </w:pPr>
      <w:r w:rsidRPr="00EB1258">
        <w:rPr>
          <w:noProof/>
        </w:rPr>
        <w:t xml:space="preserve">Karamanos B, Thanopoulou A, Anastasiou E et al (2013) Relation of the Mediterranean diet with the incidence of gestational diabetes. </w:t>
      </w:r>
      <w:r w:rsidRPr="00EB1258">
        <w:rPr>
          <w:i/>
          <w:noProof/>
        </w:rPr>
        <w:t>European Journal of Clinical Nutrition</w:t>
      </w:r>
      <w:r w:rsidRPr="00EB1258">
        <w:rPr>
          <w:noProof/>
        </w:rPr>
        <w:t xml:space="preserve"> 68(1): 8-13.</w:t>
      </w:r>
    </w:p>
    <w:p w14:paraId="248B2BE1" w14:textId="77777777" w:rsidR="00B90025" w:rsidRPr="00EB1258" w:rsidRDefault="00B90025" w:rsidP="00B90025">
      <w:pPr>
        <w:pStyle w:val="Excluded"/>
        <w:rPr>
          <w:noProof/>
        </w:rPr>
      </w:pPr>
      <w:r w:rsidRPr="00EB1258">
        <w:rPr>
          <w:noProof/>
        </w:rPr>
        <w:t xml:space="preserve">Markovic TP, Muirhead R, Overs S et al (2016) Randomized Controlled trial investigating the effects of a low-glycemic index diet on pregnancy outcomes in women at high risk of gestational diabetes mellitus: The GI Baby 3 Study. </w:t>
      </w:r>
      <w:r w:rsidRPr="00EB1258">
        <w:rPr>
          <w:i/>
          <w:noProof/>
        </w:rPr>
        <w:t>Diabetes Care</w:t>
      </w:r>
      <w:r w:rsidRPr="00EB1258">
        <w:rPr>
          <w:noProof/>
        </w:rPr>
        <w:t xml:space="preserve"> 39(1): 31-8.</w:t>
      </w:r>
    </w:p>
    <w:p w14:paraId="0A1F0AD1" w14:textId="77777777" w:rsidR="00B90025" w:rsidRPr="00EB1258" w:rsidRDefault="00B90025" w:rsidP="00B90025">
      <w:pPr>
        <w:pStyle w:val="Excluded"/>
        <w:rPr>
          <w:noProof/>
        </w:rPr>
      </w:pPr>
      <w:r w:rsidRPr="00EB1258">
        <w:rPr>
          <w:noProof/>
        </w:rPr>
        <w:t xml:space="preserve">Petherick ES, Tuffnell D, Wright J (2014) Experiences and outcomes of maternal Ramadan fasting during pregnancy: results from a sub-cohort of the Born in Bradford birth cohort study. </w:t>
      </w:r>
      <w:r w:rsidRPr="00EB1258">
        <w:rPr>
          <w:i/>
          <w:noProof/>
        </w:rPr>
        <w:t>BMC Pregnancy Childbirth</w:t>
      </w:r>
      <w:r w:rsidRPr="00EB1258">
        <w:rPr>
          <w:noProof/>
        </w:rPr>
        <w:t xml:space="preserve"> 14: 335.</w:t>
      </w:r>
    </w:p>
    <w:p w14:paraId="63EEB09E" w14:textId="77777777" w:rsidR="00B90025" w:rsidRPr="00EB1258" w:rsidRDefault="00B90025" w:rsidP="00B90025">
      <w:pPr>
        <w:pStyle w:val="Excluded"/>
        <w:rPr>
          <w:noProof/>
        </w:rPr>
      </w:pPr>
      <w:r w:rsidRPr="00EB1258">
        <w:rPr>
          <w:noProof/>
        </w:rPr>
        <w:t xml:space="preserve">Seckin KD, Yeral MI, Karsli MF et al (2014) Effect of maternal fasting for religious beliefs on fetal sonographic findings and neonatal outcomes. </w:t>
      </w:r>
      <w:r w:rsidRPr="00EB1258">
        <w:rPr>
          <w:i/>
          <w:noProof/>
        </w:rPr>
        <w:t>Int J Gynaecol Obstet</w:t>
      </w:r>
      <w:r w:rsidRPr="00EB1258">
        <w:rPr>
          <w:noProof/>
        </w:rPr>
        <w:t xml:space="preserve"> 126(2): 123-5.</w:t>
      </w:r>
    </w:p>
    <w:p w14:paraId="56FA7C2F" w14:textId="77777777" w:rsidR="00B90025" w:rsidRDefault="00B90025" w:rsidP="00B90025">
      <w:pPr>
        <w:pStyle w:val="Heading4"/>
      </w:pPr>
      <w:r>
        <w:t>Systematic review with all studies included in another systematic review</w:t>
      </w:r>
    </w:p>
    <w:p w14:paraId="627AE84B" w14:textId="77777777" w:rsidR="00B90025" w:rsidRPr="00EB1258" w:rsidRDefault="00B90025" w:rsidP="00B90025">
      <w:pPr>
        <w:pStyle w:val="Excluded"/>
        <w:rPr>
          <w:noProof/>
        </w:rPr>
      </w:pPr>
      <w:r w:rsidRPr="00EB1258">
        <w:rPr>
          <w:noProof/>
        </w:rPr>
        <w:t xml:space="preserve">Gresham E, Byles JE, Bisquera A et al (2014) Effects of dietary interventions on neonatal and infant outcomes: a systematic review and meta-analysis. </w:t>
      </w:r>
      <w:r w:rsidRPr="00EB1258">
        <w:rPr>
          <w:i/>
          <w:noProof/>
        </w:rPr>
        <w:t>American J Clin</w:t>
      </w:r>
      <w:r>
        <w:rPr>
          <w:i/>
          <w:noProof/>
        </w:rPr>
        <w:t xml:space="preserve"> </w:t>
      </w:r>
      <w:r w:rsidRPr="00EB1258">
        <w:rPr>
          <w:i/>
          <w:noProof/>
        </w:rPr>
        <w:t>Nutrition</w:t>
      </w:r>
      <w:r w:rsidRPr="00EB1258">
        <w:rPr>
          <w:noProof/>
        </w:rPr>
        <w:t xml:space="preserve"> 100(5): 1298-321.</w:t>
      </w:r>
    </w:p>
    <w:p w14:paraId="202E818E" w14:textId="77777777" w:rsidR="00B90025" w:rsidRDefault="00B90025" w:rsidP="00B90025">
      <w:pPr>
        <w:pStyle w:val="Heading4"/>
      </w:pPr>
      <w:r>
        <w:t>Overview of studies included individually</w:t>
      </w:r>
    </w:p>
    <w:p w14:paraId="332CE52D" w14:textId="77777777" w:rsidR="00B90025" w:rsidRPr="000464D8" w:rsidRDefault="00B90025" w:rsidP="00B90025">
      <w:pPr>
        <w:pStyle w:val="Excluded"/>
        <w:rPr>
          <w:noProof/>
        </w:rPr>
      </w:pPr>
      <w:r w:rsidRPr="000464D8">
        <w:rPr>
          <w:noProof/>
        </w:rPr>
        <w:t xml:space="preserve">Peaceman AM, Clifton RG, Phelan S et al (2018) Lifestyle interventions limit gestational weight gain in women with overweight or obesity: LIFE-Moms Prospective meta-analysis. </w:t>
      </w:r>
      <w:r w:rsidRPr="000464D8">
        <w:rPr>
          <w:i/>
          <w:noProof/>
        </w:rPr>
        <w:t>Obesity (Silver Spring)</w:t>
      </w:r>
      <w:r w:rsidRPr="000464D8">
        <w:rPr>
          <w:noProof/>
        </w:rPr>
        <w:t xml:space="preserve"> 26(9): 1396-404.</w:t>
      </w:r>
    </w:p>
    <w:p w14:paraId="5C60B8DA" w14:textId="77777777" w:rsidR="00B90025" w:rsidRDefault="00B90025" w:rsidP="00B90025">
      <w:pPr>
        <w:pStyle w:val="Heading4"/>
      </w:pPr>
      <w:r>
        <w:t>Pregnancy not reported separately</w:t>
      </w:r>
    </w:p>
    <w:p w14:paraId="05A0644E" w14:textId="77777777" w:rsidR="00B90025" w:rsidRPr="00CD5301" w:rsidRDefault="00B90025" w:rsidP="00B90025">
      <w:pPr>
        <w:pStyle w:val="Excluded"/>
        <w:rPr>
          <w:noProof/>
        </w:rPr>
      </w:pPr>
      <w:r w:rsidRPr="00CD5301">
        <w:rPr>
          <w:noProof/>
        </w:rPr>
        <w:t xml:space="preserve">Garcia-Larsen V, Ierodiakonou D, Jarrold K et al (2018) Diet during pregnancy and infancy and risk of allergic or autoimmune disease: A systematic review and meta-analysis. </w:t>
      </w:r>
      <w:r w:rsidRPr="00CD5301">
        <w:rPr>
          <w:i/>
          <w:noProof/>
        </w:rPr>
        <w:t>PLoS Med</w:t>
      </w:r>
      <w:r w:rsidRPr="00CD5301">
        <w:rPr>
          <w:noProof/>
        </w:rPr>
        <w:t xml:space="preserve"> 15(2): e1002507.</w:t>
      </w:r>
    </w:p>
    <w:p w14:paraId="7534C765" w14:textId="77777777" w:rsidR="00B90025" w:rsidRPr="00CD5301" w:rsidRDefault="00B90025" w:rsidP="00B90025">
      <w:pPr>
        <w:pStyle w:val="Excluded"/>
        <w:rPr>
          <w:noProof/>
        </w:rPr>
      </w:pPr>
      <w:r w:rsidRPr="00CD5301">
        <w:rPr>
          <w:noProof/>
        </w:rPr>
        <w:t xml:space="preserve">Netting MJ, Middleton PF, Makrides M (2014) Does maternal diet during pregnancy and lactation affect outcomes in offspring? A systematic review of food-based approaches. </w:t>
      </w:r>
      <w:r w:rsidRPr="00CD5301">
        <w:rPr>
          <w:i/>
          <w:noProof/>
        </w:rPr>
        <w:t>Nutrition</w:t>
      </w:r>
      <w:r w:rsidRPr="00CD5301">
        <w:rPr>
          <w:noProof/>
        </w:rPr>
        <w:t xml:space="preserve"> 30(11-12): 1225-41.</w:t>
      </w:r>
    </w:p>
    <w:p w14:paraId="04D25D57" w14:textId="77777777" w:rsidR="00B90025" w:rsidRDefault="00B90025" w:rsidP="00B90025">
      <w:pPr>
        <w:pStyle w:val="Heading4"/>
      </w:pPr>
      <w:r>
        <w:t>Not generalisable to the Australian context</w:t>
      </w:r>
    </w:p>
    <w:p w14:paraId="15537899" w14:textId="77777777" w:rsidR="00B90025" w:rsidRPr="00CD5301" w:rsidRDefault="00B90025" w:rsidP="00B90025">
      <w:pPr>
        <w:pStyle w:val="Excluded"/>
        <w:rPr>
          <w:noProof/>
        </w:rPr>
      </w:pPr>
      <w:r w:rsidRPr="00CD5301">
        <w:rPr>
          <w:noProof/>
        </w:rPr>
        <w:t xml:space="preserve">Mani I, Dwarkanath P, Thomas T et al (2016) Maternal fat and fatty acid intake and birth outcomes in a South Indian population. </w:t>
      </w:r>
      <w:r w:rsidRPr="00CD5301">
        <w:rPr>
          <w:i/>
          <w:noProof/>
        </w:rPr>
        <w:t>Int J Epidemiol</w:t>
      </w:r>
      <w:r w:rsidRPr="00CD5301">
        <w:rPr>
          <w:noProof/>
        </w:rPr>
        <w:t xml:space="preserve"> 45(2): 523-31.</w:t>
      </w:r>
    </w:p>
    <w:p w14:paraId="3E463C94" w14:textId="77777777" w:rsidR="00B90025" w:rsidRPr="00CD5301" w:rsidRDefault="00B90025" w:rsidP="00B90025">
      <w:pPr>
        <w:pStyle w:val="Excluded"/>
        <w:rPr>
          <w:noProof/>
        </w:rPr>
      </w:pPr>
      <w:r w:rsidRPr="00CD5301">
        <w:rPr>
          <w:noProof/>
        </w:rPr>
        <w:t xml:space="preserve">Pathirathna ML, Sekijima K, Sadakata M et al (2017) Impact of second trimester maternal dietary intake on gestational weight gain and neonatal birth weight. </w:t>
      </w:r>
      <w:r w:rsidRPr="00CD5301">
        <w:rPr>
          <w:i/>
          <w:noProof/>
        </w:rPr>
        <w:t>Nutrients</w:t>
      </w:r>
      <w:r w:rsidRPr="00CD5301">
        <w:rPr>
          <w:noProof/>
        </w:rPr>
        <w:t xml:space="preserve"> 9(6).</w:t>
      </w:r>
    </w:p>
    <w:p w14:paraId="54BE82A1" w14:textId="311E0795" w:rsidR="00D065BB" w:rsidRDefault="00D065BB" w:rsidP="003523C5">
      <w:pPr>
        <w:pStyle w:val="Heading3"/>
        <w:numPr>
          <w:ilvl w:val="0"/>
          <w:numId w:val="0"/>
        </w:numPr>
      </w:pPr>
      <w:bookmarkStart w:id="360" w:name="_Toc40956572"/>
      <w:r>
        <w:t>Supplements</w:t>
      </w:r>
      <w:r w:rsidR="00CC1D91">
        <w:t xml:space="preserve"> (q</w:t>
      </w:r>
      <w:r w:rsidR="00110F60">
        <w:t>uestion 3)</w:t>
      </w:r>
      <w:bookmarkEnd w:id="360"/>
    </w:p>
    <w:p w14:paraId="724F99F5" w14:textId="57FF5F01" w:rsidR="00647A62" w:rsidRDefault="00647A62" w:rsidP="00A912D4">
      <w:pPr>
        <w:pStyle w:val="Heading4"/>
      </w:pPr>
      <w:r>
        <w:t>Vitamin B</w:t>
      </w:r>
      <w:r w:rsidRPr="00A912D4">
        <w:rPr>
          <w:vertAlign w:val="subscript"/>
        </w:rPr>
        <w:t>9</w:t>
      </w:r>
      <w:r>
        <w:t xml:space="preserve"> (folic acid)</w:t>
      </w:r>
    </w:p>
    <w:p w14:paraId="60F86D96" w14:textId="77777777" w:rsidR="00E94EFA" w:rsidRDefault="00E94EFA" w:rsidP="00E94EFA">
      <w:pPr>
        <w:pStyle w:val="Heading5"/>
      </w:pPr>
      <w:r>
        <w:t>Wrong study design</w:t>
      </w:r>
    </w:p>
    <w:p w14:paraId="3590F3C7" w14:textId="77777777" w:rsidR="00E94EFA" w:rsidRPr="000E71EE" w:rsidRDefault="00E94EFA" w:rsidP="00E94EFA">
      <w:pPr>
        <w:pStyle w:val="Excluded"/>
        <w:rPr>
          <w:noProof/>
        </w:rPr>
      </w:pPr>
      <w:r w:rsidRPr="000E71EE">
        <w:rPr>
          <w:noProof/>
        </w:rPr>
        <w:t xml:space="preserve">Alfonso VH, Bandoli G, von Ehrenstein O et al (2018) Early folic acid supplement initiation and risk of adverse early childhood respiratory health: a population-based study. </w:t>
      </w:r>
      <w:r w:rsidRPr="000E71EE">
        <w:rPr>
          <w:i/>
          <w:noProof/>
        </w:rPr>
        <w:t>Matern Child Health J</w:t>
      </w:r>
      <w:r w:rsidRPr="000E71EE">
        <w:rPr>
          <w:noProof/>
        </w:rPr>
        <w:t xml:space="preserve"> 22(1): 111-19.</w:t>
      </w:r>
    </w:p>
    <w:p w14:paraId="14E4DC6F" w14:textId="77777777" w:rsidR="00E94EFA" w:rsidRPr="000E71EE" w:rsidRDefault="00E94EFA" w:rsidP="00E94EFA">
      <w:pPr>
        <w:pStyle w:val="Excluded"/>
        <w:rPr>
          <w:noProof/>
        </w:rPr>
      </w:pPr>
      <w:r w:rsidRPr="000E71EE">
        <w:rPr>
          <w:noProof/>
        </w:rPr>
        <w:t xml:space="preserve">Fortes C, Mastroeni S, Mannooranparampil TJ et al (2019) Pre-natal folic acid and iron supplementation and atopic dermatitis in the first 6 years of life. </w:t>
      </w:r>
      <w:r w:rsidRPr="000E71EE">
        <w:rPr>
          <w:i/>
          <w:noProof/>
        </w:rPr>
        <w:t>Arch Dermatol Res</w:t>
      </w:r>
      <w:r w:rsidRPr="000E71EE">
        <w:rPr>
          <w:noProof/>
        </w:rPr>
        <w:t xml:space="preserve"> 311(5): 361-67.</w:t>
      </w:r>
    </w:p>
    <w:p w14:paraId="2AE93836" w14:textId="77777777" w:rsidR="00E94EFA" w:rsidRPr="000E71EE" w:rsidRDefault="00E94EFA" w:rsidP="00E94EFA">
      <w:pPr>
        <w:pStyle w:val="Excluded"/>
        <w:rPr>
          <w:noProof/>
        </w:rPr>
      </w:pPr>
      <w:r w:rsidRPr="000E71EE">
        <w:rPr>
          <w:noProof/>
        </w:rPr>
        <w:t xml:space="preserve">Taylor CM, Atkinson C, Penfold C et al (2015) Folic acid in pregnancy and mortality from cancer and cardiovascular disease: further follow-up of the Aberdeen folic acid supplementation trial. </w:t>
      </w:r>
      <w:r w:rsidRPr="000E71EE">
        <w:rPr>
          <w:i/>
          <w:noProof/>
        </w:rPr>
        <w:t>J Epidemiol Community Health</w:t>
      </w:r>
      <w:r w:rsidRPr="000E71EE">
        <w:rPr>
          <w:noProof/>
        </w:rPr>
        <w:t xml:space="preserve"> 69(8): 789-94.</w:t>
      </w:r>
    </w:p>
    <w:p w14:paraId="501E37B3" w14:textId="77777777" w:rsidR="00E94EFA" w:rsidRPr="000E71EE" w:rsidRDefault="00E94EFA" w:rsidP="00E94EFA">
      <w:pPr>
        <w:pStyle w:val="Excluded"/>
        <w:rPr>
          <w:noProof/>
        </w:rPr>
      </w:pPr>
      <w:r w:rsidRPr="000E71EE">
        <w:rPr>
          <w:noProof/>
        </w:rPr>
        <w:t xml:space="preserve">Veeranki SP, Gebretsadik T, Dorris SL et al (2014) Association of folic acid supplementation during pregnancy and infant bronchiolitis. </w:t>
      </w:r>
      <w:r w:rsidRPr="000E71EE">
        <w:rPr>
          <w:i/>
          <w:noProof/>
        </w:rPr>
        <w:t>Am J Epidemiol</w:t>
      </w:r>
      <w:r w:rsidRPr="000E71EE">
        <w:rPr>
          <w:noProof/>
        </w:rPr>
        <w:t xml:space="preserve"> 179(8): 938-46.</w:t>
      </w:r>
    </w:p>
    <w:p w14:paraId="324B9DD4" w14:textId="77777777" w:rsidR="00E94EFA" w:rsidRPr="000E71EE" w:rsidRDefault="00E94EFA" w:rsidP="00E94EFA">
      <w:pPr>
        <w:pStyle w:val="Excluded"/>
        <w:rPr>
          <w:noProof/>
        </w:rPr>
      </w:pPr>
      <w:r w:rsidRPr="000E71EE">
        <w:rPr>
          <w:noProof/>
        </w:rPr>
        <w:t xml:space="preserve">Veeranki SP, Gebretsadik T, Mitchel EF et al (2015) Maternal folic acid supplementation during pregnancy and early childhood asthma. </w:t>
      </w:r>
      <w:r w:rsidRPr="000E71EE">
        <w:rPr>
          <w:i/>
          <w:noProof/>
        </w:rPr>
        <w:t>Epidemiology</w:t>
      </w:r>
      <w:r w:rsidRPr="000E71EE">
        <w:rPr>
          <w:noProof/>
        </w:rPr>
        <w:t xml:space="preserve"> 26(6): 934-41.</w:t>
      </w:r>
    </w:p>
    <w:p w14:paraId="19F292A7" w14:textId="77777777" w:rsidR="00E94EFA" w:rsidRPr="000E71EE" w:rsidRDefault="00E94EFA" w:rsidP="00E94EFA">
      <w:pPr>
        <w:pStyle w:val="Excluded"/>
        <w:rPr>
          <w:noProof/>
        </w:rPr>
      </w:pPr>
      <w:r w:rsidRPr="000E71EE">
        <w:rPr>
          <w:noProof/>
        </w:rPr>
        <w:t xml:space="preserve">Yan J, Liu Y, Cao L et al (2017) Association between duration of folic acid supplementation during pregnancy and risk of postpartum depression. </w:t>
      </w:r>
      <w:r w:rsidRPr="000E71EE">
        <w:rPr>
          <w:i/>
          <w:noProof/>
        </w:rPr>
        <w:t>Nutrients</w:t>
      </w:r>
      <w:r w:rsidRPr="000E71EE">
        <w:rPr>
          <w:noProof/>
        </w:rPr>
        <w:t xml:space="preserve"> 9(11).</w:t>
      </w:r>
    </w:p>
    <w:p w14:paraId="09F0D2D5" w14:textId="77777777" w:rsidR="00E94EFA" w:rsidRPr="000E71EE" w:rsidRDefault="00E94EFA" w:rsidP="00E94EFA">
      <w:pPr>
        <w:pStyle w:val="Excluded"/>
        <w:rPr>
          <w:noProof/>
        </w:rPr>
      </w:pPr>
      <w:r w:rsidRPr="000E71EE">
        <w:rPr>
          <w:noProof/>
        </w:rPr>
        <w:t xml:space="preserve">Yu Y, Gu G, Yang J et al (2017) Correlation between folic acid supplement in different stage of pregnancy and wheezing in infants: a case-control study. </w:t>
      </w:r>
      <w:r w:rsidRPr="000E71EE">
        <w:rPr>
          <w:i/>
          <w:noProof/>
        </w:rPr>
        <w:t>Int J Clin Exp Med</w:t>
      </w:r>
      <w:r w:rsidRPr="000E71EE">
        <w:rPr>
          <w:noProof/>
        </w:rPr>
        <w:t xml:space="preserve"> 10(9): 13950-53.</w:t>
      </w:r>
    </w:p>
    <w:p w14:paraId="76D4F7C3" w14:textId="77777777" w:rsidR="00E94EFA" w:rsidRPr="000E71EE" w:rsidRDefault="00E94EFA" w:rsidP="00E94EFA">
      <w:pPr>
        <w:pStyle w:val="Excluded"/>
        <w:rPr>
          <w:noProof/>
        </w:rPr>
      </w:pPr>
      <w:r w:rsidRPr="000E71EE">
        <w:rPr>
          <w:noProof/>
        </w:rPr>
        <w:t xml:space="preserve">Zetstra-van der Woude PA, De Walle HE, Hoek A et al (2014) Maternal high-dose folic acid during pregnancy and asthma medication in the offspring. </w:t>
      </w:r>
      <w:r w:rsidRPr="000E71EE">
        <w:rPr>
          <w:i/>
          <w:noProof/>
        </w:rPr>
        <w:t>Pharmacoepidemiol Drug Saf</w:t>
      </w:r>
      <w:r w:rsidRPr="000E71EE">
        <w:rPr>
          <w:noProof/>
        </w:rPr>
        <w:t xml:space="preserve"> 23(10): 1059-65.</w:t>
      </w:r>
    </w:p>
    <w:p w14:paraId="6331F17E" w14:textId="77777777" w:rsidR="00E94EFA" w:rsidRPr="000E71EE" w:rsidRDefault="00E94EFA" w:rsidP="00E94EFA">
      <w:pPr>
        <w:pStyle w:val="Heading5"/>
      </w:pPr>
      <w:r w:rsidRPr="000E71EE">
        <w:t>Duplicate</w:t>
      </w:r>
    </w:p>
    <w:p w14:paraId="0E0A6025" w14:textId="77777777" w:rsidR="00E94EFA" w:rsidRPr="000E71EE" w:rsidRDefault="00E94EFA" w:rsidP="00E94EFA">
      <w:pPr>
        <w:pStyle w:val="Excluded"/>
        <w:rPr>
          <w:noProof/>
        </w:rPr>
      </w:pPr>
      <w:r w:rsidRPr="000E71EE">
        <w:rPr>
          <w:noProof/>
        </w:rPr>
        <w:t xml:space="preserve">Bixenstine PJ, Cheng TL, Cheng D et al (2015) Association between preconception counseling and folic acid supplementation before pregnancy and reasons for non-use. </w:t>
      </w:r>
      <w:r w:rsidRPr="000E71EE">
        <w:rPr>
          <w:i/>
          <w:noProof/>
        </w:rPr>
        <w:t>Matern Child Health J</w:t>
      </w:r>
      <w:r w:rsidRPr="000E71EE">
        <w:rPr>
          <w:noProof/>
        </w:rPr>
        <w:t xml:space="preserve"> 19(9): 1974-84.</w:t>
      </w:r>
    </w:p>
    <w:p w14:paraId="3F171819" w14:textId="77777777" w:rsidR="00E94EFA" w:rsidRDefault="00E94EFA" w:rsidP="00E94EFA">
      <w:pPr>
        <w:pStyle w:val="Excluded"/>
        <w:rPr>
          <w:noProof/>
        </w:rPr>
      </w:pPr>
      <w:r w:rsidRPr="002E6894">
        <w:rPr>
          <w:noProof/>
        </w:rPr>
        <w:t xml:space="preserve">Hodgetts VA, Morris RK, Francis A et al. Effectiveness of folic acid supplementation in pregnancy on reducing the risk of small-for-gestational age neonates: a population study, systematic review and meta-analysis. </w:t>
      </w:r>
      <w:r w:rsidRPr="002E6894">
        <w:rPr>
          <w:i/>
          <w:noProof/>
        </w:rPr>
        <w:t>BJOG</w:t>
      </w:r>
      <w:r w:rsidRPr="002E6894">
        <w:rPr>
          <w:noProof/>
        </w:rPr>
        <w:t>. 2015; 122(4): 478-90.</w:t>
      </w:r>
    </w:p>
    <w:p w14:paraId="74045ACF" w14:textId="77777777" w:rsidR="00E94EFA" w:rsidRPr="000E71EE" w:rsidRDefault="00E94EFA" w:rsidP="00E94EFA">
      <w:pPr>
        <w:pStyle w:val="Excluded"/>
        <w:rPr>
          <w:noProof/>
        </w:rPr>
      </w:pPr>
      <w:r w:rsidRPr="000E71EE">
        <w:rPr>
          <w:noProof/>
        </w:rPr>
        <w:t xml:space="preserve">USPST (2017) Folic acid supplementation for the prevention of neural tube defects: us preventive services task force recommendation statement. </w:t>
      </w:r>
      <w:r w:rsidRPr="000E71EE">
        <w:rPr>
          <w:i/>
          <w:noProof/>
        </w:rPr>
        <w:t>JAMA</w:t>
      </w:r>
      <w:r w:rsidRPr="000E71EE">
        <w:rPr>
          <w:noProof/>
        </w:rPr>
        <w:t xml:space="preserve"> 317(2): 183-89.</w:t>
      </w:r>
    </w:p>
    <w:p w14:paraId="661CAE55" w14:textId="77777777" w:rsidR="00E94EFA" w:rsidRDefault="00E94EFA" w:rsidP="00E94EFA">
      <w:pPr>
        <w:pStyle w:val="Heading5"/>
      </w:pPr>
      <w:r>
        <w:t>Narrative review</w:t>
      </w:r>
    </w:p>
    <w:p w14:paraId="7558EBE3" w14:textId="77777777" w:rsidR="00E94EFA" w:rsidRPr="000E71EE" w:rsidRDefault="00E94EFA" w:rsidP="00E94EFA">
      <w:pPr>
        <w:pStyle w:val="Excluded"/>
        <w:rPr>
          <w:noProof/>
        </w:rPr>
      </w:pPr>
      <w:r w:rsidRPr="000E71EE">
        <w:rPr>
          <w:noProof/>
        </w:rPr>
        <w:t xml:space="preserve">Gao Y, Sheng C, Xie RH et al (2016) New perspective on impact of folic acid supplementation during pregnancy on neurodevelopment/autism in the offspring children - a systematic review. </w:t>
      </w:r>
      <w:r w:rsidRPr="000E71EE">
        <w:rPr>
          <w:i/>
          <w:noProof/>
        </w:rPr>
        <w:t>PLoS One</w:t>
      </w:r>
      <w:r w:rsidRPr="000E71EE">
        <w:rPr>
          <w:noProof/>
        </w:rPr>
        <w:t xml:space="preserve"> 11(11): e0165626.</w:t>
      </w:r>
    </w:p>
    <w:p w14:paraId="6F5E4AB7" w14:textId="77777777" w:rsidR="00E94EFA" w:rsidRPr="000E71EE" w:rsidRDefault="00E94EFA" w:rsidP="00E94EFA">
      <w:pPr>
        <w:pStyle w:val="Excluded"/>
        <w:rPr>
          <w:noProof/>
        </w:rPr>
      </w:pPr>
      <w:r w:rsidRPr="000E71EE">
        <w:rPr>
          <w:noProof/>
        </w:rPr>
        <w:t xml:space="preserve">Gomes S, Lopes C, Pinto E (2016) Folate and folic acid in the periconceptional period: recommendations from official health organizations in thirty-six countries worldwide and WHO. </w:t>
      </w:r>
      <w:r w:rsidRPr="000E71EE">
        <w:rPr>
          <w:i/>
          <w:noProof/>
        </w:rPr>
        <w:t>Public Health Nutr</w:t>
      </w:r>
      <w:r w:rsidRPr="000E71EE">
        <w:rPr>
          <w:noProof/>
        </w:rPr>
        <w:t xml:space="preserve"> 19(1): 176-89.</w:t>
      </w:r>
    </w:p>
    <w:p w14:paraId="0F653403" w14:textId="77777777" w:rsidR="00E94EFA" w:rsidRPr="000E71EE" w:rsidRDefault="00E94EFA" w:rsidP="00E94EFA">
      <w:pPr>
        <w:pStyle w:val="Excluded"/>
        <w:rPr>
          <w:noProof/>
        </w:rPr>
      </w:pPr>
      <w:r w:rsidRPr="000E71EE">
        <w:rPr>
          <w:noProof/>
        </w:rPr>
        <w:t xml:space="preserve">Murray LK, Smith MJ, Jadavji NM (2018) Maternal oversupplementation with folic acid and its impact on neurodevelopment of offspring. </w:t>
      </w:r>
      <w:r w:rsidRPr="000E71EE">
        <w:rPr>
          <w:i/>
          <w:noProof/>
        </w:rPr>
        <w:t>Nutr Rev</w:t>
      </w:r>
      <w:r w:rsidRPr="000E71EE">
        <w:rPr>
          <w:noProof/>
        </w:rPr>
        <w:t xml:space="preserve"> 76(9): 708-21.</w:t>
      </w:r>
    </w:p>
    <w:p w14:paraId="38890F5D" w14:textId="77777777" w:rsidR="00E94EFA" w:rsidRPr="000E71EE" w:rsidRDefault="00E94EFA" w:rsidP="00E94EFA">
      <w:pPr>
        <w:pStyle w:val="Excluded"/>
        <w:rPr>
          <w:noProof/>
        </w:rPr>
      </w:pPr>
      <w:r w:rsidRPr="000E71EE">
        <w:rPr>
          <w:noProof/>
        </w:rPr>
        <w:t xml:space="preserve">USPST (2017) Folic acid supplementation for the prevention of neural tube defects: us preventive services task force recommendation statement. </w:t>
      </w:r>
      <w:r w:rsidRPr="000E71EE">
        <w:rPr>
          <w:i/>
          <w:noProof/>
        </w:rPr>
        <w:t>JAMA</w:t>
      </w:r>
      <w:r w:rsidRPr="000E71EE">
        <w:rPr>
          <w:noProof/>
        </w:rPr>
        <w:t xml:space="preserve"> 317(2): 183-89.</w:t>
      </w:r>
    </w:p>
    <w:p w14:paraId="7D1F2611" w14:textId="77777777" w:rsidR="00E94EFA" w:rsidRPr="000E71EE" w:rsidRDefault="00E94EFA" w:rsidP="00E94EFA">
      <w:pPr>
        <w:pStyle w:val="Excluded"/>
        <w:rPr>
          <w:noProof/>
        </w:rPr>
      </w:pPr>
      <w:r w:rsidRPr="000E71EE">
        <w:rPr>
          <w:noProof/>
        </w:rPr>
        <w:t xml:space="preserve">van Gool JD, Hirche H, Lax H et al (2018) Folic acid and primary prevention of neural tube defects: A review. </w:t>
      </w:r>
      <w:r w:rsidRPr="000E71EE">
        <w:rPr>
          <w:i/>
          <w:noProof/>
        </w:rPr>
        <w:t>Reprod Toxicol</w:t>
      </w:r>
      <w:r w:rsidRPr="000E71EE">
        <w:rPr>
          <w:noProof/>
        </w:rPr>
        <w:t xml:space="preserve"> 80: 73-84.</w:t>
      </w:r>
    </w:p>
    <w:p w14:paraId="2F045EBA" w14:textId="77777777" w:rsidR="00E94EFA" w:rsidRPr="000E71EE" w:rsidRDefault="00E94EFA" w:rsidP="00E94EFA">
      <w:pPr>
        <w:pStyle w:val="Excluded"/>
        <w:rPr>
          <w:noProof/>
        </w:rPr>
      </w:pPr>
      <w:r w:rsidRPr="000E71EE">
        <w:rPr>
          <w:noProof/>
        </w:rPr>
        <w:t xml:space="preserve">Xie RH, Liu YJ, Retnakaran R et al (2016) Maternal folate status and obesity/insulin resistance in the offspring: a systematic review. </w:t>
      </w:r>
      <w:r w:rsidRPr="000E71EE">
        <w:rPr>
          <w:i/>
          <w:noProof/>
        </w:rPr>
        <w:t>Int J Obes (Lond)</w:t>
      </w:r>
      <w:r w:rsidRPr="000E71EE">
        <w:rPr>
          <w:noProof/>
        </w:rPr>
        <w:t xml:space="preserve"> 40(1): 1-9.</w:t>
      </w:r>
    </w:p>
    <w:p w14:paraId="55B2C57C" w14:textId="77777777" w:rsidR="00E94EFA" w:rsidRPr="000E71EE" w:rsidRDefault="00E94EFA" w:rsidP="00E94EFA">
      <w:pPr>
        <w:pStyle w:val="Heading5"/>
      </w:pPr>
      <w:r w:rsidRPr="000E71EE">
        <w:t>Wrong population</w:t>
      </w:r>
    </w:p>
    <w:p w14:paraId="464EFD90" w14:textId="77777777" w:rsidR="00E94EFA" w:rsidRPr="000E71EE" w:rsidRDefault="00E94EFA" w:rsidP="00E94EFA">
      <w:pPr>
        <w:pStyle w:val="Excluded"/>
        <w:rPr>
          <w:noProof/>
        </w:rPr>
      </w:pPr>
      <w:r w:rsidRPr="000E71EE">
        <w:rPr>
          <w:noProof/>
        </w:rPr>
        <w:t xml:space="preserve">Brown SB, Reeves KW, Bertone-Johnson ER (2014) Maternal folate exposure in pregnancy and childhood asthma and allergy: a systematic review. </w:t>
      </w:r>
      <w:r w:rsidRPr="000E71EE">
        <w:rPr>
          <w:i/>
          <w:noProof/>
        </w:rPr>
        <w:t>Nutr Rev</w:t>
      </w:r>
      <w:r w:rsidRPr="000E71EE">
        <w:rPr>
          <w:noProof/>
        </w:rPr>
        <w:t xml:space="preserve"> 72(1): 55-64.</w:t>
      </w:r>
    </w:p>
    <w:p w14:paraId="5F625D25" w14:textId="77777777" w:rsidR="00E94EFA" w:rsidRPr="000E71EE" w:rsidRDefault="00E94EFA" w:rsidP="00E94EFA">
      <w:pPr>
        <w:pStyle w:val="Excluded"/>
        <w:rPr>
          <w:noProof/>
        </w:rPr>
      </w:pPr>
      <w:r w:rsidRPr="000E71EE">
        <w:rPr>
          <w:noProof/>
        </w:rPr>
        <w:t xml:space="preserve">de Smit DJ, Weinreich SS, Cornel MC (2015) Effects of a simple educational intervention in well-baby clinics on women's knowledge about and intake of folic acid supplements in the periconceptional period: a controlled trial. </w:t>
      </w:r>
      <w:r w:rsidRPr="000E71EE">
        <w:rPr>
          <w:i/>
          <w:noProof/>
        </w:rPr>
        <w:t>Public Health Nutr</w:t>
      </w:r>
      <w:r w:rsidRPr="000E71EE">
        <w:rPr>
          <w:noProof/>
        </w:rPr>
        <w:t xml:space="preserve"> 18(6): 1119-26.</w:t>
      </w:r>
    </w:p>
    <w:p w14:paraId="5B9C3A7E" w14:textId="77777777" w:rsidR="00E94EFA" w:rsidRPr="000E71EE" w:rsidRDefault="00E94EFA" w:rsidP="00E94EFA">
      <w:pPr>
        <w:pStyle w:val="Excluded"/>
        <w:rPr>
          <w:noProof/>
        </w:rPr>
      </w:pPr>
      <w:r w:rsidRPr="000E71EE">
        <w:rPr>
          <w:noProof/>
        </w:rPr>
        <w:t xml:space="preserve">Nguyen PH, Gonzalez-Casanova I, Young MF et al (2017) Preconception micronutrient supplementation with iron and folic acid compared with folic acid alone affects linear growth and fine motor development at 2 years of age: a randomized controlled trial in vietnam. </w:t>
      </w:r>
      <w:r w:rsidRPr="000E71EE">
        <w:rPr>
          <w:i/>
          <w:noProof/>
        </w:rPr>
        <w:t>J Nutr</w:t>
      </w:r>
      <w:r w:rsidRPr="000E71EE">
        <w:rPr>
          <w:noProof/>
        </w:rPr>
        <w:t xml:space="preserve"> 147(8): 1593-601.</w:t>
      </w:r>
    </w:p>
    <w:p w14:paraId="137CDCC0" w14:textId="77777777" w:rsidR="00E94EFA" w:rsidRPr="000E71EE" w:rsidRDefault="00E94EFA" w:rsidP="00E94EFA">
      <w:pPr>
        <w:pStyle w:val="Excluded"/>
        <w:rPr>
          <w:noProof/>
        </w:rPr>
      </w:pPr>
      <w:r w:rsidRPr="000E71EE">
        <w:rPr>
          <w:noProof/>
        </w:rPr>
        <w:t xml:space="preserve">Suren P, Roth C, Bresnahan M et al (2013) Association between maternal use of folic acid supplements and risk of autism spectrum disorders in children. </w:t>
      </w:r>
      <w:r w:rsidRPr="000E71EE">
        <w:rPr>
          <w:i/>
          <w:noProof/>
        </w:rPr>
        <w:t>JAMA</w:t>
      </w:r>
      <w:r w:rsidRPr="000E71EE">
        <w:rPr>
          <w:noProof/>
        </w:rPr>
        <w:t xml:space="preserve"> 309(6): 570-7.</w:t>
      </w:r>
    </w:p>
    <w:p w14:paraId="382D7795" w14:textId="77777777" w:rsidR="00E94EFA" w:rsidRPr="000E71EE" w:rsidRDefault="00E94EFA" w:rsidP="00E94EFA">
      <w:pPr>
        <w:pStyle w:val="Excluded"/>
        <w:rPr>
          <w:noProof/>
        </w:rPr>
      </w:pPr>
      <w:r w:rsidRPr="000E71EE">
        <w:rPr>
          <w:noProof/>
        </w:rPr>
        <w:t xml:space="preserve">Toivonen KI, Lacroix E, Flynn M et al (2018) Folic acid supplementation during the preconception period: A systematic review and meta-analysis. </w:t>
      </w:r>
      <w:r w:rsidRPr="000E71EE">
        <w:rPr>
          <w:i/>
          <w:noProof/>
        </w:rPr>
        <w:t>Prev Med</w:t>
      </w:r>
      <w:r w:rsidRPr="000E71EE">
        <w:rPr>
          <w:noProof/>
        </w:rPr>
        <w:t xml:space="preserve"> 114: 1-17.</w:t>
      </w:r>
    </w:p>
    <w:p w14:paraId="4351740F" w14:textId="77777777" w:rsidR="00E94EFA" w:rsidRPr="000E71EE" w:rsidRDefault="00E94EFA" w:rsidP="00E94EFA">
      <w:pPr>
        <w:pStyle w:val="Heading5"/>
      </w:pPr>
      <w:r w:rsidRPr="000E71EE">
        <w:t>Not relevant to the Australian context</w:t>
      </w:r>
    </w:p>
    <w:p w14:paraId="26DE30A1" w14:textId="77777777" w:rsidR="00E94EFA" w:rsidRPr="000E71EE" w:rsidRDefault="00E94EFA" w:rsidP="00E94EFA">
      <w:pPr>
        <w:pStyle w:val="Excluded"/>
        <w:rPr>
          <w:noProof/>
        </w:rPr>
      </w:pPr>
      <w:r w:rsidRPr="000E71EE">
        <w:rPr>
          <w:noProof/>
        </w:rPr>
        <w:t xml:space="preserve">Cawley S, Mullaney L, McKeating A et al (2016a) Knowledge about folic acid supplementation in women presenting for antenatal care. </w:t>
      </w:r>
      <w:r w:rsidRPr="000E71EE">
        <w:rPr>
          <w:i/>
          <w:noProof/>
        </w:rPr>
        <w:t>Eur J Clin Nutr</w:t>
      </w:r>
      <w:r w:rsidRPr="000E71EE">
        <w:rPr>
          <w:noProof/>
        </w:rPr>
        <w:t xml:space="preserve"> 70(11): 1285-90.</w:t>
      </w:r>
    </w:p>
    <w:p w14:paraId="18124A5F" w14:textId="77777777" w:rsidR="00E94EFA" w:rsidRPr="000E71EE" w:rsidRDefault="00E94EFA" w:rsidP="00E94EFA">
      <w:pPr>
        <w:pStyle w:val="Heading5"/>
      </w:pPr>
      <w:r w:rsidRPr="000E71EE">
        <w:t>Systematic review with all studies included in another systematic review</w:t>
      </w:r>
    </w:p>
    <w:p w14:paraId="10BBE27A" w14:textId="77777777" w:rsidR="00E94EFA" w:rsidRPr="000E71EE" w:rsidRDefault="00E94EFA" w:rsidP="00E94EFA">
      <w:pPr>
        <w:pStyle w:val="Excluded"/>
        <w:rPr>
          <w:noProof/>
        </w:rPr>
      </w:pPr>
      <w:r w:rsidRPr="000E71EE">
        <w:rPr>
          <w:noProof/>
        </w:rPr>
        <w:t xml:space="preserve">Crider KS, Cordero AM, Qi YP et al (2013) Prenatal folic acid and risk of asthma in children: a systematic review and meta-analysis. </w:t>
      </w:r>
      <w:r w:rsidRPr="000E71EE">
        <w:rPr>
          <w:i/>
          <w:noProof/>
        </w:rPr>
        <w:t>Am J Clin Nutr</w:t>
      </w:r>
      <w:r w:rsidRPr="000E71EE">
        <w:rPr>
          <w:noProof/>
        </w:rPr>
        <w:t xml:space="preserve"> 98(5): 1272-81.</w:t>
      </w:r>
    </w:p>
    <w:p w14:paraId="12EC0C22" w14:textId="77777777" w:rsidR="00E94EFA" w:rsidRPr="000E71EE" w:rsidRDefault="00E94EFA" w:rsidP="00E94EFA">
      <w:pPr>
        <w:pStyle w:val="Heading5"/>
      </w:pPr>
      <w:r w:rsidRPr="000E71EE">
        <w:t>Observational study included in a systematic review</w:t>
      </w:r>
    </w:p>
    <w:p w14:paraId="049A3578" w14:textId="77777777" w:rsidR="00E94EFA" w:rsidRPr="000E71EE" w:rsidRDefault="00E94EFA" w:rsidP="00E94EFA">
      <w:pPr>
        <w:pStyle w:val="Excluded"/>
        <w:rPr>
          <w:noProof/>
        </w:rPr>
      </w:pPr>
      <w:r w:rsidRPr="000E71EE">
        <w:rPr>
          <w:noProof/>
        </w:rPr>
        <w:t xml:space="preserve">Czeizel AE, Vereczkey A, Szabo I (2015) Folic acid in pregnant women associated with reduced prevalence of severe congenital heart defects in their children: a national population-based case-control study. </w:t>
      </w:r>
      <w:r w:rsidRPr="000E71EE">
        <w:rPr>
          <w:i/>
          <w:noProof/>
        </w:rPr>
        <w:t>Eur J Obstet Gynecol Reprod Biol</w:t>
      </w:r>
      <w:r w:rsidRPr="000E71EE">
        <w:rPr>
          <w:noProof/>
        </w:rPr>
        <w:t xml:space="preserve"> 193: 34-9.</w:t>
      </w:r>
    </w:p>
    <w:p w14:paraId="2B01EA27" w14:textId="77777777" w:rsidR="00E94EFA" w:rsidRPr="000E71EE" w:rsidRDefault="00E94EFA" w:rsidP="00E94EFA">
      <w:pPr>
        <w:pStyle w:val="Heading5"/>
      </w:pPr>
      <w:r w:rsidRPr="000E71EE">
        <w:t>Does not answer research question</w:t>
      </w:r>
    </w:p>
    <w:p w14:paraId="4559EF69" w14:textId="77777777" w:rsidR="00D71576" w:rsidRPr="000E71EE" w:rsidRDefault="00D71576" w:rsidP="00D71576">
      <w:pPr>
        <w:pStyle w:val="Excluded"/>
        <w:rPr>
          <w:noProof/>
        </w:rPr>
      </w:pPr>
      <w:r w:rsidRPr="000E71EE">
        <w:rPr>
          <w:noProof/>
        </w:rPr>
        <w:t xml:space="preserve">Cawley S, Mullaney L, McKeating A et al (2016b) A review of European guidelines on periconceptional folic acid supplementation. </w:t>
      </w:r>
      <w:r w:rsidRPr="000E71EE">
        <w:rPr>
          <w:i/>
          <w:noProof/>
        </w:rPr>
        <w:t>Eur J Clin Nutr</w:t>
      </w:r>
      <w:r w:rsidRPr="000E71EE">
        <w:rPr>
          <w:noProof/>
        </w:rPr>
        <w:t xml:space="preserve"> 70(2): 143-54.</w:t>
      </w:r>
    </w:p>
    <w:p w14:paraId="264256A1" w14:textId="77777777" w:rsidR="00D71576" w:rsidRPr="000E71EE" w:rsidRDefault="00D71576" w:rsidP="00D71576">
      <w:pPr>
        <w:pStyle w:val="Excluded"/>
        <w:rPr>
          <w:noProof/>
        </w:rPr>
      </w:pPr>
      <w:r w:rsidRPr="000E71EE">
        <w:rPr>
          <w:noProof/>
        </w:rPr>
        <w:t xml:space="preserve">Chilukuri N, Cheng TL, Psoter KJ et al (2018) Effectiveness of a pediatric primary care intervention to increase maternal folate use: results from a cluster randomized controlled trial. </w:t>
      </w:r>
      <w:r w:rsidRPr="000E71EE">
        <w:rPr>
          <w:i/>
          <w:noProof/>
        </w:rPr>
        <w:t>J Pediatr</w:t>
      </w:r>
      <w:r w:rsidRPr="000E71EE">
        <w:rPr>
          <w:noProof/>
        </w:rPr>
        <w:t xml:space="preserve"> 192: 247-52 e1.</w:t>
      </w:r>
    </w:p>
    <w:p w14:paraId="5A021CE7" w14:textId="77777777" w:rsidR="00D71576" w:rsidRPr="000E71EE" w:rsidRDefault="00D71576" w:rsidP="00E94EFA">
      <w:pPr>
        <w:pStyle w:val="Excluded"/>
        <w:rPr>
          <w:noProof/>
        </w:rPr>
      </w:pPr>
      <w:r w:rsidRPr="000E71EE">
        <w:rPr>
          <w:noProof/>
        </w:rPr>
        <w:t xml:space="preserve">Gildestad T, Bjorge T, Vollset SE et al (2015) Folic acid supplements and risk for oral clefts in the newborn: a population-based study. </w:t>
      </w:r>
      <w:r w:rsidRPr="000E71EE">
        <w:rPr>
          <w:i/>
          <w:noProof/>
        </w:rPr>
        <w:t>Br J Nutr</w:t>
      </w:r>
      <w:r w:rsidRPr="000E71EE">
        <w:rPr>
          <w:noProof/>
        </w:rPr>
        <w:t xml:space="preserve"> 114(9): 1456-63.</w:t>
      </w:r>
    </w:p>
    <w:p w14:paraId="1E1BAF86" w14:textId="77777777" w:rsidR="00D71576" w:rsidRPr="000E71EE" w:rsidRDefault="00D71576" w:rsidP="00D71576">
      <w:pPr>
        <w:pStyle w:val="Excluded"/>
        <w:rPr>
          <w:noProof/>
        </w:rPr>
      </w:pPr>
      <w:r w:rsidRPr="000E71EE">
        <w:rPr>
          <w:noProof/>
        </w:rPr>
        <w:t xml:space="preserve">Roy A, Kocak M, Hartman TJ et al (2018) Association of prenatal folate status with early childhood wheeze and atopic dermatitis. </w:t>
      </w:r>
      <w:r w:rsidRPr="000E71EE">
        <w:rPr>
          <w:i/>
          <w:noProof/>
        </w:rPr>
        <w:t>Pediatr Allergy Immunol</w:t>
      </w:r>
      <w:r w:rsidRPr="000E71EE">
        <w:rPr>
          <w:noProof/>
        </w:rPr>
        <w:t xml:space="preserve"> 29(2): 144-50.</w:t>
      </w:r>
    </w:p>
    <w:p w14:paraId="272966D9" w14:textId="77777777" w:rsidR="00D71576" w:rsidRPr="000E71EE" w:rsidRDefault="00D71576" w:rsidP="00D71576">
      <w:pPr>
        <w:pStyle w:val="Excluded"/>
        <w:rPr>
          <w:noProof/>
        </w:rPr>
      </w:pPr>
      <w:r w:rsidRPr="000E71EE">
        <w:rPr>
          <w:noProof/>
        </w:rPr>
        <w:t xml:space="preserve">Shere M, Nguyen P, Tam C et al (2015) Pregnancy-induced changes in the long-term pharmacokinetics of 1.1 mg vs. 5 mg folic acid: a randomized clinical trial. </w:t>
      </w:r>
      <w:r w:rsidRPr="000E71EE">
        <w:rPr>
          <w:i/>
          <w:noProof/>
        </w:rPr>
        <w:t>J Clin Pharmacol</w:t>
      </w:r>
      <w:r w:rsidRPr="000E71EE">
        <w:rPr>
          <w:noProof/>
        </w:rPr>
        <w:t xml:space="preserve"> 55(2): 159-67.</w:t>
      </w:r>
    </w:p>
    <w:p w14:paraId="7A5B4B06" w14:textId="77777777" w:rsidR="00D71576" w:rsidRPr="000E71EE" w:rsidRDefault="00D71576" w:rsidP="00E94EFA">
      <w:pPr>
        <w:pStyle w:val="Excluded"/>
        <w:rPr>
          <w:noProof/>
        </w:rPr>
      </w:pPr>
      <w:r w:rsidRPr="000E71EE">
        <w:rPr>
          <w:noProof/>
        </w:rPr>
        <w:t xml:space="preserve">Yang L, Jiang L, Bi M et al (2015) High dose of maternal folic acid supplementation is associated to infant asthma. </w:t>
      </w:r>
      <w:r w:rsidRPr="000E71EE">
        <w:rPr>
          <w:i/>
          <w:noProof/>
        </w:rPr>
        <w:t>Food Chem Toxicol</w:t>
      </w:r>
      <w:r w:rsidRPr="000E71EE">
        <w:rPr>
          <w:noProof/>
        </w:rPr>
        <w:t xml:space="preserve"> 75: 88-93.</w:t>
      </w:r>
      <w:r>
        <w:rPr>
          <w:noProof/>
        </w:rPr>
        <w:t xml:space="preserve"> [Pregnancy not reported separately]</w:t>
      </w:r>
    </w:p>
    <w:p w14:paraId="1B5A2E3A" w14:textId="77777777" w:rsidR="00D71576" w:rsidRPr="000E71EE" w:rsidRDefault="00D71576" w:rsidP="00E94EFA">
      <w:pPr>
        <w:pStyle w:val="Excluded"/>
        <w:rPr>
          <w:noProof/>
        </w:rPr>
      </w:pPr>
      <w:r w:rsidRPr="000E71EE">
        <w:rPr>
          <w:noProof/>
        </w:rPr>
        <w:t xml:space="preserve">Yang X, Chen H, Du Y et al (2016) Periconceptional folic acid fortification for the risk of gestational hypertension and pre-eclampsia: a meta-analysis of prospective studies. </w:t>
      </w:r>
      <w:r w:rsidRPr="000E71EE">
        <w:rPr>
          <w:i/>
          <w:noProof/>
        </w:rPr>
        <w:t>Matern Child Nutr</w:t>
      </w:r>
      <w:r w:rsidRPr="000E71EE">
        <w:rPr>
          <w:noProof/>
        </w:rPr>
        <w:t xml:space="preserve"> 12(4): 669-79.</w:t>
      </w:r>
    </w:p>
    <w:p w14:paraId="469AFE03" w14:textId="3BBE5149" w:rsidR="00647A62" w:rsidRDefault="001A31D7" w:rsidP="00A912D4">
      <w:pPr>
        <w:pStyle w:val="Heading4"/>
        <w:rPr>
          <w:vertAlign w:val="subscript"/>
        </w:rPr>
      </w:pPr>
      <w:r>
        <w:t>Other B v</w:t>
      </w:r>
      <w:r w:rsidR="00647A62">
        <w:t>itamin</w:t>
      </w:r>
      <w:r>
        <w:t>s</w:t>
      </w:r>
    </w:p>
    <w:p w14:paraId="60BD8305" w14:textId="77777777" w:rsidR="00AF160D" w:rsidRDefault="00AF160D" w:rsidP="00A912D4">
      <w:pPr>
        <w:pStyle w:val="Heading5"/>
        <w:rPr>
          <w:noProof/>
        </w:rPr>
      </w:pPr>
      <w:r>
        <w:rPr>
          <w:noProof/>
        </w:rPr>
        <w:t>Wrong study design</w:t>
      </w:r>
    </w:p>
    <w:p w14:paraId="61583899" w14:textId="77777777" w:rsidR="00AF160D" w:rsidRPr="00B11EDF" w:rsidRDefault="00AF160D" w:rsidP="009F7B60">
      <w:pPr>
        <w:pStyle w:val="Excluded"/>
        <w:rPr>
          <w:noProof/>
        </w:rPr>
      </w:pPr>
      <w:r w:rsidRPr="00B11EDF">
        <w:rPr>
          <w:noProof/>
        </w:rPr>
        <w:t xml:space="preserve">Falsaperla R, Saporito MAN, Di Stefano V et al (2017) Pyridoxine supplementation during pregnancy, lactation and the first months of life: A review of the literature. </w:t>
      </w:r>
      <w:r w:rsidRPr="00B11EDF">
        <w:rPr>
          <w:i/>
          <w:noProof/>
        </w:rPr>
        <w:t>Curr Pediatr Res</w:t>
      </w:r>
      <w:r w:rsidRPr="00B11EDF">
        <w:rPr>
          <w:noProof/>
        </w:rPr>
        <w:t xml:space="preserve"> 21(4): 613-19.</w:t>
      </w:r>
    </w:p>
    <w:p w14:paraId="29E04987" w14:textId="77777777" w:rsidR="009F7B60" w:rsidRPr="00577DD2" w:rsidRDefault="009F7B60" w:rsidP="009F7B60">
      <w:pPr>
        <w:pStyle w:val="Excluded"/>
        <w:rPr>
          <w:noProof/>
        </w:rPr>
      </w:pPr>
      <w:r w:rsidRPr="00577DD2">
        <w:rPr>
          <w:noProof/>
        </w:rPr>
        <w:t xml:space="preserve">Jeruszka-Bielak M, Isman C, Schroder TH et al (2017) South Asian ethnicity is related to the highest risk of vitamin B12 deficiency in pregnant Canadian women. </w:t>
      </w:r>
      <w:r w:rsidRPr="00577DD2">
        <w:rPr>
          <w:i/>
          <w:noProof/>
        </w:rPr>
        <w:t>Nutrients</w:t>
      </w:r>
      <w:r w:rsidRPr="00577DD2">
        <w:rPr>
          <w:noProof/>
        </w:rPr>
        <w:t xml:space="preserve"> 9(4).</w:t>
      </w:r>
    </w:p>
    <w:p w14:paraId="1C718AF9" w14:textId="77777777" w:rsidR="009F7B60" w:rsidRPr="00577DD2" w:rsidRDefault="009F7B60" w:rsidP="009F7B60">
      <w:pPr>
        <w:pStyle w:val="Excluded"/>
        <w:rPr>
          <w:noProof/>
        </w:rPr>
      </w:pPr>
      <w:r w:rsidRPr="00577DD2">
        <w:rPr>
          <w:noProof/>
        </w:rPr>
        <w:t xml:space="preserve">O'Malley EG, Reynolds CME, Cawley S et al (2018) Folate and vitamin B12 levels in early pregnancy and maternal obesity. </w:t>
      </w:r>
      <w:r w:rsidRPr="00577DD2">
        <w:rPr>
          <w:i/>
          <w:noProof/>
        </w:rPr>
        <w:t>Eur J Obstet Gynecol Reprod Biol</w:t>
      </w:r>
      <w:r w:rsidRPr="00577DD2">
        <w:rPr>
          <w:noProof/>
        </w:rPr>
        <w:t xml:space="preserve"> 231: 80-84.</w:t>
      </w:r>
    </w:p>
    <w:p w14:paraId="4AED3E82" w14:textId="77777777" w:rsidR="009F7B60" w:rsidRPr="00577DD2" w:rsidRDefault="009F7B60" w:rsidP="009F7B60">
      <w:pPr>
        <w:pStyle w:val="Excluded"/>
        <w:rPr>
          <w:noProof/>
        </w:rPr>
      </w:pPr>
      <w:r w:rsidRPr="00577DD2">
        <w:rPr>
          <w:noProof/>
        </w:rPr>
        <w:t xml:space="preserve">Pawlak R, Lester SE, Babatunde T (2014) The prevalence of cobalamin deficiency among vegetarians assessed by serum vitamin B12: a review of literature. </w:t>
      </w:r>
      <w:r w:rsidRPr="00577DD2">
        <w:rPr>
          <w:i/>
          <w:noProof/>
        </w:rPr>
        <w:t>Eur J Clin Nutr</w:t>
      </w:r>
      <w:r w:rsidRPr="00577DD2">
        <w:rPr>
          <w:noProof/>
        </w:rPr>
        <w:t xml:space="preserve"> 68(5): 541-8.</w:t>
      </w:r>
    </w:p>
    <w:p w14:paraId="0A83E915" w14:textId="77777777" w:rsidR="009F7B60" w:rsidRPr="00577DD2" w:rsidRDefault="009F7B60" w:rsidP="009F7B60">
      <w:pPr>
        <w:pStyle w:val="Excluded"/>
        <w:rPr>
          <w:noProof/>
        </w:rPr>
      </w:pPr>
      <w:r w:rsidRPr="00577DD2">
        <w:rPr>
          <w:noProof/>
        </w:rPr>
        <w:t xml:space="preserve">Schroder TH, Sinclair G, Mattman A et al (2017) Pregnant women of South Asian ethnicity in Canada have substantially lower vitamin B12 status compared with pregnant women of European ethnicity. </w:t>
      </w:r>
      <w:r w:rsidRPr="00577DD2">
        <w:rPr>
          <w:i/>
          <w:noProof/>
        </w:rPr>
        <w:t>Br J Nutr</w:t>
      </w:r>
      <w:r w:rsidRPr="00577DD2">
        <w:rPr>
          <w:noProof/>
        </w:rPr>
        <w:t xml:space="preserve"> 118(6): 454-62.</w:t>
      </w:r>
    </w:p>
    <w:p w14:paraId="019174AB" w14:textId="77777777" w:rsidR="009F7B60" w:rsidRPr="00577DD2" w:rsidRDefault="009F7B60" w:rsidP="009F7B60">
      <w:pPr>
        <w:pStyle w:val="Excluded"/>
        <w:rPr>
          <w:noProof/>
        </w:rPr>
      </w:pPr>
      <w:r w:rsidRPr="00577DD2">
        <w:rPr>
          <w:noProof/>
        </w:rPr>
        <w:t xml:space="preserve">Sukumar N, Venkataraman H, Wilson S et al (2016) Vitamin B12 Status among pregnant women in the UK and Its association with obesity and gestational diabetes. </w:t>
      </w:r>
      <w:r w:rsidRPr="00577DD2">
        <w:rPr>
          <w:i/>
          <w:noProof/>
        </w:rPr>
        <w:t>Nutrients</w:t>
      </w:r>
      <w:r w:rsidRPr="00577DD2">
        <w:rPr>
          <w:noProof/>
        </w:rPr>
        <w:t xml:space="preserve"> 8(12).</w:t>
      </w:r>
    </w:p>
    <w:p w14:paraId="1E7EA131" w14:textId="77777777" w:rsidR="00AF160D" w:rsidRDefault="00AF160D" w:rsidP="00A912D4">
      <w:pPr>
        <w:pStyle w:val="Heading5"/>
        <w:rPr>
          <w:noProof/>
        </w:rPr>
      </w:pPr>
      <w:r>
        <w:rPr>
          <w:noProof/>
        </w:rPr>
        <w:t>Does not answer research question</w:t>
      </w:r>
    </w:p>
    <w:p w14:paraId="7AFAA45F" w14:textId="77777777" w:rsidR="00AF160D" w:rsidRPr="00B11EDF" w:rsidRDefault="00AF160D" w:rsidP="00A912D4">
      <w:pPr>
        <w:pStyle w:val="Excluded"/>
        <w:rPr>
          <w:noProof/>
        </w:rPr>
      </w:pPr>
      <w:r w:rsidRPr="00B11EDF">
        <w:rPr>
          <w:noProof/>
        </w:rPr>
        <w:t xml:space="preserve">Devi S, Mukhopadhyay A, Dwarkanath P et al (2017) Combined vitamin B-12 and balanced protein-energy supplementation affect homocysteine remethylation in the methionine cycle in pregnant south indian women of low vitamin B-12 status. </w:t>
      </w:r>
      <w:r w:rsidRPr="00B11EDF">
        <w:rPr>
          <w:i/>
          <w:noProof/>
        </w:rPr>
        <w:t>J Nutrit</w:t>
      </w:r>
      <w:r w:rsidRPr="00B11EDF">
        <w:rPr>
          <w:noProof/>
        </w:rPr>
        <w:t xml:space="preserve"> 147(6): 1094-103.</w:t>
      </w:r>
    </w:p>
    <w:p w14:paraId="7C80CCF7" w14:textId="77777777" w:rsidR="00AF160D" w:rsidRPr="00B11EDF" w:rsidRDefault="00AF160D" w:rsidP="00A912D4">
      <w:pPr>
        <w:pStyle w:val="Excluded"/>
        <w:rPr>
          <w:noProof/>
        </w:rPr>
      </w:pPr>
      <w:r w:rsidRPr="00B11EDF">
        <w:rPr>
          <w:noProof/>
        </w:rPr>
        <w:t xml:space="preserve">Raghavan R, Riley AW, Volk H et al (2018) Maternal multivitamin intake, plasma folate and vitamin B12 levels and autism spectrum disorder risk in offspring. </w:t>
      </w:r>
      <w:r w:rsidRPr="00B11EDF">
        <w:rPr>
          <w:i/>
          <w:noProof/>
        </w:rPr>
        <w:t>Paediatr Perinat Epidemiol</w:t>
      </w:r>
      <w:r w:rsidRPr="00B11EDF">
        <w:rPr>
          <w:noProof/>
        </w:rPr>
        <w:t xml:space="preserve"> 32(1): 100-11.</w:t>
      </w:r>
    </w:p>
    <w:p w14:paraId="744414B1" w14:textId="77777777" w:rsidR="00AF160D" w:rsidRPr="00B11EDF" w:rsidRDefault="00AF160D" w:rsidP="00A912D4">
      <w:pPr>
        <w:pStyle w:val="Excluded"/>
        <w:rPr>
          <w:noProof/>
        </w:rPr>
      </w:pPr>
      <w:r w:rsidRPr="00B11EDF">
        <w:rPr>
          <w:noProof/>
        </w:rPr>
        <w:t xml:space="preserve">Whitfield KC, Karakochuk CD, Kroeun H et al (2016) Perinatal consumption of thiamine-fortified fish sauce in rural cambodia: a randomized clinical trial. </w:t>
      </w:r>
      <w:r w:rsidRPr="00B11EDF">
        <w:rPr>
          <w:i/>
          <w:noProof/>
        </w:rPr>
        <w:t>JAMA Pediatr</w:t>
      </w:r>
      <w:r w:rsidRPr="00B11EDF">
        <w:rPr>
          <w:noProof/>
        </w:rPr>
        <w:t xml:space="preserve"> 170(10): e162065.</w:t>
      </w:r>
    </w:p>
    <w:p w14:paraId="430F9208" w14:textId="6ADB47D0" w:rsidR="00647A62" w:rsidRDefault="00647A62" w:rsidP="00A912D4">
      <w:pPr>
        <w:pStyle w:val="Heading4"/>
      </w:pPr>
      <w:r>
        <w:t>Vitamin C</w:t>
      </w:r>
    </w:p>
    <w:p w14:paraId="0387C781" w14:textId="77777777" w:rsidR="006B5CD6" w:rsidRDefault="006B5CD6" w:rsidP="006B5CD6">
      <w:pPr>
        <w:pStyle w:val="Heading5"/>
        <w:rPr>
          <w:noProof/>
        </w:rPr>
      </w:pPr>
      <w:r>
        <w:rPr>
          <w:noProof/>
        </w:rPr>
        <w:t>Wrong population</w:t>
      </w:r>
    </w:p>
    <w:p w14:paraId="0AFD4FAC" w14:textId="5ADAD406" w:rsidR="006B5CD6" w:rsidRPr="00B00D43" w:rsidRDefault="006B5CD6" w:rsidP="006B5CD6">
      <w:pPr>
        <w:pStyle w:val="Excluded"/>
        <w:rPr>
          <w:noProof/>
        </w:rPr>
      </w:pPr>
      <w:r w:rsidRPr="00B00D43">
        <w:rPr>
          <w:noProof/>
        </w:rPr>
        <w:t xml:space="preserve">Azami M, Azadi T, Farhang S et al (2017) The effects of multi mineral-vitamin D and vitamins (C+E) supplementation in the prevention of preeclampsia: An RCT. </w:t>
      </w:r>
      <w:r w:rsidRPr="00B00D43">
        <w:rPr>
          <w:i/>
          <w:noProof/>
        </w:rPr>
        <w:t>Int J Reprod Biomed (Yazd)</w:t>
      </w:r>
      <w:r w:rsidRPr="00B00D43">
        <w:rPr>
          <w:noProof/>
        </w:rPr>
        <w:t xml:space="preserve"> 15(5): 273-78.</w:t>
      </w:r>
      <w:r w:rsidR="000013DB">
        <w:rPr>
          <w:noProof/>
        </w:rPr>
        <w:t xml:space="preserve"> [High-risk pregnancies]</w:t>
      </w:r>
    </w:p>
    <w:p w14:paraId="32E6289E" w14:textId="77777777" w:rsidR="006B5CD6" w:rsidRPr="00B00D43" w:rsidRDefault="006B5CD6" w:rsidP="006B5CD6">
      <w:pPr>
        <w:pStyle w:val="Excluded"/>
        <w:rPr>
          <w:noProof/>
        </w:rPr>
      </w:pPr>
      <w:r w:rsidRPr="00B00D43">
        <w:rPr>
          <w:noProof/>
        </w:rPr>
        <w:t xml:space="preserve">Zhou K, West HM, Zhang J et al (2015) Interventions for leg cramps in pregnancy. </w:t>
      </w:r>
      <w:r w:rsidRPr="00B00D43">
        <w:rPr>
          <w:i/>
          <w:noProof/>
        </w:rPr>
        <w:t>Cochrane Database Syst Rev</w:t>
      </w:r>
      <w:r w:rsidRPr="00B00D43">
        <w:rPr>
          <w:noProof/>
        </w:rPr>
        <w:t>(8): CD010655.</w:t>
      </w:r>
    </w:p>
    <w:p w14:paraId="42B0F28A" w14:textId="77777777" w:rsidR="006B5CD6" w:rsidRPr="00B00D43" w:rsidRDefault="006B5CD6" w:rsidP="006B5CD6">
      <w:pPr>
        <w:pStyle w:val="Excluded"/>
        <w:rPr>
          <w:noProof/>
        </w:rPr>
      </w:pPr>
      <w:r w:rsidRPr="00B00D43">
        <w:rPr>
          <w:noProof/>
        </w:rPr>
        <w:t xml:space="preserve">Yieh L, McEvoy CT, Hoffman SW et al (2018) Cost effectiveness of vitamin c supplementation for pregnant smokers to improve offspring lung function at birth and reduce childhood wheeze/asthma. </w:t>
      </w:r>
      <w:r w:rsidRPr="00B00D43">
        <w:rPr>
          <w:i/>
          <w:noProof/>
        </w:rPr>
        <w:t>J Perinatol</w:t>
      </w:r>
      <w:r w:rsidRPr="00B00D43">
        <w:rPr>
          <w:noProof/>
        </w:rPr>
        <w:t xml:space="preserve"> 38(7): 820-27.</w:t>
      </w:r>
    </w:p>
    <w:p w14:paraId="19557A5E" w14:textId="77777777" w:rsidR="006B5CD6" w:rsidRPr="00B00D43" w:rsidRDefault="006B5CD6" w:rsidP="006B5CD6">
      <w:pPr>
        <w:pStyle w:val="Heading5"/>
        <w:rPr>
          <w:noProof/>
          <w:sz w:val="24"/>
        </w:rPr>
      </w:pPr>
      <w:r>
        <w:rPr>
          <w:noProof/>
        </w:rPr>
        <w:t>Narrative review</w:t>
      </w:r>
    </w:p>
    <w:p w14:paraId="7F4420A4" w14:textId="77777777" w:rsidR="006B5CD6" w:rsidRPr="00E1616E" w:rsidRDefault="006B5CD6" w:rsidP="006B5CD6">
      <w:pPr>
        <w:pStyle w:val="Excluded"/>
        <w:rPr>
          <w:sz w:val="18"/>
        </w:rPr>
      </w:pPr>
      <w:r>
        <w:t>FIGO Working Group on Good Clinical Practice in Maternal-Fetal Medicine</w:t>
      </w:r>
      <w:r w:rsidRPr="00B00D43">
        <w:rPr>
          <w:noProof/>
        </w:rPr>
        <w:t xml:space="preserve"> (2019) Good clinical practice advice: Micronutrients in the periconceptional period and pregnancy. </w:t>
      </w:r>
      <w:r w:rsidRPr="00B00D43">
        <w:rPr>
          <w:i/>
          <w:noProof/>
        </w:rPr>
        <w:t>Int J Gynaecol Obstet</w:t>
      </w:r>
      <w:r w:rsidRPr="00B00D43">
        <w:rPr>
          <w:noProof/>
        </w:rPr>
        <w:t xml:space="preserve"> 144(3): 317-21.</w:t>
      </w:r>
    </w:p>
    <w:p w14:paraId="73A53221" w14:textId="77777777" w:rsidR="006B5CD6" w:rsidRPr="00B00D43" w:rsidRDefault="006B5CD6" w:rsidP="006B5CD6">
      <w:pPr>
        <w:pStyle w:val="Excluded"/>
        <w:rPr>
          <w:noProof/>
        </w:rPr>
      </w:pPr>
      <w:r w:rsidRPr="00B00D43">
        <w:rPr>
          <w:noProof/>
        </w:rPr>
        <w:t xml:space="preserve">Grzeskowiak L (2018) Vitamin and mineral supplementation during pregnancy: Is more necessarily better? </w:t>
      </w:r>
      <w:r w:rsidRPr="00B00D43">
        <w:rPr>
          <w:i/>
          <w:noProof/>
        </w:rPr>
        <w:t>J Pharm Prac Res</w:t>
      </w:r>
      <w:r w:rsidRPr="00B00D43">
        <w:rPr>
          <w:noProof/>
        </w:rPr>
        <w:t xml:space="preserve"> 48: 106-07.</w:t>
      </w:r>
      <w:r>
        <w:rPr>
          <w:noProof/>
        </w:rPr>
        <w:t xml:space="preserve"> [Editorial]</w:t>
      </w:r>
    </w:p>
    <w:p w14:paraId="23811440" w14:textId="77777777" w:rsidR="006B5CD6" w:rsidRPr="00E1616E" w:rsidRDefault="006B5CD6" w:rsidP="006B5CD6">
      <w:pPr>
        <w:pStyle w:val="Heading5"/>
        <w:rPr>
          <w:noProof/>
        </w:rPr>
      </w:pPr>
      <w:r w:rsidRPr="00E1616E">
        <w:rPr>
          <w:noProof/>
        </w:rPr>
        <w:t>RCT included in another systematic review</w:t>
      </w:r>
    </w:p>
    <w:p w14:paraId="29F2A342" w14:textId="77777777" w:rsidR="006B5CD6" w:rsidRPr="00B00D43" w:rsidRDefault="006B5CD6" w:rsidP="006B5CD6">
      <w:pPr>
        <w:pStyle w:val="Excluded"/>
        <w:rPr>
          <w:noProof/>
        </w:rPr>
      </w:pPr>
      <w:r w:rsidRPr="00B00D43">
        <w:rPr>
          <w:noProof/>
        </w:rPr>
        <w:t xml:space="preserve">Casanueva E, Ripoll C, Tolentino M et al (2005) Vitamin C supplementation to prevent premature rupture of the chorioamniotic membranes: a randomized trial. </w:t>
      </w:r>
      <w:r w:rsidRPr="00B00D43">
        <w:rPr>
          <w:i/>
          <w:noProof/>
        </w:rPr>
        <w:t>Am J Clin Nutr</w:t>
      </w:r>
      <w:r w:rsidRPr="00B00D43">
        <w:rPr>
          <w:noProof/>
        </w:rPr>
        <w:t xml:space="preserve"> 81(4): 859-63.</w:t>
      </w:r>
    </w:p>
    <w:p w14:paraId="5C6DE3CE" w14:textId="77777777" w:rsidR="006B5CD6" w:rsidRDefault="006B5CD6" w:rsidP="006B5CD6">
      <w:pPr>
        <w:pStyle w:val="Heading5"/>
        <w:rPr>
          <w:noProof/>
        </w:rPr>
      </w:pPr>
      <w:r>
        <w:rPr>
          <w:noProof/>
        </w:rPr>
        <w:t>Wrong intervention</w:t>
      </w:r>
    </w:p>
    <w:p w14:paraId="7EC944F3" w14:textId="77777777" w:rsidR="006B5CD6" w:rsidRPr="00B00D43" w:rsidRDefault="006B5CD6" w:rsidP="006B5CD6">
      <w:pPr>
        <w:pStyle w:val="Excluded"/>
        <w:rPr>
          <w:noProof/>
        </w:rPr>
      </w:pPr>
      <w:r w:rsidRPr="00B00D43">
        <w:rPr>
          <w:noProof/>
        </w:rPr>
        <w:t xml:space="preserve">Chavatte-Palmer P, Cohen JM, Beddaoui M et al (2015) Maternal antioxidant levels in pregnancy and risk of preeclampsia and small for gestational age birth: A systematic review and meta-analysis. </w:t>
      </w:r>
      <w:r w:rsidRPr="00B00D43">
        <w:rPr>
          <w:i/>
          <w:noProof/>
        </w:rPr>
        <w:t>Plos One</w:t>
      </w:r>
      <w:r w:rsidRPr="00B00D43">
        <w:rPr>
          <w:noProof/>
        </w:rPr>
        <w:t xml:space="preserve"> 10(8).</w:t>
      </w:r>
    </w:p>
    <w:p w14:paraId="0A672CCB" w14:textId="77777777" w:rsidR="006B5CD6" w:rsidRDefault="006B5CD6" w:rsidP="00A912D4">
      <w:pPr>
        <w:pStyle w:val="Heading5"/>
        <w:rPr>
          <w:noProof/>
        </w:rPr>
      </w:pPr>
      <w:r>
        <w:rPr>
          <w:noProof/>
        </w:rPr>
        <w:t>Does not answer research question</w:t>
      </w:r>
    </w:p>
    <w:p w14:paraId="332E2DCE" w14:textId="77777777" w:rsidR="006B5CD6" w:rsidRPr="00B00D43" w:rsidRDefault="006B5CD6" w:rsidP="006B5CD6">
      <w:pPr>
        <w:pStyle w:val="Excluded"/>
        <w:rPr>
          <w:noProof/>
        </w:rPr>
      </w:pPr>
      <w:r w:rsidRPr="00B00D43">
        <w:rPr>
          <w:noProof/>
        </w:rPr>
        <w:t xml:space="preserve">Tita AT, Doherty L, Roberts JM et al (2018) Adverse maternal and neonatal outcomes in indicated compared with spontaneous preterm birth in healthy nulliparas: A secondary analysis of a randomized trial. </w:t>
      </w:r>
      <w:r w:rsidRPr="00B00D43">
        <w:rPr>
          <w:i/>
          <w:noProof/>
        </w:rPr>
        <w:t>Am J Perinatol</w:t>
      </w:r>
      <w:r w:rsidRPr="00B00D43">
        <w:rPr>
          <w:noProof/>
        </w:rPr>
        <w:t xml:space="preserve"> 35(7): 624-31.</w:t>
      </w:r>
    </w:p>
    <w:p w14:paraId="16CDA90E" w14:textId="49A6A08A" w:rsidR="00647A62" w:rsidRDefault="00647A62" w:rsidP="00A912D4">
      <w:pPr>
        <w:pStyle w:val="Heading4"/>
      </w:pPr>
      <w:r>
        <w:t>Vitamin E</w:t>
      </w:r>
    </w:p>
    <w:p w14:paraId="5EDE902F" w14:textId="78E23606" w:rsidR="001521D0" w:rsidRDefault="000013DB" w:rsidP="00A912D4">
      <w:pPr>
        <w:pStyle w:val="Heading5"/>
      </w:pPr>
      <w:r>
        <w:t>Duplicate</w:t>
      </w:r>
    </w:p>
    <w:p w14:paraId="6F9B3B9C" w14:textId="77777777" w:rsidR="000013DB" w:rsidRPr="00B00D43" w:rsidRDefault="000013DB" w:rsidP="000013DB">
      <w:pPr>
        <w:pStyle w:val="Excluded"/>
        <w:rPr>
          <w:noProof/>
        </w:rPr>
      </w:pPr>
      <w:r w:rsidRPr="00B00D43">
        <w:rPr>
          <w:noProof/>
        </w:rPr>
        <w:t xml:space="preserve">Azami M, Azadi T, Farhang S et al (2017) The effects of multi mineral-vitamin D and vitamins (C+E) supplementation in the prevention of preeclampsia: An RCT. </w:t>
      </w:r>
      <w:r w:rsidRPr="00B00D43">
        <w:rPr>
          <w:i/>
          <w:noProof/>
        </w:rPr>
        <w:t>Int J Reprod Biomed (Yazd)</w:t>
      </w:r>
      <w:r w:rsidRPr="00B00D43">
        <w:rPr>
          <w:noProof/>
        </w:rPr>
        <w:t xml:space="preserve"> 15(5): 273-78.</w:t>
      </w:r>
      <w:r>
        <w:rPr>
          <w:noProof/>
        </w:rPr>
        <w:t xml:space="preserve"> [High-risk pregnancies]</w:t>
      </w:r>
    </w:p>
    <w:p w14:paraId="7013F8A2" w14:textId="77777777" w:rsidR="000013DB" w:rsidRDefault="000013DB" w:rsidP="000013DB">
      <w:pPr>
        <w:pStyle w:val="Heading5"/>
        <w:rPr>
          <w:noProof/>
        </w:rPr>
      </w:pPr>
      <w:r>
        <w:rPr>
          <w:noProof/>
        </w:rPr>
        <w:t>RCT included in systematic review</w:t>
      </w:r>
    </w:p>
    <w:p w14:paraId="49365E3B" w14:textId="77777777" w:rsidR="000013DB" w:rsidRPr="009B5CF3" w:rsidRDefault="000013DB" w:rsidP="000013DB">
      <w:pPr>
        <w:pStyle w:val="Excluded"/>
        <w:rPr>
          <w:noProof/>
        </w:rPr>
      </w:pPr>
      <w:r w:rsidRPr="009B5CF3">
        <w:rPr>
          <w:noProof/>
        </w:rPr>
        <w:t xml:space="preserve">Abramovici A, Gandley RE, Clifton RG et al (2015) Prenatal vitamin C and E supplementation in smokers is associated with reduced placental abruption and preterm birth: a secondary analysis. </w:t>
      </w:r>
      <w:r w:rsidRPr="009B5CF3">
        <w:rPr>
          <w:i/>
          <w:noProof/>
        </w:rPr>
        <w:t>BJOG</w:t>
      </w:r>
      <w:r w:rsidRPr="009B5CF3">
        <w:rPr>
          <w:noProof/>
        </w:rPr>
        <w:t xml:space="preserve"> 122(13): 1740-7.</w:t>
      </w:r>
    </w:p>
    <w:p w14:paraId="795EEC92" w14:textId="271BDB9D" w:rsidR="00647A62" w:rsidRDefault="00647A62" w:rsidP="00A912D4">
      <w:pPr>
        <w:pStyle w:val="Heading4"/>
      </w:pPr>
      <w:r>
        <w:t>Vitamin A</w:t>
      </w:r>
    </w:p>
    <w:p w14:paraId="7FDF0B7E" w14:textId="77777777" w:rsidR="000013DB" w:rsidRDefault="000013DB" w:rsidP="000013DB">
      <w:pPr>
        <w:pStyle w:val="Heading5"/>
        <w:rPr>
          <w:noProof/>
        </w:rPr>
      </w:pPr>
      <w:r>
        <w:rPr>
          <w:noProof/>
        </w:rPr>
        <w:t>Wrong outcomes</w:t>
      </w:r>
    </w:p>
    <w:p w14:paraId="2AC8E71F" w14:textId="145163CD" w:rsidR="000013DB" w:rsidRPr="009B5CF3" w:rsidRDefault="000013DB" w:rsidP="000013DB">
      <w:pPr>
        <w:pStyle w:val="Excluded"/>
        <w:rPr>
          <w:noProof/>
        </w:rPr>
      </w:pPr>
      <w:r w:rsidRPr="009B5CF3">
        <w:rPr>
          <w:noProof/>
        </w:rPr>
        <w:t xml:space="preserve">Ahmad SM, Alam MJ, Khanam A et al (2018) Vitamin A </w:t>
      </w:r>
      <w:r w:rsidR="00911461" w:rsidRPr="009B5CF3">
        <w:rPr>
          <w:noProof/>
        </w:rPr>
        <w:t>supplementation during pregnancy enhances pandemic</w:t>
      </w:r>
      <w:r w:rsidRPr="009B5CF3">
        <w:rPr>
          <w:noProof/>
        </w:rPr>
        <w:t xml:space="preserve"> H1N1 V</w:t>
      </w:r>
      <w:r w:rsidR="00911461" w:rsidRPr="009B5CF3">
        <w:rPr>
          <w:noProof/>
        </w:rPr>
        <w:t>accine response in mothers, but enhancement of transplacental antibody transfer may depend on when mothers are vaccinated during pregnancy</w:t>
      </w:r>
      <w:r w:rsidRPr="009B5CF3">
        <w:rPr>
          <w:noProof/>
        </w:rPr>
        <w:t xml:space="preserve">. </w:t>
      </w:r>
      <w:r w:rsidRPr="009B5CF3">
        <w:rPr>
          <w:i/>
          <w:noProof/>
        </w:rPr>
        <w:t>The Journal of Nutrition</w:t>
      </w:r>
      <w:r w:rsidRPr="009B5CF3">
        <w:rPr>
          <w:noProof/>
        </w:rPr>
        <w:t xml:space="preserve"> 148(12): 1968-75.</w:t>
      </w:r>
    </w:p>
    <w:p w14:paraId="78575DF6" w14:textId="77777777" w:rsidR="000013DB" w:rsidRDefault="000013DB" w:rsidP="000013DB">
      <w:pPr>
        <w:pStyle w:val="Heading5"/>
        <w:rPr>
          <w:noProof/>
        </w:rPr>
      </w:pPr>
      <w:r>
        <w:rPr>
          <w:noProof/>
        </w:rPr>
        <w:t>Narrative review</w:t>
      </w:r>
    </w:p>
    <w:p w14:paraId="4ABC8E11" w14:textId="1878CB67" w:rsidR="000013DB" w:rsidRDefault="000013DB" w:rsidP="000013DB">
      <w:pPr>
        <w:pStyle w:val="Excluded"/>
        <w:rPr>
          <w:noProof/>
        </w:rPr>
      </w:pPr>
      <w:r w:rsidRPr="009B5CF3">
        <w:rPr>
          <w:noProof/>
        </w:rPr>
        <w:t xml:space="preserve">Cruz S, da Cruz SP, Ramalho A (2018) Impact of Vitamin A </w:t>
      </w:r>
      <w:r w:rsidR="00911461" w:rsidRPr="009B5CF3">
        <w:rPr>
          <w:noProof/>
        </w:rPr>
        <w:t>supplementation on pregnant women and on women who have just given birth</w:t>
      </w:r>
      <w:r w:rsidRPr="009B5CF3">
        <w:rPr>
          <w:noProof/>
        </w:rPr>
        <w:t xml:space="preserve">: A </w:t>
      </w:r>
      <w:r w:rsidR="00911461" w:rsidRPr="009B5CF3">
        <w:rPr>
          <w:noProof/>
        </w:rPr>
        <w:t>systematic review</w:t>
      </w:r>
      <w:r w:rsidRPr="009B5CF3">
        <w:rPr>
          <w:noProof/>
        </w:rPr>
        <w:t xml:space="preserve">. </w:t>
      </w:r>
      <w:r w:rsidRPr="009B5CF3">
        <w:rPr>
          <w:i/>
          <w:noProof/>
        </w:rPr>
        <w:t>J Am Coll Nutr</w:t>
      </w:r>
      <w:r w:rsidRPr="009B5CF3">
        <w:rPr>
          <w:noProof/>
        </w:rPr>
        <w:t xml:space="preserve"> 37(3): 243-50.</w:t>
      </w:r>
    </w:p>
    <w:p w14:paraId="6C4E7749" w14:textId="5AD76CB8" w:rsidR="00D75C1B" w:rsidRDefault="00D75C1B" w:rsidP="00D75C1B">
      <w:pPr>
        <w:pStyle w:val="Heading5"/>
        <w:rPr>
          <w:noProof/>
        </w:rPr>
      </w:pPr>
      <w:r>
        <w:rPr>
          <w:noProof/>
        </w:rPr>
        <w:t>No intervention</w:t>
      </w:r>
    </w:p>
    <w:p w14:paraId="189DC71A" w14:textId="1387F542" w:rsidR="00D75C1B" w:rsidRPr="00726C5E" w:rsidRDefault="00D75C1B" w:rsidP="00D75C1B">
      <w:pPr>
        <w:pStyle w:val="Excluded"/>
        <w:rPr>
          <w:noProof/>
        </w:rPr>
      </w:pPr>
      <w:r w:rsidRPr="00726C5E">
        <w:rPr>
          <w:noProof/>
        </w:rPr>
        <w:t xml:space="preserve">Cohen JM, Beddaoui M, Kramer MS et al (2015) Maternal antioxidant levels in pregnancy and risk of preeclampsia and small for gestational age birth: A systematic review and meta-analysis. </w:t>
      </w:r>
      <w:r w:rsidRPr="00726C5E">
        <w:rPr>
          <w:i/>
          <w:noProof/>
        </w:rPr>
        <w:t>PLoS One</w:t>
      </w:r>
      <w:r w:rsidRPr="00726C5E">
        <w:rPr>
          <w:noProof/>
        </w:rPr>
        <w:t xml:space="preserve"> 10(8): e0135192.</w:t>
      </w:r>
    </w:p>
    <w:p w14:paraId="77EBE44B" w14:textId="77777777" w:rsidR="00D75C1B" w:rsidRPr="00726C5E" w:rsidRDefault="00D75C1B" w:rsidP="00D75C1B">
      <w:pPr>
        <w:pStyle w:val="Excluded"/>
        <w:rPr>
          <w:noProof/>
        </w:rPr>
      </w:pPr>
      <w:r w:rsidRPr="00726C5E">
        <w:rPr>
          <w:noProof/>
        </w:rPr>
        <w:t xml:space="preserve">Hanson C, Schumacher MV, Lyden E et al (2018) Fat-soluble vitamins A and E and health disparities in a cohort of pregnant women at delivery. </w:t>
      </w:r>
      <w:r w:rsidRPr="00726C5E">
        <w:rPr>
          <w:i/>
          <w:noProof/>
        </w:rPr>
        <w:t>J Nutr Sci</w:t>
      </w:r>
      <w:r w:rsidRPr="00726C5E">
        <w:rPr>
          <w:noProof/>
        </w:rPr>
        <w:t xml:space="preserve"> 7: e14.</w:t>
      </w:r>
    </w:p>
    <w:p w14:paraId="18699F95" w14:textId="46080D01" w:rsidR="00647A62" w:rsidRDefault="00647A62" w:rsidP="00A912D4">
      <w:pPr>
        <w:pStyle w:val="Heading4"/>
      </w:pPr>
      <w:r>
        <w:t>Multiple micronutrients</w:t>
      </w:r>
    </w:p>
    <w:p w14:paraId="06BC1E3D" w14:textId="77777777" w:rsidR="00860839" w:rsidRDefault="00860839" w:rsidP="00860839">
      <w:pPr>
        <w:pStyle w:val="Heading5"/>
        <w:rPr>
          <w:noProof/>
        </w:rPr>
      </w:pPr>
      <w:r>
        <w:rPr>
          <w:noProof/>
        </w:rPr>
        <w:t>Wrong population</w:t>
      </w:r>
    </w:p>
    <w:p w14:paraId="79E0B817" w14:textId="32FD45C2" w:rsidR="00860839" w:rsidRPr="00291521" w:rsidRDefault="00860839" w:rsidP="00860839">
      <w:pPr>
        <w:pStyle w:val="Excluded"/>
        <w:rPr>
          <w:noProof/>
        </w:rPr>
      </w:pPr>
      <w:r w:rsidRPr="00291521">
        <w:rPr>
          <w:noProof/>
        </w:rPr>
        <w:t xml:space="preserve">Akison LK, Kuo J, Reid N et al (2018) Effect of </w:t>
      </w:r>
      <w:r w:rsidR="004A006E" w:rsidRPr="00291521">
        <w:rPr>
          <w:noProof/>
        </w:rPr>
        <w:t>choline supplementation on neurological, cognitive, and behavioral outcomes in offspring arising from alcohol exposure during development: a quantitative systematic review of clinical and preclinical studies</w:t>
      </w:r>
      <w:r w:rsidRPr="00291521">
        <w:rPr>
          <w:noProof/>
        </w:rPr>
        <w:t xml:space="preserve">. </w:t>
      </w:r>
      <w:r w:rsidRPr="00291521">
        <w:rPr>
          <w:i/>
          <w:noProof/>
        </w:rPr>
        <w:t>Alcoholism: Clinical and Experimental Research</w:t>
      </w:r>
      <w:r w:rsidRPr="00291521">
        <w:rPr>
          <w:noProof/>
        </w:rPr>
        <w:t xml:space="preserve"> 42(9): 1591-611.</w:t>
      </w:r>
    </w:p>
    <w:p w14:paraId="3D033175" w14:textId="77777777" w:rsidR="00860839" w:rsidRPr="00291521" w:rsidRDefault="00860839" w:rsidP="00860839">
      <w:pPr>
        <w:pStyle w:val="Excluded"/>
        <w:rPr>
          <w:noProof/>
        </w:rPr>
      </w:pPr>
      <w:r w:rsidRPr="00291521">
        <w:rPr>
          <w:noProof/>
        </w:rPr>
        <w:t xml:space="preserve">Looman M, Schoenaker D, Soedamah-Muthu SS et al (2019) Pre-pregnancy dietary micronutrient adequacy is associated with lower risk of developing gestational diabetes in Australian women. </w:t>
      </w:r>
      <w:r w:rsidRPr="00291521">
        <w:rPr>
          <w:i/>
          <w:noProof/>
        </w:rPr>
        <w:t>Nutr Res</w:t>
      </w:r>
      <w:r w:rsidRPr="00291521">
        <w:rPr>
          <w:noProof/>
        </w:rPr>
        <w:t xml:space="preserve"> 62: 32-40.</w:t>
      </w:r>
    </w:p>
    <w:p w14:paraId="3E8D2CF2" w14:textId="77777777" w:rsidR="00860839" w:rsidRDefault="00860839" w:rsidP="00860839">
      <w:pPr>
        <w:pStyle w:val="Heading5"/>
        <w:rPr>
          <w:noProof/>
        </w:rPr>
      </w:pPr>
      <w:r>
        <w:rPr>
          <w:noProof/>
        </w:rPr>
        <w:t>Does not answer research question</w:t>
      </w:r>
    </w:p>
    <w:p w14:paraId="490218C7" w14:textId="046CE8F9" w:rsidR="00860839" w:rsidRPr="00291521" w:rsidRDefault="00860839" w:rsidP="00860839">
      <w:pPr>
        <w:pStyle w:val="Excluded"/>
        <w:rPr>
          <w:noProof/>
        </w:rPr>
      </w:pPr>
      <w:r w:rsidRPr="00291521">
        <w:rPr>
          <w:noProof/>
        </w:rPr>
        <w:t xml:space="preserve">Barenys M, Masjosthusmann S, Fritsche E (2017) Is </w:t>
      </w:r>
      <w:r w:rsidR="004A006E" w:rsidRPr="00291521">
        <w:rPr>
          <w:noProof/>
        </w:rPr>
        <w:t>intake of flavonoid-based food supplements during pregnancy safe for the developing child? a literature revie</w:t>
      </w:r>
      <w:r w:rsidRPr="00291521">
        <w:rPr>
          <w:noProof/>
        </w:rPr>
        <w:t xml:space="preserve">w. </w:t>
      </w:r>
      <w:r w:rsidRPr="00291521">
        <w:rPr>
          <w:i/>
          <w:noProof/>
        </w:rPr>
        <w:t>Curr Drug Targets</w:t>
      </w:r>
      <w:r w:rsidRPr="00291521">
        <w:rPr>
          <w:noProof/>
        </w:rPr>
        <w:t xml:space="preserve"> 18(2): 196-231.</w:t>
      </w:r>
    </w:p>
    <w:p w14:paraId="707D7477" w14:textId="77777777" w:rsidR="00860839" w:rsidRPr="00291521" w:rsidRDefault="00860839" w:rsidP="00860839">
      <w:pPr>
        <w:pStyle w:val="Excluded"/>
        <w:rPr>
          <w:noProof/>
        </w:rPr>
      </w:pPr>
      <w:r w:rsidRPr="00291521">
        <w:rPr>
          <w:noProof/>
        </w:rPr>
        <w:t xml:space="preserve">Caudill MA, Strupp BJ, Muscalu L et al (2018) Maternal choline supplementation during the third trimester of pregnancy improves infant information processing speed: a randomized, double-blind, controlled feeding study. </w:t>
      </w:r>
      <w:r w:rsidRPr="00291521">
        <w:rPr>
          <w:i/>
          <w:noProof/>
        </w:rPr>
        <w:t>FASEB J</w:t>
      </w:r>
      <w:r w:rsidRPr="00291521">
        <w:rPr>
          <w:noProof/>
        </w:rPr>
        <w:t xml:space="preserve"> 32(4): 2172-80.</w:t>
      </w:r>
    </w:p>
    <w:p w14:paraId="17E9E1D5" w14:textId="77777777" w:rsidR="00860839" w:rsidRPr="00291521" w:rsidRDefault="00860839" w:rsidP="00860839">
      <w:pPr>
        <w:pStyle w:val="Excluded"/>
        <w:rPr>
          <w:noProof/>
        </w:rPr>
      </w:pPr>
      <w:r w:rsidRPr="00291521">
        <w:rPr>
          <w:noProof/>
        </w:rPr>
        <w:t xml:space="preserve">Larson LM &amp; Yousafzai AK (2017) A meta-analysis of nutrition interventions on mental development of children under-two in low- and middle-income countries. </w:t>
      </w:r>
      <w:r w:rsidRPr="00291521">
        <w:rPr>
          <w:i/>
          <w:noProof/>
        </w:rPr>
        <w:t>Matern Child Nutr</w:t>
      </w:r>
      <w:r w:rsidRPr="00291521">
        <w:rPr>
          <w:noProof/>
        </w:rPr>
        <w:t xml:space="preserve"> 13(1).</w:t>
      </w:r>
    </w:p>
    <w:p w14:paraId="028971BD" w14:textId="77777777" w:rsidR="00860839" w:rsidRPr="00291521" w:rsidRDefault="00860839" w:rsidP="00860839">
      <w:pPr>
        <w:pStyle w:val="Excluded"/>
        <w:rPr>
          <w:noProof/>
        </w:rPr>
      </w:pPr>
      <w:r w:rsidRPr="00291521">
        <w:rPr>
          <w:noProof/>
        </w:rPr>
        <w:t xml:space="preserve">Leermakers ET, Moreira EM, Kiefte-de Jong JC et al (2015) Effects of choline on health across the life course: a systematic review. </w:t>
      </w:r>
      <w:r w:rsidRPr="00291521">
        <w:rPr>
          <w:i/>
          <w:noProof/>
        </w:rPr>
        <w:t>Nutr Rev</w:t>
      </w:r>
      <w:r w:rsidRPr="00291521">
        <w:rPr>
          <w:noProof/>
        </w:rPr>
        <w:t xml:space="preserve"> 73(8): 500-22.</w:t>
      </w:r>
    </w:p>
    <w:p w14:paraId="6DDD0C77" w14:textId="2CF69CB2" w:rsidR="00860839" w:rsidRPr="00291521" w:rsidRDefault="00860839" w:rsidP="00860839">
      <w:pPr>
        <w:pStyle w:val="Excluded"/>
        <w:rPr>
          <w:noProof/>
        </w:rPr>
      </w:pPr>
      <w:r w:rsidRPr="00291521">
        <w:rPr>
          <w:noProof/>
        </w:rPr>
        <w:t xml:space="preserve">Masih SP, Plumptre L, Ly A et al (2015) Pregnant Canadian </w:t>
      </w:r>
      <w:r w:rsidR="004A006E" w:rsidRPr="00291521">
        <w:rPr>
          <w:noProof/>
        </w:rPr>
        <w:t>women achieve recommended intakes of one-carbon nutrients through prenatal supplementation but the supplement composition, including choline, requires reconsi</w:t>
      </w:r>
      <w:r w:rsidRPr="00291521">
        <w:rPr>
          <w:noProof/>
        </w:rPr>
        <w:t xml:space="preserve">deration. </w:t>
      </w:r>
      <w:r w:rsidRPr="00291521">
        <w:rPr>
          <w:i/>
          <w:noProof/>
        </w:rPr>
        <w:t>J Nutr</w:t>
      </w:r>
      <w:r w:rsidRPr="00291521">
        <w:rPr>
          <w:noProof/>
        </w:rPr>
        <w:t xml:space="preserve"> 145(8): 1824-34.</w:t>
      </w:r>
    </w:p>
    <w:p w14:paraId="543422E6" w14:textId="77777777" w:rsidR="00860839" w:rsidRPr="00291521" w:rsidRDefault="00860839" w:rsidP="00860839">
      <w:pPr>
        <w:pStyle w:val="Excluded"/>
        <w:rPr>
          <w:noProof/>
        </w:rPr>
      </w:pPr>
      <w:r w:rsidRPr="00291521">
        <w:rPr>
          <w:noProof/>
        </w:rPr>
        <w:t xml:space="preserve">Wilkinson D, Shepherd E, Wallace EM (2016) Melatonin for women in pregnancy for neuroprotection of the fetus. </w:t>
      </w:r>
      <w:r w:rsidRPr="00291521">
        <w:rPr>
          <w:i/>
          <w:noProof/>
        </w:rPr>
        <w:t>Cochrane Database Syst Rev</w:t>
      </w:r>
      <w:r w:rsidRPr="00291521">
        <w:rPr>
          <w:noProof/>
        </w:rPr>
        <w:t xml:space="preserve"> 3: CD010527.</w:t>
      </w:r>
    </w:p>
    <w:p w14:paraId="6F2BB116" w14:textId="77777777" w:rsidR="00860839" w:rsidRDefault="00860839" w:rsidP="00860839">
      <w:pPr>
        <w:pStyle w:val="Heading5"/>
        <w:rPr>
          <w:noProof/>
        </w:rPr>
      </w:pPr>
      <w:r>
        <w:rPr>
          <w:noProof/>
        </w:rPr>
        <w:t>Duplicate</w:t>
      </w:r>
    </w:p>
    <w:p w14:paraId="7A358988" w14:textId="77777777" w:rsidR="00860839" w:rsidRPr="00291521" w:rsidRDefault="00860839" w:rsidP="00860839">
      <w:pPr>
        <w:pStyle w:val="Excluded"/>
        <w:rPr>
          <w:noProof/>
        </w:rPr>
      </w:pPr>
      <w:r w:rsidRPr="00291521">
        <w:rPr>
          <w:noProof/>
        </w:rPr>
        <w:t xml:space="preserve">Perkins AV &amp; Vanderlelie JJ (2016) Multiple micronutrient supplementation and birth outcomes: The potential importance of selenium. </w:t>
      </w:r>
      <w:r w:rsidRPr="00291521">
        <w:rPr>
          <w:i/>
          <w:noProof/>
        </w:rPr>
        <w:t>Placenta</w:t>
      </w:r>
      <w:r w:rsidRPr="00291521">
        <w:rPr>
          <w:noProof/>
        </w:rPr>
        <w:t xml:space="preserve"> 48 Suppl 1: S61-S65.</w:t>
      </w:r>
    </w:p>
    <w:p w14:paraId="72EA2003" w14:textId="77777777" w:rsidR="00860839" w:rsidRDefault="00860839" w:rsidP="00860839">
      <w:pPr>
        <w:pStyle w:val="Heading5"/>
        <w:rPr>
          <w:noProof/>
        </w:rPr>
      </w:pPr>
      <w:r>
        <w:rPr>
          <w:noProof/>
        </w:rPr>
        <w:t>Narrative review</w:t>
      </w:r>
    </w:p>
    <w:p w14:paraId="1ADB0BCD" w14:textId="77777777" w:rsidR="00860839" w:rsidRPr="00291521" w:rsidRDefault="00860839" w:rsidP="00860839">
      <w:pPr>
        <w:pStyle w:val="Excluded"/>
        <w:rPr>
          <w:noProof/>
        </w:rPr>
      </w:pPr>
      <w:r w:rsidRPr="00291521">
        <w:rPr>
          <w:noProof/>
        </w:rPr>
        <w:t xml:space="preserve">Biesalski HK &amp; Tinz J (2017) Multivitamin/mineral supplements: Rationale and safety - A systematic review. </w:t>
      </w:r>
      <w:r w:rsidRPr="00291521">
        <w:rPr>
          <w:i/>
          <w:noProof/>
        </w:rPr>
        <w:t>Nutrition</w:t>
      </w:r>
      <w:r w:rsidRPr="00291521">
        <w:rPr>
          <w:noProof/>
        </w:rPr>
        <w:t xml:space="preserve"> 33: 76-82.</w:t>
      </w:r>
    </w:p>
    <w:p w14:paraId="606082EC" w14:textId="77777777" w:rsidR="00860839" w:rsidRPr="00E1616E" w:rsidRDefault="00860839" w:rsidP="00860839">
      <w:pPr>
        <w:pStyle w:val="Excluded"/>
        <w:rPr>
          <w:sz w:val="18"/>
        </w:rPr>
      </w:pPr>
      <w:r>
        <w:t>FIGO Working Group on Good Clinical Practice in Maternal-Fetal Medicine</w:t>
      </w:r>
      <w:r w:rsidRPr="00B00D43">
        <w:rPr>
          <w:noProof/>
        </w:rPr>
        <w:t xml:space="preserve"> (2019) Good clinical practice advice: Micronutrients in the periconceptional period and pregnancy. </w:t>
      </w:r>
      <w:r w:rsidRPr="00B00D43">
        <w:rPr>
          <w:i/>
          <w:noProof/>
        </w:rPr>
        <w:t>Int J Gynaecol Obstet</w:t>
      </w:r>
      <w:r w:rsidRPr="00B00D43">
        <w:rPr>
          <w:noProof/>
        </w:rPr>
        <w:t xml:space="preserve"> 144(3): 317-21.</w:t>
      </w:r>
    </w:p>
    <w:p w14:paraId="718B9490" w14:textId="77777777" w:rsidR="00860839" w:rsidRPr="00291521" w:rsidRDefault="00860839" w:rsidP="00860839">
      <w:pPr>
        <w:pStyle w:val="Excluded"/>
        <w:rPr>
          <w:noProof/>
        </w:rPr>
      </w:pPr>
      <w:r w:rsidRPr="00291521">
        <w:rPr>
          <w:noProof/>
        </w:rPr>
        <w:t xml:space="preserve">Gernand AD (2019) The upper level: examining the risk of excess micronutrient intake in pregnancy from antenatal supplements. </w:t>
      </w:r>
      <w:r w:rsidRPr="00291521">
        <w:rPr>
          <w:i/>
          <w:noProof/>
        </w:rPr>
        <w:t>Ann N Y Acad Sci</w:t>
      </w:r>
      <w:r w:rsidRPr="00291521">
        <w:rPr>
          <w:noProof/>
        </w:rPr>
        <w:t xml:space="preserve"> 1444(1): 22-34.</w:t>
      </w:r>
    </w:p>
    <w:p w14:paraId="12CF49AF" w14:textId="77777777" w:rsidR="00860839" w:rsidRPr="00291521" w:rsidRDefault="00860839" w:rsidP="00860839">
      <w:pPr>
        <w:pStyle w:val="Excluded"/>
        <w:rPr>
          <w:noProof/>
        </w:rPr>
      </w:pPr>
      <w:r w:rsidRPr="00291521">
        <w:rPr>
          <w:noProof/>
        </w:rPr>
        <w:t xml:space="preserve">Parisi F, di Bartolo I, Savasi VM et al (2019) Micronutrient supplementation in pregnancy: Who, what and how much? </w:t>
      </w:r>
      <w:r w:rsidRPr="00291521">
        <w:rPr>
          <w:i/>
          <w:noProof/>
        </w:rPr>
        <w:t>Obstet Med</w:t>
      </w:r>
      <w:r w:rsidRPr="00291521">
        <w:rPr>
          <w:noProof/>
        </w:rPr>
        <w:t xml:space="preserve"> 12(1): 5-13.</w:t>
      </w:r>
    </w:p>
    <w:p w14:paraId="354A6B4F" w14:textId="77777777" w:rsidR="00860839" w:rsidRPr="00291521" w:rsidRDefault="00860839" w:rsidP="00860839">
      <w:pPr>
        <w:pStyle w:val="Excluded"/>
        <w:rPr>
          <w:noProof/>
        </w:rPr>
      </w:pPr>
      <w:r w:rsidRPr="00291521">
        <w:rPr>
          <w:noProof/>
        </w:rPr>
        <w:t xml:space="preserve">Perkins AV &amp; Vanderlelie JJ (2016) Multiple micronutrient supplementation and birth outcomes: The potential importance of selenium. </w:t>
      </w:r>
      <w:r w:rsidRPr="00291521">
        <w:rPr>
          <w:i/>
          <w:noProof/>
        </w:rPr>
        <w:t>Placenta</w:t>
      </w:r>
      <w:r w:rsidRPr="00291521">
        <w:rPr>
          <w:noProof/>
        </w:rPr>
        <w:t xml:space="preserve"> 48 Suppl 1: S61-S65.</w:t>
      </w:r>
    </w:p>
    <w:p w14:paraId="03037A0A" w14:textId="77777777" w:rsidR="00860839" w:rsidRPr="00291521" w:rsidRDefault="00860839" w:rsidP="00860839">
      <w:pPr>
        <w:pStyle w:val="Excluded"/>
        <w:rPr>
          <w:noProof/>
        </w:rPr>
      </w:pPr>
      <w:r w:rsidRPr="00291521">
        <w:rPr>
          <w:noProof/>
        </w:rPr>
        <w:t xml:space="preserve">Sparling TM, Henschke N, Nesbitt RC et al (2017) The role of diet and nutritional supplementation in perinatal depression: a systematic review. </w:t>
      </w:r>
      <w:r w:rsidRPr="00291521">
        <w:rPr>
          <w:i/>
          <w:noProof/>
        </w:rPr>
        <w:t>Matern Child Nutr</w:t>
      </w:r>
      <w:r w:rsidRPr="00291521">
        <w:rPr>
          <w:noProof/>
        </w:rPr>
        <w:t xml:space="preserve"> 13(1).</w:t>
      </w:r>
    </w:p>
    <w:p w14:paraId="376D77EC" w14:textId="77777777" w:rsidR="00860839" w:rsidRDefault="00860839" w:rsidP="00860839">
      <w:pPr>
        <w:pStyle w:val="Heading5"/>
        <w:rPr>
          <w:noProof/>
        </w:rPr>
      </w:pPr>
      <w:r>
        <w:rPr>
          <w:noProof/>
        </w:rPr>
        <w:t>Systematic review with all studies included in another systematic review</w:t>
      </w:r>
    </w:p>
    <w:p w14:paraId="7D9E6B9B" w14:textId="77777777" w:rsidR="00860839" w:rsidRPr="00291521" w:rsidRDefault="00860839" w:rsidP="00860839">
      <w:pPr>
        <w:pStyle w:val="Excluded"/>
        <w:rPr>
          <w:noProof/>
        </w:rPr>
      </w:pPr>
      <w:r w:rsidRPr="00291521">
        <w:rPr>
          <w:noProof/>
        </w:rPr>
        <w:t xml:space="preserve">Devakumar D, Fall CH, Sachdev HS et al (2016) Maternal antenatal multiple micronutrient supplementation for long-term health benefits in children: a systematic review and meta-analysis. </w:t>
      </w:r>
      <w:r w:rsidRPr="00291521">
        <w:rPr>
          <w:i/>
          <w:noProof/>
        </w:rPr>
        <w:t>BMC Med</w:t>
      </w:r>
      <w:r w:rsidRPr="00291521">
        <w:rPr>
          <w:noProof/>
        </w:rPr>
        <w:t xml:space="preserve"> 14: 90.</w:t>
      </w:r>
    </w:p>
    <w:p w14:paraId="4193061B" w14:textId="1E9EAD7F" w:rsidR="00860839" w:rsidRPr="00291521" w:rsidRDefault="00860839" w:rsidP="00860839">
      <w:pPr>
        <w:pStyle w:val="Excluded"/>
        <w:rPr>
          <w:noProof/>
        </w:rPr>
      </w:pPr>
      <w:r w:rsidRPr="00291521">
        <w:rPr>
          <w:noProof/>
        </w:rPr>
        <w:t xml:space="preserve">Taylor RM, Fealy SM, Bisquera A et al (2017) Effects of </w:t>
      </w:r>
      <w:r w:rsidR="004A006E" w:rsidRPr="00291521">
        <w:rPr>
          <w:noProof/>
        </w:rPr>
        <w:t>nutritional interventions during pregnancy on infant and child cognitive outcomes: a systematic review and meta-analy</w:t>
      </w:r>
      <w:r w:rsidRPr="00291521">
        <w:rPr>
          <w:noProof/>
        </w:rPr>
        <w:t xml:space="preserve">sis. </w:t>
      </w:r>
      <w:r w:rsidRPr="00291521">
        <w:rPr>
          <w:i/>
          <w:noProof/>
        </w:rPr>
        <w:t>Nutrients</w:t>
      </w:r>
      <w:r w:rsidRPr="00291521">
        <w:rPr>
          <w:noProof/>
        </w:rPr>
        <w:t xml:space="preserve"> 9(11).</w:t>
      </w:r>
    </w:p>
    <w:p w14:paraId="405E09C2" w14:textId="77777777" w:rsidR="00860839" w:rsidRDefault="00860839" w:rsidP="00860839">
      <w:pPr>
        <w:pStyle w:val="Heading5"/>
        <w:rPr>
          <w:noProof/>
        </w:rPr>
      </w:pPr>
      <w:r>
        <w:rPr>
          <w:noProof/>
        </w:rPr>
        <w:t>Does not report on pregnancy separately</w:t>
      </w:r>
    </w:p>
    <w:p w14:paraId="72A92A0B" w14:textId="77777777" w:rsidR="00860839" w:rsidRPr="00291521" w:rsidRDefault="00860839" w:rsidP="00860839">
      <w:pPr>
        <w:pStyle w:val="Excluded"/>
        <w:rPr>
          <w:noProof/>
        </w:rPr>
      </w:pPr>
      <w:r w:rsidRPr="00291521">
        <w:rPr>
          <w:noProof/>
        </w:rPr>
        <w:t xml:space="preserve">Garcia-Larsen V, Ierodiakonou D, Jarrold K et al (2018) Diet during pregnancy and infancy and risk of allergic or autoimmune disease: A systematic review and meta-analysis. </w:t>
      </w:r>
      <w:r w:rsidRPr="00291521">
        <w:rPr>
          <w:i/>
          <w:noProof/>
        </w:rPr>
        <w:t>PLoS Med</w:t>
      </w:r>
      <w:r w:rsidRPr="00291521">
        <w:rPr>
          <w:noProof/>
        </w:rPr>
        <w:t xml:space="preserve"> 15(2): e1002507.</w:t>
      </w:r>
    </w:p>
    <w:p w14:paraId="5EBEEEA4" w14:textId="77777777" w:rsidR="00860839" w:rsidRDefault="00860839" w:rsidP="00860839">
      <w:pPr>
        <w:pStyle w:val="Heading5"/>
        <w:rPr>
          <w:noProof/>
        </w:rPr>
      </w:pPr>
      <w:r>
        <w:rPr>
          <w:noProof/>
        </w:rPr>
        <w:t>Not relevant to the Australian contetx</w:t>
      </w:r>
    </w:p>
    <w:p w14:paraId="5DD5F327" w14:textId="630507A9" w:rsidR="00860839" w:rsidRPr="00291521" w:rsidRDefault="00860839" w:rsidP="00860839">
      <w:pPr>
        <w:pStyle w:val="Excluded"/>
        <w:rPr>
          <w:noProof/>
        </w:rPr>
      </w:pPr>
      <w:r w:rsidRPr="00291521">
        <w:rPr>
          <w:noProof/>
        </w:rPr>
        <w:t xml:space="preserve">Quinn MK, Smith ER, Williams PL et al (2020) The </w:t>
      </w:r>
      <w:r w:rsidR="004A006E" w:rsidRPr="00291521">
        <w:rPr>
          <w:noProof/>
        </w:rPr>
        <w:t>effect of maternal multiple micronutrient supplementation on female early infant mortality is fully mediated by increased gestation duration and intrauterine grow</w:t>
      </w:r>
      <w:r w:rsidRPr="00291521">
        <w:rPr>
          <w:noProof/>
        </w:rPr>
        <w:t xml:space="preserve">th. </w:t>
      </w:r>
      <w:r w:rsidRPr="00291521">
        <w:rPr>
          <w:i/>
          <w:noProof/>
        </w:rPr>
        <w:t>J Nutr</w:t>
      </w:r>
      <w:r w:rsidRPr="00291521">
        <w:rPr>
          <w:noProof/>
        </w:rPr>
        <w:t xml:space="preserve"> 150(2): 356-63.</w:t>
      </w:r>
    </w:p>
    <w:p w14:paraId="07489656" w14:textId="077BB21A" w:rsidR="00860839" w:rsidRPr="00860839" w:rsidRDefault="00860839" w:rsidP="00A912D4">
      <w:pPr>
        <w:pStyle w:val="Excluded"/>
        <w:rPr>
          <w:noProof/>
        </w:rPr>
      </w:pPr>
      <w:r w:rsidRPr="00291521">
        <w:rPr>
          <w:noProof/>
        </w:rPr>
        <w:t xml:space="preserve">Suchdev PS, Pena-Rosas JP, De-Regil LM (2015) Multiple micronutrient powders for home (point-of-use) fortification of foods in pregnant women. </w:t>
      </w:r>
      <w:r w:rsidRPr="00291521">
        <w:rPr>
          <w:i/>
          <w:noProof/>
        </w:rPr>
        <w:t>Cochrane Database Syst Rev</w:t>
      </w:r>
      <w:r w:rsidRPr="00291521">
        <w:rPr>
          <w:noProof/>
        </w:rPr>
        <w:t>(6): CD011158.</w:t>
      </w:r>
    </w:p>
    <w:p w14:paraId="72C4F09F" w14:textId="7C1AE42F" w:rsidR="00647A62" w:rsidRDefault="00647A62" w:rsidP="00A912D4">
      <w:pPr>
        <w:pStyle w:val="Heading4"/>
      </w:pPr>
      <w:r>
        <w:t>Iron</w:t>
      </w:r>
    </w:p>
    <w:p w14:paraId="34E7BA2F" w14:textId="77777777" w:rsidR="00CA5E86" w:rsidRPr="009C22F9" w:rsidRDefault="00CA5E86" w:rsidP="00A912D4">
      <w:pPr>
        <w:pStyle w:val="Heading5"/>
      </w:pPr>
      <w:r>
        <w:t>Wrong population</w:t>
      </w:r>
    </w:p>
    <w:p w14:paraId="38DE695A" w14:textId="77777777" w:rsidR="00CA5E86" w:rsidRPr="009B475D" w:rsidRDefault="00CA5E86" w:rsidP="00CA5E86">
      <w:pPr>
        <w:pStyle w:val="Excluded"/>
        <w:rPr>
          <w:noProof/>
        </w:rPr>
      </w:pPr>
      <w:r w:rsidRPr="009B475D">
        <w:rPr>
          <w:noProof/>
        </w:rPr>
        <w:t xml:space="preserve">Ali MK, Abbas AM, Abdelmagied AM et al (2017) A randomized clinical trial of the efficacy of single versus double-daily dose of oral iron for prevention of iron deficiency anemia in women with twin gestations. </w:t>
      </w:r>
      <w:r w:rsidRPr="009B475D">
        <w:rPr>
          <w:i/>
          <w:noProof/>
        </w:rPr>
        <w:t>J Matern Fetal Neonatal Med</w:t>
      </w:r>
      <w:r w:rsidRPr="009B475D">
        <w:rPr>
          <w:noProof/>
        </w:rPr>
        <w:t xml:space="preserve"> 30(23): 2884-89.</w:t>
      </w:r>
    </w:p>
    <w:p w14:paraId="477C7816" w14:textId="77777777" w:rsidR="00CA5E86" w:rsidRPr="009B475D" w:rsidRDefault="00CA5E86" w:rsidP="00CA5E86">
      <w:pPr>
        <w:pStyle w:val="Excluded"/>
        <w:rPr>
          <w:noProof/>
        </w:rPr>
      </w:pPr>
      <w:r w:rsidRPr="009B475D">
        <w:rPr>
          <w:noProof/>
        </w:rPr>
        <w:t xml:space="preserve">Angulo-Barroso RM, Li M, Santos DC et al (2016) Iron Supplementation in Pregnancy or Infancy and Motor Development: A Randomized Controlled Trial. </w:t>
      </w:r>
      <w:r w:rsidRPr="009B475D">
        <w:rPr>
          <w:i/>
          <w:noProof/>
        </w:rPr>
        <w:t>Pediatrics</w:t>
      </w:r>
      <w:r w:rsidRPr="009B475D">
        <w:rPr>
          <w:noProof/>
        </w:rPr>
        <w:t xml:space="preserve"> 137(4).</w:t>
      </w:r>
    </w:p>
    <w:p w14:paraId="0D17CE65" w14:textId="77777777" w:rsidR="00CA5E86" w:rsidRPr="009B475D" w:rsidRDefault="00CA5E86" w:rsidP="00CA5E86">
      <w:pPr>
        <w:pStyle w:val="Excluded"/>
        <w:rPr>
          <w:noProof/>
        </w:rPr>
      </w:pPr>
      <w:r w:rsidRPr="009B475D">
        <w:rPr>
          <w:noProof/>
        </w:rPr>
        <w:t xml:space="preserve">Nguyen PH, Young M, Gonzalez-Casanova I et al (2016) Impact of Preconception Micronutrient Supplementation on Anemia and Iron Status during Pregnancy and Postpartum: A Randomized Controlled Trial in Rural Vietnam. </w:t>
      </w:r>
      <w:r w:rsidRPr="009B475D">
        <w:rPr>
          <w:i/>
          <w:noProof/>
        </w:rPr>
        <w:t>PLoS One</w:t>
      </w:r>
      <w:r w:rsidRPr="009B475D">
        <w:rPr>
          <w:noProof/>
        </w:rPr>
        <w:t xml:space="preserve"> 11(12): e0167416.</w:t>
      </w:r>
    </w:p>
    <w:p w14:paraId="6555A978" w14:textId="77777777" w:rsidR="00CA5E86" w:rsidRDefault="00CA5E86" w:rsidP="00A912D4">
      <w:pPr>
        <w:pStyle w:val="Heading5"/>
        <w:rPr>
          <w:noProof/>
        </w:rPr>
      </w:pPr>
      <w:r>
        <w:rPr>
          <w:noProof/>
        </w:rPr>
        <w:t>Systematic literature review with all studies included in another systematic review</w:t>
      </w:r>
    </w:p>
    <w:p w14:paraId="225343F3" w14:textId="77777777" w:rsidR="00CA5E86" w:rsidRPr="009B475D" w:rsidRDefault="00CA5E86" w:rsidP="00CA5E86">
      <w:pPr>
        <w:pStyle w:val="Excluded"/>
        <w:rPr>
          <w:noProof/>
        </w:rPr>
      </w:pPr>
      <w:r w:rsidRPr="009B475D">
        <w:rPr>
          <w:noProof/>
        </w:rPr>
        <w:t xml:space="preserve">Cantor AG, Bougatsos C, Dana T et al (2015) Routine iron supplementation and screening for iron deficiency anemia in pregnancy: a systematic review for the U.S. Preventive Services Task Force. </w:t>
      </w:r>
      <w:r w:rsidRPr="009B475D">
        <w:rPr>
          <w:i/>
          <w:noProof/>
        </w:rPr>
        <w:t>Ann Intern Med</w:t>
      </w:r>
      <w:r w:rsidRPr="009B475D">
        <w:rPr>
          <w:noProof/>
        </w:rPr>
        <w:t xml:space="preserve"> 162(8): 566-76.</w:t>
      </w:r>
    </w:p>
    <w:p w14:paraId="6F629592" w14:textId="77777777" w:rsidR="00CA5E86" w:rsidRDefault="00CA5E86" w:rsidP="00A912D4">
      <w:pPr>
        <w:pStyle w:val="Heading5"/>
        <w:rPr>
          <w:noProof/>
        </w:rPr>
      </w:pPr>
      <w:r>
        <w:rPr>
          <w:noProof/>
        </w:rPr>
        <w:t>Narrative review</w:t>
      </w:r>
    </w:p>
    <w:p w14:paraId="3410E924" w14:textId="77777777" w:rsidR="00CA5E86" w:rsidRPr="009B475D" w:rsidRDefault="00CA5E86" w:rsidP="00CA5E86">
      <w:pPr>
        <w:pStyle w:val="Excluded"/>
        <w:rPr>
          <w:noProof/>
        </w:rPr>
      </w:pPr>
      <w:r w:rsidRPr="009B475D">
        <w:rPr>
          <w:noProof/>
        </w:rPr>
        <w:t xml:space="preserve">Iqbal S &amp; Ekmekcioglu C (2019) Maternal and neonatal outcomes related to iron supplementation or iron status: a summary of meta-analyses. </w:t>
      </w:r>
      <w:r w:rsidRPr="009B475D">
        <w:rPr>
          <w:i/>
          <w:noProof/>
        </w:rPr>
        <w:t>J Matern Fetal Neonatal Med</w:t>
      </w:r>
      <w:r w:rsidRPr="009B475D">
        <w:rPr>
          <w:noProof/>
        </w:rPr>
        <w:t xml:space="preserve"> 32(9): 1528-40.</w:t>
      </w:r>
    </w:p>
    <w:p w14:paraId="07CCE186" w14:textId="77777777" w:rsidR="00CA5E86" w:rsidRDefault="00CA5E86" w:rsidP="00A912D4">
      <w:pPr>
        <w:pStyle w:val="Heading5"/>
        <w:rPr>
          <w:noProof/>
        </w:rPr>
      </w:pPr>
      <w:r>
        <w:rPr>
          <w:noProof/>
        </w:rPr>
        <w:t>Wrong comparator</w:t>
      </w:r>
    </w:p>
    <w:p w14:paraId="59F4842E" w14:textId="77777777" w:rsidR="00CA5E86" w:rsidRPr="009B475D" w:rsidRDefault="00CA5E86" w:rsidP="00CA5E86">
      <w:pPr>
        <w:pStyle w:val="Excluded"/>
        <w:rPr>
          <w:noProof/>
        </w:rPr>
      </w:pPr>
      <w:r w:rsidRPr="009B475D">
        <w:rPr>
          <w:noProof/>
        </w:rPr>
        <w:t xml:space="preserve">Matias SL, Mridha MK, Young RT et al (2018) Daily Maternal Lipid-Based Nutrient Supplementation with 20 mg Iron, Compared with Iron and Folic Acid with 60 mg Iron, Resulted in Lower Iron Status in Late Pregnancy but Not at 6 Months Postpartum in Either the Mothers or Their Infants in Bangladesh. </w:t>
      </w:r>
      <w:r w:rsidRPr="009B475D">
        <w:rPr>
          <w:i/>
          <w:noProof/>
        </w:rPr>
        <w:t>J Nutr</w:t>
      </w:r>
      <w:r w:rsidRPr="009B475D">
        <w:rPr>
          <w:noProof/>
        </w:rPr>
        <w:t xml:space="preserve"> 148(10): 1615-24.</w:t>
      </w:r>
    </w:p>
    <w:p w14:paraId="147FC2E3" w14:textId="77777777" w:rsidR="00CA5E86" w:rsidRPr="009B475D" w:rsidRDefault="00CA5E86" w:rsidP="00CA5E86">
      <w:pPr>
        <w:pStyle w:val="Excluded"/>
        <w:rPr>
          <w:noProof/>
        </w:rPr>
      </w:pPr>
      <w:r w:rsidRPr="009B475D">
        <w:rPr>
          <w:noProof/>
        </w:rPr>
        <w:t xml:space="preserve">Serdula MK, Zhou Y, Li H et al (2019) Prenatal iron containing supplements provided to Chinese women with no or mild anemia had no effect on hemoglobin concentration in post-partum women or their infants at 6 and 12 months of age. </w:t>
      </w:r>
      <w:r w:rsidRPr="009B475D">
        <w:rPr>
          <w:i/>
          <w:noProof/>
        </w:rPr>
        <w:t>Eur J Clin Nutr</w:t>
      </w:r>
      <w:r w:rsidRPr="009B475D">
        <w:rPr>
          <w:noProof/>
        </w:rPr>
        <w:t xml:space="preserve"> 73(11): 1473-79.</w:t>
      </w:r>
    </w:p>
    <w:p w14:paraId="046440B5" w14:textId="77777777" w:rsidR="00CA5E86" w:rsidRPr="009B475D" w:rsidRDefault="00CA5E86" w:rsidP="00CA5E86">
      <w:pPr>
        <w:pStyle w:val="Excluded"/>
        <w:rPr>
          <w:noProof/>
        </w:rPr>
      </w:pPr>
      <w:r w:rsidRPr="009B475D">
        <w:rPr>
          <w:noProof/>
        </w:rPr>
        <w:t xml:space="preserve">Wang L, Mei Z, Li H et al (2016) Modifying effects of maternal Hb concentration on infant birth weight in women receiving prenatal iron-containing supplements: a randomised controlled trial. </w:t>
      </w:r>
      <w:r w:rsidRPr="009B475D">
        <w:rPr>
          <w:i/>
          <w:noProof/>
        </w:rPr>
        <w:t>Br J Nutr</w:t>
      </w:r>
      <w:r w:rsidRPr="009B475D">
        <w:rPr>
          <w:noProof/>
        </w:rPr>
        <w:t xml:space="preserve"> 115(4): 644-9.</w:t>
      </w:r>
    </w:p>
    <w:p w14:paraId="151302C0" w14:textId="77777777" w:rsidR="00CA5E86" w:rsidRDefault="00CA5E86" w:rsidP="00A912D4">
      <w:pPr>
        <w:pStyle w:val="Heading5"/>
        <w:rPr>
          <w:noProof/>
        </w:rPr>
      </w:pPr>
      <w:r>
        <w:rPr>
          <w:noProof/>
        </w:rPr>
        <w:t>Does not answer research question</w:t>
      </w:r>
    </w:p>
    <w:p w14:paraId="155D2C8F" w14:textId="77777777" w:rsidR="00CA5E86" w:rsidRPr="009B475D" w:rsidRDefault="00CA5E86" w:rsidP="00CA5E86">
      <w:pPr>
        <w:pStyle w:val="Excluded"/>
        <w:rPr>
          <w:noProof/>
        </w:rPr>
      </w:pPr>
      <w:r w:rsidRPr="009B475D">
        <w:rPr>
          <w:noProof/>
        </w:rPr>
        <w:t xml:space="preserve">Yadav K, Ahamed F, Kant S et al (2018) Effect of directly observed oral iron supplementation during pregnancy on iron status in a rural population in Haryana: A randomized controlled trial. </w:t>
      </w:r>
      <w:r w:rsidRPr="009B475D">
        <w:rPr>
          <w:i/>
          <w:noProof/>
        </w:rPr>
        <w:t>Indian Journal of Public Health</w:t>
      </w:r>
      <w:r w:rsidRPr="009B475D">
        <w:rPr>
          <w:noProof/>
        </w:rPr>
        <w:t xml:space="preserve"> 62(4).</w:t>
      </w:r>
    </w:p>
    <w:p w14:paraId="3DE7AE6A" w14:textId="22FD6183" w:rsidR="00647A62" w:rsidRDefault="00647A62" w:rsidP="00A912D4">
      <w:pPr>
        <w:pStyle w:val="Heading4"/>
      </w:pPr>
      <w:r>
        <w:t>Calcium</w:t>
      </w:r>
    </w:p>
    <w:p w14:paraId="0277403A" w14:textId="77777777" w:rsidR="00753FE8" w:rsidRDefault="00753FE8" w:rsidP="00753FE8">
      <w:pPr>
        <w:pStyle w:val="Heading5"/>
        <w:rPr>
          <w:noProof/>
        </w:rPr>
      </w:pPr>
      <w:r>
        <w:rPr>
          <w:noProof/>
        </w:rPr>
        <w:t>Wrong population</w:t>
      </w:r>
    </w:p>
    <w:p w14:paraId="33E7A705" w14:textId="77777777" w:rsidR="00753FE8" w:rsidRPr="006430B8" w:rsidRDefault="00753FE8" w:rsidP="00753FE8">
      <w:pPr>
        <w:pStyle w:val="Excluded"/>
        <w:rPr>
          <w:noProof/>
        </w:rPr>
      </w:pPr>
      <w:r w:rsidRPr="006430B8">
        <w:rPr>
          <w:noProof/>
        </w:rPr>
        <w:t xml:space="preserve">Hofmeyr GJ &amp; Manyame S (2017) Calcium supplementation commencing before or early in pregnancy, or food fortification with calcium, for preventing hypertensive disorders of pregnancy. </w:t>
      </w:r>
      <w:r w:rsidRPr="006430B8">
        <w:rPr>
          <w:i/>
          <w:noProof/>
        </w:rPr>
        <w:t>Cochrane Database Syst Rev</w:t>
      </w:r>
      <w:r w:rsidRPr="006430B8">
        <w:rPr>
          <w:noProof/>
        </w:rPr>
        <w:t xml:space="preserve"> 9: CD011192.</w:t>
      </w:r>
    </w:p>
    <w:p w14:paraId="58FF3C44" w14:textId="77777777" w:rsidR="00753FE8" w:rsidRPr="006430B8" w:rsidRDefault="00753FE8" w:rsidP="00753FE8">
      <w:pPr>
        <w:pStyle w:val="Excluded"/>
        <w:rPr>
          <w:noProof/>
        </w:rPr>
      </w:pPr>
      <w:r w:rsidRPr="006430B8">
        <w:rPr>
          <w:noProof/>
        </w:rPr>
        <w:t xml:space="preserve">Hofmeyr GJ, Betrán AP, Singata-Madliki M et al (2019) Prepregnancy and early pregnancy calcium supplementation among women at high risk of pre-eclampsia: a multicentre, double-blind, randomised, placebo-controlled trial. </w:t>
      </w:r>
      <w:r w:rsidRPr="006430B8">
        <w:rPr>
          <w:i/>
          <w:noProof/>
        </w:rPr>
        <w:t>The Lancet</w:t>
      </w:r>
      <w:r w:rsidRPr="006430B8">
        <w:rPr>
          <w:noProof/>
        </w:rPr>
        <w:t xml:space="preserve"> 393(10169): 330-39.</w:t>
      </w:r>
    </w:p>
    <w:p w14:paraId="52B7D831" w14:textId="77777777" w:rsidR="00753FE8" w:rsidRDefault="00753FE8" w:rsidP="00753FE8">
      <w:pPr>
        <w:pStyle w:val="Heading5"/>
        <w:rPr>
          <w:noProof/>
        </w:rPr>
      </w:pPr>
      <w:r>
        <w:rPr>
          <w:noProof/>
        </w:rPr>
        <w:t>Systematic review with all studies included in another systematic review</w:t>
      </w:r>
    </w:p>
    <w:p w14:paraId="71EDA152" w14:textId="77777777" w:rsidR="00753FE8" w:rsidRPr="006430B8" w:rsidRDefault="00753FE8" w:rsidP="00753FE8">
      <w:pPr>
        <w:pStyle w:val="Excluded"/>
        <w:rPr>
          <w:noProof/>
        </w:rPr>
      </w:pPr>
      <w:r w:rsidRPr="006430B8">
        <w:rPr>
          <w:noProof/>
        </w:rPr>
        <w:t xml:space="preserve">An L-b, Li W-t, Xie T-n et al (2015) Calcium supplementation reducing the risk of hypertensive disorders of pregnancy and related problems: A meta-analysis of multicentre randomized controlled trials. </w:t>
      </w:r>
      <w:r w:rsidRPr="006430B8">
        <w:rPr>
          <w:i/>
          <w:noProof/>
        </w:rPr>
        <w:t>International Journal of Nursing Practice</w:t>
      </w:r>
      <w:r w:rsidRPr="006430B8">
        <w:rPr>
          <w:noProof/>
        </w:rPr>
        <w:t xml:space="preserve"> 21: 19-31.</w:t>
      </w:r>
    </w:p>
    <w:p w14:paraId="4452B89B" w14:textId="77777777" w:rsidR="00753FE8" w:rsidRDefault="00753FE8" w:rsidP="00753FE8">
      <w:pPr>
        <w:pStyle w:val="Heading5"/>
        <w:rPr>
          <w:noProof/>
        </w:rPr>
      </w:pPr>
      <w:r>
        <w:rPr>
          <w:noProof/>
        </w:rPr>
        <w:t>Wrong interevention</w:t>
      </w:r>
    </w:p>
    <w:p w14:paraId="3480E8DA" w14:textId="77777777" w:rsidR="00753FE8" w:rsidRPr="006430B8" w:rsidRDefault="00753FE8" w:rsidP="00753FE8">
      <w:pPr>
        <w:pStyle w:val="Excluded"/>
        <w:rPr>
          <w:noProof/>
        </w:rPr>
      </w:pPr>
      <w:r w:rsidRPr="006430B8">
        <w:rPr>
          <w:noProof/>
        </w:rPr>
        <w:t xml:space="preserve">Asemi Z, Samimi M, Siavashani MA et al (2016) Calcium-Vitamin D Co-supplementation Affects Metabolic Profiles, but not Pregnancy Outcomes, in Healthy Pregnant Women. </w:t>
      </w:r>
      <w:r w:rsidRPr="006430B8">
        <w:rPr>
          <w:i/>
          <w:noProof/>
        </w:rPr>
        <w:t>Int J Prev Med</w:t>
      </w:r>
      <w:r w:rsidRPr="006430B8">
        <w:rPr>
          <w:noProof/>
        </w:rPr>
        <w:t xml:space="preserve"> 7: 49.</w:t>
      </w:r>
    </w:p>
    <w:p w14:paraId="5071C52B" w14:textId="77777777" w:rsidR="00753FE8" w:rsidRPr="006430B8" w:rsidRDefault="00753FE8" w:rsidP="00753FE8">
      <w:pPr>
        <w:pStyle w:val="Excluded"/>
        <w:rPr>
          <w:noProof/>
        </w:rPr>
      </w:pPr>
      <w:r w:rsidRPr="006430B8">
        <w:rPr>
          <w:noProof/>
        </w:rPr>
        <w:t xml:space="preserve">Mansouri A, Mirghafourvand M, Charandabi SMA et al (2017) The effect of Vitamin D and calcium plus Vitamin D on leg cramps in pregnant women: A randomized controlled trial. </w:t>
      </w:r>
      <w:r w:rsidRPr="006430B8">
        <w:rPr>
          <w:i/>
          <w:noProof/>
        </w:rPr>
        <w:t>J Res Med Sci</w:t>
      </w:r>
      <w:r w:rsidRPr="006430B8">
        <w:rPr>
          <w:noProof/>
        </w:rPr>
        <w:t xml:space="preserve"> 22: 24.</w:t>
      </w:r>
    </w:p>
    <w:p w14:paraId="37A5D185" w14:textId="77777777" w:rsidR="00753FE8" w:rsidRDefault="00753FE8" w:rsidP="00753FE8">
      <w:pPr>
        <w:pStyle w:val="Heading5"/>
        <w:rPr>
          <w:noProof/>
        </w:rPr>
      </w:pPr>
      <w:r>
        <w:rPr>
          <w:noProof/>
        </w:rPr>
        <w:t>Does not answer research question</w:t>
      </w:r>
    </w:p>
    <w:p w14:paraId="6F63BF6B" w14:textId="77777777" w:rsidR="00753FE8" w:rsidRPr="00E515BB" w:rsidRDefault="00753FE8" w:rsidP="00753FE8">
      <w:pPr>
        <w:pStyle w:val="Excluded"/>
      </w:pPr>
      <w:r w:rsidRPr="00435A3A">
        <w:t>Cormick AP</w:t>
      </w:r>
      <w:r>
        <w:t>, Betr</w:t>
      </w:r>
      <w:r w:rsidRPr="00435A3A">
        <w:t>an</w:t>
      </w:r>
      <w:r>
        <w:t xml:space="preserve"> </w:t>
      </w:r>
      <w:r w:rsidRPr="00435A3A">
        <w:t>IB</w:t>
      </w:r>
      <w:r>
        <w:t>,</w:t>
      </w:r>
      <w:r w:rsidRPr="00435A3A">
        <w:t xml:space="preserve"> Romero</w:t>
      </w:r>
      <w:r>
        <w:t xml:space="preserve"> </w:t>
      </w:r>
      <w:r w:rsidRPr="00435A3A">
        <w:t>CF</w:t>
      </w:r>
      <w:r>
        <w:t xml:space="preserve"> et al (2019) </w:t>
      </w:r>
      <w:r w:rsidRPr="00435A3A">
        <w:t>Global inequities in dietary calcium intake during</w:t>
      </w:r>
      <w:r>
        <w:t xml:space="preserve"> </w:t>
      </w:r>
      <w:r w:rsidRPr="00435A3A">
        <w:rPr>
          <w:rFonts w:ascii="Helvetica" w:hAnsi="Helvetica" w:cs="Times New Roman"/>
        </w:rPr>
        <w:t>pregnancy: a systematic review and meta-analysis</w:t>
      </w:r>
      <w:r>
        <w:t xml:space="preserve">. </w:t>
      </w:r>
      <w:r w:rsidRPr="00E515BB">
        <w:rPr>
          <w:i/>
        </w:rPr>
        <w:t>BJOG</w:t>
      </w:r>
      <w:r>
        <w:t xml:space="preserve"> </w:t>
      </w:r>
      <w:r w:rsidRPr="00E515BB">
        <w:t>126(4):444-456</w:t>
      </w:r>
      <w:r>
        <w:t>.</w:t>
      </w:r>
    </w:p>
    <w:p w14:paraId="60B35F7C" w14:textId="77777777" w:rsidR="00753FE8" w:rsidRPr="006430B8" w:rsidRDefault="00753FE8" w:rsidP="00753FE8">
      <w:pPr>
        <w:pStyle w:val="Excluded"/>
        <w:rPr>
          <w:noProof/>
        </w:rPr>
      </w:pPr>
      <w:r w:rsidRPr="006430B8">
        <w:rPr>
          <w:noProof/>
        </w:rPr>
        <w:t xml:space="preserve">Jung ME, Stork MJ, Stapleton J et al (2016) A systematic review of behavioural interventions to increase maternal calcium intake. </w:t>
      </w:r>
      <w:r w:rsidRPr="006430B8">
        <w:rPr>
          <w:i/>
          <w:noProof/>
        </w:rPr>
        <w:t>Matern Child Nutr</w:t>
      </w:r>
      <w:r w:rsidRPr="006430B8">
        <w:rPr>
          <w:noProof/>
        </w:rPr>
        <w:t xml:space="preserve"> 12(2): 193-204.</w:t>
      </w:r>
    </w:p>
    <w:p w14:paraId="16F65FBF" w14:textId="705B0852" w:rsidR="00CA5E86" w:rsidRPr="00CA5E86" w:rsidRDefault="00753FE8" w:rsidP="00A912D4">
      <w:pPr>
        <w:pStyle w:val="Excluded"/>
        <w:rPr>
          <w:noProof/>
        </w:rPr>
      </w:pPr>
      <w:r w:rsidRPr="006430B8">
        <w:rPr>
          <w:noProof/>
        </w:rPr>
        <w:t xml:space="preserve">Ward KA, Jarjou L, Prentice A (2017) Long-term effects of maternal calcium supplementation on childhood growth differ between males and females in a population accustomed to a low calcium intake. </w:t>
      </w:r>
      <w:r w:rsidRPr="006430B8">
        <w:rPr>
          <w:i/>
          <w:noProof/>
        </w:rPr>
        <w:t>Bone</w:t>
      </w:r>
      <w:r w:rsidRPr="006430B8">
        <w:rPr>
          <w:noProof/>
        </w:rPr>
        <w:t xml:space="preserve"> 103: 31-38.</w:t>
      </w:r>
    </w:p>
    <w:p w14:paraId="4C1028E3" w14:textId="2BE8FD1D" w:rsidR="00647A62" w:rsidRDefault="00647A62" w:rsidP="00A912D4">
      <w:pPr>
        <w:pStyle w:val="Heading4"/>
      </w:pPr>
      <w:r>
        <w:t>Iodine</w:t>
      </w:r>
    </w:p>
    <w:p w14:paraId="65BE28C4" w14:textId="77777777" w:rsidR="00DC2F51" w:rsidRDefault="00DC2F51" w:rsidP="00A912D4">
      <w:pPr>
        <w:pStyle w:val="Heading5"/>
        <w:rPr>
          <w:noProof/>
        </w:rPr>
      </w:pPr>
      <w:r>
        <w:rPr>
          <w:noProof/>
        </w:rPr>
        <w:t>Duplicate</w:t>
      </w:r>
    </w:p>
    <w:p w14:paraId="649809DC" w14:textId="77777777" w:rsidR="003A3E41" w:rsidRPr="004E60F9" w:rsidRDefault="003A3E41" w:rsidP="003A3E41">
      <w:pPr>
        <w:pStyle w:val="Excluded"/>
        <w:rPr>
          <w:noProof/>
        </w:rPr>
      </w:pPr>
      <w:r w:rsidRPr="004E60F9">
        <w:rPr>
          <w:noProof/>
        </w:rPr>
        <w:t xml:space="preserve">Abel MH, Brandlistuen RE, Caspersen IH et al (2019) Language delay and poorer school performance in children of mothers with inadequate iodine intake in pregnancy: results from follow-up at 8 years in the Norwegian Mother and Child Cohort Study. </w:t>
      </w:r>
      <w:r w:rsidRPr="004E60F9">
        <w:rPr>
          <w:i/>
          <w:noProof/>
        </w:rPr>
        <w:t>Eur J Nutr</w:t>
      </w:r>
      <w:r w:rsidRPr="004E60F9">
        <w:rPr>
          <w:noProof/>
        </w:rPr>
        <w:t xml:space="preserve"> 58(8): 3047-58.</w:t>
      </w:r>
    </w:p>
    <w:p w14:paraId="4B2DBD55" w14:textId="3509104B" w:rsidR="00DC2F51" w:rsidRPr="004E60F9" w:rsidRDefault="00DC2F51" w:rsidP="0030223E">
      <w:pPr>
        <w:pStyle w:val="Excluded"/>
        <w:rPr>
          <w:noProof/>
        </w:rPr>
      </w:pPr>
      <w:r w:rsidRPr="004E60F9">
        <w:rPr>
          <w:noProof/>
        </w:rPr>
        <w:t xml:space="preserve">Farebrother J, Naude CE, Nicol L et al (2018) Effects of iodized salt and iodine supplements on prenatal and postnatal growth: a systematic review. </w:t>
      </w:r>
      <w:r w:rsidRPr="004E60F9">
        <w:rPr>
          <w:i/>
          <w:noProof/>
        </w:rPr>
        <w:t>Adv Nutr</w:t>
      </w:r>
      <w:r w:rsidRPr="004E60F9">
        <w:rPr>
          <w:noProof/>
        </w:rPr>
        <w:t xml:space="preserve"> 9(3): 219-37.</w:t>
      </w:r>
    </w:p>
    <w:p w14:paraId="34C53A40" w14:textId="77777777" w:rsidR="00DC2F51" w:rsidRPr="004E60F9" w:rsidRDefault="00DC2F51" w:rsidP="0030223E">
      <w:pPr>
        <w:pStyle w:val="Excluded"/>
        <w:rPr>
          <w:noProof/>
        </w:rPr>
      </w:pPr>
      <w:r w:rsidRPr="004E60F9">
        <w:rPr>
          <w:noProof/>
        </w:rPr>
        <w:t xml:space="preserve">Mitchell EKL, Martin JC, D'Amore A et al (2018) Maternal iodine dietary supplements and neonatal thyroid stimulating hormone in Gippsland, Australia. </w:t>
      </w:r>
      <w:r w:rsidRPr="004E60F9">
        <w:rPr>
          <w:i/>
          <w:noProof/>
        </w:rPr>
        <w:t>Asia Pac J Clin Nutr</w:t>
      </w:r>
      <w:r w:rsidRPr="004E60F9">
        <w:rPr>
          <w:noProof/>
        </w:rPr>
        <w:t xml:space="preserve"> 27(4): 848-52.</w:t>
      </w:r>
    </w:p>
    <w:p w14:paraId="055EF695" w14:textId="4B2ED473" w:rsidR="00807ECE" w:rsidRDefault="00807ECE" w:rsidP="00A912D4">
      <w:pPr>
        <w:pStyle w:val="Heading5"/>
        <w:rPr>
          <w:noProof/>
        </w:rPr>
      </w:pPr>
      <w:r>
        <w:rPr>
          <w:noProof/>
        </w:rPr>
        <w:t>Wrong study design</w:t>
      </w:r>
    </w:p>
    <w:p w14:paraId="3F38342E" w14:textId="77777777" w:rsidR="003A3E41" w:rsidRPr="00B564E1" w:rsidRDefault="003A3E41" w:rsidP="00807ECE">
      <w:pPr>
        <w:pStyle w:val="Excluded"/>
        <w:rPr>
          <w:noProof/>
        </w:rPr>
      </w:pPr>
      <w:r w:rsidRPr="00B564E1">
        <w:rPr>
          <w:noProof/>
        </w:rPr>
        <w:t xml:space="preserve">Abel MH, Brandlistuen RE, Caspersen IH et al (2019) Language delay and poorer school performance in children of mothers with inadequate iodine intake in pregnancy: results from follow-up at 8 years in the Norwegian Mother and Child Cohort Study. </w:t>
      </w:r>
      <w:r w:rsidRPr="00B564E1">
        <w:rPr>
          <w:i/>
          <w:noProof/>
        </w:rPr>
        <w:t>Eur J Nutr</w:t>
      </w:r>
      <w:r w:rsidRPr="00B564E1">
        <w:rPr>
          <w:noProof/>
        </w:rPr>
        <w:t xml:space="preserve"> 58(8): 3047-58.</w:t>
      </w:r>
    </w:p>
    <w:p w14:paraId="6A368E3E" w14:textId="77777777" w:rsidR="003A3E41" w:rsidRPr="00B564E1" w:rsidRDefault="003A3E41" w:rsidP="00807ECE">
      <w:pPr>
        <w:pStyle w:val="Excluded"/>
        <w:rPr>
          <w:noProof/>
        </w:rPr>
      </w:pPr>
      <w:r w:rsidRPr="00B564E1">
        <w:rPr>
          <w:noProof/>
        </w:rPr>
        <w:t xml:space="preserve">Abel MH, Caspersen IH, Meltzer HM et al (2017a) Suboptimal maternal iodine intake is associated with impaired child neurodevelopment at 3 years of age in the Norwegian Mother and Child Cohort Study. </w:t>
      </w:r>
      <w:r w:rsidRPr="00B564E1">
        <w:rPr>
          <w:i/>
          <w:noProof/>
        </w:rPr>
        <w:t>J Nutr</w:t>
      </w:r>
      <w:r w:rsidRPr="00B564E1">
        <w:rPr>
          <w:noProof/>
        </w:rPr>
        <w:t xml:space="preserve"> 147(7): 1314-24.</w:t>
      </w:r>
    </w:p>
    <w:p w14:paraId="49FBCFF1" w14:textId="77777777" w:rsidR="003A3E41" w:rsidRPr="00B564E1" w:rsidRDefault="003A3E41" w:rsidP="00807ECE">
      <w:pPr>
        <w:pStyle w:val="Excluded"/>
        <w:rPr>
          <w:noProof/>
        </w:rPr>
      </w:pPr>
      <w:r w:rsidRPr="00B564E1">
        <w:rPr>
          <w:noProof/>
        </w:rPr>
        <w:t xml:space="preserve">Abel MH, Ystrom E, Caspersen IH et al (2017b) Maternal iodine intake and offspring attention-deficit/hyperactivity disorder: results from a large prospective cohort study. </w:t>
      </w:r>
      <w:r w:rsidRPr="00B564E1">
        <w:rPr>
          <w:i/>
          <w:noProof/>
        </w:rPr>
        <w:t>Nutrients</w:t>
      </w:r>
      <w:r w:rsidRPr="00B564E1">
        <w:rPr>
          <w:noProof/>
        </w:rPr>
        <w:t xml:space="preserve"> 9(11).</w:t>
      </w:r>
    </w:p>
    <w:p w14:paraId="5C652E36" w14:textId="77777777" w:rsidR="003A3E41" w:rsidRPr="00B564E1" w:rsidRDefault="003A3E41" w:rsidP="00807ECE">
      <w:pPr>
        <w:pStyle w:val="Excluded"/>
        <w:rPr>
          <w:noProof/>
        </w:rPr>
      </w:pPr>
      <w:r w:rsidRPr="00B564E1">
        <w:rPr>
          <w:noProof/>
        </w:rPr>
        <w:t xml:space="preserve">Berg V, Nost TH, Skeie G et al (2017) Thyroid homeostasis in mother-child pairs in relation to maternal iodine status: the MISA study. </w:t>
      </w:r>
      <w:r w:rsidRPr="00B564E1">
        <w:rPr>
          <w:i/>
          <w:noProof/>
        </w:rPr>
        <w:t>Eur J Clin Nutr</w:t>
      </w:r>
      <w:r w:rsidRPr="00B564E1">
        <w:rPr>
          <w:noProof/>
        </w:rPr>
        <w:t xml:space="preserve"> 71(8): 1002-07.</w:t>
      </w:r>
    </w:p>
    <w:p w14:paraId="30AAA968" w14:textId="77777777" w:rsidR="003A3E41" w:rsidRPr="00B564E1" w:rsidRDefault="003A3E41" w:rsidP="00807ECE">
      <w:pPr>
        <w:pStyle w:val="Excluded"/>
        <w:rPr>
          <w:noProof/>
        </w:rPr>
      </w:pPr>
      <w:r w:rsidRPr="00B564E1">
        <w:rPr>
          <w:noProof/>
        </w:rPr>
        <w:t xml:space="preserve">Bliddal S, Boas M, Hilsted L et al (2017) Increase in thyroglobulin antibody and thyroid peroxidase antibody levels, but not preterm birth-rate, in pregnant Danish women upon iodine fortification. </w:t>
      </w:r>
      <w:r w:rsidRPr="00B564E1">
        <w:rPr>
          <w:i/>
          <w:noProof/>
        </w:rPr>
        <w:t>Eur J Endocrinol</w:t>
      </w:r>
      <w:r w:rsidRPr="00B564E1">
        <w:rPr>
          <w:noProof/>
        </w:rPr>
        <w:t xml:space="preserve"> 176(5): 603-12.</w:t>
      </w:r>
    </w:p>
    <w:p w14:paraId="1E31C1D1" w14:textId="77777777" w:rsidR="003A3E41" w:rsidRPr="004E60F9" w:rsidRDefault="003A3E41" w:rsidP="0030223E">
      <w:pPr>
        <w:pStyle w:val="Excluded"/>
        <w:rPr>
          <w:noProof/>
        </w:rPr>
      </w:pPr>
      <w:r w:rsidRPr="004E60F9">
        <w:rPr>
          <w:noProof/>
        </w:rPr>
        <w:t xml:space="preserve">Candido AC, Morais NS, Dutra LV et al (2019) Insufficient iodine intake in pregnant women in different regions of the world: a systematic review. </w:t>
      </w:r>
      <w:r w:rsidRPr="004E60F9">
        <w:rPr>
          <w:i/>
          <w:noProof/>
        </w:rPr>
        <w:t>Arch Endocrinol Metab</w:t>
      </w:r>
      <w:r w:rsidRPr="004E60F9">
        <w:rPr>
          <w:noProof/>
        </w:rPr>
        <w:t xml:space="preserve"> 63(3): 306-11.</w:t>
      </w:r>
    </w:p>
    <w:p w14:paraId="75E529E4" w14:textId="77777777" w:rsidR="003A3E41" w:rsidRPr="00B564E1" w:rsidRDefault="003A3E41" w:rsidP="00807ECE">
      <w:pPr>
        <w:pStyle w:val="Excluded"/>
        <w:rPr>
          <w:noProof/>
        </w:rPr>
      </w:pPr>
      <w:r w:rsidRPr="00B564E1">
        <w:rPr>
          <w:noProof/>
        </w:rPr>
        <w:t xml:space="preserve">Charoenratana C, Leelapat P, Traisrisilp K et al (2016) Maternal iodine insufficiency and adverse pregnancy outcomes. </w:t>
      </w:r>
      <w:r w:rsidRPr="00B564E1">
        <w:rPr>
          <w:i/>
          <w:noProof/>
        </w:rPr>
        <w:t>Matern Child Nutr</w:t>
      </w:r>
      <w:r w:rsidRPr="00B564E1">
        <w:rPr>
          <w:noProof/>
        </w:rPr>
        <w:t xml:space="preserve"> 12(4): 680-7.</w:t>
      </w:r>
    </w:p>
    <w:p w14:paraId="73850E28" w14:textId="77777777" w:rsidR="003A3E41" w:rsidRPr="004E60F9" w:rsidRDefault="003A3E41" w:rsidP="0030223E">
      <w:pPr>
        <w:pStyle w:val="Excluded"/>
        <w:rPr>
          <w:noProof/>
        </w:rPr>
      </w:pPr>
      <w:r w:rsidRPr="004E60F9">
        <w:rPr>
          <w:noProof/>
        </w:rPr>
        <w:t xml:space="preserve">Chen R, Li Q, Cui W et al (2018) Maternal iodine insufficiency and excess are associated with adverse effects on fetal growth: a prospective cohort study in Wuhan, China. </w:t>
      </w:r>
      <w:r w:rsidRPr="004E60F9">
        <w:rPr>
          <w:i/>
          <w:noProof/>
        </w:rPr>
        <w:t>J Nutr</w:t>
      </w:r>
      <w:r w:rsidRPr="004E60F9">
        <w:rPr>
          <w:noProof/>
        </w:rPr>
        <w:t xml:space="preserve"> 148(11): 1814-20.</w:t>
      </w:r>
    </w:p>
    <w:p w14:paraId="527CF7F6" w14:textId="77777777" w:rsidR="003A3E41" w:rsidRPr="00B564E1" w:rsidRDefault="003A3E41" w:rsidP="00807ECE">
      <w:pPr>
        <w:pStyle w:val="Excluded"/>
        <w:rPr>
          <w:noProof/>
        </w:rPr>
      </w:pPr>
      <w:r w:rsidRPr="00B564E1">
        <w:rPr>
          <w:noProof/>
        </w:rPr>
        <w:t xml:space="preserve">De Leo S, Pearce EN, Braverman LE (2017) Iodine supplementation in women during preconception, pregnancy, and lactation: Current Clinical practice by U.S. Obstetricians and Midwives. </w:t>
      </w:r>
      <w:r w:rsidRPr="00B564E1">
        <w:rPr>
          <w:i/>
          <w:noProof/>
        </w:rPr>
        <w:t>Thyroid</w:t>
      </w:r>
      <w:r w:rsidRPr="00B564E1">
        <w:rPr>
          <w:noProof/>
        </w:rPr>
        <w:t xml:space="preserve"> 27(3): 434-39.</w:t>
      </w:r>
    </w:p>
    <w:p w14:paraId="1F4173B5" w14:textId="77777777" w:rsidR="003A3E41" w:rsidRPr="00B564E1" w:rsidRDefault="003A3E41" w:rsidP="00807ECE">
      <w:pPr>
        <w:pStyle w:val="Excluded"/>
        <w:rPr>
          <w:noProof/>
        </w:rPr>
      </w:pPr>
      <w:r w:rsidRPr="00B564E1">
        <w:rPr>
          <w:noProof/>
        </w:rPr>
        <w:t xml:space="preserve">Dold S, Zimmermann MB, Jukic T et al (2018) Universal salt iodization provides sufficient dietary iodine to achieve adequate iodine nutrition during the first 1000 days: a cross-sectional multicenter study. </w:t>
      </w:r>
      <w:r w:rsidRPr="00B564E1">
        <w:rPr>
          <w:i/>
          <w:noProof/>
        </w:rPr>
        <w:t>J Nutr</w:t>
      </w:r>
      <w:r w:rsidRPr="00B564E1">
        <w:rPr>
          <w:noProof/>
        </w:rPr>
        <w:t xml:space="preserve"> 148(4): 587-98.</w:t>
      </w:r>
    </w:p>
    <w:p w14:paraId="2D00AA57" w14:textId="77777777" w:rsidR="003A3E41" w:rsidRPr="004E60F9" w:rsidRDefault="003A3E41" w:rsidP="0030223E">
      <w:pPr>
        <w:pStyle w:val="Excluded"/>
        <w:rPr>
          <w:noProof/>
        </w:rPr>
      </w:pPr>
      <w:r w:rsidRPr="004E60F9">
        <w:rPr>
          <w:noProof/>
        </w:rPr>
        <w:t xml:space="preserve">Hynes KL, Otahal P, Burgess JR et al (2017) Reduced educational outcomes persist into adolescence following mild iodine deficiency in utero, despite adequacy in childhood: 15-year follow-up of the gestational iodine cohort investigating auditory processing speed and working memory. </w:t>
      </w:r>
      <w:r w:rsidRPr="004E60F9">
        <w:rPr>
          <w:i/>
          <w:noProof/>
        </w:rPr>
        <w:t>Nutrients</w:t>
      </w:r>
      <w:r w:rsidRPr="004E60F9">
        <w:rPr>
          <w:noProof/>
        </w:rPr>
        <w:t xml:space="preserve"> 9(12).</w:t>
      </w:r>
    </w:p>
    <w:p w14:paraId="0D939F4E" w14:textId="77777777" w:rsidR="003A3E41" w:rsidRPr="004E60F9" w:rsidRDefault="003A3E41" w:rsidP="0030223E">
      <w:pPr>
        <w:pStyle w:val="Excluded"/>
        <w:rPr>
          <w:noProof/>
        </w:rPr>
      </w:pPr>
      <w:r w:rsidRPr="004E60F9">
        <w:rPr>
          <w:noProof/>
        </w:rPr>
        <w:t xml:space="preserve">Levie D, Korevaar TIM, Bath SC et al (2019) Association of Maternal iodine status with child IQ: A meta-analysis of individual participant data. </w:t>
      </w:r>
      <w:r w:rsidRPr="004E60F9">
        <w:rPr>
          <w:i/>
          <w:noProof/>
        </w:rPr>
        <w:t>J Clin Endocrinol Metab</w:t>
      </w:r>
      <w:r w:rsidRPr="004E60F9">
        <w:rPr>
          <w:noProof/>
        </w:rPr>
        <w:t xml:space="preserve"> 104(12): 5957-67.</w:t>
      </w:r>
    </w:p>
    <w:p w14:paraId="735322B0" w14:textId="77777777" w:rsidR="003A3E41" w:rsidRPr="00B564E1" w:rsidRDefault="003A3E41" w:rsidP="00807ECE">
      <w:pPr>
        <w:pStyle w:val="Excluded"/>
        <w:rPr>
          <w:noProof/>
        </w:rPr>
      </w:pPr>
      <w:r w:rsidRPr="00B564E1">
        <w:rPr>
          <w:noProof/>
        </w:rPr>
        <w:t xml:space="preserve">Manousou S, Johansson B, Chmielewska A et al (2018) Role of iodine-containing multivitamins during pregnancy for children's brain function: protocol of an ongoing randomised controlled trial: the SWIDDICH study. </w:t>
      </w:r>
      <w:r w:rsidRPr="00B564E1">
        <w:rPr>
          <w:i/>
          <w:noProof/>
        </w:rPr>
        <w:t>BMJ Open</w:t>
      </w:r>
      <w:r w:rsidRPr="00B564E1">
        <w:rPr>
          <w:noProof/>
        </w:rPr>
        <w:t xml:space="preserve"> 8(4): e019945.</w:t>
      </w:r>
    </w:p>
    <w:p w14:paraId="5766B259" w14:textId="77777777" w:rsidR="003A3E41" w:rsidRPr="004E60F9" w:rsidRDefault="003A3E41" w:rsidP="0030223E">
      <w:pPr>
        <w:pStyle w:val="Excluded"/>
        <w:rPr>
          <w:noProof/>
        </w:rPr>
      </w:pPr>
      <w:r w:rsidRPr="004E60F9">
        <w:rPr>
          <w:noProof/>
        </w:rPr>
        <w:t xml:space="preserve">Murcia M, Espada M, Julvez J et al (2018) Iodine intake from supplements and diet during pregnancy and child cognitive and motor development: the INMA Mother and Child Cohort Study. </w:t>
      </w:r>
      <w:r w:rsidRPr="004E60F9">
        <w:rPr>
          <w:i/>
          <w:noProof/>
        </w:rPr>
        <w:t>J Epidemiol Community Health</w:t>
      </w:r>
      <w:r w:rsidRPr="004E60F9">
        <w:rPr>
          <w:noProof/>
        </w:rPr>
        <w:t xml:space="preserve"> 72(3): 216-22.</w:t>
      </w:r>
    </w:p>
    <w:p w14:paraId="19D4D647" w14:textId="77777777" w:rsidR="003A3E41" w:rsidRPr="00B564E1" w:rsidRDefault="003A3E41" w:rsidP="00807ECE">
      <w:pPr>
        <w:pStyle w:val="Excluded"/>
        <w:rPr>
          <w:noProof/>
        </w:rPr>
      </w:pPr>
      <w:r w:rsidRPr="00B564E1">
        <w:rPr>
          <w:noProof/>
        </w:rPr>
        <w:t xml:space="preserve">Reynolds AN &amp; Skeaff SA (2018) Maternal adherence with recommendations for folic acid and iodine supplements: A cross-sectional survey. </w:t>
      </w:r>
      <w:r w:rsidRPr="00B564E1">
        <w:rPr>
          <w:i/>
          <w:noProof/>
        </w:rPr>
        <w:t>Aust N Z J Obstet Gynaecol</w:t>
      </w:r>
      <w:r w:rsidRPr="00B564E1">
        <w:rPr>
          <w:noProof/>
        </w:rPr>
        <w:t xml:space="preserve"> 58(1): 125-27.</w:t>
      </w:r>
    </w:p>
    <w:p w14:paraId="152D2262" w14:textId="77777777" w:rsidR="003A3E41" w:rsidRPr="004E60F9" w:rsidRDefault="003A3E41" w:rsidP="0030223E">
      <w:pPr>
        <w:pStyle w:val="Excluded"/>
        <w:rPr>
          <w:noProof/>
        </w:rPr>
      </w:pPr>
      <w:r w:rsidRPr="004E60F9">
        <w:rPr>
          <w:noProof/>
        </w:rPr>
        <w:t xml:space="preserve">Rochau U, Qerimi Rushaj V, Schaffner M et al (2020) Decision-analytic modeling studies in prevention and treatment of iodine deficiency and thyroid disorders: a systematic overview. </w:t>
      </w:r>
      <w:r w:rsidRPr="004E60F9">
        <w:rPr>
          <w:i/>
          <w:noProof/>
        </w:rPr>
        <w:t>Thyroid</w:t>
      </w:r>
      <w:r w:rsidRPr="004E60F9">
        <w:rPr>
          <w:noProof/>
        </w:rPr>
        <w:t>.</w:t>
      </w:r>
    </w:p>
    <w:p w14:paraId="7F8CD31A" w14:textId="77777777" w:rsidR="003A3E41" w:rsidRPr="00B564E1" w:rsidRDefault="003A3E41" w:rsidP="00807ECE">
      <w:pPr>
        <w:pStyle w:val="Excluded"/>
        <w:rPr>
          <w:noProof/>
        </w:rPr>
      </w:pPr>
      <w:r w:rsidRPr="00B564E1">
        <w:rPr>
          <w:noProof/>
        </w:rPr>
        <w:t xml:space="preserve">Torlinska B, Bath SC, Janjua A et al (2018) Iodine status during pregnancy in a region of mild-to-moderate iodine deficiency is not associated with adverse obstetric outcomes; results from the Avon Longitudinal Study of Parents and Children (ALSPAC). </w:t>
      </w:r>
      <w:r w:rsidRPr="00B564E1">
        <w:rPr>
          <w:i/>
          <w:noProof/>
        </w:rPr>
        <w:t>Nutrients</w:t>
      </w:r>
      <w:r w:rsidRPr="00B564E1">
        <w:rPr>
          <w:noProof/>
        </w:rPr>
        <w:t xml:space="preserve"> 10(3).</w:t>
      </w:r>
    </w:p>
    <w:p w14:paraId="588B93EA" w14:textId="77777777" w:rsidR="003A3E41" w:rsidRPr="004E60F9" w:rsidRDefault="003A3E41" w:rsidP="0030223E">
      <w:pPr>
        <w:pStyle w:val="Excluded"/>
        <w:rPr>
          <w:noProof/>
        </w:rPr>
      </w:pPr>
      <w:r w:rsidRPr="004E60F9">
        <w:rPr>
          <w:noProof/>
        </w:rPr>
        <w:t xml:space="preserve">Wang Z, Li C, Teng Y et al (2020) The effect of iodine-containing vitamin supplementation during pregnancy on thyroid function in late pregnancy and postpartum depression in an iodine-sufficient area. </w:t>
      </w:r>
      <w:r w:rsidRPr="004E60F9">
        <w:rPr>
          <w:i/>
          <w:noProof/>
        </w:rPr>
        <w:t>Biol Trace Elem Res</w:t>
      </w:r>
      <w:r w:rsidRPr="004E60F9">
        <w:rPr>
          <w:noProof/>
        </w:rPr>
        <w:t>.</w:t>
      </w:r>
    </w:p>
    <w:p w14:paraId="7DB6616E" w14:textId="77777777" w:rsidR="003A3E41" w:rsidRPr="004E60F9" w:rsidRDefault="003A3E41" w:rsidP="0030223E">
      <w:pPr>
        <w:pStyle w:val="Excluded"/>
        <w:rPr>
          <w:noProof/>
        </w:rPr>
      </w:pPr>
      <w:r w:rsidRPr="004E60F9">
        <w:rPr>
          <w:noProof/>
        </w:rPr>
        <w:t xml:space="preserve">Zhou SJ, Condo D, Ryan P et al (2019) Association between maternal iodine intake in pregnancy and childhood neurodevelopment at age 18 months. </w:t>
      </w:r>
      <w:r w:rsidRPr="004E60F9">
        <w:rPr>
          <w:i/>
          <w:noProof/>
        </w:rPr>
        <w:t>Am J Epidemiol</w:t>
      </w:r>
      <w:r w:rsidRPr="004E60F9">
        <w:rPr>
          <w:noProof/>
        </w:rPr>
        <w:t xml:space="preserve"> 188(2): 332-38.</w:t>
      </w:r>
    </w:p>
    <w:p w14:paraId="05312EE8" w14:textId="77777777" w:rsidR="00807ECE" w:rsidRDefault="00807ECE" w:rsidP="00A912D4">
      <w:pPr>
        <w:pStyle w:val="Heading5"/>
        <w:rPr>
          <w:noProof/>
        </w:rPr>
      </w:pPr>
      <w:r>
        <w:rPr>
          <w:noProof/>
        </w:rPr>
        <w:t>Narrative review</w:t>
      </w:r>
    </w:p>
    <w:p w14:paraId="4AE12763" w14:textId="77777777" w:rsidR="00807ECE" w:rsidRPr="00B564E1" w:rsidRDefault="00807ECE" w:rsidP="00807ECE">
      <w:pPr>
        <w:pStyle w:val="Excluded"/>
        <w:rPr>
          <w:noProof/>
        </w:rPr>
      </w:pPr>
      <w:r w:rsidRPr="00B564E1">
        <w:rPr>
          <w:noProof/>
        </w:rPr>
        <w:t xml:space="preserve">Alexander EK, Pearce EN, Brent GA et al (2017) 2017 Guidelines of the American Thyroid Association for the diagnosis and management of thyroid disease during pregnancy and the postpartum. </w:t>
      </w:r>
      <w:r w:rsidRPr="00B564E1">
        <w:rPr>
          <w:i/>
          <w:noProof/>
        </w:rPr>
        <w:t>Thyroid</w:t>
      </w:r>
      <w:r w:rsidRPr="00B564E1">
        <w:rPr>
          <w:noProof/>
        </w:rPr>
        <w:t xml:space="preserve"> 27(315-89).</w:t>
      </w:r>
    </w:p>
    <w:p w14:paraId="3AB0E824" w14:textId="77777777" w:rsidR="00807ECE" w:rsidRDefault="00807ECE" w:rsidP="00A912D4">
      <w:pPr>
        <w:pStyle w:val="Heading5"/>
        <w:rPr>
          <w:noProof/>
        </w:rPr>
      </w:pPr>
      <w:r>
        <w:rPr>
          <w:noProof/>
        </w:rPr>
        <w:t>Does not answer research question</w:t>
      </w:r>
    </w:p>
    <w:p w14:paraId="2FC68B7D" w14:textId="1EAE1B63" w:rsidR="00807ECE" w:rsidRPr="00B564E1" w:rsidRDefault="00807ECE" w:rsidP="00807ECE">
      <w:pPr>
        <w:pStyle w:val="Excluded"/>
        <w:rPr>
          <w:noProof/>
        </w:rPr>
      </w:pPr>
      <w:r w:rsidRPr="00B564E1">
        <w:rPr>
          <w:noProof/>
        </w:rPr>
        <w:t xml:space="preserve">Amiri P, Hamzavi Zarghani N, Nazeri P et al (2017) Can an educational intervention improve iodine nutrition status in pregnant women? a randomized controlled trial. </w:t>
      </w:r>
      <w:r w:rsidRPr="00B564E1">
        <w:rPr>
          <w:i/>
          <w:noProof/>
        </w:rPr>
        <w:t>Thyroid</w:t>
      </w:r>
      <w:r w:rsidRPr="00B564E1">
        <w:rPr>
          <w:noProof/>
        </w:rPr>
        <w:t xml:space="preserve"> 27(3): 418-25.</w:t>
      </w:r>
    </w:p>
    <w:p w14:paraId="6EE20F27" w14:textId="77777777" w:rsidR="00807ECE" w:rsidRPr="00B564E1" w:rsidRDefault="00807ECE" w:rsidP="00807ECE">
      <w:pPr>
        <w:pStyle w:val="Excluded"/>
        <w:rPr>
          <w:noProof/>
        </w:rPr>
      </w:pPr>
      <w:r w:rsidRPr="00B564E1">
        <w:rPr>
          <w:noProof/>
        </w:rPr>
        <w:t xml:space="preserve">Pearce EN, Lazarus JH, Moreno-Reyes R et al (2016) Consequences of iodine deficiency and excess in pregnant women: an overview of current knowns and unknowns. </w:t>
      </w:r>
      <w:r w:rsidRPr="00B564E1">
        <w:rPr>
          <w:i/>
          <w:noProof/>
        </w:rPr>
        <w:t>Am J Clin Nutr</w:t>
      </w:r>
      <w:r w:rsidRPr="00B564E1">
        <w:rPr>
          <w:noProof/>
        </w:rPr>
        <w:t xml:space="preserve"> 104 Suppl 3: 918S-23S.</w:t>
      </w:r>
    </w:p>
    <w:p w14:paraId="705D59CC" w14:textId="5E2949E4" w:rsidR="003A3E41" w:rsidRPr="004E60F9" w:rsidRDefault="003A3E41" w:rsidP="0030223E">
      <w:pPr>
        <w:pStyle w:val="Excluded"/>
        <w:rPr>
          <w:noProof/>
        </w:rPr>
      </w:pPr>
      <w:r w:rsidRPr="004E60F9">
        <w:rPr>
          <w:noProof/>
        </w:rPr>
        <w:t xml:space="preserve">Nazarpour S, Ramezani Tehrani F, Behboudi-Gandevani S et al (2019) Maternal urinary iodine concentration and pregnancy outcomes in euthyroid pregnant women: a systematic review and meta-analysis. </w:t>
      </w:r>
      <w:r w:rsidRPr="004E60F9">
        <w:rPr>
          <w:i/>
          <w:noProof/>
        </w:rPr>
        <w:t>Biol Trace Elem Res</w:t>
      </w:r>
      <w:r w:rsidRPr="004E60F9">
        <w:rPr>
          <w:noProof/>
        </w:rPr>
        <w:t>.</w:t>
      </w:r>
    </w:p>
    <w:p w14:paraId="716C35B7" w14:textId="77777777" w:rsidR="00807ECE" w:rsidRDefault="00807ECE" w:rsidP="00A912D4">
      <w:pPr>
        <w:pStyle w:val="Heading5"/>
        <w:rPr>
          <w:noProof/>
        </w:rPr>
      </w:pPr>
      <w:r>
        <w:rPr>
          <w:noProof/>
        </w:rPr>
        <w:t>Wrong population</w:t>
      </w:r>
    </w:p>
    <w:p w14:paraId="5F5592B5" w14:textId="2F01832E" w:rsidR="00807ECE" w:rsidRPr="00B564E1" w:rsidRDefault="00807ECE" w:rsidP="00807ECE">
      <w:pPr>
        <w:pStyle w:val="Excluded"/>
        <w:rPr>
          <w:noProof/>
        </w:rPr>
      </w:pPr>
      <w:r w:rsidRPr="00B564E1">
        <w:rPr>
          <w:noProof/>
        </w:rPr>
        <w:t xml:space="preserve">Ashman AM, Collins CE, Weatherall LJ et al (2016) Dietary intakes and anthropometric measures of Indigenous Australian women and their infants in the Gomeroi gaaynggal cohort. </w:t>
      </w:r>
      <w:r w:rsidRPr="00B564E1">
        <w:rPr>
          <w:i/>
          <w:noProof/>
        </w:rPr>
        <w:t>J Dev Orig Health Dis</w:t>
      </w:r>
      <w:r w:rsidRPr="00B564E1">
        <w:rPr>
          <w:noProof/>
        </w:rPr>
        <w:t xml:space="preserve"> 7(5): 481-97.</w:t>
      </w:r>
      <w:r>
        <w:rPr>
          <w:noProof/>
        </w:rPr>
        <w:t xml:space="preserve"> [Postnatal]</w:t>
      </w:r>
    </w:p>
    <w:p w14:paraId="70EA12E0" w14:textId="77777777" w:rsidR="00807ECE" w:rsidRPr="00B564E1" w:rsidRDefault="00807ECE" w:rsidP="00807ECE">
      <w:pPr>
        <w:pStyle w:val="Excluded"/>
        <w:rPr>
          <w:noProof/>
        </w:rPr>
      </w:pPr>
      <w:r w:rsidRPr="00B564E1">
        <w:rPr>
          <w:noProof/>
        </w:rPr>
        <w:t xml:space="preserve">Burns K, Yap C, Mina A et al (2018) Iodine deficiency in women of childbearing age: not bread alone? </w:t>
      </w:r>
      <w:r w:rsidRPr="00B564E1">
        <w:rPr>
          <w:i/>
          <w:noProof/>
        </w:rPr>
        <w:t>Asia Pac J Clin Nutr</w:t>
      </w:r>
      <w:r w:rsidRPr="00B564E1">
        <w:rPr>
          <w:noProof/>
        </w:rPr>
        <w:t xml:space="preserve"> 27(4): 853-59.</w:t>
      </w:r>
    </w:p>
    <w:p w14:paraId="5EE31582" w14:textId="1E77E14A" w:rsidR="00807ECE" w:rsidRPr="00B564E1" w:rsidRDefault="00807ECE" w:rsidP="00807ECE">
      <w:pPr>
        <w:pStyle w:val="Excluded"/>
        <w:rPr>
          <w:noProof/>
        </w:rPr>
      </w:pPr>
      <w:r w:rsidRPr="00B564E1">
        <w:rPr>
          <w:noProof/>
        </w:rPr>
        <w:t xml:space="preserve">McKenna E, Hure A, Perkins A et al (2017) Dietary supplement use during preconception: The Australian Longitudinal Study on Women's Health. </w:t>
      </w:r>
      <w:r w:rsidRPr="00B564E1">
        <w:rPr>
          <w:i/>
          <w:noProof/>
        </w:rPr>
        <w:t>Nutrients</w:t>
      </w:r>
      <w:r w:rsidRPr="00B564E1">
        <w:rPr>
          <w:noProof/>
        </w:rPr>
        <w:t xml:space="preserve"> 9(10).</w:t>
      </w:r>
    </w:p>
    <w:p w14:paraId="6D929848" w14:textId="3DEB3EA2" w:rsidR="00647A62" w:rsidRDefault="00647A62" w:rsidP="00A912D4">
      <w:pPr>
        <w:pStyle w:val="Heading4"/>
      </w:pPr>
      <w:r>
        <w:t>Zinc</w:t>
      </w:r>
    </w:p>
    <w:p w14:paraId="5BFA3E4F" w14:textId="77777777" w:rsidR="005D4F89" w:rsidRDefault="005D4F89" w:rsidP="005D4F89">
      <w:pPr>
        <w:pStyle w:val="Heading5"/>
        <w:rPr>
          <w:noProof/>
        </w:rPr>
      </w:pPr>
      <w:r>
        <w:rPr>
          <w:noProof/>
        </w:rPr>
        <w:t>Wrong outcomes</w:t>
      </w:r>
    </w:p>
    <w:p w14:paraId="2A353A70" w14:textId="77777777" w:rsidR="005D4F89" w:rsidRPr="00006D9B" w:rsidRDefault="005D4F89" w:rsidP="005D4F89">
      <w:pPr>
        <w:pStyle w:val="Excluded"/>
        <w:rPr>
          <w:noProof/>
        </w:rPr>
      </w:pPr>
      <w:r w:rsidRPr="00006D9B">
        <w:rPr>
          <w:noProof/>
        </w:rPr>
        <w:t xml:space="preserve">Ahmad SM, Hossain MB, Monirujjaman M et al (2016) Maternal zinc supplementation improves hepatitis B antibody responses in infants but decreases plasma zinc level. </w:t>
      </w:r>
      <w:r w:rsidRPr="00006D9B">
        <w:rPr>
          <w:i/>
          <w:noProof/>
        </w:rPr>
        <w:t>Eur J Nutr</w:t>
      </w:r>
      <w:r w:rsidRPr="00006D9B">
        <w:rPr>
          <w:noProof/>
        </w:rPr>
        <w:t xml:space="preserve"> 55(5): 1823-9.</w:t>
      </w:r>
    </w:p>
    <w:p w14:paraId="570F9714" w14:textId="77777777" w:rsidR="005D4F89" w:rsidRPr="00006D9B" w:rsidRDefault="005D4F89" w:rsidP="005D4F89">
      <w:pPr>
        <w:pStyle w:val="Excluded"/>
        <w:rPr>
          <w:noProof/>
        </w:rPr>
      </w:pPr>
      <w:r w:rsidRPr="00006D9B">
        <w:rPr>
          <w:noProof/>
        </w:rPr>
        <w:t xml:space="preserve">Mispireta ML, Caulfield LE, Zavaleta N et al (2017) Effect of maternal zinc supplementation on the cardiometabolic profile of Peruvian children: results from a randomized clinical trial. </w:t>
      </w:r>
      <w:r w:rsidRPr="00006D9B">
        <w:rPr>
          <w:i/>
          <w:noProof/>
        </w:rPr>
        <w:t>J Dev Orig Health Dis</w:t>
      </w:r>
      <w:r w:rsidRPr="00006D9B">
        <w:rPr>
          <w:noProof/>
        </w:rPr>
        <w:t xml:space="preserve"> 8(1): 56-64.</w:t>
      </w:r>
    </w:p>
    <w:p w14:paraId="0C23C38B" w14:textId="77777777" w:rsidR="005D4F89" w:rsidRDefault="005D4F89" w:rsidP="005D4F89">
      <w:pPr>
        <w:pStyle w:val="Heading5"/>
        <w:rPr>
          <w:noProof/>
        </w:rPr>
      </w:pPr>
      <w:r>
        <w:rPr>
          <w:noProof/>
        </w:rPr>
        <w:t>Wrong population</w:t>
      </w:r>
    </w:p>
    <w:p w14:paraId="531166D7" w14:textId="77777777" w:rsidR="005D4F89" w:rsidRPr="00006D9B" w:rsidRDefault="005D4F89" w:rsidP="005D4F89">
      <w:pPr>
        <w:pStyle w:val="Excluded"/>
        <w:rPr>
          <w:noProof/>
        </w:rPr>
      </w:pPr>
      <w:r w:rsidRPr="00006D9B">
        <w:rPr>
          <w:noProof/>
        </w:rPr>
        <w:t xml:space="preserve">Karamali M, Heidarzadeh Z, Seifati SM et al (2016) Zinc Supplementation and the effects on pregnancy outcomes in gestational diabetes: a randomized, double-blind, placebo-controlled trial. </w:t>
      </w:r>
      <w:r w:rsidRPr="00006D9B">
        <w:rPr>
          <w:i/>
          <w:noProof/>
        </w:rPr>
        <w:t>Exp Clin Endocrinol Diabetes</w:t>
      </w:r>
      <w:r w:rsidRPr="00006D9B">
        <w:rPr>
          <w:noProof/>
        </w:rPr>
        <w:t xml:space="preserve"> 124(1): 28-33.</w:t>
      </w:r>
    </w:p>
    <w:p w14:paraId="5DA31A8C" w14:textId="77777777" w:rsidR="005D4F89" w:rsidRPr="00006D9B" w:rsidRDefault="005D4F89" w:rsidP="005D4F89">
      <w:pPr>
        <w:pStyle w:val="Excluded"/>
        <w:rPr>
          <w:noProof/>
        </w:rPr>
      </w:pPr>
      <w:r w:rsidRPr="00006D9B">
        <w:rPr>
          <w:noProof/>
        </w:rPr>
        <w:t xml:space="preserve">Karamali M, Bahramimoghadam S, Sharifzadeh F et al (2018) Magnesium-zinc-calcium-vitamin D co-supplementation improves glycemic control and markers of cardiometabolic risk in gestational diabetes: a randomized, double-blind, placebo-controlled trial. </w:t>
      </w:r>
      <w:r w:rsidRPr="00006D9B">
        <w:rPr>
          <w:i/>
          <w:noProof/>
        </w:rPr>
        <w:t>Appl Physiol Nutr Metab</w:t>
      </w:r>
      <w:r w:rsidRPr="00006D9B">
        <w:rPr>
          <w:noProof/>
        </w:rPr>
        <w:t xml:space="preserve"> 43(6): 565-70.</w:t>
      </w:r>
    </w:p>
    <w:p w14:paraId="4191014D" w14:textId="32DE92F6" w:rsidR="002D2E66" w:rsidRPr="00F200AB" w:rsidRDefault="002D2E66" w:rsidP="002D2E66">
      <w:pPr>
        <w:pStyle w:val="Excluded"/>
      </w:pPr>
      <w:r w:rsidRPr="00F200AB">
        <w:t>Mesdaghin</w:t>
      </w:r>
      <w:r>
        <w:t>ia E, Naderi F, Bahmani F et al (2019)</w:t>
      </w:r>
      <w:r w:rsidRPr="00F200AB">
        <w:t xml:space="preserve"> The effects of zinc supplementation on clinical response and metabolic profiles in pregnant women at risk for intrauterine growth restriction: a randomized, double-blind, placebo-controlled trial. </w:t>
      </w:r>
      <w:r w:rsidRPr="0030223E">
        <w:rPr>
          <w:i/>
        </w:rPr>
        <w:t>J Matern Fetal Neonatal Med</w:t>
      </w:r>
      <w:r w:rsidRPr="00F200AB">
        <w:t>: 1-7.</w:t>
      </w:r>
    </w:p>
    <w:p w14:paraId="553E61E5" w14:textId="77777777" w:rsidR="005D4F89" w:rsidRPr="00006D9B" w:rsidRDefault="005D4F89" w:rsidP="005D4F89">
      <w:pPr>
        <w:pStyle w:val="Excluded"/>
        <w:rPr>
          <w:noProof/>
        </w:rPr>
      </w:pPr>
      <w:r w:rsidRPr="00006D9B">
        <w:rPr>
          <w:noProof/>
        </w:rPr>
        <w:t xml:space="preserve">Roshanravan N, Alizadeh M, Hedayati M et al (2015) Effect of zinc supplementation on insulin resistance, energy and macronutrients intakes in pregnant women with impaired glucose tolerance. </w:t>
      </w:r>
      <w:r w:rsidRPr="00006D9B">
        <w:rPr>
          <w:i/>
          <w:noProof/>
        </w:rPr>
        <w:t>Iran J Public Health</w:t>
      </w:r>
      <w:r w:rsidRPr="00006D9B">
        <w:rPr>
          <w:noProof/>
        </w:rPr>
        <w:t xml:space="preserve"> 44(2): 211-7.</w:t>
      </w:r>
    </w:p>
    <w:p w14:paraId="553E83C1" w14:textId="77777777" w:rsidR="005D4F89" w:rsidRPr="00006D9B" w:rsidRDefault="005D4F89" w:rsidP="005D4F89">
      <w:pPr>
        <w:pStyle w:val="Excluded"/>
        <w:rPr>
          <w:noProof/>
        </w:rPr>
      </w:pPr>
      <w:r w:rsidRPr="00006D9B">
        <w:rPr>
          <w:noProof/>
        </w:rPr>
        <w:t xml:space="preserve">Roshanravan N, Tarighat-Esfanjani A, Mesri Alamdari N et al (2018) The effects of zinc supplementation on inflammatory parameters in pregnant women with impaired glucose tolerance: a randomized placebo controlled clinical trial. </w:t>
      </w:r>
      <w:r w:rsidRPr="00006D9B">
        <w:rPr>
          <w:i/>
          <w:noProof/>
        </w:rPr>
        <w:t>Prog Nutrition</w:t>
      </w:r>
      <w:r w:rsidRPr="00006D9B">
        <w:rPr>
          <w:noProof/>
        </w:rPr>
        <w:t xml:space="preserve"> 20(Suppl 1): 330-36.</w:t>
      </w:r>
    </w:p>
    <w:p w14:paraId="21403B20" w14:textId="24C890D7" w:rsidR="002D2E66" w:rsidRPr="00785971" w:rsidRDefault="002D2E66" w:rsidP="002D2E66">
      <w:pPr>
        <w:pStyle w:val="Excluded"/>
      </w:pPr>
      <w:r w:rsidRPr="00785971">
        <w:t>Roshanravan N, Alizade</w:t>
      </w:r>
      <w:r>
        <w:t>h M, Asghari Jafarabadi M et al (2019)</w:t>
      </w:r>
      <w:r w:rsidRPr="00785971">
        <w:t xml:space="preserve"> Effect of prenatal zinc supplementation on adipose tissue-derived hormones and neonatal weight, height and head circumference in women with impaired glucose tolerance test: randomized clinical controlled trial. </w:t>
      </w:r>
      <w:r w:rsidRPr="0030223E">
        <w:rPr>
          <w:i/>
        </w:rPr>
        <w:t>Int J Diabetes Developing Countries</w:t>
      </w:r>
      <w:r>
        <w:t>:</w:t>
      </w:r>
      <w:r w:rsidRPr="00785971">
        <w:t xml:space="preserve"> 39(3): 471-7.</w:t>
      </w:r>
    </w:p>
    <w:p w14:paraId="5A515CBA" w14:textId="77777777" w:rsidR="005D4F89" w:rsidRPr="00006D9B" w:rsidRDefault="005D4F89" w:rsidP="005D4F89">
      <w:pPr>
        <w:pStyle w:val="Excluded"/>
        <w:rPr>
          <w:noProof/>
        </w:rPr>
      </w:pPr>
      <w:r w:rsidRPr="00006D9B">
        <w:rPr>
          <w:noProof/>
        </w:rPr>
        <w:t xml:space="preserve">Shah D, Sachdev HS, Gera T et al (2016) Fortification of staple foods with zinc for improving zinc status and other health outcomes in the general population. </w:t>
      </w:r>
      <w:r w:rsidRPr="00006D9B">
        <w:rPr>
          <w:i/>
          <w:noProof/>
        </w:rPr>
        <w:t>Cochrane Database Syst Rev</w:t>
      </w:r>
      <w:r w:rsidRPr="00006D9B">
        <w:rPr>
          <w:noProof/>
        </w:rPr>
        <w:t>(6): CD010697.</w:t>
      </w:r>
    </w:p>
    <w:p w14:paraId="7E5F2EB2" w14:textId="77777777" w:rsidR="005D4F89" w:rsidRPr="00006D9B" w:rsidRDefault="005D4F89" w:rsidP="005D4F89">
      <w:pPr>
        <w:pStyle w:val="Excluded"/>
        <w:rPr>
          <w:noProof/>
        </w:rPr>
      </w:pPr>
      <w:r w:rsidRPr="00006D9B">
        <w:rPr>
          <w:noProof/>
        </w:rPr>
        <w:t xml:space="preserve">Shahnazi M, Farshbaf Khalili A, Azimi S (2016) Effect of zinc supplement on prevention of PPROM and improvement of some pregnancy outcomes in pregnant women with a history of PPROM: A randomized double -blind controlled trial. </w:t>
      </w:r>
      <w:r w:rsidRPr="00006D9B">
        <w:rPr>
          <w:i/>
          <w:noProof/>
        </w:rPr>
        <w:t>Iranian Red Crescent Medical Journal</w:t>
      </w:r>
      <w:r w:rsidRPr="00006D9B">
        <w:rPr>
          <w:noProof/>
        </w:rPr>
        <w:t xml:space="preserve"> 19(3).</w:t>
      </w:r>
    </w:p>
    <w:p w14:paraId="248F6EC8" w14:textId="77777777" w:rsidR="005D4F89" w:rsidRDefault="005D4F89" w:rsidP="005D4F89">
      <w:pPr>
        <w:pStyle w:val="Heading5"/>
        <w:rPr>
          <w:noProof/>
        </w:rPr>
      </w:pPr>
      <w:r>
        <w:rPr>
          <w:noProof/>
        </w:rPr>
        <w:t>Narrative review</w:t>
      </w:r>
    </w:p>
    <w:p w14:paraId="2D99BBE9" w14:textId="77777777" w:rsidR="005D4F89" w:rsidRPr="00006D9B" w:rsidRDefault="005D4F89" w:rsidP="005D4F89">
      <w:pPr>
        <w:pStyle w:val="Excluded"/>
        <w:rPr>
          <w:noProof/>
        </w:rPr>
      </w:pPr>
      <w:r w:rsidRPr="00006D9B">
        <w:rPr>
          <w:noProof/>
        </w:rPr>
        <w:t xml:space="preserve">Terrin G, Berni Canani R, Di Chiara M et al (2015) Zinc in early life: a key element in the fetus and preterm neonate. </w:t>
      </w:r>
      <w:r w:rsidRPr="00006D9B">
        <w:rPr>
          <w:i/>
          <w:noProof/>
        </w:rPr>
        <w:t>Nutrients</w:t>
      </w:r>
      <w:r w:rsidRPr="00006D9B">
        <w:rPr>
          <w:noProof/>
        </w:rPr>
        <w:t xml:space="preserve"> 7(12): 10427-46.</w:t>
      </w:r>
    </w:p>
    <w:p w14:paraId="7DCA9788" w14:textId="77777777" w:rsidR="005D4F89" w:rsidRDefault="005D4F89" w:rsidP="005D4F89">
      <w:pPr>
        <w:pStyle w:val="Excluded"/>
        <w:rPr>
          <w:noProof/>
        </w:rPr>
      </w:pPr>
      <w:r w:rsidRPr="00006D9B">
        <w:rPr>
          <w:noProof/>
        </w:rPr>
        <w:t>Wilson RL, Grieger JA, Bianco-Miotto T et al (2016) Association between maternal zinc status, dietary zinc intak</w:t>
      </w:r>
      <w:r>
        <w:rPr>
          <w:noProof/>
        </w:rPr>
        <w:t>e and pregnancy complications: A</w:t>
      </w:r>
      <w:r w:rsidRPr="00006D9B">
        <w:rPr>
          <w:noProof/>
        </w:rPr>
        <w:t xml:space="preserve"> systematic review. </w:t>
      </w:r>
      <w:r w:rsidRPr="00006D9B">
        <w:rPr>
          <w:i/>
          <w:noProof/>
        </w:rPr>
        <w:t>Nutrients</w:t>
      </w:r>
      <w:r w:rsidRPr="00006D9B">
        <w:rPr>
          <w:noProof/>
        </w:rPr>
        <w:t xml:space="preserve"> 8(10).</w:t>
      </w:r>
    </w:p>
    <w:p w14:paraId="60243DF5" w14:textId="77777777" w:rsidR="005D4F89" w:rsidRDefault="005D4F89" w:rsidP="005D4F89">
      <w:pPr>
        <w:pStyle w:val="Heading5"/>
        <w:rPr>
          <w:noProof/>
        </w:rPr>
      </w:pPr>
      <w:r>
        <w:rPr>
          <w:noProof/>
        </w:rPr>
        <w:t>Does not answer research question</w:t>
      </w:r>
    </w:p>
    <w:p w14:paraId="65C54523" w14:textId="15B8A980" w:rsidR="005D4F89" w:rsidRPr="005D4F89" w:rsidRDefault="005D4F89" w:rsidP="00A912D4">
      <w:pPr>
        <w:pStyle w:val="Excluded"/>
        <w:rPr>
          <w:noProof/>
        </w:rPr>
      </w:pPr>
      <w:r w:rsidRPr="00006D9B">
        <w:rPr>
          <w:noProof/>
        </w:rPr>
        <w:t xml:space="preserve">Naem NE, El-Sayed NM, Nossier SA et al (2014) Zinc status and dietary intake of pregnant women, Alexandria, Egypt. </w:t>
      </w:r>
      <w:r w:rsidRPr="00006D9B">
        <w:rPr>
          <w:i/>
          <w:noProof/>
        </w:rPr>
        <w:t>J Egypt Public Health Assoc</w:t>
      </w:r>
      <w:r w:rsidRPr="00006D9B">
        <w:rPr>
          <w:noProof/>
        </w:rPr>
        <w:t xml:space="preserve"> 89(1): 35-41.</w:t>
      </w:r>
    </w:p>
    <w:p w14:paraId="24431E39" w14:textId="0653AC2F" w:rsidR="00647A62" w:rsidRDefault="00647A62" w:rsidP="00A912D4">
      <w:pPr>
        <w:pStyle w:val="Heading4"/>
      </w:pPr>
      <w:r>
        <w:t>Magnesium</w:t>
      </w:r>
    </w:p>
    <w:p w14:paraId="53C7A7E1" w14:textId="77777777" w:rsidR="002060D4" w:rsidRDefault="002060D4" w:rsidP="00AA0656">
      <w:pPr>
        <w:pStyle w:val="Heading5"/>
        <w:rPr>
          <w:noProof/>
        </w:rPr>
      </w:pPr>
      <w:r>
        <w:rPr>
          <w:noProof/>
        </w:rPr>
        <w:t>Duplicate</w:t>
      </w:r>
    </w:p>
    <w:p w14:paraId="29740F46" w14:textId="77777777" w:rsidR="002060D4" w:rsidRPr="009A07C9" w:rsidRDefault="002060D4" w:rsidP="002060D4">
      <w:pPr>
        <w:pStyle w:val="Excluded"/>
        <w:rPr>
          <w:noProof/>
        </w:rPr>
      </w:pPr>
      <w:r w:rsidRPr="009A07C9">
        <w:rPr>
          <w:noProof/>
        </w:rPr>
        <w:t xml:space="preserve">Veronese N, Demurtas J, Pesolillo G et al (2020) Magnesium and health outcomes: an umbrella review of systematic reviews and meta-analyses of observational and intervention studies. </w:t>
      </w:r>
      <w:r w:rsidRPr="009A07C9">
        <w:rPr>
          <w:i/>
          <w:noProof/>
        </w:rPr>
        <w:t>Eur J Nutr</w:t>
      </w:r>
      <w:r w:rsidRPr="009A07C9">
        <w:rPr>
          <w:noProof/>
        </w:rPr>
        <w:t xml:space="preserve"> 59(1): 263-72.</w:t>
      </w:r>
    </w:p>
    <w:p w14:paraId="00597EEE" w14:textId="2D804A71" w:rsidR="00AA0656" w:rsidRDefault="00AA0656" w:rsidP="00AA0656">
      <w:pPr>
        <w:pStyle w:val="Heading5"/>
        <w:rPr>
          <w:noProof/>
        </w:rPr>
      </w:pPr>
      <w:r>
        <w:rPr>
          <w:noProof/>
        </w:rPr>
        <w:t>Wrong study design</w:t>
      </w:r>
    </w:p>
    <w:p w14:paraId="04673327" w14:textId="77777777" w:rsidR="00AA0656" w:rsidRPr="009A07C9" w:rsidRDefault="00AA0656" w:rsidP="00AA0656">
      <w:pPr>
        <w:pStyle w:val="Excluded"/>
        <w:rPr>
          <w:noProof/>
        </w:rPr>
      </w:pPr>
      <w:r w:rsidRPr="009A07C9">
        <w:rPr>
          <w:noProof/>
        </w:rPr>
        <w:t xml:space="preserve">Alves JG, de Araujo CA, Pontes IE et al (2014) The BRAzil MAGnesium (BRAMAG) trial: a randomized clinical trial of oral magnesium supplementation in pregnancy for the prevention of preterm birth and perinatal and maternal morbidity. </w:t>
      </w:r>
      <w:r w:rsidRPr="009A07C9">
        <w:rPr>
          <w:i/>
          <w:noProof/>
        </w:rPr>
        <w:t>BMC Pregnancy Childbirth</w:t>
      </w:r>
      <w:r w:rsidRPr="009A07C9">
        <w:rPr>
          <w:noProof/>
        </w:rPr>
        <w:t xml:space="preserve"> 14: 222.</w:t>
      </w:r>
      <w:r>
        <w:rPr>
          <w:noProof/>
        </w:rPr>
        <w:t xml:space="preserve"> [Protocol]</w:t>
      </w:r>
    </w:p>
    <w:p w14:paraId="0622059D" w14:textId="77777777" w:rsidR="00AA0656" w:rsidRPr="009A07C9" w:rsidRDefault="00AA0656" w:rsidP="00AA0656">
      <w:pPr>
        <w:pStyle w:val="Excluded"/>
        <w:rPr>
          <w:noProof/>
        </w:rPr>
      </w:pPr>
      <w:r w:rsidRPr="009A07C9">
        <w:rPr>
          <w:noProof/>
        </w:rPr>
        <w:t xml:space="preserve">Veronese N, Watutantrige-Fernando S, Luchini C et al (2016) Effect of magnesium supplementation on glucose metabolism in people with or at risk of diabetes: a systematic review and meta-analysis of double-blind randomized controlled trials. </w:t>
      </w:r>
      <w:r w:rsidRPr="009A07C9">
        <w:rPr>
          <w:i/>
          <w:noProof/>
        </w:rPr>
        <w:t>Eur J Clin Nutr</w:t>
      </w:r>
      <w:r w:rsidRPr="009A07C9">
        <w:rPr>
          <w:noProof/>
        </w:rPr>
        <w:t xml:space="preserve"> 70(12): 1463.</w:t>
      </w:r>
      <w:r>
        <w:rPr>
          <w:noProof/>
        </w:rPr>
        <w:t xml:space="preserve"> [Corrigendum]</w:t>
      </w:r>
    </w:p>
    <w:p w14:paraId="4D8BFABA" w14:textId="77777777" w:rsidR="002060D4" w:rsidRDefault="002060D4" w:rsidP="00AA0656">
      <w:pPr>
        <w:pStyle w:val="Heading5"/>
        <w:rPr>
          <w:noProof/>
        </w:rPr>
      </w:pPr>
      <w:r>
        <w:rPr>
          <w:noProof/>
        </w:rPr>
        <w:t>Not supplementation</w:t>
      </w:r>
    </w:p>
    <w:p w14:paraId="459A8406" w14:textId="77777777" w:rsidR="002060D4" w:rsidRPr="004E60F9" w:rsidRDefault="002060D4" w:rsidP="0030223E">
      <w:pPr>
        <w:pStyle w:val="Excluded"/>
        <w:rPr>
          <w:noProof/>
        </w:rPr>
      </w:pPr>
      <w:r w:rsidRPr="004E60F9">
        <w:rPr>
          <w:noProof/>
        </w:rPr>
        <w:t xml:space="preserve">Lai JS, Cai S, Feng L et al (2019) Associations of maternal zinc and magnesium with offspring learning abilities and cognitive development at 4 years in GUSTO. </w:t>
      </w:r>
      <w:r w:rsidRPr="004E60F9">
        <w:rPr>
          <w:i/>
          <w:noProof/>
        </w:rPr>
        <w:t>Nutr Neurosci</w:t>
      </w:r>
      <w:r w:rsidRPr="004E60F9">
        <w:rPr>
          <w:noProof/>
        </w:rPr>
        <w:t>: 1-10.</w:t>
      </w:r>
    </w:p>
    <w:p w14:paraId="623DFA7D" w14:textId="0E1E9082" w:rsidR="00AA0656" w:rsidRDefault="00AA0656" w:rsidP="00AA0656">
      <w:pPr>
        <w:pStyle w:val="Heading5"/>
        <w:rPr>
          <w:noProof/>
        </w:rPr>
      </w:pPr>
      <w:r>
        <w:rPr>
          <w:noProof/>
        </w:rPr>
        <w:t>Wrong population</w:t>
      </w:r>
    </w:p>
    <w:p w14:paraId="7EBF65A4" w14:textId="77777777" w:rsidR="00AA0656" w:rsidRPr="009A07C9" w:rsidRDefault="00AA0656" w:rsidP="00AA0656">
      <w:pPr>
        <w:pStyle w:val="Excluded"/>
        <w:rPr>
          <w:noProof/>
        </w:rPr>
      </w:pPr>
      <w:r w:rsidRPr="009A07C9">
        <w:rPr>
          <w:noProof/>
        </w:rPr>
        <w:t xml:space="preserve">Asemi Z, Karamali M, Jamilian M et al (2015) Magnesium supplementation affects metabolic status and pregnancy outcomes in gestational diabetes: a randomized, double-blind, placebo-controlled trial. </w:t>
      </w:r>
      <w:r w:rsidRPr="009A07C9">
        <w:rPr>
          <w:i/>
          <w:noProof/>
        </w:rPr>
        <w:t>The American Journal of Clinical Nutrition</w:t>
      </w:r>
      <w:r w:rsidRPr="009A07C9">
        <w:rPr>
          <w:noProof/>
        </w:rPr>
        <w:t xml:space="preserve"> 102(1): 222-29.</w:t>
      </w:r>
    </w:p>
    <w:p w14:paraId="0FAB34AD" w14:textId="77777777" w:rsidR="00AA0656" w:rsidRPr="009A07C9" w:rsidRDefault="00AA0656" w:rsidP="00AA0656">
      <w:pPr>
        <w:pStyle w:val="Excluded"/>
        <w:rPr>
          <w:noProof/>
        </w:rPr>
      </w:pPr>
      <w:r w:rsidRPr="009A07C9">
        <w:rPr>
          <w:noProof/>
        </w:rPr>
        <w:t xml:space="preserve">Fard FE, Mirghafourvand M, Mohammad-Alizadeh Charandabi S et al (2017) Effects of zinc and magnesium supplements on postpartum depression and anxiety: A randomized controlled clinical trial. </w:t>
      </w:r>
      <w:r w:rsidRPr="009A07C9">
        <w:rPr>
          <w:i/>
          <w:noProof/>
        </w:rPr>
        <w:t>Women Health</w:t>
      </w:r>
      <w:r w:rsidRPr="009A07C9">
        <w:rPr>
          <w:noProof/>
        </w:rPr>
        <w:t xml:space="preserve"> 57(9): 1115-28.</w:t>
      </w:r>
    </w:p>
    <w:p w14:paraId="36107A22" w14:textId="77777777" w:rsidR="00AA0656" w:rsidRDefault="00AA0656" w:rsidP="00AA0656">
      <w:pPr>
        <w:pStyle w:val="Heading5"/>
        <w:rPr>
          <w:noProof/>
        </w:rPr>
      </w:pPr>
      <w:r>
        <w:rPr>
          <w:noProof/>
        </w:rPr>
        <w:t>Systematic review with all studies included in another systematic review</w:t>
      </w:r>
    </w:p>
    <w:p w14:paraId="312A476A" w14:textId="77777777" w:rsidR="00AA0656" w:rsidRPr="009A07C9" w:rsidRDefault="00AA0656" w:rsidP="00AA0656">
      <w:pPr>
        <w:pStyle w:val="Excluded"/>
        <w:rPr>
          <w:noProof/>
        </w:rPr>
      </w:pPr>
      <w:r w:rsidRPr="009A07C9">
        <w:rPr>
          <w:noProof/>
        </w:rPr>
        <w:t xml:space="preserve">Veronese N, Demurtas J, Pesolillo G et al (2020) Magnesium and health outcomes: an umbrella review of systematic reviews and meta-analyses of observational and intervention studies. </w:t>
      </w:r>
      <w:r w:rsidRPr="009A07C9">
        <w:rPr>
          <w:i/>
          <w:noProof/>
        </w:rPr>
        <w:t>Eur J Nutr</w:t>
      </w:r>
      <w:r w:rsidRPr="009A07C9">
        <w:rPr>
          <w:noProof/>
        </w:rPr>
        <w:t xml:space="preserve"> 59(1): 263-72.</w:t>
      </w:r>
    </w:p>
    <w:p w14:paraId="04CEA319" w14:textId="53014018" w:rsidR="00647A62" w:rsidRDefault="00647A62" w:rsidP="00A912D4">
      <w:pPr>
        <w:pStyle w:val="Heading4"/>
      </w:pPr>
      <w:r>
        <w:t>Selenium</w:t>
      </w:r>
    </w:p>
    <w:p w14:paraId="05087E7D" w14:textId="77777777" w:rsidR="00215ADF" w:rsidRDefault="00215ADF" w:rsidP="0083508A">
      <w:pPr>
        <w:pStyle w:val="Heading5"/>
        <w:rPr>
          <w:noProof/>
        </w:rPr>
      </w:pPr>
      <w:r>
        <w:rPr>
          <w:noProof/>
        </w:rPr>
        <w:t>Wrong study design</w:t>
      </w:r>
    </w:p>
    <w:p w14:paraId="037F38E9" w14:textId="77777777" w:rsidR="00215ADF" w:rsidRPr="000F385C" w:rsidRDefault="00215ADF" w:rsidP="0030223E">
      <w:pPr>
        <w:pStyle w:val="Excluded"/>
        <w:rPr>
          <w:noProof/>
        </w:rPr>
      </w:pPr>
      <w:r w:rsidRPr="000F385C">
        <w:rPr>
          <w:noProof/>
        </w:rPr>
        <w:t xml:space="preserve">Barman M, Brantsaeter AL, Nilsson S et al. Maternal dietary selenium intake is associated with increased gestational length and decreased risk of preterm delivery. </w:t>
      </w:r>
      <w:r w:rsidRPr="000F385C">
        <w:rPr>
          <w:i/>
          <w:noProof/>
        </w:rPr>
        <w:t>Br J Nutr</w:t>
      </w:r>
      <w:r w:rsidRPr="000F385C">
        <w:rPr>
          <w:noProof/>
        </w:rPr>
        <w:t>. 2020; 123(2): 209-19.</w:t>
      </w:r>
    </w:p>
    <w:p w14:paraId="42B6FB97" w14:textId="77777777" w:rsidR="00215ADF" w:rsidRPr="000F385C" w:rsidRDefault="00215ADF" w:rsidP="0030223E">
      <w:pPr>
        <w:pStyle w:val="Excluded"/>
        <w:rPr>
          <w:noProof/>
        </w:rPr>
      </w:pPr>
      <w:r w:rsidRPr="000F385C">
        <w:rPr>
          <w:noProof/>
        </w:rPr>
        <w:t xml:space="preserve">Pieczynska J, Placzkowska S, Sozanski R et al. Is maternal dietary selenium intake related to antioxidant status and the occurrence of pregnancy complications? </w:t>
      </w:r>
      <w:r w:rsidRPr="000F385C">
        <w:rPr>
          <w:i/>
          <w:noProof/>
        </w:rPr>
        <w:t>J Trace Elem Med Biol</w:t>
      </w:r>
      <w:r w:rsidRPr="000F385C">
        <w:rPr>
          <w:noProof/>
        </w:rPr>
        <w:t>. 2019; 54: 110-7.</w:t>
      </w:r>
    </w:p>
    <w:p w14:paraId="4248F22B" w14:textId="4C7533D4" w:rsidR="00215ADF" w:rsidRPr="0030223E" w:rsidRDefault="00215ADF" w:rsidP="00215ADF">
      <w:pPr>
        <w:pStyle w:val="Heading5"/>
      </w:pPr>
      <w:r>
        <w:t>Wrong intervention</w:t>
      </w:r>
    </w:p>
    <w:p w14:paraId="04C3BB05" w14:textId="77777777" w:rsidR="00215ADF" w:rsidRPr="000F385C" w:rsidRDefault="00215ADF" w:rsidP="0030223E">
      <w:pPr>
        <w:pStyle w:val="Excluded"/>
        <w:rPr>
          <w:noProof/>
        </w:rPr>
      </w:pPr>
      <w:r w:rsidRPr="000F385C">
        <w:rPr>
          <w:noProof/>
        </w:rPr>
        <w:t xml:space="preserve">Guo Y, Yu P, Zhu J et al. High maternal selenium levels are associated with increased risk of congenital heart defects in the offspring. </w:t>
      </w:r>
      <w:r w:rsidRPr="000F385C">
        <w:rPr>
          <w:i/>
          <w:noProof/>
        </w:rPr>
        <w:t>Prenat Diagn</w:t>
      </w:r>
      <w:r w:rsidRPr="000F385C">
        <w:rPr>
          <w:noProof/>
        </w:rPr>
        <w:t>. 2019; 39(12): 1107-14.</w:t>
      </w:r>
    </w:p>
    <w:p w14:paraId="63EA63F0" w14:textId="77777777" w:rsidR="00215ADF" w:rsidRPr="000F385C" w:rsidRDefault="00215ADF" w:rsidP="0030223E">
      <w:pPr>
        <w:pStyle w:val="Excluded"/>
        <w:rPr>
          <w:noProof/>
        </w:rPr>
      </w:pPr>
      <w:r w:rsidRPr="000F385C">
        <w:rPr>
          <w:noProof/>
        </w:rPr>
        <w:t xml:space="preserve">Lewandowska M, Sajdak S, Lubinski J. The role of early pregnancy maternal selenium levels on the risk for small-for-gestational age newborns. </w:t>
      </w:r>
      <w:r w:rsidRPr="000F385C">
        <w:rPr>
          <w:i/>
          <w:noProof/>
        </w:rPr>
        <w:t>Nutrients</w:t>
      </w:r>
      <w:r w:rsidRPr="000F385C">
        <w:rPr>
          <w:noProof/>
        </w:rPr>
        <w:t>. 2019; 11(10).</w:t>
      </w:r>
    </w:p>
    <w:p w14:paraId="3208E613" w14:textId="77777777" w:rsidR="00215ADF" w:rsidRPr="000F385C" w:rsidRDefault="00215ADF" w:rsidP="0030223E">
      <w:pPr>
        <w:pStyle w:val="Excluded"/>
        <w:rPr>
          <w:noProof/>
        </w:rPr>
      </w:pPr>
      <w:r w:rsidRPr="000F385C">
        <w:rPr>
          <w:noProof/>
        </w:rPr>
        <w:t xml:space="preserve">Lewandowska M, Sajdak S, Lubiński J. Serum selenium level in early healthy pregnancy as a risk marker of pregnancy induced hypertension. </w:t>
      </w:r>
      <w:r w:rsidRPr="000F385C">
        <w:rPr>
          <w:i/>
          <w:noProof/>
        </w:rPr>
        <w:t>Nutrients</w:t>
      </w:r>
      <w:r w:rsidRPr="000F385C">
        <w:rPr>
          <w:noProof/>
        </w:rPr>
        <w:t>. 2019; 11(5).</w:t>
      </w:r>
    </w:p>
    <w:p w14:paraId="6778DAB3" w14:textId="31E9411A" w:rsidR="0083508A" w:rsidRDefault="0083508A" w:rsidP="0083508A">
      <w:pPr>
        <w:pStyle w:val="Heading5"/>
        <w:rPr>
          <w:noProof/>
        </w:rPr>
      </w:pPr>
      <w:r>
        <w:rPr>
          <w:noProof/>
        </w:rPr>
        <w:t>Wrong population</w:t>
      </w:r>
    </w:p>
    <w:p w14:paraId="226AFF2A" w14:textId="2F932696" w:rsidR="0083508A" w:rsidRPr="001B7D35" w:rsidRDefault="0083508A" w:rsidP="0083508A">
      <w:pPr>
        <w:pStyle w:val="Excluded"/>
        <w:rPr>
          <w:noProof/>
        </w:rPr>
      </w:pPr>
      <w:r w:rsidRPr="001B7D35">
        <w:rPr>
          <w:noProof/>
        </w:rPr>
        <w:t xml:space="preserve">Mesdaghinia E, Rahavi A, Bahmani F et al (2017) Clinical and metabolic response to selenium supplementation in pregnant women at risk for intrauterine growth restriction: randomized, double-blind, placebo-controlled trial. </w:t>
      </w:r>
      <w:r w:rsidRPr="001B7D35">
        <w:rPr>
          <w:i/>
          <w:noProof/>
        </w:rPr>
        <w:t>Biol Trace Elem Res</w:t>
      </w:r>
      <w:r w:rsidRPr="001B7D35">
        <w:rPr>
          <w:noProof/>
        </w:rPr>
        <w:t xml:space="preserve"> 178(1): 14-21.</w:t>
      </w:r>
    </w:p>
    <w:p w14:paraId="7DCBA494" w14:textId="77777777" w:rsidR="0083508A" w:rsidRDefault="0083508A" w:rsidP="0083508A">
      <w:pPr>
        <w:pStyle w:val="Heading5"/>
        <w:rPr>
          <w:noProof/>
        </w:rPr>
      </w:pPr>
      <w:r>
        <w:rPr>
          <w:noProof/>
        </w:rPr>
        <w:t>Narrative review</w:t>
      </w:r>
    </w:p>
    <w:p w14:paraId="0875B60F" w14:textId="77777777" w:rsidR="0083508A" w:rsidRPr="001B7D35" w:rsidRDefault="0083508A" w:rsidP="0083508A">
      <w:pPr>
        <w:pStyle w:val="Excluded"/>
        <w:rPr>
          <w:noProof/>
        </w:rPr>
      </w:pPr>
      <w:r w:rsidRPr="001B7D35">
        <w:rPr>
          <w:noProof/>
        </w:rPr>
        <w:t xml:space="preserve">Lewicka I, Kocyłowski R, Grzesiak M et al (2017) Selected trace elements concentrations in pregnancy and their possible role — literature review. </w:t>
      </w:r>
      <w:r w:rsidRPr="001B7D35">
        <w:rPr>
          <w:i/>
          <w:noProof/>
        </w:rPr>
        <w:t>Ginekologia Polska</w:t>
      </w:r>
      <w:r w:rsidRPr="001B7D35">
        <w:rPr>
          <w:noProof/>
        </w:rPr>
        <w:t xml:space="preserve"> 88(9): 509-14.</w:t>
      </w:r>
    </w:p>
    <w:p w14:paraId="26D60D55" w14:textId="77777777" w:rsidR="0083508A" w:rsidRPr="001B7D35" w:rsidRDefault="0083508A" w:rsidP="0083508A">
      <w:pPr>
        <w:pStyle w:val="Excluded"/>
        <w:rPr>
          <w:noProof/>
        </w:rPr>
      </w:pPr>
      <w:r w:rsidRPr="001B7D35">
        <w:rPr>
          <w:noProof/>
        </w:rPr>
        <w:t xml:space="preserve">Mirone M, Giannetta E, Isidori AM (2013) Selenium and reproductive function. A systematic review. </w:t>
      </w:r>
      <w:r w:rsidRPr="001B7D35">
        <w:rPr>
          <w:i/>
          <w:noProof/>
        </w:rPr>
        <w:t>J Endocrinol Invest</w:t>
      </w:r>
      <w:r w:rsidRPr="001B7D35">
        <w:rPr>
          <w:noProof/>
        </w:rPr>
        <w:t xml:space="preserve"> 36(10 Suppl): 28-36.</w:t>
      </w:r>
    </w:p>
    <w:p w14:paraId="1EC451A7" w14:textId="5268BF70" w:rsidR="00647A62" w:rsidRDefault="00647A62" w:rsidP="0083508A">
      <w:pPr>
        <w:pStyle w:val="Heading3"/>
        <w:numPr>
          <w:ilvl w:val="0"/>
          <w:numId w:val="0"/>
        </w:numPr>
      </w:pPr>
      <w:bookmarkStart w:id="361" w:name="_Toc40956573"/>
      <w:r>
        <w:t>Nutritionally based complementary medicines</w:t>
      </w:r>
      <w:r w:rsidR="00110F60">
        <w:t xml:space="preserve"> (question 4)</w:t>
      </w:r>
      <w:bookmarkEnd w:id="361"/>
    </w:p>
    <w:p w14:paraId="4C855D5F" w14:textId="25E80DDE" w:rsidR="00D065BB" w:rsidRDefault="00D065BB" w:rsidP="00A912D4">
      <w:pPr>
        <w:pStyle w:val="Heading4"/>
      </w:pPr>
      <w:r>
        <w:t>Herbal preparations</w:t>
      </w:r>
      <w:r w:rsidR="00110F60">
        <w:t xml:space="preserve"> </w:t>
      </w:r>
    </w:p>
    <w:p w14:paraId="4768EAC5" w14:textId="77777777" w:rsidR="00647A62" w:rsidRDefault="00647A62" w:rsidP="00647A62">
      <w:pPr>
        <w:pStyle w:val="Heading5"/>
        <w:rPr>
          <w:noProof/>
        </w:rPr>
      </w:pPr>
      <w:r>
        <w:rPr>
          <w:noProof/>
        </w:rPr>
        <w:t>Non-ingested modalities</w:t>
      </w:r>
    </w:p>
    <w:p w14:paraId="495B4FB3" w14:textId="77777777" w:rsidR="0083335D" w:rsidRPr="003B3CAF" w:rsidRDefault="0083335D" w:rsidP="00647A62">
      <w:pPr>
        <w:pStyle w:val="Excluded"/>
        <w:rPr>
          <w:noProof/>
        </w:rPr>
      </w:pPr>
      <w:r w:rsidRPr="003B3CAF">
        <w:rPr>
          <w:noProof/>
        </w:rPr>
        <w:t xml:space="preserve">Adlan AS, Chooi KY, Mat Adenan NA (2017) Acupressure as adjuvant treatment for the inpatient management of nausea and vomiting in early pregnancy: A double-blind randomized controlled trial. </w:t>
      </w:r>
      <w:r w:rsidRPr="003B3CAF">
        <w:rPr>
          <w:i/>
          <w:noProof/>
        </w:rPr>
        <w:t>J Obstet Gynaecol Res</w:t>
      </w:r>
      <w:r w:rsidRPr="003B3CAF">
        <w:rPr>
          <w:noProof/>
        </w:rPr>
        <w:t xml:space="preserve"> 43(4): 662-68.</w:t>
      </w:r>
    </w:p>
    <w:p w14:paraId="4F0D687C" w14:textId="77777777" w:rsidR="0083335D" w:rsidRPr="003B3CAF" w:rsidRDefault="0083335D" w:rsidP="00647A62">
      <w:pPr>
        <w:pStyle w:val="Excluded"/>
        <w:rPr>
          <w:noProof/>
        </w:rPr>
      </w:pPr>
      <w:r w:rsidRPr="003B3CAF">
        <w:rPr>
          <w:noProof/>
        </w:rPr>
        <w:t xml:space="preserve">Buchberger B &amp; Krabbe L (2018) Evaluation of outpatient acupuncture for relief of pregnancy-related conditions. </w:t>
      </w:r>
      <w:r w:rsidRPr="003B3CAF">
        <w:rPr>
          <w:i/>
          <w:noProof/>
        </w:rPr>
        <w:t>Int J Gynaecol Obstet</w:t>
      </w:r>
      <w:r w:rsidRPr="003B3CAF">
        <w:rPr>
          <w:noProof/>
        </w:rPr>
        <w:t xml:space="preserve"> 141(2): 151-58.</w:t>
      </w:r>
    </w:p>
    <w:p w14:paraId="506E2A72" w14:textId="77777777" w:rsidR="0083335D" w:rsidRPr="003B3CAF" w:rsidRDefault="0083335D" w:rsidP="00647A62">
      <w:pPr>
        <w:pStyle w:val="Excluded"/>
        <w:rPr>
          <w:noProof/>
        </w:rPr>
      </w:pPr>
      <w:r w:rsidRPr="003B3CAF">
        <w:rPr>
          <w:noProof/>
        </w:rPr>
        <w:t xml:space="preserve">Chang HC, Yu CH, Chen SY et al (2015) The effects of music listening on psychosocial stress and maternal-fetal attachment during pregnancy. </w:t>
      </w:r>
      <w:r w:rsidRPr="003B3CAF">
        <w:rPr>
          <w:i/>
          <w:noProof/>
        </w:rPr>
        <w:t>Complement Ther Med</w:t>
      </w:r>
      <w:r w:rsidRPr="003B3CAF">
        <w:rPr>
          <w:noProof/>
        </w:rPr>
        <w:t xml:space="preserve"> 23(4): 509-15.</w:t>
      </w:r>
    </w:p>
    <w:p w14:paraId="2D5F499B" w14:textId="77777777" w:rsidR="0083335D" w:rsidRPr="003B3CAF" w:rsidRDefault="0083335D" w:rsidP="00647A62">
      <w:pPr>
        <w:pStyle w:val="Excluded"/>
        <w:rPr>
          <w:noProof/>
        </w:rPr>
      </w:pPr>
      <w:r w:rsidRPr="003B3CAF">
        <w:rPr>
          <w:noProof/>
        </w:rPr>
        <w:t xml:space="preserve">Chen PJ, Chou CC, Yang L et al (2017) Effects of aromatherapy massage on pregnant women's stress and immune function: a longitudinal, prospective, randomized controlled trial. </w:t>
      </w:r>
      <w:r w:rsidRPr="003B3CAF">
        <w:rPr>
          <w:i/>
          <w:noProof/>
        </w:rPr>
        <w:t>J Altern Complement Med</w:t>
      </w:r>
      <w:r w:rsidRPr="003B3CAF">
        <w:rPr>
          <w:noProof/>
        </w:rPr>
        <w:t xml:space="preserve"> 23(10): 778-86.</w:t>
      </w:r>
    </w:p>
    <w:p w14:paraId="3B979241" w14:textId="77777777" w:rsidR="0083335D" w:rsidRPr="003B3CAF" w:rsidRDefault="0083335D" w:rsidP="00647A62">
      <w:pPr>
        <w:pStyle w:val="Excluded"/>
        <w:rPr>
          <w:noProof/>
        </w:rPr>
      </w:pPr>
      <w:r w:rsidRPr="003B3CAF">
        <w:rPr>
          <w:noProof/>
        </w:rPr>
        <w:t xml:space="preserve">Clarkson CE, O'Mahony D, Jones DE (2015) Adverse event reporting in studies of penetrating acupuncture during pregnancy: a systematic review. </w:t>
      </w:r>
      <w:r w:rsidRPr="003B3CAF">
        <w:rPr>
          <w:i/>
          <w:noProof/>
        </w:rPr>
        <w:t>Acta Obstet Gynecol Scand</w:t>
      </w:r>
      <w:r w:rsidRPr="003B3CAF">
        <w:rPr>
          <w:noProof/>
        </w:rPr>
        <w:t xml:space="preserve"> 94(5): 453-64.</w:t>
      </w:r>
    </w:p>
    <w:p w14:paraId="40D2A460" w14:textId="77777777" w:rsidR="0083335D" w:rsidRPr="003B3CAF" w:rsidRDefault="0083335D" w:rsidP="00647A62">
      <w:pPr>
        <w:pStyle w:val="Excluded"/>
        <w:rPr>
          <w:noProof/>
        </w:rPr>
      </w:pPr>
      <w:r w:rsidRPr="003B3CAF">
        <w:rPr>
          <w:noProof/>
        </w:rPr>
        <w:t xml:space="preserve">Corbijn van Willenswaard K, Lynn F, McNeill J et al (2017) Music interventions to reduce stress and anxiety in pregnancy: a systematic review and meta-analysis. </w:t>
      </w:r>
      <w:r w:rsidRPr="003B3CAF">
        <w:rPr>
          <w:i/>
          <w:noProof/>
        </w:rPr>
        <w:t>BMC Psychiatry</w:t>
      </w:r>
      <w:r w:rsidRPr="003B3CAF">
        <w:rPr>
          <w:noProof/>
        </w:rPr>
        <w:t xml:space="preserve"> 17(1): 271.</w:t>
      </w:r>
    </w:p>
    <w:p w14:paraId="6BF8CBC4" w14:textId="77777777" w:rsidR="0083335D" w:rsidRPr="003B3CAF" w:rsidRDefault="0083335D" w:rsidP="00647A62">
      <w:pPr>
        <w:pStyle w:val="Excluded"/>
        <w:rPr>
          <w:noProof/>
        </w:rPr>
      </w:pPr>
      <w:r w:rsidRPr="003B3CAF">
        <w:rPr>
          <w:noProof/>
        </w:rPr>
        <w:t xml:space="preserve">Coyle ME, Smith CA, Peat B (2012) Cephalic version by moxibustion for breech presentation. </w:t>
      </w:r>
      <w:r w:rsidRPr="003B3CAF">
        <w:rPr>
          <w:i/>
          <w:noProof/>
        </w:rPr>
        <w:t>Cochrane Database Syst Rev</w:t>
      </w:r>
      <w:r w:rsidRPr="003B3CAF">
        <w:rPr>
          <w:noProof/>
        </w:rPr>
        <w:t>(5): CD003928.</w:t>
      </w:r>
    </w:p>
    <w:p w14:paraId="42AE16B0" w14:textId="77777777" w:rsidR="0083335D" w:rsidRPr="003B3CAF" w:rsidRDefault="0083335D" w:rsidP="00647A62">
      <w:pPr>
        <w:pStyle w:val="Excluded"/>
        <w:rPr>
          <w:noProof/>
        </w:rPr>
      </w:pPr>
      <w:r w:rsidRPr="003B3CAF">
        <w:rPr>
          <w:noProof/>
        </w:rPr>
        <w:t xml:space="preserve">Effati-Daryani F, Mohammad-Alizadeh-Charandabi S, Mirghafourvand M et al (2018) Effect of lavender cream with or without footbath on sleep quality and fatigue in pregnancy and postpartum: a randomized controlled trial. </w:t>
      </w:r>
      <w:r w:rsidRPr="003B3CAF">
        <w:rPr>
          <w:i/>
          <w:noProof/>
        </w:rPr>
        <w:t>Women Health</w:t>
      </w:r>
      <w:r w:rsidRPr="003B3CAF">
        <w:rPr>
          <w:noProof/>
        </w:rPr>
        <w:t xml:space="preserve"> 58(10): 1179-91.</w:t>
      </w:r>
    </w:p>
    <w:p w14:paraId="2BA93AC6" w14:textId="77777777" w:rsidR="0083335D" w:rsidRPr="003B3CAF" w:rsidRDefault="0083335D" w:rsidP="00647A62">
      <w:pPr>
        <w:pStyle w:val="Excluded"/>
        <w:rPr>
          <w:noProof/>
        </w:rPr>
      </w:pPr>
      <w:r w:rsidRPr="003B3CAF">
        <w:rPr>
          <w:noProof/>
        </w:rPr>
        <w:t xml:space="preserve">Emami-Sahebi A, Elyasi F, Yazdani-Charati J et al (2018) Psychological interventions for nausea and vomiting of pregnancy: A systematic review. </w:t>
      </w:r>
      <w:r w:rsidRPr="003B3CAF">
        <w:rPr>
          <w:i/>
          <w:noProof/>
        </w:rPr>
        <w:t>Taiwan J Obstet Gynecol</w:t>
      </w:r>
      <w:r w:rsidRPr="003B3CAF">
        <w:rPr>
          <w:noProof/>
        </w:rPr>
        <w:t xml:space="preserve"> 57(5): 644-49.</w:t>
      </w:r>
    </w:p>
    <w:p w14:paraId="164099CB" w14:textId="77777777" w:rsidR="0083335D" w:rsidRPr="003B3CAF" w:rsidRDefault="0083335D" w:rsidP="00647A62">
      <w:pPr>
        <w:pStyle w:val="Excluded"/>
        <w:rPr>
          <w:noProof/>
        </w:rPr>
      </w:pPr>
      <w:r w:rsidRPr="003B3CAF">
        <w:rPr>
          <w:noProof/>
        </w:rPr>
        <w:t xml:space="preserve">Garcia-Mochon L, Martin JJ, Aranda-Regules JM et al (2015) Cost effectiveness of using moxibustion to correct non-vertex presentation. </w:t>
      </w:r>
      <w:r w:rsidRPr="003B3CAF">
        <w:rPr>
          <w:i/>
          <w:noProof/>
        </w:rPr>
        <w:t>Acupunct Med</w:t>
      </w:r>
      <w:r w:rsidRPr="003B3CAF">
        <w:rPr>
          <w:noProof/>
        </w:rPr>
        <w:t xml:space="preserve"> 33(2): 136-41.</w:t>
      </w:r>
    </w:p>
    <w:p w14:paraId="4758CEBF" w14:textId="77777777" w:rsidR="0083335D" w:rsidRPr="003B3CAF" w:rsidRDefault="0083335D" w:rsidP="00647A62">
      <w:pPr>
        <w:pStyle w:val="Excluded"/>
        <w:rPr>
          <w:noProof/>
        </w:rPr>
      </w:pPr>
      <w:r w:rsidRPr="003B3CAF">
        <w:rPr>
          <w:noProof/>
        </w:rPr>
        <w:t xml:space="preserve">Hensel KL, Roane BM, Chaphekar AV et al (2016) PROMOTE Study: Safety of osteopathic manipulative treatment during the third trimester by labor and delivery outcomes. </w:t>
      </w:r>
      <w:r w:rsidRPr="003B3CAF">
        <w:rPr>
          <w:i/>
          <w:noProof/>
        </w:rPr>
        <w:t>J Am Osteopath Assoc</w:t>
      </w:r>
      <w:r w:rsidRPr="003B3CAF">
        <w:rPr>
          <w:noProof/>
        </w:rPr>
        <w:t xml:space="preserve"> 116(11): 698-703.</w:t>
      </w:r>
    </w:p>
    <w:p w14:paraId="35005299" w14:textId="77777777" w:rsidR="0083335D" w:rsidRPr="003B3CAF" w:rsidRDefault="0083335D" w:rsidP="00647A62">
      <w:pPr>
        <w:pStyle w:val="Excluded"/>
        <w:rPr>
          <w:noProof/>
        </w:rPr>
      </w:pPr>
      <w:r w:rsidRPr="003B3CAF">
        <w:rPr>
          <w:noProof/>
        </w:rPr>
        <w:t xml:space="preserve">Joulaeerad N, Ozgoli G, Hajimehdipoor H et al (2018) Effect of aromatherapy with peppermint oil on the severity of nausea and vomiting in pregnancy: a single-blind, randomized, placebo-controlled trial. </w:t>
      </w:r>
      <w:r w:rsidRPr="003B3CAF">
        <w:rPr>
          <w:i/>
          <w:noProof/>
        </w:rPr>
        <w:t>J Reprod Infertil</w:t>
      </w:r>
      <w:r w:rsidRPr="003B3CAF">
        <w:rPr>
          <w:noProof/>
        </w:rPr>
        <w:t xml:space="preserve"> 19(1): 32-38.</w:t>
      </w:r>
    </w:p>
    <w:p w14:paraId="686D8FEC" w14:textId="77777777" w:rsidR="0083335D" w:rsidRPr="003B3CAF" w:rsidRDefault="0083335D" w:rsidP="00647A62">
      <w:pPr>
        <w:pStyle w:val="Excluded"/>
        <w:rPr>
          <w:noProof/>
        </w:rPr>
      </w:pPr>
      <w:r w:rsidRPr="003B3CAF">
        <w:rPr>
          <w:noProof/>
        </w:rPr>
        <w:t xml:space="preserve">Liu YH, Lee CS, Yu CH et al (2016) Effects of music listening on stress, anxiety, and sleep quality for sleep-disturbed pregnant women. </w:t>
      </w:r>
      <w:r w:rsidRPr="003B3CAF">
        <w:rPr>
          <w:i/>
          <w:noProof/>
        </w:rPr>
        <w:t>Women Health</w:t>
      </w:r>
      <w:r w:rsidRPr="003B3CAF">
        <w:rPr>
          <w:noProof/>
        </w:rPr>
        <w:t xml:space="preserve"> 56(3): 296-311.</w:t>
      </w:r>
    </w:p>
    <w:p w14:paraId="4E37307E" w14:textId="77777777" w:rsidR="0083335D" w:rsidRPr="003B3CAF" w:rsidRDefault="0083335D" w:rsidP="00647A62">
      <w:pPr>
        <w:pStyle w:val="Excluded"/>
        <w:rPr>
          <w:noProof/>
        </w:rPr>
      </w:pPr>
      <w:r w:rsidRPr="003B3CAF">
        <w:rPr>
          <w:noProof/>
        </w:rPr>
        <w:t xml:space="preserve">Marc I, Toureche N, Ernst E et al (2011) Mind-body interventions during pregnancy for preventing or treating women's anxiety. </w:t>
      </w:r>
      <w:r w:rsidRPr="003B3CAF">
        <w:rPr>
          <w:i/>
          <w:noProof/>
        </w:rPr>
        <w:t>Cochrane Database Syst Rev</w:t>
      </w:r>
      <w:r w:rsidRPr="003B3CAF">
        <w:rPr>
          <w:noProof/>
        </w:rPr>
        <w:t>(7): CD007559.</w:t>
      </w:r>
    </w:p>
    <w:p w14:paraId="364C30DC" w14:textId="77777777" w:rsidR="0083335D" w:rsidRPr="003B3CAF" w:rsidRDefault="0083335D" w:rsidP="00647A62">
      <w:pPr>
        <w:pStyle w:val="Excluded"/>
        <w:rPr>
          <w:noProof/>
        </w:rPr>
      </w:pPr>
      <w:r w:rsidRPr="003B3CAF">
        <w:rPr>
          <w:noProof/>
        </w:rPr>
        <w:t xml:space="preserve">Mirghafourvand M, Sehhati Shafaie F, Mohammad-Alizadeh-Charandabi S et al (2016) Effect of vocalization of the Holy Quran with and without translation on pregnancy outcomes: a randomized clinical trial. </w:t>
      </w:r>
      <w:r w:rsidRPr="003B3CAF">
        <w:rPr>
          <w:i/>
          <w:noProof/>
        </w:rPr>
        <w:t>Iran Red Crescent Med J</w:t>
      </w:r>
      <w:r w:rsidRPr="003B3CAF">
        <w:rPr>
          <w:noProof/>
        </w:rPr>
        <w:t xml:space="preserve"> 18(9): e35421.</w:t>
      </w:r>
    </w:p>
    <w:p w14:paraId="23FB2EA8" w14:textId="77777777" w:rsidR="0083335D" w:rsidRPr="003B3CAF" w:rsidRDefault="0083335D" w:rsidP="00647A62">
      <w:pPr>
        <w:pStyle w:val="Excluded"/>
        <w:rPr>
          <w:noProof/>
        </w:rPr>
      </w:pPr>
      <w:r w:rsidRPr="003B3CAF">
        <w:rPr>
          <w:noProof/>
        </w:rPr>
        <w:t xml:space="preserve">Ozkan SA &amp; Rathfisch G (2018) The effect of relaxation exercises on sleep quality in pregnant women in the third trimester: A randomized controlled trial. </w:t>
      </w:r>
      <w:r w:rsidRPr="003B3CAF">
        <w:rPr>
          <w:i/>
          <w:noProof/>
        </w:rPr>
        <w:t>Complement Ther Clin Pract</w:t>
      </w:r>
      <w:r w:rsidRPr="003B3CAF">
        <w:rPr>
          <w:noProof/>
        </w:rPr>
        <w:t xml:space="preserve"> 32: 79-84.</w:t>
      </w:r>
    </w:p>
    <w:p w14:paraId="7639A87D" w14:textId="77777777" w:rsidR="0083335D" w:rsidRPr="003B3CAF" w:rsidRDefault="0083335D" w:rsidP="00647A62">
      <w:pPr>
        <w:pStyle w:val="Excluded"/>
        <w:rPr>
          <w:noProof/>
        </w:rPr>
      </w:pPr>
      <w:r w:rsidRPr="003B3CAF">
        <w:rPr>
          <w:noProof/>
        </w:rPr>
        <w:t xml:space="preserve">Park J, Sohn Y, White AR et al (2014) The safety of acupuncture during pregnancy: a systematic review. </w:t>
      </w:r>
      <w:r w:rsidRPr="003B3CAF">
        <w:rPr>
          <w:i/>
          <w:noProof/>
        </w:rPr>
        <w:t>Acupunct Med</w:t>
      </w:r>
      <w:r w:rsidRPr="003B3CAF">
        <w:rPr>
          <w:noProof/>
        </w:rPr>
        <w:t xml:space="preserve"> 32(3): 257-66.</w:t>
      </w:r>
    </w:p>
    <w:p w14:paraId="1D01ABDD" w14:textId="77777777" w:rsidR="0083335D" w:rsidRPr="003B3CAF" w:rsidRDefault="0083335D" w:rsidP="00647A62">
      <w:pPr>
        <w:pStyle w:val="Excluded"/>
        <w:rPr>
          <w:noProof/>
        </w:rPr>
      </w:pPr>
      <w:r w:rsidRPr="003B3CAF">
        <w:rPr>
          <w:noProof/>
        </w:rPr>
        <w:t xml:space="preserve">Sananes N, Roth GE, Aissi GA et al (2016) Acupuncture version of breech presentation: a randomized sham-controlled single-blinded trial. </w:t>
      </w:r>
      <w:r w:rsidRPr="003B3CAF">
        <w:rPr>
          <w:i/>
          <w:noProof/>
        </w:rPr>
        <w:t>Eur J Obstet Gynecol Reprod Biol</w:t>
      </w:r>
      <w:r w:rsidRPr="003B3CAF">
        <w:rPr>
          <w:noProof/>
        </w:rPr>
        <w:t xml:space="preserve"> 204: 24-30.</w:t>
      </w:r>
    </w:p>
    <w:p w14:paraId="642AF8DA" w14:textId="77777777" w:rsidR="0083335D" w:rsidRPr="003B3CAF" w:rsidRDefault="0083335D" w:rsidP="00647A62">
      <w:pPr>
        <w:pStyle w:val="Excluded"/>
        <w:rPr>
          <w:noProof/>
        </w:rPr>
      </w:pPr>
      <w:r w:rsidRPr="003B3CAF">
        <w:rPr>
          <w:noProof/>
        </w:rPr>
        <w:t xml:space="preserve">Smith CA, Shewamene Z, Galbally M et al (2019) The effect of complementary medicines and therapies on maternal anxiety and depression in pregnancy: A systematic review and meta-analysis. </w:t>
      </w:r>
      <w:r w:rsidRPr="003B3CAF">
        <w:rPr>
          <w:i/>
          <w:noProof/>
        </w:rPr>
        <w:t>J Affect Disord</w:t>
      </w:r>
      <w:r w:rsidRPr="003B3CAF">
        <w:rPr>
          <w:noProof/>
        </w:rPr>
        <w:t xml:space="preserve"> 245: 428-39.</w:t>
      </w:r>
    </w:p>
    <w:p w14:paraId="5F99AC8B" w14:textId="77777777" w:rsidR="0083335D" w:rsidRPr="003B3CAF" w:rsidRDefault="0083335D" w:rsidP="00647A62">
      <w:pPr>
        <w:pStyle w:val="Excluded"/>
        <w:rPr>
          <w:noProof/>
        </w:rPr>
      </w:pPr>
      <w:r w:rsidRPr="003B3CAF">
        <w:rPr>
          <w:noProof/>
        </w:rPr>
        <w:t xml:space="preserve">Soltanipour F, Delaram M, Taavoni S et al (2014) The effect of olive oil and the Saj® cream in prevention of striae gravidarum: A randomized controlled clinical trial. </w:t>
      </w:r>
      <w:r w:rsidRPr="003B3CAF">
        <w:rPr>
          <w:i/>
          <w:noProof/>
        </w:rPr>
        <w:t>Complementary Therapies in Medicine</w:t>
      </w:r>
      <w:r w:rsidRPr="003B3CAF">
        <w:rPr>
          <w:noProof/>
        </w:rPr>
        <w:t xml:space="preserve"> 22(2): 220-25.</w:t>
      </w:r>
    </w:p>
    <w:p w14:paraId="257D392C" w14:textId="77777777" w:rsidR="0083335D" w:rsidRPr="003B3CAF" w:rsidRDefault="0083335D" w:rsidP="00647A62">
      <w:pPr>
        <w:pStyle w:val="Excluded"/>
        <w:rPr>
          <w:noProof/>
        </w:rPr>
      </w:pPr>
      <w:r w:rsidRPr="003B3CAF">
        <w:rPr>
          <w:noProof/>
        </w:rPr>
        <w:t xml:space="preserve">Tragea C, Chrousos GP, Alexopoulos EC et al (2014) A randomized controlled trial of the effects of a stress management programme during pregnancy. </w:t>
      </w:r>
      <w:r w:rsidRPr="003B3CAF">
        <w:rPr>
          <w:i/>
          <w:noProof/>
        </w:rPr>
        <w:t>Complement Ther Med</w:t>
      </w:r>
      <w:r w:rsidRPr="003B3CAF">
        <w:rPr>
          <w:noProof/>
        </w:rPr>
        <w:t xml:space="preserve"> 22(2): 203-11.</w:t>
      </w:r>
    </w:p>
    <w:p w14:paraId="50071D4F" w14:textId="77777777" w:rsidR="0083335D" w:rsidRPr="003B3CAF" w:rsidRDefault="0083335D" w:rsidP="00647A62">
      <w:pPr>
        <w:pStyle w:val="Excluded"/>
        <w:rPr>
          <w:noProof/>
        </w:rPr>
      </w:pPr>
      <w:r w:rsidRPr="003B3CAF">
        <w:rPr>
          <w:noProof/>
        </w:rPr>
        <w:t xml:space="preserve">Van den Heuvel E, Goossens M, Vanderhaegen H et al (2016) Effect of acustimulation on nausea and vomiting and on hyperemesis in pregnancy: a systematic review of Western and Chinese literature. </w:t>
      </w:r>
      <w:r w:rsidRPr="003B3CAF">
        <w:rPr>
          <w:i/>
          <w:noProof/>
        </w:rPr>
        <w:t>BMC Complement Altern Med</w:t>
      </w:r>
      <w:r w:rsidRPr="003B3CAF">
        <w:rPr>
          <w:noProof/>
        </w:rPr>
        <w:t xml:space="preserve"> 16: 13.</w:t>
      </w:r>
    </w:p>
    <w:p w14:paraId="3BFC2EC0" w14:textId="77777777" w:rsidR="0083335D" w:rsidRPr="003B3CAF" w:rsidRDefault="0083335D" w:rsidP="00647A62">
      <w:pPr>
        <w:pStyle w:val="Excluded"/>
        <w:rPr>
          <w:noProof/>
        </w:rPr>
      </w:pPr>
      <w:r w:rsidRPr="003B3CAF">
        <w:rPr>
          <w:noProof/>
        </w:rPr>
        <w:t xml:space="preserve">Yavari Kia P, Safajou F, Shahnazi M et al (2014) The effect of lemon inhalation aromatherapy on nausea and vomiting of pregnancy: a double-blinded, randomized, controlled clinical trial. </w:t>
      </w:r>
      <w:r w:rsidRPr="003B3CAF">
        <w:rPr>
          <w:i/>
          <w:noProof/>
        </w:rPr>
        <w:t>Iran Red Crescent Med J</w:t>
      </w:r>
      <w:r w:rsidRPr="003B3CAF">
        <w:rPr>
          <w:noProof/>
        </w:rPr>
        <w:t xml:space="preserve"> 16(3): e14360.</w:t>
      </w:r>
    </w:p>
    <w:p w14:paraId="549A476D" w14:textId="77777777" w:rsidR="0083335D" w:rsidRPr="003B3CAF" w:rsidRDefault="0083335D" w:rsidP="00647A62">
      <w:pPr>
        <w:pStyle w:val="Excluded"/>
        <w:rPr>
          <w:noProof/>
        </w:rPr>
      </w:pPr>
      <w:r w:rsidRPr="003B3CAF">
        <w:rPr>
          <w:noProof/>
        </w:rPr>
        <w:t xml:space="preserve">Zahra M, Fateme B, Fatemeh MK et al (2019) The effect of Benson’s muscle relaxation technique on severity of pregnancy nausea. </w:t>
      </w:r>
      <w:r w:rsidRPr="003B3CAF">
        <w:rPr>
          <w:i/>
          <w:noProof/>
        </w:rPr>
        <w:t>Electronic Journal of General Medicine</w:t>
      </w:r>
      <w:r w:rsidRPr="003B3CAF">
        <w:rPr>
          <w:noProof/>
        </w:rPr>
        <w:t xml:space="preserve"> 16(2).</w:t>
      </w:r>
    </w:p>
    <w:p w14:paraId="43412E18" w14:textId="77777777" w:rsidR="00647A62" w:rsidRDefault="00647A62" w:rsidP="00647A62">
      <w:pPr>
        <w:pStyle w:val="Heading5"/>
        <w:rPr>
          <w:noProof/>
        </w:rPr>
      </w:pPr>
      <w:r>
        <w:rPr>
          <w:noProof/>
        </w:rPr>
        <w:t>Narrative review</w:t>
      </w:r>
    </w:p>
    <w:p w14:paraId="3246B115" w14:textId="77777777" w:rsidR="00220DCC" w:rsidRPr="000F7E94" w:rsidRDefault="00220DCC" w:rsidP="00220DCC">
      <w:pPr>
        <w:pStyle w:val="Excluded"/>
        <w:rPr>
          <w:noProof/>
        </w:rPr>
      </w:pPr>
      <w:r w:rsidRPr="000F7E94">
        <w:rPr>
          <w:noProof/>
        </w:rPr>
        <w:t xml:space="preserve">Adams J, Steel A, Frawley J et al (2017) Substantial out-of-pocket expenditure on maternity care practitioner consultations and treatments during pregnancy: estimates from a nationally-representative sample of pregnant women in Australia. </w:t>
      </w:r>
      <w:r w:rsidRPr="000F7E94">
        <w:rPr>
          <w:i/>
          <w:noProof/>
        </w:rPr>
        <w:t>BMC Pregnancy Childbirth</w:t>
      </w:r>
      <w:r w:rsidRPr="000F7E94">
        <w:rPr>
          <w:noProof/>
        </w:rPr>
        <w:t xml:space="preserve"> 17(1): 114.</w:t>
      </w:r>
    </w:p>
    <w:p w14:paraId="5D0449FE" w14:textId="77777777" w:rsidR="00220DCC" w:rsidRPr="003B3CAF" w:rsidRDefault="00220DCC" w:rsidP="00220DCC">
      <w:pPr>
        <w:pStyle w:val="Excluded"/>
        <w:rPr>
          <w:noProof/>
        </w:rPr>
      </w:pPr>
      <w:r w:rsidRPr="003B3CAF">
        <w:rPr>
          <w:noProof/>
        </w:rPr>
        <w:t xml:space="preserve">Ahmed M, Hwang JH, Choi S et al (2017) Safety classification of herbal medicines used among pregnant women in Asian countries: a systematic review. </w:t>
      </w:r>
      <w:r w:rsidRPr="003B3CAF">
        <w:rPr>
          <w:i/>
          <w:noProof/>
        </w:rPr>
        <w:t>BMC Complement Altern Med</w:t>
      </w:r>
      <w:r w:rsidRPr="003B3CAF">
        <w:rPr>
          <w:noProof/>
        </w:rPr>
        <w:t xml:space="preserve"> 17(1): 489.</w:t>
      </w:r>
    </w:p>
    <w:p w14:paraId="08978D89" w14:textId="478311AC" w:rsidR="00220DCC" w:rsidRPr="000F7E94" w:rsidRDefault="00220DCC" w:rsidP="00220DCC">
      <w:pPr>
        <w:pStyle w:val="Excluded"/>
        <w:rPr>
          <w:noProof/>
        </w:rPr>
      </w:pPr>
      <w:r w:rsidRPr="000F7E94">
        <w:rPr>
          <w:noProof/>
        </w:rPr>
        <w:t xml:space="preserve">Babbar S, Williams KB, Maulik D (2017) Complementary and alternative medicine use in modern obstetrics: a survey of the central association of obstetricians &amp; gynecologists members. </w:t>
      </w:r>
      <w:r w:rsidRPr="000F7E94">
        <w:rPr>
          <w:i/>
          <w:noProof/>
        </w:rPr>
        <w:t>J Evid Based Complementary Altern Med</w:t>
      </w:r>
      <w:r w:rsidRPr="000F7E94">
        <w:rPr>
          <w:noProof/>
        </w:rPr>
        <w:t xml:space="preserve"> 22(3): 429-35.</w:t>
      </w:r>
    </w:p>
    <w:p w14:paraId="391D88B4" w14:textId="4CDDD4BF" w:rsidR="00220DCC" w:rsidRPr="003B3CAF" w:rsidRDefault="00220DCC" w:rsidP="00220DCC">
      <w:pPr>
        <w:pStyle w:val="Excluded"/>
        <w:rPr>
          <w:noProof/>
        </w:rPr>
      </w:pPr>
      <w:r w:rsidRPr="003B3CAF">
        <w:rPr>
          <w:noProof/>
        </w:rPr>
        <w:t xml:space="preserve">Barenys M, Masjosthusmann S, Fritsche E (2017) Is Intake of flavonoid-based food supplements during pregnancy safe for the developing child? a literature review. </w:t>
      </w:r>
      <w:r w:rsidRPr="003B3CAF">
        <w:rPr>
          <w:i/>
          <w:noProof/>
        </w:rPr>
        <w:t>Curr Drug Targets</w:t>
      </w:r>
      <w:r w:rsidRPr="003B3CAF">
        <w:rPr>
          <w:noProof/>
        </w:rPr>
        <w:t xml:space="preserve"> 18(2): 196-231.</w:t>
      </w:r>
    </w:p>
    <w:p w14:paraId="3D122341" w14:textId="77777777" w:rsidR="00220DCC" w:rsidRPr="000F7E94" w:rsidRDefault="00220DCC" w:rsidP="00220DCC">
      <w:pPr>
        <w:pStyle w:val="Excluded"/>
        <w:rPr>
          <w:noProof/>
        </w:rPr>
      </w:pPr>
      <w:r w:rsidRPr="000F7E94">
        <w:rPr>
          <w:noProof/>
        </w:rPr>
        <w:t xml:space="preserve">Barnes LAJ, Barclay L, McCaffery K et al (2018) Complementary medicine products used in pregnancy and lactation and an examination of the information sources accessed pertaining to maternal health literacy: a systematic review of qualitative studies. </w:t>
      </w:r>
      <w:r w:rsidRPr="000F7E94">
        <w:rPr>
          <w:i/>
          <w:noProof/>
        </w:rPr>
        <w:t>BMC Complement Altern Med</w:t>
      </w:r>
      <w:r w:rsidRPr="000F7E94">
        <w:rPr>
          <w:noProof/>
        </w:rPr>
        <w:t xml:space="preserve"> 18(1): 229.</w:t>
      </w:r>
    </w:p>
    <w:p w14:paraId="7BDF417D" w14:textId="77777777" w:rsidR="00220DCC" w:rsidRPr="000F7E94" w:rsidRDefault="00220DCC" w:rsidP="00220DCC">
      <w:pPr>
        <w:pStyle w:val="Excluded"/>
        <w:rPr>
          <w:noProof/>
        </w:rPr>
      </w:pPr>
      <w:r w:rsidRPr="000F7E94">
        <w:rPr>
          <w:noProof/>
        </w:rPr>
        <w:t xml:space="preserve">Barnes LAJ, Barclay L, McCaffery K et al (2019a) Complementary medicine products: Information sources, perceived benefits and maternal health literacy. </w:t>
      </w:r>
      <w:r w:rsidRPr="000F7E94">
        <w:rPr>
          <w:i/>
          <w:noProof/>
        </w:rPr>
        <w:t>Women Birth</w:t>
      </w:r>
      <w:r w:rsidRPr="000F7E94">
        <w:rPr>
          <w:noProof/>
        </w:rPr>
        <w:t xml:space="preserve"> 32(6): 493-520.</w:t>
      </w:r>
    </w:p>
    <w:p w14:paraId="3EE04030" w14:textId="77777777" w:rsidR="00220DCC" w:rsidRPr="000F7E94" w:rsidRDefault="00220DCC" w:rsidP="00220DCC">
      <w:pPr>
        <w:pStyle w:val="Excluded"/>
        <w:rPr>
          <w:noProof/>
        </w:rPr>
      </w:pPr>
      <w:r w:rsidRPr="000F7E94">
        <w:rPr>
          <w:noProof/>
        </w:rPr>
        <w:t xml:space="preserve">Barnes LAJ, Barclay L, McCaffery K et al (2019b) Women's health literacy and the complex decision-making process to use complementary medicine products in pregnancy and lactation. </w:t>
      </w:r>
      <w:r w:rsidRPr="000F7E94">
        <w:rPr>
          <w:i/>
          <w:noProof/>
        </w:rPr>
        <w:t>Health Expect</w:t>
      </w:r>
      <w:r w:rsidRPr="000F7E94">
        <w:rPr>
          <w:noProof/>
        </w:rPr>
        <w:t xml:space="preserve"> 22(5): 1013-27.</w:t>
      </w:r>
    </w:p>
    <w:p w14:paraId="3C0B3AF1" w14:textId="77777777" w:rsidR="00220DCC" w:rsidRPr="003B3CAF" w:rsidRDefault="00220DCC" w:rsidP="00220DCC">
      <w:pPr>
        <w:pStyle w:val="Excluded"/>
        <w:rPr>
          <w:noProof/>
        </w:rPr>
      </w:pPr>
      <w:r w:rsidRPr="003B3CAF">
        <w:rPr>
          <w:noProof/>
        </w:rPr>
        <w:t xml:space="preserve">Belica AL, Ćetković NB, Milić NB et al (2017) Herbal therapy in pregnancy - what to expect when you expect? </w:t>
      </w:r>
      <w:r w:rsidRPr="003B3CAF">
        <w:rPr>
          <w:i/>
          <w:noProof/>
        </w:rPr>
        <w:t>Natural Product Comm</w:t>
      </w:r>
      <w:r w:rsidRPr="003B3CAF">
        <w:rPr>
          <w:noProof/>
        </w:rPr>
        <w:t xml:space="preserve"> 12(12): 1957-69.</w:t>
      </w:r>
    </w:p>
    <w:p w14:paraId="15E110A9" w14:textId="77777777" w:rsidR="00220DCC" w:rsidRPr="000F7E94" w:rsidRDefault="00220DCC" w:rsidP="00220DCC">
      <w:pPr>
        <w:pStyle w:val="Excluded"/>
        <w:rPr>
          <w:noProof/>
        </w:rPr>
      </w:pPr>
      <w:r w:rsidRPr="000F7E94">
        <w:rPr>
          <w:noProof/>
        </w:rPr>
        <w:t xml:space="preserve">Bowman D, Steel A, Adams J et al (2014) The characteristics of women using different forms of botanical medicines to manage pregnancy-related health conditions: A preliminary cross-sectional analysis. </w:t>
      </w:r>
      <w:r w:rsidRPr="000F7E94">
        <w:rPr>
          <w:i/>
          <w:noProof/>
        </w:rPr>
        <w:t>Advances in Integrative Medicine</w:t>
      </w:r>
      <w:r w:rsidRPr="000F7E94">
        <w:rPr>
          <w:noProof/>
        </w:rPr>
        <w:t xml:space="preserve"> 1(3): 138-43.</w:t>
      </w:r>
    </w:p>
    <w:p w14:paraId="7648E674" w14:textId="77777777" w:rsidR="00220DCC" w:rsidRPr="003B3CAF" w:rsidRDefault="00220DCC" w:rsidP="00220DCC">
      <w:pPr>
        <w:pStyle w:val="Excluded"/>
        <w:rPr>
          <w:noProof/>
        </w:rPr>
      </w:pPr>
      <w:r w:rsidRPr="003B3CAF">
        <w:rPr>
          <w:noProof/>
        </w:rPr>
        <w:t xml:space="preserve">Dante G, Bellei G, Neri I et al (2014) Herbal therapies in pregnancy: what works? </w:t>
      </w:r>
      <w:r w:rsidRPr="003B3CAF">
        <w:rPr>
          <w:i/>
          <w:noProof/>
        </w:rPr>
        <w:t>Curr Opin Obstet Gynecol</w:t>
      </w:r>
      <w:r w:rsidRPr="003B3CAF">
        <w:rPr>
          <w:noProof/>
        </w:rPr>
        <w:t xml:space="preserve"> 26(2): 83-91.</w:t>
      </w:r>
    </w:p>
    <w:p w14:paraId="65BDDFC8" w14:textId="77777777" w:rsidR="00220DCC" w:rsidRPr="000F7E94" w:rsidRDefault="00220DCC" w:rsidP="00220DCC">
      <w:pPr>
        <w:pStyle w:val="Excluded"/>
        <w:rPr>
          <w:noProof/>
        </w:rPr>
      </w:pPr>
      <w:r w:rsidRPr="000F7E94">
        <w:rPr>
          <w:noProof/>
        </w:rPr>
        <w:t xml:space="preserve">Frawley J, Adams J, Broom A et al (2014) Majority of women are influenced by nonprofessional information sources when deciding to consult a complementary and alternative medicine practitioner during pregnancy. </w:t>
      </w:r>
      <w:r w:rsidRPr="000F7E94">
        <w:rPr>
          <w:i/>
          <w:noProof/>
        </w:rPr>
        <w:t>J Altern Complement Med</w:t>
      </w:r>
      <w:r w:rsidRPr="000F7E94">
        <w:rPr>
          <w:noProof/>
        </w:rPr>
        <w:t xml:space="preserve"> 20(7): 571-7.</w:t>
      </w:r>
    </w:p>
    <w:p w14:paraId="403EEE5F" w14:textId="77777777" w:rsidR="00220DCC" w:rsidRPr="000F7E94" w:rsidRDefault="00220DCC" w:rsidP="00220DCC">
      <w:pPr>
        <w:pStyle w:val="Excluded"/>
        <w:rPr>
          <w:noProof/>
        </w:rPr>
      </w:pPr>
      <w:r w:rsidRPr="000F7E94">
        <w:rPr>
          <w:noProof/>
        </w:rPr>
        <w:t xml:space="preserve">Frawley J, Sibbritt D, Broom A et al (2016a) Complementary and alternative medicine practitioner use prior to pregnancy predicts use during pregnancy. </w:t>
      </w:r>
      <w:r w:rsidRPr="000F7E94">
        <w:rPr>
          <w:i/>
          <w:noProof/>
        </w:rPr>
        <w:t>Women Health</w:t>
      </w:r>
      <w:r w:rsidRPr="000F7E94">
        <w:rPr>
          <w:noProof/>
        </w:rPr>
        <w:t xml:space="preserve"> 56(8): 926-39.</w:t>
      </w:r>
    </w:p>
    <w:p w14:paraId="494B8FDF" w14:textId="77777777" w:rsidR="00220DCC" w:rsidRPr="000F7E94" w:rsidRDefault="00220DCC" w:rsidP="00220DCC">
      <w:pPr>
        <w:pStyle w:val="Excluded"/>
        <w:rPr>
          <w:noProof/>
        </w:rPr>
      </w:pPr>
      <w:r w:rsidRPr="000F7E94">
        <w:rPr>
          <w:noProof/>
        </w:rPr>
        <w:t xml:space="preserve">Frawley J, Sundberg T, Steel A et al (2016b) Prevalence and characteristics of women who consult with osteopathic practitioners during pregnancy; a report from the Australian Longitudinal Study on Women's Health (ALSWH). </w:t>
      </w:r>
      <w:r w:rsidRPr="000F7E94">
        <w:rPr>
          <w:i/>
          <w:noProof/>
        </w:rPr>
        <w:t>J Bodyw Mov Ther</w:t>
      </w:r>
      <w:r w:rsidRPr="000F7E94">
        <w:rPr>
          <w:noProof/>
        </w:rPr>
        <w:t xml:space="preserve"> 20(1): 168-72.</w:t>
      </w:r>
    </w:p>
    <w:p w14:paraId="72DB4449" w14:textId="77777777" w:rsidR="00220DCC" w:rsidRPr="003B3CAF" w:rsidRDefault="00220DCC" w:rsidP="00220DCC">
      <w:pPr>
        <w:pStyle w:val="Excluded"/>
        <w:rPr>
          <w:noProof/>
        </w:rPr>
      </w:pPr>
      <w:r w:rsidRPr="003B3CAF">
        <w:rPr>
          <w:noProof/>
        </w:rPr>
        <w:t xml:space="preserve">Ghouri F, Hollywood A, Ryan K (2018) A systematic review of non-antibiotic measures for the prevention of urinary tract infections in pregnancy. </w:t>
      </w:r>
      <w:r w:rsidRPr="003B3CAF">
        <w:rPr>
          <w:i/>
          <w:noProof/>
        </w:rPr>
        <w:t>BMC Pregnancy Childbirth</w:t>
      </w:r>
      <w:r w:rsidRPr="003B3CAF">
        <w:rPr>
          <w:noProof/>
        </w:rPr>
        <w:t xml:space="preserve"> 18(1): 99.</w:t>
      </w:r>
    </w:p>
    <w:p w14:paraId="60D7A266" w14:textId="77777777" w:rsidR="00220DCC" w:rsidRPr="000F7E94" w:rsidRDefault="00220DCC" w:rsidP="00220DCC">
      <w:pPr>
        <w:pStyle w:val="Excluded"/>
        <w:rPr>
          <w:noProof/>
        </w:rPr>
      </w:pPr>
      <w:r w:rsidRPr="000F7E94">
        <w:rPr>
          <w:noProof/>
        </w:rPr>
        <w:t xml:space="preserve">Gilmartin CE, Vo-Tran TH, Leung L (2018) Complementary medicines in pregnancy: recommendations and information sources of healthcare professionals in Australia. </w:t>
      </w:r>
      <w:r w:rsidRPr="000F7E94">
        <w:rPr>
          <w:i/>
          <w:noProof/>
        </w:rPr>
        <w:t>Int J Clin Pharm</w:t>
      </w:r>
      <w:r w:rsidRPr="000F7E94">
        <w:rPr>
          <w:noProof/>
        </w:rPr>
        <w:t xml:space="preserve"> 40(2): 421-27.</w:t>
      </w:r>
    </w:p>
    <w:p w14:paraId="4B7E02E3" w14:textId="77777777" w:rsidR="00220DCC" w:rsidRPr="003B3CAF" w:rsidRDefault="00220DCC" w:rsidP="00220DCC">
      <w:pPr>
        <w:pStyle w:val="Excluded"/>
        <w:rPr>
          <w:noProof/>
        </w:rPr>
      </w:pPr>
      <w:r w:rsidRPr="003B3CAF">
        <w:rPr>
          <w:noProof/>
        </w:rPr>
        <w:t xml:space="preserve">Khorasani F, Aryan H, Sobhi A et al (2020) A systematic review of the efficacy of alternative medicine in the treatment of nausea and vomiting of pregnancy. </w:t>
      </w:r>
      <w:r w:rsidRPr="003B3CAF">
        <w:rPr>
          <w:i/>
          <w:noProof/>
        </w:rPr>
        <w:t>J Obstet Gynaecol</w:t>
      </w:r>
      <w:r w:rsidRPr="003B3CAF">
        <w:rPr>
          <w:noProof/>
        </w:rPr>
        <w:t xml:space="preserve"> 40(1): 10-19.</w:t>
      </w:r>
    </w:p>
    <w:p w14:paraId="3C41A485" w14:textId="77777777" w:rsidR="00220DCC" w:rsidRPr="000F7E94" w:rsidRDefault="00220DCC" w:rsidP="00220DCC">
      <w:pPr>
        <w:pStyle w:val="Excluded"/>
        <w:rPr>
          <w:noProof/>
        </w:rPr>
      </w:pPr>
      <w:r w:rsidRPr="000F7E94">
        <w:rPr>
          <w:noProof/>
        </w:rPr>
        <w:t xml:space="preserve">Mollart L, Stulz V, Foureur M (2019) Midwives' personal views and beliefs about complementary and alternative medicine (CAM): A national survey. </w:t>
      </w:r>
      <w:r w:rsidRPr="000F7E94">
        <w:rPr>
          <w:i/>
          <w:noProof/>
        </w:rPr>
        <w:t>Complement Ther Clin Pract</w:t>
      </w:r>
      <w:r w:rsidRPr="000F7E94">
        <w:rPr>
          <w:noProof/>
        </w:rPr>
        <w:t xml:space="preserve"> 34: 235-39.</w:t>
      </w:r>
    </w:p>
    <w:p w14:paraId="3D5144EE" w14:textId="77777777" w:rsidR="00220DCC" w:rsidRPr="003B3CAF" w:rsidRDefault="00220DCC" w:rsidP="00220DCC">
      <w:pPr>
        <w:pStyle w:val="Excluded"/>
        <w:rPr>
          <w:noProof/>
        </w:rPr>
      </w:pPr>
      <w:r w:rsidRPr="003B3CAF">
        <w:rPr>
          <w:noProof/>
        </w:rPr>
        <w:t xml:space="preserve">Munoz Balbontin Y, Stewart D, Shetty A et al (2019) Herbal medicinal product use during pregnancy and the postnatal period: a systematic review. </w:t>
      </w:r>
      <w:r w:rsidRPr="003B3CAF">
        <w:rPr>
          <w:i/>
          <w:noProof/>
        </w:rPr>
        <w:t>Obstet Gynecol</w:t>
      </w:r>
      <w:r w:rsidRPr="003B3CAF">
        <w:rPr>
          <w:noProof/>
        </w:rPr>
        <w:t xml:space="preserve"> 133(5): 920-32.</w:t>
      </w:r>
    </w:p>
    <w:p w14:paraId="71CE244B" w14:textId="77777777" w:rsidR="00220DCC" w:rsidRPr="003B3CAF" w:rsidRDefault="00220DCC" w:rsidP="00220DCC">
      <w:pPr>
        <w:pStyle w:val="Excluded"/>
        <w:rPr>
          <w:noProof/>
        </w:rPr>
      </w:pPr>
      <w:r w:rsidRPr="003B3CAF">
        <w:rPr>
          <w:noProof/>
        </w:rPr>
        <w:t xml:space="preserve">O'Donnell A, McParlin C, Robson SC et al (2016) Treatments for hyperemesis gravidarum and nausea and vomiting in pregnancy: a systematic review and economic assessment. </w:t>
      </w:r>
      <w:r w:rsidRPr="003B3CAF">
        <w:rPr>
          <w:i/>
          <w:noProof/>
        </w:rPr>
        <w:t>Health Technol Assess</w:t>
      </w:r>
      <w:r w:rsidRPr="003B3CAF">
        <w:rPr>
          <w:noProof/>
        </w:rPr>
        <w:t xml:space="preserve"> 20(74): 1-268.</w:t>
      </w:r>
    </w:p>
    <w:p w14:paraId="0C53362E" w14:textId="77777777" w:rsidR="00220DCC" w:rsidRPr="003B3CAF" w:rsidRDefault="00220DCC" w:rsidP="00220DCC">
      <w:pPr>
        <w:pStyle w:val="Excluded"/>
        <w:rPr>
          <w:noProof/>
        </w:rPr>
      </w:pPr>
      <w:r w:rsidRPr="003B3CAF">
        <w:rPr>
          <w:noProof/>
        </w:rPr>
        <w:t xml:space="preserve">Ozgoli G &amp; Saei Ghare Naz M (2018) Effects of complementary medicine on nausea and vomiting in pregnancy: a systematic review. </w:t>
      </w:r>
      <w:r w:rsidRPr="003B3CAF">
        <w:rPr>
          <w:i/>
          <w:noProof/>
        </w:rPr>
        <w:t>Int J Prev Med</w:t>
      </w:r>
      <w:r w:rsidRPr="003B3CAF">
        <w:rPr>
          <w:noProof/>
        </w:rPr>
        <w:t xml:space="preserve"> 9: 75.</w:t>
      </w:r>
    </w:p>
    <w:p w14:paraId="6F522999" w14:textId="77777777" w:rsidR="00220DCC" w:rsidRPr="000F7E94" w:rsidRDefault="00220DCC" w:rsidP="00220DCC">
      <w:pPr>
        <w:pStyle w:val="Excluded"/>
        <w:rPr>
          <w:noProof/>
        </w:rPr>
      </w:pPr>
      <w:r w:rsidRPr="000F7E94">
        <w:rPr>
          <w:noProof/>
        </w:rPr>
        <w:t xml:space="preserve">Peng W, Lauche R, Frawley J et al (2018) Utilization of complementary and alternative medicine and conventional medicine for headache or migraine during pregnancy: A cross-sectional survey of 1,835 pregnant women. </w:t>
      </w:r>
      <w:r w:rsidRPr="000F7E94">
        <w:rPr>
          <w:i/>
          <w:noProof/>
        </w:rPr>
        <w:t>Complement Ther Med</w:t>
      </w:r>
      <w:r w:rsidRPr="000F7E94">
        <w:rPr>
          <w:noProof/>
        </w:rPr>
        <w:t xml:space="preserve"> 41: 192-95.</w:t>
      </w:r>
    </w:p>
    <w:p w14:paraId="3E12B6D6" w14:textId="77777777" w:rsidR="00220DCC" w:rsidRPr="000F7E94" w:rsidRDefault="00220DCC" w:rsidP="00220DCC">
      <w:pPr>
        <w:pStyle w:val="Excluded"/>
        <w:rPr>
          <w:noProof/>
        </w:rPr>
      </w:pPr>
      <w:r w:rsidRPr="000F7E94">
        <w:rPr>
          <w:noProof/>
        </w:rPr>
        <w:t xml:space="preserve">Sibbritt DW, Catling CJ, Adams J et al (2014) The self-prescribed use of aromatherapy oils by pregnant women. </w:t>
      </w:r>
      <w:r w:rsidRPr="000F7E94">
        <w:rPr>
          <w:i/>
          <w:noProof/>
        </w:rPr>
        <w:t>Women Birth</w:t>
      </w:r>
      <w:r w:rsidRPr="000F7E94">
        <w:rPr>
          <w:noProof/>
        </w:rPr>
        <w:t xml:space="preserve"> 27(1): 41-5.</w:t>
      </w:r>
    </w:p>
    <w:p w14:paraId="6EFD0B14" w14:textId="77777777" w:rsidR="00220DCC" w:rsidRPr="000F7E94" w:rsidRDefault="00220DCC" w:rsidP="00220DCC">
      <w:pPr>
        <w:pStyle w:val="Excluded"/>
        <w:rPr>
          <w:noProof/>
        </w:rPr>
      </w:pPr>
      <w:r w:rsidRPr="000F7E94">
        <w:rPr>
          <w:noProof/>
        </w:rPr>
        <w:t xml:space="preserve">Steel A (2016) Important considerations of the use of complementary and alternative medicine through pregnancy, labour and birth: an update based on recent Australian research. </w:t>
      </w:r>
      <w:r w:rsidRPr="000F7E94">
        <w:rPr>
          <w:i/>
          <w:noProof/>
        </w:rPr>
        <w:t>Aust J Herb Med</w:t>
      </w:r>
      <w:r w:rsidRPr="000F7E94">
        <w:rPr>
          <w:noProof/>
        </w:rPr>
        <w:t xml:space="preserve"> 28(2): 36-40.</w:t>
      </w:r>
    </w:p>
    <w:p w14:paraId="7C9EE836" w14:textId="77777777" w:rsidR="00220DCC" w:rsidRPr="000F7E94" w:rsidRDefault="00220DCC" w:rsidP="00220DCC">
      <w:pPr>
        <w:pStyle w:val="Excluded"/>
        <w:rPr>
          <w:noProof/>
        </w:rPr>
      </w:pPr>
      <w:r w:rsidRPr="000F7E94">
        <w:rPr>
          <w:noProof/>
        </w:rPr>
        <w:t xml:space="preserve">Steel A, Adams J, Sibbritt D et al (2014) Determinants of women consulting with a complementary and alternative medicine practitioner for pregnancy-related health conditions. </w:t>
      </w:r>
      <w:r w:rsidRPr="000F7E94">
        <w:rPr>
          <w:i/>
          <w:noProof/>
        </w:rPr>
        <w:t>Women Health</w:t>
      </w:r>
      <w:r w:rsidRPr="000F7E94">
        <w:rPr>
          <w:noProof/>
        </w:rPr>
        <w:t xml:space="preserve"> 54(2): 127-44.</w:t>
      </w:r>
    </w:p>
    <w:p w14:paraId="773F59D2" w14:textId="77777777" w:rsidR="00220DCC" w:rsidRPr="000F7E94" w:rsidRDefault="00220DCC" w:rsidP="00220DCC">
      <w:pPr>
        <w:pStyle w:val="Excluded"/>
        <w:rPr>
          <w:noProof/>
        </w:rPr>
      </w:pPr>
      <w:r w:rsidRPr="000F7E94">
        <w:rPr>
          <w:noProof/>
        </w:rPr>
        <w:t xml:space="preserve">Steel A, Hall H, Diezel H et al (2019) Filling the gaps in contemporary maternity care: The perceptions of complementary medicine practitioners providing care to women during pregnancy. </w:t>
      </w:r>
      <w:r w:rsidRPr="000F7E94">
        <w:rPr>
          <w:i/>
          <w:noProof/>
        </w:rPr>
        <w:t>Complement Ther Clin Pract</w:t>
      </w:r>
      <w:r w:rsidRPr="000F7E94">
        <w:rPr>
          <w:noProof/>
        </w:rPr>
        <w:t xml:space="preserve"> 34: 174-78.</w:t>
      </w:r>
    </w:p>
    <w:p w14:paraId="02D84952" w14:textId="77777777" w:rsidR="00647A62" w:rsidRDefault="00647A62" w:rsidP="00647A62">
      <w:pPr>
        <w:pStyle w:val="Heading5"/>
        <w:rPr>
          <w:noProof/>
        </w:rPr>
      </w:pPr>
      <w:r>
        <w:rPr>
          <w:noProof/>
        </w:rPr>
        <w:t>Does not answer research question</w:t>
      </w:r>
    </w:p>
    <w:p w14:paraId="3E817C1F" w14:textId="77777777" w:rsidR="00647A62" w:rsidRPr="003B3CAF" w:rsidRDefault="00647A62" w:rsidP="00647A62">
      <w:pPr>
        <w:pStyle w:val="Excluded"/>
        <w:rPr>
          <w:noProof/>
        </w:rPr>
      </w:pPr>
      <w:r w:rsidRPr="003B3CAF">
        <w:rPr>
          <w:noProof/>
        </w:rPr>
        <w:t xml:space="preserve">Boelig RC, Barton SJ, Saccone G et al (2018) Interventions for treating hyperemesis gravidarum: a Cochrane systematic review and meta-analysis. </w:t>
      </w:r>
      <w:r w:rsidRPr="003B3CAF">
        <w:rPr>
          <w:i/>
          <w:noProof/>
        </w:rPr>
        <w:t>J Matern Fetal Neonatal Med</w:t>
      </w:r>
      <w:r w:rsidRPr="003B3CAF">
        <w:rPr>
          <w:noProof/>
        </w:rPr>
        <w:t xml:space="preserve"> 31(18): 2492-505.</w:t>
      </w:r>
    </w:p>
    <w:p w14:paraId="088386FC" w14:textId="77777777" w:rsidR="00647A62" w:rsidRPr="003B3CAF" w:rsidRDefault="00647A62" w:rsidP="00647A62">
      <w:pPr>
        <w:pStyle w:val="Excluded"/>
        <w:rPr>
          <w:noProof/>
        </w:rPr>
      </w:pPr>
      <w:r w:rsidRPr="003B3CAF">
        <w:rPr>
          <w:noProof/>
        </w:rPr>
        <w:t xml:space="preserve">Jo J, Lee SH, Lee JM et al (2016) Use and safety of Korean herbal medicine during pregnancy: A Korean medicine literature review. </w:t>
      </w:r>
      <w:r w:rsidRPr="003B3CAF">
        <w:rPr>
          <w:i/>
          <w:noProof/>
        </w:rPr>
        <w:t>European Journal of Integrative Medicine</w:t>
      </w:r>
      <w:r w:rsidRPr="003B3CAF">
        <w:rPr>
          <w:noProof/>
        </w:rPr>
        <w:t xml:space="preserve"> 8(1): 4-11.</w:t>
      </w:r>
    </w:p>
    <w:p w14:paraId="38DE343C" w14:textId="77777777" w:rsidR="00647A62" w:rsidRPr="003B3CAF" w:rsidRDefault="00647A62" w:rsidP="00647A62">
      <w:pPr>
        <w:pStyle w:val="Excluded"/>
        <w:rPr>
          <w:noProof/>
        </w:rPr>
      </w:pPr>
      <w:r w:rsidRPr="003B3CAF">
        <w:rPr>
          <w:noProof/>
        </w:rPr>
        <w:t xml:space="preserve">Raikkonen K, Martikainen S, Pesonen AK et al (2017) Maternal licorice consumption during pregnancy and pubertal, cognitive, and psychiatric outcomes in children. </w:t>
      </w:r>
      <w:r w:rsidRPr="003B3CAF">
        <w:rPr>
          <w:i/>
          <w:noProof/>
        </w:rPr>
        <w:t>Am J Epidemiol</w:t>
      </w:r>
      <w:r w:rsidRPr="003B3CAF">
        <w:rPr>
          <w:noProof/>
        </w:rPr>
        <w:t xml:space="preserve"> 185(5): 317-28.</w:t>
      </w:r>
    </w:p>
    <w:p w14:paraId="3F86AE99" w14:textId="77777777" w:rsidR="00647A62" w:rsidRPr="003B3CAF" w:rsidRDefault="00647A62" w:rsidP="00647A62">
      <w:pPr>
        <w:pStyle w:val="Excluded"/>
        <w:rPr>
          <w:noProof/>
        </w:rPr>
      </w:pPr>
      <w:r w:rsidRPr="003B3CAF">
        <w:rPr>
          <w:noProof/>
        </w:rPr>
        <w:t>Shawahna R &amp; Taha A (2017) Which potential harms and benefits of using ginger in the management of nausea and vomiting of preg</w:t>
      </w:r>
      <w:r>
        <w:rPr>
          <w:noProof/>
        </w:rPr>
        <w:t>nancy should be addressed? A</w:t>
      </w:r>
      <w:r w:rsidRPr="003B3CAF">
        <w:rPr>
          <w:noProof/>
        </w:rPr>
        <w:t xml:space="preserve"> consensual study among pregnant women and gynecologists. </w:t>
      </w:r>
      <w:r w:rsidRPr="003B3CAF">
        <w:rPr>
          <w:i/>
          <w:noProof/>
        </w:rPr>
        <w:t>BMC Complement Altern Med</w:t>
      </w:r>
      <w:r w:rsidRPr="003B3CAF">
        <w:rPr>
          <w:noProof/>
        </w:rPr>
        <w:t xml:space="preserve"> 17(1): 204.</w:t>
      </w:r>
    </w:p>
    <w:p w14:paraId="2CE50464" w14:textId="77777777" w:rsidR="00647A62" w:rsidRDefault="00647A62" w:rsidP="00647A62">
      <w:pPr>
        <w:pStyle w:val="Heading5"/>
        <w:rPr>
          <w:noProof/>
        </w:rPr>
      </w:pPr>
      <w:r>
        <w:rPr>
          <w:noProof/>
        </w:rPr>
        <w:t>Wrong comparator</w:t>
      </w:r>
    </w:p>
    <w:p w14:paraId="68E63DE0" w14:textId="77777777" w:rsidR="00647A62" w:rsidRPr="003B3CAF" w:rsidRDefault="00647A62" w:rsidP="00647A62">
      <w:pPr>
        <w:pStyle w:val="Excluded"/>
        <w:rPr>
          <w:noProof/>
        </w:rPr>
      </w:pPr>
      <w:r w:rsidRPr="003B3CAF">
        <w:rPr>
          <w:noProof/>
        </w:rPr>
        <w:t xml:space="preserve">Boltman-Binkowski H (2016) A systematic review: Are herbal and homeopathic remedies used during pregnancy safe? </w:t>
      </w:r>
      <w:r w:rsidRPr="003B3CAF">
        <w:rPr>
          <w:i/>
          <w:noProof/>
        </w:rPr>
        <w:t>Curationis</w:t>
      </w:r>
      <w:r w:rsidRPr="003B3CAF">
        <w:rPr>
          <w:noProof/>
        </w:rPr>
        <w:t xml:space="preserve"> 39(1): 1514.</w:t>
      </w:r>
    </w:p>
    <w:p w14:paraId="63E0BA80" w14:textId="77777777" w:rsidR="00647A62" w:rsidRPr="003B3CAF" w:rsidRDefault="00647A62" w:rsidP="00647A62">
      <w:pPr>
        <w:pStyle w:val="Excluded"/>
        <w:rPr>
          <w:noProof/>
        </w:rPr>
      </w:pPr>
      <w:r w:rsidRPr="003B3CAF">
        <w:rPr>
          <w:noProof/>
        </w:rPr>
        <w:t xml:space="preserve">Jafari-Dehkordi E, Hashem-Dabaghian F, Aliasl F et al (2017) Comparison of quince with vitamin B6 for treatment of nausea and vomiting in pregnancy: a randomised clinical trial. </w:t>
      </w:r>
      <w:r w:rsidRPr="003B3CAF">
        <w:rPr>
          <w:i/>
          <w:noProof/>
        </w:rPr>
        <w:t>J Obstet Gynaecol</w:t>
      </w:r>
      <w:r w:rsidRPr="003B3CAF">
        <w:rPr>
          <w:noProof/>
        </w:rPr>
        <w:t xml:space="preserve"> 37(8): 1048-52.</w:t>
      </w:r>
    </w:p>
    <w:p w14:paraId="3F5FB191" w14:textId="77777777" w:rsidR="00647A62" w:rsidRPr="003B3CAF" w:rsidRDefault="00647A62" w:rsidP="00647A62">
      <w:pPr>
        <w:pStyle w:val="Excluded"/>
        <w:rPr>
          <w:noProof/>
        </w:rPr>
      </w:pPr>
      <w:r w:rsidRPr="003B3CAF">
        <w:rPr>
          <w:noProof/>
        </w:rPr>
        <w:t xml:space="preserve">Shakeri A, Hashempur MH, Mojibian M et al (2018) A comparative study of ranitidine and quince (Cydonia oblonga mill) sauce on gastroesophageal reflux disease (GERD) in pregnancy: a randomised, open-label, active-controlled clinical trial. </w:t>
      </w:r>
      <w:r w:rsidRPr="003B3CAF">
        <w:rPr>
          <w:i/>
          <w:noProof/>
        </w:rPr>
        <w:t>J Obstet Gynaecol</w:t>
      </w:r>
      <w:r w:rsidRPr="003B3CAF">
        <w:rPr>
          <w:noProof/>
        </w:rPr>
        <w:t xml:space="preserve"> 38(7): 899-905.</w:t>
      </w:r>
    </w:p>
    <w:p w14:paraId="552BE52F" w14:textId="77777777" w:rsidR="00647A62" w:rsidRDefault="00647A62" w:rsidP="00647A62">
      <w:pPr>
        <w:pStyle w:val="Heading5"/>
        <w:rPr>
          <w:noProof/>
        </w:rPr>
      </w:pPr>
      <w:r>
        <w:rPr>
          <w:noProof/>
        </w:rPr>
        <w:t>Wrong outcomes</w:t>
      </w:r>
    </w:p>
    <w:p w14:paraId="1004304B" w14:textId="77777777" w:rsidR="00647A62" w:rsidRPr="003B3CAF" w:rsidRDefault="00647A62" w:rsidP="00647A62">
      <w:pPr>
        <w:pStyle w:val="Excluded"/>
        <w:rPr>
          <w:noProof/>
        </w:rPr>
      </w:pPr>
      <w:r w:rsidRPr="003B3CAF">
        <w:rPr>
          <w:noProof/>
        </w:rPr>
        <w:t xml:space="preserve">Cao H, Wu R, Han M et al (2017) Oral administration of Chinese herbal medicine during gestation period for preventing hemolytic disease of the newborn due to ABO incompatibility: A systematic review of randomized controlled trials. </w:t>
      </w:r>
      <w:r w:rsidRPr="003B3CAF">
        <w:rPr>
          <w:i/>
          <w:noProof/>
        </w:rPr>
        <w:t>PLoS One</w:t>
      </w:r>
      <w:r w:rsidRPr="003B3CAF">
        <w:rPr>
          <w:noProof/>
        </w:rPr>
        <w:t xml:space="preserve"> 12(7): e0180746.</w:t>
      </w:r>
    </w:p>
    <w:p w14:paraId="0BBD5629" w14:textId="77777777" w:rsidR="00647A62" w:rsidRDefault="00647A62" w:rsidP="00647A62">
      <w:pPr>
        <w:pStyle w:val="Heading5"/>
        <w:rPr>
          <w:noProof/>
        </w:rPr>
      </w:pPr>
      <w:r>
        <w:rPr>
          <w:noProof/>
        </w:rPr>
        <w:t>Wrong intervention</w:t>
      </w:r>
    </w:p>
    <w:p w14:paraId="799F1D1C" w14:textId="77777777" w:rsidR="00647A62" w:rsidRDefault="00647A62" w:rsidP="00647A62">
      <w:pPr>
        <w:pStyle w:val="Excluded"/>
        <w:rPr>
          <w:noProof/>
        </w:rPr>
      </w:pPr>
      <w:r w:rsidRPr="003B3CAF">
        <w:rPr>
          <w:noProof/>
        </w:rPr>
        <w:t xml:space="preserve">Dennis CL &amp; Dowswell T (2013) Interventions (other than pharmacological, psychosocial or psychological) for treating antenatal depression. </w:t>
      </w:r>
      <w:r w:rsidRPr="003B3CAF">
        <w:rPr>
          <w:i/>
          <w:noProof/>
        </w:rPr>
        <w:t>Cochrane Database Syst Rev</w:t>
      </w:r>
      <w:r w:rsidRPr="003B3CAF">
        <w:rPr>
          <w:noProof/>
        </w:rPr>
        <w:t>(7): CD006795.</w:t>
      </w:r>
    </w:p>
    <w:p w14:paraId="682CC08B" w14:textId="77777777" w:rsidR="00647A62" w:rsidRPr="003B3CAF" w:rsidRDefault="00647A62" w:rsidP="00647A62">
      <w:pPr>
        <w:pStyle w:val="Excluded"/>
        <w:rPr>
          <w:noProof/>
        </w:rPr>
      </w:pPr>
      <w:r w:rsidRPr="003B3CAF">
        <w:rPr>
          <w:noProof/>
        </w:rPr>
        <w:t xml:space="preserve">Evans K, Morrell CJ, Spiby H (2018) Systematic review and meta-analysis of non-pharmacological interventions to reduce the symptoms of mild to moderate anxiety in pregnant women. </w:t>
      </w:r>
      <w:r w:rsidRPr="003B3CAF">
        <w:rPr>
          <w:i/>
          <w:noProof/>
        </w:rPr>
        <w:t>J Adv Nurs</w:t>
      </w:r>
      <w:r w:rsidRPr="003B3CAF">
        <w:rPr>
          <w:noProof/>
        </w:rPr>
        <w:t xml:space="preserve"> 74(2): 289-309.</w:t>
      </w:r>
    </w:p>
    <w:p w14:paraId="17E37AA0" w14:textId="77777777" w:rsidR="00647A62" w:rsidRDefault="00647A62" w:rsidP="00647A62">
      <w:pPr>
        <w:pStyle w:val="Heading5"/>
        <w:rPr>
          <w:noProof/>
        </w:rPr>
      </w:pPr>
      <w:r>
        <w:rPr>
          <w:noProof/>
        </w:rPr>
        <w:t>Duplicate</w:t>
      </w:r>
    </w:p>
    <w:p w14:paraId="0CE415B5" w14:textId="77777777" w:rsidR="00647A62" w:rsidRPr="003B3CAF" w:rsidRDefault="00647A62" w:rsidP="00647A62">
      <w:pPr>
        <w:pStyle w:val="Excluded"/>
        <w:rPr>
          <w:noProof/>
        </w:rPr>
      </w:pPr>
      <w:r w:rsidRPr="003B3CAF">
        <w:rPr>
          <w:noProof/>
        </w:rPr>
        <w:t xml:space="preserve">Frawley J, Adams J, Steel A et al (2015) Women's use and self-prescription of herbal medicine during pregnancy: an examination of 1,835 pregnant women. </w:t>
      </w:r>
      <w:r w:rsidRPr="003B3CAF">
        <w:rPr>
          <w:i/>
          <w:noProof/>
        </w:rPr>
        <w:t>Womens Health Issues</w:t>
      </w:r>
      <w:r w:rsidRPr="003B3CAF">
        <w:rPr>
          <w:noProof/>
        </w:rPr>
        <w:t xml:space="preserve"> 25(4): 396-402.</w:t>
      </w:r>
    </w:p>
    <w:p w14:paraId="25218278" w14:textId="77777777" w:rsidR="00647A62" w:rsidRDefault="00647A62" w:rsidP="00647A62">
      <w:pPr>
        <w:pStyle w:val="Heading5"/>
        <w:rPr>
          <w:noProof/>
        </w:rPr>
      </w:pPr>
      <w:r>
        <w:rPr>
          <w:noProof/>
        </w:rPr>
        <w:t>RCT included in a systematic review</w:t>
      </w:r>
    </w:p>
    <w:p w14:paraId="1196F489" w14:textId="77777777" w:rsidR="00647A62" w:rsidRPr="003B3CAF" w:rsidRDefault="00647A62" w:rsidP="00647A62">
      <w:pPr>
        <w:pStyle w:val="Excluded"/>
        <w:rPr>
          <w:noProof/>
        </w:rPr>
      </w:pPr>
      <w:r w:rsidRPr="003B3CAF">
        <w:rPr>
          <w:noProof/>
        </w:rPr>
        <w:t xml:space="preserve">Sharifzadeh F, Kashanian M, Koohpayehzadeh J et al (2018) A comparison between the effects of ginger, pyridoxine (vitamin B6) and placebo for the treatment of the first trimester nausea and vomiting of pregnancy (NVP). </w:t>
      </w:r>
      <w:r w:rsidRPr="003B3CAF">
        <w:rPr>
          <w:i/>
          <w:noProof/>
        </w:rPr>
        <w:t>J Matern Fetal Neonatal Med</w:t>
      </w:r>
      <w:r w:rsidRPr="003B3CAF">
        <w:rPr>
          <w:noProof/>
        </w:rPr>
        <w:t xml:space="preserve"> 31(19): 2509-14.</w:t>
      </w:r>
    </w:p>
    <w:p w14:paraId="672FF56C" w14:textId="77777777" w:rsidR="00647A62" w:rsidRDefault="00647A62" w:rsidP="00647A62">
      <w:pPr>
        <w:pStyle w:val="Heading5"/>
        <w:rPr>
          <w:noProof/>
        </w:rPr>
      </w:pPr>
      <w:r>
        <w:rPr>
          <w:noProof/>
        </w:rPr>
        <w:t>Systematic review with all studies included in another systematic review</w:t>
      </w:r>
    </w:p>
    <w:p w14:paraId="35E71F47" w14:textId="77777777" w:rsidR="00647A62" w:rsidRPr="003B3CAF" w:rsidRDefault="00647A62" w:rsidP="00647A62">
      <w:pPr>
        <w:pStyle w:val="Excluded"/>
        <w:rPr>
          <w:noProof/>
        </w:rPr>
      </w:pPr>
      <w:r w:rsidRPr="003B3CAF">
        <w:rPr>
          <w:noProof/>
        </w:rPr>
        <w:t xml:space="preserve">Matthews A, Haas DM, O'Mathuna DP et al (2015) Interventions for nausea and vomiting in early pregnancy. </w:t>
      </w:r>
      <w:r w:rsidRPr="003B3CAF">
        <w:rPr>
          <w:i/>
          <w:noProof/>
        </w:rPr>
        <w:t>Cochrane Database Syst Rev</w:t>
      </w:r>
      <w:r w:rsidRPr="003B3CAF">
        <w:rPr>
          <w:noProof/>
        </w:rPr>
        <w:t>(9): CD007575.</w:t>
      </w:r>
    </w:p>
    <w:p w14:paraId="0C76C89E" w14:textId="1EC7CEA7" w:rsidR="00D065BB" w:rsidRPr="00D065BB" w:rsidRDefault="00647A62" w:rsidP="00A912D4">
      <w:pPr>
        <w:pStyle w:val="Excluded"/>
        <w:rPr>
          <w:noProof/>
        </w:rPr>
      </w:pPr>
      <w:r w:rsidRPr="003B3CAF">
        <w:rPr>
          <w:noProof/>
        </w:rPr>
        <w:t xml:space="preserve">McParlin C, O'Donnell A, Robson SC et al (2016) Treatments for hyperemesis gravidarum and nausea and vomiting in pregnancy: a systematic review. </w:t>
      </w:r>
      <w:r w:rsidRPr="003B3CAF">
        <w:rPr>
          <w:i/>
          <w:noProof/>
        </w:rPr>
        <w:t>JAMA</w:t>
      </w:r>
      <w:r w:rsidRPr="003B3CAF">
        <w:rPr>
          <w:noProof/>
        </w:rPr>
        <w:t xml:space="preserve"> 316(13): 1392-401.</w:t>
      </w:r>
    </w:p>
    <w:p w14:paraId="7204BB52" w14:textId="77777777" w:rsidR="00647A62" w:rsidRDefault="00647A62" w:rsidP="00A912D4">
      <w:pPr>
        <w:pStyle w:val="Heading4"/>
      </w:pPr>
      <w:r>
        <w:t>Probiotics</w:t>
      </w:r>
    </w:p>
    <w:p w14:paraId="5DC9901E" w14:textId="77777777" w:rsidR="002D453C" w:rsidRDefault="002D453C" w:rsidP="002D453C">
      <w:pPr>
        <w:pStyle w:val="Heading5"/>
        <w:rPr>
          <w:noProof/>
        </w:rPr>
      </w:pPr>
      <w:r>
        <w:rPr>
          <w:noProof/>
        </w:rPr>
        <w:t>Supplementation beyond pregnancy</w:t>
      </w:r>
    </w:p>
    <w:p w14:paraId="18AAA84A" w14:textId="77777777" w:rsidR="002D453C" w:rsidRPr="0066178E" w:rsidRDefault="002D453C" w:rsidP="002D453C">
      <w:pPr>
        <w:pStyle w:val="Excluded"/>
        <w:rPr>
          <w:noProof/>
        </w:rPr>
      </w:pPr>
      <w:r w:rsidRPr="0066178E">
        <w:rPr>
          <w:noProof/>
        </w:rPr>
        <w:t xml:space="preserve">Allen SJ, Jordan S, Storey M et al (2014) Probiotics in the prevention of eczema: a randomised controlled trial. </w:t>
      </w:r>
      <w:r w:rsidRPr="0066178E">
        <w:rPr>
          <w:i/>
          <w:noProof/>
        </w:rPr>
        <w:t>Arch Dis Child</w:t>
      </w:r>
      <w:r w:rsidRPr="0066178E">
        <w:rPr>
          <w:noProof/>
        </w:rPr>
        <w:t xml:space="preserve"> 99(11): 1014-9.</w:t>
      </w:r>
    </w:p>
    <w:p w14:paraId="6606ED1B" w14:textId="77777777" w:rsidR="002D453C" w:rsidRPr="0066178E" w:rsidRDefault="002D453C" w:rsidP="002D453C">
      <w:pPr>
        <w:pStyle w:val="Excluded"/>
        <w:rPr>
          <w:noProof/>
        </w:rPr>
      </w:pPr>
      <w:r w:rsidRPr="0066178E">
        <w:rPr>
          <w:noProof/>
        </w:rPr>
        <w:t xml:space="preserve">Baldassarre ME, Di Mauro A, Mastromarino P et al (2016) Administration of a multi-strain probiotic product to women in the perinatal period differentially affects the breast milk cytokine profile and may have beneficial effects on neonatal gastrointestinal functional symptoms. a randomized clinical trial. </w:t>
      </w:r>
      <w:r w:rsidRPr="0066178E">
        <w:rPr>
          <w:i/>
          <w:noProof/>
        </w:rPr>
        <w:t>Nutrients</w:t>
      </w:r>
      <w:r w:rsidRPr="0066178E">
        <w:rPr>
          <w:noProof/>
        </w:rPr>
        <w:t xml:space="preserve"> 8(11).</w:t>
      </w:r>
    </w:p>
    <w:p w14:paraId="32C316ED" w14:textId="77777777" w:rsidR="002D453C" w:rsidRPr="0066178E" w:rsidRDefault="002D453C" w:rsidP="002D453C">
      <w:pPr>
        <w:pStyle w:val="Excluded"/>
        <w:rPr>
          <w:noProof/>
        </w:rPr>
      </w:pPr>
      <w:r w:rsidRPr="0066178E">
        <w:rPr>
          <w:noProof/>
        </w:rPr>
        <w:t xml:space="preserve">Garcia-Larsen V, Ierodiakonou D, Jarrold K et al (2018) Diet during pregnancy and infancy and risk of allergic or autoimmune disease: A systematic review and meta-analysis. </w:t>
      </w:r>
      <w:r w:rsidRPr="0066178E">
        <w:rPr>
          <w:i/>
          <w:noProof/>
        </w:rPr>
        <w:t>PLoS Med</w:t>
      </w:r>
      <w:r w:rsidRPr="0066178E">
        <w:rPr>
          <w:noProof/>
        </w:rPr>
        <w:t xml:space="preserve"> 15(2): e1002507.</w:t>
      </w:r>
    </w:p>
    <w:p w14:paraId="01534E14" w14:textId="77777777" w:rsidR="002D453C" w:rsidRPr="0066178E" w:rsidRDefault="002D453C" w:rsidP="002D453C">
      <w:pPr>
        <w:pStyle w:val="Excluded"/>
        <w:rPr>
          <w:noProof/>
        </w:rPr>
      </w:pPr>
      <w:r w:rsidRPr="0066178E">
        <w:rPr>
          <w:noProof/>
        </w:rPr>
        <w:t xml:space="preserve">Kallio S, Kukkonen AK, Savilahti E et al (2019) Perinatal probiotic intervention prevented allergic disease in a Caesarean-delivered subgroup at 13-year follow-up. </w:t>
      </w:r>
      <w:r w:rsidRPr="0066178E">
        <w:rPr>
          <w:i/>
          <w:noProof/>
        </w:rPr>
        <w:t>Clin Exp Allergy</w:t>
      </w:r>
      <w:r w:rsidRPr="0066178E">
        <w:rPr>
          <w:noProof/>
        </w:rPr>
        <w:t xml:space="preserve"> 49(4): 506-15.</w:t>
      </w:r>
    </w:p>
    <w:p w14:paraId="73E70FC8" w14:textId="77777777" w:rsidR="002D453C" w:rsidRPr="0066178E" w:rsidRDefault="002D453C" w:rsidP="002D453C">
      <w:pPr>
        <w:pStyle w:val="Excluded"/>
        <w:rPr>
          <w:noProof/>
        </w:rPr>
      </w:pPr>
      <w:r w:rsidRPr="0066178E">
        <w:rPr>
          <w:noProof/>
        </w:rPr>
        <w:t xml:space="preserve">Mansfield JA, Bergin SW, Cooper JR et al (2014) Comparative probiotic strain efficacy in the prevention of eczema in infants and children: a systematic review and meta-analysis. </w:t>
      </w:r>
      <w:r w:rsidRPr="0066178E">
        <w:rPr>
          <w:i/>
          <w:noProof/>
        </w:rPr>
        <w:t>Mil Med</w:t>
      </w:r>
      <w:r w:rsidRPr="0066178E">
        <w:rPr>
          <w:noProof/>
        </w:rPr>
        <w:t xml:space="preserve"> 179(6): 580-92.</w:t>
      </w:r>
    </w:p>
    <w:p w14:paraId="0255668B" w14:textId="77777777" w:rsidR="002D453C" w:rsidRPr="0066178E" w:rsidRDefault="002D453C" w:rsidP="002D453C">
      <w:pPr>
        <w:pStyle w:val="Excluded"/>
        <w:rPr>
          <w:noProof/>
        </w:rPr>
      </w:pPr>
      <w:r w:rsidRPr="0066178E">
        <w:rPr>
          <w:noProof/>
        </w:rPr>
        <w:t xml:space="preserve">Simpson MR, Dotterud CK, Storro O et al (2015) Perinatal probiotic supplementation in the prevention of allergy related disease: 6 year follow up of a randomised controlled trial. </w:t>
      </w:r>
      <w:r w:rsidRPr="0066178E">
        <w:rPr>
          <w:i/>
          <w:noProof/>
        </w:rPr>
        <w:t>BMC Dermatol</w:t>
      </w:r>
      <w:r w:rsidRPr="0066178E">
        <w:rPr>
          <w:noProof/>
        </w:rPr>
        <w:t xml:space="preserve"> 15: 13.</w:t>
      </w:r>
    </w:p>
    <w:p w14:paraId="214B9D51" w14:textId="77777777" w:rsidR="002D453C" w:rsidRPr="0066178E" w:rsidRDefault="002D453C" w:rsidP="002D453C">
      <w:pPr>
        <w:pStyle w:val="Excluded"/>
        <w:rPr>
          <w:noProof/>
        </w:rPr>
      </w:pPr>
      <w:r w:rsidRPr="0066178E">
        <w:rPr>
          <w:noProof/>
        </w:rPr>
        <w:t xml:space="preserve">Slykerman RF, Hood F, Wickens K et al (2017) Effect of Lactobacillus rhamnosus HN001 in pregnancy on postpartum symptoms of depression and anxiety: a randomised double-blind placebo-controlled trial. </w:t>
      </w:r>
      <w:r w:rsidRPr="0066178E">
        <w:rPr>
          <w:i/>
          <w:noProof/>
        </w:rPr>
        <w:t>EBioMedicine</w:t>
      </w:r>
      <w:r w:rsidRPr="0066178E">
        <w:rPr>
          <w:noProof/>
        </w:rPr>
        <w:t xml:space="preserve"> 24: 159-65.</w:t>
      </w:r>
    </w:p>
    <w:p w14:paraId="6CDEF674" w14:textId="77777777" w:rsidR="002D453C" w:rsidRPr="0066178E" w:rsidRDefault="002D453C" w:rsidP="002D453C">
      <w:pPr>
        <w:pStyle w:val="Excluded"/>
        <w:rPr>
          <w:noProof/>
        </w:rPr>
      </w:pPr>
      <w:r w:rsidRPr="0066178E">
        <w:rPr>
          <w:noProof/>
        </w:rPr>
        <w:t xml:space="preserve">Slykerman RF, Kang J, Van Zyl N et al (2018) Effect of early probiotic supplementation on childhood cognition, behaviour and mood a randomised, placebo-controlled trial. </w:t>
      </w:r>
      <w:r w:rsidRPr="0066178E">
        <w:rPr>
          <w:i/>
          <w:noProof/>
        </w:rPr>
        <w:t>Acta Paediatr</w:t>
      </w:r>
      <w:r w:rsidRPr="0066178E">
        <w:rPr>
          <w:noProof/>
        </w:rPr>
        <w:t xml:space="preserve"> 107(12): 2172-78.</w:t>
      </w:r>
    </w:p>
    <w:p w14:paraId="40A1C2AA" w14:textId="77777777" w:rsidR="002D453C" w:rsidRPr="0066178E" w:rsidRDefault="002D453C" w:rsidP="002D453C">
      <w:pPr>
        <w:pStyle w:val="Excluded"/>
        <w:rPr>
          <w:noProof/>
        </w:rPr>
      </w:pPr>
      <w:r w:rsidRPr="0066178E">
        <w:rPr>
          <w:noProof/>
        </w:rPr>
        <w:t xml:space="preserve">Wickens K, Barthow C, Mitchell EA et al (2018a) Effects of Lactobacillus rhamnosus HN001 in early life on the cumulative prevalence of allergic disease to 11 years. </w:t>
      </w:r>
      <w:r w:rsidRPr="0066178E">
        <w:rPr>
          <w:i/>
          <w:noProof/>
        </w:rPr>
        <w:t>Pediatr Allergy Immunol</w:t>
      </w:r>
      <w:r w:rsidRPr="0066178E">
        <w:rPr>
          <w:noProof/>
        </w:rPr>
        <w:t xml:space="preserve"> 29(8): 808-14.</w:t>
      </w:r>
    </w:p>
    <w:p w14:paraId="18B5DDC9" w14:textId="77777777" w:rsidR="002D453C" w:rsidRPr="0066178E" w:rsidRDefault="002D453C" w:rsidP="002D453C">
      <w:pPr>
        <w:pStyle w:val="Excluded"/>
        <w:rPr>
          <w:noProof/>
        </w:rPr>
      </w:pPr>
      <w:r w:rsidRPr="0066178E">
        <w:rPr>
          <w:noProof/>
        </w:rPr>
        <w:t xml:space="preserve">Wickens K, Barthow C, Mitchell EA et al (2018b) Maternal supplementation alone with Lactobacillus rhamnosus HN001 during pregnancy and breastfeeding does not reduce infant eczema. </w:t>
      </w:r>
      <w:r w:rsidRPr="0066178E">
        <w:rPr>
          <w:i/>
          <w:noProof/>
        </w:rPr>
        <w:t>Pediatr Allergy Immunol</w:t>
      </w:r>
      <w:r w:rsidRPr="0066178E">
        <w:rPr>
          <w:noProof/>
        </w:rPr>
        <w:t xml:space="preserve"> 29(3): 296-302.</w:t>
      </w:r>
    </w:p>
    <w:p w14:paraId="140A1C53" w14:textId="77777777" w:rsidR="002D453C" w:rsidRPr="0066178E" w:rsidRDefault="002D453C" w:rsidP="002D453C">
      <w:pPr>
        <w:pStyle w:val="Excluded"/>
        <w:rPr>
          <w:noProof/>
        </w:rPr>
      </w:pPr>
      <w:r w:rsidRPr="0066178E">
        <w:rPr>
          <w:noProof/>
        </w:rPr>
        <w:t xml:space="preserve">Zuccotti G, Meneghin F, Aceti A et al (2015) Probiotics for prevention of atopic diseases in infants: systematic review and meta-analysis. </w:t>
      </w:r>
      <w:r w:rsidRPr="0066178E">
        <w:rPr>
          <w:i/>
          <w:noProof/>
        </w:rPr>
        <w:t>Allergy</w:t>
      </w:r>
      <w:r w:rsidRPr="0066178E">
        <w:rPr>
          <w:noProof/>
        </w:rPr>
        <w:t xml:space="preserve"> 70(11): 1356-71.</w:t>
      </w:r>
    </w:p>
    <w:p w14:paraId="62ED4762" w14:textId="77777777" w:rsidR="002D453C" w:rsidRDefault="002D453C" w:rsidP="002D453C">
      <w:pPr>
        <w:pStyle w:val="Heading5"/>
        <w:rPr>
          <w:noProof/>
        </w:rPr>
      </w:pPr>
      <w:r>
        <w:rPr>
          <w:noProof/>
        </w:rPr>
        <w:t>Wrong study design</w:t>
      </w:r>
    </w:p>
    <w:p w14:paraId="43D87363" w14:textId="77777777" w:rsidR="002D453C" w:rsidRPr="0066178E" w:rsidRDefault="002D453C" w:rsidP="002D453C">
      <w:pPr>
        <w:pStyle w:val="Excluded"/>
        <w:rPr>
          <w:noProof/>
        </w:rPr>
      </w:pPr>
      <w:r w:rsidRPr="0066178E">
        <w:rPr>
          <w:noProof/>
        </w:rPr>
        <w:t xml:space="preserve">Bertelsen RJ, Brantsaeter AL, Magnus MC et al (2014) Probiotic milk consumption in pregnancy and infancy and subsequent childhood allergic diseases. </w:t>
      </w:r>
      <w:r w:rsidRPr="0066178E">
        <w:rPr>
          <w:i/>
          <w:noProof/>
        </w:rPr>
        <w:t>J Allergy Clin Immunol</w:t>
      </w:r>
      <w:r w:rsidRPr="0066178E">
        <w:rPr>
          <w:noProof/>
        </w:rPr>
        <w:t xml:space="preserve"> 133(1): 165-71 e1-8.</w:t>
      </w:r>
    </w:p>
    <w:p w14:paraId="61CF6F4F" w14:textId="77777777" w:rsidR="002D453C" w:rsidRPr="0066178E" w:rsidRDefault="002D453C" w:rsidP="002D453C">
      <w:pPr>
        <w:pStyle w:val="Excluded"/>
        <w:rPr>
          <w:noProof/>
        </w:rPr>
      </w:pPr>
      <w:r w:rsidRPr="0066178E">
        <w:rPr>
          <w:noProof/>
        </w:rPr>
        <w:t xml:space="preserve">Nordqvist M, Jacobsson B, Brantsaeter AL et al (2018) Timing of probiotic milk consumption during pregnancy and effects on the incidence of preeclampsia and preterm delivery: a prospective observational cohort study in Norway. </w:t>
      </w:r>
      <w:r w:rsidRPr="0066178E">
        <w:rPr>
          <w:i/>
          <w:noProof/>
        </w:rPr>
        <w:t>BMJ Open</w:t>
      </w:r>
      <w:r w:rsidRPr="0066178E">
        <w:rPr>
          <w:noProof/>
        </w:rPr>
        <w:t xml:space="preserve"> 8(1): e018021.</w:t>
      </w:r>
    </w:p>
    <w:p w14:paraId="6DEE1B70" w14:textId="77777777" w:rsidR="002D453C" w:rsidRDefault="002D453C" w:rsidP="002D453C">
      <w:pPr>
        <w:pStyle w:val="Heading5"/>
        <w:rPr>
          <w:noProof/>
        </w:rPr>
      </w:pPr>
      <w:r>
        <w:rPr>
          <w:noProof/>
        </w:rPr>
        <w:t>Wrong comparator</w:t>
      </w:r>
    </w:p>
    <w:p w14:paraId="629F8D8C" w14:textId="77777777" w:rsidR="002D453C" w:rsidRPr="0066178E" w:rsidRDefault="002D453C" w:rsidP="002D453C">
      <w:pPr>
        <w:pStyle w:val="Excluded"/>
        <w:rPr>
          <w:noProof/>
        </w:rPr>
      </w:pPr>
      <w:r w:rsidRPr="0066178E">
        <w:rPr>
          <w:noProof/>
        </w:rPr>
        <w:t xml:space="preserve">Asgharian H, Homayouni-Rad A, Mirghafourvand M et al (2020) Effect of probiotic yoghurt on plasma glucose in overweight and obese pregnant women: a randomized controlled clinical trial. </w:t>
      </w:r>
      <w:r w:rsidRPr="0066178E">
        <w:rPr>
          <w:i/>
          <w:noProof/>
        </w:rPr>
        <w:t>Eur J Nutr</w:t>
      </w:r>
      <w:r w:rsidRPr="0066178E">
        <w:rPr>
          <w:noProof/>
        </w:rPr>
        <w:t xml:space="preserve"> 59(1): 205-15.</w:t>
      </w:r>
    </w:p>
    <w:p w14:paraId="1E06296D" w14:textId="77777777" w:rsidR="002D453C" w:rsidRPr="0066178E" w:rsidRDefault="002D453C" w:rsidP="002D453C">
      <w:pPr>
        <w:pStyle w:val="Excluded"/>
        <w:rPr>
          <w:noProof/>
        </w:rPr>
      </w:pPr>
      <w:r w:rsidRPr="0066178E">
        <w:rPr>
          <w:noProof/>
        </w:rPr>
        <w:t xml:space="preserve">Fernandez L, Cardenas N, Arroyo R et al (2016) Prevention of infectious mastitis by oral administration of Lactobacillus salivarius PS2 during late pregnancy. </w:t>
      </w:r>
      <w:r w:rsidRPr="0066178E">
        <w:rPr>
          <w:i/>
          <w:noProof/>
        </w:rPr>
        <w:t>Clin Infect Dis</w:t>
      </w:r>
      <w:r w:rsidRPr="0066178E">
        <w:rPr>
          <w:noProof/>
        </w:rPr>
        <w:t xml:space="preserve"> 62(5): 568-73.</w:t>
      </w:r>
    </w:p>
    <w:p w14:paraId="6D6FEDD9" w14:textId="77777777" w:rsidR="002D453C" w:rsidRPr="0066178E" w:rsidRDefault="002D453C" w:rsidP="002D453C">
      <w:pPr>
        <w:pStyle w:val="Excluded"/>
        <w:rPr>
          <w:noProof/>
        </w:rPr>
      </w:pPr>
      <w:r w:rsidRPr="0066178E">
        <w:rPr>
          <w:noProof/>
        </w:rPr>
        <w:t xml:space="preserve">Mantaring J, Benyacoub J, Destura R et al (2018) Effect of maternal supplement beverage with and without probiotics during pregnancy and lactation on maternal and infant health: a randomized controlled trial in the Philippines. </w:t>
      </w:r>
      <w:r w:rsidRPr="0066178E">
        <w:rPr>
          <w:i/>
          <w:noProof/>
        </w:rPr>
        <w:t>BMC Pregnancy Childbirth</w:t>
      </w:r>
      <w:r w:rsidRPr="0066178E">
        <w:rPr>
          <w:noProof/>
        </w:rPr>
        <w:t xml:space="preserve"> 18(1): 193.</w:t>
      </w:r>
    </w:p>
    <w:p w14:paraId="7A0480F5" w14:textId="77777777" w:rsidR="002D453C" w:rsidRDefault="002D453C" w:rsidP="002D453C">
      <w:pPr>
        <w:pStyle w:val="Heading5"/>
        <w:rPr>
          <w:noProof/>
        </w:rPr>
      </w:pPr>
      <w:r>
        <w:rPr>
          <w:noProof/>
        </w:rPr>
        <w:t>Wrong outcomes</w:t>
      </w:r>
    </w:p>
    <w:p w14:paraId="19D44333" w14:textId="77777777" w:rsidR="002D453C" w:rsidRPr="0066178E" w:rsidRDefault="002D453C" w:rsidP="002D453C">
      <w:pPr>
        <w:pStyle w:val="Excluded"/>
        <w:rPr>
          <w:noProof/>
        </w:rPr>
      </w:pPr>
      <w:r w:rsidRPr="0066178E">
        <w:rPr>
          <w:noProof/>
        </w:rPr>
        <w:t xml:space="preserve">Jamilian M, Bahmani F, Vahedpoor Z et al (2016) Effects of probiotic supplementation on metabolic status in pregnant women: a randomized, double-blind, placebo-controlled trial. </w:t>
      </w:r>
      <w:r w:rsidRPr="0066178E">
        <w:rPr>
          <w:i/>
          <w:noProof/>
        </w:rPr>
        <w:t>Arch Iran Med</w:t>
      </w:r>
      <w:r w:rsidRPr="0066178E">
        <w:rPr>
          <w:noProof/>
        </w:rPr>
        <w:t xml:space="preserve"> 19(10): 687-82.</w:t>
      </w:r>
    </w:p>
    <w:p w14:paraId="7F22A94E" w14:textId="77777777" w:rsidR="002D453C" w:rsidRDefault="002D453C" w:rsidP="002D453C">
      <w:pPr>
        <w:pStyle w:val="Heading5"/>
        <w:rPr>
          <w:noProof/>
        </w:rPr>
      </w:pPr>
      <w:r>
        <w:rPr>
          <w:noProof/>
        </w:rPr>
        <w:t>Systematic review with studies included in another systematic review</w:t>
      </w:r>
    </w:p>
    <w:p w14:paraId="6FC614DC" w14:textId="77777777" w:rsidR="002D453C" w:rsidRPr="0066178E" w:rsidRDefault="002D453C" w:rsidP="002D453C">
      <w:pPr>
        <w:pStyle w:val="Excluded"/>
        <w:rPr>
          <w:noProof/>
        </w:rPr>
      </w:pPr>
      <w:r w:rsidRPr="0066178E">
        <w:rPr>
          <w:noProof/>
        </w:rPr>
        <w:t xml:space="preserve">Barrett HL, Dekker Nitert M, Conwell LS et al (2014) Probiotics for preventing gestational diabetes. </w:t>
      </w:r>
      <w:r w:rsidRPr="0066178E">
        <w:rPr>
          <w:i/>
          <w:noProof/>
        </w:rPr>
        <w:t>Cochrane Database Syst Rev</w:t>
      </w:r>
      <w:r w:rsidRPr="0066178E">
        <w:rPr>
          <w:noProof/>
        </w:rPr>
        <w:t>(2): CD009951.</w:t>
      </w:r>
    </w:p>
    <w:p w14:paraId="1D1B421F" w14:textId="77777777" w:rsidR="002D453C" w:rsidRPr="0066178E" w:rsidRDefault="002D453C" w:rsidP="002D453C">
      <w:pPr>
        <w:pStyle w:val="Excluded"/>
        <w:rPr>
          <w:noProof/>
        </w:rPr>
      </w:pPr>
      <w:r w:rsidRPr="0066178E">
        <w:rPr>
          <w:noProof/>
        </w:rPr>
        <w:t xml:space="preserve">Cuello-Garcia CA, Brozek JL, Fiocchi A et al (2015) Probiotics for the prevention of allergy: A systematic review and meta-analysis of randomized controlled trials. </w:t>
      </w:r>
      <w:r w:rsidRPr="0066178E">
        <w:rPr>
          <w:i/>
          <w:noProof/>
        </w:rPr>
        <w:t>J Allergy Clin Immunol</w:t>
      </w:r>
      <w:r w:rsidRPr="0066178E">
        <w:rPr>
          <w:noProof/>
        </w:rPr>
        <w:t xml:space="preserve"> 136(4): 952-61.</w:t>
      </w:r>
    </w:p>
    <w:p w14:paraId="39C45F07" w14:textId="77777777" w:rsidR="002D453C" w:rsidRPr="0066178E" w:rsidRDefault="002D453C" w:rsidP="002D453C">
      <w:pPr>
        <w:pStyle w:val="Excluded"/>
        <w:rPr>
          <w:noProof/>
        </w:rPr>
      </w:pPr>
      <w:r w:rsidRPr="0066178E">
        <w:rPr>
          <w:noProof/>
        </w:rPr>
        <w:t xml:space="preserve">Li L, Han Z, Niu X et al (2019) Probiotic supplementation for prevention of atopic dermatitis in infants and children: a systematic review and meta-analysis. </w:t>
      </w:r>
      <w:r w:rsidRPr="0066178E">
        <w:rPr>
          <w:i/>
          <w:noProof/>
        </w:rPr>
        <w:t>Am J Clin Dermatol</w:t>
      </w:r>
      <w:r w:rsidRPr="0066178E">
        <w:rPr>
          <w:noProof/>
        </w:rPr>
        <w:t xml:space="preserve"> 20(3): 367-77.</w:t>
      </w:r>
    </w:p>
    <w:p w14:paraId="3D7E591F" w14:textId="77777777" w:rsidR="002D453C" w:rsidRPr="0066178E" w:rsidRDefault="002D453C" w:rsidP="002D453C">
      <w:pPr>
        <w:pStyle w:val="Excluded"/>
        <w:rPr>
          <w:noProof/>
        </w:rPr>
      </w:pPr>
      <w:r w:rsidRPr="0066178E">
        <w:rPr>
          <w:noProof/>
        </w:rPr>
        <w:t xml:space="preserve">Panduru M, Panduru NM, Salavastru CM et al (2015) Probiotics and primary prevention of atopic dermatitis: a meta-analysis of randomized controlled studies. </w:t>
      </w:r>
      <w:r w:rsidRPr="0066178E">
        <w:rPr>
          <w:i/>
          <w:noProof/>
        </w:rPr>
        <w:t>J Eur Acad Dermatol Venereol</w:t>
      </w:r>
      <w:r w:rsidRPr="0066178E">
        <w:rPr>
          <w:noProof/>
        </w:rPr>
        <w:t xml:space="preserve"> 29(2): 232-42.</w:t>
      </w:r>
    </w:p>
    <w:p w14:paraId="332DE257" w14:textId="77777777" w:rsidR="002D453C" w:rsidRPr="0066178E" w:rsidRDefault="002D453C" w:rsidP="002D453C">
      <w:pPr>
        <w:pStyle w:val="Excluded"/>
        <w:rPr>
          <w:noProof/>
        </w:rPr>
      </w:pPr>
      <w:r w:rsidRPr="0066178E">
        <w:rPr>
          <w:noProof/>
        </w:rPr>
        <w:t xml:space="preserve">Szajewska H &amp; Horvath A (2018) Lactobacillus rhamnosus GG in the primary prevention of eczema in children: a systematic review and meta-analysis. </w:t>
      </w:r>
      <w:r w:rsidRPr="0066178E">
        <w:rPr>
          <w:i/>
          <w:noProof/>
        </w:rPr>
        <w:t>Nutrients</w:t>
      </w:r>
      <w:r w:rsidRPr="0066178E">
        <w:rPr>
          <w:noProof/>
        </w:rPr>
        <w:t xml:space="preserve"> 10(9).</w:t>
      </w:r>
    </w:p>
    <w:p w14:paraId="0250E28D" w14:textId="77777777" w:rsidR="002D453C" w:rsidRPr="0066178E" w:rsidRDefault="002D453C" w:rsidP="002D453C">
      <w:pPr>
        <w:pStyle w:val="Excluded"/>
        <w:rPr>
          <w:noProof/>
        </w:rPr>
      </w:pPr>
      <w:r w:rsidRPr="0066178E">
        <w:rPr>
          <w:noProof/>
        </w:rPr>
        <w:t xml:space="preserve">Zhang GQ, Hu HJ, Liu CY et al (2016) Probiotics for prevention of atopy and food hypersensitivity in early childhood: A PRISMA-compliant systematic review and meta-analysis of randomized controlled trials. </w:t>
      </w:r>
      <w:r w:rsidRPr="0066178E">
        <w:rPr>
          <w:i/>
          <w:noProof/>
        </w:rPr>
        <w:t>Medicine (Baltimore)</w:t>
      </w:r>
      <w:r w:rsidRPr="0066178E">
        <w:rPr>
          <w:noProof/>
        </w:rPr>
        <w:t xml:space="preserve"> 95(8): e2562.</w:t>
      </w:r>
    </w:p>
    <w:p w14:paraId="740FDE83" w14:textId="77777777" w:rsidR="002D453C" w:rsidRPr="0066178E" w:rsidRDefault="002D453C" w:rsidP="002D453C">
      <w:pPr>
        <w:pStyle w:val="Excluded"/>
        <w:rPr>
          <w:noProof/>
        </w:rPr>
      </w:pPr>
      <w:r w:rsidRPr="0066178E">
        <w:rPr>
          <w:noProof/>
        </w:rPr>
        <w:t xml:space="preserve">Zheng J, Feng Q, Zheng S et al (2018) The effects of probiotics supplementation on metabolic health in pregnant women: An evidence based meta-analysis. </w:t>
      </w:r>
      <w:r w:rsidRPr="0066178E">
        <w:rPr>
          <w:i/>
          <w:noProof/>
        </w:rPr>
        <w:t>PLoS One</w:t>
      </w:r>
      <w:r w:rsidRPr="0066178E">
        <w:rPr>
          <w:noProof/>
        </w:rPr>
        <w:t xml:space="preserve"> 13(5): e0197771.</w:t>
      </w:r>
    </w:p>
    <w:p w14:paraId="1FD836A3" w14:textId="77777777" w:rsidR="002D453C" w:rsidRDefault="002D453C" w:rsidP="002D453C">
      <w:pPr>
        <w:pStyle w:val="Heading5"/>
        <w:rPr>
          <w:noProof/>
        </w:rPr>
      </w:pPr>
      <w:r>
        <w:rPr>
          <w:noProof/>
        </w:rPr>
        <w:t>Does not answer research question</w:t>
      </w:r>
    </w:p>
    <w:p w14:paraId="44B4DD1D" w14:textId="77777777" w:rsidR="002D453C" w:rsidRPr="0066178E" w:rsidRDefault="002D453C" w:rsidP="002D453C">
      <w:pPr>
        <w:pStyle w:val="Excluded"/>
        <w:rPr>
          <w:noProof/>
        </w:rPr>
      </w:pPr>
      <w:r w:rsidRPr="0066178E">
        <w:rPr>
          <w:noProof/>
        </w:rPr>
        <w:t xml:space="preserve">Davies G, Jordan S, Brooks CJ et al (2018) Long term extension of a randomised controlled trial of probiotics using electronic health records. </w:t>
      </w:r>
      <w:r w:rsidRPr="0066178E">
        <w:rPr>
          <w:i/>
          <w:noProof/>
        </w:rPr>
        <w:t>Sci Rep</w:t>
      </w:r>
      <w:r w:rsidRPr="0066178E">
        <w:rPr>
          <w:noProof/>
        </w:rPr>
        <w:t xml:space="preserve"> 8(1): 7668.</w:t>
      </w:r>
    </w:p>
    <w:p w14:paraId="69936977" w14:textId="77777777" w:rsidR="002D453C" w:rsidRDefault="002D453C" w:rsidP="002D453C">
      <w:pPr>
        <w:pStyle w:val="Heading5"/>
        <w:rPr>
          <w:noProof/>
        </w:rPr>
      </w:pPr>
      <w:r>
        <w:rPr>
          <w:noProof/>
        </w:rPr>
        <w:t>Letter</w:t>
      </w:r>
    </w:p>
    <w:p w14:paraId="5741E274" w14:textId="77777777" w:rsidR="002D453C" w:rsidRPr="0066178E" w:rsidRDefault="002D453C" w:rsidP="002D453C">
      <w:pPr>
        <w:pStyle w:val="Excluded"/>
        <w:rPr>
          <w:noProof/>
        </w:rPr>
      </w:pPr>
      <w:r w:rsidRPr="0066178E">
        <w:rPr>
          <w:noProof/>
        </w:rPr>
        <w:t xml:space="preserve">Peldan P, Kukkonen AK, Savilahti E et al (2017) Perinatal probiotics decreased eczema up to 10 years of age, but at 5-10 years, allergic rhino-conjunctivitis was increased. </w:t>
      </w:r>
      <w:r w:rsidRPr="0066178E">
        <w:rPr>
          <w:i/>
          <w:noProof/>
        </w:rPr>
        <w:t>Clin Exp Allergy</w:t>
      </w:r>
      <w:r w:rsidRPr="0066178E">
        <w:rPr>
          <w:noProof/>
        </w:rPr>
        <w:t xml:space="preserve"> 47(7): 975-79.</w:t>
      </w:r>
    </w:p>
    <w:p w14:paraId="6F24F95E" w14:textId="77777777" w:rsidR="000A2412" w:rsidRDefault="000A2412" w:rsidP="002979D3">
      <w:pPr>
        <w:pStyle w:val="Heading3"/>
        <w:numPr>
          <w:ilvl w:val="0"/>
          <w:numId w:val="0"/>
        </w:numPr>
      </w:pPr>
      <w:bookmarkStart w:id="362" w:name="_Toc37329253"/>
      <w:bookmarkStart w:id="363" w:name="_Toc40956574"/>
      <w:r>
        <w:t>Physical activity (questions 5, 6 and 9)</w:t>
      </w:r>
      <w:bookmarkEnd w:id="362"/>
      <w:bookmarkEnd w:id="363"/>
    </w:p>
    <w:p w14:paraId="787F7432" w14:textId="77777777" w:rsidR="000A2412" w:rsidRDefault="000A2412" w:rsidP="00AE1CCE">
      <w:pPr>
        <w:pStyle w:val="Heading4"/>
        <w:rPr>
          <w:lang w:val="en-AU"/>
        </w:rPr>
      </w:pPr>
      <w:r>
        <w:rPr>
          <w:lang w:val="en-AU"/>
        </w:rPr>
        <w:t>Not in English</w:t>
      </w:r>
    </w:p>
    <w:p w14:paraId="4C99957A" w14:textId="77777777" w:rsidR="000A2412" w:rsidRPr="00704880" w:rsidRDefault="000A2412" w:rsidP="0030223E">
      <w:pPr>
        <w:pStyle w:val="Excluded"/>
        <w:keepNext/>
      </w:pPr>
      <w:r w:rsidRPr="00340A58">
        <w:t>Fritel X, Fauconnier A, De Tayrac R et al. [Prevent postnatal urinary incontinence by prenatal pelvic floor exercise? Rationale and protocol of the multicenter randomized study PreNatal Pelvic floor Prevention (3PN)].</w:t>
      </w:r>
      <w:r w:rsidRPr="00704880">
        <w:t xml:space="preserve"> </w:t>
      </w:r>
      <w:r w:rsidRPr="00704880">
        <w:rPr>
          <w:i/>
        </w:rPr>
        <w:t>Journal de Gynécologie Obstétrique et Biologie de la Reproduction</w:t>
      </w:r>
      <w:r w:rsidRPr="00704880">
        <w:t>. 2008; 37(5): 441-48.</w:t>
      </w:r>
    </w:p>
    <w:p w14:paraId="3B085824" w14:textId="77777777" w:rsidR="000A2412" w:rsidRPr="00017A05" w:rsidRDefault="000A2412" w:rsidP="000A2412">
      <w:pPr>
        <w:pStyle w:val="Excluded"/>
        <w:rPr>
          <w:noProof/>
        </w:rPr>
      </w:pPr>
      <w:r w:rsidRPr="00017A05">
        <w:rPr>
          <w:noProof/>
        </w:rPr>
        <w:t xml:space="preserve">Park SH, Kang CB, Jang SY et al. [Effect of Kegel exercise to prevent urinary and fecal incontinence in antenatal and postnatal women: systematic review]. </w:t>
      </w:r>
      <w:r w:rsidRPr="00017A05">
        <w:rPr>
          <w:i/>
          <w:noProof/>
        </w:rPr>
        <w:t>J Korean Acad Nurs</w:t>
      </w:r>
      <w:r w:rsidRPr="00017A05">
        <w:rPr>
          <w:noProof/>
        </w:rPr>
        <w:t>. 2013; 43(3): 420-30.</w:t>
      </w:r>
    </w:p>
    <w:p w14:paraId="4A2A295B" w14:textId="77777777" w:rsidR="000A2412" w:rsidRDefault="000A2412" w:rsidP="000A2412">
      <w:pPr>
        <w:pStyle w:val="Heading4"/>
      </w:pPr>
      <w:r>
        <w:t>Duplicate</w:t>
      </w:r>
    </w:p>
    <w:p w14:paraId="0B45D5C6" w14:textId="77777777" w:rsidR="004F72D2" w:rsidRPr="007562C2" w:rsidRDefault="004F72D2" w:rsidP="007562C2">
      <w:pPr>
        <w:pStyle w:val="Excluded"/>
      </w:pPr>
      <w:r w:rsidRPr="007562C2">
        <w:t xml:space="preserve">Artal R, O'Toole M. Guidelines of the American College of Obstetricians and Gynecologists for exercise during pregnancy and the postpartum period. </w:t>
      </w:r>
      <w:r w:rsidRPr="007562C2">
        <w:rPr>
          <w:i/>
        </w:rPr>
        <w:t>Br J Sports Med</w:t>
      </w:r>
      <w:r w:rsidRPr="007562C2">
        <w:t xml:space="preserve">. 2003; 37(1): 6-12; discussion </w:t>
      </w:r>
    </w:p>
    <w:p w14:paraId="1126D444" w14:textId="77777777" w:rsidR="004F72D2" w:rsidRPr="007562C2" w:rsidRDefault="004F72D2" w:rsidP="007562C2">
      <w:pPr>
        <w:pStyle w:val="Excluded"/>
      </w:pPr>
      <w:r w:rsidRPr="007562C2">
        <w:t xml:space="preserve">Bacchi M, Mottola MF, Perales M et al. Aquatic Activities During Pregnancy Prevent Excessive Maternal Weight Gain and Preserve Birth Weight: A Randomized Clinical Trial. </w:t>
      </w:r>
      <w:r w:rsidRPr="007562C2">
        <w:rPr>
          <w:i/>
        </w:rPr>
        <w:t>Am J Health Promot</w:t>
      </w:r>
      <w:r w:rsidRPr="007562C2">
        <w:t>. 2018; 32(3): 729-35.</w:t>
      </w:r>
    </w:p>
    <w:p w14:paraId="19A9E52F" w14:textId="77777777" w:rsidR="004F72D2" w:rsidRPr="007562C2" w:rsidRDefault="004F72D2" w:rsidP="007562C2">
      <w:pPr>
        <w:pStyle w:val="Excluded"/>
      </w:pPr>
      <w:r w:rsidRPr="007562C2">
        <w:t xml:space="preserve">Barakat R, Franco E, Perales M et al. Exercise during pregnancy is associated with a shorter duration of labor. A randomized clinical trial. </w:t>
      </w:r>
      <w:r w:rsidRPr="007562C2">
        <w:rPr>
          <w:i/>
        </w:rPr>
        <w:t>Eur J Obstet Gynecol Reprod Biol</w:t>
      </w:r>
      <w:r w:rsidRPr="007562C2">
        <w:t>. 2018; 224: 33-40.</w:t>
      </w:r>
    </w:p>
    <w:p w14:paraId="25CA038F" w14:textId="77777777" w:rsidR="004F72D2" w:rsidRPr="007562C2" w:rsidRDefault="004F72D2" w:rsidP="007562C2">
      <w:pPr>
        <w:pStyle w:val="Excluded"/>
      </w:pPr>
      <w:r w:rsidRPr="007562C2">
        <w:t xml:space="preserve">Barakat R, Refoyo I, Coteron J et al. Exercise during pregnancy has a preventative effect on excessive maternal weight gain and gestational diabetes. A randomized controlled trial. </w:t>
      </w:r>
      <w:r w:rsidRPr="007562C2">
        <w:rPr>
          <w:i/>
        </w:rPr>
        <w:t>Braz J Phys Ther</w:t>
      </w:r>
      <w:r w:rsidRPr="007562C2">
        <w:t>. 2019; 23(2): 148-55.</w:t>
      </w:r>
    </w:p>
    <w:p w14:paraId="51F7435D" w14:textId="77777777" w:rsidR="004F72D2" w:rsidRPr="007562C2" w:rsidRDefault="004F72D2" w:rsidP="007562C2">
      <w:pPr>
        <w:pStyle w:val="Excluded"/>
      </w:pPr>
      <w:r w:rsidRPr="007562C2">
        <w:t>Broekhuizen K, Simmons D, Devlieger R et al. Cost-effectiveness of healthy eating and/or physical activity promotion in pregnant women at increased risk of gestational diabetes mellitus: economic evaluation alongside the DALI study, a European multicenter randomized controlled trial.</w:t>
      </w:r>
      <w:r w:rsidRPr="007562C2">
        <w:rPr>
          <w:i/>
        </w:rPr>
        <w:t xml:space="preserve"> Int J Behav Nutr Phys Act</w:t>
      </w:r>
      <w:r w:rsidRPr="007562C2">
        <w:t>. 2018; 15(1): 23.</w:t>
      </w:r>
    </w:p>
    <w:p w14:paraId="15E02C64" w14:textId="77777777" w:rsidR="004F72D2" w:rsidRPr="007562C2" w:rsidRDefault="004F72D2" w:rsidP="007562C2">
      <w:pPr>
        <w:pStyle w:val="Excluded"/>
      </w:pPr>
      <w:r w:rsidRPr="007562C2">
        <w:t xml:space="preserve">Craemer KA, Sampene E, Safdar N et al. Nutrition and Exercise Strategies to Prevent Excessive Pregnancy Weight Gain: A Meta-analysis. </w:t>
      </w:r>
      <w:r w:rsidRPr="007562C2">
        <w:rPr>
          <w:i/>
        </w:rPr>
        <w:t xml:space="preserve">AJP Rep. </w:t>
      </w:r>
      <w:r w:rsidRPr="007562C2">
        <w:t>2019; 9(1): e92-e120.</w:t>
      </w:r>
    </w:p>
    <w:p w14:paraId="5413B77E" w14:textId="77777777" w:rsidR="004F72D2" w:rsidRPr="007562C2" w:rsidRDefault="004F72D2" w:rsidP="007562C2">
      <w:pPr>
        <w:pStyle w:val="Excluded"/>
      </w:pPr>
      <w:r w:rsidRPr="007562C2">
        <w:t>Davenport MH, Kathol AJ, Mottola MF et al. Prenatal exercise is not associated with fetal mortality: a systematic review and meta-analysis.</w:t>
      </w:r>
      <w:r w:rsidRPr="007562C2">
        <w:rPr>
          <w:i/>
        </w:rPr>
        <w:t xml:space="preserve"> Br J Sports Med</w:t>
      </w:r>
      <w:r w:rsidRPr="007562C2">
        <w:t>. 2019; 53(2): 108-15.</w:t>
      </w:r>
    </w:p>
    <w:p w14:paraId="13733B56" w14:textId="77777777" w:rsidR="004F72D2" w:rsidRPr="007562C2" w:rsidRDefault="004F72D2" w:rsidP="007562C2">
      <w:pPr>
        <w:pStyle w:val="Excluded"/>
      </w:pPr>
      <w:r w:rsidRPr="007562C2">
        <w:t xml:space="preserve">Davenport MH, McCurdy AP, Mottola MF et al. Impact of prenatal exercise on both prenatal and postnatal anxiety and depressive symptoms: a systematic review and meta-analysis. </w:t>
      </w:r>
      <w:r w:rsidRPr="007562C2">
        <w:rPr>
          <w:i/>
        </w:rPr>
        <w:t>Br J Sports Med.</w:t>
      </w:r>
      <w:r w:rsidRPr="007562C2">
        <w:t xml:space="preserve"> 2018; 52(21): 1376-85.</w:t>
      </w:r>
    </w:p>
    <w:p w14:paraId="46B80E8F" w14:textId="77777777" w:rsidR="004F72D2" w:rsidRPr="007562C2" w:rsidRDefault="004F72D2" w:rsidP="007562C2">
      <w:pPr>
        <w:pStyle w:val="Excluded"/>
      </w:pPr>
      <w:r w:rsidRPr="007562C2">
        <w:t xml:space="preserve">Davenport MH, Ruchat SM, Sobierajski F et al. Impact of prenatal exercise on maternal harms, labour and delivery outcomes: a systematic review and meta-analysis. </w:t>
      </w:r>
      <w:r w:rsidRPr="007562C2">
        <w:rPr>
          <w:i/>
        </w:rPr>
        <w:t>Br J Sports Med</w:t>
      </w:r>
      <w:r w:rsidRPr="007562C2">
        <w:t>. 2019; 53(2): 99-107.</w:t>
      </w:r>
    </w:p>
    <w:p w14:paraId="1E136642" w14:textId="77777777" w:rsidR="004F72D2" w:rsidRPr="007562C2" w:rsidRDefault="004F72D2" w:rsidP="007562C2">
      <w:pPr>
        <w:pStyle w:val="Excluded"/>
      </w:pPr>
      <w:r w:rsidRPr="007562C2">
        <w:t>Davenport MH, Yoo C, Mottola MF et al. Effects of prenatal exercise on incidence of congenital anomalies and hyperthermia: a systematic review and meta-analysis.</w:t>
      </w:r>
      <w:r w:rsidRPr="007562C2">
        <w:rPr>
          <w:i/>
        </w:rPr>
        <w:t xml:space="preserve"> Br J Sports Med.</w:t>
      </w:r>
      <w:r w:rsidRPr="007562C2">
        <w:t xml:space="preserve"> 2019; 53(2): 116-23.</w:t>
      </w:r>
    </w:p>
    <w:p w14:paraId="6946B170" w14:textId="77777777" w:rsidR="004F72D2" w:rsidRPr="007562C2" w:rsidRDefault="004F72D2" w:rsidP="007562C2">
      <w:pPr>
        <w:pStyle w:val="Excluded"/>
      </w:pPr>
      <w:r w:rsidRPr="007562C2">
        <w:t xml:space="preserve">El-Shamy Fayiz F, Abd El Fatah E. Effect of Antenatal Pelvic Floor Muscle Exercise on Mode of Delivery: A Randomized Controlled Trial. </w:t>
      </w:r>
      <w:r w:rsidRPr="007562C2">
        <w:rPr>
          <w:i/>
        </w:rPr>
        <w:t>Integrative Medicine International.</w:t>
      </w:r>
      <w:r w:rsidRPr="007562C2">
        <w:t xml:space="preserve"> 2018; 4(3-4): 187-97.</w:t>
      </w:r>
    </w:p>
    <w:p w14:paraId="5812101F" w14:textId="77777777" w:rsidR="004F72D2" w:rsidRPr="007562C2" w:rsidRDefault="004F72D2" w:rsidP="007562C2">
      <w:pPr>
        <w:pStyle w:val="Excluded"/>
      </w:pPr>
      <w:r w:rsidRPr="007562C2">
        <w:t>Garnaes KK, Morkved S, Salvesen KA et al. Exercise training during pregnancy reduces circulating insulin levels in overweight/obese women postpartum: secondary analysis of a randomised controlled trial (the ETIP trial).</w:t>
      </w:r>
      <w:r w:rsidRPr="007562C2">
        <w:rPr>
          <w:i/>
        </w:rPr>
        <w:t xml:space="preserve"> BMC Pregnancy Childbirth.</w:t>
      </w:r>
      <w:r w:rsidRPr="007562C2">
        <w:t xml:space="preserve"> 2018; 18(1): 18.</w:t>
      </w:r>
    </w:p>
    <w:p w14:paraId="48014775" w14:textId="77777777" w:rsidR="004F72D2" w:rsidRPr="007562C2" w:rsidRDefault="004F72D2" w:rsidP="007562C2">
      <w:pPr>
        <w:pStyle w:val="Excluded"/>
      </w:pPr>
      <w:r w:rsidRPr="007562C2">
        <w:t>Kahyaoglu Sut H, Balkanli Kaplan P. Effect of pelvic floor muscle exercise on pelvic floor muscle activity and voiding functions during pregnancy and the postpartum period.</w:t>
      </w:r>
      <w:r w:rsidRPr="007562C2">
        <w:rPr>
          <w:i/>
        </w:rPr>
        <w:t xml:space="preserve"> Neurourol Urody</w:t>
      </w:r>
      <w:r w:rsidRPr="007562C2">
        <w:t>n. 2016; 35(3): 417-22.</w:t>
      </w:r>
    </w:p>
    <w:p w14:paraId="25A8EC43" w14:textId="77777777" w:rsidR="007562C2" w:rsidRPr="007562C2" w:rsidRDefault="007562C2" w:rsidP="007562C2">
      <w:pPr>
        <w:pStyle w:val="Excluded"/>
      </w:pPr>
      <w:r w:rsidRPr="007562C2">
        <w:t xml:space="preserve">Kennelly MA, Ainscough K, Lindsay KL et al. Pregnancy exercise and nutrition with smartphone application support. </w:t>
      </w:r>
      <w:r w:rsidRPr="007562C2">
        <w:rPr>
          <w:i/>
        </w:rPr>
        <w:t>Obstetrics &amp; Gynecology</w:t>
      </w:r>
      <w:r w:rsidRPr="007562C2">
        <w:t>. 2018; 131(5): 818-26.</w:t>
      </w:r>
    </w:p>
    <w:p w14:paraId="741F374E" w14:textId="77777777" w:rsidR="004F72D2" w:rsidRPr="007562C2" w:rsidRDefault="004F72D2" w:rsidP="007562C2">
      <w:pPr>
        <w:pStyle w:val="Excluded"/>
      </w:pPr>
      <w:r w:rsidRPr="007562C2">
        <w:t xml:space="preserve">Kong KL, Campbell C, Wagner K et al. Impact of a walking intervention during pregnancy on post-partum weight retention and infant anthropometric outcomes. </w:t>
      </w:r>
      <w:r w:rsidRPr="007562C2">
        <w:rPr>
          <w:i/>
        </w:rPr>
        <w:t>J Dev Orig Health Dis</w:t>
      </w:r>
      <w:r w:rsidRPr="007562C2">
        <w:t>. 2014; 5(3): 259-67.</w:t>
      </w:r>
    </w:p>
    <w:p w14:paraId="6C99A970" w14:textId="77777777" w:rsidR="004F72D2" w:rsidRPr="007562C2" w:rsidRDefault="004F72D2" w:rsidP="007562C2">
      <w:pPr>
        <w:pStyle w:val="Excluded"/>
      </w:pPr>
      <w:r w:rsidRPr="007562C2">
        <w:t>Kunath J, Gunther J, Rauh K et al. Effects of a lifestyle intervention during pregnancy to prevent excessive gestational weight gain in routine care - the cluster-randomised GeliS trial.</w:t>
      </w:r>
      <w:r w:rsidRPr="007562C2">
        <w:rPr>
          <w:i/>
        </w:rPr>
        <w:t xml:space="preserve"> BMC Med</w:t>
      </w:r>
      <w:r w:rsidRPr="007562C2">
        <w:t>. 2019; 17(1): 5.</w:t>
      </w:r>
    </w:p>
    <w:p w14:paraId="5E062280" w14:textId="77777777" w:rsidR="004F72D2" w:rsidRPr="007562C2" w:rsidRDefault="004F72D2" w:rsidP="007562C2">
      <w:pPr>
        <w:pStyle w:val="Excluded"/>
      </w:pPr>
      <w:r w:rsidRPr="007562C2">
        <w:t xml:space="preserve">Madsen M, Jorgensen T, Jensen ML et al. Leisure time physical exercise during pregnancy and the risk of miscarriage: a study within the Danish National Birth Cohort. </w:t>
      </w:r>
      <w:r w:rsidRPr="007562C2">
        <w:rPr>
          <w:i/>
        </w:rPr>
        <w:t>BJOG.</w:t>
      </w:r>
      <w:r w:rsidRPr="007562C2">
        <w:t xml:space="preserve"> 2007; 114(11): 1419-26.</w:t>
      </w:r>
    </w:p>
    <w:p w14:paraId="2C66693C" w14:textId="77777777" w:rsidR="004F72D2" w:rsidRPr="007562C2" w:rsidRDefault="004F72D2" w:rsidP="007562C2">
      <w:pPr>
        <w:pStyle w:val="Excluded"/>
      </w:pPr>
      <w:r w:rsidRPr="007562C2">
        <w:t xml:space="preserve">Magro-Malosso ER, Saccone G, Di Mascio D et al. Exercise during pregnancy and risk of preterm birth in overweight and obese women: a systematic review and meta-analysis of randomized controlled trials. </w:t>
      </w:r>
      <w:r w:rsidRPr="007562C2">
        <w:rPr>
          <w:i/>
        </w:rPr>
        <w:t xml:space="preserve">Acta Obstet Gynecol Scand. </w:t>
      </w:r>
      <w:r w:rsidRPr="007562C2">
        <w:t>2017; 96(3): 263-73.</w:t>
      </w:r>
    </w:p>
    <w:p w14:paraId="6FDFE960" w14:textId="77777777" w:rsidR="004F72D2" w:rsidRPr="007562C2" w:rsidRDefault="004F72D2" w:rsidP="007562C2">
      <w:pPr>
        <w:pStyle w:val="Excluded"/>
      </w:pPr>
      <w:r w:rsidRPr="007562C2">
        <w:t xml:space="preserve">Mijatovic-Vukas J, Capling L, Cheng S et al. Associations of Diet and Physical Activity with Risk for Gestational Diabetes Mellitus: A Systematic Review and Meta-Analysis. </w:t>
      </w:r>
      <w:r w:rsidRPr="007562C2">
        <w:rPr>
          <w:i/>
        </w:rPr>
        <w:t>Nutrients</w:t>
      </w:r>
      <w:r w:rsidRPr="007562C2">
        <w:t>. 2018; 10(6).</w:t>
      </w:r>
    </w:p>
    <w:p w14:paraId="7C090C1F" w14:textId="77777777" w:rsidR="004F72D2" w:rsidRPr="007562C2" w:rsidRDefault="004F72D2" w:rsidP="007562C2">
      <w:pPr>
        <w:pStyle w:val="Excluded"/>
      </w:pPr>
      <w:r w:rsidRPr="007562C2">
        <w:t>Mottola MF, Nagpal TS, Bgeginski R et al. Is supine exercise associated with adverse maternal and fetal outcomes? A systematic review.</w:t>
      </w:r>
      <w:r w:rsidRPr="007562C2">
        <w:rPr>
          <w:i/>
        </w:rPr>
        <w:t xml:space="preserve"> Br J Sports Med</w:t>
      </w:r>
      <w:r w:rsidRPr="007562C2">
        <w:t>. 2019; 53(2): 82-9.</w:t>
      </w:r>
    </w:p>
    <w:p w14:paraId="0222F208" w14:textId="77777777" w:rsidR="004F72D2" w:rsidRPr="007562C2" w:rsidRDefault="004F72D2" w:rsidP="007562C2">
      <w:pPr>
        <w:pStyle w:val="Excluded"/>
      </w:pPr>
      <w:r w:rsidRPr="007562C2">
        <w:t>Nino Cruz GI, Ramirez Varela A, da Silva ICM et al. Physical activity during pregnancy and offspring neurodevelopment: A systematic review.</w:t>
      </w:r>
      <w:r w:rsidRPr="007562C2">
        <w:rPr>
          <w:i/>
        </w:rPr>
        <w:t xml:space="preserve"> Paediatr Perinat Epidemiol</w:t>
      </w:r>
      <w:r w:rsidRPr="007562C2">
        <w:t>. 2018; 32(4): 369-79.</w:t>
      </w:r>
    </w:p>
    <w:p w14:paraId="11ABDE9F" w14:textId="072C8B94" w:rsidR="004F72D2" w:rsidRPr="007562C2" w:rsidRDefault="004F72D2" w:rsidP="007562C2">
      <w:pPr>
        <w:pStyle w:val="Excluded"/>
      </w:pPr>
      <w:r w:rsidRPr="007562C2">
        <w:t xml:space="preserve">Nobles C, Marcus BH, Stanek EJ, 3rd et al. The Effect of an </w:t>
      </w:r>
      <w:r w:rsidR="007562C2" w:rsidRPr="007562C2">
        <w:t>exercise intervention on gestational weight gain</w:t>
      </w:r>
      <w:r w:rsidRPr="007562C2">
        <w:t xml:space="preserve">: The Behaviors Affecting Baby and You (B.A.B.Y.) Study: A </w:t>
      </w:r>
      <w:r w:rsidR="007562C2" w:rsidRPr="007562C2">
        <w:t>randomized controlled tri</w:t>
      </w:r>
      <w:r w:rsidRPr="007562C2">
        <w:t xml:space="preserve">al. </w:t>
      </w:r>
      <w:r w:rsidRPr="007562C2">
        <w:rPr>
          <w:i/>
        </w:rPr>
        <w:t>Am J Health Promot</w:t>
      </w:r>
      <w:r w:rsidRPr="007562C2">
        <w:t>. 2018; 32(3): 736-44.</w:t>
      </w:r>
    </w:p>
    <w:p w14:paraId="098838B5" w14:textId="77777777" w:rsidR="004F72D2" w:rsidRPr="007562C2" w:rsidRDefault="004F72D2" w:rsidP="007562C2">
      <w:pPr>
        <w:pStyle w:val="Excluded"/>
      </w:pPr>
      <w:r w:rsidRPr="007562C2">
        <w:t xml:space="preserve">Nobles C, Marcus BH, Stanek EJ, 3rd et al. The effect of an exercise intervention on gestational weight gain: The Behaviors Affecting Baby and You (B.A.B.Y.) study: A randomized controlled trial. </w:t>
      </w:r>
      <w:r w:rsidRPr="007562C2">
        <w:rPr>
          <w:i/>
        </w:rPr>
        <w:t>Am J Health Promot</w:t>
      </w:r>
      <w:r w:rsidRPr="007562C2">
        <w:t>. 2018; 32(3): 736-44.</w:t>
      </w:r>
    </w:p>
    <w:p w14:paraId="49F4320C" w14:textId="77777777" w:rsidR="004F72D2" w:rsidRPr="007562C2" w:rsidRDefault="004F72D2" w:rsidP="007562C2">
      <w:pPr>
        <w:pStyle w:val="Excluded"/>
      </w:pPr>
      <w:r w:rsidRPr="007562C2">
        <w:t xml:space="preserve">O'Brien EC, Segurado R, Geraghty AA et al. Impact of maternal education on response to lifestyle interventions to reduce gestational weight gain: individual participant data meta-analysis. </w:t>
      </w:r>
      <w:r w:rsidRPr="007562C2">
        <w:rPr>
          <w:i/>
        </w:rPr>
        <w:t>BMJ Open</w:t>
      </w:r>
      <w:r w:rsidRPr="007562C2">
        <w:t>. 2019; 9(8): e025620.</w:t>
      </w:r>
    </w:p>
    <w:p w14:paraId="3830DC56" w14:textId="77777777" w:rsidR="004F72D2" w:rsidRPr="007562C2" w:rsidRDefault="004F72D2" w:rsidP="007562C2">
      <w:pPr>
        <w:pStyle w:val="Excluded"/>
      </w:pPr>
      <w:r w:rsidRPr="007562C2">
        <w:t xml:space="preserve">Prapavessis H, De Jesus S, Harper T et al. The effects of acute exercise on tobacco cravings and withdrawal symptoms in temporary abstinent pregnant smokers. </w:t>
      </w:r>
      <w:r w:rsidRPr="007562C2">
        <w:rPr>
          <w:i/>
        </w:rPr>
        <w:t>Addict Behav</w:t>
      </w:r>
      <w:r w:rsidRPr="007562C2">
        <w:t>. 2014; 39(3): 703-8.</w:t>
      </w:r>
    </w:p>
    <w:p w14:paraId="4581B140" w14:textId="77777777" w:rsidR="004F72D2" w:rsidRPr="007562C2" w:rsidRDefault="004F72D2" w:rsidP="007562C2">
      <w:pPr>
        <w:pStyle w:val="Excluded"/>
      </w:pPr>
      <w:r w:rsidRPr="007562C2">
        <w:t xml:space="preserve">Price BB, Amini SB, Kappeler K. Exercise in pregnancy: effect on fitness and obstetric outcomes-a randomized trial. </w:t>
      </w:r>
      <w:r w:rsidRPr="007562C2">
        <w:rPr>
          <w:i/>
        </w:rPr>
        <w:t>Med Sci Sports Exerc.</w:t>
      </w:r>
      <w:r w:rsidRPr="007562C2">
        <w:t xml:space="preserve"> 2012; 44(12): 2263-9.</w:t>
      </w:r>
    </w:p>
    <w:p w14:paraId="1B79AE35" w14:textId="77777777" w:rsidR="004F72D2" w:rsidRPr="007562C2" w:rsidRDefault="004F72D2" w:rsidP="007562C2">
      <w:pPr>
        <w:pStyle w:val="Excluded"/>
      </w:pPr>
      <w:r w:rsidRPr="007562C2">
        <w:t xml:space="preserve">Rodriguez-Blanque R, Sanchez-Garcia JC, Sanchez-Lopez AM et al. The influence of physical activity in water on sleep quality in pregnant women: A randomised trial. </w:t>
      </w:r>
      <w:r w:rsidRPr="007562C2">
        <w:rPr>
          <w:i/>
        </w:rPr>
        <w:t>Women Birth.</w:t>
      </w:r>
      <w:r w:rsidRPr="007562C2">
        <w:t xml:space="preserve"> 2018; 31(1): e51-e8.</w:t>
      </w:r>
    </w:p>
    <w:p w14:paraId="261CE572" w14:textId="77777777" w:rsidR="004F72D2" w:rsidRPr="007562C2" w:rsidRDefault="004F72D2" w:rsidP="007562C2">
      <w:pPr>
        <w:pStyle w:val="Excluded"/>
      </w:pPr>
      <w:r w:rsidRPr="007562C2">
        <w:t>Shieh C, Cullen DL, Pike C et al. Intervention strategies for preventing excessive gestational weight gain: systematic review and meta-analysis.</w:t>
      </w:r>
      <w:r w:rsidRPr="007562C2">
        <w:rPr>
          <w:i/>
        </w:rPr>
        <w:t xml:space="preserve"> Obes Rev.</w:t>
      </w:r>
      <w:r w:rsidRPr="007562C2">
        <w:t xml:space="preserve"> 2018; 19(8): 1093-109.</w:t>
      </w:r>
    </w:p>
    <w:p w14:paraId="3D9B171D" w14:textId="77777777" w:rsidR="004F72D2" w:rsidRPr="007562C2" w:rsidRDefault="004F72D2" w:rsidP="007562C2">
      <w:pPr>
        <w:pStyle w:val="Excluded"/>
        <w:rPr>
          <w:i/>
        </w:rPr>
      </w:pPr>
      <w:r w:rsidRPr="007562C2">
        <w:t xml:space="preserve">Ussher M, Lewis S, Aveyard P et al. The London Exercise And Pregnant smokers (LEAP) trial: a randomised controlled trial of physical activity for smoking cessation in pregnancy with an economic evaluation. </w:t>
      </w:r>
      <w:r w:rsidRPr="007562C2">
        <w:rPr>
          <w:i/>
        </w:rPr>
        <w:t>Health Technol Assess. 2015; 19(84): vii-xxiv, 1-135.</w:t>
      </w:r>
    </w:p>
    <w:p w14:paraId="01D27F11" w14:textId="77777777" w:rsidR="004F72D2" w:rsidRPr="007562C2" w:rsidRDefault="004F72D2" w:rsidP="007562C2">
      <w:pPr>
        <w:pStyle w:val="Excluded"/>
      </w:pPr>
      <w:r w:rsidRPr="007562C2">
        <w:t xml:space="preserve">Van Horn L, Peaceman A, Kwasny M et al. Dietary Approaches to Stop Hypertension Diet and Activity to Limit Gestational Weight: Maternal Offspring Metabolics Family Intervention Trial, a Technology Enhanced Randomized Trial. </w:t>
      </w:r>
      <w:r w:rsidRPr="007562C2">
        <w:rPr>
          <w:i/>
        </w:rPr>
        <w:t>Am J Prev Med.</w:t>
      </w:r>
      <w:r w:rsidRPr="007562C2">
        <w:t xml:space="preserve"> 2018; 55(5): 603-14.</w:t>
      </w:r>
    </w:p>
    <w:p w14:paraId="03616641" w14:textId="77777777" w:rsidR="004F72D2" w:rsidRPr="007562C2" w:rsidRDefault="004F72D2" w:rsidP="007562C2">
      <w:pPr>
        <w:pStyle w:val="Excluded"/>
      </w:pPr>
      <w:r w:rsidRPr="007562C2">
        <w:t xml:space="preserve">Walker R, Bennett C, Blumfield M et al. Attenuating Pregnancy Weight Gain-What Works and Why: A Systematic Review and Meta-Analysis. </w:t>
      </w:r>
      <w:r w:rsidRPr="007562C2">
        <w:rPr>
          <w:i/>
        </w:rPr>
        <w:t>Nutrients</w:t>
      </w:r>
      <w:r w:rsidRPr="007562C2">
        <w:t>. 2018; 10(7).</w:t>
      </w:r>
    </w:p>
    <w:p w14:paraId="4A9C6C22" w14:textId="77777777" w:rsidR="004F72D2" w:rsidRPr="007562C2" w:rsidRDefault="004F72D2" w:rsidP="007562C2">
      <w:pPr>
        <w:pStyle w:val="Excluded"/>
      </w:pPr>
      <w:r w:rsidRPr="007562C2">
        <w:t xml:space="preserve">Yu Y, Xie R, Shen C et al. Effect of exercise during pregnancy to prevent gestational diabetes mellitus: a systematic review and meta-analysis. </w:t>
      </w:r>
      <w:r w:rsidRPr="007562C2">
        <w:rPr>
          <w:i/>
        </w:rPr>
        <w:t>J Matern Fetal Neonatal Med</w:t>
      </w:r>
      <w:r w:rsidRPr="007562C2">
        <w:t>. 2018; 31(12): 1632-7.</w:t>
      </w:r>
    </w:p>
    <w:p w14:paraId="1FEE5881" w14:textId="77777777" w:rsidR="000A2412" w:rsidRDefault="000A2412" w:rsidP="000A2412">
      <w:pPr>
        <w:pStyle w:val="Heading4"/>
        <w:rPr>
          <w:lang w:val="en-AU"/>
        </w:rPr>
      </w:pPr>
      <w:r>
        <w:rPr>
          <w:lang w:val="en-AU"/>
        </w:rPr>
        <w:t>Narrative review</w:t>
      </w:r>
    </w:p>
    <w:p w14:paraId="10DFD984" w14:textId="77777777" w:rsidR="00BA13EF" w:rsidRPr="00340A58" w:rsidRDefault="00BA13EF" w:rsidP="000A2412">
      <w:pPr>
        <w:pStyle w:val="Excluded"/>
        <w:rPr>
          <w:rFonts w:eastAsia="Times New Roman" w:cs="Times New Roman"/>
        </w:rPr>
      </w:pPr>
      <w:r w:rsidRPr="00340A58">
        <w:t xml:space="preserve">Abbasi M and van den Akker O. A systematic review of changes in women’s physical activity before and during pregnancy and the postnatal period. </w:t>
      </w:r>
      <w:r w:rsidRPr="00340A58">
        <w:rPr>
          <w:rFonts w:eastAsia="Times New Roman" w:cs="Times New Roman"/>
          <w:i/>
          <w:color w:val="333333"/>
        </w:rPr>
        <w:t>J Reproductive Infant Psych</w:t>
      </w:r>
      <w:r w:rsidRPr="00340A58">
        <w:rPr>
          <w:rFonts w:eastAsia="Times New Roman" w:cs="Times New Roman"/>
          <w:color w:val="333333"/>
        </w:rPr>
        <w:t>. 2015;</w:t>
      </w:r>
      <w:r w:rsidRPr="00340A58">
        <w:rPr>
          <w:rFonts w:eastAsia="Times New Roman" w:cs="Times New Roman"/>
          <w:color w:val="333333"/>
          <w:shd w:val="clear" w:color="auto" w:fill="FFFFFF"/>
        </w:rPr>
        <w:t> </w:t>
      </w:r>
      <w:r w:rsidRPr="00340A58">
        <w:rPr>
          <w:rFonts w:eastAsia="Times New Roman" w:cs="Times New Roman"/>
          <w:color w:val="333333"/>
        </w:rPr>
        <w:t>33(4):</w:t>
      </w:r>
      <w:r w:rsidRPr="00340A58">
        <w:rPr>
          <w:rFonts w:eastAsia="Times New Roman" w:cs="Times New Roman"/>
          <w:color w:val="333333"/>
          <w:shd w:val="clear" w:color="auto" w:fill="FFFFFF"/>
        </w:rPr>
        <w:t> </w:t>
      </w:r>
      <w:r w:rsidRPr="00340A58">
        <w:rPr>
          <w:rFonts w:eastAsia="Times New Roman" w:cs="Times New Roman"/>
          <w:color w:val="333333"/>
        </w:rPr>
        <w:t>325–58.</w:t>
      </w:r>
    </w:p>
    <w:p w14:paraId="76A85718" w14:textId="77777777" w:rsidR="00BA13EF" w:rsidRPr="00340A58" w:rsidRDefault="00BA13EF" w:rsidP="000A2412">
      <w:pPr>
        <w:pStyle w:val="Excluded"/>
        <w:rPr>
          <w:noProof/>
        </w:rPr>
      </w:pPr>
      <w:r w:rsidRPr="00340A58">
        <w:rPr>
          <w:noProof/>
        </w:rPr>
        <w:t xml:space="preserve">ACOG Committee Opinion No. 650: Physical activity and exercise during pregnancy and the postpartum period. </w:t>
      </w:r>
      <w:r w:rsidRPr="00340A58">
        <w:rPr>
          <w:i/>
          <w:noProof/>
        </w:rPr>
        <w:t>Obstet Gynecol</w:t>
      </w:r>
      <w:r w:rsidRPr="00340A58">
        <w:rPr>
          <w:noProof/>
        </w:rPr>
        <w:t>. 2015; 126(6): e135-42.</w:t>
      </w:r>
    </w:p>
    <w:p w14:paraId="33223220" w14:textId="77777777" w:rsidR="00BA13EF" w:rsidRPr="00340A58" w:rsidRDefault="00BA13EF" w:rsidP="000A2412">
      <w:pPr>
        <w:pStyle w:val="Excluded"/>
        <w:rPr>
          <w:noProof/>
        </w:rPr>
      </w:pPr>
      <w:r w:rsidRPr="00340A58">
        <w:rPr>
          <w:noProof/>
        </w:rPr>
        <w:t xml:space="preserve">Agha-Jaffar R, Oliver N, Johnston D et al. Gestational diabetes mellitus: does an effective prevention strategy exist? </w:t>
      </w:r>
      <w:r w:rsidRPr="00340A58">
        <w:rPr>
          <w:i/>
          <w:noProof/>
        </w:rPr>
        <w:t>Nat Rev Endocrinol</w:t>
      </w:r>
      <w:r w:rsidRPr="00340A58">
        <w:rPr>
          <w:noProof/>
        </w:rPr>
        <w:t>. 2016; 12(9): 533-46.</w:t>
      </w:r>
    </w:p>
    <w:p w14:paraId="41E9B996" w14:textId="77777777" w:rsidR="00BA13EF" w:rsidRPr="00340A58" w:rsidRDefault="00BA13EF" w:rsidP="000A2412">
      <w:pPr>
        <w:pStyle w:val="Excluded"/>
        <w:rPr>
          <w:lang w:val="en-AU"/>
        </w:rPr>
      </w:pPr>
      <w:r w:rsidRPr="00340A58">
        <w:rPr>
          <w:lang w:val="en-AU"/>
        </w:rPr>
        <w:t xml:space="preserve">Ahluwahlia M. Supporting the individual needs of obese pregnant women: Effects of risk-management processes. </w:t>
      </w:r>
      <w:r w:rsidRPr="00340A58">
        <w:rPr>
          <w:i/>
          <w:lang w:val="en-AU"/>
        </w:rPr>
        <w:t xml:space="preserve">Brit J Midwifery. </w:t>
      </w:r>
      <w:r w:rsidRPr="00340A58">
        <w:rPr>
          <w:lang w:val="en-AU"/>
        </w:rPr>
        <w:t>2015; 23(10): 702-08.</w:t>
      </w:r>
    </w:p>
    <w:p w14:paraId="3E817FAA" w14:textId="77777777" w:rsidR="00BA13EF" w:rsidRPr="00340A58" w:rsidRDefault="00BA13EF" w:rsidP="000A2412">
      <w:pPr>
        <w:pStyle w:val="Excluded"/>
        <w:rPr>
          <w:noProof/>
        </w:rPr>
      </w:pPr>
      <w:r w:rsidRPr="00340A58">
        <w:rPr>
          <w:noProof/>
        </w:rPr>
        <w:t xml:space="preserve">Ainscough KM, Lindsay KL, O'Sullivan EJ et al. Behaviour change in overweight and obese pregnancy: a decision tree to support the development of antenatal lifestyle interventions. </w:t>
      </w:r>
      <w:r w:rsidRPr="00340A58">
        <w:rPr>
          <w:i/>
          <w:noProof/>
        </w:rPr>
        <w:t>Public Health Nutr</w:t>
      </w:r>
      <w:r w:rsidRPr="00340A58">
        <w:rPr>
          <w:noProof/>
        </w:rPr>
        <w:t>. 2017; 20(14): 2642-8.</w:t>
      </w:r>
    </w:p>
    <w:p w14:paraId="090B843D" w14:textId="77777777" w:rsidR="00BA13EF" w:rsidRPr="00340A58" w:rsidRDefault="00BA13EF" w:rsidP="000A2412">
      <w:pPr>
        <w:pStyle w:val="Excluded"/>
        <w:rPr>
          <w:noProof/>
        </w:rPr>
      </w:pPr>
      <w:r w:rsidRPr="00340A58">
        <w:rPr>
          <w:noProof/>
        </w:rPr>
        <w:t xml:space="preserve">Albright E. Exercise during pregnancy. </w:t>
      </w:r>
      <w:r w:rsidRPr="00340A58">
        <w:rPr>
          <w:i/>
          <w:noProof/>
        </w:rPr>
        <w:t>Curr Sports Med Rep</w:t>
      </w:r>
      <w:r w:rsidRPr="00340A58">
        <w:rPr>
          <w:noProof/>
        </w:rPr>
        <w:t>. 2016; 15(4): 226-7.</w:t>
      </w:r>
    </w:p>
    <w:p w14:paraId="19DCC5B8" w14:textId="77777777" w:rsidR="00BA13EF" w:rsidRPr="00BA13EF" w:rsidRDefault="00BA13EF" w:rsidP="00BA13EF">
      <w:pPr>
        <w:pStyle w:val="Excluded"/>
      </w:pPr>
      <w:r w:rsidRPr="00BA13EF">
        <w:t>Alvarez-Bueno C, Cavero-Redondo I, Sanchez-Lopez M et al. Pregnancy leisure physical activity and children's neurodevelopment: a narrative review. BJOG. 2018; 125(10): 1235-42.</w:t>
      </w:r>
    </w:p>
    <w:p w14:paraId="4599E81A" w14:textId="77777777" w:rsidR="00BA13EF" w:rsidRPr="00340A58" w:rsidRDefault="00BA13EF" w:rsidP="000A2412">
      <w:pPr>
        <w:pStyle w:val="Excluded"/>
        <w:rPr>
          <w:noProof/>
        </w:rPr>
      </w:pPr>
      <w:r w:rsidRPr="00340A58">
        <w:rPr>
          <w:noProof/>
        </w:rPr>
        <w:t xml:space="preserve">Álvarez-Bueno C, Cavero-Redondo I, Sánchez-López M et al. Pregnancy leisure physical activity and children's neurodevelopment: a narrative review. </w:t>
      </w:r>
      <w:r w:rsidRPr="00340A58">
        <w:rPr>
          <w:i/>
          <w:noProof/>
        </w:rPr>
        <w:t>BJOG: An International Journal of Obstetrics &amp; Gynaecology</w:t>
      </w:r>
      <w:r w:rsidRPr="00340A58">
        <w:rPr>
          <w:noProof/>
        </w:rPr>
        <w:t>. 2018; 125(10): 1235-42.</w:t>
      </w:r>
    </w:p>
    <w:p w14:paraId="3C6A197E" w14:textId="77777777" w:rsidR="00BA13EF" w:rsidRPr="00BA13EF" w:rsidRDefault="00BA13EF" w:rsidP="00BA13EF">
      <w:pPr>
        <w:pStyle w:val="Excluded"/>
      </w:pPr>
      <w:r w:rsidRPr="00BA13EF">
        <w:t>Alves JGB, Alves GV. Effects of physical activity on children's growth. J Pediatr (Rio J). 2019; 95 Suppl 1: 72-8.</w:t>
      </w:r>
    </w:p>
    <w:p w14:paraId="4D60CDC4" w14:textId="77777777" w:rsidR="00BA13EF" w:rsidRPr="00340A58" w:rsidRDefault="00BA13EF" w:rsidP="000A2412">
      <w:pPr>
        <w:pStyle w:val="Excluded"/>
        <w:rPr>
          <w:noProof/>
        </w:rPr>
      </w:pPr>
      <w:r w:rsidRPr="00340A58">
        <w:rPr>
          <w:noProof/>
        </w:rPr>
        <w:t xml:space="preserve">Artal R, O'Toole M. Guidelines of the American College of Obstetricians and Gynecologists for exercise during pregnancy and the postpartum period. </w:t>
      </w:r>
      <w:r w:rsidRPr="00340A58">
        <w:rPr>
          <w:i/>
          <w:noProof/>
        </w:rPr>
        <w:t>Br J Sports Med</w:t>
      </w:r>
      <w:r w:rsidRPr="00340A58">
        <w:rPr>
          <w:noProof/>
        </w:rPr>
        <w:t xml:space="preserve">. 2003; 37(1): 6-12; discussion </w:t>
      </w:r>
    </w:p>
    <w:p w14:paraId="15C2ADA0" w14:textId="77777777" w:rsidR="00BA13EF" w:rsidRPr="00340A58" w:rsidRDefault="00BA13EF" w:rsidP="000A2412">
      <w:pPr>
        <w:pStyle w:val="Excluded"/>
        <w:rPr>
          <w:noProof/>
        </w:rPr>
      </w:pPr>
      <w:r w:rsidRPr="00340A58">
        <w:rPr>
          <w:noProof/>
        </w:rPr>
        <w:t xml:space="preserve">Artal R. Exercise in pregnancy: Guidelines. </w:t>
      </w:r>
      <w:r w:rsidRPr="00340A58">
        <w:rPr>
          <w:i/>
          <w:noProof/>
        </w:rPr>
        <w:t>Clin Obstet Gynecol</w:t>
      </w:r>
      <w:r w:rsidRPr="00340A58">
        <w:rPr>
          <w:noProof/>
        </w:rPr>
        <w:t>. 2016; 59(3): 639-44.</w:t>
      </w:r>
    </w:p>
    <w:p w14:paraId="688B894C" w14:textId="77777777" w:rsidR="00BA13EF" w:rsidRPr="00340A58" w:rsidRDefault="00BA13EF" w:rsidP="000A2412">
      <w:pPr>
        <w:pStyle w:val="Excluded"/>
        <w:rPr>
          <w:noProof/>
        </w:rPr>
      </w:pPr>
      <w:r w:rsidRPr="00340A58">
        <w:rPr>
          <w:noProof/>
        </w:rPr>
        <w:t xml:space="preserve">Artal R. The role of exercise in reducing the risks of gestational diabetes mellitus in obese women. </w:t>
      </w:r>
      <w:r w:rsidRPr="00340A58">
        <w:rPr>
          <w:i/>
          <w:noProof/>
        </w:rPr>
        <w:t>Best Pract Res Clin Obstet Gynaecol</w:t>
      </w:r>
      <w:r w:rsidRPr="00340A58">
        <w:rPr>
          <w:noProof/>
        </w:rPr>
        <w:t>. 2015; 29(1): 123-32.</w:t>
      </w:r>
    </w:p>
    <w:p w14:paraId="4C1F0EF6" w14:textId="77777777" w:rsidR="00BA13EF" w:rsidRPr="00340A58" w:rsidRDefault="00BA13EF" w:rsidP="000A2412">
      <w:pPr>
        <w:pStyle w:val="Excluded"/>
        <w:rPr>
          <w:noProof/>
        </w:rPr>
      </w:pPr>
      <w:r w:rsidRPr="00340A58">
        <w:rPr>
          <w:noProof/>
        </w:rPr>
        <w:t xml:space="preserve">Barakat R, Perales M, Garatachea N et al. Exercise during pregnancy. A narrative review asking: what do we know? </w:t>
      </w:r>
      <w:r w:rsidRPr="00340A58">
        <w:rPr>
          <w:i/>
          <w:noProof/>
        </w:rPr>
        <w:t>Br J Sports Med</w:t>
      </w:r>
      <w:r w:rsidRPr="00340A58">
        <w:rPr>
          <w:noProof/>
        </w:rPr>
        <w:t>. 2015; 49(21): 1377-81.</w:t>
      </w:r>
    </w:p>
    <w:p w14:paraId="5E8DD1DA" w14:textId="77777777" w:rsidR="00BA13EF" w:rsidRPr="00340A58" w:rsidRDefault="00BA13EF" w:rsidP="000A2412">
      <w:pPr>
        <w:pStyle w:val="Excluded"/>
        <w:rPr>
          <w:lang w:val="en-AU"/>
        </w:rPr>
      </w:pPr>
      <w:r w:rsidRPr="00340A58">
        <w:rPr>
          <w:lang w:val="en-AU"/>
        </w:rPr>
        <w:t>Bell, R.</w:t>
      </w:r>
      <w:r>
        <w:rPr>
          <w:lang w:val="en-AU"/>
        </w:rPr>
        <w:t xml:space="preserve"> </w:t>
      </w:r>
      <w:r w:rsidRPr="00340A58">
        <w:rPr>
          <w:lang w:val="en-AU"/>
        </w:rPr>
        <w:t>The effects of vigorous exercise during pregnancy on birth weight.</w:t>
      </w:r>
      <w:r w:rsidRPr="00340A58">
        <w:rPr>
          <w:i/>
          <w:lang w:val="en-AU"/>
        </w:rPr>
        <w:t xml:space="preserve"> J Sci Med Sport. </w:t>
      </w:r>
      <w:r w:rsidRPr="00340A58">
        <w:rPr>
          <w:lang w:val="en-AU"/>
        </w:rPr>
        <w:t>2002; 5(1): 32-36.</w:t>
      </w:r>
    </w:p>
    <w:p w14:paraId="01B873E9" w14:textId="77777777" w:rsidR="00BA13EF" w:rsidRPr="00340A58" w:rsidRDefault="00BA13EF" w:rsidP="000A2412">
      <w:pPr>
        <w:pStyle w:val="Excluded"/>
        <w:rPr>
          <w:noProof/>
        </w:rPr>
      </w:pPr>
      <w:r w:rsidRPr="00340A58">
        <w:rPr>
          <w:noProof/>
        </w:rPr>
        <w:t xml:space="preserve">Berghella V, Saccone G. Exercise in pregnancy! </w:t>
      </w:r>
      <w:r w:rsidRPr="00340A58">
        <w:rPr>
          <w:i/>
          <w:noProof/>
        </w:rPr>
        <w:t>Am J Obstet Gynecol</w:t>
      </w:r>
      <w:r w:rsidRPr="00340A58">
        <w:rPr>
          <w:noProof/>
        </w:rPr>
        <w:t>. 2017; 216(4): 335-7.</w:t>
      </w:r>
    </w:p>
    <w:p w14:paraId="1C4371B6" w14:textId="77777777" w:rsidR="00BA13EF" w:rsidRPr="00340A58" w:rsidRDefault="00BA13EF" w:rsidP="000A2412">
      <w:pPr>
        <w:pStyle w:val="Excluded"/>
      </w:pPr>
      <w:r w:rsidRPr="00340A58">
        <w:t>Bezerra KC, Rocha SR, Oriá MOB et al. Interventions for the prevention of urinary incontinence during prenatal care: An integrative review.</w:t>
      </w:r>
      <w:r w:rsidRPr="00340A58">
        <w:rPr>
          <w:i/>
        </w:rPr>
        <w:t xml:space="preserve"> Braz J Nurs.</w:t>
      </w:r>
      <w:r w:rsidRPr="00340A58">
        <w:t xml:space="preserve"> 2016; 15(1).</w:t>
      </w:r>
    </w:p>
    <w:p w14:paraId="626E1235" w14:textId="77777777" w:rsidR="00BA13EF" w:rsidRPr="00340A58" w:rsidRDefault="00BA13EF" w:rsidP="000A2412">
      <w:pPr>
        <w:pStyle w:val="Excluded"/>
        <w:rPr>
          <w:lang w:val="en-AU"/>
        </w:rPr>
      </w:pPr>
      <w:r w:rsidRPr="00340A58">
        <w:rPr>
          <w:lang w:val="en-AU"/>
        </w:rPr>
        <w:t xml:space="preserve">Bianchi C, Aragona M, Bertolotto et al. Improving prescription of physical exercise in prophylaxis/therapy of gestational diabetes: A survey from evidence to current recommendations. </w:t>
      </w:r>
      <w:r w:rsidRPr="00340A58">
        <w:rPr>
          <w:i/>
          <w:lang w:val="en-AU"/>
        </w:rPr>
        <w:t xml:space="preserve">Ital J Gynaecol Obstet. </w:t>
      </w:r>
      <w:r w:rsidRPr="00340A58">
        <w:rPr>
          <w:lang w:val="en-AU"/>
        </w:rPr>
        <w:t>2016; 28(4): 15-22.</w:t>
      </w:r>
    </w:p>
    <w:p w14:paraId="33BD69D9" w14:textId="77777777" w:rsidR="00BA13EF" w:rsidRPr="00340A58" w:rsidRDefault="00BA13EF" w:rsidP="000A2412">
      <w:pPr>
        <w:pStyle w:val="Excluded"/>
        <w:rPr>
          <w:noProof/>
        </w:rPr>
      </w:pPr>
      <w:r w:rsidRPr="00340A58">
        <w:rPr>
          <w:noProof/>
        </w:rPr>
        <w:t xml:space="preserve">Blaize AN, Pearson KJ, Newcomer SC. Impact of maternal exercise during pregnancy on offspring chronic disease susceptibility. </w:t>
      </w:r>
      <w:r w:rsidRPr="00340A58">
        <w:rPr>
          <w:i/>
          <w:noProof/>
        </w:rPr>
        <w:t>Exerc Sport Sci Rev</w:t>
      </w:r>
      <w:r w:rsidRPr="00340A58">
        <w:rPr>
          <w:noProof/>
        </w:rPr>
        <w:t>. 2015; 43(4): 198-203.</w:t>
      </w:r>
    </w:p>
    <w:p w14:paraId="04928792" w14:textId="77777777" w:rsidR="00BA13EF" w:rsidRPr="00340A58" w:rsidRDefault="00BA13EF" w:rsidP="000A2412">
      <w:pPr>
        <w:pStyle w:val="Excluded"/>
        <w:rPr>
          <w:noProof/>
        </w:rPr>
      </w:pPr>
      <w:r w:rsidRPr="00340A58">
        <w:rPr>
          <w:noProof/>
        </w:rPr>
        <w:t xml:space="preserve">Boissonnault JS, Klestinski JU, Pearcy K. The Role of exercise in the management of pelvic girdle and low back pain in pregnancy. </w:t>
      </w:r>
      <w:r w:rsidRPr="00340A58">
        <w:rPr>
          <w:i/>
          <w:noProof/>
        </w:rPr>
        <w:t>Journal of Women</w:t>
      </w:r>
      <w:r w:rsidRPr="00340A58">
        <w:rPr>
          <w:rFonts w:ascii="Calibri" w:hAnsi="Calibri"/>
          <w:i/>
          <w:noProof/>
        </w:rPr>
        <w:t>ʼ</w:t>
      </w:r>
      <w:r w:rsidRPr="00340A58">
        <w:rPr>
          <w:i/>
          <w:noProof/>
        </w:rPr>
        <w:t>s Health Physical Therapy</w:t>
      </w:r>
      <w:r w:rsidRPr="00340A58">
        <w:rPr>
          <w:noProof/>
        </w:rPr>
        <w:t>. 2012; 36(2): 69-77.</w:t>
      </w:r>
    </w:p>
    <w:p w14:paraId="0467A86F" w14:textId="77777777" w:rsidR="00BA13EF" w:rsidRPr="00340A58" w:rsidRDefault="00BA13EF" w:rsidP="000A2412">
      <w:pPr>
        <w:pStyle w:val="Excluded"/>
        <w:rPr>
          <w:noProof/>
        </w:rPr>
      </w:pPr>
      <w:r w:rsidRPr="00340A58">
        <w:rPr>
          <w:noProof/>
        </w:rPr>
        <w:t xml:space="preserve">Bonzini M, Coggon D, Palmer KT. Risk of prematurity, low birthweight and pre-eclampsia in relation to working hours and physical activities: a systematic review. </w:t>
      </w:r>
      <w:r w:rsidRPr="00340A58">
        <w:rPr>
          <w:i/>
          <w:noProof/>
        </w:rPr>
        <w:t>Occup Environ Med</w:t>
      </w:r>
      <w:r w:rsidRPr="00340A58">
        <w:rPr>
          <w:noProof/>
        </w:rPr>
        <w:t>. 2007; 64(4): 228-43.</w:t>
      </w:r>
    </w:p>
    <w:p w14:paraId="17B56D3D" w14:textId="77777777" w:rsidR="00BA13EF" w:rsidRPr="00340A58" w:rsidRDefault="00BA13EF" w:rsidP="000A2412">
      <w:pPr>
        <w:pStyle w:val="Excluded"/>
        <w:rPr>
          <w:noProof/>
        </w:rPr>
      </w:pPr>
      <w:r w:rsidRPr="00340A58">
        <w:rPr>
          <w:noProof/>
        </w:rPr>
        <w:t xml:space="preserve">Bredin SS, Foulds HJ, Burr JF et al. Risk assessment for physical activity and exercise clearance: in pregnant women without contraindications. </w:t>
      </w:r>
      <w:r w:rsidRPr="00340A58">
        <w:rPr>
          <w:i/>
          <w:noProof/>
        </w:rPr>
        <w:t>Can Fam Physician</w:t>
      </w:r>
      <w:r w:rsidRPr="00340A58">
        <w:rPr>
          <w:noProof/>
        </w:rPr>
        <w:t>. 2013; 59(5): 515-7.</w:t>
      </w:r>
    </w:p>
    <w:p w14:paraId="262C7881" w14:textId="77777777" w:rsidR="00BA13EF" w:rsidRPr="00BA13EF" w:rsidRDefault="00BA13EF" w:rsidP="00BA13EF">
      <w:pPr>
        <w:pStyle w:val="Excluded"/>
      </w:pPr>
      <w:r w:rsidRPr="00BA13EF">
        <w:t>Chan CWH, Au Yeung E, Law BMH. Effectiveness of Physical Activity Interventions on Pregnancy-Related Outcomes among Pregnant Women: A Systematic Review. Int J Environ Res Public Health. 2019; 16(10).</w:t>
      </w:r>
    </w:p>
    <w:p w14:paraId="1317C14F" w14:textId="77777777" w:rsidR="00BA13EF" w:rsidRPr="00340A58" w:rsidRDefault="00BA13EF" w:rsidP="000A2412">
      <w:pPr>
        <w:pStyle w:val="Excluded"/>
        <w:rPr>
          <w:noProof/>
        </w:rPr>
      </w:pPr>
      <w:r w:rsidRPr="00340A58">
        <w:rPr>
          <w:noProof/>
        </w:rPr>
        <w:t xml:space="preserve">Charlesworth S, Foulds HJ, Burr JF et al. Evidence-based risk assessment and recommendations for physical activity clearance: pregnancy. </w:t>
      </w:r>
      <w:r w:rsidRPr="00340A58">
        <w:rPr>
          <w:i/>
          <w:noProof/>
        </w:rPr>
        <w:t>Appl Physiol Nutr Metab</w:t>
      </w:r>
      <w:r w:rsidRPr="00340A58">
        <w:rPr>
          <w:noProof/>
        </w:rPr>
        <w:t>. 2011; 36 Suppl 1: S33-48.</w:t>
      </w:r>
    </w:p>
    <w:p w14:paraId="115FC261" w14:textId="77777777" w:rsidR="00BA13EF" w:rsidRPr="00340A58" w:rsidRDefault="00BA13EF" w:rsidP="000A2412">
      <w:pPr>
        <w:pStyle w:val="Excluded"/>
        <w:rPr>
          <w:noProof/>
        </w:rPr>
      </w:pPr>
      <w:r w:rsidRPr="00340A58">
        <w:rPr>
          <w:noProof/>
        </w:rPr>
        <w:t xml:space="preserve">Curtis K, Weinrib A, Katz J. Systematic review of yoga for pregnant women: current status and future directions. </w:t>
      </w:r>
      <w:r w:rsidRPr="00340A58">
        <w:rPr>
          <w:i/>
          <w:noProof/>
        </w:rPr>
        <w:t>Evid Based Complement Alternat Med</w:t>
      </w:r>
      <w:r w:rsidRPr="00340A58">
        <w:rPr>
          <w:noProof/>
        </w:rPr>
        <w:t>. 2012; 2012: 715942.</w:t>
      </w:r>
    </w:p>
    <w:p w14:paraId="21B0AC14" w14:textId="77777777" w:rsidR="00BA13EF" w:rsidRPr="00BA13EF" w:rsidRDefault="00BA13EF" w:rsidP="00BA13EF">
      <w:pPr>
        <w:pStyle w:val="Excluded"/>
      </w:pPr>
      <w:r w:rsidRPr="00BA13EF">
        <w:t>Dalrymple KV, Martyni-Orenowicz J, Flynn AC et al. Can antenatal diet and lifestyle interventions influence childhood obesity? A systematic review. Matern Child Nutr. 2018; 14(4): e12628.</w:t>
      </w:r>
    </w:p>
    <w:p w14:paraId="11C62E85" w14:textId="77777777" w:rsidR="00BA13EF" w:rsidRPr="00340A58" w:rsidRDefault="00BA13EF" w:rsidP="000A2412">
      <w:pPr>
        <w:pStyle w:val="Excluded"/>
        <w:rPr>
          <w:noProof/>
        </w:rPr>
      </w:pPr>
      <w:r w:rsidRPr="00340A58">
        <w:rPr>
          <w:noProof/>
        </w:rPr>
        <w:t xml:space="preserve">Davies GAL, Wolfe LA, Mottola MF et al. No. 129-Exercise in Pregnancy and the Postpartum Period. </w:t>
      </w:r>
      <w:r w:rsidRPr="00340A58">
        <w:rPr>
          <w:i/>
          <w:noProof/>
        </w:rPr>
        <w:t>J Obstet Gynaecol Can</w:t>
      </w:r>
      <w:r w:rsidRPr="00340A58">
        <w:rPr>
          <w:noProof/>
        </w:rPr>
        <w:t>. 2018; 40(2): e58-e65.</w:t>
      </w:r>
    </w:p>
    <w:p w14:paraId="7AF36114" w14:textId="77777777" w:rsidR="00BA13EF" w:rsidRPr="00BA13EF" w:rsidRDefault="00BA13EF" w:rsidP="00BA13EF">
      <w:pPr>
        <w:pStyle w:val="Excluded"/>
      </w:pPr>
      <w:r w:rsidRPr="00BA13EF">
        <w:t>Dipietro L, Evenson KR, Bloodgood B et al. Benefits of Physical Activity during Pregnancy and Postpartum: An Umbrella Review. Med Sci Sports Exerc. 2019; 51(6): 1292-302.</w:t>
      </w:r>
    </w:p>
    <w:p w14:paraId="65E04861" w14:textId="77777777" w:rsidR="00BA13EF" w:rsidRPr="00340A58" w:rsidRDefault="00BA13EF" w:rsidP="000A2412">
      <w:pPr>
        <w:pStyle w:val="Excluded"/>
        <w:rPr>
          <w:noProof/>
        </w:rPr>
      </w:pPr>
      <w:r w:rsidRPr="00340A58">
        <w:rPr>
          <w:noProof/>
        </w:rPr>
        <w:t xml:space="preserve">Downs DS, Chasan-Taber L, Evenson KR et al. Physical activity and pregnancy: past and present evidence and future recommendations. </w:t>
      </w:r>
      <w:r w:rsidRPr="00340A58">
        <w:rPr>
          <w:i/>
          <w:noProof/>
        </w:rPr>
        <w:t>Res Q Exerc Sport</w:t>
      </w:r>
      <w:r w:rsidRPr="00340A58">
        <w:rPr>
          <w:noProof/>
        </w:rPr>
        <w:t>. 2012; 83(4): 485-502.</w:t>
      </w:r>
    </w:p>
    <w:p w14:paraId="6845A4DA" w14:textId="3C2C50B0" w:rsidR="00BA13EF" w:rsidRPr="00BA13EF" w:rsidRDefault="00BA13EF" w:rsidP="00BA13EF">
      <w:pPr>
        <w:pStyle w:val="Excluded"/>
      </w:pPr>
      <w:r w:rsidRPr="00BA13EF">
        <w:t xml:space="preserve">Evenson KR, Mottola MF, Artal R. Review of </w:t>
      </w:r>
      <w:r w:rsidR="004936CE" w:rsidRPr="00BA13EF">
        <w:t>recent physical activity guidelines during pregnancy to facilitate advice by health care provide</w:t>
      </w:r>
      <w:r w:rsidRPr="00BA13EF">
        <w:t>rs. Obstet Gynecol Surv. 2019; 74(8): 481-9.</w:t>
      </w:r>
    </w:p>
    <w:p w14:paraId="52D22373" w14:textId="77777777" w:rsidR="00BA13EF" w:rsidRPr="00340A58" w:rsidRDefault="00BA13EF" w:rsidP="000A2412">
      <w:pPr>
        <w:pStyle w:val="Excluded"/>
        <w:rPr>
          <w:noProof/>
        </w:rPr>
      </w:pPr>
      <w:r w:rsidRPr="00340A58">
        <w:rPr>
          <w:noProof/>
        </w:rPr>
        <w:t xml:space="preserve">Ferraro ZM, Gaudet L, Adamo KB. The potential impact of physical activity during pregnancy on maternal and neonatal outcomes. </w:t>
      </w:r>
      <w:r w:rsidRPr="00340A58">
        <w:rPr>
          <w:i/>
          <w:noProof/>
        </w:rPr>
        <w:t>Obstet Gynecol Surv</w:t>
      </w:r>
      <w:r w:rsidRPr="00340A58">
        <w:rPr>
          <w:noProof/>
        </w:rPr>
        <w:t>. 2012; 67(2): 99-110.</w:t>
      </w:r>
    </w:p>
    <w:p w14:paraId="62A6CDF7" w14:textId="77777777" w:rsidR="00BA13EF" w:rsidRPr="00340A58" w:rsidRDefault="00BA13EF" w:rsidP="000A2412">
      <w:pPr>
        <w:pStyle w:val="Excluded"/>
        <w:rPr>
          <w:noProof/>
        </w:rPr>
      </w:pPr>
      <w:r w:rsidRPr="00340A58">
        <w:rPr>
          <w:noProof/>
        </w:rPr>
        <w:t xml:space="preserve">Flak AL, Yun Tark J, Tinker SC et al. Major, non-chromosomal, birth defects and maternal physical activity: a systematic review. </w:t>
      </w:r>
      <w:r w:rsidRPr="00340A58">
        <w:rPr>
          <w:i/>
          <w:noProof/>
        </w:rPr>
        <w:t>Birth Defects Res A Clin Mol Teratol</w:t>
      </w:r>
      <w:r w:rsidRPr="00340A58">
        <w:rPr>
          <w:noProof/>
        </w:rPr>
        <w:t>. 2012; 94(7): 521-31.</w:t>
      </w:r>
    </w:p>
    <w:p w14:paraId="343858BE" w14:textId="77777777" w:rsidR="00BA13EF" w:rsidRPr="00340A58" w:rsidRDefault="00BA13EF" w:rsidP="000A2412">
      <w:pPr>
        <w:pStyle w:val="Excluded"/>
        <w:rPr>
          <w:noProof/>
        </w:rPr>
      </w:pPr>
      <w:r w:rsidRPr="00340A58">
        <w:rPr>
          <w:noProof/>
        </w:rPr>
        <w:t xml:space="preserve">Flynn AC, Dalrymple K, Barr S et al. Dietary interventions in overweight and obese pregnant women: a systematic review of the content, delivery, and outcomes of randomized controlled trials. </w:t>
      </w:r>
      <w:r w:rsidRPr="00340A58">
        <w:rPr>
          <w:i/>
          <w:noProof/>
        </w:rPr>
        <w:t>Nutr Rev</w:t>
      </w:r>
      <w:r w:rsidRPr="00340A58">
        <w:rPr>
          <w:noProof/>
        </w:rPr>
        <w:t>. 2016; 74(5): 312-28.</w:t>
      </w:r>
    </w:p>
    <w:p w14:paraId="70B14CF5" w14:textId="77777777" w:rsidR="00BA13EF" w:rsidRPr="00340A58" w:rsidRDefault="00BA13EF" w:rsidP="000A2412">
      <w:pPr>
        <w:pStyle w:val="Excluded"/>
      </w:pPr>
      <w:r w:rsidRPr="00340A58">
        <w:rPr>
          <w:lang w:val="en-AU"/>
        </w:rPr>
        <w:t xml:space="preserve">Hassall J. Exercise in pregnancy: A review of current evidence. </w:t>
      </w:r>
      <w:r w:rsidRPr="00340A58">
        <w:rPr>
          <w:i/>
        </w:rPr>
        <w:t>Essentially MIDIRS</w:t>
      </w:r>
      <w:r w:rsidRPr="00340A58">
        <w:t>. 2011; 2(1): 39-42.</w:t>
      </w:r>
    </w:p>
    <w:p w14:paraId="5CE24E56" w14:textId="77777777" w:rsidR="00BA13EF" w:rsidRPr="00340A58" w:rsidRDefault="00BA13EF" w:rsidP="000A2412">
      <w:pPr>
        <w:pStyle w:val="Excluded"/>
        <w:rPr>
          <w:noProof/>
        </w:rPr>
      </w:pPr>
      <w:r w:rsidRPr="00340A58">
        <w:rPr>
          <w:noProof/>
        </w:rPr>
        <w:t xml:space="preserve">Hegaard HK, Ersboll AS, Damm P. Exercise in pregnancy: First trimester risks. </w:t>
      </w:r>
      <w:r w:rsidRPr="00340A58">
        <w:rPr>
          <w:i/>
          <w:noProof/>
        </w:rPr>
        <w:t>Clin Obstet Gynecol</w:t>
      </w:r>
      <w:r w:rsidRPr="00340A58">
        <w:rPr>
          <w:noProof/>
        </w:rPr>
        <w:t>. 2016; 59(3): 559-67.</w:t>
      </w:r>
    </w:p>
    <w:p w14:paraId="70E4127B" w14:textId="77777777" w:rsidR="00BA13EF" w:rsidRPr="00BA13EF" w:rsidRDefault="00BA13EF" w:rsidP="00BA13EF">
      <w:pPr>
        <w:pStyle w:val="Excluded"/>
      </w:pPr>
      <w:r w:rsidRPr="00BA13EF">
        <w:t>Hewage SS, Wu S, Neelakantan N et al. Systematic review of effectiveness and cost-effectiveness of lifestyle interventions to improve clinical diabetes outcome measures in women with a history of GDM. Clin Nutr ESPEN. 2020; 35: 20-9.</w:t>
      </w:r>
    </w:p>
    <w:p w14:paraId="78A5DF55" w14:textId="77777777" w:rsidR="00BA13EF" w:rsidRPr="00340A58" w:rsidRDefault="00BA13EF" w:rsidP="000A2412">
      <w:pPr>
        <w:pStyle w:val="Excluded"/>
        <w:rPr>
          <w:noProof/>
        </w:rPr>
      </w:pPr>
      <w:r w:rsidRPr="00340A58">
        <w:rPr>
          <w:noProof/>
        </w:rPr>
        <w:t xml:space="preserve">Hilde G, Bo K. The pelvic floor during pregnancy and after childbirth, and the effect of pelvic floor muscle training on urinary incontinence - a literature review. </w:t>
      </w:r>
      <w:r w:rsidRPr="00340A58">
        <w:rPr>
          <w:i/>
          <w:noProof/>
        </w:rPr>
        <w:t>Current Women s Health Reviews</w:t>
      </w:r>
      <w:r w:rsidRPr="00340A58">
        <w:rPr>
          <w:noProof/>
        </w:rPr>
        <w:t>. 2015; 11(1): 19-30.</w:t>
      </w:r>
    </w:p>
    <w:p w14:paraId="0E75BA64" w14:textId="77777777" w:rsidR="00BA13EF" w:rsidRPr="00340A58" w:rsidRDefault="00BA13EF" w:rsidP="000A2412">
      <w:pPr>
        <w:pStyle w:val="Excluded"/>
        <w:rPr>
          <w:noProof/>
        </w:rPr>
      </w:pPr>
      <w:r w:rsidRPr="00340A58">
        <w:rPr>
          <w:noProof/>
        </w:rPr>
        <w:t xml:space="preserve">Hinman SK, Smith KB, Quillen DM et al. Exercise in pregnancy: A clinical review. </w:t>
      </w:r>
      <w:r w:rsidRPr="00340A58">
        <w:rPr>
          <w:i/>
          <w:noProof/>
        </w:rPr>
        <w:t>Sports Health</w:t>
      </w:r>
      <w:r w:rsidRPr="00340A58">
        <w:rPr>
          <w:noProof/>
        </w:rPr>
        <w:t>. 2015; 7(6): 527-31.</w:t>
      </w:r>
    </w:p>
    <w:p w14:paraId="557C4134" w14:textId="77777777" w:rsidR="00BA13EF" w:rsidRPr="00340A58" w:rsidRDefault="00BA13EF" w:rsidP="000A2412">
      <w:pPr>
        <w:pStyle w:val="Excluded"/>
        <w:rPr>
          <w:noProof/>
        </w:rPr>
      </w:pPr>
      <w:r w:rsidRPr="00340A58">
        <w:rPr>
          <w:noProof/>
        </w:rPr>
        <w:t xml:space="preserve">Hollenbach D, Broker R, Herlehy S et al. Non-pharmacological interventions for sleep quality and insomnia during pregnancy: A systematic review. </w:t>
      </w:r>
      <w:r w:rsidRPr="00340A58">
        <w:rPr>
          <w:i/>
          <w:noProof/>
        </w:rPr>
        <w:t>J Can Chiropr Assoc</w:t>
      </w:r>
      <w:r w:rsidRPr="00340A58">
        <w:rPr>
          <w:noProof/>
        </w:rPr>
        <w:t>. 2013; 57(3): 260-70.</w:t>
      </w:r>
    </w:p>
    <w:p w14:paraId="1ADE4E8C" w14:textId="77777777" w:rsidR="00BA13EF" w:rsidRPr="00340A58" w:rsidRDefault="00BA13EF" w:rsidP="000A2412">
      <w:pPr>
        <w:pStyle w:val="Excluded"/>
        <w:rPr>
          <w:noProof/>
        </w:rPr>
      </w:pPr>
      <w:r w:rsidRPr="00340A58">
        <w:rPr>
          <w:noProof/>
        </w:rPr>
        <w:t xml:space="preserve">Jovanovic-Peterson L, Peterson CM. Review of gestational diabetes mellitus and low-calorie diet and physical exercise as therapy. </w:t>
      </w:r>
      <w:r w:rsidRPr="00340A58">
        <w:rPr>
          <w:i/>
          <w:noProof/>
        </w:rPr>
        <w:t>Diabetes Metab Rev</w:t>
      </w:r>
      <w:r w:rsidRPr="00340A58">
        <w:rPr>
          <w:noProof/>
        </w:rPr>
        <w:t>. 1996; 12(4): 287-308.</w:t>
      </w:r>
    </w:p>
    <w:p w14:paraId="5D77FE7D" w14:textId="77777777" w:rsidR="00BA13EF" w:rsidRPr="00340A58" w:rsidRDefault="00BA13EF" w:rsidP="000A2412">
      <w:pPr>
        <w:pStyle w:val="Excluded"/>
        <w:rPr>
          <w:noProof/>
        </w:rPr>
      </w:pPr>
      <w:r w:rsidRPr="00340A58">
        <w:rPr>
          <w:noProof/>
        </w:rPr>
        <w:t xml:space="preserve">Kader M, Naim-Shuchana S. Physical activity and exercise during pregnancy. </w:t>
      </w:r>
      <w:r w:rsidRPr="00340A58">
        <w:rPr>
          <w:i/>
          <w:noProof/>
        </w:rPr>
        <w:t>European Journal of Physiotherapy</w:t>
      </w:r>
      <w:r w:rsidRPr="00340A58">
        <w:rPr>
          <w:noProof/>
        </w:rPr>
        <w:t>. 2013; 16(1): 2-9.</w:t>
      </w:r>
    </w:p>
    <w:p w14:paraId="5F6AF300" w14:textId="77777777" w:rsidR="00BA13EF" w:rsidRPr="00340A58" w:rsidRDefault="00BA13EF" w:rsidP="000A2412">
      <w:pPr>
        <w:pStyle w:val="Excluded"/>
        <w:rPr>
          <w:noProof/>
        </w:rPr>
      </w:pPr>
      <w:r w:rsidRPr="00340A58">
        <w:rPr>
          <w:noProof/>
        </w:rPr>
        <w:t xml:space="preserve">Kaiser L, Allen LH, American Dietetic A. Position of the American Dietetic Association: nutrition and lifestyle for a healthy pregnancy outcome. </w:t>
      </w:r>
      <w:r w:rsidRPr="00340A58">
        <w:rPr>
          <w:i/>
          <w:noProof/>
        </w:rPr>
        <w:t>J Am Diet Assoc</w:t>
      </w:r>
      <w:r w:rsidRPr="00340A58">
        <w:rPr>
          <w:noProof/>
        </w:rPr>
        <w:t>. 2008; 108(3): 553-61.</w:t>
      </w:r>
    </w:p>
    <w:p w14:paraId="24F92EED" w14:textId="77777777" w:rsidR="00BA13EF" w:rsidRPr="00340A58" w:rsidRDefault="00BA13EF" w:rsidP="000A2412">
      <w:pPr>
        <w:pStyle w:val="Excluded"/>
        <w:rPr>
          <w:noProof/>
        </w:rPr>
      </w:pPr>
      <w:r w:rsidRPr="00340A58">
        <w:rPr>
          <w:noProof/>
        </w:rPr>
        <w:t xml:space="preserve">Kehler AK, Heinrich KM. A selective review of prenatal exercise guidelines since the 1950s until present: Written for women, health care professionals, and female athletes. </w:t>
      </w:r>
      <w:r w:rsidRPr="00340A58">
        <w:rPr>
          <w:i/>
          <w:noProof/>
        </w:rPr>
        <w:t>Women Birth</w:t>
      </w:r>
      <w:r w:rsidRPr="00340A58">
        <w:rPr>
          <w:noProof/>
        </w:rPr>
        <w:t>. 2015; 28(4): e93-8.</w:t>
      </w:r>
    </w:p>
    <w:p w14:paraId="068A1178" w14:textId="77777777" w:rsidR="00BA13EF" w:rsidRPr="00BA13EF" w:rsidRDefault="00BA13EF" w:rsidP="00BA13EF">
      <w:pPr>
        <w:pStyle w:val="Excluded"/>
      </w:pPr>
      <w:r w:rsidRPr="00BA13EF">
        <w:t>Kolomanska D, Zarawski M, Mazur-Bialy A. Physical Activity and Depressive Disorders in Pregnant Women-A Systematic Review. Medicina (Kaunas). 2019; 55(5).</w:t>
      </w:r>
    </w:p>
    <w:p w14:paraId="79CCD420" w14:textId="1EF22DD7" w:rsidR="00BA13EF" w:rsidRPr="00BA13EF" w:rsidRDefault="00BA13EF" w:rsidP="00BA13EF">
      <w:pPr>
        <w:pStyle w:val="Excluded"/>
      </w:pPr>
      <w:r w:rsidRPr="00BA13EF">
        <w:t xml:space="preserve">Kolomanska-Bogucka D, Mazur-Bialy AI. Physical </w:t>
      </w:r>
      <w:r w:rsidR="001E11FB" w:rsidRPr="00BA13EF">
        <w:t>activity and the occurrence of postnatal depression-a systematic re</w:t>
      </w:r>
      <w:r w:rsidRPr="00BA13EF">
        <w:t>view. Medicina (Kaunas). 2019; 55(9).</w:t>
      </w:r>
    </w:p>
    <w:p w14:paraId="41F2BDEB" w14:textId="77777777" w:rsidR="00BA13EF" w:rsidRPr="00340A58" w:rsidRDefault="00BA13EF" w:rsidP="000A2412">
      <w:pPr>
        <w:pStyle w:val="Excluded"/>
        <w:rPr>
          <w:noProof/>
        </w:rPr>
      </w:pPr>
      <w:r w:rsidRPr="00340A58">
        <w:rPr>
          <w:noProof/>
        </w:rPr>
        <w:t xml:space="preserve">Lillios S, Young J. The Effects of core and lower extremity strengthening on pregnancy-related low back and pelvic girdle pain. </w:t>
      </w:r>
      <w:r w:rsidRPr="00340A58">
        <w:rPr>
          <w:i/>
          <w:noProof/>
        </w:rPr>
        <w:t>Journal of Women</w:t>
      </w:r>
      <w:r w:rsidRPr="00340A58">
        <w:rPr>
          <w:rFonts w:ascii="Calibri" w:hAnsi="Calibri"/>
          <w:i/>
          <w:noProof/>
        </w:rPr>
        <w:t>ʼ</w:t>
      </w:r>
      <w:r w:rsidRPr="00340A58">
        <w:rPr>
          <w:i/>
          <w:noProof/>
        </w:rPr>
        <w:t>s Health Physical Therapy</w:t>
      </w:r>
      <w:r w:rsidRPr="00340A58">
        <w:rPr>
          <w:noProof/>
        </w:rPr>
        <w:t>. 2012; 36(3): 116-24.</w:t>
      </w:r>
    </w:p>
    <w:p w14:paraId="186CC899" w14:textId="77777777" w:rsidR="00BA13EF" w:rsidRPr="00340A58" w:rsidRDefault="00BA13EF" w:rsidP="000A2412">
      <w:pPr>
        <w:pStyle w:val="Excluded"/>
        <w:rPr>
          <w:noProof/>
        </w:rPr>
      </w:pPr>
      <w:r w:rsidRPr="00340A58">
        <w:rPr>
          <w:noProof/>
        </w:rPr>
        <w:t xml:space="preserve">Lindbohm ML. Physical workload--a risk factor for miscarriage? </w:t>
      </w:r>
      <w:r w:rsidRPr="00340A58">
        <w:rPr>
          <w:i/>
          <w:noProof/>
        </w:rPr>
        <w:t>Scand J Work Environ Health</w:t>
      </w:r>
      <w:r w:rsidRPr="00340A58">
        <w:rPr>
          <w:noProof/>
        </w:rPr>
        <w:t>. 2013; 39(4): 321-3.</w:t>
      </w:r>
    </w:p>
    <w:p w14:paraId="20586276" w14:textId="77777777" w:rsidR="00BA13EF" w:rsidRPr="00BA13EF" w:rsidRDefault="00BA13EF" w:rsidP="00BA13EF">
      <w:pPr>
        <w:pStyle w:val="Excluded"/>
      </w:pPr>
      <w:r w:rsidRPr="00BA13EF">
        <w:t>Liu N, Gou WH, Wang J et al. Effects of exercise on pregnant women's quality of life: A systematic review. Eur J Obstet Gynecol Reprod Biol. 2019; 242: 170-7.</w:t>
      </w:r>
    </w:p>
    <w:p w14:paraId="79C60A47" w14:textId="77777777" w:rsidR="00BA13EF" w:rsidRPr="00340A58" w:rsidRDefault="00BA13EF" w:rsidP="000A2412">
      <w:pPr>
        <w:pStyle w:val="Excluded"/>
        <w:rPr>
          <w:noProof/>
        </w:rPr>
      </w:pPr>
      <w:r w:rsidRPr="00340A58">
        <w:rPr>
          <w:noProof/>
        </w:rPr>
        <w:t xml:space="preserve">MacDonald LA, Waters TR, Napolitano PG et al. Clinical guidelines for occupational lifting in pregnancy: evidence summary and provisional recommendations. </w:t>
      </w:r>
      <w:r w:rsidRPr="00340A58">
        <w:rPr>
          <w:i/>
          <w:noProof/>
        </w:rPr>
        <w:t>Am J Obstet Gynecol</w:t>
      </w:r>
      <w:r w:rsidRPr="00340A58">
        <w:rPr>
          <w:noProof/>
        </w:rPr>
        <w:t>. 2013; 209(2): 80-8.</w:t>
      </w:r>
    </w:p>
    <w:p w14:paraId="3D853596" w14:textId="77777777" w:rsidR="00BA13EF" w:rsidRPr="00BA13EF" w:rsidRDefault="00BA13EF" w:rsidP="00BA13EF">
      <w:pPr>
        <w:pStyle w:val="Excluded"/>
      </w:pPr>
      <w:r w:rsidRPr="00BA13EF">
        <w:t>Makaruk B, Galczak-Kondraciuk A, Forczek W et al. The Effectiveness of Regular Exercise Programs in the Prevention of Gestational Diabetes Mellitus-A Systematic Review. Obstet Gynecol Surv. 2019; 74(5): 303-12.</w:t>
      </w:r>
    </w:p>
    <w:p w14:paraId="3A6595A2" w14:textId="77777777" w:rsidR="00BA13EF" w:rsidRPr="00340A58" w:rsidRDefault="00BA13EF" w:rsidP="000A2412">
      <w:pPr>
        <w:pStyle w:val="Excluded"/>
        <w:rPr>
          <w:noProof/>
        </w:rPr>
      </w:pPr>
      <w:r w:rsidRPr="00340A58">
        <w:rPr>
          <w:noProof/>
        </w:rPr>
        <w:t xml:space="preserve">McCarty-Singleton S, Sciscione AC. Maternal activity restriction in pregnancy and the prevention of preterm birth: an evidence-based review. </w:t>
      </w:r>
      <w:r w:rsidRPr="00340A58">
        <w:rPr>
          <w:i/>
          <w:noProof/>
        </w:rPr>
        <w:t>Clin Obstet Gynecol</w:t>
      </w:r>
      <w:r w:rsidRPr="00340A58">
        <w:rPr>
          <w:noProof/>
        </w:rPr>
        <w:t>. 2014; 57(3): 616-27.</w:t>
      </w:r>
    </w:p>
    <w:p w14:paraId="662A2F08" w14:textId="77777777" w:rsidR="00BA13EF" w:rsidRPr="00BA13EF" w:rsidRDefault="00BA13EF" w:rsidP="00BA13EF">
      <w:pPr>
        <w:pStyle w:val="Excluded"/>
      </w:pPr>
      <w:r w:rsidRPr="00BA13EF">
        <w:t>Mitanchez D, Ciangura C, Jacqueminet S. How Can Maternal Lifestyle Interventions Modify the Effects of Gestational Diabetes in the Neonate and the Offspring? A Systematic Review of Meta-Analyses. Nutrients. 2020; 12(2).</w:t>
      </w:r>
    </w:p>
    <w:p w14:paraId="7B5B352C" w14:textId="77777777" w:rsidR="00BA13EF" w:rsidRPr="00BA13EF" w:rsidRDefault="00BA13EF" w:rsidP="00BA13EF">
      <w:pPr>
        <w:pStyle w:val="Excluded"/>
      </w:pPr>
      <w:r w:rsidRPr="00BA13EF">
        <w:t>Mooventhan A. A comprehensive review on scientific evidence-based effects (including adverse effects) of yoga for normal and high-risk pregnancy-related health problems. J Bodyw Mov Ther. 2019; 23(4): 721-7.</w:t>
      </w:r>
    </w:p>
    <w:p w14:paraId="7513CF12" w14:textId="77777777" w:rsidR="00BA13EF" w:rsidRPr="00340A58" w:rsidRDefault="00BA13EF" w:rsidP="000A2412">
      <w:pPr>
        <w:pStyle w:val="Excluded"/>
        <w:rPr>
          <w:noProof/>
        </w:rPr>
      </w:pPr>
      <w:r w:rsidRPr="00340A58">
        <w:rPr>
          <w:noProof/>
        </w:rPr>
        <w:t xml:space="preserve">Morkved S, Bo K. Effect of pelvic floor muscle training during pregnancy and after childbirth on prevention and treatment of urinary incontinence: a systematic review. </w:t>
      </w:r>
      <w:r w:rsidRPr="00340A58">
        <w:rPr>
          <w:i/>
          <w:noProof/>
        </w:rPr>
        <w:t>Br J Sports Med</w:t>
      </w:r>
      <w:r w:rsidRPr="00340A58">
        <w:rPr>
          <w:noProof/>
        </w:rPr>
        <w:t>. 2014; 48(4): 299-310.</w:t>
      </w:r>
    </w:p>
    <w:p w14:paraId="13FBC992" w14:textId="77777777" w:rsidR="00BA13EF" w:rsidRPr="00BA13EF" w:rsidRDefault="00BA13EF" w:rsidP="00BA13EF">
      <w:pPr>
        <w:pStyle w:val="Excluded"/>
      </w:pPr>
      <w:r w:rsidRPr="00BA13EF">
        <w:t>Mottola MF, Davenport MH, Ruchat SM et al. No. 367-2019 Canadian Guideline for Physical Activity throughout Pregnancy. J Obstet Gynaecol Can. 2018; 40(11): 1528-37.</w:t>
      </w:r>
    </w:p>
    <w:p w14:paraId="3D70AC66" w14:textId="77777777" w:rsidR="00BA13EF" w:rsidRPr="00340A58" w:rsidRDefault="00BA13EF" w:rsidP="000A2412">
      <w:pPr>
        <w:pStyle w:val="Excluded"/>
        <w:rPr>
          <w:noProof/>
        </w:rPr>
      </w:pPr>
      <w:r w:rsidRPr="00340A58">
        <w:rPr>
          <w:noProof/>
        </w:rPr>
        <w:t xml:space="preserve">Nascimento SL, Surita FG, Cecatti JG. Physical exercise during pregnancy: a systematic review. </w:t>
      </w:r>
      <w:r w:rsidRPr="00340A58">
        <w:rPr>
          <w:i/>
          <w:noProof/>
        </w:rPr>
        <w:t>Curr Opin Obstet Gynecol</w:t>
      </w:r>
      <w:r w:rsidRPr="00340A58">
        <w:rPr>
          <w:noProof/>
        </w:rPr>
        <w:t>. 2012; 24(6): 387-94.</w:t>
      </w:r>
    </w:p>
    <w:p w14:paraId="26928E09" w14:textId="77777777" w:rsidR="00BA13EF" w:rsidRPr="00340A58" w:rsidRDefault="00BA13EF" w:rsidP="000A2412">
      <w:pPr>
        <w:pStyle w:val="Excluded"/>
        <w:rPr>
          <w:noProof/>
        </w:rPr>
      </w:pPr>
      <w:r w:rsidRPr="00340A58">
        <w:rPr>
          <w:noProof/>
        </w:rPr>
        <w:t xml:space="preserve">Nicodemus NA, Jr. Prevention of excessive gestational weight gain and postpartum weight retention. </w:t>
      </w:r>
      <w:r w:rsidRPr="00340A58">
        <w:rPr>
          <w:i/>
          <w:noProof/>
        </w:rPr>
        <w:t>Curr Obes Rep</w:t>
      </w:r>
      <w:r w:rsidRPr="00340A58">
        <w:rPr>
          <w:noProof/>
        </w:rPr>
        <w:t>. 2018; 7(2): 105-11.</w:t>
      </w:r>
    </w:p>
    <w:p w14:paraId="5F5FC5F6" w14:textId="77777777" w:rsidR="00BA13EF" w:rsidRPr="00340A58" w:rsidRDefault="00BA13EF" w:rsidP="000A2412">
      <w:pPr>
        <w:pStyle w:val="Excluded"/>
        <w:rPr>
          <w:noProof/>
        </w:rPr>
      </w:pPr>
      <w:r w:rsidRPr="00340A58">
        <w:rPr>
          <w:noProof/>
        </w:rPr>
        <w:t xml:space="preserve">Norman JE, Reynolds RM. Prescribing Exercise and Lifestyle Training for High Risk Women in Pregnancy and Early Post-partum-Is It Worth It? </w:t>
      </w:r>
      <w:r w:rsidRPr="00340A58">
        <w:rPr>
          <w:i/>
          <w:noProof/>
        </w:rPr>
        <w:t>PLoS Med</w:t>
      </w:r>
      <w:r w:rsidRPr="00340A58">
        <w:rPr>
          <w:noProof/>
        </w:rPr>
        <w:t>. 2016; 13(7): e1002093.</w:t>
      </w:r>
    </w:p>
    <w:p w14:paraId="783A4E46" w14:textId="540A25FA" w:rsidR="00BA13EF" w:rsidRPr="00BA13EF" w:rsidRDefault="00BA13EF" w:rsidP="00BA13EF">
      <w:pPr>
        <w:pStyle w:val="Excluded"/>
      </w:pPr>
      <w:r w:rsidRPr="00BA13EF">
        <w:t xml:space="preserve">Obinna EA, Martins NUN, </w:t>
      </w:r>
      <w:r w:rsidR="00B007FC">
        <w:t>Ugo</w:t>
      </w:r>
      <w:r w:rsidRPr="00BA13EF">
        <w:t xml:space="preserve">chukwu N et al. Effects of aerobic exercise on the gestational </w:t>
      </w:r>
      <w:r w:rsidR="00886445">
        <w:t>weight</w:t>
      </w:r>
      <w:r w:rsidRPr="00BA13EF">
        <w:t xml:space="preserve"> gain of healthy pregnant women–a systematic review. Indian J Physiother Occupat Ther. 2019; 13(2): 29-32.</w:t>
      </w:r>
    </w:p>
    <w:p w14:paraId="6FD9C073" w14:textId="77777777" w:rsidR="00BA13EF" w:rsidRPr="00340A58" w:rsidRDefault="00BA13EF" w:rsidP="000A2412">
      <w:pPr>
        <w:pStyle w:val="Excluded"/>
        <w:rPr>
          <w:noProof/>
        </w:rPr>
      </w:pPr>
      <w:r w:rsidRPr="00340A58">
        <w:rPr>
          <w:noProof/>
        </w:rPr>
        <w:t xml:space="preserve">Padayachee C, Coombes JS. Exercise guidelines for gestational diabetes mellitus. </w:t>
      </w:r>
      <w:r w:rsidRPr="00340A58">
        <w:rPr>
          <w:i/>
          <w:noProof/>
        </w:rPr>
        <w:t>World J Diabetes</w:t>
      </w:r>
      <w:r w:rsidRPr="00340A58">
        <w:rPr>
          <w:noProof/>
        </w:rPr>
        <w:t>. 2015; 6(8): 1033-44.</w:t>
      </w:r>
    </w:p>
    <w:p w14:paraId="0FB8E0B6" w14:textId="77777777" w:rsidR="00BA13EF" w:rsidRPr="00340A58" w:rsidRDefault="00BA13EF" w:rsidP="000A2412">
      <w:pPr>
        <w:pStyle w:val="Excluded"/>
        <w:rPr>
          <w:noProof/>
        </w:rPr>
      </w:pPr>
      <w:r w:rsidRPr="00340A58">
        <w:rPr>
          <w:noProof/>
        </w:rPr>
        <w:t xml:space="preserve">Palmer KT, Bonzini M, Bonde JP et al. Pregnancy: occupational aspects of management: concise guidance. </w:t>
      </w:r>
      <w:r w:rsidRPr="00340A58">
        <w:rPr>
          <w:i/>
          <w:noProof/>
        </w:rPr>
        <w:t>Clin Med (Lond)</w:t>
      </w:r>
      <w:r w:rsidRPr="00340A58">
        <w:rPr>
          <w:noProof/>
        </w:rPr>
        <w:t>. 2013; 13(1): 75-9.</w:t>
      </w:r>
    </w:p>
    <w:p w14:paraId="42914D01" w14:textId="77777777" w:rsidR="00BA13EF" w:rsidRPr="00340A58" w:rsidRDefault="00BA13EF" w:rsidP="000A2412">
      <w:pPr>
        <w:pStyle w:val="Excluded"/>
        <w:rPr>
          <w:noProof/>
        </w:rPr>
      </w:pPr>
      <w:r w:rsidRPr="00340A58">
        <w:rPr>
          <w:noProof/>
        </w:rPr>
        <w:t xml:space="preserve">Poudevigne MS, O'Connor PJ. A review of physical activity patterns in pregnant women and their relationship to psychological health. </w:t>
      </w:r>
      <w:r w:rsidRPr="00340A58">
        <w:rPr>
          <w:i/>
          <w:noProof/>
        </w:rPr>
        <w:t>Sports Med</w:t>
      </w:r>
      <w:r w:rsidRPr="00340A58">
        <w:rPr>
          <w:noProof/>
        </w:rPr>
        <w:t>. 2006; 36(1): 19-38.</w:t>
      </w:r>
    </w:p>
    <w:p w14:paraId="5B44039E" w14:textId="77777777" w:rsidR="00BA13EF" w:rsidRPr="00340A58" w:rsidRDefault="00BA13EF" w:rsidP="000A2412">
      <w:pPr>
        <w:pStyle w:val="Excluded"/>
      </w:pPr>
      <w:r w:rsidRPr="00340A58">
        <w:t>Priett MD &amp; Caputo J. Exercise guidelines for pregnant and postpartum women. Strength and Conditioning J. 2011; 33(3): 100-103.</w:t>
      </w:r>
    </w:p>
    <w:p w14:paraId="5B4B9F96" w14:textId="77777777" w:rsidR="00BA13EF" w:rsidRPr="00340A58" w:rsidRDefault="00BA13EF" w:rsidP="000A2412">
      <w:pPr>
        <w:pStyle w:val="Excluded"/>
        <w:rPr>
          <w:noProof/>
        </w:rPr>
      </w:pPr>
      <w:r w:rsidRPr="00340A58">
        <w:rPr>
          <w:noProof/>
        </w:rPr>
        <w:t xml:space="preserve">Rasmussen KM, Catalano PM, Yaktine AL. New guidelines for weight gain during pregnancy: what obstetrician/gynecologists should know. </w:t>
      </w:r>
      <w:r w:rsidRPr="00340A58">
        <w:rPr>
          <w:i/>
          <w:noProof/>
        </w:rPr>
        <w:t>Curr Opin Obstet Gynecol</w:t>
      </w:r>
      <w:r w:rsidRPr="00340A58">
        <w:rPr>
          <w:noProof/>
        </w:rPr>
        <w:t>. 2009; 21(6): 521-6.</w:t>
      </w:r>
    </w:p>
    <w:p w14:paraId="7F361980" w14:textId="77777777" w:rsidR="00BA13EF" w:rsidRPr="00340A58" w:rsidRDefault="00BA13EF" w:rsidP="000A2412">
      <w:pPr>
        <w:pStyle w:val="Excluded"/>
        <w:rPr>
          <w:noProof/>
        </w:rPr>
      </w:pPr>
      <w:r w:rsidRPr="00340A58">
        <w:rPr>
          <w:noProof/>
        </w:rPr>
        <w:t xml:space="preserve">Reyes LM, Davenport MH. Exercise as a therapeutic intervention to optimize fetal weight. </w:t>
      </w:r>
      <w:r w:rsidRPr="00340A58">
        <w:rPr>
          <w:i/>
          <w:noProof/>
        </w:rPr>
        <w:t>Pharmacol Res</w:t>
      </w:r>
      <w:r w:rsidRPr="00340A58">
        <w:rPr>
          <w:noProof/>
        </w:rPr>
        <w:t>. 2018; 132: 160-7.</w:t>
      </w:r>
    </w:p>
    <w:p w14:paraId="597D45CD" w14:textId="77777777" w:rsidR="00BA13EF" w:rsidRPr="00BA13EF" w:rsidRDefault="00BA13EF" w:rsidP="00BA13EF">
      <w:pPr>
        <w:pStyle w:val="Excluded"/>
      </w:pPr>
      <w:r w:rsidRPr="00BA13EF">
        <w:t>Savvaki D, Taousani E, Goulis DG et al. Guidelines for exercise during normal pregnancy and gestational diabetes: a review of international recommendations. Hormones (Athens). 2018; 17(4): 521-9.</w:t>
      </w:r>
    </w:p>
    <w:p w14:paraId="35EB9E84" w14:textId="77777777" w:rsidR="00BA13EF" w:rsidRPr="00340A58" w:rsidRDefault="00BA13EF" w:rsidP="000A2412">
      <w:pPr>
        <w:pStyle w:val="Excluded"/>
        <w:rPr>
          <w:noProof/>
        </w:rPr>
      </w:pPr>
      <w:r w:rsidRPr="00340A58">
        <w:rPr>
          <w:noProof/>
        </w:rPr>
        <w:t xml:space="preserve">Schmidt SM, Chari R, Davenport MH. Exercise during pregnancy: Current recommendations by Canadian Maternity Health Care Providers. </w:t>
      </w:r>
      <w:r w:rsidRPr="00340A58">
        <w:rPr>
          <w:i/>
          <w:noProof/>
        </w:rPr>
        <w:t>J Obstet Gynaecol Can</w:t>
      </w:r>
      <w:r w:rsidRPr="00340A58">
        <w:rPr>
          <w:noProof/>
        </w:rPr>
        <w:t>. 2016; 38(2): 177-8.</w:t>
      </w:r>
    </w:p>
    <w:p w14:paraId="2B2D0E03" w14:textId="77777777" w:rsidR="00BA13EF" w:rsidRPr="00340A58" w:rsidRDefault="00BA13EF" w:rsidP="000A2412">
      <w:pPr>
        <w:pStyle w:val="Excluded"/>
        <w:rPr>
          <w:noProof/>
        </w:rPr>
      </w:pPr>
      <w:r w:rsidRPr="00340A58">
        <w:rPr>
          <w:noProof/>
        </w:rPr>
        <w:t xml:space="preserve">Schnirring L. New ACOG recommendations encourage exercise in pregnancy. </w:t>
      </w:r>
      <w:r w:rsidRPr="00340A58">
        <w:rPr>
          <w:i/>
          <w:noProof/>
        </w:rPr>
        <w:t>The Physician and Sportsmedicine</w:t>
      </w:r>
      <w:r w:rsidRPr="00340A58">
        <w:rPr>
          <w:noProof/>
        </w:rPr>
        <w:t>. 2015; 30(8): 9-10.</w:t>
      </w:r>
    </w:p>
    <w:p w14:paraId="7A7F5DAE" w14:textId="77777777" w:rsidR="00BA13EF" w:rsidRPr="00340A58" w:rsidRDefault="00BA13EF" w:rsidP="000A2412">
      <w:pPr>
        <w:pStyle w:val="Excluded"/>
        <w:rPr>
          <w:noProof/>
        </w:rPr>
      </w:pPr>
      <w:r w:rsidRPr="00340A58">
        <w:rPr>
          <w:noProof/>
        </w:rPr>
        <w:t xml:space="preserve">Siebel AL, Carey AL, Kingwell BA. Can exercise training rescue the adverse cardiometabolic effects of low birth weight and prematurity? </w:t>
      </w:r>
      <w:r w:rsidRPr="00340A58">
        <w:rPr>
          <w:i/>
          <w:noProof/>
        </w:rPr>
        <w:t>Clin Exp Pharmacol Physiol</w:t>
      </w:r>
      <w:r w:rsidRPr="00340A58">
        <w:rPr>
          <w:noProof/>
        </w:rPr>
        <w:t>. 2012; 39(11): 944-57.</w:t>
      </w:r>
    </w:p>
    <w:p w14:paraId="0339DF31" w14:textId="77777777" w:rsidR="00BA13EF" w:rsidRPr="00340A58" w:rsidRDefault="00BA13EF" w:rsidP="000A2412">
      <w:pPr>
        <w:pStyle w:val="Excluded"/>
        <w:rPr>
          <w:noProof/>
        </w:rPr>
      </w:pPr>
      <w:r w:rsidRPr="00340A58">
        <w:rPr>
          <w:noProof/>
        </w:rPr>
        <w:t xml:space="preserve">Skouteris H, Hartley-Clark L, McCabe M et al. Preventing excessive gestational weight gain: a systematic review of interventions. </w:t>
      </w:r>
      <w:r w:rsidRPr="00340A58">
        <w:rPr>
          <w:i/>
          <w:noProof/>
        </w:rPr>
        <w:t>Obes Rev</w:t>
      </w:r>
      <w:r w:rsidRPr="00340A58">
        <w:rPr>
          <w:noProof/>
        </w:rPr>
        <w:t>. 2010; 11(11): 757-68.</w:t>
      </w:r>
    </w:p>
    <w:p w14:paraId="5E33FB65" w14:textId="77777777" w:rsidR="00BA13EF" w:rsidRPr="00340A58" w:rsidRDefault="00BA13EF" w:rsidP="000A2412">
      <w:pPr>
        <w:pStyle w:val="Excluded"/>
        <w:rPr>
          <w:noProof/>
        </w:rPr>
      </w:pPr>
      <w:r w:rsidRPr="00340A58">
        <w:rPr>
          <w:noProof/>
        </w:rPr>
        <w:t xml:space="preserve">Smith KM, Campbell CG. Physical activity during pregnancy: impact of applying different physical activity guidelines. </w:t>
      </w:r>
      <w:r w:rsidRPr="00340A58">
        <w:rPr>
          <w:i/>
          <w:noProof/>
        </w:rPr>
        <w:t>J Pregnancy</w:t>
      </w:r>
      <w:r w:rsidRPr="00340A58">
        <w:rPr>
          <w:noProof/>
        </w:rPr>
        <w:t>. 2013; 2013: 165617.</w:t>
      </w:r>
    </w:p>
    <w:p w14:paraId="0B402C10" w14:textId="77777777" w:rsidR="00BA13EF" w:rsidRPr="00340A58" w:rsidRDefault="00BA13EF" w:rsidP="000A2412">
      <w:pPr>
        <w:pStyle w:val="Excluded"/>
        <w:rPr>
          <w:noProof/>
        </w:rPr>
      </w:pPr>
      <w:r w:rsidRPr="00340A58">
        <w:rPr>
          <w:noProof/>
        </w:rPr>
        <w:t xml:space="preserve">Szumilewicz A, Wojtyla A, Zarebska A et al. Influence of prenatal physical activity on the course of labour and delivery according to the new Polish standard for perinatal care. </w:t>
      </w:r>
      <w:r w:rsidRPr="00340A58">
        <w:rPr>
          <w:i/>
          <w:noProof/>
        </w:rPr>
        <w:t>Ann Agric Environ Med</w:t>
      </w:r>
      <w:r w:rsidRPr="00340A58">
        <w:rPr>
          <w:noProof/>
        </w:rPr>
        <w:t>. 2013; 20(2): 380-9.</w:t>
      </w:r>
    </w:p>
    <w:p w14:paraId="37E7082D" w14:textId="77777777" w:rsidR="00BA13EF" w:rsidRPr="00340A58" w:rsidRDefault="00BA13EF" w:rsidP="000A2412">
      <w:pPr>
        <w:pStyle w:val="Excluded"/>
        <w:rPr>
          <w:szCs w:val="18"/>
        </w:rPr>
      </w:pPr>
      <w:r w:rsidRPr="00340A58">
        <w:rPr>
          <w:szCs w:val="18"/>
        </w:rPr>
        <w:t xml:space="preserve">Szumilewicz A, Worska A, Raikowska N et al. Summary of guidelines for exercise in pregnancy — are they comprehensive enough for designing the contents of a prenatal exercise program. </w:t>
      </w:r>
      <w:r w:rsidRPr="00340A58">
        <w:rPr>
          <w:i/>
          <w:szCs w:val="18"/>
        </w:rPr>
        <w:t>Curr Women’s Health Rev</w:t>
      </w:r>
      <w:r w:rsidRPr="00340A58">
        <w:rPr>
          <w:szCs w:val="18"/>
        </w:rPr>
        <w:t>. 2015; 11: 3-12.</w:t>
      </w:r>
    </w:p>
    <w:p w14:paraId="35318030" w14:textId="77777777" w:rsidR="00BA13EF" w:rsidRPr="00BA13EF" w:rsidRDefault="00BA13EF" w:rsidP="00BA13EF">
      <w:pPr>
        <w:pStyle w:val="Excluded"/>
      </w:pPr>
      <w:r w:rsidRPr="00BA13EF">
        <w:t>Szumilewicz A. Who and how should prescribe and conduct exercise programs for pregnant women? Recommendation based on the European educational standards for pregnancy and postnatal exercise specialists. Dev Period Med. 2018; 22(2): 107-12.</w:t>
      </w:r>
    </w:p>
    <w:p w14:paraId="470F831C" w14:textId="77777777" w:rsidR="00BA13EF" w:rsidRPr="00340A58" w:rsidRDefault="00BA13EF" w:rsidP="000A2412">
      <w:pPr>
        <w:pStyle w:val="Excluded"/>
        <w:rPr>
          <w:noProof/>
        </w:rPr>
      </w:pPr>
      <w:r w:rsidRPr="00340A58">
        <w:rPr>
          <w:noProof/>
        </w:rPr>
        <w:t xml:space="preserve">Van Kampen M, Devoogdt N, De Groef A et al. The efficacy of physiotherapy for the prevention and treatment of prenatal symptoms: a systematic review. </w:t>
      </w:r>
      <w:r w:rsidRPr="00340A58">
        <w:rPr>
          <w:i/>
          <w:noProof/>
        </w:rPr>
        <w:t>Int Urogynecol J</w:t>
      </w:r>
      <w:r w:rsidRPr="00340A58">
        <w:rPr>
          <w:noProof/>
        </w:rPr>
        <w:t>. 2015; 26(11): 1575-86.</w:t>
      </w:r>
    </w:p>
    <w:p w14:paraId="3925A290" w14:textId="77777777" w:rsidR="00BA13EF" w:rsidRPr="00340A58" w:rsidRDefault="00BA13EF" w:rsidP="000A2412">
      <w:pPr>
        <w:pStyle w:val="Excluded"/>
        <w:rPr>
          <w:noProof/>
        </w:rPr>
      </w:pPr>
      <w:r w:rsidRPr="00340A58">
        <w:rPr>
          <w:noProof/>
        </w:rPr>
        <w:t xml:space="preserve">Weissgerber TL, Wolfe LA, Davies GA et al. Exercise in the prevention and treatment of maternal-fetal disease: a review of the literature. </w:t>
      </w:r>
      <w:r w:rsidRPr="00340A58">
        <w:rPr>
          <w:i/>
          <w:noProof/>
        </w:rPr>
        <w:t>Appl Physiol Nutr Metab</w:t>
      </w:r>
      <w:r w:rsidRPr="00340A58">
        <w:rPr>
          <w:noProof/>
        </w:rPr>
        <w:t>. 2006; 31(6): 661-74.</w:t>
      </w:r>
    </w:p>
    <w:p w14:paraId="73DA3C89" w14:textId="77777777" w:rsidR="00BA13EF" w:rsidRPr="00340A58" w:rsidRDefault="00BA13EF" w:rsidP="000A2412">
      <w:pPr>
        <w:pStyle w:val="Excluded"/>
        <w:rPr>
          <w:noProof/>
        </w:rPr>
      </w:pPr>
      <w:r w:rsidRPr="00340A58">
        <w:rPr>
          <w:noProof/>
        </w:rPr>
        <w:t xml:space="preserve">Wolf HT, Owe KM, Juhl M et al. Erratum to: Leisure time physical activity and the risk of pre-eclampsia: a systematic review. </w:t>
      </w:r>
      <w:r w:rsidRPr="00340A58">
        <w:rPr>
          <w:i/>
          <w:noProof/>
        </w:rPr>
        <w:t>Matern Child Health J</w:t>
      </w:r>
      <w:r w:rsidRPr="00340A58">
        <w:rPr>
          <w:noProof/>
        </w:rPr>
        <w:t>. 2014; 18(4): 2020-2023.</w:t>
      </w:r>
    </w:p>
    <w:p w14:paraId="165145E3" w14:textId="77777777" w:rsidR="00BA13EF" w:rsidRPr="00340A58" w:rsidRDefault="00BA13EF" w:rsidP="000A2412">
      <w:pPr>
        <w:pStyle w:val="Excluded"/>
        <w:rPr>
          <w:noProof/>
        </w:rPr>
      </w:pPr>
      <w:r w:rsidRPr="00340A58">
        <w:rPr>
          <w:noProof/>
        </w:rPr>
        <w:t xml:space="preserve">Wolf HT, Owe KM, Juhl M et al. Leisure time physical activity and the risk of pre-eclampsia: a systematic review. </w:t>
      </w:r>
      <w:r w:rsidRPr="00340A58">
        <w:rPr>
          <w:i/>
          <w:noProof/>
        </w:rPr>
        <w:t>Matern Child Health J</w:t>
      </w:r>
      <w:r w:rsidRPr="00340A58">
        <w:rPr>
          <w:noProof/>
        </w:rPr>
        <w:t>. 2014; 18(4): 899-910.</w:t>
      </w:r>
    </w:p>
    <w:p w14:paraId="46F2E184" w14:textId="77777777" w:rsidR="00BA13EF" w:rsidRPr="00340A58" w:rsidRDefault="00BA13EF" w:rsidP="000A2412">
      <w:pPr>
        <w:pStyle w:val="Excluded"/>
        <w:rPr>
          <w:noProof/>
        </w:rPr>
      </w:pPr>
      <w:r w:rsidRPr="00340A58">
        <w:rPr>
          <w:noProof/>
        </w:rPr>
        <w:t xml:space="preserve">Wolfe LA, Davies GA, School of P et al. Canadian guidelines for exercise in pregnancy. </w:t>
      </w:r>
      <w:r w:rsidRPr="00340A58">
        <w:rPr>
          <w:i/>
          <w:noProof/>
        </w:rPr>
        <w:t>Clin Obstet Gynecol</w:t>
      </w:r>
      <w:r w:rsidRPr="00340A58">
        <w:rPr>
          <w:noProof/>
        </w:rPr>
        <w:t>. 2003; 46(2): 488-95.</w:t>
      </w:r>
    </w:p>
    <w:p w14:paraId="6EC26CCD" w14:textId="77777777" w:rsidR="00BA13EF" w:rsidRPr="00340A58" w:rsidRDefault="00BA13EF" w:rsidP="000A2412">
      <w:pPr>
        <w:pStyle w:val="Excluded"/>
        <w:rPr>
          <w:noProof/>
        </w:rPr>
      </w:pPr>
      <w:r w:rsidRPr="00340A58">
        <w:rPr>
          <w:noProof/>
        </w:rPr>
        <w:t xml:space="preserve">Zavorsky GS, Longo LD. Exercise guidelines in pregnancy: new perspectives. </w:t>
      </w:r>
      <w:r w:rsidRPr="00340A58">
        <w:rPr>
          <w:i/>
          <w:noProof/>
        </w:rPr>
        <w:t>Sports Med</w:t>
      </w:r>
      <w:r w:rsidRPr="00340A58">
        <w:rPr>
          <w:noProof/>
        </w:rPr>
        <w:t>. 2011; 41(5): 345-60.</w:t>
      </w:r>
    </w:p>
    <w:p w14:paraId="4FE85CF4" w14:textId="77777777" w:rsidR="000A2412" w:rsidRDefault="000A2412" w:rsidP="000A2412">
      <w:pPr>
        <w:pStyle w:val="Heading4"/>
        <w:rPr>
          <w:lang w:val="en-AU"/>
        </w:rPr>
      </w:pPr>
      <w:r>
        <w:rPr>
          <w:lang w:val="en-AU"/>
        </w:rPr>
        <w:t>Wrong setting</w:t>
      </w:r>
    </w:p>
    <w:p w14:paraId="7A0E42D9" w14:textId="77777777" w:rsidR="00BA13EF" w:rsidRPr="00017A05" w:rsidRDefault="00BA13EF" w:rsidP="000A2412">
      <w:pPr>
        <w:pStyle w:val="Excluded"/>
      </w:pPr>
      <w:r w:rsidRPr="00017A05">
        <w:t xml:space="preserve">Huberty JL, Buman MP, Leiferman JA et al. Dose and timing of text messages for increasing physical activity among pregnant women: a randomized controlled trial. </w:t>
      </w:r>
      <w:r w:rsidRPr="00017A05">
        <w:rPr>
          <w:i/>
        </w:rPr>
        <w:t>Translational Behavioral Medicine</w:t>
      </w:r>
      <w:r w:rsidRPr="00017A05">
        <w:t>. 2016; 7(2): 212-23.</w:t>
      </w:r>
    </w:p>
    <w:p w14:paraId="52EB9480" w14:textId="77777777" w:rsidR="00BA13EF" w:rsidRPr="00017A05" w:rsidRDefault="00BA13EF" w:rsidP="000A2412">
      <w:pPr>
        <w:pStyle w:val="Excluded"/>
      </w:pPr>
      <w:r w:rsidRPr="00017A05">
        <w:t xml:space="preserve">Lewis BA, Martinson BC, Sherwood NE et al. A pilot study evaluating a telephone-based exercise intervention for pregnant and postpartum women. </w:t>
      </w:r>
      <w:r w:rsidRPr="00017A05">
        <w:rPr>
          <w:i/>
        </w:rPr>
        <w:t>J Midwifery Womens Health</w:t>
      </w:r>
      <w:r w:rsidRPr="00017A05">
        <w:t>. 2011; 56(2): 127-31.</w:t>
      </w:r>
    </w:p>
    <w:p w14:paraId="32ACD628" w14:textId="484C5810" w:rsidR="00BA13EF" w:rsidRPr="00544292" w:rsidRDefault="00BA13EF" w:rsidP="00BA13EF">
      <w:pPr>
        <w:pStyle w:val="Excluded"/>
        <w:rPr>
          <w:noProof/>
        </w:rPr>
      </w:pPr>
      <w:r w:rsidRPr="00544292">
        <w:rPr>
          <w:noProof/>
        </w:rPr>
        <w:t xml:space="preserve">Mertens L, Braeken M, Bogaerts A. Effect of lifestyle coaching including telemonitoring and telecoaching on gestational weight gain and postnatal weight loss: a systematic review. </w:t>
      </w:r>
      <w:r w:rsidRPr="00544292">
        <w:rPr>
          <w:i/>
          <w:noProof/>
        </w:rPr>
        <w:t>Telemed J E Health</w:t>
      </w:r>
      <w:r w:rsidRPr="00544292">
        <w:rPr>
          <w:noProof/>
        </w:rPr>
        <w:t>. 2019; 25(10): 889-901.</w:t>
      </w:r>
    </w:p>
    <w:p w14:paraId="59C6471A" w14:textId="77777777" w:rsidR="000A2412" w:rsidRDefault="000A2412" w:rsidP="000A2412">
      <w:pPr>
        <w:pStyle w:val="Heading4"/>
        <w:rPr>
          <w:lang w:val="en-AU"/>
        </w:rPr>
      </w:pPr>
      <w:r>
        <w:rPr>
          <w:lang w:val="en-AU"/>
        </w:rPr>
        <w:t>Wrong intervention</w:t>
      </w:r>
    </w:p>
    <w:p w14:paraId="26A2A2CA" w14:textId="77777777" w:rsidR="000A2412" w:rsidRPr="00A23B3A" w:rsidRDefault="000A2412" w:rsidP="000A2412">
      <w:pPr>
        <w:pStyle w:val="Excluded"/>
        <w:rPr>
          <w:noProof/>
        </w:rPr>
      </w:pPr>
      <w:r w:rsidRPr="00A23B3A">
        <w:rPr>
          <w:noProof/>
        </w:rPr>
        <w:t xml:space="preserve">Agur W, Steggles P, Waterfield M et al. Does antenatal pelvic floor muscle training affect the outcome of labour? A randomised controlled trial. </w:t>
      </w:r>
      <w:r w:rsidRPr="00A23B3A">
        <w:rPr>
          <w:i/>
          <w:noProof/>
        </w:rPr>
        <w:t>Int Urogynecol J Pelvic Floor Dysfunct</w:t>
      </w:r>
      <w:r w:rsidRPr="00A23B3A">
        <w:rPr>
          <w:noProof/>
        </w:rPr>
        <w:t>. 2008; 19(1): 85-8.</w:t>
      </w:r>
    </w:p>
    <w:p w14:paraId="484BD9E7" w14:textId="77777777" w:rsidR="000A2412" w:rsidRPr="00A23B3A" w:rsidRDefault="000A2412" w:rsidP="000A2412">
      <w:pPr>
        <w:pStyle w:val="Excluded"/>
        <w:rPr>
          <w:noProof/>
        </w:rPr>
      </w:pPr>
      <w:r w:rsidRPr="00A23B3A">
        <w:rPr>
          <w:noProof/>
        </w:rPr>
        <w:t xml:space="preserve">Agur WI, Steggles P, Waterfield M et al. The long-term effectiveness of antenatal pelvic floor muscle training: eight-year follow up of a randomised controlled trial. </w:t>
      </w:r>
      <w:r w:rsidRPr="00A23B3A">
        <w:rPr>
          <w:i/>
          <w:noProof/>
        </w:rPr>
        <w:t>BJOG</w:t>
      </w:r>
      <w:r w:rsidRPr="00A23B3A">
        <w:rPr>
          <w:noProof/>
        </w:rPr>
        <w:t>. 2008; 115(8): 985-90.</w:t>
      </w:r>
    </w:p>
    <w:p w14:paraId="20F34770" w14:textId="77777777" w:rsidR="000A2412" w:rsidRPr="00A23B3A" w:rsidRDefault="000A2412" w:rsidP="000A2412">
      <w:pPr>
        <w:pStyle w:val="Excluded"/>
        <w:rPr>
          <w:noProof/>
        </w:rPr>
      </w:pPr>
      <w:r w:rsidRPr="00A23B3A">
        <w:rPr>
          <w:noProof/>
        </w:rPr>
        <w:t xml:space="preserve">Davis K, Goodman SH, Leiferman J et al. A randomized controlled trial of yoga for pregnant women with symptoms of depression and anxiety. </w:t>
      </w:r>
      <w:r w:rsidRPr="00A23B3A">
        <w:rPr>
          <w:i/>
          <w:noProof/>
        </w:rPr>
        <w:t>Complement Ther Clin Pract</w:t>
      </w:r>
      <w:r w:rsidRPr="00A23B3A">
        <w:rPr>
          <w:noProof/>
        </w:rPr>
        <w:t>. 2015; 21(3): 166-72.</w:t>
      </w:r>
    </w:p>
    <w:p w14:paraId="30086955" w14:textId="77777777" w:rsidR="000A2412" w:rsidRPr="00A23B3A" w:rsidRDefault="000A2412" w:rsidP="000A2412">
      <w:pPr>
        <w:pStyle w:val="Excluded"/>
        <w:rPr>
          <w:noProof/>
        </w:rPr>
      </w:pPr>
      <w:r w:rsidRPr="00A23B3A">
        <w:rPr>
          <w:noProof/>
        </w:rPr>
        <w:t xml:space="preserve">Hyakutake MT, Han V, Baerg L et al. Pregnancy-associated pelvic floor health knowledge and reduction of symptoms: The PREPARED randomized controlled trial. </w:t>
      </w:r>
      <w:r w:rsidRPr="00A23B3A">
        <w:rPr>
          <w:i/>
          <w:noProof/>
        </w:rPr>
        <w:t>J Obstet Gynaecol Can</w:t>
      </w:r>
      <w:r w:rsidRPr="00A23B3A">
        <w:rPr>
          <w:noProof/>
        </w:rPr>
        <w:t>. 2018; 40(4): 418-25.</w:t>
      </w:r>
    </w:p>
    <w:p w14:paraId="4DBDACF5" w14:textId="77777777" w:rsidR="000A2412" w:rsidRPr="00A23B3A" w:rsidRDefault="000A2412" w:rsidP="000A2412">
      <w:pPr>
        <w:pStyle w:val="Excluded"/>
        <w:rPr>
          <w:noProof/>
        </w:rPr>
      </w:pPr>
      <w:r w:rsidRPr="00A23B3A">
        <w:rPr>
          <w:noProof/>
        </w:rPr>
        <w:t xml:space="preserve">Jiang Q, Wu Z, Zhou L et al. Effects of yoga intervention during pregnancy: a review for current status. </w:t>
      </w:r>
      <w:r w:rsidRPr="00A23B3A">
        <w:rPr>
          <w:i/>
          <w:noProof/>
        </w:rPr>
        <w:t>Am J Perinatol</w:t>
      </w:r>
      <w:r w:rsidRPr="00A23B3A">
        <w:rPr>
          <w:noProof/>
        </w:rPr>
        <w:t>. 2015; 32(6): 503-14.</w:t>
      </w:r>
    </w:p>
    <w:p w14:paraId="00A10CFF" w14:textId="77777777" w:rsidR="000A2412" w:rsidRPr="00A23B3A" w:rsidRDefault="000A2412" w:rsidP="000A2412">
      <w:pPr>
        <w:pStyle w:val="Excluded"/>
        <w:rPr>
          <w:noProof/>
        </w:rPr>
      </w:pPr>
      <w:r w:rsidRPr="00A23B3A">
        <w:rPr>
          <w:noProof/>
        </w:rPr>
        <w:t xml:space="preserve">Leon-Larios F, Corrales-Gutierrez I, Casado-Mejia R et al. Influence of a pelvic floor training programme to prevent perineal trauma: A quasi-randomised controlled trial. </w:t>
      </w:r>
      <w:r w:rsidRPr="00A23B3A">
        <w:rPr>
          <w:i/>
          <w:noProof/>
        </w:rPr>
        <w:t>Midwifery</w:t>
      </w:r>
      <w:r w:rsidRPr="00A23B3A">
        <w:rPr>
          <w:noProof/>
        </w:rPr>
        <w:t>. 2017; 50: 72-7.</w:t>
      </w:r>
    </w:p>
    <w:p w14:paraId="3D7C4BE2" w14:textId="77777777" w:rsidR="000A2412" w:rsidRPr="00A23B3A" w:rsidRDefault="000A2412" w:rsidP="000A2412">
      <w:pPr>
        <w:pStyle w:val="Excluded"/>
        <w:rPr>
          <w:noProof/>
        </w:rPr>
      </w:pPr>
      <w:r w:rsidRPr="00A23B3A">
        <w:rPr>
          <w:noProof/>
        </w:rPr>
        <w:t xml:space="preserve">Miquelutti MA, Cecatti JG, Makuch MY. Evaluation of a birth preparation program on lumbopelvic pain, urinary incontinence, anxiety and exercise: a randomized controlled trial. </w:t>
      </w:r>
      <w:r w:rsidRPr="00A23B3A">
        <w:rPr>
          <w:i/>
          <w:noProof/>
        </w:rPr>
        <w:t>BMC Pregnancy Childbirth</w:t>
      </w:r>
      <w:r w:rsidRPr="00A23B3A">
        <w:rPr>
          <w:noProof/>
        </w:rPr>
        <w:t>. 2013; 13: 154.</w:t>
      </w:r>
    </w:p>
    <w:p w14:paraId="6477EE40" w14:textId="77777777" w:rsidR="000A2412" w:rsidRPr="00A23B3A" w:rsidRDefault="000A2412" w:rsidP="000A2412">
      <w:pPr>
        <w:pStyle w:val="Excluded"/>
        <w:rPr>
          <w:noProof/>
        </w:rPr>
      </w:pPr>
      <w:r w:rsidRPr="00A23B3A">
        <w:rPr>
          <w:noProof/>
        </w:rPr>
        <w:t xml:space="preserve">Mohammadi F, Malakooti J, Babapoor J et al. The effect of a home-based exercise intervention on postnatal depression and fatigue: A randomized controlled trial. </w:t>
      </w:r>
      <w:r w:rsidRPr="00A23B3A">
        <w:rPr>
          <w:i/>
          <w:noProof/>
        </w:rPr>
        <w:t>Int J Nurs Pract</w:t>
      </w:r>
      <w:r w:rsidRPr="00A23B3A">
        <w:rPr>
          <w:noProof/>
        </w:rPr>
        <w:t>. 2015; 21(5): 478-85.</w:t>
      </w:r>
    </w:p>
    <w:p w14:paraId="75BC0C95" w14:textId="77777777" w:rsidR="001E11FB" w:rsidRPr="00180D37" w:rsidRDefault="001E11FB" w:rsidP="001E11FB">
      <w:pPr>
        <w:pStyle w:val="Excluded"/>
        <w:rPr>
          <w:noProof/>
        </w:rPr>
      </w:pPr>
      <w:r w:rsidRPr="00180D37">
        <w:rPr>
          <w:noProof/>
        </w:rPr>
        <w:t xml:space="preserve">Ozkan SA &amp; Rathfisch G (2018) The effect of relaxation exercises on sleep quality in pregnant women in the third trimester: A randomized controlled trial. </w:t>
      </w:r>
      <w:r w:rsidRPr="00180D37">
        <w:rPr>
          <w:i/>
          <w:noProof/>
        </w:rPr>
        <w:t>Complement Ther Clin Pract</w:t>
      </w:r>
      <w:r w:rsidRPr="00180D37">
        <w:rPr>
          <w:noProof/>
        </w:rPr>
        <w:t xml:space="preserve"> 32: 79-84.</w:t>
      </w:r>
    </w:p>
    <w:p w14:paraId="67FBE7B0" w14:textId="77777777" w:rsidR="000A2412" w:rsidRPr="00A23B3A" w:rsidRDefault="000A2412" w:rsidP="000A2412">
      <w:pPr>
        <w:pStyle w:val="Excluded"/>
        <w:rPr>
          <w:noProof/>
        </w:rPr>
      </w:pPr>
      <w:r w:rsidRPr="00A23B3A">
        <w:rPr>
          <w:noProof/>
        </w:rPr>
        <w:t xml:space="preserve">Pelaez M, Gonzalez-Cerron S, Montejo R et al. Pelvic floor muscle training included in a pregnancy exercise program is effective in primary prevention of urinary incontinence: a randomized controlled trial. </w:t>
      </w:r>
      <w:r w:rsidRPr="00A23B3A">
        <w:rPr>
          <w:i/>
          <w:noProof/>
        </w:rPr>
        <w:t>Neurourol Urodyn</w:t>
      </w:r>
      <w:r w:rsidRPr="00A23B3A">
        <w:rPr>
          <w:noProof/>
        </w:rPr>
        <w:t>. 2014; 33(1): 67-71.</w:t>
      </w:r>
    </w:p>
    <w:p w14:paraId="45F42DFE" w14:textId="77777777" w:rsidR="000A2412" w:rsidRPr="00A23B3A" w:rsidRDefault="000A2412" w:rsidP="000A2412">
      <w:pPr>
        <w:pStyle w:val="Excluded"/>
        <w:rPr>
          <w:noProof/>
        </w:rPr>
      </w:pPr>
      <w:r w:rsidRPr="00A23B3A">
        <w:rPr>
          <w:noProof/>
        </w:rPr>
        <w:t xml:space="preserve">Reilly ET, Freeman RM, Waterfield MR et al. Prevention of postpartum stress incontinence in primigravidae with increased bladder neck mobility: a randomised controlled trial of antenatal pelvic floor exercises. </w:t>
      </w:r>
      <w:r w:rsidRPr="00A23B3A">
        <w:rPr>
          <w:i/>
          <w:noProof/>
        </w:rPr>
        <w:t>BJOG</w:t>
      </w:r>
      <w:r w:rsidRPr="00A23B3A">
        <w:rPr>
          <w:noProof/>
        </w:rPr>
        <w:t>. 2002; 109(1): 68-76.</w:t>
      </w:r>
    </w:p>
    <w:p w14:paraId="4395480F" w14:textId="77777777" w:rsidR="000A2412" w:rsidRPr="00A23B3A" w:rsidRDefault="000A2412" w:rsidP="000A2412">
      <w:pPr>
        <w:pStyle w:val="Excluded"/>
        <w:rPr>
          <w:noProof/>
        </w:rPr>
      </w:pPr>
      <w:r w:rsidRPr="00A23B3A">
        <w:rPr>
          <w:noProof/>
        </w:rPr>
        <w:t xml:space="preserve">Sangsawang B, Sangsawang N. Is a 6-week supervised pelvic floor muscle exercise program effective in preventing stress urinary incontinence in late pregnancy in primigravid women?: a randomized controlled trial. </w:t>
      </w:r>
      <w:r w:rsidRPr="00A23B3A">
        <w:rPr>
          <w:i/>
          <w:noProof/>
        </w:rPr>
        <w:t>Eur J Obstet Gynecol Reprod Biol</w:t>
      </w:r>
      <w:r w:rsidRPr="00A23B3A">
        <w:rPr>
          <w:noProof/>
        </w:rPr>
        <w:t>. 2016; 197: 103-10.</w:t>
      </w:r>
    </w:p>
    <w:p w14:paraId="62DCA0A6" w14:textId="77777777" w:rsidR="001E11FB" w:rsidRPr="00180D37" w:rsidRDefault="001E11FB" w:rsidP="001E11FB">
      <w:pPr>
        <w:pStyle w:val="Excluded"/>
        <w:rPr>
          <w:noProof/>
        </w:rPr>
      </w:pPr>
      <w:r w:rsidRPr="00180D37">
        <w:rPr>
          <w:noProof/>
        </w:rPr>
        <w:t xml:space="preserve">Sobhgol SS, Priddis H, Smith CA et al (2019) The Effect of Pelvic Floor Muscle Exercise on Female Sexual Function During Pregnancy and Postpartum: A Systematic Review. </w:t>
      </w:r>
      <w:r w:rsidRPr="00180D37">
        <w:rPr>
          <w:i/>
          <w:noProof/>
        </w:rPr>
        <w:t>Sex Med Rev</w:t>
      </w:r>
      <w:r w:rsidRPr="00180D37">
        <w:rPr>
          <w:noProof/>
        </w:rPr>
        <w:t xml:space="preserve"> 7(1): 13-28.</w:t>
      </w:r>
    </w:p>
    <w:p w14:paraId="50FA38AC" w14:textId="77777777" w:rsidR="000A2412" w:rsidRDefault="000A2412" w:rsidP="000A2412">
      <w:pPr>
        <w:pStyle w:val="Heading4"/>
      </w:pPr>
      <w:r>
        <w:t>Wrong study design</w:t>
      </w:r>
    </w:p>
    <w:p w14:paraId="2A5CF46E" w14:textId="77777777" w:rsidR="000A2412" w:rsidRPr="002A64C8" w:rsidRDefault="000A2412" w:rsidP="000A2412">
      <w:pPr>
        <w:pStyle w:val="Excluded"/>
        <w:rPr>
          <w:noProof/>
        </w:rPr>
      </w:pPr>
      <w:r w:rsidRPr="002A64C8">
        <w:rPr>
          <w:noProof/>
        </w:rPr>
        <w:t xml:space="preserve">Abeysena C, Jayawardana P, Seneviratne RdA. Effect of psychosocial stress and physical activity on preterm birth: A cohort study. </w:t>
      </w:r>
      <w:r w:rsidRPr="002A64C8">
        <w:rPr>
          <w:i/>
          <w:noProof/>
        </w:rPr>
        <w:t>Journal of Obstetrics and Gynaecology Research</w:t>
      </w:r>
      <w:r w:rsidRPr="002A64C8">
        <w:rPr>
          <w:noProof/>
        </w:rPr>
        <w:t>. 2010; 36(2): 260-7.</w:t>
      </w:r>
    </w:p>
    <w:p w14:paraId="4B19E08C" w14:textId="77777777" w:rsidR="000A2412" w:rsidRPr="002A64C8" w:rsidRDefault="000A2412" w:rsidP="000A2412">
      <w:pPr>
        <w:pStyle w:val="Excluded"/>
        <w:rPr>
          <w:noProof/>
        </w:rPr>
      </w:pPr>
      <w:r w:rsidRPr="002A64C8">
        <w:rPr>
          <w:noProof/>
        </w:rPr>
        <w:t xml:space="preserve">Aune D, Saugstad OD, Henriksen T et al. Physical activity and the risk of preeclampsia: a systematic review and meta-analysis. </w:t>
      </w:r>
      <w:r w:rsidRPr="002A64C8">
        <w:rPr>
          <w:i/>
          <w:noProof/>
        </w:rPr>
        <w:t>Epidemiology</w:t>
      </w:r>
      <w:r w:rsidRPr="002A64C8">
        <w:rPr>
          <w:noProof/>
        </w:rPr>
        <w:t>. 2014; 25(3): 331-43.</w:t>
      </w:r>
    </w:p>
    <w:p w14:paraId="3AC84ABA" w14:textId="77777777" w:rsidR="000A2412" w:rsidRPr="002A64C8" w:rsidRDefault="000A2412" w:rsidP="000A2412">
      <w:pPr>
        <w:pStyle w:val="Excluded"/>
        <w:rPr>
          <w:noProof/>
        </w:rPr>
      </w:pPr>
      <w:r w:rsidRPr="002A64C8">
        <w:rPr>
          <w:noProof/>
        </w:rPr>
        <w:t xml:space="preserve">Aune D, Sen A, Henriksen T et al. Physical activity and the risk of gestational diabetes mellitus: a systematic review and dose-response meta-analysis of epidemiological studies. </w:t>
      </w:r>
      <w:r w:rsidRPr="002A64C8">
        <w:rPr>
          <w:i/>
          <w:noProof/>
        </w:rPr>
        <w:t>Eur J Epidemiol</w:t>
      </w:r>
      <w:r w:rsidRPr="002A64C8">
        <w:rPr>
          <w:noProof/>
        </w:rPr>
        <w:t>. 2016; 31(10): 967-97.</w:t>
      </w:r>
    </w:p>
    <w:p w14:paraId="30E7A2AE" w14:textId="77777777" w:rsidR="000A2412" w:rsidRPr="002A64C8" w:rsidRDefault="000A2412" w:rsidP="000A2412">
      <w:pPr>
        <w:pStyle w:val="Excluded"/>
        <w:rPr>
          <w:noProof/>
        </w:rPr>
      </w:pPr>
      <w:r w:rsidRPr="002A64C8">
        <w:rPr>
          <w:noProof/>
        </w:rPr>
        <w:t xml:space="preserve">Barakat R, Perales M, Cordero Y et al. Influence of land or water exercise in pregnancy on outcomes: A cross-sectional study. </w:t>
      </w:r>
      <w:r w:rsidRPr="002A64C8">
        <w:rPr>
          <w:i/>
          <w:noProof/>
        </w:rPr>
        <w:t>Med Sci Sports Exerc</w:t>
      </w:r>
      <w:r w:rsidRPr="002A64C8">
        <w:rPr>
          <w:noProof/>
        </w:rPr>
        <w:t>. 2017; 49(7): 1397-403.</w:t>
      </w:r>
    </w:p>
    <w:p w14:paraId="4158B046" w14:textId="77777777" w:rsidR="000A2412" w:rsidRPr="002A64C8" w:rsidRDefault="000A2412" w:rsidP="000A2412">
      <w:pPr>
        <w:pStyle w:val="Excluded"/>
        <w:rPr>
          <w:noProof/>
        </w:rPr>
      </w:pPr>
      <w:r w:rsidRPr="002A64C8">
        <w:rPr>
          <w:noProof/>
        </w:rPr>
        <w:t xml:space="preserve">Borodulin K, Evenson KR, Monda K et al. Physical activity and sleep among pregnant women. </w:t>
      </w:r>
      <w:r w:rsidRPr="002A64C8">
        <w:rPr>
          <w:i/>
          <w:noProof/>
        </w:rPr>
        <w:t>Paediatr Perinat Epidemiol</w:t>
      </w:r>
      <w:r w:rsidRPr="002A64C8">
        <w:rPr>
          <w:noProof/>
        </w:rPr>
        <w:t>. 2010; 24(1): 45-52.</w:t>
      </w:r>
    </w:p>
    <w:p w14:paraId="026F36B7" w14:textId="77777777" w:rsidR="000A2412" w:rsidRPr="002A64C8" w:rsidRDefault="000A2412" w:rsidP="000A2412">
      <w:pPr>
        <w:pStyle w:val="Excluded"/>
        <w:rPr>
          <w:noProof/>
        </w:rPr>
      </w:pPr>
      <w:r w:rsidRPr="002A64C8">
        <w:rPr>
          <w:noProof/>
        </w:rPr>
        <w:t xml:space="preserve">Callaway LK, Colditz PB, Byrne NM et al. Prevention of gestational diabetes: feasibility issues for an exercise intervention in obese pregnant women. </w:t>
      </w:r>
      <w:r w:rsidRPr="002A64C8">
        <w:rPr>
          <w:i/>
          <w:noProof/>
        </w:rPr>
        <w:t>Diabetes Care</w:t>
      </w:r>
      <w:r w:rsidRPr="002A64C8">
        <w:rPr>
          <w:noProof/>
        </w:rPr>
        <w:t>. 2010; 33(7): 1457-9.</w:t>
      </w:r>
    </w:p>
    <w:p w14:paraId="7F92B051" w14:textId="77777777" w:rsidR="000A2412" w:rsidRPr="002A64C8" w:rsidRDefault="000A2412" w:rsidP="000A2412">
      <w:pPr>
        <w:pStyle w:val="Excluded"/>
        <w:rPr>
          <w:noProof/>
        </w:rPr>
      </w:pPr>
      <w:r w:rsidRPr="002A64C8">
        <w:rPr>
          <w:noProof/>
        </w:rPr>
        <w:t xml:space="preserve">de Wit L, Jelsma JG, van Poppel MN et al. Physical activity, depressed mood and pregnancy worries in European obese pregnant women: results from the DALI study. </w:t>
      </w:r>
      <w:r w:rsidRPr="002A64C8">
        <w:rPr>
          <w:i/>
          <w:noProof/>
        </w:rPr>
        <w:t>BMC Pregnancy Childbirth</w:t>
      </w:r>
      <w:r w:rsidRPr="002A64C8">
        <w:rPr>
          <w:noProof/>
        </w:rPr>
        <w:t>. 2015; 15: 158.</w:t>
      </w:r>
    </w:p>
    <w:p w14:paraId="39830937" w14:textId="77777777" w:rsidR="000A2412" w:rsidRPr="002A64C8" w:rsidRDefault="000A2412" w:rsidP="000A2412">
      <w:pPr>
        <w:pStyle w:val="Excluded"/>
        <w:rPr>
          <w:noProof/>
        </w:rPr>
      </w:pPr>
      <w:r w:rsidRPr="002A64C8">
        <w:rPr>
          <w:noProof/>
        </w:rPr>
        <w:t xml:space="preserve">Dempsey JC, Sorensen TK, Williams MA et al. Prospective study of gestational diabetes mellitus risk in relation to maternal recreational physical activity before and during pregnancy. </w:t>
      </w:r>
      <w:r w:rsidRPr="002A64C8">
        <w:rPr>
          <w:i/>
          <w:noProof/>
        </w:rPr>
        <w:t>Am J Epidemiol</w:t>
      </w:r>
      <w:r w:rsidRPr="002A64C8">
        <w:rPr>
          <w:noProof/>
        </w:rPr>
        <w:t>. 2004; 159(7): 663-70.</w:t>
      </w:r>
    </w:p>
    <w:p w14:paraId="73056236" w14:textId="77777777" w:rsidR="000A2412" w:rsidRPr="002A64C8" w:rsidRDefault="000A2412" w:rsidP="000A2412">
      <w:pPr>
        <w:pStyle w:val="Excluded"/>
        <w:rPr>
          <w:noProof/>
        </w:rPr>
      </w:pPr>
      <w:r w:rsidRPr="002A64C8">
        <w:rPr>
          <w:noProof/>
        </w:rPr>
        <w:t xml:space="preserve">Domingues MR, Matijasevich A, Barros AJ. Physical activity and preterm birth: a literature review. </w:t>
      </w:r>
      <w:r w:rsidRPr="002A64C8">
        <w:rPr>
          <w:i/>
          <w:noProof/>
        </w:rPr>
        <w:t>Sports Med</w:t>
      </w:r>
      <w:r w:rsidRPr="002A64C8">
        <w:rPr>
          <w:noProof/>
        </w:rPr>
        <w:t>. 2009; 39(11): 961-75.</w:t>
      </w:r>
    </w:p>
    <w:p w14:paraId="3095ACA7" w14:textId="77777777" w:rsidR="000A2412" w:rsidRPr="002A64C8" w:rsidRDefault="000A2412" w:rsidP="000A2412">
      <w:pPr>
        <w:pStyle w:val="Excluded"/>
        <w:rPr>
          <w:noProof/>
        </w:rPr>
      </w:pPr>
      <w:r w:rsidRPr="002A64C8">
        <w:rPr>
          <w:noProof/>
        </w:rPr>
        <w:t xml:space="preserve">Ghodsi Z, Asltoghiri M. Effects of aerobic exercise training on maternal and neonatal outcome: a randomized controlled trial on pregnant women in Iran. </w:t>
      </w:r>
      <w:r w:rsidRPr="002A64C8">
        <w:rPr>
          <w:i/>
          <w:noProof/>
        </w:rPr>
        <w:t>J Pak Med Assoc</w:t>
      </w:r>
      <w:r w:rsidRPr="002A64C8">
        <w:rPr>
          <w:noProof/>
        </w:rPr>
        <w:t>. 2014; 64(9): 1053-6.</w:t>
      </w:r>
    </w:p>
    <w:p w14:paraId="790D4008" w14:textId="77777777" w:rsidR="000A2412" w:rsidRPr="002A64C8" w:rsidRDefault="000A2412" w:rsidP="000A2412">
      <w:pPr>
        <w:pStyle w:val="Excluded"/>
        <w:rPr>
          <w:noProof/>
        </w:rPr>
      </w:pPr>
      <w:r w:rsidRPr="002A64C8">
        <w:rPr>
          <w:noProof/>
        </w:rPr>
        <w:t xml:space="preserve">Hayman M, Reaburn P, Browne M et al. Feasibility, acceptability and efficacy of a web-based computer-tailored physical activity intervention for pregnant women - the Fit4Two randomised controlled trial. </w:t>
      </w:r>
      <w:r w:rsidRPr="002A64C8">
        <w:rPr>
          <w:i/>
          <w:noProof/>
        </w:rPr>
        <w:t>BMC Pregnancy Childbirth</w:t>
      </w:r>
      <w:r w:rsidRPr="002A64C8">
        <w:rPr>
          <w:noProof/>
        </w:rPr>
        <w:t>. 2017; 17(1): 96.</w:t>
      </w:r>
    </w:p>
    <w:p w14:paraId="0C5E6A0C" w14:textId="77777777" w:rsidR="000A2412" w:rsidRPr="002A64C8" w:rsidRDefault="000A2412" w:rsidP="000A2412">
      <w:pPr>
        <w:pStyle w:val="Excluded"/>
        <w:rPr>
          <w:noProof/>
        </w:rPr>
      </w:pPr>
      <w:r w:rsidRPr="002A64C8">
        <w:rPr>
          <w:noProof/>
        </w:rPr>
        <w:t xml:space="preserve">Hegaard HK, Hedegaard M, Damm P et al. Leisure time physical activity is associated with a reduced risk of preterm delivery. </w:t>
      </w:r>
      <w:r w:rsidRPr="002A64C8">
        <w:rPr>
          <w:i/>
          <w:noProof/>
        </w:rPr>
        <w:t>Am J Obstet Gynecol</w:t>
      </w:r>
      <w:r w:rsidRPr="002A64C8">
        <w:rPr>
          <w:noProof/>
        </w:rPr>
        <w:t>. 2008; 198(2): 180 e1-5.</w:t>
      </w:r>
    </w:p>
    <w:p w14:paraId="1D16FAA5" w14:textId="77777777" w:rsidR="000A2412" w:rsidRPr="002A64C8" w:rsidRDefault="000A2412" w:rsidP="000A2412">
      <w:pPr>
        <w:pStyle w:val="Excluded"/>
        <w:rPr>
          <w:noProof/>
        </w:rPr>
      </w:pPr>
      <w:r w:rsidRPr="002A64C8">
        <w:rPr>
          <w:noProof/>
        </w:rPr>
        <w:t xml:space="preserve">Hui AL, Ludwig S, Gardiner P et al. Community-based exercise and dietary intervention during pregnancy:A pilot study. </w:t>
      </w:r>
      <w:r w:rsidRPr="002A64C8">
        <w:rPr>
          <w:i/>
          <w:noProof/>
        </w:rPr>
        <w:t>Canadian Journal of Diabetes</w:t>
      </w:r>
      <w:r w:rsidRPr="002A64C8">
        <w:rPr>
          <w:noProof/>
        </w:rPr>
        <w:t>. 2006; 30(2): 1-7.</w:t>
      </w:r>
    </w:p>
    <w:p w14:paraId="159A4CD5" w14:textId="77777777" w:rsidR="000A2412" w:rsidRPr="002A64C8" w:rsidRDefault="000A2412" w:rsidP="000A2412">
      <w:pPr>
        <w:pStyle w:val="Excluded"/>
        <w:rPr>
          <w:noProof/>
        </w:rPr>
      </w:pPr>
      <w:r w:rsidRPr="002A64C8">
        <w:rPr>
          <w:noProof/>
        </w:rPr>
        <w:t xml:space="preserve">Janke J. The effect of relaxation therapy on preterm labor outcomes. </w:t>
      </w:r>
      <w:r w:rsidRPr="002A64C8">
        <w:rPr>
          <w:i/>
          <w:noProof/>
        </w:rPr>
        <w:t>J Obstet Gynecol Neonatal Nurs</w:t>
      </w:r>
      <w:r w:rsidRPr="002A64C8">
        <w:rPr>
          <w:noProof/>
        </w:rPr>
        <w:t>. 1999; 28(3): 255-63.</w:t>
      </w:r>
    </w:p>
    <w:p w14:paraId="5B824664" w14:textId="77777777" w:rsidR="000A2412" w:rsidRPr="002A64C8" w:rsidRDefault="000A2412" w:rsidP="000A2412">
      <w:pPr>
        <w:pStyle w:val="Excluded"/>
        <w:rPr>
          <w:noProof/>
        </w:rPr>
      </w:pPr>
      <w:r w:rsidRPr="002A64C8">
        <w:rPr>
          <w:noProof/>
        </w:rPr>
        <w:t xml:space="preserve">Jorge C, Santos-Rocha R, Bento T. Can group exercise programs improve health outcomes in pregnant women? A systematic review. </w:t>
      </w:r>
      <w:r w:rsidRPr="002A64C8">
        <w:rPr>
          <w:i/>
          <w:noProof/>
        </w:rPr>
        <w:t>Curr Women’s Health Rev</w:t>
      </w:r>
      <w:r w:rsidRPr="002A64C8">
        <w:rPr>
          <w:noProof/>
        </w:rPr>
        <w:t>. 2015; 11(75-87).</w:t>
      </w:r>
    </w:p>
    <w:p w14:paraId="2FD36151" w14:textId="77777777" w:rsidR="000A2412" w:rsidRPr="002A64C8" w:rsidRDefault="000A2412" w:rsidP="000A2412">
      <w:pPr>
        <w:pStyle w:val="Excluded"/>
        <w:rPr>
          <w:noProof/>
        </w:rPr>
      </w:pPr>
      <w:r w:rsidRPr="002A64C8">
        <w:rPr>
          <w:noProof/>
        </w:rPr>
        <w:t xml:space="preserve">Juhl M, Andersen PK, Olsen J et al. Physical exercise during pregnancy and the risk of preterm birth: a study within the Danish National Birth Cohort. </w:t>
      </w:r>
      <w:r w:rsidRPr="002A64C8">
        <w:rPr>
          <w:i/>
          <w:noProof/>
        </w:rPr>
        <w:t>Am J Epidemiol</w:t>
      </w:r>
      <w:r w:rsidRPr="002A64C8">
        <w:rPr>
          <w:noProof/>
        </w:rPr>
        <w:t>. 2008; 167(7): 859-66.</w:t>
      </w:r>
    </w:p>
    <w:p w14:paraId="5B4924FC" w14:textId="77777777" w:rsidR="000A2412" w:rsidRPr="002A64C8" w:rsidRDefault="000A2412" w:rsidP="000A2412">
      <w:pPr>
        <w:pStyle w:val="Excluded"/>
        <w:rPr>
          <w:noProof/>
        </w:rPr>
      </w:pPr>
      <w:r w:rsidRPr="002A64C8">
        <w:rPr>
          <w:noProof/>
        </w:rPr>
        <w:t xml:space="preserve">Kasawara KT, do Nascimento SL, Costa ML et al. Exercise and physical activity in the prevention of pre-eclampsia: systematic review. </w:t>
      </w:r>
      <w:r w:rsidRPr="002A64C8">
        <w:rPr>
          <w:i/>
          <w:noProof/>
        </w:rPr>
        <w:t>Acta Obstet Gynecol Scand</w:t>
      </w:r>
      <w:r w:rsidRPr="002A64C8">
        <w:rPr>
          <w:noProof/>
        </w:rPr>
        <w:t>. 2012; 91(10): 1147-57.</w:t>
      </w:r>
    </w:p>
    <w:p w14:paraId="201CB91B" w14:textId="77777777" w:rsidR="000A2412" w:rsidRPr="002A64C8" w:rsidRDefault="000A2412" w:rsidP="000A2412">
      <w:pPr>
        <w:pStyle w:val="Excluded"/>
        <w:rPr>
          <w:noProof/>
        </w:rPr>
      </w:pPr>
      <w:r w:rsidRPr="002A64C8">
        <w:rPr>
          <w:noProof/>
        </w:rPr>
        <w:t xml:space="preserve">Lamina S, Agbanusi E. Effect of aerobic exercise training on maternal weight gain in pregnancy: a meta-analysis of randomized controlled trials. </w:t>
      </w:r>
      <w:r w:rsidRPr="002A64C8">
        <w:rPr>
          <w:i/>
          <w:noProof/>
        </w:rPr>
        <w:t>Ethiop J Health Sci</w:t>
      </w:r>
      <w:r w:rsidRPr="002A64C8">
        <w:rPr>
          <w:noProof/>
        </w:rPr>
        <w:t>. 2013; 23(1): 59-64.</w:t>
      </w:r>
    </w:p>
    <w:p w14:paraId="08F60752" w14:textId="77777777" w:rsidR="000A2412" w:rsidRPr="002A64C8" w:rsidRDefault="000A2412" w:rsidP="000A2412">
      <w:pPr>
        <w:pStyle w:val="Excluded"/>
        <w:rPr>
          <w:noProof/>
        </w:rPr>
      </w:pPr>
      <w:r w:rsidRPr="002A64C8">
        <w:rPr>
          <w:noProof/>
        </w:rPr>
        <w:t xml:space="preserve">Lee A, Karpavicius J, Gasparini E et al. Implementing a diet and exercise program for limiting maternal weight gain in obese pregnant women: a pilot study. </w:t>
      </w:r>
      <w:r w:rsidRPr="002A64C8">
        <w:rPr>
          <w:i/>
          <w:noProof/>
        </w:rPr>
        <w:t>Aust N Z J Obstet Gynaecol</w:t>
      </w:r>
      <w:r w:rsidRPr="002A64C8">
        <w:rPr>
          <w:noProof/>
        </w:rPr>
        <w:t>. 2012; 52(5): 427-32.</w:t>
      </w:r>
    </w:p>
    <w:p w14:paraId="61838557" w14:textId="77777777" w:rsidR="000A2412" w:rsidRPr="002A64C8" w:rsidRDefault="000A2412" w:rsidP="000A2412">
      <w:pPr>
        <w:pStyle w:val="Excluded"/>
        <w:rPr>
          <w:noProof/>
        </w:rPr>
      </w:pPr>
      <w:r w:rsidRPr="002A64C8">
        <w:rPr>
          <w:noProof/>
        </w:rPr>
        <w:t xml:space="preserve">Lokey EA, Tran ZV, Wells CL et al. Effects of physical exercise on pregnancy outcomes. </w:t>
      </w:r>
      <w:r w:rsidRPr="002A64C8">
        <w:rPr>
          <w:i/>
          <w:noProof/>
        </w:rPr>
        <w:t>Medicine &amp; Science in Sports &amp; Exercise</w:t>
      </w:r>
      <w:r w:rsidRPr="002A64C8">
        <w:rPr>
          <w:noProof/>
        </w:rPr>
        <w:t>. 1991; 23(11).</w:t>
      </w:r>
    </w:p>
    <w:p w14:paraId="0D9F4F6C" w14:textId="77777777" w:rsidR="000A2412" w:rsidRPr="002A64C8" w:rsidRDefault="000A2412" w:rsidP="000A2412">
      <w:pPr>
        <w:pStyle w:val="Excluded"/>
        <w:rPr>
          <w:noProof/>
        </w:rPr>
      </w:pPr>
      <w:r w:rsidRPr="002A64C8">
        <w:rPr>
          <w:noProof/>
        </w:rPr>
        <w:t xml:space="preserve">Mijatovic-Vukas J, Capling L, Cheng S et al. Associations of diet and physical activity with risk for gestational diabetes mellitus: A systematic review and meta-analysis. </w:t>
      </w:r>
      <w:r w:rsidRPr="002A64C8">
        <w:rPr>
          <w:i/>
          <w:noProof/>
        </w:rPr>
        <w:t>Nutrients</w:t>
      </w:r>
      <w:r w:rsidRPr="002A64C8">
        <w:rPr>
          <w:noProof/>
        </w:rPr>
        <w:t>. 2018; 10(6).</w:t>
      </w:r>
    </w:p>
    <w:p w14:paraId="33B69C88" w14:textId="77777777" w:rsidR="000A2412" w:rsidRPr="002A64C8" w:rsidRDefault="000A2412" w:rsidP="000A2412">
      <w:pPr>
        <w:pStyle w:val="Excluded"/>
        <w:rPr>
          <w:noProof/>
        </w:rPr>
      </w:pPr>
      <w:r w:rsidRPr="002A64C8">
        <w:rPr>
          <w:noProof/>
        </w:rPr>
        <w:t xml:space="preserve">Oken E, Ning Y, Rifas-Shiman SL et al. Associations of physical activity and inactivity before and during pregnancy with glucose tolerance. </w:t>
      </w:r>
      <w:r w:rsidRPr="002A64C8">
        <w:rPr>
          <w:i/>
          <w:noProof/>
        </w:rPr>
        <w:t>Obstet Gynecol</w:t>
      </w:r>
      <w:r w:rsidRPr="002A64C8">
        <w:rPr>
          <w:noProof/>
        </w:rPr>
        <w:t>. 2006; 108(5): 1200-7.</w:t>
      </w:r>
    </w:p>
    <w:p w14:paraId="7F9FCD04" w14:textId="77777777" w:rsidR="000A2412" w:rsidRPr="002A64C8" w:rsidRDefault="000A2412" w:rsidP="000A2412">
      <w:pPr>
        <w:pStyle w:val="Excluded"/>
        <w:rPr>
          <w:noProof/>
        </w:rPr>
      </w:pPr>
      <w:r w:rsidRPr="002A64C8">
        <w:rPr>
          <w:noProof/>
        </w:rPr>
        <w:t xml:space="preserve">Ong MJ, Wallman KE, Fournier PA et al. Enhancing energy expenditure and enjoyment of exercise during pregnancy through the addition of brief higher intensity intervals to traditional continuous moderate intensity cycling. </w:t>
      </w:r>
      <w:r w:rsidRPr="002A64C8">
        <w:rPr>
          <w:i/>
          <w:noProof/>
        </w:rPr>
        <w:t>BMC Pregnancy Childbirth</w:t>
      </w:r>
      <w:r w:rsidRPr="002A64C8">
        <w:rPr>
          <w:noProof/>
        </w:rPr>
        <w:t>. 2016; 16(1): 161.</w:t>
      </w:r>
    </w:p>
    <w:p w14:paraId="30891AD3" w14:textId="77777777" w:rsidR="000A2412" w:rsidRPr="002A64C8" w:rsidRDefault="000A2412" w:rsidP="000A2412">
      <w:pPr>
        <w:pStyle w:val="Excluded"/>
        <w:rPr>
          <w:noProof/>
        </w:rPr>
      </w:pPr>
      <w:r w:rsidRPr="002A64C8">
        <w:rPr>
          <w:noProof/>
        </w:rPr>
        <w:t xml:space="preserve">Owe KM, Nystad W, Skjaerven R et al. Exercise during pregnancy and the gestational age distribution: a cohort study. </w:t>
      </w:r>
      <w:r w:rsidRPr="002A64C8">
        <w:rPr>
          <w:i/>
          <w:noProof/>
        </w:rPr>
        <w:t>Med Sci Sports Exerc</w:t>
      </w:r>
      <w:r w:rsidRPr="002A64C8">
        <w:rPr>
          <w:noProof/>
        </w:rPr>
        <w:t>. 2012; 44(6): 1067-74.</w:t>
      </w:r>
    </w:p>
    <w:p w14:paraId="16D6DA9C" w14:textId="77777777" w:rsidR="000A2412" w:rsidRPr="002A64C8" w:rsidRDefault="000A2412" w:rsidP="000A2412">
      <w:pPr>
        <w:pStyle w:val="Excluded"/>
        <w:rPr>
          <w:noProof/>
        </w:rPr>
      </w:pPr>
      <w:r w:rsidRPr="002A64C8">
        <w:rPr>
          <w:noProof/>
        </w:rPr>
        <w:t xml:space="preserve">Owe KM, Nystad W, Stigum H et al. Exercise during pregnancy and risk of cesarean delivery in nulliparous women: a large population-based cohort study. </w:t>
      </w:r>
      <w:r w:rsidRPr="002A64C8">
        <w:rPr>
          <w:i/>
          <w:noProof/>
        </w:rPr>
        <w:t>Am J Obstet Gynecol</w:t>
      </w:r>
      <w:r w:rsidRPr="002A64C8">
        <w:rPr>
          <w:noProof/>
        </w:rPr>
        <w:t>. 2016; 215(6): 791 e1- e13.</w:t>
      </w:r>
    </w:p>
    <w:p w14:paraId="6AEC0C76" w14:textId="77777777" w:rsidR="001E11FB" w:rsidRPr="00180D37" w:rsidRDefault="001E11FB" w:rsidP="001E11FB">
      <w:pPr>
        <w:pStyle w:val="Excluded"/>
        <w:rPr>
          <w:noProof/>
        </w:rPr>
      </w:pPr>
      <w:r w:rsidRPr="00180D37">
        <w:rPr>
          <w:noProof/>
        </w:rPr>
        <w:t xml:space="preserve">Pastorino S, Bishop T, Crozier SR et al (2019) Associations between maternal physical activity in early and late pregnancy and offspring birth size: remote federated individual level meta-analysis from eight cohort studies. </w:t>
      </w:r>
      <w:r w:rsidRPr="00180D37">
        <w:rPr>
          <w:i/>
          <w:noProof/>
        </w:rPr>
        <w:t>BJOG</w:t>
      </w:r>
      <w:r w:rsidRPr="00180D37">
        <w:rPr>
          <w:noProof/>
        </w:rPr>
        <w:t xml:space="preserve"> 126(4): 459-70.</w:t>
      </w:r>
    </w:p>
    <w:p w14:paraId="4B8D50DD" w14:textId="77777777" w:rsidR="000A2412" w:rsidRPr="002A64C8" w:rsidRDefault="000A2412" w:rsidP="001E11FB">
      <w:pPr>
        <w:pStyle w:val="Excluded"/>
        <w:rPr>
          <w:noProof/>
        </w:rPr>
      </w:pPr>
      <w:r w:rsidRPr="002A64C8">
        <w:rPr>
          <w:noProof/>
        </w:rPr>
        <w:t xml:space="preserve">Schlussel MM, Souza EB, Reichenheim ME et al. Physical activity during pregnancy and maternal-child health outcomes: a systematic literature review. </w:t>
      </w:r>
      <w:r w:rsidRPr="002A64C8">
        <w:rPr>
          <w:i/>
          <w:noProof/>
        </w:rPr>
        <w:t>Cad Saude Publica</w:t>
      </w:r>
      <w:r w:rsidRPr="002A64C8">
        <w:rPr>
          <w:noProof/>
        </w:rPr>
        <w:t>. 2008; 24 Suppl 4: s531-44.</w:t>
      </w:r>
    </w:p>
    <w:p w14:paraId="0763FEFD" w14:textId="77777777" w:rsidR="000A2412" w:rsidRPr="002A64C8" w:rsidRDefault="000A2412" w:rsidP="000A2412">
      <w:pPr>
        <w:pStyle w:val="Excluded"/>
        <w:rPr>
          <w:noProof/>
        </w:rPr>
      </w:pPr>
      <w:r w:rsidRPr="002A64C8">
        <w:rPr>
          <w:noProof/>
        </w:rPr>
        <w:t xml:space="preserve">Smith SA, Michel Y. A pilot study on the effects of aquatic exercises on discomforts of pregnancy. </w:t>
      </w:r>
      <w:r w:rsidRPr="002A64C8">
        <w:rPr>
          <w:i/>
          <w:noProof/>
        </w:rPr>
        <w:t>J Obstet Gynecol Neonatal Nurs</w:t>
      </w:r>
      <w:r w:rsidRPr="002A64C8">
        <w:rPr>
          <w:noProof/>
        </w:rPr>
        <w:t>. 2006; 35(3): 315-23.</w:t>
      </w:r>
    </w:p>
    <w:p w14:paraId="2239D514" w14:textId="77777777" w:rsidR="000A2412" w:rsidRPr="002A64C8" w:rsidRDefault="000A2412" w:rsidP="000A2412">
      <w:pPr>
        <w:pStyle w:val="Excluded"/>
        <w:rPr>
          <w:noProof/>
        </w:rPr>
      </w:pPr>
      <w:r w:rsidRPr="002A64C8">
        <w:rPr>
          <w:noProof/>
        </w:rPr>
        <w:t xml:space="preserve">Strom M, Mortensen EL, Halldorson TI et al. Leisure-time physical activity in pregnancy and risk of postpartum depression: a prospective study in a large national birth cohort. </w:t>
      </w:r>
      <w:r w:rsidRPr="002A64C8">
        <w:rPr>
          <w:i/>
          <w:noProof/>
        </w:rPr>
        <w:t>J Clin Psychiatry</w:t>
      </w:r>
      <w:r w:rsidRPr="002A64C8">
        <w:rPr>
          <w:noProof/>
        </w:rPr>
        <w:t>. 2009; 70(12): 1707-14.</w:t>
      </w:r>
    </w:p>
    <w:p w14:paraId="1FB01757" w14:textId="77777777" w:rsidR="000A2412" w:rsidRPr="002A64C8" w:rsidRDefault="000A2412" w:rsidP="000A2412">
      <w:pPr>
        <w:pStyle w:val="Excluded"/>
        <w:rPr>
          <w:noProof/>
        </w:rPr>
      </w:pPr>
      <w:r w:rsidRPr="002A64C8">
        <w:rPr>
          <w:noProof/>
        </w:rPr>
        <w:t xml:space="preserve">Sui Z, Grivell RM, Dodd JM. Antenatal exercise to improve outcomes in overweight or obese women: A systematic review. </w:t>
      </w:r>
      <w:r w:rsidRPr="002A64C8">
        <w:rPr>
          <w:i/>
          <w:noProof/>
        </w:rPr>
        <w:t>Acta Obstet Gynecol Scand</w:t>
      </w:r>
      <w:r w:rsidRPr="002A64C8">
        <w:rPr>
          <w:noProof/>
        </w:rPr>
        <w:t>. 2012; 91(5): 538-45.</w:t>
      </w:r>
    </w:p>
    <w:p w14:paraId="417C2B7D" w14:textId="77777777" w:rsidR="000A2412" w:rsidRPr="002A64C8" w:rsidRDefault="000A2412" w:rsidP="000A2412">
      <w:pPr>
        <w:pStyle w:val="Excluded"/>
        <w:rPr>
          <w:noProof/>
        </w:rPr>
      </w:pPr>
      <w:r w:rsidRPr="002A64C8">
        <w:rPr>
          <w:noProof/>
        </w:rPr>
        <w:t xml:space="preserve">Tobias DK, Zhang C, van Dam RM et al. Physical activity before and during pregnancy and risk of gestational diabetes mellitus: a meta-analysis. </w:t>
      </w:r>
      <w:r w:rsidRPr="002A64C8">
        <w:rPr>
          <w:i/>
          <w:noProof/>
        </w:rPr>
        <w:t>Diabetes Care</w:t>
      </w:r>
      <w:r w:rsidRPr="002A64C8">
        <w:rPr>
          <w:noProof/>
        </w:rPr>
        <w:t>. 2011; 34(1): 223-9.</w:t>
      </w:r>
    </w:p>
    <w:p w14:paraId="539D2DCE" w14:textId="77777777" w:rsidR="000A2412" w:rsidRPr="002A64C8" w:rsidRDefault="000A2412" w:rsidP="000A2412">
      <w:pPr>
        <w:pStyle w:val="Excluded"/>
        <w:rPr>
          <w:noProof/>
        </w:rPr>
      </w:pPr>
      <w:r w:rsidRPr="002A64C8">
        <w:rPr>
          <w:noProof/>
        </w:rPr>
        <w:t xml:space="preserve">Tomic V, Sporis G, Tomic J et al. The effect of maternal exercise during pregnancy on abnormal fetal growth. </w:t>
      </w:r>
      <w:r w:rsidRPr="002A64C8">
        <w:rPr>
          <w:i/>
          <w:noProof/>
        </w:rPr>
        <w:t>Croat Med J</w:t>
      </w:r>
      <w:r w:rsidRPr="002A64C8">
        <w:rPr>
          <w:noProof/>
        </w:rPr>
        <w:t>. 2013; 54(4): 362-8.</w:t>
      </w:r>
    </w:p>
    <w:p w14:paraId="4FF3180B" w14:textId="77777777" w:rsidR="000A2412" w:rsidRPr="002A64C8" w:rsidRDefault="000A2412" w:rsidP="000A2412">
      <w:pPr>
        <w:pStyle w:val="Excluded"/>
        <w:rPr>
          <w:noProof/>
        </w:rPr>
      </w:pPr>
      <w:r w:rsidRPr="002A64C8">
        <w:rPr>
          <w:noProof/>
        </w:rPr>
        <w:t xml:space="preserve">Zhu Y, Hedderson MM, Feng J et al. The Pregnancy Environment and Lifestyle Study (PETALS): a population-based longitudinal multi-racial birth cohort. </w:t>
      </w:r>
      <w:r w:rsidRPr="002A64C8">
        <w:rPr>
          <w:i/>
          <w:noProof/>
        </w:rPr>
        <w:t>BMC Pregnancy Childbirth</w:t>
      </w:r>
      <w:r w:rsidRPr="002A64C8">
        <w:rPr>
          <w:noProof/>
        </w:rPr>
        <w:t>. 2017; 17(1): 122.</w:t>
      </w:r>
    </w:p>
    <w:p w14:paraId="3BEE4087" w14:textId="77777777" w:rsidR="000A2412" w:rsidRDefault="000A2412" w:rsidP="000A2412">
      <w:pPr>
        <w:pStyle w:val="Heading4"/>
      </w:pPr>
      <w:r>
        <w:t>Wrong outcomes</w:t>
      </w:r>
    </w:p>
    <w:p w14:paraId="14FA1921" w14:textId="77777777" w:rsidR="001E11FB" w:rsidRPr="00E66DC6" w:rsidRDefault="001E11FB" w:rsidP="001E11FB">
      <w:pPr>
        <w:pStyle w:val="Excluded"/>
        <w:rPr>
          <w:noProof/>
        </w:rPr>
      </w:pPr>
      <w:r w:rsidRPr="00E66DC6">
        <w:rPr>
          <w:noProof/>
        </w:rPr>
        <w:t xml:space="preserve">Ainscough KM, O'Brien EC, Lindsay KL et al (2019) Nutrition, behavior change and physical activity outcomes from the pears rct-an mhealth-supported, lifestyle intervention among pregnant women with overweight and obesity. </w:t>
      </w:r>
      <w:r w:rsidRPr="00E66DC6">
        <w:rPr>
          <w:i/>
          <w:noProof/>
        </w:rPr>
        <w:t>Front Endocrinol (Lausanne)</w:t>
      </w:r>
      <w:r w:rsidRPr="00E66DC6">
        <w:rPr>
          <w:noProof/>
        </w:rPr>
        <w:t xml:space="preserve"> 10: 938.</w:t>
      </w:r>
    </w:p>
    <w:p w14:paraId="59A2BB96" w14:textId="77777777" w:rsidR="001E11FB" w:rsidRPr="00F72C89" w:rsidRDefault="001E11FB" w:rsidP="000A2412">
      <w:pPr>
        <w:pStyle w:val="Excluded"/>
        <w:rPr>
          <w:noProof/>
        </w:rPr>
      </w:pPr>
      <w:r w:rsidRPr="00F72C89">
        <w:rPr>
          <w:noProof/>
        </w:rPr>
        <w:t xml:space="preserve">Babbar S, Parks-Savage AC, Chauhan SP. Yoga during pregnancy: a review. </w:t>
      </w:r>
      <w:r w:rsidRPr="00F72C89">
        <w:rPr>
          <w:i/>
          <w:noProof/>
        </w:rPr>
        <w:t>Am J Perinatol</w:t>
      </w:r>
      <w:r w:rsidRPr="00F72C89">
        <w:rPr>
          <w:noProof/>
        </w:rPr>
        <w:t>. 2012; 29(6): 459-64.</w:t>
      </w:r>
    </w:p>
    <w:p w14:paraId="530356F6" w14:textId="77777777" w:rsidR="001E11FB" w:rsidRPr="00E66DC6" w:rsidRDefault="001E11FB" w:rsidP="001E11FB">
      <w:pPr>
        <w:pStyle w:val="Excluded"/>
        <w:rPr>
          <w:noProof/>
        </w:rPr>
      </w:pPr>
      <w:r w:rsidRPr="00E66DC6">
        <w:rPr>
          <w:noProof/>
        </w:rPr>
        <w:t xml:space="preserve">Barakat R, Vargas M, Brik M et al (2018) Does Exercise during pregnancy affect placental weight?: a randomized clinical trial. </w:t>
      </w:r>
      <w:r w:rsidRPr="00E66DC6">
        <w:rPr>
          <w:i/>
          <w:noProof/>
        </w:rPr>
        <w:t>Eval Health Prof</w:t>
      </w:r>
      <w:r w:rsidRPr="00E66DC6">
        <w:rPr>
          <w:noProof/>
        </w:rPr>
        <w:t xml:space="preserve"> 41(3): 400-14.</w:t>
      </w:r>
    </w:p>
    <w:p w14:paraId="422C03AB" w14:textId="77777777" w:rsidR="001E11FB" w:rsidRPr="00F72C89" w:rsidRDefault="001E11FB" w:rsidP="000A2412">
      <w:pPr>
        <w:pStyle w:val="Excluded"/>
        <w:rPr>
          <w:noProof/>
        </w:rPr>
      </w:pPr>
      <w:r w:rsidRPr="00F72C89">
        <w:rPr>
          <w:noProof/>
        </w:rPr>
        <w:t xml:space="preserve">Benjamin DR, van de Water AT, Peiris CL. Effects of exercise on diastasis of the rectus abdominis muscle in the antenatal and postnatal periods: a systematic review. </w:t>
      </w:r>
      <w:r w:rsidRPr="00F72C89">
        <w:rPr>
          <w:i/>
          <w:noProof/>
        </w:rPr>
        <w:t>Physiotherapy</w:t>
      </w:r>
      <w:r w:rsidRPr="00F72C89">
        <w:rPr>
          <w:noProof/>
        </w:rPr>
        <w:t>. 2014; 100(1): 1-8.</w:t>
      </w:r>
    </w:p>
    <w:p w14:paraId="2D958AF8" w14:textId="77777777" w:rsidR="001E11FB" w:rsidRPr="00E66DC6" w:rsidRDefault="001E11FB" w:rsidP="001E11FB">
      <w:pPr>
        <w:pStyle w:val="Excluded"/>
        <w:rPr>
          <w:noProof/>
        </w:rPr>
      </w:pPr>
      <w:r w:rsidRPr="00E66DC6">
        <w:rPr>
          <w:noProof/>
        </w:rPr>
        <w:t xml:space="preserve">Bhartia N, Jain S, Shankar N et al (2019) Effects of antenatal yoga on maternal stress and clinical outcomes in north indian women: a randomised controlled trial. </w:t>
      </w:r>
      <w:r w:rsidRPr="00E66DC6">
        <w:rPr>
          <w:i/>
          <w:noProof/>
        </w:rPr>
        <w:t>JIACM</w:t>
      </w:r>
      <w:r w:rsidRPr="00E66DC6">
        <w:rPr>
          <w:noProof/>
        </w:rPr>
        <w:t xml:space="preserve"> 20(1): 10-14.</w:t>
      </w:r>
    </w:p>
    <w:p w14:paraId="5D010962" w14:textId="77777777" w:rsidR="001E11FB" w:rsidRPr="00E66DC6" w:rsidRDefault="001E11FB" w:rsidP="001E11FB">
      <w:pPr>
        <w:pStyle w:val="Excluded"/>
        <w:rPr>
          <w:noProof/>
        </w:rPr>
      </w:pPr>
      <w:r w:rsidRPr="00E66DC6">
        <w:rPr>
          <w:noProof/>
        </w:rPr>
        <w:t xml:space="preserve">Brik M, Fernandez-Buhigas I, Martin-Arias A et al (2019) Does exercise during pregnancy impact on maternal weight gain and fetal cardiac function? A randomized controlled trial. </w:t>
      </w:r>
      <w:r w:rsidRPr="00E66DC6">
        <w:rPr>
          <w:i/>
          <w:noProof/>
        </w:rPr>
        <w:t>Ultrasound Obstet Gynecol</w:t>
      </w:r>
      <w:r w:rsidRPr="00E66DC6">
        <w:rPr>
          <w:noProof/>
        </w:rPr>
        <w:t xml:space="preserve"> 53(5): 583-89.</w:t>
      </w:r>
    </w:p>
    <w:p w14:paraId="0BD1E4C6" w14:textId="77777777" w:rsidR="001E11FB" w:rsidRPr="00E66DC6" w:rsidRDefault="001E11FB" w:rsidP="001E11FB">
      <w:pPr>
        <w:pStyle w:val="Excluded"/>
        <w:rPr>
          <w:noProof/>
        </w:rPr>
      </w:pPr>
      <w:r w:rsidRPr="00E66DC6">
        <w:rPr>
          <w:noProof/>
        </w:rPr>
        <w:t xml:space="preserve">Chiavaroli V, Hopkins SA, Derraik JGB et al (2018) Exercise in pregnancy: 1-year and 7-year follow-ups of mothers and offspring after a randomized controlled trial. </w:t>
      </w:r>
      <w:r w:rsidRPr="00E66DC6">
        <w:rPr>
          <w:i/>
          <w:noProof/>
        </w:rPr>
        <w:t>Sci Rep</w:t>
      </w:r>
      <w:r w:rsidRPr="00E66DC6">
        <w:rPr>
          <w:noProof/>
        </w:rPr>
        <w:t xml:space="preserve"> 8(1): 12915.</w:t>
      </w:r>
    </w:p>
    <w:p w14:paraId="0E423030" w14:textId="77777777" w:rsidR="001E11FB" w:rsidRPr="00007715" w:rsidRDefault="001E11FB" w:rsidP="00AD7601">
      <w:pPr>
        <w:pStyle w:val="Excluded"/>
        <w:rPr>
          <w:noProof/>
        </w:rPr>
      </w:pPr>
      <w:r w:rsidRPr="00007715">
        <w:rPr>
          <w:noProof/>
        </w:rPr>
        <w:t xml:space="preserve">Clapp JF, 3rd, Kim H, Burciu B et al. Beginning regular exercise in early pregnancy: effect on fetoplacental growth. </w:t>
      </w:r>
      <w:r w:rsidRPr="00007715">
        <w:rPr>
          <w:i/>
          <w:noProof/>
        </w:rPr>
        <w:t>Am J Obstet Gynecol</w:t>
      </w:r>
      <w:r w:rsidRPr="00007715">
        <w:rPr>
          <w:noProof/>
        </w:rPr>
        <w:t>. 2000; 183(6): 1484-8.</w:t>
      </w:r>
    </w:p>
    <w:p w14:paraId="1C3F5404" w14:textId="77777777" w:rsidR="001E11FB" w:rsidRPr="00F72C89" w:rsidRDefault="001E11FB" w:rsidP="000A2412">
      <w:pPr>
        <w:pStyle w:val="Excluded"/>
        <w:rPr>
          <w:noProof/>
        </w:rPr>
      </w:pPr>
      <w:r w:rsidRPr="00F72C89">
        <w:rPr>
          <w:noProof/>
        </w:rPr>
        <w:t xml:space="preserve">Clapp JF, 3rd, Kim H, Burciu B et al. Continuing regular exercise during pregnancy: effect of exercise volume on fetoplacental growth. </w:t>
      </w:r>
      <w:r w:rsidRPr="00F72C89">
        <w:rPr>
          <w:i/>
          <w:noProof/>
        </w:rPr>
        <w:t>Am J Obstet Gynecol</w:t>
      </w:r>
      <w:r w:rsidRPr="00F72C89">
        <w:rPr>
          <w:noProof/>
        </w:rPr>
        <w:t>. 2002; 186(1): 142-7.</w:t>
      </w:r>
    </w:p>
    <w:p w14:paraId="4486E83B" w14:textId="77777777" w:rsidR="001E11FB" w:rsidRPr="00F72C89" w:rsidRDefault="001E11FB" w:rsidP="000A2412">
      <w:pPr>
        <w:pStyle w:val="Excluded"/>
        <w:rPr>
          <w:noProof/>
        </w:rPr>
      </w:pPr>
      <w:r w:rsidRPr="00F72C89">
        <w:rPr>
          <w:noProof/>
        </w:rPr>
        <w:t xml:space="preserve">Currie S, Sinclair M, Liddle DS et al. Application of objective physical activity measurement in an antenatal physical activity consultation intervention: a randomised controlled trial. </w:t>
      </w:r>
      <w:r w:rsidRPr="00F72C89">
        <w:rPr>
          <w:i/>
          <w:noProof/>
        </w:rPr>
        <w:t>BMC Public Health</w:t>
      </w:r>
      <w:r w:rsidRPr="00F72C89">
        <w:rPr>
          <w:noProof/>
        </w:rPr>
        <w:t>. 2015; 15: 1259.</w:t>
      </w:r>
    </w:p>
    <w:p w14:paraId="068803EB" w14:textId="77777777" w:rsidR="001E11FB" w:rsidRPr="00F72C89" w:rsidRDefault="001E11FB" w:rsidP="000A2412">
      <w:pPr>
        <w:pStyle w:val="Excluded"/>
        <w:rPr>
          <w:noProof/>
        </w:rPr>
      </w:pPr>
      <w:r w:rsidRPr="00F72C89">
        <w:rPr>
          <w:noProof/>
        </w:rPr>
        <w:t xml:space="preserve">El-Shamy Fayiz F, Abd El Fatah E. Effect of antenatal pelvic floor muscle exercise on mode of delivery: A randomized controlled trial. </w:t>
      </w:r>
      <w:r w:rsidRPr="00F72C89">
        <w:rPr>
          <w:i/>
          <w:noProof/>
        </w:rPr>
        <w:t>Integrative Medicine International</w:t>
      </w:r>
      <w:r w:rsidRPr="00F72C89">
        <w:rPr>
          <w:noProof/>
        </w:rPr>
        <w:t>. 2018; 4(3-4): 187-97.</w:t>
      </w:r>
    </w:p>
    <w:p w14:paraId="2B0AF1BD" w14:textId="77777777" w:rsidR="001E11FB" w:rsidRPr="00E66DC6" w:rsidRDefault="001E11FB" w:rsidP="001E11FB">
      <w:pPr>
        <w:pStyle w:val="Excluded"/>
        <w:rPr>
          <w:noProof/>
        </w:rPr>
      </w:pPr>
      <w:r w:rsidRPr="00E66DC6">
        <w:rPr>
          <w:noProof/>
        </w:rPr>
        <w:t xml:space="preserve">Eslami E, Mohammad Alizadeh Charandabi S, Farshbaf Khalili A et al (2018) The effect of a lifestyle-based training package on weight gain and frequency of gestational diabetes in obese and overweight pregnant females. </w:t>
      </w:r>
      <w:r w:rsidRPr="00E66DC6">
        <w:rPr>
          <w:i/>
          <w:noProof/>
        </w:rPr>
        <w:t>Iranian Red Crescent Medical Journal</w:t>
      </w:r>
      <w:r w:rsidRPr="00E66DC6">
        <w:rPr>
          <w:noProof/>
        </w:rPr>
        <w:t xml:space="preserve"> In Press(In Press).</w:t>
      </w:r>
    </w:p>
    <w:p w14:paraId="5DE8AF4F" w14:textId="77777777" w:rsidR="001E11FB" w:rsidRPr="00E66DC6" w:rsidRDefault="001E11FB" w:rsidP="001E11FB">
      <w:pPr>
        <w:pStyle w:val="Excluded"/>
        <w:rPr>
          <w:noProof/>
        </w:rPr>
      </w:pPr>
      <w:r w:rsidRPr="00E66DC6">
        <w:rPr>
          <w:noProof/>
        </w:rPr>
        <w:t xml:space="preserve">Fernandes M (2020) Child developmental follow up in obstetric RCTs: a unique opportunity. </w:t>
      </w:r>
      <w:r w:rsidRPr="00E66DC6">
        <w:rPr>
          <w:i/>
          <w:noProof/>
        </w:rPr>
        <w:t>BJOG</w:t>
      </w:r>
      <w:r w:rsidRPr="00E66DC6">
        <w:rPr>
          <w:noProof/>
        </w:rPr>
        <w:t xml:space="preserve"> 127(4): 518.</w:t>
      </w:r>
    </w:p>
    <w:p w14:paraId="429A46C3" w14:textId="77777777" w:rsidR="001E11FB" w:rsidRPr="00E66DC6" w:rsidRDefault="001E11FB" w:rsidP="001E11FB">
      <w:pPr>
        <w:pStyle w:val="Excluded"/>
        <w:rPr>
          <w:noProof/>
        </w:rPr>
      </w:pPr>
      <w:r w:rsidRPr="00E66DC6">
        <w:rPr>
          <w:noProof/>
        </w:rPr>
        <w:t xml:space="preserve">Flannery C, Fredrix M, Olander EK et al (2019) Effectiveness of physical activity interventions for overweight and obesity during pregnancy: a systematic review of the content of behaviour change interventions. </w:t>
      </w:r>
      <w:r w:rsidRPr="00E66DC6">
        <w:rPr>
          <w:i/>
          <w:noProof/>
        </w:rPr>
        <w:t>Int J Behav Nutr Phys Act</w:t>
      </w:r>
      <w:r w:rsidRPr="00E66DC6">
        <w:rPr>
          <w:noProof/>
        </w:rPr>
        <w:t xml:space="preserve"> 16(1): 97.</w:t>
      </w:r>
    </w:p>
    <w:p w14:paraId="3399713F" w14:textId="77777777" w:rsidR="001E11FB" w:rsidRPr="00E66DC6" w:rsidRDefault="001E11FB" w:rsidP="001E11FB">
      <w:pPr>
        <w:pStyle w:val="Excluded"/>
        <w:rPr>
          <w:noProof/>
        </w:rPr>
      </w:pPr>
      <w:r w:rsidRPr="00E66DC6">
        <w:rPr>
          <w:noProof/>
        </w:rPr>
        <w:t xml:space="preserve">Gallagher D, Rosenn B, Toro-Ramos T et al (2018) Greater neonatal fat-free mass and similar fat mass following a randomized trial to control excess gestational weight gain. </w:t>
      </w:r>
      <w:r w:rsidRPr="00E66DC6">
        <w:rPr>
          <w:i/>
          <w:noProof/>
        </w:rPr>
        <w:t>Obesity (Silver Spring)</w:t>
      </w:r>
      <w:r w:rsidRPr="00E66DC6">
        <w:rPr>
          <w:noProof/>
        </w:rPr>
        <w:t xml:space="preserve"> 26(3): 578-87.</w:t>
      </w:r>
    </w:p>
    <w:p w14:paraId="209A3F87" w14:textId="77777777" w:rsidR="001E11FB" w:rsidRPr="00E66DC6" w:rsidRDefault="001E11FB" w:rsidP="001E11FB">
      <w:pPr>
        <w:pStyle w:val="Excluded"/>
        <w:rPr>
          <w:noProof/>
        </w:rPr>
      </w:pPr>
      <w:r w:rsidRPr="00E66DC6">
        <w:rPr>
          <w:noProof/>
        </w:rPr>
        <w:t xml:space="preserve">Grotenfelt NE, Wasenius N, Eriksson JG et al (2020) Effect of maternal lifestyle intervention on metabolic health and adiposity of offspring: Findings from the Finnish Gestational Diabetes Prevention Study (RADIEL). </w:t>
      </w:r>
      <w:r w:rsidRPr="00E66DC6">
        <w:rPr>
          <w:i/>
          <w:noProof/>
        </w:rPr>
        <w:t>Diabetes Metab</w:t>
      </w:r>
      <w:r w:rsidRPr="00E66DC6">
        <w:rPr>
          <w:noProof/>
        </w:rPr>
        <w:t xml:space="preserve"> 46(1): 46-53.</w:t>
      </w:r>
    </w:p>
    <w:p w14:paraId="5883D603" w14:textId="77777777" w:rsidR="001E11FB" w:rsidRPr="00E66DC6" w:rsidRDefault="001E11FB" w:rsidP="001E11FB">
      <w:pPr>
        <w:pStyle w:val="Excluded"/>
        <w:rPr>
          <w:noProof/>
        </w:rPr>
      </w:pPr>
      <w:r w:rsidRPr="00E66DC6">
        <w:rPr>
          <w:noProof/>
        </w:rPr>
        <w:t xml:space="preserve">Gunther J, Hoffmann J, Kunath J et al (2019) Effects of a lifestyle intervention in routine care on prenatal dietary behavior-findings from the cluster-randomized GeliS trial. </w:t>
      </w:r>
      <w:r w:rsidRPr="00E66DC6">
        <w:rPr>
          <w:i/>
          <w:noProof/>
        </w:rPr>
        <w:t>J Clin Med</w:t>
      </w:r>
      <w:r w:rsidRPr="00E66DC6">
        <w:rPr>
          <w:noProof/>
        </w:rPr>
        <w:t xml:space="preserve"> 8(7).</w:t>
      </w:r>
    </w:p>
    <w:p w14:paraId="54B6253A" w14:textId="77777777" w:rsidR="001E11FB" w:rsidRPr="00F72C89" w:rsidRDefault="001E11FB" w:rsidP="000A2412">
      <w:pPr>
        <w:pStyle w:val="Excluded"/>
        <w:rPr>
          <w:noProof/>
        </w:rPr>
      </w:pPr>
      <w:r w:rsidRPr="00F72C89">
        <w:rPr>
          <w:noProof/>
        </w:rPr>
        <w:t xml:space="preserve">Haakstad LAH, Vistad I, Sagedal LR et al. How does a lifestyle intervention during pregnancy influence perceived barriers to leisure-time physical activity? The Norwegian fit for delivery study, a randomized controlled trial. </w:t>
      </w:r>
      <w:r w:rsidRPr="00F72C89">
        <w:rPr>
          <w:i/>
          <w:noProof/>
        </w:rPr>
        <w:t>BMC Pregnancy Childbirth</w:t>
      </w:r>
      <w:r w:rsidRPr="00F72C89">
        <w:rPr>
          <w:noProof/>
        </w:rPr>
        <w:t>. 2018; 18(1): 127.</w:t>
      </w:r>
    </w:p>
    <w:p w14:paraId="6ABF10BD" w14:textId="77777777" w:rsidR="001E11FB" w:rsidRPr="00F72C89" w:rsidRDefault="001E11FB" w:rsidP="000A2412">
      <w:pPr>
        <w:pStyle w:val="Excluded"/>
        <w:rPr>
          <w:noProof/>
        </w:rPr>
      </w:pPr>
      <w:r w:rsidRPr="00F72C89">
        <w:rPr>
          <w:noProof/>
        </w:rPr>
        <w:t xml:space="preserve">Hawkins M, Chasan-Taber L, Marcus B et al. Impact of an exercise intervention on physical activity during pregnancy: the behaviors affecting baby and you study. </w:t>
      </w:r>
      <w:r w:rsidRPr="00F72C89">
        <w:rPr>
          <w:i/>
          <w:noProof/>
        </w:rPr>
        <w:t>Am J Public Health</w:t>
      </w:r>
      <w:r w:rsidRPr="00F72C89">
        <w:rPr>
          <w:noProof/>
        </w:rPr>
        <w:t>. 2014; 104(10): e74-81.</w:t>
      </w:r>
    </w:p>
    <w:p w14:paraId="3EF2075D" w14:textId="77777777" w:rsidR="001E11FB" w:rsidRPr="00F72C89" w:rsidRDefault="001E11FB" w:rsidP="000A2412">
      <w:pPr>
        <w:pStyle w:val="Excluded"/>
        <w:rPr>
          <w:noProof/>
        </w:rPr>
      </w:pPr>
      <w:r w:rsidRPr="00F72C89">
        <w:rPr>
          <w:noProof/>
        </w:rPr>
        <w:t xml:space="preserve">Hellenes OM, Vik T, Lohaugen GC et al. Regular moderate exercise during pregnancy does not have an adverse effect on the neurodevelopment of the child. </w:t>
      </w:r>
      <w:r w:rsidRPr="00F72C89">
        <w:rPr>
          <w:i/>
          <w:noProof/>
        </w:rPr>
        <w:t>Acta Paediatr</w:t>
      </w:r>
      <w:r w:rsidRPr="00F72C89">
        <w:rPr>
          <w:noProof/>
        </w:rPr>
        <w:t>. 2015; 104(3): 285-91.</w:t>
      </w:r>
    </w:p>
    <w:p w14:paraId="6611596B" w14:textId="77777777" w:rsidR="001E11FB" w:rsidRPr="00E66DC6" w:rsidRDefault="001E11FB" w:rsidP="001E11FB">
      <w:pPr>
        <w:pStyle w:val="Excluded"/>
        <w:rPr>
          <w:noProof/>
        </w:rPr>
      </w:pPr>
      <w:r w:rsidRPr="00E66DC6">
        <w:rPr>
          <w:noProof/>
        </w:rPr>
        <w:t xml:space="preserve">Hoffmann J, Gunther J, Geyer K et al (2019) Effects of a lifestyle intervention in routine care on prenatal physical activity - findings from the cluster-randomised GeliS trial. </w:t>
      </w:r>
      <w:r w:rsidRPr="00E66DC6">
        <w:rPr>
          <w:i/>
          <w:noProof/>
        </w:rPr>
        <w:t>BMC Pregnancy Childbirth</w:t>
      </w:r>
      <w:r w:rsidRPr="00E66DC6">
        <w:rPr>
          <w:noProof/>
        </w:rPr>
        <w:t xml:space="preserve"> 19(1): 414.</w:t>
      </w:r>
    </w:p>
    <w:p w14:paraId="42A04785" w14:textId="77777777" w:rsidR="001E11FB" w:rsidRPr="00F72C89" w:rsidRDefault="001E11FB" w:rsidP="000A2412">
      <w:pPr>
        <w:pStyle w:val="Excluded"/>
        <w:rPr>
          <w:noProof/>
        </w:rPr>
      </w:pPr>
      <w:r w:rsidRPr="00F72C89">
        <w:rPr>
          <w:noProof/>
        </w:rPr>
        <w:t xml:space="preserve">Kahyaoglu Sut H, Balkanli Kaplan P. Effect of pelvic floor muscle exercise on pelvic floor muscle activity and voiding functions during pregnancy and the postpartum period. </w:t>
      </w:r>
      <w:r w:rsidRPr="00F72C89">
        <w:rPr>
          <w:i/>
          <w:noProof/>
        </w:rPr>
        <w:t>Neurourol Urodyn</w:t>
      </w:r>
      <w:r w:rsidRPr="00F72C89">
        <w:rPr>
          <w:noProof/>
        </w:rPr>
        <w:t>. 2016; 35(3): 417-22.</w:t>
      </w:r>
    </w:p>
    <w:p w14:paraId="19E49781" w14:textId="77777777" w:rsidR="001E11FB" w:rsidRPr="00E66DC6" w:rsidRDefault="001E11FB" w:rsidP="001E11FB">
      <w:pPr>
        <w:pStyle w:val="Excluded"/>
        <w:rPr>
          <w:noProof/>
        </w:rPr>
      </w:pPr>
      <w:r w:rsidRPr="00E66DC6">
        <w:rPr>
          <w:noProof/>
        </w:rPr>
        <w:t xml:space="preserve">McMillan AG, May LE, Gaines GG et al (2019) Effects of aerobic exercise during pregnancy on 1-month infant neuromotor skills. </w:t>
      </w:r>
      <w:r w:rsidRPr="00E66DC6">
        <w:rPr>
          <w:i/>
          <w:noProof/>
        </w:rPr>
        <w:t>Med Sci Sports Exerc</w:t>
      </w:r>
      <w:r w:rsidRPr="00E66DC6">
        <w:rPr>
          <w:noProof/>
        </w:rPr>
        <w:t xml:space="preserve"> 51(8): 1671-76.</w:t>
      </w:r>
    </w:p>
    <w:p w14:paraId="7194EFB3" w14:textId="77777777" w:rsidR="001E11FB" w:rsidRPr="00E66DC6" w:rsidRDefault="001E11FB" w:rsidP="001E11FB">
      <w:pPr>
        <w:pStyle w:val="Excluded"/>
        <w:rPr>
          <w:noProof/>
        </w:rPr>
      </w:pPr>
      <w:r w:rsidRPr="00E66DC6">
        <w:rPr>
          <w:noProof/>
        </w:rPr>
        <w:t xml:space="preserve">Mills HL, Patel N, White SL et al (2019) The effect of a lifestyle intervention in obese pregnant women on gestational metabolic profiles: findings from the UK Pregnancies Better Eating and Activity Trial (UPBEAT) randomised controlled trial. </w:t>
      </w:r>
      <w:r w:rsidRPr="00E66DC6">
        <w:rPr>
          <w:i/>
          <w:noProof/>
        </w:rPr>
        <w:t>BMC Med</w:t>
      </w:r>
      <w:r w:rsidRPr="00E66DC6">
        <w:rPr>
          <w:noProof/>
        </w:rPr>
        <w:t xml:space="preserve"> 17(1): 15.</w:t>
      </w:r>
    </w:p>
    <w:p w14:paraId="79BC9CEF" w14:textId="77777777" w:rsidR="001E11FB" w:rsidRPr="005F1C72" w:rsidRDefault="001E11FB" w:rsidP="00AD7601">
      <w:pPr>
        <w:pStyle w:val="Excluded"/>
        <w:rPr>
          <w:noProof/>
        </w:rPr>
      </w:pPr>
      <w:r w:rsidRPr="005F1C72">
        <w:rPr>
          <w:noProof/>
        </w:rPr>
        <w:t xml:space="preserve">Robledo-Colonia AF, Sandoval-Restrepo N, Mosquera-Valderrama YF et al. Aerobic exercise training during pregnancy reduces depressive symptoms in nulliparous women: a randomised trial. </w:t>
      </w:r>
      <w:r w:rsidRPr="005F1C72">
        <w:rPr>
          <w:i/>
          <w:noProof/>
        </w:rPr>
        <w:t>J Physiotherapy</w:t>
      </w:r>
      <w:r w:rsidRPr="005F1C72">
        <w:rPr>
          <w:noProof/>
        </w:rPr>
        <w:t>. 2012; 58(1): 9-15.</w:t>
      </w:r>
    </w:p>
    <w:p w14:paraId="53DD8737" w14:textId="77777777" w:rsidR="001E11FB" w:rsidRPr="00E66DC6" w:rsidRDefault="001E11FB" w:rsidP="001E11FB">
      <w:pPr>
        <w:pStyle w:val="Excluded"/>
        <w:rPr>
          <w:noProof/>
        </w:rPr>
      </w:pPr>
      <w:r w:rsidRPr="00E66DC6">
        <w:rPr>
          <w:noProof/>
        </w:rPr>
        <w:t xml:space="preserve">Rodriguez-Blanque R, Aguilar-Cordero MJ, Marin-Jimenez AE et al (2020) Influence of a water-based exercise program in the rate of spontaneous birth: a randomized clinical trial. </w:t>
      </w:r>
      <w:r w:rsidRPr="00E66DC6">
        <w:rPr>
          <w:i/>
          <w:noProof/>
        </w:rPr>
        <w:t>Int J Environ Res Public Health</w:t>
      </w:r>
      <w:r w:rsidRPr="00E66DC6">
        <w:rPr>
          <w:noProof/>
        </w:rPr>
        <w:t xml:space="preserve"> 17(3).</w:t>
      </w:r>
    </w:p>
    <w:p w14:paraId="749935B3" w14:textId="77777777" w:rsidR="001E11FB" w:rsidRPr="00F72C89" w:rsidRDefault="001E11FB" w:rsidP="000A2412">
      <w:pPr>
        <w:pStyle w:val="Excluded"/>
        <w:rPr>
          <w:noProof/>
        </w:rPr>
      </w:pPr>
      <w:r w:rsidRPr="00F72C89">
        <w:rPr>
          <w:noProof/>
        </w:rPr>
        <w:t xml:space="preserve">Rogozinska E, Marlin N, Yang F et al. Variations in reporting of outcomes in randomized trials on diet and physical activity in pregnancy: A systematic review. </w:t>
      </w:r>
      <w:r w:rsidRPr="00F72C89">
        <w:rPr>
          <w:i/>
          <w:noProof/>
        </w:rPr>
        <w:t>J Obstet Gynaecol Res</w:t>
      </w:r>
      <w:r w:rsidRPr="00F72C89">
        <w:rPr>
          <w:noProof/>
        </w:rPr>
        <w:t>. 2017; 43(7): 1101-10.</w:t>
      </w:r>
    </w:p>
    <w:p w14:paraId="34AE035F" w14:textId="77777777" w:rsidR="001E11FB" w:rsidRPr="00E66DC6" w:rsidRDefault="001E11FB" w:rsidP="001E11FB">
      <w:pPr>
        <w:pStyle w:val="Excluded"/>
        <w:rPr>
          <w:noProof/>
        </w:rPr>
      </w:pPr>
      <w:r w:rsidRPr="00E66DC6">
        <w:rPr>
          <w:noProof/>
        </w:rPr>
        <w:t xml:space="preserve">Sahrakorpi N, Rono K, Koivusalo SB et al (2019) Effect of lifestyle counselling on health-related quality of life in women at high risk for gestational diabetes. </w:t>
      </w:r>
      <w:r w:rsidRPr="00E66DC6">
        <w:rPr>
          <w:i/>
          <w:noProof/>
        </w:rPr>
        <w:t>Eur J Public Health</w:t>
      </w:r>
      <w:r w:rsidRPr="00E66DC6">
        <w:rPr>
          <w:noProof/>
        </w:rPr>
        <w:t xml:space="preserve"> 29(3): 408-12.</w:t>
      </w:r>
    </w:p>
    <w:p w14:paraId="12C42A5B" w14:textId="77777777" w:rsidR="001E11FB" w:rsidRPr="00F72C89" w:rsidRDefault="001E11FB" w:rsidP="000A2412">
      <w:pPr>
        <w:pStyle w:val="Excluded"/>
        <w:rPr>
          <w:noProof/>
        </w:rPr>
      </w:pPr>
      <w:r w:rsidRPr="00F72C89">
        <w:rPr>
          <w:noProof/>
        </w:rPr>
        <w:t xml:space="preserve">Sanda B, Vistad I, Sagedal LR et al. Effect of a prenatal lifestyle intervention on physical activity level in late pregnancy and the first year postpartum. </w:t>
      </w:r>
      <w:r w:rsidRPr="00F72C89">
        <w:rPr>
          <w:i/>
          <w:noProof/>
        </w:rPr>
        <w:t>PLoS One</w:t>
      </w:r>
      <w:r w:rsidRPr="00F72C89">
        <w:rPr>
          <w:noProof/>
        </w:rPr>
        <w:t>. 2017; 12(11): e0188102.</w:t>
      </w:r>
    </w:p>
    <w:p w14:paraId="0A99AC8B" w14:textId="77777777" w:rsidR="001E11FB" w:rsidRPr="00F72C89" w:rsidRDefault="001E11FB" w:rsidP="000A2412">
      <w:pPr>
        <w:pStyle w:val="Excluded"/>
        <w:rPr>
          <w:noProof/>
        </w:rPr>
      </w:pPr>
      <w:r w:rsidRPr="00F72C89">
        <w:rPr>
          <w:noProof/>
        </w:rPr>
        <w:t xml:space="preserve">Skow RJ, Davenport MH, Mottola MF et al. Effects of prenatal exercise on fetal heart rate, umbilical and uterine blood flow: a systematic review and meta-analysis. </w:t>
      </w:r>
      <w:r w:rsidRPr="00F72C89">
        <w:rPr>
          <w:i/>
          <w:noProof/>
        </w:rPr>
        <w:t>Br J Sports Med</w:t>
      </w:r>
      <w:r w:rsidRPr="00F72C89">
        <w:rPr>
          <w:noProof/>
        </w:rPr>
        <w:t>. 2019; 53(2): 124-33.</w:t>
      </w:r>
    </w:p>
    <w:p w14:paraId="447D0EE9" w14:textId="77777777" w:rsidR="001E11FB" w:rsidRPr="00F72C89" w:rsidRDefault="001E11FB" w:rsidP="000A2412">
      <w:pPr>
        <w:pStyle w:val="Excluded"/>
        <w:rPr>
          <w:noProof/>
        </w:rPr>
      </w:pPr>
      <w:r w:rsidRPr="00F72C89">
        <w:rPr>
          <w:noProof/>
        </w:rPr>
        <w:t xml:space="preserve">Stutzman SS, Brown CA, Hains SM et al. The effects of exercise conditioning in normal and overweight pregnant women on blood pressure and heart rate variability. </w:t>
      </w:r>
      <w:r w:rsidRPr="00F72C89">
        <w:rPr>
          <w:i/>
          <w:noProof/>
        </w:rPr>
        <w:t>Biol Res Nurs</w:t>
      </w:r>
      <w:r w:rsidRPr="00F72C89">
        <w:rPr>
          <w:noProof/>
        </w:rPr>
        <w:t>. 2010; 12(2): 137-48.</w:t>
      </w:r>
    </w:p>
    <w:p w14:paraId="0CB1E640" w14:textId="77777777" w:rsidR="001E11FB" w:rsidRPr="00E66DC6" w:rsidRDefault="001E11FB" w:rsidP="001E11FB">
      <w:pPr>
        <w:pStyle w:val="Excluded"/>
        <w:rPr>
          <w:noProof/>
        </w:rPr>
      </w:pPr>
      <w:r w:rsidRPr="00E66DC6">
        <w:rPr>
          <w:noProof/>
        </w:rPr>
        <w:t xml:space="preserve">Vargas-Terrones M, Nagpal TS, Perales M et al (2020) Physical activity and prenatal depression: going beyond statistical significance by assessing the impact of reliable and clinical significant change. </w:t>
      </w:r>
      <w:r w:rsidRPr="00E66DC6">
        <w:rPr>
          <w:i/>
          <w:noProof/>
        </w:rPr>
        <w:t>Psychol Med</w:t>
      </w:r>
      <w:r w:rsidRPr="00E66DC6">
        <w:rPr>
          <w:noProof/>
        </w:rPr>
        <w:t>: 1-6.</w:t>
      </w:r>
    </w:p>
    <w:p w14:paraId="000A0A55" w14:textId="77777777" w:rsidR="000A2412" w:rsidRDefault="000A2412" w:rsidP="000A2412">
      <w:pPr>
        <w:pStyle w:val="Heading4"/>
      </w:pPr>
      <w:r>
        <w:t>Wrong population</w:t>
      </w:r>
    </w:p>
    <w:p w14:paraId="7369AB9B" w14:textId="77777777" w:rsidR="00AD7601" w:rsidRPr="00AD7601" w:rsidRDefault="00AD7601" w:rsidP="00AD7601">
      <w:pPr>
        <w:pStyle w:val="Excluded"/>
      </w:pPr>
      <w:r w:rsidRPr="00AD7601">
        <w:t>Akmese ZB, Oran NT. Effects of progressive muscle relaxation exercises accompanied by music on low back pain and quality of life during pregnancy. J Midwifery Womens Health. 2014; 59(5): 503-9.</w:t>
      </w:r>
    </w:p>
    <w:p w14:paraId="37E943C8" w14:textId="77777777" w:rsidR="00AD7601" w:rsidRPr="00AD7601" w:rsidRDefault="00AD7601" w:rsidP="00AD7601">
      <w:pPr>
        <w:pStyle w:val="Excluded"/>
      </w:pPr>
      <w:r w:rsidRPr="00AD7601">
        <w:t>Almousa S, Lamprianidou E, Kitsoulis G. The effectiveness of stabilising exercises in pelvic girdle pain during pregnancy and after delivery: A systematic review. Physiother Res Int. 2018; 23(1).</w:t>
      </w:r>
    </w:p>
    <w:p w14:paraId="0ADA2DD8" w14:textId="77777777" w:rsidR="00AD7601" w:rsidRPr="00AD7601" w:rsidRDefault="00AD7601" w:rsidP="00AD7601">
      <w:pPr>
        <w:pStyle w:val="Excluded"/>
      </w:pPr>
      <w:r w:rsidRPr="00AD7601">
        <w:t>Bo K, Artal R, Barakat R et al. Exercise and pregnancy in recreational and elite athletes: 2016 evidence summary from the IOC expert group meeting, Lausanne. Part 1-exercise in women planning pregnancy and those who are pregnant. Br J Sports Med. 2016; 50(10): 571-89.</w:t>
      </w:r>
    </w:p>
    <w:p w14:paraId="6F1D774E" w14:textId="77777777" w:rsidR="00AD7601" w:rsidRPr="00AD7601" w:rsidRDefault="00AD7601" w:rsidP="00AD7601">
      <w:pPr>
        <w:pStyle w:val="Excluded"/>
      </w:pPr>
      <w:r w:rsidRPr="00AD7601">
        <w:t>Brown J, Alwan NA, West J et al. Lifestyle interventions for the treatment of women with gestational diabetes. Cochrane Database Syst Rev. 2017; 5: CD011970.</w:t>
      </w:r>
    </w:p>
    <w:p w14:paraId="5876E23F" w14:textId="77777777" w:rsidR="00AD7601" w:rsidRPr="00AD7601" w:rsidRDefault="00AD7601" w:rsidP="00AD7601">
      <w:pPr>
        <w:pStyle w:val="Excluded"/>
      </w:pPr>
      <w:r w:rsidRPr="00AD7601">
        <w:t>Clapp JF, 3rd. Long-term outcome after exercising throughout pregnancy: fitness and cardiovascular risk. Am J Obstet Gynecol. 2008; 199(5): 489 e1-6.</w:t>
      </w:r>
    </w:p>
    <w:p w14:paraId="63D26EEA" w14:textId="77777777" w:rsidR="00AD7601" w:rsidRPr="00AD7601" w:rsidRDefault="00AD7601" w:rsidP="00AD7601">
      <w:pPr>
        <w:pStyle w:val="Excluded"/>
      </w:pPr>
      <w:r w:rsidRPr="00AD7601">
        <w:t>Depledge J, McNair PJ, Keal-Smith C et al. Management of symphysis pubis dysfunction during pregnancy using exercise and pelvic support belts. Phys Ther. 2005; 85(12): 1290-300.</w:t>
      </w:r>
    </w:p>
    <w:p w14:paraId="1AF5F3A8" w14:textId="77777777" w:rsidR="00AD7601" w:rsidRPr="00AD7601" w:rsidRDefault="00AD7601" w:rsidP="00AD7601">
      <w:pPr>
        <w:pStyle w:val="Excluded"/>
      </w:pPr>
      <w:r w:rsidRPr="00AD7601">
        <w:t>Dinc A, Kizilkaya Beji N, Yalcin O. Effect of pelvic floor muscle exercises in the treatment of urinary incontinence during pregnancy and the postpartum period. Int Urogynecol J Pelvic Floor Dysfunct. 2009; 20(10): 1223-31.</w:t>
      </w:r>
    </w:p>
    <w:p w14:paraId="6891360A" w14:textId="77777777" w:rsidR="00AD7601" w:rsidRPr="00AD7601" w:rsidRDefault="00AD7601" w:rsidP="00AD7601">
      <w:pPr>
        <w:pStyle w:val="Excluded"/>
      </w:pPr>
      <w:r w:rsidRPr="00AD7601">
        <w:t>Egeland GM, Tell GS, Naess O et al. Association between pregravid physical activity and family history of stroke and risk of stillbirth: population-based cohort study. BMJ Open. 2017; 7(8): e017034.</w:t>
      </w:r>
    </w:p>
    <w:p w14:paraId="25D31ED0" w14:textId="77777777" w:rsidR="00AD7601" w:rsidRPr="00AD7601" w:rsidRDefault="00AD7601" w:rsidP="00AD7601">
      <w:pPr>
        <w:pStyle w:val="Excluded"/>
      </w:pPr>
      <w:r w:rsidRPr="00AD7601">
        <w:t>Elden H, Ladfors L, Olsen MF et al. Effects of acupuncture and stabilising exercises as adjunct to standard treatment in pregnant women with pelvic girdle pain: randomised single blind controlled trial. BMJ. 2005; 330(7494): 761.</w:t>
      </w:r>
    </w:p>
    <w:p w14:paraId="2F51CABC" w14:textId="77777777" w:rsidR="00AD7601" w:rsidRPr="00AD7601" w:rsidRDefault="00AD7601" w:rsidP="00AD7601">
      <w:pPr>
        <w:pStyle w:val="Excluded"/>
      </w:pPr>
      <w:r w:rsidRPr="00AD7601">
        <w:t>Elden H, Ostgaard HC, Fagevik-Olsen M et al. Treatments of pelvic girdle pain in pregnant women: adverse effects of standard treatment, acupuncture and stabilising exercises on the pregnancy, mother, delivery and the fetus/neonate. BMC Complement Altern Med. 2008; 8: 34.</w:t>
      </w:r>
    </w:p>
    <w:p w14:paraId="6FDB5879" w14:textId="77777777" w:rsidR="00AD7601" w:rsidRPr="00AD7601" w:rsidRDefault="00AD7601" w:rsidP="00AD7601">
      <w:pPr>
        <w:pStyle w:val="Excluded"/>
      </w:pPr>
      <w:r w:rsidRPr="00AD7601">
        <w:t>George JW, Skaggs CD, Thompson PA et al. A randomized controlled trial comparing a multimodal intervention and standard obstetrics care for low back and pelvic pain in pregnancy. Am J Obstet Gynecol. 2013; 208(4): 295 e1-7.</w:t>
      </w:r>
    </w:p>
    <w:p w14:paraId="4CDE136A" w14:textId="77777777" w:rsidR="00AD7601" w:rsidRPr="00AD7601" w:rsidRDefault="00AD7601" w:rsidP="00AD7601">
      <w:pPr>
        <w:pStyle w:val="Excluded"/>
      </w:pPr>
      <w:r w:rsidRPr="00AD7601">
        <w:t>Gong H, Ni C, Shen X et al. Yoga for prenatal depression: a systematic review and meta-analysis. BMC Psychiatry. 2015; 15: 14.</w:t>
      </w:r>
    </w:p>
    <w:p w14:paraId="7E9BB447" w14:textId="77777777" w:rsidR="00AD7601" w:rsidRPr="00AD7601" w:rsidRDefault="00AD7601" w:rsidP="00AD7601">
      <w:pPr>
        <w:pStyle w:val="Excluded"/>
      </w:pPr>
      <w:r w:rsidRPr="00AD7601">
        <w:t>Gutke A, Betten C, Degerskar K et al. Treatments for pregnancy-related lumbopelvic pain: a systematic review of physiotherapy modalities. Acta Obstet Gynecol Scand. 2015; 94(11): 1156-67.</w:t>
      </w:r>
    </w:p>
    <w:p w14:paraId="366001C7" w14:textId="77777777" w:rsidR="00AD7601" w:rsidRPr="00AD7601" w:rsidRDefault="00AD7601" w:rsidP="00AD7601">
      <w:pPr>
        <w:pStyle w:val="Excluded"/>
      </w:pPr>
      <w:r w:rsidRPr="00AD7601">
        <w:t>Gutke A, Sjodahl J, Oberg B. Specific muscle stabilizing as home exercises for persistent pelvic girdle pain after pregnancy: a randomized, controlled clinical trial. J Rehabil Med. 2010; 42(10): 929-35.</w:t>
      </w:r>
    </w:p>
    <w:p w14:paraId="1C30FE0C" w14:textId="77777777" w:rsidR="00AD7601" w:rsidRPr="00AD7601" w:rsidRDefault="00AD7601" w:rsidP="00AD7601">
      <w:pPr>
        <w:pStyle w:val="Excluded"/>
      </w:pPr>
      <w:r w:rsidRPr="00AD7601">
        <w:t>Haugland KS, Rasmussen S, Daltveit AK. Group intervention for women with pelvic girdle pain in pregnancy. A randomized controlled trial. Acta Obstet Gynecol Scand. 2006; 85(11): 1320-6.</w:t>
      </w:r>
    </w:p>
    <w:p w14:paraId="1E8EC22A" w14:textId="77777777" w:rsidR="00AD7601" w:rsidRPr="00AD7601" w:rsidRDefault="00AD7601" w:rsidP="00AD7601">
      <w:pPr>
        <w:pStyle w:val="Excluded"/>
      </w:pPr>
      <w:r w:rsidRPr="00AD7601">
        <w:t>Kardel KR. Effects of intense training during and after pregnancy in top-level athletes. Scand J Med Sci Sports. 2005; 15(2): 79-86.</w:t>
      </w:r>
    </w:p>
    <w:p w14:paraId="65BB9AC0" w14:textId="77777777" w:rsidR="00AD7601" w:rsidRPr="00AD7601" w:rsidRDefault="00AD7601" w:rsidP="00AD7601">
      <w:pPr>
        <w:pStyle w:val="Excluded"/>
      </w:pPr>
      <w:r w:rsidRPr="00AD7601">
        <w:t>Kasawara KT, Burgos CS, do Nascimento SL et al. Maternal and perinatal outcomes of exercise in pregnant women with chronic hypertension and/or previous preeclampsia: A randomized controlled trial. ISRN Obstet Gynecol. 2013; 2013: 857047.</w:t>
      </w:r>
    </w:p>
    <w:p w14:paraId="692C9B41" w14:textId="77777777" w:rsidR="00AD7601" w:rsidRPr="00AD7601" w:rsidRDefault="00AD7601" w:rsidP="00AD7601">
      <w:pPr>
        <w:pStyle w:val="Excluded"/>
      </w:pPr>
      <w:r w:rsidRPr="00AD7601">
        <w:t>Kihlstrand M, Stenman B, Nilsson S et al. Water-gymnastics reduced the intensity of back/low back pain in pregnant women. Acta Obstet Gynecol Scand. 1999; 78(3): 180-5.</w:t>
      </w:r>
    </w:p>
    <w:p w14:paraId="6F4CEED7" w14:textId="77777777" w:rsidR="00AD7601" w:rsidRPr="00AD7601" w:rsidRDefault="00AD7601" w:rsidP="00AD7601">
      <w:pPr>
        <w:pStyle w:val="Excluded"/>
      </w:pPr>
      <w:r w:rsidRPr="00AD7601">
        <w:t>Kluge J, Hall D, Louw Q et al. Specific exercises to treat pregnancy-related low back pain in a South African population. Int J Gynaecol Obstet. 2011; 113(3): 187-91.</w:t>
      </w:r>
    </w:p>
    <w:p w14:paraId="7573B353" w14:textId="77777777" w:rsidR="00AD7601" w:rsidRPr="00AD7601" w:rsidRDefault="00AD7601" w:rsidP="00AD7601">
      <w:pPr>
        <w:pStyle w:val="Excluded"/>
      </w:pPr>
      <w:r w:rsidRPr="00AD7601">
        <w:t>Kordi R, Abolhasani M, Rostami M et al. Comparison between the effect of lumbopelvic belt and home based pelvic stabilizing exercise on pregnant women with pelvic girdle pain; a randomized controlled trial. J Back Musculoskelet Rehabil. 2013; 26(2): 133-9.</w:t>
      </w:r>
    </w:p>
    <w:p w14:paraId="72B375DA" w14:textId="77777777" w:rsidR="00AD7601" w:rsidRPr="00AD7601" w:rsidRDefault="00AD7601" w:rsidP="00AD7601">
      <w:pPr>
        <w:pStyle w:val="Excluded"/>
      </w:pPr>
      <w:r w:rsidRPr="00AD7601">
        <w:t>Liddle SD, Pennick V. Interventions for preventing and treating low-back and pelvic pain during pregnancy. Cochrane Database Syst Rev. 2015; (9): CD001139.</w:t>
      </w:r>
    </w:p>
    <w:p w14:paraId="69BD3264" w14:textId="77777777" w:rsidR="00AD7601" w:rsidRPr="00AD7601" w:rsidRDefault="00AD7601" w:rsidP="00AD7601">
      <w:pPr>
        <w:pStyle w:val="Excluded"/>
      </w:pPr>
      <w:r w:rsidRPr="00AD7601">
        <w:t>Mahishale A, Patted S. Effectiveness of tailor made exercise intervention for low back pain and pelvic pain during pregnancy - a randomized controlled trial. Indian Journal of Physiotherapy and Occupational Therapy - An International Journal. 2014; 8(4).</w:t>
      </w:r>
    </w:p>
    <w:p w14:paraId="1A430C75" w14:textId="77777777" w:rsidR="00AD7601" w:rsidRPr="00AD7601" w:rsidRDefault="00AD7601" w:rsidP="00AD7601">
      <w:pPr>
        <w:pStyle w:val="Excluded"/>
      </w:pPr>
      <w:r w:rsidRPr="00AD7601">
        <w:t>Martins RF, Pinto e Silva JL. Treatment of pregnancy-related lumbar and pelvic girdle pain by the yoga method: a randomized controlled study. J Altern Complement Med. 2014; 20(1): 24-31.</w:t>
      </w:r>
    </w:p>
    <w:p w14:paraId="1941AE16" w14:textId="77777777" w:rsidR="00AD7601" w:rsidRPr="00AD7601" w:rsidRDefault="00AD7601" w:rsidP="00AD7601">
      <w:pPr>
        <w:pStyle w:val="Excluded"/>
      </w:pPr>
      <w:r w:rsidRPr="00AD7601">
        <w:t>Meher S, Duley L. Exercise or other physical activity for preventing pre-eclampsia and its complications. Cochrane Database Syst Rev. 2006; (2): CD005942.</w:t>
      </w:r>
    </w:p>
    <w:p w14:paraId="07C043B5" w14:textId="77777777" w:rsidR="00AD7601" w:rsidRPr="00AD7601" w:rsidRDefault="00AD7601" w:rsidP="00AD7601">
      <w:pPr>
        <w:pStyle w:val="Excluded"/>
      </w:pPr>
      <w:r w:rsidRPr="00AD7601">
        <w:t>Mirmolaei ST, Nakhostin Ansari N, Mahmoudi M et al. Efficacy of a physical training program on pregnancy related lumbopelvic pain. Int J  Women's Health Reprod Sci. 2017; 6(2): 161-5.</w:t>
      </w:r>
    </w:p>
    <w:p w14:paraId="75F235B1" w14:textId="77777777" w:rsidR="00AD7601" w:rsidRPr="00AD7601" w:rsidRDefault="00AD7601" w:rsidP="00AD7601">
      <w:pPr>
        <w:pStyle w:val="Excluded"/>
      </w:pPr>
      <w:r w:rsidRPr="00AD7601">
        <w:t>Nilsson-Wikmar L, Holm K, Oijerstedt R et al. Effect of three different physical therapy treatments on pain and activity in pregnant women with pelvic girdle pain: a randomized clinical trial with 3, 6, and 12 months follow-up postpartum. Spine (Phila Pa 1976). 2005; 30(8): 850-6.</w:t>
      </w:r>
    </w:p>
    <w:p w14:paraId="2A55DD6E" w14:textId="77777777" w:rsidR="001E11FB" w:rsidRPr="00180D37" w:rsidRDefault="001E11FB" w:rsidP="001E11FB">
      <w:pPr>
        <w:pStyle w:val="Excluded"/>
        <w:rPr>
          <w:noProof/>
        </w:rPr>
      </w:pPr>
      <w:r w:rsidRPr="00180D37">
        <w:rPr>
          <w:noProof/>
        </w:rPr>
        <w:t>O</w:t>
      </w:r>
      <w:r w:rsidRPr="00180D37">
        <w:rPr>
          <w:rFonts w:ascii="Calibri" w:hAnsi="Calibri"/>
          <w:noProof/>
        </w:rPr>
        <w:t>ʼ</w:t>
      </w:r>
      <w:r w:rsidRPr="00180D37">
        <w:rPr>
          <w:noProof/>
        </w:rPr>
        <w:t xml:space="preserve">Connor PJ, Poudevigne MS, Johnson KE et al (2018) Effects of resistance training on fatigue-related domains of quality of life and mood during pregnancy. </w:t>
      </w:r>
      <w:r w:rsidRPr="00180D37">
        <w:rPr>
          <w:i/>
          <w:noProof/>
        </w:rPr>
        <w:t>Psychosomatic Medicine</w:t>
      </w:r>
      <w:r w:rsidRPr="00180D37">
        <w:rPr>
          <w:noProof/>
        </w:rPr>
        <w:t xml:space="preserve"> 80(3): 327-32.</w:t>
      </w:r>
    </w:p>
    <w:p w14:paraId="6802B751" w14:textId="77777777" w:rsidR="00AD7601" w:rsidRPr="00AD7601" w:rsidRDefault="00AD7601" w:rsidP="00AD7601">
      <w:pPr>
        <w:pStyle w:val="Excluded"/>
      </w:pPr>
      <w:r w:rsidRPr="00AD7601">
        <w:t>Owe KM, Bjelland EK, Stuge B et al. Exercise level before pregnancy and engaging in high-impact sports reduce the risk of pelvic girdle pain: a population-based cohort study of 39 184 women. Br J Sports Med. 2016; 50(13): 817-22.</w:t>
      </w:r>
    </w:p>
    <w:p w14:paraId="4B3F8D8B" w14:textId="77777777" w:rsidR="00AD7601" w:rsidRPr="00AD7601" w:rsidRDefault="00AD7601" w:rsidP="00AD7601">
      <w:pPr>
        <w:pStyle w:val="Excluded"/>
      </w:pPr>
      <w:r w:rsidRPr="00AD7601">
        <w:t>Ozdemir S, Bebis H, Ortabag T et al. Evaluation of the efficacy of an exercise program for pregnant women with low back and pelvic pain: a prospective randomized controlled trial. J Adv Nurs. 2015; 71(8): 1926-39.</w:t>
      </w:r>
    </w:p>
    <w:p w14:paraId="6025F5A5" w14:textId="77777777" w:rsidR="00AD7601" w:rsidRPr="00AD7601" w:rsidRDefault="00AD7601" w:rsidP="00AD7601">
      <w:pPr>
        <w:pStyle w:val="Excluded"/>
      </w:pPr>
      <w:r w:rsidRPr="00AD7601">
        <w:t>Peterson CD, Haas M, Gregory WT. A pilot randomized controlled trial comparing the efficacy of exercise, spinal manipulation, and neuro emotional technique for the treatment of pregnancy-related low back pain. Chiropr Man Therap. 2012; 20(1): 18.</w:t>
      </w:r>
    </w:p>
    <w:p w14:paraId="2B4DA737" w14:textId="77777777" w:rsidR="00AD7601" w:rsidRPr="00AD7601" w:rsidRDefault="00AD7601" w:rsidP="00AD7601">
      <w:pPr>
        <w:pStyle w:val="Excluded"/>
      </w:pPr>
      <w:r w:rsidRPr="00AD7601">
        <w:t>Poyatos-Leon R, Garcia-Hermoso A, Sanabria-Martinez G et al. Effects of exercise-based interventions on postpartum depression: A meta-analysis of randomized controlled trials. Birth. 2017; 44(3): 200-8.</w:t>
      </w:r>
    </w:p>
    <w:p w14:paraId="5D14AE83" w14:textId="77777777" w:rsidR="00AD7601" w:rsidRPr="00AD7601" w:rsidRDefault="00AD7601" w:rsidP="00AD7601">
      <w:pPr>
        <w:pStyle w:val="Excluded"/>
      </w:pPr>
      <w:r w:rsidRPr="00AD7601">
        <w:t>Prapavessis H, De Jesus S, Harper T et al. The effects of acute exercise on tobacco cravings and withdrawal symptoms in temporary abstinent pregnant smokers. Addict Behav. 2014; 39(3): 703-8.</w:t>
      </w:r>
    </w:p>
    <w:p w14:paraId="7D77C701" w14:textId="77777777" w:rsidR="00AD7601" w:rsidRPr="00AD7601" w:rsidRDefault="00AD7601" w:rsidP="00AD7601">
      <w:pPr>
        <w:pStyle w:val="Excluded"/>
      </w:pPr>
      <w:r w:rsidRPr="00AD7601">
        <w:t>Reilly ET, Freeman RM, Waterfield MR et al. Prevention of postpartum stress incontinence in primigravidae with increased bladder neck mobility: a randomised controlled trial of antenatal pelvic floor exercises. BJOG. 2002; 109(1): 68-76.</w:t>
      </w:r>
    </w:p>
    <w:p w14:paraId="771A7562" w14:textId="77777777" w:rsidR="00AD7601" w:rsidRPr="00AD7601" w:rsidRDefault="00AD7601" w:rsidP="00AD7601">
      <w:pPr>
        <w:pStyle w:val="Excluded"/>
      </w:pPr>
      <w:r w:rsidRPr="00AD7601">
        <w:t>Richards E, van Kessel G, Virgara R et al. Does antenatal physical therapy for pregnant women with low back pain or pelvic pain improve functional outcomes? A systematic review. Acta Obstet Gynecol Scand. 2012; 91(9): 1038-45.</w:t>
      </w:r>
    </w:p>
    <w:p w14:paraId="4D1632E7" w14:textId="77777777" w:rsidR="00AD7601" w:rsidRPr="00AD7601" w:rsidRDefault="00AD7601" w:rsidP="00AD7601">
      <w:pPr>
        <w:pStyle w:val="Excluded"/>
      </w:pPr>
      <w:r w:rsidRPr="00AD7601">
        <w:t>Scott KL &amp; Hellawell M. Effects of water-and land-based exercise programmes on women experiencing pregnancy-related pelvic girdle pain: a randomized controlled feasibility study. J Pelvic Obstet Gynaecol Physiother. 2018; 122: 21-29.</w:t>
      </w:r>
    </w:p>
    <w:p w14:paraId="67AB9CF6" w14:textId="77777777" w:rsidR="00AD7601" w:rsidRPr="00AD7601" w:rsidRDefault="00AD7601" w:rsidP="00AD7601">
      <w:pPr>
        <w:pStyle w:val="Excluded"/>
      </w:pPr>
      <w:r w:rsidRPr="00AD7601">
        <w:t>Shivakumar G. Exercise improves depressive symptoms during pregnancy. BJOG. 2015; 122(1): 63.</w:t>
      </w:r>
    </w:p>
    <w:p w14:paraId="3DB1696D" w14:textId="77777777" w:rsidR="00AD7601" w:rsidRPr="00AD7601" w:rsidRDefault="00AD7601" w:rsidP="00AD7601">
      <w:pPr>
        <w:pStyle w:val="Excluded"/>
      </w:pPr>
      <w:r w:rsidRPr="00AD7601">
        <w:t>Sklempe Kokic I, Ivanisevic M, Biolo G et al. Combination of a structured aerobic and resistance exercise improves glycaemic control in pregnant women diagnosed with gestational diabetes mellitus. A randomised controlled trial. Women Birth. 2018; 31(4): e232-e8.</w:t>
      </w:r>
    </w:p>
    <w:p w14:paraId="5A264F31" w14:textId="77777777" w:rsidR="00AD7601" w:rsidRPr="00AD7601" w:rsidRDefault="00AD7601" w:rsidP="00AD7601">
      <w:pPr>
        <w:pStyle w:val="Excluded"/>
      </w:pPr>
      <w:r w:rsidRPr="00AD7601">
        <w:t>Suputtitada A, Wacharapreechanont T, Chaisayan P. Effect of the ‘sitting pelvic tilt exercise’ during third trimester in primigravidas on back pain. J Med Assoc Thai. 2002; 85(Suppl 1): S170-79.</w:t>
      </w:r>
    </w:p>
    <w:p w14:paraId="0AB8E76A" w14:textId="77777777" w:rsidR="00AD7601" w:rsidRPr="00AD7601" w:rsidRDefault="00AD7601" w:rsidP="00AD7601">
      <w:pPr>
        <w:pStyle w:val="Excluded"/>
      </w:pPr>
      <w:r w:rsidRPr="00AD7601">
        <w:t>Yeo S, Steele NM, Chang MC et al. Effect of exercise on blood pressure in pregnant women with a high risk of gestational hypertensive disorders. J Reprod Med. 2000; 45(4): 293-8.</w:t>
      </w:r>
    </w:p>
    <w:p w14:paraId="72929476" w14:textId="77777777" w:rsidR="00AD7601" w:rsidRPr="00AD7601" w:rsidRDefault="00AD7601" w:rsidP="00AD7601">
      <w:pPr>
        <w:pStyle w:val="Excluded"/>
      </w:pPr>
      <w:r w:rsidRPr="00AD7601">
        <w:t>Youngwanichsetha S, Phumdoung S, Ingkathawornwong T. The effects of mindfulness eating and yoga exercise on blood sugar levels of pregnant women with gestational diabetes mellitus. Appl Nurs Res. 2014; 27(4): 227-30.</w:t>
      </w:r>
    </w:p>
    <w:p w14:paraId="28FBD969" w14:textId="77777777" w:rsidR="000A2412" w:rsidRDefault="000A2412" w:rsidP="000A2412">
      <w:pPr>
        <w:pStyle w:val="Heading4"/>
        <w:rPr>
          <w:lang w:val="en-AU"/>
        </w:rPr>
      </w:pPr>
      <w:r>
        <w:rPr>
          <w:lang w:val="en-AU"/>
        </w:rPr>
        <w:t>Wrong comparator</w:t>
      </w:r>
    </w:p>
    <w:p w14:paraId="60D05B06" w14:textId="77777777" w:rsidR="000A2412" w:rsidRPr="008B3ABF" w:rsidRDefault="000A2412" w:rsidP="000A2412">
      <w:pPr>
        <w:pStyle w:val="Excluded"/>
        <w:rPr>
          <w:noProof/>
        </w:rPr>
      </w:pPr>
      <w:r w:rsidRPr="008B3ABF">
        <w:rPr>
          <w:noProof/>
        </w:rPr>
        <w:t xml:space="preserve">Bell R, Palma S. Antenatal exercise and birthweight. </w:t>
      </w:r>
      <w:r w:rsidRPr="008B3ABF">
        <w:rPr>
          <w:i/>
          <w:noProof/>
        </w:rPr>
        <w:t>Aust N Z J Obstet Gynaecol</w:t>
      </w:r>
      <w:r w:rsidRPr="008B3ABF">
        <w:rPr>
          <w:noProof/>
        </w:rPr>
        <w:t>. 2000; 40(1): 70-3.</w:t>
      </w:r>
    </w:p>
    <w:p w14:paraId="3440D2C4" w14:textId="77777777" w:rsidR="000A2412" w:rsidRPr="008B3ABF" w:rsidRDefault="000A2412" w:rsidP="000A2412">
      <w:pPr>
        <w:pStyle w:val="Excluded"/>
        <w:rPr>
          <w:noProof/>
        </w:rPr>
      </w:pPr>
      <w:r w:rsidRPr="008B3ABF">
        <w:rPr>
          <w:noProof/>
        </w:rPr>
        <w:t xml:space="preserve">Daley A, Riaz M, Lewis S et al. Physical activity for antenatal and postnatal depression in women attempting to quit smoking: randomised controlled trial. </w:t>
      </w:r>
      <w:r w:rsidRPr="008B3ABF">
        <w:rPr>
          <w:i/>
          <w:noProof/>
        </w:rPr>
        <w:t>BMC Pregnancy and Childbirth</w:t>
      </w:r>
      <w:r w:rsidRPr="008B3ABF">
        <w:rPr>
          <w:noProof/>
        </w:rPr>
        <w:t>. 2018; 18(1).</w:t>
      </w:r>
    </w:p>
    <w:p w14:paraId="35E27E06" w14:textId="77777777" w:rsidR="000A2412" w:rsidRPr="008B3ABF" w:rsidRDefault="000A2412" w:rsidP="000A2412">
      <w:pPr>
        <w:pStyle w:val="Excluded"/>
        <w:rPr>
          <w:noProof/>
        </w:rPr>
      </w:pPr>
      <w:r w:rsidRPr="008B3ABF">
        <w:rPr>
          <w:noProof/>
        </w:rPr>
        <w:t xml:space="preserve">Dias NT, Ferreira LR, Fernandes MG et al. A Pilates exercise program with pelvic floor muscle contraction: Is it effective for pregnant women? A randomized controlled trial. </w:t>
      </w:r>
      <w:r w:rsidRPr="008B3ABF">
        <w:rPr>
          <w:i/>
          <w:noProof/>
        </w:rPr>
        <w:t>Neurourol Urodyn</w:t>
      </w:r>
      <w:r w:rsidRPr="008B3ABF">
        <w:rPr>
          <w:noProof/>
        </w:rPr>
        <w:t>. 2018; 37(1): 379-84.</w:t>
      </w:r>
    </w:p>
    <w:p w14:paraId="4D097755" w14:textId="77777777" w:rsidR="000A2412" w:rsidRPr="008B3ABF" w:rsidRDefault="000A2412" w:rsidP="000A2412">
      <w:pPr>
        <w:pStyle w:val="Excluded"/>
        <w:rPr>
          <w:noProof/>
        </w:rPr>
      </w:pPr>
      <w:r w:rsidRPr="008B3ABF">
        <w:rPr>
          <w:noProof/>
        </w:rPr>
        <w:t xml:space="preserve">Fritel X, de Tayrac R, Bader G et al. Preventing Urinary Incontinence With Supervised Prenatal Pelvic Floor Exercises: A Randomized Controlled Trial. </w:t>
      </w:r>
      <w:r w:rsidRPr="008B3ABF">
        <w:rPr>
          <w:i/>
          <w:noProof/>
        </w:rPr>
        <w:t>Obstet Gynecol</w:t>
      </w:r>
      <w:r w:rsidRPr="008B3ABF">
        <w:rPr>
          <w:noProof/>
        </w:rPr>
        <w:t>. 2015; 126(2): 370-7.</w:t>
      </w:r>
    </w:p>
    <w:p w14:paraId="7F33D8D5" w14:textId="77777777" w:rsidR="000A2412" w:rsidRPr="008B3ABF" w:rsidRDefault="000A2412" w:rsidP="000A2412">
      <w:pPr>
        <w:pStyle w:val="Excluded"/>
        <w:rPr>
          <w:noProof/>
        </w:rPr>
      </w:pPr>
      <w:r w:rsidRPr="008B3ABF">
        <w:rPr>
          <w:noProof/>
        </w:rPr>
        <w:t xml:space="preserve">Granath AB, Hellgren MS, Gunnarsson RK. Water aerobics reduces sick leave due to low back pain during pregnancy. </w:t>
      </w:r>
      <w:r w:rsidRPr="008B3ABF">
        <w:rPr>
          <w:i/>
          <w:noProof/>
        </w:rPr>
        <w:t>J Obstet Gynecol Neonatal Nurs</w:t>
      </w:r>
      <w:r w:rsidRPr="008B3ABF">
        <w:rPr>
          <w:noProof/>
        </w:rPr>
        <w:t>. 2006; 35(4): 465-71.</w:t>
      </w:r>
    </w:p>
    <w:p w14:paraId="0312653C" w14:textId="77777777" w:rsidR="000A2412" w:rsidRPr="008B3ABF" w:rsidRDefault="000A2412" w:rsidP="000A2412">
      <w:pPr>
        <w:pStyle w:val="Excluded"/>
        <w:rPr>
          <w:noProof/>
        </w:rPr>
      </w:pPr>
      <w:r w:rsidRPr="008B3ABF">
        <w:rPr>
          <w:noProof/>
        </w:rPr>
        <w:t xml:space="preserve">McDonald SM, Yeo S, Liu J et al. Associations between maternal physical activity and fitness during pregnancy and infant birthweight. </w:t>
      </w:r>
      <w:r w:rsidRPr="008B3ABF">
        <w:rPr>
          <w:i/>
          <w:noProof/>
        </w:rPr>
        <w:t>Prev Med Rep</w:t>
      </w:r>
      <w:r w:rsidRPr="008B3ABF">
        <w:rPr>
          <w:noProof/>
        </w:rPr>
        <w:t>. 2018; 11: 1-6.</w:t>
      </w:r>
    </w:p>
    <w:p w14:paraId="51A38B90" w14:textId="77777777" w:rsidR="001E11FB" w:rsidRPr="00180D37" w:rsidRDefault="001E11FB" w:rsidP="001E11FB">
      <w:pPr>
        <w:pStyle w:val="Excluded"/>
        <w:rPr>
          <w:noProof/>
        </w:rPr>
      </w:pPr>
      <w:r w:rsidRPr="00180D37">
        <w:rPr>
          <w:noProof/>
        </w:rPr>
        <w:t xml:space="preserve">Nagpal TS, Prapavessis H, Campbell CG et al (2020) Sequential introduction of exercise first followed by nutrition improves program adherence during pregnancy: a randomized controlled trial. </w:t>
      </w:r>
      <w:r w:rsidRPr="00180D37">
        <w:rPr>
          <w:i/>
          <w:noProof/>
        </w:rPr>
        <w:t>Int J Behav Med</w:t>
      </w:r>
      <w:r w:rsidRPr="00180D37">
        <w:rPr>
          <w:noProof/>
        </w:rPr>
        <w:t xml:space="preserve"> 27(1): 108-18.</w:t>
      </w:r>
    </w:p>
    <w:p w14:paraId="73C25A07" w14:textId="77777777" w:rsidR="000A2412" w:rsidRPr="008B3ABF" w:rsidRDefault="000A2412" w:rsidP="000A2412">
      <w:pPr>
        <w:pStyle w:val="Excluded"/>
        <w:rPr>
          <w:noProof/>
        </w:rPr>
      </w:pPr>
      <w:r w:rsidRPr="008B3ABF">
        <w:rPr>
          <w:noProof/>
        </w:rPr>
        <w:t xml:space="preserve">Nobles C, Marcus BH, Stanek EJ, 3rd et al. The effect of an exercise intervention on gestational weight gain: The Behaviors Affecting Baby and You (B.A.B.Y.) study: A randomized controlled trial. </w:t>
      </w:r>
      <w:r w:rsidRPr="008B3ABF">
        <w:rPr>
          <w:i/>
          <w:noProof/>
        </w:rPr>
        <w:t>Am J Health Promot</w:t>
      </w:r>
      <w:r w:rsidRPr="008B3ABF">
        <w:rPr>
          <w:noProof/>
        </w:rPr>
        <w:t>. 2018; 32(3): 736-44.</w:t>
      </w:r>
    </w:p>
    <w:p w14:paraId="0204B755" w14:textId="77777777" w:rsidR="000A2412" w:rsidRPr="00C729C7" w:rsidRDefault="000A2412" w:rsidP="000A2412">
      <w:pPr>
        <w:pStyle w:val="Excluded"/>
        <w:rPr>
          <w:noProof/>
        </w:rPr>
      </w:pPr>
      <w:r w:rsidRPr="00C729C7">
        <w:rPr>
          <w:noProof/>
        </w:rPr>
        <w:t xml:space="preserve">Nobles C, Marcus BH, Stanek EJ, 3rd et al. Effect of an exercise intervention on gestational diabetes mellitus: a randomized controlled trial. </w:t>
      </w:r>
      <w:r w:rsidRPr="00C729C7">
        <w:rPr>
          <w:i/>
          <w:noProof/>
        </w:rPr>
        <w:t>Obstet Gynecol</w:t>
      </w:r>
      <w:r w:rsidRPr="00C729C7">
        <w:rPr>
          <w:noProof/>
        </w:rPr>
        <w:t>. 2015; 125(5): 1195-204.</w:t>
      </w:r>
    </w:p>
    <w:p w14:paraId="09F9FAF1" w14:textId="77777777" w:rsidR="000A2412" w:rsidRPr="008B3ABF" w:rsidRDefault="000A2412" w:rsidP="000A2412">
      <w:pPr>
        <w:pStyle w:val="Excluded"/>
        <w:rPr>
          <w:noProof/>
        </w:rPr>
      </w:pPr>
      <w:r w:rsidRPr="008B3ABF">
        <w:rPr>
          <w:noProof/>
        </w:rPr>
        <w:t xml:space="preserve">Rakhshani A, Nagarathna R, Mhaskar R et al. The effects of yoga in prevention of pregnancy complications in high-risk pregnancies: a randomized controlled trial. </w:t>
      </w:r>
      <w:r w:rsidRPr="008B3ABF">
        <w:rPr>
          <w:i/>
          <w:noProof/>
        </w:rPr>
        <w:t>Prev Med</w:t>
      </w:r>
      <w:r w:rsidRPr="008B3ABF">
        <w:rPr>
          <w:noProof/>
        </w:rPr>
        <w:t>. 2012; 55(4): 333-40.</w:t>
      </w:r>
    </w:p>
    <w:p w14:paraId="561CB8D5" w14:textId="77777777" w:rsidR="000A2412" w:rsidRPr="008B3ABF" w:rsidRDefault="000A2412" w:rsidP="000A2412">
      <w:pPr>
        <w:pStyle w:val="Excluded"/>
        <w:rPr>
          <w:noProof/>
        </w:rPr>
      </w:pPr>
      <w:r w:rsidRPr="008B3ABF">
        <w:rPr>
          <w:noProof/>
        </w:rPr>
        <w:t xml:space="preserve">Satyapriya M, Nagarathna R, Padmalatha V et al. Effect of integrated yoga on anxiety, depression &amp; well being in normal pregnancy. </w:t>
      </w:r>
      <w:r w:rsidRPr="008B3ABF">
        <w:rPr>
          <w:i/>
          <w:noProof/>
        </w:rPr>
        <w:t>Complement Ther Clin Pract</w:t>
      </w:r>
      <w:r w:rsidRPr="008B3ABF">
        <w:rPr>
          <w:noProof/>
        </w:rPr>
        <w:t>. 2013; 19(4): 230-6.</w:t>
      </w:r>
    </w:p>
    <w:p w14:paraId="26EBA694" w14:textId="77777777" w:rsidR="000A2412" w:rsidRPr="008B3ABF" w:rsidRDefault="000A2412" w:rsidP="000A2412">
      <w:pPr>
        <w:pStyle w:val="Excluded"/>
        <w:rPr>
          <w:noProof/>
        </w:rPr>
      </w:pPr>
      <w:r w:rsidRPr="008B3ABF">
        <w:rPr>
          <w:noProof/>
        </w:rPr>
        <w:t xml:space="preserve">Yeo S. Adherence to walking or stretching, and risk of preeclampsia in sedentary pregnant women. </w:t>
      </w:r>
      <w:r w:rsidRPr="008B3ABF">
        <w:rPr>
          <w:i/>
          <w:noProof/>
        </w:rPr>
        <w:t>Res Nurs Health</w:t>
      </w:r>
      <w:r w:rsidRPr="008B3ABF">
        <w:rPr>
          <w:noProof/>
        </w:rPr>
        <w:t>. 2009; 32(4): 379-90.</w:t>
      </w:r>
    </w:p>
    <w:p w14:paraId="396232D7" w14:textId="77777777" w:rsidR="000A2412" w:rsidRPr="008B3ABF" w:rsidRDefault="000A2412" w:rsidP="000A2412">
      <w:pPr>
        <w:pStyle w:val="Excluded"/>
        <w:rPr>
          <w:noProof/>
        </w:rPr>
      </w:pPr>
      <w:r w:rsidRPr="008B3ABF">
        <w:rPr>
          <w:noProof/>
        </w:rPr>
        <w:t xml:space="preserve">Yeo S. Prenatal stretching exercise and autonomic responses: preliminary data and a model for reducing preeclampsia. </w:t>
      </w:r>
      <w:r w:rsidRPr="008B3ABF">
        <w:rPr>
          <w:i/>
          <w:noProof/>
        </w:rPr>
        <w:t>J Nurs Scholarsh</w:t>
      </w:r>
      <w:r w:rsidRPr="008B3ABF">
        <w:rPr>
          <w:noProof/>
        </w:rPr>
        <w:t>. 2010; 42(2): 113-21.</w:t>
      </w:r>
    </w:p>
    <w:p w14:paraId="074528FE" w14:textId="77777777" w:rsidR="000A2412" w:rsidRPr="008B3ABF" w:rsidRDefault="000A2412" w:rsidP="000A2412">
      <w:pPr>
        <w:pStyle w:val="Excluded"/>
        <w:rPr>
          <w:noProof/>
        </w:rPr>
      </w:pPr>
      <w:r w:rsidRPr="008B3ABF">
        <w:rPr>
          <w:noProof/>
        </w:rPr>
        <w:t xml:space="preserve">Yeo S, Davidge S, Ronis DL et al. A comparison of walking versus stretching exercises to reduce the incidence of preeclampsia: a randomized clinical trial. </w:t>
      </w:r>
      <w:r w:rsidRPr="008B3ABF">
        <w:rPr>
          <w:i/>
          <w:noProof/>
        </w:rPr>
        <w:t>Hypertens Pregnancy</w:t>
      </w:r>
      <w:r w:rsidRPr="008B3ABF">
        <w:rPr>
          <w:noProof/>
        </w:rPr>
        <w:t>. 2008; 27(2): 113-30.</w:t>
      </w:r>
    </w:p>
    <w:p w14:paraId="0342454F" w14:textId="77777777" w:rsidR="000A2412" w:rsidRDefault="000A2412" w:rsidP="000A2412">
      <w:pPr>
        <w:pStyle w:val="Heading4"/>
        <w:rPr>
          <w:lang w:val="en-AU"/>
        </w:rPr>
      </w:pPr>
      <w:r>
        <w:rPr>
          <w:lang w:val="en-AU"/>
        </w:rPr>
        <w:t>SLR with all studies included in another SLR</w:t>
      </w:r>
    </w:p>
    <w:p w14:paraId="2069A18C" w14:textId="77777777" w:rsidR="000A2412" w:rsidRPr="00017A05" w:rsidRDefault="000A2412" w:rsidP="000A2412">
      <w:pPr>
        <w:pStyle w:val="Excluded"/>
      </w:pPr>
      <w:r w:rsidRPr="00017A05">
        <w:t xml:space="preserve">Sanabria-Martinez G, Garcia-Hermoso A, Poyatos-Leon R et al. Effects of Exercise-Based Interventions on Neonatal Outcomes: A Meta-Analysis of Randomized Controlled Trials. </w:t>
      </w:r>
      <w:r w:rsidRPr="00017A05">
        <w:rPr>
          <w:i/>
        </w:rPr>
        <w:t>Am J Health Promot</w:t>
      </w:r>
      <w:r w:rsidRPr="00017A05">
        <w:t>. 2016; 30(4): 214-23.</w:t>
      </w:r>
    </w:p>
    <w:p w14:paraId="0F673408" w14:textId="77777777" w:rsidR="000A2412" w:rsidRPr="00017A05" w:rsidRDefault="000A2412" w:rsidP="000A2412">
      <w:pPr>
        <w:pStyle w:val="Excluded"/>
      </w:pPr>
      <w:r w:rsidRPr="00017A05">
        <w:t xml:space="preserve">Yu Y, Xie R, Shen C et al. Effect of exercise during pregnancy to prevent gestational diabetes mellitus: a systematic review and meta-analysis. </w:t>
      </w:r>
      <w:r w:rsidRPr="00017A05">
        <w:rPr>
          <w:i/>
        </w:rPr>
        <w:t>J Matern Fetal Neonatal Med</w:t>
      </w:r>
      <w:r w:rsidRPr="00017A05">
        <w:t>. 2018; 31(12): 1632-7.</w:t>
      </w:r>
    </w:p>
    <w:p w14:paraId="42E1AE6A" w14:textId="77777777" w:rsidR="007B1887" w:rsidRDefault="007B1887" w:rsidP="007B1887">
      <w:pPr>
        <w:pStyle w:val="Heading4"/>
        <w:rPr>
          <w:lang w:val="en-AU"/>
        </w:rPr>
      </w:pPr>
      <w:r>
        <w:rPr>
          <w:lang w:val="en-AU"/>
        </w:rPr>
        <w:t>Systematic review with studies included individually</w:t>
      </w:r>
    </w:p>
    <w:p w14:paraId="66ECDE6A" w14:textId="77777777" w:rsidR="007B1887" w:rsidRPr="00AF03AD" w:rsidRDefault="007B1887" w:rsidP="007B1887">
      <w:pPr>
        <w:pStyle w:val="Excluded"/>
        <w:rPr>
          <w:noProof/>
        </w:rPr>
      </w:pPr>
      <w:r w:rsidRPr="00AF03AD">
        <w:rPr>
          <w:noProof/>
        </w:rPr>
        <w:t xml:space="preserve">Dalrymple KV, Flynn AC, Relph SA et al (2018) Lifestyle interventions in overweight and obese pregnant or postpartum women for postpartum weight management: a systematic review of the literature. </w:t>
      </w:r>
      <w:r w:rsidRPr="00AF03AD">
        <w:rPr>
          <w:i/>
          <w:noProof/>
        </w:rPr>
        <w:t>Nutrients</w:t>
      </w:r>
      <w:r w:rsidRPr="00AF03AD">
        <w:rPr>
          <w:noProof/>
        </w:rPr>
        <w:t xml:space="preserve"> 10(11).</w:t>
      </w:r>
    </w:p>
    <w:p w14:paraId="281D7468" w14:textId="77777777" w:rsidR="007B1887" w:rsidRPr="00AF03AD" w:rsidRDefault="007B1887" w:rsidP="007B1887">
      <w:pPr>
        <w:pStyle w:val="Excluded"/>
        <w:rPr>
          <w:noProof/>
        </w:rPr>
      </w:pPr>
      <w:r w:rsidRPr="00AF03AD">
        <w:rPr>
          <w:noProof/>
        </w:rPr>
        <w:t xml:space="preserve">Du MC, Ouyang YQ, Nie XF et al (2019) Effects of physical exercise during pregnancy on maternal and infant outcomes in overweight and obese pregnant women: A meta-analysis. </w:t>
      </w:r>
      <w:r w:rsidRPr="00AF03AD">
        <w:rPr>
          <w:i/>
          <w:noProof/>
        </w:rPr>
        <w:t>Birth</w:t>
      </w:r>
      <w:r w:rsidRPr="00AF03AD">
        <w:rPr>
          <w:noProof/>
        </w:rPr>
        <w:t xml:space="preserve"> 46(2): 211-21.</w:t>
      </w:r>
    </w:p>
    <w:p w14:paraId="0D0782D7" w14:textId="77777777" w:rsidR="007B1887" w:rsidRPr="00AF03AD" w:rsidRDefault="007B1887" w:rsidP="007B1887">
      <w:pPr>
        <w:pStyle w:val="Excluded"/>
        <w:rPr>
          <w:noProof/>
        </w:rPr>
      </w:pPr>
      <w:r w:rsidRPr="00AF03AD">
        <w:rPr>
          <w:noProof/>
        </w:rPr>
        <w:t xml:space="preserve">Grobler L, Visser M, Siegfried N (2019) Healthy Life Trajectories Initiative: Summary of the evidence base for pregnancy-related interventions to prevent overweight and obesity in children. </w:t>
      </w:r>
      <w:r w:rsidRPr="00AF03AD">
        <w:rPr>
          <w:i/>
          <w:noProof/>
        </w:rPr>
        <w:t>Obes Rev</w:t>
      </w:r>
      <w:r w:rsidRPr="00AF03AD">
        <w:rPr>
          <w:noProof/>
        </w:rPr>
        <w:t xml:space="preserve"> 20 Suppl 1: 18-30.</w:t>
      </w:r>
    </w:p>
    <w:p w14:paraId="0543DBEB" w14:textId="77777777" w:rsidR="000A2412" w:rsidRDefault="000A2412" w:rsidP="000A2412">
      <w:pPr>
        <w:pStyle w:val="Heading4"/>
      </w:pPr>
      <w:r>
        <w:t>Included in systematic review (questions 5 and 6)</w:t>
      </w:r>
    </w:p>
    <w:p w14:paraId="17588504" w14:textId="77777777" w:rsidR="000A2412" w:rsidRPr="007414DB" w:rsidRDefault="000A2412" w:rsidP="000A2412">
      <w:pPr>
        <w:pStyle w:val="Excluded"/>
        <w:rPr>
          <w:noProof/>
        </w:rPr>
      </w:pPr>
      <w:r w:rsidRPr="007414DB">
        <w:rPr>
          <w:noProof/>
        </w:rPr>
        <w:t xml:space="preserve">Bo K, Haakstad LA. Is pelvic floor muscle training effective when taught in a general fitness class in pregnancy? A randomised controlled trial. </w:t>
      </w:r>
      <w:r w:rsidRPr="007414DB">
        <w:rPr>
          <w:i/>
          <w:noProof/>
        </w:rPr>
        <w:t>Physiotherapy</w:t>
      </w:r>
      <w:r w:rsidRPr="007414DB">
        <w:rPr>
          <w:noProof/>
        </w:rPr>
        <w:t>. 2011; 97(3): 190-5.</w:t>
      </w:r>
    </w:p>
    <w:p w14:paraId="39F3983C" w14:textId="77777777" w:rsidR="000A2412" w:rsidRPr="007414DB" w:rsidRDefault="000A2412" w:rsidP="000A2412">
      <w:pPr>
        <w:pStyle w:val="Excluded"/>
        <w:rPr>
          <w:noProof/>
        </w:rPr>
      </w:pPr>
      <w:r w:rsidRPr="007414DB">
        <w:rPr>
          <w:noProof/>
        </w:rPr>
        <w:t xml:space="preserve">Domingues MR, Matijasevich A, Barros AJ et al. Physical activity during pregnancy and offspring neurodevelopment and IQ in the first 4 years of life. </w:t>
      </w:r>
      <w:r w:rsidRPr="007414DB">
        <w:rPr>
          <w:i/>
          <w:noProof/>
        </w:rPr>
        <w:t>PLoS One</w:t>
      </w:r>
      <w:r w:rsidRPr="007414DB">
        <w:rPr>
          <w:noProof/>
        </w:rPr>
        <w:t>. 2014; 9(10): e110050.</w:t>
      </w:r>
    </w:p>
    <w:p w14:paraId="51240EF6" w14:textId="77777777" w:rsidR="000A2412" w:rsidRPr="007414DB" w:rsidRDefault="000A2412" w:rsidP="000A2412">
      <w:pPr>
        <w:pStyle w:val="Excluded"/>
        <w:rPr>
          <w:noProof/>
        </w:rPr>
      </w:pPr>
      <w:r w:rsidRPr="007414DB">
        <w:rPr>
          <w:noProof/>
        </w:rPr>
        <w:t xml:space="preserve">Eggen MH, Stuge B, Mowinckel P et al. Can supervised group exercises including ergonomic advice reduce the prevalence and severity of low back pain and pelvic girdle pain in pregnancy? A randomized controlled trial. </w:t>
      </w:r>
      <w:r w:rsidRPr="007414DB">
        <w:rPr>
          <w:i/>
          <w:noProof/>
        </w:rPr>
        <w:t>Phys Ther</w:t>
      </w:r>
      <w:r w:rsidRPr="007414DB">
        <w:rPr>
          <w:noProof/>
        </w:rPr>
        <w:t>. 2012; 92(6): 781-90.</w:t>
      </w:r>
    </w:p>
    <w:p w14:paraId="6F5ED30C" w14:textId="77777777" w:rsidR="000A2412" w:rsidRPr="007414DB" w:rsidRDefault="000A2412" w:rsidP="000A2412">
      <w:pPr>
        <w:pStyle w:val="Excluded"/>
        <w:rPr>
          <w:noProof/>
        </w:rPr>
      </w:pPr>
      <w:r w:rsidRPr="007414DB">
        <w:rPr>
          <w:noProof/>
        </w:rPr>
        <w:t xml:space="preserve">Haakstad LA, Bo K. Effect of a regular exercise programme on pelvic girdle and low back pain in previously inactive pregnant women: A randomized controlled trial. </w:t>
      </w:r>
      <w:r w:rsidRPr="007414DB">
        <w:rPr>
          <w:i/>
          <w:noProof/>
        </w:rPr>
        <w:t>J Rehabil Med</w:t>
      </w:r>
      <w:r w:rsidRPr="007414DB">
        <w:rPr>
          <w:noProof/>
        </w:rPr>
        <w:t>. 2015; 47(3): 229-34.</w:t>
      </w:r>
    </w:p>
    <w:p w14:paraId="23D371D7" w14:textId="77777777" w:rsidR="000A2412" w:rsidRPr="007414DB" w:rsidRDefault="000A2412" w:rsidP="000A2412">
      <w:pPr>
        <w:pStyle w:val="Excluded"/>
        <w:rPr>
          <w:noProof/>
        </w:rPr>
      </w:pPr>
      <w:r w:rsidRPr="007414DB">
        <w:rPr>
          <w:noProof/>
        </w:rPr>
        <w:t xml:space="preserve">Harvey M-A. Pelvic floor exercises during and after pregnancy: A systematic review of their role in preventing pelvic floor dysfunction. </w:t>
      </w:r>
      <w:r w:rsidRPr="007414DB">
        <w:rPr>
          <w:i/>
          <w:noProof/>
        </w:rPr>
        <w:t>Journal of Obstetrics and Gynaecology Canada</w:t>
      </w:r>
      <w:r w:rsidRPr="007414DB">
        <w:rPr>
          <w:noProof/>
        </w:rPr>
        <w:t>. 2003; 25(6): 487-98.</w:t>
      </w:r>
    </w:p>
    <w:p w14:paraId="01C30FF7" w14:textId="77777777" w:rsidR="000A2412" w:rsidRPr="007414DB" w:rsidRDefault="000A2412" w:rsidP="000A2412">
      <w:pPr>
        <w:pStyle w:val="Excluded"/>
        <w:rPr>
          <w:noProof/>
        </w:rPr>
      </w:pPr>
      <w:r w:rsidRPr="007414DB">
        <w:rPr>
          <w:noProof/>
        </w:rPr>
        <w:t xml:space="preserve">Ko PC, Liang CC, Chang SD et al. A randomized controlled trial of antenatal pelvic floor exercises to prevent and treat urinary incontinence. </w:t>
      </w:r>
      <w:r w:rsidRPr="007414DB">
        <w:rPr>
          <w:i/>
          <w:noProof/>
        </w:rPr>
        <w:t>Int Urogynecol J</w:t>
      </w:r>
      <w:r w:rsidRPr="007414DB">
        <w:rPr>
          <w:noProof/>
        </w:rPr>
        <w:t>. 2011; 22(1): 17-22.</w:t>
      </w:r>
    </w:p>
    <w:p w14:paraId="33481574" w14:textId="77777777" w:rsidR="000A2412" w:rsidRPr="007414DB" w:rsidRDefault="000A2412" w:rsidP="000A2412">
      <w:pPr>
        <w:pStyle w:val="Excluded"/>
        <w:rPr>
          <w:noProof/>
        </w:rPr>
      </w:pPr>
      <w:r w:rsidRPr="007414DB">
        <w:rPr>
          <w:noProof/>
        </w:rPr>
        <w:t xml:space="preserve">Mason L, Roe B, Wong H et al. The role of antenatal pelvic floor muscle exercises in prevention of postpartum stress incontinence: a randomised controlled trial. </w:t>
      </w:r>
      <w:r w:rsidRPr="007414DB">
        <w:rPr>
          <w:i/>
          <w:noProof/>
        </w:rPr>
        <w:t>J Clin Nurs</w:t>
      </w:r>
      <w:r w:rsidRPr="007414DB">
        <w:rPr>
          <w:noProof/>
        </w:rPr>
        <w:t>. 2010; 19(19-20): 2777-86.</w:t>
      </w:r>
    </w:p>
    <w:p w14:paraId="6F6BC8C0" w14:textId="77777777" w:rsidR="000A2412" w:rsidRPr="007414DB" w:rsidRDefault="000A2412" w:rsidP="000A2412">
      <w:pPr>
        <w:pStyle w:val="Excluded"/>
        <w:rPr>
          <w:noProof/>
        </w:rPr>
      </w:pPr>
      <w:r w:rsidRPr="007414DB">
        <w:rPr>
          <w:noProof/>
        </w:rPr>
        <w:t xml:space="preserve">Morkved S, Salvesen KA, Schei B et al. Does group training during pregnancy prevent lumbopelvic pain? A randomized clinical trial. </w:t>
      </w:r>
      <w:r w:rsidRPr="007414DB">
        <w:rPr>
          <w:i/>
          <w:noProof/>
        </w:rPr>
        <w:t>Acta Obstet Gynecol Scand</w:t>
      </w:r>
      <w:r w:rsidRPr="007414DB">
        <w:rPr>
          <w:noProof/>
        </w:rPr>
        <w:t>. 2007; 86(3): 276-82.</w:t>
      </w:r>
    </w:p>
    <w:p w14:paraId="150154C8" w14:textId="77777777" w:rsidR="000A2412" w:rsidRPr="007414DB" w:rsidRDefault="000A2412" w:rsidP="000A2412">
      <w:pPr>
        <w:pStyle w:val="Excluded"/>
        <w:rPr>
          <w:noProof/>
        </w:rPr>
      </w:pPr>
      <w:r w:rsidRPr="007414DB">
        <w:rPr>
          <w:noProof/>
        </w:rPr>
        <w:t xml:space="preserve">Stafne SN, Salvesen KA, Romundstad PR et al. Does regular exercise during pregnancy influence lumbopelvic pain? A randomized controlled trial. </w:t>
      </w:r>
      <w:r w:rsidRPr="007414DB">
        <w:rPr>
          <w:i/>
          <w:noProof/>
        </w:rPr>
        <w:t>Acta Obstet Gynecol Scand</w:t>
      </w:r>
      <w:r w:rsidRPr="007414DB">
        <w:rPr>
          <w:noProof/>
        </w:rPr>
        <w:t>. 2012; 91(5): 552-9.</w:t>
      </w:r>
    </w:p>
    <w:p w14:paraId="6F1E26D7" w14:textId="77777777" w:rsidR="000A2412" w:rsidRPr="007414DB" w:rsidRDefault="000A2412" w:rsidP="000A2412">
      <w:pPr>
        <w:pStyle w:val="Excluded"/>
        <w:rPr>
          <w:noProof/>
        </w:rPr>
      </w:pPr>
      <w:r w:rsidRPr="007414DB">
        <w:rPr>
          <w:noProof/>
        </w:rPr>
        <w:t xml:space="preserve">Stafne SN, Salvesen KA, Romundstad PR et al. Does regular exercise including pelvic floor muscle training prevent urinary and anal incontinence during pregnancy? A randomised controlled trial. </w:t>
      </w:r>
      <w:r w:rsidRPr="007414DB">
        <w:rPr>
          <w:i/>
          <w:noProof/>
        </w:rPr>
        <w:t>BJOG</w:t>
      </w:r>
      <w:r w:rsidRPr="007414DB">
        <w:rPr>
          <w:noProof/>
        </w:rPr>
        <w:t>. 2012; 119(10): 1270-80.</w:t>
      </w:r>
    </w:p>
    <w:p w14:paraId="72C4EA0F" w14:textId="77777777" w:rsidR="000A2412" w:rsidRPr="007414DB" w:rsidRDefault="000A2412" w:rsidP="000A2412">
      <w:pPr>
        <w:pStyle w:val="Excluded"/>
        <w:rPr>
          <w:noProof/>
        </w:rPr>
      </w:pPr>
      <w:r w:rsidRPr="007414DB">
        <w:rPr>
          <w:noProof/>
        </w:rPr>
        <w:t xml:space="preserve">Zhang Q, Backhausen MG, Tabor A et al. The effects of an unsupervised water exercise program on low back pain and sick leave among healthy pregnant women – A randomised controlled trial. </w:t>
      </w:r>
      <w:r w:rsidRPr="007414DB">
        <w:rPr>
          <w:i/>
          <w:noProof/>
        </w:rPr>
        <w:t>Plos One</w:t>
      </w:r>
      <w:r w:rsidRPr="007414DB">
        <w:rPr>
          <w:noProof/>
        </w:rPr>
        <w:t>. 2017; 12(9).</w:t>
      </w:r>
    </w:p>
    <w:p w14:paraId="07542748" w14:textId="77777777" w:rsidR="000A2412" w:rsidRDefault="000A2412" w:rsidP="000A2412">
      <w:pPr>
        <w:pStyle w:val="Heading4"/>
      </w:pPr>
      <w:r>
        <w:t>Does not answer research question</w:t>
      </w:r>
    </w:p>
    <w:p w14:paraId="0CC0165C" w14:textId="77777777" w:rsidR="007B1887" w:rsidRPr="00AD7601" w:rsidRDefault="007B1887" w:rsidP="00AD7601">
      <w:pPr>
        <w:pStyle w:val="Excluded"/>
      </w:pPr>
      <w:r w:rsidRPr="00AD7601">
        <w:t>Alhusen JL, Ayres L, DePriest K. Effects of maternal mental health on engagement in favorable health practices during pregnancy. J Midwifery &amp; Women's Health. 2016; 61(2): 210-6.</w:t>
      </w:r>
    </w:p>
    <w:p w14:paraId="40266FA9" w14:textId="77777777" w:rsidR="007B1887" w:rsidRPr="00AD7601" w:rsidRDefault="007B1887" w:rsidP="00AD7601">
      <w:pPr>
        <w:pStyle w:val="Excluded"/>
      </w:pPr>
      <w:r w:rsidRPr="00AD7601">
        <w:t>Bacchi E, Bonin C, Zanolin ME et al. Physical activity patterns in normal-weight and overweight/obese pregnant women. PLoS One. 2016; 11(11): e0166254.</w:t>
      </w:r>
    </w:p>
    <w:p w14:paraId="1D966EA1" w14:textId="77777777" w:rsidR="007B1887" w:rsidRPr="00AF03AD" w:rsidRDefault="007B1887" w:rsidP="007B1887">
      <w:pPr>
        <w:pStyle w:val="Excluded"/>
        <w:rPr>
          <w:noProof/>
        </w:rPr>
      </w:pPr>
      <w:r w:rsidRPr="00AF03AD">
        <w:rPr>
          <w:noProof/>
        </w:rPr>
        <w:t xml:space="preserve">Baena-Garcia L, Coll-Risco I, Ocon-Hernandez O et al (2020) Association of objectively measured physical fitness during pregnancy with maternal and neonatal outcomes. The GESTAFIT Project. </w:t>
      </w:r>
      <w:r w:rsidRPr="00AF03AD">
        <w:rPr>
          <w:i/>
          <w:noProof/>
        </w:rPr>
        <w:t>PLoS One</w:t>
      </w:r>
      <w:r w:rsidRPr="00AF03AD">
        <w:rPr>
          <w:noProof/>
        </w:rPr>
        <w:t xml:space="preserve"> 15(2): e0229079.</w:t>
      </w:r>
    </w:p>
    <w:p w14:paraId="2F1ECDDD" w14:textId="77777777" w:rsidR="007B1887" w:rsidRPr="00AD7601" w:rsidRDefault="007B1887" w:rsidP="00AD7601">
      <w:pPr>
        <w:pStyle w:val="Excluded"/>
      </w:pPr>
      <w:r w:rsidRPr="00AD7601">
        <w:t>Bo K, Artal R, Barakat R et al. Exercise and pregnancy in recreational and elite athletes: 2016/17 evidence summary from the IOC expert group meeting, Lausanne. Part 4-Recommendations for future research. Br J Sports Med. 2017; 51(24): 1724-6.</w:t>
      </w:r>
    </w:p>
    <w:p w14:paraId="4BCC53AD" w14:textId="77777777" w:rsidR="007B1887" w:rsidRPr="00AD7601" w:rsidRDefault="007B1887" w:rsidP="00AD7601">
      <w:pPr>
        <w:pStyle w:val="Excluded"/>
      </w:pPr>
      <w:r w:rsidRPr="00AD7601">
        <w:t>Bonura KB, Spadaro NIM, Thornton RW. Mindful fitness: Guidelines for prenatal practice. Int J Childbirth Education. 2016; 31(1): 14-17.</w:t>
      </w:r>
    </w:p>
    <w:p w14:paraId="78B2FD1E" w14:textId="77777777" w:rsidR="007B1887" w:rsidRPr="00AD7601" w:rsidRDefault="007B1887" w:rsidP="00AD7601">
      <w:pPr>
        <w:pStyle w:val="Excluded"/>
      </w:pPr>
      <w:r w:rsidRPr="00AD7601">
        <w:t>Borodulin KM, Evenson KR, Wen F et al. Physical activity patterns during pregnancy. Medicine &amp; Science in Sports &amp; Exercise. 2008; 40(11): 1901-8.</w:t>
      </w:r>
    </w:p>
    <w:p w14:paraId="05A56FF9" w14:textId="77777777" w:rsidR="007B1887" w:rsidRPr="00AD7601" w:rsidRDefault="007B1887" w:rsidP="00AD7601">
      <w:pPr>
        <w:pStyle w:val="Excluded"/>
      </w:pPr>
      <w:r w:rsidRPr="00AD7601">
        <w:t>Broberg L, Ersboll AS, Backhausen MG et al. Compliance with national recommendations for exercise during early pregnancy in a Danish cohort. BMC Pregnancy Childbirth. 2015; 15: 317.</w:t>
      </w:r>
    </w:p>
    <w:p w14:paraId="36C5518A" w14:textId="77777777" w:rsidR="007B1887" w:rsidRPr="00AF03AD" w:rsidRDefault="007B1887" w:rsidP="007B1887">
      <w:pPr>
        <w:pStyle w:val="Excluded"/>
        <w:rPr>
          <w:noProof/>
        </w:rPr>
      </w:pPr>
      <w:r w:rsidRPr="00AF03AD">
        <w:rPr>
          <w:noProof/>
        </w:rPr>
        <w:t xml:space="preserve">Catov JM, Parker CB, Gibbs BB et al (2018) Patterns of leisure-time physical activity across pregnancy and adverse pregnancy outcomes. </w:t>
      </w:r>
      <w:r w:rsidRPr="00AF03AD">
        <w:rPr>
          <w:i/>
          <w:noProof/>
        </w:rPr>
        <w:t>Int J Behav Nutr Phys Act</w:t>
      </w:r>
      <w:r w:rsidRPr="00AF03AD">
        <w:rPr>
          <w:noProof/>
        </w:rPr>
        <w:t xml:space="preserve"> 15(1): 68.</w:t>
      </w:r>
    </w:p>
    <w:p w14:paraId="4AD5E9CF" w14:textId="77777777" w:rsidR="007B1887" w:rsidRPr="00AD7601" w:rsidRDefault="007B1887" w:rsidP="00AD7601">
      <w:pPr>
        <w:pStyle w:val="Excluded"/>
      </w:pPr>
      <w:r w:rsidRPr="00AD7601">
        <w:t>Craike M, Hill B, Gaskin CJ et al. Interventions to improve physical activity during pregnancy: a systematic review on issues of internal and external validity using the RE-AIM framework. BJOG. 2017; 124(4): 573-83.</w:t>
      </w:r>
    </w:p>
    <w:p w14:paraId="0B777967" w14:textId="77777777" w:rsidR="007B1887" w:rsidRPr="00AD7601" w:rsidRDefault="007B1887" w:rsidP="00AD7601">
      <w:pPr>
        <w:pStyle w:val="Excluded"/>
      </w:pPr>
      <w:r w:rsidRPr="00AD7601">
        <w:t>Currie S, Gray C, Shepherd A et al. Antenatal physical activity: a qualitative study exploring women's experiences and the acceptability of antenatal walking groups. BMC Pregnancy Childbirth. 2016; 16(1): 182.</w:t>
      </w:r>
    </w:p>
    <w:p w14:paraId="017917AC" w14:textId="77777777" w:rsidR="007B1887" w:rsidRPr="00AD7601" w:rsidRDefault="007B1887" w:rsidP="00AD7601">
      <w:pPr>
        <w:pStyle w:val="Excluded"/>
      </w:pPr>
      <w:r w:rsidRPr="00AD7601">
        <w:t>Currie S, Sinclair M, Murphy MH et al. Reducing the decline in physical activity during pregnancy: a systematic review of behaviour change interventions. PLoS One. 2013; 8(6): e66385.</w:t>
      </w:r>
    </w:p>
    <w:p w14:paraId="1D8DDE41" w14:textId="77777777" w:rsidR="007B1887" w:rsidRPr="00AD7601" w:rsidRDefault="007B1887" w:rsidP="00AD7601">
      <w:pPr>
        <w:pStyle w:val="Excluded"/>
      </w:pPr>
      <w:r w:rsidRPr="00AD7601">
        <w:t>Davies GAL, Maxwell C, McLeod L et al. Obesity in pregnancy. Journal of Obstetrics and Gynaecology Canada. 2010; 32(2): 165-73.</w:t>
      </w:r>
    </w:p>
    <w:p w14:paraId="66942300" w14:textId="77777777" w:rsidR="007B1887" w:rsidRPr="00AD7601" w:rsidRDefault="007B1887" w:rsidP="00AD7601">
      <w:pPr>
        <w:pStyle w:val="Excluded"/>
      </w:pPr>
      <w:r w:rsidRPr="00AD7601">
        <w:t>Dlugonski D, Motl RW. Marital status and motherhood: implications for physical activity. Women Health. 2013; 53(2): 203-15.</w:t>
      </w:r>
    </w:p>
    <w:p w14:paraId="5C0FB5F7" w14:textId="77777777" w:rsidR="007B1887" w:rsidRPr="00AD7601" w:rsidRDefault="007B1887" w:rsidP="00AD7601">
      <w:pPr>
        <w:pStyle w:val="Excluded"/>
      </w:pPr>
      <w:r w:rsidRPr="00AD7601">
        <w:t>Doran F, O'Brien AP. A brief report of attitudes towards physical activity during pregnancy. Health Promot J Austr. 2007; 18(2): 155-8.</w:t>
      </w:r>
    </w:p>
    <w:p w14:paraId="61C4A9BB" w14:textId="77777777" w:rsidR="007B1887" w:rsidRPr="00AD7601" w:rsidRDefault="007B1887" w:rsidP="00AD7601">
      <w:pPr>
        <w:pStyle w:val="Excluded"/>
      </w:pPr>
      <w:r w:rsidRPr="00AD7601">
        <w:t>Duncombe D, Skouteris H, Wertheim EH et al. Vigorous exercise and birth outcomes in a sample of recreational exercisers: a prospective study across pregnancy. Aust N Z J Obstet Gynaecol. 2006; 46(4): 288-92.</w:t>
      </w:r>
    </w:p>
    <w:p w14:paraId="50B06571" w14:textId="77777777" w:rsidR="007B1887" w:rsidRPr="00AD7601" w:rsidRDefault="007B1887" w:rsidP="00AD7601">
      <w:pPr>
        <w:pStyle w:val="Excluded"/>
      </w:pPr>
      <w:r w:rsidRPr="00AD7601">
        <w:t>Ebner F, Wockel A, Janni W et al. Parachuting and pregnancy: what do we know about pregnant skydivers and the risks they are taking? Clin J Sport Med. 2014; 24(6): 468-73.</w:t>
      </w:r>
    </w:p>
    <w:p w14:paraId="1A307938" w14:textId="77777777" w:rsidR="007B1887" w:rsidRPr="00AD7601" w:rsidRDefault="007B1887" w:rsidP="00AD7601">
      <w:pPr>
        <w:pStyle w:val="Excluded"/>
      </w:pPr>
      <w:r w:rsidRPr="00AD7601">
        <w:t>Forczek W, Curylo M, Forczek B. Physical activity assessment during gestation and its outcomes: A review. Obstet Gynecol Surv. 2017; 72(7): 425-44.</w:t>
      </w:r>
    </w:p>
    <w:p w14:paraId="50A712AA" w14:textId="77777777" w:rsidR="007B1887" w:rsidRPr="00AF03AD" w:rsidRDefault="007B1887" w:rsidP="007B1887">
      <w:pPr>
        <w:pStyle w:val="Excluded"/>
        <w:rPr>
          <w:noProof/>
        </w:rPr>
      </w:pPr>
      <w:r w:rsidRPr="00AF03AD">
        <w:rPr>
          <w:noProof/>
        </w:rPr>
        <w:t xml:space="preserve">Garland M, Wilbur J, Semanik P et al (2019) Correlates of physical activity during pregnancy: a systematic review with implications for evidence-based practice. </w:t>
      </w:r>
      <w:r w:rsidRPr="00AF03AD">
        <w:rPr>
          <w:i/>
          <w:noProof/>
        </w:rPr>
        <w:t>Worldviews Evid Based Nurs</w:t>
      </w:r>
      <w:r w:rsidRPr="00AF03AD">
        <w:rPr>
          <w:noProof/>
        </w:rPr>
        <w:t xml:space="preserve"> 16(4): 310-18.</w:t>
      </w:r>
    </w:p>
    <w:p w14:paraId="3483DBE0" w14:textId="77777777" w:rsidR="007B1887" w:rsidRPr="00AD7601" w:rsidRDefault="007B1887" w:rsidP="00AD7601">
      <w:pPr>
        <w:pStyle w:val="Excluded"/>
      </w:pPr>
      <w:r w:rsidRPr="00AD7601">
        <w:t>Gaston A, Prapavessis H. Maternal-fetal disease information as a source of exercise motivation during pregnancy. Health Psychol. 2009; 28(6): 726-33.</w:t>
      </w:r>
    </w:p>
    <w:p w14:paraId="4196EB3B" w14:textId="77777777" w:rsidR="007B1887" w:rsidRPr="00AD7601" w:rsidRDefault="007B1887" w:rsidP="00AD7601">
      <w:pPr>
        <w:pStyle w:val="Excluded"/>
      </w:pPr>
      <w:r w:rsidRPr="00AD7601">
        <w:t>Gau ML, Chang CY, Tian SH et al. Effects of birth ball exercise on pain and self-efficacy during childbirth: a randomised controlled trial in Taiwan. Midwifery. 2011; 27(6): e293-300.</w:t>
      </w:r>
    </w:p>
    <w:p w14:paraId="55CAFB84" w14:textId="77777777" w:rsidR="007B1887" w:rsidRPr="00AD7601" w:rsidRDefault="007B1887" w:rsidP="00AD7601">
      <w:pPr>
        <w:pStyle w:val="Excluded"/>
      </w:pPr>
      <w:r w:rsidRPr="00AD7601">
        <w:t>Grobman WA, Gilbert SA, Iams JD et al. Activity restriction among women with a short cervix. Obstet Gynecol. 2013; 121(6): 1181-6.</w:t>
      </w:r>
    </w:p>
    <w:p w14:paraId="671FE2EC" w14:textId="77777777" w:rsidR="007B1887" w:rsidRPr="00AD7601" w:rsidRDefault="007B1887" w:rsidP="00AD7601">
      <w:pPr>
        <w:pStyle w:val="Excluded"/>
      </w:pPr>
      <w:r w:rsidRPr="00AD7601">
        <w:t>Hanghoj S. When it hurts I think: Now the baby dies. Risk perceptions of physical activity during pregnancy. Women Birth. 2013; 26(3): 190-4.</w:t>
      </w:r>
    </w:p>
    <w:p w14:paraId="4D516E1F" w14:textId="77777777" w:rsidR="007B1887" w:rsidRPr="00AD7601" w:rsidRDefault="007B1887" w:rsidP="00AD7601">
      <w:pPr>
        <w:pStyle w:val="Excluded"/>
      </w:pPr>
      <w:r w:rsidRPr="00AD7601">
        <w:t>Hayes L, Bell R, Robson S et al. Association between physical activity in obese pregnant women and pregnancy outcomes: the UPBEAT pilot study. Ann Nutr Metab. 2014; 64(3-4): 239-46.</w:t>
      </w:r>
    </w:p>
    <w:p w14:paraId="47FA74CD" w14:textId="77777777" w:rsidR="007B1887" w:rsidRPr="00AD7601" w:rsidRDefault="007B1887" w:rsidP="00AD7601">
      <w:pPr>
        <w:pStyle w:val="Excluded"/>
      </w:pPr>
      <w:r w:rsidRPr="00AD7601">
        <w:t>Hjollund NH, Jensen TK, Bonde JP et al. Spontaneous abortion and physical strain around implantation: a follow-up study of first-pregnancy planners. Epidemiology. 2000; 11(1): 18-23.</w:t>
      </w:r>
    </w:p>
    <w:p w14:paraId="6E5FB8A2" w14:textId="77777777" w:rsidR="007B1887" w:rsidRPr="00AD7601" w:rsidRDefault="007B1887" w:rsidP="00AD7601">
      <w:pPr>
        <w:pStyle w:val="Excluded"/>
      </w:pPr>
      <w:r w:rsidRPr="00AD7601">
        <w:t>Hopkinson Y, Hill DM, Fellows L et al. Midwives understanding of physical activity guidelines during pregnancy. Midwifery. 2018; 59: 23-6.</w:t>
      </w:r>
    </w:p>
    <w:p w14:paraId="693B08B9" w14:textId="77777777" w:rsidR="007B1887" w:rsidRPr="00AD7601" w:rsidRDefault="007B1887" w:rsidP="00AD7601">
      <w:pPr>
        <w:pStyle w:val="Excluded"/>
      </w:pPr>
      <w:r w:rsidRPr="00AD7601">
        <w:t>Horan MK, McGowan CA, Doyle O et al. Well-being in pregnancy: an examination of the effect of socioeconomic, dietary and lifestyle factors including impact of a low glycaemic index dietary intervention. Eur J Clin Nutr. 2014; 68(1): 19-24.</w:t>
      </w:r>
    </w:p>
    <w:p w14:paraId="18CA9460" w14:textId="77777777" w:rsidR="007B1887" w:rsidRPr="00AD7601" w:rsidRDefault="007B1887" w:rsidP="00AD7601">
      <w:pPr>
        <w:pStyle w:val="Excluded"/>
      </w:pPr>
      <w:r w:rsidRPr="00AD7601">
        <w:t>Larsen AD, Hannerz H, Juhl M et al. Psychosocial job strain and risk of adverse birth outcomes: a study within the Danish national birth cohort. Occup Environ Med. 2013; 70(12): 845-51.</w:t>
      </w:r>
    </w:p>
    <w:p w14:paraId="2EAAE152" w14:textId="77777777" w:rsidR="007B1887" w:rsidRPr="00AD7601" w:rsidRDefault="007B1887" w:rsidP="00AD7601">
      <w:pPr>
        <w:pStyle w:val="Excluded"/>
      </w:pPr>
      <w:r w:rsidRPr="00AD7601">
        <w:t>Lawson CC, Whelan EA, Hibert EN et al. Occupational factors and risk of preterm birth in nurses. Am J Obstet Gynecol. 2009; 200(1): 51 e1-8.</w:t>
      </w:r>
    </w:p>
    <w:p w14:paraId="6C92D456" w14:textId="77777777" w:rsidR="007B1887" w:rsidRPr="00AD7601" w:rsidRDefault="007B1887" w:rsidP="00AD7601">
      <w:pPr>
        <w:pStyle w:val="Excluded"/>
      </w:pPr>
      <w:r w:rsidRPr="00AD7601">
        <w:t>McCrory JL, Chambers AJ, Daftary A et al. Dynamic postural stability in pregnant fallers and non-fallers. BJOG. 2010; 117(8): 954-62.</w:t>
      </w:r>
    </w:p>
    <w:p w14:paraId="57E8E75E" w14:textId="77777777" w:rsidR="007B1887" w:rsidRPr="00AD7601" w:rsidRDefault="007B1887" w:rsidP="00AD7601">
      <w:pPr>
        <w:pStyle w:val="Excluded"/>
      </w:pPr>
      <w:r w:rsidRPr="00AD7601">
        <w:t>McDonald SM, Liu J, Wilcox S et al. Does dose matter in reducing gestational weight gain in exercise interventions? A systematic review of literature. J Sci Med Sport. 2016; 19(4): 323-35.</w:t>
      </w:r>
    </w:p>
    <w:p w14:paraId="1D00F25E" w14:textId="77777777" w:rsidR="007B1887" w:rsidRPr="00AD7601" w:rsidRDefault="007B1887" w:rsidP="00AD7601">
      <w:pPr>
        <w:pStyle w:val="Excluded"/>
      </w:pPr>
      <w:r w:rsidRPr="00AD7601">
        <w:t>McParlin C, Bell R, Robson SC et al. What helps or hinders midwives to implement physical activity guidelines for obese pregnant women? A questionnaire survey using the Theoretical Domains Framework. Midwifery. 2017; 49: 110-6.</w:t>
      </w:r>
    </w:p>
    <w:p w14:paraId="485EC53B" w14:textId="77777777" w:rsidR="007B1887" w:rsidRPr="00AD7601" w:rsidRDefault="007B1887" w:rsidP="00AD7601">
      <w:pPr>
        <w:pStyle w:val="Excluded"/>
      </w:pPr>
      <w:r w:rsidRPr="00AD7601">
        <w:t>Owe KM, Nystad W, Bo K. Correlates of regular exercise during pregnancy: the Norwegian Mother and Child Cohort Study. Scand J Med Sci Sports. 2009; 19(5): 637-45.</w:t>
      </w:r>
    </w:p>
    <w:p w14:paraId="76C15467" w14:textId="77777777" w:rsidR="007B1887" w:rsidRPr="00AD7601" w:rsidRDefault="007B1887" w:rsidP="00AD7601">
      <w:pPr>
        <w:pStyle w:val="Excluded"/>
      </w:pPr>
      <w:r w:rsidRPr="00AD7601">
        <w:t>Rose NC, Haddow JE, Palomaki GE et al. Self-rated physical activity level during the second trimester and pregnancy outcome. Obstet Gynecol. 1991; 78(6): 1078-80.</w:t>
      </w:r>
    </w:p>
    <w:p w14:paraId="71CFE9CD" w14:textId="77777777" w:rsidR="007B1887" w:rsidRPr="00AD7601" w:rsidRDefault="007B1887" w:rsidP="00AD7601">
      <w:pPr>
        <w:pStyle w:val="Excluded"/>
      </w:pPr>
      <w:r w:rsidRPr="00AD7601">
        <w:t>Sosa CG, Althabe F, Belizan JM et al. Bed rest in singleton pregnancies for preventing preterm birth. Cochrane Database Syst Rev. 2015; (3): CD003581.</w:t>
      </w:r>
    </w:p>
    <w:p w14:paraId="50495D60" w14:textId="77777777" w:rsidR="007B1887" w:rsidRPr="00AD7601" w:rsidRDefault="007B1887" w:rsidP="00AD7601">
      <w:pPr>
        <w:pStyle w:val="Excluded"/>
      </w:pPr>
      <w:r w:rsidRPr="00AD7601">
        <w:t>Stuge B. Pelvic girdle pain: examination, treatment, and the development and implementation of European guidelines. J Assoc Chartered Physiother Women’s Health. 2012; 111: 5-12.</w:t>
      </w:r>
    </w:p>
    <w:p w14:paraId="2990081D" w14:textId="77777777" w:rsidR="007B1887" w:rsidRPr="00AD7601" w:rsidRDefault="007B1887" w:rsidP="00AD7601">
      <w:pPr>
        <w:pStyle w:val="Excluded"/>
      </w:pPr>
      <w:r w:rsidRPr="00AD7601">
        <w:t>Tuntiseranee P, Geater A, Chongsuvivatwong V et al. The effect of heavy maternal workload on fetal growth retardation and preterm delivery. A study among southern Thai women. J Occup Environ Med. 1998; 40(11): 1013-21.</w:t>
      </w:r>
    </w:p>
    <w:p w14:paraId="15940B04" w14:textId="77777777" w:rsidR="007B1887" w:rsidRPr="00AD7601" w:rsidRDefault="007B1887" w:rsidP="00AD7601">
      <w:pPr>
        <w:pStyle w:val="Excluded"/>
      </w:pPr>
      <w:r w:rsidRPr="00AD7601">
        <w:t>Ussher M, Lewis S, Aveyard P et al. Physical activity for smoking cessation in pregnancy: randomised controlled trial. BMJ. 2015; 350: h2145.</w:t>
      </w:r>
    </w:p>
    <w:p w14:paraId="6B77610E" w14:textId="77777777" w:rsidR="007B1887" w:rsidRPr="00AD7601" w:rsidRDefault="007B1887" w:rsidP="00AD7601">
      <w:pPr>
        <w:pStyle w:val="Excluded"/>
      </w:pPr>
      <w:r w:rsidRPr="00AD7601">
        <w:t>Vincze L, Rollo ME, Hutchesson MJ et al. A cross sectional study investigating weight management motivations, methods and perceived healthy eating and physical activity influences in women up to five years following childbirth. Midwifery. 2017; 49: 124-33.</w:t>
      </w:r>
    </w:p>
    <w:p w14:paraId="5DD356A9" w14:textId="77777777" w:rsidR="007B1887" w:rsidRPr="00AF03AD" w:rsidRDefault="007B1887" w:rsidP="007B1887">
      <w:pPr>
        <w:pStyle w:val="Excluded"/>
        <w:rPr>
          <w:noProof/>
        </w:rPr>
      </w:pPr>
      <w:r w:rsidRPr="00AF03AD">
        <w:rPr>
          <w:noProof/>
        </w:rPr>
        <w:t xml:space="preserve">Watson SJ, Lewis AJ, Boyce P et al (2018) Exercise frequency and maternal mental health: Parallel process modelling across the perinatal period in an Australian pregnancy cohort. </w:t>
      </w:r>
      <w:r w:rsidRPr="00AF03AD">
        <w:rPr>
          <w:i/>
          <w:noProof/>
        </w:rPr>
        <w:t>J Psychosom Res</w:t>
      </w:r>
      <w:r w:rsidRPr="00AF03AD">
        <w:rPr>
          <w:noProof/>
        </w:rPr>
        <w:t xml:space="preserve"> 111: 91-99.</w:t>
      </w:r>
    </w:p>
    <w:p w14:paraId="0FB085E9" w14:textId="77777777" w:rsidR="007B1887" w:rsidRPr="00AD7601" w:rsidRDefault="007B1887" w:rsidP="00AD7601">
      <w:pPr>
        <w:pStyle w:val="Excluded"/>
      </w:pPr>
      <w:r w:rsidRPr="00AD7601">
        <w:t>Xu H, Wen LM, Hardy LL et al. A 5-year longitudinal analysis of modifiable predictors for outdoor play and screen-time of 2- to 5-year-olds. Int J Behav Nutr Phys Act. 2016; 13(1): 96.</w:t>
      </w:r>
    </w:p>
    <w:p w14:paraId="32472A88" w14:textId="6BB81E06" w:rsidR="003523C5" w:rsidRDefault="003523C5" w:rsidP="003523C5">
      <w:pPr>
        <w:pStyle w:val="Heading3"/>
        <w:numPr>
          <w:ilvl w:val="0"/>
          <w:numId w:val="0"/>
        </w:numPr>
      </w:pPr>
      <w:bookmarkStart w:id="364" w:name="_Toc40956575"/>
      <w:r>
        <w:t xml:space="preserve">Weight </w:t>
      </w:r>
      <w:r w:rsidR="00110F60">
        <w:t>gain and monitoring (question 7)</w:t>
      </w:r>
      <w:bookmarkEnd w:id="364"/>
    </w:p>
    <w:p w14:paraId="6815A46F" w14:textId="21523734" w:rsidR="00CC1D91" w:rsidRDefault="00CC1D91" w:rsidP="00A912D4">
      <w:pPr>
        <w:pStyle w:val="Heading4"/>
      </w:pPr>
      <w:r>
        <w:t>Gestational weight change</w:t>
      </w:r>
    </w:p>
    <w:p w14:paraId="0AF8065D" w14:textId="77777777" w:rsidR="006A4AB8" w:rsidRDefault="006A4AB8" w:rsidP="006A4AB8">
      <w:pPr>
        <w:pStyle w:val="Heading5"/>
      </w:pPr>
      <w:r>
        <w:t>Duplicate</w:t>
      </w:r>
    </w:p>
    <w:p w14:paraId="6297D132" w14:textId="77777777" w:rsidR="00870824" w:rsidRPr="00073FD2" w:rsidRDefault="00870824" w:rsidP="0030223E">
      <w:pPr>
        <w:pStyle w:val="Excluded"/>
        <w:rPr>
          <w:noProof/>
        </w:rPr>
      </w:pPr>
      <w:r w:rsidRPr="00073FD2">
        <w:rPr>
          <w:noProof/>
        </w:rPr>
        <w:t xml:space="preserve">Adane AA, Shepherd CCJ, Lim FJ et al (2019) The impact of pre-pregnancy body mass index and gestational weight gain on placental abruption risk: a systematic review and meta-analysis. </w:t>
      </w:r>
      <w:r w:rsidRPr="00073FD2">
        <w:rPr>
          <w:i/>
          <w:noProof/>
        </w:rPr>
        <w:t>Arch Gynecol Obstet</w:t>
      </w:r>
      <w:r w:rsidRPr="00073FD2">
        <w:rPr>
          <w:noProof/>
        </w:rPr>
        <w:t xml:space="preserve"> 300(5): 1201-10.</w:t>
      </w:r>
    </w:p>
    <w:p w14:paraId="754151BD" w14:textId="77777777" w:rsidR="00870824" w:rsidRPr="00073FD2" w:rsidRDefault="00870824" w:rsidP="0030223E">
      <w:pPr>
        <w:pStyle w:val="Excluded"/>
        <w:rPr>
          <w:noProof/>
        </w:rPr>
      </w:pPr>
      <w:r w:rsidRPr="00073FD2">
        <w:rPr>
          <w:noProof/>
        </w:rPr>
        <w:t xml:space="preserve">Altazan AD, Redman LM, Burton JH et al (2019) Mood and quality of life changes in pregnancy and postpartum and the effect of a behavioral intervention targeting excess gestational weight gain in women with overweight and obesity: a parallel-arm randomized controlled pilot trial. </w:t>
      </w:r>
      <w:r w:rsidRPr="00073FD2">
        <w:rPr>
          <w:i/>
          <w:noProof/>
        </w:rPr>
        <w:t>BMC Pregnancy Childbirth</w:t>
      </w:r>
      <w:r w:rsidRPr="00073FD2">
        <w:rPr>
          <w:noProof/>
        </w:rPr>
        <w:t xml:space="preserve"> 19(1): 50.</w:t>
      </w:r>
    </w:p>
    <w:p w14:paraId="65E9B30C" w14:textId="77777777" w:rsidR="00870824" w:rsidRPr="00E66348" w:rsidRDefault="00870824" w:rsidP="006A4AB8">
      <w:pPr>
        <w:pStyle w:val="Excluded"/>
        <w:rPr>
          <w:noProof/>
        </w:rPr>
      </w:pPr>
      <w:r w:rsidRPr="00E66348">
        <w:rPr>
          <w:noProof/>
        </w:rPr>
        <w:t xml:space="preserve">Asci O &amp; Rathfisch G (2016) Effect of lifestyle interventions of pregnant women on their dietary habits, lifestyle behaviors, and weight gain: a randomized controlled trial. </w:t>
      </w:r>
      <w:r w:rsidRPr="00E66348">
        <w:rPr>
          <w:i/>
          <w:noProof/>
        </w:rPr>
        <w:t>J Health Popul Nutr</w:t>
      </w:r>
      <w:r w:rsidRPr="00E66348">
        <w:rPr>
          <w:noProof/>
        </w:rPr>
        <w:t xml:space="preserve"> 35: 7.</w:t>
      </w:r>
    </w:p>
    <w:p w14:paraId="5186C912" w14:textId="77777777" w:rsidR="00870824" w:rsidRPr="00E66348" w:rsidRDefault="00870824" w:rsidP="006A4AB8">
      <w:pPr>
        <w:pStyle w:val="Excluded"/>
        <w:rPr>
          <w:noProof/>
        </w:rPr>
      </w:pPr>
      <w:r w:rsidRPr="00E66348">
        <w:rPr>
          <w:noProof/>
        </w:rPr>
        <w:t xml:space="preserve">Barakat R, Cordero Y, Coteron J et al (2012) Exercise during pregnancy improves maternal glucose screen at 24-28 weeks: a randomised controlled trial. </w:t>
      </w:r>
      <w:r w:rsidRPr="00E66348">
        <w:rPr>
          <w:i/>
          <w:noProof/>
        </w:rPr>
        <w:t>Br J Sports Med</w:t>
      </w:r>
      <w:r w:rsidRPr="00E66348">
        <w:rPr>
          <w:noProof/>
        </w:rPr>
        <w:t xml:space="preserve"> 46(9): 656-61.</w:t>
      </w:r>
    </w:p>
    <w:p w14:paraId="3ADC9F17" w14:textId="77777777" w:rsidR="00870824" w:rsidRPr="00073FD2" w:rsidRDefault="00870824" w:rsidP="0030223E">
      <w:pPr>
        <w:pStyle w:val="Excluded"/>
        <w:rPr>
          <w:noProof/>
        </w:rPr>
      </w:pPr>
      <w:r w:rsidRPr="00073FD2">
        <w:rPr>
          <w:noProof/>
        </w:rPr>
        <w:t xml:space="preserve">Barakat R, Refoyo I, Coteron J et al (2019) Exercise during pregnancy has a preventative effect on excessive maternal weight gain and gestational diabetes. A randomized controlled trial. </w:t>
      </w:r>
      <w:r w:rsidRPr="00073FD2">
        <w:rPr>
          <w:i/>
          <w:noProof/>
        </w:rPr>
        <w:t>Braz J Phys Ther</w:t>
      </w:r>
      <w:r w:rsidRPr="00073FD2">
        <w:rPr>
          <w:noProof/>
        </w:rPr>
        <w:t xml:space="preserve"> 23(2): 148-55.</w:t>
      </w:r>
    </w:p>
    <w:p w14:paraId="3CD0103E" w14:textId="77777777" w:rsidR="00870824" w:rsidRPr="00E66348" w:rsidRDefault="00870824" w:rsidP="006A4AB8">
      <w:pPr>
        <w:pStyle w:val="Excluded"/>
        <w:rPr>
          <w:noProof/>
        </w:rPr>
      </w:pPr>
      <w:r w:rsidRPr="00E66348">
        <w:rPr>
          <w:noProof/>
        </w:rPr>
        <w:t xml:space="preserve">Bennett CJ, Walker RE, Blumfield ML et al (2018) Interventions designed to reduce excessive gestational weight gain can reduce the incidence of gestational diabetes mellitus: A systematic review and meta-analysis of randomised controlled trials. </w:t>
      </w:r>
      <w:r w:rsidRPr="00E66348">
        <w:rPr>
          <w:i/>
          <w:noProof/>
        </w:rPr>
        <w:t>Diabetes Res Clin Pract</w:t>
      </w:r>
      <w:r w:rsidRPr="00E66348">
        <w:rPr>
          <w:noProof/>
        </w:rPr>
        <w:t xml:space="preserve"> 141: 69-79.</w:t>
      </w:r>
    </w:p>
    <w:p w14:paraId="150C0107" w14:textId="77777777" w:rsidR="00870824" w:rsidRPr="00E66348" w:rsidRDefault="00870824" w:rsidP="006A4AB8">
      <w:pPr>
        <w:pStyle w:val="Excluded"/>
        <w:rPr>
          <w:noProof/>
        </w:rPr>
      </w:pPr>
      <w:r w:rsidRPr="00E66348">
        <w:rPr>
          <w:noProof/>
        </w:rPr>
        <w:t xml:space="preserve">Bogaerts AF, Devlieger R, Nuyts E et al (2013) Effects of lifestyle intervention in obese pregnant women on gestational weight gain and mental health: a randomized controlled trial. </w:t>
      </w:r>
      <w:r w:rsidRPr="00E66348">
        <w:rPr>
          <w:i/>
          <w:noProof/>
        </w:rPr>
        <w:t>Int J Obes (Lond)</w:t>
      </w:r>
      <w:r w:rsidRPr="00E66348">
        <w:rPr>
          <w:noProof/>
        </w:rPr>
        <w:t xml:space="preserve"> 37(6): 814-21.</w:t>
      </w:r>
    </w:p>
    <w:p w14:paraId="08902F9B" w14:textId="77777777" w:rsidR="00870824" w:rsidRPr="00E66348" w:rsidRDefault="00870824" w:rsidP="006A4AB8">
      <w:pPr>
        <w:pStyle w:val="Excluded"/>
        <w:rPr>
          <w:noProof/>
        </w:rPr>
      </w:pPr>
      <w:r w:rsidRPr="00E66348">
        <w:rPr>
          <w:noProof/>
        </w:rPr>
        <w:t xml:space="preserve">Bookari K, Yeatman H, Williamson M (2016) Australian pregnant women's awareness of gestational weight gain and dietary guidelines: opportunity for action. </w:t>
      </w:r>
      <w:r w:rsidRPr="00E66348">
        <w:rPr>
          <w:i/>
          <w:noProof/>
        </w:rPr>
        <w:t>J Pregnancy</w:t>
      </w:r>
      <w:r w:rsidRPr="00E66348">
        <w:rPr>
          <w:noProof/>
        </w:rPr>
        <w:t xml:space="preserve"> 2016: 8162645.</w:t>
      </w:r>
    </w:p>
    <w:p w14:paraId="1E7EFA6B" w14:textId="77777777" w:rsidR="00870824" w:rsidRPr="00073FD2" w:rsidRDefault="00870824" w:rsidP="0030223E">
      <w:pPr>
        <w:pStyle w:val="Excluded"/>
        <w:rPr>
          <w:noProof/>
        </w:rPr>
      </w:pPr>
      <w:r w:rsidRPr="00073FD2">
        <w:rPr>
          <w:noProof/>
        </w:rPr>
        <w:t xml:space="preserve">Brik M, Fernandez-Buhigas I, Martin-Arias A et al (2019) Does exercise during pregnancy impact on maternal weight gain and fetal cardiac function? A randomized controlled trial. </w:t>
      </w:r>
      <w:r w:rsidRPr="00073FD2">
        <w:rPr>
          <w:i/>
          <w:noProof/>
        </w:rPr>
        <w:t>Ultrasound Obstet Gynecol</w:t>
      </w:r>
      <w:r w:rsidRPr="00073FD2">
        <w:rPr>
          <w:noProof/>
        </w:rPr>
        <w:t xml:space="preserve"> 53(5): 583-89.</w:t>
      </w:r>
    </w:p>
    <w:p w14:paraId="08599BB0" w14:textId="77777777" w:rsidR="00870824" w:rsidRPr="00E66348" w:rsidRDefault="00870824" w:rsidP="006A4AB8">
      <w:pPr>
        <w:pStyle w:val="Excluded"/>
        <w:rPr>
          <w:noProof/>
        </w:rPr>
      </w:pPr>
      <w:r w:rsidRPr="00E66348">
        <w:rPr>
          <w:noProof/>
        </w:rPr>
        <w:t xml:space="preserve">Broekhuizen K, Simmons D, Devlieger R et al (2018) Cost-effectiveness of healthy eating and/or physical activity promotion in pregnant women at increased risk of gestational diabetes mellitus: economic evaluation alongside the DALI study, a European multicenter randomized controlled trial. </w:t>
      </w:r>
      <w:r w:rsidRPr="00E66348">
        <w:rPr>
          <w:i/>
          <w:noProof/>
        </w:rPr>
        <w:t>Int J Behav Nutr Phys Act</w:t>
      </w:r>
      <w:r w:rsidRPr="00E66348">
        <w:rPr>
          <w:noProof/>
        </w:rPr>
        <w:t xml:space="preserve"> 15(1): 23.</w:t>
      </w:r>
    </w:p>
    <w:p w14:paraId="70B666FB" w14:textId="77777777" w:rsidR="00870824" w:rsidRPr="00073FD2" w:rsidRDefault="00870824" w:rsidP="0030223E">
      <w:pPr>
        <w:pStyle w:val="Excluded"/>
        <w:rPr>
          <w:noProof/>
        </w:rPr>
      </w:pPr>
      <w:r w:rsidRPr="00073FD2">
        <w:rPr>
          <w:noProof/>
        </w:rPr>
        <w:t xml:space="preserve">Craemer KA, Sampene E, Safdar N et al (2019) Nutrition and Exercise Strategies to Prevent Excessive Pregnancy Weight Gain: A Meta-analysis. </w:t>
      </w:r>
      <w:r w:rsidRPr="00073FD2">
        <w:rPr>
          <w:i/>
          <w:noProof/>
        </w:rPr>
        <w:t>AJP Rep</w:t>
      </w:r>
      <w:r w:rsidRPr="00073FD2">
        <w:rPr>
          <w:noProof/>
        </w:rPr>
        <w:t xml:space="preserve"> 9(1): e92-e120.</w:t>
      </w:r>
    </w:p>
    <w:p w14:paraId="2099A64B" w14:textId="77777777" w:rsidR="00870824" w:rsidRPr="00E66348" w:rsidRDefault="00870824" w:rsidP="006A4AB8">
      <w:pPr>
        <w:pStyle w:val="Excluded"/>
        <w:rPr>
          <w:noProof/>
        </w:rPr>
      </w:pPr>
      <w:r w:rsidRPr="00E66348">
        <w:rPr>
          <w:noProof/>
        </w:rPr>
        <w:t xml:space="preserve">da Silva SG, Ricardo LI, Evenson KR et al (2017) Leisure-time physical activity in pregnancy and maternal-child health: a systematic review and meta-analysis of randomized controlled trials and cohort studies. </w:t>
      </w:r>
      <w:r w:rsidRPr="00E66348">
        <w:rPr>
          <w:i/>
          <w:noProof/>
        </w:rPr>
        <w:t>Sports Med</w:t>
      </w:r>
      <w:r w:rsidRPr="00E66348">
        <w:rPr>
          <w:noProof/>
        </w:rPr>
        <w:t xml:space="preserve"> 47(2): 295-317.</w:t>
      </w:r>
    </w:p>
    <w:p w14:paraId="418D4F82" w14:textId="77777777" w:rsidR="00870824" w:rsidRPr="00073FD2" w:rsidRDefault="00870824" w:rsidP="0030223E">
      <w:pPr>
        <w:pStyle w:val="Excluded"/>
        <w:rPr>
          <w:noProof/>
        </w:rPr>
      </w:pPr>
      <w:r w:rsidRPr="00073FD2">
        <w:rPr>
          <w:noProof/>
        </w:rPr>
        <w:t xml:space="preserve">Daley A, Jolly K, Jebb SA et al (2019) Effectiveness of a behavioural intervention involving regular weighing and feedback by community midwives within routine antenatal care to prevent excessive gestational weight gain: POPS2 randomised controlled trial. </w:t>
      </w:r>
      <w:r w:rsidRPr="00073FD2">
        <w:rPr>
          <w:i/>
          <w:noProof/>
        </w:rPr>
        <w:t>BMJ Open</w:t>
      </w:r>
      <w:r w:rsidRPr="00073FD2">
        <w:rPr>
          <w:noProof/>
        </w:rPr>
        <w:t xml:space="preserve"> 9(9): e030174.</w:t>
      </w:r>
    </w:p>
    <w:p w14:paraId="652FF3E8" w14:textId="77777777" w:rsidR="00870824" w:rsidRPr="00073FD2" w:rsidRDefault="00870824" w:rsidP="0030223E">
      <w:pPr>
        <w:pStyle w:val="Excluded"/>
        <w:rPr>
          <w:noProof/>
        </w:rPr>
      </w:pPr>
      <w:r w:rsidRPr="00073FD2">
        <w:rPr>
          <w:noProof/>
        </w:rPr>
        <w:t xml:space="preserve">Dodd JM, Deussen AR, Louise J (2019) A Randomised Trial to Optimise Gestational Weight Gain and Improve Maternal and Infant Health Outcomes through Antenatal Dietary, Lifestyle and Exercise Advice: The OPTIMISE Randomised Trial. </w:t>
      </w:r>
      <w:r w:rsidRPr="00073FD2">
        <w:rPr>
          <w:i/>
          <w:noProof/>
        </w:rPr>
        <w:t>Nutrients</w:t>
      </w:r>
      <w:r w:rsidRPr="00073FD2">
        <w:rPr>
          <w:noProof/>
        </w:rPr>
        <w:t xml:space="preserve"> 11(12).</w:t>
      </w:r>
    </w:p>
    <w:p w14:paraId="7BAD08A2" w14:textId="77777777" w:rsidR="00870824" w:rsidRPr="00E66348" w:rsidRDefault="00870824" w:rsidP="006A4AB8">
      <w:pPr>
        <w:pStyle w:val="Excluded"/>
        <w:rPr>
          <w:noProof/>
        </w:rPr>
      </w:pPr>
      <w:r w:rsidRPr="00E66348">
        <w:rPr>
          <w:noProof/>
        </w:rPr>
        <w:t xml:space="preserve">Flynn AC, Dalrymple K, Barr S et al (2016) Dietary interventions in overweight and obese pregnant women: a systematic review of the content, delivery, and outcomes of randomized controlled trials. </w:t>
      </w:r>
      <w:r w:rsidRPr="00E66348">
        <w:rPr>
          <w:i/>
          <w:noProof/>
        </w:rPr>
        <w:t>Nutr Rev</w:t>
      </w:r>
      <w:r w:rsidRPr="00E66348">
        <w:rPr>
          <w:noProof/>
        </w:rPr>
        <w:t xml:space="preserve"> 74(5): 312-28.</w:t>
      </w:r>
    </w:p>
    <w:p w14:paraId="38312AA2" w14:textId="77777777" w:rsidR="00870824" w:rsidRPr="00E66348" w:rsidRDefault="00870824" w:rsidP="006A4AB8">
      <w:pPr>
        <w:pStyle w:val="Excluded"/>
        <w:rPr>
          <w:noProof/>
        </w:rPr>
      </w:pPr>
      <w:r w:rsidRPr="00E66348">
        <w:rPr>
          <w:noProof/>
        </w:rPr>
        <w:t xml:space="preserve">Gallagher D, Rosenn B, Toro-Ramos T et al (2018) Greater neonatal fat-free mass and similar fat mass following a randomized trial to control excess gestational weight gain. </w:t>
      </w:r>
      <w:r w:rsidRPr="00E66348">
        <w:rPr>
          <w:i/>
          <w:noProof/>
        </w:rPr>
        <w:t>Obesity (Silver Spring)</w:t>
      </w:r>
      <w:r w:rsidRPr="00E66348">
        <w:rPr>
          <w:noProof/>
        </w:rPr>
        <w:t xml:space="preserve"> 26(3): 578-87.</w:t>
      </w:r>
    </w:p>
    <w:p w14:paraId="513D6563" w14:textId="77777777" w:rsidR="00870824" w:rsidRPr="00E66348" w:rsidRDefault="00870824" w:rsidP="006A4AB8">
      <w:pPr>
        <w:pStyle w:val="Excluded"/>
        <w:rPr>
          <w:noProof/>
        </w:rPr>
      </w:pPr>
      <w:r w:rsidRPr="00E66348">
        <w:rPr>
          <w:noProof/>
        </w:rPr>
        <w:t xml:space="preserve">Goldstein RF, Abell SK, Ranasinha S et al (2018) Gestational weight gain across continents and ethnicity: systematic review and meta-analysis of maternal and infant outcomes in more than one million women. </w:t>
      </w:r>
      <w:r w:rsidRPr="00E66348">
        <w:rPr>
          <w:i/>
          <w:noProof/>
        </w:rPr>
        <w:t>BMC Med</w:t>
      </w:r>
      <w:r w:rsidRPr="00E66348">
        <w:rPr>
          <w:noProof/>
        </w:rPr>
        <w:t xml:space="preserve"> 16(1): 153.</w:t>
      </w:r>
    </w:p>
    <w:p w14:paraId="3B676D51" w14:textId="77777777" w:rsidR="00870824" w:rsidRPr="00E66348" w:rsidRDefault="00870824" w:rsidP="006A4AB8">
      <w:pPr>
        <w:pStyle w:val="Excluded"/>
        <w:rPr>
          <w:noProof/>
        </w:rPr>
      </w:pPr>
      <w:r w:rsidRPr="00E66348">
        <w:rPr>
          <w:noProof/>
        </w:rPr>
        <w:t xml:space="preserve">Haby K, Berg M, Gyllensten H et al (2018) Mighty Mums - a lifestyle intervention at primary care level reduces gestational weight gain in women with obesity. </w:t>
      </w:r>
      <w:r w:rsidRPr="00E66348">
        <w:rPr>
          <w:i/>
          <w:noProof/>
        </w:rPr>
        <w:t>BMC Obes</w:t>
      </w:r>
      <w:r w:rsidRPr="00E66348">
        <w:rPr>
          <w:noProof/>
        </w:rPr>
        <w:t xml:space="preserve"> 5: 16.</w:t>
      </w:r>
    </w:p>
    <w:p w14:paraId="09D99AEA" w14:textId="77777777" w:rsidR="00870824" w:rsidRPr="00E66348" w:rsidRDefault="00870824" w:rsidP="006A4AB8">
      <w:pPr>
        <w:pStyle w:val="Excluded"/>
        <w:rPr>
          <w:noProof/>
        </w:rPr>
      </w:pPr>
      <w:r w:rsidRPr="00E66348">
        <w:rPr>
          <w:noProof/>
        </w:rPr>
        <w:t xml:space="preserve">Harrison CL, Lombard CB, Strauss BJ et al (2013) Optimizing healthy gestational weight gain in women at high risk of gestational diabetes: a randomized controlled trial. </w:t>
      </w:r>
      <w:r w:rsidRPr="00E66348">
        <w:rPr>
          <w:i/>
          <w:noProof/>
        </w:rPr>
        <w:t>Obesity (Silver Spring)</w:t>
      </w:r>
      <w:r w:rsidRPr="00E66348">
        <w:rPr>
          <w:noProof/>
        </w:rPr>
        <w:t xml:space="preserve"> 21(5): 904-9.</w:t>
      </w:r>
    </w:p>
    <w:p w14:paraId="7C18B85A" w14:textId="77777777" w:rsidR="00870824" w:rsidRPr="00E66348" w:rsidRDefault="00870824" w:rsidP="006A4AB8">
      <w:pPr>
        <w:pStyle w:val="Excluded"/>
        <w:rPr>
          <w:noProof/>
        </w:rPr>
      </w:pPr>
      <w:r w:rsidRPr="00E66348">
        <w:rPr>
          <w:noProof/>
        </w:rPr>
        <w:t xml:space="preserve">Hawkins M, Hosker M, Marcus BH et al (2015) A pregnancy lifestyle intervention to prevent gestational diabetes risk factors in overweight Hispanic women: a feasibility randomized controlled trial. </w:t>
      </w:r>
      <w:r w:rsidRPr="00E66348">
        <w:rPr>
          <w:i/>
          <w:noProof/>
        </w:rPr>
        <w:t>Diabet Med</w:t>
      </w:r>
      <w:r w:rsidRPr="00E66348">
        <w:rPr>
          <w:noProof/>
        </w:rPr>
        <w:t xml:space="preserve"> 32(1): 108-15.</w:t>
      </w:r>
    </w:p>
    <w:p w14:paraId="5B65617C" w14:textId="77777777" w:rsidR="00870824" w:rsidRPr="00E66348" w:rsidRDefault="00870824" w:rsidP="006A4AB8">
      <w:pPr>
        <w:pStyle w:val="Excluded"/>
        <w:rPr>
          <w:noProof/>
        </w:rPr>
      </w:pPr>
      <w:r w:rsidRPr="00E66348">
        <w:rPr>
          <w:noProof/>
        </w:rPr>
        <w:t xml:space="preserve">Herring SJ (2017) Do mHealth interventions prevent excessive gestational weight gain? </w:t>
      </w:r>
      <w:r w:rsidRPr="00E66348">
        <w:rPr>
          <w:i/>
          <w:noProof/>
        </w:rPr>
        <w:t>BJOG</w:t>
      </w:r>
      <w:r w:rsidRPr="00E66348">
        <w:rPr>
          <w:noProof/>
        </w:rPr>
        <w:t xml:space="preserve"> 124(11): 1728.</w:t>
      </w:r>
    </w:p>
    <w:p w14:paraId="5B59B793" w14:textId="77777777" w:rsidR="00870824" w:rsidRPr="00E66348" w:rsidRDefault="00870824" w:rsidP="006A4AB8">
      <w:pPr>
        <w:pStyle w:val="Excluded"/>
        <w:rPr>
          <w:noProof/>
        </w:rPr>
      </w:pPr>
      <w:r w:rsidRPr="00E66348">
        <w:rPr>
          <w:noProof/>
        </w:rPr>
        <w:t xml:space="preserve">Herring SJ, Cruice JF, Bennett GG et al (2016) Preventing excessive gestational weight gain among African American women: A randomized clinical trial. </w:t>
      </w:r>
      <w:r w:rsidRPr="00E66348">
        <w:rPr>
          <w:i/>
          <w:noProof/>
        </w:rPr>
        <w:t>Obesity (Silver Spring)</w:t>
      </w:r>
      <w:r w:rsidRPr="00E66348">
        <w:rPr>
          <w:noProof/>
        </w:rPr>
        <w:t xml:space="preserve"> 24(1): 30-6.</w:t>
      </w:r>
    </w:p>
    <w:p w14:paraId="1BE460F7" w14:textId="77777777" w:rsidR="00870824" w:rsidRPr="00073FD2" w:rsidRDefault="00870824" w:rsidP="0030223E">
      <w:pPr>
        <w:pStyle w:val="Excluded"/>
        <w:rPr>
          <w:noProof/>
        </w:rPr>
      </w:pPr>
      <w:r w:rsidRPr="00073FD2">
        <w:rPr>
          <w:noProof/>
        </w:rPr>
        <w:t xml:space="preserve">Hill B, Hayden M, McPhie S et al (2019) Preconception and antenatal knowledge and beliefs about gestational weight gain. </w:t>
      </w:r>
      <w:r w:rsidRPr="00073FD2">
        <w:rPr>
          <w:i/>
          <w:noProof/>
        </w:rPr>
        <w:t>Aust N Z J Obstet Gynaecol</w:t>
      </w:r>
      <w:r w:rsidRPr="00073FD2">
        <w:rPr>
          <w:noProof/>
        </w:rPr>
        <w:t xml:space="preserve"> 59(5): 634-40.</w:t>
      </w:r>
    </w:p>
    <w:p w14:paraId="2368A00D" w14:textId="77777777" w:rsidR="00870824" w:rsidRPr="00E66348" w:rsidRDefault="00870824" w:rsidP="006A4AB8">
      <w:pPr>
        <w:pStyle w:val="Excluded"/>
        <w:rPr>
          <w:noProof/>
        </w:rPr>
      </w:pPr>
      <w:r w:rsidRPr="00E66348">
        <w:rPr>
          <w:noProof/>
        </w:rPr>
        <w:t xml:space="preserve">Horan MK, McGowan CA, Gibney ER et al (2014) Maternal diet and weight at 3 months postpartum following a pregnancy intervention with a low glycaemic index diet: results from the ROLO randomised control trial. </w:t>
      </w:r>
      <w:r w:rsidRPr="00E66348">
        <w:rPr>
          <w:i/>
          <w:noProof/>
        </w:rPr>
        <w:t>Nutrients</w:t>
      </w:r>
      <w:r w:rsidRPr="00E66348">
        <w:rPr>
          <w:noProof/>
        </w:rPr>
        <w:t xml:space="preserve"> 6(7): 2946-55.</w:t>
      </w:r>
    </w:p>
    <w:p w14:paraId="7FD0CEA9" w14:textId="77777777" w:rsidR="00870824" w:rsidRPr="00E66348" w:rsidRDefault="00870824" w:rsidP="006A4AB8">
      <w:pPr>
        <w:pStyle w:val="Excluded"/>
        <w:rPr>
          <w:noProof/>
        </w:rPr>
      </w:pPr>
      <w:r w:rsidRPr="00E66348">
        <w:rPr>
          <w:noProof/>
        </w:rPr>
        <w:t xml:space="preserve">Hui A, Back L, Ludwig S et al (2012) Lifestyle intervention on diet and exercise reduced excessive gestational weight gain in pregnant women under a randomised controlled trial. </w:t>
      </w:r>
      <w:r w:rsidRPr="00E66348">
        <w:rPr>
          <w:i/>
          <w:noProof/>
        </w:rPr>
        <w:t>BJOG</w:t>
      </w:r>
      <w:r w:rsidRPr="00E66348">
        <w:rPr>
          <w:noProof/>
        </w:rPr>
        <w:t xml:space="preserve"> 119(1): 70-7.</w:t>
      </w:r>
    </w:p>
    <w:p w14:paraId="08953597" w14:textId="77777777" w:rsidR="00870824" w:rsidRPr="00E66348" w:rsidRDefault="00870824" w:rsidP="006A4AB8">
      <w:pPr>
        <w:pStyle w:val="Excluded"/>
        <w:rPr>
          <w:noProof/>
        </w:rPr>
      </w:pPr>
      <w:r w:rsidRPr="00E66348">
        <w:rPr>
          <w:noProof/>
        </w:rPr>
        <w:t xml:space="preserve">Hui AL, Back L, Ludwig S et al (2014) Effects of lifestyle intervention on dietary intake, physical activity level, and gestational weight gain in pregnant women with different pre-pregnancy Body Mass Index in a randomized control trial. </w:t>
      </w:r>
      <w:r w:rsidRPr="00E66348">
        <w:rPr>
          <w:i/>
          <w:noProof/>
        </w:rPr>
        <w:t>BMC Pregnancy Childbirth</w:t>
      </w:r>
      <w:r w:rsidRPr="00E66348">
        <w:rPr>
          <w:noProof/>
        </w:rPr>
        <w:t xml:space="preserve"> 14: 331.</w:t>
      </w:r>
    </w:p>
    <w:p w14:paraId="5F358FA3" w14:textId="77777777" w:rsidR="00870824" w:rsidRPr="00E66348" w:rsidRDefault="00870824" w:rsidP="006A4AB8">
      <w:pPr>
        <w:pStyle w:val="Excluded"/>
        <w:rPr>
          <w:noProof/>
        </w:rPr>
      </w:pPr>
      <w:r w:rsidRPr="00E66348">
        <w:rPr>
          <w:noProof/>
        </w:rPr>
        <w:t xml:space="preserve">Huvinen E, Koivusalo SB, Meinila J et al (2018) Effects of a Lifestyle Intervention During Pregnancy and First Postpartum Year: Findings From the RADIEL Study. </w:t>
      </w:r>
      <w:r w:rsidRPr="00E66348">
        <w:rPr>
          <w:i/>
          <w:noProof/>
        </w:rPr>
        <w:t>J Clin Endocrinol Metab</w:t>
      </w:r>
      <w:r w:rsidRPr="00E66348">
        <w:rPr>
          <w:noProof/>
        </w:rPr>
        <w:t xml:space="preserve"> 103(4): 1669-77.</w:t>
      </w:r>
    </w:p>
    <w:p w14:paraId="24D43962" w14:textId="77777777" w:rsidR="00870824" w:rsidRPr="00E66348" w:rsidRDefault="00870824" w:rsidP="006A4AB8">
      <w:pPr>
        <w:pStyle w:val="Excluded"/>
        <w:rPr>
          <w:noProof/>
        </w:rPr>
      </w:pPr>
      <w:r w:rsidRPr="00E66348">
        <w:rPr>
          <w:noProof/>
        </w:rPr>
        <w:t xml:space="preserve">International Weight Management in Pregnancy Collaborative G (2017) Effect of diet and physical activity based interventions in pregnancy on gestational weight gain and pregnancy outcomes: meta-analysis of individual participant data from randomised trials. </w:t>
      </w:r>
      <w:r w:rsidRPr="00E66348">
        <w:rPr>
          <w:i/>
          <w:noProof/>
        </w:rPr>
        <w:t>BMJ</w:t>
      </w:r>
      <w:r w:rsidRPr="00E66348">
        <w:rPr>
          <w:noProof/>
        </w:rPr>
        <w:t xml:space="preserve"> 358: j3119.</w:t>
      </w:r>
    </w:p>
    <w:p w14:paraId="7CAA1DEB" w14:textId="77777777" w:rsidR="00870824" w:rsidRPr="00E66348" w:rsidRDefault="00870824" w:rsidP="006A4AB8">
      <w:pPr>
        <w:pStyle w:val="Excluded"/>
        <w:rPr>
          <w:noProof/>
        </w:rPr>
      </w:pPr>
      <w:r w:rsidRPr="00E66348">
        <w:rPr>
          <w:noProof/>
        </w:rPr>
        <w:t xml:space="preserve">Jackson RA, Stotland NE, Caughey AB et al (2011) Improving diet and exercise in pregnancy with Video Doctor counseling: a randomized trial. </w:t>
      </w:r>
      <w:r w:rsidRPr="00E66348">
        <w:rPr>
          <w:i/>
          <w:noProof/>
        </w:rPr>
        <w:t>Patient Educ Couns</w:t>
      </w:r>
      <w:r w:rsidRPr="00E66348">
        <w:rPr>
          <w:noProof/>
        </w:rPr>
        <w:t xml:space="preserve"> 83(2): 203-9.</w:t>
      </w:r>
    </w:p>
    <w:p w14:paraId="254ABEDA" w14:textId="77777777" w:rsidR="00870824" w:rsidRPr="00E66348" w:rsidRDefault="00870824" w:rsidP="006A4AB8">
      <w:pPr>
        <w:pStyle w:val="Excluded"/>
        <w:rPr>
          <w:noProof/>
        </w:rPr>
      </w:pPr>
      <w:r w:rsidRPr="00E66348">
        <w:rPr>
          <w:noProof/>
        </w:rPr>
        <w:t xml:space="preserve">Jorge C, Santos-Rocha R, Bento T (2015) Can group exercise programs improve health outcomes in pregnant women? A systematic review. </w:t>
      </w:r>
      <w:r w:rsidRPr="00E66348">
        <w:rPr>
          <w:i/>
          <w:noProof/>
        </w:rPr>
        <w:t>Curr Women’s Health Rev</w:t>
      </w:r>
      <w:r w:rsidRPr="00E66348">
        <w:rPr>
          <w:noProof/>
        </w:rPr>
        <w:t xml:space="preserve"> 11: 75-85.</w:t>
      </w:r>
    </w:p>
    <w:p w14:paraId="3F887C0D" w14:textId="77777777" w:rsidR="00870824" w:rsidRPr="00E66348" w:rsidRDefault="00870824" w:rsidP="006A4AB8">
      <w:pPr>
        <w:pStyle w:val="Excluded"/>
        <w:rPr>
          <w:noProof/>
        </w:rPr>
      </w:pPr>
      <w:r w:rsidRPr="00E66348">
        <w:rPr>
          <w:noProof/>
        </w:rPr>
        <w:t xml:space="preserve">Kinnunen TI, Raitanen J, Aittasalo M et al (2012) Preventing excessive gestational weight gain--a secondary analysis of a cluster-randomised controlled trial. </w:t>
      </w:r>
      <w:r w:rsidRPr="00E66348">
        <w:rPr>
          <w:i/>
          <w:noProof/>
        </w:rPr>
        <w:t>Eur J Clin Nutr</w:t>
      </w:r>
      <w:r w:rsidRPr="00E66348">
        <w:rPr>
          <w:noProof/>
        </w:rPr>
        <w:t xml:space="preserve"> 66(12): 1344-50.</w:t>
      </w:r>
    </w:p>
    <w:p w14:paraId="720BC3CE" w14:textId="77777777" w:rsidR="00870824" w:rsidRPr="00E66348" w:rsidRDefault="00870824" w:rsidP="006A4AB8">
      <w:pPr>
        <w:pStyle w:val="Excluded"/>
        <w:rPr>
          <w:noProof/>
        </w:rPr>
      </w:pPr>
      <w:r w:rsidRPr="00E66348">
        <w:rPr>
          <w:noProof/>
        </w:rPr>
        <w:t xml:space="preserve">Koivusalo SB, Rono K, Klemetti MM et al (2016) Gestational diabetes mellitus can be prevented by lifestyle intervention: the finnish gestational diabetes prevention study (RADIEL): A Randomized Controlled Trial. </w:t>
      </w:r>
      <w:r w:rsidRPr="00E66348">
        <w:rPr>
          <w:i/>
          <w:noProof/>
        </w:rPr>
        <w:t>Diabetes Care</w:t>
      </w:r>
      <w:r w:rsidRPr="00E66348">
        <w:rPr>
          <w:noProof/>
        </w:rPr>
        <w:t xml:space="preserve"> 39(1): 24-30.</w:t>
      </w:r>
    </w:p>
    <w:p w14:paraId="4863A1CF" w14:textId="77777777" w:rsidR="00870824" w:rsidRPr="00073FD2" w:rsidRDefault="00870824" w:rsidP="0030223E">
      <w:pPr>
        <w:pStyle w:val="Excluded"/>
        <w:rPr>
          <w:noProof/>
        </w:rPr>
      </w:pPr>
      <w:r w:rsidRPr="00073FD2">
        <w:rPr>
          <w:noProof/>
        </w:rPr>
        <w:t xml:space="preserve">Kunath J, Gunther J, Rauh K et al (2019) Effects of a lifestyle intervention during pregnancy to prevent excessive gestational weight gain in routine care - the cluster-randomised GeliS trial. </w:t>
      </w:r>
      <w:r w:rsidRPr="00073FD2">
        <w:rPr>
          <w:i/>
          <w:noProof/>
        </w:rPr>
        <w:t>BMC Med</w:t>
      </w:r>
      <w:r w:rsidRPr="00073FD2">
        <w:rPr>
          <w:noProof/>
        </w:rPr>
        <w:t xml:space="preserve"> 17(1): 5.</w:t>
      </w:r>
    </w:p>
    <w:p w14:paraId="3143524C" w14:textId="77777777" w:rsidR="00870824" w:rsidRPr="00E66348" w:rsidRDefault="00870824" w:rsidP="006A4AB8">
      <w:pPr>
        <w:pStyle w:val="Excluded"/>
        <w:rPr>
          <w:noProof/>
        </w:rPr>
      </w:pPr>
      <w:r w:rsidRPr="00E66348">
        <w:rPr>
          <w:noProof/>
        </w:rPr>
        <w:t xml:space="preserve">Luoto R, Kinnunen TI, Aittasalo M et al (2011) Primary prevention of gestational diabetes mellitus and large-for-gestational-age newborns by lifestyle counseling: a cluster-randomized controlled trial. </w:t>
      </w:r>
      <w:r w:rsidRPr="00E66348">
        <w:rPr>
          <w:i/>
          <w:noProof/>
        </w:rPr>
        <w:t>PLoS Med</w:t>
      </w:r>
      <w:r w:rsidRPr="00E66348">
        <w:rPr>
          <w:noProof/>
        </w:rPr>
        <w:t xml:space="preserve"> 8(5): e1001036.</w:t>
      </w:r>
    </w:p>
    <w:p w14:paraId="7EB90E1D" w14:textId="77777777" w:rsidR="00870824" w:rsidRPr="00E66348" w:rsidRDefault="00870824" w:rsidP="006A4AB8">
      <w:pPr>
        <w:pStyle w:val="Excluded"/>
        <w:rPr>
          <w:noProof/>
        </w:rPr>
      </w:pPr>
      <w:r w:rsidRPr="00E66348">
        <w:rPr>
          <w:noProof/>
        </w:rPr>
        <w:t xml:space="preserve">Muktabhant B, Lawrie TA, Lumbiganon P et al (2015) Diet or exercise, or both, for preventing excessive weight gain in pregnancy. </w:t>
      </w:r>
      <w:r w:rsidRPr="00E66348">
        <w:rPr>
          <w:i/>
          <w:noProof/>
        </w:rPr>
        <w:t>Cochrane Database Syst Rev</w:t>
      </w:r>
      <w:r w:rsidRPr="00E66348">
        <w:rPr>
          <w:noProof/>
        </w:rPr>
        <w:t>(6): CD007145.</w:t>
      </w:r>
    </w:p>
    <w:p w14:paraId="1C5F6CF1" w14:textId="77777777" w:rsidR="00870824" w:rsidRPr="00073FD2" w:rsidRDefault="00870824" w:rsidP="0030223E">
      <w:pPr>
        <w:pStyle w:val="Excluded"/>
        <w:rPr>
          <w:noProof/>
        </w:rPr>
      </w:pPr>
      <w:r w:rsidRPr="00073FD2">
        <w:rPr>
          <w:noProof/>
        </w:rPr>
        <w:t xml:space="preserve">Nagpal TS, Prapavessis H, Campbell CG et al (2020) Sequential Introduction of Exercise First Followed by Nutrition Improves Program Adherence During Pregnancy: a Randomized Controlled Trial. </w:t>
      </w:r>
      <w:r w:rsidRPr="00073FD2">
        <w:rPr>
          <w:i/>
          <w:noProof/>
        </w:rPr>
        <w:t>Int J Behav Med</w:t>
      </w:r>
      <w:r w:rsidRPr="00073FD2">
        <w:rPr>
          <w:noProof/>
        </w:rPr>
        <w:t xml:space="preserve"> 27(1): 108-18.</w:t>
      </w:r>
    </w:p>
    <w:p w14:paraId="13E31D84" w14:textId="77777777" w:rsidR="00870824" w:rsidRPr="00E66348" w:rsidRDefault="00870824" w:rsidP="006A4AB8">
      <w:pPr>
        <w:pStyle w:val="Excluded"/>
        <w:rPr>
          <w:noProof/>
        </w:rPr>
      </w:pPr>
      <w:r w:rsidRPr="00E66348">
        <w:rPr>
          <w:noProof/>
        </w:rPr>
        <w:t xml:space="preserve">Nicodemus NA, Jr. (2018) Prevention of excessive gestational weight gain and postpartum weight retention. </w:t>
      </w:r>
      <w:r w:rsidRPr="00E66348">
        <w:rPr>
          <w:i/>
          <w:noProof/>
        </w:rPr>
        <w:t>Curr Obes Rep</w:t>
      </w:r>
      <w:r w:rsidRPr="00E66348">
        <w:rPr>
          <w:noProof/>
        </w:rPr>
        <w:t xml:space="preserve"> 7(2): 105-11.</w:t>
      </w:r>
    </w:p>
    <w:p w14:paraId="0AEFFAC4" w14:textId="77777777" w:rsidR="00870824" w:rsidRPr="00E66348" w:rsidRDefault="00870824" w:rsidP="006A4AB8">
      <w:pPr>
        <w:pStyle w:val="Excluded"/>
        <w:rPr>
          <w:noProof/>
        </w:rPr>
      </w:pPr>
      <w:r w:rsidRPr="00E66348">
        <w:rPr>
          <w:noProof/>
        </w:rPr>
        <w:t xml:space="preserve">Nobles C, Marcus BH, Stanek EJ, 3rd et al (2018) The effect of an exercise intervention on gestational weight gain: The Behaviors Affecting Baby and You (B.A.B.Y.) Study: A randomized controlled trial. </w:t>
      </w:r>
      <w:r w:rsidRPr="00E66348">
        <w:rPr>
          <w:i/>
          <w:noProof/>
        </w:rPr>
        <w:t>Am J Health Promot</w:t>
      </w:r>
      <w:r w:rsidRPr="00E66348">
        <w:rPr>
          <w:noProof/>
        </w:rPr>
        <w:t xml:space="preserve"> 32(3): 736-44.</w:t>
      </w:r>
    </w:p>
    <w:p w14:paraId="3373F251" w14:textId="77777777" w:rsidR="00870824" w:rsidRPr="00E66348" w:rsidRDefault="00870824" w:rsidP="006A4AB8">
      <w:pPr>
        <w:pStyle w:val="Excluded"/>
        <w:rPr>
          <w:noProof/>
        </w:rPr>
      </w:pPr>
      <w:r w:rsidRPr="00E66348">
        <w:rPr>
          <w:noProof/>
        </w:rPr>
        <w:t xml:space="preserve">O'Brien CM, Grivell RM, Dodd JM (2016) Systematic review of antenatal dietary and lifestyle interventions in women with a normal body mass index. </w:t>
      </w:r>
      <w:r w:rsidRPr="00E66348">
        <w:rPr>
          <w:i/>
          <w:noProof/>
        </w:rPr>
        <w:t>Acta Obstet Gynecol Scand</w:t>
      </w:r>
      <w:r w:rsidRPr="00E66348">
        <w:rPr>
          <w:noProof/>
        </w:rPr>
        <w:t xml:space="preserve"> 95(3): 259-69.</w:t>
      </w:r>
    </w:p>
    <w:p w14:paraId="0223E159" w14:textId="77777777" w:rsidR="00870824" w:rsidRPr="00E66348" w:rsidRDefault="00870824" w:rsidP="006A4AB8">
      <w:pPr>
        <w:pStyle w:val="Excluded"/>
        <w:rPr>
          <w:noProof/>
        </w:rPr>
      </w:pPr>
      <w:r w:rsidRPr="00E66348">
        <w:rPr>
          <w:noProof/>
        </w:rPr>
        <w:t xml:space="preserve">O'Brien OA, McCarthy M, Gibney ER et al (2014) Technology-supported dietary and lifestyle interventions in healthy pregnant women: a systematic review. </w:t>
      </w:r>
      <w:r w:rsidRPr="00E66348">
        <w:rPr>
          <w:i/>
          <w:noProof/>
        </w:rPr>
        <w:t>Eur J Clin Nutr</w:t>
      </w:r>
      <w:r w:rsidRPr="00E66348">
        <w:rPr>
          <w:noProof/>
        </w:rPr>
        <w:t xml:space="preserve"> 68(7): 760-6.</w:t>
      </w:r>
    </w:p>
    <w:p w14:paraId="3588D798" w14:textId="77777777" w:rsidR="00870824" w:rsidRPr="00BA13EF" w:rsidRDefault="00870824" w:rsidP="00870824">
      <w:pPr>
        <w:pStyle w:val="Excluded"/>
      </w:pPr>
      <w:r w:rsidRPr="00BA13EF">
        <w:t xml:space="preserve">Obinna EA, Martins NUN, </w:t>
      </w:r>
      <w:r>
        <w:t>Ugp</w:t>
      </w:r>
      <w:r w:rsidRPr="00BA13EF">
        <w:t xml:space="preserve">chukwu N et al. Effects of aerobic exercise on the gestational </w:t>
      </w:r>
      <w:r>
        <w:t>weight</w:t>
      </w:r>
      <w:r w:rsidRPr="00BA13EF">
        <w:t xml:space="preserve"> gain of healthy pregnant women–a systematic review. Indian J Physiother Occupat Ther. 2019; 13(2): 29-32.</w:t>
      </w:r>
    </w:p>
    <w:p w14:paraId="5DC3A7E7" w14:textId="77777777" w:rsidR="00870824" w:rsidRPr="00073FD2" w:rsidRDefault="00870824" w:rsidP="0030223E">
      <w:pPr>
        <w:pStyle w:val="Excluded"/>
        <w:rPr>
          <w:noProof/>
        </w:rPr>
      </w:pPr>
      <w:r w:rsidRPr="00073FD2">
        <w:rPr>
          <w:noProof/>
        </w:rPr>
        <w:t xml:space="preserve">Okesene-Gafa KAM, Li M, McKinlay CJD et al (2019) Effect of antenatal dietary interventions in maternal obesity on pregnancy weight-gain and birthweight: Healthy Mums and Babies (HUMBA) randomized trial. </w:t>
      </w:r>
      <w:r w:rsidRPr="00073FD2">
        <w:rPr>
          <w:i/>
          <w:noProof/>
        </w:rPr>
        <w:t>Am J Obstet Gynecol</w:t>
      </w:r>
      <w:r w:rsidRPr="00073FD2">
        <w:rPr>
          <w:noProof/>
        </w:rPr>
        <w:t xml:space="preserve"> 221(2): 152 e1-52 e13.</w:t>
      </w:r>
    </w:p>
    <w:p w14:paraId="360D36EA" w14:textId="77777777" w:rsidR="00870824" w:rsidRPr="00073FD2" w:rsidRDefault="00870824" w:rsidP="0030223E">
      <w:pPr>
        <w:pStyle w:val="Excluded"/>
        <w:rPr>
          <w:noProof/>
        </w:rPr>
      </w:pPr>
      <w:r w:rsidRPr="00073FD2">
        <w:rPr>
          <w:noProof/>
        </w:rPr>
        <w:t xml:space="preserve">Pelaez M, Gonzalez-Cerron S, Montejo R et al (2019) Protective Effect of Exercise in Pregnant Women Including Those Who Exceed Weight Gain Recommendations: A Randomized Controlled Trial. </w:t>
      </w:r>
      <w:r w:rsidRPr="00073FD2">
        <w:rPr>
          <w:i/>
          <w:noProof/>
        </w:rPr>
        <w:t>Mayo Clin Proc</w:t>
      </w:r>
      <w:r w:rsidRPr="00073FD2">
        <w:rPr>
          <w:noProof/>
        </w:rPr>
        <w:t xml:space="preserve"> 94(10): 1951-59.</w:t>
      </w:r>
    </w:p>
    <w:p w14:paraId="34007B5C" w14:textId="77777777" w:rsidR="00870824" w:rsidRPr="00E66348" w:rsidRDefault="00870824" w:rsidP="006A4AB8">
      <w:pPr>
        <w:pStyle w:val="Excluded"/>
        <w:rPr>
          <w:noProof/>
        </w:rPr>
      </w:pPr>
      <w:r w:rsidRPr="00E66348">
        <w:rPr>
          <w:noProof/>
        </w:rPr>
        <w:t xml:space="preserve">Petrella E, Malavolti M, Bertarini V et al (2014) Gestational weight gain in overweight and obese women enrolled in a healthy lifestyle and eating habits program. </w:t>
      </w:r>
      <w:r w:rsidRPr="00E66348">
        <w:rPr>
          <w:i/>
          <w:noProof/>
        </w:rPr>
        <w:t>J Matern Fetal Neonatal Med</w:t>
      </w:r>
      <w:r w:rsidRPr="00E66348">
        <w:rPr>
          <w:noProof/>
        </w:rPr>
        <w:t xml:space="preserve"> 27(13): 1348-52.</w:t>
      </w:r>
    </w:p>
    <w:p w14:paraId="118955C9" w14:textId="77777777" w:rsidR="00870824" w:rsidRPr="00E66348" w:rsidRDefault="00870824" w:rsidP="006A4AB8">
      <w:pPr>
        <w:pStyle w:val="Excluded"/>
        <w:rPr>
          <w:noProof/>
        </w:rPr>
      </w:pPr>
      <w:r w:rsidRPr="00E66348">
        <w:rPr>
          <w:noProof/>
        </w:rPr>
        <w:t xml:space="preserve">Poston L (2015) Do physical activity interventions prevent gestational diabetes? </w:t>
      </w:r>
      <w:r w:rsidRPr="00E66348">
        <w:rPr>
          <w:i/>
          <w:noProof/>
        </w:rPr>
        <w:t>BJOG</w:t>
      </w:r>
      <w:r w:rsidRPr="00E66348">
        <w:rPr>
          <w:noProof/>
        </w:rPr>
        <w:t xml:space="preserve"> 122(9): 1175.</w:t>
      </w:r>
    </w:p>
    <w:p w14:paraId="5CACBFEF" w14:textId="77777777" w:rsidR="00870824" w:rsidRPr="00E66348" w:rsidRDefault="00870824" w:rsidP="006A4AB8">
      <w:pPr>
        <w:pStyle w:val="Excluded"/>
        <w:rPr>
          <w:noProof/>
        </w:rPr>
      </w:pPr>
      <w:r w:rsidRPr="00E66348">
        <w:rPr>
          <w:noProof/>
        </w:rPr>
        <w:t xml:space="preserve">Poston L, Bell R, Croker H et al (2015) Effect of a behavioural intervention in obese pregnant women (the UPBEAT study): a multicentre, randomised controlled trial. </w:t>
      </w:r>
      <w:r w:rsidRPr="00E66348">
        <w:rPr>
          <w:i/>
          <w:noProof/>
        </w:rPr>
        <w:t>The Lancet Diabetes &amp; Endocrinology</w:t>
      </w:r>
      <w:r w:rsidRPr="00E66348">
        <w:rPr>
          <w:noProof/>
        </w:rPr>
        <w:t xml:space="preserve"> 3(10): 767-77.</w:t>
      </w:r>
    </w:p>
    <w:p w14:paraId="6A4C0B57" w14:textId="77777777" w:rsidR="00870824" w:rsidRPr="00E66348" w:rsidRDefault="00870824" w:rsidP="006A4AB8">
      <w:pPr>
        <w:pStyle w:val="Excluded"/>
        <w:rPr>
          <w:noProof/>
        </w:rPr>
      </w:pPr>
      <w:r w:rsidRPr="00E66348">
        <w:rPr>
          <w:noProof/>
        </w:rPr>
        <w:t xml:space="preserve">Rauh K, Gabriel E, Kerschbaum E et al (2013) Safety and efficacy of a lifestyle intervention for pregnant women to prevent excessive maternal weight gain: a cluster-randomized controlled trial. </w:t>
      </w:r>
      <w:r w:rsidRPr="00E66348">
        <w:rPr>
          <w:i/>
          <w:noProof/>
        </w:rPr>
        <w:t>BMC Pregnancy Childbirth</w:t>
      </w:r>
      <w:r w:rsidRPr="00E66348">
        <w:rPr>
          <w:noProof/>
        </w:rPr>
        <w:t xml:space="preserve"> 13: 151.</w:t>
      </w:r>
    </w:p>
    <w:p w14:paraId="025BE871" w14:textId="77777777" w:rsidR="00870824" w:rsidRPr="00E66348" w:rsidRDefault="00870824" w:rsidP="006A4AB8">
      <w:pPr>
        <w:pStyle w:val="Excluded"/>
        <w:rPr>
          <w:noProof/>
        </w:rPr>
      </w:pPr>
      <w:r w:rsidRPr="00E66348">
        <w:rPr>
          <w:noProof/>
        </w:rPr>
        <w:t xml:space="preserve">Renault KM, Norgaard K, Nilas L et al (2014) The Treatment of Obese Pregnant Women (TOP) study: a randomized controlled trial of the effect of physical activity intervention assessed by pedometer with or without dietary intervention in obese pregnant women. </w:t>
      </w:r>
      <w:r w:rsidRPr="00E66348">
        <w:rPr>
          <w:i/>
          <w:noProof/>
        </w:rPr>
        <w:t>Am J Obstet Gynecol</w:t>
      </w:r>
      <w:r w:rsidRPr="00E66348">
        <w:rPr>
          <w:noProof/>
        </w:rPr>
        <w:t xml:space="preserve"> 210(2): 134 e1-9.</w:t>
      </w:r>
    </w:p>
    <w:p w14:paraId="1AF0F6BE" w14:textId="77777777" w:rsidR="00870824" w:rsidRPr="00073FD2" w:rsidRDefault="00870824" w:rsidP="0030223E">
      <w:pPr>
        <w:pStyle w:val="Excluded"/>
        <w:rPr>
          <w:noProof/>
        </w:rPr>
      </w:pPr>
      <w:r w:rsidRPr="00073FD2">
        <w:rPr>
          <w:noProof/>
        </w:rPr>
        <w:t xml:space="preserve">Rodriguez-Blanque R, Sanchez-Garcia JC, Sanchez-Lopez AM et al (2019) Randomized Clinical Trial of an Aquatic Physical Exercise Program During Pregnancy. </w:t>
      </w:r>
      <w:r w:rsidRPr="00073FD2">
        <w:rPr>
          <w:i/>
          <w:noProof/>
        </w:rPr>
        <w:t>J Obstet Gynecol Neonatal Nurs</w:t>
      </w:r>
      <w:r w:rsidRPr="00073FD2">
        <w:rPr>
          <w:noProof/>
        </w:rPr>
        <w:t xml:space="preserve"> 48(3): 321-31.</w:t>
      </w:r>
    </w:p>
    <w:p w14:paraId="293699A4" w14:textId="77777777" w:rsidR="00870824" w:rsidRPr="00E66348" w:rsidRDefault="00870824" w:rsidP="006A4AB8">
      <w:pPr>
        <w:pStyle w:val="Excluded"/>
        <w:rPr>
          <w:noProof/>
        </w:rPr>
      </w:pPr>
      <w:r w:rsidRPr="00E66348">
        <w:rPr>
          <w:noProof/>
        </w:rPr>
        <w:t xml:space="preserve">Rogozinska E, Marlin N, Jackson L et al (2017) Effects of antenatal diet and physical activity on maternal and fetal outcomes: individual patient data meta-analysis and health economic evaluation. </w:t>
      </w:r>
      <w:r w:rsidRPr="00E66348">
        <w:rPr>
          <w:i/>
          <w:noProof/>
        </w:rPr>
        <w:t>Health Technol Assess</w:t>
      </w:r>
      <w:r w:rsidRPr="00E66348">
        <w:rPr>
          <w:noProof/>
        </w:rPr>
        <w:t xml:space="preserve"> 21(41): 1-158.</w:t>
      </w:r>
    </w:p>
    <w:p w14:paraId="2EB0DF0D" w14:textId="77777777" w:rsidR="00870824" w:rsidRPr="00E66348" w:rsidRDefault="00870824" w:rsidP="006A4AB8">
      <w:pPr>
        <w:pStyle w:val="Excluded"/>
        <w:rPr>
          <w:noProof/>
        </w:rPr>
      </w:pPr>
      <w:r w:rsidRPr="00E66348">
        <w:rPr>
          <w:noProof/>
        </w:rPr>
        <w:t xml:space="preserve">Ronnberg AK &amp; Nilsson K (2010) Interventions during pregnancy to reduce excessive gestational weight gain: a systematic review assessing current clinical evidence using the Grading of Recommendations, Assessment, Development and Evaluation (GRADE) system. </w:t>
      </w:r>
      <w:r w:rsidRPr="00E66348">
        <w:rPr>
          <w:i/>
          <w:noProof/>
        </w:rPr>
        <w:t>BJOG</w:t>
      </w:r>
      <w:r w:rsidRPr="00E66348">
        <w:rPr>
          <w:noProof/>
        </w:rPr>
        <w:t xml:space="preserve"> 117(11): 1327-34.</w:t>
      </w:r>
    </w:p>
    <w:p w14:paraId="5269D195" w14:textId="77777777" w:rsidR="00870824" w:rsidRPr="00E66348" w:rsidRDefault="00870824" w:rsidP="006A4AB8">
      <w:pPr>
        <w:pStyle w:val="Excluded"/>
        <w:rPr>
          <w:noProof/>
        </w:rPr>
      </w:pPr>
      <w:r w:rsidRPr="00E66348">
        <w:rPr>
          <w:noProof/>
        </w:rPr>
        <w:t xml:space="preserve">Ronnberg AK, Ostlund I, Fadl H et al (2015) Intervention during pregnancy to reduce excessive gestational weight gain-a randomised controlled trial. </w:t>
      </w:r>
      <w:r w:rsidRPr="00E66348">
        <w:rPr>
          <w:i/>
          <w:noProof/>
        </w:rPr>
        <w:t>BJOG</w:t>
      </w:r>
      <w:r w:rsidRPr="00E66348">
        <w:rPr>
          <w:noProof/>
        </w:rPr>
        <w:t xml:space="preserve"> 122(4): 537-44.</w:t>
      </w:r>
    </w:p>
    <w:p w14:paraId="409A357E" w14:textId="77777777" w:rsidR="00870824" w:rsidRPr="00E66348" w:rsidRDefault="00870824" w:rsidP="006A4AB8">
      <w:pPr>
        <w:pStyle w:val="Excluded"/>
        <w:rPr>
          <w:noProof/>
        </w:rPr>
      </w:pPr>
      <w:r w:rsidRPr="00E66348">
        <w:rPr>
          <w:noProof/>
        </w:rPr>
        <w:t xml:space="preserve">Sagedal LR, Sanda B, Overby NC et al (2017) The effect of prenatal lifestyle intervention on weight retention 12 months postpartum: results of the Norwegian Fit for Delivery randomised controlled trial. </w:t>
      </w:r>
      <w:r w:rsidRPr="00E66348">
        <w:rPr>
          <w:i/>
          <w:noProof/>
        </w:rPr>
        <w:t>BJOG</w:t>
      </w:r>
      <w:r w:rsidRPr="00E66348">
        <w:rPr>
          <w:noProof/>
        </w:rPr>
        <w:t xml:space="preserve"> 124(1): 111-21.</w:t>
      </w:r>
    </w:p>
    <w:p w14:paraId="7702FFFB" w14:textId="77777777" w:rsidR="00870824" w:rsidRPr="00073FD2" w:rsidRDefault="00870824" w:rsidP="0030223E">
      <w:pPr>
        <w:pStyle w:val="Excluded"/>
        <w:rPr>
          <w:noProof/>
        </w:rPr>
      </w:pPr>
      <w:r w:rsidRPr="00073FD2">
        <w:rPr>
          <w:noProof/>
        </w:rPr>
        <w:t xml:space="preserve">Schumacher TL, Weatherall L, Keogh L et al (2019) Reprint of characterizing gestational weight gain in a cohort of indigenous Australian women. </w:t>
      </w:r>
      <w:r w:rsidRPr="00073FD2">
        <w:rPr>
          <w:i/>
          <w:noProof/>
        </w:rPr>
        <w:t>Midwifery</w:t>
      </w:r>
      <w:r w:rsidRPr="00073FD2">
        <w:rPr>
          <w:noProof/>
        </w:rPr>
        <w:t xml:space="preserve"> 74: 148-56.</w:t>
      </w:r>
    </w:p>
    <w:p w14:paraId="49233EE3" w14:textId="77777777" w:rsidR="00870824" w:rsidRPr="00E66348" w:rsidRDefault="00870824" w:rsidP="006A4AB8">
      <w:pPr>
        <w:pStyle w:val="Excluded"/>
        <w:rPr>
          <w:noProof/>
        </w:rPr>
      </w:pPr>
      <w:r w:rsidRPr="00E66348">
        <w:rPr>
          <w:noProof/>
        </w:rPr>
        <w:t xml:space="preserve">Shepherd E, Gomersall JC, Tieu J et al (2017) Combined diet and exercise interventions for preventing gestational diabetes mellitus. </w:t>
      </w:r>
      <w:r w:rsidRPr="00E66348">
        <w:rPr>
          <w:i/>
          <w:noProof/>
        </w:rPr>
        <w:t>Cochrane Database Syst Rev</w:t>
      </w:r>
      <w:r w:rsidRPr="00E66348">
        <w:rPr>
          <w:noProof/>
        </w:rPr>
        <w:t xml:space="preserve"> 11: CD010443.</w:t>
      </w:r>
    </w:p>
    <w:p w14:paraId="68306A4C" w14:textId="77777777" w:rsidR="00870824" w:rsidRPr="00E66348" w:rsidRDefault="00870824" w:rsidP="006A4AB8">
      <w:pPr>
        <w:pStyle w:val="Excluded"/>
        <w:rPr>
          <w:noProof/>
        </w:rPr>
      </w:pPr>
      <w:r w:rsidRPr="00E66348">
        <w:rPr>
          <w:noProof/>
        </w:rPr>
        <w:t xml:space="preserve">Simmons D, Devlieger R, van Assche A et al (2017) Effect of physical activity and/or healthy eating on GDM risk: The DALI Lifestyle study. </w:t>
      </w:r>
      <w:r w:rsidRPr="00E66348">
        <w:rPr>
          <w:i/>
          <w:noProof/>
        </w:rPr>
        <w:t>J Clin Endocrinol Metab</w:t>
      </w:r>
      <w:r w:rsidRPr="00E66348">
        <w:rPr>
          <w:noProof/>
        </w:rPr>
        <w:t xml:space="preserve"> 102(3): 903-13.</w:t>
      </w:r>
    </w:p>
    <w:p w14:paraId="246ACBAA" w14:textId="77777777" w:rsidR="00870824" w:rsidRPr="00E66348" w:rsidRDefault="00870824" w:rsidP="006A4AB8">
      <w:pPr>
        <w:pStyle w:val="Excluded"/>
        <w:rPr>
          <w:noProof/>
        </w:rPr>
      </w:pPr>
      <w:r w:rsidRPr="00E66348">
        <w:rPr>
          <w:noProof/>
        </w:rPr>
        <w:t xml:space="preserve">Simmons D, Jelsma JG, Galjaard S et al (2015) Results From a European multicenter randomized trial of physical activity and/or healthy eating to reduce the risk of gestational diabetes mellitus: The DALI Lifestyle pilot. </w:t>
      </w:r>
      <w:r w:rsidRPr="00E66348">
        <w:rPr>
          <w:i/>
          <w:noProof/>
        </w:rPr>
        <w:t>Diabetes Care</w:t>
      </w:r>
      <w:r w:rsidRPr="00E66348">
        <w:rPr>
          <w:noProof/>
        </w:rPr>
        <w:t xml:space="preserve"> 38(9): 1650-6.</w:t>
      </w:r>
    </w:p>
    <w:p w14:paraId="3013FB5F" w14:textId="77777777" w:rsidR="00870824" w:rsidRPr="00E66348" w:rsidRDefault="00870824" w:rsidP="006A4AB8">
      <w:pPr>
        <w:pStyle w:val="Excluded"/>
        <w:rPr>
          <w:noProof/>
        </w:rPr>
      </w:pPr>
      <w:r w:rsidRPr="00E66348">
        <w:rPr>
          <w:noProof/>
        </w:rPr>
        <w:t xml:space="preserve">Thangaratinam S, Rogozinska E, Jolly K et al (2012) Effects of interventions in pregnancy on maternal weight and obstetric outcomes: meta-analysis of randomised evidence. </w:t>
      </w:r>
      <w:r w:rsidRPr="00E66348">
        <w:rPr>
          <w:i/>
          <w:noProof/>
        </w:rPr>
        <w:t>BMJ</w:t>
      </w:r>
      <w:r w:rsidRPr="00E66348">
        <w:rPr>
          <w:noProof/>
        </w:rPr>
        <w:t xml:space="preserve"> 344: e2088.</w:t>
      </w:r>
    </w:p>
    <w:p w14:paraId="099F3159" w14:textId="77777777" w:rsidR="00870824" w:rsidRPr="00E66348" w:rsidRDefault="00870824" w:rsidP="006A4AB8">
      <w:pPr>
        <w:pStyle w:val="Excluded"/>
        <w:rPr>
          <w:noProof/>
        </w:rPr>
      </w:pPr>
      <w:r w:rsidRPr="00E66348">
        <w:rPr>
          <w:noProof/>
        </w:rPr>
        <w:t xml:space="preserve">Tieu J, Shepherd E, Middleton P et al (2017) Dietary advice interventions in pregnancy for preventing gestational diabetes mellitus. </w:t>
      </w:r>
      <w:r w:rsidRPr="00E66348">
        <w:rPr>
          <w:i/>
          <w:noProof/>
        </w:rPr>
        <w:t>Cochrane Database Syst Rev</w:t>
      </w:r>
      <w:r w:rsidRPr="00E66348">
        <w:rPr>
          <w:noProof/>
        </w:rPr>
        <w:t xml:space="preserve"> 1: CD006674.</w:t>
      </w:r>
    </w:p>
    <w:p w14:paraId="3B34E1E6" w14:textId="77777777" w:rsidR="00870824" w:rsidRPr="00E66348" w:rsidRDefault="00870824" w:rsidP="006A4AB8">
      <w:pPr>
        <w:pStyle w:val="Excluded"/>
        <w:rPr>
          <w:noProof/>
        </w:rPr>
      </w:pPr>
      <w:r w:rsidRPr="00E66348">
        <w:rPr>
          <w:noProof/>
        </w:rPr>
        <w:t xml:space="preserve">Torres R, Soltero S, Trak MA et al (2016) Lifestyle modification intervention for overweight and obese Hispanic pregnant women: development, implementation, lessons learned and future applications. </w:t>
      </w:r>
      <w:r w:rsidRPr="00E66348">
        <w:rPr>
          <w:i/>
          <w:noProof/>
        </w:rPr>
        <w:t>Contemp Clin Trials Commun</w:t>
      </w:r>
      <w:r w:rsidRPr="00E66348">
        <w:rPr>
          <w:noProof/>
        </w:rPr>
        <w:t xml:space="preserve"> 3: 111-16.</w:t>
      </w:r>
    </w:p>
    <w:p w14:paraId="76CB01BA" w14:textId="77777777" w:rsidR="00870824" w:rsidRPr="00073FD2" w:rsidRDefault="00870824" w:rsidP="0030223E">
      <w:pPr>
        <w:pStyle w:val="Excluded"/>
        <w:rPr>
          <w:noProof/>
        </w:rPr>
      </w:pPr>
      <w:r w:rsidRPr="00073FD2">
        <w:rPr>
          <w:noProof/>
        </w:rPr>
        <w:t xml:space="preserve">Trak-Fellermeier MA, Campos M, Melendez M et al (2019) PEARLS randomized lifestyle trial in pregnant Hispanic women with overweight/obesity: gestational weight gain and offspring birthweight. </w:t>
      </w:r>
      <w:r w:rsidRPr="00073FD2">
        <w:rPr>
          <w:i/>
          <w:noProof/>
        </w:rPr>
        <w:t>Diabetes Metab Syndr Obes</w:t>
      </w:r>
      <w:r w:rsidRPr="00073FD2">
        <w:rPr>
          <w:noProof/>
        </w:rPr>
        <w:t xml:space="preserve"> 12: 225-38.</w:t>
      </w:r>
    </w:p>
    <w:p w14:paraId="650E4038" w14:textId="77777777" w:rsidR="00870824" w:rsidRPr="00E66348" w:rsidRDefault="00870824" w:rsidP="006A4AB8">
      <w:pPr>
        <w:pStyle w:val="Excluded"/>
        <w:rPr>
          <w:noProof/>
        </w:rPr>
      </w:pPr>
      <w:r w:rsidRPr="00E66348">
        <w:rPr>
          <w:noProof/>
        </w:rPr>
        <w:t xml:space="preserve">Vesco KK, Karanja N, King JC et al (2014) Efficacy of a group-based dietary intervention for limiting gestational weight gain among obese women: a randomized trial. </w:t>
      </w:r>
      <w:r w:rsidRPr="00E66348">
        <w:rPr>
          <w:i/>
          <w:noProof/>
        </w:rPr>
        <w:t>Obesity (Silver Spring)</w:t>
      </w:r>
      <w:r w:rsidRPr="00E66348">
        <w:rPr>
          <w:noProof/>
        </w:rPr>
        <w:t xml:space="preserve"> 22(9): 1989-96.</w:t>
      </w:r>
    </w:p>
    <w:p w14:paraId="6EC283BA" w14:textId="77777777" w:rsidR="00870824" w:rsidRPr="00073FD2" w:rsidRDefault="00870824" w:rsidP="0030223E">
      <w:pPr>
        <w:pStyle w:val="Excluded"/>
        <w:rPr>
          <w:noProof/>
        </w:rPr>
      </w:pPr>
      <w:r w:rsidRPr="00073FD2">
        <w:rPr>
          <w:noProof/>
        </w:rPr>
        <w:t xml:space="preserve">Vincze L, Rollo M, Hutchesson M et al (2019) Interventions including a nutrition component aimed at managing gestational weight gain or postpartum weight retention: a systematic review and meta-analysis. </w:t>
      </w:r>
      <w:r w:rsidRPr="00073FD2">
        <w:rPr>
          <w:i/>
          <w:noProof/>
        </w:rPr>
        <w:t>JBI Database System Rev Implement Rep</w:t>
      </w:r>
      <w:r w:rsidRPr="00073FD2">
        <w:rPr>
          <w:noProof/>
        </w:rPr>
        <w:t xml:space="preserve"> 17(3): 297-364.</w:t>
      </w:r>
    </w:p>
    <w:p w14:paraId="3744592D" w14:textId="77777777" w:rsidR="00870824" w:rsidRPr="00073FD2" w:rsidRDefault="00870824" w:rsidP="0030223E">
      <w:pPr>
        <w:pStyle w:val="Excluded"/>
        <w:rPr>
          <w:noProof/>
        </w:rPr>
      </w:pPr>
      <w:r w:rsidRPr="00073FD2">
        <w:rPr>
          <w:noProof/>
        </w:rPr>
        <w:t xml:space="preserve">Voerman E, Santos S, Patro Golab B et al (2019) Maternal body mass index, gestational weight gain, and the risk of overweight and obesity across childhood: An individual participant data meta-analysis. </w:t>
      </w:r>
      <w:r w:rsidRPr="00073FD2">
        <w:rPr>
          <w:i/>
          <w:noProof/>
        </w:rPr>
        <w:t>PLoS Med</w:t>
      </w:r>
      <w:r w:rsidRPr="00073FD2">
        <w:rPr>
          <w:noProof/>
        </w:rPr>
        <w:t xml:space="preserve"> 16(2): e1002744.</w:t>
      </w:r>
    </w:p>
    <w:p w14:paraId="541DEEAF" w14:textId="77777777" w:rsidR="00870824" w:rsidRPr="00E66348" w:rsidRDefault="00870824" w:rsidP="006A4AB8">
      <w:pPr>
        <w:pStyle w:val="Excluded"/>
        <w:rPr>
          <w:noProof/>
        </w:rPr>
      </w:pPr>
      <w:r w:rsidRPr="00E66348">
        <w:rPr>
          <w:noProof/>
        </w:rPr>
        <w:t xml:space="preserve">Walker R, Bennett C, Blumfield M et al (2018) Attenuating pregnancy weight gain-what works and why: A Systematic review and meta-analysis. </w:t>
      </w:r>
      <w:r w:rsidRPr="00E66348">
        <w:rPr>
          <w:i/>
          <w:noProof/>
        </w:rPr>
        <w:t>Nutrients</w:t>
      </w:r>
      <w:r w:rsidRPr="00E66348">
        <w:rPr>
          <w:noProof/>
        </w:rPr>
        <w:t xml:space="preserve"> 10(7).</w:t>
      </w:r>
    </w:p>
    <w:p w14:paraId="1B5A9986" w14:textId="77777777" w:rsidR="00870824" w:rsidRPr="00E66348" w:rsidRDefault="00870824" w:rsidP="006A4AB8">
      <w:pPr>
        <w:pStyle w:val="Excluded"/>
        <w:rPr>
          <w:noProof/>
        </w:rPr>
      </w:pPr>
      <w:r w:rsidRPr="00E66348">
        <w:rPr>
          <w:noProof/>
        </w:rPr>
        <w:t xml:space="preserve">Wang C, Wei Y, Zhang X et al (2017) A randomized clinical trial of exercise during pregnancy to prevent gestational diabetes mellitus and improve pregnancy outcome in overweight and obese pregnant women. </w:t>
      </w:r>
      <w:r w:rsidRPr="00E66348">
        <w:rPr>
          <w:i/>
          <w:noProof/>
        </w:rPr>
        <w:t>Am J Obstet Gynecol</w:t>
      </w:r>
      <w:r w:rsidRPr="00E66348">
        <w:rPr>
          <w:noProof/>
        </w:rPr>
        <w:t xml:space="preserve"> 216(4): 340-51.</w:t>
      </w:r>
    </w:p>
    <w:p w14:paraId="7DC07D5F" w14:textId="77777777" w:rsidR="00870824" w:rsidRPr="00E66348" w:rsidRDefault="00870824" w:rsidP="006A4AB8">
      <w:pPr>
        <w:pStyle w:val="Excluded"/>
        <w:rPr>
          <w:noProof/>
        </w:rPr>
      </w:pPr>
      <w:r w:rsidRPr="00E66348">
        <w:rPr>
          <w:noProof/>
        </w:rPr>
        <w:t xml:space="preserve">Wang S, Ma JM, Yang HX (2015) Lifestyle intervention for gestational diabetes mellitus prevention: A cluster-randomized controlled study. </w:t>
      </w:r>
      <w:r w:rsidRPr="00E66348">
        <w:rPr>
          <w:i/>
          <w:noProof/>
        </w:rPr>
        <w:t>Chronic Dis Transl Med</w:t>
      </w:r>
      <w:r w:rsidRPr="00E66348">
        <w:rPr>
          <w:noProof/>
        </w:rPr>
        <w:t xml:space="preserve"> 1(3): 169-74.</w:t>
      </w:r>
    </w:p>
    <w:p w14:paraId="5C96A197" w14:textId="77777777" w:rsidR="00870824" w:rsidRPr="00E66348" w:rsidRDefault="00870824" w:rsidP="006A4AB8">
      <w:pPr>
        <w:pStyle w:val="Excluded"/>
        <w:rPr>
          <w:noProof/>
        </w:rPr>
      </w:pPr>
      <w:r w:rsidRPr="00E66348">
        <w:rPr>
          <w:noProof/>
        </w:rPr>
        <w:t xml:space="preserve">Yeo S, Walker JS, Caughey MC et al (2017) What characteristics of nutrition and physical activity interventions are key to effectively reducing weight gain in obese or overweight pregnant women? A systematic review and meta-analysis. </w:t>
      </w:r>
      <w:r w:rsidRPr="00E66348">
        <w:rPr>
          <w:i/>
          <w:noProof/>
        </w:rPr>
        <w:t>Obes Rev</w:t>
      </w:r>
      <w:r w:rsidRPr="00E66348">
        <w:rPr>
          <w:noProof/>
        </w:rPr>
        <w:t xml:space="preserve"> 18(4): 385-99.</w:t>
      </w:r>
    </w:p>
    <w:p w14:paraId="76A96770" w14:textId="77777777" w:rsidR="006A4AB8" w:rsidRDefault="006A4AB8" w:rsidP="006A4AB8">
      <w:pPr>
        <w:pStyle w:val="Heading5"/>
      </w:pPr>
      <w:r>
        <w:t>Wrong study design</w:t>
      </w:r>
    </w:p>
    <w:p w14:paraId="5BF23B88" w14:textId="77777777" w:rsidR="006A4AB8" w:rsidRPr="0048311D" w:rsidRDefault="006A4AB8" w:rsidP="006A4AB8">
      <w:pPr>
        <w:pStyle w:val="Excluded"/>
        <w:rPr>
          <w:noProof/>
        </w:rPr>
      </w:pPr>
      <w:r w:rsidRPr="0048311D">
        <w:rPr>
          <w:noProof/>
        </w:rPr>
        <w:t xml:space="preserve">Dorise B, Byth K, McGee T et al (2020) A low intensity dietary intervention for reducing excessive gestational weight gain in an overweight and obese pregnant cohort. </w:t>
      </w:r>
      <w:r w:rsidRPr="0048311D">
        <w:rPr>
          <w:i/>
          <w:noProof/>
        </w:rPr>
        <w:t>Eat Weight Disord</w:t>
      </w:r>
      <w:r w:rsidRPr="0048311D">
        <w:rPr>
          <w:noProof/>
        </w:rPr>
        <w:t xml:space="preserve"> 25(2): 257-63.</w:t>
      </w:r>
    </w:p>
    <w:p w14:paraId="76E2B661" w14:textId="77777777" w:rsidR="006A4AB8" w:rsidRPr="0048311D" w:rsidRDefault="006A4AB8" w:rsidP="006A4AB8">
      <w:pPr>
        <w:pStyle w:val="Excluded"/>
        <w:rPr>
          <w:noProof/>
        </w:rPr>
      </w:pPr>
      <w:r w:rsidRPr="0048311D">
        <w:rPr>
          <w:noProof/>
        </w:rPr>
        <w:t xml:space="preserve">Haby K, Glantz A, Hanas R et al (2015) Mighty Mums - An antenatal health care intervention can reduce gestational weight gain in women with obesity. </w:t>
      </w:r>
      <w:r w:rsidRPr="0048311D">
        <w:rPr>
          <w:i/>
          <w:noProof/>
        </w:rPr>
        <w:t>Midwifery</w:t>
      </w:r>
      <w:r w:rsidRPr="0048311D">
        <w:rPr>
          <w:noProof/>
        </w:rPr>
        <w:t xml:space="preserve"> 31(7): 685-92.</w:t>
      </w:r>
    </w:p>
    <w:p w14:paraId="727BAF9B" w14:textId="77777777" w:rsidR="006A4AB8" w:rsidRPr="0048311D" w:rsidRDefault="006A4AB8" w:rsidP="006A4AB8">
      <w:pPr>
        <w:pStyle w:val="Excluded"/>
        <w:rPr>
          <w:noProof/>
        </w:rPr>
      </w:pPr>
      <w:r w:rsidRPr="0048311D">
        <w:rPr>
          <w:noProof/>
        </w:rPr>
        <w:t xml:space="preserve">Liu J, Wilcox S, Whitaker K et al (2015) Preventing excessive weight gain during pregnancy and promoting postpartum weight loss: a pilot lifestyle intervention for overweight and obese African American women. </w:t>
      </w:r>
      <w:r w:rsidRPr="0048311D">
        <w:rPr>
          <w:i/>
          <w:noProof/>
        </w:rPr>
        <w:t>Matern Child Health J</w:t>
      </w:r>
      <w:r w:rsidRPr="0048311D">
        <w:rPr>
          <w:noProof/>
        </w:rPr>
        <w:t xml:space="preserve"> 19(4): 840-9.</w:t>
      </w:r>
    </w:p>
    <w:p w14:paraId="484D9AA0" w14:textId="64F4815B" w:rsidR="00870824" w:rsidRPr="00F85A2A" w:rsidRDefault="00870824" w:rsidP="00870824">
      <w:pPr>
        <w:pStyle w:val="Excluded"/>
        <w:rPr>
          <w:noProof/>
        </w:rPr>
      </w:pPr>
      <w:r w:rsidRPr="00F85A2A">
        <w:rPr>
          <w:noProof/>
        </w:rPr>
        <w:t xml:space="preserve">Zheng Z, Bennett WL, Mueller NT et al (2019) Gestational weight gain and pregnancy complications in a high-risk, racially and ethnically diverse population. </w:t>
      </w:r>
      <w:r w:rsidRPr="00F85A2A">
        <w:rPr>
          <w:i/>
          <w:noProof/>
        </w:rPr>
        <w:t>J Womens Health (Larchmt)</w:t>
      </w:r>
      <w:r w:rsidRPr="00F85A2A">
        <w:rPr>
          <w:noProof/>
        </w:rPr>
        <w:t xml:space="preserve"> 28(3): 375-83.</w:t>
      </w:r>
    </w:p>
    <w:p w14:paraId="0688A562" w14:textId="77777777" w:rsidR="00E30B60" w:rsidRDefault="00E30B60" w:rsidP="006A4AB8">
      <w:pPr>
        <w:pStyle w:val="Heading5"/>
      </w:pPr>
      <w:r>
        <w:t>Wrong intervention</w:t>
      </w:r>
    </w:p>
    <w:p w14:paraId="35A81B6F" w14:textId="77777777" w:rsidR="00E30B60" w:rsidRPr="006B07BD" w:rsidRDefault="00E30B60" w:rsidP="00E30B60">
      <w:pPr>
        <w:pStyle w:val="Excluded"/>
        <w:rPr>
          <w:noProof/>
        </w:rPr>
      </w:pPr>
      <w:r w:rsidRPr="006B07BD">
        <w:rPr>
          <w:noProof/>
        </w:rPr>
        <w:t xml:space="preserve">D'Ambrosio V, Brunelli R, Vena F et al (2019) Metformin reduces maternal weight gain in obese pregnant women: A systematic review and meta-analysis of two randomized controlled trials. </w:t>
      </w:r>
      <w:r w:rsidRPr="006B07BD">
        <w:rPr>
          <w:i/>
          <w:noProof/>
        </w:rPr>
        <w:t>Diabetes Metab Res Rev</w:t>
      </w:r>
      <w:r w:rsidRPr="006B07BD">
        <w:rPr>
          <w:noProof/>
        </w:rPr>
        <w:t xml:space="preserve"> 35(6): e3164.</w:t>
      </w:r>
    </w:p>
    <w:p w14:paraId="0D314360" w14:textId="77777777" w:rsidR="00E30B60" w:rsidRPr="006B07BD" w:rsidRDefault="00E30B60" w:rsidP="00E30B60">
      <w:pPr>
        <w:pStyle w:val="Excluded"/>
        <w:rPr>
          <w:noProof/>
        </w:rPr>
      </w:pPr>
      <w:r w:rsidRPr="006B07BD">
        <w:rPr>
          <w:noProof/>
        </w:rPr>
        <w:t xml:space="preserve">Dodd JM, Louise J, Deussen AR et al (2019) Effect of metformin in addition to dietary and lifestyle advice for pregnant women who are overweight or obese: the GRoW randomised, double-blind, placebo-controlled trial. </w:t>
      </w:r>
      <w:r w:rsidRPr="006B07BD">
        <w:rPr>
          <w:i/>
          <w:noProof/>
        </w:rPr>
        <w:t>The Lancet Diabetes &amp; Endocrinology</w:t>
      </w:r>
      <w:r w:rsidRPr="006B07BD">
        <w:rPr>
          <w:noProof/>
        </w:rPr>
        <w:t xml:space="preserve"> 7(1): 15-24.</w:t>
      </w:r>
    </w:p>
    <w:p w14:paraId="232E30AC" w14:textId="2FC18E39" w:rsidR="00E30B60" w:rsidRPr="00E30B60" w:rsidRDefault="00E30B60" w:rsidP="00E30B60">
      <w:pPr>
        <w:pStyle w:val="Excluded"/>
        <w:rPr>
          <w:noProof/>
        </w:rPr>
      </w:pPr>
      <w:r w:rsidRPr="006B07BD">
        <w:rPr>
          <w:noProof/>
        </w:rPr>
        <w:t xml:space="preserve">Phillips JK, Skelly JM, Roberts LM et al (2019) Combined financial incentives and behavioral weight management to enhance adherence with gestational weight gain guidelines: a randomized controlled trial. </w:t>
      </w:r>
      <w:r w:rsidRPr="006B07BD">
        <w:rPr>
          <w:i/>
          <w:noProof/>
        </w:rPr>
        <w:t>American Journal of Obstetrics &amp; Gynecology MFM</w:t>
      </w:r>
      <w:r w:rsidRPr="006B07BD">
        <w:rPr>
          <w:noProof/>
        </w:rPr>
        <w:t xml:space="preserve"> 1(1): 42-49.</w:t>
      </w:r>
    </w:p>
    <w:p w14:paraId="2F79EE56" w14:textId="77777777" w:rsidR="00E30B60" w:rsidRDefault="00E30B60" w:rsidP="006A4AB8">
      <w:pPr>
        <w:pStyle w:val="Heading5"/>
      </w:pPr>
      <w:r>
        <w:t>Wrong outcomes</w:t>
      </w:r>
    </w:p>
    <w:p w14:paraId="07196F70" w14:textId="7FDFF2A4" w:rsidR="00E30B60" w:rsidRPr="00E30B60" w:rsidRDefault="00E30B60" w:rsidP="00E30B60">
      <w:pPr>
        <w:pStyle w:val="Excluded"/>
        <w:rPr>
          <w:noProof/>
        </w:rPr>
      </w:pPr>
      <w:r w:rsidRPr="00305752">
        <w:rPr>
          <w:noProof/>
        </w:rPr>
        <w:t xml:space="preserve">Hoffmann J, Gunther J, Geyer K et al (2019) Effects of a lifestyle intervention in routine care on prenatal physical activity - findings from the cluster-randomised GeliS trial. </w:t>
      </w:r>
      <w:r w:rsidRPr="00305752">
        <w:rPr>
          <w:i/>
          <w:noProof/>
        </w:rPr>
        <w:t>BMC Pregnancy Childbirth</w:t>
      </w:r>
      <w:r w:rsidRPr="00305752">
        <w:rPr>
          <w:noProof/>
        </w:rPr>
        <w:t xml:space="preserve"> 19(1): 414.</w:t>
      </w:r>
    </w:p>
    <w:p w14:paraId="0E0CBDA1" w14:textId="73B9139C" w:rsidR="006A4AB8" w:rsidRDefault="006A4AB8" w:rsidP="006A4AB8">
      <w:pPr>
        <w:pStyle w:val="Heading5"/>
      </w:pPr>
      <w:r>
        <w:t>Wrong comparator</w:t>
      </w:r>
    </w:p>
    <w:p w14:paraId="530A1322" w14:textId="77777777" w:rsidR="00870824" w:rsidRPr="00CA0320" w:rsidRDefault="00870824" w:rsidP="0030223E">
      <w:pPr>
        <w:pStyle w:val="Excluded"/>
        <w:rPr>
          <w:noProof/>
        </w:rPr>
      </w:pPr>
      <w:r w:rsidRPr="00CA0320">
        <w:rPr>
          <w:noProof/>
        </w:rPr>
        <w:t xml:space="preserve">Adam LM, Jarman M, Barker M et al (2020) Use of healthy conversation skills to promote healthy diets, physical activity and gestational weight gain: Results from a pilot randomised controlled trial. </w:t>
      </w:r>
      <w:r w:rsidRPr="00CA0320">
        <w:rPr>
          <w:i/>
          <w:noProof/>
        </w:rPr>
        <w:t>Patient Educ Couns</w:t>
      </w:r>
      <w:r w:rsidRPr="00CA0320">
        <w:rPr>
          <w:noProof/>
        </w:rPr>
        <w:t>.</w:t>
      </w:r>
    </w:p>
    <w:p w14:paraId="48E8A779" w14:textId="77777777" w:rsidR="00870824" w:rsidRPr="00133EB5" w:rsidRDefault="00870824" w:rsidP="00870824">
      <w:pPr>
        <w:pStyle w:val="Excluded"/>
        <w:rPr>
          <w:noProof/>
        </w:rPr>
      </w:pPr>
      <w:r w:rsidRPr="00133EB5">
        <w:rPr>
          <w:noProof/>
        </w:rPr>
        <w:t xml:space="preserve">Cahill AG, Haire-Joshu D, Cade WT et al (2018) Weight control program and gestational weight gain in disadvantaged women with overweight or obesity: a randomized clinical trial. </w:t>
      </w:r>
      <w:r w:rsidRPr="00133EB5">
        <w:rPr>
          <w:i/>
          <w:noProof/>
        </w:rPr>
        <w:t>Obesity (Silver Spring)</w:t>
      </w:r>
      <w:r w:rsidRPr="00133EB5">
        <w:rPr>
          <w:noProof/>
        </w:rPr>
        <w:t xml:space="preserve"> 26(3): 485-91.</w:t>
      </w:r>
    </w:p>
    <w:p w14:paraId="448CCF9A" w14:textId="77777777" w:rsidR="00870824" w:rsidRPr="00CA0320" w:rsidRDefault="00870824" w:rsidP="0030223E">
      <w:pPr>
        <w:pStyle w:val="Excluded"/>
        <w:rPr>
          <w:noProof/>
        </w:rPr>
      </w:pPr>
      <w:r w:rsidRPr="00CA0320">
        <w:rPr>
          <w:noProof/>
        </w:rPr>
        <w:t xml:space="preserve">Kominiarek MA, Lewkowitz AK, Carter E et al (2019) Gestational weight gain and group prenatal care: a systematic review and meta-analysis. </w:t>
      </w:r>
      <w:r w:rsidRPr="00CA0320">
        <w:rPr>
          <w:i/>
          <w:noProof/>
        </w:rPr>
        <w:t>BMC Pregnancy Childbirth</w:t>
      </w:r>
      <w:r w:rsidRPr="00CA0320">
        <w:rPr>
          <w:noProof/>
        </w:rPr>
        <w:t xml:space="preserve"> 19(1): 18.</w:t>
      </w:r>
    </w:p>
    <w:p w14:paraId="69050F06" w14:textId="77777777" w:rsidR="00870824" w:rsidRPr="00CA0320" w:rsidRDefault="00870824" w:rsidP="0030223E">
      <w:pPr>
        <w:pStyle w:val="Excluded"/>
        <w:rPr>
          <w:noProof/>
        </w:rPr>
      </w:pPr>
      <w:r w:rsidRPr="00CA0320">
        <w:rPr>
          <w:noProof/>
        </w:rPr>
        <w:t xml:space="preserve">Nagpal TS, Prapavessis H, Campbell CG et al (2020) Sequential Introduction of Exercise First Followed by Nutrition Improves Program Adherence During Pregnancy: a Randomized Controlled Trial. </w:t>
      </w:r>
      <w:r w:rsidRPr="00CA0320">
        <w:rPr>
          <w:i/>
          <w:noProof/>
        </w:rPr>
        <w:t>Int J Behav Med</w:t>
      </w:r>
      <w:r w:rsidRPr="00CA0320">
        <w:rPr>
          <w:noProof/>
        </w:rPr>
        <w:t xml:space="preserve"> 27(1): 108-18.</w:t>
      </w:r>
    </w:p>
    <w:p w14:paraId="021E4F59" w14:textId="77777777" w:rsidR="00870824" w:rsidRPr="00CA0320" w:rsidRDefault="00870824" w:rsidP="0030223E">
      <w:pPr>
        <w:pStyle w:val="Excluded"/>
        <w:rPr>
          <w:noProof/>
        </w:rPr>
      </w:pPr>
      <w:r w:rsidRPr="00CA0320">
        <w:rPr>
          <w:noProof/>
        </w:rPr>
        <w:t xml:space="preserve">Tubay AT, Mansalis KA, Simpson MJ et al (2019) The Effects of Group Prenatal Care on Infant Birthweight and Maternal Well-Being: A Randomized Controlled Trial. </w:t>
      </w:r>
      <w:r w:rsidRPr="00CA0320">
        <w:rPr>
          <w:i/>
          <w:noProof/>
        </w:rPr>
        <w:t>Mil Med</w:t>
      </w:r>
      <w:r w:rsidRPr="00CA0320">
        <w:rPr>
          <w:noProof/>
        </w:rPr>
        <w:t xml:space="preserve"> 184(5-6): e440-e46.</w:t>
      </w:r>
    </w:p>
    <w:p w14:paraId="4DD4A84B" w14:textId="77777777" w:rsidR="00872C17" w:rsidRDefault="00872C17" w:rsidP="00872C17">
      <w:pPr>
        <w:pStyle w:val="Heading5"/>
      </w:pPr>
      <w:r>
        <w:t>Wrong setting</w:t>
      </w:r>
    </w:p>
    <w:p w14:paraId="49D2BE9F" w14:textId="77777777" w:rsidR="00870824" w:rsidRPr="00674281" w:rsidRDefault="00870824" w:rsidP="00872C17">
      <w:pPr>
        <w:pStyle w:val="Excluded"/>
        <w:rPr>
          <w:noProof/>
        </w:rPr>
      </w:pPr>
      <w:r w:rsidRPr="00674281">
        <w:rPr>
          <w:noProof/>
        </w:rPr>
        <w:t xml:space="preserve">Atkinson L, Olander EK, French DP (2016) Acceptability of a weight management intervention for pregnant and postpartum women with BMI &gt;/=30 kg/m2: A qualitative evaluation of an individualized, home-based service. </w:t>
      </w:r>
      <w:r w:rsidRPr="00674281">
        <w:rPr>
          <w:i/>
          <w:noProof/>
        </w:rPr>
        <w:t>Matern Child Health J</w:t>
      </w:r>
      <w:r w:rsidRPr="00674281">
        <w:rPr>
          <w:noProof/>
        </w:rPr>
        <w:t xml:space="preserve"> 20(1): 88-96.</w:t>
      </w:r>
    </w:p>
    <w:p w14:paraId="34E7C343" w14:textId="77777777" w:rsidR="00870824" w:rsidRPr="00133EB5" w:rsidRDefault="00870824" w:rsidP="00872C17">
      <w:pPr>
        <w:pStyle w:val="Excluded"/>
        <w:rPr>
          <w:noProof/>
        </w:rPr>
      </w:pPr>
      <w:r w:rsidRPr="00133EB5">
        <w:rPr>
          <w:noProof/>
        </w:rPr>
        <w:t xml:space="preserve">Dodd JM, Louise J, Cramp C et al (2018) Evaluation of a smartphone nutrition and physical activity application to provide lifestyle advice to pregnant women: The SNAPP randomised trial. </w:t>
      </w:r>
      <w:r w:rsidRPr="00133EB5">
        <w:rPr>
          <w:i/>
          <w:noProof/>
        </w:rPr>
        <w:t>Matern Child Nutr</w:t>
      </w:r>
      <w:r w:rsidRPr="00133EB5">
        <w:rPr>
          <w:noProof/>
        </w:rPr>
        <w:t xml:space="preserve"> 14(1).</w:t>
      </w:r>
    </w:p>
    <w:p w14:paraId="3A3AB197" w14:textId="77777777" w:rsidR="00870824" w:rsidRPr="007F3EC1" w:rsidRDefault="00870824" w:rsidP="0030223E">
      <w:pPr>
        <w:pStyle w:val="Excluded"/>
        <w:rPr>
          <w:noProof/>
        </w:rPr>
      </w:pPr>
      <w:r w:rsidRPr="007F3EC1">
        <w:rPr>
          <w:noProof/>
        </w:rPr>
        <w:t xml:space="preserve">Farzandipour M, Nabovati E, Anvari S et al (2020) Phone-based interventions to control gestational weight gain: a systematic review on features and effects. </w:t>
      </w:r>
      <w:r w:rsidRPr="007F3EC1">
        <w:rPr>
          <w:i/>
          <w:noProof/>
        </w:rPr>
        <w:t>Inform Health Soc Care</w:t>
      </w:r>
      <w:r w:rsidRPr="007F3EC1">
        <w:rPr>
          <w:noProof/>
        </w:rPr>
        <w:t xml:space="preserve"> 45(1): 15-30.</w:t>
      </w:r>
    </w:p>
    <w:p w14:paraId="78BBB5EF" w14:textId="77777777" w:rsidR="00870824" w:rsidRPr="007F3EC1" w:rsidRDefault="00870824" w:rsidP="0030223E">
      <w:pPr>
        <w:pStyle w:val="Excluded"/>
        <w:rPr>
          <w:noProof/>
        </w:rPr>
      </w:pPr>
      <w:r w:rsidRPr="007F3EC1">
        <w:rPr>
          <w:noProof/>
        </w:rPr>
        <w:t xml:space="preserve">Herring SJ, Albert JJ, Darden N et al (2019) Targeting pregnancy-related weight gain to reduce disparities in obesity: Baseline results from the Healthy Babies trial. </w:t>
      </w:r>
      <w:r w:rsidRPr="007F3EC1">
        <w:rPr>
          <w:i/>
          <w:noProof/>
        </w:rPr>
        <w:t>Contemp Clin Trials</w:t>
      </w:r>
      <w:r w:rsidRPr="007F3EC1">
        <w:rPr>
          <w:noProof/>
        </w:rPr>
        <w:t xml:space="preserve"> 87: 105822.</w:t>
      </w:r>
    </w:p>
    <w:p w14:paraId="543F87FC" w14:textId="77777777" w:rsidR="00870824" w:rsidRPr="007F3EC1" w:rsidRDefault="00870824" w:rsidP="0030223E">
      <w:pPr>
        <w:pStyle w:val="Excluded"/>
        <w:rPr>
          <w:noProof/>
        </w:rPr>
      </w:pPr>
      <w:r w:rsidRPr="007F3EC1">
        <w:rPr>
          <w:noProof/>
        </w:rPr>
        <w:t xml:space="preserve">Mertens L, Braeken M, Bogaerts A (2019) Effect of Lifestyle Coaching Including Telemonitoring and Telecoaching on Gestational Weight Gain and Postnatal Weight Loss: A Systematic Review. </w:t>
      </w:r>
      <w:r w:rsidRPr="007F3EC1">
        <w:rPr>
          <w:i/>
          <w:noProof/>
        </w:rPr>
        <w:t>Telemed J E Health</w:t>
      </w:r>
      <w:r w:rsidRPr="007F3EC1">
        <w:rPr>
          <w:noProof/>
        </w:rPr>
        <w:t xml:space="preserve"> 25(10): 889-901.</w:t>
      </w:r>
    </w:p>
    <w:p w14:paraId="2450B99F" w14:textId="77777777" w:rsidR="00870824" w:rsidRPr="00674281" w:rsidRDefault="00870824" w:rsidP="00872C17">
      <w:pPr>
        <w:pStyle w:val="Excluded"/>
        <w:rPr>
          <w:noProof/>
        </w:rPr>
      </w:pPr>
      <w:r w:rsidRPr="00674281">
        <w:rPr>
          <w:noProof/>
        </w:rPr>
        <w:t xml:space="preserve">Olson CM, Strawderman MS, Graham ML (2017) Association between consistent weight gain tracking and gestational weight gain: Secondary analysis of a randomized trial. </w:t>
      </w:r>
      <w:r w:rsidRPr="00674281">
        <w:rPr>
          <w:i/>
          <w:noProof/>
        </w:rPr>
        <w:t>Obesity (Silver Spring)</w:t>
      </w:r>
      <w:r w:rsidRPr="00674281">
        <w:rPr>
          <w:noProof/>
        </w:rPr>
        <w:t xml:space="preserve"> 25(7): 1217-27.</w:t>
      </w:r>
    </w:p>
    <w:p w14:paraId="47EDD1E4" w14:textId="77777777" w:rsidR="00870824" w:rsidRPr="00133EB5" w:rsidRDefault="00870824" w:rsidP="00872C17">
      <w:pPr>
        <w:pStyle w:val="Excluded"/>
        <w:rPr>
          <w:noProof/>
        </w:rPr>
      </w:pPr>
      <w:r w:rsidRPr="00133EB5">
        <w:rPr>
          <w:noProof/>
        </w:rPr>
        <w:t xml:space="preserve">Pollak KI, Alexander SC, Bennett G et al (2014) Weight-related SMS texts promoting appropriate pregnancy weight gain: a pilot study. </w:t>
      </w:r>
      <w:r w:rsidRPr="00133EB5">
        <w:rPr>
          <w:i/>
          <w:noProof/>
        </w:rPr>
        <w:t>Patient Educ Couns</w:t>
      </w:r>
      <w:r w:rsidRPr="00133EB5">
        <w:rPr>
          <w:noProof/>
        </w:rPr>
        <w:t xml:space="preserve"> 97(2): 256-60.</w:t>
      </w:r>
    </w:p>
    <w:p w14:paraId="0999FC76" w14:textId="77777777" w:rsidR="00870824" w:rsidRPr="0048311D" w:rsidRDefault="00870824" w:rsidP="00872C17">
      <w:pPr>
        <w:pStyle w:val="Excluded"/>
        <w:rPr>
          <w:noProof/>
        </w:rPr>
      </w:pPr>
      <w:r w:rsidRPr="0048311D">
        <w:rPr>
          <w:noProof/>
        </w:rPr>
        <w:t xml:space="preserve">Soltani H, Duxbury AM, Arden MA et al (2015) Maternal obesity management using mobile technology: a feasibility study to evaluate a text messaging based complex intervention during pregnancy. </w:t>
      </w:r>
      <w:r w:rsidRPr="0048311D">
        <w:rPr>
          <w:i/>
          <w:noProof/>
        </w:rPr>
        <w:t>J Obes</w:t>
      </w:r>
      <w:r w:rsidRPr="0048311D">
        <w:rPr>
          <w:noProof/>
        </w:rPr>
        <w:t xml:space="preserve"> 2015: 814830.</w:t>
      </w:r>
    </w:p>
    <w:p w14:paraId="6D635F1E" w14:textId="77777777" w:rsidR="00872C17" w:rsidRDefault="00872C17" w:rsidP="00872C17">
      <w:pPr>
        <w:pStyle w:val="Heading5"/>
      </w:pPr>
      <w:r>
        <w:t>Wrong population</w:t>
      </w:r>
    </w:p>
    <w:p w14:paraId="1844E482" w14:textId="77777777" w:rsidR="00872C17" w:rsidRPr="0048311D" w:rsidRDefault="00872C17" w:rsidP="00872C17">
      <w:pPr>
        <w:pStyle w:val="Excluded"/>
        <w:rPr>
          <w:noProof/>
        </w:rPr>
      </w:pPr>
      <w:r w:rsidRPr="0048311D">
        <w:rPr>
          <w:noProof/>
        </w:rPr>
        <w:t xml:space="preserve">Han S, Middleton P, Shepherd E et al (2017) Different types of dietary advice for women with gestational diabetes mellitus. </w:t>
      </w:r>
      <w:r w:rsidRPr="0048311D">
        <w:rPr>
          <w:i/>
          <w:noProof/>
        </w:rPr>
        <w:t>Cochrane Database Syst Rev</w:t>
      </w:r>
      <w:r w:rsidRPr="0048311D">
        <w:rPr>
          <w:noProof/>
        </w:rPr>
        <w:t xml:space="preserve"> 2: CD009275.</w:t>
      </w:r>
    </w:p>
    <w:p w14:paraId="59DAA936" w14:textId="77777777" w:rsidR="00870824" w:rsidRPr="00B5274F" w:rsidRDefault="00870824" w:rsidP="00870824">
      <w:pPr>
        <w:pStyle w:val="Excluded"/>
        <w:rPr>
          <w:noProof/>
        </w:rPr>
      </w:pPr>
      <w:r w:rsidRPr="00B5274F">
        <w:rPr>
          <w:noProof/>
        </w:rPr>
        <w:t xml:space="preserve">Hutchesson MJ, de Jonge Mulock Houwer M, Brown HM et al (2020) Supporting women of childbearing age in the prevention and treatment of overweight and obesity: a scoping review of randomized control trials of behavioral interventions. </w:t>
      </w:r>
      <w:r w:rsidRPr="00B5274F">
        <w:rPr>
          <w:i/>
          <w:noProof/>
        </w:rPr>
        <w:t>BMC Womens Health</w:t>
      </w:r>
      <w:r w:rsidRPr="00B5274F">
        <w:rPr>
          <w:noProof/>
        </w:rPr>
        <w:t xml:space="preserve"> 20(1): 14.</w:t>
      </w:r>
    </w:p>
    <w:p w14:paraId="349A6D4F" w14:textId="77777777" w:rsidR="00870824" w:rsidRPr="00B5274F" w:rsidRDefault="00870824" w:rsidP="00870824">
      <w:pPr>
        <w:pStyle w:val="Excluded"/>
        <w:rPr>
          <w:noProof/>
        </w:rPr>
      </w:pPr>
      <w:r w:rsidRPr="00B5274F">
        <w:rPr>
          <w:noProof/>
        </w:rPr>
        <w:t xml:space="preserve">Pecheux O, Garabedian C, Drumez E et al (2019) Maternal and neonatal outcomes according to gestational weight gain in twin pregnancies: Are the Institute of Medicine guidelines associated with better outcomes? </w:t>
      </w:r>
      <w:r w:rsidRPr="00B5274F">
        <w:rPr>
          <w:i/>
          <w:noProof/>
        </w:rPr>
        <w:t>Eur J Obstet Gynecol Reprod Biol</w:t>
      </w:r>
      <w:r w:rsidRPr="00B5274F">
        <w:rPr>
          <w:noProof/>
        </w:rPr>
        <w:t xml:space="preserve"> 234: 190-94.</w:t>
      </w:r>
    </w:p>
    <w:p w14:paraId="25FF0434" w14:textId="77777777" w:rsidR="00872C17" w:rsidRDefault="00872C17" w:rsidP="00872C17">
      <w:pPr>
        <w:pStyle w:val="Heading5"/>
      </w:pPr>
      <w:r>
        <w:t>Narrative review</w:t>
      </w:r>
    </w:p>
    <w:p w14:paraId="4351027A" w14:textId="77777777" w:rsidR="00872C17" w:rsidRPr="00F138FA" w:rsidRDefault="00872C17" w:rsidP="00872C17">
      <w:pPr>
        <w:pStyle w:val="Excluded"/>
        <w:rPr>
          <w:noProof/>
        </w:rPr>
      </w:pPr>
      <w:r w:rsidRPr="00F138FA">
        <w:rPr>
          <w:noProof/>
        </w:rPr>
        <w:t xml:space="preserve">Boyle J, Thangaratinam S, Goldstein R et al (2016) Excess gestational weight gain in pregnancy and the role of lifestyle intervention. </w:t>
      </w:r>
      <w:r w:rsidRPr="00F138FA">
        <w:rPr>
          <w:i/>
          <w:noProof/>
        </w:rPr>
        <w:t>Seminars in Reproductive Medicine</w:t>
      </w:r>
      <w:r w:rsidRPr="00F138FA">
        <w:rPr>
          <w:noProof/>
        </w:rPr>
        <w:t xml:space="preserve"> 34(02): e14-e21.</w:t>
      </w:r>
    </w:p>
    <w:p w14:paraId="15D8D605" w14:textId="77777777" w:rsidR="00872C17" w:rsidRPr="00F138FA" w:rsidRDefault="00872C17" w:rsidP="00872C17">
      <w:pPr>
        <w:pStyle w:val="Excluded"/>
        <w:rPr>
          <w:noProof/>
        </w:rPr>
      </w:pPr>
      <w:r w:rsidRPr="00F138FA">
        <w:rPr>
          <w:noProof/>
        </w:rPr>
        <w:t xml:space="preserve">Lamminpaa R, Vehvilainen-Julkunen K, Schwab U (2018) A systematic review of dietary interventions for gestational weight gain and gestational diabetes in overweight and obese pregnant women. </w:t>
      </w:r>
      <w:r w:rsidRPr="00F138FA">
        <w:rPr>
          <w:i/>
          <w:noProof/>
        </w:rPr>
        <w:t>Eur J Nutr</w:t>
      </w:r>
      <w:r w:rsidRPr="00F138FA">
        <w:rPr>
          <w:noProof/>
        </w:rPr>
        <w:t xml:space="preserve"> 57(5): 1721-36.</w:t>
      </w:r>
    </w:p>
    <w:p w14:paraId="1E324B98" w14:textId="2AB8618E" w:rsidR="00E30B60" w:rsidRPr="00305752" w:rsidRDefault="00E30B60" w:rsidP="00E30B60">
      <w:pPr>
        <w:pStyle w:val="Excluded"/>
        <w:rPr>
          <w:noProof/>
        </w:rPr>
      </w:pPr>
      <w:r w:rsidRPr="00305752">
        <w:rPr>
          <w:noProof/>
        </w:rPr>
        <w:t xml:space="preserve">Mitanchez D, Ciangura C, Jacqueminet S (2020) How Can maternal lifestyle interventions modify the effects of gestational diabetes in the neonate and the offspring? a systematic review of meta-analyses. </w:t>
      </w:r>
      <w:r w:rsidRPr="00305752">
        <w:rPr>
          <w:i/>
          <w:noProof/>
        </w:rPr>
        <w:t>Nutrients</w:t>
      </w:r>
      <w:r w:rsidRPr="00305752">
        <w:rPr>
          <w:noProof/>
        </w:rPr>
        <w:t xml:space="preserve"> 12(2).</w:t>
      </w:r>
    </w:p>
    <w:p w14:paraId="3A972D2C" w14:textId="77777777" w:rsidR="00872C17" w:rsidRPr="00F138FA" w:rsidRDefault="00872C17" w:rsidP="00872C17">
      <w:pPr>
        <w:pStyle w:val="Excluded"/>
        <w:rPr>
          <w:noProof/>
        </w:rPr>
      </w:pPr>
      <w:r w:rsidRPr="00F138FA">
        <w:rPr>
          <w:noProof/>
        </w:rPr>
        <w:t xml:space="preserve">Okesene-Gafa K, Li M, Taylor RS et al (2018) Correction to: A randomised controlled demonstration trial of multifaceted nutritional intervention and or probiotics: the healthy mums and babies (HUMBA) trial. </w:t>
      </w:r>
      <w:r w:rsidRPr="00F138FA">
        <w:rPr>
          <w:i/>
          <w:noProof/>
        </w:rPr>
        <w:t>BMC Pregnancy Childbirth</w:t>
      </w:r>
      <w:r w:rsidRPr="00F138FA">
        <w:rPr>
          <w:noProof/>
        </w:rPr>
        <w:t xml:space="preserve"> 18(1): 130.</w:t>
      </w:r>
    </w:p>
    <w:p w14:paraId="54ACC308" w14:textId="77777777" w:rsidR="00872C17" w:rsidRDefault="00872C17" w:rsidP="00872C17">
      <w:pPr>
        <w:pStyle w:val="Heading5"/>
      </w:pPr>
      <w:r>
        <w:t>Does not answer research question</w:t>
      </w:r>
    </w:p>
    <w:p w14:paraId="0BEDA545" w14:textId="5FBD91A1" w:rsidR="00E30B60" w:rsidRPr="00305752" w:rsidRDefault="00E30B60" w:rsidP="00E30B60">
      <w:pPr>
        <w:pStyle w:val="Excluded"/>
        <w:rPr>
          <w:noProof/>
        </w:rPr>
      </w:pPr>
      <w:r w:rsidRPr="00305752">
        <w:rPr>
          <w:noProof/>
        </w:rPr>
        <w:t xml:space="preserve">Czajkowski SM (2019) Using the ORBIT model to design an intervention promoting healthy weight gain during pregnancy: the value of an iterative and incremental approach to intervention development. </w:t>
      </w:r>
      <w:r w:rsidRPr="00305752">
        <w:rPr>
          <w:i/>
          <w:noProof/>
        </w:rPr>
        <w:t>Int J Behav Med</w:t>
      </w:r>
      <w:r w:rsidRPr="00305752">
        <w:rPr>
          <w:noProof/>
        </w:rPr>
        <w:t xml:space="preserve"> 26(5): 457-60.</w:t>
      </w:r>
    </w:p>
    <w:p w14:paraId="02C2DFC7" w14:textId="77777777" w:rsidR="00872C17" w:rsidRPr="00FB72A9" w:rsidRDefault="00872C17" w:rsidP="00872C17">
      <w:pPr>
        <w:pStyle w:val="Excluded"/>
        <w:rPr>
          <w:noProof/>
        </w:rPr>
      </w:pPr>
      <w:r w:rsidRPr="00FB72A9">
        <w:rPr>
          <w:noProof/>
        </w:rPr>
        <w:t xml:space="preserve">Darroch FE &amp; Giles AR (2016) A postcolonial feminist discourse analysis of urban Aboriginal women's description of pregnancy-related weight gain and physical activity. </w:t>
      </w:r>
      <w:r w:rsidRPr="00FB72A9">
        <w:rPr>
          <w:i/>
          <w:noProof/>
        </w:rPr>
        <w:t>Women Birth</w:t>
      </w:r>
      <w:r w:rsidRPr="00FB72A9">
        <w:rPr>
          <w:noProof/>
        </w:rPr>
        <w:t xml:space="preserve"> 29(1): e23-32.</w:t>
      </w:r>
    </w:p>
    <w:p w14:paraId="090F8EEB" w14:textId="77777777" w:rsidR="00872C17" w:rsidRPr="00674281" w:rsidRDefault="00872C17" w:rsidP="00872C17">
      <w:pPr>
        <w:pStyle w:val="Excluded"/>
        <w:rPr>
          <w:noProof/>
        </w:rPr>
      </w:pPr>
      <w:r w:rsidRPr="00674281">
        <w:rPr>
          <w:noProof/>
        </w:rPr>
        <w:t xml:space="preserve">de Jersey S, Guthrie T, Tyler J et al (2019) A mixed method study evaluating the integration of pregnancy weight gain charts into antenatal care. </w:t>
      </w:r>
      <w:r w:rsidRPr="00674281">
        <w:rPr>
          <w:i/>
          <w:noProof/>
        </w:rPr>
        <w:t>Matern Child Nutr</w:t>
      </w:r>
      <w:r w:rsidRPr="00674281">
        <w:rPr>
          <w:noProof/>
        </w:rPr>
        <w:t xml:space="preserve"> 15(3): e12750.</w:t>
      </w:r>
    </w:p>
    <w:p w14:paraId="34EA74A3" w14:textId="77777777" w:rsidR="00872C17" w:rsidRPr="00FB72A9" w:rsidRDefault="00872C17" w:rsidP="00872C17">
      <w:pPr>
        <w:pStyle w:val="Excluded"/>
        <w:rPr>
          <w:noProof/>
        </w:rPr>
      </w:pPr>
      <w:r w:rsidRPr="00FB72A9">
        <w:rPr>
          <w:noProof/>
        </w:rPr>
        <w:t xml:space="preserve">Demment MM, Graham ML, Olson CM (2014) How an online intervention to prevent excessive gestational weight gain is used and by whom: a randomized controlled process evaluation. </w:t>
      </w:r>
      <w:r w:rsidRPr="00FB72A9">
        <w:rPr>
          <w:i/>
          <w:noProof/>
        </w:rPr>
        <w:t>J Med Internet Res</w:t>
      </w:r>
      <w:r w:rsidRPr="00FB72A9">
        <w:rPr>
          <w:noProof/>
        </w:rPr>
        <w:t xml:space="preserve"> 16(8): e194.</w:t>
      </w:r>
    </w:p>
    <w:p w14:paraId="21896294" w14:textId="77777777" w:rsidR="00872C17" w:rsidRPr="00FB72A9" w:rsidRDefault="00872C17" w:rsidP="00872C17">
      <w:pPr>
        <w:pStyle w:val="Excluded"/>
        <w:rPr>
          <w:noProof/>
        </w:rPr>
      </w:pPr>
      <w:r w:rsidRPr="00FB72A9">
        <w:rPr>
          <w:noProof/>
        </w:rPr>
        <w:t xml:space="preserve">Dodd JM, Louise J, Deussen AR et al (2019) Effect of metformin in addition to dietary and lifestyle advice for pregnant women who are overweight or obese: the GRoW randomised, double-blind, placebo-controlled trial. </w:t>
      </w:r>
      <w:r w:rsidRPr="00FB72A9">
        <w:rPr>
          <w:i/>
          <w:noProof/>
        </w:rPr>
        <w:t>The Lancet Diabetes &amp; Endocrinology</w:t>
      </w:r>
      <w:r w:rsidRPr="00FB72A9">
        <w:rPr>
          <w:noProof/>
        </w:rPr>
        <w:t xml:space="preserve"> 7(1): 15-24.</w:t>
      </w:r>
    </w:p>
    <w:p w14:paraId="2E979C66" w14:textId="77777777" w:rsidR="00872C17" w:rsidRPr="00FB72A9" w:rsidRDefault="00872C17" w:rsidP="00872C17">
      <w:pPr>
        <w:pStyle w:val="Excluded"/>
        <w:rPr>
          <w:noProof/>
        </w:rPr>
      </w:pPr>
      <w:r w:rsidRPr="00FB72A9">
        <w:rPr>
          <w:noProof/>
        </w:rPr>
        <w:t xml:space="preserve">Graham ML, Strawderman MS, Demment M et al (2017) Does Usage of an eHealth Intervention Reduce the Risk of Excessive Gestational Weight Gain? Secondary Analysis From a Randomized Controlled Trial. </w:t>
      </w:r>
      <w:r w:rsidRPr="00FB72A9">
        <w:rPr>
          <w:i/>
          <w:noProof/>
        </w:rPr>
        <w:t>J Med Internet Res</w:t>
      </w:r>
      <w:r w:rsidRPr="00FB72A9">
        <w:rPr>
          <w:noProof/>
        </w:rPr>
        <w:t xml:space="preserve"> 19(1): e6.</w:t>
      </w:r>
    </w:p>
    <w:p w14:paraId="0957C1F9" w14:textId="77777777" w:rsidR="00872C17" w:rsidRPr="00674281" w:rsidRDefault="00872C17" w:rsidP="00872C17">
      <w:pPr>
        <w:pStyle w:val="Excluded"/>
        <w:rPr>
          <w:noProof/>
        </w:rPr>
      </w:pPr>
      <w:r w:rsidRPr="00674281">
        <w:rPr>
          <w:noProof/>
        </w:rPr>
        <w:t xml:space="preserve">Hamilton EAA, Nowell AK, Harden A et al (2018) Conduct and reporting of acceptability, attitudes, beliefs and experiences of pregnant women in randomised trials on diet and lifestyle interventions: A systematic review. </w:t>
      </w:r>
      <w:r w:rsidRPr="00674281">
        <w:rPr>
          <w:i/>
          <w:noProof/>
        </w:rPr>
        <w:t>Eur J Obstet Gynecol Reprod Biol</w:t>
      </w:r>
      <w:r w:rsidRPr="00674281">
        <w:rPr>
          <w:noProof/>
        </w:rPr>
        <w:t xml:space="preserve"> 225: 243-54.</w:t>
      </w:r>
    </w:p>
    <w:p w14:paraId="06B91F2D" w14:textId="77777777" w:rsidR="00872C17" w:rsidRPr="00674281" w:rsidRDefault="00872C17" w:rsidP="00872C17">
      <w:pPr>
        <w:pStyle w:val="Excluded"/>
        <w:rPr>
          <w:noProof/>
        </w:rPr>
      </w:pPr>
      <w:r w:rsidRPr="00674281">
        <w:rPr>
          <w:noProof/>
        </w:rPr>
        <w:t xml:space="preserve">Koleilat M, Lim KP, Whaley SE (2017) Focusing on excessive gestational weight gain through weight tracking among participants of the special supplemental nutrition program for Women, Infants, and Children (WIC) in Southern California. </w:t>
      </w:r>
      <w:r w:rsidRPr="00674281">
        <w:rPr>
          <w:i/>
          <w:noProof/>
        </w:rPr>
        <w:t>Calif J Health Promotion</w:t>
      </w:r>
      <w:r w:rsidRPr="00674281">
        <w:rPr>
          <w:noProof/>
        </w:rPr>
        <w:t xml:space="preserve"> 15(3): 15-24.</w:t>
      </w:r>
    </w:p>
    <w:p w14:paraId="06EDB58A" w14:textId="77777777" w:rsidR="00872C17" w:rsidRPr="00FB72A9" w:rsidRDefault="00872C17" w:rsidP="00872C17">
      <w:pPr>
        <w:pStyle w:val="Excluded"/>
        <w:rPr>
          <w:noProof/>
        </w:rPr>
      </w:pPr>
      <w:r w:rsidRPr="00FB72A9">
        <w:rPr>
          <w:noProof/>
        </w:rPr>
        <w:t xml:space="preserve">Kominiarek MA, Gray EL, Vyhmeister H et al (2018) Association of Gestational Weight Gain with Prenatal Care Model. </w:t>
      </w:r>
      <w:r w:rsidRPr="00FB72A9">
        <w:rPr>
          <w:i/>
          <w:noProof/>
        </w:rPr>
        <w:t>J Midwifery Womens Health</w:t>
      </w:r>
      <w:r w:rsidRPr="00FB72A9">
        <w:rPr>
          <w:noProof/>
        </w:rPr>
        <w:t xml:space="preserve"> 63(3): 283-88.</w:t>
      </w:r>
    </w:p>
    <w:p w14:paraId="685A2318" w14:textId="77777777" w:rsidR="00872C17" w:rsidRPr="00674281" w:rsidRDefault="00872C17" w:rsidP="00872C17">
      <w:pPr>
        <w:pStyle w:val="Excluded"/>
        <w:rPr>
          <w:noProof/>
        </w:rPr>
      </w:pPr>
      <w:r w:rsidRPr="00674281">
        <w:rPr>
          <w:noProof/>
        </w:rPr>
        <w:t xml:space="preserve">Molyneaux E, Poston L, Khondoker M et al (2016) Obesity, antenatal depression, diet and gestational weight gain in a population cohort study. </w:t>
      </w:r>
      <w:r w:rsidRPr="00674281">
        <w:rPr>
          <w:i/>
          <w:noProof/>
        </w:rPr>
        <w:t>Arch Womens Ment Health</w:t>
      </w:r>
      <w:r w:rsidRPr="00674281">
        <w:rPr>
          <w:noProof/>
        </w:rPr>
        <w:t xml:space="preserve"> 19(5): 899-907.</w:t>
      </w:r>
    </w:p>
    <w:p w14:paraId="65013B80" w14:textId="77777777" w:rsidR="00872C17" w:rsidRPr="00674281" w:rsidRDefault="00872C17" w:rsidP="00872C17">
      <w:pPr>
        <w:pStyle w:val="Excluded"/>
        <w:rPr>
          <w:noProof/>
        </w:rPr>
      </w:pPr>
      <w:r w:rsidRPr="00674281">
        <w:rPr>
          <w:noProof/>
        </w:rPr>
        <w:t xml:space="preserve">O'Brien EC, Alberdi G, McAuliffe FM (2018) The influence of socioeconomic status on gestational weight gain: a systematic review. </w:t>
      </w:r>
      <w:r w:rsidRPr="00674281">
        <w:rPr>
          <w:i/>
          <w:noProof/>
        </w:rPr>
        <w:t>J Public Health (Oxf)</w:t>
      </w:r>
      <w:r w:rsidRPr="00674281">
        <w:rPr>
          <w:noProof/>
        </w:rPr>
        <w:t xml:space="preserve"> 40(1): 41-55.</w:t>
      </w:r>
    </w:p>
    <w:p w14:paraId="7B5495AF" w14:textId="77777777" w:rsidR="00872C17" w:rsidRPr="00FB72A9" w:rsidRDefault="00872C17" w:rsidP="00872C17">
      <w:pPr>
        <w:pStyle w:val="Excluded"/>
        <w:rPr>
          <w:noProof/>
        </w:rPr>
      </w:pPr>
      <w:r w:rsidRPr="00FB72A9">
        <w:rPr>
          <w:noProof/>
        </w:rPr>
        <w:t xml:space="preserve">Rosenfeld CS, Agha M, Agha RA et al (2014) Interventions to Reduce and Prevent Obesity in Pre-Conceptual and Pregnant Women: A Systematic Review and Meta-Analysis. </w:t>
      </w:r>
      <w:r w:rsidRPr="00FB72A9">
        <w:rPr>
          <w:i/>
          <w:noProof/>
        </w:rPr>
        <w:t>PLoS ONE</w:t>
      </w:r>
      <w:r w:rsidRPr="00FB72A9">
        <w:rPr>
          <w:noProof/>
        </w:rPr>
        <w:t xml:space="preserve"> 9(5).</w:t>
      </w:r>
    </w:p>
    <w:p w14:paraId="76FF41E6" w14:textId="77777777" w:rsidR="00872C17" w:rsidRPr="00674281" w:rsidRDefault="00872C17" w:rsidP="00872C17">
      <w:pPr>
        <w:pStyle w:val="Excluded"/>
        <w:rPr>
          <w:noProof/>
        </w:rPr>
      </w:pPr>
      <w:r w:rsidRPr="00674281">
        <w:rPr>
          <w:noProof/>
        </w:rPr>
        <w:t xml:space="preserve">Scott C, Andersen CT, Valdez N et al (2014) No global consensus: a cross-sectional survey of maternal weight policies. </w:t>
      </w:r>
      <w:r w:rsidRPr="00674281">
        <w:rPr>
          <w:i/>
          <w:noProof/>
        </w:rPr>
        <w:t>BMC Pregnancy Childbirth</w:t>
      </w:r>
      <w:r w:rsidRPr="00674281">
        <w:rPr>
          <w:noProof/>
        </w:rPr>
        <w:t xml:space="preserve"> 14: 167.</w:t>
      </w:r>
    </w:p>
    <w:p w14:paraId="399000FA" w14:textId="77777777" w:rsidR="00872C17" w:rsidRPr="00FB72A9" w:rsidRDefault="00872C17" w:rsidP="00872C17">
      <w:pPr>
        <w:pStyle w:val="Excluded"/>
        <w:rPr>
          <w:noProof/>
        </w:rPr>
      </w:pPr>
      <w:r w:rsidRPr="00FB72A9">
        <w:rPr>
          <w:noProof/>
        </w:rPr>
        <w:t xml:space="preserve">Whitaker KM, Wilcox S, Liu J et al (2016) African American and White womens perceptions of weight gain, physical activity, and nutrition during pregnancy. </w:t>
      </w:r>
      <w:r w:rsidRPr="00FB72A9">
        <w:rPr>
          <w:i/>
          <w:noProof/>
        </w:rPr>
        <w:t>Midwifery</w:t>
      </w:r>
      <w:r w:rsidRPr="00FB72A9">
        <w:rPr>
          <w:noProof/>
        </w:rPr>
        <w:t xml:space="preserve"> 34: 211-20.</w:t>
      </w:r>
    </w:p>
    <w:p w14:paraId="64824A5D" w14:textId="77777777" w:rsidR="00872C17" w:rsidRPr="00FB72A9" w:rsidRDefault="00872C17" w:rsidP="00872C17">
      <w:pPr>
        <w:pStyle w:val="Excluded"/>
        <w:rPr>
          <w:noProof/>
        </w:rPr>
      </w:pPr>
      <w:r w:rsidRPr="00FB72A9">
        <w:rPr>
          <w:noProof/>
        </w:rPr>
        <w:t xml:space="preserve">Wilkinson SA, Donaldson E, Beckmann M et al (2017) Service-wide management of healthy gestational weight gain following an implementation science approach. </w:t>
      </w:r>
      <w:r w:rsidRPr="00FB72A9">
        <w:rPr>
          <w:i/>
          <w:noProof/>
        </w:rPr>
        <w:t>Matern Child Nutr</w:t>
      </w:r>
      <w:r w:rsidRPr="00FB72A9">
        <w:rPr>
          <w:noProof/>
        </w:rPr>
        <w:t xml:space="preserve"> 13(2).</w:t>
      </w:r>
    </w:p>
    <w:p w14:paraId="33A9F432" w14:textId="65FF07A8" w:rsidR="003523C5" w:rsidRDefault="00CC1D91" w:rsidP="00A912D4">
      <w:pPr>
        <w:pStyle w:val="Heading4"/>
        <w:rPr>
          <w:noProof/>
        </w:rPr>
      </w:pPr>
      <w:r>
        <w:rPr>
          <w:noProof/>
        </w:rPr>
        <w:t>Weight monitoring</w:t>
      </w:r>
    </w:p>
    <w:p w14:paraId="114FECDC" w14:textId="77777777" w:rsidR="00D80D51" w:rsidRDefault="00D80D51" w:rsidP="00D80D51">
      <w:pPr>
        <w:pStyle w:val="Heading5"/>
        <w:rPr>
          <w:noProof/>
        </w:rPr>
      </w:pPr>
      <w:r>
        <w:rPr>
          <w:noProof/>
        </w:rPr>
        <w:t>Duplicate</w:t>
      </w:r>
    </w:p>
    <w:p w14:paraId="423E7E67" w14:textId="77777777" w:rsidR="00D80D51" w:rsidRPr="009D3F2E" w:rsidRDefault="00D80D51" w:rsidP="00D80D51">
      <w:pPr>
        <w:pStyle w:val="Excluded"/>
        <w:rPr>
          <w:noProof/>
        </w:rPr>
      </w:pPr>
      <w:r w:rsidRPr="009D3F2E">
        <w:rPr>
          <w:noProof/>
        </w:rPr>
        <w:t xml:space="preserve">Daley AJ, Jolly K, Jebb SA et al (2015) Effectiveness of regular weighing, weight target setting and feedback by community midwives within routine antenatal care in preventing excessive gestational weight gain: randomised controlled trial. </w:t>
      </w:r>
      <w:r w:rsidRPr="009D3F2E">
        <w:rPr>
          <w:i/>
          <w:noProof/>
        </w:rPr>
        <w:t>BMC Obes</w:t>
      </w:r>
      <w:r w:rsidRPr="009D3F2E">
        <w:rPr>
          <w:noProof/>
        </w:rPr>
        <w:t xml:space="preserve"> 3: 7.</w:t>
      </w:r>
    </w:p>
    <w:p w14:paraId="2CB2C02E" w14:textId="77777777" w:rsidR="00AC2321" w:rsidRDefault="00AC2321" w:rsidP="00A912D4">
      <w:pPr>
        <w:pStyle w:val="Heading5"/>
        <w:rPr>
          <w:noProof/>
        </w:rPr>
      </w:pPr>
      <w:r>
        <w:rPr>
          <w:noProof/>
        </w:rPr>
        <w:t>Opinion piece</w:t>
      </w:r>
    </w:p>
    <w:p w14:paraId="19F3DE63" w14:textId="177D979B" w:rsidR="00291A6C" w:rsidRPr="00291A6C" w:rsidRDefault="00AC2321" w:rsidP="00A912D4">
      <w:pPr>
        <w:pStyle w:val="Excluded"/>
        <w:rPr>
          <w:rFonts w:ascii="Times New Roman" w:eastAsia="Times New Roman" w:hAnsi="Times New Roman"/>
          <w:sz w:val="24"/>
        </w:rPr>
      </w:pPr>
      <w:r>
        <w:t>Steer</w:t>
      </w:r>
      <w:r w:rsidR="009D3E28">
        <w:t xml:space="preserve"> PJ &amp; Oken E (2015) </w:t>
      </w:r>
      <w:r w:rsidR="009D3E28" w:rsidRPr="009D3E28">
        <w:t>Routine weighing of women during</w:t>
      </w:r>
      <w:r w:rsidR="009D3E28">
        <w:t xml:space="preserve"> </w:t>
      </w:r>
      <w:r w:rsidR="009D3E28" w:rsidRPr="009D3E28">
        <w:rPr>
          <w:rFonts w:ascii="Helvetica" w:hAnsi="Helvetica"/>
        </w:rPr>
        <w:t>pregnancy is of limited value and should</w:t>
      </w:r>
      <w:r w:rsidR="009D3E28">
        <w:t xml:space="preserve"> </w:t>
      </w:r>
      <w:r w:rsidR="009D3E28" w:rsidRPr="009D3E28">
        <w:rPr>
          <w:rFonts w:ascii="Helvetica" w:hAnsi="Helvetica"/>
        </w:rPr>
        <w:t>be abandoned</w:t>
      </w:r>
      <w:r w:rsidR="009D3E28">
        <w:t xml:space="preserve">. BJOG </w:t>
      </w:r>
      <w:r w:rsidR="00291A6C" w:rsidRPr="00291A6C">
        <w:rPr>
          <w:rFonts w:ascii="Arial" w:eastAsia="Times New Roman" w:hAnsi="Arial" w:cs="Arial"/>
          <w:color w:val="000000"/>
          <w:sz w:val="17"/>
          <w:szCs w:val="17"/>
          <w:shd w:val="clear" w:color="auto" w:fill="FFFFFF"/>
        </w:rPr>
        <w:t>122(8):</w:t>
      </w:r>
      <w:r w:rsidR="00291A6C">
        <w:rPr>
          <w:rFonts w:ascii="Arial" w:eastAsia="Times New Roman" w:hAnsi="Arial" w:cs="Arial"/>
          <w:color w:val="000000"/>
          <w:sz w:val="17"/>
          <w:szCs w:val="17"/>
          <w:shd w:val="clear" w:color="auto" w:fill="FFFFFF"/>
        </w:rPr>
        <w:t xml:space="preserve"> </w:t>
      </w:r>
      <w:r w:rsidR="00291A6C" w:rsidRPr="00291A6C">
        <w:rPr>
          <w:rFonts w:ascii="Arial" w:eastAsia="Times New Roman" w:hAnsi="Arial" w:cs="Arial"/>
          <w:color w:val="000000"/>
          <w:sz w:val="17"/>
          <w:szCs w:val="17"/>
          <w:shd w:val="clear" w:color="auto" w:fill="FFFFFF"/>
        </w:rPr>
        <w:t>1101</w:t>
      </w:r>
      <w:r w:rsidR="00291A6C">
        <w:rPr>
          <w:rFonts w:ascii="Arial" w:eastAsia="Times New Roman" w:hAnsi="Arial" w:cs="Arial"/>
          <w:color w:val="000000"/>
          <w:sz w:val="17"/>
          <w:szCs w:val="17"/>
          <w:shd w:val="clear" w:color="auto" w:fill="FFFFFF"/>
        </w:rPr>
        <w:t>.</w:t>
      </w:r>
    </w:p>
    <w:p w14:paraId="560384B6" w14:textId="30ABD966" w:rsidR="00D80D51" w:rsidRDefault="00D80D51" w:rsidP="00D80D51">
      <w:pPr>
        <w:pStyle w:val="Excluded"/>
        <w:rPr>
          <w:noProof/>
        </w:rPr>
      </w:pPr>
      <w:r>
        <w:rPr>
          <w:noProof/>
        </w:rPr>
        <w:t>A</w:t>
      </w:r>
      <w:r w:rsidRPr="009D3F2E">
        <w:rPr>
          <w:noProof/>
        </w:rPr>
        <w:t xml:space="preserve">llen-Walker V, Woodside J, Holmes V et al (2016) Routine weighing of women during pregnancy-is it time to change current practice? </w:t>
      </w:r>
      <w:r w:rsidRPr="009D3F2E">
        <w:rPr>
          <w:i/>
          <w:noProof/>
        </w:rPr>
        <w:t>BJOG</w:t>
      </w:r>
      <w:r w:rsidRPr="009D3F2E">
        <w:rPr>
          <w:noProof/>
        </w:rPr>
        <w:t xml:space="preserve"> 123(6): 871-4.</w:t>
      </w:r>
    </w:p>
    <w:p w14:paraId="7283FE05" w14:textId="4CB50665" w:rsidR="00D80D51" w:rsidRPr="009D3F2E" w:rsidRDefault="00D80D51" w:rsidP="00A912D4">
      <w:pPr>
        <w:pStyle w:val="Heading5"/>
        <w:rPr>
          <w:noProof/>
        </w:rPr>
      </w:pPr>
      <w:r>
        <w:rPr>
          <w:noProof/>
        </w:rPr>
        <w:t>Wrong setting</w:t>
      </w:r>
    </w:p>
    <w:p w14:paraId="0D4FF041" w14:textId="77777777" w:rsidR="00D80D51" w:rsidRPr="009D3F2E" w:rsidRDefault="00D80D51" w:rsidP="00D80D51">
      <w:pPr>
        <w:pStyle w:val="Excluded"/>
        <w:rPr>
          <w:noProof/>
        </w:rPr>
      </w:pPr>
      <w:r w:rsidRPr="009D3F2E">
        <w:rPr>
          <w:noProof/>
        </w:rPr>
        <w:t xml:space="preserve">Harrison CL, Teede HJ, Lombard CB (2014) How effective is self-weighing in the setting of a lifestyle intervention to reduce gestational weight gain and postpartum weight retention? </w:t>
      </w:r>
      <w:r w:rsidRPr="009D3F2E">
        <w:rPr>
          <w:i/>
          <w:noProof/>
        </w:rPr>
        <w:t>Aust N Z J Obstet Gynaecol</w:t>
      </w:r>
      <w:r w:rsidRPr="009D3F2E">
        <w:rPr>
          <w:noProof/>
        </w:rPr>
        <w:t xml:space="preserve"> 54(4): 382-5.</w:t>
      </w:r>
    </w:p>
    <w:p w14:paraId="3FB660A8" w14:textId="18A23BA7" w:rsidR="00BA7CBD" w:rsidRDefault="00110F60" w:rsidP="00A912D4">
      <w:pPr>
        <w:pStyle w:val="Heading3"/>
        <w:numPr>
          <w:ilvl w:val="0"/>
          <w:numId w:val="0"/>
        </w:numPr>
        <w:rPr>
          <w:noProof/>
        </w:rPr>
      </w:pPr>
      <w:bookmarkStart w:id="365" w:name="_Toc40956576"/>
      <w:r>
        <w:rPr>
          <w:noProof/>
        </w:rPr>
        <w:t>Risk assessments (question 8)</w:t>
      </w:r>
      <w:bookmarkEnd w:id="365"/>
    </w:p>
    <w:p w14:paraId="30EA7206" w14:textId="77777777" w:rsidR="00575B02" w:rsidRDefault="00575B02" w:rsidP="00575B02">
      <w:pPr>
        <w:pStyle w:val="Heading4"/>
      </w:pPr>
      <w:r w:rsidRPr="00575B02">
        <w:t>Wrong study design</w:t>
      </w:r>
    </w:p>
    <w:p w14:paraId="6DD8005A" w14:textId="77777777" w:rsidR="007550AE" w:rsidRPr="00673F96" w:rsidRDefault="007550AE" w:rsidP="007550AE">
      <w:pPr>
        <w:pStyle w:val="Excluded"/>
        <w:rPr>
          <w:noProof/>
        </w:rPr>
      </w:pPr>
      <w:bookmarkStart w:id="366" w:name="_Toc37329256"/>
      <w:r w:rsidRPr="00673F96">
        <w:rPr>
          <w:noProof/>
        </w:rPr>
        <w:t xml:space="preserve">Agbota G, Fievet N, Heude B et al (2020) Poor maternal anthropometric status before conception is associated with a deleterious infant growth during the first year of life: a longitudinal preconceptional cohort. </w:t>
      </w:r>
      <w:r w:rsidRPr="00673F96">
        <w:rPr>
          <w:i/>
          <w:noProof/>
        </w:rPr>
        <w:t>Pediatr Obes</w:t>
      </w:r>
      <w:r w:rsidRPr="00673F96">
        <w:rPr>
          <w:noProof/>
        </w:rPr>
        <w:t xml:space="preserve"> 15(1): e12573.</w:t>
      </w:r>
    </w:p>
    <w:p w14:paraId="129277A8" w14:textId="77777777" w:rsidR="007550AE" w:rsidRPr="00673F96" w:rsidRDefault="007550AE" w:rsidP="007550AE">
      <w:pPr>
        <w:pStyle w:val="Excluded"/>
        <w:rPr>
          <w:noProof/>
        </w:rPr>
      </w:pPr>
      <w:r w:rsidRPr="00673F96">
        <w:rPr>
          <w:noProof/>
        </w:rPr>
        <w:t xml:space="preserve">Akahoshi E, Arima K, Miura K et al (2016) Association of maternal pre-pregnancy weight, weight gain during pregnancy, and smoking with small-for-gestational-age infants in Japan. </w:t>
      </w:r>
      <w:r w:rsidRPr="00673F96">
        <w:rPr>
          <w:i/>
          <w:noProof/>
        </w:rPr>
        <w:t>Early Hum Dev</w:t>
      </w:r>
      <w:r w:rsidRPr="00673F96">
        <w:rPr>
          <w:noProof/>
        </w:rPr>
        <w:t xml:space="preserve"> 92: 33-6.</w:t>
      </w:r>
    </w:p>
    <w:p w14:paraId="18051E5B" w14:textId="77777777" w:rsidR="007550AE" w:rsidRPr="00673F96" w:rsidRDefault="007550AE" w:rsidP="007550AE">
      <w:pPr>
        <w:pStyle w:val="Excluded"/>
        <w:rPr>
          <w:noProof/>
        </w:rPr>
      </w:pPr>
      <w:r w:rsidRPr="00673F96">
        <w:rPr>
          <w:noProof/>
        </w:rPr>
        <w:t xml:space="preserve">Alhaj AM, Radi EA, Adam I (2010) Epidemiology of preterm birth in Omdurman Maternity hospital, Sudan. </w:t>
      </w:r>
      <w:r w:rsidRPr="00673F96">
        <w:rPr>
          <w:i/>
          <w:noProof/>
        </w:rPr>
        <w:t>J Matern Fetal Neonatal Med</w:t>
      </w:r>
      <w:r w:rsidRPr="00673F96">
        <w:rPr>
          <w:noProof/>
        </w:rPr>
        <w:t xml:space="preserve"> 23(2): 131-4.</w:t>
      </w:r>
    </w:p>
    <w:p w14:paraId="176A56FD" w14:textId="77777777" w:rsidR="007550AE" w:rsidRPr="00673F96" w:rsidRDefault="007550AE" w:rsidP="007550AE">
      <w:pPr>
        <w:pStyle w:val="Excluded"/>
        <w:rPr>
          <w:noProof/>
        </w:rPr>
      </w:pPr>
      <w:r w:rsidRPr="00673F96">
        <w:rPr>
          <w:noProof/>
        </w:rPr>
        <w:t xml:space="preserve">Andersen CH, Thomsen PH, Nohr EA et al (2018) Maternal body mass index before pregnancy as a risk factor for ADHD and autism in children. </w:t>
      </w:r>
      <w:r w:rsidRPr="00673F96">
        <w:rPr>
          <w:i/>
          <w:noProof/>
        </w:rPr>
        <w:t>Eur Child Adolesc Psychiatry</w:t>
      </w:r>
      <w:r w:rsidRPr="00673F96">
        <w:rPr>
          <w:noProof/>
        </w:rPr>
        <w:t xml:space="preserve"> 27(2): 139-48.</w:t>
      </w:r>
    </w:p>
    <w:p w14:paraId="6597D7CA" w14:textId="77777777" w:rsidR="007550AE" w:rsidRPr="00673F96" w:rsidRDefault="007550AE" w:rsidP="007550AE">
      <w:pPr>
        <w:pStyle w:val="Excluded"/>
        <w:rPr>
          <w:noProof/>
        </w:rPr>
      </w:pPr>
      <w:r w:rsidRPr="00673F96">
        <w:rPr>
          <w:noProof/>
        </w:rPr>
        <w:t xml:space="preserve">Bliddal M, Pottegard A, Kirkegaard H et al (2015) Mental disorders in motherhood according to prepregnancy BMI and pregnancy-related weight changes--A Danish cohort study. </w:t>
      </w:r>
      <w:r w:rsidRPr="00673F96">
        <w:rPr>
          <w:i/>
          <w:noProof/>
        </w:rPr>
        <w:t>J Affect Disord</w:t>
      </w:r>
      <w:r w:rsidRPr="00673F96">
        <w:rPr>
          <w:noProof/>
        </w:rPr>
        <w:t xml:space="preserve"> 183: 322-9.</w:t>
      </w:r>
    </w:p>
    <w:p w14:paraId="0D3E3CD9" w14:textId="77777777" w:rsidR="007550AE" w:rsidRPr="00D33C6E" w:rsidRDefault="007550AE" w:rsidP="007550AE">
      <w:pPr>
        <w:pStyle w:val="Excluded"/>
        <w:rPr>
          <w:noProof/>
        </w:rPr>
      </w:pPr>
      <w:r w:rsidRPr="00D33C6E">
        <w:rPr>
          <w:noProof/>
        </w:rPr>
        <w:t xml:space="preserve">Block SR, Watkins SM, Salemi JL et al (2013) Maternal pre-pregnancy body mass index and risk of selected birth defects: evidence of a dose-response relationship. </w:t>
      </w:r>
      <w:r w:rsidRPr="00D33C6E">
        <w:rPr>
          <w:i/>
          <w:noProof/>
        </w:rPr>
        <w:t>Paediatr Perinat Epidemiol</w:t>
      </w:r>
      <w:r w:rsidRPr="00D33C6E">
        <w:rPr>
          <w:noProof/>
        </w:rPr>
        <w:t xml:space="preserve"> 27(6): 521-31.</w:t>
      </w:r>
    </w:p>
    <w:p w14:paraId="27B109DB" w14:textId="77777777" w:rsidR="007550AE" w:rsidRPr="00673F96" w:rsidRDefault="007550AE" w:rsidP="007550AE">
      <w:pPr>
        <w:pStyle w:val="Excluded"/>
        <w:rPr>
          <w:noProof/>
        </w:rPr>
      </w:pPr>
      <w:r w:rsidRPr="00673F96">
        <w:rPr>
          <w:noProof/>
        </w:rPr>
        <w:t xml:space="preserve">Britto RP, Florencio TM, Benedito Silva AA et al (2013) Influence of maternal height and weight on low birth weight: a cross-sectional study in poor communities of northeastern Brazil. </w:t>
      </w:r>
      <w:r w:rsidRPr="00673F96">
        <w:rPr>
          <w:i/>
          <w:noProof/>
        </w:rPr>
        <w:t>PLoS One</w:t>
      </w:r>
      <w:r w:rsidRPr="00673F96">
        <w:rPr>
          <w:noProof/>
        </w:rPr>
        <w:t xml:space="preserve"> 8(11): e80159.</w:t>
      </w:r>
    </w:p>
    <w:p w14:paraId="4DD3D2CD" w14:textId="77777777" w:rsidR="007550AE" w:rsidRPr="00D33C6E" w:rsidRDefault="007550AE" w:rsidP="007550AE">
      <w:pPr>
        <w:pStyle w:val="Excluded"/>
        <w:rPr>
          <w:noProof/>
        </w:rPr>
      </w:pPr>
      <w:r w:rsidRPr="00D33C6E">
        <w:rPr>
          <w:noProof/>
        </w:rPr>
        <w:t xml:space="preserve">Butwick AJ, Abreo A, Bateman BT et al (2018) Effect of Maternal Body Mass Index on Postpartum Hemorrhage. </w:t>
      </w:r>
      <w:r w:rsidRPr="00D33C6E">
        <w:rPr>
          <w:i/>
          <w:noProof/>
        </w:rPr>
        <w:t>Anesthesiology</w:t>
      </w:r>
      <w:r w:rsidRPr="00D33C6E">
        <w:rPr>
          <w:noProof/>
        </w:rPr>
        <w:t xml:space="preserve"> 128(4): 774-83.</w:t>
      </w:r>
    </w:p>
    <w:p w14:paraId="524ADDCF" w14:textId="77777777" w:rsidR="007550AE" w:rsidRPr="00D33C6E" w:rsidRDefault="007550AE" w:rsidP="007550AE">
      <w:pPr>
        <w:pStyle w:val="Excluded"/>
        <w:rPr>
          <w:noProof/>
        </w:rPr>
      </w:pPr>
      <w:r w:rsidRPr="00D33C6E">
        <w:rPr>
          <w:noProof/>
        </w:rPr>
        <w:t xml:space="preserve">Cameron CM, Shibl R, McClure RJ et al (2014) Maternal pregravid body mass index and child hospital admissions in the first 5 years of life: results from an Australian birth cohort. </w:t>
      </w:r>
      <w:r w:rsidRPr="00D33C6E">
        <w:rPr>
          <w:i/>
          <w:noProof/>
        </w:rPr>
        <w:t>Int J Obes (Lond)</w:t>
      </w:r>
      <w:r w:rsidRPr="00D33C6E">
        <w:rPr>
          <w:noProof/>
        </w:rPr>
        <w:t xml:space="preserve"> 38(10): 1268-74.</w:t>
      </w:r>
    </w:p>
    <w:p w14:paraId="1D2C3826" w14:textId="77777777" w:rsidR="007550AE" w:rsidRPr="00673F96" w:rsidRDefault="007550AE" w:rsidP="007550AE">
      <w:pPr>
        <w:pStyle w:val="Excluded"/>
        <w:rPr>
          <w:noProof/>
        </w:rPr>
      </w:pPr>
      <w:r w:rsidRPr="00673F96">
        <w:rPr>
          <w:noProof/>
        </w:rPr>
        <w:t xml:space="preserve">Campbell MK, Cartier S, Xie B et al (2012) Determinants of small for gestational age birth at term. </w:t>
      </w:r>
      <w:r w:rsidRPr="00673F96">
        <w:rPr>
          <w:i/>
          <w:noProof/>
        </w:rPr>
        <w:t>Paediatr Perinat Epidemiol</w:t>
      </w:r>
      <w:r w:rsidRPr="00673F96">
        <w:rPr>
          <w:noProof/>
        </w:rPr>
        <w:t xml:space="preserve"> 26(6): 525-33.</w:t>
      </w:r>
    </w:p>
    <w:p w14:paraId="4472DD80" w14:textId="77777777" w:rsidR="007550AE" w:rsidRPr="00673F96" w:rsidRDefault="007550AE" w:rsidP="007550AE">
      <w:pPr>
        <w:pStyle w:val="Excluded"/>
        <w:rPr>
          <w:noProof/>
        </w:rPr>
      </w:pPr>
      <w:r w:rsidRPr="00673F96">
        <w:rPr>
          <w:noProof/>
        </w:rPr>
        <w:t xml:space="preserve">Carmichael SL, Kan P, Gould JB et al (2017) Maternal prepregnancy body mass index and risk of bronchopulmonary dysplasia. </w:t>
      </w:r>
      <w:r w:rsidRPr="00673F96">
        <w:rPr>
          <w:i/>
          <w:noProof/>
        </w:rPr>
        <w:t>Pediatr Res</w:t>
      </w:r>
      <w:r w:rsidRPr="00673F96">
        <w:rPr>
          <w:noProof/>
        </w:rPr>
        <w:t xml:space="preserve"> 82(1): 8-13.</w:t>
      </w:r>
    </w:p>
    <w:p w14:paraId="05A84D39" w14:textId="77777777" w:rsidR="007550AE" w:rsidRPr="00D33C6E" w:rsidRDefault="007550AE" w:rsidP="007550AE">
      <w:pPr>
        <w:pStyle w:val="Excluded"/>
        <w:rPr>
          <w:noProof/>
        </w:rPr>
      </w:pPr>
      <w:r w:rsidRPr="00D33C6E">
        <w:rPr>
          <w:noProof/>
        </w:rPr>
        <w:t xml:space="preserve">Chung JH, Melsop KA, Gilbert WM et al (2012) Increasing pre-pregnancy body mass index is predictive of a progressive escalation in adverse pregnancy outcomes. </w:t>
      </w:r>
      <w:r w:rsidRPr="00D33C6E">
        <w:rPr>
          <w:i/>
          <w:noProof/>
        </w:rPr>
        <w:t>J Matern Fetal Neonatal Med</w:t>
      </w:r>
      <w:r w:rsidRPr="00D33C6E">
        <w:rPr>
          <w:noProof/>
        </w:rPr>
        <w:t xml:space="preserve"> 25(9): 1635-9.</w:t>
      </w:r>
    </w:p>
    <w:p w14:paraId="24A72F64" w14:textId="77777777" w:rsidR="007550AE" w:rsidRPr="00673F96" w:rsidRDefault="007550AE" w:rsidP="007550AE">
      <w:pPr>
        <w:pStyle w:val="Excluded"/>
        <w:rPr>
          <w:noProof/>
        </w:rPr>
      </w:pPr>
      <w:r w:rsidRPr="00673F96">
        <w:rPr>
          <w:noProof/>
        </w:rPr>
        <w:t xml:space="preserve">Cristina Rossi A (2016) Underweight and pregnancy. </w:t>
      </w:r>
      <w:r w:rsidRPr="00673F96">
        <w:rPr>
          <w:i/>
          <w:noProof/>
        </w:rPr>
        <w:t>BJOG</w:t>
      </w:r>
      <w:r w:rsidRPr="00673F96">
        <w:rPr>
          <w:noProof/>
        </w:rPr>
        <w:t xml:space="preserve"> 123(12): 2008.</w:t>
      </w:r>
    </w:p>
    <w:p w14:paraId="3CD1E532" w14:textId="77777777" w:rsidR="007550AE" w:rsidRPr="00673F96" w:rsidRDefault="007550AE" w:rsidP="007550AE">
      <w:pPr>
        <w:pStyle w:val="Excluded"/>
        <w:rPr>
          <w:noProof/>
        </w:rPr>
      </w:pPr>
      <w:r w:rsidRPr="00673F96">
        <w:rPr>
          <w:noProof/>
        </w:rPr>
        <w:t xml:space="preserve">Davies H, Visser J, Tomlinson M et al (2013) An investigation into utilising gestational body mass index as a screening tool for adverse birth outcomes and maternal morbidities in a group of pregnant women in Khayelitsha. </w:t>
      </w:r>
      <w:r w:rsidRPr="00673F96">
        <w:rPr>
          <w:i/>
          <w:noProof/>
        </w:rPr>
        <w:t>South Afr J Clin Nutr</w:t>
      </w:r>
      <w:r w:rsidRPr="00673F96">
        <w:rPr>
          <w:noProof/>
        </w:rPr>
        <w:t xml:space="preserve"> 26(3): 116-22.</w:t>
      </w:r>
    </w:p>
    <w:p w14:paraId="5B528F25" w14:textId="77777777" w:rsidR="007550AE" w:rsidRPr="00673F96" w:rsidRDefault="007550AE" w:rsidP="007550AE">
      <w:pPr>
        <w:pStyle w:val="Excluded"/>
        <w:rPr>
          <w:noProof/>
        </w:rPr>
      </w:pPr>
      <w:r w:rsidRPr="00673F96">
        <w:rPr>
          <w:noProof/>
        </w:rPr>
        <w:t xml:space="preserve">Deardorff J, Smith LH, Petito L et al (2017) Maternal Prepregnancy Weight and Children's Behavioral and Emotional Outcomes. </w:t>
      </w:r>
      <w:r w:rsidRPr="00673F96">
        <w:rPr>
          <w:i/>
          <w:noProof/>
        </w:rPr>
        <w:t>Am J Prev Med</w:t>
      </w:r>
      <w:r w:rsidRPr="00673F96">
        <w:rPr>
          <w:noProof/>
        </w:rPr>
        <w:t xml:space="preserve"> 53(4): 432-40.</w:t>
      </w:r>
    </w:p>
    <w:p w14:paraId="094A726F" w14:textId="77777777" w:rsidR="007550AE" w:rsidRPr="00673F96" w:rsidRDefault="007550AE" w:rsidP="007550AE">
      <w:pPr>
        <w:pStyle w:val="Excluded"/>
        <w:rPr>
          <w:noProof/>
        </w:rPr>
      </w:pPr>
      <w:r w:rsidRPr="00673F96">
        <w:rPr>
          <w:noProof/>
        </w:rPr>
        <w:t xml:space="preserve">Đelmiš J, Pavić M, Ivanišević M et al (2015) Body mass index and pregnancy outcome. </w:t>
      </w:r>
      <w:r w:rsidRPr="00673F96">
        <w:rPr>
          <w:i/>
          <w:noProof/>
        </w:rPr>
        <w:t>Gynaecol Perinatol</w:t>
      </w:r>
      <w:r w:rsidRPr="00673F96">
        <w:rPr>
          <w:noProof/>
        </w:rPr>
        <w:t xml:space="preserve"> 24(3): 99-105.</w:t>
      </w:r>
    </w:p>
    <w:p w14:paraId="0814C6B2" w14:textId="77777777" w:rsidR="007550AE" w:rsidRPr="00D33C6E" w:rsidRDefault="007550AE" w:rsidP="007550AE">
      <w:pPr>
        <w:pStyle w:val="Excluded"/>
        <w:rPr>
          <w:noProof/>
        </w:rPr>
      </w:pPr>
      <w:r w:rsidRPr="00D33C6E">
        <w:rPr>
          <w:noProof/>
        </w:rPr>
        <w:t xml:space="preserve">Denison FC, Norwood P, Bhattacharya S et al (2014) Association between maternal body mass index during pregnancy, short-term morbidity, and increased health service costs: a population-based study. </w:t>
      </w:r>
      <w:r w:rsidRPr="00D33C6E">
        <w:rPr>
          <w:i/>
          <w:noProof/>
        </w:rPr>
        <w:t>BJOG</w:t>
      </w:r>
      <w:r w:rsidRPr="00D33C6E">
        <w:rPr>
          <w:noProof/>
        </w:rPr>
        <w:t xml:space="preserve"> 121(1): 72-81; discussion 82.</w:t>
      </w:r>
    </w:p>
    <w:p w14:paraId="20176140" w14:textId="77777777" w:rsidR="007550AE" w:rsidRPr="00D33C6E" w:rsidRDefault="007550AE" w:rsidP="007550AE">
      <w:pPr>
        <w:pStyle w:val="Excluded"/>
        <w:rPr>
          <w:noProof/>
        </w:rPr>
      </w:pPr>
      <w:r w:rsidRPr="00D33C6E">
        <w:rPr>
          <w:noProof/>
        </w:rPr>
        <w:t xml:space="preserve">Deutsch AB, Lynch O, Alio AP et al (2010) Increased risk of placental abruption in underweight women. </w:t>
      </w:r>
      <w:r w:rsidRPr="00D33C6E">
        <w:rPr>
          <w:i/>
          <w:noProof/>
        </w:rPr>
        <w:t>Am J Perinatol</w:t>
      </w:r>
      <w:r w:rsidRPr="00D33C6E">
        <w:rPr>
          <w:noProof/>
        </w:rPr>
        <w:t xml:space="preserve"> 27(3): 235-40.</w:t>
      </w:r>
    </w:p>
    <w:p w14:paraId="3BFA8BC6" w14:textId="77777777" w:rsidR="007550AE" w:rsidRPr="00673F96" w:rsidRDefault="007550AE" w:rsidP="007550AE">
      <w:pPr>
        <w:pStyle w:val="Excluded"/>
        <w:rPr>
          <w:noProof/>
        </w:rPr>
      </w:pPr>
      <w:r w:rsidRPr="00673F96">
        <w:rPr>
          <w:noProof/>
        </w:rPr>
        <w:t xml:space="preserve">Du MK, Ge LY, Zhou ML et al (2017) Effects of pre-pregnancy body mass index and gestational weight gain on neonatal birth weight. </w:t>
      </w:r>
      <w:r w:rsidRPr="00673F96">
        <w:rPr>
          <w:i/>
          <w:noProof/>
        </w:rPr>
        <w:t>J Zhejiang Univ Sci B</w:t>
      </w:r>
      <w:r w:rsidRPr="00673F96">
        <w:rPr>
          <w:noProof/>
        </w:rPr>
        <w:t xml:space="preserve"> 18(3): 263-71.</w:t>
      </w:r>
    </w:p>
    <w:p w14:paraId="15D0F543" w14:textId="77777777" w:rsidR="007550AE" w:rsidRPr="00673F96" w:rsidRDefault="007550AE" w:rsidP="007550AE">
      <w:pPr>
        <w:pStyle w:val="Excluded"/>
        <w:rPr>
          <w:noProof/>
        </w:rPr>
      </w:pPr>
      <w:r w:rsidRPr="00673F96">
        <w:rPr>
          <w:noProof/>
        </w:rPr>
        <w:t xml:space="preserve">Ekstrom S, Magnusson J, Kull I et al (2015) Maternal body mass index in early pregnancy and offspring asthma, rhinitis and eczema up to 16 years of age. </w:t>
      </w:r>
      <w:r w:rsidRPr="00673F96">
        <w:rPr>
          <w:i/>
          <w:noProof/>
        </w:rPr>
        <w:t>Clin Exp Allergy</w:t>
      </w:r>
      <w:r w:rsidRPr="00673F96">
        <w:rPr>
          <w:noProof/>
        </w:rPr>
        <w:t xml:space="preserve"> 45(1): 283-91.</w:t>
      </w:r>
    </w:p>
    <w:p w14:paraId="0C5DC603" w14:textId="77777777" w:rsidR="007550AE" w:rsidRPr="00673F96" w:rsidRDefault="007550AE" w:rsidP="007550AE">
      <w:pPr>
        <w:pStyle w:val="Excluded"/>
        <w:rPr>
          <w:noProof/>
        </w:rPr>
      </w:pPr>
      <w:r w:rsidRPr="00673F96">
        <w:rPr>
          <w:noProof/>
        </w:rPr>
        <w:t xml:space="preserve">Enomoto K, Aoki S, Toma R et al (2016) Pregnancy Outcomes Based on Pre-Pregnancy Body Mass Index in Japanese Women. </w:t>
      </w:r>
      <w:r w:rsidRPr="00673F96">
        <w:rPr>
          <w:i/>
          <w:noProof/>
        </w:rPr>
        <w:t>PLoS One</w:t>
      </w:r>
      <w:r w:rsidRPr="00673F96">
        <w:rPr>
          <w:noProof/>
        </w:rPr>
        <w:t xml:space="preserve"> 11(6): e0157081.</w:t>
      </w:r>
    </w:p>
    <w:p w14:paraId="04821D30" w14:textId="77777777" w:rsidR="007550AE" w:rsidRPr="00673F96" w:rsidRDefault="007550AE" w:rsidP="007550AE">
      <w:pPr>
        <w:pStyle w:val="Excluded"/>
        <w:rPr>
          <w:noProof/>
        </w:rPr>
      </w:pPr>
      <w:r w:rsidRPr="00673F96">
        <w:rPr>
          <w:noProof/>
        </w:rPr>
        <w:t xml:space="preserve">Feodor Nilsson S, Andersen PK, Strandberg-Larsen K et al (2014) Risk factors for miscarriage from a prevention perspective: a nationwide follow-up study. </w:t>
      </w:r>
      <w:r w:rsidRPr="00673F96">
        <w:rPr>
          <w:i/>
          <w:noProof/>
        </w:rPr>
        <w:t>BJOG</w:t>
      </w:r>
      <w:r w:rsidRPr="00673F96">
        <w:rPr>
          <w:noProof/>
        </w:rPr>
        <w:t xml:space="preserve"> 121(11): 1375-84.</w:t>
      </w:r>
    </w:p>
    <w:p w14:paraId="0EA6617A" w14:textId="77777777" w:rsidR="007550AE" w:rsidRPr="00D33C6E" w:rsidRDefault="007550AE" w:rsidP="007550AE">
      <w:pPr>
        <w:pStyle w:val="Excluded"/>
        <w:rPr>
          <w:noProof/>
        </w:rPr>
      </w:pPr>
      <w:r w:rsidRPr="00D33C6E">
        <w:rPr>
          <w:noProof/>
        </w:rPr>
        <w:t xml:space="preserve">Foo XY, Greer RM, Kumar S (2016) Impact of maternal body mass index on intrapartum and neonatal outcomes in Brisbane, Australia, 2007 to 2013. </w:t>
      </w:r>
      <w:r w:rsidRPr="00D33C6E">
        <w:rPr>
          <w:i/>
          <w:noProof/>
        </w:rPr>
        <w:t>Birth</w:t>
      </w:r>
      <w:r w:rsidRPr="00D33C6E">
        <w:rPr>
          <w:noProof/>
        </w:rPr>
        <w:t xml:space="preserve"> 43(4): 358-65.</w:t>
      </w:r>
    </w:p>
    <w:p w14:paraId="1FF65126" w14:textId="77777777" w:rsidR="007550AE" w:rsidRPr="00673F96" w:rsidRDefault="007550AE" w:rsidP="007550AE">
      <w:pPr>
        <w:pStyle w:val="Excluded"/>
        <w:rPr>
          <w:noProof/>
        </w:rPr>
      </w:pPr>
      <w:r w:rsidRPr="00673F96">
        <w:rPr>
          <w:noProof/>
        </w:rPr>
        <w:t xml:space="preserve">Fujiwara K, Aoki S, Kurasawa K et al (2014) Associations of maternal pre-pregnancy underweight with small-for-gestational-age and spontaneous preterm birth, and optimal gestational weight gain in Japanese women. </w:t>
      </w:r>
      <w:r w:rsidRPr="00673F96">
        <w:rPr>
          <w:i/>
          <w:noProof/>
        </w:rPr>
        <w:t>J Obstet Gynaecol Res</w:t>
      </w:r>
      <w:r w:rsidRPr="00673F96">
        <w:rPr>
          <w:noProof/>
        </w:rPr>
        <w:t xml:space="preserve"> 40(4): 988-94.</w:t>
      </w:r>
    </w:p>
    <w:p w14:paraId="4793F1C0" w14:textId="77777777" w:rsidR="007550AE" w:rsidRPr="00673F96" w:rsidRDefault="007550AE" w:rsidP="007550AE">
      <w:pPr>
        <w:pStyle w:val="Excluded"/>
        <w:rPr>
          <w:noProof/>
        </w:rPr>
      </w:pPr>
      <w:r w:rsidRPr="00673F96">
        <w:rPr>
          <w:noProof/>
        </w:rPr>
        <w:t xml:space="preserve">Getz KD, Anderka MT, Werler MM et al (2016) Maternal Pre-pregnancy Body Mass Index and Autism Spectrum Disorder among Offspring: A Population-Based Case-Control Study. </w:t>
      </w:r>
      <w:r w:rsidRPr="00673F96">
        <w:rPr>
          <w:i/>
          <w:noProof/>
        </w:rPr>
        <w:t>Paediatr Perinat Epidemiol</w:t>
      </w:r>
      <w:r w:rsidRPr="00673F96">
        <w:rPr>
          <w:noProof/>
        </w:rPr>
        <w:t xml:space="preserve"> 30(5): 479-87.</w:t>
      </w:r>
    </w:p>
    <w:p w14:paraId="11AE2F84" w14:textId="77777777" w:rsidR="007550AE" w:rsidRPr="00673F96" w:rsidRDefault="007550AE" w:rsidP="007550AE">
      <w:pPr>
        <w:pStyle w:val="Excluded"/>
        <w:rPr>
          <w:noProof/>
        </w:rPr>
      </w:pPr>
      <w:r w:rsidRPr="00673F96">
        <w:rPr>
          <w:noProof/>
        </w:rPr>
        <w:t xml:space="preserve">Girsen AI, Mayo JA, Wallenstein MB et al (2018) What factors are related to recurrent preterm birth among underweight women?(). </w:t>
      </w:r>
      <w:r w:rsidRPr="00673F96">
        <w:rPr>
          <w:i/>
          <w:noProof/>
        </w:rPr>
        <w:t>J Matern Fetal Neonatal Med</w:t>
      </w:r>
      <w:r w:rsidRPr="00673F96">
        <w:rPr>
          <w:noProof/>
        </w:rPr>
        <w:t xml:space="preserve"> 31(5): 560-66.</w:t>
      </w:r>
    </w:p>
    <w:p w14:paraId="6261897B" w14:textId="77777777" w:rsidR="007550AE" w:rsidRPr="00673F96" w:rsidRDefault="007550AE" w:rsidP="007550AE">
      <w:pPr>
        <w:pStyle w:val="Excluded"/>
        <w:rPr>
          <w:noProof/>
        </w:rPr>
      </w:pPr>
      <w:r w:rsidRPr="00673F96">
        <w:rPr>
          <w:noProof/>
        </w:rPr>
        <w:t xml:space="preserve">Goetzinger KR, Cahill AG, Macones GA et al (2012) The relationship between maternal body mass index and tobacco use on small-for-gestational-age infants. </w:t>
      </w:r>
      <w:r w:rsidRPr="00673F96">
        <w:rPr>
          <w:i/>
          <w:noProof/>
        </w:rPr>
        <w:t>Am J Perinatol</w:t>
      </w:r>
      <w:r w:rsidRPr="00673F96">
        <w:rPr>
          <w:noProof/>
        </w:rPr>
        <w:t xml:space="preserve"> 29(3): 153-8.</w:t>
      </w:r>
    </w:p>
    <w:p w14:paraId="52E42C2B" w14:textId="77777777" w:rsidR="007550AE" w:rsidRPr="00673F96" w:rsidRDefault="007550AE" w:rsidP="007550AE">
      <w:pPr>
        <w:pStyle w:val="Excluded"/>
        <w:rPr>
          <w:noProof/>
        </w:rPr>
      </w:pPr>
      <w:r w:rsidRPr="00673F96">
        <w:rPr>
          <w:noProof/>
        </w:rPr>
        <w:t xml:space="preserve">Guelinckx I, Devlieger R, Bogaerts A et al (2012) The effect of pre-pregnancy BMI on intention, initiation and duration of breast-feeding. </w:t>
      </w:r>
      <w:r w:rsidRPr="00673F96">
        <w:rPr>
          <w:i/>
          <w:noProof/>
        </w:rPr>
        <w:t>Public Health Nutr</w:t>
      </w:r>
      <w:r w:rsidRPr="00673F96">
        <w:rPr>
          <w:noProof/>
        </w:rPr>
        <w:t xml:space="preserve"> 15(5): 840-8.</w:t>
      </w:r>
    </w:p>
    <w:p w14:paraId="167F4A76" w14:textId="77777777" w:rsidR="007550AE" w:rsidRPr="00673F96" w:rsidRDefault="007550AE" w:rsidP="007550AE">
      <w:pPr>
        <w:pStyle w:val="Excluded"/>
        <w:rPr>
          <w:noProof/>
        </w:rPr>
      </w:pPr>
      <w:r w:rsidRPr="00673F96">
        <w:rPr>
          <w:noProof/>
        </w:rPr>
        <w:t xml:space="preserve">Ha AVV, Zhao Y, Pham NM et al (2019) Postpartum weight retention in relation to gestational weight gain and pre-pregnancy body mass index: A prospective cohort study in Vietnam. </w:t>
      </w:r>
      <w:r w:rsidRPr="00673F96">
        <w:rPr>
          <w:i/>
          <w:noProof/>
        </w:rPr>
        <w:t>Obes Res Clin Pract</w:t>
      </w:r>
      <w:r w:rsidRPr="00673F96">
        <w:rPr>
          <w:noProof/>
        </w:rPr>
        <w:t xml:space="preserve"> 13(2): 143-49.</w:t>
      </w:r>
    </w:p>
    <w:p w14:paraId="2C58465E" w14:textId="77777777" w:rsidR="007550AE" w:rsidRPr="00673F96" w:rsidRDefault="007550AE" w:rsidP="007550AE">
      <w:pPr>
        <w:pStyle w:val="Excluded"/>
        <w:rPr>
          <w:noProof/>
        </w:rPr>
      </w:pPr>
      <w:r w:rsidRPr="00673F96">
        <w:rPr>
          <w:noProof/>
        </w:rPr>
        <w:t xml:space="preserve">Hale J, Derbyshire A, Taylor A et al (2017) Relationship between neonatal gastroschisis and maternal body mass index in a United Kingdom population. </w:t>
      </w:r>
      <w:r w:rsidRPr="00673F96">
        <w:rPr>
          <w:i/>
          <w:noProof/>
        </w:rPr>
        <w:t>Eur J Obstet Gynecol Reprod Biol</w:t>
      </w:r>
      <w:r w:rsidRPr="00673F96">
        <w:rPr>
          <w:noProof/>
        </w:rPr>
        <w:t xml:space="preserve"> 210: 292-94.</w:t>
      </w:r>
    </w:p>
    <w:p w14:paraId="51905226" w14:textId="77777777" w:rsidR="007550AE" w:rsidRPr="00673F96" w:rsidRDefault="007550AE" w:rsidP="007550AE">
      <w:pPr>
        <w:pStyle w:val="Excluded"/>
        <w:rPr>
          <w:noProof/>
        </w:rPr>
      </w:pPr>
      <w:r w:rsidRPr="00673F96">
        <w:rPr>
          <w:noProof/>
        </w:rPr>
        <w:t xml:space="preserve">Hayward I, Malcoe LH, Cleathero LA et al (2012) Investigating maternal risk factors as potential targets of intervention to reduce socioeconomic inequality in small for gestational age: a population-based study. </w:t>
      </w:r>
      <w:r w:rsidRPr="00673F96">
        <w:rPr>
          <w:i/>
          <w:noProof/>
        </w:rPr>
        <w:t>BMC Public Health</w:t>
      </w:r>
      <w:r w:rsidRPr="00673F96">
        <w:rPr>
          <w:noProof/>
        </w:rPr>
        <w:t xml:space="preserve"> 12: 333.</w:t>
      </w:r>
    </w:p>
    <w:p w14:paraId="28AC5904" w14:textId="77777777" w:rsidR="007550AE" w:rsidRPr="00673F96" w:rsidRDefault="007550AE" w:rsidP="007550AE">
      <w:pPr>
        <w:pStyle w:val="Excluded"/>
        <w:rPr>
          <w:noProof/>
        </w:rPr>
      </w:pPr>
      <w:r w:rsidRPr="00673F96">
        <w:rPr>
          <w:noProof/>
        </w:rPr>
        <w:t xml:space="preserve">Heaman M, Kingston D, Chalmers B et al (2013) Risk factors for preterm birth and small-for-gestational-age births among Canadian women. </w:t>
      </w:r>
      <w:r w:rsidRPr="00673F96">
        <w:rPr>
          <w:i/>
          <w:noProof/>
        </w:rPr>
        <w:t>Paediatr Perinat Epidemiol</w:t>
      </w:r>
      <w:r w:rsidRPr="00673F96">
        <w:rPr>
          <w:noProof/>
        </w:rPr>
        <w:t xml:space="preserve"> 27(1): 54-61.</w:t>
      </w:r>
    </w:p>
    <w:p w14:paraId="76DFC6CA" w14:textId="77777777" w:rsidR="007550AE" w:rsidRPr="00673F96" w:rsidRDefault="007550AE" w:rsidP="007550AE">
      <w:pPr>
        <w:pStyle w:val="Excluded"/>
        <w:rPr>
          <w:noProof/>
        </w:rPr>
      </w:pPr>
      <w:r w:rsidRPr="00673F96">
        <w:rPr>
          <w:noProof/>
        </w:rPr>
        <w:t xml:space="preserve">Hendrix RA, Rohrer JE, Danawi H et al (2012) Autism spectrum disorders: a sibling case-control study of maternal prenatal body mass index. </w:t>
      </w:r>
      <w:r w:rsidRPr="00673F96">
        <w:rPr>
          <w:i/>
          <w:noProof/>
        </w:rPr>
        <w:t>Int J Childbirth Education</w:t>
      </w:r>
      <w:r w:rsidRPr="00673F96">
        <w:rPr>
          <w:noProof/>
        </w:rPr>
        <w:t xml:space="preserve"> 27(4): 79-83.</w:t>
      </w:r>
    </w:p>
    <w:p w14:paraId="01DA3982" w14:textId="77777777" w:rsidR="007550AE" w:rsidRPr="00673F96" w:rsidRDefault="007550AE" w:rsidP="007550AE">
      <w:pPr>
        <w:pStyle w:val="Excluded"/>
        <w:rPr>
          <w:noProof/>
        </w:rPr>
      </w:pPr>
      <w:r w:rsidRPr="00673F96">
        <w:rPr>
          <w:noProof/>
        </w:rPr>
        <w:t xml:space="preserve">Hinkle SN, Albert PS, Mendola P et al (2014) Differences in risk factors for incident and recurrent small-for-gestational-age birthweight: a hospital-based cohort study. </w:t>
      </w:r>
      <w:r w:rsidRPr="00673F96">
        <w:rPr>
          <w:i/>
          <w:noProof/>
        </w:rPr>
        <w:t>BJOG</w:t>
      </w:r>
      <w:r w:rsidRPr="00673F96">
        <w:rPr>
          <w:noProof/>
        </w:rPr>
        <w:t xml:space="preserve"> 121(9): 1080-8; discussion 89.</w:t>
      </w:r>
    </w:p>
    <w:p w14:paraId="2BDCE919" w14:textId="77777777" w:rsidR="007550AE" w:rsidRPr="00673F96" w:rsidRDefault="007550AE" w:rsidP="007550AE">
      <w:pPr>
        <w:pStyle w:val="Excluded"/>
        <w:rPr>
          <w:noProof/>
        </w:rPr>
      </w:pPr>
      <w:r w:rsidRPr="00673F96">
        <w:rPr>
          <w:noProof/>
        </w:rPr>
        <w:t xml:space="preserve">Hinkle SN, Schieve LA, Stein AD et al (2012) Associations between maternal prepregnancy body mass index and child neurodevelopment at 2 years of age. </w:t>
      </w:r>
      <w:r w:rsidRPr="00673F96">
        <w:rPr>
          <w:i/>
          <w:noProof/>
        </w:rPr>
        <w:t>Int J Obes (Lond)</w:t>
      </w:r>
      <w:r w:rsidRPr="00673F96">
        <w:rPr>
          <w:noProof/>
        </w:rPr>
        <w:t xml:space="preserve"> 36(10): 1312-9.</w:t>
      </w:r>
    </w:p>
    <w:p w14:paraId="54E738C1" w14:textId="77777777" w:rsidR="007550AE" w:rsidRPr="00673F96" w:rsidRDefault="007550AE" w:rsidP="007550AE">
      <w:pPr>
        <w:pStyle w:val="Excluded"/>
        <w:rPr>
          <w:noProof/>
        </w:rPr>
      </w:pPr>
      <w:r w:rsidRPr="00673F96">
        <w:rPr>
          <w:noProof/>
        </w:rPr>
        <w:t xml:space="preserve">Hoellen F, Hornemann A, Haertel C et al (2014) Does maternal underweight prior to conception influence pregnancy risks and outcome? </w:t>
      </w:r>
      <w:r w:rsidRPr="00673F96">
        <w:rPr>
          <w:i/>
          <w:noProof/>
        </w:rPr>
        <w:t>In Vivo</w:t>
      </w:r>
      <w:r w:rsidRPr="00673F96">
        <w:rPr>
          <w:noProof/>
        </w:rPr>
        <w:t xml:space="preserve"> 28(6): 1165-70.</w:t>
      </w:r>
    </w:p>
    <w:p w14:paraId="45791855" w14:textId="77777777" w:rsidR="007550AE" w:rsidRPr="00D33C6E" w:rsidRDefault="007550AE" w:rsidP="007550AE">
      <w:pPr>
        <w:pStyle w:val="Excluded"/>
        <w:rPr>
          <w:noProof/>
        </w:rPr>
      </w:pPr>
      <w:r w:rsidRPr="00D33C6E">
        <w:rPr>
          <w:noProof/>
        </w:rPr>
        <w:t xml:space="preserve">Houde M, Dahdouh EM, Mongrain V et al (2015) The Effect of Adequate Gestational Weight Gain among Adolescents Relative to Adults of Equivalent Body Mass Index and the Risk of Preterm Birth, Cesarean Delivery, and Low Birth Weight. </w:t>
      </w:r>
      <w:r w:rsidRPr="00D33C6E">
        <w:rPr>
          <w:i/>
          <w:noProof/>
        </w:rPr>
        <w:t>J Pediatr Adolesc Gynecol</w:t>
      </w:r>
      <w:r w:rsidRPr="00D33C6E">
        <w:rPr>
          <w:noProof/>
        </w:rPr>
        <w:t xml:space="preserve"> 28(6): 502-7.</w:t>
      </w:r>
    </w:p>
    <w:p w14:paraId="51A75503" w14:textId="77777777" w:rsidR="007550AE" w:rsidRPr="00D33C6E" w:rsidRDefault="007550AE" w:rsidP="007550AE">
      <w:pPr>
        <w:pStyle w:val="Excluded"/>
        <w:rPr>
          <w:noProof/>
        </w:rPr>
      </w:pPr>
      <w:r w:rsidRPr="00D33C6E">
        <w:rPr>
          <w:noProof/>
        </w:rPr>
        <w:t xml:space="preserve">Hu R, Chen Y, Zhang Y et al (2017) Association between vomiting in the first trimester and preterm birth: a retrospective birth cohort study in Wuhan, China. </w:t>
      </w:r>
      <w:r w:rsidRPr="00D33C6E">
        <w:rPr>
          <w:i/>
          <w:noProof/>
        </w:rPr>
        <w:t>BMJ Open</w:t>
      </w:r>
      <w:r w:rsidRPr="00D33C6E">
        <w:rPr>
          <w:noProof/>
        </w:rPr>
        <w:t xml:space="preserve"> 7(9): e017309.</w:t>
      </w:r>
    </w:p>
    <w:p w14:paraId="1B752FA8" w14:textId="77777777" w:rsidR="007550AE" w:rsidRPr="00673F96" w:rsidRDefault="007550AE" w:rsidP="007550AE">
      <w:pPr>
        <w:pStyle w:val="Excluded"/>
        <w:rPr>
          <w:noProof/>
        </w:rPr>
      </w:pPr>
      <w:r w:rsidRPr="00673F96">
        <w:rPr>
          <w:noProof/>
        </w:rPr>
        <w:t xml:space="preserve">Huang TT, Wang HS, Dai FT (2010) Effect of pre-pregnancy body size on postpartum weight retention. </w:t>
      </w:r>
      <w:r w:rsidRPr="00673F96">
        <w:rPr>
          <w:i/>
          <w:noProof/>
        </w:rPr>
        <w:t>Midwifery</w:t>
      </w:r>
      <w:r w:rsidRPr="00673F96">
        <w:rPr>
          <w:noProof/>
        </w:rPr>
        <w:t xml:space="preserve"> 26(2): 222-31.</w:t>
      </w:r>
    </w:p>
    <w:p w14:paraId="79B1F228" w14:textId="77777777" w:rsidR="007550AE" w:rsidRPr="00673F96" w:rsidRDefault="007550AE" w:rsidP="007550AE">
      <w:pPr>
        <w:pStyle w:val="Excluded"/>
        <w:rPr>
          <w:noProof/>
        </w:rPr>
      </w:pPr>
      <w:r w:rsidRPr="00673F96">
        <w:rPr>
          <w:noProof/>
        </w:rPr>
        <w:t xml:space="preserve">Hung TH, Hsieh TT, Lo LM et al (2013) Risk factors and perinatal outcomes associated with idiopathic small for gestational age Taiwanese newborns. </w:t>
      </w:r>
      <w:r w:rsidRPr="00673F96">
        <w:rPr>
          <w:i/>
          <w:noProof/>
        </w:rPr>
        <w:t>Int J Gynaecol Obstet</w:t>
      </w:r>
      <w:r w:rsidRPr="00673F96">
        <w:rPr>
          <w:noProof/>
        </w:rPr>
        <w:t xml:space="preserve"> 122(3): 212-5.</w:t>
      </w:r>
    </w:p>
    <w:p w14:paraId="3AA3D63A" w14:textId="77777777" w:rsidR="007550AE" w:rsidRPr="00673F96" w:rsidRDefault="007550AE" w:rsidP="007550AE">
      <w:pPr>
        <w:pStyle w:val="Excluded"/>
        <w:rPr>
          <w:noProof/>
        </w:rPr>
      </w:pPr>
      <w:r w:rsidRPr="00673F96">
        <w:rPr>
          <w:noProof/>
        </w:rPr>
        <w:t xml:space="preserve">Jeric M, Roje D, Medic N et al (2013) Maternal pre-pregnancy underweight and fetal growth in relation to institute of medicine recommendations for gestational weight gain. </w:t>
      </w:r>
      <w:r w:rsidRPr="00673F96">
        <w:rPr>
          <w:i/>
          <w:noProof/>
        </w:rPr>
        <w:t>Early Hum Dev</w:t>
      </w:r>
      <w:r w:rsidRPr="00673F96">
        <w:rPr>
          <w:noProof/>
        </w:rPr>
        <w:t xml:space="preserve"> 89(5): 277-81.</w:t>
      </w:r>
    </w:p>
    <w:p w14:paraId="3A5E45EA" w14:textId="77777777" w:rsidR="007550AE" w:rsidRPr="00673F96" w:rsidRDefault="007550AE" w:rsidP="007550AE">
      <w:pPr>
        <w:pStyle w:val="Excluded"/>
        <w:rPr>
          <w:noProof/>
        </w:rPr>
      </w:pPr>
      <w:r w:rsidRPr="00673F96">
        <w:rPr>
          <w:noProof/>
        </w:rPr>
        <w:t xml:space="preserve">Jung SJ, Park SK, Shin A et al (2015) Body mass index at age 18-20 and later risk of spontaneous abortion in the Health Examinees Study (HEXA). </w:t>
      </w:r>
      <w:r w:rsidRPr="00673F96">
        <w:rPr>
          <w:i/>
          <w:noProof/>
        </w:rPr>
        <w:t>BMC Pregnancy Childbirth</w:t>
      </w:r>
      <w:r w:rsidRPr="00673F96">
        <w:rPr>
          <w:noProof/>
        </w:rPr>
        <w:t xml:space="preserve"> 15: 228.</w:t>
      </w:r>
    </w:p>
    <w:p w14:paraId="4DACE97D" w14:textId="77777777" w:rsidR="007550AE" w:rsidRPr="00673F96" w:rsidRDefault="007550AE" w:rsidP="007550AE">
      <w:pPr>
        <w:pStyle w:val="Excluded"/>
        <w:rPr>
          <w:noProof/>
        </w:rPr>
      </w:pPr>
      <w:r w:rsidRPr="00673F96">
        <w:rPr>
          <w:noProof/>
        </w:rPr>
        <w:t xml:space="preserve">Kandil M, Sanad Z, Sayyed T et al (2017) Body mass index is linked to cervical length and duration of pregnancy: An observational study in low risk pregnancy. </w:t>
      </w:r>
      <w:r w:rsidRPr="00673F96">
        <w:rPr>
          <w:i/>
          <w:noProof/>
        </w:rPr>
        <w:t>J Obstet Gynaecol</w:t>
      </w:r>
      <w:r w:rsidRPr="00673F96">
        <w:rPr>
          <w:noProof/>
        </w:rPr>
        <w:t xml:space="preserve"> 37(1): 33-37.</w:t>
      </w:r>
    </w:p>
    <w:p w14:paraId="7D86452F" w14:textId="77777777" w:rsidR="007550AE" w:rsidRPr="00673F96" w:rsidRDefault="007550AE" w:rsidP="007550AE">
      <w:pPr>
        <w:pStyle w:val="Excluded"/>
        <w:rPr>
          <w:noProof/>
        </w:rPr>
      </w:pPr>
      <w:r w:rsidRPr="00673F96">
        <w:rPr>
          <w:noProof/>
        </w:rPr>
        <w:t xml:space="preserve">Khanam R, Lee AC, Mitra DK et al (2019) Maternal short stature and under-weight status are independent risk factors for preterm birth and small for gestational age in rural Bangladesh. </w:t>
      </w:r>
      <w:r w:rsidRPr="00673F96">
        <w:rPr>
          <w:i/>
          <w:noProof/>
        </w:rPr>
        <w:t>Eur J Clin Nutr</w:t>
      </w:r>
      <w:r w:rsidRPr="00673F96">
        <w:rPr>
          <w:noProof/>
        </w:rPr>
        <w:t xml:space="preserve"> 73(5): 733-42.</w:t>
      </w:r>
    </w:p>
    <w:p w14:paraId="2319280B" w14:textId="77777777" w:rsidR="007550AE" w:rsidRPr="00673F96" w:rsidRDefault="007550AE" w:rsidP="007550AE">
      <w:pPr>
        <w:pStyle w:val="Excluded"/>
        <w:rPr>
          <w:noProof/>
        </w:rPr>
      </w:pPr>
      <w:r w:rsidRPr="00673F96">
        <w:rPr>
          <w:noProof/>
        </w:rPr>
        <w:t xml:space="preserve">Kosa JL, Guendelman S, Pearl M et al (2011) The association between pre-pregnancy BMI and preterm delivery in a diverse southern California population of working women. </w:t>
      </w:r>
      <w:r w:rsidRPr="00673F96">
        <w:rPr>
          <w:i/>
          <w:noProof/>
        </w:rPr>
        <w:t>Matern Child Health J</w:t>
      </w:r>
      <w:r w:rsidRPr="00673F96">
        <w:rPr>
          <w:noProof/>
        </w:rPr>
        <w:t xml:space="preserve"> 15(6): 772-81.</w:t>
      </w:r>
    </w:p>
    <w:p w14:paraId="1721ED2A" w14:textId="77777777" w:rsidR="007550AE" w:rsidRPr="00673F96" w:rsidRDefault="007550AE" w:rsidP="007550AE">
      <w:pPr>
        <w:pStyle w:val="Excluded"/>
        <w:rPr>
          <w:noProof/>
        </w:rPr>
      </w:pPr>
      <w:r w:rsidRPr="00673F96">
        <w:rPr>
          <w:noProof/>
        </w:rPr>
        <w:t xml:space="preserve">Kumpulainen SM, Girchenko P, Lahti-Pulkkinen M et al (2018) Maternal early pregnancy obesity and depressive symptoms during and after pregnancy. </w:t>
      </w:r>
      <w:r w:rsidRPr="00673F96">
        <w:rPr>
          <w:i/>
          <w:noProof/>
        </w:rPr>
        <w:t>Psychol Med</w:t>
      </w:r>
      <w:r w:rsidRPr="00673F96">
        <w:rPr>
          <w:noProof/>
        </w:rPr>
        <w:t xml:space="preserve"> 48(14): 2353-63.</w:t>
      </w:r>
    </w:p>
    <w:p w14:paraId="0B941C75" w14:textId="77777777" w:rsidR="007550AE" w:rsidRPr="00673F96" w:rsidRDefault="007550AE" w:rsidP="007550AE">
      <w:pPr>
        <w:pStyle w:val="Excluded"/>
        <w:rPr>
          <w:noProof/>
        </w:rPr>
      </w:pPr>
      <w:r w:rsidRPr="00673F96">
        <w:rPr>
          <w:noProof/>
        </w:rPr>
        <w:t xml:space="preserve">Kutbi H, Wehby GL, Moreno Uribe LM et al (2017) Maternal underweight and obesity and risk of orofacial clefts in a large international consortium of population-based studies. </w:t>
      </w:r>
      <w:r w:rsidRPr="00673F96">
        <w:rPr>
          <w:i/>
          <w:noProof/>
        </w:rPr>
        <w:t>Int J Epidemiol</w:t>
      </w:r>
      <w:r w:rsidRPr="00673F96">
        <w:rPr>
          <w:noProof/>
        </w:rPr>
        <w:t xml:space="preserve"> 46(1): 190-99.</w:t>
      </w:r>
    </w:p>
    <w:p w14:paraId="4C1470D2" w14:textId="77777777" w:rsidR="007550AE" w:rsidRPr="00D33C6E" w:rsidRDefault="007550AE" w:rsidP="007550AE">
      <w:pPr>
        <w:pStyle w:val="Excluded"/>
        <w:rPr>
          <w:noProof/>
        </w:rPr>
      </w:pPr>
      <w:r w:rsidRPr="00D33C6E">
        <w:rPr>
          <w:noProof/>
        </w:rPr>
        <w:t xml:space="preserve">Lengyel CS, Ehrlich S, Iams JD et al (2017) Effect of Modifiable Risk Factors on Preterm Birth: A Population Based-Cohort. </w:t>
      </w:r>
      <w:r w:rsidRPr="00D33C6E">
        <w:rPr>
          <w:i/>
          <w:noProof/>
        </w:rPr>
        <w:t>Matern Child Health J</w:t>
      </w:r>
      <w:r w:rsidRPr="00D33C6E">
        <w:rPr>
          <w:noProof/>
        </w:rPr>
        <w:t xml:space="preserve"> 21(4): 777-85.</w:t>
      </w:r>
    </w:p>
    <w:p w14:paraId="47390A98" w14:textId="77777777" w:rsidR="007550AE" w:rsidRPr="00673F96" w:rsidRDefault="007550AE" w:rsidP="007550AE">
      <w:pPr>
        <w:pStyle w:val="Excluded"/>
        <w:rPr>
          <w:noProof/>
        </w:rPr>
      </w:pPr>
      <w:r w:rsidRPr="00673F96">
        <w:rPr>
          <w:noProof/>
        </w:rPr>
        <w:t xml:space="preserve">Li C, Liu Y, Zhang W (2015) Joint and Independent Associations of Gestational Weight Gain and Pre-Pregnancy Body Mass Index with Outcomes of Pregnancy in Chinese Women: A Retrospective Cohort Study. </w:t>
      </w:r>
      <w:r w:rsidRPr="00673F96">
        <w:rPr>
          <w:i/>
          <w:noProof/>
        </w:rPr>
        <w:t>PLoS One</w:t>
      </w:r>
      <w:r w:rsidRPr="00673F96">
        <w:rPr>
          <w:noProof/>
        </w:rPr>
        <w:t xml:space="preserve"> 10(8): e0136850.</w:t>
      </w:r>
    </w:p>
    <w:p w14:paraId="72584F0B" w14:textId="77777777" w:rsidR="007550AE" w:rsidRPr="00673F96" w:rsidRDefault="007550AE" w:rsidP="007550AE">
      <w:pPr>
        <w:pStyle w:val="Excluded"/>
        <w:rPr>
          <w:noProof/>
        </w:rPr>
      </w:pPr>
      <w:r w:rsidRPr="00673F96">
        <w:rPr>
          <w:noProof/>
        </w:rPr>
        <w:t xml:space="preserve">Li C, Zhu N, Zeng L et al (2018) Effect of maternal pre-pregnancy underweight and average gestational weight gain on physical growth and intellectual development of early school-aged children. </w:t>
      </w:r>
      <w:r w:rsidRPr="00673F96">
        <w:rPr>
          <w:i/>
          <w:noProof/>
        </w:rPr>
        <w:t>Sci Rep</w:t>
      </w:r>
      <w:r w:rsidRPr="00673F96">
        <w:rPr>
          <w:noProof/>
        </w:rPr>
        <w:t xml:space="preserve"> 8(1): 12014.</w:t>
      </w:r>
    </w:p>
    <w:p w14:paraId="40DD536E" w14:textId="77777777" w:rsidR="007550AE" w:rsidRPr="00673F96" w:rsidRDefault="007550AE" w:rsidP="007550AE">
      <w:pPr>
        <w:pStyle w:val="Excluded"/>
        <w:rPr>
          <w:noProof/>
        </w:rPr>
      </w:pPr>
      <w:r w:rsidRPr="00673F96">
        <w:rPr>
          <w:noProof/>
        </w:rPr>
        <w:t xml:space="preserve">Li Z, Liu J, Ye R et al (2010) Maternal prepregnancy body mass index and risk of neural tube defects: A population-based case-control study in Shanxi province, China. </w:t>
      </w:r>
      <w:r w:rsidRPr="00673F96">
        <w:rPr>
          <w:i/>
          <w:noProof/>
        </w:rPr>
        <w:t>Birth Defects Res A Clin Mol Teratol</w:t>
      </w:r>
      <w:r w:rsidRPr="00673F96">
        <w:rPr>
          <w:noProof/>
        </w:rPr>
        <w:t xml:space="preserve"> 88(7): 570-4.</w:t>
      </w:r>
    </w:p>
    <w:p w14:paraId="05D67550" w14:textId="77777777" w:rsidR="007550AE" w:rsidRPr="00673F96" w:rsidRDefault="007550AE" w:rsidP="007550AE">
      <w:pPr>
        <w:pStyle w:val="Excluded"/>
        <w:rPr>
          <w:noProof/>
        </w:rPr>
      </w:pPr>
      <w:r w:rsidRPr="00673F96">
        <w:rPr>
          <w:noProof/>
        </w:rPr>
        <w:t xml:space="preserve">Liabsuetrakul T (2011) Is international or Asian criteria-based body mass index associated with maternal anaemia, low birthweight, and preterm births among Thai population?—an observational study. </w:t>
      </w:r>
      <w:r w:rsidRPr="00673F96">
        <w:rPr>
          <w:i/>
          <w:noProof/>
        </w:rPr>
        <w:t>J Health Popul Nutr</w:t>
      </w:r>
      <w:r w:rsidRPr="00673F96">
        <w:rPr>
          <w:noProof/>
        </w:rPr>
        <w:t xml:space="preserve"> 29(3): 218-28.</w:t>
      </w:r>
    </w:p>
    <w:p w14:paraId="0F5F2315" w14:textId="77777777" w:rsidR="007550AE" w:rsidRPr="00673F96" w:rsidRDefault="007550AE" w:rsidP="007550AE">
      <w:pPr>
        <w:pStyle w:val="Excluded"/>
        <w:rPr>
          <w:noProof/>
        </w:rPr>
      </w:pPr>
      <w:r w:rsidRPr="00673F96">
        <w:rPr>
          <w:noProof/>
        </w:rPr>
        <w:t xml:space="preserve">Lindholm ES, Altman D, Norman M et al (2015) Health Care Consumption during Pregnancy in relation to Maternal Body Mass Index: A Swedish Population Based Observational Study. </w:t>
      </w:r>
      <w:r w:rsidRPr="00673F96">
        <w:rPr>
          <w:i/>
          <w:noProof/>
        </w:rPr>
        <w:t>J Obes</w:t>
      </w:r>
      <w:r w:rsidRPr="00673F96">
        <w:rPr>
          <w:noProof/>
        </w:rPr>
        <w:t xml:space="preserve"> 2015: 215683.</w:t>
      </w:r>
    </w:p>
    <w:p w14:paraId="4FD185C4" w14:textId="77777777" w:rsidR="007550AE" w:rsidRPr="00D33C6E" w:rsidRDefault="007550AE" w:rsidP="007550AE">
      <w:pPr>
        <w:pStyle w:val="Excluded"/>
        <w:rPr>
          <w:noProof/>
        </w:rPr>
      </w:pPr>
      <w:r w:rsidRPr="00D33C6E">
        <w:rPr>
          <w:noProof/>
        </w:rPr>
        <w:t xml:space="preserve">Lisonkova S, Muraca GM, Potts J et al (2017) Association Between Prepregnancy Body Mass Index and Severe Maternal Morbidity. </w:t>
      </w:r>
      <w:r w:rsidRPr="00D33C6E">
        <w:rPr>
          <w:i/>
          <w:noProof/>
        </w:rPr>
        <w:t>JAMA</w:t>
      </w:r>
      <w:r w:rsidRPr="00D33C6E">
        <w:rPr>
          <w:noProof/>
        </w:rPr>
        <w:t xml:space="preserve"> 318(18): 1777-86.</w:t>
      </w:r>
    </w:p>
    <w:p w14:paraId="34057F54" w14:textId="77777777" w:rsidR="007550AE" w:rsidRPr="00673F96" w:rsidRDefault="007550AE" w:rsidP="007550AE">
      <w:pPr>
        <w:pStyle w:val="Excluded"/>
        <w:rPr>
          <w:noProof/>
        </w:rPr>
      </w:pPr>
      <w:r w:rsidRPr="00673F96">
        <w:rPr>
          <w:noProof/>
        </w:rPr>
        <w:t xml:space="preserve">Liu X, Du J, Wang G et al (2011) Effect of pre-pregnancy body mass index on adverse pregnancy outcome in north of China. </w:t>
      </w:r>
      <w:r w:rsidRPr="00673F96">
        <w:rPr>
          <w:i/>
          <w:noProof/>
        </w:rPr>
        <w:t>Arch Gynecol Obstet</w:t>
      </w:r>
      <w:r w:rsidRPr="00673F96">
        <w:rPr>
          <w:noProof/>
        </w:rPr>
        <w:t xml:space="preserve"> 283(1): 65-70.</w:t>
      </w:r>
    </w:p>
    <w:p w14:paraId="51F28C29" w14:textId="77777777" w:rsidR="007550AE" w:rsidRPr="00D33C6E" w:rsidRDefault="007550AE" w:rsidP="007550AE">
      <w:pPr>
        <w:pStyle w:val="Excluded"/>
        <w:rPr>
          <w:noProof/>
        </w:rPr>
      </w:pPr>
      <w:r w:rsidRPr="00D33C6E">
        <w:rPr>
          <w:noProof/>
        </w:rPr>
        <w:t xml:space="preserve">Mackay E, Dalman C, Karlsson H et al (2017) Association of Gestational Weight Gain and Maternal Body Mass Index in Early Pregnancy With Risk for Nonaffective Psychosis in Offspring. </w:t>
      </w:r>
      <w:r w:rsidRPr="00D33C6E">
        <w:rPr>
          <w:i/>
          <w:noProof/>
        </w:rPr>
        <w:t>JAMA Psychiatry</w:t>
      </w:r>
      <w:r w:rsidRPr="00D33C6E">
        <w:rPr>
          <w:noProof/>
        </w:rPr>
        <w:t xml:space="preserve"> 74(4): 339-49.</w:t>
      </w:r>
    </w:p>
    <w:p w14:paraId="60F7E825" w14:textId="77777777" w:rsidR="007550AE" w:rsidRPr="00673F96" w:rsidRDefault="007550AE" w:rsidP="007550AE">
      <w:pPr>
        <w:pStyle w:val="Excluded"/>
        <w:rPr>
          <w:noProof/>
        </w:rPr>
      </w:pPr>
      <w:r w:rsidRPr="00673F96">
        <w:rPr>
          <w:noProof/>
        </w:rPr>
        <w:t xml:space="preserve">Marengo L, Farag NH, Canfield M (2013) Body mass index and birth defects: Texas, 2005-2008. </w:t>
      </w:r>
      <w:r w:rsidRPr="00673F96">
        <w:rPr>
          <w:i/>
          <w:noProof/>
        </w:rPr>
        <w:t>Matern Child Health J</w:t>
      </w:r>
      <w:r w:rsidRPr="00673F96">
        <w:rPr>
          <w:noProof/>
        </w:rPr>
        <w:t xml:space="preserve"> 17(10): 1898-907.</w:t>
      </w:r>
    </w:p>
    <w:p w14:paraId="2191B8D2" w14:textId="77777777" w:rsidR="007550AE" w:rsidRPr="00673F96" w:rsidRDefault="007550AE" w:rsidP="007550AE">
      <w:pPr>
        <w:pStyle w:val="Excluded"/>
        <w:rPr>
          <w:noProof/>
        </w:rPr>
      </w:pPr>
      <w:r w:rsidRPr="00673F96">
        <w:rPr>
          <w:noProof/>
        </w:rPr>
        <w:t xml:space="preserve">Metwally M, Saravelos SH, Ledger WL et al (2010) Body mass index and risk of miscarriage in women with recurrent miscarriage. </w:t>
      </w:r>
      <w:r w:rsidRPr="00673F96">
        <w:rPr>
          <w:i/>
          <w:noProof/>
        </w:rPr>
        <w:t>Fertil Steril</w:t>
      </w:r>
      <w:r w:rsidRPr="00673F96">
        <w:rPr>
          <w:noProof/>
        </w:rPr>
        <w:t xml:space="preserve"> 94(1): 290-5.</w:t>
      </w:r>
    </w:p>
    <w:p w14:paraId="6E6C20E9" w14:textId="77777777" w:rsidR="007550AE" w:rsidRPr="00673F96" w:rsidRDefault="007550AE" w:rsidP="007550AE">
      <w:pPr>
        <w:pStyle w:val="Excluded"/>
        <w:rPr>
          <w:noProof/>
        </w:rPr>
      </w:pPr>
      <w:r w:rsidRPr="00673F96">
        <w:rPr>
          <w:noProof/>
        </w:rPr>
        <w:t xml:space="preserve">Micali N, Daniel RM, Ploubidis GB et al (2018) Maternal Prepregnancy Weight Status and Adolescent Eating Disorder Behaviors: A Longitudinal Study of Risk Pathways. </w:t>
      </w:r>
      <w:r w:rsidRPr="00673F96">
        <w:rPr>
          <w:i/>
          <w:noProof/>
        </w:rPr>
        <w:t>Epidemiology</w:t>
      </w:r>
      <w:r w:rsidRPr="00673F96">
        <w:rPr>
          <w:noProof/>
        </w:rPr>
        <w:t xml:space="preserve"> 29(4): 579-89.</w:t>
      </w:r>
    </w:p>
    <w:p w14:paraId="45377591" w14:textId="77777777" w:rsidR="007550AE" w:rsidRPr="00673F96" w:rsidRDefault="007550AE" w:rsidP="007550AE">
      <w:pPr>
        <w:pStyle w:val="Excluded"/>
        <w:rPr>
          <w:noProof/>
        </w:rPr>
      </w:pPr>
      <w:r w:rsidRPr="00673F96">
        <w:rPr>
          <w:noProof/>
        </w:rPr>
        <w:t xml:space="preserve">Mongraw-Chaffin ML, Anderson CA, Clark JM et al (2014) Prepregnancy body mass index and cardiovascular disease mortality: the Child Health and Development Studies. </w:t>
      </w:r>
      <w:r w:rsidRPr="00673F96">
        <w:rPr>
          <w:i/>
          <w:noProof/>
        </w:rPr>
        <w:t>Obesity (Silver Spring)</w:t>
      </w:r>
      <w:r w:rsidRPr="00673F96">
        <w:rPr>
          <w:noProof/>
        </w:rPr>
        <w:t xml:space="preserve"> 22(4): 1149-56.</w:t>
      </w:r>
    </w:p>
    <w:p w14:paraId="7BA61D4E" w14:textId="77777777" w:rsidR="007550AE" w:rsidRPr="00673F96" w:rsidRDefault="007550AE" w:rsidP="007550AE">
      <w:pPr>
        <w:pStyle w:val="Excluded"/>
        <w:rPr>
          <w:noProof/>
        </w:rPr>
      </w:pPr>
      <w:r w:rsidRPr="00673F96">
        <w:rPr>
          <w:noProof/>
        </w:rPr>
        <w:t xml:space="preserve">Morino S &amp; Ishihara M (2015) The Association between Pregnancy-Related Discomforts and Pre-Pregnancy Body Mass Index in Japanese Women. </w:t>
      </w:r>
      <w:r w:rsidRPr="00673F96">
        <w:rPr>
          <w:i/>
          <w:noProof/>
        </w:rPr>
        <w:t>Journal of Women's Health Care</w:t>
      </w:r>
      <w:r w:rsidRPr="00673F96">
        <w:rPr>
          <w:noProof/>
        </w:rPr>
        <w:t xml:space="preserve"> 4(1).</w:t>
      </w:r>
    </w:p>
    <w:p w14:paraId="2EBF2D2D" w14:textId="77777777" w:rsidR="007550AE" w:rsidRPr="00673F96" w:rsidRDefault="007550AE" w:rsidP="007550AE">
      <w:pPr>
        <w:pStyle w:val="Excluded"/>
        <w:rPr>
          <w:noProof/>
        </w:rPr>
      </w:pPr>
      <w:r w:rsidRPr="00673F96">
        <w:rPr>
          <w:noProof/>
        </w:rPr>
        <w:t xml:space="preserve">Muhammad T, Khattak AA, Rehman S et al (2010) Maternal factors associated with intrauterine growth restriction. </w:t>
      </w:r>
      <w:r w:rsidRPr="00673F96">
        <w:rPr>
          <w:i/>
          <w:noProof/>
        </w:rPr>
        <w:t>J Ayub Med Coll Abbottabad</w:t>
      </w:r>
      <w:r w:rsidRPr="00673F96">
        <w:rPr>
          <w:noProof/>
        </w:rPr>
        <w:t xml:space="preserve"> 22(4): 64-69.</w:t>
      </w:r>
    </w:p>
    <w:p w14:paraId="7734EA4A" w14:textId="77777777" w:rsidR="007550AE" w:rsidRPr="00673F96" w:rsidRDefault="007550AE" w:rsidP="007550AE">
      <w:pPr>
        <w:pStyle w:val="Excluded"/>
        <w:rPr>
          <w:noProof/>
        </w:rPr>
      </w:pPr>
      <w:r w:rsidRPr="00673F96">
        <w:rPr>
          <w:noProof/>
        </w:rPr>
        <w:t xml:space="preserve">Murai U, Nomura K, Kido M et al (2017) Pre-pregnancy body mass index as a predictor of low birth weight infants in Japan. </w:t>
      </w:r>
      <w:r w:rsidRPr="00673F96">
        <w:rPr>
          <w:i/>
          <w:noProof/>
        </w:rPr>
        <w:t>Asia Pac J Clin Nutr</w:t>
      </w:r>
      <w:r w:rsidRPr="00673F96">
        <w:rPr>
          <w:noProof/>
        </w:rPr>
        <w:t xml:space="preserve"> 26(3): 434-37.</w:t>
      </w:r>
    </w:p>
    <w:p w14:paraId="440D1C02" w14:textId="77777777" w:rsidR="007550AE" w:rsidRPr="00D33C6E" w:rsidRDefault="007550AE" w:rsidP="007550AE">
      <w:pPr>
        <w:pStyle w:val="Excluded"/>
        <w:rPr>
          <w:noProof/>
        </w:rPr>
      </w:pPr>
      <w:r w:rsidRPr="00D33C6E">
        <w:rPr>
          <w:noProof/>
        </w:rPr>
        <w:t xml:space="preserve">Pan Y, Zhang S, Wang Q et al (2016) Investigating the association between prepregnancy body mass index and adverse pregnancy outcomes: a large cohort study of 536 098 Chinese pregnant women in rural China. </w:t>
      </w:r>
      <w:r w:rsidRPr="00D33C6E">
        <w:rPr>
          <w:i/>
          <w:noProof/>
        </w:rPr>
        <w:t>BMJ Open</w:t>
      </w:r>
      <w:r w:rsidRPr="00D33C6E">
        <w:rPr>
          <w:noProof/>
        </w:rPr>
        <w:t xml:space="preserve"> 6(6): e011227.</w:t>
      </w:r>
    </w:p>
    <w:p w14:paraId="45F84DC5" w14:textId="77777777" w:rsidR="007550AE" w:rsidRPr="00D33C6E" w:rsidRDefault="007550AE" w:rsidP="007550AE">
      <w:pPr>
        <w:pStyle w:val="Excluded"/>
        <w:rPr>
          <w:noProof/>
        </w:rPr>
      </w:pPr>
      <w:r w:rsidRPr="00D33C6E">
        <w:rPr>
          <w:noProof/>
        </w:rPr>
        <w:t xml:space="preserve">Panaretto K, Lee H, Mitchell M et al (2006) Risk factors for preterm, low birth weight and small for gestational age birth in urban Aboriginal and Torres Strait Islander women in Townsville. </w:t>
      </w:r>
      <w:r w:rsidRPr="00D33C6E">
        <w:rPr>
          <w:i/>
          <w:noProof/>
        </w:rPr>
        <w:t>Aust N Z J Public Health</w:t>
      </w:r>
      <w:r w:rsidRPr="00D33C6E">
        <w:rPr>
          <w:noProof/>
        </w:rPr>
        <w:t xml:space="preserve"> 30(2): 163-70.</w:t>
      </w:r>
    </w:p>
    <w:p w14:paraId="61CC5E9F" w14:textId="77777777" w:rsidR="007550AE" w:rsidRPr="00673F96" w:rsidRDefault="007550AE" w:rsidP="007550AE">
      <w:pPr>
        <w:pStyle w:val="Excluded"/>
        <w:rPr>
          <w:noProof/>
        </w:rPr>
      </w:pPr>
      <w:r w:rsidRPr="00673F96">
        <w:rPr>
          <w:noProof/>
        </w:rPr>
        <w:t xml:space="preserve">Parker MG, Ouyang F, Pearson C et al (2014) Prepregnancy body mass index and risk of preterm birth: association heterogeneity by preterm subgroups. </w:t>
      </w:r>
      <w:r w:rsidRPr="00673F96">
        <w:rPr>
          <w:i/>
          <w:noProof/>
        </w:rPr>
        <w:t>BMC Pregnancy Childbirth</w:t>
      </w:r>
      <w:r w:rsidRPr="00673F96">
        <w:rPr>
          <w:noProof/>
        </w:rPr>
        <w:t xml:space="preserve"> 14: 153.</w:t>
      </w:r>
    </w:p>
    <w:p w14:paraId="7856F4B7" w14:textId="77777777" w:rsidR="007550AE" w:rsidRPr="00673F96" w:rsidRDefault="007550AE" w:rsidP="007550AE">
      <w:pPr>
        <w:pStyle w:val="Excluded"/>
        <w:rPr>
          <w:noProof/>
        </w:rPr>
      </w:pPr>
      <w:r w:rsidRPr="00673F96">
        <w:rPr>
          <w:noProof/>
        </w:rPr>
        <w:t xml:space="preserve">Rafei RE, Abbas HA, Alameddine H et al (2018) Assessing the Risk of Having Small for Gestational Age Newborns Among Lebanese Underweight and Normal Pre-pregnancy Weight Women. </w:t>
      </w:r>
      <w:r w:rsidRPr="00673F96">
        <w:rPr>
          <w:i/>
          <w:noProof/>
        </w:rPr>
        <w:t>Matern Child Health J</w:t>
      </w:r>
      <w:r w:rsidRPr="00673F96">
        <w:rPr>
          <w:noProof/>
        </w:rPr>
        <w:t xml:space="preserve"> 22(1): 130-36.</w:t>
      </w:r>
    </w:p>
    <w:p w14:paraId="3AF71375" w14:textId="77777777" w:rsidR="007550AE" w:rsidRPr="00673F96" w:rsidRDefault="007550AE" w:rsidP="007550AE">
      <w:pPr>
        <w:pStyle w:val="Excluded"/>
        <w:rPr>
          <w:noProof/>
        </w:rPr>
      </w:pPr>
      <w:r w:rsidRPr="00673F96">
        <w:rPr>
          <w:noProof/>
        </w:rPr>
        <w:t xml:space="preserve">Rai RK, Singh L, Singh PK (2017) Is maternal body mass index associated with neonatal mortality? A pooled analysis of nationally representative data from nine Asian countries. </w:t>
      </w:r>
      <w:r w:rsidRPr="00673F96">
        <w:rPr>
          <w:i/>
          <w:noProof/>
        </w:rPr>
        <w:t>Nutrition</w:t>
      </w:r>
      <w:r w:rsidRPr="00673F96">
        <w:rPr>
          <w:noProof/>
        </w:rPr>
        <w:t xml:space="preserve"> 41: 68-72.</w:t>
      </w:r>
    </w:p>
    <w:p w14:paraId="33B23676" w14:textId="77777777" w:rsidR="007550AE" w:rsidRPr="00673F96" w:rsidRDefault="007550AE" w:rsidP="007550AE">
      <w:pPr>
        <w:pStyle w:val="Excluded"/>
        <w:rPr>
          <w:noProof/>
        </w:rPr>
      </w:pPr>
      <w:r w:rsidRPr="00673F96">
        <w:rPr>
          <w:noProof/>
        </w:rPr>
        <w:t xml:space="preserve">Rankin J, Tennant PW, Stothard KJ et al (2010) Maternal body mass index and congenital anomaly risk: a cohort study. </w:t>
      </w:r>
      <w:r w:rsidRPr="00673F96">
        <w:rPr>
          <w:i/>
          <w:noProof/>
        </w:rPr>
        <w:t>Int J Obes (Lond)</w:t>
      </w:r>
      <w:r w:rsidRPr="00673F96">
        <w:rPr>
          <w:noProof/>
        </w:rPr>
        <w:t xml:space="preserve"> 34(9): 1371-80.</w:t>
      </w:r>
    </w:p>
    <w:p w14:paraId="56E0273B" w14:textId="77777777" w:rsidR="007550AE" w:rsidRPr="00D33C6E" w:rsidRDefault="007550AE" w:rsidP="007550AE">
      <w:pPr>
        <w:pStyle w:val="Excluded"/>
        <w:rPr>
          <w:noProof/>
        </w:rPr>
      </w:pPr>
      <w:r w:rsidRPr="00D33C6E">
        <w:rPr>
          <w:noProof/>
        </w:rPr>
        <w:t xml:space="preserve">Ratnasiri AWG, Lee HC, Lakshminrusimha S et al (2019) Trends in maternal prepregnancy body mass index (BMI) and its association with birth and maternal outcomes in California, 2007-2016: A retrospective cohort study. </w:t>
      </w:r>
      <w:r w:rsidRPr="00D33C6E">
        <w:rPr>
          <w:i/>
          <w:noProof/>
        </w:rPr>
        <w:t>PLoS One</w:t>
      </w:r>
      <w:r w:rsidRPr="00D33C6E">
        <w:rPr>
          <w:noProof/>
        </w:rPr>
        <w:t xml:space="preserve"> 14(9): e0222458.</w:t>
      </w:r>
    </w:p>
    <w:p w14:paraId="704DDE85" w14:textId="77777777" w:rsidR="007550AE" w:rsidRPr="00673F96" w:rsidRDefault="007550AE" w:rsidP="007550AE">
      <w:pPr>
        <w:pStyle w:val="Excluded"/>
        <w:rPr>
          <w:noProof/>
        </w:rPr>
      </w:pPr>
      <w:r w:rsidRPr="00673F96">
        <w:rPr>
          <w:noProof/>
        </w:rPr>
        <w:t xml:space="preserve">Ricci E, Parazzini F, Chiaffarino F et al (2010) Pre-pregnancy body mass index, maternal weight gain during pregnancy and risk of small-for-gestational age birth: results from a case-control study in Italy. </w:t>
      </w:r>
      <w:r w:rsidRPr="00673F96">
        <w:rPr>
          <w:i/>
          <w:noProof/>
        </w:rPr>
        <w:t>J Matern Fetal Neonatal Med</w:t>
      </w:r>
      <w:r w:rsidRPr="00673F96">
        <w:rPr>
          <w:noProof/>
        </w:rPr>
        <w:t xml:space="preserve"> 23(6): 501-5.</w:t>
      </w:r>
    </w:p>
    <w:p w14:paraId="765E7738" w14:textId="77777777" w:rsidR="007550AE" w:rsidRPr="00673F96" w:rsidRDefault="007550AE" w:rsidP="007550AE">
      <w:pPr>
        <w:pStyle w:val="Excluded"/>
        <w:rPr>
          <w:noProof/>
        </w:rPr>
      </w:pPr>
      <w:r w:rsidRPr="00673F96">
        <w:rPr>
          <w:noProof/>
        </w:rPr>
        <w:t xml:space="preserve">Richardson BS, Ruttinger S, Brown HK et al (2017) Maternal body mass index impacts fetal-placental size at birth and umbilical cord oxygen values with implications for regulatory mechanisms. </w:t>
      </w:r>
      <w:r w:rsidRPr="00673F96">
        <w:rPr>
          <w:i/>
          <w:noProof/>
        </w:rPr>
        <w:t>Early Hum Dev</w:t>
      </w:r>
      <w:r w:rsidRPr="00673F96">
        <w:rPr>
          <w:noProof/>
        </w:rPr>
        <w:t xml:space="preserve"> 112: 42-47.</w:t>
      </w:r>
    </w:p>
    <w:p w14:paraId="2110968F" w14:textId="77777777" w:rsidR="007550AE" w:rsidRPr="00673F96" w:rsidRDefault="007550AE" w:rsidP="007550AE">
      <w:pPr>
        <w:pStyle w:val="Excluded"/>
        <w:rPr>
          <w:noProof/>
        </w:rPr>
      </w:pPr>
      <w:r w:rsidRPr="00673F96">
        <w:rPr>
          <w:noProof/>
        </w:rPr>
        <w:t xml:space="preserve">Scott-Pillai R, Spence D, Cardwell CR et al (2013) The impact of body mass index on maternal and neonatal outcomes: a retrospective study in a UK obstetric population, 2004-2011. </w:t>
      </w:r>
      <w:r w:rsidRPr="00673F96">
        <w:rPr>
          <w:i/>
          <w:noProof/>
        </w:rPr>
        <w:t>BJOG</w:t>
      </w:r>
      <w:r w:rsidRPr="00673F96">
        <w:rPr>
          <w:noProof/>
        </w:rPr>
        <w:t xml:space="preserve"> 120(8): 932-9.</w:t>
      </w:r>
    </w:p>
    <w:p w14:paraId="146C9F21" w14:textId="77777777" w:rsidR="007550AE" w:rsidRPr="00673F96" w:rsidRDefault="007550AE" w:rsidP="007550AE">
      <w:pPr>
        <w:pStyle w:val="Excluded"/>
        <w:rPr>
          <w:noProof/>
        </w:rPr>
      </w:pPr>
      <w:r w:rsidRPr="00673F96">
        <w:rPr>
          <w:noProof/>
        </w:rPr>
        <w:t xml:space="preserve">Sebastian Manzanares G, Angel Santalla H, Irene Vico Z et al (2012) Abnormal maternal body mass index and obstetric and neonatal outcome. </w:t>
      </w:r>
      <w:r w:rsidRPr="00673F96">
        <w:rPr>
          <w:i/>
          <w:noProof/>
        </w:rPr>
        <w:t>J Matern Fetal Neonatal Med</w:t>
      </w:r>
      <w:r w:rsidRPr="00673F96">
        <w:rPr>
          <w:noProof/>
        </w:rPr>
        <w:t xml:space="preserve"> 25(3): 308-12.</w:t>
      </w:r>
    </w:p>
    <w:p w14:paraId="26216ACA" w14:textId="77777777" w:rsidR="007550AE" w:rsidRPr="00673F96" w:rsidRDefault="007550AE" w:rsidP="007550AE">
      <w:pPr>
        <w:pStyle w:val="Excluded"/>
        <w:rPr>
          <w:noProof/>
        </w:rPr>
      </w:pPr>
      <w:r w:rsidRPr="00673F96">
        <w:rPr>
          <w:noProof/>
        </w:rPr>
        <w:t xml:space="preserve">Sharashova EE, Anda EE, Grjibovski AM (2014) Early pregnancy body mass index and spontaneous preterm birth in Northwest Russia: a registry-based study. </w:t>
      </w:r>
      <w:r w:rsidRPr="00673F96">
        <w:rPr>
          <w:i/>
          <w:noProof/>
        </w:rPr>
        <w:t>BMC Pregnancy Childbirth</w:t>
      </w:r>
      <w:r w:rsidRPr="00673F96">
        <w:rPr>
          <w:noProof/>
        </w:rPr>
        <w:t xml:space="preserve"> 14: 303.</w:t>
      </w:r>
    </w:p>
    <w:p w14:paraId="6B0A8AE4" w14:textId="77777777" w:rsidR="007550AE" w:rsidRPr="00673F96" w:rsidRDefault="007550AE" w:rsidP="007550AE">
      <w:pPr>
        <w:pStyle w:val="Excluded"/>
        <w:rPr>
          <w:noProof/>
        </w:rPr>
      </w:pPr>
      <w:r w:rsidRPr="00673F96">
        <w:rPr>
          <w:noProof/>
        </w:rPr>
        <w:t xml:space="preserve">Sharifzadeh F, Kashanian M, Jouhari S et al (2015) Relationship between pre-pregnancy maternal BMI with spontaneous preterm delivery and birth weight. </w:t>
      </w:r>
      <w:r w:rsidRPr="00673F96">
        <w:rPr>
          <w:i/>
          <w:noProof/>
        </w:rPr>
        <w:t>J Obstet Gynaecol</w:t>
      </w:r>
      <w:r w:rsidRPr="00673F96">
        <w:rPr>
          <w:noProof/>
        </w:rPr>
        <w:t xml:space="preserve"> 35(4): 354-7.</w:t>
      </w:r>
    </w:p>
    <w:p w14:paraId="6422FC00" w14:textId="77777777" w:rsidR="0058233D" w:rsidRPr="00673F96" w:rsidRDefault="0058233D" w:rsidP="0058233D">
      <w:pPr>
        <w:pStyle w:val="Excluded"/>
        <w:rPr>
          <w:noProof/>
        </w:rPr>
      </w:pPr>
      <w:r w:rsidRPr="00673F96">
        <w:rPr>
          <w:noProof/>
        </w:rPr>
        <w:t xml:space="preserve">Shaw GM, Wise PH, Mayo J et al (2014) Maternal prepregnancy body mass index and risk of spontaneous preterm birth. </w:t>
      </w:r>
      <w:r w:rsidRPr="00673F96">
        <w:rPr>
          <w:i/>
          <w:noProof/>
        </w:rPr>
        <w:t>Paediatr Perinat Epidemiol</w:t>
      </w:r>
      <w:r w:rsidRPr="00673F96">
        <w:rPr>
          <w:noProof/>
        </w:rPr>
        <w:t xml:space="preserve"> 28(4): 302-11.</w:t>
      </w:r>
    </w:p>
    <w:p w14:paraId="0E7F3FEC" w14:textId="77777777" w:rsidR="007550AE" w:rsidRPr="00D33C6E" w:rsidRDefault="007550AE" w:rsidP="007550AE">
      <w:pPr>
        <w:pStyle w:val="Excluded"/>
        <w:rPr>
          <w:noProof/>
        </w:rPr>
      </w:pPr>
      <w:r w:rsidRPr="00D33C6E">
        <w:rPr>
          <w:noProof/>
        </w:rPr>
        <w:t xml:space="preserve">Shin D &amp; Song WO (2015) Prepregnancy body mass index is an independent risk factor for gestational hypertension, gestational diabetes, preterm labor, and small- and large-for-gestational-age infants. </w:t>
      </w:r>
      <w:r w:rsidRPr="00D33C6E">
        <w:rPr>
          <w:i/>
          <w:noProof/>
        </w:rPr>
        <w:t>J Matern Fetal Neonatal Med</w:t>
      </w:r>
      <w:r w:rsidRPr="00D33C6E">
        <w:rPr>
          <w:noProof/>
        </w:rPr>
        <w:t xml:space="preserve"> 28(14): 1679-86.</w:t>
      </w:r>
    </w:p>
    <w:p w14:paraId="42C3F436" w14:textId="77777777" w:rsidR="007550AE" w:rsidRPr="00673F96" w:rsidRDefault="007550AE" w:rsidP="007550AE">
      <w:pPr>
        <w:pStyle w:val="Excluded"/>
        <w:rPr>
          <w:noProof/>
        </w:rPr>
      </w:pPr>
      <w:r w:rsidRPr="00673F96">
        <w:rPr>
          <w:noProof/>
        </w:rPr>
        <w:t xml:space="preserve">Shin D, Lee KW, Song WO (2016) Pre-Pregnancy Weight Status Is Associated with Diet Quality and Nutritional Biomarkers during Pregnancy. </w:t>
      </w:r>
      <w:r w:rsidRPr="00673F96">
        <w:rPr>
          <w:i/>
          <w:noProof/>
        </w:rPr>
        <w:t>Nutrients</w:t>
      </w:r>
      <w:r w:rsidRPr="00673F96">
        <w:rPr>
          <w:noProof/>
        </w:rPr>
        <w:t xml:space="preserve"> 8(3): 162.</w:t>
      </w:r>
    </w:p>
    <w:p w14:paraId="727C8D49" w14:textId="77777777" w:rsidR="007550AE" w:rsidRPr="00D33C6E" w:rsidRDefault="007550AE" w:rsidP="007550AE">
      <w:pPr>
        <w:pStyle w:val="Excluded"/>
        <w:rPr>
          <w:noProof/>
        </w:rPr>
      </w:pPr>
      <w:r w:rsidRPr="00D33C6E">
        <w:rPr>
          <w:noProof/>
        </w:rPr>
        <w:t xml:space="preserve">Silverman ME, Smith L, Lichtenstein P et al (2018) The association between body mass index and postpartum depression: A population-based study. </w:t>
      </w:r>
      <w:r w:rsidRPr="00D33C6E">
        <w:rPr>
          <w:i/>
          <w:noProof/>
        </w:rPr>
        <w:t>J Affect Disord</w:t>
      </w:r>
      <w:r w:rsidRPr="00D33C6E">
        <w:rPr>
          <w:noProof/>
        </w:rPr>
        <w:t xml:space="preserve"> 240: 193-98.</w:t>
      </w:r>
    </w:p>
    <w:p w14:paraId="2F452946" w14:textId="77777777" w:rsidR="007550AE" w:rsidRPr="00673F96" w:rsidRDefault="007550AE" w:rsidP="007550AE">
      <w:pPr>
        <w:pStyle w:val="Excluded"/>
        <w:rPr>
          <w:noProof/>
        </w:rPr>
      </w:pPr>
      <w:r w:rsidRPr="00673F96">
        <w:rPr>
          <w:noProof/>
        </w:rPr>
        <w:t xml:space="preserve">Simonsen SE, Lyon JL, Stanford JB et al (2013) Risk factors for recurrent preterm birth in multiparous Utah women: a historical cohort study. </w:t>
      </w:r>
      <w:r w:rsidRPr="00673F96">
        <w:rPr>
          <w:i/>
          <w:noProof/>
        </w:rPr>
        <w:t>BJOG</w:t>
      </w:r>
      <w:r w:rsidRPr="00673F96">
        <w:rPr>
          <w:noProof/>
        </w:rPr>
        <w:t xml:space="preserve"> 120(7): 863-72.</w:t>
      </w:r>
    </w:p>
    <w:p w14:paraId="0B4D30BC" w14:textId="77777777" w:rsidR="007550AE" w:rsidRPr="00D33C6E" w:rsidRDefault="007550AE" w:rsidP="007550AE">
      <w:pPr>
        <w:pStyle w:val="Excluded"/>
        <w:rPr>
          <w:noProof/>
        </w:rPr>
      </w:pPr>
      <w:r w:rsidRPr="00D33C6E">
        <w:rPr>
          <w:noProof/>
        </w:rPr>
        <w:t xml:space="preserve">Sjoholm P, Pahkala K, Davison B et al (2018) Early life determinants of cardiovascular health in adulthood. The Australian Aboriginal Birth Cohort study. </w:t>
      </w:r>
      <w:r w:rsidRPr="00D33C6E">
        <w:rPr>
          <w:i/>
          <w:noProof/>
        </w:rPr>
        <w:t>Int J Cardiol</w:t>
      </w:r>
      <w:r w:rsidRPr="00D33C6E">
        <w:rPr>
          <w:noProof/>
        </w:rPr>
        <w:t xml:space="preserve"> 269: 304-09.</w:t>
      </w:r>
    </w:p>
    <w:p w14:paraId="2B5348A8" w14:textId="77777777" w:rsidR="007550AE" w:rsidRPr="00673F96" w:rsidRDefault="007550AE" w:rsidP="007550AE">
      <w:pPr>
        <w:pStyle w:val="Excluded"/>
        <w:rPr>
          <w:noProof/>
        </w:rPr>
      </w:pPr>
      <w:r w:rsidRPr="00673F96">
        <w:rPr>
          <w:noProof/>
        </w:rPr>
        <w:t xml:space="preserve">Suzuki K, Nomura K, Takenoshita S et al (2016) Combination of parity and pre-pregnancy BMI and low birth weight infants among Japanese women of reproductive age. </w:t>
      </w:r>
      <w:r w:rsidRPr="00673F96">
        <w:rPr>
          <w:i/>
          <w:noProof/>
        </w:rPr>
        <w:t>Ind Health</w:t>
      </w:r>
      <w:r w:rsidRPr="00673F96">
        <w:rPr>
          <w:noProof/>
        </w:rPr>
        <w:t xml:space="preserve"> 54(6): 515-20.</w:t>
      </w:r>
    </w:p>
    <w:p w14:paraId="35171CE3" w14:textId="77777777" w:rsidR="007550AE" w:rsidRPr="00D33C6E" w:rsidRDefault="007550AE" w:rsidP="007550AE">
      <w:pPr>
        <w:pStyle w:val="Excluded"/>
        <w:rPr>
          <w:noProof/>
        </w:rPr>
      </w:pPr>
      <w:r w:rsidRPr="00D33C6E">
        <w:rPr>
          <w:noProof/>
        </w:rPr>
        <w:t xml:space="preserve">Tabet M, Flick LH, Tuuli MG et al (2015) Prepregnancy body mass index in a first uncomplicated pregnancy and outcomes of a second pregnancy. </w:t>
      </w:r>
      <w:r w:rsidRPr="00D33C6E">
        <w:rPr>
          <w:i/>
          <w:noProof/>
        </w:rPr>
        <w:t>Am J Obstet Gynecol</w:t>
      </w:r>
      <w:r w:rsidRPr="00D33C6E">
        <w:rPr>
          <w:noProof/>
        </w:rPr>
        <w:t xml:space="preserve"> 213(4): 548 e1-7.</w:t>
      </w:r>
    </w:p>
    <w:p w14:paraId="52BC11B9" w14:textId="77777777" w:rsidR="007550AE" w:rsidRPr="00673F96" w:rsidRDefault="007550AE" w:rsidP="007550AE">
      <w:pPr>
        <w:pStyle w:val="Excluded"/>
        <w:rPr>
          <w:noProof/>
        </w:rPr>
      </w:pPr>
      <w:r w:rsidRPr="00673F96">
        <w:rPr>
          <w:noProof/>
        </w:rPr>
        <w:t xml:space="preserve">Tamura N, Hanaoka T, Ito K et al (2018) Different Risk Factors for Very Low Birth Weight, Term-Small-for-Gestational-Age, or Preterm Birth in Japan. </w:t>
      </w:r>
      <w:r w:rsidRPr="00673F96">
        <w:rPr>
          <w:i/>
          <w:noProof/>
        </w:rPr>
        <w:t>Int J Environ Res Public Health</w:t>
      </w:r>
      <w:r w:rsidRPr="00673F96">
        <w:rPr>
          <w:noProof/>
        </w:rPr>
        <w:t xml:space="preserve"> 15(2).</w:t>
      </w:r>
    </w:p>
    <w:p w14:paraId="1400B735" w14:textId="77777777" w:rsidR="007550AE" w:rsidRPr="00673F96" w:rsidRDefault="007550AE" w:rsidP="007550AE">
      <w:pPr>
        <w:pStyle w:val="Excluded"/>
        <w:rPr>
          <w:noProof/>
        </w:rPr>
      </w:pPr>
      <w:r w:rsidRPr="00673F96">
        <w:rPr>
          <w:noProof/>
        </w:rPr>
        <w:t xml:space="preserve">Tan J, Qi YN, He GL et al (2018) Association between Maternal Weight Indicators and Iron Deficiency Anemia during Pregnancy: A Cohort Study. </w:t>
      </w:r>
      <w:r w:rsidRPr="00673F96">
        <w:rPr>
          <w:i/>
          <w:noProof/>
        </w:rPr>
        <w:t>Chin Med J (Engl)</w:t>
      </w:r>
      <w:r w:rsidRPr="00673F96">
        <w:rPr>
          <w:noProof/>
        </w:rPr>
        <w:t xml:space="preserve"> 131(21): 2566-74.</w:t>
      </w:r>
    </w:p>
    <w:p w14:paraId="7A812D4A" w14:textId="77777777" w:rsidR="007550AE" w:rsidRPr="00673F96" w:rsidRDefault="007550AE" w:rsidP="007550AE">
      <w:pPr>
        <w:pStyle w:val="Excluded"/>
        <w:rPr>
          <w:noProof/>
        </w:rPr>
      </w:pPr>
      <w:r w:rsidRPr="00673F96">
        <w:rPr>
          <w:noProof/>
        </w:rPr>
        <w:t xml:space="preserve">Tang L, Zhu P, Hao JH et al (2013) Pre-pregnancy body mass index moderates the effect of maternal depressive symptoms on small-for-gestational-age infants. </w:t>
      </w:r>
      <w:r w:rsidRPr="00673F96">
        <w:rPr>
          <w:i/>
          <w:noProof/>
        </w:rPr>
        <w:t>Arch Gynecol Obstet</w:t>
      </w:r>
      <w:r w:rsidRPr="00673F96">
        <w:rPr>
          <w:noProof/>
        </w:rPr>
        <w:t xml:space="preserve"> 288(1): 15-21.</w:t>
      </w:r>
    </w:p>
    <w:p w14:paraId="48B36332" w14:textId="77777777" w:rsidR="007550AE" w:rsidRPr="00673F96" w:rsidRDefault="007550AE" w:rsidP="007550AE">
      <w:pPr>
        <w:pStyle w:val="Excluded"/>
        <w:rPr>
          <w:noProof/>
        </w:rPr>
      </w:pPr>
      <w:r w:rsidRPr="00673F96">
        <w:rPr>
          <w:noProof/>
        </w:rPr>
        <w:t xml:space="preserve">Taylor-Robinson D, Agarwal U, Diggle PJ et al (2011) Quantifying the impact of deprivation on preterm births: a retrospective cohort study. </w:t>
      </w:r>
      <w:r w:rsidRPr="00673F96">
        <w:rPr>
          <w:i/>
          <w:noProof/>
        </w:rPr>
        <w:t>PLoS One</w:t>
      </w:r>
      <w:r w:rsidRPr="00673F96">
        <w:rPr>
          <w:noProof/>
        </w:rPr>
        <w:t xml:space="preserve"> 6(8): e23163.</w:t>
      </w:r>
    </w:p>
    <w:p w14:paraId="24F163FC" w14:textId="77777777" w:rsidR="007550AE" w:rsidRPr="00673F96" w:rsidRDefault="007550AE" w:rsidP="007550AE">
      <w:pPr>
        <w:pStyle w:val="Excluded"/>
        <w:rPr>
          <w:noProof/>
        </w:rPr>
      </w:pPr>
      <w:r w:rsidRPr="00673F96">
        <w:rPr>
          <w:noProof/>
        </w:rPr>
        <w:t xml:space="preserve">Tennant PW, Rankin J, Bell R (2011) Maternal body mass index and the risk of fetal and infant death: a cohort study from the North of England. </w:t>
      </w:r>
      <w:r w:rsidRPr="00673F96">
        <w:rPr>
          <w:i/>
          <w:noProof/>
        </w:rPr>
        <w:t>Hum Reprod</w:t>
      </w:r>
      <w:r w:rsidRPr="00673F96">
        <w:rPr>
          <w:noProof/>
        </w:rPr>
        <w:t xml:space="preserve"> 26(6): 1501-11.</w:t>
      </w:r>
    </w:p>
    <w:p w14:paraId="5B9586D3" w14:textId="77777777" w:rsidR="007550AE" w:rsidRPr="00D33C6E" w:rsidRDefault="007550AE" w:rsidP="007550AE">
      <w:pPr>
        <w:pStyle w:val="Excluded"/>
        <w:rPr>
          <w:noProof/>
        </w:rPr>
      </w:pPr>
      <w:r w:rsidRPr="00D33C6E">
        <w:rPr>
          <w:noProof/>
        </w:rPr>
        <w:t xml:space="preserve">Thompson LA, Zhang S, Black E et al (2013) The association of maternal pre-pregnancy body mass index with breastfeeding initiation. </w:t>
      </w:r>
      <w:r w:rsidRPr="00D33C6E">
        <w:rPr>
          <w:i/>
          <w:noProof/>
        </w:rPr>
        <w:t>Matern Child Health J</w:t>
      </w:r>
      <w:r w:rsidRPr="00D33C6E">
        <w:rPr>
          <w:noProof/>
        </w:rPr>
        <w:t xml:space="preserve"> 17(10): 1842-51.</w:t>
      </w:r>
    </w:p>
    <w:p w14:paraId="1262230C" w14:textId="77777777" w:rsidR="007550AE" w:rsidRPr="00D33C6E" w:rsidRDefault="007550AE" w:rsidP="007550AE">
      <w:pPr>
        <w:pStyle w:val="Excluded"/>
        <w:rPr>
          <w:noProof/>
        </w:rPr>
      </w:pPr>
      <w:r w:rsidRPr="00D33C6E">
        <w:rPr>
          <w:noProof/>
        </w:rPr>
        <w:t xml:space="preserve">Thrift AP &amp; Callaway LK (2014) The effect of obesity on pregnancy outcomes among Australian Indigenous and non-Indigenous women. </w:t>
      </w:r>
      <w:r w:rsidRPr="00D33C6E">
        <w:rPr>
          <w:i/>
          <w:noProof/>
        </w:rPr>
        <w:t>Med J Aust</w:t>
      </w:r>
      <w:r w:rsidRPr="00D33C6E">
        <w:rPr>
          <w:noProof/>
        </w:rPr>
        <w:t xml:space="preserve"> 201(10): 592-5.</w:t>
      </w:r>
    </w:p>
    <w:p w14:paraId="59E74765" w14:textId="77777777" w:rsidR="007550AE" w:rsidRPr="00D33C6E" w:rsidRDefault="007550AE" w:rsidP="007550AE">
      <w:pPr>
        <w:pStyle w:val="Excluded"/>
        <w:rPr>
          <w:noProof/>
        </w:rPr>
      </w:pPr>
      <w:r w:rsidRPr="00D33C6E">
        <w:rPr>
          <w:noProof/>
        </w:rPr>
        <w:t xml:space="preserve">Trojner Bregar A, Blickstein I, Brzan Simenc G et al (2017) Perinatal Advantages and Disadvantages of Being Underweight before Pregnancy: A Population-Based Study. </w:t>
      </w:r>
      <w:r w:rsidRPr="00D33C6E">
        <w:rPr>
          <w:i/>
          <w:noProof/>
        </w:rPr>
        <w:t>Gynecol Obstet Invest</w:t>
      </w:r>
      <w:r w:rsidRPr="00D33C6E">
        <w:rPr>
          <w:noProof/>
        </w:rPr>
        <w:t xml:space="preserve"> 82(3): 303-06.</w:t>
      </w:r>
    </w:p>
    <w:p w14:paraId="18AAC4D6" w14:textId="77777777" w:rsidR="007550AE" w:rsidRPr="00673F96" w:rsidRDefault="007550AE" w:rsidP="007550AE">
      <w:pPr>
        <w:pStyle w:val="Excluded"/>
        <w:rPr>
          <w:noProof/>
        </w:rPr>
      </w:pPr>
      <w:r w:rsidRPr="00673F96">
        <w:rPr>
          <w:noProof/>
        </w:rPr>
        <w:t xml:space="preserve">Verma A &amp; Shrimali L (2012) Maternal body mass index and pregnancy outcome. </w:t>
      </w:r>
      <w:r w:rsidRPr="00673F96">
        <w:rPr>
          <w:i/>
          <w:noProof/>
        </w:rPr>
        <w:t>J Clin Diagn Res</w:t>
      </w:r>
      <w:r w:rsidRPr="00673F96">
        <w:rPr>
          <w:noProof/>
        </w:rPr>
        <w:t xml:space="preserve"> 6(9): 1531-3.</w:t>
      </w:r>
    </w:p>
    <w:p w14:paraId="6A4E02BB" w14:textId="77777777" w:rsidR="007550AE" w:rsidRPr="00673F96" w:rsidRDefault="007550AE" w:rsidP="007550AE">
      <w:pPr>
        <w:pStyle w:val="Excluded"/>
        <w:rPr>
          <w:noProof/>
        </w:rPr>
      </w:pPr>
      <w:r w:rsidRPr="00673F96">
        <w:rPr>
          <w:noProof/>
        </w:rPr>
        <w:t xml:space="preserve">Vikanes A, Grjibovski AM, Vangen S et al (2010) Maternal body composition, smoking, and hyperemesis gravidarum. </w:t>
      </w:r>
      <w:r w:rsidRPr="00673F96">
        <w:rPr>
          <w:i/>
          <w:noProof/>
        </w:rPr>
        <w:t>Ann Epidemiol</w:t>
      </w:r>
      <w:r w:rsidRPr="00673F96">
        <w:rPr>
          <w:noProof/>
        </w:rPr>
        <w:t xml:space="preserve"> 20(8): 592-8.</w:t>
      </w:r>
    </w:p>
    <w:p w14:paraId="4DCBBA97" w14:textId="77777777" w:rsidR="007550AE" w:rsidRPr="00673F96" w:rsidRDefault="007550AE" w:rsidP="007550AE">
      <w:pPr>
        <w:pStyle w:val="Excluded"/>
        <w:rPr>
          <w:noProof/>
        </w:rPr>
      </w:pPr>
      <w:r w:rsidRPr="00673F96">
        <w:rPr>
          <w:noProof/>
        </w:rPr>
        <w:t xml:space="preserve">Vinturache A, McKeating A, Daly N et al (2017) Maternal body mass index and the prevalence of spontaneous and elective preterm deliveries in an Irish obstetric population: a retrospective cohort study. </w:t>
      </w:r>
      <w:r w:rsidRPr="00673F96">
        <w:rPr>
          <w:i/>
          <w:noProof/>
        </w:rPr>
        <w:t>BMJ Open</w:t>
      </w:r>
      <w:r w:rsidRPr="00673F96">
        <w:rPr>
          <w:noProof/>
        </w:rPr>
        <w:t xml:space="preserve"> 7(10): e015258.</w:t>
      </w:r>
    </w:p>
    <w:p w14:paraId="1BC219F6" w14:textId="77777777" w:rsidR="007550AE" w:rsidRPr="00D33C6E" w:rsidRDefault="007550AE" w:rsidP="007550AE">
      <w:pPr>
        <w:pStyle w:val="Excluded"/>
        <w:rPr>
          <w:noProof/>
        </w:rPr>
      </w:pPr>
      <w:r w:rsidRPr="00D33C6E">
        <w:rPr>
          <w:noProof/>
        </w:rPr>
        <w:t xml:space="preserve">Voigt M, Zels K, Guthmann F et al (2011) Somatic classification of neonates based on birth weight, length, and head circumference: quantification of the effects of maternal BMI and smoking. </w:t>
      </w:r>
      <w:r w:rsidRPr="00D33C6E">
        <w:rPr>
          <w:i/>
          <w:noProof/>
        </w:rPr>
        <w:t>J Perinat Med</w:t>
      </w:r>
      <w:r w:rsidRPr="00D33C6E">
        <w:rPr>
          <w:noProof/>
        </w:rPr>
        <w:t xml:space="preserve"> 39(3): 291-7.</w:t>
      </w:r>
    </w:p>
    <w:p w14:paraId="006AA373" w14:textId="77777777" w:rsidR="007550AE" w:rsidRPr="00673F96" w:rsidRDefault="007550AE" w:rsidP="007550AE">
      <w:pPr>
        <w:pStyle w:val="Excluded"/>
        <w:rPr>
          <w:noProof/>
        </w:rPr>
      </w:pPr>
      <w:r w:rsidRPr="00673F96">
        <w:rPr>
          <w:noProof/>
        </w:rPr>
        <w:t xml:space="preserve">Wallace JM, Horgan GW, Bhattacharya S (2012) Placental weight and efficiency in relation to maternal body mass index and the risk of pregnancy complications in women delivering singleton babies. </w:t>
      </w:r>
      <w:r w:rsidRPr="00673F96">
        <w:rPr>
          <w:i/>
          <w:noProof/>
        </w:rPr>
        <w:t>Placenta</w:t>
      </w:r>
      <w:r w:rsidRPr="00673F96">
        <w:rPr>
          <w:noProof/>
        </w:rPr>
        <w:t xml:space="preserve"> 33(8): 611-8.</w:t>
      </w:r>
    </w:p>
    <w:p w14:paraId="160D2548" w14:textId="77777777" w:rsidR="007550AE" w:rsidRPr="00D33C6E" w:rsidRDefault="007550AE" w:rsidP="007550AE">
      <w:pPr>
        <w:pStyle w:val="Excluded"/>
        <w:rPr>
          <w:noProof/>
        </w:rPr>
      </w:pPr>
      <w:r w:rsidRPr="00D33C6E">
        <w:rPr>
          <w:noProof/>
        </w:rPr>
        <w:t xml:space="preserve">Wang T, Zhang J, Lu X et al (2011) Maternal early pregnancy body mass index and risk of preterm birth. </w:t>
      </w:r>
      <w:r w:rsidRPr="00D33C6E">
        <w:rPr>
          <w:i/>
          <w:noProof/>
        </w:rPr>
        <w:t>Arch Gynecol Obstet</w:t>
      </w:r>
      <w:r w:rsidRPr="00D33C6E">
        <w:rPr>
          <w:noProof/>
        </w:rPr>
        <w:t xml:space="preserve"> 284(4): 813-9.</w:t>
      </w:r>
    </w:p>
    <w:p w14:paraId="115BFEF8" w14:textId="77777777" w:rsidR="007550AE" w:rsidRPr="00673F96" w:rsidRDefault="007550AE" w:rsidP="007550AE">
      <w:pPr>
        <w:pStyle w:val="Excluded"/>
        <w:rPr>
          <w:noProof/>
        </w:rPr>
      </w:pPr>
      <w:r w:rsidRPr="00673F96">
        <w:rPr>
          <w:noProof/>
        </w:rPr>
        <w:t xml:space="preserve">Wang X, Zhang X, Zhou M et al (2019) Association of prepregnancy body mass index, rate of gestational weight gain with pregnancy outcomes in Chinese urban women. </w:t>
      </w:r>
      <w:r w:rsidRPr="00673F96">
        <w:rPr>
          <w:i/>
          <w:noProof/>
        </w:rPr>
        <w:t>Nutr Metab (Lond)</w:t>
      </w:r>
      <w:r w:rsidRPr="00673F96">
        <w:rPr>
          <w:noProof/>
        </w:rPr>
        <w:t xml:space="preserve"> 16: 54.</w:t>
      </w:r>
    </w:p>
    <w:p w14:paraId="11513DD6" w14:textId="77777777" w:rsidR="007550AE" w:rsidRPr="00673F96" w:rsidRDefault="007550AE" w:rsidP="007550AE">
      <w:pPr>
        <w:pStyle w:val="Excluded"/>
        <w:rPr>
          <w:noProof/>
        </w:rPr>
      </w:pPr>
      <w:r w:rsidRPr="00673F96">
        <w:rPr>
          <w:noProof/>
        </w:rPr>
        <w:t xml:space="preserve">Watanabe H, Inoue K, Doi M et al (2010) Risk factors for term small for gestational age infants in women with low prepregnancy body mass index. </w:t>
      </w:r>
      <w:r w:rsidRPr="00673F96">
        <w:rPr>
          <w:i/>
          <w:noProof/>
        </w:rPr>
        <w:t>J Obstet Gynaecol Res</w:t>
      </w:r>
      <w:r w:rsidRPr="00673F96">
        <w:rPr>
          <w:noProof/>
        </w:rPr>
        <w:t xml:space="preserve"> 36(3): 506-12.</w:t>
      </w:r>
    </w:p>
    <w:p w14:paraId="74BDEC61" w14:textId="77777777" w:rsidR="007550AE" w:rsidRPr="00D33C6E" w:rsidRDefault="007550AE" w:rsidP="007550AE">
      <w:pPr>
        <w:pStyle w:val="Excluded"/>
        <w:rPr>
          <w:noProof/>
        </w:rPr>
      </w:pPr>
      <w:r w:rsidRPr="00D33C6E">
        <w:rPr>
          <w:noProof/>
        </w:rPr>
        <w:t xml:space="preserve">Watson M, Howell S, Johnston T et al (2013) Pre-pregnancy BMI: costs associated with maternal underweight and obesity in Queensland. </w:t>
      </w:r>
      <w:r w:rsidRPr="00D33C6E">
        <w:rPr>
          <w:i/>
          <w:noProof/>
        </w:rPr>
        <w:t>Aust N Z J Obstet Gynaecol</w:t>
      </w:r>
      <w:r w:rsidRPr="00D33C6E">
        <w:rPr>
          <w:noProof/>
        </w:rPr>
        <w:t xml:space="preserve"> 53(3): 243-9.</w:t>
      </w:r>
    </w:p>
    <w:p w14:paraId="35223F2F" w14:textId="77777777" w:rsidR="007550AE" w:rsidRPr="00673F96" w:rsidRDefault="007550AE" w:rsidP="007550AE">
      <w:pPr>
        <w:pStyle w:val="Excluded"/>
        <w:rPr>
          <w:noProof/>
        </w:rPr>
      </w:pPr>
      <w:r w:rsidRPr="00673F96">
        <w:rPr>
          <w:noProof/>
        </w:rPr>
        <w:t xml:space="preserve">Wehby GL, Uribe LM, Wilcox AJ et al (2017) Interaction between smoking and body mass index and risk of oral clefts. </w:t>
      </w:r>
      <w:r w:rsidRPr="00673F96">
        <w:rPr>
          <w:i/>
          <w:noProof/>
        </w:rPr>
        <w:t>Ann Epidemiol</w:t>
      </w:r>
      <w:r w:rsidRPr="00673F96">
        <w:rPr>
          <w:noProof/>
        </w:rPr>
        <w:t xml:space="preserve"> 27(2): 103-07 e2.</w:t>
      </w:r>
    </w:p>
    <w:p w14:paraId="7DDECC8E" w14:textId="77777777" w:rsidR="007550AE" w:rsidRPr="00673F96" w:rsidRDefault="007550AE" w:rsidP="007550AE">
      <w:pPr>
        <w:pStyle w:val="Excluded"/>
        <w:rPr>
          <w:noProof/>
        </w:rPr>
      </w:pPr>
      <w:r w:rsidRPr="00673F96">
        <w:rPr>
          <w:noProof/>
        </w:rPr>
        <w:t xml:space="preserve">Wei YM, Yang HX, Zhu WW et al (2016) Risk of adverse pregnancy outcomes stratified for pre-pregnancy body mass index. </w:t>
      </w:r>
      <w:r w:rsidRPr="00673F96">
        <w:rPr>
          <w:i/>
          <w:noProof/>
        </w:rPr>
        <w:t>J Matern Fetal Neonatal Med</w:t>
      </w:r>
      <w:r w:rsidRPr="00673F96">
        <w:rPr>
          <w:noProof/>
        </w:rPr>
        <w:t xml:space="preserve"> 29(13): 2205-9.</w:t>
      </w:r>
    </w:p>
    <w:p w14:paraId="675A65A9" w14:textId="77777777" w:rsidR="007550AE" w:rsidRPr="00673F96" w:rsidRDefault="007550AE" w:rsidP="007550AE">
      <w:pPr>
        <w:pStyle w:val="Excluded"/>
        <w:rPr>
          <w:noProof/>
        </w:rPr>
      </w:pPr>
      <w:r w:rsidRPr="00673F96">
        <w:rPr>
          <w:noProof/>
        </w:rPr>
        <w:t xml:space="preserve">Windham GC, Anderson M, Lyall K et al (2019) Maternal Pre-pregnancy Body Mass Index and Gestational Weight Gain in Relation to Autism Spectrum Disorder and other Developmental Disorders in Offspring. </w:t>
      </w:r>
      <w:r w:rsidRPr="00673F96">
        <w:rPr>
          <w:i/>
          <w:noProof/>
        </w:rPr>
        <w:t>Autism Res</w:t>
      </w:r>
      <w:r w:rsidRPr="00673F96">
        <w:rPr>
          <w:noProof/>
        </w:rPr>
        <w:t xml:space="preserve"> 12(2): 316-27.</w:t>
      </w:r>
    </w:p>
    <w:p w14:paraId="11FAEAD3" w14:textId="77777777" w:rsidR="007550AE" w:rsidRPr="00673F96" w:rsidRDefault="007550AE" w:rsidP="007550AE">
      <w:pPr>
        <w:pStyle w:val="Excluded"/>
        <w:rPr>
          <w:noProof/>
        </w:rPr>
      </w:pPr>
      <w:r w:rsidRPr="00673F96">
        <w:rPr>
          <w:noProof/>
        </w:rPr>
        <w:t xml:space="preserve">Wise LA, Palmer JR, Heffner LJ et al (2010) Prepregnancy body size, gestational weight gain, and risk of preterm birth in African-American women. </w:t>
      </w:r>
      <w:r w:rsidRPr="00673F96">
        <w:rPr>
          <w:i/>
          <w:noProof/>
        </w:rPr>
        <w:t>Epidemiology</w:t>
      </w:r>
      <w:r w:rsidRPr="00673F96">
        <w:rPr>
          <w:noProof/>
        </w:rPr>
        <w:t xml:space="preserve"> 21(2): 243-52.</w:t>
      </w:r>
    </w:p>
    <w:p w14:paraId="620F5FBD" w14:textId="77777777" w:rsidR="007550AE" w:rsidRPr="00673F96" w:rsidRDefault="007550AE" w:rsidP="007550AE">
      <w:pPr>
        <w:pStyle w:val="Excluded"/>
        <w:rPr>
          <w:noProof/>
        </w:rPr>
      </w:pPr>
      <w:r w:rsidRPr="00673F96">
        <w:rPr>
          <w:noProof/>
        </w:rPr>
        <w:t xml:space="preserve">Zanardo V, Mazza A, Parotto M et al (2016) Gestational weight gain and fetal growth in underweight women. </w:t>
      </w:r>
      <w:r w:rsidRPr="00673F96">
        <w:rPr>
          <w:i/>
          <w:noProof/>
        </w:rPr>
        <w:t>Ital J Pediatr</w:t>
      </w:r>
      <w:r w:rsidRPr="00673F96">
        <w:rPr>
          <w:noProof/>
        </w:rPr>
        <w:t xml:space="preserve"> 42(1): 74.</w:t>
      </w:r>
    </w:p>
    <w:p w14:paraId="02D8D39E" w14:textId="77777777" w:rsidR="007550AE" w:rsidRPr="00673F96" w:rsidRDefault="007550AE" w:rsidP="007550AE">
      <w:pPr>
        <w:pStyle w:val="Excluded"/>
        <w:rPr>
          <w:noProof/>
        </w:rPr>
      </w:pPr>
      <w:r w:rsidRPr="00673F96">
        <w:rPr>
          <w:noProof/>
        </w:rPr>
        <w:t xml:space="preserve">Zhang B, Yang S, Yang R et al (2016) Maternal Prepregnancy Body Mass Index and Small for Gestational Age Births in Chinese Women. </w:t>
      </w:r>
      <w:r w:rsidRPr="00673F96">
        <w:rPr>
          <w:i/>
          <w:noProof/>
        </w:rPr>
        <w:t>Paediatr Perinat Epidemiol</w:t>
      </w:r>
      <w:r w:rsidRPr="00673F96">
        <w:rPr>
          <w:noProof/>
        </w:rPr>
        <w:t xml:space="preserve"> 30(6): 550-54.</w:t>
      </w:r>
    </w:p>
    <w:p w14:paraId="533B14D6" w14:textId="77777777" w:rsidR="007550AE" w:rsidRPr="00D33C6E" w:rsidRDefault="007550AE" w:rsidP="007550AE">
      <w:pPr>
        <w:pStyle w:val="Excluded"/>
        <w:rPr>
          <w:noProof/>
        </w:rPr>
      </w:pPr>
      <w:r w:rsidRPr="00D33C6E">
        <w:rPr>
          <w:noProof/>
        </w:rPr>
        <w:t xml:space="preserve">Zhang L, Zhang Y, Li Z et al (2019) Maternal periconceptional body mass index and risk for neural tube defects: results from a large cohort study in China. </w:t>
      </w:r>
      <w:r w:rsidRPr="00D33C6E">
        <w:rPr>
          <w:i/>
          <w:noProof/>
        </w:rPr>
        <w:t>J Matern Fetal Neonatal Med</w:t>
      </w:r>
      <w:r w:rsidRPr="00D33C6E">
        <w:rPr>
          <w:noProof/>
        </w:rPr>
        <w:t>: 1-7.</w:t>
      </w:r>
    </w:p>
    <w:p w14:paraId="1C9B37AE" w14:textId="77777777" w:rsidR="007550AE" w:rsidRDefault="007550AE" w:rsidP="007550AE">
      <w:pPr>
        <w:pStyle w:val="Excluded"/>
        <w:rPr>
          <w:noProof/>
        </w:rPr>
      </w:pPr>
      <w:r w:rsidRPr="00673F96">
        <w:rPr>
          <w:noProof/>
        </w:rPr>
        <w:t xml:space="preserve">Zhong Y, Cahill AG, Macones GA et al (2010) The association between prepregnancy maternal body mass index and preterm delivery. </w:t>
      </w:r>
      <w:r w:rsidRPr="00673F96">
        <w:rPr>
          <w:i/>
          <w:noProof/>
        </w:rPr>
        <w:t>Am J Perinatol</w:t>
      </w:r>
      <w:r w:rsidRPr="00673F96">
        <w:rPr>
          <w:noProof/>
        </w:rPr>
        <w:t xml:space="preserve"> 27(4): 293-8.</w:t>
      </w:r>
    </w:p>
    <w:p w14:paraId="00628CD1" w14:textId="5FC0D2A4" w:rsidR="00B3501F" w:rsidRDefault="00B3501F" w:rsidP="00B3501F">
      <w:pPr>
        <w:pStyle w:val="Heading4"/>
        <w:rPr>
          <w:noProof/>
        </w:rPr>
      </w:pPr>
      <w:r>
        <w:rPr>
          <w:noProof/>
        </w:rPr>
        <w:t>Wrong population</w:t>
      </w:r>
    </w:p>
    <w:p w14:paraId="2CA8203D" w14:textId="77777777" w:rsidR="00B3501F" w:rsidRPr="00673F96" w:rsidRDefault="00B3501F" w:rsidP="00B3501F">
      <w:pPr>
        <w:pStyle w:val="Excluded"/>
        <w:rPr>
          <w:noProof/>
        </w:rPr>
      </w:pPr>
      <w:r w:rsidRPr="00673F96">
        <w:rPr>
          <w:noProof/>
        </w:rPr>
        <w:t xml:space="preserve">Kosinska-Kaczynska K &amp; Wielgos M (2016) Do normal-weight women pregnant with twins are at the lowest risk of developing preeclampsia? </w:t>
      </w:r>
      <w:r w:rsidRPr="00673F96">
        <w:rPr>
          <w:i/>
          <w:noProof/>
        </w:rPr>
        <w:t>The Journal of Maternal-Fetal &amp; Neonatal Medicine</w:t>
      </w:r>
      <w:r w:rsidRPr="00673F96">
        <w:rPr>
          <w:noProof/>
        </w:rPr>
        <w:t xml:space="preserve"> 30(2): 191-93.</w:t>
      </w:r>
    </w:p>
    <w:p w14:paraId="48E999CE" w14:textId="77777777" w:rsidR="00B3501F" w:rsidRPr="00673F96" w:rsidRDefault="00B3501F" w:rsidP="00B3501F">
      <w:pPr>
        <w:pStyle w:val="Excluded"/>
        <w:rPr>
          <w:noProof/>
        </w:rPr>
      </w:pPr>
      <w:r w:rsidRPr="00673F96">
        <w:rPr>
          <w:noProof/>
        </w:rPr>
        <w:t xml:space="preserve">Liu LY, Zafman KB, Fox NS (2018) Weight gain and pregnancy outcomes in underweight women with twin gestations. </w:t>
      </w:r>
      <w:r w:rsidRPr="00673F96">
        <w:rPr>
          <w:i/>
          <w:noProof/>
        </w:rPr>
        <w:t>J Matern Fetal Neonatal Med</w:t>
      </w:r>
      <w:r w:rsidRPr="00673F96">
        <w:rPr>
          <w:noProof/>
        </w:rPr>
        <w:t>: 1-141.</w:t>
      </w:r>
    </w:p>
    <w:p w14:paraId="44BE3EEA" w14:textId="77777777" w:rsidR="00B3501F" w:rsidRPr="00673F96" w:rsidRDefault="00B3501F" w:rsidP="00B3501F">
      <w:pPr>
        <w:pStyle w:val="Excluded"/>
        <w:rPr>
          <w:noProof/>
        </w:rPr>
      </w:pPr>
      <w:r w:rsidRPr="00673F96">
        <w:rPr>
          <w:noProof/>
        </w:rPr>
        <w:t xml:space="preserve">Ram M, Berger H, Lipworth H et al (2020) The relationship between maternal body mass index and pregnancy outcomes in twin compared with singleton pregnancies. </w:t>
      </w:r>
      <w:r w:rsidRPr="00673F96">
        <w:rPr>
          <w:i/>
          <w:noProof/>
        </w:rPr>
        <w:t>Int J Obes (Lond)</w:t>
      </w:r>
      <w:r w:rsidRPr="00673F96">
        <w:rPr>
          <w:noProof/>
        </w:rPr>
        <w:t xml:space="preserve"> 44(1): 33-44.</w:t>
      </w:r>
    </w:p>
    <w:p w14:paraId="7C079653" w14:textId="77777777" w:rsidR="00B3501F" w:rsidRDefault="00B3501F" w:rsidP="00B3501F">
      <w:pPr>
        <w:pStyle w:val="Heading4"/>
        <w:rPr>
          <w:lang w:val="en-AU"/>
        </w:rPr>
      </w:pPr>
      <w:r>
        <w:rPr>
          <w:lang w:val="en-AU"/>
        </w:rPr>
        <w:t>Duplicate</w:t>
      </w:r>
    </w:p>
    <w:p w14:paraId="4A1EDC85" w14:textId="77777777" w:rsidR="00B3501F" w:rsidRPr="00673F96" w:rsidRDefault="00B3501F" w:rsidP="00B3501F">
      <w:pPr>
        <w:pStyle w:val="Excluded"/>
        <w:rPr>
          <w:noProof/>
        </w:rPr>
      </w:pPr>
      <w:r w:rsidRPr="00673F96">
        <w:rPr>
          <w:noProof/>
        </w:rPr>
        <w:t xml:space="preserve">Goetzinger KR, Cahill AG, Macones GA et al (2012) The relationship between maternal body mass index and tobacco use on small-for-gestational-age infants. </w:t>
      </w:r>
      <w:r w:rsidRPr="00673F96">
        <w:rPr>
          <w:i/>
          <w:noProof/>
        </w:rPr>
        <w:t>Am J Perinatol</w:t>
      </w:r>
      <w:r w:rsidRPr="00673F96">
        <w:rPr>
          <w:noProof/>
        </w:rPr>
        <w:t xml:space="preserve"> 29(3): 153-8.</w:t>
      </w:r>
    </w:p>
    <w:p w14:paraId="1CFEC996" w14:textId="77777777" w:rsidR="00B3501F" w:rsidRPr="00673F96" w:rsidRDefault="00B3501F" w:rsidP="00B3501F">
      <w:pPr>
        <w:pStyle w:val="Excluded"/>
        <w:rPr>
          <w:noProof/>
        </w:rPr>
      </w:pPr>
      <w:r w:rsidRPr="00673F96">
        <w:rPr>
          <w:noProof/>
        </w:rPr>
        <w:t xml:space="preserve">Lisonkova S, Muraca GM, Potts J et al (2017) Association Between Prepregnancy Body Mass Index and Severe Maternal Morbidity. </w:t>
      </w:r>
      <w:r w:rsidRPr="00673F96">
        <w:rPr>
          <w:i/>
          <w:noProof/>
        </w:rPr>
        <w:t>JAMA</w:t>
      </w:r>
      <w:r w:rsidRPr="00673F96">
        <w:rPr>
          <w:noProof/>
        </w:rPr>
        <w:t xml:space="preserve"> 318(18): 1777-86.</w:t>
      </w:r>
    </w:p>
    <w:p w14:paraId="75884F37" w14:textId="77777777" w:rsidR="00B3501F" w:rsidRPr="00673F96" w:rsidRDefault="00B3501F" w:rsidP="00B3501F">
      <w:pPr>
        <w:pStyle w:val="Excluded"/>
        <w:rPr>
          <w:noProof/>
        </w:rPr>
      </w:pPr>
      <w:r w:rsidRPr="00673F96">
        <w:rPr>
          <w:noProof/>
        </w:rPr>
        <w:t xml:space="preserve">Micali N, Daniel RM, Ploubidis GB et al (2018) Maternal Prepregnancy Weight Status and Adolescent Eating Disorder Behaviors: A Longitudinal Study of Risk Pathways. </w:t>
      </w:r>
      <w:r w:rsidRPr="00673F96">
        <w:rPr>
          <w:i/>
          <w:noProof/>
        </w:rPr>
        <w:t>Epidemiology</w:t>
      </w:r>
      <w:r w:rsidRPr="00673F96">
        <w:rPr>
          <w:noProof/>
        </w:rPr>
        <w:t xml:space="preserve"> 29(4): 579-89.</w:t>
      </w:r>
    </w:p>
    <w:p w14:paraId="0953D503" w14:textId="77777777" w:rsidR="00B3501F" w:rsidRPr="00673F96" w:rsidRDefault="00B3501F" w:rsidP="00B3501F">
      <w:pPr>
        <w:pStyle w:val="Excluded"/>
        <w:rPr>
          <w:noProof/>
        </w:rPr>
      </w:pPr>
      <w:r w:rsidRPr="00673F96">
        <w:rPr>
          <w:noProof/>
        </w:rPr>
        <w:t xml:space="preserve">Silverman ME, Smith L, Lichtenstein P et al (2018) The association between body mass index and postpartum depression: A population-based study. </w:t>
      </w:r>
      <w:r w:rsidRPr="00673F96">
        <w:rPr>
          <w:i/>
          <w:noProof/>
        </w:rPr>
        <w:t>J Affect Disord</w:t>
      </w:r>
      <w:r w:rsidRPr="00673F96">
        <w:rPr>
          <w:noProof/>
        </w:rPr>
        <w:t xml:space="preserve"> 240: 193-98.</w:t>
      </w:r>
    </w:p>
    <w:p w14:paraId="701F9A72" w14:textId="77777777" w:rsidR="00B3501F" w:rsidRPr="00673F96" w:rsidRDefault="00B3501F" w:rsidP="00B3501F">
      <w:pPr>
        <w:pStyle w:val="Excluded"/>
        <w:rPr>
          <w:noProof/>
        </w:rPr>
      </w:pPr>
      <w:r w:rsidRPr="00673F96">
        <w:rPr>
          <w:noProof/>
        </w:rPr>
        <w:t xml:space="preserve">Vinturache A, McKeating A, Daly N et al (2017) Maternal body mass index and the prevalence of spontaneous and elective preterm deliveries in an Irish obstetric population: a retrospective cohort study. </w:t>
      </w:r>
      <w:r w:rsidRPr="00673F96">
        <w:rPr>
          <w:i/>
          <w:noProof/>
        </w:rPr>
        <w:t>BMJ Open</w:t>
      </w:r>
      <w:r w:rsidRPr="00673F96">
        <w:rPr>
          <w:noProof/>
        </w:rPr>
        <w:t xml:space="preserve"> 7(10): e015258.</w:t>
      </w:r>
    </w:p>
    <w:p w14:paraId="2629CF5B" w14:textId="77777777" w:rsidR="00BD61CC" w:rsidRDefault="00BD61CC" w:rsidP="00BD61CC">
      <w:pPr>
        <w:pStyle w:val="Heading4"/>
        <w:rPr>
          <w:lang w:val="en-AU"/>
        </w:rPr>
      </w:pPr>
      <w:r>
        <w:rPr>
          <w:lang w:val="en-AU"/>
        </w:rPr>
        <w:t>Narrative review</w:t>
      </w:r>
    </w:p>
    <w:p w14:paraId="2D04AD47" w14:textId="77777777" w:rsidR="00BD61CC" w:rsidRPr="00673F96" w:rsidRDefault="00BD61CC" w:rsidP="00BD61CC">
      <w:pPr>
        <w:pStyle w:val="Excluded"/>
        <w:rPr>
          <w:noProof/>
        </w:rPr>
      </w:pPr>
      <w:r w:rsidRPr="00673F96">
        <w:rPr>
          <w:noProof/>
        </w:rPr>
        <w:t xml:space="preserve">Neggers YH (2015) The relationship between preterm birth and underweight in Asian women. </w:t>
      </w:r>
      <w:r w:rsidRPr="00673F96">
        <w:rPr>
          <w:i/>
          <w:noProof/>
        </w:rPr>
        <w:t>Reprod Toxicol</w:t>
      </w:r>
      <w:r w:rsidRPr="00673F96">
        <w:rPr>
          <w:noProof/>
        </w:rPr>
        <w:t xml:space="preserve"> 56: 170-4.</w:t>
      </w:r>
    </w:p>
    <w:p w14:paraId="518070FF" w14:textId="05CDB017" w:rsidR="00B3501F" w:rsidRDefault="00DC6931" w:rsidP="00DC6931">
      <w:pPr>
        <w:pStyle w:val="Heading4"/>
      </w:pPr>
      <w:r>
        <w:t>Does not answer research question</w:t>
      </w:r>
    </w:p>
    <w:p w14:paraId="3EE921D2" w14:textId="77777777" w:rsidR="00DC6931" w:rsidRPr="00673F96" w:rsidRDefault="00DC6931" w:rsidP="00DC6931">
      <w:pPr>
        <w:pStyle w:val="Excluded"/>
        <w:rPr>
          <w:noProof/>
        </w:rPr>
      </w:pPr>
      <w:r w:rsidRPr="00673F96">
        <w:rPr>
          <w:noProof/>
        </w:rPr>
        <w:t xml:space="preserve">Voigt M, Jorch G, Briese V et al (2011) The combined effect of maternal body mass index and smoking status on perinatal outcomes - an analysis of the german perinatal survey. </w:t>
      </w:r>
      <w:r w:rsidRPr="00673F96">
        <w:rPr>
          <w:i/>
          <w:noProof/>
        </w:rPr>
        <w:t>Z Geburtshilfe Neonatol</w:t>
      </w:r>
      <w:r w:rsidRPr="00673F96">
        <w:rPr>
          <w:noProof/>
        </w:rPr>
        <w:t xml:space="preserve"> 215(1): 23-8.</w:t>
      </w:r>
    </w:p>
    <w:p w14:paraId="10C3495D" w14:textId="77777777" w:rsidR="00DC6931" w:rsidRPr="00673F96" w:rsidRDefault="00DC6931" w:rsidP="00DC6931">
      <w:pPr>
        <w:pStyle w:val="Excluded"/>
        <w:rPr>
          <w:noProof/>
        </w:rPr>
      </w:pPr>
      <w:r w:rsidRPr="00673F96">
        <w:rPr>
          <w:noProof/>
        </w:rPr>
        <w:t xml:space="preserve">Whiteman VE, Rao K, Duan J et al (2011) Changes in prepregnancy body mass index between pregnancies and risk of preterm phenotypes. </w:t>
      </w:r>
      <w:r w:rsidRPr="00673F96">
        <w:rPr>
          <w:i/>
          <w:noProof/>
        </w:rPr>
        <w:t>Am J Perinatol</w:t>
      </w:r>
      <w:r w:rsidRPr="00673F96">
        <w:rPr>
          <w:noProof/>
        </w:rPr>
        <w:t xml:space="preserve"> 28(1): 67-74.</w:t>
      </w:r>
    </w:p>
    <w:p w14:paraId="2EE2209F" w14:textId="77777777" w:rsidR="00DC6931" w:rsidRPr="00673F96" w:rsidRDefault="00DC6931" w:rsidP="00DC6931">
      <w:pPr>
        <w:pStyle w:val="Excluded"/>
        <w:rPr>
          <w:noProof/>
        </w:rPr>
      </w:pPr>
      <w:r w:rsidRPr="00673F96">
        <w:rPr>
          <w:noProof/>
        </w:rPr>
        <w:t xml:space="preserve">Yan J (2015) Maternal pre-pregnancy BMI, gestational weight gain, and infant birth weight: A within-family analysis in the United States. </w:t>
      </w:r>
      <w:r w:rsidRPr="00673F96">
        <w:rPr>
          <w:i/>
          <w:noProof/>
        </w:rPr>
        <w:t>Econ Hum Biol</w:t>
      </w:r>
      <w:r w:rsidRPr="00673F96">
        <w:rPr>
          <w:noProof/>
        </w:rPr>
        <w:t xml:space="preserve"> 18: 1-12.</w:t>
      </w:r>
    </w:p>
    <w:p w14:paraId="2356C7FF" w14:textId="77777777" w:rsidR="00FA1124" w:rsidRDefault="00FA1124" w:rsidP="00BD61CC">
      <w:pPr>
        <w:pStyle w:val="Heading3"/>
        <w:numPr>
          <w:ilvl w:val="0"/>
          <w:numId w:val="0"/>
        </w:numPr>
      </w:pPr>
      <w:bookmarkStart w:id="367" w:name="_Toc40956577"/>
      <w:r>
        <w:t>Lifestyle counselling (question 9)</w:t>
      </w:r>
      <w:bookmarkEnd w:id="366"/>
      <w:bookmarkEnd w:id="367"/>
    </w:p>
    <w:p w14:paraId="53433DF4" w14:textId="77777777" w:rsidR="00FA1124" w:rsidRDefault="00FA1124" w:rsidP="00FA1124">
      <w:pPr>
        <w:pStyle w:val="Heading4"/>
        <w:rPr>
          <w:noProof/>
        </w:rPr>
      </w:pPr>
      <w:r>
        <w:rPr>
          <w:noProof/>
        </w:rPr>
        <w:t>Duplicate</w:t>
      </w:r>
    </w:p>
    <w:p w14:paraId="55AC9BF2" w14:textId="77777777" w:rsidR="00FA1124" w:rsidRPr="000C58D3" w:rsidRDefault="00FA1124" w:rsidP="00FA1124">
      <w:pPr>
        <w:pStyle w:val="Excluded"/>
        <w:rPr>
          <w:noProof/>
        </w:rPr>
      </w:pPr>
      <w:r w:rsidRPr="000C58D3">
        <w:rPr>
          <w:noProof/>
        </w:rPr>
        <w:t xml:space="preserve">Aittasalo M, Raitanen J, Kinnunen TI et al (2012) Is intensive counseling in maternity care feasible and effective in promoting physical activity among women at risk for gestational diabetes? Secondary analysis of a cluster randomized NELLI study in Finland. </w:t>
      </w:r>
      <w:r w:rsidRPr="000C58D3">
        <w:rPr>
          <w:i/>
          <w:noProof/>
        </w:rPr>
        <w:t>Int J Behav Nutr Phys Act</w:t>
      </w:r>
      <w:r w:rsidRPr="000C58D3">
        <w:rPr>
          <w:noProof/>
        </w:rPr>
        <w:t xml:space="preserve"> 9: 104.</w:t>
      </w:r>
    </w:p>
    <w:p w14:paraId="59E778BE" w14:textId="77777777" w:rsidR="00FA1124" w:rsidRPr="000C58D3" w:rsidRDefault="00FA1124" w:rsidP="00FA1124">
      <w:pPr>
        <w:pStyle w:val="Excluded"/>
        <w:rPr>
          <w:noProof/>
        </w:rPr>
      </w:pPr>
      <w:r w:rsidRPr="000C58D3">
        <w:rPr>
          <w:noProof/>
        </w:rPr>
        <w:t xml:space="preserve">Dodd JM, McPhee AJ, Turnbull D et al (2014) The effects of antenatal dietary and lifestyle advice for women who are overweight or obese on neonatal health outcomes: the LIMIT randomised trial. </w:t>
      </w:r>
      <w:r w:rsidRPr="000C58D3">
        <w:rPr>
          <w:i/>
          <w:noProof/>
        </w:rPr>
        <w:t>BMC Med</w:t>
      </w:r>
      <w:r w:rsidRPr="000C58D3">
        <w:rPr>
          <w:noProof/>
        </w:rPr>
        <w:t xml:space="preserve"> 12: 163.</w:t>
      </w:r>
    </w:p>
    <w:p w14:paraId="200FE518" w14:textId="77777777" w:rsidR="00FA1124" w:rsidRPr="000C58D3" w:rsidRDefault="00FA1124" w:rsidP="00BD61CC">
      <w:pPr>
        <w:pStyle w:val="Excluded"/>
        <w:tabs>
          <w:tab w:val="left" w:pos="5812"/>
        </w:tabs>
        <w:rPr>
          <w:noProof/>
        </w:rPr>
      </w:pPr>
      <w:r w:rsidRPr="000C58D3">
        <w:rPr>
          <w:noProof/>
        </w:rPr>
        <w:t xml:space="preserve">Harrison CL, Lombard CB, Strauss BJ et al (2013) Optimizing healthy gestational weight gain in women at high risk of gestational diabetes: a randomized controlled trial. </w:t>
      </w:r>
      <w:r w:rsidRPr="000C58D3">
        <w:rPr>
          <w:i/>
          <w:noProof/>
        </w:rPr>
        <w:t>Obesity (Silver Spring)</w:t>
      </w:r>
      <w:r w:rsidRPr="000C58D3">
        <w:rPr>
          <w:noProof/>
        </w:rPr>
        <w:t xml:space="preserve"> 21(5): 904-9.</w:t>
      </w:r>
    </w:p>
    <w:p w14:paraId="1CD49BEB" w14:textId="77777777" w:rsidR="00FA1124" w:rsidRPr="000C58D3" w:rsidRDefault="00FA1124" w:rsidP="00BD61CC">
      <w:pPr>
        <w:pStyle w:val="Excluded"/>
        <w:tabs>
          <w:tab w:val="left" w:pos="5812"/>
        </w:tabs>
        <w:rPr>
          <w:noProof/>
        </w:rPr>
      </w:pPr>
      <w:r w:rsidRPr="000C58D3">
        <w:rPr>
          <w:noProof/>
        </w:rPr>
        <w:t xml:space="preserve">Olson CM, Groth SW, Graham ML et al (2018) The effectiveness of an online intervention in preventing excessive gestational weight gain: the e-moms roc randomized controlled trial. </w:t>
      </w:r>
      <w:r w:rsidRPr="000C58D3">
        <w:rPr>
          <w:i/>
          <w:noProof/>
        </w:rPr>
        <w:t>BMC Pregnancy Childbirth</w:t>
      </w:r>
      <w:r w:rsidRPr="000C58D3">
        <w:rPr>
          <w:noProof/>
        </w:rPr>
        <w:t xml:space="preserve"> 18(1): 148.</w:t>
      </w:r>
    </w:p>
    <w:p w14:paraId="236E43D0" w14:textId="77777777" w:rsidR="00FA1124" w:rsidRPr="000C58D3" w:rsidRDefault="00FA1124" w:rsidP="00BD61CC">
      <w:pPr>
        <w:pStyle w:val="Excluded"/>
        <w:tabs>
          <w:tab w:val="left" w:pos="5812"/>
        </w:tabs>
        <w:rPr>
          <w:noProof/>
        </w:rPr>
      </w:pPr>
      <w:r w:rsidRPr="000C58D3">
        <w:rPr>
          <w:noProof/>
        </w:rPr>
        <w:t xml:space="preserve">Ruchat S-M, Davenport MH, Giroux I et al (2012) Nutrition and exercise reduce excessive weight gain in normal-weight pregnant women. </w:t>
      </w:r>
      <w:r w:rsidRPr="000C58D3">
        <w:rPr>
          <w:i/>
          <w:noProof/>
        </w:rPr>
        <w:t>Medicine &amp; Science in Sports &amp; Exercise</w:t>
      </w:r>
      <w:r w:rsidRPr="000C58D3">
        <w:rPr>
          <w:noProof/>
        </w:rPr>
        <w:t xml:space="preserve"> 44(8): 1419-26.</w:t>
      </w:r>
    </w:p>
    <w:p w14:paraId="582C5A4D" w14:textId="77777777" w:rsidR="00FA1124" w:rsidRPr="000C58D3" w:rsidRDefault="00FA1124" w:rsidP="00BD61CC">
      <w:pPr>
        <w:pStyle w:val="Excluded"/>
        <w:tabs>
          <w:tab w:val="left" w:pos="5812"/>
        </w:tabs>
        <w:rPr>
          <w:noProof/>
        </w:rPr>
      </w:pPr>
      <w:r w:rsidRPr="000C58D3">
        <w:rPr>
          <w:noProof/>
        </w:rPr>
        <w:t xml:space="preserve">Sagedal LR, Vistad I, Overby NC et al (2017) The effect of a prenatal lifestyle intervention on glucose metabolism: results of the Norwegian Fit for Delivery randomized controlled trial. </w:t>
      </w:r>
      <w:r w:rsidRPr="000C58D3">
        <w:rPr>
          <w:i/>
          <w:noProof/>
        </w:rPr>
        <w:t>BMC Pregnancy Childbirth</w:t>
      </w:r>
      <w:r w:rsidRPr="000C58D3">
        <w:rPr>
          <w:noProof/>
        </w:rPr>
        <w:t xml:space="preserve"> 17(1): 167.</w:t>
      </w:r>
    </w:p>
    <w:p w14:paraId="389130B6" w14:textId="77777777" w:rsidR="00FA1124" w:rsidRPr="000C58D3" w:rsidRDefault="00FA1124" w:rsidP="00BD61CC">
      <w:pPr>
        <w:pStyle w:val="Excluded"/>
        <w:tabs>
          <w:tab w:val="left" w:pos="5812"/>
        </w:tabs>
        <w:rPr>
          <w:noProof/>
        </w:rPr>
      </w:pPr>
      <w:r w:rsidRPr="000C58D3">
        <w:rPr>
          <w:noProof/>
        </w:rPr>
        <w:t xml:space="preserve">Skouteris H, Morris H, Nagle C et al (2014) Behavior modification techniques used to prevent gestational diabetes: a systematic review of the literature. </w:t>
      </w:r>
      <w:r w:rsidRPr="000C58D3">
        <w:rPr>
          <w:i/>
          <w:noProof/>
        </w:rPr>
        <w:t>Curr Diab Rep</w:t>
      </w:r>
      <w:r w:rsidRPr="000C58D3">
        <w:rPr>
          <w:noProof/>
        </w:rPr>
        <w:t xml:space="preserve"> 14(4): 480.</w:t>
      </w:r>
    </w:p>
    <w:p w14:paraId="35068FCF" w14:textId="77777777" w:rsidR="00FA1124" w:rsidRDefault="00FA1124" w:rsidP="00BD61CC">
      <w:pPr>
        <w:pStyle w:val="Heading4"/>
        <w:tabs>
          <w:tab w:val="left" w:pos="5812"/>
        </w:tabs>
        <w:rPr>
          <w:noProof/>
        </w:rPr>
      </w:pPr>
      <w:r>
        <w:rPr>
          <w:noProof/>
        </w:rPr>
        <w:t>Wrong study design</w:t>
      </w:r>
    </w:p>
    <w:p w14:paraId="57C7BBEF" w14:textId="77777777" w:rsidR="00FA1124" w:rsidRPr="000C58D3" w:rsidRDefault="00FA1124" w:rsidP="00BD61CC">
      <w:pPr>
        <w:pStyle w:val="Excluded"/>
        <w:tabs>
          <w:tab w:val="left" w:pos="5812"/>
        </w:tabs>
        <w:rPr>
          <w:noProof/>
        </w:rPr>
      </w:pPr>
      <w:r w:rsidRPr="000C58D3">
        <w:rPr>
          <w:noProof/>
        </w:rPr>
        <w:t xml:space="preserve">Hui A, Back L, Ludwig S et al (2012) Lifestyle intervention on diet and exercise reduced excessive gestational weight gain in pregnant women under a randomised controlled trial. </w:t>
      </w:r>
      <w:r w:rsidRPr="000C58D3">
        <w:rPr>
          <w:i/>
          <w:noProof/>
        </w:rPr>
        <w:t>BJOG</w:t>
      </w:r>
      <w:r w:rsidRPr="000C58D3">
        <w:rPr>
          <w:noProof/>
        </w:rPr>
        <w:t xml:space="preserve"> 119(1): 70-7.</w:t>
      </w:r>
    </w:p>
    <w:p w14:paraId="2481A175" w14:textId="77777777" w:rsidR="00FA1124" w:rsidRPr="000C58D3" w:rsidRDefault="00FA1124" w:rsidP="00BD61CC">
      <w:pPr>
        <w:pStyle w:val="Excluded"/>
        <w:tabs>
          <w:tab w:val="left" w:pos="5812"/>
        </w:tabs>
        <w:rPr>
          <w:noProof/>
        </w:rPr>
      </w:pPr>
      <w:r w:rsidRPr="000C58D3">
        <w:rPr>
          <w:noProof/>
        </w:rPr>
        <w:t xml:space="preserve">Chasan-Taber L (2012) Physical activity and dietary behaviors associated with weight gain and impaired glucose tolerance among pregnant Latinas. </w:t>
      </w:r>
      <w:r w:rsidRPr="000C58D3">
        <w:rPr>
          <w:i/>
          <w:noProof/>
        </w:rPr>
        <w:t>Adv Nutr</w:t>
      </w:r>
      <w:r w:rsidRPr="000C58D3">
        <w:rPr>
          <w:noProof/>
        </w:rPr>
        <w:t xml:space="preserve"> 3(1): 108-18.</w:t>
      </w:r>
    </w:p>
    <w:p w14:paraId="1C1BD2FB" w14:textId="77777777" w:rsidR="00FA1124" w:rsidRPr="000C58D3" w:rsidRDefault="00FA1124" w:rsidP="00BD61CC">
      <w:pPr>
        <w:pStyle w:val="Excluded"/>
        <w:tabs>
          <w:tab w:val="left" w:pos="5812"/>
        </w:tabs>
        <w:rPr>
          <w:noProof/>
        </w:rPr>
      </w:pPr>
      <w:r w:rsidRPr="000C58D3">
        <w:rPr>
          <w:noProof/>
        </w:rPr>
        <w:t xml:space="preserve">Ferrara A, Hedderson MM, Albright CL et al (2011) A Pregnancy and postpartum lifestyle intervention in women with gestational diabetes mellitus reduces diabetes risk factors: A feasibility randomized control trial. </w:t>
      </w:r>
      <w:r w:rsidRPr="000C58D3">
        <w:rPr>
          <w:i/>
          <w:noProof/>
        </w:rPr>
        <w:t>Diabetes Care</w:t>
      </w:r>
      <w:r w:rsidRPr="000C58D3">
        <w:rPr>
          <w:noProof/>
        </w:rPr>
        <w:t xml:space="preserve"> 34(7): 1519-25.</w:t>
      </w:r>
    </w:p>
    <w:p w14:paraId="7279B9FA" w14:textId="77777777" w:rsidR="00FA1124" w:rsidRPr="000C58D3" w:rsidRDefault="00FA1124" w:rsidP="00BD61CC">
      <w:pPr>
        <w:pStyle w:val="Excluded"/>
        <w:tabs>
          <w:tab w:val="left" w:pos="5812"/>
        </w:tabs>
        <w:rPr>
          <w:noProof/>
        </w:rPr>
      </w:pPr>
      <w:r w:rsidRPr="000C58D3">
        <w:rPr>
          <w:noProof/>
        </w:rPr>
        <w:t xml:space="preserve">Haby K, Berg M, Gyllensten H et al (2018) Mighty Mums – a lifestyle intervention at primary care level reduces gestational weight gain in women with obesity. </w:t>
      </w:r>
      <w:r w:rsidRPr="000C58D3">
        <w:rPr>
          <w:i/>
          <w:noProof/>
        </w:rPr>
        <w:t>BMC Obesity</w:t>
      </w:r>
      <w:r w:rsidRPr="000C58D3">
        <w:rPr>
          <w:noProof/>
        </w:rPr>
        <w:t xml:space="preserve"> 5(1).</w:t>
      </w:r>
    </w:p>
    <w:p w14:paraId="42E0A102" w14:textId="77777777" w:rsidR="00FA1124" w:rsidRPr="000C58D3" w:rsidRDefault="00FA1124" w:rsidP="00BD61CC">
      <w:pPr>
        <w:pStyle w:val="Excluded"/>
        <w:tabs>
          <w:tab w:val="left" w:pos="5812"/>
        </w:tabs>
        <w:rPr>
          <w:noProof/>
        </w:rPr>
      </w:pPr>
      <w:r w:rsidRPr="000C58D3">
        <w:rPr>
          <w:noProof/>
        </w:rPr>
        <w:t xml:space="preserve">Kinnunen TI, Pasanen M, Aittasalo M et al (2007) Preventing excessive weight gain during pregnancy – a controlled trial in primary health care. </w:t>
      </w:r>
      <w:r w:rsidRPr="000C58D3">
        <w:rPr>
          <w:i/>
          <w:noProof/>
        </w:rPr>
        <w:t>European Journal of Clinical Nutrition</w:t>
      </w:r>
      <w:r w:rsidRPr="000C58D3">
        <w:rPr>
          <w:noProof/>
        </w:rPr>
        <w:t xml:space="preserve"> 61(7): 884-91.</w:t>
      </w:r>
    </w:p>
    <w:p w14:paraId="3E8DA6DD" w14:textId="77777777" w:rsidR="00FA1124" w:rsidRPr="000C58D3" w:rsidRDefault="00FA1124" w:rsidP="00BD61CC">
      <w:pPr>
        <w:pStyle w:val="Excluded"/>
        <w:tabs>
          <w:tab w:val="left" w:pos="5812"/>
        </w:tabs>
        <w:rPr>
          <w:noProof/>
        </w:rPr>
      </w:pPr>
      <w:r w:rsidRPr="000C58D3">
        <w:rPr>
          <w:noProof/>
        </w:rPr>
        <w:t xml:space="preserve">Mustila T, Raitanen J, Keskinen P et al (2012) Lifestyle counseling during pregnancy and offspring weight development until four years of age: follow-up study of a controlled trial. </w:t>
      </w:r>
      <w:r w:rsidRPr="000C58D3">
        <w:rPr>
          <w:i/>
          <w:noProof/>
        </w:rPr>
        <w:t>J Negat Results Biomed</w:t>
      </w:r>
      <w:r w:rsidRPr="000C58D3">
        <w:rPr>
          <w:noProof/>
        </w:rPr>
        <w:t xml:space="preserve"> 11: 11.</w:t>
      </w:r>
    </w:p>
    <w:p w14:paraId="5B473DA8" w14:textId="77777777" w:rsidR="00FA1124" w:rsidRPr="000C58D3" w:rsidRDefault="00FA1124" w:rsidP="00BD61CC">
      <w:pPr>
        <w:pStyle w:val="Excluded"/>
        <w:tabs>
          <w:tab w:val="left" w:pos="5812"/>
        </w:tabs>
        <w:rPr>
          <w:noProof/>
        </w:rPr>
      </w:pPr>
      <w:r w:rsidRPr="000C58D3">
        <w:rPr>
          <w:noProof/>
        </w:rPr>
        <w:t xml:space="preserve">Mustila T, Raitanen J, Keskinen P et al (2018) A pragmatic controlled trial to prevent childhood obesity within a risk group at maternity and child health-care clinics: results up to six years of age (the VACOPP study). </w:t>
      </w:r>
      <w:r w:rsidRPr="000C58D3">
        <w:rPr>
          <w:i/>
          <w:noProof/>
        </w:rPr>
        <w:t>BMC Pediatr</w:t>
      </w:r>
      <w:r w:rsidRPr="000C58D3">
        <w:rPr>
          <w:noProof/>
        </w:rPr>
        <w:t xml:space="preserve"> 18(1): 89.</w:t>
      </w:r>
    </w:p>
    <w:p w14:paraId="571539E9" w14:textId="77777777" w:rsidR="00FA1124" w:rsidRPr="000C58D3" w:rsidRDefault="00FA1124" w:rsidP="00BD61CC">
      <w:pPr>
        <w:pStyle w:val="Excluded"/>
        <w:tabs>
          <w:tab w:val="left" w:pos="5812"/>
        </w:tabs>
        <w:rPr>
          <w:noProof/>
        </w:rPr>
      </w:pPr>
      <w:r w:rsidRPr="000C58D3">
        <w:rPr>
          <w:noProof/>
        </w:rPr>
        <w:t xml:space="preserve">Simmons D, Jelsma JG, Galjaard S et al (2015) Results From a European multicenter randomized trial of physical activity and/or healthy eating to reduce the risk of gestational diabetes mellitus: The DALI lifestyle pilot. </w:t>
      </w:r>
      <w:r w:rsidRPr="000C58D3">
        <w:rPr>
          <w:i/>
          <w:noProof/>
        </w:rPr>
        <w:t>Diabetes Care</w:t>
      </w:r>
      <w:r w:rsidRPr="000C58D3">
        <w:rPr>
          <w:noProof/>
        </w:rPr>
        <w:t xml:space="preserve"> 38(9): 1650-6.</w:t>
      </w:r>
    </w:p>
    <w:p w14:paraId="645B7E5A" w14:textId="77777777" w:rsidR="00FA1124" w:rsidRPr="000C58D3" w:rsidRDefault="00FA1124" w:rsidP="00BD61CC">
      <w:pPr>
        <w:pStyle w:val="Excluded"/>
        <w:tabs>
          <w:tab w:val="left" w:pos="5812"/>
        </w:tabs>
        <w:rPr>
          <w:noProof/>
        </w:rPr>
      </w:pPr>
      <w:r w:rsidRPr="000C58D3">
        <w:rPr>
          <w:noProof/>
        </w:rPr>
        <w:t xml:space="preserve">Szmeja MA, Cramp C, Grivell RM et al (2014) Use of a DVD to provide dietary and lifestyle information to pregnant women who are overweight or obese: a nested randomised trial. </w:t>
      </w:r>
      <w:r w:rsidRPr="000C58D3">
        <w:rPr>
          <w:i/>
          <w:noProof/>
        </w:rPr>
        <w:t>BMC Pregnancy Childbirth</w:t>
      </w:r>
      <w:r w:rsidRPr="000C58D3">
        <w:rPr>
          <w:noProof/>
        </w:rPr>
        <w:t xml:space="preserve"> 14: 409.</w:t>
      </w:r>
    </w:p>
    <w:p w14:paraId="250B3351" w14:textId="77777777" w:rsidR="00FA1124" w:rsidRPr="000C58D3" w:rsidRDefault="00FA1124" w:rsidP="00BD61CC">
      <w:pPr>
        <w:pStyle w:val="Excluded"/>
        <w:tabs>
          <w:tab w:val="left" w:pos="5812"/>
        </w:tabs>
        <w:rPr>
          <w:noProof/>
        </w:rPr>
      </w:pPr>
      <w:r w:rsidRPr="000C58D3">
        <w:rPr>
          <w:noProof/>
        </w:rPr>
        <w:t xml:space="preserve">Thomson JL, Tussing-Humphreys LM, Goodman MH (2014) Delta Healthy Sprouts: a randomized comparative effectiveness trial to promote maternal weight control and reduce childhood obesity in the Mississippi Delta. </w:t>
      </w:r>
      <w:r w:rsidRPr="000C58D3">
        <w:rPr>
          <w:i/>
          <w:noProof/>
        </w:rPr>
        <w:t>Contemp Clin Trials</w:t>
      </w:r>
      <w:r w:rsidRPr="000C58D3">
        <w:rPr>
          <w:noProof/>
        </w:rPr>
        <w:t xml:space="preserve"> 38(1): 82-91.</w:t>
      </w:r>
    </w:p>
    <w:p w14:paraId="39BC5E21" w14:textId="77777777" w:rsidR="00FA1124" w:rsidRDefault="00FA1124" w:rsidP="00FA1124">
      <w:pPr>
        <w:pStyle w:val="Heading4"/>
        <w:rPr>
          <w:noProof/>
        </w:rPr>
      </w:pPr>
      <w:r>
        <w:rPr>
          <w:noProof/>
        </w:rPr>
        <w:t>Wrong setting</w:t>
      </w:r>
    </w:p>
    <w:p w14:paraId="0A73D835" w14:textId="77777777" w:rsidR="00FA1124" w:rsidRPr="000C58D3" w:rsidRDefault="00FA1124" w:rsidP="00FA1124">
      <w:pPr>
        <w:pStyle w:val="Excluded"/>
        <w:rPr>
          <w:noProof/>
        </w:rPr>
      </w:pPr>
      <w:r w:rsidRPr="000C58D3">
        <w:rPr>
          <w:noProof/>
        </w:rPr>
        <w:t xml:space="preserve">Herring SJ, Cruice JF, Bennett GG et al (2016) Preventing excessive gestational weight gain among African American women: A randomized clinical trial. </w:t>
      </w:r>
      <w:r w:rsidRPr="000C58D3">
        <w:rPr>
          <w:i/>
          <w:noProof/>
        </w:rPr>
        <w:t>Obesity (Silver Spring)</w:t>
      </w:r>
      <w:r w:rsidRPr="000C58D3">
        <w:rPr>
          <w:noProof/>
        </w:rPr>
        <w:t xml:space="preserve"> 24(1): 30-6.</w:t>
      </w:r>
    </w:p>
    <w:p w14:paraId="193A0FEB" w14:textId="77777777" w:rsidR="00FA1124" w:rsidRPr="000C58D3" w:rsidRDefault="00FA1124" w:rsidP="00FA1124">
      <w:pPr>
        <w:pStyle w:val="Excluded"/>
        <w:rPr>
          <w:noProof/>
        </w:rPr>
      </w:pPr>
      <w:r w:rsidRPr="000C58D3">
        <w:rPr>
          <w:noProof/>
        </w:rPr>
        <w:t xml:space="preserve">Olson CM, Groth SW, Graham ML et al (2018) The effectiveness of an online intervention in preventing excessive gestational weight gain: the e-moms roc randomized controlled trial. </w:t>
      </w:r>
      <w:r w:rsidRPr="000C58D3">
        <w:rPr>
          <w:i/>
          <w:noProof/>
        </w:rPr>
        <w:t>BMC Pregnancy Childbirth</w:t>
      </w:r>
      <w:r w:rsidRPr="000C58D3">
        <w:rPr>
          <w:noProof/>
        </w:rPr>
        <w:t xml:space="preserve"> 18(1): 148.</w:t>
      </w:r>
    </w:p>
    <w:p w14:paraId="638179B8" w14:textId="77777777" w:rsidR="00FA1124" w:rsidRDefault="00FA1124" w:rsidP="00FA1124">
      <w:pPr>
        <w:pStyle w:val="Heading4"/>
        <w:rPr>
          <w:noProof/>
        </w:rPr>
      </w:pPr>
      <w:r>
        <w:rPr>
          <w:noProof/>
        </w:rPr>
        <w:t>Wrong population</w:t>
      </w:r>
    </w:p>
    <w:p w14:paraId="79276F64" w14:textId="77777777" w:rsidR="00FA1124" w:rsidRPr="000C58D3" w:rsidRDefault="00FA1124" w:rsidP="00FA1124">
      <w:pPr>
        <w:pStyle w:val="Excluded"/>
        <w:rPr>
          <w:noProof/>
        </w:rPr>
      </w:pPr>
      <w:r w:rsidRPr="000C58D3">
        <w:rPr>
          <w:noProof/>
        </w:rPr>
        <w:t xml:space="preserve">Bo S, Rosato R, Ciccone G et al (2014) Simple lifestyle recommendations and the outcomes of gestational diabetes. A 2×2 factorial randomized trial. </w:t>
      </w:r>
      <w:r w:rsidRPr="000C58D3">
        <w:rPr>
          <w:i/>
          <w:noProof/>
        </w:rPr>
        <w:t>Diabetes, Obesity and Metabolism</w:t>
      </w:r>
      <w:r w:rsidRPr="000C58D3">
        <w:rPr>
          <w:noProof/>
        </w:rPr>
        <w:t xml:space="preserve"> 16(10): 1032-35.</w:t>
      </w:r>
    </w:p>
    <w:p w14:paraId="78E95094" w14:textId="77777777" w:rsidR="00FA1124" w:rsidRPr="000C58D3" w:rsidRDefault="00FA1124" w:rsidP="00FA1124">
      <w:pPr>
        <w:pStyle w:val="Excluded"/>
        <w:rPr>
          <w:noProof/>
        </w:rPr>
      </w:pPr>
      <w:r w:rsidRPr="000C58D3">
        <w:rPr>
          <w:noProof/>
        </w:rPr>
        <w:t xml:space="preserve">Huang TT, Yeh CY, Tsai YC (2011) A diet and physical activity intervention for preventing weight retention among Taiwanese childbearing women: a randomised controlled trial. </w:t>
      </w:r>
      <w:r w:rsidRPr="000C58D3">
        <w:rPr>
          <w:i/>
          <w:noProof/>
        </w:rPr>
        <w:t>Midwifery</w:t>
      </w:r>
      <w:r w:rsidRPr="000C58D3">
        <w:rPr>
          <w:noProof/>
        </w:rPr>
        <w:t xml:space="preserve"> 27(2): 257-64.</w:t>
      </w:r>
    </w:p>
    <w:p w14:paraId="29C52458" w14:textId="77777777" w:rsidR="00FA1124" w:rsidRPr="000C58D3" w:rsidRDefault="00FA1124" w:rsidP="00FA1124">
      <w:pPr>
        <w:pStyle w:val="Excluded"/>
        <w:rPr>
          <w:noProof/>
        </w:rPr>
      </w:pPr>
      <w:r w:rsidRPr="000C58D3">
        <w:rPr>
          <w:noProof/>
        </w:rPr>
        <w:t xml:space="preserve">McEachan RRC, Santorelli G, Bryant M et al (2016) The HAPPY (Healthy and Active Parenting Programmme for early Years) feasibility randomised control trial: acceptability and feasibility of an intervention to reduce infant obesity. </w:t>
      </w:r>
      <w:r w:rsidRPr="000C58D3">
        <w:rPr>
          <w:i/>
          <w:noProof/>
        </w:rPr>
        <w:t>BMC Public Health</w:t>
      </w:r>
      <w:r w:rsidRPr="000C58D3">
        <w:rPr>
          <w:noProof/>
        </w:rPr>
        <w:t xml:space="preserve"> 16: 211.</w:t>
      </w:r>
    </w:p>
    <w:p w14:paraId="0B101113" w14:textId="77777777" w:rsidR="00FA1124" w:rsidRPr="000C58D3" w:rsidRDefault="00FA1124" w:rsidP="00FA1124">
      <w:pPr>
        <w:pStyle w:val="Excluded"/>
        <w:rPr>
          <w:noProof/>
        </w:rPr>
      </w:pPr>
      <w:r w:rsidRPr="000C58D3">
        <w:rPr>
          <w:noProof/>
        </w:rPr>
        <w:t xml:space="preserve">Sayakhot P, Carolan-Olah M, Steele C (2016) Use of a web-based educational intervention to improve knowledge of healthy diet and lifestyle in women with Gestational Diabetes Mellitus compared to standard clinic-based education. </w:t>
      </w:r>
      <w:r w:rsidRPr="000C58D3">
        <w:rPr>
          <w:i/>
          <w:noProof/>
        </w:rPr>
        <w:t>BMC Pregnancy Childbirth</w:t>
      </w:r>
      <w:r w:rsidRPr="000C58D3">
        <w:rPr>
          <w:noProof/>
        </w:rPr>
        <w:t xml:space="preserve"> 16(1): 208.</w:t>
      </w:r>
    </w:p>
    <w:p w14:paraId="026BB5DC" w14:textId="77777777" w:rsidR="00FA1124" w:rsidRPr="000C58D3" w:rsidRDefault="00FA1124" w:rsidP="00FA1124">
      <w:pPr>
        <w:pStyle w:val="Excluded"/>
        <w:rPr>
          <w:noProof/>
        </w:rPr>
      </w:pPr>
      <w:r w:rsidRPr="000C58D3">
        <w:rPr>
          <w:noProof/>
        </w:rPr>
        <w:t xml:space="preserve">Youngwanichsetha S, Phumdoung S, Ingkathawornwong T (2014) The effects of mindfulness eating and yoga exercise on blood sugar levels of pregnant women with gestational diabetes mellitus. </w:t>
      </w:r>
      <w:r w:rsidRPr="000C58D3">
        <w:rPr>
          <w:i/>
          <w:noProof/>
        </w:rPr>
        <w:t>Appl Nurs Res</w:t>
      </w:r>
      <w:r w:rsidRPr="000C58D3">
        <w:rPr>
          <w:noProof/>
        </w:rPr>
        <w:t xml:space="preserve"> 27(4): 227-30.</w:t>
      </w:r>
    </w:p>
    <w:p w14:paraId="792C75FC" w14:textId="77777777" w:rsidR="00FA1124" w:rsidRDefault="00FA1124" w:rsidP="00FA1124">
      <w:pPr>
        <w:pStyle w:val="Heading4"/>
        <w:rPr>
          <w:noProof/>
        </w:rPr>
      </w:pPr>
      <w:r>
        <w:rPr>
          <w:noProof/>
        </w:rPr>
        <w:t>Wrong intervention</w:t>
      </w:r>
    </w:p>
    <w:p w14:paraId="39B7462D" w14:textId="77777777" w:rsidR="00FA1124" w:rsidRPr="000C58D3" w:rsidRDefault="00FA1124" w:rsidP="00FA1124">
      <w:pPr>
        <w:pStyle w:val="Excluded"/>
        <w:rPr>
          <w:noProof/>
        </w:rPr>
      </w:pPr>
      <w:r w:rsidRPr="000C58D3">
        <w:rPr>
          <w:noProof/>
        </w:rPr>
        <w:t xml:space="preserve">Gardner B, Wardle J, Poston L et al (2011) Changing diet and physical activity to reduce gestational weight gain: a meta-analysis. </w:t>
      </w:r>
      <w:r w:rsidRPr="000C58D3">
        <w:rPr>
          <w:i/>
          <w:noProof/>
        </w:rPr>
        <w:t>Obes Rev</w:t>
      </w:r>
      <w:r w:rsidRPr="000C58D3">
        <w:rPr>
          <w:noProof/>
        </w:rPr>
        <w:t xml:space="preserve"> 12(7): e602-20.</w:t>
      </w:r>
    </w:p>
    <w:p w14:paraId="470C000B" w14:textId="77777777" w:rsidR="00FA1124" w:rsidRDefault="00FA1124" w:rsidP="00FA1124">
      <w:pPr>
        <w:pStyle w:val="Heading4"/>
        <w:rPr>
          <w:noProof/>
        </w:rPr>
      </w:pPr>
      <w:r>
        <w:rPr>
          <w:noProof/>
        </w:rPr>
        <w:t>Wrong comparator</w:t>
      </w:r>
    </w:p>
    <w:p w14:paraId="326A7BB7" w14:textId="77777777" w:rsidR="00FA1124" w:rsidRPr="000C58D3" w:rsidRDefault="00FA1124" w:rsidP="00FA1124">
      <w:pPr>
        <w:pStyle w:val="Excluded"/>
        <w:rPr>
          <w:noProof/>
        </w:rPr>
      </w:pPr>
      <w:r w:rsidRPr="000C58D3">
        <w:rPr>
          <w:noProof/>
        </w:rPr>
        <w:t xml:space="preserve">Thomson JL, Tussing-Humphreys LM, Goodman MH et al (2016) Gestational Weight Gain: Results from the Delta Healthy Sprouts Comparative Impact Trial. </w:t>
      </w:r>
      <w:r w:rsidRPr="000C58D3">
        <w:rPr>
          <w:i/>
          <w:noProof/>
        </w:rPr>
        <w:t>Journal of Pregnancy</w:t>
      </w:r>
      <w:r w:rsidRPr="000C58D3">
        <w:rPr>
          <w:noProof/>
        </w:rPr>
        <w:t xml:space="preserve"> 2016: 1-12.</w:t>
      </w:r>
    </w:p>
    <w:p w14:paraId="3A18ED87" w14:textId="77777777" w:rsidR="00FA1124" w:rsidRDefault="00FA1124" w:rsidP="00FA1124">
      <w:pPr>
        <w:pStyle w:val="Heading4"/>
        <w:rPr>
          <w:noProof/>
        </w:rPr>
      </w:pPr>
      <w:r>
        <w:rPr>
          <w:noProof/>
        </w:rPr>
        <w:t>Wrong outcomes</w:t>
      </w:r>
    </w:p>
    <w:p w14:paraId="695D29E9" w14:textId="77777777" w:rsidR="00FA1124" w:rsidRPr="000C58D3" w:rsidRDefault="00FA1124" w:rsidP="00FA1124">
      <w:pPr>
        <w:pStyle w:val="Excluded"/>
        <w:rPr>
          <w:noProof/>
        </w:rPr>
      </w:pPr>
      <w:r w:rsidRPr="000C58D3">
        <w:rPr>
          <w:noProof/>
        </w:rPr>
        <w:t xml:space="preserve">Chang M-W, Brown R, Nitzke S (2017) Results and lessons learned from a prevention of weight gain program for low-income overweight and obese young mothers: Mothers In Motion. </w:t>
      </w:r>
      <w:r w:rsidRPr="000C58D3">
        <w:rPr>
          <w:i/>
          <w:noProof/>
        </w:rPr>
        <w:t>BMC Public Health</w:t>
      </w:r>
      <w:r w:rsidRPr="000C58D3">
        <w:rPr>
          <w:noProof/>
        </w:rPr>
        <w:t xml:space="preserve"> 17(1).</w:t>
      </w:r>
    </w:p>
    <w:p w14:paraId="361DAFA1" w14:textId="77777777" w:rsidR="00FA1124" w:rsidRPr="000C58D3" w:rsidRDefault="00FA1124" w:rsidP="00FA1124">
      <w:pPr>
        <w:pStyle w:val="Excluded"/>
        <w:rPr>
          <w:noProof/>
        </w:rPr>
      </w:pPr>
      <w:r w:rsidRPr="000C58D3">
        <w:rPr>
          <w:noProof/>
        </w:rPr>
        <w:t xml:space="preserve">Dodd JM, Deussen AR, Mohamad I et al (2016) The effect of antenatal lifestyle advice for women who are overweight or obese on secondary measures of neonatal body composition: the LIMIT randomised trial. </w:t>
      </w:r>
      <w:r w:rsidRPr="000C58D3">
        <w:rPr>
          <w:i/>
          <w:noProof/>
        </w:rPr>
        <w:t>BJOG</w:t>
      </w:r>
      <w:r w:rsidRPr="000C58D3">
        <w:rPr>
          <w:noProof/>
        </w:rPr>
        <w:t xml:space="preserve"> 123(2): 244-53.</w:t>
      </w:r>
    </w:p>
    <w:p w14:paraId="2BE7811E" w14:textId="77777777" w:rsidR="00FA1124" w:rsidRPr="000C58D3" w:rsidRDefault="00FA1124" w:rsidP="00FA1124">
      <w:pPr>
        <w:pStyle w:val="Excluded"/>
        <w:rPr>
          <w:noProof/>
        </w:rPr>
      </w:pPr>
      <w:r w:rsidRPr="000C58D3">
        <w:rPr>
          <w:noProof/>
        </w:rPr>
        <w:t xml:space="preserve">Dodd JM, Louise J, Cramp C et al (2018) Evaluation of a smartphone nutrition and physical activity application to provide lifestyle advice to pregnant women: The SNAPP randomised trial. </w:t>
      </w:r>
      <w:r w:rsidRPr="000C58D3">
        <w:rPr>
          <w:i/>
          <w:noProof/>
        </w:rPr>
        <w:t>Matern Child Nutr</w:t>
      </w:r>
      <w:r w:rsidRPr="000C58D3">
        <w:rPr>
          <w:noProof/>
        </w:rPr>
        <w:t xml:space="preserve"> 14(1).</w:t>
      </w:r>
    </w:p>
    <w:p w14:paraId="6B511644" w14:textId="77777777" w:rsidR="00FA1124" w:rsidRPr="000C58D3" w:rsidRDefault="00FA1124" w:rsidP="00FA1124">
      <w:pPr>
        <w:pStyle w:val="Excluded"/>
        <w:rPr>
          <w:noProof/>
        </w:rPr>
      </w:pPr>
      <w:r w:rsidRPr="000C58D3">
        <w:rPr>
          <w:noProof/>
        </w:rPr>
        <w:t xml:space="preserve">Grivell RM, Yelland LN, Deussen A et al (2016) Antenatal dietary and lifestyle advice for women who are overweight or obese and the effect on fetal growth and adiposity: the LIMIT randomised trial. </w:t>
      </w:r>
      <w:r w:rsidRPr="000C58D3">
        <w:rPr>
          <w:i/>
          <w:noProof/>
        </w:rPr>
        <w:t>BJOG: An International Journal of Obstetrics &amp; Gynaecology</w:t>
      </w:r>
      <w:r w:rsidRPr="000C58D3">
        <w:rPr>
          <w:noProof/>
        </w:rPr>
        <w:t xml:space="preserve"> 123(2): 233-43.</w:t>
      </w:r>
    </w:p>
    <w:p w14:paraId="20D01BA7" w14:textId="77777777" w:rsidR="00FA1124" w:rsidRPr="000C58D3" w:rsidRDefault="00FA1124" w:rsidP="00FA1124">
      <w:pPr>
        <w:pStyle w:val="Excluded"/>
        <w:rPr>
          <w:noProof/>
        </w:rPr>
      </w:pPr>
      <w:r w:rsidRPr="000C58D3">
        <w:rPr>
          <w:noProof/>
        </w:rPr>
        <w:t xml:space="preserve">Huvinen E, Koivusalo SB, Meinilä J et al (2018) Effects of a lifestyle intervention during pregnancy and first postpartum year: findings from the RADIEL study. </w:t>
      </w:r>
      <w:r w:rsidRPr="000C58D3">
        <w:rPr>
          <w:i/>
          <w:noProof/>
        </w:rPr>
        <w:t>The Journal of Clinical Endocrinology &amp; Metabolism</w:t>
      </w:r>
      <w:r w:rsidRPr="000C58D3">
        <w:rPr>
          <w:noProof/>
        </w:rPr>
        <w:t xml:space="preserve"> 103(4): 1669-77.</w:t>
      </w:r>
    </w:p>
    <w:p w14:paraId="6AC18D56" w14:textId="77777777" w:rsidR="00FA1124" w:rsidRPr="000C58D3" w:rsidRDefault="00FA1124" w:rsidP="00FA1124">
      <w:pPr>
        <w:pStyle w:val="Excluded"/>
        <w:rPr>
          <w:noProof/>
        </w:rPr>
      </w:pPr>
      <w:r w:rsidRPr="000C58D3">
        <w:rPr>
          <w:noProof/>
        </w:rPr>
        <w:t xml:space="preserve">Jackson RA, Stotland NE, Caughey AB et al (2011) Improving diet and exercise in pregnancy with Video Doctor counseling: a randomized trial. </w:t>
      </w:r>
      <w:r w:rsidRPr="000C58D3">
        <w:rPr>
          <w:i/>
          <w:noProof/>
        </w:rPr>
        <w:t>Patient Educ Couns</w:t>
      </w:r>
      <w:r w:rsidRPr="000C58D3">
        <w:rPr>
          <w:noProof/>
        </w:rPr>
        <w:t xml:space="preserve"> 83(2): 203-9.</w:t>
      </w:r>
    </w:p>
    <w:p w14:paraId="1E581AE0" w14:textId="77777777" w:rsidR="00FA1124" w:rsidRPr="000C58D3" w:rsidRDefault="00FA1124" w:rsidP="00FA1124">
      <w:pPr>
        <w:pStyle w:val="Excluded"/>
        <w:rPr>
          <w:noProof/>
        </w:rPr>
      </w:pPr>
      <w:r w:rsidRPr="000C58D3">
        <w:rPr>
          <w:noProof/>
        </w:rPr>
        <w:t xml:space="preserve">Pereira RI, Brown MJ, Sinclair M et al (2012) A systematic review investigating healthy lifestyle interventions incorporating goal setting strategies for preventing excess gestational weight gain. </w:t>
      </w:r>
      <w:r w:rsidRPr="000C58D3">
        <w:rPr>
          <w:i/>
          <w:noProof/>
        </w:rPr>
        <w:t>PLoS ONE</w:t>
      </w:r>
      <w:r w:rsidRPr="000C58D3">
        <w:rPr>
          <w:noProof/>
        </w:rPr>
        <w:t xml:space="preserve"> 7(7).</w:t>
      </w:r>
    </w:p>
    <w:p w14:paraId="350BB5CE" w14:textId="77777777" w:rsidR="00FA1124" w:rsidRPr="000C58D3" w:rsidRDefault="00FA1124" w:rsidP="00FA1124">
      <w:pPr>
        <w:pStyle w:val="Excluded"/>
        <w:rPr>
          <w:noProof/>
        </w:rPr>
      </w:pPr>
      <w:r w:rsidRPr="000C58D3">
        <w:rPr>
          <w:noProof/>
        </w:rPr>
        <w:t xml:space="preserve">Tanvig M, Vinter CA, Jørgensen JS et al (2015) Effects of lifestyle intervention in pregnancy and anthropometrics at birth on offspring metabolic profile at 2.8 years: results from the Lifestyle in Pregnancy and Offspring (LiPO) Study. </w:t>
      </w:r>
      <w:r w:rsidRPr="000C58D3">
        <w:rPr>
          <w:i/>
          <w:noProof/>
        </w:rPr>
        <w:t>The Journal of Clinical Endocrinology &amp; Metabolism</w:t>
      </w:r>
      <w:r w:rsidRPr="000C58D3">
        <w:rPr>
          <w:noProof/>
        </w:rPr>
        <w:t xml:space="preserve"> 100(1): 175-83.</w:t>
      </w:r>
    </w:p>
    <w:p w14:paraId="1D4A5CAE" w14:textId="77777777" w:rsidR="00FA1124" w:rsidRPr="000C58D3" w:rsidRDefault="00FA1124" w:rsidP="00FA1124">
      <w:pPr>
        <w:pStyle w:val="Excluded"/>
        <w:rPr>
          <w:noProof/>
        </w:rPr>
      </w:pPr>
      <w:r w:rsidRPr="000C58D3">
        <w:rPr>
          <w:noProof/>
        </w:rPr>
        <w:t xml:space="preserve">Torres R, Soltero S, Trak MA et al (2016) Lifestyle modification intervention for overweight and obese Hispanic pregnant women: development, implementation, lessons learned and future applications. </w:t>
      </w:r>
      <w:r w:rsidRPr="000C58D3">
        <w:rPr>
          <w:i/>
          <w:noProof/>
        </w:rPr>
        <w:t>Contemp Clin Trials Commun</w:t>
      </w:r>
      <w:r w:rsidRPr="000C58D3">
        <w:rPr>
          <w:noProof/>
        </w:rPr>
        <w:t xml:space="preserve"> 3: 111-16.</w:t>
      </w:r>
    </w:p>
    <w:p w14:paraId="48D24592" w14:textId="77777777" w:rsidR="00FA1124" w:rsidRPr="000C58D3" w:rsidRDefault="00FA1124" w:rsidP="00FA1124">
      <w:pPr>
        <w:pStyle w:val="Excluded"/>
        <w:rPr>
          <w:noProof/>
        </w:rPr>
      </w:pPr>
      <w:r w:rsidRPr="000C58D3">
        <w:rPr>
          <w:noProof/>
        </w:rPr>
        <w:t xml:space="preserve">Wilkinson SA &amp; McIntyre HD (2012) Evaluation of the 'healthy start to pregnancy' early antenatal health promotion workshop: a randomized controlled trial. </w:t>
      </w:r>
      <w:r w:rsidRPr="000C58D3">
        <w:rPr>
          <w:i/>
          <w:noProof/>
        </w:rPr>
        <w:t>BMC Pregnancy Childbirth</w:t>
      </w:r>
      <w:r w:rsidRPr="000C58D3">
        <w:rPr>
          <w:noProof/>
        </w:rPr>
        <w:t xml:space="preserve"> 12: 131.</w:t>
      </w:r>
    </w:p>
    <w:p w14:paraId="45C3BB05" w14:textId="77777777" w:rsidR="00FA1124" w:rsidRDefault="00FA1124" w:rsidP="00FA1124">
      <w:pPr>
        <w:pStyle w:val="Heading4"/>
        <w:rPr>
          <w:noProof/>
        </w:rPr>
      </w:pPr>
      <w:r>
        <w:rPr>
          <w:noProof/>
        </w:rPr>
        <w:t>Narrative review</w:t>
      </w:r>
    </w:p>
    <w:p w14:paraId="00EA8583" w14:textId="77777777" w:rsidR="00FA1124" w:rsidRPr="000C58D3" w:rsidRDefault="00FA1124" w:rsidP="00FA1124">
      <w:pPr>
        <w:pStyle w:val="Excluded"/>
        <w:rPr>
          <w:noProof/>
        </w:rPr>
      </w:pPr>
      <w:r w:rsidRPr="000C58D3">
        <w:rPr>
          <w:noProof/>
        </w:rPr>
        <w:t xml:space="preserve">O'Brien OA, McCarthy M, Gibney ER et al (2014) Technology-supported dietary and lifestyle interventions in healthy pregnant women: a systematic review. </w:t>
      </w:r>
      <w:r w:rsidRPr="000C58D3">
        <w:rPr>
          <w:i/>
          <w:noProof/>
        </w:rPr>
        <w:t>European Journal of Clinical Nutrition</w:t>
      </w:r>
      <w:r w:rsidRPr="000C58D3">
        <w:rPr>
          <w:noProof/>
        </w:rPr>
        <w:t xml:space="preserve"> 68(7): 760-66.</w:t>
      </w:r>
    </w:p>
    <w:p w14:paraId="4010AC23" w14:textId="77777777" w:rsidR="00FA1124" w:rsidRDefault="00FA1124" w:rsidP="00FA1124">
      <w:pPr>
        <w:pStyle w:val="Heading4"/>
        <w:rPr>
          <w:noProof/>
        </w:rPr>
      </w:pPr>
      <w:r>
        <w:rPr>
          <w:noProof/>
        </w:rPr>
        <w:t>Does not answer research question</w:t>
      </w:r>
    </w:p>
    <w:p w14:paraId="5AA8815F" w14:textId="77777777" w:rsidR="00FA1124" w:rsidRPr="000C58D3" w:rsidRDefault="00FA1124" w:rsidP="00FA1124">
      <w:pPr>
        <w:pStyle w:val="Excluded"/>
        <w:rPr>
          <w:noProof/>
        </w:rPr>
      </w:pPr>
      <w:r w:rsidRPr="000C58D3">
        <w:rPr>
          <w:noProof/>
        </w:rPr>
        <w:t xml:space="preserve">Ronnberg AK &amp; Nilsson K (2010) Interventions during pregnancy to reduce excessive gestational weight gain: a systematic review assessing current clinical evidence using the Grading of Recommendations, Assessment, Development and Evaluation (GRADE) system. </w:t>
      </w:r>
      <w:r w:rsidRPr="000C58D3">
        <w:rPr>
          <w:i/>
          <w:noProof/>
        </w:rPr>
        <w:t>BJOG</w:t>
      </w:r>
      <w:r w:rsidRPr="000C58D3">
        <w:rPr>
          <w:noProof/>
        </w:rPr>
        <w:t xml:space="preserve"> 117(11): 1327-34.</w:t>
      </w:r>
    </w:p>
    <w:p w14:paraId="0D7809D5" w14:textId="77777777" w:rsidR="00FA1124" w:rsidRPr="000C58D3" w:rsidRDefault="00FA1124" w:rsidP="00FA1124">
      <w:pPr>
        <w:pStyle w:val="Excluded"/>
        <w:rPr>
          <w:noProof/>
        </w:rPr>
      </w:pPr>
      <w:r w:rsidRPr="000C58D3">
        <w:rPr>
          <w:noProof/>
        </w:rPr>
        <w:t xml:space="preserve">Skouteris H, Morris H, Nagle C et al (2014) Behavior modification techniques used to prevent gestational diabetes: a systematic review of the literature. </w:t>
      </w:r>
      <w:r w:rsidRPr="000C58D3">
        <w:rPr>
          <w:i/>
          <w:noProof/>
        </w:rPr>
        <w:t>Curr Diab Rep</w:t>
      </w:r>
      <w:r w:rsidRPr="000C58D3">
        <w:rPr>
          <w:noProof/>
        </w:rPr>
        <w:t xml:space="preserve"> 14(4): 480.</w:t>
      </w:r>
    </w:p>
    <w:p w14:paraId="511DEE92" w14:textId="77777777" w:rsidR="00FA1124" w:rsidRPr="00BD61CC" w:rsidRDefault="00FA1124" w:rsidP="00BD61CC"/>
    <w:p w14:paraId="146EE227" w14:textId="77777777" w:rsidR="00F2430D" w:rsidRPr="00A912D4" w:rsidRDefault="00F2430D" w:rsidP="00A912D4"/>
    <w:p w14:paraId="1A0A0320" w14:textId="77777777" w:rsidR="003523C5" w:rsidRDefault="003523C5" w:rsidP="003523C5">
      <w:pPr>
        <w:pStyle w:val="Heading2"/>
        <w:rPr>
          <w:b/>
        </w:rPr>
        <w:sectPr w:rsidR="003523C5" w:rsidSect="008A6B17">
          <w:pgSz w:w="11901" w:h="16817"/>
          <w:pgMar w:top="1134" w:right="1418" w:bottom="1134" w:left="1418" w:header="709" w:footer="709" w:gutter="0"/>
          <w:cols w:space="708"/>
          <w:docGrid w:linePitch="360"/>
        </w:sectPr>
      </w:pPr>
    </w:p>
    <w:p w14:paraId="0E4EBABC" w14:textId="77777777" w:rsidR="002F4F4F" w:rsidRDefault="00854907" w:rsidP="00BF1E8A">
      <w:pPr>
        <w:pStyle w:val="Heading1"/>
        <w:numPr>
          <w:ilvl w:val="0"/>
          <w:numId w:val="0"/>
        </w:numPr>
      </w:pPr>
      <w:bookmarkStart w:id="368" w:name="_Toc40956578"/>
      <w:r>
        <w:t>References</w:t>
      </w:r>
      <w:bookmarkEnd w:id="368"/>
    </w:p>
    <w:p w14:paraId="1B376339" w14:textId="77777777" w:rsidR="001A2F28" w:rsidRPr="004B77DE" w:rsidRDefault="002F4F4F" w:rsidP="00FA05B8">
      <w:pPr>
        <w:pStyle w:val="EndNoteBibliography"/>
        <w:spacing w:after="0"/>
        <w:ind w:left="567" w:hanging="567"/>
        <w:rPr>
          <w:rFonts w:ascii="Trebuchet MS" w:hAnsi="Trebuchet MS"/>
          <w:noProof/>
          <w:sz w:val="16"/>
          <w:szCs w:val="16"/>
        </w:rPr>
      </w:pPr>
      <w:r w:rsidRPr="004B77DE">
        <w:rPr>
          <w:rFonts w:ascii="Trebuchet MS" w:hAnsi="Trebuchet MS"/>
          <w:sz w:val="16"/>
          <w:szCs w:val="16"/>
        </w:rPr>
        <w:fldChar w:fldCharType="begin"/>
      </w:r>
      <w:r w:rsidRPr="004B77DE">
        <w:rPr>
          <w:rFonts w:ascii="Trebuchet MS" w:hAnsi="Trebuchet MS"/>
          <w:sz w:val="16"/>
          <w:szCs w:val="16"/>
        </w:rPr>
        <w:instrText xml:space="preserve"> </w:instrText>
      </w:r>
      <w:r w:rsidRPr="004B77DE">
        <w:rPr>
          <w:rFonts w:ascii="Trebuchet MS" w:eastAsia="Calibri" w:hAnsi="Trebuchet MS" w:cs="Calibri"/>
          <w:sz w:val="16"/>
          <w:szCs w:val="16"/>
        </w:rPr>
        <w:instrText>ADDIN</w:instrText>
      </w:r>
      <w:r w:rsidRPr="004B77DE">
        <w:rPr>
          <w:rFonts w:ascii="Trebuchet MS" w:hAnsi="Trebuchet MS"/>
          <w:sz w:val="16"/>
          <w:szCs w:val="16"/>
        </w:rPr>
        <w:instrText xml:space="preserve"> </w:instrText>
      </w:r>
      <w:r w:rsidRPr="004B77DE">
        <w:rPr>
          <w:rFonts w:ascii="Trebuchet MS" w:eastAsia="Calibri" w:hAnsi="Trebuchet MS" w:cs="Calibri"/>
          <w:sz w:val="16"/>
          <w:szCs w:val="16"/>
        </w:rPr>
        <w:instrText>EN</w:instrText>
      </w:r>
      <w:r w:rsidRPr="004B77DE">
        <w:rPr>
          <w:rFonts w:ascii="Trebuchet MS" w:hAnsi="Trebuchet MS"/>
          <w:sz w:val="16"/>
          <w:szCs w:val="16"/>
        </w:rPr>
        <w:instrText>.</w:instrText>
      </w:r>
      <w:r w:rsidRPr="004B77DE">
        <w:rPr>
          <w:rFonts w:ascii="Trebuchet MS" w:eastAsia="Calibri" w:hAnsi="Trebuchet MS" w:cs="Calibri"/>
          <w:sz w:val="16"/>
          <w:szCs w:val="16"/>
        </w:rPr>
        <w:instrText>REFLIST</w:instrText>
      </w:r>
      <w:r w:rsidRPr="004B77DE">
        <w:rPr>
          <w:rFonts w:ascii="Trebuchet MS" w:hAnsi="Trebuchet MS"/>
          <w:sz w:val="16"/>
          <w:szCs w:val="16"/>
        </w:rPr>
        <w:instrText xml:space="preserve"> </w:instrText>
      </w:r>
      <w:r w:rsidRPr="004B77DE">
        <w:rPr>
          <w:rFonts w:ascii="Trebuchet MS" w:hAnsi="Trebuchet MS"/>
          <w:sz w:val="16"/>
          <w:szCs w:val="16"/>
        </w:rPr>
        <w:fldChar w:fldCharType="separate"/>
      </w:r>
      <w:r w:rsidR="001A2F28" w:rsidRPr="004B77DE">
        <w:rPr>
          <w:rFonts w:ascii="Trebuchet MS" w:eastAsia="Calibri" w:hAnsi="Trebuchet MS" w:cs="Calibri"/>
          <w:noProof/>
          <w:sz w:val="16"/>
          <w:szCs w:val="16"/>
        </w:rPr>
        <w:t>1</w:t>
      </w:r>
      <w:r w:rsidR="001A2F28" w:rsidRPr="004B77DE">
        <w:rPr>
          <w:rFonts w:ascii="Trebuchet MS" w:hAnsi="Trebuchet MS"/>
          <w:noProof/>
          <w:sz w:val="16"/>
          <w:szCs w:val="16"/>
        </w:rPr>
        <w:t>.</w:t>
      </w:r>
      <w:r w:rsidR="001A2F28" w:rsidRPr="004B77DE">
        <w:rPr>
          <w:rFonts w:ascii="Trebuchet MS" w:hAnsi="Trebuchet MS"/>
          <w:noProof/>
          <w:sz w:val="16"/>
          <w:szCs w:val="16"/>
        </w:rPr>
        <w:tab/>
        <w:t xml:space="preserve">NHMRC. </w:t>
      </w:r>
      <w:r w:rsidR="001A2F28" w:rsidRPr="004B77DE">
        <w:rPr>
          <w:rFonts w:ascii="Trebuchet MS" w:hAnsi="Trebuchet MS"/>
          <w:i/>
          <w:noProof/>
          <w:sz w:val="16"/>
          <w:szCs w:val="16"/>
        </w:rPr>
        <w:t>How to Review the Evidence: Systematic Identification and Review of the Scientific Literature</w:t>
      </w:r>
      <w:r w:rsidR="001A2F28" w:rsidRPr="004B77DE">
        <w:rPr>
          <w:rFonts w:ascii="Trebuchet MS" w:hAnsi="Trebuchet MS"/>
          <w:noProof/>
          <w:sz w:val="16"/>
          <w:szCs w:val="16"/>
        </w:rPr>
        <w:t>. Canberra: National Health and Medical Research Council; 2000.</w:t>
      </w:r>
    </w:p>
    <w:p w14:paraId="6B296A7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w:t>
      </w:r>
      <w:r w:rsidRPr="004B77DE">
        <w:rPr>
          <w:rFonts w:ascii="Trebuchet MS" w:hAnsi="Trebuchet MS"/>
          <w:noProof/>
          <w:sz w:val="16"/>
          <w:szCs w:val="16"/>
        </w:rPr>
        <w:t>.</w:t>
      </w:r>
      <w:r w:rsidRPr="004B77DE">
        <w:rPr>
          <w:rFonts w:ascii="Trebuchet MS" w:hAnsi="Trebuchet MS"/>
          <w:noProof/>
          <w:sz w:val="16"/>
          <w:szCs w:val="16"/>
        </w:rPr>
        <w:tab/>
        <w:t xml:space="preserve">NHMRC. </w:t>
      </w:r>
      <w:r w:rsidRPr="004B77DE">
        <w:rPr>
          <w:rFonts w:ascii="Trebuchet MS" w:hAnsi="Trebuchet MS"/>
          <w:i/>
          <w:noProof/>
          <w:sz w:val="16"/>
          <w:szCs w:val="16"/>
        </w:rPr>
        <w:t>How to use the Evidence: Assessment and Application of Scientific Evidence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w:t>
      </w:r>
      <w:r w:rsidRPr="004B77DE">
        <w:rPr>
          <w:rFonts w:ascii="Trebuchet MS" w:hAnsi="Trebuchet MS"/>
          <w:noProof/>
          <w:sz w:val="16"/>
          <w:szCs w:val="16"/>
        </w:rPr>
        <w:t>anberra: National Health and Medical Research Council; 2000.</w:t>
      </w:r>
    </w:p>
    <w:p w14:paraId="7DE4E04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w:t>
      </w:r>
      <w:r w:rsidRPr="004B77DE">
        <w:rPr>
          <w:rFonts w:ascii="Trebuchet MS" w:hAnsi="Trebuchet MS"/>
          <w:noProof/>
          <w:sz w:val="16"/>
          <w:szCs w:val="16"/>
        </w:rPr>
        <w:t>.</w:t>
      </w:r>
      <w:r w:rsidRPr="004B77DE">
        <w:rPr>
          <w:rFonts w:ascii="Trebuchet MS" w:hAnsi="Trebuchet MS"/>
          <w:noProof/>
          <w:sz w:val="16"/>
          <w:szCs w:val="16"/>
        </w:rPr>
        <w:tab/>
        <w:t xml:space="preserve">SIGN. </w:t>
      </w:r>
      <w:r w:rsidRPr="004B77DE">
        <w:rPr>
          <w:rFonts w:ascii="Trebuchet MS" w:hAnsi="Trebuchet MS"/>
          <w:i/>
          <w:noProof/>
          <w:sz w:val="16"/>
          <w:szCs w:val="16"/>
        </w:rPr>
        <w:t>Methodology Checklist 1: Systematic Reviews and Meta-analyses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Edinburgh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Scottish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Intercollegiate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Guidelines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Network;</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2004</w:t>
      </w:r>
      <w:r w:rsidRPr="004B77DE">
        <w:rPr>
          <w:rFonts w:ascii="Trebuchet MS" w:hAnsi="Trebuchet MS"/>
          <w:noProof/>
          <w:sz w:val="16"/>
          <w:szCs w:val="16"/>
        </w:rPr>
        <w:t>.</w:t>
      </w:r>
    </w:p>
    <w:p w14:paraId="5630AF1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w:t>
      </w:r>
      <w:r w:rsidRPr="004B77DE">
        <w:rPr>
          <w:rFonts w:ascii="Trebuchet MS" w:hAnsi="Trebuchet MS"/>
          <w:noProof/>
          <w:sz w:val="16"/>
          <w:szCs w:val="16"/>
        </w:rPr>
        <w:t>.</w:t>
      </w:r>
      <w:r w:rsidRPr="004B77DE">
        <w:rPr>
          <w:rFonts w:ascii="Trebuchet MS" w:hAnsi="Trebuchet MS"/>
          <w:noProof/>
          <w:sz w:val="16"/>
          <w:szCs w:val="16"/>
        </w:rPr>
        <w:tab/>
        <w:t xml:space="preserve">Schünemann H, Brożek J, Guyatt G et al. </w:t>
      </w:r>
      <w:r w:rsidRPr="004B77DE">
        <w:rPr>
          <w:rFonts w:ascii="Trebuchet MS" w:hAnsi="Trebuchet MS"/>
          <w:i/>
          <w:noProof/>
          <w:sz w:val="16"/>
          <w:szCs w:val="16"/>
        </w:rPr>
        <w:t>GRADE Handbook for Grading Quality of Evidence and Strength of Recommendations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Grading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Recommendations,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Assessment,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Development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Evaluation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GRADE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Working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Group</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w:t>
      </w:r>
    </w:p>
    <w:p w14:paraId="0A6F292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w:t>
      </w:r>
      <w:r w:rsidRPr="004B77DE">
        <w:rPr>
          <w:rFonts w:ascii="Trebuchet MS" w:hAnsi="Trebuchet MS"/>
          <w:noProof/>
          <w:sz w:val="16"/>
          <w:szCs w:val="16"/>
        </w:rPr>
        <w:t>.</w:t>
      </w:r>
      <w:r w:rsidRPr="004B77DE">
        <w:rPr>
          <w:rFonts w:ascii="Trebuchet MS" w:hAnsi="Trebuchet MS"/>
          <w:noProof/>
          <w:sz w:val="16"/>
          <w:szCs w:val="16"/>
        </w:rPr>
        <w:tab/>
        <w:t xml:space="preserve">Lee A, Belski R, Radcliffe J et al. What do pregnant women know about the healthy eating guidelines for pregnancy? A web-based questionnaire. </w:t>
      </w:r>
      <w:r w:rsidRPr="004B77DE">
        <w:rPr>
          <w:rFonts w:ascii="Trebuchet MS" w:hAnsi="Trebuchet MS"/>
          <w:i/>
          <w:noProof/>
          <w:sz w:val="16"/>
          <w:szCs w:val="16"/>
        </w:rPr>
        <w:t>Matern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2179</w:t>
      </w:r>
      <w:r w:rsidRPr="004B77DE">
        <w:rPr>
          <w:rFonts w:ascii="Trebuchet MS" w:hAnsi="Trebuchet MS"/>
          <w:noProof/>
          <w:sz w:val="16"/>
          <w:szCs w:val="16"/>
        </w:rPr>
        <w:t>-</w:t>
      </w:r>
      <w:r w:rsidRPr="004B77DE">
        <w:rPr>
          <w:rFonts w:ascii="Trebuchet MS" w:eastAsia="Calibri" w:hAnsi="Trebuchet MS" w:cs="Calibri"/>
          <w:noProof/>
          <w:sz w:val="16"/>
          <w:szCs w:val="16"/>
        </w:rPr>
        <w:t>88</w:t>
      </w:r>
      <w:r w:rsidRPr="004B77DE">
        <w:rPr>
          <w:rFonts w:ascii="Trebuchet MS" w:hAnsi="Trebuchet MS"/>
          <w:noProof/>
          <w:sz w:val="16"/>
          <w:szCs w:val="16"/>
        </w:rPr>
        <w:t>.</w:t>
      </w:r>
    </w:p>
    <w:p w14:paraId="7A8455F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w:t>
      </w:r>
      <w:r w:rsidRPr="004B77DE">
        <w:rPr>
          <w:rFonts w:ascii="Trebuchet MS" w:hAnsi="Trebuchet MS"/>
          <w:noProof/>
          <w:sz w:val="16"/>
          <w:szCs w:val="16"/>
        </w:rPr>
        <w:t>.</w:t>
      </w:r>
      <w:r w:rsidRPr="004B77DE">
        <w:rPr>
          <w:rFonts w:ascii="Trebuchet MS" w:hAnsi="Trebuchet MS"/>
          <w:noProof/>
          <w:sz w:val="16"/>
          <w:szCs w:val="16"/>
        </w:rPr>
        <w:tab/>
        <w:t xml:space="preserve">Malek L, Umberger W, Makrides M et al. Adherence to the Australian dietary guidelines during pregnancy: evidence from a national study.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19(7): 1155-63.</w:t>
      </w:r>
    </w:p>
    <w:p w14:paraId="23E9233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hAnsi="Trebuchet MS"/>
          <w:noProof/>
          <w:sz w:val="16"/>
          <w:szCs w:val="16"/>
        </w:rPr>
        <w:tab/>
        <w:t xml:space="preserve">Mishra GD, Schoenaker DA, Mihrshahi S et al. How do women's diets compare with the new Australian dietary guidelines?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218</w:t>
      </w:r>
      <w:r w:rsidRPr="004B77DE">
        <w:rPr>
          <w:rFonts w:ascii="Trebuchet MS" w:hAnsi="Trebuchet MS"/>
          <w:noProof/>
          <w:sz w:val="16"/>
          <w:szCs w:val="16"/>
        </w:rPr>
        <w:t>-</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539621C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hAnsi="Trebuchet MS"/>
          <w:noProof/>
          <w:sz w:val="16"/>
          <w:szCs w:val="16"/>
        </w:rPr>
        <w:tab/>
        <w:t xml:space="preserve">Lee A, Muggli E, Halliday J et al. What do pregnant women eat, and are they meeting the recommended dietary requirements for pregnancy? </w:t>
      </w:r>
      <w:r w:rsidRPr="004B77DE">
        <w:rPr>
          <w:rFonts w:ascii="Trebuchet MS" w:hAnsi="Trebuchet MS"/>
          <w:i/>
          <w:noProof/>
          <w:sz w:val="16"/>
          <w:szCs w:val="16"/>
        </w:rPr>
        <w:t>Midwifery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70</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6DB954E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hAnsi="Trebuchet MS"/>
          <w:noProof/>
          <w:sz w:val="16"/>
          <w:szCs w:val="16"/>
        </w:rPr>
        <w:tab/>
        <w:t xml:space="preserve">Lee A, Newton M, Radcliffe J et al. Pregnancy nutrition knowledge and experiences of pregnant women and antenatal care clinicians: A mixed methods approach. </w:t>
      </w:r>
      <w:r w:rsidRPr="004B77DE">
        <w:rPr>
          <w:rFonts w:ascii="Trebuchet MS" w:hAnsi="Trebuchet MS"/>
          <w:i/>
          <w:noProof/>
          <w:sz w:val="16"/>
          <w:szCs w:val="16"/>
        </w:rPr>
        <w:t>Women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269</w:t>
      </w:r>
      <w:r w:rsidRPr="004B77DE">
        <w:rPr>
          <w:rFonts w:ascii="Trebuchet MS" w:hAnsi="Trebuchet MS"/>
          <w:noProof/>
          <w:sz w:val="16"/>
          <w:szCs w:val="16"/>
        </w:rPr>
        <w:t>-</w:t>
      </w:r>
      <w:r w:rsidRPr="004B77DE">
        <w:rPr>
          <w:rFonts w:ascii="Trebuchet MS" w:eastAsia="Calibri" w:hAnsi="Trebuchet MS" w:cs="Calibri"/>
          <w:noProof/>
          <w:sz w:val="16"/>
          <w:szCs w:val="16"/>
        </w:rPr>
        <w:t>77</w:t>
      </w:r>
      <w:r w:rsidRPr="004B77DE">
        <w:rPr>
          <w:rFonts w:ascii="Trebuchet MS" w:hAnsi="Trebuchet MS"/>
          <w:noProof/>
          <w:sz w:val="16"/>
          <w:szCs w:val="16"/>
        </w:rPr>
        <w:t>.</w:t>
      </w:r>
    </w:p>
    <w:p w14:paraId="15803D5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hAnsi="Trebuchet MS"/>
          <w:noProof/>
          <w:sz w:val="16"/>
          <w:szCs w:val="16"/>
        </w:rPr>
        <w:tab/>
        <w:t xml:space="preserve">Bookari K, Yeatman H, Williamson M. Australian pregnant women's awareness of gestational weight gain and dietary guidelines: opportunity for action. </w:t>
      </w:r>
      <w:r w:rsidRPr="004B77DE">
        <w:rPr>
          <w:rFonts w:ascii="Trebuchet MS" w:hAnsi="Trebuchet MS"/>
          <w:i/>
          <w:noProof/>
          <w:sz w:val="16"/>
          <w:szCs w:val="16"/>
        </w:rPr>
        <w:t>J Pregnancy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8162645</w:t>
      </w:r>
      <w:r w:rsidRPr="004B77DE">
        <w:rPr>
          <w:rFonts w:ascii="Trebuchet MS" w:hAnsi="Trebuchet MS"/>
          <w:noProof/>
          <w:sz w:val="16"/>
          <w:szCs w:val="16"/>
        </w:rPr>
        <w:t>.</w:t>
      </w:r>
    </w:p>
    <w:p w14:paraId="6D436A8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hAnsi="Trebuchet MS"/>
          <w:noProof/>
          <w:sz w:val="16"/>
          <w:szCs w:val="16"/>
        </w:rPr>
        <w:tab/>
        <w:t xml:space="preserve">Bookari K, Yeatman H, Williamson M. Falling short of dietary guidelines - What do Australian pregnant women really know? A cross sectional study. </w:t>
      </w:r>
      <w:r w:rsidRPr="004B77DE">
        <w:rPr>
          <w:rFonts w:ascii="Trebuchet MS" w:hAnsi="Trebuchet MS"/>
          <w:i/>
          <w:noProof/>
          <w:sz w:val="16"/>
          <w:szCs w:val="16"/>
        </w:rPr>
        <w:t>Women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17</w:t>
      </w:r>
      <w:r w:rsidRPr="004B77DE">
        <w:rPr>
          <w:rFonts w:ascii="Trebuchet MS" w:hAnsi="Trebuchet MS"/>
          <w:noProof/>
          <w:sz w:val="16"/>
          <w:szCs w:val="16"/>
        </w:rPr>
        <w:t>.</w:t>
      </w:r>
    </w:p>
    <w:p w14:paraId="66715ED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hAnsi="Trebuchet MS"/>
          <w:noProof/>
          <w:sz w:val="16"/>
          <w:szCs w:val="16"/>
        </w:rPr>
        <w:tab/>
        <w:t xml:space="preserve">McGowan CA, McAuliffe FM. Maternal dietary patterns and associated nutrient intakes during each trimester of pregnancy.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97</w:t>
      </w:r>
      <w:r w:rsidRPr="004B77DE">
        <w:rPr>
          <w:rFonts w:ascii="Trebuchet MS" w:hAnsi="Trebuchet MS"/>
          <w:noProof/>
          <w:sz w:val="16"/>
          <w:szCs w:val="16"/>
        </w:rPr>
        <w:t>-</w:t>
      </w:r>
      <w:r w:rsidRPr="004B77DE">
        <w:rPr>
          <w:rFonts w:ascii="Trebuchet MS" w:eastAsia="Calibri" w:hAnsi="Trebuchet MS" w:cs="Calibri"/>
          <w:noProof/>
          <w:sz w:val="16"/>
          <w:szCs w:val="16"/>
        </w:rPr>
        <w:t>107</w:t>
      </w:r>
      <w:r w:rsidRPr="004B77DE">
        <w:rPr>
          <w:rFonts w:ascii="Trebuchet MS" w:hAnsi="Trebuchet MS"/>
          <w:noProof/>
          <w:sz w:val="16"/>
          <w:szCs w:val="16"/>
        </w:rPr>
        <w:t>.</w:t>
      </w:r>
    </w:p>
    <w:p w14:paraId="0A0D133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hAnsi="Trebuchet MS"/>
          <w:noProof/>
          <w:sz w:val="16"/>
          <w:szCs w:val="16"/>
        </w:rPr>
        <w:tab/>
        <w:t xml:space="preserve">Wall CR, Gammon CS, Bandara DK et al. Dietary Patterns in Pregnancy in New Zealand-Influence of Maternal Socio-Demographic, Health and Lifestyle Factors.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w:t>
      </w:r>
    </w:p>
    <w:p w14:paraId="5F64DCC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w:t>
      </w:r>
      <w:r w:rsidRPr="004B77DE">
        <w:rPr>
          <w:rFonts w:ascii="Trebuchet MS" w:hAnsi="Trebuchet MS"/>
          <w:noProof/>
          <w:sz w:val="16"/>
          <w:szCs w:val="16"/>
        </w:rPr>
        <w:t>.</w:t>
      </w:r>
      <w:r w:rsidRPr="004B77DE">
        <w:rPr>
          <w:rFonts w:ascii="Trebuchet MS" w:hAnsi="Trebuchet MS"/>
          <w:noProof/>
          <w:sz w:val="16"/>
          <w:szCs w:val="16"/>
        </w:rPr>
        <w:tab/>
        <w:t xml:space="preserve">Ashman AM, Brown LJ, Collins CE et al. Factors associated with effective nutrition interventions for pregnant indigenous women: a systematic review. </w:t>
      </w:r>
      <w:r w:rsidRPr="004B77DE">
        <w:rPr>
          <w:rFonts w:ascii="Trebuchet MS" w:hAnsi="Trebuchet MS"/>
          <w:i/>
          <w:noProof/>
          <w:sz w:val="16"/>
          <w:szCs w:val="16"/>
        </w:rPr>
        <w:t>J Acad Nutr Diet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117</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1222</w:t>
      </w:r>
      <w:r w:rsidRPr="004B77DE">
        <w:rPr>
          <w:rFonts w:ascii="Trebuchet MS" w:hAnsi="Trebuchet MS"/>
          <w:noProof/>
          <w:sz w:val="16"/>
          <w:szCs w:val="16"/>
        </w:rPr>
        <w:t>-</w:t>
      </w:r>
      <w:r w:rsidRPr="004B77DE">
        <w:rPr>
          <w:rFonts w:ascii="Trebuchet MS" w:eastAsia="Calibri" w:hAnsi="Trebuchet MS" w:cs="Calibri"/>
          <w:noProof/>
          <w:sz w:val="16"/>
          <w:szCs w:val="16"/>
        </w:rPr>
        <w:t>53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e2</w:t>
      </w:r>
      <w:r w:rsidRPr="004B77DE">
        <w:rPr>
          <w:rFonts w:ascii="Trebuchet MS" w:hAnsi="Trebuchet MS"/>
          <w:noProof/>
          <w:sz w:val="16"/>
          <w:szCs w:val="16"/>
        </w:rPr>
        <w:t>.</w:t>
      </w:r>
    </w:p>
    <w:p w14:paraId="030C138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w:t>
      </w:r>
      <w:r w:rsidRPr="004B77DE">
        <w:rPr>
          <w:rFonts w:ascii="Trebuchet MS" w:hAnsi="Trebuchet MS"/>
          <w:noProof/>
          <w:sz w:val="16"/>
          <w:szCs w:val="16"/>
        </w:rPr>
        <w:t>.</w:t>
      </w:r>
      <w:r w:rsidRPr="004B77DE">
        <w:rPr>
          <w:rFonts w:ascii="Trebuchet MS" w:hAnsi="Trebuchet MS"/>
          <w:noProof/>
          <w:sz w:val="16"/>
          <w:szCs w:val="16"/>
        </w:rPr>
        <w:tab/>
        <w:t xml:space="preserve">Schoenaker DA, Mishra GD, Callaway LK et al. The role of energy, nutrients, foods, and dietary patterns in the development of gestational diabetes mellitus: A systematic review of observational studies. </w:t>
      </w:r>
      <w:r w:rsidRPr="004B77DE">
        <w:rPr>
          <w:rFonts w:ascii="Trebuchet MS" w:hAnsi="Trebuchet MS"/>
          <w:i/>
          <w:noProof/>
          <w:sz w:val="16"/>
          <w:szCs w:val="16"/>
        </w:rPr>
        <w:t>Diabetes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23</w:t>
      </w:r>
      <w:r w:rsidRPr="004B77DE">
        <w:rPr>
          <w:rFonts w:ascii="Trebuchet MS" w:hAnsi="Trebuchet MS"/>
          <w:noProof/>
          <w:sz w:val="16"/>
          <w:szCs w:val="16"/>
        </w:rPr>
        <w:t>.</w:t>
      </w:r>
    </w:p>
    <w:p w14:paraId="348C3F2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hAnsi="Trebuchet MS"/>
          <w:noProof/>
          <w:sz w:val="16"/>
          <w:szCs w:val="16"/>
        </w:rPr>
        <w:tab/>
        <w:t xml:space="preserve">Flynn AC, Seed PT, Patel N et al. Dietary patterns in obese pregnant women; influence of a behavioral intervention of diet and physical activity in the UPBEAT randomized controlled trial. </w:t>
      </w:r>
      <w:r w:rsidRPr="004B77DE">
        <w:rPr>
          <w:rFonts w:ascii="Trebuchet MS" w:hAnsi="Trebuchet MS"/>
          <w:i/>
          <w:noProof/>
          <w:sz w:val="16"/>
          <w:szCs w:val="16"/>
        </w:rPr>
        <w:t>Int J Behav Nutr Phys 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124</w:t>
      </w:r>
      <w:r w:rsidRPr="004B77DE">
        <w:rPr>
          <w:rFonts w:ascii="Trebuchet MS" w:hAnsi="Trebuchet MS"/>
          <w:noProof/>
          <w:sz w:val="16"/>
          <w:szCs w:val="16"/>
        </w:rPr>
        <w:t>.</w:t>
      </w:r>
    </w:p>
    <w:p w14:paraId="765701B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hAnsi="Trebuchet MS"/>
          <w:noProof/>
          <w:sz w:val="16"/>
          <w:szCs w:val="16"/>
        </w:rPr>
        <w:tab/>
        <w:t xml:space="preserve">Zhou X, Chen R, Zhong C et al. Maternal dietary pattern characterised by high protein and low carbohydrate intake in pregnancy is associated with a higher risk of gestational diabetes mellitus in Chinese women: a prospective cohort study.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120</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1045</w:t>
      </w:r>
      <w:r w:rsidRPr="004B77DE">
        <w:rPr>
          <w:rFonts w:ascii="Trebuchet MS" w:hAnsi="Trebuchet MS"/>
          <w:noProof/>
          <w:sz w:val="16"/>
          <w:szCs w:val="16"/>
        </w:rPr>
        <w:t>-</w:t>
      </w:r>
      <w:r w:rsidRPr="004B77DE">
        <w:rPr>
          <w:rFonts w:ascii="Trebuchet MS" w:eastAsia="Calibri" w:hAnsi="Trebuchet MS" w:cs="Calibri"/>
          <w:noProof/>
          <w:sz w:val="16"/>
          <w:szCs w:val="16"/>
        </w:rPr>
        <w:t>55</w:t>
      </w:r>
      <w:r w:rsidRPr="004B77DE">
        <w:rPr>
          <w:rFonts w:ascii="Trebuchet MS" w:hAnsi="Trebuchet MS"/>
          <w:noProof/>
          <w:sz w:val="16"/>
          <w:szCs w:val="16"/>
        </w:rPr>
        <w:t>.</w:t>
      </w:r>
    </w:p>
    <w:p w14:paraId="6EB981B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hAnsi="Trebuchet MS"/>
          <w:noProof/>
          <w:sz w:val="16"/>
          <w:szCs w:val="16"/>
        </w:rPr>
        <w:tab/>
        <w:t xml:space="preserve">Shin D, Lee KW, Song WO. Dietary patterns during pregnancy are associated with risk of gestational diabetes mellitus.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9369</w:t>
      </w:r>
      <w:r w:rsidRPr="004B77DE">
        <w:rPr>
          <w:rFonts w:ascii="Trebuchet MS" w:hAnsi="Trebuchet MS"/>
          <w:noProof/>
          <w:sz w:val="16"/>
          <w:szCs w:val="16"/>
        </w:rPr>
        <w:t>-</w:t>
      </w:r>
      <w:r w:rsidRPr="004B77DE">
        <w:rPr>
          <w:rFonts w:ascii="Trebuchet MS" w:eastAsia="Calibri" w:hAnsi="Trebuchet MS" w:cs="Calibri"/>
          <w:noProof/>
          <w:sz w:val="16"/>
          <w:szCs w:val="16"/>
        </w:rPr>
        <w:t>82</w:t>
      </w:r>
      <w:r w:rsidRPr="004B77DE">
        <w:rPr>
          <w:rFonts w:ascii="Trebuchet MS" w:hAnsi="Trebuchet MS"/>
          <w:noProof/>
          <w:sz w:val="16"/>
          <w:szCs w:val="16"/>
        </w:rPr>
        <w:t>.</w:t>
      </w:r>
    </w:p>
    <w:p w14:paraId="1588A60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hAnsi="Trebuchet MS"/>
          <w:noProof/>
          <w:sz w:val="16"/>
          <w:szCs w:val="16"/>
        </w:rPr>
        <w:tab/>
        <w:t xml:space="preserve">Martin CL, Siega-Riz AM, Sotres-Alvarez D et al. Maternal dietary patterns are associated with lower levels of cardiometabolic markers during pregnancy. </w:t>
      </w:r>
      <w:r w:rsidRPr="004B77DE">
        <w:rPr>
          <w:rFonts w:ascii="Trebuchet MS" w:hAnsi="Trebuchet MS"/>
          <w:i/>
          <w:noProof/>
          <w:sz w:val="16"/>
          <w:szCs w:val="16"/>
        </w:rPr>
        <w:t>Paediatr Perinat Epidemiol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246-55.</w:t>
      </w:r>
    </w:p>
    <w:p w14:paraId="7FDA074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w:t>
      </w:r>
      <w:r w:rsidRPr="004B77DE">
        <w:rPr>
          <w:rFonts w:ascii="Trebuchet MS" w:hAnsi="Trebuchet MS"/>
          <w:noProof/>
          <w:sz w:val="16"/>
          <w:szCs w:val="16"/>
        </w:rPr>
        <w:t>.</w:t>
      </w:r>
      <w:r w:rsidRPr="004B77DE">
        <w:rPr>
          <w:rFonts w:ascii="Trebuchet MS" w:hAnsi="Trebuchet MS"/>
          <w:noProof/>
          <w:sz w:val="16"/>
          <w:szCs w:val="16"/>
        </w:rPr>
        <w:tab/>
        <w:t xml:space="preserve">Sedaghat F, Akhoondan M, Ehteshami M et al. Maternal dietary patterns and gestational diabetes risk: A case-control study. </w:t>
      </w:r>
      <w:r w:rsidRPr="004B77DE">
        <w:rPr>
          <w:rFonts w:ascii="Trebuchet MS" w:hAnsi="Trebuchet MS"/>
          <w:i/>
          <w:noProof/>
          <w:sz w:val="16"/>
          <w:szCs w:val="16"/>
        </w:rPr>
        <w:t>J Diabetes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5173926</w:t>
      </w:r>
      <w:r w:rsidRPr="004B77DE">
        <w:rPr>
          <w:rFonts w:ascii="Trebuchet MS" w:hAnsi="Trebuchet MS"/>
          <w:noProof/>
          <w:sz w:val="16"/>
          <w:szCs w:val="16"/>
        </w:rPr>
        <w:t>.</w:t>
      </w:r>
    </w:p>
    <w:p w14:paraId="6A6C57F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hAnsi="Trebuchet MS"/>
          <w:noProof/>
          <w:sz w:val="16"/>
          <w:szCs w:val="16"/>
        </w:rPr>
        <w:tab/>
        <w:t xml:space="preserve">Zareei S, Homayounfar R, Naghizadeh MM et al. Dietary pattern in pregnancy and risk of gestational diabetes mellitus (GDM). </w:t>
      </w:r>
      <w:r w:rsidRPr="004B77DE">
        <w:rPr>
          <w:rFonts w:ascii="Trebuchet MS" w:hAnsi="Trebuchet MS"/>
          <w:i/>
          <w:noProof/>
          <w:sz w:val="16"/>
          <w:szCs w:val="16"/>
        </w:rPr>
        <w:t>Diabetes Metab Syndr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399</w:t>
      </w:r>
      <w:r w:rsidRPr="004B77DE">
        <w:rPr>
          <w:rFonts w:ascii="Trebuchet MS" w:hAnsi="Trebuchet MS"/>
          <w:noProof/>
          <w:sz w:val="16"/>
          <w:szCs w:val="16"/>
        </w:rPr>
        <w:t>-</w:t>
      </w:r>
      <w:r w:rsidRPr="004B77DE">
        <w:rPr>
          <w:rFonts w:ascii="Trebuchet MS" w:eastAsia="Calibri" w:hAnsi="Trebuchet MS" w:cs="Calibri"/>
          <w:noProof/>
          <w:sz w:val="16"/>
          <w:szCs w:val="16"/>
        </w:rPr>
        <w:t>404</w:t>
      </w:r>
      <w:r w:rsidRPr="004B77DE">
        <w:rPr>
          <w:rFonts w:ascii="Trebuchet MS" w:hAnsi="Trebuchet MS"/>
          <w:noProof/>
          <w:sz w:val="16"/>
          <w:szCs w:val="16"/>
        </w:rPr>
        <w:t>.</w:t>
      </w:r>
    </w:p>
    <w:p w14:paraId="2CE6675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hAnsi="Trebuchet MS"/>
          <w:noProof/>
          <w:sz w:val="16"/>
          <w:szCs w:val="16"/>
        </w:rPr>
        <w:tab/>
        <w:t xml:space="preserve">Schoenaker DA, Soedamah-Muthu SS, Mishra GD. The association between dietary factors and gestational hypertension and pre-eclampsia: a systematic review and meta-analysis of observational studies. </w:t>
      </w:r>
      <w:r w:rsidRPr="004B77DE">
        <w:rPr>
          <w:rFonts w:ascii="Trebuchet MS" w:hAnsi="Trebuchet MS"/>
          <w:i/>
          <w:noProof/>
          <w:sz w:val="16"/>
          <w:szCs w:val="16"/>
        </w:rPr>
        <w:t>BMC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157</w:t>
      </w:r>
      <w:r w:rsidRPr="004B77DE">
        <w:rPr>
          <w:rFonts w:ascii="Trebuchet MS" w:hAnsi="Trebuchet MS"/>
          <w:noProof/>
          <w:sz w:val="16"/>
          <w:szCs w:val="16"/>
        </w:rPr>
        <w:t>.</w:t>
      </w:r>
    </w:p>
    <w:p w14:paraId="72FA2FF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w:t>
      </w:r>
      <w:r w:rsidRPr="004B77DE">
        <w:rPr>
          <w:rFonts w:ascii="Trebuchet MS" w:hAnsi="Trebuchet MS"/>
          <w:noProof/>
          <w:sz w:val="16"/>
          <w:szCs w:val="16"/>
        </w:rPr>
        <w:t>.</w:t>
      </w:r>
      <w:r w:rsidRPr="004B77DE">
        <w:rPr>
          <w:rFonts w:ascii="Trebuchet MS" w:hAnsi="Trebuchet MS"/>
          <w:noProof/>
          <w:sz w:val="16"/>
          <w:szCs w:val="16"/>
        </w:rPr>
        <w:tab/>
        <w:t xml:space="preserve">Ikem E, Halldorsson TI, Birgisdóttir BE et al. Dietary patterns and the risk of pregnancy-associated hypertension in the Danish National Birth Cohort: a prospective longitudinal study.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663</w:t>
      </w:r>
      <w:r w:rsidRPr="004B77DE">
        <w:rPr>
          <w:rFonts w:ascii="Trebuchet MS" w:hAnsi="Trebuchet MS"/>
          <w:noProof/>
          <w:sz w:val="16"/>
          <w:szCs w:val="16"/>
        </w:rPr>
        <w:t>-</w:t>
      </w:r>
      <w:r w:rsidRPr="004B77DE">
        <w:rPr>
          <w:rFonts w:ascii="Trebuchet MS" w:eastAsia="Calibri" w:hAnsi="Trebuchet MS" w:cs="Calibri"/>
          <w:noProof/>
          <w:sz w:val="16"/>
          <w:szCs w:val="16"/>
        </w:rPr>
        <w:t>73</w:t>
      </w:r>
      <w:r w:rsidRPr="004B77DE">
        <w:rPr>
          <w:rFonts w:ascii="Trebuchet MS" w:hAnsi="Trebuchet MS"/>
          <w:noProof/>
          <w:sz w:val="16"/>
          <w:szCs w:val="16"/>
        </w:rPr>
        <w:t>.</w:t>
      </w:r>
    </w:p>
    <w:p w14:paraId="1F5C9C5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hAnsi="Trebuchet MS"/>
          <w:noProof/>
          <w:sz w:val="16"/>
          <w:szCs w:val="16"/>
        </w:rPr>
        <w:tab/>
        <w:t xml:space="preserve">Gresham E, Collins CE, Mishra GD et al. Diet quality before or during pregnancy and the relationship with pregnancy and birth outcomes: the Australian Longitudinal Study on Women's Health.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16</w:t>
      </w:r>
      <w:r w:rsidRPr="004B77DE">
        <w:rPr>
          <w:rFonts w:ascii="Trebuchet MS" w:hAnsi="Trebuchet MS"/>
          <w:noProof/>
          <w:sz w:val="16"/>
          <w:szCs w:val="16"/>
        </w:rPr>
        <w:t>): 2975-83.</w:t>
      </w:r>
    </w:p>
    <w:p w14:paraId="1ACC986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w:t>
      </w:r>
      <w:r w:rsidRPr="004B77DE">
        <w:rPr>
          <w:rFonts w:ascii="Trebuchet MS" w:hAnsi="Trebuchet MS"/>
          <w:noProof/>
          <w:sz w:val="16"/>
          <w:szCs w:val="16"/>
        </w:rPr>
        <w:t>.</w:t>
      </w:r>
      <w:r w:rsidRPr="004B77DE">
        <w:rPr>
          <w:rFonts w:ascii="Trebuchet MS" w:hAnsi="Trebuchet MS"/>
          <w:noProof/>
          <w:sz w:val="16"/>
          <w:szCs w:val="16"/>
        </w:rPr>
        <w:tab/>
        <w:t xml:space="preserve">Miyake Y, Tanaka K, Okubo H et al. Dietary patterns and depressive symptoms during pregnancy in Japan: Baseline data from the Kyushu Okinawa Maternal and Child Health Study. </w:t>
      </w:r>
      <w:r w:rsidRPr="004B77DE">
        <w:rPr>
          <w:rFonts w:ascii="Trebuchet MS" w:hAnsi="Trebuchet MS"/>
          <w:i/>
          <w:noProof/>
          <w:sz w:val="16"/>
          <w:szCs w:val="16"/>
        </w:rPr>
        <w:t>Journal of Affective Disorders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13801D7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w:t>
      </w:r>
      <w:r w:rsidRPr="004B77DE">
        <w:rPr>
          <w:rFonts w:ascii="Trebuchet MS" w:hAnsi="Trebuchet MS"/>
          <w:noProof/>
          <w:sz w:val="16"/>
          <w:szCs w:val="16"/>
        </w:rPr>
        <w:t>.</w:t>
      </w:r>
      <w:r w:rsidRPr="004B77DE">
        <w:rPr>
          <w:rFonts w:ascii="Trebuchet MS" w:hAnsi="Trebuchet MS"/>
          <w:noProof/>
          <w:sz w:val="16"/>
          <w:szCs w:val="16"/>
        </w:rPr>
        <w:tab/>
        <w:t xml:space="preserve">Baskin R, Hill B, Jacka FN et al. Antenatal dietary patterns and depressive symptoms during pregnancy and early post-partum.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1DDBF8F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w:t>
      </w:r>
      <w:r w:rsidRPr="004B77DE">
        <w:rPr>
          <w:rFonts w:ascii="Trebuchet MS" w:hAnsi="Trebuchet MS"/>
          <w:noProof/>
          <w:sz w:val="16"/>
          <w:szCs w:val="16"/>
        </w:rPr>
        <w:t>.</w:t>
      </w:r>
      <w:r w:rsidRPr="004B77DE">
        <w:rPr>
          <w:rFonts w:ascii="Trebuchet MS" w:hAnsi="Trebuchet MS"/>
          <w:noProof/>
          <w:sz w:val="16"/>
          <w:szCs w:val="16"/>
        </w:rPr>
        <w:tab/>
        <w:t xml:space="preserve">Nathanson R, Hill B, Skouteris H et al. Antenatal diet and postpartum depressive symptoms: A prospective study. </w:t>
      </w:r>
      <w:r w:rsidRPr="004B77DE">
        <w:rPr>
          <w:rFonts w:ascii="Trebuchet MS" w:hAnsi="Trebuchet MS"/>
          <w:i/>
          <w:noProof/>
          <w:sz w:val="16"/>
          <w:szCs w:val="16"/>
        </w:rPr>
        <w:t>Midwifery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69</w:t>
      </w:r>
      <w:r w:rsidRPr="004B77DE">
        <w:rPr>
          <w:rFonts w:ascii="Trebuchet MS" w:hAnsi="Trebuchet MS"/>
          <w:noProof/>
          <w:sz w:val="16"/>
          <w:szCs w:val="16"/>
        </w:rPr>
        <w:t>-</w:t>
      </w:r>
      <w:r w:rsidRPr="004B77DE">
        <w:rPr>
          <w:rFonts w:ascii="Trebuchet MS" w:eastAsia="Calibri" w:hAnsi="Trebuchet MS" w:cs="Calibri"/>
          <w:noProof/>
          <w:sz w:val="16"/>
          <w:szCs w:val="16"/>
        </w:rPr>
        <w:t>76</w:t>
      </w:r>
      <w:r w:rsidRPr="004B77DE">
        <w:rPr>
          <w:rFonts w:ascii="Trebuchet MS" w:hAnsi="Trebuchet MS"/>
          <w:noProof/>
          <w:sz w:val="16"/>
          <w:szCs w:val="16"/>
        </w:rPr>
        <w:t>.</w:t>
      </w:r>
    </w:p>
    <w:p w14:paraId="225A0A1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hAnsi="Trebuchet MS"/>
          <w:noProof/>
          <w:sz w:val="16"/>
          <w:szCs w:val="16"/>
        </w:rPr>
        <w:tab/>
        <w:t xml:space="preserve">Raghavan R, Dreibelbis C, Kingshipp BL et al. Dietary patterns before and during pregnancy and birth outcomes: a systematic review.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w:t>
      </w:r>
      <w:r w:rsidRPr="004B77DE">
        <w:rPr>
          <w:rFonts w:ascii="Trebuchet MS" w:hAnsi="Trebuchet MS"/>
          <w:noProof/>
          <w:sz w:val="16"/>
          <w:szCs w:val="16"/>
        </w:rPr>
        <w:t>(</w:t>
      </w:r>
      <w:r w:rsidRPr="004B77DE">
        <w:rPr>
          <w:rFonts w:ascii="Trebuchet MS" w:eastAsia="Calibri" w:hAnsi="Trebuchet MS" w:cs="Calibri"/>
          <w:noProof/>
          <w:sz w:val="16"/>
          <w:szCs w:val="16"/>
        </w:rPr>
        <w:t>Supplement</w:t>
      </w:r>
      <w:r w:rsidRPr="004B77DE">
        <w:rPr>
          <w:rFonts w:ascii="Trebuchet MS" w:hAnsi="Trebuchet MS"/>
          <w:noProof/>
          <w:sz w:val="16"/>
          <w:szCs w:val="16"/>
        </w:rPr>
        <w:t>_</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729S</w:t>
      </w:r>
      <w:r w:rsidRPr="004B77DE">
        <w:rPr>
          <w:rFonts w:ascii="Trebuchet MS" w:hAnsi="Trebuchet MS"/>
          <w:noProof/>
          <w:sz w:val="16"/>
          <w:szCs w:val="16"/>
        </w:rPr>
        <w:t>-</w:t>
      </w:r>
      <w:r w:rsidRPr="004B77DE">
        <w:rPr>
          <w:rFonts w:ascii="Trebuchet MS" w:eastAsia="Calibri" w:hAnsi="Trebuchet MS" w:cs="Calibri"/>
          <w:noProof/>
          <w:sz w:val="16"/>
          <w:szCs w:val="16"/>
        </w:rPr>
        <w:t>56S</w:t>
      </w:r>
      <w:r w:rsidRPr="004B77DE">
        <w:rPr>
          <w:rFonts w:ascii="Trebuchet MS" w:hAnsi="Trebuchet MS"/>
          <w:noProof/>
          <w:sz w:val="16"/>
          <w:szCs w:val="16"/>
        </w:rPr>
        <w:t>.</w:t>
      </w:r>
    </w:p>
    <w:p w14:paraId="595103B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w:t>
      </w:r>
      <w:r w:rsidRPr="004B77DE">
        <w:rPr>
          <w:rFonts w:ascii="Trebuchet MS" w:hAnsi="Trebuchet MS"/>
          <w:noProof/>
          <w:sz w:val="16"/>
          <w:szCs w:val="16"/>
        </w:rPr>
        <w:t>.</w:t>
      </w:r>
      <w:r w:rsidRPr="004B77DE">
        <w:rPr>
          <w:rFonts w:ascii="Trebuchet MS" w:hAnsi="Trebuchet MS"/>
          <w:noProof/>
          <w:sz w:val="16"/>
          <w:szCs w:val="16"/>
        </w:rPr>
        <w:tab/>
        <w:t xml:space="preserve">Chia AR, Chen LW, Lai JS et al. Maternal dietary patterns and birth outcomes: a systematic review and meta-analysis. </w:t>
      </w:r>
      <w:r w:rsidRPr="004B77DE">
        <w:rPr>
          <w:rFonts w:ascii="Trebuchet MS" w:hAnsi="Trebuchet MS"/>
          <w:i/>
          <w:noProof/>
          <w:sz w:val="16"/>
          <w:szCs w:val="16"/>
        </w:rPr>
        <w:t>Adv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685</w:t>
      </w:r>
      <w:r w:rsidRPr="004B77DE">
        <w:rPr>
          <w:rFonts w:ascii="Trebuchet MS" w:hAnsi="Trebuchet MS"/>
          <w:noProof/>
          <w:sz w:val="16"/>
          <w:szCs w:val="16"/>
        </w:rPr>
        <w:t>-</w:t>
      </w:r>
      <w:r w:rsidRPr="004B77DE">
        <w:rPr>
          <w:rFonts w:ascii="Trebuchet MS" w:eastAsia="Calibri" w:hAnsi="Trebuchet MS" w:cs="Calibri"/>
          <w:noProof/>
          <w:sz w:val="16"/>
          <w:szCs w:val="16"/>
        </w:rPr>
        <w:t>95</w:t>
      </w:r>
      <w:r w:rsidRPr="004B77DE">
        <w:rPr>
          <w:rFonts w:ascii="Trebuchet MS" w:hAnsi="Trebuchet MS"/>
          <w:noProof/>
          <w:sz w:val="16"/>
          <w:szCs w:val="16"/>
        </w:rPr>
        <w:t>.</w:t>
      </w:r>
    </w:p>
    <w:p w14:paraId="69062C3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hAnsi="Trebuchet MS"/>
          <w:noProof/>
          <w:sz w:val="16"/>
          <w:szCs w:val="16"/>
        </w:rPr>
        <w:tab/>
        <w:t xml:space="preserve">Rasmussen MA, Maslova E, Halldorsson TI et al. Characterization of dietary patterns in the Danish national birth cohort in relation to preterm birth.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e93644</w:t>
      </w:r>
      <w:r w:rsidRPr="004B77DE">
        <w:rPr>
          <w:rFonts w:ascii="Trebuchet MS" w:hAnsi="Trebuchet MS"/>
          <w:noProof/>
          <w:sz w:val="16"/>
          <w:szCs w:val="16"/>
        </w:rPr>
        <w:t>.</w:t>
      </w:r>
    </w:p>
    <w:p w14:paraId="5735DB8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hAnsi="Trebuchet MS"/>
          <w:noProof/>
          <w:sz w:val="16"/>
          <w:szCs w:val="16"/>
        </w:rPr>
        <w:tab/>
        <w:t xml:space="preserve">Englund-Ogge L, Brantsaeter AL, Sengpiel V et al. Maternal dietary patterns and preterm delivery: results from large prospective cohort study. </w:t>
      </w:r>
      <w:r w:rsidRPr="004B77DE">
        <w:rPr>
          <w:rFonts w:ascii="Trebuchet MS" w:hAnsi="Trebuchet MS"/>
          <w:i/>
          <w:noProof/>
          <w:sz w:val="16"/>
          <w:szCs w:val="16"/>
        </w:rPr>
        <w:t>BMJ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g1446</w:t>
      </w:r>
      <w:r w:rsidRPr="004B77DE">
        <w:rPr>
          <w:rFonts w:ascii="Trebuchet MS" w:hAnsi="Trebuchet MS"/>
          <w:noProof/>
          <w:sz w:val="16"/>
          <w:szCs w:val="16"/>
        </w:rPr>
        <w:t>.</w:t>
      </w:r>
    </w:p>
    <w:p w14:paraId="7FB2E3C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hAnsi="Trebuchet MS"/>
          <w:noProof/>
          <w:sz w:val="16"/>
          <w:szCs w:val="16"/>
        </w:rPr>
        <w:tab/>
        <w:t xml:space="preserve">Englund-Ogge L, Brantsaeter AL, Juodakis J et al. Associations between maternal dietary patterns and infant birth weight, small and large for gestational age in the Norwegian Mother and Child Cohort Study. </w:t>
      </w:r>
      <w:r w:rsidRPr="004B77DE">
        <w:rPr>
          <w:rFonts w:ascii="Trebuchet MS" w:hAnsi="Trebuchet MS"/>
          <w:i/>
          <w:noProof/>
          <w:sz w:val="16"/>
          <w:szCs w:val="16"/>
        </w:rPr>
        <w:t>Eur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1270</w:t>
      </w:r>
      <w:r w:rsidRPr="004B77DE">
        <w:rPr>
          <w:rFonts w:ascii="Trebuchet MS" w:hAnsi="Trebuchet MS"/>
          <w:noProof/>
          <w:sz w:val="16"/>
          <w:szCs w:val="16"/>
        </w:rPr>
        <w:t>-</w:t>
      </w:r>
      <w:r w:rsidRPr="004B77DE">
        <w:rPr>
          <w:rFonts w:ascii="Trebuchet MS" w:eastAsia="Calibri" w:hAnsi="Trebuchet MS" w:cs="Calibri"/>
          <w:noProof/>
          <w:sz w:val="16"/>
          <w:szCs w:val="16"/>
        </w:rPr>
        <w:t>82</w:t>
      </w:r>
      <w:r w:rsidRPr="004B77DE">
        <w:rPr>
          <w:rFonts w:ascii="Trebuchet MS" w:hAnsi="Trebuchet MS"/>
          <w:noProof/>
          <w:sz w:val="16"/>
          <w:szCs w:val="16"/>
        </w:rPr>
        <w:t>.</w:t>
      </w:r>
    </w:p>
    <w:p w14:paraId="4CF3491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hAnsi="Trebuchet MS"/>
          <w:noProof/>
          <w:sz w:val="16"/>
          <w:szCs w:val="16"/>
        </w:rPr>
        <w:tab/>
        <w:t xml:space="preserve">Englund-Ogge L, Birgisdottir BE, Sengpiel V et al. Meal frequency patterns and glycemic properties of maternal diet in relation to preterm delivery: Results from a large prospective cohort study.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e0172896</w:t>
      </w:r>
      <w:r w:rsidRPr="004B77DE">
        <w:rPr>
          <w:rFonts w:ascii="Trebuchet MS" w:hAnsi="Trebuchet MS"/>
          <w:noProof/>
          <w:sz w:val="16"/>
          <w:szCs w:val="16"/>
        </w:rPr>
        <w:t>.</w:t>
      </w:r>
    </w:p>
    <w:p w14:paraId="532610D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w:t>
      </w:r>
      <w:r w:rsidRPr="004B77DE">
        <w:rPr>
          <w:rFonts w:ascii="Trebuchet MS" w:hAnsi="Trebuchet MS"/>
          <w:noProof/>
          <w:sz w:val="16"/>
          <w:szCs w:val="16"/>
        </w:rPr>
        <w:t>.</w:t>
      </w:r>
      <w:r w:rsidRPr="004B77DE">
        <w:rPr>
          <w:rFonts w:ascii="Trebuchet MS" w:hAnsi="Trebuchet MS"/>
          <w:noProof/>
          <w:sz w:val="16"/>
          <w:szCs w:val="16"/>
        </w:rPr>
        <w:tab/>
        <w:t xml:space="preserve">Chia AR, Tint MT, Han CY et al. Adherence to a healthy eating index for pregnant women is associated with lower neonatal adiposity in a multiethnic Asian cohort: the Growing Up in Singapore Towards healthy Outcomes (GUSTO) Study.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504F188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hAnsi="Trebuchet MS"/>
          <w:noProof/>
          <w:sz w:val="16"/>
          <w:szCs w:val="16"/>
        </w:rPr>
        <w:tab/>
        <w:t xml:space="preserve">Emond JA, Karagas MR, Baker ER et al. Better diet quality during pregnancy is associated with a reduced likelihood of an infant born small for gestational age: an analysis of the prospective New Hampshire Birth Cohort Study.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30</w:t>
      </w:r>
      <w:r w:rsidRPr="004B77DE">
        <w:rPr>
          <w:rFonts w:ascii="Trebuchet MS" w:hAnsi="Trebuchet MS"/>
          <w:noProof/>
          <w:sz w:val="16"/>
          <w:szCs w:val="16"/>
        </w:rPr>
        <w:t>.</w:t>
      </w:r>
    </w:p>
    <w:p w14:paraId="6FDA3DF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w:t>
      </w:r>
      <w:r w:rsidRPr="004B77DE">
        <w:rPr>
          <w:rFonts w:ascii="Trebuchet MS" w:hAnsi="Trebuchet MS"/>
          <w:noProof/>
          <w:sz w:val="16"/>
          <w:szCs w:val="16"/>
        </w:rPr>
        <w:t>.</w:t>
      </w:r>
      <w:r w:rsidRPr="004B77DE">
        <w:rPr>
          <w:rFonts w:ascii="Trebuchet MS" w:hAnsi="Trebuchet MS"/>
          <w:noProof/>
          <w:sz w:val="16"/>
          <w:szCs w:val="16"/>
        </w:rPr>
        <w:tab/>
        <w:t xml:space="preserve">Borge TC, Aase H, Brantsaeter AL et al. The importance of maternal diet quality during pregnancy on cognitive and behavioural outcomes in children: a systematic review and meta-analysis. </w:t>
      </w:r>
      <w:r w:rsidRPr="004B77DE">
        <w:rPr>
          <w:rFonts w:ascii="Trebuchet MS" w:hAnsi="Trebuchet MS"/>
          <w:i/>
          <w:noProof/>
          <w:sz w:val="16"/>
          <w:szCs w:val="16"/>
        </w:rPr>
        <w:t>BMJ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e016777</w:t>
      </w:r>
      <w:r w:rsidRPr="004B77DE">
        <w:rPr>
          <w:rFonts w:ascii="Trebuchet MS" w:hAnsi="Trebuchet MS"/>
          <w:noProof/>
          <w:sz w:val="16"/>
          <w:szCs w:val="16"/>
        </w:rPr>
        <w:t>.</w:t>
      </w:r>
    </w:p>
    <w:p w14:paraId="041CDAB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w:t>
      </w:r>
      <w:r w:rsidRPr="004B77DE">
        <w:rPr>
          <w:rFonts w:ascii="Trebuchet MS" w:hAnsi="Trebuchet MS"/>
          <w:noProof/>
          <w:sz w:val="16"/>
          <w:szCs w:val="16"/>
        </w:rPr>
        <w:t>.</w:t>
      </w:r>
      <w:r w:rsidRPr="004B77DE">
        <w:rPr>
          <w:rFonts w:ascii="Trebuchet MS" w:hAnsi="Trebuchet MS"/>
          <w:noProof/>
          <w:sz w:val="16"/>
          <w:szCs w:val="16"/>
        </w:rPr>
        <w:tab/>
        <w:t xml:space="preserve">Martin CL, Sotres-Alvarez D, Siega-Riz AM. Maternal dietary patterns during the second trimester are associated with preterm birth.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145</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1857</w:t>
      </w:r>
      <w:r w:rsidRPr="004B77DE">
        <w:rPr>
          <w:rFonts w:ascii="Trebuchet MS" w:hAnsi="Trebuchet MS"/>
          <w:noProof/>
          <w:sz w:val="16"/>
          <w:szCs w:val="16"/>
        </w:rPr>
        <w:t>-</w:t>
      </w:r>
      <w:r w:rsidRPr="004B77DE">
        <w:rPr>
          <w:rFonts w:ascii="Trebuchet MS" w:eastAsia="Calibri" w:hAnsi="Trebuchet MS" w:cs="Calibri"/>
          <w:noProof/>
          <w:sz w:val="16"/>
          <w:szCs w:val="16"/>
        </w:rPr>
        <w:t>64</w:t>
      </w:r>
      <w:r w:rsidRPr="004B77DE">
        <w:rPr>
          <w:rFonts w:ascii="Trebuchet MS" w:hAnsi="Trebuchet MS"/>
          <w:noProof/>
          <w:sz w:val="16"/>
          <w:szCs w:val="16"/>
        </w:rPr>
        <w:t>.</w:t>
      </w:r>
    </w:p>
    <w:p w14:paraId="1B4C63D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w:t>
      </w:r>
      <w:r w:rsidRPr="004B77DE">
        <w:rPr>
          <w:rFonts w:ascii="Trebuchet MS" w:hAnsi="Trebuchet MS"/>
          <w:noProof/>
          <w:sz w:val="16"/>
          <w:szCs w:val="16"/>
        </w:rPr>
        <w:t>.</w:t>
      </w:r>
      <w:r w:rsidRPr="004B77DE">
        <w:rPr>
          <w:rFonts w:ascii="Trebuchet MS" w:hAnsi="Trebuchet MS"/>
          <w:noProof/>
          <w:sz w:val="16"/>
          <w:szCs w:val="16"/>
        </w:rPr>
        <w:tab/>
        <w:t xml:space="preserve">Loo EXL, Ong L, Goh A et al. Effect of maternal dietary patterns during pregnancy on self-reported allergic diseases in the first 3 years of life: Results from the GUSTO study. </w:t>
      </w:r>
      <w:r w:rsidRPr="004B77DE">
        <w:rPr>
          <w:rFonts w:ascii="Trebuchet MS" w:hAnsi="Trebuchet MS"/>
          <w:i/>
          <w:noProof/>
          <w:sz w:val="16"/>
          <w:szCs w:val="16"/>
        </w:rPr>
        <w:t>Int Arch Allergy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105</w:t>
      </w:r>
      <w:r w:rsidRPr="004B77DE">
        <w:rPr>
          <w:rFonts w:ascii="Trebuchet MS" w:hAnsi="Trebuchet MS"/>
          <w:noProof/>
          <w:sz w:val="16"/>
          <w:szCs w:val="16"/>
        </w:rPr>
        <w:t>-</w:t>
      </w:r>
      <w:r w:rsidRPr="004B77DE">
        <w:rPr>
          <w:rFonts w:ascii="Trebuchet MS" w:eastAsia="Calibri" w:hAnsi="Trebuchet MS" w:cs="Calibri"/>
          <w:noProof/>
          <w:sz w:val="16"/>
          <w:szCs w:val="16"/>
        </w:rPr>
        <w:t>13</w:t>
      </w:r>
      <w:r w:rsidRPr="004B77DE">
        <w:rPr>
          <w:rFonts w:ascii="Trebuchet MS" w:hAnsi="Trebuchet MS"/>
          <w:noProof/>
          <w:sz w:val="16"/>
          <w:szCs w:val="16"/>
        </w:rPr>
        <w:t>.</w:t>
      </w:r>
    </w:p>
    <w:p w14:paraId="05D3095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hAnsi="Trebuchet MS"/>
          <w:noProof/>
          <w:sz w:val="16"/>
          <w:szCs w:val="16"/>
        </w:rPr>
        <w:tab/>
        <w:t xml:space="preserve">van den Broek M, Leermakers ETM, Jaddoe VWV et al. Maternal dietary patterns during pregnancy and body composition of the child at age 6 y: the Generation R Study. </w:t>
      </w:r>
      <w:r w:rsidRPr="004B77DE">
        <w:rPr>
          <w:rFonts w:ascii="Trebuchet MS" w:hAnsi="Trebuchet MS"/>
          <w:i/>
          <w:noProof/>
          <w:sz w:val="16"/>
          <w:szCs w:val="16"/>
        </w:rPr>
        <w:t>The American Journal of Clinical Nutrition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873</w:t>
      </w:r>
      <w:r w:rsidRPr="004B77DE">
        <w:rPr>
          <w:rFonts w:ascii="Trebuchet MS" w:hAnsi="Trebuchet MS"/>
          <w:noProof/>
          <w:sz w:val="16"/>
          <w:szCs w:val="16"/>
        </w:rPr>
        <w:t>-</w:t>
      </w:r>
      <w:r w:rsidRPr="004B77DE">
        <w:rPr>
          <w:rFonts w:ascii="Trebuchet MS" w:eastAsia="Calibri" w:hAnsi="Trebuchet MS" w:cs="Calibri"/>
          <w:noProof/>
          <w:sz w:val="16"/>
          <w:szCs w:val="16"/>
        </w:rPr>
        <w:t>80</w:t>
      </w:r>
      <w:r w:rsidRPr="004B77DE">
        <w:rPr>
          <w:rFonts w:ascii="Trebuchet MS" w:hAnsi="Trebuchet MS"/>
          <w:noProof/>
          <w:sz w:val="16"/>
          <w:szCs w:val="16"/>
        </w:rPr>
        <w:t>.</w:t>
      </w:r>
    </w:p>
    <w:p w14:paraId="0BB5751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w:t>
      </w:r>
      <w:r w:rsidRPr="004B77DE">
        <w:rPr>
          <w:rFonts w:ascii="Trebuchet MS" w:hAnsi="Trebuchet MS"/>
          <w:noProof/>
          <w:sz w:val="16"/>
          <w:szCs w:val="16"/>
        </w:rPr>
        <w:t>.</w:t>
      </w:r>
      <w:r w:rsidRPr="004B77DE">
        <w:rPr>
          <w:rFonts w:ascii="Trebuchet MS" w:hAnsi="Trebuchet MS"/>
          <w:noProof/>
          <w:sz w:val="16"/>
          <w:szCs w:val="16"/>
        </w:rPr>
        <w:tab/>
        <w:t xml:space="preserve">Leermakers ETM, Tielemans MJ, van den Broek M et al. Maternal dietary patterns during pregnancy and offspring cardiometabolic health at age 6 years: The generation R study. </w:t>
      </w:r>
      <w:r w:rsidRPr="004B77DE">
        <w:rPr>
          <w:rFonts w:ascii="Trebuchet MS" w:hAnsi="Trebuchet MS"/>
          <w:i/>
          <w:noProof/>
          <w:sz w:val="16"/>
          <w:szCs w:val="16"/>
        </w:rPr>
        <w:t>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477</w:t>
      </w:r>
      <w:r w:rsidRPr="004B77DE">
        <w:rPr>
          <w:rFonts w:ascii="Trebuchet MS" w:hAnsi="Trebuchet MS"/>
          <w:noProof/>
          <w:sz w:val="16"/>
          <w:szCs w:val="16"/>
        </w:rPr>
        <w:t>-</w:t>
      </w:r>
      <w:r w:rsidRPr="004B77DE">
        <w:rPr>
          <w:rFonts w:ascii="Trebuchet MS" w:eastAsia="Calibri" w:hAnsi="Trebuchet MS" w:cs="Calibri"/>
          <w:noProof/>
          <w:sz w:val="16"/>
          <w:szCs w:val="16"/>
        </w:rPr>
        <w:t>84</w:t>
      </w:r>
      <w:r w:rsidRPr="004B77DE">
        <w:rPr>
          <w:rFonts w:ascii="Trebuchet MS" w:hAnsi="Trebuchet MS"/>
          <w:noProof/>
          <w:sz w:val="16"/>
          <w:szCs w:val="16"/>
        </w:rPr>
        <w:t>.</w:t>
      </w:r>
    </w:p>
    <w:p w14:paraId="63E0812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w:t>
      </w:r>
      <w:r w:rsidRPr="004B77DE">
        <w:rPr>
          <w:rFonts w:ascii="Trebuchet MS" w:hAnsi="Trebuchet MS"/>
          <w:noProof/>
          <w:sz w:val="16"/>
          <w:szCs w:val="16"/>
        </w:rPr>
        <w:t>.</w:t>
      </w:r>
      <w:r w:rsidRPr="004B77DE">
        <w:rPr>
          <w:rFonts w:ascii="Trebuchet MS" w:hAnsi="Trebuchet MS"/>
          <w:noProof/>
          <w:sz w:val="16"/>
          <w:szCs w:val="16"/>
        </w:rPr>
        <w:tab/>
        <w:t xml:space="preserve">Pham NM, Do VV, Lee AH. Polyphenol-rich foods and risk of gestational diabetes: a systematic review and meta-analysis. </w:t>
      </w:r>
      <w:r w:rsidRPr="004B77DE">
        <w:rPr>
          <w:rFonts w:ascii="Trebuchet MS" w:hAnsi="Trebuchet MS"/>
          <w:i/>
          <w:noProof/>
          <w:sz w:val="16"/>
          <w:szCs w:val="16"/>
        </w:rPr>
        <w:t>Eur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647</w:t>
      </w:r>
      <w:r w:rsidRPr="004B77DE">
        <w:rPr>
          <w:rFonts w:ascii="Trebuchet MS" w:hAnsi="Trebuchet MS"/>
          <w:noProof/>
          <w:sz w:val="16"/>
          <w:szCs w:val="16"/>
        </w:rPr>
        <w:t>-</w:t>
      </w:r>
      <w:r w:rsidRPr="004B77DE">
        <w:rPr>
          <w:rFonts w:ascii="Trebuchet MS" w:eastAsia="Calibri" w:hAnsi="Trebuchet MS" w:cs="Calibri"/>
          <w:noProof/>
          <w:sz w:val="16"/>
          <w:szCs w:val="16"/>
        </w:rPr>
        <w:t>56</w:t>
      </w:r>
      <w:r w:rsidRPr="004B77DE">
        <w:rPr>
          <w:rFonts w:ascii="Trebuchet MS" w:hAnsi="Trebuchet MS"/>
          <w:noProof/>
          <w:sz w:val="16"/>
          <w:szCs w:val="16"/>
        </w:rPr>
        <w:t>.</w:t>
      </w:r>
    </w:p>
    <w:p w14:paraId="00FB4FE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w:t>
      </w:r>
      <w:r w:rsidRPr="004B77DE">
        <w:rPr>
          <w:rFonts w:ascii="Trebuchet MS" w:hAnsi="Trebuchet MS"/>
          <w:noProof/>
          <w:sz w:val="16"/>
          <w:szCs w:val="16"/>
        </w:rPr>
        <w:t>.</w:t>
      </w:r>
      <w:r w:rsidRPr="004B77DE">
        <w:rPr>
          <w:rFonts w:ascii="Trebuchet MS" w:hAnsi="Trebuchet MS"/>
          <w:noProof/>
          <w:sz w:val="16"/>
          <w:szCs w:val="16"/>
        </w:rPr>
        <w:tab/>
        <w:t xml:space="preserve">Zhang Y, Lin J, Fu W et al. Mediterranean diet during pregnancy and childhood for asthma in children: A systematic review and meta-analysis of observational studies. </w:t>
      </w:r>
      <w:r w:rsidRPr="004B77DE">
        <w:rPr>
          <w:rFonts w:ascii="Trebuchet MS" w:hAnsi="Trebuchet MS"/>
          <w:i/>
          <w:noProof/>
          <w:sz w:val="16"/>
          <w:szCs w:val="16"/>
        </w:rPr>
        <w:t>Pediatr Pulmonol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54</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949</w:t>
      </w:r>
      <w:r w:rsidRPr="004B77DE">
        <w:rPr>
          <w:rFonts w:ascii="Trebuchet MS" w:hAnsi="Trebuchet MS"/>
          <w:noProof/>
          <w:sz w:val="16"/>
          <w:szCs w:val="16"/>
        </w:rPr>
        <w:t>-</w:t>
      </w:r>
      <w:r w:rsidRPr="004B77DE">
        <w:rPr>
          <w:rFonts w:ascii="Trebuchet MS" w:eastAsia="Calibri" w:hAnsi="Trebuchet MS" w:cs="Calibri"/>
          <w:noProof/>
          <w:sz w:val="16"/>
          <w:szCs w:val="16"/>
        </w:rPr>
        <w:t>61</w:t>
      </w:r>
      <w:r w:rsidRPr="004B77DE">
        <w:rPr>
          <w:rFonts w:ascii="Trebuchet MS" w:hAnsi="Trebuchet MS"/>
          <w:noProof/>
          <w:sz w:val="16"/>
          <w:szCs w:val="16"/>
        </w:rPr>
        <w:t>.</w:t>
      </w:r>
    </w:p>
    <w:p w14:paraId="5F8F629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w:t>
      </w:r>
      <w:r w:rsidRPr="004B77DE">
        <w:rPr>
          <w:rFonts w:ascii="Trebuchet MS" w:hAnsi="Trebuchet MS"/>
          <w:noProof/>
          <w:sz w:val="16"/>
          <w:szCs w:val="16"/>
        </w:rPr>
        <w:t>.</w:t>
      </w:r>
      <w:r w:rsidRPr="004B77DE">
        <w:rPr>
          <w:rFonts w:ascii="Trebuchet MS" w:hAnsi="Trebuchet MS"/>
          <w:noProof/>
          <w:sz w:val="16"/>
          <w:szCs w:val="16"/>
        </w:rPr>
        <w:tab/>
        <w:t xml:space="preserve">Assaf-Balut C, Garcia de la Torre N, Duran A et al. A Mediterranean diet with additional extra virgin olive oil and pistachios reduces the incidence of gestational diabetes mellitus (GDM): A randomized controlled trial: The St. Carlos GDM prevention study.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e0185873</w:t>
      </w:r>
      <w:r w:rsidRPr="004B77DE">
        <w:rPr>
          <w:rFonts w:ascii="Trebuchet MS" w:hAnsi="Trebuchet MS"/>
          <w:noProof/>
          <w:sz w:val="16"/>
          <w:szCs w:val="16"/>
        </w:rPr>
        <w:t>.</w:t>
      </w:r>
    </w:p>
    <w:p w14:paraId="304865E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hAnsi="Trebuchet MS"/>
          <w:noProof/>
          <w:sz w:val="16"/>
          <w:szCs w:val="16"/>
        </w:rPr>
        <w:tab/>
        <w:t xml:space="preserve">Assaf-Balut C, Garcia de la Torre N, Fuentes M et al. A high adherence to six food targets of the Mediterranean diet in the late first trimester is associated with a reduction in the risk of materno-foetal outcomes: The St. Carlos Gestational Diabetes Mellitus Prevention Study.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6DC5EA9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w:t>
      </w:r>
      <w:r w:rsidRPr="004B77DE">
        <w:rPr>
          <w:rFonts w:ascii="Trebuchet MS" w:hAnsi="Trebuchet MS"/>
          <w:noProof/>
          <w:sz w:val="16"/>
          <w:szCs w:val="16"/>
        </w:rPr>
        <w:t>.</w:t>
      </w:r>
      <w:r w:rsidRPr="004B77DE">
        <w:rPr>
          <w:rFonts w:ascii="Trebuchet MS" w:hAnsi="Trebuchet MS"/>
          <w:noProof/>
          <w:sz w:val="16"/>
          <w:szCs w:val="16"/>
        </w:rPr>
        <w:tab/>
        <w:t xml:space="preserve">Assaf-Balut C, Garcia de la Torre N, Duran A et al. A Mediterranean diet with an enhanced consumption of extra virgin olive oil and pistachios improves pregnancy outcomes in women without gestational diabetes mellitus: a sub-analysis of the St. Carlos Gestational Diabetes Mellitus Prevention Study. </w:t>
      </w:r>
      <w:r w:rsidRPr="004B77DE">
        <w:rPr>
          <w:rFonts w:ascii="Trebuchet MS" w:hAnsi="Trebuchet MS"/>
          <w:i/>
          <w:noProof/>
          <w:sz w:val="16"/>
          <w:szCs w:val="16"/>
        </w:rPr>
        <w:t>Ann Nutr Metab</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4(1): 69-79.</w:t>
      </w:r>
    </w:p>
    <w:p w14:paraId="4258D6B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w:t>
      </w:r>
      <w:r w:rsidRPr="004B77DE">
        <w:rPr>
          <w:rFonts w:ascii="Trebuchet MS" w:hAnsi="Trebuchet MS"/>
          <w:noProof/>
          <w:sz w:val="16"/>
          <w:szCs w:val="16"/>
        </w:rPr>
        <w:t>.</w:t>
      </w:r>
      <w:r w:rsidRPr="004B77DE">
        <w:rPr>
          <w:rFonts w:ascii="Trebuchet MS" w:hAnsi="Trebuchet MS"/>
          <w:noProof/>
          <w:sz w:val="16"/>
          <w:szCs w:val="16"/>
        </w:rPr>
        <w:tab/>
        <w:t xml:space="preserve">Martínez-Galiano J, Olmedo-Requena R, Barrios-Rodríguez R et al. Effect of adherence to a Mediterranean diet and olive oil intake during pregnancy on risk of small for gestational age infants.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40DC60A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w:t>
      </w:r>
      <w:r w:rsidRPr="004B77DE">
        <w:rPr>
          <w:rFonts w:ascii="Trebuchet MS" w:hAnsi="Trebuchet MS"/>
          <w:noProof/>
          <w:sz w:val="16"/>
          <w:szCs w:val="16"/>
        </w:rPr>
        <w:t>.</w:t>
      </w:r>
      <w:r w:rsidRPr="004B77DE">
        <w:rPr>
          <w:rFonts w:ascii="Trebuchet MS" w:hAnsi="Trebuchet MS"/>
          <w:noProof/>
          <w:sz w:val="16"/>
          <w:szCs w:val="16"/>
        </w:rPr>
        <w:tab/>
        <w:t xml:space="preserve">Smith LK, Draper ES, Evans TA et al. Associations between late and moderately preterm birth and smoking, alcohol, drug use and diet: a population-based case-cohort study. </w:t>
      </w:r>
      <w:r w:rsidRPr="004B77DE">
        <w:rPr>
          <w:rFonts w:ascii="Trebuchet MS" w:hAnsi="Trebuchet MS"/>
          <w:i/>
          <w:noProof/>
          <w:sz w:val="16"/>
          <w:szCs w:val="16"/>
        </w:rPr>
        <w:t>Arch Dis Child Fetal Neonatal 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100</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F486</w:t>
      </w:r>
      <w:r w:rsidRPr="004B77DE">
        <w:rPr>
          <w:rFonts w:ascii="Trebuchet MS" w:hAnsi="Trebuchet MS"/>
          <w:noProof/>
          <w:sz w:val="16"/>
          <w:szCs w:val="16"/>
        </w:rPr>
        <w:t>-</w:t>
      </w:r>
      <w:r w:rsidRPr="004B77DE">
        <w:rPr>
          <w:rFonts w:ascii="Trebuchet MS" w:eastAsia="Calibri" w:hAnsi="Trebuchet MS" w:cs="Calibri"/>
          <w:noProof/>
          <w:sz w:val="16"/>
          <w:szCs w:val="16"/>
        </w:rPr>
        <w:t>91</w:t>
      </w:r>
      <w:r w:rsidRPr="004B77DE">
        <w:rPr>
          <w:rFonts w:ascii="Trebuchet MS" w:hAnsi="Trebuchet MS"/>
          <w:noProof/>
          <w:sz w:val="16"/>
          <w:szCs w:val="16"/>
        </w:rPr>
        <w:t>.</w:t>
      </w:r>
    </w:p>
    <w:p w14:paraId="5CB9830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w:t>
      </w:r>
      <w:r w:rsidRPr="004B77DE">
        <w:rPr>
          <w:rFonts w:ascii="Trebuchet MS" w:hAnsi="Trebuchet MS"/>
          <w:noProof/>
          <w:sz w:val="16"/>
          <w:szCs w:val="16"/>
        </w:rPr>
        <w:t>.</w:t>
      </w:r>
      <w:r w:rsidRPr="004B77DE">
        <w:rPr>
          <w:rFonts w:ascii="Trebuchet MS" w:hAnsi="Trebuchet MS"/>
          <w:noProof/>
          <w:sz w:val="16"/>
          <w:szCs w:val="16"/>
        </w:rPr>
        <w:tab/>
        <w:t xml:space="preserve">Saunders L, Guldner L, Costet N et al. Effect of a Mediterranean diet during pregnancy on fetal growth and preterm delivery: results from a French Caribbean Mother-Child Cohort Study (TIMOUN). </w:t>
      </w:r>
      <w:r w:rsidRPr="004B77DE">
        <w:rPr>
          <w:rFonts w:ascii="Trebuchet MS" w:hAnsi="Trebuchet MS"/>
          <w:i/>
          <w:noProof/>
          <w:sz w:val="16"/>
          <w:szCs w:val="16"/>
        </w:rPr>
        <w:t>Paediatr Perinat Epidemiol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235</w:t>
      </w:r>
      <w:r w:rsidRPr="004B77DE">
        <w:rPr>
          <w:rFonts w:ascii="Trebuchet MS" w:hAnsi="Trebuchet MS"/>
          <w:noProof/>
          <w:sz w:val="16"/>
          <w:szCs w:val="16"/>
        </w:rPr>
        <w:t>-</w:t>
      </w:r>
      <w:r w:rsidRPr="004B77DE">
        <w:rPr>
          <w:rFonts w:ascii="Trebuchet MS" w:eastAsia="Calibri" w:hAnsi="Trebuchet MS" w:cs="Calibri"/>
          <w:noProof/>
          <w:sz w:val="16"/>
          <w:szCs w:val="16"/>
        </w:rPr>
        <w:t>44</w:t>
      </w:r>
      <w:r w:rsidRPr="004B77DE">
        <w:rPr>
          <w:rFonts w:ascii="Trebuchet MS" w:hAnsi="Trebuchet MS"/>
          <w:noProof/>
          <w:sz w:val="16"/>
          <w:szCs w:val="16"/>
        </w:rPr>
        <w:t>.</w:t>
      </w:r>
    </w:p>
    <w:p w14:paraId="0FB0820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w:t>
      </w:r>
      <w:r w:rsidRPr="004B77DE">
        <w:rPr>
          <w:rFonts w:ascii="Trebuchet MS" w:hAnsi="Trebuchet MS"/>
          <w:noProof/>
          <w:sz w:val="16"/>
          <w:szCs w:val="16"/>
        </w:rPr>
        <w:t>.</w:t>
      </w:r>
      <w:r w:rsidRPr="004B77DE">
        <w:rPr>
          <w:rFonts w:ascii="Trebuchet MS" w:hAnsi="Trebuchet MS"/>
          <w:noProof/>
          <w:sz w:val="16"/>
          <w:szCs w:val="16"/>
        </w:rPr>
        <w:tab/>
        <w:t xml:space="preserve">Chatzi L, Rifas-Shiman SL, Georgiou V et al. Adherence to the Mediterranean diet during pregnancy and offspring adiposity and cardiometabolic traits in childhood. </w:t>
      </w:r>
      <w:r w:rsidRPr="004B77DE">
        <w:rPr>
          <w:rFonts w:ascii="Trebuchet MS" w:hAnsi="Trebuchet MS"/>
          <w:i/>
          <w:noProof/>
          <w:sz w:val="16"/>
          <w:szCs w:val="16"/>
        </w:rPr>
        <w:t>Pediatr Obes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Suppl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w:t>
      </w:r>
      <w:r w:rsidRPr="004B77DE">
        <w:rPr>
          <w:rFonts w:ascii="Trebuchet MS" w:eastAsia="Calibri" w:hAnsi="Trebuchet MS" w:cs="Calibri"/>
          <w:noProof/>
          <w:sz w:val="16"/>
          <w:szCs w:val="16"/>
        </w:rPr>
        <w:t>56</w:t>
      </w:r>
      <w:r w:rsidRPr="004B77DE">
        <w:rPr>
          <w:rFonts w:ascii="Trebuchet MS" w:hAnsi="Trebuchet MS"/>
          <w:noProof/>
          <w:sz w:val="16"/>
          <w:szCs w:val="16"/>
        </w:rPr>
        <w:t>.</w:t>
      </w:r>
    </w:p>
    <w:p w14:paraId="019ABD0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w:t>
      </w:r>
      <w:r w:rsidRPr="004B77DE">
        <w:rPr>
          <w:rFonts w:ascii="Trebuchet MS" w:hAnsi="Trebuchet MS"/>
          <w:noProof/>
          <w:sz w:val="16"/>
          <w:szCs w:val="16"/>
        </w:rPr>
        <w:t>.</w:t>
      </w:r>
      <w:r w:rsidRPr="004B77DE">
        <w:rPr>
          <w:rFonts w:ascii="Trebuchet MS" w:hAnsi="Trebuchet MS"/>
          <w:noProof/>
          <w:sz w:val="16"/>
          <w:szCs w:val="16"/>
        </w:rPr>
        <w:tab/>
        <w:t xml:space="preserve">Fernandez-Barres S, Romaguera D, Valvi D et al. Mediterranean dietary pattern in pregnant women and offspring risk of overweight and abdominal obesity in early childhood: the INMA birth cohort study. </w:t>
      </w:r>
      <w:r w:rsidRPr="004B77DE">
        <w:rPr>
          <w:rFonts w:ascii="Trebuchet MS" w:hAnsi="Trebuchet MS"/>
          <w:i/>
          <w:noProof/>
          <w:sz w:val="16"/>
          <w:szCs w:val="16"/>
        </w:rPr>
        <w:t>Pediatr Obes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3729CDE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w:t>
      </w:r>
      <w:r w:rsidRPr="004B77DE">
        <w:rPr>
          <w:rFonts w:ascii="Trebuchet MS" w:hAnsi="Trebuchet MS"/>
          <w:noProof/>
          <w:sz w:val="16"/>
          <w:szCs w:val="16"/>
        </w:rPr>
        <w:t>.</w:t>
      </w:r>
      <w:r w:rsidRPr="004B77DE">
        <w:rPr>
          <w:rFonts w:ascii="Trebuchet MS" w:hAnsi="Trebuchet MS"/>
          <w:noProof/>
          <w:sz w:val="16"/>
          <w:szCs w:val="16"/>
        </w:rPr>
        <w:tab/>
        <w:t xml:space="preserve">Fernandez-Barres S, Vrijheid M, Manzano-Salgado CB et al. The association of mediterranean diet during pregnancy with longitudinal body mass index trajectories and cardiometabolic risk in early childhood. </w:t>
      </w:r>
      <w:r w:rsidRPr="004B77DE">
        <w:rPr>
          <w:rFonts w:ascii="Trebuchet MS" w:hAnsi="Trebuchet MS"/>
          <w:i/>
          <w:noProof/>
          <w:sz w:val="16"/>
          <w:szCs w:val="16"/>
        </w:rPr>
        <w:t>J Pediatr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27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e6</w:t>
      </w:r>
      <w:r w:rsidRPr="004B77DE">
        <w:rPr>
          <w:rFonts w:ascii="Trebuchet MS" w:hAnsi="Trebuchet MS"/>
          <w:noProof/>
          <w:sz w:val="16"/>
          <w:szCs w:val="16"/>
        </w:rPr>
        <w:t>.</w:t>
      </w:r>
    </w:p>
    <w:p w14:paraId="420415D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hAnsi="Trebuchet MS"/>
          <w:noProof/>
          <w:sz w:val="16"/>
          <w:szCs w:val="16"/>
        </w:rPr>
        <w:tab/>
        <w:t xml:space="preserve">Alvarez Zallo N, Aguinaga-Ontoso I, Alvarez-Alvarez I et al. Influence of the Mediterranean diet during pregnancy in the development of wheezing and eczema in infants in Pamplona, Spain. </w:t>
      </w:r>
      <w:r w:rsidRPr="004B77DE">
        <w:rPr>
          <w:rFonts w:ascii="Trebuchet MS" w:hAnsi="Trebuchet MS"/>
          <w:i/>
          <w:noProof/>
          <w:sz w:val="16"/>
          <w:szCs w:val="16"/>
        </w:rPr>
        <w:t>Allergol Immunopathol (Madr)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46</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14</w:t>
      </w:r>
      <w:r w:rsidRPr="004B77DE">
        <w:rPr>
          <w:rFonts w:ascii="Trebuchet MS" w:hAnsi="Trebuchet MS"/>
          <w:noProof/>
          <w:sz w:val="16"/>
          <w:szCs w:val="16"/>
        </w:rPr>
        <w:t>.</w:t>
      </w:r>
    </w:p>
    <w:p w14:paraId="2D5006C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hAnsi="Trebuchet MS"/>
          <w:noProof/>
          <w:sz w:val="16"/>
          <w:szCs w:val="16"/>
        </w:rPr>
        <w:tab/>
        <w:t xml:space="preserve">Castro-Rodriguez JA, Ramirez-Hernandez M, Padilla O et al. Effect of foods and Mediterranean diet during pregnancy and first years of life on wheezing, rhinitis and dermatitis in preschoolers. </w:t>
      </w:r>
      <w:r w:rsidRPr="004B77DE">
        <w:rPr>
          <w:rFonts w:ascii="Trebuchet MS" w:hAnsi="Trebuchet MS"/>
          <w:i/>
          <w:noProof/>
          <w:sz w:val="16"/>
          <w:szCs w:val="16"/>
        </w:rPr>
        <w:t>Allergol Immunopathol (Madr)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400</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06FC561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w:t>
      </w:r>
      <w:r w:rsidRPr="004B77DE">
        <w:rPr>
          <w:rFonts w:ascii="Trebuchet MS" w:hAnsi="Trebuchet MS"/>
          <w:noProof/>
          <w:sz w:val="16"/>
          <w:szCs w:val="16"/>
        </w:rPr>
        <w:t>.</w:t>
      </w:r>
      <w:r w:rsidRPr="004B77DE">
        <w:rPr>
          <w:rFonts w:ascii="Trebuchet MS" w:hAnsi="Trebuchet MS"/>
          <w:noProof/>
          <w:sz w:val="16"/>
          <w:szCs w:val="16"/>
        </w:rPr>
        <w:tab/>
        <w:t xml:space="preserve">Ha V, Bonner AJ, Jadoo JK et al. The effects of various diets on glycemic outcomes during pregnancy: A systematic review and network meta-analysis.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e0182095</w:t>
      </w:r>
      <w:r w:rsidRPr="004B77DE">
        <w:rPr>
          <w:rFonts w:ascii="Trebuchet MS" w:hAnsi="Trebuchet MS"/>
          <w:noProof/>
          <w:sz w:val="16"/>
          <w:szCs w:val="16"/>
        </w:rPr>
        <w:t>.</w:t>
      </w:r>
    </w:p>
    <w:p w14:paraId="7CEFA5E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hAnsi="Trebuchet MS"/>
          <w:noProof/>
          <w:sz w:val="16"/>
          <w:szCs w:val="16"/>
        </w:rPr>
        <w:tab/>
        <w:t xml:space="preserve">Piccoli GB, Clari R, Vigotti FN et al. Vegan-vegetarian diets in pregnancy: danger or panacea? A systematic narrative review. </w:t>
      </w:r>
      <w:r w:rsidRPr="004B77DE">
        <w:rPr>
          <w:rFonts w:ascii="Trebuchet MS" w:hAnsi="Trebuchet MS"/>
          <w:i/>
          <w:noProof/>
          <w:sz w:val="16"/>
          <w:szCs w:val="16"/>
        </w:rPr>
        <w:t>BJOG: An International Journal of Obstetrics &amp; Gynaecology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623</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4B280C5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56</w:t>
      </w:r>
      <w:r w:rsidRPr="004B77DE">
        <w:rPr>
          <w:rFonts w:ascii="Trebuchet MS" w:hAnsi="Trebuchet MS"/>
          <w:noProof/>
          <w:sz w:val="16"/>
          <w:szCs w:val="16"/>
        </w:rPr>
        <w:t>.</w:t>
      </w:r>
      <w:r w:rsidRPr="004B77DE">
        <w:rPr>
          <w:rFonts w:ascii="Trebuchet MS" w:hAnsi="Trebuchet MS"/>
          <w:noProof/>
          <w:sz w:val="16"/>
          <w:szCs w:val="16"/>
        </w:rPr>
        <w:tab/>
        <w:t xml:space="preserve">Foster M, Herulah UN, Prasad A et al. Zinc Status of Vegetarians during Pregnancy: A Systematic Review of Observational Studies and Meta-Analysis of Zinc Intake.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4512</w:t>
      </w:r>
      <w:r w:rsidRPr="004B77DE">
        <w:rPr>
          <w:rFonts w:ascii="Trebuchet MS" w:hAnsi="Trebuchet MS"/>
          <w:noProof/>
          <w:sz w:val="16"/>
          <w:szCs w:val="16"/>
        </w:rPr>
        <w:t>-</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0969C5F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57</w:t>
      </w:r>
      <w:r w:rsidRPr="004B77DE">
        <w:rPr>
          <w:rFonts w:ascii="Trebuchet MS" w:hAnsi="Trebuchet MS"/>
          <w:noProof/>
          <w:sz w:val="16"/>
          <w:szCs w:val="16"/>
        </w:rPr>
        <w:t>.</w:t>
      </w:r>
      <w:r w:rsidRPr="004B77DE">
        <w:rPr>
          <w:rFonts w:ascii="Trebuchet MS" w:hAnsi="Trebuchet MS"/>
          <w:noProof/>
          <w:sz w:val="16"/>
          <w:szCs w:val="16"/>
        </w:rPr>
        <w:tab/>
        <w:t xml:space="preserve">Zulyniak MA, de Souza RJ, Shaikh M et al. Does the impact of a plant-based diet during pregnancy on birth weight differ by ethnicity? A dietary pattern analysis from a prospective Canadian birth cohort alliance. </w:t>
      </w:r>
      <w:r w:rsidRPr="004B77DE">
        <w:rPr>
          <w:rFonts w:ascii="Trebuchet MS" w:hAnsi="Trebuchet MS"/>
          <w:i/>
          <w:noProof/>
          <w:sz w:val="16"/>
          <w:szCs w:val="16"/>
        </w:rPr>
        <w:t>BMJ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e017753</w:t>
      </w:r>
      <w:r w:rsidRPr="004B77DE">
        <w:rPr>
          <w:rFonts w:ascii="Trebuchet MS" w:hAnsi="Trebuchet MS"/>
          <w:noProof/>
          <w:sz w:val="16"/>
          <w:szCs w:val="16"/>
        </w:rPr>
        <w:t>.</w:t>
      </w:r>
    </w:p>
    <w:p w14:paraId="40B9BC2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58</w:t>
      </w:r>
      <w:r w:rsidRPr="004B77DE">
        <w:rPr>
          <w:rFonts w:ascii="Trebuchet MS" w:hAnsi="Trebuchet MS"/>
          <w:noProof/>
          <w:sz w:val="16"/>
          <w:szCs w:val="16"/>
        </w:rPr>
        <w:t>.</w:t>
      </w:r>
      <w:r w:rsidRPr="004B77DE">
        <w:rPr>
          <w:rFonts w:ascii="Trebuchet MS" w:hAnsi="Trebuchet MS"/>
          <w:noProof/>
          <w:sz w:val="16"/>
          <w:szCs w:val="16"/>
        </w:rPr>
        <w:tab/>
        <w:t xml:space="preserve">Glazier JD, Hayes DJL, Hussain S et al. The effect of Ramadan fasting during pregnancy on perinatal outcomes: a systematic review and meta-analysis. </w:t>
      </w:r>
      <w:r w:rsidRPr="004B77DE">
        <w:rPr>
          <w:rFonts w:ascii="Trebuchet MS" w:hAnsi="Trebuchet MS"/>
          <w:i/>
          <w:noProof/>
          <w:sz w:val="16"/>
          <w:szCs w:val="16"/>
        </w:rPr>
        <w:t>BMC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421</w:t>
      </w:r>
      <w:r w:rsidRPr="004B77DE">
        <w:rPr>
          <w:rFonts w:ascii="Trebuchet MS" w:hAnsi="Trebuchet MS"/>
          <w:noProof/>
          <w:sz w:val="16"/>
          <w:szCs w:val="16"/>
        </w:rPr>
        <w:t>.</w:t>
      </w:r>
    </w:p>
    <w:p w14:paraId="0B7458A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59</w:t>
      </w:r>
      <w:r w:rsidRPr="004B77DE">
        <w:rPr>
          <w:rFonts w:ascii="Trebuchet MS" w:hAnsi="Trebuchet MS"/>
          <w:noProof/>
          <w:sz w:val="16"/>
          <w:szCs w:val="16"/>
        </w:rPr>
        <w:t>.</w:t>
      </w:r>
      <w:r w:rsidRPr="004B77DE">
        <w:rPr>
          <w:rFonts w:ascii="Trebuchet MS" w:hAnsi="Trebuchet MS"/>
          <w:noProof/>
          <w:sz w:val="16"/>
          <w:szCs w:val="16"/>
        </w:rPr>
        <w:tab/>
        <w:t xml:space="preserve">Steenweg-de Graaff J, Tiemeier H, Steegers-Theunissen RP et al. Maternal dietary patterns during pregnancy and child internalising and externalising problems. The Generation R Study. </w:t>
      </w:r>
      <w:r w:rsidRPr="004B77DE">
        <w:rPr>
          <w:rFonts w:ascii="Trebuchet MS" w:hAnsi="Trebuchet MS"/>
          <w:i/>
          <w:noProof/>
          <w:sz w:val="16"/>
          <w:szCs w:val="16"/>
        </w:rPr>
        <w:t>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115</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w:t>
      </w:r>
    </w:p>
    <w:p w14:paraId="470E0A3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60</w:t>
      </w:r>
      <w:r w:rsidRPr="004B77DE">
        <w:rPr>
          <w:rFonts w:ascii="Trebuchet MS" w:hAnsi="Trebuchet MS"/>
          <w:noProof/>
          <w:sz w:val="16"/>
          <w:szCs w:val="16"/>
        </w:rPr>
        <w:t>.</w:t>
      </w:r>
      <w:r w:rsidRPr="004B77DE">
        <w:rPr>
          <w:rFonts w:ascii="Trebuchet MS" w:hAnsi="Trebuchet MS"/>
          <w:noProof/>
          <w:sz w:val="16"/>
          <w:szCs w:val="16"/>
        </w:rPr>
        <w:tab/>
        <w:t xml:space="preserve">Fulay AP, Rifas-Shiman SL, Oken E et al. Associations of the dietary approaches to stop hypertension (DASH) diet with pregnancy complications in Project Viva. </w:t>
      </w:r>
      <w:r w:rsidRPr="004B77DE">
        <w:rPr>
          <w:rFonts w:ascii="Trebuchet MS" w:hAnsi="Trebuchet MS"/>
          <w:i/>
          <w:noProof/>
          <w:sz w:val="16"/>
          <w:szCs w:val="16"/>
        </w:rPr>
        <w:t>Eur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1385</w:t>
      </w:r>
      <w:r w:rsidRPr="004B77DE">
        <w:rPr>
          <w:rFonts w:ascii="Trebuchet MS" w:hAnsi="Trebuchet MS"/>
          <w:noProof/>
          <w:sz w:val="16"/>
          <w:szCs w:val="16"/>
        </w:rPr>
        <w:t>-</w:t>
      </w:r>
      <w:r w:rsidRPr="004B77DE">
        <w:rPr>
          <w:rFonts w:ascii="Trebuchet MS" w:eastAsia="Calibri" w:hAnsi="Trebuchet MS" w:cs="Calibri"/>
          <w:noProof/>
          <w:sz w:val="16"/>
          <w:szCs w:val="16"/>
        </w:rPr>
        <w:t>95</w:t>
      </w:r>
      <w:r w:rsidRPr="004B77DE">
        <w:rPr>
          <w:rFonts w:ascii="Trebuchet MS" w:hAnsi="Trebuchet MS"/>
          <w:noProof/>
          <w:sz w:val="16"/>
          <w:szCs w:val="16"/>
        </w:rPr>
        <w:t>.</w:t>
      </w:r>
    </w:p>
    <w:p w14:paraId="13F169A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61</w:t>
      </w:r>
      <w:r w:rsidRPr="004B77DE">
        <w:rPr>
          <w:rFonts w:ascii="Trebuchet MS" w:hAnsi="Trebuchet MS"/>
          <w:noProof/>
          <w:sz w:val="16"/>
          <w:szCs w:val="16"/>
        </w:rPr>
        <w:t>.</w:t>
      </w:r>
      <w:r w:rsidRPr="004B77DE">
        <w:rPr>
          <w:rFonts w:ascii="Trebuchet MS" w:hAnsi="Trebuchet MS"/>
          <w:noProof/>
          <w:sz w:val="16"/>
          <w:szCs w:val="16"/>
        </w:rPr>
        <w:tab/>
        <w:t xml:space="preserve">Shalit N, Shalit R, Sheiner E. The effect of a 25-hour fast during the Day of Atonement on preterm delivery.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1410</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w:t>
      </w:r>
    </w:p>
    <w:p w14:paraId="7CEB92C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62</w:t>
      </w:r>
      <w:r w:rsidRPr="004B77DE">
        <w:rPr>
          <w:rFonts w:ascii="Trebuchet MS" w:hAnsi="Trebuchet MS"/>
          <w:noProof/>
          <w:sz w:val="16"/>
          <w:szCs w:val="16"/>
        </w:rPr>
        <w:t>.</w:t>
      </w:r>
      <w:r w:rsidRPr="004B77DE">
        <w:rPr>
          <w:rFonts w:ascii="Trebuchet MS" w:hAnsi="Trebuchet MS"/>
          <w:noProof/>
          <w:sz w:val="16"/>
          <w:szCs w:val="16"/>
        </w:rPr>
        <w:tab/>
        <w:t xml:space="preserve">Bryant J, Waller A, Cameron E et al. Diet during pregnancy: Women's knowledge of and adherence to food safety guidelines. </w:t>
      </w:r>
      <w:r w:rsidRPr="004B77DE">
        <w:rPr>
          <w:rFonts w:ascii="Trebuchet MS" w:hAnsi="Trebuchet MS"/>
          <w:i/>
          <w:noProof/>
          <w:sz w:val="16"/>
          <w:szCs w:val="16"/>
        </w:rPr>
        <w:t>Aust N Z 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315</w:t>
      </w:r>
      <w:r w:rsidRPr="004B77DE">
        <w:rPr>
          <w:rFonts w:ascii="Trebuchet MS" w:hAnsi="Trebuchet MS"/>
          <w:noProof/>
          <w:sz w:val="16"/>
          <w:szCs w:val="16"/>
        </w:rPr>
        <w:t>-</w:t>
      </w:r>
      <w:r w:rsidRPr="004B77DE">
        <w:rPr>
          <w:rFonts w:ascii="Trebuchet MS" w:eastAsia="Calibri" w:hAnsi="Trebuchet MS" w:cs="Calibri"/>
          <w:noProof/>
          <w:sz w:val="16"/>
          <w:szCs w:val="16"/>
        </w:rPr>
        <w:t>22</w:t>
      </w:r>
      <w:r w:rsidRPr="004B77DE">
        <w:rPr>
          <w:rFonts w:ascii="Trebuchet MS" w:hAnsi="Trebuchet MS"/>
          <w:noProof/>
          <w:sz w:val="16"/>
          <w:szCs w:val="16"/>
        </w:rPr>
        <w:t>.</w:t>
      </w:r>
    </w:p>
    <w:p w14:paraId="290AB34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63</w:t>
      </w:r>
      <w:r w:rsidRPr="004B77DE">
        <w:rPr>
          <w:rFonts w:ascii="Trebuchet MS" w:hAnsi="Trebuchet MS"/>
          <w:noProof/>
          <w:sz w:val="16"/>
          <w:szCs w:val="16"/>
        </w:rPr>
        <w:t>.</w:t>
      </w:r>
      <w:r w:rsidRPr="004B77DE">
        <w:rPr>
          <w:rFonts w:ascii="Trebuchet MS" w:hAnsi="Trebuchet MS"/>
          <w:noProof/>
          <w:sz w:val="16"/>
          <w:szCs w:val="16"/>
        </w:rPr>
        <w:tab/>
        <w:t xml:space="preserve">Nunnery DL, Labban JD, Dharod JM. Interrelationship between food security status, home availability of variety of fruits and vegetables and their dietary intake among low-income pregnant women.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807</w:t>
      </w:r>
      <w:r w:rsidRPr="004B77DE">
        <w:rPr>
          <w:rFonts w:ascii="Trebuchet MS" w:hAnsi="Trebuchet MS"/>
          <w:noProof/>
          <w:sz w:val="16"/>
          <w:szCs w:val="16"/>
        </w:rPr>
        <w:t>-</w:t>
      </w:r>
      <w:r w:rsidRPr="004B77DE">
        <w:rPr>
          <w:rFonts w:ascii="Trebuchet MS" w:eastAsia="Calibri" w:hAnsi="Trebuchet MS" w:cs="Calibri"/>
          <w:noProof/>
          <w:sz w:val="16"/>
          <w:szCs w:val="16"/>
        </w:rPr>
        <w:t>15</w:t>
      </w:r>
      <w:r w:rsidRPr="004B77DE">
        <w:rPr>
          <w:rFonts w:ascii="Trebuchet MS" w:hAnsi="Trebuchet MS"/>
          <w:noProof/>
          <w:sz w:val="16"/>
          <w:szCs w:val="16"/>
        </w:rPr>
        <w:t>.</w:t>
      </w:r>
    </w:p>
    <w:p w14:paraId="461CE07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64</w:t>
      </w:r>
      <w:r w:rsidRPr="004B77DE">
        <w:rPr>
          <w:rFonts w:ascii="Trebuchet MS" w:hAnsi="Trebuchet MS"/>
          <w:noProof/>
          <w:sz w:val="16"/>
          <w:szCs w:val="16"/>
        </w:rPr>
        <w:t>.</w:t>
      </w:r>
      <w:r w:rsidRPr="004B77DE">
        <w:rPr>
          <w:rFonts w:ascii="Trebuchet MS" w:hAnsi="Trebuchet MS"/>
          <w:noProof/>
          <w:sz w:val="16"/>
          <w:szCs w:val="16"/>
        </w:rPr>
        <w:tab/>
        <w:t xml:space="preserve">Soto R, Guilloty N, Anzalota L et al. Association between maternal diet factors and hemoglobin levels, glucose tolerance, blood pressure and gestational age in a Hispanic population. </w:t>
      </w:r>
      <w:r w:rsidRPr="004B77DE">
        <w:rPr>
          <w:rFonts w:ascii="Trebuchet MS" w:hAnsi="Trebuchet MS"/>
          <w:i/>
          <w:noProof/>
          <w:sz w:val="16"/>
          <w:szCs w:val="16"/>
        </w:rPr>
        <w:t>Arch Latinoam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65</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86</w:t>
      </w:r>
      <w:r w:rsidRPr="004B77DE">
        <w:rPr>
          <w:rFonts w:ascii="Trebuchet MS" w:hAnsi="Trebuchet MS"/>
          <w:noProof/>
          <w:sz w:val="16"/>
          <w:szCs w:val="16"/>
        </w:rPr>
        <w:t>-</w:t>
      </w:r>
      <w:r w:rsidRPr="004B77DE">
        <w:rPr>
          <w:rFonts w:ascii="Trebuchet MS" w:eastAsia="Calibri" w:hAnsi="Trebuchet MS" w:cs="Calibri"/>
          <w:noProof/>
          <w:sz w:val="16"/>
          <w:szCs w:val="16"/>
        </w:rPr>
        <w:t>96</w:t>
      </w:r>
      <w:r w:rsidRPr="004B77DE">
        <w:rPr>
          <w:rFonts w:ascii="Trebuchet MS" w:hAnsi="Trebuchet MS"/>
          <w:noProof/>
          <w:sz w:val="16"/>
          <w:szCs w:val="16"/>
        </w:rPr>
        <w:t>.</w:t>
      </w:r>
    </w:p>
    <w:p w14:paraId="0B27F6F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65</w:t>
      </w:r>
      <w:r w:rsidRPr="004B77DE">
        <w:rPr>
          <w:rFonts w:ascii="Trebuchet MS" w:hAnsi="Trebuchet MS"/>
          <w:noProof/>
          <w:sz w:val="16"/>
          <w:szCs w:val="16"/>
        </w:rPr>
        <w:t>.</w:t>
      </w:r>
      <w:r w:rsidRPr="004B77DE">
        <w:rPr>
          <w:rFonts w:ascii="Trebuchet MS" w:hAnsi="Trebuchet MS"/>
          <w:noProof/>
          <w:sz w:val="16"/>
          <w:szCs w:val="16"/>
        </w:rPr>
        <w:tab/>
        <w:t xml:space="preserve">Mi B, Wen X, Li S et al. Vegetable dietary pattern associated with low risk of preeclampsia possibly through reducing proteinuria. </w:t>
      </w:r>
      <w:r w:rsidRPr="004B77DE">
        <w:rPr>
          <w:rFonts w:ascii="Trebuchet MS" w:hAnsi="Trebuchet MS"/>
          <w:i/>
          <w:noProof/>
          <w:sz w:val="16"/>
          <w:szCs w:val="16"/>
        </w:rPr>
        <w:t>Pregnancy Hypertens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131</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54FA585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66</w:t>
      </w:r>
      <w:r w:rsidRPr="004B77DE">
        <w:rPr>
          <w:rFonts w:ascii="Trebuchet MS" w:hAnsi="Trebuchet MS"/>
          <w:noProof/>
          <w:sz w:val="16"/>
          <w:szCs w:val="16"/>
        </w:rPr>
        <w:t>.</w:t>
      </w:r>
      <w:r w:rsidRPr="004B77DE">
        <w:rPr>
          <w:rFonts w:ascii="Trebuchet MS" w:hAnsi="Trebuchet MS"/>
          <w:noProof/>
          <w:sz w:val="16"/>
          <w:szCs w:val="16"/>
        </w:rPr>
        <w:tab/>
        <w:t xml:space="preserve">Torjusen H, Brantsaeter AL, Haugen M et al. Reduced risk of pre-eclampsia with organic vegetable consumption: results from the prospective Norwegian Mother and Child Cohort Study. </w:t>
      </w:r>
      <w:r w:rsidRPr="004B77DE">
        <w:rPr>
          <w:rFonts w:ascii="Trebuchet MS" w:hAnsi="Trebuchet MS"/>
          <w:i/>
          <w:noProof/>
          <w:sz w:val="16"/>
          <w:szCs w:val="16"/>
        </w:rPr>
        <w:t>BMJ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e006143</w:t>
      </w:r>
      <w:r w:rsidRPr="004B77DE">
        <w:rPr>
          <w:rFonts w:ascii="Trebuchet MS" w:hAnsi="Trebuchet MS"/>
          <w:noProof/>
          <w:sz w:val="16"/>
          <w:szCs w:val="16"/>
        </w:rPr>
        <w:t>.</w:t>
      </w:r>
    </w:p>
    <w:p w14:paraId="1885AB8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67</w:t>
      </w:r>
      <w:r w:rsidRPr="004B77DE">
        <w:rPr>
          <w:rFonts w:ascii="Trebuchet MS" w:hAnsi="Trebuchet MS"/>
          <w:noProof/>
          <w:sz w:val="16"/>
          <w:szCs w:val="16"/>
        </w:rPr>
        <w:t>.</w:t>
      </w:r>
      <w:r w:rsidRPr="004B77DE">
        <w:rPr>
          <w:rFonts w:ascii="Trebuchet MS" w:hAnsi="Trebuchet MS"/>
          <w:noProof/>
          <w:sz w:val="16"/>
          <w:szCs w:val="16"/>
        </w:rPr>
        <w:tab/>
        <w:t xml:space="preserve">Martinez-Galiano JM, Amezcua-Prieto C, Salcedo-Bellido I et al. Maternal dietary consumption of legumes, vegetables and fruit during pregnancy, does it protect against small for gestational age? </w:t>
      </w:r>
      <w:r w:rsidRPr="004B77DE">
        <w:rPr>
          <w:rFonts w:ascii="Trebuchet MS" w:hAnsi="Trebuchet MS"/>
          <w:i/>
          <w:noProof/>
          <w:sz w:val="16"/>
          <w:szCs w:val="16"/>
        </w:rPr>
        <w:t>BMC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486</w:t>
      </w:r>
      <w:r w:rsidRPr="004B77DE">
        <w:rPr>
          <w:rFonts w:ascii="Trebuchet MS" w:hAnsi="Trebuchet MS"/>
          <w:noProof/>
          <w:sz w:val="16"/>
          <w:szCs w:val="16"/>
        </w:rPr>
        <w:t>.</w:t>
      </w:r>
    </w:p>
    <w:p w14:paraId="1133C84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68</w:t>
      </w:r>
      <w:r w:rsidRPr="004B77DE">
        <w:rPr>
          <w:rFonts w:ascii="Trebuchet MS" w:hAnsi="Trebuchet MS"/>
          <w:noProof/>
          <w:sz w:val="16"/>
          <w:szCs w:val="16"/>
        </w:rPr>
        <w:t>.</w:t>
      </w:r>
      <w:r w:rsidRPr="004B77DE">
        <w:rPr>
          <w:rFonts w:ascii="Trebuchet MS" w:hAnsi="Trebuchet MS"/>
          <w:noProof/>
          <w:sz w:val="16"/>
          <w:szCs w:val="16"/>
        </w:rPr>
        <w:tab/>
        <w:t xml:space="preserve">Chia A-R, de Seymour JV, Colega M et al. A vegetable, fruit, and white rice dietary pattern during pregnancy is associated with a lower risk of preterm birth and larger birth size in a multiethnic Asian cohort: the Growing Up in Singapore Towards healthy Outcomes (GUSTO) cohort study. </w:t>
      </w:r>
      <w:r w:rsidRPr="004B77DE">
        <w:rPr>
          <w:rFonts w:ascii="Trebuchet MS" w:hAnsi="Trebuchet MS"/>
          <w:i/>
          <w:noProof/>
          <w:sz w:val="16"/>
          <w:szCs w:val="16"/>
        </w:rPr>
        <w:t>The American Journal of Clinical Nutrition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104</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1416</w:t>
      </w:r>
      <w:r w:rsidRPr="004B77DE">
        <w:rPr>
          <w:rFonts w:ascii="Trebuchet MS" w:hAnsi="Trebuchet MS"/>
          <w:noProof/>
          <w:sz w:val="16"/>
          <w:szCs w:val="16"/>
        </w:rPr>
        <w:t>-</w:t>
      </w:r>
      <w:r w:rsidRPr="004B77DE">
        <w:rPr>
          <w:rFonts w:ascii="Trebuchet MS" w:eastAsia="Calibri" w:hAnsi="Trebuchet MS" w:cs="Calibri"/>
          <w:noProof/>
          <w:sz w:val="16"/>
          <w:szCs w:val="16"/>
        </w:rPr>
        <w:t>23</w:t>
      </w:r>
      <w:r w:rsidRPr="004B77DE">
        <w:rPr>
          <w:rFonts w:ascii="Trebuchet MS" w:hAnsi="Trebuchet MS"/>
          <w:noProof/>
          <w:sz w:val="16"/>
          <w:szCs w:val="16"/>
        </w:rPr>
        <w:t>.</w:t>
      </w:r>
    </w:p>
    <w:p w14:paraId="0973D4E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69</w:t>
      </w:r>
      <w:r w:rsidRPr="004B77DE">
        <w:rPr>
          <w:rFonts w:ascii="Trebuchet MS" w:hAnsi="Trebuchet MS"/>
          <w:noProof/>
          <w:sz w:val="16"/>
          <w:szCs w:val="16"/>
        </w:rPr>
        <w:t>.</w:t>
      </w:r>
      <w:r w:rsidRPr="004B77DE">
        <w:rPr>
          <w:rFonts w:ascii="Trebuchet MS" w:hAnsi="Trebuchet MS"/>
          <w:noProof/>
          <w:sz w:val="16"/>
          <w:szCs w:val="16"/>
        </w:rPr>
        <w:tab/>
        <w:t xml:space="preserve">Paskulin JTA, Drehmer M, Olinto MT et al. Association between dietary patterns and mental disorders in pregnant women in Southern Brazil. </w:t>
      </w:r>
      <w:r w:rsidRPr="004B77DE">
        <w:rPr>
          <w:rFonts w:ascii="Trebuchet MS" w:hAnsi="Trebuchet MS"/>
          <w:i/>
          <w:noProof/>
          <w:sz w:val="16"/>
          <w:szCs w:val="16"/>
        </w:rPr>
        <w:t>Braz J Psychiatry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208</w:t>
      </w:r>
      <w:r w:rsidRPr="004B77DE">
        <w:rPr>
          <w:rFonts w:ascii="Trebuchet MS" w:hAnsi="Trebuchet MS"/>
          <w:noProof/>
          <w:sz w:val="16"/>
          <w:szCs w:val="16"/>
        </w:rPr>
        <w:t>-</w:t>
      </w:r>
      <w:r w:rsidRPr="004B77DE">
        <w:rPr>
          <w:rFonts w:ascii="Trebuchet MS" w:eastAsia="Calibri" w:hAnsi="Trebuchet MS" w:cs="Calibri"/>
          <w:noProof/>
          <w:sz w:val="16"/>
          <w:szCs w:val="16"/>
        </w:rPr>
        <w:t>15</w:t>
      </w:r>
      <w:r w:rsidRPr="004B77DE">
        <w:rPr>
          <w:rFonts w:ascii="Trebuchet MS" w:hAnsi="Trebuchet MS"/>
          <w:noProof/>
          <w:sz w:val="16"/>
          <w:szCs w:val="16"/>
        </w:rPr>
        <w:t>.</w:t>
      </w:r>
    </w:p>
    <w:p w14:paraId="343663B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70</w:t>
      </w:r>
      <w:r w:rsidRPr="004B77DE">
        <w:rPr>
          <w:rFonts w:ascii="Trebuchet MS" w:hAnsi="Trebuchet MS"/>
          <w:noProof/>
          <w:sz w:val="16"/>
          <w:szCs w:val="16"/>
        </w:rPr>
        <w:t>.</w:t>
      </w:r>
      <w:r w:rsidRPr="004B77DE">
        <w:rPr>
          <w:rFonts w:ascii="Trebuchet MS" w:hAnsi="Trebuchet MS"/>
          <w:noProof/>
          <w:sz w:val="16"/>
          <w:szCs w:val="16"/>
        </w:rPr>
        <w:tab/>
        <w:t xml:space="preserve">Miyake Y, Tanaka K, Okubo H et al. Seaweed consumption and prevalence of depressive symptoms during pregnancy in Japan: Baseline data from the Kyushu Okinawa Maternal and Child Health Study. </w:t>
      </w:r>
      <w:r w:rsidRPr="004B77DE">
        <w:rPr>
          <w:rFonts w:ascii="Trebuchet MS" w:hAnsi="Trebuchet MS"/>
          <w:i/>
          <w:noProof/>
          <w:sz w:val="16"/>
          <w:szCs w:val="16"/>
        </w:rPr>
        <w:t>BMC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301</w:t>
      </w:r>
      <w:r w:rsidRPr="004B77DE">
        <w:rPr>
          <w:rFonts w:ascii="Trebuchet MS" w:hAnsi="Trebuchet MS"/>
          <w:noProof/>
          <w:sz w:val="16"/>
          <w:szCs w:val="16"/>
        </w:rPr>
        <w:t>.</w:t>
      </w:r>
    </w:p>
    <w:p w14:paraId="7EABAE1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71</w:t>
      </w:r>
      <w:r w:rsidRPr="004B77DE">
        <w:rPr>
          <w:rFonts w:ascii="Trebuchet MS" w:hAnsi="Trebuchet MS"/>
          <w:noProof/>
          <w:sz w:val="16"/>
          <w:szCs w:val="16"/>
        </w:rPr>
        <w:t>.</w:t>
      </w:r>
      <w:r w:rsidRPr="004B77DE">
        <w:rPr>
          <w:rFonts w:ascii="Trebuchet MS" w:hAnsi="Trebuchet MS"/>
          <w:noProof/>
          <w:sz w:val="16"/>
          <w:szCs w:val="16"/>
        </w:rPr>
        <w:tab/>
        <w:t xml:space="preserve">Duke CH, Williamson JA, Snook KR et al. Association between fruit and vegetable consumption and sleep quantity in pregnant women. </w:t>
      </w:r>
      <w:r w:rsidRPr="004B77DE">
        <w:rPr>
          <w:rFonts w:ascii="Trebuchet MS" w:hAnsi="Trebuchet MS"/>
          <w:i/>
          <w:noProof/>
          <w:sz w:val="16"/>
          <w:szCs w:val="16"/>
        </w:rPr>
        <w:t>Matern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966</w:t>
      </w:r>
      <w:r w:rsidRPr="004B77DE">
        <w:rPr>
          <w:rFonts w:ascii="Trebuchet MS" w:hAnsi="Trebuchet MS"/>
          <w:noProof/>
          <w:sz w:val="16"/>
          <w:szCs w:val="16"/>
        </w:rPr>
        <w:t>-</w:t>
      </w:r>
      <w:r w:rsidRPr="004B77DE">
        <w:rPr>
          <w:rFonts w:ascii="Trebuchet MS" w:eastAsia="Calibri" w:hAnsi="Trebuchet MS" w:cs="Calibri"/>
          <w:noProof/>
          <w:sz w:val="16"/>
          <w:szCs w:val="16"/>
        </w:rPr>
        <w:t>73</w:t>
      </w:r>
      <w:r w:rsidRPr="004B77DE">
        <w:rPr>
          <w:rFonts w:ascii="Trebuchet MS" w:hAnsi="Trebuchet MS"/>
          <w:noProof/>
          <w:sz w:val="16"/>
          <w:szCs w:val="16"/>
        </w:rPr>
        <w:t>.</w:t>
      </w:r>
    </w:p>
    <w:p w14:paraId="48B324E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72</w:t>
      </w:r>
      <w:r w:rsidRPr="004B77DE">
        <w:rPr>
          <w:rFonts w:ascii="Trebuchet MS" w:hAnsi="Trebuchet MS"/>
          <w:noProof/>
          <w:sz w:val="16"/>
          <w:szCs w:val="16"/>
        </w:rPr>
        <w:t>.</w:t>
      </w:r>
      <w:r w:rsidRPr="004B77DE">
        <w:rPr>
          <w:rFonts w:ascii="Trebuchet MS" w:hAnsi="Trebuchet MS"/>
          <w:noProof/>
          <w:sz w:val="16"/>
          <w:szCs w:val="16"/>
        </w:rPr>
        <w:tab/>
        <w:t xml:space="preserve">Wang M, Wang ZP, Gao LJ et al. Maternal consumption of non-staple food in the first trimester and risk of neural tube defects in offspring.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3067</w:t>
      </w:r>
      <w:r w:rsidRPr="004B77DE">
        <w:rPr>
          <w:rFonts w:ascii="Trebuchet MS" w:hAnsi="Trebuchet MS"/>
          <w:noProof/>
          <w:sz w:val="16"/>
          <w:szCs w:val="16"/>
        </w:rPr>
        <w:t>-</w:t>
      </w:r>
      <w:r w:rsidRPr="004B77DE">
        <w:rPr>
          <w:rFonts w:ascii="Trebuchet MS" w:eastAsia="Calibri" w:hAnsi="Trebuchet MS" w:cs="Calibri"/>
          <w:noProof/>
          <w:sz w:val="16"/>
          <w:szCs w:val="16"/>
        </w:rPr>
        <w:t>77</w:t>
      </w:r>
      <w:r w:rsidRPr="004B77DE">
        <w:rPr>
          <w:rFonts w:ascii="Trebuchet MS" w:hAnsi="Trebuchet MS"/>
          <w:noProof/>
          <w:sz w:val="16"/>
          <w:szCs w:val="16"/>
        </w:rPr>
        <w:t>.</w:t>
      </w:r>
    </w:p>
    <w:p w14:paraId="225FAB3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73</w:t>
      </w:r>
      <w:r w:rsidRPr="004B77DE">
        <w:rPr>
          <w:rFonts w:ascii="Trebuchet MS" w:hAnsi="Trebuchet MS"/>
          <w:noProof/>
          <w:sz w:val="16"/>
          <w:szCs w:val="16"/>
        </w:rPr>
        <w:t>.</w:t>
      </w:r>
      <w:r w:rsidRPr="004B77DE">
        <w:rPr>
          <w:rFonts w:ascii="Trebuchet MS" w:hAnsi="Trebuchet MS"/>
          <w:noProof/>
          <w:sz w:val="16"/>
          <w:szCs w:val="16"/>
        </w:rPr>
        <w:tab/>
        <w:t xml:space="preserve">Ogawa K, Morisaki N, Kobayashi M et al. Maternal vegetable intake in early pregnancy and wheeze in offspring at the age of 2 years. </w:t>
      </w:r>
      <w:r w:rsidRPr="004B77DE">
        <w:rPr>
          <w:rFonts w:ascii="Trebuchet MS" w:hAnsi="Trebuchet MS"/>
          <w:i/>
          <w:noProof/>
          <w:sz w:val="16"/>
          <w:szCs w:val="16"/>
        </w:rPr>
        <w:t>Eur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761</w:t>
      </w:r>
      <w:r w:rsidRPr="004B77DE">
        <w:rPr>
          <w:rFonts w:ascii="Trebuchet MS" w:hAnsi="Trebuchet MS"/>
          <w:noProof/>
          <w:sz w:val="16"/>
          <w:szCs w:val="16"/>
        </w:rPr>
        <w:t>-</w:t>
      </w:r>
      <w:r w:rsidRPr="004B77DE">
        <w:rPr>
          <w:rFonts w:ascii="Trebuchet MS" w:eastAsia="Calibri" w:hAnsi="Trebuchet MS" w:cs="Calibri"/>
          <w:noProof/>
          <w:sz w:val="16"/>
          <w:szCs w:val="16"/>
        </w:rPr>
        <w:t>71</w:t>
      </w:r>
      <w:r w:rsidRPr="004B77DE">
        <w:rPr>
          <w:rFonts w:ascii="Trebuchet MS" w:hAnsi="Trebuchet MS"/>
          <w:noProof/>
          <w:sz w:val="16"/>
          <w:szCs w:val="16"/>
        </w:rPr>
        <w:t>.</w:t>
      </w:r>
    </w:p>
    <w:p w14:paraId="69D68E9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74</w:t>
      </w:r>
      <w:r w:rsidRPr="004B77DE">
        <w:rPr>
          <w:rFonts w:ascii="Trebuchet MS" w:hAnsi="Trebuchet MS"/>
          <w:noProof/>
          <w:sz w:val="16"/>
          <w:szCs w:val="16"/>
        </w:rPr>
        <w:t>.</w:t>
      </w:r>
      <w:r w:rsidRPr="004B77DE">
        <w:rPr>
          <w:rFonts w:ascii="Trebuchet MS" w:hAnsi="Trebuchet MS"/>
          <w:noProof/>
          <w:sz w:val="16"/>
          <w:szCs w:val="16"/>
        </w:rPr>
        <w:tab/>
        <w:t xml:space="preserve">Viljoen K, Segurado R, O'Brien J et al. Pregnancy diet and offspring asthma risk over a 10-year period: the Lifeways Cross Generation Cohort Study, Ireland. </w:t>
      </w:r>
      <w:r w:rsidRPr="004B77DE">
        <w:rPr>
          <w:rFonts w:ascii="Trebuchet MS" w:hAnsi="Trebuchet MS"/>
          <w:i/>
          <w:noProof/>
          <w:sz w:val="16"/>
          <w:szCs w:val="16"/>
        </w:rPr>
        <w:t>BMJ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e017013</w:t>
      </w:r>
      <w:r w:rsidRPr="004B77DE">
        <w:rPr>
          <w:rFonts w:ascii="Trebuchet MS" w:hAnsi="Trebuchet MS"/>
          <w:noProof/>
          <w:sz w:val="16"/>
          <w:szCs w:val="16"/>
        </w:rPr>
        <w:t>.</w:t>
      </w:r>
    </w:p>
    <w:p w14:paraId="55CA2D5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75</w:t>
      </w:r>
      <w:r w:rsidRPr="004B77DE">
        <w:rPr>
          <w:rFonts w:ascii="Trebuchet MS" w:hAnsi="Trebuchet MS"/>
          <w:noProof/>
          <w:sz w:val="16"/>
          <w:szCs w:val="16"/>
        </w:rPr>
        <w:t>.</w:t>
      </w:r>
      <w:r w:rsidRPr="004B77DE">
        <w:rPr>
          <w:rFonts w:ascii="Trebuchet MS" w:hAnsi="Trebuchet MS"/>
          <w:noProof/>
          <w:sz w:val="16"/>
          <w:szCs w:val="16"/>
        </w:rPr>
        <w:tab/>
        <w:t xml:space="preserve">Dessypris N, Karalexi MA, Ntouvelis E et al. Association of maternal and index child's diet with subsequent leukemia risk: A systematic review and meta analysis. </w:t>
      </w:r>
      <w:r w:rsidRPr="004B77DE">
        <w:rPr>
          <w:rFonts w:ascii="Trebuchet MS" w:hAnsi="Trebuchet MS"/>
          <w:i/>
          <w:noProof/>
          <w:sz w:val="16"/>
          <w:szCs w:val="16"/>
        </w:rPr>
        <w:t>Cancer Epidemiol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w:t>
      </w:r>
      <w:r w:rsidRPr="004B77DE">
        <w:rPr>
          <w:rFonts w:ascii="Trebuchet MS" w:hAnsi="Trebuchet MS"/>
          <w:noProof/>
          <w:sz w:val="16"/>
          <w:szCs w:val="16"/>
        </w:rPr>
        <w:t>-</w:t>
      </w:r>
      <w:r w:rsidRPr="004B77DE">
        <w:rPr>
          <w:rFonts w:ascii="Trebuchet MS" w:eastAsia="Calibri" w:hAnsi="Trebuchet MS" w:cs="Calibri"/>
          <w:noProof/>
          <w:sz w:val="16"/>
          <w:szCs w:val="16"/>
        </w:rPr>
        <w:t>75</w:t>
      </w:r>
      <w:r w:rsidRPr="004B77DE">
        <w:rPr>
          <w:rFonts w:ascii="Trebuchet MS" w:hAnsi="Trebuchet MS"/>
          <w:noProof/>
          <w:sz w:val="16"/>
          <w:szCs w:val="16"/>
        </w:rPr>
        <w:t>.</w:t>
      </w:r>
    </w:p>
    <w:p w14:paraId="4EB4CCD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76</w:t>
      </w:r>
      <w:r w:rsidRPr="004B77DE">
        <w:rPr>
          <w:rFonts w:ascii="Trebuchet MS" w:hAnsi="Trebuchet MS"/>
          <w:noProof/>
          <w:sz w:val="16"/>
          <w:szCs w:val="16"/>
        </w:rPr>
        <w:t>.</w:t>
      </w:r>
      <w:r w:rsidRPr="004B77DE">
        <w:rPr>
          <w:rFonts w:ascii="Trebuchet MS" w:hAnsi="Trebuchet MS"/>
          <w:noProof/>
          <w:sz w:val="16"/>
          <w:szCs w:val="16"/>
        </w:rPr>
        <w:tab/>
        <w:t xml:space="preserve">Lombardi C, Ganguly A, Bunin GR et al. Maternal diet during pregnancy and unilateral retinoblastoma. </w:t>
      </w:r>
      <w:r w:rsidRPr="004B77DE">
        <w:rPr>
          <w:rFonts w:ascii="Trebuchet MS" w:hAnsi="Trebuchet MS"/>
          <w:i/>
          <w:noProof/>
          <w:sz w:val="16"/>
          <w:szCs w:val="16"/>
        </w:rPr>
        <w:t>Cancer Causes Control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387</w:t>
      </w:r>
      <w:r w:rsidRPr="004B77DE">
        <w:rPr>
          <w:rFonts w:ascii="Trebuchet MS" w:hAnsi="Trebuchet MS"/>
          <w:noProof/>
          <w:sz w:val="16"/>
          <w:szCs w:val="16"/>
        </w:rPr>
        <w:t>-</w:t>
      </w:r>
      <w:r w:rsidRPr="004B77DE">
        <w:rPr>
          <w:rFonts w:ascii="Trebuchet MS" w:eastAsia="Calibri" w:hAnsi="Trebuchet MS" w:cs="Calibri"/>
          <w:noProof/>
          <w:sz w:val="16"/>
          <w:szCs w:val="16"/>
        </w:rPr>
        <w:t>97</w:t>
      </w:r>
      <w:r w:rsidRPr="004B77DE">
        <w:rPr>
          <w:rFonts w:ascii="Trebuchet MS" w:hAnsi="Trebuchet MS"/>
          <w:noProof/>
          <w:sz w:val="16"/>
          <w:szCs w:val="16"/>
        </w:rPr>
        <w:t>.</w:t>
      </w:r>
    </w:p>
    <w:p w14:paraId="4B80661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77</w:t>
      </w:r>
      <w:r w:rsidRPr="004B77DE">
        <w:rPr>
          <w:rFonts w:ascii="Trebuchet MS" w:hAnsi="Trebuchet MS"/>
          <w:noProof/>
          <w:sz w:val="16"/>
          <w:szCs w:val="16"/>
        </w:rPr>
        <w:t>.</w:t>
      </w:r>
      <w:r w:rsidRPr="004B77DE">
        <w:rPr>
          <w:rFonts w:ascii="Trebuchet MS" w:hAnsi="Trebuchet MS"/>
          <w:noProof/>
          <w:sz w:val="16"/>
          <w:szCs w:val="16"/>
        </w:rPr>
        <w:tab/>
        <w:t xml:space="preserve">Emmett PM, Jones LR, Golding J. Pregnancy diet and associated outcomes in the Avon Longitudinal Study of Parents and Children. </w:t>
      </w:r>
      <w:r w:rsidRPr="004B77DE">
        <w:rPr>
          <w:rFonts w:ascii="Trebuchet MS" w:hAnsi="Trebuchet MS"/>
          <w:i/>
          <w:noProof/>
          <w:sz w:val="16"/>
          <w:szCs w:val="16"/>
        </w:rPr>
        <w:t>Nutr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Suppl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154</w:t>
      </w:r>
      <w:r w:rsidRPr="004B77DE">
        <w:rPr>
          <w:rFonts w:ascii="Trebuchet MS" w:hAnsi="Trebuchet MS"/>
          <w:noProof/>
          <w:sz w:val="16"/>
          <w:szCs w:val="16"/>
        </w:rPr>
        <w:t>-</w:t>
      </w:r>
      <w:r w:rsidRPr="004B77DE">
        <w:rPr>
          <w:rFonts w:ascii="Trebuchet MS" w:eastAsia="Calibri" w:hAnsi="Trebuchet MS" w:cs="Calibri"/>
          <w:noProof/>
          <w:sz w:val="16"/>
          <w:szCs w:val="16"/>
        </w:rPr>
        <w:t>74</w:t>
      </w:r>
      <w:r w:rsidRPr="004B77DE">
        <w:rPr>
          <w:rFonts w:ascii="Trebuchet MS" w:hAnsi="Trebuchet MS"/>
          <w:noProof/>
          <w:sz w:val="16"/>
          <w:szCs w:val="16"/>
        </w:rPr>
        <w:t>.</w:t>
      </w:r>
    </w:p>
    <w:p w14:paraId="6559172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78</w:t>
      </w:r>
      <w:r w:rsidRPr="004B77DE">
        <w:rPr>
          <w:rFonts w:ascii="Trebuchet MS" w:hAnsi="Trebuchet MS"/>
          <w:noProof/>
          <w:sz w:val="16"/>
          <w:szCs w:val="16"/>
        </w:rPr>
        <w:t>.</w:t>
      </w:r>
      <w:r w:rsidRPr="004B77DE">
        <w:rPr>
          <w:rFonts w:ascii="Trebuchet MS" w:hAnsi="Trebuchet MS"/>
          <w:noProof/>
          <w:sz w:val="16"/>
          <w:szCs w:val="16"/>
        </w:rPr>
        <w:tab/>
        <w:t xml:space="preserve">Mohanty AF, Siscovick DS, Williams MA et al. Periconceptional seafood intake and pregnancy complications.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1795</w:t>
      </w:r>
      <w:r w:rsidRPr="004B77DE">
        <w:rPr>
          <w:rFonts w:ascii="Trebuchet MS" w:hAnsi="Trebuchet MS"/>
          <w:noProof/>
          <w:sz w:val="16"/>
          <w:szCs w:val="16"/>
        </w:rPr>
        <w:t>-</w:t>
      </w:r>
      <w:r w:rsidRPr="004B77DE">
        <w:rPr>
          <w:rFonts w:ascii="Trebuchet MS" w:eastAsia="Calibri" w:hAnsi="Trebuchet MS" w:cs="Calibri"/>
          <w:noProof/>
          <w:sz w:val="16"/>
          <w:szCs w:val="16"/>
        </w:rPr>
        <w:t>803</w:t>
      </w:r>
      <w:r w:rsidRPr="004B77DE">
        <w:rPr>
          <w:rFonts w:ascii="Trebuchet MS" w:hAnsi="Trebuchet MS"/>
          <w:noProof/>
          <w:sz w:val="16"/>
          <w:szCs w:val="16"/>
        </w:rPr>
        <w:t>.</w:t>
      </w:r>
    </w:p>
    <w:p w14:paraId="26D183A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79</w:t>
      </w:r>
      <w:r w:rsidRPr="004B77DE">
        <w:rPr>
          <w:rFonts w:ascii="Trebuchet MS" w:hAnsi="Trebuchet MS"/>
          <w:noProof/>
          <w:sz w:val="16"/>
          <w:szCs w:val="16"/>
        </w:rPr>
        <w:t>.</w:t>
      </w:r>
      <w:r w:rsidRPr="004B77DE">
        <w:rPr>
          <w:rFonts w:ascii="Trebuchet MS" w:hAnsi="Trebuchet MS"/>
          <w:noProof/>
          <w:sz w:val="16"/>
          <w:szCs w:val="16"/>
        </w:rPr>
        <w:tab/>
        <w:t xml:space="preserve">Vejrup K, Brantsaeter AL, Knutsen HK et al. Prenatal mercury exposure and infant birth weight in the Norwegian Mother and Child Cohort Study.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17(9): 2071-80.</w:t>
      </w:r>
    </w:p>
    <w:p w14:paraId="174C518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80</w:t>
      </w:r>
      <w:r w:rsidRPr="004B77DE">
        <w:rPr>
          <w:rFonts w:ascii="Trebuchet MS" w:hAnsi="Trebuchet MS"/>
          <w:noProof/>
          <w:sz w:val="16"/>
          <w:szCs w:val="16"/>
        </w:rPr>
        <w:t>.</w:t>
      </w:r>
      <w:r w:rsidRPr="004B77DE">
        <w:rPr>
          <w:rFonts w:ascii="Trebuchet MS" w:hAnsi="Trebuchet MS"/>
          <w:noProof/>
          <w:sz w:val="16"/>
          <w:szCs w:val="16"/>
        </w:rPr>
        <w:tab/>
        <w:t xml:space="preserve">Stratakis N, Roumeliotaki T, Oken E et al. Fish Intake in Pregnancy and Child Growth: A Pooled Analysis of 15 European and US Birth Cohorts. </w:t>
      </w:r>
      <w:r w:rsidRPr="004B77DE">
        <w:rPr>
          <w:rFonts w:ascii="Trebuchet MS" w:hAnsi="Trebuchet MS"/>
          <w:i/>
          <w:noProof/>
          <w:sz w:val="16"/>
          <w:szCs w:val="16"/>
        </w:rPr>
        <w:t>JAMA Pediatr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170</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381</w:t>
      </w:r>
      <w:r w:rsidRPr="004B77DE">
        <w:rPr>
          <w:rFonts w:ascii="Trebuchet MS" w:hAnsi="Trebuchet MS"/>
          <w:noProof/>
          <w:sz w:val="16"/>
          <w:szCs w:val="16"/>
        </w:rPr>
        <w:t>-</w:t>
      </w:r>
      <w:r w:rsidRPr="004B77DE">
        <w:rPr>
          <w:rFonts w:ascii="Trebuchet MS" w:eastAsia="Calibri" w:hAnsi="Trebuchet MS" w:cs="Calibri"/>
          <w:noProof/>
          <w:sz w:val="16"/>
          <w:szCs w:val="16"/>
        </w:rPr>
        <w:t>90</w:t>
      </w:r>
      <w:r w:rsidRPr="004B77DE">
        <w:rPr>
          <w:rFonts w:ascii="Trebuchet MS" w:hAnsi="Trebuchet MS"/>
          <w:noProof/>
          <w:sz w:val="16"/>
          <w:szCs w:val="16"/>
        </w:rPr>
        <w:t>.</w:t>
      </w:r>
    </w:p>
    <w:p w14:paraId="02E2436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81</w:t>
      </w:r>
      <w:r w:rsidRPr="004B77DE">
        <w:rPr>
          <w:rFonts w:ascii="Trebuchet MS" w:hAnsi="Trebuchet MS"/>
          <w:noProof/>
          <w:sz w:val="16"/>
          <w:szCs w:val="16"/>
        </w:rPr>
        <w:t>.</w:t>
      </w:r>
      <w:r w:rsidRPr="004B77DE">
        <w:rPr>
          <w:rFonts w:ascii="Trebuchet MS" w:hAnsi="Trebuchet MS"/>
          <w:noProof/>
          <w:sz w:val="16"/>
          <w:szCs w:val="16"/>
        </w:rPr>
        <w:tab/>
        <w:t xml:space="preserve">van den Berg SW, Wijga AH, van Rossem L et al. Maternal fish consumption during pregnancy and BMI in children from birth up to age 14 years: the PIAMA cohort study. </w:t>
      </w:r>
      <w:r w:rsidRPr="004B77DE">
        <w:rPr>
          <w:rFonts w:ascii="Trebuchet MS" w:hAnsi="Trebuchet MS"/>
          <w:i/>
          <w:noProof/>
          <w:sz w:val="16"/>
          <w:szCs w:val="16"/>
        </w:rPr>
        <w:t>Eur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799</w:t>
      </w:r>
      <w:r w:rsidRPr="004B77DE">
        <w:rPr>
          <w:rFonts w:ascii="Trebuchet MS" w:hAnsi="Trebuchet MS"/>
          <w:noProof/>
          <w:sz w:val="16"/>
          <w:szCs w:val="16"/>
        </w:rPr>
        <w:t>-</w:t>
      </w:r>
      <w:r w:rsidRPr="004B77DE">
        <w:rPr>
          <w:rFonts w:ascii="Trebuchet MS" w:eastAsia="Calibri" w:hAnsi="Trebuchet MS" w:cs="Calibri"/>
          <w:noProof/>
          <w:sz w:val="16"/>
          <w:szCs w:val="16"/>
        </w:rPr>
        <w:t>808</w:t>
      </w:r>
      <w:r w:rsidRPr="004B77DE">
        <w:rPr>
          <w:rFonts w:ascii="Trebuchet MS" w:hAnsi="Trebuchet MS"/>
          <w:noProof/>
          <w:sz w:val="16"/>
          <w:szCs w:val="16"/>
        </w:rPr>
        <w:t>.</w:t>
      </w:r>
    </w:p>
    <w:p w14:paraId="4594578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82</w:t>
      </w:r>
      <w:r w:rsidRPr="004B77DE">
        <w:rPr>
          <w:rFonts w:ascii="Trebuchet MS" w:hAnsi="Trebuchet MS"/>
          <w:noProof/>
          <w:sz w:val="16"/>
          <w:szCs w:val="16"/>
        </w:rPr>
        <w:t>.</w:t>
      </w:r>
      <w:r w:rsidRPr="004B77DE">
        <w:rPr>
          <w:rFonts w:ascii="Trebuchet MS" w:hAnsi="Trebuchet MS"/>
          <w:noProof/>
          <w:sz w:val="16"/>
          <w:szCs w:val="16"/>
        </w:rPr>
        <w:tab/>
        <w:t xml:space="preserve">Zhang GQ, Liu B, Li J et al. Fish intake during pregnancy or infancy and allergic outcomes in children: A systematic review and meta-analysis. </w:t>
      </w:r>
      <w:r w:rsidRPr="004B77DE">
        <w:rPr>
          <w:rFonts w:ascii="Trebuchet MS" w:hAnsi="Trebuchet MS"/>
          <w:i/>
          <w:noProof/>
          <w:sz w:val="16"/>
          <w:szCs w:val="16"/>
        </w:rPr>
        <w:t>Pediatr Allergy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152</w:t>
      </w:r>
      <w:r w:rsidRPr="004B77DE">
        <w:rPr>
          <w:rFonts w:ascii="Trebuchet MS" w:hAnsi="Trebuchet MS"/>
          <w:noProof/>
          <w:sz w:val="16"/>
          <w:szCs w:val="16"/>
        </w:rPr>
        <w:t>-</w:t>
      </w:r>
      <w:r w:rsidRPr="004B77DE">
        <w:rPr>
          <w:rFonts w:ascii="Trebuchet MS" w:eastAsia="Calibri" w:hAnsi="Trebuchet MS" w:cs="Calibri"/>
          <w:noProof/>
          <w:sz w:val="16"/>
          <w:szCs w:val="16"/>
        </w:rPr>
        <w:t>61</w:t>
      </w:r>
      <w:r w:rsidRPr="004B77DE">
        <w:rPr>
          <w:rFonts w:ascii="Trebuchet MS" w:hAnsi="Trebuchet MS"/>
          <w:noProof/>
          <w:sz w:val="16"/>
          <w:szCs w:val="16"/>
        </w:rPr>
        <w:t>.</w:t>
      </w:r>
    </w:p>
    <w:p w14:paraId="4B2F522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83</w:t>
      </w:r>
      <w:r w:rsidRPr="004B77DE">
        <w:rPr>
          <w:rFonts w:ascii="Trebuchet MS" w:hAnsi="Trebuchet MS"/>
          <w:noProof/>
          <w:sz w:val="16"/>
          <w:szCs w:val="16"/>
        </w:rPr>
        <w:t>.</w:t>
      </w:r>
      <w:r w:rsidRPr="004B77DE">
        <w:rPr>
          <w:rFonts w:ascii="Trebuchet MS" w:hAnsi="Trebuchet MS"/>
          <w:noProof/>
          <w:sz w:val="16"/>
          <w:szCs w:val="16"/>
        </w:rPr>
        <w:tab/>
        <w:t xml:space="preserve">Ozawa N, Shimojo N, Suzuki Y et al. Maternal intake of Natto, a Japan's traditional fermented soybean food, during pregnancy and the risk of eczema in Japanese babies. </w:t>
      </w:r>
      <w:r w:rsidRPr="004B77DE">
        <w:rPr>
          <w:rFonts w:ascii="Trebuchet MS" w:hAnsi="Trebuchet MS"/>
          <w:i/>
          <w:noProof/>
          <w:sz w:val="16"/>
          <w:szCs w:val="16"/>
        </w:rPr>
        <w:t>Allergol Int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53CB93E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84</w:t>
      </w:r>
      <w:r w:rsidRPr="004B77DE">
        <w:rPr>
          <w:rFonts w:ascii="Trebuchet MS" w:hAnsi="Trebuchet MS"/>
          <w:noProof/>
          <w:sz w:val="16"/>
          <w:szCs w:val="16"/>
        </w:rPr>
        <w:t>.</w:t>
      </w:r>
      <w:r w:rsidRPr="004B77DE">
        <w:rPr>
          <w:rFonts w:ascii="Trebuchet MS" w:hAnsi="Trebuchet MS"/>
          <w:noProof/>
          <w:sz w:val="16"/>
          <w:szCs w:val="16"/>
        </w:rPr>
        <w:tab/>
        <w:t xml:space="preserve">Maslova E, Strom M, Oken E et al. Fish intake during pregnancy and the risk of child asthma and allergic rhinitis - longitudinal evidence from the Danish National Birth Cohort.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1313</w:t>
      </w:r>
      <w:r w:rsidRPr="004B77DE">
        <w:rPr>
          <w:rFonts w:ascii="Trebuchet MS" w:hAnsi="Trebuchet MS"/>
          <w:noProof/>
          <w:sz w:val="16"/>
          <w:szCs w:val="16"/>
        </w:rPr>
        <w:t>-</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045BB10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85</w:t>
      </w:r>
      <w:r w:rsidRPr="004B77DE">
        <w:rPr>
          <w:rFonts w:ascii="Trebuchet MS" w:hAnsi="Trebuchet MS"/>
          <w:noProof/>
          <w:sz w:val="16"/>
          <w:szCs w:val="16"/>
        </w:rPr>
        <w:t>.</w:t>
      </w:r>
      <w:r w:rsidRPr="004B77DE">
        <w:rPr>
          <w:rFonts w:ascii="Trebuchet MS" w:hAnsi="Trebuchet MS"/>
          <w:noProof/>
          <w:sz w:val="16"/>
          <w:szCs w:val="16"/>
        </w:rPr>
        <w:tab/>
        <w:t xml:space="preserve">Starling P, Charlton K, McMahon AT et al. Fish intake during pregnancy and foetal neurodevelopment--a systematic review of the evidence.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2001</w:t>
      </w:r>
      <w:r w:rsidRPr="004B77DE">
        <w:rPr>
          <w:rFonts w:ascii="Trebuchet MS" w:hAnsi="Trebuchet MS"/>
          <w:noProof/>
          <w:sz w:val="16"/>
          <w:szCs w:val="16"/>
        </w:rPr>
        <w:t>-</w:t>
      </w:r>
      <w:r w:rsidRPr="004B77DE">
        <w:rPr>
          <w:rFonts w:ascii="Trebuchet MS" w:eastAsia="Calibri" w:hAnsi="Trebuchet MS" w:cs="Calibri"/>
          <w:noProof/>
          <w:sz w:val="16"/>
          <w:szCs w:val="16"/>
        </w:rPr>
        <w:t>14</w:t>
      </w:r>
      <w:r w:rsidRPr="004B77DE">
        <w:rPr>
          <w:rFonts w:ascii="Trebuchet MS" w:hAnsi="Trebuchet MS"/>
          <w:noProof/>
          <w:sz w:val="16"/>
          <w:szCs w:val="16"/>
        </w:rPr>
        <w:t>.</w:t>
      </w:r>
    </w:p>
    <w:p w14:paraId="1F75B60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86</w:t>
      </w:r>
      <w:r w:rsidRPr="004B77DE">
        <w:rPr>
          <w:rFonts w:ascii="Trebuchet MS" w:hAnsi="Trebuchet MS"/>
          <w:noProof/>
          <w:sz w:val="16"/>
          <w:szCs w:val="16"/>
        </w:rPr>
        <w:t>.</w:t>
      </w:r>
      <w:r w:rsidRPr="004B77DE">
        <w:rPr>
          <w:rFonts w:ascii="Trebuchet MS" w:hAnsi="Trebuchet MS"/>
          <w:noProof/>
          <w:sz w:val="16"/>
          <w:szCs w:val="16"/>
        </w:rPr>
        <w:tab/>
        <w:t xml:space="preserve">Vejrup K, Brandlistuen RE, Brantsaeter AL et al. Prenatal mercury exposure, maternal seafood consumption and associations with child language at five years. </w:t>
      </w:r>
      <w:r w:rsidRPr="004B77DE">
        <w:rPr>
          <w:rFonts w:ascii="Trebuchet MS" w:hAnsi="Trebuchet MS"/>
          <w:i/>
          <w:noProof/>
          <w:sz w:val="16"/>
          <w:szCs w:val="16"/>
        </w:rPr>
        <w:t>Environ Int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4AB7672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87</w:t>
      </w:r>
      <w:r w:rsidRPr="004B77DE">
        <w:rPr>
          <w:rFonts w:ascii="Trebuchet MS" w:hAnsi="Trebuchet MS"/>
          <w:noProof/>
          <w:sz w:val="16"/>
          <w:szCs w:val="16"/>
        </w:rPr>
        <w:t>.</w:t>
      </w:r>
      <w:r w:rsidRPr="004B77DE">
        <w:rPr>
          <w:rFonts w:ascii="Trebuchet MS" w:hAnsi="Trebuchet MS"/>
          <w:noProof/>
          <w:sz w:val="16"/>
          <w:szCs w:val="16"/>
        </w:rPr>
        <w:tab/>
        <w:t xml:space="preserve">Vejrup K, Schjolberg S, Knutsen HK et al. Prenatal methylmercury exposure and language delay at three years of age in the Norwegian Mother and Child Cohort Study. </w:t>
      </w:r>
      <w:r w:rsidRPr="004B77DE">
        <w:rPr>
          <w:rFonts w:ascii="Trebuchet MS" w:hAnsi="Trebuchet MS"/>
          <w:i/>
          <w:noProof/>
          <w:sz w:val="16"/>
          <w:szCs w:val="16"/>
        </w:rPr>
        <w:t>Environ Int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92</w:t>
      </w:r>
      <w:r w:rsidRPr="004B77DE">
        <w:rPr>
          <w:rFonts w:ascii="Trebuchet MS" w:hAnsi="Trebuchet MS"/>
          <w:noProof/>
          <w:sz w:val="16"/>
          <w:szCs w:val="16"/>
        </w:rPr>
        <w:t>-</w:t>
      </w:r>
      <w:r w:rsidRPr="004B77DE">
        <w:rPr>
          <w:rFonts w:ascii="Trebuchet MS" w:eastAsia="Calibri" w:hAnsi="Trebuchet MS" w:cs="Calibri"/>
          <w:noProof/>
          <w:sz w:val="16"/>
          <w:szCs w:val="16"/>
        </w:rPr>
        <w:t>93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0B7A71A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88</w:t>
      </w:r>
      <w:r w:rsidRPr="004B77DE">
        <w:rPr>
          <w:rFonts w:ascii="Trebuchet MS" w:hAnsi="Trebuchet MS"/>
          <w:noProof/>
          <w:sz w:val="16"/>
          <w:szCs w:val="16"/>
        </w:rPr>
        <w:t>.</w:t>
      </w:r>
      <w:r w:rsidRPr="004B77DE">
        <w:rPr>
          <w:rFonts w:ascii="Trebuchet MS" w:hAnsi="Trebuchet MS"/>
          <w:noProof/>
          <w:sz w:val="16"/>
          <w:szCs w:val="16"/>
        </w:rPr>
        <w:tab/>
        <w:t xml:space="preserve">Mesirow MS, Cecil C, Maughan B et al. Associations between prenatal and early childhood fish and processed food intake, conduct problems, and co-occurring difficulties. </w:t>
      </w:r>
      <w:r w:rsidRPr="004B77DE">
        <w:rPr>
          <w:rFonts w:ascii="Trebuchet MS" w:hAnsi="Trebuchet MS"/>
          <w:i/>
          <w:noProof/>
          <w:sz w:val="16"/>
          <w:szCs w:val="16"/>
        </w:rPr>
        <w:t>J Abnorm Child Psychol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45</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1039</w:t>
      </w:r>
      <w:r w:rsidRPr="004B77DE">
        <w:rPr>
          <w:rFonts w:ascii="Trebuchet MS" w:hAnsi="Trebuchet MS"/>
          <w:noProof/>
          <w:sz w:val="16"/>
          <w:szCs w:val="16"/>
        </w:rPr>
        <w:t>-49.</w:t>
      </w:r>
    </w:p>
    <w:p w14:paraId="73E5997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89</w:t>
      </w:r>
      <w:r w:rsidRPr="004B77DE">
        <w:rPr>
          <w:rFonts w:ascii="Trebuchet MS" w:hAnsi="Trebuchet MS"/>
          <w:noProof/>
          <w:sz w:val="16"/>
          <w:szCs w:val="16"/>
        </w:rPr>
        <w:t>.</w:t>
      </w:r>
      <w:r w:rsidRPr="004B77DE">
        <w:rPr>
          <w:rFonts w:ascii="Trebuchet MS" w:hAnsi="Trebuchet MS"/>
          <w:noProof/>
          <w:sz w:val="16"/>
          <w:szCs w:val="16"/>
        </w:rPr>
        <w:tab/>
        <w:t xml:space="preserve">Miyake Y, Tanaka K, Okubo H et al. Intake of dairy products and calcium and prevalence of depressive symptoms during pregnancy in Japan: a cross-sectional study.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336</w:t>
      </w:r>
      <w:r w:rsidRPr="004B77DE">
        <w:rPr>
          <w:rFonts w:ascii="Trebuchet MS" w:hAnsi="Trebuchet MS"/>
          <w:noProof/>
          <w:sz w:val="16"/>
          <w:szCs w:val="16"/>
        </w:rPr>
        <w:t>-</w:t>
      </w:r>
      <w:r w:rsidRPr="004B77DE">
        <w:rPr>
          <w:rFonts w:ascii="Trebuchet MS" w:eastAsia="Calibri" w:hAnsi="Trebuchet MS" w:cs="Calibri"/>
          <w:noProof/>
          <w:sz w:val="16"/>
          <w:szCs w:val="16"/>
        </w:rPr>
        <w:t>43</w:t>
      </w:r>
      <w:r w:rsidRPr="004B77DE">
        <w:rPr>
          <w:rFonts w:ascii="Trebuchet MS" w:hAnsi="Trebuchet MS"/>
          <w:noProof/>
          <w:sz w:val="16"/>
          <w:szCs w:val="16"/>
        </w:rPr>
        <w:t>.</w:t>
      </w:r>
    </w:p>
    <w:p w14:paraId="17F7FB1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90</w:t>
      </w:r>
      <w:r w:rsidRPr="004B77DE">
        <w:rPr>
          <w:rFonts w:ascii="Trebuchet MS" w:hAnsi="Trebuchet MS"/>
          <w:noProof/>
          <w:sz w:val="16"/>
          <w:szCs w:val="16"/>
        </w:rPr>
        <w:t>.</w:t>
      </w:r>
      <w:r w:rsidRPr="004B77DE">
        <w:rPr>
          <w:rFonts w:ascii="Trebuchet MS" w:hAnsi="Trebuchet MS"/>
          <w:noProof/>
          <w:sz w:val="16"/>
          <w:szCs w:val="16"/>
        </w:rPr>
        <w:tab/>
        <w:t xml:space="preserve">Bunyavanich S, Rifas-Shiman SL, Platts-Mills TA et al. Peanut, milk, and wheat intake during pregnancy is associated with reduced allergy and asthma in children. </w:t>
      </w:r>
      <w:r w:rsidRPr="004B77DE">
        <w:rPr>
          <w:rFonts w:ascii="Trebuchet MS" w:hAnsi="Trebuchet MS"/>
          <w:i/>
          <w:noProof/>
          <w:sz w:val="16"/>
          <w:szCs w:val="16"/>
        </w:rPr>
        <w:t>J Allergy Clin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133</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1373</w:t>
      </w:r>
      <w:r w:rsidRPr="004B77DE">
        <w:rPr>
          <w:rFonts w:ascii="Trebuchet MS" w:hAnsi="Trebuchet MS"/>
          <w:noProof/>
          <w:sz w:val="16"/>
          <w:szCs w:val="16"/>
        </w:rPr>
        <w:t>-</w:t>
      </w:r>
      <w:r w:rsidRPr="004B77DE">
        <w:rPr>
          <w:rFonts w:ascii="Trebuchet MS" w:eastAsia="Calibri" w:hAnsi="Trebuchet MS" w:cs="Calibri"/>
          <w:noProof/>
          <w:sz w:val="16"/>
          <w:szCs w:val="16"/>
        </w:rPr>
        <w:t>82</w:t>
      </w:r>
      <w:r w:rsidRPr="004B77DE">
        <w:rPr>
          <w:rFonts w:ascii="Trebuchet MS" w:hAnsi="Trebuchet MS"/>
          <w:noProof/>
          <w:sz w:val="16"/>
          <w:szCs w:val="16"/>
        </w:rPr>
        <w:t>.</w:t>
      </w:r>
    </w:p>
    <w:p w14:paraId="5C90BF9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91</w:t>
      </w:r>
      <w:r w:rsidRPr="004B77DE">
        <w:rPr>
          <w:rFonts w:ascii="Trebuchet MS" w:hAnsi="Trebuchet MS"/>
          <w:noProof/>
          <w:sz w:val="16"/>
          <w:szCs w:val="16"/>
        </w:rPr>
        <w:t>.</w:t>
      </w:r>
      <w:r w:rsidRPr="004B77DE">
        <w:rPr>
          <w:rFonts w:ascii="Trebuchet MS" w:hAnsi="Trebuchet MS"/>
          <w:noProof/>
          <w:sz w:val="16"/>
          <w:szCs w:val="16"/>
        </w:rPr>
        <w:tab/>
        <w:t xml:space="preserve">Tuokkola J, Luukkainen P, Tapanainen H et al. Maternal diet during pregnancy and lactation and cow's milk allergy in offspring. </w:t>
      </w:r>
      <w:r w:rsidRPr="004B77DE">
        <w:rPr>
          <w:rFonts w:ascii="Trebuchet MS" w:hAnsi="Trebuchet MS"/>
          <w:i/>
          <w:noProof/>
          <w:sz w:val="16"/>
          <w:szCs w:val="16"/>
        </w:rPr>
        <w:t>Eur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70</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9B2F51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92</w:t>
      </w:r>
      <w:r w:rsidRPr="004B77DE">
        <w:rPr>
          <w:rFonts w:ascii="Trebuchet MS" w:hAnsi="Trebuchet MS"/>
          <w:noProof/>
          <w:sz w:val="16"/>
          <w:szCs w:val="16"/>
        </w:rPr>
        <w:t>.</w:t>
      </w:r>
      <w:r w:rsidRPr="004B77DE">
        <w:rPr>
          <w:rFonts w:ascii="Trebuchet MS" w:hAnsi="Trebuchet MS"/>
          <w:noProof/>
          <w:sz w:val="16"/>
          <w:szCs w:val="16"/>
        </w:rPr>
        <w:tab/>
        <w:t xml:space="preserve">Renault KM, Carlsen EM, Norgaard K et al. Intake of carbohydrates during pregnancy in obese women is associated with fat mass in the newborn offspring.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102</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75-81.</w:t>
      </w:r>
    </w:p>
    <w:p w14:paraId="78CFF18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93</w:t>
      </w:r>
      <w:r w:rsidRPr="004B77DE">
        <w:rPr>
          <w:rFonts w:ascii="Trebuchet MS" w:hAnsi="Trebuchet MS"/>
          <w:noProof/>
          <w:sz w:val="16"/>
          <w:szCs w:val="16"/>
        </w:rPr>
        <w:t>.</w:t>
      </w:r>
      <w:r w:rsidRPr="004B77DE">
        <w:rPr>
          <w:rFonts w:ascii="Trebuchet MS" w:hAnsi="Trebuchet MS"/>
          <w:noProof/>
          <w:sz w:val="16"/>
          <w:szCs w:val="16"/>
        </w:rPr>
        <w:tab/>
        <w:t xml:space="preserve">Sharma SS, Greenwood DC, Simpson NAB et al. Is dietary macronutrient composition during pregnancy associated with offspring birth weight? An observational study.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330</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27730AB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94</w:t>
      </w:r>
      <w:r w:rsidRPr="004B77DE">
        <w:rPr>
          <w:rFonts w:ascii="Trebuchet MS" w:hAnsi="Trebuchet MS"/>
          <w:noProof/>
          <w:sz w:val="16"/>
          <w:szCs w:val="16"/>
        </w:rPr>
        <w:t>.</w:t>
      </w:r>
      <w:r w:rsidRPr="004B77DE">
        <w:rPr>
          <w:rFonts w:ascii="Trebuchet MS" w:hAnsi="Trebuchet MS"/>
          <w:noProof/>
          <w:sz w:val="16"/>
          <w:szCs w:val="16"/>
        </w:rPr>
        <w:tab/>
        <w:t xml:space="preserve">Pang WW, Colega M, Cai S et al. Higher maternal dietary protein intake is associated with a higher risk of gestational diabetes mellitus in a multiethnic asian cohort.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147</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653</w:t>
      </w:r>
      <w:r w:rsidRPr="004B77DE">
        <w:rPr>
          <w:rFonts w:ascii="Trebuchet MS" w:hAnsi="Trebuchet MS"/>
          <w:noProof/>
          <w:sz w:val="16"/>
          <w:szCs w:val="16"/>
        </w:rPr>
        <w:t>-</w:t>
      </w:r>
      <w:r w:rsidRPr="004B77DE">
        <w:rPr>
          <w:rFonts w:ascii="Trebuchet MS" w:eastAsia="Calibri" w:hAnsi="Trebuchet MS" w:cs="Calibri"/>
          <w:noProof/>
          <w:sz w:val="16"/>
          <w:szCs w:val="16"/>
        </w:rPr>
        <w:t>60</w:t>
      </w:r>
      <w:r w:rsidRPr="004B77DE">
        <w:rPr>
          <w:rFonts w:ascii="Trebuchet MS" w:hAnsi="Trebuchet MS"/>
          <w:noProof/>
          <w:sz w:val="16"/>
          <w:szCs w:val="16"/>
        </w:rPr>
        <w:t>.</w:t>
      </w:r>
    </w:p>
    <w:p w14:paraId="5ADE0EC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95</w:t>
      </w:r>
      <w:r w:rsidRPr="004B77DE">
        <w:rPr>
          <w:rFonts w:ascii="Trebuchet MS" w:hAnsi="Trebuchet MS"/>
          <w:noProof/>
          <w:sz w:val="16"/>
          <w:szCs w:val="16"/>
        </w:rPr>
        <w:t>.</w:t>
      </w:r>
      <w:r w:rsidRPr="004B77DE">
        <w:rPr>
          <w:rFonts w:ascii="Trebuchet MS" w:hAnsi="Trebuchet MS"/>
          <w:noProof/>
          <w:sz w:val="16"/>
          <w:szCs w:val="16"/>
        </w:rPr>
        <w:tab/>
        <w:t xml:space="preserve">Switkowski KM, Jacques PF, Must A et al. Maternal protein intake during pregnancy and linear growth in the offspring.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104</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1128</w:t>
      </w:r>
      <w:r w:rsidRPr="004B77DE">
        <w:rPr>
          <w:rFonts w:ascii="Trebuchet MS" w:hAnsi="Trebuchet MS"/>
          <w:noProof/>
          <w:sz w:val="16"/>
          <w:szCs w:val="16"/>
        </w:rPr>
        <w:t>-</w:t>
      </w:r>
      <w:r w:rsidRPr="004B77DE">
        <w:rPr>
          <w:rFonts w:ascii="Trebuchet MS" w:eastAsia="Calibri" w:hAnsi="Trebuchet MS" w:cs="Calibri"/>
          <w:noProof/>
          <w:sz w:val="16"/>
          <w:szCs w:val="16"/>
        </w:rPr>
        <w:t>36</w:t>
      </w:r>
      <w:r w:rsidRPr="004B77DE">
        <w:rPr>
          <w:rFonts w:ascii="Trebuchet MS" w:hAnsi="Trebuchet MS"/>
          <w:noProof/>
          <w:sz w:val="16"/>
          <w:szCs w:val="16"/>
        </w:rPr>
        <w:t>.</w:t>
      </w:r>
    </w:p>
    <w:p w14:paraId="37FB0FF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96</w:t>
      </w:r>
      <w:r w:rsidRPr="004B77DE">
        <w:rPr>
          <w:rFonts w:ascii="Trebuchet MS" w:hAnsi="Trebuchet MS"/>
          <w:noProof/>
          <w:sz w:val="16"/>
          <w:szCs w:val="16"/>
        </w:rPr>
        <w:t>.</w:t>
      </w:r>
      <w:r w:rsidRPr="004B77DE">
        <w:rPr>
          <w:rFonts w:ascii="Trebuchet MS" w:hAnsi="Trebuchet MS"/>
          <w:noProof/>
          <w:sz w:val="16"/>
          <w:szCs w:val="16"/>
        </w:rPr>
        <w:tab/>
        <w:t xml:space="preserve">Tielemans MJ, Steegers EAP, Voortman T et al. Protein intake during pregnancy and offspring body composition at 6 years: the Generation R Study. </w:t>
      </w:r>
      <w:r w:rsidRPr="004B77DE">
        <w:rPr>
          <w:rFonts w:ascii="Trebuchet MS" w:hAnsi="Trebuchet MS"/>
          <w:i/>
          <w:noProof/>
          <w:sz w:val="16"/>
          <w:szCs w:val="16"/>
        </w:rPr>
        <w:t>Eur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2151</w:t>
      </w:r>
      <w:r w:rsidRPr="004B77DE">
        <w:rPr>
          <w:rFonts w:ascii="Trebuchet MS" w:hAnsi="Trebuchet MS"/>
          <w:noProof/>
          <w:sz w:val="16"/>
          <w:szCs w:val="16"/>
        </w:rPr>
        <w:t>-</w:t>
      </w:r>
      <w:r w:rsidRPr="004B77DE">
        <w:rPr>
          <w:rFonts w:ascii="Trebuchet MS" w:eastAsia="Calibri" w:hAnsi="Trebuchet MS" w:cs="Calibri"/>
          <w:noProof/>
          <w:sz w:val="16"/>
          <w:szCs w:val="16"/>
        </w:rPr>
        <w:t>60</w:t>
      </w:r>
      <w:r w:rsidRPr="004B77DE">
        <w:rPr>
          <w:rFonts w:ascii="Trebuchet MS" w:hAnsi="Trebuchet MS"/>
          <w:noProof/>
          <w:sz w:val="16"/>
          <w:szCs w:val="16"/>
        </w:rPr>
        <w:t>.</w:t>
      </w:r>
    </w:p>
    <w:p w14:paraId="794C868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97</w:t>
      </w:r>
      <w:r w:rsidRPr="004B77DE">
        <w:rPr>
          <w:rFonts w:ascii="Trebuchet MS" w:hAnsi="Trebuchet MS"/>
          <w:noProof/>
          <w:sz w:val="16"/>
          <w:szCs w:val="16"/>
        </w:rPr>
        <w:t>.</w:t>
      </w:r>
      <w:r w:rsidRPr="004B77DE">
        <w:rPr>
          <w:rFonts w:ascii="Trebuchet MS" w:hAnsi="Trebuchet MS"/>
          <w:noProof/>
          <w:sz w:val="16"/>
          <w:szCs w:val="16"/>
        </w:rPr>
        <w:tab/>
        <w:t xml:space="preserve">Chen LW, Tint MT, Fortier MV et al. Maternal macronutrient intake during pregnancy is associated with neonatal abdominal adiposity: The Growing Up in Singapore Towards healthy Outcomes (GUSTO) study.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146</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1571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5237CF9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98</w:t>
      </w:r>
      <w:r w:rsidRPr="004B77DE">
        <w:rPr>
          <w:rFonts w:ascii="Trebuchet MS" w:hAnsi="Trebuchet MS"/>
          <w:noProof/>
          <w:sz w:val="16"/>
          <w:szCs w:val="16"/>
        </w:rPr>
        <w:t>.</w:t>
      </w:r>
      <w:r w:rsidRPr="004B77DE">
        <w:rPr>
          <w:rFonts w:ascii="Trebuchet MS" w:hAnsi="Trebuchet MS"/>
          <w:noProof/>
          <w:sz w:val="16"/>
          <w:szCs w:val="16"/>
        </w:rPr>
        <w:tab/>
        <w:t xml:space="preserve">Mizgier M, Jarzabek-Bielecka G, Mruczyk K. Maternal diet and gestational diabetes mellitus development. </w:t>
      </w:r>
      <w:r w:rsidRPr="004B77DE">
        <w:rPr>
          <w:rFonts w:ascii="Trebuchet MS" w:hAnsi="Trebuchet MS"/>
          <w:i/>
          <w:noProof/>
          <w:sz w:val="16"/>
          <w:szCs w:val="16"/>
        </w:rPr>
        <w:t>J Maternal-Fetal Neonat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w:t>
      </w:r>
    </w:p>
    <w:p w14:paraId="432DA65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99</w:t>
      </w:r>
      <w:r w:rsidRPr="004B77DE">
        <w:rPr>
          <w:rFonts w:ascii="Trebuchet MS" w:hAnsi="Trebuchet MS"/>
          <w:noProof/>
          <w:sz w:val="16"/>
          <w:szCs w:val="16"/>
        </w:rPr>
        <w:t>.</w:t>
      </w:r>
      <w:r w:rsidRPr="004B77DE">
        <w:rPr>
          <w:rFonts w:ascii="Trebuchet MS" w:hAnsi="Trebuchet MS"/>
          <w:noProof/>
          <w:sz w:val="16"/>
          <w:szCs w:val="16"/>
        </w:rPr>
        <w:tab/>
        <w:t xml:space="preserve">Watson PE, McDonald BW. Water and nutrient intake in pregnant New Zealand women: association with wheeze in their infants at 18 months. </w:t>
      </w:r>
      <w:r w:rsidRPr="004B77DE">
        <w:rPr>
          <w:rFonts w:ascii="Trebuchet MS" w:hAnsi="Trebuchet MS"/>
          <w:i/>
          <w:noProof/>
          <w:sz w:val="16"/>
          <w:szCs w:val="16"/>
        </w:rPr>
        <w:t>Asia Pac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660</w:t>
      </w:r>
      <w:r w:rsidRPr="004B77DE">
        <w:rPr>
          <w:rFonts w:ascii="Trebuchet MS" w:hAnsi="Trebuchet MS"/>
          <w:noProof/>
          <w:sz w:val="16"/>
          <w:szCs w:val="16"/>
        </w:rPr>
        <w:t>-</w:t>
      </w:r>
      <w:r w:rsidRPr="004B77DE">
        <w:rPr>
          <w:rFonts w:ascii="Trebuchet MS" w:eastAsia="Calibri" w:hAnsi="Trebuchet MS" w:cs="Calibri"/>
          <w:noProof/>
          <w:sz w:val="16"/>
          <w:szCs w:val="16"/>
        </w:rPr>
        <w:t>70</w:t>
      </w:r>
      <w:r w:rsidRPr="004B77DE">
        <w:rPr>
          <w:rFonts w:ascii="Trebuchet MS" w:hAnsi="Trebuchet MS"/>
          <w:noProof/>
          <w:sz w:val="16"/>
          <w:szCs w:val="16"/>
        </w:rPr>
        <w:t>.</w:t>
      </w:r>
    </w:p>
    <w:p w14:paraId="10E4599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100</w:t>
      </w:r>
      <w:r w:rsidRPr="004B77DE">
        <w:rPr>
          <w:rFonts w:ascii="Trebuchet MS" w:hAnsi="Trebuchet MS"/>
          <w:noProof/>
          <w:sz w:val="16"/>
          <w:szCs w:val="16"/>
        </w:rPr>
        <w:t>.</w:t>
      </w:r>
      <w:r w:rsidRPr="004B77DE">
        <w:rPr>
          <w:rFonts w:ascii="Trebuchet MS" w:hAnsi="Trebuchet MS"/>
          <w:noProof/>
          <w:sz w:val="16"/>
          <w:szCs w:val="16"/>
        </w:rPr>
        <w:tab/>
        <w:t xml:space="preserve">Renault KM, Carlsen EM, Nørgaard K et al. Intake of sweets, snacks and soft drinks predicts weight gain in obese pregnant women: detailed analysis of the results of a randomised controlled trial.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(7).</w:t>
      </w:r>
    </w:p>
    <w:p w14:paraId="0155987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101</w:t>
      </w:r>
      <w:r w:rsidRPr="004B77DE">
        <w:rPr>
          <w:rFonts w:ascii="Trebuchet MS" w:hAnsi="Trebuchet MS"/>
          <w:noProof/>
          <w:sz w:val="16"/>
          <w:szCs w:val="16"/>
        </w:rPr>
        <w:t>.</w:t>
      </w:r>
      <w:r w:rsidRPr="004B77DE">
        <w:rPr>
          <w:rFonts w:ascii="Trebuchet MS" w:hAnsi="Trebuchet MS"/>
          <w:noProof/>
          <w:sz w:val="16"/>
          <w:szCs w:val="16"/>
        </w:rPr>
        <w:tab/>
        <w:t xml:space="preserve">Donazar-Ezcurra M, Lopez-Del Burgo C, Martinez-Gonzalez MA et al. Soft drink consumption and gestational diabetes risk in the SUN project. </w:t>
      </w:r>
      <w:r w:rsidRPr="004B77DE">
        <w:rPr>
          <w:rFonts w:ascii="Trebuchet MS" w:hAnsi="Trebuchet MS"/>
          <w:i/>
          <w:noProof/>
          <w:sz w:val="16"/>
          <w:szCs w:val="16"/>
        </w:rPr>
        <w:t>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37</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638</w:t>
      </w:r>
      <w:r w:rsidRPr="004B77DE">
        <w:rPr>
          <w:rFonts w:ascii="Trebuchet MS" w:hAnsi="Trebuchet MS"/>
          <w:noProof/>
          <w:sz w:val="16"/>
          <w:szCs w:val="16"/>
        </w:rPr>
        <w:t>-</w:t>
      </w:r>
      <w:r w:rsidRPr="004B77DE">
        <w:rPr>
          <w:rFonts w:ascii="Trebuchet MS" w:eastAsia="Calibri" w:hAnsi="Trebuchet MS" w:cs="Calibri"/>
          <w:noProof/>
          <w:sz w:val="16"/>
          <w:szCs w:val="16"/>
        </w:rPr>
        <w:t>45</w:t>
      </w:r>
      <w:r w:rsidRPr="004B77DE">
        <w:rPr>
          <w:rFonts w:ascii="Trebuchet MS" w:hAnsi="Trebuchet MS"/>
          <w:noProof/>
          <w:sz w:val="16"/>
          <w:szCs w:val="16"/>
        </w:rPr>
        <w:t>.</w:t>
      </w:r>
    </w:p>
    <w:p w14:paraId="78D5C22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102</w:t>
      </w:r>
      <w:r w:rsidRPr="004B77DE">
        <w:rPr>
          <w:rFonts w:ascii="Trebuchet MS" w:hAnsi="Trebuchet MS"/>
          <w:noProof/>
          <w:sz w:val="16"/>
          <w:szCs w:val="16"/>
        </w:rPr>
        <w:t>.</w:t>
      </w:r>
      <w:r w:rsidRPr="004B77DE">
        <w:rPr>
          <w:rFonts w:ascii="Trebuchet MS" w:hAnsi="Trebuchet MS"/>
          <w:noProof/>
          <w:sz w:val="16"/>
          <w:szCs w:val="16"/>
        </w:rPr>
        <w:tab/>
        <w:t xml:space="preserve">Azad MB, Sharma AK, de Souza RJ et al. Association between artificially sweetened beverage consumption during pregnancy and infant body mass index. </w:t>
      </w:r>
      <w:r w:rsidRPr="004B77DE">
        <w:rPr>
          <w:rFonts w:ascii="Trebuchet MS" w:hAnsi="Trebuchet MS"/>
          <w:i/>
          <w:noProof/>
          <w:sz w:val="16"/>
          <w:szCs w:val="16"/>
        </w:rPr>
        <w:t>JAMA Pediatr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662</w:t>
      </w:r>
      <w:r w:rsidRPr="004B77DE">
        <w:rPr>
          <w:rFonts w:ascii="Trebuchet MS" w:hAnsi="Trebuchet MS"/>
          <w:noProof/>
          <w:sz w:val="16"/>
          <w:szCs w:val="16"/>
        </w:rPr>
        <w:t>-</w:t>
      </w:r>
      <w:r w:rsidRPr="004B77DE">
        <w:rPr>
          <w:rFonts w:ascii="Trebuchet MS" w:eastAsia="Calibri" w:hAnsi="Trebuchet MS" w:cs="Calibri"/>
          <w:noProof/>
          <w:sz w:val="16"/>
          <w:szCs w:val="16"/>
        </w:rPr>
        <w:t>70</w:t>
      </w:r>
      <w:r w:rsidRPr="004B77DE">
        <w:rPr>
          <w:rFonts w:ascii="Trebuchet MS" w:hAnsi="Trebuchet MS"/>
          <w:noProof/>
          <w:sz w:val="16"/>
          <w:szCs w:val="16"/>
        </w:rPr>
        <w:t>.</w:t>
      </w:r>
    </w:p>
    <w:p w14:paraId="27AAA2E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103</w:t>
      </w:r>
      <w:r w:rsidRPr="004B77DE">
        <w:rPr>
          <w:rFonts w:ascii="Trebuchet MS" w:hAnsi="Trebuchet MS"/>
          <w:noProof/>
          <w:sz w:val="16"/>
          <w:szCs w:val="16"/>
        </w:rPr>
        <w:t>.</w:t>
      </w:r>
      <w:r w:rsidRPr="004B77DE">
        <w:rPr>
          <w:rFonts w:ascii="Trebuchet MS" w:hAnsi="Trebuchet MS"/>
          <w:noProof/>
          <w:sz w:val="16"/>
          <w:szCs w:val="16"/>
        </w:rPr>
        <w:tab/>
        <w:t xml:space="preserve">Zhu Y, Olsen SF, Mendola P et al. Maternal consumption of artificially sweetened beverages during pregnancy, and offspring growth through 7 years of age: a prospective cohort study. </w:t>
      </w:r>
      <w:r w:rsidRPr="004B77DE">
        <w:rPr>
          <w:rFonts w:ascii="Trebuchet MS" w:hAnsi="Trebuchet MS"/>
          <w:i/>
          <w:noProof/>
          <w:sz w:val="16"/>
          <w:szCs w:val="16"/>
        </w:rPr>
        <w:t>Int J Epidemiol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46</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1499</w:t>
      </w:r>
      <w:r w:rsidRPr="004B77DE">
        <w:rPr>
          <w:rFonts w:ascii="Trebuchet MS" w:hAnsi="Trebuchet MS"/>
          <w:noProof/>
          <w:sz w:val="16"/>
          <w:szCs w:val="16"/>
        </w:rPr>
        <w:t>-</w:t>
      </w:r>
      <w:r w:rsidRPr="004B77DE">
        <w:rPr>
          <w:rFonts w:ascii="Trebuchet MS" w:eastAsia="Calibri" w:hAnsi="Trebuchet MS" w:cs="Calibri"/>
          <w:noProof/>
          <w:sz w:val="16"/>
          <w:szCs w:val="16"/>
        </w:rPr>
        <w:t>508</w:t>
      </w:r>
      <w:r w:rsidRPr="004B77DE">
        <w:rPr>
          <w:rFonts w:ascii="Trebuchet MS" w:hAnsi="Trebuchet MS"/>
          <w:noProof/>
          <w:sz w:val="16"/>
          <w:szCs w:val="16"/>
        </w:rPr>
        <w:t>.</w:t>
      </w:r>
    </w:p>
    <w:p w14:paraId="7AE953D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104</w:t>
      </w:r>
      <w:r w:rsidRPr="004B77DE">
        <w:rPr>
          <w:rFonts w:ascii="Trebuchet MS" w:hAnsi="Trebuchet MS"/>
          <w:noProof/>
          <w:sz w:val="16"/>
          <w:szCs w:val="16"/>
        </w:rPr>
        <w:t>.</w:t>
      </w:r>
      <w:r w:rsidRPr="004B77DE">
        <w:rPr>
          <w:rFonts w:ascii="Trebuchet MS" w:hAnsi="Trebuchet MS"/>
          <w:noProof/>
          <w:sz w:val="16"/>
          <w:szCs w:val="16"/>
        </w:rPr>
        <w:tab/>
        <w:t xml:space="preserve">Bedard A, Northstone K, Henderson AJ et al. Maternal intake of sugar during pregnancy and childhood respiratory and atopic outcomes. </w:t>
      </w:r>
      <w:r w:rsidRPr="004B77DE">
        <w:rPr>
          <w:rFonts w:ascii="Trebuchet MS" w:hAnsi="Trebuchet MS"/>
          <w:i/>
          <w:noProof/>
          <w:sz w:val="16"/>
          <w:szCs w:val="16"/>
        </w:rPr>
        <w:t>Eur Respir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59EEA07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105</w:t>
      </w:r>
      <w:r w:rsidRPr="004B77DE">
        <w:rPr>
          <w:rFonts w:ascii="Trebuchet MS" w:hAnsi="Trebuchet MS"/>
          <w:noProof/>
          <w:sz w:val="16"/>
          <w:szCs w:val="16"/>
        </w:rPr>
        <w:t>.</w:t>
      </w:r>
      <w:r w:rsidRPr="004B77DE">
        <w:rPr>
          <w:rFonts w:ascii="Trebuchet MS" w:hAnsi="Trebuchet MS"/>
          <w:noProof/>
          <w:sz w:val="16"/>
          <w:szCs w:val="16"/>
        </w:rPr>
        <w:tab/>
        <w:t xml:space="preserve">Dominguez LJ, Martinez-Gonzalez MA, Basterra-Gortari FJ et al. Fast food consumption and gestational diabetes incidence in the SUN project.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e106627</w:t>
      </w:r>
      <w:r w:rsidRPr="004B77DE">
        <w:rPr>
          <w:rFonts w:ascii="Trebuchet MS" w:hAnsi="Trebuchet MS"/>
          <w:noProof/>
          <w:sz w:val="16"/>
          <w:szCs w:val="16"/>
        </w:rPr>
        <w:t>.</w:t>
      </w:r>
    </w:p>
    <w:p w14:paraId="2C0CCE2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106</w:t>
      </w:r>
      <w:r w:rsidRPr="004B77DE">
        <w:rPr>
          <w:rFonts w:ascii="Trebuchet MS" w:hAnsi="Trebuchet MS"/>
          <w:noProof/>
          <w:sz w:val="16"/>
          <w:szCs w:val="16"/>
        </w:rPr>
        <w:t>.</w:t>
      </w:r>
      <w:r w:rsidRPr="004B77DE">
        <w:rPr>
          <w:rFonts w:ascii="Trebuchet MS" w:hAnsi="Trebuchet MS"/>
          <w:noProof/>
          <w:sz w:val="16"/>
          <w:szCs w:val="16"/>
        </w:rPr>
        <w:tab/>
        <w:t xml:space="preserve">von Ehrenstein OS, Aralis H, Flores ME et al. Fast food consumption in pregnancy and subsequent asthma symptoms in young children. </w:t>
      </w:r>
      <w:r w:rsidRPr="004B77DE">
        <w:rPr>
          <w:rFonts w:ascii="Trebuchet MS" w:hAnsi="Trebuchet MS"/>
          <w:i/>
          <w:noProof/>
          <w:sz w:val="16"/>
          <w:szCs w:val="16"/>
        </w:rPr>
        <w:t>Pediatr Allergy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303A15B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107</w:t>
      </w:r>
      <w:r w:rsidRPr="004B77DE">
        <w:rPr>
          <w:rFonts w:ascii="Trebuchet MS" w:hAnsi="Trebuchet MS"/>
          <w:noProof/>
          <w:sz w:val="16"/>
          <w:szCs w:val="16"/>
        </w:rPr>
        <w:t>.</w:t>
      </w:r>
      <w:r w:rsidRPr="004B77DE">
        <w:rPr>
          <w:rFonts w:ascii="Trebuchet MS" w:hAnsi="Trebuchet MS"/>
          <w:noProof/>
          <w:sz w:val="16"/>
          <w:szCs w:val="16"/>
        </w:rPr>
        <w:tab/>
        <w:t xml:space="preserve">Colapinto CK, Arbuckle TE, Dubois L et al. Tea consumption in pregnancy as a predictor of pesticide exposure and adverse birth outcomes: The MIREC Study. </w:t>
      </w:r>
      <w:r w:rsidRPr="004B77DE">
        <w:rPr>
          <w:rFonts w:ascii="Trebuchet MS" w:hAnsi="Trebuchet MS"/>
          <w:i/>
          <w:noProof/>
          <w:sz w:val="16"/>
          <w:szCs w:val="16"/>
        </w:rPr>
        <w:t>Environmental Research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77</w:t>
      </w:r>
      <w:r w:rsidRPr="004B77DE">
        <w:rPr>
          <w:rFonts w:ascii="Trebuchet MS" w:hAnsi="Trebuchet MS"/>
          <w:noProof/>
          <w:sz w:val="16"/>
          <w:szCs w:val="16"/>
        </w:rPr>
        <w:t>-</w:t>
      </w:r>
      <w:r w:rsidRPr="004B77DE">
        <w:rPr>
          <w:rFonts w:ascii="Trebuchet MS" w:eastAsia="Calibri" w:hAnsi="Trebuchet MS" w:cs="Calibri"/>
          <w:noProof/>
          <w:sz w:val="16"/>
          <w:szCs w:val="16"/>
        </w:rPr>
        <w:t>83</w:t>
      </w:r>
      <w:r w:rsidRPr="004B77DE">
        <w:rPr>
          <w:rFonts w:ascii="Trebuchet MS" w:hAnsi="Trebuchet MS"/>
          <w:noProof/>
          <w:sz w:val="16"/>
          <w:szCs w:val="16"/>
        </w:rPr>
        <w:t>.</w:t>
      </w:r>
    </w:p>
    <w:p w14:paraId="69D5165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108</w:t>
      </w:r>
      <w:r w:rsidRPr="004B77DE">
        <w:rPr>
          <w:rFonts w:ascii="Trebuchet MS" w:hAnsi="Trebuchet MS"/>
          <w:noProof/>
          <w:sz w:val="16"/>
          <w:szCs w:val="16"/>
        </w:rPr>
        <w:t>.</w:t>
      </w:r>
      <w:r w:rsidRPr="004B77DE">
        <w:rPr>
          <w:rFonts w:ascii="Trebuchet MS" w:hAnsi="Trebuchet MS"/>
          <w:noProof/>
          <w:sz w:val="16"/>
          <w:szCs w:val="16"/>
        </w:rPr>
        <w:tab/>
        <w:t xml:space="preserve">Okubo H, Miyake Y, Tanaka K et al. Maternal total caffeine intake, mainly from Japanese and Chinese tea, during pregnancy was associated with risk of preterm birth: the Osaka Maternal and Child Health Study. </w:t>
      </w:r>
      <w:r w:rsidRPr="004B77DE">
        <w:rPr>
          <w:rFonts w:ascii="Trebuchet MS" w:hAnsi="Trebuchet MS"/>
          <w:i/>
          <w:noProof/>
          <w:sz w:val="16"/>
          <w:szCs w:val="16"/>
        </w:rPr>
        <w:t>Nutr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309</w:t>
      </w:r>
      <w:r w:rsidRPr="004B77DE">
        <w:rPr>
          <w:rFonts w:ascii="Trebuchet MS" w:hAnsi="Trebuchet MS"/>
          <w:noProof/>
          <w:sz w:val="16"/>
          <w:szCs w:val="16"/>
        </w:rPr>
        <w:t>-</w:t>
      </w:r>
      <w:r w:rsidRPr="004B77DE">
        <w:rPr>
          <w:rFonts w:ascii="Trebuchet MS" w:eastAsia="Calibri" w:hAnsi="Trebuchet MS" w:cs="Calibri"/>
          <w:noProof/>
          <w:sz w:val="16"/>
          <w:szCs w:val="16"/>
        </w:rPr>
        <w:t>16</w:t>
      </w:r>
      <w:r w:rsidRPr="004B77DE">
        <w:rPr>
          <w:rFonts w:ascii="Trebuchet MS" w:hAnsi="Trebuchet MS"/>
          <w:noProof/>
          <w:sz w:val="16"/>
          <w:szCs w:val="16"/>
        </w:rPr>
        <w:t>.</w:t>
      </w:r>
    </w:p>
    <w:p w14:paraId="63E97BC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109</w:t>
      </w:r>
      <w:r w:rsidRPr="004B77DE">
        <w:rPr>
          <w:rFonts w:ascii="Trebuchet MS" w:hAnsi="Trebuchet MS"/>
          <w:noProof/>
          <w:sz w:val="16"/>
          <w:szCs w:val="16"/>
        </w:rPr>
        <w:t>.</w:t>
      </w:r>
      <w:r w:rsidRPr="004B77DE">
        <w:rPr>
          <w:rFonts w:ascii="Trebuchet MS" w:hAnsi="Trebuchet MS"/>
          <w:noProof/>
          <w:sz w:val="16"/>
          <w:szCs w:val="16"/>
        </w:rPr>
        <w:tab/>
        <w:t xml:space="preserve">Greenop KR, Miller M, Attia J et al. Maternal consumption of coffee and tea during pregnancy and risk of childhood brain tumors: results from an Australian case-control study. </w:t>
      </w:r>
      <w:r w:rsidRPr="004B77DE">
        <w:rPr>
          <w:rFonts w:ascii="Trebuchet MS" w:hAnsi="Trebuchet MS"/>
          <w:i/>
          <w:noProof/>
          <w:sz w:val="16"/>
          <w:szCs w:val="16"/>
        </w:rPr>
        <w:t>Cancer Causes Control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w:t>
      </w:r>
      <w:r w:rsidRPr="004B77DE">
        <w:rPr>
          <w:rFonts w:ascii="Trebuchet MS" w:hAnsi="Trebuchet MS"/>
          <w:noProof/>
          <w:sz w:val="16"/>
          <w:szCs w:val="16"/>
        </w:rPr>
        <w:t>4; 25(10): 1321-7.</w:t>
      </w:r>
    </w:p>
    <w:p w14:paraId="0501F68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110</w:t>
      </w:r>
      <w:r w:rsidRPr="004B77DE">
        <w:rPr>
          <w:rFonts w:ascii="Trebuchet MS" w:hAnsi="Trebuchet MS"/>
          <w:noProof/>
          <w:sz w:val="16"/>
          <w:szCs w:val="16"/>
        </w:rPr>
        <w:t>.</w:t>
      </w:r>
      <w:r w:rsidRPr="004B77DE">
        <w:rPr>
          <w:rFonts w:ascii="Trebuchet MS" w:hAnsi="Trebuchet MS"/>
          <w:noProof/>
          <w:sz w:val="16"/>
          <w:szCs w:val="16"/>
        </w:rPr>
        <w:tab/>
        <w:t xml:space="preserve">Miyake Y, Tanaka K, Okubo H et al. Maternal caffeine intake in pregnancy is inversely related to childhood peer problems in Japan: The Kyushu Okinawa Maternal and Child Health Study. </w:t>
      </w:r>
      <w:r w:rsidRPr="004B77DE">
        <w:rPr>
          <w:rFonts w:ascii="Trebuchet MS" w:hAnsi="Trebuchet MS"/>
          <w:i/>
          <w:noProof/>
          <w:sz w:val="16"/>
          <w:szCs w:val="16"/>
        </w:rPr>
        <w:t>Nutr Neurosci</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817</w:t>
      </w:r>
      <w:r w:rsidRPr="004B77DE">
        <w:rPr>
          <w:rFonts w:ascii="Trebuchet MS" w:hAnsi="Trebuchet MS"/>
          <w:noProof/>
          <w:sz w:val="16"/>
          <w:szCs w:val="16"/>
        </w:rPr>
        <w:t>-</w:t>
      </w:r>
      <w:r w:rsidRPr="004B77DE">
        <w:rPr>
          <w:rFonts w:ascii="Trebuchet MS" w:eastAsia="Calibri" w:hAnsi="Trebuchet MS" w:cs="Calibri"/>
          <w:noProof/>
          <w:sz w:val="16"/>
          <w:szCs w:val="16"/>
        </w:rPr>
        <w:t>24</w:t>
      </w:r>
      <w:r w:rsidRPr="004B77DE">
        <w:rPr>
          <w:rFonts w:ascii="Trebuchet MS" w:hAnsi="Trebuchet MS"/>
          <w:noProof/>
          <w:sz w:val="16"/>
          <w:szCs w:val="16"/>
        </w:rPr>
        <w:t>.</w:t>
      </w:r>
    </w:p>
    <w:p w14:paraId="464959D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111</w:t>
      </w:r>
      <w:r w:rsidRPr="004B77DE">
        <w:rPr>
          <w:rFonts w:ascii="Trebuchet MS" w:hAnsi="Trebuchet MS"/>
          <w:noProof/>
          <w:sz w:val="16"/>
          <w:szCs w:val="16"/>
        </w:rPr>
        <w:t>.</w:t>
      </w:r>
      <w:r w:rsidRPr="004B77DE">
        <w:rPr>
          <w:rFonts w:ascii="Trebuchet MS" w:hAnsi="Trebuchet MS"/>
          <w:noProof/>
          <w:sz w:val="16"/>
          <w:szCs w:val="16"/>
        </w:rPr>
        <w:tab/>
        <w:t xml:space="preserve">Frazier AL, Camargo CA, Jr., Malspeis S et al. Prospective study of peripregnancy consumption of peanuts or tree nuts by mothers and the risk of peanut or tree nut allergy in their offspring. </w:t>
      </w:r>
      <w:r w:rsidRPr="004B77DE">
        <w:rPr>
          <w:rFonts w:ascii="Trebuchet MS" w:hAnsi="Trebuchet MS"/>
          <w:i/>
          <w:noProof/>
          <w:sz w:val="16"/>
          <w:szCs w:val="16"/>
        </w:rPr>
        <w:t>JAMA Pediatr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156</w:t>
      </w:r>
      <w:r w:rsidRPr="004B77DE">
        <w:rPr>
          <w:rFonts w:ascii="Trebuchet MS" w:hAnsi="Trebuchet MS"/>
          <w:noProof/>
          <w:sz w:val="16"/>
          <w:szCs w:val="16"/>
        </w:rPr>
        <w:t>-</w:t>
      </w:r>
      <w:r w:rsidRPr="004B77DE">
        <w:rPr>
          <w:rFonts w:ascii="Trebuchet MS" w:eastAsia="Calibri" w:hAnsi="Trebuchet MS" w:cs="Calibri"/>
          <w:noProof/>
          <w:sz w:val="16"/>
          <w:szCs w:val="16"/>
        </w:rPr>
        <w:t>62</w:t>
      </w:r>
      <w:r w:rsidRPr="004B77DE">
        <w:rPr>
          <w:rFonts w:ascii="Trebuchet MS" w:hAnsi="Trebuchet MS"/>
          <w:noProof/>
          <w:sz w:val="16"/>
          <w:szCs w:val="16"/>
        </w:rPr>
        <w:t>.</w:t>
      </w:r>
    </w:p>
    <w:p w14:paraId="0A03A36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112</w:t>
      </w:r>
      <w:r w:rsidRPr="004B77DE">
        <w:rPr>
          <w:rFonts w:ascii="Trebuchet MS" w:hAnsi="Trebuchet MS"/>
          <w:noProof/>
          <w:sz w:val="16"/>
          <w:szCs w:val="16"/>
        </w:rPr>
        <w:t>.</w:t>
      </w:r>
      <w:r w:rsidRPr="004B77DE">
        <w:rPr>
          <w:rFonts w:ascii="Trebuchet MS" w:hAnsi="Trebuchet MS"/>
          <w:noProof/>
          <w:sz w:val="16"/>
          <w:szCs w:val="16"/>
        </w:rPr>
        <w:tab/>
        <w:t xml:space="preserve">Miyake Y, Tanaka K, Okubo H et al. Soy isoflavone intake and prevalence of depressive symptoms during pregnancy in Japan: baseline data from the Kyushu Okinawa Maternal and Child Health Study. </w:t>
      </w:r>
      <w:r w:rsidRPr="004B77DE">
        <w:rPr>
          <w:rFonts w:ascii="Trebuchet MS" w:hAnsi="Trebuchet MS"/>
          <w:i/>
          <w:noProof/>
          <w:sz w:val="16"/>
          <w:szCs w:val="16"/>
        </w:rPr>
        <w:t>Eur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441</w:t>
      </w:r>
      <w:r w:rsidRPr="004B77DE">
        <w:rPr>
          <w:rFonts w:ascii="Trebuchet MS" w:hAnsi="Trebuchet MS"/>
          <w:noProof/>
          <w:sz w:val="16"/>
          <w:szCs w:val="16"/>
        </w:rPr>
        <w:t>-</w:t>
      </w:r>
      <w:r w:rsidRPr="004B77DE">
        <w:rPr>
          <w:rFonts w:ascii="Trebuchet MS" w:eastAsia="Calibri" w:hAnsi="Trebuchet MS" w:cs="Calibri"/>
          <w:noProof/>
          <w:sz w:val="16"/>
          <w:szCs w:val="16"/>
        </w:rPr>
        <w:t>50</w:t>
      </w:r>
      <w:r w:rsidRPr="004B77DE">
        <w:rPr>
          <w:rFonts w:ascii="Trebuchet MS" w:hAnsi="Trebuchet MS"/>
          <w:noProof/>
          <w:sz w:val="16"/>
          <w:szCs w:val="16"/>
        </w:rPr>
        <w:t>.</w:t>
      </w:r>
    </w:p>
    <w:p w14:paraId="70AFEF9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113</w:t>
      </w:r>
      <w:r w:rsidRPr="004B77DE">
        <w:rPr>
          <w:rFonts w:ascii="Trebuchet MS" w:hAnsi="Trebuchet MS"/>
          <w:noProof/>
          <w:sz w:val="16"/>
          <w:szCs w:val="16"/>
        </w:rPr>
        <w:t>.</w:t>
      </w:r>
      <w:r w:rsidRPr="004B77DE">
        <w:rPr>
          <w:rFonts w:ascii="Trebuchet MS" w:hAnsi="Trebuchet MS"/>
          <w:noProof/>
          <w:sz w:val="16"/>
          <w:szCs w:val="16"/>
        </w:rPr>
        <w:tab/>
        <w:t xml:space="preserve">AIHW. </w:t>
      </w:r>
      <w:r w:rsidRPr="004B77DE">
        <w:rPr>
          <w:rFonts w:ascii="Trebuchet MS" w:hAnsi="Trebuchet MS"/>
          <w:i/>
          <w:noProof/>
          <w:sz w:val="16"/>
          <w:szCs w:val="16"/>
        </w:rPr>
        <w:t>Monitoring the health impacts of mandatory folic acid and iodine fortification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Canberra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Australian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Institute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Welfare;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w:t>
      </w:r>
    </w:p>
    <w:p w14:paraId="42A00E8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114</w:t>
      </w:r>
      <w:r w:rsidRPr="004B77DE">
        <w:rPr>
          <w:rFonts w:ascii="Trebuchet MS" w:hAnsi="Trebuchet MS"/>
          <w:noProof/>
          <w:sz w:val="16"/>
          <w:szCs w:val="16"/>
        </w:rPr>
        <w:t>.</w:t>
      </w:r>
      <w:r w:rsidRPr="004B77DE">
        <w:rPr>
          <w:rFonts w:ascii="Trebuchet MS" w:hAnsi="Trebuchet MS"/>
          <w:noProof/>
          <w:sz w:val="16"/>
          <w:szCs w:val="16"/>
        </w:rPr>
        <w:tab/>
        <w:t xml:space="preserve">Austin M-P, Highet N, Expert Working Group. </w:t>
      </w:r>
      <w:r w:rsidRPr="004B77DE">
        <w:rPr>
          <w:rFonts w:ascii="Trebuchet MS" w:hAnsi="Trebuchet MS"/>
          <w:i/>
          <w:noProof/>
          <w:sz w:val="16"/>
          <w:szCs w:val="16"/>
        </w:rPr>
        <w:t>Mental Health Care in the Perinatal Period: Australian Clinical Practice Guideline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Melbourne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Centre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Perinatal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w:t>
      </w:r>
      <w:r w:rsidRPr="004B77DE">
        <w:rPr>
          <w:rFonts w:ascii="Trebuchet MS" w:hAnsi="Trebuchet MS"/>
          <w:noProof/>
          <w:sz w:val="16"/>
          <w:szCs w:val="16"/>
        </w:rPr>
        <w:t>xcellence; 2017.</w:t>
      </w:r>
    </w:p>
    <w:p w14:paraId="2FEE6B8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115</w:t>
      </w:r>
      <w:r w:rsidRPr="004B77DE">
        <w:rPr>
          <w:rFonts w:ascii="Trebuchet MS" w:hAnsi="Trebuchet MS"/>
          <w:noProof/>
          <w:sz w:val="16"/>
          <w:szCs w:val="16"/>
        </w:rPr>
        <w:t>.</w:t>
      </w:r>
      <w:r w:rsidRPr="004B77DE">
        <w:rPr>
          <w:rFonts w:ascii="Trebuchet MS" w:hAnsi="Trebuchet MS"/>
          <w:noProof/>
          <w:sz w:val="16"/>
          <w:szCs w:val="16"/>
        </w:rPr>
        <w:tab/>
        <w:t xml:space="preserve">Shand AW, Walls M, Chatterjee R et al. Dietary vitamin, mineral and herbal supplement use: a cross-sectional survey of before and during pregnancy use in Sydney, Australia. </w:t>
      </w:r>
      <w:r w:rsidRPr="004B77DE">
        <w:rPr>
          <w:rFonts w:ascii="Trebuchet MS" w:hAnsi="Trebuchet MS"/>
          <w:i/>
          <w:noProof/>
          <w:sz w:val="16"/>
          <w:szCs w:val="16"/>
        </w:rPr>
        <w:t>Aust N Z 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154</w:t>
      </w:r>
      <w:r w:rsidRPr="004B77DE">
        <w:rPr>
          <w:rFonts w:ascii="Trebuchet MS" w:hAnsi="Trebuchet MS"/>
          <w:noProof/>
          <w:sz w:val="16"/>
          <w:szCs w:val="16"/>
        </w:rPr>
        <w:t>-</w:t>
      </w:r>
      <w:r w:rsidRPr="004B77DE">
        <w:rPr>
          <w:rFonts w:ascii="Trebuchet MS" w:eastAsia="Calibri" w:hAnsi="Trebuchet MS" w:cs="Calibri"/>
          <w:noProof/>
          <w:sz w:val="16"/>
          <w:szCs w:val="16"/>
        </w:rPr>
        <w:t>61</w:t>
      </w:r>
      <w:r w:rsidRPr="004B77DE">
        <w:rPr>
          <w:rFonts w:ascii="Trebuchet MS" w:hAnsi="Trebuchet MS"/>
          <w:noProof/>
          <w:sz w:val="16"/>
          <w:szCs w:val="16"/>
        </w:rPr>
        <w:t>.</w:t>
      </w:r>
    </w:p>
    <w:p w14:paraId="3F394A0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116</w:t>
      </w:r>
      <w:r w:rsidRPr="004B77DE">
        <w:rPr>
          <w:rFonts w:ascii="Trebuchet MS" w:hAnsi="Trebuchet MS"/>
          <w:noProof/>
          <w:sz w:val="16"/>
          <w:szCs w:val="16"/>
        </w:rPr>
        <w:t>.</w:t>
      </w:r>
      <w:r w:rsidRPr="004B77DE">
        <w:rPr>
          <w:rFonts w:ascii="Trebuchet MS" w:hAnsi="Trebuchet MS"/>
          <w:noProof/>
          <w:sz w:val="16"/>
          <w:szCs w:val="16"/>
        </w:rPr>
        <w:tab/>
        <w:t xml:space="preserve">Malek L, Umberger W, Makrides M et al. Poor adherence to folic acid and iodine supplement recommendations in preconception and pregnancy: a cross-sectional analysis. </w:t>
      </w:r>
      <w:r w:rsidRPr="004B77DE">
        <w:rPr>
          <w:rFonts w:ascii="Trebuchet MS" w:hAnsi="Trebuchet MS"/>
          <w:i/>
          <w:noProof/>
          <w:sz w:val="16"/>
          <w:szCs w:val="16"/>
        </w:rPr>
        <w:t>Australian and New Zealand Journal of Public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6A04B87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117</w:t>
      </w:r>
      <w:r w:rsidRPr="004B77DE">
        <w:rPr>
          <w:rFonts w:ascii="Trebuchet MS" w:hAnsi="Trebuchet MS"/>
          <w:noProof/>
          <w:sz w:val="16"/>
          <w:szCs w:val="16"/>
        </w:rPr>
        <w:t>.</w:t>
      </w:r>
      <w:r w:rsidRPr="004B77DE">
        <w:rPr>
          <w:rFonts w:ascii="Trebuchet MS" w:hAnsi="Trebuchet MS"/>
          <w:noProof/>
          <w:sz w:val="16"/>
          <w:szCs w:val="16"/>
        </w:rPr>
        <w:tab/>
        <w:t xml:space="preserve">Livock M, Anderson PJ, Lewis S et al. Maternal micronutrient consumption periconceptionally and during pregnancy: a prospective cohort study. </w:t>
      </w:r>
      <w:r w:rsidRPr="004B77DE">
        <w:rPr>
          <w:rFonts w:ascii="Trebuchet MS" w:hAnsi="Trebuchet MS"/>
          <w:i/>
          <w:noProof/>
          <w:sz w:val="16"/>
          <w:szCs w:val="16"/>
        </w:rPr>
        <w:t>Public Health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294</w:t>
      </w:r>
      <w:r w:rsidRPr="004B77DE">
        <w:rPr>
          <w:rFonts w:ascii="Trebuchet MS" w:hAnsi="Trebuchet MS"/>
          <w:noProof/>
          <w:sz w:val="16"/>
          <w:szCs w:val="16"/>
        </w:rPr>
        <w:t>-</w:t>
      </w:r>
      <w:r w:rsidRPr="004B77DE">
        <w:rPr>
          <w:rFonts w:ascii="Trebuchet MS" w:eastAsia="Calibri" w:hAnsi="Trebuchet MS" w:cs="Calibri"/>
          <w:noProof/>
          <w:sz w:val="16"/>
          <w:szCs w:val="16"/>
        </w:rPr>
        <w:t>304</w:t>
      </w:r>
      <w:r w:rsidRPr="004B77DE">
        <w:rPr>
          <w:rFonts w:ascii="Trebuchet MS" w:hAnsi="Trebuchet MS"/>
          <w:noProof/>
          <w:sz w:val="16"/>
          <w:szCs w:val="16"/>
        </w:rPr>
        <w:t>.</w:t>
      </w:r>
    </w:p>
    <w:p w14:paraId="18E9EEA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118</w:t>
      </w:r>
      <w:r w:rsidRPr="004B77DE">
        <w:rPr>
          <w:rFonts w:ascii="Trebuchet MS" w:hAnsi="Trebuchet MS"/>
          <w:noProof/>
          <w:sz w:val="16"/>
          <w:szCs w:val="16"/>
        </w:rPr>
        <w:t>.</w:t>
      </w:r>
      <w:r w:rsidRPr="004B77DE">
        <w:rPr>
          <w:rFonts w:ascii="Trebuchet MS" w:hAnsi="Trebuchet MS"/>
          <w:noProof/>
          <w:sz w:val="16"/>
          <w:szCs w:val="16"/>
        </w:rPr>
        <w:tab/>
        <w:t xml:space="preserve">Wang M, Li K, Zhao D et al. The association between maternal use of folic acid supplements during pregnancy and risk of autism spectrum disorders in children: a meta-analysis. </w:t>
      </w:r>
      <w:r w:rsidRPr="004B77DE">
        <w:rPr>
          <w:rFonts w:ascii="Trebuchet MS" w:hAnsi="Trebuchet MS"/>
          <w:i/>
          <w:noProof/>
          <w:sz w:val="16"/>
          <w:szCs w:val="16"/>
        </w:rPr>
        <w:t>Mol Autism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w:t>
      </w:r>
      <w:r w:rsidRPr="004B77DE">
        <w:rPr>
          <w:rFonts w:ascii="Trebuchet MS" w:hAnsi="Trebuchet MS"/>
          <w:noProof/>
          <w:sz w:val="16"/>
          <w:szCs w:val="16"/>
        </w:rPr>
        <w:t>.</w:t>
      </w:r>
    </w:p>
    <w:p w14:paraId="334D622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hAnsi="Trebuchet MS"/>
          <w:noProof/>
          <w:sz w:val="16"/>
          <w:szCs w:val="16"/>
        </w:rPr>
        <w:tab/>
        <w:t xml:space="preserve">Jahanbin A, Shadkam E, Miri HH et al. Maternal folic acid supplementation and the risk of oral clefts in offspring. </w:t>
      </w:r>
      <w:r w:rsidRPr="004B77DE">
        <w:rPr>
          <w:rFonts w:ascii="Trebuchet MS" w:hAnsi="Trebuchet MS"/>
          <w:i/>
          <w:noProof/>
          <w:sz w:val="16"/>
          <w:szCs w:val="16"/>
        </w:rPr>
        <w:t>J Craniofacial Surg</w:t>
      </w:r>
      <w:r w:rsidRPr="004B77DE">
        <w:rPr>
          <w:rFonts w:ascii="Trebuchet MS" w:hAnsi="Trebuchet MS"/>
          <w:noProof/>
          <w:sz w:val="16"/>
          <w:szCs w:val="16"/>
        </w:rPr>
        <w:t>. 2018; 29(6): e534-e41.</w:t>
      </w:r>
    </w:p>
    <w:p w14:paraId="084F3BD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120</w:t>
      </w:r>
      <w:r w:rsidRPr="004B77DE">
        <w:rPr>
          <w:rFonts w:ascii="Trebuchet MS" w:hAnsi="Trebuchet MS"/>
          <w:noProof/>
          <w:sz w:val="16"/>
          <w:szCs w:val="16"/>
        </w:rPr>
        <w:t>.</w:t>
      </w:r>
      <w:r w:rsidRPr="004B77DE">
        <w:rPr>
          <w:rFonts w:ascii="Trebuchet MS" w:hAnsi="Trebuchet MS"/>
          <w:noProof/>
          <w:sz w:val="16"/>
          <w:szCs w:val="16"/>
        </w:rPr>
        <w:tab/>
        <w:t xml:space="preserve">Metayer C, Milne E, Dockerty JD et al. Maternal supplementation with folic acid and other vitamins and risk of leukemia in offspring: a Childhood Leukemia International Consortium study. </w:t>
      </w:r>
      <w:r w:rsidRPr="004B77DE">
        <w:rPr>
          <w:rFonts w:ascii="Trebuchet MS" w:hAnsi="Trebuchet MS"/>
          <w:i/>
          <w:noProof/>
          <w:sz w:val="16"/>
          <w:szCs w:val="16"/>
        </w:rPr>
        <w:t>Epidemiology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811</w:t>
      </w:r>
      <w:r w:rsidRPr="004B77DE">
        <w:rPr>
          <w:rFonts w:ascii="Trebuchet MS" w:hAnsi="Trebuchet MS"/>
          <w:noProof/>
          <w:sz w:val="16"/>
          <w:szCs w:val="16"/>
        </w:rPr>
        <w:t>-</w:t>
      </w:r>
      <w:r w:rsidRPr="004B77DE">
        <w:rPr>
          <w:rFonts w:ascii="Trebuchet MS" w:eastAsia="Calibri" w:hAnsi="Trebuchet MS" w:cs="Calibri"/>
          <w:noProof/>
          <w:sz w:val="16"/>
          <w:szCs w:val="16"/>
        </w:rPr>
        <w:t>22</w:t>
      </w:r>
      <w:r w:rsidRPr="004B77DE">
        <w:rPr>
          <w:rFonts w:ascii="Trebuchet MS" w:hAnsi="Trebuchet MS"/>
          <w:noProof/>
          <w:sz w:val="16"/>
          <w:szCs w:val="16"/>
        </w:rPr>
        <w:t>.</w:t>
      </w:r>
    </w:p>
    <w:p w14:paraId="184CBE7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121</w:t>
      </w:r>
      <w:r w:rsidRPr="004B77DE">
        <w:rPr>
          <w:rFonts w:ascii="Trebuchet MS" w:hAnsi="Trebuchet MS"/>
          <w:noProof/>
          <w:sz w:val="16"/>
          <w:szCs w:val="16"/>
        </w:rPr>
        <w:t>.</w:t>
      </w:r>
      <w:r w:rsidRPr="004B77DE">
        <w:rPr>
          <w:rFonts w:ascii="Trebuchet MS" w:hAnsi="Trebuchet MS"/>
          <w:noProof/>
          <w:sz w:val="16"/>
          <w:szCs w:val="16"/>
        </w:rPr>
        <w:tab/>
        <w:t xml:space="preserve">Saccone G, Berghella V. Folic acid supplementation in pregnancy to prevent preterm birth: a systematic review and meta-analysis of randomized controlled trials. </w:t>
      </w:r>
      <w:r w:rsidRPr="004B77DE">
        <w:rPr>
          <w:rFonts w:ascii="Trebuchet MS" w:hAnsi="Trebuchet MS"/>
          <w:i/>
          <w:noProof/>
          <w:sz w:val="16"/>
          <w:szCs w:val="16"/>
        </w:rPr>
        <w:t>Eur J Obstet Gynecol Reprod Biol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76</w:t>
      </w:r>
      <w:r w:rsidRPr="004B77DE">
        <w:rPr>
          <w:rFonts w:ascii="Trebuchet MS" w:hAnsi="Trebuchet MS"/>
          <w:noProof/>
          <w:sz w:val="16"/>
          <w:szCs w:val="16"/>
        </w:rPr>
        <w:t>-</w:t>
      </w:r>
      <w:r w:rsidRPr="004B77DE">
        <w:rPr>
          <w:rFonts w:ascii="Trebuchet MS" w:eastAsia="Calibri" w:hAnsi="Trebuchet MS" w:cs="Calibri"/>
          <w:noProof/>
          <w:sz w:val="16"/>
          <w:szCs w:val="16"/>
        </w:rPr>
        <w:t>81</w:t>
      </w:r>
      <w:r w:rsidRPr="004B77DE">
        <w:rPr>
          <w:rFonts w:ascii="Trebuchet MS" w:hAnsi="Trebuchet MS"/>
          <w:noProof/>
          <w:sz w:val="16"/>
          <w:szCs w:val="16"/>
        </w:rPr>
        <w:t>.</w:t>
      </w:r>
    </w:p>
    <w:p w14:paraId="7C8A8EE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hAnsi="Trebuchet MS"/>
          <w:noProof/>
          <w:sz w:val="16"/>
          <w:szCs w:val="16"/>
        </w:rPr>
        <w:tab/>
        <w:t xml:space="preserve">Wang T, Zhang H-P, Zhang X et al. Is folate status a risk factor for asthma or other allergic diseases? </w:t>
      </w:r>
      <w:r w:rsidRPr="004B77DE">
        <w:rPr>
          <w:rFonts w:ascii="Trebuchet MS" w:hAnsi="Trebuchet MS"/>
          <w:i/>
          <w:noProof/>
          <w:sz w:val="16"/>
          <w:szCs w:val="16"/>
        </w:rPr>
        <w:t>Allergy, Asthma &amp; Immunology Research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2E148FA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123</w:t>
      </w:r>
      <w:r w:rsidRPr="004B77DE">
        <w:rPr>
          <w:rFonts w:ascii="Trebuchet MS" w:hAnsi="Trebuchet MS"/>
          <w:noProof/>
          <w:sz w:val="16"/>
          <w:szCs w:val="16"/>
        </w:rPr>
        <w:t>.</w:t>
      </w:r>
      <w:r w:rsidRPr="004B77DE">
        <w:rPr>
          <w:rFonts w:ascii="Trebuchet MS" w:hAnsi="Trebuchet MS"/>
          <w:noProof/>
          <w:sz w:val="16"/>
          <w:szCs w:val="16"/>
        </w:rPr>
        <w:tab/>
        <w:t xml:space="preserve">Xu A, Cao X, Lu Y et al. A meta-analysis of the relationship between maternal folic acid supplementation and the risk of congenital heart defects. </w:t>
      </w:r>
      <w:r w:rsidRPr="004B77DE">
        <w:rPr>
          <w:rFonts w:ascii="Trebuchet MS" w:hAnsi="Trebuchet MS"/>
          <w:i/>
          <w:noProof/>
          <w:sz w:val="16"/>
          <w:szCs w:val="16"/>
        </w:rPr>
        <w:t>Int Heart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725</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368C94D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124</w:t>
      </w:r>
      <w:r w:rsidRPr="004B77DE">
        <w:rPr>
          <w:rFonts w:ascii="Trebuchet MS" w:hAnsi="Trebuchet MS"/>
          <w:noProof/>
          <w:sz w:val="16"/>
          <w:szCs w:val="16"/>
        </w:rPr>
        <w:t>.</w:t>
      </w:r>
      <w:r w:rsidRPr="004B77DE">
        <w:rPr>
          <w:rFonts w:ascii="Trebuchet MS" w:hAnsi="Trebuchet MS"/>
          <w:noProof/>
          <w:sz w:val="16"/>
          <w:szCs w:val="16"/>
        </w:rPr>
        <w:tab/>
        <w:t xml:space="preserve">Zhang Q, Wang Y, Xin X et al. Effect of folic acid supplementation on preterm delivery and small for gestational age births: A systematic review and meta-analysis. </w:t>
      </w:r>
      <w:r w:rsidRPr="004B77DE">
        <w:rPr>
          <w:rFonts w:ascii="Trebuchet MS" w:hAnsi="Trebuchet MS"/>
          <w:i/>
          <w:noProof/>
          <w:sz w:val="16"/>
          <w:szCs w:val="16"/>
        </w:rPr>
        <w:t>Reprod Toxicol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eastAsia="Calibri" w:hAnsi="Trebuchet MS" w:cs="Calibri"/>
          <w:noProof/>
          <w:sz w:val="16"/>
          <w:szCs w:val="16"/>
        </w:rPr>
        <w:t>41</w:t>
      </w:r>
      <w:r w:rsidRPr="004B77DE">
        <w:rPr>
          <w:rFonts w:ascii="Trebuchet MS" w:hAnsi="Trebuchet MS"/>
          <w:noProof/>
          <w:sz w:val="16"/>
          <w:szCs w:val="16"/>
        </w:rPr>
        <w:t>.</w:t>
      </w:r>
    </w:p>
    <w:p w14:paraId="3C713DB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125</w:t>
      </w:r>
      <w:r w:rsidRPr="004B77DE">
        <w:rPr>
          <w:rFonts w:ascii="Trebuchet MS" w:hAnsi="Trebuchet MS"/>
          <w:noProof/>
          <w:sz w:val="16"/>
          <w:szCs w:val="16"/>
        </w:rPr>
        <w:t>.</w:t>
      </w:r>
      <w:r w:rsidRPr="004B77DE">
        <w:rPr>
          <w:rFonts w:ascii="Trebuchet MS" w:hAnsi="Trebuchet MS"/>
          <w:noProof/>
          <w:sz w:val="16"/>
          <w:szCs w:val="16"/>
        </w:rPr>
        <w:tab/>
        <w:t xml:space="preserve">Balogun OO, da Silva Lopes K, Ota E et al. Vitamin supplementation for preventing miscarriage.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CD004073</w:t>
      </w:r>
      <w:r w:rsidRPr="004B77DE">
        <w:rPr>
          <w:rFonts w:ascii="Trebuchet MS" w:hAnsi="Trebuchet MS"/>
          <w:noProof/>
          <w:sz w:val="16"/>
          <w:szCs w:val="16"/>
        </w:rPr>
        <w:t>.</w:t>
      </w:r>
    </w:p>
    <w:p w14:paraId="780F4DC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126</w:t>
      </w:r>
      <w:r w:rsidRPr="004B77DE">
        <w:rPr>
          <w:rFonts w:ascii="Trebuchet MS" w:hAnsi="Trebuchet MS"/>
          <w:noProof/>
          <w:sz w:val="16"/>
          <w:szCs w:val="16"/>
        </w:rPr>
        <w:t>.</w:t>
      </w:r>
      <w:r w:rsidRPr="004B77DE">
        <w:rPr>
          <w:rFonts w:ascii="Trebuchet MS" w:hAnsi="Trebuchet MS"/>
          <w:noProof/>
          <w:sz w:val="16"/>
          <w:szCs w:val="16"/>
        </w:rPr>
        <w:tab/>
        <w:t xml:space="preserve">Bulloch RE, Lovell AL, Jordan VMB et al. Maternal folic acid supplementation for the prevention of preeclampsia: A systematic review and meta-analysis. </w:t>
      </w:r>
      <w:r w:rsidRPr="004B77DE">
        <w:rPr>
          <w:rFonts w:ascii="Trebuchet MS" w:hAnsi="Trebuchet MS"/>
          <w:i/>
          <w:noProof/>
          <w:sz w:val="16"/>
          <w:szCs w:val="16"/>
        </w:rPr>
        <w:t>Paediatric and Perinatal Epidemiology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346</w:t>
      </w:r>
      <w:r w:rsidRPr="004B77DE">
        <w:rPr>
          <w:rFonts w:ascii="Trebuchet MS" w:hAnsi="Trebuchet MS"/>
          <w:noProof/>
          <w:sz w:val="16"/>
          <w:szCs w:val="16"/>
        </w:rPr>
        <w:t>-</w:t>
      </w:r>
      <w:r w:rsidRPr="004B77DE">
        <w:rPr>
          <w:rFonts w:ascii="Trebuchet MS" w:eastAsia="Calibri" w:hAnsi="Trebuchet MS" w:cs="Calibri"/>
          <w:noProof/>
          <w:sz w:val="16"/>
          <w:szCs w:val="16"/>
        </w:rPr>
        <w:t>57</w:t>
      </w:r>
      <w:r w:rsidRPr="004B77DE">
        <w:rPr>
          <w:rFonts w:ascii="Trebuchet MS" w:hAnsi="Trebuchet MS"/>
          <w:noProof/>
          <w:sz w:val="16"/>
          <w:szCs w:val="16"/>
        </w:rPr>
        <w:t>.</w:t>
      </w:r>
    </w:p>
    <w:p w14:paraId="0689566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127</w:t>
      </w:r>
      <w:r w:rsidRPr="004B77DE">
        <w:rPr>
          <w:rFonts w:ascii="Trebuchet MS" w:hAnsi="Trebuchet MS"/>
          <w:noProof/>
          <w:sz w:val="16"/>
          <w:szCs w:val="16"/>
        </w:rPr>
        <w:t>.</w:t>
      </w:r>
      <w:r w:rsidRPr="004B77DE">
        <w:rPr>
          <w:rFonts w:ascii="Trebuchet MS" w:hAnsi="Trebuchet MS"/>
          <w:noProof/>
          <w:sz w:val="16"/>
          <w:szCs w:val="16"/>
        </w:rPr>
        <w:tab/>
        <w:t xml:space="preserve">Chiavarini M, Naldini G, Fabiani R. Maternal Folate Intake and Risk of Childhood Brain and Spinal Cord Tumors: A Systematic Review and Meta-Analysis. </w:t>
      </w:r>
      <w:r w:rsidRPr="004B77DE">
        <w:rPr>
          <w:rFonts w:ascii="Trebuchet MS" w:hAnsi="Trebuchet MS"/>
          <w:i/>
          <w:noProof/>
          <w:sz w:val="16"/>
          <w:szCs w:val="16"/>
        </w:rPr>
        <w:t>Neuroepidemiology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82</w:t>
      </w:r>
      <w:r w:rsidRPr="004B77DE">
        <w:rPr>
          <w:rFonts w:ascii="Trebuchet MS" w:hAnsi="Trebuchet MS"/>
          <w:noProof/>
          <w:sz w:val="16"/>
          <w:szCs w:val="16"/>
        </w:rPr>
        <w:t>-</w:t>
      </w:r>
      <w:r w:rsidRPr="004B77DE">
        <w:rPr>
          <w:rFonts w:ascii="Trebuchet MS" w:eastAsia="Calibri" w:hAnsi="Trebuchet MS" w:cs="Calibri"/>
          <w:noProof/>
          <w:sz w:val="16"/>
          <w:szCs w:val="16"/>
        </w:rPr>
        <w:t>95</w:t>
      </w:r>
      <w:r w:rsidRPr="004B77DE">
        <w:rPr>
          <w:rFonts w:ascii="Trebuchet MS" w:hAnsi="Trebuchet MS"/>
          <w:noProof/>
          <w:sz w:val="16"/>
          <w:szCs w:val="16"/>
        </w:rPr>
        <w:t>.</w:t>
      </w:r>
    </w:p>
    <w:p w14:paraId="1C9EC3E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128</w:t>
      </w:r>
      <w:r w:rsidRPr="004B77DE">
        <w:rPr>
          <w:rFonts w:ascii="Trebuchet MS" w:hAnsi="Trebuchet MS"/>
          <w:noProof/>
          <w:sz w:val="16"/>
          <w:szCs w:val="16"/>
        </w:rPr>
        <w:t>.</w:t>
      </w:r>
      <w:r w:rsidRPr="004B77DE">
        <w:rPr>
          <w:rFonts w:ascii="Trebuchet MS" w:hAnsi="Trebuchet MS"/>
          <w:noProof/>
          <w:sz w:val="16"/>
          <w:szCs w:val="16"/>
        </w:rPr>
        <w:tab/>
        <w:t xml:space="preserve">Crider KS, Cordero AM, Qi YP et al. Prenatal folic acid and risk of asthma in children: a systematic review and meta-analysis. </w:t>
      </w:r>
      <w:r w:rsidRPr="004B77DE">
        <w:rPr>
          <w:rFonts w:ascii="Trebuchet MS" w:hAnsi="Trebuchet MS"/>
          <w:i/>
          <w:noProof/>
          <w:sz w:val="16"/>
          <w:szCs w:val="16"/>
        </w:rPr>
        <w:t>The American Journal of Clinical Nutrition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98</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1272</w:t>
      </w:r>
      <w:r w:rsidRPr="004B77DE">
        <w:rPr>
          <w:rFonts w:ascii="Trebuchet MS" w:hAnsi="Trebuchet MS"/>
          <w:noProof/>
          <w:sz w:val="16"/>
          <w:szCs w:val="16"/>
        </w:rPr>
        <w:t>-</w:t>
      </w:r>
      <w:r w:rsidRPr="004B77DE">
        <w:rPr>
          <w:rFonts w:ascii="Trebuchet MS" w:eastAsia="Calibri" w:hAnsi="Trebuchet MS" w:cs="Calibri"/>
          <w:noProof/>
          <w:sz w:val="16"/>
          <w:szCs w:val="16"/>
        </w:rPr>
        <w:t>81</w:t>
      </w:r>
      <w:r w:rsidRPr="004B77DE">
        <w:rPr>
          <w:rFonts w:ascii="Trebuchet MS" w:hAnsi="Trebuchet MS"/>
          <w:noProof/>
          <w:sz w:val="16"/>
          <w:szCs w:val="16"/>
        </w:rPr>
        <w:t>.</w:t>
      </w:r>
    </w:p>
    <w:p w14:paraId="19C898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129</w:t>
      </w:r>
      <w:r w:rsidRPr="004B77DE">
        <w:rPr>
          <w:rFonts w:ascii="Trebuchet MS" w:hAnsi="Trebuchet MS"/>
          <w:noProof/>
          <w:sz w:val="16"/>
          <w:szCs w:val="16"/>
        </w:rPr>
        <w:t>.</w:t>
      </w:r>
      <w:r w:rsidRPr="004B77DE">
        <w:rPr>
          <w:rFonts w:ascii="Trebuchet MS" w:hAnsi="Trebuchet MS"/>
          <w:noProof/>
          <w:sz w:val="16"/>
          <w:szCs w:val="16"/>
        </w:rPr>
        <w:tab/>
        <w:t xml:space="preserve">De-Regil LM, Pena-Rosas JP, Fernandez-Gaxiola AC et al. Effects and safety of periconceptional oral folate supplementation for preventing birth defects.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CD007950</w:t>
      </w:r>
      <w:r w:rsidRPr="004B77DE">
        <w:rPr>
          <w:rFonts w:ascii="Trebuchet MS" w:hAnsi="Trebuchet MS"/>
          <w:noProof/>
          <w:sz w:val="16"/>
          <w:szCs w:val="16"/>
        </w:rPr>
        <w:t>.</w:t>
      </w:r>
    </w:p>
    <w:p w14:paraId="2728B0A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130</w:t>
      </w:r>
      <w:r w:rsidRPr="004B77DE">
        <w:rPr>
          <w:rFonts w:ascii="Trebuchet MS" w:hAnsi="Trebuchet MS"/>
          <w:noProof/>
          <w:sz w:val="16"/>
          <w:szCs w:val="16"/>
        </w:rPr>
        <w:t>.</w:t>
      </w:r>
      <w:r w:rsidRPr="004B77DE">
        <w:rPr>
          <w:rFonts w:ascii="Trebuchet MS" w:hAnsi="Trebuchet MS"/>
          <w:noProof/>
          <w:sz w:val="16"/>
          <w:szCs w:val="16"/>
        </w:rPr>
        <w:tab/>
        <w:t xml:space="preserve">Feng Y, Wang S, Chen R et al. Maternal folic acid supplementation and the risk of congenital heart defects in offspring: a meta-analysis of epidemiological observational studies. </w:t>
      </w:r>
      <w:r w:rsidRPr="004B77DE">
        <w:rPr>
          <w:rFonts w:ascii="Trebuchet MS" w:hAnsi="Trebuchet MS"/>
          <w:i/>
          <w:noProof/>
          <w:sz w:val="16"/>
          <w:szCs w:val="16"/>
        </w:rPr>
        <w:t>Sci Rep</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8506</w:t>
      </w:r>
      <w:r w:rsidRPr="004B77DE">
        <w:rPr>
          <w:rFonts w:ascii="Trebuchet MS" w:hAnsi="Trebuchet MS"/>
          <w:noProof/>
          <w:sz w:val="16"/>
          <w:szCs w:val="16"/>
        </w:rPr>
        <w:t>.</w:t>
      </w:r>
    </w:p>
    <w:p w14:paraId="175A49E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131</w:t>
      </w:r>
      <w:r w:rsidRPr="004B77DE">
        <w:rPr>
          <w:rFonts w:ascii="Trebuchet MS" w:hAnsi="Trebuchet MS"/>
          <w:noProof/>
          <w:sz w:val="16"/>
          <w:szCs w:val="16"/>
        </w:rPr>
        <w:t>.</w:t>
      </w:r>
      <w:r w:rsidRPr="004B77DE">
        <w:rPr>
          <w:rFonts w:ascii="Trebuchet MS" w:hAnsi="Trebuchet MS"/>
          <w:noProof/>
          <w:sz w:val="16"/>
          <w:szCs w:val="16"/>
        </w:rPr>
        <w:tab/>
        <w:t xml:space="preserve">Hodgetts VA, Morris RK, Francis A et al. Effectiveness of folic acid supplementation in pregnancy on reducing the risk of small-for-gestational age neonates: a population study, systematic review and meta-analysis.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478</w:t>
      </w:r>
      <w:r w:rsidRPr="004B77DE">
        <w:rPr>
          <w:rFonts w:ascii="Trebuchet MS" w:hAnsi="Trebuchet MS"/>
          <w:noProof/>
          <w:sz w:val="16"/>
          <w:szCs w:val="16"/>
        </w:rPr>
        <w:t>-</w:t>
      </w:r>
      <w:r w:rsidRPr="004B77DE">
        <w:rPr>
          <w:rFonts w:ascii="Trebuchet MS" w:eastAsia="Calibri" w:hAnsi="Trebuchet MS" w:cs="Calibri"/>
          <w:noProof/>
          <w:sz w:val="16"/>
          <w:szCs w:val="16"/>
        </w:rPr>
        <w:t>90</w:t>
      </w:r>
      <w:r w:rsidRPr="004B77DE">
        <w:rPr>
          <w:rFonts w:ascii="Trebuchet MS" w:hAnsi="Trebuchet MS"/>
          <w:noProof/>
          <w:sz w:val="16"/>
          <w:szCs w:val="16"/>
        </w:rPr>
        <w:t>.</w:t>
      </w:r>
    </w:p>
    <w:p w14:paraId="4D5296C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132</w:t>
      </w:r>
      <w:r w:rsidRPr="004B77DE">
        <w:rPr>
          <w:rFonts w:ascii="Trebuchet MS" w:hAnsi="Trebuchet MS"/>
          <w:noProof/>
          <w:sz w:val="16"/>
          <w:szCs w:val="16"/>
        </w:rPr>
        <w:t>.</w:t>
      </w:r>
      <w:r w:rsidRPr="004B77DE">
        <w:rPr>
          <w:rFonts w:ascii="Trebuchet MS" w:hAnsi="Trebuchet MS"/>
          <w:noProof/>
          <w:sz w:val="16"/>
          <w:szCs w:val="16"/>
        </w:rPr>
        <w:tab/>
        <w:t xml:space="preserve">Hua X, Zhang J, Guo Y et al. Effect of folic acid supplementation during pregnancy on gestational hypertension/preeclampsia: A systematic review and meta-analysis. </w:t>
      </w:r>
      <w:r w:rsidRPr="004B77DE">
        <w:rPr>
          <w:rFonts w:ascii="Trebuchet MS" w:hAnsi="Trebuchet MS"/>
          <w:i/>
          <w:noProof/>
          <w:sz w:val="16"/>
          <w:szCs w:val="16"/>
        </w:rPr>
        <w:t>Hypertens Pregnancy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447</w:t>
      </w:r>
      <w:r w:rsidRPr="004B77DE">
        <w:rPr>
          <w:rFonts w:ascii="Trebuchet MS" w:hAnsi="Trebuchet MS"/>
          <w:noProof/>
          <w:sz w:val="16"/>
          <w:szCs w:val="16"/>
        </w:rPr>
        <w:t>-</w:t>
      </w:r>
      <w:r w:rsidRPr="004B77DE">
        <w:rPr>
          <w:rFonts w:ascii="Trebuchet MS" w:eastAsia="Calibri" w:hAnsi="Trebuchet MS" w:cs="Calibri"/>
          <w:noProof/>
          <w:sz w:val="16"/>
          <w:szCs w:val="16"/>
        </w:rPr>
        <w:t>60</w:t>
      </w:r>
      <w:r w:rsidRPr="004B77DE">
        <w:rPr>
          <w:rFonts w:ascii="Trebuchet MS" w:hAnsi="Trebuchet MS"/>
          <w:noProof/>
          <w:sz w:val="16"/>
          <w:szCs w:val="16"/>
        </w:rPr>
        <w:t>.</w:t>
      </w:r>
    </w:p>
    <w:p w14:paraId="4D42C13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133</w:t>
      </w:r>
      <w:r w:rsidRPr="004B77DE">
        <w:rPr>
          <w:rFonts w:ascii="Trebuchet MS" w:hAnsi="Trebuchet MS"/>
          <w:noProof/>
          <w:sz w:val="16"/>
          <w:szCs w:val="16"/>
        </w:rPr>
        <w:t>.</w:t>
      </w:r>
      <w:r w:rsidRPr="004B77DE">
        <w:rPr>
          <w:rFonts w:ascii="Trebuchet MS" w:hAnsi="Trebuchet MS"/>
          <w:noProof/>
          <w:sz w:val="16"/>
          <w:szCs w:val="16"/>
        </w:rPr>
        <w:tab/>
        <w:t xml:space="preserve">Lassi ZS, Salam RA, Haider BA et al. Folic acid supplementation during pregnancy for maternal health and pregnancy outcomes.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w:t>
      </w:r>
    </w:p>
    <w:p w14:paraId="1696199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134</w:t>
      </w:r>
      <w:r w:rsidRPr="004B77DE">
        <w:rPr>
          <w:rFonts w:ascii="Trebuchet MS" w:hAnsi="Trebuchet MS"/>
          <w:noProof/>
          <w:sz w:val="16"/>
          <w:szCs w:val="16"/>
        </w:rPr>
        <w:t>.</w:t>
      </w:r>
      <w:r w:rsidRPr="004B77DE">
        <w:rPr>
          <w:rFonts w:ascii="Trebuchet MS" w:hAnsi="Trebuchet MS"/>
          <w:noProof/>
          <w:sz w:val="16"/>
          <w:szCs w:val="16"/>
        </w:rPr>
        <w:tab/>
        <w:t xml:space="preserve">Liu C, Liu C, Wang Q et al. Supplementation of folic acid in pregnancy and the risk of preeclampsia and gestational hypertension: a meta-analysis. </w:t>
      </w:r>
      <w:r w:rsidRPr="004B77DE">
        <w:rPr>
          <w:rFonts w:ascii="Trebuchet MS" w:hAnsi="Trebuchet MS"/>
          <w:i/>
          <w:noProof/>
          <w:sz w:val="16"/>
          <w:szCs w:val="16"/>
        </w:rPr>
        <w:t>Archives of Gynecology and Obstetrics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298</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697</w:t>
      </w:r>
      <w:r w:rsidRPr="004B77DE">
        <w:rPr>
          <w:rFonts w:ascii="Trebuchet MS" w:hAnsi="Trebuchet MS"/>
          <w:noProof/>
          <w:sz w:val="16"/>
          <w:szCs w:val="16"/>
        </w:rPr>
        <w:t>-</w:t>
      </w:r>
      <w:r w:rsidRPr="004B77DE">
        <w:rPr>
          <w:rFonts w:ascii="Trebuchet MS" w:eastAsia="Calibri" w:hAnsi="Trebuchet MS" w:cs="Calibri"/>
          <w:noProof/>
          <w:sz w:val="16"/>
          <w:szCs w:val="16"/>
        </w:rPr>
        <w:t>704</w:t>
      </w:r>
      <w:r w:rsidRPr="004B77DE">
        <w:rPr>
          <w:rFonts w:ascii="Trebuchet MS" w:hAnsi="Trebuchet MS"/>
          <w:noProof/>
          <w:sz w:val="16"/>
          <w:szCs w:val="16"/>
        </w:rPr>
        <w:t>.</w:t>
      </w:r>
    </w:p>
    <w:p w14:paraId="5D5B37C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135</w:t>
      </w:r>
      <w:r w:rsidRPr="004B77DE">
        <w:rPr>
          <w:rFonts w:ascii="Trebuchet MS" w:hAnsi="Trebuchet MS"/>
          <w:noProof/>
          <w:sz w:val="16"/>
          <w:szCs w:val="16"/>
        </w:rPr>
        <w:t>.</w:t>
      </w:r>
      <w:r w:rsidRPr="004B77DE">
        <w:rPr>
          <w:rFonts w:ascii="Trebuchet MS" w:hAnsi="Trebuchet MS"/>
          <w:noProof/>
          <w:sz w:val="16"/>
          <w:szCs w:val="16"/>
        </w:rPr>
        <w:tab/>
        <w:t xml:space="preserve">Catena A, Munoz-Machicao JA, Torres-Espinola FJ et al. Folate and long-chain polyunsaturated fatty acid supplementation during pregnancy has long-term effects on the attention system of 8.5-y-old offspring: a randomized controlled trial.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103(1): 115-27.</w:t>
      </w:r>
    </w:p>
    <w:p w14:paraId="23741C8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136</w:t>
      </w:r>
      <w:r w:rsidRPr="004B77DE">
        <w:rPr>
          <w:rFonts w:ascii="Trebuchet MS" w:hAnsi="Trebuchet MS"/>
          <w:noProof/>
          <w:sz w:val="16"/>
          <w:szCs w:val="16"/>
        </w:rPr>
        <w:t>.</w:t>
      </w:r>
      <w:r w:rsidRPr="004B77DE">
        <w:rPr>
          <w:rFonts w:ascii="Trebuchet MS" w:hAnsi="Trebuchet MS"/>
          <w:noProof/>
          <w:sz w:val="16"/>
          <w:szCs w:val="16"/>
        </w:rPr>
        <w:tab/>
        <w:t xml:space="preserve">McNulty B, McNulty H, Marshall B et al. Impact of continuing folic acid after the first trimester of pregnancy: findings of a randomized trial of folic acid supplementation in the second and third trimesters.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98</w:t>
      </w:r>
      <w:r w:rsidRPr="004B77DE">
        <w:rPr>
          <w:rFonts w:ascii="Trebuchet MS" w:hAnsi="Trebuchet MS"/>
          <w:noProof/>
          <w:sz w:val="16"/>
          <w:szCs w:val="16"/>
        </w:rPr>
        <w:t>(1): 92-8.</w:t>
      </w:r>
    </w:p>
    <w:p w14:paraId="54D82F0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137</w:t>
      </w:r>
      <w:r w:rsidRPr="004B77DE">
        <w:rPr>
          <w:rFonts w:ascii="Trebuchet MS" w:hAnsi="Trebuchet MS"/>
          <w:noProof/>
          <w:sz w:val="16"/>
          <w:szCs w:val="16"/>
        </w:rPr>
        <w:t>.</w:t>
      </w:r>
      <w:r w:rsidRPr="004B77DE">
        <w:rPr>
          <w:rFonts w:ascii="Trebuchet MS" w:hAnsi="Trebuchet MS"/>
          <w:noProof/>
          <w:sz w:val="16"/>
          <w:szCs w:val="16"/>
        </w:rPr>
        <w:tab/>
        <w:t xml:space="preserve">Sayyah-Melli M, Ghorbanihaghjo A, Alizadeh M et al. The effect of high dose folic acid throughout pregnancy on homocysteine (hcy) concentration and pre-eclampsia: a randomized clinical trial.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w:t>
      </w:r>
    </w:p>
    <w:p w14:paraId="7F000D8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138</w:t>
      </w:r>
      <w:r w:rsidRPr="004B77DE">
        <w:rPr>
          <w:rFonts w:ascii="Trebuchet MS" w:hAnsi="Trebuchet MS"/>
          <w:noProof/>
          <w:sz w:val="16"/>
          <w:szCs w:val="16"/>
        </w:rPr>
        <w:t>.</w:t>
      </w:r>
      <w:r w:rsidRPr="004B77DE">
        <w:rPr>
          <w:rFonts w:ascii="Trebuchet MS" w:hAnsi="Trebuchet MS"/>
          <w:noProof/>
          <w:sz w:val="16"/>
          <w:szCs w:val="16"/>
        </w:rPr>
        <w:tab/>
        <w:t xml:space="preserve">Wen SW, White RR, Rybak N et al. Effect of high dose folic acid supplementation in pregnancy on pre-eclampsia (FACT): double blind, phase III, randomised controlled, international, multicentre trial. </w:t>
      </w:r>
      <w:r w:rsidRPr="004B77DE">
        <w:rPr>
          <w:rFonts w:ascii="Trebuchet MS" w:hAnsi="Trebuchet MS"/>
          <w:i/>
          <w:noProof/>
          <w:sz w:val="16"/>
          <w:szCs w:val="16"/>
        </w:rPr>
        <w:t>Bmj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w:t>
      </w:r>
    </w:p>
    <w:p w14:paraId="1A3F035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139</w:t>
      </w:r>
      <w:r w:rsidRPr="004B77DE">
        <w:rPr>
          <w:rFonts w:ascii="Trebuchet MS" w:hAnsi="Trebuchet MS"/>
          <w:noProof/>
          <w:sz w:val="16"/>
          <w:szCs w:val="16"/>
        </w:rPr>
        <w:t>.</w:t>
      </w:r>
      <w:r w:rsidRPr="004B77DE">
        <w:rPr>
          <w:rFonts w:ascii="Trebuchet MS" w:hAnsi="Trebuchet MS"/>
          <w:noProof/>
          <w:sz w:val="16"/>
          <w:szCs w:val="16"/>
        </w:rPr>
        <w:tab/>
        <w:t xml:space="preserve">Yusuf KK, Salihu HM, Wilson R et al. Comparing folic acid dosage strengths to prevent reduction in fetal size among pregnant women who smoked cigarettes: a randomized clinical trial. </w:t>
      </w:r>
      <w:r w:rsidRPr="004B77DE">
        <w:rPr>
          <w:rFonts w:ascii="Trebuchet MS" w:hAnsi="Trebuchet MS"/>
          <w:i/>
          <w:noProof/>
          <w:sz w:val="16"/>
          <w:szCs w:val="16"/>
        </w:rPr>
        <w:t>JAMA Pediatrics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173</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493</w:t>
      </w:r>
      <w:r w:rsidRPr="004B77DE">
        <w:rPr>
          <w:rFonts w:ascii="Trebuchet MS" w:hAnsi="Trebuchet MS"/>
          <w:noProof/>
          <w:sz w:val="16"/>
          <w:szCs w:val="16"/>
        </w:rPr>
        <w:t>-</w:t>
      </w:r>
      <w:r w:rsidRPr="004B77DE">
        <w:rPr>
          <w:rFonts w:ascii="Trebuchet MS" w:eastAsia="Calibri" w:hAnsi="Trebuchet MS" w:cs="Calibri"/>
          <w:noProof/>
          <w:sz w:val="16"/>
          <w:szCs w:val="16"/>
        </w:rPr>
        <w:t>94</w:t>
      </w:r>
      <w:r w:rsidRPr="004B77DE">
        <w:rPr>
          <w:rFonts w:ascii="Trebuchet MS" w:hAnsi="Trebuchet MS"/>
          <w:noProof/>
          <w:sz w:val="16"/>
          <w:szCs w:val="16"/>
        </w:rPr>
        <w:t>.</w:t>
      </w:r>
    </w:p>
    <w:p w14:paraId="10B33B7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140</w:t>
      </w:r>
      <w:r w:rsidRPr="004B77DE">
        <w:rPr>
          <w:rFonts w:ascii="Trebuchet MS" w:hAnsi="Trebuchet MS"/>
          <w:noProof/>
          <w:sz w:val="16"/>
          <w:szCs w:val="16"/>
        </w:rPr>
        <w:t>.</w:t>
      </w:r>
      <w:r w:rsidRPr="004B77DE">
        <w:rPr>
          <w:rFonts w:ascii="Trebuchet MS" w:hAnsi="Trebuchet MS"/>
          <w:noProof/>
          <w:sz w:val="16"/>
          <w:szCs w:val="16"/>
        </w:rPr>
        <w:tab/>
        <w:t xml:space="preserve">Salam RA, Zuberi NF, Bhutta ZA. Pyridoxine (vitamin B6) supplementation during pregnancy or labour for maternal and neonatal outcomes.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CD000179</w:t>
      </w:r>
      <w:r w:rsidRPr="004B77DE">
        <w:rPr>
          <w:rFonts w:ascii="Trebuchet MS" w:hAnsi="Trebuchet MS"/>
          <w:noProof/>
          <w:sz w:val="16"/>
          <w:szCs w:val="16"/>
        </w:rPr>
        <w:t>.</w:t>
      </w:r>
    </w:p>
    <w:p w14:paraId="068D12C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141</w:t>
      </w:r>
      <w:r w:rsidRPr="004B77DE">
        <w:rPr>
          <w:rFonts w:ascii="Trebuchet MS" w:hAnsi="Trebuchet MS"/>
          <w:noProof/>
          <w:sz w:val="16"/>
          <w:szCs w:val="16"/>
        </w:rPr>
        <w:t>.</w:t>
      </w:r>
      <w:r w:rsidRPr="004B77DE">
        <w:rPr>
          <w:rFonts w:ascii="Trebuchet MS" w:hAnsi="Trebuchet MS"/>
          <w:noProof/>
          <w:sz w:val="16"/>
          <w:szCs w:val="16"/>
        </w:rPr>
        <w:tab/>
        <w:t xml:space="preserve">Sridharan K, Sivaramakrishnan G. Interventions for treating nausea and vomiting in pregnancy: a network meta-analysis and trial sequential analysis of randomized clinical trials. </w:t>
      </w:r>
      <w:r w:rsidRPr="004B77DE">
        <w:rPr>
          <w:rFonts w:ascii="Trebuchet MS" w:hAnsi="Trebuchet MS"/>
          <w:i/>
          <w:noProof/>
          <w:sz w:val="16"/>
          <w:szCs w:val="16"/>
        </w:rPr>
        <w:t>Expert Review of Clinical Pharmacology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1143</w:t>
      </w:r>
      <w:r w:rsidRPr="004B77DE">
        <w:rPr>
          <w:rFonts w:ascii="Trebuchet MS" w:hAnsi="Trebuchet MS"/>
          <w:noProof/>
          <w:sz w:val="16"/>
          <w:szCs w:val="16"/>
        </w:rPr>
        <w:t>-</w:t>
      </w:r>
      <w:r w:rsidRPr="004B77DE">
        <w:rPr>
          <w:rFonts w:ascii="Trebuchet MS" w:eastAsia="Calibri" w:hAnsi="Trebuchet MS" w:cs="Calibri"/>
          <w:noProof/>
          <w:sz w:val="16"/>
          <w:szCs w:val="16"/>
        </w:rPr>
        <w:t>50</w:t>
      </w:r>
      <w:r w:rsidRPr="004B77DE">
        <w:rPr>
          <w:rFonts w:ascii="Trebuchet MS" w:hAnsi="Trebuchet MS"/>
          <w:noProof/>
          <w:sz w:val="16"/>
          <w:szCs w:val="16"/>
        </w:rPr>
        <w:t>.</w:t>
      </w:r>
    </w:p>
    <w:p w14:paraId="63D1AA8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142</w:t>
      </w:r>
      <w:r w:rsidRPr="004B77DE">
        <w:rPr>
          <w:rFonts w:ascii="Trebuchet MS" w:hAnsi="Trebuchet MS"/>
          <w:noProof/>
          <w:sz w:val="16"/>
          <w:szCs w:val="16"/>
        </w:rPr>
        <w:t>.</w:t>
      </w:r>
      <w:r w:rsidRPr="004B77DE">
        <w:rPr>
          <w:rFonts w:ascii="Trebuchet MS" w:hAnsi="Trebuchet MS"/>
          <w:noProof/>
          <w:sz w:val="16"/>
          <w:szCs w:val="16"/>
        </w:rPr>
        <w:tab/>
        <w:t xml:space="preserve">Finkelstein JL, Layden AJ, Stover PJ. Vitamin B-12 and Perinatal Health. </w:t>
      </w:r>
      <w:r w:rsidRPr="004B77DE">
        <w:rPr>
          <w:rFonts w:ascii="Trebuchet MS" w:hAnsi="Trebuchet MS"/>
          <w:i/>
          <w:noProof/>
          <w:sz w:val="16"/>
          <w:szCs w:val="16"/>
        </w:rPr>
        <w:t>Adv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552</w:t>
      </w:r>
      <w:r w:rsidRPr="004B77DE">
        <w:rPr>
          <w:rFonts w:ascii="Trebuchet MS" w:hAnsi="Trebuchet MS"/>
          <w:noProof/>
          <w:sz w:val="16"/>
          <w:szCs w:val="16"/>
        </w:rPr>
        <w:t>-</w:t>
      </w:r>
      <w:r w:rsidRPr="004B77DE">
        <w:rPr>
          <w:rFonts w:ascii="Trebuchet MS" w:eastAsia="Calibri" w:hAnsi="Trebuchet MS" w:cs="Calibri"/>
          <w:noProof/>
          <w:sz w:val="16"/>
          <w:szCs w:val="16"/>
        </w:rPr>
        <w:t>63</w:t>
      </w:r>
      <w:r w:rsidRPr="004B77DE">
        <w:rPr>
          <w:rFonts w:ascii="Trebuchet MS" w:hAnsi="Trebuchet MS"/>
          <w:noProof/>
          <w:sz w:val="16"/>
          <w:szCs w:val="16"/>
        </w:rPr>
        <w:t>.</w:t>
      </w:r>
    </w:p>
    <w:p w14:paraId="37E89C5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143</w:t>
      </w:r>
      <w:r w:rsidRPr="004B77DE">
        <w:rPr>
          <w:rFonts w:ascii="Trebuchet MS" w:hAnsi="Trebuchet MS"/>
          <w:noProof/>
          <w:sz w:val="16"/>
          <w:szCs w:val="16"/>
        </w:rPr>
        <w:t>.</w:t>
      </w:r>
      <w:r w:rsidRPr="004B77DE">
        <w:rPr>
          <w:rFonts w:ascii="Trebuchet MS" w:hAnsi="Trebuchet MS"/>
          <w:noProof/>
          <w:sz w:val="16"/>
          <w:szCs w:val="16"/>
        </w:rPr>
        <w:tab/>
        <w:t xml:space="preserve">Sukumar N, Rafnsson SB, Kandala NB et al. Prevalence of vitamin B-12 insufficiency during pregnancy and its effect on offspring birth weight: a systematic review and meta-analysis.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103</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1232</w:t>
      </w:r>
      <w:r w:rsidRPr="004B77DE">
        <w:rPr>
          <w:rFonts w:ascii="Trebuchet MS" w:hAnsi="Trebuchet MS"/>
          <w:noProof/>
          <w:sz w:val="16"/>
          <w:szCs w:val="16"/>
        </w:rPr>
        <w:t>-</w:t>
      </w:r>
      <w:r w:rsidRPr="004B77DE">
        <w:rPr>
          <w:rFonts w:ascii="Trebuchet MS" w:eastAsia="Calibri" w:hAnsi="Trebuchet MS" w:cs="Calibri"/>
          <w:noProof/>
          <w:sz w:val="16"/>
          <w:szCs w:val="16"/>
        </w:rPr>
        <w:t>51</w:t>
      </w:r>
      <w:r w:rsidRPr="004B77DE">
        <w:rPr>
          <w:rFonts w:ascii="Trebuchet MS" w:hAnsi="Trebuchet MS"/>
          <w:noProof/>
          <w:sz w:val="16"/>
          <w:szCs w:val="16"/>
        </w:rPr>
        <w:t>.</w:t>
      </w:r>
    </w:p>
    <w:p w14:paraId="6FB6675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144</w:t>
      </w:r>
      <w:r w:rsidRPr="004B77DE">
        <w:rPr>
          <w:rFonts w:ascii="Trebuchet MS" w:hAnsi="Trebuchet MS"/>
          <w:noProof/>
          <w:sz w:val="16"/>
          <w:szCs w:val="16"/>
        </w:rPr>
        <w:t>.</w:t>
      </w:r>
      <w:r w:rsidRPr="004B77DE">
        <w:rPr>
          <w:rFonts w:ascii="Trebuchet MS" w:hAnsi="Trebuchet MS"/>
          <w:noProof/>
          <w:sz w:val="16"/>
          <w:szCs w:val="16"/>
        </w:rPr>
        <w:tab/>
        <w:t xml:space="preserve">Srinivasan K, Thomas T, Kapanee AR et al. Effects of maternal vitamin B12 supplementation on early infant neurocognitive outcomes: a randomized controlled clinical trial.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w:t>
      </w:r>
    </w:p>
    <w:p w14:paraId="4770490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145</w:t>
      </w:r>
      <w:r w:rsidRPr="004B77DE">
        <w:rPr>
          <w:rFonts w:ascii="Trebuchet MS" w:hAnsi="Trebuchet MS"/>
          <w:noProof/>
          <w:sz w:val="16"/>
          <w:szCs w:val="16"/>
        </w:rPr>
        <w:t>.</w:t>
      </w:r>
      <w:r w:rsidRPr="004B77DE">
        <w:rPr>
          <w:rFonts w:ascii="Trebuchet MS" w:hAnsi="Trebuchet MS"/>
          <w:noProof/>
          <w:sz w:val="16"/>
          <w:szCs w:val="16"/>
        </w:rPr>
        <w:tab/>
        <w:t xml:space="preserve">Thomas S, Thomas T, Bosch RJ et al. Effect of maternal vitamin B12 Supplementation on cognitive outcomes in South Indian children: a randomized controlled clinical trial. </w:t>
      </w:r>
      <w:r w:rsidRPr="004B77DE">
        <w:rPr>
          <w:rFonts w:ascii="Trebuchet MS" w:hAnsi="Trebuchet MS"/>
          <w:i/>
          <w:noProof/>
          <w:sz w:val="16"/>
          <w:szCs w:val="16"/>
        </w:rPr>
        <w:t>Matern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155</w:t>
      </w:r>
      <w:r w:rsidRPr="004B77DE">
        <w:rPr>
          <w:rFonts w:ascii="Trebuchet MS" w:hAnsi="Trebuchet MS"/>
          <w:noProof/>
          <w:sz w:val="16"/>
          <w:szCs w:val="16"/>
        </w:rPr>
        <w:t>-</w:t>
      </w:r>
      <w:r w:rsidRPr="004B77DE">
        <w:rPr>
          <w:rFonts w:ascii="Trebuchet MS" w:eastAsia="Calibri" w:hAnsi="Trebuchet MS" w:cs="Calibri"/>
          <w:noProof/>
          <w:sz w:val="16"/>
          <w:szCs w:val="16"/>
        </w:rPr>
        <w:t>63</w:t>
      </w:r>
      <w:r w:rsidRPr="004B77DE">
        <w:rPr>
          <w:rFonts w:ascii="Trebuchet MS" w:hAnsi="Trebuchet MS"/>
          <w:noProof/>
          <w:sz w:val="16"/>
          <w:szCs w:val="16"/>
        </w:rPr>
        <w:t>.</w:t>
      </w:r>
    </w:p>
    <w:p w14:paraId="07E28B0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146</w:t>
      </w:r>
      <w:r w:rsidRPr="004B77DE">
        <w:rPr>
          <w:rFonts w:ascii="Trebuchet MS" w:hAnsi="Trebuchet MS"/>
          <w:noProof/>
          <w:sz w:val="16"/>
          <w:szCs w:val="16"/>
        </w:rPr>
        <w:t>.</w:t>
      </w:r>
      <w:r w:rsidRPr="004B77DE">
        <w:rPr>
          <w:rFonts w:ascii="Trebuchet MS" w:hAnsi="Trebuchet MS"/>
          <w:noProof/>
          <w:sz w:val="16"/>
          <w:szCs w:val="16"/>
        </w:rPr>
        <w:tab/>
        <w:t xml:space="preserve">Siddiqua TJ, Ahmad SM, Ahsan KB et al. Vitamin B12 supplementation during pregnancy and postpartum improves B12 status of both mothers and infants but vaccine response in mothers only: a randomized clinical trial in Bangladesh. </w:t>
      </w:r>
      <w:r w:rsidRPr="004B77DE">
        <w:rPr>
          <w:rFonts w:ascii="Trebuchet MS" w:hAnsi="Trebuchet MS"/>
          <w:i/>
          <w:noProof/>
          <w:sz w:val="16"/>
          <w:szCs w:val="16"/>
        </w:rPr>
        <w:t>Eur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281</w:t>
      </w:r>
      <w:r w:rsidRPr="004B77DE">
        <w:rPr>
          <w:rFonts w:ascii="Trebuchet MS" w:hAnsi="Trebuchet MS"/>
          <w:noProof/>
          <w:sz w:val="16"/>
          <w:szCs w:val="16"/>
        </w:rPr>
        <w:t>-</w:t>
      </w:r>
      <w:r w:rsidRPr="004B77DE">
        <w:rPr>
          <w:rFonts w:ascii="Trebuchet MS" w:eastAsia="Calibri" w:hAnsi="Trebuchet MS" w:cs="Calibri"/>
          <w:noProof/>
          <w:sz w:val="16"/>
          <w:szCs w:val="16"/>
        </w:rPr>
        <w:t>93</w:t>
      </w:r>
      <w:r w:rsidRPr="004B77DE">
        <w:rPr>
          <w:rFonts w:ascii="Trebuchet MS" w:hAnsi="Trebuchet MS"/>
          <w:noProof/>
          <w:sz w:val="16"/>
          <w:szCs w:val="16"/>
        </w:rPr>
        <w:t>.</w:t>
      </w:r>
    </w:p>
    <w:p w14:paraId="06C3F79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147</w:t>
      </w:r>
      <w:r w:rsidRPr="004B77DE">
        <w:rPr>
          <w:rFonts w:ascii="Trebuchet MS" w:hAnsi="Trebuchet MS"/>
          <w:noProof/>
          <w:sz w:val="16"/>
          <w:szCs w:val="16"/>
        </w:rPr>
        <w:t>.</w:t>
      </w:r>
      <w:r w:rsidRPr="004B77DE">
        <w:rPr>
          <w:rFonts w:ascii="Trebuchet MS" w:hAnsi="Trebuchet MS"/>
          <w:noProof/>
          <w:sz w:val="16"/>
          <w:szCs w:val="16"/>
        </w:rPr>
        <w:tab/>
        <w:t xml:space="preserve">Fu ZM, Ma ZZ, Liu GJ et al. Vitamins supplementation affects the onset of preeclampsia. </w:t>
      </w:r>
      <w:r w:rsidRPr="004B77DE">
        <w:rPr>
          <w:rFonts w:ascii="Trebuchet MS" w:hAnsi="Trebuchet MS"/>
          <w:i/>
          <w:noProof/>
          <w:sz w:val="16"/>
          <w:szCs w:val="16"/>
        </w:rPr>
        <w:t>J Formos Med Assoc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w:t>
      </w:r>
      <w:r w:rsidRPr="004B77DE">
        <w:rPr>
          <w:rFonts w:ascii="Trebuchet MS" w:hAnsi="Trebuchet MS"/>
          <w:noProof/>
          <w:sz w:val="16"/>
          <w:szCs w:val="16"/>
        </w:rPr>
        <w:t>-</w:t>
      </w:r>
      <w:r w:rsidRPr="004B77DE">
        <w:rPr>
          <w:rFonts w:ascii="Trebuchet MS" w:eastAsia="Calibri" w:hAnsi="Trebuchet MS" w:cs="Calibri"/>
          <w:noProof/>
          <w:sz w:val="16"/>
          <w:szCs w:val="16"/>
        </w:rPr>
        <w:t>13</w:t>
      </w:r>
      <w:r w:rsidRPr="004B77DE">
        <w:rPr>
          <w:rFonts w:ascii="Trebuchet MS" w:hAnsi="Trebuchet MS"/>
          <w:noProof/>
          <w:sz w:val="16"/>
          <w:szCs w:val="16"/>
        </w:rPr>
        <w:t>.</w:t>
      </w:r>
    </w:p>
    <w:p w14:paraId="1679092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148</w:t>
      </w:r>
      <w:r w:rsidRPr="004B77DE">
        <w:rPr>
          <w:rFonts w:ascii="Trebuchet MS" w:hAnsi="Trebuchet MS"/>
          <w:noProof/>
          <w:sz w:val="16"/>
          <w:szCs w:val="16"/>
        </w:rPr>
        <w:t>.</w:t>
      </w:r>
      <w:r w:rsidRPr="004B77DE">
        <w:rPr>
          <w:rFonts w:ascii="Trebuchet MS" w:hAnsi="Trebuchet MS"/>
          <w:noProof/>
          <w:sz w:val="16"/>
          <w:szCs w:val="16"/>
        </w:rPr>
        <w:tab/>
        <w:t xml:space="preserve">Rumbold A, Ota E, Nagata C et al. Vitamin C supplementation in pregnancy.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CD004072</w:t>
      </w:r>
      <w:r w:rsidRPr="004B77DE">
        <w:rPr>
          <w:rFonts w:ascii="Trebuchet MS" w:hAnsi="Trebuchet MS"/>
          <w:noProof/>
          <w:sz w:val="16"/>
          <w:szCs w:val="16"/>
        </w:rPr>
        <w:t>.</w:t>
      </w:r>
    </w:p>
    <w:p w14:paraId="0ABE61E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149</w:t>
      </w:r>
      <w:r w:rsidRPr="004B77DE">
        <w:rPr>
          <w:rFonts w:ascii="Trebuchet MS" w:hAnsi="Trebuchet MS"/>
          <w:noProof/>
          <w:sz w:val="16"/>
          <w:szCs w:val="16"/>
        </w:rPr>
        <w:t>.</w:t>
      </w:r>
      <w:r w:rsidRPr="004B77DE">
        <w:rPr>
          <w:rFonts w:ascii="Trebuchet MS" w:hAnsi="Trebuchet MS"/>
          <w:noProof/>
          <w:sz w:val="16"/>
          <w:szCs w:val="16"/>
        </w:rPr>
        <w:tab/>
        <w:t xml:space="preserve">McEvoy CT, Shorey-Kendrick LE, Milner K et al. Oral Vitamin C (500 mg/d) to Pregnant Smokers Improves Infant Airway Function at 3 Months (VCSIP). A Randomized Trial. </w:t>
      </w:r>
      <w:r w:rsidRPr="004B77DE">
        <w:rPr>
          <w:rFonts w:ascii="Trebuchet MS" w:hAnsi="Trebuchet MS"/>
          <w:i/>
          <w:noProof/>
          <w:sz w:val="16"/>
          <w:szCs w:val="16"/>
        </w:rPr>
        <w:t>Am J Respir Crit Care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199</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1139</w:t>
      </w:r>
      <w:r w:rsidRPr="004B77DE">
        <w:rPr>
          <w:rFonts w:ascii="Trebuchet MS" w:hAnsi="Trebuchet MS"/>
          <w:noProof/>
          <w:sz w:val="16"/>
          <w:szCs w:val="16"/>
        </w:rPr>
        <w:t>-</w:t>
      </w:r>
      <w:r w:rsidRPr="004B77DE">
        <w:rPr>
          <w:rFonts w:ascii="Trebuchet MS" w:eastAsia="Calibri" w:hAnsi="Trebuchet MS" w:cs="Calibri"/>
          <w:noProof/>
          <w:sz w:val="16"/>
          <w:szCs w:val="16"/>
        </w:rPr>
        <w:t>47</w:t>
      </w:r>
      <w:r w:rsidRPr="004B77DE">
        <w:rPr>
          <w:rFonts w:ascii="Trebuchet MS" w:hAnsi="Trebuchet MS"/>
          <w:noProof/>
          <w:sz w:val="16"/>
          <w:szCs w:val="16"/>
        </w:rPr>
        <w:t>.</w:t>
      </w:r>
    </w:p>
    <w:p w14:paraId="6EFC1FF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150</w:t>
      </w:r>
      <w:r w:rsidRPr="004B77DE">
        <w:rPr>
          <w:rFonts w:ascii="Trebuchet MS" w:hAnsi="Trebuchet MS"/>
          <w:noProof/>
          <w:sz w:val="16"/>
          <w:szCs w:val="16"/>
        </w:rPr>
        <w:t>.</w:t>
      </w:r>
      <w:r w:rsidRPr="004B77DE">
        <w:rPr>
          <w:rFonts w:ascii="Trebuchet MS" w:hAnsi="Trebuchet MS"/>
          <w:noProof/>
          <w:sz w:val="16"/>
          <w:szCs w:val="16"/>
        </w:rPr>
        <w:tab/>
        <w:t xml:space="preserve">Wu H, Zhang C, Wang Y et al. Does vitamin E prevent asthma or wheeze in children: A systematic review and meta-analysis. </w:t>
      </w:r>
      <w:r w:rsidRPr="004B77DE">
        <w:rPr>
          <w:rFonts w:ascii="Trebuchet MS" w:hAnsi="Trebuchet MS"/>
          <w:i/>
          <w:noProof/>
          <w:sz w:val="16"/>
          <w:szCs w:val="16"/>
        </w:rPr>
        <w:t>Paediatr Respir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60</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679B8E5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151</w:t>
      </w:r>
      <w:r w:rsidRPr="004B77DE">
        <w:rPr>
          <w:rFonts w:ascii="Trebuchet MS" w:hAnsi="Trebuchet MS"/>
          <w:noProof/>
          <w:sz w:val="16"/>
          <w:szCs w:val="16"/>
        </w:rPr>
        <w:t>.</w:t>
      </w:r>
      <w:r w:rsidRPr="004B77DE">
        <w:rPr>
          <w:rFonts w:ascii="Trebuchet MS" w:hAnsi="Trebuchet MS"/>
          <w:noProof/>
          <w:sz w:val="16"/>
          <w:szCs w:val="16"/>
        </w:rPr>
        <w:tab/>
        <w:t xml:space="preserve">Rumbold A, Ota E, Hori H et al. Vitamin E supplementation in pregnancy.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CD004069</w:t>
      </w:r>
      <w:r w:rsidRPr="004B77DE">
        <w:rPr>
          <w:rFonts w:ascii="Trebuchet MS" w:hAnsi="Trebuchet MS"/>
          <w:noProof/>
          <w:sz w:val="16"/>
          <w:szCs w:val="16"/>
        </w:rPr>
        <w:t>.</w:t>
      </w:r>
    </w:p>
    <w:p w14:paraId="1718D61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152</w:t>
      </w:r>
      <w:r w:rsidRPr="004B77DE">
        <w:rPr>
          <w:rFonts w:ascii="Trebuchet MS" w:hAnsi="Trebuchet MS"/>
          <w:noProof/>
          <w:sz w:val="16"/>
          <w:szCs w:val="16"/>
        </w:rPr>
        <w:t>.</w:t>
      </w:r>
      <w:r w:rsidRPr="004B77DE">
        <w:rPr>
          <w:rFonts w:ascii="Trebuchet MS" w:hAnsi="Trebuchet MS"/>
          <w:noProof/>
          <w:sz w:val="16"/>
          <w:szCs w:val="16"/>
        </w:rPr>
        <w:tab/>
        <w:t xml:space="preserve">Tenorio MB, Ferreira RC, Moura FA et al. Oral antioxidant therapy for prevention and treatment of preeclampsia: Meta-analysis of randomized controlled trials. </w:t>
      </w:r>
      <w:r w:rsidRPr="004B77DE">
        <w:rPr>
          <w:rFonts w:ascii="Trebuchet MS" w:hAnsi="Trebuchet MS"/>
          <w:i/>
          <w:noProof/>
          <w:sz w:val="16"/>
          <w:szCs w:val="16"/>
        </w:rPr>
        <w:t>Nutr Metab Cardiovasc Dis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865</w:t>
      </w:r>
      <w:r w:rsidRPr="004B77DE">
        <w:rPr>
          <w:rFonts w:ascii="Trebuchet MS" w:hAnsi="Trebuchet MS"/>
          <w:noProof/>
          <w:sz w:val="16"/>
          <w:szCs w:val="16"/>
        </w:rPr>
        <w:t>-</w:t>
      </w:r>
      <w:r w:rsidRPr="004B77DE">
        <w:rPr>
          <w:rFonts w:ascii="Trebuchet MS" w:eastAsia="Calibri" w:hAnsi="Trebuchet MS" w:cs="Calibri"/>
          <w:noProof/>
          <w:sz w:val="16"/>
          <w:szCs w:val="16"/>
        </w:rPr>
        <w:t>76</w:t>
      </w:r>
      <w:r w:rsidRPr="004B77DE">
        <w:rPr>
          <w:rFonts w:ascii="Trebuchet MS" w:hAnsi="Trebuchet MS"/>
          <w:noProof/>
          <w:sz w:val="16"/>
          <w:szCs w:val="16"/>
        </w:rPr>
        <w:t>.</w:t>
      </w:r>
    </w:p>
    <w:p w14:paraId="69F409B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153</w:t>
      </w:r>
      <w:r w:rsidRPr="004B77DE">
        <w:rPr>
          <w:rFonts w:ascii="Trebuchet MS" w:hAnsi="Trebuchet MS"/>
          <w:noProof/>
          <w:sz w:val="16"/>
          <w:szCs w:val="16"/>
        </w:rPr>
        <w:t>.</w:t>
      </w:r>
      <w:r w:rsidRPr="004B77DE">
        <w:rPr>
          <w:rFonts w:ascii="Trebuchet MS" w:hAnsi="Trebuchet MS"/>
          <w:noProof/>
          <w:sz w:val="16"/>
          <w:szCs w:val="16"/>
        </w:rPr>
        <w:tab/>
        <w:t xml:space="preserve">Vahdaninia M., Mackenzie H., Helps S. et al. Prenatal intake of vitamins and allergic outcomes in the offspring: a systematic review and meta-analysis. </w:t>
      </w:r>
      <w:r w:rsidRPr="004B77DE">
        <w:rPr>
          <w:rFonts w:ascii="Trebuchet MS" w:hAnsi="Trebuchet MS"/>
          <w:i/>
          <w:noProof/>
          <w:sz w:val="16"/>
          <w:szCs w:val="16"/>
        </w:rPr>
        <w:t>J Allergy Clin Immunol Pract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771</w:t>
      </w:r>
      <w:r w:rsidRPr="004B77DE">
        <w:rPr>
          <w:rFonts w:ascii="Trebuchet MS" w:hAnsi="Trebuchet MS"/>
          <w:noProof/>
          <w:sz w:val="16"/>
          <w:szCs w:val="16"/>
        </w:rPr>
        <w:t>-</w:t>
      </w:r>
      <w:r w:rsidRPr="004B77DE">
        <w:rPr>
          <w:rFonts w:ascii="Trebuchet MS" w:eastAsia="Calibri" w:hAnsi="Trebuchet MS" w:cs="Calibri"/>
          <w:noProof/>
          <w:sz w:val="16"/>
          <w:szCs w:val="16"/>
        </w:rPr>
        <w:t>78</w:t>
      </w:r>
      <w:r w:rsidRPr="004B77DE">
        <w:rPr>
          <w:rFonts w:ascii="Trebuchet MS" w:hAnsi="Trebuchet MS"/>
          <w:noProof/>
          <w:sz w:val="16"/>
          <w:szCs w:val="16"/>
        </w:rPr>
        <w:t>.</w:t>
      </w:r>
    </w:p>
    <w:p w14:paraId="0D463F6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154</w:t>
      </w:r>
      <w:r w:rsidRPr="004B77DE">
        <w:rPr>
          <w:rFonts w:ascii="Trebuchet MS" w:hAnsi="Trebuchet MS"/>
          <w:noProof/>
          <w:sz w:val="16"/>
          <w:szCs w:val="16"/>
        </w:rPr>
        <w:t>.</w:t>
      </w:r>
      <w:r w:rsidRPr="004B77DE">
        <w:rPr>
          <w:rFonts w:ascii="Trebuchet MS" w:hAnsi="Trebuchet MS"/>
          <w:noProof/>
          <w:sz w:val="16"/>
          <w:szCs w:val="16"/>
        </w:rPr>
        <w:tab/>
        <w:t xml:space="preserve">Bastos Maia S, Rolland Souza A, Costa Caminha M et al. Vitamin A and Pregnancy: A Narrative Review.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w:t>
      </w:r>
    </w:p>
    <w:p w14:paraId="49994E6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155</w:t>
      </w:r>
      <w:r w:rsidRPr="004B77DE">
        <w:rPr>
          <w:rFonts w:ascii="Trebuchet MS" w:hAnsi="Trebuchet MS"/>
          <w:noProof/>
          <w:sz w:val="16"/>
          <w:szCs w:val="16"/>
        </w:rPr>
        <w:t>.</w:t>
      </w:r>
      <w:r w:rsidRPr="004B77DE">
        <w:rPr>
          <w:rFonts w:ascii="Trebuchet MS" w:hAnsi="Trebuchet MS"/>
          <w:noProof/>
          <w:sz w:val="16"/>
          <w:szCs w:val="16"/>
        </w:rPr>
        <w:tab/>
        <w:t xml:space="preserve">McCauley ME, van den Broek N, Dou L et al. Vitamin A supplementation during pregnancy for maternal and newborn outcomes.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CD008666</w:t>
      </w:r>
      <w:r w:rsidRPr="004B77DE">
        <w:rPr>
          <w:rFonts w:ascii="Trebuchet MS" w:hAnsi="Trebuchet MS"/>
          <w:noProof/>
          <w:sz w:val="16"/>
          <w:szCs w:val="16"/>
        </w:rPr>
        <w:t>.</w:t>
      </w:r>
    </w:p>
    <w:p w14:paraId="631E72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156</w:t>
      </w:r>
      <w:r w:rsidRPr="004B77DE">
        <w:rPr>
          <w:rFonts w:ascii="Trebuchet MS" w:hAnsi="Trebuchet MS"/>
          <w:noProof/>
          <w:sz w:val="16"/>
          <w:szCs w:val="16"/>
        </w:rPr>
        <w:t>.</w:t>
      </w:r>
      <w:r w:rsidRPr="004B77DE">
        <w:rPr>
          <w:rFonts w:ascii="Trebuchet MS" w:hAnsi="Trebuchet MS"/>
          <w:noProof/>
          <w:sz w:val="16"/>
          <w:szCs w:val="16"/>
        </w:rPr>
        <w:tab/>
        <w:t xml:space="preserve">Ali H, Hamadani J, Mehra S et al. Effect of maternal antenatal and newborn supplementation with vitamin A on cognitive development of school-aged children in rural Bangladesh: a follow-up of a placebo-controlled, randomized trial.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106</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77</w:t>
      </w:r>
      <w:r w:rsidRPr="004B77DE">
        <w:rPr>
          <w:rFonts w:ascii="Trebuchet MS" w:hAnsi="Trebuchet MS"/>
          <w:noProof/>
          <w:sz w:val="16"/>
          <w:szCs w:val="16"/>
        </w:rPr>
        <w:t>-</w:t>
      </w:r>
      <w:r w:rsidRPr="004B77DE">
        <w:rPr>
          <w:rFonts w:ascii="Trebuchet MS" w:eastAsia="Calibri" w:hAnsi="Trebuchet MS" w:cs="Calibri"/>
          <w:noProof/>
          <w:sz w:val="16"/>
          <w:szCs w:val="16"/>
        </w:rPr>
        <w:t>87</w:t>
      </w:r>
      <w:r w:rsidRPr="004B77DE">
        <w:rPr>
          <w:rFonts w:ascii="Trebuchet MS" w:hAnsi="Trebuchet MS"/>
          <w:noProof/>
          <w:sz w:val="16"/>
          <w:szCs w:val="16"/>
        </w:rPr>
        <w:t>.</w:t>
      </w:r>
    </w:p>
    <w:p w14:paraId="6DA45A6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157</w:t>
      </w:r>
      <w:r w:rsidRPr="004B77DE">
        <w:rPr>
          <w:rFonts w:ascii="Trebuchet MS" w:hAnsi="Trebuchet MS"/>
          <w:noProof/>
          <w:sz w:val="16"/>
          <w:szCs w:val="16"/>
        </w:rPr>
        <w:t>.</w:t>
      </w:r>
      <w:r w:rsidRPr="004B77DE">
        <w:rPr>
          <w:rFonts w:ascii="Trebuchet MS" w:hAnsi="Trebuchet MS"/>
          <w:noProof/>
          <w:sz w:val="16"/>
          <w:szCs w:val="16"/>
        </w:rPr>
        <w:tab/>
        <w:t xml:space="preserve">McAlpine JM, Vanderlelie JJ, Vincze LJ et al. Use of micronutrient supplements in pregnant women of south-east Queensland. </w:t>
      </w:r>
      <w:r w:rsidRPr="004B77DE">
        <w:rPr>
          <w:rFonts w:ascii="Trebuchet MS" w:hAnsi="Trebuchet MS"/>
          <w:i/>
          <w:noProof/>
          <w:sz w:val="16"/>
          <w:szCs w:val="16"/>
        </w:rPr>
        <w:t>Aust N Z 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w:t>
      </w:r>
    </w:p>
    <w:p w14:paraId="3D42AC5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158</w:t>
      </w:r>
      <w:r w:rsidRPr="004B77DE">
        <w:rPr>
          <w:rFonts w:ascii="Trebuchet MS" w:hAnsi="Trebuchet MS"/>
          <w:noProof/>
          <w:sz w:val="16"/>
          <w:szCs w:val="16"/>
        </w:rPr>
        <w:t>.</w:t>
      </w:r>
      <w:r w:rsidRPr="004B77DE">
        <w:rPr>
          <w:rFonts w:ascii="Trebuchet MS" w:hAnsi="Trebuchet MS"/>
          <w:noProof/>
          <w:sz w:val="16"/>
          <w:szCs w:val="16"/>
        </w:rPr>
        <w:tab/>
        <w:t xml:space="preserve">McAlpine JM, Scott R, Scuffham PA et al. The association between third trimester multivitamin/mineral supplements and gestational length in uncomplicated pregnancies. </w:t>
      </w:r>
      <w:r w:rsidRPr="004B77DE">
        <w:rPr>
          <w:rFonts w:ascii="Trebuchet MS" w:hAnsi="Trebuchet MS"/>
          <w:i/>
          <w:noProof/>
          <w:sz w:val="16"/>
          <w:szCs w:val="16"/>
        </w:rPr>
        <w:t>Women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2D80945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159</w:t>
      </w:r>
      <w:r w:rsidRPr="004B77DE">
        <w:rPr>
          <w:rFonts w:ascii="Trebuchet MS" w:hAnsi="Trebuchet MS"/>
          <w:noProof/>
          <w:sz w:val="16"/>
          <w:szCs w:val="16"/>
        </w:rPr>
        <w:t>.</w:t>
      </w:r>
      <w:r w:rsidRPr="004B77DE">
        <w:rPr>
          <w:rFonts w:ascii="Trebuchet MS" w:hAnsi="Trebuchet MS"/>
          <w:noProof/>
          <w:sz w:val="16"/>
          <w:szCs w:val="16"/>
        </w:rPr>
        <w:tab/>
        <w:t xml:space="preserve">Vanderlelie J, Scott R, Shibl R et al. First trimester multivitamin/mineral use is associated with reduced risk of pre-eclampsia among overweight and obese women.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339</w:t>
      </w:r>
      <w:r w:rsidRPr="004B77DE">
        <w:rPr>
          <w:rFonts w:ascii="Trebuchet MS" w:hAnsi="Trebuchet MS"/>
          <w:noProof/>
          <w:sz w:val="16"/>
          <w:szCs w:val="16"/>
        </w:rPr>
        <w:t>-</w:t>
      </w:r>
      <w:r w:rsidRPr="004B77DE">
        <w:rPr>
          <w:rFonts w:ascii="Trebuchet MS" w:eastAsia="Calibri" w:hAnsi="Trebuchet MS" w:cs="Calibri"/>
          <w:noProof/>
          <w:sz w:val="16"/>
          <w:szCs w:val="16"/>
        </w:rPr>
        <w:t>48</w:t>
      </w:r>
      <w:r w:rsidRPr="004B77DE">
        <w:rPr>
          <w:rFonts w:ascii="Trebuchet MS" w:hAnsi="Trebuchet MS"/>
          <w:noProof/>
          <w:sz w:val="16"/>
          <w:szCs w:val="16"/>
        </w:rPr>
        <w:t>.</w:t>
      </w:r>
    </w:p>
    <w:p w14:paraId="0CBC4AA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160</w:t>
      </w:r>
      <w:r w:rsidRPr="004B77DE">
        <w:rPr>
          <w:rFonts w:ascii="Trebuchet MS" w:hAnsi="Trebuchet MS"/>
          <w:noProof/>
          <w:sz w:val="16"/>
          <w:szCs w:val="16"/>
        </w:rPr>
        <w:t>.</w:t>
      </w:r>
      <w:r w:rsidRPr="004B77DE">
        <w:rPr>
          <w:rFonts w:ascii="Trebuchet MS" w:hAnsi="Trebuchet MS"/>
          <w:noProof/>
          <w:sz w:val="16"/>
          <w:szCs w:val="16"/>
        </w:rPr>
        <w:tab/>
        <w:t xml:space="preserve">Malek L, Umberger WJ, Makrides M et al. Understanding motivations for dietary supplementation during pregnancy: A focus group study. </w:t>
      </w:r>
      <w:r w:rsidRPr="004B77DE">
        <w:rPr>
          <w:rFonts w:ascii="Trebuchet MS" w:hAnsi="Trebuchet MS"/>
          <w:i/>
          <w:noProof/>
          <w:sz w:val="16"/>
          <w:szCs w:val="16"/>
        </w:rPr>
        <w:t>Midwifery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w:t>
      </w:r>
      <w:r w:rsidRPr="004B77DE">
        <w:rPr>
          <w:rFonts w:ascii="Trebuchet MS" w:hAnsi="Trebuchet MS"/>
          <w:noProof/>
          <w:sz w:val="16"/>
          <w:szCs w:val="16"/>
        </w:rPr>
        <w:t>-</w:t>
      </w:r>
      <w:r w:rsidRPr="004B77DE">
        <w:rPr>
          <w:rFonts w:ascii="Trebuchet MS" w:eastAsia="Calibri" w:hAnsi="Trebuchet MS" w:cs="Calibri"/>
          <w:noProof/>
          <w:sz w:val="16"/>
          <w:szCs w:val="16"/>
        </w:rPr>
        <w:t>68</w:t>
      </w:r>
      <w:r w:rsidRPr="004B77DE">
        <w:rPr>
          <w:rFonts w:ascii="Trebuchet MS" w:hAnsi="Trebuchet MS"/>
          <w:noProof/>
          <w:sz w:val="16"/>
          <w:szCs w:val="16"/>
        </w:rPr>
        <w:t>.</w:t>
      </w:r>
    </w:p>
    <w:p w14:paraId="5CEC627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161</w:t>
      </w:r>
      <w:r w:rsidRPr="004B77DE">
        <w:rPr>
          <w:rFonts w:ascii="Trebuchet MS" w:hAnsi="Trebuchet MS"/>
          <w:noProof/>
          <w:sz w:val="16"/>
          <w:szCs w:val="16"/>
        </w:rPr>
        <w:t>.</w:t>
      </w:r>
      <w:r w:rsidRPr="004B77DE">
        <w:rPr>
          <w:rFonts w:ascii="Trebuchet MS" w:hAnsi="Trebuchet MS"/>
          <w:noProof/>
          <w:sz w:val="16"/>
          <w:szCs w:val="16"/>
        </w:rPr>
        <w:tab/>
        <w:t xml:space="preserve">Virk J, Liew Z, Olsen J et al. Pre-conceptual and prenatal supplementary folic acid and multivitamin intake, behavioral problems, and hyperkinetic disorders: A study based on the Danish National Birth Cohort (DNBC). </w:t>
      </w:r>
      <w:r w:rsidRPr="004B77DE">
        <w:rPr>
          <w:rFonts w:ascii="Trebuchet MS" w:hAnsi="Trebuchet MS"/>
          <w:i/>
          <w:noProof/>
          <w:sz w:val="16"/>
          <w:szCs w:val="16"/>
        </w:rPr>
        <w:t>Nutr Neurosci</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352</w:t>
      </w:r>
      <w:r w:rsidRPr="004B77DE">
        <w:rPr>
          <w:rFonts w:ascii="Trebuchet MS" w:hAnsi="Trebuchet MS"/>
          <w:noProof/>
          <w:sz w:val="16"/>
          <w:szCs w:val="16"/>
        </w:rPr>
        <w:t>-</w:t>
      </w:r>
      <w:r w:rsidRPr="004B77DE">
        <w:rPr>
          <w:rFonts w:ascii="Trebuchet MS" w:eastAsia="Calibri" w:hAnsi="Trebuchet MS" w:cs="Calibri"/>
          <w:noProof/>
          <w:sz w:val="16"/>
          <w:szCs w:val="16"/>
        </w:rPr>
        <w:t>60</w:t>
      </w:r>
      <w:r w:rsidRPr="004B77DE">
        <w:rPr>
          <w:rFonts w:ascii="Trebuchet MS" w:hAnsi="Trebuchet MS"/>
          <w:noProof/>
          <w:sz w:val="16"/>
          <w:szCs w:val="16"/>
        </w:rPr>
        <w:t>.</w:t>
      </w:r>
    </w:p>
    <w:p w14:paraId="7F51E98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162</w:t>
      </w:r>
      <w:r w:rsidRPr="004B77DE">
        <w:rPr>
          <w:rFonts w:ascii="Trebuchet MS" w:hAnsi="Trebuchet MS"/>
          <w:noProof/>
          <w:sz w:val="16"/>
          <w:szCs w:val="16"/>
        </w:rPr>
        <w:t>.</w:t>
      </w:r>
      <w:r w:rsidRPr="004B77DE">
        <w:rPr>
          <w:rFonts w:ascii="Trebuchet MS" w:hAnsi="Trebuchet MS"/>
          <w:noProof/>
          <w:sz w:val="16"/>
          <w:szCs w:val="16"/>
        </w:rPr>
        <w:tab/>
        <w:t xml:space="preserve">Li C, Zeng L, Wang D et al. Prenatal micronutrient supplementation is not associated with intellectual development of young school-aged children.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145</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1844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3EE5A12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163</w:t>
      </w:r>
      <w:r w:rsidRPr="004B77DE">
        <w:rPr>
          <w:rFonts w:ascii="Trebuchet MS" w:hAnsi="Trebuchet MS"/>
          <w:noProof/>
          <w:sz w:val="16"/>
          <w:szCs w:val="16"/>
        </w:rPr>
        <w:t>.</w:t>
      </w:r>
      <w:r w:rsidRPr="004B77DE">
        <w:rPr>
          <w:rFonts w:ascii="Trebuchet MS" w:hAnsi="Trebuchet MS"/>
          <w:noProof/>
          <w:sz w:val="16"/>
          <w:szCs w:val="16"/>
        </w:rPr>
        <w:tab/>
        <w:t xml:space="preserve">Alwan NA, Greenwood DC, Simpson NA et al. The relationship between dietary supplement use in late pregnancy and birth outcomes: a cohort study in British women. </w:t>
      </w:r>
      <w:r w:rsidRPr="004B77DE">
        <w:rPr>
          <w:rFonts w:ascii="Trebuchet MS" w:hAnsi="Trebuchet MS"/>
          <w:i/>
          <w:noProof/>
          <w:sz w:val="16"/>
          <w:szCs w:val="16"/>
        </w:rPr>
        <w:t>BJOG : an international journal of obstetrics and gynaecology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117</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821–29</w:t>
      </w:r>
      <w:r w:rsidRPr="004B77DE">
        <w:rPr>
          <w:rFonts w:ascii="Trebuchet MS" w:hAnsi="Trebuchet MS"/>
          <w:noProof/>
          <w:sz w:val="16"/>
          <w:szCs w:val="16"/>
        </w:rPr>
        <w:t>.</w:t>
      </w:r>
    </w:p>
    <w:p w14:paraId="742FA9A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164</w:t>
      </w:r>
      <w:r w:rsidRPr="004B77DE">
        <w:rPr>
          <w:rFonts w:ascii="Trebuchet MS" w:hAnsi="Trebuchet MS"/>
          <w:noProof/>
          <w:sz w:val="16"/>
          <w:szCs w:val="16"/>
        </w:rPr>
        <w:t>.</w:t>
      </w:r>
      <w:r w:rsidRPr="004B77DE">
        <w:rPr>
          <w:rFonts w:ascii="Trebuchet MS" w:hAnsi="Trebuchet MS"/>
          <w:noProof/>
          <w:sz w:val="16"/>
          <w:szCs w:val="16"/>
        </w:rPr>
        <w:tab/>
        <w:t xml:space="preserve">Keats EC, Haider BA, Tam E et al. Multiple-micronutrient supplementation for women during pregnancy.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CD004905</w:t>
      </w:r>
      <w:r w:rsidRPr="004B77DE">
        <w:rPr>
          <w:rFonts w:ascii="Trebuchet MS" w:hAnsi="Trebuchet MS"/>
          <w:noProof/>
          <w:sz w:val="16"/>
          <w:szCs w:val="16"/>
        </w:rPr>
        <w:t>.</w:t>
      </w:r>
    </w:p>
    <w:p w14:paraId="5BFFB7B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165</w:t>
      </w:r>
      <w:r w:rsidRPr="004B77DE">
        <w:rPr>
          <w:rFonts w:ascii="Trebuchet MS" w:hAnsi="Trebuchet MS"/>
          <w:noProof/>
          <w:sz w:val="16"/>
          <w:szCs w:val="16"/>
        </w:rPr>
        <w:t>.</w:t>
      </w:r>
      <w:r w:rsidRPr="004B77DE">
        <w:rPr>
          <w:rFonts w:ascii="Trebuchet MS" w:hAnsi="Trebuchet MS"/>
          <w:noProof/>
          <w:sz w:val="16"/>
          <w:szCs w:val="16"/>
        </w:rPr>
        <w:tab/>
        <w:t xml:space="preserve">Wolf HT, Hegaard HK, Huusom LD et al. Multivitamin use and adverse birth outcomes in high-income countries: a systematic review and meta-analysis. </w:t>
      </w:r>
      <w:r w:rsidRPr="004B77DE">
        <w:rPr>
          <w:rFonts w:ascii="Trebuchet MS" w:hAnsi="Trebuchet MS"/>
          <w:i/>
          <w:noProof/>
          <w:sz w:val="16"/>
          <w:szCs w:val="16"/>
        </w:rPr>
        <w:t>Am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217</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e30</w:t>
      </w:r>
      <w:r w:rsidRPr="004B77DE">
        <w:rPr>
          <w:rFonts w:ascii="Trebuchet MS" w:hAnsi="Trebuchet MS"/>
          <w:noProof/>
          <w:sz w:val="16"/>
          <w:szCs w:val="16"/>
        </w:rPr>
        <w:t>.</w:t>
      </w:r>
    </w:p>
    <w:p w14:paraId="09B2E4A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166</w:t>
      </w:r>
      <w:r w:rsidRPr="004B77DE">
        <w:rPr>
          <w:rFonts w:ascii="Trebuchet MS" w:hAnsi="Trebuchet MS"/>
          <w:noProof/>
          <w:sz w:val="16"/>
          <w:szCs w:val="16"/>
        </w:rPr>
        <w:t>.</w:t>
      </w:r>
      <w:r w:rsidRPr="004B77DE">
        <w:rPr>
          <w:rFonts w:ascii="Trebuchet MS" w:hAnsi="Trebuchet MS"/>
          <w:noProof/>
          <w:sz w:val="16"/>
          <w:szCs w:val="16"/>
        </w:rPr>
        <w:tab/>
        <w:t xml:space="preserve">Guo BQ, Li HB, Zhai DS et al. Maternal multivitamin supplementation is associated with a reduced risk of autism spectrum disorder in children: a systematic review and meta-analysis. </w:t>
      </w:r>
      <w:r w:rsidRPr="004B77DE">
        <w:rPr>
          <w:rFonts w:ascii="Trebuchet MS" w:hAnsi="Trebuchet MS"/>
          <w:i/>
          <w:noProof/>
          <w:sz w:val="16"/>
          <w:szCs w:val="16"/>
        </w:rPr>
        <w:t>Nutr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w:t>
      </w:r>
      <w:r w:rsidRPr="004B77DE">
        <w:rPr>
          <w:rFonts w:ascii="Trebuchet MS" w:hAnsi="Trebuchet MS"/>
          <w:noProof/>
          <w:sz w:val="16"/>
          <w:szCs w:val="16"/>
        </w:rPr>
        <w:t>-</w:t>
      </w:r>
      <w:r w:rsidRPr="004B77DE">
        <w:rPr>
          <w:rFonts w:ascii="Trebuchet MS" w:eastAsia="Calibri" w:hAnsi="Trebuchet MS" w:cs="Calibri"/>
          <w:noProof/>
          <w:sz w:val="16"/>
          <w:szCs w:val="16"/>
        </w:rPr>
        <w:t>16</w:t>
      </w:r>
      <w:r w:rsidRPr="004B77DE">
        <w:rPr>
          <w:rFonts w:ascii="Trebuchet MS" w:hAnsi="Trebuchet MS"/>
          <w:noProof/>
          <w:sz w:val="16"/>
          <w:szCs w:val="16"/>
        </w:rPr>
        <w:t>.</w:t>
      </w:r>
    </w:p>
    <w:p w14:paraId="6955070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167</w:t>
      </w:r>
      <w:r w:rsidRPr="004B77DE">
        <w:rPr>
          <w:rFonts w:ascii="Trebuchet MS" w:hAnsi="Trebuchet MS"/>
          <w:noProof/>
          <w:sz w:val="16"/>
          <w:szCs w:val="16"/>
        </w:rPr>
        <w:t>.</w:t>
      </w:r>
      <w:r w:rsidRPr="004B77DE">
        <w:rPr>
          <w:rFonts w:ascii="Trebuchet MS" w:hAnsi="Trebuchet MS"/>
          <w:noProof/>
          <w:sz w:val="16"/>
          <w:szCs w:val="16"/>
        </w:rPr>
        <w:tab/>
        <w:t xml:space="preserve">Chen S, Li N, Mei Z et al. Micronutrient supplementation during pregnancy and the risk of pregnancy-induced hypertension: A randomized clinical trial. </w:t>
      </w:r>
      <w:r w:rsidRPr="004B77DE">
        <w:rPr>
          <w:rFonts w:ascii="Trebuchet MS" w:hAnsi="Trebuchet MS"/>
          <w:i/>
          <w:noProof/>
          <w:sz w:val="16"/>
          <w:szCs w:val="16"/>
        </w:rPr>
        <w:t>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146</w:t>
      </w:r>
      <w:r w:rsidRPr="004B77DE">
        <w:rPr>
          <w:rFonts w:ascii="Trebuchet MS" w:hAnsi="Trebuchet MS"/>
          <w:noProof/>
          <w:sz w:val="16"/>
          <w:szCs w:val="16"/>
        </w:rPr>
        <w:t>-</w:t>
      </w:r>
      <w:r w:rsidRPr="004B77DE">
        <w:rPr>
          <w:rFonts w:ascii="Trebuchet MS" w:eastAsia="Calibri" w:hAnsi="Trebuchet MS" w:cs="Calibri"/>
          <w:noProof/>
          <w:sz w:val="16"/>
          <w:szCs w:val="16"/>
        </w:rPr>
        <w:t>51</w:t>
      </w:r>
      <w:r w:rsidRPr="004B77DE">
        <w:rPr>
          <w:rFonts w:ascii="Trebuchet MS" w:hAnsi="Trebuchet MS"/>
          <w:noProof/>
          <w:sz w:val="16"/>
          <w:szCs w:val="16"/>
        </w:rPr>
        <w:t>.</w:t>
      </w:r>
    </w:p>
    <w:p w14:paraId="23A25A9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168</w:t>
      </w:r>
      <w:r w:rsidRPr="004B77DE">
        <w:rPr>
          <w:rFonts w:ascii="Trebuchet MS" w:hAnsi="Trebuchet MS"/>
          <w:noProof/>
          <w:sz w:val="16"/>
          <w:szCs w:val="16"/>
        </w:rPr>
        <w:t>.</w:t>
      </w:r>
      <w:r w:rsidRPr="004B77DE">
        <w:rPr>
          <w:rFonts w:ascii="Trebuchet MS" w:hAnsi="Trebuchet MS"/>
          <w:noProof/>
          <w:sz w:val="16"/>
          <w:szCs w:val="16"/>
        </w:rPr>
        <w:tab/>
        <w:t xml:space="preserve">Devakumar D, Stocks J, Ayres JG et al. Effects of antenatal multiple micronutrient supplementation on lung function in mid-childhood: follow-up of a double-blind randomised controlled trial in Nepal. </w:t>
      </w:r>
      <w:r w:rsidRPr="004B77DE">
        <w:rPr>
          <w:rFonts w:ascii="Trebuchet MS" w:hAnsi="Trebuchet MS"/>
          <w:i/>
          <w:noProof/>
          <w:sz w:val="16"/>
          <w:szCs w:val="16"/>
        </w:rPr>
        <w:t>Eur Respir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45</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1566</w:t>
      </w:r>
      <w:r w:rsidRPr="004B77DE">
        <w:rPr>
          <w:rFonts w:ascii="Trebuchet MS" w:hAnsi="Trebuchet MS"/>
          <w:noProof/>
          <w:sz w:val="16"/>
          <w:szCs w:val="16"/>
        </w:rPr>
        <w:t>-</w:t>
      </w:r>
      <w:r w:rsidRPr="004B77DE">
        <w:rPr>
          <w:rFonts w:ascii="Trebuchet MS" w:eastAsia="Calibri" w:hAnsi="Trebuchet MS" w:cs="Calibri"/>
          <w:noProof/>
          <w:sz w:val="16"/>
          <w:szCs w:val="16"/>
        </w:rPr>
        <w:t>75</w:t>
      </w:r>
      <w:r w:rsidRPr="004B77DE">
        <w:rPr>
          <w:rFonts w:ascii="Trebuchet MS" w:hAnsi="Trebuchet MS"/>
          <w:noProof/>
          <w:sz w:val="16"/>
          <w:szCs w:val="16"/>
        </w:rPr>
        <w:t>.</w:t>
      </w:r>
    </w:p>
    <w:p w14:paraId="14781D5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169</w:t>
      </w:r>
      <w:r w:rsidRPr="004B77DE">
        <w:rPr>
          <w:rFonts w:ascii="Trebuchet MS" w:hAnsi="Trebuchet MS"/>
          <w:noProof/>
          <w:sz w:val="16"/>
          <w:szCs w:val="16"/>
        </w:rPr>
        <w:t>.</w:t>
      </w:r>
      <w:r w:rsidRPr="004B77DE">
        <w:rPr>
          <w:rFonts w:ascii="Trebuchet MS" w:hAnsi="Trebuchet MS"/>
          <w:noProof/>
          <w:sz w:val="16"/>
          <w:szCs w:val="16"/>
        </w:rPr>
        <w:tab/>
        <w:t xml:space="preserve">Schulze KJ, Mehra S, Shaikh S et al. Antenatal multiple micronutrient supplementation compared to iron-folic acid affects micronutrient status but does not eliminate deficiencies in a randomized controlled trial among pregnant women of rural Bangladesh.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149</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1260</w:t>
      </w:r>
      <w:r w:rsidRPr="004B77DE">
        <w:rPr>
          <w:rFonts w:ascii="Trebuchet MS" w:hAnsi="Trebuchet MS"/>
          <w:noProof/>
          <w:sz w:val="16"/>
          <w:szCs w:val="16"/>
        </w:rPr>
        <w:t>-</w:t>
      </w:r>
      <w:r w:rsidRPr="004B77DE">
        <w:rPr>
          <w:rFonts w:ascii="Trebuchet MS" w:eastAsia="Calibri" w:hAnsi="Trebuchet MS" w:cs="Calibri"/>
          <w:noProof/>
          <w:sz w:val="16"/>
          <w:szCs w:val="16"/>
        </w:rPr>
        <w:t>70</w:t>
      </w:r>
      <w:r w:rsidRPr="004B77DE">
        <w:rPr>
          <w:rFonts w:ascii="Trebuchet MS" w:hAnsi="Trebuchet MS"/>
          <w:noProof/>
          <w:sz w:val="16"/>
          <w:szCs w:val="16"/>
        </w:rPr>
        <w:t>.</w:t>
      </w:r>
    </w:p>
    <w:p w14:paraId="757B3D3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170</w:t>
      </w:r>
      <w:r w:rsidRPr="004B77DE">
        <w:rPr>
          <w:rFonts w:ascii="Trebuchet MS" w:hAnsi="Trebuchet MS"/>
          <w:noProof/>
          <w:sz w:val="16"/>
          <w:szCs w:val="16"/>
        </w:rPr>
        <w:t>.</w:t>
      </w:r>
      <w:r w:rsidRPr="004B77DE">
        <w:rPr>
          <w:rFonts w:ascii="Trebuchet MS" w:hAnsi="Trebuchet MS"/>
          <w:noProof/>
          <w:sz w:val="16"/>
          <w:szCs w:val="16"/>
        </w:rPr>
        <w:tab/>
        <w:t xml:space="preserve">Taghizadeh M, Samimi M, Kolahdooz F et al. Effect of multivitamin versus multivitamin-mineral supplementation on metabolic profiles and biomarkers of oxidative stress in pregnant women: a double-blind randomized clinical trial.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(11): 1336-42.</w:t>
      </w:r>
    </w:p>
    <w:p w14:paraId="5C2BFE5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171</w:t>
      </w:r>
      <w:r w:rsidRPr="004B77DE">
        <w:rPr>
          <w:rFonts w:ascii="Trebuchet MS" w:hAnsi="Trebuchet MS"/>
          <w:noProof/>
          <w:sz w:val="16"/>
          <w:szCs w:val="16"/>
        </w:rPr>
        <w:t>.</w:t>
      </w:r>
      <w:r w:rsidRPr="004B77DE">
        <w:rPr>
          <w:rFonts w:ascii="Trebuchet MS" w:hAnsi="Trebuchet MS"/>
          <w:noProof/>
          <w:sz w:val="16"/>
          <w:szCs w:val="16"/>
        </w:rPr>
        <w:tab/>
        <w:t xml:space="preserve">Chatterjee R, Shand A, Nassar N et al. Iron supplement use in pregnancy - Are the right women taking the right amount? </w:t>
      </w:r>
      <w:r w:rsidRPr="004B77DE">
        <w:rPr>
          <w:rFonts w:ascii="Trebuchet MS" w:hAnsi="Trebuchet MS"/>
          <w:i/>
          <w:noProof/>
          <w:sz w:val="16"/>
          <w:szCs w:val="16"/>
        </w:rPr>
        <w:t>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741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001E9ED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172</w:t>
      </w:r>
      <w:r w:rsidRPr="004B77DE">
        <w:rPr>
          <w:rFonts w:ascii="Trebuchet MS" w:hAnsi="Trebuchet MS"/>
          <w:noProof/>
          <w:sz w:val="16"/>
          <w:szCs w:val="16"/>
        </w:rPr>
        <w:t>.</w:t>
      </w:r>
      <w:r w:rsidRPr="004B77DE">
        <w:rPr>
          <w:rFonts w:ascii="Trebuchet MS" w:hAnsi="Trebuchet MS"/>
          <w:noProof/>
          <w:sz w:val="16"/>
          <w:szCs w:val="16"/>
        </w:rPr>
        <w:tab/>
        <w:t xml:space="preserve">Lee YQ, Collins CE, Schumacher TL et al. Disparities exist between the dietary intake of Indigenous Australian women during pregnancy and the Australian dietary guidelines: the Gomeroi gaaynggal study. </w:t>
      </w:r>
      <w:r w:rsidRPr="004B77DE">
        <w:rPr>
          <w:rFonts w:ascii="Trebuchet MS" w:hAnsi="Trebuchet MS"/>
          <w:i/>
          <w:noProof/>
          <w:sz w:val="16"/>
          <w:szCs w:val="16"/>
        </w:rPr>
        <w:t>J Hum Nutr Diet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473</w:t>
      </w:r>
      <w:r w:rsidRPr="004B77DE">
        <w:rPr>
          <w:rFonts w:ascii="Trebuchet MS" w:hAnsi="Trebuchet MS"/>
          <w:noProof/>
          <w:sz w:val="16"/>
          <w:szCs w:val="16"/>
        </w:rPr>
        <w:t>-</w:t>
      </w:r>
      <w:r w:rsidRPr="004B77DE">
        <w:rPr>
          <w:rFonts w:ascii="Trebuchet MS" w:eastAsia="Calibri" w:hAnsi="Trebuchet MS" w:cs="Calibri"/>
          <w:noProof/>
          <w:sz w:val="16"/>
          <w:szCs w:val="16"/>
        </w:rPr>
        <w:t>85</w:t>
      </w:r>
      <w:r w:rsidRPr="004B77DE">
        <w:rPr>
          <w:rFonts w:ascii="Trebuchet MS" w:hAnsi="Trebuchet MS"/>
          <w:noProof/>
          <w:sz w:val="16"/>
          <w:szCs w:val="16"/>
        </w:rPr>
        <w:t>.</w:t>
      </w:r>
    </w:p>
    <w:p w14:paraId="5834A02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173</w:t>
      </w:r>
      <w:r w:rsidRPr="004B77DE">
        <w:rPr>
          <w:rFonts w:ascii="Trebuchet MS" w:hAnsi="Trebuchet MS"/>
          <w:noProof/>
          <w:sz w:val="16"/>
          <w:szCs w:val="16"/>
        </w:rPr>
        <w:t>.</w:t>
      </w:r>
      <w:r w:rsidRPr="004B77DE">
        <w:rPr>
          <w:rFonts w:ascii="Trebuchet MS" w:hAnsi="Trebuchet MS"/>
          <w:noProof/>
          <w:sz w:val="16"/>
          <w:szCs w:val="16"/>
        </w:rPr>
        <w:tab/>
        <w:t xml:space="preserve">Abraha I, Bonacini MI, Montedori A et al. Oral iron-based interventions for prevention of critical outcomes in pregnancy and postnatal care: An overview and update of systematic reviews. </w:t>
      </w:r>
      <w:r w:rsidRPr="004B77DE">
        <w:rPr>
          <w:rFonts w:ascii="Trebuchet MS" w:hAnsi="Trebuchet MS"/>
          <w:i/>
          <w:noProof/>
          <w:sz w:val="16"/>
          <w:szCs w:val="16"/>
        </w:rPr>
        <w:t>J Evid Based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155</w:t>
      </w:r>
      <w:r w:rsidRPr="004B77DE">
        <w:rPr>
          <w:rFonts w:ascii="Trebuchet MS" w:hAnsi="Trebuchet MS"/>
          <w:noProof/>
          <w:sz w:val="16"/>
          <w:szCs w:val="16"/>
        </w:rPr>
        <w:t>-</w:t>
      </w:r>
      <w:r w:rsidRPr="004B77DE">
        <w:rPr>
          <w:rFonts w:ascii="Trebuchet MS" w:eastAsia="Calibri" w:hAnsi="Trebuchet MS" w:cs="Calibri"/>
          <w:noProof/>
          <w:sz w:val="16"/>
          <w:szCs w:val="16"/>
        </w:rPr>
        <w:t>66</w:t>
      </w:r>
      <w:r w:rsidRPr="004B77DE">
        <w:rPr>
          <w:rFonts w:ascii="Trebuchet MS" w:hAnsi="Trebuchet MS"/>
          <w:noProof/>
          <w:sz w:val="16"/>
          <w:szCs w:val="16"/>
        </w:rPr>
        <w:t>.</w:t>
      </w:r>
    </w:p>
    <w:p w14:paraId="14D4A91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174</w:t>
      </w:r>
      <w:r w:rsidRPr="004B77DE">
        <w:rPr>
          <w:rFonts w:ascii="Trebuchet MS" w:hAnsi="Trebuchet MS"/>
          <w:noProof/>
          <w:sz w:val="16"/>
          <w:szCs w:val="16"/>
        </w:rPr>
        <w:t>.</w:t>
      </w:r>
      <w:r w:rsidRPr="004B77DE">
        <w:rPr>
          <w:rFonts w:ascii="Trebuchet MS" w:hAnsi="Trebuchet MS"/>
          <w:noProof/>
          <w:sz w:val="16"/>
          <w:szCs w:val="16"/>
        </w:rPr>
        <w:tab/>
        <w:t xml:space="preserve">Peña-Rosas JP, De-Regil LM, Garcia-Casal MN et al. Daily oral iron supplementation during pregnancy.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w:t>
      </w:r>
    </w:p>
    <w:p w14:paraId="4529A2E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175</w:t>
      </w:r>
      <w:r w:rsidRPr="004B77DE">
        <w:rPr>
          <w:rFonts w:ascii="Trebuchet MS" w:hAnsi="Trebuchet MS"/>
          <w:noProof/>
          <w:sz w:val="16"/>
          <w:szCs w:val="16"/>
        </w:rPr>
        <w:t>.</w:t>
      </w:r>
      <w:r w:rsidRPr="004B77DE">
        <w:rPr>
          <w:rFonts w:ascii="Trebuchet MS" w:hAnsi="Trebuchet MS"/>
          <w:noProof/>
          <w:sz w:val="16"/>
          <w:szCs w:val="16"/>
        </w:rPr>
        <w:tab/>
        <w:t xml:space="preserve">Pena-Rosas JP, De-Regil LM, Gomez Malave H et al. Intermittent oral iron supplementation during pregnancy.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CD009997</w:t>
      </w:r>
      <w:r w:rsidRPr="004B77DE">
        <w:rPr>
          <w:rFonts w:ascii="Trebuchet MS" w:hAnsi="Trebuchet MS"/>
          <w:noProof/>
          <w:sz w:val="16"/>
          <w:szCs w:val="16"/>
        </w:rPr>
        <w:t>.</w:t>
      </w:r>
    </w:p>
    <w:p w14:paraId="7BCF506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176</w:t>
      </w:r>
      <w:r w:rsidRPr="004B77DE">
        <w:rPr>
          <w:rFonts w:ascii="Trebuchet MS" w:hAnsi="Trebuchet MS"/>
          <w:noProof/>
          <w:sz w:val="16"/>
          <w:szCs w:val="16"/>
        </w:rPr>
        <w:t>.</w:t>
      </w:r>
      <w:r w:rsidRPr="004B77DE">
        <w:rPr>
          <w:rFonts w:ascii="Trebuchet MS" w:hAnsi="Trebuchet MS"/>
          <w:noProof/>
          <w:sz w:val="16"/>
          <w:szCs w:val="16"/>
        </w:rPr>
        <w:tab/>
        <w:t xml:space="preserve">Jayasinghe C, Polson R, van Woerden HC et al. The effect of universal maternal antenatal iron supplementation on neurodevelopment in offspring: a systematic review and meta-analysis. </w:t>
      </w:r>
      <w:r w:rsidRPr="004B77DE">
        <w:rPr>
          <w:rFonts w:ascii="Trebuchet MS" w:hAnsi="Trebuchet MS"/>
          <w:i/>
          <w:noProof/>
          <w:sz w:val="16"/>
          <w:szCs w:val="16"/>
        </w:rPr>
        <w:t>BMC Pediatr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150</w:t>
      </w:r>
      <w:r w:rsidRPr="004B77DE">
        <w:rPr>
          <w:rFonts w:ascii="Trebuchet MS" w:hAnsi="Trebuchet MS"/>
          <w:noProof/>
          <w:sz w:val="16"/>
          <w:szCs w:val="16"/>
        </w:rPr>
        <w:t>.</w:t>
      </w:r>
    </w:p>
    <w:p w14:paraId="26D3100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177</w:t>
      </w:r>
      <w:r w:rsidRPr="004B77DE">
        <w:rPr>
          <w:rFonts w:ascii="Trebuchet MS" w:hAnsi="Trebuchet MS"/>
          <w:noProof/>
          <w:sz w:val="16"/>
          <w:szCs w:val="16"/>
        </w:rPr>
        <w:t>.</w:t>
      </w:r>
      <w:r w:rsidRPr="004B77DE">
        <w:rPr>
          <w:rFonts w:ascii="Trebuchet MS" w:hAnsi="Trebuchet MS"/>
          <w:noProof/>
          <w:sz w:val="16"/>
          <w:szCs w:val="16"/>
        </w:rPr>
        <w:tab/>
        <w:t xml:space="preserve">Alizadeh L, Salehi L. Is routine iron supplementation necessary in pregnant women with high hemoglobin? </w:t>
      </w:r>
      <w:r w:rsidRPr="004B77DE">
        <w:rPr>
          <w:rFonts w:ascii="Trebuchet MS" w:hAnsi="Trebuchet MS"/>
          <w:i/>
          <w:noProof/>
          <w:sz w:val="16"/>
          <w:szCs w:val="16"/>
        </w:rPr>
        <w:t>Iran Red Crescent Med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e22761</w:t>
      </w:r>
      <w:r w:rsidRPr="004B77DE">
        <w:rPr>
          <w:rFonts w:ascii="Trebuchet MS" w:hAnsi="Trebuchet MS"/>
          <w:noProof/>
          <w:sz w:val="16"/>
          <w:szCs w:val="16"/>
        </w:rPr>
        <w:t>.</w:t>
      </w:r>
    </w:p>
    <w:p w14:paraId="226CF3D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178</w:t>
      </w:r>
      <w:r w:rsidRPr="004B77DE">
        <w:rPr>
          <w:rFonts w:ascii="Trebuchet MS" w:hAnsi="Trebuchet MS"/>
          <w:noProof/>
          <w:sz w:val="16"/>
          <w:szCs w:val="16"/>
        </w:rPr>
        <w:t>.</w:t>
      </w:r>
      <w:r w:rsidRPr="004B77DE">
        <w:rPr>
          <w:rFonts w:ascii="Trebuchet MS" w:hAnsi="Trebuchet MS"/>
          <w:noProof/>
          <w:sz w:val="16"/>
          <w:szCs w:val="16"/>
        </w:rPr>
        <w:tab/>
        <w:t xml:space="preserve">Etheredge AJ, Premji Z, Gunaratna NS et al. Iron supplementation in iron-replete and nonanemic pregnant women in tanzania: a randomized clinical trial. </w:t>
      </w:r>
      <w:r w:rsidRPr="004B77DE">
        <w:rPr>
          <w:rFonts w:ascii="Trebuchet MS" w:hAnsi="Trebuchet MS"/>
          <w:i/>
          <w:noProof/>
          <w:sz w:val="16"/>
          <w:szCs w:val="16"/>
        </w:rPr>
        <w:t>JAMA Pediatr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169</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947</w:t>
      </w:r>
      <w:r w:rsidRPr="004B77DE">
        <w:rPr>
          <w:rFonts w:ascii="Trebuchet MS" w:hAnsi="Trebuchet MS"/>
          <w:noProof/>
          <w:sz w:val="16"/>
          <w:szCs w:val="16"/>
        </w:rPr>
        <w:t>-</w:t>
      </w:r>
      <w:r w:rsidRPr="004B77DE">
        <w:rPr>
          <w:rFonts w:ascii="Trebuchet MS" w:eastAsia="Calibri" w:hAnsi="Trebuchet MS" w:cs="Calibri"/>
          <w:noProof/>
          <w:sz w:val="16"/>
          <w:szCs w:val="16"/>
        </w:rPr>
        <w:t>55</w:t>
      </w:r>
      <w:r w:rsidRPr="004B77DE">
        <w:rPr>
          <w:rFonts w:ascii="Trebuchet MS" w:hAnsi="Trebuchet MS"/>
          <w:noProof/>
          <w:sz w:val="16"/>
          <w:szCs w:val="16"/>
        </w:rPr>
        <w:t>.</w:t>
      </w:r>
    </w:p>
    <w:p w14:paraId="17D317B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179</w:t>
      </w:r>
      <w:r w:rsidRPr="004B77DE">
        <w:rPr>
          <w:rFonts w:ascii="Trebuchet MS" w:hAnsi="Trebuchet MS"/>
          <w:noProof/>
          <w:sz w:val="16"/>
          <w:szCs w:val="16"/>
        </w:rPr>
        <w:t>.</w:t>
      </w:r>
      <w:r w:rsidRPr="004B77DE">
        <w:rPr>
          <w:rFonts w:ascii="Trebuchet MS" w:hAnsi="Trebuchet MS"/>
          <w:noProof/>
          <w:sz w:val="16"/>
          <w:szCs w:val="16"/>
        </w:rPr>
        <w:tab/>
        <w:t xml:space="preserve">Goonewardene IMR, Senadheera DI. Randomized control trial comparing effectiveness of weekly versus daily antenatal oral iron supplementation in preventing anemia during pregnancy. </w:t>
      </w:r>
      <w:r w:rsidRPr="004B77DE">
        <w:rPr>
          <w:rFonts w:ascii="Trebuchet MS" w:hAnsi="Trebuchet MS"/>
          <w:i/>
          <w:noProof/>
          <w:sz w:val="16"/>
          <w:szCs w:val="16"/>
        </w:rPr>
        <w:t>J Obstet Gynaecol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417</w:t>
      </w:r>
      <w:r w:rsidRPr="004B77DE">
        <w:rPr>
          <w:rFonts w:ascii="Trebuchet MS" w:hAnsi="Trebuchet MS"/>
          <w:noProof/>
          <w:sz w:val="16"/>
          <w:szCs w:val="16"/>
        </w:rPr>
        <w:t>-</w:t>
      </w:r>
      <w:r w:rsidRPr="004B77DE">
        <w:rPr>
          <w:rFonts w:ascii="Trebuchet MS" w:eastAsia="Calibri" w:hAnsi="Trebuchet MS" w:cs="Calibri"/>
          <w:noProof/>
          <w:sz w:val="16"/>
          <w:szCs w:val="16"/>
        </w:rPr>
        <w:t>24</w:t>
      </w:r>
      <w:r w:rsidRPr="004B77DE">
        <w:rPr>
          <w:rFonts w:ascii="Trebuchet MS" w:hAnsi="Trebuchet MS"/>
          <w:noProof/>
          <w:sz w:val="16"/>
          <w:szCs w:val="16"/>
        </w:rPr>
        <w:t>.</w:t>
      </w:r>
    </w:p>
    <w:p w14:paraId="7579ADD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180</w:t>
      </w:r>
      <w:r w:rsidRPr="004B77DE">
        <w:rPr>
          <w:rFonts w:ascii="Trebuchet MS" w:hAnsi="Trebuchet MS"/>
          <w:noProof/>
          <w:sz w:val="16"/>
          <w:szCs w:val="16"/>
        </w:rPr>
        <w:t>.</w:t>
      </w:r>
      <w:r w:rsidRPr="004B77DE">
        <w:rPr>
          <w:rFonts w:ascii="Trebuchet MS" w:hAnsi="Trebuchet MS"/>
          <w:noProof/>
          <w:sz w:val="16"/>
          <w:szCs w:val="16"/>
        </w:rPr>
        <w:tab/>
        <w:t xml:space="preserve">Jafarbegloo E, Ahmari Tehran H, Dadkhah Tehrani T. Gastrointestinal complications of ferrous sulfate in pregnant women: a randomized double-blind placebo-controlled trial. </w:t>
      </w:r>
      <w:r w:rsidRPr="004B77DE">
        <w:rPr>
          <w:rFonts w:ascii="Trebuchet MS" w:hAnsi="Trebuchet MS"/>
          <w:i/>
          <w:noProof/>
          <w:sz w:val="16"/>
          <w:szCs w:val="16"/>
        </w:rPr>
        <w:t>Iran Red Crescent Med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e15001</w:t>
      </w:r>
      <w:r w:rsidRPr="004B77DE">
        <w:rPr>
          <w:rFonts w:ascii="Trebuchet MS" w:hAnsi="Trebuchet MS"/>
          <w:noProof/>
          <w:sz w:val="16"/>
          <w:szCs w:val="16"/>
        </w:rPr>
        <w:t>.</w:t>
      </w:r>
    </w:p>
    <w:p w14:paraId="00310CC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181</w:t>
      </w:r>
      <w:r w:rsidRPr="004B77DE">
        <w:rPr>
          <w:rFonts w:ascii="Trebuchet MS" w:hAnsi="Trebuchet MS"/>
          <w:noProof/>
          <w:sz w:val="16"/>
          <w:szCs w:val="16"/>
        </w:rPr>
        <w:t>.</w:t>
      </w:r>
      <w:r w:rsidRPr="004B77DE">
        <w:rPr>
          <w:rFonts w:ascii="Trebuchet MS" w:hAnsi="Trebuchet MS"/>
          <w:noProof/>
          <w:sz w:val="16"/>
          <w:szCs w:val="16"/>
        </w:rPr>
        <w:tab/>
        <w:t xml:space="preserve">Kinnunen TI, Luoto R, Helin A et al. Supplemental iron intake and the risk of glucose intolerance in pregnancy: re-analysis of a randomised controlled trial in Finland.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74</w:t>
      </w:r>
      <w:r w:rsidRPr="004B77DE">
        <w:rPr>
          <w:rFonts w:ascii="Trebuchet MS" w:hAnsi="Trebuchet MS"/>
          <w:noProof/>
          <w:sz w:val="16"/>
          <w:szCs w:val="16"/>
        </w:rPr>
        <w:t>-</w:t>
      </w:r>
      <w:r w:rsidRPr="004B77DE">
        <w:rPr>
          <w:rFonts w:ascii="Trebuchet MS" w:eastAsia="Calibri" w:hAnsi="Trebuchet MS" w:cs="Calibri"/>
          <w:noProof/>
          <w:sz w:val="16"/>
          <w:szCs w:val="16"/>
        </w:rPr>
        <w:t>84</w:t>
      </w:r>
      <w:r w:rsidRPr="004B77DE">
        <w:rPr>
          <w:rFonts w:ascii="Trebuchet MS" w:hAnsi="Trebuchet MS"/>
          <w:noProof/>
          <w:sz w:val="16"/>
          <w:szCs w:val="16"/>
        </w:rPr>
        <w:t>.</w:t>
      </w:r>
    </w:p>
    <w:p w14:paraId="7CC3812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182</w:t>
      </w:r>
      <w:r w:rsidRPr="004B77DE">
        <w:rPr>
          <w:rFonts w:ascii="Trebuchet MS" w:hAnsi="Trebuchet MS"/>
          <w:noProof/>
          <w:sz w:val="16"/>
          <w:szCs w:val="16"/>
        </w:rPr>
        <w:t>.</w:t>
      </w:r>
      <w:r w:rsidRPr="004B77DE">
        <w:rPr>
          <w:rFonts w:ascii="Trebuchet MS" w:hAnsi="Trebuchet MS"/>
          <w:noProof/>
          <w:sz w:val="16"/>
          <w:szCs w:val="16"/>
        </w:rPr>
        <w:tab/>
        <w:t xml:space="preserve">Parisi F, Berti C, Mando C et al. Effects of different regimens of iron prophylaxis on maternal iron status and pregnancy outcome: a randomized control trial.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1787</w:t>
      </w:r>
      <w:r w:rsidRPr="004B77DE">
        <w:rPr>
          <w:rFonts w:ascii="Trebuchet MS" w:hAnsi="Trebuchet MS"/>
          <w:noProof/>
          <w:sz w:val="16"/>
          <w:szCs w:val="16"/>
        </w:rPr>
        <w:t>-</w:t>
      </w:r>
      <w:r w:rsidRPr="004B77DE">
        <w:rPr>
          <w:rFonts w:ascii="Trebuchet MS" w:eastAsia="Calibri" w:hAnsi="Trebuchet MS" w:cs="Calibri"/>
          <w:noProof/>
          <w:sz w:val="16"/>
          <w:szCs w:val="16"/>
        </w:rPr>
        <w:t>92</w:t>
      </w:r>
      <w:r w:rsidRPr="004B77DE">
        <w:rPr>
          <w:rFonts w:ascii="Trebuchet MS" w:hAnsi="Trebuchet MS"/>
          <w:noProof/>
          <w:sz w:val="16"/>
          <w:szCs w:val="16"/>
        </w:rPr>
        <w:t>.</w:t>
      </w:r>
    </w:p>
    <w:p w14:paraId="143CB7A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183</w:t>
      </w:r>
      <w:r w:rsidRPr="004B77DE">
        <w:rPr>
          <w:rFonts w:ascii="Trebuchet MS" w:hAnsi="Trebuchet MS"/>
          <w:noProof/>
          <w:sz w:val="16"/>
          <w:szCs w:val="16"/>
        </w:rPr>
        <w:t>.</w:t>
      </w:r>
      <w:r w:rsidRPr="004B77DE">
        <w:rPr>
          <w:rFonts w:ascii="Trebuchet MS" w:hAnsi="Trebuchet MS"/>
          <w:noProof/>
          <w:sz w:val="16"/>
          <w:szCs w:val="16"/>
        </w:rPr>
        <w:tab/>
        <w:t xml:space="preserve">Wang L, Mei Z, Li H et al. Modifying effects of maternal Hb concentration on infant birth weight in women receiving prenatal iron-containing supplements: a randomised controlled trial.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115</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028244B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184</w:t>
      </w:r>
      <w:r w:rsidRPr="004B77DE">
        <w:rPr>
          <w:rFonts w:ascii="Trebuchet MS" w:hAnsi="Trebuchet MS"/>
          <w:noProof/>
          <w:sz w:val="16"/>
          <w:szCs w:val="16"/>
        </w:rPr>
        <w:t>.</w:t>
      </w:r>
      <w:r w:rsidRPr="004B77DE">
        <w:rPr>
          <w:rFonts w:ascii="Trebuchet MS" w:hAnsi="Trebuchet MS"/>
          <w:noProof/>
          <w:sz w:val="16"/>
          <w:szCs w:val="16"/>
        </w:rPr>
        <w:tab/>
        <w:t xml:space="preserve">Serdula MK, Zhou Y, Li H et al. Prenatal iron containing supplements provided to Chinese women with no or mild anemia had no effect on hemoglobin concentration in post-partum women or their infants at 6 and 12 months of age. </w:t>
      </w:r>
      <w:r w:rsidRPr="004B77DE">
        <w:rPr>
          <w:rFonts w:ascii="Trebuchet MS" w:hAnsi="Trebuchet MS"/>
          <w:i/>
          <w:noProof/>
          <w:sz w:val="16"/>
          <w:szCs w:val="16"/>
        </w:rPr>
        <w:t>Eur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1473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6773C3F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185</w:t>
      </w:r>
      <w:r w:rsidRPr="004B77DE">
        <w:rPr>
          <w:rFonts w:ascii="Trebuchet MS" w:hAnsi="Trebuchet MS"/>
          <w:noProof/>
          <w:sz w:val="16"/>
          <w:szCs w:val="16"/>
        </w:rPr>
        <w:t>.</w:t>
      </w:r>
      <w:r w:rsidRPr="004B77DE">
        <w:rPr>
          <w:rFonts w:ascii="Trebuchet MS" w:hAnsi="Trebuchet MS"/>
          <w:noProof/>
          <w:sz w:val="16"/>
          <w:szCs w:val="16"/>
        </w:rPr>
        <w:tab/>
        <w:t xml:space="preserve">Buppasiri P, Lumbiganon P, Thinkhamrop J et al. Calcium supplementation (other than for preventing or treating hypertension) for improving pregnancy and infant outcomes.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CD007079</w:t>
      </w:r>
      <w:r w:rsidRPr="004B77DE">
        <w:rPr>
          <w:rFonts w:ascii="Trebuchet MS" w:hAnsi="Trebuchet MS"/>
          <w:noProof/>
          <w:sz w:val="16"/>
          <w:szCs w:val="16"/>
        </w:rPr>
        <w:t>.</w:t>
      </w:r>
    </w:p>
    <w:p w14:paraId="0DAA4E4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186</w:t>
      </w:r>
      <w:r w:rsidRPr="004B77DE">
        <w:rPr>
          <w:rFonts w:ascii="Trebuchet MS" w:hAnsi="Trebuchet MS"/>
          <w:noProof/>
          <w:sz w:val="16"/>
          <w:szCs w:val="16"/>
        </w:rPr>
        <w:t>.</w:t>
      </w:r>
      <w:r w:rsidRPr="004B77DE">
        <w:rPr>
          <w:rFonts w:ascii="Trebuchet MS" w:hAnsi="Trebuchet MS"/>
          <w:noProof/>
          <w:sz w:val="16"/>
          <w:szCs w:val="16"/>
        </w:rPr>
        <w:tab/>
        <w:t xml:space="preserve">Hofmeyr GJ, Lawrie TA, Atallah ÁN et al. Calcium supplementation during pregnancy for preventing hypertensive disorders and related problems.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w:t>
      </w:r>
    </w:p>
    <w:p w14:paraId="391E5CB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187</w:t>
      </w:r>
      <w:r w:rsidRPr="004B77DE">
        <w:rPr>
          <w:rFonts w:ascii="Trebuchet MS" w:hAnsi="Trebuchet MS"/>
          <w:noProof/>
          <w:sz w:val="16"/>
          <w:szCs w:val="16"/>
        </w:rPr>
        <w:t>.</w:t>
      </w:r>
      <w:r w:rsidRPr="004B77DE">
        <w:rPr>
          <w:rFonts w:ascii="Trebuchet MS" w:hAnsi="Trebuchet MS"/>
          <w:noProof/>
          <w:sz w:val="16"/>
          <w:szCs w:val="16"/>
        </w:rPr>
        <w:tab/>
        <w:t xml:space="preserve">Hofmeyr GJ, Belizan JM, von Dadelszen P et al. Low-dose calcium supplementation for preventing pre-eclampsia: a systematic review and commentary.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121</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951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14748CA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188</w:t>
      </w:r>
      <w:r w:rsidRPr="004B77DE">
        <w:rPr>
          <w:rFonts w:ascii="Trebuchet MS" w:hAnsi="Trebuchet MS"/>
          <w:noProof/>
          <w:sz w:val="16"/>
          <w:szCs w:val="16"/>
        </w:rPr>
        <w:t>.</w:t>
      </w:r>
      <w:r w:rsidRPr="004B77DE">
        <w:rPr>
          <w:rFonts w:ascii="Trebuchet MS" w:hAnsi="Trebuchet MS"/>
          <w:noProof/>
          <w:sz w:val="16"/>
          <w:szCs w:val="16"/>
        </w:rPr>
        <w:tab/>
        <w:t xml:space="preserve">Khaing W, Vallibhakara SA, Tantrakul V et al. Calcium and Vitamin D Supplementation for Prevention of Preeclampsia: A Systematic Review and Network Meta-Analysis.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w:t>
      </w:r>
    </w:p>
    <w:p w14:paraId="79B2E4B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189</w:t>
      </w:r>
      <w:r w:rsidRPr="004B77DE">
        <w:rPr>
          <w:rFonts w:ascii="Trebuchet MS" w:hAnsi="Trebuchet MS"/>
          <w:noProof/>
          <w:sz w:val="16"/>
          <w:szCs w:val="16"/>
        </w:rPr>
        <w:t>.</w:t>
      </w:r>
      <w:r w:rsidRPr="004B77DE">
        <w:rPr>
          <w:rFonts w:ascii="Trebuchet MS" w:hAnsi="Trebuchet MS"/>
          <w:noProof/>
          <w:sz w:val="16"/>
          <w:szCs w:val="16"/>
        </w:rPr>
        <w:tab/>
        <w:t xml:space="preserve">Sun X, Li H, He X et al. The association between calcium supplement and preeclampsia and gestational hypertension: a systematic review and meta-analysis of randomized trials. </w:t>
      </w:r>
      <w:r w:rsidRPr="004B77DE">
        <w:rPr>
          <w:rFonts w:ascii="Trebuchet MS" w:hAnsi="Trebuchet MS"/>
          <w:i/>
          <w:noProof/>
          <w:sz w:val="16"/>
          <w:szCs w:val="16"/>
        </w:rPr>
        <w:t>Hypertens Pregnancy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129</w:t>
      </w:r>
      <w:r w:rsidRPr="004B77DE">
        <w:rPr>
          <w:rFonts w:ascii="Trebuchet MS" w:hAnsi="Trebuchet MS"/>
          <w:noProof/>
          <w:sz w:val="16"/>
          <w:szCs w:val="16"/>
        </w:rPr>
        <w:t>-</w:t>
      </w:r>
      <w:r w:rsidRPr="004B77DE">
        <w:rPr>
          <w:rFonts w:ascii="Trebuchet MS" w:eastAsia="Calibri" w:hAnsi="Trebuchet MS" w:cs="Calibri"/>
          <w:noProof/>
          <w:sz w:val="16"/>
          <w:szCs w:val="16"/>
        </w:rPr>
        <w:t>39</w:t>
      </w:r>
      <w:r w:rsidRPr="004B77DE">
        <w:rPr>
          <w:rFonts w:ascii="Trebuchet MS" w:hAnsi="Trebuchet MS"/>
          <w:noProof/>
          <w:sz w:val="16"/>
          <w:szCs w:val="16"/>
        </w:rPr>
        <w:t>.</w:t>
      </w:r>
    </w:p>
    <w:p w14:paraId="4F74116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190</w:t>
      </w:r>
      <w:r w:rsidRPr="004B77DE">
        <w:rPr>
          <w:rFonts w:ascii="Trebuchet MS" w:hAnsi="Trebuchet MS"/>
          <w:noProof/>
          <w:sz w:val="16"/>
          <w:szCs w:val="16"/>
        </w:rPr>
        <w:t>.</w:t>
      </w:r>
      <w:r w:rsidRPr="004B77DE">
        <w:rPr>
          <w:rFonts w:ascii="Trebuchet MS" w:hAnsi="Trebuchet MS"/>
          <w:noProof/>
          <w:sz w:val="16"/>
          <w:szCs w:val="16"/>
        </w:rPr>
        <w:tab/>
        <w:t xml:space="preserve">Cullers A, King JC, Van Loan M et al. Effect of prenatal calcium supplementation on bone during pregnancy and 1 y postpartum.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197</w:t>
      </w:r>
      <w:r w:rsidRPr="004B77DE">
        <w:rPr>
          <w:rFonts w:ascii="Trebuchet MS" w:hAnsi="Trebuchet MS"/>
          <w:noProof/>
          <w:sz w:val="16"/>
          <w:szCs w:val="16"/>
        </w:rPr>
        <w:t>-</w:t>
      </w:r>
      <w:r w:rsidRPr="004B77DE">
        <w:rPr>
          <w:rFonts w:ascii="Trebuchet MS" w:eastAsia="Calibri" w:hAnsi="Trebuchet MS" w:cs="Calibri"/>
          <w:noProof/>
          <w:sz w:val="16"/>
          <w:szCs w:val="16"/>
        </w:rPr>
        <w:t>206</w:t>
      </w:r>
      <w:r w:rsidRPr="004B77DE">
        <w:rPr>
          <w:rFonts w:ascii="Trebuchet MS" w:hAnsi="Trebuchet MS"/>
          <w:noProof/>
          <w:sz w:val="16"/>
          <w:szCs w:val="16"/>
        </w:rPr>
        <w:t>.</w:t>
      </w:r>
    </w:p>
    <w:p w14:paraId="786620E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191</w:t>
      </w:r>
      <w:r w:rsidRPr="004B77DE">
        <w:rPr>
          <w:rFonts w:ascii="Trebuchet MS" w:hAnsi="Trebuchet MS"/>
          <w:noProof/>
          <w:sz w:val="16"/>
          <w:szCs w:val="16"/>
        </w:rPr>
        <w:t>.</w:t>
      </w:r>
      <w:r w:rsidRPr="004B77DE">
        <w:rPr>
          <w:rFonts w:ascii="Trebuchet MS" w:hAnsi="Trebuchet MS"/>
          <w:noProof/>
          <w:sz w:val="16"/>
          <w:szCs w:val="16"/>
        </w:rPr>
        <w:tab/>
        <w:t xml:space="preserve">Ettinger AS, Lamadrid-Figueroa H, Mercado-Garcia A et al. Effect of calcium supplementation on bone resorption in pregnancy and the early postpartum: a randomized controlled trial in Mexican women. </w:t>
      </w:r>
      <w:r w:rsidRPr="004B77DE">
        <w:rPr>
          <w:rFonts w:ascii="Trebuchet MS" w:hAnsi="Trebuchet MS"/>
          <w:i/>
          <w:noProof/>
          <w:sz w:val="16"/>
          <w:szCs w:val="16"/>
        </w:rPr>
        <w:t>Nutr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116</w:t>
      </w:r>
      <w:r w:rsidRPr="004B77DE">
        <w:rPr>
          <w:rFonts w:ascii="Trebuchet MS" w:hAnsi="Trebuchet MS"/>
          <w:noProof/>
          <w:sz w:val="16"/>
          <w:szCs w:val="16"/>
        </w:rPr>
        <w:t>.</w:t>
      </w:r>
    </w:p>
    <w:p w14:paraId="3E62F06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192</w:t>
      </w:r>
      <w:r w:rsidRPr="004B77DE">
        <w:rPr>
          <w:rFonts w:ascii="Trebuchet MS" w:hAnsi="Trebuchet MS"/>
          <w:noProof/>
          <w:sz w:val="16"/>
          <w:szCs w:val="16"/>
        </w:rPr>
        <w:t>.</w:t>
      </w:r>
      <w:r w:rsidRPr="004B77DE">
        <w:rPr>
          <w:rFonts w:ascii="Trebuchet MS" w:hAnsi="Trebuchet MS"/>
          <w:noProof/>
          <w:sz w:val="16"/>
          <w:szCs w:val="16"/>
        </w:rPr>
        <w:tab/>
        <w:t xml:space="preserve">Meertens LJE, Scheepers HCJ, Willemse J et al. Should women be advised to use calcium supplements during pregnancy? A decision analysis.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63D04D3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193</w:t>
      </w:r>
      <w:r w:rsidRPr="004B77DE">
        <w:rPr>
          <w:rFonts w:ascii="Trebuchet MS" w:hAnsi="Trebuchet MS"/>
          <w:noProof/>
          <w:sz w:val="16"/>
          <w:szCs w:val="16"/>
        </w:rPr>
        <w:t>.</w:t>
      </w:r>
      <w:r w:rsidRPr="004B77DE">
        <w:rPr>
          <w:rFonts w:ascii="Trebuchet MS" w:hAnsi="Trebuchet MS"/>
          <w:noProof/>
          <w:sz w:val="16"/>
          <w:szCs w:val="16"/>
        </w:rPr>
        <w:tab/>
        <w:t xml:space="preserve">Hurley S, Eastman CJ, Gallego G. The impact of mandatory iodine fortification and supplementation on pregnant and lactating women in Australia. </w:t>
      </w:r>
      <w:r w:rsidRPr="004B77DE">
        <w:rPr>
          <w:rFonts w:ascii="Trebuchet MS" w:hAnsi="Trebuchet MS"/>
          <w:i/>
          <w:noProof/>
          <w:sz w:val="16"/>
          <w:szCs w:val="16"/>
        </w:rPr>
        <w:t>Asia Pac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w:t>
      </w:r>
      <w:r w:rsidRPr="004B77DE">
        <w:rPr>
          <w:rFonts w:ascii="Trebuchet MS" w:hAnsi="Trebuchet MS"/>
          <w:noProof/>
          <w:sz w:val="16"/>
          <w:szCs w:val="16"/>
        </w:rPr>
        <w:t>-</w:t>
      </w:r>
      <w:r w:rsidRPr="004B77DE">
        <w:rPr>
          <w:rFonts w:ascii="Trebuchet MS" w:eastAsia="Calibri" w:hAnsi="Trebuchet MS" w:cs="Calibri"/>
          <w:noProof/>
          <w:sz w:val="16"/>
          <w:szCs w:val="16"/>
        </w:rPr>
        <w:t>22</w:t>
      </w:r>
      <w:r w:rsidRPr="004B77DE">
        <w:rPr>
          <w:rFonts w:ascii="Trebuchet MS" w:hAnsi="Trebuchet MS"/>
          <w:noProof/>
          <w:sz w:val="16"/>
          <w:szCs w:val="16"/>
        </w:rPr>
        <w:t>.</w:t>
      </w:r>
    </w:p>
    <w:p w14:paraId="2A4F7D5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194</w:t>
      </w:r>
      <w:r w:rsidRPr="004B77DE">
        <w:rPr>
          <w:rFonts w:ascii="Trebuchet MS" w:hAnsi="Trebuchet MS"/>
          <w:noProof/>
          <w:sz w:val="16"/>
          <w:szCs w:val="16"/>
        </w:rPr>
        <w:t>.</w:t>
      </w:r>
      <w:r w:rsidRPr="004B77DE">
        <w:rPr>
          <w:rFonts w:ascii="Trebuchet MS" w:hAnsi="Trebuchet MS"/>
          <w:noProof/>
          <w:sz w:val="16"/>
          <w:szCs w:val="16"/>
        </w:rPr>
        <w:tab/>
        <w:t xml:space="preserve">Singh GR, Davison B, Ma GY et al. Iodine status of Indigenous and non-Indigenous young adults in the Top End, before and after mandatory fortification. </w:t>
      </w:r>
      <w:r w:rsidRPr="004B77DE">
        <w:rPr>
          <w:rFonts w:ascii="Trebuchet MS" w:hAnsi="Trebuchet MS"/>
          <w:i/>
          <w:noProof/>
          <w:sz w:val="16"/>
          <w:szCs w:val="16"/>
        </w:rPr>
        <w:t>Med J Aust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210(3): 121-5.</w:t>
      </w:r>
    </w:p>
    <w:p w14:paraId="5188261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195</w:t>
      </w:r>
      <w:r w:rsidRPr="004B77DE">
        <w:rPr>
          <w:rFonts w:ascii="Trebuchet MS" w:hAnsi="Trebuchet MS"/>
          <w:noProof/>
          <w:sz w:val="16"/>
          <w:szCs w:val="16"/>
        </w:rPr>
        <w:t>.</w:t>
      </w:r>
      <w:r w:rsidRPr="004B77DE">
        <w:rPr>
          <w:rFonts w:ascii="Trebuchet MS" w:hAnsi="Trebuchet MS"/>
          <w:noProof/>
          <w:sz w:val="16"/>
          <w:szCs w:val="16"/>
        </w:rPr>
        <w:tab/>
        <w:t xml:space="preserve">Sherriff J, Hine T, Begley A et al. Iodine-containing food practices of Western Australian pregnant women and ethnicity: An observational study. </w:t>
      </w:r>
      <w:r w:rsidRPr="004B77DE">
        <w:rPr>
          <w:rFonts w:ascii="Trebuchet MS" w:hAnsi="Trebuchet MS"/>
          <w:i/>
          <w:noProof/>
          <w:sz w:val="16"/>
          <w:szCs w:val="16"/>
        </w:rPr>
        <w:t>Nutr Diet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w:t>
      </w:r>
    </w:p>
    <w:p w14:paraId="1FF6D23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196</w:t>
      </w:r>
      <w:r w:rsidRPr="004B77DE">
        <w:rPr>
          <w:rFonts w:ascii="Trebuchet MS" w:hAnsi="Trebuchet MS"/>
          <w:noProof/>
          <w:sz w:val="16"/>
          <w:szCs w:val="16"/>
        </w:rPr>
        <w:t>.</w:t>
      </w:r>
      <w:r w:rsidRPr="004B77DE">
        <w:rPr>
          <w:rFonts w:ascii="Trebuchet MS" w:hAnsi="Trebuchet MS"/>
          <w:noProof/>
          <w:sz w:val="16"/>
          <w:szCs w:val="16"/>
        </w:rPr>
        <w:tab/>
        <w:t xml:space="preserve">Hynes KL, Seal JA, Otahal P et al. Women remain at risk of iodine deficiency during pregnancy: The importance of iodine supplementation before conception and throughout gestation.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2F5111E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197</w:t>
      </w:r>
      <w:r w:rsidRPr="004B77DE">
        <w:rPr>
          <w:rFonts w:ascii="Trebuchet MS" w:hAnsi="Trebuchet MS"/>
          <w:noProof/>
          <w:sz w:val="16"/>
          <w:szCs w:val="16"/>
        </w:rPr>
        <w:t>.</w:t>
      </w:r>
      <w:r w:rsidRPr="004B77DE">
        <w:rPr>
          <w:rFonts w:ascii="Trebuchet MS" w:hAnsi="Trebuchet MS"/>
          <w:noProof/>
          <w:sz w:val="16"/>
          <w:szCs w:val="16"/>
        </w:rPr>
        <w:tab/>
        <w:t xml:space="preserve">Mitchell EKL, Martin JC, D'Amore A et al. Maternal iodine dietary supplements and neonatal thyroid stimulating hormone in Gippsland, Australia. </w:t>
      </w:r>
      <w:r w:rsidRPr="004B77DE">
        <w:rPr>
          <w:rFonts w:ascii="Trebuchet MS" w:hAnsi="Trebuchet MS"/>
          <w:i/>
          <w:noProof/>
          <w:sz w:val="16"/>
          <w:szCs w:val="16"/>
        </w:rPr>
        <w:t>Asia Pac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848</w:t>
      </w:r>
      <w:r w:rsidRPr="004B77DE">
        <w:rPr>
          <w:rFonts w:ascii="Trebuchet MS" w:hAnsi="Trebuchet MS"/>
          <w:noProof/>
          <w:sz w:val="16"/>
          <w:szCs w:val="16"/>
        </w:rPr>
        <w:t>-</w:t>
      </w:r>
      <w:r w:rsidRPr="004B77DE">
        <w:rPr>
          <w:rFonts w:ascii="Trebuchet MS" w:eastAsia="Calibri" w:hAnsi="Trebuchet MS" w:cs="Calibri"/>
          <w:noProof/>
          <w:sz w:val="16"/>
          <w:szCs w:val="16"/>
        </w:rPr>
        <w:t>52</w:t>
      </w:r>
      <w:r w:rsidRPr="004B77DE">
        <w:rPr>
          <w:rFonts w:ascii="Trebuchet MS" w:hAnsi="Trebuchet MS"/>
          <w:noProof/>
          <w:sz w:val="16"/>
          <w:szCs w:val="16"/>
        </w:rPr>
        <w:t>.</w:t>
      </w:r>
    </w:p>
    <w:p w14:paraId="6AEC5FB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198</w:t>
      </w:r>
      <w:r w:rsidRPr="004B77DE">
        <w:rPr>
          <w:rFonts w:ascii="Trebuchet MS" w:hAnsi="Trebuchet MS"/>
          <w:noProof/>
          <w:sz w:val="16"/>
          <w:szCs w:val="16"/>
        </w:rPr>
        <w:t>.</w:t>
      </w:r>
      <w:r w:rsidRPr="004B77DE">
        <w:rPr>
          <w:rFonts w:ascii="Trebuchet MS" w:hAnsi="Trebuchet MS"/>
          <w:noProof/>
          <w:sz w:val="16"/>
          <w:szCs w:val="16"/>
        </w:rPr>
        <w:tab/>
        <w:t xml:space="preserve">Condo D, Huyhn D, Anderson AJ et al. Iodine status of pregnant women in South Australia after mandatory iodine fortification of bread and the recommendation for iodine supplementation.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w:t>
      </w:r>
    </w:p>
    <w:p w14:paraId="2D27CAE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199</w:t>
      </w:r>
      <w:r w:rsidRPr="004B77DE">
        <w:rPr>
          <w:rFonts w:ascii="Trebuchet MS" w:hAnsi="Trebuchet MS"/>
          <w:noProof/>
          <w:sz w:val="16"/>
          <w:szCs w:val="16"/>
        </w:rPr>
        <w:t>.</w:t>
      </w:r>
      <w:r w:rsidRPr="004B77DE">
        <w:rPr>
          <w:rFonts w:ascii="Trebuchet MS" w:hAnsi="Trebuchet MS"/>
          <w:noProof/>
          <w:sz w:val="16"/>
          <w:szCs w:val="16"/>
        </w:rPr>
        <w:tab/>
        <w:t xml:space="preserve">Hine T, Zhao Y, Begley A et al. Iodine-containing supplement use by pregnant women attending antenatal clinics in Western Australia. </w:t>
      </w:r>
      <w:r w:rsidRPr="004B77DE">
        <w:rPr>
          <w:rFonts w:ascii="Trebuchet MS" w:hAnsi="Trebuchet MS"/>
          <w:i/>
          <w:noProof/>
          <w:sz w:val="16"/>
          <w:szCs w:val="16"/>
        </w:rPr>
        <w:t>Aust N Z 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58</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636</w:t>
      </w:r>
      <w:r w:rsidRPr="004B77DE">
        <w:rPr>
          <w:rFonts w:ascii="Trebuchet MS" w:hAnsi="Trebuchet MS"/>
          <w:noProof/>
          <w:sz w:val="16"/>
          <w:szCs w:val="16"/>
        </w:rPr>
        <w:t>-</w:t>
      </w:r>
      <w:r w:rsidRPr="004B77DE">
        <w:rPr>
          <w:rFonts w:ascii="Trebuchet MS" w:eastAsia="Calibri" w:hAnsi="Trebuchet MS" w:cs="Calibri"/>
          <w:noProof/>
          <w:sz w:val="16"/>
          <w:szCs w:val="16"/>
        </w:rPr>
        <w:t>42</w:t>
      </w:r>
      <w:r w:rsidRPr="004B77DE">
        <w:rPr>
          <w:rFonts w:ascii="Trebuchet MS" w:hAnsi="Trebuchet MS"/>
          <w:noProof/>
          <w:sz w:val="16"/>
          <w:szCs w:val="16"/>
        </w:rPr>
        <w:t>.</w:t>
      </w:r>
    </w:p>
    <w:p w14:paraId="21132CD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200</w:t>
      </w:r>
      <w:r w:rsidRPr="004B77DE">
        <w:rPr>
          <w:rFonts w:ascii="Trebuchet MS" w:hAnsi="Trebuchet MS"/>
          <w:noProof/>
          <w:sz w:val="16"/>
          <w:szCs w:val="16"/>
        </w:rPr>
        <w:t>.</w:t>
      </w:r>
      <w:r w:rsidRPr="004B77DE">
        <w:rPr>
          <w:rFonts w:ascii="Trebuchet MS" w:hAnsi="Trebuchet MS"/>
          <w:noProof/>
          <w:sz w:val="16"/>
          <w:szCs w:val="16"/>
        </w:rPr>
        <w:tab/>
        <w:t xml:space="preserve">Guess K, Malek L, Anderson A et al. Knowledge and practices regarding iodine supplementation: A national survey of healthcare providers. </w:t>
      </w:r>
      <w:r w:rsidRPr="004B77DE">
        <w:rPr>
          <w:rFonts w:ascii="Trebuchet MS" w:hAnsi="Trebuchet MS"/>
          <w:i/>
          <w:noProof/>
          <w:sz w:val="16"/>
          <w:szCs w:val="16"/>
        </w:rPr>
        <w:t>Women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e56</w:t>
      </w:r>
      <w:r w:rsidRPr="004B77DE">
        <w:rPr>
          <w:rFonts w:ascii="Trebuchet MS" w:hAnsi="Trebuchet MS"/>
          <w:noProof/>
          <w:sz w:val="16"/>
          <w:szCs w:val="16"/>
        </w:rPr>
        <w:t>-</w:t>
      </w:r>
      <w:r w:rsidRPr="004B77DE">
        <w:rPr>
          <w:rFonts w:ascii="Trebuchet MS" w:eastAsia="Calibri" w:hAnsi="Trebuchet MS" w:cs="Calibri"/>
          <w:noProof/>
          <w:sz w:val="16"/>
          <w:szCs w:val="16"/>
        </w:rPr>
        <w:t>e60</w:t>
      </w:r>
      <w:r w:rsidRPr="004B77DE">
        <w:rPr>
          <w:rFonts w:ascii="Trebuchet MS" w:hAnsi="Trebuchet MS"/>
          <w:noProof/>
          <w:sz w:val="16"/>
          <w:szCs w:val="16"/>
        </w:rPr>
        <w:t>.</w:t>
      </w:r>
    </w:p>
    <w:p w14:paraId="5D4E24C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201</w:t>
      </w:r>
      <w:r w:rsidRPr="004B77DE">
        <w:rPr>
          <w:rFonts w:ascii="Trebuchet MS" w:hAnsi="Trebuchet MS"/>
          <w:noProof/>
          <w:sz w:val="16"/>
          <w:szCs w:val="16"/>
        </w:rPr>
        <w:t>.</w:t>
      </w:r>
      <w:r w:rsidRPr="004B77DE">
        <w:rPr>
          <w:rFonts w:ascii="Trebuchet MS" w:hAnsi="Trebuchet MS"/>
          <w:noProof/>
          <w:sz w:val="16"/>
          <w:szCs w:val="16"/>
        </w:rPr>
        <w:tab/>
        <w:t xml:space="preserve">Harding KB, Pena-Rosas JP, Webster AC et al. Iodine supplementation for women during the preconception, pregnancy and postpartum period.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CD011761</w:t>
      </w:r>
      <w:r w:rsidRPr="004B77DE">
        <w:rPr>
          <w:rFonts w:ascii="Trebuchet MS" w:hAnsi="Trebuchet MS"/>
          <w:noProof/>
          <w:sz w:val="16"/>
          <w:szCs w:val="16"/>
        </w:rPr>
        <w:t>.</w:t>
      </w:r>
    </w:p>
    <w:p w14:paraId="29FE012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202</w:t>
      </w:r>
      <w:r w:rsidRPr="004B77DE">
        <w:rPr>
          <w:rFonts w:ascii="Trebuchet MS" w:hAnsi="Trebuchet MS"/>
          <w:noProof/>
          <w:sz w:val="16"/>
          <w:szCs w:val="16"/>
        </w:rPr>
        <w:t>.</w:t>
      </w:r>
      <w:r w:rsidRPr="004B77DE">
        <w:rPr>
          <w:rFonts w:ascii="Trebuchet MS" w:hAnsi="Trebuchet MS"/>
          <w:noProof/>
          <w:sz w:val="16"/>
          <w:szCs w:val="16"/>
        </w:rPr>
        <w:tab/>
        <w:t xml:space="preserve">Farebrother J, Naude CE, Nicol L et al. Effects of Iodized Salt and Iodine Supplements on Prenatal and Postnatal Growth: A Systematic Review. </w:t>
      </w:r>
      <w:r w:rsidRPr="004B77DE">
        <w:rPr>
          <w:rFonts w:ascii="Trebuchet MS" w:hAnsi="Trebuchet MS"/>
          <w:i/>
          <w:noProof/>
          <w:sz w:val="16"/>
          <w:szCs w:val="16"/>
        </w:rPr>
        <w:t>Adv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219</w:t>
      </w:r>
      <w:r w:rsidRPr="004B77DE">
        <w:rPr>
          <w:rFonts w:ascii="Trebuchet MS" w:hAnsi="Trebuchet MS"/>
          <w:noProof/>
          <w:sz w:val="16"/>
          <w:szCs w:val="16"/>
        </w:rPr>
        <w:t>-</w:t>
      </w:r>
      <w:r w:rsidRPr="004B77DE">
        <w:rPr>
          <w:rFonts w:ascii="Trebuchet MS" w:eastAsia="Calibri" w:hAnsi="Trebuchet MS" w:cs="Calibri"/>
          <w:noProof/>
          <w:sz w:val="16"/>
          <w:szCs w:val="16"/>
        </w:rPr>
        <w:t>37</w:t>
      </w:r>
      <w:r w:rsidRPr="004B77DE">
        <w:rPr>
          <w:rFonts w:ascii="Trebuchet MS" w:hAnsi="Trebuchet MS"/>
          <w:noProof/>
          <w:sz w:val="16"/>
          <w:szCs w:val="16"/>
        </w:rPr>
        <w:t>.</w:t>
      </w:r>
    </w:p>
    <w:p w14:paraId="5293A93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203</w:t>
      </w:r>
      <w:r w:rsidRPr="004B77DE">
        <w:rPr>
          <w:rFonts w:ascii="Trebuchet MS" w:hAnsi="Trebuchet MS"/>
          <w:noProof/>
          <w:sz w:val="16"/>
          <w:szCs w:val="16"/>
        </w:rPr>
        <w:t>.</w:t>
      </w:r>
      <w:r w:rsidRPr="004B77DE">
        <w:rPr>
          <w:rFonts w:ascii="Trebuchet MS" w:hAnsi="Trebuchet MS"/>
          <w:noProof/>
          <w:sz w:val="16"/>
          <w:szCs w:val="16"/>
        </w:rPr>
        <w:tab/>
        <w:t xml:space="preserve">Gowachirapant S, Jaiswal N, Melse-Boonstra A et al. Effect of iodine supplementation in pregnant women on child neurodevelopment: a randomised, double-blind, placebo-controlled trial. </w:t>
      </w:r>
      <w:r w:rsidRPr="004B77DE">
        <w:rPr>
          <w:rFonts w:ascii="Trebuchet MS" w:hAnsi="Trebuchet MS"/>
          <w:i/>
          <w:noProof/>
          <w:sz w:val="16"/>
          <w:szCs w:val="16"/>
        </w:rPr>
        <w:t>The Lancet Diabetes &amp; Endocrinology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853</w:t>
      </w:r>
      <w:r w:rsidRPr="004B77DE">
        <w:rPr>
          <w:rFonts w:ascii="Trebuchet MS" w:hAnsi="Trebuchet MS"/>
          <w:noProof/>
          <w:sz w:val="16"/>
          <w:szCs w:val="16"/>
        </w:rPr>
        <w:t>-</w:t>
      </w:r>
      <w:r w:rsidRPr="004B77DE">
        <w:rPr>
          <w:rFonts w:ascii="Trebuchet MS" w:eastAsia="Calibri" w:hAnsi="Trebuchet MS" w:cs="Calibri"/>
          <w:noProof/>
          <w:sz w:val="16"/>
          <w:szCs w:val="16"/>
        </w:rPr>
        <w:t>63</w:t>
      </w:r>
      <w:r w:rsidRPr="004B77DE">
        <w:rPr>
          <w:rFonts w:ascii="Trebuchet MS" w:hAnsi="Trebuchet MS"/>
          <w:noProof/>
          <w:sz w:val="16"/>
          <w:szCs w:val="16"/>
        </w:rPr>
        <w:t>.</w:t>
      </w:r>
    </w:p>
    <w:p w14:paraId="2865D2D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204</w:t>
      </w:r>
      <w:r w:rsidRPr="004B77DE">
        <w:rPr>
          <w:rFonts w:ascii="Trebuchet MS" w:hAnsi="Trebuchet MS"/>
          <w:noProof/>
          <w:sz w:val="16"/>
          <w:szCs w:val="16"/>
        </w:rPr>
        <w:t>.</w:t>
      </w:r>
      <w:r w:rsidRPr="004B77DE">
        <w:rPr>
          <w:rFonts w:ascii="Trebuchet MS" w:hAnsi="Trebuchet MS"/>
          <w:noProof/>
          <w:sz w:val="16"/>
          <w:szCs w:val="16"/>
        </w:rPr>
        <w:tab/>
        <w:t xml:space="preserve">Censi S, Watutantrige-Fernando S, Groccia G et al. The effects of iodine supplementation in pregnancy on iodine status, thyroglobulin levels and thyroid function parameters: results from a randomized controlled clinical trial in a mild-to-moderate iodine deficiency area.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w:t>
      </w:r>
    </w:p>
    <w:p w14:paraId="66BCAA6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205</w:t>
      </w:r>
      <w:r w:rsidRPr="004B77DE">
        <w:rPr>
          <w:rFonts w:ascii="Trebuchet MS" w:hAnsi="Trebuchet MS"/>
          <w:noProof/>
          <w:sz w:val="16"/>
          <w:szCs w:val="16"/>
        </w:rPr>
        <w:t>.</w:t>
      </w:r>
      <w:r w:rsidRPr="004B77DE">
        <w:rPr>
          <w:rFonts w:ascii="Trebuchet MS" w:hAnsi="Trebuchet MS"/>
          <w:noProof/>
          <w:sz w:val="16"/>
          <w:szCs w:val="16"/>
        </w:rPr>
        <w:tab/>
        <w:t xml:space="preserve">Chawanpaiboon S. A randomized controlled trial of the correlation between iodine supplementation in pregnancy and maternal urine iodine and neonatal thyroid stimulating hormone levels. </w:t>
      </w:r>
      <w:r w:rsidRPr="004B77DE">
        <w:rPr>
          <w:rFonts w:ascii="Trebuchet MS" w:hAnsi="Trebuchet MS"/>
          <w:i/>
          <w:noProof/>
          <w:sz w:val="16"/>
          <w:szCs w:val="16"/>
        </w:rPr>
        <w:t>Siriraj Medical Journal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71(1).</w:t>
      </w:r>
    </w:p>
    <w:p w14:paraId="4F18D94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206</w:t>
      </w:r>
      <w:r w:rsidRPr="004B77DE">
        <w:rPr>
          <w:rFonts w:ascii="Trebuchet MS" w:hAnsi="Trebuchet MS"/>
          <w:noProof/>
          <w:sz w:val="16"/>
          <w:szCs w:val="16"/>
        </w:rPr>
        <w:t>.</w:t>
      </w:r>
      <w:r w:rsidRPr="004B77DE">
        <w:rPr>
          <w:rFonts w:ascii="Trebuchet MS" w:hAnsi="Trebuchet MS"/>
          <w:noProof/>
          <w:sz w:val="16"/>
          <w:szCs w:val="16"/>
        </w:rPr>
        <w:tab/>
        <w:t xml:space="preserve">Ota E, Mori R, Middleton P et al. Zinc supplementation for improving pregnancy and infant outcome.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w:t>
      </w:r>
    </w:p>
    <w:p w14:paraId="72ED67A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207</w:t>
      </w:r>
      <w:r w:rsidRPr="004B77DE">
        <w:rPr>
          <w:rFonts w:ascii="Trebuchet MS" w:hAnsi="Trebuchet MS"/>
          <w:noProof/>
          <w:sz w:val="16"/>
          <w:szCs w:val="16"/>
        </w:rPr>
        <w:t>.</w:t>
      </w:r>
      <w:r w:rsidRPr="004B77DE">
        <w:rPr>
          <w:rFonts w:ascii="Trebuchet MS" w:hAnsi="Trebuchet MS"/>
          <w:noProof/>
          <w:sz w:val="16"/>
          <w:szCs w:val="16"/>
        </w:rPr>
        <w:tab/>
        <w:t xml:space="preserve">Liu E, Pimpin L, Shulkin M et al. Effect of Zinc Supplementation on Growth Outcomes in Children under 5 Years of Age.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w:t>
      </w:r>
    </w:p>
    <w:p w14:paraId="185FA88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208</w:t>
      </w:r>
      <w:r w:rsidRPr="004B77DE">
        <w:rPr>
          <w:rFonts w:ascii="Trebuchet MS" w:hAnsi="Trebuchet MS"/>
          <w:noProof/>
          <w:sz w:val="16"/>
          <w:szCs w:val="16"/>
        </w:rPr>
        <w:t>.</w:t>
      </w:r>
      <w:r w:rsidRPr="004B77DE">
        <w:rPr>
          <w:rFonts w:ascii="Trebuchet MS" w:hAnsi="Trebuchet MS"/>
          <w:noProof/>
          <w:sz w:val="16"/>
          <w:szCs w:val="16"/>
        </w:rPr>
        <w:tab/>
        <w:t xml:space="preserve">Oh C, Keats EC, Bhutta ZA. Vitamin and mineral supplementation during pregnancy on maternal, birth, child health and development outcomes in low- and middle-income countries: a systematic review and meta-analysis. </w:t>
      </w:r>
      <w:r w:rsidRPr="004B77DE">
        <w:rPr>
          <w:rFonts w:ascii="Trebuchet MS" w:hAnsi="Trebuchet MS"/>
          <w:i/>
          <w:noProof/>
          <w:sz w:val="16"/>
          <w:szCs w:val="16"/>
        </w:rPr>
        <w:t>Nutrients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w:t>
      </w:r>
    </w:p>
    <w:p w14:paraId="0F1C20A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209</w:t>
      </w:r>
      <w:r w:rsidRPr="004B77DE">
        <w:rPr>
          <w:rFonts w:ascii="Trebuchet MS" w:hAnsi="Trebuchet MS"/>
          <w:noProof/>
          <w:sz w:val="16"/>
          <w:szCs w:val="16"/>
        </w:rPr>
        <w:t>.</w:t>
      </w:r>
      <w:r w:rsidRPr="004B77DE">
        <w:rPr>
          <w:rFonts w:ascii="Trebuchet MS" w:hAnsi="Trebuchet MS"/>
          <w:noProof/>
          <w:sz w:val="16"/>
          <w:szCs w:val="16"/>
        </w:rPr>
        <w:tab/>
        <w:t xml:space="preserve">Nossier SA, Naeim NE, El-Sayed NA et al. The effect of zinc supplementation on pregnancy outcomes: a double-blind, randomised controlled trial, Egypt.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114</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274</w:t>
      </w:r>
      <w:r w:rsidRPr="004B77DE">
        <w:rPr>
          <w:rFonts w:ascii="Trebuchet MS" w:hAnsi="Trebuchet MS"/>
          <w:noProof/>
          <w:sz w:val="16"/>
          <w:szCs w:val="16"/>
        </w:rPr>
        <w:t>-</w:t>
      </w:r>
      <w:r w:rsidRPr="004B77DE">
        <w:rPr>
          <w:rFonts w:ascii="Trebuchet MS" w:eastAsia="Calibri" w:hAnsi="Trebuchet MS" w:cs="Calibri"/>
          <w:noProof/>
          <w:sz w:val="16"/>
          <w:szCs w:val="16"/>
        </w:rPr>
        <w:t>85</w:t>
      </w:r>
      <w:r w:rsidRPr="004B77DE">
        <w:rPr>
          <w:rFonts w:ascii="Trebuchet MS" w:hAnsi="Trebuchet MS"/>
          <w:noProof/>
          <w:sz w:val="16"/>
          <w:szCs w:val="16"/>
        </w:rPr>
        <w:t>.</w:t>
      </w:r>
    </w:p>
    <w:p w14:paraId="1B0D97C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210</w:t>
      </w:r>
      <w:r w:rsidRPr="004B77DE">
        <w:rPr>
          <w:rFonts w:ascii="Trebuchet MS" w:hAnsi="Trebuchet MS"/>
          <w:noProof/>
          <w:sz w:val="16"/>
          <w:szCs w:val="16"/>
        </w:rPr>
        <w:t>.</w:t>
      </w:r>
      <w:r w:rsidRPr="004B77DE">
        <w:rPr>
          <w:rFonts w:ascii="Trebuchet MS" w:hAnsi="Trebuchet MS"/>
          <w:noProof/>
          <w:sz w:val="16"/>
          <w:szCs w:val="16"/>
        </w:rPr>
        <w:tab/>
        <w:t xml:space="preserve">Zahiri Sorouri Z, Sadeghi H, Pourmarzi D. The effect of zinc supplementation on pregnancy outcome: a randomized controlled trial.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w:t>
      </w:r>
      <w:r w:rsidRPr="004B77DE">
        <w:rPr>
          <w:rFonts w:ascii="Trebuchet MS" w:hAnsi="Trebuchet MS"/>
          <w:noProof/>
          <w:sz w:val="16"/>
          <w:szCs w:val="16"/>
        </w:rPr>
        <w:t>(</w:t>
      </w:r>
      <w:r w:rsidRPr="004B77DE">
        <w:rPr>
          <w:rFonts w:ascii="Trebuchet MS" w:eastAsia="Calibri" w:hAnsi="Trebuchet MS" w:cs="Calibri"/>
          <w:noProof/>
          <w:sz w:val="16"/>
          <w:szCs w:val="16"/>
        </w:rPr>
        <w:t>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2194</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35317C8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211</w:t>
      </w:r>
      <w:r w:rsidRPr="004B77DE">
        <w:rPr>
          <w:rFonts w:ascii="Trebuchet MS" w:hAnsi="Trebuchet MS"/>
          <w:noProof/>
          <w:sz w:val="16"/>
          <w:szCs w:val="16"/>
        </w:rPr>
        <w:t>.</w:t>
      </w:r>
      <w:r w:rsidRPr="004B77DE">
        <w:rPr>
          <w:rFonts w:ascii="Trebuchet MS" w:hAnsi="Trebuchet MS"/>
          <w:noProof/>
          <w:sz w:val="16"/>
          <w:szCs w:val="16"/>
        </w:rPr>
        <w:tab/>
        <w:t xml:space="preserve">Noor RA, Abioye AI, Darling AM et al. Prenatal zinc and vitamin A reduce the benefit of iron on maternal hematologic and micronutrient status at delivery in Tanzania. </w:t>
      </w:r>
      <w:r w:rsidRPr="004B77DE">
        <w:rPr>
          <w:rFonts w:ascii="Trebuchet MS" w:hAnsi="Trebuchet MS"/>
          <w:i/>
          <w:noProof/>
          <w:sz w:val="16"/>
          <w:szCs w:val="16"/>
        </w:rPr>
        <w:t>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240</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74EE1E5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212</w:t>
      </w:r>
      <w:r w:rsidRPr="004B77DE">
        <w:rPr>
          <w:rFonts w:ascii="Trebuchet MS" w:hAnsi="Trebuchet MS"/>
          <w:noProof/>
          <w:sz w:val="16"/>
          <w:szCs w:val="16"/>
        </w:rPr>
        <w:t>.</w:t>
      </w:r>
      <w:r w:rsidRPr="004B77DE">
        <w:rPr>
          <w:rFonts w:ascii="Trebuchet MS" w:hAnsi="Trebuchet MS"/>
          <w:noProof/>
          <w:sz w:val="16"/>
          <w:szCs w:val="16"/>
        </w:rPr>
        <w:tab/>
        <w:t xml:space="preserve">Makrides M, Crosby DD, Shepherd E et al. Magnesium supplementation in pregnancy.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w:t>
      </w:r>
    </w:p>
    <w:p w14:paraId="6DEABB2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213</w:t>
      </w:r>
      <w:r w:rsidRPr="004B77DE">
        <w:rPr>
          <w:rFonts w:ascii="Trebuchet MS" w:hAnsi="Trebuchet MS"/>
          <w:noProof/>
          <w:sz w:val="16"/>
          <w:szCs w:val="16"/>
        </w:rPr>
        <w:t>.</w:t>
      </w:r>
      <w:r w:rsidRPr="004B77DE">
        <w:rPr>
          <w:rFonts w:ascii="Trebuchet MS" w:hAnsi="Trebuchet MS"/>
          <w:noProof/>
          <w:sz w:val="16"/>
          <w:szCs w:val="16"/>
        </w:rPr>
        <w:tab/>
        <w:t xml:space="preserve">Bullarbo M, Mattson H, Broman AK et al. Magnesium Supplementation and Blood Pressure in Pregnancy: A Double-Blind Randomized Multicenter Study. </w:t>
      </w:r>
      <w:r w:rsidRPr="004B77DE">
        <w:rPr>
          <w:rFonts w:ascii="Trebuchet MS" w:hAnsi="Trebuchet MS"/>
          <w:i/>
          <w:noProof/>
          <w:sz w:val="16"/>
          <w:szCs w:val="16"/>
        </w:rPr>
        <w:t>J Pregnancy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4843159</w:t>
      </w:r>
      <w:r w:rsidRPr="004B77DE">
        <w:rPr>
          <w:rFonts w:ascii="Trebuchet MS" w:hAnsi="Trebuchet MS"/>
          <w:noProof/>
          <w:sz w:val="16"/>
          <w:szCs w:val="16"/>
        </w:rPr>
        <w:t>.</w:t>
      </w:r>
    </w:p>
    <w:p w14:paraId="25C9DC2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214</w:t>
      </w:r>
      <w:r w:rsidRPr="004B77DE">
        <w:rPr>
          <w:rFonts w:ascii="Trebuchet MS" w:hAnsi="Trebuchet MS"/>
          <w:noProof/>
          <w:sz w:val="16"/>
          <w:szCs w:val="16"/>
        </w:rPr>
        <w:t>.</w:t>
      </w:r>
      <w:r w:rsidRPr="004B77DE">
        <w:rPr>
          <w:rFonts w:ascii="Trebuchet MS" w:hAnsi="Trebuchet MS"/>
          <w:noProof/>
          <w:sz w:val="16"/>
          <w:szCs w:val="16"/>
        </w:rPr>
        <w:tab/>
        <w:t xml:space="preserve">Bullarbo M, Odman N, Nestler A et al. Magnesium supplementation to prevent high blood pressure in pregnancy: a randomised placebo control trial. </w:t>
      </w:r>
      <w:r w:rsidRPr="004B77DE">
        <w:rPr>
          <w:rFonts w:ascii="Trebuchet MS" w:hAnsi="Trebuchet MS"/>
          <w:i/>
          <w:noProof/>
          <w:sz w:val="16"/>
          <w:szCs w:val="16"/>
        </w:rPr>
        <w:t>Arch Gynecol Obstet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288</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1269</w:t>
      </w:r>
      <w:r w:rsidRPr="004B77DE">
        <w:rPr>
          <w:rFonts w:ascii="Trebuchet MS" w:hAnsi="Trebuchet MS"/>
          <w:noProof/>
          <w:sz w:val="16"/>
          <w:szCs w:val="16"/>
        </w:rPr>
        <w:t>-</w:t>
      </w:r>
      <w:r w:rsidRPr="004B77DE">
        <w:rPr>
          <w:rFonts w:ascii="Trebuchet MS" w:eastAsia="Calibri" w:hAnsi="Trebuchet MS" w:cs="Calibri"/>
          <w:noProof/>
          <w:sz w:val="16"/>
          <w:szCs w:val="16"/>
        </w:rPr>
        <w:t>74</w:t>
      </w:r>
      <w:r w:rsidRPr="004B77DE">
        <w:rPr>
          <w:rFonts w:ascii="Trebuchet MS" w:hAnsi="Trebuchet MS"/>
          <w:noProof/>
          <w:sz w:val="16"/>
          <w:szCs w:val="16"/>
        </w:rPr>
        <w:t>.</w:t>
      </w:r>
    </w:p>
    <w:p w14:paraId="3BFB128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215</w:t>
      </w:r>
      <w:r w:rsidRPr="004B77DE">
        <w:rPr>
          <w:rFonts w:ascii="Trebuchet MS" w:hAnsi="Trebuchet MS"/>
          <w:noProof/>
          <w:sz w:val="16"/>
          <w:szCs w:val="16"/>
        </w:rPr>
        <w:t>.</w:t>
      </w:r>
      <w:r w:rsidRPr="004B77DE">
        <w:rPr>
          <w:rFonts w:ascii="Trebuchet MS" w:hAnsi="Trebuchet MS"/>
          <w:noProof/>
          <w:sz w:val="16"/>
          <w:szCs w:val="16"/>
        </w:rPr>
        <w:tab/>
        <w:t xml:space="preserve">Parente E, Colannino G, Ferrara P. Efficacy of Magnesium and Alpha Lipoic Acid Supplementation in Reducing Premature Uterine Contractions. </w:t>
      </w:r>
      <w:r w:rsidRPr="004B77DE">
        <w:rPr>
          <w:rFonts w:ascii="Trebuchet MS" w:hAnsi="Trebuchet MS"/>
          <w:i/>
          <w:noProof/>
          <w:sz w:val="16"/>
          <w:szCs w:val="16"/>
        </w:rPr>
        <w:t>Open Journal of Obstetrics and Gynecology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04</w:t>
      </w:r>
      <w:r w:rsidRPr="004B77DE">
        <w:rPr>
          <w:rFonts w:ascii="Trebuchet MS" w:hAnsi="Trebuchet MS"/>
          <w:noProof/>
          <w:sz w:val="16"/>
          <w:szCs w:val="16"/>
        </w:rPr>
        <w:t>(</w:t>
      </w:r>
      <w:r w:rsidRPr="004B77DE">
        <w:rPr>
          <w:rFonts w:ascii="Trebuchet MS" w:eastAsia="Calibri" w:hAnsi="Trebuchet MS" w:cs="Calibri"/>
          <w:noProof/>
          <w:sz w:val="16"/>
          <w:szCs w:val="16"/>
        </w:rPr>
        <w:t>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578</w:t>
      </w:r>
      <w:r w:rsidRPr="004B77DE">
        <w:rPr>
          <w:rFonts w:ascii="Trebuchet MS" w:hAnsi="Trebuchet MS"/>
          <w:noProof/>
          <w:sz w:val="16"/>
          <w:szCs w:val="16"/>
        </w:rPr>
        <w:t>-</w:t>
      </w:r>
      <w:r w:rsidRPr="004B77DE">
        <w:rPr>
          <w:rFonts w:ascii="Trebuchet MS" w:eastAsia="Calibri" w:hAnsi="Trebuchet MS" w:cs="Calibri"/>
          <w:noProof/>
          <w:sz w:val="16"/>
          <w:szCs w:val="16"/>
        </w:rPr>
        <w:t>83</w:t>
      </w:r>
      <w:r w:rsidRPr="004B77DE">
        <w:rPr>
          <w:rFonts w:ascii="Trebuchet MS" w:hAnsi="Trebuchet MS"/>
          <w:noProof/>
          <w:sz w:val="16"/>
          <w:szCs w:val="16"/>
        </w:rPr>
        <w:t>.</w:t>
      </w:r>
    </w:p>
    <w:p w14:paraId="34AC6A8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216</w:t>
      </w:r>
      <w:r w:rsidRPr="004B77DE">
        <w:rPr>
          <w:rFonts w:ascii="Trebuchet MS" w:hAnsi="Trebuchet MS"/>
          <w:noProof/>
          <w:sz w:val="16"/>
          <w:szCs w:val="16"/>
        </w:rPr>
        <w:t>.</w:t>
      </w:r>
      <w:r w:rsidRPr="004B77DE">
        <w:rPr>
          <w:rFonts w:ascii="Trebuchet MS" w:hAnsi="Trebuchet MS"/>
          <w:noProof/>
          <w:sz w:val="16"/>
          <w:szCs w:val="16"/>
        </w:rPr>
        <w:tab/>
        <w:t xml:space="preserve">Supakatisant C, Phupong V. Oral magnesium for relief in pregnancy-induced leg cramps: a randomised controlled trial. </w:t>
      </w:r>
      <w:r w:rsidRPr="004B77DE">
        <w:rPr>
          <w:rFonts w:ascii="Trebuchet MS" w:hAnsi="Trebuchet MS"/>
          <w:i/>
          <w:noProof/>
          <w:sz w:val="16"/>
          <w:szCs w:val="16"/>
        </w:rPr>
        <w:t>Matern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139</w:t>
      </w:r>
      <w:r w:rsidRPr="004B77DE">
        <w:rPr>
          <w:rFonts w:ascii="Trebuchet MS" w:hAnsi="Trebuchet MS"/>
          <w:noProof/>
          <w:sz w:val="16"/>
          <w:szCs w:val="16"/>
        </w:rPr>
        <w:t>-</w:t>
      </w:r>
      <w:r w:rsidRPr="004B77DE">
        <w:rPr>
          <w:rFonts w:ascii="Trebuchet MS" w:eastAsia="Calibri" w:hAnsi="Trebuchet MS" w:cs="Calibri"/>
          <w:noProof/>
          <w:sz w:val="16"/>
          <w:szCs w:val="16"/>
        </w:rPr>
        <w:t>45</w:t>
      </w:r>
      <w:r w:rsidRPr="004B77DE">
        <w:rPr>
          <w:rFonts w:ascii="Trebuchet MS" w:hAnsi="Trebuchet MS"/>
          <w:noProof/>
          <w:sz w:val="16"/>
          <w:szCs w:val="16"/>
        </w:rPr>
        <w:t>.</w:t>
      </w:r>
    </w:p>
    <w:p w14:paraId="311D78D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217</w:t>
      </w:r>
      <w:r w:rsidRPr="004B77DE">
        <w:rPr>
          <w:rFonts w:ascii="Trebuchet MS" w:hAnsi="Trebuchet MS"/>
          <w:noProof/>
          <w:sz w:val="16"/>
          <w:szCs w:val="16"/>
        </w:rPr>
        <w:t>.</w:t>
      </w:r>
      <w:r w:rsidRPr="004B77DE">
        <w:rPr>
          <w:rFonts w:ascii="Trebuchet MS" w:hAnsi="Trebuchet MS"/>
          <w:noProof/>
          <w:sz w:val="16"/>
          <w:szCs w:val="16"/>
        </w:rPr>
        <w:tab/>
        <w:t xml:space="preserve">Tara F, Maamouri G, Rayman MP et al. Selenium supplementation and the incidence of preeclampsia in pregnant Iranian women: a randomized, double-blind, placebo-controlled pilot trial. </w:t>
      </w:r>
      <w:r w:rsidRPr="004B77DE">
        <w:rPr>
          <w:rFonts w:ascii="Trebuchet MS" w:hAnsi="Trebuchet MS"/>
          <w:i/>
          <w:noProof/>
          <w:sz w:val="16"/>
          <w:szCs w:val="16"/>
        </w:rPr>
        <w:t>Taiwan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7C0A904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218</w:t>
      </w:r>
      <w:r w:rsidRPr="004B77DE">
        <w:rPr>
          <w:rFonts w:ascii="Trebuchet MS" w:hAnsi="Trebuchet MS"/>
          <w:noProof/>
          <w:sz w:val="16"/>
          <w:szCs w:val="16"/>
        </w:rPr>
        <w:t>.</w:t>
      </w:r>
      <w:r w:rsidRPr="004B77DE">
        <w:rPr>
          <w:rFonts w:ascii="Trebuchet MS" w:hAnsi="Trebuchet MS"/>
          <w:noProof/>
          <w:sz w:val="16"/>
          <w:szCs w:val="16"/>
        </w:rPr>
        <w:tab/>
        <w:t xml:space="preserve">Tara F, Rayman MP, Boskabadi H et al. Selenium supplementation and premature (pre-labour) rupture of membranes: a randomised double-blind placebo-controlled trial. </w:t>
      </w:r>
      <w:r w:rsidRPr="004B77DE">
        <w:rPr>
          <w:rFonts w:ascii="Trebuchet MS" w:hAnsi="Trebuchet MS"/>
          <w:i/>
          <w:noProof/>
          <w:sz w:val="16"/>
          <w:szCs w:val="16"/>
        </w:rPr>
        <w:t>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w:t>
      </w:r>
    </w:p>
    <w:p w14:paraId="2879291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219</w:t>
      </w:r>
      <w:r w:rsidRPr="004B77DE">
        <w:rPr>
          <w:rFonts w:ascii="Trebuchet MS" w:hAnsi="Trebuchet MS"/>
          <w:noProof/>
          <w:sz w:val="16"/>
          <w:szCs w:val="16"/>
        </w:rPr>
        <w:t>.</w:t>
      </w:r>
      <w:r w:rsidRPr="004B77DE">
        <w:rPr>
          <w:rFonts w:ascii="Trebuchet MS" w:hAnsi="Trebuchet MS"/>
          <w:noProof/>
          <w:sz w:val="16"/>
          <w:szCs w:val="16"/>
        </w:rPr>
        <w:tab/>
        <w:t xml:space="preserve">Bosakabadi H, Rezagholizade Omran F, Tara F et al. The effect of maternal selenium supplementation on pregnancy outcome and the level of oxidative stress in neonates. </w:t>
      </w:r>
      <w:r w:rsidRPr="004B77DE">
        <w:rPr>
          <w:rFonts w:ascii="Trebuchet MS" w:hAnsi="Trebuchet MS"/>
          <w:i/>
          <w:noProof/>
          <w:sz w:val="16"/>
          <w:szCs w:val="16"/>
        </w:rPr>
        <w:t>Iranian Red Crescent Med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254</w:t>
      </w:r>
      <w:r w:rsidRPr="004B77DE">
        <w:rPr>
          <w:rFonts w:ascii="Trebuchet MS" w:hAnsi="Trebuchet MS"/>
          <w:noProof/>
          <w:sz w:val="16"/>
          <w:szCs w:val="16"/>
        </w:rPr>
        <w:t>-</w:t>
      </w:r>
      <w:r w:rsidRPr="004B77DE">
        <w:rPr>
          <w:rFonts w:ascii="Trebuchet MS" w:eastAsia="Calibri" w:hAnsi="Trebuchet MS" w:cs="Calibri"/>
          <w:noProof/>
          <w:sz w:val="16"/>
          <w:szCs w:val="16"/>
        </w:rPr>
        <w:t>59</w:t>
      </w:r>
      <w:r w:rsidRPr="004B77DE">
        <w:rPr>
          <w:rFonts w:ascii="Trebuchet MS" w:hAnsi="Trebuchet MS"/>
          <w:noProof/>
          <w:sz w:val="16"/>
          <w:szCs w:val="16"/>
        </w:rPr>
        <w:t>.</w:t>
      </w:r>
    </w:p>
    <w:p w14:paraId="5579D13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220</w:t>
      </w:r>
      <w:r w:rsidRPr="004B77DE">
        <w:rPr>
          <w:rFonts w:ascii="Trebuchet MS" w:hAnsi="Trebuchet MS"/>
          <w:noProof/>
          <w:sz w:val="16"/>
          <w:szCs w:val="16"/>
        </w:rPr>
        <w:t>.</w:t>
      </w:r>
      <w:r w:rsidRPr="004B77DE">
        <w:rPr>
          <w:rFonts w:ascii="Trebuchet MS" w:hAnsi="Trebuchet MS"/>
          <w:noProof/>
          <w:sz w:val="16"/>
          <w:szCs w:val="16"/>
        </w:rPr>
        <w:tab/>
        <w:t xml:space="preserve">Mokhber N, Namjoo M, Tara F et al. Effect of supplementation with selenium on postpartum depression: a randomized double-blind placebo-controlled trial.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104</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190E3BA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221</w:t>
      </w:r>
      <w:r w:rsidRPr="004B77DE">
        <w:rPr>
          <w:rFonts w:ascii="Trebuchet MS" w:hAnsi="Trebuchet MS"/>
          <w:noProof/>
          <w:sz w:val="16"/>
          <w:szCs w:val="16"/>
        </w:rPr>
        <w:t>.</w:t>
      </w:r>
      <w:r w:rsidRPr="004B77DE">
        <w:rPr>
          <w:rFonts w:ascii="Trebuchet MS" w:hAnsi="Trebuchet MS"/>
          <w:noProof/>
          <w:sz w:val="16"/>
          <w:szCs w:val="16"/>
        </w:rPr>
        <w:tab/>
        <w:t xml:space="preserve">Rayman MP, Searle E, Kelly L et al. Effect of selenium on markers of risk of pre-eclampsia in UK pregnant women: a randomised, controlled pilot trial.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w:t>
      </w:r>
      <w:r w:rsidRPr="004B77DE">
        <w:rPr>
          <w:rFonts w:ascii="Trebuchet MS" w:hAnsi="Trebuchet MS"/>
          <w:noProof/>
          <w:sz w:val="16"/>
          <w:szCs w:val="16"/>
        </w:rPr>
        <w:t>14; 112(1): 99-111.</w:t>
      </w:r>
    </w:p>
    <w:p w14:paraId="21CDCD5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222</w:t>
      </w:r>
      <w:r w:rsidRPr="004B77DE">
        <w:rPr>
          <w:rFonts w:ascii="Trebuchet MS" w:hAnsi="Trebuchet MS"/>
          <w:noProof/>
          <w:sz w:val="16"/>
          <w:szCs w:val="16"/>
        </w:rPr>
        <w:t>.</w:t>
      </w:r>
      <w:r w:rsidRPr="004B77DE">
        <w:rPr>
          <w:rFonts w:ascii="Trebuchet MS" w:hAnsi="Trebuchet MS"/>
          <w:noProof/>
          <w:sz w:val="16"/>
          <w:szCs w:val="16"/>
        </w:rPr>
        <w:tab/>
        <w:t xml:space="preserve">Mao J, Bath SC, Vanderlelie JJ et al. No effect of modest selenium supplementation on insulin resistance in UK pregnant women, as assessed by plasma adiponectin concentration.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669BD14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223</w:t>
      </w:r>
      <w:r w:rsidRPr="004B77DE">
        <w:rPr>
          <w:rFonts w:ascii="Trebuchet MS" w:hAnsi="Trebuchet MS"/>
          <w:noProof/>
          <w:sz w:val="16"/>
          <w:szCs w:val="16"/>
        </w:rPr>
        <w:t>.</w:t>
      </w:r>
      <w:r w:rsidRPr="004B77DE">
        <w:rPr>
          <w:rFonts w:ascii="Trebuchet MS" w:hAnsi="Trebuchet MS"/>
          <w:noProof/>
          <w:sz w:val="16"/>
          <w:szCs w:val="16"/>
        </w:rPr>
        <w:tab/>
        <w:t xml:space="preserve">Mao J, Pop VJ, Bath SC et al. Effect of low-dose selenium on thyroid autoimmunity and thyroid function in UK pregnant women with mild-to-moderate iodine deficiency. </w:t>
      </w:r>
      <w:r w:rsidRPr="004B77DE">
        <w:rPr>
          <w:rFonts w:ascii="Trebuchet MS" w:hAnsi="Trebuchet MS"/>
          <w:i/>
          <w:noProof/>
          <w:sz w:val="16"/>
          <w:szCs w:val="16"/>
        </w:rPr>
        <w:t>Eur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61</w:t>
      </w:r>
      <w:r w:rsidRPr="004B77DE">
        <w:rPr>
          <w:rFonts w:ascii="Trebuchet MS" w:hAnsi="Trebuchet MS"/>
          <w:noProof/>
          <w:sz w:val="16"/>
          <w:szCs w:val="16"/>
        </w:rPr>
        <w:t>.</w:t>
      </w:r>
    </w:p>
    <w:p w14:paraId="7394B37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224</w:t>
      </w:r>
      <w:r w:rsidRPr="004B77DE">
        <w:rPr>
          <w:rFonts w:ascii="Trebuchet MS" w:hAnsi="Trebuchet MS"/>
          <w:noProof/>
          <w:sz w:val="16"/>
          <w:szCs w:val="16"/>
        </w:rPr>
        <w:t>.</w:t>
      </w:r>
      <w:r w:rsidRPr="004B77DE">
        <w:rPr>
          <w:rFonts w:ascii="Trebuchet MS" w:hAnsi="Trebuchet MS"/>
          <w:noProof/>
          <w:sz w:val="16"/>
          <w:szCs w:val="16"/>
        </w:rPr>
        <w:tab/>
        <w:t xml:space="preserve">Abramovici A, Gandley RE, Clifton RG et al. Prenatal vitamin C and E supplementation in smokers is associated with reduced placental abruption and preterm birth: a secondary analysis.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eastAsia="Calibri" w:hAnsi="Trebuchet MS" w:cs="Calibri"/>
          <w:noProof/>
          <w:sz w:val="16"/>
          <w:szCs w:val="16"/>
        </w:rPr>
        <w:t>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1740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6105836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225</w:t>
      </w:r>
      <w:r w:rsidRPr="004B77DE">
        <w:rPr>
          <w:rFonts w:ascii="Trebuchet MS" w:hAnsi="Trebuchet MS"/>
          <w:noProof/>
          <w:sz w:val="16"/>
          <w:szCs w:val="16"/>
        </w:rPr>
        <w:t>.</w:t>
      </w:r>
      <w:r w:rsidRPr="004B77DE">
        <w:rPr>
          <w:rFonts w:ascii="Trebuchet MS" w:hAnsi="Trebuchet MS"/>
          <w:noProof/>
          <w:sz w:val="16"/>
          <w:szCs w:val="16"/>
        </w:rPr>
        <w:tab/>
        <w:t xml:space="preserve">Jarde A, Lewis-Mikhael AM, Moayyedi P et al. Pregnancy outcomes in women taking probiotics or prebiotics: a systematic review and meta-analysis. </w:t>
      </w:r>
      <w:r w:rsidRPr="004B77DE">
        <w:rPr>
          <w:rFonts w:ascii="Trebuchet MS" w:hAnsi="Trebuchet MS"/>
          <w:i/>
          <w:noProof/>
          <w:sz w:val="16"/>
          <w:szCs w:val="16"/>
        </w:rPr>
        <w:t>BMC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w:t>
      </w:r>
    </w:p>
    <w:p w14:paraId="0054558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226</w:t>
      </w:r>
      <w:r w:rsidRPr="004B77DE">
        <w:rPr>
          <w:rFonts w:ascii="Trebuchet MS" w:hAnsi="Trebuchet MS"/>
          <w:noProof/>
          <w:sz w:val="16"/>
          <w:szCs w:val="16"/>
        </w:rPr>
        <w:t>.</w:t>
      </w:r>
      <w:r w:rsidRPr="004B77DE">
        <w:rPr>
          <w:rFonts w:ascii="Trebuchet MS" w:hAnsi="Trebuchet MS"/>
          <w:noProof/>
          <w:sz w:val="16"/>
          <w:szCs w:val="16"/>
        </w:rPr>
        <w:tab/>
        <w:t xml:space="preserve">Grev J, Berg M, Soll R. Maternal probiotic supplementation for prevention of morbidity and mortality in preterm infants.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CD012519</w:t>
      </w:r>
      <w:r w:rsidRPr="004B77DE">
        <w:rPr>
          <w:rFonts w:ascii="Trebuchet MS" w:hAnsi="Trebuchet MS"/>
          <w:noProof/>
          <w:sz w:val="16"/>
          <w:szCs w:val="16"/>
        </w:rPr>
        <w:t>.</w:t>
      </w:r>
    </w:p>
    <w:p w14:paraId="4A5747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227</w:t>
      </w:r>
      <w:r w:rsidRPr="004B77DE">
        <w:rPr>
          <w:rFonts w:ascii="Trebuchet MS" w:hAnsi="Trebuchet MS"/>
          <w:noProof/>
          <w:sz w:val="16"/>
          <w:szCs w:val="16"/>
        </w:rPr>
        <w:t>.</w:t>
      </w:r>
      <w:r w:rsidRPr="004B77DE">
        <w:rPr>
          <w:rFonts w:ascii="Trebuchet MS" w:hAnsi="Trebuchet MS"/>
          <w:noProof/>
          <w:sz w:val="16"/>
          <w:szCs w:val="16"/>
        </w:rPr>
        <w:tab/>
        <w:t xml:space="preserve">Han MM, Sun JF, Su XH et al. Probiotics improve glucose and lipid metabolism in pregnant women: a meta-analysis. </w:t>
      </w:r>
      <w:r w:rsidRPr="004B77DE">
        <w:rPr>
          <w:rFonts w:ascii="Trebuchet MS" w:hAnsi="Trebuchet MS"/>
          <w:i/>
          <w:noProof/>
          <w:sz w:val="16"/>
          <w:szCs w:val="16"/>
        </w:rPr>
        <w:t>Ann Transl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w:t>
      </w:r>
      <w:r w:rsidRPr="004B77DE">
        <w:rPr>
          <w:rFonts w:ascii="Trebuchet MS" w:hAnsi="Trebuchet MS"/>
          <w:noProof/>
          <w:sz w:val="16"/>
          <w:szCs w:val="16"/>
        </w:rPr>
        <w:t>.</w:t>
      </w:r>
    </w:p>
    <w:p w14:paraId="7C042AA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228</w:t>
      </w:r>
      <w:r w:rsidRPr="004B77DE">
        <w:rPr>
          <w:rFonts w:ascii="Trebuchet MS" w:hAnsi="Trebuchet MS"/>
          <w:noProof/>
          <w:sz w:val="16"/>
          <w:szCs w:val="16"/>
        </w:rPr>
        <w:t>.</w:t>
      </w:r>
      <w:r w:rsidRPr="004B77DE">
        <w:rPr>
          <w:rFonts w:ascii="Trebuchet MS" w:hAnsi="Trebuchet MS"/>
          <w:noProof/>
          <w:sz w:val="16"/>
          <w:szCs w:val="16"/>
        </w:rPr>
        <w:tab/>
        <w:t xml:space="preserve">Callaway LK, McIntyre HD, Barrett HL et al. Probiotics for the prevention of gestational diabetes mellitus in overweight and obese women: Findings from the SPRING double-blind randomized controlled trial. </w:t>
      </w:r>
      <w:r w:rsidRPr="004B77DE">
        <w:rPr>
          <w:rFonts w:ascii="Trebuchet MS" w:hAnsi="Trebuchet MS"/>
          <w:i/>
          <w:noProof/>
          <w:sz w:val="16"/>
          <w:szCs w:val="16"/>
        </w:rPr>
        <w:t>Diabetes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364</w:t>
      </w:r>
      <w:r w:rsidRPr="004B77DE">
        <w:rPr>
          <w:rFonts w:ascii="Trebuchet MS" w:hAnsi="Trebuchet MS"/>
          <w:noProof/>
          <w:sz w:val="16"/>
          <w:szCs w:val="16"/>
        </w:rPr>
        <w:t>-</w:t>
      </w:r>
      <w:r w:rsidRPr="004B77DE">
        <w:rPr>
          <w:rFonts w:ascii="Trebuchet MS" w:eastAsia="Calibri" w:hAnsi="Trebuchet MS" w:cs="Calibri"/>
          <w:noProof/>
          <w:sz w:val="16"/>
          <w:szCs w:val="16"/>
        </w:rPr>
        <w:t>71</w:t>
      </w:r>
      <w:r w:rsidRPr="004B77DE">
        <w:rPr>
          <w:rFonts w:ascii="Trebuchet MS" w:hAnsi="Trebuchet MS"/>
          <w:noProof/>
          <w:sz w:val="16"/>
          <w:szCs w:val="16"/>
        </w:rPr>
        <w:t>.</w:t>
      </w:r>
    </w:p>
    <w:p w14:paraId="6F69B6A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229</w:t>
      </w:r>
      <w:r w:rsidRPr="004B77DE">
        <w:rPr>
          <w:rFonts w:ascii="Trebuchet MS" w:hAnsi="Trebuchet MS"/>
          <w:noProof/>
          <w:sz w:val="16"/>
          <w:szCs w:val="16"/>
        </w:rPr>
        <w:t>.</w:t>
      </w:r>
      <w:r w:rsidRPr="004B77DE">
        <w:rPr>
          <w:rFonts w:ascii="Trebuchet MS" w:hAnsi="Trebuchet MS"/>
          <w:noProof/>
          <w:sz w:val="16"/>
          <w:szCs w:val="16"/>
        </w:rPr>
        <w:tab/>
        <w:t xml:space="preserve">Gille C, Boer B, Marschal M et al. Effect of probiotics on vaginal health in pregnancy. EFFPRO, a randomized controlled trial. </w:t>
      </w:r>
      <w:r w:rsidRPr="004B77DE">
        <w:rPr>
          <w:rFonts w:ascii="Trebuchet MS" w:hAnsi="Trebuchet MS"/>
          <w:i/>
          <w:noProof/>
          <w:sz w:val="16"/>
          <w:szCs w:val="16"/>
        </w:rPr>
        <w:t>Am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215</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608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e7</w:t>
      </w:r>
      <w:r w:rsidRPr="004B77DE">
        <w:rPr>
          <w:rFonts w:ascii="Trebuchet MS" w:hAnsi="Trebuchet MS"/>
          <w:noProof/>
          <w:sz w:val="16"/>
          <w:szCs w:val="16"/>
        </w:rPr>
        <w:t>.</w:t>
      </w:r>
    </w:p>
    <w:p w14:paraId="6511455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230</w:t>
      </w:r>
      <w:r w:rsidRPr="004B77DE">
        <w:rPr>
          <w:rFonts w:ascii="Trebuchet MS" w:hAnsi="Trebuchet MS"/>
          <w:noProof/>
          <w:sz w:val="16"/>
          <w:szCs w:val="16"/>
        </w:rPr>
        <w:t>.</w:t>
      </w:r>
      <w:r w:rsidRPr="004B77DE">
        <w:rPr>
          <w:rFonts w:ascii="Trebuchet MS" w:hAnsi="Trebuchet MS"/>
          <w:noProof/>
          <w:sz w:val="16"/>
          <w:szCs w:val="16"/>
        </w:rPr>
        <w:tab/>
        <w:t xml:space="preserve">Ho M, Chang YY, Chang WC et al. Oral Lactobacillus rhamnosus GR-1 and Lactobacillus reuteri RC-14 to reduce Group B Streptococcus colonization in pregnant women: A randomized controlled trial. </w:t>
      </w:r>
      <w:r w:rsidRPr="004B77DE">
        <w:rPr>
          <w:rFonts w:ascii="Trebuchet MS" w:hAnsi="Trebuchet MS"/>
          <w:i/>
          <w:noProof/>
          <w:sz w:val="16"/>
          <w:szCs w:val="16"/>
        </w:rPr>
        <w:t>Taiwan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515</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0E050B0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231</w:t>
      </w:r>
      <w:r w:rsidRPr="004B77DE">
        <w:rPr>
          <w:rFonts w:ascii="Trebuchet MS" w:hAnsi="Trebuchet MS"/>
          <w:noProof/>
          <w:sz w:val="16"/>
          <w:szCs w:val="16"/>
        </w:rPr>
        <w:t>.</w:t>
      </w:r>
      <w:r w:rsidRPr="004B77DE">
        <w:rPr>
          <w:rFonts w:ascii="Trebuchet MS" w:hAnsi="Trebuchet MS"/>
          <w:noProof/>
          <w:sz w:val="16"/>
          <w:szCs w:val="16"/>
        </w:rPr>
        <w:tab/>
        <w:t xml:space="preserve">Husain S, Allotey J, Drymoussi Z et al. Effects of oral probiotic supplements on vaginal microbiota during pregnancy: a randomised, double-blind, placebo-controlled trial with microbiome analysis.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w:t>
      </w:r>
      <w:r w:rsidRPr="004B77DE">
        <w:rPr>
          <w:rFonts w:ascii="Trebuchet MS" w:hAnsi="Trebuchet MS"/>
          <w:noProof/>
          <w:sz w:val="16"/>
          <w:szCs w:val="16"/>
        </w:rPr>
        <w:t>0; 127(2): 275-84.</w:t>
      </w:r>
    </w:p>
    <w:p w14:paraId="0C567D4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232</w:t>
      </w:r>
      <w:r w:rsidRPr="004B77DE">
        <w:rPr>
          <w:rFonts w:ascii="Trebuchet MS" w:hAnsi="Trebuchet MS"/>
          <w:noProof/>
          <w:sz w:val="16"/>
          <w:szCs w:val="16"/>
        </w:rPr>
        <w:t>.</w:t>
      </w:r>
      <w:r w:rsidRPr="004B77DE">
        <w:rPr>
          <w:rFonts w:ascii="Trebuchet MS" w:hAnsi="Trebuchet MS"/>
          <w:noProof/>
          <w:sz w:val="16"/>
          <w:szCs w:val="16"/>
        </w:rPr>
        <w:tab/>
        <w:t xml:space="preserve">Okesene-Gafa KAM, Li M, McKinlay CJD et al. Effect of antenatal dietary interventions in maternal obesity on pregnancy weight-gain and birthweight: Healthy Mums and Babies (HUMBA) randomized trial. </w:t>
      </w:r>
      <w:r w:rsidRPr="004B77DE">
        <w:rPr>
          <w:rFonts w:ascii="Trebuchet MS" w:hAnsi="Trebuchet MS"/>
          <w:i/>
          <w:noProof/>
          <w:sz w:val="16"/>
          <w:szCs w:val="16"/>
        </w:rPr>
        <w:t>Am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221</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152 e1- e13.</w:t>
      </w:r>
    </w:p>
    <w:p w14:paraId="2599FEF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233</w:t>
      </w:r>
      <w:r w:rsidRPr="004B77DE">
        <w:rPr>
          <w:rFonts w:ascii="Trebuchet MS" w:hAnsi="Trebuchet MS"/>
          <w:noProof/>
          <w:sz w:val="16"/>
          <w:szCs w:val="16"/>
        </w:rPr>
        <w:t>.</w:t>
      </w:r>
      <w:r w:rsidRPr="004B77DE">
        <w:rPr>
          <w:rFonts w:ascii="Trebuchet MS" w:hAnsi="Trebuchet MS"/>
          <w:noProof/>
          <w:sz w:val="16"/>
          <w:szCs w:val="16"/>
        </w:rPr>
        <w:tab/>
        <w:t xml:space="preserve">Pellonpera O, Mokkala K, Houttu N et al. Efficacy of fish oil and/or probiotic intervention on the incidence of gestational diabetes mellitus in an at-risk group of overweight and obese women: a randomized, placebo-controlled, double-blind clinical trial. </w:t>
      </w:r>
      <w:r w:rsidRPr="004B77DE">
        <w:rPr>
          <w:rFonts w:ascii="Trebuchet MS" w:hAnsi="Trebuchet MS"/>
          <w:i/>
          <w:noProof/>
          <w:sz w:val="16"/>
          <w:szCs w:val="16"/>
        </w:rPr>
        <w:t>Diabetes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1009</w:t>
      </w:r>
      <w:r w:rsidRPr="004B77DE">
        <w:rPr>
          <w:rFonts w:ascii="Trebuchet MS" w:hAnsi="Trebuchet MS"/>
          <w:noProof/>
          <w:sz w:val="16"/>
          <w:szCs w:val="16"/>
        </w:rPr>
        <w:t>-</w:t>
      </w:r>
      <w:r w:rsidRPr="004B77DE">
        <w:rPr>
          <w:rFonts w:ascii="Trebuchet MS" w:eastAsia="Calibri" w:hAnsi="Trebuchet MS" w:cs="Calibri"/>
          <w:noProof/>
          <w:sz w:val="16"/>
          <w:szCs w:val="16"/>
        </w:rPr>
        <w:t>17</w:t>
      </w:r>
      <w:r w:rsidRPr="004B77DE">
        <w:rPr>
          <w:rFonts w:ascii="Trebuchet MS" w:hAnsi="Trebuchet MS"/>
          <w:noProof/>
          <w:sz w:val="16"/>
          <w:szCs w:val="16"/>
        </w:rPr>
        <w:t>.</w:t>
      </w:r>
    </w:p>
    <w:p w14:paraId="2BA1AC3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234</w:t>
      </w:r>
      <w:r w:rsidRPr="004B77DE">
        <w:rPr>
          <w:rFonts w:ascii="Trebuchet MS" w:hAnsi="Trebuchet MS"/>
          <w:noProof/>
          <w:sz w:val="16"/>
          <w:szCs w:val="16"/>
        </w:rPr>
        <w:t>.</w:t>
      </w:r>
      <w:r w:rsidRPr="004B77DE">
        <w:rPr>
          <w:rFonts w:ascii="Trebuchet MS" w:hAnsi="Trebuchet MS"/>
          <w:noProof/>
          <w:sz w:val="16"/>
          <w:szCs w:val="16"/>
        </w:rPr>
        <w:tab/>
        <w:t xml:space="preserve">Sharpe M, Shah V, Freire-Lizama T et al. Effectiveness of oral intake of Lactobacillus rhamnosus GR-1 and Lactobacillus reuteri RC-14 on Group B Streptococcus colonization during pregnancy: a midwifery-led double-blind randomized controlled pilot trial.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1CD0088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235</w:t>
      </w:r>
      <w:r w:rsidRPr="004B77DE">
        <w:rPr>
          <w:rFonts w:ascii="Trebuchet MS" w:hAnsi="Trebuchet MS"/>
          <w:noProof/>
          <w:sz w:val="16"/>
          <w:szCs w:val="16"/>
        </w:rPr>
        <w:t>.</w:t>
      </w:r>
      <w:r w:rsidRPr="004B77DE">
        <w:rPr>
          <w:rFonts w:ascii="Trebuchet MS" w:hAnsi="Trebuchet MS"/>
          <w:noProof/>
          <w:sz w:val="16"/>
          <w:szCs w:val="16"/>
        </w:rPr>
        <w:tab/>
        <w:t xml:space="preserve">Olsen P, Williamson M, Traynor V et al. The impact of oral probiotics on vaginal Group B Streptococcal colonisation rates in pregnant women: A pilot randomised control study. </w:t>
      </w:r>
      <w:r w:rsidRPr="004B77DE">
        <w:rPr>
          <w:rFonts w:ascii="Trebuchet MS" w:hAnsi="Trebuchet MS"/>
          <w:i/>
          <w:noProof/>
          <w:sz w:val="16"/>
          <w:szCs w:val="16"/>
        </w:rPr>
        <w:t>Women and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5A9E773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236</w:t>
      </w:r>
      <w:r w:rsidRPr="004B77DE">
        <w:rPr>
          <w:rFonts w:ascii="Trebuchet MS" w:hAnsi="Trebuchet MS"/>
          <w:noProof/>
          <w:sz w:val="16"/>
          <w:szCs w:val="16"/>
        </w:rPr>
        <w:t>.</w:t>
      </w:r>
      <w:r w:rsidRPr="004B77DE">
        <w:rPr>
          <w:rFonts w:ascii="Trebuchet MS" w:hAnsi="Trebuchet MS"/>
          <w:noProof/>
          <w:sz w:val="16"/>
          <w:szCs w:val="16"/>
        </w:rPr>
        <w:tab/>
        <w:t xml:space="preserve">Lindsay KL, Kennelly M, Culliton M et al. Probiotics in obese pregnancy do not reduce maternal fasting glucose: a double-blind, placebo-controlled, randomized trial (Probiotics in Pregnancy Study). </w:t>
      </w:r>
      <w:r w:rsidRPr="004B77DE">
        <w:rPr>
          <w:rFonts w:ascii="Trebuchet MS" w:hAnsi="Trebuchet MS"/>
          <w:i/>
          <w:noProof/>
          <w:sz w:val="16"/>
          <w:szCs w:val="16"/>
        </w:rPr>
        <w:t>Am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1432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BCD564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237</w:t>
      </w:r>
      <w:r w:rsidRPr="004B77DE">
        <w:rPr>
          <w:rFonts w:ascii="Trebuchet MS" w:hAnsi="Trebuchet MS"/>
          <w:noProof/>
          <w:sz w:val="16"/>
          <w:szCs w:val="16"/>
        </w:rPr>
        <w:t>.</w:t>
      </w:r>
      <w:r w:rsidRPr="004B77DE">
        <w:rPr>
          <w:rFonts w:ascii="Trebuchet MS" w:hAnsi="Trebuchet MS"/>
          <w:noProof/>
          <w:sz w:val="16"/>
          <w:szCs w:val="16"/>
        </w:rPr>
        <w:tab/>
        <w:t xml:space="preserve">Wickens KL, Barthow CA, Murphy R et al. Early pregnancy probiotic supplementation with Lactobacillus rhamnosus HN001 may reduce the prevalence of gestational diabetes mellitus: a randomised controlled trial.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117</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804</w:t>
      </w:r>
      <w:r w:rsidRPr="004B77DE">
        <w:rPr>
          <w:rFonts w:ascii="Trebuchet MS" w:hAnsi="Trebuchet MS"/>
          <w:noProof/>
          <w:sz w:val="16"/>
          <w:szCs w:val="16"/>
        </w:rPr>
        <w:t>-</w:t>
      </w:r>
      <w:r w:rsidRPr="004B77DE">
        <w:rPr>
          <w:rFonts w:ascii="Trebuchet MS" w:eastAsia="Calibri" w:hAnsi="Trebuchet MS" w:cs="Calibri"/>
          <w:noProof/>
          <w:sz w:val="16"/>
          <w:szCs w:val="16"/>
        </w:rPr>
        <w:t>13</w:t>
      </w:r>
      <w:r w:rsidRPr="004B77DE">
        <w:rPr>
          <w:rFonts w:ascii="Trebuchet MS" w:hAnsi="Trebuchet MS"/>
          <w:noProof/>
          <w:sz w:val="16"/>
          <w:szCs w:val="16"/>
        </w:rPr>
        <w:t>.</w:t>
      </w:r>
    </w:p>
    <w:p w14:paraId="5FCF8E3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238</w:t>
      </w:r>
      <w:r w:rsidRPr="004B77DE">
        <w:rPr>
          <w:rFonts w:ascii="Trebuchet MS" w:hAnsi="Trebuchet MS"/>
          <w:noProof/>
          <w:sz w:val="16"/>
          <w:szCs w:val="16"/>
        </w:rPr>
        <w:t>.</w:t>
      </w:r>
      <w:r w:rsidRPr="004B77DE">
        <w:rPr>
          <w:rFonts w:ascii="Trebuchet MS" w:hAnsi="Trebuchet MS"/>
          <w:noProof/>
          <w:sz w:val="16"/>
          <w:szCs w:val="16"/>
        </w:rPr>
        <w:tab/>
        <w:t xml:space="preserve">Mastromarino P, Capobianco D, Miccheli A et al. Administration of a multistrain probiotic product (VSL#3) to women in the perinatal period differentially affects breast milk beneficial microbiota in relation to mode of delivery. </w:t>
      </w:r>
      <w:r w:rsidRPr="004B77DE">
        <w:rPr>
          <w:rFonts w:ascii="Trebuchet MS" w:hAnsi="Trebuchet MS"/>
          <w:i/>
          <w:noProof/>
          <w:sz w:val="16"/>
          <w:szCs w:val="16"/>
        </w:rPr>
        <w:t>Pharmacol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95</w:t>
      </w:r>
      <w:r w:rsidRPr="004B77DE">
        <w:rPr>
          <w:rFonts w:ascii="Trebuchet MS" w:hAnsi="Trebuchet MS"/>
          <w:noProof/>
          <w:sz w:val="16"/>
          <w:szCs w:val="16"/>
        </w:rPr>
        <w:t>-</w:t>
      </w:r>
      <w:r w:rsidRPr="004B77DE">
        <w:rPr>
          <w:rFonts w:ascii="Trebuchet MS" w:eastAsia="Calibri" w:hAnsi="Trebuchet MS" w:cs="Calibri"/>
          <w:noProof/>
          <w:sz w:val="16"/>
          <w:szCs w:val="16"/>
        </w:rPr>
        <w:t>96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w:t>
      </w:r>
      <w:r w:rsidRPr="004B77DE">
        <w:rPr>
          <w:rFonts w:ascii="Trebuchet MS" w:hAnsi="Trebuchet MS"/>
          <w:noProof/>
          <w:sz w:val="16"/>
          <w:szCs w:val="16"/>
        </w:rPr>
        <w:t>-</w:t>
      </w:r>
      <w:r w:rsidRPr="004B77DE">
        <w:rPr>
          <w:rFonts w:ascii="Trebuchet MS" w:eastAsia="Calibri" w:hAnsi="Trebuchet MS" w:cs="Calibri"/>
          <w:noProof/>
          <w:sz w:val="16"/>
          <w:szCs w:val="16"/>
        </w:rPr>
        <w:t>70</w:t>
      </w:r>
      <w:r w:rsidRPr="004B77DE">
        <w:rPr>
          <w:rFonts w:ascii="Trebuchet MS" w:hAnsi="Trebuchet MS"/>
          <w:noProof/>
          <w:sz w:val="16"/>
          <w:szCs w:val="16"/>
        </w:rPr>
        <w:t>.</w:t>
      </w:r>
    </w:p>
    <w:p w14:paraId="7BD84DB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239</w:t>
      </w:r>
      <w:r w:rsidRPr="004B77DE">
        <w:rPr>
          <w:rFonts w:ascii="Trebuchet MS" w:hAnsi="Trebuchet MS"/>
          <w:noProof/>
          <w:sz w:val="16"/>
          <w:szCs w:val="16"/>
        </w:rPr>
        <w:t>.</w:t>
      </w:r>
      <w:r w:rsidRPr="004B77DE">
        <w:rPr>
          <w:rFonts w:ascii="Trebuchet MS" w:hAnsi="Trebuchet MS"/>
          <w:noProof/>
          <w:sz w:val="16"/>
          <w:szCs w:val="16"/>
        </w:rPr>
        <w:tab/>
        <w:t xml:space="preserve">Krauss-Silva L, Moreira ME, Alves MB et al. A randomised controlled trial of probiotics for the prevention of spontaneous preterm delivery associated with bacterial vaginosis: preliminary results. </w:t>
      </w:r>
      <w:r w:rsidRPr="004B77DE">
        <w:rPr>
          <w:rFonts w:ascii="Trebuchet MS" w:hAnsi="Trebuchet MS"/>
          <w:i/>
          <w:noProof/>
          <w:sz w:val="16"/>
          <w:szCs w:val="16"/>
        </w:rPr>
        <w:t>Trials</w:t>
      </w:r>
      <w:r w:rsidRPr="004B77DE">
        <w:rPr>
          <w:rFonts w:ascii="Trebuchet MS" w:hAnsi="Trebuchet MS"/>
          <w:noProof/>
          <w:sz w:val="16"/>
          <w:szCs w:val="16"/>
        </w:rPr>
        <w:t>. 2011; 12: 239.</w:t>
      </w:r>
    </w:p>
    <w:p w14:paraId="7FE9E25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240</w:t>
      </w:r>
      <w:r w:rsidRPr="004B77DE">
        <w:rPr>
          <w:rFonts w:ascii="Trebuchet MS" w:hAnsi="Trebuchet MS"/>
          <w:noProof/>
          <w:sz w:val="16"/>
          <w:szCs w:val="16"/>
        </w:rPr>
        <w:t>.</w:t>
      </w:r>
      <w:r w:rsidRPr="004B77DE">
        <w:rPr>
          <w:rFonts w:ascii="Trebuchet MS" w:hAnsi="Trebuchet MS"/>
          <w:noProof/>
          <w:sz w:val="16"/>
          <w:szCs w:val="16"/>
        </w:rPr>
        <w:tab/>
        <w:t xml:space="preserve">Laitinen K, Poussa T, Isolauri E et al. Probiotics and dietary counselling contribute to glucose regulation during and after pregnancy: a randomised controlled trial. </w:t>
      </w:r>
      <w:r w:rsidRPr="004B77DE">
        <w:rPr>
          <w:rFonts w:ascii="Trebuchet MS" w:hAnsi="Trebuchet MS"/>
          <w:i/>
          <w:noProof/>
          <w:sz w:val="16"/>
          <w:szCs w:val="16"/>
        </w:rPr>
        <w:t>Br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101</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1679</w:t>
      </w:r>
      <w:r w:rsidRPr="004B77DE">
        <w:rPr>
          <w:rFonts w:ascii="Trebuchet MS" w:hAnsi="Trebuchet MS"/>
          <w:noProof/>
          <w:sz w:val="16"/>
          <w:szCs w:val="16"/>
        </w:rPr>
        <w:t>-</w:t>
      </w:r>
      <w:r w:rsidRPr="004B77DE">
        <w:rPr>
          <w:rFonts w:ascii="Trebuchet MS" w:eastAsia="Calibri" w:hAnsi="Trebuchet MS" w:cs="Calibri"/>
          <w:noProof/>
          <w:sz w:val="16"/>
          <w:szCs w:val="16"/>
        </w:rPr>
        <w:t>87</w:t>
      </w:r>
      <w:r w:rsidRPr="004B77DE">
        <w:rPr>
          <w:rFonts w:ascii="Trebuchet MS" w:hAnsi="Trebuchet MS"/>
          <w:noProof/>
          <w:sz w:val="16"/>
          <w:szCs w:val="16"/>
        </w:rPr>
        <w:t>.</w:t>
      </w:r>
    </w:p>
    <w:p w14:paraId="341B272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241</w:t>
      </w:r>
      <w:r w:rsidRPr="004B77DE">
        <w:rPr>
          <w:rFonts w:ascii="Trebuchet MS" w:hAnsi="Trebuchet MS"/>
          <w:noProof/>
          <w:sz w:val="16"/>
          <w:szCs w:val="16"/>
        </w:rPr>
        <w:t>.</w:t>
      </w:r>
      <w:r w:rsidRPr="004B77DE">
        <w:rPr>
          <w:rFonts w:ascii="Trebuchet MS" w:hAnsi="Trebuchet MS"/>
          <w:noProof/>
          <w:sz w:val="16"/>
          <w:szCs w:val="16"/>
        </w:rPr>
        <w:tab/>
        <w:t xml:space="preserve">Lindsay KL, Brennan L, Kennelly MA et al. Impact of probiotics in women with gestational diabetes mellitus on metabolic health: a randomized controlled trial. </w:t>
      </w:r>
      <w:r w:rsidRPr="004B77DE">
        <w:rPr>
          <w:rFonts w:ascii="Trebuchet MS" w:hAnsi="Trebuchet MS"/>
          <w:i/>
          <w:noProof/>
          <w:sz w:val="16"/>
          <w:szCs w:val="16"/>
        </w:rPr>
        <w:t>Am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w:t>
      </w:r>
    </w:p>
    <w:p w14:paraId="0A3ACB0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242</w:t>
      </w:r>
      <w:r w:rsidRPr="004B77DE">
        <w:rPr>
          <w:rFonts w:ascii="Trebuchet MS" w:hAnsi="Trebuchet MS"/>
          <w:noProof/>
          <w:sz w:val="16"/>
          <w:szCs w:val="16"/>
        </w:rPr>
        <w:t>.</w:t>
      </w:r>
      <w:r w:rsidRPr="004B77DE">
        <w:rPr>
          <w:rFonts w:ascii="Trebuchet MS" w:hAnsi="Trebuchet MS"/>
          <w:noProof/>
          <w:sz w:val="16"/>
          <w:szCs w:val="16"/>
        </w:rPr>
        <w:tab/>
        <w:t xml:space="preserve">Karamali M, Dadkhah F, Sadrkhanlou M et al. Effects of probiotic supplementation on glycaemic control and lipid profiles in gestational diabetes: A randomized, double-blind, placebo-controlled trial. </w:t>
      </w:r>
      <w:r w:rsidRPr="004B77DE">
        <w:rPr>
          <w:rFonts w:ascii="Trebuchet MS" w:hAnsi="Trebuchet MS"/>
          <w:i/>
          <w:noProof/>
          <w:sz w:val="16"/>
          <w:szCs w:val="16"/>
        </w:rPr>
        <w:t>Diabetes Metab</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234</w:t>
      </w:r>
      <w:r w:rsidRPr="004B77DE">
        <w:rPr>
          <w:rFonts w:ascii="Trebuchet MS" w:hAnsi="Trebuchet MS"/>
          <w:noProof/>
          <w:sz w:val="16"/>
          <w:szCs w:val="16"/>
        </w:rPr>
        <w:t>-</w:t>
      </w:r>
      <w:r w:rsidRPr="004B77DE">
        <w:rPr>
          <w:rFonts w:ascii="Trebuchet MS" w:eastAsia="Calibri" w:hAnsi="Trebuchet MS" w:cs="Calibri"/>
          <w:noProof/>
          <w:sz w:val="16"/>
          <w:szCs w:val="16"/>
        </w:rPr>
        <w:t>41</w:t>
      </w:r>
      <w:r w:rsidRPr="004B77DE">
        <w:rPr>
          <w:rFonts w:ascii="Trebuchet MS" w:hAnsi="Trebuchet MS"/>
          <w:noProof/>
          <w:sz w:val="16"/>
          <w:szCs w:val="16"/>
        </w:rPr>
        <w:t>.</w:t>
      </w:r>
    </w:p>
    <w:p w14:paraId="3ED4C2B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243</w:t>
      </w:r>
      <w:r w:rsidRPr="004B77DE">
        <w:rPr>
          <w:rFonts w:ascii="Trebuchet MS" w:hAnsi="Trebuchet MS"/>
          <w:noProof/>
          <w:sz w:val="16"/>
          <w:szCs w:val="16"/>
        </w:rPr>
        <w:t>.</w:t>
      </w:r>
      <w:r w:rsidRPr="004B77DE">
        <w:rPr>
          <w:rFonts w:ascii="Trebuchet MS" w:hAnsi="Trebuchet MS"/>
          <w:noProof/>
          <w:sz w:val="16"/>
          <w:szCs w:val="16"/>
        </w:rPr>
        <w:tab/>
        <w:t xml:space="preserve">Badehnoosh B, Karamali M, Zarrati M et al. The effects of probiotic supplementation on biomarkers of inflammation, oxidative stress and pregnancy outcomes in gestational diabetes.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1128</w:t>
      </w:r>
      <w:r w:rsidRPr="004B77DE">
        <w:rPr>
          <w:rFonts w:ascii="Trebuchet MS" w:hAnsi="Trebuchet MS"/>
          <w:noProof/>
          <w:sz w:val="16"/>
          <w:szCs w:val="16"/>
        </w:rPr>
        <w:t>-</w:t>
      </w:r>
      <w:r w:rsidRPr="004B77DE">
        <w:rPr>
          <w:rFonts w:ascii="Trebuchet MS" w:eastAsia="Calibri" w:hAnsi="Trebuchet MS" w:cs="Calibri"/>
          <w:noProof/>
          <w:sz w:val="16"/>
          <w:szCs w:val="16"/>
        </w:rPr>
        <w:t>36</w:t>
      </w:r>
      <w:r w:rsidRPr="004B77DE">
        <w:rPr>
          <w:rFonts w:ascii="Trebuchet MS" w:hAnsi="Trebuchet MS"/>
          <w:noProof/>
          <w:sz w:val="16"/>
          <w:szCs w:val="16"/>
        </w:rPr>
        <w:t>.</w:t>
      </w:r>
    </w:p>
    <w:p w14:paraId="18DB456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244</w:t>
      </w:r>
      <w:r w:rsidRPr="004B77DE">
        <w:rPr>
          <w:rFonts w:ascii="Trebuchet MS" w:hAnsi="Trebuchet MS"/>
          <w:noProof/>
          <w:sz w:val="16"/>
          <w:szCs w:val="16"/>
        </w:rPr>
        <w:t>.</w:t>
      </w:r>
      <w:r w:rsidRPr="004B77DE">
        <w:rPr>
          <w:rFonts w:ascii="Trebuchet MS" w:hAnsi="Trebuchet MS"/>
          <w:noProof/>
          <w:sz w:val="16"/>
          <w:szCs w:val="16"/>
        </w:rPr>
        <w:tab/>
        <w:t xml:space="preserve">Dolatkhah N, Hajifaraji M, Abbasalizadeh F et al. Is there a value for probiotic supplements in gestational diabetes mellitus? A randomized clinical trial. </w:t>
      </w:r>
      <w:r w:rsidRPr="004B77DE">
        <w:rPr>
          <w:rFonts w:ascii="Trebuchet MS" w:hAnsi="Trebuchet MS"/>
          <w:i/>
          <w:noProof/>
          <w:sz w:val="16"/>
          <w:szCs w:val="16"/>
        </w:rPr>
        <w:t>J Health Popul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02F1824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245</w:t>
      </w:r>
      <w:r w:rsidRPr="004B77DE">
        <w:rPr>
          <w:rFonts w:ascii="Trebuchet MS" w:hAnsi="Trebuchet MS"/>
          <w:noProof/>
          <w:sz w:val="16"/>
          <w:szCs w:val="16"/>
        </w:rPr>
        <w:t>.</w:t>
      </w:r>
      <w:r w:rsidRPr="004B77DE">
        <w:rPr>
          <w:rFonts w:ascii="Trebuchet MS" w:hAnsi="Trebuchet MS"/>
          <w:noProof/>
          <w:sz w:val="16"/>
          <w:szCs w:val="16"/>
        </w:rPr>
        <w:tab/>
        <w:t xml:space="preserve">Jafarnejad S, Saremi S, Jafarnejad F et al. Effects of a Multispecies Probiotic Mixture on Glycemic Control and Inflammatory Status in Women with Gestational Diabetes: A Randomized Controlled Clinical Trial. </w:t>
      </w:r>
      <w:r w:rsidRPr="004B77DE">
        <w:rPr>
          <w:rFonts w:ascii="Trebuchet MS" w:hAnsi="Trebuchet MS"/>
          <w:i/>
          <w:noProof/>
          <w:sz w:val="16"/>
          <w:szCs w:val="16"/>
        </w:rPr>
        <w:t>J Nutr Metab</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5190846</w:t>
      </w:r>
      <w:r w:rsidRPr="004B77DE">
        <w:rPr>
          <w:rFonts w:ascii="Trebuchet MS" w:hAnsi="Trebuchet MS"/>
          <w:noProof/>
          <w:sz w:val="16"/>
          <w:szCs w:val="16"/>
        </w:rPr>
        <w:t>.</w:t>
      </w:r>
    </w:p>
    <w:p w14:paraId="3F17A57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246</w:t>
      </w:r>
      <w:r w:rsidRPr="004B77DE">
        <w:rPr>
          <w:rFonts w:ascii="Trebuchet MS" w:hAnsi="Trebuchet MS"/>
          <w:noProof/>
          <w:sz w:val="16"/>
          <w:szCs w:val="16"/>
        </w:rPr>
        <w:t>.</w:t>
      </w:r>
      <w:r w:rsidRPr="004B77DE">
        <w:rPr>
          <w:rFonts w:ascii="Trebuchet MS" w:hAnsi="Trebuchet MS"/>
          <w:noProof/>
          <w:sz w:val="16"/>
          <w:szCs w:val="16"/>
        </w:rPr>
        <w:tab/>
        <w:t xml:space="preserve">Abrahamsson TR, Jakobsson T, Bottcher MF et al. Probiotics in prevention of IgE-associated eczema: a double-blind, randomized, placebo-controlled trial. </w:t>
      </w:r>
      <w:r w:rsidRPr="004B77DE">
        <w:rPr>
          <w:rFonts w:ascii="Trebuchet MS" w:hAnsi="Trebuchet MS"/>
          <w:i/>
          <w:noProof/>
          <w:sz w:val="16"/>
          <w:szCs w:val="16"/>
        </w:rPr>
        <w:t>J Allergy Clin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1174</w:t>
      </w:r>
      <w:r w:rsidRPr="004B77DE">
        <w:rPr>
          <w:rFonts w:ascii="Trebuchet MS" w:hAnsi="Trebuchet MS"/>
          <w:noProof/>
          <w:sz w:val="16"/>
          <w:szCs w:val="16"/>
        </w:rPr>
        <w:t>-</w:t>
      </w:r>
      <w:r w:rsidRPr="004B77DE">
        <w:rPr>
          <w:rFonts w:ascii="Trebuchet MS" w:eastAsia="Calibri" w:hAnsi="Trebuchet MS" w:cs="Calibri"/>
          <w:noProof/>
          <w:sz w:val="16"/>
          <w:szCs w:val="16"/>
        </w:rPr>
        <w:t>80</w:t>
      </w:r>
      <w:r w:rsidRPr="004B77DE">
        <w:rPr>
          <w:rFonts w:ascii="Trebuchet MS" w:hAnsi="Trebuchet MS"/>
          <w:noProof/>
          <w:sz w:val="16"/>
          <w:szCs w:val="16"/>
        </w:rPr>
        <w:t>.</w:t>
      </w:r>
    </w:p>
    <w:p w14:paraId="1CAED2D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247</w:t>
      </w:r>
      <w:r w:rsidRPr="004B77DE">
        <w:rPr>
          <w:rFonts w:ascii="Trebuchet MS" w:hAnsi="Trebuchet MS"/>
          <w:noProof/>
          <w:sz w:val="16"/>
          <w:szCs w:val="16"/>
        </w:rPr>
        <w:t>.</w:t>
      </w:r>
      <w:r w:rsidRPr="004B77DE">
        <w:rPr>
          <w:rFonts w:ascii="Trebuchet MS" w:hAnsi="Trebuchet MS"/>
          <w:noProof/>
          <w:sz w:val="16"/>
          <w:szCs w:val="16"/>
        </w:rPr>
        <w:tab/>
        <w:t xml:space="preserve">Boyle RJ, Ismail IH, Kivivuori S et al. Lactobacillus GG treatment during pregnancy for the prevention of eczema: a randomized controlled trial. </w:t>
      </w:r>
      <w:r w:rsidRPr="004B77DE">
        <w:rPr>
          <w:rFonts w:ascii="Trebuchet MS" w:hAnsi="Trebuchet MS"/>
          <w:i/>
          <w:noProof/>
          <w:sz w:val="16"/>
          <w:szCs w:val="16"/>
        </w:rPr>
        <w:t>Allergy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509</w:t>
      </w:r>
      <w:r w:rsidRPr="004B77DE">
        <w:rPr>
          <w:rFonts w:ascii="Trebuchet MS" w:hAnsi="Trebuchet MS"/>
          <w:noProof/>
          <w:sz w:val="16"/>
          <w:szCs w:val="16"/>
        </w:rPr>
        <w:t>-</w:t>
      </w:r>
      <w:r w:rsidRPr="004B77DE">
        <w:rPr>
          <w:rFonts w:ascii="Trebuchet MS" w:eastAsia="Calibri" w:hAnsi="Trebuchet MS" w:cs="Calibri"/>
          <w:noProof/>
          <w:sz w:val="16"/>
          <w:szCs w:val="16"/>
        </w:rPr>
        <w:t>16</w:t>
      </w:r>
      <w:r w:rsidRPr="004B77DE">
        <w:rPr>
          <w:rFonts w:ascii="Trebuchet MS" w:hAnsi="Trebuchet MS"/>
          <w:noProof/>
          <w:sz w:val="16"/>
          <w:szCs w:val="16"/>
        </w:rPr>
        <w:t>.</w:t>
      </w:r>
    </w:p>
    <w:p w14:paraId="2813E8A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248</w:t>
      </w:r>
      <w:r w:rsidRPr="004B77DE">
        <w:rPr>
          <w:rFonts w:ascii="Trebuchet MS" w:hAnsi="Trebuchet MS"/>
          <w:noProof/>
          <w:sz w:val="16"/>
          <w:szCs w:val="16"/>
        </w:rPr>
        <w:t>.</w:t>
      </w:r>
      <w:r w:rsidRPr="004B77DE">
        <w:rPr>
          <w:rFonts w:ascii="Trebuchet MS" w:hAnsi="Trebuchet MS"/>
          <w:noProof/>
          <w:sz w:val="16"/>
          <w:szCs w:val="16"/>
        </w:rPr>
        <w:tab/>
        <w:t xml:space="preserve">Kalliomaki M, Salminen S, Arvilommi H et al. Probiotics in primary prevention of atopic disease: a randomised placebo-controlled trial. </w:t>
      </w:r>
      <w:r w:rsidRPr="004B77DE">
        <w:rPr>
          <w:rFonts w:ascii="Trebuchet MS" w:hAnsi="Trebuchet MS"/>
          <w:i/>
          <w:noProof/>
          <w:sz w:val="16"/>
          <w:szCs w:val="16"/>
        </w:rPr>
        <w:t>Lancet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357</w:t>
      </w:r>
      <w:r w:rsidRPr="004B77DE">
        <w:rPr>
          <w:rFonts w:ascii="Trebuchet MS" w:hAnsi="Trebuchet MS"/>
          <w:noProof/>
          <w:sz w:val="16"/>
          <w:szCs w:val="16"/>
        </w:rPr>
        <w:t>(</w:t>
      </w:r>
      <w:r w:rsidRPr="004B77DE">
        <w:rPr>
          <w:rFonts w:ascii="Trebuchet MS" w:eastAsia="Calibri" w:hAnsi="Trebuchet MS" w:cs="Calibri"/>
          <w:noProof/>
          <w:sz w:val="16"/>
          <w:szCs w:val="16"/>
        </w:rPr>
        <w:t>9262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1076</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0B2C148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249</w:t>
      </w:r>
      <w:r w:rsidRPr="004B77DE">
        <w:rPr>
          <w:rFonts w:ascii="Trebuchet MS" w:hAnsi="Trebuchet MS"/>
          <w:noProof/>
          <w:sz w:val="16"/>
          <w:szCs w:val="16"/>
        </w:rPr>
        <w:t>.</w:t>
      </w:r>
      <w:r w:rsidRPr="004B77DE">
        <w:rPr>
          <w:rFonts w:ascii="Trebuchet MS" w:hAnsi="Trebuchet MS"/>
          <w:noProof/>
          <w:sz w:val="16"/>
          <w:szCs w:val="16"/>
        </w:rPr>
        <w:tab/>
        <w:t xml:space="preserve">Kim JY, Kwon JH, Ahn SH et al. Effect of probiotic mix (Bifidobacterium bifidum, Bifidobacterium lactis, Lactobacillus acidophilus) in the primary prevention of eczema: a double-blind, randomized, placebo-controlled trial. </w:t>
      </w:r>
      <w:r w:rsidRPr="004B77DE">
        <w:rPr>
          <w:rFonts w:ascii="Trebuchet MS" w:hAnsi="Trebuchet MS"/>
          <w:i/>
          <w:noProof/>
          <w:sz w:val="16"/>
          <w:szCs w:val="16"/>
        </w:rPr>
        <w:t>Pediatr Allergy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Pt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e386</w:t>
      </w:r>
      <w:r w:rsidRPr="004B77DE">
        <w:rPr>
          <w:rFonts w:ascii="Trebuchet MS" w:hAnsi="Trebuchet MS"/>
          <w:noProof/>
          <w:sz w:val="16"/>
          <w:szCs w:val="16"/>
        </w:rPr>
        <w:t>-</w:t>
      </w:r>
      <w:r w:rsidRPr="004B77DE">
        <w:rPr>
          <w:rFonts w:ascii="Trebuchet MS" w:eastAsia="Calibri" w:hAnsi="Trebuchet MS" w:cs="Calibri"/>
          <w:noProof/>
          <w:sz w:val="16"/>
          <w:szCs w:val="16"/>
        </w:rPr>
        <w:t>93</w:t>
      </w:r>
      <w:r w:rsidRPr="004B77DE">
        <w:rPr>
          <w:rFonts w:ascii="Trebuchet MS" w:hAnsi="Trebuchet MS"/>
          <w:noProof/>
          <w:sz w:val="16"/>
          <w:szCs w:val="16"/>
        </w:rPr>
        <w:t>.</w:t>
      </w:r>
    </w:p>
    <w:p w14:paraId="561E488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250</w:t>
      </w:r>
      <w:r w:rsidRPr="004B77DE">
        <w:rPr>
          <w:rFonts w:ascii="Trebuchet MS" w:hAnsi="Trebuchet MS"/>
          <w:noProof/>
          <w:sz w:val="16"/>
          <w:szCs w:val="16"/>
        </w:rPr>
        <w:t>.</w:t>
      </w:r>
      <w:r w:rsidRPr="004B77DE">
        <w:rPr>
          <w:rFonts w:ascii="Trebuchet MS" w:hAnsi="Trebuchet MS"/>
          <w:noProof/>
          <w:sz w:val="16"/>
          <w:szCs w:val="16"/>
        </w:rPr>
        <w:tab/>
        <w:t xml:space="preserve">Niers L, Martin R, Rijkers G et al. The effects of selected probiotic strains on the development of eczema (the PandA study). </w:t>
      </w:r>
      <w:r w:rsidRPr="004B77DE">
        <w:rPr>
          <w:rFonts w:ascii="Trebuchet MS" w:hAnsi="Trebuchet MS"/>
          <w:i/>
          <w:noProof/>
          <w:sz w:val="16"/>
          <w:szCs w:val="16"/>
        </w:rPr>
        <w:t>Allergy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1349</w:t>
      </w:r>
      <w:r w:rsidRPr="004B77DE">
        <w:rPr>
          <w:rFonts w:ascii="Trebuchet MS" w:hAnsi="Trebuchet MS"/>
          <w:noProof/>
          <w:sz w:val="16"/>
          <w:szCs w:val="16"/>
        </w:rPr>
        <w:t>-</w:t>
      </w:r>
      <w:r w:rsidRPr="004B77DE">
        <w:rPr>
          <w:rFonts w:ascii="Trebuchet MS" w:eastAsia="Calibri" w:hAnsi="Trebuchet MS" w:cs="Calibri"/>
          <w:noProof/>
          <w:sz w:val="16"/>
          <w:szCs w:val="16"/>
        </w:rPr>
        <w:t>58</w:t>
      </w:r>
      <w:r w:rsidRPr="004B77DE">
        <w:rPr>
          <w:rFonts w:ascii="Trebuchet MS" w:hAnsi="Trebuchet MS"/>
          <w:noProof/>
          <w:sz w:val="16"/>
          <w:szCs w:val="16"/>
        </w:rPr>
        <w:t>.</w:t>
      </w:r>
    </w:p>
    <w:p w14:paraId="45DC932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251</w:t>
      </w:r>
      <w:r w:rsidRPr="004B77DE">
        <w:rPr>
          <w:rFonts w:ascii="Trebuchet MS" w:hAnsi="Trebuchet MS"/>
          <w:noProof/>
          <w:sz w:val="16"/>
          <w:szCs w:val="16"/>
        </w:rPr>
        <w:t>.</w:t>
      </w:r>
      <w:r w:rsidRPr="004B77DE">
        <w:rPr>
          <w:rFonts w:ascii="Trebuchet MS" w:hAnsi="Trebuchet MS"/>
          <w:noProof/>
          <w:sz w:val="16"/>
          <w:szCs w:val="16"/>
        </w:rPr>
        <w:tab/>
        <w:t xml:space="preserve">Rautava S, Kainonen E, Salminen S et al. Maternal probiotic supplementation during pregnancy and breast-feeding reduces the risk of eczema in the infant. </w:t>
      </w:r>
      <w:r w:rsidRPr="004B77DE">
        <w:rPr>
          <w:rFonts w:ascii="Trebuchet MS" w:hAnsi="Trebuchet MS"/>
          <w:i/>
          <w:noProof/>
          <w:sz w:val="16"/>
          <w:szCs w:val="16"/>
        </w:rPr>
        <w:t>J Allergy Clin Immunol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130</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1355</w:t>
      </w:r>
      <w:r w:rsidRPr="004B77DE">
        <w:rPr>
          <w:rFonts w:ascii="Trebuchet MS" w:hAnsi="Trebuchet MS"/>
          <w:noProof/>
          <w:sz w:val="16"/>
          <w:szCs w:val="16"/>
        </w:rPr>
        <w:t>-</w:t>
      </w:r>
      <w:r w:rsidRPr="004B77DE">
        <w:rPr>
          <w:rFonts w:ascii="Trebuchet MS" w:eastAsia="Calibri" w:hAnsi="Trebuchet MS" w:cs="Calibri"/>
          <w:noProof/>
          <w:sz w:val="16"/>
          <w:szCs w:val="16"/>
        </w:rPr>
        <w:t>60</w:t>
      </w:r>
      <w:r w:rsidRPr="004B77DE">
        <w:rPr>
          <w:rFonts w:ascii="Trebuchet MS" w:hAnsi="Trebuchet MS"/>
          <w:noProof/>
          <w:sz w:val="16"/>
          <w:szCs w:val="16"/>
        </w:rPr>
        <w:t>.</w:t>
      </w:r>
    </w:p>
    <w:p w14:paraId="78BD2FA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252</w:t>
      </w:r>
      <w:r w:rsidRPr="004B77DE">
        <w:rPr>
          <w:rFonts w:ascii="Trebuchet MS" w:hAnsi="Trebuchet MS"/>
          <w:noProof/>
          <w:sz w:val="16"/>
          <w:szCs w:val="16"/>
        </w:rPr>
        <w:t>.</w:t>
      </w:r>
      <w:r w:rsidRPr="004B77DE">
        <w:rPr>
          <w:rFonts w:ascii="Trebuchet MS" w:hAnsi="Trebuchet MS"/>
          <w:noProof/>
          <w:sz w:val="16"/>
          <w:szCs w:val="16"/>
        </w:rPr>
        <w:tab/>
        <w:t xml:space="preserve">Dotterud CK, Storro O, Johnsen R et al. Probiotics in pregnant women to prevent allergic disease: a randomized, double-blind trial. </w:t>
      </w:r>
      <w:r w:rsidRPr="004B77DE">
        <w:rPr>
          <w:rFonts w:ascii="Trebuchet MS" w:hAnsi="Trebuchet MS"/>
          <w:i/>
          <w:noProof/>
          <w:sz w:val="16"/>
          <w:szCs w:val="16"/>
        </w:rPr>
        <w:t>Br J Dermatol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163</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616</w:t>
      </w:r>
      <w:r w:rsidRPr="004B77DE">
        <w:rPr>
          <w:rFonts w:ascii="Trebuchet MS" w:hAnsi="Trebuchet MS"/>
          <w:noProof/>
          <w:sz w:val="16"/>
          <w:szCs w:val="16"/>
        </w:rPr>
        <w:t>-</w:t>
      </w:r>
      <w:r w:rsidRPr="004B77DE">
        <w:rPr>
          <w:rFonts w:ascii="Trebuchet MS" w:eastAsia="Calibri" w:hAnsi="Trebuchet MS" w:cs="Calibri"/>
          <w:noProof/>
          <w:sz w:val="16"/>
          <w:szCs w:val="16"/>
        </w:rPr>
        <w:t>23</w:t>
      </w:r>
      <w:r w:rsidRPr="004B77DE">
        <w:rPr>
          <w:rFonts w:ascii="Trebuchet MS" w:hAnsi="Trebuchet MS"/>
          <w:noProof/>
          <w:sz w:val="16"/>
          <w:szCs w:val="16"/>
        </w:rPr>
        <w:t>.</w:t>
      </w:r>
    </w:p>
    <w:p w14:paraId="0AA4F2A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253</w:t>
      </w:r>
      <w:r w:rsidRPr="004B77DE">
        <w:rPr>
          <w:rFonts w:ascii="Trebuchet MS" w:hAnsi="Trebuchet MS"/>
          <w:noProof/>
          <w:sz w:val="16"/>
          <w:szCs w:val="16"/>
        </w:rPr>
        <w:t>.</w:t>
      </w:r>
      <w:r w:rsidRPr="004B77DE">
        <w:rPr>
          <w:rFonts w:ascii="Trebuchet MS" w:hAnsi="Trebuchet MS"/>
          <w:noProof/>
          <w:sz w:val="16"/>
          <w:szCs w:val="16"/>
        </w:rPr>
        <w:tab/>
        <w:t xml:space="preserve">Frawley J, Adams J, Steel A et al. Women's use and self-prescription of herbal medicine during pregnancy: An examination of 1,835 pregnant women. </w:t>
      </w:r>
      <w:r w:rsidRPr="004B77DE">
        <w:rPr>
          <w:rFonts w:ascii="Trebuchet MS" w:hAnsi="Trebuchet MS"/>
          <w:i/>
          <w:noProof/>
          <w:sz w:val="16"/>
          <w:szCs w:val="16"/>
        </w:rPr>
        <w:t>Womens Health Issues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396</w:t>
      </w:r>
      <w:r w:rsidRPr="004B77DE">
        <w:rPr>
          <w:rFonts w:ascii="Trebuchet MS" w:hAnsi="Trebuchet MS"/>
          <w:noProof/>
          <w:sz w:val="16"/>
          <w:szCs w:val="16"/>
        </w:rPr>
        <w:t>-</w:t>
      </w:r>
      <w:r w:rsidRPr="004B77DE">
        <w:rPr>
          <w:rFonts w:ascii="Trebuchet MS" w:eastAsia="Calibri" w:hAnsi="Trebuchet MS" w:cs="Calibri"/>
          <w:noProof/>
          <w:sz w:val="16"/>
          <w:szCs w:val="16"/>
        </w:rPr>
        <w:t>402</w:t>
      </w:r>
      <w:r w:rsidRPr="004B77DE">
        <w:rPr>
          <w:rFonts w:ascii="Trebuchet MS" w:hAnsi="Trebuchet MS"/>
          <w:noProof/>
          <w:sz w:val="16"/>
          <w:szCs w:val="16"/>
        </w:rPr>
        <w:t>.</w:t>
      </w:r>
    </w:p>
    <w:p w14:paraId="3541C6A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254</w:t>
      </w:r>
      <w:r w:rsidRPr="004B77DE">
        <w:rPr>
          <w:rFonts w:ascii="Trebuchet MS" w:hAnsi="Trebuchet MS"/>
          <w:noProof/>
          <w:sz w:val="16"/>
          <w:szCs w:val="16"/>
        </w:rPr>
        <w:t>.</w:t>
      </w:r>
      <w:r w:rsidRPr="004B77DE">
        <w:rPr>
          <w:rFonts w:ascii="Trebuchet MS" w:hAnsi="Trebuchet MS"/>
          <w:noProof/>
          <w:sz w:val="16"/>
          <w:szCs w:val="16"/>
        </w:rPr>
        <w:tab/>
        <w:t xml:space="preserve">Frawley J, Sibbritt D, Broom A et al. Women's attitudes towards the use of complementary and alternative medicine products during pregnancy. </w:t>
      </w:r>
      <w:r w:rsidRPr="004B77DE">
        <w:rPr>
          <w:rFonts w:ascii="Trebuchet MS" w:hAnsi="Trebuchet MS"/>
          <w:i/>
          <w:noProof/>
          <w:sz w:val="16"/>
          <w:szCs w:val="16"/>
        </w:rPr>
        <w:t>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462</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5AE9251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255</w:t>
      </w:r>
      <w:r w:rsidRPr="004B77DE">
        <w:rPr>
          <w:rFonts w:ascii="Trebuchet MS" w:hAnsi="Trebuchet MS"/>
          <w:noProof/>
          <w:sz w:val="16"/>
          <w:szCs w:val="16"/>
        </w:rPr>
        <w:t>.</w:t>
      </w:r>
      <w:r w:rsidRPr="004B77DE">
        <w:rPr>
          <w:rFonts w:ascii="Trebuchet MS" w:hAnsi="Trebuchet MS"/>
          <w:noProof/>
          <w:sz w:val="16"/>
          <w:szCs w:val="16"/>
        </w:rPr>
        <w:tab/>
        <w:t xml:space="preserve">Bowman RL, Davis DL, Ferguson S et al. Women's motivation, perception and experience of complementary and alternative medicine in pregnancy: A meta-synthesis. </w:t>
      </w:r>
      <w:r w:rsidRPr="004B77DE">
        <w:rPr>
          <w:rFonts w:ascii="Trebuchet MS" w:hAnsi="Trebuchet MS"/>
          <w:i/>
          <w:noProof/>
          <w:sz w:val="16"/>
          <w:szCs w:val="16"/>
        </w:rPr>
        <w:t>Midwifery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w:t>
      </w:r>
      <w:r w:rsidRPr="004B77DE">
        <w:rPr>
          <w:rFonts w:ascii="Trebuchet MS" w:hAnsi="Trebuchet MS"/>
          <w:noProof/>
          <w:sz w:val="16"/>
          <w:szCs w:val="16"/>
        </w:rPr>
        <w:t>-7.</w:t>
      </w:r>
    </w:p>
    <w:p w14:paraId="201EA6B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256</w:t>
      </w:r>
      <w:r w:rsidRPr="004B77DE">
        <w:rPr>
          <w:rFonts w:ascii="Trebuchet MS" w:hAnsi="Trebuchet MS"/>
          <w:noProof/>
          <w:sz w:val="16"/>
          <w:szCs w:val="16"/>
        </w:rPr>
        <w:t>.</w:t>
      </w:r>
      <w:r w:rsidRPr="004B77DE">
        <w:rPr>
          <w:rFonts w:ascii="Trebuchet MS" w:hAnsi="Trebuchet MS"/>
          <w:noProof/>
          <w:sz w:val="16"/>
          <w:szCs w:val="16"/>
        </w:rPr>
        <w:tab/>
        <w:t xml:space="preserve">Kennedy DA, Lupattelli A, Koren G et al. Safety classification of herbal medicines used in pregnancy in a multinational study. </w:t>
      </w:r>
      <w:r w:rsidRPr="004B77DE">
        <w:rPr>
          <w:rFonts w:ascii="Trebuchet MS" w:hAnsi="Trebuchet MS"/>
          <w:i/>
          <w:noProof/>
          <w:sz w:val="16"/>
          <w:szCs w:val="16"/>
        </w:rPr>
        <w:t>BMC Complement Altern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102</w:t>
      </w:r>
      <w:r w:rsidRPr="004B77DE">
        <w:rPr>
          <w:rFonts w:ascii="Trebuchet MS" w:hAnsi="Trebuchet MS"/>
          <w:noProof/>
          <w:sz w:val="16"/>
          <w:szCs w:val="16"/>
        </w:rPr>
        <w:t>.</w:t>
      </w:r>
    </w:p>
    <w:p w14:paraId="6DE5E06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257</w:t>
      </w:r>
      <w:r w:rsidRPr="004B77DE">
        <w:rPr>
          <w:rFonts w:ascii="Trebuchet MS" w:hAnsi="Trebuchet MS"/>
          <w:noProof/>
          <w:sz w:val="16"/>
          <w:szCs w:val="16"/>
        </w:rPr>
        <w:t>.</w:t>
      </w:r>
      <w:r w:rsidRPr="004B77DE">
        <w:rPr>
          <w:rFonts w:ascii="Trebuchet MS" w:hAnsi="Trebuchet MS"/>
          <w:noProof/>
          <w:sz w:val="16"/>
          <w:szCs w:val="16"/>
        </w:rPr>
        <w:tab/>
        <w:t xml:space="preserve">Steel A, Adams J, Sibbritt D et al. Relationship between complementary and alternative medicine use and incidence of adverse birth outcomes: an examination of a nationally representative sample of 1835 Australian women. </w:t>
      </w:r>
      <w:r w:rsidRPr="004B77DE">
        <w:rPr>
          <w:rFonts w:ascii="Trebuchet MS" w:hAnsi="Trebuchet MS"/>
          <w:i/>
          <w:noProof/>
          <w:sz w:val="16"/>
          <w:szCs w:val="16"/>
        </w:rPr>
        <w:t>Midwifery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1157</w:t>
      </w:r>
      <w:r w:rsidRPr="004B77DE">
        <w:rPr>
          <w:rFonts w:ascii="Trebuchet MS" w:hAnsi="Trebuchet MS"/>
          <w:noProof/>
          <w:sz w:val="16"/>
          <w:szCs w:val="16"/>
        </w:rPr>
        <w:t>-</w:t>
      </w:r>
      <w:r w:rsidRPr="004B77DE">
        <w:rPr>
          <w:rFonts w:ascii="Trebuchet MS" w:eastAsia="Calibri" w:hAnsi="Trebuchet MS" w:cs="Calibri"/>
          <w:noProof/>
          <w:sz w:val="16"/>
          <w:szCs w:val="16"/>
        </w:rPr>
        <w:t>65</w:t>
      </w:r>
      <w:r w:rsidRPr="004B77DE">
        <w:rPr>
          <w:rFonts w:ascii="Trebuchet MS" w:hAnsi="Trebuchet MS"/>
          <w:noProof/>
          <w:sz w:val="16"/>
          <w:szCs w:val="16"/>
        </w:rPr>
        <w:t>.</w:t>
      </w:r>
    </w:p>
    <w:p w14:paraId="2E564F1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258</w:t>
      </w:r>
      <w:r w:rsidRPr="004B77DE">
        <w:rPr>
          <w:rFonts w:ascii="Trebuchet MS" w:hAnsi="Trebuchet MS"/>
          <w:noProof/>
          <w:sz w:val="16"/>
          <w:szCs w:val="16"/>
        </w:rPr>
        <w:t>.</w:t>
      </w:r>
      <w:r w:rsidRPr="004B77DE">
        <w:rPr>
          <w:rFonts w:ascii="Trebuchet MS" w:hAnsi="Trebuchet MS"/>
          <w:noProof/>
          <w:sz w:val="16"/>
          <w:szCs w:val="16"/>
        </w:rPr>
        <w:tab/>
        <w:t xml:space="preserve">Meher S, Duley L. Garlic for preventing pre-eclampsia and its complications. </w:t>
      </w:r>
      <w:r w:rsidRPr="004B77DE">
        <w:rPr>
          <w:rFonts w:ascii="Trebuchet MS" w:hAnsi="Trebuchet MS"/>
          <w:i/>
          <w:noProof/>
          <w:sz w:val="16"/>
          <w:szCs w:val="16"/>
        </w:rPr>
        <w:t>Cochrane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CD006065</w:t>
      </w:r>
      <w:r w:rsidRPr="004B77DE">
        <w:rPr>
          <w:rFonts w:ascii="Trebuchet MS" w:hAnsi="Trebuchet MS"/>
          <w:noProof/>
          <w:sz w:val="16"/>
          <w:szCs w:val="16"/>
        </w:rPr>
        <w:t>.</w:t>
      </w:r>
    </w:p>
    <w:p w14:paraId="6F9A133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259</w:t>
      </w:r>
      <w:r w:rsidRPr="004B77DE">
        <w:rPr>
          <w:rFonts w:ascii="Trebuchet MS" w:hAnsi="Trebuchet MS"/>
          <w:noProof/>
          <w:sz w:val="16"/>
          <w:szCs w:val="16"/>
        </w:rPr>
        <w:t>.</w:t>
      </w:r>
      <w:r w:rsidRPr="004B77DE">
        <w:rPr>
          <w:rFonts w:ascii="Trebuchet MS" w:hAnsi="Trebuchet MS"/>
          <w:noProof/>
          <w:sz w:val="16"/>
          <w:szCs w:val="16"/>
        </w:rPr>
        <w:tab/>
        <w:t xml:space="preserve">Aalami-Harandi R, Karamali M, Asemi Z. The favorable effects of garlic intake on metabolic profiles, hs-CRP, biomarkers of oxidative stress and pregnancy outcomes in pregnant women at risk for pre-eclampsia: randomized, double-blind, placebo-controlled trial. </w:t>
      </w:r>
      <w:r w:rsidRPr="004B77DE">
        <w:rPr>
          <w:rFonts w:ascii="Trebuchet MS" w:hAnsi="Trebuchet MS"/>
          <w:i/>
          <w:noProof/>
          <w:sz w:val="16"/>
          <w:szCs w:val="16"/>
        </w:rPr>
        <w:t>J Matern Fetal Neonatal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w:t>
      </w:r>
      <w:r w:rsidRPr="004B77DE">
        <w:rPr>
          <w:rFonts w:ascii="Trebuchet MS" w:hAnsi="Trebuchet MS"/>
          <w:noProof/>
          <w:sz w:val="16"/>
          <w:szCs w:val="16"/>
        </w:rPr>
        <w:t>(</w:t>
      </w:r>
      <w:r w:rsidRPr="004B77DE">
        <w:rPr>
          <w:rFonts w:ascii="Trebuchet MS" w:eastAsia="Calibri" w:hAnsi="Trebuchet MS" w:cs="Calibri"/>
          <w:noProof/>
          <w:sz w:val="16"/>
          <w:szCs w:val="16"/>
        </w:rPr>
        <w:t>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44F8DA4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260</w:t>
      </w:r>
      <w:r w:rsidRPr="004B77DE">
        <w:rPr>
          <w:rFonts w:ascii="Trebuchet MS" w:hAnsi="Trebuchet MS"/>
          <w:noProof/>
          <w:sz w:val="16"/>
          <w:szCs w:val="16"/>
        </w:rPr>
        <w:t>.</w:t>
      </w:r>
      <w:r w:rsidRPr="004B77DE">
        <w:rPr>
          <w:rFonts w:ascii="Trebuchet MS" w:hAnsi="Trebuchet MS"/>
          <w:noProof/>
          <w:sz w:val="16"/>
          <w:szCs w:val="16"/>
        </w:rPr>
        <w:tab/>
        <w:t xml:space="preserve">Holst L, Havnen GC, Nordeng H. Echinacea and elderberry-should they be used against upper respiratory tract infections during pregnancy? </w:t>
      </w:r>
      <w:r w:rsidRPr="004B77DE">
        <w:rPr>
          <w:rFonts w:ascii="Trebuchet MS" w:hAnsi="Trebuchet MS"/>
          <w:i/>
          <w:noProof/>
          <w:sz w:val="16"/>
          <w:szCs w:val="16"/>
        </w:rPr>
        <w:t>Front Pharmacol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p>
    <w:p w14:paraId="1E53161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261</w:t>
      </w:r>
      <w:r w:rsidRPr="004B77DE">
        <w:rPr>
          <w:rFonts w:ascii="Trebuchet MS" w:hAnsi="Trebuchet MS"/>
          <w:noProof/>
          <w:sz w:val="16"/>
          <w:szCs w:val="16"/>
        </w:rPr>
        <w:t>.</w:t>
      </w:r>
      <w:r w:rsidRPr="004B77DE">
        <w:rPr>
          <w:rFonts w:ascii="Trebuchet MS" w:hAnsi="Trebuchet MS"/>
          <w:noProof/>
          <w:sz w:val="16"/>
          <w:szCs w:val="16"/>
        </w:rPr>
        <w:tab/>
        <w:t xml:space="preserve">Heitmann K, Havnen GC, Holst L et al. Pregnancy outcomes after prenatal exposure to echinacea: the Norwegian Mother and Child Cohort Study. </w:t>
      </w:r>
      <w:r w:rsidRPr="004B77DE">
        <w:rPr>
          <w:rFonts w:ascii="Trebuchet MS" w:hAnsi="Trebuchet MS"/>
          <w:i/>
          <w:noProof/>
          <w:sz w:val="16"/>
          <w:szCs w:val="16"/>
        </w:rPr>
        <w:t>Eur J Clin Pharmacol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623</w:t>
      </w:r>
      <w:r w:rsidRPr="004B77DE">
        <w:rPr>
          <w:rFonts w:ascii="Trebuchet MS" w:hAnsi="Trebuchet MS"/>
          <w:noProof/>
          <w:sz w:val="16"/>
          <w:szCs w:val="16"/>
        </w:rPr>
        <w:t>-</w:t>
      </w:r>
      <w:r w:rsidRPr="004B77DE">
        <w:rPr>
          <w:rFonts w:ascii="Trebuchet MS" w:eastAsia="Calibri" w:hAnsi="Trebuchet MS" w:cs="Calibri"/>
          <w:noProof/>
          <w:sz w:val="16"/>
          <w:szCs w:val="16"/>
        </w:rPr>
        <w:t>30</w:t>
      </w:r>
      <w:r w:rsidRPr="004B77DE">
        <w:rPr>
          <w:rFonts w:ascii="Trebuchet MS" w:hAnsi="Trebuchet MS"/>
          <w:noProof/>
          <w:sz w:val="16"/>
          <w:szCs w:val="16"/>
        </w:rPr>
        <w:t>.</w:t>
      </w:r>
    </w:p>
    <w:p w14:paraId="2A75BD9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262</w:t>
      </w:r>
      <w:r w:rsidRPr="004B77DE">
        <w:rPr>
          <w:rFonts w:ascii="Trebuchet MS" w:hAnsi="Trebuchet MS"/>
          <w:noProof/>
          <w:sz w:val="16"/>
          <w:szCs w:val="16"/>
        </w:rPr>
        <w:t>.</w:t>
      </w:r>
      <w:r w:rsidRPr="004B77DE">
        <w:rPr>
          <w:rFonts w:ascii="Trebuchet MS" w:hAnsi="Trebuchet MS"/>
          <w:noProof/>
          <w:sz w:val="16"/>
          <w:szCs w:val="16"/>
        </w:rPr>
        <w:tab/>
        <w:t xml:space="preserve">Pour ZS, Hosseinkhani A, Asadi N et al. Double-blind randomized placebo-controlled trial on efficacy and safety of Lactuca sativa L. seeds on pregnancy-related insomnia. </w:t>
      </w:r>
      <w:r w:rsidRPr="004B77DE">
        <w:rPr>
          <w:rFonts w:ascii="Trebuchet MS" w:hAnsi="Trebuchet MS"/>
          <w:i/>
          <w:noProof/>
          <w:sz w:val="16"/>
          <w:szCs w:val="16"/>
        </w:rPr>
        <w:t>J Ethnopharmacol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176</w:t>
      </w:r>
      <w:r w:rsidRPr="004B77DE">
        <w:rPr>
          <w:rFonts w:ascii="Trebuchet MS" w:hAnsi="Trebuchet MS"/>
          <w:noProof/>
          <w:sz w:val="16"/>
          <w:szCs w:val="16"/>
        </w:rPr>
        <w:t>-</w:t>
      </w:r>
      <w:r w:rsidRPr="004B77DE">
        <w:rPr>
          <w:rFonts w:ascii="Trebuchet MS" w:eastAsia="Calibri" w:hAnsi="Trebuchet MS" w:cs="Calibri"/>
          <w:noProof/>
          <w:sz w:val="16"/>
          <w:szCs w:val="16"/>
        </w:rPr>
        <w:t>80</w:t>
      </w:r>
      <w:r w:rsidRPr="004B77DE">
        <w:rPr>
          <w:rFonts w:ascii="Trebuchet MS" w:hAnsi="Trebuchet MS"/>
          <w:noProof/>
          <w:sz w:val="16"/>
          <w:szCs w:val="16"/>
        </w:rPr>
        <w:t>.</w:t>
      </w:r>
    </w:p>
    <w:p w14:paraId="16F232F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263</w:t>
      </w:r>
      <w:r w:rsidRPr="004B77DE">
        <w:rPr>
          <w:rFonts w:ascii="Trebuchet MS" w:hAnsi="Trebuchet MS"/>
          <w:noProof/>
          <w:sz w:val="16"/>
          <w:szCs w:val="16"/>
        </w:rPr>
        <w:t>.</w:t>
      </w:r>
      <w:r w:rsidRPr="004B77DE">
        <w:rPr>
          <w:rFonts w:ascii="Trebuchet MS" w:hAnsi="Trebuchet MS"/>
          <w:noProof/>
          <w:sz w:val="16"/>
          <w:szCs w:val="16"/>
        </w:rPr>
        <w:tab/>
        <w:t xml:space="preserve">Hayman M, Short C, Reaburn P. An investigation into the exercise behaviours of regionally based Australian pregnant women. </w:t>
      </w:r>
      <w:r w:rsidRPr="004B77DE">
        <w:rPr>
          <w:rFonts w:ascii="Trebuchet MS" w:hAnsi="Trebuchet MS"/>
          <w:i/>
          <w:noProof/>
          <w:sz w:val="16"/>
          <w:szCs w:val="16"/>
        </w:rPr>
        <w:t>J Sci Med Sport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664</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0890AAA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264</w:t>
      </w:r>
      <w:r w:rsidRPr="004B77DE">
        <w:rPr>
          <w:rFonts w:ascii="Trebuchet MS" w:hAnsi="Trebuchet MS"/>
          <w:noProof/>
          <w:sz w:val="16"/>
          <w:szCs w:val="16"/>
        </w:rPr>
        <w:t>.</w:t>
      </w:r>
      <w:r w:rsidRPr="004B77DE">
        <w:rPr>
          <w:rFonts w:ascii="Trebuchet MS" w:hAnsi="Trebuchet MS"/>
          <w:noProof/>
          <w:sz w:val="16"/>
          <w:szCs w:val="16"/>
        </w:rPr>
        <w:tab/>
        <w:t xml:space="preserve">Hayman M, Reaburn P, Alley S et al. What exercise advice are women receiving from their healthcare practitioners during pregnancy? </w:t>
      </w:r>
      <w:r w:rsidRPr="004B77DE">
        <w:rPr>
          <w:rFonts w:ascii="Trebuchet MS" w:hAnsi="Trebuchet MS"/>
          <w:i/>
          <w:noProof/>
          <w:sz w:val="16"/>
          <w:szCs w:val="16"/>
        </w:rPr>
        <w:t>Women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w:t>
      </w:r>
    </w:p>
    <w:p w14:paraId="608C89A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265</w:t>
      </w:r>
      <w:r w:rsidRPr="004B77DE">
        <w:rPr>
          <w:rFonts w:ascii="Trebuchet MS" w:hAnsi="Trebuchet MS"/>
          <w:noProof/>
          <w:sz w:val="16"/>
          <w:szCs w:val="16"/>
        </w:rPr>
        <w:t>.</w:t>
      </w:r>
      <w:r w:rsidRPr="004B77DE">
        <w:rPr>
          <w:rFonts w:ascii="Trebuchet MS" w:hAnsi="Trebuchet MS"/>
          <w:noProof/>
          <w:sz w:val="16"/>
          <w:szCs w:val="16"/>
        </w:rPr>
        <w:tab/>
        <w:t xml:space="preserve">Harrison AL, Taylor NF, Shields N et al. Attitudes, barriers and enablers to physical activity in pregnant women: a systematic review. </w:t>
      </w:r>
      <w:r w:rsidRPr="004B77DE">
        <w:rPr>
          <w:rFonts w:ascii="Trebuchet MS" w:hAnsi="Trebuchet MS"/>
          <w:i/>
          <w:noProof/>
          <w:sz w:val="16"/>
          <w:szCs w:val="16"/>
        </w:rPr>
        <w:t>J Physiother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eastAsia="Calibri" w:hAnsi="Trebuchet MS" w:cs="Calibri"/>
          <w:noProof/>
          <w:sz w:val="16"/>
          <w:szCs w:val="16"/>
        </w:rPr>
        <w:t>32</w:t>
      </w:r>
      <w:r w:rsidRPr="004B77DE">
        <w:rPr>
          <w:rFonts w:ascii="Trebuchet MS" w:hAnsi="Trebuchet MS"/>
          <w:noProof/>
          <w:sz w:val="16"/>
          <w:szCs w:val="16"/>
        </w:rPr>
        <w:t>.</w:t>
      </w:r>
    </w:p>
    <w:p w14:paraId="1F18AB0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266</w:t>
      </w:r>
      <w:r w:rsidRPr="004B77DE">
        <w:rPr>
          <w:rFonts w:ascii="Trebuchet MS" w:hAnsi="Trebuchet MS"/>
          <w:noProof/>
          <w:sz w:val="16"/>
          <w:szCs w:val="16"/>
        </w:rPr>
        <w:t>.</w:t>
      </w:r>
      <w:r w:rsidRPr="004B77DE">
        <w:rPr>
          <w:rFonts w:ascii="Trebuchet MS" w:hAnsi="Trebuchet MS"/>
          <w:noProof/>
          <w:sz w:val="16"/>
          <w:szCs w:val="16"/>
        </w:rPr>
        <w:tab/>
        <w:t xml:space="preserve">Coll CV, Domingues MR, Goncalves H et al. Perceived barriers to leisure-time physical activity during pregnancy: A literature review of quantitative and qualitative evidence. </w:t>
      </w:r>
      <w:r w:rsidRPr="004B77DE">
        <w:rPr>
          <w:rFonts w:ascii="Trebuchet MS" w:hAnsi="Trebuchet MS"/>
          <w:i/>
          <w:noProof/>
          <w:sz w:val="16"/>
          <w:szCs w:val="16"/>
        </w:rPr>
        <w:t>J Sci Med Sport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2DEA512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267</w:t>
      </w:r>
      <w:r w:rsidRPr="004B77DE">
        <w:rPr>
          <w:rFonts w:ascii="Trebuchet MS" w:hAnsi="Trebuchet MS"/>
          <w:noProof/>
          <w:sz w:val="16"/>
          <w:szCs w:val="16"/>
        </w:rPr>
        <w:t>.</w:t>
      </w:r>
      <w:r w:rsidRPr="004B77DE">
        <w:rPr>
          <w:rFonts w:ascii="Trebuchet MS" w:hAnsi="Trebuchet MS"/>
          <w:noProof/>
          <w:sz w:val="16"/>
          <w:szCs w:val="16"/>
        </w:rPr>
        <w:tab/>
        <w:t xml:space="preserve">Flannery C, McHugh S, Anaba AE et al. Enablers and barriers to physical activity in overweight and obese pregnant women: an analysis informed by the theoretical domains framework and COM-B model. </w:t>
      </w:r>
      <w:r w:rsidRPr="004B77DE">
        <w:rPr>
          <w:rFonts w:ascii="Trebuchet MS" w:hAnsi="Trebuchet MS"/>
          <w:i/>
          <w:noProof/>
          <w:sz w:val="16"/>
          <w:szCs w:val="16"/>
        </w:rPr>
        <w:t>BMC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178</w:t>
      </w:r>
      <w:r w:rsidRPr="004B77DE">
        <w:rPr>
          <w:rFonts w:ascii="Trebuchet MS" w:hAnsi="Trebuchet MS"/>
          <w:noProof/>
          <w:sz w:val="16"/>
          <w:szCs w:val="16"/>
        </w:rPr>
        <w:t>.</w:t>
      </w:r>
    </w:p>
    <w:p w14:paraId="70212C7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268</w:t>
      </w:r>
      <w:r w:rsidRPr="004B77DE">
        <w:rPr>
          <w:rFonts w:ascii="Trebuchet MS" w:hAnsi="Trebuchet MS"/>
          <w:noProof/>
          <w:sz w:val="16"/>
          <w:szCs w:val="16"/>
        </w:rPr>
        <w:t>.</w:t>
      </w:r>
      <w:r w:rsidRPr="004B77DE">
        <w:rPr>
          <w:rFonts w:ascii="Trebuchet MS" w:hAnsi="Trebuchet MS"/>
          <w:noProof/>
          <w:sz w:val="16"/>
          <w:szCs w:val="16"/>
        </w:rPr>
        <w:tab/>
        <w:t xml:space="preserve">Halvorsen S, Haakstad LA, Edvardsen E et al. Effect of aerobic dance on cardiorespiratory fitness in pregnant women: a randomised controlled trial. </w:t>
      </w:r>
      <w:r w:rsidRPr="004B77DE">
        <w:rPr>
          <w:rFonts w:ascii="Trebuchet MS" w:hAnsi="Trebuchet MS"/>
          <w:i/>
          <w:noProof/>
          <w:sz w:val="16"/>
          <w:szCs w:val="16"/>
        </w:rPr>
        <w:t>Physiotherapy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4958A44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269</w:t>
      </w:r>
      <w:r w:rsidRPr="004B77DE">
        <w:rPr>
          <w:rFonts w:ascii="Trebuchet MS" w:hAnsi="Trebuchet MS"/>
          <w:noProof/>
          <w:sz w:val="16"/>
          <w:szCs w:val="16"/>
        </w:rPr>
        <w:t>.</w:t>
      </w:r>
      <w:r w:rsidRPr="004B77DE">
        <w:rPr>
          <w:rFonts w:ascii="Trebuchet MS" w:hAnsi="Trebuchet MS"/>
          <w:noProof/>
          <w:sz w:val="16"/>
          <w:szCs w:val="16"/>
        </w:rPr>
        <w:tab/>
        <w:t xml:space="preserve">Bisson M, Almeras N, Dufresne SS et al. A 12-Week Exercise Program for Pregnant Women with Obesity to Improve Physical Activity Levels: An Open Randomised Preliminary Study.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e0137742</w:t>
      </w:r>
      <w:r w:rsidRPr="004B77DE">
        <w:rPr>
          <w:rFonts w:ascii="Trebuchet MS" w:hAnsi="Trebuchet MS"/>
          <w:noProof/>
          <w:sz w:val="16"/>
          <w:szCs w:val="16"/>
        </w:rPr>
        <w:t>.</w:t>
      </w:r>
    </w:p>
    <w:p w14:paraId="7B88319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270</w:t>
      </w:r>
      <w:r w:rsidRPr="004B77DE">
        <w:rPr>
          <w:rFonts w:ascii="Trebuchet MS" w:hAnsi="Trebuchet MS"/>
          <w:noProof/>
          <w:sz w:val="16"/>
          <w:szCs w:val="16"/>
        </w:rPr>
        <w:t>.</w:t>
      </w:r>
      <w:r w:rsidRPr="004B77DE">
        <w:rPr>
          <w:rFonts w:ascii="Trebuchet MS" w:hAnsi="Trebuchet MS"/>
          <w:noProof/>
          <w:sz w:val="16"/>
          <w:szCs w:val="16"/>
        </w:rPr>
        <w:tab/>
        <w:t xml:space="preserve">de Oliveria Melo AS, Silva JL, Tavares JS et al. Effect of a physical exercise program during pregnancy on uteroplacental and fetal blood flow and fetal growth: a randomized controlled trial. </w:t>
      </w:r>
      <w:r w:rsidRPr="004B77DE">
        <w:rPr>
          <w:rFonts w:ascii="Trebuchet MS" w:hAnsi="Trebuchet MS"/>
          <w:i/>
          <w:noProof/>
          <w:sz w:val="16"/>
          <w:szCs w:val="16"/>
        </w:rPr>
        <w:t>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Pt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302</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w:t>
      </w:r>
    </w:p>
    <w:p w14:paraId="0BF486D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271</w:t>
      </w:r>
      <w:r w:rsidRPr="004B77DE">
        <w:rPr>
          <w:rFonts w:ascii="Trebuchet MS" w:hAnsi="Trebuchet MS"/>
          <w:noProof/>
          <w:sz w:val="16"/>
          <w:szCs w:val="16"/>
        </w:rPr>
        <w:t>.</w:t>
      </w:r>
      <w:r w:rsidRPr="004B77DE">
        <w:rPr>
          <w:rFonts w:ascii="Trebuchet MS" w:hAnsi="Trebuchet MS"/>
          <w:noProof/>
          <w:sz w:val="16"/>
          <w:szCs w:val="16"/>
        </w:rPr>
        <w:tab/>
        <w:t xml:space="preserve">Guelfi KJ, Ong MJ, Crisp NA et al. Regular Exercise to Prevent the Recurrence of Gestational Diabetes Mellitus: A Randomized Controlled Trial. </w:t>
      </w:r>
      <w:r w:rsidRPr="004B77DE">
        <w:rPr>
          <w:rFonts w:ascii="Trebuchet MS" w:hAnsi="Trebuchet MS"/>
          <w:i/>
          <w:noProof/>
          <w:sz w:val="16"/>
          <w:szCs w:val="16"/>
        </w:rPr>
        <w:t>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128</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819</w:t>
      </w:r>
      <w:r w:rsidRPr="004B77DE">
        <w:rPr>
          <w:rFonts w:ascii="Trebuchet MS" w:hAnsi="Trebuchet MS"/>
          <w:noProof/>
          <w:sz w:val="16"/>
          <w:szCs w:val="16"/>
        </w:rPr>
        <w:t>-</w:t>
      </w:r>
      <w:r w:rsidRPr="004B77DE">
        <w:rPr>
          <w:rFonts w:ascii="Trebuchet MS" w:eastAsia="Calibri" w:hAnsi="Trebuchet MS" w:cs="Calibri"/>
          <w:noProof/>
          <w:sz w:val="16"/>
          <w:szCs w:val="16"/>
        </w:rPr>
        <w:t>27</w:t>
      </w:r>
      <w:r w:rsidRPr="004B77DE">
        <w:rPr>
          <w:rFonts w:ascii="Trebuchet MS" w:hAnsi="Trebuchet MS"/>
          <w:noProof/>
          <w:sz w:val="16"/>
          <w:szCs w:val="16"/>
        </w:rPr>
        <w:t>.</w:t>
      </w:r>
    </w:p>
    <w:p w14:paraId="5EEC58D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272</w:t>
      </w:r>
      <w:r w:rsidRPr="004B77DE">
        <w:rPr>
          <w:rFonts w:ascii="Trebuchet MS" w:hAnsi="Trebuchet MS"/>
          <w:noProof/>
          <w:sz w:val="16"/>
          <w:szCs w:val="16"/>
        </w:rPr>
        <w:t>.</w:t>
      </w:r>
      <w:r w:rsidRPr="004B77DE">
        <w:rPr>
          <w:rFonts w:ascii="Trebuchet MS" w:hAnsi="Trebuchet MS"/>
          <w:noProof/>
          <w:sz w:val="16"/>
          <w:szCs w:val="16"/>
        </w:rPr>
        <w:tab/>
        <w:t xml:space="preserve">Hopkins SA, Baldi JC, Cutfield WS et al. Exercise training in pregnancy reduces offspring size without changes in maternal insulin sensitivity. </w:t>
      </w:r>
      <w:r w:rsidRPr="004B77DE">
        <w:rPr>
          <w:rFonts w:ascii="Trebuchet MS" w:hAnsi="Trebuchet MS"/>
          <w:i/>
          <w:noProof/>
          <w:sz w:val="16"/>
          <w:szCs w:val="16"/>
        </w:rPr>
        <w:t>J Clin Endocrinol Metab</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95</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2080</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2631E16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273</w:t>
      </w:r>
      <w:r w:rsidRPr="004B77DE">
        <w:rPr>
          <w:rFonts w:ascii="Trebuchet MS" w:hAnsi="Trebuchet MS"/>
          <w:noProof/>
          <w:sz w:val="16"/>
          <w:szCs w:val="16"/>
        </w:rPr>
        <w:t>.</w:t>
      </w:r>
      <w:r w:rsidRPr="004B77DE">
        <w:rPr>
          <w:rFonts w:ascii="Trebuchet MS" w:hAnsi="Trebuchet MS"/>
          <w:noProof/>
          <w:sz w:val="16"/>
          <w:szCs w:val="16"/>
        </w:rPr>
        <w:tab/>
        <w:t xml:space="preserve">Seneviratne SN, Jiang Y, Derraik J et al. Effects of antenatal exercise in overweight and obese pregnant women on maternal and perinatal outcomes: a randomised controlled trial.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588</w:t>
      </w:r>
      <w:r w:rsidRPr="004B77DE">
        <w:rPr>
          <w:rFonts w:ascii="Trebuchet MS" w:hAnsi="Trebuchet MS"/>
          <w:noProof/>
          <w:sz w:val="16"/>
          <w:szCs w:val="16"/>
        </w:rPr>
        <w:t>-</w:t>
      </w:r>
      <w:r w:rsidRPr="004B77DE">
        <w:rPr>
          <w:rFonts w:ascii="Trebuchet MS" w:eastAsia="Calibri" w:hAnsi="Trebuchet MS" w:cs="Calibri"/>
          <w:noProof/>
          <w:sz w:val="16"/>
          <w:szCs w:val="16"/>
        </w:rPr>
        <w:t>97</w:t>
      </w:r>
      <w:r w:rsidRPr="004B77DE">
        <w:rPr>
          <w:rFonts w:ascii="Trebuchet MS" w:hAnsi="Trebuchet MS"/>
          <w:noProof/>
          <w:sz w:val="16"/>
          <w:szCs w:val="16"/>
        </w:rPr>
        <w:t>.</w:t>
      </w:r>
    </w:p>
    <w:p w14:paraId="78855B8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274</w:t>
      </w:r>
      <w:r w:rsidRPr="004B77DE">
        <w:rPr>
          <w:rFonts w:ascii="Trebuchet MS" w:hAnsi="Trebuchet MS"/>
          <w:noProof/>
          <w:sz w:val="16"/>
          <w:szCs w:val="16"/>
        </w:rPr>
        <w:t>.</w:t>
      </w:r>
      <w:r w:rsidRPr="004B77DE">
        <w:rPr>
          <w:rFonts w:ascii="Trebuchet MS" w:hAnsi="Trebuchet MS"/>
          <w:noProof/>
          <w:sz w:val="16"/>
          <w:szCs w:val="16"/>
        </w:rPr>
        <w:tab/>
        <w:t xml:space="preserve">Vladutiu CJ, Evenson KR, Marshall SW. Physical activity and injuries during pregnancy. </w:t>
      </w:r>
      <w:r w:rsidRPr="004B77DE">
        <w:rPr>
          <w:rFonts w:ascii="Trebuchet MS" w:hAnsi="Trebuchet MS"/>
          <w:i/>
          <w:noProof/>
          <w:sz w:val="16"/>
          <w:szCs w:val="16"/>
        </w:rPr>
        <w:t>J Phys Act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761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09889F4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275</w:t>
      </w:r>
      <w:r w:rsidRPr="004B77DE">
        <w:rPr>
          <w:rFonts w:ascii="Trebuchet MS" w:hAnsi="Trebuchet MS"/>
          <w:noProof/>
          <w:sz w:val="16"/>
          <w:szCs w:val="16"/>
        </w:rPr>
        <w:t>.</w:t>
      </w:r>
      <w:r w:rsidRPr="004B77DE">
        <w:rPr>
          <w:rFonts w:ascii="Trebuchet MS" w:hAnsi="Trebuchet MS"/>
          <w:noProof/>
          <w:sz w:val="16"/>
          <w:szCs w:val="16"/>
        </w:rPr>
        <w:tab/>
        <w:t xml:space="preserve">Rodriguez-Blanque R, Aguilar-Cordero MJ, Marin-Jimenez AE et al. Water exercise and quality of life in pregnancy: a randomised clinical trial. </w:t>
      </w:r>
      <w:r w:rsidRPr="004B77DE">
        <w:rPr>
          <w:rFonts w:ascii="Trebuchet MS" w:hAnsi="Trebuchet MS"/>
          <w:i/>
          <w:noProof/>
          <w:sz w:val="16"/>
          <w:szCs w:val="16"/>
        </w:rPr>
        <w:t>Int J Environ Res Public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w:t>
      </w:r>
    </w:p>
    <w:p w14:paraId="5D5CF50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276</w:t>
      </w:r>
      <w:r w:rsidRPr="004B77DE">
        <w:rPr>
          <w:rFonts w:ascii="Trebuchet MS" w:hAnsi="Trebuchet MS"/>
          <w:noProof/>
          <w:sz w:val="16"/>
          <w:szCs w:val="16"/>
        </w:rPr>
        <w:t>.</w:t>
      </w:r>
      <w:r w:rsidRPr="004B77DE">
        <w:rPr>
          <w:rFonts w:ascii="Trebuchet MS" w:hAnsi="Trebuchet MS"/>
          <w:noProof/>
          <w:sz w:val="16"/>
          <w:szCs w:val="16"/>
        </w:rPr>
        <w:tab/>
        <w:t xml:space="preserve">Prabha BS, Vijayaraghavan J, Maiya AG et al. Effects of antenatal exercise programme and education on health related quality of life: a randomised controlled trial. </w:t>
      </w:r>
      <w:r w:rsidRPr="004B77DE">
        <w:rPr>
          <w:rFonts w:ascii="Trebuchet MS" w:hAnsi="Trebuchet MS"/>
          <w:i/>
          <w:noProof/>
          <w:sz w:val="16"/>
          <w:szCs w:val="16"/>
        </w:rPr>
        <w:t>J Clin Diag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YF01</w:t>
      </w:r>
      <w:r w:rsidRPr="004B77DE">
        <w:rPr>
          <w:rFonts w:ascii="Trebuchet MS" w:hAnsi="Trebuchet MS"/>
          <w:noProof/>
          <w:sz w:val="16"/>
          <w:szCs w:val="16"/>
        </w:rPr>
        <w:t>-</w:t>
      </w:r>
      <w:r w:rsidRPr="004B77DE">
        <w:rPr>
          <w:rFonts w:ascii="Trebuchet MS" w:eastAsia="Calibri" w:hAnsi="Trebuchet MS" w:cs="Calibri"/>
          <w:noProof/>
          <w:sz w:val="16"/>
          <w:szCs w:val="16"/>
        </w:rPr>
        <w:t>YF4</w:t>
      </w:r>
      <w:r w:rsidRPr="004B77DE">
        <w:rPr>
          <w:rFonts w:ascii="Trebuchet MS" w:hAnsi="Trebuchet MS"/>
          <w:noProof/>
          <w:sz w:val="16"/>
          <w:szCs w:val="16"/>
        </w:rPr>
        <w:t>.</w:t>
      </w:r>
    </w:p>
    <w:p w14:paraId="2205597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277</w:t>
      </w:r>
      <w:r w:rsidRPr="004B77DE">
        <w:rPr>
          <w:rFonts w:ascii="Trebuchet MS" w:hAnsi="Trebuchet MS"/>
          <w:noProof/>
          <w:sz w:val="16"/>
          <w:szCs w:val="16"/>
        </w:rPr>
        <w:t>.</w:t>
      </w:r>
      <w:r w:rsidRPr="004B77DE">
        <w:rPr>
          <w:rFonts w:ascii="Trebuchet MS" w:hAnsi="Trebuchet MS"/>
          <w:noProof/>
          <w:sz w:val="16"/>
          <w:szCs w:val="16"/>
        </w:rPr>
        <w:tab/>
        <w:t xml:space="preserve">Gustafsson MK, Stafne SN, Romundstad PR et al. The effects of an exercise programme during pregnancy on health-related quality of life in pregnant women: a Norwegian randomised controlled trial.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123</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1152</w:t>
      </w:r>
      <w:r w:rsidRPr="004B77DE">
        <w:rPr>
          <w:rFonts w:ascii="Trebuchet MS" w:hAnsi="Trebuchet MS"/>
          <w:noProof/>
          <w:sz w:val="16"/>
          <w:szCs w:val="16"/>
        </w:rPr>
        <w:t>-</w:t>
      </w:r>
      <w:r w:rsidRPr="004B77DE">
        <w:rPr>
          <w:rFonts w:ascii="Trebuchet MS" w:eastAsia="Calibri" w:hAnsi="Trebuchet MS" w:cs="Calibri"/>
          <w:noProof/>
          <w:sz w:val="16"/>
          <w:szCs w:val="16"/>
        </w:rPr>
        <w:t>60</w:t>
      </w:r>
      <w:r w:rsidRPr="004B77DE">
        <w:rPr>
          <w:rFonts w:ascii="Trebuchet MS" w:hAnsi="Trebuchet MS"/>
          <w:noProof/>
          <w:sz w:val="16"/>
          <w:szCs w:val="16"/>
        </w:rPr>
        <w:t>.</w:t>
      </w:r>
    </w:p>
    <w:p w14:paraId="64CB84C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278</w:t>
      </w:r>
      <w:r w:rsidRPr="004B77DE">
        <w:rPr>
          <w:rFonts w:ascii="Trebuchet MS" w:hAnsi="Trebuchet MS"/>
          <w:noProof/>
          <w:sz w:val="16"/>
          <w:szCs w:val="16"/>
        </w:rPr>
        <w:t>.</w:t>
      </w:r>
      <w:r w:rsidRPr="004B77DE">
        <w:rPr>
          <w:rFonts w:ascii="Trebuchet MS" w:hAnsi="Trebuchet MS"/>
          <w:noProof/>
          <w:sz w:val="16"/>
          <w:szCs w:val="16"/>
        </w:rPr>
        <w:tab/>
        <w:t xml:space="preserve">Haakstad LA, Torset B, Bo K. What is the effect of regular group exercise on maternal psychological outcomes and common pregnancy complaints? An assessor blinded RCT. </w:t>
      </w:r>
      <w:r w:rsidRPr="004B77DE">
        <w:rPr>
          <w:rFonts w:ascii="Trebuchet MS" w:hAnsi="Trebuchet MS"/>
          <w:i/>
          <w:noProof/>
          <w:sz w:val="16"/>
          <w:szCs w:val="16"/>
        </w:rPr>
        <w:t>Midwifery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3860220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279</w:t>
      </w:r>
      <w:r w:rsidRPr="004B77DE">
        <w:rPr>
          <w:rFonts w:ascii="Trebuchet MS" w:hAnsi="Trebuchet MS"/>
          <w:noProof/>
          <w:sz w:val="16"/>
          <w:szCs w:val="16"/>
        </w:rPr>
        <w:t>.</w:t>
      </w:r>
      <w:r w:rsidRPr="004B77DE">
        <w:rPr>
          <w:rFonts w:ascii="Trebuchet MS" w:hAnsi="Trebuchet MS"/>
          <w:noProof/>
          <w:sz w:val="16"/>
          <w:szCs w:val="16"/>
        </w:rPr>
        <w:tab/>
        <w:t xml:space="preserve">Montoya Arizabaleta AV, Orozco Buitrago L, Aguilar de Plata AC et al. Aerobic exercise during pregnancy improves health-related quality of life: a randomised trial. </w:t>
      </w:r>
      <w:r w:rsidRPr="004B77DE">
        <w:rPr>
          <w:rFonts w:ascii="Trebuchet MS" w:hAnsi="Trebuchet MS"/>
          <w:i/>
          <w:noProof/>
          <w:sz w:val="16"/>
          <w:szCs w:val="16"/>
        </w:rPr>
        <w:t>Journal of Physiotherapy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253</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69B6F0E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280</w:t>
      </w:r>
      <w:r w:rsidRPr="004B77DE">
        <w:rPr>
          <w:rFonts w:ascii="Trebuchet MS" w:hAnsi="Trebuchet MS"/>
          <w:noProof/>
          <w:sz w:val="16"/>
          <w:szCs w:val="16"/>
        </w:rPr>
        <w:t>.</w:t>
      </w:r>
      <w:r w:rsidRPr="004B77DE">
        <w:rPr>
          <w:rFonts w:ascii="Trebuchet MS" w:hAnsi="Trebuchet MS"/>
          <w:noProof/>
          <w:sz w:val="16"/>
          <w:szCs w:val="16"/>
        </w:rPr>
        <w:tab/>
        <w:t xml:space="preserve">Woodley SJ, Boyle R, Cody JD et al. Pelvic floor muscle training for prevention and treatment of urinary and faecal incontinence in antenatal and postnatal women.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w:t>
      </w:r>
    </w:p>
    <w:p w14:paraId="0FF46A3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281</w:t>
      </w:r>
      <w:r w:rsidRPr="004B77DE">
        <w:rPr>
          <w:rFonts w:ascii="Trebuchet MS" w:hAnsi="Trebuchet MS"/>
          <w:noProof/>
          <w:sz w:val="16"/>
          <w:szCs w:val="16"/>
        </w:rPr>
        <w:t>.</w:t>
      </w:r>
      <w:r w:rsidRPr="004B77DE">
        <w:rPr>
          <w:rFonts w:ascii="Trebuchet MS" w:hAnsi="Trebuchet MS"/>
          <w:noProof/>
          <w:sz w:val="16"/>
          <w:szCs w:val="16"/>
        </w:rPr>
        <w:tab/>
        <w:t xml:space="preserve">Davenport MH, Nagpal TS, Mottola MF et al. Prenatal exercise (including but not limited to pelvic floor muscle training) and urinary incontinence during and following pregnancy: a systematic review and meta-analysis.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1397</w:t>
      </w:r>
      <w:r w:rsidRPr="004B77DE">
        <w:rPr>
          <w:rFonts w:ascii="Trebuchet MS" w:hAnsi="Trebuchet MS"/>
          <w:noProof/>
          <w:sz w:val="16"/>
          <w:szCs w:val="16"/>
        </w:rPr>
        <w:t>-</w:t>
      </w:r>
      <w:r w:rsidRPr="004B77DE">
        <w:rPr>
          <w:rFonts w:ascii="Trebuchet MS" w:eastAsia="Calibri" w:hAnsi="Trebuchet MS" w:cs="Calibri"/>
          <w:noProof/>
          <w:sz w:val="16"/>
          <w:szCs w:val="16"/>
        </w:rPr>
        <w:t>404</w:t>
      </w:r>
      <w:r w:rsidRPr="004B77DE">
        <w:rPr>
          <w:rFonts w:ascii="Trebuchet MS" w:hAnsi="Trebuchet MS"/>
          <w:noProof/>
          <w:sz w:val="16"/>
          <w:szCs w:val="16"/>
        </w:rPr>
        <w:t>.</w:t>
      </w:r>
    </w:p>
    <w:p w14:paraId="0EAB935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282</w:t>
      </w:r>
      <w:r w:rsidRPr="004B77DE">
        <w:rPr>
          <w:rFonts w:ascii="Trebuchet MS" w:hAnsi="Trebuchet MS"/>
          <w:noProof/>
          <w:sz w:val="16"/>
          <w:szCs w:val="16"/>
        </w:rPr>
        <w:t>.</w:t>
      </w:r>
      <w:r w:rsidRPr="004B77DE">
        <w:rPr>
          <w:rFonts w:ascii="Trebuchet MS" w:hAnsi="Trebuchet MS"/>
          <w:noProof/>
          <w:sz w:val="16"/>
          <w:szCs w:val="16"/>
        </w:rPr>
        <w:tab/>
        <w:t xml:space="preserve">Davenport MH, Marchand AA, Mottola MF et al. Exercise for the prevention and treatment of low back, pelvic girdle and lumbopelvic pain during pregnancy: a systematic review and meta-analysis.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90</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7A0DE0B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283</w:t>
      </w:r>
      <w:r w:rsidRPr="004B77DE">
        <w:rPr>
          <w:rFonts w:ascii="Trebuchet MS" w:hAnsi="Trebuchet MS"/>
          <w:noProof/>
          <w:sz w:val="16"/>
          <w:szCs w:val="16"/>
        </w:rPr>
        <w:t>.</w:t>
      </w:r>
      <w:r w:rsidRPr="004B77DE">
        <w:rPr>
          <w:rFonts w:ascii="Trebuchet MS" w:hAnsi="Trebuchet MS"/>
          <w:noProof/>
          <w:sz w:val="16"/>
          <w:szCs w:val="16"/>
        </w:rPr>
        <w:tab/>
        <w:t xml:space="preserve">Shiri R, Coggon D, Falah-Hassani K. Exercise for the prevention of low back and pelvic girdle pain in pregnancy: A meta-analysis of randomized controlled trials. </w:t>
      </w:r>
      <w:r w:rsidRPr="004B77DE">
        <w:rPr>
          <w:rFonts w:ascii="Trebuchet MS" w:hAnsi="Trebuchet MS"/>
          <w:i/>
          <w:noProof/>
          <w:sz w:val="16"/>
          <w:szCs w:val="16"/>
        </w:rPr>
        <w:t>Eur J Pain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27</w:t>
      </w:r>
      <w:r w:rsidRPr="004B77DE">
        <w:rPr>
          <w:rFonts w:ascii="Trebuchet MS" w:hAnsi="Trebuchet MS"/>
          <w:noProof/>
          <w:sz w:val="16"/>
          <w:szCs w:val="16"/>
        </w:rPr>
        <w:t>.</w:t>
      </w:r>
    </w:p>
    <w:p w14:paraId="162B385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284</w:t>
      </w:r>
      <w:r w:rsidRPr="004B77DE">
        <w:rPr>
          <w:rFonts w:ascii="Trebuchet MS" w:hAnsi="Trebuchet MS"/>
          <w:noProof/>
          <w:sz w:val="16"/>
          <w:szCs w:val="16"/>
        </w:rPr>
        <w:t>.</w:t>
      </w:r>
      <w:r w:rsidRPr="004B77DE">
        <w:rPr>
          <w:rFonts w:ascii="Trebuchet MS" w:hAnsi="Trebuchet MS"/>
          <w:noProof/>
          <w:sz w:val="16"/>
          <w:szCs w:val="16"/>
        </w:rPr>
        <w:tab/>
        <w:t xml:space="preserve">Sklempe Kokic I, Ivanisevic M, Uremovic M et al. Effect of therapeutic exercises on pregnancy-related low back pain and pelvic girdle pain: Secondary analysis of a randomized controlled trial. </w:t>
      </w:r>
      <w:r w:rsidRPr="004B77DE">
        <w:rPr>
          <w:rFonts w:ascii="Trebuchet MS" w:hAnsi="Trebuchet MS"/>
          <w:i/>
          <w:noProof/>
          <w:sz w:val="16"/>
          <w:szCs w:val="16"/>
        </w:rPr>
        <w:t>J Rehabil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0078341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285</w:t>
      </w:r>
      <w:r w:rsidRPr="004B77DE">
        <w:rPr>
          <w:rFonts w:ascii="Trebuchet MS" w:hAnsi="Trebuchet MS"/>
          <w:noProof/>
          <w:sz w:val="16"/>
          <w:szCs w:val="16"/>
        </w:rPr>
        <w:t>.</w:t>
      </w:r>
      <w:r w:rsidRPr="004B77DE">
        <w:rPr>
          <w:rFonts w:ascii="Trebuchet MS" w:hAnsi="Trebuchet MS"/>
          <w:noProof/>
          <w:sz w:val="16"/>
          <w:szCs w:val="16"/>
        </w:rPr>
        <w:tab/>
        <w:t xml:space="preserve">Gjestland K, Bo K, Owe KM et al. Do pregnant women follow exercise guidelines? Prevalence data among 3482 women, and prediction of low-back pain, pelvic girdle pain and depression.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515</w:t>
      </w:r>
      <w:r w:rsidRPr="004B77DE">
        <w:rPr>
          <w:rFonts w:ascii="Trebuchet MS" w:hAnsi="Trebuchet MS"/>
          <w:noProof/>
          <w:sz w:val="16"/>
          <w:szCs w:val="16"/>
        </w:rPr>
        <w:t>-</w:t>
      </w:r>
      <w:r w:rsidRPr="004B77DE">
        <w:rPr>
          <w:rFonts w:ascii="Trebuchet MS" w:eastAsia="Calibri" w:hAnsi="Trebuchet MS" w:cs="Calibri"/>
          <w:noProof/>
          <w:sz w:val="16"/>
          <w:szCs w:val="16"/>
        </w:rPr>
        <w:t>20</w:t>
      </w:r>
      <w:r w:rsidRPr="004B77DE">
        <w:rPr>
          <w:rFonts w:ascii="Trebuchet MS" w:hAnsi="Trebuchet MS"/>
          <w:noProof/>
          <w:sz w:val="16"/>
          <w:szCs w:val="16"/>
        </w:rPr>
        <w:t>.</w:t>
      </w:r>
    </w:p>
    <w:p w14:paraId="4928A4F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286</w:t>
      </w:r>
      <w:r w:rsidRPr="004B77DE">
        <w:rPr>
          <w:rFonts w:ascii="Trebuchet MS" w:hAnsi="Trebuchet MS"/>
          <w:noProof/>
          <w:sz w:val="16"/>
          <w:szCs w:val="16"/>
        </w:rPr>
        <w:t>.</w:t>
      </w:r>
      <w:r w:rsidRPr="004B77DE">
        <w:rPr>
          <w:rFonts w:ascii="Trebuchet MS" w:hAnsi="Trebuchet MS"/>
          <w:noProof/>
          <w:sz w:val="16"/>
          <w:szCs w:val="16"/>
        </w:rPr>
        <w:tab/>
        <w:t xml:space="preserve">Barakat R, Ruiz JR, Lucia A. Exercise during pregnancy and risk of maternal anaemia: a randomised controlled trial.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43</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954</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0B189CB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287</w:t>
      </w:r>
      <w:r w:rsidRPr="004B77DE">
        <w:rPr>
          <w:rFonts w:ascii="Trebuchet MS" w:hAnsi="Trebuchet MS"/>
          <w:noProof/>
          <w:sz w:val="16"/>
          <w:szCs w:val="16"/>
        </w:rPr>
        <w:t>.</w:t>
      </w:r>
      <w:r w:rsidRPr="004B77DE">
        <w:rPr>
          <w:rFonts w:ascii="Trebuchet MS" w:hAnsi="Trebuchet MS"/>
          <w:noProof/>
          <w:sz w:val="16"/>
          <w:szCs w:val="16"/>
        </w:rPr>
        <w:tab/>
        <w:t xml:space="preserve">Yang SY, Lan SJ, Yen YY et al. Effects of exercise on sleep quality in pregnant women: A systematic review and meta-analysis of randomized controlled trials. </w:t>
      </w:r>
      <w:r w:rsidRPr="004B77DE">
        <w:rPr>
          <w:rFonts w:ascii="Trebuchet MS" w:hAnsi="Trebuchet MS"/>
          <w:i/>
          <w:noProof/>
          <w:sz w:val="16"/>
          <w:szCs w:val="16"/>
        </w:rPr>
        <w:t>Asian Nurs Res (Korean Soc Nurs Sci)</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w:t>
      </w:r>
    </w:p>
    <w:p w14:paraId="4F1F99F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288</w:t>
      </w:r>
      <w:r w:rsidRPr="004B77DE">
        <w:rPr>
          <w:rFonts w:ascii="Trebuchet MS" w:hAnsi="Trebuchet MS"/>
          <w:noProof/>
          <w:sz w:val="16"/>
          <w:szCs w:val="16"/>
        </w:rPr>
        <w:t>.</w:t>
      </w:r>
      <w:r w:rsidRPr="004B77DE">
        <w:rPr>
          <w:rFonts w:ascii="Trebuchet MS" w:hAnsi="Trebuchet MS"/>
          <w:noProof/>
          <w:sz w:val="16"/>
          <w:szCs w:val="16"/>
        </w:rPr>
        <w:tab/>
        <w:t xml:space="preserve">Rodriguez-Blanque R, Sanchez-Garcia JC, Sanchez-Lopez AM et al. The influence of physical activity in water on sleep quality in pregnant women: A randomised trial. </w:t>
      </w:r>
      <w:r w:rsidRPr="004B77DE">
        <w:rPr>
          <w:rFonts w:ascii="Trebuchet MS" w:hAnsi="Trebuchet MS"/>
          <w:i/>
          <w:noProof/>
          <w:sz w:val="16"/>
          <w:szCs w:val="16"/>
        </w:rPr>
        <w:t>Women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e51</w:t>
      </w:r>
      <w:r w:rsidRPr="004B77DE">
        <w:rPr>
          <w:rFonts w:ascii="Trebuchet MS" w:hAnsi="Trebuchet MS"/>
          <w:noProof/>
          <w:sz w:val="16"/>
          <w:szCs w:val="16"/>
        </w:rPr>
        <w:t>-</w:t>
      </w:r>
      <w:r w:rsidRPr="004B77DE">
        <w:rPr>
          <w:rFonts w:ascii="Trebuchet MS" w:eastAsia="Calibri" w:hAnsi="Trebuchet MS" w:cs="Calibri"/>
          <w:noProof/>
          <w:sz w:val="16"/>
          <w:szCs w:val="16"/>
        </w:rPr>
        <w:t>e8</w:t>
      </w:r>
      <w:r w:rsidRPr="004B77DE">
        <w:rPr>
          <w:rFonts w:ascii="Trebuchet MS" w:hAnsi="Trebuchet MS"/>
          <w:noProof/>
          <w:sz w:val="16"/>
          <w:szCs w:val="16"/>
        </w:rPr>
        <w:t>.</w:t>
      </w:r>
    </w:p>
    <w:p w14:paraId="6EC0AAA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289</w:t>
      </w:r>
      <w:r w:rsidRPr="004B77DE">
        <w:rPr>
          <w:rFonts w:ascii="Trebuchet MS" w:hAnsi="Trebuchet MS"/>
          <w:noProof/>
          <w:sz w:val="16"/>
          <w:szCs w:val="16"/>
        </w:rPr>
        <w:t>.</w:t>
      </w:r>
      <w:r w:rsidRPr="004B77DE">
        <w:rPr>
          <w:rFonts w:ascii="Trebuchet MS" w:hAnsi="Trebuchet MS"/>
          <w:noProof/>
          <w:sz w:val="16"/>
          <w:szCs w:val="16"/>
        </w:rPr>
        <w:tab/>
        <w:t xml:space="preserve">Kocsis I, Szilágyi T, Turos J et al. Effect of a gymnastics program on sleep characteristics in pregnant women. </w:t>
      </w:r>
      <w:r w:rsidRPr="004B77DE">
        <w:rPr>
          <w:rFonts w:ascii="Trebuchet MS" w:hAnsi="Trebuchet MS"/>
          <w:i/>
          <w:noProof/>
          <w:sz w:val="16"/>
          <w:szCs w:val="16"/>
        </w:rPr>
        <w:t>Taiwanese Journal of Obstetrics and Gynecology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138D557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290</w:t>
      </w:r>
      <w:r w:rsidRPr="004B77DE">
        <w:rPr>
          <w:rFonts w:ascii="Trebuchet MS" w:hAnsi="Trebuchet MS"/>
          <w:noProof/>
          <w:sz w:val="16"/>
          <w:szCs w:val="16"/>
        </w:rPr>
        <w:t>.</w:t>
      </w:r>
      <w:r w:rsidRPr="004B77DE">
        <w:rPr>
          <w:rFonts w:ascii="Trebuchet MS" w:hAnsi="Trebuchet MS"/>
          <w:noProof/>
          <w:sz w:val="16"/>
          <w:szCs w:val="16"/>
        </w:rPr>
        <w:tab/>
        <w:t xml:space="preserve">Loprinzi PD, Loprinzi KL, Cardinal BJ. The relationship between physical activity and sleep among pregnant women. </w:t>
      </w:r>
      <w:r w:rsidRPr="004B77DE">
        <w:rPr>
          <w:rFonts w:ascii="Trebuchet MS" w:hAnsi="Trebuchet MS"/>
          <w:i/>
          <w:noProof/>
          <w:sz w:val="16"/>
          <w:szCs w:val="16"/>
        </w:rPr>
        <w:t>Mental Health and Physical Activity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0D2B11D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291</w:t>
      </w:r>
      <w:r w:rsidRPr="004B77DE">
        <w:rPr>
          <w:rFonts w:ascii="Trebuchet MS" w:hAnsi="Trebuchet MS"/>
          <w:noProof/>
          <w:sz w:val="16"/>
          <w:szCs w:val="16"/>
        </w:rPr>
        <w:t>.</w:t>
      </w:r>
      <w:r w:rsidRPr="004B77DE">
        <w:rPr>
          <w:rFonts w:ascii="Trebuchet MS" w:hAnsi="Trebuchet MS"/>
          <w:noProof/>
          <w:sz w:val="16"/>
          <w:szCs w:val="16"/>
        </w:rPr>
        <w:tab/>
        <w:t xml:space="preserve">Kramer MS, McDonald SW. Aerobic exercise for women during pregnancy. </w:t>
      </w:r>
      <w:r w:rsidRPr="004B77DE">
        <w:rPr>
          <w:rFonts w:ascii="Trebuchet MS" w:hAnsi="Trebuchet MS"/>
          <w:i/>
          <w:noProof/>
          <w:sz w:val="16"/>
          <w:szCs w:val="16"/>
        </w:rPr>
        <w:t>Cochrane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2006</w:t>
      </w:r>
      <w:r w:rsidRPr="004B77DE">
        <w:rPr>
          <w:rFonts w:ascii="Trebuchet MS" w:hAnsi="Trebuchet MS"/>
          <w:noProof/>
          <w:sz w:val="16"/>
          <w:szCs w:val="16"/>
        </w:rPr>
        <w:t>.</w:t>
      </w:r>
    </w:p>
    <w:p w14:paraId="025A18D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292</w:t>
      </w:r>
      <w:r w:rsidRPr="004B77DE">
        <w:rPr>
          <w:rFonts w:ascii="Trebuchet MS" w:hAnsi="Trebuchet MS"/>
          <w:noProof/>
          <w:sz w:val="16"/>
          <w:szCs w:val="16"/>
        </w:rPr>
        <w:t>.</w:t>
      </w:r>
      <w:r w:rsidRPr="004B77DE">
        <w:rPr>
          <w:rFonts w:ascii="Trebuchet MS" w:hAnsi="Trebuchet MS"/>
          <w:noProof/>
          <w:sz w:val="16"/>
          <w:szCs w:val="16"/>
        </w:rPr>
        <w:tab/>
        <w:t xml:space="preserve">Baciuk EP, Pereira RI, Cecatti JG et al. Water aerobics in pregnancy: Cardiovascular response, labor and neonatal outcomes. </w:t>
      </w:r>
      <w:r w:rsidRPr="004B77DE">
        <w:rPr>
          <w:rFonts w:ascii="Trebuchet MS" w:hAnsi="Trebuchet MS"/>
          <w:i/>
          <w:noProof/>
          <w:sz w:val="16"/>
          <w:szCs w:val="16"/>
        </w:rPr>
        <w:t>Reprod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 10.</w:t>
      </w:r>
    </w:p>
    <w:p w14:paraId="6E7FC69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293</w:t>
      </w:r>
      <w:r w:rsidRPr="004B77DE">
        <w:rPr>
          <w:rFonts w:ascii="Trebuchet MS" w:hAnsi="Trebuchet MS"/>
          <w:noProof/>
          <w:sz w:val="16"/>
          <w:szCs w:val="16"/>
        </w:rPr>
        <w:t>.</w:t>
      </w:r>
      <w:r w:rsidRPr="004B77DE">
        <w:rPr>
          <w:rFonts w:ascii="Trebuchet MS" w:hAnsi="Trebuchet MS"/>
          <w:noProof/>
          <w:sz w:val="16"/>
          <w:szCs w:val="16"/>
        </w:rPr>
        <w:tab/>
        <w:t xml:space="preserve">Barakat R, Stirling JR, Lucia A. Does exercise training during pregnancy affect gestational age? A randomised controlled trial.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674</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56A62A4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294</w:t>
      </w:r>
      <w:r w:rsidRPr="004B77DE">
        <w:rPr>
          <w:rFonts w:ascii="Trebuchet MS" w:hAnsi="Trebuchet MS"/>
          <w:noProof/>
          <w:sz w:val="16"/>
          <w:szCs w:val="16"/>
        </w:rPr>
        <w:t>.</w:t>
      </w:r>
      <w:r w:rsidRPr="004B77DE">
        <w:rPr>
          <w:rFonts w:ascii="Trebuchet MS" w:hAnsi="Trebuchet MS"/>
          <w:noProof/>
          <w:sz w:val="16"/>
          <w:szCs w:val="16"/>
        </w:rPr>
        <w:tab/>
        <w:t xml:space="preserve">Barakat R, Franco E, Perales M et al. Exercise during pregnancy is associated with a shorter duration of labor. A randomized clinical trial. </w:t>
      </w:r>
      <w:r w:rsidRPr="004B77DE">
        <w:rPr>
          <w:rFonts w:ascii="Trebuchet MS" w:hAnsi="Trebuchet MS"/>
          <w:i/>
          <w:noProof/>
          <w:sz w:val="16"/>
          <w:szCs w:val="16"/>
        </w:rPr>
        <w:t>Eur J Obstet Gynecol Reprod Biol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eastAsia="Calibri" w:hAnsi="Trebuchet MS" w:cs="Calibri"/>
          <w:noProof/>
          <w:sz w:val="16"/>
          <w:szCs w:val="16"/>
        </w:rPr>
        <w:t>40</w:t>
      </w:r>
      <w:r w:rsidRPr="004B77DE">
        <w:rPr>
          <w:rFonts w:ascii="Trebuchet MS" w:hAnsi="Trebuchet MS"/>
          <w:noProof/>
          <w:sz w:val="16"/>
          <w:szCs w:val="16"/>
        </w:rPr>
        <w:t>.</w:t>
      </w:r>
    </w:p>
    <w:p w14:paraId="23A6AE0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295</w:t>
      </w:r>
      <w:r w:rsidRPr="004B77DE">
        <w:rPr>
          <w:rFonts w:ascii="Trebuchet MS" w:hAnsi="Trebuchet MS"/>
          <w:noProof/>
          <w:sz w:val="16"/>
          <w:szCs w:val="16"/>
        </w:rPr>
        <w:t>.</w:t>
      </w:r>
      <w:r w:rsidRPr="004B77DE">
        <w:rPr>
          <w:rFonts w:ascii="Trebuchet MS" w:hAnsi="Trebuchet MS"/>
          <w:noProof/>
          <w:sz w:val="16"/>
          <w:szCs w:val="16"/>
        </w:rPr>
        <w:tab/>
        <w:t xml:space="preserve">Perales M, Calabria I, Lopez C et al. Regular Exercise Throughout Pregnancy is Associated with a Shorter First Stage of Labor. </w:t>
      </w:r>
      <w:r w:rsidRPr="004B77DE">
        <w:rPr>
          <w:rFonts w:ascii="Trebuchet MS" w:hAnsi="Trebuchet MS"/>
          <w:i/>
          <w:noProof/>
          <w:sz w:val="16"/>
          <w:szCs w:val="16"/>
        </w:rPr>
        <w:t>American Journal of Health Promotion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149</w:t>
      </w:r>
      <w:r w:rsidRPr="004B77DE">
        <w:rPr>
          <w:rFonts w:ascii="Trebuchet MS" w:hAnsi="Trebuchet MS"/>
          <w:noProof/>
          <w:sz w:val="16"/>
          <w:szCs w:val="16"/>
        </w:rPr>
        <w:t>-</w:t>
      </w:r>
      <w:r w:rsidRPr="004B77DE">
        <w:rPr>
          <w:rFonts w:ascii="Trebuchet MS" w:eastAsia="Calibri" w:hAnsi="Trebuchet MS" w:cs="Calibri"/>
          <w:noProof/>
          <w:sz w:val="16"/>
          <w:szCs w:val="16"/>
        </w:rPr>
        <w:t>57</w:t>
      </w:r>
      <w:r w:rsidRPr="004B77DE">
        <w:rPr>
          <w:rFonts w:ascii="Trebuchet MS" w:hAnsi="Trebuchet MS"/>
          <w:noProof/>
          <w:sz w:val="16"/>
          <w:szCs w:val="16"/>
        </w:rPr>
        <w:t>.</w:t>
      </w:r>
    </w:p>
    <w:p w14:paraId="0671772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296</w:t>
      </w:r>
      <w:r w:rsidRPr="004B77DE">
        <w:rPr>
          <w:rFonts w:ascii="Trebuchet MS" w:hAnsi="Trebuchet MS"/>
          <w:noProof/>
          <w:sz w:val="16"/>
          <w:szCs w:val="16"/>
        </w:rPr>
        <w:t>.</w:t>
      </w:r>
      <w:r w:rsidRPr="004B77DE">
        <w:rPr>
          <w:rFonts w:ascii="Trebuchet MS" w:hAnsi="Trebuchet MS"/>
          <w:noProof/>
          <w:sz w:val="16"/>
          <w:szCs w:val="16"/>
        </w:rPr>
        <w:tab/>
        <w:t xml:space="preserve">Perales M, Santos-Lozano A, Sanchis-Gomar F et al. Maternal Cardiac Adaptations to a Physical Exercise Program during Pregnancy. </w:t>
      </w:r>
      <w:r w:rsidRPr="004B77DE">
        <w:rPr>
          <w:rFonts w:ascii="Trebuchet MS" w:hAnsi="Trebuchet MS"/>
          <w:i/>
          <w:noProof/>
          <w:sz w:val="16"/>
          <w:szCs w:val="16"/>
        </w:rPr>
        <w:t>Med Sci Sports Exerc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48</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896</w:t>
      </w:r>
      <w:r w:rsidRPr="004B77DE">
        <w:rPr>
          <w:rFonts w:ascii="Trebuchet MS" w:hAnsi="Trebuchet MS"/>
          <w:noProof/>
          <w:sz w:val="16"/>
          <w:szCs w:val="16"/>
        </w:rPr>
        <w:t>-</w:t>
      </w:r>
      <w:r w:rsidRPr="004B77DE">
        <w:rPr>
          <w:rFonts w:ascii="Trebuchet MS" w:eastAsia="Calibri" w:hAnsi="Trebuchet MS" w:cs="Calibri"/>
          <w:noProof/>
          <w:sz w:val="16"/>
          <w:szCs w:val="16"/>
        </w:rPr>
        <w:t>906</w:t>
      </w:r>
      <w:r w:rsidRPr="004B77DE">
        <w:rPr>
          <w:rFonts w:ascii="Trebuchet MS" w:hAnsi="Trebuchet MS"/>
          <w:noProof/>
          <w:sz w:val="16"/>
          <w:szCs w:val="16"/>
        </w:rPr>
        <w:t>.</w:t>
      </w:r>
    </w:p>
    <w:p w14:paraId="4687FB0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297</w:t>
      </w:r>
      <w:r w:rsidRPr="004B77DE">
        <w:rPr>
          <w:rFonts w:ascii="Trebuchet MS" w:hAnsi="Trebuchet MS"/>
          <w:noProof/>
          <w:sz w:val="16"/>
          <w:szCs w:val="16"/>
        </w:rPr>
        <w:t>.</w:t>
      </w:r>
      <w:r w:rsidRPr="004B77DE">
        <w:rPr>
          <w:rFonts w:ascii="Trebuchet MS" w:hAnsi="Trebuchet MS"/>
          <w:noProof/>
          <w:sz w:val="16"/>
          <w:szCs w:val="16"/>
        </w:rPr>
        <w:tab/>
        <w:t xml:space="preserve">Salvesen KA, Morkved S. Randomised controlled trial of pelvic floor muscle training during pregnancy. </w:t>
      </w:r>
      <w:r w:rsidRPr="004B77DE">
        <w:rPr>
          <w:rFonts w:ascii="Trebuchet MS" w:hAnsi="Trebuchet MS"/>
          <w:i/>
          <w:noProof/>
          <w:sz w:val="16"/>
          <w:szCs w:val="16"/>
        </w:rPr>
        <w:t>BMJ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329</w:t>
      </w:r>
      <w:r w:rsidRPr="004B77DE">
        <w:rPr>
          <w:rFonts w:ascii="Trebuchet MS" w:hAnsi="Trebuchet MS"/>
          <w:noProof/>
          <w:sz w:val="16"/>
          <w:szCs w:val="16"/>
        </w:rPr>
        <w:t>(</w:t>
      </w:r>
      <w:r w:rsidRPr="004B77DE">
        <w:rPr>
          <w:rFonts w:ascii="Trebuchet MS" w:eastAsia="Calibri" w:hAnsi="Trebuchet MS" w:cs="Calibri"/>
          <w:noProof/>
          <w:sz w:val="16"/>
          <w:szCs w:val="16"/>
        </w:rPr>
        <w:t>7462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378</w:t>
      </w:r>
      <w:r w:rsidRPr="004B77DE">
        <w:rPr>
          <w:rFonts w:ascii="Trebuchet MS" w:hAnsi="Trebuchet MS"/>
          <w:noProof/>
          <w:sz w:val="16"/>
          <w:szCs w:val="16"/>
        </w:rPr>
        <w:t>-</w:t>
      </w:r>
      <w:r w:rsidRPr="004B77DE">
        <w:rPr>
          <w:rFonts w:ascii="Trebuchet MS" w:eastAsia="Calibri" w:hAnsi="Trebuchet MS" w:cs="Calibri"/>
          <w:noProof/>
          <w:sz w:val="16"/>
          <w:szCs w:val="16"/>
        </w:rPr>
        <w:t>80</w:t>
      </w:r>
      <w:r w:rsidRPr="004B77DE">
        <w:rPr>
          <w:rFonts w:ascii="Trebuchet MS" w:hAnsi="Trebuchet MS"/>
          <w:noProof/>
          <w:sz w:val="16"/>
          <w:szCs w:val="16"/>
        </w:rPr>
        <w:t>.</w:t>
      </w:r>
    </w:p>
    <w:p w14:paraId="77F0F2B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298</w:t>
      </w:r>
      <w:r w:rsidRPr="004B77DE">
        <w:rPr>
          <w:rFonts w:ascii="Trebuchet MS" w:hAnsi="Trebuchet MS"/>
          <w:noProof/>
          <w:sz w:val="16"/>
          <w:szCs w:val="16"/>
        </w:rPr>
        <w:t>.</w:t>
      </w:r>
      <w:r w:rsidRPr="004B77DE">
        <w:rPr>
          <w:rFonts w:ascii="Trebuchet MS" w:hAnsi="Trebuchet MS"/>
          <w:noProof/>
          <w:sz w:val="16"/>
          <w:szCs w:val="16"/>
        </w:rPr>
        <w:tab/>
        <w:t xml:space="preserve">Salvesen KA, Stafne SN, Eggebo TM et al. Does regular exercise in pregnancy influence duration of labor? A secondary analysis of a randomized controlled trial. </w:t>
      </w:r>
      <w:r w:rsidRPr="004B77DE">
        <w:rPr>
          <w:rFonts w:ascii="Trebuchet MS" w:hAnsi="Trebuchet MS"/>
          <w:i/>
          <w:noProof/>
          <w:sz w:val="16"/>
          <w:szCs w:val="16"/>
        </w:rPr>
        <w:t>Acta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93</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453C4C3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299</w:t>
      </w:r>
      <w:r w:rsidRPr="004B77DE">
        <w:rPr>
          <w:rFonts w:ascii="Trebuchet MS" w:hAnsi="Trebuchet MS"/>
          <w:noProof/>
          <w:sz w:val="16"/>
          <w:szCs w:val="16"/>
        </w:rPr>
        <w:t>.</w:t>
      </w:r>
      <w:r w:rsidRPr="004B77DE">
        <w:rPr>
          <w:rFonts w:ascii="Trebuchet MS" w:hAnsi="Trebuchet MS"/>
          <w:noProof/>
          <w:sz w:val="16"/>
          <w:szCs w:val="16"/>
        </w:rPr>
        <w:tab/>
        <w:t xml:space="preserve">Taniguchi C, Sato C. Home-based walking during pregnancy affects mood and birth outcomes among sedentary women: A randomized controlled trial. </w:t>
      </w:r>
      <w:r w:rsidRPr="004B77DE">
        <w:rPr>
          <w:rFonts w:ascii="Trebuchet MS" w:hAnsi="Trebuchet MS"/>
          <w:i/>
          <w:noProof/>
          <w:sz w:val="16"/>
          <w:szCs w:val="16"/>
        </w:rPr>
        <w:t>Int J Nurs Pract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420</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537AF8B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300</w:t>
      </w:r>
      <w:r w:rsidRPr="004B77DE">
        <w:rPr>
          <w:rFonts w:ascii="Trebuchet MS" w:hAnsi="Trebuchet MS"/>
          <w:noProof/>
          <w:sz w:val="16"/>
          <w:szCs w:val="16"/>
        </w:rPr>
        <w:t>.</w:t>
      </w:r>
      <w:r w:rsidRPr="004B77DE">
        <w:rPr>
          <w:rFonts w:ascii="Trebuchet MS" w:hAnsi="Trebuchet MS"/>
          <w:noProof/>
          <w:sz w:val="16"/>
          <w:szCs w:val="16"/>
        </w:rPr>
        <w:tab/>
        <w:t xml:space="preserve">Sanda B, Vistad I, Sagedal LR et al. What is the effect of physical activity on duration and mode of delivery? Secondary analysis from the Norwegian Fit for Delivery trial. </w:t>
      </w:r>
      <w:r w:rsidRPr="004B77DE">
        <w:rPr>
          <w:rFonts w:ascii="Trebuchet MS" w:hAnsi="Trebuchet MS"/>
          <w:i/>
          <w:noProof/>
          <w:sz w:val="16"/>
          <w:szCs w:val="16"/>
        </w:rPr>
        <w:t>Acta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97</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861</w:t>
      </w:r>
      <w:r w:rsidRPr="004B77DE">
        <w:rPr>
          <w:rFonts w:ascii="Trebuchet MS" w:hAnsi="Trebuchet MS"/>
          <w:noProof/>
          <w:sz w:val="16"/>
          <w:szCs w:val="16"/>
        </w:rPr>
        <w:t>-</w:t>
      </w:r>
      <w:r w:rsidRPr="004B77DE">
        <w:rPr>
          <w:rFonts w:ascii="Trebuchet MS" w:eastAsia="Calibri" w:hAnsi="Trebuchet MS" w:cs="Calibri"/>
          <w:noProof/>
          <w:sz w:val="16"/>
          <w:szCs w:val="16"/>
        </w:rPr>
        <w:t>71</w:t>
      </w:r>
      <w:r w:rsidRPr="004B77DE">
        <w:rPr>
          <w:rFonts w:ascii="Trebuchet MS" w:hAnsi="Trebuchet MS"/>
          <w:noProof/>
          <w:sz w:val="16"/>
          <w:szCs w:val="16"/>
        </w:rPr>
        <w:t>.</w:t>
      </w:r>
    </w:p>
    <w:p w14:paraId="48B4C6D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301</w:t>
      </w:r>
      <w:r w:rsidRPr="004B77DE">
        <w:rPr>
          <w:rFonts w:ascii="Trebuchet MS" w:hAnsi="Trebuchet MS"/>
          <w:noProof/>
          <w:sz w:val="16"/>
          <w:szCs w:val="16"/>
        </w:rPr>
        <w:t>.</w:t>
      </w:r>
      <w:r w:rsidRPr="004B77DE">
        <w:rPr>
          <w:rFonts w:ascii="Trebuchet MS" w:hAnsi="Trebuchet MS"/>
          <w:noProof/>
          <w:sz w:val="16"/>
          <w:szCs w:val="16"/>
        </w:rPr>
        <w:tab/>
        <w:t xml:space="preserve">Rodriguez-Blanque R, Sanchez-Garcia JC, Sanchez-Lopez AM et al. Physical activity during pregnancy and its influence on delivery time: a randomized clinical trial. </w:t>
      </w:r>
      <w:r w:rsidRPr="004B77DE">
        <w:rPr>
          <w:rFonts w:ascii="Trebuchet MS" w:hAnsi="Trebuchet MS"/>
          <w:i/>
          <w:noProof/>
          <w:sz w:val="16"/>
          <w:szCs w:val="16"/>
        </w:rPr>
        <w:t>PeerJ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e6370</w:t>
      </w:r>
      <w:r w:rsidRPr="004B77DE">
        <w:rPr>
          <w:rFonts w:ascii="Trebuchet MS" w:hAnsi="Trebuchet MS"/>
          <w:noProof/>
          <w:sz w:val="16"/>
          <w:szCs w:val="16"/>
        </w:rPr>
        <w:t>.</w:t>
      </w:r>
    </w:p>
    <w:p w14:paraId="2ECF6ED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302</w:t>
      </w:r>
      <w:r w:rsidRPr="004B77DE">
        <w:rPr>
          <w:rFonts w:ascii="Trebuchet MS" w:hAnsi="Trebuchet MS"/>
          <w:noProof/>
          <w:sz w:val="16"/>
          <w:szCs w:val="16"/>
        </w:rPr>
        <w:t>.</w:t>
      </w:r>
      <w:r w:rsidRPr="004B77DE">
        <w:rPr>
          <w:rFonts w:ascii="Trebuchet MS" w:hAnsi="Trebuchet MS"/>
          <w:noProof/>
          <w:sz w:val="16"/>
          <w:szCs w:val="16"/>
        </w:rPr>
        <w:tab/>
        <w:t xml:space="preserve">Perales M, Valenzuela PL, Barakat R et al. Gestational exercise and maternal and child health: effects until delivery and at post-natal follow-up. </w:t>
      </w:r>
      <w:r w:rsidRPr="004B77DE">
        <w:rPr>
          <w:rFonts w:ascii="Trebuchet MS" w:hAnsi="Trebuchet MS"/>
          <w:i/>
          <w:noProof/>
          <w:sz w:val="16"/>
          <w:szCs w:val="16"/>
        </w:rPr>
        <w:t>J Clin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w:t>
      </w:r>
    </w:p>
    <w:p w14:paraId="5A3DFCE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303</w:t>
      </w:r>
      <w:r w:rsidRPr="004B77DE">
        <w:rPr>
          <w:rFonts w:ascii="Trebuchet MS" w:hAnsi="Trebuchet MS"/>
          <w:noProof/>
          <w:sz w:val="16"/>
          <w:szCs w:val="16"/>
        </w:rPr>
        <w:t>.</w:t>
      </w:r>
      <w:r w:rsidRPr="004B77DE">
        <w:rPr>
          <w:rFonts w:ascii="Trebuchet MS" w:hAnsi="Trebuchet MS"/>
          <w:noProof/>
          <w:sz w:val="16"/>
          <w:szCs w:val="16"/>
        </w:rPr>
        <w:tab/>
        <w:t xml:space="preserve">Barakat R, Ruiz JR, Stirling JR et al. Type of delivery is not affected by light resistance and toning exercise training during pregnancy: a randomized controlled trial. </w:t>
      </w:r>
      <w:r w:rsidRPr="004B77DE">
        <w:rPr>
          <w:rFonts w:ascii="Trebuchet MS" w:hAnsi="Trebuchet MS"/>
          <w:i/>
          <w:noProof/>
          <w:sz w:val="16"/>
          <w:szCs w:val="16"/>
        </w:rPr>
        <w:t>Am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3C69991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304</w:t>
      </w:r>
      <w:r w:rsidRPr="004B77DE">
        <w:rPr>
          <w:rFonts w:ascii="Trebuchet MS" w:hAnsi="Trebuchet MS"/>
          <w:noProof/>
          <w:sz w:val="16"/>
          <w:szCs w:val="16"/>
        </w:rPr>
        <w:t>.</w:t>
      </w:r>
      <w:r w:rsidRPr="004B77DE">
        <w:rPr>
          <w:rFonts w:ascii="Trebuchet MS" w:hAnsi="Trebuchet MS"/>
          <w:noProof/>
          <w:sz w:val="16"/>
          <w:szCs w:val="16"/>
        </w:rPr>
        <w:tab/>
        <w:t xml:space="preserve">Garnaes KK, Morkved S, Salvesen O et al. Exercise Training and Weight Gain in Obese Pregnant Women: A Randomized Controlled Trial (ETIP Trial). </w:t>
      </w:r>
      <w:r w:rsidRPr="004B77DE">
        <w:rPr>
          <w:rFonts w:ascii="Trebuchet MS" w:hAnsi="Trebuchet MS"/>
          <w:i/>
          <w:noProof/>
          <w:sz w:val="16"/>
          <w:szCs w:val="16"/>
        </w:rPr>
        <w:t>PLoS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e1002079</w:t>
      </w:r>
      <w:r w:rsidRPr="004B77DE">
        <w:rPr>
          <w:rFonts w:ascii="Trebuchet MS" w:hAnsi="Trebuchet MS"/>
          <w:noProof/>
          <w:sz w:val="16"/>
          <w:szCs w:val="16"/>
        </w:rPr>
        <w:t>.</w:t>
      </w:r>
    </w:p>
    <w:p w14:paraId="0F34FF1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305</w:t>
      </w:r>
      <w:r w:rsidRPr="004B77DE">
        <w:rPr>
          <w:rFonts w:ascii="Trebuchet MS" w:hAnsi="Trebuchet MS"/>
          <w:noProof/>
          <w:sz w:val="16"/>
          <w:szCs w:val="16"/>
        </w:rPr>
        <w:t>.</w:t>
      </w:r>
      <w:r w:rsidRPr="004B77DE">
        <w:rPr>
          <w:rFonts w:ascii="Trebuchet MS" w:hAnsi="Trebuchet MS"/>
          <w:noProof/>
          <w:sz w:val="16"/>
          <w:szCs w:val="16"/>
        </w:rPr>
        <w:tab/>
        <w:t xml:space="preserve">Rodriguez-Blanque R, Sanchez-Garcia JC, Sanchez-Lopez AM et al. Randomized clinical trial of an aquatic physical exercise program during pregnancy. </w:t>
      </w:r>
      <w:r w:rsidRPr="004B77DE">
        <w:rPr>
          <w:rFonts w:ascii="Trebuchet MS" w:hAnsi="Trebuchet MS"/>
          <w:i/>
          <w:noProof/>
          <w:sz w:val="16"/>
          <w:szCs w:val="16"/>
        </w:rPr>
        <w:t>J Obstet Gynecol Neonatal Nurs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48</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321</w:t>
      </w:r>
      <w:r w:rsidRPr="004B77DE">
        <w:rPr>
          <w:rFonts w:ascii="Trebuchet MS" w:hAnsi="Trebuchet MS"/>
          <w:noProof/>
          <w:sz w:val="16"/>
          <w:szCs w:val="16"/>
        </w:rPr>
        <w:t>-</w:t>
      </w:r>
      <w:r w:rsidRPr="004B77DE">
        <w:rPr>
          <w:rFonts w:ascii="Trebuchet MS" w:eastAsia="Calibri" w:hAnsi="Trebuchet MS" w:cs="Calibri"/>
          <w:noProof/>
          <w:sz w:val="16"/>
          <w:szCs w:val="16"/>
        </w:rPr>
        <w:t>31</w:t>
      </w:r>
      <w:r w:rsidRPr="004B77DE">
        <w:rPr>
          <w:rFonts w:ascii="Trebuchet MS" w:hAnsi="Trebuchet MS"/>
          <w:noProof/>
          <w:sz w:val="16"/>
          <w:szCs w:val="16"/>
        </w:rPr>
        <w:t>.</w:t>
      </w:r>
    </w:p>
    <w:p w14:paraId="5E6E17F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306</w:t>
      </w:r>
      <w:r w:rsidRPr="004B77DE">
        <w:rPr>
          <w:rFonts w:ascii="Trebuchet MS" w:hAnsi="Trebuchet MS"/>
          <w:noProof/>
          <w:sz w:val="16"/>
          <w:szCs w:val="16"/>
        </w:rPr>
        <w:t>.</w:t>
      </w:r>
      <w:r w:rsidRPr="004B77DE">
        <w:rPr>
          <w:rFonts w:ascii="Trebuchet MS" w:hAnsi="Trebuchet MS"/>
          <w:noProof/>
          <w:sz w:val="16"/>
          <w:szCs w:val="16"/>
        </w:rPr>
        <w:tab/>
        <w:t xml:space="preserve">Davenport MH, Yoo C, Mottola MF et al. Effects of prenatal exercise on incidence of congenital anomalies and hyperthermia: a systematic review and meta-analysis.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116</w:t>
      </w:r>
      <w:r w:rsidRPr="004B77DE">
        <w:rPr>
          <w:rFonts w:ascii="Trebuchet MS" w:hAnsi="Trebuchet MS"/>
          <w:noProof/>
          <w:sz w:val="16"/>
          <w:szCs w:val="16"/>
        </w:rPr>
        <w:t>-</w:t>
      </w:r>
      <w:r w:rsidRPr="004B77DE">
        <w:rPr>
          <w:rFonts w:ascii="Trebuchet MS" w:eastAsia="Calibri" w:hAnsi="Trebuchet MS" w:cs="Calibri"/>
          <w:noProof/>
          <w:sz w:val="16"/>
          <w:szCs w:val="16"/>
        </w:rPr>
        <w:t>23</w:t>
      </w:r>
      <w:r w:rsidRPr="004B77DE">
        <w:rPr>
          <w:rFonts w:ascii="Trebuchet MS" w:hAnsi="Trebuchet MS"/>
          <w:noProof/>
          <w:sz w:val="16"/>
          <w:szCs w:val="16"/>
        </w:rPr>
        <w:t>.</w:t>
      </w:r>
    </w:p>
    <w:p w14:paraId="05CA0A5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307</w:t>
      </w:r>
      <w:r w:rsidRPr="004B77DE">
        <w:rPr>
          <w:rFonts w:ascii="Trebuchet MS" w:hAnsi="Trebuchet MS"/>
          <w:noProof/>
          <w:sz w:val="16"/>
          <w:szCs w:val="16"/>
        </w:rPr>
        <w:t>.</w:t>
      </w:r>
      <w:r w:rsidRPr="004B77DE">
        <w:rPr>
          <w:rFonts w:ascii="Trebuchet MS" w:hAnsi="Trebuchet MS"/>
          <w:noProof/>
          <w:sz w:val="16"/>
          <w:szCs w:val="16"/>
        </w:rPr>
        <w:tab/>
        <w:t xml:space="preserve">Owe KM, Nystad W, Bø K. Association Between Regular Exercise and Excessive Newborn Birth Weight. </w:t>
      </w:r>
      <w:r w:rsidRPr="004B77DE">
        <w:rPr>
          <w:rFonts w:ascii="Trebuchet MS" w:hAnsi="Trebuchet MS"/>
          <w:i/>
          <w:noProof/>
          <w:sz w:val="16"/>
          <w:szCs w:val="16"/>
        </w:rPr>
        <w:t>Obstetrics &amp; Gynecology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114</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770</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7E289CC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308</w:t>
      </w:r>
      <w:r w:rsidRPr="004B77DE">
        <w:rPr>
          <w:rFonts w:ascii="Trebuchet MS" w:hAnsi="Trebuchet MS"/>
          <w:noProof/>
          <w:sz w:val="16"/>
          <w:szCs w:val="16"/>
        </w:rPr>
        <w:t>.</w:t>
      </w:r>
      <w:r w:rsidRPr="004B77DE">
        <w:rPr>
          <w:rFonts w:ascii="Trebuchet MS" w:hAnsi="Trebuchet MS"/>
          <w:noProof/>
          <w:sz w:val="16"/>
          <w:szCs w:val="16"/>
        </w:rPr>
        <w:tab/>
        <w:t xml:space="preserve">Leiferman JA, Evenson KR. The effect of regular leisure physical activity on birth outcomes. </w:t>
      </w:r>
      <w:r w:rsidRPr="004B77DE">
        <w:rPr>
          <w:rFonts w:ascii="Trebuchet MS" w:hAnsi="Trebuchet MS"/>
          <w:i/>
          <w:noProof/>
          <w:sz w:val="16"/>
          <w:szCs w:val="16"/>
        </w:rPr>
        <w:t>Matern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w:t>
      </w:r>
      <w:r w:rsidRPr="004B77DE">
        <w:rPr>
          <w:rFonts w:ascii="Trebuchet MS" w:hAnsi="Trebuchet MS"/>
          <w:noProof/>
          <w:sz w:val="16"/>
          <w:szCs w:val="16"/>
        </w:rPr>
        <w:t>-</w:t>
      </w:r>
      <w:r w:rsidRPr="004B77DE">
        <w:rPr>
          <w:rFonts w:ascii="Trebuchet MS" w:eastAsia="Calibri" w:hAnsi="Trebuchet MS" w:cs="Calibri"/>
          <w:noProof/>
          <w:sz w:val="16"/>
          <w:szCs w:val="16"/>
        </w:rPr>
        <w:t>64</w:t>
      </w:r>
      <w:r w:rsidRPr="004B77DE">
        <w:rPr>
          <w:rFonts w:ascii="Trebuchet MS" w:hAnsi="Trebuchet MS"/>
          <w:noProof/>
          <w:sz w:val="16"/>
          <w:szCs w:val="16"/>
        </w:rPr>
        <w:t>.</w:t>
      </w:r>
    </w:p>
    <w:p w14:paraId="5131F13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309</w:t>
      </w:r>
      <w:r w:rsidRPr="004B77DE">
        <w:rPr>
          <w:rFonts w:ascii="Trebuchet MS" w:hAnsi="Trebuchet MS"/>
          <w:noProof/>
          <w:sz w:val="16"/>
          <w:szCs w:val="16"/>
        </w:rPr>
        <w:t>.</w:t>
      </w:r>
      <w:r w:rsidRPr="004B77DE">
        <w:rPr>
          <w:rFonts w:ascii="Trebuchet MS" w:hAnsi="Trebuchet MS"/>
          <w:noProof/>
          <w:sz w:val="16"/>
          <w:szCs w:val="16"/>
        </w:rPr>
        <w:tab/>
        <w:t xml:space="preserve">Kong KL, Gillman MW, Rifas-Shiman SL et al. Leisure time physical activity before and during mid-pregnancy and offspring adiposity in mid-childhood. </w:t>
      </w:r>
      <w:r w:rsidRPr="004B77DE">
        <w:rPr>
          <w:rFonts w:ascii="Trebuchet MS" w:hAnsi="Trebuchet MS"/>
          <w:i/>
          <w:noProof/>
          <w:sz w:val="16"/>
          <w:szCs w:val="16"/>
        </w:rPr>
        <w:t>Pediatr Obes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2CE8590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310</w:t>
      </w:r>
      <w:r w:rsidRPr="004B77DE">
        <w:rPr>
          <w:rFonts w:ascii="Trebuchet MS" w:hAnsi="Trebuchet MS"/>
          <w:noProof/>
          <w:sz w:val="16"/>
          <w:szCs w:val="16"/>
        </w:rPr>
        <w:t>.</w:t>
      </w:r>
      <w:r w:rsidRPr="004B77DE">
        <w:rPr>
          <w:rFonts w:ascii="Trebuchet MS" w:hAnsi="Trebuchet MS"/>
          <w:noProof/>
          <w:sz w:val="16"/>
          <w:szCs w:val="16"/>
        </w:rPr>
        <w:tab/>
        <w:t xml:space="preserve">Nino Cruz GI, Ramirez Varela A, da Silva ICM et al. Physical activity during pregnancy and offspring neurodevelopment: A systematic review. </w:t>
      </w:r>
      <w:r w:rsidRPr="004B77DE">
        <w:rPr>
          <w:rFonts w:ascii="Trebuchet MS" w:hAnsi="Trebuchet MS"/>
          <w:i/>
          <w:noProof/>
          <w:sz w:val="16"/>
          <w:szCs w:val="16"/>
        </w:rPr>
        <w:t>Paediatr Perinat Epidemiol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369</w:t>
      </w:r>
      <w:r w:rsidRPr="004B77DE">
        <w:rPr>
          <w:rFonts w:ascii="Trebuchet MS" w:hAnsi="Trebuchet MS"/>
          <w:noProof/>
          <w:sz w:val="16"/>
          <w:szCs w:val="16"/>
        </w:rPr>
        <w:t>-</w:t>
      </w:r>
      <w:r w:rsidRPr="004B77DE">
        <w:rPr>
          <w:rFonts w:ascii="Trebuchet MS" w:eastAsia="Calibri" w:hAnsi="Trebuchet MS" w:cs="Calibri"/>
          <w:noProof/>
          <w:sz w:val="16"/>
          <w:szCs w:val="16"/>
        </w:rPr>
        <w:t>79</w:t>
      </w:r>
      <w:r w:rsidRPr="004B77DE">
        <w:rPr>
          <w:rFonts w:ascii="Trebuchet MS" w:hAnsi="Trebuchet MS"/>
          <w:noProof/>
          <w:sz w:val="16"/>
          <w:szCs w:val="16"/>
        </w:rPr>
        <w:t>.</w:t>
      </w:r>
    </w:p>
    <w:p w14:paraId="4535180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311</w:t>
      </w:r>
      <w:r w:rsidRPr="004B77DE">
        <w:rPr>
          <w:rFonts w:ascii="Trebuchet MS" w:hAnsi="Trebuchet MS"/>
          <w:noProof/>
          <w:sz w:val="16"/>
          <w:szCs w:val="16"/>
        </w:rPr>
        <w:t>.</w:t>
      </w:r>
      <w:r w:rsidRPr="004B77DE">
        <w:rPr>
          <w:rFonts w:ascii="Trebuchet MS" w:hAnsi="Trebuchet MS"/>
          <w:noProof/>
          <w:sz w:val="16"/>
          <w:szCs w:val="16"/>
        </w:rPr>
        <w:tab/>
        <w:t xml:space="preserve">Cai C, Ruchat SM, Sivak A et al. Prenatal exercise and cardiorespiratory health and fitness: A meta-analysis. </w:t>
      </w:r>
      <w:r w:rsidRPr="004B77DE">
        <w:rPr>
          <w:rFonts w:ascii="Trebuchet MS" w:hAnsi="Trebuchet MS"/>
          <w:i/>
          <w:noProof/>
          <w:sz w:val="16"/>
          <w:szCs w:val="16"/>
        </w:rPr>
        <w:t>Med Sci Sports Exerc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w:t>
      </w:r>
    </w:p>
    <w:p w14:paraId="7893D8A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312</w:t>
      </w:r>
      <w:r w:rsidRPr="004B77DE">
        <w:rPr>
          <w:rFonts w:ascii="Trebuchet MS" w:hAnsi="Trebuchet MS"/>
          <w:noProof/>
          <w:sz w:val="16"/>
          <w:szCs w:val="16"/>
        </w:rPr>
        <w:t>.</w:t>
      </w:r>
      <w:r w:rsidRPr="004B77DE">
        <w:rPr>
          <w:rFonts w:ascii="Trebuchet MS" w:hAnsi="Trebuchet MS"/>
          <w:noProof/>
          <w:sz w:val="16"/>
          <w:szCs w:val="16"/>
        </w:rPr>
        <w:tab/>
        <w:t xml:space="preserve">Cavalcante SR, Cecatti JG, Pereira RI et al. Water aerobics II: maternal body composition and perinatal outcomes after a program for low risk pregnant women. </w:t>
      </w:r>
      <w:r w:rsidRPr="004B77DE">
        <w:rPr>
          <w:rFonts w:ascii="Trebuchet MS" w:hAnsi="Trebuchet MS"/>
          <w:i/>
          <w:noProof/>
          <w:sz w:val="16"/>
          <w:szCs w:val="16"/>
        </w:rPr>
        <w:t>Reprod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37CB719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313</w:t>
      </w:r>
      <w:r w:rsidRPr="004B77DE">
        <w:rPr>
          <w:rFonts w:ascii="Trebuchet MS" w:hAnsi="Trebuchet MS"/>
          <w:noProof/>
          <w:sz w:val="16"/>
          <w:szCs w:val="16"/>
        </w:rPr>
        <w:t>.</w:t>
      </w:r>
      <w:r w:rsidRPr="004B77DE">
        <w:rPr>
          <w:rFonts w:ascii="Trebuchet MS" w:hAnsi="Trebuchet MS"/>
          <w:noProof/>
          <w:sz w:val="16"/>
          <w:szCs w:val="16"/>
        </w:rPr>
        <w:tab/>
        <w:t xml:space="preserve">Barakat R, Lucia A, Ruiz JR. Resistance exercise training during pregnancy and newborn's birth size: a randomised controlled trial. </w:t>
      </w:r>
      <w:r w:rsidRPr="004B77DE">
        <w:rPr>
          <w:rFonts w:ascii="Trebuchet MS" w:hAnsi="Trebuchet MS"/>
          <w:i/>
          <w:noProof/>
          <w:sz w:val="16"/>
          <w:szCs w:val="16"/>
        </w:rPr>
        <w:t>Int J Obes (Lond)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1048</w:t>
      </w:r>
      <w:r w:rsidRPr="004B77DE">
        <w:rPr>
          <w:rFonts w:ascii="Trebuchet MS" w:hAnsi="Trebuchet MS"/>
          <w:noProof/>
          <w:sz w:val="16"/>
          <w:szCs w:val="16"/>
        </w:rPr>
        <w:t>-</w:t>
      </w:r>
      <w:r w:rsidRPr="004B77DE">
        <w:rPr>
          <w:rFonts w:ascii="Trebuchet MS" w:eastAsia="Calibri" w:hAnsi="Trebuchet MS" w:cs="Calibri"/>
          <w:noProof/>
          <w:sz w:val="16"/>
          <w:szCs w:val="16"/>
        </w:rPr>
        <w:t>57</w:t>
      </w:r>
      <w:r w:rsidRPr="004B77DE">
        <w:rPr>
          <w:rFonts w:ascii="Trebuchet MS" w:hAnsi="Trebuchet MS"/>
          <w:noProof/>
          <w:sz w:val="16"/>
          <w:szCs w:val="16"/>
        </w:rPr>
        <w:t>.</w:t>
      </w:r>
    </w:p>
    <w:p w14:paraId="2C74AD0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314</w:t>
      </w:r>
      <w:r w:rsidRPr="004B77DE">
        <w:rPr>
          <w:rFonts w:ascii="Trebuchet MS" w:hAnsi="Trebuchet MS"/>
          <w:noProof/>
          <w:sz w:val="16"/>
          <w:szCs w:val="16"/>
        </w:rPr>
        <w:t>.</w:t>
      </w:r>
      <w:r w:rsidRPr="004B77DE">
        <w:rPr>
          <w:rFonts w:ascii="Trebuchet MS" w:hAnsi="Trebuchet MS"/>
          <w:noProof/>
          <w:sz w:val="16"/>
          <w:szCs w:val="16"/>
        </w:rPr>
        <w:tab/>
        <w:t xml:space="preserve">Garnaes KK, Nyrnes SA, Salvesen KA et al. Effect of supervised exercise training during pregnancy on neonatal and maternal outcomes among overweight and obese women. Secondary analyses of the ETIP trial: A randomised controlled trial.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e0173937</w:t>
      </w:r>
      <w:r w:rsidRPr="004B77DE">
        <w:rPr>
          <w:rFonts w:ascii="Trebuchet MS" w:hAnsi="Trebuchet MS"/>
          <w:noProof/>
          <w:sz w:val="16"/>
          <w:szCs w:val="16"/>
        </w:rPr>
        <w:t>.</w:t>
      </w:r>
    </w:p>
    <w:p w14:paraId="4B633E3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315</w:t>
      </w:r>
      <w:r w:rsidRPr="004B77DE">
        <w:rPr>
          <w:rFonts w:ascii="Trebuchet MS" w:hAnsi="Trebuchet MS"/>
          <w:noProof/>
          <w:sz w:val="16"/>
          <w:szCs w:val="16"/>
        </w:rPr>
        <w:t>.</w:t>
      </w:r>
      <w:r w:rsidRPr="004B77DE">
        <w:rPr>
          <w:rFonts w:ascii="Trebuchet MS" w:hAnsi="Trebuchet MS"/>
          <w:noProof/>
          <w:sz w:val="16"/>
          <w:szCs w:val="16"/>
        </w:rPr>
        <w:tab/>
        <w:t xml:space="preserve">Garnæs KK, Mørkved S, Salvesen KÅ et al. Exercise training during pregnancy reduces circulating insulin levels in overweight/obese women postpartum: secondary analysis of a randomised controlled trial (the ETIP trial). </w:t>
      </w:r>
      <w:r w:rsidRPr="004B77DE">
        <w:rPr>
          <w:rFonts w:ascii="Trebuchet MS" w:hAnsi="Trebuchet MS"/>
          <w:i/>
          <w:noProof/>
          <w:sz w:val="16"/>
          <w:szCs w:val="16"/>
        </w:rPr>
        <w:t>BMC Pregnancy and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25F9BC9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316</w:t>
      </w:r>
      <w:r w:rsidRPr="004B77DE">
        <w:rPr>
          <w:rFonts w:ascii="Trebuchet MS" w:hAnsi="Trebuchet MS"/>
          <w:noProof/>
          <w:sz w:val="16"/>
          <w:szCs w:val="16"/>
        </w:rPr>
        <w:t>.</w:t>
      </w:r>
      <w:r w:rsidRPr="004B77DE">
        <w:rPr>
          <w:rFonts w:ascii="Trebuchet MS" w:hAnsi="Trebuchet MS"/>
          <w:noProof/>
          <w:sz w:val="16"/>
          <w:szCs w:val="16"/>
        </w:rPr>
        <w:tab/>
        <w:t xml:space="preserve">Davenport MH, Kathol AJ, Mottola MF et al. Prenatal exercise is not associated with fetal mortality: a systematic review and meta-analysis.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108</w:t>
      </w:r>
      <w:r w:rsidRPr="004B77DE">
        <w:rPr>
          <w:rFonts w:ascii="Trebuchet MS" w:hAnsi="Trebuchet MS"/>
          <w:noProof/>
          <w:sz w:val="16"/>
          <w:szCs w:val="16"/>
        </w:rPr>
        <w:t>-</w:t>
      </w:r>
      <w:r w:rsidRPr="004B77DE">
        <w:rPr>
          <w:rFonts w:ascii="Trebuchet MS" w:eastAsia="Calibri" w:hAnsi="Trebuchet MS" w:cs="Calibri"/>
          <w:noProof/>
          <w:sz w:val="16"/>
          <w:szCs w:val="16"/>
        </w:rPr>
        <w:t>15</w:t>
      </w:r>
      <w:r w:rsidRPr="004B77DE">
        <w:rPr>
          <w:rFonts w:ascii="Trebuchet MS" w:hAnsi="Trebuchet MS"/>
          <w:noProof/>
          <w:sz w:val="16"/>
          <w:szCs w:val="16"/>
        </w:rPr>
        <w:t>.</w:t>
      </w:r>
    </w:p>
    <w:p w14:paraId="4B928F1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317</w:t>
      </w:r>
      <w:r w:rsidRPr="004B77DE">
        <w:rPr>
          <w:rFonts w:ascii="Trebuchet MS" w:hAnsi="Trebuchet MS"/>
          <w:noProof/>
          <w:sz w:val="16"/>
          <w:szCs w:val="16"/>
        </w:rPr>
        <w:t>.</w:t>
      </w:r>
      <w:r w:rsidRPr="004B77DE">
        <w:rPr>
          <w:rFonts w:ascii="Trebuchet MS" w:hAnsi="Trebuchet MS"/>
          <w:noProof/>
          <w:sz w:val="16"/>
          <w:szCs w:val="16"/>
        </w:rPr>
        <w:tab/>
        <w:t xml:space="preserve">Skow RJ, Davenport MH, Mottola MF et al. Effects of prenatal exercise on fetal heart rate, umbilical and uterine blood flow: a systematic review and meta-analysis. </w:t>
      </w:r>
      <w:r w:rsidRPr="004B77DE">
        <w:rPr>
          <w:rFonts w:ascii="Trebuchet MS" w:hAnsi="Trebuchet MS"/>
          <w:i/>
          <w:noProof/>
          <w:sz w:val="16"/>
          <w:szCs w:val="16"/>
        </w:rPr>
        <w:t>Br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124</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35A23A0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318</w:t>
      </w:r>
      <w:r w:rsidRPr="004B77DE">
        <w:rPr>
          <w:rFonts w:ascii="Trebuchet MS" w:hAnsi="Trebuchet MS"/>
          <w:noProof/>
          <w:sz w:val="16"/>
          <w:szCs w:val="16"/>
        </w:rPr>
        <w:t>.</w:t>
      </w:r>
      <w:r w:rsidRPr="004B77DE">
        <w:rPr>
          <w:rFonts w:ascii="Trebuchet MS" w:hAnsi="Trebuchet MS"/>
          <w:noProof/>
          <w:sz w:val="16"/>
          <w:szCs w:val="16"/>
        </w:rPr>
        <w:tab/>
        <w:t xml:space="preserve">Beetham KS, Giles C, Noetel M et al. The effects of vigorous intensity exercise in the third trimester of pregnancy: a systematic review and meta-analysis. </w:t>
      </w:r>
      <w:r w:rsidRPr="004B77DE">
        <w:rPr>
          <w:rFonts w:ascii="Trebuchet MS" w:hAnsi="Trebuchet MS"/>
          <w:i/>
          <w:noProof/>
          <w:sz w:val="16"/>
          <w:szCs w:val="16"/>
        </w:rPr>
        <w:t>BMC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281</w:t>
      </w:r>
      <w:r w:rsidRPr="004B77DE">
        <w:rPr>
          <w:rFonts w:ascii="Trebuchet MS" w:hAnsi="Trebuchet MS"/>
          <w:noProof/>
          <w:sz w:val="16"/>
          <w:szCs w:val="16"/>
        </w:rPr>
        <w:t>.</w:t>
      </w:r>
    </w:p>
    <w:p w14:paraId="5BFF9F4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319</w:t>
      </w:r>
      <w:r w:rsidRPr="004B77DE">
        <w:rPr>
          <w:rFonts w:ascii="Trebuchet MS" w:hAnsi="Trebuchet MS"/>
          <w:noProof/>
          <w:sz w:val="16"/>
          <w:szCs w:val="16"/>
        </w:rPr>
        <w:t>.</w:t>
      </w:r>
      <w:r w:rsidRPr="004B77DE">
        <w:rPr>
          <w:rFonts w:ascii="Trebuchet MS" w:hAnsi="Trebuchet MS"/>
          <w:noProof/>
          <w:sz w:val="16"/>
          <w:szCs w:val="16"/>
        </w:rPr>
        <w:tab/>
        <w:t xml:space="preserve">Hoffmann J, Gunther J, Geyer K et al. Associations between prenatal physical activity and neonatal and obstetric outcomes-a secondary analysis of the cluster-randomized GeliS trial. </w:t>
      </w:r>
      <w:r w:rsidRPr="004B77DE">
        <w:rPr>
          <w:rFonts w:ascii="Trebuchet MS" w:hAnsi="Trebuchet MS"/>
          <w:i/>
          <w:noProof/>
          <w:sz w:val="16"/>
          <w:szCs w:val="16"/>
        </w:rPr>
        <w:t>J Clin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w:t>
      </w:r>
    </w:p>
    <w:p w14:paraId="1D0481B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320</w:t>
      </w:r>
      <w:r w:rsidRPr="004B77DE">
        <w:rPr>
          <w:rFonts w:ascii="Trebuchet MS" w:hAnsi="Trebuchet MS"/>
          <w:noProof/>
          <w:sz w:val="16"/>
          <w:szCs w:val="16"/>
        </w:rPr>
        <w:t>.</w:t>
      </w:r>
      <w:r w:rsidRPr="004B77DE">
        <w:rPr>
          <w:rFonts w:ascii="Trebuchet MS" w:hAnsi="Trebuchet MS"/>
          <w:noProof/>
          <w:sz w:val="16"/>
          <w:szCs w:val="16"/>
        </w:rPr>
        <w:tab/>
        <w:t xml:space="preserve">Madsen M, Jorgensen T, Jensen ML et al. Leisure time physical exercise during pregnancy and the risk of miscarriage: a study within the Danish National Birth Cohort. </w:t>
      </w:r>
      <w:r w:rsidRPr="004B77DE">
        <w:rPr>
          <w:rFonts w:ascii="Trebuchet MS" w:hAnsi="Trebuchet MS"/>
          <w:i/>
          <w:noProof/>
          <w:sz w:val="16"/>
          <w:szCs w:val="16"/>
        </w:rPr>
        <w:t>BJOG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114</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1419</w:t>
      </w:r>
      <w:r w:rsidRPr="004B77DE">
        <w:rPr>
          <w:rFonts w:ascii="Trebuchet MS" w:hAnsi="Trebuchet MS"/>
          <w:noProof/>
          <w:sz w:val="16"/>
          <w:szCs w:val="16"/>
        </w:rPr>
        <w:t>-</w:t>
      </w:r>
      <w:r w:rsidRPr="004B77DE">
        <w:rPr>
          <w:rFonts w:ascii="Trebuchet MS" w:eastAsia="Calibri" w:hAnsi="Trebuchet MS" w:cs="Calibri"/>
          <w:noProof/>
          <w:sz w:val="16"/>
          <w:szCs w:val="16"/>
        </w:rPr>
        <w:t>26</w:t>
      </w:r>
      <w:r w:rsidRPr="004B77DE">
        <w:rPr>
          <w:rFonts w:ascii="Trebuchet MS" w:hAnsi="Trebuchet MS"/>
          <w:noProof/>
          <w:sz w:val="16"/>
          <w:szCs w:val="16"/>
        </w:rPr>
        <w:t>.</w:t>
      </w:r>
    </w:p>
    <w:p w14:paraId="4353EC2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321</w:t>
      </w:r>
      <w:r w:rsidRPr="004B77DE">
        <w:rPr>
          <w:rFonts w:ascii="Trebuchet MS" w:hAnsi="Trebuchet MS"/>
          <w:noProof/>
          <w:sz w:val="16"/>
          <w:szCs w:val="16"/>
        </w:rPr>
        <w:t>.</w:t>
      </w:r>
      <w:r w:rsidRPr="004B77DE">
        <w:rPr>
          <w:rFonts w:ascii="Trebuchet MS" w:hAnsi="Trebuchet MS"/>
          <w:noProof/>
          <w:sz w:val="16"/>
          <w:szCs w:val="16"/>
        </w:rPr>
        <w:tab/>
        <w:t xml:space="preserve">Evenson KR, Siega-Riz AM, Savitz DA et al. Vigorous leisure activity and pregnancy outcome. </w:t>
      </w:r>
      <w:r w:rsidRPr="004B77DE">
        <w:rPr>
          <w:rFonts w:ascii="Trebuchet MS" w:hAnsi="Trebuchet MS"/>
          <w:i/>
          <w:noProof/>
          <w:sz w:val="16"/>
          <w:szCs w:val="16"/>
        </w:rPr>
        <w:t>Epidemiology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653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20707C6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322</w:t>
      </w:r>
      <w:r w:rsidRPr="004B77DE">
        <w:rPr>
          <w:rFonts w:ascii="Trebuchet MS" w:hAnsi="Trebuchet MS"/>
          <w:noProof/>
          <w:sz w:val="16"/>
          <w:szCs w:val="16"/>
        </w:rPr>
        <w:t>.</w:t>
      </w:r>
      <w:r w:rsidRPr="004B77DE">
        <w:rPr>
          <w:rFonts w:ascii="Trebuchet MS" w:hAnsi="Trebuchet MS"/>
          <w:noProof/>
          <w:sz w:val="16"/>
          <w:szCs w:val="16"/>
        </w:rPr>
        <w:tab/>
        <w:t xml:space="preserve">Jukic AM, Evenson KR, Daniels JL et al. A prospective study of the association between vigorous physical activity during pregnancy and length of gestation and birthweight. </w:t>
      </w:r>
      <w:r w:rsidRPr="004B77DE">
        <w:rPr>
          <w:rFonts w:ascii="Trebuchet MS" w:hAnsi="Trebuchet MS"/>
          <w:i/>
          <w:noProof/>
          <w:sz w:val="16"/>
          <w:szCs w:val="16"/>
        </w:rPr>
        <w:t>Matern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1031</w:t>
      </w:r>
      <w:r w:rsidRPr="004B77DE">
        <w:rPr>
          <w:rFonts w:ascii="Trebuchet MS" w:hAnsi="Trebuchet MS"/>
          <w:noProof/>
          <w:sz w:val="16"/>
          <w:szCs w:val="16"/>
        </w:rPr>
        <w:t>-</w:t>
      </w:r>
      <w:r w:rsidRPr="004B77DE">
        <w:rPr>
          <w:rFonts w:ascii="Trebuchet MS" w:eastAsia="Calibri" w:hAnsi="Trebuchet MS" w:cs="Calibri"/>
          <w:noProof/>
          <w:sz w:val="16"/>
          <w:szCs w:val="16"/>
        </w:rPr>
        <w:t>44</w:t>
      </w:r>
      <w:r w:rsidRPr="004B77DE">
        <w:rPr>
          <w:rFonts w:ascii="Trebuchet MS" w:hAnsi="Trebuchet MS"/>
          <w:noProof/>
          <w:sz w:val="16"/>
          <w:szCs w:val="16"/>
        </w:rPr>
        <w:t>.</w:t>
      </w:r>
    </w:p>
    <w:p w14:paraId="49FFC07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323</w:t>
      </w:r>
      <w:r w:rsidRPr="004B77DE">
        <w:rPr>
          <w:rFonts w:ascii="Trebuchet MS" w:hAnsi="Trebuchet MS"/>
          <w:noProof/>
          <w:sz w:val="16"/>
          <w:szCs w:val="16"/>
        </w:rPr>
        <w:t>.</w:t>
      </w:r>
      <w:r w:rsidRPr="004B77DE">
        <w:rPr>
          <w:rFonts w:ascii="Trebuchet MS" w:hAnsi="Trebuchet MS"/>
          <w:noProof/>
          <w:sz w:val="16"/>
          <w:szCs w:val="16"/>
        </w:rPr>
        <w:tab/>
        <w:t xml:space="preserve">Mottola MF, Nagpal TS, Bgeginski R et al. Is supine exercise associated with adverse maternal and fetal outcomes? A systematic review. </w:t>
      </w:r>
      <w:r w:rsidRPr="004B77DE">
        <w:rPr>
          <w:rFonts w:ascii="Trebuchet MS" w:hAnsi="Trebuchet MS"/>
          <w:i/>
          <w:noProof/>
          <w:sz w:val="16"/>
          <w:szCs w:val="16"/>
        </w:rPr>
        <w:t>British Journal of Sports Medicine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30372C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324</w:t>
      </w:r>
      <w:r w:rsidRPr="004B77DE">
        <w:rPr>
          <w:rFonts w:ascii="Trebuchet MS" w:hAnsi="Trebuchet MS"/>
          <w:noProof/>
          <w:sz w:val="16"/>
          <w:szCs w:val="16"/>
        </w:rPr>
        <w:t>.</w:t>
      </w:r>
      <w:r w:rsidRPr="004B77DE">
        <w:rPr>
          <w:rFonts w:ascii="Trebuchet MS" w:hAnsi="Trebuchet MS"/>
          <w:noProof/>
          <w:sz w:val="16"/>
          <w:szCs w:val="16"/>
        </w:rPr>
        <w:tab/>
        <w:t xml:space="preserve">Brearley AL, Sherburn M, Galea MP et al. Pregnant women maintain body temperatures within safe limits during moderate-intensity aqua-aerobic classes conducted in pools heated up to 33 degrees Celsius: an observational study. </w:t>
      </w:r>
      <w:r w:rsidRPr="004B77DE">
        <w:rPr>
          <w:rFonts w:ascii="Trebuchet MS" w:hAnsi="Trebuchet MS"/>
          <w:i/>
          <w:noProof/>
          <w:sz w:val="16"/>
          <w:szCs w:val="16"/>
        </w:rPr>
        <w:t>Journal of Physiotherapy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61</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199</w:t>
      </w:r>
      <w:r w:rsidRPr="004B77DE">
        <w:rPr>
          <w:rFonts w:ascii="Trebuchet MS" w:hAnsi="Trebuchet MS"/>
          <w:noProof/>
          <w:sz w:val="16"/>
          <w:szCs w:val="16"/>
        </w:rPr>
        <w:t>-</w:t>
      </w:r>
      <w:r w:rsidRPr="004B77DE">
        <w:rPr>
          <w:rFonts w:ascii="Trebuchet MS" w:eastAsia="Calibri" w:hAnsi="Trebuchet MS" w:cs="Calibri"/>
          <w:noProof/>
          <w:sz w:val="16"/>
          <w:szCs w:val="16"/>
        </w:rPr>
        <w:t>203</w:t>
      </w:r>
      <w:r w:rsidRPr="004B77DE">
        <w:rPr>
          <w:rFonts w:ascii="Trebuchet MS" w:hAnsi="Trebuchet MS"/>
          <w:noProof/>
          <w:sz w:val="16"/>
          <w:szCs w:val="16"/>
        </w:rPr>
        <w:t>.</w:t>
      </w:r>
    </w:p>
    <w:p w14:paraId="0880B30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325</w:t>
      </w:r>
      <w:r w:rsidRPr="004B77DE">
        <w:rPr>
          <w:rFonts w:ascii="Trebuchet MS" w:hAnsi="Trebuchet MS"/>
          <w:noProof/>
          <w:sz w:val="16"/>
          <w:szCs w:val="16"/>
        </w:rPr>
        <w:t>.</w:t>
      </w:r>
      <w:r w:rsidRPr="004B77DE">
        <w:rPr>
          <w:rFonts w:ascii="Trebuchet MS" w:hAnsi="Trebuchet MS"/>
          <w:noProof/>
          <w:sz w:val="16"/>
          <w:szCs w:val="16"/>
        </w:rPr>
        <w:tab/>
        <w:t xml:space="preserve">Agopian AJ, Lupo PJ, Canfield MA et al. Swimming pool use and birth defect risk. </w:t>
      </w:r>
      <w:r w:rsidRPr="004B77DE">
        <w:rPr>
          <w:rFonts w:ascii="Trebuchet MS" w:hAnsi="Trebuchet MS"/>
          <w:i/>
          <w:noProof/>
          <w:sz w:val="16"/>
          <w:szCs w:val="16"/>
        </w:rPr>
        <w:t>American Journal of Obstetrics and Gynecology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209</w:t>
      </w:r>
      <w:r w:rsidRPr="004B77DE">
        <w:rPr>
          <w:rFonts w:ascii="Trebuchet MS" w:hAnsi="Trebuchet MS"/>
          <w:noProof/>
          <w:sz w:val="16"/>
          <w:szCs w:val="16"/>
        </w:rPr>
        <w:t>(3): 219.e1-.e9.</w:t>
      </w:r>
    </w:p>
    <w:p w14:paraId="3D063D5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326</w:t>
      </w:r>
      <w:r w:rsidRPr="004B77DE">
        <w:rPr>
          <w:rFonts w:ascii="Trebuchet MS" w:hAnsi="Trebuchet MS"/>
          <w:noProof/>
          <w:sz w:val="16"/>
          <w:szCs w:val="16"/>
        </w:rPr>
        <w:t>.</w:t>
      </w:r>
      <w:r w:rsidRPr="004B77DE">
        <w:rPr>
          <w:rFonts w:ascii="Trebuchet MS" w:hAnsi="Trebuchet MS"/>
          <w:noProof/>
          <w:sz w:val="16"/>
          <w:szCs w:val="16"/>
        </w:rPr>
        <w:tab/>
        <w:t xml:space="preserve">Bonde JP, Jørgensen KT, Bonzini M et al. Miscarriage and occupational activity: a systematic review and meta-analysis regarding shift work, working hours, lifting, standing, and physical workload. </w:t>
      </w:r>
      <w:r w:rsidRPr="004B77DE">
        <w:rPr>
          <w:rFonts w:ascii="Trebuchet MS" w:hAnsi="Trebuchet MS"/>
          <w:i/>
          <w:noProof/>
          <w:sz w:val="16"/>
          <w:szCs w:val="16"/>
        </w:rPr>
        <w:t>Scandinavian Journal of Work, Environment &amp;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325</w:t>
      </w:r>
      <w:r w:rsidRPr="004B77DE">
        <w:rPr>
          <w:rFonts w:ascii="Trebuchet MS" w:hAnsi="Trebuchet MS"/>
          <w:noProof/>
          <w:sz w:val="16"/>
          <w:szCs w:val="16"/>
        </w:rPr>
        <w:t>-</w:t>
      </w:r>
      <w:r w:rsidRPr="004B77DE">
        <w:rPr>
          <w:rFonts w:ascii="Trebuchet MS" w:eastAsia="Calibri" w:hAnsi="Trebuchet MS" w:cs="Calibri"/>
          <w:noProof/>
          <w:sz w:val="16"/>
          <w:szCs w:val="16"/>
        </w:rPr>
        <w:t>34</w:t>
      </w:r>
      <w:r w:rsidRPr="004B77DE">
        <w:rPr>
          <w:rFonts w:ascii="Trebuchet MS" w:hAnsi="Trebuchet MS"/>
          <w:noProof/>
          <w:sz w:val="16"/>
          <w:szCs w:val="16"/>
        </w:rPr>
        <w:t>.</w:t>
      </w:r>
    </w:p>
    <w:p w14:paraId="41882E0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327</w:t>
      </w:r>
      <w:r w:rsidRPr="004B77DE">
        <w:rPr>
          <w:rFonts w:ascii="Trebuchet MS" w:hAnsi="Trebuchet MS"/>
          <w:noProof/>
          <w:sz w:val="16"/>
          <w:szCs w:val="16"/>
        </w:rPr>
        <w:t>.</w:t>
      </w:r>
      <w:r w:rsidRPr="004B77DE">
        <w:rPr>
          <w:rFonts w:ascii="Trebuchet MS" w:hAnsi="Trebuchet MS"/>
          <w:noProof/>
          <w:sz w:val="16"/>
          <w:szCs w:val="16"/>
        </w:rPr>
        <w:tab/>
        <w:t xml:space="preserve">Juhl M, Strandberg-Larsen K, Larsen PS et al. Occupational lifting during pregnancy and risk of fetal death in a large national cohort study. </w:t>
      </w:r>
      <w:r w:rsidRPr="004B77DE">
        <w:rPr>
          <w:rFonts w:ascii="Trebuchet MS" w:hAnsi="Trebuchet MS"/>
          <w:i/>
          <w:noProof/>
          <w:sz w:val="16"/>
          <w:szCs w:val="16"/>
        </w:rPr>
        <w:t>Scand J Work Environ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335</w:t>
      </w:r>
      <w:r w:rsidRPr="004B77DE">
        <w:rPr>
          <w:rFonts w:ascii="Trebuchet MS" w:hAnsi="Trebuchet MS"/>
          <w:noProof/>
          <w:sz w:val="16"/>
          <w:szCs w:val="16"/>
        </w:rPr>
        <w:t>-</w:t>
      </w:r>
      <w:r w:rsidRPr="004B77DE">
        <w:rPr>
          <w:rFonts w:ascii="Trebuchet MS" w:eastAsia="Calibri" w:hAnsi="Trebuchet MS" w:cs="Calibri"/>
          <w:noProof/>
          <w:sz w:val="16"/>
          <w:szCs w:val="16"/>
        </w:rPr>
        <w:t>42</w:t>
      </w:r>
      <w:r w:rsidRPr="004B77DE">
        <w:rPr>
          <w:rFonts w:ascii="Trebuchet MS" w:hAnsi="Trebuchet MS"/>
          <w:noProof/>
          <w:sz w:val="16"/>
          <w:szCs w:val="16"/>
        </w:rPr>
        <w:t>.</w:t>
      </w:r>
    </w:p>
    <w:p w14:paraId="6C045BD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328</w:t>
      </w:r>
      <w:r w:rsidRPr="004B77DE">
        <w:rPr>
          <w:rFonts w:ascii="Trebuchet MS" w:hAnsi="Trebuchet MS"/>
          <w:noProof/>
          <w:sz w:val="16"/>
          <w:szCs w:val="16"/>
        </w:rPr>
        <w:t>.</w:t>
      </w:r>
      <w:r w:rsidRPr="004B77DE">
        <w:rPr>
          <w:rFonts w:ascii="Trebuchet MS" w:hAnsi="Trebuchet MS"/>
          <w:noProof/>
          <w:sz w:val="16"/>
          <w:szCs w:val="16"/>
        </w:rPr>
        <w:tab/>
        <w:t xml:space="preserve">Mocevic E, Svendsen SW, Jorgensen KT et al. Occupational lifting, fetal death and preterm birth: findings from the Danish National Birth Cohort using a job exposure matrix. </w:t>
      </w:r>
      <w:r w:rsidRPr="004B77DE">
        <w:rPr>
          <w:rFonts w:ascii="Trebuchet MS" w:hAnsi="Trebuchet MS"/>
          <w:i/>
          <w:noProof/>
          <w:sz w:val="16"/>
          <w:szCs w:val="16"/>
        </w:rPr>
        <w:t>PLoS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e90550</w:t>
      </w:r>
      <w:r w:rsidRPr="004B77DE">
        <w:rPr>
          <w:rFonts w:ascii="Trebuchet MS" w:hAnsi="Trebuchet MS"/>
          <w:noProof/>
          <w:sz w:val="16"/>
          <w:szCs w:val="16"/>
        </w:rPr>
        <w:t>.</w:t>
      </w:r>
    </w:p>
    <w:p w14:paraId="59946C5A" w14:textId="77777777" w:rsidR="001A2F28" w:rsidRPr="004B77DE" w:rsidRDefault="001A2F28" w:rsidP="00FA05B8">
      <w:pPr>
        <w:pStyle w:val="EndNoteBibliography"/>
        <w:ind w:left="567" w:hanging="567"/>
        <w:rPr>
          <w:rFonts w:ascii="Trebuchet MS" w:hAnsi="Trebuchet MS"/>
          <w:noProof/>
          <w:sz w:val="16"/>
          <w:szCs w:val="16"/>
        </w:rPr>
      </w:pPr>
      <w:r w:rsidRPr="004B77DE">
        <w:rPr>
          <w:rFonts w:ascii="Trebuchet MS" w:eastAsia="Calibri" w:hAnsi="Trebuchet MS" w:cs="Calibri"/>
          <w:noProof/>
          <w:sz w:val="16"/>
          <w:szCs w:val="16"/>
        </w:rPr>
        <w:t>329</w:t>
      </w:r>
      <w:r w:rsidRPr="004B77DE">
        <w:rPr>
          <w:rFonts w:ascii="Trebuchet MS" w:hAnsi="Trebuchet MS"/>
          <w:noProof/>
          <w:sz w:val="16"/>
          <w:szCs w:val="16"/>
        </w:rPr>
        <w:t>.</w:t>
      </w:r>
      <w:r w:rsidRPr="004B77DE">
        <w:rPr>
          <w:rFonts w:ascii="Trebuchet MS" w:hAnsi="Trebuchet MS"/>
          <w:noProof/>
          <w:sz w:val="16"/>
          <w:szCs w:val="16"/>
        </w:rPr>
        <w:tab/>
        <w:t xml:space="preserve">El Metwalli AG, Badawy AM, El Baghdadi LA et al. </w:t>
      </w:r>
      <w:r w:rsidRPr="004B77DE">
        <w:rPr>
          <w:rFonts w:ascii="Trebuchet MS" w:hAnsi="Trebuchet MS"/>
          <w:noProof/>
          <w:sz w:val="16"/>
          <w:szCs w:val="16"/>
        </w:rPr>
        <w:separator/>
      </w:r>
      <w:r w:rsidRPr="004B77DE">
        <w:rPr>
          <w:rFonts w:ascii="Trebuchet MS" w:hAnsi="Trebuchet MS"/>
          <w:noProof/>
          <w:sz w:val="16"/>
          <w:szCs w:val="16"/>
        </w:rPr>
        <w:continuationSeparator/>
      </w:r>
      <w:r w:rsidRPr="004B77DE">
        <w:rPr>
          <w:rFonts w:ascii="Trebuchet MS" w:hAnsi="Trebuchet MS"/>
          <w:noProof/>
          <w:sz w:val="16"/>
          <w:szCs w:val="16"/>
        </w:rPr>
        <w:t>Occupational physical activity and pregnancy outcome. E</w:t>
      </w:r>
      <w:r w:rsidRPr="004B77DE">
        <w:rPr>
          <w:rFonts w:ascii="Trebuchet MS" w:hAnsi="Trebuchet MS"/>
          <w:i/>
          <w:noProof/>
          <w:sz w:val="16"/>
          <w:szCs w:val="16"/>
        </w:rPr>
        <w:t>ur J Obstet Gynecol Reprod Biol.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w:t>
      </w:r>
    </w:p>
    <w:p w14:paraId="1BF3AA6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N</w:t>
      </w:r>
      <w:r w:rsidRPr="004B77DE">
        <w:rPr>
          <w:rFonts w:ascii="Trebuchet MS" w:hAnsi="Trebuchet MS"/>
          <w:noProof/>
          <w:sz w:val="16"/>
          <w:szCs w:val="16"/>
        </w:rPr>
        <w:t>ewman RB, Goldenberg RL, Moawad AH et al. Occupational fatigue and preterm premature rupture of membranes. A</w:t>
      </w:r>
      <w:r w:rsidRPr="004B77DE">
        <w:rPr>
          <w:rFonts w:ascii="Trebuchet MS" w:hAnsi="Trebuchet MS"/>
          <w:i/>
          <w:noProof/>
          <w:sz w:val="16"/>
          <w:szCs w:val="16"/>
        </w:rPr>
        <w:t>merican Journal of Obstetrics and Gynecology.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184</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438</w:t>
      </w:r>
      <w:r w:rsidRPr="004B77DE">
        <w:rPr>
          <w:rFonts w:ascii="Trebuchet MS" w:hAnsi="Trebuchet MS"/>
          <w:noProof/>
          <w:sz w:val="16"/>
          <w:szCs w:val="16"/>
        </w:rPr>
        <w:t>-</w:t>
      </w:r>
      <w:r w:rsidRPr="004B77DE">
        <w:rPr>
          <w:rFonts w:ascii="Trebuchet MS" w:eastAsia="Calibri" w:hAnsi="Trebuchet MS" w:cs="Calibri"/>
          <w:noProof/>
          <w:sz w:val="16"/>
          <w:szCs w:val="16"/>
        </w:rPr>
        <w:t>46</w:t>
      </w:r>
      <w:r w:rsidRPr="004B77DE">
        <w:rPr>
          <w:rFonts w:ascii="Trebuchet MS" w:hAnsi="Trebuchet MS"/>
          <w:noProof/>
          <w:sz w:val="16"/>
          <w:szCs w:val="16"/>
        </w:rPr>
        <w:t>.</w:t>
      </w:r>
    </w:p>
    <w:p w14:paraId="424A27A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an Beukering MDM, van Melick MJGJ, Mol BW et al. Physically demanding work and preterm delivery: a systematic review and meta-analysis. I</w:t>
      </w:r>
      <w:r w:rsidRPr="004B77DE">
        <w:rPr>
          <w:rFonts w:ascii="Trebuchet MS" w:hAnsi="Trebuchet MS"/>
          <w:i/>
          <w:noProof/>
          <w:sz w:val="16"/>
          <w:szCs w:val="16"/>
        </w:rPr>
        <w:t>nternational Archives of Occupational and Environmental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7(8): 809-34.</w:t>
      </w:r>
    </w:p>
    <w:p w14:paraId="018CC23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alunkhe AH, Pratinidhi A, Kakade SV et al. Occupation, caloric intake and rest during day time of pregnant women and birth weight and gestational age of the baby. A</w:t>
      </w:r>
      <w:r w:rsidRPr="004B77DE">
        <w:rPr>
          <w:rFonts w:ascii="Trebuchet MS" w:hAnsi="Trebuchet MS"/>
          <w:i/>
          <w:noProof/>
          <w:sz w:val="16"/>
          <w:szCs w:val="16"/>
        </w:rPr>
        <w:t>sian J Pharm Res Health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w:t>
      </w:r>
      <w:r w:rsidRPr="004B77DE">
        <w:rPr>
          <w:rFonts w:ascii="Trebuchet MS" w:hAnsi="Trebuchet MS"/>
          <w:noProof/>
          <w:sz w:val="16"/>
          <w:szCs w:val="16"/>
        </w:rPr>
        <w:t>-</w:t>
      </w:r>
      <w:r w:rsidRPr="004B77DE">
        <w:rPr>
          <w:rFonts w:ascii="Trebuchet MS" w:eastAsia="Calibri" w:hAnsi="Trebuchet MS" w:cs="Calibri"/>
          <w:noProof/>
          <w:sz w:val="16"/>
          <w:szCs w:val="16"/>
        </w:rPr>
        <w:t>41</w:t>
      </w:r>
      <w:r w:rsidRPr="004B77DE">
        <w:rPr>
          <w:rFonts w:ascii="Trebuchet MS" w:hAnsi="Trebuchet MS"/>
          <w:noProof/>
          <w:sz w:val="16"/>
          <w:szCs w:val="16"/>
        </w:rPr>
        <w:t>.</w:t>
      </w:r>
    </w:p>
    <w:p w14:paraId="203E95A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onzini M, Coggon D, Godfrey K et al. Occupational physical activities, working hours and outcome of pregnancy: findings from the Southampton Women's Survey. O</w:t>
      </w:r>
      <w:r w:rsidRPr="004B77DE">
        <w:rPr>
          <w:rFonts w:ascii="Trebuchet MS" w:hAnsi="Trebuchet MS"/>
          <w:i/>
          <w:noProof/>
          <w:sz w:val="16"/>
          <w:szCs w:val="16"/>
        </w:rPr>
        <w:t>ccup Environ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685</w:t>
      </w:r>
      <w:r w:rsidRPr="004B77DE">
        <w:rPr>
          <w:rFonts w:ascii="Trebuchet MS" w:hAnsi="Trebuchet MS"/>
          <w:noProof/>
          <w:sz w:val="16"/>
          <w:szCs w:val="16"/>
        </w:rPr>
        <w:t>-</w:t>
      </w:r>
      <w:r w:rsidRPr="004B77DE">
        <w:rPr>
          <w:rFonts w:ascii="Trebuchet MS" w:eastAsia="Calibri" w:hAnsi="Trebuchet MS" w:cs="Calibri"/>
          <w:noProof/>
          <w:sz w:val="16"/>
          <w:szCs w:val="16"/>
        </w:rPr>
        <w:t>90</w:t>
      </w:r>
      <w:r w:rsidRPr="004B77DE">
        <w:rPr>
          <w:rFonts w:ascii="Trebuchet MS" w:hAnsi="Trebuchet MS"/>
          <w:noProof/>
          <w:sz w:val="16"/>
          <w:szCs w:val="16"/>
        </w:rPr>
        <w:t>.</w:t>
      </w:r>
    </w:p>
    <w:p w14:paraId="3A2A8F4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ompeii LA, Savitz DA, Evenson KR et al. Physical exertion at work and the risk of preterm delivery and small-for-gestational-age birth.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106</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1279</w:t>
      </w:r>
      <w:r w:rsidRPr="004B77DE">
        <w:rPr>
          <w:rFonts w:ascii="Trebuchet MS" w:hAnsi="Trebuchet MS"/>
          <w:noProof/>
          <w:sz w:val="16"/>
          <w:szCs w:val="16"/>
        </w:rPr>
        <w:t>-</w:t>
      </w:r>
      <w:r w:rsidRPr="004B77DE">
        <w:rPr>
          <w:rFonts w:ascii="Trebuchet MS" w:eastAsia="Calibri" w:hAnsi="Trebuchet MS" w:cs="Calibri"/>
          <w:noProof/>
          <w:sz w:val="16"/>
          <w:szCs w:val="16"/>
        </w:rPr>
        <w:t>88</w:t>
      </w:r>
      <w:r w:rsidRPr="004B77DE">
        <w:rPr>
          <w:rFonts w:ascii="Trebuchet MS" w:hAnsi="Trebuchet MS"/>
          <w:noProof/>
          <w:sz w:val="16"/>
          <w:szCs w:val="16"/>
        </w:rPr>
        <w:t>.</w:t>
      </w:r>
    </w:p>
    <w:p w14:paraId="791CEFD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nijder CA, Brand T, Jaddoe V et al. Physically demanding work, fetal growth and the risk of adverse birth outcomes. The Generation R Study. O</w:t>
      </w:r>
      <w:r w:rsidRPr="004B77DE">
        <w:rPr>
          <w:rFonts w:ascii="Trebuchet MS" w:hAnsi="Trebuchet MS"/>
          <w:i/>
          <w:noProof/>
          <w:sz w:val="16"/>
          <w:szCs w:val="16"/>
        </w:rPr>
        <w:t>ccup Environ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69</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543</w:t>
      </w:r>
      <w:r w:rsidRPr="004B77DE">
        <w:rPr>
          <w:rFonts w:ascii="Trebuchet MS" w:hAnsi="Trebuchet MS"/>
          <w:noProof/>
          <w:sz w:val="16"/>
          <w:szCs w:val="16"/>
        </w:rPr>
        <w:t>-</w:t>
      </w:r>
      <w:r w:rsidRPr="004B77DE">
        <w:rPr>
          <w:rFonts w:ascii="Trebuchet MS" w:eastAsia="Calibri" w:hAnsi="Trebuchet MS" w:cs="Calibri"/>
          <w:noProof/>
          <w:sz w:val="16"/>
          <w:szCs w:val="16"/>
        </w:rPr>
        <w:t>50</w:t>
      </w:r>
      <w:r w:rsidRPr="004B77DE">
        <w:rPr>
          <w:rFonts w:ascii="Trebuchet MS" w:hAnsi="Trebuchet MS"/>
          <w:noProof/>
          <w:sz w:val="16"/>
          <w:szCs w:val="16"/>
        </w:rPr>
        <w:t>.</w:t>
      </w:r>
    </w:p>
    <w:p w14:paraId="5300DAA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N</w:t>
      </w:r>
      <w:r w:rsidRPr="004B77DE">
        <w:rPr>
          <w:rFonts w:ascii="Trebuchet MS" w:hAnsi="Trebuchet MS"/>
          <w:noProof/>
          <w:sz w:val="16"/>
          <w:szCs w:val="16"/>
        </w:rPr>
        <w:t>elson K, Lohsoonthorna V, Williams MA. Preterm delivery risk in relation to maternal occupational and leisure time physical activity among Thai women. A</w:t>
      </w:r>
      <w:r w:rsidRPr="004B77DE">
        <w:rPr>
          <w:rFonts w:ascii="Trebuchet MS" w:hAnsi="Trebuchet MS"/>
          <w:i/>
          <w:noProof/>
          <w:sz w:val="16"/>
          <w:szCs w:val="16"/>
        </w:rPr>
        <w:t>sian Biomed (Res Rev News).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267</w:t>
      </w:r>
      <w:r w:rsidRPr="004B77DE">
        <w:rPr>
          <w:rFonts w:ascii="Trebuchet MS" w:hAnsi="Trebuchet MS"/>
          <w:noProof/>
          <w:sz w:val="16"/>
          <w:szCs w:val="16"/>
        </w:rPr>
        <w:t>-</w:t>
      </w:r>
      <w:r w:rsidRPr="004B77DE">
        <w:rPr>
          <w:rFonts w:ascii="Trebuchet MS" w:eastAsia="Calibri" w:hAnsi="Trebuchet MS" w:cs="Calibri"/>
          <w:noProof/>
          <w:sz w:val="16"/>
          <w:szCs w:val="16"/>
        </w:rPr>
        <w:t>77</w:t>
      </w:r>
      <w:r w:rsidRPr="004B77DE">
        <w:rPr>
          <w:rFonts w:ascii="Trebuchet MS" w:hAnsi="Trebuchet MS"/>
          <w:noProof/>
          <w:sz w:val="16"/>
          <w:szCs w:val="16"/>
        </w:rPr>
        <w:t>.</w:t>
      </w:r>
    </w:p>
    <w:p w14:paraId="3ECEAA7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itsmitchai S, Geater AF, Chongsuviwatvong V. Prolonged standing and physical exertion at work during pregnancy increases the risk of preterm birth for Thai mothers.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Occup</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Health</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1997;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217</w:t>
      </w:r>
      <w:r w:rsidRPr="004B77DE">
        <w:rPr>
          <w:rFonts w:ascii="Trebuchet MS" w:hAnsi="Trebuchet MS"/>
          <w:noProof/>
          <w:sz w:val="16"/>
          <w:szCs w:val="16"/>
        </w:rPr>
        <w:t>-</w:t>
      </w:r>
      <w:r w:rsidRPr="004B77DE">
        <w:rPr>
          <w:rFonts w:ascii="Trebuchet MS" w:eastAsia="Calibri" w:hAnsi="Trebuchet MS" w:cs="Calibri"/>
          <w:noProof/>
          <w:sz w:val="16"/>
          <w:szCs w:val="16"/>
        </w:rPr>
        <w:t>22</w:t>
      </w:r>
      <w:r w:rsidRPr="004B77DE">
        <w:rPr>
          <w:rFonts w:ascii="Trebuchet MS" w:hAnsi="Trebuchet MS"/>
          <w:noProof/>
          <w:sz w:val="16"/>
          <w:szCs w:val="16"/>
        </w:rPr>
        <w:t>.</w:t>
      </w:r>
    </w:p>
    <w:p w14:paraId="0BAD82E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E</w:t>
      </w:r>
      <w:r w:rsidRPr="004B77DE">
        <w:rPr>
          <w:rFonts w:ascii="Trebuchet MS" w:hAnsi="Trebuchet MS"/>
          <w:noProof/>
          <w:sz w:val="16"/>
          <w:szCs w:val="16"/>
        </w:rPr>
        <w:t>unhee H, Cho S-I, Park H et al. Does standing at work during pregnancy result in reduced infant birth weight? J</w:t>
      </w:r>
      <w:r w:rsidRPr="004B77DE">
        <w:rPr>
          <w:rFonts w:ascii="Trebuchet MS" w:hAnsi="Trebuchet MS"/>
          <w:i/>
          <w:noProof/>
          <w:sz w:val="16"/>
          <w:szCs w:val="16"/>
        </w:rPr>
        <w:t>OEM.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815</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w:t>
      </w:r>
    </w:p>
    <w:p w14:paraId="580ACC0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339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J</w:t>
      </w:r>
      <w:r w:rsidRPr="004B77DE">
        <w:rPr>
          <w:rFonts w:ascii="Trebuchet MS" w:hAnsi="Trebuchet MS"/>
          <w:noProof/>
          <w:sz w:val="16"/>
          <w:szCs w:val="16"/>
        </w:rPr>
        <w:t>uhl M, Larsen PS, Andersen PK et al. Occupational lifting during pregnancy and child’s birth size in a large cohort study. S</w:t>
      </w:r>
      <w:r w:rsidRPr="004B77DE">
        <w:rPr>
          <w:rFonts w:ascii="Trebuchet MS" w:hAnsi="Trebuchet MS"/>
          <w:i/>
          <w:noProof/>
          <w:sz w:val="16"/>
          <w:szCs w:val="16"/>
        </w:rPr>
        <w:t>cand J Work Environ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411</w:t>
      </w:r>
      <w:r w:rsidRPr="004B77DE">
        <w:rPr>
          <w:rFonts w:ascii="Trebuchet MS" w:hAnsi="Trebuchet MS"/>
          <w:noProof/>
          <w:sz w:val="16"/>
          <w:szCs w:val="16"/>
        </w:rPr>
        <w:t>-</w:t>
      </w:r>
      <w:r w:rsidRPr="004B77DE">
        <w:rPr>
          <w:rFonts w:ascii="Trebuchet MS" w:eastAsia="Calibri" w:hAnsi="Trebuchet MS" w:cs="Calibri"/>
          <w:noProof/>
          <w:sz w:val="16"/>
          <w:szCs w:val="16"/>
        </w:rPr>
        <w:t>19</w:t>
      </w:r>
      <w:r w:rsidRPr="004B77DE">
        <w:rPr>
          <w:rFonts w:ascii="Trebuchet MS" w:hAnsi="Trebuchet MS"/>
          <w:noProof/>
          <w:sz w:val="16"/>
          <w:szCs w:val="16"/>
        </w:rPr>
        <w:t>.</w:t>
      </w:r>
    </w:p>
    <w:p w14:paraId="68073CD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roteau A, Marcoux S, Brisson C. Work activity in pregnancy, preventive measures, and the risk of delivering a small-for-gestational-age infant. A</w:t>
      </w:r>
      <w:r w:rsidRPr="004B77DE">
        <w:rPr>
          <w:rFonts w:ascii="Trebuchet MS" w:hAnsi="Trebuchet MS"/>
          <w:i/>
          <w:noProof/>
          <w:sz w:val="16"/>
          <w:szCs w:val="16"/>
        </w:rPr>
        <w:t>merican Journal of Public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96</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846</w:t>
      </w:r>
      <w:r w:rsidRPr="004B77DE">
        <w:rPr>
          <w:rFonts w:ascii="Trebuchet MS" w:hAnsi="Trebuchet MS"/>
          <w:noProof/>
          <w:sz w:val="16"/>
          <w:szCs w:val="16"/>
        </w:rPr>
        <w:t>-</w:t>
      </w:r>
      <w:r w:rsidRPr="004B77DE">
        <w:rPr>
          <w:rFonts w:ascii="Trebuchet MS" w:eastAsia="Calibri" w:hAnsi="Trebuchet MS" w:cs="Calibri"/>
          <w:noProof/>
          <w:sz w:val="16"/>
          <w:szCs w:val="16"/>
        </w:rPr>
        <w:t>55</w:t>
      </w:r>
      <w:r w:rsidRPr="004B77DE">
        <w:rPr>
          <w:rFonts w:ascii="Trebuchet MS" w:hAnsi="Trebuchet MS"/>
          <w:noProof/>
          <w:sz w:val="16"/>
          <w:szCs w:val="16"/>
        </w:rPr>
        <w:t>.</w:t>
      </w:r>
    </w:p>
    <w:p w14:paraId="5244ED5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arsen PS, Strandberg-Larsen K, Juhl M et al. Occupational lifting and pelvic pain during pregnancy: a study within the Danish National Birth Cohort. S</w:t>
      </w:r>
      <w:r w:rsidRPr="004B77DE">
        <w:rPr>
          <w:rFonts w:ascii="Trebuchet MS" w:hAnsi="Trebuchet MS"/>
          <w:i/>
          <w:noProof/>
          <w:sz w:val="16"/>
          <w:szCs w:val="16"/>
        </w:rPr>
        <w:t>cand J Work Environ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88</w:t>
      </w:r>
      <w:r w:rsidRPr="004B77DE">
        <w:rPr>
          <w:rFonts w:ascii="Trebuchet MS" w:hAnsi="Trebuchet MS"/>
          <w:noProof/>
          <w:sz w:val="16"/>
          <w:szCs w:val="16"/>
        </w:rPr>
        <w:t>-</w:t>
      </w:r>
      <w:r w:rsidRPr="004B77DE">
        <w:rPr>
          <w:rFonts w:ascii="Trebuchet MS" w:eastAsia="Calibri" w:hAnsi="Trebuchet MS" w:cs="Calibri"/>
          <w:noProof/>
          <w:sz w:val="16"/>
          <w:szCs w:val="16"/>
        </w:rPr>
        <w:t>95</w:t>
      </w:r>
      <w:r w:rsidRPr="004B77DE">
        <w:rPr>
          <w:rFonts w:ascii="Trebuchet MS" w:hAnsi="Trebuchet MS"/>
          <w:noProof/>
          <w:sz w:val="16"/>
          <w:szCs w:val="16"/>
        </w:rPr>
        <w:t>.</w:t>
      </w:r>
    </w:p>
    <w:p w14:paraId="0D70468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J</w:t>
      </w:r>
      <w:r w:rsidRPr="004B77DE">
        <w:rPr>
          <w:rFonts w:ascii="Trebuchet MS" w:hAnsi="Trebuchet MS"/>
          <w:noProof/>
          <w:sz w:val="16"/>
          <w:szCs w:val="16"/>
        </w:rPr>
        <w:t>uhl M. Psychosocial and physical work environment, and risk of pelvic pain in pregnancy. A study within the Danish national birth cohort.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Epidemiol</w:t>
      </w:r>
      <w:r w:rsidRPr="004B77DE">
        <w:rPr>
          <w:rFonts w:ascii="Trebuchet MS" w:hAnsi="Trebuchet MS"/>
          <w:i/>
          <w:noProof/>
          <w:sz w:val="16"/>
          <w:szCs w:val="16"/>
        </w:rPr>
        <w:t xml:space="preserve"> &amp; </w:t>
      </w:r>
      <w:r w:rsidRPr="004B77DE">
        <w:rPr>
          <w:rFonts w:ascii="Trebuchet MS" w:eastAsia="Calibri" w:hAnsi="Trebuchet MS" w:cs="Calibri"/>
          <w:i/>
          <w:noProof/>
          <w:sz w:val="16"/>
          <w:szCs w:val="16"/>
        </w:rPr>
        <w:t>Community</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Health</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580</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w:t>
      </w:r>
    </w:p>
    <w:p w14:paraId="294BF7A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gopian AJ, Kim J, Langlois PH et al. Maternal occupational physical activity and risk for orofacial clefts. A</w:t>
      </w:r>
      <w:r w:rsidRPr="004B77DE">
        <w:rPr>
          <w:rFonts w:ascii="Trebuchet MS" w:hAnsi="Trebuchet MS"/>
          <w:i/>
          <w:noProof/>
          <w:sz w:val="16"/>
          <w:szCs w:val="16"/>
        </w:rPr>
        <w:t>m J Industrial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627</w:t>
      </w:r>
      <w:r w:rsidRPr="004B77DE">
        <w:rPr>
          <w:rFonts w:ascii="Trebuchet MS" w:hAnsi="Trebuchet MS"/>
          <w:noProof/>
          <w:sz w:val="16"/>
          <w:szCs w:val="16"/>
        </w:rPr>
        <w:t>-</w:t>
      </w:r>
      <w:r w:rsidRPr="004B77DE">
        <w:rPr>
          <w:rFonts w:ascii="Trebuchet MS" w:eastAsia="Calibri" w:hAnsi="Trebuchet MS" w:cs="Calibri"/>
          <w:noProof/>
          <w:sz w:val="16"/>
          <w:szCs w:val="16"/>
        </w:rPr>
        <w:t>34</w:t>
      </w:r>
      <w:r w:rsidRPr="004B77DE">
        <w:rPr>
          <w:rFonts w:ascii="Trebuchet MS" w:hAnsi="Trebuchet MS"/>
          <w:noProof/>
          <w:sz w:val="16"/>
          <w:szCs w:val="16"/>
        </w:rPr>
        <w:t>.</w:t>
      </w:r>
    </w:p>
    <w:p w14:paraId="0DD064D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avenport MH, Sobierajski F, Mottola MF et al. Glucose responses to acute and chronic exercise during pregnancy: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1357</w:t>
      </w:r>
      <w:r w:rsidRPr="004B77DE">
        <w:rPr>
          <w:rFonts w:ascii="Trebuchet MS" w:hAnsi="Trebuchet MS"/>
          <w:noProof/>
          <w:sz w:val="16"/>
          <w:szCs w:val="16"/>
        </w:rPr>
        <w:t>-</w:t>
      </w:r>
      <w:r w:rsidRPr="004B77DE">
        <w:rPr>
          <w:rFonts w:ascii="Trebuchet MS" w:eastAsia="Calibri" w:hAnsi="Trebuchet MS" w:cs="Calibri"/>
          <w:noProof/>
          <w:sz w:val="16"/>
          <w:szCs w:val="16"/>
        </w:rPr>
        <w:t>66</w:t>
      </w:r>
      <w:r w:rsidRPr="004B77DE">
        <w:rPr>
          <w:rFonts w:ascii="Trebuchet MS" w:hAnsi="Trebuchet MS"/>
          <w:noProof/>
          <w:sz w:val="16"/>
          <w:szCs w:val="16"/>
        </w:rPr>
        <w:t>.</w:t>
      </w:r>
    </w:p>
    <w:p w14:paraId="27952B3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ifeCycle Project-Maternal O, Childhood Outcomes Study G, Voerman E et al. Association of gestational weight gain with adverse maternal and infant outcomes. J</w:t>
      </w:r>
      <w:r w:rsidRPr="004B77DE">
        <w:rPr>
          <w:rFonts w:ascii="Trebuchet MS" w:hAnsi="Trebuchet MS"/>
          <w:i/>
          <w:noProof/>
          <w:sz w:val="16"/>
          <w:szCs w:val="16"/>
        </w:rPr>
        <w:t>AMA.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321</w:t>
      </w:r>
      <w:r w:rsidRPr="004B77DE">
        <w:rPr>
          <w:rFonts w:ascii="Trebuchet MS" w:hAnsi="Trebuchet MS"/>
          <w:noProof/>
          <w:sz w:val="16"/>
          <w:szCs w:val="16"/>
        </w:rPr>
        <w:t>(</w:t>
      </w:r>
      <w:r w:rsidRPr="004B77DE">
        <w:rPr>
          <w:rFonts w:ascii="Trebuchet MS" w:eastAsia="Calibri" w:hAnsi="Trebuchet MS" w:cs="Calibri"/>
          <w:noProof/>
          <w:sz w:val="16"/>
          <w:szCs w:val="16"/>
        </w:rPr>
        <w:t>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1702</w:t>
      </w:r>
      <w:r w:rsidRPr="004B77DE">
        <w:rPr>
          <w:rFonts w:ascii="Trebuchet MS" w:hAnsi="Trebuchet MS"/>
          <w:noProof/>
          <w:sz w:val="16"/>
          <w:szCs w:val="16"/>
        </w:rPr>
        <w:t>-</w:t>
      </w:r>
      <w:r w:rsidRPr="004B77DE">
        <w:rPr>
          <w:rFonts w:ascii="Trebuchet MS" w:eastAsia="Calibri" w:hAnsi="Trebuchet MS" w:cs="Calibri"/>
          <w:noProof/>
          <w:sz w:val="16"/>
          <w:szCs w:val="16"/>
        </w:rPr>
        <w:t>15</w:t>
      </w:r>
      <w:r w:rsidRPr="004B77DE">
        <w:rPr>
          <w:rFonts w:ascii="Trebuchet MS" w:hAnsi="Trebuchet MS"/>
          <w:noProof/>
          <w:sz w:val="16"/>
          <w:szCs w:val="16"/>
        </w:rPr>
        <w:t>.</w:t>
      </w:r>
    </w:p>
    <w:p w14:paraId="5BB3ABF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rora P, Tamber Aeri B. Gestational weight gain among healthy pregnant women from Asia in Comparison with Institute of Medicine (IOM) Guidelines-2009: A systematic review.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Pregnancy</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3849596</w:t>
      </w:r>
      <w:r w:rsidRPr="004B77DE">
        <w:rPr>
          <w:rFonts w:ascii="Trebuchet MS" w:hAnsi="Trebuchet MS"/>
          <w:noProof/>
          <w:sz w:val="16"/>
          <w:szCs w:val="16"/>
        </w:rPr>
        <w:t>.</w:t>
      </w:r>
    </w:p>
    <w:p w14:paraId="7295F30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J</w:t>
      </w:r>
      <w:r w:rsidRPr="004B77DE">
        <w:rPr>
          <w:rFonts w:ascii="Trebuchet MS" w:hAnsi="Trebuchet MS"/>
          <w:noProof/>
          <w:sz w:val="16"/>
          <w:szCs w:val="16"/>
        </w:rPr>
        <w:t>iang X, Liu M, Song Y et al. The Institute of Medicine recommendation for gestational weight gain is probably not optimal among non-American pregnant women: a retrospective study from China.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Matern</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Fetal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Neonatal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1353</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254691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hanolkar AR, Hanley GE, Koupil I et al. 2009 IOM guidelines for gestational weight gain: how well do they predict outcomes across ethnic groups? E</w:t>
      </w:r>
      <w:r w:rsidRPr="004B77DE">
        <w:rPr>
          <w:rFonts w:ascii="Trebuchet MS" w:hAnsi="Trebuchet MS"/>
          <w:i/>
          <w:noProof/>
          <w:sz w:val="16"/>
          <w:szCs w:val="16"/>
        </w:rPr>
        <w:t>thn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110</w:t>
      </w:r>
      <w:r w:rsidRPr="004B77DE">
        <w:rPr>
          <w:rFonts w:ascii="Trebuchet MS" w:hAnsi="Trebuchet MS"/>
          <w:noProof/>
          <w:sz w:val="16"/>
          <w:szCs w:val="16"/>
        </w:rPr>
        <w:t>-25.</w:t>
      </w:r>
    </w:p>
    <w:p w14:paraId="18539E9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349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hompson AM, Thompson JA. An evaluation of whether a gestational weight gain of 5 to 9 kg for obese women optimizes maternal and neonatal health risks.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w:t>
      </w:r>
      <w:r w:rsidRPr="004B77DE">
        <w:rPr>
          <w:rFonts w:ascii="Trebuchet MS" w:hAnsi="Trebuchet MS"/>
          <w:noProof/>
          <w:sz w:val="16"/>
          <w:szCs w:val="16"/>
        </w:rPr>
        <w:t>.</w:t>
      </w:r>
    </w:p>
    <w:p w14:paraId="1012403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w:t>
      </w:r>
      <w:r w:rsidRPr="004B77DE">
        <w:rPr>
          <w:rFonts w:ascii="Trebuchet MS" w:eastAsia="Calibri" w:hAnsi="Trebuchet MS" w:cs="Calibri"/>
          <w:noProof/>
          <w:sz w:val="16"/>
          <w:szCs w:val="16"/>
        </w:rPr>
        <w:t>Brien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Segurado</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Geraghty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Imp</w:t>
      </w:r>
      <w:r w:rsidRPr="004B77DE">
        <w:rPr>
          <w:rFonts w:ascii="Trebuchet MS" w:hAnsi="Trebuchet MS"/>
          <w:noProof/>
          <w:sz w:val="16"/>
          <w:szCs w:val="16"/>
        </w:rPr>
        <w:t xml:space="preserve">act of maternal education on response to lifestyle interventions to reduce gestational weight gain: individual participant data meta-analysis. </w:t>
      </w:r>
      <w:r w:rsidRPr="004B77DE">
        <w:rPr>
          <w:rFonts w:ascii="Trebuchet MS" w:eastAsia="Calibri" w:hAnsi="Trebuchet MS" w:cs="Calibri"/>
          <w:noProof/>
          <w:sz w:val="16"/>
          <w:szCs w:val="16"/>
        </w:rPr>
        <w:t>B</w:t>
      </w:r>
      <w:r w:rsidRPr="004B77DE">
        <w:rPr>
          <w:rFonts w:ascii="Trebuchet MS" w:hAnsi="Trebuchet MS"/>
          <w:i/>
          <w:noProof/>
          <w:sz w:val="16"/>
          <w:szCs w:val="16"/>
        </w:rPr>
        <w:t>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e025620</w:t>
      </w:r>
      <w:r w:rsidRPr="004B77DE">
        <w:rPr>
          <w:rFonts w:ascii="Trebuchet MS" w:hAnsi="Trebuchet MS"/>
          <w:noProof/>
          <w:sz w:val="16"/>
          <w:szCs w:val="16"/>
        </w:rPr>
        <w:t>.</w:t>
      </w:r>
    </w:p>
    <w:p w14:paraId="57B4F8D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chumacher TL, Weatherall L, Keogh L et al. Characterizing gestational weight gain in a cohort of Indigenous Australian women. M</w:t>
      </w:r>
      <w:r w:rsidRPr="004B77DE">
        <w:rPr>
          <w:rFonts w:ascii="Trebuchet MS" w:hAnsi="Trebuchet MS"/>
          <w:i/>
          <w:noProof/>
          <w:sz w:val="16"/>
          <w:szCs w:val="16"/>
        </w:rPr>
        <w:t>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6D17880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endez DD, Doebler DA, Kim KH et al. Neighborhood socioeconomic disadvantage and gestational weight gain and loss. M</w:t>
      </w:r>
      <w:r w:rsidRPr="004B77DE">
        <w:rPr>
          <w:rFonts w:ascii="Trebuchet MS" w:hAnsi="Trebuchet MS"/>
          <w:i/>
          <w:noProof/>
          <w:sz w:val="16"/>
          <w:szCs w:val="16"/>
        </w:rPr>
        <w:t>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1095</w:t>
      </w:r>
      <w:r w:rsidRPr="004B77DE">
        <w:rPr>
          <w:rFonts w:ascii="Trebuchet MS" w:hAnsi="Trebuchet MS"/>
          <w:noProof/>
          <w:sz w:val="16"/>
          <w:szCs w:val="16"/>
        </w:rPr>
        <w:t>-</w:t>
      </w:r>
      <w:r w:rsidRPr="004B77DE">
        <w:rPr>
          <w:rFonts w:ascii="Trebuchet MS" w:eastAsia="Calibri" w:hAnsi="Trebuchet MS" w:cs="Calibri"/>
          <w:noProof/>
          <w:sz w:val="16"/>
          <w:szCs w:val="16"/>
        </w:rPr>
        <w:t>103</w:t>
      </w:r>
      <w:r w:rsidRPr="004B77DE">
        <w:rPr>
          <w:rFonts w:ascii="Trebuchet MS" w:hAnsi="Trebuchet MS"/>
          <w:noProof/>
          <w:sz w:val="16"/>
          <w:szCs w:val="16"/>
        </w:rPr>
        <w:t>.</w:t>
      </w:r>
    </w:p>
    <w:p w14:paraId="171B383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endez DD, Thorpe RJ, Amutah N et al. Neighborhood racial composition and poverty in association with pre-pregnancy weight and gestational weight gain. S</w:t>
      </w:r>
      <w:r w:rsidRPr="004B77DE">
        <w:rPr>
          <w:rFonts w:ascii="Trebuchet MS" w:hAnsi="Trebuchet MS"/>
          <w:i/>
          <w:noProof/>
          <w:sz w:val="16"/>
          <w:szCs w:val="16"/>
        </w:rPr>
        <w:t>SM Popul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692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305FB21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eaden I, Mujahid MS, Cohen AK et al. Racial/ethnic disparities in inadequate gestational weight gain differ by pre-pregnancy weight. M</w:t>
      </w:r>
      <w:r w:rsidRPr="004B77DE">
        <w:rPr>
          <w:rFonts w:ascii="Trebuchet MS" w:hAnsi="Trebuchet MS"/>
          <w:i/>
          <w:noProof/>
          <w:sz w:val="16"/>
          <w:szCs w:val="16"/>
        </w:rPr>
        <w:t>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1672</w:t>
      </w:r>
      <w:r w:rsidRPr="004B77DE">
        <w:rPr>
          <w:rFonts w:ascii="Trebuchet MS" w:hAnsi="Trebuchet MS"/>
          <w:noProof/>
          <w:sz w:val="16"/>
          <w:szCs w:val="16"/>
        </w:rPr>
        <w:t>-</w:t>
      </w:r>
      <w:r w:rsidRPr="004B77DE">
        <w:rPr>
          <w:rFonts w:ascii="Trebuchet MS" w:eastAsia="Calibri" w:hAnsi="Trebuchet MS" w:cs="Calibri"/>
          <w:noProof/>
          <w:sz w:val="16"/>
          <w:szCs w:val="16"/>
        </w:rPr>
        <w:t>86</w:t>
      </w:r>
      <w:r w:rsidRPr="004B77DE">
        <w:rPr>
          <w:rFonts w:ascii="Trebuchet MS" w:hAnsi="Trebuchet MS"/>
          <w:noProof/>
          <w:sz w:val="16"/>
          <w:szCs w:val="16"/>
        </w:rPr>
        <w:t>.</w:t>
      </w:r>
    </w:p>
    <w:p w14:paraId="64BD2AE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artley E, McPhie S, Skouteris H et al. Psychosocial risk factors for excessive gestational weight gain: A systematic review. W</w:t>
      </w:r>
      <w:r w:rsidRPr="004B77DE">
        <w:rPr>
          <w:rFonts w:ascii="Trebuchet MS" w:hAnsi="Trebuchet MS"/>
          <w:i/>
          <w:noProof/>
          <w:sz w:val="16"/>
          <w:szCs w:val="16"/>
        </w:rPr>
        <w:t>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28(4): e99-e109.</w:t>
      </w:r>
    </w:p>
    <w:p w14:paraId="0994DFB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apadia MZ, Gaston A, Van Blyderveen S et al. Psychological antecedents of excess gestational weight gain: a systematic review.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107</w:t>
      </w:r>
      <w:r w:rsidRPr="004B77DE">
        <w:rPr>
          <w:rFonts w:ascii="Trebuchet MS" w:hAnsi="Trebuchet MS"/>
          <w:noProof/>
          <w:sz w:val="16"/>
          <w:szCs w:val="16"/>
        </w:rPr>
        <w:t>.</w:t>
      </w:r>
    </w:p>
    <w:p w14:paraId="0440012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atan BM, Garbarino AH, Sellner AA et al. Social determinants of gestational weight gain in an obese, low-income population. A</w:t>
      </w:r>
      <w:r w:rsidRPr="004B77DE">
        <w:rPr>
          <w:rFonts w:ascii="Trebuchet MS" w:hAnsi="Trebuchet MS"/>
          <w:i/>
          <w:noProof/>
          <w:sz w:val="16"/>
          <w:szCs w:val="16"/>
        </w:rPr>
        <w:t>m J Perinatol.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37</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296</w:t>
      </w:r>
      <w:r w:rsidRPr="004B77DE">
        <w:rPr>
          <w:rFonts w:ascii="Trebuchet MS" w:hAnsi="Trebuchet MS"/>
          <w:noProof/>
          <w:sz w:val="16"/>
          <w:szCs w:val="16"/>
        </w:rPr>
        <w:t>-</w:t>
      </w:r>
      <w:r w:rsidRPr="004B77DE">
        <w:rPr>
          <w:rFonts w:ascii="Trebuchet MS" w:eastAsia="Calibri" w:hAnsi="Trebuchet MS" w:cs="Calibri"/>
          <w:noProof/>
          <w:sz w:val="16"/>
          <w:szCs w:val="16"/>
        </w:rPr>
        <w:t>303</w:t>
      </w:r>
      <w:r w:rsidRPr="004B77DE">
        <w:rPr>
          <w:rFonts w:ascii="Trebuchet MS" w:hAnsi="Trebuchet MS"/>
          <w:noProof/>
          <w:sz w:val="16"/>
          <w:szCs w:val="16"/>
        </w:rPr>
        <w:t>.</w:t>
      </w:r>
    </w:p>
    <w:p w14:paraId="7403E66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ill B, Bergmeier H, McPhie S et al. Is parity a risk factor for excessive weight gain during pregnancy and postpartum weight retention? A systematic review and meta-analysis. O</w:t>
      </w:r>
      <w:r w:rsidRPr="004B77DE">
        <w:rPr>
          <w:rFonts w:ascii="Trebuchet MS" w:hAnsi="Trebuchet MS"/>
          <w:i/>
          <w:noProof/>
          <w:sz w:val="16"/>
          <w:szCs w:val="16"/>
        </w:rPr>
        <w:t>bes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755</w:t>
      </w:r>
      <w:r w:rsidRPr="004B77DE">
        <w:rPr>
          <w:rFonts w:ascii="Trebuchet MS" w:hAnsi="Trebuchet MS"/>
          <w:noProof/>
          <w:sz w:val="16"/>
          <w:szCs w:val="16"/>
        </w:rPr>
        <w:t>-</w:t>
      </w:r>
      <w:r w:rsidRPr="004B77DE">
        <w:rPr>
          <w:rFonts w:ascii="Trebuchet MS" w:eastAsia="Calibri" w:hAnsi="Trebuchet MS" w:cs="Calibri"/>
          <w:noProof/>
          <w:sz w:val="16"/>
          <w:szCs w:val="16"/>
        </w:rPr>
        <w:t>64</w:t>
      </w:r>
      <w:r w:rsidRPr="004B77DE">
        <w:rPr>
          <w:rFonts w:ascii="Trebuchet MS" w:hAnsi="Trebuchet MS"/>
          <w:noProof/>
          <w:sz w:val="16"/>
          <w:szCs w:val="16"/>
        </w:rPr>
        <w:t>.</w:t>
      </w:r>
    </w:p>
    <w:p w14:paraId="4F2CB77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359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orisset AS, Dubois L, Colapinto CK et al. Prepregnancy body mass index as a significant predictor of total gestational weight gain and birth weight. C</w:t>
      </w:r>
      <w:r w:rsidRPr="004B77DE">
        <w:rPr>
          <w:rFonts w:ascii="Trebuchet MS" w:hAnsi="Trebuchet MS"/>
          <w:i/>
          <w:noProof/>
          <w:sz w:val="16"/>
          <w:szCs w:val="16"/>
        </w:rPr>
        <w:t>an J Diet Pract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w:t>
      </w:r>
      <w:r w:rsidRPr="004B77DE">
        <w:rPr>
          <w:rFonts w:ascii="Trebuchet MS" w:hAnsi="Trebuchet MS"/>
          <w:noProof/>
          <w:sz w:val="16"/>
          <w:szCs w:val="16"/>
        </w:rPr>
        <w:t>-</w:t>
      </w:r>
      <w:r w:rsidRPr="004B77DE">
        <w:rPr>
          <w:rFonts w:ascii="Trebuchet MS" w:eastAsia="Calibri" w:hAnsi="Trebuchet MS" w:cs="Calibri"/>
          <w:noProof/>
          <w:sz w:val="16"/>
          <w:szCs w:val="16"/>
        </w:rPr>
        <w:t>73</w:t>
      </w:r>
      <w:r w:rsidRPr="004B77DE">
        <w:rPr>
          <w:rFonts w:ascii="Trebuchet MS" w:hAnsi="Trebuchet MS"/>
          <w:noProof/>
          <w:sz w:val="16"/>
          <w:szCs w:val="16"/>
        </w:rPr>
        <w:t>.</w:t>
      </w:r>
    </w:p>
    <w:p w14:paraId="2CC117D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ulman A, Lutsiv O, Park CK et al. Are women who quit smoking at high risk of excess weight gain throughout pregnancy?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263</w:t>
      </w:r>
      <w:r w:rsidRPr="004B77DE">
        <w:rPr>
          <w:rFonts w:ascii="Trebuchet MS" w:hAnsi="Trebuchet MS"/>
          <w:noProof/>
          <w:sz w:val="16"/>
          <w:szCs w:val="16"/>
        </w:rPr>
        <w:t>.</w:t>
      </w:r>
    </w:p>
    <w:p w14:paraId="1720D80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rovenzano AM, Rifas-Shiman SL, Herring SJ et al. Associations of maternal material hardships during childhood and adulthood with prepregnancy weight, gestational weight gain, and postpartum weight retention.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Womens</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Health</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Larchmt</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563</w:t>
      </w:r>
      <w:r w:rsidRPr="004B77DE">
        <w:rPr>
          <w:rFonts w:ascii="Trebuchet MS" w:hAnsi="Trebuchet MS"/>
          <w:noProof/>
          <w:sz w:val="16"/>
          <w:szCs w:val="16"/>
        </w:rPr>
        <w:t>-</w:t>
      </w:r>
      <w:r w:rsidRPr="004B77DE">
        <w:rPr>
          <w:rFonts w:ascii="Trebuchet MS" w:eastAsia="Calibri" w:hAnsi="Trebuchet MS" w:cs="Calibri"/>
          <w:noProof/>
          <w:sz w:val="16"/>
          <w:szCs w:val="16"/>
        </w:rPr>
        <w:t>71</w:t>
      </w:r>
      <w:r w:rsidRPr="004B77DE">
        <w:rPr>
          <w:rFonts w:ascii="Trebuchet MS" w:hAnsi="Trebuchet MS"/>
          <w:noProof/>
          <w:sz w:val="16"/>
          <w:szCs w:val="16"/>
        </w:rPr>
        <w:t>.</w:t>
      </w:r>
    </w:p>
    <w:p w14:paraId="12EA597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antos S, Voerman E, Amiano P et al. Impact of maternal body mass index and gestational weight gain on pregnancy complications: an individual participant data meta-analysis of European, North American and Australian cohorts.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984</w:t>
      </w:r>
      <w:r w:rsidRPr="004B77DE">
        <w:rPr>
          <w:rFonts w:ascii="Trebuchet MS" w:hAnsi="Trebuchet MS"/>
          <w:noProof/>
          <w:sz w:val="16"/>
          <w:szCs w:val="16"/>
        </w:rPr>
        <w:t>-</w:t>
      </w:r>
      <w:r w:rsidRPr="004B77DE">
        <w:rPr>
          <w:rFonts w:ascii="Trebuchet MS" w:eastAsia="Calibri" w:hAnsi="Trebuchet MS" w:cs="Calibri"/>
          <w:noProof/>
          <w:sz w:val="16"/>
          <w:szCs w:val="16"/>
        </w:rPr>
        <w:t>95</w:t>
      </w:r>
      <w:r w:rsidRPr="004B77DE">
        <w:rPr>
          <w:rFonts w:ascii="Trebuchet MS" w:hAnsi="Trebuchet MS"/>
          <w:noProof/>
          <w:sz w:val="16"/>
          <w:szCs w:val="16"/>
        </w:rPr>
        <w:t>.</w:t>
      </w:r>
    </w:p>
    <w:p w14:paraId="6558B95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oldstein RF, Abell SK, Ranasinha S et al. Association of gestational weight gain with maternal and infant outcomes: a systematic review and meta-analysis. J</w:t>
      </w:r>
      <w:r w:rsidRPr="004B77DE">
        <w:rPr>
          <w:rFonts w:ascii="Trebuchet MS" w:hAnsi="Trebuchet MS"/>
          <w:i/>
          <w:noProof/>
          <w:sz w:val="16"/>
          <w:szCs w:val="16"/>
        </w:rPr>
        <w:t>AMA.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317</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2207</w:t>
      </w:r>
      <w:r w:rsidRPr="004B77DE">
        <w:rPr>
          <w:rFonts w:ascii="Trebuchet MS" w:hAnsi="Trebuchet MS"/>
          <w:noProof/>
          <w:sz w:val="16"/>
          <w:szCs w:val="16"/>
        </w:rPr>
        <w:t>-</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619575B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ogozinska E, Zamora J, Marlin N et al. Gestational weight gain outside the Institute of Medicine recommendations and adverse pregnancy outcomes: analysis using individual participant data from randomised trials.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322</w:t>
      </w:r>
      <w:r w:rsidRPr="004B77DE">
        <w:rPr>
          <w:rFonts w:ascii="Trebuchet MS" w:hAnsi="Trebuchet MS"/>
          <w:noProof/>
          <w:sz w:val="16"/>
          <w:szCs w:val="16"/>
        </w:rPr>
        <w:t>.</w:t>
      </w:r>
    </w:p>
    <w:p w14:paraId="24A50B8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oerman E, Santos S, Patro Golab B et al. Maternal body mass index, gestational weight gain, and the risk of overweight and obesity across childhood: An individual participant data meta-analysis. P</w:t>
      </w:r>
      <w:r w:rsidRPr="004B77DE">
        <w:rPr>
          <w:rFonts w:ascii="Trebuchet MS" w:hAnsi="Trebuchet MS"/>
          <w:i/>
          <w:noProof/>
          <w:sz w:val="16"/>
          <w:szCs w:val="16"/>
        </w:rPr>
        <w:t>LoS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e1002744</w:t>
      </w:r>
      <w:r w:rsidRPr="004B77DE">
        <w:rPr>
          <w:rFonts w:ascii="Trebuchet MS" w:hAnsi="Trebuchet MS"/>
          <w:noProof/>
          <w:sz w:val="16"/>
          <w:szCs w:val="16"/>
        </w:rPr>
        <w:t>.</w:t>
      </w:r>
    </w:p>
    <w:p w14:paraId="09633C5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une D, Mahamat-Saleh Y, Norat T et al. Body mass index, abdominal fatness, weight gain and the risk of urinary incontinence: a systematic review and dose-response meta-analysis of prospective studies.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1424</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65856F1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ian ZX, Wan M, Gao YL et al. Gestational weight gain and risk of autism spectrum disorders in offspring: a systematic review and meta-analysis.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Obstet</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Gyn</w:t>
      </w:r>
      <w:r w:rsidRPr="004B77DE">
        <w:rPr>
          <w:rFonts w:ascii="Trebuchet MS" w:hAnsi="Trebuchet MS"/>
          <w:i/>
          <w:noProof/>
          <w:sz w:val="16"/>
          <w:szCs w:val="16"/>
        </w:rPr>
        <w:t>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707605C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arreno CA, Clifton RG, Hauth JC et al. Excessive early gestational weight gain and risk of gestational diabetes mellitus in nulliparous women.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1227</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6698667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369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oldstein RF, Abell SK, Ranasinha S et al. Gestational weight gain across continents and ethnicity: systematic review and meta-analysis of maternal and infant outcomes in more than one million women. B</w:t>
      </w:r>
      <w:r w:rsidRPr="004B77DE">
        <w:rPr>
          <w:rFonts w:ascii="Trebuchet MS" w:hAnsi="Trebuchet MS"/>
          <w:i/>
          <w:noProof/>
          <w:sz w:val="16"/>
          <w:szCs w:val="16"/>
        </w:rPr>
        <w:t>MC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153</w:t>
      </w:r>
      <w:r w:rsidRPr="004B77DE">
        <w:rPr>
          <w:rFonts w:ascii="Trebuchet MS" w:hAnsi="Trebuchet MS"/>
          <w:noProof/>
          <w:sz w:val="16"/>
          <w:szCs w:val="16"/>
        </w:rPr>
        <w:t>.</w:t>
      </w:r>
    </w:p>
    <w:p w14:paraId="3BB0EC1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apadia MZ, Park CK, Beyene J et al. Can we safely recommend gestational weight gain below the 2009 guidelines in obese women? A systematic review and meta-analysis. O</w:t>
      </w:r>
      <w:r w:rsidRPr="004B77DE">
        <w:rPr>
          <w:rFonts w:ascii="Trebuchet MS" w:hAnsi="Trebuchet MS"/>
          <w:i/>
          <w:noProof/>
          <w:sz w:val="16"/>
          <w:szCs w:val="16"/>
        </w:rPr>
        <w:t>bes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189</w:t>
      </w:r>
      <w:r w:rsidRPr="004B77DE">
        <w:rPr>
          <w:rFonts w:ascii="Trebuchet MS" w:hAnsi="Trebuchet MS"/>
          <w:noProof/>
          <w:sz w:val="16"/>
          <w:szCs w:val="16"/>
        </w:rPr>
        <w:t>-</w:t>
      </w:r>
      <w:r w:rsidRPr="004B77DE">
        <w:rPr>
          <w:rFonts w:ascii="Trebuchet MS" w:eastAsia="Calibri" w:hAnsi="Trebuchet MS" w:cs="Calibri"/>
          <w:noProof/>
          <w:sz w:val="16"/>
          <w:szCs w:val="16"/>
        </w:rPr>
        <w:t>206</w:t>
      </w:r>
      <w:r w:rsidRPr="004B77DE">
        <w:rPr>
          <w:rFonts w:ascii="Trebuchet MS" w:hAnsi="Trebuchet MS"/>
          <w:noProof/>
          <w:sz w:val="16"/>
          <w:szCs w:val="16"/>
        </w:rPr>
        <w:t>.</w:t>
      </w:r>
    </w:p>
    <w:p w14:paraId="76BCFAD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apadia MZ, Park CK, Beyene J et al. Weight loss instead of weight gain within the guidelines in obese women during pregnancy: A systematic review and meta-analyses of maternal and infant outcomes. P</w:t>
      </w:r>
      <w:r w:rsidRPr="004B77DE">
        <w:rPr>
          <w:rFonts w:ascii="Trebuchet MS" w:hAnsi="Trebuchet MS"/>
          <w:i/>
          <w:noProof/>
          <w:sz w:val="16"/>
          <w:szCs w:val="16"/>
        </w:rPr>
        <w:t>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e0132650</w:t>
      </w:r>
      <w:r w:rsidRPr="004B77DE">
        <w:rPr>
          <w:rFonts w:ascii="Trebuchet MS" w:hAnsi="Trebuchet MS"/>
          <w:noProof/>
          <w:sz w:val="16"/>
          <w:szCs w:val="16"/>
        </w:rPr>
        <w:t>.</w:t>
      </w:r>
    </w:p>
    <w:p w14:paraId="5C47D30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anstone M, Kandasamy S, Giacomini M et al. Pregnant women's perceptions of gestational weight gain: A systematic review and meta-synthesis of qualitative research. M</w:t>
      </w:r>
      <w:r w:rsidRPr="004B77DE">
        <w:rPr>
          <w:rFonts w:ascii="Trebuchet MS" w:hAnsi="Trebuchet MS"/>
          <w:i/>
          <w:noProof/>
          <w:sz w:val="16"/>
          <w:szCs w:val="16"/>
        </w:rPr>
        <w:t>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w:t>
      </w:r>
    </w:p>
    <w:p w14:paraId="723F3E1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ill B, Hayden M, McPhie S et al. Preconception and antenatal knowledge and beliefs about gestational weight gain. A</w:t>
      </w:r>
      <w:r w:rsidRPr="004B77DE">
        <w:rPr>
          <w:rFonts w:ascii="Trebuchet MS" w:hAnsi="Trebuchet MS"/>
          <w:i/>
          <w:noProof/>
          <w:sz w:val="16"/>
          <w:szCs w:val="16"/>
        </w:rPr>
        <w:t>ust N Z 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634</w:t>
      </w:r>
      <w:r w:rsidRPr="004B77DE">
        <w:rPr>
          <w:rFonts w:ascii="Trebuchet MS" w:hAnsi="Trebuchet MS"/>
          <w:noProof/>
          <w:sz w:val="16"/>
          <w:szCs w:val="16"/>
        </w:rPr>
        <w:t>-</w:t>
      </w:r>
      <w:r w:rsidRPr="004B77DE">
        <w:rPr>
          <w:rFonts w:ascii="Trebuchet MS" w:eastAsia="Calibri" w:hAnsi="Trebuchet MS" w:cs="Calibri"/>
          <w:noProof/>
          <w:sz w:val="16"/>
          <w:szCs w:val="16"/>
        </w:rPr>
        <w:t>40</w:t>
      </w:r>
      <w:r w:rsidRPr="004B77DE">
        <w:rPr>
          <w:rFonts w:ascii="Trebuchet MS" w:hAnsi="Trebuchet MS"/>
          <w:noProof/>
          <w:sz w:val="16"/>
          <w:szCs w:val="16"/>
        </w:rPr>
        <w:t>.</w:t>
      </w:r>
    </w:p>
    <w:p w14:paraId="6E3BABE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eeks A, Halili L, Liu RH et al. Gestational weight gain counselling gaps as perceived by pregnant women and new mothers: Findings from the electronic maternal health survey. W</w:t>
      </w:r>
      <w:r w:rsidRPr="004B77DE">
        <w:rPr>
          <w:rFonts w:ascii="Trebuchet MS" w:hAnsi="Trebuchet MS"/>
          <w:i/>
          <w:noProof/>
          <w:sz w:val="16"/>
          <w:szCs w:val="16"/>
        </w:rPr>
        <w:t>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e88</w:t>
      </w:r>
      <w:r w:rsidRPr="004B77DE">
        <w:rPr>
          <w:rFonts w:ascii="Trebuchet MS" w:hAnsi="Trebuchet MS"/>
          <w:noProof/>
          <w:sz w:val="16"/>
          <w:szCs w:val="16"/>
        </w:rPr>
        <w:t>-</w:t>
      </w:r>
      <w:r w:rsidRPr="004B77DE">
        <w:rPr>
          <w:rFonts w:ascii="Trebuchet MS" w:eastAsia="Calibri" w:hAnsi="Trebuchet MS" w:cs="Calibri"/>
          <w:noProof/>
          <w:sz w:val="16"/>
          <w:szCs w:val="16"/>
        </w:rPr>
        <w:t>e94</w:t>
      </w:r>
      <w:r w:rsidRPr="004B77DE">
        <w:rPr>
          <w:rFonts w:ascii="Trebuchet MS" w:hAnsi="Trebuchet MS"/>
          <w:noProof/>
          <w:sz w:val="16"/>
          <w:szCs w:val="16"/>
        </w:rPr>
        <w:t>.</w:t>
      </w:r>
    </w:p>
    <w:p w14:paraId="4215A23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opez-Cepero A, Leung K, Moore Simas T et al. Association between obstetric provider's advice and gestational weight gain. M</w:t>
      </w:r>
      <w:r w:rsidRPr="004B77DE">
        <w:rPr>
          <w:rFonts w:ascii="Trebuchet MS" w:hAnsi="Trebuchet MS"/>
          <w:i/>
          <w:noProof/>
          <w:sz w:val="16"/>
          <w:szCs w:val="16"/>
        </w:rPr>
        <w:t>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1127</w:t>
      </w:r>
      <w:r w:rsidRPr="004B77DE">
        <w:rPr>
          <w:rFonts w:ascii="Trebuchet MS" w:hAnsi="Trebuchet MS"/>
          <w:noProof/>
          <w:sz w:val="16"/>
          <w:szCs w:val="16"/>
        </w:rPr>
        <w:t>-</w:t>
      </w:r>
      <w:r w:rsidRPr="004B77DE">
        <w:rPr>
          <w:rFonts w:ascii="Trebuchet MS" w:eastAsia="Calibri" w:hAnsi="Trebuchet MS" w:cs="Calibri"/>
          <w:noProof/>
          <w:sz w:val="16"/>
          <w:szCs w:val="16"/>
        </w:rPr>
        <w:t>34</w:t>
      </w:r>
      <w:r w:rsidRPr="004B77DE">
        <w:rPr>
          <w:rFonts w:ascii="Trebuchet MS" w:hAnsi="Trebuchet MS"/>
          <w:noProof/>
          <w:sz w:val="16"/>
          <w:szCs w:val="16"/>
        </w:rPr>
        <w:t>.</w:t>
      </w:r>
    </w:p>
    <w:p w14:paraId="68337D7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llen-Walker V, Mullaney L, Turner MJ et al. How do women feel about being weighed during pregnancy? A qualitative exploration of the opinions and experiences of postnatal women. M</w:t>
      </w:r>
      <w:r w:rsidRPr="004B77DE">
        <w:rPr>
          <w:rFonts w:ascii="Trebuchet MS" w:hAnsi="Trebuchet MS"/>
          <w:i/>
          <w:noProof/>
          <w:sz w:val="16"/>
          <w:szCs w:val="16"/>
        </w:rPr>
        <w:t>idwifery.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95</w:t>
      </w:r>
      <w:r w:rsidRPr="004B77DE">
        <w:rPr>
          <w:rFonts w:ascii="Trebuchet MS" w:hAnsi="Trebuchet MS"/>
          <w:noProof/>
          <w:sz w:val="16"/>
          <w:szCs w:val="16"/>
        </w:rPr>
        <w:t>-</w:t>
      </w:r>
      <w:r w:rsidRPr="004B77DE">
        <w:rPr>
          <w:rFonts w:ascii="Trebuchet MS" w:eastAsia="Calibri" w:hAnsi="Trebuchet MS" w:cs="Calibri"/>
          <w:noProof/>
          <w:sz w:val="16"/>
          <w:szCs w:val="16"/>
        </w:rPr>
        <w:t>101</w:t>
      </w:r>
      <w:r w:rsidRPr="004B77DE">
        <w:rPr>
          <w:rFonts w:ascii="Trebuchet MS" w:hAnsi="Trebuchet MS"/>
          <w:noProof/>
          <w:sz w:val="16"/>
          <w:szCs w:val="16"/>
        </w:rPr>
        <w:t>.</w:t>
      </w:r>
    </w:p>
    <w:p w14:paraId="73D4B29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asted T, Stapleton H, Beckmann MM et al. Clinician's attitudes to the introduction of routine weighing in pregnancy.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Pregnancy</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2049673</w:t>
      </w:r>
      <w:r w:rsidRPr="004B77DE">
        <w:rPr>
          <w:rFonts w:ascii="Trebuchet MS" w:hAnsi="Trebuchet MS"/>
          <w:noProof/>
          <w:sz w:val="16"/>
          <w:szCs w:val="16"/>
        </w:rPr>
        <w:t>.</w:t>
      </w:r>
    </w:p>
    <w:p w14:paraId="2FA71E5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e Jersey S, Guthrie T, Tyler J et al. A mixed method study evaluating the integration of pregnancy weight gain charts into antenatal care. M</w:t>
      </w:r>
      <w:r w:rsidRPr="004B77DE">
        <w:rPr>
          <w:rFonts w:ascii="Trebuchet MS" w:hAnsi="Trebuchet MS"/>
          <w:i/>
          <w:noProof/>
          <w:sz w:val="16"/>
          <w:szCs w:val="16"/>
        </w:rPr>
        <w:t>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e12750</w:t>
      </w:r>
      <w:r w:rsidRPr="004B77DE">
        <w:rPr>
          <w:rFonts w:ascii="Trebuchet MS" w:hAnsi="Trebuchet MS"/>
          <w:noProof/>
          <w:sz w:val="16"/>
          <w:szCs w:val="16"/>
        </w:rPr>
        <w:t>.</w:t>
      </w:r>
    </w:p>
    <w:p w14:paraId="7261AAE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379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ilkinson S, Beckmann M, Donaldson E et al. Implementation of gestational weight gain guidelines - what's more effective for ensuring weight recording in pregnancy?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p>
    <w:p w14:paraId="32200A1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indberg SM, Anderson CK. Improving gestational weight gain counseling through meaningful use of an electronic medical record. M</w:t>
      </w:r>
      <w:r w:rsidRPr="004B77DE">
        <w:rPr>
          <w:rFonts w:ascii="Trebuchet MS" w:hAnsi="Trebuchet MS"/>
          <w:i/>
          <w:noProof/>
          <w:sz w:val="16"/>
          <w:szCs w:val="16"/>
        </w:rPr>
        <w:t>atern Child Health 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014; 18(9): 2188-94.</w:t>
      </w:r>
    </w:p>
    <w:p w14:paraId="2D26033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F</w:t>
      </w:r>
      <w:r w:rsidRPr="004B77DE">
        <w:rPr>
          <w:rFonts w:ascii="Trebuchet MS" w:hAnsi="Trebuchet MS"/>
          <w:noProof/>
          <w:sz w:val="16"/>
          <w:szCs w:val="16"/>
        </w:rPr>
        <w:t>ealy S, Davis D, Foureur M et al. The return of weighing in pregnancy: A discussion of evidence and practice. W</w:t>
      </w:r>
      <w:r w:rsidRPr="004B77DE">
        <w:rPr>
          <w:rFonts w:ascii="Trebuchet MS" w:hAnsi="Trebuchet MS"/>
          <w:i/>
          <w:noProof/>
          <w:sz w:val="16"/>
          <w:szCs w:val="16"/>
        </w:rPr>
        <w:t>omen 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w:t>
      </w:r>
    </w:p>
    <w:p w14:paraId="25BA80B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F</w:t>
      </w:r>
      <w:r w:rsidRPr="004B77DE">
        <w:rPr>
          <w:rFonts w:ascii="Trebuchet MS" w:hAnsi="Trebuchet MS"/>
          <w:noProof/>
          <w:sz w:val="16"/>
          <w:szCs w:val="16"/>
        </w:rPr>
        <w:t>ealy SM, Taylor RM, Foureur M et al. Weighing as a stand-alone intervention does not reduce excessive gestational weight gain compared to routine antenatal care: a systematic review and meta-analysis of randomised controlled trials.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w:t>
      </w:r>
      <w:r w:rsidRPr="004B77DE">
        <w:rPr>
          <w:rFonts w:ascii="Trebuchet MS" w:hAnsi="Trebuchet MS"/>
          <w:noProof/>
          <w:sz w:val="16"/>
          <w:szCs w:val="16"/>
        </w:rPr>
        <w:t>.</w:t>
      </w:r>
    </w:p>
    <w:p w14:paraId="5CC4346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rownfoot FC, Davey MA, Kornman L. Routine weighing to reduce excessive antenatal weight gain: a randomised controlled trial.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254</w:t>
      </w:r>
      <w:r w:rsidRPr="004B77DE">
        <w:rPr>
          <w:rFonts w:ascii="Trebuchet MS" w:hAnsi="Trebuchet MS"/>
          <w:noProof/>
          <w:sz w:val="16"/>
          <w:szCs w:val="16"/>
        </w:rPr>
        <w:t>-</w:t>
      </w:r>
      <w:r w:rsidRPr="004B77DE">
        <w:rPr>
          <w:rFonts w:ascii="Trebuchet MS" w:eastAsia="Calibri" w:hAnsi="Trebuchet MS" w:cs="Calibri"/>
          <w:noProof/>
          <w:sz w:val="16"/>
          <w:szCs w:val="16"/>
        </w:rPr>
        <w:t>61</w:t>
      </w:r>
      <w:r w:rsidRPr="004B77DE">
        <w:rPr>
          <w:rFonts w:ascii="Trebuchet MS" w:hAnsi="Trebuchet MS"/>
          <w:noProof/>
          <w:sz w:val="16"/>
          <w:szCs w:val="16"/>
        </w:rPr>
        <w:t>.</w:t>
      </w:r>
    </w:p>
    <w:p w14:paraId="02CC28E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J</w:t>
      </w:r>
      <w:r w:rsidRPr="004B77DE">
        <w:rPr>
          <w:rFonts w:ascii="Trebuchet MS" w:hAnsi="Trebuchet MS"/>
          <w:noProof/>
          <w:sz w:val="16"/>
          <w:szCs w:val="16"/>
        </w:rPr>
        <w:t>effries K, Walker SP, Hiscock R et al. Reducing excessive weight gain in pregnancy: a randomised controlled trial. M</w:t>
      </w:r>
      <w:r w:rsidRPr="004B77DE">
        <w:rPr>
          <w:rFonts w:ascii="Trebuchet MS" w:hAnsi="Trebuchet MS"/>
          <w:i/>
          <w:noProof/>
          <w:sz w:val="16"/>
          <w:szCs w:val="16"/>
        </w:rPr>
        <w:t>JA.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191</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429–33</w:t>
      </w:r>
      <w:r w:rsidRPr="004B77DE">
        <w:rPr>
          <w:rFonts w:ascii="Trebuchet MS" w:hAnsi="Trebuchet MS"/>
          <w:noProof/>
          <w:sz w:val="16"/>
          <w:szCs w:val="16"/>
        </w:rPr>
        <w:t>.</w:t>
      </w:r>
    </w:p>
    <w:p w14:paraId="1F838E3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rownfoot FC, Davey MA, Kornman L. Women's opinions on being weighed at routine antenatal visits.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263</w:t>
      </w:r>
      <w:r w:rsidRPr="004B77DE">
        <w:rPr>
          <w:rFonts w:ascii="Trebuchet MS" w:hAnsi="Trebuchet MS"/>
          <w:noProof/>
          <w:sz w:val="16"/>
          <w:szCs w:val="16"/>
        </w:rPr>
        <w:t>-</w:t>
      </w:r>
      <w:r w:rsidRPr="004B77DE">
        <w:rPr>
          <w:rFonts w:ascii="Trebuchet MS" w:eastAsia="Calibri" w:hAnsi="Trebuchet MS" w:cs="Calibri"/>
          <w:noProof/>
          <w:sz w:val="16"/>
          <w:szCs w:val="16"/>
        </w:rPr>
        <w:t>70</w:t>
      </w:r>
      <w:r w:rsidRPr="004B77DE">
        <w:rPr>
          <w:rFonts w:ascii="Trebuchet MS" w:hAnsi="Trebuchet MS"/>
          <w:noProof/>
          <w:sz w:val="16"/>
          <w:szCs w:val="16"/>
        </w:rPr>
        <w:t>.</w:t>
      </w:r>
    </w:p>
    <w:p w14:paraId="0484A4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aley AJ, Jolly K, Jebb SA et al. Feasibility and acceptability of regular weighing, setting weight gain limits and providing feedback by community midwives to prevent excess weight gain during pregnancy: randomised controlled trial and qualitative study. B</w:t>
      </w:r>
      <w:r w:rsidRPr="004B77DE">
        <w:rPr>
          <w:rFonts w:ascii="Trebuchet MS" w:hAnsi="Trebuchet MS"/>
          <w:i/>
          <w:noProof/>
          <w:sz w:val="16"/>
          <w:szCs w:val="16"/>
        </w:rPr>
        <w:t>MC Obes.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p>
    <w:p w14:paraId="6EF8E24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aley A, Jolly K, Jebb SA et al. Effectiveness of a behavioural intervention involving regular weighing and feedback by community midwives within routine antenatal care to prevent excessive gestational weight gain: POPS2 randomised controlled trial. B</w:t>
      </w:r>
      <w:r w:rsidRPr="004B77DE">
        <w:rPr>
          <w:rFonts w:ascii="Trebuchet MS" w:hAnsi="Trebuchet MS"/>
          <w:i/>
          <w:noProof/>
          <w:sz w:val="16"/>
          <w:szCs w:val="16"/>
        </w:rPr>
        <w:t>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e030174</w:t>
      </w:r>
      <w:r w:rsidRPr="004B77DE">
        <w:rPr>
          <w:rFonts w:ascii="Trebuchet MS" w:hAnsi="Trebuchet MS"/>
          <w:noProof/>
          <w:sz w:val="16"/>
          <w:szCs w:val="16"/>
        </w:rPr>
        <w:t>.</w:t>
      </w:r>
    </w:p>
    <w:p w14:paraId="6D48BD9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an Z, Mulla S, Beyene J et al. Maternal underweight and the risk of preterm birth and low birth weight: a systematic review and meta-analyses. I</w:t>
      </w:r>
      <w:r w:rsidRPr="004B77DE">
        <w:rPr>
          <w:rFonts w:ascii="Trebuchet MS" w:hAnsi="Trebuchet MS"/>
          <w:i/>
          <w:noProof/>
          <w:sz w:val="16"/>
          <w:szCs w:val="16"/>
        </w:rPr>
        <w:t>nt J Epidemiol.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65</w:t>
      </w:r>
      <w:r w:rsidRPr="004B77DE">
        <w:rPr>
          <w:rFonts w:ascii="Trebuchet MS" w:hAnsi="Trebuchet MS"/>
          <w:noProof/>
          <w:sz w:val="16"/>
          <w:szCs w:val="16"/>
        </w:rPr>
        <w:t>-</w:t>
      </w:r>
      <w:r w:rsidRPr="004B77DE">
        <w:rPr>
          <w:rFonts w:ascii="Trebuchet MS" w:eastAsia="Calibri" w:hAnsi="Trebuchet MS" w:cs="Calibri"/>
          <w:noProof/>
          <w:sz w:val="16"/>
          <w:szCs w:val="16"/>
        </w:rPr>
        <w:t>101</w:t>
      </w:r>
      <w:r w:rsidRPr="004B77DE">
        <w:rPr>
          <w:rFonts w:ascii="Trebuchet MS" w:hAnsi="Trebuchet MS"/>
          <w:noProof/>
          <w:sz w:val="16"/>
          <w:szCs w:val="16"/>
        </w:rPr>
        <w:t>.</w:t>
      </w:r>
    </w:p>
    <w:p w14:paraId="15A913B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389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iu P, Xu L, Wang Y et al. Association between perinatal outcomes and maternal pre-pregnancy body mass index. O</w:t>
      </w:r>
      <w:r w:rsidRPr="004B77DE">
        <w:rPr>
          <w:rFonts w:ascii="Trebuchet MS" w:hAnsi="Trebuchet MS"/>
          <w:i/>
          <w:noProof/>
          <w:sz w:val="16"/>
          <w:szCs w:val="16"/>
        </w:rPr>
        <w:t>bes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1091-102.</w:t>
      </w:r>
    </w:p>
    <w:p w14:paraId="14A686B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iu L, Ma Y, Wang N et al. Maternal body mass index and risk of neonatal adverse outcomes in China: a systematic review and meta-analysis.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105</w:t>
      </w:r>
      <w:r w:rsidRPr="004B77DE">
        <w:rPr>
          <w:rFonts w:ascii="Trebuchet MS" w:hAnsi="Trebuchet MS"/>
          <w:noProof/>
          <w:sz w:val="16"/>
          <w:szCs w:val="16"/>
        </w:rPr>
        <w:t>.</w:t>
      </w:r>
    </w:p>
    <w:p w14:paraId="7E06742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oto E. Dose-response association between maternal body mass index and small for gestational age: a meta-analysis.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Matern</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Fetal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Neonatal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213</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607E356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Y</w:t>
      </w:r>
      <w:r w:rsidRPr="004B77DE">
        <w:rPr>
          <w:rFonts w:ascii="Trebuchet MS" w:hAnsi="Trebuchet MS"/>
          <w:noProof/>
          <w:sz w:val="16"/>
          <w:szCs w:val="16"/>
        </w:rPr>
        <w:t>u Z, Han S, Zhu J et al. Pre-pregnancy body mass index in relation to infant birth weight and offspring overweight/obesity: a systematic review and meta-analysis. P</w:t>
      </w:r>
      <w:r w:rsidRPr="004B77DE">
        <w:rPr>
          <w:rFonts w:ascii="Trebuchet MS" w:hAnsi="Trebuchet MS"/>
          <w:i/>
          <w:noProof/>
          <w:sz w:val="16"/>
          <w:szCs w:val="16"/>
        </w:rPr>
        <w:t>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e61627</w:t>
      </w:r>
      <w:r w:rsidRPr="004B77DE">
        <w:rPr>
          <w:rFonts w:ascii="Trebuchet MS" w:hAnsi="Trebuchet MS"/>
          <w:noProof/>
          <w:sz w:val="16"/>
          <w:szCs w:val="16"/>
        </w:rPr>
        <w:t>.</w:t>
      </w:r>
    </w:p>
    <w:p w14:paraId="04BDA39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alsells M, Garcia-Patterson A, Corcoy R. Systematic review and meta-analysis on the association of prepregnancy underweight and miscarriage. E</w:t>
      </w:r>
      <w:r w:rsidRPr="004B77DE">
        <w:rPr>
          <w:rFonts w:ascii="Trebuchet MS" w:hAnsi="Trebuchet MS"/>
          <w:i/>
          <w:noProof/>
          <w:sz w:val="16"/>
          <w:szCs w:val="16"/>
        </w:rPr>
        <w:t>ur J Obstet Gynecol Reprod Biol.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DF056D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dane AA, Shepherd CCJ, Lim FJ et al. The impact of pre-pregnancy body mass index and gestational weight gain on placental abruption risk: a systematic review and meta-analysis. A</w:t>
      </w:r>
      <w:r w:rsidRPr="004B77DE">
        <w:rPr>
          <w:rFonts w:ascii="Trebuchet MS" w:hAnsi="Trebuchet MS"/>
          <w:i/>
          <w:noProof/>
          <w:sz w:val="16"/>
          <w:szCs w:val="16"/>
        </w:rPr>
        <w:t>rch Gynecol Obstet.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300</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1201</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w:t>
      </w:r>
    </w:p>
    <w:p w14:paraId="275A4DD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orloni MR, Betran AP, Horta BL et al. Prepregnancy BMI and the risk of gestational diabetes: a systematic review of the literature with meta-analysis. O</w:t>
      </w:r>
      <w:r w:rsidRPr="004B77DE">
        <w:rPr>
          <w:rFonts w:ascii="Trebuchet MS" w:hAnsi="Trebuchet MS"/>
          <w:i/>
          <w:noProof/>
          <w:sz w:val="16"/>
          <w:szCs w:val="16"/>
        </w:rPr>
        <w:t>bes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194</w:t>
      </w:r>
      <w:r w:rsidRPr="004B77DE">
        <w:rPr>
          <w:rFonts w:ascii="Trebuchet MS" w:hAnsi="Trebuchet MS"/>
          <w:noProof/>
          <w:sz w:val="16"/>
          <w:szCs w:val="16"/>
        </w:rPr>
        <w:t>-</w:t>
      </w:r>
      <w:r w:rsidRPr="004B77DE">
        <w:rPr>
          <w:rFonts w:ascii="Trebuchet MS" w:eastAsia="Calibri" w:hAnsi="Trebuchet MS" w:cs="Calibri"/>
          <w:noProof/>
          <w:sz w:val="16"/>
          <w:szCs w:val="16"/>
        </w:rPr>
        <w:t>203</w:t>
      </w:r>
      <w:r w:rsidRPr="004B77DE">
        <w:rPr>
          <w:rFonts w:ascii="Trebuchet MS" w:hAnsi="Trebuchet MS"/>
          <w:noProof/>
          <w:sz w:val="16"/>
          <w:szCs w:val="16"/>
        </w:rPr>
        <w:t>.</w:t>
      </w:r>
    </w:p>
    <w:p w14:paraId="6A07BC4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Z</w:t>
      </w:r>
      <w:r w:rsidRPr="004B77DE">
        <w:rPr>
          <w:rFonts w:ascii="Trebuchet MS" w:hAnsi="Trebuchet MS"/>
          <w:noProof/>
          <w:sz w:val="16"/>
          <w:szCs w:val="16"/>
        </w:rPr>
        <w:t>hu Y, Chen Y, Feng Y et al. Association between maternal body mass index and congenital heart defects in infants: A meta-analysis. C</w:t>
      </w:r>
      <w:r w:rsidRPr="004B77DE">
        <w:rPr>
          <w:rFonts w:ascii="Trebuchet MS" w:hAnsi="Trebuchet MS"/>
          <w:i/>
          <w:noProof/>
          <w:sz w:val="16"/>
          <w:szCs w:val="16"/>
        </w:rPr>
        <w:t>ongenit Heart Dis.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271</w:t>
      </w:r>
      <w:r w:rsidRPr="004B77DE">
        <w:rPr>
          <w:rFonts w:ascii="Trebuchet MS" w:hAnsi="Trebuchet MS"/>
          <w:noProof/>
          <w:sz w:val="16"/>
          <w:szCs w:val="16"/>
        </w:rPr>
        <w:t>-</w:t>
      </w:r>
      <w:r w:rsidRPr="004B77DE">
        <w:rPr>
          <w:rFonts w:ascii="Trebuchet MS" w:eastAsia="Calibri" w:hAnsi="Trebuchet MS" w:cs="Calibri"/>
          <w:noProof/>
          <w:sz w:val="16"/>
          <w:szCs w:val="16"/>
        </w:rPr>
        <w:t>81</w:t>
      </w:r>
      <w:r w:rsidRPr="004B77DE">
        <w:rPr>
          <w:rFonts w:ascii="Trebuchet MS" w:hAnsi="Trebuchet MS"/>
          <w:noProof/>
          <w:sz w:val="16"/>
          <w:szCs w:val="16"/>
        </w:rPr>
        <w:t>.</w:t>
      </w:r>
    </w:p>
    <w:p w14:paraId="0CD5956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ai GJ, Sun XX, Zhang L et al. Association between maternal body mass index and congenital heart defects in offspring: a systematic review. A</w:t>
      </w:r>
      <w:r w:rsidRPr="004B77DE">
        <w:rPr>
          <w:rFonts w:ascii="Trebuchet MS" w:hAnsi="Trebuchet MS"/>
          <w:i/>
          <w:noProof/>
          <w:sz w:val="16"/>
          <w:szCs w:val="16"/>
        </w:rPr>
        <w:t>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211</w:t>
      </w:r>
      <w:r w:rsidRPr="004B77DE">
        <w:rPr>
          <w:rFonts w:ascii="Trebuchet MS" w:hAnsi="Trebuchet MS"/>
          <w:noProof/>
          <w:sz w:val="16"/>
          <w:szCs w:val="16"/>
        </w:rPr>
        <w:t>(2): 91-117.</w:t>
      </w:r>
    </w:p>
    <w:p w14:paraId="75EE5C5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uang Y, Ouyang YQ, Redding SR. Maternal prepregnancy body mass index, gestational weight gain, and cessation of breastfeeding: A systematic review and meta-analysis. B</w:t>
      </w:r>
      <w:r w:rsidRPr="004B77DE">
        <w:rPr>
          <w:rFonts w:ascii="Trebuchet MS" w:hAnsi="Trebuchet MS"/>
          <w:i/>
          <w:noProof/>
          <w:sz w:val="16"/>
          <w:szCs w:val="16"/>
        </w:rPr>
        <w:t>reastfeed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366</w:t>
      </w:r>
      <w:r w:rsidRPr="004B77DE">
        <w:rPr>
          <w:rFonts w:ascii="Trebuchet MS" w:hAnsi="Trebuchet MS"/>
          <w:noProof/>
          <w:sz w:val="16"/>
          <w:szCs w:val="16"/>
        </w:rPr>
        <w:t>-</w:t>
      </w:r>
      <w:r w:rsidRPr="004B77DE">
        <w:rPr>
          <w:rFonts w:ascii="Trebuchet MS" w:eastAsia="Calibri" w:hAnsi="Trebuchet MS" w:cs="Calibri"/>
          <w:noProof/>
          <w:sz w:val="16"/>
          <w:szCs w:val="16"/>
        </w:rPr>
        <w:t>74</w:t>
      </w:r>
      <w:r w:rsidRPr="004B77DE">
        <w:rPr>
          <w:rFonts w:ascii="Trebuchet MS" w:hAnsi="Trebuchet MS"/>
          <w:noProof/>
          <w:sz w:val="16"/>
          <w:szCs w:val="16"/>
        </w:rPr>
        <w:t>.</w:t>
      </w:r>
    </w:p>
    <w:p w14:paraId="357F38C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399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arcia AH, Voortman T, Baena CP et al. Maternal weight status, diet, and supplement use as determinants of breastfeeding and complementary feeding: a systematic review and meta-analysis. N</w:t>
      </w:r>
      <w:r w:rsidRPr="004B77DE">
        <w:rPr>
          <w:rFonts w:ascii="Trebuchet MS" w:hAnsi="Trebuchet MS"/>
          <w:i/>
          <w:noProof/>
          <w:sz w:val="16"/>
          <w:szCs w:val="16"/>
        </w:rPr>
        <w:t>utr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74</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490</w:t>
      </w:r>
      <w:r w:rsidRPr="004B77DE">
        <w:rPr>
          <w:rFonts w:ascii="Trebuchet MS" w:hAnsi="Trebuchet MS"/>
          <w:noProof/>
          <w:sz w:val="16"/>
          <w:szCs w:val="16"/>
        </w:rPr>
        <w:t>-</w:t>
      </w:r>
      <w:r w:rsidRPr="004B77DE">
        <w:rPr>
          <w:rFonts w:ascii="Trebuchet MS" w:eastAsia="Calibri" w:hAnsi="Trebuchet MS" w:cs="Calibri"/>
          <w:noProof/>
          <w:sz w:val="16"/>
          <w:szCs w:val="16"/>
        </w:rPr>
        <w:t>516</w:t>
      </w:r>
      <w:r w:rsidRPr="004B77DE">
        <w:rPr>
          <w:rFonts w:ascii="Trebuchet MS" w:hAnsi="Trebuchet MS"/>
          <w:noProof/>
          <w:sz w:val="16"/>
          <w:szCs w:val="16"/>
        </w:rPr>
        <w:t>.</w:t>
      </w:r>
    </w:p>
    <w:p w14:paraId="4E34F43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bdel-Aziz SB, Hegazy IS, Mohamed DA et al. Effect of dietary counseling on preventing excessive weight gain during pregnancy. P</w:t>
      </w:r>
      <w:r w:rsidRPr="004B77DE">
        <w:rPr>
          <w:rFonts w:ascii="Trebuchet MS" w:hAnsi="Trebuchet MS"/>
          <w:i/>
          <w:noProof/>
          <w:sz w:val="16"/>
          <w:szCs w:val="16"/>
        </w:rPr>
        <w:t>ublic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172</w:t>
      </w:r>
      <w:r w:rsidRPr="004B77DE">
        <w:rPr>
          <w:rFonts w:ascii="Trebuchet MS" w:hAnsi="Trebuchet MS"/>
          <w:noProof/>
          <w:sz w:val="16"/>
          <w:szCs w:val="16"/>
        </w:rPr>
        <w:t>-</w:t>
      </w:r>
      <w:r w:rsidRPr="004B77DE">
        <w:rPr>
          <w:rFonts w:ascii="Trebuchet MS" w:eastAsia="Calibri" w:hAnsi="Trebuchet MS" w:cs="Calibri"/>
          <w:noProof/>
          <w:sz w:val="16"/>
          <w:szCs w:val="16"/>
        </w:rPr>
        <w:t>81</w:t>
      </w:r>
      <w:r w:rsidRPr="004B77DE">
        <w:rPr>
          <w:rFonts w:ascii="Trebuchet MS" w:hAnsi="Trebuchet MS"/>
          <w:noProof/>
          <w:sz w:val="16"/>
          <w:szCs w:val="16"/>
        </w:rPr>
        <w:t>.</w:t>
      </w:r>
    </w:p>
    <w:p w14:paraId="751EDB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i Carlo C, Iannotti G, Sparice S et al. The role of a personalized dietary intervention in managing gestational weight gain: a prospective, controlled study in a low-risk antenatal population. A</w:t>
      </w:r>
      <w:r w:rsidRPr="004B77DE">
        <w:rPr>
          <w:rFonts w:ascii="Trebuchet MS" w:hAnsi="Trebuchet MS"/>
          <w:i/>
          <w:noProof/>
          <w:sz w:val="16"/>
          <w:szCs w:val="16"/>
        </w:rPr>
        <w:t>rch Gynecol Obstet.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289</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765</w:t>
      </w:r>
      <w:r w:rsidRPr="004B77DE">
        <w:rPr>
          <w:rFonts w:ascii="Trebuchet MS" w:hAnsi="Trebuchet MS"/>
          <w:noProof/>
          <w:sz w:val="16"/>
          <w:szCs w:val="16"/>
        </w:rPr>
        <w:t>-</w:t>
      </w:r>
      <w:r w:rsidRPr="004B77DE">
        <w:rPr>
          <w:rFonts w:ascii="Trebuchet MS" w:eastAsia="Calibri" w:hAnsi="Trebuchet MS" w:cs="Calibri"/>
          <w:noProof/>
          <w:sz w:val="16"/>
          <w:szCs w:val="16"/>
        </w:rPr>
        <w:t>70</w:t>
      </w:r>
      <w:r w:rsidRPr="004B77DE">
        <w:rPr>
          <w:rFonts w:ascii="Trebuchet MS" w:hAnsi="Trebuchet MS"/>
          <w:noProof/>
          <w:sz w:val="16"/>
          <w:szCs w:val="16"/>
        </w:rPr>
        <w:t>.</w:t>
      </w:r>
    </w:p>
    <w:p w14:paraId="2CE9933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immons D, Devlieger R, van Assche A et al. Effect of Physical Activity and/or Healthy Eating on GDM Risk: The DALI Lifestyle Study.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Clin</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Endocrinol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Metab</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2(3): 903-13.</w:t>
      </w:r>
    </w:p>
    <w:p w14:paraId="5EBBD25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hornton YS, Smarkola C, Kopacz SM et al. Perinatal outcomes in nutritionally monitored obese pregnant women: a randomized clinical trial.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Natl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Assoc</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101</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569</w:t>
      </w:r>
      <w:r w:rsidRPr="004B77DE">
        <w:rPr>
          <w:rFonts w:ascii="Trebuchet MS" w:hAnsi="Trebuchet MS"/>
          <w:noProof/>
          <w:sz w:val="16"/>
          <w:szCs w:val="16"/>
        </w:rPr>
        <w:t>-</w:t>
      </w:r>
      <w:r w:rsidRPr="004B77DE">
        <w:rPr>
          <w:rFonts w:ascii="Trebuchet MS" w:eastAsia="Calibri" w:hAnsi="Trebuchet MS" w:cs="Calibri"/>
          <w:noProof/>
          <w:sz w:val="16"/>
          <w:szCs w:val="16"/>
        </w:rPr>
        <w:t>77</w:t>
      </w:r>
      <w:r w:rsidRPr="004B77DE">
        <w:rPr>
          <w:rFonts w:ascii="Trebuchet MS" w:hAnsi="Trebuchet MS"/>
          <w:noProof/>
          <w:sz w:val="16"/>
          <w:szCs w:val="16"/>
        </w:rPr>
        <w:t>.</w:t>
      </w:r>
    </w:p>
    <w:p w14:paraId="174272E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olff S, Legarth J, Vangsgaard K et al. A randomized trial of the effects of dietary counseling on gestational weight gain and glucose metabolism in obese pregnant women. I</w:t>
      </w:r>
      <w:r w:rsidRPr="004B77DE">
        <w:rPr>
          <w:rFonts w:ascii="Trebuchet MS" w:hAnsi="Trebuchet MS"/>
          <w:i/>
          <w:noProof/>
          <w:sz w:val="16"/>
          <w:szCs w:val="16"/>
        </w:rPr>
        <w:t>nt J Obes (Lond).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495</w:t>
      </w:r>
      <w:r w:rsidRPr="004B77DE">
        <w:rPr>
          <w:rFonts w:ascii="Trebuchet MS" w:hAnsi="Trebuchet MS"/>
          <w:noProof/>
          <w:sz w:val="16"/>
          <w:szCs w:val="16"/>
        </w:rPr>
        <w:t>-</w:t>
      </w:r>
      <w:r w:rsidRPr="004B77DE">
        <w:rPr>
          <w:rFonts w:ascii="Trebuchet MS" w:eastAsia="Calibri" w:hAnsi="Trebuchet MS" w:cs="Calibri"/>
          <w:noProof/>
          <w:sz w:val="16"/>
          <w:szCs w:val="16"/>
        </w:rPr>
        <w:t>501</w:t>
      </w:r>
      <w:r w:rsidRPr="004B77DE">
        <w:rPr>
          <w:rFonts w:ascii="Trebuchet MS" w:hAnsi="Trebuchet MS"/>
          <w:noProof/>
          <w:sz w:val="16"/>
          <w:szCs w:val="16"/>
        </w:rPr>
        <w:t>.</w:t>
      </w:r>
    </w:p>
    <w:p w14:paraId="399AC65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alsh JM, McGowan CA, Mahony R et al. Low glycaemic index diet in pregnancy to prevent macrosomia (ROLO study): randomised control trial. B</w:t>
      </w:r>
      <w:r w:rsidRPr="004B77DE">
        <w:rPr>
          <w:rFonts w:ascii="Trebuchet MS" w:hAnsi="Trebuchet MS"/>
          <w:i/>
          <w:noProof/>
          <w:sz w:val="16"/>
          <w:szCs w:val="16"/>
        </w:rPr>
        <w:t>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e5605</w:t>
      </w:r>
      <w:r w:rsidRPr="004B77DE">
        <w:rPr>
          <w:rFonts w:ascii="Trebuchet MS" w:hAnsi="Trebuchet MS"/>
          <w:noProof/>
          <w:sz w:val="16"/>
          <w:szCs w:val="16"/>
        </w:rPr>
        <w:t>.</w:t>
      </w:r>
    </w:p>
    <w:p w14:paraId="419D4AE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oran MK, McGowan CA, Gibney ER et al. Maternal diet and weight at 3 months postpartum following a pregnancy intervention with a low glycaemic index diet: results from the ROLO randomised control trial. N</w:t>
      </w:r>
      <w:r w:rsidRPr="004B77DE">
        <w:rPr>
          <w:rFonts w:ascii="Trebuchet MS" w:hAnsi="Trebuchet MS"/>
          <w:i/>
          <w:noProof/>
          <w:sz w:val="16"/>
          <w:szCs w:val="16"/>
        </w:rPr>
        <w:t>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2946</w:t>
      </w:r>
      <w:r w:rsidRPr="004B77DE">
        <w:rPr>
          <w:rFonts w:ascii="Trebuchet MS" w:hAnsi="Trebuchet MS"/>
          <w:noProof/>
          <w:sz w:val="16"/>
          <w:szCs w:val="16"/>
        </w:rPr>
        <w:t>-</w:t>
      </w:r>
      <w:r w:rsidRPr="004B77DE">
        <w:rPr>
          <w:rFonts w:ascii="Trebuchet MS" w:eastAsia="Calibri" w:hAnsi="Trebuchet MS" w:cs="Calibri"/>
          <w:noProof/>
          <w:sz w:val="16"/>
          <w:szCs w:val="16"/>
        </w:rPr>
        <w:t>55</w:t>
      </w:r>
      <w:r w:rsidRPr="004B77DE">
        <w:rPr>
          <w:rFonts w:ascii="Trebuchet MS" w:hAnsi="Trebuchet MS"/>
          <w:noProof/>
          <w:sz w:val="16"/>
          <w:szCs w:val="16"/>
        </w:rPr>
        <w:t>.</w:t>
      </w:r>
    </w:p>
    <w:p w14:paraId="655FBEF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w:t>
      </w:r>
      <w:r w:rsidRPr="004B77DE">
        <w:rPr>
          <w:rFonts w:ascii="Trebuchet MS" w:eastAsia="Calibri" w:hAnsi="Trebuchet MS" w:cs="Calibri"/>
          <w:noProof/>
          <w:sz w:val="16"/>
          <w:szCs w:val="16"/>
        </w:rPr>
        <w:t>Brien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Geraghty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w:t>
      </w:r>
      <w:r w:rsidRPr="004B77DE">
        <w:rPr>
          <w:rFonts w:ascii="Trebuchet MS" w:hAnsi="Trebuchet MS"/>
          <w:noProof/>
          <w:sz w:val="16"/>
          <w:szCs w:val="16"/>
        </w:rPr>
        <w:t>'</w:t>
      </w:r>
      <w:r w:rsidRPr="004B77DE">
        <w:rPr>
          <w:rFonts w:ascii="Trebuchet MS" w:eastAsia="Calibri" w:hAnsi="Trebuchet MS" w:cs="Calibri"/>
          <w:noProof/>
          <w:sz w:val="16"/>
          <w:szCs w:val="16"/>
        </w:rPr>
        <w:t>Sullivan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Five‐year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follow</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up</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low</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glycaemic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index</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dietary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randomised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controlled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trial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pregnancy—no</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long‐term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maternal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effects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dietary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intervention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B</w:t>
      </w:r>
      <w:r w:rsidRPr="004B77DE">
        <w:rPr>
          <w:rFonts w:ascii="Trebuchet MS" w:hAnsi="Trebuchet MS"/>
          <w:i/>
          <w:noProof/>
          <w:sz w:val="16"/>
          <w:szCs w:val="16"/>
        </w:rPr>
        <w:t>JOG: An International Journal of Obstetrics &amp; Gynaecology.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514</w:t>
      </w:r>
      <w:r w:rsidRPr="004B77DE">
        <w:rPr>
          <w:rFonts w:ascii="Trebuchet MS" w:hAnsi="Trebuchet MS"/>
          <w:noProof/>
          <w:sz w:val="16"/>
          <w:szCs w:val="16"/>
        </w:rPr>
        <w:t>-</w:t>
      </w:r>
      <w:r w:rsidRPr="004B77DE">
        <w:rPr>
          <w:rFonts w:ascii="Trebuchet MS" w:eastAsia="Calibri" w:hAnsi="Trebuchet MS" w:cs="Calibri"/>
          <w:noProof/>
          <w:sz w:val="16"/>
          <w:szCs w:val="16"/>
        </w:rPr>
        <w:t>24</w:t>
      </w:r>
      <w:r w:rsidRPr="004B77DE">
        <w:rPr>
          <w:rFonts w:ascii="Trebuchet MS" w:hAnsi="Trebuchet MS"/>
          <w:noProof/>
          <w:sz w:val="16"/>
          <w:szCs w:val="16"/>
        </w:rPr>
        <w:t>.</w:t>
      </w:r>
    </w:p>
    <w:p w14:paraId="021ED99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Z</w:t>
      </w:r>
      <w:r w:rsidRPr="004B77DE">
        <w:rPr>
          <w:rFonts w:ascii="Trebuchet MS" w:hAnsi="Trebuchet MS"/>
          <w:noProof/>
          <w:sz w:val="16"/>
          <w:szCs w:val="16"/>
        </w:rPr>
        <w:t>hang R, Han S, Chen GC et al. Effects of low-glycemic-index diets in pregnancy on maternal and newborn outcomes in pregnant women: a meta-analysis of randomized controlled trials. E</w:t>
      </w:r>
      <w:r w:rsidRPr="004B77DE">
        <w:rPr>
          <w:rFonts w:ascii="Trebuchet MS" w:hAnsi="Trebuchet MS"/>
          <w:i/>
          <w:noProof/>
          <w:sz w:val="16"/>
          <w:szCs w:val="16"/>
        </w:rPr>
        <w:t>ur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167</w:t>
      </w:r>
      <w:r w:rsidRPr="004B77DE">
        <w:rPr>
          <w:rFonts w:ascii="Trebuchet MS" w:hAnsi="Trebuchet MS"/>
          <w:noProof/>
          <w:sz w:val="16"/>
          <w:szCs w:val="16"/>
        </w:rPr>
        <w:t>-</w:t>
      </w:r>
      <w:r w:rsidRPr="004B77DE">
        <w:rPr>
          <w:rFonts w:ascii="Trebuchet MS" w:eastAsia="Calibri" w:hAnsi="Trebuchet MS" w:cs="Calibri"/>
          <w:noProof/>
          <w:sz w:val="16"/>
          <w:szCs w:val="16"/>
        </w:rPr>
        <w:t>77</w:t>
      </w:r>
      <w:r w:rsidRPr="004B77DE">
        <w:rPr>
          <w:rFonts w:ascii="Trebuchet MS" w:hAnsi="Trebuchet MS"/>
          <w:noProof/>
          <w:sz w:val="16"/>
          <w:szCs w:val="16"/>
        </w:rPr>
        <w:t>.</w:t>
      </w:r>
    </w:p>
    <w:p w14:paraId="0A90C45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409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ogozińska E, Marlin N, Jackson L et al. Effects of antenatal diet and physical activity on maternal and fetal outcomes: individual patient data meta-analysis and health economic evaluation. H</w:t>
      </w:r>
      <w:r w:rsidRPr="004B77DE">
        <w:rPr>
          <w:rFonts w:ascii="Trebuchet MS" w:hAnsi="Trebuchet MS"/>
          <w:i/>
          <w:noProof/>
          <w:sz w:val="16"/>
          <w:szCs w:val="16"/>
        </w:rPr>
        <w:t>ealth Technology Assessment.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eastAsia="Calibri" w:hAnsi="Trebuchet MS" w:cs="Calibri"/>
          <w:noProof/>
          <w:sz w:val="16"/>
          <w:szCs w:val="16"/>
        </w:rPr>
        <w:t>41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158</w:t>
      </w:r>
      <w:r w:rsidRPr="004B77DE">
        <w:rPr>
          <w:rFonts w:ascii="Trebuchet MS" w:hAnsi="Trebuchet MS"/>
          <w:noProof/>
          <w:sz w:val="16"/>
          <w:szCs w:val="16"/>
        </w:rPr>
        <w:t>.</w:t>
      </w:r>
    </w:p>
    <w:p w14:paraId="29E491B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hieh C, Cullen DL, Pike C et al. Intervention strategies for preventing excessive gestational weight gain: systematic review and meta-analysis. O</w:t>
      </w:r>
      <w:r w:rsidRPr="004B77DE">
        <w:rPr>
          <w:rFonts w:ascii="Trebuchet MS" w:hAnsi="Trebuchet MS"/>
          <w:i/>
          <w:noProof/>
          <w:sz w:val="16"/>
          <w:szCs w:val="16"/>
        </w:rPr>
        <w:t>besity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1093</w:t>
      </w:r>
      <w:r w:rsidRPr="004B77DE">
        <w:rPr>
          <w:rFonts w:ascii="Trebuchet MS" w:hAnsi="Trebuchet MS"/>
          <w:noProof/>
          <w:sz w:val="16"/>
          <w:szCs w:val="16"/>
        </w:rPr>
        <w:t>-</w:t>
      </w:r>
      <w:r w:rsidRPr="004B77DE">
        <w:rPr>
          <w:rFonts w:ascii="Trebuchet MS" w:eastAsia="Calibri" w:hAnsi="Trebuchet MS" w:cs="Calibri"/>
          <w:noProof/>
          <w:sz w:val="16"/>
          <w:szCs w:val="16"/>
        </w:rPr>
        <w:t>109</w:t>
      </w:r>
      <w:r w:rsidRPr="004B77DE">
        <w:rPr>
          <w:rFonts w:ascii="Trebuchet MS" w:hAnsi="Trebuchet MS"/>
          <w:noProof/>
          <w:sz w:val="16"/>
          <w:szCs w:val="16"/>
        </w:rPr>
        <w:t>.</w:t>
      </w:r>
    </w:p>
    <w:p w14:paraId="683FB33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hangaratinam S, Rogozinska E, Jolly K et al. Interventions to reduce or prevent obesity in pregnant women: a systematic review. H</w:t>
      </w:r>
      <w:r w:rsidRPr="004B77DE">
        <w:rPr>
          <w:rFonts w:ascii="Trebuchet MS" w:hAnsi="Trebuchet MS"/>
          <w:i/>
          <w:noProof/>
          <w:sz w:val="16"/>
          <w:szCs w:val="16"/>
        </w:rPr>
        <w:t>ealth Technol Assess.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31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iii</w:t>
      </w:r>
      <w:r w:rsidRPr="004B77DE">
        <w:rPr>
          <w:rFonts w:ascii="Trebuchet MS" w:hAnsi="Trebuchet MS"/>
          <w:noProof/>
          <w:sz w:val="16"/>
          <w:szCs w:val="16"/>
        </w:rPr>
        <w:t>-</w:t>
      </w:r>
      <w:r w:rsidRPr="004B77DE">
        <w:rPr>
          <w:rFonts w:ascii="Trebuchet MS" w:eastAsia="Calibri" w:hAnsi="Trebuchet MS" w:cs="Calibri"/>
          <w:noProof/>
          <w:sz w:val="16"/>
          <w:szCs w:val="16"/>
        </w:rPr>
        <w:t>iv,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191</w:t>
      </w:r>
      <w:r w:rsidRPr="004B77DE">
        <w:rPr>
          <w:rFonts w:ascii="Trebuchet MS" w:hAnsi="Trebuchet MS"/>
          <w:noProof/>
          <w:sz w:val="16"/>
          <w:szCs w:val="16"/>
        </w:rPr>
        <w:t>.</w:t>
      </w:r>
    </w:p>
    <w:p w14:paraId="38399A1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hangaratinam S, Rogozinska E, Jolly K et al. Effects of interventions in pregnancy on maternal weight and obstetric outcomes: meta-analysis of randomised evidence. B</w:t>
      </w:r>
      <w:r w:rsidRPr="004B77DE">
        <w:rPr>
          <w:rFonts w:ascii="Trebuchet MS" w:hAnsi="Trebuchet MS"/>
          <w:i/>
          <w:noProof/>
          <w:sz w:val="16"/>
          <w:szCs w:val="16"/>
        </w:rPr>
        <w:t>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e2088</w:t>
      </w:r>
      <w:r w:rsidRPr="004B77DE">
        <w:rPr>
          <w:rFonts w:ascii="Trebuchet MS" w:hAnsi="Trebuchet MS"/>
          <w:noProof/>
          <w:sz w:val="16"/>
          <w:szCs w:val="16"/>
        </w:rPr>
        <w:t>.</w:t>
      </w:r>
    </w:p>
    <w:p w14:paraId="1111C09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ieu J, Shepherd E, Middleton P et al. Dietary advice interventions in pregnancy for preventing gestational diabetes mellitus. C</w:t>
      </w:r>
      <w:r w:rsidRPr="004B77DE">
        <w:rPr>
          <w:rFonts w:ascii="Trebuchet MS" w:hAnsi="Trebuchet MS"/>
          <w:i/>
          <w:noProof/>
          <w:sz w:val="16"/>
          <w:szCs w:val="16"/>
        </w:rPr>
        <w:t>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1: CD006674.</w:t>
      </w:r>
    </w:p>
    <w:p w14:paraId="7F7CF1D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raemer KA, Sampene E, Safdar N et al. Nutrition and Exercise Strategies to Prevent Excessive Pregnancy Weight Gain: A Meta-analysis. A</w:t>
      </w:r>
      <w:r w:rsidRPr="004B77DE">
        <w:rPr>
          <w:rFonts w:ascii="Trebuchet MS" w:hAnsi="Trebuchet MS"/>
          <w:i/>
          <w:noProof/>
          <w:sz w:val="16"/>
          <w:szCs w:val="16"/>
        </w:rPr>
        <w:t>JP Rep.</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e92</w:t>
      </w:r>
      <w:r w:rsidRPr="004B77DE">
        <w:rPr>
          <w:rFonts w:ascii="Trebuchet MS" w:hAnsi="Trebuchet MS"/>
          <w:noProof/>
          <w:sz w:val="16"/>
          <w:szCs w:val="16"/>
        </w:rPr>
        <w:t>-</w:t>
      </w:r>
      <w:r w:rsidRPr="004B77DE">
        <w:rPr>
          <w:rFonts w:ascii="Trebuchet MS" w:eastAsia="Calibri" w:hAnsi="Trebuchet MS" w:cs="Calibri"/>
          <w:noProof/>
          <w:sz w:val="16"/>
          <w:szCs w:val="16"/>
        </w:rPr>
        <w:t>e120</w:t>
      </w:r>
      <w:r w:rsidRPr="004B77DE">
        <w:rPr>
          <w:rFonts w:ascii="Trebuchet MS" w:hAnsi="Trebuchet MS"/>
          <w:noProof/>
          <w:sz w:val="16"/>
          <w:szCs w:val="16"/>
        </w:rPr>
        <w:t>.</w:t>
      </w:r>
    </w:p>
    <w:p w14:paraId="3D2E16D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I</w:t>
      </w:r>
      <w:r w:rsidRPr="004B77DE">
        <w:rPr>
          <w:rFonts w:ascii="Trebuchet MS" w:hAnsi="Trebuchet MS"/>
          <w:noProof/>
          <w:sz w:val="16"/>
          <w:szCs w:val="16"/>
        </w:rPr>
        <w:t>nternational Weight Management in Pregnancy Collaborative G. Effect of diet and physical activity based interventions in pregnancy on gestational weight gain and pregnancy outcomes: meta-analysis of individual participant data from randomised trials. B</w:t>
      </w:r>
      <w:r w:rsidRPr="004B77DE">
        <w:rPr>
          <w:rFonts w:ascii="Trebuchet MS" w:hAnsi="Trebuchet MS"/>
          <w:i/>
          <w:noProof/>
          <w:sz w:val="16"/>
          <w:szCs w:val="16"/>
        </w:rPr>
        <w:t>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j3119</w:t>
      </w:r>
      <w:r w:rsidRPr="004B77DE">
        <w:rPr>
          <w:rFonts w:ascii="Trebuchet MS" w:hAnsi="Trebuchet MS"/>
          <w:noProof/>
          <w:sz w:val="16"/>
          <w:szCs w:val="16"/>
        </w:rPr>
        <w:t>.</w:t>
      </w:r>
    </w:p>
    <w:p w14:paraId="250D033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odd JM, Grivell RM, Crowther CA et al. Antenatal interventions for overweight or obese pregnant women: a systematic review of randomised trials.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117</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1316</w:t>
      </w:r>
      <w:r w:rsidRPr="004B77DE">
        <w:rPr>
          <w:rFonts w:ascii="Trebuchet MS" w:hAnsi="Trebuchet MS"/>
          <w:noProof/>
          <w:sz w:val="16"/>
          <w:szCs w:val="16"/>
        </w:rPr>
        <w:t>-</w:t>
      </w:r>
      <w:r w:rsidRPr="004B77DE">
        <w:rPr>
          <w:rFonts w:ascii="Trebuchet MS" w:eastAsia="Calibri" w:hAnsi="Trebuchet MS" w:cs="Calibri"/>
          <w:noProof/>
          <w:sz w:val="16"/>
          <w:szCs w:val="16"/>
        </w:rPr>
        <w:t>26</w:t>
      </w:r>
      <w:r w:rsidRPr="004B77DE">
        <w:rPr>
          <w:rFonts w:ascii="Trebuchet MS" w:hAnsi="Trebuchet MS"/>
          <w:noProof/>
          <w:sz w:val="16"/>
          <w:szCs w:val="16"/>
        </w:rPr>
        <w:t>.</w:t>
      </w:r>
    </w:p>
    <w:p w14:paraId="0A5C9A1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uktabhant B, Lawrie TA, Lumbiganon P et al. Diet or exercise, or both, for preventing excessive weight gain in pregnancy. C</w:t>
      </w:r>
      <w:r w:rsidRPr="004B77DE">
        <w:rPr>
          <w:rFonts w:ascii="Trebuchet MS" w:hAnsi="Trebuchet MS"/>
          <w:i/>
          <w:noProof/>
          <w:sz w:val="16"/>
          <w:szCs w:val="16"/>
        </w:rPr>
        <w:t>ochrane Database Syst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CD007145</w:t>
      </w:r>
      <w:r w:rsidRPr="004B77DE">
        <w:rPr>
          <w:rFonts w:ascii="Trebuchet MS" w:hAnsi="Trebuchet MS"/>
          <w:noProof/>
          <w:sz w:val="16"/>
          <w:szCs w:val="16"/>
        </w:rPr>
        <w:t>.</w:t>
      </w:r>
    </w:p>
    <w:p w14:paraId="62B8273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ennett CJ, Walker RE, Blumfield ML et al. Interventions designed to reduce excessive gestational weight gain can reduce the incidence of gestational diabetes mellitus: A systematic review and meta-analysis of randomised controlled trials. D</w:t>
      </w:r>
      <w:r w:rsidRPr="004B77DE">
        <w:rPr>
          <w:rFonts w:ascii="Trebuchet MS" w:hAnsi="Trebuchet MS"/>
          <w:i/>
          <w:noProof/>
          <w:sz w:val="16"/>
          <w:szCs w:val="16"/>
        </w:rPr>
        <w:t>iabetes Res Clin Pract.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69</w:t>
      </w:r>
      <w:r w:rsidRPr="004B77DE">
        <w:rPr>
          <w:rFonts w:ascii="Trebuchet MS" w:hAnsi="Trebuchet MS"/>
          <w:noProof/>
          <w:sz w:val="16"/>
          <w:szCs w:val="16"/>
        </w:rPr>
        <w:t>-</w:t>
      </w:r>
      <w:r w:rsidRPr="004B77DE">
        <w:rPr>
          <w:rFonts w:ascii="Trebuchet MS" w:eastAsia="Calibri" w:hAnsi="Trebuchet MS" w:cs="Calibri"/>
          <w:noProof/>
          <w:sz w:val="16"/>
          <w:szCs w:val="16"/>
        </w:rPr>
        <w:t>79</w:t>
      </w:r>
      <w:r w:rsidRPr="004B77DE">
        <w:rPr>
          <w:rFonts w:ascii="Trebuchet MS" w:hAnsi="Trebuchet MS"/>
          <w:noProof/>
          <w:sz w:val="16"/>
          <w:szCs w:val="16"/>
        </w:rPr>
        <w:t>.</w:t>
      </w:r>
    </w:p>
    <w:p w14:paraId="7F3D2F2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419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uo XY, Shu J, Fu XH et al. Improving the effectiveness of lifestyle interventions for gestational diabetes prevention: a meta-analysis and meta-regression.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126</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311</w:t>
      </w:r>
      <w:r w:rsidRPr="004B77DE">
        <w:rPr>
          <w:rFonts w:ascii="Trebuchet MS" w:hAnsi="Trebuchet MS"/>
          <w:noProof/>
          <w:sz w:val="16"/>
          <w:szCs w:val="16"/>
        </w:rPr>
        <w:t>-</w:t>
      </w:r>
      <w:r w:rsidRPr="004B77DE">
        <w:rPr>
          <w:rFonts w:ascii="Trebuchet MS" w:eastAsia="Calibri" w:hAnsi="Trebuchet MS" w:cs="Calibri"/>
          <w:noProof/>
          <w:sz w:val="16"/>
          <w:szCs w:val="16"/>
        </w:rPr>
        <w:t>20</w:t>
      </w:r>
      <w:r w:rsidRPr="004B77DE">
        <w:rPr>
          <w:rFonts w:ascii="Trebuchet MS" w:hAnsi="Trebuchet MS"/>
          <w:noProof/>
          <w:sz w:val="16"/>
          <w:szCs w:val="16"/>
        </w:rPr>
        <w:t>.</w:t>
      </w:r>
    </w:p>
    <w:p w14:paraId="2224222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adhuvrata P, Govinden G, Bustani R et al. Prevention of gestational diabetes in pregnant women with risk factors for gestational diabetes: a systematic review and meta-analysis of randomised trials. O</w:t>
      </w:r>
      <w:r w:rsidRPr="004B77DE">
        <w:rPr>
          <w:rFonts w:ascii="Trebuchet MS" w:hAnsi="Trebuchet MS"/>
          <w:i/>
          <w:noProof/>
          <w:sz w:val="16"/>
          <w:szCs w:val="16"/>
        </w:rPr>
        <w:t>bstet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68</w:t>
      </w:r>
      <w:r w:rsidRPr="004B77DE">
        <w:rPr>
          <w:rFonts w:ascii="Trebuchet MS" w:hAnsi="Trebuchet MS"/>
          <w:noProof/>
          <w:sz w:val="16"/>
          <w:szCs w:val="16"/>
        </w:rPr>
        <w:t>-</w:t>
      </w:r>
      <w:r w:rsidRPr="004B77DE">
        <w:rPr>
          <w:rFonts w:ascii="Trebuchet MS" w:eastAsia="Calibri" w:hAnsi="Trebuchet MS" w:cs="Calibri"/>
          <w:noProof/>
          <w:sz w:val="16"/>
          <w:szCs w:val="16"/>
        </w:rPr>
        <w:t>85</w:t>
      </w:r>
      <w:r w:rsidRPr="004B77DE">
        <w:rPr>
          <w:rFonts w:ascii="Trebuchet MS" w:hAnsi="Trebuchet MS"/>
          <w:noProof/>
          <w:sz w:val="16"/>
          <w:szCs w:val="16"/>
        </w:rPr>
        <w:t>.</w:t>
      </w:r>
    </w:p>
    <w:p w14:paraId="084ADBA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ong C, Li J, Leng J et al. Lifestyle intervention can reduce the risk of gestational diabetes: a meta-analysis of randomized controlled trials. O</w:t>
      </w:r>
      <w:r w:rsidRPr="004B77DE">
        <w:rPr>
          <w:rFonts w:ascii="Trebuchet MS" w:hAnsi="Trebuchet MS"/>
          <w:i/>
          <w:noProof/>
          <w:sz w:val="16"/>
          <w:szCs w:val="16"/>
        </w:rPr>
        <w:t>bes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960</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96944D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llen R, Rogozinska E, Sivarajasingam P et al. Effect of diet- and lifestyle-based metabolic risk-modifying interventions on preeclampsia: a meta-analysis. A</w:t>
      </w:r>
      <w:r w:rsidRPr="004B77DE">
        <w:rPr>
          <w:rFonts w:ascii="Trebuchet MS" w:hAnsi="Trebuchet MS"/>
          <w:i/>
          <w:noProof/>
          <w:sz w:val="16"/>
          <w:szCs w:val="16"/>
        </w:rPr>
        <w:t>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93</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973</w:t>
      </w:r>
      <w:r w:rsidRPr="004B77DE">
        <w:rPr>
          <w:rFonts w:ascii="Trebuchet MS" w:hAnsi="Trebuchet MS"/>
          <w:noProof/>
          <w:sz w:val="16"/>
          <w:szCs w:val="16"/>
        </w:rPr>
        <w:t>-</w:t>
      </w:r>
      <w:r w:rsidRPr="004B77DE">
        <w:rPr>
          <w:rFonts w:ascii="Trebuchet MS" w:eastAsia="Calibri" w:hAnsi="Trebuchet MS" w:cs="Calibri"/>
          <w:noProof/>
          <w:sz w:val="16"/>
          <w:szCs w:val="16"/>
        </w:rPr>
        <w:t>85</w:t>
      </w:r>
      <w:r w:rsidRPr="004B77DE">
        <w:rPr>
          <w:rFonts w:ascii="Trebuchet MS" w:hAnsi="Trebuchet MS"/>
          <w:noProof/>
          <w:sz w:val="16"/>
          <w:szCs w:val="16"/>
        </w:rPr>
        <w:t>.</w:t>
      </w:r>
    </w:p>
    <w:p w14:paraId="73CA912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yngelaki A, Sequeira Campos M, Roberge S et al. Diet and exercise for preeclampsia prevention in overweight and obese pregnant women: systematic review and meta-analysis.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Matern</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Fetal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Neonatal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3495</w:t>
      </w:r>
      <w:r w:rsidRPr="004B77DE">
        <w:rPr>
          <w:rFonts w:ascii="Trebuchet MS" w:hAnsi="Trebuchet MS"/>
          <w:noProof/>
          <w:sz w:val="16"/>
          <w:szCs w:val="16"/>
        </w:rPr>
        <w:t>-</w:t>
      </w:r>
      <w:r w:rsidRPr="004B77DE">
        <w:rPr>
          <w:rFonts w:ascii="Trebuchet MS" w:eastAsia="Calibri" w:hAnsi="Trebuchet MS" w:cs="Calibri"/>
          <w:noProof/>
          <w:sz w:val="16"/>
          <w:szCs w:val="16"/>
        </w:rPr>
        <w:t>501</w:t>
      </w:r>
      <w:r w:rsidRPr="004B77DE">
        <w:rPr>
          <w:rFonts w:ascii="Trebuchet MS" w:hAnsi="Trebuchet MS"/>
          <w:noProof/>
          <w:sz w:val="16"/>
          <w:szCs w:val="16"/>
        </w:rPr>
        <w:t>.</w:t>
      </w:r>
    </w:p>
    <w:p w14:paraId="18110B6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ostdam N, van Poppel MN, Wouters MG et al. Interventions for preventing gestational diabetes mellitus: a systematic review and meta-analysis.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Womens</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Health</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Larchmt</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1551</w:t>
      </w:r>
      <w:r w:rsidRPr="004B77DE">
        <w:rPr>
          <w:rFonts w:ascii="Trebuchet MS" w:hAnsi="Trebuchet MS"/>
          <w:noProof/>
          <w:sz w:val="16"/>
          <w:szCs w:val="16"/>
        </w:rPr>
        <w:t>-</w:t>
      </w:r>
      <w:r w:rsidRPr="004B77DE">
        <w:rPr>
          <w:rFonts w:ascii="Trebuchet MS" w:eastAsia="Calibri" w:hAnsi="Trebuchet MS" w:cs="Calibri"/>
          <w:noProof/>
          <w:sz w:val="16"/>
          <w:szCs w:val="16"/>
        </w:rPr>
        <w:t>63</w:t>
      </w:r>
      <w:r w:rsidRPr="004B77DE">
        <w:rPr>
          <w:rFonts w:ascii="Trebuchet MS" w:hAnsi="Trebuchet MS"/>
          <w:noProof/>
          <w:sz w:val="16"/>
          <w:szCs w:val="16"/>
        </w:rPr>
        <w:t>.</w:t>
      </w:r>
    </w:p>
    <w:p w14:paraId="410632B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acchi M, Mottola MF, Perales M et al. Aquatic Activities During Pregnancy Prevent Excessive Maternal Weight Gain and Preserve Birth Weight: A Randomized Clinical Trial. A</w:t>
      </w:r>
      <w:r w:rsidRPr="004B77DE">
        <w:rPr>
          <w:rFonts w:ascii="Trebuchet MS" w:hAnsi="Trebuchet MS"/>
          <w:i/>
          <w:noProof/>
          <w:sz w:val="16"/>
          <w:szCs w:val="16"/>
        </w:rPr>
        <w:t>m J Health Promot.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729</w:t>
      </w:r>
      <w:r w:rsidRPr="004B77DE">
        <w:rPr>
          <w:rFonts w:ascii="Trebuchet MS" w:hAnsi="Trebuchet MS"/>
          <w:noProof/>
          <w:sz w:val="16"/>
          <w:szCs w:val="16"/>
        </w:rPr>
        <w:t>-</w:t>
      </w:r>
      <w:r w:rsidRPr="004B77DE">
        <w:rPr>
          <w:rFonts w:ascii="Trebuchet MS" w:eastAsia="Calibri" w:hAnsi="Trebuchet MS" w:cs="Calibri"/>
          <w:noProof/>
          <w:sz w:val="16"/>
          <w:szCs w:val="16"/>
        </w:rPr>
        <w:t>35</w:t>
      </w:r>
      <w:r w:rsidRPr="004B77DE">
        <w:rPr>
          <w:rFonts w:ascii="Trebuchet MS" w:hAnsi="Trebuchet MS"/>
          <w:noProof/>
          <w:sz w:val="16"/>
          <w:szCs w:val="16"/>
        </w:rPr>
        <w:t>.</w:t>
      </w:r>
    </w:p>
    <w:p w14:paraId="7871C7C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Pelaez M, Montejo R et al. Exercise during pregnancy improves maternal health perception: a randomized controlled trial. A</w:t>
      </w:r>
      <w:r w:rsidRPr="004B77DE">
        <w:rPr>
          <w:rFonts w:ascii="Trebuchet MS" w:hAnsi="Trebuchet MS"/>
          <w:i/>
          <w:noProof/>
          <w:sz w:val="16"/>
          <w:szCs w:val="16"/>
        </w:rPr>
        <w:t>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204</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5CD12C7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Pelaez M, Lopez C et al. Exercise during pregnancy reduces the rate of cesarean and instrumental deliveries: results of a randomized controlled trial.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Matern</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Fetal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Neonatal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2372</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179BE71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Pelaez M, Lopez C et al. Exercise during pregnancy and gestational diabetes-related adverse effects: a randomised controlled trial.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630</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w:t>
      </w:r>
    </w:p>
    <w:p w14:paraId="1BE503B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429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Perales M, Bacchi M et al. A program of exercise throughout pregnancy. Is it safe to mother and newborn? A</w:t>
      </w:r>
      <w:r w:rsidRPr="004B77DE">
        <w:rPr>
          <w:rFonts w:ascii="Trebuchet MS" w:hAnsi="Trebuchet MS"/>
          <w:i/>
          <w:noProof/>
          <w:sz w:val="16"/>
          <w:szCs w:val="16"/>
        </w:rPr>
        <w:t>m J Health Promot.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29(1): 2-8.</w:t>
      </w:r>
    </w:p>
    <w:p w14:paraId="38F17A0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Pelaez M, Cordero Y et al. Exercise during pregnancy protects against hypertension and macrosomia: randomized clinical trial. A</w:t>
      </w:r>
      <w:r w:rsidRPr="004B77DE">
        <w:rPr>
          <w:rFonts w:ascii="Trebuchet MS" w:hAnsi="Trebuchet MS"/>
          <w:i/>
          <w:noProof/>
          <w:sz w:val="16"/>
          <w:szCs w:val="16"/>
        </w:rPr>
        <w:t>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214</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4F0D4CF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ordero Y, Mottola MF, Vargas J et al. Exercise Is associated with a reduction in gestational diabetes mellitus. M</w:t>
      </w:r>
      <w:r w:rsidRPr="004B77DE">
        <w:rPr>
          <w:rFonts w:ascii="Trebuchet MS" w:hAnsi="Trebuchet MS"/>
          <w:i/>
          <w:noProof/>
          <w:sz w:val="16"/>
          <w:szCs w:val="16"/>
        </w:rPr>
        <w:t>edicine &amp; Science in Sports &amp; Exercise.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1328</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10346BC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 Silva SG, Hallal PC, Domingues MR et al. A randomized controlled trial of exercise during pregnancy on maternal and neonatal outcomes: results from the PAMELA study. I</w:t>
      </w:r>
      <w:r w:rsidRPr="004B77DE">
        <w:rPr>
          <w:rFonts w:ascii="Trebuchet MS" w:hAnsi="Trebuchet MS"/>
          <w:i/>
          <w:noProof/>
          <w:sz w:val="16"/>
          <w:szCs w:val="16"/>
        </w:rPr>
        <w:t>nt J Behav Nutr Phys 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175</w:t>
      </w:r>
      <w:r w:rsidRPr="004B77DE">
        <w:rPr>
          <w:rFonts w:ascii="Trebuchet MS" w:hAnsi="Trebuchet MS"/>
          <w:noProof/>
          <w:sz w:val="16"/>
          <w:szCs w:val="16"/>
        </w:rPr>
        <w:t>.</w:t>
      </w:r>
    </w:p>
    <w:p w14:paraId="3916A59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aly N, Farren M, McKeating A et al. A Medically Supervised Pregnancy Exercise Intervention in Obese Women: A Randomized Controlled Trial.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130</w:t>
      </w:r>
      <w:r w:rsidRPr="004B77DE">
        <w:rPr>
          <w:rFonts w:ascii="Trebuchet MS" w:hAnsi="Trebuchet MS"/>
          <w:noProof/>
          <w:sz w:val="16"/>
          <w:szCs w:val="16"/>
        </w:rPr>
        <w:t>(5): 1001-10.</w:t>
      </w:r>
    </w:p>
    <w:p w14:paraId="3AC8B29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arshasbi A, Faghih Zadeh S. The effect of exercise on the intensity of low back pain in pregnant women. I</w:t>
      </w:r>
      <w:r w:rsidRPr="004B77DE">
        <w:rPr>
          <w:rFonts w:ascii="Trebuchet MS" w:hAnsi="Trebuchet MS"/>
          <w:i/>
          <w:noProof/>
          <w:sz w:val="16"/>
          <w:szCs w:val="16"/>
        </w:rPr>
        <w:t>nt J Gynaecol Obstet.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88</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w:t>
      </w:r>
    </w:p>
    <w:p w14:paraId="04CF767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aakstad LA, Bo K. Effect of regular exercise on prevention of excessive weight gain in pregnancy: a randomised controlled trial. E</w:t>
      </w:r>
      <w:r w:rsidRPr="004B77DE">
        <w:rPr>
          <w:rFonts w:ascii="Trebuchet MS" w:hAnsi="Trebuchet MS"/>
          <w:i/>
          <w:noProof/>
          <w:sz w:val="16"/>
          <w:szCs w:val="16"/>
        </w:rPr>
        <w:t>ur J Contracept Reprod Health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116</w:t>
      </w:r>
      <w:r w:rsidRPr="004B77DE">
        <w:rPr>
          <w:rFonts w:ascii="Trebuchet MS" w:hAnsi="Trebuchet MS"/>
          <w:noProof/>
          <w:sz w:val="16"/>
          <w:szCs w:val="16"/>
        </w:rPr>
        <w:t>-</w:t>
      </w:r>
      <w:r w:rsidRPr="004B77DE">
        <w:rPr>
          <w:rFonts w:ascii="Trebuchet MS" w:eastAsia="Calibri" w:hAnsi="Trebuchet MS" w:cs="Calibri"/>
          <w:noProof/>
          <w:sz w:val="16"/>
          <w:szCs w:val="16"/>
        </w:rPr>
        <w:t>25</w:t>
      </w:r>
      <w:r w:rsidRPr="004B77DE">
        <w:rPr>
          <w:rFonts w:ascii="Trebuchet MS" w:hAnsi="Trebuchet MS"/>
          <w:noProof/>
          <w:sz w:val="16"/>
          <w:szCs w:val="16"/>
        </w:rPr>
        <w:t>.</w:t>
      </w:r>
    </w:p>
    <w:p w14:paraId="6B2523F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urtezani A, Pacarada M, Ibraimi Z et al. The impact of exercise during pregnancy on neonatal outcomes: a randomized controlled trial.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Sports</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 xml:space="preserve"> Phys Fitness.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54</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802</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486BAAD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N</w:t>
      </w:r>
      <w:r w:rsidRPr="004B77DE">
        <w:rPr>
          <w:rFonts w:ascii="Trebuchet MS" w:hAnsi="Trebuchet MS"/>
          <w:noProof/>
          <w:sz w:val="16"/>
          <w:szCs w:val="16"/>
        </w:rPr>
        <w:t>ascimento SL, Surita FG, Parpinelli M et al. The effect of an antenatal physical exercise programme on maternal/perinatal outcomes and quality of life in overweight and obese pregnant women: a randomised clinical trial. B</w:t>
      </w:r>
      <w:r w:rsidRPr="004B77DE">
        <w:rPr>
          <w:rFonts w:ascii="Trebuchet MS" w:hAnsi="Trebuchet MS"/>
          <w:i/>
          <w:noProof/>
          <w:sz w:val="16"/>
          <w:szCs w:val="16"/>
        </w:rPr>
        <w:t>JOG: An International Journal of Obstetrics &amp; Gynaecology.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118</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1455</w:t>
      </w:r>
      <w:r w:rsidRPr="004B77DE">
        <w:rPr>
          <w:rFonts w:ascii="Trebuchet MS" w:hAnsi="Trebuchet MS"/>
          <w:noProof/>
          <w:sz w:val="16"/>
          <w:szCs w:val="16"/>
        </w:rPr>
        <w:t>-</w:t>
      </w:r>
      <w:r w:rsidRPr="004B77DE">
        <w:rPr>
          <w:rFonts w:ascii="Trebuchet MS" w:eastAsia="Calibri" w:hAnsi="Trebuchet MS" w:cs="Calibri"/>
          <w:noProof/>
          <w:sz w:val="16"/>
          <w:szCs w:val="16"/>
        </w:rPr>
        <w:t>63</w:t>
      </w:r>
      <w:r w:rsidRPr="004B77DE">
        <w:rPr>
          <w:rFonts w:ascii="Trebuchet MS" w:hAnsi="Trebuchet MS"/>
          <w:noProof/>
          <w:sz w:val="16"/>
          <w:szCs w:val="16"/>
        </w:rPr>
        <w:t>.</w:t>
      </w:r>
    </w:p>
    <w:p w14:paraId="37A70DE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ostdam N, van Poppel MN, Wouters MG et al. No effect of the FitFor2 exercise programme on blood glucose, insulin sensitivity, and birthweight in pregnant women who were overweight and at risk for gestational diabetes: results of a randomised controlled trial.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1098</w:t>
      </w:r>
      <w:r w:rsidRPr="004B77DE">
        <w:rPr>
          <w:rFonts w:ascii="Trebuchet MS" w:hAnsi="Trebuchet MS"/>
          <w:noProof/>
          <w:sz w:val="16"/>
          <w:szCs w:val="16"/>
        </w:rPr>
        <w:t>-</w:t>
      </w:r>
      <w:r w:rsidRPr="004B77DE">
        <w:rPr>
          <w:rFonts w:ascii="Trebuchet MS" w:eastAsia="Calibri" w:hAnsi="Trebuchet MS" w:cs="Calibri"/>
          <w:noProof/>
          <w:sz w:val="16"/>
          <w:szCs w:val="16"/>
        </w:rPr>
        <w:t>107</w:t>
      </w:r>
      <w:r w:rsidRPr="004B77DE">
        <w:rPr>
          <w:rFonts w:ascii="Trebuchet MS" w:hAnsi="Trebuchet MS"/>
          <w:noProof/>
          <w:sz w:val="16"/>
          <w:szCs w:val="16"/>
        </w:rPr>
        <w:t>.</w:t>
      </w:r>
    </w:p>
    <w:p w14:paraId="6957F08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439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erales M, Cordero Y, Vargas M et al. Exercise and depression in overweight and obese pregnant women: A randomised controlled trial. A</w:t>
      </w:r>
      <w:r w:rsidRPr="004B77DE">
        <w:rPr>
          <w:rFonts w:ascii="Trebuchet MS" w:hAnsi="Trebuchet MS"/>
          <w:i/>
          <w:noProof/>
          <w:sz w:val="16"/>
          <w:szCs w:val="16"/>
        </w:rPr>
        <w:t>rch Med Deporte.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156</w:t>
      </w:r>
      <w:r w:rsidRPr="004B77DE">
        <w:rPr>
          <w:rFonts w:ascii="Trebuchet MS" w:hAnsi="Trebuchet MS"/>
          <w:noProof/>
          <w:sz w:val="16"/>
          <w:szCs w:val="16"/>
        </w:rPr>
        <w:t>-</w:t>
      </w:r>
      <w:r w:rsidRPr="004B77DE">
        <w:rPr>
          <w:rFonts w:ascii="Trebuchet MS" w:eastAsia="Calibri" w:hAnsi="Trebuchet MS" w:cs="Calibri"/>
          <w:noProof/>
          <w:sz w:val="16"/>
          <w:szCs w:val="16"/>
        </w:rPr>
        <w:t>63</w:t>
      </w:r>
      <w:r w:rsidRPr="004B77DE">
        <w:rPr>
          <w:rFonts w:ascii="Trebuchet MS" w:hAnsi="Trebuchet MS"/>
          <w:noProof/>
          <w:sz w:val="16"/>
          <w:szCs w:val="16"/>
        </w:rPr>
        <w:t>.</w:t>
      </w:r>
    </w:p>
    <w:p w14:paraId="6DDF7CF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erales M, Refoyo I, Coteron J et al. Exercise during pregnancy attenuates prenatal depression: a randomized controlled trial. E</w:t>
      </w:r>
      <w:r w:rsidRPr="004B77DE">
        <w:rPr>
          <w:rFonts w:ascii="Trebuchet MS" w:hAnsi="Trebuchet MS"/>
          <w:i/>
          <w:noProof/>
          <w:sz w:val="16"/>
          <w:szCs w:val="16"/>
        </w:rPr>
        <w:t>val Health Prof.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59</w:t>
      </w:r>
      <w:r w:rsidRPr="004B77DE">
        <w:rPr>
          <w:rFonts w:ascii="Trebuchet MS" w:hAnsi="Trebuchet MS"/>
          <w:noProof/>
          <w:sz w:val="16"/>
          <w:szCs w:val="16"/>
        </w:rPr>
        <w:t>-</w:t>
      </w:r>
      <w:r w:rsidRPr="004B77DE">
        <w:rPr>
          <w:rFonts w:ascii="Trebuchet MS" w:eastAsia="Calibri" w:hAnsi="Trebuchet MS" w:cs="Calibri"/>
          <w:noProof/>
          <w:sz w:val="16"/>
          <w:szCs w:val="16"/>
        </w:rPr>
        <w:t>72</w:t>
      </w:r>
      <w:r w:rsidRPr="004B77DE">
        <w:rPr>
          <w:rFonts w:ascii="Trebuchet MS" w:hAnsi="Trebuchet MS"/>
          <w:noProof/>
          <w:sz w:val="16"/>
          <w:szCs w:val="16"/>
        </w:rPr>
        <w:t>.</w:t>
      </w:r>
    </w:p>
    <w:p w14:paraId="6B80D08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inzon DC, Zamora K, Martinez JH et al. Type of delivery and gestational age is not affected by pregnant Latin-American women engaging in vigorous exercise: a secondary analysis of data from a controlled randomized trial. R</w:t>
      </w:r>
      <w:r w:rsidRPr="004B77DE">
        <w:rPr>
          <w:rFonts w:ascii="Trebuchet MS" w:hAnsi="Trebuchet MS"/>
          <w:i/>
          <w:noProof/>
          <w:sz w:val="16"/>
          <w:szCs w:val="16"/>
        </w:rPr>
        <w:t>ev Salud Publica (Bogota).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731</w:t>
      </w:r>
      <w:r w:rsidRPr="004B77DE">
        <w:rPr>
          <w:rFonts w:ascii="Trebuchet MS" w:hAnsi="Trebuchet MS"/>
          <w:noProof/>
          <w:sz w:val="16"/>
          <w:szCs w:val="16"/>
        </w:rPr>
        <w:t>-</w:t>
      </w:r>
      <w:r w:rsidRPr="004B77DE">
        <w:rPr>
          <w:rFonts w:ascii="Trebuchet MS" w:eastAsia="Calibri" w:hAnsi="Trebuchet MS" w:cs="Calibri"/>
          <w:noProof/>
          <w:sz w:val="16"/>
          <w:szCs w:val="16"/>
        </w:rPr>
        <w:t>43</w:t>
      </w:r>
      <w:r w:rsidRPr="004B77DE">
        <w:rPr>
          <w:rFonts w:ascii="Trebuchet MS" w:hAnsi="Trebuchet MS"/>
          <w:noProof/>
          <w:sz w:val="16"/>
          <w:szCs w:val="16"/>
        </w:rPr>
        <w:t>.</w:t>
      </w:r>
    </w:p>
    <w:p w14:paraId="3099966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rice BB, Amini SB, Kappeler K. Exercise in pregnancy: effect on fitness and obstetric outcomes-a randomized trial. M</w:t>
      </w:r>
      <w:r w:rsidRPr="004B77DE">
        <w:rPr>
          <w:rFonts w:ascii="Trebuchet MS" w:hAnsi="Trebuchet MS"/>
          <w:i/>
          <w:noProof/>
          <w:sz w:val="16"/>
          <w:szCs w:val="16"/>
        </w:rPr>
        <w:t>ed Sci Sports Exerc.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2263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00D3A23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uiz JR, Perales M, Pelaez M et al. Supervised exercise-based intervention to prevent excessive gestational weight gain: a randomized controlled trial. M</w:t>
      </w:r>
      <w:r w:rsidRPr="004B77DE">
        <w:rPr>
          <w:rFonts w:ascii="Trebuchet MS" w:hAnsi="Trebuchet MS"/>
          <w:i/>
          <w:noProof/>
          <w:sz w:val="16"/>
          <w:szCs w:val="16"/>
        </w:rPr>
        <w:t>ayo Clin Proc.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88</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1388</w:t>
      </w:r>
      <w:r w:rsidRPr="004B77DE">
        <w:rPr>
          <w:rFonts w:ascii="Trebuchet MS" w:hAnsi="Trebuchet MS"/>
          <w:noProof/>
          <w:sz w:val="16"/>
          <w:szCs w:val="16"/>
        </w:rPr>
        <w:t>-</w:t>
      </w:r>
      <w:r w:rsidRPr="004B77DE">
        <w:rPr>
          <w:rFonts w:ascii="Trebuchet MS" w:eastAsia="Calibri" w:hAnsi="Trebuchet MS" w:cs="Calibri"/>
          <w:noProof/>
          <w:sz w:val="16"/>
          <w:szCs w:val="16"/>
        </w:rPr>
        <w:t>97</w:t>
      </w:r>
      <w:r w:rsidRPr="004B77DE">
        <w:rPr>
          <w:rFonts w:ascii="Trebuchet MS" w:hAnsi="Trebuchet MS"/>
          <w:noProof/>
          <w:sz w:val="16"/>
          <w:szCs w:val="16"/>
        </w:rPr>
        <w:t>.</w:t>
      </w:r>
    </w:p>
    <w:p w14:paraId="7A47FA0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ongØYgard KM, Stafne SN, Evensen KAI et al. Does exercise during pregnancy prevent postnatal depression? A</w:t>
      </w:r>
      <w:r w:rsidRPr="004B77DE">
        <w:rPr>
          <w:rFonts w:ascii="Trebuchet MS" w:hAnsi="Trebuchet MS"/>
          <w:i/>
          <w:noProof/>
          <w:sz w:val="16"/>
          <w:szCs w:val="16"/>
        </w:rPr>
        <w:t>cta Obstetricia et Gynecologica Scandinavica.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91</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62</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363A1C6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tafne SN, Salvesen K</w:t>
      </w:r>
      <w:r w:rsidRPr="004B77DE">
        <w:rPr>
          <w:rFonts w:ascii="MS Mincho" w:eastAsia="MS Mincho" w:hAnsi="MS Mincho" w:cs="MS Mincho"/>
          <w:noProof/>
          <w:sz w:val="16"/>
          <w:szCs w:val="16"/>
        </w:rPr>
        <w:t>Å</w:t>
      </w:r>
      <w:r w:rsidRPr="004B77DE">
        <w:rPr>
          <w:rFonts w:ascii="Trebuchet MS" w:hAnsi="Trebuchet MS"/>
          <w:noProof/>
          <w:sz w:val="16"/>
          <w:szCs w:val="16"/>
        </w:rPr>
        <w:t>, Romundstad PR et al. Regular Exercise During Pregnancy to Prevent Gestational Diabetes. O</w:t>
      </w:r>
      <w:r w:rsidRPr="004B77DE">
        <w:rPr>
          <w:rFonts w:ascii="Trebuchet MS" w:hAnsi="Trebuchet MS"/>
          <w:i/>
          <w:noProof/>
          <w:sz w:val="16"/>
          <w:szCs w:val="16"/>
        </w:rPr>
        <w:t>bstetrics &amp; Gynecology.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w:t>
      </w:r>
      <w:r w:rsidRPr="004B77DE">
        <w:rPr>
          <w:rFonts w:ascii="Trebuchet MS" w:hAnsi="Trebuchet MS"/>
          <w:noProof/>
          <w:sz w:val="16"/>
          <w:szCs w:val="16"/>
        </w:rPr>
        <w:t>-</w:t>
      </w:r>
      <w:r w:rsidRPr="004B77DE">
        <w:rPr>
          <w:rFonts w:ascii="Trebuchet MS" w:eastAsia="Calibri" w:hAnsi="Trebuchet MS" w:cs="Calibri"/>
          <w:noProof/>
          <w:sz w:val="16"/>
          <w:szCs w:val="16"/>
        </w:rPr>
        <w:t>36</w:t>
      </w:r>
      <w:r w:rsidRPr="004B77DE">
        <w:rPr>
          <w:rFonts w:ascii="Trebuchet MS" w:hAnsi="Trebuchet MS"/>
          <w:noProof/>
          <w:sz w:val="16"/>
          <w:szCs w:val="16"/>
        </w:rPr>
        <w:t>.</w:t>
      </w:r>
    </w:p>
    <w:p w14:paraId="7E12436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argas-Terrones M, Barakat R, Santacruz B et al. Physical exercise programme during pregnancy decreases perinatal depression risk: a randomised controlled trial.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348</w:t>
      </w:r>
      <w:r w:rsidRPr="004B77DE">
        <w:rPr>
          <w:rFonts w:ascii="Trebuchet MS" w:hAnsi="Trebuchet MS"/>
          <w:noProof/>
          <w:sz w:val="16"/>
          <w:szCs w:val="16"/>
        </w:rPr>
        <w:t>-</w:t>
      </w:r>
      <w:r w:rsidRPr="004B77DE">
        <w:rPr>
          <w:rFonts w:ascii="Trebuchet MS" w:eastAsia="Calibri" w:hAnsi="Trebuchet MS" w:cs="Calibri"/>
          <w:noProof/>
          <w:sz w:val="16"/>
          <w:szCs w:val="16"/>
        </w:rPr>
        <w:t>53</w:t>
      </w:r>
      <w:r w:rsidRPr="004B77DE">
        <w:rPr>
          <w:rFonts w:ascii="Trebuchet MS" w:hAnsi="Trebuchet MS"/>
          <w:noProof/>
          <w:sz w:val="16"/>
          <w:szCs w:val="16"/>
        </w:rPr>
        <w:t>.</w:t>
      </w:r>
    </w:p>
    <w:p w14:paraId="06EDDF4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guilar-Cordero MJ, Sanchez-Garcia JC, Rodriguez-Blanque R et al. Moderate physical activity in an aquatic environment during pregnancy (SWEP Study) and its influence in preventing postpartum depression.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Am</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Psychiatr</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Nurses</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Assoc</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w:t>
      </w:r>
    </w:p>
    <w:p w14:paraId="6F7F085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ekker Nitert M, Barrett HL, Denny KJ et al. Exercise in pregnancy does not alter gestational weight gain, MCP-1 or leptin in obese women. A</w:t>
      </w:r>
      <w:r w:rsidRPr="004B77DE">
        <w:rPr>
          <w:rFonts w:ascii="Trebuchet MS" w:hAnsi="Trebuchet MS"/>
          <w:i/>
          <w:noProof/>
          <w:sz w:val="16"/>
          <w:szCs w:val="16"/>
        </w:rPr>
        <w:t>ust N Z J Obstet Gynaecol.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6CA859D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449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ong KL, Campbell C, Wagner K et al. Impact of a walking intervention during pregnancy on post-partum weight retention and infant anthropometric outcomes. J</w:t>
      </w:r>
      <w:r w:rsidRPr="004B77DE">
        <w:rPr>
          <w:rFonts w:ascii="Trebuchet MS" w:hAnsi="Trebuchet MS"/>
          <w:i/>
          <w:noProof/>
          <w:sz w:val="16"/>
          <w:szCs w:val="16"/>
        </w:rPr>
        <w:t>ournal of Developmental Origins of Health and Disease.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w:t>
      </w:r>
      <w:r w:rsidRPr="004B77DE">
        <w:rPr>
          <w:rFonts w:ascii="Trebuchet MS" w:eastAsia="Calibri" w:hAnsi="Trebuchet MS" w:cs="Calibri"/>
          <w:noProof/>
          <w:sz w:val="16"/>
          <w:szCs w:val="16"/>
        </w:rPr>
        <w:t>03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259</w:t>
      </w:r>
      <w:r w:rsidRPr="004B77DE">
        <w:rPr>
          <w:rFonts w:ascii="Trebuchet MS" w:hAnsi="Trebuchet MS"/>
          <w:noProof/>
          <w:sz w:val="16"/>
          <w:szCs w:val="16"/>
        </w:rPr>
        <w:t>-</w:t>
      </w:r>
      <w:r w:rsidRPr="004B77DE">
        <w:rPr>
          <w:rFonts w:ascii="Trebuchet MS" w:eastAsia="Calibri" w:hAnsi="Trebuchet MS" w:cs="Calibri"/>
          <w:noProof/>
          <w:sz w:val="16"/>
          <w:szCs w:val="16"/>
        </w:rPr>
        <w:t>67</w:t>
      </w:r>
      <w:r w:rsidRPr="004B77DE">
        <w:rPr>
          <w:rFonts w:ascii="Trebuchet MS" w:hAnsi="Trebuchet MS"/>
          <w:noProof/>
          <w:sz w:val="16"/>
          <w:szCs w:val="16"/>
        </w:rPr>
        <w:t>.</w:t>
      </w:r>
    </w:p>
    <w:p w14:paraId="224E331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ng MJ, Guelfi KJ, Hunter T et al. Supervised home-based exercise may attenuate the decline of glucose tolerance in obese pregnant women. D</w:t>
      </w:r>
      <w:r w:rsidRPr="004B77DE">
        <w:rPr>
          <w:rFonts w:ascii="Trebuchet MS" w:hAnsi="Trebuchet MS"/>
          <w:i/>
          <w:noProof/>
          <w:sz w:val="16"/>
          <w:szCs w:val="16"/>
        </w:rPr>
        <w:t>iabetes Metab.</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418</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w:t>
      </w:r>
    </w:p>
    <w:p w14:paraId="72D2A35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enault KM, Norgaard K, Nilas L et al. The Treatment of Obese Pregnant Women (TOP) study: a randomized controlled trial of the effect of physical activity intervention assessed by pedometer with or without dietary intervention in obese pregnant women. A</w:t>
      </w:r>
      <w:r w:rsidRPr="004B77DE">
        <w:rPr>
          <w:rFonts w:ascii="Trebuchet MS" w:hAnsi="Trebuchet MS"/>
          <w:i/>
          <w:noProof/>
          <w:sz w:val="16"/>
          <w:szCs w:val="16"/>
        </w:rPr>
        <w:t>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5368EC4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ang C, Wei Y, Zhang X et al. A randomized clinical trial of exercise during pregnancy to prevent gestational diabetes mellitus and improve pregnancy outcome in overweight and obese pregnant women. A</w:t>
      </w:r>
      <w:r w:rsidRPr="004B77DE">
        <w:rPr>
          <w:rFonts w:ascii="Trebuchet MS" w:hAnsi="Trebuchet MS"/>
          <w:i/>
          <w:noProof/>
          <w:sz w:val="16"/>
          <w:szCs w:val="16"/>
        </w:rPr>
        <w:t>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216(4): 340-51.</w:t>
      </w:r>
    </w:p>
    <w:p w14:paraId="75D6192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etrov Fieril K, Glantz A, Fagevik Olsen M. The efficacy of moderate-to-vigorous resistance exercise during pregnancy: a randomized controlled trial. A</w:t>
      </w:r>
      <w:r w:rsidRPr="004B77DE">
        <w:rPr>
          <w:rFonts w:ascii="Trebuchet MS" w:hAnsi="Trebuchet MS"/>
          <w:i/>
          <w:noProof/>
          <w:sz w:val="16"/>
          <w:szCs w:val="16"/>
        </w:rPr>
        <w:t>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r w:rsidRPr="004B77DE">
        <w:rPr>
          <w:rFonts w:ascii="Trebuchet MS" w:eastAsia="Calibri" w:hAnsi="Trebuchet MS" w:cs="Calibri"/>
          <w:noProof/>
          <w:sz w:val="16"/>
          <w:szCs w:val="16"/>
        </w:rPr>
        <w:t>42</w:t>
      </w:r>
      <w:r w:rsidRPr="004B77DE">
        <w:rPr>
          <w:rFonts w:ascii="Trebuchet MS" w:hAnsi="Trebuchet MS"/>
          <w:noProof/>
          <w:sz w:val="16"/>
          <w:szCs w:val="16"/>
        </w:rPr>
        <w:t>.</w:t>
      </w:r>
    </w:p>
    <w:p w14:paraId="4037B29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Cordero Y, Coteron J et al. Exercise during pregnancy improves maternal glucose screen at 24-28 weeks: a randomised controlled trial.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46</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656</w:t>
      </w:r>
      <w:r w:rsidRPr="004B77DE">
        <w:rPr>
          <w:rFonts w:ascii="Trebuchet MS" w:hAnsi="Trebuchet MS"/>
          <w:noProof/>
          <w:sz w:val="16"/>
          <w:szCs w:val="16"/>
        </w:rPr>
        <w:t>-</w:t>
      </w:r>
      <w:r w:rsidRPr="004B77DE">
        <w:rPr>
          <w:rFonts w:ascii="Trebuchet MS" w:eastAsia="Calibri" w:hAnsi="Trebuchet MS" w:cs="Calibri"/>
          <w:noProof/>
          <w:sz w:val="16"/>
          <w:szCs w:val="16"/>
        </w:rPr>
        <w:t>61</w:t>
      </w:r>
      <w:r w:rsidRPr="004B77DE">
        <w:rPr>
          <w:rFonts w:ascii="Trebuchet MS" w:hAnsi="Trebuchet MS"/>
          <w:noProof/>
          <w:sz w:val="16"/>
          <w:szCs w:val="16"/>
        </w:rPr>
        <w:t>.</w:t>
      </w:r>
    </w:p>
    <w:p w14:paraId="444F6A4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ernabé R, Franco E, Pérez Medina T et al. Physical exercise during pregnancy and its influence on maternal weight gain. P</w:t>
      </w:r>
      <w:r w:rsidRPr="004B77DE">
        <w:rPr>
          <w:rFonts w:ascii="Trebuchet MS" w:hAnsi="Trebuchet MS"/>
          <w:i/>
          <w:noProof/>
          <w:sz w:val="16"/>
          <w:szCs w:val="16"/>
        </w:rPr>
        <w:t>rog Obstet Ginecol.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61</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285</w:t>
      </w:r>
      <w:r w:rsidRPr="004B77DE">
        <w:rPr>
          <w:rFonts w:ascii="Trebuchet MS" w:hAnsi="Trebuchet MS"/>
          <w:noProof/>
          <w:sz w:val="16"/>
          <w:szCs w:val="16"/>
        </w:rPr>
        <w:t>-</w:t>
      </w:r>
      <w:r w:rsidRPr="004B77DE">
        <w:rPr>
          <w:rFonts w:ascii="Trebuchet MS" w:eastAsia="Calibri" w:hAnsi="Trebuchet MS" w:cs="Calibri"/>
          <w:noProof/>
          <w:sz w:val="16"/>
          <w:szCs w:val="16"/>
        </w:rPr>
        <w:t>98</w:t>
      </w:r>
      <w:r w:rsidRPr="004B77DE">
        <w:rPr>
          <w:rFonts w:ascii="Trebuchet MS" w:hAnsi="Trebuchet MS"/>
          <w:noProof/>
          <w:sz w:val="16"/>
          <w:szCs w:val="16"/>
        </w:rPr>
        <w:t>.</w:t>
      </w:r>
    </w:p>
    <w:p w14:paraId="02895CF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 Silva SG, Ricardo LI, Evenson KR et al. Leisure-Time Physical Activity in Pregnancy and Maternal-Child Health: A Systematic Review and Meta-Analysis of Randomized Controlled Trials and Cohort Studies. S</w:t>
      </w:r>
      <w:r w:rsidRPr="004B77DE">
        <w:rPr>
          <w:rFonts w:ascii="Trebuchet MS" w:hAnsi="Trebuchet MS"/>
          <w:i/>
          <w:noProof/>
          <w:sz w:val="16"/>
          <w:szCs w:val="16"/>
        </w:rPr>
        <w:t>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295</w:t>
      </w:r>
      <w:r w:rsidRPr="004B77DE">
        <w:rPr>
          <w:rFonts w:ascii="Trebuchet MS" w:hAnsi="Trebuchet MS"/>
          <w:noProof/>
          <w:sz w:val="16"/>
          <w:szCs w:val="16"/>
        </w:rPr>
        <w:t>-</w:t>
      </w:r>
      <w:r w:rsidRPr="004B77DE">
        <w:rPr>
          <w:rFonts w:ascii="Trebuchet MS" w:eastAsia="Calibri" w:hAnsi="Trebuchet MS" w:cs="Calibri"/>
          <w:noProof/>
          <w:sz w:val="16"/>
          <w:szCs w:val="16"/>
        </w:rPr>
        <w:t>317</w:t>
      </w:r>
      <w:r w:rsidRPr="004B77DE">
        <w:rPr>
          <w:rFonts w:ascii="Trebuchet MS" w:hAnsi="Trebuchet MS"/>
          <w:noProof/>
          <w:sz w:val="16"/>
          <w:szCs w:val="16"/>
        </w:rPr>
        <w:t>.</w:t>
      </w:r>
    </w:p>
    <w:p w14:paraId="080F6B8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hatzakis C, Goulis DG, Mareti E et al. Prevention of gestational diabetes mellitus in overweight or obese pregnant women: A network meta-analysis. D</w:t>
      </w:r>
      <w:r w:rsidRPr="004B77DE">
        <w:rPr>
          <w:rFonts w:ascii="Trebuchet MS" w:hAnsi="Trebuchet MS"/>
          <w:i/>
          <w:noProof/>
          <w:sz w:val="16"/>
          <w:szCs w:val="16"/>
        </w:rPr>
        <w:t>iabetes Res Clin Pract.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107924</w:t>
      </w:r>
      <w:r w:rsidRPr="004B77DE">
        <w:rPr>
          <w:rFonts w:ascii="Trebuchet MS" w:hAnsi="Trebuchet MS"/>
          <w:noProof/>
          <w:sz w:val="16"/>
          <w:szCs w:val="16"/>
        </w:rPr>
        <w:t>.</w:t>
      </w:r>
    </w:p>
    <w:p w14:paraId="6922A3D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anabria-Martinez G, Garcia-Hermoso A, Poyatos-Leon R et al. Effectiveness of physical activity interventions on preventing gestational diabetes mellitus and excessive maternal weight gain: a meta-analysis.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1167</w:t>
      </w:r>
      <w:r w:rsidRPr="004B77DE">
        <w:rPr>
          <w:rFonts w:ascii="Trebuchet MS" w:hAnsi="Trebuchet MS"/>
          <w:noProof/>
          <w:sz w:val="16"/>
          <w:szCs w:val="16"/>
        </w:rPr>
        <w:t>-</w:t>
      </w:r>
      <w:r w:rsidRPr="004B77DE">
        <w:rPr>
          <w:rFonts w:ascii="Trebuchet MS" w:eastAsia="Calibri" w:hAnsi="Trebuchet MS" w:cs="Calibri"/>
          <w:noProof/>
          <w:sz w:val="16"/>
          <w:szCs w:val="16"/>
        </w:rPr>
        <w:t>74</w:t>
      </w:r>
      <w:r w:rsidRPr="004B77DE">
        <w:rPr>
          <w:rFonts w:ascii="Trebuchet MS" w:hAnsi="Trebuchet MS"/>
          <w:noProof/>
          <w:sz w:val="16"/>
          <w:szCs w:val="16"/>
        </w:rPr>
        <w:t>.</w:t>
      </w:r>
    </w:p>
    <w:p w14:paraId="3862600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459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iebe HW, Boule NG, Chari R et al. The effect of supervised prenatal exercise on fetal growth: a meta-analysis.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125</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1185</w:t>
      </w:r>
      <w:r w:rsidRPr="004B77DE">
        <w:rPr>
          <w:rFonts w:ascii="Trebuchet MS" w:hAnsi="Trebuchet MS"/>
          <w:noProof/>
          <w:sz w:val="16"/>
          <w:szCs w:val="16"/>
        </w:rPr>
        <w:t>-</w:t>
      </w:r>
      <w:r w:rsidRPr="004B77DE">
        <w:rPr>
          <w:rFonts w:ascii="Trebuchet MS" w:eastAsia="Calibri" w:hAnsi="Trebuchet MS" w:cs="Calibri"/>
          <w:noProof/>
          <w:sz w:val="16"/>
          <w:szCs w:val="16"/>
        </w:rPr>
        <w:t>94</w:t>
      </w:r>
      <w:r w:rsidRPr="004B77DE">
        <w:rPr>
          <w:rFonts w:ascii="Trebuchet MS" w:hAnsi="Trebuchet MS"/>
          <w:noProof/>
          <w:sz w:val="16"/>
          <w:szCs w:val="16"/>
        </w:rPr>
        <w:t>.</w:t>
      </w:r>
    </w:p>
    <w:p w14:paraId="193003E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hoi J, Fukuoka Y, Lee JH. The effects of physical activity and physical activity plus diet interventions on body weight in overweight or obese women who are pregnant or in postpartum: a systematic review and meta-analysis of randomized controlled trials. P</w:t>
      </w:r>
      <w:r w:rsidRPr="004B77DE">
        <w:rPr>
          <w:rFonts w:ascii="Trebuchet MS" w:hAnsi="Trebuchet MS"/>
          <w:i/>
          <w:noProof/>
          <w:sz w:val="16"/>
          <w:szCs w:val="16"/>
        </w:rPr>
        <w:t>rev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56</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351</w:t>
      </w:r>
      <w:r w:rsidRPr="004B77DE">
        <w:rPr>
          <w:rFonts w:ascii="Trebuchet MS" w:hAnsi="Trebuchet MS"/>
          <w:noProof/>
          <w:sz w:val="16"/>
          <w:szCs w:val="16"/>
        </w:rPr>
        <w:t>-</w:t>
      </w:r>
      <w:r w:rsidRPr="004B77DE">
        <w:rPr>
          <w:rFonts w:ascii="Trebuchet MS" w:eastAsia="Calibri" w:hAnsi="Trebuchet MS" w:cs="Calibri"/>
          <w:noProof/>
          <w:sz w:val="16"/>
          <w:szCs w:val="16"/>
        </w:rPr>
        <w:t>64</w:t>
      </w:r>
      <w:r w:rsidRPr="004B77DE">
        <w:rPr>
          <w:rFonts w:ascii="Trebuchet MS" w:hAnsi="Trebuchet MS"/>
          <w:noProof/>
          <w:sz w:val="16"/>
          <w:szCs w:val="16"/>
        </w:rPr>
        <w:t>.</w:t>
      </w:r>
    </w:p>
    <w:p w14:paraId="1A857B1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E</w:t>
      </w:r>
      <w:r w:rsidRPr="004B77DE">
        <w:rPr>
          <w:rFonts w:ascii="Trebuchet MS" w:hAnsi="Trebuchet MS"/>
          <w:noProof/>
          <w:sz w:val="16"/>
          <w:szCs w:val="16"/>
        </w:rPr>
        <w:t>lliott-Sale KJ, Barnett CT, Sale C. Exercise interventions for weight management during pregnancy and up to 1 year postpartum among normal weight, overweight and obese women: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w:t>
      </w:r>
      <w:r w:rsidRPr="004B77DE">
        <w:rPr>
          <w:rFonts w:ascii="Trebuchet MS" w:hAnsi="Trebuchet MS"/>
          <w:noProof/>
          <w:sz w:val="16"/>
          <w:szCs w:val="16"/>
        </w:rPr>
        <w:t>(</w:t>
      </w:r>
      <w:r w:rsidRPr="004B77DE">
        <w:rPr>
          <w:rFonts w:ascii="Trebuchet MS" w:eastAsia="Calibri" w:hAnsi="Trebuchet MS" w:cs="Calibri"/>
          <w:noProof/>
          <w:sz w:val="16"/>
          <w:szCs w:val="16"/>
        </w:rPr>
        <w:t>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1336</w:t>
      </w:r>
      <w:r w:rsidRPr="004B77DE">
        <w:rPr>
          <w:rFonts w:ascii="Trebuchet MS" w:hAnsi="Trebuchet MS"/>
          <w:noProof/>
          <w:sz w:val="16"/>
          <w:szCs w:val="16"/>
        </w:rPr>
        <w:t>-</w:t>
      </w:r>
      <w:r w:rsidRPr="004B77DE">
        <w:rPr>
          <w:rFonts w:ascii="Trebuchet MS" w:eastAsia="Calibri" w:hAnsi="Trebuchet MS" w:cs="Calibri"/>
          <w:noProof/>
          <w:sz w:val="16"/>
          <w:szCs w:val="16"/>
        </w:rPr>
        <w:t>42</w:t>
      </w:r>
      <w:r w:rsidRPr="004B77DE">
        <w:rPr>
          <w:rFonts w:ascii="Trebuchet MS" w:hAnsi="Trebuchet MS"/>
          <w:noProof/>
          <w:sz w:val="16"/>
          <w:szCs w:val="16"/>
        </w:rPr>
        <w:t>.</w:t>
      </w:r>
    </w:p>
    <w:p w14:paraId="20CB410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treuling I, Beyerlein A, Rosenfeld E et al. Physical activity and gestational weight gain: a meta-analysis of intervention trials.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118</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278</w:t>
      </w:r>
      <w:r w:rsidRPr="004B77DE">
        <w:rPr>
          <w:rFonts w:ascii="Trebuchet MS" w:hAnsi="Trebuchet MS"/>
          <w:noProof/>
          <w:sz w:val="16"/>
          <w:szCs w:val="16"/>
        </w:rPr>
        <w:t>-</w:t>
      </w:r>
      <w:r w:rsidRPr="004B77DE">
        <w:rPr>
          <w:rFonts w:ascii="Trebuchet MS" w:eastAsia="Calibri" w:hAnsi="Trebuchet MS" w:cs="Calibri"/>
          <w:noProof/>
          <w:sz w:val="16"/>
          <w:szCs w:val="16"/>
        </w:rPr>
        <w:t>84</w:t>
      </w:r>
      <w:r w:rsidRPr="004B77DE">
        <w:rPr>
          <w:rFonts w:ascii="Trebuchet MS" w:hAnsi="Trebuchet MS"/>
          <w:noProof/>
          <w:sz w:val="16"/>
          <w:szCs w:val="16"/>
        </w:rPr>
        <w:t>.</w:t>
      </w:r>
    </w:p>
    <w:p w14:paraId="7840F9D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alker R, Bennett C, Blumfield M et al. Attenuating Pregnancy Weight Gain-What Works and Why: A Systematic Review and Meta-Analysis. N</w:t>
      </w:r>
      <w:r w:rsidRPr="004B77DE">
        <w:rPr>
          <w:rFonts w:ascii="Trebuchet MS" w:hAnsi="Trebuchet MS"/>
          <w:i/>
          <w:noProof/>
          <w:sz w:val="16"/>
          <w:szCs w:val="16"/>
        </w:rPr>
        <w:t>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690AFC1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ang J, Wen D, Liu X et al. Impact of exercise on maternal gestational weight gain: An updated meta-analysis of randomized controlled trials. M</w:t>
      </w:r>
      <w:r w:rsidRPr="004B77DE">
        <w:rPr>
          <w:rFonts w:ascii="Trebuchet MS" w:hAnsi="Trebuchet MS"/>
          <w:i/>
          <w:noProof/>
          <w:sz w:val="16"/>
          <w:szCs w:val="16"/>
        </w:rPr>
        <w:t>edicine (Baltimore).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98</w:t>
      </w:r>
      <w:r w:rsidRPr="004B77DE">
        <w:rPr>
          <w:rFonts w:ascii="Trebuchet MS" w:hAnsi="Trebuchet MS"/>
          <w:noProof/>
          <w:sz w:val="16"/>
          <w:szCs w:val="16"/>
        </w:rPr>
        <w:t>(</w:t>
      </w:r>
      <w:r w:rsidRPr="004B77DE">
        <w:rPr>
          <w:rFonts w:ascii="Trebuchet MS" w:eastAsia="Calibri" w:hAnsi="Trebuchet MS" w:cs="Calibri"/>
          <w:noProof/>
          <w:sz w:val="16"/>
          <w:szCs w:val="16"/>
        </w:rPr>
        <w:t>27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e16199</w:t>
      </w:r>
      <w:r w:rsidRPr="004B77DE">
        <w:rPr>
          <w:rFonts w:ascii="Trebuchet MS" w:hAnsi="Trebuchet MS"/>
          <w:noProof/>
          <w:sz w:val="16"/>
          <w:szCs w:val="16"/>
        </w:rPr>
        <w:t>.</w:t>
      </w:r>
    </w:p>
    <w:p w14:paraId="76BCA06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uchat SM, Mottola MF, Skow RJ et al. Effectiveness of exercise interventions in the prevention of excessive gestational weight gain and postpartum weight retention: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1347</w:t>
      </w:r>
      <w:r w:rsidRPr="004B77DE">
        <w:rPr>
          <w:rFonts w:ascii="Trebuchet MS" w:hAnsi="Trebuchet MS"/>
          <w:noProof/>
          <w:sz w:val="16"/>
          <w:szCs w:val="16"/>
        </w:rPr>
        <w:t>-</w:t>
      </w:r>
      <w:r w:rsidRPr="004B77DE">
        <w:rPr>
          <w:rFonts w:ascii="Trebuchet MS" w:eastAsia="Calibri" w:hAnsi="Trebuchet MS" w:cs="Calibri"/>
          <w:noProof/>
          <w:sz w:val="16"/>
          <w:szCs w:val="16"/>
        </w:rPr>
        <w:t>56</w:t>
      </w:r>
      <w:r w:rsidRPr="004B77DE">
        <w:rPr>
          <w:rFonts w:ascii="Trebuchet MS" w:hAnsi="Trebuchet MS"/>
          <w:noProof/>
          <w:sz w:val="16"/>
          <w:szCs w:val="16"/>
        </w:rPr>
        <w:t>.</w:t>
      </w:r>
    </w:p>
    <w:p w14:paraId="1D5B79C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avenport MH, Ruchat SM, Poitras VJ et al. Prenatal exercise for the prevention of gestational diabetes mellitus and hypertensive disorders of pregnancy: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1367</w:t>
      </w:r>
      <w:r w:rsidRPr="004B77DE">
        <w:rPr>
          <w:rFonts w:ascii="Trebuchet MS" w:hAnsi="Trebuchet MS"/>
          <w:noProof/>
          <w:sz w:val="16"/>
          <w:szCs w:val="16"/>
        </w:rPr>
        <w:t>-</w:t>
      </w:r>
      <w:r w:rsidRPr="004B77DE">
        <w:rPr>
          <w:rFonts w:ascii="Trebuchet MS" w:eastAsia="Calibri" w:hAnsi="Trebuchet MS" w:cs="Calibri"/>
          <w:noProof/>
          <w:sz w:val="16"/>
          <w:szCs w:val="16"/>
        </w:rPr>
        <w:t>75</w:t>
      </w:r>
      <w:r w:rsidRPr="004B77DE">
        <w:rPr>
          <w:rFonts w:ascii="Trebuchet MS" w:hAnsi="Trebuchet MS"/>
          <w:noProof/>
          <w:sz w:val="16"/>
          <w:szCs w:val="16"/>
        </w:rPr>
        <w:t>.</w:t>
      </w:r>
    </w:p>
    <w:p w14:paraId="56778AD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an S, Middleton P, Crowther CA. Exercise for pregnant women for preventing gestational diabetes mellitus. C</w:t>
      </w:r>
      <w:r w:rsidRPr="004B77DE">
        <w:rPr>
          <w:rFonts w:ascii="Trebuchet MS" w:hAnsi="Trebuchet MS"/>
          <w:i/>
          <w:noProof/>
          <w:sz w:val="16"/>
          <w:szCs w:val="16"/>
        </w:rPr>
        <w:t>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w:t>
      </w:r>
    </w:p>
    <w:p w14:paraId="6B501CE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usso LM, Nobles C, Ertel KA et al. Physical activity interventions in pregnancy and risk of gestational diabetes mellitus: a systematic review and meta-analysis.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125</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576-82.</w:t>
      </w:r>
    </w:p>
    <w:p w14:paraId="313690B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469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Z</w:t>
      </w:r>
      <w:r w:rsidRPr="004B77DE">
        <w:rPr>
          <w:rFonts w:ascii="Trebuchet MS" w:hAnsi="Trebuchet MS"/>
          <w:noProof/>
          <w:sz w:val="16"/>
          <w:szCs w:val="16"/>
        </w:rPr>
        <w:t>heng J, Wang H, Ren M. Influence of exercise intervention on gestational diabetes mellitus: a systematic review and meta-analysis. J</w:t>
      </w:r>
      <w:r w:rsidRPr="004B77DE">
        <w:rPr>
          <w:rFonts w:ascii="Trebuchet MS" w:hAnsi="Trebuchet MS"/>
          <w:i/>
          <w:noProof/>
          <w:sz w:val="16"/>
          <w:szCs w:val="16"/>
        </w:rPr>
        <w:t>ournal of Endocrinological Investigation.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1027</w:t>
      </w:r>
      <w:r w:rsidRPr="004B77DE">
        <w:rPr>
          <w:rFonts w:ascii="Trebuchet MS" w:hAnsi="Trebuchet MS"/>
          <w:noProof/>
          <w:sz w:val="16"/>
          <w:szCs w:val="16"/>
        </w:rPr>
        <w:t>-</w:t>
      </w:r>
      <w:r w:rsidRPr="004B77DE">
        <w:rPr>
          <w:rFonts w:ascii="Trebuchet MS" w:eastAsia="Calibri" w:hAnsi="Trebuchet MS" w:cs="Calibri"/>
          <w:noProof/>
          <w:sz w:val="16"/>
          <w:szCs w:val="16"/>
        </w:rPr>
        <w:t>33</w:t>
      </w:r>
      <w:r w:rsidRPr="004B77DE">
        <w:rPr>
          <w:rFonts w:ascii="Trebuchet MS" w:hAnsi="Trebuchet MS"/>
          <w:noProof/>
          <w:sz w:val="16"/>
          <w:szCs w:val="16"/>
        </w:rPr>
        <w:t>.</w:t>
      </w:r>
    </w:p>
    <w:p w14:paraId="5553268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ing WK, Ding W, Zhang CJP et al. The effect of exercise during pregnancy on gestational diabetes mellitus in normal-weight women: a systematic review and meta-analysis.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440</w:t>
      </w:r>
      <w:r w:rsidRPr="004B77DE">
        <w:rPr>
          <w:rFonts w:ascii="Trebuchet MS" w:hAnsi="Trebuchet MS"/>
          <w:noProof/>
          <w:sz w:val="16"/>
          <w:szCs w:val="16"/>
        </w:rPr>
        <w:t>.</w:t>
      </w:r>
    </w:p>
    <w:p w14:paraId="796FB38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N</w:t>
      </w:r>
      <w:r w:rsidRPr="004B77DE">
        <w:rPr>
          <w:rFonts w:ascii="Trebuchet MS" w:hAnsi="Trebuchet MS"/>
          <w:noProof/>
          <w:sz w:val="16"/>
          <w:szCs w:val="16"/>
        </w:rPr>
        <w:t>asiri-Amiri F, Sepidarkish M, Shirvani MA et al. The effect of exercise on the prevention of gestational diabetes in obese and overweight pregnant women: a systematic review and meta-analysis. D</w:t>
      </w:r>
      <w:r w:rsidRPr="004B77DE">
        <w:rPr>
          <w:rFonts w:ascii="Trebuchet MS" w:hAnsi="Trebuchet MS"/>
          <w:i/>
          <w:noProof/>
          <w:sz w:val="16"/>
          <w:szCs w:val="16"/>
        </w:rPr>
        <w:t>iabetol Metab Syndr.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72</w:t>
      </w:r>
      <w:r w:rsidRPr="004B77DE">
        <w:rPr>
          <w:rFonts w:ascii="Trebuchet MS" w:hAnsi="Trebuchet MS"/>
          <w:noProof/>
          <w:sz w:val="16"/>
          <w:szCs w:val="16"/>
        </w:rPr>
        <w:t>.</w:t>
      </w:r>
    </w:p>
    <w:p w14:paraId="4A2743E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agro-Malosso ER, Saccone G, Di Tommaso M et al. Exercise during pregnancy and risk of gestational hypertensive disorders: a systematic review and meta-analysis. A</w:t>
      </w:r>
      <w:r w:rsidRPr="004B77DE">
        <w:rPr>
          <w:rFonts w:ascii="Trebuchet MS" w:hAnsi="Trebuchet MS"/>
          <w:i/>
          <w:noProof/>
          <w:sz w:val="16"/>
          <w:szCs w:val="16"/>
        </w:rPr>
        <w:t>cta Obstetricia et Gynecologica Scandinavica.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96</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921</w:t>
      </w:r>
      <w:r w:rsidRPr="004B77DE">
        <w:rPr>
          <w:rFonts w:ascii="Trebuchet MS" w:hAnsi="Trebuchet MS"/>
          <w:noProof/>
          <w:sz w:val="16"/>
          <w:szCs w:val="16"/>
        </w:rPr>
        <w:t>-</w:t>
      </w:r>
      <w:r w:rsidRPr="004B77DE">
        <w:rPr>
          <w:rFonts w:ascii="Trebuchet MS" w:eastAsia="Calibri" w:hAnsi="Trebuchet MS" w:cs="Calibri"/>
          <w:noProof/>
          <w:sz w:val="16"/>
          <w:szCs w:val="16"/>
        </w:rPr>
        <w:t>31</w:t>
      </w:r>
      <w:r w:rsidRPr="004B77DE">
        <w:rPr>
          <w:rFonts w:ascii="Trebuchet MS" w:hAnsi="Trebuchet MS"/>
          <w:noProof/>
          <w:sz w:val="16"/>
          <w:szCs w:val="16"/>
        </w:rPr>
        <w:t>.</w:t>
      </w:r>
    </w:p>
    <w:p w14:paraId="52B6041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avenport MH, Ruchat SM, Sobierajski F et al. Impact of prenatal exercise on maternal harms, labour and delivery outcomes: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w:t>
      </w:r>
      <w:r w:rsidRPr="004B77DE">
        <w:rPr>
          <w:rFonts w:ascii="Trebuchet MS" w:hAnsi="Trebuchet MS"/>
          <w:noProof/>
          <w:sz w:val="16"/>
          <w:szCs w:val="16"/>
        </w:rPr>
        <w:t>-</w:t>
      </w:r>
      <w:r w:rsidRPr="004B77DE">
        <w:rPr>
          <w:rFonts w:ascii="Trebuchet MS" w:eastAsia="Calibri" w:hAnsi="Trebuchet MS" w:cs="Calibri"/>
          <w:noProof/>
          <w:sz w:val="16"/>
          <w:szCs w:val="16"/>
        </w:rPr>
        <w:t>107</w:t>
      </w:r>
      <w:r w:rsidRPr="004B77DE">
        <w:rPr>
          <w:rFonts w:ascii="Trebuchet MS" w:hAnsi="Trebuchet MS"/>
          <w:noProof/>
          <w:sz w:val="16"/>
          <w:szCs w:val="16"/>
        </w:rPr>
        <w:t>.</w:t>
      </w:r>
    </w:p>
    <w:p w14:paraId="4FAA9BE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omenjoz I, Kayser B, Boulvain M. Effect of physical activity during pregnancy on mode of delivery. A</w:t>
      </w:r>
      <w:r w:rsidRPr="004B77DE">
        <w:rPr>
          <w:rFonts w:ascii="Trebuchet MS" w:hAnsi="Trebuchet MS"/>
          <w:i/>
          <w:noProof/>
          <w:sz w:val="16"/>
          <w:szCs w:val="16"/>
        </w:rPr>
        <w:t>m J Obstet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211</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401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w:t>
      </w:r>
    </w:p>
    <w:p w14:paraId="3B6CB14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oyatos-Leon R, Garcia-Hermoso A, Sanabria-Martinez G et al. Effects of exercise during pregnancy on mode of delivery: a meta-analysis. A</w:t>
      </w:r>
      <w:r w:rsidRPr="004B77DE">
        <w:rPr>
          <w:rFonts w:ascii="Trebuchet MS" w:hAnsi="Trebuchet MS"/>
          <w:i/>
          <w:noProof/>
          <w:sz w:val="16"/>
          <w:szCs w:val="16"/>
        </w:rPr>
        <w:t>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94</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1039</w:t>
      </w:r>
      <w:r w:rsidRPr="004B77DE">
        <w:rPr>
          <w:rFonts w:ascii="Trebuchet MS" w:hAnsi="Trebuchet MS"/>
          <w:noProof/>
          <w:sz w:val="16"/>
          <w:szCs w:val="16"/>
        </w:rPr>
        <w:t>-</w:t>
      </w:r>
      <w:r w:rsidRPr="004B77DE">
        <w:rPr>
          <w:rFonts w:ascii="Trebuchet MS" w:eastAsia="Calibri" w:hAnsi="Trebuchet MS" w:cs="Calibri"/>
          <w:noProof/>
          <w:sz w:val="16"/>
          <w:szCs w:val="16"/>
        </w:rPr>
        <w:t>47</w:t>
      </w:r>
      <w:r w:rsidRPr="004B77DE">
        <w:rPr>
          <w:rFonts w:ascii="Trebuchet MS" w:hAnsi="Trebuchet MS"/>
          <w:noProof/>
          <w:sz w:val="16"/>
          <w:szCs w:val="16"/>
        </w:rPr>
        <w:t>.</w:t>
      </w:r>
    </w:p>
    <w:p w14:paraId="0EE0301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avenport MH, McCurdy AP, Mottola MF et al. Impact of prenatal exercise on both prenatal and postnatal anxiety and depressive symptoms: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1376</w:t>
      </w:r>
      <w:r w:rsidRPr="004B77DE">
        <w:rPr>
          <w:rFonts w:ascii="Trebuchet MS" w:hAnsi="Trebuchet MS"/>
          <w:noProof/>
          <w:sz w:val="16"/>
          <w:szCs w:val="16"/>
        </w:rPr>
        <w:t>-</w:t>
      </w:r>
      <w:r w:rsidRPr="004B77DE">
        <w:rPr>
          <w:rFonts w:ascii="Trebuchet MS" w:eastAsia="Calibri" w:hAnsi="Trebuchet MS" w:cs="Calibri"/>
          <w:noProof/>
          <w:sz w:val="16"/>
          <w:szCs w:val="16"/>
        </w:rPr>
        <w:t>85</w:t>
      </w:r>
      <w:r w:rsidRPr="004B77DE">
        <w:rPr>
          <w:rFonts w:ascii="Trebuchet MS" w:hAnsi="Trebuchet MS"/>
          <w:noProof/>
          <w:sz w:val="16"/>
          <w:szCs w:val="16"/>
        </w:rPr>
        <w:t>.</w:t>
      </w:r>
    </w:p>
    <w:p w14:paraId="5E09A5A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N</w:t>
      </w:r>
      <w:r w:rsidRPr="004B77DE">
        <w:rPr>
          <w:rFonts w:ascii="Trebuchet MS" w:hAnsi="Trebuchet MS"/>
          <w:noProof/>
          <w:sz w:val="16"/>
          <w:szCs w:val="16"/>
        </w:rPr>
        <w:t>akamura A, van der Waerden J, Melchior M et al. Physical activity during pregnancy and postpartum depression: Systematic review and meta-analysis.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Affect</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Disord</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w:t>
      </w:r>
      <w:r w:rsidRPr="004B77DE">
        <w:rPr>
          <w:rFonts w:ascii="Trebuchet MS" w:hAnsi="Trebuchet MS"/>
          <w:noProof/>
          <w:sz w:val="16"/>
          <w:szCs w:val="16"/>
        </w:rPr>
        <w:t>-</w:t>
      </w:r>
      <w:r w:rsidRPr="004B77DE">
        <w:rPr>
          <w:rFonts w:ascii="Trebuchet MS" w:eastAsia="Calibri" w:hAnsi="Trebuchet MS" w:cs="Calibri"/>
          <w:noProof/>
          <w:sz w:val="16"/>
          <w:szCs w:val="16"/>
        </w:rPr>
        <w:t>41</w:t>
      </w:r>
      <w:r w:rsidRPr="004B77DE">
        <w:rPr>
          <w:rFonts w:ascii="Trebuchet MS" w:hAnsi="Trebuchet MS"/>
          <w:noProof/>
          <w:sz w:val="16"/>
          <w:szCs w:val="16"/>
        </w:rPr>
        <w:t>.</w:t>
      </w:r>
    </w:p>
    <w:p w14:paraId="21F67A0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une D, Schlesinger S, Henriksen T et al. Physical activity and the risk of preterm birth: a systematic review and meta-analysis of epidemiological studies.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124</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1816</w:t>
      </w:r>
      <w:r w:rsidRPr="004B77DE">
        <w:rPr>
          <w:rFonts w:ascii="Trebuchet MS" w:hAnsi="Trebuchet MS"/>
          <w:noProof/>
          <w:sz w:val="16"/>
          <w:szCs w:val="16"/>
        </w:rPr>
        <w:t>-</w:t>
      </w:r>
      <w:r w:rsidRPr="004B77DE">
        <w:rPr>
          <w:rFonts w:ascii="Trebuchet MS" w:eastAsia="Calibri" w:hAnsi="Trebuchet MS" w:cs="Calibri"/>
          <w:noProof/>
          <w:sz w:val="16"/>
          <w:szCs w:val="16"/>
        </w:rPr>
        <w:t>26</w:t>
      </w:r>
      <w:r w:rsidRPr="004B77DE">
        <w:rPr>
          <w:rFonts w:ascii="Trebuchet MS" w:hAnsi="Trebuchet MS"/>
          <w:noProof/>
          <w:sz w:val="16"/>
          <w:szCs w:val="16"/>
        </w:rPr>
        <w:t>.</w:t>
      </w:r>
    </w:p>
    <w:p w14:paraId="44EA6AF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479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avenport MH, Meah VL, Ruchat SM et al. Impact of prenatal exercise on neonatal and childhood outcomes: a systematic review and meta-analysis. B</w:t>
      </w:r>
      <w:r w:rsidRPr="004B77DE">
        <w:rPr>
          <w:rFonts w:ascii="Trebuchet MS" w:hAnsi="Trebuchet MS"/>
          <w:i/>
          <w:noProof/>
          <w:sz w:val="16"/>
          <w:szCs w:val="16"/>
        </w:rPr>
        <w:t>r J Sports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52</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1386</w:t>
      </w:r>
      <w:r w:rsidRPr="004B77DE">
        <w:rPr>
          <w:rFonts w:ascii="Trebuchet MS" w:hAnsi="Trebuchet MS"/>
          <w:noProof/>
          <w:sz w:val="16"/>
          <w:szCs w:val="16"/>
        </w:rPr>
        <w:t>-</w:t>
      </w:r>
      <w:r w:rsidRPr="004B77DE">
        <w:rPr>
          <w:rFonts w:ascii="Trebuchet MS" w:eastAsia="Calibri" w:hAnsi="Trebuchet MS" w:cs="Calibri"/>
          <w:noProof/>
          <w:sz w:val="16"/>
          <w:szCs w:val="16"/>
        </w:rPr>
        <w:t>96</w:t>
      </w:r>
      <w:r w:rsidRPr="004B77DE">
        <w:rPr>
          <w:rFonts w:ascii="Trebuchet MS" w:hAnsi="Trebuchet MS"/>
          <w:noProof/>
          <w:sz w:val="16"/>
          <w:szCs w:val="16"/>
        </w:rPr>
        <w:t>.</w:t>
      </w:r>
    </w:p>
    <w:p w14:paraId="48847DA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agro-Malosso ER, Saccone G, Di Mascio D et al. Exercise during pregnancy and risk of preterm birth in overweight and obese women: a systematic review and meta-analysis of randomized controlled trials. A</w:t>
      </w:r>
      <w:r w:rsidRPr="004B77DE">
        <w:rPr>
          <w:rFonts w:ascii="Trebuchet MS" w:hAnsi="Trebuchet MS"/>
          <w:i/>
          <w:noProof/>
          <w:sz w:val="16"/>
          <w:szCs w:val="16"/>
        </w:rPr>
        <w:t>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96</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263</w:t>
      </w:r>
      <w:r w:rsidRPr="004B77DE">
        <w:rPr>
          <w:rFonts w:ascii="Trebuchet MS" w:hAnsi="Trebuchet MS"/>
          <w:noProof/>
          <w:sz w:val="16"/>
          <w:szCs w:val="16"/>
        </w:rPr>
        <w:t>-</w:t>
      </w:r>
      <w:r w:rsidRPr="004B77DE">
        <w:rPr>
          <w:rFonts w:ascii="Trebuchet MS" w:eastAsia="Calibri" w:hAnsi="Trebuchet MS" w:cs="Calibri"/>
          <w:noProof/>
          <w:sz w:val="16"/>
          <w:szCs w:val="16"/>
        </w:rPr>
        <w:t>73</w:t>
      </w:r>
      <w:r w:rsidRPr="004B77DE">
        <w:rPr>
          <w:rFonts w:ascii="Trebuchet MS" w:hAnsi="Trebuchet MS"/>
          <w:noProof/>
          <w:sz w:val="16"/>
          <w:szCs w:val="16"/>
        </w:rPr>
        <w:t>.</w:t>
      </w:r>
    </w:p>
    <w:p w14:paraId="70B479D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uillemette L, Hay JL, Kehler DS et al. Exercise in pregnancy and children's cardiometabolic risk factors: A systematic review and meta-analysis. S</w:t>
      </w:r>
      <w:r w:rsidRPr="004B77DE">
        <w:rPr>
          <w:rFonts w:ascii="Trebuchet MS" w:hAnsi="Trebuchet MS"/>
          <w:i/>
          <w:noProof/>
          <w:sz w:val="16"/>
          <w:szCs w:val="16"/>
        </w:rPr>
        <w:t>ports Med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w:t>
      </w:r>
    </w:p>
    <w:p w14:paraId="4C65A5B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uchat S-M, Davenport MH, Giroux I et al. Nutrition and exercise reduce excessive weight gain in normal-weight pregnant women. M</w:t>
      </w:r>
      <w:r w:rsidRPr="004B77DE">
        <w:rPr>
          <w:rFonts w:ascii="Trebuchet MS" w:hAnsi="Trebuchet MS"/>
          <w:i/>
          <w:noProof/>
          <w:sz w:val="16"/>
          <w:szCs w:val="16"/>
        </w:rPr>
        <w:t>edicine &amp; Science in Sports &amp; Exercise.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1419</w:t>
      </w:r>
      <w:r w:rsidRPr="004B77DE">
        <w:rPr>
          <w:rFonts w:ascii="Trebuchet MS" w:hAnsi="Trebuchet MS"/>
          <w:noProof/>
          <w:sz w:val="16"/>
          <w:szCs w:val="16"/>
        </w:rPr>
        <w:t>-</w:t>
      </w:r>
      <w:r w:rsidRPr="004B77DE">
        <w:rPr>
          <w:rFonts w:ascii="Trebuchet MS" w:eastAsia="Calibri" w:hAnsi="Trebuchet MS" w:cs="Calibri"/>
          <w:noProof/>
          <w:sz w:val="16"/>
          <w:szCs w:val="16"/>
        </w:rPr>
        <w:t>26</w:t>
      </w:r>
      <w:r w:rsidRPr="004B77DE">
        <w:rPr>
          <w:rFonts w:ascii="Trebuchet MS" w:hAnsi="Trebuchet MS"/>
          <w:noProof/>
          <w:sz w:val="16"/>
          <w:szCs w:val="16"/>
        </w:rPr>
        <w:t>.</w:t>
      </w:r>
    </w:p>
    <w:p w14:paraId="0AC97F4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uckingham-Schutt LM, Ellingson LD, Vazou S et al. The Behavioral Wellness in Pregnancy study: a randomized controlled trial of a multi-component intervention to promote appropriate weight gain. A</w:t>
      </w:r>
      <w:r w:rsidRPr="004B77DE">
        <w:rPr>
          <w:rFonts w:ascii="Trebuchet MS" w:hAnsi="Trebuchet MS"/>
          <w:i/>
          <w:noProof/>
          <w:sz w:val="16"/>
          <w:szCs w:val="16"/>
        </w:rPr>
        <w:t>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1071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5A25E4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odd JM, Deussen AR, Louise J. A randomised trial to optimise gestational weight gain and improve maternal and infant health outcomes through antenatal dietary, lifestyle and exercise advice: The OPTIMISE randomised trial. N</w:t>
      </w:r>
      <w:r w:rsidRPr="004B77DE">
        <w:rPr>
          <w:rFonts w:ascii="Trebuchet MS" w:hAnsi="Trebuchet MS"/>
          <w:i/>
          <w:noProof/>
          <w:sz w:val="16"/>
          <w:szCs w:val="16"/>
        </w:rPr>
        <w:t>utrients.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w:t>
      </w:r>
    </w:p>
    <w:p w14:paraId="6DB40E5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lthuizen E, van der Wijden CL, van Mechelen W et al. The effect of a counselling intervention on weight changes during and after pregnancy: a randomised trial.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120</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4497A78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onnberg AK, Ostlund I, Fadl H et al. Intervention during pregnancy to reduce excessive gestational weight gain-a randomised controlled trial. B</w:t>
      </w:r>
      <w:r w:rsidRPr="004B77DE">
        <w:rPr>
          <w:rFonts w:ascii="Trebuchet MS" w:hAnsi="Trebuchet MS"/>
          <w:i/>
          <w:noProof/>
          <w:sz w:val="16"/>
          <w:szCs w:val="16"/>
        </w:rPr>
        <w:t>JOG: An International Journal of Obstetrics &amp; Gynaecology.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122</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537</w:t>
      </w:r>
      <w:r w:rsidRPr="004B77DE">
        <w:rPr>
          <w:rFonts w:ascii="Trebuchet MS" w:hAnsi="Trebuchet MS"/>
          <w:noProof/>
          <w:sz w:val="16"/>
          <w:szCs w:val="16"/>
        </w:rPr>
        <w:t>-</w:t>
      </w:r>
      <w:r w:rsidRPr="004B77DE">
        <w:rPr>
          <w:rFonts w:ascii="Trebuchet MS" w:eastAsia="Calibri" w:hAnsi="Trebuchet MS" w:cs="Calibri"/>
          <w:noProof/>
          <w:sz w:val="16"/>
          <w:szCs w:val="16"/>
        </w:rPr>
        <w:t>44</w:t>
      </w:r>
      <w:r w:rsidRPr="004B77DE">
        <w:rPr>
          <w:rFonts w:ascii="Trebuchet MS" w:hAnsi="Trebuchet MS"/>
          <w:noProof/>
          <w:sz w:val="16"/>
          <w:szCs w:val="16"/>
        </w:rPr>
        <w:t>.</w:t>
      </w:r>
    </w:p>
    <w:p w14:paraId="4C17B72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agedal LR, Vistad I, Overby NC et al. The effect of a prenatal lifestyle intervention on glucose metabolism: results of the Norwegian Fit for Delivery randomized controlled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167</w:t>
      </w:r>
      <w:r w:rsidRPr="004B77DE">
        <w:rPr>
          <w:rFonts w:ascii="Trebuchet MS" w:hAnsi="Trebuchet MS"/>
          <w:noProof/>
          <w:sz w:val="16"/>
          <w:szCs w:val="16"/>
        </w:rPr>
        <w:t>.</w:t>
      </w:r>
    </w:p>
    <w:p w14:paraId="2B6A7EA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sbee SM, Jenkins TR, Butler JR et al. Preventing excessive weight gain during pregnancy through dietary and lifestyle counseling: a randomized controlled trial.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Pt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305</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w:t>
      </w:r>
    </w:p>
    <w:p w14:paraId="0A58E47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489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sci O, Rathfisch G. Effect of lifestyle interventions of pregnant women on their dietary habits, lifestyle behaviors, and weight gain: a randomized controlled trial.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Health</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Popul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Nutr</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6F9802A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ui A, Back L, Ludwig S et al. Lifestyle intervention on diet and exercise reduced excessive gestational weight gain in pregnant women under a randomised controlled trial.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16E41E5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ui AL, Back L, Ludwig S et al. Effects of lifestyle intervention on dietary intake, physical activity level, and gestational weight gain in pregnant women with different pre-pregnancy Body Mass Index in a randomized control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331</w:t>
      </w:r>
      <w:r w:rsidRPr="004B77DE">
        <w:rPr>
          <w:rFonts w:ascii="Trebuchet MS" w:hAnsi="Trebuchet MS"/>
          <w:noProof/>
          <w:sz w:val="16"/>
          <w:szCs w:val="16"/>
        </w:rPr>
        <w:t>.</w:t>
      </w:r>
    </w:p>
    <w:p w14:paraId="169BCAD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J</w:t>
      </w:r>
      <w:r w:rsidRPr="004B77DE">
        <w:rPr>
          <w:rFonts w:ascii="Trebuchet MS" w:hAnsi="Trebuchet MS"/>
          <w:noProof/>
          <w:sz w:val="16"/>
          <w:szCs w:val="16"/>
        </w:rPr>
        <w:t>ing W, Huang Y, Liu X et al. The effect of a personalized intervention on weight gain and physical activity among pregnant women in China. I</w:t>
      </w:r>
      <w:r w:rsidRPr="004B77DE">
        <w:rPr>
          <w:rFonts w:ascii="Trebuchet MS" w:hAnsi="Trebuchet MS"/>
          <w:i/>
          <w:noProof/>
          <w:sz w:val="16"/>
          <w:szCs w:val="16"/>
        </w:rPr>
        <w:t>nt J Gynaecol Obstet.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129</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138</w:t>
      </w:r>
      <w:r w:rsidRPr="004B77DE">
        <w:rPr>
          <w:rFonts w:ascii="Trebuchet MS" w:hAnsi="Trebuchet MS"/>
          <w:noProof/>
          <w:sz w:val="16"/>
          <w:szCs w:val="16"/>
        </w:rPr>
        <w:t>-41.</w:t>
      </w:r>
    </w:p>
    <w:p w14:paraId="2CD6488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awalia A, Kulandaivelan S, Savant S et al. Exercise in Pregnancy: Effect on Obesity Parameters in Indian Women – A Randomized Controlled Trial. R</w:t>
      </w:r>
      <w:r w:rsidRPr="004B77DE">
        <w:rPr>
          <w:rFonts w:ascii="Trebuchet MS" w:hAnsi="Trebuchet MS"/>
          <w:i/>
          <w:noProof/>
          <w:sz w:val="16"/>
          <w:szCs w:val="16"/>
        </w:rPr>
        <w:t>omanian Journal of Diabetes Nutrition and Metabolic Diseases.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w:t>
      </w:r>
    </w:p>
    <w:p w14:paraId="508D2B1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helan S, Phipps MG, Abrams B et al. Randomized trial of a behavioral intervention to prevent excessive gestational weight gain: the Fit for Delivery Study. A</w:t>
      </w:r>
      <w:r w:rsidRPr="004B77DE">
        <w:rPr>
          <w:rFonts w:ascii="Trebuchet MS" w:hAnsi="Trebuchet MS"/>
          <w:i/>
          <w:noProof/>
          <w:sz w:val="16"/>
          <w:szCs w:val="16"/>
        </w:rPr>
        <w:t>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772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20A9D82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olley BA, Wing RR, Sims CJ. Randomized controlled trial to prevent excessive weight gain in pregnant women. I</w:t>
      </w:r>
      <w:r w:rsidRPr="004B77DE">
        <w:rPr>
          <w:rFonts w:ascii="Trebuchet MS" w:hAnsi="Trebuchet MS"/>
          <w:i/>
          <w:noProof/>
          <w:sz w:val="16"/>
          <w:szCs w:val="16"/>
        </w:rPr>
        <w:t>nt J Obes Relat Metab Disord.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2002;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1494</w:t>
      </w:r>
      <w:r w:rsidRPr="004B77DE">
        <w:rPr>
          <w:rFonts w:ascii="Trebuchet MS" w:hAnsi="Trebuchet MS"/>
          <w:noProof/>
          <w:sz w:val="16"/>
          <w:szCs w:val="16"/>
        </w:rPr>
        <w:t>-</w:t>
      </w:r>
      <w:r w:rsidRPr="004B77DE">
        <w:rPr>
          <w:rFonts w:ascii="Trebuchet MS" w:eastAsia="Calibri" w:hAnsi="Trebuchet MS" w:cs="Calibri"/>
          <w:noProof/>
          <w:sz w:val="16"/>
          <w:szCs w:val="16"/>
        </w:rPr>
        <w:t>502</w:t>
      </w:r>
      <w:r w:rsidRPr="004B77DE">
        <w:rPr>
          <w:rFonts w:ascii="Trebuchet MS" w:hAnsi="Trebuchet MS"/>
          <w:noProof/>
          <w:sz w:val="16"/>
          <w:szCs w:val="16"/>
        </w:rPr>
        <w:t>.</w:t>
      </w:r>
    </w:p>
    <w:p w14:paraId="4C80CFF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auh K, Gabriel E, Kerschbaum E et al. Safety and efficacy of a lifestyle intervention for pregnant women to prevent excessive maternal weight gain: a cluster-randomized controlled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151</w:t>
      </w:r>
      <w:r w:rsidRPr="004B77DE">
        <w:rPr>
          <w:rFonts w:ascii="Trebuchet MS" w:hAnsi="Trebuchet MS"/>
          <w:noProof/>
          <w:sz w:val="16"/>
          <w:szCs w:val="16"/>
        </w:rPr>
        <w:t>.</w:t>
      </w:r>
    </w:p>
    <w:p w14:paraId="29B9380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unath J, Gunther J, Rauh K et al. Effects of a lifestyle intervention during pregnancy to prevent excessive gestational weight gain in routine care - the cluster-randomised GeliS trial. B</w:t>
      </w:r>
      <w:r w:rsidRPr="004B77DE">
        <w:rPr>
          <w:rFonts w:ascii="Trebuchet MS" w:hAnsi="Trebuchet MS"/>
          <w:i/>
          <w:noProof/>
          <w:sz w:val="16"/>
          <w:szCs w:val="16"/>
        </w:rPr>
        <w:t>MC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w:t>
      </w:r>
      <w:r w:rsidRPr="004B77DE">
        <w:rPr>
          <w:rFonts w:ascii="Trebuchet MS" w:hAnsi="Trebuchet MS"/>
          <w:noProof/>
          <w:sz w:val="16"/>
          <w:szCs w:val="16"/>
        </w:rPr>
        <w:t>.</w:t>
      </w:r>
    </w:p>
    <w:p w14:paraId="7B0D349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iani Asiabar A, Amin Shokravi F, Hajifaraji M et al. The effect of an educational intervention in early pregnancy with spouse's participation on optimal gestational weight gain in pregnancy: a randomized controlled trial. H</w:t>
      </w:r>
      <w:r w:rsidRPr="004B77DE">
        <w:rPr>
          <w:rFonts w:ascii="Trebuchet MS" w:hAnsi="Trebuchet MS"/>
          <w:i/>
          <w:noProof/>
          <w:sz w:val="16"/>
          <w:szCs w:val="16"/>
        </w:rPr>
        <w:t>ealth Educ Res.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535</w:t>
      </w:r>
      <w:r w:rsidRPr="004B77DE">
        <w:rPr>
          <w:rFonts w:ascii="Trebuchet MS" w:hAnsi="Trebuchet MS"/>
          <w:noProof/>
          <w:sz w:val="16"/>
          <w:szCs w:val="16"/>
        </w:rPr>
        <w:t>-</w:t>
      </w:r>
      <w:r w:rsidRPr="004B77DE">
        <w:rPr>
          <w:rFonts w:ascii="Trebuchet MS" w:eastAsia="Calibri" w:hAnsi="Trebuchet MS" w:cs="Calibri"/>
          <w:noProof/>
          <w:sz w:val="16"/>
          <w:szCs w:val="16"/>
        </w:rPr>
        <w:t>47</w:t>
      </w:r>
      <w:r w:rsidRPr="004B77DE">
        <w:rPr>
          <w:rFonts w:ascii="Trebuchet MS" w:hAnsi="Trebuchet MS"/>
          <w:noProof/>
          <w:sz w:val="16"/>
          <w:szCs w:val="16"/>
        </w:rPr>
        <w:t>.</w:t>
      </w:r>
    </w:p>
    <w:p w14:paraId="406C69B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499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runo R, Petrella E, Bertarini V et al. Adherence to a lifestyle programme in overweight/obese pregnant women and effect on gestational diabetes mellitus: a randomized controlled trial. M</w:t>
      </w:r>
      <w:r w:rsidRPr="004B77DE">
        <w:rPr>
          <w:rFonts w:ascii="Trebuchet MS" w:hAnsi="Trebuchet MS"/>
          <w:i/>
          <w:noProof/>
          <w:sz w:val="16"/>
          <w:szCs w:val="16"/>
        </w:rPr>
        <w:t>atern Child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w:t>
      </w:r>
    </w:p>
    <w:p w14:paraId="15632AD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illcox JC, Wilkinson SA, Lappas M et al. A mobile health intervention promoting healthy gestational weight gain for women entering pregnancy at a high body mass index: the txt4two pilot randomised controlled trial.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w:t>
      </w:r>
      <w:r w:rsidRPr="004B77DE">
        <w:rPr>
          <w:rFonts w:ascii="Trebuchet MS" w:hAnsi="Trebuchet MS"/>
          <w:noProof/>
          <w:sz w:val="16"/>
          <w:szCs w:val="16"/>
        </w:rPr>
        <w:t>7; 124(11): 1718-28.</w:t>
      </w:r>
    </w:p>
    <w:p w14:paraId="747DB7A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odd JM, Turnbull D, McPhee AJ et al. Antenatal lifestyle advice for women who are overweight or obese: LIMIT randomised trial. B</w:t>
      </w:r>
      <w:r w:rsidRPr="004B77DE">
        <w:rPr>
          <w:rFonts w:ascii="Trebuchet MS" w:hAnsi="Trebuchet MS"/>
          <w:i/>
          <w:noProof/>
          <w:sz w:val="16"/>
          <w:szCs w:val="16"/>
        </w:rPr>
        <w:t>MJ.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g1285</w:t>
      </w:r>
      <w:r w:rsidRPr="004B77DE">
        <w:rPr>
          <w:rFonts w:ascii="Trebuchet MS" w:hAnsi="Trebuchet MS"/>
          <w:noProof/>
          <w:sz w:val="16"/>
          <w:szCs w:val="16"/>
        </w:rPr>
        <w:t>.</w:t>
      </w:r>
    </w:p>
    <w:p w14:paraId="79F3419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allagher D, Rosenn B, Toro-Ramos T et al. Greater Neonatal Fat-Free Mass and Similar Fat Mass Following a Randomized Trial to Control Excess Gestational Weight Gain. O</w:t>
      </w:r>
      <w:r w:rsidRPr="004B77DE">
        <w:rPr>
          <w:rFonts w:ascii="Trebuchet MS" w:hAnsi="Trebuchet MS"/>
          <w:i/>
          <w:noProof/>
          <w:sz w:val="16"/>
          <w:szCs w:val="16"/>
        </w:rPr>
        <w:t>besity.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578</w:t>
      </w:r>
      <w:r w:rsidRPr="004B77DE">
        <w:rPr>
          <w:rFonts w:ascii="Trebuchet MS" w:hAnsi="Trebuchet MS"/>
          <w:noProof/>
          <w:sz w:val="16"/>
          <w:szCs w:val="16"/>
        </w:rPr>
        <w:t>-</w:t>
      </w:r>
      <w:r w:rsidRPr="004B77DE">
        <w:rPr>
          <w:rFonts w:ascii="Trebuchet MS" w:eastAsia="Calibri" w:hAnsi="Trebuchet MS" w:cs="Calibri"/>
          <w:noProof/>
          <w:sz w:val="16"/>
          <w:szCs w:val="16"/>
        </w:rPr>
        <w:t>87</w:t>
      </w:r>
      <w:r w:rsidRPr="004B77DE">
        <w:rPr>
          <w:rFonts w:ascii="Trebuchet MS" w:hAnsi="Trebuchet MS"/>
          <w:noProof/>
          <w:sz w:val="16"/>
          <w:szCs w:val="16"/>
        </w:rPr>
        <w:t>.</w:t>
      </w:r>
    </w:p>
    <w:p w14:paraId="6FD3661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awkins M, Hosker M, Marcus BH et al. A pregnancy lifestyle intervention to prevent gestational diabetes risk factors in overweight Hispanic women: a feasibility randomized controlled trial. D</w:t>
      </w:r>
      <w:r w:rsidRPr="004B77DE">
        <w:rPr>
          <w:rFonts w:ascii="Trebuchet MS" w:hAnsi="Trebuchet MS"/>
          <w:i/>
          <w:noProof/>
          <w:sz w:val="16"/>
          <w:szCs w:val="16"/>
        </w:rPr>
        <w:t>iabet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32</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108</w:t>
      </w:r>
      <w:r w:rsidRPr="004B77DE">
        <w:rPr>
          <w:rFonts w:ascii="Trebuchet MS" w:hAnsi="Trebuchet MS"/>
          <w:noProof/>
          <w:sz w:val="16"/>
          <w:szCs w:val="16"/>
        </w:rPr>
        <w:t>-</w:t>
      </w:r>
      <w:r w:rsidRPr="004B77DE">
        <w:rPr>
          <w:rFonts w:ascii="Trebuchet MS" w:eastAsia="Calibri" w:hAnsi="Trebuchet MS" w:cs="Calibri"/>
          <w:noProof/>
          <w:sz w:val="16"/>
          <w:szCs w:val="16"/>
        </w:rPr>
        <w:t>15</w:t>
      </w:r>
      <w:r w:rsidRPr="004B77DE">
        <w:rPr>
          <w:rFonts w:ascii="Trebuchet MS" w:hAnsi="Trebuchet MS"/>
          <w:noProof/>
          <w:sz w:val="16"/>
          <w:szCs w:val="16"/>
        </w:rPr>
        <w:t>.</w:t>
      </w:r>
    </w:p>
    <w:p w14:paraId="67F0A1D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etrella E, Malavolti M, Bertarini V et al. Gestational weight gain in overweight and obese women enrolled in a healthy lifestyle and eating habits program.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Maternal</w:t>
      </w:r>
      <w:r w:rsidRPr="004B77DE">
        <w:rPr>
          <w:rFonts w:ascii="Trebuchet MS" w:hAnsi="Trebuchet MS"/>
          <w:i/>
          <w:noProof/>
          <w:sz w:val="16"/>
          <w:szCs w:val="16"/>
        </w:rPr>
        <w:t>-</w:t>
      </w:r>
      <w:r w:rsidRPr="004B77DE">
        <w:rPr>
          <w:rFonts w:ascii="Trebuchet MS" w:eastAsia="Calibri" w:hAnsi="Trebuchet MS" w:cs="Calibri"/>
          <w:i/>
          <w:noProof/>
          <w:sz w:val="16"/>
          <w:szCs w:val="16"/>
        </w:rPr>
        <w:t>Fetal</w:t>
      </w:r>
      <w:r w:rsidRPr="004B77DE">
        <w:rPr>
          <w:rFonts w:ascii="Trebuchet MS" w:hAnsi="Trebuchet MS"/>
          <w:i/>
          <w:noProof/>
          <w:sz w:val="16"/>
          <w:szCs w:val="16"/>
        </w:rPr>
        <w:t xml:space="preserve"> &amp; </w:t>
      </w:r>
      <w:r w:rsidRPr="004B77DE">
        <w:rPr>
          <w:rFonts w:ascii="Trebuchet MS" w:eastAsia="Calibri" w:hAnsi="Trebuchet MS" w:cs="Calibri"/>
          <w:i/>
          <w:noProof/>
          <w:sz w:val="16"/>
          <w:szCs w:val="16"/>
        </w:rPr>
        <w:t>Neonatal</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Med</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w:t>
      </w:r>
      <w:r w:rsidRPr="004B77DE">
        <w:rPr>
          <w:rFonts w:ascii="Trebuchet MS" w:hAnsi="Trebuchet MS"/>
          <w:noProof/>
          <w:sz w:val="16"/>
          <w:szCs w:val="16"/>
        </w:rPr>
        <w:t>(</w:t>
      </w:r>
      <w:r w:rsidRPr="004B77DE">
        <w:rPr>
          <w:rFonts w:ascii="Trebuchet MS" w:eastAsia="Calibri" w:hAnsi="Trebuchet MS" w:cs="Calibri"/>
          <w:noProof/>
          <w:sz w:val="16"/>
          <w:szCs w:val="16"/>
        </w:rPr>
        <w:t>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1348</w:t>
      </w:r>
      <w:r w:rsidRPr="004B77DE">
        <w:rPr>
          <w:rFonts w:ascii="Trebuchet MS" w:hAnsi="Trebuchet MS"/>
          <w:noProof/>
          <w:sz w:val="16"/>
          <w:szCs w:val="16"/>
        </w:rPr>
        <w:t>-</w:t>
      </w:r>
      <w:r w:rsidRPr="004B77DE">
        <w:rPr>
          <w:rFonts w:ascii="Trebuchet MS" w:eastAsia="Calibri" w:hAnsi="Trebuchet MS" w:cs="Calibri"/>
          <w:noProof/>
          <w:sz w:val="16"/>
          <w:szCs w:val="16"/>
        </w:rPr>
        <w:t>52</w:t>
      </w:r>
      <w:r w:rsidRPr="004B77DE">
        <w:rPr>
          <w:rFonts w:ascii="Trebuchet MS" w:hAnsi="Trebuchet MS"/>
          <w:noProof/>
          <w:sz w:val="16"/>
          <w:szCs w:val="16"/>
        </w:rPr>
        <w:t>.</w:t>
      </w:r>
    </w:p>
    <w:p w14:paraId="65E3476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an Horn L, Peaceman A, Kwasny M et al. Dietary Approaches to Stop Hypertension Diet and Activity to Limit Gestational Weight: Maternal Offspring Metabolics Family Intervention Trial, a Technology Enhanced Randomized Trial. A</w:t>
      </w:r>
      <w:r w:rsidRPr="004B77DE">
        <w:rPr>
          <w:rFonts w:ascii="Trebuchet MS" w:hAnsi="Trebuchet MS"/>
          <w:i/>
          <w:noProof/>
          <w:sz w:val="16"/>
          <w:szCs w:val="16"/>
        </w:rPr>
        <w:t>m J Prev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55</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603</w:t>
      </w:r>
      <w:r w:rsidRPr="004B77DE">
        <w:rPr>
          <w:rFonts w:ascii="Trebuchet MS" w:hAnsi="Trebuchet MS"/>
          <w:noProof/>
          <w:sz w:val="16"/>
          <w:szCs w:val="16"/>
        </w:rPr>
        <w:t>-</w:t>
      </w:r>
      <w:r w:rsidRPr="004B77DE">
        <w:rPr>
          <w:rFonts w:ascii="Trebuchet MS" w:eastAsia="Calibri" w:hAnsi="Trebuchet MS" w:cs="Calibri"/>
          <w:noProof/>
          <w:sz w:val="16"/>
          <w:szCs w:val="16"/>
        </w:rPr>
        <w:t>14</w:t>
      </w:r>
      <w:r w:rsidRPr="004B77DE">
        <w:rPr>
          <w:rFonts w:ascii="Trebuchet MS" w:hAnsi="Trebuchet MS"/>
          <w:noProof/>
          <w:sz w:val="16"/>
          <w:szCs w:val="16"/>
        </w:rPr>
        <w:t>.</w:t>
      </w:r>
    </w:p>
    <w:p w14:paraId="1486910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ennelly MA, Ainscough K, Lindsay KL et al. Pregnancy Exercise and Nutrition With Smartphone Application Support: A Randomized Controlled Trial. O</w:t>
      </w:r>
      <w:r w:rsidRPr="004B77DE">
        <w:rPr>
          <w:rFonts w:ascii="Trebuchet MS" w:hAnsi="Trebuchet MS"/>
          <w:i/>
          <w:noProof/>
          <w:sz w:val="16"/>
          <w:szCs w:val="16"/>
        </w:rPr>
        <w:t>bstet Gynecol.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818</w:t>
      </w:r>
      <w:r w:rsidRPr="004B77DE">
        <w:rPr>
          <w:rFonts w:ascii="Trebuchet MS" w:hAnsi="Trebuchet MS"/>
          <w:noProof/>
          <w:sz w:val="16"/>
          <w:szCs w:val="16"/>
        </w:rPr>
        <w:t>-</w:t>
      </w:r>
      <w:r w:rsidRPr="004B77DE">
        <w:rPr>
          <w:rFonts w:ascii="Trebuchet MS" w:eastAsia="Calibri" w:hAnsi="Trebuchet MS" w:cs="Calibri"/>
          <w:noProof/>
          <w:sz w:val="16"/>
          <w:szCs w:val="16"/>
        </w:rPr>
        <w:t>26</w:t>
      </w:r>
      <w:r w:rsidRPr="004B77DE">
        <w:rPr>
          <w:rFonts w:ascii="Trebuchet MS" w:hAnsi="Trebuchet MS"/>
          <w:noProof/>
          <w:sz w:val="16"/>
          <w:szCs w:val="16"/>
        </w:rPr>
        <w:t>.</w:t>
      </w:r>
    </w:p>
    <w:p w14:paraId="75CCE4E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A</w:t>
      </w:r>
      <w:r w:rsidRPr="004B77DE">
        <w:rPr>
          <w:rFonts w:ascii="Trebuchet MS" w:hAnsi="Trebuchet MS"/>
          <w:noProof/>
          <w:sz w:val="16"/>
          <w:szCs w:val="16"/>
        </w:rPr>
        <w:t>ltazan AD, Redman LM, Burton JH et al. Mood and quality of life changes in pregnancy and postpartum and the effect of a behavioral intervention targeting excess gestational weight gain in women with overweight and obesity: a parallel-arm randomized controlled pilot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50</w:t>
      </w:r>
      <w:r w:rsidRPr="004B77DE">
        <w:rPr>
          <w:rFonts w:ascii="Trebuchet MS" w:hAnsi="Trebuchet MS"/>
          <w:noProof/>
          <w:sz w:val="16"/>
          <w:szCs w:val="16"/>
        </w:rPr>
        <w:t>.</w:t>
      </w:r>
    </w:p>
    <w:p w14:paraId="53901BC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helan S, Wing RR, Brannen A et al. Randomized controlled clinical trial of behavioral lifestyle intervention with partial meal replacement to reduce excessive gestational weight gain. A</w:t>
      </w:r>
      <w:r w:rsidRPr="004B77DE">
        <w:rPr>
          <w:rFonts w:ascii="Trebuchet MS" w:hAnsi="Trebuchet MS"/>
          <w:i/>
          <w:noProof/>
          <w:sz w:val="16"/>
          <w:szCs w:val="16"/>
        </w:rPr>
        <w:t>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107</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183</w:t>
      </w:r>
      <w:r w:rsidRPr="004B77DE">
        <w:rPr>
          <w:rFonts w:ascii="Trebuchet MS" w:hAnsi="Trebuchet MS"/>
          <w:noProof/>
          <w:sz w:val="16"/>
          <w:szCs w:val="16"/>
        </w:rPr>
        <w:t>-</w:t>
      </w:r>
      <w:r w:rsidRPr="004B77DE">
        <w:rPr>
          <w:rFonts w:ascii="Trebuchet MS" w:eastAsia="Calibri" w:hAnsi="Trebuchet MS" w:cs="Calibri"/>
          <w:noProof/>
          <w:sz w:val="16"/>
          <w:szCs w:val="16"/>
        </w:rPr>
        <w:t>94</w:t>
      </w:r>
      <w:r w:rsidRPr="004B77DE">
        <w:rPr>
          <w:rFonts w:ascii="Trebuchet MS" w:hAnsi="Trebuchet MS"/>
          <w:noProof/>
          <w:sz w:val="16"/>
          <w:szCs w:val="16"/>
        </w:rPr>
        <w:t>.</w:t>
      </w:r>
    </w:p>
    <w:p w14:paraId="4120AF6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509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T</w:t>
      </w:r>
      <w:r w:rsidRPr="004B77DE">
        <w:rPr>
          <w:rFonts w:ascii="Trebuchet MS" w:hAnsi="Trebuchet MS"/>
          <w:noProof/>
          <w:sz w:val="16"/>
          <w:szCs w:val="16"/>
        </w:rPr>
        <w:t>rak-Fellermeier MA, Campos M, Melendez M et al. PEARLS randomized lifestyle trial in pregnant Hispanic women with overweight/obesity: gestational weight gain and offspring birthweight. D</w:t>
      </w:r>
      <w:r w:rsidRPr="004B77DE">
        <w:rPr>
          <w:rFonts w:ascii="Trebuchet MS" w:hAnsi="Trebuchet MS"/>
          <w:i/>
          <w:noProof/>
          <w:sz w:val="16"/>
          <w:szCs w:val="16"/>
        </w:rPr>
        <w:t>iabetes Metab Syndr Obes.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019; 12: 225-38.</w:t>
      </w:r>
    </w:p>
    <w:p w14:paraId="7BBF254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ogaerts AF, Devlieger R, Nuyts E et al. Effects of lifestyle intervention in obese pregnant women on gestational weight gain and mental health: a randomized controlled trial. I</w:t>
      </w:r>
      <w:r w:rsidRPr="004B77DE">
        <w:rPr>
          <w:rFonts w:ascii="Trebuchet MS" w:hAnsi="Trebuchet MS"/>
          <w:i/>
          <w:noProof/>
          <w:sz w:val="16"/>
          <w:szCs w:val="16"/>
        </w:rPr>
        <w:t>nt J Obes (Lond).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37</w:t>
      </w:r>
      <w:r w:rsidRPr="004B77DE">
        <w:rPr>
          <w:rFonts w:ascii="Trebuchet MS" w:hAnsi="Trebuchet MS"/>
          <w:noProof/>
          <w:sz w:val="16"/>
          <w:szCs w:val="16"/>
        </w:rPr>
        <w:t>(</w:t>
      </w:r>
      <w:r w:rsidRPr="004B77DE">
        <w:rPr>
          <w:rFonts w:ascii="Trebuchet MS" w:eastAsia="Calibri" w:hAnsi="Trebuchet MS" w:cs="Calibri"/>
          <w:noProof/>
          <w:sz w:val="16"/>
          <w:szCs w:val="16"/>
        </w:rPr>
        <w:t>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814</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w:t>
      </w:r>
    </w:p>
    <w:p w14:paraId="2157003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uelinckx I, Devlieger R, Mullie P et al. Effect of lifestyle intervention on dietary habits, physical activity, and gestational weight gain in obese pregnant women: a randomized controlled trial. A</w:t>
      </w:r>
      <w:r w:rsidRPr="004B77DE">
        <w:rPr>
          <w:rFonts w:ascii="Trebuchet MS" w:hAnsi="Trebuchet MS"/>
          <w:i/>
          <w:noProof/>
          <w:sz w:val="16"/>
          <w:szCs w:val="16"/>
        </w:rPr>
        <w:t>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91</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373</w:t>
      </w:r>
      <w:r w:rsidRPr="004B77DE">
        <w:rPr>
          <w:rFonts w:ascii="Trebuchet MS" w:hAnsi="Trebuchet MS"/>
          <w:noProof/>
          <w:sz w:val="16"/>
          <w:szCs w:val="16"/>
        </w:rPr>
        <w:t>-</w:t>
      </w:r>
      <w:r w:rsidRPr="004B77DE">
        <w:rPr>
          <w:rFonts w:ascii="Trebuchet MS" w:eastAsia="Calibri" w:hAnsi="Trebuchet MS" w:cs="Calibri"/>
          <w:noProof/>
          <w:sz w:val="16"/>
          <w:szCs w:val="16"/>
        </w:rPr>
        <w:t>80</w:t>
      </w:r>
      <w:r w:rsidRPr="004B77DE">
        <w:rPr>
          <w:rFonts w:ascii="Trebuchet MS" w:hAnsi="Trebuchet MS"/>
          <w:noProof/>
          <w:sz w:val="16"/>
          <w:szCs w:val="16"/>
        </w:rPr>
        <w:t>.</w:t>
      </w:r>
    </w:p>
    <w:p w14:paraId="6D51F1D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oston L, Briley AL, Barr S et al. Developing a complex intervention for diet and activity behaviour change in obese pregnant women (the UPBEAT trial); assessment of behavioural change and process evaluation in a pilot randomised controlled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w:t>
      </w:r>
      <w:r w:rsidRPr="004B77DE">
        <w:rPr>
          <w:rFonts w:ascii="Trebuchet MS" w:hAnsi="Trebuchet MS"/>
          <w:noProof/>
          <w:sz w:val="16"/>
          <w:szCs w:val="16"/>
        </w:rPr>
        <w:t>8.</w:t>
      </w:r>
    </w:p>
    <w:p w14:paraId="7843F8C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oston L, Bell R, Croker H et al. Effect of a behavioural intervention in obese pregnant women (the UPBEAT study): a multicentre, randomised controlled trial. T</w:t>
      </w:r>
      <w:r w:rsidRPr="004B77DE">
        <w:rPr>
          <w:rFonts w:ascii="Trebuchet MS" w:hAnsi="Trebuchet MS"/>
          <w:i/>
          <w:noProof/>
          <w:sz w:val="16"/>
          <w:szCs w:val="16"/>
        </w:rPr>
        <w:t>he Lancet Diabetes &amp; Endocrinology.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767</w:t>
      </w:r>
      <w:r w:rsidRPr="004B77DE">
        <w:rPr>
          <w:rFonts w:ascii="Trebuchet MS" w:hAnsi="Trebuchet MS"/>
          <w:noProof/>
          <w:sz w:val="16"/>
          <w:szCs w:val="16"/>
        </w:rPr>
        <w:t>-</w:t>
      </w:r>
      <w:r w:rsidRPr="004B77DE">
        <w:rPr>
          <w:rFonts w:ascii="Trebuchet MS" w:eastAsia="Calibri" w:hAnsi="Trebuchet MS" w:cs="Calibri"/>
          <w:noProof/>
          <w:sz w:val="16"/>
          <w:szCs w:val="16"/>
        </w:rPr>
        <w:t>77</w:t>
      </w:r>
      <w:r w:rsidRPr="004B77DE">
        <w:rPr>
          <w:rFonts w:ascii="Trebuchet MS" w:hAnsi="Trebuchet MS"/>
          <w:noProof/>
          <w:sz w:val="16"/>
          <w:szCs w:val="16"/>
        </w:rPr>
        <w:t>.</w:t>
      </w:r>
    </w:p>
    <w:p w14:paraId="1F1E3E7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esco KK, Karanja N, King JC et al. Healthy Moms, a randomized trial to promote and evaluate weight maintenance among obese pregnant women: study design and rationale. C</w:t>
      </w:r>
      <w:r w:rsidRPr="004B77DE">
        <w:rPr>
          <w:rFonts w:ascii="Trebuchet MS" w:hAnsi="Trebuchet MS"/>
          <w:i/>
          <w:noProof/>
          <w:sz w:val="16"/>
          <w:szCs w:val="16"/>
        </w:rPr>
        <w:t>ontemp Clin Trials.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777</w:t>
      </w:r>
      <w:r w:rsidRPr="004B77DE">
        <w:rPr>
          <w:rFonts w:ascii="Trebuchet MS" w:hAnsi="Trebuchet MS"/>
          <w:noProof/>
          <w:sz w:val="16"/>
          <w:szCs w:val="16"/>
        </w:rPr>
        <w:t>-</w:t>
      </w:r>
      <w:r w:rsidRPr="004B77DE">
        <w:rPr>
          <w:rFonts w:ascii="Trebuchet MS" w:eastAsia="Calibri" w:hAnsi="Trebuchet MS" w:cs="Calibri"/>
          <w:noProof/>
          <w:sz w:val="16"/>
          <w:szCs w:val="16"/>
        </w:rPr>
        <w:t>85</w:t>
      </w:r>
      <w:r w:rsidRPr="004B77DE">
        <w:rPr>
          <w:rFonts w:ascii="Trebuchet MS" w:hAnsi="Trebuchet MS"/>
          <w:noProof/>
          <w:sz w:val="16"/>
          <w:szCs w:val="16"/>
        </w:rPr>
        <w:t>.</w:t>
      </w:r>
    </w:p>
    <w:p w14:paraId="3FA8917A"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inter CA, Jensen DM, Ovesen P et al. The LiP (Lifestyle in Pregnancy) study: a randomized controlled trial of lifestyle intervention in 360 obese pregnant women. D</w:t>
      </w:r>
      <w:r w:rsidRPr="004B77DE">
        <w:rPr>
          <w:rFonts w:ascii="Trebuchet MS" w:hAnsi="Trebuchet MS"/>
          <w:i/>
          <w:noProof/>
          <w:sz w:val="16"/>
          <w:szCs w:val="16"/>
        </w:rPr>
        <w:t>iabetes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34</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2502</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47B0A8B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orpi-Hyovalti EA, Laaksonen DE, Schwab US et al. Feasibility of a lifestyle intervention in early pregnancy to prevent deterioration of glucose tolerance. B</w:t>
      </w:r>
      <w:r w:rsidRPr="004B77DE">
        <w:rPr>
          <w:rFonts w:ascii="Trebuchet MS" w:hAnsi="Trebuchet MS"/>
          <w:i/>
          <w:noProof/>
          <w:sz w:val="16"/>
          <w:szCs w:val="16"/>
        </w:rPr>
        <w:t>MC Public Health.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179</w:t>
      </w:r>
      <w:r w:rsidRPr="004B77DE">
        <w:rPr>
          <w:rFonts w:ascii="Trebuchet MS" w:hAnsi="Trebuchet MS"/>
          <w:noProof/>
          <w:sz w:val="16"/>
          <w:szCs w:val="16"/>
        </w:rPr>
        <w:t>.</w:t>
      </w:r>
    </w:p>
    <w:p w14:paraId="05BD16B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ang S, Ma J-M, Yang H-X. Lifestyle intervention for gestational diabetes mellitus prevention: A cluster-randomized controlled study. C</w:t>
      </w:r>
      <w:r w:rsidRPr="004B77DE">
        <w:rPr>
          <w:rFonts w:ascii="Trebuchet MS" w:hAnsi="Trebuchet MS"/>
          <w:i/>
          <w:noProof/>
          <w:sz w:val="16"/>
          <w:szCs w:val="16"/>
        </w:rPr>
        <w:t>hronic Diseases and Translational Medicine.</w:t>
      </w:r>
      <w:r w:rsidRPr="004B77DE">
        <w:rPr>
          <w:rFonts w:ascii="Trebuchet MS" w:hAnsi="Trebuchet MS"/>
          <w:noProof/>
          <w:sz w:val="16"/>
          <w:szCs w:val="16"/>
        </w:rPr>
        <w:t xml:space="preserve"> 2015; 1(3): 169-74.</w:t>
      </w:r>
    </w:p>
    <w:p w14:paraId="69E94FB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han RS, Tam WH, Ho IC et al. Randomized trial examining effectiveness of lifestyle intervention in reducing gestational diabetes in high risk Chinese pregnant women in Hong Kong. S</w:t>
      </w:r>
      <w:r w:rsidRPr="004B77DE">
        <w:rPr>
          <w:rFonts w:ascii="Trebuchet MS" w:hAnsi="Trebuchet MS"/>
          <w:i/>
          <w:noProof/>
          <w:sz w:val="16"/>
          <w:szCs w:val="16"/>
        </w:rPr>
        <w:t>ci Rep.</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13849</w:t>
      </w:r>
      <w:r w:rsidRPr="004B77DE">
        <w:rPr>
          <w:rFonts w:ascii="Trebuchet MS" w:hAnsi="Trebuchet MS"/>
          <w:noProof/>
          <w:sz w:val="16"/>
          <w:szCs w:val="16"/>
        </w:rPr>
        <w:t>.</w:t>
      </w:r>
    </w:p>
    <w:p w14:paraId="2F83B97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519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oivusalo SB, Rönö K, Klemetti MM et al. Gestational diabetes mellitus can be prevented by lifestyle intervention: The Finnish Gestational Diabetes Prevention Study (RADIEL). D</w:t>
      </w:r>
      <w:r w:rsidRPr="004B77DE">
        <w:rPr>
          <w:rFonts w:ascii="Trebuchet MS" w:hAnsi="Trebuchet MS"/>
          <w:i/>
          <w:noProof/>
          <w:sz w:val="16"/>
          <w:szCs w:val="16"/>
        </w:rPr>
        <w:t>iabetes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eastAsia="Calibri" w:hAnsi="Trebuchet MS" w:cs="Calibri"/>
          <w:noProof/>
          <w:sz w:val="16"/>
          <w:szCs w:val="16"/>
        </w:rPr>
        <w:t>30</w:t>
      </w:r>
      <w:r w:rsidRPr="004B77DE">
        <w:rPr>
          <w:rFonts w:ascii="Trebuchet MS" w:hAnsi="Trebuchet MS"/>
          <w:noProof/>
          <w:sz w:val="16"/>
          <w:szCs w:val="16"/>
        </w:rPr>
        <w:t>.</w:t>
      </w:r>
    </w:p>
    <w:p w14:paraId="508E2A8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arrison CL, Lombard CB, Strauss BJ et al. Optimizing healthy gestational weight gain in women at high risk of gestational diabetes: a randomized controlled trial. O</w:t>
      </w:r>
      <w:r w:rsidRPr="004B77DE">
        <w:rPr>
          <w:rFonts w:ascii="Trebuchet MS" w:hAnsi="Trebuchet MS"/>
          <w:i/>
          <w:noProof/>
          <w:sz w:val="16"/>
          <w:szCs w:val="16"/>
        </w:rPr>
        <w:t>besity (Silver Spring).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904</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3E43005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odd JM, Grivell RM, Owens JA. Antenatal Dietary and Lifestyle Interventions for Women Who are Overweight or Obese: Outcomes from the LIMIT Randomized Trial. C</w:t>
      </w:r>
      <w:r w:rsidRPr="004B77DE">
        <w:rPr>
          <w:rFonts w:ascii="Trebuchet MS" w:hAnsi="Trebuchet MS"/>
          <w:i/>
          <w:noProof/>
          <w:sz w:val="16"/>
          <w:szCs w:val="16"/>
        </w:rPr>
        <w:t>urrent Nutrition Reports.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431DDF2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uoto R, Kinnunen TI, Aittasalo M et al. Primary prevention of gestational diabetes mellitus and large-for-gestational-age newborns by lifestyle counseling: a cluster-randomized controlled trial. P</w:t>
      </w:r>
      <w:r w:rsidRPr="004B77DE">
        <w:rPr>
          <w:rFonts w:ascii="Trebuchet MS" w:hAnsi="Trebuchet MS"/>
          <w:i/>
          <w:noProof/>
          <w:sz w:val="16"/>
          <w:szCs w:val="16"/>
        </w:rPr>
        <w:t>LoS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e1001036</w:t>
      </w:r>
      <w:r w:rsidRPr="004B77DE">
        <w:rPr>
          <w:rFonts w:ascii="Trebuchet MS" w:hAnsi="Trebuchet MS"/>
          <w:noProof/>
          <w:sz w:val="16"/>
          <w:szCs w:val="16"/>
        </w:rPr>
        <w:t>.</w:t>
      </w:r>
    </w:p>
    <w:p w14:paraId="2427233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w:t>
      </w:r>
      <w:r w:rsidRPr="004B77DE">
        <w:rPr>
          <w:rFonts w:ascii="Trebuchet MS" w:eastAsia="Calibri" w:hAnsi="Trebuchet MS" w:cs="Calibri"/>
          <w:noProof/>
          <w:sz w:val="16"/>
          <w:szCs w:val="16"/>
        </w:rPr>
        <w:t>Brien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Grivell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RM,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Dodd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JM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Systematic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review</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antenatal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dietary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lifestyle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interventions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women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with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normal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body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mass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index</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w:t>
      </w:r>
      <w:r w:rsidRPr="004B77DE">
        <w:rPr>
          <w:rFonts w:ascii="Trebuchet MS" w:hAnsi="Trebuchet MS"/>
          <w:i/>
          <w:noProof/>
          <w:sz w:val="16"/>
          <w:szCs w:val="16"/>
        </w:rPr>
        <w:t>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95(3): 259-69.</w:t>
      </w:r>
    </w:p>
    <w:p w14:paraId="71E0845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ardner B, Wardle J, Poston L et al. Changing diet and physical activity to reduce gestational weight gain: a meta-analysis. O</w:t>
      </w:r>
      <w:r w:rsidRPr="004B77DE">
        <w:rPr>
          <w:rFonts w:ascii="Trebuchet MS" w:hAnsi="Trebuchet MS"/>
          <w:i/>
          <w:noProof/>
          <w:sz w:val="16"/>
          <w:szCs w:val="16"/>
        </w:rPr>
        <w:t>bes Rev.</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e602</w:t>
      </w:r>
      <w:r w:rsidRPr="004B77DE">
        <w:rPr>
          <w:rFonts w:ascii="Trebuchet MS" w:hAnsi="Trebuchet MS"/>
          <w:noProof/>
          <w:sz w:val="16"/>
          <w:szCs w:val="16"/>
        </w:rPr>
        <w:t>-</w:t>
      </w:r>
      <w:r w:rsidRPr="004B77DE">
        <w:rPr>
          <w:rFonts w:ascii="Trebuchet MS" w:eastAsia="Calibri" w:hAnsi="Trebuchet MS" w:cs="Calibri"/>
          <w:noProof/>
          <w:sz w:val="16"/>
          <w:szCs w:val="16"/>
        </w:rPr>
        <w:t>20</w:t>
      </w:r>
      <w:r w:rsidRPr="004B77DE">
        <w:rPr>
          <w:rFonts w:ascii="Trebuchet MS" w:hAnsi="Trebuchet MS"/>
          <w:noProof/>
          <w:sz w:val="16"/>
          <w:szCs w:val="16"/>
        </w:rPr>
        <w:t>.</w:t>
      </w:r>
    </w:p>
    <w:p w14:paraId="19F49BF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orison PN, Bacardi-Gascon M, Lopez-Corrales M et al. Combined dietary-exercise intervention for gestational weight gain and birthweight: a meta-analysis. A</w:t>
      </w:r>
      <w:r w:rsidRPr="004B77DE">
        <w:rPr>
          <w:rFonts w:ascii="Trebuchet MS" w:hAnsi="Trebuchet MS"/>
          <w:i/>
          <w:noProof/>
          <w:sz w:val="16"/>
          <w:szCs w:val="16"/>
        </w:rPr>
        <w:t>sia Pac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27</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860</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w:t>
      </w:r>
    </w:p>
    <w:p w14:paraId="71C59E4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hepherd E, Gomersall JC, Tieu J et al. Combined diet and exercise interventions for preventing gestational diabetes mellitus. C</w:t>
      </w:r>
      <w:r w:rsidRPr="004B77DE">
        <w:rPr>
          <w:rFonts w:ascii="Trebuchet MS" w:hAnsi="Trebuchet MS"/>
          <w:i/>
          <w:noProof/>
          <w:sz w:val="16"/>
          <w:szCs w:val="16"/>
        </w:rPr>
        <w:t>ochrane Database of Systematic Reviews.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w:t>
      </w:r>
    </w:p>
    <w:p w14:paraId="4492487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incze L, Rollo M, Hutchesson M et al. Interventions including a nutrition component aimed at managing gestational weight gain or postpartum weight retention: a systematic review and meta-analysis. J</w:t>
      </w:r>
      <w:r w:rsidRPr="004B77DE">
        <w:rPr>
          <w:rFonts w:ascii="Trebuchet MS" w:hAnsi="Trebuchet MS"/>
          <w:i/>
          <w:noProof/>
          <w:sz w:val="16"/>
          <w:szCs w:val="16"/>
        </w:rPr>
        <w:t>BI Database System Rev Implement Rep.</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17</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297</w:t>
      </w:r>
      <w:r w:rsidRPr="004B77DE">
        <w:rPr>
          <w:rFonts w:ascii="Trebuchet MS" w:hAnsi="Trebuchet MS"/>
          <w:noProof/>
          <w:sz w:val="16"/>
          <w:szCs w:val="16"/>
        </w:rPr>
        <w:t>-</w:t>
      </w:r>
      <w:r w:rsidRPr="004B77DE">
        <w:rPr>
          <w:rFonts w:ascii="Trebuchet MS" w:eastAsia="Calibri" w:hAnsi="Trebuchet MS" w:cs="Calibri"/>
          <w:noProof/>
          <w:sz w:val="16"/>
          <w:szCs w:val="16"/>
        </w:rPr>
        <w:t>364</w:t>
      </w:r>
      <w:r w:rsidRPr="004B77DE">
        <w:rPr>
          <w:rFonts w:ascii="Trebuchet MS" w:hAnsi="Trebuchet MS"/>
          <w:noProof/>
          <w:sz w:val="16"/>
          <w:szCs w:val="16"/>
        </w:rPr>
        <w:t>.</w:t>
      </w:r>
    </w:p>
    <w:p w14:paraId="5409C46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teng-Ntim E, Varma R, Croker H et al. Lifestyle interventions for overweight and obese pregnant women to improve pregnancy outcome: systematic review and meta-analysis. B</w:t>
      </w:r>
      <w:r w:rsidRPr="004B77DE">
        <w:rPr>
          <w:rFonts w:ascii="Trebuchet MS" w:hAnsi="Trebuchet MS"/>
          <w:i/>
          <w:noProof/>
          <w:sz w:val="16"/>
          <w:szCs w:val="16"/>
        </w:rPr>
        <w:t>MC Med.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47</w:t>
      </w:r>
      <w:r w:rsidRPr="004B77DE">
        <w:rPr>
          <w:rFonts w:ascii="Trebuchet MS" w:hAnsi="Trebuchet MS"/>
          <w:noProof/>
          <w:sz w:val="16"/>
          <w:szCs w:val="16"/>
        </w:rPr>
        <w:t>.</w:t>
      </w:r>
    </w:p>
    <w:p w14:paraId="0D48929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529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ailey C, Skouteris H, Teede H et al. Are lifestyle interventions to reduce excessive gestational weight gain cost effective? A systematic review. C</w:t>
      </w:r>
      <w:r w:rsidRPr="004B77DE">
        <w:rPr>
          <w:rFonts w:ascii="Trebuchet MS" w:hAnsi="Trebuchet MS"/>
          <w:i/>
          <w:noProof/>
          <w:sz w:val="16"/>
          <w:szCs w:val="16"/>
        </w:rPr>
        <w:t>urrent Diabetes Reports.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w:t>
      </w:r>
    </w:p>
    <w:p w14:paraId="005E211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ostdam N, Bosmans J, Wouters MG et al. Cost-effectiveness of an exercise program during pregnancy to prevent gestational diabetes: results of an economic evaluation alongside a randomised controlled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64</w:t>
      </w:r>
      <w:r w:rsidRPr="004B77DE">
        <w:rPr>
          <w:rFonts w:ascii="Trebuchet MS" w:hAnsi="Trebuchet MS"/>
          <w:noProof/>
          <w:sz w:val="16"/>
          <w:szCs w:val="16"/>
        </w:rPr>
        <w:t>.</w:t>
      </w:r>
    </w:p>
    <w:p w14:paraId="4E608F4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roekhuizen K, Simmons D, Devlieger R et al. Cost-effectiveness of healthy eating and/or physical activity promotion in pregnant women at increased risk of gestational diabetes mellitus: economic evaluation alongside the DALI study, a European multicenter randomized controlled trial. I</w:t>
      </w:r>
      <w:r w:rsidRPr="004B77DE">
        <w:rPr>
          <w:rFonts w:ascii="Trebuchet MS" w:hAnsi="Trebuchet MS"/>
          <w:i/>
          <w:noProof/>
          <w:sz w:val="16"/>
          <w:szCs w:val="16"/>
        </w:rPr>
        <w:t>nternational Journal of Behavioral Nutrition and Physical Activity.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w:t>
      </w:r>
    </w:p>
    <w:p w14:paraId="3121A79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O</w:t>
      </w:r>
      <w:r w:rsidRPr="004B77DE">
        <w:rPr>
          <w:rFonts w:ascii="Trebuchet MS" w:hAnsi="Trebuchet MS"/>
          <w:noProof/>
          <w:sz w:val="16"/>
          <w:szCs w:val="16"/>
        </w:rPr>
        <w:t>'</w:t>
      </w:r>
      <w:r w:rsidRPr="004B77DE">
        <w:rPr>
          <w:rFonts w:ascii="Trebuchet MS" w:eastAsia="Calibri" w:hAnsi="Trebuchet MS" w:cs="Calibri"/>
          <w:noProof/>
          <w:sz w:val="16"/>
          <w:szCs w:val="16"/>
        </w:rPr>
        <w:t>Sullivan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EJ,</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Rokicki</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Kennelly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M</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al</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Cost</w:t>
      </w:r>
      <w:r w:rsidRPr="004B77DE">
        <w:rPr>
          <w:rFonts w:ascii="Trebuchet MS" w:hAnsi="Trebuchet MS"/>
          <w:noProof/>
          <w:sz w:val="16"/>
          <w:szCs w:val="16"/>
        </w:rPr>
        <w:t>-</w:t>
      </w:r>
      <w:r w:rsidRPr="004B77DE">
        <w:rPr>
          <w:rFonts w:ascii="Trebuchet MS" w:eastAsia="Calibri" w:hAnsi="Trebuchet MS" w:cs="Calibri"/>
          <w:noProof/>
          <w:sz w:val="16"/>
          <w:szCs w:val="16"/>
        </w:rPr>
        <w:t>effectiveness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of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mobile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health</w:t>
      </w:r>
      <w:r w:rsidRPr="004B77DE">
        <w:rPr>
          <w:rFonts w:ascii="Trebuchet MS" w:hAnsi="Trebuchet MS"/>
          <w:noProof/>
          <w:sz w:val="16"/>
          <w:szCs w:val="16"/>
        </w:rPr>
        <w:t>-</w:t>
      </w:r>
      <w:r w:rsidRPr="004B77DE">
        <w:rPr>
          <w:rFonts w:ascii="Trebuchet MS" w:eastAsia="Calibri" w:hAnsi="Trebuchet MS" w:cs="Calibri"/>
          <w:noProof/>
          <w:sz w:val="16"/>
          <w:szCs w:val="16"/>
        </w:rPr>
        <w:t>supported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lifestyle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intervention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for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pregnant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women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with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an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elevated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body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mass</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index</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I</w:t>
      </w:r>
      <w:r w:rsidRPr="004B77DE">
        <w:rPr>
          <w:rFonts w:ascii="Trebuchet MS" w:hAnsi="Trebuchet MS"/>
          <w:i/>
          <w:noProof/>
          <w:sz w:val="16"/>
          <w:szCs w:val="16"/>
        </w:rPr>
        <w:t>nt J Obes (Lond).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2020;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44</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999</w:t>
      </w:r>
      <w:r w:rsidRPr="004B77DE">
        <w:rPr>
          <w:rFonts w:ascii="Trebuchet MS" w:hAnsi="Trebuchet MS"/>
          <w:noProof/>
          <w:sz w:val="16"/>
          <w:szCs w:val="16"/>
        </w:rPr>
        <w:t>-</w:t>
      </w:r>
      <w:r w:rsidRPr="004B77DE">
        <w:rPr>
          <w:rFonts w:ascii="Trebuchet MS" w:eastAsia="Calibri" w:hAnsi="Trebuchet MS" w:cs="Calibri"/>
          <w:noProof/>
          <w:sz w:val="16"/>
          <w:szCs w:val="16"/>
        </w:rPr>
        <w:t>1010</w:t>
      </w:r>
      <w:r w:rsidRPr="004B77DE">
        <w:rPr>
          <w:rFonts w:ascii="Trebuchet MS" w:hAnsi="Trebuchet MS"/>
          <w:noProof/>
          <w:sz w:val="16"/>
          <w:szCs w:val="16"/>
        </w:rPr>
        <w:t>.</w:t>
      </w:r>
    </w:p>
    <w:p w14:paraId="5F17E7AE"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Pelaez M, Montejo R et al. Exercise throughout pregnancy does not cause preterm delivery: a randomized, controlled trial. J</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Phys</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Act</w:t>
      </w:r>
      <w:r w:rsidRPr="004B77DE">
        <w:rPr>
          <w:rFonts w:ascii="Trebuchet MS" w:hAnsi="Trebuchet MS"/>
          <w:i/>
          <w:noProof/>
          <w:sz w:val="16"/>
          <w:szCs w:val="16"/>
        </w:rPr>
        <w:t xml:space="preserve"> </w:t>
      </w:r>
      <w:r w:rsidRPr="004B77DE">
        <w:rPr>
          <w:rFonts w:ascii="Trebuchet MS" w:eastAsia="Calibri" w:hAnsi="Trebuchet MS" w:cs="Calibri"/>
          <w:i/>
          <w:noProof/>
          <w:sz w:val="16"/>
          <w:szCs w:val="16"/>
        </w:rPr>
        <w:t>Health</w:t>
      </w:r>
      <w:r w:rsidRPr="004B77DE">
        <w:rPr>
          <w:rFonts w:ascii="Trebuchet MS" w:hAnsi="Trebuchet MS"/>
          <w:i/>
          <w:noProof/>
          <w:sz w:val="16"/>
          <w:szCs w:val="16"/>
        </w:rPr>
        <w: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1012</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123EBA1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elaez M, Gonzalez-Cerron S, Montejo R et al. Protective effect of exercise in pregnant women including those who exceed weight gain recommendations: a randomized controlled trial. M</w:t>
      </w:r>
      <w:r w:rsidRPr="004B77DE">
        <w:rPr>
          <w:rFonts w:ascii="Trebuchet MS" w:hAnsi="Trebuchet MS"/>
          <w:i/>
          <w:noProof/>
          <w:sz w:val="16"/>
          <w:szCs w:val="16"/>
        </w:rPr>
        <w:t>ayo Clin Proc.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94</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1951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6D77F91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B</w:t>
      </w:r>
      <w:r w:rsidRPr="004B77DE">
        <w:rPr>
          <w:rFonts w:ascii="Trebuchet MS" w:hAnsi="Trebuchet MS"/>
          <w:noProof/>
          <w:sz w:val="16"/>
          <w:szCs w:val="16"/>
        </w:rPr>
        <w:t>arakat R, Refoyo I, Coteron J et al. Exercise during pregnancy has a preventative effect on excessive maternal weight gain and gestational diabetes. A randomized controlled trial. B</w:t>
      </w:r>
      <w:r w:rsidRPr="004B77DE">
        <w:rPr>
          <w:rFonts w:ascii="Trebuchet MS" w:hAnsi="Trebuchet MS"/>
          <w:i/>
          <w:noProof/>
          <w:sz w:val="16"/>
          <w:szCs w:val="16"/>
        </w:rPr>
        <w:t>raz J Phys Ther.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148</w:t>
      </w:r>
      <w:r w:rsidRPr="004B77DE">
        <w:rPr>
          <w:rFonts w:ascii="Trebuchet MS" w:hAnsi="Trebuchet MS"/>
          <w:noProof/>
          <w:sz w:val="16"/>
          <w:szCs w:val="16"/>
        </w:rPr>
        <w:t>-</w:t>
      </w:r>
      <w:r w:rsidRPr="004B77DE">
        <w:rPr>
          <w:rFonts w:ascii="Trebuchet MS" w:eastAsia="Calibri" w:hAnsi="Trebuchet MS" w:cs="Calibri"/>
          <w:noProof/>
          <w:sz w:val="16"/>
          <w:szCs w:val="16"/>
        </w:rPr>
        <w:t>55</w:t>
      </w:r>
      <w:r w:rsidRPr="004B77DE">
        <w:rPr>
          <w:rFonts w:ascii="Trebuchet MS" w:hAnsi="Trebuchet MS"/>
          <w:noProof/>
          <w:sz w:val="16"/>
          <w:szCs w:val="16"/>
        </w:rPr>
        <w:t>.</w:t>
      </w:r>
    </w:p>
    <w:p w14:paraId="51576298"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C</w:t>
      </w:r>
      <w:r w:rsidRPr="004B77DE">
        <w:rPr>
          <w:rFonts w:ascii="Trebuchet MS" w:hAnsi="Trebuchet MS"/>
          <w:noProof/>
          <w:sz w:val="16"/>
          <w:szCs w:val="16"/>
        </w:rPr>
        <w:t>oll CVN, Domingues MR, Stein A et al. Efficacy of regular exercise during pregnancy on the prevention of postpartum depression: the PAMELA randomized clinical trial. J</w:t>
      </w:r>
      <w:r w:rsidRPr="004B77DE">
        <w:rPr>
          <w:rFonts w:ascii="Trebuchet MS" w:hAnsi="Trebuchet MS"/>
          <w:i/>
          <w:noProof/>
          <w:sz w:val="16"/>
          <w:szCs w:val="16"/>
        </w:rPr>
        <w:t>AMA Netw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e186861</w:t>
      </w:r>
      <w:r w:rsidRPr="004B77DE">
        <w:rPr>
          <w:rFonts w:ascii="Trebuchet MS" w:hAnsi="Trebuchet MS"/>
          <w:noProof/>
          <w:sz w:val="16"/>
          <w:szCs w:val="16"/>
        </w:rPr>
        <w:t>.</w:t>
      </w:r>
    </w:p>
    <w:p w14:paraId="22832C8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G</w:t>
      </w:r>
      <w:r w:rsidRPr="004B77DE">
        <w:rPr>
          <w:rFonts w:ascii="Trebuchet MS" w:hAnsi="Trebuchet MS"/>
          <w:noProof/>
          <w:sz w:val="16"/>
          <w:szCs w:val="16"/>
        </w:rPr>
        <w:t>arnaes KK, Helvik AS, Stafne SN et al. Effects of supervised exercise training during pregnancy on psychological well-being among overweight and obese women: secondary analyses of the ETIP-trial, a randomised controlled trial. B</w:t>
      </w:r>
      <w:r w:rsidRPr="004B77DE">
        <w:rPr>
          <w:rFonts w:ascii="Trebuchet MS" w:hAnsi="Trebuchet MS"/>
          <w:i/>
          <w:noProof/>
          <w:sz w:val="16"/>
          <w:szCs w:val="16"/>
        </w:rPr>
        <w:t>MJ Open.</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e028252</w:t>
      </w:r>
      <w:r w:rsidRPr="004B77DE">
        <w:rPr>
          <w:rFonts w:ascii="Trebuchet MS" w:hAnsi="Trebuchet MS"/>
          <w:noProof/>
          <w:sz w:val="16"/>
          <w:szCs w:val="16"/>
        </w:rPr>
        <w:t>.</w:t>
      </w:r>
    </w:p>
    <w:p w14:paraId="04116B7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aakstad LA, Bo K. Exercise in pregnant women and birth weight: a randomized controlled trial.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w:t>
      </w:r>
      <w:r w:rsidRPr="004B77DE">
        <w:rPr>
          <w:rFonts w:ascii="Trebuchet MS" w:hAnsi="Trebuchet MS"/>
          <w:noProof/>
          <w:sz w:val="16"/>
          <w:szCs w:val="16"/>
        </w:rPr>
        <w:t>.</w:t>
      </w:r>
    </w:p>
    <w:p w14:paraId="33FF5397"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539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aakstad LAH, Kissel I, Bø K. Long-term effects of participation in a prenatal exercise intervention on body weight, body mass index, and physical activity level: a 6-year follow-up study of a randomized controlled trial. T</w:t>
      </w:r>
      <w:r w:rsidRPr="004B77DE">
        <w:rPr>
          <w:rFonts w:ascii="Trebuchet MS" w:hAnsi="Trebuchet MS"/>
          <w:i/>
          <w:noProof/>
          <w:sz w:val="16"/>
          <w:szCs w:val="16"/>
        </w:rPr>
        <w:t>he Journal of Maternal-Fetal &amp; Neonatal Medicine.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7BD79BF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opkins SA, Baldi JC, Cutfield WS et al. Effects of exercise training on maternal hormonal changes in pregnancy. C</w:t>
      </w:r>
      <w:r w:rsidRPr="004B77DE">
        <w:rPr>
          <w:rFonts w:ascii="Trebuchet MS" w:hAnsi="Trebuchet MS"/>
          <w:i/>
          <w:noProof/>
          <w:sz w:val="16"/>
          <w:szCs w:val="16"/>
        </w:rPr>
        <w:t>lin Endocrinol (Oxf).</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74</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495</w:t>
      </w:r>
      <w:r w:rsidRPr="004B77DE">
        <w:rPr>
          <w:rFonts w:ascii="Trebuchet MS" w:hAnsi="Trebuchet MS"/>
          <w:noProof/>
          <w:sz w:val="16"/>
          <w:szCs w:val="16"/>
        </w:rPr>
        <w:t>-</w:t>
      </w:r>
      <w:r w:rsidRPr="004B77DE">
        <w:rPr>
          <w:rFonts w:ascii="Trebuchet MS" w:eastAsia="Calibri" w:hAnsi="Trebuchet MS" w:cs="Calibri"/>
          <w:noProof/>
          <w:sz w:val="16"/>
          <w:szCs w:val="16"/>
        </w:rPr>
        <w:t>500</w:t>
      </w:r>
      <w:r w:rsidRPr="004B77DE">
        <w:rPr>
          <w:rFonts w:ascii="Trebuchet MS" w:hAnsi="Trebuchet MS"/>
          <w:noProof/>
          <w:sz w:val="16"/>
          <w:szCs w:val="16"/>
        </w:rPr>
        <w:t>.</w:t>
      </w:r>
    </w:p>
    <w:p w14:paraId="5B18BA2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ong KL, Campbell CG, Foster RC et al. A pilot walking program promotes moderate-intensity physical activity during pregnancy. M</w:t>
      </w:r>
      <w:r w:rsidRPr="004B77DE">
        <w:rPr>
          <w:rFonts w:ascii="Trebuchet MS" w:hAnsi="Trebuchet MS"/>
          <w:i/>
          <w:noProof/>
          <w:sz w:val="16"/>
          <w:szCs w:val="16"/>
        </w:rPr>
        <w:t>ed Sci Sports Exerc.</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46</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462</w:t>
      </w:r>
      <w:r w:rsidRPr="004B77DE">
        <w:rPr>
          <w:rFonts w:ascii="Trebuchet MS" w:hAnsi="Trebuchet MS"/>
          <w:noProof/>
          <w:sz w:val="16"/>
          <w:szCs w:val="16"/>
        </w:rPr>
        <w:t>-</w:t>
      </w:r>
      <w:r w:rsidRPr="004B77DE">
        <w:rPr>
          <w:rFonts w:ascii="Trebuchet MS" w:eastAsia="Calibri" w:hAnsi="Trebuchet MS" w:cs="Calibri"/>
          <w:noProof/>
          <w:sz w:val="16"/>
          <w:szCs w:val="16"/>
        </w:rPr>
        <w:t>71</w:t>
      </w:r>
      <w:r w:rsidRPr="004B77DE">
        <w:rPr>
          <w:rFonts w:ascii="Trebuchet MS" w:hAnsi="Trebuchet MS"/>
          <w:noProof/>
          <w:sz w:val="16"/>
          <w:szCs w:val="16"/>
        </w:rPr>
        <w:t>.</w:t>
      </w:r>
    </w:p>
    <w:p w14:paraId="6702FE6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W</w:t>
      </w:r>
      <w:r w:rsidRPr="004B77DE">
        <w:rPr>
          <w:rFonts w:ascii="Trebuchet MS" w:hAnsi="Trebuchet MS"/>
          <w:noProof/>
          <w:sz w:val="16"/>
          <w:szCs w:val="16"/>
        </w:rPr>
        <w:t>ang C, Wei Y, Zhang X et al. Effect of Regular Exercise Commenced in Early Pregnancy on the Incidence of Gestational Diabetes Mellitus in Overweight and Obese Pregnant Women: A Randomized Controlled Trial. D</w:t>
      </w:r>
      <w:r w:rsidRPr="004B77DE">
        <w:rPr>
          <w:rFonts w:ascii="Trebuchet MS" w:hAnsi="Trebuchet MS"/>
          <w:i/>
          <w:noProof/>
          <w:sz w:val="16"/>
          <w:szCs w:val="16"/>
        </w:rPr>
        <w:t>iabetes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e163</w:t>
      </w:r>
      <w:r w:rsidRPr="004B77DE">
        <w:rPr>
          <w:rFonts w:ascii="Trebuchet MS" w:hAnsi="Trebuchet MS"/>
          <w:noProof/>
          <w:sz w:val="16"/>
          <w:szCs w:val="16"/>
        </w:rPr>
        <w:t>-</w:t>
      </w:r>
      <w:r w:rsidRPr="004B77DE">
        <w:rPr>
          <w:rFonts w:ascii="Trebuchet MS" w:eastAsia="Calibri" w:hAnsi="Trebuchet MS" w:cs="Calibri"/>
          <w:noProof/>
          <w:sz w:val="16"/>
          <w:szCs w:val="16"/>
        </w:rPr>
        <w:t>4</w:t>
      </w:r>
      <w:r w:rsidRPr="004B77DE">
        <w:rPr>
          <w:rFonts w:ascii="Trebuchet MS" w:hAnsi="Trebuchet MS"/>
          <w:noProof/>
          <w:sz w:val="16"/>
          <w:szCs w:val="16"/>
        </w:rPr>
        <w:t>.</w:t>
      </w:r>
    </w:p>
    <w:p w14:paraId="3736D5E4"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odd JM, O’Brien CM, Grivell RM. Modifying diet and physical activity to support pregnant women who are overweight or obese. C</w:t>
      </w:r>
      <w:r w:rsidRPr="004B77DE">
        <w:rPr>
          <w:rFonts w:ascii="Trebuchet MS" w:hAnsi="Trebuchet MS"/>
          <w:i/>
          <w:noProof/>
          <w:sz w:val="16"/>
          <w:szCs w:val="16"/>
        </w:rPr>
        <w:t>urrent Opinion in Clinical Nutrition and Metabolic Care.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3</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318</w:t>
      </w:r>
      <w:r w:rsidRPr="004B77DE">
        <w:rPr>
          <w:rFonts w:ascii="Trebuchet MS" w:hAnsi="Trebuchet MS"/>
          <w:noProof/>
          <w:sz w:val="16"/>
          <w:szCs w:val="16"/>
        </w:rPr>
        <w:t>-</w:t>
      </w:r>
      <w:r w:rsidRPr="004B77DE">
        <w:rPr>
          <w:rFonts w:ascii="Trebuchet MS" w:eastAsia="Calibri" w:hAnsi="Trebuchet MS" w:cs="Calibri"/>
          <w:noProof/>
          <w:sz w:val="16"/>
          <w:szCs w:val="16"/>
        </w:rPr>
        <w:t>23</w:t>
      </w:r>
      <w:r w:rsidRPr="004B77DE">
        <w:rPr>
          <w:rFonts w:ascii="Trebuchet MS" w:hAnsi="Trebuchet MS"/>
          <w:noProof/>
          <w:sz w:val="16"/>
          <w:szCs w:val="16"/>
        </w:rPr>
        <w:t>.</w:t>
      </w:r>
    </w:p>
    <w:p w14:paraId="73B686C3"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D</w:t>
      </w:r>
      <w:r w:rsidRPr="004B77DE">
        <w:rPr>
          <w:rFonts w:ascii="Trebuchet MS" w:hAnsi="Trebuchet MS"/>
          <w:noProof/>
          <w:sz w:val="16"/>
          <w:szCs w:val="16"/>
        </w:rPr>
        <w:t>odd JM, Deussen AR, Mohamad I et al. The effect of antenatal lifestyle advice for women who are overweight or obese on secondary measures of neonatal body composition: the LIMIT randomised trial. B</w:t>
      </w:r>
      <w:r w:rsidRPr="004B77DE">
        <w:rPr>
          <w:rFonts w:ascii="Trebuchet MS" w:hAnsi="Trebuchet MS"/>
          <w:i/>
          <w:noProof/>
          <w:sz w:val="16"/>
          <w:szCs w:val="16"/>
        </w:rPr>
        <w:t>JOG.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123</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244</w:t>
      </w:r>
      <w:r w:rsidRPr="004B77DE">
        <w:rPr>
          <w:rFonts w:ascii="Trebuchet MS" w:hAnsi="Trebuchet MS"/>
          <w:noProof/>
          <w:sz w:val="16"/>
          <w:szCs w:val="16"/>
        </w:rPr>
        <w:t>-</w:t>
      </w:r>
      <w:r w:rsidRPr="004B77DE">
        <w:rPr>
          <w:rFonts w:ascii="Trebuchet MS" w:eastAsia="Calibri" w:hAnsi="Trebuchet MS" w:cs="Calibri"/>
          <w:noProof/>
          <w:sz w:val="16"/>
          <w:szCs w:val="16"/>
        </w:rPr>
        <w:t>53</w:t>
      </w:r>
      <w:r w:rsidRPr="004B77DE">
        <w:rPr>
          <w:rFonts w:ascii="Trebuchet MS" w:hAnsi="Trebuchet MS"/>
          <w:noProof/>
          <w:sz w:val="16"/>
          <w:szCs w:val="16"/>
        </w:rPr>
        <w:t>.</w:t>
      </w:r>
    </w:p>
    <w:p w14:paraId="53631F6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H</w:t>
      </w:r>
      <w:r w:rsidRPr="004B77DE">
        <w:rPr>
          <w:rFonts w:ascii="Trebuchet MS" w:hAnsi="Trebuchet MS"/>
          <w:noProof/>
          <w:sz w:val="16"/>
          <w:szCs w:val="16"/>
        </w:rPr>
        <w:t>arrison CL, Lombard CB, Teede HJ. Limiting postpartum weight retention through early antenatal intervention: the HeLP-her randomised controlled trial. I</w:t>
      </w:r>
      <w:r w:rsidRPr="004B77DE">
        <w:rPr>
          <w:rFonts w:ascii="Trebuchet MS" w:hAnsi="Trebuchet MS"/>
          <w:i/>
          <w:noProof/>
          <w:sz w:val="16"/>
          <w:szCs w:val="16"/>
        </w:rPr>
        <w:t>nt J Behav Nutr Phys Act.</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134</w:t>
      </w:r>
      <w:r w:rsidRPr="004B77DE">
        <w:rPr>
          <w:rFonts w:ascii="Trebuchet MS" w:hAnsi="Trebuchet MS"/>
          <w:noProof/>
          <w:sz w:val="16"/>
          <w:szCs w:val="16"/>
        </w:rPr>
        <w:t>.</w:t>
      </w:r>
    </w:p>
    <w:p w14:paraId="67A48B79"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orpi-Hyovalti E, Schwab U, Laaksonen DE et al. Effect of intensive counselling on the quality of dietary fats in pregnant women at high risk of gestational diabetes mellitus. B</w:t>
      </w:r>
      <w:r w:rsidRPr="004B77DE">
        <w:rPr>
          <w:rFonts w:ascii="Trebuchet MS" w:hAnsi="Trebuchet MS"/>
          <w:i/>
          <w:noProof/>
          <w:sz w:val="16"/>
          <w:szCs w:val="16"/>
        </w:rPr>
        <w:t>r J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108</w:t>
      </w:r>
      <w:r w:rsidRPr="004B77DE">
        <w:rPr>
          <w:rFonts w:ascii="Trebuchet MS" w:hAnsi="Trebuchet MS"/>
          <w:noProof/>
          <w:sz w:val="16"/>
          <w:szCs w:val="16"/>
        </w:rPr>
        <w:t>(</w:t>
      </w:r>
      <w:r w:rsidRPr="004B77DE">
        <w:rPr>
          <w:rFonts w:ascii="Trebuchet MS" w:eastAsia="Calibri" w:hAnsi="Trebuchet MS" w:cs="Calibri"/>
          <w:noProof/>
          <w:sz w:val="16"/>
          <w:szCs w:val="16"/>
        </w:rPr>
        <w:t>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910</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w:t>
      </w:r>
    </w:p>
    <w:p w14:paraId="5C07D676"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L</w:t>
      </w:r>
      <w:r w:rsidRPr="004B77DE">
        <w:rPr>
          <w:rFonts w:ascii="Trebuchet MS" w:hAnsi="Trebuchet MS"/>
          <w:noProof/>
          <w:sz w:val="16"/>
          <w:szCs w:val="16"/>
        </w:rPr>
        <w:t>uoto RM, Kinnunen TI, Aittasalo M et al. Prevention of gestational diabetes: design of a cluster-randomized controlled trial and one-year follow-up.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39</w:t>
      </w:r>
      <w:r w:rsidRPr="004B77DE">
        <w:rPr>
          <w:rFonts w:ascii="Trebuchet MS" w:hAnsi="Trebuchet MS"/>
          <w:noProof/>
          <w:sz w:val="16"/>
          <w:szCs w:val="16"/>
        </w:rPr>
        <w:t>.</w:t>
      </w:r>
    </w:p>
    <w:p w14:paraId="78A855F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innunen TI, Raitanen J, Aittasalo M et al. Preventing excessive gestational weight gain--a secondary analysis of a cluster-randomised controlled trial. E</w:t>
      </w:r>
      <w:r w:rsidRPr="004B77DE">
        <w:rPr>
          <w:rFonts w:ascii="Trebuchet MS" w:hAnsi="Trebuchet MS"/>
          <w:i/>
          <w:noProof/>
          <w:sz w:val="16"/>
          <w:szCs w:val="16"/>
        </w:rPr>
        <w:t>ur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66</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1344</w:t>
      </w:r>
      <w:r w:rsidRPr="004B77DE">
        <w:rPr>
          <w:rFonts w:ascii="Trebuchet MS" w:hAnsi="Trebuchet MS"/>
          <w:noProof/>
          <w:sz w:val="16"/>
          <w:szCs w:val="16"/>
        </w:rPr>
        <w:t>-</w:t>
      </w:r>
      <w:r w:rsidRPr="004B77DE">
        <w:rPr>
          <w:rFonts w:ascii="Trebuchet MS" w:eastAsia="Calibri" w:hAnsi="Trebuchet MS" w:cs="Calibri"/>
          <w:noProof/>
          <w:sz w:val="16"/>
          <w:szCs w:val="16"/>
        </w:rPr>
        <w:t>50</w:t>
      </w:r>
      <w:r w:rsidRPr="004B77DE">
        <w:rPr>
          <w:rFonts w:ascii="Trebuchet MS" w:hAnsi="Trebuchet MS"/>
          <w:noProof/>
          <w:sz w:val="16"/>
          <w:szCs w:val="16"/>
        </w:rPr>
        <w:t>.</w:t>
      </w:r>
    </w:p>
    <w:p w14:paraId="41ED7E6C"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549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olu P, Raitanen J, Rissanen P et al. Cost-Effectiveness of Lifestyle Counselling as Primary Prevention of Gestational Diabetes Mellitus: Findings from a Cluster-Randomised Trial. P</w:t>
      </w:r>
      <w:r w:rsidRPr="004B77DE">
        <w:rPr>
          <w:rFonts w:ascii="Trebuchet MS" w:hAnsi="Trebuchet MS"/>
          <w:i/>
          <w:noProof/>
          <w:sz w:val="16"/>
          <w:szCs w:val="16"/>
        </w:rPr>
        <w:t>LoS ONE.</w:t>
      </w:r>
      <w:r w:rsidRPr="004B77DE">
        <w:rPr>
          <w:rFonts w:ascii="Trebuchet MS" w:hAnsi="Trebuchet MS"/>
          <w:noProof/>
          <w:sz w:val="16"/>
          <w:szCs w:val="16"/>
        </w:rPr>
        <w:t xml:space="preserve"> 2013; 8(2).</w:t>
      </w:r>
    </w:p>
    <w:p w14:paraId="5C3F824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K</w:t>
      </w:r>
      <w:r w:rsidRPr="004B77DE">
        <w:rPr>
          <w:rFonts w:ascii="Trebuchet MS" w:hAnsi="Trebuchet MS"/>
          <w:noProof/>
          <w:sz w:val="16"/>
          <w:szCs w:val="16"/>
        </w:rPr>
        <w:t>olu P, Raitanen J, Puhkala J et al. Effectiveness and Cost-Effectiveness of a Cluster-Randomized Prenatal Lifestyle Counseling Trial: A Seven-Year Follow-Up. P</w:t>
      </w:r>
      <w:r w:rsidRPr="004B77DE">
        <w:rPr>
          <w:rFonts w:ascii="Trebuchet MS" w:hAnsi="Trebuchet MS"/>
          <w:i/>
          <w:noProof/>
          <w:sz w:val="16"/>
          <w:szCs w:val="16"/>
        </w:rPr>
        <w:t>LoS One.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w:t>
      </w:r>
      <w:r w:rsidRPr="004B77DE">
        <w:rPr>
          <w:rFonts w:ascii="Trebuchet MS" w:hAnsi="Trebuchet MS"/>
          <w:noProof/>
          <w:sz w:val="16"/>
          <w:szCs w:val="16"/>
        </w:rPr>
        <w:t>(</w:t>
      </w:r>
      <w:r w:rsidRPr="004B77DE">
        <w:rPr>
          <w:rFonts w:ascii="Trebuchet MS" w:eastAsia="Calibri" w:hAnsi="Trebuchet MS" w:cs="Calibri"/>
          <w:noProof/>
          <w:sz w:val="16"/>
          <w:szCs w:val="16"/>
        </w:rPr>
        <w:t>12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e0167759</w:t>
      </w:r>
      <w:r w:rsidRPr="004B77DE">
        <w:rPr>
          <w:rFonts w:ascii="Trebuchet MS" w:hAnsi="Trebuchet MS"/>
          <w:noProof/>
          <w:sz w:val="16"/>
          <w:szCs w:val="16"/>
        </w:rPr>
        <w:t>.</w:t>
      </w:r>
    </w:p>
    <w:p w14:paraId="2086156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helan S, Phipps MG, Abrams B et al. Does behavioral intervention in pregnancy reduce postpartum weight retention? Twelve-month outcomes of the Fit for Delivery randomized trial. A</w:t>
      </w:r>
      <w:r w:rsidRPr="004B77DE">
        <w:rPr>
          <w:rFonts w:ascii="Trebuchet MS" w:hAnsi="Trebuchet MS"/>
          <w:i/>
          <w:noProof/>
          <w:sz w:val="16"/>
          <w:szCs w:val="16"/>
        </w:rPr>
        <w:t>m J Clin Nutr.</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w:t>
      </w:r>
      <w:r w:rsidRPr="004B77DE">
        <w:rPr>
          <w:rFonts w:ascii="Trebuchet MS" w:hAnsi="Trebuchet MS"/>
          <w:noProof/>
          <w:sz w:val="16"/>
          <w:szCs w:val="16"/>
        </w:rPr>
        <w:t>(</w:t>
      </w:r>
      <w:r w:rsidRPr="004B77DE">
        <w:rPr>
          <w:rFonts w:ascii="Trebuchet MS" w:eastAsia="Calibri" w:hAnsi="Trebuchet MS" w:cs="Calibri"/>
          <w:noProof/>
          <w:sz w:val="16"/>
          <w:szCs w:val="16"/>
        </w:rPr>
        <w:t>2</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302</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w:t>
      </w:r>
    </w:p>
    <w:p w14:paraId="7EE730C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552</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P</w:t>
      </w:r>
      <w:r w:rsidRPr="004B77DE">
        <w:rPr>
          <w:rFonts w:ascii="Trebuchet MS" w:hAnsi="Trebuchet MS"/>
          <w:noProof/>
          <w:sz w:val="16"/>
          <w:szCs w:val="16"/>
        </w:rPr>
        <w:t>atel N, Godfrey KM, Pasupathy D et al. Infant adiposity following a randomised controlled trial of a behavioural intervention in obese pregnancy. I</w:t>
      </w:r>
      <w:r w:rsidRPr="004B77DE">
        <w:rPr>
          <w:rFonts w:ascii="Trebuchet MS" w:hAnsi="Trebuchet MS"/>
          <w:i/>
          <w:noProof/>
          <w:sz w:val="16"/>
          <w:szCs w:val="16"/>
        </w:rPr>
        <w:t>nt J Obes (Lond).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41</w:t>
      </w:r>
      <w:r w:rsidRPr="004B77DE">
        <w:rPr>
          <w:rFonts w:ascii="Trebuchet MS" w:hAnsi="Trebuchet MS"/>
          <w:noProof/>
          <w:sz w:val="16"/>
          <w:szCs w:val="16"/>
        </w:rPr>
        <w:t>(</w:t>
      </w:r>
      <w:r w:rsidRPr="004B77DE">
        <w:rPr>
          <w:rFonts w:ascii="Trebuchet MS" w:eastAsia="Calibri" w:hAnsi="Trebuchet MS" w:cs="Calibri"/>
          <w:noProof/>
          <w:sz w:val="16"/>
          <w:szCs w:val="16"/>
        </w:rPr>
        <w:t>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1018</w:t>
      </w:r>
      <w:r w:rsidRPr="004B77DE">
        <w:rPr>
          <w:rFonts w:ascii="Trebuchet MS" w:hAnsi="Trebuchet MS"/>
          <w:noProof/>
          <w:sz w:val="16"/>
          <w:szCs w:val="16"/>
        </w:rPr>
        <w:t>-</w:t>
      </w:r>
      <w:r w:rsidRPr="004B77DE">
        <w:rPr>
          <w:rFonts w:ascii="Trebuchet MS" w:eastAsia="Calibri" w:hAnsi="Trebuchet MS" w:cs="Calibri"/>
          <w:noProof/>
          <w:sz w:val="16"/>
          <w:szCs w:val="16"/>
        </w:rPr>
        <w:t>26</w:t>
      </w:r>
      <w:r w:rsidRPr="004B77DE">
        <w:rPr>
          <w:rFonts w:ascii="Trebuchet MS" w:hAnsi="Trebuchet MS"/>
          <w:noProof/>
          <w:sz w:val="16"/>
          <w:szCs w:val="16"/>
        </w:rPr>
        <w:t>.</w:t>
      </w:r>
    </w:p>
    <w:p w14:paraId="724A64C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553</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M</w:t>
      </w:r>
      <w:r w:rsidRPr="004B77DE">
        <w:rPr>
          <w:rFonts w:ascii="Trebuchet MS" w:hAnsi="Trebuchet MS"/>
          <w:noProof/>
          <w:sz w:val="16"/>
          <w:szCs w:val="16"/>
        </w:rPr>
        <w:t>olyneaux E, Begum S, Briley AL et al. Do elevated symptoms of depression predict adherence and outcomes in the UPBEAT randomised controlled trial of a lifestyle intervention for obese pregnant women?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18</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378</w:t>
      </w:r>
      <w:r w:rsidRPr="004B77DE">
        <w:rPr>
          <w:rFonts w:ascii="Trebuchet MS" w:hAnsi="Trebuchet MS"/>
          <w:noProof/>
          <w:sz w:val="16"/>
          <w:szCs w:val="16"/>
        </w:rPr>
        <w:t>.</w:t>
      </w:r>
    </w:p>
    <w:p w14:paraId="5092F83D"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554</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auh K, Gunther J, Kunath J et al. Lifestyle intervention to prevent excessive maternal weight gain: mother and infant follow-up at 12 months postpartum. B</w:t>
      </w:r>
      <w:r w:rsidRPr="004B77DE">
        <w:rPr>
          <w:rFonts w:ascii="Trebuchet MS" w:hAnsi="Trebuchet MS"/>
          <w:i/>
          <w:noProof/>
          <w:sz w:val="16"/>
          <w:szCs w:val="16"/>
        </w:rPr>
        <w:t>MC Pregnancy Childbirth.</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15</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265</w:t>
      </w:r>
      <w:r w:rsidRPr="004B77DE">
        <w:rPr>
          <w:rFonts w:ascii="Trebuchet MS" w:hAnsi="Trebuchet MS"/>
          <w:noProof/>
          <w:sz w:val="16"/>
          <w:szCs w:val="16"/>
        </w:rPr>
        <w:t>.</w:t>
      </w:r>
    </w:p>
    <w:p w14:paraId="7FA58860"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555</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onnberg A, Hanson U, Ostlund I et al. Effects on postpartum weight retention after antenatal lifestyle intervention - a secondary analysis of a randomized controlled trial. A</w:t>
      </w:r>
      <w:r w:rsidRPr="004B77DE">
        <w:rPr>
          <w:rFonts w:ascii="Trebuchet MS" w:hAnsi="Trebuchet MS"/>
          <w:i/>
          <w:noProof/>
          <w:sz w:val="16"/>
          <w:szCs w:val="16"/>
        </w:rPr>
        <w:t>cta Obstetricia et Gynecologica Scandinavica.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95</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999</w:t>
      </w:r>
      <w:r w:rsidRPr="004B77DE">
        <w:rPr>
          <w:rFonts w:ascii="Trebuchet MS" w:hAnsi="Trebuchet MS"/>
          <w:noProof/>
          <w:sz w:val="16"/>
          <w:szCs w:val="16"/>
        </w:rPr>
        <w:t>-</w:t>
      </w:r>
      <w:r w:rsidRPr="004B77DE">
        <w:rPr>
          <w:rFonts w:ascii="Trebuchet MS" w:eastAsia="Calibri" w:hAnsi="Trebuchet MS" w:cs="Calibri"/>
          <w:noProof/>
          <w:sz w:val="16"/>
          <w:szCs w:val="16"/>
        </w:rPr>
        <w:t>1007</w:t>
      </w:r>
      <w:r w:rsidRPr="004B77DE">
        <w:rPr>
          <w:rFonts w:ascii="Trebuchet MS" w:hAnsi="Trebuchet MS"/>
          <w:noProof/>
          <w:sz w:val="16"/>
          <w:szCs w:val="16"/>
        </w:rPr>
        <w:t>.</w:t>
      </w:r>
    </w:p>
    <w:p w14:paraId="04E8C232"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556</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R</w:t>
      </w:r>
      <w:r w:rsidRPr="004B77DE">
        <w:rPr>
          <w:rFonts w:ascii="Trebuchet MS" w:hAnsi="Trebuchet MS"/>
          <w:noProof/>
          <w:sz w:val="16"/>
          <w:szCs w:val="16"/>
        </w:rPr>
        <w:t>onnberg A-K, Hanson U, Nilsson K. Effects of an antenatal lifestyle intervention on offspring obesity - a 5-year follow-up of a randomized controlled trial. A</w:t>
      </w:r>
      <w:r w:rsidRPr="004B77DE">
        <w:rPr>
          <w:rFonts w:ascii="Trebuchet MS" w:hAnsi="Trebuchet MS"/>
          <w:i/>
          <w:noProof/>
          <w:sz w:val="16"/>
          <w:szCs w:val="16"/>
        </w:rPr>
        <w:t>cta Obstetricia et Gynecologica Scandinavica.</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96</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1093</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328BE4AB"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557</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S</w:t>
      </w:r>
      <w:r w:rsidRPr="004B77DE">
        <w:rPr>
          <w:rFonts w:ascii="Trebuchet MS" w:hAnsi="Trebuchet MS"/>
          <w:noProof/>
          <w:sz w:val="16"/>
          <w:szCs w:val="16"/>
        </w:rPr>
        <w:t>agedal LR, Sanda B, Øverby NC et al. The effect of prenatal lifestyle intervention on weight retention 12 months postpartum: results of the Norwegian Fit for Delivery randomised controlled trial. B</w:t>
      </w:r>
      <w:r w:rsidRPr="004B77DE">
        <w:rPr>
          <w:rFonts w:ascii="Trebuchet MS" w:hAnsi="Trebuchet MS"/>
          <w:i/>
          <w:noProof/>
          <w:sz w:val="16"/>
          <w:szCs w:val="16"/>
        </w:rPr>
        <w:t>JOG: An International Journal of Obstetrics &amp; Gynaecology.</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2017;</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124</w:t>
      </w:r>
      <w:r w:rsidRPr="004B77DE">
        <w:rPr>
          <w:rFonts w:ascii="Trebuchet MS" w:hAnsi="Trebuchet MS"/>
          <w:noProof/>
          <w:sz w:val="16"/>
          <w:szCs w:val="16"/>
        </w:rPr>
        <w:t>(</w:t>
      </w:r>
      <w:r w:rsidRPr="004B77DE">
        <w:rPr>
          <w:rFonts w:ascii="Trebuchet MS" w:eastAsia="Calibri" w:hAnsi="Trebuchet MS" w:cs="Calibri"/>
          <w:noProof/>
          <w:sz w:val="16"/>
          <w:szCs w:val="16"/>
        </w:rPr>
        <w:t>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111</w:t>
      </w:r>
      <w:r w:rsidRPr="004B77DE">
        <w:rPr>
          <w:rFonts w:ascii="Trebuchet MS" w:hAnsi="Trebuchet MS"/>
          <w:noProof/>
          <w:sz w:val="16"/>
          <w:szCs w:val="16"/>
        </w:rPr>
        <w:t>-</w:t>
      </w:r>
      <w:r w:rsidRPr="004B77DE">
        <w:rPr>
          <w:rFonts w:ascii="Trebuchet MS" w:eastAsia="Calibri" w:hAnsi="Trebuchet MS" w:cs="Calibri"/>
          <w:noProof/>
          <w:sz w:val="16"/>
          <w:szCs w:val="16"/>
        </w:rPr>
        <w:t>21</w:t>
      </w:r>
      <w:r w:rsidRPr="004B77DE">
        <w:rPr>
          <w:rFonts w:ascii="Trebuchet MS" w:hAnsi="Trebuchet MS"/>
          <w:noProof/>
          <w:sz w:val="16"/>
          <w:szCs w:val="16"/>
        </w:rPr>
        <w:t>.</w:t>
      </w:r>
    </w:p>
    <w:p w14:paraId="6B648C1F"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558</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esco KK, Karanja N, King JC et al. Efficacy of a group-based dietary intervention for limiting gestational weight gain among obese women: a randomized trial. O</w:t>
      </w:r>
      <w:r w:rsidRPr="004B77DE">
        <w:rPr>
          <w:rFonts w:ascii="Trebuchet MS" w:hAnsi="Trebuchet MS"/>
          <w:i/>
          <w:noProof/>
          <w:sz w:val="16"/>
          <w:szCs w:val="16"/>
        </w:rPr>
        <w:t>besity (Silver Spring).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1989</w:t>
      </w:r>
      <w:r w:rsidRPr="004B77DE">
        <w:rPr>
          <w:rFonts w:ascii="Trebuchet MS" w:hAnsi="Trebuchet MS"/>
          <w:noProof/>
          <w:sz w:val="16"/>
          <w:szCs w:val="16"/>
        </w:rPr>
        <w:t>-</w:t>
      </w:r>
      <w:r w:rsidRPr="004B77DE">
        <w:rPr>
          <w:rFonts w:ascii="Trebuchet MS" w:eastAsia="Calibri" w:hAnsi="Trebuchet MS" w:cs="Calibri"/>
          <w:noProof/>
          <w:sz w:val="16"/>
          <w:szCs w:val="16"/>
        </w:rPr>
        <w:t>96</w:t>
      </w:r>
      <w:r w:rsidRPr="004B77DE">
        <w:rPr>
          <w:rFonts w:ascii="Trebuchet MS" w:hAnsi="Trebuchet MS"/>
          <w:noProof/>
          <w:sz w:val="16"/>
          <w:szCs w:val="16"/>
        </w:rPr>
        <w:t>.</w:t>
      </w:r>
    </w:p>
    <w:p w14:paraId="0F3F906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559</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esco KK, Leo MC, Karanja N et al. One-year postpartum outcomes following a weight management intervention in pregnant women with obesity. O</w:t>
      </w:r>
      <w:r w:rsidRPr="004B77DE">
        <w:rPr>
          <w:rFonts w:ascii="Trebuchet MS" w:hAnsi="Trebuchet MS"/>
          <w:i/>
          <w:noProof/>
          <w:sz w:val="16"/>
          <w:szCs w:val="16"/>
        </w:rPr>
        <w:t>besity (Silver Spring).</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2016;</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24</w:t>
      </w:r>
      <w:r w:rsidRPr="004B77DE">
        <w:rPr>
          <w:rFonts w:ascii="Trebuchet MS" w:hAnsi="Trebuchet MS"/>
          <w:noProof/>
          <w:sz w:val="16"/>
          <w:szCs w:val="16"/>
        </w:rPr>
        <w:t>(</w:t>
      </w:r>
      <w:r w:rsidRPr="004B77DE">
        <w:rPr>
          <w:rFonts w:ascii="Trebuchet MS" w:eastAsia="Calibri" w:hAnsi="Trebuchet MS" w:cs="Calibri"/>
          <w:noProof/>
          <w:sz w:val="16"/>
          <w:szCs w:val="16"/>
        </w:rPr>
        <w:t>10</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2042</w:t>
      </w:r>
      <w:r w:rsidRPr="004B77DE">
        <w:rPr>
          <w:rFonts w:ascii="Trebuchet MS" w:hAnsi="Trebuchet MS"/>
          <w:noProof/>
          <w:sz w:val="16"/>
          <w:szCs w:val="16"/>
        </w:rPr>
        <w:t>-</w:t>
      </w:r>
      <w:r w:rsidRPr="004B77DE">
        <w:rPr>
          <w:rFonts w:ascii="Trebuchet MS" w:eastAsia="Calibri" w:hAnsi="Trebuchet MS" w:cs="Calibri"/>
          <w:noProof/>
          <w:sz w:val="16"/>
          <w:szCs w:val="16"/>
        </w:rPr>
        <w:t>9</w:t>
      </w:r>
      <w:r w:rsidRPr="004B77DE">
        <w:rPr>
          <w:rFonts w:ascii="Trebuchet MS" w:hAnsi="Trebuchet MS"/>
          <w:noProof/>
          <w:sz w:val="16"/>
          <w:szCs w:val="16"/>
        </w:rPr>
        <w:t>.</w:t>
      </w:r>
    </w:p>
    <w:p w14:paraId="57906EA1"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560</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inter CA, Jørgensen JS, Ovesen P et al. Metabolic effects of lifestyle intervention in obese pregnant women. Results from the randomized controlled trial ‘Lifestyle in Pregnancy’ (LiP). D</w:t>
      </w:r>
      <w:r w:rsidRPr="004B77DE">
        <w:rPr>
          <w:rFonts w:ascii="Trebuchet MS" w:hAnsi="Trebuchet MS"/>
          <w:i/>
          <w:noProof/>
          <w:sz w:val="16"/>
          <w:szCs w:val="16"/>
        </w:rPr>
        <w:t>iabetic Medicine.</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31</w:t>
      </w:r>
      <w:r w:rsidRPr="004B77DE">
        <w:rPr>
          <w:rFonts w:ascii="Trebuchet MS" w:hAnsi="Trebuchet MS"/>
          <w:noProof/>
          <w:sz w:val="16"/>
          <w:szCs w:val="16"/>
        </w:rPr>
        <w:t>(</w:t>
      </w:r>
      <w:r w:rsidRPr="004B77DE">
        <w:rPr>
          <w:rFonts w:ascii="Trebuchet MS" w:eastAsia="Calibri" w:hAnsi="Trebuchet MS" w:cs="Calibri"/>
          <w:noProof/>
          <w:sz w:val="16"/>
          <w:szCs w:val="16"/>
        </w:rPr>
        <w:t>11</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1323</w:t>
      </w:r>
      <w:r w:rsidRPr="004B77DE">
        <w:rPr>
          <w:rFonts w:ascii="Trebuchet MS" w:hAnsi="Trebuchet MS"/>
          <w:noProof/>
          <w:sz w:val="16"/>
          <w:szCs w:val="16"/>
        </w:rPr>
        <w:t>-</w:t>
      </w:r>
      <w:r w:rsidRPr="004B77DE">
        <w:rPr>
          <w:rFonts w:ascii="Trebuchet MS" w:eastAsia="Calibri" w:hAnsi="Trebuchet MS" w:cs="Calibri"/>
          <w:noProof/>
          <w:sz w:val="16"/>
          <w:szCs w:val="16"/>
        </w:rPr>
        <w:t>30</w:t>
      </w:r>
      <w:r w:rsidRPr="004B77DE">
        <w:rPr>
          <w:rFonts w:ascii="Trebuchet MS" w:hAnsi="Trebuchet MS"/>
          <w:noProof/>
          <w:sz w:val="16"/>
          <w:szCs w:val="16"/>
        </w:rPr>
        <w:t>.</w:t>
      </w:r>
    </w:p>
    <w:p w14:paraId="30826CB5" w14:textId="77777777" w:rsidR="001A2F28" w:rsidRPr="004B77DE" w:rsidRDefault="001A2F28" w:rsidP="00FA05B8">
      <w:pPr>
        <w:pStyle w:val="EndNoteBibliography"/>
        <w:spacing w:after="0"/>
        <w:ind w:left="567" w:hanging="567"/>
        <w:rPr>
          <w:rFonts w:ascii="Trebuchet MS" w:hAnsi="Trebuchet MS"/>
          <w:noProof/>
          <w:sz w:val="16"/>
          <w:szCs w:val="16"/>
        </w:rPr>
      </w:pPr>
      <w:r w:rsidRPr="004B77DE">
        <w:rPr>
          <w:rFonts w:ascii="Trebuchet MS" w:eastAsia="Calibri" w:hAnsi="Trebuchet MS" w:cs="Calibri"/>
          <w:noProof/>
          <w:sz w:val="16"/>
          <w:szCs w:val="16"/>
        </w:rPr>
        <w:t>561</w:t>
      </w:r>
      <w:r w:rsidRPr="004B77DE">
        <w:rPr>
          <w:rFonts w:ascii="Trebuchet MS" w:hAnsi="Trebuchet MS"/>
          <w:noProof/>
          <w:sz w:val="16"/>
          <w:szCs w:val="16"/>
        </w:rPr>
        <w:t>.</w:t>
      </w:r>
      <w:r w:rsidRPr="004B77DE">
        <w:rPr>
          <w:rFonts w:ascii="Trebuchet MS" w:hAnsi="Trebuchet MS"/>
          <w:noProof/>
          <w:sz w:val="16"/>
          <w:szCs w:val="16"/>
        </w:rPr>
        <w:tab/>
      </w:r>
      <w:r w:rsidRPr="004B77DE">
        <w:rPr>
          <w:rFonts w:ascii="Trebuchet MS" w:eastAsia="Calibri" w:hAnsi="Trebuchet MS" w:cs="Calibri"/>
          <w:noProof/>
          <w:sz w:val="16"/>
          <w:szCs w:val="16"/>
        </w:rPr>
        <w:t>V</w:t>
      </w:r>
      <w:r w:rsidRPr="004B77DE">
        <w:rPr>
          <w:rFonts w:ascii="Trebuchet MS" w:hAnsi="Trebuchet MS"/>
          <w:noProof/>
          <w:sz w:val="16"/>
          <w:szCs w:val="16"/>
        </w:rPr>
        <w:t>inter CA, Jensen DM, Ovesen P et al. Postpartum weight retention and breastfeeding among obese women from the randomized controlled Lifestyle in Pregnancy (LiP) trial. A</w:t>
      </w:r>
      <w:r w:rsidRPr="004B77DE">
        <w:rPr>
          <w:rFonts w:ascii="Trebuchet MS" w:hAnsi="Trebuchet MS"/>
          <w:i/>
          <w:noProof/>
          <w:sz w:val="16"/>
          <w:szCs w:val="16"/>
        </w:rPr>
        <w:t>cta Obstet Gynecol Scand.</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2014;</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93</w:t>
      </w:r>
      <w:r w:rsidRPr="004B77DE">
        <w:rPr>
          <w:rFonts w:ascii="Trebuchet MS" w:hAnsi="Trebuchet MS"/>
          <w:noProof/>
          <w:sz w:val="16"/>
          <w:szCs w:val="16"/>
        </w:rPr>
        <w:t>(</w:t>
      </w:r>
      <w:r w:rsidRPr="004B77DE">
        <w:rPr>
          <w:rFonts w:ascii="Trebuchet MS" w:eastAsia="Calibri" w:hAnsi="Trebuchet MS" w:cs="Calibri"/>
          <w:noProof/>
          <w:sz w:val="16"/>
          <w:szCs w:val="16"/>
        </w:rPr>
        <w:t>8</w:t>
      </w:r>
      <w:r w:rsidRPr="004B77DE">
        <w:rPr>
          <w:rFonts w:ascii="Trebuchet MS" w:hAnsi="Trebuchet MS"/>
          <w:noProof/>
          <w:sz w:val="16"/>
          <w:szCs w:val="16"/>
        </w:rPr>
        <w:t xml:space="preserve">): </w:t>
      </w:r>
      <w:r w:rsidRPr="004B77DE">
        <w:rPr>
          <w:rFonts w:ascii="Trebuchet MS" w:eastAsia="Calibri" w:hAnsi="Trebuchet MS" w:cs="Calibri"/>
          <w:noProof/>
          <w:sz w:val="16"/>
          <w:szCs w:val="16"/>
        </w:rPr>
        <w:t>794</w:t>
      </w:r>
      <w:r w:rsidRPr="004B77DE">
        <w:rPr>
          <w:rFonts w:ascii="Trebuchet MS" w:hAnsi="Trebuchet MS"/>
          <w:noProof/>
          <w:sz w:val="16"/>
          <w:szCs w:val="16"/>
        </w:rPr>
        <w:t>-</w:t>
      </w:r>
      <w:r w:rsidRPr="004B77DE">
        <w:rPr>
          <w:rFonts w:ascii="Trebuchet MS" w:eastAsia="Calibri" w:hAnsi="Trebuchet MS" w:cs="Calibri"/>
          <w:noProof/>
          <w:sz w:val="16"/>
          <w:szCs w:val="16"/>
        </w:rPr>
        <w:t>801</w:t>
      </w:r>
      <w:r w:rsidRPr="004B77DE">
        <w:rPr>
          <w:rFonts w:ascii="Trebuchet MS" w:hAnsi="Trebuchet MS"/>
          <w:noProof/>
          <w:sz w:val="16"/>
          <w:szCs w:val="16"/>
        </w:rPr>
        <w:t>.</w:t>
      </w:r>
    </w:p>
    <w:p w14:paraId="0FDB0D01" w14:textId="68E190F1" w:rsidR="00854907" w:rsidRPr="004B77DE" w:rsidRDefault="002F4F4F" w:rsidP="00FA05B8">
      <w:pPr>
        <w:ind w:left="567" w:hanging="567"/>
        <w:rPr>
          <w:sz w:val="16"/>
          <w:szCs w:val="16"/>
        </w:rPr>
      </w:pPr>
      <w:r w:rsidRPr="004B77DE">
        <w:rPr>
          <w:sz w:val="16"/>
          <w:szCs w:val="16"/>
        </w:rPr>
        <w:fldChar w:fldCharType="end"/>
      </w:r>
    </w:p>
    <w:sectPr w:rsidR="00854907" w:rsidRPr="004B77DE" w:rsidSect="008A6B17">
      <w:pgSz w:w="11901" w:h="16817"/>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DBDBFB" w14:textId="77777777" w:rsidR="00B90D66" w:rsidRDefault="00B90D66" w:rsidP="002B0675">
      <w:r>
        <w:separator/>
      </w:r>
    </w:p>
  </w:endnote>
  <w:endnote w:type="continuationSeparator" w:id="0">
    <w:p w14:paraId="1B26A5A7" w14:textId="77777777" w:rsidR="00B90D66" w:rsidRDefault="00B90D66" w:rsidP="002B0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l Bayan">
    <w:charset w:val="B2"/>
    <w:family w:val="auto"/>
    <w:pitch w:val="variable"/>
    <w:sig w:usb0="00002001" w:usb1="00000000" w:usb2="00000008" w:usb3="00000000" w:csb0="0000004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Mincho">
    <w:charset w:val="80"/>
    <w:family w:val="auto"/>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auto"/>
    <w:pitch w:val="variable"/>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alatino">
    <w:charset w:val="00"/>
    <w:family w:val="auto"/>
    <w:pitch w:val="variable"/>
    <w:sig w:usb0="A00002FF" w:usb1="7800205A" w:usb2="14600000" w:usb3="00000000" w:csb0="00000193" w:csb1="00000000"/>
  </w:font>
  <w:font w:name="Wingdings 2">
    <w:panose1 w:val="05020102010507070707"/>
    <w:charset w:val="02"/>
    <w:family w:val="roman"/>
    <w:pitch w:val="variable"/>
    <w:sig w:usb0="00000000" w:usb1="10000000" w:usb2="00000000" w:usb3="00000000" w:csb0="80000000" w:csb1="00000000"/>
  </w:font>
  <w:font w:name="TimesNewRomanPS-BoldMT">
    <w:altName w:val="Times New Roman"/>
    <w:charset w:val="00"/>
    <w:family w:val="auto"/>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Lucida Grande">
    <w:altName w:val="Arial"/>
    <w:charset w:val="00"/>
    <w:family w:val="auto"/>
    <w:pitch w:val="variable"/>
    <w:sig w:usb0="00000000" w:usb1="5000A1FF" w:usb2="00000000" w:usb3="00000000" w:csb0="000001BF" w:csb1="00000000"/>
  </w:font>
  <w:font w:name="Gill Sans">
    <w:altName w:val="Segoe UI"/>
    <w:charset w:val="00"/>
    <w:family w:val="auto"/>
    <w:pitch w:val="variable"/>
    <w:sig w:usb0="00000000" w:usb1="00000000" w:usb2="00000000" w:usb3="00000000" w:csb0="000001F7" w:csb1="00000000"/>
  </w:font>
  <w:font w:name="AGaramond-Regular">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59AEC" w14:textId="77777777" w:rsidR="00B90D66" w:rsidRDefault="00B90D66" w:rsidP="00D5613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5A53616" w14:textId="77777777" w:rsidR="00B90D66" w:rsidRDefault="00B90D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FCC08" w14:textId="0FC1D538" w:rsidR="00B90D66" w:rsidRPr="002E6894" w:rsidRDefault="00B90D66" w:rsidP="002B0675">
    <w:pPr>
      <w:pStyle w:val="Footer"/>
      <w:jc w:val="center"/>
      <w:rPr>
        <w:sz w:val="16"/>
        <w:szCs w:val="16"/>
      </w:rPr>
    </w:pPr>
    <w:r w:rsidRPr="002E6894">
      <w:rPr>
        <w:rStyle w:val="PageNumber"/>
        <w:sz w:val="16"/>
        <w:szCs w:val="16"/>
      </w:rPr>
      <w:fldChar w:fldCharType="begin"/>
    </w:r>
    <w:r w:rsidRPr="002E6894">
      <w:rPr>
        <w:rStyle w:val="PageNumber"/>
        <w:sz w:val="16"/>
        <w:szCs w:val="16"/>
      </w:rPr>
      <w:instrText xml:space="preserve">PAGE  </w:instrText>
    </w:r>
    <w:r w:rsidRPr="002E6894">
      <w:rPr>
        <w:rStyle w:val="PageNumber"/>
        <w:sz w:val="16"/>
        <w:szCs w:val="16"/>
      </w:rPr>
      <w:fldChar w:fldCharType="separate"/>
    </w:r>
    <w:r w:rsidR="009A478E">
      <w:rPr>
        <w:rStyle w:val="PageNumber"/>
        <w:noProof/>
        <w:sz w:val="16"/>
        <w:szCs w:val="16"/>
      </w:rPr>
      <w:t>367</w:t>
    </w:r>
    <w:r w:rsidRPr="002E6894">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59A29A" w14:textId="77777777" w:rsidR="00B90D66" w:rsidRDefault="00B90D66" w:rsidP="002B0675">
      <w:r>
        <w:separator/>
      </w:r>
    </w:p>
  </w:footnote>
  <w:footnote w:type="continuationSeparator" w:id="0">
    <w:p w14:paraId="123A865B" w14:textId="77777777" w:rsidR="00B90D66" w:rsidRDefault="00B90D66" w:rsidP="002B0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8D824" w14:textId="03376DAB" w:rsidR="00B90D66" w:rsidRDefault="00B90D66">
    <w:pPr>
      <w:pStyle w:val="Header"/>
    </w:pPr>
    <w:r>
      <w:rPr>
        <w:noProof/>
      </w:rPr>
      <w:pict w14:anchorId="36B971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85.75pt;height:53.25pt;rotation:315;z-index:-251655168;mso-position-horizontal:center;mso-position-horizontal-relative:margin;mso-position-vertical:center;mso-position-vertical-relative:margin" o:allowincell="f" fillcolor="#d8d8d8 [2732]" stroked="f">
          <v:textpath style="font-family:&quot;Trebuchet MS&quot;;font-size:1pt" string="CONSULTATION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EFEC5" w14:textId="0517BD36" w:rsidR="00B90D66" w:rsidRDefault="00B90D66">
    <w:pPr>
      <w:pStyle w:val="Header"/>
    </w:pPr>
    <w:r>
      <w:rPr>
        <w:noProof/>
      </w:rPr>
      <w:pict w14:anchorId="691927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585.75pt;height:53.25pt;rotation:315;z-index:-251657216;mso-position-horizontal:center;mso-position-horizontal-relative:margin;mso-position-vertical:center;mso-position-vertical-relative:margin" o:allowincell="f" fillcolor="#d8d8d8 [2732]" stroked="f">
          <v:textpath style="font-family:&quot;Trebuchet MS&quot;;font-size:1pt" string="CONSULTATION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98F58" w14:textId="1D92CF0D" w:rsidR="00B90D66" w:rsidRDefault="00B90D66">
    <w:pPr>
      <w:pStyle w:val="Header"/>
    </w:pPr>
    <w:r>
      <w:rPr>
        <w:noProof/>
      </w:rPr>
      <w:pict w14:anchorId="61A54D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85.75pt;height:53.25pt;rotation:315;z-index:-251653120;mso-position-horizontal:center;mso-position-horizontal-relative:margin;mso-position-vertical:center;mso-position-vertical-relative:margin" o:allowincell="f" fillcolor="#d8d8d8 [2732]" stroked="f">
          <v:textpath style="font-family:&quot;Trebuchet MS&quot;;font-size:1pt" string="CONSULTATION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D1820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A201FB"/>
    <w:multiLevelType w:val="hybridMultilevel"/>
    <w:tmpl w:val="32986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FB29E2"/>
    <w:multiLevelType w:val="hybridMultilevel"/>
    <w:tmpl w:val="EDF436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F81067"/>
    <w:multiLevelType w:val="hybridMultilevel"/>
    <w:tmpl w:val="0A98B1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2A6CEC"/>
    <w:multiLevelType w:val="hybridMultilevel"/>
    <w:tmpl w:val="F7262E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B11318"/>
    <w:multiLevelType w:val="hybridMultilevel"/>
    <w:tmpl w:val="813EB7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FF4A38"/>
    <w:multiLevelType w:val="hybridMultilevel"/>
    <w:tmpl w:val="DB8E9A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76E6DF3"/>
    <w:multiLevelType w:val="hybridMultilevel"/>
    <w:tmpl w:val="FD58D3E6"/>
    <w:lvl w:ilvl="0" w:tplc="C6E60BE2">
      <w:start w:val="1"/>
      <w:numFmt w:val="lowerLetter"/>
      <w:lvlText w:val="%1"/>
      <w:lvlJc w:val="left"/>
      <w:pPr>
        <w:ind w:left="360" w:hanging="360"/>
      </w:pPr>
      <w:rPr>
        <w:rFonts w:ascii="Century Gothic" w:hAnsi="Century Gothic" w:hint="default"/>
        <w:b/>
        <w:i w:val="0"/>
        <w:color w:val="auto"/>
        <w:sz w:val="18"/>
      </w:rPr>
    </w:lvl>
    <w:lvl w:ilvl="1" w:tplc="04090019">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15:restartNumberingAfterBreak="0">
    <w:nsid w:val="29B9497B"/>
    <w:multiLevelType w:val="hybridMultilevel"/>
    <w:tmpl w:val="49B06C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C27EF7"/>
    <w:multiLevelType w:val="hybridMultilevel"/>
    <w:tmpl w:val="99B40F76"/>
    <w:lvl w:ilvl="0" w:tplc="93D49150">
      <w:start w:val="1"/>
      <w:numFmt w:val="bullet"/>
      <w:pStyle w:val="bullet"/>
      <w:lvlText w:val="•"/>
      <w:lvlJc w:val="left"/>
      <w:pPr>
        <w:ind w:left="360" w:hanging="360"/>
      </w:pPr>
      <w:rPr>
        <w:rFonts w:ascii="Century Gothic" w:hAnsi="Century Gothic" w:hint="default"/>
        <w:color w:val="auto"/>
        <w:sz w:val="18"/>
      </w:rPr>
    </w:lvl>
    <w:lvl w:ilvl="1" w:tplc="04090003">
      <w:numFmt w:val="bullet"/>
      <w:lvlText w:val="–"/>
      <w:lvlJc w:val="left"/>
      <w:pPr>
        <w:tabs>
          <w:tab w:val="num" w:pos="1440"/>
        </w:tabs>
        <w:ind w:left="1440" w:hanging="360"/>
      </w:pPr>
      <w:rPr>
        <w:rFonts w:ascii="Century Schoolbook" w:eastAsia="Times New Roman" w:hAnsi="Century Schoolbook" w:hint="default"/>
        <w:color w:val="666699"/>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3F225F"/>
    <w:multiLevelType w:val="hybridMultilevel"/>
    <w:tmpl w:val="68423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2F09E1"/>
    <w:multiLevelType w:val="hybridMultilevel"/>
    <w:tmpl w:val="1492ADD6"/>
    <w:lvl w:ilvl="0" w:tplc="16F4FBE4">
      <w:start w:val="1"/>
      <w:numFmt w:val="decimal"/>
      <w:lvlText w:val="%1."/>
      <w:lvlJc w:val="left"/>
      <w:pPr>
        <w:ind w:left="1080" w:hanging="720"/>
      </w:pPr>
      <w:rPr>
        <w:rFonts w:ascii="Al Bayan" w:hAnsi="Al Bayan"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DC5D7D"/>
    <w:multiLevelType w:val="hybridMultilevel"/>
    <w:tmpl w:val="AB267CB2"/>
    <w:lvl w:ilvl="0" w:tplc="00000003">
      <w:start w:val="1"/>
      <w:numFmt w:val="bullet"/>
      <w:pStyle w:val="DHSBulletText"/>
      <w:lvlText w:val=""/>
      <w:lvlJc w:val="left"/>
      <w:pPr>
        <w:tabs>
          <w:tab w:val="num" w:pos="360"/>
        </w:tabs>
        <w:ind w:left="142" w:hanging="142"/>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6864847"/>
    <w:multiLevelType w:val="hybridMultilevel"/>
    <w:tmpl w:val="E138D7D6"/>
    <w:lvl w:ilvl="0" w:tplc="9468D7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EC12AA"/>
    <w:multiLevelType w:val="hybridMultilevel"/>
    <w:tmpl w:val="5BA08136"/>
    <w:lvl w:ilvl="0" w:tplc="71CC1A0C">
      <w:start w:val="1"/>
      <w:numFmt w:val="bullet"/>
      <w:pStyle w:val="sub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58404E"/>
    <w:multiLevelType w:val="hybridMultilevel"/>
    <w:tmpl w:val="3EB2BA26"/>
    <w:lvl w:ilvl="0" w:tplc="B95C770C">
      <w:start w:val="1"/>
      <w:numFmt w:val="upperRoman"/>
      <w:lvlText w:val="%1."/>
      <w:lvlJc w:val="left"/>
      <w:pPr>
        <w:ind w:left="720" w:hanging="18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D00A2F"/>
    <w:multiLevelType w:val="multilevel"/>
    <w:tmpl w:val="B67AFCDE"/>
    <w:styleLink w:val="Headings"/>
    <w:lvl w:ilvl="0">
      <w:start w:val="1"/>
      <w:numFmt w:val="decimal"/>
      <w:lvlText w:val="C%1"/>
      <w:lvlJc w:val="left"/>
      <w:pPr>
        <w:ind w:left="0" w:firstLine="0"/>
      </w:pPr>
      <w:rPr>
        <w:rFonts w:hint="default"/>
      </w:rPr>
    </w:lvl>
    <w:lvl w:ilvl="1">
      <w:start w:val="1"/>
      <w:numFmt w:val="decimal"/>
      <w:lvlText w:val="C%1.%2"/>
      <w:lvlJc w:val="left"/>
      <w:pPr>
        <w:ind w:left="0" w:firstLine="0"/>
      </w:pPr>
      <w:rPr>
        <w:rFonts w:hint="default"/>
      </w:rPr>
    </w:lvl>
    <w:lvl w:ilvl="2">
      <w:start w:val="1"/>
      <w:numFmt w:val="decimal"/>
      <w:lvlText w:val="C%1.%2.%3"/>
      <w:lvlJc w:val="left"/>
      <w:pPr>
        <w:ind w:left="0" w:firstLine="0"/>
      </w:pPr>
      <w:rPr>
        <w:rFonts w:hint="default"/>
      </w:rPr>
    </w:lvl>
    <w:lvl w:ilvl="3">
      <w:start w:val="1"/>
      <w:numFmt w:val="decimal"/>
      <w:lvlText w:val="C%1.%2.%3.%4"/>
      <w:lvlJc w:val="left"/>
      <w:pPr>
        <w:ind w:left="0" w:firstLine="0"/>
      </w:pPr>
      <w:rPr>
        <w:rFonts w:hint="default"/>
      </w:rPr>
    </w:lvl>
    <w:lvl w:ilvl="4">
      <w:start w:val="1"/>
      <w:numFmt w:val="decimal"/>
      <w:lvlText w:val="D%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8951F28"/>
    <w:multiLevelType w:val="hybridMultilevel"/>
    <w:tmpl w:val="E7C4F754"/>
    <w:lvl w:ilvl="0" w:tplc="9468D7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F77457"/>
    <w:multiLevelType w:val="hybridMultilevel"/>
    <w:tmpl w:val="19FE9C4E"/>
    <w:lvl w:ilvl="0" w:tplc="C8948D38">
      <w:start w:val="9"/>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13418D"/>
    <w:multiLevelType w:val="hybridMultilevel"/>
    <w:tmpl w:val="FE886D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0F6C3D"/>
    <w:multiLevelType w:val="hybridMultilevel"/>
    <w:tmpl w:val="B0BA7A86"/>
    <w:lvl w:ilvl="0" w:tplc="9468D7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DC81D9C"/>
    <w:multiLevelType w:val="hybridMultilevel"/>
    <w:tmpl w:val="A112D248"/>
    <w:lvl w:ilvl="0" w:tplc="8D38400C">
      <w:start w:val="1"/>
      <w:numFmt w:val="decimal"/>
      <w:pStyle w:val="TableName"/>
      <w:lvlText w:val="Table %1:"/>
      <w:lvlJc w:val="left"/>
      <w:pPr>
        <w:tabs>
          <w:tab w:val="num" w:pos="1419"/>
        </w:tabs>
        <w:ind w:left="1288"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9C7B09"/>
    <w:multiLevelType w:val="hybridMultilevel"/>
    <w:tmpl w:val="C22C9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836AC7"/>
    <w:multiLevelType w:val="hybridMultilevel"/>
    <w:tmpl w:val="67D84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5961A7"/>
    <w:multiLevelType w:val="multilevel"/>
    <w:tmpl w:val="664E30E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73D44FB1"/>
    <w:multiLevelType w:val="hybridMultilevel"/>
    <w:tmpl w:val="188E8212"/>
    <w:lvl w:ilvl="0" w:tplc="9468D7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801601"/>
    <w:multiLevelType w:val="hybridMultilevel"/>
    <w:tmpl w:val="6380C0C8"/>
    <w:lvl w:ilvl="0" w:tplc="6DB66CCC">
      <w:start w:val="1"/>
      <w:numFmt w:val="bullet"/>
      <w:pStyle w:val="Sub-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C222C6"/>
    <w:multiLevelType w:val="hybridMultilevel"/>
    <w:tmpl w:val="C1F8F344"/>
    <w:lvl w:ilvl="0" w:tplc="B7A843EA">
      <w:start w:val="1"/>
      <w:numFmt w:val="decimal"/>
      <w:lvlText w:val="%1."/>
      <w:lvlJc w:val="left"/>
      <w:pPr>
        <w:ind w:left="1080" w:hanging="72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551B9D"/>
    <w:multiLevelType w:val="hybridMultilevel"/>
    <w:tmpl w:val="0212E2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4"/>
  </w:num>
  <w:num w:numId="3">
    <w:abstractNumId w:val="26"/>
  </w:num>
  <w:num w:numId="4">
    <w:abstractNumId w:val="16"/>
  </w:num>
  <w:num w:numId="5">
    <w:abstractNumId w:val="12"/>
  </w:num>
  <w:num w:numId="6">
    <w:abstractNumId w:val="14"/>
  </w:num>
  <w:num w:numId="7">
    <w:abstractNumId w:val="21"/>
  </w:num>
  <w:num w:numId="8">
    <w:abstractNumId w:val="15"/>
  </w:num>
  <w:num w:numId="9">
    <w:abstractNumId w:val="0"/>
  </w:num>
  <w:num w:numId="10">
    <w:abstractNumId w:val="4"/>
  </w:num>
  <w:num w:numId="11">
    <w:abstractNumId w:val="2"/>
  </w:num>
  <w:num w:numId="12">
    <w:abstractNumId w:val="5"/>
  </w:num>
  <w:num w:numId="13">
    <w:abstractNumId w:val="27"/>
  </w:num>
  <w:num w:numId="14">
    <w:abstractNumId w:val="3"/>
  </w:num>
  <w:num w:numId="15">
    <w:abstractNumId w:val="28"/>
  </w:num>
  <w:num w:numId="16">
    <w:abstractNumId w:val="8"/>
  </w:num>
  <w:num w:numId="17">
    <w:abstractNumId w:val="22"/>
  </w:num>
  <w:num w:numId="18">
    <w:abstractNumId w:val="23"/>
  </w:num>
  <w:num w:numId="19">
    <w:abstractNumId w:val="13"/>
  </w:num>
  <w:num w:numId="20">
    <w:abstractNumId w:val="25"/>
  </w:num>
  <w:num w:numId="21">
    <w:abstractNumId w:val="20"/>
  </w:num>
  <w:num w:numId="22">
    <w:abstractNumId w:val="17"/>
  </w:num>
  <w:num w:numId="23">
    <w:abstractNumId w:val="11"/>
  </w:num>
  <w:num w:numId="24">
    <w:abstractNumId w:val="21"/>
  </w:num>
  <w:num w:numId="25">
    <w:abstractNumId w:val="18"/>
  </w:num>
  <w:num w:numId="26">
    <w:abstractNumId w:val="10"/>
  </w:num>
  <w:num w:numId="27">
    <w:abstractNumId w:val="6"/>
  </w:num>
  <w:num w:numId="28">
    <w:abstractNumId w:val="19"/>
  </w:num>
  <w:num w:numId="29">
    <w:abstractNumId w:val="1"/>
  </w:num>
  <w:num w:numId="3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Al Bayan&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vasrfx2dtraoesasxp2szsxa2df502592x&quot;&gt;Antenatal 2017 review library&lt;record-ids&gt;&lt;item&gt;564&lt;/item&gt;&lt;item&gt;566&lt;/item&gt;&lt;item&gt;567&lt;/item&gt;&lt;item&gt;570&lt;/item&gt;&lt;item&gt;572&lt;/item&gt;&lt;item&gt;573&lt;/item&gt;&lt;item&gt;579&lt;/item&gt;&lt;item&gt;581&lt;/item&gt;&lt;item&gt;583&lt;/item&gt;&lt;item&gt;585&lt;/item&gt;&lt;item&gt;588&lt;/item&gt;&lt;item&gt;590&lt;/item&gt;&lt;item&gt;605&lt;/item&gt;&lt;item&gt;607&lt;/item&gt;&lt;item&gt;609&lt;/item&gt;&lt;item&gt;610&lt;/item&gt;&lt;item&gt;612&lt;/item&gt;&lt;item&gt;630&lt;/item&gt;&lt;item&gt;631&lt;/item&gt;&lt;item&gt;632&lt;/item&gt;&lt;item&gt;633&lt;/item&gt;&lt;item&gt;635&lt;/item&gt;&lt;item&gt;636&lt;/item&gt;&lt;item&gt;638&lt;/item&gt;&lt;item&gt;652&lt;/item&gt;&lt;item&gt;665&lt;/item&gt;&lt;item&gt;666&lt;/item&gt;&lt;item&gt;667&lt;/item&gt;&lt;item&gt;668&lt;/item&gt;&lt;item&gt;669&lt;/item&gt;&lt;item&gt;670&lt;/item&gt;&lt;item&gt;671&lt;/item&gt;&lt;item&gt;673&lt;/item&gt;&lt;item&gt;674&lt;/item&gt;&lt;item&gt;675&lt;/item&gt;&lt;item&gt;676&lt;/item&gt;&lt;item&gt;677&lt;/item&gt;&lt;item&gt;679&lt;/item&gt;&lt;item&gt;684&lt;/item&gt;&lt;item&gt;685&lt;/item&gt;&lt;item&gt;686&lt;/item&gt;&lt;item&gt;687&lt;/item&gt;&lt;item&gt;688&lt;/item&gt;&lt;item&gt;689&lt;/item&gt;&lt;item&gt;691&lt;/item&gt;&lt;item&gt;692&lt;/item&gt;&lt;item&gt;693&lt;/item&gt;&lt;item&gt;696&lt;/item&gt;&lt;item&gt;697&lt;/item&gt;&lt;item&gt;699&lt;/item&gt;&lt;item&gt;702&lt;/item&gt;&lt;item&gt;704&lt;/item&gt;&lt;item&gt;705&lt;/item&gt;&lt;item&gt;706&lt;/item&gt;&lt;item&gt;707&lt;/item&gt;&lt;item&gt;709&lt;/item&gt;&lt;item&gt;710&lt;/item&gt;&lt;item&gt;711&lt;/item&gt;&lt;item&gt;712&lt;/item&gt;&lt;item&gt;713&lt;/item&gt;&lt;item&gt;718&lt;/item&gt;&lt;item&gt;722&lt;/item&gt;&lt;item&gt;723&lt;/item&gt;&lt;item&gt;726&lt;/item&gt;&lt;item&gt;728&lt;/item&gt;&lt;item&gt;729&lt;/item&gt;&lt;item&gt;730&lt;/item&gt;&lt;item&gt;733&lt;/item&gt;&lt;item&gt;734&lt;/item&gt;&lt;item&gt;735&lt;/item&gt;&lt;item&gt;740&lt;/item&gt;&lt;item&gt;742&lt;/item&gt;&lt;item&gt;744&lt;/item&gt;&lt;item&gt;748&lt;/item&gt;&lt;item&gt;750&lt;/item&gt;&lt;item&gt;751&lt;/item&gt;&lt;item&gt;752&lt;/item&gt;&lt;item&gt;753&lt;/item&gt;&lt;item&gt;754&lt;/item&gt;&lt;item&gt;755&lt;/item&gt;&lt;item&gt;760&lt;/item&gt;&lt;item&gt;763&lt;/item&gt;&lt;item&gt;765&lt;/item&gt;&lt;item&gt;769&lt;/item&gt;&lt;item&gt;771&lt;/item&gt;&lt;item&gt;774&lt;/item&gt;&lt;item&gt;789&lt;/item&gt;&lt;item&gt;799&lt;/item&gt;&lt;item&gt;806&lt;/item&gt;&lt;item&gt;809&lt;/item&gt;&lt;item&gt;815&lt;/item&gt;&lt;item&gt;827&lt;/item&gt;&lt;item&gt;835&lt;/item&gt;&lt;item&gt;839&lt;/item&gt;&lt;item&gt;840&lt;/item&gt;&lt;item&gt;843&lt;/item&gt;&lt;item&gt;851&lt;/item&gt;&lt;item&gt;866&lt;/item&gt;&lt;item&gt;870&lt;/item&gt;&lt;item&gt;880&lt;/item&gt;&lt;item&gt;882&lt;/item&gt;&lt;item&gt;885&lt;/item&gt;&lt;item&gt;886&lt;/item&gt;&lt;item&gt;890&lt;/item&gt;&lt;item&gt;891&lt;/item&gt;&lt;item&gt;901&lt;/item&gt;&lt;item&gt;905&lt;/item&gt;&lt;item&gt;911&lt;/item&gt;&lt;item&gt;924&lt;/item&gt;&lt;item&gt;925&lt;/item&gt;&lt;item&gt;929&lt;/item&gt;&lt;item&gt;930&lt;/item&gt;&lt;item&gt;931&lt;/item&gt;&lt;item&gt;932&lt;/item&gt;&lt;item&gt;933&lt;/item&gt;&lt;item&gt;937&lt;/item&gt;&lt;item&gt;941&lt;/item&gt;&lt;item&gt;942&lt;/item&gt;&lt;item&gt;945&lt;/item&gt;&lt;item&gt;963&lt;/item&gt;&lt;item&gt;965&lt;/item&gt;&lt;item&gt;1010&lt;/item&gt;&lt;item&gt;1016&lt;/item&gt;&lt;item&gt;1023&lt;/item&gt;&lt;item&gt;1027&lt;/item&gt;&lt;item&gt;1040&lt;/item&gt;&lt;item&gt;1047&lt;/item&gt;&lt;item&gt;1057&lt;/item&gt;&lt;item&gt;1060&lt;/item&gt;&lt;item&gt;1066&lt;/item&gt;&lt;item&gt;1071&lt;/item&gt;&lt;item&gt;1074&lt;/item&gt;&lt;item&gt;1075&lt;/item&gt;&lt;item&gt;1079&lt;/item&gt;&lt;item&gt;1080&lt;/item&gt;&lt;item&gt;1083&lt;/item&gt;&lt;item&gt;1084&lt;/item&gt;&lt;item&gt;1091&lt;/item&gt;&lt;item&gt;1096&lt;/item&gt;&lt;item&gt;1097&lt;/item&gt;&lt;item&gt;1098&lt;/item&gt;&lt;item&gt;1105&lt;/item&gt;&lt;item&gt;1109&lt;/item&gt;&lt;item&gt;1111&lt;/item&gt;&lt;item&gt;1115&lt;/item&gt;&lt;item&gt;1122&lt;/item&gt;&lt;item&gt;1130&lt;/item&gt;&lt;item&gt;1137&lt;/item&gt;&lt;item&gt;1138&lt;/item&gt;&lt;item&gt;1141&lt;/item&gt;&lt;item&gt;1146&lt;/item&gt;&lt;item&gt;1148&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5&lt;/item&gt;&lt;item&gt;1206&lt;/item&gt;&lt;item&gt;1209&lt;/item&gt;&lt;item&gt;1211&lt;/item&gt;&lt;item&gt;1213&lt;/item&gt;&lt;item&gt;1214&lt;/item&gt;&lt;item&gt;1218&lt;/item&gt;&lt;item&gt;1219&lt;/item&gt;&lt;item&gt;1220&lt;/item&gt;&lt;item&gt;1221&lt;/item&gt;&lt;item&gt;1226&lt;/item&gt;&lt;item&gt;1228&lt;/item&gt;&lt;item&gt;1229&lt;/item&gt;&lt;item&gt;1231&lt;/item&gt;&lt;item&gt;1237&lt;/item&gt;&lt;item&gt;1242&lt;/item&gt;&lt;item&gt;1246&lt;/item&gt;&lt;item&gt;1247&lt;/item&gt;&lt;item&gt;1250&lt;/item&gt;&lt;item&gt;1254&lt;/item&gt;&lt;item&gt;1266&lt;/item&gt;&lt;item&gt;1271&lt;/item&gt;&lt;item&gt;1272&lt;/item&gt;&lt;item&gt;1273&lt;/item&gt;&lt;item&gt;1274&lt;/item&gt;&lt;item&gt;1276&lt;/item&gt;&lt;item&gt;1281&lt;/item&gt;&lt;item&gt;1282&lt;/item&gt;&lt;item&gt;1283&lt;/item&gt;&lt;item&gt;1284&lt;/item&gt;&lt;item&gt;1289&lt;/item&gt;&lt;item&gt;1293&lt;/item&gt;&lt;item&gt;1294&lt;/item&gt;&lt;item&gt;1295&lt;/item&gt;&lt;item&gt;1302&lt;/item&gt;&lt;item&gt;1305&lt;/item&gt;&lt;item&gt;1306&lt;/item&gt;&lt;item&gt;1311&lt;/item&gt;&lt;item&gt;1316&lt;/item&gt;&lt;item&gt;1318&lt;/item&gt;&lt;item&gt;1320&lt;/item&gt;&lt;item&gt;1321&lt;/item&gt;&lt;item&gt;1323&lt;/item&gt;&lt;item&gt;1324&lt;/item&gt;&lt;item&gt;1326&lt;/item&gt;&lt;item&gt;1327&lt;/item&gt;&lt;item&gt;1328&lt;/item&gt;&lt;item&gt;1329&lt;/item&gt;&lt;item&gt;1330&lt;/item&gt;&lt;item&gt;1331&lt;/item&gt;&lt;item&gt;1332&lt;/item&gt;&lt;item&gt;1333&lt;/item&gt;&lt;item&gt;1335&lt;/item&gt;&lt;item&gt;1337&lt;/item&gt;&lt;item&gt;1338&lt;/item&gt;&lt;item&gt;1339&lt;/item&gt;&lt;item&gt;1340&lt;/item&gt;&lt;item&gt;1341&lt;/item&gt;&lt;item&gt;1344&lt;/item&gt;&lt;item&gt;1345&lt;/item&gt;&lt;item&gt;1347&lt;/item&gt;&lt;item&gt;1348&lt;/item&gt;&lt;item&gt;1349&lt;/item&gt;&lt;item&gt;1350&lt;/item&gt;&lt;item&gt;1351&lt;/item&gt;&lt;item&gt;1352&lt;/item&gt;&lt;item&gt;1353&lt;/item&gt;&lt;item&gt;1354&lt;/item&gt;&lt;item&gt;1355&lt;/item&gt;&lt;item&gt;1356&lt;/item&gt;&lt;item&gt;1358&lt;/item&gt;&lt;item&gt;1359&lt;/item&gt;&lt;item&gt;1360&lt;/item&gt;&lt;item&gt;1361&lt;/item&gt;&lt;item&gt;1362&lt;/item&gt;&lt;item&gt;1363&lt;/item&gt;&lt;item&gt;1365&lt;/item&gt;&lt;item&gt;1366&lt;/item&gt;&lt;item&gt;1367&lt;/item&gt;&lt;item&gt;1368&lt;/item&gt;&lt;item&gt;1370&lt;/item&gt;&lt;item&gt;1371&lt;/item&gt;&lt;item&gt;1373&lt;/item&gt;&lt;item&gt;1374&lt;/item&gt;&lt;item&gt;1375&lt;/item&gt;&lt;item&gt;1376&lt;/item&gt;&lt;item&gt;1377&lt;/item&gt;&lt;item&gt;1379&lt;/item&gt;&lt;item&gt;1380&lt;/item&gt;&lt;item&gt;1381&lt;/item&gt;&lt;item&gt;1382&lt;/item&gt;&lt;item&gt;1386&lt;/item&gt;&lt;item&gt;1387&lt;/item&gt;&lt;item&gt;1389&lt;/item&gt;&lt;item&gt;1390&lt;/item&gt;&lt;item&gt;1392&lt;/item&gt;&lt;item&gt;1394&lt;/item&gt;&lt;item&gt;1399&lt;/item&gt;&lt;item&gt;1400&lt;/item&gt;&lt;item&gt;1401&lt;/item&gt;&lt;item&gt;1404&lt;/item&gt;&lt;item&gt;1407&lt;/item&gt;&lt;item&gt;1410&lt;/item&gt;&lt;item&gt;1412&lt;/item&gt;&lt;item&gt;1414&lt;/item&gt;&lt;item&gt;1415&lt;/item&gt;&lt;item&gt;1416&lt;/item&gt;&lt;item&gt;1418&lt;/item&gt;&lt;item&gt;1420&lt;/item&gt;&lt;item&gt;1424&lt;/item&gt;&lt;item&gt;1425&lt;/item&gt;&lt;item&gt;1427&lt;/item&gt;&lt;item&gt;1428&lt;/item&gt;&lt;item&gt;1430&lt;/item&gt;&lt;item&gt;1432&lt;/item&gt;&lt;item&gt;1434&lt;/item&gt;&lt;item&gt;1435&lt;/item&gt;&lt;item&gt;1436&lt;/item&gt;&lt;item&gt;1437&lt;/item&gt;&lt;item&gt;1438&lt;/item&gt;&lt;item&gt;1440&lt;/item&gt;&lt;item&gt;1441&lt;/item&gt;&lt;item&gt;1443&lt;/item&gt;&lt;item&gt;1444&lt;/item&gt;&lt;item&gt;1448&lt;/item&gt;&lt;item&gt;1449&lt;/item&gt;&lt;item&gt;1450&lt;/item&gt;&lt;item&gt;1452&lt;/item&gt;&lt;item&gt;1453&lt;/item&gt;&lt;item&gt;1454&lt;/item&gt;&lt;item&gt;1455&lt;/item&gt;&lt;item&gt;1456&lt;/item&gt;&lt;item&gt;1459&lt;/item&gt;&lt;item&gt;1460&lt;/item&gt;&lt;item&gt;1462&lt;/item&gt;&lt;item&gt;1463&lt;/item&gt;&lt;item&gt;1464&lt;/item&gt;&lt;item&gt;1465&lt;/item&gt;&lt;item&gt;1466&lt;/item&gt;&lt;item&gt;1467&lt;/item&gt;&lt;item&gt;1470&lt;/item&gt;&lt;item&gt;1472&lt;/item&gt;&lt;item&gt;1473&lt;/item&gt;&lt;item&gt;1475&lt;/item&gt;&lt;item&gt;1476&lt;/item&gt;&lt;item&gt;1478&lt;/item&gt;&lt;item&gt;1479&lt;/item&gt;&lt;item&gt;1480&lt;/item&gt;&lt;item&gt;1481&lt;/item&gt;&lt;item&gt;1482&lt;/item&gt;&lt;item&gt;1484&lt;/item&gt;&lt;item&gt;1485&lt;/item&gt;&lt;item&gt;1486&lt;/item&gt;&lt;item&gt;1487&lt;/item&gt;&lt;item&gt;1488&lt;/item&gt;&lt;item&gt;1491&lt;/item&gt;&lt;item&gt;1492&lt;/item&gt;&lt;item&gt;1493&lt;/item&gt;&lt;item&gt;1494&lt;/item&gt;&lt;item&gt;1495&lt;/item&gt;&lt;item&gt;1496&lt;/item&gt;&lt;item&gt;1497&lt;/item&gt;&lt;item&gt;1518&lt;/item&gt;&lt;item&gt;1519&lt;/item&gt;&lt;item&gt;1521&lt;/item&gt;&lt;item&gt;1522&lt;/item&gt;&lt;item&gt;1524&lt;/item&gt;&lt;item&gt;1525&lt;/item&gt;&lt;item&gt;1536&lt;/item&gt;&lt;item&gt;1539&lt;/item&gt;&lt;item&gt;1541&lt;/item&gt;&lt;item&gt;1558&lt;/item&gt;&lt;item&gt;1559&lt;/item&gt;&lt;item&gt;1562&lt;/item&gt;&lt;item&gt;1577&lt;/item&gt;&lt;item&gt;1582&lt;/item&gt;&lt;item&gt;1583&lt;/item&gt;&lt;item&gt;1595&lt;/item&gt;&lt;item&gt;1602&lt;/item&gt;&lt;item&gt;1604&lt;/item&gt;&lt;item&gt;1605&lt;/item&gt;&lt;item&gt;1607&lt;/item&gt;&lt;item&gt;1608&lt;/item&gt;&lt;item&gt;1612&lt;/item&gt;&lt;item&gt;1614&lt;/item&gt;&lt;item&gt;1615&lt;/item&gt;&lt;item&gt;1616&lt;/item&gt;&lt;item&gt;1618&lt;/item&gt;&lt;item&gt;1619&lt;/item&gt;&lt;item&gt;1622&lt;/item&gt;&lt;item&gt;1625&lt;/item&gt;&lt;item&gt;1626&lt;/item&gt;&lt;item&gt;1627&lt;/item&gt;&lt;item&gt;1629&lt;/item&gt;&lt;item&gt;1630&lt;/item&gt;&lt;item&gt;1631&lt;/item&gt;&lt;item&gt;1635&lt;/item&gt;&lt;item&gt;1636&lt;/item&gt;&lt;item&gt;1637&lt;/item&gt;&lt;item&gt;1638&lt;/item&gt;&lt;item&gt;1639&lt;/item&gt;&lt;item&gt;1649&lt;/item&gt;&lt;item&gt;1653&lt;/item&gt;&lt;item&gt;1654&lt;/item&gt;&lt;item&gt;1655&lt;/item&gt;&lt;item&gt;1656&lt;/item&gt;&lt;item&gt;1659&lt;/item&gt;&lt;item&gt;1669&lt;/item&gt;&lt;item&gt;1670&lt;/item&gt;&lt;item&gt;1675&lt;/item&gt;&lt;item&gt;1681&lt;/item&gt;&lt;item&gt;1683&lt;/item&gt;&lt;item&gt;1684&lt;/item&gt;&lt;item&gt;1685&lt;/item&gt;&lt;item&gt;1686&lt;/item&gt;&lt;item&gt;1687&lt;/item&gt;&lt;item&gt;1688&lt;/item&gt;&lt;item&gt;1689&lt;/item&gt;&lt;item&gt;1690&lt;/item&gt;&lt;item&gt;1691&lt;/item&gt;&lt;item&gt;1692&lt;/item&gt;&lt;item&gt;1693&lt;/item&gt;&lt;item&gt;1694&lt;/item&gt;&lt;item&gt;1698&lt;/item&gt;&lt;item&gt;1701&lt;/item&gt;&lt;item&gt;1702&lt;/item&gt;&lt;item&gt;1703&lt;/item&gt;&lt;item&gt;1704&lt;/item&gt;&lt;item&gt;1705&lt;/item&gt;&lt;item&gt;1706&lt;/item&gt;&lt;item&gt;1707&lt;/item&gt;&lt;item&gt;1708&lt;/item&gt;&lt;item&gt;1709&lt;/item&gt;&lt;item&gt;1710&lt;/item&gt;&lt;item&gt;1711&lt;/item&gt;&lt;item&gt;1712&lt;/item&gt;&lt;item&gt;1717&lt;/item&gt;&lt;item&gt;1718&lt;/item&gt;&lt;item&gt;1719&lt;/item&gt;&lt;item&gt;1722&lt;/item&gt;&lt;item&gt;1723&lt;/item&gt;&lt;item&gt;1726&lt;/item&gt;&lt;item&gt;1729&lt;/item&gt;&lt;item&gt;1730&lt;/item&gt;&lt;item&gt;1732&lt;/item&gt;&lt;item&gt;1735&lt;/item&gt;&lt;item&gt;1736&lt;/item&gt;&lt;item&gt;1738&lt;/item&gt;&lt;item&gt;1739&lt;/item&gt;&lt;item&gt;1740&lt;/item&gt;&lt;item&gt;1741&lt;/item&gt;&lt;item&gt;1742&lt;/item&gt;&lt;item&gt;1744&lt;/item&gt;&lt;item&gt;1745&lt;/item&gt;&lt;item&gt;1746&lt;/item&gt;&lt;item&gt;1747&lt;/item&gt;&lt;item&gt;1748&lt;/item&gt;&lt;item&gt;1750&lt;/item&gt;&lt;item&gt;1751&lt;/item&gt;&lt;item&gt;1752&lt;/item&gt;&lt;item&gt;1753&lt;/item&gt;&lt;item&gt;1755&lt;/item&gt;&lt;item&gt;1756&lt;/item&gt;&lt;item&gt;1757&lt;/item&gt;&lt;item&gt;1759&lt;/item&gt;&lt;item&gt;1760&lt;/item&gt;&lt;item&gt;1761&lt;/item&gt;&lt;item&gt;1762&lt;/item&gt;&lt;item&gt;1763&lt;/item&gt;&lt;item&gt;1764&lt;/item&gt;&lt;item&gt;1765&lt;/item&gt;&lt;item&gt;1766&lt;/item&gt;&lt;item&gt;1768&lt;/item&gt;&lt;item&gt;1769&lt;/item&gt;&lt;item&gt;1770&lt;/item&gt;&lt;item&gt;1771&lt;/item&gt;&lt;item&gt;1773&lt;/item&gt;&lt;item&gt;1776&lt;/item&gt;&lt;item&gt;1778&lt;/item&gt;&lt;item&gt;1779&lt;/item&gt;&lt;item&gt;1780&lt;/item&gt;&lt;item&gt;1783&lt;/item&gt;&lt;item&gt;1784&lt;/item&gt;&lt;item&gt;1785&lt;/item&gt;&lt;item&gt;1786&lt;/item&gt;&lt;item&gt;1788&lt;/item&gt;&lt;item&gt;1792&lt;/item&gt;&lt;item&gt;1793&lt;/item&gt;&lt;item&gt;1795&lt;/item&gt;&lt;item&gt;1800&lt;/item&gt;&lt;item&gt;1801&lt;/item&gt;&lt;item&gt;1804&lt;/item&gt;&lt;item&gt;1805&lt;/item&gt;&lt;item&gt;1808&lt;/item&gt;&lt;item&gt;1809&lt;/item&gt;&lt;item&gt;1811&lt;/item&gt;&lt;item&gt;1813&lt;/item&gt;&lt;item&gt;1814&lt;/item&gt;&lt;item&gt;1817&lt;/item&gt;&lt;item&gt;1820&lt;/item&gt;&lt;item&gt;1821&lt;/item&gt;&lt;item&gt;1822&lt;/item&gt;&lt;item&gt;1824&lt;/item&gt;&lt;item&gt;1825&lt;/item&gt;&lt;item&gt;1830&lt;/item&gt;&lt;item&gt;1846&lt;/item&gt;&lt;item&gt;1848&lt;/item&gt;&lt;item&gt;1849&lt;/item&gt;&lt;item&gt;1852&lt;/item&gt;&lt;item&gt;1853&lt;/item&gt;&lt;item&gt;1857&lt;/item&gt;&lt;item&gt;1858&lt;/item&gt;&lt;item&gt;1859&lt;/item&gt;&lt;item&gt;1860&lt;/item&gt;&lt;item&gt;1861&lt;/item&gt;&lt;item&gt;1862&lt;/item&gt;&lt;item&gt;1863&lt;/item&gt;&lt;item&gt;1864&lt;/item&gt;&lt;item&gt;1865&lt;/item&gt;&lt;item&gt;1867&lt;/item&gt;&lt;item&gt;1873&lt;/item&gt;&lt;item&gt;1874&lt;/item&gt;&lt;item&gt;1875&lt;/item&gt;&lt;item&gt;1908&lt;/item&gt;&lt;item&gt;1912&lt;/item&gt;&lt;item&gt;1913&lt;/item&gt;&lt;item&gt;1914&lt;/item&gt;&lt;item&gt;1916&lt;/item&gt;&lt;item&gt;1917&lt;/item&gt;&lt;item&gt;1918&lt;/item&gt;&lt;item&gt;1919&lt;/item&gt;&lt;item&gt;1920&lt;/item&gt;&lt;item&gt;1921&lt;/item&gt;&lt;item&gt;1922&lt;/item&gt;&lt;item&gt;1923&lt;/item&gt;&lt;item&gt;1924&lt;/item&gt;&lt;item&gt;1926&lt;/item&gt;&lt;item&gt;1927&lt;/item&gt;&lt;item&gt;1928&lt;/item&gt;&lt;item&gt;1929&lt;/item&gt;&lt;item&gt;1930&lt;/item&gt;&lt;item&gt;1931&lt;/item&gt;&lt;item&gt;1932&lt;/item&gt;&lt;item&gt;1933&lt;/item&gt;&lt;item&gt;1934&lt;/item&gt;&lt;item&gt;1935&lt;/item&gt;&lt;item&gt;1936&lt;/item&gt;&lt;item&gt;1937&lt;/item&gt;&lt;item&gt;1938&lt;/item&gt;&lt;item&gt;1939&lt;/item&gt;&lt;item&gt;1941&lt;/item&gt;&lt;item&gt;1943&lt;/item&gt;&lt;item&gt;1944&lt;/item&gt;&lt;item&gt;1945&lt;/item&gt;&lt;item&gt;1946&lt;/item&gt;&lt;item&gt;1948&lt;/item&gt;&lt;item&gt;1949&lt;/item&gt;&lt;item&gt;1950&lt;/item&gt;&lt;item&gt;1952&lt;/item&gt;&lt;item&gt;1954&lt;/item&gt;&lt;item&gt;1955&lt;/item&gt;&lt;item&gt;1956&lt;/item&gt;&lt;item&gt;1957&lt;/item&gt;&lt;item&gt;1960&lt;/item&gt;&lt;item&gt;1962&lt;/item&gt;&lt;item&gt;1963&lt;/item&gt;&lt;item&gt;1964&lt;/item&gt;&lt;item&gt;1966&lt;/item&gt;&lt;item&gt;1967&lt;/item&gt;&lt;item&gt;1968&lt;/item&gt;&lt;item&gt;1969&lt;/item&gt;&lt;item&gt;1970&lt;/item&gt;&lt;item&gt;1971&lt;/item&gt;&lt;item&gt;1972&lt;/item&gt;&lt;/record-ids&gt;&lt;/item&gt;&lt;/Libraries&gt;"/>
  </w:docVars>
  <w:rsids>
    <w:rsidRoot w:val="00105BBD"/>
    <w:rsid w:val="00000077"/>
    <w:rsid w:val="00000344"/>
    <w:rsid w:val="000004B4"/>
    <w:rsid w:val="00000A5C"/>
    <w:rsid w:val="00000CF7"/>
    <w:rsid w:val="00000F3F"/>
    <w:rsid w:val="00001284"/>
    <w:rsid w:val="000013DB"/>
    <w:rsid w:val="000013E7"/>
    <w:rsid w:val="000014BA"/>
    <w:rsid w:val="0000185A"/>
    <w:rsid w:val="00001993"/>
    <w:rsid w:val="00001B6C"/>
    <w:rsid w:val="00001EC6"/>
    <w:rsid w:val="000027CF"/>
    <w:rsid w:val="0000282F"/>
    <w:rsid w:val="00002890"/>
    <w:rsid w:val="00002B52"/>
    <w:rsid w:val="00002D05"/>
    <w:rsid w:val="00002E72"/>
    <w:rsid w:val="000032A7"/>
    <w:rsid w:val="000033D2"/>
    <w:rsid w:val="0000369C"/>
    <w:rsid w:val="000039F9"/>
    <w:rsid w:val="00003BC1"/>
    <w:rsid w:val="00003FA5"/>
    <w:rsid w:val="00004002"/>
    <w:rsid w:val="000040A8"/>
    <w:rsid w:val="0000498C"/>
    <w:rsid w:val="0000556C"/>
    <w:rsid w:val="000059B6"/>
    <w:rsid w:val="00006163"/>
    <w:rsid w:val="000070AF"/>
    <w:rsid w:val="00007215"/>
    <w:rsid w:val="0000767A"/>
    <w:rsid w:val="00007AB2"/>
    <w:rsid w:val="00007EE5"/>
    <w:rsid w:val="00007F1F"/>
    <w:rsid w:val="00010328"/>
    <w:rsid w:val="000103A3"/>
    <w:rsid w:val="000103D0"/>
    <w:rsid w:val="0001075B"/>
    <w:rsid w:val="00010880"/>
    <w:rsid w:val="00010C50"/>
    <w:rsid w:val="00010C73"/>
    <w:rsid w:val="00010CF0"/>
    <w:rsid w:val="00010E66"/>
    <w:rsid w:val="000113BF"/>
    <w:rsid w:val="00011BBD"/>
    <w:rsid w:val="00011C59"/>
    <w:rsid w:val="00011C9E"/>
    <w:rsid w:val="00012488"/>
    <w:rsid w:val="0001258E"/>
    <w:rsid w:val="00012DD6"/>
    <w:rsid w:val="00012E7A"/>
    <w:rsid w:val="00012EA2"/>
    <w:rsid w:val="00013666"/>
    <w:rsid w:val="00014432"/>
    <w:rsid w:val="00014640"/>
    <w:rsid w:val="00014822"/>
    <w:rsid w:val="00014855"/>
    <w:rsid w:val="000148E4"/>
    <w:rsid w:val="00014D23"/>
    <w:rsid w:val="00015215"/>
    <w:rsid w:val="00015663"/>
    <w:rsid w:val="00015D97"/>
    <w:rsid w:val="0001637A"/>
    <w:rsid w:val="000163F5"/>
    <w:rsid w:val="00016434"/>
    <w:rsid w:val="000164DE"/>
    <w:rsid w:val="000165D2"/>
    <w:rsid w:val="00016993"/>
    <w:rsid w:val="00016DF8"/>
    <w:rsid w:val="000172A0"/>
    <w:rsid w:val="00017772"/>
    <w:rsid w:val="000178DF"/>
    <w:rsid w:val="0002042F"/>
    <w:rsid w:val="000204F0"/>
    <w:rsid w:val="00020690"/>
    <w:rsid w:val="000209C8"/>
    <w:rsid w:val="000219C1"/>
    <w:rsid w:val="000220DE"/>
    <w:rsid w:val="00022344"/>
    <w:rsid w:val="00023185"/>
    <w:rsid w:val="00023282"/>
    <w:rsid w:val="0002333A"/>
    <w:rsid w:val="000235D8"/>
    <w:rsid w:val="000236D0"/>
    <w:rsid w:val="00023A7F"/>
    <w:rsid w:val="00024348"/>
    <w:rsid w:val="00025046"/>
    <w:rsid w:val="0002532B"/>
    <w:rsid w:val="00025982"/>
    <w:rsid w:val="00025B97"/>
    <w:rsid w:val="00025C1A"/>
    <w:rsid w:val="00026031"/>
    <w:rsid w:val="00026B44"/>
    <w:rsid w:val="00026CCC"/>
    <w:rsid w:val="00026DB9"/>
    <w:rsid w:val="00026E2C"/>
    <w:rsid w:val="00026EDE"/>
    <w:rsid w:val="0002705E"/>
    <w:rsid w:val="000270EC"/>
    <w:rsid w:val="0002764B"/>
    <w:rsid w:val="0002798E"/>
    <w:rsid w:val="0003078F"/>
    <w:rsid w:val="00030BD2"/>
    <w:rsid w:val="00030FE3"/>
    <w:rsid w:val="00031E07"/>
    <w:rsid w:val="00031E7C"/>
    <w:rsid w:val="00032233"/>
    <w:rsid w:val="00032A4A"/>
    <w:rsid w:val="00032E4B"/>
    <w:rsid w:val="00033066"/>
    <w:rsid w:val="00033678"/>
    <w:rsid w:val="00033934"/>
    <w:rsid w:val="00034716"/>
    <w:rsid w:val="000347BD"/>
    <w:rsid w:val="00034D06"/>
    <w:rsid w:val="00034E80"/>
    <w:rsid w:val="0003518F"/>
    <w:rsid w:val="000356EE"/>
    <w:rsid w:val="0003571F"/>
    <w:rsid w:val="00035742"/>
    <w:rsid w:val="000357AE"/>
    <w:rsid w:val="00035BEF"/>
    <w:rsid w:val="00035E58"/>
    <w:rsid w:val="00035F6C"/>
    <w:rsid w:val="00036F9C"/>
    <w:rsid w:val="00037096"/>
    <w:rsid w:val="000374B9"/>
    <w:rsid w:val="000376A4"/>
    <w:rsid w:val="000379D4"/>
    <w:rsid w:val="00037A87"/>
    <w:rsid w:val="00037CC9"/>
    <w:rsid w:val="00037D83"/>
    <w:rsid w:val="00037DAC"/>
    <w:rsid w:val="000401CA"/>
    <w:rsid w:val="000401F6"/>
    <w:rsid w:val="000403FB"/>
    <w:rsid w:val="00040B43"/>
    <w:rsid w:val="00040CBD"/>
    <w:rsid w:val="000411FD"/>
    <w:rsid w:val="00041344"/>
    <w:rsid w:val="00041495"/>
    <w:rsid w:val="00041602"/>
    <w:rsid w:val="00041B83"/>
    <w:rsid w:val="00041CE8"/>
    <w:rsid w:val="00042217"/>
    <w:rsid w:val="00042254"/>
    <w:rsid w:val="0004247D"/>
    <w:rsid w:val="0004262E"/>
    <w:rsid w:val="000426C0"/>
    <w:rsid w:val="00043AA1"/>
    <w:rsid w:val="00044339"/>
    <w:rsid w:val="0004489A"/>
    <w:rsid w:val="00044E76"/>
    <w:rsid w:val="00044E78"/>
    <w:rsid w:val="00045085"/>
    <w:rsid w:val="00045177"/>
    <w:rsid w:val="00045343"/>
    <w:rsid w:val="000453EE"/>
    <w:rsid w:val="00045F63"/>
    <w:rsid w:val="000460E2"/>
    <w:rsid w:val="0004630E"/>
    <w:rsid w:val="00046335"/>
    <w:rsid w:val="0004645F"/>
    <w:rsid w:val="00046A03"/>
    <w:rsid w:val="00046DA3"/>
    <w:rsid w:val="00046DC3"/>
    <w:rsid w:val="00047010"/>
    <w:rsid w:val="0004709D"/>
    <w:rsid w:val="0004722C"/>
    <w:rsid w:val="00047908"/>
    <w:rsid w:val="0005021E"/>
    <w:rsid w:val="000505E7"/>
    <w:rsid w:val="00050D6C"/>
    <w:rsid w:val="000510C4"/>
    <w:rsid w:val="00051960"/>
    <w:rsid w:val="00051AAB"/>
    <w:rsid w:val="00051F67"/>
    <w:rsid w:val="0005240F"/>
    <w:rsid w:val="000526AE"/>
    <w:rsid w:val="00053439"/>
    <w:rsid w:val="0005367A"/>
    <w:rsid w:val="00053FBC"/>
    <w:rsid w:val="0005445D"/>
    <w:rsid w:val="00054DD8"/>
    <w:rsid w:val="00055463"/>
    <w:rsid w:val="00055933"/>
    <w:rsid w:val="00055BFC"/>
    <w:rsid w:val="00055DC3"/>
    <w:rsid w:val="00056037"/>
    <w:rsid w:val="00056581"/>
    <w:rsid w:val="00056765"/>
    <w:rsid w:val="00056D57"/>
    <w:rsid w:val="00057602"/>
    <w:rsid w:val="00057A44"/>
    <w:rsid w:val="00057D6E"/>
    <w:rsid w:val="00060026"/>
    <w:rsid w:val="00060764"/>
    <w:rsid w:val="00060785"/>
    <w:rsid w:val="00060D24"/>
    <w:rsid w:val="00060E80"/>
    <w:rsid w:val="00061057"/>
    <w:rsid w:val="0006175B"/>
    <w:rsid w:val="00061B7F"/>
    <w:rsid w:val="000624B7"/>
    <w:rsid w:val="00062624"/>
    <w:rsid w:val="0006269C"/>
    <w:rsid w:val="000627CC"/>
    <w:rsid w:val="0006291E"/>
    <w:rsid w:val="00062D93"/>
    <w:rsid w:val="00062DBB"/>
    <w:rsid w:val="00063055"/>
    <w:rsid w:val="000632BC"/>
    <w:rsid w:val="0006345F"/>
    <w:rsid w:val="0006372A"/>
    <w:rsid w:val="00063E54"/>
    <w:rsid w:val="00064177"/>
    <w:rsid w:val="000642A4"/>
    <w:rsid w:val="00064822"/>
    <w:rsid w:val="00064866"/>
    <w:rsid w:val="00064A53"/>
    <w:rsid w:val="00064EAA"/>
    <w:rsid w:val="000652E1"/>
    <w:rsid w:val="00065372"/>
    <w:rsid w:val="00065493"/>
    <w:rsid w:val="00065817"/>
    <w:rsid w:val="00065B91"/>
    <w:rsid w:val="00065BA8"/>
    <w:rsid w:val="00065FDE"/>
    <w:rsid w:val="0006629F"/>
    <w:rsid w:val="000665DF"/>
    <w:rsid w:val="0006663D"/>
    <w:rsid w:val="00066BBF"/>
    <w:rsid w:val="00067F8E"/>
    <w:rsid w:val="00070293"/>
    <w:rsid w:val="000702C1"/>
    <w:rsid w:val="00070870"/>
    <w:rsid w:val="00070998"/>
    <w:rsid w:val="00070B2E"/>
    <w:rsid w:val="00070D03"/>
    <w:rsid w:val="00070DA3"/>
    <w:rsid w:val="00071002"/>
    <w:rsid w:val="00071091"/>
    <w:rsid w:val="00071586"/>
    <w:rsid w:val="00071ACD"/>
    <w:rsid w:val="0007287A"/>
    <w:rsid w:val="00074393"/>
    <w:rsid w:val="0007443B"/>
    <w:rsid w:val="00074715"/>
    <w:rsid w:val="00074FA9"/>
    <w:rsid w:val="000750E1"/>
    <w:rsid w:val="00075143"/>
    <w:rsid w:val="0007572E"/>
    <w:rsid w:val="00075FE7"/>
    <w:rsid w:val="00076713"/>
    <w:rsid w:val="00076898"/>
    <w:rsid w:val="00076D4B"/>
    <w:rsid w:val="00076EAD"/>
    <w:rsid w:val="0007732D"/>
    <w:rsid w:val="00077EE2"/>
    <w:rsid w:val="000809B3"/>
    <w:rsid w:val="00080C70"/>
    <w:rsid w:val="00081099"/>
    <w:rsid w:val="00081642"/>
    <w:rsid w:val="00081B57"/>
    <w:rsid w:val="00081CF6"/>
    <w:rsid w:val="00081E52"/>
    <w:rsid w:val="00082193"/>
    <w:rsid w:val="000823A9"/>
    <w:rsid w:val="000824D3"/>
    <w:rsid w:val="00082B09"/>
    <w:rsid w:val="000837C0"/>
    <w:rsid w:val="00083AB0"/>
    <w:rsid w:val="00083AD4"/>
    <w:rsid w:val="00083B06"/>
    <w:rsid w:val="00083C43"/>
    <w:rsid w:val="000841E2"/>
    <w:rsid w:val="00084A23"/>
    <w:rsid w:val="00084FCF"/>
    <w:rsid w:val="0008503E"/>
    <w:rsid w:val="00085AEC"/>
    <w:rsid w:val="00085C4A"/>
    <w:rsid w:val="00085E19"/>
    <w:rsid w:val="0008716F"/>
    <w:rsid w:val="000877CB"/>
    <w:rsid w:val="00087E01"/>
    <w:rsid w:val="00090563"/>
    <w:rsid w:val="00090795"/>
    <w:rsid w:val="00090A80"/>
    <w:rsid w:val="00090C98"/>
    <w:rsid w:val="000916D9"/>
    <w:rsid w:val="00092065"/>
    <w:rsid w:val="000925F9"/>
    <w:rsid w:val="0009286D"/>
    <w:rsid w:val="00092B40"/>
    <w:rsid w:val="00092BBF"/>
    <w:rsid w:val="00092EA1"/>
    <w:rsid w:val="00092EDF"/>
    <w:rsid w:val="000939A9"/>
    <w:rsid w:val="000939AD"/>
    <w:rsid w:val="000940DE"/>
    <w:rsid w:val="00095A0F"/>
    <w:rsid w:val="000961EC"/>
    <w:rsid w:val="00096B33"/>
    <w:rsid w:val="00096EC2"/>
    <w:rsid w:val="00096F7D"/>
    <w:rsid w:val="00096F7E"/>
    <w:rsid w:val="00097309"/>
    <w:rsid w:val="0009796C"/>
    <w:rsid w:val="00097ED7"/>
    <w:rsid w:val="000A0978"/>
    <w:rsid w:val="000A0D99"/>
    <w:rsid w:val="000A0E61"/>
    <w:rsid w:val="000A0F71"/>
    <w:rsid w:val="000A10BA"/>
    <w:rsid w:val="000A16B1"/>
    <w:rsid w:val="000A1729"/>
    <w:rsid w:val="000A1744"/>
    <w:rsid w:val="000A1756"/>
    <w:rsid w:val="000A1777"/>
    <w:rsid w:val="000A17EC"/>
    <w:rsid w:val="000A1A31"/>
    <w:rsid w:val="000A1A5F"/>
    <w:rsid w:val="000A1C2A"/>
    <w:rsid w:val="000A2034"/>
    <w:rsid w:val="000A2378"/>
    <w:rsid w:val="000A2412"/>
    <w:rsid w:val="000A284A"/>
    <w:rsid w:val="000A32FE"/>
    <w:rsid w:val="000A3481"/>
    <w:rsid w:val="000A3488"/>
    <w:rsid w:val="000A381A"/>
    <w:rsid w:val="000A3E32"/>
    <w:rsid w:val="000A439A"/>
    <w:rsid w:val="000A46A2"/>
    <w:rsid w:val="000A4CCE"/>
    <w:rsid w:val="000A4D20"/>
    <w:rsid w:val="000A4D32"/>
    <w:rsid w:val="000A53A0"/>
    <w:rsid w:val="000A57B7"/>
    <w:rsid w:val="000A5835"/>
    <w:rsid w:val="000A5DEE"/>
    <w:rsid w:val="000A6166"/>
    <w:rsid w:val="000A619F"/>
    <w:rsid w:val="000A662E"/>
    <w:rsid w:val="000A6E45"/>
    <w:rsid w:val="000A6FB1"/>
    <w:rsid w:val="000A6FFA"/>
    <w:rsid w:val="000A73FB"/>
    <w:rsid w:val="000A76E8"/>
    <w:rsid w:val="000A7C50"/>
    <w:rsid w:val="000A7CD9"/>
    <w:rsid w:val="000B09FE"/>
    <w:rsid w:val="000B0BC5"/>
    <w:rsid w:val="000B0EAF"/>
    <w:rsid w:val="000B1009"/>
    <w:rsid w:val="000B1221"/>
    <w:rsid w:val="000B1870"/>
    <w:rsid w:val="000B250E"/>
    <w:rsid w:val="000B289F"/>
    <w:rsid w:val="000B2C31"/>
    <w:rsid w:val="000B3330"/>
    <w:rsid w:val="000B3705"/>
    <w:rsid w:val="000B38F0"/>
    <w:rsid w:val="000B3921"/>
    <w:rsid w:val="000B3A9A"/>
    <w:rsid w:val="000B3C7B"/>
    <w:rsid w:val="000B3CD4"/>
    <w:rsid w:val="000B4253"/>
    <w:rsid w:val="000B4371"/>
    <w:rsid w:val="000B480F"/>
    <w:rsid w:val="000B4B87"/>
    <w:rsid w:val="000B4C7B"/>
    <w:rsid w:val="000B4CBB"/>
    <w:rsid w:val="000B4D19"/>
    <w:rsid w:val="000B4DE7"/>
    <w:rsid w:val="000B51A2"/>
    <w:rsid w:val="000B54D0"/>
    <w:rsid w:val="000B5604"/>
    <w:rsid w:val="000B5767"/>
    <w:rsid w:val="000B6719"/>
    <w:rsid w:val="000B6780"/>
    <w:rsid w:val="000B694F"/>
    <w:rsid w:val="000B6AE5"/>
    <w:rsid w:val="000B70B9"/>
    <w:rsid w:val="000B72BE"/>
    <w:rsid w:val="000B74E8"/>
    <w:rsid w:val="000B7AB7"/>
    <w:rsid w:val="000B7C54"/>
    <w:rsid w:val="000B7FFC"/>
    <w:rsid w:val="000C0579"/>
    <w:rsid w:val="000C073B"/>
    <w:rsid w:val="000C07D5"/>
    <w:rsid w:val="000C08AC"/>
    <w:rsid w:val="000C0C43"/>
    <w:rsid w:val="000C108F"/>
    <w:rsid w:val="000C21F6"/>
    <w:rsid w:val="000C2B4C"/>
    <w:rsid w:val="000C2C11"/>
    <w:rsid w:val="000C2E63"/>
    <w:rsid w:val="000C2EE3"/>
    <w:rsid w:val="000C2F0E"/>
    <w:rsid w:val="000C32AF"/>
    <w:rsid w:val="000C3933"/>
    <w:rsid w:val="000C39A5"/>
    <w:rsid w:val="000C3AC0"/>
    <w:rsid w:val="000C3C50"/>
    <w:rsid w:val="000C3D2D"/>
    <w:rsid w:val="000C3DB2"/>
    <w:rsid w:val="000C3E33"/>
    <w:rsid w:val="000C3EAA"/>
    <w:rsid w:val="000C4570"/>
    <w:rsid w:val="000C4DCD"/>
    <w:rsid w:val="000C4DFA"/>
    <w:rsid w:val="000C53CB"/>
    <w:rsid w:val="000C57A3"/>
    <w:rsid w:val="000C642D"/>
    <w:rsid w:val="000C7113"/>
    <w:rsid w:val="000C73B3"/>
    <w:rsid w:val="000C7697"/>
    <w:rsid w:val="000C77F8"/>
    <w:rsid w:val="000C79C6"/>
    <w:rsid w:val="000D04A0"/>
    <w:rsid w:val="000D0F0D"/>
    <w:rsid w:val="000D0F65"/>
    <w:rsid w:val="000D10E0"/>
    <w:rsid w:val="000D12FA"/>
    <w:rsid w:val="000D162D"/>
    <w:rsid w:val="000D1C1E"/>
    <w:rsid w:val="000D254B"/>
    <w:rsid w:val="000D25B8"/>
    <w:rsid w:val="000D303B"/>
    <w:rsid w:val="000D314D"/>
    <w:rsid w:val="000D37F3"/>
    <w:rsid w:val="000D3D02"/>
    <w:rsid w:val="000D435C"/>
    <w:rsid w:val="000D43D8"/>
    <w:rsid w:val="000D4403"/>
    <w:rsid w:val="000D47F9"/>
    <w:rsid w:val="000D48E3"/>
    <w:rsid w:val="000D4948"/>
    <w:rsid w:val="000D49FA"/>
    <w:rsid w:val="000D4B4D"/>
    <w:rsid w:val="000D4BE2"/>
    <w:rsid w:val="000D4DFC"/>
    <w:rsid w:val="000D4E73"/>
    <w:rsid w:val="000D5275"/>
    <w:rsid w:val="000D55C4"/>
    <w:rsid w:val="000D56D7"/>
    <w:rsid w:val="000D5858"/>
    <w:rsid w:val="000D58A1"/>
    <w:rsid w:val="000D5A5F"/>
    <w:rsid w:val="000D62D8"/>
    <w:rsid w:val="000D6361"/>
    <w:rsid w:val="000D6377"/>
    <w:rsid w:val="000D6D8E"/>
    <w:rsid w:val="000D6E8C"/>
    <w:rsid w:val="000D7280"/>
    <w:rsid w:val="000D775D"/>
    <w:rsid w:val="000D7834"/>
    <w:rsid w:val="000D7861"/>
    <w:rsid w:val="000E00D3"/>
    <w:rsid w:val="000E0C5F"/>
    <w:rsid w:val="000E110F"/>
    <w:rsid w:val="000E1473"/>
    <w:rsid w:val="000E14FD"/>
    <w:rsid w:val="000E17DC"/>
    <w:rsid w:val="000E188E"/>
    <w:rsid w:val="000E1900"/>
    <w:rsid w:val="000E1C00"/>
    <w:rsid w:val="000E1CDF"/>
    <w:rsid w:val="000E26CA"/>
    <w:rsid w:val="000E278D"/>
    <w:rsid w:val="000E2C45"/>
    <w:rsid w:val="000E3208"/>
    <w:rsid w:val="000E396F"/>
    <w:rsid w:val="000E49CD"/>
    <w:rsid w:val="000E4BF3"/>
    <w:rsid w:val="000E4DAE"/>
    <w:rsid w:val="000E5081"/>
    <w:rsid w:val="000E55AA"/>
    <w:rsid w:val="000E5C41"/>
    <w:rsid w:val="000E5CBC"/>
    <w:rsid w:val="000E5D83"/>
    <w:rsid w:val="000E62B8"/>
    <w:rsid w:val="000E6B09"/>
    <w:rsid w:val="000E6C5B"/>
    <w:rsid w:val="000E6DB1"/>
    <w:rsid w:val="000E7239"/>
    <w:rsid w:val="000E72DF"/>
    <w:rsid w:val="000E751F"/>
    <w:rsid w:val="000E780D"/>
    <w:rsid w:val="000E791F"/>
    <w:rsid w:val="000F00C1"/>
    <w:rsid w:val="000F0108"/>
    <w:rsid w:val="000F0423"/>
    <w:rsid w:val="000F0880"/>
    <w:rsid w:val="000F0A1B"/>
    <w:rsid w:val="000F0C30"/>
    <w:rsid w:val="000F1769"/>
    <w:rsid w:val="000F1875"/>
    <w:rsid w:val="000F1992"/>
    <w:rsid w:val="000F2642"/>
    <w:rsid w:val="000F2CD5"/>
    <w:rsid w:val="000F2D50"/>
    <w:rsid w:val="000F2F9E"/>
    <w:rsid w:val="000F31AC"/>
    <w:rsid w:val="000F341D"/>
    <w:rsid w:val="000F3838"/>
    <w:rsid w:val="000F39F2"/>
    <w:rsid w:val="000F3D0F"/>
    <w:rsid w:val="000F3F16"/>
    <w:rsid w:val="000F45C8"/>
    <w:rsid w:val="000F4863"/>
    <w:rsid w:val="000F4BB6"/>
    <w:rsid w:val="000F59CA"/>
    <w:rsid w:val="000F5D14"/>
    <w:rsid w:val="000F6001"/>
    <w:rsid w:val="000F6518"/>
    <w:rsid w:val="000F6627"/>
    <w:rsid w:val="000F6AE5"/>
    <w:rsid w:val="000F6C9B"/>
    <w:rsid w:val="000F6E85"/>
    <w:rsid w:val="000F6F0E"/>
    <w:rsid w:val="000F7073"/>
    <w:rsid w:val="000F71A9"/>
    <w:rsid w:val="000F7AB5"/>
    <w:rsid w:val="000F7BE5"/>
    <w:rsid w:val="000F7CDA"/>
    <w:rsid w:val="000F7F26"/>
    <w:rsid w:val="00100421"/>
    <w:rsid w:val="0010062C"/>
    <w:rsid w:val="0010084F"/>
    <w:rsid w:val="00100AAB"/>
    <w:rsid w:val="00100B09"/>
    <w:rsid w:val="00100B37"/>
    <w:rsid w:val="00100C82"/>
    <w:rsid w:val="00100E66"/>
    <w:rsid w:val="00101525"/>
    <w:rsid w:val="00102216"/>
    <w:rsid w:val="00102383"/>
    <w:rsid w:val="00102704"/>
    <w:rsid w:val="001028B8"/>
    <w:rsid w:val="00102F4F"/>
    <w:rsid w:val="00103285"/>
    <w:rsid w:val="00103297"/>
    <w:rsid w:val="00103A07"/>
    <w:rsid w:val="00103B64"/>
    <w:rsid w:val="00103B91"/>
    <w:rsid w:val="00103C11"/>
    <w:rsid w:val="00104023"/>
    <w:rsid w:val="00104418"/>
    <w:rsid w:val="00104468"/>
    <w:rsid w:val="001044A4"/>
    <w:rsid w:val="00104641"/>
    <w:rsid w:val="001048CC"/>
    <w:rsid w:val="001053AD"/>
    <w:rsid w:val="001058E8"/>
    <w:rsid w:val="00105BBD"/>
    <w:rsid w:val="00105F33"/>
    <w:rsid w:val="001061FB"/>
    <w:rsid w:val="0010670A"/>
    <w:rsid w:val="00106C4B"/>
    <w:rsid w:val="00106C7E"/>
    <w:rsid w:val="00106C88"/>
    <w:rsid w:val="00106CE5"/>
    <w:rsid w:val="001070DD"/>
    <w:rsid w:val="001074DD"/>
    <w:rsid w:val="00107FD7"/>
    <w:rsid w:val="00110553"/>
    <w:rsid w:val="001105CF"/>
    <w:rsid w:val="00110F60"/>
    <w:rsid w:val="0011105E"/>
    <w:rsid w:val="001112CD"/>
    <w:rsid w:val="00111CBD"/>
    <w:rsid w:val="00113194"/>
    <w:rsid w:val="00113274"/>
    <w:rsid w:val="001134AB"/>
    <w:rsid w:val="00113718"/>
    <w:rsid w:val="00113845"/>
    <w:rsid w:val="00113C8F"/>
    <w:rsid w:val="001158A7"/>
    <w:rsid w:val="001166AF"/>
    <w:rsid w:val="00116C3E"/>
    <w:rsid w:val="00116D0B"/>
    <w:rsid w:val="00117DC3"/>
    <w:rsid w:val="00120AA6"/>
    <w:rsid w:val="00120C7D"/>
    <w:rsid w:val="00120CF5"/>
    <w:rsid w:val="00121528"/>
    <w:rsid w:val="00121570"/>
    <w:rsid w:val="00121589"/>
    <w:rsid w:val="001216E2"/>
    <w:rsid w:val="00121864"/>
    <w:rsid w:val="0012198B"/>
    <w:rsid w:val="00121ADA"/>
    <w:rsid w:val="00122554"/>
    <w:rsid w:val="00122B25"/>
    <w:rsid w:val="00122D8D"/>
    <w:rsid w:val="00122E5E"/>
    <w:rsid w:val="0012399A"/>
    <w:rsid w:val="00123D2E"/>
    <w:rsid w:val="001240F7"/>
    <w:rsid w:val="0012421A"/>
    <w:rsid w:val="00124404"/>
    <w:rsid w:val="00124FF9"/>
    <w:rsid w:val="001255D9"/>
    <w:rsid w:val="00126274"/>
    <w:rsid w:val="001264BD"/>
    <w:rsid w:val="00126C7F"/>
    <w:rsid w:val="00127201"/>
    <w:rsid w:val="00127296"/>
    <w:rsid w:val="00127844"/>
    <w:rsid w:val="00127E77"/>
    <w:rsid w:val="001300F9"/>
    <w:rsid w:val="0013058F"/>
    <w:rsid w:val="00130807"/>
    <w:rsid w:val="00130BC9"/>
    <w:rsid w:val="001310AC"/>
    <w:rsid w:val="00131CD2"/>
    <w:rsid w:val="00131D6B"/>
    <w:rsid w:val="001324D3"/>
    <w:rsid w:val="001326EB"/>
    <w:rsid w:val="00132A21"/>
    <w:rsid w:val="00132EB1"/>
    <w:rsid w:val="00133898"/>
    <w:rsid w:val="00133978"/>
    <w:rsid w:val="001339D1"/>
    <w:rsid w:val="00133A99"/>
    <w:rsid w:val="00133B2B"/>
    <w:rsid w:val="00133B96"/>
    <w:rsid w:val="00133BAF"/>
    <w:rsid w:val="001341EB"/>
    <w:rsid w:val="00134324"/>
    <w:rsid w:val="00134ACA"/>
    <w:rsid w:val="00134C53"/>
    <w:rsid w:val="00134F59"/>
    <w:rsid w:val="00135198"/>
    <w:rsid w:val="001352FB"/>
    <w:rsid w:val="0013554C"/>
    <w:rsid w:val="00135CF2"/>
    <w:rsid w:val="001365D7"/>
    <w:rsid w:val="00136EE6"/>
    <w:rsid w:val="001370DD"/>
    <w:rsid w:val="0013716C"/>
    <w:rsid w:val="001375C6"/>
    <w:rsid w:val="00137845"/>
    <w:rsid w:val="00137F4B"/>
    <w:rsid w:val="0014028C"/>
    <w:rsid w:val="00140337"/>
    <w:rsid w:val="00140F1F"/>
    <w:rsid w:val="001411FC"/>
    <w:rsid w:val="00141935"/>
    <w:rsid w:val="0014197C"/>
    <w:rsid w:val="001419BE"/>
    <w:rsid w:val="00141F7B"/>
    <w:rsid w:val="00142208"/>
    <w:rsid w:val="0014220F"/>
    <w:rsid w:val="00142829"/>
    <w:rsid w:val="00142CE1"/>
    <w:rsid w:val="00143488"/>
    <w:rsid w:val="00143AF4"/>
    <w:rsid w:val="00143B11"/>
    <w:rsid w:val="00143B15"/>
    <w:rsid w:val="00143BEF"/>
    <w:rsid w:val="00143FA9"/>
    <w:rsid w:val="00143FF1"/>
    <w:rsid w:val="00144395"/>
    <w:rsid w:val="001445B3"/>
    <w:rsid w:val="0014509A"/>
    <w:rsid w:val="001450AD"/>
    <w:rsid w:val="001454AE"/>
    <w:rsid w:val="001454B3"/>
    <w:rsid w:val="001459A3"/>
    <w:rsid w:val="00145B96"/>
    <w:rsid w:val="0014615E"/>
    <w:rsid w:val="001462BD"/>
    <w:rsid w:val="00146BE3"/>
    <w:rsid w:val="00146CE3"/>
    <w:rsid w:val="00146F10"/>
    <w:rsid w:val="00147024"/>
    <w:rsid w:val="00147377"/>
    <w:rsid w:val="001478AF"/>
    <w:rsid w:val="00150085"/>
    <w:rsid w:val="001503F1"/>
    <w:rsid w:val="00150953"/>
    <w:rsid w:val="00150C9C"/>
    <w:rsid w:val="00150DB6"/>
    <w:rsid w:val="00150E4A"/>
    <w:rsid w:val="00151438"/>
    <w:rsid w:val="001516FB"/>
    <w:rsid w:val="00151D3C"/>
    <w:rsid w:val="001521D0"/>
    <w:rsid w:val="00152225"/>
    <w:rsid w:val="0015239E"/>
    <w:rsid w:val="00152D11"/>
    <w:rsid w:val="00153DA1"/>
    <w:rsid w:val="00153DBB"/>
    <w:rsid w:val="00154112"/>
    <w:rsid w:val="001541FD"/>
    <w:rsid w:val="001548E5"/>
    <w:rsid w:val="00156571"/>
    <w:rsid w:val="00156BAD"/>
    <w:rsid w:val="00156F56"/>
    <w:rsid w:val="0015714D"/>
    <w:rsid w:val="00157196"/>
    <w:rsid w:val="00157C6B"/>
    <w:rsid w:val="00160051"/>
    <w:rsid w:val="00160326"/>
    <w:rsid w:val="00160BA7"/>
    <w:rsid w:val="00160CCC"/>
    <w:rsid w:val="0016156C"/>
    <w:rsid w:val="00161888"/>
    <w:rsid w:val="001621FB"/>
    <w:rsid w:val="00162593"/>
    <w:rsid w:val="00162943"/>
    <w:rsid w:val="00162CDF"/>
    <w:rsid w:val="00162D1C"/>
    <w:rsid w:val="00162E0E"/>
    <w:rsid w:val="00162E95"/>
    <w:rsid w:val="00163275"/>
    <w:rsid w:val="0016356B"/>
    <w:rsid w:val="001638BB"/>
    <w:rsid w:val="001647A5"/>
    <w:rsid w:val="00164ACC"/>
    <w:rsid w:val="00164BD2"/>
    <w:rsid w:val="00164E45"/>
    <w:rsid w:val="0016548A"/>
    <w:rsid w:val="00165707"/>
    <w:rsid w:val="001657A7"/>
    <w:rsid w:val="00165972"/>
    <w:rsid w:val="00165BEA"/>
    <w:rsid w:val="00165C24"/>
    <w:rsid w:val="00165D76"/>
    <w:rsid w:val="0016630F"/>
    <w:rsid w:val="00166B25"/>
    <w:rsid w:val="00166EEB"/>
    <w:rsid w:val="00166F2D"/>
    <w:rsid w:val="00166F46"/>
    <w:rsid w:val="0016710A"/>
    <w:rsid w:val="001701D8"/>
    <w:rsid w:val="00170335"/>
    <w:rsid w:val="001707F7"/>
    <w:rsid w:val="00170EC6"/>
    <w:rsid w:val="0017128D"/>
    <w:rsid w:val="001713DE"/>
    <w:rsid w:val="001719FE"/>
    <w:rsid w:val="00171BFD"/>
    <w:rsid w:val="00172500"/>
    <w:rsid w:val="00173284"/>
    <w:rsid w:val="00173B5E"/>
    <w:rsid w:val="00173F57"/>
    <w:rsid w:val="001746E1"/>
    <w:rsid w:val="00175279"/>
    <w:rsid w:val="00175403"/>
    <w:rsid w:val="00175D0C"/>
    <w:rsid w:val="00176128"/>
    <w:rsid w:val="001763D6"/>
    <w:rsid w:val="001763F6"/>
    <w:rsid w:val="0017687C"/>
    <w:rsid w:val="00176BA3"/>
    <w:rsid w:val="00176DB0"/>
    <w:rsid w:val="00176F16"/>
    <w:rsid w:val="00177609"/>
    <w:rsid w:val="00177A22"/>
    <w:rsid w:val="00177B13"/>
    <w:rsid w:val="00180124"/>
    <w:rsid w:val="00180571"/>
    <w:rsid w:val="00180846"/>
    <w:rsid w:val="00180C1C"/>
    <w:rsid w:val="00181181"/>
    <w:rsid w:val="001812A3"/>
    <w:rsid w:val="0018168F"/>
    <w:rsid w:val="0018175C"/>
    <w:rsid w:val="001818DA"/>
    <w:rsid w:val="00181F63"/>
    <w:rsid w:val="00181F8B"/>
    <w:rsid w:val="00182213"/>
    <w:rsid w:val="001823B7"/>
    <w:rsid w:val="00182455"/>
    <w:rsid w:val="001826E0"/>
    <w:rsid w:val="00182B68"/>
    <w:rsid w:val="00182EAC"/>
    <w:rsid w:val="00183A68"/>
    <w:rsid w:val="00183B5F"/>
    <w:rsid w:val="001843D9"/>
    <w:rsid w:val="0018474D"/>
    <w:rsid w:val="00184935"/>
    <w:rsid w:val="00184987"/>
    <w:rsid w:val="00184D64"/>
    <w:rsid w:val="00186552"/>
    <w:rsid w:val="0018685F"/>
    <w:rsid w:val="00186FB6"/>
    <w:rsid w:val="0018730E"/>
    <w:rsid w:val="00187575"/>
    <w:rsid w:val="0018757B"/>
    <w:rsid w:val="00187601"/>
    <w:rsid w:val="00187EE6"/>
    <w:rsid w:val="0019021D"/>
    <w:rsid w:val="0019022D"/>
    <w:rsid w:val="00190683"/>
    <w:rsid w:val="00190DDD"/>
    <w:rsid w:val="0019127A"/>
    <w:rsid w:val="0019146A"/>
    <w:rsid w:val="001917FB"/>
    <w:rsid w:val="001918B0"/>
    <w:rsid w:val="001919FC"/>
    <w:rsid w:val="00191AD6"/>
    <w:rsid w:val="00191E50"/>
    <w:rsid w:val="0019216A"/>
    <w:rsid w:val="00192214"/>
    <w:rsid w:val="0019285A"/>
    <w:rsid w:val="00192901"/>
    <w:rsid w:val="00192B04"/>
    <w:rsid w:val="00192E50"/>
    <w:rsid w:val="00192FE4"/>
    <w:rsid w:val="001930BB"/>
    <w:rsid w:val="00193208"/>
    <w:rsid w:val="00193639"/>
    <w:rsid w:val="00193690"/>
    <w:rsid w:val="00193727"/>
    <w:rsid w:val="00193995"/>
    <w:rsid w:val="00193D89"/>
    <w:rsid w:val="00194718"/>
    <w:rsid w:val="00194754"/>
    <w:rsid w:val="00194A25"/>
    <w:rsid w:val="00194D21"/>
    <w:rsid w:val="001953AF"/>
    <w:rsid w:val="001953D4"/>
    <w:rsid w:val="001954B4"/>
    <w:rsid w:val="00195A9A"/>
    <w:rsid w:val="0019620F"/>
    <w:rsid w:val="001969C3"/>
    <w:rsid w:val="00196B9A"/>
    <w:rsid w:val="00196EB1"/>
    <w:rsid w:val="00196F84"/>
    <w:rsid w:val="00196FAB"/>
    <w:rsid w:val="00196FE3"/>
    <w:rsid w:val="00197191"/>
    <w:rsid w:val="00197423"/>
    <w:rsid w:val="001975F2"/>
    <w:rsid w:val="0019765E"/>
    <w:rsid w:val="001A0357"/>
    <w:rsid w:val="001A043E"/>
    <w:rsid w:val="001A0742"/>
    <w:rsid w:val="001A0A7C"/>
    <w:rsid w:val="001A2046"/>
    <w:rsid w:val="001A2D0E"/>
    <w:rsid w:val="001A2E9B"/>
    <w:rsid w:val="001A2F28"/>
    <w:rsid w:val="001A2F82"/>
    <w:rsid w:val="001A31D7"/>
    <w:rsid w:val="001A36A7"/>
    <w:rsid w:val="001A3862"/>
    <w:rsid w:val="001A392D"/>
    <w:rsid w:val="001A3E01"/>
    <w:rsid w:val="001A3E81"/>
    <w:rsid w:val="001A4166"/>
    <w:rsid w:val="001A465B"/>
    <w:rsid w:val="001A4976"/>
    <w:rsid w:val="001A4A51"/>
    <w:rsid w:val="001A4EAF"/>
    <w:rsid w:val="001A5F9F"/>
    <w:rsid w:val="001A61F2"/>
    <w:rsid w:val="001A6A62"/>
    <w:rsid w:val="001A74B5"/>
    <w:rsid w:val="001A78A7"/>
    <w:rsid w:val="001A7C49"/>
    <w:rsid w:val="001B0BEC"/>
    <w:rsid w:val="001B18BE"/>
    <w:rsid w:val="001B2152"/>
    <w:rsid w:val="001B26DF"/>
    <w:rsid w:val="001B2852"/>
    <w:rsid w:val="001B2EA2"/>
    <w:rsid w:val="001B3086"/>
    <w:rsid w:val="001B4BA5"/>
    <w:rsid w:val="001B503C"/>
    <w:rsid w:val="001B5F08"/>
    <w:rsid w:val="001B661D"/>
    <w:rsid w:val="001B6EF0"/>
    <w:rsid w:val="001B7247"/>
    <w:rsid w:val="001B72F9"/>
    <w:rsid w:val="001B7419"/>
    <w:rsid w:val="001B7B0A"/>
    <w:rsid w:val="001B7FEA"/>
    <w:rsid w:val="001C02BD"/>
    <w:rsid w:val="001C05D1"/>
    <w:rsid w:val="001C07D5"/>
    <w:rsid w:val="001C08E6"/>
    <w:rsid w:val="001C0DAC"/>
    <w:rsid w:val="001C10B3"/>
    <w:rsid w:val="001C127C"/>
    <w:rsid w:val="001C14D2"/>
    <w:rsid w:val="001C2962"/>
    <w:rsid w:val="001C2AF7"/>
    <w:rsid w:val="001C2E4F"/>
    <w:rsid w:val="001C2F9A"/>
    <w:rsid w:val="001C336A"/>
    <w:rsid w:val="001C3590"/>
    <w:rsid w:val="001C4C3F"/>
    <w:rsid w:val="001C4FDA"/>
    <w:rsid w:val="001C54A0"/>
    <w:rsid w:val="001C57C0"/>
    <w:rsid w:val="001C597D"/>
    <w:rsid w:val="001C598C"/>
    <w:rsid w:val="001C659D"/>
    <w:rsid w:val="001C67F6"/>
    <w:rsid w:val="001C68C6"/>
    <w:rsid w:val="001C6A0C"/>
    <w:rsid w:val="001C6BA4"/>
    <w:rsid w:val="001C6C65"/>
    <w:rsid w:val="001C725F"/>
    <w:rsid w:val="001C72CA"/>
    <w:rsid w:val="001C76BB"/>
    <w:rsid w:val="001D0142"/>
    <w:rsid w:val="001D0A78"/>
    <w:rsid w:val="001D1144"/>
    <w:rsid w:val="001D14FA"/>
    <w:rsid w:val="001D23B4"/>
    <w:rsid w:val="001D246F"/>
    <w:rsid w:val="001D2475"/>
    <w:rsid w:val="001D28D0"/>
    <w:rsid w:val="001D2D69"/>
    <w:rsid w:val="001D3441"/>
    <w:rsid w:val="001D3659"/>
    <w:rsid w:val="001D3AFF"/>
    <w:rsid w:val="001D3B85"/>
    <w:rsid w:val="001D436B"/>
    <w:rsid w:val="001D4B38"/>
    <w:rsid w:val="001D4BD9"/>
    <w:rsid w:val="001D4F0D"/>
    <w:rsid w:val="001D5218"/>
    <w:rsid w:val="001D527F"/>
    <w:rsid w:val="001D5295"/>
    <w:rsid w:val="001D53B2"/>
    <w:rsid w:val="001D55A2"/>
    <w:rsid w:val="001D59B5"/>
    <w:rsid w:val="001D625A"/>
    <w:rsid w:val="001D6554"/>
    <w:rsid w:val="001D6941"/>
    <w:rsid w:val="001D69E5"/>
    <w:rsid w:val="001D6AA5"/>
    <w:rsid w:val="001D7914"/>
    <w:rsid w:val="001D7AC6"/>
    <w:rsid w:val="001D7E18"/>
    <w:rsid w:val="001D7F5D"/>
    <w:rsid w:val="001D7F9F"/>
    <w:rsid w:val="001D7FD8"/>
    <w:rsid w:val="001E01D1"/>
    <w:rsid w:val="001E044A"/>
    <w:rsid w:val="001E0B87"/>
    <w:rsid w:val="001E0FCE"/>
    <w:rsid w:val="001E11E2"/>
    <w:rsid w:val="001E11FB"/>
    <w:rsid w:val="001E1B8E"/>
    <w:rsid w:val="001E1CB4"/>
    <w:rsid w:val="001E2888"/>
    <w:rsid w:val="001E2A5A"/>
    <w:rsid w:val="001E2AE3"/>
    <w:rsid w:val="001E2B3D"/>
    <w:rsid w:val="001E2E5C"/>
    <w:rsid w:val="001E30E0"/>
    <w:rsid w:val="001E3130"/>
    <w:rsid w:val="001E39DB"/>
    <w:rsid w:val="001E431B"/>
    <w:rsid w:val="001E46E7"/>
    <w:rsid w:val="001E4A51"/>
    <w:rsid w:val="001E4DF7"/>
    <w:rsid w:val="001E550C"/>
    <w:rsid w:val="001E5605"/>
    <w:rsid w:val="001E5D0D"/>
    <w:rsid w:val="001E5D1D"/>
    <w:rsid w:val="001E5D3A"/>
    <w:rsid w:val="001E5E76"/>
    <w:rsid w:val="001E5EAF"/>
    <w:rsid w:val="001E5FFD"/>
    <w:rsid w:val="001E6691"/>
    <w:rsid w:val="001E6B86"/>
    <w:rsid w:val="001E75E2"/>
    <w:rsid w:val="001F02FE"/>
    <w:rsid w:val="001F0796"/>
    <w:rsid w:val="001F08B3"/>
    <w:rsid w:val="001F0918"/>
    <w:rsid w:val="001F0CB3"/>
    <w:rsid w:val="001F10E3"/>
    <w:rsid w:val="001F11A7"/>
    <w:rsid w:val="001F1205"/>
    <w:rsid w:val="001F1450"/>
    <w:rsid w:val="001F23DC"/>
    <w:rsid w:val="001F2563"/>
    <w:rsid w:val="001F2612"/>
    <w:rsid w:val="001F26A0"/>
    <w:rsid w:val="001F2754"/>
    <w:rsid w:val="001F2D19"/>
    <w:rsid w:val="001F2DD5"/>
    <w:rsid w:val="001F34EC"/>
    <w:rsid w:val="001F378B"/>
    <w:rsid w:val="001F3895"/>
    <w:rsid w:val="001F3BB7"/>
    <w:rsid w:val="001F3F7A"/>
    <w:rsid w:val="001F4320"/>
    <w:rsid w:val="001F464A"/>
    <w:rsid w:val="001F4688"/>
    <w:rsid w:val="001F47CB"/>
    <w:rsid w:val="001F53E5"/>
    <w:rsid w:val="001F54EE"/>
    <w:rsid w:val="001F56AF"/>
    <w:rsid w:val="001F65E5"/>
    <w:rsid w:val="001F6F58"/>
    <w:rsid w:val="001F7002"/>
    <w:rsid w:val="001F705A"/>
    <w:rsid w:val="001F7455"/>
    <w:rsid w:val="001F7520"/>
    <w:rsid w:val="001F7B42"/>
    <w:rsid w:val="001F7D2B"/>
    <w:rsid w:val="001F7F75"/>
    <w:rsid w:val="00200273"/>
    <w:rsid w:val="00200A41"/>
    <w:rsid w:val="00201307"/>
    <w:rsid w:val="00201490"/>
    <w:rsid w:val="00201B35"/>
    <w:rsid w:val="00201E7F"/>
    <w:rsid w:val="00202137"/>
    <w:rsid w:val="0020217E"/>
    <w:rsid w:val="00202278"/>
    <w:rsid w:val="00202561"/>
    <w:rsid w:val="00202A5A"/>
    <w:rsid w:val="00204B58"/>
    <w:rsid w:val="00204F18"/>
    <w:rsid w:val="00205194"/>
    <w:rsid w:val="00205AEA"/>
    <w:rsid w:val="00205B6F"/>
    <w:rsid w:val="00205C8B"/>
    <w:rsid w:val="00205DCF"/>
    <w:rsid w:val="002060D4"/>
    <w:rsid w:val="00206761"/>
    <w:rsid w:val="00206CE1"/>
    <w:rsid w:val="0020713B"/>
    <w:rsid w:val="00207192"/>
    <w:rsid w:val="0020777A"/>
    <w:rsid w:val="0020777C"/>
    <w:rsid w:val="002079B5"/>
    <w:rsid w:val="002102C1"/>
    <w:rsid w:val="00210622"/>
    <w:rsid w:val="002108B4"/>
    <w:rsid w:val="00210C0F"/>
    <w:rsid w:val="00210DF0"/>
    <w:rsid w:val="00210F4D"/>
    <w:rsid w:val="00211DB2"/>
    <w:rsid w:val="0021269C"/>
    <w:rsid w:val="0021273C"/>
    <w:rsid w:val="002134B7"/>
    <w:rsid w:val="002138A4"/>
    <w:rsid w:val="00213A2E"/>
    <w:rsid w:val="00213BC6"/>
    <w:rsid w:val="0021453B"/>
    <w:rsid w:val="00214B07"/>
    <w:rsid w:val="00214BCF"/>
    <w:rsid w:val="00215917"/>
    <w:rsid w:val="00215ADF"/>
    <w:rsid w:val="00215B22"/>
    <w:rsid w:val="00215B59"/>
    <w:rsid w:val="002162D5"/>
    <w:rsid w:val="00216819"/>
    <w:rsid w:val="002170A1"/>
    <w:rsid w:val="00217E8C"/>
    <w:rsid w:val="00220219"/>
    <w:rsid w:val="002203F4"/>
    <w:rsid w:val="002205C5"/>
    <w:rsid w:val="00220B42"/>
    <w:rsid w:val="00220BEF"/>
    <w:rsid w:val="00220DCC"/>
    <w:rsid w:val="002210C4"/>
    <w:rsid w:val="00221462"/>
    <w:rsid w:val="00221DB5"/>
    <w:rsid w:val="00222039"/>
    <w:rsid w:val="00222336"/>
    <w:rsid w:val="00222455"/>
    <w:rsid w:val="0022255C"/>
    <w:rsid w:val="00222CC0"/>
    <w:rsid w:val="002232A4"/>
    <w:rsid w:val="002234A1"/>
    <w:rsid w:val="002238D7"/>
    <w:rsid w:val="002239E4"/>
    <w:rsid w:val="00223A25"/>
    <w:rsid w:val="00223C1F"/>
    <w:rsid w:val="00223CB1"/>
    <w:rsid w:val="00224199"/>
    <w:rsid w:val="00224359"/>
    <w:rsid w:val="00224D0F"/>
    <w:rsid w:val="00224DE7"/>
    <w:rsid w:val="00224F32"/>
    <w:rsid w:val="00225403"/>
    <w:rsid w:val="00225579"/>
    <w:rsid w:val="00225AAA"/>
    <w:rsid w:val="00225F49"/>
    <w:rsid w:val="002261CF"/>
    <w:rsid w:val="0022656D"/>
    <w:rsid w:val="00226A71"/>
    <w:rsid w:val="00226EF4"/>
    <w:rsid w:val="00227035"/>
    <w:rsid w:val="00227A9E"/>
    <w:rsid w:val="00227C83"/>
    <w:rsid w:val="0023016F"/>
    <w:rsid w:val="00231113"/>
    <w:rsid w:val="002312D8"/>
    <w:rsid w:val="0023187B"/>
    <w:rsid w:val="0023245A"/>
    <w:rsid w:val="00232844"/>
    <w:rsid w:val="00232A9D"/>
    <w:rsid w:val="00232EDC"/>
    <w:rsid w:val="00232F70"/>
    <w:rsid w:val="00233661"/>
    <w:rsid w:val="00234247"/>
    <w:rsid w:val="002345B7"/>
    <w:rsid w:val="0023524A"/>
    <w:rsid w:val="0023564C"/>
    <w:rsid w:val="00235DBE"/>
    <w:rsid w:val="00235FBB"/>
    <w:rsid w:val="00235FFC"/>
    <w:rsid w:val="00236166"/>
    <w:rsid w:val="00236395"/>
    <w:rsid w:val="00236C51"/>
    <w:rsid w:val="00236E8E"/>
    <w:rsid w:val="00236FE0"/>
    <w:rsid w:val="002371AE"/>
    <w:rsid w:val="002373D2"/>
    <w:rsid w:val="00237D73"/>
    <w:rsid w:val="00237DBD"/>
    <w:rsid w:val="00237E23"/>
    <w:rsid w:val="00237E80"/>
    <w:rsid w:val="00240120"/>
    <w:rsid w:val="00240121"/>
    <w:rsid w:val="00240153"/>
    <w:rsid w:val="0024028A"/>
    <w:rsid w:val="0024060E"/>
    <w:rsid w:val="00240673"/>
    <w:rsid w:val="00240B20"/>
    <w:rsid w:val="00240C5D"/>
    <w:rsid w:val="002416A5"/>
    <w:rsid w:val="00241CB2"/>
    <w:rsid w:val="00241D70"/>
    <w:rsid w:val="00241EB2"/>
    <w:rsid w:val="002422C4"/>
    <w:rsid w:val="00242840"/>
    <w:rsid w:val="00242EA7"/>
    <w:rsid w:val="0024306A"/>
    <w:rsid w:val="002432BC"/>
    <w:rsid w:val="002435C4"/>
    <w:rsid w:val="002436F2"/>
    <w:rsid w:val="00243E87"/>
    <w:rsid w:val="002440C2"/>
    <w:rsid w:val="00244382"/>
    <w:rsid w:val="00244922"/>
    <w:rsid w:val="00244ADB"/>
    <w:rsid w:val="0024565E"/>
    <w:rsid w:val="00245724"/>
    <w:rsid w:val="00245E88"/>
    <w:rsid w:val="002463AA"/>
    <w:rsid w:val="0024655E"/>
    <w:rsid w:val="0024666B"/>
    <w:rsid w:val="0025000C"/>
    <w:rsid w:val="002501C6"/>
    <w:rsid w:val="00250275"/>
    <w:rsid w:val="00250882"/>
    <w:rsid w:val="00250888"/>
    <w:rsid w:val="002511B0"/>
    <w:rsid w:val="0025193E"/>
    <w:rsid w:val="00251D05"/>
    <w:rsid w:val="00251D2A"/>
    <w:rsid w:val="00251D3C"/>
    <w:rsid w:val="0025218C"/>
    <w:rsid w:val="0025225A"/>
    <w:rsid w:val="002524E5"/>
    <w:rsid w:val="002529D3"/>
    <w:rsid w:val="00252C7D"/>
    <w:rsid w:val="002531D5"/>
    <w:rsid w:val="0025332C"/>
    <w:rsid w:val="00253DFE"/>
    <w:rsid w:val="00254549"/>
    <w:rsid w:val="00254B56"/>
    <w:rsid w:val="00254C4F"/>
    <w:rsid w:val="00255531"/>
    <w:rsid w:val="00255545"/>
    <w:rsid w:val="002559ED"/>
    <w:rsid w:val="00255D80"/>
    <w:rsid w:val="0025670F"/>
    <w:rsid w:val="00256733"/>
    <w:rsid w:val="00256901"/>
    <w:rsid w:val="00257617"/>
    <w:rsid w:val="002576DE"/>
    <w:rsid w:val="00257F32"/>
    <w:rsid w:val="0026016E"/>
    <w:rsid w:val="00260C4E"/>
    <w:rsid w:val="00261B5F"/>
    <w:rsid w:val="00261E55"/>
    <w:rsid w:val="00261FC8"/>
    <w:rsid w:val="002626CE"/>
    <w:rsid w:val="0026287B"/>
    <w:rsid w:val="00262F95"/>
    <w:rsid w:val="002634DD"/>
    <w:rsid w:val="00263526"/>
    <w:rsid w:val="00263570"/>
    <w:rsid w:val="00263579"/>
    <w:rsid w:val="002635FE"/>
    <w:rsid w:val="0026369E"/>
    <w:rsid w:val="002638BA"/>
    <w:rsid w:val="002638DB"/>
    <w:rsid w:val="00263BDC"/>
    <w:rsid w:val="00263CB8"/>
    <w:rsid w:val="00263F2D"/>
    <w:rsid w:val="00264365"/>
    <w:rsid w:val="00264503"/>
    <w:rsid w:val="00264645"/>
    <w:rsid w:val="00264B3E"/>
    <w:rsid w:val="00264F78"/>
    <w:rsid w:val="00265214"/>
    <w:rsid w:val="0026538D"/>
    <w:rsid w:val="00265722"/>
    <w:rsid w:val="00265B7E"/>
    <w:rsid w:val="00265C03"/>
    <w:rsid w:val="00265D09"/>
    <w:rsid w:val="00265F2B"/>
    <w:rsid w:val="0026644D"/>
    <w:rsid w:val="002666C2"/>
    <w:rsid w:val="00266AA2"/>
    <w:rsid w:val="00266B21"/>
    <w:rsid w:val="00266EF3"/>
    <w:rsid w:val="00267209"/>
    <w:rsid w:val="00267758"/>
    <w:rsid w:val="00267C46"/>
    <w:rsid w:val="0027054E"/>
    <w:rsid w:val="0027073A"/>
    <w:rsid w:val="00271345"/>
    <w:rsid w:val="0027198F"/>
    <w:rsid w:val="00271A7A"/>
    <w:rsid w:val="00271C8C"/>
    <w:rsid w:val="00271E4A"/>
    <w:rsid w:val="00271F95"/>
    <w:rsid w:val="002721AB"/>
    <w:rsid w:val="002724CB"/>
    <w:rsid w:val="002729FE"/>
    <w:rsid w:val="00273185"/>
    <w:rsid w:val="0027320C"/>
    <w:rsid w:val="002735A9"/>
    <w:rsid w:val="00273C2E"/>
    <w:rsid w:val="0027402E"/>
    <w:rsid w:val="0027429E"/>
    <w:rsid w:val="002742C7"/>
    <w:rsid w:val="002747EA"/>
    <w:rsid w:val="00274CD2"/>
    <w:rsid w:val="00275325"/>
    <w:rsid w:val="00275432"/>
    <w:rsid w:val="00275910"/>
    <w:rsid w:val="00275D28"/>
    <w:rsid w:val="0027622E"/>
    <w:rsid w:val="0027647E"/>
    <w:rsid w:val="0027671D"/>
    <w:rsid w:val="002768C4"/>
    <w:rsid w:val="00277246"/>
    <w:rsid w:val="002807D7"/>
    <w:rsid w:val="00280B89"/>
    <w:rsid w:val="002810E6"/>
    <w:rsid w:val="00281A5B"/>
    <w:rsid w:val="002826C5"/>
    <w:rsid w:val="0028280C"/>
    <w:rsid w:val="0028304D"/>
    <w:rsid w:val="00283324"/>
    <w:rsid w:val="00283348"/>
    <w:rsid w:val="002835F4"/>
    <w:rsid w:val="0028385A"/>
    <w:rsid w:val="00284233"/>
    <w:rsid w:val="00284796"/>
    <w:rsid w:val="00284A11"/>
    <w:rsid w:val="00284CA8"/>
    <w:rsid w:val="00284E39"/>
    <w:rsid w:val="002851FB"/>
    <w:rsid w:val="00285339"/>
    <w:rsid w:val="002858BE"/>
    <w:rsid w:val="00285BC7"/>
    <w:rsid w:val="00285C71"/>
    <w:rsid w:val="00286296"/>
    <w:rsid w:val="00286348"/>
    <w:rsid w:val="00286443"/>
    <w:rsid w:val="002866BB"/>
    <w:rsid w:val="002873AD"/>
    <w:rsid w:val="0028753E"/>
    <w:rsid w:val="00287A47"/>
    <w:rsid w:val="00287D48"/>
    <w:rsid w:val="00287DFC"/>
    <w:rsid w:val="00287FFA"/>
    <w:rsid w:val="00290443"/>
    <w:rsid w:val="002907DC"/>
    <w:rsid w:val="00290860"/>
    <w:rsid w:val="002915F3"/>
    <w:rsid w:val="0029175C"/>
    <w:rsid w:val="002919FB"/>
    <w:rsid w:val="00291A6C"/>
    <w:rsid w:val="00291DF1"/>
    <w:rsid w:val="00292781"/>
    <w:rsid w:val="00292EA6"/>
    <w:rsid w:val="00293A97"/>
    <w:rsid w:val="00293C4B"/>
    <w:rsid w:val="00294152"/>
    <w:rsid w:val="002949EF"/>
    <w:rsid w:val="00294DB4"/>
    <w:rsid w:val="00296406"/>
    <w:rsid w:val="002966C2"/>
    <w:rsid w:val="00296EA7"/>
    <w:rsid w:val="002971FA"/>
    <w:rsid w:val="00297203"/>
    <w:rsid w:val="002979C1"/>
    <w:rsid w:val="002979D3"/>
    <w:rsid w:val="00297E0C"/>
    <w:rsid w:val="002A0021"/>
    <w:rsid w:val="002A032D"/>
    <w:rsid w:val="002A0B87"/>
    <w:rsid w:val="002A0C8F"/>
    <w:rsid w:val="002A114F"/>
    <w:rsid w:val="002A1488"/>
    <w:rsid w:val="002A1CDF"/>
    <w:rsid w:val="002A206D"/>
    <w:rsid w:val="002A2155"/>
    <w:rsid w:val="002A2310"/>
    <w:rsid w:val="002A29A3"/>
    <w:rsid w:val="002A2F65"/>
    <w:rsid w:val="002A465D"/>
    <w:rsid w:val="002A53BE"/>
    <w:rsid w:val="002A54AD"/>
    <w:rsid w:val="002A6377"/>
    <w:rsid w:val="002A6E03"/>
    <w:rsid w:val="002A6E6A"/>
    <w:rsid w:val="002A6F0B"/>
    <w:rsid w:val="002A7DD8"/>
    <w:rsid w:val="002B003B"/>
    <w:rsid w:val="002B0460"/>
    <w:rsid w:val="002B0675"/>
    <w:rsid w:val="002B0997"/>
    <w:rsid w:val="002B0CD4"/>
    <w:rsid w:val="002B0E5B"/>
    <w:rsid w:val="002B1393"/>
    <w:rsid w:val="002B1564"/>
    <w:rsid w:val="002B1C7E"/>
    <w:rsid w:val="002B1CE7"/>
    <w:rsid w:val="002B240D"/>
    <w:rsid w:val="002B31BC"/>
    <w:rsid w:val="002B32DF"/>
    <w:rsid w:val="002B385F"/>
    <w:rsid w:val="002B3956"/>
    <w:rsid w:val="002B3A35"/>
    <w:rsid w:val="002B3AA7"/>
    <w:rsid w:val="002B424F"/>
    <w:rsid w:val="002B458B"/>
    <w:rsid w:val="002B4AA3"/>
    <w:rsid w:val="002B4B33"/>
    <w:rsid w:val="002B525F"/>
    <w:rsid w:val="002B555C"/>
    <w:rsid w:val="002B5ADB"/>
    <w:rsid w:val="002B5BD0"/>
    <w:rsid w:val="002B6E58"/>
    <w:rsid w:val="002B6FAD"/>
    <w:rsid w:val="002B707B"/>
    <w:rsid w:val="002B7DF0"/>
    <w:rsid w:val="002B7F2A"/>
    <w:rsid w:val="002C058C"/>
    <w:rsid w:val="002C0A2B"/>
    <w:rsid w:val="002C0BF3"/>
    <w:rsid w:val="002C193A"/>
    <w:rsid w:val="002C1C76"/>
    <w:rsid w:val="002C1E4A"/>
    <w:rsid w:val="002C1F69"/>
    <w:rsid w:val="002C227A"/>
    <w:rsid w:val="002C2569"/>
    <w:rsid w:val="002C270B"/>
    <w:rsid w:val="002C2872"/>
    <w:rsid w:val="002C2FF4"/>
    <w:rsid w:val="002C35AC"/>
    <w:rsid w:val="002C3739"/>
    <w:rsid w:val="002C43B8"/>
    <w:rsid w:val="002C49DC"/>
    <w:rsid w:val="002C52BD"/>
    <w:rsid w:val="002C54CE"/>
    <w:rsid w:val="002C5862"/>
    <w:rsid w:val="002C5C83"/>
    <w:rsid w:val="002C5E28"/>
    <w:rsid w:val="002C5FDB"/>
    <w:rsid w:val="002C667E"/>
    <w:rsid w:val="002C70B0"/>
    <w:rsid w:val="002C7607"/>
    <w:rsid w:val="002C766E"/>
    <w:rsid w:val="002D04CE"/>
    <w:rsid w:val="002D06F6"/>
    <w:rsid w:val="002D07FC"/>
    <w:rsid w:val="002D081D"/>
    <w:rsid w:val="002D08F6"/>
    <w:rsid w:val="002D0E62"/>
    <w:rsid w:val="002D1021"/>
    <w:rsid w:val="002D1200"/>
    <w:rsid w:val="002D19AC"/>
    <w:rsid w:val="002D1E1E"/>
    <w:rsid w:val="002D1F3C"/>
    <w:rsid w:val="002D2007"/>
    <w:rsid w:val="002D2371"/>
    <w:rsid w:val="002D297F"/>
    <w:rsid w:val="002D2B24"/>
    <w:rsid w:val="002D2E66"/>
    <w:rsid w:val="002D2F2E"/>
    <w:rsid w:val="002D36FA"/>
    <w:rsid w:val="002D3832"/>
    <w:rsid w:val="002D387F"/>
    <w:rsid w:val="002D3EA8"/>
    <w:rsid w:val="002D4009"/>
    <w:rsid w:val="002D453C"/>
    <w:rsid w:val="002D4863"/>
    <w:rsid w:val="002D48B1"/>
    <w:rsid w:val="002D5086"/>
    <w:rsid w:val="002D5582"/>
    <w:rsid w:val="002D5B48"/>
    <w:rsid w:val="002D5BE5"/>
    <w:rsid w:val="002D6E81"/>
    <w:rsid w:val="002D7338"/>
    <w:rsid w:val="002D7760"/>
    <w:rsid w:val="002D79A1"/>
    <w:rsid w:val="002D7DBB"/>
    <w:rsid w:val="002D7E5A"/>
    <w:rsid w:val="002E00EF"/>
    <w:rsid w:val="002E0D34"/>
    <w:rsid w:val="002E0DC0"/>
    <w:rsid w:val="002E0ED3"/>
    <w:rsid w:val="002E1093"/>
    <w:rsid w:val="002E17AE"/>
    <w:rsid w:val="002E234B"/>
    <w:rsid w:val="002E2733"/>
    <w:rsid w:val="002E2964"/>
    <w:rsid w:val="002E2AEF"/>
    <w:rsid w:val="002E2CA3"/>
    <w:rsid w:val="002E2D16"/>
    <w:rsid w:val="002E3140"/>
    <w:rsid w:val="002E34E2"/>
    <w:rsid w:val="002E3690"/>
    <w:rsid w:val="002E3923"/>
    <w:rsid w:val="002E4062"/>
    <w:rsid w:val="002E428B"/>
    <w:rsid w:val="002E4713"/>
    <w:rsid w:val="002E48CF"/>
    <w:rsid w:val="002E4BC8"/>
    <w:rsid w:val="002E4E2A"/>
    <w:rsid w:val="002E4F73"/>
    <w:rsid w:val="002E51D2"/>
    <w:rsid w:val="002E57EF"/>
    <w:rsid w:val="002E5BA9"/>
    <w:rsid w:val="002E5DCD"/>
    <w:rsid w:val="002E5E42"/>
    <w:rsid w:val="002E61BB"/>
    <w:rsid w:val="002E660F"/>
    <w:rsid w:val="002E6894"/>
    <w:rsid w:val="002E6CED"/>
    <w:rsid w:val="002E71E6"/>
    <w:rsid w:val="002E72CD"/>
    <w:rsid w:val="002E7455"/>
    <w:rsid w:val="002E763C"/>
    <w:rsid w:val="002F0937"/>
    <w:rsid w:val="002F09BB"/>
    <w:rsid w:val="002F0A5A"/>
    <w:rsid w:val="002F0B49"/>
    <w:rsid w:val="002F0FE3"/>
    <w:rsid w:val="002F1247"/>
    <w:rsid w:val="002F14B1"/>
    <w:rsid w:val="002F1519"/>
    <w:rsid w:val="002F15DB"/>
    <w:rsid w:val="002F1844"/>
    <w:rsid w:val="002F19ED"/>
    <w:rsid w:val="002F1C27"/>
    <w:rsid w:val="002F2101"/>
    <w:rsid w:val="002F2D86"/>
    <w:rsid w:val="002F2FEB"/>
    <w:rsid w:val="002F35F1"/>
    <w:rsid w:val="002F3C83"/>
    <w:rsid w:val="002F3C9B"/>
    <w:rsid w:val="002F4042"/>
    <w:rsid w:val="002F4661"/>
    <w:rsid w:val="002F478F"/>
    <w:rsid w:val="002F4AF8"/>
    <w:rsid w:val="002F4F4F"/>
    <w:rsid w:val="002F6002"/>
    <w:rsid w:val="002F61AF"/>
    <w:rsid w:val="002F63E7"/>
    <w:rsid w:val="002F664F"/>
    <w:rsid w:val="002F69E2"/>
    <w:rsid w:val="002F6EE0"/>
    <w:rsid w:val="002F7188"/>
    <w:rsid w:val="002F7C6A"/>
    <w:rsid w:val="0030037E"/>
    <w:rsid w:val="003009D9"/>
    <w:rsid w:val="00300D08"/>
    <w:rsid w:val="00300FF0"/>
    <w:rsid w:val="0030127E"/>
    <w:rsid w:val="003012FB"/>
    <w:rsid w:val="00301302"/>
    <w:rsid w:val="00301B7F"/>
    <w:rsid w:val="00301F21"/>
    <w:rsid w:val="0030223E"/>
    <w:rsid w:val="00302272"/>
    <w:rsid w:val="00302481"/>
    <w:rsid w:val="0030252F"/>
    <w:rsid w:val="003034B5"/>
    <w:rsid w:val="0030367B"/>
    <w:rsid w:val="003039B5"/>
    <w:rsid w:val="00303B86"/>
    <w:rsid w:val="00303D77"/>
    <w:rsid w:val="00303DC1"/>
    <w:rsid w:val="003040B9"/>
    <w:rsid w:val="0030431D"/>
    <w:rsid w:val="0030452C"/>
    <w:rsid w:val="003045D6"/>
    <w:rsid w:val="00304868"/>
    <w:rsid w:val="00304964"/>
    <w:rsid w:val="00304D42"/>
    <w:rsid w:val="00304FE8"/>
    <w:rsid w:val="00305245"/>
    <w:rsid w:val="0030570E"/>
    <w:rsid w:val="00305F01"/>
    <w:rsid w:val="003060CB"/>
    <w:rsid w:val="0030644D"/>
    <w:rsid w:val="003066B9"/>
    <w:rsid w:val="00306796"/>
    <w:rsid w:val="003069CE"/>
    <w:rsid w:val="00307065"/>
    <w:rsid w:val="00307077"/>
    <w:rsid w:val="0030729F"/>
    <w:rsid w:val="003077B9"/>
    <w:rsid w:val="0030786A"/>
    <w:rsid w:val="00307C31"/>
    <w:rsid w:val="0031000E"/>
    <w:rsid w:val="0031107D"/>
    <w:rsid w:val="003110EA"/>
    <w:rsid w:val="003112F3"/>
    <w:rsid w:val="003113E2"/>
    <w:rsid w:val="00311480"/>
    <w:rsid w:val="00311639"/>
    <w:rsid w:val="00311895"/>
    <w:rsid w:val="00311DB9"/>
    <w:rsid w:val="00312100"/>
    <w:rsid w:val="00312516"/>
    <w:rsid w:val="003128B0"/>
    <w:rsid w:val="00312933"/>
    <w:rsid w:val="003130B7"/>
    <w:rsid w:val="0031338D"/>
    <w:rsid w:val="0031360D"/>
    <w:rsid w:val="0031409C"/>
    <w:rsid w:val="0031437E"/>
    <w:rsid w:val="0031494A"/>
    <w:rsid w:val="00314E1A"/>
    <w:rsid w:val="0031506F"/>
    <w:rsid w:val="00315408"/>
    <w:rsid w:val="0031575B"/>
    <w:rsid w:val="003158C6"/>
    <w:rsid w:val="0031600F"/>
    <w:rsid w:val="00316451"/>
    <w:rsid w:val="003164E4"/>
    <w:rsid w:val="00316FB1"/>
    <w:rsid w:val="00317736"/>
    <w:rsid w:val="00317B34"/>
    <w:rsid w:val="00317DE7"/>
    <w:rsid w:val="00317EA1"/>
    <w:rsid w:val="00320D82"/>
    <w:rsid w:val="00320E51"/>
    <w:rsid w:val="00320FB8"/>
    <w:rsid w:val="0032168A"/>
    <w:rsid w:val="003218E3"/>
    <w:rsid w:val="00321A32"/>
    <w:rsid w:val="00321BF0"/>
    <w:rsid w:val="003222CF"/>
    <w:rsid w:val="00322A09"/>
    <w:rsid w:val="003231EE"/>
    <w:rsid w:val="00323A99"/>
    <w:rsid w:val="00323D62"/>
    <w:rsid w:val="00323EE8"/>
    <w:rsid w:val="00323F07"/>
    <w:rsid w:val="003249B4"/>
    <w:rsid w:val="00324E68"/>
    <w:rsid w:val="00324F5A"/>
    <w:rsid w:val="0032558C"/>
    <w:rsid w:val="00325BB8"/>
    <w:rsid w:val="00325EFF"/>
    <w:rsid w:val="00325F96"/>
    <w:rsid w:val="00326454"/>
    <w:rsid w:val="003266A7"/>
    <w:rsid w:val="0032695F"/>
    <w:rsid w:val="00326E6A"/>
    <w:rsid w:val="00327199"/>
    <w:rsid w:val="00327308"/>
    <w:rsid w:val="003273CA"/>
    <w:rsid w:val="0032784B"/>
    <w:rsid w:val="0032794E"/>
    <w:rsid w:val="003301F8"/>
    <w:rsid w:val="00330406"/>
    <w:rsid w:val="003305E0"/>
    <w:rsid w:val="00330616"/>
    <w:rsid w:val="00330C17"/>
    <w:rsid w:val="00330CDB"/>
    <w:rsid w:val="00330F64"/>
    <w:rsid w:val="0033128E"/>
    <w:rsid w:val="0033168E"/>
    <w:rsid w:val="0033172C"/>
    <w:rsid w:val="00331973"/>
    <w:rsid w:val="00331E82"/>
    <w:rsid w:val="0033200E"/>
    <w:rsid w:val="0033210A"/>
    <w:rsid w:val="00332293"/>
    <w:rsid w:val="003328A6"/>
    <w:rsid w:val="00332909"/>
    <w:rsid w:val="00332A17"/>
    <w:rsid w:val="003333C1"/>
    <w:rsid w:val="003333FC"/>
    <w:rsid w:val="0033395C"/>
    <w:rsid w:val="00333BA6"/>
    <w:rsid w:val="00333D44"/>
    <w:rsid w:val="00334668"/>
    <w:rsid w:val="00334692"/>
    <w:rsid w:val="00334C00"/>
    <w:rsid w:val="00334DCC"/>
    <w:rsid w:val="0033514E"/>
    <w:rsid w:val="00335413"/>
    <w:rsid w:val="00335442"/>
    <w:rsid w:val="00335498"/>
    <w:rsid w:val="00335558"/>
    <w:rsid w:val="003355D7"/>
    <w:rsid w:val="00335BC4"/>
    <w:rsid w:val="0033638A"/>
    <w:rsid w:val="00336524"/>
    <w:rsid w:val="00336E0A"/>
    <w:rsid w:val="003372C3"/>
    <w:rsid w:val="003376BA"/>
    <w:rsid w:val="00337708"/>
    <w:rsid w:val="00337A98"/>
    <w:rsid w:val="003406BC"/>
    <w:rsid w:val="00340A58"/>
    <w:rsid w:val="00340CE1"/>
    <w:rsid w:val="00340F84"/>
    <w:rsid w:val="00340FF3"/>
    <w:rsid w:val="003411E7"/>
    <w:rsid w:val="0034148B"/>
    <w:rsid w:val="00341FE8"/>
    <w:rsid w:val="003423DB"/>
    <w:rsid w:val="003429F4"/>
    <w:rsid w:val="00342B6B"/>
    <w:rsid w:val="003433C7"/>
    <w:rsid w:val="00343B9F"/>
    <w:rsid w:val="00343BBA"/>
    <w:rsid w:val="00343BBE"/>
    <w:rsid w:val="00343D69"/>
    <w:rsid w:val="00343DBA"/>
    <w:rsid w:val="00343FAF"/>
    <w:rsid w:val="003440B9"/>
    <w:rsid w:val="00344AB2"/>
    <w:rsid w:val="00344B21"/>
    <w:rsid w:val="00344B85"/>
    <w:rsid w:val="00344DF0"/>
    <w:rsid w:val="00345884"/>
    <w:rsid w:val="00345E7C"/>
    <w:rsid w:val="00345FA2"/>
    <w:rsid w:val="00346150"/>
    <w:rsid w:val="003461F6"/>
    <w:rsid w:val="00346D6B"/>
    <w:rsid w:val="00350198"/>
    <w:rsid w:val="00350369"/>
    <w:rsid w:val="00350C74"/>
    <w:rsid w:val="00350DAC"/>
    <w:rsid w:val="00350E34"/>
    <w:rsid w:val="003518CE"/>
    <w:rsid w:val="00351A23"/>
    <w:rsid w:val="00351A66"/>
    <w:rsid w:val="00351D9A"/>
    <w:rsid w:val="00351E2E"/>
    <w:rsid w:val="00352189"/>
    <w:rsid w:val="00352222"/>
    <w:rsid w:val="003523C5"/>
    <w:rsid w:val="003524FD"/>
    <w:rsid w:val="00352698"/>
    <w:rsid w:val="00352769"/>
    <w:rsid w:val="00352AA9"/>
    <w:rsid w:val="0035385E"/>
    <w:rsid w:val="00354676"/>
    <w:rsid w:val="00354B21"/>
    <w:rsid w:val="00354B87"/>
    <w:rsid w:val="00354C32"/>
    <w:rsid w:val="00354D22"/>
    <w:rsid w:val="0035556B"/>
    <w:rsid w:val="003555ED"/>
    <w:rsid w:val="003558D1"/>
    <w:rsid w:val="00355BA1"/>
    <w:rsid w:val="00355C0F"/>
    <w:rsid w:val="00355DED"/>
    <w:rsid w:val="00355F7D"/>
    <w:rsid w:val="0035604D"/>
    <w:rsid w:val="00356208"/>
    <w:rsid w:val="00356676"/>
    <w:rsid w:val="003568AF"/>
    <w:rsid w:val="00356CCC"/>
    <w:rsid w:val="00356D8A"/>
    <w:rsid w:val="00356F00"/>
    <w:rsid w:val="00357079"/>
    <w:rsid w:val="00357185"/>
    <w:rsid w:val="003574E0"/>
    <w:rsid w:val="00357C53"/>
    <w:rsid w:val="00357C6B"/>
    <w:rsid w:val="0036032A"/>
    <w:rsid w:val="00360551"/>
    <w:rsid w:val="00360B16"/>
    <w:rsid w:val="00360E5F"/>
    <w:rsid w:val="003613AD"/>
    <w:rsid w:val="00361717"/>
    <w:rsid w:val="00362C86"/>
    <w:rsid w:val="00362E2B"/>
    <w:rsid w:val="00362EEB"/>
    <w:rsid w:val="00363085"/>
    <w:rsid w:val="00363191"/>
    <w:rsid w:val="00363243"/>
    <w:rsid w:val="003635EE"/>
    <w:rsid w:val="00363D79"/>
    <w:rsid w:val="00363E58"/>
    <w:rsid w:val="00364D2B"/>
    <w:rsid w:val="00364DD2"/>
    <w:rsid w:val="00365197"/>
    <w:rsid w:val="0036555D"/>
    <w:rsid w:val="003657C8"/>
    <w:rsid w:val="00365862"/>
    <w:rsid w:val="00365884"/>
    <w:rsid w:val="00365A6E"/>
    <w:rsid w:val="00365D65"/>
    <w:rsid w:val="003667EF"/>
    <w:rsid w:val="00366D75"/>
    <w:rsid w:val="00366E5A"/>
    <w:rsid w:val="00367198"/>
    <w:rsid w:val="003671B6"/>
    <w:rsid w:val="00367746"/>
    <w:rsid w:val="00367824"/>
    <w:rsid w:val="0037058C"/>
    <w:rsid w:val="003707D0"/>
    <w:rsid w:val="00370B79"/>
    <w:rsid w:val="00371518"/>
    <w:rsid w:val="00371545"/>
    <w:rsid w:val="003716EB"/>
    <w:rsid w:val="003718D1"/>
    <w:rsid w:val="00371BA1"/>
    <w:rsid w:val="00371E19"/>
    <w:rsid w:val="00371E1D"/>
    <w:rsid w:val="00371FCC"/>
    <w:rsid w:val="00371FFD"/>
    <w:rsid w:val="00372307"/>
    <w:rsid w:val="00372530"/>
    <w:rsid w:val="00372779"/>
    <w:rsid w:val="00372828"/>
    <w:rsid w:val="00372B31"/>
    <w:rsid w:val="00372B36"/>
    <w:rsid w:val="00372EA6"/>
    <w:rsid w:val="003730EB"/>
    <w:rsid w:val="003732DF"/>
    <w:rsid w:val="00373E87"/>
    <w:rsid w:val="00373ECB"/>
    <w:rsid w:val="003742B1"/>
    <w:rsid w:val="00374FB1"/>
    <w:rsid w:val="00375626"/>
    <w:rsid w:val="00375684"/>
    <w:rsid w:val="0037590C"/>
    <w:rsid w:val="00375DD0"/>
    <w:rsid w:val="003765E1"/>
    <w:rsid w:val="00376A3D"/>
    <w:rsid w:val="00376A4E"/>
    <w:rsid w:val="00376CA8"/>
    <w:rsid w:val="003801D8"/>
    <w:rsid w:val="00380370"/>
    <w:rsid w:val="00380A05"/>
    <w:rsid w:val="00380E4B"/>
    <w:rsid w:val="00381424"/>
    <w:rsid w:val="003817C3"/>
    <w:rsid w:val="0038183F"/>
    <w:rsid w:val="00381D6F"/>
    <w:rsid w:val="00381E69"/>
    <w:rsid w:val="00381FFD"/>
    <w:rsid w:val="003823A3"/>
    <w:rsid w:val="00382882"/>
    <w:rsid w:val="00382A58"/>
    <w:rsid w:val="0038306B"/>
    <w:rsid w:val="0038322C"/>
    <w:rsid w:val="00383A18"/>
    <w:rsid w:val="00383CD7"/>
    <w:rsid w:val="003840CE"/>
    <w:rsid w:val="003841E6"/>
    <w:rsid w:val="00384A02"/>
    <w:rsid w:val="003855E2"/>
    <w:rsid w:val="00385C02"/>
    <w:rsid w:val="00385C26"/>
    <w:rsid w:val="00385E82"/>
    <w:rsid w:val="00386041"/>
    <w:rsid w:val="003863E9"/>
    <w:rsid w:val="003864AA"/>
    <w:rsid w:val="00386559"/>
    <w:rsid w:val="00386B76"/>
    <w:rsid w:val="00386D19"/>
    <w:rsid w:val="00386D98"/>
    <w:rsid w:val="00386FEF"/>
    <w:rsid w:val="00387164"/>
    <w:rsid w:val="00387601"/>
    <w:rsid w:val="00387610"/>
    <w:rsid w:val="00387849"/>
    <w:rsid w:val="00387D37"/>
    <w:rsid w:val="00387F5F"/>
    <w:rsid w:val="003900B9"/>
    <w:rsid w:val="003903F8"/>
    <w:rsid w:val="00390AAC"/>
    <w:rsid w:val="00390B98"/>
    <w:rsid w:val="00391460"/>
    <w:rsid w:val="0039170F"/>
    <w:rsid w:val="00391B6F"/>
    <w:rsid w:val="00391E99"/>
    <w:rsid w:val="00392A4A"/>
    <w:rsid w:val="00392E9A"/>
    <w:rsid w:val="0039336D"/>
    <w:rsid w:val="003937BE"/>
    <w:rsid w:val="003939F2"/>
    <w:rsid w:val="00393B50"/>
    <w:rsid w:val="00393F36"/>
    <w:rsid w:val="00393FED"/>
    <w:rsid w:val="0039462F"/>
    <w:rsid w:val="00394B88"/>
    <w:rsid w:val="00394BD4"/>
    <w:rsid w:val="00395887"/>
    <w:rsid w:val="00395923"/>
    <w:rsid w:val="00395C3C"/>
    <w:rsid w:val="0039602C"/>
    <w:rsid w:val="0039677C"/>
    <w:rsid w:val="00396BCC"/>
    <w:rsid w:val="00396EB4"/>
    <w:rsid w:val="003972F6"/>
    <w:rsid w:val="003A00FD"/>
    <w:rsid w:val="003A0444"/>
    <w:rsid w:val="003A0523"/>
    <w:rsid w:val="003A0AA1"/>
    <w:rsid w:val="003A191F"/>
    <w:rsid w:val="003A2AB4"/>
    <w:rsid w:val="003A2C32"/>
    <w:rsid w:val="003A3A2C"/>
    <w:rsid w:val="003A3C7D"/>
    <w:rsid w:val="003A3E41"/>
    <w:rsid w:val="003A466B"/>
    <w:rsid w:val="003A4866"/>
    <w:rsid w:val="003A4ED7"/>
    <w:rsid w:val="003A5260"/>
    <w:rsid w:val="003A619D"/>
    <w:rsid w:val="003A69CE"/>
    <w:rsid w:val="003A6F44"/>
    <w:rsid w:val="003A78F1"/>
    <w:rsid w:val="003A7F2A"/>
    <w:rsid w:val="003A7F48"/>
    <w:rsid w:val="003B01B1"/>
    <w:rsid w:val="003B0437"/>
    <w:rsid w:val="003B0AA0"/>
    <w:rsid w:val="003B0AEB"/>
    <w:rsid w:val="003B100F"/>
    <w:rsid w:val="003B1359"/>
    <w:rsid w:val="003B13FF"/>
    <w:rsid w:val="003B142A"/>
    <w:rsid w:val="003B161A"/>
    <w:rsid w:val="003B17A4"/>
    <w:rsid w:val="003B1829"/>
    <w:rsid w:val="003B1976"/>
    <w:rsid w:val="003B1C36"/>
    <w:rsid w:val="003B1E9F"/>
    <w:rsid w:val="003B2266"/>
    <w:rsid w:val="003B2571"/>
    <w:rsid w:val="003B27E9"/>
    <w:rsid w:val="003B32B9"/>
    <w:rsid w:val="003B3442"/>
    <w:rsid w:val="003B350D"/>
    <w:rsid w:val="003B379E"/>
    <w:rsid w:val="003B39EA"/>
    <w:rsid w:val="003B3DE2"/>
    <w:rsid w:val="003B3ED0"/>
    <w:rsid w:val="003B42EF"/>
    <w:rsid w:val="003B4540"/>
    <w:rsid w:val="003B485A"/>
    <w:rsid w:val="003B49BA"/>
    <w:rsid w:val="003B4CA7"/>
    <w:rsid w:val="003B5012"/>
    <w:rsid w:val="003B5251"/>
    <w:rsid w:val="003B5A03"/>
    <w:rsid w:val="003B6C6E"/>
    <w:rsid w:val="003B6CB7"/>
    <w:rsid w:val="003B6DE9"/>
    <w:rsid w:val="003B7956"/>
    <w:rsid w:val="003B7C16"/>
    <w:rsid w:val="003B7F99"/>
    <w:rsid w:val="003C023F"/>
    <w:rsid w:val="003C06C1"/>
    <w:rsid w:val="003C0750"/>
    <w:rsid w:val="003C0789"/>
    <w:rsid w:val="003C0830"/>
    <w:rsid w:val="003C0F21"/>
    <w:rsid w:val="003C165A"/>
    <w:rsid w:val="003C173A"/>
    <w:rsid w:val="003C1768"/>
    <w:rsid w:val="003C185E"/>
    <w:rsid w:val="003C273F"/>
    <w:rsid w:val="003C2DE5"/>
    <w:rsid w:val="003C2E59"/>
    <w:rsid w:val="003C30B3"/>
    <w:rsid w:val="003C3DD4"/>
    <w:rsid w:val="003C3E48"/>
    <w:rsid w:val="003C3EDB"/>
    <w:rsid w:val="003C4763"/>
    <w:rsid w:val="003C4FA4"/>
    <w:rsid w:val="003C52ED"/>
    <w:rsid w:val="003C59CE"/>
    <w:rsid w:val="003C78C0"/>
    <w:rsid w:val="003C78E1"/>
    <w:rsid w:val="003C78F5"/>
    <w:rsid w:val="003C7B26"/>
    <w:rsid w:val="003C7DF5"/>
    <w:rsid w:val="003D19CD"/>
    <w:rsid w:val="003D22BA"/>
    <w:rsid w:val="003D29A3"/>
    <w:rsid w:val="003D29FA"/>
    <w:rsid w:val="003D2ABA"/>
    <w:rsid w:val="003D2F60"/>
    <w:rsid w:val="003D35C1"/>
    <w:rsid w:val="003D3710"/>
    <w:rsid w:val="003D3BE7"/>
    <w:rsid w:val="003D3C7D"/>
    <w:rsid w:val="003D4065"/>
    <w:rsid w:val="003D44CB"/>
    <w:rsid w:val="003D49F2"/>
    <w:rsid w:val="003D4D5A"/>
    <w:rsid w:val="003D4E67"/>
    <w:rsid w:val="003D4FA6"/>
    <w:rsid w:val="003D6C91"/>
    <w:rsid w:val="003D72A6"/>
    <w:rsid w:val="003D72AE"/>
    <w:rsid w:val="003D73E4"/>
    <w:rsid w:val="003D74A4"/>
    <w:rsid w:val="003D7703"/>
    <w:rsid w:val="003D7FC1"/>
    <w:rsid w:val="003E04E4"/>
    <w:rsid w:val="003E0A34"/>
    <w:rsid w:val="003E1763"/>
    <w:rsid w:val="003E1DF5"/>
    <w:rsid w:val="003E2240"/>
    <w:rsid w:val="003E22EF"/>
    <w:rsid w:val="003E2D05"/>
    <w:rsid w:val="003E2D58"/>
    <w:rsid w:val="003E31B1"/>
    <w:rsid w:val="003E3405"/>
    <w:rsid w:val="003E347B"/>
    <w:rsid w:val="003E3A68"/>
    <w:rsid w:val="003E3FF5"/>
    <w:rsid w:val="003E4140"/>
    <w:rsid w:val="003E429A"/>
    <w:rsid w:val="003E4A03"/>
    <w:rsid w:val="003E4C3A"/>
    <w:rsid w:val="003E4D93"/>
    <w:rsid w:val="003E5151"/>
    <w:rsid w:val="003E5574"/>
    <w:rsid w:val="003E5AEE"/>
    <w:rsid w:val="003E5B34"/>
    <w:rsid w:val="003E5D6F"/>
    <w:rsid w:val="003E6192"/>
    <w:rsid w:val="003E661C"/>
    <w:rsid w:val="003E6660"/>
    <w:rsid w:val="003E7130"/>
    <w:rsid w:val="003E753D"/>
    <w:rsid w:val="003E79A4"/>
    <w:rsid w:val="003E7C97"/>
    <w:rsid w:val="003E7EEC"/>
    <w:rsid w:val="003F003E"/>
    <w:rsid w:val="003F03D5"/>
    <w:rsid w:val="003F046F"/>
    <w:rsid w:val="003F0702"/>
    <w:rsid w:val="003F07A7"/>
    <w:rsid w:val="003F0986"/>
    <w:rsid w:val="003F09F7"/>
    <w:rsid w:val="003F1AB1"/>
    <w:rsid w:val="003F1FCA"/>
    <w:rsid w:val="003F23C4"/>
    <w:rsid w:val="003F2B35"/>
    <w:rsid w:val="003F3087"/>
    <w:rsid w:val="003F3753"/>
    <w:rsid w:val="003F43A4"/>
    <w:rsid w:val="003F4620"/>
    <w:rsid w:val="003F4A01"/>
    <w:rsid w:val="003F5AA3"/>
    <w:rsid w:val="003F6877"/>
    <w:rsid w:val="003F6EDD"/>
    <w:rsid w:val="003F76AC"/>
    <w:rsid w:val="003F7F34"/>
    <w:rsid w:val="00400386"/>
    <w:rsid w:val="00400665"/>
    <w:rsid w:val="00400BAE"/>
    <w:rsid w:val="00400BBE"/>
    <w:rsid w:val="004018E0"/>
    <w:rsid w:val="004019E3"/>
    <w:rsid w:val="00401BD2"/>
    <w:rsid w:val="004020C4"/>
    <w:rsid w:val="004022D3"/>
    <w:rsid w:val="004025AF"/>
    <w:rsid w:val="00402670"/>
    <w:rsid w:val="00403404"/>
    <w:rsid w:val="00403723"/>
    <w:rsid w:val="00403837"/>
    <w:rsid w:val="00403AC9"/>
    <w:rsid w:val="00403F3E"/>
    <w:rsid w:val="00403FAA"/>
    <w:rsid w:val="0040415E"/>
    <w:rsid w:val="00404390"/>
    <w:rsid w:val="00404608"/>
    <w:rsid w:val="004049E3"/>
    <w:rsid w:val="00405089"/>
    <w:rsid w:val="00405280"/>
    <w:rsid w:val="004056EF"/>
    <w:rsid w:val="00405C79"/>
    <w:rsid w:val="00405F4E"/>
    <w:rsid w:val="004061F8"/>
    <w:rsid w:val="00407259"/>
    <w:rsid w:val="00407566"/>
    <w:rsid w:val="00407E96"/>
    <w:rsid w:val="00407FAE"/>
    <w:rsid w:val="00410130"/>
    <w:rsid w:val="004101F4"/>
    <w:rsid w:val="004102CF"/>
    <w:rsid w:val="00411189"/>
    <w:rsid w:val="00411207"/>
    <w:rsid w:val="00411664"/>
    <w:rsid w:val="00412299"/>
    <w:rsid w:val="0041257F"/>
    <w:rsid w:val="0041289C"/>
    <w:rsid w:val="00412DAA"/>
    <w:rsid w:val="0041340F"/>
    <w:rsid w:val="00413699"/>
    <w:rsid w:val="004136C3"/>
    <w:rsid w:val="00413AC1"/>
    <w:rsid w:val="0041497E"/>
    <w:rsid w:val="00415065"/>
    <w:rsid w:val="00415382"/>
    <w:rsid w:val="00415396"/>
    <w:rsid w:val="00415BAB"/>
    <w:rsid w:val="00415C4B"/>
    <w:rsid w:val="00415EBD"/>
    <w:rsid w:val="00415EFD"/>
    <w:rsid w:val="00417041"/>
    <w:rsid w:val="0042026C"/>
    <w:rsid w:val="0042095A"/>
    <w:rsid w:val="004209B7"/>
    <w:rsid w:val="00420B92"/>
    <w:rsid w:val="00420E8E"/>
    <w:rsid w:val="0042115D"/>
    <w:rsid w:val="00421757"/>
    <w:rsid w:val="004217AC"/>
    <w:rsid w:val="00421C56"/>
    <w:rsid w:val="00421CBD"/>
    <w:rsid w:val="00421CD5"/>
    <w:rsid w:val="00421CD8"/>
    <w:rsid w:val="00421E5C"/>
    <w:rsid w:val="00422CC9"/>
    <w:rsid w:val="00423473"/>
    <w:rsid w:val="004235AD"/>
    <w:rsid w:val="004235EB"/>
    <w:rsid w:val="00423838"/>
    <w:rsid w:val="00423967"/>
    <w:rsid w:val="00423B24"/>
    <w:rsid w:val="00423B68"/>
    <w:rsid w:val="00423D40"/>
    <w:rsid w:val="00423EC3"/>
    <w:rsid w:val="00423FF6"/>
    <w:rsid w:val="0042407B"/>
    <w:rsid w:val="004242FC"/>
    <w:rsid w:val="00424323"/>
    <w:rsid w:val="0042437A"/>
    <w:rsid w:val="004244B2"/>
    <w:rsid w:val="00424640"/>
    <w:rsid w:val="00424D49"/>
    <w:rsid w:val="00424D97"/>
    <w:rsid w:val="00424E7D"/>
    <w:rsid w:val="0042506E"/>
    <w:rsid w:val="0042544F"/>
    <w:rsid w:val="004261C2"/>
    <w:rsid w:val="00426481"/>
    <w:rsid w:val="004268BF"/>
    <w:rsid w:val="00426D75"/>
    <w:rsid w:val="00426E14"/>
    <w:rsid w:val="00426F22"/>
    <w:rsid w:val="0042702F"/>
    <w:rsid w:val="00427578"/>
    <w:rsid w:val="00427749"/>
    <w:rsid w:val="00427D9F"/>
    <w:rsid w:val="00427F56"/>
    <w:rsid w:val="00427FB2"/>
    <w:rsid w:val="00430045"/>
    <w:rsid w:val="00430C54"/>
    <w:rsid w:val="00430DA3"/>
    <w:rsid w:val="00430DF7"/>
    <w:rsid w:val="0043124F"/>
    <w:rsid w:val="00431A72"/>
    <w:rsid w:val="00431EA5"/>
    <w:rsid w:val="0043240B"/>
    <w:rsid w:val="00432772"/>
    <w:rsid w:val="0043325F"/>
    <w:rsid w:val="004333DF"/>
    <w:rsid w:val="00433793"/>
    <w:rsid w:val="0043420D"/>
    <w:rsid w:val="00434242"/>
    <w:rsid w:val="00434E27"/>
    <w:rsid w:val="00434E4E"/>
    <w:rsid w:val="00434EB1"/>
    <w:rsid w:val="00434F4E"/>
    <w:rsid w:val="00435291"/>
    <w:rsid w:val="004355ED"/>
    <w:rsid w:val="00436056"/>
    <w:rsid w:val="00436206"/>
    <w:rsid w:val="00437EF0"/>
    <w:rsid w:val="00440127"/>
    <w:rsid w:val="004402A5"/>
    <w:rsid w:val="0044035F"/>
    <w:rsid w:val="004406C2"/>
    <w:rsid w:val="00440A6F"/>
    <w:rsid w:val="00440ED3"/>
    <w:rsid w:val="00441FA8"/>
    <w:rsid w:val="0044218C"/>
    <w:rsid w:val="00442DC2"/>
    <w:rsid w:val="00442E26"/>
    <w:rsid w:val="0044335F"/>
    <w:rsid w:val="0044377D"/>
    <w:rsid w:val="00444351"/>
    <w:rsid w:val="00444391"/>
    <w:rsid w:val="00444BF2"/>
    <w:rsid w:val="004459F7"/>
    <w:rsid w:val="00445B7F"/>
    <w:rsid w:val="004460DC"/>
    <w:rsid w:val="00446466"/>
    <w:rsid w:val="00446960"/>
    <w:rsid w:val="00446C42"/>
    <w:rsid w:val="00446F8A"/>
    <w:rsid w:val="00447474"/>
    <w:rsid w:val="0044760D"/>
    <w:rsid w:val="00447A86"/>
    <w:rsid w:val="00450072"/>
    <w:rsid w:val="00450456"/>
    <w:rsid w:val="004505CD"/>
    <w:rsid w:val="00450C70"/>
    <w:rsid w:val="00450E58"/>
    <w:rsid w:val="0045112F"/>
    <w:rsid w:val="00451775"/>
    <w:rsid w:val="00451945"/>
    <w:rsid w:val="00451DFC"/>
    <w:rsid w:val="00451E7C"/>
    <w:rsid w:val="004522F4"/>
    <w:rsid w:val="004525CC"/>
    <w:rsid w:val="004525E4"/>
    <w:rsid w:val="004525F0"/>
    <w:rsid w:val="00452A76"/>
    <w:rsid w:val="00452E7C"/>
    <w:rsid w:val="00452F4B"/>
    <w:rsid w:val="0045339D"/>
    <w:rsid w:val="0045363F"/>
    <w:rsid w:val="0045378A"/>
    <w:rsid w:val="004537B5"/>
    <w:rsid w:val="00453C03"/>
    <w:rsid w:val="004547DD"/>
    <w:rsid w:val="004553B6"/>
    <w:rsid w:val="00455626"/>
    <w:rsid w:val="0045582E"/>
    <w:rsid w:val="00455932"/>
    <w:rsid w:val="00455938"/>
    <w:rsid w:val="00455A50"/>
    <w:rsid w:val="00456351"/>
    <w:rsid w:val="00456B13"/>
    <w:rsid w:val="0045720A"/>
    <w:rsid w:val="004578B0"/>
    <w:rsid w:val="00457914"/>
    <w:rsid w:val="00457CB6"/>
    <w:rsid w:val="00457E0B"/>
    <w:rsid w:val="00457F66"/>
    <w:rsid w:val="0046049C"/>
    <w:rsid w:val="00460AB1"/>
    <w:rsid w:val="00460C92"/>
    <w:rsid w:val="0046108D"/>
    <w:rsid w:val="004615E0"/>
    <w:rsid w:val="00461769"/>
    <w:rsid w:val="0046178F"/>
    <w:rsid w:val="00462042"/>
    <w:rsid w:val="00462751"/>
    <w:rsid w:val="004627A3"/>
    <w:rsid w:val="00462809"/>
    <w:rsid w:val="00462A1D"/>
    <w:rsid w:val="00462CA6"/>
    <w:rsid w:val="004633B7"/>
    <w:rsid w:val="004633CE"/>
    <w:rsid w:val="00463682"/>
    <w:rsid w:val="004638BF"/>
    <w:rsid w:val="00463F6D"/>
    <w:rsid w:val="00464377"/>
    <w:rsid w:val="004646CB"/>
    <w:rsid w:val="00465384"/>
    <w:rsid w:val="004658A3"/>
    <w:rsid w:val="004664B2"/>
    <w:rsid w:val="0046693B"/>
    <w:rsid w:val="00467835"/>
    <w:rsid w:val="00467A9C"/>
    <w:rsid w:val="00467CBE"/>
    <w:rsid w:val="00467D1C"/>
    <w:rsid w:val="004706D0"/>
    <w:rsid w:val="004708F7"/>
    <w:rsid w:val="00470C3F"/>
    <w:rsid w:val="00470C4C"/>
    <w:rsid w:val="00470E37"/>
    <w:rsid w:val="004710F1"/>
    <w:rsid w:val="00471B7D"/>
    <w:rsid w:val="00471C78"/>
    <w:rsid w:val="00472B20"/>
    <w:rsid w:val="00473092"/>
    <w:rsid w:val="00473201"/>
    <w:rsid w:val="0047407E"/>
    <w:rsid w:val="0047454B"/>
    <w:rsid w:val="00474AEA"/>
    <w:rsid w:val="00474D23"/>
    <w:rsid w:val="004754C4"/>
    <w:rsid w:val="004754DF"/>
    <w:rsid w:val="00475774"/>
    <w:rsid w:val="00475AA5"/>
    <w:rsid w:val="00476280"/>
    <w:rsid w:val="0047655C"/>
    <w:rsid w:val="00476C1D"/>
    <w:rsid w:val="00476D98"/>
    <w:rsid w:val="00476EEC"/>
    <w:rsid w:val="00476F8F"/>
    <w:rsid w:val="00477D14"/>
    <w:rsid w:val="004804E2"/>
    <w:rsid w:val="00481106"/>
    <w:rsid w:val="00481541"/>
    <w:rsid w:val="0048161F"/>
    <w:rsid w:val="0048169C"/>
    <w:rsid w:val="00481F4B"/>
    <w:rsid w:val="00481FFA"/>
    <w:rsid w:val="00482255"/>
    <w:rsid w:val="004822D0"/>
    <w:rsid w:val="004824CF"/>
    <w:rsid w:val="00482D06"/>
    <w:rsid w:val="00482E65"/>
    <w:rsid w:val="00483939"/>
    <w:rsid w:val="00483B91"/>
    <w:rsid w:val="00483E9B"/>
    <w:rsid w:val="004843FE"/>
    <w:rsid w:val="00485020"/>
    <w:rsid w:val="00485542"/>
    <w:rsid w:val="0048573E"/>
    <w:rsid w:val="004858CF"/>
    <w:rsid w:val="004859FC"/>
    <w:rsid w:val="00485C78"/>
    <w:rsid w:val="00486435"/>
    <w:rsid w:val="004867CC"/>
    <w:rsid w:val="004868AB"/>
    <w:rsid w:val="004869F2"/>
    <w:rsid w:val="00486B97"/>
    <w:rsid w:val="00486E84"/>
    <w:rsid w:val="00486F7B"/>
    <w:rsid w:val="004877A0"/>
    <w:rsid w:val="004900F7"/>
    <w:rsid w:val="004901DF"/>
    <w:rsid w:val="0049027F"/>
    <w:rsid w:val="004904BC"/>
    <w:rsid w:val="00490624"/>
    <w:rsid w:val="00490AB2"/>
    <w:rsid w:val="00490AEB"/>
    <w:rsid w:val="00491923"/>
    <w:rsid w:val="00491BA3"/>
    <w:rsid w:val="004922CE"/>
    <w:rsid w:val="00492516"/>
    <w:rsid w:val="004925ED"/>
    <w:rsid w:val="00493046"/>
    <w:rsid w:val="004931B4"/>
    <w:rsid w:val="004934BC"/>
    <w:rsid w:val="004936CE"/>
    <w:rsid w:val="00493FDA"/>
    <w:rsid w:val="0049436D"/>
    <w:rsid w:val="00494876"/>
    <w:rsid w:val="00494C43"/>
    <w:rsid w:val="00494D97"/>
    <w:rsid w:val="00495AE7"/>
    <w:rsid w:val="00495D1E"/>
    <w:rsid w:val="00495F22"/>
    <w:rsid w:val="00496209"/>
    <w:rsid w:val="00496287"/>
    <w:rsid w:val="00496300"/>
    <w:rsid w:val="0049642F"/>
    <w:rsid w:val="00496543"/>
    <w:rsid w:val="00496802"/>
    <w:rsid w:val="00497ECC"/>
    <w:rsid w:val="00497FEE"/>
    <w:rsid w:val="004A006E"/>
    <w:rsid w:val="004A0E1A"/>
    <w:rsid w:val="004A107E"/>
    <w:rsid w:val="004A1F37"/>
    <w:rsid w:val="004A1F53"/>
    <w:rsid w:val="004A236A"/>
    <w:rsid w:val="004A24BE"/>
    <w:rsid w:val="004A260E"/>
    <w:rsid w:val="004A28E8"/>
    <w:rsid w:val="004A2A1A"/>
    <w:rsid w:val="004A2C2B"/>
    <w:rsid w:val="004A2ECD"/>
    <w:rsid w:val="004A3335"/>
    <w:rsid w:val="004A360B"/>
    <w:rsid w:val="004A3A15"/>
    <w:rsid w:val="004A3D93"/>
    <w:rsid w:val="004A3E92"/>
    <w:rsid w:val="004A4077"/>
    <w:rsid w:val="004A4B6B"/>
    <w:rsid w:val="004A4D82"/>
    <w:rsid w:val="004A4FAE"/>
    <w:rsid w:val="004A5194"/>
    <w:rsid w:val="004A57B7"/>
    <w:rsid w:val="004A5AD5"/>
    <w:rsid w:val="004A62E0"/>
    <w:rsid w:val="004A6733"/>
    <w:rsid w:val="004A6A49"/>
    <w:rsid w:val="004A6C77"/>
    <w:rsid w:val="004A7069"/>
    <w:rsid w:val="004A7685"/>
    <w:rsid w:val="004A770E"/>
    <w:rsid w:val="004A7B94"/>
    <w:rsid w:val="004A7F1A"/>
    <w:rsid w:val="004A7F30"/>
    <w:rsid w:val="004B07B8"/>
    <w:rsid w:val="004B0DB5"/>
    <w:rsid w:val="004B0FCA"/>
    <w:rsid w:val="004B174A"/>
    <w:rsid w:val="004B1962"/>
    <w:rsid w:val="004B2424"/>
    <w:rsid w:val="004B2557"/>
    <w:rsid w:val="004B2CB7"/>
    <w:rsid w:val="004B2F20"/>
    <w:rsid w:val="004B2F84"/>
    <w:rsid w:val="004B3034"/>
    <w:rsid w:val="004B3125"/>
    <w:rsid w:val="004B32BB"/>
    <w:rsid w:val="004B378D"/>
    <w:rsid w:val="004B3A90"/>
    <w:rsid w:val="004B3D80"/>
    <w:rsid w:val="004B3E28"/>
    <w:rsid w:val="004B42A6"/>
    <w:rsid w:val="004B435A"/>
    <w:rsid w:val="004B48C5"/>
    <w:rsid w:val="004B49C4"/>
    <w:rsid w:val="004B4C31"/>
    <w:rsid w:val="004B4FAC"/>
    <w:rsid w:val="004B4FD2"/>
    <w:rsid w:val="004B518C"/>
    <w:rsid w:val="004B5830"/>
    <w:rsid w:val="004B5A3A"/>
    <w:rsid w:val="004B5EDC"/>
    <w:rsid w:val="004B61FB"/>
    <w:rsid w:val="004B62DF"/>
    <w:rsid w:val="004B6991"/>
    <w:rsid w:val="004B6F7B"/>
    <w:rsid w:val="004B708A"/>
    <w:rsid w:val="004B74B6"/>
    <w:rsid w:val="004B74C1"/>
    <w:rsid w:val="004B758F"/>
    <w:rsid w:val="004B77A8"/>
    <w:rsid w:val="004B77DE"/>
    <w:rsid w:val="004B77EC"/>
    <w:rsid w:val="004B7A18"/>
    <w:rsid w:val="004B7AA9"/>
    <w:rsid w:val="004B7C9E"/>
    <w:rsid w:val="004C014E"/>
    <w:rsid w:val="004C0524"/>
    <w:rsid w:val="004C0C75"/>
    <w:rsid w:val="004C0F1A"/>
    <w:rsid w:val="004C0F3A"/>
    <w:rsid w:val="004C133E"/>
    <w:rsid w:val="004C1745"/>
    <w:rsid w:val="004C19B2"/>
    <w:rsid w:val="004C27B4"/>
    <w:rsid w:val="004C299A"/>
    <w:rsid w:val="004C2D97"/>
    <w:rsid w:val="004C3024"/>
    <w:rsid w:val="004C390A"/>
    <w:rsid w:val="004C402A"/>
    <w:rsid w:val="004C44AE"/>
    <w:rsid w:val="004C463B"/>
    <w:rsid w:val="004C4727"/>
    <w:rsid w:val="004C4C4B"/>
    <w:rsid w:val="004C5790"/>
    <w:rsid w:val="004C5B93"/>
    <w:rsid w:val="004C5D9A"/>
    <w:rsid w:val="004C6013"/>
    <w:rsid w:val="004C63D1"/>
    <w:rsid w:val="004C699A"/>
    <w:rsid w:val="004C6EC0"/>
    <w:rsid w:val="004C6EE2"/>
    <w:rsid w:val="004C79B9"/>
    <w:rsid w:val="004D020C"/>
    <w:rsid w:val="004D05C5"/>
    <w:rsid w:val="004D0BBC"/>
    <w:rsid w:val="004D0C7A"/>
    <w:rsid w:val="004D12D3"/>
    <w:rsid w:val="004D1571"/>
    <w:rsid w:val="004D177F"/>
    <w:rsid w:val="004D23E5"/>
    <w:rsid w:val="004D24A8"/>
    <w:rsid w:val="004D2535"/>
    <w:rsid w:val="004D2747"/>
    <w:rsid w:val="004D2F61"/>
    <w:rsid w:val="004D34B9"/>
    <w:rsid w:val="004D3AA4"/>
    <w:rsid w:val="004D3D47"/>
    <w:rsid w:val="004D41AC"/>
    <w:rsid w:val="004D465C"/>
    <w:rsid w:val="004D49E0"/>
    <w:rsid w:val="004D4B77"/>
    <w:rsid w:val="004D4F21"/>
    <w:rsid w:val="004D5998"/>
    <w:rsid w:val="004D6048"/>
    <w:rsid w:val="004D61C8"/>
    <w:rsid w:val="004D63C4"/>
    <w:rsid w:val="004D6F45"/>
    <w:rsid w:val="004D6F63"/>
    <w:rsid w:val="004D71BA"/>
    <w:rsid w:val="004D7288"/>
    <w:rsid w:val="004D7614"/>
    <w:rsid w:val="004D7856"/>
    <w:rsid w:val="004D7DF8"/>
    <w:rsid w:val="004E045A"/>
    <w:rsid w:val="004E0819"/>
    <w:rsid w:val="004E0EAB"/>
    <w:rsid w:val="004E0ED5"/>
    <w:rsid w:val="004E11A7"/>
    <w:rsid w:val="004E11CF"/>
    <w:rsid w:val="004E2FE7"/>
    <w:rsid w:val="004E3A59"/>
    <w:rsid w:val="004E3B5C"/>
    <w:rsid w:val="004E3E4B"/>
    <w:rsid w:val="004E3EC9"/>
    <w:rsid w:val="004E4317"/>
    <w:rsid w:val="004E4762"/>
    <w:rsid w:val="004E4F45"/>
    <w:rsid w:val="004E593B"/>
    <w:rsid w:val="004E5B10"/>
    <w:rsid w:val="004E5D77"/>
    <w:rsid w:val="004E646A"/>
    <w:rsid w:val="004E750A"/>
    <w:rsid w:val="004E7AEC"/>
    <w:rsid w:val="004F0473"/>
    <w:rsid w:val="004F05F7"/>
    <w:rsid w:val="004F0A78"/>
    <w:rsid w:val="004F1081"/>
    <w:rsid w:val="004F111C"/>
    <w:rsid w:val="004F16DD"/>
    <w:rsid w:val="004F1AE6"/>
    <w:rsid w:val="004F1F8F"/>
    <w:rsid w:val="004F206A"/>
    <w:rsid w:val="004F2192"/>
    <w:rsid w:val="004F2414"/>
    <w:rsid w:val="004F2B93"/>
    <w:rsid w:val="004F3006"/>
    <w:rsid w:val="004F42FE"/>
    <w:rsid w:val="004F48C4"/>
    <w:rsid w:val="004F51C6"/>
    <w:rsid w:val="004F52F9"/>
    <w:rsid w:val="004F5D38"/>
    <w:rsid w:val="004F5D97"/>
    <w:rsid w:val="004F5FB3"/>
    <w:rsid w:val="004F61BC"/>
    <w:rsid w:val="004F631F"/>
    <w:rsid w:val="004F69A5"/>
    <w:rsid w:val="004F72D2"/>
    <w:rsid w:val="004F7541"/>
    <w:rsid w:val="004F7A07"/>
    <w:rsid w:val="004F7A33"/>
    <w:rsid w:val="004F7A63"/>
    <w:rsid w:val="004F7BA9"/>
    <w:rsid w:val="004F7E49"/>
    <w:rsid w:val="004F7FA7"/>
    <w:rsid w:val="0050037E"/>
    <w:rsid w:val="005005AE"/>
    <w:rsid w:val="00500741"/>
    <w:rsid w:val="005007D4"/>
    <w:rsid w:val="0050098B"/>
    <w:rsid w:val="00500BCB"/>
    <w:rsid w:val="00500DD5"/>
    <w:rsid w:val="00501120"/>
    <w:rsid w:val="00501148"/>
    <w:rsid w:val="005012E7"/>
    <w:rsid w:val="00501738"/>
    <w:rsid w:val="00501B05"/>
    <w:rsid w:val="00501CC1"/>
    <w:rsid w:val="00501ED5"/>
    <w:rsid w:val="0050201E"/>
    <w:rsid w:val="005022AF"/>
    <w:rsid w:val="00502A9B"/>
    <w:rsid w:val="00503141"/>
    <w:rsid w:val="005031A5"/>
    <w:rsid w:val="0050339C"/>
    <w:rsid w:val="005033E8"/>
    <w:rsid w:val="00503547"/>
    <w:rsid w:val="00503C65"/>
    <w:rsid w:val="005041FD"/>
    <w:rsid w:val="00504448"/>
    <w:rsid w:val="00504519"/>
    <w:rsid w:val="005048BC"/>
    <w:rsid w:val="005048DE"/>
    <w:rsid w:val="0050495A"/>
    <w:rsid w:val="00504B8E"/>
    <w:rsid w:val="005055B0"/>
    <w:rsid w:val="00505613"/>
    <w:rsid w:val="00505615"/>
    <w:rsid w:val="005056D2"/>
    <w:rsid w:val="0050625F"/>
    <w:rsid w:val="00507A67"/>
    <w:rsid w:val="00507E8E"/>
    <w:rsid w:val="00510704"/>
    <w:rsid w:val="00510DED"/>
    <w:rsid w:val="00510F5B"/>
    <w:rsid w:val="00511907"/>
    <w:rsid w:val="0051193B"/>
    <w:rsid w:val="00511E76"/>
    <w:rsid w:val="0051220C"/>
    <w:rsid w:val="00512631"/>
    <w:rsid w:val="00513068"/>
    <w:rsid w:val="005132AA"/>
    <w:rsid w:val="005137AC"/>
    <w:rsid w:val="00513E14"/>
    <w:rsid w:val="005140E1"/>
    <w:rsid w:val="00514796"/>
    <w:rsid w:val="005149CF"/>
    <w:rsid w:val="00514DE2"/>
    <w:rsid w:val="005154D3"/>
    <w:rsid w:val="0051554A"/>
    <w:rsid w:val="005157BB"/>
    <w:rsid w:val="00515C25"/>
    <w:rsid w:val="0051646E"/>
    <w:rsid w:val="0051677A"/>
    <w:rsid w:val="00516B72"/>
    <w:rsid w:val="00516C26"/>
    <w:rsid w:val="00516CE1"/>
    <w:rsid w:val="00517C6D"/>
    <w:rsid w:val="00517D7D"/>
    <w:rsid w:val="0052004B"/>
    <w:rsid w:val="00520621"/>
    <w:rsid w:val="00520633"/>
    <w:rsid w:val="005207F0"/>
    <w:rsid w:val="00520920"/>
    <w:rsid w:val="00520C47"/>
    <w:rsid w:val="005215EF"/>
    <w:rsid w:val="00521913"/>
    <w:rsid w:val="00521CB6"/>
    <w:rsid w:val="00521CE4"/>
    <w:rsid w:val="00521DAF"/>
    <w:rsid w:val="00521E4E"/>
    <w:rsid w:val="00521EDD"/>
    <w:rsid w:val="0052238D"/>
    <w:rsid w:val="005229B0"/>
    <w:rsid w:val="005238CB"/>
    <w:rsid w:val="00523F3C"/>
    <w:rsid w:val="005241DC"/>
    <w:rsid w:val="0052477A"/>
    <w:rsid w:val="00524C5D"/>
    <w:rsid w:val="00524D52"/>
    <w:rsid w:val="00524EDF"/>
    <w:rsid w:val="005250E9"/>
    <w:rsid w:val="00525C46"/>
    <w:rsid w:val="00525DFF"/>
    <w:rsid w:val="005264F7"/>
    <w:rsid w:val="00526547"/>
    <w:rsid w:val="0052658E"/>
    <w:rsid w:val="00526FB5"/>
    <w:rsid w:val="005270DB"/>
    <w:rsid w:val="0052748C"/>
    <w:rsid w:val="0052767A"/>
    <w:rsid w:val="005276D9"/>
    <w:rsid w:val="005279C0"/>
    <w:rsid w:val="00527BEA"/>
    <w:rsid w:val="0053003B"/>
    <w:rsid w:val="00530A61"/>
    <w:rsid w:val="00530B29"/>
    <w:rsid w:val="00530B7D"/>
    <w:rsid w:val="00530BC7"/>
    <w:rsid w:val="00530D0A"/>
    <w:rsid w:val="00531186"/>
    <w:rsid w:val="00531391"/>
    <w:rsid w:val="005315D6"/>
    <w:rsid w:val="00531BBD"/>
    <w:rsid w:val="00531C07"/>
    <w:rsid w:val="00531DB5"/>
    <w:rsid w:val="0053291E"/>
    <w:rsid w:val="00532B60"/>
    <w:rsid w:val="00532DE7"/>
    <w:rsid w:val="0053322E"/>
    <w:rsid w:val="0053356E"/>
    <w:rsid w:val="005335C3"/>
    <w:rsid w:val="00533D72"/>
    <w:rsid w:val="0053446B"/>
    <w:rsid w:val="00534972"/>
    <w:rsid w:val="00534A74"/>
    <w:rsid w:val="00535E7E"/>
    <w:rsid w:val="00535E97"/>
    <w:rsid w:val="0053600B"/>
    <w:rsid w:val="0053606D"/>
    <w:rsid w:val="005366DB"/>
    <w:rsid w:val="00536728"/>
    <w:rsid w:val="00537970"/>
    <w:rsid w:val="005403C5"/>
    <w:rsid w:val="0054099C"/>
    <w:rsid w:val="005409D7"/>
    <w:rsid w:val="00540C21"/>
    <w:rsid w:val="00540DB1"/>
    <w:rsid w:val="00540E0D"/>
    <w:rsid w:val="0054101F"/>
    <w:rsid w:val="005411D3"/>
    <w:rsid w:val="0054163A"/>
    <w:rsid w:val="00541EB5"/>
    <w:rsid w:val="00541F56"/>
    <w:rsid w:val="00541F5F"/>
    <w:rsid w:val="005424A0"/>
    <w:rsid w:val="005425EC"/>
    <w:rsid w:val="005428F4"/>
    <w:rsid w:val="00543079"/>
    <w:rsid w:val="00543843"/>
    <w:rsid w:val="005438CE"/>
    <w:rsid w:val="00543946"/>
    <w:rsid w:val="00543F55"/>
    <w:rsid w:val="00543FDB"/>
    <w:rsid w:val="0054415E"/>
    <w:rsid w:val="0054423C"/>
    <w:rsid w:val="00544A56"/>
    <w:rsid w:val="00544DC2"/>
    <w:rsid w:val="00545B49"/>
    <w:rsid w:val="00545CDE"/>
    <w:rsid w:val="00545E88"/>
    <w:rsid w:val="005460D0"/>
    <w:rsid w:val="0054614D"/>
    <w:rsid w:val="00546402"/>
    <w:rsid w:val="00546475"/>
    <w:rsid w:val="00546669"/>
    <w:rsid w:val="00546F90"/>
    <w:rsid w:val="005470F3"/>
    <w:rsid w:val="0054774D"/>
    <w:rsid w:val="0054776C"/>
    <w:rsid w:val="0054783A"/>
    <w:rsid w:val="0054794F"/>
    <w:rsid w:val="00547B63"/>
    <w:rsid w:val="00547D7C"/>
    <w:rsid w:val="00550074"/>
    <w:rsid w:val="00550793"/>
    <w:rsid w:val="005509D2"/>
    <w:rsid w:val="00550D08"/>
    <w:rsid w:val="00551123"/>
    <w:rsid w:val="00551904"/>
    <w:rsid w:val="00551A7C"/>
    <w:rsid w:val="00551AB9"/>
    <w:rsid w:val="00552965"/>
    <w:rsid w:val="00552B51"/>
    <w:rsid w:val="00552BEC"/>
    <w:rsid w:val="00553604"/>
    <w:rsid w:val="005536DE"/>
    <w:rsid w:val="00553CC0"/>
    <w:rsid w:val="00554ADF"/>
    <w:rsid w:val="00554CD5"/>
    <w:rsid w:val="00555163"/>
    <w:rsid w:val="005554EE"/>
    <w:rsid w:val="005559F9"/>
    <w:rsid w:val="00555A80"/>
    <w:rsid w:val="00555B1B"/>
    <w:rsid w:val="00555B89"/>
    <w:rsid w:val="00555C38"/>
    <w:rsid w:val="0055629D"/>
    <w:rsid w:val="005569D7"/>
    <w:rsid w:val="00556CBB"/>
    <w:rsid w:val="005579CC"/>
    <w:rsid w:val="00557E94"/>
    <w:rsid w:val="00560D5B"/>
    <w:rsid w:val="00561257"/>
    <w:rsid w:val="00561F77"/>
    <w:rsid w:val="0056206C"/>
    <w:rsid w:val="00562280"/>
    <w:rsid w:val="005627BA"/>
    <w:rsid w:val="005629DA"/>
    <w:rsid w:val="00562FDD"/>
    <w:rsid w:val="005635AB"/>
    <w:rsid w:val="0056425D"/>
    <w:rsid w:val="005642EB"/>
    <w:rsid w:val="0056468B"/>
    <w:rsid w:val="00564744"/>
    <w:rsid w:val="0056497B"/>
    <w:rsid w:val="00564A36"/>
    <w:rsid w:val="00564D8B"/>
    <w:rsid w:val="00565185"/>
    <w:rsid w:val="005653ED"/>
    <w:rsid w:val="00565589"/>
    <w:rsid w:val="00565E39"/>
    <w:rsid w:val="005668AF"/>
    <w:rsid w:val="00566A78"/>
    <w:rsid w:val="00566FAC"/>
    <w:rsid w:val="005675A8"/>
    <w:rsid w:val="00570308"/>
    <w:rsid w:val="0057054A"/>
    <w:rsid w:val="00570C28"/>
    <w:rsid w:val="00570E6A"/>
    <w:rsid w:val="0057113C"/>
    <w:rsid w:val="0057136F"/>
    <w:rsid w:val="005719CE"/>
    <w:rsid w:val="00571C56"/>
    <w:rsid w:val="00571EB8"/>
    <w:rsid w:val="00572E2A"/>
    <w:rsid w:val="00573459"/>
    <w:rsid w:val="005735A5"/>
    <w:rsid w:val="00573743"/>
    <w:rsid w:val="00573A46"/>
    <w:rsid w:val="00573D9C"/>
    <w:rsid w:val="00573F93"/>
    <w:rsid w:val="005740E8"/>
    <w:rsid w:val="00574F7B"/>
    <w:rsid w:val="005750C0"/>
    <w:rsid w:val="0057584E"/>
    <w:rsid w:val="00575B02"/>
    <w:rsid w:val="00575DD0"/>
    <w:rsid w:val="005765CB"/>
    <w:rsid w:val="00577179"/>
    <w:rsid w:val="005773A4"/>
    <w:rsid w:val="00577463"/>
    <w:rsid w:val="005775F6"/>
    <w:rsid w:val="0057763D"/>
    <w:rsid w:val="00577908"/>
    <w:rsid w:val="0057791D"/>
    <w:rsid w:val="0058164F"/>
    <w:rsid w:val="00581675"/>
    <w:rsid w:val="005816E7"/>
    <w:rsid w:val="005818D1"/>
    <w:rsid w:val="00581F62"/>
    <w:rsid w:val="00582145"/>
    <w:rsid w:val="00582281"/>
    <w:rsid w:val="0058233D"/>
    <w:rsid w:val="00582B74"/>
    <w:rsid w:val="00582FF2"/>
    <w:rsid w:val="0058307B"/>
    <w:rsid w:val="005830DD"/>
    <w:rsid w:val="005835FD"/>
    <w:rsid w:val="00583E29"/>
    <w:rsid w:val="00583EE8"/>
    <w:rsid w:val="0058428D"/>
    <w:rsid w:val="005843E7"/>
    <w:rsid w:val="005843F4"/>
    <w:rsid w:val="00584780"/>
    <w:rsid w:val="00584F85"/>
    <w:rsid w:val="005852FE"/>
    <w:rsid w:val="005855EA"/>
    <w:rsid w:val="0058582D"/>
    <w:rsid w:val="00585830"/>
    <w:rsid w:val="00585AF3"/>
    <w:rsid w:val="005864DA"/>
    <w:rsid w:val="005867B2"/>
    <w:rsid w:val="00586A6F"/>
    <w:rsid w:val="005873C7"/>
    <w:rsid w:val="005876F4"/>
    <w:rsid w:val="00587AE1"/>
    <w:rsid w:val="00590213"/>
    <w:rsid w:val="00590256"/>
    <w:rsid w:val="0059037D"/>
    <w:rsid w:val="00590A9E"/>
    <w:rsid w:val="00590DC1"/>
    <w:rsid w:val="0059138D"/>
    <w:rsid w:val="00591814"/>
    <w:rsid w:val="005920D0"/>
    <w:rsid w:val="00592330"/>
    <w:rsid w:val="00592D8C"/>
    <w:rsid w:val="005932CC"/>
    <w:rsid w:val="0059370D"/>
    <w:rsid w:val="00593C65"/>
    <w:rsid w:val="00594E94"/>
    <w:rsid w:val="00594E99"/>
    <w:rsid w:val="005954B2"/>
    <w:rsid w:val="00595873"/>
    <w:rsid w:val="00595CDD"/>
    <w:rsid w:val="00595F5F"/>
    <w:rsid w:val="00596372"/>
    <w:rsid w:val="00596673"/>
    <w:rsid w:val="00596809"/>
    <w:rsid w:val="00596C15"/>
    <w:rsid w:val="00597AEA"/>
    <w:rsid w:val="00597CC1"/>
    <w:rsid w:val="00597F06"/>
    <w:rsid w:val="005A01C4"/>
    <w:rsid w:val="005A01E1"/>
    <w:rsid w:val="005A04B5"/>
    <w:rsid w:val="005A086E"/>
    <w:rsid w:val="005A08F9"/>
    <w:rsid w:val="005A11E5"/>
    <w:rsid w:val="005A15A9"/>
    <w:rsid w:val="005A2228"/>
    <w:rsid w:val="005A2A3B"/>
    <w:rsid w:val="005A34AC"/>
    <w:rsid w:val="005A34C7"/>
    <w:rsid w:val="005A3845"/>
    <w:rsid w:val="005A3863"/>
    <w:rsid w:val="005A3AD3"/>
    <w:rsid w:val="005A3C96"/>
    <w:rsid w:val="005A3D92"/>
    <w:rsid w:val="005A3ECC"/>
    <w:rsid w:val="005A407B"/>
    <w:rsid w:val="005A4497"/>
    <w:rsid w:val="005A44DE"/>
    <w:rsid w:val="005A48FD"/>
    <w:rsid w:val="005A4DD1"/>
    <w:rsid w:val="005A4E0B"/>
    <w:rsid w:val="005A4F95"/>
    <w:rsid w:val="005A5A6D"/>
    <w:rsid w:val="005A5EBF"/>
    <w:rsid w:val="005A650B"/>
    <w:rsid w:val="005A6D42"/>
    <w:rsid w:val="005A6EFA"/>
    <w:rsid w:val="005A728C"/>
    <w:rsid w:val="005A7519"/>
    <w:rsid w:val="005A7719"/>
    <w:rsid w:val="005A7CAB"/>
    <w:rsid w:val="005A7DF1"/>
    <w:rsid w:val="005B02D4"/>
    <w:rsid w:val="005B048B"/>
    <w:rsid w:val="005B0665"/>
    <w:rsid w:val="005B079C"/>
    <w:rsid w:val="005B07FB"/>
    <w:rsid w:val="005B0938"/>
    <w:rsid w:val="005B1B83"/>
    <w:rsid w:val="005B202A"/>
    <w:rsid w:val="005B25B2"/>
    <w:rsid w:val="005B26AE"/>
    <w:rsid w:val="005B26F8"/>
    <w:rsid w:val="005B364A"/>
    <w:rsid w:val="005B38BC"/>
    <w:rsid w:val="005B3A40"/>
    <w:rsid w:val="005B3B57"/>
    <w:rsid w:val="005B3F24"/>
    <w:rsid w:val="005B41BB"/>
    <w:rsid w:val="005B4719"/>
    <w:rsid w:val="005B52B1"/>
    <w:rsid w:val="005B5A69"/>
    <w:rsid w:val="005B5BD6"/>
    <w:rsid w:val="005B6104"/>
    <w:rsid w:val="005B6573"/>
    <w:rsid w:val="005B6B59"/>
    <w:rsid w:val="005B73BF"/>
    <w:rsid w:val="005B7A33"/>
    <w:rsid w:val="005B7CE5"/>
    <w:rsid w:val="005C2232"/>
    <w:rsid w:val="005C26C6"/>
    <w:rsid w:val="005C2A11"/>
    <w:rsid w:val="005C34F2"/>
    <w:rsid w:val="005C36A9"/>
    <w:rsid w:val="005C383E"/>
    <w:rsid w:val="005C39B9"/>
    <w:rsid w:val="005C3BB6"/>
    <w:rsid w:val="005C50A0"/>
    <w:rsid w:val="005C54D7"/>
    <w:rsid w:val="005C5B04"/>
    <w:rsid w:val="005C6CDB"/>
    <w:rsid w:val="005C6D3F"/>
    <w:rsid w:val="005C6EDB"/>
    <w:rsid w:val="005C7503"/>
    <w:rsid w:val="005C76AC"/>
    <w:rsid w:val="005D0376"/>
    <w:rsid w:val="005D0706"/>
    <w:rsid w:val="005D0FEC"/>
    <w:rsid w:val="005D1125"/>
    <w:rsid w:val="005D1D93"/>
    <w:rsid w:val="005D1E0B"/>
    <w:rsid w:val="005D1F16"/>
    <w:rsid w:val="005D1FD9"/>
    <w:rsid w:val="005D2651"/>
    <w:rsid w:val="005D2714"/>
    <w:rsid w:val="005D2983"/>
    <w:rsid w:val="005D2F04"/>
    <w:rsid w:val="005D32BD"/>
    <w:rsid w:val="005D37C8"/>
    <w:rsid w:val="005D3CEE"/>
    <w:rsid w:val="005D4074"/>
    <w:rsid w:val="005D45FF"/>
    <w:rsid w:val="005D46E0"/>
    <w:rsid w:val="005D4BD8"/>
    <w:rsid w:val="005D4F89"/>
    <w:rsid w:val="005D55C3"/>
    <w:rsid w:val="005D5943"/>
    <w:rsid w:val="005D5D38"/>
    <w:rsid w:val="005D5F98"/>
    <w:rsid w:val="005D6525"/>
    <w:rsid w:val="005D6B2F"/>
    <w:rsid w:val="005D6ED4"/>
    <w:rsid w:val="005D7019"/>
    <w:rsid w:val="005D76D9"/>
    <w:rsid w:val="005D7DB0"/>
    <w:rsid w:val="005E09B6"/>
    <w:rsid w:val="005E0BBE"/>
    <w:rsid w:val="005E1205"/>
    <w:rsid w:val="005E182D"/>
    <w:rsid w:val="005E197A"/>
    <w:rsid w:val="005E19F9"/>
    <w:rsid w:val="005E1B40"/>
    <w:rsid w:val="005E1F3C"/>
    <w:rsid w:val="005E1FF5"/>
    <w:rsid w:val="005E2079"/>
    <w:rsid w:val="005E23F8"/>
    <w:rsid w:val="005E24E7"/>
    <w:rsid w:val="005E2B0A"/>
    <w:rsid w:val="005E2F62"/>
    <w:rsid w:val="005E2FE2"/>
    <w:rsid w:val="005E38B3"/>
    <w:rsid w:val="005E4EF9"/>
    <w:rsid w:val="005E4FB2"/>
    <w:rsid w:val="005E5089"/>
    <w:rsid w:val="005E5641"/>
    <w:rsid w:val="005E5E10"/>
    <w:rsid w:val="005E5F55"/>
    <w:rsid w:val="005E61BB"/>
    <w:rsid w:val="005E679E"/>
    <w:rsid w:val="005E6B12"/>
    <w:rsid w:val="005E6BC1"/>
    <w:rsid w:val="005E6C7F"/>
    <w:rsid w:val="005E6CAE"/>
    <w:rsid w:val="005E7270"/>
    <w:rsid w:val="005E73CE"/>
    <w:rsid w:val="005E768B"/>
    <w:rsid w:val="005E7B72"/>
    <w:rsid w:val="005F05A1"/>
    <w:rsid w:val="005F0693"/>
    <w:rsid w:val="005F06F2"/>
    <w:rsid w:val="005F077D"/>
    <w:rsid w:val="005F1650"/>
    <w:rsid w:val="005F1D23"/>
    <w:rsid w:val="005F203F"/>
    <w:rsid w:val="005F216D"/>
    <w:rsid w:val="005F2610"/>
    <w:rsid w:val="005F262C"/>
    <w:rsid w:val="005F271C"/>
    <w:rsid w:val="005F274B"/>
    <w:rsid w:val="005F2C26"/>
    <w:rsid w:val="005F4034"/>
    <w:rsid w:val="005F4397"/>
    <w:rsid w:val="005F446B"/>
    <w:rsid w:val="005F447F"/>
    <w:rsid w:val="005F4B71"/>
    <w:rsid w:val="005F4DE5"/>
    <w:rsid w:val="005F4E84"/>
    <w:rsid w:val="005F57EE"/>
    <w:rsid w:val="005F5D31"/>
    <w:rsid w:val="005F5DD8"/>
    <w:rsid w:val="005F5FC9"/>
    <w:rsid w:val="005F6364"/>
    <w:rsid w:val="005F6D41"/>
    <w:rsid w:val="005F7327"/>
    <w:rsid w:val="005F781B"/>
    <w:rsid w:val="005F78E8"/>
    <w:rsid w:val="00600090"/>
    <w:rsid w:val="006002D3"/>
    <w:rsid w:val="006005B6"/>
    <w:rsid w:val="00600C87"/>
    <w:rsid w:val="00600DEB"/>
    <w:rsid w:val="006011A0"/>
    <w:rsid w:val="00601409"/>
    <w:rsid w:val="00601EC9"/>
    <w:rsid w:val="00601F55"/>
    <w:rsid w:val="006022CC"/>
    <w:rsid w:val="00602792"/>
    <w:rsid w:val="00602A2D"/>
    <w:rsid w:val="00602F2B"/>
    <w:rsid w:val="00603B7F"/>
    <w:rsid w:val="006045AE"/>
    <w:rsid w:val="00604A1C"/>
    <w:rsid w:val="00605248"/>
    <w:rsid w:val="006054EF"/>
    <w:rsid w:val="00605856"/>
    <w:rsid w:val="0060666D"/>
    <w:rsid w:val="00606689"/>
    <w:rsid w:val="00606887"/>
    <w:rsid w:val="006070C7"/>
    <w:rsid w:val="0060781F"/>
    <w:rsid w:val="00607E2F"/>
    <w:rsid w:val="00607F3D"/>
    <w:rsid w:val="006104FA"/>
    <w:rsid w:val="0061084E"/>
    <w:rsid w:val="00610BDD"/>
    <w:rsid w:val="00611036"/>
    <w:rsid w:val="00611251"/>
    <w:rsid w:val="006112DF"/>
    <w:rsid w:val="0061140D"/>
    <w:rsid w:val="006117F5"/>
    <w:rsid w:val="00611DBC"/>
    <w:rsid w:val="0061200E"/>
    <w:rsid w:val="0061290B"/>
    <w:rsid w:val="00612B3A"/>
    <w:rsid w:val="00612C64"/>
    <w:rsid w:val="00612CF5"/>
    <w:rsid w:val="006137D2"/>
    <w:rsid w:val="00613D47"/>
    <w:rsid w:val="00613ED0"/>
    <w:rsid w:val="0061456A"/>
    <w:rsid w:val="006145D2"/>
    <w:rsid w:val="00614FA0"/>
    <w:rsid w:val="0061577B"/>
    <w:rsid w:val="006162BE"/>
    <w:rsid w:val="00616624"/>
    <w:rsid w:val="00616766"/>
    <w:rsid w:val="006169C9"/>
    <w:rsid w:val="00616EE6"/>
    <w:rsid w:val="00617292"/>
    <w:rsid w:val="006173E3"/>
    <w:rsid w:val="00617AA8"/>
    <w:rsid w:val="0062095A"/>
    <w:rsid w:val="0062259C"/>
    <w:rsid w:val="00622BD8"/>
    <w:rsid w:val="00622BFF"/>
    <w:rsid w:val="006234EA"/>
    <w:rsid w:val="006241FC"/>
    <w:rsid w:val="00625BE8"/>
    <w:rsid w:val="00625D94"/>
    <w:rsid w:val="00625DE0"/>
    <w:rsid w:val="0062646A"/>
    <w:rsid w:val="0062707B"/>
    <w:rsid w:val="00627152"/>
    <w:rsid w:val="0063019B"/>
    <w:rsid w:val="006303C6"/>
    <w:rsid w:val="006309EA"/>
    <w:rsid w:val="00630C9D"/>
    <w:rsid w:val="0063115C"/>
    <w:rsid w:val="006314D1"/>
    <w:rsid w:val="00631680"/>
    <w:rsid w:val="006316F3"/>
    <w:rsid w:val="0063179C"/>
    <w:rsid w:val="00631ADA"/>
    <w:rsid w:val="00631ADC"/>
    <w:rsid w:val="00631C10"/>
    <w:rsid w:val="00631FE4"/>
    <w:rsid w:val="00632B84"/>
    <w:rsid w:val="00632EF4"/>
    <w:rsid w:val="00632FE5"/>
    <w:rsid w:val="00633D23"/>
    <w:rsid w:val="0063424E"/>
    <w:rsid w:val="00634257"/>
    <w:rsid w:val="006347AD"/>
    <w:rsid w:val="006347BA"/>
    <w:rsid w:val="006349BA"/>
    <w:rsid w:val="00634A8B"/>
    <w:rsid w:val="00634E39"/>
    <w:rsid w:val="00634ED5"/>
    <w:rsid w:val="006353F3"/>
    <w:rsid w:val="00635890"/>
    <w:rsid w:val="00635D69"/>
    <w:rsid w:val="0063687D"/>
    <w:rsid w:val="00636D2C"/>
    <w:rsid w:val="00636E60"/>
    <w:rsid w:val="006377A4"/>
    <w:rsid w:val="00637B1A"/>
    <w:rsid w:val="00637BAF"/>
    <w:rsid w:val="00637F39"/>
    <w:rsid w:val="006413F2"/>
    <w:rsid w:val="006415AB"/>
    <w:rsid w:val="0064163E"/>
    <w:rsid w:val="00641894"/>
    <w:rsid w:val="00641F45"/>
    <w:rsid w:val="006422CD"/>
    <w:rsid w:val="006424CC"/>
    <w:rsid w:val="006429D8"/>
    <w:rsid w:val="00642AD7"/>
    <w:rsid w:val="00642B96"/>
    <w:rsid w:val="00642C68"/>
    <w:rsid w:val="00642E1F"/>
    <w:rsid w:val="00642F2F"/>
    <w:rsid w:val="00642F88"/>
    <w:rsid w:val="00643283"/>
    <w:rsid w:val="00643E58"/>
    <w:rsid w:val="0064410F"/>
    <w:rsid w:val="00644290"/>
    <w:rsid w:val="00644505"/>
    <w:rsid w:val="00644593"/>
    <w:rsid w:val="00644C55"/>
    <w:rsid w:val="00644E45"/>
    <w:rsid w:val="006450D0"/>
    <w:rsid w:val="0064516D"/>
    <w:rsid w:val="00645351"/>
    <w:rsid w:val="00645577"/>
    <w:rsid w:val="00646873"/>
    <w:rsid w:val="006472F6"/>
    <w:rsid w:val="006477F6"/>
    <w:rsid w:val="006478B5"/>
    <w:rsid w:val="00647A31"/>
    <w:rsid w:val="00647A62"/>
    <w:rsid w:val="00647B33"/>
    <w:rsid w:val="00647B59"/>
    <w:rsid w:val="0065000D"/>
    <w:rsid w:val="00650517"/>
    <w:rsid w:val="00650624"/>
    <w:rsid w:val="00650D3D"/>
    <w:rsid w:val="006514D7"/>
    <w:rsid w:val="0065156B"/>
    <w:rsid w:val="006515A6"/>
    <w:rsid w:val="00651955"/>
    <w:rsid w:val="00652361"/>
    <w:rsid w:val="0065275E"/>
    <w:rsid w:val="00652CAA"/>
    <w:rsid w:val="00652CD5"/>
    <w:rsid w:val="00652F48"/>
    <w:rsid w:val="006530D5"/>
    <w:rsid w:val="00653743"/>
    <w:rsid w:val="0065381D"/>
    <w:rsid w:val="00653E46"/>
    <w:rsid w:val="00653E9E"/>
    <w:rsid w:val="0065467C"/>
    <w:rsid w:val="00654B85"/>
    <w:rsid w:val="00654EEB"/>
    <w:rsid w:val="00654FDF"/>
    <w:rsid w:val="00655B5B"/>
    <w:rsid w:val="00655EFD"/>
    <w:rsid w:val="00655F38"/>
    <w:rsid w:val="0065605C"/>
    <w:rsid w:val="00656385"/>
    <w:rsid w:val="00660417"/>
    <w:rsid w:val="0066058A"/>
    <w:rsid w:val="006608E0"/>
    <w:rsid w:val="00661044"/>
    <w:rsid w:val="0066158E"/>
    <w:rsid w:val="006615D9"/>
    <w:rsid w:val="00661A0E"/>
    <w:rsid w:val="00661A21"/>
    <w:rsid w:val="00661BDC"/>
    <w:rsid w:val="00661C7F"/>
    <w:rsid w:val="006622F1"/>
    <w:rsid w:val="00662785"/>
    <w:rsid w:val="006627CD"/>
    <w:rsid w:val="00662D48"/>
    <w:rsid w:val="00662F5F"/>
    <w:rsid w:val="00663087"/>
    <w:rsid w:val="0066324A"/>
    <w:rsid w:val="0066333A"/>
    <w:rsid w:val="00663392"/>
    <w:rsid w:val="00663AED"/>
    <w:rsid w:val="00663E67"/>
    <w:rsid w:val="00664372"/>
    <w:rsid w:val="006644CC"/>
    <w:rsid w:val="006649F6"/>
    <w:rsid w:val="00664B0E"/>
    <w:rsid w:val="006650F3"/>
    <w:rsid w:val="006653FF"/>
    <w:rsid w:val="00665478"/>
    <w:rsid w:val="0066618E"/>
    <w:rsid w:val="00666628"/>
    <w:rsid w:val="00666642"/>
    <w:rsid w:val="006669A6"/>
    <w:rsid w:val="00666EC9"/>
    <w:rsid w:val="006700EA"/>
    <w:rsid w:val="006702C7"/>
    <w:rsid w:val="00670478"/>
    <w:rsid w:val="0067088A"/>
    <w:rsid w:val="0067096C"/>
    <w:rsid w:val="00670A52"/>
    <w:rsid w:val="00670A9A"/>
    <w:rsid w:val="00670EDF"/>
    <w:rsid w:val="00670FC6"/>
    <w:rsid w:val="00671698"/>
    <w:rsid w:val="00672032"/>
    <w:rsid w:val="00672124"/>
    <w:rsid w:val="00672232"/>
    <w:rsid w:val="00672843"/>
    <w:rsid w:val="00672A4C"/>
    <w:rsid w:val="00672C8B"/>
    <w:rsid w:val="006734CB"/>
    <w:rsid w:val="00673960"/>
    <w:rsid w:val="006741D1"/>
    <w:rsid w:val="0067436B"/>
    <w:rsid w:val="00675580"/>
    <w:rsid w:val="00675613"/>
    <w:rsid w:val="0067575F"/>
    <w:rsid w:val="00675BC5"/>
    <w:rsid w:val="00675CBF"/>
    <w:rsid w:val="0067608C"/>
    <w:rsid w:val="006762B1"/>
    <w:rsid w:val="0067684C"/>
    <w:rsid w:val="00676B4C"/>
    <w:rsid w:val="00677230"/>
    <w:rsid w:val="006773CE"/>
    <w:rsid w:val="0067747D"/>
    <w:rsid w:val="006774C1"/>
    <w:rsid w:val="006777B5"/>
    <w:rsid w:val="006779D9"/>
    <w:rsid w:val="00677BDD"/>
    <w:rsid w:val="00677DB6"/>
    <w:rsid w:val="0068014F"/>
    <w:rsid w:val="006804E6"/>
    <w:rsid w:val="00680746"/>
    <w:rsid w:val="0068091B"/>
    <w:rsid w:val="00680D46"/>
    <w:rsid w:val="00680FAA"/>
    <w:rsid w:val="006812F9"/>
    <w:rsid w:val="00681CAA"/>
    <w:rsid w:val="006820C6"/>
    <w:rsid w:val="00682137"/>
    <w:rsid w:val="006823B0"/>
    <w:rsid w:val="0068288F"/>
    <w:rsid w:val="006829D7"/>
    <w:rsid w:val="00682FB0"/>
    <w:rsid w:val="00683907"/>
    <w:rsid w:val="00683D17"/>
    <w:rsid w:val="0068409C"/>
    <w:rsid w:val="00684215"/>
    <w:rsid w:val="0068470E"/>
    <w:rsid w:val="0068482E"/>
    <w:rsid w:val="00685D3A"/>
    <w:rsid w:val="00685E99"/>
    <w:rsid w:val="00686B30"/>
    <w:rsid w:val="00687E3F"/>
    <w:rsid w:val="0069024E"/>
    <w:rsid w:val="00690F45"/>
    <w:rsid w:val="00690F9A"/>
    <w:rsid w:val="006914B2"/>
    <w:rsid w:val="00692209"/>
    <w:rsid w:val="0069246C"/>
    <w:rsid w:val="00692CFD"/>
    <w:rsid w:val="00692F01"/>
    <w:rsid w:val="00693045"/>
    <w:rsid w:val="00693425"/>
    <w:rsid w:val="006935E2"/>
    <w:rsid w:val="006936BF"/>
    <w:rsid w:val="0069373C"/>
    <w:rsid w:val="00693B1E"/>
    <w:rsid w:val="00694570"/>
    <w:rsid w:val="0069474D"/>
    <w:rsid w:val="0069477F"/>
    <w:rsid w:val="00695051"/>
    <w:rsid w:val="00695586"/>
    <w:rsid w:val="00695611"/>
    <w:rsid w:val="00695937"/>
    <w:rsid w:val="00695F30"/>
    <w:rsid w:val="00695FC0"/>
    <w:rsid w:val="006960A7"/>
    <w:rsid w:val="00696E8F"/>
    <w:rsid w:val="00697178"/>
    <w:rsid w:val="0069748F"/>
    <w:rsid w:val="00697A85"/>
    <w:rsid w:val="00697F38"/>
    <w:rsid w:val="006A0135"/>
    <w:rsid w:val="006A031E"/>
    <w:rsid w:val="006A0F57"/>
    <w:rsid w:val="006A153C"/>
    <w:rsid w:val="006A18F8"/>
    <w:rsid w:val="006A1B23"/>
    <w:rsid w:val="006A1EB5"/>
    <w:rsid w:val="006A1F16"/>
    <w:rsid w:val="006A2344"/>
    <w:rsid w:val="006A247D"/>
    <w:rsid w:val="006A2F63"/>
    <w:rsid w:val="006A2FE6"/>
    <w:rsid w:val="006A35CA"/>
    <w:rsid w:val="006A3838"/>
    <w:rsid w:val="006A3F9A"/>
    <w:rsid w:val="006A3FCA"/>
    <w:rsid w:val="006A41AA"/>
    <w:rsid w:val="006A434D"/>
    <w:rsid w:val="006A47F7"/>
    <w:rsid w:val="006A4AB8"/>
    <w:rsid w:val="006A4CEF"/>
    <w:rsid w:val="006A5697"/>
    <w:rsid w:val="006A589D"/>
    <w:rsid w:val="006A5D2E"/>
    <w:rsid w:val="006A5D7D"/>
    <w:rsid w:val="006A6BA8"/>
    <w:rsid w:val="006A6DB0"/>
    <w:rsid w:val="006A6E12"/>
    <w:rsid w:val="006A7030"/>
    <w:rsid w:val="006A7403"/>
    <w:rsid w:val="006A75CD"/>
    <w:rsid w:val="006A7633"/>
    <w:rsid w:val="006A7CB6"/>
    <w:rsid w:val="006B07D9"/>
    <w:rsid w:val="006B139C"/>
    <w:rsid w:val="006B15B5"/>
    <w:rsid w:val="006B17BC"/>
    <w:rsid w:val="006B1B6D"/>
    <w:rsid w:val="006B1F29"/>
    <w:rsid w:val="006B214F"/>
    <w:rsid w:val="006B303B"/>
    <w:rsid w:val="006B3615"/>
    <w:rsid w:val="006B3B11"/>
    <w:rsid w:val="006B3B32"/>
    <w:rsid w:val="006B3BE6"/>
    <w:rsid w:val="006B3BFC"/>
    <w:rsid w:val="006B45EE"/>
    <w:rsid w:val="006B47F5"/>
    <w:rsid w:val="006B4DDF"/>
    <w:rsid w:val="006B4FD5"/>
    <w:rsid w:val="006B5CD6"/>
    <w:rsid w:val="006B6005"/>
    <w:rsid w:val="006B6209"/>
    <w:rsid w:val="006B655F"/>
    <w:rsid w:val="006B66AE"/>
    <w:rsid w:val="006B6969"/>
    <w:rsid w:val="006B6B53"/>
    <w:rsid w:val="006B6C3C"/>
    <w:rsid w:val="006B786F"/>
    <w:rsid w:val="006B797C"/>
    <w:rsid w:val="006C0008"/>
    <w:rsid w:val="006C0049"/>
    <w:rsid w:val="006C0068"/>
    <w:rsid w:val="006C0231"/>
    <w:rsid w:val="006C0497"/>
    <w:rsid w:val="006C1600"/>
    <w:rsid w:val="006C193D"/>
    <w:rsid w:val="006C1B93"/>
    <w:rsid w:val="006C1D75"/>
    <w:rsid w:val="006C1DE5"/>
    <w:rsid w:val="006C1E4E"/>
    <w:rsid w:val="006C1FEC"/>
    <w:rsid w:val="006C2075"/>
    <w:rsid w:val="006C2358"/>
    <w:rsid w:val="006C2504"/>
    <w:rsid w:val="006C28A0"/>
    <w:rsid w:val="006C3061"/>
    <w:rsid w:val="006C3908"/>
    <w:rsid w:val="006C3EBE"/>
    <w:rsid w:val="006C3F69"/>
    <w:rsid w:val="006C45B3"/>
    <w:rsid w:val="006C4821"/>
    <w:rsid w:val="006C4C79"/>
    <w:rsid w:val="006C4F7D"/>
    <w:rsid w:val="006C663E"/>
    <w:rsid w:val="006C7084"/>
    <w:rsid w:val="006C719A"/>
    <w:rsid w:val="006C7363"/>
    <w:rsid w:val="006C7DF5"/>
    <w:rsid w:val="006D1933"/>
    <w:rsid w:val="006D1FC4"/>
    <w:rsid w:val="006D21D7"/>
    <w:rsid w:val="006D2B2F"/>
    <w:rsid w:val="006D2B8C"/>
    <w:rsid w:val="006D2CDD"/>
    <w:rsid w:val="006D2F20"/>
    <w:rsid w:val="006D35F2"/>
    <w:rsid w:val="006D3816"/>
    <w:rsid w:val="006D4065"/>
    <w:rsid w:val="006D4325"/>
    <w:rsid w:val="006D5981"/>
    <w:rsid w:val="006D5988"/>
    <w:rsid w:val="006D5B45"/>
    <w:rsid w:val="006D5E1A"/>
    <w:rsid w:val="006D64E6"/>
    <w:rsid w:val="006D6526"/>
    <w:rsid w:val="006D6866"/>
    <w:rsid w:val="006D6911"/>
    <w:rsid w:val="006D7193"/>
    <w:rsid w:val="006D71BE"/>
    <w:rsid w:val="006D723D"/>
    <w:rsid w:val="006D780F"/>
    <w:rsid w:val="006E008D"/>
    <w:rsid w:val="006E0465"/>
    <w:rsid w:val="006E08A6"/>
    <w:rsid w:val="006E09ED"/>
    <w:rsid w:val="006E0C49"/>
    <w:rsid w:val="006E1444"/>
    <w:rsid w:val="006E1D0F"/>
    <w:rsid w:val="006E201F"/>
    <w:rsid w:val="006E2378"/>
    <w:rsid w:val="006E279E"/>
    <w:rsid w:val="006E38F5"/>
    <w:rsid w:val="006E3C1B"/>
    <w:rsid w:val="006E3D3E"/>
    <w:rsid w:val="006E4290"/>
    <w:rsid w:val="006E44B6"/>
    <w:rsid w:val="006E4A96"/>
    <w:rsid w:val="006E4B59"/>
    <w:rsid w:val="006E4CF4"/>
    <w:rsid w:val="006E557D"/>
    <w:rsid w:val="006E5705"/>
    <w:rsid w:val="006E5733"/>
    <w:rsid w:val="006E5DA7"/>
    <w:rsid w:val="006E63D5"/>
    <w:rsid w:val="006E653B"/>
    <w:rsid w:val="006E68F5"/>
    <w:rsid w:val="006E6DFB"/>
    <w:rsid w:val="006E7671"/>
    <w:rsid w:val="006E7719"/>
    <w:rsid w:val="006E7E1E"/>
    <w:rsid w:val="006F069A"/>
    <w:rsid w:val="006F073B"/>
    <w:rsid w:val="006F0943"/>
    <w:rsid w:val="006F0FCA"/>
    <w:rsid w:val="006F145A"/>
    <w:rsid w:val="006F1529"/>
    <w:rsid w:val="006F1653"/>
    <w:rsid w:val="006F18DA"/>
    <w:rsid w:val="006F1991"/>
    <w:rsid w:val="006F2298"/>
    <w:rsid w:val="006F230D"/>
    <w:rsid w:val="006F2899"/>
    <w:rsid w:val="006F2932"/>
    <w:rsid w:val="006F2E31"/>
    <w:rsid w:val="006F3261"/>
    <w:rsid w:val="006F3657"/>
    <w:rsid w:val="006F3FF7"/>
    <w:rsid w:val="006F4436"/>
    <w:rsid w:val="006F46A0"/>
    <w:rsid w:val="006F4733"/>
    <w:rsid w:val="006F47F4"/>
    <w:rsid w:val="006F4A01"/>
    <w:rsid w:val="006F4BD1"/>
    <w:rsid w:val="006F4F67"/>
    <w:rsid w:val="006F5012"/>
    <w:rsid w:val="006F50CB"/>
    <w:rsid w:val="006F5946"/>
    <w:rsid w:val="006F611E"/>
    <w:rsid w:val="006F7163"/>
    <w:rsid w:val="007000A4"/>
    <w:rsid w:val="0070056D"/>
    <w:rsid w:val="00700A1C"/>
    <w:rsid w:val="00702248"/>
    <w:rsid w:val="00702B4E"/>
    <w:rsid w:val="00702E63"/>
    <w:rsid w:val="00702F58"/>
    <w:rsid w:val="00703538"/>
    <w:rsid w:val="00703C8B"/>
    <w:rsid w:val="00703D8F"/>
    <w:rsid w:val="0070435D"/>
    <w:rsid w:val="007049F0"/>
    <w:rsid w:val="00705C21"/>
    <w:rsid w:val="00706884"/>
    <w:rsid w:val="00706D6C"/>
    <w:rsid w:val="0070735F"/>
    <w:rsid w:val="00707500"/>
    <w:rsid w:val="0070761C"/>
    <w:rsid w:val="00707743"/>
    <w:rsid w:val="00707B11"/>
    <w:rsid w:val="00707C94"/>
    <w:rsid w:val="00707F48"/>
    <w:rsid w:val="00710079"/>
    <w:rsid w:val="00710B90"/>
    <w:rsid w:val="00710DC7"/>
    <w:rsid w:val="00710DE5"/>
    <w:rsid w:val="00710F2C"/>
    <w:rsid w:val="00710F4F"/>
    <w:rsid w:val="007110D4"/>
    <w:rsid w:val="007113CD"/>
    <w:rsid w:val="00711EDB"/>
    <w:rsid w:val="00712B4A"/>
    <w:rsid w:val="00712CE1"/>
    <w:rsid w:val="00712FE1"/>
    <w:rsid w:val="0071303C"/>
    <w:rsid w:val="007133F0"/>
    <w:rsid w:val="0071353E"/>
    <w:rsid w:val="00713717"/>
    <w:rsid w:val="00714276"/>
    <w:rsid w:val="0071443D"/>
    <w:rsid w:val="0071463A"/>
    <w:rsid w:val="00714CBE"/>
    <w:rsid w:val="00714D0D"/>
    <w:rsid w:val="00715763"/>
    <w:rsid w:val="00715C8C"/>
    <w:rsid w:val="00715F81"/>
    <w:rsid w:val="00715FEF"/>
    <w:rsid w:val="00716378"/>
    <w:rsid w:val="007167FC"/>
    <w:rsid w:val="00716AB9"/>
    <w:rsid w:val="00717091"/>
    <w:rsid w:val="0071794C"/>
    <w:rsid w:val="0071797A"/>
    <w:rsid w:val="00717C46"/>
    <w:rsid w:val="00717D84"/>
    <w:rsid w:val="00720200"/>
    <w:rsid w:val="00720283"/>
    <w:rsid w:val="00720EB6"/>
    <w:rsid w:val="00721925"/>
    <w:rsid w:val="00721A55"/>
    <w:rsid w:val="00721AAD"/>
    <w:rsid w:val="00722372"/>
    <w:rsid w:val="00722616"/>
    <w:rsid w:val="00722AC1"/>
    <w:rsid w:val="00722AE2"/>
    <w:rsid w:val="00722DAA"/>
    <w:rsid w:val="00722F2A"/>
    <w:rsid w:val="00722FFF"/>
    <w:rsid w:val="007233FF"/>
    <w:rsid w:val="00723479"/>
    <w:rsid w:val="0072374C"/>
    <w:rsid w:val="0072408C"/>
    <w:rsid w:val="007243FF"/>
    <w:rsid w:val="00724430"/>
    <w:rsid w:val="007244D9"/>
    <w:rsid w:val="00724619"/>
    <w:rsid w:val="0072496A"/>
    <w:rsid w:val="00724DE7"/>
    <w:rsid w:val="0072501D"/>
    <w:rsid w:val="007255FB"/>
    <w:rsid w:val="00725D89"/>
    <w:rsid w:val="00725E9C"/>
    <w:rsid w:val="00725FD8"/>
    <w:rsid w:val="00726205"/>
    <w:rsid w:val="007262D7"/>
    <w:rsid w:val="0072649B"/>
    <w:rsid w:val="00726A20"/>
    <w:rsid w:val="00726B56"/>
    <w:rsid w:val="00726CE5"/>
    <w:rsid w:val="007271E1"/>
    <w:rsid w:val="0072735E"/>
    <w:rsid w:val="00727BA6"/>
    <w:rsid w:val="0073068E"/>
    <w:rsid w:val="0073074A"/>
    <w:rsid w:val="007307DE"/>
    <w:rsid w:val="007312D6"/>
    <w:rsid w:val="00731954"/>
    <w:rsid w:val="00731A6F"/>
    <w:rsid w:val="0073200D"/>
    <w:rsid w:val="00732120"/>
    <w:rsid w:val="007321BB"/>
    <w:rsid w:val="0073228A"/>
    <w:rsid w:val="00732630"/>
    <w:rsid w:val="00732829"/>
    <w:rsid w:val="00732C3B"/>
    <w:rsid w:val="00733370"/>
    <w:rsid w:val="00733376"/>
    <w:rsid w:val="007335B5"/>
    <w:rsid w:val="00733646"/>
    <w:rsid w:val="0073365E"/>
    <w:rsid w:val="0073395E"/>
    <w:rsid w:val="00733976"/>
    <w:rsid w:val="00734355"/>
    <w:rsid w:val="007349AD"/>
    <w:rsid w:val="00734EB1"/>
    <w:rsid w:val="00735178"/>
    <w:rsid w:val="0073574B"/>
    <w:rsid w:val="007357C7"/>
    <w:rsid w:val="00735FAD"/>
    <w:rsid w:val="007361A7"/>
    <w:rsid w:val="00736824"/>
    <w:rsid w:val="007368CF"/>
    <w:rsid w:val="00736980"/>
    <w:rsid w:val="00736D12"/>
    <w:rsid w:val="00737BD8"/>
    <w:rsid w:val="00737D4B"/>
    <w:rsid w:val="00740152"/>
    <w:rsid w:val="00740494"/>
    <w:rsid w:val="00741102"/>
    <w:rsid w:val="007415DC"/>
    <w:rsid w:val="00741644"/>
    <w:rsid w:val="00741D62"/>
    <w:rsid w:val="0074207A"/>
    <w:rsid w:val="007424DF"/>
    <w:rsid w:val="0074297B"/>
    <w:rsid w:val="00742983"/>
    <w:rsid w:val="0074330C"/>
    <w:rsid w:val="0074338C"/>
    <w:rsid w:val="00743A6D"/>
    <w:rsid w:val="00743C05"/>
    <w:rsid w:val="00743D03"/>
    <w:rsid w:val="00743D90"/>
    <w:rsid w:val="00743EFD"/>
    <w:rsid w:val="00743F1B"/>
    <w:rsid w:val="007444FB"/>
    <w:rsid w:val="00744580"/>
    <w:rsid w:val="007447B7"/>
    <w:rsid w:val="00744C4E"/>
    <w:rsid w:val="00744CD5"/>
    <w:rsid w:val="00744DFF"/>
    <w:rsid w:val="00744FCD"/>
    <w:rsid w:val="00745A0F"/>
    <w:rsid w:val="00745AD4"/>
    <w:rsid w:val="00745E46"/>
    <w:rsid w:val="00745EB1"/>
    <w:rsid w:val="00745FAE"/>
    <w:rsid w:val="00745FB6"/>
    <w:rsid w:val="0074653B"/>
    <w:rsid w:val="00746866"/>
    <w:rsid w:val="007469B2"/>
    <w:rsid w:val="007471FF"/>
    <w:rsid w:val="007472C2"/>
    <w:rsid w:val="00747D26"/>
    <w:rsid w:val="00747FB1"/>
    <w:rsid w:val="007500A7"/>
    <w:rsid w:val="0075011B"/>
    <w:rsid w:val="00750DA3"/>
    <w:rsid w:val="00751725"/>
    <w:rsid w:val="007519C8"/>
    <w:rsid w:val="00751FB6"/>
    <w:rsid w:val="00752615"/>
    <w:rsid w:val="0075272C"/>
    <w:rsid w:val="00752902"/>
    <w:rsid w:val="00752B41"/>
    <w:rsid w:val="007530B0"/>
    <w:rsid w:val="007537BD"/>
    <w:rsid w:val="00753A48"/>
    <w:rsid w:val="00753FE8"/>
    <w:rsid w:val="00754546"/>
    <w:rsid w:val="00754AAA"/>
    <w:rsid w:val="00754CB1"/>
    <w:rsid w:val="00754EFE"/>
    <w:rsid w:val="007550AE"/>
    <w:rsid w:val="007553C5"/>
    <w:rsid w:val="00755A97"/>
    <w:rsid w:val="00755FB9"/>
    <w:rsid w:val="00756272"/>
    <w:rsid w:val="007562C2"/>
    <w:rsid w:val="00756DCF"/>
    <w:rsid w:val="0075712E"/>
    <w:rsid w:val="00757DEC"/>
    <w:rsid w:val="00757F25"/>
    <w:rsid w:val="007601AE"/>
    <w:rsid w:val="00760402"/>
    <w:rsid w:val="00760FB9"/>
    <w:rsid w:val="00761041"/>
    <w:rsid w:val="007616CB"/>
    <w:rsid w:val="00761E28"/>
    <w:rsid w:val="00762121"/>
    <w:rsid w:val="0076317E"/>
    <w:rsid w:val="00763349"/>
    <w:rsid w:val="007633BB"/>
    <w:rsid w:val="00763684"/>
    <w:rsid w:val="0076394C"/>
    <w:rsid w:val="0076414E"/>
    <w:rsid w:val="00764270"/>
    <w:rsid w:val="00764460"/>
    <w:rsid w:val="007646B3"/>
    <w:rsid w:val="00765DB2"/>
    <w:rsid w:val="00765E0B"/>
    <w:rsid w:val="00765F65"/>
    <w:rsid w:val="00765FFB"/>
    <w:rsid w:val="0076653B"/>
    <w:rsid w:val="007667BA"/>
    <w:rsid w:val="00766940"/>
    <w:rsid w:val="00766DB5"/>
    <w:rsid w:val="00767804"/>
    <w:rsid w:val="00767B02"/>
    <w:rsid w:val="00767C5B"/>
    <w:rsid w:val="00767E52"/>
    <w:rsid w:val="00767EBF"/>
    <w:rsid w:val="00767F95"/>
    <w:rsid w:val="0077024A"/>
    <w:rsid w:val="00770FCC"/>
    <w:rsid w:val="00772A28"/>
    <w:rsid w:val="007731B7"/>
    <w:rsid w:val="007738C3"/>
    <w:rsid w:val="007738E7"/>
    <w:rsid w:val="00773C98"/>
    <w:rsid w:val="00773FBC"/>
    <w:rsid w:val="007741B2"/>
    <w:rsid w:val="00774750"/>
    <w:rsid w:val="00774D0F"/>
    <w:rsid w:val="00775157"/>
    <w:rsid w:val="00775BA9"/>
    <w:rsid w:val="00775D3C"/>
    <w:rsid w:val="007765DA"/>
    <w:rsid w:val="00776E59"/>
    <w:rsid w:val="00777D22"/>
    <w:rsid w:val="00781D87"/>
    <w:rsid w:val="00781DA7"/>
    <w:rsid w:val="00782129"/>
    <w:rsid w:val="0078282B"/>
    <w:rsid w:val="007832A6"/>
    <w:rsid w:val="00783B08"/>
    <w:rsid w:val="00783E52"/>
    <w:rsid w:val="007853BB"/>
    <w:rsid w:val="00785528"/>
    <w:rsid w:val="007858A4"/>
    <w:rsid w:val="00785C5B"/>
    <w:rsid w:val="00785D14"/>
    <w:rsid w:val="0078642D"/>
    <w:rsid w:val="00786654"/>
    <w:rsid w:val="00787767"/>
    <w:rsid w:val="00787B8C"/>
    <w:rsid w:val="007902A4"/>
    <w:rsid w:val="007902F8"/>
    <w:rsid w:val="007908BB"/>
    <w:rsid w:val="00790D35"/>
    <w:rsid w:val="00790D63"/>
    <w:rsid w:val="007915E2"/>
    <w:rsid w:val="00791653"/>
    <w:rsid w:val="00791738"/>
    <w:rsid w:val="007917F0"/>
    <w:rsid w:val="00791831"/>
    <w:rsid w:val="007919AA"/>
    <w:rsid w:val="007920FA"/>
    <w:rsid w:val="007926BD"/>
    <w:rsid w:val="00792975"/>
    <w:rsid w:val="00792E64"/>
    <w:rsid w:val="00792EF5"/>
    <w:rsid w:val="00792F14"/>
    <w:rsid w:val="00793030"/>
    <w:rsid w:val="007932AA"/>
    <w:rsid w:val="007935F4"/>
    <w:rsid w:val="00793A53"/>
    <w:rsid w:val="00793E49"/>
    <w:rsid w:val="00794148"/>
    <w:rsid w:val="007941B9"/>
    <w:rsid w:val="0079448D"/>
    <w:rsid w:val="0079448F"/>
    <w:rsid w:val="00794CD7"/>
    <w:rsid w:val="00794F56"/>
    <w:rsid w:val="00795090"/>
    <w:rsid w:val="007951BB"/>
    <w:rsid w:val="007957A3"/>
    <w:rsid w:val="00795CE7"/>
    <w:rsid w:val="0079623A"/>
    <w:rsid w:val="00797110"/>
    <w:rsid w:val="007971D3"/>
    <w:rsid w:val="00797890"/>
    <w:rsid w:val="00797926"/>
    <w:rsid w:val="007A00F9"/>
    <w:rsid w:val="007A05B5"/>
    <w:rsid w:val="007A0684"/>
    <w:rsid w:val="007A08A0"/>
    <w:rsid w:val="007A0BD2"/>
    <w:rsid w:val="007A0C7D"/>
    <w:rsid w:val="007A0E04"/>
    <w:rsid w:val="007A133D"/>
    <w:rsid w:val="007A17BC"/>
    <w:rsid w:val="007A1974"/>
    <w:rsid w:val="007A1A84"/>
    <w:rsid w:val="007A1A9E"/>
    <w:rsid w:val="007A1AF6"/>
    <w:rsid w:val="007A1E3E"/>
    <w:rsid w:val="007A1F5B"/>
    <w:rsid w:val="007A2336"/>
    <w:rsid w:val="007A2453"/>
    <w:rsid w:val="007A2948"/>
    <w:rsid w:val="007A38C8"/>
    <w:rsid w:val="007A3BF6"/>
    <w:rsid w:val="007A4380"/>
    <w:rsid w:val="007A43F0"/>
    <w:rsid w:val="007A447E"/>
    <w:rsid w:val="007A4649"/>
    <w:rsid w:val="007A4B09"/>
    <w:rsid w:val="007A4DB9"/>
    <w:rsid w:val="007A4F76"/>
    <w:rsid w:val="007A69A9"/>
    <w:rsid w:val="007A6A2F"/>
    <w:rsid w:val="007A6DB6"/>
    <w:rsid w:val="007A6F4B"/>
    <w:rsid w:val="007A7785"/>
    <w:rsid w:val="007A77C0"/>
    <w:rsid w:val="007A7A87"/>
    <w:rsid w:val="007A7B08"/>
    <w:rsid w:val="007B0042"/>
    <w:rsid w:val="007B0219"/>
    <w:rsid w:val="007B0960"/>
    <w:rsid w:val="007B0FFA"/>
    <w:rsid w:val="007B154D"/>
    <w:rsid w:val="007B181C"/>
    <w:rsid w:val="007B1887"/>
    <w:rsid w:val="007B1B97"/>
    <w:rsid w:val="007B1D24"/>
    <w:rsid w:val="007B1E3C"/>
    <w:rsid w:val="007B1F4A"/>
    <w:rsid w:val="007B1F9A"/>
    <w:rsid w:val="007B2124"/>
    <w:rsid w:val="007B2353"/>
    <w:rsid w:val="007B2374"/>
    <w:rsid w:val="007B2A36"/>
    <w:rsid w:val="007B2B39"/>
    <w:rsid w:val="007B2F5B"/>
    <w:rsid w:val="007B3731"/>
    <w:rsid w:val="007B3A77"/>
    <w:rsid w:val="007B4B9A"/>
    <w:rsid w:val="007B50D2"/>
    <w:rsid w:val="007B53A1"/>
    <w:rsid w:val="007B58F3"/>
    <w:rsid w:val="007B60A3"/>
    <w:rsid w:val="007B6203"/>
    <w:rsid w:val="007B62DE"/>
    <w:rsid w:val="007B70CF"/>
    <w:rsid w:val="007B7111"/>
    <w:rsid w:val="007B7375"/>
    <w:rsid w:val="007B73E5"/>
    <w:rsid w:val="007B750D"/>
    <w:rsid w:val="007B7656"/>
    <w:rsid w:val="007B7C9B"/>
    <w:rsid w:val="007B7EFD"/>
    <w:rsid w:val="007B7FC4"/>
    <w:rsid w:val="007C06A2"/>
    <w:rsid w:val="007C08CE"/>
    <w:rsid w:val="007C094B"/>
    <w:rsid w:val="007C0D05"/>
    <w:rsid w:val="007C1554"/>
    <w:rsid w:val="007C1C05"/>
    <w:rsid w:val="007C1F0C"/>
    <w:rsid w:val="007C23D3"/>
    <w:rsid w:val="007C24E4"/>
    <w:rsid w:val="007C2715"/>
    <w:rsid w:val="007C283A"/>
    <w:rsid w:val="007C2897"/>
    <w:rsid w:val="007C2966"/>
    <w:rsid w:val="007C2DC8"/>
    <w:rsid w:val="007C3109"/>
    <w:rsid w:val="007C360E"/>
    <w:rsid w:val="007C3B78"/>
    <w:rsid w:val="007C3B8F"/>
    <w:rsid w:val="007C3BFB"/>
    <w:rsid w:val="007C3F4A"/>
    <w:rsid w:val="007C4BB0"/>
    <w:rsid w:val="007C50EE"/>
    <w:rsid w:val="007C5206"/>
    <w:rsid w:val="007C5CF1"/>
    <w:rsid w:val="007C643B"/>
    <w:rsid w:val="007C6535"/>
    <w:rsid w:val="007C70A2"/>
    <w:rsid w:val="007C73F6"/>
    <w:rsid w:val="007C7E10"/>
    <w:rsid w:val="007C7FED"/>
    <w:rsid w:val="007D0122"/>
    <w:rsid w:val="007D042E"/>
    <w:rsid w:val="007D0C70"/>
    <w:rsid w:val="007D0CB6"/>
    <w:rsid w:val="007D0F46"/>
    <w:rsid w:val="007D10A7"/>
    <w:rsid w:val="007D110A"/>
    <w:rsid w:val="007D13BF"/>
    <w:rsid w:val="007D228F"/>
    <w:rsid w:val="007D27F5"/>
    <w:rsid w:val="007D2AD3"/>
    <w:rsid w:val="007D2EA4"/>
    <w:rsid w:val="007D30D7"/>
    <w:rsid w:val="007D3ACF"/>
    <w:rsid w:val="007D3B16"/>
    <w:rsid w:val="007D3B98"/>
    <w:rsid w:val="007D3D70"/>
    <w:rsid w:val="007D439A"/>
    <w:rsid w:val="007D48EA"/>
    <w:rsid w:val="007D4985"/>
    <w:rsid w:val="007D4CC2"/>
    <w:rsid w:val="007D578F"/>
    <w:rsid w:val="007D5ADB"/>
    <w:rsid w:val="007D5B47"/>
    <w:rsid w:val="007D5BE4"/>
    <w:rsid w:val="007D5EA2"/>
    <w:rsid w:val="007D63A8"/>
    <w:rsid w:val="007D641D"/>
    <w:rsid w:val="007D6663"/>
    <w:rsid w:val="007D67FF"/>
    <w:rsid w:val="007D6837"/>
    <w:rsid w:val="007D6DD4"/>
    <w:rsid w:val="007D6F28"/>
    <w:rsid w:val="007D79AA"/>
    <w:rsid w:val="007D79F6"/>
    <w:rsid w:val="007D7AD3"/>
    <w:rsid w:val="007D7FCA"/>
    <w:rsid w:val="007E0CC6"/>
    <w:rsid w:val="007E0D14"/>
    <w:rsid w:val="007E0E66"/>
    <w:rsid w:val="007E1252"/>
    <w:rsid w:val="007E1960"/>
    <w:rsid w:val="007E23FC"/>
    <w:rsid w:val="007E3B25"/>
    <w:rsid w:val="007E416F"/>
    <w:rsid w:val="007E41E3"/>
    <w:rsid w:val="007E430B"/>
    <w:rsid w:val="007E44BD"/>
    <w:rsid w:val="007E48A2"/>
    <w:rsid w:val="007E4A1D"/>
    <w:rsid w:val="007E5208"/>
    <w:rsid w:val="007E534D"/>
    <w:rsid w:val="007E53DC"/>
    <w:rsid w:val="007E567C"/>
    <w:rsid w:val="007E5BBC"/>
    <w:rsid w:val="007E5C04"/>
    <w:rsid w:val="007E5CF4"/>
    <w:rsid w:val="007E605F"/>
    <w:rsid w:val="007E6185"/>
    <w:rsid w:val="007E62B9"/>
    <w:rsid w:val="007E631E"/>
    <w:rsid w:val="007E6341"/>
    <w:rsid w:val="007E643B"/>
    <w:rsid w:val="007E678A"/>
    <w:rsid w:val="007E68DC"/>
    <w:rsid w:val="007E6A7A"/>
    <w:rsid w:val="007E6CC5"/>
    <w:rsid w:val="007E7341"/>
    <w:rsid w:val="007E786A"/>
    <w:rsid w:val="007E794D"/>
    <w:rsid w:val="007E7AAD"/>
    <w:rsid w:val="007E7D2B"/>
    <w:rsid w:val="007E7F74"/>
    <w:rsid w:val="007F05FB"/>
    <w:rsid w:val="007F0CE4"/>
    <w:rsid w:val="007F14E3"/>
    <w:rsid w:val="007F1C01"/>
    <w:rsid w:val="007F1F6A"/>
    <w:rsid w:val="007F28C5"/>
    <w:rsid w:val="007F291F"/>
    <w:rsid w:val="007F2BC7"/>
    <w:rsid w:val="007F3131"/>
    <w:rsid w:val="007F345A"/>
    <w:rsid w:val="007F3B14"/>
    <w:rsid w:val="007F3D92"/>
    <w:rsid w:val="007F46C4"/>
    <w:rsid w:val="007F4BC4"/>
    <w:rsid w:val="007F562F"/>
    <w:rsid w:val="007F5F80"/>
    <w:rsid w:val="007F693C"/>
    <w:rsid w:val="007F6FA9"/>
    <w:rsid w:val="007F7359"/>
    <w:rsid w:val="007F782A"/>
    <w:rsid w:val="007F7E69"/>
    <w:rsid w:val="008000F6"/>
    <w:rsid w:val="008001C0"/>
    <w:rsid w:val="008003C6"/>
    <w:rsid w:val="0080046C"/>
    <w:rsid w:val="0080096C"/>
    <w:rsid w:val="00800E90"/>
    <w:rsid w:val="0080110F"/>
    <w:rsid w:val="00801955"/>
    <w:rsid w:val="00801F12"/>
    <w:rsid w:val="00801FC8"/>
    <w:rsid w:val="008023BB"/>
    <w:rsid w:val="00802D17"/>
    <w:rsid w:val="00802EC5"/>
    <w:rsid w:val="008031C3"/>
    <w:rsid w:val="0080322F"/>
    <w:rsid w:val="008035F5"/>
    <w:rsid w:val="00803F59"/>
    <w:rsid w:val="0080400E"/>
    <w:rsid w:val="00804698"/>
    <w:rsid w:val="0080495A"/>
    <w:rsid w:val="0080498E"/>
    <w:rsid w:val="008050D3"/>
    <w:rsid w:val="008050E8"/>
    <w:rsid w:val="0080529E"/>
    <w:rsid w:val="00805340"/>
    <w:rsid w:val="008053F2"/>
    <w:rsid w:val="00805680"/>
    <w:rsid w:val="0080586D"/>
    <w:rsid w:val="00805FBB"/>
    <w:rsid w:val="00806DB6"/>
    <w:rsid w:val="00806DF5"/>
    <w:rsid w:val="00806F6F"/>
    <w:rsid w:val="0080712C"/>
    <w:rsid w:val="00807226"/>
    <w:rsid w:val="0080735F"/>
    <w:rsid w:val="008078B0"/>
    <w:rsid w:val="008078B5"/>
    <w:rsid w:val="00807ECE"/>
    <w:rsid w:val="00810443"/>
    <w:rsid w:val="00810AA2"/>
    <w:rsid w:val="0081109B"/>
    <w:rsid w:val="008110CC"/>
    <w:rsid w:val="008110F1"/>
    <w:rsid w:val="0081153C"/>
    <w:rsid w:val="008115A4"/>
    <w:rsid w:val="00811BC7"/>
    <w:rsid w:val="00812647"/>
    <w:rsid w:val="008126DD"/>
    <w:rsid w:val="00812BC9"/>
    <w:rsid w:val="00812D5B"/>
    <w:rsid w:val="00812FF3"/>
    <w:rsid w:val="0081303C"/>
    <w:rsid w:val="00813495"/>
    <w:rsid w:val="00813B32"/>
    <w:rsid w:val="00813F56"/>
    <w:rsid w:val="00814460"/>
    <w:rsid w:val="00814464"/>
    <w:rsid w:val="00815128"/>
    <w:rsid w:val="00815892"/>
    <w:rsid w:val="00815962"/>
    <w:rsid w:val="00815AF2"/>
    <w:rsid w:val="00815EDA"/>
    <w:rsid w:val="008165E7"/>
    <w:rsid w:val="0081667E"/>
    <w:rsid w:val="00816850"/>
    <w:rsid w:val="00816978"/>
    <w:rsid w:val="00816B55"/>
    <w:rsid w:val="00816DA6"/>
    <w:rsid w:val="008178BB"/>
    <w:rsid w:val="00817D95"/>
    <w:rsid w:val="0082004F"/>
    <w:rsid w:val="008202E9"/>
    <w:rsid w:val="00820BCE"/>
    <w:rsid w:val="00820E71"/>
    <w:rsid w:val="00820FB6"/>
    <w:rsid w:val="008216B2"/>
    <w:rsid w:val="008218AD"/>
    <w:rsid w:val="008221BE"/>
    <w:rsid w:val="00822987"/>
    <w:rsid w:val="00822C0E"/>
    <w:rsid w:val="00822E19"/>
    <w:rsid w:val="008230A4"/>
    <w:rsid w:val="00823732"/>
    <w:rsid w:val="00823770"/>
    <w:rsid w:val="008237A1"/>
    <w:rsid w:val="00823B94"/>
    <w:rsid w:val="00823E0B"/>
    <w:rsid w:val="00823EA5"/>
    <w:rsid w:val="00823FC4"/>
    <w:rsid w:val="008241E1"/>
    <w:rsid w:val="0082421F"/>
    <w:rsid w:val="008244CB"/>
    <w:rsid w:val="00824B35"/>
    <w:rsid w:val="0082530D"/>
    <w:rsid w:val="008257C4"/>
    <w:rsid w:val="00825908"/>
    <w:rsid w:val="00826164"/>
    <w:rsid w:val="00826445"/>
    <w:rsid w:val="00827514"/>
    <w:rsid w:val="00827A91"/>
    <w:rsid w:val="00827E81"/>
    <w:rsid w:val="00830237"/>
    <w:rsid w:val="008305A6"/>
    <w:rsid w:val="00830796"/>
    <w:rsid w:val="00830A28"/>
    <w:rsid w:val="0083127A"/>
    <w:rsid w:val="008318A9"/>
    <w:rsid w:val="00831BA8"/>
    <w:rsid w:val="00831F94"/>
    <w:rsid w:val="00832196"/>
    <w:rsid w:val="0083267B"/>
    <w:rsid w:val="00832A7D"/>
    <w:rsid w:val="00832AB4"/>
    <w:rsid w:val="00833262"/>
    <w:rsid w:val="0083335D"/>
    <w:rsid w:val="00833A15"/>
    <w:rsid w:val="00833B60"/>
    <w:rsid w:val="00833DAF"/>
    <w:rsid w:val="00833DCE"/>
    <w:rsid w:val="00834372"/>
    <w:rsid w:val="0083438E"/>
    <w:rsid w:val="008346B6"/>
    <w:rsid w:val="00834818"/>
    <w:rsid w:val="008349D5"/>
    <w:rsid w:val="008349FB"/>
    <w:rsid w:val="0083508A"/>
    <w:rsid w:val="008354AA"/>
    <w:rsid w:val="0083555D"/>
    <w:rsid w:val="00835AEB"/>
    <w:rsid w:val="00835FB6"/>
    <w:rsid w:val="008360F6"/>
    <w:rsid w:val="0083611D"/>
    <w:rsid w:val="008364A7"/>
    <w:rsid w:val="00836812"/>
    <w:rsid w:val="00836ACB"/>
    <w:rsid w:val="00836F2D"/>
    <w:rsid w:val="00836F65"/>
    <w:rsid w:val="00836FAF"/>
    <w:rsid w:val="008376DA"/>
    <w:rsid w:val="00837CA2"/>
    <w:rsid w:val="00837D15"/>
    <w:rsid w:val="00840562"/>
    <w:rsid w:val="0084056B"/>
    <w:rsid w:val="00840992"/>
    <w:rsid w:val="00840F79"/>
    <w:rsid w:val="00841077"/>
    <w:rsid w:val="008411D8"/>
    <w:rsid w:val="008413C0"/>
    <w:rsid w:val="00841AC8"/>
    <w:rsid w:val="00841B58"/>
    <w:rsid w:val="00841D3E"/>
    <w:rsid w:val="00842A37"/>
    <w:rsid w:val="00842C5E"/>
    <w:rsid w:val="00842F88"/>
    <w:rsid w:val="00843031"/>
    <w:rsid w:val="0084339C"/>
    <w:rsid w:val="0084344C"/>
    <w:rsid w:val="00843AC7"/>
    <w:rsid w:val="00843CBB"/>
    <w:rsid w:val="008448B9"/>
    <w:rsid w:val="00844943"/>
    <w:rsid w:val="00844C24"/>
    <w:rsid w:val="008457B5"/>
    <w:rsid w:val="008459E9"/>
    <w:rsid w:val="00845E47"/>
    <w:rsid w:val="00846307"/>
    <w:rsid w:val="0084652F"/>
    <w:rsid w:val="00846ACB"/>
    <w:rsid w:val="008471AC"/>
    <w:rsid w:val="0084725E"/>
    <w:rsid w:val="00847379"/>
    <w:rsid w:val="00847488"/>
    <w:rsid w:val="0084753F"/>
    <w:rsid w:val="00847B26"/>
    <w:rsid w:val="00850956"/>
    <w:rsid w:val="00851006"/>
    <w:rsid w:val="0085104C"/>
    <w:rsid w:val="008523C8"/>
    <w:rsid w:val="008524FC"/>
    <w:rsid w:val="00852647"/>
    <w:rsid w:val="00852C9A"/>
    <w:rsid w:val="00852D7E"/>
    <w:rsid w:val="00852D84"/>
    <w:rsid w:val="00853328"/>
    <w:rsid w:val="008533AE"/>
    <w:rsid w:val="008535BF"/>
    <w:rsid w:val="0085360A"/>
    <w:rsid w:val="00853774"/>
    <w:rsid w:val="00853995"/>
    <w:rsid w:val="00853A7B"/>
    <w:rsid w:val="00853AAA"/>
    <w:rsid w:val="00853BEA"/>
    <w:rsid w:val="00854054"/>
    <w:rsid w:val="00854793"/>
    <w:rsid w:val="00854907"/>
    <w:rsid w:val="00855446"/>
    <w:rsid w:val="00855B67"/>
    <w:rsid w:val="00855CD7"/>
    <w:rsid w:val="008562DD"/>
    <w:rsid w:val="008566DE"/>
    <w:rsid w:val="00856E38"/>
    <w:rsid w:val="008577D3"/>
    <w:rsid w:val="008578AF"/>
    <w:rsid w:val="00857F79"/>
    <w:rsid w:val="008604A0"/>
    <w:rsid w:val="008606F2"/>
    <w:rsid w:val="00860839"/>
    <w:rsid w:val="008608E7"/>
    <w:rsid w:val="00860948"/>
    <w:rsid w:val="00860D95"/>
    <w:rsid w:val="00861ED0"/>
    <w:rsid w:val="00861FDD"/>
    <w:rsid w:val="008622C6"/>
    <w:rsid w:val="0086240A"/>
    <w:rsid w:val="00862AD6"/>
    <w:rsid w:val="00862BCC"/>
    <w:rsid w:val="00862FE7"/>
    <w:rsid w:val="00863262"/>
    <w:rsid w:val="0086374E"/>
    <w:rsid w:val="00863F88"/>
    <w:rsid w:val="00863FE7"/>
    <w:rsid w:val="008641F3"/>
    <w:rsid w:val="008641FC"/>
    <w:rsid w:val="00864819"/>
    <w:rsid w:val="0086483D"/>
    <w:rsid w:val="00864864"/>
    <w:rsid w:val="00864DFD"/>
    <w:rsid w:val="00865024"/>
    <w:rsid w:val="0086519D"/>
    <w:rsid w:val="0086523C"/>
    <w:rsid w:val="00865B7F"/>
    <w:rsid w:val="00865C02"/>
    <w:rsid w:val="00866870"/>
    <w:rsid w:val="00866C1B"/>
    <w:rsid w:val="00866CD1"/>
    <w:rsid w:val="00866F5D"/>
    <w:rsid w:val="00867164"/>
    <w:rsid w:val="00867597"/>
    <w:rsid w:val="00867AF6"/>
    <w:rsid w:val="008703B4"/>
    <w:rsid w:val="008707E4"/>
    <w:rsid w:val="00870824"/>
    <w:rsid w:val="00870917"/>
    <w:rsid w:val="00870D53"/>
    <w:rsid w:val="00870E83"/>
    <w:rsid w:val="008713B7"/>
    <w:rsid w:val="0087147E"/>
    <w:rsid w:val="00871573"/>
    <w:rsid w:val="008719CC"/>
    <w:rsid w:val="00871DAB"/>
    <w:rsid w:val="00871EE2"/>
    <w:rsid w:val="00872046"/>
    <w:rsid w:val="0087258C"/>
    <w:rsid w:val="00872852"/>
    <w:rsid w:val="008728E6"/>
    <w:rsid w:val="00872C17"/>
    <w:rsid w:val="00873C21"/>
    <w:rsid w:val="008747B7"/>
    <w:rsid w:val="00874DED"/>
    <w:rsid w:val="00875204"/>
    <w:rsid w:val="00875388"/>
    <w:rsid w:val="00875505"/>
    <w:rsid w:val="00875528"/>
    <w:rsid w:val="008755B1"/>
    <w:rsid w:val="00875AAB"/>
    <w:rsid w:val="00875B3A"/>
    <w:rsid w:val="008772B0"/>
    <w:rsid w:val="008774BE"/>
    <w:rsid w:val="008774F0"/>
    <w:rsid w:val="0087779A"/>
    <w:rsid w:val="00877C02"/>
    <w:rsid w:val="0088084C"/>
    <w:rsid w:val="00880A17"/>
    <w:rsid w:val="00880EB6"/>
    <w:rsid w:val="008810CB"/>
    <w:rsid w:val="008811A6"/>
    <w:rsid w:val="008826FE"/>
    <w:rsid w:val="008827C5"/>
    <w:rsid w:val="008829C0"/>
    <w:rsid w:val="00882B7C"/>
    <w:rsid w:val="00882C46"/>
    <w:rsid w:val="00882C4C"/>
    <w:rsid w:val="00882D6C"/>
    <w:rsid w:val="00882EDB"/>
    <w:rsid w:val="008831DF"/>
    <w:rsid w:val="00883203"/>
    <w:rsid w:val="00883244"/>
    <w:rsid w:val="008835CE"/>
    <w:rsid w:val="00883FAC"/>
    <w:rsid w:val="00884378"/>
    <w:rsid w:val="008846A5"/>
    <w:rsid w:val="00884B8C"/>
    <w:rsid w:val="00884CDB"/>
    <w:rsid w:val="00885036"/>
    <w:rsid w:val="008853CC"/>
    <w:rsid w:val="008855EF"/>
    <w:rsid w:val="00885BBE"/>
    <w:rsid w:val="00885C77"/>
    <w:rsid w:val="008863D9"/>
    <w:rsid w:val="00886445"/>
    <w:rsid w:val="00886A8E"/>
    <w:rsid w:val="008872D5"/>
    <w:rsid w:val="008879A2"/>
    <w:rsid w:val="008902C8"/>
    <w:rsid w:val="008902E6"/>
    <w:rsid w:val="008903CA"/>
    <w:rsid w:val="00890808"/>
    <w:rsid w:val="008912F7"/>
    <w:rsid w:val="008913A3"/>
    <w:rsid w:val="0089194E"/>
    <w:rsid w:val="00891A2C"/>
    <w:rsid w:val="00891DCA"/>
    <w:rsid w:val="00891F8C"/>
    <w:rsid w:val="008922D0"/>
    <w:rsid w:val="0089269C"/>
    <w:rsid w:val="00892A91"/>
    <w:rsid w:val="00892FD4"/>
    <w:rsid w:val="008930D6"/>
    <w:rsid w:val="008930D8"/>
    <w:rsid w:val="008931F5"/>
    <w:rsid w:val="008935DD"/>
    <w:rsid w:val="00893CAA"/>
    <w:rsid w:val="00893DDD"/>
    <w:rsid w:val="00893E2D"/>
    <w:rsid w:val="00893FA5"/>
    <w:rsid w:val="0089434C"/>
    <w:rsid w:val="0089439C"/>
    <w:rsid w:val="00894990"/>
    <w:rsid w:val="00894AA9"/>
    <w:rsid w:val="00894C44"/>
    <w:rsid w:val="00895045"/>
    <w:rsid w:val="008956D3"/>
    <w:rsid w:val="00895749"/>
    <w:rsid w:val="00895828"/>
    <w:rsid w:val="008959B8"/>
    <w:rsid w:val="00895B2B"/>
    <w:rsid w:val="00895C45"/>
    <w:rsid w:val="00895F5F"/>
    <w:rsid w:val="00896114"/>
    <w:rsid w:val="0089613D"/>
    <w:rsid w:val="00896895"/>
    <w:rsid w:val="00897311"/>
    <w:rsid w:val="00897FD0"/>
    <w:rsid w:val="008A02D6"/>
    <w:rsid w:val="008A066E"/>
    <w:rsid w:val="008A07C3"/>
    <w:rsid w:val="008A0C13"/>
    <w:rsid w:val="008A19E7"/>
    <w:rsid w:val="008A21A6"/>
    <w:rsid w:val="008A26D6"/>
    <w:rsid w:val="008A292D"/>
    <w:rsid w:val="008A2B00"/>
    <w:rsid w:val="008A3433"/>
    <w:rsid w:val="008A3574"/>
    <w:rsid w:val="008A35CD"/>
    <w:rsid w:val="008A3AE5"/>
    <w:rsid w:val="008A488B"/>
    <w:rsid w:val="008A4A1C"/>
    <w:rsid w:val="008A4C1F"/>
    <w:rsid w:val="008A4D1D"/>
    <w:rsid w:val="008A50C1"/>
    <w:rsid w:val="008A56BB"/>
    <w:rsid w:val="008A573C"/>
    <w:rsid w:val="008A5912"/>
    <w:rsid w:val="008A5C49"/>
    <w:rsid w:val="008A5E30"/>
    <w:rsid w:val="008A6294"/>
    <w:rsid w:val="008A66F0"/>
    <w:rsid w:val="008A6848"/>
    <w:rsid w:val="008A6B17"/>
    <w:rsid w:val="008A724B"/>
    <w:rsid w:val="008A74C7"/>
    <w:rsid w:val="008A7CB6"/>
    <w:rsid w:val="008B0471"/>
    <w:rsid w:val="008B0A3F"/>
    <w:rsid w:val="008B0C4D"/>
    <w:rsid w:val="008B11EC"/>
    <w:rsid w:val="008B14B3"/>
    <w:rsid w:val="008B2048"/>
    <w:rsid w:val="008B223E"/>
    <w:rsid w:val="008B2383"/>
    <w:rsid w:val="008B2C64"/>
    <w:rsid w:val="008B2D05"/>
    <w:rsid w:val="008B3780"/>
    <w:rsid w:val="008B4389"/>
    <w:rsid w:val="008B4882"/>
    <w:rsid w:val="008B4911"/>
    <w:rsid w:val="008B59CD"/>
    <w:rsid w:val="008B5CD4"/>
    <w:rsid w:val="008B5D87"/>
    <w:rsid w:val="008B5ED1"/>
    <w:rsid w:val="008B6118"/>
    <w:rsid w:val="008B63F8"/>
    <w:rsid w:val="008B64B4"/>
    <w:rsid w:val="008B6D80"/>
    <w:rsid w:val="008B75B4"/>
    <w:rsid w:val="008B79AF"/>
    <w:rsid w:val="008B7E8F"/>
    <w:rsid w:val="008C082C"/>
    <w:rsid w:val="008C0871"/>
    <w:rsid w:val="008C0B57"/>
    <w:rsid w:val="008C1846"/>
    <w:rsid w:val="008C18C3"/>
    <w:rsid w:val="008C2271"/>
    <w:rsid w:val="008C23BC"/>
    <w:rsid w:val="008C248E"/>
    <w:rsid w:val="008C2D3D"/>
    <w:rsid w:val="008C2F2A"/>
    <w:rsid w:val="008C3139"/>
    <w:rsid w:val="008C325B"/>
    <w:rsid w:val="008C3375"/>
    <w:rsid w:val="008C40B8"/>
    <w:rsid w:val="008C40F4"/>
    <w:rsid w:val="008C42E0"/>
    <w:rsid w:val="008C4C2B"/>
    <w:rsid w:val="008C5016"/>
    <w:rsid w:val="008C50EB"/>
    <w:rsid w:val="008C530D"/>
    <w:rsid w:val="008C54BC"/>
    <w:rsid w:val="008C5539"/>
    <w:rsid w:val="008C5778"/>
    <w:rsid w:val="008C5899"/>
    <w:rsid w:val="008C5CE3"/>
    <w:rsid w:val="008C5F71"/>
    <w:rsid w:val="008C608D"/>
    <w:rsid w:val="008C6169"/>
    <w:rsid w:val="008C6280"/>
    <w:rsid w:val="008C643D"/>
    <w:rsid w:val="008C6944"/>
    <w:rsid w:val="008C7420"/>
    <w:rsid w:val="008C780B"/>
    <w:rsid w:val="008C7BC3"/>
    <w:rsid w:val="008C7E11"/>
    <w:rsid w:val="008D041F"/>
    <w:rsid w:val="008D04E9"/>
    <w:rsid w:val="008D06AB"/>
    <w:rsid w:val="008D0E37"/>
    <w:rsid w:val="008D11CC"/>
    <w:rsid w:val="008D209D"/>
    <w:rsid w:val="008D2B5D"/>
    <w:rsid w:val="008D325F"/>
    <w:rsid w:val="008D3A6E"/>
    <w:rsid w:val="008D3B45"/>
    <w:rsid w:val="008D3C2C"/>
    <w:rsid w:val="008D3DAB"/>
    <w:rsid w:val="008D3E89"/>
    <w:rsid w:val="008D4074"/>
    <w:rsid w:val="008D43D4"/>
    <w:rsid w:val="008D4C4A"/>
    <w:rsid w:val="008D4CF4"/>
    <w:rsid w:val="008D4E70"/>
    <w:rsid w:val="008D54AC"/>
    <w:rsid w:val="008D54CA"/>
    <w:rsid w:val="008D5806"/>
    <w:rsid w:val="008D5D90"/>
    <w:rsid w:val="008D5FB7"/>
    <w:rsid w:val="008D625D"/>
    <w:rsid w:val="008D6E50"/>
    <w:rsid w:val="008D704A"/>
    <w:rsid w:val="008D71C9"/>
    <w:rsid w:val="008D7500"/>
    <w:rsid w:val="008D79A7"/>
    <w:rsid w:val="008D7B52"/>
    <w:rsid w:val="008D7FE5"/>
    <w:rsid w:val="008E03BA"/>
    <w:rsid w:val="008E0C77"/>
    <w:rsid w:val="008E1217"/>
    <w:rsid w:val="008E1224"/>
    <w:rsid w:val="008E1439"/>
    <w:rsid w:val="008E17FD"/>
    <w:rsid w:val="008E1A0C"/>
    <w:rsid w:val="008E1F6E"/>
    <w:rsid w:val="008E2073"/>
    <w:rsid w:val="008E26F5"/>
    <w:rsid w:val="008E26F6"/>
    <w:rsid w:val="008E2876"/>
    <w:rsid w:val="008E2AE6"/>
    <w:rsid w:val="008E3379"/>
    <w:rsid w:val="008E34A5"/>
    <w:rsid w:val="008E3BB1"/>
    <w:rsid w:val="008E3D1E"/>
    <w:rsid w:val="008E417E"/>
    <w:rsid w:val="008E4358"/>
    <w:rsid w:val="008E43E8"/>
    <w:rsid w:val="008E44B3"/>
    <w:rsid w:val="008E4648"/>
    <w:rsid w:val="008E4C04"/>
    <w:rsid w:val="008E4C38"/>
    <w:rsid w:val="008E57B4"/>
    <w:rsid w:val="008E5832"/>
    <w:rsid w:val="008E58C3"/>
    <w:rsid w:val="008E6B0E"/>
    <w:rsid w:val="008E6B59"/>
    <w:rsid w:val="008E6D79"/>
    <w:rsid w:val="008E6F6F"/>
    <w:rsid w:val="008E7105"/>
    <w:rsid w:val="008E7258"/>
    <w:rsid w:val="008E765F"/>
    <w:rsid w:val="008E7994"/>
    <w:rsid w:val="008E7B33"/>
    <w:rsid w:val="008F041D"/>
    <w:rsid w:val="008F0CDD"/>
    <w:rsid w:val="008F0DD4"/>
    <w:rsid w:val="008F0FC7"/>
    <w:rsid w:val="008F0FE8"/>
    <w:rsid w:val="008F118C"/>
    <w:rsid w:val="008F1253"/>
    <w:rsid w:val="008F13EC"/>
    <w:rsid w:val="008F148F"/>
    <w:rsid w:val="008F1676"/>
    <w:rsid w:val="008F17DA"/>
    <w:rsid w:val="008F1BE7"/>
    <w:rsid w:val="008F1EDC"/>
    <w:rsid w:val="008F2298"/>
    <w:rsid w:val="008F24D6"/>
    <w:rsid w:val="008F2533"/>
    <w:rsid w:val="008F26DC"/>
    <w:rsid w:val="008F2A78"/>
    <w:rsid w:val="008F2DCD"/>
    <w:rsid w:val="008F3082"/>
    <w:rsid w:val="008F35A8"/>
    <w:rsid w:val="008F37A0"/>
    <w:rsid w:val="008F38B6"/>
    <w:rsid w:val="008F3A0F"/>
    <w:rsid w:val="008F3B67"/>
    <w:rsid w:val="008F3BAA"/>
    <w:rsid w:val="008F3BEB"/>
    <w:rsid w:val="008F3CBD"/>
    <w:rsid w:val="008F446E"/>
    <w:rsid w:val="008F4807"/>
    <w:rsid w:val="008F4931"/>
    <w:rsid w:val="008F510F"/>
    <w:rsid w:val="008F5540"/>
    <w:rsid w:val="008F5770"/>
    <w:rsid w:val="008F5933"/>
    <w:rsid w:val="008F5DAC"/>
    <w:rsid w:val="008F5EDC"/>
    <w:rsid w:val="008F63B9"/>
    <w:rsid w:val="008F6D50"/>
    <w:rsid w:val="008F6E53"/>
    <w:rsid w:val="008F76C6"/>
    <w:rsid w:val="008F7F6E"/>
    <w:rsid w:val="0090000E"/>
    <w:rsid w:val="00900BF0"/>
    <w:rsid w:val="00901137"/>
    <w:rsid w:val="00901201"/>
    <w:rsid w:val="00901509"/>
    <w:rsid w:val="00901827"/>
    <w:rsid w:val="0090198B"/>
    <w:rsid w:val="00901B03"/>
    <w:rsid w:val="00901CEB"/>
    <w:rsid w:val="00901FC6"/>
    <w:rsid w:val="009025E6"/>
    <w:rsid w:val="0090262F"/>
    <w:rsid w:val="009028E4"/>
    <w:rsid w:val="009032D3"/>
    <w:rsid w:val="00903545"/>
    <w:rsid w:val="0090368A"/>
    <w:rsid w:val="0090373F"/>
    <w:rsid w:val="00903956"/>
    <w:rsid w:val="00903FEB"/>
    <w:rsid w:val="009047A7"/>
    <w:rsid w:val="0090489A"/>
    <w:rsid w:val="00904C09"/>
    <w:rsid w:val="0090503E"/>
    <w:rsid w:val="0090523F"/>
    <w:rsid w:val="0090569D"/>
    <w:rsid w:val="00905E10"/>
    <w:rsid w:val="0090606D"/>
    <w:rsid w:val="0090629F"/>
    <w:rsid w:val="009067B2"/>
    <w:rsid w:val="00906964"/>
    <w:rsid w:val="00906C57"/>
    <w:rsid w:val="00907021"/>
    <w:rsid w:val="009072B5"/>
    <w:rsid w:val="00907416"/>
    <w:rsid w:val="00907790"/>
    <w:rsid w:val="00907E3A"/>
    <w:rsid w:val="00910967"/>
    <w:rsid w:val="00910A40"/>
    <w:rsid w:val="00910B59"/>
    <w:rsid w:val="00910FB9"/>
    <w:rsid w:val="009110EE"/>
    <w:rsid w:val="00911461"/>
    <w:rsid w:val="00911B14"/>
    <w:rsid w:val="00911E46"/>
    <w:rsid w:val="00911EF4"/>
    <w:rsid w:val="0091214D"/>
    <w:rsid w:val="0091282D"/>
    <w:rsid w:val="00912AA1"/>
    <w:rsid w:val="00912ACF"/>
    <w:rsid w:val="0091303A"/>
    <w:rsid w:val="00913257"/>
    <w:rsid w:val="009133D1"/>
    <w:rsid w:val="00913970"/>
    <w:rsid w:val="009139CF"/>
    <w:rsid w:val="00913A43"/>
    <w:rsid w:val="0091411D"/>
    <w:rsid w:val="00914146"/>
    <w:rsid w:val="00914408"/>
    <w:rsid w:val="009144BD"/>
    <w:rsid w:val="0091475F"/>
    <w:rsid w:val="00914CFC"/>
    <w:rsid w:val="00915054"/>
    <w:rsid w:val="0091509D"/>
    <w:rsid w:val="009151B8"/>
    <w:rsid w:val="00915F24"/>
    <w:rsid w:val="00916937"/>
    <w:rsid w:val="00917842"/>
    <w:rsid w:val="00917C6C"/>
    <w:rsid w:val="00920027"/>
    <w:rsid w:val="0092096B"/>
    <w:rsid w:val="00920990"/>
    <w:rsid w:val="009209C1"/>
    <w:rsid w:val="00920AA9"/>
    <w:rsid w:val="00920CC2"/>
    <w:rsid w:val="0092105F"/>
    <w:rsid w:val="00921323"/>
    <w:rsid w:val="00921608"/>
    <w:rsid w:val="00921716"/>
    <w:rsid w:val="00921A06"/>
    <w:rsid w:val="00921AA1"/>
    <w:rsid w:val="00921FE0"/>
    <w:rsid w:val="0092210B"/>
    <w:rsid w:val="00922794"/>
    <w:rsid w:val="00922A09"/>
    <w:rsid w:val="00922C33"/>
    <w:rsid w:val="00922DA1"/>
    <w:rsid w:val="00922F35"/>
    <w:rsid w:val="009232E6"/>
    <w:rsid w:val="0092333F"/>
    <w:rsid w:val="00923BA9"/>
    <w:rsid w:val="00923D98"/>
    <w:rsid w:val="00923F1F"/>
    <w:rsid w:val="00924126"/>
    <w:rsid w:val="009243E6"/>
    <w:rsid w:val="0092488F"/>
    <w:rsid w:val="00924922"/>
    <w:rsid w:val="009249E9"/>
    <w:rsid w:val="009250C6"/>
    <w:rsid w:val="00925350"/>
    <w:rsid w:val="0092570B"/>
    <w:rsid w:val="00925D7F"/>
    <w:rsid w:val="00926598"/>
    <w:rsid w:val="0092660A"/>
    <w:rsid w:val="00926787"/>
    <w:rsid w:val="00926C78"/>
    <w:rsid w:val="00927C87"/>
    <w:rsid w:val="00927D20"/>
    <w:rsid w:val="00927F1F"/>
    <w:rsid w:val="0093013A"/>
    <w:rsid w:val="00930367"/>
    <w:rsid w:val="009304C4"/>
    <w:rsid w:val="009318FA"/>
    <w:rsid w:val="00932289"/>
    <w:rsid w:val="00932BAC"/>
    <w:rsid w:val="00932C6D"/>
    <w:rsid w:val="00932ECA"/>
    <w:rsid w:val="00932F39"/>
    <w:rsid w:val="0093307E"/>
    <w:rsid w:val="0093316E"/>
    <w:rsid w:val="00933622"/>
    <w:rsid w:val="00933684"/>
    <w:rsid w:val="009337E3"/>
    <w:rsid w:val="00933A6E"/>
    <w:rsid w:val="00934392"/>
    <w:rsid w:val="009349AC"/>
    <w:rsid w:val="00934A86"/>
    <w:rsid w:val="00934B36"/>
    <w:rsid w:val="00934F29"/>
    <w:rsid w:val="00934F47"/>
    <w:rsid w:val="00935289"/>
    <w:rsid w:val="009353BD"/>
    <w:rsid w:val="00935520"/>
    <w:rsid w:val="00935A98"/>
    <w:rsid w:val="00935B3D"/>
    <w:rsid w:val="00935DF8"/>
    <w:rsid w:val="00936273"/>
    <w:rsid w:val="00936860"/>
    <w:rsid w:val="00936E83"/>
    <w:rsid w:val="00936ED2"/>
    <w:rsid w:val="009374D7"/>
    <w:rsid w:val="009379F1"/>
    <w:rsid w:val="00937A3F"/>
    <w:rsid w:val="00937B6A"/>
    <w:rsid w:val="00937B6D"/>
    <w:rsid w:val="0094051F"/>
    <w:rsid w:val="00940578"/>
    <w:rsid w:val="009409B3"/>
    <w:rsid w:val="00940D12"/>
    <w:rsid w:val="009411D4"/>
    <w:rsid w:val="0094128D"/>
    <w:rsid w:val="00941544"/>
    <w:rsid w:val="00941648"/>
    <w:rsid w:val="009419C9"/>
    <w:rsid w:val="00941DFC"/>
    <w:rsid w:val="00941E93"/>
    <w:rsid w:val="00942AF8"/>
    <w:rsid w:val="00942E0A"/>
    <w:rsid w:val="00943202"/>
    <w:rsid w:val="0094354C"/>
    <w:rsid w:val="00943973"/>
    <w:rsid w:val="009444BE"/>
    <w:rsid w:val="0094459C"/>
    <w:rsid w:val="0094460B"/>
    <w:rsid w:val="00944B29"/>
    <w:rsid w:val="009459E0"/>
    <w:rsid w:val="0094603F"/>
    <w:rsid w:val="0094634A"/>
    <w:rsid w:val="00946588"/>
    <w:rsid w:val="009470AF"/>
    <w:rsid w:val="009500AB"/>
    <w:rsid w:val="0095035E"/>
    <w:rsid w:val="00950771"/>
    <w:rsid w:val="00951318"/>
    <w:rsid w:val="00951FEC"/>
    <w:rsid w:val="0095221D"/>
    <w:rsid w:val="009533F7"/>
    <w:rsid w:val="00953561"/>
    <w:rsid w:val="00953604"/>
    <w:rsid w:val="00953993"/>
    <w:rsid w:val="00953E23"/>
    <w:rsid w:val="009548F9"/>
    <w:rsid w:val="00954CA7"/>
    <w:rsid w:val="00954F0F"/>
    <w:rsid w:val="0095742E"/>
    <w:rsid w:val="00957C47"/>
    <w:rsid w:val="00957C7C"/>
    <w:rsid w:val="00957FE6"/>
    <w:rsid w:val="009604CE"/>
    <w:rsid w:val="00960546"/>
    <w:rsid w:val="00960687"/>
    <w:rsid w:val="009610C6"/>
    <w:rsid w:val="00961505"/>
    <w:rsid w:val="009626EC"/>
    <w:rsid w:val="00962B92"/>
    <w:rsid w:val="00962E79"/>
    <w:rsid w:val="009642E2"/>
    <w:rsid w:val="0096437A"/>
    <w:rsid w:val="00964652"/>
    <w:rsid w:val="00964CB7"/>
    <w:rsid w:val="00964DB0"/>
    <w:rsid w:val="0096540B"/>
    <w:rsid w:val="009654BD"/>
    <w:rsid w:val="00965D52"/>
    <w:rsid w:val="00965D6B"/>
    <w:rsid w:val="00965E86"/>
    <w:rsid w:val="00965FB4"/>
    <w:rsid w:val="00965FB5"/>
    <w:rsid w:val="00966643"/>
    <w:rsid w:val="00966AB4"/>
    <w:rsid w:val="009672C6"/>
    <w:rsid w:val="0096753F"/>
    <w:rsid w:val="00967618"/>
    <w:rsid w:val="00967A97"/>
    <w:rsid w:val="00967DBA"/>
    <w:rsid w:val="0097039F"/>
    <w:rsid w:val="00970923"/>
    <w:rsid w:val="00970E6B"/>
    <w:rsid w:val="0097149B"/>
    <w:rsid w:val="00971642"/>
    <w:rsid w:val="00971D40"/>
    <w:rsid w:val="009725F6"/>
    <w:rsid w:val="009726C4"/>
    <w:rsid w:val="00972BF3"/>
    <w:rsid w:val="00972D05"/>
    <w:rsid w:val="00972F81"/>
    <w:rsid w:val="00973885"/>
    <w:rsid w:val="00973A0B"/>
    <w:rsid w:val="00973D70"/>
    <w:rsid w:val="00974073"/>
    <w:rsid w:val="009740A7"/>
    <w:rsid w:val="009745E2"/>
    <w:rsid w:val="00974C1C"/>
    <w:rsid w:val="00974F5C"/>
    <w:rsid w:val="009750ED"/>
    <w:rsid w:val="009755A5"/>
    <w:rsid w:val="00975771"/>
    <w:rsid w:val="00975BD6"/>
    <w:rsid w:val="00976539"/>
    <w:rsid w:val="0097677C"/>
    <w:rsid w:val="00976B14"/>
    <w:rsid w:val="00976DFD"/>
    <w:rsid w:val="0097700A"/>
    <w:rsid w:val="009772CB"/>
    <w:rsid w:val="00977682"/>
    <w:rsid w:val="00977A9A"/>
    <w:rsid w:val="00977AA9"/>
    <w:rsid w:val="00977DF9"/>
    <w:rsid w:val="00980F56"/>
    <w:rsid w:val="00980FBF"/>
    <w:rsid w:val="00981022"/>
    <w:rsid w:val="00981448"/>
    <w:rsid w:val="0098155C"/>
    <w:rsid w:val="00981753"/>
    <w:rsid w:val="00981C45"/>
    <w:rsid w:val="00982101"/>
    <w:rsid w:val="00982488"/>
    <w:rsid w:val="00982BEB"/>
    <w:rsid w:val="00984420"/>
    <w:rsid w:val="0098445B"/>
    <w:rsid w:val="009844D2"/>
    <w:rsid w:val="00984676"/>
    <w:rsid w:val="009847B7"/>
    <w:rsid w:val="00984B35"/>
    <w:rsid w:val="00984E6C"/>
    <w:rsid w:val="0098517E"/>
    <w:rsid w:val="00985ED3"/>
    <w:rsid w:val="00986933"/>
    <w:rsid w:val="00986BFF"/>
    <w:rsid w:val="009870CE"/>
    <w:rsid w:val="00987241"/>
    <w:rsid w:val="0098728D"/>
    <w:rsid w:val="00987B55"/>
    <w:rsid w:val="00987DDA"/>
    <w:rsid w:val="00987F84"/>
    <w:rsid w:val="00987F8B"/>
    <w:rsid w:val="009903EB"/>
    <w:rsid w:val="00990639"/>
    <w:rsid w:val="00990BB1"/>
    <w:rsid w:val="00990FE0"/>
    <w:rsid w:val="009915FB"/>
    <w:rsid w:val="009916CF"/>
    <w:rsid w:val="009916F1"/>
    <w:rsid w:val="00991C4E"/>
    <w:rsid w:val="00991DF0"/>
    <w:rsid w:val="00991E0B"/>
    <w:rsid w:val="00991F97"/>
    <w:rsid w:val="0099206A"/>
    <w:rsid w:val="0099211B"/>
    <w:rsid w:val="00992142"/>
    <w:rsid w:val="009925E6"/>
    <w:rsid w:val="009927EC"/>
    <w:rsid w:val="0099388D"/>
    <w:rsid w:val="009943F9"/>
    <w:rsid w:val="009945D0"/>
    <w:rsid w:val="00995153"/>
    <w:rsid w:val="0099643F"/>
    <w:rsid w:val="00996A44"/>
    <w:rsid w:val="00996B7E"/>
    <w:rsid w:val="009970BF"/>
    <w:rsid w:val="009973B7"/>
    <w:rsid w:val="009975D8"/>
    <w:rsid w:val="009A00EF"/>
    <w:rsid w:val="009A062A"/>
    <w:rsid w:val="009A0645"/>
    <w:rsid w:val="009A1385"/>
    <w:rsid w:val="009A2341"/>
    <w:rsid w:val="009A2F8D"/>
    <w:rsid w:val="009A3FCE"/>
    <w:rsid w:val="009A4320"/>
    <w:rsid w:val="009A4541"/>
    <w:rsid w:val="009A4588"/>
    <w:rsid w:val="009A478E"/>
    <w:rsid w:val="009A4A8D"/>
    <w:rsid w:val="009A4EFF"/>
    <w:rsid w:val="009A4F1C"/>
    <w:rsid w:val="009A5359"/>
    <w:rsid w:val="009A560E"/>
    <w:rsid w:val="009A5A26"/>
    <w:rsid w:val="009A5AB5"/>
    <w:rsid w:val="009A5B3F"/>
    <w:rsid w:val="009A6DC6"/>
    <w:rsid w:val="009A6DCE"/>
    <w:rsid w:val="009B07B6"/>
    <w:rsid w:val="009B0A1E"/>
    <w:rsid w:val="009B0C7C"/>
    <w:rsid w:val="009B1192"/>
    <w:rsid w:val="009B142C"/>
    <w:rsid w:val="009B1A72"/>
    <w:rsid w:val="009B1D90"/>
    <w:rsid w:val="009B1EE9"/>
    <w:rsid w:val="009B221A"/>
    <w:rsid w:val="009B2242"/>
    <w:rsid w:val="009B23A7"/>
    <w:rsid w:val="009B244A"/>
    <w:rsid w:val="009B2808"/>
    <w:rsid w:val="009B2846"/>
    <w:rsid w:val="009B2C80"/>
    <w:rsid w:val="009B3289"/>
    <w:rsid w:val="009B32BA"/>
    <w:rsid w:val="009B344C"/>
    <w:rsid w:val="009B34A3"/>
    <w:rsid w:val="009B34E6"/>
    <w:rsid w:val="009B3700"/>
    <w:rsid w:val="009B3EF4"/>
    <w:rsid w:val="009B3F91"/>
    <w:rsid w:val="009B495A"/>
    <w:rsid w:val="009B4B39"/>
    <w:rsid w:val="009B590D"/>
    <w:rsid w:val="009B5AAE"/>
    <w:rsid w:val="009B5DC3"/>
    <w:rsid w:val="009B6094"/>
    <w:rsid w:val="009B6365"/>
    <w:rsid w:val="009B641B"/>
    <w:rsid w:val="009B64B8"/>
    <w:rsid w:val="009B6673"/>
    <w:rsid w:val="009B7C07"/>
    <w:rsid w:val="009C0277"/>
    <w:rsid w:val="009C02BE"/>
    <w:rsid w:val="009C04DE"/>
    <w:rsid w:val="009C0598"/>
    <w:rsid w:val="009C0B76"/>
    <w:rsid w:val="009C0C55"/>
    <w:rsid w:val="009C0D15"/>
    <w:rsid w:val="009C0D60"/>
    <w:rsid w:val="009C0E5B"/>
    <w:rsid w:val="009C100D"/>
    <w:rsid w:val="009C11E6"/>
    <w:rsid w:val="009C163D"/>
    <w:rsid w:val="009C16D1"/>
    <w:rsid w:val="009C1707"/>
    <w:rsid w:val="009C1941"/>
    <w:rsid w:val="009C198C"/>
    <w:rsid w:val="009C1C4C"/>
    <w:rsid w:val="009C1C65"/>
    <w:rsid w:val="009C1D60"/>
    <w:rsid w:val="009C20BB"/>
    <w:rsid w:val="009C254C"/>
    <w:rsid w:val="009C2FBC"/>
    <w:rsid w:val="009C32D4"/>
    <w:rsid w:val="009C34F9"/>
    <w:rsid w:val="009C3668"/>
    <w:rsid w:val="009C39EC"/>
    <w:rsid w:val="009C3AA9"/>
    <w:rsid w:val="009C3AB4"/>
    <w:rsid w:val="009C3B28"/>
    <w:rsid w:val="009C42D6"/>
    <w:rsid w:val="009C45B5"/>
    <w:rsid w:val="009C4881"/>
    <w:rsid w:val="009C4CC1"/>
    <w:rsid w:val="009C536E"/>
    <w:rsid w:val="009C53D9"/>
    <w:rsid w:val="009C57CE"/>
    <w:rsid w:val="009C63E4"/>
    <w:rsid w:val="009C672A"/>
    <w:rsid w:val="009C7278"/>
    <w:rsid w:val="009C7391"/>
    <w:rsid w:val="009C73EC"/>
    <w:rsid w:val="009C7703"/>
    <w:rsid w:val="009C7861"/>
    <w:rsid w:val="009C7A2F"/>
    <w:rsid w:val="009C7C61"/>
    <w:rsid w:val="009C7C88"/>
    <w:rsid w:val="009C7D59"/>
    <w:rsid w:val="009D056E"/>
    <w:rsid w:val="009D0D94"/>
    <w:rsid w:val="009D1229"/>
    <w:rsid w:val="009D12A6"/>
    <w:rsid w:val="009D2191"/>
    <w:rsid w:val="009D2297"/>
    <w:rsid w:val="009D22AA"/>
    <w:rsid w:val="009D231E"/>
    <w:rsid w:val="009D279D"/>
    <w:rsid w:val="009D29CF"/>
    <w:rsid w:val="009D2A27"/>
    <w:rsid w:val="009D2A4B"/>
    <w:rsid w:val="009D30D6"/>
    <w:rsid w:val="009D33DD"/>
    <w:rsid w:val="009D3724"/>
    <w:rsid w:val="009D3E28"/>
    <w:rsid w:val="009D3F00"/>
    <w:rsid w:val="009D422D"/>
    <w:rsid w:val="009D4734"/>
    <w:rsid w:val="009D51F1"/>
    <w:rsid w:val="009D59FE"/>
    <w:rsid w:val="009D60B0"/>
    <w:rsid w:val="009D65C4"/>
    <w:rsid w:val="009D6915"/>
    <w:rsid w:val="009D6EFE"/>
    <w:rsid w:val="009D7445"/>
    <w:rsid w:val="009D7BEB"/>
    <w:rsid w:val="009D7D51"/>
    <w:rsid w:val="009D7E03"/>
    <w:rsid w:val="009E028E"/>
    <w:rsid w:val="009E06BB"/>
    <w:rsid w:val="009E0AB3"/>
    <w:rsid w:val="009E0BC3"/>
    <w:rsid w:val="009E123A"/>
    <w:rsid w:val="009E15E1"/>
    <w:rsid w:val="009E19B8"/>
    <w:rsid w:val="009E1F05"/>
    <w:rsid w:val="009E280A"/>
    <w:rsid w:val="009E2C88"/>
    <w:rsid w:val="009E2CBE"/>
    <w:rsid w:val="009E2D86"/>
    <w:rsid w:val="009E2E60"/>
    <w:rsid w:val="009E2F23"/>
    <w:rsid w:val="009E2F38"/>
    <w:rsid w:val="009E33FD"/>
    <w:rsid w:val="009E38AD"/>
    <w:rsid w:val="009E3BC7"/>
    <w:rsid w:val="009E3F45"/>
    <w:rsid w:val="009E48FA"/>
    <w:rsid w:val="009E4B61"/>
    <w:rsid w:val="009E4F61"/>
    <w:rsid w:val="009E5127"/>
    <w:rsid w:val="009E563D"/>
    <w:rsid w:val="009E6116"/>
    <w:rsid w:val="009E61F7"/>
    <w:rsid w:val="009E64E6"/>
    <w:rsid w:val="009E654D"/>
    <w:rsid w:val="009E6D4E"/>
    <w:rsid w:val="009E6ED1"/>
    <w:rsid w:val="009E70B6"/>
    <w:rsid w:val="009E7CA9"/>
    <w:rsid w:val="009E7D35"/>
    <w:rsid w:val="009F00E2"/>
    <w:rsid w:val="009F0189"/>
    <w:rsid w:val="009F06FD"/>
    <w:rsid w:val="009F143A"/>
    <w:rsid w:val="009F1714"/>
    <w:rsid w:val="009F172F"/>
    <w:rsid w:val="009F182E"/>
    <w:rsid w:val="009F2191"/>
    <w:rsid w:val="009F220F"/>
    <w:rsid w:val="009F227E"/>
    <w:rsid w:val="009F2543"/>
    <w:rsid w:val="009F3091"/>
    <w:rsid w:val="009F30BA"/>
    <w:rsid w:val="009F32BD"/>
    <w:rsid w:val="009F3568"/>
    <w:rsid w:val="009F35AE"/>
    <w:rsid w:val="009F3866"/>
    <w:rsid w:val="009F3DAA"/>
    <w:rsid w:val="009F3EA4"/>
    <w:rsid w:val="009F468A"/>
    <w:rsid w:val="009F478A"/>
    <w:rsid w:val="009F491F"/>
    <w:rsid w:val="009F4D18"/>
    <w:rsid w:val="009F53A4"/>
    <w:rsid w:val="009F5506"/>
    <w:rsid w:val="009F5B14"/>
    <w:rsid w:val="009F690F"/>
    <w:rsid w:val="009F692E"/>
    <w:rsid w:val="009F6F4A"/>
    <w:rsid w:val="009F717C"/>
    <w:rsid w:val="009F78CB"/>
    <w:rsid w:val="009F790C"/>
    <w:rsid w:val="009F7A26"/>
    <w:rsid w:val="009F7AB3"/>
    <w:rsid w:val="009F7B60"/>
    <w:rsid w:val="009F7B8E"/>
    <w:rsid w:val="009F7CEB"/>
    <w:rsid w:val="009F7E62"/>
    <w:rsid w:val="00A00A50"/>
    <w:rsid w:val="00A00BA2"/>
    <w:rsid w:val="00A00F48"/>
    <w:rsid w:val="00A011AF"/>
    <w:rsid w:val="00A01208"/>
    <w:rsid w:val="00A01640"/>
    <w:rsid w:val="00A01744"/>
    <w:rsid w:val="00A01AC6"/>
    <w:rsid w:val="00A01BBB"/>
    <w:rsid w:val="00A01F4D"/>
    <w:rsid w:val="00A02778"/>
    <w:rsid w:val="00A02A73"/>
    <w:rsid w:val="00A02D85"/>
    <w:rsid w:val="00A02F49"/>
    <w:rsid w:val="00A0394D"/>
    <w:rsid w:val="00A03A75"/>
    <w:rsid w:val="00A03C41"/>
    <w:rsid w:val="00A03F2A"/>
    <w:rsid w:val="00A042C9"/>
    <w:rsid w:val="00A04997"/>
    <w:rsid w:val="00A04DFE"/>
    <w:rsid w:val="00A04E54"/>
    <w:rsid w:val="00A0545D"/>
    <w:rsid w:val="00A05766"/>
    <w:rsid w:val="00A05DE6"/>
    <w:rsid w:val="00A060B6"/>
    <w:rsid w:val="00A068F0"/>
    <w:rsid w:val="00A06E9B"/>
    <w:rsid w:val="00A07251"/>
    <w:rsid w:val="00A078B1"/>
    <w:rsid w:val="00A10413"/>
    <w:rsid w:val="00A1044B"/>
    <w:rsid w:val="00A109B3"/>
    <w:rsid w:val="00A109F9"/>
    <w:rsid w:val="00A10E4B"/>
    <w:rsid w:val="00A110E8"/>
    <w:rsid w:val="00A110ED"/>
    <w:rsid w:val="00A1121F"/>
    <w:rsid w:val="00A114D0"/>
    <w:rsid w:val="00A11544"/>
    <w:rsid w:val="00A11890"/>
    <w:rsid w:val="00A118C5"/>
    <w:rsid w:val="00A11CB2"/>
    <w:rsid w:val="00A11D8B"/>
    <w:rsid w:val="00A1223D"/>
    <w:rsid w:val="00A12831"/>
    <w:rsid w:val="00A129B7"/>
    <w:rsid w:val="00A12C6C"/>
    <w:rsid w:val="00A13029"/>
    <w:rsid w:val="00A131C4"/>
    <w:rsid w:val="00A13245"/>
    <w:rsid w:val="00A1336D"/>
    <w:rsid w:val="00A13394"/>
    <w:rsid w:val="00A133DD"/>
    <w:rsid w:val="00A1382E"/>
    <w:rsid w:val="00A13DE2"/>
    <w:rsid w:val="00A14632"/>
    <w:rsid w:val="00A1487E"/>
    <w:rsid w:val="00A14BD2"/>
    <w:rsid w:val="00A14D04"/>
    <w:rsid w:val="00A14EF1"/>
    <w:rsid w:val="00A15463"/>
    <w:rsid w:val="00A1622F"/>
    <w:rsid w:val="00A16B99"/>
    <w:rsid w:val="00A16C16"/>
    <w:rsid w:val="00A16D3E"/>
    <w:rsid w:val="00A1709D"/>
    <w:rsid w:val="00A17903"/>
    <w:rsid w:val="00A17A17"/>
    <w:rsid w:val="00A17B6D"/>
    <w:rsid w:val="00A17D2B"/>
    <w:rsid w:val="00A208D7"/>
    <w:rsid w:val="00A20A7F"/>
    <w:rsid w:val="00A20B8B"/>
    <w:rsid w:val="00A21166"/>
    <w:rsid w:val="00A21269"/>
    <w:rsid w:val="00A213CF"/>
    <w:rsid w:val="00A214E3"/>
    <w:rsid w:val="00A219A5"/>
    <w:rsid w:val="00A2255D"/>
    <w:rsid w:val="00A225E6"/>
    <w:rsid w:val="00A22686"/>
    <w:rsid w:val="00A22E73"/>
    <w:rsid w:val="00A22FE0"/>
    <w:rsid w:val="00A23124"/>
    <w:rsid w:val="00A23A19"/>
    <w:rsid w:val="00A240B9"/>
    <w:rsid w:val="00A2497E"/>
    <w:rsid w:val="00A252BD"/>
    <w:rsid w:val="00A26160"/>
    <w:rsid w:val="00A26235"/>
    <w:rsid w:val="00A27687"/>
    <w:rsid w:val="00A31CA7"/>
    <w:rsid w:val="00A3266B"/>
    <w:rsid w:val="00A32D99"/>
    <w:rsid w:val="00A32E50"/>
    <w:rsid w:val="00A3395A"/>
    <w:rsid w:val="00A33A8C"/>
    <w:rsid w:val="00A33D96"/>
    <w:rsid w:val="00A34095"/>
    <w:rsid w:val="00A34385"/>
    <w:rsid w:val="00A3490D"/>
    <w:rsid w:val="00A350EF"/>
    <w:rsid w:val="00A3593E"/>
    <w:rsid w:val="00A35AC2"/>
    <w:rsid w:val="00A35DCC"/>
    <w:rsid w:val="00A360FB"/>
    <w:rsid w:val="00A362CF"/>
    <w:rsid w:val="00A36B22"/>
    <w:rsid w:val="00A36FEE"/>
    <w:rsid w:val="00A37107"/>
    <w:rsid w:val="00A37586"/>
    <w:rsid w:val="00A3797A"/>
    <w:rsid w:val="00A37C7D"/>
    <w:rsid w:val="00A40554"/>
    <w:rsid w:val="00A407BD"/>
    <w:rsid w:val="00A40ADE"/>
    <w:rsid w:val="00A40BA6"/>
    <w:rsid w:val="00A40EC9"/>
    <w:rsid w:val="00A41778"/>
    <w:rsid w:val="00A419FA"/>
    <w:rsid w:val="00A41AD7"/>
    <w:rsid w:val="00A41B56"/>
    <w:rsid w:val="00A41D3A"/>
    <w:rsid w:val="00A42889"/>
    <w:rsid w:val="00A42F6E"/>
    <w:rsid w:val="00A42FE7"/>
    <w:rsid w:val="00A43E3A"/>
    <w:rsid w:val="00A44470"/>
    <w:rsid w:val="00A44792"/>
    <w:rsid w:val="00A449F7"/>
    <w:rsid w:val="00A44F5D"/>
    <w:rsid w:val="00A458B5"/>
    <w:rsid w:val="00A45ACF"/>
    <w:rsid w:val="00A45CCA"/>
    <w:rsid w:val="00A461E4"/>
    <w:rsid w:val="00A4625F"/>
    <w:rsid w:val="00A46469"/>
    <w:rsid w:val="00A46591"/>
    <w:rsid w:val="00A46965"/>
    <w:rsid w:val="00A46B38"/>
    <w:rsid w:val="00A47323"/>
    <w:rsid w:val="00A476A9"/>
    <w:rsid w:val="00A47A03"/>
    <w:rsid w:val="00A47BBB"/>
    <w:rsid w:val="00A47C4A"/>
    <w:rsid w:val="00A5038E"/>
    <w:rsid w:val="00A50470"/>
    <w:rsid w:val="00A50A27"/>
    <w:rsid w:val="00A512E0"/>
    <w:rsid w:val="00A51304"/>
    <w:rsid w:val="00A516F7"/>
    <w:rsid w:val="00A518F1"/>
    <w:rsid w:val="00A51BB3"/>
    <w:rsid w:val="00A51C8A"/>
    <w:rsid w:val="00A51D5A"/>
    <w:rsid w:val="00A51F74"/>
    <w:rsid w:val="00A52484"/>
    <w:rsid w:val="00A52BE7"/>
    <w:rsid w:val="00A52D0F"/>
    <w:rsid w:val="00A52DD2"/>
    <w:rsid w:val="00A53432"/>
    <w:rsid w:val="00A5372A"/>
    <w:rsid w:val="00A54365"/>
    <w:rsid w:val="00A54596"/>
    <w:rsid w:val="00A548EE"/>
    <w:rsid w:val="00A54965"/>
    <w:rsid w:val="00A5540F"/>
    <w:rsid w:val="00A55FAD"/>
    <w:rsid w:val="00A56B3C"/>
    <w:rsid w:val="00A56E44"/>
    <w:rsid w:val="00A57395"/>
    <w:rsid w:val="00A57F81"/>
    <w:rsid w:val="00A60176"/>
    <w:rsid w:val="00A60CFD"/>
    <w:rsid w:val="00A60D8D"/>
    <w:rsid w:val="00A618C9"/>
    <w:rsid w:val="00A62265"/>
    <w:rsid w:val="00A624B6"/>
    <w:rsid w:val="00A62770"/>
    <w:rsid w:val="00A629D5"/>
    <w:rsid w:val="00A62BCD"/>
    <w:rsid w:val="00A62BE1"/>
    <w:rsid w:val="00A635C9"/>
    <w:rsid w:val="00A639EA"/>
    <w:rsid w:val="00A649A2"/>
    <w:rsid w:val="00A64E06"/>
    <w:rsid w:val="00A64EF0"/>
    <w:rsid w:val="00A652CB"/>
    <w:rsid w:val="00A65392"/>
    <w:rsid w:val="00A65929"/>
    <w:rsid w:val="00A6597F"/>
    <w:rsid w:val="00A65B04"/>
    <w:rsid w:val="00A65B29"/>
    <w:rsid w:val="00A65B49"/>
    <w:rsid w:val="00A663EF"/>
    <w:rsid w:val="00A669A5"/>
    <w:rsid w:val="00A66EB5"/>
    <w:rsid w:val="00A67139"/>
    <w:rsid w:val="00A674DF"/>
    <w:rsid w:val="00A6795D"/>
    <w:rsid w:val="00A67AB5"/>
    <w:rsid w:val="00A67D54"/>
    <w:rsid w:val="00A7038D"/>
    <w:rsid w:val="00A705E6"/>
    <w:rsid w:val="00A70693"/>
    <w:rsid w:val="00A706DC"/>
    <w:rsid w:val="00A7089A"/>
    <w:rsid w:val="00A70B61"/>
    <w:rsid w:val="00A70BFB"/>
    <w:rsid w:val="00A70F4B"/>
    <w:rsid w:val="00A71797"/>
    <w:rsid w:val="00A71BDF"/>
    <w:rsid w:val="00A71D01"/>
    <w:rsid w:val="00A71E25"/>
    <w:rsid w:val="00A71F1B"/>
    <w:rsid w:val="00A729FA"/>
    <w:rsid w:val="00A72BE9"/>
    <w:rsid w:val="00A72DF9"/>
    <w:rsid w:val="00A73453"/>
    <w:rsid w:val="00A73692"/>
    <w:rsid w:val="00A7391B"/>
    <w:rsid w:val="00A741ED"/>
    <w:rsid w:val="00A74C60"/>
    <w:rsid w:val="00A75086"/>
    <w:rsid w:val="00A7537A"/>
    <w:rsid w:val="00A7545F"/>
    <w:rsid w:val="00A75579"/>
    <w:rsid w:val="00A7615C"/>
    <w:rsid w:val="00A76315"/>
    <w:rsid w:val="00A76685"/>
    <w:rsid w:val="00A76828"/>
    <w:rsid w:val="00A769A4"/>
    <w:rsid w:val="00A773BF"/>
    <w:rsid w:val="00A77524"/>
    <w:rsid w:val="00A77528"/>
    <w:rsid w:val="00A77563"/>
    <w:rsid w:val="00A77AB6"/>
    <w:rsid w:val="00A80057"/>
    <w:rsid w:val="00A801B6"/>
    <w:rsid w:val="00A807A7"/>
    <w:rsid w:val="00A808EB"/>
    <w:rsid w:val="00A80955"/>
    <w:rsid w:val="00A81158"/>
    <w:rsid w:val="00A814AE"/>
    <w:rsid w:val="00A81BD7"/>
    <w:rsid w:val="00A81E15"/>
    <w:rsid w:val="00A822D9"/>
    <w:rsid w:val="00A822F9"/>
    <w:rsid w:val="00A8259D"/>
    <w:rsid w:val="00A8268C"/>
    <w:rsid w:val="00A82894"/>
    <w:rsid w:val="00A82933"/>
    <w:rsid w:val="00A82A14"/>
    <w:rsid w:val="00A82B7A"/>
    <w:rsid w:val="00A8321C"/>
    <w:rsid w:val="00A8340C"/>
    <w:rsid w:val="00A837C6"/>
    <w:rsid w:val="00A83C0D"/>
    <w:rsid w:val="00A83E75"/>
    <w:rsid w:val="00A83E81"/>
    <w:rsid w:val="00A841ED"/>
    <w:rsid w:val="00A84342"/>
    <w:rsid w:val="00A845D4"/>
    <w:rsid w:val="00A848C9"/>
    <w:rsid w:val="00A85207"/>
    <w:rsid w:val="00A85351"/>
    <w:rsid w:val="00A85AD8"/>
    <w:rsid w:val="00A85B25"/>
    <w:rsid w:val="00A85B64"/>
    <w:rsid w:val="00A866B7"/>
    <w:rsid w:val="00A8722F"/>
    <w:rsid w:val="00A873EA"/>
    <w:rsid w:val="00A87400"/>
    <w:rsid w:val="00A9007C"/>
    <w:rsid w:val="00A9099F"/>
    <w:rsid w:val="00A909CE"/>
    <w:rsid w:val="00A90A55"/>
    <w:rsid w:val="00A90F52"/>
    <w:rsid w:val="00A912D4"/>
    <w:rsid w:val="00A91688"/>
    <w:rsid w:val="00A91966"/>
    <w:rsid w:val="00A91997"/>
    <w:rsid w:val="00A91FC1"/>
    <w:rsid w:val="00A92172"/>
    <w:rsid w:val="00A92863"/>
    <w:rsid w:val="00A934FD"/>
    <w:rsid w:val="00A938E0"/>
    <w:rsid w:val="00A93FBC"/>
    <w:rsid w:val="00A93FF4"/>
    <w:rsid w:val="00A940FE"/>
    <w:rsid w:val="00A94DF7"/>
    <w:rsid w:val="00A9542F"/>
    <w:rsid w:val="00A958FD"/>
    <w:rsid w:val="00A95F39"/>
    <w:rsid w:val="00A95FEF"/>
    <w:rsid w:val="00A95FF7"/>
    <w:rsid w:val="00A964B5"/>
    <w:rsid w:val="00A96512"/>
    <w:rsid w:val="00AA01EB"/>
    <w:rsid w:val="00AA02B8"/>
    <w:rsid w:val="00AA04EB"/>
    <w:rsid w:val="00AA0563"/>
    <w:rsid w:val="00AA0656"/>
    <w:rsid w:val="00AA0695"/>
    <w:rsid w:val="00AA1A84"/>
    <w:rsid w:val="00AA2B3A"/>
    <w:rsid w:val="00AA34C5"/>
    <w:rsid w:val="00AA36AD"/>
    <w:rsid w:val="00AA36D4"/>
    <w:rsid w:val="00AA3827"/>
    <w:rsid w:val="00AA466F"/>
    <w:rsid w:val="00AA4B76"/>
    <w:rsid w:val="00AA4B8D"/>
    <w:rsid w:val="00AA4E00"/>
    <w:rsid w:val="00AA5021"/>
    <w:rsid w:val="00AA580B"/>
    <w:rsid w:val="00AA613F"/>
    <w:rsid w:val="00AA624B"/>
    <w:rsid w:val="00AA62B1"/>
    <w:rsid w:val="00AA6F20"/>
    <w:rsid w:val="00AA7159"/>
    <w:rsid w:val="00AA7314"/>
    <w:rsid w:val="00AA79F9"/>
    <w:rsid w:val="00AA7AE0"/>
    <w:rsid w:val="00AA7C04"/>
    <w:rsid w:val="00AA7EBF"/>
    <w:rsid w:val="00AB069E"/>
    <w:rsid w:val="00AB09BD"/>
    <w:rsid w:val="00AB0B61"/>
    <w:rsid w:val="00AB0E44"/>
    <w:rsid w:val="00AB1273"/>
    <w:rsid w:val="00AB185D"/>
    <w:rsid w:val="00AB1A76"/>
    <w:rsid w:val="00AB2098"/>
    <w:rsid w:val="00AB2129"/>
    <w:rsid w:val="00AB21E2"/>
    <w:rsid w:val="00AB21F5"/>
    <w:rsid w:val="00AB2A48"/>
    <w:rsid w:val="00AB2FBB"/>
    <w:rsid w:val="00AB31EB"/>
    <w:rsid w:val="00AB362E"/>
    <w:rsid w:val="00AB3815"/>
    <w:rsid w:val="00AB3D1F"/>
    <w:rsid w:val="00AB418C"/>
    <w:rsid w:val="00AB426B"/>
    <w:rsid w:val="00AB46DA"/>
    <w:rsid w:val="00AB4852"/>
    <w:rsid w:val="00AB548B"/>
    <w:rsid w:val="00AB606F"/>
    <w:rsid w:val="00AB619D"/>
    <w:rsid w:val="00AB67D8"/>
    <w:rsid w:val="00AB6A13"/>
    <w:rsid w:val="00AB6A29"/>
    <w:rsid w:val="00AB72E9"/>
    <w:rsid w:val="00AB7873"/>
    <w:rsid w:val="00AB78A4"/>
    <w:rsid w:val="00AB78AB"/>
    <w:rsid w:val="00AB7BFE"/>
    <w:rsid w:val="00AB7DE6"/>
    <w:rsid w:val="00AC0544"/>
    <w:rsid w:val="00AC0BA4"/>
    <w:rsid w:val="00AC1D42"/>
    <w:rsid w:val="00AC1FF1"/>
    <w:rsid w:val="00AC2321"/>
    <w:rsid w:val="00AC2B31"/>
    <w:rsid w:val="00AC2E1C"/>
    <w:rsid w:val="00AC316C"/>
    <w:rsid w:val="00AC3999"/>
    <w:rsid w:val="00AC4084"/>
    <w:rsid w:val="00AC40F4"/>
    <w:rsid w:val="00AC4307"/>
    <w:rsid w:val="00AC47B6"/>
    <w:rsid w:val="00AC4C12"/>
    <w:rsid w:val="00AC4E85"/>
    <w:rsid w:val="00AC5487"/>
    <w:rsid w:val="00AC5888"/>
    <w:rsid w:val="00AC5CCE"/>
    <w:rsid w:val="00AC607F"/>
    <w:rsid w:val="00AC6143"/>
    <w:rsid w:val="00AC6534"/>
    <w:rsid w:val="00AC6721"/>
    <w:rsid w:val="00AC6B40"/>
    <w:rsid w:val="00AC6BE5"/>
    <w:rsid w:val="00AC787C"/>
    <w:rsid w:val="00AC7C80"/>
    <w:rsid w:val="00AD0054"/>
    <w:rsid w:val="00AD0743"/>
    <w:rsid w:val="00AD1349"/>
    <w:rsid w:val="00AD1656"/>
    <w:rsid w:val="00AD17E5"/>
    <w:rsid w:val="00AD1824"/>
    <w:rsid w:val="00AD1C58"/>
    <w:rsid w:val="00AD1ED0"/>
    <w:rsid w:val="00AD2000"/>
    <w:rsid w:val="00AD223C"/>
    <w:rsid w:val="00AD2397"/>
    <w:rsid w:val="00AD293D"/>
    <w:rsid w:val="00AD298B"/>
    <w:rsid w:val="00AD31B3"/>
    <w:rsid w:val="00AD3928"/>
    <w:rsid w:val="00AD3ADF"/>
    <w:rsid w:val="00AD3F1B"/>
    <w:rsid w:val="00AD49BB"/>
    <w:rsid w:val="00AD4D00"/>
    <w:rsid w:val="00AD5413"/>
    <w:rsid w:val="00AD57D4"/>
    <w:rsid w:val="00AD6049"/>
    <w:rsid w:val="00AD65B0"/>
    <w:rsid w:val="00AD6771"/>
    <w:rsid w:val="00AD696D"/>
    <w:rsid w:val="00AD7392"/>
    <w:rsid w:val="00AD7601"/>
    <w:rsid w:val="00AD7DE8"/>
    <w:rsid w:val="00AE08CE"/>
    <w:rsid w:val="00AE0B1B"/>
    <w:rsid w:val="00AE0C7F"/>
    <w:rsid w:val="00AE1299"/>
    <w:rsid w:val="00AE1445"/>
    <w:rsid w:val="00AE198D"/>
    <w:rsid w:val="00AE1CCE"/>
    <w:rsid w:val="00AE1E15"/>
    <w:rsid w:val="00AE2159"/>
    <w:rsid w:val="00AE321A"/>
    <w:rsid w:val="00AE3376"/>
    <w:rsid w:val="00AE33E0"/>
    <w:rsid w:val="00AE381B"/>
    <w:rsid w:val="00AE3B9A"/>
    <w:rsid w:val="00AE3FFB"/>
    <w:rsid w:val="00AE48D4"/>
    <w:rsid w:val="00AE49EE"/>
    <w:rsid w:val="00AE4D0A"/>
    <w:rsid w:val="00AE565C"/>
    <w:rsid w:val="00AE59FD"/>
    <w:rsid w:val="00AE5DEB"/>
    <w:rsid w:val="00AE5FB9"/>
    <w:rsid w:val="00AE684F"/>
    <w:rsid w:val="00AE68E3"/>
    <w:rsid w:val="00AE6AFF"/>
    <w:rsid w:val="00AE6B0C"/>
    <w:rsid w:val="00AE6C54"/>
    <w:rsid w:val="00AE6EBA"/>
    <w:rsid w:val="00AE6F1B"/>
    <w:rsid w:val="00AE73D6"/>
    <w:rsid w:val="00AE75C4"/>
    <w:rsid w:val="00AE7C7D"/>
    <w:rsid w:val="00AE7C97"/>
    <w:rsid w:val="00AF059F"/>
    <w:rsid w:val="00AF135B"/>
    <w:rsid w:val="00AF160D"/>
    <w:rsid w:val="00AF1D6E"/>
    <w:rsid w:val="00AF1E45"/>
    <w:rsid w:val="00AF1EC5"/>
    <w:rsid w:val="00AF202A"/>
    <w:rsid w:val="00AF2606"/>
    <w:rsid w:val="00AF2711"/>
    <w:rsid w:val="00AF2DAE"/>
    <w:rsid w:val="00AF2E08"/>
    <w:rsid w:val="00AF2EF3"/>
    <w:rsid w:val="00AF3610"/>
    <w:rsid w:val="00AF4042"/>
    <w:rsid w:val="00AF52FA"/>
    <w:rsid w:val="00AF552E"/>
    <w:rsid w:val="00AF5767"/>
    <w:rsid w:val="00AF5FCC"/>
    <w:rsid w:val="00AF619E"/>
    <w:rsid w:val="00AF6214"/>
    <w:rsid w:val="00AF671F"/>
    <w:rsid w:val="00AF68CF"/>
    <w:rsid w:val="00AF693E"/>
    <w:rsid w:val="00AF6B81"/>
    <w:rsid w:val="00AF6E09"/>
    <w:rsid w:val="00AF6E6F"/>
    <w:rsid w:val="00AF7586"/>
    <w:rsid w:val="00AF75F8"/>
    <w:rsid w:val="00AF7D6C"/>
    <w:rsid w:val="00AF7F54"/>
    <w:rsid w:val="00AF7F8B"/>
    <w:rsid w:val="00B0025B"/>
    <w:rsid w:val="00B0068D"/>
    <w:rsid w:val="00B007FC"/>
    <w:rsid w:val="00B0093C"/>
    <w:rsid w:val="00B013E3"/>
    <w:rsid w:val="00B01AF9"/>
    <w:rsid w:val="00B0223E"/>
    <w:rsid w:val="00B0291A"/>
    <w:rsid w:val="00B029D1"/>
    <w:rsid w:val="00B02DDC"/>
    <w:rsid w:val="00B02E55"/>
    <w:rsid w:val="00B03231"/>
    <w:rsid w:val="00B032E3"/>
    <w:rsid w:val="00B0342B"/>
    <w:rsid w:val="00B03815"/>
    <w:rsid w:val="00B03B97"/>
    <w:rsid w:val="00B03D4D"/>
    <w:rsid w:val="00B040DC"/>
    <w:rsid w:val="00B04626"/>
    <w:rsid w:val="00B0487A"/>
    <w:rsid w:val="00B04E28"/>
    <w:rsid w:val="00B053A2"/>
    <w:rsid w:val="00B059CE"/>
    <w:rsid w:val="00B05F14"/>
    <w:rsid w:val="00B065F6"/>
    <w:rsid w:val="00B067BF"/>
    <w:rsid w:val="00B069CA"/>
    <w:rsid w:val="00B06CB9"/>
    <w:rsid w:val="00B06DC5"/>
    <w:rsid w:val="00B06DDF"/>
    <w:rsid w:val="00B073CC"/>
    <w:rsid w:val="00B0748F"/>
    <w:rsid w:val="00B075FF"/>
    <w:rsid w:val="00B07B7F"/>
    <w:rsid w:val="00B07B84"/>
    <w:rsid w:val="00B100D2"/>
    <w:rsid w:val="00B105F2"/>
    <w:rsid w:val="00B11010"/>
    <w:rsid w:val="00B12E8D"/>
    <w:rsid w:val="00B131FA"/>
    <w:rsid w:val="00B13B41"/>
    <w:rsid w:val="00B146FC"/>
    <w:rsid w:val="00B14845"/>
    <w:rsid w:val="00B14E43"/>
    <w:rsid w:val="00B1545A"/>
    <w:rsid w:val="00B15518"/>
    <w:rsid w:val="00B155AC"/>
    <w:rsid w:val="00B1588E"/>
    <w:rsid w:val="00B160FF"/>
    <w:rsid w:val="00B16129"/>
    <w:rsid w:val="00B1658E"/>
    <w:rsid w:val="00B16642"/>
    <w:rsid w:val="00B1692B"/>
    <w:rsid w:val="00B16E31"/>
    <w:rsid w:val="00B1715F"/>
    <w:rsid w:val="00B17268"/>
    <w:rsid w:val="00B17B44"/>
    <w:rsid w:val="00B2043C"/>
    <w:rsid w:val="00B20860"/>
    <w:rsid w:val="00B20B9C"/>
    <w:rsid w:val="00B211D0"/>
    <w:rsid w:val="00B21466"/>
    <w:rsid w:val="00B21672"/>
    <w:rsid w:val="00B21B78"/>
    <w:rsid w:val="00B21FFF"/>
    <w:rsid w:val="00B22903"/>
    <w:rsid w:val="00B22E53"/>
    <w:rsid w:val="00B22F88"/>
    <w:rsid w:val="00B2318B"/>
    <w:rsid w:val="00B23349"/>
    <w:rsid w:val="00B2370A"/>
    <w:rsid w:val="00B23C1A"/>
    <w:rsid w:val="00B23C28"/>
    <w:rsid w:val="00B23CE2"/>
    <w:rsid w:val="00B24664"/>
    <w:rsid w:val="00B248E4"/>
    <w:rsid w:val="00B24910"/>
    <w:rsid w:val="00B24E86"/>
    <w:rsid w:val="00B25118"/>
    <w:rsid w:val="00B25602"/>
    <w:rsid w:val="00B25771"/>
    <w:rsid w:val="00B25B2E"/>
    <w:rsid w:val="00B26283"/>
    <w:rsid w:val="00B262D4"/>
    <w:rsid w:val="00B2642E"/>
    <w:rsid w:val="00B264C3"/>
    <w:rsid w:val="00B2689A"/>
    <w:rsid w:val="00B269AA"/>
    <w:rsid w:val="00B26A87"/>
    <w:rsid w:val="00B26D56"/>
    <w:rsid w:val="00B26ED3"/>
    <w:rsid w:val="00B275F0"/>
    <w:rsid w:val="00B279DA"/>
    <w:rsid w:val="00B27BFD"/>
    <w:rsid w:val="00B27DDB"/>
    <w:rsid w:val="00B27EA9"/>
    <w:rsid w:val="00B3009E"/>
    <w:rsid w:val="00B300E4"/>
    <w:rsid w:val="00B3016B"/>
    <w:rsid w:val="00B30191"/>
    <w:rsid w:val="00B3043F"/>
    <w:rsid w:val="00B307C8"/>
    <w:rsid w:val="00B313E1"/>
    <w:rsid w:val="00B31CFA"/>
    <w:rsid w:val="00B323E6"/>
    <w:rsid w:val="00B32896"/>
    <w:rsid w:val="00B328D6"/>
    <w:rsid w:val="00B32C44"/>
    <w:rsid w:val="00B3344D"/>
    <w:rsid w:val="00B33774"/>
    <w:rsid w:val="00B3465D"/>
    <w:rsid w:val="00B34FFF"/>
    <w:rsid w:val="00B3501F"/>
    <w:rsid w:val="00B35A49"/>
    <w:rsid w:val="00B35A96"/>
    <w:rsid w:val="00B35EE4"/>
    <w:rsid w:val="00B36397"/>
    <w:rsid w:val="00B36B56"/>
    <w:rsid w:val="00B36C38"/>
    <w:rsid w:val="00B3700B"/>
    <w:rsid w:val="00B37289"/>
    <w:rsid w:val="00B37500"/>
    <w:rsid w:val="00B37B03"/>
    <w:rsid w:val="00B4005E"/>
    <w:rsid w:val="00B4011B"/>
    <w:rsid w:val="00B40B7D"/>
    <w:rsid w:val="00B40D9A"/>
    <w:rsid w:val="00B41A5D"/>
    <w:rsid w:val="00B41D2C"/>
    <w:rsid w:val="00B4221C"/>
    <w:rsid w:val="00B422A9"/>
    <w:rsid w:val="00B43090"/>
    <w:rsid w:val="00B43389"/>
    <w:rsid w:val="00B43586"/>
    <w:rsid w:val="00B43651"/>
    <w:rsid w:val="00B43CAE"/>
    <w:rsid w:val="00B43E7D"/>
    <w:rsid w:val="00B441B3"/>
    <w:rsid w:val="00B443F5"/>
    <w:rsid w:val="00B44F9B"/>
    <w:rsid w:val="00B4503E"/>
    <w:rsid w:val="00B4507E"/>
    <w:rsid w:val="00B4596C"/>
    <w:rsid w:val="00B45F56"/>
    <w:rsid w:val="00B4602F"/>
    <w:rsid w:val="00B46118"/>
    <w:rsid w:val="00B46124"/>
    <w:rsid w:val="00B464AA"/>
    <w:rsid w:val="00B46918"/>
    <w:rsid w:val="00B47568"/>
    <w:rsid w:val="00B47684"/>
    <w:rsid w:val="00B516EF"/>
    <w:rsid w:val="00B5179D"/>
    <w:rsid w:val="00B522DD"/>
    <w:rsid w:val="00B52348"/>
    <w:rsid w:val="00B5235D"/>
    <w:rsid w:val="00B5237F"/>
    <w:rsid w:val="00B53087"/>
    <w:rsid w:val="00B53122"/>
    <w:rsid w:val="00B53D81"/>
    <w:rsid w:val="00B53F3C"/>
    <w:rsid w:val="00B543FC"/>
    <w:rsid w:val="00B54777"/>
    <w:rsid w:val="00B548EB"/>
    <w:rsid w:val="00B54BAF"/>
    <w:rsid w:val="00B54EFF"/>
    <w:rsid w:val="00B550DC"/>
    <w:rsid w:val="00B5547B"/>
    <w:rsid w:val="00B559B2"/>
    <w:rsid w:val="00B559D0"/>
    <w:rsid w:val="00B55C71"/>
    <w:rsid w:val="00B561D2"/>
    <w:rsid w:val="00B56378"/>
    <w:rsid w:val="00B565E1"/>
    <w:rsid w:val="00B56FE8"/>
    <w:rsid w:val="00B575FE"/>
    <w:rsid w:val="00B57B9A"/>
    <w:rsid w:val="00B60190"/>
    <w:rsid w:val="00B6077D"/>
    <w:rsid w:val="00B60D61"/>
    <w:rsid w:val="00B60F30"/>
    <w:rsid w:val="00B60FFF"/>
    <w:rsid w:val="00B61398"/>
    <w:rsid w:val="00B613E3"/>
    <w:rsid w:val="00B61974"/>
    <w:rsid w:val="00B61E2E"/>
    <w:rsid w:val="00B622B7"/>
    <w:rsid w:val="00B6279F"/>
    <w:rsid w:val="00B634DC"/>
    <w:rsid w:val="00B636AD"/>
    <w:rsid w:val="00B6373F"/>
    <w:rsid w:val="00B6376F"/>
    <w:rsid w:val="00B63EC3"/>
    <w:rsid w:val="00B63F1E"/>
    <w:rsid w:val="00B64119"/>
    <w:rsid w:val="00B6414F"/>
    <w:rsid w:val="00B643F7"/>
    <w:rsid w:val="00B6441A"/>
    <w:rsid w:val="00B644AB"/>
    <w:rsid w:val="00B645A5"/>
    <w:rsid w:val="00B64E00"/>
    <w:rsid w:val="00B64E8C"/>
    <w:rsid w:val="00B64F3A"/>
    <w:rsid w:val="00B64F82"/>
    <w:rsid w:val="00B6554D"/>
    <w:rsid w:val="00B65BCC"/>
    <w:rsid w:val="00B6662D"/>
    <w:rsid w:val="00B66759"/>
    <w:rsid w:val="00B669FF"/>
    <w:rsid w:val="00B6710D"/>
    <w:rsid w:val="00B67191"/>
    <w:rsid w:val="00B67405"/>
    <w:rsid w:val="00B675A9"/>
    <w:rsid w:val="00B67CB9"/>
    <w:rsid w:val="00B7017E"/>
    <w:rsid w:val="00B7076E"/>
    <w:rsid w:val="00B70B7B"/>
    <w:rsid w:val="00B70C40"/>
    <w:rsid w:val="00B70F75"/>
    <w:rsid w:val="00B7102E"/>
    <w:rsid w:val="00B715AC"/>
    <w:rsid w:val="00B72DC1"/>
    <w:rsid w:val="00B72E82"/>
    <w:rsid w:val="00B72FA6"/>
    <w:rsid w:val="00B72FCA"/>
    <w:rsid w:val="00B7354C"/>
    <w:rsid w:val="00B73843"/>
    <w:rsid w:val="00B73A40"/>
    <w:rsid w:val="00B7414C"/>
    <w:rsid w:val="00B743C6"/>
    <w:rsid w:val="00B74860"/>
    <w:rsid w:val="00B748C7"/>
    <w:rsid w:val="00B74ACB"/>
    <w:rsid w:val="00B75422"/>
    <w:rsid w:val="00B7555B"/>
    <w:rsid w:val="00B75DDF"/>
    <w:rsid w:val="00B76AB1"/>
    <w:rsid w:val="00B76D29"/>
    <w:rsid w:val="00B77197"/>
    <w:rsid w:val="00B77378"/>
    <w:rsid w:val="00B776E2"/>
    <w:rsid w:val="00B77809"/>
    <w:rsid w:val="00B778E9"/>
    <w:rsid w:val="00B807AE"/>
    <w:rsid w:val="00B80EA9"/>
    <w:rsid w:val="00B813C2"/>
    <w:rsid w:val="00B816DA"/>
    <w:rsid w:val="00B8170F"/>
    <w:rsid w:val="00B81CD9"/>
    <w:rsid w:val="00B81DBE"/>
    <w:rsid w:val="00B821DF"/>
    <w:rsid w:val="00B822E2"/>
    <w:rsid w:val="00B82457"/>
    <w:rsid w:val="00B824CF"/>
    <w:rsid w:val="00B82577"/>
    <w:rsid w:val="00B8273F"/>
    <w:rsid w:val="00B828FF"/>
    <w:rsid w:val="00B82BDF"/>
    <w:rsid w:val="00B82D16"/>
    <w:rsid w:val="00B82FBB"/>
    <w:rsid w:val="00B8310E"/>
    <w:rsid w:val="00B83569"/>
    <w:rsid w:val="00B8364C"/>
    <w:rsid w:val="00B83B34"/>
    <w:rsid w:val="00B83C58"/>
    <w:rsid w:val="00B8443F"/>
    <w:rsid w:val="00B84491"/>
    <w:rsid w:val="00B8491C"/>
    <w:rsid w:val="00B84BEC"/>
    <w:rsid w:val="00B84C86"/>
    <w:rsid w:val="00B85259"/>
    <w:rsid w:val="00B853F5"/>
    <w:rsid w:val="00B85701"/>
    <w:rsid w:val="00B8575D"/>
    <w:rsid w:val="00B85B9A"/>
    <w:rsid w:val="00B85DD0"/>
    <w:rsid w:val="00B86453"/>
    <w:rsid w:val="00B864D4"/>
    <w:rsid w:val="00B8699C"/>
    <w:rsid w:val="00B86D53"/>
    <w:rsid w:val="00B86F78"/>
    <w:rsid w:val="00B87066"/>
    <w:rsid w:val="00B877F0"/>
    <w:rsid w:val="00B878F6"/>
    <w:rsid w:val="00B90025"/>
    <w:rsid w:val="00B9005D"/>
    <w:rsid w:val="00B90D66"/>
    <w:rsid w:val="00B90E2A"/>
    <w:rsid w:val="00B90FA3"/>
    <w:rsid w:val="00B9160C"/>
    <w:rsid w:val="00B91A6E"/>
    <w:rsid w:val="00B91D20"/>
    <w:rsid w:val="00B92B93"/>
    <w:rsid w:val="00B93CB6"/>
    <w:rsid w:val="00B94267"/>
    <w:rsid w:val="00B9456E"/>
    <w:rsid w:val="00B94674"/>
    <w:rsid w:val="00B94B87"/>
    <w:rsid w:val="00B94D4E"/>
    <w:rsid w:val="00B95245"/>
    <w:rsid w:val="00B95DA5"/>
    <w:rsid w:val="00B96960"/>
    <w:rsid w:val="00B96BB9"/>
    <w:rsid w:val="00B97162"/>
    <w:rsid w:val="00B97231"/>
    <w:rsid w:val="00B97C2C"/>
    <w:rsid w:val="00B97D6F"/>
    <w:rsid w:val="00BA0030"/>
    <w:rsid w:val="00BA0A27"/>
    <w:rsid w:val="00BA0FC3"/>
    <w:rsid w:val="00BA13EF"/>
    <w:rsid w:val="00BA1736"/>
    <w:rsid w:val="00BA1747"/>
    <w:rsid w:val="00BA17D9"/>
    <w:rsid w:val="00BA2357"/>
    <w:rsid w:val="00BA2997"/>
    <w:rsid w:val="00BA2D18"/>
    <w:rsid w:val="00BA3053"/>
    <w:rsid w:val="00BA338A"/>
    <w:rsid w:val="00BA340B"/>
    <w:rsid w:val="00BA36D1"/>
    <w:rsid w:val="00BA36E5"/>
    <w:rsid w:val="00BA37D8"/>
    <w:rsid w:val="00BA38F2"/>
    <w:rsid w:val="00BA42C3"/>
    <w:rsid w:val="00BA4B91"/>
    <w:rsid w:val="00BA5078"/>
    <w:rsid w:val="00BA50B2"/>
    <w:rsid w:val="00BA549B"/>
    <w:rsid w:val="00BA5C68"/>
    <w:rsid w:val="00BA67D0"/>
    <w:rsid w:val="00BA6D51"/>
    <w:rsid w:val="00BA74F0"/>
    <w:rsid w:val="00BA7CBD"/>
    <w:rsid w:val="00BB013E"/>
    <w:rsid w:val="00BB0538"/>
    <w:rsid w:val="00BB061F"/>
    <w:rsid w:val="00BB062A"/>
    <w:rsid w:val="00BB08B6"/>
    <w:rsid w:val="00BB0A32"/>
    <w:rsid w:val="00BB0E3B"/>
    <w:rsid w:val="00BB0F9E"/>
    <w:rsid w:val="00BB110E"/>
    <w:rsid w:val="00BB1754"/>
    <w:rsid w:val="00BB1789"/>
    <w:rsid w:val="00BB17CA"/>
    <w:rsid w:val="00BB19A3"/>
    <w:rsid w:val="00BB24B9"/>
    <w:rsid w:val="00BB24C8"/>
    <w:rsid w:val="00BB2BFC"/>
    <w:rsid w:val="00BB2D4C"/>
    <w:rsid w:val="00BB33A4"/>
    <w:rsid w:val="00BB3DA7"/>
    <w:rsid w:val="00BB3DF1"/>
    <w:rsid w:val="00BB48E5"/>
    <w:rsid w:val="00BB4F1F"/>
    <w:rsid w:val="00BB51A6"/>
    <w:rsid w:val="00BB536C"/>
    <w:rsid w:val="00BB5430"/>
    <w:rsid w:val="00BB59B2"/>
    <w:rsid w:val="00BB5F5E"/>
    <w:rsid w:val="00BB6058"/>
    <w:rsid w:val="00BB606B"/>
    <w:rsid w:val="00BB6537"/>
    <w:rsid w:val="00BB6E9B"/>
    <w:rsid w:val="00BB7645"/>
    <w:rsid w:val="00BB7E94"/>
    <w:rsid w:val="00BB7EBA"/>
    <w:rsid w:val="00BB7FB0"/>
    <w:rsid w:val="00BC038E"/>
    <w:rsid w:val="00BC04EA"/>
    <w:rsid w:val="00BC0AAF"/>
    <w:rsid w:val="00BC0B6E"/>
    <w:rsid w:val="00BC12AE"/>
    <w:rsid w:val="00BC18A0"/>
    <w:rsid w:val="00BC1D42"/>
    <w:rsid w:val="00BC1EE6"/>
    <w:rsid w:val="00BC2121"/>
    <w:rsid w:val="00BC2F2C"/>
    <w:rsid w:val="00BC35D3"/>
    <w:rsid w:val="00BC3697"/>
    <w:rsid w:val="00BC409F"/>
    <w:rsid w:val="00BC4732"/>
    <w:rsid w:val="00BC4BDB"/>
    <w:rsid w:val="00BC4ECC"/>
    <w:rsid w:val="00BC50D6"/>
    <w:rsid w:val="00BC5113"/>
    <w:rsid w:val="00BC52F9"/>
    <w:rsid w:val="00BC6034"/>
    <w:rsid w:val="00BC6349"/>
    <w:rsid w:val="00BC6993"/>
    <w:rsid w:val="00BC6CD6"/>
    <w:rsid w:val="00BC7AEC"/>
    <w:rsid w:val="00BC7EC6"/>
    <w:rsid w:val="00BD0086"/>
    <w:rsid w:val="00BD067E"/>
    <w:rsid w:val="00BD0A0B"/>
    <w:rsid w:val="00BD18F7"/>
    <w:rsid w:val="00BD1F6D"/>
    <w:rsid w:val="00BD24FE"/>
    <w:rsid w:val="00BD2974"/>
    <w:rsid w:val="00BD2A1D"/>
    <w:rsid w:val="00BD3715"/>
    <w:rsid w:val="00BD3F08"/>
    <w:rsid w:val="00BD3F42"/>
    <w:rsid w:val="00BD40D0"/>
    <w:rsid w:val="00BD4257"/>
    <w:rsid w:val="00BD465D"/>
    <w:rsid w:val="00BD4BCE"/>
    <w:rsid w:val="00BD4DFF"/>
    <w:rsid w:val="00BD4E9F"/>
    <w:rsid w:val="00BD55D9"/>
    <w:rsid w:val="00BD567E"/>
    <w:rsid w:val="00BD5A97"/>
    <w:rsid w:val="00BD5DA4"/>
    <w:rsid w:val="00BD61CC"/>
    <w:rsid w:val="00BD63F4"/>
    <w:rsid w:val="00BD687B"/>
    <w:rsid w:val="00BD6935"/>
    <w:rsid w:val="00BD6C87"/>
    <w:rsid w:val="00BD6E34"/>
    <w:rsid w:val="00BD6EE8"/>
    <w:rsid w:val="00BD7020"/>
    <w:rsid w:val="00BD72E9"/>
    <w:rsid w:val="00BD78EA"/>
    <w:rsid w:val="00BD792D"/>
    <w:rsid w:val="00BD7BAC"/>
    <w:rsid w:val="00BE043C"/>
    <w:rsid w:val="00BE0605"/>
    <w:rsid w:val="00BE0624"/>
    <w:rsid w:val="00BE0953"/>
    <w:rsid w:val="00BE09F8"/>
    <w:rsid w:val="00BE0B24"/>
    <w:rsid w:val="00BE1248"/>
    <w:rsid w:val="00BE130E"/>
    <w:rsid w:val="00BE16C1"/>
    <w:rsid w:val="00BE1885"/>
    <w:rsid w:val="00BE1897"/>
    <w:rsid w:val="00BE1A13"/>
    <w:rsid w:val="00BE1D4C"/>
    <w:rsid w:val="00BE1D9F"/>
    <w:rsid w:val="00BE2802"/>
    <w:rsid w:val="00BE2859"/>
    <w:rsid w:val="00BE29AA"/>
    <w:rsid w:val="00BE2ADB"/>
    <w:rsid w:val="00BE3493"/>
    <w:rsid w:val="00BE3643"/>
    <w:rsid w:val="00BE3A45"/>
    <w:rsid w:val="00BE3AA4"/>
    <w:rsid w:val="00BE3C59"/>
    <w:rsid w:val="00BE3C5C"/>
    <w:rsid w:val="00BE3F0E"/>
    <w:rsid w:val="00BE3FAC"/>
    <w:rsid w:val="00BE4213"/>
    <w:rsid w:val="00BE48C6"/>
    <w:rsid w:val="00BE4A21"/>
    <w:rsid w:val="00BE4C4C"/>
    <w:rsid w:val="00BE4E43"/>
    <w:rsid w:val="00BE52FB"/>
    <w:rsid w:val="00BE5F9A"/>
    <w:rsid w:val="00BE668B"/>
    <w:rsid w:val="00BE695F"/>
    <w:rsid w:val="00BE6A43"/>
    <w:rsid w:val="00BE7030"/>
    <w:rsid w:val="00BE7372"/>
    <w:rsid w:val="00BE7640"/>
    <w:rsid w:val="00BE7A73"/>
    <w:rsid w:val="00BF03FF"/>
    <w:rsid w:val="00BF077B"/>
    <w:rsid w:val="00BF0CD4"/>
    <w:rsid w:val="00BF124A"/>
    <w:rsid w:val="00BF1A45"/>
    <w:rsid w:val="00BF1E8A"/>
    <w:rsid w:val="00BF1FC7"/>
    <w:rsid w:val="00BF2023"/>
    <w:rsid w:val="00BF2705"/>
    <w:rsid w:val="00BF298C"/>
    <w:rsid w:val="00BF2BF6"/>
    <w:rsid w:val="00BF2C25"/>
    <w:rsid w:val="00BF2E1B"/>
    <w:rsid w:val="00BF3022"/>
    <w:rsid w:val="00BF326E"/>
    <w:rsid w:val="00BF3458"/>
    <w:rsid w:val="00BF34CC"/>
    <w:rsid w:val="00BF3956"/>
    <w:rsid w:val="00BF3A9F"/>
    <w:rsid w:val="00BF42D5"/>
    <w:rsid w:val="00BF544A"/>
    <w:rsid w:val="00BF5469"/>
    <w:rsid w:val="00BF5BA5"/>
    <w:rsid w:val="00BF6B86"/>
    <w:rsid w:val="00BF6DF6"/>
    <w:rsid w:val="00BF7782"/>
    <w:rsid w:val="00BF7AAF"/>
    <w:rsid w:val="00C00CCB"/>
    <w:rsid w:val="00C00D33"/>
    <w:rsid w:val="00C01418"/>
    <w:rsid w:val="00C016A4"/>
    <w:rsid w:val="00C017DF"/>
    <w:rsid w:val="00C0211C"/>
    <w:rsid w:val="00C03367"/>
    <w:rsid w:val="00C03520"/>
    <w:rsid w:val="00C037B4"/>
    <w:rsid w:val="00C04149"/>
    <w:rsid w:val="00C04706"/>
    <w:rsid w:val="00C04A56"/>
    <w:rsid w:val="00C04E77"/>
    <w:rsid w:val="00C05019"/>
    <w:rsid w:val="00C05682"/>
    <w:rsid w:val="00C05948"/>
    <w:rsid w:val="00C05DB1"/>
    <w:rsid w:val="00C0642D"/>
    <w:rsid w:val="00C066D7"/>
    <w:rsid w:val="00C0685B"/>
    <w:rsid w:val="00C06A28"/>
    <w:rsid w:val="00C0766C"/>
    <w:rsid w:val="00C10771"/>
    <w:rsid w:val="00C10C71"/>
    <w:rsid w:val="00C10E9E"/>
    <w:rsid w:val="00C112C4"/>
    <w:rsid w:val="00C11E86"/>
    <w:rsid w:val="00C1224A"/>
    <w:rsid w:val="00C12474"/>
    <w:rsid w:val="00C12781"/>
    <w:rsid w:val="00C127FD"/>
    <w:rsid w:val="00C12A8F"/>
    <w:rsid w:val="00C12B5B"/>
    <w:rsid w:val="00C12F92"/>
    <w:rsid w:val="00C1310A"/>
    <w:rsid w:val="00C13493"/>
    <w:rsid w:val="00C1369C"/>
    <w:rsid w:val="00C13709"/>
    <w:rsid w:val="00C13B31"/>
    <w:rsid w:val="00C14259"/>
    <w:rsid w:val="00C144ED"/>
    <w:rsid w:val="00C1461A"/>
    <w:rsid w:val="00C14DC8"/>
    <w:rsid w:val="00C15091"/>
    <w:rsid w:val="00C159E7"/>
    <w:rsid w:val="00C159F9"/>
    <w:rsid w:val="00C15C39"/>
    <w:rsid w:val="00C15DF0"/>
    <w:rsid w:val="00C16062"/>
    <w:rsid w:val="00C16476"/>
    <w:rsid w:val="00C1665C"/>
    <w:rsid w:val="00C17092"/>
    <w:rsid w:val="00C17191"/>
    <w:rsid w:val="00C17430"/>
    <w:rsid w:val="00C17497"/>
    <w:rsid w:val="00C174D4"/>
    <w:rsid w:val="00C17B92"/>
    <w:rsid w:val="00C17D56"/>
    <w:rsid w:val="00C20278"/>
    <w:rsid w:val="00C21322"/>
    <w:rsid w:val="00C214BC"/>
    <w:rsid w:val="00C21506"/>
    <w:rsid w:val="00C21983"/>
    <w:rsid w:val="00C21AEB"/>
    <w:rsid w:val="00C2202B"/>
    <w:rsid w:val="00C22052"/>
    <w:rsid w:val="00C223D8"/>
    <w:rsid w:val="00C22738"/>
    <w:rsid w:val="00C2298A"/>
    <w:rsid w:val="00C22D34"/>
    <w:rsid w:val="00C22D38"/>
    <w:rsid w:val="00C22F59"/>
    <w:rsid w:val="00C2339B"/>
    <w:rsid w:val="00C235A8"/>
    <w:rsid w:val="00C236E0"/>
    <w:rsid w:val="00C23860"/>
    <w:rsid w:val="00C23979"/>
    <w:rsid w:val="00C23986"/>
    <w:rsid w:val="00C23DFC"/>
    <w:rsid w:val="00C23E7D"/>
    <w:rsid w:val="00C24690"/>
    <w:rsid w:val="00C246B4"/>
    <w:rsid w:val="00C24813"/>
    <w:rsid w:val="00C25181"/>
    <w:rsid w:val="00C251A9"/>
    <w:rsid w:val="00C25576"/>
    <w:rsid w:val="00C25983"/>
    <w:rsid w:val="00C25CF3"/>
    <w:rsid w:val="00C26CBA"/>
    <w:rsid w:val="00C2722A"/>
    <w:rsid w:val="00C274E7"/>
    <w:rsid w:val="00C30014"/>
    <w:rsid w:val="00C300C6"/>
    <w:rsid w:val="00C3070F"/>
    <w:rsid w:val="00C30A56"/>
    <w:rsid w:val="00C30D6F"/>
    <w:rsid w:val="00C31094"/>
    <w:rsid w:val="00C31338"/>
    <w:rsid w:val="00C3190E"/>
    <w:rsid w:val="00C31B1D"/>
    <w:rsid w:val="00C31B78"/>
    <w:rsid w:val="00C31BF3"/>
    <w:rsid w:val="00C31D7A"/>
    <w:rsid w:val="00C32003"/>
    <w:rsid w:val="00C329E7"/>
    <w:rsid w:val="00C32B85"/>
    <w:rsid w:val="00C32DE1"/>
    <w:rsid w:val="00C32E6A"/>
    <w:rsid w:val="00C32E77"/>
    <w:rsid w:val="00C32F32"/>
    <w:rsid w:val="00C33812"/>
    <w:rsid w:val="00C33CE6"/>
    <w:rsid w:val="00C33DBF"/>
    <w:rsid w:val="00C33E07"/>
    <w:rsid w:val="00C33E72"/>
    <w:rsid w:val="00C34054"/>
    <w:rsid w:val="00C344D0"/>
    <w:rsid w:val="00C348B3"/>
    <w:rsid w:val="00C34A8D"/>
    <w:rsid w:val="00C35865"/>
    <w:rsid w:val="00C35A1D"/>
    <w:rsid w:val="00C35BF8"/>
    <w:rsid w:val="00C35C36"/>
    <w:rsid w:val="00C360EB"/>
    <w:rsid w:val="00C36E78"/>
    <w:rsid w:val="00C37041"/>
    <w:rsid w:val="00C370FB"/>
    <w:rsid w:val="00C37164"/>
    <w:rsid w:val="00C377D1"/>
    <w:rsid w:val="00C37AB1"/>
    <w:rsid w:val="00C37AE0"/>
    <w:rsid w:val="00C40394"/>
    <w:rsid w:val="00C40B99"/>
    <w:rsid w:val="00C40BDE"/>
    <w:rsid w:val="00C424DE"/>
    <w:rsid w:val="00C425D1"/>
    <w:rsid w:val="00C429E2"/>
    <w:rsid w:val="00C42CCF"/>
    <w:rsid w:val="00C42DB7"/>
    <w:rsid w:val="00C431B1"/>
    <w:rsid w:val="00C43231"/>
    <w:rsid w:val="00C4375D"/>
    <w:rsid w:val="00C4385B"/>
    <w:rsid w:val="00C438AA"/>
    <w:rsid w:val="00C43C33"/>
    <w:rsid w:val="00C43CA1"/>
    <w:rsid w:val="00C4411A"/>
    <w:rsid w:val="00C4469A"/>
    <w:rsid w:val="00C4497A"/>
    <w:rsid w:val="00C44F2D"/>
    <w:rsid w:val="00C45170"/>
    <w:rsid w:val="00C451AA"/>
    <w:rsid w:val="00C45716"/>
    <w:rsid w:val="00C45CE5"/>
    <w:rsid w:val="00C465B5"/>
    <w:rsid w:val="00C4666F"/>
    <w:rsid w:val="00C46867"/>
    <w:rsid w:val="00C4695D"/>
    <w:rsid w:val="00C46CC0"/>
    <w:rsid w:val="00C46F0F"/>
    <w:rsid w:val="00C47192"/>
    <w:rsid w:val="00C47194"/>
    <w:rsid w:val="00C47228"/>
    <w:rsid w:val="00C4766D"/>
    <w:rsid w:val="00C479CA"/>
    <w:rsid w:val="00C47F26"/>
    <w:rsid w:val="00C50219"/>
    <w:rsid w:val="00C5028F"/>
    <w:rsid w:val="00C5045B"/>
    <w:rsid w:val="00C5093C"/>
    <w:rsid w:val="00C50B98"/>
    <w:rsid w:val="00C50C59"/>
    <w:rsid w:val="00C51020"/>
    <w:rsid w:val="00C510DB"/>
    <w:rsid w:val="00C51758"/>
    <w:rsid w:val="00C520E2"/>
    <w:rsid w:val="00C52483"/>
    <w:rsid w:val="00C52C7D"/>
    <w:rsid w:val="00C53A44"/>
    <w:rsid w:val="00C53AA9"/>
    <w:rsid w:val="00C53E3F"/>
    <w:rsid w:val="00C54A9E"/>
    <w:rsid w:val="00C54B9F"/>
    <w:rsid w:val="00C54CD9"/>
    <w:rsid w:val="00C54D00"/>
    <w:rsid w:val="00C552CA"/>
    <w:rsid w:val="00C55B30"/>
    <w:rsid w:val="00C55BBD"/>
    <w:rsid w:val="00C55CEB"/>
    <w:rsid w:val="00C564BB"/>
    <w:rsid w:val="00C567FC"/>
    <w:rsid w:val="00C56E2C"/>
    <w:rsid w:val="00C56FF8"/>
    <w:rsid w:val="00C57079"/>
    <w:rsid w:val="00C576E9"/>
    <w:rsid w:val="00C57A30"/>
    <w:rsid w:val="00C60EA5"/>
    <w:rsid w:val="00C61A9F"/>
    <w:rsid w:val="00C61BA2"/>
    <w:rsid w:val="00C6222B"/>
    <w:rsid w:val="00C622A1"/>
    <w:rsid w:val="00C62E88"/>
    <w:rsid w:val="00C633B1"/>
    <w:rsid w:val="00C63558"/>
    <w:rsid w:val="00C635A9"/>
    <w:rsid w:val="00C63988"/>
    <w:rsid w:val="00C63C74"/>
    <w:rsid w:val="00C63D16"/>
    <w:rsid w:val="00C63D85"/>
    <w:rsid w:val="00C641CF"/>
    <w:rsid w:val="00C64EF9"/>
    <w:rsid w:val="00C6575F"/>
    <w:rsid w:val="00C65A72"/>
    <w:rsid w:val="00C65A90"/>
    <w:rsid w:val="00C65AC3"/>
    <w:rsid w:val="00C65DC4"/>
    <w:rsid w:val="00C662BC"/>
    <w:rsid w:val="00C66347"/>
    <w:rsid w:val="00C66A73"/>
    <w:rsid w:val="00C66E22"/>
    <w:rsid w:val="00C66F64"/>
    <w:rsid w:val="00C6721E"/>
    <w:rsid w:val="00C6772F"/>
    <w:rsid w:val="00C6794D"/>
    <w:rsid w:val="00C67C59"/>
    <w:rsid w:val="00C7031C"/>
    <w:rsid w:val="00C704CF"/>
    <w:rsid w:val="00C704D4"/>
    <w:rsid w:val="00C70516"/>
    <w:rsid w:val="00C70666"/>
    <w:rsid w:val="00C70991"/>
    <w:rsid w:val="00C70D81"/>
    <w:rsid w:val="00C71060"/>
    <w:rsid w:val="00C71547"/>
    <w:rsid w:val="00C71745"/>
    <w:rsid w:val="00C718BC"/>
    <w:rsid w:val="00C71E46"/>
    <w:rsid w:val="00C71F84"/>
    <w:rsid w:val="00C723AF"/>
    <w:rsid w:val="00C724CF"/>
    <w:rsid w:val="00C72D09"/>
    <w:rsid w:val="00C73427"/>
    <w:rsid w:val="00C73548"/>
    <w:rsid w:val="00C73637"/>
    <w:rsid w:val="00C74BC9"/>
    <w:rsid w:val="00C74ECD"/>
    <w:rsid w:val="00C74FCC"/>
    <w:rsid w:val="00C74FD9"/>
    <w:rsid w:val="00C7535E"/>
    <w:rsid w:val="00C75B14"/>
    <w:rsid w:val="00C75D69"/>
    <w:rsid w:val="00C76007"/>
    <w:rsid w:val="00C76905"/>
    <w:rsid w:val="00C773E7"/>
    <w:rsid w:val="00C77FE4"/>
    <w:rsid w:val="00C80022"/>
    <w:rsid w:val="00C80373"/>
    <w:rsid w:val="00C805C2"/>
    <w:rsid w:val="00C8120F"/>
    <w:rsid w:val="00C81A67"/>
    <w:rsid w:val="00C822FB"/>
    <w:rsid w:val="00C828D8"/>
    <w:rsid w:val="00C83013"/>
    <w:rsid w:val="00C83357"/>
    <w:rsid w:val="00C834ED"/>
    <w:rsid w:val="00C8357D"/>
    <w:rsid w:val="00C83E42"/>
    <w:rsid w:val="00C83EE0"/>
    <w:rsid w:val="00C8415D"/>
    <w:rsid w:val="00C843A4"/>
    <w:rsid w:val="00C84484"/>
    <w:rsid w:val="00C844E8"/>
    <w:rsid w:val="00C84AD7"/>
    <w:rsid w:val="00C8515B"/>
    <w:rsid w:val="00C8556F"/>
    <w:rsid w:val="00C85F94"/>
    <w:rsid w:val="00C86145"/>
    <w:rsid w:val="00C862E4"/>
    <w:rsid w:val="00C864AF"/>
    <w:rsid w:val="00C86AF2"/>
    <w:rsid w:val="00C86E83"/>
    <w:rsid w:val="00C8714B"/>
    <w:rsid w:val="00C87952"/>
    <w:rsid w:val="00C87D4D"/>
    <w:rsid w:val="00C90C54"/>
    <w:rsid w:val="00C913EA"/>
    <w:rsid w:val="00C91D84"/>
    <w:rsid w:val="00C92642"/>
    <w:rsid w:val="00C928B1"/>
    <w:rsid w:val="00C92B77"/>
    <w:rsid w:val="00C92D33"/>
    <w:rsid w:val="00C9313F"/>
    <w:rsid w:val="00C933CF"/>
    <w:rsid w:val="00C93540"/>
    <w:rsid w:val="00C93869"/>
    <w:rsid w:val="00C9387E"/>
    <w:rsid w:val="00C9394B"/>
    <w:rsid w:val="00C93FAE"/>
    <w:rsid w:val="00C94643"/>
    <w:rsid w:val="00C9522F"/>
    <w:rsid w:val="00C95790"/>
    <w:rsid w:val="00C95A01"/>
    <w:rsid w:val="00C95B8D"/>
    <w:rsid w:val="00C95E84"/>
    <w:rsid w:val="00C95E98"/>
    <w:rsid w:val="00C960FE"/>
    <w:rsid w:val="00C96533"/>
    <w:rsid w:val="00C96929"/>
    <w:rsid w:val="00C9694F"/>
    <w:rsid w:val="00C969B8"/>
    <w:rsid w:val="00C96A00"/>
    <w:rsid w:val="00C9731B"/>
    <w:rsid w:val="00C973B8"/>
    <w:rsid w:val="00C97429"/>
    <w:rsid w:val="00C9786A"/>
    <w:rsid w:val="00C978F7"/>
    <w:rsid w:val="00C97E3A"/>
    <w:rsid w:val="00CA026B"/>
    <w:rsid w:val="00CA0301"/>
    <w:rsid w:val="00CA08C6"/>
    <w:rsid w:val="00CA11CE"/>
    <w:rsid w:val="00CA11F7"/>
    <w:rsid w:val="00CA1575"/>
    <w:rsid w:val="00CA1632"/>
    <w:rsid w:val="00CA243A"/>
    <w:rsid w:val="00CA2A8E"/>
    <w:rsid w:val="00CA2B01"/>
    <w:rsid w:val="00CA2B2A"/>
    <w:rsid w:val="00CA2CBB"/>
    <w:rsid w:val="00CA2DA9"/>
    <w:rsid w:val="00CA336A"/>
    <w:rsid w:val="00CA42D4"/>
    <w:rsid w:val="00CA4380"/>
    <w:rsid w:val="00CA4986"/>
    <w:rsid w:val="00CA4BBA"/>
    <w:rsid w:val="00CA4F71"/>
    <w:rsid w:val="00CA5005"/>
    <w:rsid w:val="00CA523F"/>
    <w:rsid w:val="00CA533E"/>
    <w:rsid w:val="00CA5371"/>
    <w:rsid w:val="00CA59C4"/>
    <w:rsid w:val="00CA5E86"/>
    <w:rsid w:val="00CA7335"/>
    <w:rsid w:val="00CA77B5"/>
    <w:rsid w:val="00CA78D5"/>
    <w:rsid w:val="00CA7975"/>
    <w:rsid w:val="00CB0370"/>
    <w:rsid w:val="00CB0635"/>
    <w:rsid w:val="00CB0AAF"/>
    <w:rsid w:val="00CB1C60"/>
    <w:rsid w:val="00CB1CE5"/>
    <w:rsid w:val="00CB1DE5"/>
    <w:rsid w:val="00CB1E12"/>
    <w:rsid w:val="00CB201F"/>
    <w:rsid w:val="00CB21D5"/>
    <w:rsid w:val="00CB2AE3"/>
    <w:rsid w:val="00CB2BA8"/>
    <w:rsid w:val="00CB2CC5"/>
    <w:rsid w:val="00CB2CD7"/>
    <w:rsid w:val="00CB2D7A"/>
    <w:rsid w:val="00CB337D"/>
    <w:rsid w:val="00CB3467"/>
    <w:rsid w:val="00CB350B"/>
    <w:rsid w:val="00CB36CA"/>
    <w:rsid w:val="00CB37FB"/>
    <w:rsid w:val="00CB3A67"/>
    <w:rsid w:val="00CB4045"/>
    <w:rsid w:val="00CB49EE"/>
    <w:rsid w:val="00CB4C29"/>
    <w:rsid w:val="00CB55A1"/>
    <w:rsid w:val="00CB574D"/>
    <w:rsid w:val="00CB6081"/>
    <w:rsid w:val="00CB6830"/>
    <w:rsid w:val="00CB7321"/>
    <w:rsid w:val="00CB737D"/>
    <w:rsid w:val="00CB7786"/>
    <w:rsid w:val="00CB7CED"/>
    <w:rsid w:val="00CC090D"/>
    <w:rsid w:val="00CC0910"/>
    <w:rsid w:val="00CC0B0F"/>
    <w:rsid w:val="00CC0B24"/>
    <w:rsid w:val="00CC0B33"/>
    <w:rsid w:val="00CC0E34"/>
    <w:rsid w:val="00CC1256"/>
    <w:rsid w:val="00CC12EC"/>
    <w:rsid w:val="00CC14DE"/>
    <w:rsid w:val="00CC1A65"/>
    <w:rsid w:val="00CC1C23"/>
    <w:rsid w:val="00CC1D91"/>
    <w:rsid w:val="00CC1F59"/>
    <w:rsid w:val="00CC24AA"/>
    <w:rsid w:val="00CC26DB"/>
    <w:rsid w:val="00CC2773"/>
    <w:rsid w:val="00CC3021"/>
    <w:rsid w:val="00CC36E9"/>
    <w:rsid w:val="00CC3943"/>
    <w:rsid w:val="00CC4BB1"/>
    <w:rsid w:val="00CC4D47"/>
    <w:rsid w:val="00CC4F11"/>
    <w:rsid w:val="00CC50D8"/>
    <w:rsid w:val="00CC54D0"/>
    <w:rsid w:val="00CC5C9E"/>
    <w:rsid w:val="00CC5F8B"/>
    <w:rsid w:val="00CC6396"/>
    <w:rsid w:val="00CC6429"/>
    <w:rsid w:val="00CC6908"/>
    <w:rsid w:val="00CC6E95"/>
    <w:rsid w:val="00CC7005"/>
    <w:rsid w:val="00CC76E1"/>
    <w:rsid w:val="00CC7B2A"/>
    <w:rsid w:val="00CD0167"/>
    <w:rsid w:val="00CD02D7"/>
    <w:rsid w:val="00CD0392"/>
    <w:rsid w:val="00CD06B2"/>
    <w:rsid w:val="00CD0746"/>
    <w:rsid w:val="00CD09FD"/>
    <w:rsid w:val="00CD0A36"/>
    <w:rsid w:val="00CD0B54"/>
    <w:rsid w:val="00CD13A5"/>
    <w:rsid w:val="00CD1410"/>
    <w:rsid w:val="00CD1554"/>
    <w:rsid w:val="00CD16F9"/>
    <w:rsid w:val="00CD17C4"/>
    <w:rsid w:val="00CD17F0"/>
    <w:rsid w:val="00CD1C34"/>
    <w:rsid w:val="00CD2110"/>
    <w:rsid w:val="00CD28EE"/>
    <w:rsid w:val="00CD3153"/>
    <w:rsid w:val="00CD3319"/>
    <w:rsid w:val="00CD337C"/>
    <w:rsid w:val="00CD35D5"/>
    <w:rsid w:val="00CD3B68"/>
    <w:rsid w:val="00CD3FF2"/>
    <w:rsid w:val="00CD4A09"/>
    <w:rsid w:val="00CD4B16"/>
    <w:rsid w:val="00CD4B78"/>
    <w:rsid w:val="00CD4D30"/>
    <w:rsid w:val="00CD51AA"/>
    <w:rsid w:val="00CD5410"/>
    <w:rsid w:val="00CD549D"/>
    <w:rsid w:val="00CD562F"/>
    <w:rsid w:val="00CD64BF"/>
    <w:rsid w:val="00CD64D2"/>
    <w:rsid w:val="00CD6D32"/>
    <w:rsid w:val="00CD6EB8"/>
    <w:rsid w:val="00CD7077"/>
    <w:rsid w:val="00CD7246"/>
    <w:rsid w:val="00CD7E08"/>
    <w:rsid w:val="00CD7E80"/>
    <w:rsid w:val="00CE0204"/>
    <w:rsid w:val="00CE0321"/>
    <w:rsid w:val="00CE043E"/>
    <w:rsid w:val="00CE0461"/>
    <w:rsid w:val="00CE096D"/>
    <w:rsid w:val="00CE0D52"/>
    <w:rsid w:val="00CE0D58"/>
    <w:rsid w:val="00CE1450"/>
    <w:rsid w:val="00CE19C8"/>
    <w:rsid w:val="00CE1CBC"/>
    <w:rsid w:val="00CE1D54"/>
    <w:rsid w:val="00CE1D77"/>
    <w:rsid w:val="00CE1EA2"/>
    <w:rsid w:val="00CE2050"/>
    <w:rsid w:val="00CE23AF"/>
    <w:rsid w:val="00CE2BAB"/>
    <w:rsid w:val="00CE30DB"/>
    <w:rsid w:val="00CE36A7"/>
    <w:rsid w:val="00CE37B6"/>
    <w:rsid w:val="00CE3EB9"/>
    <w:rsid w:val="00CE3FD0"/>
    <w:rsid w:val="00CE44B8"/>
    <w:rsid w:val="00CE4711"/>
    <w:rsid w:val="00CE5232"/>
    <w:rsid w:val="00CE5830"/>
    <w:rsid w:val="00CE5C7A"/>
    <w:rsid w:val="00CE5EE6"/>
    <w:rsid w:val="00CE660B"/>
    <w:rsid w:val="00CE693D"/>
    <w:rsid w:val="00CE6952"/>
    <w:rsid w:val="00CE6F99"/>
    <w:rsid w:val="00CE70E1"/>
    <w:rsid w:val="00CE715B"/>
    <w:rsid w:val="00CE7325"/>
    <w:rsid w:val="00CE7A0A"/>
    <w:rsid w:val="00CF0116"/>
    <w:rsid w:val="00CF04AC"/>
    <w:rsid w:val="00CF1546"/>
    <w:rsid w:val="00CF1AB9"/>
    <w:rsid w:val="00CF24F1"/>
    <w:rsid w:val="00CF3001"/>
    <w:rsid w:val="00CF3123"/>
    <w:rsid w:val="00CF417D"/>
    <w:rsid w:val="00CF42BA"/>
    <w:rsid w:val="00CF446D"/>
    <w:rsid w:val="00CF44AD"/>
    <w:rsid w:val="00CF46E4"/>
    <w:rsid w:val="00CF4D35"/>
    <w:rsid w:val="00CF4EAA"/>
    <w:rsid w:val="00CF53A1"/>
    <w:rsid w:val="00CF54C5"/>
    <w:rsid w:val="00CF5A9D"/>
    <w:rsid w:val="00CF5E65"/>
    <w:rsid w:val="00CF6083"/>
    <w:rsid w:val="00CF65E2"/>
    <w:rsid w:val="00CF696C"/>
    <w:rsid w:val="00CF6E2F"/>
    <w:rsid w:val="00CF7049"/>
    <w:rsid w:val="00CF74F2"/>
    <w:rsid w:val="00CF778F"/>
    <w:rsid w:val="00CF7AB0"/>
    <w:rsid w:val="00CF7F9D"/>
    <w:rsid w:val="00D002BF"/>
    <w:rsid w:val="00D003F7"/>
    <w:rsid w:val="00D00A59"/>
    <w:rsid w:val="00D00ABB"/>
    <w:rsid w:val="00D01098"/>
    <w:rsid w:val="00D01481"/>
    <w:rsid w:val="00D014C3"/>
    <w:rsid w:val="00D015C6"/>
    <w:rsid w:val="00D01F02"/>
    <w:rsid w:val="00D020E4"/>
    <w:rsid w:val="00D02291"/>
    <w:rsid w:val="00D02F54"/>
    <w:rsid w:val="00D03781"/>
    <w:rsid w:val="00D04273"/>
    <w:rsid w:val="00D0458F"/>
    <w:rsid w:val="00D04625"/>
    <w:rsid w:val="00D04748"/>
    <w:rsid w:val="00D048E2"/>
    <w:rsid w:val="00D05282"/>
    <w:rsid w:val="00D055A7"/>
    <w:rsid w:val="00D0572F"/>
    <w:rsid w:val="00D05CB6"/>
    <w:rsid w:val="00D060C5"/>
    <w:rsid w:val="00D0621C"/>
    <w:rsid w:val="00D06359"/>
    <w:rsid w:val="00D064ED"/>
    <w:rsid w:val="00D065BB"/>
    <w:rsid w:val="00D06656"/>
    <w:rsid w:val="00D067DE"/>
    <w:rsid w:val="00D06806"/>
    <w:rsid w:val="00D0717C"/>
    <w:rsid w:val="00D072CE"/>
    <w:rsid w:val="00D07346"/>
    <w:rsid w:val="00D074AB"/>
    <w:rsid w:val="00D078E1"/>
    <w:rsid w:val="00D07A1C"/>
    <w:rsid w:val="00D07CF9"/>
    <w:rsid w:val="00D07E28"/>
    <w:rsid w:val="00D07FCE"/>
    <w:rsid w:val="00D10147"/>
    <w:rsid w:val="00D10178"/>
    <w:rsid w:val="00D101CC"/>
    <w:rsid w:val="00D102C0"/>
    <w:rsid w:val="00D11591"/>
    <w:rsid w:val="00D11616"/>
    <w:rsid w:val="00D11EDB"/>
    <w:rsid w:val="00D11FF7"/>
    <w:rsid w:val="00D12DD6"/>
    <w:rsid w:val="00D13222"/>
    <w:rsid w:val="00D13703"/>
    <w:rsid w:val="00D1398D"/>
    <w:rsid w:val="00D13F45"/>
    <w:rsid w:val="00D1414B"/>
    <w:rsid w:val="00D144F5"/>
    <w:rsid w:val="00D150D8"/>
    <w:rsid w:val="00D156AF"/>
    <w:rsid w:val="00D15883"/>
    <w:rsid w:val="00D15A78"/>
    <w:rsid w:val="00D15FD5"/>
    <w:rsid w:val="00D161B1"/>
    <w:rsid w:val="00D16411"/>
    <w:rsid w:val="00D16BEE"/>
    <w:rsid w:val="00D17283"/>
    <w:rsid w:val="00D175AE"/>
    <w:rsid w:val="00D2012E"/>
    <w:rsid w:val="00D20419"/>
    <w:rsid w:val="00D2044D"/>
    <w:rsid w:val="00D20500"/>
    <w:rsid w:val="00D20B54"/>
    <w:rsid w:val="00D20B62"/>
    <w:rsid w:val="00D20F73"/>
    <w:rsid w:val="00D212E2"/>
    <w:rsid w:val="00D2182B"/>
    <w:rsid w:val="00D21A32"/>
    <w:rsid w:val="00D21D09"/>
    <w:rsid w:val="00D21E9D"/>
    <w:rsid w:val="00D220BB"/>
    <w:rsid w:val="00D226CC"/>
    <w:rsid w:val="00D23124"/>
    <w:rsid w:val="00D237DE"/>
    <w:rsid w:val="00D238F6"/>
    <w:rsid w:val="00D238FE"/>
    <w:rsid w:val="00D243EF"/>
    <w:rsid w:val="00D245C4"/>
    <w:rsid w:val="00D246A4"/>
    <w:rsid w:val="00D247E3"/>
    <w:rsid w:val="00D25637"/>
    <w:rsid w:val="00D25FF2"/>
    <w:rsid w:val="00D2678B"/>
    <w:rsid w:val="00D26C7B"/>
    <w:rsid w:val="00D26DC6"/>
    <w:rsid w:val="00D27981"/>
    <w:rsid w:val="00D27FD2"/>
    <w:rsid w:val="00D30179"/>
    <w:rsid w:val="00D30EBC"/>
    <w:rsid w:val="00D31D70"/>
    <w:rsid w:val="00D31EBB"/>
    <w:rsid w:val="00D32475"/>
    <w:rsid w:val="00D32DA8"/>
    <w:rsid w:val="00D331D8"/>
    <w:rsid w:val="00D33316"/>
    <w:rsid w:val="00D33772"/>
    <w:rsid w:val="00D33BC2"/>
    <w:rsid w:val="00D33BCE"/>
    <w:rsid w:val="00D33EC5"/>
    <w:rsid w:val="00D3427D"/>
    <w:rsid w:val="00D34A1C"/>
    <w:rsid w:val="00D34B6F"/>
    <w:rsid w:val="00D34E49"/>
    <w:rsid w:val="00D35659"/>
    <w:rsid w:val="00D35CC8"/>
    <w:rsid w:val="00D35FB6"/>
    <w:rsid w:val="00D3614F"/>
    <w:rsid w:val="00D363CE"/>
    <w:rsid w:val="00D365B0"/>
    <w:rsid w:val="00D3661B"/>
    <w:rsid w:val="00D36963"/>
    <w:rsid w:val="00D370D3"/>
    <w:rsid w:val="00D3746E"/>
    <w:rsid w:val="00D374A5"/>
    <w:rsid w:val="00D37848"/>
    <w:rsid w:val="00D3794D"/>
    <w:rsid w:val="00D404CA"/>
    <w:rsid w:val="00D40C3C"/>
    <w:rsid w:val="00D4124E"/>
    <w:rsid w:val="00D41331"/>
    <w:rsid w:val="00D4165C"/>
    <w:rsid w:val="00D42054"/>
    <w:rsid w:val="00D424F3"/>
    <w:rsid w:val="00D42A9A"/>
    <w:rsid w:val="00D42C9A"/>
    <w:rsid w:val="00D432A1"/>
    <w:rsid w:val="00D43466"/>
    <w:rsid w:val="00D437EE"/>
    <w:rsid w:val="00D43EA8"/>
    <w:rsid w:val="00D43EDF"/>
    <w:rsid w:val="00D44170"/>
    <w:rsid w:val="00D44388"/>
    <w:rsid w:val="00D44590"/>
    <w:rsid w:val="00D448B8"/>
    <w:rsid w:val="00D44B48"/>
    <w:rsid w:val="00D44EC7"/>
    <w:rsid w:val="00D4508C"/>
    <w:rsid w:val="00D45698"/>
    <w:rsid w:val="00D4577B"/>
    <w:rsid w:val="00D458AB"/>
    <w:rsid w:val="00D45DE6"/>
    <w:rsid w:val="00D45F0A"/>
    <w:rsid w:val="00D4644A"/>
    <w:rsid w:val="00D46B3C"/>
    <w:rsid w:val="00D47636"/>
    <w:rsid w:val="00D47920"/>
    <w:rsid w:val="00D47A57"/>
    <w:rsid w:val="00D50398"/>
    <w:rsid w:val="00D50D3B"/>
    <w:rsid w:val="00D510BA"/>
    <w:rsid w:val="00D511CA"/>
    <w:rsid w:val="00D51355"/>
    <w:rsid w:val="00D51757"/>
    <w:rsid w:val="00D51984"/>
    <w:rsid w:val="00D51EB3"/>
    <w:rsid w:val="00D51EDA"/>
    <w:rsid w:val="00D52409"/>
    <w:rsid w:val="00D528F7"/>
    <w:rsid w:val="00D52BAF"/>
    <w:rsid w:val="00D52BDB"/>
    <w:rsid w:val="00D52EDF"/>
    <w:rsid w:val="00D52F51"/>
    <w:rsid w:val="00D52FD3"/>
    <w:rsid w:val="00D5349D"/>
    <w:rsid w:val="00D5360C"/>
    <w:rsid w:val="00D53A68"/>
    <w:rsid w:val="00D53A7D"/>
    <w:rsid w:val="00D54181"/>
    <w:rsid w:val="00D54450"/>
    <w:rsid w:val="00D54944"/>
    <w:rsid w:val="00D54D25"/>
    <w:rsid w:val="00D55146"/>
    <w:rsid w:val="00D5526E"/>
    <w:rsid w:val="00D55349"/>
    <w:rsid w:val="00D55B6C"/>
    <w:rsid w:val="00D55F5B"/>
    <w:rsid w:val="00D56134"/>
    <w:rsid w:val="00D562A3"/>
    <w:rsid w:val="00D5644F"/>
    <w:rsid w:val="00D56474"/>
    <w:rsid w:val="00D56A87"/>
    <w:rsid w:val="00D56E2C"/>
    <w:rsid w:val="00D56FB3"/>
    <w:rsid w:val="00D5712F"/>
    <w:rsid w:val="00D57528"/>
    <w:rsid w:val="00D576C4"/>
    <w:rsid w:val="00D604EF"/>
    <w:rsid w:val="00D60B22"/>
    <w:rsid w:val="00D60E6A"/>
    <w:rsid w:val="00D60F2B"/>
    <w:rsid w:val="00D60F4E"/>
    <w:rsid w:val="00D614E3"/>
    <w:rsid w:val="00D61661"/>
    <w:rsid w:val="00D61939"/>
    <w:rsid w:val="00D61B33"/>
    <w:rsid w:val="00D61F09"/>
    <w:rsid w:val="00D629EC"/>
    <w:rsid w:val="00D62C90"/>
    <w:rsid w:val="00D62F2F"/>
    <w:rsid w:val="00D632A4"/>
    <w:rsid w:val="00D637F5"/>
    <w:rsid w:val="00D63DA8"/>
    <w:rsid w:val="00D63F49"/>
    <w:rsid w:val="00D6450E"/>
    <w:rsid w:val="00D645BC"/>
    <w:rsid w:val="00D645E9"/>
    <w:rsid w:val="00D64FF2"/>
    <w:rsid w:val="00D6509C"/>
    <w:rsid w:val="00D65835"/>
    <w:rsid w:val="00D658D1"/>
    <w:rsid w:val="00D665FC"/>
    <w:rsid w:val="00D6673D"/>
    <w:rsid w:val="00D66BE1"/>
    <w:rsid w:val="00D67393"/>
    <w:rsid w:val="00D676D7"/>
    <w:rsid w:val="00D678D6"/>
    <w:rsid w:val="00D67B8A"/>
    <w:rsid w:val="00D67F81"/>
    <w:rsid w:val="00D70D29"/>
    <w:rsid w:val="00D71146"/>
    <w:rsid w:val="00D712CF"/>
    <w:rsid w:val="00D7137A"/>
    <w:rsid w:val="00D71576"/>
    <w:rsid w:val="00D71665"/>
    <w:rsid w:val="00D726DD"/>
    <w:rsid w:val="00D72916"/>
    <w:rsid w:val="00D72D73"/>
    <w:rsid w:val="00D7353E"/>
    <w:rsid w:val="00D7357E"/>
    <w:rsid w:val="00D741EF"/>
    <w:rsid w:val="00D753D8"/>
    <w:rsid w:val="00D75C1B"/>
    <w:rsid w:val="00D7606F"/>
    <w:rsid w:val="00D7634F"/>
    <w:rsid w:val="00D764E4"/>
    <w:rsid w:val="00D7682F"/>
    <w:rsid w:val="00D769C1"/>
    <w:rsid w:val="00D76C90"/>
    <w:rsid w:val="00D76CD6"/>
    <w:rsid w:val="00D76EA6"/>
    <w:rsid w:val="00D7703D"/>
    <w:rsid w:val="00D77937"/>
    <w:rsid w:val="00D77D86"/>
    <w:rsid w:val="00D77EAD"/>
    <w:rsid w:val="00D77EF0"/>
    <w:rsid w:val="00D77EF4"/>
    <w:rsid w:val="00D8055A"/>
    <w:rsid w:val="00D807F2"/>
    <w:rsid w:val="00D809BB"/>
    <w:rsid w:val="00D80D51"/>
    <w:rsid w:val="00D80DAE"/>
    <w:rsid w:val="00D8100F"/>
    <w:rsid w:val="00D81890"/>
    <w:rsid w:val="00D81AB0"/>
    <w:rsid w:val="00D81CCC"/>
    <w:rsid w:val="00D81E09"/>
    <w:rsid w:val="00D81FAA"/>
    <w:rsid w:val="00D82E4B"/>
    <w:rsid w:val="00D8310B"/>
    <w:rsid w:val="00D83201"/>
    <w:rsid w:val="00D83407"/>
    <w:rsid w:val="00D83ADF"/>
    <w:rsid w:val="00D83DBB"/>
    <w:rsid w:val="00D83FFA"/>
    <w:rsid w:val="00D8469A"/>
    <w:rsid w:val="00D84B00"/>
    <w:rsid w:val="00D84B93"/>
    <w:rsid w:val="00D855D2"/>
    <w:rsid w:val="00D857B7"/>
    <w:rsid w:val="00D8594E"/>
    <w:rsid w:val="00D86AA2"/>
    <w:rsid w:val="00D86B11"/>
    <w:rsid w:val="00D86DBF"/>
    <w:rsid w:val="00D86FB7"/>
    <w:rsid w:val="00D875CC"/>
    <w:rsid w:val="00D87A52"/>
    <w:rsid w:val="00D90251"/>
    <w:rsid w:val="00D903DF"/>
    <w:rsid w:val="00D905F2"/>
    <w:rsid w:val="00D906C2"/>
    <w:rsid w:val="00D90F07"/>
    <w:rsid w:val="00D914B3"/>
    <w:rsid w:val="00D9151E"/>
    <w:rsid w:val="00D9160E"/>
    <w:rsid w:val="00D92198"/>
    <w:rsid w:val="00D929D4"/>
    <w:rsid w:val="00D92A3D"/>
    <w:rsid w:val="00D93080"/>
    <w:rsid w:val="00D9336A"/>
    <w:rsid w:val="00D93A5A"/>
    <w:rsid w:val="00D94D39"/>
    <w:rsid w:val="00D966D7"/>
    <w:rsid w:val="00D9689A"/>
    <w:rsid w:val="00D968F3"/>
    <w:rsid w:val="00D9740C"/>
    <w:rsid w:val="00D97C4C"/>
    <w:rsid w:val="00D97E09"/>
    <w:rsid w:val="00D97E8C"/>
    <w:rsid w:val="00DA07F9"/>
    <w:rsid w:val="00DA090B"/>
    <w:rsid w:val="00DA0A51"/>
    <w:rsid w:val="00DA0D14"/>
    <w:rsid w:val="00DA0E1E"/>
    <w:rsid w:val="00DA1447"/>
    <w:rsid w:val="00DA16D8"/>
    <w:rsid w:val="00DA1A08"/>
    <w:rsid w:val="00DA1AAA"/>
    <w:rsid w:val="00DA1E03"/>
    <w:rsid w:val="00DA21A1"/>
    <w:rsid w:val="00DA2253"/>
    <w:rsid w:val="00DA229D"/>
    <w:rsid w:val="00DA26DD"/>
    <w:rsid w:val="00DA2D7B"/>
    <w:rsid w:val="00DA31DD"/>
    <w:rsid w:val="00DA3775"/>
    <w:rsid w:val="00DA388E"/>
    <w:rsid w:val="00DA39B9"/>
    <w:rsid w:val="00DA3CE0"/>
    <w:rsid w:val="00DA3EF8"/>
    <w:rsid w:val="00DA4597"/>
    <w:rsid w:val="00DA46DF"/>
    <w:rsid w:val="00DA4CE7"/>
    <w:rsid w:val="00DA54A0"/>
    <w:rsid w:val="00DA5AFF"/>
    <w:rsid w:val="00DA5D19"/>
    <w:rsid w:val="00DA5DC5"/>
    <w:rsid w:val="00DA5E63"/>
    <w:rsid w:val="00DA5F5E"/>
    <w:rsid w:val="00DA5FB4"/>
    <w:rsid w:val="00DA628D"/>
    <w:rsid w:val="00DA6A61"/>
    <w:rsid w:val="00DA7441"/>
    <w:rsid w:val="00DA7816"/>
    <w:rsid w:val="00DA79F7"/>
    <w:rsid w:val="00DA7BC4"/>
    <w:rsid w:val="00DB02E7"/>
    <w:rsid w:val="00DB06B0"/>
    <w:rsid w:val="00DB1846"/>
    <w:rsid w:val="00DB204C"/>
    <w:rsid w:val="00DB25CF"/>
    <w:rsid w:val="00DB27FE"/>
    <w:rsid w:val="00DB280D"/>
    <w:rsid w:val="00DB2E3E"/>
    <w:rsid w:val="00DB337D"/>
    <w:rsid w:val="00DB36CD"/>
    <w:rsid w:val="00DB3DC7"/>
    <w:rsid w:val="00DB4002"/>
    <w:rsid w:val="00DB430D"/>
    <w:rsid w:val="00DB441B"/>
    <w:rsid w:val="00DB4487"/>
    <w:rsid w:val="00DB465C"/>
    <w:rsid w:val="00DB4802"/>
    <w:rsid w:val="00DB48FE"/>
    <w:rsid w:val="00DB5DDE"/>
    <w:rsid w:val="00DB60FC"/>
    <w:rsid w:val="00DB6311"/>
    <w:rsid w:val="00DB67D2"/>
    <w:rsid w:val="00DB690D"/>
    <w:rsid w:val="00DB6DAF"/>
    <w:rsid w:val="00DB7269"/>
    <w:rsid w:val="00DB73BF"/>
    <w:rsid w:val="00DB73ED"/>
    <w:rsid w:val="00DB7758"/>
    <w:rsid w:val="00DB7861"/>
    <w:rsid w:val="00DB7929"/>
    <w:rsid w:val="00DB7996"/>
    <w:rsid w:val="00DB7B36"/>
    <w:rsid w:val="00DB7BC1"/>
    <w:rsid w:val="00DB7CAA"/>
    <w:rsid w:val="00DB7D10"/>
    <w:rsid w:val="00DC03DC"/>
    <w:rsid w:val="00DC0629"/>
    <w:rsid w:val="00DC0649"/>
    <w:rsid w:val="00DC0F37"/>
    <w:rsid w:val="00DC12C1"/>
    <w:rsid w:val="00DC148F"/>
    <w:rsid w:val="00DC1B4F"/>
    <w:rsid w:val="00DC1DE4"/>
    <w:rsid w:val="00DC20C5"/>
    <w:rsid w:val="00DC27EC"/>
    <w:rsid w:val="00DC2A7E"/>
    <w:rsid w:val="00DC2B0B"/>
    <w:rsid w:val="00DC2F51"/>
    <w:rsid w:val="00DC3479"/>
    <w:rsid w:val="00DC3623"/>
    <w:rsid w:val="00DC392E"/>
    <w:rsid w:val="00DC39A0"/>
    <w:rsid w:val="00DC3ED5"/>
    <w:rsid w:val="00DC4030"/>
    <w:rsid w:val="00DC44D5"/>
    <w:rsid w:val="00DC4A73"/>
    <w:rsid w:val="00DC4AC9"/>
    <w:rsid w:val="00DC4B51"/>
    <w:rsid w:val="00DC56E6"/>
    <w:rsid w:val="00DC6671"/>
    <w:rsid w:val="00DC6931"/>
    <w:rsid w:val="00DC7007"/>
    <w:rsid w:val="00DC73AF"/>
    <w:rsid w:val="00DC7626"/>
    <w:rsid w:val="00DC771B"/>
    <w:rsid w:val="00DC772E"/>
    <w:rsid w:val="00DC78EA"/>
    <w:rsid w:val="00DC7D99"/>
    <w:rsid w:val="00DC7F54"/>
    <w:rsid w:val="00DD04DD"/>
    <w:rsid w:val="00DD05F3"/>
    <w:rsid w:val="00DD0C57"/>
    <w:rsid w:val="00DD0CFB"/>
    <w:rsid w:val="00DD14F8"/>
    <w:rsid w:val="00DD1693"/>
    <w:rsid w:val="00DD1868"/>
    <w:rsid w:val="00DD18D5"/>
    <w:rsid w:val="00DD19D5"/>
    <w:rsid w:val="00DD1E0E"/>
    <w:rsid w:val="00DD20E9"/>
    <w:rsid w:val="00DD2114"/>
    <w:rsid w:val="00DD22D1"/>
    <w:rsid w:val="00DD2313"/>
    <w:rsid w:val="00DD254C"/>
    <w:rsid w:val="00DD2B2D"/>
    <w:rsid w:val="00DD384B"/>
    <w:rsid w:val="00DD3C0C"/>
    <w:rsid w:val="00DD3D6D"/>
    <w:rsid w:val="00DD42F3"/>
    <w:rsid w:val="00DD4B0F"/>
    <w:rsid w:val="00DD4B6E"/>
    <w:rsid w:val="00DD4C86"/>
    <w:rsid w:val="00DD4E7E"/>
    <w:rsid w:val="00DD53FF"/>
    <w:rsid w:val="00DD5760"/>
    <w:rsid w:val="00DD599F"/>
    <w:rsid w:val="00DD5F02"/>
    <w:rsid w:val="00DD6DCC"/>
    <w:rsid w:val="00DD7284"/>
    <w:rsid w:val="00DD75C0"/>
    <w:rsid w:val="00DD7610"/>
    <w:rsid w:val="00DD76D2"/>
    <w:rsid w:val="00DD788F"/>
    <w:rsid w:val="00DD7B00"/>
    <w:rsid w:val="00DE01BA"/>
    <w:rsid w:val="00DE0685"/>
    <w:rsid w:val="00DE1020"/>
    <w:rsid w:val="00DE1175"/>
    <w:rsid w:val="00DE11C4"/>
    <w:rsid w:val="00DE138C"/>
    <w:rsid w:val="00DE1445"/>
    <w:rsid w:val="00DE1666"/>
    <w:rsid w:val="00DE1C3B"/>
    <w:rsid w:val="00DE2470"/>
    <w:rsid w:val="00DE2A9C"/>
    <w:rsid w:val="00DE2BAF"/>
    <w:rsid w:val="00DE2BCA"/>
    <w:rsid w:val="00DE2D5B"/>
    <w:rsid w:val="00DE2ED2"/>
    <w:rsid w:val="00DE315B"/>
    <w:rsid w:val="00DE3619"/>
    <w:rsid w:val="00DE3DAD"/>
    <w:rsid w:val="00DE3DD6"/>
    <w:rsid w:val="00DE3E29"/>
    <w:rsid w:val="00DE4044"/>
    <w:rsid w:val="00DE4457"/>
    <w:rsid w:val="00DE5095"/>
    <w:rsid w:val="00DE57A6"/>
    <w:rsid w:val="00DE5C63"/>
    <w:rsid w:val="00DE6136"/>
    <w:rsid w:val="00DE615F"/>
    <w:rsid w:val="00DE62B8"/>
    <w:rsid w:val="00DE641F"/>
    <w:rsid w:val="00DE67BA"/>
    <w:rsid w:val="00DE6BD0"/>
    <w:rsid w:val="00DE7253"/>
    <w:rsid w:val="00DE756A"/>
    <w:rsid w:val="00DE7773"/>
    <w:rsid w:val="00DE78DA"/>
    <w:rsid w:val="00DF0348"/>
    <w:rsid w:val="00DF0498"/>
    <w:rsid w:val="00DF07B1"/>
    <w:rsid w:val="00DF0841"/>
    <w:rsid w:val="00DF0A2D"/>
    <w:rsid w:val="00DF108B"/>
    <w:rsid w:val="00DF1663"/>
    <w:rsid w:val="00DF230D"/>
    <w:rsid w:val="00DF23E5"/>
    <w:rsid w:val="00DF2F55"/>
    <w:rsid w:val="00DF3104"/>
    <w:rsid w:val="00DF3121"/>
    <w:rsid w:val="00DF3C0D"/>
    <w:rsid w:val="00DF426D"/>
    <w:rsid w:val="00DF44F6"/>
    <w:rsid w:val="00DF4723"/>
    <w:rsid w:val="00DF4816"/>
    <w:rsid w:val="00DF4A8D"/>
    <w:rsid w:val="00DF4B59"/>
    <w:rsid w:val="00DF4B68"/>
    <w:rsid w:val="00DF525E"/>
    <w:rsid w:val="00DF5A7A"/>
    <w:rsid w:val="00DF5B21"/>
    <w:rsid w:val="00DF5DA0"/>
    <w:rsid w:val="00DF5EF9"/>
    <w:rsid w:val="00DF6059"/>
    <w:rsid w:val="00DF61D1"/>
    <w:rsid w:val="00DF6B2C"/>
    <w:rsid w:val="00DF6BBE"/>
    <w:rsid w:val="00DF7769"/>
    <w:rsid w:val="00DF7920"/>
    <w:rsid w:val="00DF7D6A"/>
    <w:rsid w:val="00E001ED"/>
    <w:rsid w:val="00E00E0E"/>
    <w:rsid w:val="00E011D1"/>
    <w:rsid w:val="00E017BE"/>
    <w:rsid w:val="00E01892"/>
    <w:rsid w:val="00E01A84"/>
    <w:rsid w:val="00E01ACF"/>
    <w:rsid w:val="00E01B5B"/>
    <w:rsid w:val="00E020F8"/>
    <w:rsid w:val="00E025F9"/>
    <w:rsid w:val="00E02662"/>
    <w:rsid w:val="00E02C2B"/>
    <w:rsid w:val="00E03935"/>
    <w:rsid w:val="00E03B51"/>
    <w:rsid w:val="00E03CF4"/>
    <w:rsid w:val="00E03D42"/>
    <w:rsid w:val="00E041C7"/>
    <w:rsid w:val="00E0447B"/>
    <w:rsid w:val="00E04F52"/>
    <w:rsid w:val="00E04FDE"/>
    <w:rsid w:val="00E050A8"/>
    <w:rsid w:val="00E05337"/>
    <w:rsid w:val="00E05D28"/>
    <w:rsid w:val="00E05D7B"/>
    <w:rsid w:val="00E0607D"/>
    <w:rsid w:val="00E07435"/>
    <w:rsid w:val="00E07A09"/>
    <w:rsid w:val="00E07FA2"/>
    <w:rsid w:val="00E100BB"/>
    <w:rsid w:val="00E101FD"/>
    <w:rsid w:val="00E10AB0"/>
    <w:rsid w:val="00E10B54"/>
    <w:rsid w:val="00E112D0"/>
    <w:rsid w:val="00E115D3"/>
    <w:rsid w:val="00E119DA"/>
    <w:rsid w:val="00E11CB4"/>
    <w:rsid w:val="00E13085"/>
    <w:rsid w:val="00E1374C"/>
    <w:rsid w:val="00E14118"/>
    <w:rsid w:val="00E14260"/>
    <w:rsid w:val="00E14425"/>
    <w:rsid w:val="00E146F0"/>
    <w:rsid w:val="00E14B37"/>
    <w:rsid w:val="00E14BF4"/>
    <w:rsid w:val="00E150BA"/>
    <w:rsid w:val="00E15BE2"/>
    <w:rsid w:val="00E15EE3"/>
    <w:rsid w:val="00E16036"/>
    <w:rsid w:val="00E16418"/>
    <w:rsid w:val="00E170E6"/>
    <w:rsid w:val="00E1758C"/>
    <w:rsid w:val="00E1795A"/>
    <w:rsid w:val="00E17C45"/>
    <w:rsid w:val="00E202D8"/>
    <w:rsid w:val="00E20B84"/>
    <w:rsid w:val="00E20CD5"/>
    <w:rsid w:val="00E20E76"/>
    <w:rsid w:val="00E20ED8"/>
    <w:rsid w:val="00E2134C"/>
    <w:rsid w:val="00E213FD"/>
    <w:rsid w:val="00E22665"/>
    <w:rsid w:val="00E226F8"/>
    <w:rsid w:val="00E228DE"/>
    <w:rsid w:val="00E23080"/>
    <w:rsid w:val="00E23111"/>
    <w:rsid w:val="00E2351D"/>
    <w:rsid w:val="00E243B2"/>
    <w:rsid w:val="00E24A2D"/>
    <w:rsid w:val="00E24AE6"/>
    <w:rsid w:val="00E24E4B"/>
    <w:rsid w:val="00E25154"/>
    <w:rsid w:val="00E253BC"/>
    <w:rsid w:val="00E25752"/>
    <w:rsid w:val="00E2588A"/>
    <w:rsid w:val="00E25C81"/>
    <w:rsid w:val="00E25DF1"/>
    <w:rsid w:val="00E25E27"/>
    <w:rsid w:val="00E2613E"/>
    <w:rsid w:val="00E26156"/>
    <w:rsid w:val="00E263EE"/>
    <w:rsid w:val="00E26AD2"/>
    <w:rsid w:val="00E27064"/>
    <w:rsid w:val="00E27608"/>
    <w:rsid w:val="00E277FD"/>
    <w:rsid w:val="00E2782B"/>
    <w:rsid w:val="00E27858"/>
    <w:rsid w:val="00E2790B"/>
    <w:rsid w:val="00E27A42"/>
    <w:rsid w:val="00E300BA"/>
    <w:rsid w:val="00E302CE"/>
    <w:rsid w:val="00E303F4"/>
    <w:rsid w:val="00E30630"/>
    <w:rsid w:val="00E30B60"/>
    <w:rsid w:val="00E30F0E"/>
    <w:rsid w:val="00E31348"/>
    <w:rsid w:val="00E320BD"/>
    <w:rsid w:val="00E324C1"/>
    <w:rsid w:val="00E3273F"/>
    <w:rsid w:val="00E32ACA"/>
    <w:rsid w:val="00E3302E"/>
    <w:rsid w:val="00E33281"/>
    <w:rsid w:val="00E33D24"/>
    <w:rsid w:val="00E33E40"/>
    <w:rsid w:val="00E34221"/>
    <w:rsid w:val="00E3590E"/>
    <w:rsid w:val="00E35C01"/>
    <w:rsid w:val="00E35C0D"/>
    <w:rsid w:val="00E3647A"/>
    <w:rsid w:val="00E364F2"/>
    <w:rsid w:val="00E366B1"/>
    <w:rsid w:val="00E3689E"/>
    <w:rsid w:val="00E36B87"/>
    <w:rsid w:val="00E36BB5"/>
    <w:rsid w:val="00E3700A"/>
    <w:rsid w:val="00E37033"/>
    <w:rsid w:val="00E374E9"/>
    <w:rsid w:val="00E37989"/>
    <w:rsid w:val="00E37B35"/>
    <w:rsid w:val="00E37C55"/>
    <w:rsid w:val="00E37CB5"/>
    <w:rsid w:val="00E37D04"/>
    <w:rsid w:val="00E400FC"/>
    <w:rsid w:val="00E404A7"/>
    <w:rsid w:val="00E404FF"/>
    <w:rsid w:val="00E411DE"/>
    <w:rsid w:val="00E41A82"/>
    <w:rsid w:val="00E41C9F"/>
    <w:rsid w:val="00E41E06"/>
    <w:rsid w:val="00E41F5F"/>
    <w:rsid w:val="00E41FB3"/>
    <w:rsid w:val="00E4215B"/>
    <w:rsid w:val="00E4275A"/>
    <w:rsid w:val="00E42809"/>
    <w:rsid w:val="00E42C1E"/>
    <w:rsid w:val="00E43470"/>
    <w:rsid w:val="00E43870"/>
    <w:rsid w:val="00E43B02"/>
    <w:rsid w:val="00E43C74"/>
    <w:rsid w:val="00E43F42"/>
    <w:rsid w:val="00E43F4E"/>
    <w:rsid w:val="00E441C5"/>
    <w:rsid w:val="00E44353"/>
    <w:rsid w:val="00E44521"/>
    <w:rsid w:val="00E45205"/>
    <w:rsid w:val="00E45825"/>
    <w:rsid w:val="00E458A4"/>
    <w:rsid w:val="00E45B56"/>
    <w:rsid w:val="00E45C1C"/>
    <w:rsid w:val="00E46614"/>
    <w:rsid w:val="00E46C6D"/>
    <w:rsid w:val="00E47377"/>
    <w:rsid w:val="00E4750B"/>
    <w:rsid w:val="00E47A6E"/>
    <w:rsid w:val="00E47E8F"/>
    <w:rsid w:val="00E50139"/>
    <w:rsid w:val="00E50CC9"/>
    <w:rsid w:val="00E5108F"/>
    <w:rsid w:val="00E51743"/>
    <w:rsid w:val="00E51C31"/>
    <w:rsid w:val="00E52311"/>
    <w:rsid w:val="00E52651"/>
    <w:rsid w:val="00E52F0D"/>
    <w:rsid w:val="00E5369D"/>
    <w:rsid w:val="00E53A3E"/>
    <w:rsid w:val="00E5402F"/>
    <w:rsid w:val="00E54140"/>
    <w:rsid w:val="00E54497"/>
    <w:rsid w:val="00E54722"/>
    <w:rsid w:val="00E54C56"/>
    <w:rsid w:val="00E54FD9"/>
    <w:rsid w:val="00E5531C"/>
    <w:rsid w:val="00E5565E"/>
    <w:rsid w:val="00E5574E"/>
    <w:rsid w:val="00E562D2"/>
    <w:rsid w:val="00E5661E"/>
    <w:rsid w:val="00E5698F"/>
    <w:rsid w:val="00E56AF6"/>
    <w:rsid w:val="00E5709B"/>
    <w:rsid w:val="00E57533"/>
    <w:rsid w:val="00E575AD"/>
    <w:rsid w:val="00E57D95"/>
    <w:rsid w:val="00E614EA"/>
    <w:rsid w:val="00E61514"/>
    <w:rsid w:val="00E61516"/>
    <w:rsid w:val="00E617FF"/>
    <w:rsid w:val="00E61C09"/>
    <w:rsid w:val="00E61E06"/>
    <w:rsid w:val="00E6241C"/>
    <w:rsid w:val="00E628C2"/>
    <w:rsid w:val="00E62D50"/>
    <w:rsid w:val="00E6306B"/>
    <w:rsid w:val="00E63357"/>
    <w:rsid w:val="00E63425"/>
    <w:rsid w:val="00E6375F"/>
    <w:rsid w:val="00E63AA9"/>
    <w:rsid w:val="00E63D41"/>
    <w:rsid w:val="00E64026"/>
    <w:rsid w:val="00E642BE"/>
    <w:rsid w:val="00E64A97"/>
    <w:rsid w:val="00E64FA3"/>
    <w:rsid w:val="00E653C5"/>
    <w:rsid w:val="00E65599"/>
    <w:rsid w:val="00E65625"/>
    <w:rsid w:val="00E65CBF"/>
    <w:rsid w:val="00E663BE"/>
    <w:rsid w:val="00E669EC"/>
    <w:rsid w:val="00E66D4D"/>
    <w:rsid w:val="00E66D68"/>
    <w:rsid w:val="00E673B4"/>
    <w:rsid w:val="00E67852"/>
    <w:rsid w:val="00E678FB"/>
    <w:rsid w:val="00E6794A"/>
    <w:rsid w:val="00E70388"/>
    <w:rsid w:val="00E7090C"/>
    <w:rsid w:val="00E70A06"/>
    <w:rsid w:val="00E70F08"/>
    <w:rsid w:val="00E71856"/>
    <w:rsid w:val="00E71D22"/>
    <w:rsid w:val="00E71EE9"/>
    <w:rsid w:val="00E71F85"/>
    <w:rsid w:val="00E72709"/>
    <w:rsid w:val="00E731B3"/>
    <w:rsid w:val="00E734A9"/>
    <w:rsid w:val="00E73883"/>
    <w:rsid w:val="00E742BB"/>
    <w:rsid w:val="00E74310"/>
    <w:rsid w:val="00E745ED"/>
    <w:rsid w:val="00E74A2E"/>
    <w:rsid w:val="00E74A5C"/>
    <w:rsid w:val="00E74C71"/>
    <w:rsid w:val="00E74E5D"/>
    <w:rsid w:val="00E75447"/>
    <w:rsid w:val="00E75DB9"/>
    <w:rsid w:val="00E75FAF"/>
    <w:rsid w:val="00E760BE"/>
    <w:rsid w:val="00E7612F"/>
    <w:rsid w:val="00E763E9"/>
    <w:rsid w:val="00E7649F"/>
    <w:rsid w:val="00E7653B"/>
    <w:rsid w:val="00E766CD"/>
    <w:rsid w:val="00E76CB7"/>
    <w:rsid w:val="00E76CCD"/>
    <w:rsid w:val="00E76DDE"/>
    <w:rsid w:val="00E776F2"/>
    <w:rsid w:val="00E77F08"/>
    <w:rsid w:val="00E80348"/>
    <w:rsid w:val="00E81606"/>
    <w:rsid w:val="00E81EDA"/>
    <w:rsid w:val="00E827AF"/>
    <w:rsid w:val="00E82ADF"/>
    <w:rsid w:val="00E82C9A"/>
    <w:rsid w:val="00E82F9C"/>
    <w:rsid w:val="00E8379C"/>
    <w:rsid w:val="00E84051"/>
    <w:rsid w:val="00E840D8"/>
    <w:rsid w:val="00E8552E"/>
    <w:rsid w:val="00E8589C"/>
    <w:rsid w:val="00E8589F"/>
    <w:rsid w:val="00E86233"/>
    <w:rsid w:val="00E86522"/>
    <w:rsid w:val="00E866B1"/>
    <w:rsid w:val="00E86F42"/>
    <w:rsid w:val="00E86FAD"/>
    <w:rsid w:val="00E8704A"/>
    <w:rsid w:val="00E87365"/>
    <w:rsid w:val="00E8741A"/>
    <w:rsid w:val="00E879D7"/>
    <w:rsid w:val="00E900D4"/>
    <w:rsid w:val="00E90173"/>
    <w:rsid w:val="00E90368"/>
    <w:rsid w:val="00E90F60"/>
    <w:rsid w:val="00E9120C"/>
    <w:rsid w:val="00E91315"/>
    <w:rsid w:val="00E91339"/>
    <w:rsid w:val="00E915B6"/>
    <w:rsid w:val="00E91991"/>
    <w:rsid w:val="00E91C59"/>
    <w:rsid w:val="00E91D20"/>
    <w:rsid w:val="00E920BC"/>
    <w:rsid w:val="00E923CA"/>
    <w:rsid w:val="00E92860"/>
    <w:rsid w:val="00E929A9"/>
    <w:rsid w:val="00E94EFA"/>
    <w:rsid w:val="00E97182"/>
    <w:rsid w:val="00E971B7"/>
    <w:rsid w:val="00E974FA"/>
    <w:rsid w:val="00E9791F"/>
    <w:rsid w:val="00EA04B2"/>
    <w:rsid w:val="00EA059C"/>
    <w:rsid w:val="00EA0BF0"/>
    <w:rsid w:val="00EA100D"/>
    <w:rsid w:val="00EA1433"/>
    <w:rsid w:val="00EA212D"/>
    <w:rsid w:val="00EA251C"/>
    <w:rsid w:val="00EA2DBD"/>
    <w:rsid w:val="00EA3135"/>
    <w:rsid w:val="00EA315F"/>
    <w:rsid w:val="00EA363D"/>
    <w:rsid w:val="00EA3932"/>
    <w:rsid w:val="00EA45D5"/>
    <w:rsid w:val="00EA47E6"/>
    <w:rsid w:val="00EA55C4"/>
    <w:rsid w:val="00EA5B2D"/>
    <w:rsid w:val="00EA616F"/>
    <w:rsid w:val="00EA61E8"/>
    <w:rsid w:val="00EA6848"/>
    <w:rsid w:val="00EA69EE"/>
    <w:rsid w:val="00EA6EAA"/>
    <w:rsid w:val="00EA7327"/>
    <w:rsid w:val="00EA781A"/>
    <w:rsid w:val="00EA7EA9"/>
    <w:rsid w:val="00EB0795"/>
    <w:rsid w:val="00EB0A47"/>
    <w:rsid w:val="00EB0E04"/>
    <w:rsid w:val="00EB17BF"/>
    <w:rsid w:val="00EB17D7"/>
    <w:rsid w:val="00EB18FE"/>
    <w:rsid w:val="00EB1984"/>
    <w:rsid w:val="00EB216C"/>
    <w:rsid w:val="00EB2A18"/>
    <w:rsid w:val="00EB34E9"/>
    <w:rsid w:val="00EB3B22"/>
    <w:rsid w:val="00EB4649"/>
    <w:rsid w:val="00EB4B0F"/>
    <w:rsid w:val="00EB4B94"/>
    <w:rsid w:val="00EB5339"/>
    <w:rsid w:val="00EB536B"/>
    <w:rsid w:val="00EB569E"/>
    <w:rsid w:val="00EB5EA9"/>
    <w:rsid w:val="00EB6690"/>
    <w:rsid w:val="00EB68DF"/>
    <w:rsid w:val="00EB6971"/>
    <w:rsid w:val="00EB6A1E"/>
    <w:rsid w:val="00EB6D7D"/>
    <w:rsid w:val="00EB7B99"/>
    <w:rsid w:val="00EC0247"/>
    <w:rsid w:val="00EC08A0"/>
    <w:rsid w:val="00EC0956"/>
    <w:rsid w:val="00EC1682"/>
    <w:rsid w:val="00EC16B4"/>
    <w:rsid w:val="00EC16F4"/>
    <w:rsid w:val="00EC180E"/>
    <w:rsid w:val="00EC184C"/>
    <w:rsid w:val="00EC1C2A"/>
    <w:rsid w:val="00EC21D7"/>
    <w:rsid w:val="00EC255D"/>
    <w:rsid w:val="00EC2D85"/>
    <w:rsid w:val="00EC2EF8"/>
    <w:rsid w:val="00EC3133"/>
    <w:rsid w:val="00EC3396"/>
    <w:rsid w:val="00EC339D"/>
    <w:rsid w:val="00EC38E6"/>
    <w:rsid w:val="00EC3A33"/>
    <w:rsid w:val="00EC3BE1"/>
    <w:rsid w:val="00EC3DE1"/>
    <w:rsid w:val="00EC4B5A"/>
    <w:rsid w:val="00EC5260"/>
    <w:rsid w:val="00EC527C"/>
    <w:rsid w:val="00EC59F2"/>
    <w:rsid w:val="00EC6289"/>
    <w:rsid w:val="00EC63E7"/>
    <w:rsid w:val="00EC66CA"/>
    <w:rsid w:val="00EC6D7F"/>
    <w:rsid w:val="00EC6E65"/>
    <w:rsid w:val="00EC71C1"/>
    <w:rsid w:val="00EC7D54"/>
    <w:rsid w:val="00EC7D5E"/>
    <w:rsid w:val="00ED041D"/>
    <w:rsid w:val="00ED0F50"/>
    <w:rsid w:val="00ED18AC"/>
    <w:rsid w:val="00ED1C7D"/>
    <w:rsid w:val="00ED1CE2"/>
    <w:rsid w:val="00ED1DF0"/>
    <w:rsid w:val="00ED274C"/>
    <w:rsid w:val="00ED2DD4"/>
    <w:rsid w:val="00ED31A4"/>
    <w:rsid w:val="00ED34D8"/>
    <w:rsid w:val="00ED3501"/>
    <w:rsid w:val="00ED38C9"/>
    <w:rsid w:val="00ED399E"/>
    <w:rsid w:val="00ED3C04"/>
    <w:rsid w:val="00ED3D20"/>
    <w:rsid w:val="00ED3D93"/>
    <w:rsid w:val="00ED3DF5"/>
    <w:rsid w:val="00ED3ED0"/>
    <w:rsid w:val="00ED5055"/>
    <w:rsid w:val="00ED5084"/>
    <w:rsid w:val="00ED5189"/>
    <w:rsid w:val="00ED5295"/>
    <w:rsid w:val="00ED58F7"/>
    <w:rsid w:val="00ED5B98"/>
    <w:rsid w:val="00ED6968"/>
    <w:rsid w:val="00ED6E01"/>
    <w:rsid w:val="00ED6E11"/>
    <w:rsid w:val="00ED6ED7"/>
    <w:rsid w:val="00ED71EA"/>
    <w:rsid w:val="00ED7531"/>
    <w:rsid w:val="00ED7BC8"/>
    <w:rsid w:val="00ED7EAB"/>
    <w:rsid w:val="00EE0BE5"/>
    <w:rsid w:val="00EE172A"/>
    <w:rsid w:val="00EE1741"/>
    <w:rsid w:val="00EE1C8E"/>
    <w:rsid w:val="00EE1F9C"/>
    <w:rsid w:val="00EE22EA"/>
    <w:rsid w:val="00EE237B"/>
    <w:rsid w:val="00EE2599"/>
    <w:rsid w:val="00EE29D6"/>
    <w:rsid w:val="00EE2AF8"/>
    <w:rsid w:val="00EE2D3A"/>
    <w:rsid w:val="00EE313B"/>
    <w:rsid w:val="00EE3378"/>
    <w:rsid w:val="00EE3D36"/>
    <w:rsid w:val="00EE493E"/>
    <w:rsid w:val="00EE52B3"/>
    <w:rsid w:val="00EE54BE"/>
    <w:rsid w:val="00EE570D"/>
    <w:rsid w:val="00EE5BD4"/>
    <w:rsid w:val="00EE65F2"/>
    <w:rsid w:val="00EE6645"/>
    <w:rsid w:val="00EE6724"/>
    <w:rsid w:val="00EE67EA"/>
    <w:rsid w:val="00EE6B49"/>
    <w:rsid w:val="00EE6D66"/>
    <w:rsid w:val="00EE78A3"/>
    <w:rsid w:val="00EE78D3"/>
    <w:rsid w:val="00EE7D5C"/>
    <w:rsid w:val="00EE7F8B"/>
    <w:rsid w:val="00EF0469"/>
    <w:rsid w:val="00EF0517"/>
    <w:rsid w:val="00EF060E"/>
    <w:rsid w:val="00EF06E6"/>
    <w:rsid w:val="00EF06FA"/>
    <w:rsid w:val="00EF0934"/>
    <w:rsid w:val="00EF0E35"/>
    <w:rsid w:val="00EF14E7"/>
    <w:rsid w:val="00EF15CD"/>
    <w:rsid w:val="00EF1B2C"/>
    <w:rsid w:val="00EF2143"/>
    <w:rsid w:val="00EF234B"/>
    <w:rsid w:val="00EF2535"/>
    <w:rsid w:val="00EF32F8"/>
    <w:rsid w:val="00EF3391"/>
    <w:rsid w:val="00EF38F6"/>
    <w:rsid w:val="00EF4072"/>
    <w:rsid w:val="00EF4659"/>
    <w:rsid w:val="00EF4680"/>
    <w:rsid w:val="00EF49B7"/>
    <w:rsid w:val="00EF4AFD"/>
    <w:rsid w:val="00EF4BA1"/>
    <w:rsid w:val="00EF5004"/>
    <w:rsid w:val="00EF5E26"/>
    <w:rsid w:val="00EF6186"/>
    <w:rsid w:val="00EF63E3"/>
    <w:rsid w:val="00EF6605"/>
    <w:rsid w:val="00EF685E"/>
    <w:rsid w:val="00EF7282"/>
    <w:rsid w:val="00EF775D"/>
    <w:rsid w:val="00EF78D3"/>
    <w:rsid w:val="00F00780"/>
    <w:rsid w:val="00F00938"/>
    <w:rsid w:val="00F00AA2"/>
    <w:rsid w:val="00F01016"/>
    <w:rsid w:val="00F013EC"/>
    <w:rsid w:val="00F0168B"/>
    <w:rsid w:val="00F01883"/>
    <w:rsid w:val="00F01887"/>
    <w:rsid w:val="00F01C17"/>
    <w:rsid w:val="00F01CAC"/>
    <w:rsid w:val="00F01E53"/>
    <w:rsid w:val="00F01EF9"/>
    <w:rsid w:val="00F029B0"/>
    <w:rsid w:val="00F02BE6"/>
    <w:rsid w:val="00F0307C"/>
    <w:rsid w:val="00F036B6"/>
    <w:rsid w:val="00F038BE"/>
    <w:rsid w:val="00F039E7"/>
    <w:rsid w:val="00F03A12"/>
    <w:rsid w:val="00F03A37"/>
    <w:rsid w:val="00F03B1E"/>
    <w:rsid w:val="00F03E28"/>
    <w:rsid w:val="00F0403A"/>
    <w:rsid w:val="00F0432D"/>
    <w:rsid w:val="00F043BE"/>
    <w:rsid w:val="00F04829"/>
    <w:rsid w:val="00F04834"/>
    <w:rsid w:val="00F05522"/>
    <w:rsid w:val="00F057C6"/>
    <w:rsid w:val="00F05D43"/>
    <w:rsid w:val="00F06287"/>
    <w:rsid w:val="00F06ADE"/>
    <w:rsid w:val="00F06B95"/>
    <w:rsid w:val="00F06D77"/>
    <w:rsid w:val="00F06DF1"/>
    <w:rsid w:val="00F06E7C"/>
    <w:rsid w:val="00F0709F"/>
    <w:rsid w:val="00F07138"/>
    <w:rsid w:val="00F076C5"/>
    <w:rsid w:val="00F078B0"/>
    <w:rsid w:val="00F07CBA"/>
    <w:rsid w:val="00F10021"/>
    <w:rsid w:val="00F106FE"/>
    <w:rsid w:val="00F10B5A"/>
    <w:rsid w:val="00F11291"/>
    <w:rsid w:val="00F11C94"/>
    <w:rsid w:val="00F11CB4"/>
    <w:rsid w:val="00F120F3"/>
    <w:rsid w:val="00F1224F"/>
    <w:rsid w:val="00F1234C"/>
    <w:rsid w:val="00F1274C"/>
    <w:rsid w:val="00F12B48"/>
    <w:rsid w:val="00F1336A"/>
    <w:rsid w:val="00F139D2"/>
    <w:rsid w:val="00F14051"/>
    <w:rsid w:val="00F142E8"/>
    <w:rsid w:val="00F143F7"/>
    <w:rsid w:val="00F14423"/>
    <w:rsid w:val="00F14827"/>
    <w:rsid w:val="00F15874"/>
    <w:rsid w:val="00F15900"/>
    <w:rsid w:val="00F15C5B"/>
    <w:rsid w:val="00F15FDA"/>
    <w:rsid w:val="00F160A8"/>
    <w:rsid w:val="00F163E3"/>
    <w:rsid w:val="00F169B7"/>
    <w:rsid w:val="00F1706F"/>
    <w:rsid w:val="00F17A30"/>
    <w:rsid w:val="00F17A78"/>
    <w:rsid w:val="00F200EF"/>
    <w:rsid w:val="00F20A8C"/>
    <w:rsid w:val="00F20EB8"/>
    <w:rsid w:val="00F2135D"/>
    <w:rsid w:val="00F21677"/>
    <w:rsid w:val="00F21B9D"/>
    <w:rsid w:val="00F21BA2"/>
    <w:rsid w:val="00F21FC3"/>
    <w:rsid w:val="00F220D2"/>
    <w:rsid w:val="00F2226D"/>
    <w:rsid w:val="00F22423"/>
    <w:rsid w:val="00F227EF"/>
    <w:rsid w:val="00F22A8E"/>
    <w:rsid w:val="00F2339C"/>
    <w:rsid w:val="00F233A0"/>
    <w:rsid w:val="00F23460"/>
    <w:rsid w:val="00F238BC"/>
    <w:rsid w:val="00F238F7"/>
    <w:rsid w:val="00F2393C"/>
    <w:rsid w:val="00F23E88"/>
    <w:rsid w:val="00F241E8"/>
    <w:rsid w:val="00F2430D"/>
    <w:rsid w:val="00F24345"/>
    <w:rsid w:val="00F243ED"/>
    <w:rsid w:val="00F24478"/>
    <w:rsid w:val="00F24B5D"/>
    <w:rsid w:val="00F2539E"/>
    <w:rsid w:val="00F25652"/>
    <w:rsid w:val="00F257AB"/>
    <w:rsid w:val="00F25862"/>
    <w:rsid w:val="00F25FF0"/>
    <w:rsid w:val="00F26155"/>
    <w:rsid w:val="00F262ED"/>
    <w:rsid w:val="00F2639D"/>
    <w:rsid w:val="00F265E7"/>
    <w:rsid w:val="00F267BE"/>
    <w:rsid w:val="00F26CA6"/>
    <w:rsid w:val="00F2714D"/>
    <w:rsid w:val="00F271AE"/>
    <w:rsid w:val="00F27B4F"/>
    <w:rsid w:val="00F27C5A"/>
    <w:rsid w:val="00F3015B"/>
    <w:rsid w:val="00F30291"/>
    <w:rsid w:val="00F30B0A"/>
    <w:rsid w:val="00F30D94"/>
    <w:rsid w:val="00F30E8F"/>
    <w:rsid w:val="00F3147D"/>
    <w:rsid w:val="00F31781"/>
    <w:rsid w:val="00F31B41"/>
    <w:rsid w:val="00F31D6E"/>
    <w:rsid w:val="00F31F99"/>
    <w:rsid w:val="00F32000"/>
    <w:rsid w:val="00F320E0"/>
    <w:rsid w:val="00F32794"/>
    <w:rsid w:val="00F32E30"/>
    <w:rsid w:val="00F33740"/>
    <w:rsid w:val="00F33CAA"/>
    <w:rsid w:val="00F33EED"/>
    <w:rsid w:val="00F3407D"/>
    <w:rsid w:val="00F34129"/>
    <w:rsid w:val="00F34396"/>
    <w:rsid w:val="00F34688"/>
    <w:rsid w:val="00F348C6"/>
    <w:rsid w:val="00F34C25"/>
    <w:rsid w:val="00F34FBB"/>
    <w:rsid w:val="00F352E0"/>
    <w:rsid w:val="00F35540"/>
    <w:rsid w:val="00F35651"/>
    <w:rsid w:val="00F356B4"/>
    <w:rsid w:val="00F35DFF"/>
    <w:rsid w:val="00F37434"/>
    <w:rsid w:val="00F377F9"/>
    <w:rsid w:val="00F3788D"/>
    <w:rsid w:val="00F40833"/>
    <w:rsid w:val="00F40B1D"/>
    <w:rsid w:val="00F40BB5"/>
    <w:rsid w:val="00F41198"/>
    <w:rsid w:val="00F41A19"/>
    <w:rsid w:val="00F420AD"/>
    <w:rsid w:val="00F420E8"/>
    <w:rsid w:val="00F4297E"/>
    <w:rsid w:val="00F42EFB"/>
    <w:rsid w:val="00F43204"/>
    <w:rsid w:val="00F4371B"/>
    <w:rsid w:val="00F438D6"/>
    <w:rsid w:val="00F43957"/>
    <w:rsid w:val="00F43AB1"/>
    <w:rsid w:val="00F43C97"/>
    <w:rsid w:val="00F43F44"/>
    <w:rsid w:val="00F443A4"/>
    <w:rsid w:val="00F447A7"/>
    <w:rsid w:val="00F44B3B"/>
    <w:rsid w:val="00F44C64"/>
    <w:rsid w:val="00F44D1C"/>
    <w:rsid w:val="00F44E77"/>
    <w:rsid w:val="00F45C19"/>
    <w:rsid w:val="00F4680E"/>
    <w:rsid w:val="00F501D9"/>
    <w:rsid w:val="00F50477"/>
    <w:rsid w:val="00F5056C"/>
    <w:rsid w:val="00F507EA"/>
    <w:rsid w:val="00F5087C"/>
    <w:rsid w:val="00F50CA3"/>
    <w:rsid w:val="00F513D2"/>
    <w:rsid w:val="00F51477"/>
    <w:rsid w:val="00F5173B"/>
    <w:rsid w:val="00F51866"/>
    <w:rsid w:val="00F51964"/>
    <w:rsid w:val="00F51AEF"/>
    <w:rsid w:val="00F51CEB"/>
    <w:rsid w:val="00F51E5A"/>
    <w:rsid w:val="00F523F7"/>
    <w:rsid w:val="00F528B6"/>
    <w:rsid w:val="00F5291C"/>
    <w:rsid w:val="00F5304B"/>
    <w:rsid w:val="00F53367"/>
    <w:rsid w:val="00F53712"/>
    <w:rsid w:val="00F53857"/>
    <w:rsid w:val="00F53B12"/>
    <w:rsid w:val="00F53F38"/>
    <w:rsid w:val="00F54020"/>
    <w:rsid w:val="00F54068"/>
    <w:rsid w:val="00F541E2"/>
    <w:rsid w:val="00F54343"/>
    <w:rsid w:val="00F545E0"/>
    <w:rsid w:val="00F54BFF"/>
    <w:rsid w:val="00F55670"/>
    <w:rsid w:val="00F5645B"/>
    <w:rsid w:val="00F564ED"/>
    <w:rsid w:val="00F57177"/>
    <w:rsid w:val="00F57426"/>
    <w:rsid w:val="00F57513"/>
    <w:rsid w:val="00F57623"/>
    <w:rsid w:val="00F57770"/>
    <w:rsid w:val="00F578DC"/>
    <w:rsid w:val="00F57BC0"/>
    <w:rsid w:val="00F60071"/>
    <w:rsid w:val="00F6013B"/>
    <w:rsid w:val="00F6060F"/>
    <w:rsid w:val="00F6067E"/>
    <w:rsid w:val="00F608FE"/>
    <w:rsid w:val="00F60B26"/>
    <w:rsid w:val="00F60B52"/>
    <w:rsid w:val="00F613AD"/>
    <w:rsid w:val="00F615F8"/>
    <w:rsid w:val="00F61E50"/>
    <w:rsid w:val="00F620D4"/>
    <w:rsid w:val="00F62E69"/>
    <w:rsid w:val="00F6300B"/>
    <w:rsid w:val="00F63225"/>
    <w:rsid w:val="00F636B4"/>
    <w:rsid w:val="00F63D30"/>
    <w:rsid w:val="00F63E96"/>
    <w:rsid w:val="00F641B8"/>
    <w:rsid w:val="00F643F4"/>
    <w:rsid w:val="00F64710"/>
    <w:rsid w:val="00F64761"/>
    <w:rsid w:val="00F6477E"/>
    <w:rsid w:val="00F652BD"/>
    <w:rsid w:val="00F659DE"/>
    <w:rsid w:val="00F65DA9"/>
    <w:rsid w:val="00F66321"/>
    <w:rsid w:val="00F666A5"/>
    <w:rsid w:val="00F66919"/>
    <w:rsid w:val="00F66B53"/>
    <w:rsid w:val="00F66E4E"/>
    <w:rsid w:val="00F66F66"/>
    <w:rsid w:val="00F67664"/>
    <w:rsid w:val="00F677F0"/>
    <w:rsid w:val="00F67912"/>
    <w:rsid w:val="00F679C2"/>
    <w:rsid w:val="00F67F44"/>
    <w:rsid w:val="00F67FD3"/>
    <w:rsid w:val="00F70160"/>
    <w:rsid w:val="00F7095A"/>
    <w:rsid w:val="00F70B27"/>
    <w:rsid w:val="00F70C3A"/>
    <w:rsid w:val="00F70D38"/>
    <w:rsid w:val="00F70DC2"/>
    <w:rsid w:val="00F70E6B"/>
    <w:rsid w:val="00F70F5A"/>
    <w:rsid w:val="00F716AA"/>
    <w:rsid w:val="00F71BE4"/>
    <w:rsid w:val="00F7223C"/>
    <w:rsid w:val="00F72623"/>
    <w:rsid w:val="00F72790"/>
    <w:rsid w:val="00F72894"/>
    <w:rsid w:val="00F729B8"/>
    <w:rsid w:val="00F72C13"/>
    <w:rsid w:val="00F730B5"/>
    <w:rsid w:val="00F730C0"/>
    <w:rsid w:val="00F730EA"/>
    <w:rsid w:val="00F73147"/>
    <w:rsid w:val="00F73177"/>
    <w:rsid w:val="00F73676"/>
    <w:rsid w:val="00F73E6A"/>
    <w:rsid w:val="00F73F6F"/>
    <w:rsid w:val="00F74795"/>
    <w:rsid w:val="00F747B5"/>
    <w:rsid w:val="00F74873"/>
    <w:rsid w:val="00F74B01"/>
    <w:rsid w:val="00F74DC5"/>
    <w:rsid w:val="00F751D1"/>
    <w:rsid w:val="00F75A25"/>
    <w:rsid w:val="00F75EB3"/>
    <w:rsid w:val="00F766AA"/>
    <w:rsid w:val="00F76BD9"/>
    <w:rsid w:val="00F770A5"/>
    <w:rsid w:val="00F77136"/>
    <w:rsid w:val="00F7713E"/>
    <w:rsid w:val="00F7746D"/>
    <w:rsid w:val="00F777A0"/>
    <w:rsid w:val="00F77A21"/>
    <w:rsid w:val="00F80343"/>
    <w:rsid w:val="00F803CA"/>
    <w:rsid w:val="00F80439"/>
    <w:rsid w:val="00F80F46"/>
    <w:rsid w:val="00F81012"/>
    <w:rsid w:val="00F815BA"/>
    <w:rsid w:val="00F816A0"/>
    <w:rsid w:val="00F816C7"/>
    <w:rsid w:val="00F81767"/>
    <w:rsid w:val="00F81869"/>
    <w:rsid w:val="00F81A14"/>
    <w:rsid w:val="00F81F30"/>
    <w:rsid w:val="00F820C2"/>
    <w:rsid w:val="00F8242A"/>
    <w:rsid w:val="00F82888"/>
    <w:rsid w:val="00F82DB5"/>
    <w:rsid w:val="00F8310C"/>
    <w:rsid w:val="00F83403"/>
    <w:rsid w:val="00F83DFB"/>
    <w:rsid w:val="00F83E91"/>
    <w:rsid w:val="00F8427C"/>
    <w:rsid w:val="00F84574"/>
    <w:rsid w:val="00F84736"/>
    <w:rsid w:val="00F84824"/>
    <w:rsid w:val="00F852D9"/>
    <w:rsid w:val="00F85453"/>
    <w:rsid w:val="00F859DE"/>
    <w:rsid w:val="00F85AA5"/>
    <w:rsid w:val="00F85B38"/>
    <w:rsid w:val="00F8645A"/>
    <w:rsid w:val="00F86933"/>
    <w:rsid w:val="00F86C26"/>
    <w:rsid w:val="00F86EFC"/>
    <w:rsid w:val="00F86F38"/>
    <w:rsid w:val="00F86FF4"/>
    <w:rsid w:val="00F875EA"/>
    <w:rsid w:val="00F87D63"/>
    <w:rsid w:val="00F87D8A"/>
    <w:rsid w:val="00F87E0B"/>
    <w:rsid w:val="00F87F53"/>
    <w:rsid w:val="00F90645"/>
    <w:rsid w:val="00F907DC"/>
    <w:rsid w:val="00F9095D"/>
    <w:rsid w:val="00F9129C"/>
    <w:rsid w:val="00F91386"/>
    <w:rsid w:val="00F926B8"/>
    <w:rsid w:val="00F92CA3"/>
    <w:rsid w:val="00F92D00"/>
    <w:rsid w:val="00F9422B"/>
    <w:rsid w:val="00F94395"/>
    <w:rsid w:val="00F9440C"/>
    <w:rsid w:val="00F9459B"/>
    <w:rsid w:val="00F946D3"/>
    <w:rsid w:val="00F95394"/>
    <w:rsid w:val="00F954B7"/>
    <w:rsid w:val="00F95934"/>
    <w:rsid w:val="00F95F5D"/>
    <w:rsid w:val="00F961B2"/>
    <w:rsid w:val="00F96EE5"/>
    <w:rsid w:val="00F97659"/>
    <w:rsid w:val="00F97D81"/>
    <w:rsid w:val="00FA02ED"/>
    <w:rsid w:val="00FA05B8"/>
    <w:rsid w:val="00FA0A34"/>
    <w:rsid w:val="00FA1124"/>
    <w:rsid w:val="00FA1941"/>
    <w:rsid w:val="00FA1DB4"/>
    <w:rsid w:val="00FA2025"/>
    <w:rsid w:val="00FA2503"/>
    <w:rsid w:val="00FA2D02"/>
    <w:rsid w:val="00FA32CC"/>
    <w:rsid w:val="00FA36C3"/>
    <w:rsid w:val="00FA3C7B"/>
    <w:rsid w:val="00FA44BE"/>
    <w:rsid w:val="00FA4E4B"/>
    <w:rsid w:val="00FA5063"/>
    <w:rsid w:val="00FA54BF"/>
    <w:rsid w:val="00FA5635"/>
    <w:rsid w:val="00FA5BCA"/>
    <w:rsid w:val="00FA64BA"/>
    <w:rsid w:val="00FA758C"/>
    <w:rsid w:val="00FA77C7"/>
    <w:rsid w:val="00FA78E1"/>
    <w:rsid w:val="00FA7925"/>
    <w:rsid w:val="00FA7BA1"/>
    <w:rsid w:val="00FA7C1D"/>
    <w:rsid w:val="00FA7E45"/>
    <w:rsid w:val="00FB0AB7"/>
    <w:rsid w:val="00FB0ABB"/>
    <w:rsid w:val="00FB15C8"/>
    <w:rsid w:val="00FB18DC"/>
    <w:rsid w:val="00FB19A7"/>
    <w:rsid w:val="00FB1FA0"/>
    <w:rsid w:val="00FB2210"/>
    <w:rsid w:val="00FB25AD"/>
    <w:rsid w:val="00FB2626"/>
    <w:rsid w:val="00FB2A6C"/>
    <w:rsid w:val="00FB2C28"/>
    <w:rsid w:val="00FB42D2"/>
    <w:rsid w:val="00FB4C56"/>
    <w:rsid w:val="00FB5FF2"/>
    <w:rsid w:val="00FB6223"/>
    <w:rsid w:val="00FB6327"/>
    <w:rsid w:val="00FB6C84"/>
    <w:rsid w:val="00FB718E"/>
    <w:rsid w:val="00FB72F6"/>
    <w:rsid w:val="00FB73BE"/>
    <w:rsid w:val="00FB78C9"/>
    <w:rsid w:val="00FB7A94"/>
    <w:rsid w:val="00FB7D94"/>
    <w:rsid w:val="00FC0478"/>
    <w:rsid w:val="00FC0528"/>
    <w:rsid w:val="00FC0551"/>
    <w:rsid w:val="00FC0771"/>
    <w:rsid w:val="00FC0D0B"/>
    <w:rsid w:val="00FC0E28"/>
    <w:rsid w:val="00FC10D1"/>
    <w:rsid w:val="00FC1489"/>
    <w:rsid w:val="00FC15A5"/>
    <w:rsid w:val="00FC1B08"/>
    <w:rsid w:val="00FC218E"/>
    <w:rsid w:val="00FC21A1"/>
    <w:rsid w:val="00FC281A"/>
    <w:rsid w:val="00FC2E96"/>
    <w:rsid w:val="00FC379A"/>
    <w:rsid w:val="00FC3A42"/>
    <w:rsid w:val="00FC3D91"/>
    <w:rsid w:val="00FC3DFD"/>
    <w:rsid w:val="00FC40DB"/>
    <w:rsid w:val="00FC410A"/>
    <w:rsid w:val="00FC41B6"/>
    <w:rsid w:val="00FC43A1"/>
    <w:rsid w:val="00FC4520"/>
    <w:rsid w:val="00FC4757"/>
    <w:rsid w:val="00FC4E3A"/>
    <w:rsid w:val="00FC5332"/>
    <w:rsid w:val="00FC58DA"/>
    <w:rsid w:val="00FC5900"/>
    <w:rsid w:val="00FC624C"/>
    <w:rsid w:val="00FC628B"/>
    <w:rsid w:val="00FC654C"/>
    <w:rsid w:val="00FC6589"/>
    <w:rsid w:val="00FC6609"/>
    <w:rsid w:val="00FC69B0"/>
    <w:rsid w:val="00FC6AC8"/>
    <w:rsid w:val="00FC718B"/>
    <w:rsid w:val="00FC73AE"/>
    <w:rsid w:val="00FC757E"/>
    <w:rsid w:val="00FC7947"/>
    <w:rsid w:val="00FC7F77"/>
    <w:rsid w:val="00FC7F8F"/>
    <w:rsid w:val="00FD01B1"/>
    <w:rsid w:val="00FD0935"/>
    <w:rsid w:val="00FD0A3B"/>
    <w:rsid w:val="00FD0C96"/>
    <w:rsid w:val="00FD0D13"/>
    <w:rsid w:val="00FD113C"/>
    <w:rsid w:val="00FD15D9"/>
    <w:rsid w:val="00FD1D24"/>
    <w:rsid w:val="00FD26E4"/>
    <w:rsid w:val="00FD2701"/>
    <w:rsid w:val="00FD28B9"/>
    <w:rsid w:val="00FD28BA"/>
    <w:rsid w:val="00FD2FA3"/>
    <w:rsid w:val="00FD324C"/>
    <w:rsid w:val="00FD3606"/>
    <w:rsid w:val="00FD3C5B"/>
    <w:rsid w:val="00FD3F35"/>
    <w:rsid w:val="00FD48CA"/>
    <w:rsid w:val="00FD4AA6"/>
    <w:rsid w:val="00FD4EBE"/>
    <w:rsid w:val="00FD5050"/>
    <w:rsid w:val="00FD534C"/>
    <w:rsid w:val="00FD5A49"/>
    <w:rsid w:val="00FD5E1B"/>
    <w:rsid w:val="00FD5E8C"/>
    <w:rsid w:val="00FD5F38"/>
    <w:rsid w:val="00FD5FAD"/>
    <w:rsid w:val="00FD6130"/>
    <w:rsid w:val="00FD63C3"/>
    <w:rsid w:val="00FD69FC"/>
    <w:rsid w:val="00FD73FB"/>
    <w:rsid w:val="00FD7487"/>
    <w:rsid w:val="00FD76F4"/>
    <w:rsid w:val="00FD7976"/>
    <w:rsid w:val="00FD7D7D"/>
    <w:rsid w:val="00FE117F"/>
    <w:rsid w:val="00FE165C"/>
    <w:rsid w:val="00FE235A"/>
    <w:rsid w:val="00FE2E5B"/>
    <w:rsid w:val="00FE2FBE"/>
    <w:rsid w:val="00FE3205"/>
    <w:rsid w:val="00FE362B"/>
    <w:rsid w:val="00FE36CF"/>
    <w:rsid w:val="00FE3765"/>
    <w:rsid w:val="00FE3CAB"/>
    <w:rsid w:val="00FE430E"/>
    <w:rsid w:val="00FE4CCC"/>
    <w:rsid w:val="00FE4E07"/>
    <w:rsid w:val="00FE4E08"/>
    <w:rsid w:val="00FE4FF2"/>
    <w:rsid w:val="00FE54AE"/>
    <w:rsid w:val="00FE54FF"/>
    <w:rsid w:val="00FE60A2"/>
    <w:rsid w:val="00FE618F"/>
    <w:rsid w:val="00FE6359"/>
    <w:rsid w:val="00FE681D"/>
    <w:rsid w:val="00FE698C"/>
    <w:rsid w:val="00FE6AAC"/>
    <w:rsid w:val="00FE7368"/>
    <w:rsid w:val="00FE7482"/>
    <w:rsid w:val="00FE7BDF"/>
    <w:rsid w:val="00FE7E84"/>
    <w:rsid w:val="00FF0378"/>
    <w:rsid w:val="00FF064B"/>
    <w:rsid w:val="00FF1179"/>
    <w:rsid w:val="00FF15FD"/>
    <w:rsid w:val="00FF18A6"/>
    <w:rsid w:val="00FF2029"/>
    <w:rsid w:val="00FF26CF"/>
    <w:rsid w:val="00FF2724"/>
    <w:rsid w:val="00FF2EEB"/>
    <w:rsid w:val="00FF3465"/>
    <w:rsid w:val="00FF3859"/>
    <w:rsid w:val="00FF3C23"/>
    <w:rsid w:val="00FF3E4C"/>
    <w:rsid w:val="00FF4208"/>
    <w:rsid w:val="00FF4B89"/>
    <w:rsid w:val="00FF5035"/>
    <w:rsid w:val="00FF5064"/>
    <w:rsid w:val="00FF5752"/>
    <w:rsid w:val="00FF5AC0"/>
    <w:rsid w:val="00FF65BD"/>
    <w:rsid w:val="00FF6AD4"/>
    <w:rsid w:val="00FF6EEE"/>
    <w:rsid w:val="00FF707A"/>
    <w:rsid w:val="00FF7A3D"/>
    <w:rsid w:val="00FF7AFA"/>
    <w:rsid w:val="00FF7E11"/>
    <w:rsid w:val="00FF7E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5BB2DA1C"/>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62F"/>
    <w:pPr>
      <w:spacing w:before="60" w:after="60" w:line="260" w:lineRule="exact"/>
    </w:pPr>
    <w:rPr>
      <w:rFonts w:ascii="Trebuchet MS" w:hAnsi="Trebuchet MS" w:cs="Times New Roman"/>
      <w:sz w:val="18"/>
      <w:lang w:eastAsia="en-GB"/>
    </w:rPr>
  </w:style>
  <w:style w:type="paragraph" w:styleId="Heading1">
    <w:name w:val="heading 1"/>
    <w:basedOn w:val="Normal"/>
    <w:next w:val="Normal"/>
    <w:link w:val="Heading1Char"/>
    <w:uiPriority w:val="1"/>
    <w:qFormat/>
    <w:rsid w:val="007B2353"/>
    <w:pPr>
      <w:keepNext/>
      <w:keepLines/>
      <w:numPr>
        <w:numId w:val="2"/>
      </w:numPr>
      <w:spacing w:before="240"/>
      <w:ind w:left="709" w:hanging="709"/>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unhideWhenUsed/>
    <w:qFormat/>
    <w:rsid w:val="007B2353"/>
    <w:pPr>
      <w:keepNext/>
      <w:keepLines/>
      <w:numPr>
        <w:ilvl w:val="1"/>
        <w:numId w:val="2"/>
      </w:numPr>
      <w:spacing w:before="120"/>
      <w:ind w:left="709" w:hanging="709"/>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B5179D"/>
    <w:pPr>
      <w:keepNext/>
      <w:keepLines/>
      <w:numPr>
        <w:ilvl w:val="2"/>
        <w:numId w:val="2"/>
      </w:numPr>
      <w:spacing w:before="120"/>
      <w:outlineLvl w:val="2"/>
    </w:pPr>
    <w:rPr>
      <w:rFonts w:asciiTheme="majorHAnsi" w:eastAsiaTheme="majorEastAsia" w:hAnsiTheme="majorHAnsi" w:cstheme="majorBidi"/>
      <w:color w:val="1F3763" w:themeColor="accent1" w:themeShade="7F"/>
      <w:sz w:val="22"/>
      <w:szCs w:val="22"/>
    </w:rPr>
  </w:style>
  <w:style w:type="paragraph" w:styleId="Heading4">
    <w:name w:val="heading 4"/>
    <w:basedOn w:val="Normal"/>
    <w:next w:val="Normal"/>
    <w:link w:val="Heading4Char"/>
    <w:uiPriority w:val="9"/>
    <w:unhideWhenUsed/>
    <w:qFormat/>
    <w:rsid w:val="00C17D56"/>
    <w:pPr>
      <w:keepNext/>
      <w:keepLines/>
      <w:spacing w:before="40"/>
      <w:outlineLvl w:val="3"/>
    </w:pPr>
    <w:rPr>
      <w:rFonts w:asciiTheme="majorHAnsi" w:eastAsiaTheme="majorEastAsia" w:hAnsiTheme="majorHAnsi" w:cstheme="majorBidi"/>
      <w:b/>
      <w:i/>
      <w:iCs/>
      <w:color w:val="2F5496" w:themeColor="accent1" w:themeShade="BF"/>
      <w:sz w:val="21"/>
      <w:szCs w:val="21"/>
    </w:rPr>
  </w:style>
  <w:style w:type="paragraph" w:styleId="Heading5">
    <w:name w:val="heading 5"/>
    <w:basedOn w:val="Normal"/>
    <w:next w:val="Normal"/>
    <w:link w:val="Heading5Char"/>
    <w:uiPriority w:val="9"/>
    <w:unhideWhenUsed/>
    <w:qFormat/>
    <w:rsid w:val="007B235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0E6C5B"/>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7B2353"/>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qFormat/>
    <w:rsid w:val="00187EE6"/>
    <w:pPr>
      <w:keepNext/>
      <w:numPr>
        <w:ilvl w:val="7"/>
        <w:numId w:val="2"/>
      </w:numPr>
      <w:spacing w:before="40" w:after="40" w:line="280" w:lineRule="exact"/>
      <w:jc w:val="center"/>
      <w:outlineLvl w:val="7"/>
    </w:pPr>
    <w:rPr>
      <w:rFonts w:ascii="Century Gothic" w:eastAsia="Times New Roman" w:hAnsi="Century Gothic"/>
      <w:b/>
      <w:lang w:val="en-AU"/>
    </w:rPr>
  </w:style>
  <w:style w:type="paragraph" w:styleId="Heading9">
    <w:name w:val="heading 9"/>
    <w:basedOn w:val="Normal"/>
    <w:next w:val="Normal"/>
    <w:link w:val="Heading9Char"/>
    <w:uiPriority w:val="99"/>
    <w:qFormat/>
    <w:rsid w:val="00187EE6"/>
    <w:pPr>
      <w:keepNext/>
      <w:numPr>
        <w:ilvl w:val="8"/>
        <w:numId w:val="2"/>
      </w:numPr>
      <w:spacing w:before="40" w:after="40" w:line="280" w:lineRule="exact"/>
      <w:jc w:val="center"/>
      <w:outlineLvl w:val="8"/>
    </w:pPr>
    <w:rPr>
      <w:rFonts w:ascii="Century Gothic" w:eastAsia="Times New Roman" w:hAnsi="Century Gothic"/>
      <w:b/>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105BBD"/>
    <w:pPr>
      <w:ind w:left="720"/>
      <w:contextualSpacing/>
    </w:pPr>
    <w:rPr>
      <w:rFonts w:eastAsia="Times New Roman"/>
      <w:lang w:val="en-AU"/>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link w:val="ListParagraph"/>
    <w:uiPriority w:val="34"/>
    <w:locked/>
    <w:rsid w:val="00105BBD"/>
    <w:rPr>
      <w:rFonts w:ascii="Times New Roman" w:eastAsia="Times New Roman" w:hAnsi="Times New Roman" w:cs="Times New Roman"/>
      <w:lang w:val="en-AU"/>
    </w:rPr>
  </w:style>
  <w:style w:type="character" w:customStyle="1" w:styleId="Heading1Char">
    <w:name w:val="Heading 1 Char"/>
    <w:basedOn w:val="DefaultParagraphFont"/>
    <w:link w:val="Heading1"/>
    <w:uiPriority w:val="1"/>
    <w:rsid w:val="007B2353"/>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1"/>
    <w:rsid w:val="007B2353"/>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1"/>
    <w:rsid w:val="001E11E2"/>
    <w:rPr>
      <w:rFonts w:asciiTheme="majorHAnsi" w:eastAsiaTheme="majorEastAsia" w:hAnsiTheme="majorHAnsi" w:cstheme="majorBidi"/>
      <w:color w:val="1F3763" w:themeColor="accent1" w:themeShade="7F"/>
      <w:sz w:val="22"/>
      <w:szCs w:val="22"/>
      <w:lang w:eastAsia="en-GB"/>
    </w:rPr>
  </w:style>
  <w:style w:type="paragraph" w:styleId="Title">
    <w:name w:val="Title"/>
    <w:basedOn w:val="Normal"/>
    <w:link w:val="TitleChar"/>
    <w:uiPriority w:val="99"/>
    <w:qFormat/>
    <w:rsid w:val="0071353E"/>
    <w:pPr>
      <w:spacing w:before="3720" w:after="480" w:line="360" w:lineRule="auto"/>
      <w:jc w:val="center"/>
      <w:outlineLvl w:val="0"/>
    </w:pPr>
    <w:rPr>
      <w:rFonts w:ascii="Century Gothic" w:eastAsia="Times New Roman" w:hAnsi="Century Gothic" w:cs="Arial"/>
      <w:b/>
      <w:bCs/>
      <w:kern w:val="28"/>
      <w:sz w:val="32"/>
      <w:szCs w:val="32"/>
      <w:lang w:val="en-AU"/>
    </w:rPr>
  </w:style>
  <w:style w:type="character" w:customStyle="1" w:styleId="TitleChar">
    <w:name w:val="Title Char"/>
    <w:basedOn w:val="DefaultParagraphFont"/>
    <w:link w:val="Title"/>
    <w:uiPriority w:val="99"/>
    <w:rsid w:val="0071353E"/>
    <w:rPr>
      <w:rFonts w:ascii="Century Gothic" w:eastAsia="Times New Roman" w:hAnsi="Century Gothic" w:cs="Arial"/>
      <w:b/>
      <w:bCs/>
      <w:kern w:val="28"/>
      <w:sz w:val="32"/>
      <w:szCs w:val="32"/>
      <w:lang w:val="en-AU"/>
    </w:rPr>
  </w:style>
  <w:style w:type="character" w:customStyle="1" w:styleId="SubtitleChar">
    <w:name w:val="Subtitle Char"/>
    <w:link w:val="Subtitle"/>
    <w:uiPriority w:val="99"/>
    <w:rsid w:val="0071353E"/>
    <w:rPr>
      <w:rFonts w:ascii="Century Gothic" w:hAnsi="Century Gothic" w:cs="Times New Roman"/>
      <w:iCs/>
      <w:spacing w:val="15"/>
      <w:sz w:val="28"/>
      <w:lang w:eastAsia="en-AU"/>
    </w:rPr>
  </w:style>
  <w:style w:type="paragraph" w:styleId="Subtitle">
    <w:name w:val="Subtitle"/>
    <w:basedOn w:val="Normal"/>
    <w:next w:val="Normal"/>
    <w:link w:val="SubtitleChar"/>
    <w:uiPriority w:val="99"/>
    <w:qFormat/>
    <w:rsid w:val="0071353E"/>
    <w:pPr>
      <w:spacing w:after="200" w:line="276" w:lineRule="auto"/>
      <w:jc w:val="center"/>
    </w:pPr>
    <w:rPr>
      <w:rFonts w:ascii="Century Gothic" w:hAnsi="Century Gothic"/>
      <w:iCs/>
      <w:spacing w:val="15"/>
      <w:sz w:val="28"/>
      <w:lang w:eastAsia="en-AU"/>
    </w:rPr>
  </w:style>
  <w:style w:type="character" w:customStyle="1" w:styleId="SubtitleChar1">
    <w:name w:val="Subtitle Char1"/>
    <w:basedOn w:val="DefaultParagraphFont"/>
    <w:uiPriority w:val="11"/>
    <w:rsid w:val="0071353E"/>
    <w:rPr>
      <w:rFonts w:eastAsiaTheme="minorEastAsia"/>
      <w:color w:val="5A5A5A" w:themeColor="text1" w:themeTint="A5"/>
      <w:spacing w:val="15"/>
      <w:sz w:val="22"/>
      <w:szCs w:val="22"/>
    </w:rPr>
  </w:style>
  <w:style w:type="paragraph" w:styleId="TOC1">
    <w:name w:val="toc 1"/>
    <w:basedOn w:val="Normal"/>
    <w:next w:val="Normal"/>
    <w:autoRedefine/>
    <w:uiPriority w:val="39"/>
    <w:unhideWhenUsed/>
    <w:qFormat/>
    <w:rsid w:val="00C8515B"/>
    <w:pPr>
      <w:keepNext/>
      <w:tabs>
        <w:tab w:val="right" w:leader="dot" w:pos="9010"/>
      </w:tabs>
      <w:ind w:left="284" w:hanging="284"/>
    </w:pPr>
    <w:rPr>
      <w:b/>
      <w:noProof/>
      <w:color w:val="4472C4" w:themeColor="accent1"/>
      <w:lang w:val="en-AU"/>
    </w:rPr>
  </w:style>
  <w:style w:type="paragraph" w:styleId="TOC2">
    <w:name w:val="toc 2"/>
    <w:basedOn w:val="Normal"/>
    <w:next w:val="Normal"/>
    <w:autoRedefine/>
    <w:uiPriority w:val="39"/>
    <w:unhideWhenUsed/>
    <w:qFormat/>
    <w:rsid w:val="004D6048"/>
    <w:pPr>
      <w:tabs>
        <w:tab w:val="right" w:leader="dot" w:pos="9010"/>
      </w:tabs>
      <w:ind w:left="709" w:hanging="425"/>
    </w:pPr>
    <w:rPr>
      <w:noProof/>
      <w:lang w:val="en-AU"/>
    </w:rPr>
  </w:style>
  <w:style w:type="paragraph" w:styleId="TOC3">
    <w:name w:val="toc 3"/>
    <w:basedOn w:val="Normal"/>
    <w:next w:val="Normal"/>
    <w:autoRedefine/>
    <w:uiPriority w:val="39"/>
    <w:unhideWhenUsed/>
    <w:rsid w:val="005E09B6"/>
    <w:pPr>
      <w:tabs>
        <w:tab w:val="right" w:leader="dot" w:pos="9010"/>
      </w:tabs>
      <w:ind w:left="1418" w:hanging="709"/>
    </w:pPr>
    <w:rPr>
      <w:noProof/>
      <w:lang w:val="en-AU"/>
    </w:rPr>
  </w:style>
  <w:style w:type="paragraph" w:styleId="TOC4">
    <w:name w:val="toc 4"/>
    <w:basedOn w:val="Normal"/>
    <w:next w:val="Normal"/>
    <w:autoRedefine/>
    <w:uiPriority w:val="39"/>
    <w:unhideWhenUsed/>
    <w:rsid w:val="00C8515B"/>
    <w:pPr>
      <w:tabs>
        <w:tab w:val="right" w:leader="dot" w:pos="9010"/>
      </w:tabs>
      <w:ind w:left="1134" w:hanging="1134"/>
    </w:pPr>
    <w:rPr>
      <w:noProof/>
      <w:lang w:val="en-AU"/>
    </w:rPr>
  </w:style>
  <w:style w:type="paragraph" w:styleId="TOC5">
    <w:name w:val="toc 5"/>
    <w:basedOn w:val="Normal"/>
    <w:next w:val="Normal"/>
    <w:autoRedefine/>
    <w:uiPriority w:val="39"/>
    <w:unhideWhenUsed/>
    <w:rsid w:val="005E09B6"/>
    <w:pPr>
      <w:tabs>
        <w:tab w:val="right" w:leader="dot" w:pos="9010"/>
      </w:tabs>
      <w:ind w:left="1418"/>
    </w:pPr>
    <w:rPr>
      <w:i/>
      <w:noProof/>
    </w:rPr>
  </w:style>
  <w:style w:type="paragraph" w:styleId="TOC6">
    <w:name w:val="toc 6"/>
    <w:basedOn w:val="Normal"/>
    <w:next w:val="Normal"/>
    <w:autoRedefine/>
    <w:uiPriority w:val="39"/>
    <w:unhideWhenUsed/>
    <w:rsid w:val="002D04CE"/>
    <w:pPr>
      <w:ind w:left="1200"/>
    </w:pPr>
  </w:style>
  <w:style w:type="paragraph" w:styleId="TOC7">
    <w:name w:val="toc 7"/>
    <w:basedOn w:val="Normal"/>
    <w:next w:val="Normal"/>
    <w:autoRedefine/>
    <w:uiPriority w:val="39"/>
    <w:unhideWhenUsed/>
    <w:rsid w:val="002D04CE"/>
    <w:pPr>
      <w:ind w:left="1440"/>
    </w:pPr>
  </w:style>
  <w:style w:type="paragraph" w:styleId="TOC8">
    <w:name w:val="toc 8"/>
    <w:basedOn w:val="Normal"/>
    <w:next w:val="Normal"/>
    <w:autoRedefine/>
    <w:uiPriority w:val="39"/>
    <w:unhideWhenUsed/>
    <w:rsid w:val="002D04CE"/>
    <w:pPr>
      <w:ind w:left="1680"/>
    </w:pPr>
  </w:style>
  <w:style w:type="paragraph" w:styleId="TOC9">
    <w:name w:val="toc 9"/>
    <w:basedOn w:val="Normal"/>
    <w:next w:val="Normal"/>
    <w:autoRedefine/>
    <w:uiPriority w:val="39"/>
    <w:unhideWhenUsed/>
    <w:rsid w:val="002D04CE"/>
    <w:pPr>
      <w:ind w:left="1920"/>
    </w:pPr>
  </w:style>
  <w:style w:type="table" w:styleId="TableGrid">
    <w:name w:val="Table Grid"/>
    <w:basedOn w:val="TableNormal"/>
    <w:uiPriority w:val="39"/>
    <w:rsid w:val="00A629D5"/>
    <w:pPr>
      <w:spacing w:before="60" w:after="60" w:line="260" w:lineRule="exact"/>
    </w:pPr>
    <w:rPr>
      <w:rFonts w:ascii="Times New Roman" w:eastAsia="Times New Roman" w:hAnsi="Times New Roman" w:cs="Times New Roman"/>
      <w:lang w:val="en-AU"/>
    </w:rPr>
    <w:tblPr>
      <w:tblBorders>
        <w:top w:val="single" w:sz="4" w:space="0" w:color="3B3474"/>
        <w:bottom w:val="single" w:sz="4" w:space="0" w:color="3B3474"/>
        <w:insideH w:val="single" w:sz="4" w:space="0" w:color="3B3474"/>
      </w:tblBorders>
    </w:tblPr>
  </w:style>
  <w:style w:type="paragraph" w:customStyle="1" w:styleId="EndNoteBibliographyTitle">
    <w:name w:val="EndNote Bibliography Title"/>
    <w:basedOn w:val="Normal"/>
    <w:rsid w:val="00A629D5"/>
    <w:pPr>
      <w:jc w:val="center"/>
    </w:pPr>
    <w:rPr>
      <w:rFonts w:ascii="Al Bayan" w:hAnsi="Al Bayan" w:cs="Al Bayan"/>
      <w:sz w:val="26"/>
      <w:lang w:val="en-US"/>
    </w:rPr>
  </w:style>
  <w:style w:type="paragraph" w:customStyle="1" w:styleId="EndNoteBibliography">
    <w:name w:val="EndNote Bibliography"/>
    <w:basedOn w:val="Normal"/>
    <w:rsid w:val="00815EDA"/>
    <w:pPr>
      <w:keepLines/>
      <w:spacing w:line="240" w:lineRule="auto"/>
      <w:ind w:left="720" w:hanging="720"/>
    </w:pPr>
    <w:rPr>
      <w:rFonts w:ascii="Al Bayan" w:hAnsi="Al Bayan" w:cs="Al Bayan"/>
      <w:sz w:val="26"/>
      <w:lang w:val="en-US"/>
    </w:rPr>
  </w:style>
  <w:style w:type="paragraph" w:customStyle="1" w:styleId="p1">
    <w:name w:val="p1"/>
    <w:basedOn w:val="Normal"/>
    <w:rsid w:val="00A629D5"/>
    <w:rPr>
      <w:rFonts w:ascii="Helvetica" w:hAnsi="Helvetica"/>
      <w:sz w:val="14"/>
      <w:szCs w:val="14"/>
    </w:rPr>
  </w:style>
  <w:style w:type="paragraph" w:customStyle="1" w:styleId="Tablecell">
    <w:name w:val="Table cell"/>
    <w:basedOn w:val="Normal"/>
    <w:link w:val="TablecellChar"/>
    <w:uiPriority w:val="99"/>
    <w:rsid w:val="00A629D5"/>
    <w:pPr>
      <w:keepLines/>
      <w:spacing w:before="40" w:after="40"/>
    </w:pPr>
    <w:rPr>
      <w:rFonts w:eastAsia="Times New Roman"/>
      <w:lang w:val="en-AU"/>
    </w:rPr>
  </w:style>
  <w:style w:type="character" w:customStyle="1" w:styleId="TablecellChar">
    <w:name w:val="Table cell Char"/>
    <w:basedOn w:val="DefaultParagraphFont"/>
    <w:link w:val="Tablecell"/>
    <w:uiPriority w:val="99"/>
    <w:locked/>
    <w:rsid w:val="00A629D5"/>
    <w:rPr>
      <w:rFonts w:ascii="Century Gothic" w:eastAsia="Times New Roman" w:hAnsi="Century Gothic" w:cs="Times New Roman"/>
      <w:sz w:val="18"/>
      <w:lang w:val="en-AU"/>
    </w:rPr>
  </w:style>
  <w:style w:type="paragraph" w:customStyle="1" w:styleId="bullet">
    <w:name w:val="bullet"/>
    <w:basedOn w:val="Normal"/>
    <w:link w:val="bulletChar"/>
    <w:qFormat/>
    <w:rsid w:val="00E628C2"/>
    <w:pPr>
      <w:keepLines/>
      <w:numPr>
        <w:numId w:val="1"/>
      </w:numPr>
    </w:pPr>
    <w:rPr>
      <w:rFonts w:eastAsia="MS Mincho" w:cs="Helvetica"/>
      <w:szCs w:val="26"/>
      <w:lang w:val="en-US"/>
    </w:rPr>
  </w:style>
  <w:style w:type="character" w:customStyle="1" w:styleId="bulletChar">
    <w:name w:val="bullet Char"/>
    <w:basedOn w:val="DefaultParagraphFont"/>
    <w:link w:val="bullet"/>
    <w:locked/>
    <w:rsid w:val="00E628C2"/>
    <w:rPr>
      <w:rFonts w:ascii="Trebuchet MS" w:eastAsia="MS Mincho" w:hAnsi="Trebuchet MS" w:cs="Helvetica"/>
      <w:sz w:val="18"/>
      <w:szCs w:val="26"/>
      <w:lang w:val="en-US" w:eastAsia="en-GB"/>
    </w:rPr>
  </w:style>
  <w:style w:type="character" w:customStyle="1" w:styleId="textref">
    <w:name w:val="textref"/>
    <w:basedOn w:val="DefaultParagraphFont"/>
    <w:uiPriority w:val="99"/>
    <w:rsid w:val="00E628C2"/>
    <w:rPr>
      <w:rFonts w:eastAsiaTheme="minorHAnsi"/>
      <w:sz w:val="16"/>
    </w:rPr>
  </w:style>
  <w:style w:type="character" w:styleId="Emphasis">
    <w:name w:val="Emphasis"/>
    <w:basedOn w:val="DefaultParagraphFont"/>
    <w:uiPriority w:val="20"/>
    <w:qFormat/>
    <w:rsid w:val="00E628C2"/>
    <w:rPr>
      <w:i/>
      <w:iCs/>
    </w:rPr>
  </w:style>
  <w:style w:type="character" w:customStyle="1" w:styleId="Heading4Char">
    <w:name w:val="Heading 4 Char"/>
    <w:basedOn w:val="DefaultParagraphFont"/>
    <w:link w:val="Heading4"/>
    <w:uiPriority w:val="9"/>
    <w:rsid w:val="00C17D56"/>
    <w:rPr>
      <w:rFonts w:asciiTheme="majorHAnsi" w:eastAsiaTheme="majorEastAsia" w:hAnsiTheme="majorHAnsi" w:cstheme="majorBidi"/>
      <w:b/>
      <w:i/>
      <w:iCs/>
      <w:color w:val="2F5496" w:themeColor="accent1" w:themeShade="BF"/>
      <w:sz w:val="21"/>
      <w:szCs w:val="21"/>
      <w:lang w:eastAsia="en-GB"/>
    </w:rPr>
  </w:style>
  <w:style w:type="character" w:customStyle="1" w:styleId="Heading8Char">
    <w:name w:val="Heading 8 Char"/>
    <w:basedOn w:val="DefaultParagraphFont"/>
    <w:link w:val="Heading8"/>
    <w:uiPriority w:val="99"/>
    <w:rsid w:val="00187EE6"/>
    <w:rPr>
      <w:rFonts w:ascii="Century Gothic" w:eastAsia="Times New Roman" w:hAnsi="Century Gothic" w:cs="Times New Roman"/>
      <w:b/>
      <w:sz w:val="18"/>
      <w:lang w:val="en-AU" w:eastAsia="en-GB"/>
    </w:rPr>
  </w:style>
  <w:style w:type="character" w:customStyle="1" w:styleId="Heading9Char">
    <w:name w:val="Heading 9 Char"/>
    <w:basedOn w:val="DefaultParagraphFont"/>
    <w:link w:val="Heading9"/>
    <w:uiPriority w:val="99"/>
    <w:rsid w:val="00187EE6"/>
    <w:rPr>
      <w:rFonts w:ascii="Century Gothic" w:eastAsia="Times New Roman" w:hAnsi="Century Gothic" w:cs="Times New Roman"/>
      <w:b/>
      <w:sz w:val="18"/>
      <w:lang w:val="en-AU" w:eastAsia="en-GB"/>
    </w:rPr>
  </w:style>
  <w:style w:type="character" w:customStyle="1" w:styleId="Heading5Char">
    <w:name w:val="Heading 5 Char"/>
    <w:basedOn w:val="DefaultParagraphFont"/>
    <w:link w:val="Heading5"/>
    <w:uiPriority w:val="9"/>
    <w:rsid w:val="007B2353"/>
    <w:rPr>
      <w:rFonts w:asciiTheme="majorHAnsi" w:eastAsiaTheme="majorEastAsia" w:hAnsiTheme="majorHAnsi" w:cstheme="majorBidi"/>
      <w:color w:val="2F5496" w:themeColor="accent1" w:themeShade="BF"/>
      <w:sz w:val="18"/>
    </w:rPr>
  </w:style>
  <w:style w:type="paragraph" w:styleId="NormalWeb">
    <w:name w:val="Normal (Web)"/>
    <w:basedOn w:val="Normal"/>
    <w:uiPriority w:val="99"/>
    <w:unhideWhenUsed/>
    <w:rsid w:val="00FC15A5"/>
    <w:pPr>
      <w:spacing w:before="100" w:beforeAutospacing="1" w:after="100" w:afterAutospacing="1"/>
    </w:pPr>
  </w:style>
  <w:style w:type="paragraph" w:customStyle="1" w:styleId="details">
    <w:name w:val="details"/>
    <w:basedOn w:val="Normal"/>
    <w:rsid w:val="00A3490D"/>
    <w:pPr>
      <w:spacing w:before="100" w:beforeAutospacing="1" w:after="100" w:afterAutospacing="1"/>
    </w:pPr>
    <w:rPr>
      <w:rFonts w:eastAsia="Times New Roman"/>
      <w:lang w:val="en-AU" w:eastAsia="en-AU"/>
    </w:rPr>
  </w:style>
  <w:style w:type="character" w:customStyle="1" w:styleId="Heading6Char">
    <w:name w:val="Heading 6 Char"/>
    <w:basedOn w:val="DefaultParagraphFont"/>
    <w:link w:val="Heading6"/>
    <w:uiPriority w:val="9"/>
    <w:rsid w:val="000E6C5B"/>
    <w:rPr>
      <w:rFonts w:asciiTheme="majorHAnsi" w:eastAsiaTheme="majorEastAsia" w:hAnsiTheme="majorHAnsi" w:cstheme="majorBidi"/>
      <w:color w:val="1F3763" w:themeColor="accent1" w:themeShade="7F"/>
      <w:sz w:val="18"/>
      <w:lang w:eastAsia="en-GB"/>
    </w:rPr>
  </w:style>
  <w:style w:type="character" w:customStyle="1" w:styleId="Heading7Char">
    <w:name w:val="Heading 7 Char"/>
    <w:basedOn w:val="DefaultParagraphFont"/>
    <w:link w:val="Heading7"/>
    <w:uiPriority w:val="9"/>
    <w:rsid w:val="007B2353"/>
    <w:rPr>
      <w:rFonts w:asciiTheme="majorHAnsi" w:eastAsiaTheme="majorEastAsia" w:hAnsiTheme="majorHAnsi" w:cstheme="majorBidi"/>
      <w:i/>
      <w:iCs/>
      <w:color w:val="1F3763" w:themeColor="accent1" w:themeShade="7F"/>
      <w:sz w:val="18"/>
      <w:lang w:eastAsia="en-GB"/>
    </w:rPr>
  </w:style>
  <w:style w:type="paragraph" w:customStyle="1" w:styleId="p2">
    <w:name w:val="p2"/>
    <w:basedOn w:val="Normal"/>
    <w:rsid w:val="00645577"/>
    <w:pPr>
      <w:spacing w:after="120" w:line="182" w:lineRule="atLeast"/>
      <w:jc w:val="both"/>
    </w:pPr>
    <w:rPr>
      <w:rFonts w:ascii="Times" w:hAnsi="Times"/>
      <w:sz w:val="17"/>
      <w:szCs w:val="17"/>
    </w:rPr>
  </w:style>
  <w:style w:type="paragraph" w:customStyle="1" w:styleId="p3">
    <w:name w:val="p3"/>
    <w:basedOn w:val="Normal"/>
    <w:rsid w:val="00645577"/>
    <w:pPr>
      <w:spacing w:after="14"/>
    </w:pPr>
    <w:rPr>
      <w:rFonts w:ascii="Times" w:hAnsi="Times"/>
      <w:sz w:val="17"/>
      <w:szCs w:val="17"/>
    </w:rPr>
  </w:style>
  <w:style w:type="paragraph" w:customStyle="1" w:styleId="p4">
    <w:name w:val="p4"/>
    <w:basedOn w:val="Normal"/>
    <w:rsid w:val="00645577"/>
    <w:rPr>
      <w:rFonts w:ascii="Times" w:hAnsi="Times"/>
      <w:sz w:val="17"/>
      <w:szCs w:val="17"/>
    </w:rPr>
  </w:style>
  <w:style w:type="paragraph" w:customStyle="1" w:styleId="p5">
    <w:name w:val="p5"/>
    <w:basedOn w:val="Normal"/>
    <w:rsid w:val="00645577"/>
    <w:rPr>
      <w:rFonts w:ascii="Times" w:hAnsi="Times"/>
      <w:sz w:val="17"/>
      <w:szCs w:val="17"/>
    </w:rPr>
  </w:style>
  <w:style w:type="character" w:customStyle="1" w:styleId="s2">
    <w:name w:val="s2"/>
    <w:basedOn w:val="DefaultParagraphFont"/>
    <w:rsid w:val="00645577"/>
    <w:rPr>
      <w:rFonts w:ascii="Times" w:hAnsi="Times" w:hint="default"/>
      <w:sz w:val="11"/>
      <w:szCs w:val="11"/>
    </w:rPr>
  </w:style>
  <w:style w:type="character" w:customStyle="1" w:styleId="apple-converted-space">
    <w:name w:val="apple-converted-space"/>
    <w:basedOn w:val="DefaultParagraphFont"/>
    <w:rsid w:val="00645577"/>
  </w:style>
  <w:style w:type="paragraph" w:customStyle="1" w:styleId="Sub-bullet">
    <w:name w:val="Sub-bullet"/>
    <w:basedOn w:val="Normal"/>
    <w:rsid w:val="00C71745"/>
    <w:pPr>
      <w:numPr>
        <w:numId w:val="3"/>
      </w:numPr>
      <w:ind w:left="709" w:hanging="345"/>
    </w:pPr>
  </w:style>
  <w:style w:type="paragraph" w:customStyle="1" w:styleId="subbullet">
    <w:name w:val="subbullet"/>
    <w:basedOn w:val="Normal"/>
    <w:uiPriority w:val="99"/>
    <w:qFormat/>
    <w:rsid w:val="00C71745"/>
    <w:pPr>
      <w:numPr>
        <w:numId w:val="6"/>
      </w:numPr>
    </w:pPr>
  </w:style>
  <w:style w:type="character" w:styleId="Hyperlink">
    <w:name w:val="Hyperlink"/>
    <w:basedOn w:val="DefaultParagraphFont"/>
    <w:uiPriority w:val="99"/>
    <w:semiHidden/>
    <w:unhideWhenUsed/>
    <w:rsid w:val="00663087"/>
    <w:rPr>
      <w:color w:val="0000FF"/>
      <w:u w:val="single"/>
    </w:rPr>
  </w:style>
  <w:style w:type="paragraph" w:styleId="BodyText">
    <w:name w:val="Body Text"/>
    <w:basedOn w:val="Normal"/>
    <w:link w:val="BodyTextChar"/>
    <w:uiPriority w:val="1"/>
    <w:unhideWhenUsed/>
    <w:qFormat/>
    <w:rsid w:val="00922A09"/>
    <w:pPr>
      <w:spacing w:before="120" w:after="120" w:line="259" w:lineRule="auto"/>
    </w:pPr>
    <w:rPr>
      <w:rFonts w:asciiTheme="minorHAnsi" w:eastAsiaTheme="minorEastAsia" w:hAnsiTheme="minorHAnsi"/>
      <w:sz w:val="22"/>
      <w:szCs w:val="22"/>
      <w:lang w:val="en-US" w:eastAsia="ja-JP"/>
    </w:rPr>
  </w:style>
  <w:style w:type="character" w:customStyle="1" w:styleId="BodyTextChar">
    <w:name w:val="Body Text Char"/>
    <w:basedOn w:val="DefaultParagraphFont"/>
    <w:link w:val="BodyText"/>
    <w:uiPriority w:val="1"/>
    <w:rsid w:val="00922A09"/>
    <w:rPr>
      <w:rFonts w:eastAsiaTheme="minorEastAsia"/>
      <w:sz w:val="22"/>
      <w:szCs w:val="22"/>
      <w:lang w:val="en-US" w:eastAsia="ja-JP"/>
    </w:rPr>
  </w:style>
  <w:style w:type="paragraph" w:customStyle="1" w:styleId="Bulletpointsecondlevel">
    <w:name w:val="Bullet point second level"/>
    <w:basedOn w:val="ListParagraph"/>
    <w:qFormat/>
    <w:rsid w:val="00922A09"/>
    <w:pPr>
      <w:spacing w:after="0" w:line="259" w:lineRule="auto"/>
      <w:ind w:left="1440" w:hanging="360"/>
      <w:contextualSpacing w:val="0"/>
    </w:pPr>
    <w:rPr>
      <w:rFonts w:asciiTheme="minorHAnsi" w:eastAsiaTheme="minorEastAsia" w:hAnsiTheme="minorHAnsi" w:cstheme="minorBidi"/>
      <w:sz w:val="22"/>
      <w:szCs w:val="22"/>
      <w:lang w:val="en-US" w:eastAsia="ja-JP"/>
    </w:rPr>
  </w:style>
  <w:style w:type="numbering" w:customStyle="1" w:styleId="Headings">
    <w:name w:val="Headings"/>
    <w:uiPriority w:val="99"/>
    <w:rsid w:val="00922A09"/>
    <w:pPr>
      <w:numPr>
        <w:numId w:val="4"/>
      </w:numPr>
    </w:pPr>
  </w:style>
  <w:style w:type="paragraph" w:customStyle="1" w:styleId="sof-title">
    <w:name w:val="sof-title"/>
    <w:basedOn w:val="Normal"/>
    <w:rsid w:val="00C33E07"/>
    <w:pPr>
      <w:spacing w:before="100" w:beforeAutospacing="1" w:after="100" w:afterAutospacing="1"/>
    </w:pPr>
    <w:rPr>
      <w:rFonts w:eastAsiaTheme="minorEastAsia"/>
    </w:rPr>
  </w:style>
  <w:style w:type="paragraph" w:customStyle="1" w:styleId="first-letter">
    <w:name w:val="first-letter"/>
    <w:basedOn w:val="Normal"/>
    <w:rsid w:val="00C33E07"/>
    <w:pPr>
      <w:spacing w:before="100" w:beforeAutospacing="1" w:after="100" w:afterAutospacing="1"/>
    </w:pPr>
    <w:rPr>
      <w:rFonts w:eastAsiaTheme="minorEastAsia"/>
    </w:rPr>
  </w:style>
  <w:style w:type="character" w:customStyle="1" w:styleId="label">
    <w:name w:val="label"/>
    <w:basedOn w:val="DefaultParagraphFont"/>
    <w:rsid w:val="00C33E07"/>
  </w:style>
  <w:style w:type="character" w:customStyle="1" w:styleId="cell-value">
    <w:name w:val="cell-value"/>
    <w:basedOn w:val="DefaultParagraphFont"/>
    <w:rsid w:val="00C33E07"/>
  </w:style>
  <w:style w:type="character" w:customStyle="1" w:styleId="cell">
    <w:name w:val="cell"/>
    <w:basedOn w:val="DefaultParagraphFont"/>
    <w:rsid w:val="00C33E07"/>
  </w:style>
  <w:style w:type="character" w:customStyle="1" w:styleId="block">
    <w:name w:val="block"/>
    <w:basedOn w:val="DefaultParagraphFont"/>
    <w:rsid w:val="00C33E07"/>
  </w:style>
  <w:style w:type="character" w:customStyle="1" w:styleId="quality-sign">
    <w:name w:val="quality-sign"/>
    <w:basedOn w:val="DefaultParagraphFont"/>
    <w:rsid w:val="00C33E07"/>
  </w:style>
  <w:style w:type="character" w:customStyle="1" w:styleId="quality-text">
    <w:name w:val="quality-text"/>
    <w:basedOn w:val="DefaultParagraphFont"/>
    <w:rsid w:val="00C33E07"/>
  </w:style>
  <w:style w:type="paragraph" w:customStyle="1" w:styleId="Figurename">
    <w:name w:val="Figure name"/>
    <w:basedOn w:val="NormalWeb"/>
    <w:qFormat/>
    <w:rsid w:val="002B4B33"/>
    <w:pPr>
      <w:spacing w:before="0" w:beforeAutospacing="0"/>
    </w:pPr>
    <w:rPr>
      <w:bCs/>
      <w:i/>
      <w:iCs/>
      <w:szCs w:val="18"/>
    </w:rPr>
  </w:style>
  <w:style w:type="paragraph" w:customStyle="1" w:styleId="Title1">
    <w:name w:val="Title1"/>
    <w:basedOn w:val="Normal"/>
    <w:rsid w:val="002E3690"/>
    <w:pPr>
      <w:spacing w:before="100" w:beforeAutospacing="1" w:after="100" w:afterAutospacing="1"/>
    </w:pPr>
    <w:rPr>
      <w:rFonts w:eastAsia="Times New Roman"/>
      <w:lang w:val="en-AU" w:eastAsia="en-AU"/>
    </w:rPr>
  </w:style>
  <w:style w:type="paragraph" w:customStyle="1" w:styleId="desc">
    <w:name w:val="desc"/>
    <w:basedOn w:val="Normal"/>
    <w:rsid w:val="002E3690"/>
    <w:pPr>
      <w:spacing w:before="100" w:beforeAutospacing="1" w:after="100" w:afterAutospacing="1"/>
    </w:pPr>
    <w:rPr>
      <w:rFonts w:eastAsia="Times New Roman"/>
      <w:lang w:val="en-AU" w:eastAsia="en-AU"/>
    </w:rPr>
  </w:style>
  <w:style w:type="character" w:customStyle="1" w:styleId="jrnl">
    <w:name w:val="jrnl"/>
    <w:basedOn w:val="DefaultParagraphFont"/>
    <w:rsid w:val="002E3690"/>
  </w:style>
  <w:style w:type="character" w:styleId="FollowedHyperlink">
    <w:name w:val="FollowedHyperlink"/>
    <w:basedOn w:val="DefaultParagraphFont"/>
    <w:uiPriority w:val="99"/>
    <w:semiHidden/>
    <w:unhideWhenUsed/>
    <w:rsid w:val="007F3131"/>
    <w:rPr>
      <w:color w:val="954F72" w:themeColor="followedHyperlink"/>
      <w:u w:val="single"/>
    </w:rPr>
  </w:style>
  <w:style w:type="paragraph" w:customStyle="1" w:styleId="Title2">
    <w:name w:val="Title2"/>
    <w:basedOn w:val="Normal"/>
    <w:rsid w:val="006C663E"/>
    <w:pPr>
      <w:spacing w:before="100" w:beforeAutospacing="1" w:after="100" w:afterAutospacing="1"/>
    </w:pPr>
    <w:rPr>
      <w:rFonts w:eastAsia="Times New Roman"/>
      <w:lang w:val="en-AU" w:eastAsia="en-AU"/>
    </w:rPr>
  </w:style>
  <w:style w:type="paragraph" w:customStyle="1" w:styleId="source">
    <w:name w:val="source"/>
    <w:basedOn w:val="Normal"/>
    <w:uiPriority w:val="99"/>
    <w:rsid w:val="004F61BC"/>
    <w:pPr>
      <w:keepLines/>
      <w:tabs>
        <w:tab w:val="left" w:pos="993"/>
      </w:tabs>
      <w:spacing w:before="40" w:after="180"/>
      <w:ind w:left="709" w:hanging="709"/>
    </w:pPr>
    <w:rPr>
      <w:rFonts w:ascii="Century Gothic" w:hAnsi="Century Gothic"/>
      <w:noProof/>
      <w:sz w:val="16"/>
      <w:szCs w:val="16"/>
      <w:lang w:val="en-US"/>
    </w:rPr>
  </w:style>
  <w:style w:type="paragraph" w:customStyle="1" w:styleId="DHSBulletText">
    <w:name w:val="DHS Bullet Text"/>
    <w:basedOn w:val="Normal"/>
    <w:next w:val="Normal"/>
    <w:rsid w:val="004F61BC"/>
    <w:pPr>
      <w:widowControl w:val="0"/>
      <w:numPr>
        <w:numId w:val="5"/>
      </w:numPr>
      <w:tabs>
        <w:tab w:val="clear" w:pos="360"/>
      </w:tabs>
      <w:overflowPunct w:val="0"/>
      <w:autoSpaceDE w:val="0"/>
      <w:autoSpaceDN w:val="0"/>
      <w:adjustRightInd w:val="0"/>
      <w:spacing w:after="120"/>
      <w:textAlignment w:val="baseline"/>
    </w:pPr>
    <w:rPr>
      <w:rFonts w:ascii="Verdana" w:eastAsia="Times New Roman" w:hAnsi="Verdana"/>
      <w:szCs w:val="20"/>
      <w:lang w:val="en-AU"/>
    </w:rPr>
  </w:style>
  <w:style w:type="paragraph" w:customStyle="1" w:styleId="Tableheader">
    <w:name w:val="Table header"/>
    <w:basedOn w:val="Tablecell"/>
    <w:uiPriority w:val="99"/>
    <w:qFormat/>
    <w:rsid w:val="006F2932"/>
    <w:pPr>
      <w:keepNext/>
      <w:spacing w:line="240" w:lineRule="auto"/>
      <w:ind w:left="1134" w:hanging="1134"/>
    </w:pPr>
    <w:rPr>
      <w:b/>
      <w:color w:val="000000"/>
      <w:szCs w:val="16"/>
    </w:rPr>
  </w:style>
  <w:style w:type="paragraph" w:customStyle="1" w:styleId="TableName">
    <w:name w:val="TableName"/>
    <w:basedOn w:val="Normal"/>
    <w:uiPriority w:val="99"/>
    <w:rsid w:val="00932C6D"/>
    <w:pPr>
      <w:keepNext/>
      <w:numPr>
        <w:numId w:val="7"/>
      </w:numPr>
      <w:spacing w:before="240" w:after="120"/>
    </w:pPr>
    <w:rPr>
      <w:rFonts w:eastAsia="Times New Roman"/>
      <w:b/>
      <w:szCs w:val="18"/>
      <w:lang w:val="en-AU"/>
    </w:rPr>
  </w:style>
  <w:style w:type="character" w:customStyle="1" w:styleId="comma">
    <w:name w:val="comma"/>
    <w:basedOn w:val="DefaultParagraphFont"/>
    <w:rsid w:val="008E1A0C"/>
  </w:style>
  <w:style w:type="character" w:customStyle="1" w:styleId="s1">
    <w:name w:val="s1"/>
    <w:basedOn w:val="DefaultParagraphFont"/>
    <w:rsid w:val="00EC0956"/>
    <w:rPr>
      <w:rFonts w:ascii="Times" w:hAnsi="Times" w:hint="default"/>
      <w:sz w:val="14"/>
      <w:szCs w:val="14"/>
    </w:rPr>
  </w:style>
  <w:style w:type="paragraph" w:styleId="BalloonText">
    <w:name w:val="Balloon Text"/>
    <w:basedOn w:val="Normal"/>
    <w:link w:val="BalloonTextChar"/>
    <w:uiPriority w:val="99"/>
    <w:semiHidden/>
    <w:unhideWhenUsed/>
    <w:rsid w:val="00BE3643"/>
    <w:rPr>
      <w:szCs w:val="18"/>
    </w:rPr>
  </w:style>
  <w:style w:type="character" w:customStyle="1" w:styleId="BalloonTextChar">
    <w:name w:val="Balloon Text Char"/>
    <w:basedOn w:val="DefaultParagraphFont"/>
    <w:link w:val="BalloonText"/>
    <w:uiPriority w:val="99"/>
    <w:semiHidden/>
    <w:rsid w:val="00BE3643"/>
    <w:rPr>
      <w:rFonts w:ascii="Times New Roman" w:hAnsi="Times New Roman" w:cs="Times New Roman"/>
      <w:sz w:val="18"/>
      <w:szCs w:val="18"/>
    </w:rPr>
  </w:style>
  <w:style w:type="paragraph" w:styleId="Header">
    <w:name w:val="header"/>
    <w:basedOn w:val="Normal"/>
    <w:link w:val="HeaderChar"/>
    <w:uiPriority w:val="99"/>
    <w:unhideWhenUsed/>
    <w:rsid w:val="002B0675"/>
    <w:pPr>
      <w:tabs>
        <w:tab w:val="center" w:pos="4513"/>
        <w:tab w:val="right" w:pos="9026"/>
      </w:tabs>
    </w:pPr>
  </w:style>
  <w:style w:type="character" w:customStyle="1" w:styleId="HeaderChar">
    <w:name w:val="Header Char"/>
    <w:basedOn w:val="DefaultParagraphFont"/>
    <w:link w:val="Header"/>
    <w:uiPriority w:val="99"/>
    <w:rsid w:val="002B0675"/>
    <w:rPr>
      <w:rFonts w:ascii="Trebuchet MS" w:hAnsi="Trebuchet MS"/>
      <w:sz w:val="18"/>
    </w:rPr>
  </w:style>
  <w:style w:type="paragraph" w:styleId="Footer">
    <w:name w:val="footer"/>
    <w:basedOn w:val="Normal"/>
    <w:link w:val="FooterChar"/>
    <w:uiPriority w:val="99"/>
    <w:unhideWhenUsed/>
    <w:rsid w:val="002B0675"/>
    <w:pPr>
      <w:tabs>
        <w:tab w:val="center" w:pos="4513"/>
        <w:tab w:val="right" w:pos="9026"/>
      </w:tabs>
    </w:pPr>
  </w:style>
  <w:style w:type="character" w:customStyle="1" w:styleId="FooterChar">
    <w:name w:val="Footer Char"/>
    <w:basedOn w:val="DefaultParagraphFont"/>
    <w:link w:val="Footer"/>
    <w:uiPriority w:val="99"/>
    <w:rsid w:val="002B0675"/>
    <w:rPr>
      <w:rFonts w:ascii="Trebuchet MS" w:hAnsi="Trebuchet MS"/>
      <w:sz w:val="18"/>
    </w:rPr>
  </w:style>
  <w:style w:type="character" w:styleId="PageNumber">
    <w:name w:val="page number"/>
    <w:basedOn w:val="DefaultParagraphFont"/>
    <w:uiPriority w:val="99"/>
    <w:semiHidden/>
    <w:unhideWhenUsed/>
    <w:rsid w:val="002B0675"/>
  </w:style>
  <w:style w:type="character" w:styleId="CommentReference">
    <w:name w:val="annotation reference"/>
    <w:basedOn w:val="DefaultParagraphFont"/>
    <w:uiPriority w:val="99"/>
    <w:semiHidden/>
    <w:unhideWhenUsed/>
    <w:rsid w:val="00AE5FB9"/>
    <w:rPr>
      <w:sz w:val="16"/>
      <w:szCs w:val="16"/>
    </w:rPr>
  </w:style>
  <w:style w:type="paragraph" w:styleId="CommentText">
    <w:name w:val="annotation text"/>
    <w:basedOn w:val="Normal"/>
    <w:link w:val="CommentTextChar"/>
    <w:uiPriority w:val="99"/>
    <w:unhideWhenUsed/>
    <w:rsid w:val="00AE5FB9"/>
    <w:rPr>
      <w:sz w:val="20"/>
      <w:szCs w:val="20"/>
    </w:rPr>
  </w:style>
  <w:style w:type="character" w:customStyle="1" w:styleId="CommentTextChar">
    <w:name w:val="Comment Text Char"/>
    <w:basedOn w:val="DefaultParagraphFont"/>
    <w:link w:val="CommentText"/>
    <w:uiPriority w:val="99"/>
    <w:rsid w:val="00AE5FB9"/>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AE5FB9"/>
    <w:rPr>
      <w:b/>
      <w:bCs/>
    </w:rPr>
  </w:style>
  <w:style w:type="character" w:customStyle="1" w:styleId="CommentSubjectChar">
    <w:name w:val="Comment Subject Char"/>
    <w:basedOn w:val="CommentTextChar"/>
    <w:link w:val="CommentSubject"/>
    <w:uiPriority w:val="99"/>
    <w:semiHidden/>
    <w:rsid w:val="00AE5FB9"/>
    <w:rPr>
      <w:rFonts w:ascii="Trebuchet MS" w:hAnsi="Trebuchet MS"/>
      <w:b/>
      <w:bCs/>
      <w:sz w:val="20"/>
      <w:szCs w:val="20"/>
    </w:rPr>
  </w:style>
  <w:style w:type="paragraph" w:styleId="DocumentMap">
    <w:name w:val="Document Map"/>
    <w:basedOn w:val="Normal"/>
    <w:link w:val="DocumentMapChar"/>
    <w:uiPriority w:val="99"/>
    <w:semiHidden/>
    <w:unhideWhenUsed/>
    <w:rsid w:val="00210622"/>
  </w:style>
  <w:style w:type="character" w:customStyle="1" w:styleId="DocumentMapChar">
    <w:name w:val="Document Map Char"/>
    <w:basedOn w:val="DefaultParagraphFont"/>
    <w:link w:val="DocumentMap"/>
    <w:uiPriority w:val="99"/>
    <w:semiHidden/>
    <w:rsid w:val="00210622"/>
    <w:rPr>
      <w:rFonts w:ascii="Times New Roman" w:hAnsi="Times New Roman" w:cs="Times New Roman"/>
    </w:rPr>
  </w:style>
  <w:style w:type="paragraph" w:styleId="FootnoteText">
    <w:name w:val="footnote text"/>
    <w:basedOn w:val="Normal"/>
    <w:link w:val="FootnoteTextChar"/>
    <w:unhideWhenUsed/>
    <w:rsid w:val="00DE1445"/>
    <w:pPr>
      <w:ind w:left="284" w:hanging="284"/>
    </w:pPr>
    <w:rPr>
      <w:sz w:val="16"/>
      <w:szCs w:val="16"/>
    </w:rPr>
  </w:style>
  <w:style w:type="character" w:customStyle="1" w:styleId="FootnoteTextChar">
    <w:name w:val="Footnote Text Char"/>
    <w:basedOn w:val="DefaultParagraphFont"/>
    <w:link w:val="FootnoteText"/>
    <w:rsid w:val="00DE1445"/>
    <w:rPr>
      <w:rFonts w:ascii="Trebuchet MS" w:hAnsi="Trebuchet MS"/>
      <w:sz w:val="16"/>
      <w:szCs w:val="16"/>
    </w:rPr>
  </w:style>
  <w:style w:type="character" w:styleId="FootnoteReference">
    <w:name w:val="footnote reference"/>
    <w:basedOn w:val="DefaultParagraphFont"/>
    <w:unhideWhenUsed/>
    <w:rsid w:val="00DE1445"/>
    <w:rPr>
      <w:vertAlign w:val="superscript"/>
    </w:rPr>
  </w:style>
  <w:style w:type="character" w:customStyle="1" w:styleId="s3">
    <w:name w:val="s3"/>
    <w:basedOn w:val="DefaultParagraphFont"/>
    <w:rsid w:val="006B1B6D"/>
    <w:rPr>
      <w:rFonts w:ascii="Helvetica" w:hAnsi="Helvetica" w:hint="default"/>
      <w:sz w:val="9"/>
      <w:szCs w:val="9"/>
    </w:rPr>
  </w:style>
  <w:style w:type="paragraph" w:customStyle="1" w:styleId="TableParagraph">
    <w:name w:val="Table Paragraph"/>
    <w:basedOn w:val="Normal"/>
    <w:uiPriority w:val="1"/>
    <w:qFormat/>
    <w:rsid w:val="000E4DAE"/>
    <w:pPr>
      <w:widowControl w:val="0"/>
      <w:autoSpaceDE w:val="0"/>
      <w:autoSpaceDN w:val="0"/>
    </w:pPr>
    <w:rPr>
      <w:rFonts w:ascii="Palatino" w:eastAsia="Palatino" w:hAnsi="Palatino" w:cs="Palatino"/>
      <w:sz w:val="22"/>
      <w:szCs w:val="22"/>
      <w:lang w:val="en-US"/>
    </w:rPr>
  </w:style>
  <w:style w:type="character" w:customStyle="1" w:styleId="highlight">
    <w:name w:val="highlight"/>
    <w:basedOn w:val="DefaultParagraphFont"/>
    <w:rsid w:val="00DB02E7"/>
  </w:style>
  <w:style w:type="paragraph" w:customStyle="1" w:styleId="TableRCTs">
    <w:name w:val="Table RCTs"/>
    <w:basedOn w:val="Normal"/>
    <w:qFormat/>
    <w:rsid w:val="00237DBD"/>
    <w:pPr>
      <w:spacing w:before="20" w:after="20" w:line="200" w:lineRule="exact"/>
    </w:pPr>
    <w:rPr>
      <w:rFonts w:eastAsia="Times New Roman"/>
      <w:sz w:val="16"/>
      <w:szCs w:val="16"/>
      <w:lang w:val="en-AU"/>
    </w:rPr>
  </w:style>
  <w:style w:type="paragraph" w:customStyle="1" w:styleId="RCTstable">
    <w:name w:val="RCTs table"/>
    <w:basedOn w:val="Normal"/>
    <w:qFormat/>
    <w:rsid w:val="00A8321C"/>
    <w:pPr>
      <w:spacing w:before="40" w:after="40" w:line="220" w:lineRule="exact"/>
    </w:pPr>
    <w:rPr>
      <w:sz w:val="16"/>
      <w:szCs w:val="16"/>
    </w:rPr>
  </w:style>
  <w:style w:type="paragraph" w:customStyle="1" w:styleId="Figure">
    <w:name w:val="Figure"/>
    <w:basedOn w:val="Normal"/>
    <w:qFormat/>
    <w:rsid w:val="00B21466"/>
    <w:pPr>
      <w:spacing w:line="240" w:lineRule="auto"/>
    </w:pPr>
  </w:style>
  <w:style w:type="paragraph" w:customStyle="1" w:styleId="NoteLevel1">
    <w:name w:val="Note Level 1"/>
    <w:basedOn w:val="Normal"/>
    <w:uiPriority w:val="99"/>
    <w:rsid w:val="00B21466"/>
    <w:pPr>
      <w:keepNext/>
      <w:tabs>
        <w:tab w:val="num" w:pos="0"/>
      </w:tabs>
      <w:spacing w:after="0"/>
      <w:contextualSpacing/>
      <w:outlineLvl w:val="0"/>
    </w:pPr>
    <w:rPr>
      <w:rFonts w:ascii="Verdana" w:hAnsi="Verdana"/>
    </w:rPr>
  </w:style>
  <w:style w:type="paragraph" w:styleId="Revision">
    <w:name w:val="Revision"/>
    <w:hidden/>
    <w:uiPriority w:val="99"/>
    <w:semiHidden/>
    <w:rsid w:val="00B21466"/>
    <w:rPr>
      <w:rFonts w:ascii="Trebuchet MS" w:hAnsi="Trebuchet MS" w:cs="Times New Roman"/>
      <w:sz w:val="18"/>
      <w:lang w:eastAsia="en-GB"/>
    </w:rPr>
  </w:style>
  <w:style w:type="paragraph" w:customStyle="1" w:styleId="NoteLevel11">
    <w:name w:val="Note Level 11"/>
    <w:basedOn w:val="Normal"/>
    <w:uiPriority w:val="99"/>
    <w:rsid w:val="000E6C5B"/>
    <w:pPr>
      <w:keepNext/>
      <w:tabs>
        <w:tab w:val="num" w:pos="0"/>
      </w:tabs>
      <w:spacing w:after="0"/>
      <w:contextualSpacing/>
      <w:outlineLvl w:val="0"/>
    </w:pPr>
    <w:rPr>
      <w:rFonts w:ascii="Verdana" w:hAnsi="Verdana"/>
    </w:rPr>
  </w:style>
  <w:style w:type="paragraph" w:customStyle="1" w:styleId="author">
    <w:name w:val="author"/>
    <w:basedOn w:val="Normal"/>
    <w:rsid w:val="00BA549B"/>
    <w:pPr>
      <w:spacing w:before="100" w:beforeAutospacing="1" w:after="100" w:afterAutospacing="1" w:line="240" w:lineRule="auto"/>
    </w:pPr>
    <w:rPr>
      <w:rFonts w:ascii="Times New Roman" w:eastAsia="Times New Roman" w:hAnsi="Times New Roman"/>
      <w:sz w:val="24"/>
      <w:lang w:val="en-AU" w:eastAsia="en-AU"/>
    </w:rPr>
  </w:style>
  <w:style w:type="character" w:customStyle="1" w:styleId="queryoperator">
    <w:name w:val="queryoperator"/>
    <w:basedOn w:val="DefaultParagraphFont"/>
    <w:rsid w:val="00826445"/>
  </w:style>
  <w:style w:type="character" w:customStyle="1" w:styleId="querysrchtext">
    <w:name w:val="querysrchtext"/>
    <w:basedOn w:val="DefaultParagraphFont"/>
    <w:rsid w:val="00826445"/>
  </w:style>
  <w:style w:type="character" w:customStyle="1" w:styleId="searchhistory-search-term">
    <w:name w:val="searchhistory-search-term"/>
    <w:basedOn w:val="DefaultParagraphFont"/>
    <w:rsid w:val="00826445"/>
  </w:style>
  <w:style w:type="character" w:customStyle="1" w:styleId="term">
    <w:name w:val="term"/>
    <w:basedOn w:val="DefaultParagraphFont"/>
    <w:rsid w:val="00826445"/>
  </w:style>
  <w:style w:type="paragraph" w:customStyle="1" w:styleId="CBRheader">
    <w:name w:val="CBR header"/>
    <w:basedOn w:val="Normal"/>
    <w:qFormat/>
    <w:rsid w:val="0056468B"/>
    <w:pPr>
      <w:keepNext/>
      <w:shd w:val="clear" w:color="D5DCE4" w:themeColor="text2" w:themeTint="33" w:fill="D1E29B"/>
      <w:spacing w:before="180" w:after="0" w:line="240" w:lineRule="exact"/>
      <w:ind w:left="357" w:hanging="357"/>
    </w:pPr>
    <w:rPr>
      <w:b/>
      <w:lang w:val="en-AU" w:eastAsia="en-AU"/>
    </w:rPr>
  </w:style>
  <w:style w:type="paragraph" w:customStyle="1" w:styleId="CBR">
    <w:name w:val="CBR"/>
    <w:basedOn w:val="Normal"/>
    <w:qFormat/>
    <w:rsid w:val="00B543FC"/>
    <w:pPr>
      <w:pBdr>
        <w:top w:val="single" w:sz="4" w:space="1" w:color="FFFFFF" w:themeColor="background1"/>
        <w:bottom w:val="single" w:sz="4" w:space="1" w:color="FFFFFF" w:themeColor="background1"/>
      </w:pBdr>
      <w:shd w:val="clear" w:color="D5DCE4" w:themeColor="text2" w:themeTint="33" w:fill="E8F0CA"/>
      <w:tabs>
        <w:tab w:val="left" w:pos="709"/>
      </w:tabs>
      <w:spacing w:before="0" w:after="20" w:line="240" w:lineRule="exact"/>
    </w:pPr>
    <w:rPr>
      <w:lang w:val="en-US"/>
    </w:rPr>
  </w:style>
  <w:style w:type="paragraph" w:customStyle="1" w:styleId="Excluded">
    <w:name w:val="Excluded"/>
    <w:basedOn w:val="EndNoteBibliography"/>
    <w:qFormat/>
    <w:rsid w:val="00340A58"/>
    <w:pPr>
      <w:spacing w:before="40" w:after="40"/>
    </w:pPr>
    <w:rPr>
      <w:rFonts w:ascii="Trebuchet MS" w:eastAsia="Calibri" w:hAnsi="Trebuchet MS" w:cs="Calibri"/>
      <w:sz w:val="16"/>
    </w:rPr>
  </w:style>
  <w:style w:type="character" w:customStyle="1" w:styleId="txtsmaller">
    <w:name w:val="txtsmaller"/>
    <w:basedOn w:val="DefaultParagraphFont"/>
    <w:rsid w:val="00070870"/>
  </w:style>
  <w:style w:type="character" w:customStyle="1" w:styleId="txtsmallerbold">
    <w:name w:val="txtsmallerbold"/>
    <w:basedOn w:val="DefaultParagraphFont"/>
    <w:rsid w:val="00070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081">
      <w:bodyDiv w:val="1"/>
      <w:marLeft w:val="0"/>
      <w:marRight w:val="0"/>
      <w:marTop w:val="0"/>
      <w:marBottom w:val="0"/>
      <w:divBdr>
        <w:top w:val="none" w:sz="0" w:space="0" w:color="auto"/>
        <w:left w:val="none" w:sz="0" w:space="0" w:color="auto"/>
        <w:bottom w:val="none" w:sz="0" w:space="0" w:color="auto"/>
        <w:right w:val="none" w:sz="0" w:space="0" w:color="auto"/>
      </w:divBdr>
    </w:div>
    <w:div w:id="2980832">
      <w:bodyDiv w:val="1"/>
      <w:marLeft w:val="0"/>
      <w:marRight w:val="0"/>
      <w:marTop w:val="0"/>
      <w:marBottom w:val="0"/>
      <w:divBdr>
        <w:top w:val="none" w:sz="0" w:space="0" w:color="auto"/>
        <w:left w:val="none" w:sz="0" w:space="0" w:color="auto"/>
        <w:bottom w:val="none" w:sz="0" w:space="0" w:color="auto"/>
        <w:right w:val="none" w:sz="0" w:space="0" w:color="auto"/>
      </w:divBdr>
    </w:div>
    <w:div w:id="3173800">
      <w:bodyDiv w:val="1"/>
      <w:marLeft w:val="0"/>
      <w:marRight w:val="0"/>
      <w:marTop w:val="0"/>
      <w:marBottom w:val="0"/>
      <w:divBdr>
        <w:top w:val="none" w:sz="0" w:space="0" w:color="auto"/>
        <w:left w:val="none" w:sz="0" w:space="0" w:color="auto"/>
        <w:bottom w:val="none" w:sz="0" w:space="0" w:color="auto"/>
        <w:right w:val="none" w:sz="0" w:space="0" w:color="auto"/>
      </w:divBdr>
    </w:div>
    <w:div w:id="3213103">
      <w:bodyDiv w:val="1"/>
      <w:marLeft w:val="0"/>
      <w:marRight w:val="0"/>
      <w:marTop w:val="0"/>
      <w:marBottom w:val="0"/>
      <w:divBdr>
        <w:top w:val="none" w:sz="0" w:space="0" w:color="auto"/>
        <w:left w:val="none" w:sz="0" w:space="0" w:color="auto"/>
        <w:bottom w:val="none" w:sz="0" w:space="0" w:color="auto"/>
        <w:right w:val="none" w:sz="0" w:space="0" w:color="auto"/>
      </w:divBdr>
    </w:div>
    <w:div w:id="3945625">
      <w:bodyDiv w:val="1"/>
      <w:marLeft w:val="0"/>
      <w:marRight w:val="0"/>
      <w:marTop w:val="0"/>
      <w:marBottom w:val="0"/>
      <w:divBdr>
        <w:top w:val="none" w:sz="0" w:space="0" w:color="auto"/>
        <w:left w:val="none" w:sz="0" w:space="0" w:color="auto"/>
        <w:bottom w:val="none" w:sz="0" w:space="0" w:color="auto"/>
        <w:right w:val="none" w:sz="0" w:space="0" w:color="auto"/>
      </w:divBdr>
    </w:div>
    <w:div w:id="4485398">
      <w:bodyDiv w:val="1"/>
      <w:marLeft w:val="0"/>
      <w:marRight w:val="0"/>
      <w:marTop w:val="0"/>
      <w:marBottom w:val="0"/>
      <w:divBdr>
        <w:top w:val="none" w:sz="0" w:space="0" w:color="auto"/>
        <w:left w:val="none" w:sz="0" w:space="0" w:color="auto"/>
        <w:bottom w:val="none" w:sz="0" w:space="0" w:color="auto"/>
        <w:right w:val="none" w:sz="0" w:space="0" w:color="auto"/>
      </w:divBdr>
    </w:div>
    <w:div w:id="5062623">
      <w:bodyDiv w:val="1"/>
      <w:marLeft w:val="0"/>
      <w:marRight w:val="0"/>
      <w:marTop w:val="0"/>
      <w:marBottom w:val="0"/>
      <w:divBdr>
        <w:top w:val="none" w:sz="0" w:space="0" w:color="auto"/>
        <w:left w:val="none" w:sz="0" w:space="0" w:color="auto"/>
        <w:bottom w:val="none" w:sz="0" w:space="0" w:color="auto"/>
        <w:right w:val="none" w:sz="0" w:space="0" w:color="auto"/>
      </w:divBdr>
    </w:div>
    <w:div w:id="7292881">
      <w:bodyDiv w:val="1"/>
      <w:marLeft w:val="0"/>
      <w:marRight w:val="0"/>
      <w:marTop w:val="0"/>
      <w:marBottom w:val="0"/>
      <w:divBdr>
        <w:top w:val="none" w:sz="0" w:space="0" w:color="auto"/>
        <w:left w:val="none" w:sz="0" w:space="0" w:color="auto"/>
        <w:bottom w:val="none" w:sz="0" w:space="0" w:color="auto"/>
        <w:right w:val="none" w:sz="0" w:space="0" w:color="auto"/>
      </w:divBdr>
    </w:div>
    <w:div w:id="8879048">
      <w:bodyDiv w:val="1"/>
      <w:marLeft w:val="0"/>
      <w:marRight w:val="0"/>
      <w:marTop w:val="0"/>
      <w:marBottom w:val="0"/>
      <w:divBdr>
        <w:top w:val="none" w:sz="0" w:space="0" w:color="auto"/>
        <w:left w:val="none" w:sz="0" w:space="0" w:color="auto"/>
        <w:bottom w:val="none" w:sz="0" w:space="0" w:color="auto"/>
        <w:right w:val="none" w:sz="0" w:space="0" w:color="auto"/>
      </w:divBdr>
    </w:div>
    <w:div w:id="8989646">
      <w:bodyDiv w:val="1"/>
      <w:marLeft w:val="0"/>
      <w:marRight w:val="0"/>
      <w:marTop w:val="0"/>
      <w:marBottom w:val="0"/>
      <w:divBdr>
        <w:top w:val="none" w:sz="0" w:space="0" w:color="auto"/>
        <w:left w:val="none" w:sz="0" w:space="0" w:color="auto"/>
        <w:bottom w:val="none" w:sz="0" w:space="0" w:color="auto"/>
        <w:right w:val="none" w:sz="0" w:space="0" w:color="auto"/>
      </w:divBdr>
    </w:div>
    <w:div w:id="11345262">
      <w:bodyDiv w:val="1"/>
      <w:marLeft w:val="0"/>
      <w:marRight w:val="0"/>
      <w:marTop w:val="0"/>
      <w:marBottom w:val="0"/>
      <w:divBdr>
        <w:top w:val="none" w:sz="0" w:space="0" w:color="auto"/>
        <w:left w:val="none" w:sz="0" w:space="0" w:color="auto"/>
        <w:bottom w:val="none" w:sz="0" w:space="0" w:color="auto"/>
        <w:right w:val="none" w:sz="0" w:space="0" w:color="auto"/>
      </w:divBdr>
    </w:div>
    <w:div w:id="11685263">
      <w:bodyDiv w:val="1"/>
      <w:marLeft w:val="0"/>
      <w:marRight w:val="0"/>
      <w:marTop w:val="0"/>
      <w:marBottom w:val="0"/>
      <w:divBdr>
        <w:top w:val="none" w:sz="0" w:space="0" w:color="auto"/>
        <w:left w:val="none" w:sz="0" w:space="0" w:color="auto"/>
        <w:bottom w:val="none" w:sz="0" w:space="0" w:color="auto"/>
        <w:right w:val="none" w:sz="0" w:space="0" w:color="auto"/>
      </w:divBdr>
    </w:div>
    <w:div w:id="14967785">
      <w:bodyDiv w:val="1"/>
      <w:marLeft w:val="0"/>
      <w:marRight w:val="0"/>
      <w:marTop w:val="0"/>
      <w:marBottom w:val="0"/>
      <w:divBdr>
        <w:top w:val="none" w:sz="0" w:space="0" w:color="auto"/>
        <w:left w:val="none" w:sz="0" w:space="0" w:color="auto"/>
        <w:bottom w:val="none" w:sz="0" w:space="0" w:color="auto"/>
        <w:right w:val="none" w:sz="0" w:space="0" w:color="auto"/>
      </w:divBdr>
    </w:div>
    <w:div w:id="16390562">
      <w:bodyDiv w:val="1"/>
      <w:marLeft w:val="0"/>
      <w:marRight w:val="0"/>
      <w:marTop w:val="0"/>
      <w:marBottom w:val="0"/>
      <w:divBdr>
        <w:top w:val="none" w:sz="0" w:space="0" w:color="auto"/>
        <w:left w:val="none" w:sz="0" w:space="0" w:color="auto"/>
        <w:bottom w:val="none" w:sz="0" w:space="0" w:color="auto"/>
        <w:right w:val="none" w:sz="0" w:space="0" w:color="auto"/>
      </w:divBdr>
    </w:div>
    <w:div w:id="16935115">
      <w:bodyDiv w:val="1"/>
      <w:marLeft w:val="0"/>
      <w:marRight w:val="0"/>
      <w:marTop w:val="0"/>
      <w:marBottom w:val="0"/>
      <w:divBdr>
        <w:top w:val="none" w:sz="0" w:space="0" w:color="auto"/>
        <w:left w:val="none" w:sz="0" w:space="0" w:color="auto"/>
        <w:bottom w:val="none" w:sz="0" w:space="0" w:color="auto"/>
        <w:right w:val="none" w:sz="0" w:space="0" w:color="auto"/>
      </w:divBdr>
    </w:div>
    <w:div w:id="17317830">
      <w:bodyDiv w:val="1"/>
      <w:marLeft w:val="0"/>
      <w:marRight w:val="0"/>
      <w:marTop w:val="0"/>
      <w:marBottom w:val="0"/>
      <w:divBdr>
        <w:top w:val="none" w:sz="0" w:space="0" w:color="auto"/>
        <w:left w:val="none" w:sz="0" w:space="0" w:color="auto"/>
        <w:bottom w:val="none" w:sz="0" w:space="0" w:color="auto"/>
        <w:right w:val="none" w:sz="0" w:space="0" w:color="auto"/>
      </w:divBdr>
    </w:div>
    <w:div w:id="19623262">
      <w:bodyDiv w:val="1"/>
      <w:marLeft w:val="0"/>
      <w:marRight w:val="0"/>
      <w:marTop w:val="0"/>
      <w:marBottom w:val="0"/>
      <w:divBdr>
        <w:top w:val="none" w:sz="0" w:space="0" w:color="auto"/>
        <w:left w:val="none" w:sz="0" w:space="0" w:color="auto"/>
        <w:bottom w:val="none" w:sz="0" w:space="0" w:color="auto"/>
        <w:right w:val="none" w:sz="0" w:space="0" w:color="auto"/>
      </w:divBdr>
    </w:div>
    <w:div w:id="20129634">
      <w:bodyDiv w:val="1"/>
      <w:marLeft w:val="0"/>
      <w:marRight w:val="0"/>
      <w:marTop w:val="0"/>
      <w:marBottom w:val="0"/>
      <w:divBdr>
        <w:top w:val="none" w:sz="0" w:space="0" w:color="auto"/>
        <w:left w:val="none" w:sz="0" w:space="0" w:color="auto"/>
        <w:bottom w:val="none" w:sz="0" w:space="0" w:color="auto"/>
        <w:right w:val="none" w:sz="0" w:space="0" w:color="auto"/>
      </w:divBdr>
    </w:div>
    <w:div w:id="20711991">
      <w:bodyDiv w:val="1"/>
      <w:marLeft w:val="0"/>
      <w:marRight w:val="0"/>
      <w:marTop w:val="0"/>
      <w:marBottom w:val="0"/>
      <w:divBdr>
        <w:top w:val="none" w:sz="0" w:space="0" w:color="auto"/>
        <w:left w:val="none" w:sz="0" w:space="0" w:color="auto"/>
        <w:bottom w:val="none" w:sz="0" w:space="0" w:color="auto"/>
        <w:right w:val="none" w:sz="0" w:space="0" w:color="auto"/>
      </w:divBdr>
    </w:div>
    <w:div w:id="20715105">
      <w:bodyDiv w:val="1"/>
      <w:marLeft w:val="0"/>
      <w:marRight w:val="0"/>
      <w:marTop w:val="0"/>
      <w:marBottom w:val="0"/>
      <w:divBdr>
        <w:top w:val="none" w:sz="0" w:space="0" w:color="auto"/>
        <w:left w:val="none" w:sz="0" w:space="0" w:color="auto"/>
        <w:bottom w:val="none" w:sz="0" w:space="0" w:color="auto"/>
        <w:right w:val="none" w:sz="0" w:space="0" w:color="auto"/>
      </w:divBdr>
    </w:div>
    <w:div w:id="21445936">
      <w:bodyDiv w:val="1"/>
      <w:marLeft w:val="0"/>
      <w:marRight w:val="0"/>
      <w:marTop w:val="0"/>
      <w:marBottom w:val="0"/>
      <w:divBdr>
        <w:top w:val="none" w:sz="0" w:space="0" w:color="auto"/>
        <w:left w:val="none" w:sz="0" w:space="0" w:color="auto"/>
        <w:bottom w:val="none" w:sz="0" w:space="0" w:color="auto"/>
        <w:right w:val="none" w:sz="0" w:space="0" w:color="auto"/>
      </w:divBdr>
    </w:div>
    <w:div w:id="21446773">
      <w:bodyDiv w:val="1"/>
      <w:marLeft w:val="0"/>
      <w:marRight w:val="0"/>
      <w:marTop w:val="0"/>
      <w:marBottom w:val="0"/>
      <w:divBdr>
        <w:top w:val="none" w:sz="0" w:space="0" w:color="auto"/>
        <w:left w:val="none" w:sz="0" w:space="0" w:color="auto"/>
        <w:bottom w:val="none" w:sz="0" w:space="0" w:color="auto"/>
        <w:right w:val="none" w:sz="0" w:space="0" w:color="auto"/>
      </w:divBdr>
    </w:div>
    <w:div w:id="22365031">
      <w:bodyDiv w:val="1"/>
      <w:marLeft w:val="0"/>
      <w:marRight w:val="0"/>
      <w:marTop w:val="0"/>
      <w:marBottom w:val="0"/>
      <w:divBdr>
        <w:top w:val="none" w:sz="0" w:space="0" w:color="auto"/>
        <w:left w:val="none" w:sz="0" w:space="0" w:color="auto"/>
        <w:bottom w:val="none" w:sz="0" w:space="0" w:color="auto"/>
        <w:right w:val="none" w:sz="0" w:space="0" w:color="auto"/>
      </w:divBdr>
    </w:div>
    <w:div w:id="24255925">
      <w:bodyDiv w:val="1"/>
      <w:marLeft w:val="0"/>
      <w:marRight w:val="0"/>
      <w:marTop w:val="0"/>
      <w:marBottom w:val="0"/>
      <w:divBdr>
        <w:top w:val="none" w:sz="0" w:space="0" w:color="auto"/>
        <w:left w:val="none" w:sz="0" w:space="0" w:color="auto"/>
        <w:bottom w:val="none" w:sz="0" w:space="0" w:color="auto"/>
        <w:right w:val="none" w:sz="0" w:space="0" w:color="auto"/>
      </w:divBdr>
    </w:div>
    <w:div w:id="25372960">
      <w:bodyDiv w:val="1"/>
      <w:marLeft w:val="0"/>
      <w:marRight w:val="0"/>
      <w:marTop w:val="0"/>
      <w:marBottom w:val="0"/>
      <w:divBdr>
        <w:top w:val="none" w:sz="0" w:space="0" w:color="auto"/>
        <w:left w:val="none" w:sz="0" w:space="0" w:color="auto"/>
        <w:bottom w:val="none" w:sz="0" w:space="0" w:color="auto"/>
        <w:right w:val="none" w:sz="0" w:space="0" w:color="auto"/>
      </w:divBdr>
    </w:div>
    <w:div w:id="26226279">
      <w:bodyDiv w:val="1"/>
      <w:marLeft w:val="0"/>
      <w:marRight w:val="0"/>
      <w:marTop w:val="0"/>
      <w:marBottom w:val="0"/>
      <w:divBdr>
        <w:top w:val="none" w:sz="0" w:space="0" w:color="auto"/>
        <w:left w:val="none" w:sz="0" w:space="0" w:color="auto"/>
        <w:bottom w:val="none" w:sz="0" w:space="0" w:color="auto"/>
        <w:right w:val="none" w:sz="0" w:space="0" w:color="auto"/>
      </w:divBdr>
    </w:div>
    <w:div w:id="27687761">
      <w:bodyDiv w:val="1"/>
      <w:marLeft w:val="0"/>
      <w:marRight w:val="0"/>
      <w:marTop w:val="0"/>
      <w:marBottom w:val="0"/>
      <w:divBdr>
        <w:top w:val="none" w:sz="0" w:space="0" w:color="auto"/>
        <w:left w:val="none" w:sz="0" w:space="0" w:color="auto"/>
        <w:bottom w:val="none" w:sz="0" w:space="0" w:color="auto"/>
        <w:right w:val="none" w:sz="0" w:space="0" w:color="auto"/>
      </w:divBdr>
    </w:div>
    <w:div w:id="27877286">
      <w:bodyDiv w:val="1"/>
      <w:marLeft w:val="0"/>
      <w:marRight w:val="0"/>
      <w:marTop w:val="0"/>
      <w:marBottom w:val="0"/>
      <w:divBdr>
        <w:top w:val="none" w:sz="0" w:space="0" w:color="auto"/>
        <w:left w:val="none" w:sz="0" w:space="0" w:color="auto"/>
        <w:bottom w:val="none" w:sz="0" w:space="0" w:color="auto"/>
        <w:right w:val="none" w:sz="0" w:space="0" w:color="auto"/>
      </w:divBdr>
    </w:div>
    <w:div w:id="27924054">
      <w:bodyDiv w:val="1"/>
      <w:marLeft w:val="0"/>
      <w:marRight w:val="0"/>
      <w:marTop w:val="0"/>
      <w:marBottom w:val="0"/>
      <w:divBdr>
        <w:top w:val="none" w:sz="0" w:space="0" w:color="auto"/>
        <w:left w:val="none" w:sz="0" w:space="0" w:color="auto"/>
        <w:bottom w:val="none" w:sz="0" w:space="0" w:color="auto"/>
        <w:right w:val="none" w:sz="0" w:space="0" w:color="auto"/>
      </w:divBdr>
    </w:div>
    <w:div w:id="28264844">
      <w:bodyDiv w:val="1"/>
      <w:marLeft w:val="0"/>
      <w:marRight w:val="0"/>
      <w:marTop w:val="0"/>
      <w:marBottom w:val="0"/>
      <w:divBdr>
        <w:top w:val="none" w:sz="0" w:space="0" w:color="auto"/>
        <w:left w:val="none" w:sz="0" w:space="0" w:color="auto"/>
        <w:bottom w:val="none" w:sz="0" w:space="0" w:color="auto"/>
        <w:right w:val="none" w:sz="0" w:space="0" w:color="auto"/>
      </w:divBdr>
    </w:div>
    <w:div w:id="28533510">
      <w:bodyDiv w:val="1"/>
      <w:marLeft w:val="0"/>
      <w:marRight w:val="0"/>
      <w:marTop w:val="0"/>
      <w:marBottom w:val="0"/>
      <w:divBdr>
        <w:top w:val="none" w:sz="0" w:space="0" w:color="auto"/>
        <w:left w:val="none" w:sz="0" w:space="0" w:color="auto"/>
        <w:bottom w:val="none" w:sz="0" w:space="0" w:color="auto"/>
        <w:right w:val="none" w:sz="0" w:space="0" w:color="auto"/>
      </w:divBdr>
    </w:div>
    <w:div w:id="32733819">
      <w:bodyDiv w:val="1"/>
      <w:marLeft w:val="0"/>
      <w:marRight w:val="0"/>
      <w:marTop w:val="0"/>
      <w:marBottom w:val="0"/>
      <w:divBdr>
        <w:top w:val="none" w:sz="0" w:space="0" w:color="auto"/>
        <w:left w:val="none" w:sz="0" w:space="0" w:color="auto"/>
        <w:bottom w:val="none" w:sz="0" w:space="0" w:color="auto"/>
        <w:right w:val="none" w:sz="0" w:space="0" w:color="auto"/>
      </w:divBdr>
    </w:div>
    <w:div w:id="36853154">
      <w:bodyDiv w:val="1"/>
      <w:marLeft w:val="0"/>
      <w:marRight w:val="0"/>
      <w:marTop w:val="0"/>
      <w:marBottom w:val="0"/>
      <w:divBdr>
        <w:top w:val="none" w:sz="0" w:space="0" w:color="auto"/>
        <w:left w:val="none" w:sz="0" w:space="0" w:color="auto"/>
        <w:bottom w:val="none" w:sz="0" w:space="0" w:color="auto"/>
        <w:right w:val="none" w:sz="0" w:space="0" w:color="auto"/>
      </w:divBdr>
    </w:div>
    <w:div w:id="36904469">
      <w:bodyDiv w:val="1"/>
      <w:marLeft w:val="0"/>
      <w:marRight w:val="0"/>
      <w:marTop w:val="0"/>
      <w:marBottom w:val="0"/>
      <w:divBdr>
        <w:top w:val="none" w:sz="0" w:space="0" w:color="auto"/>
        <w:left w:val="none" w:sz="0" w:space="0" w:color="auto"/>
        <w:bottom w:val="none" w:sz="0" w:space="0" w:color="auto"/>
        <w:right w:val="none" w:sz="0" w:space="0" w:color="auto"/>
      </w:divBdr>
    </w:div>
    <w:div w:id="37358023">
      <w:bodyDiv w:val="1"/>
      <w:marLeft w:val="0"/>
      <w:marRight w:val="0"/>
      <w:marTop w:val="0"/>
      <w:marBottom w:val="0"/>
      <w:divBdr>
        <w:top w:val="none" w:sz="0" w:space="0" w:color="auto"/>
        <w:left w:val="none" w:sz="0" w:space="0" w:color="auto"/>
        <w:bottom w:val="none" w:sz="0" w:space="0" w:color="auto"/>
        <w:right w:val="none" w:sz="0" w:space="0" w:color="auto"/>
      </w:divBdr>
    </w:div>
    <w:div w:id="39525099">
      <w:bodyDiv w:val="1"/>
      <w:marLeft w:val="0"/>
      <w:marRight w:val="0"/>
      <w:marTop w:val="0"/>
      <w:marBottom w:val="0"/>
      <w:divBdr>
        <w:top w:val="none" w:sz="0" w:space="0" w:color="auto"/>
        <w:left w:val="none" w:sz="0" w:space="0" w:color="auto"/>
        <w:bottom w:val="none" w:sz="0" w:space="0" w:color="auto"/>
        <w:right w:val="none" w:sz="0" w:space="0" w:color="auto"/>
      </w:divBdr>
    </w:div>
    <w:div w:id="41944373">
      <w:bodyDiv w:val="1"/>
      <w:marLeft w:val="0"/>
      <w:marRight w:val="0"/>
      <w:marTop w:val="0"/>
      <w:marBottom w:val="0"/>
      <w:divBdr>
        <w:top w:val="none" w:sz="0" w:space="0" w:color="auto"/>
        <w:left w:val="none" w:sz="0" w:space="0" w:color="auto"/>
        <w:bottom w:val="none" w:sz="0" w:space="0" w:color="auto"/>
        <w:right w:val="none" w:sz="0" w:space="0" w:color="auto"/>
      </w:divBdr>
    </w:div>
    <w:div w:id="42952126">
      <w:bodyDiv w:val="1"/>
      <w:marLeft w:val="0"/>
      <w:marRight w:val="0"/>
      <w:marTop w:val="0"/>
      <w:marBottom w:val="0"/>
      <w:divBdr>
        <w:top w:val="none" w:sz="0" w:space="0" w:color="auto"/>
        <w:left w:val="none" w:sz="0" w:space="0" w:color="auto"/>
        <w:bottom w:val="none" w:sz="0" w:space="0" w:color="auto"/>
        <w:right w:val="none" w:sz="0" w:space="0" w:color="auto"/>
      </w:divBdr>
    </w:div>
    <w:div w:id="44834851">
      <w:bodyDiv w:val="1"/>
      <w:marLeft w:val="0"/>
      <w:marRight w:val="0"/>
      <w:marTop w:val="0"/>
      <w:marBottom w:val="0"/>
      <w:divBdr>
        <w:top w:val="none" w:sz="0" w:space="0" w:color="auto"/>
        <w:left w:val="none" w:sz="0" w:space="0" w:color="auto"/>
        <w:bottom w:val="none" w:sz="0" w:space="0" w:color="auto"/>
        <w:right w:val="none" w:sz="0" w:space="0" w:color="auto"/>
      </w:divBdr>
    </w:div>
    <w:div w:id="44917681">
      <w:bodyDiv w:val="1"/>
      <w:marLeft w:val="0"/>
      <w:marRight w:val="0"/>
      <w:marTop w:val="0"/>
      <w:marBottom w:val="0"/>
      <w:divBdr>
        <w:top w:val="none" w:sz="0" w:space="0" w:color="auto"/>
        <w:left w:val="none" w:sz="0" w:space="0" w:color="auto"/>
        <w:bottom w:val="none" w:sz="0" w:space="0" w:color="auto"/>
        <w:right w:val="none" w:sz="0" w:space="0" w:color="auto"/>
      </w:divBdr>
    </w:div>
    <w:div w:id="45297967">
      <w:bodyDiv w:val="1"/>
      <w:marLeft w:val="0"/>
      <w:marRight w:val="0"/>
      <w:marTop w:val="0"/>
      <w:marBottom w:val="0"/>
      <w:divBdr>
        <w:top w:val="none" w:sz="0" w:space="0" w:color="auto"/>
        <w:left w:val="none" w:sz="0" w:space="0" w:color="auto"/>
        <w:bottom w:val="none" w:sz="0" w:space="0" w:color="auto"/>
        <w:right w:val="none" w:sz="0" w:space="0" w:color="auto"/>
      </w:divBdr>
    </w:div>
    <w:div w:id="47265871">
      <w:bodyDiv w:val="1"/>
      <w:marLeft w:val="0"/>
      <w:marRight w:val="0"/>
      <w:marTop w:val="0"/>
      <w:marBottom w:val="0"/>
      <w:divBdr>
        <w:top w:val="none" w:sz="0" w:space="0" w:color="auto"/>
        <w:left w:val="none" w:sz="0" w:space="0" w:color="auto"/>
        <w:bottom w:val="none" w:sz="0" w:space="0" w:color="auto"/>
        <w:right w:val="none" w:sz="0" w:space="0" w:color="auto"/>
      </w:divBdr>
    </w:div>
    <w:div w:id="48841378">
      <w:bodyDiv w:val="1"/>
      <w:marLeft w:val="0"/>
      <w:marRight w:val="0"/>
      <w:marTop w:val="0"/>
      <w:marBottom w:val="0"/>
      <w:divBdr>
        <w:top w:val="none" w:sz="0" w:space="0" w:color="auto"/>
        <w:left w:val="none" w:sz="0" w:space="0" w:color="auto"/>
        <w:bottom w:val="none" w:sz="0" w:space="0" w:color="auto"/>
        <w:right w:val="none" w:sz="0" w:space="0" w:color="auto"/>
      </w:divBdr>
    </w:div>
    <w:div w:id="49696919">
      <w:bodyDiv w:val="1"/>
      <w:marLeft w:val="0"/>
      <w:marRight w:val="0"/>
      <w:marTop w:val="0"/>
      <w:marBottom w:val="0"/>
      <w:divBdr>
        <w:top w:val="none" w:sz="0" w:space="0" w:color="auto"/>
        <w:left w:val="none" w:sz="0" w:space="0" w:color="auto"/>
        <w:bottom w:val="none" w:sz="0" w:space="0" w:color="auto"/>
        <w:right w:val="none" w:sz="0" w:space="0" w:color="auto"/>
      </w:divBdr>
    </w:div>
    <w:div w:id="49888277">
      <w:bodyDiv w:val="1"/>
      <w:marLeft w:val="0"/>
      <w:marRight w:val="0"/>
      <w:marTop w:val="0"/>
      <w:marBottom w:val="0"/>
      <w:divBdr>
        <w:top w:val="none" w:sz="0" w:space="0" w:color="auto"/>
        <w:left w:val="none" w:sz="0" w:space="0" w:color="auto"/>
        <w:bottom w:val="none" w:sz="0" w:space="0" w:color="auto"/>
        <w:right w:val="none" w:sz="0" w:space="0" w:color="auto"/>
      </w:divBdr>
    </w:div>
    <w:div w:id="50349815">
      <w:bodyDiv w:val="1"/>
      <w:marLeft w:val="0"/>
      <w:marRight w:val="0"/>
      <w:marTop w:val="0"/>
      <w:marBottom w:val="0"/>
      <w:divBdr>
        <w:top w:val="none" w:sz="0" w:space="0" w:color="auto"/>
        <w:left w:val="none" w:sz="0" w:space="0" w:color="auto"/>
        <w:bottom w:val="none" w:sz="0" w:space="0" w:color="auto"/>
        <w:right w:val="none" w:sz="0" w:space="0" w:color="auto"/>
      </w:divBdr>
    </w:div>
    <w:div w:id="50857697">
      <w:bodyDiv w:val="1"/>
      <w:marLeft w:val="0"/>
      <w:marRight w:val="0"/>
      <w:marTop w:val="0"/>
      <w:marBottom w:val="0"/>
      <w:divBdr>
        <w:top w:val="none" w:sz="0" w:space="0" w:color="auto"/>
        <w:left w:val="none" w:sz="0" w:space="0" w:color="auto"/>
        <w:bottom w:val="none" w:sz="0" w:space="0" w:color="auto"/>
        <w:right w:val="none" w:sz="0" w:space="0" w:color="auto"/>
      </w:divBdr>
    </w:div>
    <w:div w:id="52892115">
      <w:bodyDiv w:val="1"/>
      <w:marLeft w:val="0"/>
      <w:marRight w:val="0"/>
      <w:marTop w:val="0"/>
      <w:marBottom w:val="0"/>
      <w:divBdr>
        <w:top w:val="none" w:sz="0" w:space="0" w:color="auto"/>
        <w:left w:val="none" w:sz="0" w:space="0" w:color="auto"/>
        <w:bottom w:val="none" w:sz="0" w:space="0" w:color="auto"/>
        <w:right w:val="none" w:sz="0" w:space="0" w:color="auto"/>
      </w:divBdr>
      <w:divsChild>
        <w:div w:id="430440568">
          <w:marLeft w:val="0"/>
          <w:marRight w:val="0"/>
          <w:marTop w:val="0"/>
          <w:marBottom w:val="0"/>
          <w:divBdr>
            <w:top w:val="none" w:sz="0" w:space="0" w:color="auto"/>
            <w:left w:val="none" w:sz="0" w:space="0" w:color="auto"/>
            <w:bottom w:val="none" w:sz="0" w:space="0" w:color="auto"/>
            <w:right w:val="none" w:sz="0" w:space="0" w:color="auto"/>
          </w:divBdr>
          <w:divsChild>
            <w:div w:id="1002196845">
              <w:marLeft w:val="0"/>
              <w:marRight w:val="0"/>
              <w:marTop w:val="0"/>
              <w:marBottom w:val="0"/>
              <w:divBdr>
                <w:top w:val="none" w:sz="0" w:space="0" w:color="auto"/>
                <w:left w:val="none" w:sz="0" w:space="0" w:color="auto"/>
                <w:bottom w:val="none" w:sz="0" w:space="0" w:color="auto"/>
                <w:right w:val="none" w:sz="0" w:space="0" w:color="auto"/>
              </w:divBdr>
              <w:divsChild>
                <w:div w:id="595754087">
                  <w:marLeft w:val="0"/>
                  <w:marRight w:val="0"/>
                  <w:marTop w:val="0"/>
                  <w:marBottom w:val="0"/>
                  <w:divBdr>
                    <w:top w:val="none" w:sz="0" w:space="0" w:color="auto"/>
                    <w:left w:val="none" w:sz="0" w:space="0" w:color="auto"/>
                    <w:bottom w:val="none" w:sz="0" w:space="0" w:color="auto"/>
                    <w:right w:val="none" w:sz="0" w:space="0" w:color="auto"/>
                  </w:divBdr>
                  <w:divsChild>
                    <w:div w:id="106603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48002">
      <w:bodyDiv w:val="1"/>
      <w:marLeft w:val="0"/>
      <w:marRight w:val="0"/>
      <w:marTop w:val="0"/>
      <w:marBottom w:val="0"/>
      <w:divBdr>
        <w:top w:val="none" w:sz="0" w:space="0" w:color="auto"/>
        <w:left w:val="none" w:sz="0" w:space="0" w:color="auto"/>
        <w:bottom w:val="none" w:sz="0" w:space="0" w:color="auto"/>
        <w:right w:val="none" w:sz="0" w:space="0" w:color="auto"/>
      </w:divBdr>
    </w:div>
    <w:div w:id="54932985">
      <w:bodyDiv w:val="1"/>
      <w:marLeft w:val="0"/>
      <w:marRight w:val="0"/>
      <w:marTop w:val="0"/>
      <w:marBottom w:val="0"/>
      <w:divBdr>
        <w:top w:val="none" w:sz="0" w:space="0" w:color="auto"/>
        <w:left w:val="none" w:sz="0" w:space="0" w:color="auto"/>
        <w:bottom w:val="none" w:sz="0" w:space="0" w:color="auto"/>
        <w:right w:val="none" w:sz="0" w:space="0" w:color="auto"/>
      </w:divBdr>
    </w:div>
    <w:div w:id="55056052">
      <w:bodyDiv w:val="1"/>
      <w:marLeft w:val="0"/>
      <w:marRight w:val="0"/>
      <w:marTop w:val="0"/>
      <w:marBottom w:val="0"/>
      <w:divBdr>
        <w:top w:val="none" w:sz="0" w:space="0" w:color="auto"/>
        <w:left w:val="none" w:sz="0" w:space="0" w:color="auto"/>
        <w:bottom w:val="none" w:sz="0" w:space="0" w:color="auto"/>
        <w:right w:val="none" w:sz="0" w:space="0" w:color="auto"/>
      </w:divBdr>
    </w:div>
    <w:div w:id="58676177">
      <w:bodyDiv w:val="1"/>
      <w:marLeft w:val="0"/>
      <w:marRight w:val="0"/>
      <w:marTop w:val="0"/>
      <w:marBottom w:val="0"/>
      <w:divBdr>
        <w:top w:val="none" w:sz="0" w:space="0" w:color="auto"/>
        <w:left w:val="none" w:sz="0" w:space="0" w:color="auto"/>
        <w:bottom w:val="none" w:sz="0" w:space="0" w:color="auto"/>
        <w:right w:val="none" w:sz="0" w:space="0" w:color="auto"/>
      </w:divBdr>
    </w:div>
    <w:div w:id="60837654">
      <w:bodyDiv w:val="1"/>
      <w:marLeft w:val="0"/>
      <w:marRight w:val="0"/>
      <w:marTop w:val="0"/>
      <w:marBottom w:val="0"/>
      <w:divBdr>
        <w:top w:val="none" w:sz="0" w:space="0" w:color="auto"/>
        <w:left w:val="none" w:sz="0" w:space="0" w:color="auto"/>
        <w:bottom w:val="none" w:sz="0" w:space="0" w:color="auto"/>
        <w:right w:val="none" w:sz="0" w:space="0" w:color="auto"/>
      </w:divBdr>
    </w:div>
    <w:div w:id="60913418">
      <w:bodyDiv w:val="1"/>
      <w:marLeft w:val="0"/>
      <w:marRight w:val="0"/>
      <w:marTop w:val="0"/>
      <w:marBottom w:val="0"/>
      <w:divBdr>
        <w:top w:val="none" w:sz="0" w:space="0" w:color="auto"/>
        <w:left w:val="none" w:sz="0" w:space="0" w:color="auto"/>
        <w:bottom w:val="none" w:sz="0" w:space="0" w:color="auto"/>
        <w:right w:val="none" w:sz="0" w:space="0" w:color="auto"/>
      </w:divBdr>
    </w:div>
    <w:div w:id="61493717">
      <w:bodyDiv w:val="1"/>
      <w:marLeft w:val="0"/>
      <w:marRight w:val="0"/>
      <w:marTop w:val="0"/>
      <w:marBottom w:val="0"/>
      <w:divBdr>
        <w:top w:val="none" w:sz="0" w:space="0" w:color="auto"/>
        <w:left w:val="none" w:sz="0" w:space="0" w:color="auto"/>
        <w:bottom w:val="none" w:sz="0" w:space="0" w:color="auto"/>
        <w:right w:val="none" w:sz="0" w:space="0" w:color="auto"/>
      </w:divBdr>
    </w:div>
    <w:div w:id="62140646">
      <w:bodyDiv w:val="1"/>
      <w:marLeft w:val="0"/>
      <w:marRight w:val="0"/>
      <w:marTop w:val="0"/>
      <w:marBottom w:val="0"/>
      <w:divBdr>
        <w:top w:val="none" w:sz="0" w:space="0" w:color="auto"/>
        <w:left w:val="none" w:sz="0" w:space="0" w:color="auto"/>
        <w:bottom w:val="none" w:sz="0" w:space="0" w:color="auto"/>
        <w:right w:val="none" w:sz="0" w:space="0" w:color="auto"/>
      </w:divBdr>
    </w:div>
    <w:div w:id="62799240">
      <w:bodyDiv w:val="1"/>
      <w:marLeft w:val="0"/>
      <w:marRight w:val="0"/>
      <w:marTop w:val="0"/>
      <w:marBottom w:val="0"/>
      <w:divBdr>
        <w:top w:val="none" w:sz="0" w:space="0" w:color="auto"/>
        <w:left w:val="none" w:sz="0" w:space="0" w:color="auto"/>
        <w:bottom w:val="none" w:sz="0" w:space="0" w:color="auto"/>
        <w:right w:val="none" w:sz="0" w:space="0" w:color="auto"/>
      </w:divBdr>
    </w:div>
    <w:div w:id="62989027">
      <w:bodyDiv w:val="1"/>
      <w:marLeft w:val="0"/>
      <w:marRight w:val="0"/>
      <w:marTop w:val="0"/>
      <w:marBottom w:val="0"/>
      <w:divBdr>
        <w:top w:val="none" w:sz="0" w:space="0" w:color="auto"/>
        <w:left w:val="none" w:sz="0" w:space="0" w:color="auto"/>
        <w:bottom w:val="none" w:sz="0" w:space="0" w:color="auto"/>
        <w:right w:val="none" w:sz="0" w:space="0" w:color="auto"/>
      </w:divBdr>
    </w:div>
    <w:div w:id="63993488">
      <w:bodyDiv w:val="1"/>
      <w:marLeft w:val="0"/>
      <w:marRight w:val="0"/>
      <w:marTop w:val="0"/>
      <w:marBottom w:val="0"/>
      <w:divBdr>
        <w:top w:val="none" w:sz="0" w:space="0" w:color="auto"/>
        <w:left w:val="none" w:sz="0" w:space="0" w:color="auto"/>
        <w:bottom w:val="none" w:sz="0" w:space="0" w:color="auto"/>
        <w:right w:val="none" w:sz="0" w:space="0" w:color="auto"/>
      </w:divBdr>
    </w:div>
    <w:div w:id="64303867">
      <w:bodyDiv w:val="1"/>
      <w:marLeft w:val="0"/>
      <w:marRight w:val="0"/>
      <w:marTop w:val="0"/>
      <w:marBottom w:val="0"/>
      <w:divBdr>
        <w:top w:val="none" w:sz="0" w:space="0" w:color="auto"/>
        <w:left w:val="none" w:sz="0" w:space="0" w:color="auto"/>
        <w:bottom w:val="none" w:sz="0" w:space="0" w:color="auto"/>
        <w:right w:val="none" w:sz="0" w:space="0" w:color="auto"/>
      </w:divBdr>
    </w:div>
    <w:div w:id="64643036">
      <w:bodyDiv w:val="1"/>
      <w:marLeft w:val="0"/>
      <w:marRight w:val="0"/>
      <w:marTop w:val="0"/>
      <w:marBottom w:val="0"/>
      <w:divBdr>
        <w:top w:val="none" w:sz="0" w:space="0" w:color="auto"/>
        <w:left w:val="none" w:sz="0" w:space="0" w:color="auto"/>
        <w:bottom w:val="none" w:sz="0" w:space="0" w:color="auto"/>
        <w:right w:val="none" w:sz="0" w:space="0" w:color="auto"/>
      </w:divBdr>
    </w:div>
    <w:div w:id="65882011">
      <w:bodyDiv w:val="1"/>
      <w:marLeft w:val="0"/>
      <w:marRight w:val="0"/>
      <w:marTop w:val="0"/>
      <w:marBottom w:val="0"/>
      <w:divBdr>
        <w:top w:val="none" w:sz="0" w:space="0" w:color="auto"/>
        <w:left w:val="none" w:sz="0" w:space="0" w:color="auto"/>
        <w:bottom w:val="none" w:sz="0" w:space="0" w:color="auto"/>
        <w:right w:val="none" w:sz="0" w:space="0" w:color="auto"/>
      </w:divBdr>
    </w:div>
    <w:div w:id="66072669">
      <w:bodyDiv w:val="1"/>
      <w:marLeft w:val="0"/>
      <w:marRight w:val="0"/>
      <w:marTop w:val="0"/>
      <w:marBottom w:val="0"/>
      <w:divBdr>
        <w:top w:val="none" w:sz="0" w:space="0" w:color="auto"/>
        <w:left w:val="none" w:sz="0" w:space="0" w:color="auto"/>
        <w:bottom w:val="none" w:sz="0" w:space="0" w:color="auto"/>
        <w:right w:val="none" w:sz="0" w:space="0" w:color="auto"/>
      </w:divBdr>
    </w:div>
    <w:div w:id="67652945">
      <w:bodyDiv w:val="1"/>
      <w:marLeft w:val="0"/>
      <w:marRight w:val="0"/>
      <w:marTop w:val="0"/>
      <w:marBottom w:val="0"/>
      <w:divBdr>
        <w:top w:val="none" w:sz="0" w:space="0" w:color="auto"/>
        <w:left w:val="none" w:sz="0" w:space="0" w:color="auto"/>
        <w:bottom w:val="none" w:sz="0" w:space="0" w:color="auto"/>
        <w:right w:val="none" w:sz="0" w:space="0" w:color="auto"/>
      </w:divBdr>
    </w:div>
    <w:div w:id="67699234">
      <w:bodyDiv w:val="1"/>
      <w:marLeft w:val="0"/>
      <w:marRight w:val="0"/>
      <w:marTop w:val="0"/>
      <w:marBottom w:val="0"/>
      <w:divBdr>
        <w:top w:val="none" w:sz="0" w:space="0" w:color="auto"/>
        <w:left w:val="none" w:sz="0" w:space="0" w:color="auto"/>
        <w:bottom w:val="none" w:sz="0" w:space="0" w:color="auto"/>
        <w:right w:val="none" w:sz="0" w:space="0" w:color="auto"/>
      </w:divBdr>
    </w:div>
    <w:div w:id="68575049">
      <w:bodyDiv w:val="1"/>
      <w:marLeft w:val="0"/>
      <w:marRight w:val="0"/>
      <w:marTop w:val="0"/>
      <w:marBottom w:val="0"/>
      <w:divBdr>
        <w:top w:val="none" w:sz="0" w:space="0" w:color="auto"/>
        <w:left w:val="none" w:sz="0" w:space="0" w:color="auto"/>
        <w:bottom w:val="none" w:sz="0" w:space="0" w:color="auto"/>
        <w:right w:val="none" w:sz="0" w:space="0" w:color="auto"/>
      </w:divBdr>
    </w:div>
    <w:div w:id="68619294">
      <w:bodyDiv w:val="1"/>
      <w:marLeft w:val="0"/>
      <w:marRight w:val="0"/>
      <w:marTop w:val="0"/>
      <w:marBottom w:val="0"/>
      <w:divBdr>
        <w:top w:val="none" w:sz="0" w:space="0" w:color="auto"/>
        <w:left w:val="none" w:sz="0" w:space="0" w:color="auto"/>
        <w:bottom w:val="none" w:sz="0" w:space="0" w:color="auto"/>
        <w:right w:val="none" w:sz="0" w:space="0" w:color="auto"/>
      </w:divBdr>
    </w:div>
    <w:div w:id="68700268">
      <w:bodyDiv w:val="1"/>
      <w:marLeft w:val="0"/>
      <w:marRight w:val="0"/>
      <w:marTop w:val="0"/>
      <w:marBottom w:val="0"/>
      <w:divBdr>
        <w:top w:val="none" w:sz="0" w:space="0" w:color="auto"/>
        <w:left w:val="none" w:sz="0" w:space="0" w:color="auto"/>
        <w:bottom w:val="none" w:sz="0" w:space="0" w:color="auto"/>
        <w:right w:val="none" w:sz="0" w:space="0" w:color="auto"/>
      </w:divBdr>
    </w:div>
    <w:div w:id="68887203">
      <w:bodyDiv w:val="1"/>
      <w:marLeft w:val="0"/>
      <w:marRight w:val="0"/>
      <w:marTop w:val="0"/>
      <w:marBottom w:val="0"/>
      <w:divBdr>
        <w:top w:val="none" w:sz="0" w:space="0" w:color="auto"/>
        <w:left w:val="none" w:sz="0" w:space="0" w:color="auto"/>
        <w:bottom w:val="none" w:sz="0" w:space="0" w:color="auto"/>
        <w:right w:val="none" w:sz="0" w:space="0" w:color="auto"/>
      </w:divBdr>
    </w:div>
    <w:div w:id="69041666">
      <w:bodyDiv w:val="1"/>
      <w:marLeft w:val="0"/>
      <w:marRight w:val="0"/>
      <w:marTop w:val="0"/>
      <w:marBottom w:val="0"/>
      <w:divBdr>
        <w:top w:val="none" w:sz="0" w:space="0" w:color="auto"/>
        <w:left w:val="none" w:sz="0" w:space="0" w:color="auto"/>
        <w:bottom w:val="none" w:sz="0" w:space="0" w:color="auto"/>
        <w:right w:val="none" w:sz="0" w:space="0" w:color="auto"/>
      </w:divBdr>
    </w:div>
    <w:div w:id="69078956">
      <w:bodyDiv w:val="1"/>
      <w:marLeft w:val="0"/>
      <w:marRight w:val="0"/>
      <w:marTop w:val="0"/>
      <w:marBottom w:val="0"/>
      <w:divBdr>
        <w:top w:val="none" w:sz="0" w:space="0" w:color="auto"/>
        <w:left w:val="none" w:sz="0" w:space="0" w:color="auto"/>
        <w:bottom w:val="none" w:sz="0" w:space="0" w:color="auto"/>
        <w:right w:val="none" w:sz="0" w:space="0" w:color="auto"/>
      </w:divBdr>
    </w:div>
    <w:div w:id="69356312">
      <w:bodyDiv w:val="1"/>
      <w:marLeft w:val="0"/>
      <w:marRight w:val="0"/>
      <w:marTop w:val="0"/>
      <w:marBottom w:val="0"/>
      <w:divBdr>
        <w:top w:val="none" w:sz="0" w:space="0" w:color="auto"/>
        <w:left w:val="none" w:sz="0" w:space="0" w:color="auto"/>
        <w:bottom w:val="none" w:sz="0" w:space="0" w:color="auto"/>
        <w:right w:val="none" w:sz="0" w:space="0" w:color="auto"/>
      </w:divBdr>
    </w:div>
    <w:div w:id="69470177">
      <w:bodyDiv w:val="1"/>
      <w:marLeft w:val="0"/>
      <w:marRight w:val="0"/>
      <w:marTop w:val="0"/>
      <w:marBottom w:val="0"/>
      <w:divBdr>
        <w:top w:val="none" w:sz="0" w:space="0" w:color="auto"/>
        <w:left w:val="none" w:sz="0" w:space="0" w:color="auto"/>
        <w:bottom w:val="none" w:sz="0" w:space="0" w:color="auto"/>
        <w:right w:val="none" w:sz="0" w:space="0" w:color="auto"/>
      </w:divBdr>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69617343">
      <w:bodyDiv w:val="1"/>
      <w:marLeft w:val="0"/>
      <w:marRight w:val="0"/>
      <w:marTop w:val="0"/>
      <w:marBottom w:val="0"/>
      <w:divBdr>
        <w:top w:val="none" w:sz="0" w:space="0" w:color="auto"/>
        <w:left w:val="none" w:sz="0" w:space="0" w:color="auto"/>
        <w:bottom w:val="none" w:sz="0" w:space="0" w:color="auto"/>
        <w:right w:val="none" w:sz="0" w:space="0" w:color="auto"/>
      </w:divBdr>
    </w:div>
    <w:div w:id="71662203">
      <w:bodyDiv w:val="1"/>
      <w:marLeft w:val="0"/>
      <w:marRight w:val="0"/>
      <w:marTop w:val="0"/>
      <w:marBottom w:val="0"/>
      <w:divBdr>
        <w:top w:val="none" w:sz="0" w:space="0" w:color="auto"/>
        <w:left w:val="none" w:sz="0" w:space="0" w:color="auto"/>
        <w:bottom w:val="none" w:sz="0" w:space="0" w:color="auto"/>
        <w:right w:val="none" w:sz="0" w:space="0" w:color="auto"/>
      </w:divBdr>
    </w:div>
    <w:div w:id="73089598">
      <w:bodyDiv w:val="1"/>
      <w:marLeft w:val="0"/>
      <w:marRight w:val="0"/>
      <w:marTop w:val="0"/>
      <w:marBottom w:val="0"/>
      <w:divBdr>
        <w:top w:val="none" w:sz="0" w:space="0" w:color="auto"/>
        <w:left w:val="none" w:sz="0" w:space="0" w:color="auto"/>
        <w:bottom w:val="none" w:sz="0" w:space="0" w:color="auto"/>
        <w:right w:val="none" w:sz="0" w:space="0" w:color="auto"/>
      </w:divBdr>
    </w:div>
    <w:div w:id="73935693">
      <w:bodyDiv w:val="1"/>
      <w:marLeft w:val="0"/>
      <w:marRight w:val="0"/>
      <w:marTop w:val="0"/>
      <w:marBottom w:val="0"/>
      <w:divBdr>
        <w:top w:val="none" w:sz="0" w:space="0" w:color="auto"/>
        <w:left w:val="none" w:sz="0" w:space="0" w:color="auto"/>
        <w:bottom w:val="none" w:sz="0" w:space="0" w:color="auto"/>
        <w:right w:val="none" w:sz="0" w:space="0" w:color="auto"/>
      </w:divBdr>
    </w:div>
    <w:div w:id="74786985">
      <w:bodyDiv w:val="1"/>
      <w:marLeft w:val="0"/>
      <w:marRight w:val="0"/>
      <w:marTop w:val="0"/>
      <w:marBottom w:val="0"/>
      <w:divBdr>
        <w:top w:val="none" w:sz="0" w:space="0" w:color="auto"/>
        <w:left w:val="none" w:sz="0" w:space="0" w:color="auto"/>
        <w:bottom w:val="none" w:sz="0" w:space="0" w:color="auto"/>
        <w:right w:val="none" w:sz="0" w:space="0" w:color="auto"/>
      </w:divBdr>
    </w:div>
    <w:div w:id="75132124">
      <w:bodyDiv w:val="1"/>
      <w:marLeft w:val="0"/>
      <w:marRight w:val="0"/>
      <w:marTop w:val="0"/>
      <w:marBottom w:val="0"/>
      <w:divBdr>
        <w:top w:val="none" w:sz="0" w:space="0" w:color="auto"/>
        <w:left w:val="none" w:sz="0" w:space="0" w:color="auto"/>
        <w:bottom w:val="none" w:sz="0" w:space="0" w:color="auto"/>
        <w:right w:val="none" w:sz="0" w:space="0" w:color="auto"/>
      </w:divBdr>
    </w:div>
    <w:div w:id="75320786">
      <w:bodyDiv w:val="1"/>
      <w:marLeft w:val="0"/>
      <w:marRight w:val="0"/>
      <w:marTop w:val="0"/>
      <w:marBottom w:val="0"/>
      <w:divBdr>
        <w:top w:val="none" w:sz="0" w:space="0" w:color="auto"/>
        <w:left w:val="none" w:sz="0" w:space="0" w:color="auto"/>
        <w:bottom w:val="none" w:sz="0" w:space="0" w:color="auto"/>
        <w:right w:val="none" w:sz="0" w:space="0" w:color="auto"/>
      </w:divBdr>
    </w:div>
    <w:div w:id="75980044">
      <w:bodyDiv w:val="1"/>
      <w:marLeft w:val="0"/>
      <w:marRight w:val="0"/>
      <w:marTop w:val="0"/>
      <w:marBottom w:val="0"/>
      <w:divBdr>
        <w:top w:val="none" w:sz="0" w:space="0" w:color="auto"/>
        <w:left w:val="none" w:sz="0" w:space="0" w:color="auto"/>
        <w:bottom w:val="none" w:sz="0" w:space="0" w:color="auto"/>
        <w:right w:val="none" w:sz="0" w:space="0" w:color="auto"/>
      </w:divBdr>
    </w:div>
    <w:div w:id="77866580">
      <w:bodyDiv w:val="1"/>
      <w:marLeft w:val="0"/>
      <w:marRight w:val="0"/>
      <w:marTop w:val="0"/>
      <w:marBottom w:val="0"/>
      <w:divBdr>
        <w:top w:val="none" w:sz="0" w:space="0" w:color="auto"/>
        <w:left w:val="none" w:sz="0" w:space="0" w:color="auto"/>
        <w:bottom w:val="none" w:sz="0" w:space="0" w:color="auto"/>
        <w:right w:val="none" w:sz="0" w:space="0" w:color="auto"/>
      </w:divBdr>
    </w:div>
    <w:div w:id="79524963">
      <w:bodyDiv w:val="1"/>
      <w:marLeft w:val="0"/>
      <w:marRight w:val="0"/>
      <w:marTop w:val="0"/>
      <w:marBottom w:val="0"/>
      <w:divBdr>
        <w:top w:val="none" w:sz="0" w:space="0" w:color="auto"/>
        <w:left w:val="none" w:sz="0" w:space="0" w:color="auto"/>
        <w:bottom w:val="none" w:sz="0" w:space="0" w:color="auto"/>
        <w:right w:val="none" w:sz="0" w:space="0" w:color="auto"/>
      </w:divBdr>
    </w:div>
    <w:div w:id="86007238">
      <w:bodyDiv w:val="1"/>
      <w:marLeft w:val="0"/>
      <w:marRight w:val="0"/>
      <w:marTop w:val="0"/>
      <w:marBottom w:val="0"/>
      <w:divBdr>
        <w:top w:val="none" w:sz="0" w:space="0" w:color="auto"/>
        <w:left w:val="none" w:sz="0" w:space="0" w:color="auto"/>
        <w:bottom w:val="none" w:sz="0" w:space="0" w:color="auto"/>
        <w:right w:val="none" w:sz="0" w:space="0" w:color="auto"/>
      </w:divBdr>
    </w:div>
    <w:div w:id="86268695">
      <w:bodyDiv w:val="1"/>
      <w:marLeft w:val="0"/>
      <w:marRight w:val="0"/>
      <w:marTop w:val="0"/>
      <w:marBottom w:val="0"/>
      <w:divBdr>
        <w:top w:val="none" w:sz="0" w:space="0" w:color="auto"/>
        <w:left w:val="none" w:sz="0" w:space="0" w:color="auto"/>
        <w:bottom w:val="none" w:sz="0" w:space="0" w:color="auto"/>
        <w:right w:val="none" w:sz="0" w:space="0" w:color="auto"/>
      </w:divBdr>
    </w:div>
    <w:div w:id="86275882">
      <w:bodyDiv w:val="1"/>
      <w:marLeft w:val="0"/>
      <w:marRight w:val="0"/>
      <w:marTop w:val="0"/>
      <w:marBottom w:val="0"/>
      <w:divBdr>
        <w:top w:val="none" w:sz="0" w:space="0" w:color="auto"/>
        <w:left w:val="none" w:sz="0" w:space="0" w:color="auto"/>
        <w:bottom w:val="none" w:sz="0" w:space="0" w:color="auto"/>
        <w:right w:val="none" w:sz="0" w:space="0" w:color="auto"/>
      </w:divBdr>
    </w:div>
    <w:div w:id="86390659">
      <w:bodyDiv w:val="1"/>
      <w:marLeft w:val="0"/>
      <w:marRight w:val="0"/>
      <w:marTop w:val="0"/>
      <w:marBottom w:val="0"/>
      <w:divBdr>
        <w:top w:val="none" w:sz="0" w:space="0" w:color="auto"/>
        <w:left w:val="none" w:sz="0" w:space="0" w:color="auto"/>
        <w:bottom w:val="none" w:sz="0" w:space="0" w:color="auto"/>
        <w:right w:val="none" w:sz="0" w:space="0" w:color="auto"/>
      </w:divBdr>
    </w:div>
    <w:div w:id="86662924">
      <w:bodyDiv w:val="1"/>
      <w:marLeft w:val="0"/>
      <w:marRight w:val="0"/>
      <w:marTop w:val="0"/>
      <w:marBottom w:val="0"/>
      <w:divBdr>
        <w:top w:val="none" w:sz="0" w:space="0" w:color="auto"/>
        <w:left w:val="none" w:sz="0" w:space="0" w:color="auto"/>
        <w:bottom w:val="none" w:sz="0" w:space="0" w:color="auto"/>
        <w:right w:val="none" w:sz="0" w:space="0" w:color="auto"/>
      </w:divBdr>
    </w:div>
    <w:div w:id="88282586">
      <w:bodyDiv w:val="1"/>
      <w:marLeft w:val="0"/>
      <w:marRight w:val="0"/>
      <w:marTop w:val="0"/>
      <w:marBottom w:val="0"/>
      <w:divBdr>
        <w:top w:val="none" w:sz="0" w:space="0" w:color="auto"/>
        <w:left w:val="none" w:sz="0" w:space="0" w:color="auto"/>
        <w:bottom w:val="none" w:sz="0" w:space="0" w:color="auto"/>
        <w:right w:val="none" w:sz="0" w:space="0" w:color="auto"/>
      </w:divBdr>
    </w:div>
    <w:div w:id="88428006">
      <w:bodyDiv w:val="1"/>
      <w:marLeft w:val="0"/>
      <w:marRight w:val="0"/>
      <w:marTop w:val="0"/>
      <w:marBottom w:val="0"/>
      <w:divBdr>
        <w:top w:val="none" w:sz="0" w:space="0" w:color="auto"/>
        <w:left w:val="none" w:sz="0" w:space="0" w:color="auto"/>
        <w:bottom w:val="none" w:sz="0" w:space="0" w:color="auto"/>
        <w:right w:val="none" w:sz="0" w:space="0" w:color="auto"/>
      </w:divBdr>
    </w:div>
    <w:div w:id="93525905">
      <w:bodyDiv w:val="1"/>
      <w:marLeft w:val="0"/>
      <w:marRight w:val="0"/>
      <w:marTop w:val="0"/>
      <w:marBottom w:val="0"/>
      <w:divBdr>
        <w:top w:val="none" w:sz="0" w:space="0" w:color="auto"/>
        <w:left w:val="none" w:sz="0" w:space="0" w:color="auto"/>
        <w:bottom w:val="none" w:sz="0" w:space="0" w:color="auto"/>
        <w:right w:val="none" w:sz="0" w:space="0" w:color="auto"/>
      </w:divBdr>
    </w:div>
    <w:div w:id="94447141">
      <w:bodyDiv w:val="1"/>
      <w:marLeft w:val="0"/>
      <w:marRight w:val="0"/>
      <w:marTop w:val="0"/>
      <w:marBottom w:val="0"/>
      <w:divBdr>
        <w:top w:val="none" w:sz="0" w:space="0" w:color="auto"/>
        <w:left w:val="none" w:sz="0" w:space="0" w:color="auto"/>
        <w:bottom w:val="none" w:sz="0" w:space="0" w:color="auto"/>
        <w:right w:val="none" w:sz="0" w:space="0" w:color="auto"/>
      </w:divBdr>
    </w:div>
    <w:div w:id="95028075">
      <w:bodyDiv w:val="1"/>
      <w:marLeft w:val="0"/>
      <w:marRight w:val="0"/>
      <w:marTop w:val="0"/>
      <w:marBottom w:val="0"/>
      <w:divBdr>
        <w:top w:val="none" w:sz="0" w:space="0" w:color="auto"/>
        <w:left w:val="none" w:sz="0" w:space="0" w:color="auto"/>
        <w:bottom w:val="none" w:sz="0" w:space="0" w:color="auto"/>
        <w:right w:val="none" w:sz="0" w:space="0" w:color="auto"/>
      </w:divBdr>
    </w:div>
    <w:div w:id="95682912">
      <w:bodyDiv w:val="1"/>
      <w:marLeft w:val="0"/>
      <w:marRight w:val="0"/>
      <w:marTop w:val="0"/>
      <w:marBottom w:val="0"/>
      <w:divBdr>
        <w:top w:val="none" w:sz="0" w:space="0" w:color="auto"/>
        <w:left w:val="none" w:sz="0" w:space="0" w:color="auto"/>
        <w:bottom w:val="none" w:sz="0" w:space="0" w:color="auto"/>
        <w:right w:val="none" w:sz="0" w:space="0" w:color="auto"/>
      </w:divBdr>
    </w:div>
    <w:div w:id="95713033">
      <w:bodyDiv w:val="1"/>
      <w:marLeft w:val="0"/>
      <w:marRight w:val="0"/>
      <w:marTop w:val="0"/>
      <w:marBottom w:val="0"/>
      <w:divBdr>
        <w:top w:val="none" w:sz="0" w:space="0" w:color="auto"/>
        <w:left w:val="none" w:sz="0" w:space="0" w:color="auto"/>
        <w:bottom w:val="none" w:sz="0" w:space="0" w:color="auto"/>
        <w:right w:val="none" w:sz="0" w:space="0" w:color="auto"/>
      </w:divBdr>
    </w:div>
    <w:div w:id="98331053">
      <w:bodyDiv w:val="1"/>
      <w:marLeft w:val="0"/>
      <w:marRight w:val="0"/>
      <w:marTop w:val="0"/>
      <w:marBottom w:val="0"/>
      <w:divBdr>
        <w:top w:val="none" w:sz="0" w:space="0" w:color="auto"/>
        <w:left w:val="none" w:sz="0" w:space="0" w:color="auto"/>
        <w:bottom w:val="none" w:sz="0" w:space="0" w:color="auto"/>
        <w:right w:val="none" w:sz="0" w:space="0" w:color="auto"/>
      </w:divBdr>
    </w:div>
    <w:div w:id="98454058">
      <w:bodyDiv w:val="1"/>
      <w:marLeft w:val="0"/>
      <w:marRight w:val="0"/>
      <w:marTop w:val="0"/>
      <w:marBottom w:val="0"/>
      <w:divBdr>
        <w:top w:val="none" w:sz="0" w:space="0" w:color="auto"/>
        <w:left w:val="none" w:sz="0" w:space="0" w:color="auto"/>
        <w:bottom w:val="none" w:sz="0" w:space="0" w:color="auto"/>
        <w:right w:val="none" w:sz="0" w:space="0" w:color="auto"/>
      </w:divBdr>
    </w:div>
    <w:div w:id="98765872">
      <w:bodyDiv w:val="1"/>
      <w:marLeft w:val="0"/>
      <w:marRight w:val="0"/>
      <w:marTop w:val="0"/>
      <w:marBottom w:val="0"/>
      <w:divBdr>
        <w:top w:val="none" w:sz="0" w:space="0" w:color="auto"/>
        <w:left w:val="none" w:sz="0" w:space="0" w:color="auto"/>
        <w:bottom w:val="none" w:sz="0" w:space="0" w:color="auto"/>
        <w:right w:val="none" w:sz="0" w:space="0" w:color="auto"/>
      </w:divBdr>
    </w:div>
    <w:div w:id="99229048">
      <w:bodyDiv w:val="1"/>
      <w:marLeft w:val="0"/>
      <w:marRight w:val="0"/>
      <w:marTop w:val="0"/>
      <w:marBottom w:val="0"/>
      <w:divBdr>
        <w:top w:val="none" w:sz="0" w:space="0" w:color="auto"/>
        <w:left w:val="none" w:sz="0" w:space="0" w:color="auto"/>
        <w:bottom w:val="none" w:sz="0" w:space="0" w:color="auto"/>
        <w:right w:val="none" w:sz="0" w:space="0" w:color="auto"/>
      </w:divBdr>
    </w:div>
    <w:div w:id="99306081">
      <w:bodyDiv w:val="1"/>
      <w:marLeft w:val="0"/>
      <w:marRight w:val="0"/>
      <w:marTop w:val="0"/>
      <w:marBottom w:val="0"/>
      <w:divBdr>
        <w:top w:val="none" w:sz="0" w:space="0" w:color="auto"/>
        <w:left w:val="none" w:sz="0" w:space="0" w:color="auto"/>
        <w:bottom w:val="none" w:sz="0" w:space="0" w:color="auto"/>
        <w:right w:val="none" w:sz="0" w:space="0" w:color="auto"/>
      </w:divBdr>
    </w:div>
    <w:div w:id="99493826">
      <w:bodyDiv w:val="1"/>
      <w:marLeft w:val="0"/>
      <w:marRight w:val="0"/>
      <w:marTop w:val="0"/>
      <w:marBottom w:val="0"/>
      <w:divBdr>
        <w:top w:val="none" w:sz="0" w:space="0" w:color="auto"/>
        <w:left w:val="none" w:sz="0" w:space="0" w:color="auto"/>
        <w:bottom w:val="none" w:sz="0" w:space="0" w:color="auto"/>
        <w:right w:val="none" w:sz="0" w:space="0" w:color="auto"/>
      </w:divBdr>
    </w:div>
    <w:div w:id="101607060">
      <w:bodyDiv w:val="1"/>
      <w:marLeft w:val="0"/>
      <w:marRight w:val="0"/>
      <w:marTop w:val="0"/>
      <w:marBottom w:val="0"/>
      <w:divBdr>
        <w:top w:val="none" w:sz="0" w:space="0" w:color="auto"/>
        <w:left w:val="none" w:sz="0" w:space="0" w:color="auto"/>
        <w:bottom w:val="none" w:sz="0" w:space="0" w:color="auto"/>
        <w:right w:val="none" w:sz="0" w:space="0" w:color="auto"/>
      </w:divBdr>
    </w:div>
    <w:div w:id="101730197">
      <w:bodyDiv w:val="1"/>
      <w:marLeft w:val="0"/>
      <w:marRight w:val="0"/>
      <w:marTop w:val="0"/>
      <w:marBottom w:val="0"/>
      <w:divBdr>
        <w:top w:val="none" w:sz="0" w:space="0" w:color="auto"/>
        <w:left w:val="none" w:sz="0" w:space="0" w:color="auto"/>
        <w:bottom w:val="none" w:sz="0" w:space="0" w:color="auto"/>
        <w:right w:val="none" w:sz="0" w:space="0" w:color="auto"/>
      </w:divBdr>
    </w:div>
    <w:div w:id="101851282">
      <w:bodyDiv w:val="1"/>
      <w:marLeft w:val="0"/>
      <w:marRight w:val="0"/>
      <w:marTop w:val="0"/>
      <w:marBottom w:val="0"/>
      <w:divBdr>
        <w:top w:val="none" w:sz="0" w:space="0" w:color="auto"/>
        <w:left w:val="none" w:sz="0" w:space="0" w:color="auto"/>
        <w:bottom w:val="none" w:sz="0" w:space="0" w:color="auto"/>
        <w:right w:val="none" w:sz="0" w:space="0" w:color="auto"/>
      </w:divBdr>
    </w:div>
    <w:div w:id="104231260">
      <w:bodyDiv w:val="1"/>
      <w:marLeft w:val="0"/>
      <w:marRight w:val="0"/>
      <w:marTop w:val="0"/>
      <w:marBottom w:val="0"/>
      <w:divBdr>
        <w:top w:val="none" w:sz="0" w:space="0" w:color="auto"/>
        <w:left w:val="none" w:sz="0" w:space="0" w:color="auto"/>
        <w:bottom w:val="none" w:sz="0" w:space="0" w:color="auto"/>
        <w:right w:val="none" w:sz="0" w:space="0" w:color="auto"/>
      </w:divBdr>
    </w:div>
    <w:div w:id="104690253">
      <w:bodyDiv w:val="1"/>
      <w:marLeft w:val="0"/>
      <w:marRight w:val="0"/>
      <w:marTop w:val="0"/>
      <w:marBottom w:val="0"/>
      <w:divBdr>
        <w:top w:val="none" w:sz="0" w:space="0" w:color="auto"/>
        <w:left w:val="none" w:sz="0" w:space="0" w:color="auto"/>
        <w:bottom w:val="none" w:sz="0" w:space="0" w:color="auto"/>
        <w:right w:val="none" w:sz="0" w:space="0" w:color="auto"/>
      </w:divBdr>
    </w:div>
    <w:div w:id="105467708">
      <w:bodyDiv w:val="1"/>
      <w:marLeft w:val="0"/>
      <w:marRight w:val="0"/>
      <w:marTop w:val="0"/>
      <w:marBottom w:val="0"/>
      <w:divBdr>
        <w:top w:val="none" w:sz="0" w:space="0" w:color="auto"/>
        <w:left w:val="none" w:sz="0" w:space="0" w:color="auto"/>
        <w:bottom w:val="none" w:sz="0" w:space="0" w:color="auto"/>
        <w:right w:val="none" w:sz="0" w:space="0" w:color="auto"/>
      </w:divBdr>
    </w:div>
    <w:div w:id="106387872">
      <w:bodyDiv w:val="1"/>
      <w:marLeft w:val="0"/>
      <w:marRight w:val="0"/>
      <w:marTop w:val="0"/>
      <w:marBottom w:val="0"/>
      <w:divBdr>
        <w:top w:val="none" w:sz="0" w:space="0" w:color="auto"/>
        <w:left w:val="none" w:sz="0" w:space="0" w:color="auto"/>
        <w:bottom w:val="none" w:sz="0" w:space="0" w:color="auto"/>
        <w:right w:val="none" w:sz="0" w:space="0" w:color="auto"/>
      </w:divBdr>
    </w:div>
    <w:div w:id="107706793">
      <w:bodyDiv w:val="1"/>
      <w:marLeft w:val="0"/>
      <w:marRight w:val="0"/>
      <w:marTop w:val="0"/>
      <w:marBottom w:val="0"/>
      <w:divBdr>
        <w:top w:val="none" w:sz="0" w:space="0" w:color="auto"/>
        <w:left w:val="none" w:sz="0" w:space="0" w:color="auto"/>
        <w:bottom w:val="none" w:sz="0" w:space="0" w:color="auto"/>
        <w:right w:val="none" w:sz="0" w:space="0" w:color="auto"/>
      </w:divBdr>
    </w:div>
    <w:div w:id="108359082">
      <w:bodyDiv w:val="1"/>
      <w:marLeft w:val="0"/>
      <w:marRight w:val="0"/>
      <w:marTop w:val="0"/>
      <w:marBottom w:val="0"/>
      <w:divBdr>
        <w:top w:val="none" w:sz="0" w:space="0" w:color="auto"/>
        <w:left w:val="none" w:sz="0" w:space="0" w:color="auto"/>
        <w:bottom w:val="none" w:sz="0" w:space="0" w:color="auto"/>
        <w:right w:val="none" w:sz="0" w:space="0" w:color="auto"/>
      </w:divBdr>
    </w:div>
    <w:div w:id="109207456">
      <w:bodyDiv w:val="1"/>
      <w:marLeft w:val="0"/>
      <w:marRight w:val="0"/>
      <w:marTop w:val="0"/>
      <w:marBottom w:val="0"/>
      <w:divBdr>
        <w:top w:val="none" w:sz="0" w:space="0" w:color="auto"/>
        <w:left w:val="none" w:sz="0" w:space="0" w:color="auto"/>
        <w:bottom w:val="none" w:sz="0" w:space="0" w:color="auto"/>
        <w:right w:val="none" w:sz="0" w:space="0" w:color="auto"/>
      </w:divBdr>
    </w:div>
    <w:div w:id="109516620">
      <w:bodyDiv w:val="1"/>
      <w:marLeft w:val="0"/>
      <w:marRight w:val="0"/>
      <w:marTop w:val="0"/>
      <w:marBottom w:val="0"/>
      <w:divBdr>
        <w:top w:val="none" w:sz="0" w:space="0" w:color="auto"/>
        <w:left w:val="none" w:sz="0" w:space="0" w:color="auto"/>
        <w:bottom w:val="none" w:sz="0" w:space="0" w:color="auto"/>
        <w:right w:val="none" w:sz="0" w:space="0" w:color="auto"/>
      </w:divBdr>
    </w:div>
    <w:div w:id="109786215">
      <w:bodyDiv w:val="1"/>
      <w:marLeft w:val="0"/>
      <w:marRight w:val="0"/>
      <w:marTop w:val="0"/>
      <w:marBottom w:val="0"/>
      <w:divBdr>
        <w:top w:val="none" w:sz="0" w:space="0" w:color="auto"/>
        <w:left w:val="none" w:sz="0" w:space="0" w:color="auto"/>
        <w:bottom w:val="none" w:sz="0" w:space="0" w:color="auto"/>
        <w:right w:val="none" w:sz="0" w:space="0" w:color="auto"/>
      </w:divBdr>
    </w:div>
    <w:div w:id="113837523">
      <w:bodyDiv w:val="1"/>
      <w:marLeft w:val="0"/>
      <w:marRight w:val="0"/>
      <w:marTop w:val="0"/>
      <w:marBottom w:val="0"/>
      <w:divBdr>
        <w:top w:val="none" w:sz="0" w:space="0" w:color="auto"/>
        <w:left w:val="none" w:sz="0" w:space="0" w:color="auto"/>
        <w:bottom w:val="none" w:sz="0" w:space="0" w:color="auto"/>
        <w:right w:val="none" w:sz="0" w:space="0" w:color="auto"/>
      </w:divBdr>
    </w:div>
    <w:div w:id="114645897">
      <w:bodyDiv w:val="1"/>
      <w:marLeft w:val="0"/>
      <w:marRight w:val="0"/>
      <w:marTop w:val="0"/>
      <w:marBottom w:val="0"/>
      <w:divBdr>
        <w:top w:val="none" w:sz="0" w:space="0" w:color="auto"/>
        <w:left w:val="none" w:sz="0" w:space="0" w:color="auto"/>
        <w:bottom w:val="none" w:sz="0" w:space="0" w:color="auto"/>
        <w:right w:val="none" w:sz="0" w:space="0" w:color="auto"/>
      </w:divBdr>
    </w:div>
    <w:div w:id="115803171">
      <w:bodyDiv w:val="1"/>
      <w:marLeft w:val="0"/>
      <w:marRight w:val="0"/>
      <w:marTop w:val="0"/>
      <w:marBottom w:val="0"/>
      <w:divBdr>
        <w:top w:val="none" w:sz="0" w:space="0" w:color="auto"/>
        <w:left w:val="none" w:sz="0" w:space="0" w:color="auto"/>
        <w:bottom w:val="none" w:sz="0" w:space="0" w:color="auto"/>
        <w:right w:val="none" w:sz="0" w:space="0" w:color="auto"/>
      </w:divBdr>
    </w:div>
    <w:div w:id="116340191">
      <w:bodyDiv w:val="1"/>
      <w:marLeft w:val="0"/>
      <w:marRight w:val="0"/>
      <w:marTop w:val="0"/>
      <w:marBottom w:val="0"/>
      <w:divBdr>
        <w:top w:val="none" w:sz="0" w:space="0" w:color="auto"/>
        <w:left w:val="none" w:sz="0" w:space="0" w:color="auto"/>
        <w:bottom w:val="none" w:sz="0" w:space="0" w:color="auto"/>
        <w:right w:val="none" w:sz="0" w:space="0" w:color="auto"/>
      </w:divBdr>
    </w:div>
    <w:div w:id="117455964">
      <w:bodyDiv w:val="1"/>
      <w:marLeft w:val="0"/>
      <w:marRight w:val="0"/>
      <w:marTop w:val="0"/>
      <w:marBottom w:val="0"/>
      <w:divBdr>
        <w:top w:val="none" w:sz="0" w:space="0" w:color="auto"/>
        <w:left w:val="none" w:sz="0" w:space="0" w:color="auto"/>
        <w:bottom w:val="none" w:sz="0" w:space="0" w:color="auto"/>
        <w:right w:val="none" w:sz="0" w:space="0" w:color="auto"/>
      </w:divBdr>
    </w:div>
    <w:div w:id="118107619">
      <w:bodyDiv w:val="1"/>
      <w:marLeft w:val="0"/>
      <w:marRight w:val="0"/>
      <w:marTop w:val="0"/>
      <w:marBottom w:val="0"/>
      <w:divBdr>
        <w:top w:val="none" w:sz="0" w:space="0" w:color="auto"/>
        <w:left w:val="none" w:sz="0" w:space="0" w:color="auto"/>
        <w:bottom w:val="none" w:sz="0" w:space="0" w:color="auto"/>
        <w:right w:val="none" w:sz="0" w:space="0" w:color="auto"/>
      </w:divBdr>
    </w:div>
    <w:div w:id="119304165">
      <w:bodyDiv w:val="1"/>
      <w:marLeft w:val="0"/>
      <w:marRight w:val="0"/>
      <w:marTop w:val="0"/>
      <w:marBottom w:val="0"/>
      <w:divBdr>
        <w:top w:val="none" w:sz="0" w:space="0" w:color="auto"/>
        <w:left w:val="none" w:sz="0" w:space="0" w:color="auto"/>
        <w:bottom w:val="none" w:sz="0" w:space="0" w:color="auto"/>
        <w:right w:val="none" w:sz="0" w:space="0" w:color="auto"/>
      </w:divBdr>
    </w:div>
    <w:div w:id="120344073">
      <w:bodyDiv w:val="1"/>
      <w:marLeft w:val="0"/>
      <w:marRight w:val="0"/>
      <w:marTop w:val="0"/>
      <w:marBottom w:val="0"/>
      <w:divBdr>
        <w:top w:val="none" w:sz="0" w:space="0" w:color="auto"/>
        <w:left w:val="none" w:sz="0" w:space="0" w:color="auto"/>
        <w:bottom w:val="none" w:sz="0" w:space="0" w:color="auto"/>
        <w:right w:val="none" w:sz="0" w:space="0" w:color="auto"/>
      </w:divBdr>
    </w:div>
    <w:div w:id="121047279">
      <w:bodyDiv w:val="1"/>
      <w:marLeft w:val="0"/>
      <w:marRight w:val="0"/>
      <w:marTop w:val="0"/>
      <w:marBottom w:val="0"/>
      <w:divBdr>
        <w:top w:val="none" w:sz="0" w:space="0" w:color="auto"/>
        <w:left w:val="none" w:sz="0" w:space="0" w:color="auto"/>
        <w:bottom w:val="none" w:sz="0" w:space="0" w:color="auto"/>
        <w:right w:val="none" w:sz="0" w:space="0" w:color="auto"/>
      </w:divBdr>
    </w:div>
    <w:div w:id="123740591">
      <w:bodyDiv w:val="1"/>
      <w:marLeft w:val="0"/>
      <w:marRight w:val="0"/>
      <w:marTop w:val="0"/>
      <w:marBottom w:val="0"/>
      <w:divBdr>
        <w:top w:val="none" w:sz="0" w:space="0" w:color="auto"/>
        <w:left w:val="none" w:sz="0" w:space="0" w:color="auto"/>
        <w:bottom w:val="none" w:sz="0" w:space="0" w:color="auto"/>
        <w:right w:val="none" w:sz="0" w:space="0" w:color="auto"/>
      </w:divBdr>
    </w:div>
    <w:div w:id="126320637">
      <w:bodyDiv w:val="1"/>
      <w:marLeft w:val="0"/>
      <w:marRight w:val="0"/>
      <w:marTop w:val="0"/>
      <w:marBottom w:val="0"/>
      <w:divBdr>
        <w:top w:val="none" w:sz="0" w:space="0" w:color="auto"/>
        <w:left w:val="none" w:sz="0" w:space="0" w:color="auto"/>
        <w:bottom w:val="none" w:sz="0" w:space="0" w:color="auto"/>
        <w:right w:val="none" w:sz="0" w:space="0" w:color="auto"/>
      </w:divBdr>
    </w:div>
    <w:div w:id="126359763">
      <w:bodyDiv w:val="1"/>
      <w:marLeft w:val="0"/>
      <w:marRight w:val="0"/>
      <w:marTop w:val="0"/>
      <w:marBottom w:val="0"/>
      <w:divBdr>
        <w:top w:val="none" w:sz="0" w:space="0" w:color="auto"/>
        <w:left w:val="none" w:sz="0" w:space="0" w:color="auto"/>
        <w:bottom w:val="none" w:sz="0" w:space="0" w:color="auto"/>
        <w:right w:val="none" w:sz="0" w:space="0" w:color="auto"/>
      </w:divBdr>
    </w:div>
    <w:div w:id="127019305">
      <w:bodyDiv w:val="1"/>
      <w:marLeft w:val="0"/>
      <w:marRight w:val="0"/>
      <w:marTop w:val="0"/>
      <w:marBottom w:val="0"/>
      <w:divBdr>
        <w:top w:val="none" w:sz="0" w:space="0" w:color="auto"/>
        <w:left w:val="none" w:sz="0" w:space="0" w:color="auto"/>
        <w:bottom w:val="none" w:sz="0" w:space="0" w:color="auto"/>
        <w:right w:val="none" w:sz="0" w:space="0" w:color="auto"/>
      </w:divBdr>
    </w:div>
    <w:div w:id="127289366">
      <w:bodyDiv w:val="1"/>
      <w:marLeft w:val="0"/>
      <w:marRight w:val="0"/>
      <w:marTop w:val="0"/>
      <w:marBottom w:val="0"/>
      <w:divBdr>
        <w:top w:val="none" w:sz="0" w:space="0" w:color="auto"/>
        <w:left w:val="none" w:sz="0" w:space="0" w:color="auto"/>
        <w:bottom w:val="none" w:sz="0" w:space="0" w:color="auto"/>
        <w:right w:val="none" w:sz="0" w:space="0" w:color="auto"/>
      </w:divBdr>
    </w:div>
    <w:div w:id="128598766">
      <w:bodyDiv w:val="1"/>
      <w:marLeft w:val="0"/>
      <w:marRight w:val="0"/>
      <w:marTop w:val="0"/>
      <w:marBottom w:val="0"/>
      <w:divBdr>
        <w:top w:val="none" w:sz="0" w:space="0" w:color="auto"/>
        <w:left w:val="none" w:sz="0" w:space="0" w:color="auto"/>
        <w:bottom w:val="none" w:sz="0" w:space="0" w:color="auto"/>
        <w:right w:val="none" w:sz="0" w:space="0" w:color="auto"/>
      </w:divBdr>
    </w:div>
    <w:div w:id="128983028">
      <w:bodyDiv w:val="1"/>
      <w:marLeft w:val="0"/>
      <w:marRight w:val="0"/>
      <w:marTop w:val="0"/>
      <w:marBottom w:val="0"/>
      <w:divBdr>
        <w:top w:val="none" w:sz="0" w:space="0" w:color="auto"/>
        <w:left w:val="none" w:sz="0" w:space="0" w:color="auto"/>
        <w:bottom w:val="none" w:sz="0" w:space="0" w:color="auto"/>
        <w:right w:val="none" w:sz="0" w:space="0" w:color="auto"/>
      </w:divBdr>
    </w:div>
    <w:div w:id="130756584">
      <w:bodyDiv w:val="1"/>
      <w:marLeft w:val="0"/>
      <w:marRight w:val="0"/>
      <w:marTop w:val="0"/>
      <w:marBottom w:val="0"/>
      <w:divBdr>
        <w:top w:val="none" w:sz="0" w:space="0" w:color="auto"/>
        <w:left w:val="none" w:sz="0" w:space="0" w:color="auto"/>
        <w:bottom w:val="none" w:sz="0" w:space="0" w:color="auto"/>
        <w:right w:val="none" w:sz="0" w:space="0" w:color="auto"/>
      </w:divBdr>
    </w:div>
    <w:div w:id="131677053">
      <w:bodyDiv w:val="1"/>
      <w:marLeft w:val="0"/>
      <w:marRight w:val="0"/>
      <w:marTop w:val="0"/>
      <w:marBottom w:val="0"/>
      <w:divBdr>
        <w:top w:val="none" w:sz="0" w:space="0" w:color="auto"/>
        <w:left w:val="none" w:sz="0" w:space="0" w:color="auto"/>
        <w:bottom w:val="none" w:sz="0" w:space="0" w:color="auto"/>
        <w:right w:val="none" w:sz="0" w:space="0" w:color="auto"/>
      </w:divBdr>
    </w:div>
    <w:div w:id="131869947">
      <w:bodyDiv w:val="1"/>
      <w:marLeft w:val="0"/>
      <w:marRight w:val="0"/>
      <w:marTop w:val="0"/>
      <w:marBottom w:val="0"/>
      <w:divBdr>
        <w:top w:val="none" w:sz="0" w:space="0" w:color="auto"/>
        <w:left w:val="none" w:sz="0" w:space="0" w:color="auto"/>
        <w:bottom w:val="none" w:sz="0" w:space="0" w:color="auto"/>
        <w:right w:val="none" w:sz="0" w:space="0" w:color="auto"/>
      </w:divBdr>
    </w:div>
    <w:div w:id="131991830">
      <w:bodyDiv w:val="1"/>
      <w:marLeft w:val="0"/>
      <w:marRight w:val="0"/>
      <w:marTop w:val="0"/>
      <w:marBottom w:val="0"/>
      <w:divBdr>
        <w:top w:val="none" w:sz="0" w:space="0" w:color="auto"/>
        <w:left w:val="none" w:sz="0" w:space="0" w:color="auto"/>
        <w:bottom w:val="none" w:sz="0" w:space="0" w:color="auto"/>
        <w:right w:val="none" w:sz="0" w:space="0" w:color="auto"/>
      </w:divBdr>
    </w:div>
    <w:div w:id="132330228">
      <w:bodyDiv w:val="1"/>
      <w:marLeft w:val="0"/>
      <w:marRight w:val="0"/>
      <w:marTop w:val="0"/>
      <w:marBottom w:val="0"/>
      <w:divBdr>
        <w:top w:val="none" w:sz="0" w:space="0" w:color="auto"/>
        <w:left w:val="none" w:sz="0" w:space="0" w:color="auto"/>
        <w:bottom w:val="none" w:sz="0" w:space="0" w:color="auto"/>
        <w:right w:val="none" w:sz="0" w:space="0" w:color="auto"/>
      </w:divBdr>
    </w:div>
    <w:div w:id="132449484">
      <w:bodyDiv w:val="1"/>
      <w:marLeft w:val="0"/>
      <w:marRight w:val="0"/>
      <w:marTop w:val="0"/>
      <w:marBottom w:val="0"/>
      <w:divBdr>
        <w:top w:val="none" w:sz="0" w:space="0" w:color="auto"/>
        <w:left w:val="none" w:sz="0" w:space="0" w:color="auto"/>
        <w:bottom w:val="none" w:sz="0" w:space="0" w:color="auto"/>
        <w:right w:val="none" w:sz="0" w:space="0" w:color="auto"/>
      </w:divBdr>
    </w:div>
    <w:div w:id="133063624">
      <w:bodyDiv w:val="1"/>
      <w:marLeft w:val="0"/>
      <w:marRight w:val="0"/>
      <w:marTop w:val="0"/>
      <w:marBottom w:val="0"/>
      <w:divBdr>
        <w:top w:val="none" w:sz="0" w:space="0" w:color="auto"/>
        <w:left w:val="none" w:sz="0" w:space="0" w:color="auto"/>
        <w:bottom w:val="none" w:sz="0" w:space="0" w:color="auto"/>
        <w:right w:val="none" w:sz="0" w:space="0" w:color="auto"/>
      </w:divBdr>
    </w:div>
    <w:div w:id="133910334">
      <w:bodyDiv w:val="1"/>
      <w:marLeft w:val="0"/>
      <w:marRight w:val="0"/>
      <w:marTop w:val="0"/>
      <w:marBottom w:val="0"/>
      <w:divBdr>
        <w:top w:val="none" w:sz="0" w:space="0" w:color="auto"/>
        <w:left w:val="none" w:sz="0" w:space="0" w:color="auto"/>
        <w:bottom w:val="none" w:sz="0" w:space="0" w:color="auto"/>
        <w:right w:val="none" w:sz="0" w:space="0" w:color="auto"/>
      </w:divBdr>
    </w:div>
    <w:div w:id="134102923">
      <w:bodyDiv w:val="1"/>
      <w:marLeft w:val="0"/>
      <w:marRight w:val="0"/>
      <w:marTop w:val="0"/>
      <w:marBottom w:val="0"/>
      <w:divBdr>
        <w:top w:val="none" w:sz="0" w:space="0" w:color="auto"/>
        <w:left w:val="none" w:sz="0" w:space="0" w:color="auto"/>
        <w:bottom w:val="none" w:sz="0" w:space="0" w:color="auto"/>
        <w:right w:val="none" w:sz="0" w:space="0" w:color="auto"/>
      </w:divBdr>
    </w:div>
    <w:div w:id="135607714">
      <w:bodyDiv w:val="1"/>
      <w:marLeft w:val="0"/>
      <w:marRight w:val="0"/>
      <w:marTop w:val="0"/>
      <w:marBottom w:val="0"/>
      <w:divBdr>
        <w:top w:val="none" w:sz="0" w:space="0" w:color="auto"/>
        <w:left w:val="none" w:sz="0" w:space="0" w:color="auto"/>
        <w:bottom w:val="none" w:sz="0" w:space="0" w:color="auto"/>
        <w:right w:val="none" w:sz="0" w:space="0" w:color="auto"/>
      </w:divBdr>
    </w:div>
    <w:div w:id="138570415">
      <w:bodyDiv w:val="1"/>
      <w:marLeft w:val="0"/>
      <w:marRight w:val="0"/>
      <w:marTop w:val="0"/>
      <w:marBottom w:val="0"/>
      <w:divBdr>
        <w:top w:val="none" w:sz="0" w:space="0" w:color="auto"/>
        <w:left w:val="none" w:sz="0" w:space="0" w:color="auto"/>
        <w:bottom w:val="none" w:sz="0" w:space="0" w:color="auto"/>
        <w:right w:val="none" w:sz="0" w:space="0" w:color="auto"/>
      </w:divBdr>
    </w:div>
    <w:div w:id="139813220">
      <w:bodyDiv w:val="1"/>
      <w:marLeft w:val="0"/>
      <w:marRight w:val="0"/>
      <w:marTop w:val="0"/>
      <w:marBottom w:val="0"/>
      <w:divBdr>
        <w:top w:val="none" w:sz="0" w:space="0" w:color="auto"/>
        <w:left w:val="none" w:sz="0" w:space="0" w:color="auto"/>
        <w:bottom w:val="none" w:sz="0" w:space="0" w:color="auto"/>
        <w:right w:val="none" w:sz="0" w:space="0" w:color="auto"/>
      </w:divBdr>
    </w:div>
    <w:div w:id="145171255">
      <w:bodyDiv w:val="1"/>
      <w:marLeft w:val="0"/>
      <w:marRight w:val="0"/>
      <w:marTop w:val="0"/>
      <w:marBottom w:val="0"/>
      <w:divBdr>
        <w:top w:val="none" w:sz="0" w:space="0" w:color="auto"/>
        <w:left w:val="none" w:sz="0" w:space="0" w:color="auto"/>
        <w:bottom w:val="none" w:sz="0" w:space="0" w:color="auto"/>
        <w:right w:val="none" w:sz="0" w:space="0" w:color="auto"/>
      </w:divBdr>
    </w:div>
    <w:div w:id="146439753">
      <w:bodyDiv w:val="1"/>
      <w:marLeft w:val="0"/>
      <w:marRight w:val="0"/>
      <w:marTop w:val="0"/>
      <w:marBottom w:val="0"/>
      <w:divBdr>
        <w:top w:val="none" w:sz="0" w:space="0" w:color="auto"/>
        <w:left w:val="none" w:sz="0" w:space="0" w:color="auto"/>
        <w:bottom w:val="none" w:sz="0" w:space="0" w:color="auto"/>
        <w:right w:val="none" w:sz="0" w:space="0" w:color="auto"/>
      </w:divBdr>
    </w:div>
    <w:div w:id="146554256">
      <w:bodyDiv w:val="1"/>
      <w:marLeft w:val="0"/>
      <w:marRight w:val="0"/>
      <w:marTop w:val="0"/>
      <w:marBottom w:val="0"/>
      <w:divBdr>
        <w:top w:val="none" w:sz="0" w:space="0" w:color="auto"/>
        <w:left w:val="none" w:sz="0" w:space="0" w:color="auto"/>
        <w:bottom w:val="none" w:sz="0" w:space="0" w:color="auto"/>
        <w:right w:val="none" w:sz="0" w:space="0" w:color="auto"/>
      </w:divBdr>
    </w:div>
    <w:div w:id="146828264">
      <w:bodyDiv w:val="1"/>
      <w:marLeft w:val="0"/>
      <w:marRight w:val="0"/>
      <w:marTop w:val="0"/>
      <w:marBottom w:val="0"/>
      <w:divBdr>
        <w:top w:val="none" w:sz="0" w:space="0" w:color="auto"/>
        <w:left w:val="none" w:sz="0" w:space="0" w:color="auto"/>
        <w:bottom w:val="none" w:sz="0" w:space="0" w:color="auto"/>
        <w:right w:val="none" w:sz="0" w:space="0" w:color="auto"/>
      </w:divBdr>
    </w:div>
    <w:div w:id="146941285">
      <w:bodyDiv w:val="1"/>
      <w:marLeft w:val="0"/>
      <w:marRight w:val="0"/>
      <w:marTop w:val="0"/>
      <w:marBottom w:val="0"/>
      <w:divBdr>
        <w:top w:val="none" w:sz="0" w:space="0" w:color="auto"/>
        <w:left w:val="none" w:sz="0" w:space="0" w:color="auto"/>
        <w:bottom w:val="none" w:sz="0" w:space="0" w:color="auto"/>
        <w:right w:val="none" w:sz="0" w:space="0" w:color="auto"/>
      </w:divBdr>
    </w:div>
    <w:div w:id="148834330">
      <w:bodyDiv w:val="1"/>
      <w:marLeft w:val="0"/>
      <w:marRight w:val="0"/>
      <w:marTop w:val="0"/>
      <w:marBottom w:val="0"/>
      <w:divBdr>
        <w:top w:val="none" w:sz="0" w:space="0" w:color="auto"/>
        <w:left w:val="none" w:sz="0" w:space="0" w:color="auto"/>
        <w:bottom w:val="none" w:sz="0" w:space="0" w:color="auto"/>
        <w:right w:val="none" w:sz="0" w:space="0" w:color="auto"/>
      </w:divBdr>
    </w:div>
    <w:div w:id="149835383">
      <w:bodyDiv w:val="1"/>
      <w:marLeft w:val="0"/>
      <w:marRight w:val="0"/>
      <w:marTop w:val="0"/>
      <w:marBottom w:val="0"/>
      <w:divBdr>
        <w:top w:val="none" w:sz="0" w:space="0" w:color="auto"/>
        <w:left w:val="none" w:sz="0" w:space="0" w:color="auto"/>
        <w:bottom w:val="none" w:sz="0" w:space="0" w:color="auto"/>
        <w:right w:val="none" w:sz="0" w:space="0" w:color="auto"/>
      </w:divBdr>
    </w:div>
    <w:div w:id="152071293">
      <w:bodyDiv w:val="1"/>
      <w:marLeft w:val="0"/>
      <w:marRight w:val="0"/>
      <w:marTop w:val="0"/>
      <w:marBottom w:val="0"/>
      <w:divBdr>
        <w:top w:val="none" w:sz="0" w:space="0" w:color="auto"/>
        <w:left w:val="none" w:sz="0" w:space="0" w:color="auto"/>
        <w:bottom w:val="none" w:sz="0" w:space="0" w:color="auto"/>
        <w:right w:val="none" w:sz="0" w:space="0" w:color="auto"/>
      </w:divBdr>
    </w:div>
    <w:div w:id="154416235">
      <w:bodyDiv w:val="1"/>
      <w:marLeft w:val="0"/>
      <w:marRight w:val="0"/>
      <w:marTop w:val="0"/>
      <w:marBottom w:val="0"/>
      <w:divBdr>
        <w:top w:val="none" w:sz="0" w:space="0" w:color="auto"/>
        <w:left w:val="none" w:sz="0" w:space="0" w:color="auto"/>
        <w:bottom w:val="none" w:sz="0" w:space="0" w:color="auto"/>
        <w:right w:val="none" w:sz="0" w:space="0" w:color="auto"/>
      </w:divBdr>
    </w:div>
    <w:div w:id="155607274">
      <w:bodyDiv w:val="1"/>
      <w:marLeft w:val="0"/>
      <w:marRight w:val="0"/>
      <w:marTop w:val="0"/>
      <w:marBottom w:val="0"/>
      <w:divBdr>
        <w:top w:val="none" w:sz="0" w:space="0" w:color="auto"/>
        <w:left w:val="none" w:sz="0" w:space="0" w:color="auto"/>
        <w:bottom w:val="none" w:sz="0" w:space="0" w:color="auto"/>
        <w:right w:val="none" w:sz="0" w:space="0" w:color="auto"/>
      </w:divBdr>
    </w:div>
    <w:div w:id="155730150">
      <w:bodyDiv w:val="1"/>
      <w:marLeft w:val="0"/>
      <w:marRight w:val="0"/>
      <w:marTop w:val="0"/>
      <w:marBottom w:val="0"/>
      <w:divBdr>
        <w:top w:val="none" w:sz="0" w:space="0" w:color="auto"/>
        <w:left w:val="none" w:sz="0" w:space="0" w:color="auto"/>
        <w:bottom w:val="none" w:sz="0" w:space="0" w:color="auto"/>
        <w:right w:val="none" w:sz="0" w:space="0" w:color="auto"/>
      </w:divBdr>
    </w:div>
    <w:div w:id="158079397">
      <w:bodyDiv w:val="1"/>
      <w:marLeft w:val="0"/>
      <w:marRight w:val="0"/>
      <w:marTop w:val="0"/>
      <w:marBottom w:val="0"/>
      <w:divBdr>
        <w:top w:val="none" w:sz="0" w:space="0" w:color="auto"/>
        <w:left w:val="none" w:sz="0" w:space="0" w:color="auto"/>
        <w:bottom w:val="none" w:sz="0" w:space="0" w:color="auto"/>
        <w:right w:val="none" w:sz="0" w:space="0" w:color="auto"/>
      </w:divBdr>
    </w:div>
    <w:div w:id="162089896">
      <w:bodyDiv w:val="1"/>
      <w:marLeft w:val="0"/>
      <w:marRight w:val="0"/>
      <w:marTop w:val="0"/>
      <w:marBottom w:val="0"/>
      <w:divBdr>
        <w:top w:val="none" w:sz="0" w:space="0" w:color="auto"/>
        <w:left w:val="none" w:sz="0" w:space="0" w:color="auto"/>
        <w:bottom w:val="none" w:sz="0" w:space="0" w:color="auto"/>
        <w:right w:val="none" w:sz="0" w:space="0" w:color="auto"/>
      </w:divBdr>
    </w:div>
    <w:div w:id="162285561">
      <w:bodyDiv w:val="1"/>
      <w:marLeft w:val="0"/>
      <w:marRight w:val="0"/>
      <w:marTop w:val="0"/>
      <w:marBottom w:val="0"/>
      <w:divBdr>
        <w:top w:val="none" w:sz="0" w:space="0" w:color="auto"/>
        <w:left w:val="none" w:sz="0" w:space="0" w:color="auto"/>
        <w:bottom w:val="none" w:sz="0" w:space="0" w:color="auto"/>
        <w:right w:val="none" w:sz="0" w:space="0" w:color="auto"/>
      </w:divBdr>
    </w:div>
    <w:div w:id="164053680">
      <w:bodyDiv w:val="1"/>
      <w:marLeft w:val="0"/>
      <w:marRight w:val="0"/>
      <w:marTop w:val="0"/>
      <w:marBottom w:val="0"/>
      <w:divBdr>
        <w:top w:val="none" w:sz="0" w:space="0" w:color="auto"/>
        <w:left w:val="none" w:sz="0" w:space="0" w:color="auto"/>
        <w:bottom w:val="none" w:sz="0" w:space="0" w:color="auto"/>
        <w:right w:val="none" w:sz="0" w:space="0" w:color="auto"/>
      </w:divBdr>
    </w:div>
    <w:div w:id="166793264">
      <w:bodyDiv w:val="1"/>
      <w:marLeft w:val="0"/>
      <w:marRight w:val="0"/>
      <w:marTop w:val="0"/>
      <w:marBottom w:val="0"/>
      <w:divBdr>
        <w:top w:val="none" w:sz="0" w:space="0" w:color="auto"/>
        <w:left w:val="none" w:sz="0" w:space="0" w:color="auto"/>
        <w:bottom w:val="none" w:sz="0" w:space="0" w:color="auto"/>
        <w:right w:val="none" w:sz="0" w:space="0" w:color="auto"/>
      </w:divBdr>
    </w:div>
    <w:div w:id="167792311">
      <w:bodyDiv w:val="1"/>
      <w:marLeft w:val="0"/>
      <w:marRight w:val="0"/>
      <w:marTop w:val="0"/>
      <w:marBottom w:val="0"/>
      <w:divBdr>
        <w:top w:val="none" w:sz="0" w:space="0" w:color="auto"/>
        <w:left w:val="none" w:sz="0" w:space="0" w:color="auto"/>
        <w:bottom w:val="none" w:sz="0" w:space="0" w:color="auto"/>
        <w:right w:val="none" w:sz="0" w:space="0" w:color="auto"/>
      </w:divBdr>
    </w:div>
    <w:div w:id="167797466">
      <w:bodyDiv w:val="1"/>
      <w:marLeft w:val="0"/>
      <w:marRight w:val="0"/>
      <w:marTop w:val="0"/>
      <w:marBottom w:val="0"/>
      <w:divBdr>
        <w:top w:val="none" w:sz="0" w:space="0" w:color="auto"/>
        <w:left w:val="none" w:sz="0" w:space="0" w:color="auto"/>
        <w:bottom w:val="none" w:sz="0" w:space="0" w:color="auto"/>
        <w:right w:val="none" w:sz="0" w:space="0" w:color="auto"/>
      </w:divBdr>
    </w:div>
    <w:div w:id="170024633">
      <w:bodyDiv w:val="1"/>
      <w:marLeft w:val="0"/>
      <w:marRight w:val="0"/>
      <w:marTop w:val="0"/>
      <w:marBottom w:val="0"/>
      <w:divBdr>
        <w:top w:val="none" w:sz="0" w:space="0" w:color="auto"/>
        <w:left w:val="none" w:sz="0" w:space="0" w:color="auto"/>
        <w:bottom w:val="none" w:sz="0" w:space="0" w:color="auto"/>
        <w:right w:val="none" w:sz="0" w:space="0" w:color="auto"/>
      </w:divBdr>
    </w:div>
    <w:div w:id="171729379">
      <w:bodyDiv w:val="1"/>
      <w:marLeft w:val="0"/>
      <w:marRight w:val="0"/>
      <w:marTop w:val="0"/>
      <w:marBottom w:val="0"/>
      <w:divBdr>
        <w:top w:val="none" w:sz="0" w:space="0" w:color="auto"/>
        <w:left w:val="none" w:sz="0" w:space="0" w:color="auto"/>
        <w:bottom w:val="none" w:sz="0" w:space="0" w:color="auto"/>
        <w:right w:val="none" w:sz="0" w:space="0" w:color="auto"/>
      </w:divBdr>
    </w:div>
    <w:div w:id="172916621">
      <w:bodyDiv w:val="1"/>
      <w:marLeft w:val="0"/>
      <w:marRight w:val="0"/>
      <w:marTop w:val="0"/>
      <w:marBottom w:val="0"/>
      <w:divBdr>
        <w:top w:val="none" w:sz="0" w:space="0" w:color="auto"/>
        <w:left w:val="none" w:sz="0" w:space="0" w:color="auto"/>
        <w:bottom w:val="none" w:sz="0" w:space="0" w:color="auto"/>
        <w:right w:val="none" w:sz="0" w:space="0" w:color="auto"/>
      </w:divBdr>
    </w:div>
    <w:div w:id="172964001">
      <w:bodyDiv w:val="1"/>
      <w:marLeft w:val="0"/>
      <w:marRight w:val="0"/>
      <w:marTop w:val="0"/>
      <w:marBottom w:val="0"/>
      <w:divBdr>
        <w:top w:val="none" w:sz="0" w:space="0" w:color="auto"/>
        <w:left w:val="none" w:sz="0" w:space="0" w:color="auto"/>
        <w:bottom w:val="none" w:sz="0" w:space="0" w:color="auto"/>
        <w:right w:val="none" w:sz="0" w:space="0" w:color="auto"/>
      </w:divBdr>
    </w:div>
    <w:div w:id="173154809">
      <w:bodyDiv w:val="1"/>
      <w:marLeft w:val="0"/>
      <w:marRight w:val="0"/>
      <w:marTop w:val="0"/>
      <w:marBottom w:val="0"/>
      <w:divBdr>
        <w:top w:val="none" w:sz="0" w:space="0" w:color="auto"/>
        <w:left w:val="none" w:sz="0" w:space="0" w:color="auto"/>
        <w:bottom w:val="none" w:sz="0" w:space="0" w:color="auto"/>
        <w:right w:val="none" w:sz="0" w:space="0" w:color="auto"/>
      </w:divBdr>
    </w:div>
    <w:div w:id="174267901">
      <w:bodyDiv w:val="1"/>
      <w:marLeft w:val="0"/>
      <w:marRight w:val="0"/>
      <w:marTop w:val="0"/>
      <w:marBottom w:val="0"/>
      <w:divBdr>
        <w:top w:val="none" w:sz="0" w:space="0" w:color="auto"/>
        <w:left w:val="none" w:sz="0" w:space="0" w:color="auto"/>
        <w:bottom w:val="none" w:sz="0" w:space="0" w:color="auto"/>
        <w:right w:val="none" w:sz="0" w:space="0" w:color="auto"/>
      </w:divBdr>
    </w:div>
    <w:div w:id="176620806">
      <w:bodyDiv w:val="1"/>
      <w:marLeft w:val="0"/>
      <w:marRight w:val="0"/>
      <w:marTop w:val="0"/>
      <w:marBottom w:val="0"/>
      <w:divBdr>
        <w:top w:val="none" w:sz="0" w:space="0" w:color="auto"/>
        <w:left w:val="none" w:sz="0" w:space="0" w:color="auto"/>
        <w:bottom w:val="none" w:sz="0" w:space="0" w:color="auto"/>
        <w:right w:val="none" w:sz="0" w:space="0" w:color="auto"/>
      </w:divBdr>
    </w:div>
    <w:div w:id="176699349">
      <w:bodyDiv w:val="1"/>
      <w:marLeft w:val="0"/>
      <w:marRight w:val="0"/>
      <w:marTop w:val="0"/>
      <w:marBottom w:val="0"/>
      <w:divBdr>
        <w:top w:val="none" w:sz="0" w:space="0" w:color="auto"/>
        <w:left w:val="none" w:sz="0" w:space="0" w:color="auto"/>
        <w:bottom w:val="none" w:sz="0" w:space="0" w:color="auto"/>
        <w:right w:val="none" w:sz="0" w:space="0" w:color="auto"/>
      </w:divBdr>
    </w:div>
    <w:div w:id="178279129">
      <w:bodyDiv w:val="1"/>
      <w:marLeft w:val="0"/>
      <w:marRight w:val="0"/>
      <w:marTop w:val="0"/>
      <w:marBottom w:val="0"/>
      <w:divBdr>
        <w:top w:val="none" w:sz="0" w:space="0" w:color="auto"/>
        <w:left w:val="none" w:sz="0" w:space="0" w:color="auto"/>
        <w:bottom w:val="none" w:sz="0" w:space="0" w:color="auto"/>
        <w:right w:val="none" w:sz="0" w:space="0" w:color="auto"/>
      </w:divBdr>
    </w:div>
    <w:div w:id="180170732">
      <w:bodyDiv w:val="1"/>
      <w:marLeft w:val="0"/>
      <w:marRight w:val="0"/>
      <w:marTop w:val="0"/>
      <w:marBottom w:val="0"/>
      <w:divBdr>
        <w:top w:val="none" w:sz="0" w:space="0" w:color="auto"/>
        <w:left w:val="none" w:sz="0" w:space="0" w:color="auto"/>
        <w:bottom w:val="none" w:sz="0" w:space="0" w:color="auto"/>
        <w:right w:val="none" w:sz="0" w:space="0" w:color="auto"/>
      </w:divBdr>
    </w:div>
    <w:div w:id="180634196">
      <w:bodyDiv w:val="1"/>
      <w:marLeft w:val="0"/>
      <w:marRight w:val="0"/>
      <w:marTop w:val="0"/>
      <w:marBottom w:val="0"/>
      <w:divBdr>
        <w:top w:val="none" w:sz="0" w:space="0" w:color="auto"/>
        <w:left w:val="none" w:sz="0" w:space="0" w:color="auto"/>
        <w:bottom w:val="none" w:sz="0" w:space="0" w:color="auto"/>
        <w:right w:val="none" w:sz="0" w:space="0" w:color="auto"/>
      </w:divBdr>
    </w:div>
    <w:div w:id="181359125">
      <w:bodyDiv w:val="1"/>
      <w:marLeft w:val="0"/>
      <w:marRight w:val="0"/>
      <w:marTop w:val="0"/>
      <w:marBottom w:val="0"/>
      <w:divBdr>
        <w:top w:val="none" w:sz="0" w:space="0" w:color="auto"/>
        <w:left w:val="none" w:sz="0" w:space="0" w:color="auto"/>
        <w:bottom w:val="none" w:sz="0" w:space="0" w:color="auto"/>
        <w:right w:val="none" w:sz="0" w:space="0" w:color="auto"/>
      </w:divBdr>
    </w:div>
    <w:div w:id="183709478">
      <w:bodyDiv w:val="1"/>
      <w:marLeft w:val="0"/>
      <w:marRight w:val="0"/>
      <w:marTop w:val="0"/>
      <w:marBottom w:val="0"/>
      <w:divBdr>
        <w:top w:val="none" w:sz="0" w:space="0" w:color="auto"/>
        <w:left w:val="none" w:sz="0" w:space="0" w:color="auto"/>
        <w:bottom w:val="none" w:sz="0" w:space="0" w:color="auto"/>
        <w:right w:val="none" w:sz="0" w:space="0" w:color="auto"/>
      </w:divBdr>
    </w:div>
    <w:div w:id="183982839">
      <w:bodyDiv w:val="1"/>
      <w:marLeft w:val="0"/>
      <w:marRight w:val="0"/>
      <w:marTop w:val="0"/>
      <w:marBottom w:val="0"/>
      <w:divBdr>
        <w:top w:val="none" w:sz="0" w:space="0" w:color="auto"/>
        <w:left w:val="none" w:sz="0" w:space="0" w:color="auto"/>
        <w:bottom w:val="none" w:sz="0" w:space="0" w:color="auto"/>
        <w:right w:val="none" w:sz="0" w:space="0" w:color="auto"/>
      </w:divBdr>
    </w:div>
    <w:div w:id="184446054">
      <w:bodyDiv w:val="1"/>
      <w:marLeft w:val="0"/>
      <w:marRight w:val="0"/>
      <w:marTop w:val="0"/>
      <w:marBottom w:val="0"/>
      <w:divBdr>
        <w:top w:val="none" w:sz="0" w:space="0" w:color="auto"/>
        <w:left w:val="none" w:sz="0" w:space="0" w:color="auto"/>
        <w:bottom w:val="none" w:sz="0" w:space="0" w:color="auto"/>
        <w:right w:val="none" w:sz="0" w:space="0" w:color="auto"/>
      </w:divBdr>
    </w:div>
    <w:div w:id="188104348">
      <w:bodyDiv w:val="1"/>
      <w:marLeft w:val="0"/>
      <w:marRight w:val="0"/>
      <w:marTop w:val="0"/>
      <w:marBottom w:val="0"/>
      <w:divBdr>
        <w:top w:val="none" w:sz="0" w:space="0" w:color="auto"/>
        <w:left w:val="none" w:sz="0" w:space="0" w:color="auto"/>
        <w:bottom w:val="none" w:sz="0" w:space="0" w:color="auto"/>
        <w:right w:val="none" w:sz="0" w:space="0" w:color="auto"/>
      </w:divBdr>
    </w:div>
    <w:div w:id="189728512">
      <w:bodyDiv w:val="1"/>
      <w:marLeft w:val="0"/>
      <w:marRight w:val="0"/>
      <w:marTop w:val="0"/>
      <w:marBottom w:val="0"/>
      <w:divBdr>
        <w:top w:val="none" w:sz="0" w:space="0" w:color="auto"/>
        <w:left w:val="none" w:sz="0" w:space="0" w:color="auto"/>
        <w:bottom w:val="none" w:sz="0" w:space="0" w:color="auto"/>
        <w:right w:val="none" w:sz="0" w:space="0" w:color="auto"/>
      </w:divBdr>
    </w:div>
    <w:div w:id="190536253">
      <w:bodyDiv w:val="1"/>
      <w:marLeft w:val="0"/>
      <w:marRight w:val="0"/>
      <w:marTop w:val="0"/>
      <w:marBottom w:val="0"/>
      <w:divBdr>
        <w:top w:val="none" w:sz="0" w:space="0" w:color="auto"/>
        <w:left w:val="none" w:sz="0" w:space="0" w:color="auto"/>
        <w:bottom w:val="none" w:sz="0" w:space="0" w:color="auto"/>
        <w:right w:val="none" w:sz="0" w:space="0" w:color="auto"/>
      </w:divBdr>
    </w:div>
    <w:div w:id="192304194">
      <w:bodyDiv w:val="1"/>
      <w:marLeft w:val="0"/>
      <w:marRight w:val="0"/>
      <w:marTop w:val="0"/>
      <w:marBottom w:val="0"/>
      <w:divBdr>
        <w:top w:val="none" w:sz="0" w:space="0" w:color="auto"/>
        <w:left w:val="none" w:sz="0" w:space="0" w:color="auto"/>
        <w:bottom w:val="none" w:sz="0" w:space="0" w:color="auto"/>
        <w:right w:val="none" w:sz="0" w:space="0" w:color="auto"/>
      </w:divBdr>
    </w:div>
    <w:div w:id="192766974">
      <w:bodyDiv w:val="1"/>
      <w:marLeft w:val="0"/>
      <w:marRight w:val="0"/>
      <w:marTop w:val="0"/>
      <w:marBottom w:val="0"/>
      <w:divBdr>
        <w:top w:val="none" w:sz="0" w:space="0" w:color="auto"/>
        <w:left w:val="none" w:sz="0" w:space="0" w:color="auto"/>
        <w:bottom w:val="none" w:sz="0" w:space="0" w:color="auto"/>
        <w:right w:val="none" w:sz="0" w:space="0" w:color="auto"/>
      </w:divBdr>
    </w:div>
    <w:div w:id="193541265">
      <w:bodyDiv w:val="1"/>
      <w:marLeft w:val="0"/>
      <w:marRight w:val="0"/>
      <w:marTop w:val="0"/>
      <w:marBottom w:val="0"/>
      <w:divBdr>
        <w:top w:val="none" w:sz="0" w:space="0" w:color="auto"/>
        <w:left w:val="none" w:sz="0" w:space="0" w:color="auto"/>
        <w:bottom w:val="none" w:sz="0" w:space="0" w:color="auto"/>
        <w:right w:val="none" w:sz="0" w:space="0" w:color="auto"/>
      </w:divBdr>
    </w:div>
    <w:div w:id="196554192">
      <w:bodyDiv w:val="1"/>
      <w:marLeft w:val="0"/>
      <w:marRight w:val="0"/>
      <w:marTop w:val="0"/>
      <w:marBottom w:val="0"/>
      <w:divBdr>
        <w:top w:val="none" w:sz="0" w:space="0" w:color="auto"/>
        <w:left w:val="none" w:sz="0" w:space="0" w:color="auto"/>
        <w:bottom w:val="none" w:sz="0" w:space="0" w:color="auto"/>
        <w:right w:val="none" w:sz="0" w:space="0" w:color="auto"/>
      </w:divBdr>
    </w:div>
    <w:div w:id="197015437">
      <w:bodyDiv w:val="1"/>
      <w:marLeft w:val="0"/>
      <w:marRight w:val="0"/>
      <w:marTop w:val="0"/>
      <w:marBottom w:val="0"/>
      <w:divBdr>
        <w:top w:val="none" w:sz="0" w:space="0" w:color="auto"/>
        <w:left w:val="none" w:sz="0" w:space="0" w:color="auto"/>
        <w:bottom w:val="none" w:sz="0" w:space="0" w:color="auto"/>
        <w:right w:val="none" w:sz="0" w:space="0" w:color="auto"/>
      </w:divBdr>
    </w:div>
    <w:div w:id="197201685">
      <w:bodyDiv w:val="1"/>
      <w:marLeft w:val="0"/>
      <w:marRight w:val="0"/>
      <w:marTop w:val="0"/>
      <w:marBottom w:val="0"/>
      <w:divBdr>
        <w:top w:val="none" w:sz="0" w:space="0" w:color="auto"/>
        <w:left w:val="none" w:sz="0" w:space="0" w:color="auto"/>
        <w:bottom w:val="none" w:sz="0" w:space="0" w:color="auto"/>
        <w:right w:val="none" w:sz="0" w:space="0" w:color="auto"/>
      </w:divBdr>
    </w:div>
    <w:div w:id="200754726">
      <w:bodyDiv w:val="1"/>
      <w:marLeft w:val="0"/>
      <w:marRight w:val="0"/>
      <w:marTop w:val="0"/>
      <w:marBottom w:val="0"/>
      <w:divBdr>
        <w:top w:val="none" w:sz="0" w:space="0" w:color="auto"/>
        <w:left w:val="none" w:sz="0" w:space="0" w:color="auto"/>
        <w:bottom w:val="none" w:sz="0" w:space="0" w:color="auto"/>
        <w:right w:val="none" w:sz="0" w:space="0" w:color="auto"/>
      </w:divBdr>
    </w:div>
    <w:div w:id="201015743">
      <w:bodyDiv w:val="1"/>
      <w:marLeft w:val="0"/>
      <w:marRight w:val="0"/>
      <w:marTop w:val="0"/>
      <w:marBottom w:val="0"/>
      <w:divBdr>
        <w:top w:val="none" w:sz="0" w:space="0" w:color="auto"/>
        <w:left w:val="none" w:sz="0" w:space="0" w:color="auto"/>
        <w:bottom w:val="none" w:sz="0" w:space="0" w:color="auto"/>
        <w:right w:val="none" w:sz="0" w:space="0" w:color="auto"/>
      </w:divBdr>
    </w:div>
    <w:div w:id="201985752">
      <w:bodyDiv w:val="1"/>
      <w:marLeft w:val="0"/>
      <w:marRight w:val="0"/>
      <w:marTop w:val="0"/>
      <w:marBottom w:val="0"/>
      <w:divBdr>
        <w:top w:val="none" w:sz="0" w:space="0" w:color="auto"/>
        <w:left w:val="none" w:sz="0" w:space="0" w:color="auto"/>
        <w:bottom w:val="none" w:sz="0" w:space="0" w:color="auto"/>
        <w:right w:val="none" w:sz="0" w:space="0" w:color="auto"/>
      </w:divBdr>
    </w:div>
    <w:div w:id="202863487">
      <w:bodyDiv w:val="1"/>
      <w:marLeft w:val="0"/>
      <w:marRight w:val="0"/>
      <w:marTop w:val="0"/>
      <w:marBottom w:val="0"/>
      <w:divBdr>
        <w:top w:val="none" w:sz="0" w:space="0" w:color="auto"/>
        <w:left w:val="none" w:sz="0" w:space="0" w:color="auto"/>
        <w:bottom w:val="none" w:sz="0" w:space="0" w:color="auto"/>
        <w:right w:val="none" w:sz="0" w:space="0" w:color="auto"/>
      </w:divBdr>
    </w:div>
    <w:div w:id="202986576">
      <w:bodyDiv w:val="1"/>
      <w:marLeft w:val="0"/>
      <w:marRight w:val="0"/>
      <w:marTop w:val="0"/>
      <w:marBottom w:val="0"/>
      <w:divBdr>
        <w:top w:val="none" w:sz="0" w:space="0" w:color="auto"/>
        <w:left w:val="none" w:sz="0" w:space="0" w:color="auto"/>
        <w:bottom w:val="none" w:sz="0" w:space="0" w:color="auto"/>
        <w:right w:val="none" w:sz="0" w:space="0" w:color="auto"/>
      </w:divBdr>
    </w:div>
    <w:div w:id="203251491">
      <w:bodyDiv w:val="1"/>
      <w:marLeft w:val="0"/>
      <w:marRight w:val="0"/>
      <w:marTop w:val="0"/>
      <w:marBottom w:val="0"/>
      <w:divBdr>
        <w:top w:val="none" w:sz="0" w:space="0" w:color="auto"/>
        <w:left w:val="none" w:sz="0" w:space="0" w:color="auto"/>
        <w:bottom w:val="none" w:sz="0" w:space="0" w:color="auto"/>
        <w:right w:val="none" w:sz="0" w:space="0" w:color="auto"/>
      </w:divBdr>
    </w:div>
    <w:div w:id="204173238">
      <w:bodyDiv w:val="1"/>
      <w:marLeft w:val="0"/>
      <w:marRight w:val="0"/>
      <w:marTop w:val="0"/>
      <w:marBottom w:val="0"/>
      <w:divBdr>
        <w:top w:val="none" w:sz="0" w:space="0" w:color="auto"/>
        <w:left w:val="none" w:sz="0" w:space="0" w:color="auto"/>
        <w:bottom w:val="none" w:sz="0" w:space="0" w:color="auto"/>
        <w:right w:val="none" w:sz="0" w:space="0" w:color="auto"/>
      </w:divBdr>
    </w:div>
    <w:div w:id="205265394">
      <w:bodyDiv w:val="1"/>
      <w:marLeft w:val="0"/>
      <w:marRight w:val="0"/>
      <w:marTop w:val="0"/>
      <w:marBottom w:val="0"/>
      <w:divBdr>
        <w:top w:val="none" w:sz="0" w:space="0" w:color="auto"/>
        <w:left w:val="none" w:sz="0" w:space="0" w:color="auto"/>
        <w:bottom w:val="none" w:sz="0" w:space="0" w:color="auto"/>
        <w:right w:val="none" w:sz="0" w:space="0" w:color="auto"/>
      </w:divBdr>
    </w:div>
    <w:div w:id="206530771">
      <w:bodyDiv w:val="1"/>
      <w:marLeft w:val="0"/>
      <w:marRight w:val="0"/>
      <w:marTop w:val="0"/>
      <w:marBottom w:val="0"/>
      <w:divBdr>
        <w:top w:val="none" w:sz="0" w:space="0" w:color="auto"/>
        <w:left w:val="none" w:sz="0" w:space="0" w:color="auto"/>
        <w:bottom w:val="none" w:sz="0" w:space="0" w:color="auto"/>
        <w:right w:val="none" w:sz="0" w:space="0" w:color="auto"/>
      </w:divBdr>
    </w:div>
    <w:div w:id="208539917">
      <w:bodyDiv w:val="1"/>
      <w:marLeft w:val="0"/>
      <w:marRight w:val="0"/>
      <w:marTop w:val="0"/>
      <w:marBottom w:val="0"/>
      <w:divBdr>
        <w:top w:val="none" w:sz="0" w:space="0" w:color="auto"/>
        <w:left w:val="none" w:sz="0" w:space="0" w:color="auto"/>
        <w:bottom w:val="none" w:sz="0" w:space="0" w:color="auto"/>
        <w:right w:val="none" w:sz="0" w:space="0" w:color="auto"/>
      </w:divBdr>
    </w:div>
    <w:div w:id="208885946">
      <w:bodyDiv w:val="1"/>
      <w:marLeft w:val="0"/>
      <w:marRight w:val="0"/>
      <w:marTop w:val="0"/>
      <w:marBottom w:val="0"/>
      <w:divBdr>
        <w:top w:val="none" w:sz="0" w:space="0" w:color="auto"/>
        <w:left w:val="none" w:sz="0" w:space="0" w:color="auto"/>
        <w:bottom w:val="none" w:sz="0" w:space="0" w:color="auto"/>
        <w:right w:val="none" w:sz="0" w:space="0" w:color="auto"/>
      </w:divBdr>
    </w:div>
    <w:div w:id="210121518">
      <w:bodyDiv w:val="1"/>
      <w:marLeft w:val="0"/>
      <w:marRight w:val="0"/>
      <w:marTop w:val="0"/>
      <w:marBottom w:val="0"/>
      <w:divBdr>
        <w:top w:val="none" w:sz="0" w:space="0" w:color="auto"/>
        <w:left w:val="none" w:sz="0" w:space="0" w:color="auto"/>
        <w:bottom w:val="none" w:sz="0" w:space="0" w:color="auto"/>
        <w:right w:val="none" w:sz="0" w:space="0" w:color="auto"/>
      </w:divBdr>
    </w:div>
    <w:div w:id="210265028">
      <w:bodyDiv w:val="1"/>
      <w:marLeft w:val="0"/>
      <w:marRight w:val="0"/>
      <w:marTop w:val="0"/>
      <w:marBottom w:val="0"/>
      <w:divBdr>
        <w:top w:val="none" w:sz="0" w:space="0" w:color="auto"/>
        <w:left w:val="none" w:sz="0" w:space="0" w:color="auto"/>
        <w:bottom w:val="none" w:sz="0" w:space="0" w:color="auto"/>
        <w:right w:val="none" w:sz="0" w:space="0" w:color="auto"/>
      </w:divBdr>
    </w:div>
    <w:div w:id="210388725">
      <w:bodyDiv w:val="1"/>
      <w:marLeft w:val="0"/>
      <w:marRight w:val="0"/>
      <w:marTop w:val="0"/>
      <w:marBottom w:val="0"/>
      <w:divBdr>
        <w:top w:val="none" w:sz="0" w:space="0" w:color="auto"/>
        <w:left w:val="none" w:sz="0" w:space="0" w:color="auto"/>
        <w:bottom w:val="none" w:sz="0" w:space="0" w:color="auto"/>
        <w:right w:val="none" w:sz="0" w:space="0" w:color="auto"/>
      </w:divBdr>
    </w:div>
    <w:div w:id="211305359">
      <w:bodyDiv w:val="1"/>
      <w:marLeft w:val="0"/>
      <w:marRight w:val="0"/>
      <w:marTop w:val="0"/>
      <w:marBottom w:val="0"/>
      <w:divBdr>
        <w:top w:val="none" w:sz="0" w:space="0" w:color="auto"/>
        <w:left w:val="none" w:sz="0" w:space="0" w:color="auto"/>
        <w:bottom w:val="none" w:sz="0" w:space="0" w:color="auto"/>
        <w:right w:val="none" w:sz="0" w:space="0" w:color="auto"/>
      </w:divBdr>
    </w:div>
    <w:div w:id="211618904">
      <w:bodyDiv w:val="1"/>
      <w:marLeft w:val="0"/>
      <w:marRight w:val="0"/>
      <w:marTop w:val="0"/>
      <w:marBottom w:val="0"/>
      <w:divBdr>
        <w:top w:val="none" w:sz="0" w:space="0" w:color="auto"/>
        <w:left w:val="none" w:sz="0" w:space="0" w:color="auto"/>
        <w:bottom w:val="none" w:sz="0" w:space="0" w:color="auto"/>
        <w:right w:val="none" w:sz="0" w:space="0" w:color="auto"/>
      </w:divBdr>
    </w:div>
    <w:div w:id="212233142">
      <w:bodyDiv w:val="1"/>
      <w:marLeft w:val="0"/>
      <w:marRight w:val="0"/>
      <w:marTop w:val="0"/>
      <w:marBottom w:val="0"/>
      <w:divBdr>
        <w:top w:val="none" w:sz="0" w:space="0" w:color="auto"/>
        <w:left w:val="none" w:sz="0" w:space="0" w:color="auto"/>
        <w:bottom w:val="none" w:sz="0" w:space="0" w:color="auto"/>
        <w:right w:val="none" w:sz="0" w:space="0" w:color="auto"/>
      </w:divBdr>
    </w:div>
    <w:div w:id="213352326">
      <w:bodyDiv w:val="1"/>
      <w:marLeft w:val="0"/>
      <w:marRight w:val="0"/>
      <w:marTop w:val="0"/>
      <w:marBottom w:val="0"/>
      <w:divBdr>
        <w:top w:val="none" w:sz="0" w:space="0" w:color="auto"/>
        <w:left w:val="none" w:sz="0" w:space="0" w:color="auto"/>
        <w:bottom w:val="none" w:sz="0" w:space="0" w:color="auto"/>
        <w:right w:val="none" w:sz="0" w:space="0" w:color="auto"/>
      </w:divBdr>
    </w:div>
    <w:div w:id="213778675">
      <w:bodyDiv w:val="1"/>
      <w:marLeft w:val="0"/>
      <w:marRight w:val="0"/>
      <w:marTop w:val="0"/>
      <w:marBottom w:val="0"/>
      <w:divBdr>
        <w:top w:val="none" w:sz="0" w:space="0" w:color="auto"/>
        <w:left w:val="none" w:sz="0" w:space="0" w:color="auto"/>
        <w:bottom w:val="none" w:sz="0" w:space="0" w:color="auto"/>
        <w:right w:val="none" w:sz="0" w:space="0" w:color="auto"/>
      </w:divBdr>
    </w:div>
    <w:div w:id="216014467">
      <w:bodyDiv w:val="1"/>
      <w:marLeft w:val="0"/>
      <w:marRight w:val="0"/>
      <w:marTop w:val="0"/>
      <w:marBottom w:val="0"/>
      <w:divBdr>
        <w:top w:val="none" w:sz="0" w:space="0" w:color="auto"/>
        <w:left w:val="none" w:sz="0" w:space="0" w:color="auto"/>
        <w:bottom w:val="none" w:sz="0" w:space="0" w:color="auto"/>
        <w:right w:val="none" w:sz="0" w:space="0" w:color="auto"/>
      </w:divBdr>
    </w:div>
    <w:div w:id="216867336">
      <w:bodyDiv w:val="1"/>
      <w:marLeft w:val="0"/>
      <w:marRight w:val="0"/>
      <w:marTop w:val="0"/>
      <w:marBottom w:val="0"/>
      <w:divBdr>
        <w:top w:val="none" w:sz="0" w:space="0" w:color="auto"/>
        <w:left w:val="none" w:sz="0" w:space="0" w:color="auto"/>
        <w:bottom w:val="none" w:sz="0" w:space="0" w:color="auto"/>
        <w:right w:val="none" w:sz="0" w:space="0" w:color="auto"/>
      </w:divBdr>
    </w:div>
    <w:div w:id="217472438">
      <w:bodyDiv w:val="1"/>
      <w:marLeft w:val="0"/>
      <w:marRight w:val="0"/>
      <w:marTop w:val="0"/>
      <w:marBottom w:val="0"/>
      <w:divBdr>
        <w:top w:val="none" w:sz="0" w:space="0" w:color="auto"/>
        <w:left w:val="none" w:sz="0" w:space="0" w:color="auto"/>
        <w:bottom w:val="none" w:sz="0" w:space="0" w:color="auto"/>
        <w:right w:val="none" w:sz="0" w:space="0" w:color="auto"/>
      </w:divBdr>
    </w:div>
    <w:div w:id="217788019">
      <w:bodyDiv w:val="1"/>
      <w:marLeft w:val="0"/>
      <w:marRight w:val="0"/>
      <w:marTop w:val="0"/>
      <w:marBottom w:val="0"/>
      <w:divBdr>
        <w:top w:val="none" w:sz="0" w:space="0" w:color="auto"/>
        <w:left w:val="none" w:sz="0" w:space="0" w:color="auto"/>
        <w:bottom w:val="none" w:sz="0" w:space="0" w:color="auto"/>
        <w:right w:val="none" w:sz="0" w:space="0" w:color="auto"/>
      </w:divBdr>
    </w:div>
    <w:div w:id="218975873">
      <w:bodyDiv w:val="1"/>
      <w:marLeft w:val="0"/>
      <w:marRight w:val="0"/>
      <w:marTop w:val="0"/>
      <w:marBottom w:val="0"/>
      <w:divBdr>
        <w:top w:val="none" w:sz="0" w:space="0" w:color="auto"/>
        <w:left w:val="none" w:sz="0" w:space="0" w:color="auto"/>
        <w:bottom w:val="none" w:sz="0" w:space="0" w:color="auto"/>
        <w:right w:val="none" w:sz="0" w:space="0" w:color="auto"/>
      </w:divBdr>
    </w:div>
    <w:div w:id="219754026">
      <w:bodyDiv w:val="1"/>
      <w:marLeft w:val="0"/>
      <w:marRight w:val="0"/>
      <w:marTop w:val="0"/>
      <w:marBottom w:val="0"/>
      <w:divBdr>
        <w:top w:val="none" w:sz="0" w:space="0" w:color="auto"/>
        <w:left w:val="none" w:sz="0" w:space="0" w:color="auto"/>
        <w:bottom w:val="none" w:sz="0" w:space="0" w:color="auto"/>
        <w:right w:val="none" w:sz="0" w:space="0" w:color="auto"/>
      </w:divBdr>
    </w:div>
    <w:div w:id="220292932">
      <w:bodyDiv w:val="1"/>
      <w:marLeft w:val="0"/>
      <w:marRight w:val="0"/>
      <w:marTop w:val="0"/>
      <w:marBottom w:val="0"/>
      <w:divBdr>
        <w:top w:val="none" w:sz="0" w:space="0" w:color="auto"/>
        <w:left w:val="none" w:sz="0" w:space="0" w:color="auto"/>
        <w:bottom w:val="none" w:sz="0" w:space="0" w:color="auto"/>
        <w:right w:val="none" w:sz="0" w:space="0" w:color="auto"/>
      </w:divBdr>
    </w:div>
    <w:div w:id="222255182">
      <w:bodyDiv w:val="1"/>
      <w:marLeft w:val="0"/>
      <w:marRight w:val="0"/>
      <w:marTop w:val="0"/>
      <w:marBottom w:val="0"/>
      <w:divBdr>
        <w:top w:val="none" w:sz="0" w:space="0" w:color="auto"/>
        <w:left w:val="none" w:sz="0" w:space="0" w:color="auto"/>
        <w:bottom w:val="none" w:sz="0" w:space="0" w:color="auto"/>
        <w:right w:val="none" w:sz="0" w:space="0" w:color="auto"/>
      </w:divBdr>
    </w:div>
    <w:div w:id="223956410">
      <w:bodyDiv w:val="1"/>
      <w:marLeft w:val="0"/>
      <w:marRight w:val="0"/>
      <w:marTop w:val="0"/>
      <w:marBottom w:val="0"/>
      <w:divBdr>
        <w:top w:val="none" w:sz="0" w:space="0" w:color="auto"/>
        <w:left w:val="none" w:sz="0" w:space="0" w:color="auto"/>
        <w:bottom w:val="none" w:sz="0" w:space="0" w:color="auto"/>
        <w:right w:val="none" w:sz="0" w:space="0" w:color="auto"/>
      </w:divBdr>
    </w:div>
    <w:div w:id="224997042">
      <w:bodyDiv w:val="1"/>
      <w:marLeft w:val="0"/>
      <w:marRight w:val="0"/>
      <w:marTop w:val="0"/>
      <w:marBottom w:val="0"/>
      <w:divBdr>
        <w:top w:val="none" w:sz="0" w:space="0" w:color="auto"/>
        <w:left w:val="none" w:sz="0" w:space="0" w:color="auto"/>
        <w:bottom w:val="none" w:sz="0" w:space="0" w:color="auto"/>
        <w:right w:val="none" w:sz="0" w:space="0" w:color="auto"/>
      </w:divBdr>
    </w:div>
    <w:div w:id="225453671">
      <w:bodyDiv w:val="1"/>
      <w:marLeft w:val="0"/>
      <w:marRight w:val="0"/>
      <w:marTop w:val="0"/>
      <w:marBottom w:val="0"/>
      <w:divBdr>
        <w:top w:val="none" w:sz="0" w:space="0" w:color="auto"/>
        <w:left w:val="none" w:sz="0" w:space="0" w:color="auto"/>
        <w:bottom w:val="none" w:sz="0" w:space="0" w:color="auto"/>
        <w:right w:val="none" w:sz="0" w:space="0" w:color="auto"/>
      </w:divBdr>
    </w:div>
    <w:div w:id="226306707">
      <w:bodyDiv w:val="1"/>
      <w:marLeft w:val="0"/>
      <w:marRight w:val="0"/>
      <w:marTop w:val="0"/>
      <w:marBottom w:val="0"/>
      <w:divBdr>
        <w:top w:val="none" w:sz="0" w:space="0" w:color="auto"/>
        <w:left w:val="none" w:sz="0" w:space="0" w:color="auto"/>
        <w:bottom w:val="none" w:sz="0" w:space="0" w:color="auto"/>
        <w:right w:val="none" w:sz="0" w:space="0" w:color="auto"/>
      </w:divBdr>
    </w:div>
    <w:div w:id="227347286">
      <w:bodyDiv w:val="1"/>
      <w:marLeft w:val="0"/>
      <w:marRight w:val="0"/>
      <w:marTop w:val="0"/>
      <w:marBottom w:val="0"/>
      <w:divBdr>
        <w:top w:val="none" w:sz="0" w:space="0" w:color="auto"/>
        <w:left w:val="none" w:sz="0" w:space="0" w:color="auto"/>
        <w:bottom w:val="none" w:sz="0" w:space="0" w:color="auto"/>
        <w:right w:val="none" w:sz="0" w:space="0" w:color="auto"/>
      </w:divBdr>
    </w:div>
    <w:div w:id="227543059">
      <w:bodyDiv w:val="1"/>
      <w:marLeft w:val="0"/>
      <w:marRight w:val="0"/>
      <w:marTop w:val="0"/>
      <w:marBottom w:val="0"/>
      <w:divBdr>
        <w:top w:val="none" w:sz="0" w:space="0" w:color="auto"/>
        <w:left w:val="none" w:sz="0" w:space="0" w:color="auto"/>
        <w:bottom w:val="none" w:sz="0" w:space="0" w:color="auto"/>
        <w:right w:val="none" w:sz="0" w:space="0" w:color="auto"/>
      </w:divBdr>
    </w:div>
    <w:div w:id="227689600">
      <w:bodyDiv w:val="1"/>
      <w:marLeft w:val="0"/>
      <w:marRight w:val="0"/>
      <w:marTop w:val="0"/>
      <w:marBottom w:val="0"/>
      <w:divBdr>
        <w:top w:val="none" w:sz="0" w:space="0" w:color="auto"/>
        <w:left w:val="none" w:sz="0" w:space="0" w:color="auto"/>
        <w:bottom w:val="none" w:sz="0" w:space="0" w:color="auto"/>
        <w:right w:val="none" w:sz="0" w:space="0" w:color="auto"/>
      </w:divBdr>
    </w:div>
    <w:div w:id="229468053">
      <w:bodyDiv w:val="1"/>
      <w:marLeft w:val="0"/>
      <w:marRight w:val="0"/>
      <w:marTop w:val="0"/>
      <w:marBottom w:val="0"/>
      <w:divBdr>
        <w:top w:val="none" w:sz="0" w:space="0" w:color="auto"/>
        <w:left w:val="none" w:sz="0" w:space="0" w:color="auto"/>
        <w:bottom w:val="none" w:sz="0" w:space="0" w:color="auto"/>
        <w:right w:val="none" w:sz="0" w:space="0" w:color="auto"/>
      </w:divBdr>
    </w:div>
    <w:div w:id="231356437">
      <w:bodyDiv w:val="1"/>
      <w:marLeft w:val="0"/>
      <w:marRight w:val="0"/>
      <w:marTop w:val="0"/>
      <w:marBottom w:val="0"/>
      <w:divBdr>
        <w:top w:val="none" w:sz="0" w:space="0" w:color="auto"/>
        <w:left w:val="none" w:sz="0" w:space="0" w:color="auto"/>
        <w:bottom w:val="none" w:sz="0" w:space="0" w:color="auto"/>
        <w:right w:val="none" w:sz="0" w:space="0" w:color="auto"/>
      </w:divBdr>
    </w:div>
    <w:div w:id="231431724">
      <w:bodyDiv w:val="1"/>
      <w:marLeft w:val="0"/>
      <w:marRight w:val="0"/>
      <w:marTop w:val="0"/>
      <w:marBottom w:val="0"/>
      <w:divBdr>
        <w:top w:val="none" w:sz="0" w:space="0" w:color="auto"/>
        <w:left w:val="none" w:sz="0" w:space="0" w:color="auto"/>
        <w:bottom w:val="none" w:sz="0" w:space="0" w:color="auto"/>
        <w:right w:val="none" w:sz="0" w:space="0" w:color="auto"/>
      </w:divBdr>
    </w:div>
    <w:div w:id="231504597">
      <w:bodyDiv w:val="1"/>
      <w:marLeft w:val="0"/>
      <w:marRight w:val="0"/>
      <w:marTop w:val="0"/>
      <w:marBottom w:val="0"/>
      <w:divBdr>
        <w:top w:val="none" w:sz="0" w:space="0" w:color="auto"/>
        <w:left w:val="none" w:sz="0" w:space="0" w:color="auto"/>
        <w:bottom w:val="none" w:sz="0" w:space="0" w:color="auto"/>
        <w:right w:val="none" w:sz="0" w:space="0" w:color="auto"/>
      </w:divBdr>
    </w:div>
    <w:div w:id="231962451">
      <w:bodyDiv w:val="1"/>
      <w:marLeft w:val="0"/>
      <w:marRight w:val="0"/>
      <w:marTop w:val="0"/>
      <w:marBottom w:val="0"/>
      <w:divBdr>
        <w:top w:val="none" w:sz="0" w:space="0" w:color="auto"/>
        <w:left w:val="none" w:sz="0" w:space="0" w:color="auto"/>
        <w:bottom w:val="none" w:sz="0" w:space="0" w:color="auto"/>
        <w:right w:val="none" w:sz="0" w:space="0" w:color="auto"/>
      </w:divBdr>
    </w:div>
    <w:div w:id="232009781">
      <w:bodyDiv w:val="1"/>
      <w:marLeft w:val="0"/>
      <w:marRight w:val="0"/>
      <w:marTop w:val="0"/>
      <w:marBottom w:val="0"/>
      <w:divBdr>
        <w:top w:val="none" w:sz="0" w:space="0" w:color="auto"/>
        <w:left w:val="none" w:sz="0" w:space="0" w:color="auto"/>
        <w:bottom w:val="none" w:sz="0" w:space="0" w:color="auto"/>
        <w:right w:val="none" w:sz="0" w:space="0" w:color="auto"/>
      </w:divBdr>
    </w:div>
    <w:div w:id="232353655">
      <w:bodyDiv w:val="1"/>
      <w:marLeft w:val="0"/>
      <w:marRight w:val="0"/>
      <w:marTop w:val="0"/>
      <w:marBottom w:val="0"/>
      <w:divBdr>
        <w:top w:val="none" w:sz="0" w:space="0" w:color="auto"/>
        <w:left w:val="none" w:sz="0" w:space="0" w:color="auto"/>
        <w:bottom w:val="none" w:sz="0" w:space="0" w:color="auto"/>
        <w:right w:val="none" w:sz="0" w:space="0" w:color="auto"/>
      </w:divBdr>
    </w:div>
    <w:div w:id="232398073">
      <w:bodyDiv w:val="1"/>
      <w:marLeft w:val="0"/>
      <w:marRight w:val="0"/>
      <w:marTop w:val="0"/>
      <w:marBottom w:val="0"/>
      <w:divBdr>
        <w:top w:val="none" w:sz="0" w:space="0" w:color="auto"/>
        <w:left w:val="none" w:sz="0" w:space="0" w:color="auto"/>
        <w:bottom w:val="none" w:sz="0" w:space="0" w:color="auto"/>
        <w:right w:val="none" w:sz="0" w:space="0" w:color="auto"/>
      </w:divBdr>
    </w:div>
    <w:div w:id="233393048">
      <w:bodyDiv w:val="1"/>
      <w:marLeft w:val="0"/>
      <w:marRight w:val="0"/>
      <w:marTop w:val="0"/>
      <w:marBottom w:val="0"/>
      <w:divBdr>
        <w:top w:val="none" w:sz="0" w:space="0" w:color="auto"/>
        <w:left w:val="none" w:sz="0" w:space="0" w:color="auto"/>
        <w:bottom w:val="none" w:sz="0" w:space="0" w:color="auto"/>
        <w:right w:val="none" w:sz="0" w:space="0" w:color="auto"/>
      </w:divBdr>
    </w:div>
    <w:div w:id="234824040">
      <w:bodyDiv w:val="1"/>
      <w:marLeft w:val="0"/>
      <w:marRight w:val="0"/>
      <w:marTop w:val="0"/>
      <w:marBottom w:val="0"/>
      <w:divBdr>
        <w:top w:val="none" w:sz="0" w:space="0" w:color="auto"/>
        <w:left w:val="none" w:sz="0" w:space="0" w:color="auto"/>
        <w:bottom w:val="none" w:sz="0" w:space="0" w:color="auto"/>
        <w:right w:val="none" w:sz="0" w:space="0" w:color="auto"/>
      </w:divBdr>
    </w:div>
    <w:div w:id="238639284">
      <w:bodyDiv w:val="1"/>
      <w:marLeft w:val="0"/>
      <w:marRight w:val="0"/>
      <w:marTop w:val="0"/>
      <w:marBottom w:val="0"/>
      <w:divBdr>
        <w:top w:val="none" w:sz="0" w:space="0" w:color="auto"/>
        <w:left w:val="none" w:sz="0" w:space="0" w:color="auto"/>
        <w:bottom w:val="none" w:sz="0" w:space="0" w:color="auto"/>
        <w:right w:val="none" w:sz="0" w:space="0" w:color="auto"/>
      </w:divBdr>
    </w:div>
    <w:div w:id="239222228">
      <w:bodyDiv w:val="1"/>
      <w:marLeft w:val="0"/>
      <w:marRight w:val="0"/>
      <w:marTop w:val="0"/>
      <w:marBottom w:val="0"/>
      <w:divBdr>
        <w:top w:val="none" w:sz="0" w:space="0" w:color="auto"/>
        <w:left w:val="none" w:sz="0" w:space="0" w:color="auto"/>
        <w:bottom w:val="none" w:sz="0" w:space="0" w:color="auto"/>
        <w:right w:val="none" w:sz="0" w:space="0" w:color="auto"/>
      </w:divBdr>
    </w:div>
    <w:div w:id="242299593">
      <w:bodyDiv w:val="1"/>
      <w:marLeft w:val="0"/>
      <w:marRight w:val="0"/>
      <w:marTop w:val="0"/>
      <w:marBottom w:val="0"/>
      <w:divBdr>
        <w:top w:val="none" w:sz="0" w:space="0" w:color="auto"/>
        <w:left w:val="none" w:sz="0" w:space="0" w:color="auto"/>
        <w:bottom w:val="none" w:sz="0" w:space="0" w:color="auto"/>
        <w:right w:val="none" w:sz="0" w:space="0" w:color="auto"/>
      </w:divBdr>
    </w:div>
    <w:div w:id="242374676">
      <w:bodyDiv w:val="1"/>
      <w:marLeft w:val="0"/>
      <w:marRight w:val="0"/>
      <w:marTop w:val="0"/>
      <w:marBottom w:val="0"/>
      <w:divBdr>
        <w:top w:val="none" w:sz="0" w:space="0" w:color="auto"/>
        <w:left w:val="none" w:sz="0" w:space="0" w:color="auto"/>
        <w:bottom w:val="none" w:sz="0" w:space="0" w:color="auto"/>
        <w:right w:val="none" w:sz="0" w:space="0" w:color="auto"/>
      </w:divBdr>
    </w:div>
    <w:div w:id="243028004">
      <w:bodyDiv w:val="1"/>
      <w:marLeft w:val="0"/>
      <w:marRight w:val="0"/>
      <w:marTop w:val="0"/>
      <w:marBottom w:val="0"/>
      <w:divBdr>
        <w:top w:val="none" w:sz="0" w:space="0" w:color="auto"/>
        <w:left w:val="none" w:sz="0" w:space="0" w:color="auto"/>
        <w:bottom w:val="none" w:sz="0" w:space="0" w:color="auto"/>
        <w:right w:val="none" w:sz="0" w:space="0" w:color="auto"/>
      </w:divBdr>
    </w:div>
    <w:div w:id="243608793">
      <w:bodyDiv w:val="1"/>
      <w:marLeft w:val="0"/>
      <w:marRight w:val="0"/>
      <w:marTop w:val="0"/>
      <w:marBottom w:val="0"/>
      <w:divBdr>
        <w:top w:val="none" w:sz="0" w:space="0" w:color="auto"/>
        <w:left w:val="none" w:sz="0" w:space="0" w:color="auto"/>
        <w:bottom w:val="none" w:sz="0" w:space="0" w:color="auto"/>
        <w:right w:val="none" w:sz="0" w:space="0" w:color="auto"/>
      </w:divBdr>
    </w:div>
    <w:div w:id="243799927">
      <w:bodyDiv w:val="1"/>
      <w:marLeft w:val="0"/>
      <w:marRight w:val="0"/>
      <w:marTop w:val="0"/>
      <w:marBottom w:val="0"/>
      <w:divBdr>
        <w:top w:val="none" w:sz="0" w:space="0" w:color="auto"/>
        <w:left w:val="none" w:sz="0" w:space="0" w:color="auto"/>
        <w:bottom w:val="none" w:sz="0" w:space="0" w:color="auto"/>
        <w:right w:val="none" w:sz="0" w:space="0" w:color="auto"/>
      </w:divBdr>
    </w:div>
    <w:div w:id="244266203">
      <w:bodyDiv w:val="1"/>
      <w:marLeft w:val="0"/>
      <w:marRight w:val="0"/>
      <w:marTop w:val="0"/>
      <w:marBottom w:val="0"/>
      <w:divBdr>
        <w:top w:val="none" w:sz="0" w:space="0" w:color="auto"/>
        <w:left w:val="none" w:sz="0" w:space="0" w:color="auto"/>
        <w:bottom w:val="none" w:sz="0" w:space="0" w:color="auto"/>
        <w:right w:val="none" w:sz="0" w:space="0" w:color="auto"/>
      </w:divBdr>
    </w:div>
    <w:div w:id="244534447">
      <w:bodyDiv w:val="1"/>
      <w:marLeft w:val="0"/>
      <w:marRight w:val="0"/>
      <w:marTop w:val="0"/>
      <w:marBottom w:val="0"/>
      <w:divBdr>
        <w:top w:val="none" w:sz="0" w:space="0" w:color="auto"/>
        <w:left w:val="none" w:sz="0" w:space="0" w:color="auto"/>
        <w:bottom w:val="none" w:sz="0" w:space="0" w:color="auto"/>
        <w:right w:val="none" w:sz="0" w:space="0" w:color="auto"/>
      </w:divBdr>
    </w:div>
    <w:div w:id="244606624">
      <w:bodyDiv w:val="1"/>
      <w:marLeft w:val="0"/>
      <w:marRight w:val="0"/>
      <w:marTop w:val="0"/>
      <w:marBottom w:val="0"/>
      <w:divBdr>
        <w:top w:val="none" w:sz="0" w:space="0" w:color="auto"/>
        <w:left w:val="none" w:sz="0" w:space="0" w:color="auto"/>
        <w:bottom w:val="none" w:sz="0" w:space="0" w:color="auto"/>
        <w:right w:val="none" w:sz="0" w:space="0" w:color="auto"/>
      </w:divBdr>
    </w:div>
    <w:div w:id="245386246">
      <w:bodyDiv w:val="1"/>
      <w:marLeft w:val="0"/>
      <w:marRight w:val="0"/>
      <w:marTop w:val="0"/>
      <w:marBottom w:val="0"/>
      <w:divBdr>
        <w:top w:val="none" w:sz="0" w:space="0" w:color="auto"/>
        <w:left w:val="none" w:sz="0" w:space="0" w:color="auto"/>
        <w:bottom w:val="none" w:sz="0" w:space="0" w:color="auto"/>
        <w:right w:val="none" w:sz="0" w:space="0" w:color="auto"/>
      </w:divBdr>
    </w:div>
    <w:div w:id="246157801">
      <w:bodyDiv w:val="1"/>
      <w:marLeft w:val="0"/>
      <w:marRight w:val="0"/>
      <w:marTop w:val="0"/>
      <w:marBottom w:val="0"/>
      <w:divBdr>
        <w:top w:val="none" w:sz="0" w:space="0" w:color="auto"/>
        <w:left w:val="none" w:sz="0" w:space="0" w:color="auto"/>
        <w:bottom w:val="none" w:sz="0" w:space="0" w:color="auto"/>
        <w:right w:val="none" w:sz="0" w:space="0" w:color="auto"/>
      </w:divBdr>
    </w:div>
    <w:div w:id="246574180">
      <w:bodyDiv w:val="1"/>
      <w:marLeft w:val="0"/>
      <w:marRight w:val="0"/>
      <w:marTop w:val="0"/>
      <w:marBottom w:val="0"/>
      <w:divBdr>
        <w:top w:val="none" w:sz="0" w:space="0" w:color="auto"/>
        <w:left w:val="none" w:sz="0" w:space="0" w:color="auto"/>
        <w:bottom w:val="none" w:sz="0" w:space="0" w:color="auto"/>
        <w:right w:val="none" w:sz="0" w:space="0" w:color="auto"/>
      </w:divBdr>
    </w:div>
    <w:div w:id="246891617">
      <w:bodyDiv w:val="1"/>
      <w:marLeft w:val="0"/>
      <w:marRight w:val="0"/>
      <w:marTop w:val="0"/>
      <w:marBottom w:val="0"/>
      <w:divBdr>
        <w:top w:val="none" w:sz="0" w:space="0" w:color="auto"/>
        <w:left w:val="none" w:sz="0" w:space="0" w:color="auto"/>
        <w:bottom w:val="none" w:sz="0" w:space="0" w:color="auto"/>
        <w:right w:val="none" w:sz="0" w:space="0" w:color="auto"/>
      </w:divBdr>
    </w:div>
    <w:div w:id="249511729">
      <w:bodyDiv w:val="1"/>
      <w:marLeft w:val="0"/>
      <w:marRight w:val="0"/>
      <w:marTop w:val="0"/>
      <w:marBottom w:val="0"/>
      <w:divBdr>
        <w:top w:val="none" w:sz="0" w:space="0" w:color="auto"/>
        <w:left w:val="none" w:sz="0" w:space="0" w:color="auto"/>
        <w:bottom w:val="none" w:sz="0" w:space="0" w:color="auto"/>
        <w:right w:val="none" w:sz="0" w:space="0" w:color="auto"/>
      </w:divBdr>
    </w:div>
    <w:div w:id="252056565">
      <w:bodyDiv w:val="1"/>
      <w:marLeft w:val="0"/>
      <w:marRight w:val="0"/>
      <w:marTop w:val="0"/>
      <w:marBottom w:val="0"/>
      <w:divBdr>
        <w:top w:val="none" w:sz="0" w:space="0" w:color="auto"/>
        <w:left w:val="none" w:sz="0" w:space="0" w:color="auto"/>
        <w:bottom w:val="none" w:sz="0" w:space="0" w:color="auto"/>
        <w:right w:val="none" w:sz="0" w:space="0" w:color="auto"/>
      </w:divBdr>
    </w:div>
    <w:div w:id="252279669">
      <w:bodyDiv w:val="1"/>
      <w:marLeft w:val="0"/>
      <w:marRight w:val="0"/>
      <w:marTop w:val="0"/>
      <w:marBottom w:val="0"/>
      <w:divBdr>
        <w:top w:val="none" w:sz="0" w:space="0" w:color="auto"/>
        <w:left w:val="none" w:sz="0" w:space="0" w:color="auto"/>
        <w:bottom w:val="none" w:sz="0" w:space="0" w:color="auto"/>
        <w:right w:val="none" w:sz="0" w:space="0" w:color="auto"/>
      </w:divBdr>
    </w:div>
    <w:div w:id="252669714">
      <w:bodyDiv w:val="1"/>
      <w:marLeft w:val="0"/>
      <w:marRight w:val="0"/>
      <w:marTop w:val="0"/>
      <w:marBottom w:val="0"/>
      <w:divBdr>
        <w:top w:val="none" w:sz="0" w:space="0" w:color="auto"/>
        <w:left w:val="none" w:sz="0" w:space="0" w:color="auto"/>
        <w:bottom w:val="none" w:sz="0" w:space="0" w:color="auto"/>
        <w:right w:val="none" w:sz="0" w:space="0" w:color="auto"/>
      </w:divBdr>
      <w:divsChild>
        <w:div w:id="446391126">
          <w:marLeft w:val="0"/>
          <w:marRight w:val="0"/>
          <w:marTop w:val="0"/>
          <w:marBottom w:val="0"/>
          <w:divBdr>
            <w:top w:val="none" w:sz="0" w:space="0" w:color="auto"/>
            <w:left w:val="none" w:sz="0" w:space="0" w:color="auto"/>
            <w:bottom w:val="none" w:sz="0" w:space="0" w:color="auto"/>
            <w:right w:val="none" w:sz="0" w:space="0" w:color="auto"/>
          </w:divBdr>
          <w:divsChild>
            <w:div w:id="1196120221">
              <w:marLeft w:val="0"/>
              <w:marRight w:val="0"/>
              <w:marTop w:val="0"/>
              <w:marBottom w:val="0"/>
              <w:divBdr>
                <w:top w:val="none" w:sz="0" w:space="0" w:color="auto"/>
                <w:left w:val="none" w:sz="0" w:space="0" w:color="auto"/>
                <w:bottom w:val="none" w:sz="0" w:space="0" w:color="auto"/>
                <w:right w:val="none" w:sz="0" w:space="0" w:color="auto"/>
              </w:divBdr>
              <w:divsChild>
                <w:div w:id="1217813599">
                  <w:marLeft w:val="0"/>
                  <w:marRight w:val="0"/>
                  <w:marTop w:val="0"/>
                  <w:marBottom w:val="0"/>
                  <w:divBdr>
                    <w:top w:val="none" w:sz="0" w:space="0" w:color="auto"/>
                    <w:left w:val="none" w:sz="0" w:space="0" w:color="auto"/>
                    <w:bottom w:val="none" w:sz="0" w:space="0" w:color="auto"/>
                    <w:right w:val="none" w:sz="0" w:space="0" w:color="auto"/>
                  </w:divBdr>
                  <w:divsChild>
                    <w:div w:id="10367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364550">
      <w:bodyDiv w:val="1"/>
      <w:marLeft w:val="0"/>
      <w:marRight w:val="0"/>
      <w:marTop w:val="0"/>
      <w:marBottom w:val="0"/>
      <w:divBdr>
        <w:top w:val="none" w:sz="0" w:space="0" w:color="auto"/>
        <w:left w:val="none" w:sz="0" w:space="0" w:color="auto"/>
        <w:bottom w:val="none" w:sz="0" w:space="0" w:color="auto"/>
        <w:right w:val="none" w:sz="0" w:space="0" w:color="auto"/>
      </w:divBdr>
    </w:div>
    <w:div w:id="253829016">
      <w:bodyDiv w:val="1"/>
      <w:marLeft w:val="0"/>
      <w:marRight w:val="0"/>
      <w:marTop w:val="0"/>
      <w:marBottom w:val="0"/>
      <w:divBdr>
        <w:top w:val="none" w:sz="0" w:space="0" w:color="auto"/>
        <w:left w:val="none" w:sz="0" w:space="0" w:color="auto"/>
        <w:bottom w:val="none" w:sz="0" w:space="0" w:color="auto"/>
        <w:right w:val="none" w:sz="0" w:space="0" w:color="auto"/>
      </w:divBdr>
    </w:div>
    <w:div w:id="255679108">
      <w:bodyDiv w:val="1"/>
      <w:marLeft w:val="0"/>
      <w:marRight w:val="0"/>
      <w:marTop w:val="0"/>
      <w:marBottom w:val="0"/>
      <w:divBdr>
        <w:top w:val="none" w:sz="0" w:space="0" w:color="auto"/>
        <w:left w:val="none" w:sz="0" w:space="0" w:color="auto"/>
        <w:bottom w:val="none" w:sz="0" w:space="0" w:color="auto"/>
        <w:right w:val="none" w:sz="0" w:space="0" w:color="auto"/>
      </w:divBdr>
    </w:div>
    <w:div w:id="255872149">
      <w:bodyDiv w:val="1"/>
      <w:marLeft w:val="0"/>
      <w:marRight w:val="0"/>
      <w:marTop w:val="0"/>
      <w:marBottom w:val="0"/>
      <w:divBdr>
        <w:top w:val="none" w:sz="0" w:space="0" w:color="auto"/>
        <w:left w:val="none" w:sz="0" w:space="0" w:color="auto"/>
        <w:bottom w:val="none" w:sz="0" w:space="0" w:color="auto"/>
        <w:right w:val="none" w:sz="0" w:space="0" w:color="auto"/>
      </w:divBdr>
    </w:div>
    <w:div w:id="257376406">
      <w:bodyDiv w:val="1"/>
      <w:marLeft w:val="0"/>
      <w:marRight w:val="0"/>
      <w:marTop w:val="0"/>
      <w:marBottom w:val="0"/>
      <w:divBdr>
        <w:top w:val="none" w:sz="0" w:space="0" w:color="auto"/>
        <w:left w:val="none" w:sz="0" w:space="0" w:color="auto"/>
        <w:bottom w:val="none" w:sz="0" w:space="0" w:color="auto"/>
        <w:right w:val="none" w:sz="0" w:space="0" w:color="auto"/>
      </w:divBdr>
    </w:div>
    <w:div w:id="258685063">
      <w:bodyDiv w:val="1"/>
      <w:marLeft w:val="0"/>
      <w:marRight w:val="0"/>
      <w:marTop w:val="0"/>
      <w:marBottom w:val="0"/>
      <w:divBdr>
        <w:top w:val="none" w:sz="0" w:space="0" w:color="auto"/>
        <w:left w:val="none" w:sz="0" w:space="0" w:color="auto"/>
        <w:bottom w:val="none" w:sz="0" w:space="0" w:color="auto"/>
        <w:right w:val="none" w:sz="0" w:space="0" w:color="auto"/>
      </w:divBdr>
    </w:div>
    <w:div w:id="258757751">
      <w:bodyDiv w:val="1"/>
      <w:marLeft w:val="0"/>
      <w:marRight w:val="0"/>
      <w:marTop w:val="0"/>
      <w:marBottom w:val="0"/>
      <w:divBdr>
        <w:top w:val="none" w:sz="0" w:space="0" w:color="auto"/>
        <w:left w:val="none" w:sz="0" w:space="0" w:color="auto"/>
        <w:bottom w:val="none" w:sz="0" w:space="0" w:color="auto"/>
        <w:right w:val="none" w:sz="0" w:space="0" w:color="auto"/>
      </w:divBdr>
    </w:div>
    <w:div w:id="259417482">
      <w:bodyDiv w:val="1"/>
      <w:marLeft w:val="0"/>
      <w:marRight w:val="0"/>
      <w:marTop w:val="0"/>
      <w:marBottom w:val="0"/>
      <w:divBdr>
        <w:top w:val="none" w:sz="0" w:space="0" w:color="auto"/>
        <w:left w:val="none" w:sz="0" w:space="0" w:color="auto"/>
        <w:bottom w:val="none" w:sz="0" w:space="0" w:color="auto"/>
        <w:right w:val="none" w:sz="0" w:space="0" w:color="auto"/>
      </w:divBdr>
    </w:div>
    <w:div w:id="264197258">
      <w:bodyDiv w:val="1"/>
      <w:marLeft w:val="0"/>
      <w:marRight w:val="0"/>
      <w:marTop w:val="0"/>
      <w:marBottom w:val="0"/>
      <w:divBdr>
        <w:top w:val="none" w:sz="0" w:space="0" w:color="auto"/>
        <w:left w:val="none" w:sz="0" w:space="0" w:color="auto"/>
        <w:bottom w:val="none" w:sz="0" w:space="0" w:color="auto"/>
        <w:right w:val="none" w:sz="0" w:space="0" w:color="auto"/>
      </w:divBdr>
    </w:div>
    <w:div w:id="265191234">
      <w:bodyDiv w:val="1"/>
      <w:marLeft w:val="0"/>
      <w:marRight w:val="0"/>
      <w:marTop w:val="0"/>
      <w:marBottom w:val="0"/>
      <w:divBdr>
        <w:top w:val="none" w:sz="0" w:space="0" w:color="auto"/>
        <w:left w:val="none" w:sz="0" w:space="0" w:color="auto"/>
        <w:bottom w:val="none" w:sz="0" w:space="0" w:color="auto"/>
        <w:right w:val="none" w:sz="0" w:space="0" w:color="auto"/>
      </w:divBdr>
    </w:div>
    <w:div w:id="270476761">
      <w:bodyDiv w:val="1"/>
      <w:marLeft w:val="0"/>
      <w:marRight w:val="0"/>
      <w:marTop w:val="0"/>
      <w:marBottom w:val="0"/>
      <w:divBdr>
        <w:top w:val="none" w:sz="0" w:space="0" w:color="auto"/>
        <w:left w:val="none" w:sz="0" w:space="0" w:color="auto"/>
        <w:bottom w:val="none" w:sz="0" w:space="0" w:color="auto"/>
        <w:right w:val="none" w:sz="0" w:space="0" w:color="auto"/>
      </w:divBdr>
    </w:div>
    <w:div w:id="272250999">
      <w:bodyDiv w:val="1"/>
      <w:marLeft w:val="0"/>
      <w:marRight w:val="0"/>
      <w:marTop w:val="0"/>
      <w:marBottom w:val="0"/>
      <w:divBdr>
        <w:top w:val="none" w:sz="0" w:space="0" w:color="auto"/>
        <w:left w:val="none" w:sz="0" w:space="0" w:color="auto"/>
        <w:bottom w:val="none" w:sz="0" w:space="0" w:color="auto"/>
        <w:right w:val="none" w:sz="0" w:space="0" w:color="auto"/>
      </w:divBdr>
    </w:div>
    <w:div w:id="273634590">
      <w:bodyDiv w:val="1"/>
      <w:marLeft w:val="0"/>
      <w:marRight w:val="0"/>
      <w:marTop w:val="0"/>
      <w:marBottom w:val="0"/>
      <w:divBdr>
        <w:top w:val="none" w:sz="0" w:space="0" w:color="auto"/>
        <w:left w:val="none" w:sz="0" w:space="0" w:color="auto"/>
        <w:bottom w:val="none" w:sz="0" w:space="0" w:color="auto"/>
        <w:right w:val="none" w:sz="0" w:space="0" w:color="auto"/>
      </w:divBdr>
    </w:div>
    <w:div w:id="275143915">
      <w:bodyDiv w:val="1"/>
      <w:marLeft w:val="0"/>
      <w:marRight w:val="0"/>
      <w:marTop w:val="0"/>
      <w:marBottom w:val="0"/>
      <w:divBdr>
        <w:top w:val="none" w:sz="0" w:space="0" w:color="auto"/>
        <w:left w:val="none" w:sz="0" w:space="0" w:color="auto"/>
        <w:bottom w:val="none" w:sz="0" w:space="0" w:color="auto"/>
        <w:right w:val="none" w:sz="0" w:space="0" w:color="auto"/>
      </w:divBdr>
    </w:div>
    <w:div w:id="275909363">
      <w:bodyDiv w:val="1"/>
      <w:marLeft w:val="0"/>
      <w:marRight w:val="0"/>
      <w:marTop w:val="0"/>
      <w:marBottom w:val="0"/>
      <w:divBdr>
        <w:top w:val="none" w:sz="0" w:space="0" w:color="auto"/>
        <w:left w:val="none" w:sz="0" w:space="0" w:color="auto"/>
        <w:bottom w:val="none" w:sz="0" w:space="0" w:color="auto"/>
        <w:right w:val="none" w:sz="0" w:space="0" w:color="auto"/>
      </w:divBdr>
    </w:div>
    <w:div w:id="278075699">
      <w:bodyDiv w:val="1"/>
      <w:marLeft w:val="0"/>
      <w:marRight w:val="0"/>
      <w:marTop w:val="0"/>
      <w:marBottom w:val="0"/>
      <w:divBdr>
        <w:top w:val="none" w:sz="0" w:space="0" w:color="auto"/>
        <w:left w:val="none" w:sz="0" w:space="0" w:color="auto"/>
        <w:bottom w:val="none" w:sz="0" w:space="0" w:color="auto"/>
        <w:right w:val="none" w:sz="0" w:space="0" w:color="auto"/>
      </w:divBdr>
    </w:div>
    <w:div w:id="278337397">
      <w:bodyDiv w:val="1"/>
      <w:marLeft w:val="0"/>
      <w:marRight w:val="0"/>
      <w:marTop w:val="0"/>
      <w:marBottom w:val="0"/>
      <w:divBdr>
        <w:top w:val="none" w:sz="0" w:space="0" w:color="auto"/>
        <w:left w:val="none" w:sz="0" w:space="0" w:color="auto"/>
        <w:bottom w:val="none" w:sz="0" w:space="0" w:color="auto"/>
        <w:right w:val="none" w:sz="0" w:space="0" w:color="auto"/>
      </w:divBdr>
    </w:div>
    <w:div w:id="278491872">
      <w:bodyDiv w:val="1"/>
      <w:marLeft w:val="0"/>
      <w:marRight w:val="0"/>
      <w:marTop w:val="0"/>
      <w:marBottom w:val="0"/>
      <w:divBdr>
        <w:top w:val="none" w:sz="0" w:space="0" w:color="auto"/>
        <w:left w:val="none" w:sz="0" w:space="0" w:color="auto"/>
        <w:bottom w:val="none" w:sz="0" w:space="0" w:color="auto"/>
        <w:right w:val="none" w:sz="0" w:space="0" w:color="auto"/>
      </w:divBdr>
    </w:div>
    <w:div w:id="283850057">
      <w:bodyDiv w:val="1"/>
      <w:marLeft w:val="0"/>
      <w:marRight w:val="0"/>
      <w:marTop w:val="0"/>
      <w:marBottom w:val="0"/>
      <w:divBdr>
        <w:top w:val="none" w:sz="0" w:space="0" w:color="auto"/>
        <w:left w:val="none" w:sz="0" w:space="0" w:color="auto"/>
        <w:bottom w:val="none" w:sz="0" w:space="0" w:color="auto"/>
        <w:right w:val="none" w:sz="0" w:space="0" w:color="auto"/>
      </w:divBdr>
    </w:div>
    <w:div w:id="283999346">
      <w:bodyDiv w:val="1"/>
      <w:marLeft w:val="0"/>
      <w:marRight w:val="0"/>
      <w:marTop w:val="0"/>
      <w:marBottom w:val="0"/>
      <w:divBdr>
        <w:top w:val="none" w:sz="0" w:space="0" w:color="auto"/>
        <w:left w:val="none" w:sz="0" w:space="0" w:color="auto"/>
        <w:bottom w:val="none" w:sz="0" w:space="0" w:color="auto"/>
        <w:right w:val="none" w:sz="0" w:space="0" w:color="auto"/>
      </w:divBdr>
    </w:div>
    <w:div w:id="286354437">
      <w:bodyDiv w:val="1"/>
      <w:marLeft w:val="0"/>
      <w:marRight w:val="0"/>
      <w:marTop w:val="0"/>
      <w:marBottom w:val="0"/>
      <w:divBdr>
        <w:top w:val="none" w:sz="0" w:space="0" w:color="auto"/>
        <w:left w:val="none" w:sz="0" w:space="0" w:color="auto"/>
        <w:bottom w:val="none" w:sz="0" w:space="0" w:color="auto"/>
        <w:right w:val="none" w:sz="0" w:space="0" w:color="auto"/>
      </w:divBdr>
    </w:div>
    <w:div w:id="286739221">
      <w:bodyDiv w:val="1"/>
      <w:marLeft w:val="0"/>
      <w:marRight w:val="0"/>
      <w:marTop w:val="0"/>
      <w:marBottom w:val="0"/>
      <w:divBdr>
        <w:top w:val="none" w:sz="0" w:space="0" w:color="auto"/>
        <w:left w:val="none" w:sz="0" w:space="0" w:color="auto"/>
        <w:bottom w:val="none" w:sz="0" w:space="0" w:color="auto"/>
        <w:right w:val="none" w:sz="0" w:space="0" w:color="auto"/>
      </w:divBdr>
    </w:div>
    <w:div w:id="286860937">
      <w:bodyDiv w:val="1"/>
      <w:marLeft w:val="0"/>
      <w:marRight w:val="0"/>
      <w:marTop w:val="0"/>
      <w:marBottom w:val="0"/>
      <w:divBdr>
        <w:top w:val="none" w:sz="0" w:space="0" w:color="auto"/>
        <w:left w:val="none" w:sz="0" w:space="0" w:color="auto"/>
        <w:bottom w:val="none" w:sz="0" w:space="0" w:color="auto"/>
        <w:right w:val="none" w:sz="0" w:space="0" w:color="auto"/>
      </w:divBdr>
    </w:div>
    <w:div w:id="286930987">
      <w:bodyDiv w:val="1"/>
      <w:marLeft w:val="0"/>
      <w:marRight w:val="0"/>
      <w:marTop w:val="0"/>
      <w:marBottom w:val="0"/>
      <w:divBdr>
        <w:top w:val="none" w:sz="0" w:space="0" w:color="auto"/>
        <w:left w:val="none" w:sz="0" w:space="0" w:color="auto"/>
        <w:bottom w:val="none" w:sz="0" w:space="0" w:color="auto"/>
        <w:right w:val="none" w:sz="0" w:space="0" w:color="auto"/>
      </w:divBdr>
    </w:div>
    <w:div w:id="289020056">
      <w:bodyDiv w:val="1"/>
      <w:marLeft w:val="0"/>
      <w:marRight w:val="0"/>
      <w:marTop w:val="0"/>
      <w:marBottom w:val="0"/>
      <w:divBdr>
        <w:top w:val="none" w:sz="0" w:space="0" w:color="auto"/>
        <w:left w:val="none" w:sz="0" w:space="0" w:color="auto"/>
        <w:bottom w:val="none" w:sz="0" w:space="0" w:color="auto"/>
        <w:right w:val="none" w:sz="0" w:space="0" w:color="auto"/>
      </w:divBdr>
    </w:div>
    <w:div w:id="289210377">
      <w:bodyDiv w:val="1"/>
      <w:marLeft w:val="0"/>
      <w:marRight w:val="0"/>
      <w:marTop w:val="0"/>
      <w:marBottom w:val="0"/>
      <w:divBdr>
        <w:top w:val="none" w:sz="0" w:space="0" w:color="auto"/>
        <w:left w:val="none" w:sz="0" w:space="0" w:color="auto"/>
        <w:bottom w:val="none" w:sz="0" w:space="0" w:color="auto"/>
        <w:right w:val="none" w:sz="0" w:space="0" w:color="auto"/>
      </w:divBdr>
    </w:div>
    <w:div w:id="289744509">
      <w:bodyDiv w:val="1"/>
      <w:marLeft w:val="0"/>
      <w:marRight w:val="0"/>
      <w:marTop w:val="0"/>
      <w:marBottom w:val="0"/>
      <w:divBdr>
        <w:top w:val="none" w:sz="0" w:space="0" w:color="auto"/>
        <w:left w:val="none" w:sz="0" w:space="0" w:color="auto"/>
        <w:bottom w:val="none" w:sz="0" w:space="0" w:color="auto"/>
        <w:right w:val="none" w:sz="0" w:space="0" w:color="auto"/>
      </w:divBdr>
    </w:div>
    <w:div w:id="291178928">
      <w:bodyDiv w:val="1"/>
      <w:marLeft w:val="0"/>
      <w:marRight w:val="0"/>
      <w:marTop w:val="0"/>
      <w:marBottom w:val="0"/>
      <w:divBdr>
        <w:top w:val="none" w:sz="0" w:space="0" w:color="auto"/>
        <w:left w:val="none" w:sz="0" w:space="0" w:color="auto"/>
        <w:bottom w:val="none" w:sz="0" w:space="0" w:color="auto"/>
        <w:right w:val="none" w:sz="0" w:space="0" w:color="auto"/>
      </w:divBdr>
    </w:div>
    <w:div w:id="291250983">
      <w:bodyDiv w:val="1"/>
      <w:marLeft w:val="0"/>
      <w:marRight w:val="0"/>
      <w:marTop w:val="0"/>
      <w:marBottom w:val="0"/>
      <w:divBdr>
        <w:top w:val="none" w:sz="0" w:space="0" w:color="auto"/>
        <w:left w:val="none" w:sz="0" w:space="0" w:color="auto"/>
        <w:bottom w:val="none" w:sz="0" w:space="0" w:color="auto"/>
        <w:right w:val="none" w:sz="0" w:space="0" w:color="auto"/>
      </w:divBdr>
    </w:div>
    <w:div w:id="291447369">
      <w:bodyDiv w:val="1"/>
      <w:marLeft w:val="0"/>
      <w:marRight w:val="0"/>
      <w:marTop w:val="0"/>
      <w:marBottom w:val="0"/>
      <w:divBdr>
        <w:top w:val="none" w:sz="0" w:space="0" w:color="auto"/>
        <w:left w:val="none" w:sz="0" w:space="0" w:color="auto"/>
        <w:bottom w:val="none" w:sz="0" w:space="0" w:color="auto"/>
        <w:right w:val="none" w:sz="0" w:space="0" w:color="auto"/>
      </w:divBdr>
    </w:div>
    <w:div w:id="293026043">
      <w:bodyDiv w:val="1"/>
      <w:marLeft w:val="0"/>
      <w:marRight w:val="0"/>
      <w:marTop w:val="0"/>
      <w:marBottom w:val="0"/>
      <w:divBdr>
        <w:top w:val="none" w:sz="0" w:space="0" w:color="auto"/>
        <w:left w:val="none" w:sz="0" w:space="0" w:color="auto"/>
        <w:bottom w:val="none" w:sz="0" w:space="0" w:color="auto"/>
        <w:right w:val="none" w:sz="0" w:space="0" w:color="auto"/>
      </w:divBdr>
    </w:div>
    <w:div w:id="294337953">
      <w:bodyDiv w:val="1"/>
      <w:marLeft w:val="0"/>
      <w:marRight w:val="0"/>
      <w:marTop w:val="0"/>
      <w:marBottom w:val="0"/>
      <w:divBdr>
        <w:top w:val="none" w:sz="0" w:space="0" w:color="auto"/>
        <w:left w:val="none" w:sz="0" w:space="0" w:color="auto"/>
        <w:bottom w:val="none" w:sz="0" w:space="0" w:color="auto"/>
        <w:right w:val="none" w:sz="0" w:space="0" w:color="auto"/>
      </w:divBdr>
    </w:div>
    <w:div w:id="295989368">
      <w:bodyDiv w:val="1"/>
      <w:marLeft w:val="0"/>
      <w:marRight w:val="0"/>
      <w:marTop w:val="0"/>
      <w:marBottom w:val="0"/>
      <w:divBdr>
        <w:top w:val="none" w:sz="0" w:space="0" w:color="auto"/>
        <w:left w:val="none" w:sz="0" w:space="0" w:color="auto"/>
        <w:bottom w:val="none" w:sz="0" w:space="0" w:color="auto"/>
        <w:right w:val="none" w:sz="0" w:space="0" w:color="auto"/>
      </w:divBdr>
    </w:div>
    <w:div w:id="297806718">
      <w:bodyDiv w:val="1"/>
      <w:marLeft w:val="0"/>
      <w:marRight w:val="0"/>
      <w:marTop w:val="0"/>
      <w:marBottom w:val="0"/>
      <w:divBdr>
        <w:top w:val="none" w:sz="0" w:space="0" w:color="auto"/>
        <w:left w:val="none" w:sz="0" w:space="0" w:color="auto"/>
        <w:bottom w:val="none" w:sz="0" w:space="0" w:color="auto"/>
        <w:right w:val="none" w:sz="0" w:space="0" w:color="auto"/>
      </w:divBdr>
    </w:div>
    <w:div w:id="298875201">
      <w:bodyDiv w:val="1"/>
      <w:marLeft w:val="0"/>
      <w:marRight w:val="0"/>
      <w:marTop w:val="0"/>
      <w:marBottom w:val="0"/>
      <w:divBdr>
        <w:top w:val="none" w:sz="0" w:space="0" w:color="auto"/>
        <w:left w:val="none" w:sz="0" w:space="0" w:color="auto"/>
        <w:bottom w:val="none" w:sz="0" w:space="0" w:color="auto"/>
        <w:right w:val="none" w:sz="0" w:space="0" w:color="auto"/>
      </w:divBdr>
    </w:div>
    <w:div w:id="299464261">
      <w:bodyDiv w:val="1"/>
      <w:marLeft w:val="0"/>
      <w:marRight w:val="0"/>
      <w:marTop w:val="0"/>
      <w:marBottom w:val="0"/>
      <w:divBdr>
        <w:top w:val="none" w:sz="0" w:space="0" w:color="auto"/>
        <w:left w:val="none" w:sz="0" w:space="0" w:color="auto"/>
        <w:bottom w:val="none" w:sz="0" w:space="0" w:color="auto"/>
        <w:right w:val="none" w:sz="0" w:space="0" w:color="auto"/>
      </w:divBdr>
    </w:div>
    <w:div w:id="300233184">
      <w:bodyDiv w:val="1"/>
      <w:marLeft w:val="0"/>
      <w:marRight w:val="0"/>
      <w:marTop w:val="0"/>
      <w:marBottom w:val="0"/>
      <w:divBdr>
        <w:top w:val="none" w:sz="0" w:space="0" w:color="auto"/>
        <w:left w:val="none" w:sz="0" w:space="0" w:color="auto"/>
        <w:bottom w:val="none" w:sz="0" w:space="0" w:color="auto"/>
        <w:right w:val="none" w:sz="0" w:space="0" w:color="auto"/>
      </w:divBdr>
    </w:div>
    <w:div w:id="301428569">
      <w:bodyDiv w:val="1"/>
      <w:marLeft w:val="0"/>
      <w:marRight w:val="0"/>
      <w:marTop w:val="0"/>
      <w:marBottom w:val="0"/>
      <w:divBdr>
        <w:top w:val="none" w:sz="0" w:space="0" w:color="auto"/>
        <w:left w:val="none" w:sz="0" w:space="0" w:color="auto"/>
        <w:bottom w:val="none" w:sz="0" w:space="0" w:color="auto"/>
        <w:right w:val="none" w:sz="0" w:space="0" w:color="auto"/>
      </w:divBdr>
    </w:div>
    <w:div w:id="301663448">
      <w:bodyDiv w:val="1"/>
      <w:marLeft w:val="0"/>
      <w:marRight w:val="0"/>
      <w:marTop w:val="0"/>
      <w:marBottom w:val="0"/>
      <w:divBdr>
        <w:top w:val="none" w:sz="0" w:space="0" w:color="auto"/>
        <w:left w:val="none" w:sz="0" w:space="0" w:color="auto"/>
        <w:bottom w:val="none" w:sz="0" w:space="0" w:color="auto"/>
        <w:right w:val="none" w:sz="0" w:space="0" w:color="auto"/>
      </w:divBdr>
    </w:div>
    <w:div w:id="302347243">
      <w:bodyDiv w:val="1"/>
      <w:marLeft w:val="0"/>
      <w:marRight w:val="0"/>
      <w:marTop w:val="0"/>
      <w:marBottom w:val="0"/>
      <w:divBdr>
        <w:top w:val="none" w:sz="0" w:space="0" w:color="auto"/>
        <w:left w:val="none" w:sz="0" w:space="0" w:color="auto"/>
        <w:bottom w:val="none" w:sz="0" w:space="0" w:color="auto"/>
        <w:right w:val="none" w:sz="0" w:space="0" w:color="auto"/>
      </w:divBdr>
    </w:div>
    <w:div w:id="302976530">
      <w:bodyDiv w:val="1"/>
      <w:marLeft w:val="0"/>
      <w:marRight w:val="0"/>
      <w:marTop w:val="0"/>
      <w:marBottom w:val="0"/>
      <w:divBdr>
        <w:top w:val="none" w:sz="0" w:space="0" w:color="auto"/>
        <w:left w:val="none" w:sz="0" w:space="0" w:color="auto"/>
        <w:bottom w:val="none" w:sz="0" w:space="0" w:color="auto"/>
        <w:right w:val="none" w:sz="0" w:space="0" w:color="auto"/>
      </w:divBdr>
    </w:div>
    <w:div w:id="303899042">
      <w:bodyDiv w:val="1"/>
      <w:marLeft w:val="0"/>
      <w:marRight w:val="0"/>
      <w:marTop w:val="0"/>
      <w:marBottom w:val="0"/>
      <w:divBdr>
        <w:top w:val="none" w:sz="0" w:space="0" w:color="auto"/>
        <w:left w:val="none" w:sz="0" w:space="0" w:color="auto"/>
        <w:bottom w:val="none" w:sz="0" w:space="0" w:color="auto"/>
        <w:right w:val="none" w:sz="0" w:space="0" w:color="auto"/>
      </w:divBdr>
    </w:div>
    <w:div w:id="304939797">
      <w:bodyDiv w:val="1"/>
      <w:marLeft w:val="0"/>
      <w:marRight w:val="0"/>
      <w:marTop w:val="0"/>
      <w:marBottom w:val="0"/>
      <w:divBdr>
        <w:top w:val="none" w:sz="0" w:space="0" w:color="auto"/>
        <w:left w:val="none" w:sz="0" w:space="0" w:color="auto"/>
        <w:bottom w:val="none" w:sz="0" w:space="0" w:color="auto"/>
        <w:right w:val="none" w:sz="0" w:space="0" w:color="auto"/>
      </w:divBdr>
    </w:div>
    <w:div w:id="308746793">
      <w:bodyDiv w:val="1"/>
      <w:marLeft w:val="0"/>
      <w:marRight w:val="0"/>
      <w:marTop w:val="0"/>
      <w:marBottom w:val="0"/>
      <w:divBdr>
        <w:top w:val="none" w:sz="0" w:space="0" w:color="auto"/>
        <w:left w:val="none" w:sz="0" w:space="0" w:color="auto"/>
        <w:bottom w:val="none" w:sz="0" w:space="0" w:color="auto"/>
        <w:right w:val="none" w:sz="0" w:space="0" w:color="auto"/>
      </w:divBdr>
    </w:div>
    <w:div w:id="309293478">
      <w:bodyDiv w:val="1"/>
      <w:marLeft w:val="0"/>
      <w:marRight w:val="0"/>
      <w:marTop w:val="0"/>
      <w:marBottom w:val="0"/>
      <w:divBdr>
        <w:top w:val="none" w:sz="0" w:space="0" w:color="auto"/>
        <w:left w:val="none" w:sz="0" w:space="0" w:color="auto"/>
        <w:bottom w:val="none" w:sz="0" w:space="0" w:color="auto"/>
        <w:right w:val="none" w:sz="0" w:space="0" w:color="auto"/>
      </w:divBdr>
    </w:div>
    <w:div w:id="310792181">
      <w:bodyDiv w:val="1"/>
      <w:marLeft w:val="0"/>
      <w:marRight w:val="0"/>
      <w:marTop w:val="0"/>
      <w:marBottom w:val="0"/>
      <w:divBdr>
        <w:top w:val="none" w:sz="0" w:space="0" w:color="auto"/>
        <w:left w:val="none" w:sz="0" w:space="0" w:color="auto"/>
        <w:bottom w:val="none" w:sz="0" w:space="0" w:color="auto"/>
        <w:right w:val="none" w:sz="0" w:space="0" w:color="auto"/>
      </w:divBdr>
    </w:div>
    <w:div w:id="312101192">
      <w:bodyDiv w:val="1"/>
      <w:marLeft w:val="0"/>
      <w:marRight w:val="0"/>
      <w:marTop w:val="0"/>
      <w:marBottom w:val="0"/>
      <w:divBdr>
        <w:top w:val="none" w:sz="0" w:space="0" w:color="auto"/>
        <w:left w:val="none" w:sz="0" w:space="0" w:color="auto"/>
        <w:bottom w:val="none" w:sz="0" w:space="0" w:color="auto"/>
        <w:right w:val="none" w:sz="0" w:space="0" w:color="auto"/>
      </w:divBdr>
    </w:div>
    <w:div w:id="312680652">
      <w:bodyDiv w:val="1"/>
      <w:marLeft w:val="0"/>
      <w:marRight w:val="0"/>
      <w:marTop w:val="0"/>
      <w:marBottom w:val="0"/>
      <w:divBdr>
        <w:top w:val="none" w:sz="0" w:space="0" w:color="auto"/>
        <w:left w:val="none" w:sz="0" w:space="0" w:color="auto"/>
        <w:bottom w:val="none" w:sz="0" w:space="0" w:color="auto"/>
        <w:right w:val="none" w:sz="0" w:space="0" w:color="auto"/>
      </w:divBdr>
    </w:div>
    <w:div w:id="313339372">
      <w:bodyDiv w:val="1"/>
      <w:marLeft w:val="0"/>
      <w:marRight w:val="0"/>
      <w:marTop w:val="0"/>
      <w:marBottom w:val="0"/>
      <w:divBdr>
        <w:top w:val="none" w:sz="0" w:space="0" w:color="auto"/>
        <w:left w:val="none" w:sz="0" w:space="0" w:color="auto"/>
        <w:bottom w:val="none" w:sz="0" w:space="0" w:color="auto"/>
        <w:right w:val="none" w:sz="0" w:space="0" w:color="auto"/>
      </w:divBdr>
    </w:div>
    <w:div w:id="316151408">
      <w:bodyDiv w:val="1"/>
      <w:marLeft w:val="0"/>
      <w:marRight w:val="0"/>
      <w:marTop w:val="0"/>
      <w:marBottom w:val="0"/>
      <w:divBdr>
        <w:top w:val="none" w:sz="0" w:space="0" w:color="auto"/>
        <w:left w:val="none" w:sz="0" w:space="0" w:color="auto"/>
        <w:bottom w:val="none" w:sz="0" w:space="0" w:color="auto"/>
        <w:right w:val="none" w:sz="0" w:space="0" w:color="auto"/>
      </w:divBdr>
    </w:div>
    <w:div w:id="316494926">
      <w:bodyDiv w:val="1"/>
      <w:marLeft w:val="0"/>
      <w:marRight w:val="0"/>
      <w:marTop w:val="0"/>
      <w:marBottom w:val="0"/>
      <w:divBdr>
        <w:top w:val="none" w:sz="0" w:space="0" w:color="auto"/>
        <w:left w:val="none" w:sz="0" w:space="0" w:color="auto"/>
        <w:bottom w:val="none" w:sz="0" w:space="0" w:color="auto"/>
        <w:right w:val="none" w:sz="0" w:space="0" w:color="auto"/>
      </w:divBdr>
    </w:div>
    <w:div w:id="319310160">
      <w:bodyDiv w:val="1"/>
      <w:marLeft w:val="0"/>
      <w:marRight w:val="0"/>
      <w:marTop w:val="0"/>
      <w:marBottom w:val="0"/>
      <w:divBdr>
        <w:top w:val="none" w:sz="0" w:space="0" w:color="auto"/>
        <w:left w:val="none" w:sz="0" w:space="0" w:color="auto"/>
        <w:bottom w:val="none" w:sz="0" w:space="0" w:color="auto"/>
        <w:right w:val="none" w:sz="0" w:space="0" w:color="auto"/>
      </w:divBdr>
    </w:div>
    <w:div w:id="319577344">
      <w:bodyDiv w:val="1"/>
      <w:marLeft w:val="0"/>
      <w:marRight w:val="0"/>
      <w:marTop w:val="0"/>
      <w:marBottom w:val="0"/>
      <w:divBdr>
        <w:top w:val="none" w:sz="0" w:space="0" w:color="auto"/>
        <w:left w:val="none" w:sz="0" w:space="0" w:color="auto"/>
        <w:bottom w:val="none" w:sz="0" w:space="0" w:color="auto"/>
        <w:right w:val="none" w:sz="0" w:space="0" w:color="auto"/>
      </w:divBdr>
    </w:div>
    <w:div w:id="319847707">
      <w:bodyDiv w:val="1"/>
      <w:marLeft w:val="0"/>
      <w:marRight w:val="0"/>
      <w:marTop w:val="0"/>
      <w:marBottom w:val="0"/>
      <w:divBdr>
        <w:top w:val="none" w:sz="0" w:space="0" w:color="auto"/>
        <w:left w:val="none" w:sz="0" w:space="0" w:color="auto"/>
        <w:bottom w:val="none" w:sz="0" w:space="0" w:color="auto"/>
        <w:right w:val="none" w:sz="0" w:space="0" w:color="auto"/>
      </w:divBdr>
    </w:div>
    <w:div w:id="322323366">
      <w:bodyDiv w:val="1"/>
      <w:marLeft w:val="0"/>
      <w:marRight w:val="0"/>
      <w:marTop w:val="0"/>
      <w:marBottom w:val="0"/>
      <w:divBdr>
        <w:top w:val="none" w:sz="0" w:space="0" w:color="auto"/>
        <w:left w:val="none" w:sz="0" w:space="0" w:color="auto"/>
        <w:bottom w:val="none" w:sz="0" w:space="0" w:color="auto"/>
        <w:right w:val="none" w:sz="0" w:space="0" w:color="auto"/>
      </w:divBdr>
    </w:div>
    <w:div w:id="324288593">
      <w:bodyDiv w:val="1"/>
      <w:marLeft w:val="0"/>
      <w:marRight w:val="0"/>
      <w:marTop w:val="0"/>
      <w:marBottom w:val="0"/>
      <w:divBdr>
        <w:top w:val="none" w:sz="0" w:space="0" w:color="auto"/>
        <w:left w:val="none" w:sz="0" w:space="0" w:color="auto"/>
        <w:bottom w:val="none" w:sz="0" w:space="0" w:color="auto"/>
        <w:right w:val="none" w:sz="0" w:space="0" w:color="auto"/>
      </w:divBdr>
    </w:div>
    <w:div w:id="325472565">
      <w:bodyDiv w:val="1"/>
      <w:marLeft w:val="0"/>
      <w:marRight w:val="0"/>
      <w:marTop w:val="0"/>
      <w:marBottom w:val="0"/>
      <w:divBdr>
        <w:top w:val="none" w:sz="0" w:space="0" w:color="auto"/>
        <w:left w:val="none" w:sz="0" w:space="0" w:color="auto"/>
        <w:bottom w:val="none" w:sz="0" w:space="0" w:color="auto"/>
        <w:right w:val="none" w:sz="0" w:space="0" w:color="auto"/>
      </w:divBdr>
    </w:div>
    <w:div w:id="326204673">
      <w:bodyDiv w:val="1"/>
      <w:marLeft w:val="0"/>
      <w:marRight w:val="0"/>
      <w:marTop w:val="0"/>
      <w:marBottom w:val="0"/>
      <w:divBdr>
        <w:top w:val="none" w:sz="0" w:space="0" w:color="auto"/>
        <w:left w:val="none" w:sz="0" w:space="0" w:color="auto"/>
        <w:bottom w:val="none" w:sz="0" w:space="0" w:color="auto"/>
        <w:right w:val="none" w:sz="0" w:space="0" w:color="auto"/>
      </w:divBdr>
    </w:div>
    <w:div w:id="326249271">
      <w:bodyDiv w:val="1"/>
      <w:marLeft w:val="0"/>
      <w:marRight w:val="0"/>
      <w:marTop w:val="0"/>
      <w:marBottom w:val="0"/>
      <w:divBdr>
        <w:top w:val="none" w:sz="0" w:space="0" w:color="auto"/>
        <w:left w:val="none" w:sz="0" w:space="0" w:color="auto"/>
        <w:bottom w:val="none" w:sz="0" w:space="0" w:color="auto"/>
        <w:right w:val="none" w:sz="0" w:space="0" w:color="auto"/>
      </w:divBdr>
    </w:div>
    <w:div w:id="327052784">
      <w:bodyDiv w:val="1"/>
      <w:marLeft w:val="0"/>
      <w:marRight w:val="0"/>
      <w:marTop w:val="0"/>
      <w:marBottom w:val="0"/>
      <w:divBdr>
        <w:top w:val="none" w:sz="0" w:space="0" w:color="auto"/>
        <w:left w:val="none" w:sz="0" w:space="0" w:color="auto"/>
        <w:bottom w:val="none" w:sz="0" w:space="0" w:color="auto"/>
        <w:right w:val="none" w:sz="0" w:space="0" w:color="auto"/>
      </w:divBdr>
    </w:div>
    <w:div w:id="327245679">
      <w:bodyDiv w:val="1"/>
      <w:marLeft w:val="0"/>
      <w:marRight w:val="0"/>
      <w:marTop w:val="0"/>
      <w:marBottom w:val="0"/>
      <w:divBdr>
        <w:top w:val="none" w:sz="0" w:space="0" w:color="auto"/>
        <w:left w:val="none" w:sz="0" w:space="0" w:color="auto"/>
        <w:bottom w:val="none" w:sz="0" w:space="0" w:color="auto"/>
        <w:right w:val="none" w:sz="0" w:space="0" w:color="auto"/>
      </w:divBdr>
    </w:div>
    <w:div w:id="327707519">
      <w:bodyDiv w:val="1"/>
      <w:marLeft w:val="0"/>
      <w:marRight w:val="0"/>
      <w:marTop w:val="0"/>
      <w:marBottom w:val="0"/>
      <w:divBdr>
        <w:top w:val="none" w:sz="0" w:space="0" w:color="auto"/>
        <w:left w:val="none" w:sz="0" w:space="0" w:color="auto"/>
        <w:bottom w:val="none" w:sz="0" w:space="0" w:color="auto"/>
        <w:right w:val="none" w:sz="0" w:space="0" w:color="auto"/>
      </w:divBdr>
    </w:div>
    <w:div w:id="327750484">
      <w:bodyDiv w:val="1"/>
      <w:marLeft w:val="0"/>
      <w:marRight w:val="0"/>
      <w:marTop w:val="0"/>
      <w:marBottom w:val="0"/>
      <w:divBdr>
        <w:top w:val="none" w:sz="0" w:space="0" w:color="auto"/>
        <w:left w:val="none" w:sz="0" w:space="0" w:color="auto"/>
        <w:bottom w:val="none" w:sz="0" w:space="0" w:color="auto"/>
        <w:right w:val="none" w:sz="0" w:space="0" w:color="auto"/>
      </w:divBdr>
    </w:div>
    <w:div w:id="328602302">
      <w:bodyDiv w:val="1"/>
      <w:marLeft w:val="0"/>
      <w:marRight w:val="0"/>
      <w:marTop w:val="0"/>
      <w:marBottom w:val="0"/>
      <w:divBdr>
        <w:top w:val="none" w:sz="0" w:space="0" w:color="auto"/>
        <w:left w:val="none" w:sz="0" w:space="0" w:color="auto"/>
        <w:bottom w:val="none" w:sz="0" w:space="0" w:color="auto"/>
        <w:right w:val="none" w:sz="0" w:space="0" w:color="auto"/>
      </w:divBdr>
    </w:div>
    <w:div w:id="328794336">
      <w:bodyDiv w:val="1"/>
      <w:marLeft w:val="0"/>
      <w:marRight w:val="0"/>
      <w:marTop w:val="0"/>
      <w:marBottom w:val="0"/>
      <w:divBdr>
        <w:top w:val="none" w:sz="0" w:space="0" w:color="auto"/>
        <w:left w:val="none" w:sz="0" w:space="0" w:color="auto"/>
        <w:bottom w:val="none" w:sz="0" w:space="0" w:color="auto"/>
        <w:right w:val="none" w:sz="0" w:space="0" w:color="auto"/>
      </w:divBdr>
    </w:div>
    <w:div w:id="329603379">
      <w:bodyDiv w:val="1"/>
      <w:marLeft w:val="0"/>
      <w:marRight w:val="0"/>
      <w:marTop w:val="0"/>
      <w:marBottom w:val="0"/>
      <w:divBdr>
        <w:top w:val="none" w:sz="0" w:space="0" w:color="auto"/>
        <w:left w:val="none" w:sz="0" w:space="0" w:color="auto"/>
        <w:bottom w:val="none" w:sz="0" w:space="0" w:color="auto"/>
        <w:right w:val="none" w:sz="0" w:space="0" w:color="auto"/>
      </w:divBdr>
    </w:div>
    <w:div w:id="330917475">
      <w:bodyDiv w:val="1"/>
      <w:marLeft w:val="0"/>
      <w:marRight w:val="0"/>
      <w:marTop w:val="0"/>
      <w:marBottom w:val="0"/>
      <w:divBdr>
        <w:top w:val="none" w:sz="0" w:space="0" w:color="auto"/>
        <w:left w:val="none" w:sz="0" w:space="0" w:color="auto"/>
        <w:bottom w:val="none" w:sz="0" w:space="0" w:color="auto"/>
        <w:right w:val="none" w:sz="0" w:space="0" w:color="auto"/>
      </w:divBdr>
    </w:div>
    <w:div w:id="333727634">
      <w:bodyDiv w:val="1"/>
      <w:marLeft w:val="0"/>
      <w:marRight w:val="0"/>
      <w:marTop w:val="0"/>
      <w:marBottom w:val="0"/>
      <w:divBdr>
        <w:top w:val="none" w:sz="0" w:space="0" w:color="auto"/>
        <w:left w:val="none" w:sz="0" w:space="0" w:color="auto"/>
        <w:bottom w:val="none" w:sz="0" w:space="0" w:color="auto"/>
        <w:right w:val="none" w:sz="0" w:space="0" w:color="auto"/>
      </w:divBdr>
    </w:div>
    <w:div w:id="335350540">
      <w:bodyDiv w:val="1"/>
      <w:marLeft w:val="0"/>
      <w:marRight w:val="0"/>
      <w:marTop w:val="0"/>
      <w:marBottom w:val="0"/>
      <w:divBdr>
        <w:top w:val="none" w:sz="0" w:space="0" w:color="auto"/>
        <w:left w:val="none" w:sz="0" w:space="0" w:color="auto"/>
        <w:bottom w:val="none" w:sz="0" w:space="0" w:color="auto"/>
        <w:right w:val="none" w:sz="0" w:space="0" w:color="auto"/>
      </w:divBdr>
    </w:div>
    <w:div w:id="336425377">
      <w:bodyDiv w:val="1"/>
      <w:marLeft w:val="0"/>
      <w:marRight w:val="0"/>
      <w:marTop w:val="0"/>
      <w:marBottom w:val="0"/>
      <w:divBdr>
        <w:top w:val="none" w:sz="0" w:space="0" w:color="auto"/>
        <w:left w:val="none" w:sz="0" w:space="0" w:color="auto"/>
        <w:bottom w:val="none" w:sz="0" w:space="0" w:color="auto"/>
        <w:right w:val="none" w:sz="0" w:space="0" w:color="auto"/>
      </w:divBdr>
    </w:div>
    <w:div w:id="337931224">
      <w:bodyDiv w:val="1"/>
      <w:marLeft w:val="0"/>
      <w:marRight w:val="0"/>
      <w:marTop w:val="0"/>
      <w:marBottom w:val="0"/>
      <w:divBdr>
        <w:top w:val="none" w:sz="0" w:space="0" w:color="auto"/>
        <w:left w:val="none" w:sz="0" w:space="0" w:color="auto"/>
        <w:bottom w:val="none" w:sz="0" w:space="0" w:color="auto"/>
        <w:right w:val="none" w:sz="0" w:space="0" w:color="auto"/>
      </w:divBdr>
    </w:div>
    <w:div w:id="339088482">
      <w:bodyDiv w:val="1"/>
      <w:marLeft w:val="0"/>
      <w:marRight w:val="0"/>
      <w:marTop w:val="0"/>
      <w:marBottom w:val="0"/>
      <w:divBdr>
        <w:top w:val="none" w:sz="0" w:space="0" w:color="auto"/>
        <w:left w:val="none" w:sz="0" w:space="0" w:color="auto"/>
        <w:bottom w:val="none" w:sz="0" w:space="0" w:color="auto"/>
        <w:right w:val="none" w:sz="0" w:space="0" w:color="auto"/>
      </w:divBdr>
    </w:div>
    <w:div w:id="341276226">
      <w:bodyDiv w:val="1"/>
      <w:marLeft w:val="0"/>
      <w:marRight w:val="0"/>
      <w:marTop w:val="0"/>
      <w:marBottom w:val="0"/>
      <w:divBdr>
        <w:top w:val="none" w:sz="0" w:space="0" w:color="auto"/>
        <w:left w:val="none" w:sz="0" w:space="0" w:color="auto"/>
        <w:bottom w:val="none" w:sz="0" w:space="0" w:color="auto"/>
        <w:right w:val="none" w:sz="0" w:space="0" w:color="auto"/>
      </w:divBdr>
      <w:divsChild>
        <w:div w:id="823082816">
          <w:marLeft w:val="0"/>
          <w:marRight w:val="0"/>
          <w:marTop w:val="0"/>
          <w:marBottom w:val="0"/>
          <w:divBdr>
            <w:top w:val="none" w:sz="0" w:space="0" w:color="auto"/>
            <w:left w:val="none" w:sz="0" w:space="0" w:color="auto"/>
            <w:bottom w:val="none" w:sz="0" w:space="0" w:color="auto"/>
            <w:right w:val="none" w:sz="0" w:space="0" w:color="auto"/>
          </w:divBdr>
          <w:divsChild>
            <w:div w:id="332533649">
              <w:marLeft w:val="0"/>
              <w:marRight w:val="0"/>
              <w:marTop w:val="0"/>
              <w:marBottom w:val="0"/>
              <w:divBdr>
                <w:top w:val="none" w:sz="0" w:space="0" w:color="auto"/>
                <w:left w:val="none" w:sz="0" w:space="0" w:color="auto"/>
                <w:bottom w:val="none" w:sz="0" w:space="0" w:color="auto"/>
                <w:right w:val="none" w:sz="0" w:space="0" w:color="auto"/>
              </w:divBdr>
              <w:divsChild>
                <w:div w:id="1195995915">
                  <w:marLeft w:val="0"/>
                  <w:marRight w:val="0"/>
                  <w:marTop w:val="0"/>
                  <w:marBottom w:val="0"/>
                  <w:divBdr>
                    <w:top w:val="none" w:sz="0" w:space="0" w:color="auto"/>
                    <w:left w:val="none" w:sz="0" w:space="0" w:color="auto"/>
                    <w:bottom w:val="none" w:sz="0" w:space="0" w:color="auto"/>
                    <w:right w:val="none" w:sz="0" w:space="0" w:color="auto"/>
                  </w:divBdr>
                  <w:divsChild>
                    <w:div w:id="4355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50895">
      <w:bodyDiv w:val="1"/>
      <w:marLeft w:val="0"/>
      <w:marRight w:val="0"/>
      <w:marTop w:val="0"/>
      <w:marBottom w:val="0"/>
      <w:divBdr>
        <w:top w:val="none" w:sz="0" w:space="0" w:color="auto"/>
        <w:left w:val="none" w:sz="0" w:space="0" w:color="auto"/>
        <w:bottom w:val="none" w:sz="0" w:space="0" w:color="auto"/>
        <w:right w:val="none" w:sz="0" w:space="0" w:color="auto"/>
      </w:divBdr>
    </w:div>
    <w:div w:id="343240491">
      <w:bodyDiv w:val="1"/>
      <w:marLeft w:val="0"/>
      <w:marRight w:val="0"/>
      <w:marTop w:val="0"/>
      <w:marBottom w:val="0"/>
      <w:divBdr>
        <w:top w:val="none" w:sz="0" w:space="0" w:color="auto"/>
        <w:left w:val="none" w:sz="0" w:space="0" w:color="auto"/>
        <w:bottom w:val="none" w:sz="0" w:space="0" w:color="auto"/>
        <w:right w:val="none" w:sz="0" w:space="0" w:color="auto"/>
      </w:divBdr>
    </w:div>
    <w:div w:id="344480759">
      <w:bodyDiv w:val="1"/>
      <w:marLeft w:val="0"/>
      <w:marRight w:val="0"/>
      <w:marTop w:val="0"/>
      <w:marBottom w:val="0"/>
      <w:divBdr>
        <w:top w:val="none" w:sz="0" w:space="0" w:color="auto"/>
        <w:left w:val="none" w:sz="0" w:space="0" w:color="auto"/>
        <w:bottom w:val="none" w:sz="0" w:space="0" w:color="auto"/>
        <w:right w:val="none" w:sz="0" w:space="0" w:color="auto"/>
      </w:divBdr>
    </w:div>
    <w:div w:id="344554154">
      <w:bodyDiv w:val="1"/>
      <w:marLeft w:val="0"/>
      <w:marRight w:val="0"/>
      <w:marTop w:val="0"/>
      <w:marBottom w:val="0"/>
      <w:divBdr>
        <w:top w:val="none" w:sz="0" w:space="0" w:color="auto"/>
        <w:left w:val="none" w:sz="0" w:space="0" w:color="auto"/>
        <w:bottom w:val="none" w:sz="0" w:space="0" w:color="auto"/>
        <w:right w:val="none" w:sz="0" w:space="0" w:color="auto"/>
      </w:divBdr>
    </w:div>
    <w:div w:id="347295506">
      <w:bodyDiv w:val="1"/>
      <w:marLeft w:val="0"/>
      <w:marRight w:val="0"/>
      <w:marTop w:val="0"/>
      <w:marBottom w:val="0"/>
      <w:divBdr>
        <w:top w:val="none" w:sz="0" w:space="0" w:color="auto"/>
        <w:left w:val="none" w:sz="0" w:space="0" w:color="auto"/>
        <w:bottom w:val="none" w:sz="0" w:space="0" w:color="auto"/>
        <w:right w:val="none" w:sz="0" w:space="0" w:color="auto"/>
      </w:divBdr>
    </w:div>
    <w:div w:id="347803950">
      <w:bodyDiv w:val="1"/>
      <w:marLeft w:val="0"/>
      <w:marRight w:val="0"/>
      <w:marTop w:val="0"/>
      <w:marBottom w:val="0"/>
      <w:divBdr>
        <w:top w:val="none" w:sz="0" w:space="0" w:color="auto"/>
        <w:left w:val="none" w:sz="0" w:space="0" w:color="auto"/>
        <w:bottom w:val="none" w:sz="0" w:space="0" w:color="auto"/>
        <w:right w:val="none" w:sz="0" w:space="0" w:color="auto"/>
      </w:divBdr>
    </w:div>
    <w:div w:id="348259248">
      <w:bodyDiv w:val="1"/>
      <w:marLeft w:val="0"/>
      <w:marRight w:val="0"/>
      <w:marTop w:val="0"/>
      <w:marBottom w:val="0"/>
      <w:divBdr>
        <w:top w:val="none" w:sz="0" w:space="0" w:color="auto"/>
        <w:left w:val="none" w:sz="0" w:space="0" w:color="auto"/>
        <w:bottom w:val="none" w:sz="0" w:space="0" w:color="auto"/>
        <w:right w:val="none" w:sz="0" w:space="0" w:color="auto"/>
      </w:divBdr>
    </w:div>
    <w:div w:id="349836453">
      <w:bodyDiv w:val="1"/>
      <w:marLeft w:val="0"/>
      <w:marRight w:val="0"/>
      <w:marTop w:val="0"/>
      <w:marBottom w:val="0"/>
      <w:divBdr>
        <w:top w:val="none" w:sz="0" w:space="0" w:color="auto"/>
        <w:left w:val="none" w:sz="0" w:space="0" w:color="auto"/>
        <w:bottom w:val="none" w:sz="0" w:space="0" w:color="auto"/>
        <w:right w:val="none" w:sz="0" w:space="0" w:color="auto"/>
      </w:divBdr>
    </w:div>
    <w:div w:id="350112212">
      <w:bodyDiv w:val="1"/>
      <w:marLeft w:val="0"/>
      <w:marRight w:val="0"/>
      <w:marTop w:val="0"/>
      <w:marBottom w:val="0"/>
      <w:divBdr>
        <w:top w:val="none" w:sz="0" w:space="0" w:color="auto"/>
        <w:left w:val="none" w:sz="0" w:space="0" w:color="auto"/>
        <w:bottom w:val="none" w:sz="0" w:space="0" w:color="auto"/>
        <w:right w:val="none" w:sz="0" w:space="0" w:color="auto"/>
      </w:divBdr>
    </w:div>
    <w:div w:id="351418722">
      <w:bodyDiv w:val="1"/>
      <w:marLeft w:val="0"/>
      <w:marRight w:val="0"/>
      <w:marTop w:val="0"/>
      <w:marBottom w:val="0"/>
      <w:divBdr>
        <w:top w:val="none" w:sz="0" w:space="0" w:color="auto"/>
        <w:left w:val="none" w:sz="0" w:space="0" w:color="auto"/>
        <w:bottom w:val="none" w:sz="0" w:space="0" w:color="auto"/>
        <w:right w:val="none" w:sz="0" w:space="0" w:color="auto"/>
      </w:divBdr>
    </w:div>
    <w:div w:id="351614055">
      <w:bodyDiv w:val="1"/>
      <w:marLeft w:val="0"/>
      <w:marRight w:val="0"/>
      <w:marTop w:val="0"/>
      <w:marBottom w:val="0"/>
      <w:divBdr>
        <w:top w:val="none" w:sz="0" w:space="0" w:color="auto"/>
        <w:left w:val="none" w:sz="0" w:space="0" w:color="auto"/>
        <w:bottom w:val="none" w:sz="0" w:space="0" w:color="auto"/>
        <w:right w:val="none" w:sz="0" w:space="0" w:color="auto"/>
      </w:divBdr>
      <w:divsChild>
        <w:div w:id="1850871523">
          <w:marLeft w:val="0"/>
          <w:marRight w:val="0"/>
          <w:marTop w:val="0"/>
          <w:marBottom w:val="0"/>
          <w:divBdr>
            <w:top w:val="none" w:sz="0" w:space="0" w:color="auto"/>
            <w:left w:val="none" w:sz="0" w:space="0" w:color="auto"/>
            <w:bottom w:val="none" w:sz="0" w:space="0" w:color="auto"/>
            <w:right w:val="none" w:sz="0" w:space="0" w:color="auto"/>
          </w:divBdr>
          <w:divsChild>
            <w:div w:id="1037969540">
              <w:marLeft w:val="0"/>
              <w:marRight w:val="0"/>
              <w:marTop w:val="0"/>
              <w:marBottom w:val="0"/>
              <w:divBdr>
                <w:top w:val="none" w:sz="0" w:space="0" w:color="auto"/>
                <w:left w:val="none" w:sz="0" w:space="0" w:color="auto"/>
                <w:bottom w:val="none" w:sz="0" w:space="0" w:color="auto"/>
                <w:right w:val="none" w:sz="0" w:space="0" w:color="auto"/>
              </w:divBdr>
              <w:divsChild>
                <w:div w:id="1959532284">
                  <w:marLeft w:val="0"/>
                  <w:marRight w:val="0"/>
                  <w:marTop w:val="0"/>
                  <w:marBottom w:val="0"/>
                  <w:divBdr>
                    <w:top w:val="none" w:sz="0" w:space="0" w:color="auto"/>
                    <w:left w:val="none" w:sz="0" w:space="0" w:color="auto"/>
                    <w:bottom w:val="none" w:sz="0" w:space="0" w:color="auto"/>
                    <w:right w:val="none" w:sz="0" w:space="0" w:color="auto"/>
                  </w:divBdr>
                  <w:divsChild>
                    <w:div w:id="143656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7214">
      <w:bodyDiv w:val="1"/>
      <w:marLeft w:val="0"/>
      <w:marRight w:val="0"/>
      <w:marTop w:val="0"/>
      <w:marBottom w:val="0"/>
      <w:divBdr>
        <w:top w:val="none" w:sz="0" w:space="0" w:color="auto"/>
        <w:left w:val="none" w:sz="0" w:space="0" w:color="auto"/>
        <w:bottom w:val="none" w:sz="0" w:space="0" w:color="auto"/>
        <w:right w:val="none" w:sz="0" w:space="0" w:color="auto"/>
      </w:divBdr>
    </w:div>
    <w:div w:id="353725815">
      <w:bodyDiv w:val="1"/>
      <w:marLeft w:val="0"/>
      <w:marRight w:val="0"/>
      <w:marTop w:val="0"/>
      <w:marBottom w:val="0"/>
      <w:divBdr>
        <w:top w:val="none" w:sz="0" w:space="0" w:color="auto"/>
        <w:left w:val="none" w:sz="0" w:space="0" w:color="auto"/>
        <w:bottom w:val="none" w:sz="0" w:space="0" w:color="auto"/>
        <w:right w:val="none" w:sz="0" w:space="0" w:color="auto"/>
      </w:divBdr>
    </w:div>
    <w:div w:id="354158573">
      <w:bodyDiv w:val="1"/>
      <w:marLeft w:val="0"/>
      <w:marRight w:val="0"/>
      <w:marTop w:val="0"/>
      <w:marBottom w:val="0"/>
      <w:divBdr>
        <w:top w:val="none" w:sz="0" w:space="0" w:color="auto"/>
        <w:left w:val="none" w:sz="0" w:space="0" w:color="auto"/>
        <w:bottom w:val="none" w:sz="0" w:space="0" w:color="auto"/>
        <w:right w:val="none" w:sz="0" w:space="0" w:color="auto"/>
      </w:divBdr>
    </w:div>
    <w:div w:id="354969352">
      <w:bodyDiv w:val="1"/>
      <w:marLeft w:val="0"/>
      <w:marRight w:val="0"/>
      <w:marTop w:val="0"/>
      <w:marBottom w:val="0"/>
      <w:divBdr>
        <w:top w:val="none" w:sz="0" w:space="0" w:color="auto"/>
        <w:left w:val="none" w:sz="0" w:space="0" w:color="auto"/>
        <w:bottom w:val="none" w:sz="0" w:space="0" w:color="auto"/>
        <w:right w:val="none" w:sz="0" w:space="0" w:color="auto"/>
      </w:divBdr>
    </w:div>
    <w:div w:id="355544361">
      <w:bodyDiv w:val="1"/>
      <w:marLeft w:val="0"/>
      <w:marRight w:val="0"/>
      <w:marTop w:val="0"/>
      <w:marBottom w:val="0"/>
      <w:divBdr>
        <w:top w:val="none" w:sz="0" w:space="0" w:color="auto"/>
        <w:left w:val="none" w:sz="0" w:space="0" w:color="auto"/>
        <w:bottom w:val="none" w:sz="0" w:space="0" w:color="auto"/>
        <w:right w:val="none" w:sz="0" w:space="0" w:color="auto"/>
      </w:divBdr>
    </w:div>
    <w:div w:id="356472812">
      <w:bodyDiv w:val="1"/>
      <w:marLeft w:val="0"/>
      <w:marRight w:val="0"/>
      <w:marTop w:val="0"/>
      <w:marBottom w:val="0"/>
      <w:divBdr>
        <w:top w:val="none" w:sz="0" w:space="0" w:color="auto"/>
        <w:left w:val="none" w:sz="0" w:space="0" w:color="auto"/>
        <w:bottom w:val="none" w:sz="0" w:space="0" w:color="auto"/>
        <w:right w:val="none" w:sz="0" w:space="0" w:color="auto"/>
      </w:divBdr>
    </w:div>
    <w:div w:id="357514550">
      <w:bodyDiv w:val="1"/>
      <w:marLeft w:val="0"/>
      <w:marRight w:val="0"/>
      <w:marTop w:val="0"/>
      <w:marBottom w:val="0"/>
      <w:divBdr>
        <w:top w:val="none" w:sz="0" w:space="0" w:color="auto"/>
        <w:left w:val="none" w:sz="0" w:space="0" w:color="auto"/>
        <w:bottom w:val="none" w:sz="0" w:space="0" w:color="auto"/>
        <w:right w:val="none" w:sz="0" w:space="0" w:color="auto"/>
      </w:divBdr>
    </w:div>
    <w:div w:id="357585370">
      <w:bodyDiv w:val="1"/>
      <w:marLeft w:val="0"/>
      <w:marRight w:val="0"/>
      <w:marTop w:val="0"/>
      <w:marBottom w:val="0"/>
      <w:divBdr>
        <w:top w:val="none" w:sz="0" w:space="0" w:color="auto"/>
        <w:left w:val="none" w:sz="0" w:space="0" w:color="auto"/>
        <w:bottom w:val="none" w:sz="0" w:space="0" w:color="auto"/>
        <w:right w:val="none" w:sz="0" w:space="0" w:color="auto"/>
      </w:divBdr>
    </w:div>
    <w:div w:id="357778656">
      <w:bodyDiv w:val="1"/>
      <w:marLeft w:val="0"/>
      <w:marRight w:val="0"/>
      <w:marTop w:val="0"/>
      <w:marBottom w:val="0"/>
      <w:divBdr>
        <w:top w:val="none" w:sz="0" w:space="0" w:color="auto"/>
        <w:left w:val="none" w:sz="0" w:space="0" w:color="auto"/>
        <w:bottom w:val="none" w:sz="0" w:space="0" w:color="auto"/>
        <w:right w:val="none" w:sz="0" w:space="0" w:color="auto"/>
      </w:divBdr>
    </w:div>
    <w:div w:id="358167539">
      <w:bodyDiv w:val="1"/>
      <w:marLeft w:val="0"/>
      <w:marRight w:val="0"/>
      <w:marTop w:val="0"/>
      <w:marBottom w:val="0"/>
      <w:divBdr>
        <w:top w:val="none" w:sz="0" w:space="0" w:color="auto"/>
        <w:left w:val="none" w:sz="0" w:space="0" w:color="auto"/>
        <w:bottom w:val="none" w:sz="0" w:space="0" w:color="auto"/>
        <w:right w:val="none" w:sz="0" w:space="0" w:color="auto"/>
      </w:divBdr>
    </w:div>
    <w:div w:id="358358861">
      <w:bodyDiv w:val="1"/>
      <w:marLeft w:val="0"/>
      <w:marRight w:val="0"/>
      <w:marTop w:val="0"/>
      <w:marBottom w:val="0"/>
      <w:divBdr>
        <w:top w:val="none" w:sz="0" w:space="0" w:color="auto"/>
        <w:left w:val="none" w:sz="0" w:space="0" w:color="auto"/>
        <w:bottom w:val="none" w:sz="0" w:space="0" w:color="auto"/>
        <w:right w:val="none" w:sz="0" w:space="0" w:color="auto"/>
      </w:divBdr>
    </w:div>
    <w:div w:id="362826633">
      <w:bodyDiv w:val="1"/>
      <w:marLeft w:val="0"/>
      <w:marRight w:val="0"/>
      <w:marTop w:val="0"/>
      <w:marBottom w:val="0"/>
      <w:divBdr>
        <w:top w:val="none" w:sz="0" w:space="0" w:color="auto"/>
        <w:left w:val="none" w:sz="0" w:space="0" w:color="auto"/>
        <w:bottom w:val="none" w:sz="0" w:space="0" w:color="auto"/>
        <w:right w:val="none" w:sz="0" w:space="0" w:color="auto"/>
      </w:divBdr>
    </w:div>
    <w:div w:id="363749480">
      <w:bodyDiv w:val="1"/>
      <w:marLeft w:val="0"/>
      <w:marRight w:val="0"/>
      <w:marTop w:val="0"/>
      <w:marBottom w:val="0"/>
      <w:divBdr>
        <w:top w:val="none" w:sz="0" w:space="0" w:color="auto"/>
        <w:left w:val="none" w:sz="0" w:space="0" w:color="auto"/>
        <w:bottom w:val="none" w:sz="0" w:space="0" w:color="auto"/>
        <w:right w:val="none" w:sz="0" w:space="0" w:color="auto"/>
      </w:divBdr>
    </w:div>
    <w:div w:id="364599189">
      <w:bodyDiv w:val="1"/>
      <w:marLeft w:val="0"/>
      <w:marRight w:val="0"/>
      <w:marTop w:val="0"/>
      <w:marBottom w:val="0"/>
      <w:divBdr>
        <w:top w:val="none" w:sz="0" w:space="0" w:color="auto"/>
        <w:left w:val="none" w:sz="0" w:space="0" w:color="auto"/>
        <w:bottom w:val="none" w:sz="0" w:space="0" w:color="auto"/>
        <w:right w:val="none" w:sz="0" w:space="0" w:color="auto"/>
      </w:divBdr>
    </w:div>
    <w:div w:id="365060472">
      <w:bodyDiv w:val="1"/>
      <w:marLeft w:val="0"/>
      <w:marRight w:val="0"/>
      <w:marTop w:val="0"/>
      <w:marBottom w:val="0"/>
      <w:divBdr>
        <w:top w:val="none" w:sz="0" w:space="0" w:color="auto"/>
        <w:left w:val="none" w:sz="0" w:space="0" w:color="auto"/>
        <w:bottom w:val="none" w:sz="0" w:space="0" w:color="auto"/>
        <w:right w:val="none" w:sz="0" w:space="0" w:color="auto"/>
      </w:divBdr>
    </w:div>
    <w:div w:id="367877000">
      <w:bodyDiv w:val="1"/>
      <w:marLeft w:val="0"/>
      <w:marRight w:val="0"/>
      <w:marTop w:val="0"/>
      <w:marBottom w:val="0"/>
      <w:divBdr>
        <w:top w:val="none" w:sz="0" w:space="0" w:color="auto"/>
        <w:left w:val="none" w:sz="0" w:space="0" w:color="auto"/>
        <w:bottom w:val="none" w:sz="0" w:space="0" w:color="auto"/>
        <w:right w:val="none" w:sz="0" w:space="0" w:color="auto"/>
      </w:divBdr>
    </w:div>
    <w:div w:id="367881200">
      <w:bodyDiv w:val="1"/>
      <w:marLeft w:val="0"/>
      <w:marRight w:val="0"/>
      <w:marTop w:val="0"/>
      <w:marBottom w:val="0"/>
      <w:divBdr>
        <w:top w:val="none" w:sz="0" w:space="0" w:color="auto"/>
        <w:left w:val="none" w:sz="0" w:space="0" w:color="auto"/>
        <w:bottom w:val="none" w:sz="0" w:space="0" w:color="auto"/>
        <w:right w:val="none" w:sz="0" w:space="0" w:color="auto"/>
      </w:divBdr>
    </w:div>
    <w:div w:id="368334760">
      <w:bodyDiv w:val="1"/>
      <w:marLeft w:val="0"/>
      <w:marRight w:val="0"/>
      <w:marTop w:val="0"/>
      <w:marBottom w:val="0"/>
      <w:divBdr>
        <w:top w:val="none" w:sz="0" w:space="0" w:color="auto"/>
        <w:left w:val="none" w:sz="0" w:space="0" w:color="auto"/>
        <w:bottom w:val="none" w:sz="0" w:space="0" w:color="auto"/>
        <w:right w:val="none" w:sz="0" w:space="0" w:color="auto"/>
      </w:divBdr>
    </w:div>
    <w:div w:id="368534506">
      <w:bodyDiv w:val="1"/>
      <w:marLeft w:val="0"/>
      <w:marRight w:val="0"/>
      <w:marTop w:val="0"/>
      <w:marBottom w:val="0"/>
      <w:divBdr>
        <w:top w:val="none" w:sz="0" w:space="0" w:color="auto"/>
        <w:left w:val="none" w:sz="0" w:space="0" w:color="auto"/>
        <w:bottom w:val="none" w:sz="0" w:space="0" w:color="auto"/>
        <w:right w:val="none" w:sz="0" w:space="0" w:color="auto"/>
      </w:divBdr>
    </w:div>
    <w:div w:id="371269275">
      <w:bodyDiv w:val="1"/>
      <w:marLeft w:val="0"/>
      <w:marRight w:val="0"/>
      <w:marTop w:val="0"/>
      <w:marBottom w:val="0"/>
      <w:divBdr>
        <w:top w:val="none" w:sz="0" w:space="0" w:color="auto"/>
        <w:left w:val="none" w:sz="0" w:space="0" w:color="auto"/>
        <w:bottom w:val="none" w:sz="0" w:space="0" w:color="auto"/>
        <w:right w:val="none" w:sz="0" w:space="0" w:color="auto"/>
      </w:divBdr>
    </w:div>
    <w:div w:id="371615233">
      <w:bodyDiv w:val="1"/>
      <w:marLeft w:val="0"/>
      <w:marRight w:val="0"/>
      <w:marTop w:val="0"/>
      <w:marBottom w:val="0"/>
      <w:divBdr>
        <w:top w:val="none" w:sz="0" w:space="0" w:color="auto"/>
        <w:left w:val="none" w:sz="0" w:space="0" w:color="auto"/>
        <w:bottom w:val="none" w:sz="0" w:space="0" w:color="auto"/>
        <w:right w:val="none" w:sz="0" w:space="0" w:color="auto"/>
      </w:divBdr>
    </w:div>
    <w:div w:id="374279272">
      <w:bodyDiv w:val="1"/>
      <w:marLeft w:val="0"/>
      <w:marRight w:val="0"/>
      <w:marTop w:val="0"/>
      <w:marBottom w:val="0"/>
      <w:divBdr>
        <w:top w:val="none" w:sz="0" w:space="0" w:color="auto"/>
        <w:left w:val="none" w:sz="0" w:space="0" w:color="auto"/>
        <w:bottom w:val="none" w:sz="0" w:space="0" w:color="auto"/>
        <w:right w:val="none" w:sz="0" w:space="0" w:color="auto"/>
      </w:divBdr>
    </w:div>
    <w:div w:id="374349419">
      <w:bodyDiv w:val="1"/>
      <w:marLeft w:val="0"/>
      <w:marRight w:val="0"/>
      <w:marTop w:val="0"/>
      <w:marBottom w:val="0"/>
      <w:divBdr>
        <w:top w:val="none" w:sz="0" w:space="0" w:color="auto"/>
        <w:left w:val="none" w:sz="0" w:space="0" w:color="auto"/>
        <w:bottom w:val="none" w:sz="0" w:space="0" w:color="auto"/>
        <w:right w:val="none" w:sz="0" w:space="0" w:color="auto"/>
      </w:divBdr>
    </w:div>
    <w:div w:id="380906967">
      <w:bodyDiv w:val="1"/>
      <w:marLeft w:val="0"/>
      <w:marRight w:val="0"/>
      <w:marTop w:val="0"/>
      <w:marBottom w:val="0"/>
      <w:divBdr>
        <w:top w:val="none" w:sz="0" w:space="0" w:color="auto"/>
        <w:left w:val="none" w:sz="0" w:space="0" w:color="auto"/>
        <w:bottom w:val="none" w:sz="0" w:space="0" w:color="auto"/>
        <w:right w:val="none" w:sz="0" w:space="0" w:color="auto"/>
      </w:divBdr>
    </w:div>
    <w:div w:id="383137711">
      <w:bodyDiv w:val="1"/>
      <w:marLeft w:val="0"/>
      <w:marRight w:val="0"/>
      <w:marTop w:val="0"/>
      <w:marBottom w:val="0"/>
      <w:divBdr>
        <w:top w:val="none" w:sz="0" w:space="0" w:color="auto"/>
        <w:left w:val="none" w:sz="0" w:space="0" w:color="auto"/>
        <w:bottom w:val="none" w:sz="0" w:space="0" w:color="auto"/>
        <w:right w:val="none" w:sz="0" w:space="0" w:color="auto"/>
      </w:divBdr>
    </w:div>
    <w:div w:id="383331835">
      <w:bodyDiv w:val="1"/>
      <w:marLeft w:val="0"/>
      <w:marRight w:val="0"/>
      <w:marTop w:val="0"/>
      <w:marBottom w:val="0"/>
      <w:divBdr>
        <w:top w:val="none" w:sz="0" w:space="0" w:color="auto"/>
        <w:left w:val="none" w:sz="0" w:space="0" w:color="auto"/>
        <w:bottom w:val="none" w:sz="0" w:space="0" w:color="auto"/>
        <w:right w:val="none" w:sz="0" w:space="0" w:color="auto"/>
      </w:divBdr>
    </w:div>
    <w:div w:id="383649057">
      <w:bodyDiv w:val="1"/>
      <w:marLeft w:val="0"/>
      <w:marRight w:val="0"/>
      <w:marTop w:val="0"/>
      <w:marBottom w:val="0"/>
      <w:divBdr>
        <w:top w:val="none" w:sz="0" w:space="0" w:color="auto"/>
        <w:left w:val="none" w:sz="0" w:space="0" w:color="auto"/>
        <w:bottom w:val="none" w:sz="0" w:space="0" w:color="auto"/>
        <w:right w:val="none" w:sz="0" w:space="0" w:color="auto"/>
      </w:divBdr>
    </w:div>
    <w:div w:id="384572546">
      <w:bodyDiv w:val="1"/>
      <w:marLeft w:val="0"/>
      <w:marRight w:val="0"/>
      <w:marTop w:val="0"/>
      <w:marBottom w:val="0"/>
      <w:divBdr>
        <w:top w:val="none" w:sz="0" w:space="0" w:color="auto"/>
        <w:left w:val="none" w:sz="0" w:space="0" w:color="auto"/>
        <w:bottom w:val="none" w:sz="0" w:space="0" w:color="auto"/>
        <w:right w:val="none" w:sz="0" w:space="0" w:color="auto"/>
      </w:divBdr>
    </w:div>
    <w:div w:id="386422239">
      <w:bodyDiv w:val="1"/>
      <w:marLeft w:val="0"/>
      <w:marRight w:val="0"/>
      <w:marTop w:val="0"/>
      <w:marBottom w:val="0"/>
      <w:divBdr>
        <w:top w:val="none" w:sz="0" w:space="0" w:color="auto"/>
        <w:left w:val="none" w:sz="0" w:space="0" w:color="auto"/>
        <w:bottom w:val="none" w:sz="0" w:space="0" w:color="auto"/>
        <w:right w:val="none" w:sz="0" w:space="0" w:color="auto"/>
      </w:divBdr>
    </w:div>
    <w:div w:id="387463910">
      <w:bodyDiv w:val="1"/>
      <w:marLeft w:val="0"/>
      <w:marRight w:val="0"/>
      <w:marTop w:val="0"/>
      <w:marBottom w:val="0"/>
      <w:divBdr>
        <w:top w:val="none" w:sz="0" w:space="0" w:color="auto"/>
        <w:left w:val="none" w:sz="0" w:space="0" w:color="auto"/>
        <w:bottom w:val="none" w:sz="0" w:space="0" w:color="auto"/>
        <w:right w:val="none" w:sz="0" w:space="0" w:color="auto"/>
      </w:divBdr>
    </w:div>
    <w:div w:id="388575968">
      <w:bodyDiv w:val="1"/>
      <w:marLeft w:val="0"/>
      <w:marRight w:val="0"/>
      <w:marTop w:val="0"/>
      <w:marBottom w:val="0"/>
      <w:divBdr>
        <w:top w:val="none" w:sz="0" w:space="0" w:color="auto"/>
        <w:left w:val="none" w:sz="0" w:space="0" w:color="auto"/>
        <w:bottom w:val="none" w:sz="0" w:space="0" w:color="auto"/>
        <w:right w:val="none" w:sz="0" w:space="0" w:color="auto"/>
      </w:divBdr>
    </w:div>
    <w:div w:id="389378217">
      <w:bodyDiv w:val="1"/>
      <w:marLeft w:val="0"/>
      <w:marRight w:val="0"/>
      <w:marTop w:val="0"/>
      <w:marBottom w:val="0"/>
      <w:divBdr>
        <w:top w:val="none" w:sz="0" w:space="0" w:color="auto"/>
        <w:left w:val="none" w:sz="0" w:space="0" w:color="auto"/>
        <w:bottom w:val="none" w:sz="0" w:space="0" w:color="auto"/>
        <w:right w:val="none" w:sz="0" w:space="0" w:color="auto"/>
      </w:divBdr>
    </w:div>
    <w:div w:id="389428908">
      <w:bodyDiv w:val="1"/>
      <w:marLeft w:val="0"/>
      <w:marRight w:val="0"/>
      <w:marTop w:val="0"/>
      <w:marBottom w:val="0"/>
      <w:divBdr>
        <w:top w:val="none" w:sz="0" w:space="0" w:color="auto"/>
        <w:left w:val="none" w:sz="0" w:space="0" w:color="auto"/>
        <w:bottom w:val="none" w:sz="0" w:space="0" w:color="auto"/>
        <w:right w:val="none" w:sz="0" w:space="0" w:color="auto"/>
      </w:divBdr>
    </w:div>
    <w:div w:id="390420211">
      <w:bodyDiv w:val="1"/>
      <w:marLeft w:val="0"/>
      <w:marRight w:val="0"/>
      <w:marTop w:val="0"/>
      <w:marBottom w:val="0"/>
      <w:divBdr>
        <w:top w:val="none" w:sz="0" w:space="0" w:color="auto"/>
        <w:left w:val="none" w:sz="0" w:space="0" w:color="auto"/>
        <w:bottom w:val="none" w:sz="0" w:space="0" w:color="auto"/>
        <w:right w:val="none" w:sz="0" w:space="0" w:color="auto"/>
      </w:divBdr>
    </w:div>
    <w:div w:id="391201893">
      <w:bodyDiv w:val="1"/>
      <w:marLeft w:val="0"/>
      <w:marRight w:val="0"/>
      <w:marTop w:val="0"/>
      <w:marBottom w:val="0"/>
      <w:divBdr>
        <w:top w:val="none" w:sz="0" w:space="0" w:color="auto"/>
        <w:left w:val="none" w:sz="0" w:space="0" w:color="auto"/>
        <w:bottom w:val="none" w:sz="0" w:space="0" w:color="auto"/>
        <w:right w:val="none" w:sz="0" w:space="0" w:color="auto"/>
      </w:divBdr>
    </w:div>
    <w:div w:id="391391330">
      <w:bodyDiv w:val="1"/>
      <w:marLeft w:val="0"/>
      <w:marRight w:val="0"/>
      <w:marTop w:val="0"/>
      <w:marBottom w:val="0"/>
      <w:divBdr>
        <w:top w:val="none" w:sz="0" w:space="0" w:color="auto"/>
        <w:left w:val="none" w:sz="0" w:space="0" w:color="auto"/>
        <w:bottom w:val="none" w:sz="0" w:space="0" w:color="auto"/>
        <w:right w:val="none" w:sz="0" w:space="0" w:color="auto"/>
      </w:divBdr>
    </w:div>
    <w:div w:id="391468722">
      <w:bodyDiv w:val="1"/>
      <w:marLeft w:val="0"/>
      <w:marRight w:val="0"/>
      <w:marTop w:val="0"/>
      <w:marBottom w:val="0"/>
      <w:divBdr>
        <w:top w:val="none" w:sz="0" w:space="0" w:color="auto"/>
        <w:left w:val="none" w:sz="0" w:space="0" w:color="auto"/>
        <w:bottom w:val="none" w:sz="0" w:space="0" w:color="auto"/>
        <w:right w:val="none" w:sz="0" w:space="0" w:color="auto"/>
      </w:divBdr>
    </w:div>
    <w:div w:id="391739444">
      <w:bodyDiv w:val="1"/>
      <w:marLeft w:val="0"/>
      <w:marRight w:val="0"/>
      <w:marTop w:val="0"/>
      <w:marBottom w:val="0"/>
      <w:divBdr>
        <w:top w:val="none" w:sz="0" w:space="0" w:color="auto"/>
        <w:left w:val="none" w:sz="0" w:space="0" w:color="auto"/>
        <w:bottom w:val="none" w:sz="0" w:space="0" w:color="auto"/>
        <w:right w:val="none" w:sz="0" w:space="0" w:color="auto"/>
      </w:divBdr>
    </w:div>
    <w:div w:id="392512603">
      <w:bodyDiv w:val="1"/>
      <w:marLeft w:val="0"/>
      <w:marRight w:val="0"/>
      <w:marTop w:val="0"/>
      <w:marBottom w:val="0"/>
      <w:divBdr>
        <w:top w:val="none" w:sz="0" w:space="0" w:color="auto"/>
        <w:left w:val="none" w:sz="0" w:space="0" w:color="auto"/>
        <w:bottom w:val="none" w:sz="0" w:space="0" w:color="auto"/>
        <w:right w:val="none" w:sz="0" w:space="0" w:color="auto"/>
      </w:divBdr>
    </w:div>
    <w:div w:id="392627450">
      <w:bodyDiv w:val="1"/>
      <w:marLeft w:val="0"/>
      <w:marRight w:val="0"/>
      <w:marTop w:val="0"/>
      <w:marBottom w:val="0"/>
      <w:divBdr>
        <w:top w:val="none" w:sz="0" w:space="0" w:color="auto"/>
        <w:left w:val="none" w:sz="0" w:space="0" w:color="auto"/>
        <w:bottom w:val="none" w:sz="0" w:space="0" w:color="auto"/>
        <w:right w:val="none" w:sz="0" w:space="0" w:color="auto"/>
      </w:divBdr>
    </w:div>
    <w:div w:id="393086056">
      <w:bodyDiv w:val="1"/>
      <w:marLeft w:val="0"/>
      <w:marRight w:val="0"/>
      <w:marTop w:val="0"/>
      <w:marBottom w:val="0"/>
      <w:divBdr>
        <w:top w:val="none" w:sz="0" w:space="0" w:color="auto"/>
        <w:left w:val="none" w:sz="0" w:space="0" w:color="auto"/>
        <w:bottom w:val="none" w:sz="0" w:space="0" w:color="auto"/>
        <w:right w:val="none" w:sz="0" w:space="0" w:color="auto"/>
      </w:divBdr>
    </w:div>
    <w:div w:id="394009224">
      <w:bodyDiv w:val="1"/>
      <w:marLeft w:val="0"/>
      <w:marRight w:val="0"/>
      <w:marTop w:val="0"/>
      <w:marBottom w:val="0"/>
      <w:divBdr>
        <w:top w:val="none" w:sz="0" w:space="0" w:color="auto"/>
        <w:left w:val="none" w:sz="0" w:space="0" w:color="auto"/>
        <w:bottom w:val="none" w:sz="0" w:space="0" w:color="auto"/>
        <w:right w:val="none" w:sz="0" w:space="0" w:color="auto"/>
      </w:divBdr>
    </w:div>
    <w:div w:id="394668065">
      <w:bodyDiv w:val="1"/>
      <w:marLeft w:val="0"/>
      <w:marRight w:val="0"/>
      <w:marTop w:val="0"/>
      <w:marBottom w:val="0"/>
      <w:divBdr>
        <w:top w:val="none" w:sz="0" w:space="0" w:color="auto"/>
        <w:left w:val="none" w:sz="0" w:space="0" w:color="auto"/>
        <w:bottom w:val="none" w:sz="0" w:space="0" w:color="auto"/>
        <w:right w:val="none" w:sz="0" w:space="0" w:color="auto"/>
      </w:divBdr>
    </w:div>
    <w:div w:id="395057188">
      <w:bodyDiv w:val="1"/>
      <w:marLeft w:val="0"/>
      <w:marRight w:val="0"/>
      <w:marTop w:val="0"/>
      <w:marBottom w:val="0"/>
      <w:divBdr>
        <w:top w:val="none" w:sz="0" w:space="0" w:color="auto"/>
        <w:left w:val="none" w:sz="0" w:space="0" w:color="auto"/>
        <w:bottom w:val="none" w:sz="0" w:space="0" w:color="auto"/>
        <w:right w:val="none" w:sz="0" w:space="0" w:color="auto"/>
      </w:divBdr>
    </w:div>
    <w:div w:id="395280286">
      <w:bodyDiv w:val="1"/>
      <w:marLeft w:val="0"/>
      <w:marRight w:val="0"/>
      <w:marTop w:val="0"/>
      <w:marBottom w:val="0"/>
      <w:divBdr>
        <w:top w:val="none" w:sz="0" w:space="0" w:color="auto"/>
        <w:left w:val="none" w:sz="0" w:space="0" w:color="auto"/>
        <w:bottom w:val="none" w:sz="0" w:space="0" w:color="auto"/>
        <w:right w:val="none" w:sz="0" w:space="0" w:color="auto"/>
      </w:divBdr>
    </w:div>
    <w:div w:id="396710209">
      <w:bodyDiv w:val="1"/>
      <w:marLeft w:val="0"/>
      <w:marRight w:val="0"/>
      <w:marTop w:val="0"/>
      <w:marBottom w:val="0"/>
      <w:divBdr>
        <w:top w:val="none" w:sz="0" w:space="0" w:color="auto"/>
        <w:left w:val="none" w:sz="0" w:space="0" w:color="auto"/>
        <w:bottom w:val="none" w:sz="0" w:space="0" w:color="auto"/>
        <w:right w:val="none" w:sz="0" w:space="0" w:color="auto"/>
      </w:divBdr>
    </w:div>
    <w:div w:id="396710743">
      <w:bodyDiv w:val="1"/>
      <w:marLeft w:val="0"/>
      <w:marRight w:val="0"/>
      <w:marTop w:val="0"/>
      <w:marBottom w:val="0"/>
      <w:divBdr>
        <w:top w:val="none" w:sz="0" w:space="0" w:color="auto"/>
        <w:left w:val="none" w:sz="0" w:space="0" w:color="auto"/>
        <w:bottom w:val="none" w:sz="0" w:space="0" w:color="auto"/>
        <w:right w:val="none" w:sz="0" w:space="0" w:color="auto"/>
      </w:divBdr>
    </w:div>
    <w:div w:id="399182033">
      <w:bodyDiv w:val="1"/>
      <w:marLeft w:val="0"/>
      <w:marRight w:val="0"/>
      <w:marTop w:val="0"/>
      <w:marBottom w:val="0"/>
      <w:divBdr>
        <w:top w:val="none" w:sz="0" w:space="0" w:color="auto"/>
        <w:left w:val="none" w:sz="0" w:space="0" w:color="auto"/>
        <w:bottom w:val="none" w:sz="0" w:space="0" w:color="auto"/>
        <w:right w:val="none" w:sz="0" w:space="0" w:color="auto"/>
      </w:divBdr>
    </w:div>
    <w:div w:id="399720083">
      <w:bodyDiv w:val="1"/>
      <w:marLeft w:val="0"/>
      <w:marRight w:val="0"/>
      <w:marTop w:val="0"/>
      <w:marBottom w:val="0"/>
      <w:divBdr>
        <w:top w:val="none" w:sz="0" w:space="0" w:color="auto"/>
        <w:left w:val="none" w:sz="0" w:space="0" w:color="auto"/>
        <w:bottom w:val="none" w:sz="0" w:space="0" w:color="auto"/>
        <w:right w:val="none" w:sz="0" w:space="0" w:color="auto"/>
      </w:divBdr>
    </w:div>
    <w:div w:id="400710505">
      <w:bodyDiv w:val="1"/>
      <w:marLeft w:val="0"/>
      <w:marRight w:val="0"/>
      <w:marTop w:val="0"/>
      <w:marBottom w:val="0"/>
      <w:divBdr>
        <w:top w:val="none" w:sz="0" w:space="0" w:color="auto"/>
        <w:left w:val="none" w:sz="0" w:space="0" w:color="auto"/>
        <w:bottom w:val="none" w:sz="0" w:space="0" w:color="auto"/>
        <w:right w:val="none" w:sz="0" w:space="0" w:color="auto"/>
      </w:divBdr>
    </w:div>
    <w:div w:id="401568869">
      <w:bodyDiv w:val="1"/>
      <w:marLeft w:val="0"/>
      <w:marRight w:val="0"/>
      <w:marTop w:val="0"/>
      <w:marBottom w:val="0"/>
      <w:divBdr>
        <w:top w:val="none" w:sz="0" w:space="0" w:color="auto"/>
        <w:left w:val="none" w:sz="0" w:space="0" w:color="auto"/>
        <w:bottom w:val="none" w:sz="0" w:space="0" w:color="auto"/>
        <w:right w:val="none" w:sz="0" w:space="0" w:color="auto"/>
      </w:divBdr>
    </w:div>
    <w:div w:id="402221605">
      <w:bodyDiv w:val="1"/>
      <w:marLeft w:val="0"/>
      <w:marRight w:val="0"/>
      <w:marTop w:val="0"/>
      <w:marBottom w:val="0"/>
      <w:divBdr>
        <w:top w:val="none" w:sz="0" w:space="0" w:color="auto"/>
        <w:left w:val="none" w:sz="0" w:space="0" w:color="auto"/>
        <w:bottom w:val="none" w:sz="0" w:space="0" w:color="auto"/>
        <w:right w:val="none" w:sz="0" w:space="0" w:color="auto"/>
      </w:divBdr>
    </w:div>
    <w:div w:id="403183977">
      <w:bodyDiv w:val="1"/>
      <w:marLeft w:val="0"/>
      <w:marRight w:val="0"/>
      <w:marTop w:val="0"/>
      <w:marBottom w:val="0"/>
      <w:divBdr>
        <w:top w:val="none" w:sz="0" w:space="0" w:color="auto"/>
        <w:left w:val="none" w:sz="0" w:space="0" w:color="auto"/>
        <w:bottom w:val="none" w:sz="0" w:space="0" w:color="auto"/>
        <w:right w:val="none" w:sz="0" w:space="0" w:color="auto"/>
      </w:divBdr>
    </w:div>
    <w:div w:id="403988311">
      <w:bodyDiv w:val="1"/>
      <w:marLeft w:val="0"/>
      <w:marRight w:val="0"/>
      <w:marTop w:val="0"/>
      <w:marBottom w:val="0"/>
      <w:divBdr>
        <w:top w:val="none" w:sz="0" w:space="0" w:color="auto"/>
        <w:left w:val="none" w:sz="0" w:space="0" w:color="auto"/>
        <w:bottom w:val="none" w:sz="0" w:space="0" w:color="auto"/>
        <w:right w:val="none" w:sz="0" w:space="0" w:color="auto"/>
      </w:divBdr>
    </w:div>
    <w:div w:id="406729184">
      <w:bodyDiv w:val="1"/>
      <w:marLeft w:val="0"/>
      <w:marRight w:val="0"/>
      <w:marTop w:val="0"/>
      <w:marBottom w:val="0"/>
      <w:divBdr>
        <w:top w:val="none" w:sz="0" w:space="0" w:color="auto"/>
        <w:left w:val="none" w:sz="0" w:space="0" w:color="auto"/>
        <w:bottom w:val="none" w:sz="0" w:space="0" w:color="auto"/>
        <w:right w:val="none" w:sz="0" w:space="0" w:color="auto"/>
      </w:divBdr>
    </w:div>
    <w:div w:id="408693103">
      <w:bodyDiv w:val="1"/>
      <w:marLeft w:val="0"/>
      <w:marRight w:val="0"/>
      <w:marTop w:val="0"/>
      <w:marBottom w:val="0"/>
      <w:divBdr>
        <w:top w:val="none" w:sz="0" w:space="0" w:color="auto"/>
        <w:left w:val="none" w:sz="0" w:space="0" w:color="auto"/>
        <w:bottom w:val="none" w:sz="0" w:space="0" w:color="auto"/>
        <w:right w:val="none" w:sz="0" w:space="0" w:color="auto"/>
      </w:divBdr>
    </w:div>
    <w:div w:id="409039816">
      <w:bodyDiv w:val="1"/>
      <w:marLeft w:val="0"/>
      <w:marRight w:val="0"/>
      <w:marTop w:val="0"/>
      <w:marBottom w:val="0"/>
      <w:divBdr>
        <w:top w:val="none" w:sz="0" w:space="0" w:color="auto"/>
        <w:left w:val="none" w:sz="0" w:space="0" w:color="auto"/>
        <w:bottom w:val="none" w:sz="0" w:space="0" w:color="auto"/>
        <w:right w:val="none" w:sz="0" w:space="0" w:color="auto"/>
      </w:divBdr>
    </w:div>
    <w:div w:id="409163126">
      <w:bodyDiv w:val="1"/>
      <w:marLeft w:val="0"/>
      <w:marRight w:val="0"/>
      <w:marTop w:val="0"/>
      <w:marBottom w:val="0"/>
      <w:divBdr>
        <w:top w:val="none" w:sz="0" w:space="0" w:color="auto"/>
        <w:left w:val="none" w:sz="0" w:space="0" w:color="auto"/>
        <w:bottom w:val="none" w:sz="0" w:space="0" w:color="auto"/>
        <w:right w:val="none" w:sz="0" w:space="0" w:color="auto"/>
      </w:divBdr>
    </w:div>
    <w:div w:id="412437238">
      <w:bodyDiv w:val="1"/>
      <w:marLeft w:val="0"/>
      <w:marRight w:val="0"/>
      <w:marTop w:val="0"/>
      <w:marBottom w:val="0"/>
      <w:divBdr>
        <w:top w:val="none" w:sz="0" w:space="0" w:color="auto"/>
        <w:left w:val="none" w:sz="0" w:space="0" w:color="auto"/>
        <w:bottom w:val="none" w:sz="0" w:space="0" w:color="auto"/>
        <w:right w:val="none" w:sz="0" w:space="0" w:color="auto"/>
      </w:divBdr>
    </w:div>
    <w:div w:id="412704584">
      <w:bodyDiv w:val="1"/>
      <w:marLeft w:val="0"/>
      <w:marRight w:val="0"/>
      <w:marTop w:val="0"/>
      <w:marBottom w:val="0"/>
      <w:divBdr>
        <w:top w:val="none" w:sz="0" w:space="0" w:color="auto"/>
        <w:left w:val="none" w:sz="0" w:space="0" w:color="auto"/>
        <w:bottom w:val="none" w:sz="0" w:space="0" w:color="auto"/>
        <w:right w:val="none" w:sz="0" w:space="0" w:color="auto"/>
      </w:divBdr>
    </w:div>
    <w:div w:id="413163583">
      <w:bodyDiv w:val="1"/>
      <w:marLeft w:val="0"/>
      <w:marRight w:val="0"/>
      <w:marTop w:val="0"/>
      <w:marBottom w:val="0"/>
      <w:divBdr>
        <w:top w:val="none" w:sz="0" w:space="0" w:color="auto"/>
        <w:left w:val="none" w:sz="0" w:space="0" w:color="auto"/>
        <w:bottom w:val="none" w:sz="0" w:space="0" w:color="auto"/>
        <w:right w:val="none" w:sz="0" w:space="0" w:color="auto"/>
      </w:divBdr>
    </w:div>
    <w:div w:id="413208807">
      <w:bodyDiv w:val="1"/>
      <w:marLeft w:val="0"/>
      <w:marRight w:val="0"/>
      <w:marTop w:val="0"/>
      <w:marBottom w:val="0"/>
      <w:divBdr>
        <w:top w:val="none" w:sz="0" w:space="0" w:color="auto"/>
        <w:left w:val="none" w:sz="0" w:space="0" w:color="auto"/>
        <w:bottom w:val="none" w:sz="0" w:space="0" w:color="auto"/>
        <w:right w:val="none" w:sz="0" w:space="0" w:color="auto"/>
      </w:divBdr>
    </w:div>
    <w:div w:id="413863262">
      <w:bodyDiv w:val="1"/>
      <w:marLeft w:val="0"/>
      <w:marRight w:val="0"/>
      <w:marTop w:val="0"/>
      <w:marBottom w:val="0"/>
      <w:divBdr>
        <w:top w:val="none" w:sz="0" w:space="0" w:color="auto"/>
        <w:left w:val="none" w:sz="0" w:space="0" w:color="auto"/>
        <w:bottom w:val="none" w:sz="0" w:space="0" w:color="auto"/>
        <w:right w:val="none" w:sz="0" w:space="0" w:color="auto"/>
      </w:divBdr>
    </w:div>
    <w:div w:id="414396202">
      <w:bodyDiv w:val="1"/>
      <w:marLeft w:val="0"/>
      <w:marRight w:val="0"/>
      <w:marTop w:val="0"/>
      <w:marBottom w:val="0"/>
      <w:divBdr>
        <w:top w:val="none" w:sz="0" w:space="0" w:color="auto"/>
        <w:left w:val="none" w:sz="0" w:space="0" w:color="auto"/>
        <w:bottom w:val="none" w:sz="0" w:space="0" w:color="auto"/>
        <w:right w:val="none" w:sz="0" w:space="0" w:color="auto"/>
      </w:divBdr>
    </w:div>
    <w:div w:id="415203145">
      <w:bodyDiv w:val="1"/>
      <w:marLeft w:val="0"/>
      <w:marRight w:val="0"/>
      <w:marTop w:val="0"/>
      <w:marBottom w:val="0"/>
      <w:divBdr>
        <w:top w:val="none" w:sz="0" w:space="0" w:color="auto"/>
        <w:left w:val="none" w:sz="0" w:space="0" w:color="auto"/>
        <w:bottom w:val="none" w:sz="0" w:space="0" w:color="auto"/>
        <w:right w:val="none" w:sz="0" w:space="0" w:color="auto"/>
      </w:divBdr>
    </w:div>
    <w:div w:id="415828220">
      <w:bodyDiv w:val="1"/>
      <w:marLeft w:val="0"/>
      <w:marRight w:val="0"/>
      <w:marTop w:val="0"/>
      <w:marBottom w:val="0"/>
      <w:divBdr>
        <w:top w:val="none" w:sz="0" w:space="0" w:color="auto"/>
        <w:left w:val="none" w:sz="0" w:space="0" w:color="auto"/>
        <w:bottom w:val="none" w:sz="0" w:space="0" w:color="auto"/>
        <w:right w:val="none" w:sz="0" w:space="0" w:color="auto"/>
      </w:divBdr>
    </w:div>
    <w:div w:id="416174894">
      <w:bodyDiv w:val="1"/>
      <w:marLeft w:val="0"/>
      <w:marRight w:val="0"/>
      <w:marTop w:val="0"/>
      <w:marBottom w:val="0"/>
      <w:divBdr>
        <w:top w:val="none" w:sz="0" w:space="0" w:color="auto"/>
        <w:left w:val="none" w:sz="0" w:space="0" w:color="auto"/>
        <w:bottom w:val="none" w:sz="0" w:space="0" w:color="auto"/>
        <w:right w:val="none" w:sz="0" w:space="0" w:color="auto"/>
      </w:divBdr>
    </w:div>
    <w:div w:id="417679251">
      <w:bodyDiv w:val="1"/>
      <w:marLeft w:val="0"/>
      <w:marRight w:val="0"/>
      <w:marTop w:val="0"/>
      <w:marBottom w:val="0"/>
      <w:divBdr>
        <w:top w:val="none" w:sz="0" w:space="0" w:color="auto"/>
        <w:left w:val="none" w:sz="0" w:space="0" w:color="auto"/>
        <w:bottom w:val="none" w:sz="0" w:space="0" w:color="auto"/>
        <w:right w:val="none" w:sz="0" w:space="0" w:color="auto"/>
      </w:divBdr>
    </w:div>
    <w:div w:id="417942954">
      <w:bodyDiv w:val="1"/>
      <w:marLeft w:val="0"/>
      <w:marRight w:val="0"/>
      <w:marTop w:val="0"/>
      <w:marBottom w:val="0"/>
      <w:divBdr>
        <w:top w:val="none" w:sz="0" w:space="0" w:color="auto"/>
        <w:left w:val="none" w:sz="0" w:space="0" w:color="auto"/>
        <w:bottom w:val="none" w:sz="0" w:space="0" w:color="auto"/>
        <w:right w:val="none" w:sz="0" w:space="0" w:color="auto"/>
      </w:divBdr>
    </w:div>
    <w:div w:id="418410370">
      <w:bodyDiv w:val="1"/>
      <w:marLeft w:val="0"/>
      <w:marRight w:val="0"/>
      <w:marTop w:val="0"/>
      <w:marBottom w:val="0"/>
      <w:divBdr>
        <w:top w:val="none" w:sz="0" w:space="0" w:color="auto"/>
        <w:left w:val="none" w:sz="0" w:space="0" w:color="auto"/>
        <w:bottom w:val="none" w:sz="0" w:space="0" w:color="auto"/>
        <w:right w:val="none" w:sz="0" w:space="0" w:color="auto"/>
      </w:divBdr>
    </w:div>
    <w:div w:id="418674692">
      <w:bodyDiv w:val="1"/>
      <w:marLeft w:val="0"/>
      <w:marRight w:val="0"/>
      <w:marTop w:val="0"/>
      <w:marBottom w:val="0"/>
      <w:divBdr>
        <w:top w:val="none" w:sz="0" w:space="0" w:color="auto"/>
        <w:left w:val="none" w:sz="0" w:space="0" w:color="auto"/>
        <w:bottom w:val="none" w:sz="0" w:space="0" w:color="auto"/>
        <w:right w:val="none" w:sz="0" w:space="0" w:color="auto"/>
      </w:divBdr>
    </w:div>
    <w:div w:id="419452552">
      <w:bodyDiv w:val="1"/>
      <w:marLeft w:val="0"/>
      <w:marRight w:val="0"/>
      <w:marTop w:val="0"/>
      <w:marBottom w:val="0"/>
      <w:divBdr>
        <w:top w:val="none" w:sz="0" w:space="0" w:color="auto"/>
        <w:left w:val="none" w:sz="0" w:space="0" w:color="auto"/>
        <w:bottom w:val="none" w:sz="0" w:space="0" w:color="auto"/>
        <w:right w:val="none" w:sz="0" w:space="0" w:color="auto"/>
      </w:divBdr>
    </w:div>
    <w:div w:id="420218690">
      <w:bodyDiv w:val="1"/>
      <w:marLeft w:val="0"/>
      <w:marRight w:val="0"/>
      <w:marTop w:val="0"/>
      <w:marBottom w:val="0"/>
      <w:divBdr>
        <w:top w:val="none" w:sz="0" w:space="0" w:color="auto"/>
        <w:left w:val="none" w:sz="0" w:space="0" w:color="auto"/>
        <w:bottom w:val="none" w:sz="0" w:space="0" w:color="auto"/>
        <w:right w:val="none" w:sz="0" w:space="0" w:color="auto"/>
      </w:divBdr>
    </w:div>
    <w:div w:id="420225603">
      <w:bodyDiv w:val="1"/>
      <w:marLeft w:val="0"/>
      <w:marRight w:val="0"/>
      <w:marTop w:val="0"/>
      <w:marBottom w:val="0"/>
      <w:divBdr>
        <w:top w:val="none" w:sz="0" w:space="0" w:color="auto"/>
        <w:left w:val="none" w:sz="0" w:space="0" w:color="auto"/>
        <w:bottom w:val="none" w:sz="0" w:space="0" w:color="auto"/>
        <w:right w:val="none" w:sz="0" w:space="0" w:color="auto"/>
      </w:divBdr>
      <w:divsChild>
        <w:div w:id="1301691807">
          <w:marLeft w:val="0"/>
          <w:marRight w:val="0"/>
          <w:marTop w:val="0"/>
          <w:marBottom w:val="0"/>
          <w:divBdr>
            <w:top w:val="none" w:sz="0" w:space="0" w:color="auto"/>
            <w:left w:val="none" w:sz="0" w:space="0" w:color="auto"/>
            <w:bottom w:val="none" w:sz="0" w:space="0" w:color="auto"/>
            <w:right w:val="none" w:sz="0" w:space="0" w:color="auto"/>
          </w:divBdr>
          <w:divsChild>
            <w:div w:id="1803617536">
              <w:marLeft w:val="0"/>
              <w:marRight w:val="0"/>
              <w:marTop w:val="0"/>
              <w:marBottom w:val="0"/>
              <w:divBdr>
                <w:top w:val="none" w:sz="0" w:space="0" w:color="auto"/>
                <w:left w:val="none" w:sz="0" w:space="0" w:color="auto"/>
                <w:bottom w:val="none" w:sz="0" w:space="0" w:color="auto"/>
                <w:right w:val="none" w:sz="0" w:space="0" w:color="auto"/>
              </w:divBdr>
              <w:divsChild>
                <w:div w:id="1873490393">
                  <w:marLeft w:val="0"/>
                  <w:marRight w:val="0"/>
                  <w:marTop w:val="0"/>
                  <w:marBottom w:val="0"/>
                  <w:divBdr>
                    <w:top w:val="none" w:sz="0" w:space="0" w:color="auto"/>
                    <w:left w:val="none" w:sz="0" w:space="0" w:color="auto"/>
                    <w:bottom w:val="none" w:sz="0" w:space="0" w:color="auto"/>
                    <w:right w:val="none" w:sz="0" w:space="0" w:color="auto"/>
                  </w:divBdr>
                  <w:divsChild>
                    <w:div w:id="4339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189477">
      <w:bodyDiv w:val="1"/>
      <w:marLeft w:val="0"/>
      <w:marRight w:val="0"/>
      <w:marTop w:val="0"/>
      <w:marBottom w:val="0"/>
      <w:divBdr>
        <w:top w:val="none" w:sz="0" w:space="0" w:color="auto"/>
        <w:left w:val="none" w:sz="0" w:space="0" w:color="auto"/>
        <w:bottom w:val="none" w:sz="0" w:space="0" w:color="auto"/>
        <w:right w:val="none" w:sz="0" w:space="0" w:color="auto"/>
      </w:divBdr>
    </w:div>
    <w:div w:id="424231601">
      <w:bodyDiv w:val="1"/>
      <w:marLeft w:val="0"/>
      <w:marRight w:val="0"/>
      <w:marTop w:val="0"/>
      <w:marBottom w:val="0"/>
      <w:divBdr>
        <w:top w:val="none" w:sz="0" w:space="0" w:color="auto"/>
        <w:left w:val="none" w:sz="0" w:space="0" w:color="auto"/>
        <w:bottom w:val="none" w:sz="0" w:space="0" w:color="auto"/>
        <w:right w:val="none" w:sz="0" w:space="0" w:color="auto"/>
      </w:divBdr>
    </w:div>
    <w:div w:id="426002443">
      <w:bodyDiv w:val="1"/>
      <w:marLeft w:val="0"/>
      <w:marRight w:val="0"/>
      <w:marTop w:val="0"/>
      <w:marBottom w:val="0"/>
      <w:divBdr>
        <w:top w:val="none" w:sz="0" w:space="0" w:color="auto"/>
        <w:left w:val="none" w:sz="0" w:space="0" w:color="auto"/>
        <w:bottom w:val="none" w:sz="0" w:space="0" w:color="auto"/>
        <w:right w:val="none" w:sz="0" w:space="0" w:color="auto"/>
      </w:divBdr>
    </w:div>
    <w:div w:id="426851441">
      <w:bodyDiv w:val="1"/>
      <w:marLeft w:val="0"/>
      <w:marRight w:val="0"/>
      <w:marTop w:val="0"/>
      <w:marBottom w:val="0"/>
      <w:divBdr>
        <w:top w:val="none" w:sz="0" w:space="0" w:color="auto"/>
        <w:left w:val="none" w:sz="0" w:space="0" w:color="auto"/>
        <w:bottom w:val="none" w:sz="0" w:space="0" w:color="auto"/>
        <w:right w:val="none" w:sz="0" w:space="0" w:color="auto"/>
      </w:divBdr>
    </w:div>
    <w:div w:id="426928620">
      <w:bodyDiv w:val="1"/>
      <w:marLeft w:val="0"/>
      <w:marRight w:val="0"/>
      <w:marTop w:val="0"/>
      <w:marBottom w:val="0"/>
      <w:divBdr>
        <w:top w:val="none" w:sz="0" w:space="0" w:color="auto"/>
        <w:left w:val="none" w:sz="0" w:space="0" w:color="auto"/>
        <w:bottom w:val="none" w:sz="0" w:space="0" w:color="auto"/>
        <w:right w:val="none" w:sz="0" w:space="0" w:color="auto"/>
      </w:divBdr>
    </w:div>
    <w:div w:id="427392996">
      <w:bodyDiv w:val="1"/>
      <w:marLeft w:val="0"/>
      <w:marRight w:val="0"/>
      <w:marTop w:val="0"/>
      <w:marBottom w:val="0"/>
      <w:divBdr>
        <w:top w:val="none" w:sz="0" w:space="0" w:color="auto"/>
        <w:left w:val="none" w:sz="0" w:space="0" w:color="auto"/>
        <w:bottom w:val="none" w:sz="0" w:space="0" w:color="auto"/>
        <w:right w:val="none" w:sz="0" w:space="0" w:color="auto"/>
      </w:divBdr>
    </w:div>
    <w:div w:id="430779764">
      <w:bodyDiv w:val="1"/>
      <w:marLeft w:val="0"/>
      <w:marRight w:val="0"/>
      <w:marTop w:val="0"/>
      <w:marBottom w:val="0"/>
      <w:divBdr>
        <w:top w:val="none" w:sz="0" w:space="0" w:color="auto"/>
        <w:left w:val="none" w:sz="0" w:space="0" w:color="auto"/>
        <w:bottom w:val="none" w:sz="0" w:space="0" w:color="auto"/>
        <w:right w:val="none" w:sz="0" w:space="0" w:color="auto"/>
      </w:divBdr>
    </w:div>
    <w:div w:id="431978299">
      <w:bodyDiv w:val="1"/>
      <w:marLeft w:val="0"/>
      <w:marRight w:val="0"/>
      <w:marTop w:val="0"/>
      <w:marBottom w:val="0"/>
      <w:divBdr>
        <w:top w:val="none" w:sz="0" w:space="0" w:color="auto"/>
        <w:left w:val="none" w:sz="0" w:space="0" w:color="auto"/>
        <w:bottom w:val="none" w:sz="0" w:space="0" w:color="auto"/>
        <w:right w:val="none" w:sz="0" w:space="0" w:color="auto"/>
      </w:divBdr>
    </w:div>
    <w:div w:id="432629645">
      <w:bodyDiv w:val="1"/>
      <w:marLeft w:val="0"/>
      <w:marRight w:val="0"/>
      <w:marTop w:val="0"/>
      <w:marBottom w:val="0"/>
      <w:divBdr>
        <w:top w:val="none" w:sz="0" w:space="0" w:color="auto"/>
        <w:left w:val="none" w:sz="0" w:space="0" w:color="auto"/>
        <w:bottom w:val="none" w:sz="0" w:space="0" w:color="auto"/>
        <w:right w:val="none" w:sz="0" w:space="0" w:color="auto"/>
      </w:divBdr>
    </w:div>
    <w:div w:id="432750151">
      <w:bodyDiv w:val="1"/>
      <w:marLeft w:val="0"/>
      <w:marRight w:val="0"/>
      <w:marTop w:val="0"/>
      <w:marBottom w:val="0"/>
      <w:divBdr>
        <w:top w:val="none" w:sz="0" w:space="0" w:color="auto"/>
        <w:left w:val="none" w:sz="0" w:space="0" w:color="auto"/>
        <w:bottom w:val="none" w:sz="0" w:space="0" w:color="auto"/>
        <w:right w:val="none" w:sz="0" w:space="0" w:color="auto"/>
      </w:divBdr>
    </w:div>
    <w:div w:id="433134699">
      <w:bodyDiv w:val="1"/>
      <w:marLeft w:val="0"/>
      <w:marRight w:val="0"/>
      <w:marTop w:val="0"/>
      <w:marBottom w:val="0"/>
      <w:divBdr>
        <w:top w:val="none" w:sz="0" w:space="0" w:color="auto"/>
        <w:left w:val="none" w:sz="0" w:space="0" w:color="auto"/>
        <w:bottom w:val="none" w:sz="0" w:space="0" w:color="auto"/>
        <w:right w:val="none" w:sz="0" w:space="0" w:color="auto"/>
      </w:divBdr>
    </w:div>
    <w:div w:id="434600869">
      <w:bodyDiv w:val="1"/>
      <w:marLeft w:val="0"/>
      <w:marRight w:val="0"/>
      <w:marTop w:val="0"/>
      <w:marBottom w:val="0"/>
      <w:divBdr>
        <w:top w:val="none" w:sz="0" w:space="0" w:color="auto"/>
        <w:left w:val="none" w:sz="0" w:space="0" w:color="auto"/>
        <w:bottom w:val="none" w:sz="0" w:space="0" w:color="auto"/>
        <w:right w:val="none" w:sz="0" w:space="0" w:color="auto"/>
      </w:divBdr>
    </w:div>
    <w:div w:id="435640049">
      <w:bodyDiv w:val="1"/>
      <w:marLeft w:val="0"/>
      <w:marRight w:val="0"/>
      <w:marTop w:val="0"/>
      <w:marBottom w:val="0"/>
      <w:divBdr>
        <w:top w:val="none" w:sz="0" w:space="0" w:color="auto"/>
        <w:left w:val="none" w:sz="0" w:space="0" w:color="auto"/>
        <w:bottom w:val="none" w:sz="0" w:space="0" w:color="auto"/>
        <w:right w:val="none" w:sz="0" w:space="0" w:color="auto"/>
      </w:divBdr>
    </w:div>
    <w:div w:id="436681705">
      <w:bodyDiv w:val="1"/>
      <w:marLeft w:val="0"/>
      <w:marRight w:val="0"/>
      <w:marTop w:val="0"/>
      <w:marBottom w:val="0"/>
      <w:divBdr>
        <w:top w:val="none" w:sz="0" w:space="0" w:color="auto"/>
        <w:left w:val="none" w:sz="0" w:space="0" w:color="auto"/>
        <w:bottom w:val="none" w:sz="0" w:space="0" w:color="auto"/>
        <w:right w:val="none" w:sz="0" w:space="0" w:color="auto"/>
      </w:divBdr>
    </w:div>
    <w:div w:id="437680313">
      <w:bodyDiv w:val="1"/>
      <w:marLeft w:val="0"/>
      <w:marRight w:val="0"/>
      <w:marTop w:val="0"/>
      <w:marBottom w:val="0"/>
      <w:divBdr>
        <w:top w:val="none" w:sz="0" w:space="0" w:color="auto"/>
        <w:left w:val="none" w:sz="0" w:space="0" w:color="auto"/>
        <w:bottom w:val="none" w:sz="0" w:space="0" w:color="auto"/>
        <w:right w:val="none" w:sz="0" w:space="0" w:color="auto"/>
      </w:divBdr>
    </w:div>
    <w:div w:id="439378321">
      <w:bodyDiv w:val="1"/>
      <w:marLeft w:val="0"/>
      <w:marRight w:val="0"/>
      <w:marTop w:val="0"/>
      <w:marBottom w:val="0"/>
      <w:divBdr>
        <w:top w:val="none" w:sz="0" w:space="0" w:color="auto"/>
        <w:left w:val="none" w:sz="0" w:space="0" w:color="auto"/>
        <w:bottom w:val="none" w:sz="0" w:space="0" w:color="auto"/>
        <w:right w:val="none" w:sz="0" w:space="0" w:color="auto"/>
      </w:divBdr>
    </w:div>
    <w:div w:id="441463386">
      <w:bodyDiv w:val="1"/>
      <w:marLeft w:val="0"/>
      <w:marRight w:val="0"/>
      <w:marTop w:val="0"/>
      <w:marBottom w:val="0"/>
      <w:divBdr>
        <w:top w:val="none" w:sz="0" w:space="0" w:color="auto"/>
        <w:left w:val="none" w:sz="0" w:space="0" w:color="auto"/>
        <w:bottom w:val="none" w:sz="0" w:space="0" w:color="auto"/>
        <w:right w:val="none" w:sz="0" w:space="0" w:color="auto"/>
      </w:divBdr>
    </w:div>
    <w:div w:id="445318064">
      <w:bodyDiv w:val="1"/>
      <w:marLeft w:val="0"/>
      <w:marRight w:val="0"/>
      <w:marTop w:val="0"/>
      <w:marBottom w:val="0"/>
      <w:divBdr>
        <w:top w:val="none" w:sz="0" w:space="0" w:color="auto"/>
        <w:left w:val="none" w:sz="0" w:space="0" w:color="auto"/>
        <w:bottom w:val="none" w:sz="0" w:space="0" w:color="auto"/>
        <w:right w:val="none" w:sz="0" w:space="0" w:color="auto"/>
      </w:divBdr>
    </w:div>
    <w:div w:id="445584974">
      <w:bodyDiv w:val="1"/>
      <w:marLeft w:val="0"/>
      <w:marRight w:val="0"/>
      <w:marTop w:val="0"/>
      <w:marBottom w:val="0"/>
      <w:divBdr>
        <w:top w:val="none" w:sz="0" w:space="0" w:color="auto"/>
        <w:left w:val="none" w:sz="0" w:space="0" w:color="auto"/>
        <w:bottom w:val="none" w:sz="0" w:space="0" w:color="auto"/>
        <w:right w:val="none" w:sz="0" w:space="0" w:color="auto"/>
      </w:divBdr>
    </w:div>
    <w:div w:id="446973449">
      <w:bodyDiv w:val="1"/>
      <w:marLeft w:val="0"/>
      <w:marRight w:val="0"/>
      <w:marTop w:val="0"/>
      <w:marBottom w:val="0"/>
      <w:divBdr>
        <w:top w:val="none" w:sz="0" w:space="0" w:color="auto"/>
        <w:left w:val="none" w:sz="0" w:space="0" w:color="auto"/>
        <w:bottom w:val="none" w:sz="0" w:space="0" w:color="auto"/>
        <w:right w:val="none" w:sz="0" w:space="0" w:color="auto"/>
      </w:divBdr>
    </w:div>
    <w:div w:id="447745970">
      <w:bodyDiv w:val="1"/>
      <w:marLeft w:val="0"/>
      <w:marRight w:val="0"/>
      <w:marTop w:val="0"/>
      <w:marBottom w:val="0"/>
      <w:divBdr>
        <w:top w:val="none" w:sz="0" w:space="0" w:color="auto"/>
        <w:left w:val="none" w:sz="0" w:space="0" w:color="auto"/>
        <w:bottom w:val="none" w:sz="0" w:space="0" w:color="auto"/>
        <w:right w:val="none" w:sz="0" w:space="0" w:color="auto"/>
      </w:divBdr>
    </w:div>
    <w:div w:id="447819693">
      <w:bodyDiv w:val="1"/>
      <w:marLeft w:val="0"/>
      <w:marRight w:val="0"/>
      <w:marTop w:val="0"/>
      <w:marBottom w:val="0"/>
      <w:divBdr>
        <w:top w:val="none" w:sz="0" w:space="0" w:color="auto"/>
        <w:left w:val="none" w:sz="0" w:space="0" w:color="auto"/>
        <w:bottom w:val="none" w:sz="0" w:space="0" w:color="auto"/>
        <w:right w:val="none" w:sz="0" w:space="0" w:color="auto"/>
      </w:divBdr>
    </w:div>
    <w:div w:id="447822124">
      <w:bodyDiv w:val="1"/>
      <w:marLeft w:val="0"/>
      <w:marRight w:val="0"/>
      <w:marTop w:val="0"/>
      <w:marBottom w:val="0"/>
      <w:divBdr>
        <w:top w:val="none" w:sz="0" w:space="0" w:color="auto"/>
        <w:left w:val="none" w:sz="0" w:space="0" w:color="auto"/>
        <w:bottom w:val="none" w:sz="0" w:space="0" w:color="auto"/>
        <w:right w:val="none" w:sz="0" w:space="0" w:color="auto"/>
      </w:divBdr>
    </w:div>
    <w:div w:id="448280210">
      <w:bodyDiv w:val="1"/>
      <w:marLeft w:val="0"/>
      <w:marRight w:val="0"/>
      <w:marTop w:val="0"/>
      <w:marBottom w:val="0"/>
      <w:divBdr>
        <w:top w:val="none" w:sz="0" w:space="0" w:color="auto"/>
        <w:left w:val="none" w:sz="0" w:space="0" w:color="auto"/>
        <w:bottom w:val="none" w:sz="0" w:space="0" w:color="auto"/>
        <w:right w:val="none" w:sz="0" w:space="0" w:color="auto"/>
      </w:divBdr>
    </w:div>
    <w:div w:id="449740499">
      <w:bodyDiv w:val="1"/>
      <w:marLeft w:val="0"/>
      <w:marRight w:val="0"/>
      <w:marTop w:val="0"/>
      <w:marBottom w:val="0"/>
      <w:divBdr>
        <w:top w:val="none" w:sz="0" w:space="0" w:color="auto"/>
        <w:left w:val="none" w:sz="0" w:space="0" w:color="auto"/>
        <w:bottom w:val="none" w:sz="0" w:space="0" w:color="auto"/>
        <w:right w:val="none" w:sz="0" w:space="0" w:color="auto"/>
      </w:divBdr>
    </w:div>
    <w:div w:id="450323019">
      <w:bodyDiv w:val="1"/>
      <w:marLeft w:val="0"/>
      <w:marRight w:val="0"/>
      <w:marTop w:val="0"/>
      <w:marBottom w:val="0"/>
      <w:divBdr>
        <w:top w:val="none" w:sz="0" w:space="0" w:color="auto"/>
        <w:left w:val="none" w:sz="0" w:space="0" w:color="auto"/>
        <w:bottom w:val="none" w:sz="0" w:space="0" w:color="auto"/>
        <w:right w:val="none" w:sz="0" w:space="0" w:color="auto"/>
      </w:divBdr>
    </w:div>
    <w:div w:id="452788518">
      <w:bodyDiv w:val="1"/>
      <w:marLeft w:val="0"/>
      <w:marRight w:val="0"/>
      <w:marTop w:val="0"/>
      <w:marBottom w:val="0"/>
      <w:divBdr>
        <w:top w:val="none" w:sz="0" w:space="0" w:color="auto"/>
        <w:left w:val="none" w:sz="0" w:space="0" w:color="auto"/>
        <w:bottom w:val="none" w:sz="0" w:space="0" w:color="auto"/>
        <w:right w:val="none" w:sz="0" w:space="0" w:color="auto"/>
      </w:divBdr>
    </w:div>
    <w:div w:id="453448019">
      <w:bodyDiv w:val="1"/>
      <w:marLeft w:val="0"/>
      <w:marRight w:val="0"/>
      <w:marTop w:val="0"/>
      <w:marBottom w:val="0"/>
      <w:divBdr>
        <w:top w:val="none" w:sz="0" w:space="0" w:color="auto"/>
        <w:left w:val="none" w:sz="0" w:space="0" w:color="auto"/>
        <w:bottom w:val="none" w:sz="0" w:space="0" w:color="auto"/>
        <w:right w:val="none" w:sz="0" w:space="0" w:color="auto"/>
      </w:divBdr>
    </w:div>
    <w:div w:id="453596974">
      <w:bodyDiv w:val="1"/>
      <w:marLeft w:val="0"/>
      <w:marRight w:val="0"/>
      <w:marTop w:val="0"/>
      <w:marBottom w:val="0"/>
      <w:divBdr>
        <w:top w:val="none" w:sz="0" w:space="0" w:color="auto"/>
        <w:left w:val="none" w:sz="0" w:space="0" w:color="auto"/>
        <w:bottom w:val="none" w:sz="0" w:space="0" w:color="auto"/>
        <w:right w:val="none" w:sz="0" w:space="0" w:color="auto"/>
      </w:divBdr>
    </w:div>
    <w:div w:id="453794875">
      <w:bodyDiv w:val="1"/>
      <w:marLeft w:val="0"/>
      <w:marRight w:val="0"/>
      <w:marTop w:val="0"/>
      <w:marBottom w:val="0"/>
      <w:divBdr>
        <w:top w:val="none" w:sz="0" w:space="0" w:color="auto"/>
        <w:left w:val="none" w:sz="0" w:space="0" w:color="auto"/>
        <w:bottom w:val="none" w:sz="0" w:space="0" w:color="auto"/>
        <w:right w:val="none" w:sz="0" w:space="0" w:color="auto"/>
      </w:divBdr>
    </w:div>
    <w:div w:id="456333575">
      <w:bodyDiv w:val="1"/>
      <w:marLeft w:val="0"/>
      <w:marRight w:val="0"/>
      <w:marTop w:val="0"/>
      <w:marBottom w:val="0"/>
      <w:divBdr>
        <w:top w:val="none" w:sz="0" w:space="0" w:color="auto"/>
        <w:left w:val="none" w:sz="0" w:space="0" w:color="auto"/>
        <w:bottom w:val="none" w:sz="0" w:space="0" w:color="auto"/>
        <w:right w:val="none" w:sz="0" w:space="0" w:color="auto"/>
      </w:divBdr>
    </w:div>
    <w:div w:id="457262389">
      <w:bodyDiv w:val="1"/>
      <w:marLeft w:val="0"/>
      <w:marRight w:val="0"/>
      <w:marTop w:val="0"/>
      <w:marBottom w:val="0"/>
      <w:divBdr>
        <w:top w:val="none" w:sz="0" w:space="0" w:color="auto"/>
        <w:left w:val="none" w:sz="0" w:space="0" w:color="auto"/>
        <w:bottom w:val="none" w:sz="0" w:space="0" w:color="auto"/>
        <w:right w:val="none" w:sz="0" w:space="0" w:color="auto"/>
      </w:divBdr>
    </w:div>
    <w:div w:id="457450830">
      <w:bodyDiv w:val="1"/>
      <w:marLeft w:val="0"/>
      <w:marRight w:val="0"/>
      <w:marTop w:val="0"/>
      <w:marBottom w:val="0"/>
      <w:divBdr>
        <w:top w:val="none" w:sz="0" w:space="0" w:color="auto"/>
        <w:left w:val="none" w:sz="0" w:space="0" w:color="auto"/>
        <w:bottom w:val="none" w:sz="0" w:space="0" w:color="auto"/>
        <w:right w:val="none" w:sz="0" w:space="0" w:color="auto"/>
      </w:divBdr>
    </w:div>
    <w:div w:id="457455504">
      <w:bodyDiv w:val="1"/>
      <w:marLeft w:val="0"/>
      <w:marRight w:val="0"/>
      <w:marTop w:val="0"/>
      <w:marBottom w:val="0"/>
      <w:divBdr>
        <w:top w:val="none" w:sz="0" w:space="0" w:color="auto"/>
        <w:left w:val="none" w:sz="0" w:space="0" w:color="auto"/>
        <w:bottom w:val="none" w:sz="0" w:space="0" w:color="auto"/>
        <w:right w:val="none" w:sz="0" w:space="0" w:color="auto"/>
      </w:divBdr>
    </w:div>
    <w:div w:id="457576253">
      <w:bodyDiv w:val="1"/>
      <w:marLeft w:val="0"/>
      <w:marRight w:val="0"/>
      <w:marTop w:val="0"/>
      <w:marBottom w:val="0"/>
      <w:divBdr>
        <w:top w:val="none" w:sz="0" w:space="0" w:color="auto"/>
        <w:left w:val="none" w:sz="0" w:space="0" w:color="auto"/>
        <w:bottom w:val="none" w:sz="0" w:space="0" w:color="auto"/>
        <w:right w:val="none" w:sz="0" w:space="0" w:color="auto"/>
      </w:divBdr>
      <w:divsChild>
        <w:div w:id="1045521949">
          <w:marLeft w:val="0"/>
          <w:marRight w:val="0"/>
          <w:marTop w:val="0"/>
          <w:marBottom w:val="0"/>
          <w:divBdr>
            <w:top w:val="none" w:sz="0" w:space="0" w:color="auto"/>
            <w:left w:val="none" w:sz="0" w:space="0" w:color="auto"/>
            <w:bottom w:val="none" w:sz="0" w:space="0" w:color="auto"/>
            <w:right w:val="none" w:sz="0" w:space="0" w:color="auto"/>
          </w:divBdr>
          <w:divsChild>
            <w:div w:id="1652370990">
              <w:marLeft w:val="0"/>
              <w:marRight w:val="0"/>
              <w:marTop w:val="0"/>
              <w:marBottom w:val="0"/>
              <w:divBdr>
                <w:top w:val="none" w:sz="0" w:space="0" w:color="auto"/>
                <w:left w:val="none" w:sz="0" w:space="0" w:color="auto"/>
                <w:bottom w:val="none" w:sz="0" w:space="0" w:color="auto"/>
                <w:right w:val="none" w:sz="0" w:space="0" w:color="auto"/>
              </w:divBdr>
              <w:divsChild>
                <w:div w:id="17187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01470">
      <w:bodyDiv w:val="1"/>
      <w:marLeft w:val="0"/>
      <w:marRight w:val="0"/>
      <w:marTop w:val="0"/>
      <w:marBottom w:val="0"/>
      <w:divBdr>
        <w:top w:val="none" w:sz="0" w:space="0" w:color="auto"/>
        <w:left w:val="none" w:sz="0" w:space="0" w:color="auto"/>
        <w:bottom w:val="none" w:sz="0" w:space="0" w:color="auto"/>
        <w:right w:val="none" w:sz="0" w:space="0" w:color="auto"/>
      </w:divBdr>
    </w:div>
    <w:div w:id="458912840">
      <w:bodyDiv w:val="1"/>
      <w:marLeft w:val="0"/>
      <w:marRight w:val="0"/>
      <w:marTop w:val="0"/>
      <w:marBottom w:val="0"/>
      <w:divBdr>
        <w:top w:val="none" w:sz="0" w:space="0" w:color="auto"/>
        <w:left w:val="none" w:sz="0" w:space="0" w:color="auto"/>
        <w:bottom w:val="none" w:sz="0" w:space="0" w:color="auto"/>
        <w:right w:val="none" w:sz="0" w:space="0" w:color="auto"/>
      </w:divBdr>
    </w:div>
    <w:div w:id="460347445">
      <w:bodyDiv w:val="1"/>
      <w:marLeft w:val="0"/>
      <w:marRight w:val="0"/>
      <w:marTop w:val="0"/>
      <w:marBottom w:val="0"/>
      <w:divBdr>
        <w:top w:val="none" w:sz="0" w:space="0" w:color="auto"/>
        <w:left w:val="none" w:sz="0" w:space="0" w:color="auto"/>
        <w:bottom w:val="none" w:sz="0" w:space="0" w:color="auto"/>
        <w:right w:val="none" w:sz="0" w:space="0" w:color="auto"/>
      </w:divBdr>
    </w:div>
    <w:div w:id="460684737">
      <w:bodyDiv w:val="1"/>
      <w:marLeft w:val="0"/>
      <w:marRight w:val="0"/>
      <w:marTop w:val="0"/>
      <w:marBottom w:val="0"/>
      <w:divBdr>
        <w:top w:val="none" w:sz="0" w:space="0" w:color="auto"/>
        <w:left w:val="none" w:sz="0" w:space="0" w:color="auto"/>
        <w:bottom w:val="none" w:sz="0" w:space="0" w:color="auto"/>
        <w:right w:val="none" w:sz="0" w:space="0" w:color="auto"/>
      </w:divBdr>
    </w:div>
    <w:div w:id="461924634">
      <w:bodyDiv w:val="1"/>
      <w:marLeft w:val="0"/>
      <w:marRight w:val="0"/>
      <w:marTop w:val="0"/>
      <w:marBottom w:val="0"/>
      <w:divBdr>
        <w:top w:val="none" w:sz="0" w:space="0" w:color="auto"/>
        <w:left w:val="none" w:sz="0" w:space="0" w:color="auto"/>
        <w:bottom w:val="none" w:sz="0" w:space="0" w:color="auto"/>
        <w:right w:val="none" w:sz="0" w:space="0" w:color="auto"/>
      </w:divBdr>
    </w:div>
    <w:div w:id="462236287">
      <w:bodyDiv w:val="1"/>
      <w:marLeft w:val="0"/>
      <w:marRight w:val="0"/>
      <w:marTop w:val="0"/>
      <w:marBottom w:val="0"/>
      <w:divBdr>
        <w:top w:val="none" w:sz="0" w:space="0" w:color="auto"/>
        <w:left w:val="none" w:sz="0" w:space="0" w:color="auto"/>
        <w:bottom w:val="none" w:sz="0" w:space="0" w:color="auto"/>
        <w:right w:val="none" w:sz="0" w:space="0" w:color="auto"/>
      </w:divBdr>
    </w:div>
    <w:div w:id="462651083">
      <w:bodyDiv w:val="1"/>
      <w:marLeft w:val="0"/>
      <w:marRight w:val="0"/>
      <w:marTop w:val="0"/>
      <w:marBottom w:val="0"/>
      <w:divBdr>
        <w:top w:val="none" w:sz="0" w:space="0" w:color="auto"/>
        <w:left w:val="none" w:sz="0" w:space="0" w:color="auto"/>
        <w:bottom w:val="none" w:sz="0" w:space="0" w:color="auto"/>
        <w:right w:val="none" w:sz="0" w:space="0" w:color="auto"/>
      </w:divBdr>
    </w:div>
    <w:div w:id="464591583">
      <w:bodyDiv w:val="1"/>
      <w:marLeft w:val="0"/>
      <w:marRight w:val="0"/>
      <w:marTop w:val="0"/>
      <w:marBottom w:val="0"/>
      <w:divBdr>
        <w:top w:val="none" w:sz="0" w:space="0" w:color="auto"/>
        <w:left w:val="none" w:sz="0" w:space="0" w:color="auto"/>
        <w:bottom w:val="none" w:sz="0" w:space="0" w:color="auto"/>
        <w:right w:val="none" w:sz="0" w:space="0" w:color="auto"/>
      </w:divBdr>
    </w:div>
    <w:div w:id="465388901">
      <w:bodyDiv w:val="1"/>
      <w:marLeft w:val="0"/>
      <w:marRight w:val="0"/>
      <w:marTop w:val="0"/>
      <w:marBottom w:val="0"/>
      <w:divBdr>
        <w:top w:val="none" w:sz="0" w:space="0" w:color="auto"/>
        <w:left w:val="none" w:sz="0" w:space="0" w:color="auto"/>
        <w:bottom w:val="none" w:sz="0" w:space="0" w:color="auto"/>
        <w:right w:val="none" w:sz="0" w:space="0" w:color="auto"/>
      </w:divBdr>
    </w:div>
    <w:div w:id="465508775">
      <w:bodyDiv w:val="1"/>
      <w:marLeft w:val="0"/>
      <w:marRight w:val="0"/>
      <w:marTop w:val="0"/>
      <w:marBottom w:val="0"/>
      <w:divBdr>
        <w:top w:val="none" w:sz="0" w:space="0" w:color="auto"/>
        <w:left w:val="none" w:sz="0" w:space="0" w:color="auto"/>
        <w:bottom w:val="none" w:sz="0" w:space="0" w:color="auto"/>
        <w:right w:val="none" w:sz="0" w:space="0" w:color="auto"/>
      </w:divBdr>
    </w:div>
    <w:div w:id="469520366">
      <w:bodyDiv w:val="1"/>
      <w:marLeft w:val="0"/>
      <w:marRight w:val="0"/>
      <w:marTop w:val="0"/>
      <w:marBottom w:val="0"/>
      <w:divBdr>
        <w:top w:val="none" w:sz="0" w:space="0" w:color="auto"/>
        <w:left w:val="none" w:sz="0" w:space="0" w:color="auto"/>
        <w:bottom w:val="none" w:sz="0" w:space="0" w:color="auto"/>
        <w:right w:val="none" w:sz="0" w:space="0" w:color="auto"/>
      </w:divBdr>
    </w:div>
    <w:div w:id="471677608">
      <w:bodyDiv w:val="1"/>
      <w:marLeft w:val="0"/>
      <w:marRight w:val="0"/>
      <w:marTop w:val="0"/>
      <w:marBottom w:val="0"/>
      <w:divBdr>
        <w:top w:val="none" w:sz="0" w:space="0" w:color="auto"/>
        <w:left w:val="none" w:sz="0" w:space="0" w:color="auto"/>
        <w:bottom w:val="none" w:sz="0" w:space="0" w:color="auto"/>
        <w:right w:val="none" w:sz="0" w:space="0" w:color="auto"/>
      </w:divBdr>
    </w:div>
    <w:div w:id="474494543">
      <w:bodyDiv w:val="1"/>
      <w:marLeft w:val="0"/>
      <w:marRight w:val="0"/>
      <w:marTop w:val="0"/>
      <w:marBottom w:val="0"/>
      <w:divBdr>
        <w:top w:val="none" w:sz="0" w:space="0" w:color="auto"/>
        <w:left w:val="none" w:sz="0" w:space="0" w:color="auto"/>
        <w:bottom w:val="none" w:sz="0" w:space="0" w:color="auto"/>
        <w:right w:val="none" w:sz="0" w:space="0" w:color="auto"/>
      </w:divBdr>
    </w:div>
    <w:div w:id="475025185">
      <w:bodyDiv w:val="1"/>
      <w:marLeft w:val="0"/>
      <w:marRight w:val="0"/>
      <w:marTop w:val="0"/>
      <w:marBottom w:val="0"/>
      <w:divBdr>
        <w:top w:val="none" w:sz="0" w:space="0" w:color="auto"/>
        <w:left w:val="none" w:sz="0" w:space="0" w:color="auto"/>
        <w:bottom w:val="none" w:sz="0" w:space="0" w:color="auto"/>
        <w:right w:val="none" w:sz="0" w:space="0" w:color="auto"/>
      </w:divBdr>
    </w:div>
    <w:div w:id="475530585">
      <w:bodyDiv w:val="1"/>
      <w:marLeft w:val="0"/>
      <w:marRight w:val="0"/>
      <w:marTop w:val="0"/>
      <w:marBottom w:val="0"/>
      <w:divBdr>
        <w:top w:val="none" w:sz="0" w:space="0" w:color="auto"/>
        <w:left w:val="none" w:sz="0" w:space="0" w:color="auto"/>
        <w:bottom w:val="none" w:sz="0" w:space="0" w:color="auto"/>
        <w:right w:val="none" w:sz="0" w:space="0" w:color="auto"/>
      </w:divBdr>
    </w:div>
    <w:div w:id="475680851">
      <w:bodyDiv w:val="1"/>
      <w:marLeft w:val="0"/>
      <w:marRight w:val="0"/>
      <w:marTop w:val="0"/>
      <w:marBottom w:val="0"/>
      <w:divBdr>
        <w:top w:val="none" w:sz="0" w:space="0" w:color="auto"/>
        <w:left w:val="none" w:sz="0" w:space="0" w:color="auto"/>
        <w:bottom w:val="none" w:sz="0" w:space="0" w:color="auto"/>
        <w:right w:val="none" w:sz="0" w:space="0" w:color="auto"/>
      </w:divBdr>
    </w:div>
    <w:div w:id="476073100">
      <w:bodyDiv w:val="1"/>
      <w:marLeft w:val="0"/>
      <w:marRight w:val="0"/>
      <w:marTop w:val="0"/>
      <w:marBottom w:val="0"/>
      <w:divBdr>
        <w:top w:val="none" w:sz="0" w:space="0" w:color="auto"/>
        <w:left w:val="none" w:sz="0" w:space="0" w:color="auto"/>
        <w:bottom w:val="none" w:sz="0" w:space="0" w:color="auto"/>
        <w:right w:val="none" w:sz="0" w:space="0" w:color="auto"/>
      </w:divBdr>
    </w:div>
    <w:div w:id="477112461">
      <w:bodyDiv w:val="1"/>
      <w:marLeft w:val="0"/>
      <w:marRight w:val="0"/>
      <w:marTop w:val="0"/>
      <w:marBottom w:val="0"/>
      <w:divBdr>
        <w:top w:val="none" w:sz="0" w:space="0" w:color="auto"/>
        <w:left w:val="none" w:sz="0" w:space="0" w:color="auto"/>
        <w:bottom w:val="none" w:sz="0" w:space="0" w:color="auto"/>
        <w:right w:val="none" w:sz="0" w:space="0" w:color="auto"/>
      </w:divBdr>
    </w:div>
    <w:div w:id="479003554">
      <w:bodyDiv w:val="1"/>
      <w:marLeft w:val="0"/>
      <w:marRight w:val="0"/>
      <w:marTop w:val="0"/>
      <w:marBottom w:val="0"/>
      <w:divBdr>
        <w:top w:val="none" w:sz="0" w:space="0" w:color="auto"/>
        <w:left w:val="none" w:sz="0" w:space="0" w:color="auto"/>
        <w:bottom w:val="none" w:sz="0" w:space="0" w:color="auto"/>
        <w:right w:val="none" w:sz="0" w:space="0" w:color="auto"/>
      </w:divBdr>
    </w:div>
    <w:div w:id="480317154">
      <w:bodyDiv w:val="1"/>
      <w:marLeft w:val="0"/>
      <w:marRight w:val="0"/>
      <w:marTop w:val="0"/>
      <w:marBottom w:val="0"/>
      <w:divBdr>
        <w:top w:val="none" w:sz="0" w:space="0" w:color="auto"/>
        <w:left w:val="none" w:sz="0" w:space="0" w:color="auto"/>
        <w:bottom w:val="none" w:sz="0" w:space="0" w:color="auto"/>
        <w:right w:val="none" w:sz="0" w:space="0" w:color="auto"/>
      </w:divBdr>
    </w:div>
    <w:div w:id="480654730">
      <w:bodyDiv w:val="1"/>
      <w:marLeft w:val="0"/>
      <w:marRight w:val="0"/>
      <w:marTop w:val="0"/>
      <w:marBottom w:val="0"/>
      <w:divBdr>
        <w:top w:val="none" w:sz="0" w:space="0" w:color="auto"/>
        <w:left w:val="none" w:sz="0" w:space="0" w:color="auto"/>
        <w:bottom w:val="none" w:sz="0" w:space="0" w:color="auto"/>
        <w:right w:val="none" w:sz="0" w:space="0" w:color="auto"/>
      </w:divBdr>
    </w:div>
    <w:div w:id="480780313">
      <w:bodyDiv w:val="1"/>
      <w:marLeft w:val="0"/>
      <w:marRight w:val="0"/>
      <w:marTop w:val="0"/>
      <w:marBottom w:val="0"/>
      <w:divBdr>
        <w:top w:val="none" w:sz="0" w:space="0" w:color="auto"/>
        <w:left w:val="none" w:sz="0" w:space="0" w:color="auto"/>
        <w:bottom w:val="none" w:sz="0" w:space="0" w:color="auto"/>
        <w:right w:val="none" w:sz="0" w:space="0" w:color="auto"/>
      </w:divBdr>
    </w:div>
    <w:div w:id="482085062">
      <w:bodyDiv w:val="1"/>
      <w:marLeft w:val="0"/>
      <w:marRight w:val="0"/>
      <w:marTop w:val="0"/>
      <w:marBottom w:val="0"/>
      <w:divBdr>
        <w:top w:val="none" w:sz="0" w:space="0" w:color="auto"/>
        <w:left w:val="none" w:sz="0" w:space="0" w:color="auto"/>
        <w:bottom w:val="none" w:sz="0" w:space="0" w:color="auto"/>
        <w:right w:val="none" w:sz="0" w:space="0" w:color="auto"/>
      </w:divBdr>
    </w:div>
    <w:div w:id="483356926">
      <w:bodyDiv w:val="1"/>
      <w:marLeft w:val="0"/>
      <w:marRight w:val="0"/>
      <w:marTop w:val="0"/>
      <w:marBottom w:val="0"/>
      <w:divBdr>
        <w:top w:val="none" w:sz="0" w:space="0" w:color="auto"/>
        <w:left w:val="none" w:sz="0" w:space="0" w:color="auto"/>
        <w:bottom w:val="none" w:sz="0" w:space="0" w:color="auto"/>
        <w:right w:val="none" w:sz="0" w:space="0" w:color="auto"/>
      </w:divBdr>
    </w:div>
    <w:div w:id="483394532">
      <w:bodyDiv w:val="1"/>
      <w:marLeft w:val="0"/>
      <w:marRight w:val="0"/>
      <w:marTop w:val="0"/>
      <w:marBottom w:val="0"/>
      <w:divBdr>
        <w:top w:val="none" w:sz="0" w:space="0" w:color="auto"/>
        <w:left w:val="none" w:sz="0" w:space="0" w:color="auto"/>
        <w:bottom w:val="none" w:sz="0" w:space="0" w:color="auto"/>
        <w:right w:val="none" w:sz="0" w:space="0" w:color="auto"/>
      </w:divBdr>
    </w:div>
    <w:div w:id="483665874">
      <w:bodyDiv w:val="1"/>
      <w:marLeft w:val="0"/>
      <w:marRight w:val="0"/>
      <w:marTop w:val="0"/>
      <w:marBottom w:val="0"/>
      <w:divBdr>
        <w:top w:val="none" w:sz="0" w:space="0" w:color="auto"/>
        <w:left w:val="none" w:sz="0" w:space="0" w:color="auto"/>
        <w:bottom w:val="none" w:sz="0" w:space="0" w:color="auto"/>
        <w:right w:val="none" w:sz="0" w:space="0" w:color="auto"/>
      </w:divBdr>
    </w:div>
    <w:div w:id="486556811">
      <w:bodyDiv w:val="1"/>
      <w:marLeft w:val="0"/>
      <w:marRight w:val="0"/>
      <w:marTop w:val="0"/>
      <w:marBottom w:val="0"/>
      <w:divBdr>
        <w:top w:val="none" w:sz="0" w:space="0" w:color="auto"/>
        <w:left w:val="none" w:sz="0" w:space="0" w:color="auto"/>
        <w:bottom w:val="none" w:sz="0" w:space="0" w:color="auto"/>
        <w:right w:val="none" w:sz="0" w:space="0" w:color="auto"/>
      </w:divBdr>
    </w:div>
    <w:div w:id="486822184">
      <w:bodyDiv w:val="1"/>
      <w:marLeft w:val="0"/>
      <w:marRight w:val="0"/>
      <w:marTop w:val="0"/>
      <w:marBottom w:val="0"/>
      <w:divBdr>
        <w:top w:val="none" w:sz="0" w:space="0" w:color="auto"/>
        <w:left w:val="none" w:sz="0" w:space="0" w:color="auto"/>
        <w:bottom w:val="none" w:sz="0" w:space="0" w:color="auto"/>
        <w:right w:val="none" w:sz="0" w:space="0" w:color="auto"/>
      </w:divBdr>
    </w:div>
    <w:div w:id="486946613">
      <w:bodyDiv w:val="1"/>
      <w:marLeft w:val="0"/>
      <w:marRight w:val="0"/>
      <w:marTop w:val="0"/>
      <w:marBottom w:val="0"/>
      <w:divBdr>
        <w:top w:val="none" w:sz="0" w:space="0" w:color="auto"/>
        <w:left w:val="none" w:sz="0" w:space="0" w:color="auto"/>
        <w:bottom w:val="none" w:sz="0" w:space="0" w:color="auto"/>
        <w:right w:val="none" w:sz="0" w:space="0" w:color="auto"/>
      </w:divBdr>
    </w:div>
    <w:div w:id="487401975">
      <w:bodyDiv w:val="1"/>
      <w:marLeft w:val="0"/>
      <w:marRight w:val="0"/>
      <w:marTop w:val="0"/>
      <w:marBottom w:val="0"/>
      <w:divBdr>
        <w:top w:val="none" w:sz="0" w:space="0" w:color="auto"/>
        <w:left w:val="none" w:sz="0" w:space="0" w:color="auto"/>
        <w:bottom w:val="none" w:sz="0" w:space="0" w:color="auto"/>
        <w:right w:val="none" w:sz="0" w:space="0" w:color="auto"/>
      </w:divBdr>
    </w:div>
    <w:div w:id="488518094">
      <w:bodyDiv w:val="1"/>
      <w:marLeft w:val="0"/>
      <w:marRight w:val="0"/>
      <w:marTop w:val="0"/>
      <w:marBottom w:val="0"/>
      <w:divBdr>
        <w:top w:val="none" w:sz="0" w:space="0" w:color="auto"/>
        <w:left w:val="none" w:sz="0" w:space="0" w:color="auto"/>
        <w:bottom w:val="none" w:sz="0" w:space="0" w:color="auto"/>
        <w:right w:val="none" w:sz="0" w:space="0" w:color="auto"/>
      </w:divBdr>
    </w:div>
    <w:div w:id="488861437">
      <w:bodyDiv w:val="1"/>
      <w:marLeft w:val="0"/>
      <w:marRight w:val="0"/>
      <w:marTop w:val="0"/>
      <w:marBottom w:val="0"/>
      <w:divBdr>
        <w:top w:val="none" w:sz="0" w:space="0" w:color="auto"/>
        <w:left w:val="none" w:sz="0" w:space="0" w:color="auto"/>
        <w:bottom w:val="none" w:sz="0" w:space="0" w:color="auto"/>
        <w:right w:val="none" w:sz="0" w:space="0" w:color="auto"/>
      </w:divBdr>
    </w:div>
    <w:div w:id="489641056">
      <w:bodyDiv w:val="1"/>
      <w:marLeft w:val="0"/>
      <w:marRight w:val="0"/>
      <w:marTop w:val="0"/>
      <w:marBottom w:val="0"/>
      <w:divBdr>
        <w:top w:val="none" w:sz="0" w:space="0" w:color="auto"/>
        <w:left w:val="none" w:sz="0" w:space="0" w:color="auto"/>
        <w:bottom w:val="none" w:sz="0" w:space="0" w:color="auto"/>
        <w:right w:val="none" w:sz="0" w:space="0" w:color="auto"/>
      </w:divBdr>
    </w:div>
    <w:div w:id="490487587">
      <w:bodyDiv w:val="1"/>
      <w:marLeft w:val="0"/>
      <w:marRight w:val="0"/>
      <w:marTop w:val="0"/>
      <w:marBottom w:val="0"/>
      <w:divBdr>
        <w:top w:val="none" w:sz="0" w:space="0" w:color="auto"/>
        <w:left w:val="none" w:sz="0" w:space="0" w:color="auto"/>
        <w:bottom w:val="none" w:sz="0" w:space="0" w:color="auto"/>
        <w:right w:val="none" w:sz="0" w:space="0" w:color="auto"/>
      </w:divBdr>
    </w:div>
    <w:div w:id="490751570">
      <w:bodyDiv w:val="1"/>
      <w:marLeft w:val="0"/>
      <w:marRight w:val="0"/>
      <w:marTop w:val="0"/>
      <w:marBottom w:val="0"/>
      <w:divBdr>
        <w:top w:val="none" w:sz="0" w:space="0" w:color="auto"/>
        <w:left w:val="none" w:sz="0" w:space="0" w:color="auto"/>
        <w:bottom w:val="none" w:sz="0" w:space="0" w:color="auto"/>
        <w:right w:val="none" w:sz="0" w:space="0" w:color="auto"/>
      </w:divBdr>
    </w:div>
    <w:div w:id="491261963">
      <w:bodyDiv w:val="1"/>
      <w:marLeft w:val="0"/>
      <w:marRight w:val="0"/>
      <w:marTop w:val="0"/>
      <w:marBottom w:val="0"/>
      <w:divBdr>
        <w:top w:val="none" w:sz="0" w:space="0" w:color="auto"/>
        <w:left w:val="none" w:sz="0" w:space="0" w:color="auto"/>
        <w:bottom w:val="none" w:sz="0" w:space="0" w:color="auto"/>
        <w:right w:val="none" w:sz="0" w:space="0" w:color="auto"/>
      </w:divBdr>
    </w:div>
    <w:div w:id="491795370">
      <w:bodyDiv w:val="1"/>
      <w:marLeft w:val="0"/>
      <w:marRight w:val="0"/>
      <w:marTop w:val="0"/>
      <w:marBottom w:val="0"/>
      <w:divBdr>
        <w:top w:val="none" w:sz="0" w:space="0" w:color="auto"/>
        <w:left w:val="none" w:sz="0" w:space="0" w:color="auto"/>
        <w:bottom w:val="none" w:sz="0" w:space="0" w:color="auto"/>
        <w:right w:val="none" w:sz="0" w:space="0" w:color="auto"/>
      </w:divBdr>
    </w:div>
    <w:div w:id="491945369">
      <w:bodyDiv w:val="1"/>
      <w:marLeft w:val="0"/>
      <w:marRight w:val="0"/>
      <w:marTop w:val="0"/>
      <w:marBottom w:val="0"/>
      <w:divBdr>
        <w:top w:val="none" w:sz="0" w:space="0" w:color="auto"/>
        <w:left w:val="none" w:sz="0" w:space="0" w:color="auto"/>
        <w:bottom w:val="none" w:sz="0" w:space="0" w:color="auto"/>
        <w:right w:val="none" w:sz="0" w:space="0" w:color="auto"/>
      </w:divBdr>
    </w:div>
    <w:div w:id="492456198">
      <w:bodyDiv w:val="1"/>
      <w:marLeft w:val="0"/>
      <w:marRight w:val="0"/>
      <w:marTop w:val="0"/>
      <w:marBottom w:val="0"/>
      <w:divBdr>
        <w:top w:val="none" w:sz="0" w:space="0" w:color="auto"/>
        <w:left w:val="none" w:sz="0" w:space="0" w:color="auto"/>
        <w:bottom w:val="none" w:sz="0" w:space="0" w:color="auto"/>
        <w:right w:val="none" w:sz="0" w:space="0" w:color="auto"/>
      </w:divBdr>
    </w:div>
    <w:div w:id="493566545">
      <w:bodyDiv w:val="1"/>
      <w:marLeft w:val="0"/>
      <w:marRight w:val="0"/>
      <w:marTop w:val="0"/>
      <w:marBottom w:val="0"/>
      <w:divBdr>
        <w:top w:val="none" w:sz="0" w:space="0" w:color="auto"/>
        <w:left w:val="none" w:sz="0" w:space="0" w:color="auto"/>
        <w:bottom w:val="none" w:sz="0" w:space="0" w:color="auto"/>
        <w:right w:val="none" w:sz="0" w:space="0" w:color="auto"/>
      </w:divBdr>
    </w:div>
    <w:div w:id="495195735">
      <w:bodyDiv w:val="1"/>
      <w:marLeft w:val="0"/>
      <w:marRight w:val="0"/>
      <w:marTop w:val="0"/>
      <w:marBottom w:val="0"/>
      <w:divBdr>
        <w:top w:val="none" w:sz="0" w:space="0" w:color="auto"/>
        <w:left w:val="none" w:sz="0" w:space="0" w:color="auto"/>
        <w:bottom w:val="none" w:sz="0" w:space="0" w:color="auto"/>
        <w:right w:val="none" w:sz="0" w:space="0" w:color="auto"/>
      </w:divBdr>
    </w:div>
    <w:div w:id="495652279">
      <w:bodyDiv w:val="1"/>
      <w:marLeft w:val="0"/>
      <w:marRight w:val="0"/>
      <w:marTop w:val="0"/>
      <w:marBottom w:val="0"/>
      <w:divBdr>
        <w:top w:val="none" w:sz="0" w:space="0" w:color="auto"/>
        <w:left w:val="none" w:sz="0" w:space="0" w:color="auto"/>
        <w:bottom w:val="none" w:sz="0" w:space="0" w:color="auto"/>
        <w:right w:val="none" w:sz="0" w:space="0" w:color="auto"/>
      </w:divBdr>
    </w:div>
    <w:div w:id="502161162">
      <w:bodyDiv w:val="1"/>
      <w:marLeft w:val="0"/>
      <w:marRight w:val="0"/>
      <w:marTop w:val="0"/>
      <w:marBottom w:val="0"/>
      <w:divBdr>
        <w:top w:val="none" w:sz="0" w:space="0" w:color="auto"/>
        <w:left w:val="none" w:sz="0" w:space="0" w:color="auto"/>
        <w:bottom w:val="none" w:sz="0" w:space="0" w:color="auto"/>
        <w:right w:val="none" w:sz="0" w:space="0" w:color="auto"/>
      </w:divBdr>
    </w:div>
    <w:div w:id="502285077">
      <w:bodyDiv w:val="1"/>
      <w:marLeft w:val="0"/>
      <w:marRight w:val="0"/>
      <w:marTop w:val="0"/>
      <w:marBottom w:val="0"/>
      <w:divBdr>
        <w:top w:val="none" w:sz="0" w:space="0" w:color="auto"/>
        <w:left w:val="none" w:sz="0" w:space="0" w:color="auto"/>
        <w:bottom w:val="none" w:sz="0" w:space="0" w:color="auto"/>
        <w:right w:val="none" w:sz="0" w:space="0" w:color="auto"/>
      </w:divBdr>
    </w:div>
    <w:div w:id="502404400">
      <w:bodyDiv w:val="1"/>
      <w:marLeft w:val="0"/>
      <w:marRight w:val="0"/>
      <w:marTop w:val="0"/>
      <w:marBottom w:val="0"/>
      <w:divBdr>
        <w:top w:val="none" w:sz="0" w:space="0" w:color="auto"/>
        <w:left w:val="none" w:sz="0" w:space="0" w:color="auto"/>
        <w:bottom w:val="none" w:sz="0" w:space="0" w:color="auto"/>
        <w:right w:val="none" w:sz="0" w:space="0" w:color="auto"/>
      </w:divBdr>
    </w:div>
    <w:div w:id="503514218">
      <w:bodyDiv w:val="1"/>
      <w:marLeft w:val="0"/>
      <w:marRight w:val="0"/>
      <w:marTop w:val="0"/>
      <w:marBottom w:val="0"/>
      <w:divBdr>
        <w:top w:val="none" w:sz="0" w:space="0" w:color="auto"/>
        <w:left w:val="none" w:sz="0" w:space="0" w:color="auto"/>
        <w:bottom w:val="none" w:sz="0" w:space="0" w:color="auto"/>
        <w:right w:val="none" w:sz="0" w:space="0" w:color="auto"/>
      </w:divBdr>
    </w:div>
    <w:div w:id="508522269">
      <w:bodyDiv w:val="1"/>
      <w:marLeft w:val="0"/>
      <w:marRight w:val="0"/>
      <w:marTop w:val="0"/>
      <w:marBottom w:val="0"/>
      <w:divBdr>
        <w:top w:val="none" w:sz="0" w:space="0" w:color="auto"/>
        <w:left w:val="none" w:sz="0" w:space="0" w:color="auto"/>
        <w:bottom w:val="none" w:sz="0" w:space="0" w:color="auto"/>
        <w:right w:val="none" w:sz="0" w:space="0" w:color="auto"/>
      </w:divBdr>
    </w:div>
    <w:div w:id="509029502">
      <w:bodyDiv w:val="1"/>
      <w:marLeft w:val="0"/>
      <w:marRight w:val="0"/>
      <w:marTop w:val="0"/>
      <w:marBottom w:val="0"/>
      <w:divBdr>
        <w:top w:val="none" w:sz="0" w:space="0" w:color="auto"/>
        <w:left w:val="none" w:sz="0" w:space="0" w:color="auto"/>
        <w:bottom w:val="none" w:sz="0" w:space="0" w:color="auto"/>
        <w:right w:val="none" w:sz="0" w:space="0" w:color="auto"/>
      </w:divBdr>
    </w:div>
    <w:div w:id="509443743">
      <w:bodyDiv w:val="1"/>
      <w:marLeft w:val="0"/>
      <w:marRight w:val="0"/>
      <w:marTop w:val="0"/>
      <w:marBottom w:val="0"/>
      <w:divBdr>
        <w:top w:val="none" w:sz="0" w:space="0" w:color="auto"/>
        <w:left w:val="none" w:sz="0" w:space="0" w:color="auto"/>
        <w:bottom w:val="none" w:sz="0" w:space="0" w:color="auto"/>
        <w:right w:val="none" w:sz="0" w:space="0" w:color="auto"/>
      </w:divBdr>
    </w:div>
    <w:div w:id="509953456">
      <w:bodyDiv w:val="1"/>
      <w:marLeft w:val="0"/>
      <w:marRight w:val="0"/>
      <w:marTop w:val="0"/>
      <w:marBottom w:val="0"/>
      <w:divBdr>
        <w:top w:val="none" w:sz="0" w:space="0" w:color="auto"/>
        <w:left w:val="none" w:sz="0" w:space="0" w:color="auto"/>
        <w:bottom w:val="none" w:sz="0" w:space="0" w:color="auto"/>
        <w:right w:val="none" w:sz="0" w:space="0" w:color="auto"/>
      </w:divBdr>
    </w:div>
    <w:div w:id="511913314">
      <w:bodyDiv w:val="1"/>
      <w:marLeft w:val="0"/>
      <w:marRight w:val="0"/>
      <w:marTop w:val="0"/>
      <w:marBottom w:val="0"/>
      <w:divBdr>
        <w:top w:val="none" w:sz="0" w:space="0" w:color="auto"/>
        <w:left w:val="none" w:sz="0" w:space="0" w:color="auto"/>
        <w:bottom w:val="none" w:sz="0" w:space="0" w:color="auto"/>
        <w:right w:val="none" w:sz="0" w:space="0" w:color="auto"/>
      </w:divBdr>
    </w:div>
    <w:div w:id="512377480">
      <w:bodyDiv w:val="1"/>
      <w:marLeft w:val="0"/>
      <w:marRight w:val="0"/>
      <w:marTop w:val="0"/>
      <w:marBottom w:val="0"/>
      <w:divBdr>
        <w:top w:val="none" w:sz="0" w:space="0" w:color="auto"/>
        <w:left w:val="none" w:sz="0" w:space="0" w:color="auto"/>
        <w:bottom w:val="none" w:sz="0" w:space="0" w:color="auto"/>
        <w:right w:val="none" w:sz="0" w:space="0" w:color="auto"/>
      </w:divBdr>
    </w:div>
    <w:div w:id="513154565">
      <w:bodyDiv w:val="1"/>
      <w:marLeft w:val="0"/>
      <w:marRight w:val="0"/>
      <w:marTop w:val="0"/>
      <w:marBottom w:val="0"/>
      <w:divBdr>
        <w:top w:val="none" w:sz="0" w:space="0" w:color="auto"/>
        <w:left w:val="none" w:sz="0" w:space="0" w:color="auto"/>
        <w:bottom w:val="none" w:sz="0" w:space="0" w:color="auto"/>
        <w:right w:val="none" w:sz="0" w:space="0" w:color="auto"/>
      </w:divBdr>
    </w:div>
    <w:div w:id="514811994">
      <w:bodyDiv w:val="1"/>
      <w:marLeft w:val="0"/>
      <w:marRight w:val="0"/>
      <w:marTop w:val="0"/>
      <w:marBottom w:val="0"/>
      <w:divBdr>
        <w:top w:val="none" w:sz="0" w:space="0" w:color="auto"/>
        <w:left w:val="none" w:sz="0" w:space="0" w:color="auto"/>
        <w:bottom w:val="none" w:sz="0" w:space="0" w:color="auto"/>
        <w:right w:val="none" w:sz="0" w:space="0" w:color="auto"/>
      </w:divBdr>
    </w:div>
    <w:div w:id="515193879">
      <w:bodyDiv w:val="1"/>
      <w:marLeft w:val="0"/>
      <w:marRight w:val="0"/>
      <w:marTop w:val="0"/>
      <w:marBottom w:val="0"/>
      <w:divBdr>
        <w:top w:val="none" w:sz="0" w:space="0" w:color="auto"/>
        <w:left w:val="none" w:sz="0" w:space="0" w:color="auto"/>
        <w:bottom w:val="none" w:sz="0" w:space="0" w:color="auto"/>
        <w:right w:val="none" w:sz="0" w:space="0" w:color="auto"/>
      </w:divBdr>
    </w:div>
    <w:div w:id="516846227">
      <w:bodyDiv w:val="1"/>
      <w:marLeft w:val="0"/>
      <w:marRight w:val="0"/>
      <w:marTop w:val="0"/>
      <w:marBottom w:val="0"/>
      <w:divBdr>
        <w:top w:val="none" w:sz="0" w:space="0" w:color="auto"/>
        <w:left w:val="none" w:sz="0" w:space="0" w:color="auto"/>
        <w:bottom w:val="none" w:sz="0" w:space="0" w:color="auto"/>
        <w:right w:val="none" w:sz="0" w:space="0" w:color="auto"/>
      </w:divBdr>
    </w:div>
    <w:div w:id="517278731">
      <w:bodyDiv w:val="1"/>
      <w:marLeft w:val="0"/>
      <w:marRight w:val="0"/>
      <w:marTop w:val="0"/>
      <w:marBottom w:val="0"/>
      <w:divBdr>
        <w:top w:val="none" w:sz="0" w:space="0" w:color="auto"/>
        <w:left w:val="none" w:sz="0" w:space="0" w:color="auto"/>
        <w:bottom w:val="none" w:sz="0" w:space="0" w:color="auto"/>
        <w:right w:val="none" w:sz="0" w:space="0" w:color="auto"/>
      </w:divBdr>
    </w:div>
    <w:div w:id="517738135">
      <w:bodyDiv w:val="1"/>
      <w:marLeft w:val="0"/>
      <w:marRight w:val="0"/>
      <w:marTop w:val="0"/>
      <w:marBottom w:val="0"/>
      <w:divBdr>
        <w:top w:val="none" w:sz="0" w:space="0" w:color="auto"/>
        <w:left w:val="none" w:sz="0" w:space="0" w:color="auto"/>
        <w:bottom w:val="none" w:sz="0" w:space="0" w:color="auto"/>
        <w:right w:val="none" w:sz="0" w:space="0" w:color="auto"/>
      </w:divBdr>
    </w:div>
    <w:div w:id="518474171">
      <w:bodyDiv w:val="1"/>
      <w:marLeft w:val="0"/>
      <w:marRight w:val="0"/>
      <w:marTop w:val="0"/>
      <w:marBottom w:val="0"/>
      <w:divBdr>
        <w:top w:val="none" w:sz="0" w:space="0" w:color="auto"/>
        <w:left w:val="none" w:sz="0" w:space="0" w:color="auto"/>
        <w:bottom w:val="none" w:sz="0" w:space="0" w:color="auto"/>
        <w:right w:val="none" w:sz="0" w:space="0" w:color="auto"/>
      </w:divBdr>
    </w:div>
    <w:div w:id="519048462">
      <w:bodyDiv w:val="1"/>
      <w:marLeft w:val="0"/>
      <w:marRight w:val="0"/>
      <w:marTop w:val="0"/>
      <w:marBottom w:val="0"/>
      <w:divBdr>
        <w:top w:val="none" w:sz="0" w:space="0" w:color="auto"/>
        <w:left w:val="none" w:sz="0" w:space="0" w:color="auto"/>
        <w:bottom w:val="none" w:sz="0" w:space="0" w:color="auto"/>
        <w:right w:val="none" w:sz="0" w:space="0" w:color="auto"/>
      </w:divBdr>
    </w:div>
    <w:div w:id="520975160">
      <w:bodyDiv w:val="1"/>
      <w:marLeft w:val="0"/>
      <w:marRight w:val="0"/>
      <w:marTop w:val="0"/>
      <w:marBottom w:val="0"/>
      <w:divBdr>
        <w:top w:val="none" w:sz="0" w:space="0" w:color="auto"/>
        <w:left w:val="none" w:sz="0" w:space="0" w:color="auto"/>
        <w:bottom w:val="none" w:sz="0" w:space="0" w:color="auto"/>
        <w:right w:val="none" w:sz="0" w:space="0" w:color="auto"/>
      </w:divBdr>
    </w:div>
    <w:div w:id="522671053">
      <w:bodyDiv w:val="1"/>
      <w:marLeft w:val="0"/>
      <w:marRight w:val="0"/>
      <w:marTop w:val="0"/>
      <w:marBottom w:val="0"/>
      <w:divBdr>
        <w:top w:val="none" w:sz="0" w:space="0" w:color="auto"/>
        <w:left w:val="none" w:sz="0" w:space="0" w:color="auto"/>
        <w:bottom w:val="none" w:sz="0" w:space="0" w:color="auto"/>
        <w:right w:val="none" w:sz="0" w:space="0" w:color="auto"/>
      </w:divBdr>
    </w:div>
    <w:div w:id="523593728">
      <w:bodyDiv w:val="1"/>
      <w:marLeft w:val="0"/>
      <w:marRight w:val="0"/>
      <w:marTop w:val="0"/>
      <w:marBottom w:val="0"/>
      <w:divBdr>
        <w:top w:val="none" w:sz="0" w:space="0" w:color="auto"/>
        <w:left w:val="none" w:sz="0" w:space="0" w:color="auto"/>
        <w:bottom w:val="none" w:sz="0" w:space="0" w:color="auto"/>
        <w:right w:val="none" w:sz="0" w:space="0" w:color="auto"/>
      </w:divBdr>
    </w:div>
    <w:div w:id="523634413">
      <w:bodyDiv w:val="1"/>
      <w:marLeft w:val="0"/>
      <w:marRight w:val="0"/>
      <w:marTop w:val="0"/>
      <w:marBottom w:val="0"/>
      <w:divBdr>
        <w:top w:val="none" w:sz="0" w:space="0" w:color="auto"/>
        <w:left w:val="none" w:sz="0" w:space="0" w:color="auto"/>
        <w:bottom w:val="none" w:sz="0" w:space="0" w:color="auto"/>
        <w:right w:val="none" w:sz="0" w:space="0" w:color="auto"/>
      </w:divBdr>
    </w:div>
    <w:div w:id="525682546">
      <w:bodyDiv w:val="1"/>
      <w:marLeft w:val="0"/>
      <w:marRight w:val="0"/>
      <w:marTop w:val="0"/>
      <w:marBottom w:val="0"/>
      <w:divBdr>
        <w:top w:val="none" w:sz="0" w:space="0" w:color="auto"/>
        <w:left w:val="none" w:sz="0" w:space="0" w:color="auto"/>
        <w:bottom w:val="none" w:sz="0" w:space="0" w:color="auto"/>
        <w:right w:val="none" w:sz="0" w:space="0" w:color="auto"/>
      </w:divBdr>
    </w:div>
    <w:div w:id="525944030">
      <w:bodyDiv w:val="1"/>
      <w:marLeft w:val="0"/>
      <w:marRight w:val="0"/>
      <w:marTop w:val="0"/>
      <w:marBottom w:val="0"/>
      <w:divBdr>
        <w:top w:val="none" w:sz="0" w:space="0" w:color="auto"/>
        <w:left w:val="none" w:sz="0" w:space="0" w:color="auto"/>
        <w:bottom w:val="none" w:sz="0" w:space="0" w:color="auto"/>
        <w:right w:val="none" w:sz="0" w:space="0" w:color="auto"/>
      </w:divBdr>
    </w:div>
    <w:div w:id="526912255">
      <w:bodyDiv w:val="1"/>
      <w:marLeft w:val="0"/>
      <w:marRight w:val="0"/>
      <w:marTop w:val="0"/>
      <w:marBottom w:val="0"/>
      <w:divBdr>
        <w:top w:val="none" w:sz="0" w:space="0" w:color="auto"/>
        <w:left w:val="none" w:sz="0" w:space="0" w:color="auto"/>
        <w:bottom w:val="none" w:sz="0" w:space="0" w:color="auto"/>
        <w:right w:val="none" w:sz="0" w:space="0" w:color="auto"/>
      </w:divBdr>
    </w:div>
    <w:div w:id="528110280">
      <w:bodyDiv w:val="1"/>
      <w:marLeft w:val="0"/>
      <w:marRight w:val="0"/>
      <w:marTop w:val="0"/>
      <w:marBottom w:val="0"/>
      <w:divBdr>
        <w:top w:val="none" w:sz="0" w:space="0" w:color="auto"/>
        <w:left w:val="none" w:sz="0" w:space="0" w:color="auto"/>
        <w:bottom w:val="none" w:sz="0" w:space="0" w:color="auto"/>
        <w:right w:val="none" w:sz="0" w:space="0" w:color="auto"/>
      </w:divBdr>
    </w:div>
    <w:div w:id="529226519">
      <w:bodyDiv w:val="1"/>
      <w:marLeft w:val="0"/>
      <w:marRight w:val="0"/>
      <w:marTop w:val="0"/>
      <w:marBottom w:val="0"/>
      <w:divBdr>
        <w:top w:val="none" w:sz="0" w:space="0" w:color="auto"/>
        <w:left w:val="none" w:sz="0" w:space="0" w:color="auto"/>
        <w:bottom w:val="none" w:sz="0" w:space="0" w:color="auto"/>
        <w:right w:val="none" w:sz="0" w:space="0" w:color="auto"/>
      </w:divBdr>
    </w:div>
    <w:div w:id="529295471">
      <w:bodyDiv w:val="1"/>
      <w:marLeft w:val="0"/>
      <w:marRight w:val="0"/>
      <w:marTop w:val="0"/>
      <w:marBottom w:val="0"/>
      <w:divBdr>
        <w:top w:val="none" w:sz="0" w:space="0" w:color="auto"/>
        <w:left w:val="none" w:sz="0" w:space="0" w:color="auto"/>
        <w:bottom w:val="none" w:sz="0" w:space="0" w:color="auto"/>
        <w:right w:val="none" w:sz="0" w:space="0" w:color="auto"/>
      </w:divBdr>
    </w:div>
    <w:div w:id="529727822">
      <w:bodyDiv w:val="1"/>
      <w:marLeft w:val="0"/>
      <w:marRight w:val="0"/>
      <w:marTop w:val="0"/>
      <w:marBottom w:val="0"/>
      <w:divBdr>
        <w:top w:val="none" w:sz="0" w:space="0" w:color="auto"/>
        <w:left w:val="none" w:sz="0" w:space="0" w:color="auto"/>
        <w:bottom w:val="none" w:sz="0" w:space="0" w:color="auto"/>
        <w:right w:val="none" w:sz="0" w:space="0" w:color="auto"/>
      </w:divBdr>
    </w:div>
    <w:div w:id="530069225">
      <w:bodyDiv w:val="1"/>
      <w:marLeft w:val="0"/>
      <w:marRight w:val="0"/>
      <w:marTop w:val="0"/>
      <w:marBottom w:val="0"/>
      <w:divBdr>
        <w:top w:val="none" w:sz="0" w:space="0" w:color="auto"/>
        <w:left w:val="none" w:sz="0" w:space="0" w:color="auto"/>
        <w:bottom w:val="none" w:sz="0" w:space="0" w:color="auto"/>
        <w:right w:val="none" w:sz="0" w:space="0" w:color="auto"/>
      </w:divBdr>
    </w:div>
    <w:div w:id="530652147">
      <w:bodyDiv w:val="1"/>
      <w:marLeft w:val="0"/>
      <w:marRight w:val="0"/>
      <w:marTop w:val="0"/>
      <w:marBottom w:val="0"/>
      <w:divBdr>
        <w:top w:val="none" w:sz="0" w:space="0" w:color="auto"/>
        <w:left w:val="none" w:sz="0" w:space="0" w:color="auto"/>
        <w:bottom w:val="none" w:sz="0" w:space="0" w:color="auto"/>
        <w:right w:val="none" w:sz="0" w:space="0" w:color="auto"/>
      </w:divBdr>
    </w:div>
    <w:div w:id="531890991">
      <w:bodyDiv w:val="1"/>
      <w:marLeft w:val="0"/>
      <w:marRight w:val="0"/>
      <w:marTop w:val="0"/>
      <w:marBottom w:val="0"/>
      <w:divBdr>
        <w:top w:val="none" w:sz="0" w:space="0" w:color="auto"/>
        <w:left w:val="none" w:sz="0" w:space="0" w:color="auto"/>
        <w:bottom w:val="none" w:sz="0" w:space="0" w:color="auto"/>
        <w:right w:val="none" w:sz="0" w:space="0" w:color="auto"/>
      </w:divBdr>
    </w:div>
    <w:div w:id="534199905">
      <w:bodyDiv w:val="1"/>
      <w:marLeft w:val="0"/>
      <w:marRight w:val="0"/>
      <w:marTop w:val="0"/>
      <w:marBottom w:val="0"/>
      <w:divBdr>
        <w:top w:val="none" w:sz="0" w:space="0" w:color="auto"/>
        <w:left w:val="none" w:sz="0" w:space="0" w:color="auto"/>
        <w:bottom w:val="none" w:sz="0" w:space="0" w:color="auto"/>
        <w:right w:val="none" w:sz="0" w:space="0" w:color="auto"/>
      </w:divBdr>
    </w:div>
    <w:div w:id="535852641">
      <w:bodyDiv w:val="1"/>
      <w:marLeft w:val="0"/>
      <w:marRight w:val="0"/>
      <w:marTop w:val="0"/>
      <w:marBottom w:val="0"/>
      <w:divBdr>
        <w:top w:val="none" w:sz="0" w:space="0" w:color="auto"/>
        <w:left w:val="none" w:sz="0" w:space="0" w:color="auto"/>
        <w:bottom w:val="none" w:sz="0" w:space="0" w:color="auto"/>
        <w:right w:val="none" w:sz="0" w:space="0" w:color="auto"/>
      </w:divBdr>
    </w:div>
    <w:div w:id="537665264">
      <w:bodyDiv w:val="1"/>
      <w:marLeft w:val="0"/>
      <w:marRight w:val="0"/>
      <w:marTop w:val="0"/>
      <w:marBottom w:val="0"/>
      <w:divBdr>
        <w:top w:val="none" w:sz="0" w:space="0" w:color="auto"/>
        <w:left w:val="none" w:sz="0" w:space="0" w:color="auto"/>
        <w:bottom w:val="none" w:sz="0" w:space="0" w:color="auto"/>
        <w:right w:val="none" w:sz="0" w:space="0" w:color="auto"/>
      </w:divBdr>
    </w:div>
    <w:div w:id="538127465">
      <w:bodyDiv w:val="1"/>
      <w:marLeft w:val="0"/>
      <w:marRight w:val="0"/>
      <w:marTop w:val="0"/>
      <w:marBottom w:val="0"/>
      <w:divBdr>
        <w:top w:val="none" w:sz="0" w:space="0" w:color="auto"/>
        <w:left w:val="none" w:sz="0" w:space="0" w:color="auto"/>
        <w:bottom w:val="none" w:sz="0" w:space="0" w:color="auto"/>
        <w:right w:val="none" w:sz="0" w:space="0" w:color="auto"/>
      </w:divBdr>
    </w:div>
    <w:div w:id="542909090">
      <w:bodyDiv w:val="1"/>
      <w:marLeft w:val="0"/>
      <w:marRight w:val="0"/>
      <w:marTop w:val="0"/>
      <w:marBottom w:val="0"/>
      <w:divBdr>
        <w:top w:val="none" w:sz="0" w:space="0" w:color="auto"/>
        <w:left w:val="none" w:sz="0" w:space="0" w:color="auto"/>
        <w:bottom w:val="none" w:sz="0" w:space="0" w:color="auto"/>
        <w:right w:val="none" w:sz="0" w:space="0" w:color="auto"/>
      </w:divBdr>
    </w:div>
    <w:div w:id="543714366">
      <w:bodyDiv w:val="1"/>
      <w:marLeft w:val="0"/>
      <w:marRight w:val="0"/>
      <w:marTop w:val="0"/>
      <w:marBottom w:val="0"/>
      <w:divBdr>
        <w:top w:val="none" w:sz="0" w:space="0" w:color="auto"/>
        <w:left w:val="none" w:sz="0" w:space="0" w:color="auto"/>
        <w:bottom w:val="none" w:sz="0" w:space="0" w:color="auto"/>
        <w:right w:val="none" w:sz="0" w:space="0" w:color="auto"/>
      </w:divBdr>
    </w:div>
    <w:div w:id="544875196">
      <w:bodyDiv w:val="1"/>
      <w:marLeft w:val="0"/>
      <w:marRight w:val="0"/>
      <w:marTop w:val="0"/>
      <w:marBottom w:val="0"/>
      <w:divBdr>
        <w:top w:val="none" w:sz="0" w:space="0" w:color="auto"/>
        <w:left w:val="none" w:sz="0" w:space="0" w:color="auto"/>
        <w:bottom w:val="none" w:sz="0" w:space="0" w:color="auto"/>
        <w:right w:val="none" w:sz="0" w:space="0" w:color="auto"/>
      </w:divBdr>
    </w:div>
    <w:div w:id="546453465">
      <w:bodyDiv w:val="1"/>
      <w:marLeft w:val="0"/>
      <w:marRight w:val="0"/>
      <w:marTop w:val="0"/>
      <w:marBottom w:val="0"/>
      <w:divBdr>
        <w:top w:val="none" w:sz="0" w:space="0" w:color="auto"/>
        <w:left w:val="none" w:sz="0" w:space="0" w:color="auto"/>
        <w:bottom w:val="none" w:sz="0" w:space="0" w:color="auto"/>
        <w:right w:val="none" w:sz="0" w:space="0" w:color="auto"/>
      </w:divBdr>
    </w:div>
    <w:div w:id="549998201">
      <w:bodyDiv w:val="1"/>
      <w:marLeft w:val="0"/>
      <w:marRight w:val="0"/>
      <w:marTop w:val="0"/>
      <w:marBottom w:val="0"/>
      <w:divBdr>
        <w:top w:val="none" w:sz="0" w:space="0" w:color="auto"/>
        <w:left w:val="none" w:sz="0" w:space="0" w:color="auto"/>
        <w:bottom w:val="none" w:sz="0" w:space="0" w:color="auto"/>
        <w:right w:val="none" w:sz="0" w:space="0" w:color="auto"/>
      </w:divBdr>
    </w:div>
    <w:div w:id="553396547">
      <w:bodyDiv w:val="1"/>
      <w:marLeft w:val="0"/>
      <w:marRight w:val="0"/>
      <w:marTop w:val="0"/>
      <w:marBottom w:val="0"/>
      <w:divBdr>
        <w:top w:val="none" w:sz="0" w:space="0" w:color="auto"/>
        <w:left w:val="none" w:sz="0" w:space="0" w:color="auto"/>
        <w:bottom w:val="none" w:sz="0" w:space="0" w:color="auto"/>
        <w:right w:val="none" w:sz="0" w:space="0" w:color="auto"/>
      </w:divBdr>
    </w:div>
    <w:div w:id="553590260">
      <w:bodyDiv w:val="1"/>
      <w:marLeft w:val="0"/>
      <w:marRight w:val="0"/>
      <w:marTop w:val="0"/>
      <w:marBottom w:val="0"/>
      <w:divBdr>
        <w:top w:val="none" w:sz="0" w:space="0" w:color="auto"/>
        <w:left w:val="none" w:sz="0" w:space="0" w:color="auto"/>
        <w:bottom w:val="none" w:sz="0" w:space="0" w:color="auto"/>
        <w:right w:val="none" w:sz="0" w:space="0" w:color="auto"/>
      </w:divBdr>
    </w:div>
    <w:div w:id="553807827">
      <w:bodyDiv w:val="1"/>
      <w:marLeft w:val="0"/>
      <w:marRight w:val="0"/>
      <w:marTop w:val="0"/>
      <w:marBottom w:val="0"/>
      <w:divBdr>
        <w:top w:val="none" w:sz="0" w:space="0" w:color="auto"/>
        <w:left w:val="none" w:sz="0" w:space="0" w:color="auto"/>
        <w:bottom w:val="none" w:sz="0" w:space="0" w:color="auto"/>
        <w:right w:val="none" w:sz="0" w:space="0" w:color="auto"/>
      </w:divBdr>
    </w:div>
    <w:div w:id="556938235">
      <w:bodyDiv w:val="1"/>
      <w:marLeft w:val="0"/>
      <w:marRight w:val="0"/>
      <w:marTop w:val="0"/>
      <w:marBottom w:val="0"/>
      <w:divBdr>
        <w:top w:val="none" w:sz="0" w:space="0" w:color="auto"/>
        <w:left w:val="none" w:sz="0" w:space="0" w:color="auto"/>
        <w:bottom w:val="none" w:sz="0" w:space="0" w:color="auto"/>
        <w:right w:val="none" w:sz="0" w:space="0" w:color="auto"/>
      </w:divBdr>
    </w:div>
    <w:div w:id="556940518">
      <w:bodyDiv w:val="1"/>
      <w:marLeft w:val="0"/>
      <w:marRight w:val="0"/>
      <w:marTop w:val="0"/>
      <w:marBottom w:val="0"/>
      <w:divBdr>
        <w:top w:val="none" w:sz="0" w:space="0" w:color="auto"/>
        <w:left w:val="none" w:sz="0" w:space="0" w:color="auto"/>
        <w:bottom w:val="none" w:sz="0" w:space="0" w:color="auto"/>
        <w:right w:val="none" w:sz="0" w:space="0" w:color="auto"/>
      </w:divBdr>
    </w:div>
    <w:div w:id="557085533">
      <w:bodyDiv w:val="1"/>
      <w:marLeft w:val="0"/>
      <w:marRight w:val="0"/>
      <w:marTop w:val="0"/>
      <w:marBottom w:val="0"/>
      <w:divBdr>
        <w:top w:val="none" w:sz="0" w:space="0" w:color="auto"/>
        <w:left w:val="none" w:sz="0" w:space="0" w:color="auto"/>
        <w:bottom w:val="none" w:sz="0" w:space="0" w:color="auto"/>
        <w:right w:val="none" w:sz="0" w:space="0" w:color="auto"/>
      </w:divBdr>
    </w:div>
    <w:div w:id="559244357">
      <w:bodyDiv w:val="1"/>
      <w:marLeft w:val="0"/>
      <w:marRight w:val="0"/>
      <w:marTop w:val="0"/>
      <w:marBottom w:val="0"/>
      <w:divBdr>
        <w:top w:val="none" w:sz="0" w:space="0" w:color="auto"/>
        <w:left w:val="none" w:sz="0" w:space="0" w:color="auto"/>
        <w:bottom w:val="none" w:sz="0" w:space="0" w:color="auto"/>
        <w:right w:val="none" w:sz="0" w:space="0" w:color="auto"/>
      </w:divBdr>
    </w:div>
    <w:div w:id="560796032">
      <w:bodyDiv w:val="1"/>
      <w:marLeft w:val="0"/>
      <w:marRight w:val="0"/>
      <w:marTop w:val="0"/>
      <w:marBottom w:val="0"/>
      <w:divBdr>
        <w:top w:val="none" w:sz="0" w:space="0" w:color="auto"/>
        <w:left w:val="none" w:sz="0" w:space="0" w:color="auto"/>
        <w:bottom w:val="none" w:sz="0" w:space="0" w:color="auto"/>
        <w:right w:val="none" w:sz="0" w:space="0" w:color="auto"/>
      </w:divBdr>
    </w:div>
    <w:div w:id="562566741">
      <w:bodyDiv w:val="1"/>
      <w:marLeft w:val="0"/>
      <w:marRight w:val="0"/>
      <w:marTop w:val="0"/>
      <w:marBottom w:val="0"/>
      <w:divBdr>
        <w:top w:val="none" w:sz="0" w:space="0" w:color="auto"/>
        <w:left w:val="none" w:sz="0" w:space="0" w:color="auto"/>
        <w:bottom w:val="none" w:sz="0" w:space="0" w:color="auto"/>
        <w:right w:val="none" w:sz="0" w:space="0" w:color="auto"/>
      </w:divBdr>
    </w:div>
    <w:div w:id="562760494">
      <w:bodyDiv w:val="1"/>
      <w:marLeft w:val="0"/>
      <w:marRight w:val="0"/>
      <w:marTop w:val="0"/>
      <w:marBottom w:val="0"/>
      <w:divBdr>
        <w:top w:val="none" w:sz="0" w:space="0" w:color="auto"/>
        <w:left w:val="none" w:sz="0" w:space="0" w:color="auto"/>
        <w:bottom w:val="none" w:sz="0" w:space="0" w:color="auto"/>
        <w:right w:val="none" w:sz="0" w:space="0" w:color="auto"/>
      </w:divBdr>
    </w:div>
    <w:div w:id="564491896">
      <w:bodyDiv w:val="1"/>
      <w:marLeft w:val="0"/>
      <w:marRight w:val="0"/>
      <w:marTop w:val="0"/>
      <w:marBottom w:val="0"/>
      <w:divBdr>
        <w:top w:val="none" w:sz="0" w:space="0" w:color="auto"/>
        <w:left w:val="none" w:sz="0" w:space="0" w:color="auto"/>
        <w:bottom w:val="none" w:sz="0" w:space="0" w:color="auto"/>
        <w:right w:val="none" w:sz="0" w:space="0" w:color="auto"/>
      </w:divBdr>
    </w:div>
    <w:div w:id="565532339">
      <w:bodyDiv w:val="1"/>
      <w:marLeft w:val="0"/>
      <w:marRight w:val="0"/>
      <w:marTop w:val="0"/>
      <w:marBottom w:val="0"/>
      <w:divBdr>
        <w:top w:val="none" w:sz="0" w:space="0" w:color="auto"/>
        <w:left w:val="none" w:sz="0" w:space="0" w:color="auto"/>
        <w:bottom w:val="none" w:sz="0" w:space="0" w:color="auto"/>
        <w:right w:val="none" w:sz="0" w:space="0" w:color="auto"/>
      </w:divBdr>
    </w:div>
    <w:div w:id="565602738">
      <w:bodyDiv w:val="1"/>
      <w:marLeft w:val="0"/>
      <w:marRight w:val="0"/>
      <w:marTop w:val="0"/>
      <w:marBottom w:val="0"/>
      <w:divBdr>
        <w:top w:val="none" w:sz="0" w:space="0" w:color="auto"/>
        <w:left w:val="none" w:sz="0" w:space="0" w:color="auto"/>
        <w:bottom w:val="none" w:sz="0" w:space="0" w:color="auto"/>
        <w:right w:val="none" w:sz="0" w:space="0" w:color="auto"/>
      </w:divBdr>
    </w:div>
    <w:div w:id="566190254">
      <w:bodyDiv w:val="1"/>
      <w:marLeft w:val="0"/>
      <w:marRight w:val="0"/>
      <w:marTop w:val="0"/>
      <w:marBottom w:val="0"/>
      <w:divBdr>
        <w:top w:val="none" w:sz="0" w:space="0" w:color="auto"/>
        <w:left w:val="none" w:sz="0" w:space="0" w:color="auto"/>
        <w:bottom w:val="none" w:sz="0" w:space="0" w:color="auto"/>
        <w:right w:val="none" w:sz="0" w:space="0" w:color="auto"/>
      </w:divBdr>
    </w:div>
    <w:div w:id="566917907">
      <w:bodyDiv w:val="1"/>
      <w:marLeft w:val="0"/>
      <w:marRight w:val="0"/>
      <w:marTop w:val="0"/>
      <w:marBottom w:val="0"/>
      <w:divBdr>
        <w:top w:val="none" w:sz="0" w:space="0" w:color="auto"/>
        <w:left w:val="none" w:sz="0" w:space="0" w:color="auto"/>
        <w:bottom w:val="none" w:sz="0" w:space="0" w:color="auto"/>
        <w:right w:val="none" w:sz="0" w:space="0" w:color="auto"/>
      </w:divBdr>
    </w:div>
    <w:div w:id="567767587">
      <w:bodyDiv w:val="1"/>
      <w:marLeft w:val="0"/>
      <w:marRight w:val="0"/>
      <w:marTop w:val="0"/>
      <w:marBottom w:val="0"/>
      <w:divBdr>
        <w:top w:val="none" w:sz="0" w:space="0" w:color="auto"/>
        <w:left w:val="none" w:sz="0" w:space="0" w:color="auto"/>
        <w:bottom w:val="none" w:sz="0" w:space="0" w:color="auto"/>
        <w:right w:val="none" w:sz="0" w:space="0" w:color="auto"/>
      </w:divBdr>
    </w:div>
    <w:div w:id="567964574">
      <w:bodyDiv w:val="1"/>
      <w:marLeft w:val="0"/>
      <w:marRight w:val="0"/>
      <w:marTop w:val="0"/>
      <w:marBottom w:val="0"/>
      <w:divBdr>
        <w:top w:val="none" w:sz="0" w:space="0" w:color="auto"/>
        <w:left w:val="none" w:sz="0" w:space="0" w:color="auto"/>
        <w:bottom w:val="none" w:sz="0" w:space="0" w:color="auto"/>
        <w:right w:val="none" w:sz="0" w:space="0" w:color="auto"/>
      </w:divBdr>
    </w:div>
    <w:div w:id="568273326">
      <w:bodyDiv w:val="1"/>
      <w:marLeft w:val="0"/>
      <w:marRight w:val="0"/>
      <w:marTop w:val="0"/>
      <w:marBottom w:val="0"/>
      <w:divBdr>
        <w:top w:val="none" w:sz="0" w:space="0" w:color="auto"/>
        <w:left w:val="none" w:sz="0" w:space="0" w:color="auto"/>
        <w:bottom w:val="none" w:sz="0" w:space="0" w:color="auto"/>
        <w:right w:val="none" w:sz="0" w:space="0" w:color="auto"/>
      </w:divBdr>
    </w:div>
    <w:div w:id="570622313">
      <w:bodyDiv w:val="1"/>
      <w:marLeft w:val="0"/>
      <w:marRight w:val="0"/>
      <w:marTop w:val="0"/>
      <w:marBottom w:val="0"/>
      <w:divBdr>
        <w:top w:val="none" w:sz="0" w:space="0" w:color="auto"/>
        <w:left w:val="none" w:sz="0" w:space="0" w:color="auto"/>
        <w:bottom w:val="none" w:sz="0" w:space="0" w:color="auto"/>
        <w:right w:val="none" w:sz="0" w:space="0" w:color="auto"/>
      </w:divBdr>
    </w:div>
    <w:div w:id="570887966">
      <w:bodyDiv w:val="1"/>
      <w:marLeft w:val="0"/>
      <w:marRight w:val="0"/>
      <w:marTop w:val="0"/>
      <w:marBottom w:val="0"/>
      <w:divBdr>
        <w:top w:val="none" w:sz="0" w:space="0" w:color="auto"/>
        <w:left w:val="none" w:sz="0" w:space="0" w:color="auto"/>
        <w:bottom w:val="none" w:sz="0" w:space="0" w:color="auto"/>
        <w:right w:val="none" w:sz="0" w:space="0" w:color="auto"/>
      </w:divBdr>
    </w:div>
    <w:div w:id="571307280">
      <w:bodyDiv w:val="1"/>
      <w:marLeft w:val="0"/>
      <w:marRight w:val="0"/>
      <w:marTop w:val="0"/>
      <w:marBottom w:val="0"/>
      <w:divBdr>
        <w:top w:val="none" w:sz="0" w:space="0" w:color="auto"/>
        <w:left w:val="none" w:sz="0" w:space="0" w:color="auto"/>
        <w:bottom w:val="none" w:sz="0" w:space="0" w:color="auto"/>
        <w:right w:val="none" w:sz="0" w:space="0" w:color="auto"/>
      </w:divBdr>
    </w:div>
    <w:div w:id="573390991">
      <w:bodyDiv w:val="1"/>
      <w:marLeft w:val="0"/>
      <w:marRight w:val="0"/>
      <w:marTop w:val="0"/>
      <w:marBottom w:val="0"/>
      <w:divBdr>
        <w:top w:val="none" w:sz="0" w:space="0" w:color="auto"/>
        <w:left w:val="none" w:sz="0" w:space="0" w:color="auto"/>
        <w:bottom w:val="none" w:sz="0" w:space="0" w:color="auto"/>
        <w:right w:val="none" w:sz="0" w:space="0" w:color="auto"/>
      </w:divBdr>
    </w:div>
    <w:div w:id="573511924">
      <w:bodyDiv w:val="1"/>
      <w:marLeft w:val="0"/>
      <w:marRight w:val="0"/>
      <w:marTop w:val="0"/>
      <w:marBottom w:val="0"/>
      <w:divBdr>
        <w:top w:val="none" w:sz="0" w:space="0" w:color="auto"/>
        <w:left w:val="none" w:sz="0" w:space="0" w:color="auto"/>
        <w:bottom w:val="none" w:sz="0" w:space="0" w:color="auto"/>
        <w:right w:val="none" w:sz="0" w:space="0" w:color="auto"/>
      </w:divBdr>
    </w:div>
    <w:div w:id="574971667">
      <w:bodyDiv w:val="1"/>
      <w:marLeft w:val="0"/>
      <w:marRight w:val="0"/>
      <w:marTop w:val="0"/>
      <w:marBottom w:val="0"/>
      <w:divBdr>
        <w:top w:val="none" w:sz="0" w:space="0" w:color="auto"/>
        <w:left w:val="none" w:sz="0" w:space="0" w:color="auto"/>
        <w:bottom w:val="none" w:sz="0" w:space="0" w:color="auto"/>
        <w:right w:val="none" w:sz="0" w:space="0" w:color="auto"/>
      </w:divBdr>
    </w:div>
    <w:div w:id="577591205">
      <w:bodyDiv w:val="1"/>
      <w:marLeft w:val="0"/>
      <w:marRight w:val="0"/>
      <w:marTop w:val="0"/>
      <w:marBottom w:val="0"/>
      <w:divBdr>
        <w:top w:val="none" w:sz="0" w:space="0" w:color="auto"/>
        <w:left w:val="none" w:sz="0" w:space="0" w:color="auto"/>
        <w:bottom w:val="none" w:sz="0" w:space="0" w:color="auto"/>
        <w:right w:val="none" w:sz="0" w:space="0" w:color="auto"/>
      </w:divBdr>
    </w:div>
    <w:div w:id="578096321">
      <w:bodyDiv w:val="1"/>
      <w:marLeft w:val="0"/>
      <w:marRight w:val="0"/>
      <w:marTop w:val="0"/>
      <w:marBottom w:val="0"/>
      <w:divBdr>
        <w:top w:val="none" w:sz="0" w:space="0" w:color="auto"/>
        <w:left w:val="none" w:sz="0" w:space="0" w:color="auto"/>
        <w:bottom w:val="none" w:sz="0" w:space="0" w:color="auto"/>
        <w:right w:val="none" w:sz="0" w:space="0" w:color="auto"/>
      </w:divBdr>
    </w:div>
    <w:div w:id="579094653">
      <w:bodyDiv w:val="1"/>
      <w:marLeft w:val="0"/>
      <w:marRight w:val="0"/>
      <w:marTop w:val="0"/>
      <w:marBottom w:val="0"/>
      <w:divBdr>
        <w:top w:val="none" w:sz="0" w:space="0" w:color="auto"/>
        <w:left w:val="none" w:sz="0" w:space="0" w:color="auto"/>
        <w:bottom w:val="none" w:sz="0" w:space="0" w:color="auto"/>
        <w:right w:val="none" w:sz="0" w:space="0" w:color="auto"/>
      </w:divBdr>
    </w:div>
    <w:div w:id="581375681">
      <w:bodyDiv w:val="1"/>
      <w:marLeft w:val="0"/>
      <w:marRight w:val="0"/>
      <w:marTop w:val="0"/>
      <w:marBottom w:val="0"/>
      <w:divBdr>
        <w:top w:val="none" w:sz="0" w:space="0" w:color="auto"/>
        <w:left w:val="none" w:sz="0" w:space="0" w:color="auto"/>
        <w:bottom w:val="none" w:sz="0" w:space="0" w:color="auto"/>
        <w:right w:val="none" w:sz="0" w:space="0" w:color="auto"/>
      </w:divBdr>
    </w:div>
    <w:div w:id="582647172">
      <w:bodyDiv w:val="1"/>
      <w:marLeft w:val="0"/>
      <w:marRight w:val="0"/>
      <w:marTop w:val="0"/>
      <w:marBottom w:val="0"/>
      <w:divBdr>
        <w:top w:val="none" w:sz="0" w:space="0" w:color="auto"/>
        <w:left w:val="none" w:sz="0" w:space="0" w:color="auto"/>
        <w:bottom w:val="none" w:sz="0" w:space="0" w:color="auto"/>
        <w:right w:val="none" w:sz="0" w:space="0" w:color="auto"/>
      </w:divBdr>
    </w:div>
    <w:div w:id="583607172">
      <w:bodyDiv w:val="1"/>
      <w:marLeft w:val="0"/>
      <w:marRight w:val="0"/>
      <w:marTop w:val="0"/>
      <w:marBottom w:val="0"/>
      <w:divBdr>
        <w:top w:val="none" w:sz="0" w:space="0" w:color="auto"/>
        <w:left w:val="none" w:sz="0" w:space="0" w:color="auto"/>
        <w:bottom w:val="none" w:sz="0" w:space="0" w:color="auto"/>
        <w:right w:val="none" w:sz="0" w:space="0" w:color="auto"/>
      </w:divBdr>
    </w:div>
    <w:div w:id="586571604">
      <w:bodyDiv w:val="1"/>
      <w:marLeft w:val="0"/>
      <w:marRight w:val="0"/>
      <w:marTop w:val="0"/>
      <w:marBottom w:val="0"/>
      <w:divBdr>
        <w:top w:val="none" w:sz="0" w:space="0" w:color="auto"/>
        <w:left w:val="none" w:sz="0" w:space="0" w:color="auto"/>
        <w:bottom w:val="none" w:sz="0" w:space="0" w:color="auto"/>
        <w:right w:val="none" w:sz="0" w:space="0" w:color="auto"/>
      </w:divBdr>
    </w:div>
    <w:div w:id="589194956">
      <w:bodyDiv w:val="1"/>
      <w:marLeft w:val="0"/>
      <w:marRight w:val="0"/>
      <w:marTop w:val="0"/>
      <w:marBottom w:val="0"/>
      <w:divBdr>
        <w:top w:val="none" w:sz="0" w:space="0" w:color="auto"/>
        <w:left w:val="none" w:sz="0" w:space="0" w:color="auto"/>
        <w:bottom w:val="none" w:sz="0" w:space="0" w:color="auto"/>
        <w:right w:val="none" w:sz="0" w:space="0" w:color="auto"/>
      </w:divBdr>
    </w:div>
    <w:div w:id="589587739">
      <w:bodyDiv w:val="1"/>
      <w:marLeft w:val="0"/>
      <w:marRight w:val="0"/>
      <w:marTop w:val="0"/>
      <w:marBottom w:val="0"/>
      <w:divBdr>
        <w:top w:val="none" w:sz="0" w:space="0" w:color="auto"/>
        <w:left w:val="none" w:sz="0" w:space="0" w:color="auto"/>
        <w:bottom w:val="none" w:sz="0" w:space="0" w:color="auto"/>
        <w:right w:val="none" w:sz="0" w:space="0" w:color="auto"/>
      </w:divBdr>
    </w:div>
    <w:div w:id="590091592">
      <w:bodyDiv w:val="1"/>
      <w:marLeft w:val="0"/>
      <w:marRight w:val="0"/>
      <w:marTop w:val="0"/>
      <w:marBottom w:val="0"/>
      <w:divBdr>
        <w:top w:val="none" w:sz="0" w:space="0" w:color="auto"/>
        <w:left w:val="none" w:sz="0" w:space="0" w:color="auto"/>
        <w:bottom w:val="none" w:sz="0" w:space="0" w:color="auto"/>
        <w:right w:val="none" w:sz="0" w:space="0" w:color="auto"/>
      </w:divBdr>
    </w:div>
    <w:div w:id="591477523">
      <w:bodyDiv w:val="1"/>
      <w:marLeft w:val="0"/>
      <w:marRight w:val="0"/>
      <w:marTop w:val="0"/>
      <w:marBottom w:val="0"/>
      <w:divBdr>
        <w:top w:val="none" w:sz="0" w:space="0" w:color="auto"/>
        <w:left w:val="none" w:sz="0" w:space="0" w:color="auto"/>
        <w:bottom w:val="none" w:sz="0" w:space="0" w:color="auto"/>
        <w:right w:val="none" w:sz="0" w:space="0" w:color="auto"/>
      </w:divBdr>
    </w:div>
    <w:div w:id="591551913">
      <w:bodyDiv w:val="1"/>
      <w:marLeft w:val="0"/>
      <w:marRight w:val="0"/>
      <w:marTop w:val="0"/>
      <w:marBottom w:val="0"/>
      <w:divBdr>
        <w:top w:val="none" w:sz="0" w:space="0" w:color="auto"/>
        <w:left w:val="none" w:sz="0" w:space="0" w:color="auto"/>
        <w:bottom w:val="none" w:sz="0" w:space="0" w:color="auto"/>
        <w:right w:val="none" w:sz="0" w:space="0" w:color="auto"/>
      </w:divBdr>
    </w:div>
    <w:div w:id="592933258">
      <w:bodyDiv w:val="1"/>
      <w:marLeft w:val="0"/>
      <w:marRight w:val="0"/>
      <w:marTop w:val="0"/>
      <w:marBottom w:val="0"/>
      <w:divBdr>
        <w:top w:val="none" w:sz="0" w:space="0" w:color="auto"/>
        <w:left w:val="none" w:sz="0" w:space="0" w:color="auto"/>
        <w:bottom w:val="none" w:sz="0" w:space="0" w:color="auto"/>
        <w:right w:val="none" w:sz="0" w:space="0" w:color="auto"/>
      </w:divBdr>
    </w:div>
    <w:div w:id="596719287">
      <w:bodyDiv w:val="1"/>
      <w:marLeft w:val="0"/>
      <w:marRight w:val="0"/>
      <w:marTop w:val="0"/>
      <w:marBottom w:val="0"/>
      <w:divBdr>
        <w:top w:val="none" w:sz="0" w:space="0" w:color="auto"/>
        <w:left w:val="none" w:sz="0" w:space="0" w:color="auto"/>
        <w:bottom w:val="none" w:sz="0" w:space="0" w:color="auto"/>
        <w:right w:val="none" w:sz="0" w:space="0" w:color="auto"/>
      </w:divBdr>
    </w:div>
    <w:div w:id="596794424">
      <w:bodyDiv w:val="1"/>
      <w:marLeft w:val="0"/>
      <w:marRight w:val="0"/>
      <w:marTop w:val="0"/>
      <w:marBottom w:val="0"/>
      <w:divBdr>
        <w:top w:val="none" w:sz="0" w:space="0" w:color="auto"/>
        <w:left w:val="none" w:sz="0" w:space="0" w:color="auto"/>
        <w:bottom w:val="none" w:sz="0" w:space="0" w:color="auto"/>
        <w:right w:val="none" w:sz="0" w:space="0" w:color="auto"/>
      </w:divBdr>
    </w:div>
    <w:div w:id="597908049">
      <w:bodyDiv w:val="1"/>
      <w:marLeft w:val="0"/>
      <w:marRight w:val="0"/>
      <w:marTop w:val="0"/>
      <w:marBottom w:val="0"/>
      <w:divBdr>
        <w:top w:val="none" w:sz="0" w:space="0" w:color="auto"/>
        <w:left w:val="none" w:sz="0" w:space="0" w:color="auto"/>
        <w:bottom w:val="none" w:sz="0" w:space="0" w:color="auto"/>
        <w:right w:val="none" w:sz="0" w:space="0" w:color="auto"/>
      </w:divBdr>
    </w:div>
    <w:div w:id="600725238">
      <w:bodyDiv w:val="1"/>
      <w:marLeft w:val="0"/>
      <w:marRight w:val="0"/>
      <w:marTop w:val="0"/>
      <w:marBottom w:val="0"/>
      <w:divBdr>
        <w:top w:val="none" w:sz="0" w:space="0" w:color="auto"/>
        <w:left w:val="none" w:sz="0" w:space="0" w:color="auto"/>
        <w:bottom w:val="none" w:sz="0" w:space="0" w:color="auto"/>
        <w:right w:val="none" w:sz="0" w:space="0" w:color="auto"/>
      </w:divBdr>
    </w:div>
    <w:div w:id="601494881">
      <w:bodyDiv w:val="1"/>
      <w:marLeft w:val="0"/>
      <w:marRight w:val="0"/>
      <w:marTop w:val="0"/>
      <w:marBottom w:val="0"/>
      <w:divBdr>
        <w:top w:val="none" w:sz="0" w:space="0" w:color="auto"/>
        <w:left w:val="none" w:sz="0" w:space="0" w:color="auto"/>
        <w:bottom w:val="none" w:sz="0" w:space="0" w:color="auto"/>
        <w:right w:val="none" w:sz="0" w:space="0" w:color="auto"/>
      </w:divBdr>
    </w:div>
    <w:div w:id="601760982">
      <w:bodyDiv w:val="1"/>
      <w:marLeft w:val="0"/>
      <w:marRight w:val="0"/>
      <w:marTop w:val="0"/>
      <w:marBottom w:val="0"/>
      <w:divBdr>
        <w:top w:val="none" w:sz="0" w:space="0" w:color="auto"/>
        <w:left w:val="none" w:sz="0" w:space="0" w:color="auto"/>
        <w:bottom w:val="none" w:sz="0" w:space="0" w:color="auto"/>
        <w:right w:val="none" w:sz="0" w:space="0" w:color="auto"/>
      </w:divBdr>
    </w:div>
    <w:div w:id="602342069">
      <w:bodyDiv w:val="1"/>
      <w:marLeft w:val="0"/>
      <w:marRight w:val="0"/>
      <w:marTop w:val="0"/>
      <w:marBottom w:val="0"/>
      <w:divBdr>
        <w:top w:val="none" w:sz="0" w:space="0" w:color="auto"/>
        <w:left w:val="none" w:sz="0" w:space="0" w:color="auto"/>
        <w:bottom w:val="none" w:sz="0" w:space="0" w:color="auto"/>
        <w:right w:val="none" w:sz="0" w:space="0" w:color="auto"/>
      </w:divBdr>
    </w:div>
    <w:div w:id="602878001">
      <w:bodyDiv w:val="1"/>
      <w:marLeft w:val="0"/>
      <w:marRight w:val="0"/>
      <w:marTop w:val="0"/>
      <w:marBottom w:val="0"/>
      <w:divBdr>
        <w:top w:val="none" w:sz="0" w:space="0" w:color="auto"/>
        <w:left w:val="none" w:sz="0" w:space="0" w:color="auto"/>
        <w:bottom w:val="none" w:sz="0" w:space="0" w:color="auto"/>
        <w:right w:val="none" w:sz="0" w:space="0" w:color="auto"/>
      </w:divBdr>
    </w:div>
    <w:div w:id="604850364">
      <w:bodyDiv w:val="1"/>
      <w:marLeft w:val="0"/>
      <w:marRight w:val="0"/>
      <w:marTop w:val="0"/>
      <w:marBottom w:val="0"/>
      <w:divBdr>
        <w:top w:val="none" w:sz="0" w:space="0" w:color="auto"/>
        <w:left w:val="none" w:sz="0" w:space="0" w:color="auto"/>
        <w:bottom w:val="none" w:sz="0" w:space="0" w:color="auto"/>
        <w:right w:val="none" w:sz="0" w:space="0" w:color="auto"/>
      </w:divBdr>
    </w:div>
    <w:div w:id="607195848">
      <w:bodyDiv w:val="1"/>
      <w:marLeft w:val="0"/>
      <w:marRight w:val="0"/>
      <w:marTop w:val="0"/>
      <w:marBottom w:val="0"/>
      <w:divBdr>
        <w:top w:val="none" w:sz="0" w:space="0" w:color="auto"/>
        <w:left w:val="none" w:sz="0" w:space="0" w:color="auto"/>
        <w:bottom w:val="none" w:sz="0" w:space="0" w:color="auto"/>
        <w:right w:val="none" w:sz="0" w:space="0" w:color="auto"/>
      </w:divBdr>
    </w:div>
    <w:div w:id="607196391">
      <w:bodyDiv w:val="1"/>
      <w:marLeft w:val="0"/>
      <w:marRight w:val="0"/>
      <w:marTop w:val="0"/>
      <w:marBottom w:val="0"/>
      <w:divBdr>
        <w:top w:val="none" w:sz="0" w:space="0" w:color="auto"/>
        <w:left w:val="none" w:sz="0" w:space="0" w:color="auto"/>
        <w:bottom w:val="none" w:sz="0" w:space="0" w:color="auto"/>
        <w:right w:val="none" w:sz="0" w:space="0" w:color="auto"/>
      </w:divBdr>
    </w:div>
    <w:div w:id="607931682">
      <w:bodyDiv w:val="1"/>
      <w:marLeft w:val="0"/>
      <w:marRight w:val="0"/>
      <w:marTop w:val="0"/>
      <w:marBottom w:val="0"/>
      <w:divBdr>
        <w:top w:val="none" w:sz="0" w:space="0" w:color="auto"/>
        <w:left w:val="none" w:sz="0" w:space="0" w:color="auto"/>
        <w:bottom w:val="none" w:sz="0" w:space="0" w:color="auto"/>
        <w:right w:val="none" w:sz="0" w:space="0" w:color="auto"/>
      </w:divBdr>
    </w:div>
    <w:div w:id="609581654">
      <w:bodyDiv w:val="1"/>
      <w:marLeft w:val="0"/>
      <w:marRight w:val="0"/>
      <w:marTop w:val="0"/>
      <w:marBottom w:val="0"/>
      <w:divBdr>
        <w:top w:val="none" w:sz="0" w:space="0" w:color="auto"/>
        <w:left w:val="none" w:sz="0" w:space="0" w:color="auto"/>
        <w:bottom w:val="none" w:sz="0" w:space="0" w:color="auto"/>
        <w:right w:val="none" w:sz="0" w:space="0" w:color="auto"/>
      </w:divBdr>
    </w:div>
    <w:div w:id="610940721">
      <w:bodyDiv w:val="1"/>
      <w:marLeft w:val="0"/>
      <w:marRight w:val="0"/>
      <w:marTop w:val="0"/>
      <w:marBottom w:val="0"/>
      <w:divBdr>
        <w:top w:val="none" w:sz="0" w:space="0" w:color="auto"/>
        <w:left w:val="none" w:sz="0" w:space="0" w:color="auto"/>
        <w:bottom w:val="none" w:sz="0" w:space="0" w:color="auto"/>
        <w:right w:val="none" w:sz="0" w:space="0" w:color="auto"/>
      </w:divBdr>
    </w:div>
    <w:div w:id="611866378">
      <w:bodyDiv w:val="1"/>
      <w:marLeft w:val="0"/>
      <w:marRight w:val="0"/>
      <w:marTop w:val="0"/>
      <w:marBottom w:val="0"/>
      <w:divBdr>
        <w:top w:val="none" w:sz="0" w:space="0" w:color="auto"/>
        <w:left w:val="none" w:sz="0" w:space="0" w:color="auto"/>
        <w:bottom w:val="none" w:sz="0" w:space="0" w:color="auto"/>
        <w:right w:val="none" w:sz="0" w:space="0" w:color="auto"/>
      </w:divBdr>
    </w:div>
    <w:div w:id="613025975">
      <w:bodyDiv w:val="1"/>
      <w:marLeft w:val="0"/>
      <w:marRight w:val="0"/>
      <w:marTop w:val="0"/>
      <w:marBottom w:val="0"/>
      <w:divBdr>
        <w:top w:val="none" w:sz="0" w:space="0" w:color="auto"/>
        <w:left w:val="none" w:sz="0" w:space="0" w:color="auto"/>
        <w:bottom w:val="none" w:sz="0" w:space="0" w:color="auto"/>
        <w:right w:val="none" w:sz="0" w:space="0" w:color="auto"/>
      </w:divBdr>
    </w:div>
    <w:div w:id="613441768">
      <w:bodyDiv w:val="1"/>
      <w:marLeft w:val="0"/>
      <w:marRight w:val="0"/>
      <w:marTop w:val="0"/>
      <w:marBottom w:val="0"/>
      <w:divBdr>
        <w:top w:val="none" w:sz="0" w:space="0" w:color="auto"/>
        <w:left w:val="none" w:sz="0" w:space="0" w:color="auto"/>
        <w:bottom w:val="none" w:sz="0" w:space="0" w:color="auto"/>
        <w:right w:val="none" w:sz="0" w:space="0" w:color="auto"/>
      </w:divBdr>
    </w:div>
    <w:div w:id="613445408">
      <w:bodyDiv w:val="1"/>
      <w:marLeft w:val="0"/>
      <w:marRight w:val="0"/>
      <w:marTop w:val="0"/>
      <w:marBottom w:val="0"/>
      <w:divBdr>
        <w:top w:val="none" w:sz="0" w:space="0" w:color="auto"/>
        <w:left w:val="none" w:sz="0" w:space="0" w:color="auto"/>
        <w:bottom w:val="none" w:sz="0" w:space="0" w:color="auto"/>
        <w:right w:val="none" w:sz="0" w:space="0" w:color="auto"/>
      </w:divBdr>
    </w:div>
    <w:div w:id="615068101">
      <w:bodyDiv w:val="1"/>
      <w:marLeft w:val="0"/>
      <w:marRight w:val="0"/>
      <w:marTop w:val="0"/>
      <w:marBottom w:val="0"/>
      <w:divBdr>
        <w:top w:val="none" w:sz="0" w:space="0" w:color="auto"/>
        <w:left w:val="none" w:sz="0" w:space="0" w:color="auto"/>
        <w:bottom w:val="none" w:sz="0" w:space="0" w:color="auto"/>
        <w:right w:val="none" w:sz="0" w:space="0" w:color="auto"/>
      </w:divBdr>
    </w:div>
    <w:div w:id="616639907">
      <w:bodyDiv w:val="1"/>
      <w:marLeft w:val="0"/>
      <w:marRight w:val="0"/>
      <w:marTop w:val="0"/>
      <w:marBottom w:val="0"/>
      <w:divBdr>
        <w:top w:val="none" w:sz="0" w:space="0" w:color="auto"/>
        <w:left w:val="none" w:sz="0" w:space="0" w:color="auto"/>
        <w:bottom w:val="none" w:sz="0" w:space="0" w:color="auto"/>
        <w:right w:val="none" w:sz="0" w:space="0" w:color="auto"/>
      </w:divBdr>
    </w:div>
    <w:div w:id="617755576">
      <w:bodyDiv w:val="1"/>
      <w:marLeft w:val="0"/>
      <w:marRight w:val="0"/>
      <w:marTop w:val="0"/>
      <w:marBottom w:val="0"/>
      <w:divBdr>
        <w:top w:val="none" w:sz="0" w:space="0" w:color="auto"/>
        <w:left w:val="none" w:sz="0" w:space="0" w:color="auto"/>
        <w:bottom w:val="none" w:sz="0" w:space="0" w:color="auto"/>
        <w:right w:val="none" w:sz="0" w:space="0" w:color="auto"/>
      </w:divBdr>
    </w:div>
    <w:div w:id="617955439">
      <w:bodyDiv w:val="1"/>
      <w:marLeft w:val="0"/>
      <w:marRight w:val="0"/>
      <w:marTop w:val="0"/>
      <w:marBottom w:val="0"/>
      <w:divBdr>
        <w:top w:val="none" w:sz="0" w:space="0" w:color="auto"/>
        <w:left w:val="none" w:sz="0" w:space="0" w:color="auto"/>
        <w:bottom w:val="none" w:sz="0" w:space="0" w:color="auto"/>
        <w:right w:val="none" w:sz="0" w:space="0" w:color="auto"/>
      </w:divBdr>
    </w:div>
    <w:div w:id="619724764">
      <w:bodyDiv w:val="1"/>
      <w:marLeft w:val="0"/>
      <w:marRight w:val="0"/>
      <w:marTop w:val="0"/>
      <w:marBottom w:val="0"/>
      <w:divBdr>
        <w:top w:val="none" w:sz="0" w:space="0" w:color="auto"/>
        <w:left w:val="none" w:sz="0" w:space="0" w:color="auto"/>
        <w:bottom w:val="none" w:sz="0" w:space="0" w:color="auto"/>
        <w:right w:val="none" w:sz="0" w:space="0" w:color="auto"/>
      </w:divBdr>
    </w:div>
    <w:div w:id="619992996">
      <w:bodyDiv w:val="1"/>
      <w:marLeft w:val="0"/>
      <w:marRight w:val="0"/>
      <w:marTop w:val="0"/>
      <w:marBottom w:val="0"/>
      <w:divBdr>
        <w:top w:val="none" w:sz="0" w:space="0" w:color="auto"/>
        <w:left w:val="none" w:sz="0" w:space="0" w:color="auto"/>
        <w:bottom w:val="none" w:sz="0" w:space="0" w:color="auto"/>
        <w:right w:val="none" w:sz="0" w:space="0" w:color="auto"/>
      </w:divBdr>
    </w:div>
    <w:div w:id="623196906">
      <w:bodyDiv w:val="1"/>
      <w:marLeft w:val="0"/>
      <w:marRight w:val="0"/>
      <w:marTop w:val="0"/>
      <w:marBottom w:val="0"/>
      <w:divBdr>
        <w:top w:val="none" w:sz="0" w:space="0" w:color="auto"/>
        <w:left w:val="none" w:sz="0" w:space="0" w:color="auto"/>
        <w:bottom w:val="none" w:sz="0" w:space="0" w:color="auto"/>
        <w:right w:val="none" w:sz="0" w:space="0" w:color="auto"/>
      </w:divBdr>
    </w:div>
    <w:div w:id="623392663">
      <w:bodyDiv w:val="1"/>
      <w:marLeft w:val="0"/>
      <w:marRight w:val="0"/>
      <w:marTop w:val="0"/>
      <w:marBottom w:val="0"/>
      <w:divBdr>
        <w:top w:val="none" w:sz="0" w:space="0" w:color="auto"/>
        <w:left w:val="none" w:sz="0" w:space="0" w:color="auto"/>
        <w:bottom w:val="none" w:sz="0" w:space="0" w:color="auto"/>
        <w:right w:val="none" w:sz="0" w:space="0" w:color="auto"/>
      </w:divBdr>
    </w:div>
    <w:div w:id="623539812">
      <w:bodyDiv w:val="1"/>
      <w:marLeft w:val="0"/>
      <w:marRight w:val="0"/>
      <w:marTop w:val="0"/>
      <w:marBottom w:val="0"/>
      <w:divBdr>
        <w:top w:val="none" w:sz="0" w:space="0" w:color="auto"/>
        <w:left w:val="none" w:sz="0" w:space="0" w:color="auto"/>
        <w:bottom w:val="none" w:sz="0" w:space="0" w:color="auto"/>
        <w:right w:val="none" w:sz="0" w:space="0" w:color="auto"/>
      </w:divBdr>
    </w:div>
    <w:div w:id="623653748">
      <w:bodyDiv w:val="1"/>
      <w:marLeft w:val="0"/>
      <w:marRight w:val="0"/>
      <w:marTop w:val="0"/>
      <w:marBottom w:val="0"/>
      <w:divBdr>
        <w:top w:val="none" w:sz="0" w:space="0" w:color="auto"/>
        <w:left w:val="none" w:sz="0" w:space="0" w:color="auto"/>
        <w:bottom w:val="none" w:sz="0" w:space="0" w:color="auto"/>
        <w:right w:val="none" w:sz="0" w:space="0" w:color="auto"/>
      </w:divBdr>
    </w:div>
    <w:div w:id="624384767">
      <w:bodyDiv w:val="1"/>
      <w:marLeft w:val="0"/>
      <w:marRight w:val="0"/>
      <w:marTop w:val="0"/>
      <w:marBottom w:val="0"/>
      <w:divBdr>
        <w:top w:val="none" w:sz="0" w:space="0" w:color="auto"/>
        <w:left w:val="none" w:sz="0" w:space="0" w:color="auto"/>
        <w:bottom w:val="none" w:sz="0" w:space="0" w:color="auto"/>
        <w:right w:val="none" w:sz="0" w:space="0" w:color="auto"/>
      </w:divBdr>
    </w:div>
    <w:div w:id="626661872">
      <w:bodyDiv w:val="1"/>
      <w:marLeft w:val="0"/>
      <w:marRight w:val="0"/>
      <w:marTop w:val="0"/>
      <w:marBottom w:val="0"/>
      <w:divBdr>
        <w:top w:val="none" w:sz="0" w:space="0" w:color="auto"/>
        <w:left w:val="none" w:sz="0" w:space="0" w:color="auto"/>
        <w:bottom w:val="none" w:sz="0" w:space="0" w:color="auto"/>
        <w:right w:val="none" w:sz="0" w:space="0" w:color="auto"/>
      </w:divBdr>
    </w:div>
    <w:div w:id="627052845">
      <w:bodyDiv w:val="1"/>
      <w:marLeft w:val="0"/>
      <w:marRight w:val="0"/>
      <w:marTop w:val="0"/>
      <w:marBottom w:val="0"/>
      <w:divBdr>
        <w:top w:val="none" w:sz="0" w:space="0" w:color="auto"/>
        <w:left w:val="none" w:sz="0" w:space="0" w:color="auto"/>
        <w:bottom w:val="none" w:sz="0" w:space="0" w:color="auto"/>
        <w:right w:val="none" w:sz="0" w:space="0" w:color="auto"/>
      </w:divBdr>
    </w:div>
    <w:div w:id="627052897">
      <w:bodyDiv w:val="1"/>
      <w:marLeft w:val="0"/>
      <w:marRight w:val="0"/>
      <w:marTop w:val="0"/>
      <w:marBottom w:val="0"/>
      <w:divBdr>
        <w:top w:val="none" w:sz="0" w:space="0" w:color="auto"/>
        <w:left w:val="none" w:sz="0" w:space="0" w:color="auto"/>
        <w:bottom w:val="none" w:sz="0" w:space="0" w:color="auto"/>
        <w:right w:val="none" w:sz="0" w:space="0" w:color="auto"/>
      </w:divBdr>
    </w:div>
    <w:div w:id="627399158">
      <w:bodyDiv w:val="1"/>
      <w:marLeft w:val="0"/>
      <w:marRight w:val="0"/>
      <w:marTop w:val="0"/>
      <w:marBottom w:val="0"/>
      <w:divBdr>
        <w:top w:val="none" w:sz="0" w:space="0" w:color="auto"/>
        <w:left w:val="none" w:sz="0" w:space="0" w:color="auto"/>
        <w:bottom w:val="none" w:sz="0" w:space="0" w:color="auto"/>
        <w:right w:val="none" w:sz="0" w:space="0" w:color="auto"/>
      </w:divBdr>
    </w:div>
    <w:div w:id="627513628">
      <w:bodyDiv w:val="1"/>
      <w:marLeft w:val="0"/>
      <w:marRight w:val="0"/>
      <w:marTop w:val="0"/>
      <w:marBottom w:val="0"/>
      <w:divBdr>
        <w:top w:val="none" w:sz="0" w:space="0" w:color="auto"/>
        <w:left w:val="none" w:sz="0" w:space="0" w:color="auto"/>
        <w:bottom w:val="none" w:sz="0" w:space="0" w:color="auto"/>
        <w:right w:val="none" w:sz="0" w:space="0" w:color="auto"/>
      </w:divBdr>
    </w:div>
    <w:div w:id="629823226">
      <w:bodyDiv w:val="1"/>
      <w:marLeft w:val="0"/>
      <w:marRight w:val="0"/>
      <w:marTop w:val="0"/>
      <w:marBottom w:val="0"/>
      <w:divBdr>
        <w:top w:val="none" w:sz="0" w:space="0" w:color="auto"/>
        <w:left w:val="none" w:sz="0" w:space="0" w:color="auto"/>
        <w:bottom w:val="none" w:sz="0" w:space="0" w:color="auto"/>
        <w:right w:val="none" w:sz="0" w:space="0" w:color="auto"/>
      </w:divBdr>
    </w:div>
    <w:div w:id="631062517">
      <w:bodyDiv w:val="1"/>
      <w:marLeft w:val="0"/>
      <w:marRight w:val="0"/>
      <w:marTop w:val="0"/>
      <w:marBottom w:val="0"/>
      <w:divBdr>
        <w:top w:val="none" w:sz="0" w:space="0" w:color="auto"/>
        <w:left w:val="none" w:sz="0" w:space="0" w:color="auto"/>
        <w:bottom w:val="none" w:sz="0" w:space="0" w:color="auto"/>
        <w:right w:val="none" w:sz="0" w:space="0" w:color="auto"/>
      </w:divBdr>
    </w:div>
    <w:div w:id="631596340">
      <w:bodyDiv w:val="1"/>
      <w:marLeft w:val="0"/>
      <w:marRight w:val="0"/>
      <w:marTop w:val="0"/>
      <w:marBottom w:val="0"/>
      <w:divBdr>
        <w:top w:val="none" w:sz="0" w:space="0" w:color="auto"/>
        <w:left w:val="none" w:sz="0" w:space="0" w:color="auto"/>
        <w:bottom w:val="none" w:sz="0" w:space="0" w:color="auto"/>
        <w:right w:val="none" w:sz="0" w:space="0" w:color="auto"/>
      </w:divBdr>
    </w:div>
    <w:div w:id="632297598">
      <w:bodyDiv w:val="1"/>
      <w:marLeft w:val="0"/>
      <w:marRight w:val="0"/>
      <w:marTop w:val="0"/>
      <w:marBottom w:val="0"/>
      <w:divBdr>
        <w:top w:val="none" w:sz="0" w:space="0" w:color="auto"/>
        <w:left w:val="none" w:sz="0" w:space="0" w:color="auto"/>
        <w:bottom w:val="none" w:sz="0" w:space="0" w:color="auto"/>
        <w:right w:val="none" w:sz="0" w:space="0" w:color="auto"/>
      </w:divBdr>
    </w:div>
    <w:div w:id="632366282">
      <w:bodyDiv w:val="1"/>
      <w:marLeft w:val="0"/>
      <w:marRight w:val="0"/>
      <w:marTop w:val="0"/>
      <w:marBottom w:val="0"/>
      <w:divBdr>
        <w:top w:val="none" w:sz="0" w:space="0" w:color="auto"/>
        <w:left w:val="none" w:sz="0" w:space="0" w:color="auto"/>
        <w:bottom w:val="none" w:sz="0" w:space="0" w:color="auto"/>
        <w:right w:val="none" w:sz="0" w:space="0" w:color="auto"/>
      </w:divBdr>
    </w:div>
    <w:div w:id="633369235">
      <w:bodyDiv w:val="1"/>
      <w:marLeft w:val="0"/>
      <w:marRight w:val="0"/>
      <w:marTop w:val="0"/>
      <w:marBottom w:val="0"/>
      <w:divBdr>
        <w:top w:val="none" w:sz="0" w:space="0" w:color="auto"/>
        <w:left w:val="none" w:sz="0" w:space="0" w:color="auto"/>
        <w:bottom w:val="none" w:sz="0" w:space="0" w:color="auto"/>
        <w:right w:val="none" w:sz="0" w:space="0" w:color="auto"/>
      </w:divBdr>
    </w:div>
    <w:div w:id="633409135">
      <w:bodyDiv w:val="1"/>
      <w:marLeft w:val="0"/>
      <w:marRight w:val="0"/>
      <w:marTop w:val="0"/>
      <w:marBottom w:val="0"/>
      <w:divBdr>
        <w:top w:val="none" w:sz="0" w:space="0" w:color="auto"/>
        <w:left w:val="none" w:sz="0" w:space="0" w:color="auto"/>
        <w:bottom w:val="none" w:sz="0" w:space="0" w:color="auto"/>
        <w:right w:val="none" w:sz="0" w:space="0" w:color="auto"/>
      </w:divBdr>
    </w:div>
    <w:div w:id="633605419">
      <w:bodyDiv w:val="1"/>
      <w:marLeft w:val="0"/>
      <w:marRight w:val="0"/>
      <w:marTop w:val="0"/>
      <w:marBottom w:val="0"/>
      <w:divBdr>
        <w:top w:val="none" w:sz="0" w:space="0" w:color="auto"/>
        <w:left w:val="none" w:sz="0" w:space="0" w:color="auto"/>
        <w:bottom w:val="none" w:sz="0" w:space="0" w:color="auto"/>
        <w:right w:val="none" w:sz="0" w:space="0" w:color="auto"/>
      </w:divBdr>
    </w:div>
    <w:div w:id="633756562">
      <w:bodyDiv w:val="1"/>
      <w:marLeft w:val="0"/>
      <w:marRight w:val="0"/>
      <w:marTop w:val="0"/>
      <w:marBottom w:val="0"/>
      <w:divBdr>
        <w:top w:val="none" w:sz="0" w:space="0" w:color="auto"/>
        <w:left w:val="none" w:sz="0" w:space="0" w:color="auto"/>
        <w:bottom w:val="none" w:sz="0" w:space="0" w:color="auto"/>
        <w:right w:val="none" w:sz="0" w:space="0" w:color="auto"/>
      </w:divBdr>
    </w:div>
    <w:div w:id="636180331">
      <w:bodyDiv w:val="1"/>
      <w:marLeft w:val="0"/>
      <w:marRight w:val="0"/>
      <w:marTop w:val="0"/>
      <w:marBottom w:val="0"/>
      <w:divBdr>
        <w:top w:val="none" w:sz="0" w:space="0" w:color="auto"/>
        <w:left w:val="none" w:sz="0" w:space="0" w:color="auto"/>
        <w:bottom w:val="none" w:sz="0" w:space="0" w:color="auto"/>
        <w:right w:val="none" w:sz="0" w:space="0" w:color="auto"/>
      </w:divBdr>
    </w:div>
    <w:div w:id="636230459">
      <w:bodyDiv w:val="1"/>
      <w:marLeft w:val="0"/>
      <w:marRight w:val="0"/>
      <w:marTop w:val="0"/>
      <w:marBottom w:val="0"/>
      <w:divBdr>
        <w:top w:val="none" w:sz="0" w:space="0" w:color="auto"/>
        <w:left w:val="none" w:sz="0" w:space="0" w:color="auto"/>
        <w:bottom w:val="none" w:sz="0" w:space="0" w:color="auto"/>
        <w:right w:val="none" w:sz="0" w:space="0" w:color="auto"/>
      </w:divBdr>
    </w:div>
    <w:div w:id="636448969">
      <w:bodyDiv w:val="1"/>
      <w:marLeft w:val="0"/>
      <w:marRight w:val="0"/>
      <w:marTop w:val="0"/>
      <w:marBottom w:val="0"/>
      <w:divBdr>
        <w:top w:val="none" w:sz="0" w:space="0" w:color="auto"/>
        <w:left w:val="none" w:sz="0" w:space="0" w:color="auto"/>
        <w:bottom w:val="none" w:sz="0" w:space="0" w:color="auto"/>
        <w:right w:val="none" w:sz="0" w:space="0" w:color="auto"/>
      </w:divBdr>
    </w:div>
    <w:div w:id="636959411">
      <w:bodyDiv w:val="1"/>
      <w:marLeft w:val="0"/>
      <w:marRight w:val="0"/>
      <w:marTop w:val="0"/>
      <w:marBottom w:val="0"/>
      <w:divBdr>
        <w:top w:val="none" w:sz="0" w:space="0" w:color="auto"/>
        <w:left w:val="none" w:sz="0" w:space="0" w:color="auto"/>
        <w:bottom w:val="none" w:sz="0" w:space="0" w:color="auto"/>
        <w:right w:val="none" w:sz="0" w:space="0" w:color="auto"/>
      </w:divBdr>
    </w:div>
    <w:div w:id="638611240">
      <w:bodyDiv w:val="1"/>
      <w:marLeft w:val="0"/>
      <w:marRight w:val="0"/>
      <w:marTop w:val="0"/>
      <w:marBottom w:val="0"/>
      <w:divBdr>
        <w:top w:val="none" w:sz="0" w:space="0" w:color="auto"/>
        <w:left w:val="none" w:sz="0" w:space="0" w:color="auto"/>
        <w:bottom w:val="none" w:sz="0" w:space="0" w:color="auto"/>
        <w:right w:val="none" w:sz="0" w:space="0" w:color="auto"/>
      </w:divBdr>
    </w:div>
    <w:div w:id="638725016">
      <w:bodyDiv w:val="1"/>
      <w:marLeft w:val="0"/>
      <w:marRight w:val="0"/>
      <w:marTop w:val="0"/>
      <w:marBottom w:val="0"/>
      <w:divBdr>
        <w:top w:val="none" w:sz="0" w:space="0" w:color="auto"/>
        <w:left w:val="none" w:sz="0" w:space="0" w:color="auto"/>
        <w:bottom w:val="none" w:sz="0" w:space="0" w:color="auto"/>
        <w:right w:val="none" w:sz="0" w:space="0" w:color="auto"/>
      </w:divBdr>
    </w:div>
    <w:div w:id="639304042">
      <w:bodyDiv w:val="1"/>
      <w:marLeft w:val="0"/>
      <w:marRight w:val="0"/>
      <w:marTop w:val="0"/>
      <w:marBottom w:val="0"/>
      <w:divBdr>
        <w:top w:val="none" w:sz="0" w:space="0" w:color="auto"/>
        <w:left w:val="none" w:sz="0" w:space="0" w:color="auto"/>
        <w:bottom w:val="none" w:sz="0" w:space="0" w:color="auto"/>
        <w:right w:val="none" w:sz="0" w:space="0" w:color="auto"/>
      </w:divBdr>
    </w:div>
    <w:div w:id="640378773">
      <w:bodyDiv w:val="1"/>
      <w:marLeft w:val="0"/>
      <w:marRight w:val="0"/>
      <w:marTop w:val="0"/>
      <w:marBottom w:val="0"/>
      <w:divBdr>
        <w:top w:val="none" w:sz="0" w:space="0" w:color="auto"/>
        <w:left w:val="none" w:sz="0" w:space="0" w:color="auto"/>
        <w:bottom w:val="none" w:sz="0" w:space="0" w:color="auto"/>
        <w:right w:val="none" w:sz="0" w:space="0" w:color="auto"/>
      </w:divBdr>
    </w:div>
    <w:div w:id="641010213">
      <w:bodyDiv w:val="1"/>
      <w:marLeft w:val="0"/>
      <w:marRight w:val="0"/>
      <w:marTop w:val="0"/>
      <w:marBottom w:val="0"/>
      <w:divBdr>
        <w:top w:val="none" w:sz="0" w:space="0" w:color="auto"/>
        <w:left w:val="none" w:sz="0" w:space="0" w:color="auto"/>
        <w:bottom w:val="none" w:sz="0" w:space="0" w:color="auto"/>
        <w:right w:val="none" w:sz="0" w:space="0" w:color="auto"/>
      </w:divBdr>
    </w:div>
    <w:div w:id="641231278">
      <w:bodyDiv w:val="1"/>
      <w:marLeft w:val="0"/>
      <w:marRight w:val="0"/>
      <w:marTop w:val="0"/>
      <w:marBottom w:val="0"/>
      <w:divBdr>
        <w:top w:val="none" w:sz="0" w:space="0" w:color="auto"/>
        <w:left w:val="none" w:sz="0" w:space="0" w:color="auto"/>
        <w:bottom w:val="none" w:sz="0" w:space="0" w:color="auto"/>
        <w:right w:val="none" w:sz="0" w:space="0" w:color="auto"/>
      </w:divBdr>
    </w:div>
    <w:div w:id="641884375">
      <w:bodyDiv w:val="1"/>
      <w:marLeft w:val="0"/>
      <w:marRight w:val="0"/>
      <w:marTop w:val="0"/>
      <w:marBottom w:val="0"/>
      <w:divBdr>
        <w:top w:val="none" w:sz="0" w:space="0" w:color="auto"/>
        <w:left w:val="none" w:sz="0" w:space="0" w:color="auto"/>
        <w:bottom w:val="none" w:sz="0" w:space="0" w:color="auto"/>
        <w:right w:val="none" w:sz="0" w:space="0" w:color="auto"/>
      </w:divBdr>
    </w:div>
    <w:div w:id="641926449">
      <w:bodyDiv w:val="1"/>
      <w:marLeft w:val="0"/>
      <w:marRight w:val="0"/>
      <w:marTop w:val="0"/>
      <w:marBottom w:val="0"/>
      <w:divBdr>
        <w:top w:val="none" w:sz="0" w:space="0" w:color="auto"/>
        <w:left w:val="none" w:sz="0" w:space="0" w:color="auto"/>
        <w:bottom w:val="none" w:sz="0" w:space="0" w:color="auto"/>
        <w:right w:val="none" w:sz="0" w:space="0" w:color="auto"/>
      </w:divBdr>
    </w:div>
    <w:div w:id="642738585">
      <w:bodyDiv w:val="1"/>
      <w:marLeft w:val="0"/>
      <w:marRight w:val="0"/>
      <w:marTop w:val="0"/>
      <w:marBottom w:val="0"/>
      <w:divBdr>
        <w:top w:val="none" w:sz="0" w:space="0" w:color="auto"/>
        <w:left w:val="none" w:sz="0" w:space="0" w:color="auto"/>
        <w:bottom w:val="none" w:sz="0" w:space="0" w:color="auto"/>
        <w:right w:val="none" w:sz="0" w:space="0" w:color="auto"/>
      </w:divBdr>
    </w:div>
    <w:div w:id="643699041">
      <w:bodyDiv w:val="1"/>
      <w:marLeft w:val="0"/>
      <w:marRight w:val="0"/>
      <w:marTop w:val="0"/>
      <w:marBottom w:val="0"/>
      <w:divBdr>
        <w:top w:val="none" w:sz="0" w:space="0" w:color="auto"/>
        <w:left w:val="none" w:sz="0" w:space="0" w:color="auto"/>
        <w:bottom w:val="none" w:sz="0" w:space="0" w:color="auto"/>
        <w:right w:val="none" w:sz="0" w:space="0" w:color="auto"/>
      </w:divBdr>
    </w:div>
    <w:div w:id="644624820">
      <w:bodyDiv w:val="1"/>
      <w:marLeft w:val="0"/>
      <w:marRight w:val="0"/>
      <w:marTop w:val="0"/>
      <w:marBottom w:val="0"/>
      <w:divBdr>
        <w:top w:val="none" w:sz="0" w:space="0" w:color="auto"/>
        <w:left w:val="none" w:sz="0" w:space="0" w:color="auto"/>
        <w:bottom w:val="none" w:sz="0" w:space="0" w:color="auto"/>
        <w:right w:val="none" w:sz="0" w:space="0" w:color="auto"/>
      </w:divBdr>
    </w:div>
    <w:div w:id="644626449">
      <w:bodyDiv w:val="1"/>
      <w:marLeft w:val="0"/>
      <w:marRight w:val="0"/>
      <w:marTop w:val="0"/>
      <w:marBottom w:val="0"/>
      <w:divBdr>
        <w:top w:val="none" w:sz="0" w:space="0" w:color="auto"/>
        <w:left w:val="none" w:sz="0" w:space="0" w:color="auto"/>
        <w:bottom w:val="none" w:sz="0" w:space="0" w:color="auto"/>
        <w:right w:val="none" w:sz="0" w:space="0" w:color="auto"/>
      </w:divBdr>
    </w:div>
    <w:div w:id="646324823">
      <w:bodyDiv w:val="1"/>
      <w:marLeft w:val="0"/>
      <w:marRight w:val="0"/>
      <w:marTop w:val="0"/>
      <w:marBottom w:val="0"/>
      <w:divBdr>
        <w:top w:val="none" w:sz="0" w:space="0" w:color="auto"/>
        <w:left w:val="none" w:sz="0" w:space="0" w:color="auto"/>
        <w:bottom w:val="none" w:sz="0" w:space="0" w:color="auto"/>
        <w:right w:val="none" w:sz="0" w:space="0" w:color="auto"/>
      </w:divBdr>
    </w:div>
    <w:div w:id="647243829">
      <w:bodyDiv w:val="1"/>
      <w:marLeft w:val="0"/>
      <w:marRight w:val="0"/>
      <w:marTop w:val="0"/>
      <w:marBottom w:val="0"/>
      <w:divBdr>
        <w:top w:val="none" w:sz="0" w:space="0" w:color="auto"/>
        <w:left w:val="none" w:sz="0" w:space="0" w:color="auto"/>
        <w:bottom w:val="none" w:sz="0" w:space="0" w:color="auto"/>
        <w:right w:val="none" w:sz="0" w:space="0" w:color="auto"/>
      </w:divBdr>
    </w:div>
    <w:div w:id="649941822">
      <w:bodyDiv w:val="1"/>
      <w:marLeft w:val="0"/>
      <w:marRight w:val="0"/>
      <w:marTop w:val="0"/>
      <w:marBottom w:val="0"/>
      <w:divBdr>
        <w:top w:val="none" w:sz="0" w:space="0" w:color="auto"/>
        <w:left w:val="none" w:sz="0" w:space="0" w:color="auto"/>
        <w:bottom w:val="none" w:sz="0" w:space="0" w:color="auto"/>
        <w:right w:val="none" w:sz="0" w:space="0" w:color="auto"/>
      </w:divBdr>
    </w:div>
    <w:div w:id="649944960">
      <w:bodyDiv w:val="1"/>
      <w:marLeft w:val="0"/>
      <w:marRight w:val="0"/>
      <w:marTop w:val="0"/>
      <w:marBottom w:val="0"/>
      <w:divBdr>
        <w:top w:val="none" w:sz="0" w:space="0" w:color="auto"/>
        <w:left w:val="none" w:sz="0" w:space="0" w:color="auto"/>
        <w:bottom w:val="none" w:sz="0" w:space="0" w:color="auto"/>
        <w:right w:val="none" w:sz="0" w:space="0" w:color="auto"/>
      </w:divBdr>
    </w:div>
    <w:div w:id="652607839">
      <w:bodyDiv w:val="1"/>
      <w:marLeft w:val="0"/>
      <w:marRight w:val="0"/>
      <w:marTop w:val="0"/>
      <w:marBottom w:val="0"/>
      <w:divBdr>
        <w:top w:val="none" w:sz="0" w:space="0" w:color="auto"/>
        <w:left w:val="none" w:sz="0" w:space="0" w:color="auto"/>
        <w:bottom w:val="none" w:sz="0" w:space="0" w:color="auto"/>
        <w:right w:val="none" w:sz="0" w:space="0" w:color="auto"/>
      </w:divBdr>
    </w:div>
    <w:div w:id="653264847">
      <w:bodyDiv w:val="1"/>
      <w:marLeft w:val="0"/>
      <w:marRight w:val="0"/>
      <w:marTop w:val="0"/>
      <w:marBottom w:val="0"/>
      <w:divBdr>
        <w:top w:val="none" w:sz="0" w:space="0" w:color="auto"/>
        <w:left w:val="none" w:sz="0" w:space="0" w:color="auto"/>
        <w:bottom w:val="none" w:sz="0" w:space="0" w:color="auto"/>
        <w:right w:val="none" w:sz="0" w:space="0" w:color="auto"/>
      </w:divBdr>
    </w:div>
    <w:div w:id="654601665">
      <w:bodyDiv w:val="1"/>
      <w:marLeft w:val="0"/>
      <w:marRight w:val="0"/>
      <w:marTop w:val="0"/>
      <w:marBottom w:val="0"/>
      <w:divBdr>
        <w:top w:val="none" w:sz="0" w:space="0" w:color="auto"/>
        <w:left w:val="none" w:sz="0" w:space="0" w:color="auto"/>
        <w:bottom w:val="none" w:sz="0" w:space="0" w:color="auto"/>
        <w:right w:val="none" w:sz="0" w:space="0" w:color="auto"/>
      </w:divBdr>
    </w:div>
    <w:div w:id="655492730">
      <w:bodyDiv w:val="1"/>
      <w:marLeft w:val="0"/>
      <w:marRight w:val="0"/>
      <w:marTop w:val="0"/>
      <w:marBottom w:val="0"/>
      <w:divBdr>
        <w:top w:val="none" w:sz="0" w:space="0" w:color="auto"/>
        <w:left w:val="none" w:sz="0" w:space="0" w:color="auto"/>
        <w:bottom w:val="none" w:sz="0" w:space="0" w:color="auto"/>
        <w:right w:val="none" w:sz="0" w:space="0" w:color="auto"/>
      </w:divBdr>
    </w:div>
    <w:div w:id="655915303">
      <w:bodyDiv w:val="1"/>
      <w:marLeft w:val="0"/>
      <w:marRight w:val="0"/>
      <w:marTop w:val="0"/>
      <w:marBottom w:val="0"/>
      <w:divBdr>
        <w:top w:val="none" w:sz="0" w:space="0" w:color="auto"/>
        <w:left w:val="none" w:sz="0" w:space="0" w:color="auto"/>
        <w:bottom w:val="none" w:sz="0" w:space="0" w:color="auto"/>
        <w:right w:val="none" w:sz="0" w:space="0" w:color="auto"/>
      </w:divBdr>
    </w:div>
    <w:div w:id="658266586">
      <w:bodyDiv w:val="1"/>
      <w:marLeft w:val="0"/>
      <w:marRight w:val="0"/>
      <w:marTop w:val="0"/>
      <w:marBottom w:val="0"/>
      <w:divBdr>
        <w:top w:val="none" w:sz="0" w:space="0" w:color="auto"/>
        <w:left w:val="none" w:sz="0" w:space="0" w:color="auto"/>
        <w:bottom w:val="none" w:sz="0" w:space="0" w:color="auto"/>
        <w:right w:val="none" w:sz="0" w:space="0" w:color="auto"/>
      </w:divBdr>
    </w:div>
    <w:div w:id="658653527">
      <w:bodyDiv w:val="1"/>
      <w:marLeft w:val="0"/>
      <w:marRight w:val="0"/>
      <w:marTop w:val="0"/>
      <w:marBottom w:val="0"/>
      <w:divBdr>
        <w:top w:val="none" w:sz="0" w:space="0" w:color="auto"/>
        <w:left w:val="none" w:sz="0" w:space="0" w:color="auto"/>
        <w:bottom w:val="none" w:sz="0" w:space="0" w:color="auto"/>
        <w:right w:val="none" w:sz="0" w:space="0" w:color="auto"/>
      </w:divBdr>
    </w:div>
    <w:div w:id="659770881">
      <w:bodyDiv w:val="1"/>
      <w:marLeft w:val="0"/>
      <w:marRight w:val="0"/>
      <w:marTop w:val="0"/>
      <w:marBottom w:val="0"/>
      <w:divBdr>
        <w:top w:val="none" w:sz="0" w:space="0" w:color="auto"/>
        <w:left w:val="none" w:sz="0" w:space="0" w:color="auto"/>
        <w:bottom w:val="none" w:sz="0" w:space="0" w:color="auto"/>
        <w:right w:val="none" w:sz="0" w:space="0" w:color="auto"/>
      </w:divBdr>
    </w:div>
    <w:div w:id="660474264">
      <w:bodyDiv w:val="1"/>
      <w:marLeft w:val="0"/>
      <w:marRight w:val="0"/>
      <w:marTop w:val="0"/>
      <w:marBottom w:val="0"/>
      <w:divBdr>
        <w:top w:val="none" w:sz="0" w:space="0" w:color="auto"/>
        <w:left w:val="none" w:sz="0" w:space="0" w:color="auto"/>
        <w:bottom w:val="none" w:sz="0" w:space="0" w:color="auto"/>
        <w:right w:val="none" w:sz="0" w:space="0" w:color="auto"/>
      </w:divBdr>
    </w:div>
    <w:div w:id="663512196">
      <w:bodyDiv w:val="1"/>
      <w:marLeft w:val="0"/>
      <w:marRight w:val="0"/>
      <w:marTop w:val="0"/>
      <w:marBottom w:val="0"/>
      <w:divBdr>
        <w:top w:val="none" w:sz="0" w:space="0" w:color="auto"/>
        <w:left w:val="none" w:sz="0" w:space="0" w:color="auto"/>
        <w:bottom w:val="none" w:sz="0" w:space="0" w:color="auto"/>
        <w:right w:val="none" w:sz="0" w:space="0" w:color="auto"/>
      </w:divBdr>
    </w:div>
    <w:div w:id="664555963">
      <w:bodyDiv w:val="1"/>
      <w:marLeft w:val="0"/>
      <w:marRight w:val="0"/>
      <w:marTop w:val="0"/>
      <w:marBottom w:val="0"/>
      <w:divBdr>
        <w:top w:val="none" w:sz="0" w:space="0" w:color="auto"/>
        <w:left w:val="none" w:sz="0" w:space="0" w:color="auto"/>
        <w:bottom w:val="none" w:sz="0" w:space="0" w:color="auto"/>
        <w:right w:val="none" w:sz="0" w:space="0" w:color="auto"/>
      </w:divBdr>
    </w:div>
    <w:div w:id="664868416">
      <w:bodyDiv w:val="1"/>
      <w:marLeft w:val="0"/>
      <w:marRight w:val="0"/>
      <w:marTop w:val="0"/>
      <w:marBottom w:val="0"/>
      <w:divBdr>
        <w:top w:val="none" w:sz="0" w:space="0" w:color="auto"/>
        <w:left w:val="none" w:sz="0" w:space="0" w:color="auto"/>
        <w:bottom w:val="none" w:sz="0" w:space="0" w:color="auto"/>
        <w:right w:val="none" w:sz="0" w:space="0" w:color="auto"/>
      </w:divBdr>
    </w:div>
    <w:div w:id="665399295">
      <w:bodyDiv w:val="1"/>
      <w:marLeft w:val="0"/>
      <w:marRight w:val="0"/>
      <w:marTop w:val="0"/>
      <w:marBottom w:val="0"/>
      <w:divBdr>
        <w:top w:val="none" w:sz="0" w:space="0" w:color="auto"/>
        <w:left w:val="none" w:sz="0" w:space="0" w:color="auto"/>
        <w:bottom w:val="none" w:sz="0" w:space="0" w:color="auto"/>
        <w:right w:val="none" w:sz="0" w:space="0" w:color="auto"/>
      </w:divBdr>
    </w:div>
    <w:div w:id="665590000">
      <w:bodyDiv w:val="1"/>
      <w:marLeft w:val="0"/>
      <w:marRight w:val="0"/>
      <w:marTop w:val="0"/>
      <w:marBottom w:val="0"/>
      <w:divBdr>
        <w:top w:val="none" w:sz="0" w:space="0" w:color="auto"/>
        <w:left w:val="none" w:sz="0" w:space="0" w:color="auto"/>
        <w:bottom w:val="none" w:sz="0" w:space="0" w:color="auto"/>
        <w:right w:val="none" w:sz="0" w:space="0" w:color="auto"/>
      </w:divBdr>
    </w:div>
    <w:div w:id="666640004">
      <w:bodyDiv w:val="1"/>
      <w:marLeft w:val="0"/>
      <w:marRight w:val="0"/>
      <w:marTop w:val="0"/>
      <w:marBottom w:val="0"/>
      <w:divBdr>
        <w:top w:val="none" w:sz="0" w:space="0" w:color="auto"/>
        <w:left w:val="none" w:sz="0" w:space="0" w:color="auto"/>
        <w:bottom w:val="none" w:sz="0" w:space="0" w:color="auto"/>
        <w:right w:val="none" w:sz="0" w:space="0" w:color="auto"/>
      </w:divBdr>
    </w:div>
    <w:div w:id="669060803">
      <w:bodyDiv w:val="1"/>
      <w:marLeft w:val="0"/>
      <w:marRight w:val="0"/>
      <w:marTop w:val="0"/>
      <w:marBottom w:val="0"/>
      <w:divBdr>
        <w:top w:val="none" w:sz="0" w:space="0" w:color="auto"/>
        <w:left w:val="none" w:sz="0" w:space="0" w:color="auto"/>
        <w:bottom w:val="none" w:sz="0" w:space="0" w:color="auto"/>
        <w:right w:val="none" w:sz="0" w:space="0" w:color="auto"/>
      </w:divBdr>
    </w:div>
    <w:div w:id="669140693">
      <w:bodyDiv w:val="1"/>
      <w:marLeft w:val="0"/>
      <w:marRight w:val="0"/>
      <w:marTop w:val="0"/>
      <w:marBottom w:val="0"/>
      <w:divBdr>
        <w:top w:val="none" w:sz="0" w:space="0" w:color="auto"/>
        <w:left w:val="none" w:sz="0" w:space="0" w:color="auto"/>
        <w:bottom w:val="none" w:sz="0" w:space="0" w:color="auto"/>
        <w:right w:val="none" w:sz="0" w:space="0" w:color="auto"/>
      </w:divBdr>
    </w:div>
    <w:div w:id="672101470">
      <w:bodyDiv w:val="1"/>
      <w:marLeft w:val="0"/>
      <w:marRight w:val="0"/>
      <w:marTop w:val="0"/>
      <w:marBottom w:val="0"/>
      <w:divBdr>
        <w:top w:val="none" w:sz="0" w:space="0" w:color="auto"/>
        <w:left w:val="none" w:sz="0" w:space="0" w:color="auto"/>
        <w:bottom w:val="none" w:sz="0" w:space="0" w:color="auto"/>
        <w:right w:val="none" w:sz="0" w:space="0" w:color="auto"/>
      </w:divBdr>
    </w:div>
    <w:div w:id="672951961">
      <w:bodyDiv w:val="1"/>
      <w:marLeft w:val="0"/>
      <w:marRight w:val="0"/>
      <w:marTop w:val="0"/>
      <w:marBottom w:val="0"/>
      <w:divBdr>
        <w:top w:val="none" w:sz="0" w:space="0" w:color="auto"/>
        <w:left w:val="none" w:sz="0" w:space="0" w:color="auto"/>
        <w:bottom w:val="none" w:sz="0" w:space="0" w:color="auto"/>
        <w:right w:val="none" w:sz="0" w:space="0" w:color="auto"/>
      </w:divBdr>
    </w:div>
    <w:div w:id="673798592">
      <w:bodyDiv w:val="1"/>
      <w:marLeft w:val="0"/>
      <w:marRight w:val="0"/>
      <w:marTop w:val="0"/>
      <w:marBottom w:val="0"/>
      <w:divBdr>
        <w:top w:val="none" w:sz="0" w:space="0" w:color="auto"/>
        <w:left w:val="none" w:sz="0" w:space="0" w:color="auto"/>
        <w:bottom w:val="none" w:sz="0" w:space="0" w:color="auto"/>
        <w:right w:val="none" w:sz="0" w:space="0" w:color="auto"/>
      </w:divBdr>
    </w:div>
    <w:div w:id="674304714">
      <w:bodyDiv w:val="1"/>
      <w:marLeft w:val="0"/>
      <w:marRight w:val="0"/>
      <w:marTop w:val="0"/>
      <w:marBottom w:val="0"/>
      <w:divBdr>
        <w:top w:val="none" w:sz="0" w:space="0" w:color="auto"/>
        <w:left w:val="none" w:sz="0" w:space="0" w:color="auto"/>
        <w:bottom w:val="none" w:sz="0" w:space="0" w:color="auto"/>
        <w:right w:val="none" w:sz="0" w:space="0" w:color="auto"/>
      </w:divBdr>
    </w:div>
    <w:div w:id="676153598">
      <w:bodyDiv w:val="1"/>
      <w:marLeft w:val="0"/>
      <w:marRight w:val="0"/>
      <w:marTop w:val="0"/>
      <w:marBottom w:val="0"/>
      <w:divBdr>
        <w:top w:val="none" w:sz="0" w:space="0" w:color="auto"/>
        <w:left w:val="none" w:sz="0" w:space="0" w:color="auto"/>
        <w:bottom w:val="none" w:sz="0" w:space="0" w:color="auto"/>
        <w:right w:val="none" w:sz="0" w:space="0" w:color="auto"/>
      </w:divBdr>
    </w:div>
    <w:div w:id="679159691">
      <w:bodyDiv w:val="1"/>
      <w:marLeft w:val="0"/>
      <w:marRight w:val="0"/>
      <w:marTop w:val="0"/>
      <w:marBottom w:val="0"/>
      <w:divBdr>
        <w:top w:val="none" w:sz="0" w:space="0" w:color="auto"/>
        <w:left w:val="none" w:sz="0" w:space="0" w:color="auto"/>
        <w:bottom w:val="none" w:sz="0" w:space="0" w:color="auto"/>
        <w:right w:val="none" w:sz="0" w:space="0" w:color="auto"/>
      </w:divBdr>
    </w:div>
    <w:div w:id="680163401">
      <w:bodyDiv w:val="1"/>
      <w:marLeft w:val="0"/>
      <w:marRight w:val="0"/>
      <w:marTop w:val="0"/>
      <w:marBottom w:val="0"/>
      <w:divBdr>
        <w:top w:val="none" w:sz="0" w:space="0" w:color="auto"/>
        <w:left w:val="none" w:sz="0" w:space="0" w:color="auto"/>
        <w:bottom w:val="none" w:sz="0" w:space="0" w:color="auto"/>
        <w:right w:val="none" w:sz="0" w:space="0" w:color="auto"/>
      </w:divBdr>
    </w:div>
    <w:div w:id="680355666">
      <w:bodyDiv w:val="1"/>
      <w:marLeft w:val="0"/>
      <w:marRight w:val="0"/>
      <w:marTop w:val="0"/>
      <w:marBottom w:val="0"/>
      <w:divBdr>
        <w:top w:val="none" w:sz="0" w:space="0" w:color="auto"/>
        <w:left w:val="none" w:sz="0" w:space="0" w:color="auto"/>
        <w:bottom w:val="none" w:sz="0" w:space="0" w:color="auto"/>
        <w:right w:val="none" w:sz="0" w:space="0" w:color="auto"/>
      </w:divBdr>
    </w:div>
    <w:div w:id="681248148">
      <w:bodyDiv w:val="1"/>
      <w:marLeft w:val="0"/>
      <w:marRight w:val="0"/>
      <w:marTop w:val="0"/>
      <w:marBottom w:val="0"/>
      <w:divBdr>
        <w:top w:val="none" w:sz="0" w:space="0" w:color="auto"/>
        <w:left w:val="none" w:sz="0" w:space="0" w:color="auto"/>
        <w:bottom w:val="none" w:sz="0" w:space="0" w:color="auto"/>
        <w:right w:val="none" w:sz="0" w:space="0" w:color="auto"/>
      </w:divBdr>
    </w:div>
    <w:div w:id="685906646">
      <w:bodyDiv w:val="1"/>
      <w:marLeft w:val="0"/>
      <w:marRight w:val="0"/>
      <w:marTop w:val="0"/>
      <w:marBottom w:val="0"/>
      <w:divBdr>
        <w:top w:val="none" w:sz="0" w:space="0" w:color="auto"/>
        <w:left w:val="none" w:sz="0" w:space="0" w:color="auto"/>
        <w:bottom w:val="none" w:sz="0" w:space="0" w:color="auto"/>
        <w:right w:val="none" w:sz="0" w:space="0" w:color="auto"/>
      </w:divBdr>
    </w:div>
    <w:div w:id="686567254">
      <w:bodyDiv w:val="1"/>
      <w:marLeft w:val="0"/>
      <w:marRight w:val="0"/>
      <w:marTop w:val="0"/>
      <w:marBottom w:val="0"/>
      <w:divBdr>
        <w:top w:val="none" w:sz="0" w:space="0" w:color="auto"/>
        <w:left w:val="none" w:sz="0" w:space="0" w:color="auto"/>
        <w:bottom w:val="none" w:sz="0" w:space="0" w:color="auto"/>
        <w:right w:val="none" w:sz="0" w:space="0" w:color="auto"/>
      </w:divBdr>
    </w:div>
    <w:div w:id="687607277">
      <w:bodyDiv w:val="1"/>
      <w:marLeft w:val="0"/>
      <w:marRight w:val="0"/>
      <w:marTop w:val="0"/>
      <w:marBottom w:val="0"/>
      <w:divBdr>
        <w:top w:val="none" w:sz="0" w:space="0" w:color="auto"/>
        <w:left w:val="none" w:sz="0" w:space="0" w:color="auto"/>
        <w:bottom w:val="none" w:sz="0" w:space="0" w:color="auto"/>
        <w:right w:val="none" w:sz="0" w:space="0" w:color="auto"/>
      </w:divBdr>
    </w:div>
    <w:div w:id="690372893">
      <w:bodyDiv w:val="1"/>
      <w:marLeft w:val="0"/>
      <w:marRight w:val="0"/>
      <w:marTop w:val="0"/>
      <w:marBottom w:val="0"/>
      <w:divBdr>
        <w:top w:val="none" w:sz="0" w:space="0" w:color="auto"/>
        <w:left w:val="none" w:sz="0" w:space="0" w:color="auto"/>
        <w:bottom w:val="none" w:sz="0" w:space="0" w:color="auto"/>
        <w:right w:val="none" w:sz="0" w:space="0" w:color="auto"/>
      </w:divBdr>
    </w:div>
    <w:div w:id="691029504">
      <w:bodyDiv w:val="1"/>
      <w:marLeft w:val="0"/>
      <w:marRight w:val="0"/>
      <w:marTop w:val="0"/>
      <w:marBottom w:val="0"/>
      <w:divBdr>
        <w:top w:val="none" w:sz="0" w:space="0" w:color="auto"/>
        <w:left w:val="none" w:sz="0" w:space="0" w:color="auto"/>
        <w:bottom w:val="none" w:sz="0" w:space="0" w:color="auto"/>
        <w:right w:val="none" w:sz="0" w:space="0" w:color="auto"/>
      </w:divBdr>
    </w:div>
    <w:div w:id="692807137">
      <w:bodyDiv w:val="1"/>
      <w:marLeft w:val="0"/>
      <w:marRight w:val="0"/>
      <w:marTop w:val="0"/>
      <w:marBottom w:val="0"/>
      <w:divBdr>
        <w:top w:val="none" w:sz="0" w:space="0" w:color="auto"/>
        <w:left w:val="none" w:sz="0" w:space="0" w:color="auto"/>
        <w:bottom w:val="none" w:sz="0" w:space="0" w:color="auto"/>
        <w:right w:val="none" w:sz="0" w:space="0" w:color="auto"/>
      </w:divBdr>
    </w:div>
    <w:div w:id="694115387">
      <w:bodyDiv w:val="1"/>
      <w:marLeft w:val="0"/>
      <w:marRight w:val="0"/>
      <w:marTop w:val="0"/>
      <w:marBottom w:val="0"/>
      <w:divBdr>
        <w:top w:val="none" w:sz="0" w:space="0" w:color="auto"/>
        <w:left w:val="none" w:sz="0" w:space="0" w:color="auto"/>
        <w:bottom w:val="none" w:sz="0" w:space="0" w:color="auto"/>
        <w:right w:val="none" w:sz="0" w:space="0" w:color="auto"/>
      </w:divBdr>
    </w:div>
    <w:div w:id="694698709">
      <w:bodyDiv w:val="1"/>
      <w:marLeft w:val="0"/>
      <w:marRight w:val="0"/>
      <w:marTop w:val="0"/>
      <w:marBottom w:val="0"/>
      <w:divBdr>
        <w:top w:val="none" w:sz="0" w:space="0" w:color="auto"/>
        <w:left w:val="none" w:sz="0" w:space="0" w:color="auto"/>
        <w:bottom w:val="none" w:sz="0" w:space="0" w:color="auto"/>
        <w:right w:val="none" w:sz="0" w:space="0" w:color="auto"/>
      </w:divBdr>
    </w:div>
    <w:div w:id="694965924">
      <w:bodyDiv w:val="1"/>
      <w:marLeft w:val="0"/>
      <w:marRight w:val="0"/>
      <w:marTop w:val="0"/>
      <w:marBottom w:val="0"/>
      <w:divBdr>
        <w:top w:val="none" w:sz="0" w:space="0" w:color="auto"/>
        <w:left w:val="none" w:sz="0" w:space="0" w:color="auto"/>
        <w:bottom w:val="none" w:sz="0" w:space="0" w:color="auto"/>
        <w:right w:val="none" w:sz="0" w:space="0" w:color="auto"/>
      </w:divBdr>
    </w:div>
    <w:div w:id="694967694">
      <w:bodyDiv w:val="1"/>
      <w:marLeft w:val="0"/>
      <w:marRight w:val="0"/>
      <w:marTop w:val="0"/>
      <w:marBottom w:val="0"/>
      <w:divBdr>
        <w:top w:val="none" w:sz="0" w:space="0" w:color="auto"/>
        <w:left w:val="none" w:sz="0" w:space="0" w:color="auto"/>
        <w:bottom w:val="none" w:sz="0" w:space="0" w:color="auto"/>
        <w:right w:val="none" w:sz="0" w:space="0" w:color="auto"/>
      </w:divBdr>
    </w:div>
    <w:div w:id="695810073">
      <w:bodyDiv w:val="1"/>
      <w:marLeft w:val="0"/>
      <w:marRight w:val="0"/>
      <w:marTop w:val="0"/>
      <w:marBottom w:val="0"/>
      <w:divBdr>
        <w:top w:val="none" w:sz="0" w:space="0" w:color="auto"/>
        <w:left w:val="none" w:sz="0" w:space="0" w:color="auto"/>
        <w:bottom w:val="none" w:sz="0" w:space="0" w:color="auto"/>
        <w:right w:val="none" w:sz="0" w:space="0" w:color="auto"/>
      </w:divBdr>
    </w:div>
    <w:div w:id="697509917">
      <w:bodyDiv w:val="1"/>
      <w:marLeft w:val="0"/>
      <w:marRight w:val="0"/>
      <w:marTop w:val="0"/>
      <w:marBottom w:val="0"/>
      <w:divBdr>
        <w:top w:val="none" w:sz="0" w:space="0" w:color="auto"/>
        <w:left w:val="none" w:sz="0" w:space="0" w:color="auto"/>
        <w:bottom w:val="none" w:sz="0" w:space="0" w:color="auto"/>
        <w:right w:val="none" w:sz="0" w:space="0" w:color="auto"/>
      </w:divBdr>
    </w:div>
    <w:div w:id="698166754">
      <w:bodyDiv w:val="1"/>
      <w:marLeft w:val="0"/>
      <w:marRight w:val="0"/>
      <w:marTop w:val="0"/>
      <w:marBottom w:val="0"/>
      <w:divBdr>
        <w:top w:val="none" w:sz="0" w:space="0" w:color="auto"/>
        <w:left w:val="none" w:sz="0" w:space="0" w:color="auto"/>
        <w:bottom w:val="none" w:sz="0" w:space="0" w:color="auto"/>
        <w:right w:val="none" w:sz="0" w:space="0" w:color="auto"/>
      </w:divBdr>
    </w:div>
    <w:div w:id="698552397">
      <w:bodyDiv w:val="1"/>
      <w:marLeft w:val="0"/>
      <w:marRight w:val="0"/>
      <w:marTop w:val="0"/>
      <w:marBottom w:val="0"/>
      <w:divBdr>
        <w:top w:val="none" w:sz="0" w:space="0" w:color="auto"/>
        <w:left w:val="none" w:sz="0" w:space="0" w:color="auto"/>
        <w:bottom w:val="none" w:sz="0" w:space="0" w:color="auto"/>
        <w:right w:val="none" w:sz="0" w:space="0" w:color="auto"/>
      </w:divBdr>
    </w:div>
    <w:div w:id="701633051">
      <w:bodyDiv w:val="1"/>
      <w:marLeft w:val="0"/>
      <w:marRight w:val="0"/>
      <w:marTop w:val="0"/>
      <w:marBottom w:val="0"/>
      <w:divBdr>
        <w:top w:val="none" w:sz="0" w:space="0" w:color="auto"/>
        <w:left w:val="none" w:sz="0" w:space="0" w:color="auto"/>
        <w:bottom w:val="none" w:sz="0" w:space="0" w:color="auto"/>
        <w:right w:val="none" w:sz="0" w:space="0" w:color="auto"/>
      </w:divBdr>
    </w:div>
    <w:div w:id="702943241">
      <w:bodyDiv w:val="1"/>
      <w:marLeft w:val="0"/>
      <w:marRight w:val="0"/>
      <w:marTop w:val="0"/>
      <w:marBottom w:val="0"/>
      <w:divBdr>
        <w:top w:val="none" w:sz="0" w:space="0" w:color="auto"/>
        <w:left w:val="none" w:sz="0" w:space="0" w:color="auto"/>
        <w:bottom w:val="none" w:sz="0" w:space="0" w:color="auto"/>
        <w:right w:val="none" w:sz="0" w:space="0" w:color="auto"/>
      </w:divBdr>
    </w:div>
    <w:div w:id="703209316">
      <w:bodyDiv w:val="1"/>
      <w:marLeft w:val="0"/>
      <w:marRight w:val="0"/>
      <w:marTop w:val="0"/>
      <w:marBottom w:val="0"/>
      <w:divBdr>
        <w:top w:val="none" w:sz="0" w:space="0" w:color="auto"/>
        <w:left w:val="none" w:sz="0" w:space="0" w:color="auto"/>
        <w:bottom w:val="none" w:sz="0" w:space="0" w:color="auto"/>
        <w:right w:val="none" w:sz="0" w:space="0" w:color="auto"/>
      </w:divBdr>
    </w:div>
    <w:div w:id="703671400">
      <w:bodyDiv w:val="1"/>
      <w:marLeft w:val="0"/>
      <w:marRight w:val="0"/>
      <w:marTop w:val="0"/>
      <w:marBottom w:val="0"/>
      <w:divBdr>
        <w:top w:val="none" w:sz="0" w:space="0" w:color="auto"/>
        <w:left w:val="none" w:sz="0" w:space="0" w:color="auto"/>
        <w:bottom w:val="none" w:sz="0" w:space="0" w:color="auto"/>
        <w:right w:val="none" w:sz="0" w:space="0" w:color="auto"/>
      </w:divBdr>
    </w:div>
    <w:div w:id="703941316">
      <w:bodyDiv w:val="1"/>
      <w:marLeft w:val="0"/>
      <w:marRight w:val="0"/>
      <w:marTop w:val="0"/>
      <w:marBottom w:val="0"/>
      <w:divBdr>
        <w:top w:val="none" w:sz="0" w:space="0" w:color="auto"/>
        <w:left w:val="none" w:sz="0" w:space="0" w:color="auto"/>
        <w:bottom w:val="none" w:sz="0" w:space="0" w:color="auto"/>
        <w:right w:val="none" w:sz="0" w:space="0" w:color="auto"/>
      </w:divBdr>
    </w:div>
    <w:div w:id="705982494">
      <w:bodyDiv w:val="1"/>
      <w:marLeft w:val="0"/>
      <w:marRight w:val="0"/>
      <w:marTop w:val="0"/>
      <w:marBottom w:val="0"/>
      <w:divBdr>
        <w:top w:val="none" w:sz="0" w:space="0" w:color="auto"/>
        <w:left w:val="none" w:sz="0" w:space="0" w:color="auto"/>
        <w:bottom w:val="none" w:sz="0" w:space="0" w:color="auto"/>
        <w:right w:val="none" w:sz="0" w:space="0" w:color="auto"/>
      </w:divBdr>
    </w:div>
    <w:div w:id="707022561">
      <w:bodyDiv w:val="1"/>
      <w:marLeft w:val="0"/>
      <w:marRight w:val="0"/>
      <w:marTop w:val="0"/>
      <w:marBottom w:val="0"/>
      <w:divBdr>
        <w:top w:val="none" w:sz="0" w:space="0" w:color="auto"/>
        <w:left w:val="none" w:sz="0" w:space="0" w:color="auto"/>
        <w:bottom w:val="none" w:sz="0" w:space="0" w:color="auto"/>
        <w:right w:val="none" w:sz="0" w:space="0" w:color="auto"/>
      </w:divBdr>
    </w:div>
    <w:div w:id="708188636">
      <w:bodyDiv w:val="1"/>
      <w:marLeft w:val="0"/>
      <w:marRight w:val="0"/>
      <w:marTop w:val="0"/>
      <w:marBottom w:val="0"/>
      <w:divBdr>
        <w:top w:val="none" w:sz="0" w:space="0" w:color="auto"/>
        <w:left w:val="none" w:sz="0" w:space="0" w:color="auto"/>
        <w:bottom w:val="none" w:sz="0" w:space="0" w:color="auto"/>
        <w:right w:val="none" w:sz="0" w:space="0" w:color="auto"/>
      </w:divBdr>
    </w:div>
    <w:div w:id="709234042">
      <w:bodyDiv w:val="1"/>
      <w:marLeft w:val="0"/>
      <w:marRight w:val="0"/>
      <w:marTop w:val="0"/>
      <w:marBottom w:val="0"/>
      <w:divBdr>
        <w:top w:val="none" w:sz="0" w:space="0" w:color="auto"/>
        <w:left w:val="none" w:sz="0" w:space="0" w:color="auto"/>
        <w:bottom w:val="none" w:sz="0" w:space="0" w:color="auto"/>
        <w:right w:val="none" w:sz="0" w:space="0" w:color="auto"/>
      </w:divBdr>
    </w:div>
    <w:div w:id="709454186">
      <w:bodyDiv w:val="1"/>
      <w:marLeft w:val="0"/>
      <w:marRight w:val="0"/>
      <w:marTop w:val="0"/>
      <w:marBottom w:val="0"/>
      <w:divBdr>
        <w:top w:val="none" w:sz="0" w:space="0" w:color="auto"/>
        <w:left w:val="none" w:sz="0" w:space="0" w:color="auto"/>
        <w:bottom w:val="none" w:sz="0" w:space="0" w:color="auto"/>
        <w:right w:val="none" w:sz="0" w:space="0" w:color="auto"/>
      </w:divBdr>
    </w:div>
    <w:div w:id="709838251">
      <w:bodyDiv w:val="1"/>
      <w:marLeft w:val="0"/>
      <w:marRight w:val="0"/>
      <w:marTop w:val="0"/>
      <w:marBottom w:val="0"/>
      <w:divBdr>
        <w:top w:val="none" w:sz="0" w:space="0" w:color="auto"/>
        <w:left w:val="none" w:sz="0" w:space="0" w:color="auto"/>
        <w:bottom w:val="none" w:sz="0" w:space="0" w:color="auto"/>
        <w:right w:val="none" w:sz="0" w:space="0" w:color="auto"/>
      </w:divBdr>
    </w:div>
    <w:div w:id="710030882">
      <w:bodyDiv w:val="1"/>
      <w:marLeft w:val="0"/>
      <w:marRight w:val="0"/>
      <w:marTop w:val="0"/>
      <w:marBottom w:val="0"/>
      <w:divBdr>
        <w:top w:val="none" w:sz="0" w:space="0" w:color="auto"/>
        <w:left w:val="none" w:sz="0" w:space="0" w:color="auto"/>
        <w:bottom w:val="none" w:sz="0" w:space="0" w:color="auto"/>
        <w:right w:val="none" w:sz="0" w:space="0" w:color="auto"/>
      </w:divBdr>
    </w:div>
    <w:div w:id="711227250">
      <w:bodyDiv w:val="1"/>
      <w:marLeft w:val="0"/>
      <w:marRight w:val="0"/>
      <w:marTop w:val="0"/>
      <w:marBottom w:val="0"/>
      <w:divBdr>
        <w:top w:val="none" w:sz="0" w:space="0" w:color="auto"/>
        <w:left w:val="none" w:sz="0" w:space="0" w:color="auto"/>
        <w:bottom w:val="none" w:sz="0" w:space="0" w:color="auto"/>
        <w:right w:val="none" w:sz="0" w:space="0" w:color="auto"/>
      </w:divBdr>
    </w:div>
    <w:div w:id="712267049">
      <w:bodyDiv w:val="1"/>
      <w:marLeft w:val="0"/>
      <w:marRight w:val="0"/>
      <w:marTop w:val="0"/>
      <w:marBottom w:val="0"/>
      <w:divBdr>
        <w:top w:val="none" w:sz="0" w:space="0" w:color="auto"/>
        <w:left w:val="none" w:sz="0" w:space="0" w:color="auto"/>
        <w:bottom w:val="none" w:sz="0" w:space="0" w:color="auto"/>
        <w:right w:val="none" w:sz="0" w:space="0" w:color="auto"/>
      </w:divBdr>
    </w:div>
    <w:div w:id="712458749">
      <w:bodyDiv w:val="1"/>
      <w:marLeft w:val="0"/>
      <w:marRight w:val="0"/>
      <w:marTop w:val="0"/>
      <w:marBottom w:val="0"/>
      <w:divBdr>
        <w:top w:val="none" w:sz="0" w:space="0" w:color="auto"/>
        <w:left w:val="none" w:sz="0" w:space="0" w:color="auto"/>
        <w:bottom w:val="none" w:sz="0" w:space="0" w:color="auto"/>
        <w:right w:val="none" w:sz="0" w:space="0" w:color="auto"/>
      </w:divBdr>
    </w:div>
    <w:div w:id="713037938">
      <w:bodyDiv w:val="1"/>
      <w:marLeft w:val="0"/>
      <w:marRight w:val="0"/>
      <w:marTop w:val="0"/>
      <w:marBottom w:val="0"/>
      <w:divBdr>
        <w:top w:val="none" w:sz="0" w:space="0" w:color="auto"/>
        <w:left w:val="none" w:sz="0" w:space="0" w:color="auto"/>
        <w:bottom w:val="none" w:sz="0" w:space="0" w:color="auto"/>
        <w:right w:val="none" w:sz="0" w:space="0" w:color="auto"/>
      </w:divBdr>
    </w:div>
    <w:div w:id="713820569">
      <w:bodyDiv w:val="1"/>
      <w:marLeft w:val="0"/>
      <w:marRight w:val="0"/>
      <w:marTop w:val="0"/>
      <w:marBottom w:val="0"/>
      <w:divBdr>
        <w:top w:val="none" w:sz="0" w:space="0" w:color="auto"/>
        <w:left w:val="none" w:sz="0" w:space="0" w:color="auto"/>
        <w:bottom w:val="none" w:sz="0" w:space="0" w:color="auto"/>
        <w:right w:val="none" w:sz="0" w:space="0" w:color="auto"/>
      </w:divBdr>
    </w:div>
    <w:div w:id="714158385">
      <w:bodyDiv w:val="1"/>
      <w:marLeft w:val="0"/>
      <w:marRight w:val="0"/>
      <w:marTop w:val="0"/>
      <w:marBottom w:val="0"/>
      <w:divBdr>
        <w:top w:val="none" w:sz="0" w:space="0" w:color="auto"/>
        <w:left w:val="none" w:sz="0" w:space="0" w:color="auto"/>
        <w:bottom w:val="none" w:sz="0" w:space="0" w:color="auto"/>
        <w:right w:val="none" w:sz="0" w:space="0" w:color="auto"/>
      </w:divBdr>
    </w:div>
    <w:div w:id="715617446">
      <w:bodyDiv w:val="1"/>
      <w:marLeft w:val="0"/>
      <w:marRight w:val="0"/>
      <w:marTop w:val="0"/>
      <w:marBottom w:val="0"/>
      <w:divBdr>
        <w:top w:val="none" w:sz="0" w:space="0" w:color="auto"/>
        <w:left w:val="none" w:sz="0" w:space="0" w:color="auto"/>
        <w:bottom w:val="none" w:sz="0" w:space="0" w:color="auto"/>
        <w:right w:val="none" w:sz="0" w:space="0" w:color="auto"/>
      </w:divBdr>
    </w:div>
    <w:div w:id="718284925">
      <w:bodyDiv w:val="1"/>
      <w:marLeft w:val="0"/>
      <w:marRight w:val="0"/>
      <w:marTop w:val="0"/>
      <w:marBottom w:val="0"/>
      <w:divBdr>
        <w:top w:val="none" w:sz="0" w:space="0" w:color="auto"/>
        <w:left w:val="none" w:sz="0" w:space="0" w:color="auto"/>
        <w:bottom w:val="none" w:sz="0" w:space="0" w:color="auto"/>
        <w:right w:val="none" w:sz="0" w:space="0" w:color="auto"/>
      </w:divBdr>
    </w:div>
    <w:div w:id="718671549">
      <w:bodyDiv w:val="1"/>
      <w:marLeft w:val="0"/>
      <w:marRight w:val="0"/>
      <w:marTop w:val="0"/>
      <w:marBottom w:val="0"/>
      <w:divBdr>
        <w:top w:val="none" w:sz="0" w:space="0" w:color="auto"/>
        <w:left w:val="none" w:sz="0" w:space="0" w:color="auto"/>
        <w:bottom w:val="none" w:sz="0" w:space="0" w:color="auto"/>
        <w:right w:val="none" w:sz="0" w:space="0" w:color="auto"/>
      </w:divBdr>
    </w:div>
    <w:div w:id="719355289">
      <w:bodyDiv w:val="1"/>
      <w:marLeft w:val="0"/>
      <w:marRight w:val="0"/>
      <w:marTop w:val="0"/>
      <w:marBottom w:val="0"/>
      <w:divBdr>
        <w:top w:val="none" w:sz="0" w:space="0" w:color="auto"/>
        <w:left w:val="none" w:sz="0" w:space="0" w:color="auto"/>
        <w:bottom w:val="none" w:sz="0" w:space="0" w:color="auto"/>
        <w:right w:val="none" w:sz="0" w:space="0" w:color="auto"/>
      </w:divBdr>
    </w:div>
    <w:div w:id="720010039">
      <w:bodyDiv w:val="1"/>
      <w:marLeft w:val="0"/>
      <w:marRight w:val="0"/>
      <w:marTop w:val="0"/>
      <w:marBottom w:val="0"/>
      <w:divBdr>
        <w:top w:val="none" w:sz="0" w:space="0" w:color="auto"/>
        <w:left w:val="none" w:sz="0" w:space="0" w:color="auto"/>
        <w:bottom w:val="none" w:sz="0" w:space="0" w:color="auto"/>
        <w:right w:val="none" w:sz="0" w:space="0" w:color="auto"/>
      </w:divBdr>
    </w:div>
    <w:div w:id="721170493">
      <w:bodyDiv w:val="1"/>
      <w:marLeft w:val="0"/>
      <w:marRight w:val="0"/>
      <w:marTop w:val="0"/>
      <w:marBottom w:val="0"/>
      <w:divBdr>
        <w:top w:val="none" w:sz="0" w:space="0" w:color="auto"/>
        <w:left w:val="none" w:sz="0" w:space="0" w:color="auto"/>
        <w:bottom w:val="none" w:sz="0" w:space="0" w:color="auto"/>
        <w:right w:val="none" w:sz="0" w:space="0" w:color="auto"/>
      </w:divBdr>
    </w:div>
    <w:div w:id="721249628">
      <w:bodyDiv w:val="1"/>
      <w:marLeft w:val="0"/>
      <w:marRight w:val="0"/>
      <w:marTop w:val="0"/>
      <w:marBottom w:val="0"/>
      <w:divBdr>
        <w:top w:val="none" w:sz="0" w:space="0" w:color="auto"/>
        <w:left w:val="none" w:sz="0" w:space="0" w:color="auto"/>
        <w:bottom w:val="none" w:sz="0" w:space="0" w:color="auto"/>
        <w:right w:val="none" w:sz="0" w:space="0" w:color="auto"/>
      </w:divBdr>
    </w:div>
    <w:div w:id="721371215">
      <w:bodyDiv w:val="1"/>
      <w:marLeft w:val="0"/>
      <w:marRight w:val="0"/>
      <w:marTop w:val="0"/>
      <w:marBottom w:val="0"/>
      <w:divBdr>
        <w:top w:val="none" w:sz="0" w:space="0" w:color="auto"/>
        <w:left w:val="none" w:sz="0" w:space="0" w:color="auto"/>
        <w:bottom w:val="none" w:sz="0" w:space="0" w:color="auto"/>
        <w:right w:val="none" w:sz="0" w:space="0" w:color="auto"/>
      </w:divBdr>
    </w:div>
    <w:div w:id="722749776">
      <w:bodyDiv w:val="1"/>
      <w:marLeft w:val="0"/>
      <w:marRight w:val="0"/>
      <w:marTop w:val="0"/>
      <w:marBottom w:val="0"/>
      <w:divBdr>
        <w:top w:val="none" w:sz="0" w:space="0" w:color="auto"/>
        <w:left w:val="none" w:sz="0" w:space="0" w:color="auto"/>
        <w:bottom w:val="none" w:sz="0" w:space="0" w:color="auto"/>
        <w:right w:val="none" w:sz="0" w:space="0" w:color="auto"/>
      </w:divBdr>
    </w:div>
    <w:div w:id="722755780">
      <w:bodyDiv w:val="1"/>
      <w:marLeft w:val="0"/>
      <w:marRight w:val="0"/>
      <w:marTop w:val="0"/>
      <w:marBottom w:val="0"/>
      <w:divBdr>
        <w:top w:val="none" w:sz="0" w:space="0" w:color="auto"/>
        <w:left w:val="none" w:sz="0" w:space="0" w:color="auto"/>
        <w:bottom w:val="none" w:sz="0" w:space="0" w:color="auto"/>
        <w:right w:val="none" w:sz="0" w:space="0" w:color="auto"/>
      </w:divBdr>
    </w:div>
    <w:div w:id="724983785">
      <w:bodyDiv w:val="1"/>
      <w:marLeft w:val="0"/>
      <w:marRight w:val="0"/>
      <w:marTop w:val="0"/>
      <w:marBottom w:val="0"/>
      <w:divBdr>
        <w:top w:val="none" w:sz="0" w:space="0" w:color="auto"/>
        <w:left w:val="none" w:sz="0" w:space="0" w:color="auto"/>
        <w:bottom w:val="none" w:sz="0" w:space="0" w:color="auto"/>
        <w:right w:val="none" w:sz="0" w:space="0" w:color="auto"/>
      </w:divBdr>
    </w:div>
    <w:div w:id="725908219">
      <w:bodyDiv w:val="1"/>
      <w:marLeft w:val="0"/>
      <w:marRight w:val="0"/>
      <w:marTop w:val="0"/>
      <w:marBottom w:val="0"/>
      <w:divBdr>
        <w:top w:val="none" w:sz="0" w:space="0" w:color="auto"/>
        <w:left w:val="none" w:sz="0" w:space="0" w:color="auto"/>
        <w:bottom w:val="none" w:sz="0" w:space="0" w:color="auto"/>
        <w:right w:val="none" w:sz="0" w:space="0" w:color="auto"/>
      </w:divBdr>
    </w:div>
    <w:div w:id="726106047">
      <w:bodyDiv w:val="1"/>
      <w:marLeft w:val="0"/>
      <w:marRight w:val="0"/>
      <w:marTop w:val="0"/>
      <w:marBottom w:val="0"/>
      <w:divBdr>
        <w:top w:val="none" w:sz="0" w:space="0" w:color="auto"/>
        <w:left w:val="none" w:sz="0" w:space="0" w:color="auto"/>
        <w:bottom w:val="none" w:sz="0" w:space="0" w:color="auto"/>
        <w:right w:val="none" w:sz="0" w:space="0" w:color="auto"/>
      </w:divBdr>
    </w:div>
    <w:div w:id="726148462">
      <w:bodyDiv w:val="1"/>
      <w:marLeft w:val="0"/>
      <w:marRight w:val="0"/>
      <w:marTop w:val="0"/>
      <w:marBottom w:val="0"/>
      <w:divBdr>
        <w:top w:val="none" w:sz="0" w:space="0" w:color="auto"/>
        <w:left w:val="none" w:sz="0" w:space="0" w:color="auto"/>
        <w:bottom w:val="none" w:sz="0" w:space="0" w:color="auto"/>
        <w:right w:val="none" w:sz="0" w:space="0" w:color="auto"/>
      </w:divBdr>
    </w:div>
    <w:div w:id="726606662">
      <w:bodyDiv w:val="1"/>
      <w:marLeft w:val="0"/>
      <w:marRight w:val="0"/>
      <w:marTop w:val="0"/>
      <w:marBottom w:val="0"/>
      <w:divBdr>
        <w:top w:val="none" w:sz="0" w:space="0" w:color="auto"/>
        <w:left w:val="none" w:sz="0" w:space="0" w:color="auto"/>
        <w:bottom w:val="none" w:sz="0" w:space="0" w:color="auto"/>
        <w:right w:val="none" w:sz="0" w:space="0" w:color="auto"/>
      </w:divBdr>
    </w:div>
    <w:div w:id="730082965">
      <w:bodyDiv w:val="1"/>
      <w:marLeft w:val="0"/>
      <w:marRight w:val="0"/>
      <w:marTop w:val="0"/>
      <w:marBottom w:val="0"/>
      <w:divBdr>
        <w:top w:val="none" w:sz="0" w:space="0" w:color="auto"/>
        <w:left w:val="none" w:sz="0" w:space="0" w:color="auto"/>
        <w:bottom w:val="none" w:sz="0" w:space="0" w:color="auto"/>
        <w:right w:val="none" w:sz="0" w:space="0" w:color="auto"/>
      </w:divBdr>
    </w:div>
    <w:div w:id="731852156">
      <w:bodyDiv w:val="1"/>
      <w:marLeft w:val="0"/>
      <w:marRight w:val="0"/>
      <w:marTop w:val="0"/>
      <w:marBottom w:val="0"/>
      <w:divBdr>
        <w:top w:val="none" w:sz="0" w:space="0" w:color="auto"/>
        <w:left w:val="none" w:sz="0" w:space="0" w:color="auto"/>
        <w:bottom w:val="none" w:sz="0" w:space="0" w:color="auto"/>
        <w:right w:val="none" w:sz="0" w:space="0" w:color="auto"/>
      </w:divBdr>
    </w:div>
    <w:div w:id="732047175">
      <w:bodyDiv w:val="1"/>
      <w:marLeft w:val="0"/>
      <w:marRight w:val="0"/>
      <w:marTop w:val="0"/>
      <w:marBottom w:val="0"/>
      <w:divBdr>
        <w:top w:val="none" w:sz="0" w:space="0" w:color="auto"/>
        <w:left w:val="none" w:sz="0" w:space="0" w:color="auto"/>
        <w:bottom w:val="none" w:sz="0" w:space="0" w:color="auto"/>
        <w:right w:val="none" w:sz="0" w:space="0" w:color="auto"/>
      </w:divBdr>
    </w:div>
    <w:div w:id="736050882">
      <w:bodyDiv w:val="1"/>
      <w:marLeft w:val="0"/>
      <w:marRight w:val="0"/>
      <w:marTop w:val="0"/>
      <w:marBottom w:val="0"/>
      <w:divBdr>
        <w:top w:val="none" w:sz="0" w:space="0" w:color="auto"/>
        <w:left w:val="none" w:sz="0" w:space="0" w:color="auto"/>
        <w:bottom w:val="none" w:sz="0" w:space="0" w:color="auto"/>
        <w:right w:val="none" w:sz="0" w:space="0" w:color="auto"/>
      </w:divBdr>
    </w:div>
    <w:div w:id="737019141">
      <w:bodyDiv w:val="1"/>
      <w:marLeft w:val="0"/>
      <w:marRight w:val="0"/>
      <w:marTop w:val="0"/>
      <w:marBottom w:val="0"/>
      <w:divBdr>
        <w:top w:val="none" w:sz="0" w:space="0" w:color="auto"/>
        <w:left w:val="none" w:sz="0" w:space="0" w:color="auto"/>
        <w:bottom w:val="none" w:sz="0" w:space="0" w:color="auto"/>
        <w:right w:val="none" w:sz="0" w:space="0" w:color="auto"/>
      </w:divBdr>
    </w:div>
    <w:div w:id="738328949">
      <w:bodyDiv w:val="1"/>
      <w:marLeft w:val="0"/>
      <w:marRight w:val="0"/>
      <w:marTop w:val="0"/>
      <w:marBottom w:val="0"/>
      <w:divBdr>
        <w:top w:val="none" w:sz="0" w:space="0" w:color="auto"/>
        <w:left w:val="none" w:sz="0" w:space="0" w:color="auto"/>
        <w:bottom w:val="none" w:sz="0" w:space="0" w:color="auto"/>
        <w:right w:val="none" w:sz="0" w:space="0" w:color="auto"/>
      </w:divBdr>
    </w:div>
    <w:div w:id="738744991">
      <w:bodyDiv w:val="1"/>
      <w:marLeft w:val="0"/>
      <w:marRight w:val="0"/>
      <w:marTop w:val="0"/>
      <w:marBottom w:val="0"/>
      <w:divBdr>
        <w:top w:val="none" w:sz="0" w:space="0" w:color="auto"/>
        <w:left w:val="none" w:sz="0" w:space="0" w:color="auto"/>
        <w:bottom w:val="none" w:sz="0" w:space="0" w:color="auto"/>
        <w:right w:val="none" w:sz="0" w:space="0" w:color="auto"/>
      </w:divBdr>
    </w:div>
    <w:div w:id="740637662">
      <w:bodyDiv w:val="1"/>
      <w:marLeft w:val="0"/>
      <w:marRight w:val="0"/>
      <w:marTop w:val="0"/>
      <w:marBottom w:val="0"/>
      <w:divBdr>
        <w:top w:val="none" w:sz="0" w:space="0" w:color="auto"/>
        <w:left w:val="none" w:sz="0" w:space="0" w:color="auto"/>
        <w:bottom w:val="none" w:sz="0" w:space="0" w:color="auto"/>
        <w:right w:val="none" w:sz="0" w:space="0" w:color="auto"/>
      </w:divBdr>
    </w:div>
    <w:div w:id="740644172">
      <w:bodyDiv w:val="1"/>
      <w:marLeft w:val="0"/>
      <w:marRight w:val="0"/>
      <w:marTop w:val="0"/>
      <w:marBottom w:val="0"/>
      <w:divBdr>
        <w:top w:val="none" w:sz="0" w:space="0" w:color="auto"/>
        <w:left w:val="none" w:sz="0" w:space="0" w:color="auto"/>
        <w:bottom w:val="none" w:sz="0" w:space="0" w:color="auto"/>
        <w:right w:val="none" w:sz="0" w:space="0" w:color="auto"/>
      </w:divBdr>
    </w:div>
    <w:div w:id="743725556">
      <w:bodyDiv w:val="1"/>
      <w:marLeft w:val="0"/>
      <w:marRight w:val="0"/>
      <w:marTop w:val="0"/>
      <w:marBottom w:val="0"/>
      <w:divBdr>
        <w:top w:val="none" w:sz="0" w:space="0" w:color="auto"/>
        <w:left w:val="none" w:sz="0" w:space="0" w:color="auto"/>
        <w:bottom w:val="none" w:sz="0" w:space="0" w:color="auto"/>
        <w:right w:val="none" w:sz="0" w:space="0" w:color="auto"/>
      </w:divBdr>
    </w:div>
    <w:div w:id="744301473">
      <w:bodyDiv w:val="1"/>
      <w:marLeft w:val="0"/>
      <w:marRight w:val="0"/>
      <w:marTop w:val="0"/>
      <w:marBottom w:val="0"/>
      <w:divBdr>
        <w:top w:val="none" w:sz="0" w:space="0" w:color="auto"/>
        <w:left w:val="none" w:sz="0" w:space="0" w:color="auto"/>
        <w:bottom w:val="none" w:sz="0" w:space="0" w:color="auto"/>
        <w:right w:val="none" w:sz="0" w:space="0" w:color="auto"/>
      </w:divBdr>
    </w:div>
    <w:div w:id="744843241">
      <w:bodyDiv w:val="1"/>
      <w:marLeft w:val="0"/>
      <w:marRight w:val="0"/>
      <w:marTop w:val="0"/>
      <w:marBottom w:val="0"/>
      <w:divBdr>
        <w:top w:val="none" w:sz="0" w:space="0" w:color="auto"/>
        <w:left w:val="none" w:sz="0" w:space="0" w:color="auto"/>
        <w:bottom w:val="none" w:sz="0" w:space="0" w:color="auto"/>
        <w:right w:val="none" w:sz="0" w:space="0" w:color="auto"/>
      </w:divBdr>
    </w:div>
    <w:div w:id="745804805">
      <w:bodyDiv w:val="1"/>
      <w:marLeft w:val="0"/>
      <w:marRight w:val="0"/>
      <w:marTop w:val="0"/>
      <w:marBottom w:val="0"/>
      <w:divBdr>
        <w:top w:val="none" w:sz="0" w:space="0" w:color="auto"/>
        <w:left w:val="none" w:sz="0" w:space="0" w:color="auto"/>
        <w:bottom w:val="none" w:sz="0" w:space="0" w:color="auto"/>
        <w:right w:val="none" w:sz="0" w:space="0" w:color="auto"/>
      </w:divBdr>
    </w:div>
    <w:div w:id="747267029">
      <w:bodyDiv w:val="1"/>
      <w:marLeft w:val="0"/>
      <w:marRight w:val="0"/>
      <w:marTop w:val="0"/>
      <w:marBottom w:val="0"/>
      <w:divBdr>
        <w:top w:val="none" w:sz="0" w:space="0" w:color="auto"/>
        <w:left w:val="none" w:sz="0" w:space="0" w:color="auto"/>
        <w:bottom w:val="none" w:sz="0" w:space="0" w:color="auto"/>
        <w:right w:val="none" w:sz="0" w:space="0" w:color="auto"/>
      </w:divBdr>
    </w:div>
    <w:div w:id="747534425">
      <w:bodyDiv w:val="1"/>
      <w:marLeft w:val="0"/>
      <w:marRight w:val="0"/>
      <w:marTop w:val="0"/>
      <w:marBottom w:val="0"/>
      <w:divBdr>
        <w:top w:val="none" w:sz="0" w:space="0" w:color="auto"/>
        <w:left w:val="none" w:sz="0" w:space="0" w:color="auto"/>
        <w:bottom w:val="none" w:sz="0" w:space="0" w:color="auto"/>
        <w:right w:val="none" w:sz="0" w:space="0" w:color="auto"/>
      </w:divBdr>
    </w:div>
    <w:div w:id="748191377">
      <w:bodyDiv w:val="1"/>
      <w:marLeft w:val="0"/>
      <w:marRight w:val="0"/>
      <w:marTop w:val="0"/>
      <w:marBottom w:val="0"/>
      <w:divBdr>
        <w:top w:val="none" w:sz="0" w:space="0" w:color="auto"/>
        <w:left w:val="none" w:sz="0" w:space="0" w:color="auto"/>
        <w:bottom w:val="none" w:sz="0" w:space="0" w:color="auto"/>
        <w:right w:val="none" w:sz="0" w:space="0" w:color="auto"/>
      </w:divBdr>
    </w:div>
    <w:div w:id="750083855">
      <w:bodyDiv w:val="1"/>
      <w:marLeft w:val="0"/>
      <w:marRight w:val="0"/>
      <w:marTop w:val="0"/>
      <w:marBottom w:val="0"/>
      <w:divBdr>
        <w:top w:val="none" w:sz="0" w:space="0" w:color="auto"/>
        <w:left w:val="none" w:sz="0" w:space="0" w:color="auto"/>
        <w:bottom w:val="none" w:sz="0" w:space="0" w:color="auto"/>
        <w:right w:val="none" w:sz="0" w:space="0" w:color="auto"/>
      </w:divBdr>
    </w:div>
    <w:div w:id="751974980">
      <w:bodyDiv w:val="1"/>
      <w:marLeft w:val="0"/>
      <w:marRight w:val="0"/>
      <w:marTop w:val="0"/>
      <w:marBottom w:val="0"/>
      <w:divBdr>
        <w:top w:val="none" w:sz="0" w:space="0" w:color="auto"/>
        <w:left w:val="none" w:sz="0" w:space="0" w:color="auto"/>
        <w:bottom w:val="none" w:sz="0" w:space="0" w:color="auto"/>
        <w:right w:val="none" w:sz="0" w:space="0" w:color="auto"/>
      </w:divBdr>
    </w:div>
    <w:div w:id="753472195">
      <w:bodyDiv w:val="1"/>
      <w:marLeft w:val="0"/>
      <w:marRight w:val="0"/>
      <w:marTop w:val="0"/>
      <w:marBottom w:val="0"/>
      <w:divBdr>
        <w:top w:val="none" w:sz="0" w:space="0" w:color="auto"/>
        <w:left w:val="none" w:sz="0" w:space="0" w:color="auto"/>
        <w:bottom w:val="none" w:sz="0" w:space="0" w:color="auto"/>
        <w:right w:val="none" w:sz="0" w:space="0" w:color="auto"/>
      </w:divBdr>
    </w:div>
    <w:div w:id="754128240">
      <w:bodyDiv w:val="1"/>
      <w:marLeft w:val="0"/>
      <w:marRight w:val="0"/>
      <w:marTop w:val="0"/>
      <w:marBottom w:val="0"/>
      <w:divBdr>
        <w:top w:val="none" w:sz="0" w:space="0" w:color="auto"/>
        <w:left w:val="none" w:sz="0" w:space="0" w:color="auto"/>
        <w:bottom w:val="none" w:sz="0" w:space="0" w:color="auto"/>
        <w:right w:val="none" w:sz="0" w:space="0" w:color="auto"/>
      </w:divBdr>
    </w:div>
    <w:div w:id="755323494">
      <w:bodyDiv w:val="1"/>
      <w:marLeft w:val="0"/>
      <w:marRight w:val="0"/>
      <w:marTop w:val="0"/>
      <w:marBottom w:val="0"/>
      <w:divBdr>
        <w:top w:val="none" w:sz="0" w:space="0" w:color="auto"/>
        <w:left w:val="none" w:sz="0" w:space="0" w:color="auto"/>
        <w:bottom w:val="none" w:sz="0" w:space="0" w:color="auto"/>
        <w:right w:val="none" w:sz="0" w:space="0" w:color="auto"/>
      </w:divBdr>
    </w:div>
    <w:div w:id="756293288">
      <w:bodyDiv w:val="1"/>
      <w:marLeft w:val="0"/>
      <w:marRight w:val="0"/>
      <w:marTop w:val="0"/>
      <w:marBottom w:val="0"/>
      <w:divBdr>
        <w:top w:val="none" w:sz="0" w:space="0" w:color="auto"/>
        <w:left w:val="none" w:sz="0" w:space="0" w:color="auto"/>
        <w:bottom w:val="none" w:sz="0" w:space="0" w:color="auto"/>
        <w:right w:val="none" w:sz="0" w:space="0" w:color="auto"/>
      </w:divBdr>
    </w:div>
    <w:div w:id="756365703">
      <w:bodyDiv w:val="1"/>
      <w:marLeft w:val="0"/>
      <w:marRight w:val="0"/>
      <w:marTop w:val="0"/>
      <w:marBottom w:val="0"/>
      <w:divBdr>
        <w:top w:val="none" w:sz="0" w:space="0" w:color="auto"/>
        <w:left w:val="none" w:sz="0" w:space="0" w:color="auto"/>
        <w:bottom w:val="none" w:sz="0" w:space="0" w:color="auto"/>
        <w:right w:val="none" w:sz="0" w:space="0" w:color="auto"/>
      </w:divBdr>
    </w:div>
    <w:div w:id="756631355">
      <w:bodyDiv w:val="1"/>
      <w:marLeft w:val="0"/>
      <w:marRight w:val="0"/>
      <w:marTop w:val="0"/>
      <w:marBottom w:val="0"/>
      <w:divBdr>
        <w:top w:val="none" w:sz="0" w:space="0" w:color="auto"/>
        <w:left w:val="none" w:sz="0" w:space="0" w:color="auto"/>
        <w:bottom w:val="none" w:sz="0" w:space="0" w:color="auto"/>
        <w:right w:val="none" w:sz="0" w:space="0" w:color="auto"/>
      </w:divBdr>
    </w:div>
    <w:div w:id="757824090">
      <w:bodyDiv w:val="1"/>
      <w:marLeft w:val="0"/>
      <w:marRight w:val="0"/>
      <w:marTop w:val="0"/>
      <w:marBottom w:val="0"/>
      <w:divBdr>
        <w:top w:val="none" w:sz="0" w:space="0" w:color="auto"/>
        <w:left w:val="none" w:sz="0" w:space="0" w:color="auto"/>
        <w:bottom w:val="none" w:sz="0" w:space="0" w:color="auto"/>
        <w:right w:val="none" w:sz="0" w:space="0" w:color="auto"/>
      </w:divBdr>
    </w:div>
    <w:div w:id="757989872">
      <w:bodyDiv w:val="1"/>
      <w:marLeft w:val="0"/>
      <w:marRight w:val="0"/>
      <w:marTop w:val="0"/>
      <w:marBottom w:val="0"/>
      <w:divBdr>
        <w:top w:val="none" w:sz="0" w:space="0" w:color="auto"/>
        <w:left w:val="none" w:sz="0" w:space="0" w:color="auto"/>
        <w:bottom w:val="none" w:sz="0" w:space="0" w:color="auto"/>
        <w:right w:val="none" w:sz="0" w:space="0" w:color="auto"/>
      </w:divBdr>
    </w:div>
    <w:div w:id="758600817">
      <w:bodyDiv w:val="1"/>
      <w:marLeft w:val="0"/>
      <w:marRight w:val="0"/>
      <w:marTop w:val="0"/>
      <w:marBottom w:val="0"/>
      <w:divBdr>
        <w:top w:val="none" w:sz="0" w:space="0" w:color="auto"/>
        <w:left w:val="none" w:sz="0" w:space="0" w:color="auto"/>
        <w:bottom w:val="none" w:sz="0" w:space="0" w:color="auto"/>
        <w:right w:val="none" w:sz="0" w:space="0" w:color="auto"/>
      </w:divBdr>
    </w:div>
    <w:div w:id="759302331">
      <w:bodyDiv w:val="1"/>
      <w:marLeft w:val="0"/>
      <w:marRight w:val="0"/>
      <w:marTop w:val="0"/>
      <w:marBottom w:val="0"/>
      <w:divBdr>
        <w:top w:val="none" w:sz="0" w:space="0" w:color="auto"/>
        <w:left w:val="none" w:sz="0" w:space="0" w:color="auto"/>
        <w:bottom w:val="none" w:sz="0" w:space="0" w:color="auto"/>
        <w:right w:val="none" w:sz="0" w:space="0" w:color="auto"/>
      </w:divBdr>
    </w:div>
    <w:div w:id="761340554">
      <w:bodyDiv w:val="1"/>
      <w:marLeft w:val="0"/>
      <w:marRight w:val="0"/>
      <w:marTop w:val="0"/>
      <w:marBottom w:val="0"/>
      <w:divBdr>
        <w:top w:val="none" w:sz="0" w:space="0" w:color="auto"/>
        <w:left w:val="none" w:sz="0" w:space="0" w:color="auto"/>
        <w:bottom w:val="none" w:sz="0" w:space="0" w:color="auto"/>
        <w:right w:val="none" w:sz="0" w:space="0" w:color="auto"/>
      </w:divBdr>
    </w:div>
    <w:div w:id="762068109">
      <w:bodyDiv w:val="1"/>
      <w:marLeft w:val="0"/>
      <w:marRight w:val="0"/>
      <w:marTop w:val="0"/>
      <w:marBottom w:val="0"/>
      <w:divBdr>
        <w:top w:val="none" w:sz="0" w:space="0" w:color="auto"/>
        <w:left w:val="none" w:sz="0" w:space="0" w:color="auto"/>
        <w:bottom w:val="none" w:sz="0" w:space="0" w:color="auto"/>
        <w:right w:val="none" w:sz="0" w:space="0" w:color="auto"/>
      </w:divBdr>
    </w:div>
    <w:div w:id="762384300">
      <w:bodyDiv w:val="1"/>
      <w:marLeft w:val="0"/>
      <w:marRight w:val="0"/>
      <w:marTop w:val="0"/>
      <w:marBottom w:val="0"/>
      <w:divBdr>
        <w:top w:val="none" w:sz="0" w:space="0" w:color="auto"/>
        <w:left w:val="none" w:sz="0" w:space="0" w:color="auto"/>
        <w:bottom w:val="none" w:sz="0" w:space="0" w:color="auto"/>
        <w:right w:val="none" w:sz="0" w:space="0" w:color="auto"/>
      </w:divBdr>
    </w:div>
    <w:div w:id="762843891">
      <w:bodyDiv w:val="1"/>
      <w:marLeft w:val="0"/>
      <w:marRight w:val="0"/>
      <w:marTop w:val="0"/>
      <w:marBottom w:val="0"/>
      <w:divBdr>
        <w:top w:val="none" w:sz="0" w:space="0" w:color="auto"/>
        <w:left w:val="none" w:sz="0" w:space="0" w:color="auto"/>
        <w:bottom w:val="none" w:sz="0" w:space="0" w:color="auto"/>
        <w:right w:val="none" w:sz="0" w:space="0" w:color="auto"/>
      </w:divBdr>
    </w:div>
    <w:div w:id="762990817">
      <w:bodyDiv w:val="1"/>
      <w:marLeft w:val="0"/>
      <w:marRight w:val="0"/>
      <w:marTop w:val="0"/>
      <w:marBottom w:val="0"/>
      <w:divBdr>
        <w:top w:val="none" w:sz="0" w:space="0" w:color="auto"/>
        <w:left w:val="none" w:sz="0" w:space="0" w:color="auto"/>
        <w:bottom w:val="none" w:sz="0" w:space="0" w:color="auto"/>
        <w:right w:val="none" w:sz="0" w:space="0" w:color="auto"/>
      </w:divBdr>
    </w:div>
    <w:div w:id="763191954">
      <w:bodyDiv w:val="1"/>
      <w:marLeft w:val="0"/>
      <w:marRight w:val="0"/>
      <w:marTop w:val="0"/>
      <w:marBottom w:val="0"/>
      <w:divBdr>
        <w:top w:val="none" w:sz="0" w:space="0" w:color="auto"/>
        <w:left w:val="none" w:sz="0" w:space="0" w:color="auto"/>
        <w:bottom w:val="none" w:sz="0" w:space="0" w:color="auto"/>
        <w:right w:val="none" w:sz="0" w:space="0" w:color="auto"/>
      </w:divBdr>
    </w:div>
    <w:div w:id="763304246">
      <w:bodyDiv w:val="1"/>
      <w:marLeft w:val="0"/>
      <w:marRight w:val="0"/>
      <w:marTop w:val="0"/>
      <w:marBottom w:val="0"/>
      <w:divBdr>
        <w:top w:val="none" w:sz="0" w:space="0" w:color="auto"/>
        <w:left w:val="none" w:sz="0" w:space="0" w:color="auto"/>
        <w:bottom w:val="none" w:sz="0" w:space="0" w:color="auto"/>
        <w:right w:val="none" w:sz="0" w:space="0" w:color="auto"/>
      </w:divBdr>
    </w:div>
    <w:div w:id="763496766">
      <w:bodyDiv w:val="1"/>
      <w:marLeft w:val="0"/>
      <w:marRight w:val="0"/>
      <w:marTop w:val="0"/>
      <w:marBottom w:val="0"/>
      <w:divBdr>
        <w:top w:val="none" w:sz="0" w:space="0" w:color="auto"/>
        <w:left w:val="none" w:sz="0" w:space="0" w:color="auto"/>
        <w:bottom w:val="none" w:sz="0" w:space="0" w:color="auto"/>
        <w:right w:val="none" w:sz="0" w:space="0" w:color="auto"/>
      </w:divBdr>
    </w:div>
    <w:div w:id="764039399">
      <w:bodyDiv w:val="1"/>
      <w:marLeft w:val="0"/>
      <w:marRight w:val="0"/>
      <w:marTop w:val="0"/>
      <w:marBottom w:val="0"/>
      <w:divBdr>
        <w:top w:val="none" w:sz="0" w:space="0" w:color="auto"/>
        <w:left w:val="none" w:sz="0" w:space="0" w:color="auto"/>
        <w:bottom w:val="none" w:sz="0" w:space="0" w:color="auto"/>
        <w:right w:val="none" w:sz="0" w:space="0" w:color="auto"/>
      </w:divBdr>
    </w:div>
    <w:div w:id="764497796">
      <w:bodyDiv w:val="1"/>
      <w:marLeft w:val="0"/>
      <w:marRight w:val="0"/>
      <w:marTop w:val="0"/>
      <w:marBottom w:val="0"/>
      <w:divBdr>
        <w:top w:val="none" w:sz="0" w:space="0" w:color="auto"/>
        <w:left w:val="none" w:sz="0" w:space="0" w:color="auto"/>
        <w:bottom w:val="none" w:sz="0" w:space="0" w:color="auto"/>
        <w:right w:val="none" w:sz="0" w:space="0" w:color="auto"/>
      </w:divBdr>
    </w:div>
    <w:div w:id="766266327">
      <w:bodyDiv w:val="1"/>
      <w:marLeft w:val="0"/>
      <w:marRight w:val="0"/>
      <w:marTop w:val="0"/>
      <w:marBottom w:val="0"/>
      <w:divBdr>
        <w:top w:val="none" w:sz="0" w:space="0" w:color="auto"/>
        <w:left w:val="none" w:sz="0" w:space="0" w:color="auto"/>
        <w:bottom w:val="none" w:sz="0" w:space="0" w:color="auto"/>
        <w:right w:val="none" w:sz="0" w:space="0" w:color="auto"/>
      </w:divBdr>
    </w:div>
    <w:div w:id="767040835">
      <w:bodyDiv w:val="1"/>
      <w:marLeft w:val="0"/>
      <w:marRight w:val="0"/>
      <w:marTop w:val="0"/>
      <w:marBottom w:val="0"/>
      <w:divBdr>
        <w:top w:val="none" w:sz="0" w:space="0" w:color="auto"/>
        <w:left w:val="none" w:sz="0" w:space="0" w:color="auto"/>
        <w:bottom w:val="none" w:sz="0" w:space="0" w:color="auto"/>
        <w:right w:val="none" w:sz="0" w:space="0" w:color="auto"/>
      </w:divBdr>
    </w:div>
    <w:div w:id="767118417">
      <w:bodyDiv w:val="1"/>
      <w:marLeft w:val="0"/>
      <w:marRight w:val="0"/>
      <w:marTop w:val="0"/>
      <w:marBottom w:val="0"/>
      <w:divBdr>
        <w:top w:val="none" w:sz="0" w:space="0" w:color="auto"/>
        <w:left w:val="none" w:sz="0" w:space="0" w:color="auto"/>
        <w:bottom w:val="none" w:sz="0" w:space="0" w:color="auto"/>
        <w:right w:val="none" w:sz="0" w:space="0" w:color="auto"/>
      </w:divBdr>
    </w:div>
    <w:div w:id="767193537">
      <w:bodyDiv w:val="1"/>
      <w:marLeft w:val="0"/>
      <w:marRight w:val="0"/>
      <w:marTop w:val="0"/>
      <w:marBottom w:val="0"/>
      <w:divBdr>
        <w:top w:val="none" w:sz="0" w:space="0" w:color="auto"/>
        <w:left w:val="none" w:sz="0" w:space="0" w:color="auto"/>
        <w:bottom w:val="none" w:sz="0" w:space="0" w:color="auto"/>
        <w:right w:val="none" w:sz="0" w:space="0" w:color="auto"/>
      </w:divBdr>
    </w:div>
    <w:div w:id="768157367">
      <w:bodyDiv w:val="1"/>
      <w:marLeft w:val="0"/>
      <w:marRight w:val="0"/>
      <w:marTop w:val="0"/>
      <w:marBottom w:val="0"/>
      <w:divBdr>
        <w:top w:val="none" w:sz="0" w:space="0" w:color="auto"/>
        <w:left w:val="none" w:sz="0" w:space="0" w:color="auto"/>
        <w:bottom w:val="none" w:sz="0" w:space="0" w:color="auto"/>
        <w:right w:val="none" w:sz="0" w:space="0" w:color="auto"/>
      </w:divBdr>
    </w:div>
    <w:div w:id="768814478">
      <w:bodyDiv w:val="1"/>
      <w:marLeft w:val="0"/>
      <w:marRight w:val="0"/>
      <w:marTop w:val="0"/>
      <w:marBottom w:val="0"/>
      <w:divBdr>
        <w:top w:val="none" w:sz="0" w:space="0" w:color="auto"/>
        <w:left w:val="none" w:sz="0" w:space="0" w:color="auto"/>
        <w:bottom w:val="none" w:sz="0" w:space="0" w:color="auto"/>
        <w:right w:val="none" w:sz="0" w:space="0" w:color="auto"/>
      </w:divBdr>
    </w:div>
    <w:div w:id="770079733">
      <w:bodyDiv w:val="1"/>
      <w:marLeft w:val="0"/>
      <w:marRight w:val="0"/>
      <w:marTop w:val="0"/>
      <w:marBottom w:val="0"/>
      <w:divBdr>
        <w:top w:val="none" w:sz="0" w:space="0" w:color="auto"/>
        <w:left w:val="none" w:sz="0" w:space="0" w:color="auto"/>
        <w:bottom w:val="none" w:sz="0" w:space="0" w:color="auto"/>
        <w:right w:val="none" w:sz="0" w:space="0" w:color="auto"/>
      </w:divBdr>
    </w:div>
    <w:div w:id="770979853">
      <w:bodyDiv w:val="1"/>
      <w:marLeft w:val="0"/>
      <w:marRight w:val="0"/>
      <w:marTop w:val="0"/>
      <w:marBottom w:val="0"/>
      <w:divBdr>
        <w:top w:val="none" w:sz="0" w:space="0" w:color="auto"/>
        <w:left w:val="none" w:sz="0" w:space="0" w:color="auto"/>
        <w:bottom w:val="none" w:sz="0" w:space="0" w:color="auto"/>
        <w:right w:val="none" w:sz="0" w:space="0" w:color="auto"/>
      </w:divBdr>
    </w:div>
    <w:div w:id="771321231">
      <w:bodyDiv w:val="1"/>
      <w:marLeft w:val="0"/>
      <w:marRight w:val="0"/>
      <w:marTop w:val="0"/>
      <w:marBottom w:val="0"/>
      <w:divBdr>
        <w:top w:val="none" w:sz="0" w:space="0" w:color="auto"/>
        <w:left w:val="none" w:sz="0" w:space="0" w:color="auto"/>
        <w:bottom w:val="none" w:sz="0" w:space="0" w:color="auto"/>
        <w:right w:val="none" w:sz="0" w:space="0" w:color="auto"/>
      </w:divBdr>
    </w:div>
    <w:div w:id="776561765">
      <w:bodyDiv w:val="1"/>
      <w:marLeft w:val="0"/>
      <w:marRight w:val="0"/>
      <w:marTop w:val="0"/>
      <w:marBottom w:val="0"/>
      <w:divBdr>
        <w:top w:val="none" w:sz="0" w:space="0" w:color="auto"/>
        <w:left w:val="none" w:sz="0" w:space="0" w:color="auto"/>
        <w:bottom w:val="none" w:sz="0" w:space="0" w:color="auto"/>
        <w:right w:val="none" w:sz="0" w:space="0" w:color="auto"/>
      </w:divBdr>
    </w:div>
    <w:div w:id="777944061">
      <w:bodyDiv w:val="1"/>
      <w:marLeft w:val="0"/>
      <w:marRight w:val="0"/>
      <w:marTop w:val="0"/>
      <w:marBottom w:val="0"/>
      <w:divBdr>
        <w:top w:val="none" w:sz="0" w:space="0" w:color="auto"/>
        <w:left w:val="none" w:sz="0" w:space="0" w:color="auto"/>
        <w:bottom w:val="none" w:sz="0" w:space="0" w:color="auto"/>
        <w:right w:val="none" w:sz="0" w:space="0" w:color="auto"/>
      </w:divBdr>
    </w:div>
    <w:div w:id="779254429">
      <w:bodyDiv w:val="1"/>
      <w:marLeft w:val="0"/>
      <w:marRight w:val="0"/>
      <w:marTop w:val="0"/>
      <w:marBottom w:val="0"/>
      <w:divBdr>
        <w:top w:val="none" w:sz="0" w:space="0" w:color="auto"/>
        <w:left w:val="none" w:sz="0" w:space="0" w:color="auto"/>
        <w:bottom w:val="none" w:sz="0" w:space="0" w:color="auto"/>
        <w:right w:val="none" w:sz="0" w:space="0" w:color="auto"/>
      </w:divBdr>
    </w:div>
    <w:div w:id="779448763">
      <w:bodyDiv w:val="1"/>
      <w:marLeft w:val="0"/>
      <w:marRight w:val="0"/>
      <w:marTop w:val="0"/>
      <w:marBottom w:val="0"/>
      <w:divBdr>
        <w:top w:val="none" w:sz="0" w:space="0" w:color="auto"/>
        <w:left w:val="none" w:sz="0" w:space="0" w:color="auto"/>
        <w:bottom w:val="none" w:sz="0" w:space="0" w:color="auto"/>
        <w:right w:val="none" w:sz="0" w:space="0" w:color="auto"/>
      </w:divBdr>
    </w:div>
    <w:div w:id="780228435">
      <w:bodyDiv w:val="1"/>
      <w:marLeft w:val="0"/>
      <w:marRight w:val="0"/>
      <w:marTop w:val="0"/>
      <w:marBottom w:val="0"/>
      <w:divBdr>
        <w:top w:val="none" w:sz="0" w:space="0" w:color="auto"/>
        <w:left w:val="none" w:sz="0" w:space="0" w:color="auto"/>
        <w:bottom w:val="none" w:sz="0" w:space="0" w:color="auto"/>
        <w:right w:val="none" w:sz="0" w:space="0" w:color="auto"/>
      </w:divBdr>
    </w:div>
    <w:div w:id="780877197">
      <w:bodyDiv w:val="1"/>
      <w:marLeft w:val="0"/>
      <w:marRight w:val="0"/>
      <w:marTop w:val="0"/>
      <w:marBottom w:val="0"/>
      <w:divBdr>
        <w:top w:val="none" w:sz="0" w:space="0" w:color="auto"/>
        <w:left w:val="none" w:sz="0" w:space="0" w:color="auto"/>
        <w:bottom w:val="none" w:sz="0" w:space="0" w:color="auto"/>
        <w:right w:val="none" w:sz="0" w:space="0" w:color="auto"/>
      </w:divBdr>
    </w:div>
    <w:div w:id="784344829">
      <w:bodyDiv w:val="1"/>
      <w:marLeft w:val="0"/>
      <w:marRight w:val="0"/>
      <w:marTop w:val="0"/>
      <w:marBottom w:val="0"/>
      <w:divBdr>
        <w:top w:val="none" w:sz="0" w:space="0" w:color="auto"/>
        <w:left w:val="none" w:sz="0" w:space="0" w:color="auto"/>
        <w:bottom w:val="none" w:sz="0" w:space="0" w:color="auto"/>
        <w:right w:val="none" w:sz="0" w:space="0" w:color="auto"/>
      </w:divBdr>
    </w:div>
    <w:div w:id="784468575">
      <w:bodyDiv w:val="1"/>
      <w:marLeft w:val="0"/>
      <w:marRight w:val="0"/>
      <w:marTop w:val="0"/>
      <w:marBottom w:val="0"/>
      <w:divBdr>
        <w:top w:val="none" w:sz="0" w:space="0" w:color="auto"/>
        <w:left w:val="none" w:sz="0" w:space="0" w:color="auto"/>
        <w:bottom w:val="none" w:sz="0" w:space="0" w:color="auto"/>
        <w:right w:val="none" w:sz="0" w:space="0" w:color="auto"/>
      </w:divBdr>
    </w:div>
    <w:div w:id="785276024">
      <w:bodyDiv w:val="1"/>
      <w:marLeft w:val="0"/>
      <w:marRight w:val="0"/>
      <w:marTop w:val="0"/>
      <w:marBottom w:val="0"/>
      <w:divBdr>
        <w:top w:val="none" w:sz="0" w:space="0" w:color="auto"/>
        <w:left w:val="none" w:sz="0" w:space="0" w:color="auto"/>
        <w:bottom w:val="none" w:sz="0" w:space="0" w:color="auto"/>
        <w:right w:val="none" w:sz="0" w:space="0" w:color="auto"/>
      </w:divBdr>
    </w:div>
    <w:div w:id="786310954">
      <w:bodyDiv w:val="1"/>
      <w:marLeft w:val="0"/>
      <w:marRight w:val="0"/>
      <w:marTop w:val="0"/>
      <w:marBottom w:val="0"/>
      <w:divBdr>
        <w:top w:val="none" w:sz="0" w:space="0" w:color="auto"/>
        <w:left w:val="none" w:sz="0" w:space="0" w:color="auto"/>
        <w:bottom w:val="none" w:sz="0" w:space="0" w:color="auto"/>
        <w:right w:val="none" w:sz="0" w:space="0" w:color="auto"/>
      </w:divBdr>
    </w:div>
    <w:div w:id="786391834">
      <w:bodyDiv w:val="1"/>
      <w:marLeft w:val="0"/>
      <w:marRight w:val="0"/>
      <w:marTop w:val="0"/>
      <w:marBottom w:val="0"/>
      <w:divBdr>
        <w:top w:val="none" w:sz="0" w:space="0" w:color="auto"/>
        <w:left w:val="none" w:sz="0" w:space="0" w:color="auto"/>
        <w:bottom w:val="none" w:sz="0" w:space="0" w:color="auto"/>
        <w:right w:val="none" w:sz="0" w:space="0" w:color="auto"/>
      </w:divBdr>
    </w:div>
    <w:div w:id="786775191">
      <w:bodyDiv w:val="1"/>
      <w:marLeft w:val="0"/>
      <w:marRight w:val="0"/>
      <w:marTop w:val="0"/>
      <w:marBottom w:val="0"/>
      <w:divBdr>
        <w:top w:val="none" w:sz="0" w:space="0" w:color="auto"/>
        <w:left w:val="none" w:sz="0" w:space="0" w:color="auto"/>
        <w:bottom w:val="none" w:sz="0" w:space="0" w:color="auto"/>
        <w:right w:val="none" w:sz="0" w:space="0" w:color="auto"/>
      </w:divBdr>
    </w:div>
    <w:div w:id="787360123">
      <w:bodyDiv w:val="1"/>
      <w:marLeft w:val="0"/>
      <w:marRight w:val="0"/>
      <w:marTop w:val="0"/>
      <w:marBottom w:val="0"/>
      <w:divBdr>
        <w:top w:val="none" w:sz="0" w:space="0" w:color="auto"/>
        <w:left w:val="none" w:sz="0" w:space="0" w:color="auto"/>
        <w:bottom w:val="none" w:sz="0" w:space="0" w:color="auto"/>
        <w:right w:val="none" w:sz="0" w:space="0" w:color="auto"/>
      </w:divBdr>
    </w:div>
    <w:div w:id="788012049">
      <w:bodyDiv w:val="1"/>
      <w:marLeft w:val="0"/>
      <w:marRight w:val="0"/>
      <w:marTop w:val="0"/>
      <w:marBottom w:val="0"/>
      <w:divBdr>
        <w:top w:val="none" w:sz="0" w:space="0" w:color="auto"/>
        <w:left w:val="none" w:sz="0" w:space="0" w:color="auto"/>
        <w:bottom w:val="none" w:sz="0" w:space="0" w:color="auto"/>
        <w:right w:val="none" w:sz="0" w:space="0" w:color="auto"/>
      </w:divBdr>
    </w:div>
    <w:div w:id="789906663">
      <w:bodyDiv w:val="1"/>
      <w:marLeft w:val="0"/>
      <w:marRight w:val="0"/>
      <w:marTop w:val="0"/>
      <w:marBottom w:val="0"/>
      <w:divBdr>
        <w:top w:val="none" w:sz="0" w:space="0" w:color="auto"/>
        <w:left w:val="none" w:sz="0" w:space="0" w:color="auto"/>
        <w:bottom w:val="none" w:sz="0" w:space="0" w:color="auto"/>
        <w:right w:val="none" w:sz="0" w:space="0" w:color="auto"/>
      </w:divBdr>
    </w:div>
    <w:div w:id="791049358">
      <w:bodyDiv w:val="1"/>
      <w:marLeft w:val="0"/>
      <w:marRight w:val="0"/>
      <w:marTop w:val="0"/>
      <w:marBottom w:val="0"/>
      <w:divBdr>
        <w:top w:val="none" w:sz="0" w:space="0" w:color="auto"/>
        <w:left w:val="none" w:sz="0" w:space="0" w:color="auto"/>
        <w:bottom w:val="none" w:sz="0" w:space="0" w:color="auto"/>
        <w:right w:val="none" w:sz="0" w:space="0" w:color="auto"/>
      </w:divBdr>
    </w:div>
    <w:div w:id="791244451">
      <w:bodyDiv w:val="1"/>
      <w:marLeft w:val="0"/>
      <w:marRight w:val="0"/>
      <w:marTop w:val="0"/>
      <w:marBottom w:val="0"/>
      <w:divBdr>
        <w:top w:val="none" w:sz="0" w:space="0" w:color="auto"/>
        <w:left w:val="none" w:sz="0" w:space="0" w:color="auto"/>
        <w:bottom w:val="none" w:sz="0" w:space="0" w:color="auto"/>
        <w:right w:val="none" w:sz="0" w:space="0" w:color="auto"/>
      </w:divBdr>
    </w:div>
    <w:div w:id="791434365">
      <w:bodyDiv w:val="1"/>
      <w:marLeft w:val="0"/>
      <w:marRight w:val="0"/>
      <w:marTop w:val="0"/>
      <w:marBottom w:val="0"/>
      <w:divBdr>
        <w:top w:val="none" w:sz="0" w:space="0" w:color="auto"/>
        <w:left w:val="none" w:sz="0" w:space="0" w:color="auto"/>
        <w:bottom w:val="none" w:sz="0" w:space="0" w:color="auto"/>
        <w:right w:val="none" w:sz="0" w:space="0" w:color="auto"/>
      </w:divBdr>
    </w:div>
    <w:div w:id="791753424">
      <w:bodyDiv w:val="1"/>
      <w:marLeft w:val="0"/>
      <w:marRight w:val="0"/>
      <w:marTop w:val="0"/>
      <w:marBottom w:val="0"/>
      <w:divBdr>
        <w:top w:val="none" w:sz="0" w:space="0" w:color="auto"/>
        <w:left w:val="none" w:sz="0" w:space="0" w:color="auto"/>
        <w:bottom w:val="none" w:sz="0" w:space="0" w:color="auto"/>
        <w:right w:val="none" w:sz="0" w:space="0" w:color="auto"/>
      </w:divBdr>
    </w:div>
    <w:div w:id="792208703">
      <w:bodyDiv w:val="1"/>
      <w:marLeft w:val="0"/>
      <w:marRight w:val="0"/>
      <w:marTop w:val="0"/>
      <w:marBottom w:val="0"/>
      <w:divBdr>
        <w:top w:val="none" w:sz="0" w:space="0" w:color="auto"/>
        <w:left w:val="none" w:sz="0" w:space="0" w:color="auto"/>
        <w:bottom w:val="none" w:sz="0" w:space="0" w:color="auto"/>
        <w:right w:val="none" w:sz="0" w:space="0" w:color="auto"/>
      </w:divBdr>
    </w:div>
    <w:div w:id="793788466">
      <w:bodyDiv w:val="1"/>
      <w:marLeft w:val="0"/>
      <w:marRight w:val="0"/>
      <w:marTop w:val="0"/>
      <w:marBottom w:val="0"/>
      <w:divBdr>
        <w:top w:val="none" w:sz="0" w:space="0" w:color="auto"/>
        <w:left w:val="none" w:sz="0" w:space="0" w:color="auto"/>
        <w:bottom w:val="none" w:sz="0" w:space="0" w:color="auto"/>
        <w:right w:val="none" w:sz="0" w:space="0" w:color="auto"/>
      </w:divBdr>
    </w:div>
    <w:div w:id="794250355">
      <w:bodyDiv w:val="1"/>
      <w:marLeft w:val="0"/>
      <w:marRight w:val="0"/>
      <w:marTop w:val="0"/>
      <w:marBottom w:val="0"/>
      <w:divBdr>
        <w:top w:val="none" w:sz="0" w:space="0" w:color="auto"/>
        <w:left w:val="none" w:sz="0" w:space="0" w:color="auto"/>
        <w:bottom w:val="none" w:sz="0" w:space="0" w:color="auto"/>
        <w:right w:val="none" w:sz="0" w:space="0" w:color="auto"/>
      </w:divBdr>
    </w:div>
    <w:div w:id="794906308">
      <w:bodyDiv w:val="1"/>
      <w:marLeft w:val="0"/>
      <w:marRight w:val="0"/>
      <w:marTop w:val="0"/>
      <w:marBottom w:val="0"/>
      <w:divBdr>
        <w:top w:val="none" w:sz="0" w:space="0" w:color="auto"/>
        <w:left w:val="none" w:sz="0" w:space="0" w:color="auto"/>
        <w:bottom w:val="none" w:sz="0" w:space="0" w:color="auto"/>
        <w:right w:val="none" w:sz="0" w:space="0" w:color="auto"/>
      </w:divBdr>
    </w:div>
    <w:div w:id="795173354">
      <w:bodyDiv w:val="1"/>
      <w:marLeft w:val="0"/>
      <w:marRight w:val="0"/>
      <w:marTop w:val="0"/>
      <w:marBottom w:val="0"/>
      <w:divBdr>
        <w:top w:val="none" w:sz="0" w:space="0" w:color="auto"/>
        <w:left w:val="none" w:sz="0" w:space="0" w:color="auto"/>
        <w:bottom w:val="none" w:sz="0" w:space="0" w:color="auto"/>
        <w:right w:val="none" w:sz="0" w:space="0" w:color="auto"/>
      </w:divBdr>
    </w:div>
    <w:div w:id="796752470">
      <w:bodyDiv w:val="1"/>
      <w:marLeft w:val="0"/>
      <w:marRight w:val="0"/>
      <w:marTop w:val="0"/>
      <w:marBottom w:val="0"/>
      <w:divBdr>
        <w:top w:val="none" w:sz="0" w:space="0" w:color="auto"/>
        <w:left w:val="none" w:sz="0" w:space="0" w:color="auto"/>
        <w:bottom w:val="none" w:sz="0" w:space="0" w:color="auto"/>
        <w:right w:val="none" w:sz="0" w:space="0" w:color="auto"/>
      </w:divBdr>
    </w:div>
    <w:div w:id="797185790">
      <w:bodyDiv w:val="1"/>
      <w:marLeft w:val="0"/>
      <w:marRight w:val="0"/>
      <w:marTop w:val="0"/>
      <w:marBottom w:val="0"/>
      <w:divBdr>
        <w:top w:val="none" w:sz="0" w:space="0" w:color="auto"/>
        <w:left w:val="none" w:sz="0" w:space="0" w:color="auto"/>
        <w:bottom w:val="none" w:sz="0" w:space="0" w:color="auto"/>
        <w:right w:val="none" w:sz="0" w:space="0" w:color="auto"/>
      </w:divBdr>
    </w:div>
    <w:div w:id="797408019">
      <w:bodyDiv w:val="1"/>
      <w:marLeft w:val="0"/>
      <w:marRight w:val="0"/>
      <w:marTop w:val="0"/>
      <w:marBottom w:val="0"/>
      <w:divBdr>
        <w:top w:val="none" w:sz="0" w:space="0" w:color="auto"/>
        <w:left w:val="none" w:sz="0" w:space="0" w:color="auto"/>
        <w:bottom w:val="none" w:sz="0" w:space="0" w:color="auto"/>
        <w:right w:val="none" w:sz="0" w:space="0" w:color="auto"/>
      </w:divBdr>
    </w:div>
    <w:div w:id="797532070">
      <w:bodyDiv w:val="1"/>
      <w:marLeft w:val="0"/>
      <w:marRight w:val="0"/>
      <w:marTop w:val="0"/>
      <w:marBottom w:val="0"/>
      <w:divBdr>
        <w:top w:val="none" w:sz="0" w:space="0" w:color="auto"/>
        <w:left w:val="none" w:sz="0" w:space="0" w:color="auto"/>
        <w:bottom w:val="none" w:sz="0" w:space="0" w:color="auto"/>
        <w:right w:val="none" w:sz="0" w:space="0" w:color="auto"/>
      </w:divBdr>
    </w:div>
    <w:div w:id="797649703">
      <w:bodyDiv w:val="1"/>
      <w:marLeft w:val="0"/>
      <w:marRight w:val="0"/>
      <w:marTop w:val="0"/>
      <w:marBottom w:val="0"/>
      <w:divBdr>
        <w:top w:val="none" w:sz="0" w:space="0" w:color="auto"/>
        <w:left w:val="none" w:sz="0" w:space="0" w:color="auto"/>
        <w:bottom w:val="none" w:sz="0" w:space="0" w:color="auto"/>
        <w:right w:val="none" w:sz="0" w:space="0" w:color="auto"/>
      </w:divBdr>
    </w:div>
    <w:div w:id="797914895">
      <w:bodyDiv w:val="1"/>
      <w:marLeft w:val="0"/>
      <w:marRight w:val="0"/>
      <w:marTop w:val="0"/>
      <w:marBottom w:val="0"/>
      <w:divBdr>
        <w:top w:val="none" w:sz="0" w:space="0" w:color="auto"/>
        <w:left w:val="none" w:sz="0" w:space="0" w:color="auto"/>
        <w:bottom w:val="none" w:sz="0" w:space="0" w:color="auto"/>
        <w:right w:val="none" w:sz="0" w:space="0" w:color="auto"/>
      </w:divBdr>
    </w:div>
    <w:div w:id="799423595">
      <w:bodyDiv w:val="1"/>
      <w:marLeft w:val="0"/>
      <w:marRight w:val="0"/>
      <w:marTop w:val="0"/>
      <w:marBottom w:val="0"/>
      <w:divBdr>
        <w:top w:val="none" w:sz="0" w:space="0" w:color="auto"/>
        <w:left w:val="none" w:sz="0" w:space="0" w:color="auto"/>
        <w:bottom w:val="none" w:sz="0" w:space="0" w:color="auto"/>
        <w:right w:val="none" w:sz="0" w:space="0" w:color="auto"/>
      </w:divBdr>
    </w:div>
    <w:div w:id="800271606">
      <w:bodyDiv w:val="1"/>
      <w:marLeft w:val="0"/>
      <w:marRight w:val="0"/>
      <w:marTop w:val="0"/>
      <w:marBottom w:val="0"/>
      <w:divBdr>
        <w:top w:val="none" w:sz="0" w:space="0" w:color="auto"/>
        <w:left w:val="none" w:sz="0" w:space="0" w:color="auto"/>
        <w:bottom w:val="none" w:sz="0" w:space="0" w:color="auto"/>
        <w:right w:val="none" w:sz="0" w:space="0" w:color="auto"/>
      </w:divBdr>
    </w:div>
    <w:div w:id="801309349">
      <w:bodyDiv w:val="1"/>
      <w:marLeft w:val="0"/>
      <w:marRight w:val="0"/>
      <w:marTop w:val="0"/>
      <w:marBottom w:val="0"/>
      <w:divBdr>
        <w:top w:val="none" w:sz="0" w:space="0" w:color="auto"/>
        <w:left w:val="none" w:sz="0" w:space="0" w:color="auto"/>
        <w:bottom w:val="none" w:sz="0" w:space="0" w:color="auto"/>
        <w:right w:val="none" w:sz="0" w:space="0" w:color="auto"/>
      </w:divBdr>
    </w:div>
    <w:div w:id="803085748">
      <w:bodyDiv w:val="1"/>
      <w:marLeft w:val="0"/>
      <w:marRight w:val="0"/>
      <w:marTop w:val="0"/>
      <w:marBottom w:val="0"/>
      <w:divBdr>
        <w:top w:val="none" w:sz="0" w:space="0" w:color="auto"/>
        <w:left w:val="none" w:sz="0" w:space="0" w:color="auto"/>
        <w:bottom w:val="none" w:sz="0" w:space="0" w:color="auto"/>
        <w:right w:val="none" w:sz="0" w:space="0" w:color="auto"/>
      </w:divBdr>
    </w:div>
    <w:div w:id="803236956">
      <w:bodyDiv w:val="1"/>
      <w:marLeft w:val="0"/>
      <w:marRight w:val="0"/>
      <w:marTop w:val="0"/>
      <w:marBottom w:val="0"/>
      <w:divBdr>
        <w:top w:val="none" w:sz="0" w:space="0" w:color="auto"/>
        <w:left w:val="none" w:sz="0" w:space="0" w:color="auto"/>
        <w:bottom w:val="none" w:sz="0" w:space="0" w:color="auto"/>
        <w:right w:val="none" w:sz="0" w:space="0" w:color="auto"/>
      </w:divBdr>
    </w:div>
    <w:div w:id="805127652">
      <w:bodyDiv w:val="1"/>
      <w:marLeft w:val="0"/>
      <w:marRight w:val="0"/>
      <w:marTop w:val="0"/>
      <w:marBottom w:val="0"/>
      <w:divBdr>
        <w:top w:val="none" w:sz="0" w:space="0" w:color="auto"/>
        <w:left w:val="none" w:sz="0" w:space="0" w:color="auto"/>
        <w:bottom w:val="none" w:sz="0" w:space="0" w:color="auto"/>
        <w:right w:val="none" w:sz="0" w:space="0" w:color="auto"/>
      </w:divBdr>
    </w:div>
    <w:div w:id="805271754">
      <w:bodyDiv w:val="1"/>
      <w:marLeft w:val="0"/>
      <w:marRight w:val="0"/>
      <w:marTop w:val="0"/>
      <w:marBottom w:val="0"/>
      <w:divBdr>
        <w:top w:val="none" w:sz="0" w:space="0" w:color="auto"/>
        <w:left w:val="none" w:sz="0" w:space="0" w:color="auto"/>
        <w:bottom w:val="none" w:sz="0" w:space="0" w:color="auto"/>
        <w:right w:val="none" w:sz="0" w:space="0" w:color="auto"/>
      </w:divBdr>
    </w:div>
    <w:div w:id="806439492">
      <w:bodyDiv w:val="1"/>
      <w:marLeft w:val="0"/>
      <w:marRight w:val="0"/>
      <w:marTop w:val="0"/>
      <w:marBottom w:val="0"/>
      <w:divBdr>
        <w:top w:val="none" w:sz="0" w:space="0" w:color="auto"/>
        <w:left w:val="none" w:sz="0" w:space="0" w:color="auto"/>
        <w:bottom w:val="none" w:sz="0" w:space="0" w:color="auto"/>
        <w:right w:val="none" w:sz="0" w:space="0" w:color="auto"/>
      </w:divBdr>
    </w:div>
    <w:div w:id="808205526">
      <w:bodyDiv w:val="1"/>
      <w:marLeft w:val="0"/>
      <w:marRight w:val="0"/>
      <w:marTop w:val="0"/>
      <w:marBottom w:val="0"/>
      <w:divBdr>
        <w:top w:val="none" w:sz="0" w:space="0" w:color="auto"/>
        <w:left w:val="none" w:sz="0" w:space="0" w:color="auto"/>
        <w:bottom w:val="none" w:sz="0" w:space="0" w:color="auto"/>
        <w:right w:val="none" w:sz="0" w:space="0" w:color="auto"/>
      </w:divBdr>
    </w:div>
    <w:div w:id="808546932">
      <w:bodyDiv w:val="1"/>
      <w:marLeft w:val="0"/>
      <w:marRight w:val="0"/>
      <w:marTop w:val="0"/>
      <w:marBottom w:val="0"/>
      <w:divBdr>
        <w:top w:val="none" w:sz="0" w:space="0" w:color="auto"/>
        <w:left w:val="none" w:sz="0" w:space="0" w:color="auto"/>
        <w:bottom w:val="none" w:sz="0" w:space="0" w:color="auto"/>
        <w:right w:val="none" w:sz="0" w:space="0" w:color="auto"/>
      </w:divBdr>
    </w:div>
    <w:div w:id="810443044">
      <w:bodyDiv w:val="1"/>
      <w:marLeft w:val="0"/>
      <w:marRight w:val="0"/>
      <w:marTop w:val="0"/>
      <w:marBottom w:val="0"/>
      <w:divBdr>
        <w:top w:val="none" w:sz="0" w:space="0" w:color="auto"/>
        <w:left w:val="none" w:sz="0" w:space="0" w:color="auto"/>
        <w:bottom w:val="none" w:sz="0" w:space="0" w:color="auto"/>
        <w:right w:val="none" w:sz="0" w:space="0" w:color="auto"/>
      </w:divBdr>
    </w:div>
    <w:div w:id="815024773">
      <w:bodyDiv w:val="1"/>
      <w:marLeft w:val="0"/>
      <w:marRight w:val="0"/>
      <w:marTop w:val="0"/>
      <w:marBottom w:val="0"/>
      <w:divBdr>
        <w:top w:val="none" w:sz="0" w:space="0" w:color="auto"/>
        <w:left w:val="none" w:sz="0" w:space="0" w:color="auto"/>
        <w:bottom w:val="none" w:sz="0" w:space="0" w:color="auto"/>
        <w:right w:val="none" w:sz="0" w:space="0" w:color="auto"/>
      </w:divBdr>
    </w:div>
    <w:div w:id="819078090">
      <w:bodyDiv w:val="1"/>
      <w:marLeft w:val="0"/>
      <w:marRight w:val="0"/>
      <w:marTop w:val="0"/>
      <w:marBottom w:val="0"/>
      <w:divBdr>
        <w:top w:val="none" w:sz="0" w:space="0" w:color="auto"/>
        <w:left w:val="none" w:sz="0" w:space="0" w:color="auto"/>
        <w:bottom w:val="none" w:sz="0" w:space="0" w:color="auto"/>
        <w:right w:val="none" w:sz="0" w:space="0" w:color="auto"/>
      </w:divBdr>
    </w:div>
    <w:div w:id="819737888">
      <w:bodyDiv w:val="1"/>
      <w:marLeft w:val="0"/>
      <w:marRight w:val="0"/>
      <w:marTop w:val="0"/>
      <w:marBottom w:val="0"/>
      <w:divBdr>
        <w:top w:val="none" w:sz="0" w:space="0" w:color="auto"/>
        <w:left w:val="none" w:sz="0" w:space="0" w:color="auto"/>
        <w:bottom w:val="none" w:sz="0" w:space="0" w:color="auto"/>
        <w:right w:val="none" w:sz="0" w:space="0" w:color="auto"/>
      </w:divBdr>
    </w:div>
    <w:div w:id="820540505">
      <w:bodyDiv w:val="1"/>
      <w:marLeft w:val="0"/>
      <w:marRight w:val="0"/>
      <w:marTop w:val="0"/>
      <w:marBottom w:val="0"/>
      <w:divBdr>
        <w:top w:val="none" w:sz="0" w:space="0" w:color="auto"/>
        <w:left w:val="none" w:sz="0" w:space="0" w:color="auto"/>
        <w:bottom w:val="none" w:sz="0" w:space="0" w:color="auto"/>
        <w:right w:val="none" w:sz="0" w:space="0" w:color="auto"/>
      </w:divBdr>
    </w:div>
    <w:div w:id="820584425">
      <w:bodyDiv w:val="1"/>
      <w:marLeft w:val="0"/>
      <w:marRight w:val="0"/>
      <w:marTop w:val="0"/>
      <w:marBottom w:val="0"/>
      <w:divBdr>
        <w:top w:val="none" w:sz="0" w:space="0" w:color="auto"/>
        <w:left w:val="none" w:sz="0" w:space="0" w:color="auto"/>
        <w:bottom w:val="none" w:sz="0" w:space="0" w:color="auto"/>
        <w:right w:val="none" w:sz="0" w:space="0" w:color="auto"/>
      </w:divBdr>
    </w:div>
    <w:div w:id="821777123">
      <w:bodyDiv w:val="1"/>
      <w:marLeft w:val="0"/>
      <w:marRight w:val="0"/>
      <w:marTop w:val="0"/>
      <w:marBottom w:val="0"/>
      <w:divBdr>
        <w:top w:val="none" w:sz="0" w:space="0" w:color="auto"/>
        <w:left w:val="none" w:sz="0" w:space="0" w:color="auto"/>
        <w:bottom w:val="none" w:sz="0" w:space="0" w:color="auto"/>
        <w:right w:val="none" w:sz="0" w:space="0" w:color="auto"/>
      </w:divBdr>
    </w:div>
    <w:div w:id="825704615">
      <w:bodyDiv w:val="1"/>
      <w:marLeft w:val="0"/>
      <w:marRight w:val="0"/>
      <w:marTop w:val="0"/>
      <w:marBottom w:val="0"/>
      <w:divBdr>
        <w:top w:val="none" w:sz="0" w:space="0" w:color="auto"/>
        <w:left w:val="none" w:sz="0" w:space="0" w:color="auto"/>
        <w:bottom w:val="none" w:sz="0" w:space="0" w:color="auto"/>
        <w:right w:val="none" w:sz="0" w:space="0" w:color="auto"/>
      </w:divBdr>
    </w:div>
    <w:div w:id="830104134">
      <w:bodyDiv w:val="1"/>
      <w:marLeft w:val="0"/>
      <w:marRight w:val="0"/>
      <w:marTop w:val="0"/>
      <w:marBottom w:val="0"/>
      <w:divBdr>
        <w:top w:val="none" w:sz="0" w:space="0" w:color="auto"/>
        <w:left w:val="none" w:sz="0" w:space="0" w:color="auto"/>
        <w:bottom w:val="none" w:sz="0" w:space="0" w:color="auto"/>
        <w:right w:val="none" w:sz="0" w:space="0" w:color="auto"/>
      </w:divBdr>
    </w:div>
    <w:div w:id="830172695">
      <w:bodyDiv w:val="1"/>
      <w:marLeft w:val="0"/>
      <w:marRight w:val="0"/>
      <w:marTop w:val="0"/>
      <w:marBottom w:val="0"/>
      <w:divBdr>
        <w:top w:val="none" w:sz="0" w:space="0" w:color="auto"/>
        <w:left w:val="none" w:sz="0" w:space="0" w:color="auto"/>
        <w:bottom w:val="none" w:sz="0" w:space="0" w:color="auto"/>
        <w:right w:val="none" w:sz="0" w:space="0" w:color="auto"/>
      </w:divBdr>
    </w:div>
    <w:div w:id="830220726">
      <w:bodyDiv w:val="1"/>
      <w:marLeft w:val="0"/>
      <w:marRight w:val="0"/>
      <w:marTop w:val="0"/>
      <w:marBottom w:val="0"/>
      <w:divBdr>
        <w:top w:val="none" w:sz="0" w:space="0" w:color="auto"/>
        <w:left w:val="none" w:sz="0" w:space="0" w:color="auto"/>
        <w:bottom w:val="none" w:sz="0" w:space="0" w:color="auto"/>
        <w:right w:val="none" w:sz="0" w:space="0" w:color="auto"/>
      </w:divBdr>
    </w:div>
    <w:div w:id="830877153">
      <w:bodyDiv w:val="1"/>
      <w:marLeft w:val="0"/>
      <w:marRight w:val="0"/>
      <w:marTop w:val="0"/>
      <w:marBottom w:val="0"/>
      <w:divBdr>
        <w:top w:val="none" w:sz="0" w:space="0" w:color="auto"/>
        <w:left w:val="none" w:sz="0" w:space="0" w:color="auto"/>
        <w:bottom w:val="none" w:sz="0" w:space="0" w:color="auto"/>
        <w:right w:val="none" w:sz="0" w:space="0" w:color="auto"/>
      </w:divBdr>
    </w:div>
    <w:div w:id="830946292">
      <w:bodyDiv w:val="1"/>
      <w:marLeft w:val="0"/>
      <w:marRight w:val="0"/>
      <w:marTop w:val="0"/>
      <w:marBottom w:val="0"/>
      <w:divBdr>
        <w:top w:val="none" w:sz="0" w:space="0" w:color="auto"/>
        <w:left w:val="none" w:sz="0" w:space="0" w:color="auto"/>
        <w:bottom w:val="none" w:sz="0" w:space="0" w:color="auto"/>
        <w:right w:val="none" w:sz="0" w:space="0" w:color="auto"/>
      </w:divBdr>
    </w:div>
    <w:div w:id="831796836">
      <w:bodyDiv w:val="1"/>
      <w:marLeft w:val="0"/>
      <w:marRight w:val="0"/>
      <w:marTop w:val="0"/>
      <w:marBottom w:val="0"/>
      <w:divBdr>
        <w:top w:val="none" w:sz="0" w:space="0" w:color="auto"/>
        <w:left w:val="none" w:sz="0" w:space="0" w:color="auto"/>
        <w:bottom w:val="none" w:sz="0" w:space="0" w:color="auto"/>
        <w:right w:val="none" w:sz="0" w:space="0" w:color="auto"/>
      </w:divBdr>
    </w:div>
    <w:div w:id="831796964">
      <w:bodyDiv w:val="1"/>
      <w:marLeft w:val="0"/>
      <w:marRight w:val="0"/>
      <w:marTop w:val="0"/>
      <w:marBottom w:val="0"/>
      <w:divBdr>
        <w:top w:val="none" w:sz="0" w:space="0" w:color="auto"/>
        <w:left w:val="none" w:sz="0" w:space="0" w:color="auto"/>
        <w:bottom w:val="none" w:sz="0" w:space="0" w:color="auto"/>
        <w:right w:val="none" w:sz="0" w:space="0" w:color="auto"/>
      </w:divBdr>
    </w:div>
    <w:div w:id="831995381">
      <w:bodyDiv w:val="1"/>
      <w:marLeft w:val="0"/>
      <w:marRight w:val="0"/>
      <w:marTop w:val="0"/>
      <w:marBottom w:val="0"/>
      <w:divBdr>
        <w:top w:val="none" w:sz="0" w:space="0" w:color="auto"/>
        <w:left w:val="none" w:sz="0" w:space="0" w:color="auto"/>
        <w:bottom w:val="none" w:sz="0" w:space="0" w:color="auto"/>
        <w:right w:val="none" w:sz="0" w:space="0" w:color="auto"/>
      </w:divBdr>
    </w:div>
    <w:div w:id="833109068">
      <w:bodyDiv w:val="1"/>
      <w:marLeft w:val="0"/>
      <w:marRight w:val="0"/>
      <w:marTop w:val="0"/>
      <w:marBottom w:val="0"/>
      <w:divBdr>
        <w:top w:val="none" w:sz="0" w:space="0" w:color="auto"/>
        <w:left w:val="none" w:sz="0" w:space="0" w:color="auto"/>
        <w:bottom w:val="none" w:sz="0" w:space="0" w:color="auto"/>
        <w:right w:val="none" w:sz="0" w:space="0" w:color="auto"/>
      </w:divBdr>
    </w:div>
    <w:div w:id="834296530">
      <w:bodyDiv w:val="1"/>
      <w:marLeft w:val="0"/>
      <w:marRight w:val="0"/>
      <w:marTop w:val="0"/>
      <w:marBottom w:val="0"/>
      <w:divBdr>
        <w:top w:val="none" w:sz="0" w:space="0" w:color="auto"/>
        <w:left w:val="none" w:sz="0" w:space="0" w:color="auto"/>
        <w:bottom w:val="none" w:sz="0" w:space="0" w:color="auto"/>
        <w:right w:val="none" w:sz="0" w:space="0" w:color="auto"/>
      </w:divBdr>
    </w:div>
    <w:div w:id="834299387">
      <w:bodyDiv w:val="1"/>
      <w:marLeft w:val="0"/>
      <w:marRight w:val="0"/>
      <w:marTop w:val="0"/>
      <w:marBottom w:val="0"/>
      <w:divBdr>
        <w:top w:val="none" w:sz="0" w:space="0" w:color="auto"/>
        <w:left w:val="none" w:sz="0" w:space="0" w:color="auto"/>
        <w:bottom w:val="none" w:sz="0" w:space="0" w:color="auto"/>
        <w:right w:val="none" w:sz="0" w:space="0" w:color="auto"/>
      </w:divBdr>
    </w:div>
    <w:div w:id="834540938">
      <w:bodyDiv w:val="1"/>
      <w:marLeft w:val="0"/>
      <w:marRight w:val="0"/>
      <w:marTop w:val="0"/>
      <w:marBottom w:val="0"/>
      <w:divBdr>
        <w:top w:val="none" w:sz="0" w:space="0" w:color="auto"/>
        <w:left w:val="none" w:sz="0" w:space="0" w:color="auto"/>
        <w:bottom w:val="none" w:sz="0" w:space="0" w:color="auto"/>
        <w:right w:val="none" w:sz="0" w:space="0" w:color="auto"/>
      </w:divBdr>
    </w:div>
    <w:div w:id="834878839">
      <w:bodyDiv w:val="1"/>
      <w:marLeft w:val="0"/>
      <w:marRight w:val="0"/>
      <w:marTop w:val="0"/>
      <w:marBottom w:val="0"/>
      <w:divBdr>
        <w:top w:val="none" w:sz="0" w:space="0" w:color="auto"/>
        <w:left w:val="none" w:sz="0" w:space="0" w:color="auto"/>
        <w:bottom w:val="none" w:sz="0" w:space="0" w:color="auto"/>
        <w:right w:val="none" w:sz="0" w:space="0" w:color="auto"/>
      </w:divBdr>
    </w:div>
    <w:div w:id="835268164">
      <w:bodyDiv w:val="1"/>
      <w:marLeft w:val="0"/>
      <w:marRight w:val="0"/>
      <w:marTop w:val="0"/>
      <w:marBottom w:val="0"/>
      <w:divBdr>
        <w:top w:val="none" w:sz="0" w:space="0" w:color="auto"/>
        <w:left w:val="none" w:sz="0" w:space="0" w:color="auto"/>
        <w:bottom w:val="none" w:sz="0" w:space="0" w:color="auto"/>
        <w:right w:val="none" w:sz="0" w:space="0" w:color="auto"/>
      </w:divBdr>
    </w:div>
    <w:div w:id="837234159">
      <w:bodyDiv w:val="1"/>
      <w:marLeft w:val="0"/>
      <w:marRight w:val="0"/>
      <w:marTop w:val="0"/>
      <w:marBottom w:val="0"/>
      <w:divBdr>
        <w:top w:val="none" w:sz="0" w:space="0" w:color="auto"/>
        <w:left w:val="none" w:sz="0" w:space="0" w:color="auto"/>
        <w:bottom w:val="none" w:sz="0" w:space="0" w:color="auto"/>
        <w:right w:val="none" w:sz="0" w:space="0" w:color="auto"/>
      </w:divBdr>
    </w:div>
    <w:div w:id="837576026">
      <w:bodyDiv w:val="1"/>
      <w:marLeft w:val="0"/>
      <w:marRight w:val="0"/>
      <w:marTop w:val="0"/>
      <w:marBottom w:val="0"/>
      <w:divBdr>
        <w:top w:val="none" w:sz="0" w:space="0" w:color="auto"/>
        <w:left w:val="none" w:sz="0" w:space="0" w:color="auto"/>
        <w:bottom w:val="none" w:sz="0" w:space="0" w:color="auto"/>
        <w:right w:val="none" w:sz="0" w:space="0" w:color="auto"/>
      </w:divBdr>
    </w:div>
    <w:div w:id="838279135">
      <w:bodyDiv w:val="1"/>
      <w:marLeft w:val="0"/>
      <w:marRight w:val="0"/>
      <w:marTop w:val="0"/>
      <w:marBottom w:val="0"/>
      <w:divBdr>
        <w:top w:val="none" w:sz="0" w:space="0" w:color="auto"/>
        <w:left w:val="none" w:sz="0" w:space="0" w:color="auto"/>
        <w:bottom w:val="none" w:sz="0" w:space="0" w:color="auto"/>
        <w:right w:val="none" w:sz="0" w:space="0" w:color="auto"/>
      </w:divBdr>
    </w:div>
    <w:div w:id="839734362">
      <w:bodyDiv w:val="1"/>
      <w:marLeft w:val="0"/>
      <w:marRight w:val="0"/>
      <w:marTop w:val="0"/>
      <w:marBottom w:val="0"/>
      <w:divBdr>
        <w:top w:val="none" w:sz="0" w:space="0" w:color="auto"/>
        <w:left w:val="none" w:sz="0" w:space="0" w:color="auto"/>
        <w:bottom w:val="none" w:sz="0" w:space="0" w:color="auto"/>
        <w:right w:val="none" w:sz="0" w:space="0" w:color="auto"/>
      </w:divBdr>
    </w:div>
    <w:div w:id="839779372">
      <w:bodyDiv w:val="1"/>
      <w:marLeft w:val="0"/>
      <w:marRight w:val="0"/>
      <w:marTop w:val="0"/>
      <w:marBottom w:val="0"/>
      <w:divBdr>
        <w:top w:val="none" w:sz="0" w:space="0" w:color="auto"/>
        <w:left w:val="none" w:sz="0" w:space="0" w:color="auto"/>
        <w:bottom w:val="none" w:sz="0" w:space="0" w:color="auto"/>
        <w:right w:val="none" w:sz="0" w:space="0" w:color="auto"/>
      </w:divBdr>
    </w:div>
    <w:div w:id="840197205">
      <w:bodyDiv w:val="1"/>
      <w:marLeft w:val="0"/>
      <w:marRight w:val="0"/>
      <w:marTop w:val="0"/>
      <w:marBottom w:val="0"/>
      <w:divBdr>
        <w:top w:val="none" w:sz="0" w:space="0" w:color="auto"/>
        <w:left w:val="none" w:sz="0" w:space="0" w:color="auto"/>
        <w:bottom w:val="none" w:sz="0" w:space="0" w:color="auto"/>
        <w:right w:val="none" w:sz="0" w:space="0" w:color="auto"/>
      </w:divBdr>
    </w:div>
    <w:div w:id="840393888">
      <w:bodyDiv w:val="1"/>
      <w:marLeft w:val="0"/>
      <w:marRight w:val="0"/>
      <w:marTop w:val="0"/>
      <w:marBottom w:val="0"/>
      <w:divBdr>
        <w:top w:val="none" w:sz="0" w:space="0" w:color="auto"/>
        <w:left w:val="none" w:sz="0" w:space="0" w:color="auto"/>
        <w:bottom w:val="none" w:sz="0" w:space="0" w:color="auto"/>
        <w:right w:val="none" w:sz="0" w:space="0" w:color="auto"/>
      </w:divBdr>
    </w:div>
    <w:div w:id="840704850">
      <w:bodyDiv w:val="1"/>
      <w:marLeft w:val="0"/>
      <w:marRight w:val="0"/>
      <w:marTop w:val="0"/>
      <w:marBottom w:val="0"/>
      <w:divBdr>
        <w:top w:val="none" w:sz="0" w:space="0" w:color="auto"/>
        <w:left w:val="none" w:sz="0" w:space="0" w:color="auto"/>
        <w:bottom w:val="none" w:sz="0" w:space="0" w:color="auto"/>
        <w:right w:val="none" w:sz="0" w:space="0" w:color="auto"/>
      </w:divBdr>
    </w:div>
    <w:div w:id="841159877">
      <w:bodyDiv w:val="1"/>
      <w:marLeft w:val="0"/>
      <w:marRight w:val="0"/>
      <w:marTop w:val="0"/>
      <w:marBottom w:val="0"/>
      <w:divBdr>
        <w:top w:val="none" w:sz="0" w:space="0" w:color="auto"/>
        <w:left w:val="none" w:sz="0" w:space="0" w:color="auto"/>
        <w:bottom w:val="none" w:sz="0" w:space="0" w:color="auto"/>
        <w:right w:val="none" w:sz="0" w:space="0" w:color="auto"/>
      </w:divBdr>
    </w:div>
    <w:div w:id="841429399">
      <w:bodyDiv w:val="1"/>
      <w:marLeft w:val="0"/>
      <w:marRight w:val="0"/>
      <w:marTop w:val="0"/>
      <w:marBottom w:val="0"/>
      <w:divBdr>
        <w:top w:val="none" w:sz="0" w:space="0" w:color="auto"/>
        <w:left w:val="none" w:sz="0" w:space="0" w:color="auto"/>
        <w:bottom w:val="none" w:sz="0" w:space="0" w:color="auto"/>
        <w:right w:val="none" w:sz="0" w:space="0" w:color="auto"/>
      </w:divBdr>
    </w:div>
    <w:div w:id="843321275">
      <w:bodyDiv w:val="1"/>
      <w:marLeft w:val="0"/>
      <w:marRight w:val="0"/>
      <w:marTop w:val="0"/>
      <w:marBottom w:val="0"/>
      <w:divBdr>
        <w:top w:val="none" w:sz="0" w:space="0" w:color="auto"/>
        <w:left w:val="none" w:sz="0" w:space="0" w:color="auto"/>
        <w:bottom w:val="none" w:sz="0" w:space="0" w:color="auto"/>
        <w:right w:val="none" w:sz="0" w:space="0" w:color="auto"/>
      </w:divBdr>
    </w:div>
    <w:div w:id="846672148">
      <w:bodyDiv w:val="1"/>
      <w:marLeft w:val="0"/>
      <w:marRight w:val="0"/>
      <w:marTop w:val="0"/>
      <w:marBottom w:val="0"/>
      <w:divBdr>
        <w:top w:val="none" w:sz="0" w:space="0" w:color="auto"/>
        <w:left w:val="none" w:sz="0" w:space="0" w:color="auto"/>
        <w:bottom w:val="none" w:sz="0" w:space="0" w:color="auto"/>
        <w:right w:val="none" w:sz="0" w:space="0" w:color="auto"/>
      </w:divBdr>
      <w:divsChild>
        <w:div w:id="1302734165">
          <w:marLeft w:val="0"/>
          <w:marRight w:val="0"/>
          <w:marTop w:val="0"/>
          <w:marBottom w:val="0"/>
          <w:divBdr>
            <w:top w:val="none" w:sz="0" w:space="0" w:color="auto"/>
            <w:left w:val="none" w:sz="0" w:space="0" w:color="auto"/>
            <w:bottom w:val="none" w:sz="0" w:space="0" w:color="auto"/>
            <w:right w:val="none" w:sz="0" w:space="0" w:color="auto"/>
          </w:divBdr>
          <w:divsChild>
            <w:div w:id="1282420801">
              <w:marLeft w:val="0"/>
              <w:marRight w:val="0"/>
              <w:marTop w:val="0"/>
              <w:marBottom w:val="0"/>
              <w:divBdr>
                <w:top w:val="none" w:sz="0" w:space="0" w:color="auto"/>
                <w:left w:val="none" w:sz="0" w:space="0" w:color="auto"/>
                <w:bottom w:val="none" w:sz="0" w:space="0" w:color="auto"/>
                <w:right w:val="none" w:sz="0" w:space="0" w:color="auto"/>
              </w:divBdr>
              <w:divsChild>
                <w:div w:id="1297570190">
                  <w:marLeft w:val="0"/>
                  <w:marRight w:val="0"/>
                  <w:marTop w:val="0"/>
                  <w:marBottom w:val="0"/>
                  <w:divBdr>
                    <w:top w:val="none" w:sz="0" w:space="0" w:color="auto"/>
                    <w:left w:val="none" w:sz="0" w:space="0" w:color="auto"/>
                    <w:bottom w:val="none" w:sz="0" w:space="0" w:color="auto"/>
                    <w:right w:val="none" w:sz="0" w:space="0" w:color="auto"/>
                  </w:divBdr>
                  <w:divsChild>
                    <w:div w:id="10442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23837">
      <w:bodyDiv w:val="1"/>
      <w:marLeft w:val="0"/>
      <w:marRight w:val="0"/>
      <w:marTop w:val="0"/>
      <w:marBottom w:val="0"/>
      <w:divBdr>
        <w:top w:val="none" w:sz="0" w:space="0" w:color="auto"/>
        <w:left w:val="none" w:sz="0" w:space="0" w:color="auto"/>
        <w:bottom w:val="none" w:sz="0" w:space="0" w:color="auto"/>
        <w:right w:val="none" w:sz="0" w:space="0" w:color="auto"/>
      </w:divBdr>
    </w:div>
    <w:div w:id="851796900">
      <w:bodyDiv w:val="1"/>
      <w:marLeft w:val="0"/>
      <w:marRight w:val="0"/>
      <w:marTop w:val="0"/>
      <w:marBottom w:val="0"/>
      <w:divBdr>
        <w:top w:val="none" w:sz="0" w:space="0" w:color="auto"/>
        <w:left w:val="none" w:sz="0" w:space="0" w:color="auto"/>
        <w:bottom w:val="none" w:sz="0" w:space="0" w:color="auto"/>
        <w:right w:val="none" w:sz="0" w:space="0" w:color="auto"/>
      </w:divBdr>
    </w:div>
    <w:div w:id="855844565">
      <w:bodyDiv w:val="1"/>
      <w:marLeft w:val="0"/>
      <w:marRight w:val="0"/>
      <w:marTop w:val="0"/>
      <w:marBottom w:val="0"/>
      <w:divBdr>
        <w:top w:val="none" w:sz="0" w:space="0" w:color="auto"/>
        <w:left w:val="none" w:sz="0" w:space="0" w:color="auto"/>
        <w:bottom w:val="none" w:sz="0" w:space="0" w:color="auto"/>
        <w:right w:val="none" w:sz="0" w:space="0" w:color="auto"/>
      </w:divBdr>
    </w:div>
    <w:div w:id="858617605">
      <w:bodyDiv w:val="1"/>
      <w:marLeft w:val="0"/>
      <w:marRight w:val="0"/>
      <w:marTop w:val="0"/>
      <w:marBottom w:val="0"/>
      <w:divBdr>
        <w:top w:val="none" w:sz="0" w:space="0" w:color="auto"/>
        <w:left w:val="none" w:sz="0" w:space="0" w:color="auto"/>
        <w:bottom w:val="none" w:sz="0" w:space="0" w:color="auto"/>
        <w:right w:val="none" w:sz="0" w:space="0" w:color="auto"/>
      </w:divBdr>
    </w:div>
    <w:div w:id="859011217">
      <w:bodyDiv w:val="1"/>
      <w:marLeft w:val="0"/>
      <w:marRight w:val="0"/>
      <w:marTop w:val="0"/>
      <w:marBottom w:val="0"/>
      <w:divBdr>
        <w:top w:val="none" w:sz="0" w:space="0" w:color="auto"/>
        <w:left w:val="none" w:sz="0" w:space="0" w:color="auto"/>
        <w:bottom w:val="none" w:sz="0" w:space="0" w:color="auto"/>
        <w:right w:val="none" w:sz="0" w:space="0" w:color="auto"/>
      </w:divBdr>
    </w:div>
    <w:div w:id="859314282">
      <w:bodyDiv w:val="1"/>
      <w:marLeft w:val="0"/>
      <w:marRight w:val="0"/>
      <w:marTop w:val="0"/>
      <w:marBottom w:val="0"/>
      <w:divBdr>
        <w:top w:val="none" w:sz="0" w:space="0" w:color="auto"/>
        <w:left w:val="none" w:sz="0" w:space="0" w:color="auto"/>
        <w:bottom w:val="none" w:sz="0" w:space="0" w:color="auto"/>
        <w:right w:val="none" w:sz="0" w:space="0" w:color="auto"/>
      </w:divBdr>
    </w:div>
    <w:div w:id="859661890">
      <w:bodyDiv w:val="1"/>
      <w:marLeft w:val="0"/>
      <w:marRight w:val="0"/>
      <w:marTop w:val="0"/>
      <w:marBottom w:val="0"/>
      <w:divBdr>
        <w:top w:val="none" w:sz="0" w:space="0" w:color="auto"/>
        <w:left w:val="none" w:sz="0" w:space="0" w:color="auto"/>
        <w:bottom w:val="none" w:sz="0" w:space="0" w:color="auto"/>
        <w:right w:val="none" w:sz="0" w:space="0" w:color="auto"/>
      </w:divBdr>
    </w:div>
    <w:div w:id="859901213">
      <w:bodyDiv w:val="1"/>
      <w:marLeft w:val="0"/>
      <w:marRight w:val="0"/>
      <w:marTop w:val="0"/>
      <w:marBottom w:val="0"/>
      <w:divBdr>
        <w:top w:val="none" w:sz="0" w:space="0" w:color="auto"/>
        <w:left w:val="none" w:sz="0" w:space="0" w:color="auto"/>
        <w:bottom w:val="none" w:sz="0" w:space="0" w:color="auto"/>
        <w:right w:val="none" w:sz="0" w:space="0" w:color="auto"/>
      </w:divBdr>
    </w:div>
    <w:div w:id="860320992">
      <w:bodyDiv w:val="1"/>
      <w:marLeft w:val="0"/>
      <w:marRight w:val="0"/>
      <w:marTop w:val="0"/>
      <w:marBottom w:val="0"/>
      <w:divBdr>
        <w:top w:val="none" w:sz="0" w:space="0" w:color="auto"/>
        <w:left w:val="none" w:sz="0" w:space="0" w:color="auto"/>
        <w:bottom w:val="none" w:sz="0" w:space="0" w:color="auto"/>
        <w:right w:val="none" w:sz="0" w:space="0" w:color="auto"/>
      </w:divBdr>
    </w:div>
    <w:div w:id="860977336">
      <w:bodyDiv w:val="1"/>
      <w:marLeft w:val="0"/>
      <w:marRight w:val="0"/>
      <w:marTop w:val="0"/>
      <w:marBottom w:val="0"/>
      <w:divBdr>
        <w:top w:val="none" w:sz="0" w:space="0" w:color="auto"/>
        <w:left w:val="none" w:sz="0" w:space="0" w:color="auto"/>
        <w:bottom w:val="none" w:sz="0" w:space="0" w:color="auto"/>
        <w:right w:val="none" w:sz="0" w:space="0" w:color="auto"/>
      </w:divBdr>
    </w:div>
    <w:div w:id="861742885">
      <w:bodyDiv w:val="1"/>
      <w:marLeft w:val="0"/>
      <w:marRight w:val="0"/>
      <w:marTop w:val="0"/>
      <w:marBottom w:val="0"/>
      <w:divBdr>
        <w:top w:val="none" w:sz="0" w:space="0" w:color="auto"/>
        <w:left w:val="none" w:sz="0" w:space="0" w:color="auto"/>
        <w:bottom w:val="none" w:sz="0" w:space="0" w:color="auto"/>
        <w:right w:val="none" w:sz="0" w:space="0" w:color="auto"/>
      </w:divBdr>
    </w:div>
    <w:div w:id="863321802">
      <w:bodyDiv w:val="1"/>
      <w:marLeft w:val="0"/>
      <w:marRight w:val="0"/>
      <w:marTop w:val="0"/>
      <w:marBottom w:val="0"/>
      <w:divBdr>
        <w:top w:val="none" w:sz="0" w:space="0" w:color="auto"/>
        <w:left w:val="none" w:sz="0" w:space="0" w:color="auto"/>
        <w:bottom w:val="none" w:sz="0" w:space="0" w:color="auto"/>
        <w:right w:val="none" w:sz="0" w:space="0" w:color="auto"/>
      </w:divBdr>
    </w:div>
    <w:div w:id="863440976">
      <w:bodyDiv w:val="1"/>
      <w:marLeft w:val="0"/>
      <w:marRight w:val="0"/>
      <w:marTop w:val="0"/>
      <w:marBottom w:val="0"/>
      <w:divBdr>
        <w:top w:val="none" w:sz="0" w:space="0" w:color="auto"/>
        <w:left w:val="none" w:sz="0" w:space="0" w:color="auto"/>
        <w:bottom w:val="none" w:sz="0" w:space="0" w:color="auto"/>
        <w:right w:val="none" w:sz="0" w:space="0" w:color="auto"/>
      </w:divBdr>
    </w:div>
    <w:div w:id="864053055">
      <w:bodyDiv w:val="1"/>
      <w:marLeft w:val="0"/>
      <w:marRight w:val="0"/>
      <w:marTop w:val="0"/>
      <w:marBottom w:val="0"/>
      <w:divBdr>
        <w:top w:val="none" w:sz="0" w:space="0" w:color="auto"/>
        <w:left w:val="none" w:sz="0" w:space="0" w:color="auto"/>
        <w:bottom w:val="none" w:sz="0" w:space="0" w:color="auto"/>
        <w:right w:val="none" w:sz="0" w:space="0" w:color="auto"/>
      </w:divBdr>
    </w:div>
    <w:div w:id="864250017">
      <w:bodyDiv w:val="1"/>
      <w:marLeft w:val="0"/>
      <w:marRight w:val="0"/>
      <w:marTop w:val="0"/>
      <w:marBottom w:val="0"/>
      <w:divBdr>
        <w:top w:val="none" w:sz="0" w:space="0" w:color="auto"/>
        <w:left w:val="none" w:sz="0" w:space="0" w:color="auto"/>
        <w:bottom w:val="none" w:sz="0" w:space="0" w:color="auto"/>
        <w:right w:val="none" w:sz="0" w:space="0" w:color="auto"/>
      </w:divBdr>
    </w:div>
    <w:div w:id="864487490">
      <w:bodyDiv w:val="1"/>
      <w:marLeft w:val="0"/>
      <w:marRight w:val="0"/>
      <w:marTop w:val="0"/>
      <w:marBottom w:val="0"/>
      <w:divBdr>
        <w:top w:val="none" w:sz="0" w:space="0" w:color="auto"/>
        <w:left w:val="none" w:sz="0" w:space="0" w:color="auto"/>
        <w:bottom w:val="none" w:sz="0" w:space="0" w:color="auto"/>
        <w:right w:val="none" w:sz="0" w:space="0" w:color="auto"/>
      </w:divBdr>
    </w:div>
    <w:div w:id="866023227">
      <w:bodyDiv w:val="1"/>
      <w:marLeft w:val="0"/>
      <w:marRight w:val="0"/>
      <w:marTop w:val="0"/>
      <w:marBottom w:val="0"/>
      <w:divBdr>
        <w:top w:val="none" w:sz="0" w:space="0" w:color="auto"/>
        <w:left w:val="none" w:sz="0" w:space="0" w:color="auto"/>
        <w:bottom w:val="none" w:sz="0" w:space="0" w:color="auto"/>
        <w:right w:val="none" w:sz="0" w:space="0" w:color="auto"/>
      </w:divBdr>
    </w:div>
    <w:div w:id="866405813">
      <w:bodyDiv w:val="1"/>
      <w:marLeft w:val="0"/>
      <w:marRight w:val="0"/>
      <w:marTop w:val="0"/>
      <w:marBottom w:val="0"/>
      <w:divBdr>
        <w:top w:val="none" w:sz="0" w:space="0" w:color="auto"/>
        <w:left w:val="none" w:sz="0" w:space="0" w:color="auto"/>
        <w:bottom w:val="none" w:sz="0" w:space="0" w:color="auto"/>
        <w:right w:val="none" w:sz="0" w:space="0" w:color="auto"/>
      </w:divBdr>
    </w:div>
    <w:div w:id="866799108">
      <w:bodyDiv w:val="1"/>
      <w:marLeft w:val="0"/>
      <w:marRight w:val="0"/>
      <w:marTop w:val="0"/>
      <w:marBottom w:val="0"/>
      <w:divBdr>
        <w:top w:val="none" w:sz="0" w:space="0" w:color="auto"/>
        <w:left w:val="none" w:sz="0" w:space="0" w:color="auto"/>
        <w:bottom w:val="none" w:sz="0" w:space="0" w:color="auto"/>
        <w:right w:val="none" w:sz="0" w:space="0" w:color="auto"/>
      </w:divBdr>
    </w:div>
    <w:div w:id="868025941">
      <w:bodyDiv w:val="1"/>
      <w:marLeft w:val="0"/>
      <w:marRight w:val="0"/>
      <w:marTop w:val="0"/>
      <w:marBottom w:val="0"/>
      <w:divBdr>
        <w:top w:val="none" w:sz="0" w:space="0" w:color="auto"/>
        <w:left w:val="none" w:sz="0" w:space="0" w:color="auto"/>
        <w:bottom w:val="none" w:sz="0" w:space="0" w:color="auto"/>
        <w:right w:val="none" w:sz="0" w:space="0" w:color="auto"/>
      </w:divBdr>
    </w:div>
    <w:div w:id="869799240">
      <w:bodyDiv w:val="1"/>
      <w:marLeft w:val="0"/>
      <w:marRight w:val="0"/>
      <w:marTop w:val="0"/>
      <w:marBottom w:val="0"/>
      <w:divBdr>
        <w:top w:val="none" w:sz="0" w:space="0" w:color="auto"/>
        <w:left w:val="none" w:sz="0" w:space="0" w:color="auto"/>
        <w:bottom w:val="none" w:sz="0" w:space="0" w:color="auto"/>
        <w:right w:val="none" w:sz="0" w:space="0" w:color="auto"/>
      </w:divBdr>
    </w:div>
    <w:div w:id="870530380">
      <w:bodyDiv w:val="1"/>
      <w:marLeft w:val="0"/>
      <w:marRight w:val="0"/>
      <w:marTop w:val="0"/>
      <w:marBottom w:val="0"/>
      <w:divBdr>
        <w:top w:val="none" w:sz="0" w:space="0" w:color="auto"/>
        <w:left w:val="none" w:sz="0" w:space="0" w:color="auto"/>
        <w:bottom w:val="none" w:sz="0" w:space="0" w:color="auto"/>
        <w:right w:val="none" w:sz="0" w:space="0" w:color="auto"/>
      </w:divBdr>
    </w:div>
    <w:div w:id="871110600">
      <w:bodyDiv w:val="1"/>
      <w:marLeft w:val="0"/>
      <w:marRight w:val="0"/>
      <w:marTop w:val="0"/>
      <w:marBottom w:val="0"/>
      <w:divBdr>
        <w:top w:val="none" w:sz="0" w:space="0" w:color="auto"/>
        <w:left w:val="none" w:sz="0" w:space="0" w:color="auto"/>
        <w:bottom w:val="none" w:sz="0" w:space="0" w:color="auto"/>
        <w:right w:val="none" w:sz="0" w:space="0" w:color="auto"/>
      </w:divBdr>
    </w:div>
    <w:div w:id="871652608">
      <w:bodyDiv w:val="1"/>
      <w:marLeft w:val="0"/>
      <w:marRight w:val="0"/>
      <w:marTop w:val="0"/>
      <w:marBottom w:val="0"/>
      <w:divBdr>
        <w:top w:val="none" w:sz="0" w:space="0" w:color="auto"/>
        <w:left w:val="none" w:sz="0" w:space="0" w:color="auto"/>
        <w:bottom w:val="none" w:sz="0" w:space="0" w:color="auto"/>
        <w:right w:val="none" w:sz="0" w:space="0" w:color="auto"/>
      </w:divBdr>
    </w:div>
    <w:div w:id="871843228">
      <w:bodyDiv w:val="1"/>
      <w:marLeft w:val="0"/>
      <w:marRight w:val="0"/>
      <w:marTop w:val="0"/>
      <w:marBottom w:val="0"/>
      <w:divBdr>
        <w:top w:val="none" w:sz="0" w:space="0" w:color="auto"/>
        <w:left w:val="none" w:sz="0" w:space="0" w:color="auto"/>
        <w:bottom w:val="none" w:sz="0" w:space="0" w:color="auto"/>
        <w:right w:val="none" w:sz="0" w:space="0" w:color="auto"/>
      </w:divBdr>
    </w:div>
    <w:div w:id="872617571">
      <w:bodyDiv w:val="1"/>
      <w:marLeft w:val="0"/>
      <w:marRight w:val="0"/>
      <w:marTop w:val="0"/>
      <w:marBottom w:val="0"/>
      <w:divBdr>
        <w:top w:val="none" w:sz="0" w:space="0" w:color="auto"/>
        <w:left w:val="none" w:sz="0" w:space="0" w:color="auto"/>
        <w:bottom w:val="none" w:sz="0" w:space="0" w:color="auto"/>
        <w:right w:val="none" w:sz="0" w:space="0" w:color="auto"/>
      </w:divBdr>
    </w:div>
    <w:div w:id="873807408">
      <w:bodyDiv w:val="1"/>
      <w:marLeft w:val="0"/>
      <w:marRight w:val="0"/>
      <w:marTop w:val="0"/>
      <w:marBottom w:val="0"/>
      <w:divBdr>
        <w:top w:val="none" w:sz="0" w:space="0" w:color="auto"/>
        <w:left w:val="none" w:sz="0" w:space="0" w:color="auto"/>
        <w:bottom w:val="none" w:sz="0" w:space="0" w:color="auto"/>
        <w:right w:val="none" w:sz="0" w:space="0" w:color="auto"/>
      </w:divBdr>
    </w:div>
    <w:div w:id="875778059">
      <w:bodyDiv w:val="1"/>
      <w:marLeft w:val="0"/>
      <w:marRight w:val="0"/>
      <w:marTop w:val="0"/>
      <w:marBottom w:val="0"/>
      <w:divBdr>
        <w:top w:val="none" w:sz="0" w:space="0" w:color="auto"/>
        <w:left w:val="none" w:sz="0" w:space="0" w:color="auto"/>
        <w:bottom w:val="none" w:sz="0" w:space="0" w:color="auto"/>
        <w:right w:val="none" w:sz="0" w:space="0" w:color="auto"/>
      </w:divBdr>
    </w:div>
    <w:div w:id="876091480">
      <w:bodyDiv w:val="1"/>
      <w:marLeft w:val="0"/>
      <w:marRight w:val="0"/>
      <w:marTop w:val="0"/>
      <w:marBottom w:val="0"/>
      <w:divBdr>
        <w:top w:val="none" w:sz="0" w:space="0" w:color="auto"/>
        <w:left w:val="none" w:sz="0" w:space="0" w:color="auto"/>
        <w:bottom w:val="none" w:sz="0" w:space="0" w:color="auto"/>
        <w:right w:val="none" w:sz="0" w:space="0" w:color="auto"/>
      </w:divBdr>
    </w:div>
    <w:div w:id="876354428">
      <w:bodyDiv w:val="1"/>
      <w:marLeft w:val="0"/>
      <w:marRight w:val="0"/>
      <w:marTop w:val="0"/>
      <w:marBottom w:val="0"/>
      <w:divBdr>
        <w:top w:val="none" w:sz="0" w:space="0" w:color="auto"/>
        <w:left w:val="none" w:sz="0" w:space="0" w:color="auto"/>
        <w:bottom w:val="none" w:sz="0" w:space="0" w:color="auto"/>
        <w:right w:val="none" w:sz="0" w:space="0" w:color="auto"/>
      </w:divBdr>
    </w:div>
    <w:div w:id="876426172">
      <w:bodyDiv w:val="1"/>
      <w:marLeft w:val="0"/>
      <w:marRight w:val="0"/>
      <w:marTop w:val="0"/>
      <w:marBottom w:val="0"/>
      <w:divBdr>
        <w:top w:val="none" w:sz="0" w:space="0" w:color="auto"/>
        <w:left w:val="none" w:sz="0" w:space="0" w:color="auto"/>
        <w:bottom w:val="none" w:sz="0" w:space="0" w:color="auto"/>
        <w:right w:val="none" w:sz="0" w:space="0" w:color="auto"/>
      </w:divBdr>
    </w:div>
    <w:div w:id="878977134">
      <w:bodyDiv w:val="1"/>
      <w:marLeft w:val="0"/>
      <w:marRight w:val="0"/>
      <w:marTop w:val="0"/>
      <w:marBottom w:val="0"/>
      <w:divBdr>
        <w:top w:val="none" w:sz="0" w:space="0" w:color="auto"/>
        <w:left w:val="none" w:sz="0" w:space="0" w:color="auto"/>
        <w:bottom w:val="none" w:sz="0" w:space="0" w:color="auto"/>
        <w:right w:val="none" w:sz="0" w:space="0" w:color="auto"/>
      </w:divBdr>
    </w:div>
    <w:div w:id="881484547">
      <w:bodyDiv w:val="1"/>
      <w:marLeft w:val="0"/>
      <w:marRight w:val="0"/>
      <w:marTop w:val="0"/>
      <w:marBottom w:val="0"/>
      <w:divBdr>
        <w:top w:val="none" w:sz="0" w:space="0" w:color="auto"/>
        <w:left w:val="none" w:sz="0" w:space="0" w:color="auto"/>
        <w:bottom w:val="none" w:sz="0" w:space="0" w:color="auto"/>
        <w:right w:val="none" w:sz="0" w:space="0" w:color="auto"/>
      </w:divBdr>
    </w:div>
    <w:div w:id="882909228">
      <w:bodyDiv w:val="1"/>
      <w:marLeft w:val="0"/>
      <w:marRight w:val="0"/>
      <w:marTop w:val="0"/>
      <w:marBottom w:val="0"/>
      <w:divBdr>
        <w:top w:val="none" w:sz="0" w:space="0" w:color="auto"/>
        <w:left w:val="none" w:sz="0" w:space="0" w:color="auto"/>
        <w:bottom w:val="none" w:sz="0" w:space="0" w:color="auto"/>
        <w:right w:val="none" w:sz="0" w:space="0" w:color="auto"/>
      </w:divBdr>
    </w:div>
    <w:div w:id="883641794">
      <w:bodyDiv w:val="1"/>
      <w:marLeft w:val="0"/>
      <w:marRight w:val="0"/>
      <w:marTop w:val="0"/>
      <w:marBottom w:val="0"/>
      <w:divBdr>
        <w:top w:val="none" w:sz="0" w:space="0" w:color="auto"/>
        <w:left w:val="none" w:sz="0" w:space="0" w:color="auto"/>
        <w:bottom w:val="none" w:sz="0" w:space="0" w:color="auto"/>
        <w:right w:val="none" w:sz="0" w:space="0" w:color="auto"/>
      </w:divBdr>
    </w:div>
    <w:div w:id="884026443">
      <w:bodyDiv w:val="1"/>
      <w:marLeft w:val="0"/>
      <w:marRight w:val="0"/>
      <w:marTop w:val="0"/>
      <w:marBottom w:val="0"/>
      <w:divBdr>
        <w:top w:val="none" w:sz="0" w:space="0" w:color="auto"/>
        <w:left w:val="none" w:sz="0" w:space="0" w:color="auto"/>
        <w:bottom w:val="none" w:sz="0" w:space="0" w:color="auto"/>
        <w:right w:val="none" w:sz="0" w:space="0" w:color="auto"/>
      </w:divBdr>
      <w:divsChild>
        <w:div w:id="648900514">
          <w:marLeft w:val="0"/>
          <w:marRight w:val="0"/>
          <w:marTop w:val="0"/>
          <w:marBottom w:val="0"/>
          <w:divBdr>
            <w:top w:val="none" w:sz="0" w:space="0" w:color="auto"/>
            <w:left w:val="none" w:sz="0" w:space="0" w:color="auto"/>
            <w:bottom w:val="none" w:sz="0" w:space="0" w:color="auto"/>
            <w:right w:val="none" w:sz="0" w:space="0" w:color="auto"/>
          </w:divBdr>
          <w:divsChild>
            <w:div w:id="1372458503">
              <w:marLeft w:val="0"/>
              <w:marRight w:val="0"/>
              <w:marTop w:val="0"/>
              <w:marBottom w:val="0"/>
              <w:divBdr>
                <w:top w:val="none" w:sz="0" w:space="0" w:color="auto"/>
                <w:left w:val="none" w:sz="0" w:space="0" w:color="auto"/>
                <w:bottom w:val="none" w:sz="0" w:space="0" w:color="auto"/>
                <w:right w:val="none" w:sz="0" w:space="0" w:color="auto"/>
              </w:divBdr>
              <w:divsChild>
                <w:div w:id="1894808814">
                  <w:marLeft w:val="0"/>
                  <w:marRight w:val="0"/>
                  <w:marTop w:val="0"/>
                  <w:marBottom w:val="0"/>
                  <w:divBdr>
                    <w:top w:val="none" w:sz="0" w:space="0" w:color="auto"/>
                    <w:left w:val="none" w:sz="0" w:space="0" w:color="auto"/>
                    <w:bottom w:val="none" w:sz="0" w:space="0" w:color="auto"/>
                    <w:right w:val="none" w:sz="0" w:space="0" w:color="auto"/>
                  </w:divBdr>
                  <w:divsChild>
                    <w:div w:id="158934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291364">
      <w:bodyDiv w:val="1"/>
      <w:marLeft w:val="0"/>
      <w:marRight w:val="0"/>
      <w:marTop w:val="0"/>
      <w:marBottom w:val="0"/>
      <w:divBdr>
        <w:top w:val="none" w:sz="0" w:space="0" w:color="auto"/>
        <w:left w:val="none" w:sz="0" w:space="0" w:color="auto"/>
        <w:bottom w:val="none" w:sz="0" w:space="0" w:color="auto"/>
        <w:right w:val="none" w:sz="0" w:space="0" w:color="auto"/>
      </w:divBdr>
    </w:div>
    <w:div w:id="885221979">
      <w:bodyDiv w:val="1"/>
      <w:marLeft w:val="0"/>
      <w:marRight w:val="0"/>
      <w:marTop w:val="0"/>
      <w:marBottom w:val="0"/>
      <w:divBdr>
        <w:top w:val="none" w:sz="0" w:space="0" w:color="auto"/>
        <w:left w:val="none" w:sz="0" w:space="0" w:color="auto"/>
        <w:bottom w:val="none" w:sz="0" w:space="0" w:color="auto"/>
        <w:right w:val="none" w:sz="0" w:space="0" w:color="auto"/>
      </w:divBdr>
    </w:div>
    <w:div w:id="885871923">
      <w:bodyDiv w:val="1"/>
      <w:marLeft w:val="0"/>
      <w:marRight w:val="0"/>
      <w:marTop w:val="0"/>
      <w:marBottom w:val="0"/>
      <w:divBdr>
        <w:top w:val="none" w:sz="0" w:space="0" w:color="auto"/>
        <w:left w:val="none" w:sz="0" w:space="0" w:color="auto"/>
        <w:bottom w:val="none" w:sz="0" w:space="0" w:color="auto"/>
        <w:right w:val="none" w:sz="0" w:space="0" w:color="auto"/>
      </w:divBdr>
    </w:div>
    <w:div w:id="887885302">
      <w:bodyDiv w:val="1"/>
      <w:marLeft w:val="0"/>
      <w:marRight w:val="0"/>
      <w:marTop w:val="0"/>
      <w:marBottom w:val="0"/>
      <w:divBdr>
        <w:top w:val="none" w:sz="0" w:space="0" w:color="auto"/>
        <w:left w:val="none" w:sz="0" w:space="0" w:color="auto"/>
        <w:bottom w:val="none" w:sz="0" w:space="0" w:color="auto"/>
        <w:right w:val="none" w:sz="0" w:space="0" w:color="auto"/>
      </w:divBdr>
    </w:div>
    <w:div w:id="889539481">
      <w:bodyDiv w:val="1"/>
      <w:marLeft w:val="0"/>
      <w:marRight w:val="0"/>
      <w:marTop w:val="0"/>
      <w:marBottom w:val="0"/>
      <w:divBdr>
        <w:top w:val="none" w:sz="0" w:space="0" w:color="auto"/>
        <w:left w:val="none" w:sz="0" w:space="0" w:color="auto"/>
        <w:bottom w:val="none" w:sz="0" w:space="0" w:color="auto"/>
        <w:right w:val="none" w:sz="0" w:space="0" w:color="auto"/>
      </w:divBdr>
    </w:div>
    <w:div w:id="890844538">
      <w:bodyDiv w:val="1"/>
      <w:marLeft w:val="0"/>
      <w:marRight w:val="0"/>
      <w:marTop w:val="0"/>
      <w:marBottom w:val="0"/>
      <w:divBdr>
        <w:top w:val="none" w:sz="0" w:space="0" w:color="auto"/>
        <w:left w:val="none" w:sz="0" w:space="0" w:color="auto"/>
        <w:bottom w:val="none" w:sz="0" w:space="0" w:color="auto"/>
        <w:right w:val="none" w:sz="0" w:space="0" w:color="auto"/>
      </w:divBdr>
    </w:div>
    <w:div w:id="894314351">
      <w:bodyDiv w:val="1"/>
      <w:marLeft w:val="0"/>
      <w:marRight w:val="0"/>
      <w:marTop w:val="0"/>
      <w:marBottom w:val="0"/>
      <w:divBdr>
        <w:top w:val="none" w:sz="0" w:space="0" w:color="auto"/>
        <w:left w:val="none" w:sz="0" w:space="0" w:color="auto"/>
        <w:bottom w:val="none" w:sz="0" w:space="0" w:color="auto"/>
        <w:right w:val="none" w:sz="0" w:space="0" w:color="auto"/>
      </w:divBdr>
    </w:div>
    <w:div w:id="894436963">
      <w:bodyDiv w:val="1"/>
      <w:marLeft w:val="0"/>
      <w:marRight w:val="0"/>
      <w:marTop w:val="0"/>
      <w:marBottom w:val="0"/>
      <w:divBdr>
        <w:top w:val="none" w:sz="0" w:space="0" w:color="auto"/>
        <w:left w:val="none" w:sz="0" w:space="0" w:color="auto"/>
        <w:bottom w:val="none" w:sz="0" w:space="0" w:color="auto"/>
        <w:right w:val="none" w:sz="0" w:space="0" w:color="auto"/>
      </w:divBdr>
    </w:div>
    <w:div w:id="894439068">
      <w:bodyDiv w:val="1"/>
      <w:marLeft w:val="0"/>
      <w:marRight w:val="0"/>
      <w:marTop w:val="0"/>
      <w:marBottom w:val="0"/>
      <w:divBdr>
        <w:top w:val="none" w:sz="0" w:space="0" w:color="auto"/>
        <w:left w:val="none" w:sz="0" w:space="0" w:color="auto"/>
        <w:bottom w:val="none" w:sz="0" w:space="0" w:color="auto"/>
        <w:right w:val="none" w:sz="0" w:space="0" w:color="auto"/>
      </w:divBdr>
    </w:div>
    <w:div w:id="895160147">
      <w:bodyDiv w:val="1"/>
      <w:marLeft w:val="0"/>
      <w:marRight w:val="0"/>
      <w:marTop w:val="0"/>
      <w:marBottom w:val="0"/>
      <w:divBdr>
        <w:top w:val="none" w:sz="0" w:space="0" w:color="auto"/>
        <w:left w:val="none" w:sz="0" w:space="0" w:color="auto"/>
        <w:bottom w:val="none" w:sz="0" w:space="0" w:color="auto"/>
        <w:right w:val="none" w:sz="0" w:space="0" w:color="auto"/>
      </w:divBdr>
    </w:div>
    <w:div w:id="895316684">
      <w:bodyDiv w:val="1"/>
      <w:marLeft w:val="0"/>
      <w:marRight w:val="0"/>
      <w:marTop w:val="0"/>
      <w:marBottom w:val="0"/>
      <w:divBdr>
        <w:top w:val="none" w:sz="0" w:space="0" w:color="auto"/>
        <w:left w:val="none" w:sz="0" w:space="0" w:color="auto"/>
        <w:bottom w:val="none" w:sz="0" w:space="0" w:color="auto"/>
        <w:right w:val="none" w:sz="0" w:space="0" w:color="auto"/>
      </w:divBdr>
    </w:div>
    <w:div w:id="898251585">
      <w:bodyDiv w:val="1"/>
      <w:marLeft w:val="0"/>
      <w:marRight w:val="0"/>
      <w:marTop w:val="0"/>
      <w:marBottom w:val="0"/>
      <w:divBdr>
        <w:top w:val="none" w:sz="0" w:space="0" w:color="auto"/>
        <w:left w:val="none" w:sz="0" w:space="0" w:color="auto"/>
        <w:bottom w:val="none" w:sz="0" w:space="0" w:color="auto"/>
        <w:right w:val="none" w:sz="0" w:space="0" w:color="auto"/>
      </w:divBdr>
    </w:div>
    <w:div w:id="900406755">
      <w:bodyDiv w:val="1"/>
      <w:marLeft w:val="0"/>
      <w:marRight w:val="0"/>
      <w:marTop w:val="0"/>
      <w:marBottom w:val="0"/>
      <w:divBdr>
        <w:top w:val="none" w:sz="0" w:space="0" w:color="auto"/>
        <w:left w:val="none" w:sz="0" w:space="0" w:color="auto"/>
        <w:bottom w:val="none" w:sz="0" w:space="0" w:color="auto"/>
        <w:right w:val="none" w:sz="0" w:space="0" w:color="auto"/>
      </w:divBdr>
    </w:div>
    <w:div w:id="900824066">
      <w:bodyDiv w:val="1"/>
      <w:marLeft w:val="0"/>
      <w:marRight w:val="0"/>
      <w:marTop w:val="0"/>
      <w:marBottom w:val="0"/>
      <w:divBdr>
        <w:top w:val="none" w:sz="0" w:space="0" w:color="auto"/>
        <w:left w:val="none" w:sz="0" w:space="0" w:color="auto"/>
        <w:bottom w:val="none" w:sz="0" w:space="0" w:color="auto"/>
        <w:right w:val="none" w:sz="0" w:space="0" w:color="auto"/>
      </w:divBdr>
    </w:div>
    <w:div w:id="901138880">
      <w:bodyDiv w:val="1"/>
      <w:marLeft w:val="0"/>
      <w:marRight w:val="0"/>
      <w:marTop w:val="0"/>
      <w:marBottom w:val="0"/>
      <w:divBdr>
        <w:top w:val="none" w:sz="0" w:space="0" w:color="auto"/>
        <w:left w:val="none" w:sz="0" w:space="0" w:color="auto"/>
        <w:bottom w:val="none" w:sz="0" w:space="0" w:color="auto"/>
        <w:right w:val="none" w:sz="0" w:space="0" w:color="auto"/>
      </w:divBdr>
    </w:div>
    <w:div w:id="901601130">
      <w:bodyDiv w:val="1"/>
      <w:marLeft w:val="0"/>
      <w:marRight w:val="0"/>
      <w:marTop w:val="0"/>
      <w:marBottom w:val="0"/>
      <w:divBdr>
        <w:top w:val="none" w:sz="0" w:space="0" w:color="auto"/>
        <w:left w:val="none" w:sz="0" w:space="0" w:color="auto"/>
        <w:bottom w:val="none" w:sz="0" w:space="0" w:color="auto"/>
        <w:right w:val="none" w:sz="0" w:space="0" w:color="auto"/>
      </w:divBdr>
    </w:div>
    <w:div w:id="902984367">
      <w:bodyDiv w:val="1"/>
      <w:marLeft w:val="0"/>
      <w:marRight w:val="0"/>
      <w:marTop w:val="0"/>
      <w:marBottom w:val="0"/>
      <w:divBdr>
        <w:top w:val="none" w:sz="0" w:space="0" w:color="auto"/>
        <w:left w:val="none" w:sz="0" w:space="0" w:color="auto"/>
        <w:bottom w:val="none" w:sz="0" w:space="0" w:color="auto"/>
        <w:right w:val="none" w:sz="0" w:space="0" w:color="auto"/>
      </w:divBdr>
    </w:div>
    <w:div w:id="904530056">
      <w:bodyDiv w:val="1"/>
      <w:marLeft w:val="0"/>
      <w:marRight w:val="0"/>
      <w:marTop w:val="0"/>
      <w:marBottom w:val="0"/>
      <w:divBdr>
        <w:top w:val="none" w:sz="0" w:space="0" w:color="auto"/>
        <w:left w:val="none" w:sz="0" w:space="0" w:color="auto"/>
        <w:bottom w:val="none" w:sz="0" w:space="0" w:color="auto"/>
        <w:right w:val="none" w:sz="0" w:space="0" w:color="auto"/>
      </w:divBdr>
    </w:div>
    <w:div w:id="905385082">
      <w:bodyDiv w:val="1"/>
      <w:marLeft w:val="0"/>
      <w:marRight w:val="0"/>
      <w:marTop w:val="0"/>
      <w:marBottom w:val="0"/>
      <w:divBdr>
        <w:top w:val="none" w:sz="0" w:space="0" w:color="auto"/>
        <w:left w:val="none" w:sz="0" w:space="0" w:color="auto"/>
        <w:bottom w:val="none" w:sz="0" w:space="0" w:color="auto"/>
        <w:right w:val="none" w:sz="0" w:space="0" w:color="auto"/>
      </w:divBdr>
    </w:div>
    <w:div w:id="906191320">
      <w:bodyDiv w:val="1"/>
      <w:marLeft w:val="0"/>
      <w:marRight w:val="0"/>
      <w:marTop w:val="0"/>
      <w:marBottom w:val="0"/>
      <w:divBdr>
        <w:top w:val="none" w:sz="0" w:space="0" w:color="auto"/>
        <w:left w:val="none" w:sz="0" w:space="0" w:color="auto"/>
        <w:bottom w:val="none" w:sz="0" w:space="0" w:color="auto"/>
        <w:right w:val="none" w:sz="0" w:space="0" w:color="auto"/>
      </w:divBdr>
    </w:div>
    <w:div w:id="906257490">
      <w:bodyDiv w:val="1"/>
      <w:marLeft w:val="0"/>
      <w:marRight w:val="0"/>
      <w:marTop w:val="0"/>
      <w:marBottom w:val="0"/>
      <w:divBdr>
        <w:top w:val="none" w:sz="0" w:space="0" w:color="auto"/>
        <w:left w:val="none" w:sz="0" w:space="0" w:color="auto"/>
        <w:bottom w:val="none" w:sz="0" w:space="0" w:color="auto"/>
        <w:right w:val="none" w:sz="0" w:space="0" w:color="auto"/>
      </w:divBdr>
    </w:div>
    <w:div w:id="907151624">
      <w:bodyDiv w:val="1"/>
      <w:marLeft w:val="0"/>
      <w:marRight w:val="0"/>
      <w:marTop w:val="0"/>
      <w:marBottom w:val="0"/>
      <w:divBdr>
        <w:top w:val="none" w:sz="0" w:space="0" w:color="auto"/>
        <w:left w:val="none" w:sz="0" w:space="0" w:color="auto"/>
        <w:bottom w:val="none" w:sz="0" w:space="0" w:color="auto"/>
        <w:right w:val="none" w:sz="0" w:space="0" w:color="auto"/>
      </w:divBdr>
    </w:div>
    <w:div w:id="907612407">
      <w:bodyDiv w:val="1"/>
      <w:marLeft w:val="0"/>
      <w:marRight w:val="0"/>
      <w:marTop w:val="0"/>
      <w:marBottom w:val="0"/>
      <w:divBdr>
        <w:top w:val="none" w:sz="0" w:space="0" w:color="auto"/>
        <w:left w:val="none" w:sz="0" w:space="0" w:color="auto"/>
        <w:bottom w:val="none" w:sz="0" w:space="0" w:color="auto"/>
        <w:right w:val="none" w:sz="0" w:space="0" w:color="auto"/>
      </w:divBdr>
    </w:div>
    <w:div w:id="909730351">
      <w:bodyDiv w:val="1"/>
      <w:marLeft w:val="0"/>
      <w:marRight w:val="0"/>
      <w:marTop w:val="0"/>
      <w:marBottom w:val="0"/>
      <w:divBdr>
        <w:top w:val="none" w:sz="0" w:space="0" w:color="auto"/>
        <w:left w:val="none" w:sz="0" w:space="0" w:color="auto"/>
        <w:bottom w:val="none" w:sz="0" w:space="0" w:color="auto"/>
        <w:right w:val="none" w:sz="0" w:space="0" w:color="auto"/>
      </w:divBdr>
    </w:div>
    <w:div w:id="912357009">
      <w:bodyDiv w:val="1"/>
      <w:marLeft w:val="0"/>
      <w:marRight w:val="0"/>
      <w:marTop w:val="0"/>
      <w:marBottom w:val="0"/>
      <w:divBdr>
        <w:top w:val="none" w:sz="0" w:space="0" w:color="auto"/>
        <w:left w:val="none" w:sz="0" w:space="0" w:color="auto"/>
        <w:bottom w:val="none" w:sz="0" w:space="0" w:color="auto"/>
        <w:right w:val="none" w:sz="0" w:space="0" w:color="auto"/>
      </w:divBdr>
    </w:div>
    <w:div w:id="913314927">
      <w:bodyDiv w:val="1"/>
      <w:marLeft w:val="0"/>
      <w:marRight w:val="0"/>
      <w:marTop w:val="0"/>
      <w:marBottom w:val="0"/>
      <w:divBdr>
        <w:top w:val="none" w:sz="0" w:space="0" w:color="auto"/>
        <w:left w:val="none" w:sz="0" w:space="0" w:color="auto"/>
        <w:bottom w:val="none" w:sz="0" w:space="0" w:color="auto"/>
        <w:right w:val="none" w:sz="0" w:space="0" w:color="auto"/>
      </w:divBdr>
    </w:div>
    <w:div w:id="913703873">
      <w:bodyDiv w:val="1"/>
      <w:marLeft w:val="0"/>
      <w:marRight w:val="0"/>
      <w:marTop w:val="0"/>
      <w:marBottom w:val="0"/>
      <w:divBdr>
        <w:top w:val="none" w:sz="0" w:space="0" w:color="auto"/>
        <w:left w:val="none" w:sz="0" w:space="0" w:color="auto"/>
        <w:bottom w:val="none" w:sz="0" w:space="0" w:color="auto"/>
        <w:right w:val="none" w:sz="0" w:space="0" w:color="auto"/>
      </w:divBdr>
    </w:div>
    <w:div w:id="913857411">
      <w:bodyDiv w:val="1"/>
      <w:marLeft w:val="0"/>
      <w:marRight w:val="0"/>
      <w:marTop w:val="0"/>
      <w:marBottom w:val="0"/>
      <w:divBdr>
        <w:top w:val="none" w:sz="0" w:space="0" w:color="auto"/>
        <w:left w:val="none" w:sz="0" w:space="0" w:color="auto"/>
        <w:bottom w:val="none" w:sz="0" w:space="0" w:color="auto"/>
        <w:right w:val="none" w:sz="0" w:space="0" w:color="auto"/>
      </w:divBdr>
      <w:divsChild>
        <w:div w:id="1641618465">
          <w:marLeft w:val="0"/>
          <w:marRight w:val="0"/>
          <w:marTop w:val="0"/>
          <w:marBottom w:val="0"/>
          <w:divBdr>
            <w:top w:val="none" w:sz="0" w:space="0" w:color="auto"/>
            <w:left w:val="none" w:sz="0" w:space="0" w:color="auto"/>
            <w:bottom w:val="none" w:sz="0" w:space="0" w:color="auto"/>
            <w:right w:val="none" w:sz="0" w:space="0" w:color="auto"/>
          </w:divBdr>
          <w:divsChild>
            <w:div w:id="288902669">
              <w:marLeft w:val="0"/>
              <w:marRight w:val="0"/>
              <w:marTop w:val="0"/>
              <w:marBottom w:val="0"/>
              <w:divBdr>
                <w:top w:val="none" w:sz="0" w:space="0" w:color="auto"/>
                <w:left w:val="none" w:sz="0" w:space="0" w:color="auto"/>
                <w:bottom w:val="none" w:sz="0" w:space="0" w:color="auto"/>
                <w:right w:val="none" w:sz="0" w:space="0" w:color="auto"/>
              </w:divBdr>
              <w:divsChild>
                <w:div w:id="1016998949">
                  <w:marLeft w:val="0"/>
                  <w:marRight w:val="0"/>
                  <w:marTop w:val="0"/>
                  <w:marBottom w:val="0"/>
                  <w:divBdr>
                    <w:top w:val="none" w:sz="0" w:space="0" w:color="auto"/>
                    <w:left w:val="none" w:sz="0" w:space="0" w:color="auto"/>
                    <w:bottom w:val="none" w:sz="0" w:space="0" w:color="auto"/>
                    <w:right w:val="none" w:sz="0" w:space="0" w:color="auto"/>
                  </w:divBdr>
                  <w:divsChild>
                    <w:div w:id="1442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5335">
      <w:bodyDiv w:val="1"/>
      <w:marLeft w:val="0"/>
      <w:marRight w:val="0"/>
      <w:marTop w:val="0"/>
      <w:marBottom w:val="0"/>
      <w:divBdr>
        <w:top w:val="none" w:sz="0" w:space="0" w:color="auto"/>
        <w:left w:val="none" w:sz="0" w:space="0" w:color="auto"/>
        <w:bottom w:val="none" w:sz="0" w:space="0" w:color="auto"/>
        <w:right w:val="none" w:sz="0" w:space="0" w:color="auto"/>
      </w:divBdr>
    </w:div>
    <w:div w:id="916329598">
      <w:bodyDiv w:val="1"/>
      <w:marLeft w:val="0"/>
      <w:marRight w:val="0"/>
      <w:marTop w:val="0"/>
      <w:marBottom w:val="0"/>
      <w:divBdr>
        <w:top w:val="none" w:sz="0" w:space="0" w:color="auto"/>
        <w:left w:val="none" w:sz="0" w:space="0" w:color="auto"/>
        <w:bottom w:val="none" w:sz="0" w:space="0" w:color="auto"/>
        <w:right w:val="none" w:sz="0" w:space="0" w:color="auto"/>
      </w:divBdr>
    </w:div>
    <w:div w:id="917833204">
      <w:bodyDiv w:val="1"/>
      <w:marLeft w:val="0"/>
      <w:marRight w:val="0"/>
      <w:marTop w:val="0"/>
      <w:marBottom w:val="0"/>
      <w:divBdr>
        <w:top w:val="none" w:sz="0" w:space="0" w:color="auto"/>
        <w:left w:val="none" w:sz="0" w:space="0" w:color="auto"/>
        <w:bottom w:val="none" w:sz="0" w:space="0" w:color="auto"/>
        <w:right w:val="none" w:sz="0" w:space="0" w:color="auto"/>
      </w:divBdr>
    </w:div>
    <w:div w:id="921333078">
      <w:bodyDiv w:val="1"/>
      <w:marLeft w:val="0"/>
      <w:marRight w:val="0"/>
      <w:marTop w:val="0"/>
      <w:marBottom w:val="0"/>
      <w:divBdr>
        <w:top w:val="none" w:sz="0" w:space="0" w:color="auto"/>
        <w:left w:val="none" w:sz="0" w:space="0" w:color="auto"/>
        <w:bottom w:val="none" w:sz="0" w:space="0" w:color="auto"/>
        <w:right w:val="none" w:sz="0" w:space="0" w:color="auto"/>
      </w:divBdr>
    </w:div>
    <w:div w:id="921647727">
      <w:bodyDiv w:val="1"/>
      <w:marLeft w:val="0"/>
      <w:marRight w:val="0"/>
      <w:marTop w:val="0"/>
      <w:marBottom w:val="0"/>
      <w:divBdr>
        <w:top w:val="none" w:sz="0" w:space="0" w:color="auto"/>
        <w:left w:val="none" w:sz="0" w:space="0" w:color="auto"/>
        <w:bottom w:val="none" w:sz="0" w:space="0" w:color="auto"/>
        <w:right w:val="none" w:sz="0" w:space="0" w:color="auto"/>
      </w:divBdr>
    </w:div>
    <w:div w:id="923227949">
      <w:bodyDiv w:val="1"/>
      <w:marLeft w:val="0"/>
      <w:marRight w:val="0"/>
      <w:marTop w:val="0"/>
      <w:marBottom w:val="0"/>
      <w:divBdr>
        <w:top w:val="none" w:sz="0" w:space="0" w:color="auto"/>
        <w:left w:val="none" w:sz="0" w:space="0" w:color="auto"/>
        <w:bottom w:val="none" w:sz="0" w:space="0" w:color="auto"/>
        <w:right w:val="none" w:sz="0" w:space="0" w:color="auto"/>
      </w:divBdr>
    </w:div>
    <w:div w:id="923992307">
      <w:bodyDiv w:val="1"/>
      <w:marLeft w:val="0"/>
      <w:marRight w:val="0"/>
      <w:marTop w:val="0"/>
      <w:marBottom w:val="0"/>
      <w:divBdr>
        <w:top w:val="none" w:sz="0" w:space="0" w:color="auto"/>
        <w:left w:val="none" w:sz="0" w:space="0" w:color="auto"/>
        <w:bottom w:val="none" w:sz="0" w:space="0" w:color="auto"/>
        <w:right w:val="none" w:sz="0" w:space="0" w:color="auto"/>
      </w:divBdr>
    </w:div>
    <w:div w:id="924192428">
      <w:bodyDiv w:val="1"/>
      <w:marLeft w:val="0"/>
      <w:marRight w:val="0"/>
      <w:marTop w:val="0"/>
      <w:marBottom w:val="0"/>
      <w:divBdr>
        <w:top w:val="none" w:sz="0" w:space="0" w:color="auto"/>
        <w:left w:val="none" w:sz="0" w:space="0" w:color="auto"/>
        <w:bottom w:val="none" w:sz="0" w:space="0" w:color="auto"/>
        <w:right w:val="none" w:sz="0" w:space="0" w:color="auto"/>
      </w:divBdr>
    </w:div>
    <w:div w:id="924265675">
      <w:bodyDiv w:val="1"/>
      <w:marLeft w:val="0"/>
      <w:marRight w:val="0"/>
      <w:marTop w:val="0"/>
      <w:marBottom w:val="0"/>
      <w:divBdr>
        <w:top w:val="none" w:sz="0" w:space="0" w:color="auto"/>
        <w:left w:val="none" w:sz="0" w:space="0" w:color="auto"/>
        <w:bottom w:val="none" w:sz="0" w:space="0" w:color="auto"/>
        <w:right w:val="none" w:sz="0" w:space="0" w:color="auto"/>
      </w:divBdr>
    </w:div>
    <w:div w:id="924652935">
      <w:bodyDiv w:val="1"/>
      <w:marLeft w:val="0"/>
      <w:marRight w:val="0"/>
      <w:marTop w:val="0"/>
      <w:marBottom w:val="0"/>
      <w:divBdr>
        <w:top w:val="none" w:sz="0" w:space="0" w:color="auto"/>
        <w:left w:val="none" w:sz="0" w:space="0" w:color="auto"/>
        <w:bottom w:val="none" w:sz="0" w:space="0" w:color="auto"/>
        <w:right w:val="none" w:sz="0" w:space="0" w:color="auto"/>
      </w:divBdr>
    </w:div>
    <w:div w:id="926504161">
      <w:bodyDiv w:val="1"/>
      <w:marLeft w:val="0"/>
      <w:marRight w:val="0"/>
      <w:marTop w:val="0"/>
      <w:marBottom w:val="0"/>
      <w:divBdr>
        <w:top w:val="none" w:sz="0" w:space="0" w:color="auto"/>
        <w:left w:val="none" w:sz="0" w:space="0" w:color="auto"/>
        <w:bottom w:val="none" w:sz="0" w:space="0" w:color="auto"/>
        <w:right w:val="none" w:sz="0" w:space="0" w:color="auto"/>
      </w:divBdr>
    </w:div>
    <w:div w:id="927008187">
      <w:bodyDiv w:val="1"/>
      <w:marLeft w:val="0"/>
      <w:marRight w:val="0"/>
      <w:marTop w:val="0"/>
      <w:marBottom w:val="0"/>
      <w:divBdr>
        <w:top w:val="none" w:sz="0" w:space="0" w:color="auto"/>
        <w:left w:val="none" w:sz="0" w:space="0" w:color="auto"/>
        <w:bottom w:val="none" w:sz="0" w:space="0" w:color="auto"/>
        <w:right w:val="none" w:sz="0" w:space="0" w:color="auto"/>
      </w:divBdr>
    </w:div>
    <w:div w:id="927540374">
      <w:bodyDiv w:val="1"/>
      <w:marLeft w:val="0"/>
      <w:marRight w:val="0"/>
      <w:marTop w:val="0"/>
      <w:marBottom w:val="0"/>
      <w:divBdr>
        <w:top w:val="none" w:sz="0" w:space="0" w:color="auto"/>
        <w:left w:val="none" w:sz="0" w:space="0" w:color="auto"/>
        <w:bottom w:val="none" w:sz="0" w:space="0" w:color="auto"/>
        <w:right w:val="none" w:sz="0" w:space="0" w:color="auto"/>
      </w:divBdr>
    </w:div>
    <w:div w:id="929504270">
      <w:bodyDiv w:val="1"/>
      <w:marLeft w:val="0"/>
      <w:marRight w:val="0"/>
      <w:marTop w:val="0"/>
      <w:marBottom w:val="0"/>
      <w:divBdr>
        <w:top w:val="none" w:sz="0" w:space="0" w:color="auto"/>
        <w:left w:val="none" w:sz="0" w:space="0" w:color="auto"/>
        <w:bottom w:val="none" w:sz="0" w:space="0" w:color="auto"/>
        <w:right w:val="none" w:sz="0" w:space="0" w:color="auto"/>
      </w:divBdr>
    </w:div>
    <w:div w:id="931553361">
      <w:bodyDiv w:val="1"/>
      <w:marLeft w:val="0"/>
      <w:marRight w:val="0"/>
      <w:marTop w:val="0"/>
      <w:marBottom w:val="0"/>
      <w:divBdr>
        <w:top w:val="none" w:sz="0" w:space="0" w:color="auto"/>
        <w:left w:val="none" w:sz="0" w:space="0" w:color="auto"/>
        <w:bottom w:val="none" w:sz="0" w:space="0" w:color="auto"/>
        <w:right w:val="none" w:sz="0" w:space="0" w:color="auto"/>
      </w:divBdr>
    </w:div>
    <w:div w:id="934627879">
      <w:bodyDiv w:val="1"/>
      <w:marLeft w:val="0"/>
      <w:marRight w:val="0"/>
      <w:marTop w:val="0"/>
      <w:marBottom w:val="0"/>
      <w:divBdr>
        <w:top w:val="none" w:sz="0" w:space="0" w:color="auto"/>
        <w:left w:val="none" w:sz="0" w:space="0" w:color="auto"/>
        <w:bottom w:val="none" w:sz="0" w:space="0" w:color="auto"/>
        <w:right w:val="none" w:sz="0" w:space="0" w:color="auto"/>
      </w:divBdr>
    </w:div>
    <w:div w:id="935555223">
      <w:bodyDiv w:val="1"/>
      <w:marLeft w:val="0"/>
      <w:marRight w:val="0"/>
      <w:marTop w:val="0"/>
      <w:marBottom w:val="0"/>
      <w:divBdr>
        <w:top w:val="none" w:sz="0" w:space="0" w:color="auto"/>
        <w:left w:val="none" w:sz="0" w:space="0" w:color="auto"/>
        <w:bottom w:val="none" w:sz="0" w:space="0" w:color="auto"/>
        <w:right w:val="none" w:sz="0" w:space="0" w:color="auto"/>
      </w:divBdr>
    </w:div>
    <w:div w:id="935942544">
      <w:bodyDiv w:val="1"/>
      <w:marLeft w:val="0"/>
      <w:marRight w:val="0"/>
      <w:marTop w:val="0"/>
      <w:marBottom w:val="0"/>
      <w:divBdr>
        <w:top w:val="none" w:sz="0" w:space="0" w:color="auto"/>
        <w:left w:val="none" w:sz="0" w:space="0" w:color="auto"/>
        <w:bottom w:val="none" w:sz="0" w:space="0" w:color="auto"/>
        <w:right w:val="none" w:sz="0" w:space="0" w:color="auto"/>
      </w:divBdr>
    </w:div>
    <w:div w:id="937326687">
      <w:bodyDiv w:val="1"/>
      <w:marLeft w:val="0"/>
      <w:marRight w:val="0"/>
      <w:marTop w:val="0"/>
      <w:marBottom w:val="0"/>
      <w:divBdr>
        <w:top w:val="none" w:sz="0" w:space="0" w:color="auto"/>
        <w:left w:val="none" w:sz="0" w:space="0" w:color="auto"/>
        <w:bottom w:val="none" w:sz="0" w:space="0" w:color="auto"/>
        <w:right w:val="none" w:sz="0" w:space="0" w:color="auto"/>
      </w:divBdr>
    </w:div>
    <w:div w:id="939484129">
      <w:bodyDiv w:val="1"/>
      <w:marLeft w:val="0"/>
      <w:marRight w:val="0"/>
      <w:marTop w:val="0"/>
      <w:marBottom w:val="0"/>
      <w:divBdr>
        <w:top w:val="none" w:sz="0" w:space="0" w:color="auto"/>
        <w:left w:val="none" w:sz="0" w:space="0" w:color="auto"/>
        <w:bottom w:val="none" w:sz="0" w:space="0" w:color="auto"/>
        <w:right w:val="none" w:sz="0" w:space="0" w:color="auto"/>
      </w:divBdr>
    </w:div>
    <w:div w:id="939798540">
      <w:bodyDiv w:val="1"/>
      <w:marLeft w:val="0"/>
      <w:marRight w:val="0"/>
      <w:marTop w:val="0"/>
      <w:marBottom w:val="0"/>
      <w:divBdr>
        <w:top w:val="none" w:sz="0" w:space="0" w:color="auto"/>
        <w:left w:val="none" w:sz="0" w:space="0" w:color="auto"/>
        <w:bottom w:val="none" w:sz="0" w:space="0" w:color="auto"/>
        <w:right w:val="none" w:sz="0" w:space="0" w:color="auto"/>
      </w:divBdr>
    </w:div>
    <w:div w:id="940842262">
      <w:bodyDiv w:val="1"/>
      <w:marLeft w:val="0"/>
      <w:marRight w:val="0"/>
      <w:marTop w:val="0"/>
      <w:marBottom w:val="0"/>
      <w:divBdr>
        <w:top w:val="none" w:sz="0" w:space="0" w:color="auto"/>
        <w:left w:val="none" w:sz="0" w:space="0" w:color="auto"/>
        <w:bottom w:val="none" w:sz="0" w:space="0" w:color="auto"/>
        <w:right w:val="none" w:sz="0" w:space="0" w:color="auto"/>
      </w:divBdr>
    </w:div>
    <w:div w:id="941231164">
      <w:bodyDiv w:val="1"/>
      <w:marLeft w:val="0"/>
      <w:marRight w:val="0"/>
      <w:marTop w:val="0"/>
      <w:marBottom w:val="0"/>
      <w:divBdr>
        <w:top w:val="none" w:sz="0" w:space="0" w:color="auto"/>
        <w:left w:val="none" w:sz="0" w:space="0" w:color="auto"/>
        <w:bottom w:val="none" w:sz="0" w:space="0" w:color="auto"/>
        <w:right w:val="none" w:sz="0" w:space="0" w:color="auto"/>
      </w:divBdr>
    </w:div>
    <w:div w:id="941767051">
      <w:bodyDiv w:val="1"/>
      <w:marLeft w:val="0"/>
      <w:marRight w:val="0"/>
      <w:marTop w:val="0"/>
      <w:marBottom w:val="0"/>
      <w:divBdr>
        <w:top w:val="none" w:sz="0" w:space="0" w:color="auto"/>
        <w:left w:val="none" w:sz="0" w:space="0" w:color="auto"/>
        <w:bottom w:val="none" w:sz="0" w:space="0" w:color="auto"/>
        <w:right w:val="none" w:sz="0" w:space="0" w:color="auto"/>
      </w:divBdr>
    </w:div>
    <w:div w:id="941884030">
      <w:bodyDiv w:val="1"/>
      <w:marLeft w:val="0"/>
      <w:marRight w:val="0"/>
      <w:marTop w:val="0"/>
      <w:marBottom w:val="0"/>
      <w:divBdr>
        <w:top w:val="none" w:sz="0" w:space="0" w:color="auto"/>
        <w:left w:val="none" w:sz="0" w:space="0" w:color="auto"/>
        <w:bottom w:val="none" w:sz="0" w:space="0" w:color="auto"/>
        <w:right w:val="none" w:sz="0" w:space="0" w:color="auto"/>
      </w:divBdr>
    </w:div>
    <w:div w:id="946086036">
      <w:bodyDiv w:val="1"/>
      <w:marLeft w:val="0"/>
      <w:marRight w:val="0"/>
      <w:marTop w:val="0"/>
      <w:marBottom w:val="0"/>
      <w:divBdr>
        <w:top w:val="none" w:sz="0" w:space="0" w:color="auto"/>
        <w:left w:val="none" w:sz="0" w:space="0" w:color="auto"/>
        <w:bottom w:val="none" w:sz="0" w:space="0" w:color="auto"/>
        <w:right w:val="none" w:sz="0" w:space="0" w:color="auto"/>
      </w:divBdr>
    </w:div>
    <w:div w:id="951130783">
      <w:bodyDiv w:val="1"/>
      <w:marLeft w:val="0"/>
      <w:marRight w:val="0"/>
      <w:marTop w:val="0"/>
      <w:marBottom w:val="0"/>
      <w:divBdr>
        <w:top w:val="none" w:sz="0" w:space="0" w:color="auto"/>
        <w:left w:val="none" w:sz="0" w:space="0" w:color="auto"/>
        <w:bottom w:val="none" w:sz="0" w:space="0" w:color="auto"/>
        <w:right w:val="none" w:sz="0" w:space="0" w:color="auto"/>
      </w:divBdr>
    </w:div>
    <w:div w:id="951594251">
      <w:bodyDiv w:val="1"/>
      <w:marLeft w:val="0"/>
      <w:marRight w:val="0"/>
      <w:marTop w:val="0"/>
      <w:marBottom w:val="0"/>
      <w:divBdr>
        <w:top w:val="none" w:sz="0" w:space="0" w:color="auto"/>
        <w:left w:val="none" w:sz="0" w:space="0" w:color="auto"/>
        <w:bottom w:val="none" w:sz="0" w:space="0" w:color="auto"/>
        <w:right w:val="none" w:sz="0" w:space="0" w:color="auto"/>
      </w:divBdr>
    </w:div>
    <w:div w:id="952590637">
      <w:bodyDiv w:val="1"/>
      <w:marLeft w:val="0"/>
      <w:marRight w:val="0"/>
      <w:marTop w:val="0"/>
      <w:marBottom w:val="0"/>
      <w:divBdr>
        <w:top w:val="none" w:sz="0" w:space="0" w:color="auto"/>
        <w:left w:val="none" w:sz="0" w:space="0" w:color="auto"/>
        <w:bottom w:val="none" w:sz="0" w:space="0" w:color="auto"/>
        <w:right w:val="none" w:sz="0" w:space="0" w:color="auto"/>
      </w:divBdr>
    </w:div>
    <w:div w:id="954794463">
      <w:bodyDiv w:val="1"/>
      <w:marLeft w:val="0"/>
      <w:marRight w:val="0"/>
      <w:marTop w:val="0"/>
      <w:marBottom w:val="0"/>
      <w:divBdr>
        <w:top w:val="none" w:sz="0" w:space="0" w:color="auto"/>
        <w:left w:val="none" w:sz="0" w:space="0" w:color="auto"/>
        <w:bottom w:val="none" w:sz="0" w:space="0" w:color="auto"/>
        <w:right w:val="none" w:sz="0" w:space="0" w:color="auto"/>
      </w:divBdr>
    </w:div>
    <w:div w:id="954945689">
      <w:bodyDiv w:val="1"/>
      <w:marLeft w:val="0"/>
      <w:marRight w:val="0"/>
      <w:marTop w:val="0"/>
      <w:marBottom w:val="0"/>
      <w:divBdr>
        <w:top w:val="none" w:sz="0" w:space="0" w:color="auto"/>
        <w:left w:val="none" w:sz="0" w:space="0" w:color="auto"/>
        <w:bottom w:val="none" w:sz="0" w:space="0" w:color="auto"/>
        <w:right w:val="none" w:sz="0" w:space="0" w:color="auto"/>
      </w:divBdr>
    </w:div>
    <w:div w:id="956184232">
      <w:bodyDiv w:val="1"/>
      <w:marLeft w:val="0"/>
      <w:marRight w:val="0"/>
      <w:marTop w:val="0"/>
      <w:marBottom w:val="0"/>
      <w:divBdr>
        <w:top w:val="none" w:sz="0" w:space="0" w:color="auto"/>
        <w:left w:val="none" w:sz="0" w:space="0" w:color="auto"/>
        <w:bottom w:val="none" w:sz="0" w:space="0" w:color="auto"/>
        <w:right w:val="none" w:sz="0" w:space="0" w:color="auto"/>
      </w:divBdr>
    </w:div>
    <w:div w:id="956906390">
      <w:bodyDiv w:val="1"/>
      <w:marLeft w:val="0"/>
      <w:marRight w:val="0"/>
      <w:marTop w:val="0"/>
      <w:marBottom w:val="0"/>
      <w:divBdr>
        <w:top w:val="none" w:sz="0" w:space="0" w:color="auto"/>
        <w:left w:val="none" w:sz="0" w:space="0" w:color="auto"/>
        <w:bottom w:val="none" w:sz="0" w:space="0" w:color="auto"/>
        <w:right w:val="none" w:sz="0" w:space="0" w:color="auto"/>
      </w:divBdr>
    </w:div>
    <w:div w:id="957225235">
      <w:bodyDiv w:val="1"/>
      <w:marLeft w:val="0"/>
      <w:marRight w:val="0"/>
      <w:marTop w:val="0"/>
      <w:marBottom w:val="0"/>
      <w:divBdr>
        <w:top w:val="none" w:sz="0" w:space="0" w:color="auto"/>
        <w:left w:val="none" w:sz="0" w:space="0" w:color="auto"/>
        <w:bottom w:val="none" w:sz="0" w:space="0" w:color="auto"/>
        <w:right w:val="none" w:sz="0" w:space="0" w:color="auto"/>
      </w:divBdr>
    </w:div>
    <w:div w:id="957565785">
      <w:bodyDiv w:val="1"/>
      <w:marLeft w:val="0"/>
      <w:marRight w:val="0"/>
      <w:marTop w:val="0"/>
      <w:marBottom w:val="0"/>
      <w:divBdr>
        <w:top w:val="none" w:sz="0" w:space="0" w:color="auto"/>
        <w:left w:val="none" w:sz="0" w:space="0" w:color="auto"/>
        <w:bottom w:val="none" w:sz="0" w:space="0" w:color="auto"/>
        <w:right w:val="none" w:sz="0" w:space="0" w:color="auto"/>
      </w:divBdr>
    </w:div>
    <w:div w:id="959654211">
      <w:bodyDiv w:val="1"/>
      <w:marLeft w:val="0"/>
      <w:marRight w:val="0"/>
      <w:marTop w:val="0"/>
      <w:marBottom w:val="0"/>
      <w:divBdr>
        <w:top w:val="none" w:sz="0" w:space="0" w:color="auto"/>
        <w:left w:val="none" w:sz="0" w:space="0" w:color="auto"/>
        <w:bottom w:val="none" w:sz="0" w:space="0" w:color="auto"/>
        <w:right w:val="none" w:sz="0" w:space="0" w:color="auto"/>
      </w:divBdr>
    </w:div>
    <w:div w:id="961762033">
      <w:bodyDiv w:val="1"/>
      <w:marLeft w:val="0"/>
      <w:marRight w:val="0"/>
      <w:marTop w:val="0"/>
      <w:marBottom w:val="0"/>
      <w:divBdr>
        <w:top w:val="none" w:sz="0" w:space="0" w:color="auto"/>
        <w:left w:val="none" w:sz="0" w:space="0" w:color="auto"/>
        <w:bottom w:val="none" w:sz="0" w:space="0" w:color="auto"/>
        <w:right w:val="none" w:sz="0" w:space="0" w:color="auto"/>
      </w:divBdr>
    </w:div>
    <w:div w:id="961806343">
      <w:bodyDiv w:val="1"/>
      <w:marLeft w:val="0"/>
      <w:marRight w:val="0"/>
      <w:marTop w:val="0"/>
      <w:marBottom w:val="0"/>
      <w:divBdr>
        <w:top w:val="none" w:sz="0" w:space="0" w:color="auto"/>
        <w:left w:val="none" w:sz="0" w:space="0" w:color="auto"/>
        <w:bottom w:val="none" w:sz="0" w:space="0" w:color="auto"/>
        <w:right w:val="none" w:sz="0" w:space="0" w:color="auto"/>
      </w:divBdr>
    </w:div>
    <w:div w:id="962611157">
      <w:bodyDiv w:val="1"/>
      <w:marLeft w:val="0"/>
      <w:marRight w:val="0"/>
      <w:marTop w:val="0"/>
      <w:marBottom w:val="0"/>
      <w:divBdr>
        <w:top w:val="none" w:sz="0" w:space="0" w:color="auto"/>
        <w:left w:val="none" w:sz="0" w:space="0" w:color="auto"/>
        <w:bottom w:val="none" w:sz="0" w:space="0" w:color="auto"/>
        <w:right w:val="none" w:sz="0" w:space="0" w:color="auto"/>
      </w:divBdr>
    </w:div>
    <w:div w:id="962612570">
      <w:bodyDiv w:val="1"/>
      <w:marLeft w:val="0"/>
      <w:marRight w:val="0"/>
      <w:marTop w:val="0"/>
      <w:marBottom w:val="0"/>
      <w:divBdr>
        <w:top w:val="none" w:sz="0" w:space="0" w:color="auto"/>
        <w:left w:val="none" w:sz="0" w:space="0" w:color="auto"/>
        <w:bottom w:val="none" w:sz="0" w:space="0" w:color="auto"/>
        <w:right w:val="none" w:sz="0" w:space="0" w:color="auto"/>
      </w:divBdr>
    </w:div>
    <w:div w:id="962999410">
      <w:bodyDiv w:val="1"/>
      <w:marLeft w:val="0"/>
      <w:marRight w:val="0"/>
      <w:marTop w:val="0"/>
      <w:marBottom w:val="0"/>
      <w:divBdr>
        <w:top w:val="none" w:sz="0" w:space="0" w:color="auto"/>
        <w:left w:val="none" w:sz="0" w:space="0" w:color="auto"/>
        <w:bottom w:val="none" w:sz="0" w:space="0" w:color="auto"/>
        <w:right w:val="none" w:sz="0" w:space="0" w:color="auto"/>
      </w:divBdr>
    </w:div>
    <w:div w:id="962999794">
      <w:bodyDiv w:val="1"/>
      <w:marLeft w:val="0"/>
      <w:marRight w:val="0"/>
      <w:marTop w:val="0"/>
      <w:marBottom w:val="0"/>
      <w:divBdr>
        <w:top w:val="none" w:sz="0" w:space="0" w:color="auto"/>
        <w:left w:val="none" w:sz="0" w:space="0" w:color="auto"/>
        <w:bottom w:val="none" w:sz="0" w:space="0" w:color="auto"/>
        <w:right w:val="none" w:sz="0" w:space="0" w:color="auto"/>
      </w:divBdr>
    </w:div>
    <w:div w:id="963198045">
      <w:bodyDiv w:val="1"/>
      <w:marLeft w:val="0"/>
      <w:marRight w:val="0"/>
      <w:marTop w:val="0"/>
      <w:marBottom w:val="0"/>
      <w:divBdr>
        <w:top w:val="none" w:sz="0" w:space="0" w:color="auto"/>
        <w:left w:val="none" w:sz="0" w:space="0" w:color="auto"/>
        <w:bottom w:val="none" w:sz="0" w:space="0" w:color="auto"/>
        <w:right w:val="none" w:sz="0" w:space="0" w:color="auto"/>
      </w:divBdr>
    </w:div>
    <w:div w:id="963585643">
      <w:bodyDiv w:val="1"/>
      <w:marLeft w:val="0"/>
      <w:marRight w:val="0"/>
      <w:marTop w:val="0"/>
      <w:marBottom w:val="0"/>
      <w:divBdr>
        <w:top w:val="none" w:sz="0" w:space="0" w:color="auto"/>
        <w:left w:val="none" w:sz="0" w:space="0" w:color="auto"/>
        <w:bottom w:val="none" w:sz="0" w:space="0" w:color="auto"/>
        <w:right w:val="none" w:sz="0" w:space="0" w:color="auto"/>
      </w:divBdr>
    </w:div>
    <w:div w:id="963776425">
      <w:bodyDiv w:val="1"/>
      <w:marLeft w:val="0"/>
      <w:marRight w:val="0"/>
      <w:marTop w:val="0"/>
      <w:marBottom w:val="0"/>
      <w:divBdr>
        <w:top w:val="none" w:sz="0" w:space="0" w:color="auto"/>
        <w:left w:val="none" w:sz="0" w:space="0" w:color="auto"/>
        <w:bottom w:val="none" w:sz="0" w:space="0" w:color="auto"/>
        <w:right w:val="none" w:sz="0" w:space="0" w:color="auto"/>
      </w:divBdr>
    </w:div>
    <w:div w:id="964651696">
      <w:bodyDiv w:val="1"/>
      <w:marLeft w:val="0"/>
      <w:marRight w:val="0"/>
      <w:marTop w:val="0"/>
      <w:marBottom w:val="0"/>
      <w:divBdr>
        <w:top w:val="none" w:sz="0" w:space="0" w:color="auto"/>
        <w:left w:val="none" w:sz="0" w:space="0" w:color="auto"/>
        <w:bottom w:val="none" w:sz="0" w:space="0" w:color="auto"/>
        <w:right w:val="none" w:sz="0" w:space="0" w:color="auto"/>
      </w:divBdr>
    </w:div>
    <w:div w:id="966861644">
      <w:bodyDiv w:val="1"/>
      <w:marLeft w:val="0"/>
      <w:marRight w:val="0"/>
      <w:marTop w:val="0"/>
      <w:marBottom w:val="0"/>
      <w:divBdr>
        <w:top w:val="none" w:sz="0" w:space="0" w:color="auto"/>
        <w:left w:val="none" w:sz="0" w:space="0" w:color="auto"/>
        <w:bottom w:val="none" w:sz="0" w:space="0" w:color="auto"/>
        <w:right w:val="none" w:sz="0" w:space="0" w:color="auto"/>
      </w:divBdr>
    </w:div>
    <w:div w:id="966936919">
      <w:bodyDiv w:val="1"/>
      <w:marLeft w:val="0"/>
      <w:marRight w:val="0"/>
      <w:marTop w:val="0"/>
      <w:marBottom w:val="0"/>
      <w:divBdr>
        <w:top w:val="none" w:sz="0" w:space="0" w:color="auto"/>
        <w:left w:val="none" w:sz="0" w:space="0" w:color="auto"/>
        <w:bottom w:val="none" w:sz="0" w:space="0" w:color="auto"/>
        <w:right w:val="none" w:sz="0" w:space="0" w:color="auto"/>
      </w:divBdr>
    </w:div>
    <w:div w:id="967667935">
      <w:bodyDiv w:val="1"/>
      <w:marLeft w:val="0"/>
      <w:marRight w:val="0"/>
      <w:marTop w:val="0"/>
      <w:marBottom w:val="0"/>
      <w:divBdr>
        <w:top w:val="none" w:sz="0" w:space="0" w:color="auto"/>
        <w:left w:val="none" w:sz="0" w:space="0" w:color="auto"/>
        <w:bottom w:val="none" w:sz="0" w:space="0" w:color="auto"/>
        <w:right w:val="none" w:sz="0" w:space="0" w:color="auto"/>
      </w:divBdr>
    </w:div>
    <w:div w:id="969244623">
      <w:bodyDiv w:val="1"/>
      <w:marLeft w:val="0"/>
      <w:marRight w:val="0"/>
      <w:marTop w:val="0"/>
      <w:marBottom w:val="0"/>
      <w:divBdr>
        <w:top w:val="none" w:sz="0" w:space="0" w:color="auto"/>
        <w:left w:val="none" w:sz="0" w:space="0" w:color="auto"/>
        <w:bottom w:val="none" w:sz="0" w:space="0" w:color="auto"/>
        <w:right w:val="none" w:sz="0" w:space="0" w:color="auto"/>
      </w:divBdr>
    </w:div>
    <w:div w:id="970523026">
      <w:bodyDiv w:val="1"/>
      <w:marLeft w:val="0"/>
      <w:marRight w:val="0"/>
      <w:marTop w:val="0"/>
      <w:marBottom w:val="0"/>
      <w:divBdr>
        <w:top w:val="none" w:sz="0" w:space="0" w:color="auto"/>
        <w:left w:val="none" w:sz="0" w:space="0" w:color="auto"/>
        <w:bottom w:val="none" w:sz="0" w:space="0" w:color="auto"/>
        <w:right w:val="none" w:sz="0" w:space="0" w:color="auto"/>
      </w:divBdr>
    </w:div>
    <w:div w:id="970860688">
      <w:bodyDiv w:val="1"/>
      <w:marLeft w:val="0"/>
      <w:marRight w:val="0"/>
      <w:marTop w:val="0"/>
      <w:marBottom w:val="0"/>
      <w:divBdr>
        <w:top w:val="none" w:sz="0" w:space="0" w:color="auto"/>
        <w:left w:val="none" w:sz="0" w:space="0" w:color="auto"/>
        <w:bottom w:val="none" w:sz="0" w:space="0" w:color="auto"/>
        <w:right w:val="none" w:sz="0" w:space="0" w:color="auto"/>
      </w:divBdr>
    </w:div>
    <w:div w:id="970983845">
      <w:bodyDiv w:val="1"/>
      <w:marLeft w:val="0"/>
      <w:marRight w:val="0"/>
      <w:marTop w:val="0"/>
      <w:marBottom w:val="0"/>
      <w:divBdr>
        <w:top w:val="none" w:sz="0" w:space="0" w:color="auto"/>
        <w:left w:val="none" w:sz="0" w:space="0" w:color="auto"/>
        <w:bottom w:val="none" w:sz="0" w:space="0" w:color="auto"/>
        <w:right w:val="none" w:sz="0" w:space="0" w:color="auto"/>
      </w:divBdr>
    </w:div>
    <w:div w:id="974989253">
      <w:bodyDiv w:val="1"/>
      <w:marLeft w:val="0"/>
      <w:marRight w:val="0"/>
      <w:marTop w:val="0"/>
      <w:marBottom w:val="0"/>
      <w:divBdr>
        <w:top w:val="none" w:sz="0" w:space="0" w:color="auto"/>
        <w:left w:val="none" w:sz="0" w:space="0" w:color="auto"/>
        <w:bottom w:val="none" w:sz="0" w:space="0" w:color="auto"/>
        <w:right w:val="none" w:sz="0" w:space="0" w:color="auto"/>
      </w:divBdr>
    </w:div>
    <w:div w:id="976689810">
      <w:bodyDiv w:val="1"/>
      <w:marLeft w:val="0"/>
      <w:marRight w:val="0"/>
      <w:marTop w:val="0"/>
      <w:marBottom w:val="0"/>
      <w:divBdr>
        <w:top w:val="none" w:sz="0" w:space="0" w:color="auto"/>
        <w:left w:val="none" w:sz="0" w:space="0" w:color="auto"/>
        <w:bottom w:val="none" w:sz="0" w:space="0" w:color="auto"/>
        <w:right w:val="none" w:sz="0" w:space="0" w:color="auto"/>
      </w:divBdr>
    </w:div>
    <w:div w:id="977419869">
      <w:bodyDiv w:val="1"/>
      <w:marLeft w:val="0"/>
      <w:marRight w:val="0"/>
      <w:marTop w:val="0"/>
      <w:marBottom w:val="0"/>
      <w:divBdr>
        <w:top w:val="none" w:sz="0" w:space="0" w:color="auto"/>
        <w:left w:val="none" w:sz="0" w:space="0" w:color="auto"/>
        <w:bottom w:val="none" w:sz="0" w:space="0" w:color="auto"/>
        <w:right w:val="none" w:sz="0" w:space="0" w:color="auto"/>
      </w:divBdr>
    </w:div>
    <w:div w:id="977950288">
      <w:bodyDiv w:val="1"/>
      <w:marLeft w:val="0"/>
      <w:marRight w:val="0"/>
      <w:marTop w:val="0"/>
      <w:marBottom w:val="0"/>
      <w:divBdr>
        <w:top w:val="none" w:sz="0" w:space="0" w:color="auto"/>
        <w:left w:val="none" w:sz="0" w:space="0" w:color="auto"/>
        <w:bottom w:val="none" w:sz="0" w:space="0" w:color="auto"/>
        <w:right w:val="none" w:sz="0" w:space="0" w:color="auto"/>
      </w:divBdr>
    </w:div>
    <w:div w:id="978149488">
      <w:bodyDiv w:val="1"/>
      <w:marLeft w:val="0"/>
      <w:marRight w:val="0"/>
      <w:marTop w:val="0"/>
      <w:marBottom w:val="0"/>
      <w:divBdr>
        <w:top w:val="none" w:sz="0" w:space="0" w:color="auto"/>
        <w:left w:val="none" w:sz="0" w:space="0" w:color="auto"/>
        <w:bottom w:val="none" w:sz="0" w:space="0" w:color="auto"/>
        <w:right w:val="none" w:sz="0" w:space="0" w:color="auto"/>
      </w:divBdr>
    </w:div>
    <w:div w:id="978731670">
      <w:bodyDiv w:val="1"/>
      <w:marLeft w:val="0"/>
      <w:marRight w:val="0"/>
      <w:marTop w:val="0"/>
      <w:marBottom w:val="0"/>
      <w:divBdr>
        <w:top w:val="none" w:sz="0" w:space="0" w:color="auto"/>
        <w:left w:val="none" w:sz="0" w:space="0" w:color="auto"/>
        <w:bottom w:val="none" w:sz="0" w:space="0" w:color="auto"/>
        <w:right w:val="none" w:sz="0" w:space="0" w:color="auto"/>
      </w:divBdr>
    </w:div>
    <w:div w:id="982202174">
      <w:bodyDiv w:val="1"/>
      <w:marLeft w:val="0"/>
      <w:marRight w:val="0"/>
      <w:marTop w:val="0"/>
      <w:marBottom w:val="0"/>
      <w:divBdr>
        <w:top w:val="none" w:sz="0" w:space="0" w:color="auto"/>
        <w:left w:val="none" w:sz="0" w:space="0" w:color="auto"/>
        <w:bottom w:val="none" w:sz="0" w:space="0" w:color="auto"/>
        <w:right w:val="none" w:sz="0" w:space="0" w:color="auto"/>
      </w:divBdr>
    </w:div>
    <w:div w:id="982467831">
      <w:bodyDiv w:val="1"/>
      <w:marLeft w:val="0"/>
      <w:marRight w:val="0"/>
      <w:marTop w:val="0"/>
      <w:marBottom w:val="0"/>
      <w:divBdr>
        <w:top w:val="none" w:sz="0" w:space="0" w:color="auto"/>
        <w:left w:val="none" w:sz="0" w:space="0" w:color="auto"/>
        <w:bottom w:val="none" w:sz="0" w:space="0" w:color="auto"/>
        <w:right w:val="none" w:sz="0" w:space="0" w:color="auto"/>
      </w:divBdr>
    </w:div>
    <w:div w:id="984158861">
      <w:bodyDiv w:val="1"/>
      <w:marLeft w:val="0"/>
      <w:marRight w:val="0"/>
      <w:marTop w:val="0"/>
      <w:marBottom w:val="0"/>
      <w:divBdr>
        <w:top w:val="none" w:sz="0" w:space="0" w:color="auto"/>
        <w:left w:val="none" w:sz="0" w:space="0" w:color="auto"/>
        <w:bottom w:val="none" w:sz="0" w:space="0" w:color="auto"/>
        <w:right w:val="none" w:sz="0" w:space="0" w:color="auto"/>
      </w:divBdr>
    </w:div>
    <w:div w:id="984238211">
      <w:bodyDiv w:val="1"/>
      <w:marLeft w:val="0"/>
      <w:marRight w:val="0"/>
      <w:marTop w:val="0"/>
      <w:marBottom w:val="0"/>
      <w:divBdr>
        <w:top w:val="none" w:sz="0" w:space="0" w:color="auto"/>
        <w:left w:val="none" w:sz="0" w:space="0" w:color="auto"/>
        <w:bottom w:val="none" w:sz="0" w:space="0" w:color="auto"/>
        <w:right w:val="none" w:sz="0" w:space="0" w:color="auto"/>
      </w:divBdr>
    </w:div>
    <w:div w:id="985234016">
      <w:bodyDiv w:val="1"/>
      <w:marLeft w:val="0"/>
      <w:marRight w:val="0"/>
      <w:marTop w:val="0"/>
      <w:marBottom w:val="0"/>
      <w:divBdr>
        <w:top w:val="none" w:sz="0" w:space="0" w:color="auto"/>
        <w:left w:val="none" w:sz="0" w:space="0" w:color="auto"/>
        <w:bottom w:val="none" w:sz="0" w:space="0" w:color="auto"/>
        <w:right w:val="none" w:sz="0" w:space="0" w:color="auto"/>
      </w:divBdr>
    </w:div>
    <w:div w:id="987244747">
      <w:bodyDiv w:val="1"/>
      <w:marLeft w:val="0"/>
      <w:marRight w:val="0"/>
      <w:marTop w:val="0"/>
      <w:marBottom w:val="0"/>
      <w:divBdr>
        <w:top w:val="none" w:sz="0" w:space="0" w:color="auto"/>
        <w:left w:val="none" w:sz="0" w:space="0" w:color="auto"/>
        <w:bottom w:val="none" w:sz="0" w:space="0" w:color="auto"/>
        <w:right w:val="none" w:sz="0" w:space="0" w:color="auto"/>
      </w:divBdr>
    </w:div>
    <w:div w:id="987518395">
      <w:bodyDiv w:val="1"/>
      <w:marLeft w:val="0"/>
      <w:marRight w:val="0"/>
      <w:marTop w:val="0"/>
      <w:marBottom w:val="0"/>
      <w:divBdr>
        <w:top w:val="none" w:sz="0" w:space="0" w:color="auto"/>
        <w:left w:val="none" w:sz="0" w:space="0" w:color="auto"/>
        <w:bottom w:val="none" w:sz="0" w:space="0" w:color="auto"/>
        <w:right w:val="none" w:sz="0" w:space="0" w:color="auto"/>
      </w:divBdr>
    </w:div>
    <w:div w:id="988361367">
      <w:bodyDiv w:val="1"/>
      <w:marLeft w:val="0"/>
      <w:marRight w:val="0"/>
      <w:marTop w:val="0"/>
      <w:marBottom w:val="0"/>
      <w:divBdr>
        <w:top w:val="none" w:sz="0" w:space="0" w:color="auto"/>
        <w:left w:val="none" w:sz="0" w:space="0" w:color="auto"/>
        <w:bottom w:val="none" w:sz="0" w:space="0" w:color="auto"/>
        <w:right w:val="none" w:sz="0" w:space="0" w:color="auto"/>
      </w:divBdr>
    </w:div>
    <w:div w:id="989208578">
      <w:bodyDiv w:val="1"/>
      <w:marLeft w:val="0"/>
      <w:marRight w:val="0"/>
      <w:marTop w:val="0"/>
      <w:marBottom w:val="0"/>
      <w:divBdr>
        <w:top w:val="none" w:sz="0" w:space="0" w:color="auto"/>
        <w:left w:val="none" w:sz="0" w:space="0" w:color="auto"/>
        <w:bottom w:val="none" w:sz="0" w:space="0" w:color="auto"/>
        <w:right w:val="none" w:sz="0" w:space="0" w:color="auto"/>
      </w:divBdr>
    </w:div>
    <w:div w:id="989555544">
      <w:bodyDiv w:val="1"/>
      <w:marLeft w:val="0"/>
      <w:marRight w:val="0"/>
      <w:marTop w:val="0"/>
      <w:marBottom w:val="0"/>
      <w:divBdr>
        <w:top w:val="none" w:sz="0" w:space="0" w:color="auto"/>
        <w:left w:val="none" w:sz="0" w:space="0" w:color="auto"/>
        <w:bottom w:val="none" w:sz="0" w:space="0" w:color="auto"/>
        <w:right w:val="none" w:sz="0" w:space="0" w:color="auto"/>
      </w:divBdr>
    </w:div>
    <w:div w:id="989869307">
      <w:bodyDiv w:val="1"/>
      <w:marLeft w:val="0"/>
      <w:marRight w:val="0"/>
      <w:marTop w:val="0"/>
      <w:marBottom w:val="0"/>
      <w:divBdr>
        <w:top w:val="none" w:sz="0" w:space="0" w:color="auto"/>
        <w:left w:val="none" w:sz="0" w:space="0" w:color="auto"/>
        <w:bottom w:val="none" w:sz="0" w:space="0" w:color="auto"/>
        <w:right w:val="none" w:sz="0" w:space="0" w:color="auto"/>
      </w:divBdr>
    </w:div>
    <w:div w:id="990408558">
      <w:bodyDiv w:val="1"/>
      <w:marLeft w:val="0"/>
      <w:marRight w:val="0"/>
      <w:marTop w:val="0"/>
      <w:marBottom w:val="0"/>
      <w:divBdr>
        <w:top w:val="none" w:sz="0" w:space="0" w:color="auto"/>
        <w:left w:val="none" w:sz="0" w:space="0" w:color="auto"/>
        <w:bottom w:val="none" w:sz="0" w:space="0" w:color="auto"/>
        <w:right w:val="none" w:sz="0" w:space="0" w:color="auto"/>
      </w:divBdr>
    </w:div>
    <w:div w:id="991180525">
      <w:bodyDiv w:val="1"/>
      <w:marLeft w:val="0"/>
      <w:marRight w:val="0"/>
      <w:marTop w:val="0"/>
      <w:marBottom w:val="0"/>
      <w:divBdr>
        <w:top w:val="none" w:sz="0" w:space="0" w:color="auto"/>
        <w:left w:val="none" w:sz="0" w:space="0" w:color="auto"/>
        <w:bottom w:val="none" w:sz="0" w:space="0" w:color="auto"/>
        <w:right w:val="none" w:sz="0" w:space="0" w:color="auto"/>
      </w:divBdr>
    </w:div>
    <w:div w:id="991569784">
      <w:bodyDiv w:val="1"/>
      <w:marLeft w:val="0"/>
      <w:marRight w:val="0"/>
      <w:marTop w:val="0"/>
      <w:marBottom w:val="0"/>
      <w:divBdr>
        <w:top w:val="none" w:sz="0" w:space="0" w:color="auto"/>
        <w:left w:val="none" w:sz="0" w:space="0" w:color="auto"/>
        <w:bottom w:val="none" w:sz="0" w:space="0" w:color="auto"/>
        <w:right w:val="none" w:sz="0" w:space="0" w:color="auto"/>
      </w:divBdr>
    </w:div>
    <w:div w:id="992027433">
      <w:bodyDiv w:val="1"/>
      <w:marLeft w:val="0"/>
      <w:marRight w:val="0"/>
      <w:marTop w:val="0"/>
      <w:marBottom w:val="0"/>
      <w:divBdr>
        <w:top w:val="none" w:sz="0" w:space="0" w:color="auto"/>
        <w:left w:val="none" w:sz="0" w:space="0" w:color="auto"/>
        <w:bottom w:val="none" w:sz="0" w:space="0" w:color="auto"/>
        <w:right w:val="none" w:sz="0" w:space="0" w:color="auto"/>
      </w:divBdr>
    </w:div>
    <w:div w:id="992219297">
      <w:bodyDiv w:val="1"/>
      <w:marLeft w:val="0"/>
      <w:marRight w:val="0"/>
      <w:marTop w:val="0"/>
      <w:marBottom w:val="0"/>
      <w:divBdr>
        <w:top w:val="none" w:sz="0" w:space="0" w:color="auto"/>
        <w:left w:val="none" w:sz="0" w:space="0" w:color="auto"/>
        <w:bottom w:val="none" w:sz="0" w:space="0" w:color="auto"/>
        <w:right w:val="none" w:sz="0" w:space="0" w:color="auto"/>
      </w:divBdr>
    </w:div>
    <w:div w:id="993411833">
      <w:bodyDiv w:val="1"/>
      <w:marLeft w:val="0"/>
      <w:marRight w:val="0"/>
      <w:marTop w:val="0"/>
      <w:marBottom w:val="0"/>
      <w:divBdr>
        <w:top w:val="none" w:sz="0" w:space="0" w:color="auto"/>
        <w:left w:val="none" w:sz="0" w:space="0" w:color="auto"/>
        <w:bottom w:val="none" w:sz="0" w:space="0" w:color="auto"/>
        <w:right w:val="none" w:sz="0" w:space="0" w:color="auto"/>
      </w:divBdr>
    </w:div>
    <w:div w:id="996032822">
      <w:bodyDiv w:val="1"/>
      <w:marLeft w:val="0"/>
      <w:marRight w:val="0"/>
      <w:marTop w:val="0"/>
      <w:marBottom w:val="0"/>
      <w:divBdr>
        <w:top w:val="none" w:sz="0" w:space="0" w:color="auto"/>
        <w:left w:val="none" w:sz="0" w:space="0" w:color="auto"/>
        <w:bottom w:val="none" w:sz="0" w:space="0" w:color="auto"/>
        <w:right w:val="none" w:sz="0" w:space="0" w:color="auto"/>
      </w:divBdr>
    </w:div>
    <w:div w:id="998801312">
      <w:bodyDiv w:val="1"/>
      <w:marLeft w:val="0"/>
      <w:marRight w:val="0"/>
      <w:marTop w:val="0"/>
      <w:marBottom w:val="0"/>
      <w:divBdr>
        <w:top w:val="none" w:sz="0" w:space="0" w:color="auto"/>
        <w:left w:val="none" w:sz="0" w:space="0" w:color="auto"/>
        <w:bottom w:val="none" w:sz="0" w:space="0" w:color="auto"/>
        <w:right w:val="none" w:sz="0" w:space="0" w:color="auto"/>
      </w:divBdr>
    </w:div>
    <w:div w:id="998967600">
      <w:bodyDiv w:val="1"/>
      <w:marLeft w:val="0"/>
      <w:marRight w:val="0"/>
      <w:marTop w:val="0"/>
      <w:marBottom w:val="0"/>
      <w:divBdr>
        <w:top w:val="none" w:sz="0" w:space="0" w:color="auto"/>
        <w:left w:val="none" w:sz="0" w:space="0" w:color="auto"/>
        <w:bottom w:val="none" w:sz="0" w:space="0" w:color="auto"/>
        <w:right w:val="none" w:sz="0" w:space="0" w:color="auto"/>
      </w:divBdr>
    </w:div>
    <w:div w:id="999307839">
      <w:bodyDiv w:val="1"/>
      <w:marLeft w:val="0"/>
      <w:marRight w:val="0"/>
      <w:marTop w:val="0"/>
      <w:marBottom w:val="0"/>
      <w:divBdr>
        <w:top w:val="none" w:sz="0" w:space="0" w:color="auto"/>
        <w:left w:val="none" w:sz="0" w:space="0" w:color="auto"/>
        <w:bottom w:val="none" w:sz="0" w:space="0" w:color="auto"/>
        <w:right w:val="none" w:sz="0" w:space="0" w:color="auto"/>
      </w:divBdr>
    </w:div>
    <w:div w:id="999699646">
      <w:bodyDiv w:val="1"/>
      <w:marLeft w:val="0"/>
      <w:marRight w:val="0"/>
      <w:marTop w:val="0"/>
      <w:marBottom w:val="0"/>
      <w:divBdr>
        <w:top w:val="none" w:sz="0" w:space="0" w:color="auto"/>
        <w:left w:val="none" w:sz="0" w:space="0" w:color="auto"/>
        <w:bottom w:val="none" w:sz="0" w:space="0" w:color="auto"/>
        <w:right w:val="none" w:sz="0" w:space="0" w:color="auto"/>
      </w:divBdr>
    </w:div>
    <w:div w:id="999893658">
      <w:bodyDiv w:val="1"/>
      <w:marLeft w:val="0"/>
      <w:marRight w:val="0"/>
      <w:marTop w:val="0"/>
      <w:marBottom w:val="0"/>
      <w:divBdr>
        <w:top w:val="none" w:sz="0" w:space="0" w:color="auto"/>
        <w:left w:val="none" w:sz="0" w:space="0" w:color="auto"/>
        <w:bottom w:val="none" w:sz="0" w:space="0" w:color="auto"/>
        <w:right w:val="none" w:sz="0" w:space="0" w:color="auto"/>
      </w:divBdr>
    </w:div>
    <w:div w:id="1001815879">
      <w:bodyDiv w:val="1"/>
      <w:marLeft w:val="0"/>
      <w:marRight w:val="0"/>
      <w:marTop w:val="0"/>
      <w:marBottom w:val="0"/>
      <w:divBdr>
        <w:top w:val="none" w:sz="0" w:space="0" w:color="auto"/>
        <w:left w:val="none" w:sz="0" w:space="0" w:color="auto"/>
        <w:bottom w:val="none" w:sz="0" w:space="0" w:color="auto"/>
        <w:right w:val="none" w:sz="0" w:space="0" w:color="auto"/>
      </w:divBdr>
    </w:div>
    <w:div w:id="1001851214">
      <w:bodyDiv w:val="1"/>
      <w:marLeft w:val="0"/>
      <w:marRight w:val="0"/>
      <w:marTop w:val="0"/>
      <w:marBottom w:val="0"/>
      <w:divBdr>
        <w:top w:val="none" w:sz="0" w:space="0" w:color="auto"/>
        <w:left w:val="none" w:sz="0" w:space="0" w:color="auto"/>
        <w:bottom w:val="none" w:sz="0" w:space="0" w:color="auto"/>
        <w:right w:val="none" w:sz="0" w:space="0" w:color="auto"/>
      </w:divBdr>
    </w:div>
    <w:div w:id="1001854831">
      <w:bodyDiv w:val="1"/>
      <w:marLeft w:val="0"/>
      <w:marRight w:val="0"/>
      <w:marTop w:val="0"/>
      <w:marBottom w:val="0"/>
      <w:divBdr>
        <w:top w:val="none" w:sz="0" w:space="0" w:color="auto"/>
        <w:left w:val="none" w:sz="0" w:space="0" w:color="auto"/>
        <w:bottom w:val="none" w:sz="0" w:space="0" w:color="auto"/>
        <w:right w:val="none" w:sz="0" w:space="0" w:color="auto"/>
      </w:divBdr>
    </w:div>
    <w:div w:id="1002701846">
      <w:bodyDiv w:val="1"/>
      <w:marLeft w:val="0"/>
      <w:marRight w:val="0"/>
      <w:marTop w:val="0"/>
      <w:marBottom w:val="0"/>
      <w:divBdr>
        <w:top w:val="none" w:sz="0" w:space="0" w:color="auto"/>
        <w:left w:val="none" w:sz="0" w:space="0" w:color="auto"/>
        <w:bottom w:val="none" w:sz="0" w:space="0" w:color="auto"/>
        <w:right w:val="none" w:sz="0" w:space="0" w:color="auto"/>
      </w:divBdr>
    </w:div>
    <w:div w:id="1004865262">
      <w:bodyDiv w:val="1"/>
      <w:marLeft w:val="0"/>
      <w:marRight w:val="0"/>
      <w:marTop w:val="0"/>
      <w:marBottom w:val="0"/>
      <w:divBdr>
        <w:top w:val="none" w:sz="0" w:space="0" w:color="auto"/>
        <w:left w:val="none" w:sz="0" w:space="0" w:color="auto"/>
        <w:bottom w:val="none" w:sz="0" w:space="0" w:color="auto"/>
        <w:right w:val="none" w:sz="0" w:space="0" w:color="auto"/>
      </w:divBdr>
    </w:div>
    <w:div w:id="1005014492">
      <w:bodyDiv w:val="1"/>
      <w:marLeft w:val="0"/>
      <w:marRight w:val="0"/>
      <w:marTop w:val="0"/>
      <w:marBottom w:val="0"/>
      <w:divBdr>
        <w:top w:val="none" w:sz="0" w:space="0" w:color="auto"/>
        <w:left w:val="none" w:sz="0" w:space="0" w:color="auto"/>
        <w:bottom w:val="none" w:sz="0" w:space="0" w:color="auto"/>
        <w:right w:val="none" w:sz="0" w:space="0" w:color="auto"/>
      </w:divBdr>
    </w:div>
    <w:div w:id="1005404754">
      <w:bodyDiv w:val="1"/>
      <w:marLeft w:val="0"/>
      <w:marRight w:val="0"/>
      <w:marTop w:val="0"/>
      <w:marBottom w:val="0"/>
      <w:divBdr>
        <w:top w:val="none" w:sz="0" w:space="0" w:color="auto"/>
        <w:left w:val="none" w:sz="0" w:space="0" w:color="auto"/>
        <w:bottom w:val="none" w:sz="0" w:space="0" w:color="auto"/>
        <w:right w:val="none" w:sz="0" w:space="0" w:color="auto"/>
      </w:divBdr>
    </w:div>
    <w:div w:id="1005791367">
      <w:bodyDiv w:val="1"/>
      <w:marLeft w:val="0"/>
      <w:marRight w:val="0"/>
      <w:marTop w:val="0"/>
      <w:marBottom w:val="0"/>
      <w:divBdr>
        <w:top w:val="none" w:sz="0" w:space="0" w:color="auto"/>
        <w:left w:val="none" w:sz="0" w:space="0" w:color="auto"/>
        <w:bottom w:val="none" w:sz="0" w:space="0" w:color="auto"/>
        <w:right w:val="none" w:sz="0" w:space="0" w:color="auto"/>
      </w:divBdr>
    </w:div>
    <w:div w:id="1005940846">
      <w:bodyDiv w:val="1"/>
      <w:marLeft w:val="0"/>
      <w:marRight w:val="0"/>
      <w:marTop w:val="0"/>
      <w:marBottom w:val="0"/>
      <w:divBdr>
        <w:top w:val="none" w:sz="0" w:space="0" w:color="auto"/>
        <w:left w:val="none" w:sz="0" w:space="0" w:color="auto"/>
        <w:bottom w:val="none" w:sz="0" w:space="0" w:color="auto"/>
        <w:right w:val="none" w:sz="0" w:space="0" w:color="auto"/>
      </w:divBdr>
    </w:div>
    <w:div w:id="1009259195">
      <w:bodyDiv w:val="1"/>
      <w:marLeft w:val="0"/>
      <w:marRight w:val="0"/>
      <w:marTop w:val="0"/>
      <w:marBottom w:val="0"/>
      <w:divBdr>
        <w:top w:val="none" w:sz="0" w:space="0" w:color="auto"/>
        <w:left w:val="none" w:sz="0" w:space="0" w:color="auto"/>
        <w:bottom w:val="none" w:sz="0" w:space="0" w:color="auto"/>
        <w:right w:val="none" w:sz="0" w:space="0" w:color="auto"/>
      </w:divBdr>
    </w:div>
    <w:div w:id="1009914883">
      <w:bodyDiv w:val="1"/>
      <w:marLeft w:val="0"/>
      <w:marRight w:val="0"/>
      <w:marTop w:val="0"/>
      <w:marBottom w:val="0"/>
      <w:divBdr>
        <w:top w:val="none" w:sz="0" w:space="0" w:color="auto"/>
        <w:left w:val="none" w:sz="0" w:space="0" w:color="auto"/>
        <w:bottom w:val="none" w:sz="0" w:space="0" w:color="auto"/>
        <w:right w:val="none" w:sz="0" w:space="0" w:color="auto"/>
      </w:divBdr>
    </w:div>
    <w:div w:id="1010109514">
      <w:bodyDiv w:val="1"/>
      <w:marLeft w:val="0"/>
      <w:marRight w:val="0"/>
      <w:marTop w:val="0"/>
      <w:marBottom w:val="0"/>
      <w:divBdr>
        <w:top w:val="none" w:sz="0" w:space="0" w:color="auto"/>
        <w:left w:val="none" w:sz="0" w:space="0" w:color="auto"/>
        <w:bottom w:val="none" w:sz="0" w:space="0" w:color="auto"/>
        <w:right w:val="none" w:sz="0" w:space="0" w:color="auto"/>
      </w:divBdr>
    </w:div>
    <w:div w:id="1010453859">
      <w:bodyDiv w:val="1"/>
      <w:marLeft w:val="0"/>
      <w:marRight w:val="0"/>
      <w:marTop w:val="0"/>
      <w:marBottom w:val="0"/>
      <w:divBdr>
        <w:top w:val="none" w:sz="0" w:space="0" w:color="auto"/>
        <w:left w:val="none" w:sz="0" w:space="0" w:color="auto"/>
        <w:bottom w:val="none" w:sz="0" w:space="0" w:color="auto"/>
        <w:right w:val="none" w:sz="0" w:space="0" w:color="auto"/>
      </w:divBdr>
    </w:div>
    <w:div w:id="1010719488">
      <w:bodyDiv w:val="1"/>
      <w:marLeft w:val="0"/>
      <w:marRight w:val="0"/>
      <w:marTop w:val="0"/>
      <w:marBottom w:val="0"/>
      <w:divBdr>
        <w:top w:val="none" w:sz="0" w:space="0" w:color="auto"/>
        <w:left w:val="none" w:sz="0" w:space="0" w:color="auto"/>
        <w:bottom w:val="none" w:sz="0" w:space="0" w:color="auto"/>
        <w:right w:val="none" w:sz="0" w:space="0" w:color="auto"/>
      </w:divBdr>
    </w:div>
    <w:div w:id="1011295300">
      <w:bodyDiv w:val="1"/>
      <w:marLeft w:val="0"/>
      <w:marRight w:val="0"/>
      <w:marTop w:val="0"/>
      <w:marBottom w:val="0"/>
      <w:divBdr>
        <w:top w:val="none" w:sz="0" w:space="0" w:color="auto"/>
        <w:left w:val="none" w:sz="0" w:space="0" w:color="auto"/>
        <w:bottom w:val="none" w:sz="0" w:space="0" w:color="auto"/>
        <w:right w:val="none" w:sz="0" w:space="0" w:color="auto"/>
      </w:divBdr>
    </w:div>
    <w:div w:id="1011906922">
      <w:bodyDiv w:val="1"/>
      <w:marLeft w:val="0"/>
      <w:marRight w:val="0"/>
      <w:marTop w:val="0"/>
      <w:marBottom w:val="0"/>
      <w:divBdr>
        <w:top w:val="none" w:sz="0" w:space="0" w:color="auto"/>
        <w:left w:val="none" w:sz="0" w:space="0" w:color="auto"/>
        <w:bottom w:val="none" w:sz="0" w:space="0" w:color="auto"/>
        <w:right w:val="none" w:sz="0" w:space="0" w:color="auto"/>
      </w:divBdr>
    </w:div>
    <w:div w:id="1012413073">
      <w:bodyDiv w:val="1"/>
      <w:marLeft w:val="0"/>
      <w:marRight w:val="0"/>
      <w:marTop w:val="0"/>
      <w:marBottom w:val="0"/>
      <w:divBdr>
        <w:top w:val="none" w:sz="0" w:space="0" w:color="auto"/>
        <w:left w:val="none" w:sz="0" w:space="0" w:color="auto"/>
        <w:bottom w:val="none" w:sz="0" w:space="0" w:color="auto"/>
        <w:right w:val="none" w:sz="0" w:space="0" w:color="auto"/>
      </w:divBdr>
    </w:div>
    <w:div w:id="1014262591">
      <w:bodyDiv w:val="1"/>
      <w:marLeft w:val="0"/>
      <w:marRight w:val="0"/>
      <w:marTop w:val="0"/>
      <w:marBottom w:val="0"/>
      <w:divBdr>
        <w:top w:val="none" w:sz="0" w:space="0" w:color="auto"/>
        <w:left w:val="none" w:sz="0" w:space="0" w:color="auto"/>
        <w:bottom w:val="none" w:sz="0" w:space="0" w:color="auto"/>
        <w:right w:val="none" w:sz="0" w:space="0" w:color="auto"/>
      </w:divBdr>
    </w:div>
    <w:div w:id="1015157753">
      <w:bodyDiv w:val="1"/>
      <w:marLeft w:val="0"/>
      <w:marRight w:val="0"/>
      <w:marTop w:val="0"/>
      <w:marBottom w:val="0"/>
      <w:divBdr>
        <w:top w:val="none" w:sz="0" w:space="0" w:color="auto"/>
        <w:left w:val="none" w:sz="0" w:space="0" w:color="auto"/>
        <w:bottom w:val="none" w:sz="0" w:space="0" w:color="auto"/>
        <w:right w:val="none" w:sz="0" w:space="0" w:color="auto"/>
      </w:divBdr>
    </w:div>
    <w:div w:id="1016268626">
      <w:bodyDiv w:val="1"/>
      <w:marLeft w:val="0"/>
      <w:marRight w:val="0"/>
      <w:marTop w:val="0"/>
      <w:marBottom w:val="0"/>
      <w:divBdr>
        <w:top w:val="none" w:sz="0" w:space="0" w:color="auto"/>
        <w:left w:val="none" w:sz="0" w:space="0" w:color="auto"/>
        <w:bottom w:val="none" w:sz="0" w:space="0" w:color="auto"/>
        <w:right w:val="none" w:sz="0" w:space="0" w:color="auto"/>
      </w:divBdr>
    </w:div>
    <w:div w:id="1016538305">
      <w:bodyDiv w:val="1"/>
      <w:marLeft w:val="0"/>
      <w:marRight w:val="0"/>
      <w:marTop w:val="0"/>
      <w:marBottom w:val="0"/>
      <w:divBdr>
        <w:top w:val="none" w:sz="0" w:space="0" w:color="auto"/>
        <w:left w:val="none" w:sz="0" w:space="0" w:color="auto"/>
        <w:bottom w:val="none" w:sz="0" w:space="0" w:color="auto"/>
        <w:right w:val="none" w:sz="0" w:space="0" w:color="auto"/>
      </w:divBdr>
    </w:div>
    <w:div w:id="1018972838">
      <w:bodyDiv w:val="1"/>
      <w:marLeft w:val="0"/>
      <w:marRight w:val="0"/>
      <w:marTop w:val="0"/>
      <w:marBottom w:val="0"/>
      <w:divBdr>
        <w:top w:val="none" w:sz="0" w:space="0" w:color="auto"/>
        <w:left w:val="none" w:sz="0" w:space="0" w:color="auto"/>
        <w:bottom w:val="none" w:sz="0" w:space="0" w:color="auto"/>
        <w:right w:val="none" w:sz="0" w:space="0" w:color="auto"/>
      </w:divBdr>
    </w:div>
    <w:div w:id="1019622859">
      <w:bodyDiv w:val="1"/>
      <w:marLeft w:val="0"/>
      <w:marRight w:val="0"/>
      <w:marTop w:val="0"/>
      <w:marBottom w:val="0"/>
      <w:divBdr>
        <w:top w:val="none" w:sz="0" w:space="0" w:color="auto"/>
        <w:left w:val="none" w:sz="0" w:space="0" w:color="auto"/>
        <w:bottom w:val="none" w:sz="0" w:space="0" w:color="auto"/>
        <w:right w:val="none" w:sz="0" w:space="0" w:color="auto"/>
      </w:divBdr>
    </w:div>
    <w:div w:id="1020009615">
      <w:bodyDiv w:val="1"/>
      <w:marLeft w:val="0"/>
      <w:marRight w:val="0"/>
      <w:marTop w:val="0"/>
      <w:marBottom w:val="0"/>
      <w:divBdr>
        <w:top w:val="none" w:sz="0" w:space="0" w:color="auto"/>
        <w:left w:val="none" w:sz="0" w:space="0" w:color="auto"/>
        <w:bottom w:val="none" w:sz="0" w:space="0" w:color="auto"/>
        <w:right w:val="none" w:sz="0" w:space="0" w:color="auto"/>
      </w:divBdr>
    </w:div>
    <w:div w:id="1020817016">
      <w:bodyDiv w:val="1"/>
      <w:marLeft w:val="0"/>
      <w:marRight w:val="0"/>
      <w:marTop w:val="0"/>
      <w:marBottom w:val="0"/>
      <w:divBdr>
        <w:top w:val="none" w:sz="0" w:space="0" w:color="auto"/>
        <w:left w:val="none" w:sz="0" w:space="0" w:color="auto"/>
        <w:bottom w:val="none" w:sz="0" w:space="0" w:color="auto"/>
        <w:right w:val="none" w:sz="0" w:space="0" w:color="auto"/>
      </w:divBdr>
    </w:div>
    <w:div w:id="1020817366">
      <w:bodyDiv w:val="1"/>
      <w:marLeft w:val="0"/>
      <w:marRight w:val="0"/>
      <w:marTop w:val="0"/>
      <w:marBottom w:val="0"/>
      <w:divBdr>
        <w:top w:val="none" w:sz="0" w:space="0" w:color="auto"/>
        <w:left w:val="none" w:sz="0" w:space="0" w:color="auto"/>
        <w:bottom w:val="none" w:sz="0" w:space="0" w:color="auto"/>
        <w:right w:val="none" w:sz="0" w:space="0" w:color="auto"/>
      </w:divBdr>
    </w:div>
    <w:div w:id="1021082070">
      <w:bodyDiv w:val="1"/>
      <w:marLeft w:val="0"/>
      <w:marRight w:val="0"/>
      <w:marTop w:val="0"/>
      <w:marBottom w:val="0"/>
      <w:divBdr>
        <w:top w:val="none" w:sz="0" w:space="0" w:color="auto"/>
        <w:left w:val="none" w:sz="0" w:space="0" w:color="auto"/>
        <w:bottom w:val="none" w:sz="0" w:space="0" w:color="auto"/>
        <w:right w:val="none" w:sz="0" w:space="0" w:color="auto"/>
      </w:divBdr>
    </w:div>
    <w:div w:id="1021279939">
      <w:bodyDiv w:val="1"/>
      <w:marLeft w:val="0"/>
      <w:marRight w:val="0"/>
      <w:marTop w:val="0"/>
      <w:marBottom w:val="0"/>
      <w:divBdr>
        <w:top w:val="none" w:sz="0" w:space="0" w:color="auto"/>
        <w:left w:val="none" w:sz="0" w:space="0" w:color="auto"/>
        <w:bottom w:val="none" w:sz="0" w:space="0" w:color="auto"/>
        <w:right w:val="none" w:sz="0" w:space="0" w:color="auto"/>
      </w:divBdr>
    </w:div>
    <w:div w:id="1022511682">
      <w:bodyDiv w:val="1"/>
      <w:marLeft w:val="0"/>
      <w:marRight w:val="0"/>
      <w:marTop w:val="0"/>
      <w:marBottom w:val="0"/>
      <w:divBdr>
        <w:top w:val="none" w:sz="0" w:space="0" w:color="auto"/>
        <w:left w:val="none" w:sz="0" w:space="0" w:color="auto"/>
        <w:bottom w:val="none" w:sz="0" w:space="0" w:color="auto"/>
        <w:right w:val="none" w:sz="0" w:space="0" w:color="auto"/>
      </w:divBdr>
    </w:div>
    <w:div w:id="1022514817">
      <w:bodyDiv w:val="1"/>
      <w:marLeft w:val="0"/>
      <w:marRight w:val="0"/>
      <w:marTop w:val="0"/>
      <w:marBottom w:val="0"/>
      <w:divBdr>
        <w:top w:val="none" w:sz="0" w:space="0" w:color="auto"/>
        <w:left w:val="none" w:sz="0" w:space="0" w:color="auto"/>
        <w:bottom w:val="none" w:sz="0" w:space="0" w:color="auto"/>
        <w:right w:val="none" w:sz="0" w:space="0" w:color="auto"/>
      </w:divBdr>
    </w:div>
    <w:div w:id="1022904768">
      <w:bodyDiv w:val="1"/>
      <w:marLeft w:val="0"/>
      <w:marRight w:val="0"/>
      <w:marTop w:val="0"/>
      <w:marBottom w:val="0"/>
      <w:divBdr>
        <w:top w:val="none" w:sz="0" w:space="0" w:color="auto"/>
        <w:left w:val="none" w:sz="0" w:space="0" w:color="auto"/>
        <w:bottom w:val="none" w:sz="0" w:space="0" w:color="auto"/>
        <w:right w:val="none" w:sz="0" w:space="0" w:color="auto"/>
      </w:divBdr>
    </w:div>
    <w:div w:id="1024601589">
      <w:bodyDiv w:val="1"/>
      <w:marLeft w:val="0"/>
      <w:marRight w:val="0"/>
      <w:marTop w:val="0"/>
      <w:marBottom w:val="0"/>
      <w:divBdr>
        <w:top w:val="none" w:sz="0" w:space="0" w:color="auto"/>
        <w:left w:val="none" w:sz="0" w:space="0" w:color="auto"/>
        <w:bottom w:val="none" w:sz="0" w:space="0" w:color="auto"/>
        <w:right w:val="none" w:sz="0" w:space="0" w:color="auto"/>
      </w:divBdr>
    </w:div>
    <w:div w:id="1024866247">
      <w:bodyDiv w:val="1"/>
      <w:marLeft w:val="0"/>
      <w:marRight w:val="0"/>
      <w:marTop w:val="0"/>
      <w:marBottom w:val="0"/>
      <w:divBdr>
        <w:top w:val="none" w:sz="0" w:space="0" w:color="auto"/>
        <w:left w:val="none" w:sz="0" w:space="0" w:color="auto"/>
        <w:bottom w:val="none" w:sz="0" w:space="0" w:color="auto"/>
        <w:right w:val="none" w:sz="0" w:space="0" w:color="auto"/>
      </w:divBdr>
    </w:div>
    <w:div w:id="1025407466">
      <w:bodyDiv w:val="1"/>
      <w:marLeft w:val="0"/>
      <w:marRight w:val="0"/>
      <w:marTop w:val="0"/>
      <w:marBottom w:val="0"/>
      <w:divBdr>
        <w:top w:val="none" w:sz="0" w:space="0" w:color="auto"/>
        <w:left w:val="none" w:sz="0" w:space="0" w:color="auto"/>
        <w:bottom w:val="none" w:sz="0" w:space="0" w:color="auto"/>
        <w:right w:val="none" w:sz="0" w:space="0" w:color="auto"/>
      </w:divBdr>
    </w:div>
    <w:div w:id="1025666925">
      <w:bodyDiv w:val="1"/>
      <w:marLeft w:val="0"/>
      <w:marRight w:val="0"/>
      <w:marTop w:val="0"/>
      <w:marBottom w:val="0"/>
      <w:divBdr>
        <w:top w:val="none" w:sz="0" w:space="0" w:color="auto"/>
        <w:left w:val="none" w:sz="0" w:space="0" w:color="auto"/>
        <w:bottom w:val="none" w:sz="0" w:space="0" w:color="auto"/>
        <w:right w:val="none" w:sz="0" w:space="0" w:color="auto"/>
      </w:divBdr>
    </w:div>
    <w:div w:id="1025712691">
      <w:bodyDiv w:val="1"/>
      <w:marLeft w:val="0"/>
      <w:marRight w:val="0"/>
      <w:marTop w:val="0"/>
      <w:marBottom w:val="0"/>
      <w:divBdr>
        <w:top w:val="none" w:sz="0" w:space="0" w:color="auto"/>
        <w:left w:val="none" w:sz="0" w:space="0" w:color="auto"/>
        <w:bottom w:val="none" w:sz="0" w:space="0" w:color="auto"/>
        <w:right w:val="none" w:sz="0" w:space="0" w:color="auto"/>
      </w:divBdr>
    </w:div>
    <w:div w:id="1026642765">
      <w:bodyDiv w:val="1"/>
      <w:marLeft w:val="0"/>
      <w:marRight w:val="0"/>
      <w:marTop w:val="0"/>
      <w:marBottom w:val="0"/>
      <w:divBdr>
        <w:top w:val="none" w:sz="0" w:space="0" w:color="auto"/>
        <w:left w:val="none" w:sz="0" w:space="0" w:color="auto"/>
        <w:bottom w:val="none" w:sz="0" w:space="0" w:color="auto"/>
        <w:right w:val="none" w:sz="0" w:space="0" w:color="auto"/>
      </w:divBdr>
    </w:div>
    <w:div w:id="1027489028">
      <w:bodyDiv w:val="1"/>
      <w:marLeft w:val="0"/>
      <w:marRight w:val="0"/>
      <w:marTop w:val="0"/>
      <w:marBottom w:val="0"/>
      <w:divBdr>
        <w:top w:val="none" w:sz="0" w:space="0" w:color="auto"/>
        <w:left w:val="none" w:sz="0" w:space="0" w:color="auto"/>
        <w:bottom w:val="none" w:sz="0" w:space="0" w:color="auto"/>
        <w:right w:val="none" w:sz="0" w:space="0" w:color="auto"/>
      </w:divBdr>
    </w:div>
    <w:div w:id="1029377630">
      <w:bodyDiv w:val="1"/>
      <w:marLeft w:val="0"/>
      <w:marRight w:val="0"/>
      <w:marTop w:val="0"/>
      <w:marBottom w:val="0"/>
      <w:divBdr>
        <w:top w:val="none" w:sz="0" w:space="0" w:color="auto"/>
        <w:left w:val="none" w:sz="0" w:space="0" w:color="auto"/>
        <w:bottom w:val="none" w:sz="0" w:space="0" w:color="auto"/>
        <w:right w:val="none" w:sz="0" w:space="0" w:color="auto"/>
      </w:divBdr>
    </w:div>
    <w:div w:id="1029380811">
      <w:bodyDiv w:val="1"/>
      <w:marLeft w:val="0"/>
      <w:marRight w:val="0"/>
      <w:marTop w:val="0"/>
      <w:marBottom w:val="0"/>
      <w:divBdr>
        <w:top w:val="none" w:sz="0" w:space="0" w:color="auto"/>
        <w:left w:val="none" w:sz="0" w:space="0" w:color="auto"/>
        <w:bottom w:val="none" w:sz="0" w:space="0" w:color="auto"/>
        <w:right w:val="none" w:sz="0" w:space="0" w:color="auto"/>
      </w:divBdr>
    </w:div>
    <w:div w:id="1031147577">
      <w:bodyDiv w:val="1"/>
      <w:marLeft w:val="0"/>
      <w:marRight w:val="0"/>
      <w:marTop w:val="0"/>
      <w:marBottom w:val="0"/>
      <w:divBdr>
        <w:top w:val="none" w:sz="0" w:space="0" w:color="auto"/>
        <w:left w:val="none" w:sz="0" w:space="0" w:color="auto"/>
        <w:bottom w:val="none" w:sz="0" w:space="0" w:color="auto"/>
        <w:right w:val="none" w:sz="0" w:space="0" w:color="auto"/>
      </w:divBdr>
    </w:div>
    <w:div w:id="1032068825">
      <w:bodyDiv w:val="1"/>
      <w:marLeft w:val="0"/>
      <w:marRight w:val="0"/>
      <w:marTop w:val="0"/>
      <w:marBottom w:val="0"/>
      <w:divBdr>
        <w:top w:val="none" w:sz="0" w:space="0" w:color="auto"/>
        <w:left w:val="none" w:sz="0" w:space="0" w:color="auto"/>
        <w:bottom w:val="none" w:sz="0" w:space="0" w:color="auto"/>
        <w:right w:val="none" w:sz="0" w:space="0" w:color="auto"/>
      </w:divBdr>
    </w:div>
    <w:div w:id="1032072732">
      <w:bodyDiv w:val="1"/>
      <w:marLeft w:val="0"/>
      <w:marRight w:val="0"/>
      <w:marTop w:val="0"/>
      <w:marBottom w:val="0"/>
      <w:divBdr>
        <w:top w:val="none" w:sz="0" w:space="0" w:color="auto"/>
        <w:left w:val="none" w:sz="0" w:space="0" w:color="auto"/>
        <w:bottom w:val="none" w:sz="0" w:space="0" w:color="auto"/>
        <w:right w:val="none" w:sz="0" w:space="0" w:color="auto"/>
      </w:divBdr>
    </w:div>
    <w:div w:id="1032461593">
      <w:bodyDiv w:val="1"/>
      <w:marLeft w:val="0"/>
      <w:marRight w:val="0"/>
      <w:marTop w:val="0"/>
      <w:marBottom w:val="0"/>
      <w:divBdr>
        <w:top w:val="none" w:sz="0" w:space="0" w:color="auto"/>
        <w:left w:val="none" w:sz="0" w:space="0" w:color="auto"/>
        <w:bottom w:val="none" w:sz="0" w:space="0" w:color="auto"/>
        <w:right w:val="none" w:sz="0" w:space="0" w:color="auto"/>
      </w:divBdr>
    </w:div>
    <w:div w:id="1032535186">
      <w:bodyDiv w:val="1"/>
      <w:marLeft w:val="0"/>
      <w:marRight w:val="0"/>
      <w:marTop w:val="0"/>
      <w:marBottom w:val="0"/>
      <w:divBdr>
        <w:top w:val="none" w:sz="0" w:space="0" w:color="auto"/>
        <w:left w:val="none" w:sz="0" w:space="0" w:color="auto"/>
        <w:bottom w:val="none" w:sz="0" w:space="0" w:color="auto"/>
        <w:right w:val="none" w:sz="0" w:space="0" w:color="auto"/>
      </w:divBdr>
    </w:div>
    <w:div w:id="1032724955">
      <w:bodyDiv w:val="1"/>
      <w:marLeft w:val="0"/>
      <w:marRight w:val="0"/>
      <w:marTop w:val="0"/>
      <w:marBottom w:val="0"/>
      <w:divBdr>
        <w:top w:val="none" w:sz="0" w:space="0" w:color="auto"/>
        <w:left w:val="none" w:sz="0" w:space="0" w:color="auto"/>
        <w:bottom w:val="none" w:sz="0" w:space="0" w:color="auto"/>
        <w:right w:val="none" w:sz="0" w:space="0" w:color="auto"/>
      </w:divBdr>
    </w:div>
    <w:div w:id="1035614535">
      <w:bodyDiv w:val="1"/>
      <w:marLeft w:val="0"/>
      <w:marRight w:val="0"/>
      <w:marTop w:val="0"/>
      <w:marBottom w:val="0"/>
      <w:divBdr>
        <w:top w:val="none" w:sz="0" w:space="0" w:color="auto"/>
        <w:left w:val="none" w:sz="0" w:space="0" w:color="auto"/>
        <w:bottom w:val="none" w:sz="0" w:space="0" w:color="auto"/>
        <w:right w:val="none" w:sz="0" w:space="0" w:color="auto"/>
      </w:divBdr>
    </w:div>
    <w:div w:id="1037241063">
      <w:bodyDiv w:val="1"/>
      <w:marLeft w:val="0"/>
      <w:marRight w:val="0"/>
      <w:marTop w:val="0"/>
      <w:marBottom w:val="0"/>
      <w:divBdr>
        <w:top w:val="none" w:sz="0" w:space="0" w:color="auto"/>
        <w:left w:val="none" w:sz="0" w:space="0" w:color="auto"/>
        <w:bottom w:val="none" w:sz="0" w:space="0" w:color="auto"/>
        <w:right w:val="none" w:sz="0" w:space="0" w:color="auto"/>
      </w:divBdr>
    </w:div>
    <w:div w:id="1038621585">
      <w:bodyDiv w:val="1"/>
      <w:marLeft w:val="0"/>
      <w:marRight w:val="0"/>
      <w:marTop w:val="0"/>
      <w:marBottom w:val="0"/>
      <w:divBdr>
        <w:top w:val="none" w:sz="0" w:space="0" w:color="auto"/>
        <w:left w:val="none" w:sz="0" w:space="0" w:color="auto"/>
        <w:bottom w:val="none" w:sz="0" w:space="0" w:color="auto"/>
        <w:right w:val="none" w:sz="0" w:space="0" w:color="auto"/>
      </w:divBdr>
    </w:div>
    <w:div w:id="1039433680">
      <w:bodyDiv w:val="1"/>
      <w:marLeft w:val="0"/>
      <w:marRight w:val="0"/>
      <w:marTop w:val="0"/>
      <w:marBottom w:val="0"/>
      <w:divBdr>
        <w:top w:val="none" w:sz="0" w:space="0" w:color="auto"/>
        <w:left w:val="none" w:sz="0" w:space="0" w:color="auto"/>
        <w:bottom w:val="none" w:sz="0" w:space="0" w:color="auto"/>
        <w:right w:val="none" w:sz="0" w:space="0" w:color="auto"/>
      </w:divBdr>
    </w:div>
    <w:div w:id="1039821136">
      <w:bodyDiv w:val="1"/>
      <w:marLeft w:val="0"/>
      <w:marRight w:val="0"/>
      <w:marTop w:val="0"/>
      <w:marBottom w:val="0"/>
      <w:divBdr>
        <w:top w:val="none" w:sz="0" w:space="0" w:color="auto"/>
        <w:left w:val="none" w:sz="0" w:space="0" w:color="auto"/>
        <w:bottom w:val="none" w:sz="0" w:space="0" w:color="auto"/>
        <w:right w:val="none" w:sz="0" w:space="0" w:color="auto"/>
      </w:divBdr>
    </w:div>
    <w:div w:id="1039939561">
      <w:bodyDiv w:val="1"/>
      <w:marLeft w:val="0"/>
      <w:marRight w:val="0"/>
      <w:marTop w:val="0"/>
      <w:marBottom w:val="0"/>
      <w:divBdr>
        <w:top w:val="none" w:sz="0" w:space="0" w:color="auto"/>
        <w:left w:val="none" w:sz="0" w:space="0" w:color="auto"/>
        <w:bottom w:val="none" w:sz="0" w:space="0" w:color="auto"/>
        <w:right w:val="none" w:sz="0" w:space="0" w:color="auto"/>
      </w:divBdr>
    </w:div>
    <w:div w:id="1041324573">
      <w:bodyDiv w:val="1"/>
      <w:marLeft w:val="0"/>
      <w:marRight w:val="0"/>
      <w:marTop w:val="0"/>
      <w:marBottom w:val="0"/>
      <w:divBdr>
        <w:top w:val="none" w:sz="0" w:space="0" w:color="auto"/>
        <w:left w:val="none" w:sz="0" w:space="0" w:color="auto"/>
        <w:bottom w:val="none" w:sz="0" w:space="0" w:color="auto"/>
        <w:right w:val="none" w:sz="0" w:space="0" w:color="auto"/>
      </w:divBdr>
    </w:div>
    <w:div w:id="1041856448">
      <w:bodyDiv w:val="1"/>
      <w:marLeft w:val="0"/>
      <w:marRight w:val="0"/>
      <w:marTop w:val="0"/>
      <w:marBottom w:val="0"/>
      <w:divBdr>
        <w:top w:val="none" w:sz="0" w:space="0" w:color="auto"/>
        <w:left w:val="none" w:sz="0" w:space="0" w:color="auto"/>
        <w:bottom w:val="none" w:sz="0" w:space="0" w:color="auto"/>
        <w:right w:val="none" w:sz="0" w:space="0" w:color="auto"/>
      </w:divBdr>
    </w:div>
    <w:div w:id="1043141996">
      <w:bodyDiv w:val="1"/>
      <w:marLeft w:val="0"/>
      <w:marRight w:val="0"/>
      <w:marTop w:val="0"/>
      <w:marBottom w:val="0"/>
      <w:divBdr>
        <w:top w:val="none" w:sz="0" w:space="0" w:color="auto"/>
        <w:left w:val="none" w:sz="0" w:space="0" w:color="auto"/>
        <w:bottom w:val="none" w:sz="0" w:space="0" w:color="auto"/>
        <w:right w:val="none" w:sz="0" w:space="0" w:color="auto"/>
      </w:divBdr>
    </w:div>
    <w:div w:id="1043212635">
      <w:bodyDiv w:val="1"/>
      <w:marLeft w:val="0"/>
      <w:marRight w:val="0"/>
      <w:marTop w:val="0"/>
      <w:marBottom w:val="0"/>
      <w:divBdr>
        <w:top w:val="none" w:sz="0" w:space="0" w:color="auto"/>
        <w:left w:val="none" w:sz="0" w:space="0" w:color="auto"/>
        <w:bottom w:val="none" w:sz="0" w:space="0" w:color="auto"/>
        <w:right w:val="none" w:sz="0" w:space="0" w:color="auto"/>
      </w:divBdr>
    </w:div>
    <w:div w:id="1043553296">
      <w:bodyDiv w:val="1"/>
      <w:marLeft w:val="0"/>
      <w:marRight w:val="0"/>
      <w:marTop w:val="0"/>
      <w:marBottom w:val="0"/>
      <w:divBdr>
        <w:top w:val="none" w:sz="0" w:space="0" w:color="auto"/>
        <w:left w:val="none" w:sz="0" w:space="0" w:color="auto"/>
        <w:bottom w:val="none" w:sz="0" w:space="0" w:color="auto"/>
        <w:right w:val="none" w:sz="0" w:space="0" w:color="auto"/>
      </w:divBdr>
    </w:div>
    <w:div w:id="1045372888">
      <w:bodyDiv w:val="1"/>
      <w:marLeft w:val="0"/>
      <w:marRight w:val="0"/>
      <w:marTop w:val="0"/>
      <w:marBottom w:val="0"/>
      <w:divBdr>
        <w:top w:val="none" w:sz="0" w:space="0" w:color="auto"/>
        <w:left w:val="none" w:sz="0" w:space="0" w:color="auto"/>
        <w:bottom w:val="none" w:sz="0" w:space="0" w:color="auto"/>
        <w:right w:val="none" w:sz="0" w:space="0" w:color="auto"/>
      </w:divBdr>
    </w:div>
    <w:div w:id="1047029025">
      <w:bodyDiv w:val="1"/>
      <w:marLeft w:val="0"/>
      <w:marRight w:val="0"/>
      <w:marTop w:val="0"/>
      <w:marBottom w:val="0"/>
      <w:divBdr>
        <w:top w:val="none" w:sz="0" w:space="0" w:color="auto"/>
        <w:left w:val="none" w:sz="0" w:space="0" w:color="auto"/>
        <w:bottom w:val="none" w:sz="0" w:space="0" w:color="auto"/>
        <w:right w:val="none" w:sz="0" w:space="0" w:color="auto"/>
      </w:divBdr>
    </w:div>
    <w:div w:id="1047725047">
      <w:bodyDiv w:val="1"/>
      <w:marLeft w:val="0"/>
      <w:marRight w:val="0"/>
      <w:marTop w:val="0"/>
      <w:marBottom w:val="0"/>
      <w:divBdr>
        <w:top w:val="none" w:sz="0" w:space="0" w:color="auto"/>
        <w:left w:val="none" w:sz="0" w:space="0" w:color="auto"/>
        <w:bottom w:val="none" w:sz="0" w:space="0" w:color="auto"/>
        <w:right w:val="none" w:sz="0" w:space="0" w:color="auto"/>
      </w:divBdr>
    </w:div>
    <w:div w:id="1047997591">
      <w:bodyDiv w:val="1"/>
      <w:marLeft w:val="0"/>
      <w:marRight w:val="0"/>
      <w:marTop w:val="0"/>
      <w:marBottom w:val="0"/>
      <w:divBdr>
        <w:top w:val="none" w:sz="0" w:space="0" w:color="auto"/>
        <w:left w:val="none" w:sz="0" w:space="0" w:color="auto"/>
        <w:bottom w:val="none" w:sz="0" w:space="0" w:color="auto"/>
        <w:right w:val="none" w:sz="0" w:space="0" w:color="auto"/>
      </w:divBdr>
    </w:div>
    <w:div w:id="1049764803">
      <w:bodyDiv w:val="1"/>
      <w:marLeft w:val="0"/>
      <w:marRight w:val="0"/>
      <w:marTop w:val="0"/>
      <w:marBottom w:val="0"/>
      <w:divBdr>
        <w:top w:val="none" w:sz="0" w:space="0" w:color="auto"/>
        <w:left w:val="none" w:sz="0" w:space="0" w:color="auto"/>
        <w:bottom w:val="none" w:sz="0" w:space="0" w:color="auto"/>
        <w:right w:val="none" w:sz="0" w:space="0" w:color="auto"/>
      </w:divBdr>
    </w:div>
    <w:div w:id="1049963765">
      <w:bodyDiv w:val="1"/>
      <w:marLeft w:val="0"/>
      <w:marRight w:val="0"/>
      <w:marTop w:val="0"/>
      <w:marBottom w:val="0"/>
      <w:divBdr>
        <w:top w:val="none" w:sz="0" w:space="0" w:color="auto"/>
        <w:left w:val="none" w:sz="0" w:space="0" w:color="auto"/>
        <w:bottom w:val="none" w:sz="0" w:space="0" w:color="auto"/>
        <w:right w:val="none" w:sz="0" w:space="0" w:color="auto"/>
      </w:divBdr>
    </w:div>
    <w:div w:id="1050763171">
      <w:bodyDiv w:val="1"/>
      <w:marLeft w:val="0"/>
      <w:marRight w:val="0"/>
      <w:marTop w:val="0"/>
      <w:marBottom w:val="0"/>
      <w:divBdr>
        <w:top w:val="none" w:sz="0" w:space="0" w:color="auto"/>
        <w:left w:val="none" w:sz="0" w:space="0" w:color="auto"/>
        <w:bottom w:val="none" w:sz="0" w:space="0" w:color="auto"/>
        <w:right w:val="none" w:sz="0" w:space="0" w:color="auto"/>
      </w:divBdr>
    </w:div>
    <w:div w:id="1050763937">
      <w:bodyDiv w:val="1"/>
      <w:marLeft w:val="0"/>
      <w:marRight w:val="0"/>
      <w:marTop w:val="0"/>
      <w:marBottom w:val="0"/>
      <w:divBdr>
        <w:top w:val="none" w:sz="0" w:space="0" w:color="auto"/>
        <w:left w:val="none" w:sz="0" w:space="0" w:color="auto"/>
        <w:bottom w:val="none" w:sz="0" w:space="0" w:color="auto"/>
        <w:right w:val="none" w:sz="0" w:space="0" w:color="auto"/>
      </w:divBdr>
    </w:div>
    <w:div w:id="1051079003">
      <w:bodyDiv w:val="1"/>
      <w:marLeft w:val="0"/>
      <w:marRight w:val="0"/>
      <w:marTop w:val="0"/>
      <w:marBottom w:val="0"/>
      <w:divBdr>
        <w:top w:val="none" w:sz="0" w:space="0" w:color="auto"/>
        <w:left w:val="none" w:sz="0" w:space="0" w:color="auto"/>
        <w:bottom w:val="none" w:sz="0" w:space="0" w:color="auto"/>
        <w:right w:val="none" w:sz="0" w:space="0" w:color="auto"/>
      </w:divBdr>
    </w:div>
    <w:div w:id="1051921082">
      <w:bodyDiv w:val="1"/>
      <w:marLeft w:val="0"/>
      <w:marRight w:val="0"/>
      <w:marTop w:val="0"/>
      <w:marBottom w:val="0"/>
      <w:divBdr>
        <w:top w:val="none" w:sz="0" w:space="0" w:color="auto"/>
        <w:left w:val="none" w:sz="0" w:space="0" w:color="auto"/>
        <w:bottom w:val="none" w:sz="0" w:space="0" w:color="auto"/>
        <w:right w:val="none" w:sz="0" w:space="0" w:color="auto"/>
      </w:divBdr>
    </w:div>
    <w:div w:id="1052269849">
      <w:bodyDiv w:val="1"/>
      <w:marLeft w:val="0"/>
      <w:marRight w:val="0"/>
      <w:marTop w:val="0"/>
      <w:marBottom w:val="0"/>
      <w:divBdr>
        <w:top w:val="none" w:sz="0" w:space="0" w:color="auto"/>
        <w:left w:val="none" w:sz="0" w:space="0" w:color="auto"/>
        <w:bottom w:val="none" w:sz="0" w:space="0" w:color="auto"/>
        <w:right w:val="none" w:sz="0" w:space="0" w:color="auto"/>
      </w:divBdr>
    </w:div>
    <w:div w:id="1052509163">
      <w:bodyDiv w:val="1"/>
      <w:marLeft w:val="0"/>
      <w:marRight w:val="0"/>
      <w:marTop w:val="0"/>
      <w:marBottom w:val="0"/>
      <w:divBdr>
        <w:top w:val="none" w:sz="0" w:space="0" w:color="auto"/>
        <w:left w:val="none" w:sz="0" w:space="0" w:color="auto"/>
        <w:bottom w:val="none" w:sz="0" w:space="0" w:color="auto"/>
        <w:right w:val="none" w:sz="0" w:space="0" w:color="auto"/>
      </w:divBdr>
      <w:divsChild>
        <w:div w:id="1652442882">
          <w:marLeft w:val="0"/>
          <w:marRight w:val="0"/>
          <w:marTop w:val="0"/>
          <w:marBottom w:val="0"/>
          <w:divBdr>
            <w:top w:val="none" w:sz="0" w:space="0" w:color="auto"/>
            <w:left w:val="none" w:sz="0" w:space="0" w:color="auto"/>
            <w:bottom w:val="none" w:sz="0" w:space="0" w:color="auto"/>
            <w:right w:val="none" w:sz="0" w:space="0" w:color="auto"/>
          </w:divBdr>
          <w:divsChild>
            <w:div w:id="490101735">
              <w:marLeft w:val="0"/>
              <w:marRight w:val="0"/>
              <w:marTop w:val="0"/>
              <w:marBottom w:val="0"/>
              <w:divBdr>
                <w:top w:val="none" w:sz="0" w:space="0" w:color="auto"/>
                <w:left w:val="none" w:sz="0" w:space="0" w:color="auto"/>
                <w:bottom w:val="none" w:sz="0" w:space="0" w:color="auto"/>
                <w:right w:val="none" w:sz="0" w:space="0" w:color="auto"/>
              </w:divBdr>
              <w:divsChild>
                <w:div w:id="1217546012">
                  <w:marLeft w:val="0"/>
                  <w:marRight w:val="0"/>
                  <w:marTop w:val="0"/>
                  <w:marBottom w:val="0"/>
                  <w:divBdr>
                    <w:top w:val="none" w:sz="0" w:space="0" w:color="auto"/>
                    <w:left w:val="none" w:sz="0" w:space="0" w:color="auto"/>
                    <w:bottom w:val="none" w:sz="0" w:space="0" w:color="auto"/>
                    <w:right w:val="none" w:sz="0" w:space="0" w:color="auto"/>
                  </w:divBdr>
                  <w:divsChild>
                    <w:div w:id="87674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27047">
      <w:bodyDiv w:val="1"/>
      <w:marLeft w:val="0"/>
      <w:marRight w:val="0"/>
      <w:marTop w:val="0"/>
      <w:marBottom w:val="0"/>
      <w:divBdr>
        <w:top w:val="none" w:sz="0" w:space="0" w:color="auto"/>
        <w:left w:val="none" w:sz="0" w:space="0" w:color="auto"/>
        <w:bottom w:val="none" w:sz="0" w:space="0" w:color="auto"/>
        <w:right w:val="none" w:sz="0" w:space="0" w:color="auto"/>
      </w:divBdr>
    </w:div>
    <w:div w:id="1055422893">
      <w:bodyDiv w:val="1"/>
      <w:marLeft w:val="0"/>
      <w:marRight w:val="0"/>
      <w:marTop w:val="0"/>
      <w:marBottom w:val="0"/>
      <w:divBdr>
        <w:top w:val="none" w:sz="0" w:space="0" w:color="auto"/>
        <w:left w:val="none" w:sz="0" w:space="0" w:color="auto"/>
        <w:bottom w:val="none" w:sz="0" w:space="0" w:color="auto"/>
        <w:right w:val="none" w:sz="0" w:space="0" w:color="auto"/>
      </w:divBdr>
    </w:div>
    <w:div w:id="1055547658">
      <w:bodyDiv w:val="1"/>
      <w:marLeft w:val="0"/>
      <w:marRight w:val="0"/>
      <w:marTop w:val="0"/>
      <w:marBottom w:val="0"/>
      <w:divBdr>
        <w:top w:val="none" w:sz="0" w:space="0" w:color="auto"/>
        <w:left w:val="none" w:sz="0" w:space="0" w:color="auto"/>
        <w:bottom w:val="none" w:sz="0" w:space="0" w:color="auto"/>
        <w:right w:val="none" w:sz="0" w:space="0" w:color="auto"/>
      </w:divBdr>
    </w:div>
    <w:div w:id="1056004951">
      <w:bodyDiv w:val="1"/>
      <w:marLeft w:val="0"/>
      <w:marRight w:val="0"/>
      <w:marTop w:val="0"/>
      <w:marBottom w:val="0"/>
      <w:divBdr>
        <w:top w:val="none" w:sz="0" w:space="0" w:color="auto"/>
        <w:left w:val="none" w:sz="0" w:space="0" w:color="auto"/>
        <w:bottom w:val="none" w:sz="0" w:space="0" w:color="auto"/>
        <w:right w:val="none" w:sz="0" w:space="0" w:color="auto"/>
      </w:divBdr>
    </w:div>
    <w:div w:id="1058826470">
      <w:bodyDiv w:val="1"/>
      <w:marLeft w:val="0"/>
      <w:marRight w:val="0"/>
      <w:marTop w:val="0"/>
      <w:marBottom w:val="0"/>
      <w:divBdr>
        <w:top w:val="none" w:sz="0" w:space="0" w:color="auto"/>
        <w:left w:val="none" w:sz="0" w:space="0" w:color="auto"/>
        <w:bottom w:val="none" w:sz="0" w:space="0" w:color="auto"/>
        <w:right w:val="none" w:sz="0" w:space="0" w:color="auto"/>
      </w:divBdr>
    </w:div>
    <w:div w:id="1059011267">
      <w:bodyDiv w:val="1"/>
      <w:marLeft w:val="0"/>
      <w:marRight w:val="0"/>
      <w:marTop w:val="0"/>
      <w:marBottom w:val="0"/>
      <w:divBdr>
        <w:top w:val="none" w:sz="0" w:space="0" w:color="auto"/>
        <w:left w:val="none" w:sz="0" w:space="0" w:color="auto"/>
        <w:bottom w:val="none" w:sz="0" w:space="0" w:color="auto"/>
        <w:right w:val="none" w:sz="0" w:space="0" w:color="auto"/>
      </w:divBdr>
    </w:div>
    <w:div w:id="1059204955">
      <w:bodyDiv w:val="1"/>
      <w:marLeft w:val="0"/>
      <w:marRight w:val="0"/>
      <w:marTop w:val="0"/>
      <w:marBottom w:val="0"/>
      <w:divBdr>
        <w:top w:val="none" w:sz="0" w:space="0" w:color="auto"/>
        <w:left w:val="none" w:sz="0" w:space="0" w:color="auto"/>
        <w:bottom w:val="none" w:sz="0" w:space="0" w:color="auto"/>
        <w:right w:val="none" w:sz="0" w:space="0" w:color="auto"/>
      </w:divBdr>
    </w:div>
    <w:div w:id="1060011865">
      <w:bodyDiv w:val="1"/>
      <w:marLeft w:val="0"/>
      <w:marRight w:val="0"/>
      <w:marTop w:val="0"/>
      <w:marBottom w:val="0"/>
      <w:divBdr>
        <w:top w:val="none" w:sz="0" w:space="0" w:color="auto"/>
        <w:left w:val="none" w:sz="0" w:space="0" w:color="auto"/>
        <w:bottom w:val="none" w:sz="0" w:space="0" w:color="auto"/>
        <w:right w:val="none" w:sz="0" w:space="0" w:color="auto"/>
      </w:divBdr>
    </w:div>
    <w:div w:id="1061293850">
      <w:bodyDiv w:val="1"/>
      <w:marLeft w:val="0"/>
      <w:marRight w:val="0"/>
      <w:marTop w:val="0"/>
      <w:marBottom w:val="0"/>
      <w:divBdr>
        <w:top w:val="none" w:sz="0" w:space="0" w:color="auto"/>
        <w:left w:val="none" w:sz="0" w:space="0" w:color="auto"/>
        <w:bottom w:val="none" w:sz="0" w:space="0" w:color="auto"/>
        <w:right w:val="none" w:sz="0" w:space="0" w:color="auto"/>
      </w:divBdr>
    </w:div>
    <w:div w:id="1064261074">
      <w:bodyDiv w:val="1"/>
      <w:marLeft w:val="0"/>
      <w:marRight w:val="0"/>
      <w:marTop w:val="0"/>
      <w:marBottom w:val="0"/>
      <w:divBdr>
        <w:top w:val="none" w:sz="0" w:space="0" w:color="auto"/>
        <w:left w:val="none" w:sz="0" w:space="0" w:color="auto"/>
        <w:bottom w:val="none" w:sz="0" w:space="0" w:color="auto"/>
        <w:right w:val="none" w:sz="0" w:space="0" w:color="auto"/>
      </w:divBdr>
      <w:divsChild>
        <w:div w:id="805662079">
          <w:marLeft w:val="0"/>
          <w:marRight w:val="0"/>
          <w:marTop w:val="0"/>
          <w:marBottom w:val="0"/>
          <w:divBdr>
            <w:top w:val="none" w:sz="0" w:space="0" w:color="auto"/>
            <w:left w:val="none" w:sz="0" w:space="0" w:color="auto"/>
            <w:bottom w:val="none" w:sz="0" w:space="0" w:color="auto"/>
            <w:right w:val="none" w:sz="0" w:space="0" w:color="auto"/>
          </w:divBdr>
          <w:divsChild>
            <w:div w:id="965085866">
              <w:marLeft w:val="0"/>
              <w:marRight w:val="0"/>
              <w:marTop w:val="0"/>
              <w:marBottom w:val="0"/>
              <w:divBdr>
                <w:top w:val="none" w:sz="0" w:space="0" w:color="auto"/>
                <w:left w:val="none" w:sz="0" w:space="0" w:color="auto"/>
                <w:bottom w:val="none" w:sz="0" w:space="0" w:color="auto"/>
                <w:right w:val="none" w:sz="0" w:space="0" w:color="auto"/>
              </w:divBdr>
              <w:divsChild>
                <w:div w:id="1406952606">
                  <w:marLeft w:val="0"/>
                  <w:marRight w:val="0"/>
                  <w:marTop w:val="0"/>
                  <w:marBottom w:val="0"/>
                  <w:divBdr>
                    <w:top w:val="none" w:sz="0" w:space="0" w:color="auto"/>
                    <w:left w:val="none" w:sz="0" w:space="0" w:color="auto"/>
                    <w:bottom w:val="none" w:sz="0" w:space="0" w:color="auto"/>
                    <w:right w:val="none" w:sz="0" w:space="0" w:color="auto"/>
                  </w:divBdr>
                  <w:divsChild>
                    <w:div w:id="28319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26538">
      <w:bodyDiv w:val="1"/>
      <w:marLeft w:val="0"/>
      <w:marRight w:val="0"/>
      <w:marTop w:val="0"/>
      <w:marBottom w:val="0"/>
      <w:divBdr>
        <w:top w:val="none" w:sz="0" w:space="0" w:color="auto"/>
        <w:left w:val="none" w:sz="0" w:space="0" w:color="auto"/>
        <w:bottom w:val="none" w:sz="0" w:space="0" w:color="auto"/>
        <w:right w:val="none" w:sz="0" w:space="0" w:color="auto"/>
      </w:divBdr>
    </w:div>
    <w:div w:id="1065639991">
      <w:bodyDiv w:val="1"/>
      <w:marLeft w:val="0"/>
      <w:marRight w:val="0"/>
      <w:marTop w:val="0"/>
      <w:marBottom w:val="0"/>
      <w:divBdr>
        <w:top w:val="none" w:sz="0" w:space="0" w:color="auto"/>
        <w:left w:val="none" w:sz="0" w:space="0" w:color="auto"/>
        <w:bottom w:val="none" w:sz="0" w:space="0" w:color="auto"/>
        <w:right w:val="none" w:sz="0" w:space="0" w:color="auto"/>
      </w:divBdr>
    </w:div>
    <w:div w:id="1066489827">
      <w:bodyDiv w:val="1"/>
      <w:marLeft w:val="0"/>
      <w:marRight w:val="0"/>
      <w:marTop w:val="0"/>
      <w:marBottom w:val="0"/>
      <w:divBdr>
        <w:top w:val="none" w:sz="0" w:space="0" w:color="auto"/>
        <w:left w:val="none" w:sz="0" w:space="0" w:color="auto"/>
        <w:bottom w:val="none" w:sz="0" w:space="0" w:color="auto"/>
        <w:right w:val="none" w:sz="0" w:space="0" w:color="auto"/>
      </w:divBdr>
    </w:div>
    <w:div w:id="1069309911">
      <w:bodyDiv w:val="1"/>
      <w:marLeft w:val="0"/>
      <w:marRight w:val="0"/>
      <w:marTop w:val="0"/>
      <w:marBottom w:val="0"/>
      <w:divBdr>
        <w:top w:val="none" w:sz="0" w:space="0" w:color="auto"/>
        <w:left w:val="none" w:sz="0" w:space="0" w:color="auto"/>
        <w:bottom w:val="none" w:sz="0" w:space="0" w:color="auto"/>
        <w:right w:val="none" w:sz="0" w:space="0" w:color="auto"/>
      </w:divBdr>
    </w:div>
    <w:div w:id="1070737462">
      <w:bodyDiv w:val="1"/>
      <w:marLeft w:val="0"/>
      <w:marRight w:val="0"/>
      <w:marTop w:val="0"/>
      <w:marBottom w:val="0"/>
      <w:divBdr>
        <w:top w:val="none" w:sz="0" w:space="0" w:color="auto"/>
        <w:left w:val="none" w:sz="0" w:space="0" w:color="auto"/>
        <w:bottom w:val="none" w:sz="0" w:space="0" w:color="auto"/>
        <w:right w:val="none" w:sz="0" w:space="0" w:color="auto"/>
      </w:divBdr>
    </w:div>
    <w:div w:id="1072459639">
      <w:bodyDiv w:val="1"/>
      <w:marLeft w:val="0"/>
      <w:marRight w:val="0"/>
      <w:marTop w:val="0"/>
      <w:marBottom w:val="0"/>
      <w:divBdr>
        <w:top w:val="none" w:sz="0" w:space="0" w:color="auto"/>
        <w:left w:val="none" w:sz="0" w:space="0" w:color="auto"/>
        <w:bottom w:val="none" w:sz="0" w:space="0" w:color="auto"/>
        <w:right w:val="none" w:sz="0" w:space="0" w:color="auto"/>
      </w:divBdr>
    </w:div>
    <w:div w:id="1073506523">
      <w:bodyDiv w:val="1"/>
      <w:marLeft w:val="0"/>
      <w:marRight w:val="0"/>
      <w:marTop w:val="0"/>
      <w:marBottom w:val="0"/>
      <w:divBdr>
        <w:top w:val="none" w:sz="0" w:space="0" w:color="auto"/>
        <w:left w:val="none" w:sz="0" w:space="0" w:color="auto"/>
        <w:bottom w:val="none" w:sz="0" w:space="0" w:color="auto"/>
        <w:right w:val="none" w:sz="0" w:space="0" w:color="auto"/>
      </w:divBdr>
    </w:div>
    <w:div w:id="1074084347">
      <w:bodyDiv w:val="1"/>
      <w:marLeft w:val="0"/>
      <w:marRight w:val="0"/>
      <w:marTop w:val="0"/>
      <w:marBottom w:val="0"/>
      <w:divBdr>
        <w:top w:val="none" w:sz="0" w:space="0" w:color="auto"/>
        <w:left w:val="none" w:sz="0" w:space="0" w:color="auto"/>
        <w:bottom w:val="none" w:sz="0" w:space="0" w:color="auto"/>
        <w:right w:val="none" w:sz="0" w:space="0" w:color="auto"/>
      </w:divBdr>
    </w:div>
    <w:div w:id="1079716992">
      <w:bodyDiv w:val="1"/>
      <w:marLeft w:val="0"/>
      <w:marRight w:val="0"/>
      <w:marTop w:val="0"/>
      <w:marBottom w:val="0"/>
      <w:divBdr>
        <w:top w:val="none" w:sz="0" w:space="0" w:color="auto"/>
        <w:left w:val="none" w:sz="0" w:space="0" w:color="auto"/>
        <w:bottom w:val="none" w:sz="0" w:space="0" w:color="auto"/>
        <w:right w:val="none" w:sz="0" w:space="0" w:color="auto"/>
      </w:divBdr>
    </w:div>
    <w:div w:id="1080442369">
      <w:bodyDiv w:val="1"/>
      <w:marLeft w:val="0"/>
      <w:marRight w:val="0"/>
      <w:marTop w:val="0"/>
      <w:marBottom w:val="0"/>
      <w:divBdr>
        <w:top w:val="none" w:sz="0" w:space="0" w:color="auto"/>
        <w:left w:val="none" w:sz="0" w:space="0" w:color="auto"/>
        <w:bottom w:val="none" w:sz="0" w:space="0" w:color="auto"/>
        <w:right w:val="none" w:sz="0" w:space="0" w:color="auto"/>
      </w:divBdr>
      <w:divsChild>
        <w:div w:id="381828295">
          <w:marLeft w:val="0"/>
          <w:marRight w:val="0"/>
          <w:marTop w:val="0"/>
          <w:marBottom w:val="0"/>
          <w:divBdr>
            <w:top w:val="none" w:sz="0" w:space="0" w:color="auto"/>
            <w:left w:val="none" w:sz="0" w:space="0" w:color="auto"/>
            <w:bottom w:val="none" w:sz="0" w:space="0" w:color="auto"/>
            <w:right w:val="none" w:sz="0" w:space="0" w:color="auto"/>
          </w:divBdr>
          <w:divsChild>
            <w:div w:id="1627195383">
              <w:marLeft w:val="0"/>
              <w:marRight w:val="0"/>
              <w:marTop w:val="0"/>
              <w:marBottom w:val="0"/>
              <w:divBdr>
                <w:top w:val="none" w:sz="0" w:space="0" w:color="auto"/>
                <w:left w:val="none" w:sz="0" w:space="0" w:color="auto"/>
                <w:bottom w:val="none" w:sz="0" w:space="0" w:color="auto"/>
                <w:right w:val="none" w:sz="0" w:space="0" w:color="auto"/>
              </w:divBdr>
              <w:divsChild>
                <w:div w:id="681660691">
                  <w:marLeft w:val="0"/>
                  <w:marRight w:val="0"/>
                  <w:marTop w:val="0"/>
                  <w:marBottom w:val="0"/>
                  <w:divBdr>
                    <w:top w:val="none" w:sz="0" w:space="0" w:color="auto"/>
                    <w:left w:val="none" w:sz="0" w:space="0" w:color="auto"/>
                    <w:bottom w:val="none" w:sz="0" w:space="0" w:color="auto"/>
                    <w:right w:val="none" w:sz="0" w:space="0" w:color="auto"/>
                  </w:divBdr>
                  <w:divsChild>
                    <w:div w:id="1699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6683">
      <w:bodyDiv w:val="1"/>
      <w:marLeft w:val="0"/>
      <w:marRight w:val="0"/>
      <w:marTop w:val="0"/>
      <w:marBottom w:val="0"/>
      <w:divBdr>
        <w:top w:val="none" w:sz="0" w:space="0" w:color="auto"/>
        <w:left w:val="none" w:sz="0" w:space="0" w:color="auto"/>
        <w:bottom w:val="none" w:sz="0" w:space="0" w:color="auto"/>
        <w:right w:val="none" w:sz="0" w:space="0" w:color="auto"/>
      </w:divBdr>
    </w:div>
    <w:div w:id="1081952816">
      <w:bodyDiv w:val="1"/>
      <w:marLeft w:val="0"/>
      <w:marRight w:val="0"/>
      <w:marTop w:val="0"/>
      <w:marBottom w:val="0"/>
      <w:divBdr>
        <w:top w:val="none" w:sz="0" w:space="0" w:color="auto"/>
        <w:left w:val="none" w:sz="0" w:space="0" w:color="auto"/>
        <w:bottom w:val="none" w:sz="0" w:space="0" w:color="auto"/>
        <w:right w:val="none" w:sz="0" w:space="0" w:color="auto"/>
      </w:divBdr>
    </w:div>
    <w:div w:id="1083530361">
      <w:bodyDiv w:val="1"/>
      <w:marLeft w:val="0"/>
      <w:marRight w:val="0"/>
      <w:marTop w:val="0"/>
      <w:marBottom w:val="0"/>
      <w:divBdr>
        <w:top w:val="none" w:sz="0" w:space="0" w:color="auto"/>
        <w:left w:val="none" w:sz="0" w:space="0" w:color="auto"/>
        <w:bottom w:val="none" w:sz="0" w:space="0" w:color="auto"/>
        <w:right w:val="none" w:sz="0" w:space="0" w:color="auto"/>
      </w:divBdr>
    </w:div>
    <w:div w:id="1085299188">
      <w:bodyDiv w:val="1"/>
      <w:marLeft w:val="0"/>
      <w:marRight w:val="0"/>
      <w:marTop w:val="0"/>
      <w:marBottom w:val="0"/>
      <w:divBdr>
        <w:top w:val="none" w:sz="0" w:space="0" w:color="auto"/>
        <w:left w:val="none" w:sz="0" w:space="0" w:color="auto"/>
        <w:bottom w:val="none" w:sz="0" w:space="0" w:color="auto"/>
        <w:right w:val="none" w:sz="0" w:space="0" w:color="auto"/>
      </w:divBdr>
    </w:div>
    <w:div w:id="1085686847">
      <w:bodyDiv w:val="1"/>
      <w:marLeft w:val="0"/>
      <w:marRight w:val="0"/>
      <w:marTop w:val="0"/>
      <w:marBottom w:val="0"/>
      <w:divBdr>
        <w:top w:val="none" w:sz="0" w:space="0" w:color="auto"/>
        <w:left w:val="none" w:sz="0" w:space="0" w:color="auto"/>
        <w:bottom w:val="none" w:sz="0" w:space="0" w:color="auto"/>
        <w:right w:val="none" w:sz="0" w:space="0" w:color="auto"/>
      </w:divBdr>
    </w:div>
    <w:div w:id="1085954907">
      <w:bodyDiv w:val="1"/>
      <w:marLeft w:val="0"/>
      <w:marRight w:val="0"/>
      <w:marTop w:val="0"/>
      <w:marBottom w:val="0"/>
      <w:divBdr>
        <w:top w:val="none" w:sz="0" w:space="0" w:color="auto"/>
        <w:left w:val="none" w:sz="0" w:space="0" w:color="auto"/>
        <w:bottom w:val="none" w:sz="0" w:space="0" w:color="auto"/>
        <w:right w:val="none" w:sz="0" w:space="0" w:color="auto"/>
      </w:divBdr>
    </w:div>
    <w:div w:id="1086607657">
      <w:bodyDiv w:val="1"/>
      <w:marLeft w:val="0"/>
      <w:marRight w:val="0"/>
      <w:marTop w:val="0"/>
      <w:marBottom w:val="0"/>
      <w:divBdr>
        <w:top w:val="none" w:sz="0" w:space="0" w:color="auto"/>
        <w:left w:val="none" w:sz="0" w:space="0" w:color="auto"/>
        <w:bottom w:val="none" w:sz="0" w:space="0" w:color="auto"/>
        <w:right w:val="none" w:sz="0" w:space="0" w:color="auto"/>
      </w:divBdr>
    </w:div>
    <w:div w:id="1087381780">
      <w:bodyDiv w:val="1"/>
      <w:marLeft w:val="0"/>
      <w:marRight w:val="0"/>
      <w:marTop w:val="0"/>
      <w:marBottom w:val="0"/>
      <w:divBdr>
        <w:top w:val="none" w:sz="0" w:space="0" w:color="auto"/>
        <w:left w:val="none" w:sz="0" w:space="0" w:color="auto"/>
        <w:bottom w:val="none" w:sz="0" w:space="0" w:color="auto"/>
        <w:right w:val="none" w:sz="0" w:space="0" w:color="auto"/>
      </w:divBdr>
    </w:div>
    <w:div w:id="1087924540">
      <w:bodyDiv w:val="1"/>
      <w:marLeft w:val="0"/>
      <w:marRight w:val="0"/>
      <w:marTop w:val="0"/>
      <w:marBottom w:val="0"/>
      <w:divBdr>
        <w:top w:val="none" w:sz="0" w:space="0" w:color="auto"/>
        <w:left w:val="none" w:sz="0" w:space="0" w:color="auto"/>
        <w:bottom w:val="none" w:sz="0" w:space="0" w:color="auto"/>
        <w:right w:val="none" w:sz="0" w:space="0" w:color="auto"/>
      </w:divBdr>
    </w:div>
    <w:div w:id="1089811910">
      <w:bodyDiv w:val="1"/>
      <w:marLeft w:val="0"/>
      <w:marRight w:val="0"/>
      <w:marTop w:val="0"/>
      <w:marBottom w:val="0"/>
      <w:divBdr>
        <w:top w:val="none" w:sz="0" w:space="0" w:color="auto"/>
        <w:left w:val="none" w:sz="0" w:space="0" w:color="auto"/>
        <w:bottom w:val="none" w:sz="0" w:space="0" w:color="auto"/>
        <w:right w:val="none" w:sz="0" w:space="0" w:color="auto"/>
      </w:divBdr>
    </w:div>
    <w:div w:id="1094715339">
      <w:bodyDiv w:val="1"/>
      <w:marLeft w:val="0"/>
      <w:marRight w:val="0"/>
      <w:marTop w:val="0"/>
      <w:marBottom w:val="0"/>
      <w:divBdr>
        <w:top w:val="none" w:sz="0" w:space="0" w:color="auto"/>
        <w:left w:val="none" w:sz="0" w:space="0" w:color="auto"/>
        <w:bottom w:val="none" w:sz="0" w:space="0" w:color="auto"/>
        <w:right w:val="none" w:sz="0" w:space="0" w:color="auto"/>
      </w:divBdr>
    </w:div>
    <w:div w:id="1095635204">
      <w:bodyDiv w:val="1"/>
      <w:marLeft w:val="0"/>
      <w:marRight w:val="0"/>
      <w:marTop w:val="0"/>
      <w:marBottom w:val="0"/>
      <w:divBdr>
        <w:top w:val="none" w:sz="0" w:space="0" w:color="auto"/>
        <w:left w:val="none" w:sz="0" w:space="0" w:color="auto"/>
        <w:bottom w:val="none" w:sz="0" w:space="0" w:color="auto"/>
        <w:right w:val="none" w:sz="0" w:space="0" w:color="auto"/>
      </w:divBdr>
    </w:div>
    <w:div w:id="1096097404">
      <w:bodyDiv w:val="1"/>
      <w:marLeft w:val="0"/>
      <w:marRight w:val="0"/>
      <w:marTop w:val="0"/>
      <w:marBottom w:val="0"/>
      <w:divBdr>
        <w:top w:val="none" w:sz="0" w:space="0" w:color="auto"/>
        <w:left w:val="none" w:sz="0" w:space="0" w:color="auto"/>
        <w:bottom w:val="none" w:sz="0" w:space="0" w:color="auto"/>
        <w:right w:val="none" w:sz="0" w:space="0" w:color="auto"/>
      </w:divBdr>
    </w:div>
    <w:div w:id="1097409897">
      <w:bodyDiv w:val="1"/>
      <w:marLeft w:val="0"/>
      <w:marRight w:val="0"/>
      <w:marTop w:val="0"/>
      <w:marBottom w:val="0"/>
      <w:divBdr>
        <w:top w:val="none" w:sz="0" w:space="0" w:color="auto"/>
        <w:left w:val="none" w:sz="0" w:space="0" w:color="auto"/>
        <w:bottom w:val="none" w:sz="0" w:space="0" w:color="auto"/>
        <w:right w:val="none" w:sz="0" w:space="0" w:color="auto"/>
      </w:divBdr>
    </w:div>
    <w:div w:id="1099914530">
      <w:bodyDiv w:val="1"/>
      <w:marLeft w:val="0"/>
      <w:marRight w:val="0"/>
      <w:marTop w:val="0"/>
      <w:marBottom w:val="0"/>
      <w:divBdr>
        <w:top w:val="none" w:sz="0" w:space="0" w:color="auto"/>
        <w:left w:val="none" w:sz="0" w:space="0" w:color="auto"/>
        <w:bottom w:val="none" w:sz="0" w:space="0" w:color="auto"/>
        <w:right w:val="none" w:sz="0" w:space="0" w:color="auto"/>
      </w:divBdr>
    </w:div>
    <w:div w:id="1099957121">
      <w:bodyDiv w:val="1"/>
      <w:marLeft w:val="0"/>
      <w:marRight w:val="0"/>
      <w:marTop w:val="0"/>
      <w:marBottom w:val="0"/>
      <w:divBdr>
        <w:top w:val="none" w:sz="0" w:space="0" w:color="auto"/>
        <w:left w:val="none" w:sz="0" w:space="0" w:color="auto"/>
        <w:bottom w:val="none" w:sz="0" w:space="0" w:color="auto"/>
        <w:right w:val="none" w:sz="0" w:space="0" w:color="auto"/>
      </w:divBdr>
    </w:div>
    <w:div w:id="1101799972">
      <w:bodyDiv w:val="1"/>
      <w:marLeft w:val="0"/>
      <w:marRight w:val="0"/>
      <w:marTop w:val="0"/>
      <w:marBottom w:val="0"/>
      <w:divBdr>
        <w:top w:val="none" w:sz="0" w:space="0" w:color="auto"/>
        <w:left w:val="none" w:sz="0" w:space="0" w:color="auto"/>
        <w:bottom w:val="none" w:sz="0" w:space="0" w:color="auto"/>
        <w:right w:val="none" w:sz="0" w:space="0" w:color="auto"/>
      </w:divBdr>
    </w:div>
    <w:div w:id="1102341496">
      <w:bodyDiv w:val="1"/>
      <w:marLeft w:val="0"/>
      <w:marRight w:val="0"/>
      <w:marTop w:val="0"/>
      <w:marBottom w:val="0"/>
      <w:divBdr>
        <w:top w:val="none" w:sz="0" w:space="0" w:color="auto"/>
        <w:left w:val="none" w:sz="0" w:space="0" w:color="auto"/>
        <w:bottom w:val="none" w:sz="0" w:space="0" w:color="auto"/>
        <w:right w:val="none" w:sz="0" w:space="0" w:color="auto"/>
      </w:divBdr>
    </w:div>
    <w:div w:id="1102914852">
      <w:bodyDiv w:val="1"/>
      <w:marLeft w:val="0"/>
      <w:marRight w:val="0"/>
      <w:marTop w:val="0"/>
      <w:marBottom w:val="0"/>
      <w:divBdr>
        <w:top w:val="none" w:sz="0" w:space="0" w:color="auto"/>
        <w:left w:val="none" w:sz="0" w:space="0" w:color="auto"/>
        <w:bottom w:val="none" w:sz="0" w:space="0" w:color="auto"/>
        <w:right w:val="none" w:sz="0" w:space="0" w:color="auto"/>
      </w:divBdr>
    </w:div>
    <w:div w:id="1103189372">
      <w:bodyDiv w:val="1"/>
      <w:marLeft w:val="0"/>
      <w:marRight w:val="0"/>
      <w:marTop w:val="0"/>
      <w:marBottom w:val="0"/>
      <w:divBdr>
        <w:top w:val="none" w:sz="0" w:space="0" w:color="auto"/>
        <w:left w:val="none" w:sz="0" w:space="0" w:color="auto"/>
        <w:bottom w:val="none" w:sz="0" w:space="0" w:color="auto"/>
        <w:right w:val="none" w:sz="0" w:space="0" w:color="auto"/>
      </w:divBdr>
    </w:div>
    <w:div w:id="1108891255">
      <w:bodyDiv w:val="1"/>
      <w:marLeft w:val="0"/>
      <w:marRight w:val="0"/>
      <w:marTop w:val="0"/>
      <w:marBottom w:val="0"/>
      <w:divBdr>
        <w:top w:val="none" w:sz="0" w:space="0" w:color="auto"/>
        <w:left w:val="none" w:sz="0" w:space="0" w:color="auto"/>
        <w:bottom w:val="none" w:sz="0" w:space="0" w:color="auto"/>
        <w:right w:val="none" w:sz="0" w:space="0" w:color="auto"/>
      </w:divBdr>
    </w:div>
    <w:div w:id="1108935686">
      <w:bodyDiv w:val="1"/>
      <w:marLeft w:val="0"/>
      <w:marRight w:val="0"/>
      <w:marTop w:val="0"/>
      <w:marBottom w:val="0"/>
      <w:divBdr>
        <w:top w:val="none" w:sz="0" w:space="0" w:color="auto"/>
        <w:left w:val="none" w:sz="0" w:space="0" w:color="auto"/>
        <w:bottom w:val="none" w:sz="0" w:space="0" w:color="auto"/>
        <w:right w:val="none" w:sz="0" w:space="0" w:color="auto"/>
      </w:divBdr>
      <w:divsChild>
        <w:div w:id="35086121">
          <w:marLeft w:val="0"/>
          <w:marRight w:val="0"/>
          <w:marTop w:val="0"/>
          <w:marBottom w:val="0"/>
          <w:divBdr>
            <w:top w:val="none" w:sz="0" w:space="0" w:color="auto"/>
            <w:left w:val="none" w:sz="0" w:space="0" w:color="auto"/>
            <w:bottom w:val="none" w:sz="0" w:space="0" w:color="auto"/>
            <w:right w:val="none" w:sz="0" w:space="0" w:color="auto"/>
          </w:divBdr>
          <w:divsChild>
            <w:div w:id="1028144813">
              <w:marLeft w:val="0"/>
              <w:marRight w:val="0"/>
              <w:marTop w:val="0"/>
              <w:marBottom w:val="0"/>
              <w:divBdr>
                <w:top w:val="none" w:sz="0" w:space="0" w:color="auto"/>
                <w:left w:val="none" w:sz="0" w:space="0" w:color="auto"/>
                <w:bottom w:val="none" w:sz="0" w:space="0" w:color="auto"/>
                <w:right w:val="none" w:sz="0" w:space="0" w:color="auto"/>
              </w:divBdr>
              <w:divsChild>
                <w:div w:id="1310212406">
                  <w:marLeft w:val="0"/>
                  <w:marRight w:val="0"/>
                  <w:marTop w:val="0"/>
                  <w:marBottom w:val="0"/>
                  <w:divBdr>
                    <w:top w:val="none" w:sz="0" w:space="0" w:color="auto"/>
                    <w:left w:val="none" w:sz="0" w:space="0" w:color="auto"/>
                    <w:bottom w:val="none" w:sz="0" w:space="0" w:color="auto"/>
                    <w:right w:val="none" w:sz="0" w:space="0" w:color="auto"/>
                  </w:divBdr>
                  <w:divsChild>
                    <w:div w:id="18257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280677">
      <w:bodyDiv w:val="1"/>
      <w:marLeft w:val="0"/>
      <w:marRight w:val="0"/>
      <w:marTop w:val="0"/>
      <w:marBottom w:val="0"/>
      <w:divBdr>
        <w:top w:val="none" w:sz="0" w:space="0" w:color="auto"/>
        <w:left w:val="none" w:sz="0" w:space="0" w:color="auto"/>
        <w:bottom w:val="none" w:sz="0" w:space="0" w:color="auto"/>
        <w:right w:val="none" w:sz="0" w:space="0" w:color="auto"/>
      </w:divBdr>
    </w:div>
    <w:div w:id="1109550167">
      <w:bodyDiv w:val="1"/>
      <w:marLeft w:val="0"/>
      <w:marRight w:val="0"/>
      <w:marTop w:val="0"/>
      <w:marBottom w:val="0"/>
      <w:divBdr>
        <w:top w:val="none" w:sz="0" w:space="0" w:color="auto"/>
        <w:left w:val="none" w:sz="0" w:space="0" w:color="auto"/>
        <w:bottom w:val="none" w:sz="0" w:space="0" w:color="auto"/>
        <w:right w:val="none" w:sz="0" w:space="0" w:color="auto"/>
      </w:divBdr>
    </w:div>
    <w:div w:id="1110395703">
      <w:bodyDiv w:val="1"/>
      <w:marLeft w:val="0"/>
      <w:marRight w:val="0"/>
      <w:marTop w:val="0"/>
      <w:marBottom w:val="0"/>
      <w:divBdr>
        <w:top w:val="none" w:sz="0" w:space="0" w:color="auto"/>
        <w:left w:val="none" w:sz="0" w:space="0" w:color="auto"/>
        <w:bottom w:val="none" w:sz="0" w:space="0" w:color="auto"/>
        <w:right w:val="none" w:sz="0" w:space="0" w:color="auto"/>
      </w:divBdr>
    </w:div>
    <w:div w:id="1110734232">
      <w:bodyDiv w:val="1"/>
      <w:marLeft w:val="0"/>
      <w:marRight w:val="0"/>
      <w:marTop w:val="0"/>
      <w:marBottom w:val="0"/>
      <w:divBdr>
        <w:top w:val="none" w:sz="0" w:space="0" w:color="auto"/>
        <w:left w:val="none" w:sz="0" w:space="0" w:color="auto"/>
        <w:bottom w:val="none" w:sz="0" w:space="0" w:color="auto"/>
        <w:right w:val="none" w:sz="0" w:space="0" w:color="auto"/>
      </w:divBdr>
    </w:div>
    <w:div w:id="1110902939">
      <w:bodyDiv w:val="1"/>
      <w:marLeft w:val="0"/>
      <w:marRight w:val="0"/>
      <w:marTop w:val="0"/>
      <w:marBottom w:val="0"/>
      <w:divBdr>
        <w:top w:val="none" w:sz="0" w:space="0" w:color="auto"/>
        <w:left w:val="none" w:sz="0" w:space="0" w:color="auto"/>
        <w:bottom w:val="none" w:sz="0" w:space="0" w:color="auto"/>
        <w:right w:val="none" w:sz="0" w:space="0" w:color="auto"/>
      </w:divBdr>
    </w:div>
    <w:div w:id="1111166188">
      <w:bodyDiv w:val="1"/>
      <w:marLeft w:val="0"/>
      <w:marRight w:val="0"/>
      <w:marTop w:val="0"/>
      <w:marBottom w:val="0"/>
      <w:divBdr>
        <w:top w:val="none" w:sz="0" w:space="0" w:color="auto"/>
        <w:left w:val="none" w:sz="0" w:space="0" w:color="auto"/>
        <w:bottom w:val="none" w:sz="0" w:space="0" w:color="auto"/>
        <w:right w:val="none" w:sz="0" w:space="0" w:color="auto"/>
      </w:divBdr>
    </w:div>
    <w:div w:id="1111362889">
      <w:bodyDiv w:val="1"/>
      <w:marLeft w:val="0"/>
      <w:marRight w:val="0"/>
      <w:marTop w:val="0"/>
      <w:marBottom w:val="0"/>
      <w:divBdr>
        <w:top w:val="none" w:sz="0" w:space="0" w:color="auto"/>
        <w:left w:val="none" w:sz="0" w:space="0" w:color="auto"/>
        <w:bottom w:val="none" w:sz="0" w:space="0" w:color="auto"/>
        <w:right w:val="none" w:sz="0" w:space="0" w:color="auto"/>
      </w:divBdr>
    </w:div>
    <w:div w:id="1111827346">
      <w:bodyDiv w:val="1"/>
      <w:marLeft w:val="0"/>
      <w:marRight w:val="0"/>
      <w:marTop w:val="0"/>
      <w:marBottom w:val="0"/>
      <w:divBdr>
        <w:top w:val="none" w:sz="0" w:space="0" w:color="auto"/>
        <w:left w:val="none" w:sz="0" w:space="0" w:color="auto"/>
        <w:bottom w:val="none" w:sz="0" w:space="0" w:color="auto"/>
        <w:right w:val="none" w:sz="0" w:space="0" w:color="auto"/>
      </w:divBdr>
    </w:div>
    <w:div w:id="1114135523">
      <w:bodyDiv w:val="1"/>
      <w:marLeft w:val="0"/>
      <w:marRight w:val="0"/>
      <w:marTop w:val="0"/>
      <w:marBottom w:val="0"/>
      <w:divBdr>
        <w:top w:val="none" w:sz="0" w:space="0" w:color="auto"/>
        <w:left w:val="none" w:sz="0" w:space="0" w:color="auto"/>
        <w:bottom w:val="none" w:sz="0" w:space="0" w:color="auto"/>
        <w:right w:val="none" w:sz="0" w:space="0" w:color="auto"/>
      </w:divBdr>
    </w:div>
    <w:div w:id="1114177635">
      <w:bodyDiv w:val="1"/>
      <w:marLeft w:val="0"/>
      <w:marRight w:val="0"/>
      <w:marTop w:val="0"/>
      <w:marBottom w:val="0"/>
      <w:divBdr>
        <w:top w:val="none" w:sz="0" w:space="0" w:color="auto"/>
        <w:left w:val="none" w:sz="0" w:space="0" w:color="auto"/>
        <w:bottom w:val="none" w:sz="0" w:space="0" w:color="auto"/>
        <w:right w:val="none" w:sz="0" w:space="0" w:color="auto"/>
      </w:divBdr>
    </w:div>
    <w:div w:id="1117796959">
      <w:bodyDiv w:val="1"/>
      <w:marLeft w:val="0"/>
      <w:marRight w:val="0"/>
      <w:marTop w:val="0"/>
      <w:marBottom w:val="0"/>
      <w:divBdr>
        <w:top w:val="none" w:sz="0" w:space="0" w:color="auto"/>
        <w:left w:val="none" w:sz="0" w:space="0" w:color="auto"/>
        <w:bottom w:val="none" w:sz="0" w:space="0" w:color="auto"/>
        <w:right w:val="none" w:sz="0" w:space="0" w:color="auto"/>
      </w:divBdr>
    </w:div>
    <w:div w:id="1117989295">
      <w:bodyDiv w:val="1"/>
      <w:marLeft w:val="0"/>
      <w:marRight w:val="0"/>
      <w:marTop w:val="0"/>
      <w:marBottom w:val="0"/>
      <w:divBdr>
        <w:top w:val="none" w:sz="0" w:space="0" w:color="auto"/>
        <w:left w:val="none" w:sz="0" w:space="0" w:color="auto"/>
        <w:bottom w:val="none" w:sz="0" w:space="0" w:color="auto"/>
        <w:right w:val="none" w:sz="0" w:space="0" w:color="auto"/>
      </w:divBdr>
    </w:div>
    <w:div w:id="1118910015">
      <w:bodyDiv w:val="1"/>
      <w:marLeft w:val="0"/>
      <w:marRight w:val="0"/>
      <w:marTop w:val="0"/>
      <w:marBottom w:val="0"/>
      <w:divBdr>
        <w:top w:val="none" w:sz="0" w:space="0" w:color="auto"/>
        <w:left w:val="none" w:sz="0" w:space="0" w:color="auto"/>
        <w:bottom w:val="none" w:sz="0" w:space="0" w:color="auto"/>
        <w:right w:val="none" w:sz="0" w:space="0" w:color="auto"/>
      </w:divBdr>
    </w:div>
    <w:div w:id="1123695385">
      <w:bodyDiv w:val="1"/>
      <w:marLeft w:val="0"/>
      <w:marRight w:val="0"/>
      <w:marTop w:val="0"/>
      <w:marBottom w:val="0"/>
      <w:divBdr>
        <w:top w:val="none" w:sz="0" w:space="0" w:color="auto"/>
        <w:left w:val="none" w:sz="0" w:space="0" w:color="auto"/>
        <w:bottom w:val="none" w:sz="0" w:space="0" w:color="auto"/>
        <w:right w:val="none" w:sz="0" w:space="0" w:color="auto"/>
      </w:divBdr>
    </w:div>
    <w:div w:id="1123697932">
      <w:bodyDiv w:val="1"/>
      <w:marLeft w:val="0"/>
      <w:marRight w:val="0"/>
      <w:marTop w:val="0"/>
      <w:marBottom w:val="0"/>
      <w:divBdr>
        <w:top w:val="none" w:sz="0" w:space="0" w:color="auto"/>
        <w:left w:val="none" w:sz="0" w:space="0" w:color="auto"/>
        <w:bottom w:val="none" w:sz="0" w:space="0" w:color="auto"/>
        <w:right w:val="none" w:sz="0" w:space="0" w:color="auto"/>
      </w:divBdr>
    </w:div>
    <w:div w:id="1124036770">
      <w:bodyDiv w:val="1"/>
      <w:marLeft w:val="0"/>
      <w:marRight w:val="0"/>
      <w:marTop w:val="0"/>
      <w:marBottom w:val="0"/>
      <w:divBdr>
        <w:top w:val="none" w:sz="0" w:space="0" w:color="auto"/>
        <w:left w:val="none" w:sz="0" w:space="0" w:color="auto"/>
        <w:bottom w:val="none" w:sz="0" w:space="0" w:color="auto"/>
        <w:right w:val="none" w:sz="0" w:space="0" w:color="auto"/>
      </w:divBdr>
    </w:div>
    <w:div w:id="1124083194">
      <w:bodyDiv w:val="1"/>
      <w:marLeft w:val="0"/>
      <w:marRight w:val="0"/>
      <w:marTop w:val="0"/>
      <w:marBottom w:val="0"/>
      <w:divBdr>
        <w:top w:val="none" w:sz="0" w:space="0" w:color="auto"/>
        <w:left w:val="none" w:sz="0" w:space="0" w:color="auto"/>
        <w:bottom w:val="none" w:sz="0" w:space="0" w:color="auto"/>
        <w:right w:val="none" w:sz="0" w:space="0" w:color="auto"/>
      </w:divBdr>
    </w:div>
    <w:div w:id="1124352604">
      <w:bodyDiv w:val="1"/>
      <w:marLeft w:val="0"/>
      <w:marRight w:val="0"/>
      <w:marTop w:val="0"/>
      <w:marBottom w:val="0"/>
      <w:divBdr>
        <w:top w:val="none" w:sz="0" w:space="0" w:color="auto"/>
        <w:left w:val="none" w:sz="0" w:space="0" w:color="auto"/>
        <w:bottom w:val="none" w:sz="0" w:space="0" w:color="auto"/>
        <w:right w:val="none" w:sz="0" w:space="0" w:color="auto"/>
      </w:divBdr>
    </w:div>
    <w:div w:id="1127042574">
      <w:bodyDiv w:val="1"/>
      <w:marLeft w:val="0"/>
      <w:marRight w:val="0"/>
      <w:marTop w:val="0"/>
      <w:marBottom w:val="0"/>
      <w:divBdr>
        <w:top w:val="none" w:sz="0" w:space="0" w:color="auto"/>
        <w:left w:val="none" w:sz="0" w:space="0" w:color="auto"/>
        <w:bottom w:val="none" w:sz="0" w:space="0" w:color="auto"/>
        <w:right w:val="none" w:sz="0" w:space="0" w:color="auto"/>
      </w:divBdr>
    </w:div>
    <w:div w:id="1127892305">
      <w:bodyDiv w:val="1"/>
      <w:marLeft w:val="0"/>
      <w:marRight w:val="0"/>
      <w:marTop w:val="0"/>
      <w:marBottom w:val="0"/>
      <w:divBdr>
        <w:top w:val="none" w:sz="0" w:space="0" w:color="auto"/>
        <w:left w:val="none" w:sz="0" w:space="0" w:color="auto"/>
        <w:bottom w:val="none" w:sz="0" w:space="0" w:color="auto"/>
        <w:right w:val="none" w:sz="0" w:space="0" w:color="auto"/>
      </w:divBdr>
    </w:div>
    <w:div w:id="1128234094">
      <w:bodyDiv w:val="1"/>
      <w:marLeft w:val="0"/>
      <w:marRight w:val="0"/>
      <w:marTop w:val="0"/>
      <w:marBottom w:val="0"/>
      <w:divBdr>
        <w:top w:val="none" w:sz="0" w:space="0" w:color="auto"/>
        <w:left w:val="none" w:sz="0" w:space="0" w:color="auto"/>
        <w:bottom w:val="none" w:sz="0" w:space="0" w:color="auto"/>
        <w:right w:val="none" w:sz="0" w:space="0" w:color="auto"/>
      </w:divBdr>
    </w:div>
    <w:div w:id="1130172960">
      <w:bodyDiv w:val="1"/>
      <w:marLeft w:val="0"/>
      <w:marRight w:val="0"/>
      <w:marTop w:val="0"/>
      <w:marBottom w:val="0"/>
      <w:divBdr>
        <w:top w:val="none" w:sz="0" w:space="0" w:color="auto"/>
        <w:left w:val="none" w:sz="0" w:space="0" w:color="auto"/>
        <w:bottom w:val="none" w:sz="0" w:space="0" w:color="auto"/>
        <w:right w:val="none" w:sz="0" w:space="0" w:color="auto"/>
      </w:divBdr>
    </w:div>
    <w:div w:id="1131166153">
      <w:bodyDiv w:val="1"/>
      <w:marLeft w:val="0"/>
      <w:marRight w:val="0"/>
      <w:marTop w:val="0"/>
      <w:marBottom w:val="0"/>
      <w:divBdr>
        <w:top w:val="none" w:sz="0" w:space="0" w:color="auto"/>
        <w:left w:val="none" w:sz="0" w:space="0" w:color="auto"/>
        <w:bottom w:val="none" w:sz="0" w:space="0" w:color="auto"/>
        <w:right w:val="none" w:sz="0" w:space="0" w:color="auto"/>
      </w:divBdr>
    </w:div>
    <w:div w:id="1133133160">
      <w:bodyDiv w:val="1"/>
      <w:marLeft w:val="0"/>
      <w:marRight w:val="0"/>
      <w:marTop w:val="0"/>
      <w:marBottom w:val="0"/>
      <w:divBdr>
        <w:top w:val="none" w:sz="0" w:space="0" w:color="auto"/>
        <w:left w:val="none" w:sz="0" w:space="0" w:color="auto"/>
        <w:bottom w:val="none" w:sz="0" w:space="0" w:color="auto"/>
        <w:right w:val="none" w:sz="0" w:space="0" w:color="auto"/>
      </w:divBdr>
    </w:div>
    <w:div w:id="1133792936">
      <w:bodyDiv w:val="1"/>
      <w:marLeft w:val="0"/>
      <w:marRight w:val="0"/>
      <w:marTop w:val="0"/>
      <w:marBottom w:val="0"/>
      <w:divBdr>
        <w:top w:val="none" w:sz="0" w:space="0" w:color="auto"/>
        <w:left w:val="none" w:sz="0" w:space="0" w:color="auto"/>
        <w:bottom w:val="none" w:sz="0" w:space="0" w:color="auto"/>
        <w:right w:val="none" w:sz="0" w:space="0" w:color="auto"/>
      </w:divBdr>
    </w:div>
    <w:div w:id="1137458386">
      <w:bodyDiv w:val="1"/>
      <w:marLeft w:val="0"/>
      <w:marRight w:val="0"/>
      <w:marTop w:val="0"/>
      <w:marBottom w:val="0"/>
      <w:divBdr>
        <w:top w:val="none" w:sz="0" w:space="0" w:color="auto"/>
        <w:left w:val="none" w:sz="0" w:space="0" w:color="auto"/>
        <w:bottom w:val="none" w:sz="0" w:space="0" w:color="auto"/>
        <w:right w:val="none" w:sz="0" w:space="0" w:color="auto"/>
      </w:divBdr>
    </w:div>
    <w:div w:id="1137842897">
      <w:bodyDiv w:val="1"/>
      <w:marLeft w:val="0"/>
      <w:marRight w:val="0"/>
      <w:marTop w:val="0"/>
      <w:marBottom w:val="0"/>
      <w:divBdr>
        <w:top w:val="none" w:sz="0" w:space="0" w:color="auto"/>
        <w:left w:val="none" w:sz="0" w:space="0" w:color="auto"/>
        <w:bottom w:val="none" w:sz="0" w:space="0" w:color="auto"/>
        <w:right w:val="none" w:sz="0" w:space="0" w:color="auto"/>
      </w:divBdr>
    </w:div>
    <w:div w:id="1138257481">
      <w:bodyDiv w:val="1"/>
      <w:marLeft w:val="0"/>
      <w:marRight w:val="0"/>
      <w:marTop w:val="0"/>
      <w:marBottom w:val="0"/>
      <w:divBdr>
        <w:top w:val="none" w:sz="0" w:space="0" w:color="auto"/>
        <w:left w:val="none" w:sz="0" w:space="0" w:color="auto"/>
        <w:bottom w:val="none" w:sz="0" w:space="0" w:color="auto"/>
        <w:right w:val="none" w:sz="0" w:space="0" w:color="auto"/>
      </w:divBdr>
    </w:div>
    <w:div w:id="1138454814">
      <w:bodyDiv w:val="1"/>
      <w:marLeft w:val="0"/>
      <w:marRight w:val="0"/>
      <w:marTop w:val="0"/>
      <w:marBottom w:val="0"/>
      <w:divBdr>
        <w:top w:val="none" w:sz="0" w:space="0" w:color="auto"/>
        <w:left w:val="none" w:sz="0" w:space="0" w:color="auto"/>
        <w:bottom w:val="none" w:sz="0" w:space="0" w:color="auto"/>
        <w:right w:val="none" w:sz="0" w:space="0" w:color="auto"/>
      </w:divBdr>
    </w:div>
    <w:div w:id="1138719689">
      <w:bodyDiv w:val="1"/>
      <w:marLeft w:val="0"/>
      <w:marRight w:val="0"/>
      <w:marTop w:val="0"/>
      <w:marBottom w:val="0"/>
      <w:divBdr>
        <w:top w:val="none" w:sz="0" w:space="0" w:color="auto"/>
        <w:left w:val="none" w:sz="0" w:space="0" w:color="auto"/>
        <w:bottom w:val="none" w:sz="0" w:space="0" w:color="auto"/>
        <w:right w:val="none" w:sz="0" w:space="0" w:color="auto"/>
      </w:divBdr>
    </w:div>
    <w:div w:id="1138959424">
      <w:bodyDiv w:val="1"/>
      <w:marLeft w:val="0"/>
      <w:marRight w:val="0"/>
      <w:marTop w:val="0"/>
      <w:marBottom w:val="0"/>
      <w:divBdr>
        <w:top w:val="none" w:sz="0" w:space="0" w:color="auto"/>
        <w:left w:val="none" w:sz="0" w:space="0" w:color="auto"/>
        <w:bottom w:val="none" w:sz="0" w:space="0" w:color="auto"/>
        <w:right w:val="none" w:sz="0" w:space="0" w:color="auto"/>
      </w:divBdr>
    </w:div>
    <w:div w:id="1139107279">
      <w:bodyDiv w:val="1"/>
      <w:marLeft w:val="0"/>
      <w:marRight w:val="0"/>
      <w:marTop w:val="0"/>
      <w:marBottom w:val="0"/>
      <w:divBdr>
        <w:top w:val="none" w:sz="0" w:space="0" w:color="auto"/>
        <w:left w:val="none" w:sz="0" w:space="0" w:color="auto"/>
        <w:bottom w:val="none" w:sz="0" w:space="0" w:color="auto"/>
        <w:right w:val="none" w:sz="0" w:space="0" w:color="auto"/>
      </w:divBdr>
    </w:div>
    <w:div w:id="1139414996">
      <w:bodyDiv w:val="1"/>
      <w:marLeft w:val="0"/>
      <w:marRight w:val="0"/>
      <w:marTop w:val="0"/>
      <w:marBottom w:val="0"/>
      <w:divBdr>
        <w:top w:val="none" w:sz="0" w:space="0" w:color="auto"/>
        <w:left w:val="none" w:sz="0" w:space="0" w:color="auto"/>
        <w:bottom w:val="none" w:sz="0" w:space="0" w:color="auto"/>
        <w:right w:val="none" w:sz="0" w:space="0" w:color="auto"/>
      </w:divBdr>
    </w:div>
    <w:div w:id="1139806889">
      <w:bodyDiv w:val="1"/>
      <w:marLeft w:val="0"/>
      <w:marRight w:val="0"/>
      <w:marTop w:val="0"/>
      <w:marBottom w:val="0"/>
      <w:divBdr>
        <w:top w:val="none" w:sz="0" w:space="0" w:color="auto"/>
        <w:left w:val="none" w:sz="0" w:space="0" w:color="auto"/>
        <w:bottom w:val="none" w:sz="0" w:space="0" w:color="auto"/>
        <w:right w:val="none" w:sz="0" w:space="0" w:color="auto"/>
      </w:divBdr>
    </w:div>
    <w:div w:id="1139954773">
      <w:bodyDiv w:val="1"/>
      <w:marLeft w:val="0"/>
      <w:marRight w:val="0"/>
      <w:marTop w:val="0"/>
      <w:marBottom w:val="0"/>
      <w:divBdr>
        <w:top w:val="none" w:sz="0" w:space="0" w:color="auto"/>
        <w:left w:val="none" w:sz="0" w:space="0" w:color="auto"/>
        <w:bottom w:val="none" w:sz="0" w:space="0" w:color="auto"/>
        <w:right w:val="none" w:sz="0" w:space="0" w:color="auto"/>
      </w:divBdr>
    </w:div>
    <w:div w:id="1140154889">
      <w:bodyDiv w:val="1"/>
      <w:marLeft w:val="0"/>
      <w:marRight w:val="0"/>
      <w:marTop w:val="0"/>
      <w:marBottom w:val="0"/>
      <w:divBdr>
        <w:top w:val="none" w:sz="0" w:space="0" w:color="auto"/>
        <w:left w:val="none" w:sz="0" w:space="0" w:color="auto"/>
        <w:bottom w:val="none" w:sz="0" w:space="0" w:color="auto"/>
        <w:right w:val="none" w:sz="0" w:space="0" w:color="auto"/>
      </w:divBdr>
    </w:div>
    <w:div w:id="1140540285">
      <w:bodyDiv w:val="1"/>
      <w:marLeft w:val="0"/>
      <w:marRight w:val="0"/>
      <w:marTop w:val="0"/>
      <w:marBottom w:val="0"/>
      <w:divBdr>
        <w:top w:val="none" w:sz="0" w:space="0" w:color="auto"/>
        <w:left w:val="none" w:sz="0" w:space="0" w:color="auto"/>
        <w:bottom w:val="none" w:sz="0" w:space="0" w:color="auto"/>
        <w:right w:val="none" w:sz="0" w:space="0" w:color="auto"/>
      </w:divBdr>
    </w:div>
    <w:div w:id="1142162991">
      <w:bodyDiv w:val="1"/>
      <w:marLeft w:val="0"/>
      <w:marRight w:val="0"/>
      <w:marTop w:val="0"/>
      <w:marBottom w:val="0"/>
      <w:divBdr>
        <w:top w:val="none" w:sz="0" w:space="0" w:color="auto"/>
        <w:left w:val="none" w:sz="0" w:space="0" w:color="auto"/>
        <w:bottom w:val="none" w:sz="0" w:space="0" w:color="auto"/>
        <w:right w:val="none" w:sz="0" w:space="0" w:color="auto"/>
      </w:divBdr>
    </w:div>
    <w:div w:id="1142767352">
      <w:bodyDiv w:val="1"/>
      <w:marLeft w:val="0"/>
      <w:marRight w:val="0"/>
      <w:marTop w:val="0"/>
      <w:marBottom w:val="0"/>
      <w:divBdr>
        <w:top w:val="none" w:sz="0" w:space="0" w:color="auto"/>
        <w:left w:val="none" w:sz="0" w:space="0" w:color="auto"/>
        <w:bottom w:val="none" w:sz="0" w:space="0" w:color="auto"/>
        <w:right w:val="none" w:sz="0" w:space="0" w:color="auto"/>
      </w:divBdr>
    </w:div>
    <w:div w:id="1145123410">
      <w:bodyDiv w:val="1"/>
      <w:marLeft w:val="0"/>
      <w:marRight w:val="0"/>
      <w:marTop w:val="0"/>
      <w:marBottom w:val="0"/>
      <w:divBdr>
        <w:top w:val="none" w:sz="0" w:space="0" w:color="auto"/>
        <w:left w:val="none" w:sz="0" w:space="0" w:color="auto"/>
        <w:bottom w:val="none" w:sz="0" w:space="0" w:color="auto"/>
        <w:right w:val="none" w:sz="0" w:space="0" w:color="auto"/>
      </w:divBdr>
    </w:div>
    <w:div w:id="1145708055">
      <w:bodyDiv w:val="1"/>
      <w:marLeft w:val="0"/>
      <w:marRight w:val="0"/>
      <w:marTop w:val="0"/>
      <w:marBottom w:val="0"/>
      <w:divBdr>
        <w:top w:val="none" w:sz="0" w:space="0" w:color="auto"/>
        <w:left w:val="none" w:sz="0" w:space="0" w:color="auto"/>
        <w:bottom w:val="none" w:sz="0" w:space="0" w:color="auto"/>
        <w:right w:val="none" w:sz="0" w:space="0" w:color="auto"/>
      </w:divBdr>
    </w:div>
    <w:div w:id="1147555395">
      <w:bodyDiv w:val="1"/>
      <w:marLeft w:val="0"/>
      <w:marRight w:val="0"/>
      <w:marTop w:val="0"/>
      <w:marBottom w:val="0"/>
      <w:divBdr>
        <w:top w:val="none" w:sz="0" w:space="0" w:color="auto"/>
        <w:left w:val="none" w:sz="0" w:space="0" w:color="auto"/>
        <w:bottom w:val="none" w:sz="0" w:space="0" w:color="auto"/>
        <w:right w:val="none" w:sz="0" w:space="0" w:color="auto"/>
      </w:divBdr>
    </w:div>
    <w:div w:id="1151210697">
      <w:bodyDiv w:val="1"/>
      <w:marLeft w:val="0"/>
      <w:marRight w:val="0"/>
      <w:marTop w:val="0"/>
      <w:marBottom w:val="0"/>
      <w:divBdr>
        <w:top w:val="none" w:sz="0" w:space="0" w:color="auto"/>
        <w:left w:val="none" w:sz="0" w:space="0" w:color="auto"/>
        <w:bottom w:val="none" w:sz="0" w:space="0" w:color="auto"/>
        <w:right w:val="none" w:sz="0" w:space="0" w:color="auto"/>
      </w:divBdr>
    </w:div>
    <w:div w:id="1152404168">
      <w:bodyDiv w:val="1"/>
      <w:marLeft w:val="0"/>
      <w:marRight w:val="0"/>
      <w:marTop w:val="0"/>
      <w:marBottom w:val="0"/>
      <w:divBdr>
        <w:top w:val="none" w:sz="0" w:space="0" w:color="auto"/>
        <w:left w:val="none" w:sz="0" w:space="0" w:color="auto"/>
        <w:bottom w:val="none" w:sz="0" w:space="0" w:color="auto"/>
        <w:right w:val="none" w:sz="0" w:space="0" w:color="auto"/>
      </w:divBdr>
    </w:div>
    <w:div w:id="1153444892">
      <w:bodyDiv w:val="1"/>
      <w:marLeft w:val="0"/>
      <w:marRight w:val="0"/>
      <w:marTop w:val="0"/>
      <w:marBottom w:val="0"/>
      <w:divBdr>
        <w:top w:val="none" w:sz="0" w:space="0" w:color="auto"/>
        <w:left w:val="none" w:sz="0" w:space="0" w:color="auto"/>
        <w:bottom w:val="none" w:sz="0" w:space="0" w:color="auto"/>
        <w:right w:val="none" w:sz="0" w:space="0" w:color="auto"/>
      </w:divBdr>
    </w:div>
    <w:div w:id="1155337555">
      <w:bodyDiv w:val="1"/>
      <w:marLeft w:val="0"/>
      <w:marRight w:val="0"/>
      <w:marTop w:val="0"/>
      <w:marBottom w:val="0"/>
      <w:divBdr>
        <w:top w:val="none" w:sz="0" w:space="0" w:color="auto"/>
        <w:left w:val="none" w:sz="0" w:space="0" w:color="auto"/>
        <w:bottom w:val="none" w:sz="0" w:space="0" w:color="auto"/>
        <w:right w:val="none" w:sz="0" w:space="0" w:color="auto"/>
      </w:divBdr>
    </w:div>
    <w:div w:id="1156994262">
      <w:bodyDiv w:val="1"/>
      <w:marLeft w:val="0"/>
      <w:marRight w:val="0"/>
      <w:marTop w:val="0"/>
      <w:marBottom w:val="0"/>
      <w:divBdr>
        <w:top w:val="none" w:sz="0" w:space="0" w:color="auto"/>
        <w:left w:val="none" w:sz="0" w:space="0" w:color="auto"/>
        <w:bottom w:val="none" w:sz="0" w:space="0" w:color="auto"/>
        <w:right w:val="none" w:sz="0" w:space="0" w:color="auto"/>
      </w:divBdr>
    </w:div>
    <w:div w:id="1157496963">
      <w:bodyDiv w:val="1"/>
      <w:marLeft w:val="0"/>
      <w:marRight w:val="0"/>
      <w:marTop w:val="0"/>
      <w:marBottom w:val="0"/>
      <w:divBdr>
        <w:top w:val="none" w:sz="0" w:space="0" w:color="auto"/>
        <w:left w:val="none" w:sz="0" w:space="0" w:color="auto"/>
        <w:bottom w:val="none" w:sz="0" w:space="0" w:color="auto"/>
        <w:right w:val="none" w:sz="0" w:space="0" w:color="auto"/>
      </w:divBdr>
    </w:div>
    <w:div w:id="1158502627">
      <w:bodyDiv w:val="1"/>
      <w:marLeft w:val="0"/>
      <w:marRight w:val="0"/>
      <w:marTop w:val="0"/>
      <w:marBottom w:val="0"/>
      <w:divBdr>
        <w:top w:val="none" w:sz="0" w:space="0" w:color="auto"/>
        <w:left w:val="none" w:sz="0" w:space="0" w:color="auto"/>
        <w:bottom w:val="none" w:sz="0" w:space="0" w:color="auto"/>
        <w:right w:val="none" w:sz="0" w:space="0" w:color="auto"/>
      </w:divBdr>
    </w:div>
    <w:div w:id="1161194360">
      <w:bodyDiv w:val="1"/>
      <w:marLeft w:val="0"/>
      <w:marRight w:val="0"/>
      <w:marTop w:val="0"/>
      <w:marBottom w:val="0"/>
      <w:divBdr>
        <w:top w:val="none" w:sz="0" w:space="0" w:color="auto"/>
        <w:left w:val="none" w:sz="0" w:space="0" w:color="auto"/>
        <w:bottom w:val="none" w:sz="0" w:space="0" w:color="auto"/>
        <w:right w:val="none" w:sz="0" w:space="0" w:color="auto"/>
      </w:divBdr>
    </w:div>
    <w:div w:id="1163811580">
      <w:bodyDiv w:val="1"/>
      <w:marLeft w:val="0"/>
      <w:marRight w:val="0"/>
      <w:marTop w:val="0"/>
      <w:marBottom w:val="0"/>
      <w:divBdr>
        <w:top w:val="none" w:sz="0" w:space="0" w:color="auto"/>
        <w:left w:val="none" w:sz="0" w:space="0" w:color="auto"/>
        <w:bottom w:val="none" w:sz="0" w:space="0" w:color="auto"/>
        <w:right w:val="none" w:sz="0" w:space="0" w:color="auto"/>
      </w:divBdr>
    </w:div>
    <w:div w:id="1164316494">
      <w:bodyDiv w:val="1"/>
      <w:marLeft w:val="0"/>
      <w:marRight w:val="0"/>
      <w:marTop w:val="0"/>
      <w:marBottom w:val="0"/>
      <w:divBdr>
        <w:top w:val="none" w:sz="0" w:space="0" w:color="auto"/>
        <w:left w:val="none" w:sz="0" w:space="0" w:color="auto"/>
        <w:bottom w:val="none" w:sz="0" w:space="0" w:color="auto"/>
        <w:right w:val="none" w:sz="0" w:space="0" w:color="auto"/>
      </w:divBdr>
      <w:divsChild>
        <w:div w:id="1974166737">
          <w:marLeft w:val="0"/>
          <w:marRight w:val="0"/>
          <w:marTop w:val="0"/>
          <w:marBottom w:val="0"/>
          <w:divBdr>
            <w:top w:val="none" w:sz="0" w:space="0" w:color="auto"/>
            <w:left w:val="none" w:sz="0" w:space="0" w:color="auto"/>
            <w:bottom w:val="none" w:sz="0" w:space="0" w:color="auto"/>
            <w:right w:val="none" w:sz="0" w:space="0" w:color="auto"/>
          </w:divBdr>
          <w:divsChild>
            <w:div w:id="1277787468">
              <w:marLeft w:val="0"/>
              <w:marRight w:val="0"/>
              <w:marTop w:val="0"/>
              <w:marBottom w:val="0"/>
              <w:divBdr>
                <w:top w:val="none" w:sz="0" w:space="0" w:color="auto"/>
                <w:left w:val="none" w:sz="0" w:space="0" w:color="auto"/>
                <w:bottom w:val="none" w:sz="0" w:space="0" w:color="auto"/>
                <w:right w:val="none" w:sz="0" w:space="0" w:color="auto"/>
              </w:divBdr>
              <w:divsChild>
                <w:div w:id="254943666">
                  <w:marLeft w:val="0"/>
                  <w:marRight w:val="0"/>
                  <w:marTop w:val="0"/>
                  <w:marBottom w:val="0"/>
                  <w:divBdr>
                    <w:top w:val="none" w:sz="0" w:space="0" w:color="auto"/>
                    <w:left w:val="none" w:sz="0" w:space="0" w:color="auto"/>
                    <w:bottom w:val="none" w:sz="0" w:space="0" w:color="auto"/>
                    <w:right w:val="none" w:sz="0" w:space="0" w:color="auto"/>
                  </w:divBdr>
                  <w:divsChild>
                    <w:div w:id="14548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626905">
      <w:bodyDiv w:val="1"/>
      <w:marLeft w:val="0"/>
      <w:marRight w:val="0"/>
      <w:marTop w:val="0"/>
      <w:marBottom w:val="0"/>
      <w:divBdr>
        <w:top w:val="none" w:sz="0" w:space="0" w:color="auto"/>
        <w:left w:val="none" w:sz="0" w:space="0" w:color="auto"/>
        <w:bottom w:val="none" w:sz="0" w:space="0" w:color="auto"/>
        <w:right w:val="none" w:sz="0" w:space="0" w:color="auto"/>
      </w:divBdr>
    </w:div>
    <w:div w:id="1167790067">
      <w:bodyDiv w:val="1"/>
      <w:marLeft w:val="0"/>
      <w:marRight w:val="0"/>
      <w:marTop w:val="0"/>
      <w:marBottom w:val="0"/>
      <w:divBdr>
        <w:top w:val="none" w:sz="0" w:space="0" w:color="auto"/>
        <w:left w:val="none" w:sz="0" w:space="0" w:color="auto"/>
        <w:bottom w:val="none" w:sz="0" w:space="0" w:color="auto"/>
        <w:right w:val="none" w:sz="0" w:space="0" w:color="auto"/>
      </w:divBdr>
    </w:div>
    <w:div w:id="1168978052">
      <w:bodyDiv w:val="1"/>
      <w:marLeft w:val="0"/>
      <w:marRight w:val="0"/>
      <w:marTop w:val="0"/>
      <w:marBottom w:val="0"/>
      <w:divBdr>
        <w:top w:val="none" w:sz="0" w:space="0" w:color="auto"/>
        <w:left w:val="none" w:sz="0" w:space="0" w:color="auto"/>
        <w:bottom w:val="none" w:sz="0" w:space="0" w:color="auto"/>
        <w:right w:val="none" w:sz="0" w:space="0" w:color="auto"/>
      </w:divBdr>
    </w:div>
    <w:div w:id="1169710117">
      <w:bodyDiv w:val="1"/>
      <w:marLeft w:val="0"/>
      <w:marRight w:val="0"/>
      <w:marTop w:val="0"/>
      <w:marBottom w:val="0"/>
      <w:divBdr>
        <w:top w:val="none" w:sz="0" w:space="0" w:color="auto"/>
        <w:left w:val="none" w:sz="0" w:space="0" w:color="auto"/>
        <w:bottom w:val="none" w:sz="0" w:space="0" w:color="auto"/>
        <w:right w:val="none" w:sz="0" w:space="0" w:color="auto"/>
      </w:divBdr>
    </w:div>
    <w:div w:id="1173764385">
      <w:bodyDiv w:val="1"/>
      <w:marLeft w:val="0"/>
      <w:marRight w:val="0"/>
      <w:marTop w:val="0"/>
      <w:marBottom w:val="0"/>
      <w:divBdr>
        <w:top w:val="none" w:sz="0" w:space="0" w:color="auto"/>
        <w:left w:val="none" w:sz="0" w:space="0" w:color="auto"/>
        <w:bottom w:val="none" w:sz="0" w:space="0" w:color="auto"/>
        <w:right w:val="none" w:sz="0" w:space="0" w:color="auto"/>
      </w:divBdr>
    </w:div>
    <w:div w:id="1177961247">
      <w:bodyDiv w:val="1"/>
      <w:marLeft w:val="0"/>
      <w:marRight w:val="0"/>
      <w:marTop w:val="0"/>
      <w:marBottom w:val="0"/>
      <w:divBdr>
        <w:top w:val="none" w:sz="0" w:space="0" w:color="auto"/>
        <w:left w:val="none" w:sz="0" w:space="0" w:color="auto"/>
        <w:bottom w:val="none" w:sz="0" w:space="0" w:color="auto"/>
        <w:right w:val="none" w:sz="0" w:space="0" w:color="auto"/>
      </w:divBdr>
    </w:div>
    <w:div w:id="1178545299">
      <w:bodyDiv w:val="1"/>
      <w:marLeft w:val="0"/>
      <w:marRight w:val="0"/>
      <w:marTop w:val="0"/>
      <w:marBottom w:val="0"/>
      <w:divBdr>
        <w:top w:val="none" w:sz="0" w:space="0" w:color="auto"/>
        <w:left w:val="none" w:sz="0" w:space="0" w:color="auto"/>
        <w:bottom w:val="none" w:sz="0" w:space="0" w:color="auto"/>
        <w:right w:val="none" w:sz="0" w:space="0" w:color="auto"/>
      </w:divBdr>
    </w:div>
    <w:div w:id="1179127157">
      <w:bodyDiv w:val="1"/>
      <w:marLeft w:val="0"/>
      <w:marRight w:val="0"/>
      <w:marTop w:val="0"/>
      <w:marBottom w:val="0"/>
      <w:divBdr>
        <w:top w:val="none" w:sz="0" w:space="0" w:color="auto"/>
        <w:left w:val="none" w:sz="0" w:space="0" w:color="auto"/>
        <w:bottom w:val="none" w:sz="0" w:space="0" w:color="auto"/>
        <w:right w:val="none" w:sz="0" w:space="0" w:color="auto"/>
      </w:divBdr>
    </w:div>
    <w:div w:id="1181433221">
      <w:bodyDiv w:val="1"/>
      <w:marLeft w:val="0"/>
      <w:marRight w:val="0"/>
      <w:marTop w:val="0"/>
      <w:marBottom w:val="0"/>
      <w:divBdr>
        <w:top w:val="none" w:sz="0" w:space="0" w:color="auto"/>
        <w:left w:val="none" w:sz="0" w:space="0" w:color="auto"/>
        <w:bottom w:val="none" w:sz="0" w:space="0" w:color="auto"/>
        <w:right w:val="none" w:sz="0" w:space="0" w:color="auto"/>
      </w:divBdr>
    </w:div>
    <w:div w:id="1184133617">
      <w:bodyDiv w:val="1"/>
      <w:marLeft w:val="0"/>
      <w:marRight w:val="0"/>
      <w:marTop w:val="0"/>
      <w:marBottom w:val="0"/>
      <w:divBdr>
        <w:top w:val="none" w:sz="0" w:space="0" w:color="auto"/>
        <w:left w:val="none" w:sz="0" w:space="0" w:color="auto"/>
        <w:bottom w:val="none" w:sz="0" w:space="0" w:color="auto"/>
        <w:right w:val="none" w:sz="0" w:space="0" w:color="auto"/>
      </w:divBdr>
    </w:div>
    <w:div w:id="1186476998">
      <w:bodyDiv w:val="1"/>
      <w:marLeft w:val="0"/>
      <w:marRight w:val="0"/>
      <w:marTop w:val="0"/>
      <w:marBottom w:val="0"/>
      <w:divBdr>
        <w:top w:val="none" w:sz="0" w:space="0" w:color="auto"/>
        <w:left w:val="none" w:sz="0" w:space="0" w:color="auto"/>
        <w:bottom w:val="none" w:sz="0" w:space="0" w:color="auto"/>
        <w:right w:val="none" w:sz="0" w:space="0" w:color="auto"/>
      </w:divBdr>
    </w:div>
    <w:div w:id="1186669882">
      <w:bodyDiv w:val="1"/>
      <w:marLeft w:val="0"/>
      <w:marRight w:val="0"/>
      <w:marTop w:val="0"/>
      <w:marBottom w:val="0"/>
      <w:divBdr>
        <w:top w:val="none" w:sz="0" w:space="0" w:color="auto"/>
        <w:left w:val="none" w:sz="0" w:space="0" w:color="auto"/>
        <w:bottom w:val="none" w:sz="0" w:space="0" w:color="auto"/>
        <w:right w:val="none" w:sz="0" w:space="0" w:color="auto"/>
      </w:divBdr>
    </w:div>
    <w:div w:id="1188060929">
      <w:bodyDiv w:val="1"/>
      <w:marLeft w:val="0"/>
      <w:marRight w:val="0"/>
      <w:marTop w:val="0"/>
      <w:marBottom w:val="0"/>
      <w:divBdr>
        <w:top w:val="none" w:sz="0" w:space="0" w:color="auto"/>
        <w:left w:val="none" w:sz="0" w:space="0" w:color="auto"/>
        <w:bottom w:val="none" w:sz="0" w:space="0" w:color="auto"/>
        <w:right w:val="none" w:sz="0" w:space="0" w:color="auto"/>
      </w:divBdr>
    </w:div>
    <w:div w:id="1195339854">
      <w:bodyDiv w:val="1"/>
      <w:marLeft w:val="0"/>
      <w:marRight w:val="0"/>
      <w:marTop w:val="0"/>
      <w:marBottom w:val="0"/>
      <w:divBdr>
        <w:top w:val="none" w:sz="0" w:space="0" w:color="auto"/>
        <w:left w:val="none" w:sz="0" w:space="0" w:color="auto"/>
        <w:bottom w:val="none" w:sz="0" w:space="0" w:color="auto"/>
        <w:right w:val="none" w:sz="0" w:space="0" w:color="auto"/>
      </w:divBdr>
    </w:div>
    <w:div w:id="1195464589">
      <w:bodyDiv w:val="1"/>
      <w:marLeft w:val="0"/>
      <w:marRight w:val="0"/>
      <w:marTop w:val="0"/>
      <w:marBottom w:val="0"/>
      <w:divBdr>
        <w:top w:val="none" w:sz="0" w:space="0" w:color="auto"/>
        <w:left w:val="none" w:sz="0" w:space="0" w:color="auto"/>
        <w:bottom w:val="none" w:sz="0" w:space="0" w:color="auto"/>
        <w:right w:val="none" w:sz="0" w:space="0" w:color="auto"/>
      </w:divBdr>
    </w:div>
    <w:div w:id="1195731111">
      <w:bodyDiv w:val="1"/>
      <w:marLeft w:val="0"/>
      <w:marRight w:val="0"/>
      <w:marTop w:val="0"/>
      <w:marBottom w:val="0"/>
      <w:divBdr>
        <w:top w:val="none" w:sz="0" w:space="0" w:color="auto"/>
        <w:left w:val="none" w:sz="0" w:space="0" w:color="auto"/>
        <w:bottom w:val="none" w:sz="0" w:space="0" w:color="auto"/>
        <w:right w:val="none" w:sz="0" w:space="0" w:color="auto"/>
      </w:divBdr>
    </w:div>
    <w:div w:id="1197767973">
      <w:bodyDiv w:val="1"/>
      <w:marLeft w:val="0"/>
      <w:marRight w:val="0"/>
      <w:marTop w:val="0"/>
      <w:marBottom w:val="0"/>
      <w:divBdr>
        <w:top w:val="none" w:sz="0" w:space="0" w:color="auto"/>
        <w:left w:val="none" w:sz="0" w:space="0" w:color="auto"/>
        <w:bottom w:val="none" w:sz="0" w:space="0" w:color="auto"/>
        <w:right w:val="none" w:sz="0" w:space="0" w:color="auto"/>
      </w:divBdr>
    </w:div>
    <w:div w:id="1197963910">
      <w:bodyDiv w:val="1"/>
      <w:marLeft w:val="0"/>
      <w:marRight w:val="0"/>
      <w:marTop w:val="0"/>
      <w:marBottom w:val="0"/>
      <w:divBdr>
        <w:top w:val="none" w:sz="0" w:space="0" w:color="auto"/>
        <w:left w:val="none" w:sz="0" w:space="0" w:color="auto"/>
        <w:bottom w:val="none" w:sz="0" w:space="0" w:color="auto"/>
        <w:right w:val="none" w:sz="0" w:space="0" w:color="auto"/>
      </w:divBdr>
    </w:div>
    <w:div w:id="1201433057">
      <w:bodyDiv w:val="1"/>
      <w:marLeft w:val="0"/>
      <w:marRight w:val="0"/>
      <w:marTop w:val="0"/>
      <w:marBottom w:val="0"/>
      <w:divBdr>
        <w:top w:val="none" w:sz="0" w:space="0" w:color="auto"/>
        <w:left w:val="none" w:sz="0" w:space="0" w:color="auto"/>
        <w:bottom w:val="none" w:sz="0" w:space="0" w:color="auto"/>
        <w:right w:val="none" w:sz="0" w:space="0" w:color="auto"/>
      </w:divBdr>
      <w:divsChild>
        <w:div w:id="1171986058">
          <w:marLeft w:val="0"/>
          <w:marRight w:val="0"/>
          <w:marTop w:val="0"/>
          <w:marBottom w:val="0"/>
          <w:divBdr>
            <w:top w:val="none" w:sz="0" w:space="0" w:color="auto"/>
            <w:left w:val="none" w:sz="0" w:space="0" w:color="auto"/>
            <w:bottom w:val="none" w:sz="0" w:space="0" w:color="auto"/>
            <w:right w:val="none" w:sz="0" w:space="0" w:color="auto"/>
          </w:divBdr>
          <w:divsChild>
            <w:div w:id="2112822970">
              <w:marLeft w:val="0"/>
              <w:marRight w:val="0"/>
              <w:marTop w:val="0"/>
              <w:marBottom w:val="0"/>
              <w:divBdr>
                <w:top w:val="none" w:sz="0" w:space="0" w:color="auto"/>
                <w:left w:val="none" w:sz="0" w:space="0" w:color="auto"/>
                <w:bottom w:val="none" w:sz="0" w:space="0" w:color="auto"/>
                <w:right w:val="none" w:sz="0" w:space="0" w:color="auto"/>
              </w:divBdr>
              <w:divsChild>
                <w:div w:id="914704319">
                  <w:marLeft w:val="0"/>
                  <w:marRight w:val="0"/>
                  <w:marTop w:val="0"/>
                  <w:marBottom w:val="0"/>
                  <w:divBdr>
                    <w:top w:val="none" w:sz="0" w:space="0" w:color="auto"/>
                    <w:left w:val="none" w:sz="0" w:space="0" w:color="auto"/>
                    <w:bottom w:val="none" w:sz="0" w:space="0" w:color="auto"/>
                    <w:right w:val="none" w:sz="0" w:space="0" w:color="auto"/>
                  </w:divBdr>
                  <w:divsChild>
                    <w:div w:id="107617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11712">
      <w:bodyDiv w:val="1"/>
      <w:marLeft w:val="0"/>
      <w:marRight w:val="0"/>
      <w:marTop w:val="0"/>
      <w:marBottom w:val="0"/>
      <w:divBdr>
        <w:top w:val="none" w:sz="0" w:space="0" w:color="auto"/>
        <w:left w:val="none" w:sz="0" w:space="0" w:color="auto"/>
        <w:bottom w:val="none" w:sz="0" w:space="0" w:color="auto"/>
        <w:right w:val="none" w:sz="0" w:space="0" w:color="auto"/>
      </w:divBdr>
    </w:div>
    <w:div w:id="1203707224">
      <w:bodyDiv w:val="1"/>
      <w:marLeft w:val="0"/>
      <w:marRight w:val="0"/>
      <w:marTop w:val="0"/>
      <w:marBottom w:val="0"/>
      <w:divBdr>
        <w:top w:val="none" w:sz="0" w:space="0" w:color="auto"/>
        <w:left w:val="none" w:sz="0" w:space="0" w:color="auto"/>
        <w:bottom w:val="none" w:sz="0" w:space="0" w:color="auto"/>
        <w:right w:val="none" w:sz="0" w:space="0" w:color="auto"/>
      </w:divBdr>
    </w:div>
    <w:div w:id="1204171689">
      <w:bodyDiv w:val="1"/>
      <w:marLeft w:val="0"/>
      <w:marRight w:val="0"/>
      <w:marTop w:val="0"/>
      <w:marBottom w:val="0"/>
      <w:divBdr>
        <w:top w:val="none" w:sz="0" w:space="0" w:color="auto"/>
        <w:left w:val="none" w:sz="0" w:space="0" w:color="auto"/>
        <w:bottom w:val="none" w:sz="0" w:space="0" w:color="auto"/>
        <w:right w:val="none" w:sz="0" w:space="0" w:color="auto"/>
      </w:divBdr>
    </w:div>
    <w:div w:id="1205142717">
      <w:bodyDiv w:val="1"/>
      <w:marLeft w:val="0"/>
      <w:marRight w:val="0"/>
      <w:marTop w:val="0"/>
      <w:marBottom w:val="0"/>
      <w:divBdr>
        <w:top w:val="none" w:sz="0" w:space="0" w:color="auto"/>
        <w:left w:val="none" w:sz="0" w:space="0" w:color="auto"/>
        <w:bottom w:val="none" w:sz="0" w:space="0" w:color="auto"/>
        <w:right w:val="none" w:sz="0" w:space="0" w:color="auto"/>
      </w:divBdr>
    </w:div>
    <w:div w:id="1205212690">
      <w:bodyDiv w:val="1"/>
      <w:marLeft w:val="0"/>
      <w:marRight w:val="0"/>
      <w:marTop w:val="0"/>
      <w:marBottom w:val="0"/>
      <w:divBdr>
        <w:top w:val="none" w:sz="0" w:space="0" w:color="auto"/>
        <w:left w:val="none" w:sz="0" w:space="0" w:color="auto"/>
        <w:bottom w:val="none" w:sz="0" w:space="0" w:color="auto"/>
        <w:right w:val="none" w:sz="0" w:space="0" w:color="auto"/>
      </w:divBdr>
    </w:div>
    <w:div w:id="1205680235">
      <w:bodyDiv w:val="1"/>
      <w:marLeft w:val="0"/>
      <w:marRight w:val="0"/>
      <w:marTop w:val="0"/>
      <w:marBottom w:val="0"/>
      <w:divBdr>
        <w:top w:val="none" w:sz="0" w:space="0" w:color="auto"/>
        <w:left w:val="none" w:sz="0" w:space="0" w:color="auto"/>
        <w:bottom w:val="none" w:sz="0" w:space="0" w:color="auto"/>
        <w:right w:val="none" w:sz="0" w:space="0" w:color="auto"/>
      </w:divBdr>
    </w:div>
    <w:div w:id="1205682067">
      <w:bodyDiv w:val="1"/>
      <w:marLeft w:val="0"/>
      <w:marRight w:val="0"/>
      <w:marTop w:val="0"/>
      <w:marBottom w:val="0"/>
      <w:divBdr>
        <w:top w:val="none" w:sz="0" w:space="0" w:color="auto"/>
        <w:left w:val="none" w:sz="0" w:space="0" w:color="auto"/>
        <w:bottom w:val="none" w:sz="0" w:space="0" w:color="auto"/>
        <w:right w:val="none" w:sz="0" w:space="0" w:color="auto"/>
      </w:divBdr>
    </w:div>
    <w:div w:id="1205944534">
      <w:bodyDiv w:val="1"/>
      <w:marLeft w:val="0"/>
      <w:marRight w:val="0"/>
      <w:marTop w:val="0"/>
      <w:marBottom w:val="0"/>
      <w:divBdr>
        <w:top w:val="none" w:sz="0" w:space="0" w:color="auto"/>
        <w:left w:val="none" w:sz="0" w:space="0" w:color="auto"/>
        <w:bottom w:val="none" w:sz="0" w:space="0" w:color="auto"/>
        <w:right w:val="none" w:sz="0" w:space="0" w:color="auto"/>
      </w:divBdr>
    </w:div>
    <w:div w:id="1206452676">
      <w:bodyDiv w:val="1"/>
      <w:marLeft w:val="0"/>
      <w:marRight w:val="0"/>
      <w:marTop w:val="0"/>
      <w:marBottom w:val="0"/>
      <w:divBdr>
        <w:top w:val="none" w:sz="0" w:space="0" w:color="auto"/>
        <w:left w:val="none" w:sz="0" w:space="0" w:color="auto"/>
        <w:bottom w:val="none" w:sz="0" w:space="0" w:color="auto"/>
        <w:right w:val="none" w:sz="0" w:space="0" w:color="auto"/>
      </w:divBdr>
    </w:div>
    <w:div w:id="1207446057">
      <w:bodyDiv w:val="1"/>
      <w:marLeft w:val="0"/>
      <w:marRight w:val="0"/>
      <w:marTop w:val="0"/>
      <w:marBottom w:val="0"/>
      <w:divBdr>
        <w:top w:val="none" w:sz="0" w:space="0" w:color="auto"/>
        <w:left w:val="none" w:sz="0" w:space="0" w:color="auto"/>
        <w:bottom w:val="none" w:sz="0" w:space="0" w:color="auto"/>
        <w:right w:val="none" w:sz="0" w:space="0" w:color="auto"/>
      </w:divBdr>
    </w:div>
    <w:div w:id="1208101049">
      <w:bodyDiv w:val="1"/>
      <w:marLeft w:val="0"/>
      <w:marRight w:val="0"/>
      <w:marTop w:val="0"/>
      <w:marBottom w:val="0"/>
      <w:divBdr>
        <w:top w:val="none" w:sz="0" w:space="0" w:color="auto"/>
        <w:left w:val="none" w:sz="0" w:space="0" w:color="auto"/>
        <w:bottom w:val="none" w:sz="0" w:space="0" w:color="auto"/>
        <w:right w:val="none" w:sz="0" w:space="0" w:color="auto"/>
      </w:divBdr>
    </w:div>
    <w:div w:id="1208490989">
      <w:bodyDiv w:val="1"/>
      <w:marLeft w:val="0"/>
      <w:marRight w:val="0"/>
      <w:marTop w:val="0"/>
      <w:marBottom w:val="0"/>
      <w:divBdr>
        <w:top w:val="none" w:sz="0" w:space="0" w:color="auto"/>
        <w:left w:val="none" w:sz="0" w:space="0" w:color="auto"/>
        <w:bottom w:val="none" w:sz="0" w:space="0" w:color="auto"/>
        <w:right w:val="none" w:sz="0" w:space="0" w:color="auto"/>
      </w:divBdr>
    </w:div>
    <w:div w:id="1209339418">
      <w:bodyDiv w:val="1"/>
      <w:marLeft w:val="0"/>
      <w:marRight w:val="0"/>
      <w:marTop w:val="0"/>
      <w:marBottom w:val="0"/>
      <w:divBdr>
        <w:top w:val="none" w:sz="0" w:space="0" w:color="auto"/>
        <w:left w:val="none" w:sz="0" w:space="0" w:color="auto"/>
        <w:bottom w:val="none" w:sz="0" w:space="0" w:color="auto"/>
        <w:right w:val="none" w:sz="0" w:space="0" w:color="auto"/>
      </w:divBdr>
    </w:div>
    <w:div w:id="1209688252">
      <w:bodyDiv w:val="1"/>
      <w:marLeft w:val="0"/>
      <w:marRight w:val="0"/>
      <w:marTop w:val="0"/>
      <w:marBottom w:val="0"/>
      <w:divBdr>
        <w:top w:val="none" w:sz="0" w:space="0" w:color="auto"/>
        <w:left w:val="none" w:sz="0" w:space="0" w:color="auto"/>
        <w:bottom w:val="none" w:sz="0" w:space="0" w:color="auto"/>
        <w:right w:val="none" w:sz="0" w:space="0" w:color="auto"/>
      </w:divBdr>
    </w:div>
    <w:div w:id="1211768292">
      <w:bodyDiv w:val="1"/>
      <w:marLeft w:val="0"/>
      <w:marRight w:val="0"/>
      <w:marTop w:val="0"/>
      <w:marBottom w:val="0"/>
      <w:divBdr>
        <w:top w:val="none" w:sz="0" w:space="0" w:color="auto"/>
        <w:left w:val="none" w:sz="0" w:space="0" w:color="auto"/>
        <w:bottom w:val="none" w:sz="0" w:space="0" w:color="auto"/>
        <w:right w:val="none" w:sz="0" w:space="0" w:color="auto"/>
      </w:divBdr>
    </w:div>
    <w:div w:id="1213268506">
      <w:bodyDiv w:val="1"/>
      <w:marLeft w:val="0"/>
      <w:marRight w:val="0"/>
      <w:marTop w:val="0"/>
      <w:marBottom w:val="0"/>
      <w:divBdr>
        <w:top w:val="none" w:sz="0" w:space="0" w:color="auto"/>
        <w:left w:val="none" w:sz="0" w:space="0" w:color="auto"/>
        <w:bottom w:val="none" w:sz="0" w:space="0" w:color="auto"/>
        <w:right w:val="none" w:sz="0" w:space="0" w:color="auto"/>
      </w:divBdr>
    </w:div>
    <w:div w:id="1213612247">
      <w:bodyDiv w:val="1"/>
      <w:marLeft w:val="0"/>
      <w:marRight w:val="0"/>
      <w:marTop w:val="0"/>
      <w:marBottom w:val="0"/>
      <w:divBdr>
        <w:top w:val="none" w:sz="0" w:space="0" w:color="auto"/>
        <w:left w:val="none" w:sz="0" w:space="0" w:color="auto"/>
        <w:bottom w:val="none" w:sz="0" w:space="0" w:color="auto"/>
        <w:right w:val="none" w:sz="0" w:space="0" w:color="auto"/>
      </w:divBdr>
    </w:div>
    <w:div w:id="1215385537">
      <w:bodyDiv w:val="1"/>
      <w:marLeft w:val="0"/>
      <w:marRight w:val="0"/>
      <w:marTop w:val="0"/>
      <w:marBottom w:val="0"/>
      <w:divBdr>
        <w:top w:val="none" w:sz="0" w:space="0" w:color="auto"/>
        <w:left w:val="none" w:sz="0" w:space="0" w:color="auto"/>
        <w:bottom w:val="none" w:sz="0" w:space="0" w:color="auto"/>
        <w:right w:val="none" w:sz="0" w:space="0" w:color="auto"/>
      </w:divBdr>
    </w:div>
    <w:div w:id="1216742511">
      <w:bodyDiv w:val="1"/>
      <w:marLeft w:val="0"/>
      <w:marRight w:val="0"/>
      <w:marTop w:val="0"/>
      <w:marBottom w:val="0"/>
      <w:divBdr>
        <w:top w:val="none" w:sz="0" w:space="0" w:color="auto"/>
        <w:left w:val="none" w:sz="0" w:space="0" w:color="auto"/>
        <w:bottom w:val="none" w:sz="0" w:space="0" w:color="auto"/>
        <w:right w:val="none" w:sz="0" w:space="0" w:color="auto"/>
      </w:divBdr>
    </w:div>
    <w:div w:id="1219897377">
      <w:bodyDiv w:val="1"/>
      <w:marLeft w:val="0"/>
      <w:marRight w:val="0"/>
      <w:marTop w:val="0"/>
      <w:marBottom w:val="0"/>
      <w:divBdr>
        <w:top w:val="none" w:sz="0" w:space="0" w:color="auto"/>
        <w:left w:val="none" w:sz="0" w:space="0" w:color="auto"/>
        <w:bottom w:val="none" w:sz="0" w:space="0" w:color="auto"/>
        <w:right w:val="none" w:sz="0" w:space="0" w:color="auto"/>
      </w:divBdr>
    </w:div>
    <w:div w:id="1222205034">
      <w:bodyDiv w:val="1"/>
      <w:marLeft w:val="0"/>
      <w:marRight w:val="0"/>
      <w:marTop w:val="0"/>
      <w:marBottom w:val="0"/>
      <w:divBdr>
        <w:top w:val="none" w:sz="0" w:space="0" w:color="auto"/>
        <w:left w:val="none" w:sz="0" w:space="0" w:color="auto"/>
        <w:bottom w:val="none" w:sz="0" w:space="0" w:color="auto"/>
        <w:right w:val="none" w:sz="0" w:space="0" w:color="auto"/>
      </w:divBdr>
    </w:div>
    <w:div w:id="1222860366">
      <w:bodyDiv w:val="1"/>
      <w:marLeft w:val="0"/>
      <w:marRight w:val="0"/>
      <w:marTop w:val="0"/>
      <w:marBottom w:val="0"/>
      <w:divBdr>
        <w:top w:val="none" w:sz="0" w:space="0" w:color="auto"/>
        <w:left w:val="none" w:sz="0" w:space="0" w:color="auto"/>
        <w:bottom w:val="none" w:sz="0" w:space="0" w:color="auto"/>
        <w:right w:val="none" w:sz="0" w:space="0" w:color="auto"/>
      </w:divBdr>
    </w:div>
    <w:div w:id="1226261294">
      <w:bodyDiv w:val="1"/>
      <w:marLeft w:val="0"/>
      <w:marRight w:val="0"/>
      <w:marTop w:val="0"/>
      <w:marBottom w:val="0"/>
      <w:divBdr>
        <w:top w:val="none" w:sz="0" w:space="0" w:color="auto"/>
        <w:left w:val="none" w:sz="0" w:space="0" w:color="auto"/>
        <w:bottom w:val="none" w:sz="0" w:space="0" w:color="auto"/>
        <w:right w:val="none" w:sz="0" w:space="0" w:color="auto"/>
      </w:divBdr>
    </w:div>
    <w:div w:id="1226456094">
      <w:bodyDiv w:val="1"/>
      <w:marLeft w:val="0"/>
      <w:marRight w:val="0"/>
      <w:marTop w:val="0"/>
      <w:marBottom w:val="0"/>
      <w:divBdr>
        <w:top w:val="none" w:sz="0" w:space="0" w:color="auto"/>
        <w:left w:val="none" w:sz="0" w:space="0" w:color="auto"/>
        <w:bottom w:val="none" w:sz="0" w:space="0" w:color="auto"/>
        <w:right w:val="none" w:sz="0" w:space="0" w:color="auto"/>
      </w:divBdr>
    </w:div>
    <w:div w:id="1228999642">
      <w:bodyDiv w:val="1"/>
      <w:marLeft w:val="0"/>
      <w:marRight w:val="0"/>
      <w:marTop w:val="0"/>
      <w:marBottom w:val="0"/>
      <w:divBdr>
        <w:top w:val="none" w:sz="0" w:space="0" w:color="auto"/>
        <w:left w:val="none" w:sz="0" w:space="0" w:color="auto"/>
        <w:bottom w:val="none" w:sz="0" w:space="0" w:color="auto"/>
        <w:right w:val="none" w:sz="0" w:space="0" w:color="auto"/>
      </w:divBdr>
    </w:div>
    <w:div w:id="1230267014">
      <w:bodyDiv w:val="1"/>
      <w:marLeft w:val="0"/>
      <w:marRight w:val="0"/>
      <w:marTop w:val="0"/>
      <w:marBottom w:val="0"/>
      <w:divBdr>
        <w:top w:val="none" w:sz="0" w:space="0" w:color="auto"/>
        <w:left w:val="none" w:sz="0" w:space="0" w:color="auto"/>
        <w:bottom w:val="none" w:sz="0" w:space="0" w:color="auto"/>
        <w:right w:val="none" w:sz="0" w:space="0" w:color="auto"/>
      </w:divBdr>
    </w:div>
    <w:div w:id="1231382493">
      <w:bodyDiv w:val="1"/>
      <w:marLeft w:val="0"/>
      <w:marRight w:val="0"/>
      <w:marTop w:val="0"/>
      <w:marBottom w:val="0"/>
      <w:divBdr>
        <w:top w:val="none" w:sz="0" w:space="0" w:color="auto"/>
        <w:left w:val="none" w:sz="0" w:space="0" w:color="auto"/>
        <w:bottom w:val="none" w:sz="0" w:space="0" w:color="auto"/>
        <w:right w:val="none" w:sz="0" w:space="0" w:color="auto"/>
      </w:divBdr>
    </w:div>
    <w:div w:id="1232157732">
      <w:bodyDiv w:val="1"/>
      <w:marLeft w:val="0"/>
      <w:marRight w:val="0"/>
      <w:marTop w:val="0"/>
      <w:marBottom w:val="0"/>
      <w:divBdr>
        <w:top w:val="none" w:sz="0" w:space="0" w:color="auto"/>
        <w:left w:val="none" w:sz="0" w:space="0" w:color="auto"/>
        <w:bottom w:val="none" w:sz="0" w:space="0" w:color="auto"/>
        <w:right w:val="none" w:sz="0" w:space="0" w:color="auto"/>
      </w:divBdr>
    </w:div>
    <w:div w:id="1232227820">
      <w:bodyDiv w:val="1"/>
      <w:marLeft w:val="0"/>
      <w:marRight w:val="0"/>
      <w:marTop w:val="0"/>
      <w:marBottom w:val="0"/>
      <w:divBdr>
        <w:top w:val="none" w:sz="0" w:space="0" w:color="auto"/>
        <w:left w:val="none" w:sz="0" w:space="0" w:color="auto"/>
        <w:bottom w:val="none" w:sz="0" w:space="0" w:color="auto"/>
        <w:right w:val="none" w:sz="0" w:space="0" w:color="auto"/>
      </w:divBdr>
    </w:div>
    <w:div w:id="1232349105">
      <w:bodyDiv w:val="1"/>
      <w:marLeft w:val="0"/>
      <w:marRight w:val="0"/>
      <w:marTop w:val="0"/>
      <w:marBottom w:val="0"/>
      <w:divBdr>
        <w:top w:val="none" w:sz="0" w:space="0" w:color="auto"/>
        <w:left w:val="none" w:sz="0" w:space="0" w:color="auto"/>
        <w:bottom w:val="none" w:sz="0" w:space="0" w:color="auto"/>
        <w:right w:val="none" w:sz="0" w:space="0" w:color="auto"/>
      </w:divBdr>
    </w:div>
    <w:div w:id="1232349143">
      <w:bodyDiv w:val="1"/>
      <w:marLeft w:val="0"/>
      <w:marRight w:val="0"/>
      <w:marTop w:val="0"/>
      <w:marBottom w:val="0"/>
      <w:divBdr>
        <w:top w:val="none" w:sz="0" w:space="0" w:color="auto"/>
        <w:left w:val="none" w:sz="0" w:space="0" w:color="auto"/>
        <w:bottom w:val="none" w:sz="0" w:space="0" w:color="auto"/>
        <w:right w:val="none" w:sz="0" w:space="0" w:color="auto"/>
      </w:divBdr>
    </w:div>
    <w:div w:id="1234121434">
      <w:bodyDiv w:val="1"/>
      <w:marLeft w:val="0"/>
      <w:marRight w:val="0"/>
      <w:marTop w:val="0"/>
      <w:marBottom w:val="0"/>
      <w:divBdr>
        <w:top w:val="none" w:sz="0" w:space="0" w:color="auto"/>
        <w:left w:val="none" w:sz="0" w:space="0" w:color="auto"/>
        <w:bottom w:val="none" w:sz="0" w:space="0" w:color="auto"/>
        <w:right w:val="none" w:sz="0" w:space="0" w:color="auto"/>
      </w:divBdr>
    </w:div>
    <w:div w:id="1234269819">
      <w:bodyDiv w:val="1"/>
      <w:marLeft w:val="0"/>
      <w:marRight w:val="0"/>
      <w:marTop w:val="0"/>
      <w:marBottom w:val="0"/>
      <w:divBdr>
        <w:top w:val="none" w:sz="0" w:space="0" w:color="auto"/>
        <w:left w:val="none" w:sz="0" w:space="0" w:color="auto"/>
        <w:bottom w:val="none" w:sz="0" w:space="0" w:color="auto"/>
        <w:right w:val="none" w:sz="0" w:space="0" w:color="auto"/>
      </w:divBdr>
    </w:div>
    <w:div w:id="1234974354">
      <w:bodyDiv w:val="1"/>
      <w:marLeft w:val="0"/>
      <w:marRight w:val="0"/>
      <w:marTop w:val="0"/>
      <w:marBottom w:val="0"/>
      <w:divBdr>
        <w:top w:val="none" w:sz="0" w:space="0" w:color="auto"/>
        <w:left w:val="none" w:sz="0" w:space="0" w:color="auto"/>
        <w:bottom w:val="none" w:sz="0" w:space="0" w:color="auto"/>
        <w:right w:val="none" w:sz="0" w:space="0" w:color="auto"/>
      </w:divBdr>
    </w:div>
    <w:div w:id="1237931627">
      <w:bodyDiv w:val="1"/>
      <w:marLeft w:val="0"/>
      <w:marRight w:val="0"/>
      <w:marTop w:val="0"/>
      <w:marBottom w:val="0"/>
      <w:divBdr>
        <w:top w:val="none" w:sz="0" w:space="0" w:color="auto"/>
        <w:left w:val="none" w:sz="0" w:space="0" w:color="auto"/>
        <w:bottom w:val="none" w:sz="0" w:space="0" w:color="auto"/>
        <w:right w:val="none" w:sz="0" w:space="0" w:color="auto"/>
      </w:divBdr>
    </w:div>
    <w:div w:id="1238829737">
      <w:bodyDiv w:val="1"/>
      <w:marLeft w:val="0"/>
      <w:marRight w:val="0"/>
      <w:marTop w:val="0"/>
      <w:marBottom w:val="0"/>
      <w:divBdr>
        <w:top w:val="none" w:sz="0" w:space="0" w:color="auto"/>
        <w:left w:val="none" w:sz="0" w:space="0" w:color="auto"/>
        <w:bottom w:val="none" w:sz="0" w:space="0" w:color="auto"/>
        <w:right w:val="none" w:sz="0" w:space="0" w:color="auto"/>
      </w:divBdr>
    </w:div>
    <w:div w:id="1239748177">
      <w:bodyDiv w:val="1"/>
      <w:marLeft w:val="0"/>
      <w:marRight w:val="0"/>
      <w:marTop w:val="0"/>
      <w:marBottom w:val="0"/>
      <w:divBdr>
        <w:top w:val="none" w:sz="0" w:space="0" w:color="auto"/>
        <w:left w:val="none" w:sz="0" w:space="0" w:color="auto"/>
        <w:bottom w:val="none" w:sz="0" w:space="0" w:color="auto"/>
        <w:right w:val="none" w:sz="0" w:space="0" w:color="auto"/>
      </w:divBdr>
    </w:div>
    <w:div w:id="1239822544">
      <w:bodyDiv w:val="1"/>
      <w:marLeft w:val="0"/>
      <w:marRight w:val="0"/>
      <w:marTop w:val="0"/>
      <w:marBottom w:val="0"/>
      <w:divBdr>
        <w:top w:val="none" w:sz="0" w:space="0" w:color="auto"/>
        <w:left w:val="none" w:sz="0" w:space="0" w:color="auto"/>
        <w:bottom w:val="none" w:sz="0" w:space="0" w:color="auto"/>
        <w:right w:val="none" w:sz="0" w:space="0" w:color="auto"/>
      </w:divBdr>
    </w:div>
    <w:div w:id="1240098420">
      <w:bodyDiv w:val="1"/>
      <w:marLeft w:val="0"/>
      <w:marRight w:val="0"/>
      <w:marTop w:val="0"/>
      <w:marBottom w:val="0"/>
      <w:divBdr>
        <w:top w:val="none" w:sz="0" w:space="0" w:color="auto"/>
        <w:left w:val="none" w:sz="0" w:space="0" w:color="auto"/>
        <w:bottom w:val="none" w:sz="0" w:space="0" w:color="auto"/>
        <w:right w:val="none" w:sz="0" w:space="0" w:color="auto"/>
      </w:divBdr>
    </w:div>
    <w:div w:id="1242716776">
      <w:bodyDiv w:val="1"/>
      <w:marLeft w:val="0"/>
      <w:marRight w:val="0"/>
      <w:marTop w:val="0"/>
      <w:marBottom w:val="0"/>
      <w:divBdr>
        <w:top w:val="none" w:sz="0" w:space="0" w:color="auto"/>
        <w:left w:val="none" w:sz="0" w:space="0" w:color="auto"/>
        <w:bottom w:val="none" w:sz="0" w:space="0" w:color="auto"/>
        <w:right w:val="none" w:sz="0" w:space="0" w:color="auto"/>
      </w:divBdr>
    </w:div>
    <w:div w:id="1243368849">
      <w:bodyDiv w:val="1"/>
      <w:marLeft w:val="0"/>
      <w:marRight w:val="0"/>
      <w:marTop w:val="0"/>
      <w:marBottom w:val="0"/>
      <w:divBdr>
        <w:top w:val="none" w:sz="0" w:space="0" w:color="auto"/>
        <w:left w:val="none" w:sz="0" w:space="0" w:color="auto"/>
        <w:bottom w:val="none" w:sz="0" w:space="0" w:color="auto"/>
        <w:right w:val="none" w:sz="0" w:space="0" w:color="auto"/>
      </w:divBdr>
    </w:div>
    <w:div w:id="1243611584">
      <w:bodyDiv w:val="1"/>
      <w:marLeft w:val="0"/>
      <w:marRight w:val="0"/>
      <w:marTop w:val="0"/>
      <w:marBottom w:val="0"/>
      <w:divBdr>
        <w:top w:val="none" w:sz="0" w:space="0" w:color="auto"/>
        <w:left w:val="none" w:sz="0" w:space="0" w:color="auto"/>
        <w:bottom w:val="none" w:sz="0" w:space="0" w:color="auto"/>
        <w:right w:val="none" w:sz="0" w:space="0" w:color="auto"/>
      </w:divBdr>
    </w:div>
    <w:div w:id="1244486576">
      <w:bodyDiv w:val="1"/>
      <w:marLeft w:val="0"/>
      <w:marRight w:val="0"/>
      <w:marTop w:val="0"/>
      <w:marBottom w:val="0"/>
      <w:divBdr>
        <w:top w:val="none" w:sz="0" w:space="0" w:color="auto"/>
        <w:left w:val="none" w:sz="0" w:space="0" w:color="auto"/>
        <w:bottom w:val="none" w:sz="0" w:space="0" w:color="auto"/>
        <w:right w:val="none" w:sz="0" w:space="0" w:color="auto"/>
      </w:divBdr>
    </w:div>
    <w:div w:id="1245454962">
      <w:bodyDiv w:val="1"/>
      <w:marLeft w:val="0"/>
      <w:marRight w:val="0"/>
      <w:marTop w:val="0"/>
      <w:marBottom w:val="0"/>
      <w:divBdr>
        <w:top w:val="none" w:sz="0" w:space="0" w:color="auto"/>
        <w:left w:val="none" w:sz="0" w:space="0" w:color="auto"/>
        <w:bottom w:val="none" w:sz="0" w:space="0" w:color="auto"/>
        <w:right w:val="none" w:sz="0" w:space="0" w:color="auto"/>
      </w:divBdr>
    </w:div>
    <w:div w:id="1248272864">
      <w:bodyDiv w:val="1"/>
      <w:marLeft w:val="0"/>
      <w:marRight w:val="0"/>
      <w:marTop w:val="0"/>
      <w:marBottom w:val="0"/>
      <w:divBdr>
        <w:top w:val="none" w:sz="0" w:space="0" w:color="auto"/>
        <w:left w:val="none" w:sz="0" w:space="0" w:color="auto"/>
        <w:bottom w:val="none" w:sz="0" w:space="0" w:color="auto"/>
        <w:right w:val="none" w:sz="0" w:space="0" w:color="auto"/>
      </w:divBdr>
    </w:div>
    <w:div w:id="1248880584">
      <w:bodyDiv w:val="1"/>
      <w:marLeft w:val="0"/>
      <w:marRight w:val="0"/>
      <w:marTop w:val="0"/>
      <w:marBottom w:val="0"/>
      <w:divBdr>
        <w:top w:val="none" w:sz="0" w:space="0" w:color="auto"/>
        <w:left w:val="none" w:sz="0" w:space="0" w:color="auto"/>
        <w:bottom w:val="none" w:sz="0" w:space="0" w:color="auto"/>
        <w:right w:val="none" w:sz="0" w:space="0" w:color="auto"/>
      </w:divBdr>
    </w:div>
    <w:div w:id="1250000336">
      <w:bodyDiv w:val="1"/>
      <w:marLeft w:val="0"/>
      <w:marRight w:val="0"/>
      <w:marTop w:val="0"/>
      <w:marBottom w:val="0"/>
      <w:divBdr>
        <w:top w:val="none" w:sz="0" w:space="0" w:color="auto"/>
        <w:left w:val="none" w:sz="0" w:space="0" w:color="auto"/>
        <w:bottom w:val="none" w:sz="0" w:space="0" w:color="auto"/>
        <w:right w:val="none" w:sz="0" w:space="0" w:color="auto"/>
      </w:divBdr>
    </w:div>
    <w:div w:id="1250314628">
      <w:bodyDiv w:val="1"/>
      <w:marLeft w:val="0"/>
      <w:marRight w:val="0"/>
      <w:marTop w:val="0"/>
      <w:marBottom w:val="0"/>
      <w:divBdr>
        <w:top w:val="none" w:sz="0" w:space="0" w:color="auto"/>
        <w:left w:val="none" w:sz="0" w:space="0" w:color="auto"/>
        <w:bottom w:val="none" w:sz="0" w:space="0" w:color="auto"/>
        <w:right w:val="none" w:sz="0" w:space="0" w:color="auto"/>
      </w:divBdr>
    </w:div>
    <w:div w:id="1251280937">
      <w:bodyDiv w:val="1"/>
      <w:marLeft w:val="0"/>
      <w:marRight w:val="0"/>
      <w:marTop w:val="0"/>
      <w:marBottom w:val="0"/>
      <w:divBdr>
        <w:top w:val="none" w:sz="0" w:space="0" w:color="auto"/>
        <w:left w:val="none" w:sz="0" w:space="0" w:color="auto"/>
        <w:bottom w:val="none" w:sz="0" w:space="0" w:color="auto"/>
        <w:right w:val="none" w:sz="0" w:space="0" w:color="auto"/>
      </w:divBdr>
    </w:div>
    <w:div w:id="1252668266">
      <w:bodyDiv w:val="1"/>
      <w:marLeft w:val="0"/>
      <w:marRight w:val="0"/>
      <w:marTop w:val="0"/>
      <w:marBottom w:val="0"/>
      <w:divBdr>
        <w:top w:val="none" w:sz="0" w:space="0" w:color="auto"/>
        <w:left w:val="none" w:sz="0" w:space="0" w:color="auto"/>
        <w:bottom w:val="none" w:sz="0" w:space="0" w:color="auto"/>
        <w:right w:val="none" w:sz="0" w:space="0" w:color="auto"/>
      </w:divBdr>
    </w:div>
    <w:div w:id="1252813112">
      <w:bodyDiv w:val="1"/>
      <w:marLeft w:val="0"/>
      <w:marRight w:val="0"/>
      <w:marTop w:val="0"/>
      <w:marBottom w:val="0"/>
      <w:divBdr>
        <w:top w:val="none" w:sz="0" w:space="0" w:color="auto"/>
        <w:left w:val="none" w:sz="0" w:space="0" w:color="auto"/>
        <w:bottom w:val="none" w:sz="0" w:space="0" w:color="auto"/>
        <w:right w:val="none" w:sz="0" w:space="0" w:color="auto"/>
      </w:divBdr>
    </w:div>
    <w:div w:id="1253513955">
      <w:bodyDiv w:val="1"/>
      <w:marLeft w:val="0"/>
      <w:marRight w:val="0"/>
      <w:marTop w:val="0"/>
      <w:marBottom w:val="0"/>
      <w:divBdr>
        <w:top w:val="none" w:sz="0" w:space="0" w:color="auto"/>
        <w:left w:val="none" w:sz="0" w:space="0" w:color="auto"/>
        <w:bottom w:val="none" w:sz="0" w:space="0" w:color="auto"/>
        <w:right w:val="none" w:sz="0" w:space="0" w:color="auto"/>
      </w:divBdr>
    </w:div>
    <w:div w:id="1254362482">
      <w:bodyDiv w:val="1"/>
      <w:marLeft w:val="0"/>
      <w:marRight w:val="0"/>
      <w:marTop w:val="0"/>
      <w:marBottom w:val="0"/>
      <w:divBdr>
        <w:top w:val="none" w:sz="0" w:space="0" w:color="auto"/>
        <w:left w:val="none" w:sz="0" w:space="0" w:color="auto"/>
        <w:bottom w:val="none" w:sz="0" w:space="0" w:color="auto"/>
        <w:right w:val="none" w:sz="0" w:space="0" w:color="auto"/>
      </w:divBdr>
    </w:div>
    <w:div w:id="1254703146">
      <w:bodyDiv w:val="1"/>
      <w:marLeft w:val="0"/>
      <w:marRight w:val="0"/>
      <w:marTop w:val="0"/>
      <w:marBottom w:val="0"/>
      <w:divBdr>
        <w:top w:val="none" w:sz="0" w:space="0" w:color="auto"/>
        <w:left w:val="none" w:sz="0" w:space="0" w:color="auto"/>
        <w:bottom w:val="none" w:sz="0" w:space="0" w:color="auto"/>
        <w:right w:val="none" w:sz="0" w:space="0" w:color="auto"/>
      </w:divBdr>
    </w:div>
    <w:div w:id="1255868098">
      <w:bodyDiv w:val="1"/>
      <w:marLeft w:val="0"/>
      <w:marRight w:val="0"/>
      <w:marTop w:val="0"/>
      <w:marBottom w:val="0"/>
      <w:divBdr>
        <w:top w:val="none" w:sz="0" w:space="0" w:color="auto"/>
        <w:left w:val="none" w:sz="0" w:space="0" w:color="auto"/>
        <w:bottom w:val="none" w:sz="0" w:space="0" w:color="auto"/>
        <w:right w:val="none" w:sz="0" w:space="0" w:color="auto"/>
      </w:divBdr>
    </w:div>
    <w:div w:id="1256860246">
      <w:bodyDiv w:val="1"/>
      <w:marLeft w:val="0"/>
      <w:marRight w:val="0"/>
      <w:marTop w:val="0"/>
      <w:marBottom w:val="0"/>
      <w:divBdr>
        <w:top w:val="none" w:sz="0" w:space="0" w:color="auto"/>
        <w:left w:val="none" w:sz="0" w:space="0" w:color="auto"/>
        <w:bottom w:val="none" w:sz="0" w:space="0" w:color="auto"/>
        <w:right w:val="none" w:sz="0" w:space="0" w:color="auto"/>
      </w:divBdr>
    </w:div>
    <w:div w:id="1257248864">
      <w:bodyDiv w:val="1"/>
      <w:marLeft w:val="0"/>
      <w:marRight w:val="0"/>
      <w:marTop w:val="0"/>
      <w:marBottom w:val="0"/>
      <w:divBdr>
        <w:top w:val="none" w:sz="0" w:space="0" w:color="auto"/>
        <w:left w:val="none" w:sz="0" w:space="0" w:color="auto"/>
        <w:bottom w:val="none" w:sz="0" w:space="0" w:color="auto"/>
        <w:right w:val="none" w:sz="0" w:space="0" w:color="auto"/>
      </w:divBdr>
    </w:div>
    <w:div w:id="1259213214">
      <w:bodyDiv w:val="1"/>
      <w:marLeft w:val="0"/>
      <w:marRight w:val="0"/>
      <w:marTop w:val="0"/>
      <w:marBottom w:val="0"/>
      <w:divBdr>
        <w:top w:val="none" w:sz="0" w:space="0" w:color="auto"/>
        <w:left w:val="none" w:sz="0" w:space="0" w:color="auto"/>
        <w:bottom w:val="none" w:sz="0" w:space="0" w:color="auto"/>
        <w:right w:val="none" w:sz="0" w:space="0" w:color="auto"/>
      </w:divBdr>
    </w:div>
    <w:div w:id="1259288569">
      <w:bodyDiv w:val="1"/>
      <w:marLeft w:val="0"/>
      <w:marRight w:val="0"/>
      <w:marTop w:val="0"/>
      <w:marBottom w:val="0"/>
      <w:divBdr>
        <w:top w:val="none" w:sz="0" w:space="0" w:color="auto"/>
        <w:left w:val="none" w:sz="0" w:space="0" w:color="auto"/>
        <w:bottom w:val="none" w:sz="0" w:space="0" w:color="auto"/>
        <w:right w:val="none" w:sz="0" w:space="0" w:color="auto"/>
      </w:divBdr>
    </w:div>
    <w:div w:id="1262101980">
      <w:bodyDiv w:val="1"/>
      <w:marLeft w:val="0"/>
      <w:marRight w:val="0"/>
      <w:marTop w:val="0"/>
      <w:marBottom w:val="0"/>
      <w:divBdr>
        <w:top w:val="none" w:sz="0" w:space="0" w:color="auto"/>
        <w:left w:val="none" w:sz="0" w:space="0" w:color="auto"/>
        <w:bottom w:val="none" w:sz="0" w:space="0" w:color="auto"/>
        <w:right w:val="none" w:sz="0" w:space="0" w:color="auto"/>
      </w:divBdr>
    </w:div>
    <w:div w:id="1262566627">
      <w:bodyDiv w:val="1"/>
      <w:marLeft w:val="0"/>
      <w:marRight w:val="0"/>
      <w:marTop w:val="0"/>
      <w:marBottom w:val="0"/>
      <w:divBdr>
        <w:top w:val="none" w:sz="0" w:space="0" w:color="auto"/>
        <w:left w:val="none" w:sz="0" w:space="0" w:color="auto"/>
        <w:bottom w:val="none" w:sz="0" w:space="0" w:color="auto"/>
        <w:right w:val="none" w:sz="0" w:space="0" w:color="auto"/>
      </w:divBdr>
    </w:div>
    <w:div w:id="1262641487">
      <w:bodyDiv w:val="1"/>
      <w:marLeft w:val="0"/>
      <w:marRight w:val="0"/>
      <w:marTop w:val="0"/>
      <w:marBottom w:val="0"/>
      <w:divBdr>
        <w:top w:val="none" w:sz="0" w:space="0" w:color="auto"/>
        <w:left w:val="none" w:sz="0" w:space="0" w:color="auto"/>
        <w:bottom w:val="none" w:sz="0" w:space="0" w:color="auto"/>
        <w:right w:val="none" w:sz="0" w:space="0" w:color="auto"/>
      </w:divBdr>
    </w:div>
    <w:div w:id="1264072221">
      <w:bodyDiv w:val="1"/>
      <w:marLeft w:val="0"/>
      <w:marRight w:val="0"/>
      <w:marTop w:val="0"/>
      <w:marBottom w:val="0"/>
      <w:divBdr>
        <w:top w:val="none" w:sz="0" w:space="0" w:color="auto"/>
        <w:left w:val="none" w:sz="0" w:space="0" w:color="auto"/>
        <w:bottom w:val="none" w:sz="0" w:space="0" w:color="auto"/>
        <w:right w:val="none" w:sz="0" w:space="0" w:color="auto"/>
      </w:divBdr>
    </w:div>
    <w:div w:id="1266112564">
      <w:bodyDiv w:val="1"/>
      <w:marLeft w:val="0"/>
      <w:marRight w:val="0"/>
      <w:marTop w:val="0"/>
      <w:marBottom w:val="0"/>
      <w:divBdr>
        <w:top w:val="none" w:sz="0" w:space="0" w:color="auto"/>
        <w:left w:val="none" w:sz="0" w:space="0" w:color="auto"/>
        <w:bottom w:val="none" w:sz="0" w:space="0" w:color="auto"/>
        <w:right w:val="none" w:sz="0" w:space="0" w:color="auto"/>
      </w:divBdr>
    </w:div>
    <w:div w:id="1266159639">
      <w:bodyDiv w:val="1"/>
      <w:marLeft w:val="0"/>
      <w:marRight w:val="0"/>
      <w:marTop w:val="0"/>
      <w:marBottom w:val="0"/>
      <w:divBdr>
        <w:top w:val="none" w:sz="0" w:space="0" w:color="auto"/>
        <w:left w:val="none" w:sz="0" w:space="0" w:color="auto"/>
        <w:bottom w:val="none" w:sz="0" w:space="0" w:color="auto"/>
        <w:right w:val="none" w:sz="0" w:space="0" w:color="auto"/>
      </w:divBdr>
    </w:div>
    <w:div w:id="1266571733">
      <w:bodyDiv w:val="1"/>
      <w:marLeft w:val="0"/>
      <w:marRight w:val="0"/>
      <w:marTop w:val="0"/>
      <w:marBottom w:val="0"/>
      <w:divBdr>
        <w:top w:val="none" w:sz="0" w:space="0" w:color="auto"/>
        <w:left w:val="none" w:sz="0" w:space="0" w:color="auto"/>
        <w:bottom w:val="none" w:sz="0" w:space="0" w:color="auto"/>
        <w:right w:val="none" w:sz="0" w:space="0" w:color="auto"/>
      </w:divBdr>
    </w:div>
    <w:div w:id="1267931361">
      <w:bodyDiv w:val="1"/>
      <w:marLeft w:val="0"/>
      <w:marRight w:val="0"/>
      <w:marTop w:val="0"/>
      <w:marBottom w:val="0"/>
      <w:divBdr>
        <w:top w:val="none" w:sz="0" w:space="0" w:color="auto"/>
        <w:left w:val="none" w:sz="0" w:space="0" w:color="auto"/>
        <w:bottom w:val="none" w:sz="0" w:space="0" w:color="auto"/>
        <w:right w:val="none" w:sz="0" w:space="0" w:color="auto"/>
      </w:divBdr>
    </w:div>
    <w:div w:id="1268343327">
      <w:bodyDiv w:val="1"/>
      <w:marLeft w:val="0"/>
      <w:marRight w:val="0"/>
      <w:marTop w:val="0"/>
      <w:marBottom w:val="0"/>
      <w:divBdr>
        <w:top w:val="none" w:sz="0" w:space="0" w:color="auto"/>
        <w:left w:val="none" w:sz="0" w:space="0" w:color="auto"/>
        <w:bottom w:val="none" w:sz="0" w:space="0" w:color="auto"/>
        <w:right w:val="none" w:sz="0" w:space="0" w:color="auto"/>
      </w:divBdr>
    </w:div>
    <w:div w:id="1268778049">
      <w:bodyDiv w:val="1"/>
      <w:marLeft w:val="0"/>
      <w:marRight w:val="0"/>
      <w:marTop w:val="0"/>
      <w:marBottom w:val="0"/>
      <w:divBdr>
        <w:top w:val="none" w:sz="0" w:space="0" w:color="auto"/>
        <w:left w:val="none" w:sz="0" w:space="0" w:color="auto"/>
        <w:bottom w:val="none" w:sz="0" w:space="0" w:color="auto"/>
        <w:right w:val="none" w:sz="0" w:space="0" w:color="auto"/>
      </w:divBdr>
    </w:div>
    <w:div w:id="1268922350">
      <w:bodyDiv w:val="1"/>
      <w:marLeft w:val="0"/>
      <w:marRight w:val="0"/>
      <w:marTop w:val="0"/>
      <w:marBottom w:val="0"/>
      <w:divBdr>
        <w:top w:val="none" w:sz="0" w:space="0" w:color="auto"/>
        <w:left w:val="none" w:sz="0" w:space="0" w:color="auto"/>
        <w:bottom w:val="none" w:sz="0" w:space="0" w:color="auto"/>
        <w:right w:val="none" w:sz="0" w:space="0" w:color="auto"/>
      </w:divBdr>
    </w:div>
    <w:div w:id="1270314602">
      <w:bodyDiv w:val="1"/>
      <w:marLeft w:val="0"/>
      <w:marRight w:val="0"/>
      <w:marTop w:val="0"/>
      <w:marBottom w:val="0"/>
      <w:divBdr>
        <w:top w:val="none" w:sz="0" w:space="0" w:color="auto"/>
        <w:left w:val="none" w:sz="0" w:space="0" w:color="auto"/>
        <w:bottom w:val="none" w:sz="0" w:space="0" w:color="auto"/>
        <w:right w:val="none" w:sz="0" w:space="0" w:color="auto"/>
      </w:divBdr>
    </w:div>
    <w:div w:id="1271742494">
      <w:bodyDiv w:val="1"/>
      <w:marLeft w:val="0"/>
      <w:marRight w:val="0"/>
      <w:marTop w:val="0"/>
      <w:marBottom w:val="0"/>
      <w:divBdr>
        <w:top w:val="none" w:sz="0" w:space="0" w:color="auto"/>
        <w:left w:val="none" w:sz="0" w:space="0" w:color="auto"/>
        <w:bottom w:val="none" w:sz="0" w:space="0" w:color="auto"/>
        <w:right w:val="none" w:sz="0" w:space="0" w:color="auto"/>
      </w:divBdr>
    </w:div>
    <w:div w:id="1272276411">
      <w:bodyDiv w:val="1"/>
      <w:marLeft w:val="0"/>
      <w:marRight w:val="0"/>
      <w:marTop w:val="0"/>
      <w:marBottom w:val="0"/>
      <w:divBdr>
        <w:top w:val="none" w:sz="0" w:space="0" w:color="auto"/>
        <w:left w:val="none" w:sz="0" w:space="0" w:color="auto"/>
        <w:bottom w:val="none" w:sz="0" w:space="0" w:color="auto"/>
        <w:right w:val="none" w:sz="0" w:space="0" w:color="auto"/>
      </w:divBdr>
    </w:div>
    <w:div w:id="1272318728">
      <w:bodyDiv w:val="1"/>
      <w:marLeft w:val="0"/>
      <w:marRight w:val="0"/>
      <w:marTop w:val="0"/>
      <w:marBottom w:val="0"/>
      <w:divBdr>
        <w:top w:val="none" w:sz="0" w:space="0" w:color="auto"/>
        <w:left w:val="none" w:sz="0" w:space="0" w:color="auto"/>
        <w:bottom w:val="none" w:sz="0" w:space="0" w:color="auto"/>
        <w:right w:val="none" w:sz="0" w:space="0" w:color="auto"/>
      </w:divBdr>
    </w:div>
    <w:div w:id="1273127544">
      <w:bodyDiv w:val="1"/>
      <w:marLeft w:val="0"/>
      <w:marRight w:val="0"/>
      <w:marTop w:val="0"/>
      <w:marBottom w:val="0"/>
      <w:divBdr>
        <w:top w:val="none" w:sz="0" w:space="0" w:color="auto"/>
        <w:left w:val="none" w:sz="0" w:space="0" w:color="auto"/>
        <w:bottom w:val="none" w:sz="0" w:space="0" w:color="auto"/>
        <w:right w:val="none" w:sz="0" w:space="0" w:color="auto"/>
      </w:divBdr>
    </w:div>
    <w:div w:id="1273128943">
      <w:bodyDiv w:val="1"/>
      <w:marLeft w:val="0"/>
      <w:marRight w:val="0"/>
      <w:marTop w:val="0"/>
      <w:marBottom w:val="0"/>
      <w:divBdr>
        <w:top w:val="none" w:sz="0" w:space="0" w:color="auto"/>
        <w:left w:val="none" w:sz="0" w:space="0" w:color="auto"/>
        <w:bottom w:val="none" w:sz="0" w:space="0" w:color="auto"/>
        <w:right w:val="none" w:sz="0" w:space="0" w:color="auto"/>
      </w:divBdr>
    </w:div>
    <w:div w:id="1274168093">
      <w:bodyDiv w:val="1"/>
      <w:marLeft w:val="0"/>
      <w:marRight w:val="0"/>
      <w:marTop w:val="0"/>
      <w:marBottom w:val="0"/>
      <w:divBdr>
        <w:top w:val="none" w:sz="0" w:space="0" w:color="auto"/>
        <w:left w:val="none" w:sz="0" w:space="0" w:color="auto"/>
        <w:bottom w:val="none" w:sz="0" w:space="0" w:color="auto"/>
        <w:right w:val="none" w:sz="0" w:space="0" w:color="auto"/>
      </w:divBdr>
    </w:div>
    <w:div w:id="1274282402">
      <w:bodyDiv w:val="1"/>
      <w:marLeft w:val="0"/>
      <w:marRight w:val="0"/>
      <w:marTop w:val="0"/>
      <w:marBottom w:val="0"/>
      <w:divBdr>
        <w:top w:val="none" w:sz="0" w:space="0" w:color="auto"/>
        <w:left w:val="none" w:sz="0" w:space="0" w:color="auto"/>
        <w:bottom w:val="none" w:sz="0" w:space="0" w:color="auto"/>
        <w:right w:val="none" w:sz="0" w:space="0" w:color="auto"/>
      </w:divBdr>
    </w:div>
    <w:div w:id="1277255366">
      <w:bodyDiv w:val="1"/>
      <w:marLeft w:val="0"/>
      <w:marRight w:val="0"/>
      <w:marTop w:val="0"/>
      <w:marBottom w:val="0"/>
      <w:divBdr>
        <w:top w:val="none" w:sz="0" w:space="0" w:color="auto"/>
        <w:left w:val="none" w:sz="0" w:space="0" w:color="auto"/>
        <w:bottom w:val="none" w:sz="0" w:space="0" w:color="auto"/>
        <w:right w:val="none" w:sz="0" w:space="0" w:color="auto"/>
      </w:divBdr>
    </w:div>
    <w:div w:id="1278675942">
      <w:bodyDiv w:val="1"/>
      <w:marLeft w:val="0"/>
      <w:marRight w:val="0"/>
      <w:marTop w:val="0"/>
      <w:marBottom w:val="0"/>
      <w:divBdr>
        <w:top w:val="none" w:sz="0" w:space="0" w:color="auto"/>
        <w:left w:val="none" w:sz="0" w:space="0" w:color="auto"/>
        <w:bottom w:val="none" w:sz="0" w:space="0" w:color="auto"/>
        <w:right w:val="none" w:sz="0" w:space="0" w:color="auto"/>
      </w:divBdr>
    </w:div>
    <w:div w:id="1279294871">
      <w:bodyDiv w:val="1"/>
      <w:marLeft w:val="0"/>
      <w:marRight w:val="0"/>
      <w:marTop w:val="0"/>
      <w:marBottom w:val="0"/>
      <w:divBdr>
        <w:top w:val="none" w:sz="0" w:space="0" w:color="auto"/>
        <w:left w:val="none" w:sz="0" w:space="0" w:color="auto"/>
        <w:bottom w:val="none" w:sz="0" w:space="0" w:color="auto"/>
        <w:right w:val="none" w:sz="0" w:space="0" w:color="auto"/>
      </w:divBdr>
    </w:div>
    <w:div w:id="1282301484">
      <w:bodyDiv w:val="1"/>
      <w:marLeft w:val="0"/>
      <w:marRight w:val="0"/>
      <w:marTop w:val="0"/>
      <w:marBottom w:val="0"/>
      <w:divBdr>
        <w:top w:val="none" w:sz="0" w:space="0" w:color="auto"/>
        <w:left w:val="none" w:sz="0" w:space="0" w:color="auto"/>
        <w:bottom w:val="none" w:sz="0" w:space="0" w:color="auto"/>
        <w:right w:val="none" w:sz="0" w:space="0" w:color="auto"/>
      </w:divBdr>
    </w:div>
    <w:div w:id="1284314105">
      <w:bodyDiv w:val="1"/>
      <w:marLeft w:val="0"/>
      <w:marRight w:val="0"/>
      <w:marTop w:val="0"/>
      <w:marBottom w:val="0"/>
      <w:divBdr>
        <w:top w:val="none" w:sz="0" w:space="0" w:color="auto"/>
        <w:left w:val="none" w:sz="0" w:space="0" w:color="auto"/>
        <w:bottom w:val="none" w:sz="0" w:space="0" w:color="auto"/>
        <w:right w:val="none" w:sz="0" w:space="0" w:color="auto"/>
      </w:divBdr>
      <w:divsChild>
        <w:div w:id="1784228232">
          <w:marLeft w:val="0"/>
          <w:marRight w:val="0"/>
          <w:marTop w:val="0"/>
          <w:marBottom w:val="0"/>
          <w:divBdr>
            <w:top w:val="none" w:sz="0" w:space="0" w:color="auto"/>
            <w:left w:val="none" w:sz="0" w:space="0" w:color="auto"/>
            <w:bottom w:val="none" w:sz="0" w:space="0" w:color="auto"/>
            <w:right w:val="none" w:sz="0" w:space="0" w:color="auto"/>
          </w:divBdr>
          <w:divsChild>
            <w:div w:id="876236047">
              <w:marLeft w:val="0"/>
              <w:marRight w:val="0"/>
              <w:marTop w:val="0"/>
              <w:marBottom w:val="0"/>
              <w:divBdr>
                <w:top w:val="none" w:sz="0" w:space="0" w:color="auto"/>
                <w:left w:val="none" w:sz="0" w:space="0" w:color="auto"/>
                <w:bottom w:val="none" w:sz="0" w:space="0" w:color="auto"/>
                <w:right w:val="none" w:sz="0" w:space="0" w:color="auto"/>
              </w:divBdr>
              <w:divsChild>
                <w:div w:id="515076746">
                  <w:marLeft w:val="0"/>
                  <w:marRight w:val="0"/>
                  <w:marTop w:val="0"/>
                  <w:marBottom w:val="0"/>
                  <w:divBdr>
                    <w:top w:val="none" w:sz="0" w:space="0" w:color="auto"/>
                    <w:left w:val="none" w:sz="0" w:space="0" w:color="auto"/>
                    <w:bottom w:val="none" w:sz="0" w:space="0" w:color="auto"/>
                    <w:right w:val="none" w:sz="0" w:space="0" w:color="auto"/>
                  </w:divBdr>
                  <w:divsChild>
                    <w:div w:id="5986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379872">
      <w:bodyDiv w:val="1"/>
      <w:marLeft w:val="0"/>
      <w:marRight w:val="0"/>
      <w:marTop w:val="0"/>
      <w:marBottom w:val="0"/>
      <w:divBdr>
        <w:top w:val="none" w:sz="0" w:space="0" w:color="auto"/>
        <w:left w:val="none" w:sz="0" w:space="0" w:color="auto"/>
        <w:bottom w:val="none" w:sz="0" w:space="0" w:color="auto"/>
        <w:right w:val="none" w:sz="0" w:space="0" w:color="auto"/>
      </w:divBdr>
    </w:div>
    <w:div w:id="1285388683">
      <w:bodyDiv w:val="1"/>
      <w:marLeft w:val="0"/>
      <w:marRight w:val="0"/>
      <w:marTop w:val="0"/>
      <w:marBottom w:val="0"/>
      <w:divBdr>
        <w:top w:val="none" w:sz="0" w:space="0" w:color="auto"/>
        <w:left w:val="none" w:sz="0" w:space="0" w:color="auto"/>
        <w:bottom w:val="none" w:sz="0" w:space="0" w:color="auto"/>
        <w:right w:val="none" w:sz="0" w:space="0" w:color="auto"/>
      </w:divBdr>
    </w:div>
    <w:div w:id="1286693736">
      <w:bodyDiv w:val="1"/>
      <w:marLeft w:val="0"/>
      <w:marRight w:val="0"/>
      <w:marTop w:val="0"/>
      <w:marBottom w:val="0"/>
      <w:divBdr>
        <w:top w:val="none" w:sz="0" w:space="0" w:color="auto"/>
        <w:left w:val="none" w:sz="0" w:space="0" w:color="auto"/>
        <w:bottom w:val="none" w:sz="0" w:space="0" w:color="auto"/>
        <w:right w:val="none" w:sz="0" w:space="0" w:color="auto"/>
      </w:divBdr>
    </w:div>
    <w:div w:id="1287345336">
      <w:bodyDiv w:val="1"/>
      <w:marLeft w:val="0"/>
      <w:marRight w:val="0"/>
      <w:marTop w:val="0"/>
      <w:marBottom w:val="0"/>
      <w:divBdr>
        <w:top w:val="none" w:sz="0" w:space="0" w:color="auto"/>
        <w:left w:val="none" w:sz="0" w:space="0" w:color="auto"/>
        <w:bottom w:val="none" w:sz="0" w:space="0" w:color="auto"/>
        <w:right w:val="none" w:sz="0" w:space="0" w:color="auto"/>
      </w:divBdr>
    </w:div>
    <w:div w:id="1287421182">
      <w:bodyDiv w:val="1"/>
      <w:marLeft w:val="0"/>
      <w:marRight w:val="0"/>
      <w:marTop w:val="0"/>
      <w:marBottom w:val="0"/>
      <w:divBdr>
        <w:top w:val="none" w:sz="0" w:space="0" w:color="auto"/>
        <w:left w:val="none" w:sz="0" w:space="0" w:color="auto"/>
        <w:bottom w:val="none" w:sz="0" w:space="0" w:color="auto"/>
        <w:right w:val="none" w:sz="0" w:space="0" w:color="auto"/>
      </w:divBdr>
    </w:div>
    <w:div w:id="1289360846">
      <w:bodyDiv w:val="1"/>
      <w:marLeft w:val="0"/>
      <w:marRight w:val="0"/>
      <w:marTop w:val="0"/>
      <w:marBottom w:val="0"/>
      <w:divBdr>
        <w:top w:val="none" w:sz="0" w:space="0" w:color="auto"/>
        <w:left w:val="none" w:sz="0" w:space="0" w:color="auto"/>
        <w:bottom w:val="none" w:sz="0" w:space="0" w:color="auto"/>
        <w:right w:val="none" w:sz="0" w:space="0" w:color="auto"/>
      </w:divBdr>
    </w:div>
    <w:div w:id="1290087264">
      <w:bodyDiv w:val="1"/>
      <w:marLeft w:val="0"/>
      <w:marRight w:val="0"/>
      <w:marTop w:val="0"/>
      <w:marBottom w:val="0"/>
      <w:divBdr>
        <w:top w:val="none" w:sz="0" w:space="0" w:color="auto"/>
        <w:left w:val="none" w:sz="0" w:space="0" w:color="auto"/>
        <w:bottom w:val="none" w:sz="0" w:space="0" w:color="auto"/>
        <w:right w:val="none" w:sz="0" w:space="0" w:color="auto"/>
      </w:divBdr>
    </w:div>
    <w:div w:id="1290279643">
      <w:bodyDiv w:val="1"/>
      <w:marLeft w:val="0"/>
      <w:marRight w:val="0"/>
      <w:marTop w:val="0"/>
      <w:marBottom w:val="0"/>
      <w:divBdr>
        <w:top w:val="none" w:sz="0" w:space="0" w:color="auto"/>
        <w:left w:val="none" w:sz="0" w:space="0" w:color="auto"/>
        <w:bottom w:val="none" w:sz="0" w:space="0" w:color="auto"/>
        <w:right w:val="none" w:sz="0" w:space="0" w:color="auto"/>
      </w:divBdr>
    </w:div>
    <w:div w:id="1291549895">
      <w:bodyDiv w:val="1"/>
      <w:marLeft w:val="0"/>
      <w:marRight w:val="0"/>
      <w:marTop w:val="0"/>
      <w:marBottom w:val="0"/>
      <w:divBdr>
        <w:top w:val="none" w:sz="0" w:space="0" w:color="auto"/>
        <w:left w:val="none" w:sz="0" w:space="0" w:color="auto"/>
        <w:bottom w:val="none" w:sz="0" w:space="0" w:color="auto"/>
        <w:right w:val="none" w:sz="0" w:space="0" w:color="auto"/>
      </w:divBdr>
    </w:div>
    <w:div w:id="1293052328">
      <w:bodyDiv w:val="1"/>
      <w:marLeft w:val="0"/>
      <w:marRight w:val="0"/>
      <w:marTop w:val="0"/>
      <w:marBottom w:val="0"/>
      <w:divBdr>
        <w:top w:val="none" w:sz="0" w:space="0" w:color="auto"/>
        <w:left w:val="none" w:sz="0" w:space="0" w:color="auto"/>
        <w:bottom w:val="none" w:sz="0" w:space="0" w:color="auto"/>
        <w:right w:val="none" w:sz="0" w:space="0" w:color="auto"/>
      </w:divBdr>
    </w:div>
    <w:div w:id="1293092308">
      <w:bodyDiv w:val="1"/>
      <w:marLeft w:val="0"/>
      <w:marRight w:val="0"/>
      <w:marTop w:val="0"/>
      <w:marBottom w:val="0"/>
      <w:divBdr>
        <w:top w:val="none" w:sz="0" w:space="0" w:color="auto"/>
        <w:left w:val="none" w:sz="0" w:space="0" w:color="auto"/>
        <w:bottom w:val="none" w:sz="0" w:space="0" w:color="auto"/>
        <w:right w:val="none" w:sz="0" w:space="0" w:color="auto"/>
      </w:divBdr>
    </w:div>
    <w:div w:id="1293360600">
      <w:bodyDiv w:val="1"/>
      <w:marLeft w:val="0"/>
      <w:marRight w:val="0"/>
      <w:marTop w:val="0"/>
      <w:marBottom w:val="0"/>
      <w:divBdr>
        <w:top w:val="none" w:sz="0" w:space="0" w:color="auto"/>
        <w:left w:val="none" w:sz="0" w:space="0" w:color="auto"/>
        <w:bottom w:val="none" w:sz="0" w:space="0" w:color="auto"/>
        <w:right w:val="none" w:sz="0" w:space="0" w:color="auto"/>
      </w:divBdr>
    </w:div>
    <w:div w:id="1294992038">
      <w:bodyDiv w:val="1"/>
      <w:marLeft w:val="0"/>
      <w:marRight w:val="0"/>
      <w:marTop w:val="0"/>
      <w:marBottom w:val="0"/>
      <w:divBdr>
        <w:top w:val="none" w:sz="0" w:space="0" w:color="auto"/>
        <w:left w:val="none" w:sz="0" w:space="0" w:color="auto"/>
        <w:bottom w:val="none" w:sz="0" w:space="0" w:color="auto"/>
        <w:right w:val="none" w:sz="0" w:space="0" w:color="auto"/>
      </w:divBdr>
    </w:div>
    <w:div w:id="1296713522">
      <w:bodyDiv w:val="1"/>
      <w:marLeft w:val="0"/>
      <w:marRight w:val="0"/>
      <w:marTop w:val="0"/>
      <w:marBottom w:val="0"/>
      <w:divBdr>
        <w:top w:val="none" w:sz="0" w:space="0" w:color="auto"/>
        <w:left w:val="none" w:sz="0" w:space="0" w:color="auto"/>
        <w:bottom w:val="none" w:sz="0" w:space="0" w:color="auto"/>
        <w:right w:val="none" w:sz="0" w:space="0" w:color="auto"/>
      </w:divBdr>
    </w:div>
    <w:div w:id="1296835018">
      <w:bodyDiv w:val="1"/>
      <w:marLeft w:val="0"/>
      <w:marRight w:val="0"/>
      <w:marTop w:val="0"/>
      <w:marBottom w:val="0"/>
      <w:divBdr>
        <w:top w:val="none" w:sz="0" w:space="0" w:color="auto"/>
        <w:left w:val="none" w:sz="0" w:space="0" w:color="auto"/>
        <w:bottom w:val="none" w:sz="0" w:space="0" w:color="auto"/>
        <w:right w:val="none" w:sz="0" w:space="0" w:color="auto"/>
      </w:divBdr>
    </w:div>
    <w:div w:id="1297875722">
      <w:bodyDiv w:val="1"/>
      <w:marLeft w:val="0"/>
      <w:marRight w:val="0"/>
      <w:marTop w:val="0"/>
      <w:marBottom w:val="0"/>
      <w:divBdr>
        <w:top w:val="none" w:sz="0" w:space="0" w:color="auto"/>
        <w:left w:val="none" w:sz="0" w:space="0" w:color="auto"/>
        <w:bottom w:val="none" w:sz="0" w:space="0" w:color="auto"/>
        <w:right w:val="none" w:sz="0" w:space="0" w:color="auto"/>
      </w:divBdr>
    </w:div>
    <w:div w:id="1301962881">
      <w:bodyDiv w:val="1"/>
      <w:marLeft w:val="0"/>
      <w:marRight w:val="0"/>
      <w:marTop w:val="0"/>
      <w:marBottom w:val="0"/>
      <w:divBdr>
        <w:top w:val="none" w:sz="0" w:space="0" w:color="auto"/>
        <w:left w:val="none" w:sz="0" w:space="0" w:color="auto"/>
        <w:bottom w:val="none" w:sz="0" w:space="0" w:color="auto"/>
        <w:right w:val="none" w:sz="0" w:space="0" w:color="auto"/>
      </w:divBdr>
    </w:div>
    <w:div w:id="1302349869">
      <w:bodyDiv w:val="1"/>
      <w:marLeft w:val="0"/>
      <w:marRight w:val="0"/>
      <w:marTop w:val="0"/>
      <w:marBottom w:val="0"/>
      <w:divBdr>
        <w:top w:val="none" w:sz="0" w:space="0" w:color="auto"/>
        <w:left w:val="none" w:sz="0" w:space="0" w:color="auto"/>
        <w:bottom w:val="none" w:sz="0" w:space="0" w:color="auto"/>
        <w:right w:val="none" w:sz="0" w:space="0" w:color="auto"/>
      </w:divBdr>
    </w:div>
    <w:div w:id="1303576978">
      <w:bodyDiv w:val="1"/>
      <w:marLeft w:val="0"/>
      <w:marRight w:val="0"/>
      <w:marTop w:val="0"/>
      <w:marBottom w:val="0"/>
      <w:divBdr>
        <w:top w:val="none" w:sz="0" w:space="0" w:color="auto"/>
        <w:left w:val="none" w:sz="0" w:space="0" w:color="auto"/>
        <w:bottom w:val="none" w:sz="0" w:space="0" w:color="auto"/>
        <w:right w:val="none" w:sz="0" w:space="0" w:color="auto"/>
      </w:divBdr>
    </w:div>
    <w:div w:id="1306930048">
      <w:bodyDiv w:val="1"/>
      <w:marLeft w:val="0"/>
      <w:marRight w:val="0"/>
      <w:marTop w:val="0"/>
      <w:marBottom w:val="0"/>
      <w:divBdr>
        <w:top w:val="none" w:sz="0" w:space="0" w:color="auto"/>
        <w:left w:val="none" w:sz="0" w:space="0" w:color="auto"/>
        <w:bottom w:val="none" w:sz="0" w:space="0" w:color="auto"/>
        <w:right w:val="none" w:sz="0" w:space="0" w:color="auto"/>
      </w:divBdr>
    </w:div>
    <w:div w:id="1307934525">
      <w:bodyDiv w:val="1"/>
      <w:marLeft w:val="0"/>
      <w:marRight w:val="0"/>
      <w:marTop w:val="0"/>
      <w:marBottom w:val="0"/>
      <w:divBdr>
        <w:top w:val="none" w:sz="0" w:space="0" w:color="auto"/>
        <w:left w:val="none" w:sz="0" w:space="0" w:color="auto"/>
        <w:bottom w:val="none" w:sz="0" w:space="0" w:color="auto"/>
        <w:right w:val="none" w:sz="0" w:space="0" w:color="auto"/>
      </w:divBdr>
    </w:div>
    <w:div w:id="1311791079">
      <w:bodyDiv w:val="1"/>
      <w:marLeft w:val="0"/>
      <w:marRight w:val="0"/>
      <w:marTop w:val="0"/>
      <w:marBottom w:val="0"/>
      <w:divBdr>
        <w:top w:val="none" w:sz="0" w:space="0" w:color="auto"/>
        <w:left w:val="none" w:sz="0" w:space="0" w:color="auto"/>
        <w:bottom w:val="none" w:sz="0" w:space="0" w:color="auto"/>
        <w:right w:val="none" w:sz="0" w:space="0" w:color="auto"/>
      </w:divBdr>
    </w:div>
    <w:div w:id="1313948580">
      <w:bodyDiv w:val="1"/>
      <w:marLeft w:val="0"/>
      <w:marRight w:val="0"/>
      <w:marTop w:val="0"/>
      <w:marBottom w:val="0"/>
      <w:divBdr>
        <w:top w:val="none" w:sz="0" w:space="0" w:color="auto"/>
        <w:left w:val="none" w:sz="0" w:space="0" w:color="auto"/>
        <w:bottom w:val="none" w:sz="0" w:space="0" w:color="auto"/>
        <w:right w:val="none" w:sz="0" w:space="0" w:color="auto"/>
      </w:divBdr>
    </w:div>
    <w:div w:id="1317029426">
      <w:bodyDiv w:val="1"/>
      <w:marLeft w:val="0"/>
      <w:marRight w:val="0"/>
      <w:marTop w:val="0"/>
      <w:marBottom w:val="0"/>
      <w:divBdr>
        <w:top w:val="none" w:sz="0" w:space="0" w:color="auto"/>
        <w:left w:val="none" w:sz="0" w:space="0" w:color="auto"/>
        <w:bottom w:val="none" w:sz="0" w:space="0" w:color="auto"/>
        <w:right w:val="none" w:sz="0" w:space="0" w:color="auto"/>
      </w:divBdr>
    </w:div>
    <w:div w:id="1317605793">
      <w:bodyDiv w:val="1"/>
      <w:marLeft w:val="0"/>
      <w:marRight w:val="0"/>
      <w:marTop w:val="0"/>
      <w:marBottom w:val="0"/>
      <w:divBdr>
        <w:top w:val="none" w:sz="0" w:space="0" w:color="auto"/>
        <w:left w:val="none" w:sz="0" w:space="0" w:color="auto"/>
        <w:bottom w:val="none" w:sz="0" w:space="0" w:color="auto"/>
        <w:right w:val="none" w:sz="0" w:space="0" w:color="auto"/>
      </w:divBdr>
    </w:div>
    <w:div w:id="1318075609">
      <w:bodyDiv w:val="1"/>
      <w:marLeft w:val="0"/>
      <w:marRight w:val="0"/>
      <w:marTop w:val="0"/>
      <w:marBottom w:val="0"/>
      <w:divBdr>
        <w:top w:val="none" w:sz="0" w:space="0" w:color="auto"/>
        <w:left w:val="none" w:sz="0" w:space="0" w:color="auto"/>
        <w:bottom w:val="none" w:sz="0" w:space="0" w:color="auto"/>
        <w:right w:val="none" w:sz="0" w:space="0" w:color="auto"/>
      </w:divBdr>
    </w:div>
    <w:div w:id="1318920602">
      <w:bodyDiv w:val="1"/>
      <w:marLeft w:val="0"/>
      <w:marRight w:val="0"/>
      <w:marTop w:val="0"/>
      <w:marBottom w:val="0"/>
      <w:divBdr>
        <w:top w:val="none" w:sz="0" w:space="0" w:color="auto"/>
        <w:left w:val="none" w:sz="0" w:space="0" w:color="auto"/>
        <w:bottom w:val="none" w:sz="0" w:space="0" w:color="auto"/>
        <w:right w:val="none" w:sz="0" w:space="0" w:color="auto"/>
      </w:divBdr>
    </w:div>
    <w:div w:id="1320502255">
      <w:bodyDiv w:val="1"/>
      <w:marLeft w:val="0"/>
      <w:marRight w:val="0"/>
      <w:marTop w:val="0"/>
      <w:marBottom w:val="0"/>
      <w:divBdr>
        <w:top w:val="none" w:sz="0" w:space="0" w:color="auto"/>
        <w:left w:val="none" w:sz="0" w:space="0" w:color="auto"/>
        <w:bottom w:val="none" w:sz="0" w:space="0" w:color="auto"/>
        <w:right w:val="none" w:sz="0" w:space="0" w:color="auto"/>
      </w:divBdr>
    </w:div>
    <w:div w:id="1321690998">
      <w:bodyDiv w:val="1"/>
      <w:marLeft w:val="0"/>
      <w:marRight w:val="0"/>
      <w:marTop w:val="0"/>
      <w:marBottom w:val="0"/>
      <w:divBdr>
        <w:top w:val="none" w:sz="0" w:space="0" w:color="auto"/>
        <w:left w:val="none" w:sz="0" w:space="0" w:color="auto"/>
        <w:bottom w:val="none" w:sz="0" w:space="0" w:color="auto"/>
        <w:right w:val="none" w:sz="0" w:space="0" w:color="auto"/>
      </w:divBdr>
    </w:div>
    <w:div w:id="1321958135">
      <w:bodyDiv w:val="1"/>
      <w:marLeft w:val="0"/>
      <w:marRight w:val="0"/>
      <w:marTop w:val="0"/>
      <w:marBottom w:val="0"/>
      <w:divBdr>
        <w:top w:val="none" w:sz="0" w:space="0" w:color="auto"/>
        <w:left w:val="none" w:sz="0" w:space="0" w:color="auto"/>
        <w:bottom w:val="none" w:sz="0" w:space="0" w:color="auto"/>
        <w:right w:val="none" w:sz="0" w:space="0" w:color="auto"/>
      </w:divBdr>
    </w:div>
    <w:div w:id="1322542879">
      <w:bodyDiv w:val="1"/>
      <w:marLeft w:val="0"/>
      <w:marRight w:val="0"/>
      <w:marTop w:val="0"/>
      <w:marBottom w:val="0"/>
      <w:divBdr>
        <w:top w:val="none" w:sz="0" w:space="0" w:color="auto"/>
        <w:left w:val="none" w:sz="0" w:space="0" w:color="auto"/>
        <w:bottom w:val="none" w:sz="0" w:space="0" w:color="auto"/>
        <w:right w:val="none" w:sz="0" w:space="0" w:color="auto"/>
      </w:divBdr>
    </w:div>
    <w:div w:id="1325207765">
      <w:bodyDiv w:val="1"/>
      <w:marLeft w:val="0"/>
      <w:marRight w:val="0"/>
      <w:marTop w:val="0"/>
      <w:marBottom w:val="0"/>
      <w:divBdr>
        <w:top w:val="none" w:sz="0" w:space="0" w:color="auto"/>
        <w:left w:val="none" w:sz="0" w:space="0" w:color="auto"/>
        <w:bottom w:val="none" w:sz="0" w:space="0" w:color="auto"/>
        <w:right w:val="none" w:sz="0" w:space="0" w:color="auto"/>
      </w:divBdr>
    </w:div>
    <w:div w:id="1325354558">
      <w:bodyDiv w:val="1"/>
      <w:marLeft w:val="0"/>
      <w:marRight w:val="0"/>
      <w:marTop w:val="0"/>
      <w:marBottom w:val="0"/>
      <w:divBdr>
        <w:top w:val="none" w:sz="0" w:space="0" w:color="auto"/>
        <w:left w:val="none" w:sz="0" w:space="0" w:color="auto"/>
        <w:bottom w:val="none" w:sz="0" w:space="0" w:color="auto"/>
        <w:right w:val="none" w:sz="0" w:space="0" w:color="auto"/>
      </w:divBdr>
    </w:div>
    <w:div w:id="1327631843">
      <w:bodyDiv w:val="1"/>
      <w:marLeft w:val="0"/>
      <w:marRight w:val="0"/>
      <w:marTop w:val="0"/>
      <w:marBottom w:val="0"/>
      <w:divBdr>
        <w:top w:val="none" w:sz="0" w:space="0" w:color="auto"/>
        <w:left w:val="none" w:sz="0" w:space="0" w:color="auto"/>
        <w:bottom w:val="none" w:sz="0" w:space="0" w:color="auto"/>
        <w:right w:val="none" w:sz="0" w:space="0" w:color="auto"/>
      </w:divBdr>
    </w:div>
    <w:div w:id="1329555331">
      <w:bodyDiv w:val="1"/>
      <w:marLeft w:val="0"/>
      <w:marRight w:val="0"/>
      <w:marTop w:val="0"/>
      <w:marBottom w:val="0"/>
      <w:divBdr>
        <w:top w:val="none" w:sz="0" w:space="0" w:color="auto"/>
        <w:left w:val="none" w:sz="0" w:space="0" w:color="auto"/>
        <w:bottom w:val="none" w:sz="0" w:space="0" w:color="auto"/>
        <w:right w:val="none" w:sz="0" w:space="0" w:color="auto"/>
      </w:divBdr>
    </w:div>
    <w:div w:id="1330212457">
      <w:bodyDiv w:val="1"/>
      <w:marLeft w:val="0"/>
      <w:marRight w:val="0"/>
      <w:marTop w:val="0"/>
      <w:marBottom w:val="0"/>
      <w:divBdr>
        <w:top w:val="none" w:sz="0" w:space="0" w:color="auto"/>
        <w:left w:val="none" w:sz="0" w:space="0" w:color="auto"/>
        <w:bottom w:val="none" w:sz="0" w:space="0" w:color="auto"/>
        <w:right w:val="none" w:sz="0" w:space="0" w:color="auto"/>
      </w:divBdr>
    </w:div>
    <w:div w:id="1330523223">
      <w:bodyDiv w:val="1"/>
      <w:marLeft w:val="0"/>
      <w:marRight w:val="0"/>
      <w:marTop w:val="0"/>
      <w:marBottom w:val="0"/>
      <w:divBdr>
        <w:top w:val="none" w:sz="0" w:space="0" w:color="auto"/>
        <w:left w:val="none" w:sz="0" w:space="0" w:color="auto"/>
        <w:bottom w:val="none" w:sz="0" w:space="0" w:color="auto"/>
        <w:right w:val="none" w:sz="0" w:space="0" w:color="auto"/>
      </w:divBdr>
    </w:div>
    <w:div w:id="1330717474">
      <w:bodyDiv w:val="1"/>
      <w:marLeft w:val="0"/>
      <w:marRight w:val="0"/>
      <w:marTop w:val="0"/>
      <w:marBottom w:val="0"/>
      <w:divBdr>
        <w:top w:val="none" w:sz="0" w:space="0" w:color="auto"/>
        <w:left w:val="none" w:sz="0" w:space="0" w:color="auto"/>
        <w:bottom w:val="none" w:sz="0" w:space="0" w:color="auto"/>
        <w:right w:val="none" w:sz="0" w:space="0" w:color="auto"/>
      </w:divBdr>
    </w:div>
    <w:div w:id="1331522625">
      <w:bodyDiv w:val="1"/>
      <w:marLeft w:val="0"/>
      <w:marRight w:val="0"/>
      <w:marTop w:val="0"/>
      <w:marBottom w:val="0"/>
      <w:divBdr>
        <w:top w:val="none" w:sz="0" w:space="0" w:color="auto"/>
        <w:left w:val="none" w:sz="0" w:space="0" w:color="auto"/>
        <w:bottom w:val="none" w:sz="0" w:space="0" w:color="auto"/>
        <w:right w:val="none" w:sz="0" w:space="0" w:color="auto"/>
      </w:divBdr>
    </w:div>
    <w:div w:id="1332835182">
      <w:bodyDiv w:val="1"/>
      <w:marLeft w:val="0"/>
      <w:marRight w:val="0"/>
      <w:marTop w:val="0"/>
      <w:marBottom w:val="0"/>
      <w:divBdr>
        <w:top w:val="none" w:sz="0" w:space="0" w:color="auto"/>
        <w:left w:val="none" w:sz="0" w:space="0" w:color="auto"/>
        <w:bottom w:val="none" w:sz="0" w:space="0" w:color="auto"/>
        <w:right w:val="none" w:sz="0" w:space="0" w:color="auto"/>
      </w:divBdr>
    </w:div>
    <w:div w:id="1335718335">
      <w:bodyDiv w:val="1"/>
      <w:marLeft w:val="0"/>
      <w:marRight w:val="0"/>
      <w:marTop w:val="0"/>
      <w:marBottom w:val="0"/>
      <w:divBdr>
        <w:top w:val="none" w:sz="0" w:space="0" w:color="auto"/>
        <w:left w:val="none" w:sz="0" w:space="0" w:color="auto"/>
        <w:bottom w:val="none" w:sz="0" w:space="0" w:color="auto"/>
        <w:right w:val="none" w:sz="0" w:space="0" w:color="auto"/>
      </w:divBdr>
    </w:div>
    <w:div w:id="1338266288">
      <w:bodyDiv w:val="1"/>
      <w:marLeft w:val="0"/>
      <w:marRight w:val="0"/>
      <w:marTop w:val="0"/>
      <w:marBottom w:val="0"/>
      <w:divBdr>
        <w:top w:val="none" w:sz="0" w:space="0" w:color="auto"/>
        <w:left w:val="none" w:sz="0" w:space="0" w:color="auto"/>
        <w:bottom w:val="none" w:sz="0" w:space="0" w:color="auto"/>
        <w:right w:val="none" w:sz="0" w:space="0" w:color="auto"/>
      </w:divBdr>
    </w:div>
    <w:div w:id="1338340399">
      <w:bodyDiv w:val="1"/>
      <w:marLeft w:val="0"/>
      <w:marRight w:val="0"/>
      <w:marTop w:val="0"/>
      <w:marBottom w:val="0"/>
      <w:divBdr>
        <w:top w:val="none" w:sz="0" w:space="0" w:color="auto"/>
        <w:left w:val="none" w:sz="0" w:space="0" w:color="auto"/>
        <w:bottom w:val="none" w:sz="0" w:space="0" w:color="auto"/>
        <w:right w:val="none" w:sz="0" w:space="0" w:color="auto"/>
      </w:divBdr>
    </w:div>
    <w:div w:id="1339772198">
      <w:bodyDiv w:val="1"/>
      <w:marLeft w:val="0"/>
      <w:marRight w:val="0"/>
      <w:marTop w:val="0"/>
      <w:marBottom w:val="0"/>
      <w:divBdr>
        <w:top w:val="none" w:sz="0" w:space="0" w:color="auto"/>
        <w:left w:val="none" w:sz="0" w:space="0" w:color="auto"/>
        <w:bottom w:val="none" w:sz="0" w:space="0" w:color="auto"/>
        <w:right w:val="none" w:sz="0" w:space="0" w:color="auto"/>
      </w:divBdr>
    </w:div>
    <w:div w:id="1341007901">
      <w:bodyDiv w:val="1"/>
      <w:marLeft w:val="0"/>
      <w:marRight w:val="0"/>
      <w:marTop w:val="0"/>
      <w:marBottom w:val="0"/>
      <w:divBdr>
        <w:top w:val="none" w:sz="0" w:space="0" w:color="auto"/>
        <w:left w:val="none" w:sz="0" w:space="0" w:color="auto"/>
        <w:bottom w:val="none" w:sz="0" w:space="0" w:color="auto"/>
        <w:right w:val="none" w:sz="0" w:space="0" w:color="auto"/>
      </w:divBdr>
    </w:div>
    <w:div w:id="1341471075">
      <w:bodyDiv w:val="1"/>
      <w:marLeft w:val="0"/>
      <w:marRight w:val="0"/>
      <w:marTop w:val="0"/>
      <w:marBottom w:val="0"/>
      <w:divBdr>
        <w:top w:val="none" w:sz="0" w:space="0" w:color="auto"/>
        <w:left w:val="none" w:sz="0" w:space="0" w:color="auto"/>
        <w:bottom w:val="none" w:sz="0" w:space="0" w:color="auto"/>
        <w:right w:val="none" w:sz="0" w:space="0" w:color="auto"/>
      </w:divBdr>
    </w:div>
    <w:div w:id="1341814777">
      <w:bodyDiv w:val="1"/>
      <w:marLeft w:val="0"/>
      <w:marRight w:val="0"/>
      <w:marTop w:val="0"/>
      <w:marBottom w:val="0"/>
      <w:divBdr>
        <w:top w:val="none" w:sz="0" w:space="0" w:color="auto"/>
        <w:left w:val="none" w:sz="0" w:space="0" w:color="auto"/>
        <w:bottom w:val="none" w:sz="0" w:space="0" w:color="auto"/>
        <w:right w:val="none" w:sz="0" w:space="0" w:color="auto"/>
      </w:divBdr>
    </w:div>
    <w:div w:id="1342468236">
      <w:bodyDiv w:val="1"/>
      <w:marLeft w:val="0"/>
      <w:marRight w:val="0"/>
      <w:marTop w:val="0"/>
      <w:marBottom w:val="0"/>
      <w:divBdr>
        <w:top w:val="none" w:sz="0" w:space="0" w:color="auto"/>
        <w:left w:val="none" w:sz="0" w:space="0" w:color="auto"/>
        <w:bottom w:val="none" w:sz="0" w:space="0" w:color="auto"/>
        <w:right w:val="none" w:sz="0" w:space="0" w:color="auto"/>
      </w:divBdr>
    </w:div>
    <w:div w:id="1343553813">
      <w:bodyDiv w:val="1"/>
      <w:marLeft w:val="0"/>
      <w:marRight w:val="0"/>
      <w:marTop w:val="0"/>
      <w:marBottom w:val="0"/>
      <w:divBdr>
        <w:top w:val="none" w:sz="0" w:space="0" w:color="auto"/>
        <w:left w:val="none" w:sz="0" w:space="0" w:color="auto"/>
        <w:bottom w:val="none" w:sz="0" w:space="0" w:color="auto"/>
        <w:right w:val="none" w:sz="0" w:space="0" w:color="auto"/>
      </w:divBdr>
    </w:div>
    <w:div w:id="1343899612">
      <w:bodyDiv w:val="1"/>
      <w:marLeft w:val="0"/>
      <w:marRight w:val="0"/>
      <w:marTop w:val="0"/>
      <w:marBottom w:val="0"/>
      <w:divBdr>
        <w:top w:val="none" w:sz="0" w:space="0" w:color="auto"/>
        <w:left w:val="none" w:sz="0" w:space="0" w:color="auto"/>
        <w:bottom w:val="none" w:sz="0" w:space="0" w:color="auto"/>
        <w:right w:val="none" w:sz="0" w:space="0" w:color="auto"/>
      </w:divBdr>
    </w:div>
    <w:div w:id="1345084615">
      <w:bodyDiv w:val="1"/>
      <w:marLeft w:val="0"/>
      <w:marRight w:val="0"/>
      <w:marTop w:val="0"/>
      <w:marBottom w:val="0"/>
      <w:divBdr>
        <w:top w:val="none" w:sz="0" w:space="0" w:color="auto"/>
        <w:left w:val="none" w:sz="0" w:space="0" w:color="auto"/>
        <w:bottom w:val="none" w:sz="0" w:space="0" w:color="auto"/>
        <w:right w:val="none" w:sz="0" w:space="0" w:color="auto"/>
      </w:divBdr>
    </w:div>
    <w:div w:id="1345326340">
      <w:bodyDiv w:val="1"/>
      <w:marLeft w:val="0"/>
      <w:marRight w:val="0"/>
      <w:marTop w:val="0"/>
      <w:marBottom w:val="0"/>
      <w:divBdr>
        <w:top w:val="none" w:sz="0" w:space="0" w:color="auto"/>
        <w:left w:val="none" w:sz="0" w:space="0" w:color="auto"/>
        <w:bottom w:val="none" w:sz="0" w:space="0" w:color="auto"/>
        <w:right w:val="none" w:sz="0" w:space="0" w:color="auto"/>
      </w:divBdr>
    </w:div>
    <w:div w:id="1347748323">
      <w:bodyDiv w:val="1"/>
      <w:marLeft w:val="0"/>
      <w:marRight w:val="0"/>
      <w:marTop w:val="0"/>
      <w:marBottom w:val="0"/>
      <w:divBdr>
        <w:top w:val="none" w:sz="0" w:space="0" w:color="auto"/>
        <w:left w:val="none" w:sz="0" w:space="0" w:color="auto"/>
        <w:bottom w:val="none" w:sz="0" w:space="0" w:color="auto"/>
        <w:right w:val="none" w:sz="0" w:space="0" w:color="auto"/>
      </w:divBdr>
    </w:div>
    <w:div w:id="1349063700">
      <w:bodyDiv w:val="1"/>
      <w:marLeft w:val="0"/>
      <w:marRight w:val="0"/>
      <w:marTop w:val="0"/>
      <w:marBottom w:val="0"/>
      <w:divBdr>
        <w:top w:val="none" w:sz="0" w:space="0" w:color="auto"/>
        <w:left w:val="none" w:sz="0" w:space="0" w:color="auto"/>
        <w:bottom w:val="none" w:sz="0" w:space="0" w:color="auto"/>
        <w:right w:val="none" w:sz="0" w:space="0" w:color="auto"/>
      </w:divBdr>
    </w:div>
    <w:div w:id="1349523723">
      <w:bodyDiv w:val="1"/>
      <w:marLeft w:val="0"/>
      <w:marRight w:val="0"/>
      <w:marTop w:val="0"/>
      <w:marBottom w:val="0"/>
      <w:divBdr>
        <w:top w:val="none" w:sz="0" w:space="0" w:color="auto"/>
        <w:left w:val="none" w:sz="0" w:space="0" w:color="auto"/>
        <w:bottom w:val="none" w:sz="0" w:space="0" w:color="auto"/>
        <w:right w:val="none" w:sz="0" w:space="0" w:color="auto"/>
      </w:divBdr>
    </w:div>
    <w:div w:id="1350908753">
      <w:bodyDiv w:val="1"/>
      <w:marLeft w:val="0"/>
      <w:marRight w:val="0"/>
      <w:marTop w:val="0"/>
      <w:marBottom w:val="0"/>
      <w:divBdr>
        <w:top w:val="none" w:sz="0" w:space="0" w:color="auto"/>
        <w:left w:val="none" w:sz="0" w:space="0" w:color="auto"/>
        <w:bottom w:val="none" w:sz="0" w:space="0" w:color="auto"/>
        <w:right w:val="none" w:sz="0" w:space="0" w:color="auto"/>
      </w:divBdr>
    </w:div>
    <w:div w:id="1351100380">
      <w:bodyDiv w:val="1"/>
      <w:marLeft w:val="0"/>
      <w:marRight w:val="0"/>
      <w:marTop w:val="0"/>
      <w:marBottom w:val="0"/>
      <w:divBdr>
        <w:top w:val="none" w:sz="0" w:space="0" w:color="auto"/>
        <w:left w:val="none" w:sz="0" w:space="0" w:color="auto"/>
        <w:bottom w:val="none" w:sz="0" w:space="0" w:color="auto"/>
        <w:right w:val="none" w:sz="0" w:space="0" w:color="auto"/>
      </w:divBdr>
    </w:div>
    <w:div w:id="1351368494">
      <w:bodyDiv w:val="1"/>
      <w:marLeft w:val="0"/>
      <w:marRight w:val="0"/>
      <w:marTop w:val="0"/>
      <w:marBottom w:val="0"/>
      <w:divBdr>
        <w:top w:val="none" w:sz="0" w:space="0" w:color="auto"/>
        <w:left w:val="none" w:sz="0" w:space="0" w:color="auto"/>
        <w:bottom w:val="none" w:sz="0" w:space="0" w:color="auto"/>
        <w:right w:val="none" w:sz="0" w:space="0" w:color="auto"/>
      </w:divBdr>
    </w:div>
    <w:div w:id="1351493228">
      <w:bodyDiv w:val="1"/>
      <w:marLeft w:val="0"/>
      <w:marRight w:val="0"/>
      <w:marTop w:val="0"/>
      <w:marBottom w:val="0"/>
      <w:divBdr>
        <w:top w:val="none" w:sz="0" w:space="0" w:color="auto"/>
        <w:left w:val="none" w:sz="0" w:space="0" w:color="auto"/>
        <w:bottom w:val="none" w:sz="0" w:space="0" w:color="auto"/>
        <w:right w:val="none" w:sz="0" w:space="0" w:color="auto"/>
      </w:divBdr>
    </w:div>
    <w:div w:id="1354528803">
      <w:bodyDiv w:val="1"/>
      <w:marLeft w:val="0"/>
      <w:marRight w:val="0"/>
      <w:marTop w:val="0"/>
      <w:marBottom w:val="0"/>
      <w:divBdr>
        <w:top w:val="none" w:sz="0" w:space="0" w:color="auto"/>
        <w:left w:val="none" w:sz="0" w:space="0" w:color="auto"/>
        <w:bottom w:val="none" w:sz="0" w:space="0" w:color="auto"/>
        <w:right w:val="none" w:sz="0" w:space="0" w:color="auto"/>
      </w:divBdr>
    </w:div>
    <w:div w:id="1355617260">
      <w:bodyDiv w:val="1"/>
      <w:marLeft w:val="0"/>
      <w:marRight w:val="0"/>
      <w:marTop w:val="0"/>
      <w:marBottom w:val="0"/>
      <w:divBdr>
        <w:top w:val="none" w:sz="0" w:space="0" w:color="auto"/>
        <w:left w:val="none" w:sz="0" w:space="0" w:color="auto"/>
        <w:bottom w:val="none" w:sz="0" w:space="0" w:color="auto"/>
        <w:right w:val="none" w:sz="0" w:space="0" w:color="auto"/>
      </w:divBdr>
    </w:div>
    <w:div w:id="1356076202">
      <w:bodyDiv w:val="1"/>
      <w:marLeft w:val="0"/>
      <w:marRight w:val="0"/>
      <w:marTop w:val="0"/>
      <w:marBottom w:val="0"/>
      <w:divBdr>
        <w:top w:val="none" w:sz="0" w:space="0" w:color="auto"/>
        <w:left w:val="none" w:sz="0" w:space="0" w:color="auto"/>
        <w:bottom w:val="none" w:sz="0" w:space="0" w:color="auto"/>
        <w:right w:val="none" w:sz="0" w:space="0" w:color="auto"/>
      </w:divBdr>
    </w:div>
    <w:div w:id="1356807899">
      <w:bodyDiv w:val="1"/>
      <w:marLeft w:val="0"/>
      <w:marRight w:val="0"/>
      <w:marTop w:val="0"/>
      <w:marBottom w:val="0"/>
      <w:divBdr>
        <w:top w:val="none" w:sz="0" w:space="0" w:color="auto"/>
        <w:left w:val="none" w:sz="0" w:space="0" w:color="auto"/>
        <w:bottom w:val="none" w:sz="0" w:space="0" w:color="auto"/>
        <w:right w:val="none" w:sz="0" w:space="0" w:color="auto"/>
      </w:divBdr>
    </w:div>
    <w:div w:id="1357343509">
      <w:bodyDiv w:val="1"/>
      <w:marLeft w:val="0"/>
      <w:marRight w:val="0"/>
      <w:marTop w:val="0"/>
      <w:marBottom w:val="0"/>
      <w:divBdr>
        <w:top w:val="none" w:sz="0" w:space="0" w:color="auto"/>
        <w:left w:val="none" w:sz="0" w:space="0" w:color="auto"/>
        <w:bottom w:val="none" w:sz="0" w:space="0" w:color="auto"/>
        <w:right w:val="none" w:sz="0" w:space="0" w:color="auto"/>
      </w:divBdr>
    </w:div>
    <w:div w:id="1358235722">
      <w:bodyDiv w:val="1"/>
      <w:marLeft w:val="0"/>
      <w:marRight w:val="0"/>
      <w:marTop w:val="0"/>
      <w:marBottom w:val="0"/>
      <w:divBdr>
        <w:top w:val="none" w:sz="0" w:space="0" w:color="auto"/>
        <w:left w:val="none" w:sz="0" w:space="0" w:color="auto"/>
        <w:bottom w:val="none" w:sz="0" w:space="0" w:color="auto"/>
        <w:right w:val="none" w:sz="0" w:space="0" w:color="auto"/>
      </w:divBdr>
    </w:div>
    <w:div w:id="1362513675">
      <w:bodyDiv w:val="1"/>
      <w:marLeft w:val="0"/>
      <w:marRight w:val="0"/>
      <w:marTop w:val="0"/>
      <w:marBottom w:val="0"/>
      <w:divBdr>
        <w:top w:val="none" w:sz="0" w:space="0" w:color="auto"/>
        <w:left w:val="none" w:sz="0" w:space="0" w:color="auto"/>
        <w:bottom w:val="none" w:sz="0" w:space="0" w:color="auto"/>
        <w:right w:val="none" w:sz="0" w:space="0" w:color="auto"/>
      </w:divBdr>
    </w:div>
    <w:div w:id="1362900049">
      <w:bodyDiv w:val="1"/>
      <w:marLeft w:val="0"/>
      <w:marRight w:val="0"/>
      <w:marTop w:val="0"/>
      <w:marBottom w:val="0"/>
      <w:divBdr>
        <w:top w:val="none" w:sz="0" w:space="0" w:color="auto"/>
        <w:left w:val="none" w:sz="0" w:space="0" w:color="auto"/>
        <w:bottom w:val="none" w:sz="0" w:space="0" w:color="auto"/>
        <w:right w:val="none" w:sz="0" w:space="0" w:color="auto"/>
      </w:divBdr>
    </w:div>
    <w:div w:id="1362970839">
      <w:bodyDiv w:val="1"/>
      <w:marLeft w:val="0"/>
      <w:marRight w:val="0"/>
      <w:marTop w:val="0"/>
      <w:marBottom w:val="0"/>
      <w:divBdr>
        <w:top w:val="none" w:sz="0" w:space="0" w:color="auto"/>
        <w:left w:val="none" w:sz="0" w:space="0" w:color="auto"/>
        <w:bottom w:val="none" w:sz="0" w:space="0" w:color="auto"/>
        <w:right w:val="none" w:sz="0" w:space="0" w:color="auto"/>
      </w:divBdr>
    </w:div>
    <w:div w:id="1365709622">
      <w:bodyDiv w:val="1"/>
      <w:marLeft w:val="0"/>
      <w:marRight w:val="0"/>
      <w:marTop w:val="0"/>
      <w:marBottom w:val="0"/>
      <w:divBdr>
        <w:top w:val="none" w:sz="0" w:space="0" w:color="auto"/>
        <w:left w:val="none" w:sz="0" w:space="0" w:color="auto"/>
        <w:bottom w:val="none" w:sz="0" w:space="0" w:color="auto"/>
        <w:right w:val="none" w:sz="0" w:space="0" w:color="auto"/>
      </w:divBdr>
    </w:div>
    <w:div w:id="1365863102">
      <w:bodyDiv w:val="1"/>
      <w:marLeft w:val="0"/>
      <w:marRight w:val="0"/>
      <w:marTop w:val="0"/>
      <w:marBottom w:val="0"/>
      <w:divBdr>
        <w:top w:val="none" w:sz="0" w:space="0" w:color="auto"/>
        <w:left w:val="none" w:sz="0" w:space="0" w:color="auto"/>
        <w:bottom w:val="none" w:sz="0" w:space="0" w:color="auto"/>
        <w:right w:val="none" w:sz="0" w:space="0" w:color="auto"/>
      </w:divBdr>
    </w:div>
    <w:div w:id="1365863446">
      <w:bodyDiv w:val="1"/>
      <w:marLeft w:val="0"/>
      <w:marRight w:val="0"/>
      <w:marTop w:val="0"/>
      <w:marBottom w:val="0"/>
      <w:divBdr>
        <w:top w:val="none" w:sz="0" w:space="0" w:color="auto"/>
        <w:left w:val="none" w:sz="0" w:space="0" w:color="auto"/>
        <w:bottom w:val="none" w:sz="0" w:space="0" w:color="auto"/>
        <w:right w:val="none" w:sz="0" w:space="0" w:color="auto"/>
      </w:divBdr>
    </w:div>
    <w:div w:id="1367028536">
      <w:bodyDiv w:val="1"/>
      <w:marLeft w:val="0"/>
      <w:marRight w:val="0"/>
      <w:marTop w:val="0"/>
      <w:marBottom w:val="0"/>
      <w:divBdr>
        <w:top w:val="none" w:sz="0" w:space="0" w:color="auto"/>
        <w:left w:val="none" w:sz="0" w:space="0" w:color="auto"/>
        <w:bottom w:val="none" w:sz="0" w:space="0" w:color="auto"/>
        <w:right w:val="none" w:sz="0" w:space="0" w:color="auto"/>
      </w:divBdr>
    </w:div>
    <w:div w:id="1368020784">
      <w:bodyDiv w:val="1"/>
      <w:marLeft w:val="0"/>
      <w:marRight w:val="0"/>
      <w:marTop w:val="0"/>
      <w:marBottom w:val="0"/>
      <w:divBdr>
        <w:top w:val="none" w:sz="0" w:space="0" w:color="auto"/>
        <w:left w:val="none" w:sz="0" w:space="0" w:color="auto"/>
        <w:bottom w:val="none" w:sz="0" w:space="0" w:color="auto"/>
        <w:right w:val="none" w:sz="0" w:space="0" w:color="auto"/>
      </w:divBdr>
    </w:div>
    <w:div w:id="1372681039">
      <w:bodyDiv w:val="1"/>
      <w:marLeft w:val="0"/>
      <w:marRight w:val="0"/>
      <w:marTop w:val="0"/>
      <w:marBottom w:val="0"/>
      <w:divBdr>
        <w:top w:val="none" w:sz="0" w:space="0" w:color="auto"/>
        <w:left w:val="none" w:sz="0" w:space="0" w:color="auto"/>
        <w:bottom w:val="none" w:sz="0" w:space="0" w:color="auto"/>
        <w:right w:val="none" w:sz="0" w:space="0" w:color="auto"/>
      </w:divBdr>
    </w:div>
    <w:div w:id="1373381810">
      <w:bodyDiv w:val="1"/>
      <w:marLeft w:val="0"/>
      <w:marRight w:val="0"/>
      <w:marTop w:val="0"/>
      <w:marBottom w:val="0"/>
      <w:divBdr>
        <w:top w:val="none" w:sz="0" w:space="0" w:color="auto"/>
        <w:left w:val="none" w:sz="0" w:space="0" w:color="auto"/>
        <w:bottom w:val="none" w:sz="0" w:space="0" w:color="auto"/>
        <w:right w:val="none" w:sz="0" w:space="0" w:color="auto"/>
      </w:divBdr>
    </w:div>
    <w:div w:id="1378050263">
      <w:bodyDiv w:val="1"/>
      <w:marLeft w:val="0"/>
      <w:marRight w:val="0"/>
      <w:marTop w:val="0"/>
      <w:marBottom w:val="0"/>
      <w:divBdr>
        <w:top w:val="none" w:sz="0" w:space="0" w:color="auto"/>
        <w:left w:val="none" w:sz="0" w:space="0" w:color="auto"/>
        <w:bottom w:val="none" w:sz="0" w:space="0" w:color="auto"/>
        <w:right w:val="none" w:sz="0" w:space="0" w:color="auto"/>
      </w:divBdr>
    </w:div>
    <w:div w:id="1378551246">
      <w:bodyDiv w:val="1"/>
      <w:marLeft w:val="0"/>
      <w:marRight w:val="0"/>
      <w:marTop w:val="0"/>
      <w:marBottom w:val="0"/>
      <w:divBdr>
        <w:top w:val="none" w:sz="0" w:space="0" w:color="auto"/>
        <w:left w:val="none" w:sz="0" w:space="0" w:color="auto"/>
        <w:bottom w:val="none" w:sz="0" w:space="0" w:color="auto"/>
        <w:right w:val="none" w:sz="0" w:space="0" w:color="auto"/>
      </w:divBdr>
    </w:div>
    <w:div w:id="1380322259">
      <w:bodyDiv w:val="1"/>
      <w:marLeft w:val="0"/>
      <w:marRight w:val="0"/>
      <w:marTop w:val="0"/>
      <w:marBottom w:val="0"/>
      <w:divBdr>
        <w:top w:val="none" w:sz="0" w:space="0" w:color="auto"/>
        <w:left w:val="none" w:sz="0" w:space="0" w:color="auto"/>
        <w:bottom w:val="none" w:sz="0" w:space="0" w:color="auto"/>
        <w:right w:val="none" w:sz="0" w:space="0" w:color="auto"/>
      </w:divBdr>
    </w:div>
    <w:div w:id="1380478159">
      <w:bodyDiv w:val="1"/>
      <w:marLeft w:val="0"/>
      <w:marRight w:val="0"/>
      <w:marTop w:val="0"/>
      <w:marBottom w:val="0"/>
      <w:divBdr>
        <w:top w:val="none" w:sz="0" w:space="0" w:color="auto"/>
        <w:left w:val="none" w:sz="0" w:space="0" w:color="auto"/>
        <w:bottom w:val="none" w:sz="0" w:space="0" w:color="auto"/>
        <w:right w:val="none" w:sz="0" w:space="0" w:color="auto"/>
      </w:divBdr>
    </w:div>
    <w:div w:id="1380594616">
      <w:bodyDiv w:val="1"/>
      <w:marLeft w:val="0"/>
      <w:marRight w:val="0"/>
      <w:marTop w:val="0"/>
      <w:marBottom w:val="0"/>
      <w:divBdr>
        <w:top w:val="none" w:sz="0" w:space="0" w:color="auto"/>
        <w:left w:val="none" w:sz="0" w:space="0" w:color="auto"/>
        <w:bottom w:val="none" w:sz="0" w:space="0" w:color="auto"/>
        <w:right w:val="none" w:sz="0" w:space="0" w:color="auto"/>
      </w:divBdr>
    </w:div>
    <w:div w:id="1380785051">
      <w:bodyDiv w:val="1"/>
      <w:marLeft w:val="0"/>
      <w:marRight w:val="0"/>
      <w:marTop w:val="0"/>
      <w:marBottom w:val="0"/>
      <w:divBdr>
        <w:top w:val="none" w:sz="0" w:space="0" w:color="auto"/>
        <w:left w:val="none" w:sz="0" w:space="0" w:color="auto"/>
        <w:bottom w:val="none" w:sz="0" w:space="0" w:color="auto"/>
        <w:right w:val="none" w:sz="0" w:space="0" w:color="auto"/>
      </w:divBdr>
    </w:div>
    <w:div w:id="1380863189">
      <w:bodyDiv w:val="1"/>
      <w:marLeft w:val="0"/>
      <w:marRight w:val="0"/>
      <w:marTop w:val="0"/>
      <w:marBottom w:val="0"/>
      <w:divBdr>
        <w:top w:val="none" w:sz="0" w:space="0" w:color="auto"/>
        <w:left w:val="none" w:sz="0" w:space="0" w:color="auto"/>
        <w:bottom w:val="none" w:sz="0" w:space="0" w:color="auto"/>
        <w:right w:val="none" w:sz="0" w:space="0" w:color="auto"/>
      </w:divBdr>
    </w:div>
    <w:div w:id="1380976058">
      <w:bodyDiv w:val="1"/>
      <w:marLeft w:val="0"/>
      <w:marRight w:val="0"/>
      <w:marTop w:val="0"/>
      <w:marBottom w:val="0"/>
      <w:divBdr>
        <w:top w:val="none" w:sz="0" w:space="0" w:color="auto"/>
        <w:left w:val="none" w:sz="0" w:space="0" w:color="auto"/>
        <w:bottom w:val="none" w:sz="0" w:space="0" w:color="auto"/>
        <w:right w:val="none" w:sz="0" w:space="0" w:color="auto"/>
      </w:divBdr>
    </w:div>
    <w:div w:id="1381242430">
      <w:bodyDiv w:val="1"/>
      <w:marLeft w:val="0"/>
      <w:marRight w:val="0"/>
      <w:marTop w:val="0"/>
      <w:marBottom w:val="0"/>
      <w:divBdr>
        <w:top w:val="none" w:sz="0" w:space="0" w:color="auto"/>
        <w:left w:val="none" w:sz="0" w:space="0" w:color="auto"/>
        <w:bottom w:val="none" w:sz="0" w:space="0" w:color="auto"/>
        <w:right w:val="none" w:sz="0" w:space="0" w:color="auto"/>
      </w:divBdr>
    </w:div>
    <w:div w:id="1382680029">
      <w:bodyDiv w:val="1"/>
      <w:marLeft w:val="0"/>
      <w:marRight w:val="0"/>
      <w:marTop w:val="0"/>
      <w:marBottom w:val="0"/>
      <w:divBdr>
        <w:top w:val="none" w:sz="0" w:space="0" w:color="auto"/>
        <w:left w:val="none" w:sz="0" w:space="0" w:color="auto"/>
        <w:bottom w:val="none" w:sz="0" w:space="0" w:color="auto"/>
        <w:right w:val="none" w:sz="0" w:space="0" w:color="auto"/>
      </w:divBdr>
    </w:div>
    <w:div w:id="1383167857">
      <w:bodyDiv w:val="1"/>
      <w:marLeft w:val="0"/>
      <w:marRight w:val="0"/>
      <w:marTop w:val="0"/>
      <w:marBottom w:val="0"/>
      <w:divBdr>
        <w:top w:val="none" w:sz="0" w:space="0" w:color="auto"/>
        <w:left w:val="none" w:sz="0" w:space="0" w:color="auto"/>
        <w:bottom w:val="none" w:sz="0" w:space="0" w:color="auto"/>
        <w:right w:val="none" w:sz="0" w:space="0" w:color="auto"/>
      </w:divBdr>
    </w:div>
    <w:div w:id="1384716643">
      <w:bodyDiv w:val="1"/>
      <w:marLeft w:val="0"/>
      <w:marRight w:val="0"/>
      <w:marTop w:val="0"/>
      <w:marBottom w:val="0"/>
      <w:divBdr>
        <w:top w:val="none" w:sz="0" w:space="0" w:color="auto"/>
        <w:left w:val="none" w:sz="0" w:space="0" w:color="auto"/>
        <w:bottom w:val="none" w:sz="0" w:space="0" w:color="auto"/>
        <w:right w:val="none" w:sz="0" w:space="0" w:color="auto"/>
      </w:divBdr>
    </w:div>
    <w:div w:id="1384794980">
      <w:bodyDiv w:val="1"/>
      <w:marLeft w:val="0"/>
      <w:marRight w:val="0"/>
      <w:marTop w:val="0"/>
      <w:marBottom w:val="0"/>
      <w:divBdr>
        <w:top w:val="none" w:sz="0" w:space="0" w:color="auto"/>
        <w:left w:val="none" w:sz="0" w:space="0" w:color="auto"/>
        <w:bottom w:val="none" w:sz="0" w:space="0" w:color="auto"/>
        <w:right w:val="none" w:sz="0" w:space="0" w:color="auto"/>
      </w:divBdr>
    </w:div>
    <w:div w:id="1385443591">
      <w:bodyDiv w:val="1"/>
      <w:marLeft w:val="0"/>
      <w:marRight w:val="0"/>
      <w:marTop w:val="0"/>
      <w:marBottom w:val="0"/>
      <w:divBdr>
        <w:top w:val="none" w:sz="0" w:space="0" w:color="auto"/>
        <w:left w:val="none" w:sz="0" w:space="0" w:color="auto"/>
        <w:bottom w:val="none" w:sz="0" w:space="0" w:color="auto"/>
        <w:right w:val="none" w:sz="0" w:space="0" w:color="auto"/>
      </w:divBdr>
    </w:div>
    <w:div w:id="1387341764">
      <w:bodyDiv w:val="1"/>
      <w:marLeft w:val="0"/>
      <w:marRight w:val="0"/>
      <w:marTop w:val="0"/>
      <w:marBottom w:val="0"/>
      <w:divBdr>
        <w:top w:val="none" w:sz="0" w:space="0" w:color="auto"/>
        <w:left w:val="none" w:sz="0" w:space="0" w:color="auto"/>
        <w:bottom w:val="none" w:sz="0" w:space="0" w:color="auto"/>
        <w:right w:val="none" w:sz="0" w:space="0" w:color="auto"/>
      </w:divBdr>
    </w:div>
    <w:div w:id="1387677854">
      <w:bodyDiv w:val="1"/>
      <w:marLeft w:val="0"/>
      <w:marRight w:val="0"/>
      <w:marTop w:val="0"/>
      <w:marBottom w:val="0"/>
      <w:divBdr>
        <w:top w:val="none" w:sz="0" w:space="0" w:color="auto"/>
        <w:left w:val="none" w:sz="0" w:space="0" w:color="auto"/>
        <w:bottom w:val="none" w:sz="0" w:space="0" w:color="auto"/>
        <w:right w:val="none" w:sz="0" w:space="0" w:color="auto"/>
      </w:divBdr>
    </w:div>
    <w:div w:id="1388215183">
      <w:bodyDiv w:val="1"/>
      <w:marLeft w:val="0"/>
      <w:marRight w:val="0"/>
      <w:marTop w:val="0"/>
      <w:marBottom w:val="0"/>
      <w:divBdr>
        <w:top w:val="none" w:sz="0" w:space="0" w:color="auto"/>
        <w:left w:val="none" w:sz="0" w:space="0" w:color="auto"/>
        <w:bottom w:val="none" w:sz="0" w:space="0" w:color="auto"/>
        <w:right w:val="none" w:sz="0" w:space="0" w:color="auto"/>
      </w:divBdr>
    </w:div>
    <w:div w:id="1390229269">
      <w:bodyDiv w:val="1"/>
      <w:marLeft w:val="0"/>
      <w:marRight w:val="0"/>
      <w:marTop w:val="0"/>
      <w:marBottom w:val="0"/>
      <w:divBdr>
        <w:top w:val="none" w:sz="0" w:space="0" w:color="auto"/>
        <w:left w:val="none" w:sz="0" w:space="0" w:color="auto"/>
        <w:bottom w:val="none" w:sz="0" w:space="0" w:color="auto"/>
        <w:right w:val="none" w:sz="0" w:space="0" w:color="auto"/>
      </w:divBdr>
    </w:div>
    <w:div w:id="1390614121">
      <w:bodyDiv w:val="1"/>
      <w:marLeft w:val="0"/>
      <w:marRight w:val="0"/>
      <w:marTop w:val="0"/>
      <w:marBottom w:val="0"/>
      <w:divBdr>
        <w:top w:val="none" w:sz="0" w:space="0" w:color="auto"/>
        <w:left w:val="none" w:sz="0" w:space="0" w:color="auto"/>
        <w:bottom w:val="none" w:sz="0" w:space="0" w:color="auto"/>
        <w:right w:val="none" w:sz="0" w:space="0" w:color="auto"/>
      </w:divBdr>
    </w:div>
    <w:div w:id="1390616666">
      <w:bodyDiv w:val="1"/>
      <w:marLeft w:val="0"/>
      <w:marRight w:val="0"/>
      <w:marTop w:val="0"/>
      <w:marBottom w:val="0"/>
      <w:divBdr>
        <w:top w:val="none" w:sz="0" w:space="0" w:color="auto"/>
        <w:left w:val="none" w:sz="0" w:space="0" w:color="auto"/>
        <w:bottom w:val="none" w:sz="0" w:space="0" w:color="auto"/>
        <w:right w:val="none" w:sz="0" w:space="0" w:color="auto"/>
      </w:divBdr>
    </w:div>
    <w:div w:id="1391536321">
      <w:bodyDiv w:val="1"/>
      <w:marLeft w:val="0"/>
      <w:marRight w:val="0"/>
      <w:marTop w:val="0"/>
      <w:marBottom w:val="0"/>
      <w:divBdr>
        <w:top w:val="none" w:sz="0" w:space="0" w:color="auto"/>
        <w:left w:val="none" w:sz="0" w:space="0" w:color="auto"/>
        <w:bottom w:val="none" w:sz="0" w:space="0" w:color="auto"/>
        <w:right w:val="none" w:sz="0" w:space="0" w:color="auto"/>
      </w:divBdr>
    </w:div>
    <w:div w:id="1393119917">
      <w:bodyDiv w:val="1"/>
      <w:marLeft w:val="0"/>
      <w:marRight w:val="0"/>
      <w:marTop w:val="0"/>
      <w:marBottom w:val="0"/>
      <w:divBdr>
        <w:top w:val="none" w:sz="0" w:space="0" w:color="auto"/>
        <w:left w:val="none" w:sz="0" w:space="0" w:color="auto"/>
        <w:bottom w:val="none" w:sz="0" w:space="0" w:color="auto"/>
        <w:right w:val="none" w:sz="0" w:space="0" w:color="auto"/>
      </w:divBdr>
    </w:div>
    <w:div w:id="1393230288">
      <w:bodyDiv w:val="1"/>
      <w:marLeft w:val="0"/>
      <w:marRight w:val="0"/>
      <w:marTop w:val="0"/>
      <w:marBottom w:val="0"/>
      <w:divBdr>
        <w:top w:val="none" w:sz="0" w:space="0" w:color="auto"/>
        <w:left w:val="none" w:sz="0" w:space="0" w:color="auto"/>
        <w:bottom w:val="none" w:sz="0" w:space="0" w:color="auto"/>
        <w:right w:val="none" w:sz="0" w:space="0" w:color="auto"/>
      </w:divBdr>
    </w:div>
    <w:div w:id="1393770081">
      <w:bodyDiv w:val="1"/>
      <w:marLeft w:val="0"/>
      <w:marRight w:val="0"/>
      <w:marTop w:val="0"/>
      <w:marBottom w:val="0"/>
      <w:divBdr>
        <w:top w:val="none" w:sz="0" w:space="0" w:color="auto"/>
        <w:left w:val="none" w:sz="0" w:space="0" w:color="auto"/>
        <w:bottom w:val="none" w:sz="0" w:space="0" w:color="auto"/>
        <w:right w:val="none" w:sz="0" w:space="0" w:color="auto"/>
      </w:divBdr>
    </w:div>
    <w:div w:id="1394693022">
      <w:bodyDiv w:val="1"/>
      <w:marLeft w:val="0"/>
      <w:marRight w:val="0"/>
      <w:marTop w:val="0"/>
      <w:marBottom w:val="0"/>
      <w:divBdr>
        <w:top w:val="none" w:sz="0" w:space="0" w:color="auto"/>
        <w:left w:val="none" w:sz="0" w:space="0" w:color="auto"/>
        <w:bottom w:val="none" w:sz="0" w:space="0" w:color="auto"/>
        <w:right w:val="none" w:sz="0" w:space="0" w:color="auto"/>
      </w:divBdr>
    </w:div>
    <w:div w:id="1394887961">
      <w:bodyDiv w:val="1"/>
      <w:marLeft w:val="0"/>
      <w:marRight w:val="0"/>
      <w:marTop w:val="0"/>
      <w:marBottom w:val="0"/>
      <w:divBdr>
        <w:top w:val="none" w:sz="0" w:space="0" w:color="auto"/>
        <w:left w:val="none" w:sz="0" w:space="0" w:color="auto"/>
        <w:bottom w:val="none" w:sz="0" w:space="0" w:color="auto"/>
        <w:right w:val="none" w:sz="0" w:space="0" w:color="auto"/>
      </w:divBdr>
    </w:div>
    <w:div w:id="1396968991">
      <w:bodyDiv w:val="1"/>
      <w:marLeft w:val="0"/>
      <w:marRight w:val="0"/>
      <w:marTop w:val="0"/>
      <w:marBottom w:val="0"/>
      <w:divBdr>
        <w:top w:val="none" w:sz="0" w:space="0" w:color="auto"/>
        <w:left w:val="none" w:sz="0" w:space="0" w:color="auto"/>
        <w:bottom w:val="none" w:sz="0" w:space="0" w:color="auto"/>
        <w:right w:val="none" w:sz="0" w:space="0" w:color="auto"/>
      </w:divBdr>
    </w:div>
    <w:div w:id="1402559693">
      <w:bodyDiv w:val="1"/>
      <w:marLeft w:val="0"/>
      <w:marRight w:val="0"/>
      <w:marTop w:val="0"/>
      <w:marBottom w:val="0"/>
      <w:divBdr>
        <w:top w:val="none" w:sz="0" w:space="0" w:color="auto"/>
        <w:left w:val="none" w:sz="0" w:space="0" w:color="auto"/>
        <w:bottom w:val="none" w:sz="0" w:space="0" w:color="auto"/>
        <w:right w:val="none" w:sz="0" w:space="0" w:color="auto"/>
      </w:divBdr>
    </w:div>
    <w:div w:id="1404257693">
      <w:bodyDiv w:val="1"/>
      <w:marLeft w:val="0"/>
      <w:marRight w:val="0"/>
      <w:marTop w:val="0"/>
      <w:marBottom w:val="0"/>
      <w:divBdr>
        <w:top w:val="none" w:sz="0" w:space="0" w:color="auto"/>
        <w:left w:val="none" w:sz="0" w:space="0" w:color="auto"/>
        <w:bottom w:val="none" w:sz="0" w:space="0" w:color="auto"/>
        <w:right w:val="none" w:sz="0" w:space="0" w:color="auto"/>
      </w:divBdr>
    </w:div>
    <w:div w:id="1404991879">
      <w:bodyDiv w:val="1"/>
      <w:marLeft w:val="0"/>
      <w:marRight w:val="0"/>
      <w:marTop w:val="0"/>
      <w:marBottom w:val="0"/>
      <w:divBdr>
        <w:top w:val="none" w:sz="0" w:space="0" w:color="auto"/>
        <w:left w:val="none" w:sz="0" w:space="0" w:color="auto"/>
        <w:bottom w:val="none" w:sz="0" w:space="0" w:color="auto"/>
        <w:right w:val="none" w:sz="0" w:space="0" w:color="auto"/>
      </w:divBdr>
    </w:div>
    <w:div w:id="1406805930">
      <w:bodyDiv w:val="1"/>
      <w:marLeft w:val="0"/>
      <w:marRight w:val="0"/>
      <w:marTop w:val="0"/>
      <w:marBottom w:val="0"/>
      <w:divBdr>
        <w:top w:val="none" w:sz="0" w:space="0" w:color="auto"/>
        <w:left w:val="none" w:sz="0" w:space="0" w:color="auto"/>
        <w:bottom w:val="none" w:sz="0" w:space="0" w:color="auto"/>
        <w:right w:val="none" w:sz="0" w:space="0" w:color="auto"/>
      </w:divBdr>
    </w:div>
    <w:div w:id="1407725318">
      <w:bodyDiv w:val="1"/>
      <w:marLeft w:val="0"/>
      <w:marRight w:val="0"/>
      <w:marTop w:val="0"/>
      <w:marBottom w:val="0"/>
      <w:divBdr>
        <w:top w:val="none" w:sz="0" w:space="0" w:color="auto"/>
        <w:left w:val="none" w:sz="0" w:space="0" w:color="auto"/>
        <w:bottom w:val="none" w:sz="0" w:space="0" w:color="auto"/>
        <w:right w:val="none" w:sz="0" w:space="0" w:color="auto"/>
      </w:divBdr>
    </w:div>
    <w:div w:id="1408380220">
      <w:bodyDiv w:val="1"/>
      <w:marLeft w:val="0"/>
      <w:marRight w:val="0"/>
      <w:marTop w:val="0"/>
      <w:marBottom w:val="0"/>
      <w:divBdr>
        <w:top w:val="none" w:sz="0" w:space="0" w:color="auto"/>
        <w:left w:val="none" w:sz="0" w:space="0" w:color="auto"/>
        <w:bottom w:val="none" w:sz="0" w:space="0" w:color="auto"/>
        <w:right w:val="none" w:sz="0" w:space="0" w:color="auto"/>
      </w:divBdr>
    </w:div>
    <w:div w:id="1409156971">
      <w:bodyDiv w:val="1"/>
      <w:marLeft w:val="0"/>
      <w:marRight w:val="0"/>
      <w:marTop w:val="0"/>
      <w:marBottom w:val="0"/>
      <w:divBdr>
        <w:top w:val="none" w:sz="0" w:space="0" w:color="auto"/>
        <w:left w:val="none" w:sz="0" w:space="0" w:color="auto"/>
        <w:bottom w:val="none" w:sz="0" w:space="0" w:color="auto"/>
        <w:right w:val="none" w:sz="0" w:space="0" w:color="auto"/>
      </w:divBdr>
    </w:div>
    <w:div w:id="1409305235">
      <w:bodyDiv w:val="1"/>
      <w:marLeft w:val="0"/>
      <w:marRight w:val="0"/>
      <w:marTop w:val="0"/>
      <w:marBottom w:val="0"/>
      <w:divBdr>
        <w:top w:val="none" w:sz="0" w:space="0" w:color="auto"/>
        <w:left w:val="none" w:sz="0" w:space="0" w:color="auto"/>
        <w:bottom w:val="none" w:sz="0" w:space="0" w:color="auto"/>
        <w:right w:val="none" w:sz="0" w:space="0" w:color="auto"/>
      </w:divBdr>
    </w:div>
    <w:div w:id="1411195671">
      <w:bodyDiv w:val="1"/>
      <w:marLeft w:val="0"/>
      <w:marRight w:val="0"/>
      <w:marTop w:val="0"/>
      <w:marBottom w:val="0"/>
      <w:divBdr>
        <w:top w:val="none" w:sz="0" w:space="0" w:color="auto"/>
        <w:left w:val="none" w:sz="0" w:space="0" w:color="auto"/>
        <w:bottom w:val="none" w:sz="0" w:space="0" w:color="auto"/>
        <w:right w:val="none" w:sz="0" w:space="0" w:color="auto"/>
      </w:divBdr>
    </w:div>
    <w:div w:id="1413894245">
      <w:bodyDiv w:val="1"/>
      <w:marLeft w:val="0"/>
      <w:marRight w:val="0"/>
      <w:marTop w:val="0"/>
      <w:marBottom w:val="0"/>
      <w:divBdr>
        <w:top w:val="none" w:sz="0" w:space="0" w:color="auto"/>
        <w:left w:val="none" w:sz="0" w:space="0" w:color="auto"/>
        <w:bottom w:val="none" w:sz="0" w:space="0" w:color="auto"/>
        <w:right w:val="none" w:sz="0" w:space="0" w:color="auto"/>
      </w:divBdr>
    </w:div>
    <w:div w:id="1414931652">
      <w:bodyDiv w:val="1"/>
      <w:marLeft w:val="0"/>
      <w:marRight w:val="0"/>
      <w:marTop w:val="0"/>
      <w:marBottom w:val="0"/>
      <w:divBdr>
        <w:top w:val="none" w:sz="0" w:space="0" w:color="auto"/>
        <w:left w:val="none" w:sz="0" w:space="0" w:color="auto"/>
        <w:bottom w:val="none" w:sz="0" w:space="0" w:color="auto"/>
        <w:right w:val="none" w:sz="0" w:space="0" w:color="auto"/>
      </w:divBdr>
    </w:div>
    <w:div w:id="1415274250">
      <w:bodyDiv w:val="1"/>
      <w:marLeft w:val="0"/>
      <w:marRight w:val="0"/>
      <w:marTop w:val="0"/>
      <w:marBottom w:val="0"/>
      <w:divBdr>
        <w:top w:val="none" w:sz="0" w:space="0" w:color="auto"/>
        <w:left w:val="none" w:sz="0" w:space="0" w:color="auto"/>
        <w:bottom w:val="none" w:sz="0" w:space="0" w:color="auto"/>
        <w:right w:val="none" w:sz="0" w:space="0" w:color="auto"/>
      </w:divBdr>
    </w:div>
    <w:div w:id="1415544336">
      <w:bodyDiv w:val="1"/>
      <w:marLeft w:val="0"/>
      <w:marRight w:val="0"/>
      <w:marTop w:val="0"/>
      <w:marBottom w:val="0"/>
      <w:divBdr>
        <w:top w:val="none" w:sz="0" w:space="0" w:color="auto"/>
        <w:left w:val="none" w:sz="0" w:space="0" w:color="auto"/>
        <w:bottom w:val="none" w:sz="0" w:space="0" w:color="auto"/>
        <w:right w:val="none" w:sz="0" w:space="0" w:color="auto"/>
      </w:divBdr>
    </w:div>
    <w:div w:id="1415778160">
      <w:bodyDiv w:val="1"/>
      <w:marLeft w:val="0"/>
      <w:marRight w:val="0"/>
      <w:marTop w:val="0"/>
      <w:marBottom w:val="0"/>
      <w:divBdr>
        <w:top w:val="none" w:sz="0" w:space="0" w:color="auto"/>
        <w:left w:val="none" w:sz="0" w:space="0" w:color="auto"/>
        <w:bottom w:val="none" w:sz="0" w:space="0" w:color="auto"/>
        <w:right w:val="none" w:sz="0" w:space="0" w:color="auto"/>
      </w:divBdr>
    </w:div>
    <w:div w:id="1419593904">
      <w:bodyDiv w:val="1"/>
      <w:marLeft w:val="0"/>
      <w:marRight w:val="0"/>
      <w:marTop w:val="0"/>
      <w:marBottom w:val="0"/>
      <w:divBdr>
        <w:top w:val="none" w:sz="0" w:space="0" w:color="auto"/>
        <w:left w:val="none" w:sz="0" w:space="0" w:color="auto"/>
        <w:bottom w:val="none" w:sz="0" w:space="0" w:color="auto"/>
        <w:right w:val="none" w:sz="0" w:space="0" w:color="auto"/>
      </w:divBdr>
    </w:div>
    <w:div w:id="1419980870">
      <w:bodyDiv w:val="1"/>
      <w:marLeft w:val="0"/>
      <w:marRight w:val="0"/>
      <w:marTop w:val="0"/>
      <w:marBottom w:val="0"/>
      <w:divBdr>
        <w:top w:val="none" w:sz="0" w:space="0" w:color="auto"/>
        <w:left w:val="none" w:sz="0" w:space="0" w:color="auto"/>
        <w:bottom w:val="none" w:sz="0" w:space="0" w:color="auto"/>
        <w:right w:val="none" w:sz="0" w:space="0" w:color="auto"/>
      </w:divBdr>
    </w:div>
    <w:div w:id="1420327328">
      <w:bodyDiv w:val="1"/>
      <w:marLeft w:val="0"/>
      <w:marRight w:val="0"/>
      <w:marTop w:val="0"/>
      <w:marBottom w:val="0"/>
      <w:divBdr>
        <w:top w:val="none" w:sz="0" w:space="0" w:color="auto"/>
        <w:left w:val="none" w:sz="0" w:space="0" w:color="auto"/>
        <w:bottom w:val="none" w:sz="0" w:space="0" w:color="auto"/>
        <w:right w:val="none" w:sz="0" w:space="0" w:color="auto"/>
      </w:divBdr>
    </w:div>
    <w:div w:id="1421565900">
      <w:bodyDiv w:val="1"/>
      <w:marLeft w:val="0"/>
      <w:marRight w:val="0"/>
      <w:marTop w:val="0"/>
      <w:marBottom w:val="0"/>
      <w:divBdr>
        <w:top w:val="none" w:sz="0" w:space="0" w:color="auto"/>
        <w:left w:val="none" w:sz="0" w:space="0" w:color="auto"/>
        <w:bottom w:val="none" w:sz="0" w:space="0" w:color="auto"/>
        <w:right w:val="none" w:sz="0" w:space="0" w:color="auto"/>
      </w:divBdr>
    </w:div>
    <w:div w:id="1422337112">
      <w:bodyDiv w:val="1"/>
      <w:marLeft w:val="0"/>
      <w:marRight w:val="0"/>
      <w:marTop w:val="0"/>
      <w:marBottom w:val="0"/>
      <w:divBdr>
        <w:top w:val="none" w:sz="0" w:space="0" w:color="auto"/>
        <w:left w:val="none" w:sz="0" w:space="0" w:color="auto"/>
        <w:bottom w:val="none" w:sz="0" w:space="0" w:color="auto"/>
        <w:right w:val="none" w:sz="0" w:space="0" w:color="auto"/>
      </w:divBdr>
    </w:div>
    <w:div w:id="1422489032">
      <w:bodyDiv w:val="1"/>
      <w:marLeft w:val="0"/>
      <w:marRight w:val="0"/>
      <w:marTop w:val="0"/>
      <w:marBottom w:val="0"/>
      <w:divBdr>
        <w:top w:val="none" w:sz="0" w:space="0" w:color="auto"/>
        <w:left w:val="none" w:sz="0" w:space="0" w:color="auto"/>
        <w:bottom w:val="none" w:sz="0" w:space="0" w:color="auto"/>
        <w:right w:val="none" w:sz="0" w:space="0" w:color="auto"/>
      </w:divBdr>
    </w:div>
    <w:div w:id="1423602081">
      <w:bodyDiv w:val="1"/>
      <w:marLeft w:val="0"/>
      <w:marRight w:val="0"/>
      <w:marTop w:val="0"/>
      <w:marBottom w:val="0"/>
      <w:divBdr>
        <w:top w:val="none" w:sz="0" w:space="0" w:color="auto"/>
        <w:left w:val="none" w:sz="0" w:space="0" w:color="auto"/>
        <w:bottom w:val="none" w:sz="0" w:space="0" w:color="auto"/>
        <w:right w:val="none" w:sz="0" w:space="0" w:color="auto"/>
      </w:divBdr>
    </w:div>
    <w:div w:id="1423989818">
      <w:bodyDiv w:val="1"/>
      <w:marLeft w:val="0"/>
      <w:marRight w:val="0"/>
      <w:marTop w:val="0"/>
      <w:marBottom w:val="0"/>
      <w:divBdr>
        <w:top w:val="none" w:sz="0" w:space="0" w:color="auto"/>
        <w:left w:val="none" w:sz="0" w:space="0" w:color="auto"/>
        <w:bottom w:val="none" w:sz="0" w:space="0" w:color="auto"/>
        <w:right w:val="none" w:sz="0" w:space="0" w:color="auto"/>
      </w:divBdr>
    </w:div>
    <w:div w:id="1424184513">
      <w:bodyDiv w:val="1"/>
      <w:marLeft w:val="0"/>
      <w:marRight w:val="0"/>
      <w:marTop w:val="0"/>
      <w:marBottom w:val="0"/>
      <w:divBdr>
        <w:top w:val="none" w:sz="0" w:space="0" w:color="auto"/>
        <w:left w:val="none" w:sz="0" w:space="0" w:color="auto"/>
        <w:bottom w:val="none" w:sz="0" w:space="0" w:color="auto"/>
        <w:right w:val="none" w:sz="0" w:space="0" w:color="auto"/>
      </w:divBdr>
    </w:div>
    <w:div w:id="1424449773">
      <w:bodyDiv w:val="1"/>
      <w:marLeft w:val="0"/>
      <w:marRight w:val="0"/>
      <w:marTop w:val="0"/>
      <w:marBottom w:val="0"/>
      <w:divBdr>
        <w:top w:val="none" w:sz="0" w:space="0" w:color="auto"/>
        <w:left w:val="none" w:sz="0" w:space="0" w:color="auto"/>
        <w:bottom w:val="none" w:sz="0" w:space="0" w:color="auto"/>
        <w:right w:val="none" w:sz="0" w:space="0" w:color="auto"/>
      </w:divBdr>
    </w:div>
    <w:div w:id="1424690734">
      <w:bodyDiv w:val="1"/>
      <w:marLeft w:val="0"/>
      <w:marRight w:val="0"/>
      <w:marTop w:val="0"/>
      <w:marBottom w:val="0"/>
      <w:divBdr>
        <w:top w:val="none" w:sz="0" w:space="0" w:color="auto"/>
        <w:left w:val="none" w:sz="0" w:space="0" w:color="auto"/>
        <w:bottom w:val="none" w:sz="0" w:space="0" w:color="auto"/>
        <w:right w:val="none" w:sz="0" w:space="0" w:color="auto"/>
      </w:divBdr>
    </w:div>
    <w:div w:id="1424761011">
      <w:bodyDiv w:val="1"/>
      <w:marLeft w:val="0"/>
      <w:marRight w:val="0"/>
      <w:marTop w:val="0"/>
      <w:marBottom w:val="0"/>
      <w:divBdr>
        <w:top w:val="none" w:sz="0" w:space="0" w:color="auto"/>
        <w:left w:val="none" w:sz="0" w:space="0" w:color="auto"/>
        <w:bottom w:val="none" w:sz="0" w:space="0" w:color="auto"/>
        <w:right w:val="none" w:sz="0" w:space="0" w:color="auto"/>
      </w:divBdr>
    </w:div>
    <w:div w:id="1425036706">
      <w:bodyDiv w:val="1"/>
      <w:marLeft w:val="0"/>
      <w:marRight w:val="0"/>
      <w:marTop w:val="0"/>
      <w:marBottom w:val="0"/>
      <w:divBdr>
        <w:top w:val="none" w:sz="0" w:space="0" w:color="auto"/>
        <w:left w:val="none" w:sz="0" w:space="0" w:color="auto"/>
        <w:bottom w:val="none" w:sz="0" w:space="0" w:color="auto"/>
        <w:right w:val="none" w:sz="0" w:space="0" w:color="auto"/>
      </w:divBdr>
    </w:div>
    <w:div w:id="1425222760">
      <w:bodyDiv w:val="1"/>
      <w:marLeft w:val="0"/>
      <w:marRight w:val="0"/>
      <w:marTop w:val="0"/>
      <w:marBottom w:val="0"/>
      <w:divBdr>
        <w:top w:val="none" w:sz="0" w:space="0" w:color="auto"/>
        <w:left w:val="none" w:sz="0" w:space="0" w:color="auto"/>
        <w:bottom w:val="none" w:sz="0" w:space="0" w:color="auto"/>
        <w:right w:val="none" w:sz="0" w:space="0" w:color="auto"/>
      </w:divBdr>
    </w:div>
    <w:div w:id="1426072868">
      <w:bodyDiv w:val="1"/>
      <w:marLeft w:val="0"/>
      <w:marRight w:val="0"/>
      <w:marTop w:val="0"/>
      <w:marBottom w:val="0"/>
      <w:divBdr>
        <w:top w:val="none" w:sz="0" w:space="0" w:color="auto"/>
        <w:left w:val="none" w:sz="0" w:space="0" w:color="auto"/>
        <w:bottom w:val="none" w:sz="0" w:space="0" w:color="auto"/>
        <w:right w:val="none" w:sz="0" w:space="0" w:color="auto"/>
      </w:divBdr>
    </w:div>
    <w:div w:id="1426148420">
      <w:bodyDiv w:val="1"/>
      <w:marLeft w:val="0"/>
      <w:marRight w:val="0"/>
      <w:marTop w:val="0"/>
      <w:marBottom w:val="0"/>
      <w:divBdr>
        <w:top w:val="none" w:sz="0" w:space="0" w:color="auto"/>
        <w:left w:val="none" w:sz="0" w:space="0" w:color="auto"/>
        <w:bottom w:val="none" w:sz="0" w:space="0" w:color="auto"/>
        <w:right w:val="none" w:sz="0" w:space="0" w:color="auto"/>
      </w:divBdr>
    </w:div>
    <w:div w:id="1426269759">
      <w:bodyDiv w:val="1"/>
      <w:marLeft w:val="0"/>
      <w:marRight w:val="0"/>
      <w:marTop w:val="0"/>
      <w:marBottom w:val="0"/>
      <w:divBdr>
        <w:top w:val="none" w:sz="0" w:space="0" w:color="auto"/>
        <w:left w:val="none" w:sz="0" w:space="0" w:color="auto"/>
        <w:bottom w:val="none" w:sz="0" w:space="0" w:color="auto"/>
        <w:right w:val="none" w:sz="0" w:space="0" w:color="auto"/>
      </w:divBdr>
    </w:div>
    <w:div w:id="1426850527">
      <w:bodyDiv w:val="1"/>
      <w:marLeft w:val="0"/>
      <w:marRight w:val="0"/>
      <w:marTop w:val="0"/>
      <w:marBottom w:val="0"/>
      <w:divBdr>
        <w:top w:val="none" w:sz="0" w:space="0" w:color="auto"/>
        <w:left w:val="none" w:sz="0" w:space="0" w:color="auto"/>
        <w:bottom w:val="none" w:sz="0" w:space="0" w:color="auto"/>
        <w:right w:val="none" w:sz="0" w:space="0" w:color="auto"/>
      </w:divBdr>
    </w:div>
    <w:div w:id="1428233066">
      <w:bodyDiv w:val="1"/>
      <w:marLeft w:val="0"/>
      <w:marRight w:val="0"/>
      <w:marTop w:val="0"/>
      <w:marBottom w:val="0"/>
      <w:divBdr>
        <w:top w:val="none" w:sz="0" w:space="0" w:color="auto"/>
        <w:left w:val="none" w:sz="0" w:space="0" w:color="auto"/>
        <w:bottom w:val="none" w:sz="0" w:space="0" w:color="auto"/>
        <w:right w:val="none" w:sz="0" w:space="0" w:color="auto"/>
      </w:divBdr>
    </w:div>
    <w:div w:id="1431394713">
      <w:bodyDiv w:val="1"/>
      <w:marLeft w:val="0"/>
      <w:marRight w:val="0"/>
      <w:marTop w:val="0"/>
      <w:marBottom w:val="0"/>
      <w:divBdr>
        <w:top w:val="none" w:sz="0" w:space="0" w:color="auto"/>
        <w:left w:val="none" w:sz="0" w:space="0" w:color="auto"/>
        <w:bottom w:val="none" w:sz="0" w:space="0" w:color="auto"/>
        <w:right w:val="none" w:sz="0" w:space="0" w:color="auto"/>
      </w:divBdr>
    </w:div>
    <w:div w:id="1431699745">
      <w:bodyDiv w:val="1"/>
      <w:marLeft w:val="0"/>
      <w:marRight w:val="0"/>
      <w:marTop w:val="0"/>
      <w:marBottom w:val="0"/>
      <w:divBdr>
        <w:top w:val="none" w:sz="0" w:space="0" w:color="auto"/>
        <w:left w:val="none" w:sz="0" w:space="0" w:color="auto"/>
        <w:bottom w:val="none" w:sz="0" w:space="0" w:color="auto"/>
        <w:right w:val="none" w:sz="0" w:space="0" w:color="auto"/>
      </w:divBdr>
    </w:div>
    <w:div w:id="1432045681">
      <w:bodyDiv w:val="1"/>
      <w:marLeft w:val="0"/>
      <w:marRight w:val="0"/>
      <w:marTop w:val="0"/>
      <w:marBottom w:val="0"/>
      <w:divBdr>
        <w:top w:val="none" w:sz="0" w:space="0" w:color="auto"/>
        <w:left w:val="none" w:sz="0" w:space="0" w:color="auto"/>
        <w:bottom w:val="none" w:sz="0" w:space="0" w:color="auto"/>
        <w:right w:val="none" w:sz="0" w:space="0" w:color="auto"/>
      </w:divBdr>
    </w:div>
    <w:div w:id="1436944078">
      <w:bodyDiv w:val="1"/>
      <w:marLeft w:val="0"/>
      <w:marRight w:val="0"/>
      <w:marTop w:val="0"/>
      <w:marBottom w:val="0"/>
      <w:divBdr>
        <w:top w:val="none" w:sz="0" w:space="0" w:color="auto"/>
        <w:left w:val="none" w:sz="0" w:space="0" w:color="auto"/>
        <w:bottom w:val="none" w:sz="0" w:space="0" w:color="auto"/>
        <w:right w:val="none" w:sz="0" w:space="0" w:color="auto"/>
      </w:divBdr>
    </w:div>
    <w:div w:id="1439301990">
      <w:bodyDiv w:val="1"/>
      <w:marLeft w:val="0"/>
      <w:marRight w:val="0"/>
      <w:marTop w:val="0"/>
      <w:marBottom w:val="0"/>
      <w:divBdr>
        <w:top w:val="none" w:sz="0" w:space="0" w:color="auto"/>
        <w:left w:val="none" w:sz="0" w:space="0" w:color="auto"/>
        <w:bottom w:val="none" w:sz="0" w:space="0" w:color="auto"/>
        <w:right w:val="none" w:sz="0" w:space="0" w:color="auto"/>
      </w:divBdr>
    </w:div>
    <w:div w:id="1439830124">
      <w:bodyDiv w:val="1"/>
      <w:marLeft w:val="0"/>
      <w:marRight w:val="0"/>
      <w:marTop w:val="0"/>
      <w:marBottom w:val="0"/>
      <w:divBdr>
        <w:top w:val="none" w:sz="0" w:space="0" w:color="auto"/>
        <w:left w:val="none" w:sz="0" w:space="0" w:color="auto"/>
        <w:bottom w:val="none" w:sz="0" w:space="0" w:color="auto"/>
        <w:right w:val="none" w:sz="0" w:space="0" w:color="auto"/>
      </w:divBdr>
    </w:div>
    <w:div w:id="1441874915">
      <w:bodyDiv w:val="1"/>
      <w:marLeft w:val="0"/>
      <w:marRight w:val="0"/>
      <w:marTop w:val="0"/>
      <w:marBottom w:val="0"/>
      <w:divBdr>
        <w:top w:val="none" w:sz="0" w:space="0" w:color="auto"/>
        <w:left w:val="none" w:sz="0" w:space="0" w:color="auto"/>
        <w:bottom w:val="none" w:sz="0" w:space="0" w:color="auto"/>
        <w:right w:val="none" w:sz="0" w:space="0" w:color="auto"/>
      </w:divBdr>
    </w:div>
    <w:div w:id="1442066747">
      <w:bodyDiv w:val="1"/>
      <w:marLeft w:val="0"/>
      <w:marRight w:val="0"/>
      <w:marTop w:val="0"/>
      <w:marBottom w:val="0"/>
      <w:divBdr>
        <w:top w:val="none" w:sz="0" w:space="0" w:color="auto"/>
        <w:left w:val="none" w:sz="0" w:space="0" w:color="auto"/>
        <w:bottom w:val="none" w:sz="0" w:space="0" w:color="auto"/>
        <w:right w:val="none" w:sz="0" w:space="0" w:color="auto"/>
      </w:divBdr>
    </w:div>
    <w:div w:id="1443038451">
      <w:bodyDiv w:val="1"/>
      <w:marLeft w:val="0"/>
      <w:marRight w:val="0"/>
      <w:marTop w:val="0"/>
      <w:marBottom w:val="0"/>
      <w:divBdr>
        <w:top w:val="none" w:sz="0" w:space="0" w:color="auto"/>
        <w:left w:val="none" w:sz="0" w:space="0" w:color="auto"/>
        <w:bottom w:val="none" w:sz="0" w:space="0" w:color="auto"/>
        <w:right w:val="none" w:sz="0" w:space="0" w:color="auto"/>
      </w:divBdr>
    </w:div>
    <w:div w:id="1443840967">
      <w:bodyDiv w:val="1"/>
      <w:marLeft w:val="0"/>
      <w:marRight w:val="0"/>
      <w:marTop w:val="0"/>
      <w:marBottom w:val="0"/>
      <w:divBdr>
        <w:top w:val="none" w:sz="0" w:space="0" w:color="auto"/>
        <w:left w:val="none" w:sz="0" w:space="0" w:color="auto"/>
        <w:bottom w:val="none" w:sz="0" w:space="0" w:color="auto"/>
        <w:right w:val="none" w:sz="0" w:space="0" w:color="auto"/>
      </w:divBdr>
    </w:div>
    <w:div w:id="1445735323">
      <w:bodyDiv w:val="1"/>
      <w:marLeft w:val="0"/>
      <w:marRight w:val="0"/>
      <w:marTop w:val="0"/>
      <w:marBottom w:val="0"/>
      <w:divBdr>
        <w:top w:val="none" w:sz="0" w:space="0" w:color="auto"/>
        <w:left w:val="none" w:sz="0" w:space="0" w:color="auto"/>
        <w:bottom w:val="none" w:sz="0" w:space="0" w:color="auto"/>
        <w:right w:val="none" w:sz="0" w:space="0" w:color="auto"/>
      </w:divBdr>
    </w:div>
    <w:div w:id="1446190187">
      <w:bodyDiv w:val="1"/>
      <w:marLeft w:val="0"/>
      <w:marRight w:val="0"/>
      <w:marTop w:val="0"/>
      <w:marBottom w:val="0"/>
      <w:divBdr>
        <w:top w:val="none" w:sz="0" w:space="0" w:color="auto"/>
        <w:left w:val="none" w:sz="0" w:space="0" w:color="auto"/>
        <w:bottom w:val="none" w:sz="0" w:space="0" w:color="auto"/>
        <w:right w:val="none" w:sz="0" w:space="0" w:color="auto"/>
      </w:divBdr>
      <w:divsChild>
        <w:div w:id="196822653">
          <w:marLeft w:val="0"/>
          <w:marRight w:val="0"/>
          <w:marTop w:val="0"/>
          <w:marBottom w:val="0"/>
          <w:divBdr>
            <w:top w:val="none" w:sz="0" w:space="0" w:color="auto"/>
            <w:left w:val="none" w:sz="0" w:space="0" w:color="auto"/>
            <w:bottom w:val="none" w:sz="0" w:space="0" w:color="auto"/>
            <w:right w:val="none" w:sz="0" w:space="0" w:color="auto"/>
          </w:divBdr>
          <w:divsChild>
            <w:div w:id="1986012106">
              <w:marLeft w:val="0"/>
              <w:marRight w:val="0"/>
              <w:marTop w:val="0"/>
              <w:marBottom w:val="0"/>
              <w:divBdr>
                <w:top w:val="none" w:sz="0" w:space="0" w:color="auto"/>
                <w:left w:val="none" w:sz="0" w:space="0" w:color="auto"/>
                <w:bottom w:val="none" w:sz="0" w:space="0" w:color="auto"/>
                <w:right w:val="none" w:sz="0" w:space="0" w:color="auto"/>
              </w:divBdr>
              <w:divsChild>
                <w:div w:id="1408989526">
                  <w:marLeft w:val="0"/>
                  <w:marRight w:val="0"/>
                  <w:marTop w:val="0"/>
                  <w:marBottom w:val="0"/>
                  <w:divBdr>
                    <w:top w:val="none" w:sz="0" w:space="0" w:color="auto"/>
                    <w:left w:val="none" w:sz="0" w:space="0" w:color="auto"/>
                    <w:bottom w:val="none" w:sz="0" w:space="0" w:color="auto"/>
                    <w:right w:val="none" w:sz="0" w:space="0" w:color="auto"/>
                  </w:divBdr>
                  <w:divsChild>
                    <w:div w:id="11044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579797">
      <w:bodyDiv w:val="1"/>
      <w:marLeft w:val="0"/>
      <w:marRight w:val="0"/>
      <w:marTop w:val="0"/>
      <w:marBottom w:val="0"/>
      <w:divBdr>
        <w:top w:val="none" w:sz="0" w:space="0" w:color="auto"/>
        <w:left w:val="none" w:sz="0" w:space="0" w:color="auto"/>
        <w:bottom w:val="none" w:sz="0" w:space="0" w:color="auto"/>
        <w:right w:val="none" w:sz="0" w:space="0" w:color="auto"/>
      </w:divBdr>
    </w:div>
    <w:div w:id="1446804842">
      <w:bodyDiv w:val="1"/>
      <w:marLeft w:val="0"/>
      <w:marRight w:val="0"/>
      <w:marTop w:val="0"/>
      <w:marBottom w:val="0"/>
      <w:divBdr>
        <w:top w:val="none" w:sz="0" w:space="0" w:color="auto"/>
        <w:left w:val="none" w:sz="0" w:space="0" w:color="auto"/>
        <w:bottom w:val="none" w:sz="0" w:space="0" w:color="auto"/>
        <w:right w:val="none" w:sz="0" w:space="0" w:color="auto"/>
      </w:divBdr>
    </w:div>
    <w:div w:id="1448155219">
      <w:bodyDiv w:val="1"/>
      <w:marLeft w:val="0"/>
      <w:marRight w:val="0"/>
      <w:marTop w:val="0"/>
      <w:marBottom w:val="0"/>
      <w:divBdr>
        <w:top w:val="none" w:sz="0" w:space="0" w:color="auto"/>
        <w:left w:val="none" w:sz="0" w:space="0" w:color="auto"/>
        <w:bottom w:val="none" w:sz="0" w:space="0" w:color="auto"/>
        <w:right w:val="none" w:sz="0" w:space="0" w:color="auto"/>
      </w:divBdr>
    </w:div>
    <w:div w:id="1449349514">
      <w:bodyDiv w:val="1"/>
      <w:marLeft w:val="0"/>
      <w:marRight w:val="0"/>
      <w:marTop w:val="0"/>
      <w:marBottom w:val="0"/>
      <w:divBdr>
        <w:top w:val="none" w:sz="0" w:space="0" w:color="auto"/>
        <w:left w:val="none" w:sz="0" w:space="0" w:color="auto"/>
        <w:bottom w:val="none" w:sz="0" w:space="0" w:color="auto"/>
        <w:right w:val="none" w:sz="0" w:space="0" w:color="auto"/>
      </w:divBdr>
    </w:div>
    <w:div w:id="1451392669">
      <w:bodyDiv w:val="1"/>
      <w:marLeft w:val="0"/>
      <w:marRight w:val="0"/>
      <w:marTop w:val="0"/>
      <w:marBottom w:val="0"/>
      <w:divBdr>
        <w:top w:val="none" w:sz="0" w:space="0" w:color="auto"/>
        <w:left w:val="none" w:sz="0" w:space="0" w:color="auto"/>
        <w:bottom w:val="none" w:sz="0" w:space="0" w:color="auto"/>
        <w:right w:val="none" w:sz="0" w:space="0" w:color="auto"/>
      </w:divBdr>
    </w:div>
    <w:div w:id="1451899230">
      <w:bodyDiv w:val="1"/>
      <w:marLeft w:val="0"/>
      <w:marRight w:val="0"/>
      <w:marTop w:val="0"/>
      <w:marBottom w:val="0"/>
      <w:divBdr>
        <w:top w:val="none" w:sz="0" w:space="0" w:color="auto"/>
        <w:left w:val="none" w:sz="0" w:space="0" w:color="auto"/>
        <w:bottom w:val="none" w:sz="0" w:space="0" w:color="auto"/>
        <w:right w:val="none" w:sz="0" w:space="0" w:color="auto"/>
      </w:divBdr>
    </w:div>
    <w:div w:id="1455173172">
      <w:bodyDiv w:val="1"/>
      <w:marLeft w:val="0"/>
      <w:marRight w:val="0"/>
      <w:marTop w:val="0"/>
      <w:marBottom w:val="0"/>
      <w:divBdr>
        <w:top w:val="none" w:sz="0" w:space="0" w:color="auto"/>
        <w:left w:val="none" w:sz="0" w:space="0" w:color="auto"/>
        <w:bottom w:val="none" w:sz="0" w:space="0" w:color="auto"/>
        <w:right w:val="none" w:sz="0" w:space="0" w:color="auto"/>
      </w:divBdr>
    </w:div>
    <w:div w:id="1456295388">
      <w:bodyDiv w:val="1"/>
      <w:marLeft w:val="0"/>
      <w:marRight w:val="0"/>
      <w:marTop w:val="0"/>
      <w:marBottom w:val="0"/>
      <w:divBdr>
        <w:top w:val="none" w:sz="0" w:space="0" w:color="auto"/>
        <w:left w:val="none" w:sz="0" w:space="0" w:color="auto"/>
        <w:bottom w:val="none" w:sz="0" w:space="0" w:color="auto"/>
        <w:right w:val="none" w:sz="0" w:space="0" w:color="auto"/>
      </w:divBdr>
    </w:div>
    <w:div w:id="1458524244">
      <w:bodyDiv w:val="1"/>
      <w:marLeft w:val="0"/>
      <w:marRight w:val="0"/>
      <w:marTop w:val="0"/>
      <w:marBottom w:val="0"/>
      <w:divBdr>
        <w:top w:val="none" w:sz="0" w:space="0" w:color="auto"/>
        <w:left w:val="none" w:sz="0" w:space="0" w:color="auto"/>
        <w:bottom w:val="none" w:sz="0" w:space="0" w:color="auto"/>
        <w:right w:val="none" w:sz="0" w:space="0" w:color="auto"/>
      </w:divBdr>
    </w:div>
    <w:div w:id="1459566113">
      <w:bodyDiv w:val="1"/>
      <w:marLeft w:val="0"/>
      <w:marRight w:val="0"/>
      <w:marTop w:val="0"/>
      <w:marBottom w:val="0"/>
      <w:divBdr>
        <w:top w:val="none" w:sz="0" w:space="0" w:color="auto"/>
        <w:left w:val="none" w:sz="0" w:space="0" w:color="auto"/>
        <w:bottom w:val="none" w:sz="0" w:space="0" w:color="auto"/>
        <w:right w:val="none" w:sz="0" w:space="0" w:color="auto"/>
      </w:divBdr>
    </w:div>
    <w:div w:id="1466267363">
      <w:bodyDiv w:val="1"/>
      <w:marLeft w:val="0"/>
      <w:marRight w:val="0"/>
      <w:marTop w:val="0"/>
      <w:marBottom w:val="0"/>
      <w:divBdr>
        <w:top w:val="none" w:sz="0" w:space="0" w:color="auto"/>
        <w:left w:val="none" w:sz="0" w:space="0" w:color="auto"/>
        <w:bottom w:val="none" w:sz="0" w:space="0" w:color="auto"/>
        <w:right w:val="none" w:sz="0" w:space="0" w:color="auto"/>
      </w:divBdr>
    </w:div>
    <w:div w:id="1466924268">
      <w:bodyDiv w:val="1"/>
      <w:marLeft w:val="0"/>
      <w:marRight w:val="0"/>
      <w:marTop w:val="0"/>
      <w:marBottom w:val="0"/>
      <w:divBdr>
        <w:top w:val="none" w:sz="0" w:space="0" w:color="auto"/>
        <w:left w:val="none" w:sz="0" w:space="0" w:color="auto"/>
        <w:bottom w:val="none" w:sz="0" w:space="0" w:color="auto"/>
        <w:right w:val="none" w:sz="0" w:space="0" w:color="auto"/>
      </w:divBdr>
    </w:div>
    <w:div w:id="1468859295">
      <w:bodyDiv w:val="1"/>
      <w:marLeft w:val="0"/>
      <w:marRight w:val="0"/>
      <w:marTop w:val="0"/>
      <w:marBottom w:val="0"/>
      <w:divBdr>
        <w:top w:val="none" w:sz="0" w:space="0" w:color="auto"/>
        <w:left w:val="none" w:sz="0" w:space="0" w:color="auto"/>
        <w:bottom w:val="none" w:sz="0" w:space="0" w:color="auto"/>
        <w:right w:val="none" w:sz="0" w:space="0" w:color="auto"/>
      </w:divBdr>
    </w:div>
    <w:div w:id="1469738411">
      <w:bodyDiv w:val="1"/>
      <w:marLeft w:val="0"/>
      <w:marRight w:val="0"/>
      <w:marTop w:val="0"/>
      <w:marBottom w:val="0"/>
      <w:divBdr>
        <w:top w:val="none" w:sz="0" w:space="0" w:color="auto"/>
        <w:left w:val="none" w:sz="0" w:space="0" w:color="auto"/>
        <w:bottom w:val="none" w:sz="0" w:space="0" w:color="auto"/>
        <w:right w:val="none" w:sz="0" w:space="0" w:color="auto"/>
      </w:divBdr>
    </w:div>
    <w:div w:id="1469739175">
      <w:bodyDiv w:val="1"/>
      <w:marLeft w:val="0"/>
      <w:marRight w:val="0"/>
      <w:marTop w:val="0"/>
      <w:marBottom w:val="0"/>
      <w:divBdr>
        <w:top w:val="none" w:sz="0" w:space="0" w:color="auto"/>
        <w:left w:val="none" w:sz="0" w:space="0" w:color="auto"/>
        <w:bottom w:val="none" w:sz="0" w:space="0" w:color="auto"/>
        <w:right w:val="none" w:sz="0" w:space="0" w:color="auto"/>
      </w:divBdr>
    </w:div>
    <w:div w:id="1471244160">
      <w:bodyDiv w:val="1"/>
      <w:marLeft w:val="0"/>
      <w:marRight w:val="0"/>
      <w:marTop w:val="0"/>
      <w:marBottom w:val="0"/>
      <w:divBdr>
        <w:top w:val="none" w:sz="0" w:space="0" w:color="auto"/>
        <w:left w:val="none" w:sz="0" w:space="0" w:color="auto"/>
        <w:bottom w:val="none" w:sz="0" w:space="0" w:color="auto"/>
        <w:right w:val="none" w:sz="0" w:space="0" w:color="auto"/>
      </w:divBdr>
    </w:div>
    <w:div w:id="1471433388">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
    <w:div w:id="1472215634">
      <w:bodyDiv w:val="1"/>
      <w:marLeft w:val="0"/>
      <w:marRight w:val="0"/>
      <w:marTop w:val="0"/>
      <w:marBottom w:val="0"/>
      <w:divBdr>
        <w:top w:val="none" w:sz="0" w:space="0" w:color="auto"/>
        <w:left w:val="none" w:sz="0" w:space="0" w:color="auto"/>
        <w:bottom w:val="none" w:sz="0" w:space="0" w:color="auto"/>
        <w:right w:val="none" w:sz="0" w:space="0" w:color="auto"/>
      </w:divBdr>
    </w:div>
    <w:div w:id="1473710934">
      <w:bodyDiv w:val="1"/>
      <w:marLeft w:val="0"/>
      <w:marRight w:val="0"/>
      <w:marTop w:val="0"/>
      <w:marBottom w:val="0"/>
      <w:divBdr>
        <w:top w:val="none" w:sz="0" w:space="0" w:color="auto"/>
        <w:left w:val="none" w:sz="0" w:space="0" w:color="auto"/>
        <w:bottom w:val="none" w:sz="0" w:space="0" w:color="auto"/>
        <w:right w:val="none" w:sz="0" w:space="0" w:color="auto"/>
      </w:divBdr>
    </w:div>
    <w:div w:id="1474326399">
      <w:bodyDiv w:val="1"/>
      <w:marLeft w:val="0"/>
      <w:marRight w:val="0"/>
      <w:marTop w:val="0"/>
      <w:marBottom w:val="0"/>
      <w:divBdr>
        <w:top w:val="none" w:sz="0" w:space="0" w:color="auto"/>
        <w:left w:val="none" w:sz="0" w:space="0" w:color="auto"/>
        <w:bottom w:val="none" w:sz="0" w:space="0" w:color="auto"/>
        <w:right w:val="none" w:sz="0" w:space="0" w:color="auto"/>
      </w:divBdr>
    </w:div>
    <w:div w:id="1475441500">
      <w:bodyDiv w:val="1"/>
      <w:marLeft w:val="0"/>
      <w:marRight w:val="0"/>
      <w:marTop w:val="0"/>
      <w:marBottom w:val="0"/>
      <w:divBdr>
        <w:top w:val="none" w:sz="0" w:space="0" w:color="auto"/>
        <w:left w:val="none" w:sz="0" w:space="0" w:color="auto"/>
        <w:bottom w:val="none" w:sz="0" w:space="0" w:color="auto"/>
        <w:right w:val="none" w:sz="0" w:space="0" w:color="auto"/>
      </w:divBdr>
    </w:div>
    <w:div w:id="1475875357">
      <w:bodyDiv w:val="1"/>
      <w:marLeft w:val="0"/>
      <w:marRight w:val="0"/>
      <w:marTop w:val="0"/>
      <w:marBottom w:val="0"/>
      <w:divBdr>
        <w:top w:val="none" w:sz="0" w:space="0" w:color="auto"/>
        <w:left w:val="none" w:sz="0" w:space="0" w:color="auto"/>
        <w:bottom w:val="none" w:sz="0" w:space="0" w:color="auto"/>
        <w:right w:val="none" w:sz="0" w:space="0" w:color="auto"/>
      </w:divBdr>
    </w:div>
    <w:div w:id="1476219822">
      <w:bodyDiv w:val="1"/>
      <w:marLeft w:val="0"/>
      <w:marRight w:val="0"/>
      <w:marTop w:val="0"/>
      <w:marBottom w:val="0"/>
      <w:divBdr>
        <w:top w:val="none" w:sz="0" w:space="0" w:color="auto"/>
        <w:left w:val="none" w:sz="0" w:space="0" w:color="auto"/>
        <w:bottom w:val="none" w:sz="0" w:space="0" w:color="auto"/>
        <w:right w:val="none" w:sz="0" w:space="0" w:color="auto"/>
      </w:divBdr>
    </w:div>
    <w:div w:id="1476294848">
      <w:bodyDiv w:val="1"/>
      <w:marLeft w:val="0"/>
      <w:marRight w:val="0"/>
      <w:marTop w:val="0"/>
      <w:marBottom w:val="0"/>
      <w:divBdr>
        <w:top w:val="none" w:sz="0" w:space="0" w:color="auto"/>
        <w:left w:val="none" w:sz="0" w:space="0" w:color="auto"/>
        <w:bottom w:val="none" w:sz="0" w:space="0" w:color="auto"/>
        <w:right w:val="none" w:sz="0" w:space="0" w:color="auto"/>
      </w:divBdr>
    </w:div>
    <w:div w:id="1476870644">
      <w:bodyDiv w:val="1"/>
      <w:marLeft w:val="0"/>
      <w:marRight w:val="0"/>
      <w:marTop w:val="0"/>
      <w:marBottom w:val="0"/>
      <w:divBdr>
        <w:top w:val="none" w:sz="0" w:space="0" w:color="auto"/>
        <w:left w:val="none" w:sz="0" w:space="0" w:color="auto"/>
        <w:bottom w:val="none" w:sz="0" w:space="0" w:color="auto"/>
        <w:right w:val="none" w:sz="0" w:space="0" w:color="auto"/>
      </w:divBdr>
    </w:div>
    <w:div w:id="1477137895">
      <w:bodyDiv w:val="1"/>
      <w:marLeft w:val="0"/>
      <w:marRight w:val="0"/>
      <w:marTop w:val="0"/>
      <w:marBottom w:val="0"/>
      <w:divBdr>
        <w:top w:val="none" w:sz="0" w:space="0" w:color="auto"/>
        <w:left w:val="none" w:sz="0" w:space="0" w:color="auto"/>
        <w:bottom w:val="none" w:sz="0" w:space="0" w:color="auto"/>
        <w:right w:val="none" w:sz="0" w:space="0" w:color="auto"/>
      </w:divBdr>
    </w:div>
    <w:div w:id="1477603135">
      <w:bodyDiv w:val="1"/>
      <w:marLeft w:val="0"/>
      <w:marRight w:val="0"/>
      <w:marTop w:val="0"/>
      <w:marBottom w:val="0"/>
      <w:divBdr>
        <w:top w:val="none" w:sz="0" w:space="0" w:color="auto"/>
        <w:left w:val="none" w:sz="0" w:space="0" w:color="auto"/>
        <w:bottom w:val="none" w:sz="0" w:space="0" w:color="auto"/>
        <w:right w:val="none" w:sz="0" w:space="0" w:color="auto"/>
      </w:divBdr>
    </w:div>
    <w:div w:id="1478380277">
      <w:bodyDiv w:val="1"/>
      <w:marLeft w:val="0"/>
      <w:marRight w:val="0"/>
      <w:marTop w:val="0"/>
      <w:marBottom w:val="0"/>
      <w:divBdr>
        <w:top w:val="none" w:sz="0" w:space="0" w:color="auto"/>
        <w:left w:val="none" w:sz="0" w:space="0" w:color="auto"/>
        <w:bottom w:val="none" w:sz="0" w:space="0" w:color="auto"/>
        <w:right w:val="none" w:sz="0" w:space="0" w:color="auto"/>
      </w:divBdr>
    </w:div>
    <w:div w:id="1479376783">
      <w:bodyDiv w:val="1"/>
      <w:marLeft w:val="0"/>
      <w:marRight w:val="0"/>
      <w:marTop w:val="0"/>
      <w:marBottom w:val="0"/>
      <w:divBdr>
        <w:top w:val="none" w:sz="0" w:space="0" w:color="auto"/>
        <w:left w:val="none" w:sz="0" w:space="0" w:color="auto"/>
        <w:bottom w:val="none" w:sz="0" w:space="0" w:color="auto"/>
        <w:right w:val="none" w:sz="0" w:space="0" w:color="auto"/>
      </w:divBdr>
    </w:div>
    <w:div w:id="1480147783">
      <w:bodyDiv w:val="1"/>
      <w:marLeft w:val="0"/>
      <w:marRight w:val="0"/>
      <w:marTop w:val="0"/>
      <w:marBottom w:val="0"/>
      <w:divBdr>
        <w:top w:val="none" w:sz="0" w:space="0" w:color="auto"/>
        <w:left w:val="none" w:sz="0" w:space="0" w:color="auto"/>
        <w:bottom w:val="none" w:sz="0" w:space="0" w:color="auto"/>
        <w:right w:val="none" w:sz="0" w:space="0" w:color="auto"/>
      </w:divBdr>
    </w:div>
    <w:div w:id="1481269896">
      <w:bodyDiv w:val="1"/>
      <w:marLeft w:val="0"/>
      <w:marRight w:val="0"/>
      <w:marTop w:val="0"/>
      <w:marBottom w:val="0"/>
      <w:divBdr>
        <w:top w:val="none" w:sz="0" w:space="0" w:color="auto"/>
        <w:left w:val="none" w:sz="0" w:space="0" w:color="auto"/>
        <w:bottom w:val="none" w:sz="0" w:space="0" w:color="auto"/>
        <w:right w:val="none" w:sz="0" w:space="0" w:color="auto"/>
      </w:divBdr>
    </w:div>
    <w:div w:id="1482309214">
      <w:bodyDiv w:val="1"/>
      <w:marLeft w:val="0"/>
      <w:marRight w:val="0"/>
      <w:marTop w:val="0"/>
      <w:marBottom w:val="0"/>
      <w:divBdr>
        <w:top w:val="none" w:sz="0" w:space="0" w:color="auto"/>
        <w:left w:val="none" w:sz="0" w:space="0" w:color="auto"/>
        <w:bottom w:val="none" w:sz="0" w:space="0" w:color="auto"/>
        <w:right w:val="none" w:sz="0" w:space="0" w:color="auto"/>
      </w:divBdr>
    </w:div>
    <w:div w:id="1483694267">
      <w:bodyDiv w:val="1"/>
      <w:marLeft w:val="0"/>
      <w:marRight w:val="0"/>
      <w:marTop w:val="0"/>
      <w:marBottom w:val="0"/>
      <w:divBdr>
        <w:top w:val="none" w:sz="0" w:space="0" w:color="auto"/>
        <w:left w:val="none" w:sz="0" w:space="0" w:color="auto"/>
        <w:bottom w:val="none" w:sz="0" w:space="0" w:color="auto"/>
        <w:right w:val="none" w:sz="0" w:space="0" w:color="auto"/>
      </w:divBdr>
    </w:div>
    <w:div w:id="1484156290">
      <w:bodyDiv w:val="1"/>
      <w:marLeft w:val="0"/>
      <w:marRight w:val="0"/>
      <w:marTop w:val="0"/>
      <w:marBottom w:val="0"/>
      <w:divBdr>
        <w:top w:val="none" w:sz="0" w:space="0" w:color="auto"/>
        <w:left w:val="none" w:sz="0" w:space="0" w:color="auto"/>
        <w:bottom w:val="none" w:sz="0" w:space="0" w:color="auto"/>
        <w:right w:val="none" w:sz="0" w:space="0" w:color="auto"/>
      </w:divBdr>
    </w:div>
    <w:div w:id="1486387111">
      <w:bodyDiv w:val="1"/>
      <w:marLeft w:val="0"/>
      <w:marRight w:val="0"/>
      <w:marTop w:val="0"/>
      <w:marBottom w:val="0"/>
      <w:divBdr>
        <w:top w:val="none" w:sz="0" w:space="0" w:color="auto"/>
        <w:left w:val="none" w:sz="0" w:space="0" w:color="auto"/>
        <w:bottom w:val="none" w:sz="0" w:space="0" w:color="auto"/>
        <w:right w:val="none" w:sz="0" w:space="0" w:color="auto"/>
      </w:divBdr>
    </w:div>
    <w:div w:id="1487748691">
      <w:bodyDiv w:val="1"/>
      <w:marLeft w:val="0"/>
      <w:marRight w:val="0"/>
      <w:marTop w:val="0"/>
      <w:marBottom w:val="0"/>
      <w:divBdr>
        <w:top w:val="none" w:sz="0" w:space="0" w:color="auto"/>
        <w:left w:val="none" w:sz="0" w:space="0" w:color="auto"/>
        <w:bottom w:val="none" w:sz="0" w:space="0" w:color="auto"/>
        <w:right w:val="none" w:sz="0" w:space="0" w:color="auto"/>
      </w:divBdr>
    </w:div>
    <w:div w:id="1488354477">
      <w:bodyDiv w:val="1"/>
      <w:marLeft w:val="0"/>
      <w:marRight w:val="0"/>
      <w:marTop w:val="0"/>
      <w:marBottom w:val="0"/>
      <w:divBdr>
        <w:top w:val="none" w:sz="0" w:space="0" w:color="auto"/>
        <w:left w:val="none" w:sz="0" w:space="0" w:color="auto"/>
        <w:bottom w:val="none" w:sz="0" w:space="0" w:color="auto"/>
        <w:right w:val="none" w:sz="0" w:space="0" w:color="auto"/>
      </w:divBdr>
    </w:div>
    <w:div w:id="1489008740">
      <w:bodyDiv w:val="1"/>
      <w:marLeft w:val="0"/>
      <w:marRight w:val="0"/>
      <w:marTop w:val="0"/>
      <w:marBottom w:val="0"/>
      <w:divBdr>
        <w:top w:val="none" w:sz="0" w:space="0" w:color="auto"/>
        <w:left w:val="none" w:sz="0" w:space="0" w:color="auto"/>
        <w:bottom w:val="none" w:sz="0" w:space="0" w:color="auto"/>
        <w:right w:val="none" w:sz="0" w:space="0" w:color="auto"/>
      </w:divBdr>
    </w:div>
    <w:div w:id="1490092674">
      <w:bodyDiv w:val="1"/>
      <w:marLeft w:val="0"/>
      <w:marRight w:val="0"/>
      <w:marTop w:val="0"/>
      <w:marBottom w:val="0"/>
      <w:divBdr>
        <w:top w:val="none" w:sz="0" w:space="0" w:color="auto"/>
        <w:left w:val="none" w:sz="0" w:space="0" w:color="auto"/>
        <w:bottom w:val="none" w:sz="0" w:space="0" w:color="auto"/>
        <w:right w:val="none" w:sz="0" w:space="0" w:color="auto"/>
      </w:divBdr>
    </w:div>
    <w:div w:id="1490320590">
      <w:bodyDiv w:val="1"/>
      <w:marLeft w:val="0"/>
      <w:marRight w:val="0"/>
      <w:marTop w:val="0"/>
      <w:marBottom w:val="0"/>
      <w:divBdr>
        <w:top w:val="none" w:sz="0" w:space="0" w:color="auto"/>
        <w:left w:val="none" w:sz="0" w:space="0" w:color="auto"/>
        <w:bottom w:val="none" w:sz="0" w:space="0" w:color="auto"/>
        <w:right w:val="none" w:sz="0" w:space="0" w:color="auto"/>
      </w:divBdr>
    </w:div>
    <w:div w:id="1490749449">
      <w:bodyDiv w:val="1"/>
      <w:marLeft w:val="0"/>
      <w:marRight w:val="0"/>
      <w:marTop w:val="0"/>
      <w:marBottom w:val="0"/>
      <w:divBdr>
        <w:top w:val="none" w:sz="0" w:space="0" w:color="auto"/>
        <w:left w:val="none" w:sz="0" w:space="0" w:color="auto"/>
        <w:bottom w:val="none" w:sz="0" w:space="0" w:color="auto"/>
        <w:right w:val="none" w:sz="0" w:space="0" w:color="auto"/>
      </w:divBdr>
    </w:div>
    <w:div w:id="1491603171">
      <w:bodyDiv w:val="1"/>
      <w:marLeft w:val="0"/>
      <w:marRight w:val="0"/>
      <w:marTop w:val="0"/>
      <w:marBottom w:val="0"/>
      <w:divBdr>
        <w:top w:val="none" w:sz="0" w:space="0" w:color="auto"/>
        <w:left w:val="none" w:sz="0" w:space="0" w:color="auto"/>
        <w:bottom w:val="none" w:sz="0" w:space="0" w:color="auto"/>
        <w:right w:val="none" w:sz="0" w:space="0" w:color="auto"/>
      </w:divBdr>
    </w:div>
    <w:div w:id="1493258714">
      <w:bodyDiv w:val="1"/>
      <w:marLeft w:val="0"/>
      <w:marRight w:val="0"/>
      <w:marTop w:val="0"/>
      <w:marBottom w:val="0"/>
      <w:divBdr>
        <w:top w:val="none" w:sz="0" w:space="0" w:color="auto"/>
        <w:left w:val="none" w:sz="0" w:space="0" w:color="auto"/>
        <w:bottom w:val="none" w:sz="0" w:space="0" w:color="auto"/>
        <w:right w:val="none" w:sz="0" w:space="0" w:color="auto"/>
      </w:divBdr>
    </w:div>
    <w:div w:id="1494100327">
      <w:bodyDiv w:val="1"/>
      <w:marLeft w:val="0"/>
      <w:marRight w:val="0"/>
      <w:marTop w:val="0"/>
      <w:marBottom w:val="0"/>
      <w:divBdr>
        <w:top w:val="none" w:sz="0" w:space="0" w:color="auto"/>
        <w:left w:val="none" w:sz="0" w:space="0" w:color="auto"/>
        <w:bottom w:val="none" w:sz="0" w:space="0" w:color="auto"/>
        <w:right w:val="none" w:sz="0" w:space="0" w:color="auto"/>
      </w:divBdr>
    </w:div>
    <w:div w:id="1496147727">
      <w:bodyDiv w:val="1"/>
      <w:marLeft w:val="0"/>
      <w:marRight w:val="0"/>
      <w:marTop w:val="0"/>
      <w:marBottom w:val="0"/>
      <w:divBdr>
        <w:top w:val="none" w:sz="0" w:space="0" w:color="auto"/>
        <w:left w:val="none" w:sz="0" w:space="0" w:color="auto"/>
        <w:bottom w:val="none" w:sz="0" w:space="0" w:color="auto"/>
        <w:right w:val="none" w:sz="0" w:space="0" w:color="auto"/>
      </w:divBdr>
    </w:div>
    <w:div w:id="1500803468">
      <w:bodyDiv w:val="1"/>
      <w:marLeft w:val="0"/>
      <w:marRight w:val="0"/>
      <w:marTop w:val="0"/>
      <w:marBottom w:val="0"/>
      <w:divBdr>
        <w:top w:val="none" w:sz="0" w:space="0" w:color="auto"/>
        <w:left w:val="none" w:sz="0" w:space="0" w:color="auto"/>
        <w:bottom w:val="none" w:sz="0" w:space="0" w:color="auto"/>
        <w:right w:val="none" w:sz="0" w:space="0" w:color="auto"/>
      </w:divBdr>
    </w:div>
    <w:div w:id="1501000842">
      <w:bodyDiv w:val="1"/>
      <w:marLeft w:val="0"/>
      <w:marRight w:val="0"/>
      <w:marTop w:val="0"/>
      <w:marBottom w:val="0"/>
      <w:divBdr>
        <w:top w:val="none" w:sz="0" w:space="0" w:color="auto"/>
        <w:left w:val="none" w:sz="0" w:space="0" w:color="auto"/>
        <w:bottom w:val="none" w:sz="0" w:space="0" w:color="auto"/>
        <w:right w:val="none" w:sz="0" w:space="0" w:color="auto"/>
      </w:divBdr>
    </w:div>
    <w:div w:id="1501195525">
      <w:bodyDiv w:val="1"/>
      <w:marLeft w:val="0"/>
      <w:marRight w:val="0"/>
      <w:marTop w:val="0"/>
      <w:marBottom w:val="0"/>
      <w:divBdr>
        <w:top w:val="none" w:sz="0" w:space="0" w:color="auto"/>
        <w:left w:val="none" w:sz="0" w:space="0" w:color="auto"/>
        <w:bottom w:val="none" w:sz="0" w:space="0" w:color="auto"/>
        <w:right w:val="none" w:sz="0" w:space="0" w:color="auto"/>
      </w:divBdr>
    </w:div>
    <w:div w:id="1501391360">
      <w:bodyDiv w:val="1"/>
      <w:marLeft w:val="0"/>
      <w:marRight w:val="0"/>
      <w:marTop w:val="0"/>
      <w:marBottom w:val="0"/>
      <w:divBdr>
        <w:top w:val="none" w:sz="0" w:space="0" w:color="auto"/>
        <w:left w:val="none" w:sz="0" w:space="0" w:color="auto"/>
        <w:bottom w:val="none" w:sz="0" w:space="0" w:color="auto"/>
        <w:right w:val="none" w:sz="0" w:space="0" w:color="auto"/>
      </w:divBdr>
    </w:div>
    <w:div w:id="1501655600">
      <w:bodyDiv w:val="1"/>
      <w:marLeft w:val="0"/>
      <w:marRight w:val="0"/>
      <w:marTop w:val="0"/>
      <w:marBottom w:val="0"/>
      <w:divBdr>
        <w:top w:val="none" w:sz="0" w:space="0" w:color="auto"/>
        <w:left w:val="none" w:sz="0" w:space="0" w:color="auto"/>
        <w:bottom w:val="none" w:sz="0" w:space="0" w:color="auto"/>
        <w:right w:val="none" w:sz="0" w:space="0" w:color="auto"/>
      </w:divBdr>
    </w:div>
    <w:div w:id="1501657548">
      <w:bodyDiv w:val="1"/>
      <w:marLeft w:val="0"/>
      <w:marRight w:val="0"/>
      <w:marTop w:val="0"/>
      <w:marBottom w:val="0"/>
      <w:divBdr>
        <w:top w:val="none" w:sz="0" w:space="0" w:color="auto"/>
        <w:left w:val="none" w:sz="0" w:space="0" w:color="auto"/>
        <w:bottom w:val="none" w:sz="0" w:space="0" w:color="auto"/>
        <w:right w:val="none" w:sz="0" w:space="0" w:color="auto"/>
      </w:divBdr>
    </w:div>
    <w:div w:id="1501971037">
      <w:bodyDiv w:val="1"/>
      <w:marLeft w:val="0"/>
      <w:marRight w:val="0"/>
      <w:marTop w:val="0"/>
      <w:marBottom w:val="0"/>
      <w:divBdr>
        <w:top w:val="none" w:sz="0" w:space="0" w:color="auto"/>
        <w:left w:val="none" w:sz="0" w:space="0" w:color="auto"/>
        <w:bottom w:val="none" w:sz="0" w:space="0" w:color="auto"/>
        <w:right w:val="none" w:sz="0" w:space="0" w:color="auto"/>
      </w:divBdr>
    </w:div>
    <w:div w:id="1502044084">
      <w:bodyDiv w:val="1"/>
      <w:marLeft w:val="0"/>
      <w:marRight w:val="0"/>
      <w:marTop w:val="0"/>
      <w:marBottom w:val="0"/>
      <w:divBdr>
        <w:top w:val="none" w:sz="0" w:space="0" w:color="auto"/>
        <w:left w:val="none" w:sz="0" w:space="0" w:color="auto"/>
        <w:bottom w:val="none" w:sz="0" w:space="0" w:color="auto"/>
        <w:right w:val="none" w:sz="0" w:space="0" w:color="auto"/>
      </w:divBdr>
    </w:div>
    <w:div w:id="1504080113">
      <w:bodyDiv w:val="1"/>
      <w:marLeft w:val="0"/>
      <w:marRight w:val="0"/>
      <w:marTop w:val="0"/>
      <w:marBottom w:val="0"/>
      <w:divBdr>
        <w:top w:val="none" w:sz="0" w:space="0" w:color="auto"/>
        <w:left w:val="none" w:sz="0" w:space="0" w:color="auto"/>
        <w:bottom w:val="none" w:sz="0" w:space="0" w:color="auto"/>
        <w:right w:val="none" w:sz="0" w:space="0" w:color="auto"/>
      </w:divBdr>
    </w:div>
    <w:div w:id="1506238899">
      <w:bodyDiv w:val="1"/>
      <w:marLeft w:val="0"/>
      <w:marRight w:val="0"/>
      <w:marTop w:val="0"/>
      <w:marBottom w:val="0"/>
      <w:divBdr>
        <w:top w:val="none" w:sz="0" w:space="0" w:color="auto"/>
        <w:left w:val="none" w:sz="0" w:space="0" w:color="auto"/>
        <w:bottom w:val="none" w:sz="0" w:space="0" w:color="auto"/>
        <w:right w:val="none" w:sz="0" w:space="0" w:color="auto"/>
      </w:divBdr>
    </w:div>
    <w:div w:id="1509784844">
      <w:bodyDiv w:val="1"/>
      <w:marLeft w:val="0"/>
      <w:marRight w:val="0"/>
      <w:marTop w:val="0"/>
      <w:marBottom w:val="0"/>
      <w:divBdr>
        <w:top w:val="none" w:sz="0" w:space="0" w:color="auto"/>
        <w:left w:val="none" w:sz="0" w:space="0" w:color="auto"/>
        <w:bottom w:val="none" w:sz="0" w:space="0" w:color="auto"/>
        <w:right w:val="none" w:sz="0" w:space="0" w:color="auto"/>
      </w:divBdr>
    </w:div>
    <w:div w:id="1509949867">
      <w:bodyDiv w:val="1"/>
      <w:marLeft w:val="0"/>
      <w:marRight w:val="0"/>
      <w:marTop w:val="0"/>
      <w:marBottom w:val="0"/>
      <w:divBdr>
        <w:top w:val="none" w:sz="0" w:space="0" w:color="auto"/>
        <w:left w:val="none" w:sz="0" w:space="0" w:color="auto"/>
        <w:bottom w:val="none" w:sz="0" w:space="0" w:color="auto"/>
        <w:right w:val="none" w:sz="0" w:space="0" w:color="auto"/>
      </w:divBdr>
    </w:div>
    <w:div w:id="1510103042">
      <w:bodyDiv w:val="1"/>
      <w:marLeft w:val="0"/>
      <w:marRight w:val="0"/>
      <w:marTop w:val="0"/>
      <w:marBottom w:val="0"/>
      <w:divBdr>
        <w:top w:val="none" w:sz="0" w:space="0" w:color="auto"/>
        <w:left w:val="none" w:sz="0" w:space="0" w:color="auto"/>
        <w:bottom w:val="none" w:sz="0" w:space="0" w:color="auto"/>
        <w:right w:val="none" w:sz="0" w:space="0" w:color="auto"/>
      </w:divBdr>
    </w:div>
    <w:div w:id="1510832066">
      <w:bodyDiv w:val="1"/>
      <w:marLeft w:val="0"/>
      <w:marRight w:val="0"/>
      <w:marTop w:val="0"/>
      <w:marBottom w:val="0"/>
      <w:divBdr>
        <w:top w:val="none" w:sz="0" w:space="0" w:color="auto"/>
        <w:left w:val="none" w:sz="0" w:space="0" w:color="auto"/>
        <w:bottom w:val="none" w:sz="0" w:space="0" w:color="auto"/>
        <w:right w:val="none" w:sz="0" w:space="0" w:color="auto"/>
      </w:divBdr>
    </w:div>
    <w:div w:id="1511487547">
      <w:bodyDiv w:val="1"/>
      <w:marLeft w:val="0"/>
      <w:marRight w:val="0"/>
      <w:marTop w:val="0"/>
      <w:marBottom w:val="0"/>
      <w:divBdr>
        <w:top w:val="none" w:sz="0" w:space="0" w:color="auto"/>
        <w:left w:val="none" w:sz="0" w:space="0" w:color="auto"/>
        <w:bottom w:val="none" w:sz="0" w:space="0" w:color="auto"/>
        <w:right w:val="none" w:sz="0" w:space="0" w:color="auto"/>
      </w:divBdr>
    </w:div>
    <w:div w:id="1511795298">
      <w:bodyDiv w:val="1"/>
      <w:marLeft w:val="0"/>
      <w:marRight w:val="0"/>
      <w:marTop w:val="0"/>
      <w:marBottom w:val="0"/>
      <w:divBdr>
        <w:top w:val="none" w:sz="0" w:space="0" w:color="auto"/>
        <w:left w:val="none" w:sz="0" w:space="0" w:color="auto"/>
        <w:bottom w:val="none" w:sz="0" w:space="0" w:color="auto"/>
        <w:right w:val="none" w:sz="0" w:space="0" w:color="auto"/>
      </w:divBdr>
      <w:divsChild>
        <w:div w:id="638608740">
          <w:marLeft w:val="0"/>
          <w:marRight w:val="0"/>
          <w:marTop w:val="0"/>
          <w:marBottom w:val="0"/>
          <w:divBdr>
            <w:top w:val="none" w:sz="0" w:space="0" w:color="auto"/>
            <w:left w:val="none" w:sz="0" w:space="0" w:color="auto"/>
            <w:bottom w:val="none" w:sz="0" w:space="0" w:color="auto"/>
            <w:right w:val="none" w:sz="0" w:space="0" w:color="auto"/>
          </w:divBdr>
          <w:divsChild>
            <w:div w:id="351616095">
              <w:marLeft w:val="0"/>
              <w:marRight w:val="0"/>
              <w:marTop w:val="0"/>
              <w:marBottom w:val="0"/>
              <w:divBdr>
                <w:top w:val="none" w:sz="0" w:space="0" w:color="auto"/>
                <w:left w:val="none" w:sz="0" w:space="0" w:color="auto"/>
                <w:bottom w:val="none" w:sz="0" w:space="0" w:color="auto"/>
                <w:right w:val="none" w:sz="0" w:space="0" w:color="auto"/>
              </w:divBdr>
              <w:divsChild>
                <w:div w:id="1334458859">
                  <w:marLeft w:val="0"/>
                  <w:marRight w:val="0"/>
                  <w:marTop w:val="0"/>
                  <w:marBottom w:val="0"/>
                  <w:divBdr>
                    <w:top w:val="none" w:sz="0" w:space="0" w:color="auto"/>
                    <w:left w:val="none" w:sz="0" w:space="0" w:color="auto"/>
                    <w:bottom w:val="none" w:sz="0" w:space="0" w:color="auto"/>
                    <w:right w:val="none" w:sz="0" w:space="0" w:color="auto"/>
                  </w:divBdr>
                  <w:divsChild>
                    <w:div w:id="74908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93871">
      <w:bodyDiv w:val="1"/>
      <w:marLeft w:val="0"/>
      <w:marRight w:val="0"/>
      <w:marTop w:val="0"/>
      <w:marBottom w:val="0"/>
      <w:divBdr>
        <w:top w:val="none" w:sz="0" w:space="0" w:color="auto"/>
        <w:left w:val="none" w:sz="0" w:space="0" w:color="auto"/>
        <w:bottom w:val="none" w:sz="0" w:space="0" w:color="auto"/>
        <w:right w:val="none" w:sz="0" w:space="0" w:color="auto"/>
      </w:divBdr>
    </w:div>
    <w:div w:id="1516646899">
      <w:bodyDiv w:val="1"/>
      <w:marLeft w:val="0"/>
      <w:marRight w:val="0"/>
      <w:marTop w:val="0"/>
      <w:marBottom w:val="0"/>
      <w:divBdr>
        <w:top w:val="none" w:sz="0" w:space="0" w:color="auto"/>
        <w:left w:val="none" w:sz="0" w:space="0" w:color="auto"/>
        <w:bottom w:val="none" w:sz="0" w:space="0" w:color="auto"/>
        <w:right w:val="none" w:sz="0" w:space="0" w:color="auto"/>
      </w:divBdr>
    </w:div>
    <w:div w:id="1516918677">
      <w:bodyDiv w:val="1"/>
      <w:marLeft w:val="0"/>
      <w:marRight w:val="0"/>
      <w:marTop w:val="0"/>
      <w:marBottom w:val="0"/>
      <w:divBdr>
        <w:top w:val="none" w:sz="0" w:space="0" w:color="auto"/>
        <w:left w:val="none" w:sz="0" w:space="0" w:color="auto"/>
        <w:bottom w:val="none" w:sz="0" w:space="0" w:color="auto"/>
        <w:right w:val="none" w:sz="0" w:space="0" w:color="auto"/>
      </w:divBdr>
    </w:div>
    <w:div w:id="1517227417">
      <w:bodyDiv w:val="1"/>
      <w:marLeft w:val="0"/>
      <w:marRight w:val="0"/>
      <w:marTop w:val="0"/>
      <w:marBottom w:val="0"/>
      <w:divBdr>
        <w:top w:val="none" w:sz="0" w:space="0" w:color="auto"/>
        <w:left w:val="none" w:sz="0" w:space="0" w:color="auto"/>
        <w:bottom w:val="none" w:sz="0" w:space="0" w:color="auto"/>
        <w:right w:val="none" w:sz="0" w:space="0" w:color="auto"/>
      </w:divBdr>
    </w:div>
    <w:div w:id="1518933542">
      <w:bodyDiv w:val="1"/>
      <w:marLeft w:val="0"/>
      <w:marRight w:val="0"/>
      <w:marTop w:val="0"/>
      <w:marBottom w:val="0"/>
      <w:divBdr>
        <w:top w:val="none" w:sz="0" w:space="0" w:color="auto"/>
        <w:left w:val="none" w:sz="0" w:space="0" w:color="auto"/>
        <w:bottom w:val="none" w:sz="0" w:space="0" w:color="auto"/>
        <w:right w:val="none" w:sz="0" w:space="0" w:color="auto"/>
      </w:divBdr>
    </w:div>
    <w:div w:id="1518957380">
      <w:bodyDiv w:val="1"/>
      <w:marLeft w:val="0"/>
      <w:marRight w:val="0"/>
      <w:marTop w:val="0"/>
      <w:marBottom w:val="0"/>
      <w:divBdr>
        <w:top w:val="none" w:sz="0" w:space="0" w:color="auto"/>
        <w:left w:val="none" w:sz="0" w:space="0" w:color="auto"/>
        <w:bottom w:val="none" w:sz="0" w:space="0" w:color="auto"/>
        <w:right w:val="none" w:sz="0" w:space="0" w:color="auto"/>
      </w:divBdr>
    </w:div>
    <w:div w:id="1518958863">
      <w:bodyDiv w:val="1"/>
      <w:marLeft w:val="0"/>
      <w:marRight w:val="0"/>
      <w:marTop w:val="0"/>
      <w:marBottom w:val="0"/>
      <w:divBdr>
        <w:top w:val="none" w:sz="0" w:space="0" w:color="auto"/>
        <w:left w:val="none" w:sz="0" w:space="0" w:color="auto"/>
        <w:bottom w:val="none" w:sz="0" w:space="0" w:color="auto"/>
        <w:right w:val="none" w:sz="0" w:space="0" w:color="auto"/>
      </w:divBdr>
    </w:div>
    <w:div w:id="1519005332">
      <w:bodyDiv w:val="1"/>
      <w:marLeft w:val="0"/>
      <w:marRight w:val="0"/>
      <w:marTop w:val="0"/>
      <w:marBottom w:val="0"/>
      <w:divBdr>
        <w:top w:val="none" w:sz="0" w:space="0" w:color="auto"/>
        <w:left w:val="none" w:sz="0" w:space="0" w:color="auto"/>
        <w:bottom w:val="none" w:sz="0" w:space="0" w:color="auto"/>
        <w:right w:val="none" w:sz="0" w:space="0" w:color="auto"/>
      </w:divBdr>
    </w:div>
    <w:div w:id="1519926137">
      <w:bodyDiv w:val="1"/>
      <w:marLeft w:val="0"/>
      <w:marRight w:val="0"/>
      <w:marTop w:val="0"/>
      <w:marBottom w:val="0"/>
      <w:divBdr>
        <w:top w:val="none" w:sz="0" w:space="0" w:color="auto"/>
        <w:left w:val="none" w:sz="0" w:space="0" w:color="auto"/>
        <w:bottom w:val="none" w:sz="0" w:space="0" w:color="auto"/>
        <w:right w:val="none" w:sz="0" w:space="0" w:color="auto"/>
      </w:divBdr>
    </w:div>
    <w:div w:id="1520393100">
      <w:bodyDiv w:val="1"/>
      <w:marLeft w:val="0"/>
      <w:marRight w:val="0"/>
      <w:marTop w:val="0"/>
      <w:marBottom w:val="0"/>
      <w:divBdr>
        <w:top w:val="none" w:sz="0" w:space="0" w:color="auto"/>
        <w:left w:val="none" w:sz="0" w:space="0" w:color="auto"/>
        <w:bottom w:val="none" w:sz="0" w:space="0" w:color="auto"/>
        <w:right w:val="none" w:sz="0" w:space="0" w:color="auto"/>
      </w:divBdr>
    </w:div>
    <w:div w:id="1521048581">
      <w:bodyDiv w:val="1"/>
      <w:marLeft w:val="0"/>
      <w:marRight w:val="0"/>
      <w:marTop w:val="0"/>
      <w:marBottom w:val="0"/>
      <w:divBdr>
        <w:top w:val="none" w:sz="0" w:space="0" w:color="auto"/>
        <w:left w:val="none" w:sz="0" w:space="0" w:color="auto"/>
        <w:bottom w:val="none" w:sz="0" w:space="0" w:color="auto"/>
        <w:right w:val="none" w:sz="0" w:space="0" w:color="auto"/>
      </w:divBdr>
    </w:div>
    <w:div w:id="1521622858">
      <w:bodyDiv w:val="1"/>
      <w:marLeft w:val="0"/>
      <w:marRight w:val="0"/>
      <w:marTop w:val="0"/>
      <w:marBottom w:val="0"/>
      <w:divBdr>
        <w:top w:val="none" w:sz="0" w:space="0" w:color="auto"/>
        <w:left w:val="none" w:sz="0" w:space="0" w:color="auto"/>
        <w:bottom w:val="none" w:sz="0" w:space="0" w:color="auto"/>
        <w:right w:val="none" w:sz="0" w:space="0" w:color="auto"/>
      </w:divBdr>
    </w:div>
    <w:div w:id="1522083038">
      <w:bodyDiv w:val="1"/>
      <w:marLeft w:val="0"/>
      <w:marRight w:val="0"/>
      <w:marTop w:val="0"/>
      <w:marBottom w:val="0"/>
      <w:divBdr>
        <w:top w:val="none" w:sz="0" w:space="0" w:color="auto"/>
        <w:left w:val="none" w:sz="0" w:space="0" w:color="auto"/>
        <w:bottom w:val="none" w:sz="0" w:space="0" w:color="auto"/>
        <w:right w:val="none" w:sz="0" w:space="0" w:color="auto"/>
      </w:divBdr>
    </w:div>
    <w:div w:id="1523544149">
      <w:bodyDiv w:val="1"/>
      <w:marLeft w:val="0"/>
      <w:marRight w:val="0"/>
      <w:marTop w:val="0"/>
      <w:marBottom w:val="0"/>
      <w:divBdr>
        <w:top w:val="none" w:sz="0" w:space="0" w:color="auto"/>
        <w:left w:val="none" w:sz="0" w:space="0" w:color="auto"/>
        <w:bottom w:val="none" w:sz="0" w:space="0" w:color="auto"/>
        <w:right w:val="none" w:sz="0" w:space="0" w:color="auto"/>
      </w:divBdr>
    </w:div>
    <w:div w:id="1523738243">
      <w:bodyDiv w:val="1"/>
      <w:marLeft w:val="0"/>
      <w:marRight w:val="0"/>
      <w:marTop w:val="0"/>
      <w:marBottom w:val="0"/>
      <w:divBdr>
        <w:top w:val="none" w:sz="0" w:space="0" w:color="auto"/>
        <w:left w:val="none" w:sz="0" w:space="0" w:color="auto"/>
        <w:bottom w:val="none" w:sz="0" w:space="0" w:color="auto"/>
        <w:right w:val="none" w:sz="0" w:space="0" w:color="auto"/>
      </w:divBdr>
    </w:div>
    <w:div w:id="1524711097">
      <w:bodyDiv w:val="1"/>
      <w:marLeft w:val="0"/>
      <w:marRight w:val="0"/>
      <w:marTop w:val="0"/>
      <w:marBottom w:val="0"/>
      <w:divBdr>
        <w:top w:val="none" w:sz="0" w:space="0" w:color="auto"/>
        <w:left w:val="none" w:sz="0" w:space="0" w:color="auto"/>
        <w:bottom w:val="none" w:sz="0" w:space="0" w:color="auto"/>
        <w:right w:val="none" w:sz="0" w:space="0" w:color="auto"/>
      </w:divBdr>
    </w:div>
    <w:div w:id="1525827658">
      <w:bodyDiv w:val="1"/>
      <w:marLeft w:val="0"/>
      <w:marRight w:val="0"/>
      <w:marTop w:val="0"/>
      <w:marBottom w:val="0"/>
      <w:divBdr>
        <w:top w:val="none" w:sz="0" w:space="0" w:color="auto"/>
        <w:left w:val="none" w:sz="0" w:space="0" w:color="auto"/>
        <w:bottom w:val="none" w:sz="0" w:space="0" w:color="auto"/>
        <w:right w:val="none" w:sz="0" w:space="0" w:color="auto"/>
      </w:divBdr>
    </w:div>
    <w:div w:id="1526405502">
      <w:bodyDiv w:val="1"/>
      <w:marLeft w:val="0"/>
      <w:marRight w:val="0"/>
      <w:marTop w:val="0"/>
      <w:marBottom w:val="0"/>
      <w:divBdr>
        <w:top w:val="none" w:sz="0" w:space="0" w:color="auto"/>
        <w:left w:val="none" w:sz="0" w:space="0" w:color="auto"/>
        <w:bottom w:val="none" w:sz="0" w:space="0" w:color="auto"/>
        <w:right w:val="none" w:sz="0" w:space="0" w:color="auto"/>
      </w:divBdr>
    </w:div>
    <w:div w:id="1527213671">
      <w:bodyDiv w:val="1"/>
      <w:marLeft w:val="0"/>
      <w:marRight w:val="0"/>
      <w:marTop w:val="0"/>
      <w:marBottom w:val="0"/>
      <w:divBdr>
        <w:top w:val="none" w:sz="0" w:space="0" w:color="auto"/>
        <w:left w:val="none" w:sz="0" w:space="0" w:color="auto"/>
        <w:bottom w:val="none" w:sz="0" w:space="0" w:color="auto"/>
        <w:right w:val="none" w:sz="0" w:space="0" w:color="auto"/>
      </w:divBdr>
    </w:div>
    <w:div w:id="1528323690">
      <w:bodyDiv w:val="1"/>
      <w:marLeft w:val="0"/>
      <w:marRight w:val="0"/>
      <w:marTop w:val="0"/>
      <w:marBottom w:val="0"/>
      <w:divBdr>
        <w:top w:val="none" w:sz="0" w:space="0" w:color="auto"/>
        <w:left w:val="none" w:sz="0" w:space="0" w:color="auto"/>
        <w:bottom w:val="none" w:sz="0" w:space="0" w:color="auto"/>
        <w:right w:val="none" w:sz="0" w:space="0" w:color="auto"/>
      </w:divBdr>
    </w:div>
    <w:div w:id="1529415098">
      <w:bodyDiv w:val="1"/>
      <w:marLeft w:val="0"/>
      <w:marRight w:val="0"/>
      <w:marTop w:val="0"/>
      <w:marBottom w:val="0"/>
      <w:divBdr>
        <w:top w:val="none" w:sz="0" w:space="0" w:color="auto"/>
        <w:left w:val="none" w:sz="0" w:space="0" w:color="auto"/>
        <w:bottom w:val="none" w:sz="0" w:space="0" w:color="auto"/>
        <w:right w:val="none" w:sz="0" w:space="0" w:color="auto"/>
      </w:divBdr>
    </w:div>
    <w:div w:id="1531869460">
      <w:bodyDiv w:val="1"/>
      <w:marLeft w:val="0"/>
      <w:marRight w:val="0"/>
      <w:marTop w:val="0"/>
      <w:marBottom w:val="0"/>
      <w:divBdr>
        <w:top w:val="none" w:sz="0" w:space="0" w:color="auto"/>
        <w:left w:val="none" w:sz="0" w:space="0" w:color="auto"/>
        <w:bottom w:val="none" w:sz="0" w:space="0" w:color="auto"/>
        <w:right w:val="none" w:sz="0" w:space="0" w:color="auto"/>
      </w:divBdr>
    </w:div>
    <w:div w:id="1534071706">
      <w:bodyDiv w:val="1"/>
      <w:marLeft w:val="0"/>
      <w:marRight w:val="0"/>
      <w:marTop w:val="0"/>
      <w:marBottom w:val="0"/>
      <w:divBdr>
        <w:top w:val="none" w:sz="0" w:space="0" w:color="auto"/>
        <w:left w:val="none" w:sz="0" w:space="0" w:color="auto"/>
        <w:bottom w:val="none" w:sz="0" w:space="0" w:color="auto"/>
        <w:right w:val="none" w:sz="0" w:space="0" w:color="auto"/>
      </w:divBdr>
    </w:div>
    <w:div w:id="1534491615">
      <w:bodyDiv w:val="1"/>
      <w:marLeft w:val="0"/>
      <w:marRight w:val="0"/>
      <w:marTop w:val="0"/>
      <w:marBottom w:val="0"/>
      <w:divBdr>
        <w:top w:val="none" w:sz="0" w:space="0" w:color="auto"/>
        <w:left w:val="none" w:sz="0" w:space="0" w:color="auto"/>
        <w:bottom w:val="none" w:sz="0" w:space="0" w:color="auto"/>
        <w:right w:val="none" w:sz="0" w:space="0" w:color="auto"/>
      </w:divBdr>
    </w:div>
    <w:div w:id="1535268030">
      <w:bodyDiv w:val="1"/>
      <w:marLeft w:val="0"/>
      <w:marRight w:val="0"/>
      <w:marTop w:val="0"/>
      <w:marBottom w:val="0"/>
      <w:divBdr>
        <w:top w:val="none" w:sz="0" w:space="0" w:color="auto"/>
        <w:left w:val="none" w:sz="0" w:space="0" w:color="auto"/>
        <w:bottom w:val="none" w:sz="0" w:space="0" w:color="auto"/>
        <w:right w:val="none" w:sz="0" w:space="0" w:color="auto"/>
      </w:divBdr>
    </w:div>
    <w:div w:id="1536195386">
      <w:bodyDiv w:val="1"/>
      <w:marLeft w:val="0"/>
      <w:marRight w:val="0"/>
      <w:marTop w:val="0"/>
      <w:marBottom w:val="0"/>
      <w:divBdr>
        <w:top w:val="none" w:sz="0" w:space="0" w:color="auto"/>
        <w:left w:val="none" w:sz="0" w:space="0" w:color="auto"/>
        <w:bottom w:val="none" w:sz="0" w:space="0" w:color="auto"/>
        <w:right w:val="none" w:sz="0" w:space="0" w:color="auto"/>
      </w:divBdr>
    </w:div>
    <w:div w:id="1536232193">
      <w:bodyDiv w:val="1"/>
      <w:marLeft w:val="0"/>
      <w:marRight w:val="0"/>
      <w:marTop w:val="0"/>
      <w:marBottom w:val="0"/>
      <w:divBdr>
        <w:top w:val="none" w:sz="0" w:space="0" w:color="auto"/>
        <w:left w:val="none" w:sz="0" w:space="0" w:color="auto"/>
        <w:bottom w:val="none" w:sz="0" w:space="0" w:color="auto"/>
        <w:right w:val="none" w:sz="0" w:space="0" w:color="auto"/>
      </w:divBdr>
    </w:div>
    <w:div w:id="1536574211">
      <w:bodyDiv w:val="1"/>
      <w:marLeft w:val="0"/>
      <w:marRight w:val="0"/>
      <w:marTop w:val="0"/>
      <w:marBottom w:val="0"/>
      <w:divBdr>
        <w:top w:val="none" w:sz="0" w:space="0" w:color="auto"/>
        <w:left w:val="none" w:sz="0" w:space="0" w:color="auto"/>
        <w:bottom w:val="none" w:sz="0" w:space="0" w:color="auto"/>
        <w:right w:val="none" w:sz="0" w:space="0" w:color="auto"/>
      </w:divBdr>
    </w:div>
    <w:div w:id="1537304376">
      <w:bodyDiv w:val="1"/>
      <w:marLeft w:val="0"/>
      <w:marRight w:val="0"/>
      <w:marTop w:val="0"/>
      <w:marBottom w:val="0"/>
      <w:divBdr>
        <w:top w:val="none" w:sz="0" w:space="0" w:color="auto"/>
        <w:left w:val="none" w:sz="0" w:space="0" w:color="auto"/>
        <w:bottom w:val="none" w:sz="0" w:space="0" w:color="auto"/>
        <w:right w:val="none" w:sz="0" w:space="0" w:color="auto"/>
      </w:divBdr>
    </w:div>
    <w:div w:id="1538591633">
      <w:bodyDiv w:val="1"/>
      <w:marLeft w:val="0"/>
      <w:marRight w:val="0"/>
      <w:marTop w:val="0"/>
      <w:marBottom w:val="0"/>
      <w:divBdr>
        <w:top w:val="none" w:sz="0" w:space="0" w:color="auto"/>
        <w:left w:val="none" w:sz="0" w:space="0" w:color="auto"/>
        <w:bottom w:val="none" w:sz="0" w:space="0" w:color="auto"/>
        <w:right w:val="none" w:sz="0" w:space="0" w:color="auto"/>
      </w:divBdr>
    </w:div>
    <w:div w:id="1539198146">
      <w:bodyDiv w:val="1"/>
      <w:marLeft w:val="0"/>
      <w:marRight w:val="0"/>
      <w:marTop w:val="0"/>
      <w:marBottom w:val="0"/>
      <w:divBdr>
        <w:top w:val="none" w:sz="0" w:space="0" w:color="auto"/>
        <w:left w:val="none" w:sz="0" w:space="0" w:color="auto"/>
        <w:bottom w:val="none" w:sz="0" w:space="0" w:color="auto"/>
        <w:right w:val="none" w:sz="0" w:space="0" w:color="auto"/>
      </w:divBdr>
    </w:div>
    <w:div w:id="1539970869">
      <w:bodyDiv w:val="1"/>
      <w:marLeft w:val="0"/>
      <w:marRight w:val="0"/>
      <w:marTop w:val="0"/>
      <w:marBottom w:val="0"/>
      <w:divBdr>
        <w:top w:val="none" w:sz="0" w:space="0" w:color="auto"/>
        <w:left w:val="none" w:sz="0" w:space="0" w:color="auto"/>
        <w:bottom w:val="none" w:sz="0" w:space="0" w:color="auto"/>
        <w:right w:val="none" w:sz="0" w:space="0" w:color="auto"/>
      </w:divBdr>
    </w:div>
    <w:div w:id="1540121054">
      <w:bodyDiv w:val="1"/>
      <w:marLeft w:val="0"/>
      <w:marRight w:val="0"/>
      <w:marTop w:val="0"/>
      <w:marBottom w:val="0"/>
      <w:divBdr>
        <w:top w:val="none" w:sz="0" w:space="0" w:color="auto"/>
        <w:left w:val="none" w:sz="0" w:space="0" w:color="auto"/>
        <w:bottom w:val="none" w:sz="0" w:space="0" w:color="auto"/>
        <w:right w:val="none" w:sz="0" w:space="0" w:color="auto"/>
      </w:divBdr>
    </w:div>
    <w:div w:id="1540239002">
      <w:bodyDiv w:val="1"/>
      <w:marLeft w:val="0"/>
      <w:marRight w:val="0"/>
      <w:marTop w:val="0"/>
      <w:marBottom w:val="0"/>
      <w:divBdr>
        <w:top w:val="none" w:sz="0" w:space="0" w:color="auto"/>
        <w:left w:val="none" w:sz="0" w:space="0" w:color="auto"/>
        <w:bottom w:val="none" w:sz="0" w:space="0" w:color="auto"/>
        <w:right w:val="none" w:sz="0" w:space="0" w:color="auto"/>
      </w:divBdr>
    </w:div>
    <w:div w:id="1540823281">
      <w:bodyDiv w:val="1"/>
      <w:marLeft w:val="0"/>
      <w:marRight w:val="0"/>
      <w:marTop w:val="0"/>
      <w:marBottom w:val="0"/>
      <w:divBdr>
        <w:top w:val="none" w:sz="0" w:space="0" w:color="auto"/>
        <w:left w:val="none" w:sz="0" w:space="0" w:color="auto"/>
        <w:bottom w:val="none" w:sz="0" w:space="0" w:color="auto"/>
        <w:right w:val="none" w:sz="0" w:space="0" w:color="auto"/>
      </w:divBdr>
    </w:div>
    <w:div w:id="1542128804">
      <w:bodyDiv w:val="1"/>
      <w:marLeft w:val="0"/>
      <w:marRight w:val="0"/>
      <w:marTop w:val="0"/>
      <w:marBottom w:val="0"/>
      <w:divBdr>
        <w:top w:val="none" w:sz="0" w:space="0" w:color="auto"/>
        <w:left w:val="none" w:sz="0" w:space="0" w:color="auto"/>
        <w:bottom w:val="none" w:sz="0" w:space="0" w:color="auto"/>
        <w:right w:val="none" w:sz="0" w:space="0" w:color="auto"/>
      </w:divBdr>
    </w:div>
    <w:div w:id="1542279951">
      <w:bodyDiv w:val="1"/>
      <w:marLeft w:val="0"/>
      <w:marRight w:val="0"/>
      <w:marTop w:val="0"/>
      <w:marBottom w:val="0"/>
      <w:divBdr>
        <w:top w:val="none" w:sz="0" w:space="0" w:color="auto"/>
        <w:left w:val="none" w:sz="0" w:space="0" w:color="auto"/>
        <w:bottom w:val="none" w:sz="0" w:space="0" w:color="auto"/>
        <w:right w:val="none" w:sz="0" w:space="0" w:color="auto"/>
      </w:divBdr>
    </w:div>
    <w:div w:id="1544519130">
      <w:bodyDiv w:val="1"/>
      <w:marLeft w:val="0"/>
      <w:marRight w:val="0"/>
      <w:marTop w:val="0"/>
      <w:marBottom w:val="0"/>
      <w:divBdr>
        <w:top w:val="none" w:sz="0" w:space="0" w:color="auto"/>
        <w:left w:val="none" w:sz="0" w:space="0" w:color="auto"/>
        <w:bottom w:val="none" w:sz="0" w:space="0" w:color="auto"/>
        <w:right w:val="none" w:sz="0" w:space="0" w:color="auto"/>
      </w:divBdr>
    </w:div>
    <w:div w:id="1545366908">
      <w:bodyDiv w:val="1"/>
      <w:marLeft w:val="0"/>
      <w:marRight w:val="0"/>
      <w:marTop w:val="0"/>
      <w:marBottom w:val="0"/>
      <w:divBdr>
        <w:top w:val="none" w:sz="0" w:space="0" w:color="auto"/>
        <w:left w:val="none" w:sz="0" w:space="0" w:color="auto"/>
        <w:bottom w:val="none" w:sz="0" w:space="0" w:color="auto"/>
        <w:right w:val="none" w:sz="0" w:space="0" w:color="auto"/>
      </w:divBdr>
    </w:div>
    <w:div w:id="1546138430">
      <w:bodyDiv w:val="1"/>
      <w:marLeft w:val="0"/>
      <w:marRight w:val="0"/>
      <w:marTop w:val="0"/>
      <w:marBottom w:val="0"/>
      <w:divBdr>
        <w:top w:val="none" w:sz="0" w:space="0" w:color="auto"/>
        <w:left w:val="none" w:sz="0" w:space="0" w:color="auto"/>
        <w:bottom w:val="none" w:sz="0" w:space="0" w:color="auto"/>
        <w:right w:val="none" w:sz="0" w:space="0" w:color="auto"/>
      </w:divBdr>
    </w:div>
    <w:div w:id="1546789906">
      <w:bodyDiv w:val="1"/>
      <w:marLeft w:val="0"/>
      <w:marRight w:val="0"/>
      <w:marTop w:val="0"/>
      <w:marBottom w:val="0"/>
      <w:divBdr>
        <w:top w:val="none" w:sz="0" w:space="0" w:color="auto"/>
        <w:left w:val="none" w:sz="0" w:space="0" w:color="auto"/>
        <w:bottom w:val="none" w:sz="0" w:space="0" w:color="auto"/>
        <w:right w:val="none" w:sz="0" w:space="0" w:color="auto"/>
      </w:divBdr>
    </w:div>
    <w:div w:id="1548102695">
      <w:bodyDiv w:val="1"/>
      <w:marLeft w:val="0"/>
      <w:marRight w:val="0"/>
      <w:marTop w:val="0"/>
      <w:marBottom w:val="0"/>
      <w:divBdr>
        <w:top w:val="none" w:sz="0" w:space="0" w:color="auto"/>
        <w:left w:val="none" w:sz="0" w:space="0" w:color="auto"/>
        <w:bottom w:val="none" w:sz="0" w:space="0" w:color="auto"/>
        <w:right w:val="none" w:sz="0" w:space="0" w:color="auto"/>
      </w:divBdr>
    </w:div>
    <w:div w:id="1549031721">
      <w:bodyDiv w:val="1"/>
      <w:marLeft w:val="0"/>
      <w:marRight w:val="0"/>
      <w:marTop w:val="0"/>
      <w:marBottom w:val="0"/>
      <w:divBdr>
        <w:top w:val="none" w:sz="0" w:space="0" w:color="auto"/>
        <w:left w:val="none" w:sz="0" w:space="0" w:color="auto"/>
        <w:bottom w:val="none" w:sz="0" w:space="0" w:color="auto"/>
        <w:right w:val="none" w:sz="0" w:space="0" w:color="auto"/>
      </w:divBdr>
    </w:div>
    <w:div w:id="1549415079">
      <w:bodyDiv w:val="1"/>
      <w:marLeft w:val="0"/>
      <w:marRight w:val="0"/>
      <w:marTop w:val="0"/>
      <w:marBottom w:val="0"/>
      <w:divBdr>
        <w:top w:val="none" w:sz="0" w:space="0" w:color="auto"/>
        <w:left w:val="none" w:sz="0" w:space="0" w:color="auto"/>
        <w:bottom w:val="none" w:sz="0" w:space="0" w:color="auto"/>
        <w:right w:val="none" w:sz="0" w:space="0" w:color="auto"/>
      </w:divBdr>
    </w:div>
    <w:div w:id="1550607652">
      <w:bodyDiv w:val="1"/>
      <w:marLeft w:val="0"/>
      <w:marRight w:val="0"/>
      <w:marTop w:val="0"/>
      <w:marBottom w:val="0"/>
      <w:divBdr>
        <w:top w:val="none" w:sz="0" w:space="0" w:color="auto"/>
        <w:left w:val="none" w:sz="0" w:space="0" w:color="auto"/>
        <w:bottom w:val="none" w:sz="0" w:space="0" w:color="auto"/>
        <w:right w:val="none" w:sz="0" w:space="0" w:color="auto"/>
      </w:divBdr>
    </w:div>
    <w:div w:id="1552380197">
      <w:bodyDiv w:val="1"/>
      <w:marLeft w:val="0"/>
      <w:marRight w:val="0"/>
      <w:marTop w:val="0"/>
      <w:marBottom w:val="0"/>
      <w:divBdr>
        <w:top w:val="none" w:sz="0" w:space="0" w:color="auto"/>
        <w:left w:val="none" w:sz="0" w:space="0" w:color="auto"/>
        <w:bottom w:val="none" w:sz="0" w:space="0" w:color="auto"/>
        <w:right w:val="none" w:sz="0" w:space="0" w:color="auto"/>
      </w:divBdr>
    </w:div>
    <w:div w:id="1552493230">
      <w:bodyDiv w:val="1"/>
      <w:marLeft w:val="0"/>
      <w:marRight w:val="0"/>
      <w:marTop w:val="0"/>
      <w:marBottom w:val="0"/>
      <w:divBdr>
        <w:top w:val="none" w:sz="0" w:space="0" w:color="auto"/>
        <w:left w:val="none" w:sz="0" w:space="0" w:color="auto"/>
        <w:bottom w:val="none" w:sz="0" w:space="0" w:color="auto"/>
        <w:right w:val="none" w:sz="0" w:space="0" w:color="auto"/>
      </w:divBdr>
    </w:div>
    <w:div w:id="1552571899">
      <w:bodyDiv w:val="1"/>
      <w:marLeft w:val="0"/>
      <w:marRight w:val="0"/>
      <w:marTop w:val="0"/>
      <w:marBottom w:val="0"/>
      <w:divBdr>
        <w:top w:val="none" w:sz="0" w:space="0" w:color="auto"/>
        <w:left w:val="none" w:sz="0" w:space="0" w:color="auto"/>
        <w:bottom w:val="none" w:sz="0" w:space="0" w:color="auto"/>
        <w:right w:val="none" w:sz="0" w:space="0" w:color="auto"/>
      </w:divBdr>
      <w:divsChild>
        <w:div w:id="216279686">
          <w:marLeft w:val="0"/>
          <w:marRight w:val="0"/>
          <w:marTop w:val="0"/>
          <w:marBottom w:val="0"/>
          <w:divBdr>
            <w:top w:val="none" w:sz="0" w:space="0" w:color="auto"/>
            <w:left w:val="none" w:sz="0" w:space="0" w:color="auto"/>
            <w:bottom w:val="none" w:sz="0" w:space="0" w:color="auto"/>
            <w:right w:val="none" w:sz="0" w:space="0" w:color="auto"/>
          </w:divBdr>
          <w:divsChild>
            <w:div w:id="2073384953">
              <w:marLeft w:val="0"/>
              <w:marRight w:val="0"/>
              <w:marTop w:val="0"/>
              <w:marBottom w:val="0"/>
              <w:divBdr>
                <w:top w:val="none" w:sz="0" w:space="0" w:color="auto"/>
                <w:left w:val="none" w:sz="0" w:space="0" w:color="auto"/>
                <w:bottom w:val="none" w:sz="0" w:space="0" w:color="auto"/>
                <w:right w:val="none" w:sz="0" w:space="0" w:color="auto"/>
              </w:divBdr>
              <w:divsChild>
                <w:div w:id="362904488">
                  <w:marLeft w:val="0"/>
                  <w:marRight w:val="0"/>
                  <w:marTop w:val="0"/>
                  <w:marBottom w:val="0"/>
                  <w:divBdr>
                    <w:top w:val="none" w:sz="0" w:space="0" w:color="auto"/>
                    <w:left w:val="none" w:sz="0" w:space="0" w:color="auto"/>
                    <w:bottom w:val="none" w:sz="0" w:space="0" w:color="auto"/>
                    <w:right w:val="none" w:sz="0" w:space="0" w:color="auto"/>
                  </w:divBdr>
                  <w:divsChild>
                    <w:div w:id="2331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121015">
      <w:bodyDiv w:val="1"/>
      <w:marLeft w:val="0"/>
      <w:marRight w:val="0"/>
      <w:marTop w:val="0"/>
      <w:marBottom w:val="0"/>
      <w:divBdr>
        <w:top w:val="none" w:sz="0" w:space="0" w:color="auto"/>
        <w:left w:val="none" w:sz="0" w:space="0" w:color="auto"/>
        <w:bottom w:val="none" w:sz="0" w:space="0" w:color="auto"/>
        <w:right w:val="none" w:sz="0" w:space="0" w:color="auto"/>
      </w:divBdr>
    </w:div>
    <w:div w:id="1554654022">
      <w:bodyDiv w:val="1"/>
      <w:marLeft w:val="0"/>
      <w:marRight w:val="0"/>
      <w:marTop w:val="0"/>
      <w:marBottom w:val="0"/>
      <w:divBdr>
        <w:top w:val="none" w:sz="0" w:space="0" w:color="auto"/>
        <w:left w:val="none" w:sz="0" w:space="0" w:color="auto"/>
        <w:bottom w:val="none" w:sz="0" w:space="0" w:color="auto"/>
        <w:right w:val="none" w:sz="0" w:space="0" w:color="auto"/>
      </w:divBdr>
    </w:div>
    <w:div w:id="1555383454">
      <w:bodyDiv w:val="1"/>
      <w:marLeft w:val="0"/>
      <w:marRight w:val="0"/>
      <w:marTop w:val="0"/>
      <w:marBottom w:val="0"/>
      <w:divBdr>
        <w:top w:val="none" w:sz="0" w:space="0" w:color="auto"/>
        <w:left w:val="none" w:sz="0" w:space="0" w:color="auto"/>
        <w:bottom w:val="none" w:sz="0" w:space="0" w:color="auto"/>
        <w:right w:val="none" w:sz="0" w:space="0" w:color="auto"/>
      </w:divBdr>
    </w:div>
    <w:div w:id="1555579878">
      <w:bodyDiv w:val="1"/>
      <w:marLeft w:val="0"/>
      <w:marRight w:val="0"/>
      <w:marTop w:val="0"/>
      <w:marBottom w:val="0"/>
      <w:divBdr>
        <w:top w:val="none" w:sz="0" w:space="0" w:color="auto"/>
        <w:left w:val="none" w:sz="0" w:space="0" w:color="auto"/>
        <w:bottom w:val="none" w:sz="0" w:space="0" w:color="auto"/>
        <w:right w:val="none" w:sz="0" w:space="0" w:color="auto"/>
      </w:divBdr>
    </w:div>
    <w:div w:id="1557355474">
      <w:bodyDiv w:val="1"/>
      <w:marLeft w:val="0"/>
      <w:marRight w:val="0"/>
      <w:marTop w:val="0"/>
      <w:marBottom w:val="0"/>
      <w:divBdr>
        <w:top w:val="none" w:sz="0" w:space="0" w:color="auto"/>
        <w:left w:val="none" w:sz="0" w:space="0" w:color="auto"/>
        <w:bottom w:val="none" w:sz="0" w:space="0" w:color="auto"/>
        <w:right w:val="none" w:sz="0" w:space="0" w:color="auto"/>
      </w:divBdr>
    </w:div>
    <w:div w:id="1558399113">
      <w:bodyDiv w:val="1"/>
      <w:marLeft w:val="0"/>
      <w:marRight w:val="0"/>
      <w:marTop w:val="0"/>
      <w:marBottom w:val="0"/>
      <w:divBdr>
        <w:top w:val="none" w:sz="0" w:space="0" w:color="auto"/>
        <w:left w:val="none" w:sz="0" w:space="0" w:color="auto"/>
        <w:bottom w:val="none" w:sz="0" w:space="0" w:color="auto"/>
        <w:right w:val="none" w:sz="0" w:space="0" w:color="auto"/>
      </w:divBdr>
    </w:div>
    <w:div w:id="1560088751">
      <w:bodyDiv w:val="1"/>
      <w:marLeft w:val="0"/>
      <w:marRight w:val="0"/>
      <w:marTop w:val="0"/>
      <w:marBottom w:val="0"/>
      <w:divBdr>
        <w:top w:val="none" w:sz="0" w:space="0" w:color="auto"/>
        <w:left w:val="none" w:sz="0" w:space="0" w:color="auto"/>
        <w:bottom w:val="none" w:sz="0" w:space="0" w:color="auto"/>
        <w:right w:val="none" w:sz="0" w:space="0" w:color="auto"/>
      </w:divBdr>
    </w:div>
    <w:div w:id="1560939603">
      <w:bodyDiv w:val="1"/>
      <w:marLeft w:val="0"/>
      <w:marRight w:val="0"/>
      <w:marTop w:val="0"/>
      <w:marBottom w:val="0"/>
      <w:divBdr>
        <w:top w:val="none" w:sz="0" w:space="0" w:color="auto"/>
        <w:left w:val="none" w:sz="0" w:space="0" w:color="auto"/>
        <w:bottom w:val="none" w:sz="0" w:space="0" w:color="auto"/>
        <w:right w:val="none" w:sz="0" w:space="0" w:color="auto"/>
      </w:divBdr>
    </w:div>
    <w:div w:id="1561749661">
      <w:bodyDiv w:val="1"/>
      <w:marLeft w:val="0"/>
      <w:marRight w:val="0"/>
      <w:marTop w:val="0"/>
      <w:marBottom w:val="0"/>
      <w:divBdr>
        <w:top w:val="none" w:sz="0" w:space="0" w:color="auto"/>
        <w:left w:val="none" w:sz="0" w:space="0" w:color="auto"/>
        <w:bottom w:val="none" w:sz="0" w:space="0" w:color="auto"/>
        <w:right w:val="none" w:sz="0" w:space="0" w:color="auto"/>
      </w:divBdr>
    </w:div>
    <w:div w:id="1564439176">
      <w:bodyDiv w:val="1"/>
      <w:marLeft w:val="0"/>
      <w:marRight w:val="0"/>
      <w:marTop w:val="0"/>
      <w:marBottom w:val="0"/>
      <w:divBdr>
        <w:top w:val="none" w:sz="0" w:space="0" w:color="auto"/>
        <w:left w:val="none" w:sz="0" w:space="0" w:color="auto"/>
        <w:bottom w:val="none" w:sz="0" w:space="0" w:color="auto"/>
        <w:right w:val="none" w:sz="0" w:space="0" w:color="auto"/>
      </w:divBdr>
    </w:div>
    <w:div w:id="1565262915">
      <w:bodyDiv w:val="1"/>
      <w:marLeft w:val="0"/>
      <w:marRight w:val="0"/>
      <w:marTop w:val="0"/>
      <w:marBottom w:val="0"/>
      <w:divBdr>
        <w:top w:val="none" w:sz="0" w:space="0" w:color="auto"/>
        <w:left w:val="none" w:sz="0" w:space="0" w:color="auto"/>
        <w:bottom w:val="none" w:sz="0" w:space="0" w:color="auto"/>
        <w:right w:val="none" w:sz="0" w:space="0" w:color="auto"/>
      </w:divBdr>
    </w:div>
    <w:div w:id="1565868231">
      <w:bodyDiv w:val="1"/>
      <w:marLeft w:val="0"/>
      <w:marRight w:val="0"/>
      <w:marTop w:val="0"/>
      <w:marBottom w:val="0"/>
      <w:divBdr>
        <w:top w:val="none" w:sz="0" w:space="0" w:color="auto"/>
        <w:left w:val="none" w:sz="0" w:space="0" w:color="auto"/>
        <w:bottom w:val="none" w:sz="0" w:space="0" w:color="auto"/>
        <w:right w:val="none" w:sz="0" w:space="0" w:color="auto"/>
      </w:divBdr>
    </w:div>
    <w:div w:id="1566188074">
      <w:bodyDiv w:val="1"/>
      <w:marLeft w:val="0"/>
      <w:marRight w:val="0"/>
      <w:marTop w:val="0"/>
      <w:marBottom w:val="0"/>
      <w:divBdr>
        <w:top w:val="none" w:sz="0" w:space="0" w:color="auto"/>
        <w:left w:val="none" w:sz="0" w:space="0" w:color="auto"/>
        <w:bottom w:val="none" w:sz="0" w:space="0" w:color="auto"/>
        <w:right w:val="none" w:sz="0" w:space="0" w:color="auto"/>
      </w:divBdr>
    </w:div>
    <w:div w:id="1566334976">
      <w:bodyDiv w:val="1"/>
      <w:marLeft w:val="0"/>
      <w:marRight w:val="0"/>
      <w:marTop w:val="0"/>
      <w:marBottom w:val="0"/>
      <w:divBdr>
        <w:top w:val="none" w:sz="0" w:space="0" w:color="auto"/>
        <w:left w:val="none" w:sz="0" w:space="0" w:color="auto"/>
        <w:bottom w:val="none" w:sz="0" w:space="0" w:color="auto"/>
        <w:right w:val="none" w:sz="0" w:space="0" w:color="auto"/>
      </w:divBdr>
    </w:div>
    <w:div w:id="1566379766">
      <w:bodyDiv w:val="1"/>
      <w:marLeft w:val="0"/>
      <w:marRight w:val="0"/>
      <w:marTop w:val="0"/>
      <w:marBottom w:val="0"/>
      <w:divBdr>
        <w:top w:val="none" w:sz="0" w:space="0" w:color="auto"/>
        <w:left w:val="none" w:sz="0" w:space="0" w:color="auto"/>
        <w:bottom w:val="none" w:sz="0" w:space="0" w:color="auto"/>
        <w:right w:val="none" w:sz="0" w:space="0" w:color="auto"/>
      </w:divBdr>
    </w:div>
    <w:div w:id="1567491974">
      <w:bodyDiv w:val="1"/>
      <w:marLeft w:val="0"/>
      <w:marRight w:val="0"/>
      <w:marTop w:val="0"/>
      <w:marBottom w:val="0"/>
      <w:divBdr>
        <w:top w:val="none" w:sz="0" w:space="0" w:color="auto"/>
        <w:left w:val="none" w:sz="0" w:space="0" w:color="auto"/>
        <w:bottom w:val="none" w:sz="0" w:space="0" w:color="auto"/>
        <w:right w:val="none" w:sz="0" w:space="0" w:color="auto"/>
      </w:divBdr>
    </w:div>
    <w:div w:id="1567564965">
      <w:bodyDiv w:val="1"/>
      <w:marLeft w:val="0"/>
      <w:marRight w:val="0"/>
      <w:marTop w:val="0"/>
      <w:marBottom w:val="0"/>
      <w:divBdr>
        <w:top w:val="none" w:sz="0" w:space="0" w:color="auto"/>
        <w:left w:val="none" w:sz="0" w:space="0" w:color="auto"/>
        <w:bottom w:val="none" w:sz="0" w:space="0" w:color="auto"/>
        <w:right w:val="none" w:sz="0" w:space="0" w:color="auto"/>
      </w:divBdr>
    </w:div>
    <w:div w:id="1567566893">
      <w:bodyDiv w:val="1"/>
      <w:marLeft w:val="0"/>
      <w:marRight w:val="0"/>
      <w:marTop w:val="0"/>
      <w:marBottom w:val="0"/>
      <w:divBdr>
        <w:top w:val="none" w:sz="0" w:space="0" w:color="auto"/>
        <w:left w:val="none" w:sz="0" w:space="0" w:color="auto"/>
        <w:bottom w:val="none" w:sz="0" w:space="0" w:color="auto"/>
        <w:right w:val="none" w:sz="0" w:space="0" w:color="auto"/>
      </w:divBdr>
    </w:div>
    <w:div w:id="1570338664">
      <w:bodyDiv w:val="1"/>
      <w:marLeft w:val="0"/>
      <w:marRight w:val="0"/>
      <w:marTop w:val="0"/>
      <w:marBottom w:val="0"/>
      <w:divBdr>
        <w:top w:val="none" w:sz="0" w:space="0" w:color="auto"/>
        <w:left w:val="none" w:sz="0" w:space="0" w:color="auto"/>
        <w:bottom w:val="none" w:sz="0" w:space="0" w:color="auto"/>
        <w:right w:val="none" w:sz="0" w:space="0" w:color="auto"/>
      </w:divBdr>
    </w:div>
    <w:div w:id="1570923724">
      <w:bodyDiv w:val="1"/>
      <w:marLeft w:val="0"/>
      <w:marRight w:val="0"/>
      <w:marTop w:val="0"/>
      <w:marBottom w:val="0"/>
      <w:divBdr>
        <w:top w:val="none" w:sz="0" w:space="0" w:color="auto"/>
        <w:left w:val="none" w:sz="0" w:space="0" w:color="auto"/>
        <w:bottom w:val="none" w:sz="0" w:space="0" w:color="auto"/>
        <w:right w:val="none" w:sz="0" w:space="0" w:color="auto"/>
      </w:divBdr>
    </w:div>
    <w:div w:id="1571113510">
      <w:bodyDiv w:val="1"/>
      <w:marLeft w:val="0"/>
      <w:marRight w:val="0"/>
      <w:marTop w:val="0"/>
      <w:marBottom w:val="0"/>
      <w:divBdr>
        <w:top w:val="none" w:sz="0" w:space="0" w:color="auto"/>
        <w:left w:val="none" w:sz="0" w:space="0" w:color="auto"/>
        <w:bottom w:val="none" w:sz="0" w:space="0" w:color="auto"/>
        <w:right w:val="none" w:sz="0" w:space="0" w:color="auto"/>
      </w:divBdr>
    </w:div>
    <w:div w:id="1571693550">
      <w:bodyDiv w:val="1"/>
      <w:marLeft w:val="0"/>
      <w:marRight w:val="0"/>
      <w:marTop w:val="0"/>
      <w:marBottom w:val="0"/>
      <w:divBdr>
        <w:top w:val="none" w:sz="0" w:space="0" w:color="auto"/>
        <w:left w:val="none" w:sz="0" w:space="0" w:color="auto"/>
        <w:bottom w:val="none" w:sz="0" w:space="0" w:color="auto"/>
        <w:right w:val="none" w:sz="0" w:space="0" w:color="auto"/>
      </w:divBdr>
    </w:div>
    <w:div w:id="1572889435">
      <w:bodyDiv w:val="1"/>
      <w:marLeft w:val="0"/>
      <w:marRight w:val="0"/>
      <w:marTop w:val="0"/>
      <w:marBottom w:val="0"/>
      <w:divBdr>
        <w:top w:val="none" w:sz="0" w:space="0" w:color="auto"/>
        <w:left w:val="none" w:sz="0" w:space="0" w:color="auto"/>
        <w:bottom w:val="none" w:sz="0" w:space="0" w:color="auto"/>
        <w:right w:val="none" w:sz="0" w:space="0" w:color="auto"/>
      </w:divBdr>
    </w:div>
    <w:div w:id="1574661681">
      <w:bodyDiv w:val="1"/>
      <w:marLeft w:val="0"/>
      <w:marRight w:val="0"/>
      <w:marTop w:val="0"/>
      <w:marBottom w:val="0"/>
      <w:divBdr>
        <w:top w:val="none" w:sz="0" w:space="0" w:color="auto"/>
        <w:left w:val="none" w:sz="0" w:space="0" w:color="auto"/>
        <w:bottom w:val="none" w:sz="0" w:space="0" w:color="auto"/>
        <w:right w:val="none" w:sz="0" w:space="0" w:color="auto"/>
      </w:divBdr>
    </w:div>
    <w:div w:id="1575050753">
      <w:bodyDiv w:val="1"/>
      <w:marLeft w:val="0"/>
      <w:marRight w:val="0"/>
      <w:marTop w:val="0"/>
      <w:marBottom w:val="0"/>
      <w:divBdr>
        <w:top w:val="none" w:sz="0" w:space="0" w:color="auto"/>
        <w:left w:val="none" w:sz="0" w:space="0" w:color="auto"/>
        <w:bottom w:val="none" w:sz="0" w:space="0" w:color="auto"/>
        <w:right w:val="none" w:sz="0" w:space="0" w:color="auto"/>
      </w:divBdr>
    </w:div>
    <w:div w:id="1575776602">
      <w:bodyDiv w:val="1"/>
      <w:marLeft w:val="0"/>
      <w:marRight w:val="0"/>
      <w:marTop w:val="0"/>
      <w:marBottom w:val="0"/>
      <w:divBdr>
        <w:top w:val="none" w:sz="0" w:space="0" w:color="auto"/>
        <w:left w:val="none" w:sz="0" w:space="0" w:color="auto"/>
        <w:bottom w:val="none" w:sz="0" w:space="0" w:color="auto"/>
        <w:right w:val="none" w:sz="0" w:space="0" w:color="auto"/>
      </w:divBdr>
    </w:div>
    <w:div w:id="1575779268">
      <w:bodyDiv w:val="1"/>
      <w:marLeft w:val="0"/>
      <w:marRight w:val="0"/>
      <w:marTop w:val="0"/>
      <w:marBottom w:val="0"/>
      <w:divBdr>
        <w:top w:val="none" w:sz="0" w:space="0" w:color="auto"/>
        <w:left w:val="none" w:sz="0" w:space="0" w:color="auto"/>
        <w:bottom w:val="none" w:sz="0" w:space="0" w:color="auto"/>
        <w:right w:val="none" w:sz="0" w:space="0" w:color="auto"/>
      </w:divBdr>
    </w:div>
    <w:div w:id="1575820862">
      <w:bodyDiv w:val="1"/>
      <w:marLeft w:val="0"/>
      <w:marRight w:val="0"/>
      <w:marTop w:val="0"/>
      <w:marBottom w:val="0"/>
      <w:divBdr>
        <w:top w:val="none" w:sz="0" w:space="0" w:color="auto"/>
        <w:left w:val="none" w:sz="0" w:space="0" w:color="auto"/>
        <w:bottom w:val="none" w:sz="0" w:space="0" w:color="auto"/>
        <w:right w:val="none" w:sz="0" w:space="0" w:color="auto"/>
      </w:divBdr>
    </w:div>
    <w:div w:id="1576470137">
      <w:bodyDiv w:val="1"/>
      <w:marLeft w:val="0"/>
      <w:marRight w:val="0"/>
      <w:marTop w:val="0"/>
      <w:marBottom w:val="0"/>
      <w:divBdr>
        <w:top w:val="none" w:sz="0" w:space="0" w:color="auto"/>
        <w:left w:val="none" w:sz="0" w:space="0" w:color="auto"/>
        <w:bottom w:val="none" w:sz="0" w:space="0" w:color="auto"/>
        <w:right w:val="none" w:sz="0" w:space="0" w:color="auto"/>
      </w:divBdr>
    </w:div>
    <w:div w:id="1576549968">
      <w:bodyDiv w:val="1"/>
      <w:marLeft w:val="0"/>
      <w:marRight w:val="0"/>
      <w:marTop w:val="0"/>
      <w:marBottom w:val="0"/>
      <w:divBdr>
        <w:top w:val="none" w:sz="0" w:space="0" w:color="auto"/>
        <w:left w:val="none" w:sz="0" w:space="0" w:color="auto"/>
        <w:bottom w:val="none" w:sz="0" w:space="0" w:color="auto"/>
        <w:right w:val="none" w:sz="0" w:space="0" w:color="auto"/>
      </w:divBdr>
    </w:div>
    <w:div w:id="1578438336">
      <w:bodyDiv w:val="1"/>
      <w:marLeft w:val="0"/>
      <w:marRight w:val="0"/>
      <w:marTop w:val="0"/>
      <w:marBottom w:val="0"/>
      <w:divBdr>
        <w:top w:val="none" w:sz="0" w:space="0" w:color="auto"/>
        <w:left w:val="none" w:sz="0" w:space="0" w:color="auto"/>
        <w:bottom w:val="none" w:sz="0" w:space="0" w:color="auto"/>
        <w:right w:val="none" w:sz="0" w:space="0" w:color="auto"/>
      </w:divBdr>
    </w:div>
    <w:div w:id="1578780302">
      <w:bodyDiv w:val="1"/>
      <w:marLeft w:val="0"/>
      <w:marRight w:val="0"/>
      <w:marTop w:val="0"/>
      <w:marBottom w:val="0"/>
      <w:divBdr>
        <w:top w:val="none" w:sz="0" w:space="0" w:color="auto"/>
        <w:left w:val="none" w:sz="0" w:space="0" w:color="auto"/>
        <w:bottom w:val="none" w:sz="0" w:space="0" w:color="auto"/>
        <w:right w:val="none" w:sz="0" w:space="0" w:color="auto"/>
      </w:divBdr>
    </w:div>
    <w:div w:id="1582332568">
      <w:bodyDiv w:val="1"/>
      <w:marLeft w:val="0"/>
      <w:marRight w:val="0"/>
      <w:marTop w:val="0"/>
      <w:marBottom w:val="0"/>
      <w:divBdr>
        <w:top w:val="none" w:sz="0" w:space="0" w:color="auto"/>
        <w:left w:val="none" w:sz="0" w:space="0" w:color="auto"/>
        <w:bottom w:val="none" w:sz="0" w:space="0" w:color="auto"/>
        <w:right w:val="none" w:sz="0" w:space="0" w:color="auto"/>
      </w:divBdr>
    </w:div>
    <w:div w:id="1583375348">
      <w:bodyDiv w:val="1"/>
      <w:marLeft w:val="0"/>
      <w:marRight w:val="0"/>
      <w:marTop w:val="0"/>
      <w:marBottom w:val="0"/>
      <w:divBdr>
        <w:top w:val="none" w:sz="0" w:space="0" w:color="auto"/>
        <w:left w:val="none" w:sz="0" w:space="0" w:color="auto"/>
        <w:bottom w:val="none" w:sz="0" w:space="0" w:color="auto"/>
        <w:right w:val="none" w:sz="0" w:space="0" w:color="auto"/>
      </w:divBdr>
    </w:div>
    <w:div w:id="1585801172">
      <w:bodyDiv w:val="1"/>
      <w:marLeft w:val="0"/>
      <w:marRight w:val="0"/>
      <w:marTop w:val="0"/>
      <w:marBottom w:val="0"/>
      <w:divBdr>
        <w:top w:val="none" w:sz="0" w:space="0" w:color="auto"/>
        <w:left w:val="none" w:sz="0" w:space="0" w:color="auto"/>
        <w:bottom w:val="none" w:sz="0" w:space="0" w:color="auto"/>
        <w:right w:val="none" w:sz="0" w:space="0" w:color="auto"/>
      </w:divBdr>
    </w:div>
    <w:div w:id="1585918945">
      <w:bodyDiv w:val="1"/>
      <w:marLeft w:val="0"/>
      <w:marRight w:val="0"/>
      <w:marTop w:val="0"/>
      <w:marBottom w:val="0"/>
      <w:divBdr>
        <w:top w:val="none" w:sz="0" w:space="0" w:color="auto"/>
        <w:left w:val="none" w:sz="0" w:space="0" w:color="auto"/>
        <w:bottom w:val="none" w:sz="0" w:space="0" w:color="auto"/>
        <w:right w:val="none" w:sz="0" w:space="0" w:color="auto"/>
      </w:divBdr>
    </w:div>
    <w:div w:id="1592349263">
      <w:bodyDiv w:val="1"/>
      <w:marLeft w:val="0"/>
      <w:marRight w:val="0"/>
      <w:marTop w:val="0"/>
      <w:marBottom w:val="0"/>
      <w:divBdr>
        <w:top w:val="none" w:sz="0" w:space="0" w:color="auto"/>
        <w:left w:val="none" w:sz="0" w:space="0" w:color="auto"/>
        <w:bottom w:val="none" w:sz="0" w:space="0" w:color="auto"/>
        <w:right w:val="none" w:sz="0" w:space="0" w:color="auto"/>
      </w:divBdr>
    </w:div>
    <w:div w:id="1593274794">
      <w:bodyDiv w:val="1"/>
      <w:marLeft w:val="0"/>
      <w:marRight w:val="0"/>
      <w:marTop w:val="0"/>
      <w:marBottom w:val="0"/>
      <w:divBdr>
        <w:top w:val="none" w:sz="0" w:space="0" w:color="auto"/>
        <w:left w:val="none" w:sz="0" w:space="0" w:color="auto"/>
        <w:bottom w:val="none" w:sz="0" w:space="0" w:color="auto"/>
        <w:right w:val="none" w:sz="0" w:space="0" w:color="auto"/>
      </w:divBdr>
    </w:div>
    <w:div w:id="1593539990">
      <w:bodyDiv w:val="1"/>
      <w:marLeft w:val="0"/>
      <w:marRight w:val="0"/>
      <w:marTop w:val="0"/>
      <w:marBottom w:val="0"/>
      <w:divBdr>
        <w:top w:val="none" w:sz="0" w:space="0" w:color="auto"/>
        <w:left w:val="none" w:sz="0" w:space="0" w:color="auto"/>
        <w:bottom w:val="none" w:sz="0" w:space="0" w:color="auto"/>
        <w:right w:val="none" w:sz="0" w:space="0" w:color="auto"/>
      </w:divBdr>
    </w:div>
    <w:div w:id="1595550689">
      <w:bodyDiv w:val="1"/>
      <w:marLeft w:val="0"/>
      <w:marRight w:val="0"/>
      <w:marTop w:val="0"/>
      <w:marBottom w:val="0"/>
      <w:divBdr>
        <w:top w:val="none" w:sz="0" w:space="0" w:color="auto"/>
        <w:left w:val="none" w:sz="0" w:space="0" w:color="auto"/>
        <w:bottom w:val="none" w:sz="0" w:space="0" w:color="auto"/>
        <w:right w:val="none" w:sz="0" w:space="0" w:color="auto"/>
      </w:divBdr>
    </w:div>
    <w:div w:id="1598751707">
      <w:bodyDiv w:val="1"/>
      <w:marLeft w:val="0"/>
      <w:marRight w:val="0"/>
      <w:marTop w:val="0"/>
      <w:marBottom w:val="0"/>
      <w:divBdr>
        <w:top w:val="none" w:sz="0" w:space="0" w:color="auto"/>
        <w:left w:val="none" w:sz="0" w:space="0" w:color="auto"/>
        <w:bottom w:val="none" w:sz="0" w:space="0" w:color="auto"/>
        <w:right w:val="none" w:sz="0" w:space="0" w:color="auto"/>
      </w:divBdr>
    </w:div>
    <w:div w:id="1603223732">
      <w:bodyDiv w:val="1"/>
      <w:marLeft w:val="0"/>
      <w:marRight w:val="0"/>
      <w:marTop w:val="0"/>
      <w:marBottom w:val="0"/>
      <w:divBdr>
        <w:top w:val="none" w:sz="0" w:space="0" w:color="auto"/>
        <w:left w:val="none" w:sz="0" w:space="0" w:color="auto"/>
        <w:bottom w:val="none" w:sz="0" w:space="0" w:color="auto"/>
        <w:right w:val="none" w:sz="0" w:space="0" w:color="auto"/>
      </w:divBdr>
    </w:div>
    <w:div w:id="1605260799">
      <w:bodyDiv w:val="1"/>
      <w:marLeft w:val="0"/>
      <w:marRight w:val="0"/>
      <w:marTop w:val="0"/>
      <w:marBottom w:val="0"/>
      <w:divBdr>
        <w:top w:val="none" w:sz="0" w:space="0" w:color="auto"/>
        <w:left w:val="none" w:sz="0" w:space="0" w:color="auto"/>
        <w:bottom w:val="none" w:sz="0" w:space="0" w:color="auto"/>
        <w:right w:val="none" w:sz="0" w:space="0" w:color="auto"/>
      </w:divBdr>
    </w:div>
    <w:div w:id="1605267857">
      <w:bodyDiv w:val="1"/>
      <w:marLeft w:val="0"/>
      <w:marRight w:val="0"/>
      <w:marTop w:val="0"/>
      <w:marBottom w:val="0"/>
      <w:divBdr>
        <w:top w:val="none" w:sz="0" w:space="0" w:color="auto"/>
        <w:left w:val="none" w:sz="0" w:space="0" w:color="auto"/>
        <w:bottom w:val="none" w:sz="0" w:space="0" w:color="auto"/>
        <w:right w:val="none" w:sz="0" w:space="0" w:color="auto"/>
      </w:divBdr>
    </w:div>
    <w:div w:id="1605768456">
      <w:bodyDiv w:val="1"/>
      <w:marLeft w:val="0"/>
      <w:marRight w:val="0"/>
      <w:marTop w:val="0"/>
      <w:marBottom w:val="0"/>
      <w:divBdr>
        <w:top w:val="none" w:sz="0" w:space="0" w:color="auto"/>
        <w:left w:val="none" w:sz="0" w:space="0" w:color="auto"/>
        <w:bottom w:val="none" w:sz="0" w:space="0" w:color="auto"/>
        <w:right w:val="none" w:sz="0" w:space="0" w:color="auto"/>
      </w:divBdr>
    </w:div>
    <w:div w:id="1606156443">
      <w:bodyDiv w:val="1"/>
      <w:marLeft w:val="0"/>
      <w:marRight w:val="0"/>
      <w:marTop w:val="0"/>
      <w:marBottom w:val="0"/>
      <w:divBdr>
        <w:top w:val="none" w:sz="0" w:space="0" w:color="auto"/>
        <w:left w:val="none" w:sz="0" w:space="0" w:color="auto"/>
        <w:bottom w:val="none" w:sz="0" w:space="0" w:color="auto"/>
        <w:right w:val="none" w:sz="0" w:space="0" w:color="auto"/>
      </w:divBdr>
    </w:div>
    <w:div w:id="1606376597">
      <w:bodyDiv w:val="1"/>
      <w:marLeft w:val="0"/>
      <w:marRight w:val="0"/>
      <w:marTop w:val="0"/>
      <w:marBottom w:val="0"/>
      <w:divBdr>
        <w:top w:val="none" w:sz="0" w:space="0" w:color="auto"/>
        <w:left w:val="none" w:sz="0" w:space="0" w:color="auto"/>
        <w:bottom w:val="none" w:sz="0" w:space="0" w:color="auto"/>
        <w:right w:val="none" w:sz="0" w:space="0" w:color="auto"/>
      </w:divBdr>
    </w:div>
    <w:div w:id="1606646573">
      <w:bodyDiv w:val="1"/>
      <w:marLeft w:val="0"/>
      <w:marRight w:val="0"/>
      <w:marTop w:val="0"/>
      <w:marBottom w:val="0"/>
      <w:divBdr>
        <w:top w:val="none" w:sz="0" w:space="0" w:color="auto"/>
        <w:left w:val="none" w:sz="0" w:space="0" w:color="auto"/>
        <w:bottom w:val="none" w:sz="0" w:space="0" w:color="auto"/>
        <w:right w:val="none" w:sz="0" w:space="0" w:color="auto"/>
      </w:divBdr>
    </w:div>
    <w:div w:id="1607886967">
      <w:bodyDiv w:val="1"/>
      <w:marLeft w:val="0"/>
      <w:marRight w:val="0"/>
      <w:marTop w:val="0"/>
      <w:marBottom w:val="0"/>
      <w:divBdr>
        <w:top w:val="none" w:sz="0" w:space="0" w:color="auto"/>
        <w:left w:val="none" w:sz="0" w:space="0" w:color="auto"/>
        <w:bottom w:val="none" w:sz="0" w:space="0" w:color="auto"/>
        <w:right w:val="none" w:sz="0" w:space="0" w:color="auto"/>
      </w:divBdr>
    </w:div>
    <w:div w:id="1608347958">
      <w:bodyDiv w:val="1"/>
      <w:marLeft w:val="0"/>
      <w:marRight w:val="0"/>
      <w:marTop w:val="0"/>
      <w:marBottom w:val="0"/>
      <w:divBdr>
        <w:top w:val="none" w:sz="0" w:space="0" w:color="auto"/>
        <w:left w:val="none" w:sz="0" w:space="0" w:color="auto"/>
        <w:bottom w:val="none" w:sz="0" w:space="0" w:color="auto"/>
        <w:right w:val="none" w:sz="0" w:space="0" w:color="auto"/>
      </w:divBdr>
    </w:div>
    <w:div w:id="1608653776">
      <w:bodyDiv w:val="1"/>
      <w:marLeft w:val="0"/>
      <w:marRight w:val="0"/>
      <w:marTop w:val="0"/>
      <w:marBottom w:val="0"/>
      <w:divBdr>
        <w:top w:val="none" w:sz="0" w:space="0" w:color="auto"/>
        <w:left w:val="none" w:sz="0" w:space="0" w:color="auto"/>
        <w:bottom w:val="none" w:sz="0" w:space="0" w:color="auto"/>
        <w:right w:val="none" w:sz="0" w:space="0" w:color="auto"/>
      </w:divBdr>
    </w:div>
    <w:div w:id="1608927412">
      <w:bodyDiv w:val="1"/>
      <w:marLeft w:val="0"/>
      <w:marRight w:val="0"/>
      <w:marTop w:val="0"/>
      <w:marBottom w:val="0"/>
      <w:divBdr>
        <w:top w:val="none" w:sz="0" w:space="0" w:color="auto"/>
        <w:left w:val="none" w:sz="0" w:space="0" w:color="auto"/>
        <w:bottom w:val="none" w:sz="0" w:space="0" w:color="auto"/>
        <w:right w:val="none" w:sz="0" w:space="0" w:color="auto"/>
      </w:divBdr>
    </w:div>
    <w:div w:id="1611472824">
      <w:bodyDiv w:val="1"/>
      <w:marLeft w:val="0"/>
      <w:marRight w:val="0"/>
      <w:marTop w:val="0"/>
      <w:marBottom w:val="0"/>
      <w:divBdr>
        <w:top w:val="none" w:sz="0" w:space="0" w:color="auto"/>
        <w:left w:val="none" w:sz="0" w:space="0" w:color="auto"/>
        <w:bottom w:val="none" w:sz="0" w:space="0" w:color="auto"/>
        <w:right w:val="none" w:sz="0" w:space="0" w:color="auto"/>
      </w:divBdr>
    </w:div>
    <w:div w:id="1612131365">
      <w:bodyDiv w:val="1"/>
      <w:marLeft w:val="0"/>
      <w:marRight w:val="0"/>
      <w:marTop w:val="0"/>
      <w:marBottom w:val="0"/>
      <w:divBdr>
        <w:top w:val="none" w:sz="0" w:space="0" w:color="auto"/>
        <w:left w:val="none" w:sz="0" w:space="0" w:color="auto"/>
        <w:bottom w:val="none" w:sz="0" w:space="0" w:color="auto"/>
        <w:right w:val="none" w:sz="0" w:space="0" w:color="auto"/>
      </w:divBdr>
    </w:div>
    <w:div w:id="1612131753">
      <w:bodyDiv w:val="1"/>
      <w:marLeft w:val="0"/>
      <w:marRight w:val="0"/>
      <w:marTop w:val="0"/>
      <w:marBottom w:val="0"/>
      <w:divBdr>
        <w:top w:val="none" w:sz="0" w:space="0" w:color="auto"/>
        <w:left w:val="none" w:sz="0" w:space="0" w:color="auto"/>
        <w:bottom w:val="none" w:sz="0" w:space="0" w:color="auto"/>
        <w:right w:val="none" w:sz="0" w:space="0" w:color="auto"/>
      </w:divBdr>
    </w:div>
    <w:div w:id="1612936660">
      <w:bodyDiv w:val="1"/>
      <w:marLeft w:val="0"/>
      <w:marRight w:val="0"/>
      <w:marTop w:val="0"/>
      <w:marBottom w:val="0"/>
      <w:divBdr>
        <w:top w:val="none" w:sz="0" w:space="0" w:color="auto"/>
        <w:left w:val="none" w:sz="0" w:space="0" w:color="auto"/>
        <w:bottom w:val="none" w:sz="0" w:space="0" w:color="auto"/>
        <w:right w:val="none" w:sz="0" w:space="0" w:color="auto"/>
      </w:divBdr>
    </w:div>
    <w:div w:id="1613200070">
      <w:bodyDiv w:val="1"/>
      <w:marLeft w:val="0"/>
      <w:marRight w:val="0"/>
      <w:marTop w:val="0"/>
      <w:marBottom w:val="0"/>
      <w:divBdr>
        <w:top w:val="none" w:sz="0" w:space="0" w:color="auto"/>
        <w:left w:val="none" w:sz="0" w:space="0" w:color="auto"/>
        <w:bottom w:val="none" w:sz="0" w:space="0" w:color="auto"/>
        <w:right w:val="none" w:sz="0" w:space="0" w:color="auto"/>
      </w:divBdr>
    </w:div>
    <w:div w:id="1613320600">
      <w:bodyDiv w:val="1"/>
      <w:marLeft w:val="0"/>
      <w:marRight w:val="0"/>
      <w:marTop w:val="0"/>
      <w:marBottom w:val="0"/>
      <w:divBdr>
        <w:top w:val="none" w:sz="0" w:space="0" w:color="auto"/>
        <w:left w:val="none" w:sz="0" w:space="0" w:color="auto"/>
        <w:bottom w:val="none" w:sz="0" w:space="0" w:color="auto"/>
        <w:right w:val="none" w:sz="0" w:space="0" w:color="auto"/>
      </w:divBdr>
    </w:div>
    <w:div w:id="1613896173">
      <w:bodyDiv w:val="1"/>
      <w:marLeft w:val="0"/>
      <w:marRight w:val="0"/>
      <w:marTop w:val="0"/>
      <w:marBottom w:val="0"/>
      <w:divBdr>
        <w:top w:val="none" w:sz="0" w:space="0" w:color="auto"/>
        <w:left w:val="none" w:sz="0" w:space="0" w:color="auto"/>
        <w:bottom w:val="none" w:sz="0" w:space="0" w:color="auto"/>
        <w:right w:val="none" w:sz="0" w:space="0" w:color="auto"/>
      </w:divBdr>
    </w:div>
    <w:div w:id="1614243428">
      <w:bodyDiv w:val="1"/>
      <w:marLeft w:val="0"/>
      <w:marRight w:val="0"/>
      <w:marTop w:val="0"/>
      <w:marBottom w:val="0"/>
      <w:divBdr>
        <w:top w:val="none" w:sz="0" w:space="0" w:color="auto"/>
        <w:left w:val="none" w:sz="0" w:space="0" w:color="auto"/>
        <w:bottom w:val="none" w:sz="0" w:space="0" w:color="auto"/>
        <w:right w:val="none" w:sz="0" w:space="0" w:color="auto"/>
      </w:divBdr>
    </w:div>
    <w:div w:id="1614632468">
      <w:bodyDiv w:val="1"/>
      <w:marLeft w:val="0"/>
      <w:marRight w:val="0"/>
      <w:marTop w:val="0"/>
      <w:marBottom w:val="0"/>
      <w:divBdr>
        <w:top w:val="none" w:sz="0" w:space="0" w:color="auto"/>
        <w:left w:val="none" w:sz="0" w:space="0" w:color="auto"/>
        <w:bottom w:val="none" w:sz="0" w:space="0" w:color="auto"/>
        <w:right w:val="none" w:sz="0" w:space="0" w:color="auto"/>
      </w:divBdr>
    </w:div>
    <w:div w:id="1615018406">
      <w:bodyDiv w:val="1"/>
      <w:marLeft w:val="0"/>
      <w:marRight w:val="0"/>
      <w:marTop w:val="0"/>
      <w:marBottom w:val="0"/>
      <w:divBdr>
        <w:top w:val="none" w:sz="0" w:space="0" w:color="auto"/>
        <w:left w:val="none" w:sz="0" w:space="0" w:color="auto"/>
        <w:bottom w:val="none" w:sz="0" w:space="0" w:color="auto"/>
        <w:right w:val="none" w:sz="0" w:space="0" w:color="auto"/>
      </w:divBdr>
    </w:div>
    <w:div w:id="1617440407">
      <w:bodyDiv w:val="1"/>
      <w:marLeft w:val="0"/>
      <w:marRight w:val="0"/>
      <w:marTop w:val="0"/>
      <w:marBottom w:val="0"/>
      <w:divBdr>
        <w:top w:val="none" w:sz="0" w:space="0" w:color="auto"/>
        <w:left w:val="none" w:sz="0" w:space="0" w:color="auto"/>
        <w:bottom w:val="none" w:sz="0" w:space="0" w:color="auto"/>
        <w:right w:val="none" w:sz="0" w:space="0" w:color="auto"/>
      </w:divBdr>
    </w:div>
    <w:div w:id="1618566269">
      <w:bodyDiv w:val="1"/>
      <w:marLeft w:val="0"/>
      <w:marRight w:val="0"/>
      <w:marTop w:val="0"/>
      <w:marBottom w:val="0"/>
      <w:divBdr>
        <w:top w:val="none" w:sz="0" w:space="0" w:color="auto"/>
        <w:left w:val="none" w:sz="0" w:space="0" w:color="auto"/>
        <w:bottom w:val="none" w:sz="0" w:space="0" w:color="auto"/>
        <w:right w:val="none" w:sz="0" w:space="0" w:color="auto"/>
      </w:divBdr>
    </w:div>
    <w:div w:id="1619025747">
      <w:bodyDiv w:val="1"/>
      <w:marLeft w:val="0"/>
      <w:marRight w:val="0"/>
      <w:marTop w:val="0"/>
      <w:marBottom w:val="0"/>
      <w:divBdr>
        <w:top w:val="none" w:sz="0" w:space="0" w:color="auto"/>
        <w:left w:val="none" w:sz="0" w:space="0" w:color="auto"/>
        <w:bottom w:val="none" w:sz="0" w:space="0" w:color="auto"/>
        <w:right w:val="none" w:sz="0" w:space="0" w:color="auto"/>
      </w:divBdr>
    </w:div>
    <w:div w:id="1619219724">
      <w:bodyDiv w:val="1"/>
      <w:marLeft w:val="0"/>
      <w:marRight w:val="0"/>
      <w:marTop w:val="0"/>
      <w:marBottom w:val="0"/>
      <w:divBdr>
        <w:top w:val="none" w:sz="0" w:space="0" w:color="auto"/>
        <w:left w:val="none" w:sz="0" w:space="0" w:color="auto"/>
        <w:bottom w:val="none" w:sz="0" w:space="0" w:color="auto"/>
        <w:right w:val="none" w:sz="0" w:space="0" w:color="auto"/>
      </w:divBdr>
    </w:div>
    <w:div w:id="1619481551">
      <w:bodyDiv w:val="1"/>
      <w:marLeft w:val="0"/>
      <w:marRight w:val="0"/>
      <w:marTop w:val="0"/>
      <w:marBottom w:val="0"/>
      <w:divBdr>
        <w:top w:val="none" w:sz="0" w:space="0" w:color="auto"/>
        <w:left w:val="none" w:sz="0" w:space="0" w:color="auto"/>
        <w:bottom w:val="none" w:sz="0" w:space="0" w:color="auto"/>
        <w:right w:val="none" w:sz="0" w:space="0" w:color="auto"/>
      </w:divBdr>
    </w:div>
    <w:div w:id="1621178917">
      <w:bodyDiv w:val="1"/>
      <w:marLeft w:val="0"/>
      <w:marRight w:val="0"/>
      <w:marTop w:val="0"/>
      <w:marBottom w:val="0"/>
      <w:divBdr>
        <w:top w:val="none" w:sz="0" w:space="0" w:color="auto"/>
        <w:left w:val="none" w:sz="0" w:space="0" w:color="auto"/>
        <w:bottom w:val="none" w:sz="0" w:space="0" w:color="auto"/>
        <w:right w:val="none" w:sz="0" w:space="0" w:color="auto"/>
      </w:divBdr>
    </w:div>
    <w:div w:id="1622805168">
      <w:bodyDiv w:val="1"/>
      <w:marLeft w:val="0"/>
      <w:marRight w:val="0"/>
      <w:marTop w:val="0"/>
      <w:marBottom w:val="0"/>
      <w:divBdr>
        <w:top w:val="none" w:sz="0" w:space="0" w:color="auto"/>
        <w:left w:val="none" w:sz="0" w:space="0" w:color="auto"/>
        <w:bottom w:val="none" w:sz="0" w:space="0" w:color="auto"/>
        <w:right w:val="none" w:sz="0" w:space="0" w:color="auto"/>
      </w:divBdr>
    </w:div>
    <w:div w:id="1623153444">
      <w:bodyDiv w:val="1"/>
      <w:marLeft w:val="0"/>
      <w:marRight w:val="0"/>
      <w:marTop w:val="0"/>
      <w:marBottom w:val="0"/>
      <w:divBdr>
        <w:top w:val="none" w:sz="0" w:space="0" w:color="auto"/>
        <w:left w:val="none" w:sz="0" w:space="0" w:color="auto"/>
        <w:bottom w:val="none" w:sz="0" w:space="0" w:color="auto"/>
        <w:right w:val="none" w:sz="0" w:space="0" w:color="auto"/>
      </w:divBdr>
    </w:div>
    <w:div w:id="1623342363">
      <w:bodyDiv w:val="1"/>
      <w:marLeft w:val="0"/>
      <w:marRight w:val="0"/>
      <w:marTop w:val="0"/>
      <w:marBottom w:val="0"/>
      <w:divBdr>
        <w:top w:val="none" w:sz="0" w:space="0" w:color="auto"/>
        <w:left w:val="none" w:sz="0" w:space="0" w:color="auto"/>
        <w:bottom w:val="none" w:sz="0" w:space="0" w:color="auto"/>
        <w:right w:val="none" w:sz="0" w:space="0" w:color="auto"/>
      </w:divBdr>
    </w:div>
    <w:div w:id="1623851493">
      <w:bodyDiv w:val="1"/>
      <w:marLeft w:val="0"/>
      <w:marRight w:val="0"/>
      <w:marTop w:val="0"/>
      <w:marBottom w:val="0"/>
      <w:divBdr>
        <w:top w:val="none" w:sz="0" w:space="0" w:color="auto"/>
        <w:left w:val="none" w:sz="0" w:space="0" w:color="auto"/>
        <w:bottom w:val="none" w:sz="0" w:space="0" w:color="auto"/>
        <w:right w:val="none" w:sz="0" w:space="0" w:color="auto"/>
      </w:divBdr>
    </w:div>
    <w:div w:id="1624725582">
      <w:bodyDiv w:val="1"/>
      <w:marLeft w:val="0"/>
      <w:marRight w:val="0"/>
      <w:marTop w:val="0"/>
      <w:marBottom w:val="0"/>
      <w:divBdr>
        <w:top w:val="none" w:sz="0" w:space="0" w:color="auto"/>
        <w:left w:val="none" w:sz="0" w:space="0" w:color="auto"/>
        <w:bottom w:val="none" w:sz="0" w:space="0" w:color="auto"/>
        <w:right w:val="none" w:sz="0" w:space="0" w:color="auto"/>
      </w:divBdr>
    </w:div>
    <w:div w:id="1627810997">
      <w:bodyDiv w:val="1"/>
      <w:marLeft w:val="0"/>
      <w:marRight w:val="0"/>
      <w:marTop w:val="0"/>
      <w:marBottom w:val="0"/>
      <w:divBdr>
        <w:top w:val="none" w:sz="0" w:space="0" w:color="auto"/>
        <w:left w:val="none" w:sz="0" w:space="0" w:color="auto"/>
        <w:bottom w:val="none" w:sz="0" w:space="0" w:color="auto"/>
        <w:right w:val="none" w:sz="0" w:space="0" w:color="auto"/>
      </w:divBdr>
    </w:div>
    <w:div w:id="1628848477">
      <w:bodyDiv w:val="1"/>
      <w:marLeft w:val="0"/>
      <w:marRight w:val="0"/>
      <w:marTop w:val="0"/>
      <w:marBottom w:val="0"/>
      <w:divBdr>
        <w:top w:val="none" w:sz="0" w:space="0" w:color="auto"/>
        <w:left w:val="none" w:sz="0" w:space="0" w:color="auto"/>
        <w:bottom w:val="none" w:sz="0" w:space="0" w:color="auto"/>
        <w:right w:val="none" w:sz="0" w:space="0" w:color="auto"/>
      </w:divBdr>
    </w:div>
    <w:div w:id="1630673322">
      <w:bodyDiv w:val="1"/>
      <w:marLeft w:val="0"/>
      <w:marRight w:val="0"/>
      <w:marTop w:val="0"/>
      <w:marBottom w:val="0"/>
      <w:divBdr>
        <w:top w:val="none" w:sz="0" w:space="0" w:color="auto"/>
        <w:left w:val="none" w:sz="0" w:space="0" w:color="auto"/>
        <w:bottom w:val="none" w:sz="0" w:space="0" w:color="auto"/>
        <w:right w:val="none" w:sz="0" w:space="0" w:color="auto"/>
      </w:divBdr>
    </w:div>
    <w:div w:id="1631548871">
      <w:bodyDiv w:val="1"/>
      <w:marLeft w:val="0"/>
      <w:marRight w:val="0"/>
      <w:marTop w:val="0"/>
      <w:marBottom w:val="0"/>
      <w:divBdr>
        <w:top w:val="none" w:sz="0" w:space="0" w:color="auto"/>
        <w:left w:val="none" w:sz="0" w:space="0" w:color="auto"/>
        <w:bottom w:val="none" w:sz="0" w:space="0" w:color="auto"/>
        <w:right w:val="none" w:sz="0" w:space="0" w:color="auto"/>
      </w:divBdr>
    </w:div>
    <w:div w:id="1632439612">
      <w:bodyDiv w:val="1"/>
      <w:marLeft w:val="0"/>
      <w:marRight w:val="0"/>
      <w:marTop w:val="0"/>
      <w:marBottom w:val="0"/>
      <w:divBdr>
        <w:top w:val="none" w:sz="0" w:space="0" w:color="auto"/>
        <w:left w:val="none" w:sz="0" w:space="0" w:color="auto"/>
        <w:bottom w:val="none" w:sz="0" w:space="0" w:color="auto"/>
        <w:right w:val="none" w:sz="0" w:space="0" w:color="auto"/>
      </w:divBdr>
    </w:div>
    <w:div w:id="1633288201">
      <w:bodyDiv w:val="1"/>
      <w:marLeft w:val="0"/>
      <w:marRight w:val="0"/>
      <w:marTop w:val="0"/>
      <w:marBottom w:val="0"/>
      <w:divBdr>
        <w:top w:val="none" w:sz="0" w:space="0" w:color="auto"/>
        <w:left w:val="none" w:sz="0" w:space="0" w:color="auto"/>
        <w:bottom w:val="none" w:sz="0" w:space="0" w:color="auto"/>
        <w:right w:val="none" w:sz="0" w:space="0" w:color="auto"/>
      </w:divBdr>
    </w:div>
    <w:div w:id="1633633644">
      <w:bodyDiv w:val="1"/>
      <w:marLeft w:val="0"/>
      <w:marRight w:val="0"/>
      <w:marTop w:val="0"/>
      <w:marBottom w:val="0"/>
      <w:divBdr>
        <w:top w:val="none" w:sz="0" w:space="0" w:color="auto"/>
        <w:left w:val="none" w:sz="0" w:space="0" w:color="auto"/>
        <w:bottom w:val="none" w:sz="0" w:space="0" w:color="auto"/>
        <w:right w:val="none" w:sz="0" w:space="0" w:color="auto"/>
      </w:divBdr>
    </w:div>
    <w:div w:id="1635286758">
      <w:bodyDiv w:val="1"/>
      <w:marLeft w:val="0"/>
      <w:marRight w:val="0"/>
      <w:marTop w:val="0"/>
      <w:marBottom w:val="0"/>
      <w:divBdr>
        <w:top w:val="none" w:sz="0" w:space="0" w:color="auto"/>
        <w:left w:val="none" w:sz="0" w:space="0" w:color="auto"/>
        <w:bottom w:val="none" w:sz="0" w:space="0" w:color="auto"/>
        <w:right w:val="none" w:sz="0" w:space="0" w:color="auto"/>
      </w:divBdr>
    </w:div>
    <w:div w:id="1636058299">
      <w:bodyDiv w:val="1"/>
      <w:marLeft w:val="0"/>
      <w:marRight w:val="0"/>
      <w:marTop w:val="0"/>
      <w:marBottom w:val="0"/>
      <w:divBdr>
        <w:top w:val="none" w:sz="0" w:space="0" w:color="auto"/>
        <w:left w:val="none" w:sz="0" w:space="0" w:color="auto"/>
        <w:bottom w:val="none" w:sz="0" w:space="0" w:color="auto"/>
        <w:right w:val="none" w:sz="0" w:space="0" w:color="auto"/>
      </w:divBdr>
    </w:div>
    <w:div w:id="1636256661">
      <w:bodyDiv w:val="1"/>
      <w:marLeft w:val="0"/>
      <w:marRight w:val="0"/>
      <w:marTop w:val="0"/>
      <w:marBottom w:val="0"/>
      <w:divBdr>
        <w:top w:val="none" w:sz="0" w:space="0" w:color="auto"/>
        <w:left w:val="none" w:sz="0" w:space="0" w:color="auto"/>
        <w:bottom w:val="none" w:sz="0" w:space="0" w:color="auto"/>
        <w:right w:val="none" w:sz="0" w:space="0" w:color="auto"/>
      </w:divBdr>
    </w:div>
    <w:div w:id="1636983751">
      <w:bodyDiv w:val="1"/>
      <w:marLeft w:val="0"/>
      <w:marRight w:val="0"/>
      <w:marTop w:val="0"/>
      <w:marBottom w:val="0"/>
      <w:divBdr>
        <w:top w:val="none" w:sz="0" w:space="0" w:color="auto"/>
        <w:left w:val="none" w:sz="0" w:space="0" w:color="auto"/>
        <w:bottom w:val="none" w:sz="0" w:space="0" w:color="auto"/>
        <w:right w:val="none" w:sz="0" w:space="0" w:color="auto"/>
      </w:divBdr>
    </w:div>
    <w:div w:id="1637101884">
      <w:bodyDiv w:val="1"/>
      <w:marLeft w:val="0"/>
      <w:marRight w:val="0"/>
      <w:marTop w:val="0"/>
      <w:marBottom w:val="0"/>
      <w:divBdr>
        <w:top w:val="none" w:sz="0" w:space="0" w:color="auto"/>
        <w:left w:val="none" w:sz="0" w:space="0" w:color="auto"/>
        <w:bottom w:val="none" w:sz="0" w:space="0" w:color="auto"/>
        <w:right w:val="none" w:sz="0" w:space="0" w:color="auto"/>
      </w:divBdr>
    </w:div>
    <w:div w:id="1637178051">
      <w:bodyDiv w:val="1"/>
      <w:marLeft w:val="0"/>
      <w:marRight w:val="0"/>
      <w:marTop w:val="0"/>
      <w:marBottom w:val="0"/>
      <w:divBdr>
        <w:top w:val="none" w:sz="0" w:space="0" w:color="auto"/>
        <w:left w:val="none" w:sz="0" w:space="0" w:color="auto"/>
        <w:bottom w:val="none" w:sz="0" w:space="0" w:color="auto"/>
        <w:right w:val="none" w:sz="0" w:space="0" w:color="auto"/>
      </w:divBdr>
    </w:div>
    <w:div w:id="1638998198">
      <w:bodyDiv w:val="1"/>
      <w:marLeft w:val="0"/>
      <w:marRight w:val="0"/>
      <w:marTop w:val="0"/>
      <w:marBottom w:val="0"/>
      <w:divBdr>
        <w:top w:val="none" w:sz="0" w:space="0" w:color="auto"/>
        <w:left w:val="none" w:sz="0" w:space="0" w:color="auto"/>
        <w:bottom w:val="none" w:sz="0" w:space="0" w:color="auto"/>
        <w:right w:val="none" w:sz="0" w:space="0" w:color="auto"/>
      </w:divBdr>
    </w:div>
    <w:div w:id="1642035480">
      <w:bodyDiv w:val="1"/>
      <w:marLeft w:val="0"/>
      <w:marRight w:val="0"/>
      <w:marTop w:val="0"/>
      <w:marBottom w:val="0"/>
      <w:divBdr>
        <w:top w:val="none" w:sz="0" w:space="0" w:color="auto"/>
        <w:left w:val="none" w:sz="0" w:space="0" w:color="auto"/>
        <w:bottom w:val="none" w:sz="0" w:space="0" w:color="auto"/>
        <w:right w:val="none" w:sz="0" w:space="0" w:color="auto"/>
      </w:divBdr>
    </w:div>
    <w:div w:id="1642735952">
      <w:bodyDiv w:val="1"/>
      <w:marLeft w:val="0"/>
      <w:marRight w:val="0"/>
      <w:marTop w:val="0"/>
      <w:marBottom w:val="0"/>
      <w:divBdr>
        <w:top w:val="none" w:sz="0" w:space="0" w:color="auto"/>
        <w:left w:val="none" w:sz="0" w:space="0" w:color="auto"/>
        <w:bottom w:val="none" w:sz="0" w:space="0" w:color="auto"/>
        <w:right w:val="none" w:sz="0" w:space="0" w:color="auto"/>
      </w:divBdr>
    </w:div>
    <w:div w:id="1642924262">
      <w:bodyDiv w:val="1"/>
      <w:marLeft w:val="0"/>
      <w:marRight w:val="0"/>
      <w:marTop w:val="0"/>
      <w:marBottom w:val="0"/>
      <w:divBdr>
        <w:top w:val="none" w:sz="0" w:space="0" w:color="auto"/>
        <w:left w:val="none" w:sz="0" w:space="0" w:color="auto"/>
        <w:bottom w:val="none" w:sz="0" w:space="0" w:color="auto"/>
        <w:right w:val="none" w:sz="0" w:space="0" w:color="auto"/>
      </w:divBdr>
    </w:div>
    <w:div w:id="1644963804">
      <w:bodyDiv w:val="1"/>
      <w:marLeft w:val="0"/>
      <w:marRight w:val="0"/>
      <w:marTop w:val="0"/>
      <w:marBottom w:val="0"/>
      <w:divBdr>
        <w:top w:val="none" w:sz="0" w:space="0" w:color="auto"/>
        <w:left w:val="none" w:sz="0" w:space="0" w:color="auto"/>
        <w:bottom w:val="none" w:sz="0" w:space="0" w:color="auto"/>
        <w:right w:val="none" w:sz="0" w:space="0" w:color="auto"/>
      </w:divBdr>
    </w:div>
    <w:div w:id="1646081534">
      <w:bodyDiv w:val="1"/>
      <w:marLeft w:val="0"/>
      <w:marRight w:val="0"/>
      <w:marTop w:val="0"/>
      <w:marBottom w:val="0"/>
      <w:divBdr>
        <w:top w:val="none" w:sz="0" w:space="0" w:color="auto"/>
        <w:left w:val="none" w:sz="0" w:space="0" w:color="auto"/>
        <w:bottom w:val="none" w:sz="0" w:space="0" w:color="auto"/>
        <w:right w:val="none" w:sz="0" w:space="0" w:color="auto"/>
      </w:divBdr>
    </w:div>
    <w:div w:id="1648898393">
      <w:bodyDiv w:val="1"/>
      <w:marLeft w:val="0"/>
      <w:marRight w:val="0"/>
      <w:marTop w:val="0"/>
      <w:marBottom w:val="0"/>
      <w:divBdr>
        <w:top w:val="none" w:sz="0" w:space="0" w:color="auto"/>
        <w:left w:val="none" w:sz="0" w:space="0" w:color="auto"/>
        <w:bottom w:val="none" w:sz="0" w:space="0" w:color="auto"/>
        <w:right w:val="none" w:sz="0" w:space="0" w:color="auto"/>
      </w:divBdr>
    </w:div>
    <w:div w:id="1649241006">
      <w:bodyDiv w:val="1"/>
      <w:marLeft w:val="0"/>
      <w:marRight w:val="0"/>
      <w:marTop w:val="0"/>
      <w:marBottom w:val="0"/>
      <w:divBdr>
        <w:top w:val="none" w:sz="0" w:space="0" w:color="auto"/>
        <w:left w:val="none" w:sz="0" w:space="0" w:color="auto"/>
        <w:bottom w:val="none" w:sz="0" w:space="0" w:color="auto"/>
        <w:right w:val="none" w:sz="0" w:space="0" w:color="auto"/>
      </w:divBdr>
    </w:div>
    <w:div w:id="1649357415">
      <w:bodyDiv w:val="1"/>
      <w:marLeft w:val="0"/>
      <w:marRight w:val="0"/>
      <w:marTop w:val="0"/>
      <w:marBottom w:val="0"/>
      <w:divBdr>
        <w:top w:val="none" w:sz="0" w:space="0" w:color="auto"/>
        <w:left w:val="none" w:sz="0" w:space="0" w:color="auto"/>
        <w:bottom w:val="none" w:sz="0" w:space="0" w:color="auto"/>
        <w:right w:val="none" w:sz="0" w:space="0" w:color="auto"/>
      </w:divBdr>
    </w:div>
    <w:div w:id="1649432851">
      <w:bodyDiv w:val="1"/>
      <w:marLeft w:val="0"/>
      <w:marRight w:val="0"/>
      <w:marTop w:val="0"/>
      <w:marBottom w:val="0"/>
      <w:divBdr>
        <w:top w:val="none" w:sz="0" w:space="0" w:color="auto"/>
        <w:left w:val="none" w:sz="0" w:space="0" w:color="auto"/>
        <w:bottom w:val="none" w:sz="0" w:space="0" w:color="auto"/>
        <w:right w:val="none" w:sz="0" w:space="0" w:color="auto"/>
      </w:divBdr>
    </w:div>
    <w:div w:id="1649818594">
      <w:bodyDiv w:val="1"/>
      <w:marLeft w:val="0"/>
      <w:marRight w:val="0"/>
      <w:marTop w:val="0"/>
      <w:marBottom w:val="0"/>
      <w:divBdr>
        <w:top w:val="none" w:sz="0" w:space="0" w:color="auto"/>
        <w:left w:val="none" w:sz="0" w:space="0" w:color="auto"/>
        <w:bottom w:val="none" w:sz="0" w:space="0" w:color="auto"/>
        <w:right w:val="none" w:sz="0" w:space="0" w:color="auto"/>
      </w:divBdr>
    </w:div>
    <w:div w:id="1649937933">
      <w:bodyDiv w:val="1"/>
      <w:marLeft w:val="0"/>
      <w:marRight w:val="0"/>
      <w:marTop w:val="0"/>
      <w:marBottom w:val="0"/>
      <w:divBdr>
        <w:top w:val="none" w:sz="0" w:space="0" w:color="auto"/>
        <w:left w:val="none" w:sz="0" w:space="0" w:color="auto"/>
        <w:bottom w:val="none" w:sz="0" w:space="0" w:color="auto"/>
        <w:right w:val="none" w:sz="0" w:space="0" w:color="auto"/>
      </w:divBdr>
    </w:div>
    <w:div w:id="1651900868">
      <w:bodyDiv w:val="1"/>
      <w:marLeft w:val="0"/>
      <w:marRight w:val="0"/>
      <w:marTop w:val="0"/>
      <w:marBottom w:val="0"/>
      <w:divBdr>
        <w:top w:val="none" w:sz="0" w:space="0" w:color="auto"/>
        <w:left w:val="none" w:sz="0" w:space="0" w:color="auto"/>
        <w:bottom w:val="none" w:sz="0" w:space="0" w:color="auto"/>
        <w:right w:val="none" w:sz="0" w:space="0" w:color="auto"/>
      </w:divBdr>
    </w:div>
    <w:div w:id="1655330734">
      <w:bodyDiv w:val="1"/>
      <w:marLeft w:val="0"/>
      <w:marRight w:val="0"/>
      <w:marTop w:val="0"/>
      <w:marBottom w:val="0"/>
      <w:divBdr>
        <w:top w:val="none" w:sz="0" w:space="0" w:color="auto"/>
        <w:left w:val="none" w:sz="0" w:space="0" w:color="auto"/>
        <w:bottom w:val="none" w:sz="0" w:space="0" w:color="auto"/>
        <w:right w:val="none" w:sz="0" w:space="0" w:color="auto"/>
      </w:divBdr>
    </w:div>
    <w:div w:id="1656296395">
      <w:bodyDiv w:val="1"/>
      <w:marLeft w:val="0"/>
      <w:marRight w:val="0"/>
      <w:marTop w:val="0"/>
      <w:marBottom w:val="0"/>
      <w:divBdr>
        <w:top w:val="none" w:sz="0" w:space="0" w:color="auto"/>
        <w:left w:val="none" w:sz="0" w:space="0" w:color="auto"/>
        <w:bottom w:val="none" w:sz="0" w:space="0" w:color="auto"/>
        <w:right w:val="none" w:sz="0" w:space="0" w:color="auto"/>
      </w:divBdr>
    </w:div>
    <w:div w:id="1658798866">
      <w:bodyDiv w:val="1"/>
      <w:marLeft w:val="0"/>
      <w:marRight w:val="0"/>
      <w:marTop w:val="0"/>
      <w:marBottom w:val="0"/>
      <w:divBdr>
        <w:top w:val="none" w:sz="0" w:space="0" w:color="auto"/>
        <w:left w:val="none" w:sz="0" w:space="0" w:color="auto"/>
        <w:bottom w:val="none" w:sz="0" w:space="0" w:color="auto"/>
        <w:right w:val="none" w:sz="0" w:space="0" w:color="auto"/>
      </w:divBdr>
    </w:div>
    <w:div w:id="1658806251">
      <w:bodyDiv w:val="1"/>
      <w:marLeft w:val="0"/>
      <w:marRight w:val="0"/>
      <w:marTop w:val="0"/>
      <w:marBottom w:val="0"/>
      <w:divBdr>
        <w:top w:val="none" w:sz="0" w:space="0" w:color="auto"/>
        <w:left w:val="none" w:sz="0" w:space="0" w:color="auto"/>
        <w:bottom w:val="none" w:sz="0" w:space="0" w:color="auto"/>
        <w:right w:val="none" w:sz="0" w:space="0" w:color="auto"/>
      </w:divBdr>
    </w:div>
    <w:div w:id="1661931629">
      <w:bodyDiv w:val="1"/>
      <w:marLeft w:val="0"/>
      <w:marRight w:val="0"/>
      <w:marTop w:val="0"/>
      <w:marBottom w:val="0"/>
      <w:divBdr>
        <w:top w:val="none" w:sz="0" w:space="0" w:color="auto"/>
        <w:left w:val="none" w:sz="0" w:space="0" w:color="auto"/>
        <w:bottom w:val="none" w:sz="0" w:space="0" w:color="auto"/>
        <w:right w:val="none" w:sz="0" w:space="0" w:color="auto"/>
      </w:divBdr>
    </w:div>
    <w:div w:id="1663853280">
      <w:bodyDiv w:val="1"/>
      <w:marLeft w:val="0"/>
      <w:marRight w:val="0"/>
      <w:marTop w:val="0"/>
      <w:marBottom w:val="0"/>
      <w:divBdr>
        <w:top w:val="none" w:sz="0" w:space="0" w:color="auto"/>
        <w:left w:val="none" w:sz="0" w:space="0" w:color="auto"/>
        <w:bottom w:val="none" w:sz="0" w:space="0" w:color="auto"/>
        <w:right w:val="none" w:sz="0" w:space="0" w:color="auto"/>
      </w:divBdr>
    </w:div>
    <w:div w:id="1663893826">
      <w:bodyDiv w:val="1"/>
      <w:marLeft w:val="0"/>
      <w:marRight w:val="0"/>
      <w:marTop w:val="0"/>
      <w:marBottom w:val="0"/>
      <w:divBdr>
        <w:top w:val="none" w:sz="0" w:space="0" w:color="auto"/>
        <w:left w:val="none" w:sz="0" w:space="0" w:color="auto"/>
        <w:bottom w:val="none" w:sz="0" w:space="0" w:color="auto"/>
        <w:right w:val="none" w:sz="0" w:space="0" w:color="auto"/>
      </w:divBdr>
    </w:div>
    <w:div w:id="1664506316">
      <w:bodyDiv w:val="1"/>
      <w:marLeft w:val="0"/>
      <w:marRight w:val="0"/>
      <w:marTop w:val="0"/>
      <w:marBottom w:val="0"/>
      <w:divBdr>
        <w:top w:val="none" w:sz="0" w:space="0" w:color="auto"/>
        <w:left w:val="none" w:sz="0" w:space="0" w:color="auto"/>
        <w:bottom w:val="none" w:sz="0" w:space="0" w:color="auto"/>
        <w:right w:val="none" w:sz="0" w:space="0" w:color="auto"/>
      </w:divBdr>
    </w:div>
    <w:div w:id="1665939724">
      <w:bodyDiv w:val="1"/>
      <w:marLeft w:val="0"/>
      <w:marRight w:val="0"/>
      <w:marTop w:val="0"/>
      <w:marBottom w:val="0"/>
      <w:divBdr>
        <w:top w:val="none" w:sz="0" w:space="0" w:color="auto"/>
        <w:left w:val="none" w:sz="0" w:space="0" w:color="auto"/>
        <w:bottom w:val="none" w:sz="0" w:space="0" w:color="auto"/>
        <w:right w:val="none" w:sz="0" w:space="0" w:color="auto"/>
      </w:divBdr>
    </w:div>
    <w:div w:id="1666087400">
      <w:bodyDiv w:val="1"/>
      <w:marLeft w:val="0"/>
      <w:marRight w:val="0"/>
      <w:marTop w:val="0"/>
      <w:marBottom w:val="0"/>
      <w:divBdr>
        <w:top w:val="none" w:sz="0" w:space="0" w:color="auto"/>
        <w:left w:val="none" w:sz="0" w:space="0" w:color="auto"/>
        <w:bottom w:val="none" w:sz="0" w:space="0" w:color="auto"/>
        <w:right w:val="none" w:sz="0" w:space="0" w:color="auto"/>
      </w:divBdr>
    </w:div>
    <w:div w:id="1669016807">
      <w:bodyDiv w:val="1"/>
      <w:marLeft w:val="0"/>
      <w:marRight w:val="0"/>
      <w:marTop w:val="0"/>
      <w:marBottom w:val="0"/>
      <w:divBdr>
        <w:top w:val="none" w:sz="0" w:space="0" w:color="auto"/>
        <w:left w:val="none" w:sz="0" w:space="0" w:color="auto"/>
        <w:bottom w:val="none" w:sz="0" w:space="0" w:color="auto"/>
        <w:right w:val="none" w:sz="0" w:space="0" w:color="auto"/>
      </w:divBdr>
    </w:div>
    <w:div w:id="1669482421">
      <w:bodyDiv w:val="1"/>
      <w:marLeft w:val="0"/>
      <w:marRight w:val="0"/>
      <w:marTop w:val="0"/>
      <w:marBottom w:val="0"/>
      <w:divBdr>
        <w:top w:val="none" w:sz="0" w:space="0" w:color="auto"/>
        <w:left w:val="none" w:sz="0" w:space="0" w:color="auto"/>
        <w:bottom w:val="none" w:sz="0" w:space="0" w:color="auto"/>
        <w:right w:val="none" w:sz="0" w:space="0" w:color="auto"/>
      </w:divBdr>
    </w:div>
    <w:div w:id="1670212644">
      <w:bodyDiv w:val="1"/>
      <w:marLeft w:val="0"/>
      <w:marRight w:val="0"/>
      <w:marTop w:val="0"/>
      <w:marBottom w:val="0"/>
      <w:divBdr>
        <w:top w:val="none" w:sz="0" w:space="0" w:color="auto"/>
        <w:left w:val="none" w:sz="0" w:space="0" w:color="auto"/>
        <w:bottom w:val="none" w:sz="0" w:space="0" w:color="auto"/>
        <w:right w:val="none" w:sz="0" w:space="0" w:color="auto"/>
      </w:divBdr>
    </w:div>
    <w:div w:id="1670673863">
      <w:bodyDiv w:val="1"/>
      <w:marLeft w:val="0"/>
      <w:marRight w:val="0"/>
      <w:marTop w:val="0"/>
      <w:marBottom w:val="0"/>
      <w:divBdr>
        <w:top w:val="none" w:sz="0" w:space="0" w:color="auto"/>
        <w:left w:val="none" w:sz="0" w:space="0" w:color="auto"/>
        <w:bottom w:val="none" w:sz="0" w:space="0" w:color="auto"/>
        <w:right w:val="none" w:sz="0" w:space="0" w:color="auto"/>
      </w:divBdr>
    </w:div>
    <w:div w:id="1671561436">
      <w:bodyDiv w:val="1"/>
      <w:marLeft w:val="0"/>
      <w:marRight w:val="0"/>
      <w:marTop w:val="0"/>
      <w:marBottom w:val="0"/>
      <w:divBdr>
        <w:top w:val="none" w:sz="0" w:space="0" w:color="auto"/>
        <w:left w:val="none" w:sz="0" w:space="0" w:color="auto"/>
        <w:bottom w:val="none" w:sz="0" w:space="0" w:color="auto"/>
        <w:right w:val="none" w:sz="0" w:space="0" w:color="auto"/>
      </w:divBdr>
    </w:div>
    <w:div w:id="1674142511">
      <w:bodyDiv w:val="1"/>
      <w:marLeft w:val="0"/>
      <w:marRight w:val="0"/>
      <w:marTop w:val="0"/>
      <w:marBottom w:val="0"/>
      <w:divBdr>
        <w:top w:val="none" w:sz="0" w:space="0" w:color="auto"/>
        <w:left w:val="none" w:sz="0" w:space="0" w:color="auto"/>
        <w:bottom w:val="none" w:sz="0" w:space="0" w:color="auto"/>
        <w:right w:val="none" w:sz="0" w:space="0" w:color="auto"/>
      </w:divBdr>
    </w:div>
    <w:div w:id="1674186639">
      <w:bodyDiv w:val="1"/>
      <w:marLeft w:val="0"/>
      <w:marRight w:val="0"/>
      <w:marTop w:val="0"/>
      <w:marBottom w:val="0"/>
      <w:divBdr>
        <w:top w:val="none" w:sz="0" w:space="0" w:color="auto"/>
        <w:left w:val="none" w:sz="0" w:space="0" w:color="auto"/>
        <w:bottom w:val="none" w:sz="0" w:space="0" w:color="auto"/>
        <w:right w:val="none" w:sz="0" w:space="0" w:color="auto"/>
      </w:divBdr>
    </w:div>
    <w:div w:id="1674525812">
      <w:bodyDiv w:val="1"/>
      <w:marLeft w:val="0"/>
      <w:marRight w:val="0"/>
      <w:marTop w:val="0"/>
      <w:marBottom w:val="0"/>
      <w:divBdr>
        <w:top w:val="none" w:sz="0" w:space="0" w:color="auto"/>
        <w:left w:val="none" w:sz="0" w:space="0" w:color="auto"/>
        <w:bottom w:val="none" w:sz="0" w:space="0" w:color="auto"/>
        <w:right w:val="none" w:sz="0" w:space="0" w:color="auto"/>
      </w:divBdr>
    </w:div>
    <w:div w:id="1676416074">
      <w:bodyDiv w:val="1"/>
      <w:marLeft w:val="0"/>
      <w:marRight w:val="0"/>
      <w:marTop w:val="0"/>
      <w:marBottom w:val="0"/>
      <w:divBdr>
        <w:top w:val="none" w:sz="0" w:space="0" w:color="auto"/>
        <w:left w:val="none" w:sz="0" w:space="0" w:color="auto"/>
        <w:bottom w:val="none" w:sz="0" w:space="0" w:color="auto"/>
        <w:right w:val="none" w:sz="0" w:space="0" w:color="auto"/>
      </w:divBdr>
    </w:div>
    <w:div w:id="1678924306">
      <w:bodyDiv w:val="1"/>
      <w:marLeft w:val="0"/>
      <w:marRight w:val="0"/>
      <w:marTop w:val="0"/>
      <w:marBottom w:val="0"/>
      <w:divBdr>
        <w:top w:val="none" w:sz="0" w:space="0" w:color="auto"/>
        <w:left w:val="none" w:sz="0" w:space="0" w:color="auto"/>
        <w:bottom w:val="none" w:sz="0" w:space="0" w:color="auto"/>
        <w:right w:val="none" w:sz="0" w:space="0" w:color="auto"/>
      </w:divBdr>
    </w:div>
    <w:div w:id="1681001397">
      <w:bodyDiv w:val="1"/>
      <w:marLeft w:val="0"/>
      <w:marRight w:val="0"/>
      <w:marTop w:val="0"/>
      <w:marBottom w:val="0"/>
      <w:divBdr>
        <w:top w:val="none" w:sz="0" w:space="0" w:color="auto"/>
        <w:left w:val="none" w:sz="0" w:space="0" w:color="auto"/>
        <w:bottom w:val="none" w:sz="0" w:space="0" w:color="auto"/>
        <w:right w:val="none" w:sz="0" w:space="0" w:color="auto"/>
      </w:divBdr>
    </w:div>
    <w:div w:id="1681004255">
      <w:bodyDiv w:val="1"/>
      <w:marLeft w:val="0"/>
      <w:marRight w:val="0"/>
      <w:marTop w:val="0"/>
      <w:marBottom w:val="0"/>
      <w:divBdr>
        <w:top w:val="none" w:sz="0" w:space="0" w:color="auto"/>
        <w:left w:val="none" w:sz="0" w:space="0" w:color="auto"/>
        <w:bottom w:val="none" w:sz="0" w:space="0" w:color="auto"/>
        <w:right w:val="none" w:sz="0" w:space="0" w:color="auto"/>
      </w:divBdr>
    </w:div>
    <w:div w:id="1681657576">
      <w:bodyDiv w:val="1"/>
      <w:marLeft w:val="0"/>
      <w:marRight w:val="0"/>
      <w:marTop w:val="0"/>
      <w:marBottom w:val="0"/>
      <w:divBdr>
        <w:top w:val="none" w:sz="0" w:space="0" w:color="auto"/>
        <w:left w:val="none" w:sz="0" w:space="0" w:color="auto"/>
        <w:bottom w:val="none" w:sz="0" w:space="0" w:color="auto"/>
        <w:right w:val="none" w:sz="0" w:space="0" w:color="auto"/>
      </w:divBdr>
    </w:div>
    <w:div w:id="1682656908">
      <w:bodyDiv w:val="1"/>
      <w:marLeft w:val="0"/>
      <w:marRight w:val="0"/>
      <w:marTop w:val="0"/>
      <w:marBottom w:val="0"/>
      <w:divBdr>
        <w:top w:val="none" w:sz="0" w:space="0" w:color="auto"/>
        <w:left w:val="none" w:sz="0" w:space="0" w:color="auto"/>
        <w:bottom w:val="none" w:sz="0" w:space="0" w:color="auto"/>
        <w:right w:val="none" w:sz="0" w:space="0" w:color="auto"/>
      </w:divBdr>
    </w:div>
    <w:div w:id="1684942240">
      <w:bodyDiv w:val="1"/>
      <w:marLeft w:val="0"/>
      <w:marRight w:val="0"/>
      <w:marTop w:val="0"/>
      <w:marBottom w:val="0"/>
      <w:divBdr>
        <w:top w:val="none" w:sz="0" w:space="0" w:color="auto"/>
        <w:left w:val="none" w:sz="0" w:space="0" w:color="auto"/>
        <w:bottom w:val="none" w:sz="0" w:space="0" w:color="auto"/>
        <w:right w:val="none" w:sz="0" w:space="0" w:color="auto"/>
      </w:divBdr>
    </w:div>
    <w:div w:id="1685277291">
      <w:bodyDiv w:val="1"/>
      <w:marLeft w:val="0"/>
      <w:marRight w:val="0"/>
      <w:marTop w:val="0"/>
      <w:marBottom w:val="0"/>
      <w:divBdr>
        <w:top w:val="none" w:sz="0" w:space="0" w:color="auto"/>
        <w:left w:val="none" w:sz="0" w:space="0" w:color="auto"/>
        <w:bottom w:val="none" w:sz="0" w:space="0" w:color="auto"/>
        <w:right w:val="none" w:sz="0" w:space="0" w:color="auto"/>
      </w:divBdr>
    </w:div>
    <w:div w:id="1685402640">
      <w:bodyDiv w:val="1"/>
      <w:marLeft w:val="0"/>
      <w:marRight w:val="0"/>
      <w:marTop w:val="0"/>
      <w:marBottom w:val="0"/>
      <w:divBdr>
        <w:top w:val="none" w:sz="0" w:space="0" w:color="auto"/>
        <w:left w:val="none" w:sz="0" w:space="0" w:color="auto"/>
        <w:bottom w:val="none" w:sz="0" w:space="0" w:color="auto"/>
        <w:right w:val="none" w:sz="0" w:space="0" w:color="auto"/>
      </w:divBdr>
    </w:div>
    <w:div w:id="1687098438">
      <w:bodyDiv w:val="1"/>
      <w:marLeft w:val="0"/>
      <w:marRight w:val="0"/>
      <w:marTop w:val="0"/>
      <w:marBottom w:val="0"/>
      <w:divBdr>
        <w:top w:val="none" w:sz="0" w:space="0" w:color="auto"/>
        <w:left w:val="none" w:sz="0" w:space="0" w:color="auto"/>
        <w:bottom w:val="none" w:sz="0" w:space="0" w:color="auto"/>
        <w:right w:val="none" w:sz="0" w:space="0" w:color="auto"/>
      </w:divBdr>
    </w:div>
    <w:div w:id="1688293031">
      <w:bodyDiv w:val="1"/>
      <w:marLeft w:val="0"/>
      <w:marRight w:val="0"/>
      <w:marTop w:val="0"/>
      <w:marBottom w:val="0"/>
      <w:divBdr>
        <w:top w:val="none" w:sz="0" w:space="0" w:color="auto"/>
        <w:left w:val="none" w:sz="0" w:space="0" w:color="auto"/>
        <w:bottom w:val="none" w:sz="0" w:space="0" w:color="auto"/>
        <w:right w:val="none" w:sz="0" w:space="0" w:color="auto"/>
      </w:divBdr>
    </w:div>
    <w:div w:id="1688365122">
      <w:bodyDiv w:val="1"/>
      <w:marLeft w:val="0"/>
      <w:marRight w:val="0"/>
      <w:marTop w:val="0"/>
      <w:marBottom w:val="0"/>
      <w:divBdr>
        <w:top w:val="none" w:sz="0" w:space="0" w:color="auto"/>
        <w:left w:val="none" w:sz="0" w:space="0" w:color="auto"/>
        <w:bottom w:val="none" w:sz="0" w:space="0" w:color="auto"/>
        <w:right w:val="none" w:sz="0" w:space="0" w:color="auto"/>
      </w:divBdr>
    </w:div>
    <w:div w:id="1688672941">
      <w:bodyDiv w:val="1"/>
      <w:marLeft w:val="0"/>
      <w:marRight w:val="0"/>
      <w:marTop w:val="0"/>
      <w:marBottom w:val="0"/>
      <w:divBdr>
        <w:top w:val="none" w:sz="0" w:space="0" w:color="auto"/>
        <w:left w:val="none" w:sz="0" w:space="0" w:color="auto"/>
        <w:bottom w:val="none" w:sz="0" w:space="0" w:color="auto"/>
        <w:right w:val="none" w:sz="0" w:space="0" w:color="auto"/>
      </w:divBdr>
    </w:div>
    <w:div w:id="1689671422">
      <w:bodyDiv w:val="1"/>
      <w:marLeft w:val="0"/>
      <w:marRight w:val="0"/>
      <w:marTop w:val="0"/>
      <w:marBottom w:val="0"/>
      <w:divBdr>
        <w:top w:val="none" w:sz="0" w:space="0" w:color="auto"/>
        <w:left w:val="none" w:sz="0" w:space="0" w:color="auto"/>
        <w:bottom w:val="none" w:sz="0" w:space="0" w:color="auto"/>
        <w:right w:val="none" w:sz="0" w:space="0" w:color="auto"/>
      </w:divBdr>
    </w:div>
    <w:div w:id="1689939606">
      <w:bodyDiv w:val="1"/>
      <w:marLeft w:val="0"/>
      <w:marRight w:val="0"/>
      <w:marTop w:val="0"/>
      <w:marBottom w:val="0"/>
      <w:divBdr>
        <w:top w:val="none" w:sz="0" w:space="0" w:color="auto"/>
        <w:left w:val="none" w:sz="0" w:space="0" w:color="auto"/>
        <w:bottom w:val="none" w:sz="0" w:space="0" w:color="auto"/>
        <w:right w:val="none" w:sz="0" w:space="0" w:color="auto"/>
      </w:divBdr>
    </w:div>
    <w:div w:id="1690790910">
      <w:bodyDiv w:val="1"/>
      <w:marLeft w:val="0"/>
      <w:marRight w:val="0"/>
      <w:marTop w:val="0"/>
      <w:marBottom w:val="0"/>
      <w:divBdr>
        <w:top w:val="none" w:sz="0" w:space="0" w:color="auto"/>
        <w:left w:val="none" w:sz="0" w:space="0" w:color="auto"/>
        <w:bottom w:val="none" w:sz="0" w:space="0" w:color="auto"/>
        <w:right w:val="none" w:sz="0" w:space="0" w:color="auto"/>
      </w:divBdr>
    </w:div>
    <w:div w:id="1693069450">
      <w:bodyDiv w:val="1"/>
      <w:marLeft w:val="0"/>
      <w:marRight w:val="0"/>
      <w:marTop w:val="0"/>
      <w:marBottom w:val="0"/>
      <w:divBdr>
        <w:top w:val="none" w:sz="0" w:space="0" w:color="auto"/>
        <w:left w:val="none" w:sz="0" w:space="0" w:color="auto"/>
        <w:bottom w:val="none" w:sz="0" w:space="0" w:color="auto"/>
        <w:right w:val="none" w:sz="0" w:space="0" w:color="auto"/>
      </w:divBdr>
    </w:div>
    <w:div w:id="1697190562">
      <w:bodyDiv w:val="1"/>
      <w:marLeft w:val="0"/>
      <w:marRight w:val="0"/>
      <w:marTop w:val="0"/>
      <w:marBottom w:val="0"/>
      <w:divBdr>
        <w:top w:val="none" w:sz="0" w:space="0" w:color="auto"/>
        <w:left w:val="none" w:sz="0" w:space="0" w:color="auto"/>
        <w:bottom w:val="none" w:sz="0" w:space="0" w:color="auto"/>
        <w:right w:val="none" w:sz="0" w:space="0" w:color="auto"/>
      </w:divBdr>
    </w:div>
    <w:div w:id="1698657880">
      <w:bodyDiv w:val="1"/>
      <w:marLeft w:val="0"/>
      <w:marRight w:val="0"/>
      <w:marTop w:val="0"/>
      <w:marBottom w:val="0"/>
      <w:divBdr>
        <w:top w:val="none" w:sz="0" w:space="0" w:color="auto"/>
        <w:left w:val="none" w:sz="0" w:space="0" w:color="auto"/>
        <w:bottom w:val="none" w:sz="0" w:space="0" w:color="auto"/>
        <w:right w:val="none" w:sz="0" w:space="0" w:color="auto"/>
      </w:divBdr>
    </w:div>
    <w:div w:id="1699499825">
      <w:bodyDiv w:val="1"/>
      <w:marLeft w:val="0"/>
      <w:marRight w:val="0"/>
      <w:marTop w:val="0"/>
      <w:marBottom w:val="0"/>
      <w:divBdr>
        <w:top w:val="none" w:sz="0" w:space="0" w:color="auto"/>
        <w:left w:val="none" w:sz="0" w:space="0" w:color="auto"/>
        <w:bottom w:val="none" w:sz="0" w:space="0" w:color="auto"/>
        <w:right w:val="none" w:sz="0" w:space="0" w:color="auto"/>
      </w:divBdr>
    </w:div>
    <w:div w:id="1700084943">
      <w:bodyDiv w:val="1"/>
      <w:marLeft w:val="0"/>
      <w:marRight w:val="0"/>
      <w:marTop w:val="0"/>
      <w:marBottom w:val="0"/>
      <w:divBdr>
        <w:top w:val="none" w:sz="0" w:space="0" w:color="auto"/>
        <w:left w:val="none" w:sz="0" w:space="0" w:color="auto"/>
        <w:bottom w:val="none" w:sz="0" w:space="0" w:color="auto"/>
        <w:right w:val="none" w:sz="0" w:space="0" w:color="auto"/>
      </w:divBdr>
    </w:div>
    <w:div w:id="1700155494">
      <w:bodyDiv w:val="1"/>
      <w:marLeft w:val="0"/>
      <w:marRight w:val="0"/>
      <w:marTop w:val="0"/>
      <w:marBottom w:val="0"/>
      <w:divBdr>
        <w:top w:val="none" w:sz="0" w:space="0" w:color="auto"/>
        <w:left w:val="none" w:sz="0" w:space="0" w:color="auto"/>
        <w:bottom w:val="none" w:sz="0" w:space="0" w:color="auto"/>
        <w:right w:val="none" w:sz="0" w:space="0" w:color="auto"/>
      </w:divBdr>
    </w:div>
    <w:div w:id="1700352662">
      <w:bodyDiv w:val="1"/>
      <w:marLeft w:val="0"/>
      <w:marRight w:val="0"/>
      <w:marTop w:val="0"/>
      <w:marBottom w:val="0"/>
      <w:divBdr>
        <w:top w:val="none" w:sz="0" w:space="0" w:color="auto"/>
        <w:left w:val="none" w:sz="0" w:space="0" w:color="auto"/>
        <w:bottom w:val="none" w:sz="0" w:space="0" w:color="auto"/>
        <w:right w:val="none" w:sz="0" w:space="0" w:color="auto"/>
      </w:divBdr>
    </w:div>
    <w:div w:id="1703281310">
      <w:bodyDiv w:val="1"/>
      <w:marLeft w:val="0"/>
      <w:marRight w:val="0"/>
      <w:marTop w:val="0"/>
      <w:marBottom w:val="0"/>
      <w:divBdr>
        <w:top w:val="none" w:sz="0" w:space="0" w:color="auto"/>
        <w:left w:val="none" w:sz="0" w:space="0" w:color="auto"/>
        <w:bottom w:val="none" w:sz="0" w:space="0" w:color="auto"/>
        <w:right w:val="none" w:sz="0" w:space="0" w:color="auto"/>
      </w:divBdr>
    </w:div>
    <w:div w:id="1703824441">
      <w:bodyDiv w:val="1"/>
      <w:marLeft w:val="0"/>
      <w:marRight w:val="0"/>
      <w:marTop w:val="0"/>
      <w:marBottom w:val="0"/>
      <w:divBdr>
        <w:top w:val="none" w:sz="0" w:space="0" w:color="auto"/>
        <w:left w:val="none" w:sz="0" w:space="0" w:color="auto"/>
        <w:bottom w:val="none" w:sz="0" w:space="0" w:color="auto"/>
        <w:right w:val="none" w:sz="0" w:space="0" w:color="auto"/>
      </w:divBdr>
    </w:div>
    <w:div w:id="1704667417">
      <w:bodyDiv w:val="1"/>
      <w:marLeft w:val="0"/>
      <w:marRight w:val="0"/>
      <w:marTop w:val="0"/>
      <w:marBottom w:val="0"/>
      <w:divBdr>
        <w:top w:val="none" w:sz="0" w:space="0" w:color="auto"/>
        <w:left w:val="none" w:sz="0" w:space="0" w:color="auto"/>
        <w:bottom w:val="none" w:sz="0" w:space="0" w:color="auto"/>
        <w:right w:val="none" w:sz="0" w:space="0" w:color="auto"/>
      </w:divBdr>
    </w:div>
    <w:div w:id="1705135144">
      <w:bodyDiv w:val="1"/>
      <w:marLeft w:val="0"/>
      <w:marRight w:val="0"/>
      <w:marTop w:val="0"/>
      <w:marBottom w:val="0"/>
      <w:divBdr>
        <w:top w:val="none" w:sz="0" w:space="0" w:color="auto"/>
        <w:left w:val="none" w:sz="0" w:space="0" w:color="auto"/>
        <w:bottom w:val="none" w:sz="0" w:space="0" w:color="auto"/>
        <w:right w:val="none" w:sz="0" w:space="0" w:color="auto"/>
      </w:divBdr>
    </w:div>
    <w:div w:id="1705209641">
      <w:bodyDiv w:val="1"/>
      <w:marLeft w:val="0"/>
      <w:marRight w:val="0"/>
      <w:marTop w:val="0"/>
      <w:marBottom w:val="0"/>
      <w:divBdr>
        <w:top w:val="none" w:sz="0" w:space="0" w:color="auto"/>
        <w:left w:val="none" w:sz="0" w:space="0" w:color="auto"/>
        <w:bottom w:val="none" w:sz="0" w:space="0" w:color="auto"/>
        <w:right w:val="none" w:sz="0" w:space="0" w:color="auto"/>
      </w:divBdr>
    </w:div>
    <w:div w:id="1706174587">
      <w:bodyDiv w:val="1"/>
      <w:marLeft w:val="0"/>
      <w:marRight w:val="0"/>
      <w:marTop w:val="0"/>
      <w:marBottom w:val="0"/>
      <w:divBdr>
        <w:top w:val="none" w:sz="0" w:space="0" w:color="auto"/>
        <w:left w:val="none" w:sz="0" w:space="0" w:color="auto"/>
        <w:bottom w:val="none" w:sz="0" w:space="0" w:color="auto"/>
        <w:right w:val="none" w:sz="0" w:space="0" w:color="auto"/>
      </w:divBdr>
    </w:div>
    <w:div w:id="1707244923">
      <w:bodyDiv w:val="1"/>
      <w:marLeft w:val="0"/>
      <w:marRight w:val="0"/>
      <w:marTop w:val="0"/>
      <w:marBottom w:val="0"/>
      <w:divBdr>
        <w:top w:val="none" w:sz="0" w:space="0" w:color="auto"/>
        <w:left w:val="none" w:sz="0" w:space="0" w:color="auto"/>
        <w:bottom w:val="none" w:sz="0" w:space="0" w:color="auto"/>
        <w:right w:val="none" w:sz="0" w:space="0" w:color="auto"/>
      </w:divBdr>
    </w:div>
    <w:div w:id="1707825482">
      <w:bodyDiv w:val="1"/>
      <w:marLeft w:val="0"/>
      <w:marRight w:val="0"/>
      <w:marTop w:val="0"/>
      <w:marBottom w:val="0"/>
      <w:divBdr>
        <w:top w:val="none" w:sz="0" w:space="0" w:color="auto"/>
        <w:left w:val="none" w:sz="0" w:space="0" w:color="auto"/>
        <w:bottom w:val="none" w:sz="0" w:space="0" w:color="auto"/>
        <w:right w:val="none" w:sz="0" w:space="0" w:color="auto"/>
      </w:divBdr>
    </w:div>
    <w:div w:id="1708724413">
      <w:bodyDiv w:val="1"/>
      <w:marLeft w:val="0"/>
      <w:marRight w:val="0"/>
      <w:marTop w:val="0"/>
      <w:marBottom w:val="0"/>
      <w:divBdr>
        <w:top w:val="none" w:sz="0" w:space="0" w:color="auto"/>
        <w:left w:val="none" w:sz="0" w:space="0" w:color="auto"/>
        <w:bottom w:val="none" w:sz="0" w:space="0" w:color="auto"/>
        <w:right w:val="none" w:sz="0" w:space="0" w:color="auto"/>
      </w:divBdr>
    </w:div>
    <w:div w:id="1709137995">
      <w:bodyDiv w:val="1"/>
      <w:marLeft w:val="0"/>
      <w:marRight w:val="0"/>
      <w:marTop w:val="0"/>
      <w:marBottom w:val="0"/>
      <w:divBdr>
        <w:top w:val="none" w:sz="0" w:space="0" w:color="auto"/>
        <w:left w:val="none" w:sz="0" w:space="0" w:color="auto"/>
        <w:bottom w:val="none" w:sz="0" w:space="0" w:color="auto"/>
        <w:right w:val="none" w:sz="0" w:space="0" w:color="auto"/>
      </w:divBdr>
    </w:div>
    <w:div w:id="1709180445">
      <w:bodyDiv w:val="1"/>
      <w:marLeft w:val="0"/>
      <w:marRight w:val="0"/>
      <w:marTop w:val="0"/>
      <w:marBottom w:val="0"/>
      <w:divBdr>
        <w:top w:val="none" w:sz="0" w:space="0" w:color="auto"/>
        <w:left w:val="none" w:sz="0" w:space="0" w:color="auto"/>
        <w:bottom w:val="none" w:sz="0" w:space="0" w:color="auto"/>
        <w:right w:val="none" w:sz="0" w:space="0" w:color="auto"/>
      </w:divBdr>
    </w:div>
    <w:div w:id="1709451254">
      <w:bodyDiv w:val="1"/>
      <w:marLeft w:val="0"/>
      <w:marRight w:val="0"/>
      <w:marTop w:val="0"/>
      <w:marBottom w:val="0"/>
      <w:divBdr>
        <w:top w:val="none" w:sz="0" w:space="0" w:color="auto"/>
        <w:left w:val="none" w:sz="0" w:space="0" w:color="auto"/>
        <w:bottom w:val="none" w:sz="0" w:space="0" w:color="auto"/>
        <w:right w:val="none" w:sz="0" w:space="0" w:color="auto"/>
      </w:divBdr>
    </w:div>
    <w:div w:id="1709529425">
      <w:bodyDiv w:val="1"/>
      <w:marLeft w:val="0"/>
      <w:marRight w:val="0"/>
      <w:marTop w:val="0"/>
      <w:marBottom w:val="0"/>
      <w:divBdr>
        <w:top w:val="none" w:sz="0" w:space="0" w:color="auto"/>
        <w:left w:val="none" w:sz="0" w:space="0" w:color="auto"/>
        <w:bottom w:val="none" w:sz="0" w:space="0" w:color="auto"/>
        <w:right w:val="none" w:sz="0" w:space="0" w:color="auto"/>
      </w:divBdr>
    </w:div>
    <w:div w:id="1709989172">
      <w:bodyDiv w:val="1"/>
      <w:marLeft w:val="0"/>
      <w:marRight w:val="0"/>
      <w:marTop w:val="0"/>
      <w:marBottom w:val="0"/>
      <w:divBdr>
        <w:top w:val="none" w:sz="0" w:space="0" w:color="auto"/>
        <w:left w:val="none" w:sz="0" w:space="0" w:color="auto"/>
        <w:bottom w:val="none" w:sz="0" w:space="0" w:color="auto"/>
        <w:right w:val="none" w:sz="0" w:space="0" w:color="auto"/>
      </w:divBdr>
    </w:div>
    <w:div w:id="1710908654">
      <w:bodyDiv w:val="1"/>
      <w:marLeft w:val="0"/>
      <w:marRight w:val="0"/>
      <w:marTop w:val="0"/>
      <w:marBottom w:val="0"/>
      <w:divBdr>
        <w:top w:val="none" w:sz="0" w:space="0" w:color="auto"/>
        <w:left w:val="none" w:sz="0" w:space="0" w:color="auto"/>
        <w:bottom w:val="none" w:sz="0" w:space="0" w:color="auto"/>
        <w:right w:val="none" w:sz="0" w:space="0" w:color="auto"/>
      </w:divBdr>
    </w:div>
    <w:div w:id="1711494844">
      <w:bodyDiv w:val="1"/>
      <w:marLeft w:val="0"/>
      <w:marRight w:val="0"/>
      <w:marTop w:val="0"/>
      <w:marBottom w:val="0"/>
      <w:divBdr>
        <w:top w:val="none" w:sz="0" w:space="0" w:color="auto"/>
        <w:left w:val="none" w:sz="0" w:space="0" w:color="auto"/>
        <w:bottom w:val="none" w:sz="0" w:space="0" w:color="auto"/>
        <w:right w:val="none" w:sz="0" w:space="0" w:color="auto"/>
      </w:divBdr>
    </w:div>
    <w:div w:id="1714302439">
      <w:bodyDiv w:val="1"/>
      <w:marLeft w:val="0"/>
      <w:marRight w:val="0"/>
      <w:marTop w:val="0"/>
      <w:marBottom w:val="0"/>
      <w:divBdr>
        <w:top w:val="none" w:sz="0" w:space="0" w:color="auto"/>
        <w:left w:val="none" w:sz="0" w:space="0" w:color="auto"/>
        <w:bottom w:val="none" w:sz="0" w:space="0" w:color="auto"/>
        <w:right w:val="none" w:sz="0" w:space="0" w:color="auto"/>
      </w:divBdr>
    </w:div>
    <w:div w:id="1714647603">
      <w:bodyDiv w:val="1"/>
      <w:marLeft w:val="0"/>
      <w:marRight w:val="0"/>
      <w:marTop w:val="0"/>
      <w:marBottom w:val="0"/>
      <w:divBdr>
        <w:top w:val="none" w:sz="0" w:space="0" w:color="auto"/>
        <w:left w:val="none" w:sz="0" w:space="0" w:color="auto"/>
        <w:bottom w:val="none" w:sz="0" w:space="0" w:color="auto"/>
        <w:right w:val="none" w:sz="0" w:space="0" w:color="auto"/>
      </w:divBdr>
    </w:div>
    <w:div w:id="1715303431">
      <w:bodyDiv w:val="1"/>
      <w:marLeft w:val="0"/>
      <w:marRight w:val="0"/>
      <w:marTop w:val="0"/>
      <w:marBottom w:val="0"/>
      <w:divBdr>
        <w:top w:val="none" w:sz="0" w:space="0" w:color="auto"/>
        <w:left w:val="none" w:sz="0" w:space="0" w:color="auto"/>
        <w:bottom w:val="none" w:sz="0" w:space="0" w:color="auto"/>
        <w:right w:val="none" w:sz="0" w:space="0" w:color="auto"/>
      </w:divBdr>
    </w:div>
    <w:div w:id="1718511828">
      <w:bodyDiv w:val="1"/>
      <w:marLeft w:val="0"/>
      <w:marRight w:val="0"/>
      <w:marTop w:val="0"/>
      <w:marBottom w:val="0"/>
      <w:divBdr>
        <w:top w:val="none" w:sz="0" w:space="0" w:color="auto"/>
        <w:left w:val="none" w:sz="0" w:space="0" w:color="auto"/>
        <w:bottom w:val="none" w:sz="0" w:space="0" w:color="auto"/>
        <w:right w:val="none" w:sz="0" w:space="0" w:color="auto"/>
      </w:divBdr>
    </w:div>
    <w:div w:id="1719697223">
      <w:bodyDiv w:val="1"/>
      <w:marLeft w:val="0"/>
      <w:marRight w:val="0"/>
      <w:marTop w:val="0"/>
      <w:marBottom w:val="0"/>
      <w:divBdr>
        <w:top w:val="none" w:sz="0" w:space="0" w:color="auto"/>
        <w:left w:val="none" w:sz="0" w:space="0" w:color="auto"/>
        <w:bottom w:val="none" w:sz="0" w:space="0" w:color="auto"/>
        <w:right w:val="none" w:sz="0" w:space="0" w:color="auto"/>
      </w:divBdr>
    </w:div>
    <w:div w:id="1721007350">
      <w:bodyDiv w:val="1"/>
      <w:marLeft w:val="0"/>
      <w:marRight w:val="0"/>
      <w:marTop w:val="0"/>
      <w:marBottom w:val="0"/>
      <w:divBdr>
        <w:top w:val="none" w:sz="0" w:space="0" w:color="auto"/>
        <w:left w:val="none" w:sz="0" w:space="0" w:color="auto"/>
        <w:bottom w:val="none" w:sz="0" w:space="0" w:color="auto"/>
        <w:right w:val="none" w:sz="0" w:space="0" w:color="auto"/>
      </w:divBdr>
    </w:div>
    <w:div w:id="1724475387">
      <w:bodyDiv w:val="1"/>
      <w:marLeft w:val="0"/>
      <w:marRight w:val="0"/>
      <w:marTop w:val="0"/>
      <w:marBottom w:val="0"/>
      <w:divBdr>
        <w:top w:val="none" w:sz="0" w:space="0" w:color="auto"/>
        <w:left w:val="none" w:sz="0" w:space="0" w:color="auto"/>
        <w:bottom w:val="none" w:sz="0" w:space="0" w:color="auto"/>
        <w:right w:val="none" w:sz="0" w:space="0" w:color="auto"/>
      </w:divBdr>
    </w:div>
    <w:div w:id="1728411411">
      <w:bodyDiv w:val="1"/>
      <w:marLeft w:val="0"/>
      <w:marRight w:val="0"/>
      <w:marTop w:val="0"/>
      <w:marBottom w:val="0"/>
      <w:divBdr>
        <w:top w:val="none" w:sz="0" w:space="0" w:color="auto"/>
        <w:left w:val="none" w:sz="0" w:space="0" w:color="auto"/>
        <w:bottom w:val="none" w:sz="0" w:space="0" w:color="auto"/>
        <w:right w:val="none" w:sz="0" w:space="0" w:color="auto"/>
      </w:divBdr>
    </w:div>
    <w:div w:id="1730301592">
      <w:bodyDiv w:val="1"/>
      <w:marLeft w:val="0"/>
      <w:marRight w:val="0"/>
      <w:marTop w:val="0"/>
      <w:marBottom w:val="0"/>
      <w:divBdr>
        <w:top w:val="none" w:sz="0" w:space="0" w:color="auto"/>
        <w:left w:val="none" w:sz="0" w:space="0" w:color="auto"/>
        <w:bottom w:val="none" w:sz="0" w:space="0" w:color="auto"/>
        <w:right w:val="none" w:sz="0" w:space="0" w:color="auto"/>
      </w:divBdr>
    </w:div>
    <w:div w:id="1730767181">
      <w:bodyDiv w:val="1"/>
      <w:marLeft w:val="0"/>
      <w:marRight w:val="0"/>
      <w:marTop w:val="0"/>
      <w:marBottom w:val="0"/>
      <w:divBdr>
        <w:top w:val="none" w:sz="0" w:space="0" w:color="auto"/>
        <w:left w:val="none" w:sz="0" w:space="0" w:color="auto"/>
        <w:bottom w:val="none" w:sz="0" w:space="0" w:color="auto"/>
        <w:right w:val="none" w:sz="0" w:space="0" w:color="auto"/>
      </w:divBdr>
    </w:div>
    <w:div w:id="1732657435">
      <w:bodyDiv w:val="1"/>
      <w:marLeft w:val="0"/>
      <w:marRight w:val="0"/>
      <w:marTop w:val="0"/>
      <w:marBottom w:val="0"/>
      <w:divBdr>
        <w:top w:val="none" w:sz="0" w:space="0" w:color="auto"/>
        <w:left w:val="none" w:sz="0" w:space="0" w:color="auto"/>
        <w:bottom w:val="none" w:sz="0" w:space="0" w:color="auto"/>
        <w:right w:val="none" w:sz="0" w:space="0" w:color="auto"/>
      </w:divBdr>
    </w:div>
    <w:div w:id="1733964832">
      <w:bodyDiv w:val="1"/>
      <w:marLeft w:val="0"/>
      <w:marRight w:val="0"/>
      <w:marTop w:val="0"/>
      <w:marBottom w:val="0"/>
      <w:divBdr>
        <w:top w:val="none" w:sz="0" w:space="0" w:color="auto"/>
        <w:left w:val="none" w:sz="0" w:space="0" w:color="auto"/>
        <w:bottom w:val="none" w:sz="0" w:space="0" w:color="auto"/>
        <w:right w:val="none" w:sz="0" w:space="0" w:color="auto"/>
      </w:divBdr>
    </w:div>
    <w:div w:id="1734349028">
      <w:bodyDiv w:val="1"/>
      <w:marLeft w:val="0"/>
      <w:marRight w:val="0"/>
      <w:marTop w:val="0"/>
      <w:marBottom w:val="0"/>
      <w:divBdr>
        <w:top w:val="none" w:sz="0" w:space="0" w:color="auto"/>
        <w:left w:val="none" w:sz="0" w:space="0" w:color="auto"/>
        <w:bottom w:val="none" w:sz="0" w:space="0" w:color="auto"/>
        <w:right w:val="none" w:sz="0" w:space="0" w:color="auto"/>
      </w:divBdr>
    </w:div>
    <w:div w:id="1736588124">
      <w:bodyDiv w:val="1"/>
      <w:marLeft w:val="0"/>
      <w:marRight w:val="0"/>
      <w:marTop w:val="0"/>
      <w:marBottom w:val="0"/>
      <w:divBdr>
        <w:top w:val="none" w:sz="0" w:space="0" w:color="auto"/>
        <w:left w:val="none" w:sz="0" w:space="0" w:color="auto"/>
        <w:bottom w:val="none" w:sz="0" w:space="0" w:color="auto"/>
        <w:right w:val="none" w:sz="0" w:space="0" w:color="auto"/>
      </w:divBdr>
    </w:div>
    <w:div w:id="1736662417">
      <w:bodyDiv w:val="1"/>
      <w:marLeft w:val="0"/>
      <w:marRight w:val="0"/>
      <w:marTop w:val="0"/>
      <w:marBottom w:val="0"/>
      <w:divBdr>
        <w:top w:val="none" w:sz="0" w:space="0" w:color="auto"/>
        <w:left w:val="none" w:sz="0" w:space="0" w:color="auto"/>
        <w:bottom w:val="none" w:sz="0" w:space="0" w:color="auto"/>
        <w:right w:val="none" w:sz="0" w:space="0" w:color="auto"/>
      </w:divBdr>
    </w:div>
    <w:div w:id="1739668909">
      <w:bodyDiv w:val="1"/>
      <w:marLeft w:val="0"/>
      <w:marRight w:val="0"/>
      <w:marTop w:val="0"/>
      <w:marBottom w:val="0"/>
      <w:divBdr>
        <w:top w:val="none" w:sz="0" w:space="0" w:color="auto"/>
        <w:left w:val="none" w:sz="0" w:space="0" w:color="auto"/>
        <w:bottom w:val="none" w:sz="0" w:space="0" w:color="auto"/>
        <w:right w:val="none" w:sz="0" w:space="0" w:color="auto"/>
      </w:divBdr>
    </w:div>
    <w:div w:id="1740053000">
      <w:bodyDiv w:val="1"/>
      <w:marLeft w:val="0"/>
      <w:marRight w:val="0"/>
      <w:marTop w:val="0"/>
      <w:marBottom w:val="0"/>
      <w:divBdr>
        <w:top w:val="none" w:sz="0" w:space="0" w:color="auto"/>
        <w:left w:val="none" w:sz="0" w:space="0" w:color="auto"/>
        <w:bottom w:val="none" w:sz="0" w:space="0" w:color="auto"/>
        <w:right w:val="none" w:sz="0" w:space="0" w:color="auto"/>
      </w:divBdr>
    </w:div>
    <w:div w:id="1740130770">
      <w:bodyDiv w:val="1"/>
      <w:marLeft w:val="0"/>
      <w:marRight w:val="0"/>
      <w:marTop w:val="0"/>
      <w:marBottom w:val="0"/>
      <w:divBdr>
        <w:top w:val="none" w:sz="0" w:space="0" w:color="auto"/>
        <w:left w:val="none" w:sz="0" w:space="0" w:color="auto"/>
        <w:bottom w:val="none" w:sz="0" w:space="0" w:color="auto"/>
        <w:right w:val="none" w:sz="0" w:space="0" w:color="auto"/>
      </w:divBdr>
    </w:div>
    <w:div w:id="1742289599">
      <w:bodyDiv w:val="1"/>
      <w:marLeft w:val="0"/>
      <w:marRight w:val="0"/>
      <w:marTop w:val="0"/>
      <w:marBottom w:val="0"/>
      <w:divBdr>
        <w:top w:val="none" w:sz="0" w:space="0" w:color="auto"/>
        <w:left w:val="none" w:sz="0" w:space="0" w:color="auto"/>
        <w:bottom w:val="none" w:sz="0" w:space="0" w:color="auto"/>
        <w:right w:val="none" w:sz="0" w:space="0" w:color="auto"/>
      </w:divBdr>
    </w:div>
    <w:div w:id="1743944089">
      <w:bodyDiv w:val="1"/>
      <w:marLeft w:val="0"/>
      <w:marRight w:val="0"/>
      <w:marTop w:val="0"/>
      <w:marBottom w:val="0"/>
      <w:divBdr>
        <w:top w:val="none" w:sz="0" w:space="0" w:color="auto"/>
        <w:left w:val="none" w:sz="0" w:space="0" w:color="auto"/>
        <w:bottom w:val="none" w:sz="0" w:space="0" w:color="auto"/>
        <w:right w:val="none" w:sz="0" w:space="0" w:color="auto"/>
      </w:divBdr>
    </w:div>
    <w:div w:id="1744714495">
      <w:bodyDiv w:val="1"/>
      <w:marLeft w:val="0"/>
      <w:marRight w:val="0"/>
      <w:marTop w:val="0"/>
      <w:marBottom w:val="0"/>
      <w:divBdr>
        <w:top w:val="none" w:sz="0" w:space="0" w:color="auto"/>
        <w:left w:val="none" w:sz="0" w:space="0" w:color="auto"/>
        <w:bottom w:val="none" w:sz="0" w:space="0" w:color="auto"/>
        <w:right w:val="none" w:sz="0" w:space="0" w:color="auto"/>
      </w:divBdr>
    </w:div>
    <w:div w:id="1744793041">
      <w:bodyDiv w:val="1"/>
      <w:marLeft w:val="0"/>
      <w:marRight w:val="0"/>
      <w:marTop w:val="0"/>
      <w:marBottom w:val="0"/>
      <w:divBdr>
        <w:top w:val="none" w:sz="0" w:space="0" w:color="auto"/>
        <w:left w:val="none" w:sz="0" w:space="0" w:color="auto"/>
        <w:bottom w:val="none" w:sz="0" w:space="0" w:color="auto"/>
        <w:right w:val="none" w:sz="0" w:space="0" w:color="auto"/>
      </w:divBdr>
    </w:div>
    <w:div w:id="1745491934">
      <w:bodyDiv w:val="1"/>
      <w:marLeft w:val="0"/>
      <w:marRight w:val="0"/>
      <w:marTop w:val="0"/>
      <w:marBottom w:val="0"/>
      <w:divBdr>
        <w:top w:val="none" w:sz="0" w:space="0" w:color="auto"/>
        <w:left w:val="none" w:sz="0" w:space="0" w:color="auto"/>
        <w:bottom w:val="none" w:sz="0" w:space="0" w:color="auto"/>
        <w:right w:val="none" w:sz="0" w:space="0" w:color="auto"/>
      </w:divBdr>
    </w:div>
    <w:div w:id="1746608151">
      <w:bodyDiv w:val="1"/>
      <w:marLeft w:val="0"/>
      <w:marRight w:val="0"/>
      <w:marTop w:val="0"/>
      <w:marBottom w:val="0"/>
      <w:divBdr>
        <w:top w:val="none" w:sz="0" w:space="0" w:color="auto"/>
        <w:left w:val="none" w:sz="0" w:space="0" w:color="auto"/>
        <w:bottom w:val="none" w:sz="0" w:space="0" w:color="auto"/>
        <w:right w:val="none" w:sz="0" w:space="0" w:color="auto"/>
      </w:divBdr>
    </w:div>
    <w:div w:id="1748722651">
      <w:bodyDiv w:val="1"/>
      <w:marLeft w:val="0"/>
      <w:marRight w:val="0"/>
      <w:marTop w:val="0"/>
      <w:marBottom w:val="0"/>
      <w:divBdr>
        <w:top w:val="none" w:sz="0" w:space="0" w:color="auto"/>
        <w:left w:val="none" w:sz="0" w:space="0" w:color="auto"/>
        <w:bottom w:val="none" w:sz="0" w:space="0" w:color="auto"/>
        <w:right w:val="none" w:sz="0" w:space="0" w:color="auto"/>
      </w:divBdr>
    </w:div>
    <w:div w:id="1749423191">
      <w:bodyDiv w:val="1"/>
      <w:marLeft w:val="0"/>
      <w:marRight w:val="0"/>
      <w:marTop w:val="0"/>
      <w:marBottom w:val="0"/>
      <w:divBdr>
        <w:top w:val="none" w:sz="0" w:space="0" w:color="auto"/>
        <w:left w:val="none" w:sz="0" w:space="0" w:color="auto"/>
        <w:bottom w:val="none" w:sz="0" w:space="0" w:color="auto"/>
        <w:right w:val="none" w:sz="0" w:space="0" w:color="auto"/>
      </w:divBdr>
    </w:div>
    <w:div w:id="1749620310">
      <w:bodyDiv w:val="1"/>
      <w:marLeft w:val="0"/>
      <w:marRight w:val="0"/>
      <w:marTop w:val="0"/>
      <w:marBottom w:val="0"/>
      <w:divBdr>
        <w:top w:val="none" w:sz="0" w:space="0" w:color="auto"/>
        <w:left w:val="none" w:sz="0" w:space="0" w:color="auto"/>
        <w:bottom w:val="none" w:sz="0" w:space="0" w:color="auto"/>
        <w:right w:val="none" w:sz="0" w:space="0" w:color="auto"/>
      </w:divBdr>
    </w:div>
    <w:div w:id="1752503594">
      <w:bodyDiv w:val="1"/>
      <w:marLeft w:val="0"/>
      <w:marRight w:val="0"/>
      <w:marTop w:val="0"/>
      <w:marBottom w:val="0"/>
      <w:divBdr>
        <w:top w:val="none" w:sz="0" w:space="0" w:color="auto"/>
        <w:left w:val="none" w:sz="0" w:space="0" w:color="auto"/>
        <w:bottom w:val="none" w:sz="0" w:space="0" w:color="auto"/>
        <w:right w:val="none" w:sz="0" w:space="0" w:color="auto"/>
      </w:divBdr>
    </w:div>
    <w:div w:id="1753090567">
      <w:bodyDiv w:val="1"/>
      <w:marLeft w:val="0"/>
      <w:marRight w:val="0"/>
      <w:marTop w:val="0"/>
      <w:marBottom w:val="0"/>
      <w:divBdr>
        <w:top w:val="none" w:sz="0" w:space="0" w:color="auto"/>
        <w:left w:val="none" w:sz="0" w:space="0" w:color="auto"/>
        <w:bottom w:val="none" w:sz="0" w:space="0" w:color="auto"/>
        <w:right w:val="none" w:sz="0" w:space="0" w:color="auto"/>
      </w:divBdr>
    </w:div>
    <w:div w:id="1757479231">
      <w:bodyDiv w:val="1"/>
      <w:marLeft w:val="0"/>
      <w:marRight w:val="0"/>
      <w:marTop w:val="0"/>
      <w:marBottom w:val="0"/>
      <w:divBdr>
        <w:top w:val="none" w:sz="0" w:space="0" w:color="auto"/>
        <w:left w:val="none" w:sz="0" w:space="0" w:color="auto"/>
        <w:bottom w:val="none" w:sz="0" w:space="0" w:color="auto"/>
        <w:right w:val="none" w:sz="0" w:space="0" w:color="auto"/>
      </w:divBdr>
    </w:div>
    <w:div w:id="1758863873">
      <w:bodyDiv w:val="1"/>
      <w:marLeft w:val="0"/>
      <w:marRight w:val="0"/>
      <w:marTop w:val="0"/>
      <w:marBottom w:val="0"/>
      <w:divBdr>
        <w:top w:val="none" w:sz="0" w:space="0" w:color="auto"/>
        <w:left w:val="none" w:sz="0" w:space="0" w:color="auto"/>
        <w:bottom w:val="none" w:sz="0" w:space="0" w:color="auto"/>
        <w:right w:val="none" w:sz="0" w:space="0" w:color="auto"/>
      </w:divBdr>
    </w:div>
    <w:div w:id="1759713220">
      <w:bodyDiv w:val="1"/>
      <w:marLeft w:val="0"/>
      <w:marRight w:val="0"/>
      <w:marTop w:val="0"/>
      <w:marBottom w:val="0"/>
      <w:divBdr>
        <w:top w:val="none" w:sz="0" w:space="0" w:color="auto"/>
        <w:left w:val="none" w:sz="0" w:space="0" w:color="auto"/>
        <w:bottom w:val="none" w:sz="0" w:space="0" w:color="auto"/>
        <w:right w:val="none" w:sz="0" w:space="0" w:color="auto"/>
      </w:divBdr>
    </w:div>
    <w:div w:id="1761831505">
      <w:bodyDiv w:val="1"/>
      <w:marLeft w:val="0"/>
      <w:marRight w:val="0"/>
      <w:marTop w:val="0"/>
      <w:marBottom w:val="0"/>
      <w:divBdr>
        <w:top w:val="none" w:sz="0" w:space="0" w:color="auto"/>
        <w:left w:val="none" w:sz="0" w:space="0" w:color="auto"/>
        <w:bottom w:val="none" w:sz="0" w:space="0" w:color="auto"/>
        <w:right w:val="none" w:sz="0" w:space="0" w:color="auto"/>
      </w:divBdr>
    </w:div>
    <w:div w:id="1762331543">
      <w:bodyDiv w:val="1"/>
      <w:marLeft w:val="0"/>
      <w:marRight w:val="0"/>
      <w:marTop w:val="0"/>
      <w:marBottom w:val="0"/>
      <w:divBdr>
        <w:top w:val="none" w:sz="0" w:space="0" w:color="auto"/>
        <w:left w:val="none" w:sz="0" w:space="0" w:color="auto"/>
        <w:bottom w:val="none" w:sz="0" w:space="0" w:color="auto"/>
        <w:right w:val="none" w:sz="0" w:space="0" w:color="auto"/>
      </w:divBdr>
    </w:div>
    <w:div w:id="1763405411">
      <w:bodyDiv w:val="1"/>
      <w:marLeft w:val="0"/>
      <w:marRight w:val="0"/>
      <w:marTop w:val="0"/>
      <w:marBottom w:val="0"/>
      <w:divBdr>
        <w:top w:val="none" w:sz="0" w:space="0" w:color="auto"/>
        <w:left w:val="none" w:sz="0" w:space="0" w:color="auto"/>
        <w:bottom w:val="none" w:sz="0" w:space="0" w:color="auto"/>
        <w:right w:val="none" w:sz="0" w:space="0" w:color="auto"/>
      </w:divBdr>
    </w:div>
    <w:div w:id="1763405413">
      <w:bodyDiv w:val="1"/>
      <w:marLeft w:val="0"/>
      <w:marRight w:val="0"/>
      <w:marTop w:val="0"/>
      <w:marBottom w:val="0"/>
      <w:divBdr>
        <w:top w:val="none" w:sz="0" w:space="0" w:color="auto"/>
        <w:left w:val="none" w:sz="0" w:space="0" w:color="auto"/>
        <w:bottom w:val="none" w:sz="0" w:space="0" w:color="auto"/>
        <w:right w:val="none" w:sz="0" w:space="0" w:color="auto"/>
      </w:divBdr>
    </w:div>
    <w:div w:id="1764108143">
      <w:bodyDiv w:val="1"/>
      <w:marLeft w:val="0"/>
      <w:marRight w:val="0"/>
      <w:marTop w:val="0"/>
      <w:marBottom w:val="0"/>
      <w:divBdr>
        <w:top w:val="none" w:sz="0" w:space="0" w:color="auto"/>
        <w:left w:val="none" w:sz="0" w:space="0" w:color="auto"/>
        <w:bottom w:val="none" w:sz="0" w:space="0" w:color="auto"/>
        <w:right w:val="none" w:sz="0" w:space="0" w:color="auto"/>
      </w:divBdr>
    </w:div>
    <w:div w:id="1766418194">
      <w:bodyDiv w:val="1"/>
      <w:marLeft w:val="0"/>
      <w:marRight w:val="0"/>
      <w:marTop w:val="0"/>
      <w:marBottom w:val="0"/>
      <w:divBdr>
        <w:top w:val="none" w:sz="0" w:space="0" w:color="auto"/>
        <w:left w:val="none" w:sz="0" w:space="0" w:color="auto"/>
        <w:bottom w:val="none" w:sz="0" w:space="0" w:color="auto"/>
        <w:right w:val="none" w:sz="0" w:space="0" w:color="auto"/>
      </w:divBdr>
    </w:div>
    <w:div w:id="1766729229">
      <w:bodyDiv w:val="1"/>
      <w:marLeft w:val="0"/>
      <w:marRight w:val="0"/>
      <w:marTop w:val="0"/>
      <w:marBottom w:val="0"/>
      <w:divBdr>
        <w:top w:val="none" w:sz="0" w:space="0" w:color="auto"/>
        <w:left w:val="none" w:sz="0" w:space="0" w:color="auto"/>
        <w:bottom w:val="none" w:sz="0" w:space="0" w:color="auto"/>
        <w:right w:val="none" w:sz="0" w:space="0" w:color="auto"/>
      </w:divBdr>
    </w:div>
    <w:div w:id="1766879354">
      <w:bodyDiv w:val="1"/>
      <w:marLeft w:val="0"/>
      <w:marRight w:val="0"/>
      <w:marTop w:val="0"/>
      <w:marBottom w:val="0"/>
      <w:divBdr>
        <w:top w:val="none" w:sz="0" w:space="0" w:color="auto"/>
        <w:left w:val="none" w:sz="0" w:space="0" w:color="auto"/>
        <w:bottom w:val="none" w:sz="0" w:space="0" w:color="auto"/>
        <w:right w:val="none" w:sz="0" w:space="0" w:color="auto"/>
      </w:divBdr>
    </w:div>
    <w:div w:id="1766879806">
      <w:bodyDiv w:val="1"/>
      <w:marLeft w:val="0"/>
      <w:marRight w:val="0"/>
      <w:marTop w:val="0"/>
      <w:marBottom w:val="0"/>
      <w:divBdr>
        <w:top w:val="none" w:sz="0" w:space="0" w:color="auto"/>
        <w:left w:val="none" w:sz="0" w:space="0" w:color="auto"/>
        <w:bottom w:val="none" w:sz="0" w:space="0" w:color="auto"/>
        <w:right w:val="none" w:sz="0" w:space="0" w:color="auto"/>
      </w:divBdr>
    </w:div>
    <w:div w:id="1771049691">
      <w:bodyDiv w:val="1"/>
      <w:marLeft w:val="0"/>
      <w:marRight w:val="0"/>
      <w:marTop w:val="0"/>
      <w:marBottom w:val="0"/>
      <w:divBdr>
        <w:top w:val="none" w:sz="0" w:space="0" w:color="auto"/>
        <w:left w:val="none" w:sz="0" w:space="0" w:color="auto"/>
        <w:bottom w:val="none" w:sz="0" w:space="0" w:color="auto"/>
        <w:right w:val="none" w:sz="0" w:space="0" w:color="auto"/>
      </w:divBdr>
    </w:div>
    <w:div w:id="1771971715">
      <w:bodyDiv w:val="1"/>
      <w:marLeft w:val="0"/>
      <w:marRight w:val="0"/>
      <w:marTop w:val="0"/>
      <w:marBottom w:val="0"/>
      <w:divBdr>
        <w:top w:val="none" w:sz="0" w:space="0" w:color="auto"/>
        <w:left w:val="none" w:sz="0" w:space="0" w:color="auto"/>
        <w:bottom w:val="none" w:sz="0" w:space="0" w:color="auto"/>
        <w:right w:val="none" w:sz="0" w:space="0" w:color="auto"/>
      </w:divBdr>
    </w:div>
    <w:div w:id="1772627053">
      <w:bodyDiv w:val="1"/>
      <w:marLeft w:val="0"/>
      <w:marRight w:val="0"/>
      <w:marTop w:val="0"/>
      <w:marBottom w:val="0"/>
      <w:divBdr>
        <w:top w:val="none" w:sz="0" w:space="0" w:color="auto"/>
        <w:left w:val="none" w:sz="0" w:space="0" w:color="auto"/>
        <w:bottom w:val="none" w:sz="0" w:space="0" w:color="auto"/>
        <w:right w:val="none" w:sz="0" w:space="0" w:color="auto"/>
      </w:divBdr>
    </w:div>
    <w:div w:id="1773281086">
      <w:bodyDiv w:val="1"/>
      <w:marLeft w:val="0"/>
      <w:marRight w:val="0"/>
      <w:marTop w:val="0"/>
      <w:marBottom w:val="0"/>
      <w:divBdr>
        <w:top w:val="none" w:sz="0" w:space="0" w:color="auto"/>
        <w:left w:val="none" w:sz="0" w:space="0" w:color="auto"/>
        <w:bottom w:val="none" w:sz="0" w:space="0" w:color="auto"/>
        <w:right w:val="none" w:sz="0" w:space="0" w:color="auto"/>
      </w:divBdr>
    </w:div>
    <w:div w:id="1775633387">
      <w:bodyDiv w:val="1"/>
      <w:marLeft w:val="0"/>
      <w:marRight w:val="0"/>
      <w:marTop w:val="0"/>
      <w:marBottom w:val="0"/>
      <w:divBdr>
        <w:top w:val="none" w:sz="0" w:space="0" w:color="auto"/>
        <w:left w:val="none" w:sz="0" w:space="0" w:color="auto"/>
        <w:bottom w:val="none" w:sz="0" w:space="0" w:color="auto"/>
        <w:right w:val="none" w:sz="0" w:space="0" w:color="auto"/>
      </w:divBdr>
    </w:div>
    <w:div w:id="1775663734">
      <w:bodyDiv w:val="1"/>
      <w:marLeft w:val="0"/>
      <w:marRight w:val="0"/>
      <w:marTop w:val="0"/>
      <w:marBottom w:val="0"/>
      <w:divBdr>
        <w:top w:val="none" w:sz="0" w:space="0" w:color="auto"/>
        <w:left w:val="none" w:sz="0" w:space="0" w:color="auto"/>
        <w:bottom w:val="none" w:sz="0" w:space="0" w:color="auto"/>
        <w:right w:val="none" w:sz="0" w:space="0" w:color="auto"/>
      </w:divBdr>
    </w:div>
    <w:div w:id="1775859259">
      <w:bodyDiv w:val="1"/>
      <w:marLeft w:val="0"/>
      <w:marRight w:val="0"/>
      <w:marTop w:val="0"/>
      <w:marBottom w:val="0"/>
      <w:divBdr>
        <w:top w:val="none" w:sz="0" w:space="0" w:color="auto"/>
        <w:left w:val="none" w:sz="0" w:space="0" w:color="auto"/>
        <w:bottom w:val="none" w:sz="0" w:space="0" w:color="auto"/>
        <w:right w:val="none" w:sz="0" w:space="0" w:color="auto"/>
      </w:divBdr>
    </w:div>
    <w:div w:id="1776442270">
      <w:bodyDiv w:val="1"/>
      <w:marLeft w:val="0"/>
      <w:marRight w:val="0"/>
      <w:marTop w:val="0"/>
      <w:marBottom w:val="0"/>
      <w:divBdr>
        <w:top w:val="none" w:sz="0" w:space="0" w:color="auto"/>
        <w:left w:val="none" w:sz="0" w:space="0" w:color="auto"/>
        <w:bottom w:val="none" w:sz="0" w:space="0" w:color="auto"/>
        <w:right w:val="none" w:sz="0" w:space="0" w:color="auto"/>
      </w:divBdr>
    </w:div>
    <w:div w:id="1776748624">
      <w:bodyDiv w:val="1"/>
      <w:marLeft w:val="0"/>
      <w:marRight w:val="0"/>
      <w:marTop w:val="0"/>
      <w:marBottom w:val="0"/>
      <w:divBdr>
        <w:top w:val="none" w:sz="0" w:space="0" w:color="auto"/>
        <w:left w:val="none" w:sz="0" w:space="0" w:color="auto"/>
        <w:bottom w:val="none" w:sz="0" w:space="0" w:color="auto"/>
        <w:right w:val="none" w:sz="0" w:space="0" w:color="auto"/>
      </w:divBdr>
    </w:div>
    <w:div w:id="1777747207">
      <w:bodyDiv w:val="1"/>
      <w:marLeft w:val="0"/>
      <w:marRight w:val="0"/>
      <w:marTop w:val="0"/>
      <w:marBottom w:val="0"/>
      <w:divBdr>
        <w:top w:val="none" w:sz="0" w:space="0" w:color="auto"/>
        <w:left w:val="none" w:sz="0" w:space="0" w:color="auto"/>
        <w:bottom w:val="none" w:sz="0" w:space="0" w:color="auto"/>
        <w:right w:val="none" w:sz="0" w:space="0" w:color="auto"/>
      </w:divBdr>
    </w:div>
    <w:div w:id="1778134708">
      <w:bodyDiv w:val="1"/>
      <w:marLeft w:val="0"/>
      <w:marRight w:val="0"/>
      <w:marTop w:val="0"/>
      <w:marBottom w:val="0"/>
      <w:divBdr>
        <w:top w:val="none" w:sz="0" w:space="0" w:color="auto"/>
        <w:left w:val="none" w:sz="0" w:space="0" w:color="auto"/>
        <w:bottom w:val="none" w:sz="0" w:space="0" w:color="auto"/>
        <w:right w:val="none" w:sz="0" w:space="0" w:color="auto"/>
      </w:divBdr>
    </w:div>
    <w:div w:id="1778863693">
      <w:bodyDiv w:val="1"/>
      <w:marLeft w:val="0"/>
      <w:marRight w:val="0"/>
      <w:marTop w:val="0"/>
      <w:marBottom w:val="0"/>
      <w:divBdr>
        <w:top w:val="none" w:sz="0" w:space="0" w:color="auto"/>
        <w:left w:val="none" w:sz="0" w:space="0" w:color="auto"/>
        <w:bottom w:val="none" w:sz="0" w:space="0" w:color="auto"/>
        <w:right w:val="none" w:sz="0" w:space="0" w:color="auto"/>
      </w:divBdr>
    </w:div>
    <w:div w:id="1778871856">
      <w:bodyDiv w:val="1"/>
      <w:marLeft w:val="0"/>
      <w:marRight w:val="0"/>
      <w:marTop w:val="0"/>
      <w:marBottom w:val="0"/>
      <w:divBdr>
        <w:top w:val="none" w:sz="0" w:space="0" w:color="auto"/>
        <w:left w:val="none" w:sz="0" w:space="0" w:color="auto"/>
        <w:bottom w:val="none" w:sz="0" w:space="0" w:color="auto"/>
        <w:right w:val="none" w:sz="0" w:space="0" w:color="auto"/>
      </w:divBdr>
    </w:div>
    <w:div w:id="1780486647">
      <w:bodyDiv w:val="1"/>
      <w:marLeft w:val="0"/>
      <w:marRight w:val="0"/>
      <w:marTop w:val="0"/>
      <w:marBottom w:val="0"/>
      <w:divBdr>
        <w:top w:val="none" w:sz="0" w:space="0" w:color="auto"/>
        <w:left w:val="none" w:sz="0" w:space="0" w:color="auto"/>
        <w:bottom w:val="none" w:sz="0" w:space="0" w:color="auto"/>
        <w:right w:val="none" w:sz="0" w:space="0" w:color="auto"/>
      </w:divBdr>
    </w:div>
    <w:div w:id="1781073753">
      <w:bodyDiv w:val="1"/>
      <w:marLeft w:val="0"/>
      <w:marRight w:val="0"/>
      <w:marTop w:val="0"/>
      <w:marBottom w:val="0"/>
      <w:divBdr>
        <w:top w:val="none" w:sz="0" w:space="0" w:color="auto"/>
        <w:left w:val="none" w:sz="0" w:space="0" w:color="auto"/>
        <w:bottom w:val="none" w:sz="0" w:space="0" w:color="auto"/>
        <w:right w:val="none" w:sz="0" w:space="0" w:color="auto"/>
      </w:divBdr>
    </w:div>
    <w:div w:id="1781758856">
      <w:bodyDiv w:val="1"/>
      <w:marLeft w:val="0"/>
      <w:marRight w:val="0"/>
      <w:marTop w:val="0"/>
      <w:marBottom w:val="0"/>
      <w:divBdr>
        <w:top w:val="none" w:sz="0" w:space="0" w:color="auto"/>
        <w:left w:val="none" w:sz="0" w:space="0" w:color="auto"/>
        <w:bottom w:val="none" w:sz="0" w:space="0" w:color="auto"/>
        <w:right w:val="none" w:sz="0" w:space="0" w:color="auto"/>
      </w:divBdr>
    </w:div>
    <w:div w:id="1785030846">
      <w:bodyDiv w:val="1"/>
      <w:marLeft w:val="0"/>
      <w:marRight w:val="0"/>
      <w:marTop w:val="0"/>
      <w:marBottom w:val="0"/>
      <w:divBdr>
        <w:top w:val="none" w:sz="0" w:space="0" w:color="auto"/>
        <w:left w:val="none" w:sz="0" w:space="0" w:color="auto"/>
        <w:bottom w:val="none" w:sz="0" w:space="0" w:color="auto"/>
        <w:right w:val="none" w:sz="0" w:space="0" w:color="auto"/>
      </w:divBdr>
    </w:div>
    <w:div w:id="1785689067">
      <w:bodyDiv w:val="1"/>
      <w:marLeft w:val="0"/>
      <w:marRight w:val="0"/>
      <w:marTop w:val="0"/>
      <w:marBottom w:val="0"/>
      <w:divBdr>
        <w:top w:val="none" w:sz="0" w:space="0" w:color="auto"/>
        <w:left w:val="none" w:sz="0" w:space="0" w:color="auto"/>
        <w:bottom w:val="none" w:sz="0" w:space="0" w:color="auto"/>
        <w:right w:val="none" w:sz="0" w:space="0" w:color="auto"/>
      </w:divBdr>
    </w:div>
    <w:div w:id="1785726552">
      <w:bodyDiv w:val="1"/>
      <w:marLeft w:val="0"/>
      <w:marRight w:val="0"/>
      <w:marTop w:val="0"/>
      <w:marBottom w:val="0"/>
      <w:divBdr>
        <w:top w:val="none" w:sz="0" w:space="0" w:color="auto"/>
        <w:left w:val="none" w:sz="0" w:space="0" w:color="auto"/>
        <w:bottom w:val="none" w:sz="0" w:space="0" w:color="auto"/>
        <w:right w:val="none" w:sz="0" w:space="0" w:color="auto"/>
      </w:divBdr>
    </w:div>
    <w:div w:id="1787583561">
      <w:bodyDiv w:val="1"/>
      <w:marLeft w:val="0"/>
      <w:marRight w:val="0"/>
      <w:marTop w:val="0"/>
      <w:marBottom w:val="0"/>
      <w:divBdr>
        <w:top w:val="none" w:sz="0" w:space="0" w:color="auto"/>
        <w:left w:val="none" w:sz="0" w:space="0" w:color="auto"/>
        <w:bottom w:val="none" w:sz="0" w:space="0" w:color="auto"/>
        <w:right w:val="none" w:sz="0" w:space="0" w:color="auto"/>
      </w:divBdr>
    </w:div>
    <w:div w:id="1791513639">
      <w:bodyDiv w:val="1"/>
      <w:marLeft w:val="0"/>
      <w:marRight w:val="0"/>
      <w:marTop w:val="0"/>
      <w:marBottom w:val="0"/>
      <w:divBdr>
        <w:top w:val="none" w:sz="0" w:space="0" w:color="auto"/>
        <w:left w:val="none" w:sz="0" w:space="0" w:color="auto"/>
        <w:bottom w:val="none" w:sz="0" w:space="0" w:color="auto"/>
        <w:right w:val="none" w:sz="0" w:space="0" w:color="auto"/>
      </w:divBdr>
    </w:div>
    <w:div w:id="1793327539">
      <w:bodyDiv w:val="1"/>
      <w:marLeft w:val="0"/>
      <w:marRight w:val="0"/>
      <w:marTop w:val="0"/>
      <w:marBottom w:val="0"/>
      <w:divBdr>
        <w:top w:val="none" w:sz="0" w:space="0" w:color="auto"/>
        <w:left w:val="none" w:sz="0" w:space="0" w:color="auto"/>
        <w:bottom w:val="none" w:sz="0" w:space="0" w:color="auto"/>
        <w:right w:val="none" w:sz="0" w:space="0" w:color="auto"/>
      </w:divBdr>
    </w:div>
    <w:div w:id="1794400727">
      <w:bodyDiv w:val="1"/>
      <w:marLeft w:val="0"/>
      <w:marRight w:val="0"/>
      <w:marTop w:val="0"/>
      <w:marBottom w:val="0"/>
      <w:divBdr>
        <w:top w:val="none" w:sz="0" w:space="0" w:color="auto"/>
        <w:left w:val="none" w:sz="0" w:space="0" w:color="auto"/>
        <w:bottom w:val="none" w:sz="0" w:space="0" w:color="auto"/>
        <w:right w:val="none" w:sz="0" w:space="0" w:color="auto"/>
      </w:divBdr>
    </w:div>
    <w:div w:id="1794400915">
      <w:bodyDiv w:val="1"/>
      <w:marLeft w:val="0"/>
      <w:marRight w:val="0"/>
      <w:marTop w:val="0"/>
      <w:marBottom w:val="0"/>
      <w:divBdr>
        <w:top w:val="none" w:sz="0" w:space="0" w:color="auto"/>
        <w:left w:val="none" w:sz="0" w:space="0" w:color="auto"/>
        <w:bottom w:val="none" w:sz="0" w:space="0" w:color="auto"/>
        <w:right w:val="none" w:sz="0" w:space="0" w:color="auto"/>
      </w:divBdr>
    </w:div>
    <w:div w:id="1794791591">
      <w:bodyDiv w:val="1"/>
      <w:marLeft w:val="0"/>
      <w:marRight w:val="0"/>
      <w:marTop w:val="0"/>
      <w:marBottom w:val="0"/>
      <w:divBdr>
        <w:top w:val="none" w:sz="0" w:space="0" w:color="auto"/>
        <w:left w:val="none" w:sz="0" w:space="0" w:color="auto"/>
        <w:bottom w:val="none" w:sz="0" w:space="0" w:color="auto"/>
        <w:right w:val="none" w:sz="0" w:space="0" w:color="auto"/>
      </w:divBdr>
    </w:div>
    <w:div w:id="1795706708">
      <w:bodyDiv w:val="1"/>
      <w:marLeft w:val="0"/>
      <w:marRight w:val="0"/>
      <w:marTop w:val="0"/>
      <w:marBottom w:val="0"/>
      <w:divBdr>
        <w:top w:val="none" w:sz="0" w:space="0" w:color="auto"/>
        <w:left w:val="none" w:sz="0" w:space="0" w:color="auto"/>
        <w:bottom w:val="none" w:sz="0" w:space="0" w:color="auto"/>
        <w:right w:val="none" w:sz="0" w:space="0" w:color="auto"/>
      </w:divBdr>
    </w:div>
    <w:div w:id="1796871475">
      <w:bodyDiv w:val="1"/>
      <w:marLeft w:val="0"/>
      <w:marRight w:val="0"/>
      <w:marTop w:val="0"/>
      <w:marBottom w:val="0"/>
      <w:divBdr>
        <w:top w:val="none" w:sz="0" w:space="0" w:color="auto"/>
        <w:left w:val="none" w:sz="0" w:space="0" w:color="auto"/>
        <w:bottom w:val="none" w:sz="0" w:space="0" w:color="auto"/>
        <w:right w:val="none" w:sz="0" w:space="0" w:color="auto"/>
      </w:divBdr>
    </w:div>
    <w:div w:id="1798597104">
      <w:bodyDiv w:val="1"/>
      <w:marLeft w:val="0"/>
      <w:marRight w:val="0"/>
      <w:marTop w:val="0"/>
      <w:marBottom w:val="0"/>
      <w:divBdr>
        <w:top w:val="none" w:sz="0" w:space="0" w:color="auto"/>
        <w:left w:val="none" w:sz="0" w:space="0" w:color="auto"/>
        <w:bottom w:val="none" w:sz="0" w:space="0" w:color="auto"/>
        <w:right w:val="none" w:sz="0" w:space="0" w:color="auto"/>
      </w:divBdr>
    </w:div>
    <w:div w:id="1798912048">
      <w:bodyDiv w:val="1"/>
      <w:marLeft w:val="0"/>
      <w:marRight w:val="0"/>
      <w:marTop w:val="0"/>
      <w:marBottom w:val="0"/>
      <w:divBdr>
        <w:top w:val="none" w:sz="0" w:space="0" w:color="auto"/>
        <w:left w:val="none" w:sz="0" w:space="0" w:color="auto"/>
        <w:bottom w:val="none" w:sz="0" w:space="0" w:color="auto"/>
        <w:right w:val="none" w:sz="0" w:space="0" w:color="auto"/>
      </w:divBdr>
    </w:div>
    <w:div w:id="1800343906">
      <w:bodyDiv w:val="1"/>
      <w:marLeft w:val="0"/>
      <w:marRight w:val="0"/>
      <w:marTop w:val="0"/>
      <w:marBottom w:val="0"/>
      <w:divBdr>
        <w:top w:val="none" w:sz="0" w:space="0" w:color="auto"/>
        <w:left w:val="none" w:sz="0" w:space="0" w:color="auto"/>
        <w:bottom w:val="none" w:sz="0" w:space="0" w:color="auto"/>
        <w:right w:val="none" w:sz="0" w:space="0" w:color="auto"/>
      </w:divBdr>
    </w:div>
    <w:div w:id="1800956212">
      <w:bodyDiv w:val="1"/>
      <w:marLeft w:val="0"/>
      <w:marRight w:val="0"/>
      <w:marTop w:val="0"/>
      <w:marBottom w:val="0"/>
      <w:divBdr>
        <w:top w:val="none" w:sz="0" w:space="0" w:color="auto"/>
        <w:left w:val="none" w:sz="0" w:space="0" w:color="auto"/>
        <w:bottom w:val="none" w:sz="0" w:space="0" w:color="auto"/>
        <w:right w:val="none" w:sz="0" w:space="0" w:color="auto"/>
      </w:divBdr>
    </w:div>
    <w:div w:id="1803116679">
      <w:bodyDiv w:val="1"/>
      <w:marLeft w:val="0"/>
      <w:marRight w:val="0"/>
      <w:marTop w:val="0"/>
      <w:marBottom w:val="0"/>
      <w:divBdr>
        <w:top w:val="none" w:sz="0" w:space="0" w:color="auto"/>
        <w:left w:val="none" w:sz="0" w:space="0" w:color="auto"/>
        <w:bottom w:val="none" w:sz="0" w:space="0" w:color="auto"/>
        <w:right w:val="none" w:sz="0" w:space="0" w:color="auto"/>
      </w:divBdr>
    </w:div>
    <w:div w:id="1805123914">
      <w:bodyDiv w:val="1"/>
      <w:marLeft w:val="0"/>
      <w:marRight w:val="0"/>
      <w:marTop w:val="0"/>
      <w:marBottom w:val="0"/>
      <w:divBdr>
        <w:top w:val="none" w:sz="0" w:space="0" w:color="auto"/>
        <w:left w:val="none" w:sz="0" w:space="0" w:color="auto"/>
        <w:bottom w:val="none" w:sz="0" w:space="0" w:color="auto"/>
        <w:right w:val="none" w:sz="0" w:space="0" w:color="auto"/>
      </w:divBdr>
    </w:div>
    <w:div w:id="1805537666">
      <w:bodyDiv w:val="1"/>
      <w:marLeft w:val="0"/>
      <w:marRight w:val="0"/>
      <w:marTop w:val="0"/>
      <w:marBottom w:val="0"/>
      <w:divBdr>
        <w:top w:val="none" w:sz="0" w:space="0" w:color="auto"/>
        <w:left w:val="none" w:sz="0" w:space="0" w:color="auto"/>
        <w:bottom w:val="none" w:sz="0" w:space="0" w:color="auto"/>
        <w:right w:val="none" w:sz="0" w:space="0" w:color="auto"/>
      </w:divBdr>
    </w:div>
    <w:div w:id="1806434752">
      <w:bodyDiv w:val="1"/>
      <w:marLeft w:val="0"/>
      <w:marRight w:val="0"/>
      <w:marTop w:val="0"/>
      <w:marBottom w:val="0"/>
      <w:divBdr>
        <w:top w:val="none" w:sz="0" w:space="0" w:color="auto"/>
        <w:left w:val="none" w:sz="0" w:space="0" w:color="auto"/>
        <w:bottom w:val="none" w:sz="0" w:space="0" w:color="auto"/>
        <w:right w:val="none" w:sz="0" w:space="0" w:color="auto"/>
      </w:divBdr>
    </w:div>
    <w:div w:id="1807241381">
      <w:bodyDiv w:val="1"/>
      <w:marLeft w:val="0"/>
      <w:marRight w:val="0"/>
      <w:marTop w:val="0"/>
      <w:marBottom w:val="0"/>
      <w:divBdr>
        <w:top w:val="none" w:sz="0" w:space="0" w:color="auto"/>
        <w:left w:val="none" w:sz="0" w:space="0" w:color="auto"/>
        <w:bottom w:val="none" w:sz="0" w:space="0" w:color="auto"/>
        <w:right w:val="none" w:sz="0" w:space="0" w:color="auto"/>
      </w:divBdr>
    </w:div>
    <w:div w:id="1807430957">
      <w:bodyDiv w:val="1"/>
      <w:marLeft w:val="0"/>
      <w:marRight w:val="0"/>
      <w:marTop w:val="0"/>
      <w:marBottom w:val="0"/>
      <w:divBdr>
        <w:top w:val="none" w:sz="0" w:space="0" w:color="auto"/>
        <w:left w:val="none" w:sz="0" w:space="0" w:color="auto"/>
        <w:bottom w:val="none" w:sz="0" w:space="0" w:color="auto"/>
        <w:right w:val="none" w:sz="0" w:space="0" w:color="auto"/>
      </w:divBdr>
    </w:div>
    <w:div w:id="1807818341">
      <w:bodyDiv w:val="1"/>
      <w:marLeft w:val="0"/>
      <w:marRight w:val="0"/>
      <w:marTop w:val="0"/>
      <w:marBottom w:val="0"/>
      <w:divBdr>
        <w:top w:val="none" w:sz="0" w:space="0" w:color="auto"/>
        <w:left w:val="none" w:sz="0" w:space="0" w:color="auto"/>
        <w:bottom w:val="none" w:sz="0" w:space="0" w:color="auto"/>
        <w:right w:val="none" w:sz="0" w:space="0" w:color="auto"/>
      </w:divBdr>
    </w:div>
    <w:div w:id="1808082898">
      <w:bodyDiv w:val="1"/>
      <w:marLeft w:val="0"/>
      <w:marRight w:val="0"/>
      <w:marTop w:val="0"/>
      <w:marBottom w:val="0"/>
      <w:divBdr>
        <w:top w:val="none" w:sz="0" w:space="0" w:color="auto"/>
        <w:left w:val="none" w:sz="0" w:space="0" w:color="auto"/>
        <w:bottom w:val="none" w:sz="0" w:space="0" w:color="auto"/>
        <w:right w:val="none" w:sz="0" w:space="0" w:color="auto"/>
      </w:divBdr>
    </w:div>
    <w:div w:id="1809081024">
      <w:bodyDiv w:val="1"/>
      <w:marLeft w:val="0"/>
      <w:marRight w:val="0"/>
      <w:marTop w:val="0"/>
      <w:marBottom w:val="0"/>
      <w:divBdr>
        <w:top w:val="none" w:sz="0" w:space="0" w:color="auto"/>
        <w:left w:val="none" w:sz="0" w:space="0" w:color="auto"/>
        <w:bottom w:val="none" w:sz="0" w:space="0" w:color="auto"/>
        <w:right w:val="none" w:sz="0" w:space="0" w:color="auto"/>
      </w:divBdr>
    </w:div>
    <w:div w:id="1811358403">
      <w:bodyDiv w:val="1"/>
      <w:marLeft w:val="0"/>
      <w:marRight w:val="0"/>
      <w:marTop w:val="0"/>
      <w:marBottom w:val="0"/>
      <w:divBdr>
        <w:top w:val="none" w:sz="0" w:space="0" w:color="auto"/>
        <w:left w:val="none" w:sz="0" w:space="0" w:color="auto"/>
        <w:bottom w:val="none" w:sz="0" w:space="0" w:color="auto"/>
        <w:right w:val="none" w:sz="0" w:space="0" w:color="auto"/>
      </w:divBdr>
    </w:div>
    <w:div w:id="1811360329">
      <w:bodyDiv w:val="1"/>
      <w:marLeft w:val="0"/>
      <w:marRight w:val="0"/>
      <w:marTop w:val="0"/>
      <w:marBottom w:val="0"/>
      <w:divBdr>
        <w:top w:val="none" w:sz="0" w:space="0" w:color="auto"/>
        <w:left w:val="none" w:sz="0" w:space="0" w:color="auto"/>
        <w:bottom w:val="none" w:sz="0" w:space="0" w:color="auto"/>
        <w:right w:val="none" w:sz="0" w:space="0" w:color="auto"/>
      </w:divBdr>
    </w:div>
    <w:div w:id="1812558828">
      <w:bodyDiv w:val="1"/>
      <w:marLeft w:val="0"/>
      <w:marRight w:val="0"/>
      <w:marTop w:val="0"/>
      <w:marBottom w:val="0"/>
      <w:divBdr>
        <w:top w:val="none" w:sz="0" w:space="0" w:color="auto"/>
        <w:left w:val="none" w:sz="0" w:space="0" w:color="auto"/>
        <w:bottom w:val="none" w:sz="0" w:space="0" w:color="auto"/>
        <w:right w:val="none" w:sz="0" w:space="0" w:color="auto"/>
      </w:divBdr>
    </w:div>
    <w:div w:id="1812596860">
      <w:bodyDiv w:val="1"/>
      <w:marLeft w:val="0"/>
      <w:marRight w:val="0"/>
      <w:marTop w:val="0"/>
      <w:marBottom w:val="0"/>
      <w:divBdr>
        <w:top w:val="none" w:sz="0" w:space="0" w:color="auto"/>
        <w:left w:val="none" w:sz="0" w:space="0" w:color="auto"/>
        <w:bottom w:val="none" w:sz="0" w:space="0" w:color="auto"/>
        <w:right w:val="none" w:sz="0" w:space="0" w:color="auto"/>
      </w:divBdr>
    </w:div>
    <w:div w:id="1812866421">
      <w:bodyDiv w:val="1"/>
      <w:marLeft w:val="0"/>
      <w:marRight w:val="0"/>
      <w:marTop w:val="0"/>
      <w:marBottom w:val="0"/>
      <w:divBdr>
        <w:top w:val="none" w:sz="0" w:space="0" w:color="auto"/>
        <w:left w:val="none" w:sz="0" w:space="0" w:color="auto"/>
        <w:bottom w:val="none" w:sz="0" w:space="0" w:color="auto"/>
        <w:right w:val="none" w:sz="0" w:space="0" w:color="auto"/>
      </w:divBdr>
    </w:div>
    <w:div w:id="1815103233">
      <w:bodyDiv w:val="1"/>
      <w:marLeft w:val="0"/>
      <w:marRight w:val="0"/>
      <w:marTop w:val="0"/>
      <w:marBottom w:val="0"/>
      <w:divBdr>
        <w:top w:val="none" w:sz="0" w:space="0" w:color="auto"/>
        <w:left w:val="none" w:sz="0" w:space="0" w:color="auto"/>
        <w:bottom w:val="none" w:sz="0" w:space="0" w:color="auto"/>
        <w:right w:val="none" w:sz="0" w:space="0" w:color="auto"/>
      </w:divBdr>
    </w:div>
    <w:div w:id="1816407507">
      <w:bodyDiv w:val="1"/>
      <w:marLeft w:val="0"/>
      <w:marRight w:val="0"/>
      <w:marTop w:val="0"/>
      <w:marBottom w:val="0"/>
      <w:divBdr>
        <w:top w:val="none" w:sz="0" w:space="0" w:color="auto"/>
        <w:left w:val="none" w:sz="0" w:space="0" w:color="auto"/>
        <w:bottom w:val="none" w:sz="0" w:space="0" w:color="auto"/>
        <w:right w:val="none" w:sz="0" w:space="0" w:color="auto"/>
      </w:divBdr>
    </w:div>
    <w:div w:id="1817449755">
      <w:bodyDiv w:val="1"/>
      <w:marLeft w:val="0"/>
      <w:marRight w:val="0"/>
      <w:marTop w:val="0"/>
      <w:marBottom w:val="0"/>
      <w:divBdr>
        <w:top w:val="none" w:sz="0" w:space="0" w:color="auto"/>
        <w:left w:val="none" w:sz="0" w:space="0" w:color="auto"/>
        <w:bottom w:val="none" w:sz="0" w:space="0" w:color="auto"/>
        <w:right w:val="none" w:sz="0" w:space="0" w:color="auto"/>
      </w:divBdr>
    </w:div>
    <w:div w:id="1817991403">
      <w:bodyDiv w:val="1"/>
      <w:marLeft w:val="0"/>
      <w:marRight w:val="0"/>
      <w:marTop w:val="0"/>
      <w:marBottom w:val="0"/>
      <w:divBdr>
        <w:top w:val="none" w:sz="0" w:space="0" w:color="auto"/>
        <w:left w:val="none" w:sz="0" w:space="0" w:color="auto"/>
        <w:bottom w:val="none" w:sz="0" w:space="0" w:color="auto"/>
        <w:right w:val="none" w:sz="0" w:space="0" w:color="auto"/>
      </w:divBdr>
    </w:div>
    <w:div w:id="1821921262">
      <w:bodyDiv w:val="1"/>
      <w:marLeft w:val="0"/>
      <w:marRight w:val="0"/>
      <w:marTop w:val="0"/>
      <w:marBottom w:val="0"/>
      <w:divBdr>
        <w:top w:val="none" w:sz="0" w:space="0" w:color="auto"/>
        <w:left w:val="none" w:sz="0" w:space="0" w:color="auto"/>
        <w:bottom w:val="none" w:sz="0" w:space="0" w:color="auto"/>
        <w:right w:val="none" w:sz="0" w:space="0" w:color="auto"/>
      </w:divBdr>
    </w:div>
    <w:div w:id="1822650019">
      <w:bodyDiv w:val="1"/>
      <w:marLeft w:val="0"/>
      <w:marRight w:val="0"/>
      <w:marTop w:val="0"/>
      <w:marBottom w:val="0"/>
      <w:divBdr>
        <w:top w:val="none" w:sz="0" w:space="0" w:color="auto"/>
        <w:left w:val="none" w:sz="0" w:space="0" w:color="auto"/>
        <w:bottom w:val="none" w:sz="0" w:space="0" w:color="auto"/>
        <w:right w:val="none" w:sz="0" w:space="0" w:color="auto"/>
      </w:divBdr>
    </w:div>
    <w:div w:id="1823502877">
      <w:bodyDiv w:val="1"/>
      <w:marLeft w:val="0"/>
      <w:marRight w:val="0"/>
      <w:marTop w:val="0"/>
      <w:marBottom w:val="0"/>
      <w:divBdr>
        <w:top w:val="none" w:sz="0" w:space="0" w:color="auto"/>
        <w:left w:val="none" w:sz="0" w:space="0" w:color="auto"/>
        <w:bottom w:val="none" w:sz="0" w:space="0" w:color="auto"/>
        <w:right w:val="none" w:sz="0" w:space="0" w:color="auto"/>
      </w:divBdr>
    </w:div>
    <w:div w:id="1823809724">
      <w:bodyDiv w:val="1"/>
      <w:marLeft w:val="0"/>
      <w:marRight w:val="0"/>
      <w:marTop w:val="0"/>
      <w:marBottom w:val="0"/>
      <w:divBdr>
        <w:top w:val="none" w:sz="0" w:space="0" w:color="auto"/>
        <w:left w:val="none" w:sz="0" w:space="0" w:color="auto"/>
        <w:bottom w:val="none" w:sz="0" w:space="0" w:color="auto"/>
        <w:right w:val="none" w:sz="0" w:space="0" w:color="auto"/>
      </w:divBdr>
    </w:div>
    <w:div w:id="1825780021">
      <w:bodyDiv w:val="1"/>
      <w:marLeft w:val="0"/>
      <w:marRight w:val="0"/>
      <w:marTop w:val="0"/>
      <w:marBottom w:val="0"/>
      <w:divBdr>
        <w:top w:val="none" w:sz="0" w:space="0" w:color="auto"/>
        <w:left w:val="none" w:sz="0" w:space="0" w:color="auto"/>
        <w:bottom w:val="none" w:sz="0" w:space="0" w:color="auto"/>
        <w:right w:val="none" w:sz="0" w:space="0" w:color="auto"/>
      </w:divBdr>
    </w:div>
    <w:div w:id="1826243457">
      <w:bodyDiv w:val="1"/>
      <w:marLeft w:val="0"/>
      <w:marRight w:val="0"/>
      <w:marTop w:val="0"/>
      <w:marBottom w:val="0"/>
      <w:divBdr>
        <w:top w:val="none" w:sz="0" w:space="0" w:color="auto"/>
        <w:left w:val="none" w:sz="0" w:space="0" w:color="auto"/>
        <w:bottom w:val="none" w:sz="0" w:space="0" w:color="auto"/>
        <w:right w:val="none" w:sz="0" w:space="0" w:color="auto"/>
      </w:divBdr>
    </w:div>
    <w:div w:id="1827355491">
      <w:bodyDiv w:val="1"/>
      <w:marLeft w:val="0"/>
      <w:marRight w:val="0"/>
      <w:marTop w:val="0"/>
      <w:marBottom w:val="0"/>
      <w:divBdr>
        <w:top w:val="none" w:sz="0" w:space="0" w:color="auto"/>
        <w:left w:val="none" w:sz="0" w:space="0" w:color="auto"/>
        <w:bottom w:val="none" w:sz="0" w:space="0" w:color="auto"/>
        <w:right w:val="none" w:sz="0" w:space="0" w:color="auto"/>
      </w:divBdr>
    </w:div>
    <w:div w:id="1829398875">
      <w:bodyDiv w:val="1"/>
      <w:marLeft w:val="0"/>
      <w:marRight w:val="0"/>
      <w:marTop w:val="0"/>
      <w:marBottom w:val="0"/>
      <w:divBdr>
        <w:top w:val="none" w:sz="0" w:space="0" w:color="auto"/>
        <w:left w:val="none" w:sz="0" w:space="0" w:color="auto"/>
        <w:bottom w:val="none" w:sz="0" w:space="0" w:color="auto"/>
        <w:right w:val="none" w:sz="0" w:space="0" w:color="auto"/>
      </w:divBdr>
    </w:div>
    <w:div w:id="1829595491">
      <w:bodyDiv w:val="1"/>
      <w:marLeft w:val="0"/>
      <w:marRight w:val="0"/>
      <w:marTop w:val="0"/>
      <w:marBottom w:val="0"/>
      <w:divBdr>
        <w:top w:val="none" w:sz="0" w:space="0" w:color="auto"/>
        <w:left w:val="none" w:sz="0" w:space="0" w:color="auto"/>
        <w:bottom w:val="none" w:sz="0" w:space="0" w:color="auto"/>
        <w:right w:val="none" w:sz="0" w:space="0" w:color="auto"/>
      </w:divBdr>
    </w:div>
    <w:div w:id="1830630479">
      <w:bodyDiv w:val="1"/>
      <w:marLeft w:val="0"/>
      <w:marRight w:val="0"/>
      <w:marTop w:val="0"/>
      <w:marBottom w:val="0"/>
      <w:divBdr>
        <w:top w:val="none" w:sz="0" w:space="0" w:color="auto"/>
        <w:left w:val="none" w:sz="0" w:space="0" w:color="auto"/>
        <w:bottom w:val="none" w:sz="0" w:space="0" w:color="auto"/>
        <w:right w:val="none" w:sz="0" w:space="0" w:color="auto"/>
      </w:divBdr>
    </w:div>
    <w:div w:id="1831015959">
      <w:bodyDiv w:val="1"/>
      <w:marLeft w:val="0"/>
      <w:marRight w:val="0"/>
      <w:marTop w:val="0"/>
      <w:marBottom w:val="0"/>
      <w:divBdr>
        <w:top w:val="none" w:sz="0" w:space="0" w:color="auto"/>
        <w:left w:val="none" w:sz="0" w:space="0" w:color="auto"/>
        <w:bottom w:val="none" w:sz="0" w:space="0" w:color="auto"/>
        <w:right w:val="none" w:sz="0" w:space="0" w:color="auto"/>
      </w:divBdr>
    </w:div>
    <w:div w:id="1831868176">
      <w:bodyDiv w:val="1"/>
      <w:marLeft w:val="0"/>
      <w:marRight w:val="0"/>
      <w:marTop w:val="0"/>
      <w:marBottom w:val="0"/>
      <w:divBdr>
        <w:top w:val="none" w:sz="0" w:space="0" w:color="auto"/>
        <w:left w:val="none" w:sz="0" w:space="0" w:color="auto"/>
        <w:bottom w:val="none" w:sz="0" w:space="0" w:color="auto"/>
        <w:right w:val="none" w:sz="0" w:space="0" w:color="auto"/>
      </w:divBdr>
    </w:div>
    <w:div w:id="1835224441">
      <w:bodyDiv w:val="1"/>
      <w:marLeft w:val="0"/>
      <w:marRight w:val="0"/>
      <w:marTop w:val="0"/>
      <w:marBottom w:val="0"/>
      <w:divBdr>
        <w:top w:val="none" w:sz="0" w:space="0" w:color="auto"/>
        <w:left w:val="none" w:sz="0" w:space="0" w:color="auto"/>
        <w:bottom w:val="none" w:sz="0" w:space="0" w:color="auto"/>
        <w:right w:val="none" w:sz="0" w:space="0" w:color="auto"/>
      </w:divBdr>
    </w:div>
    <w:div w:id="1836339791">
      <w:bodyDiv w:val="1"/>
      <w:marLeft w:val="0"/>
      <w:marRight w:val="0"/>
      <w:marTop w:val="0"/>
      <w:marBottom w:val="0"/>
      <w:divBdr>
        <w:top w:val="none" w:sz="0" w:space="0" w:color="auto"/>
        <w:left w:val="none" w:sz="0" w:space="0" w:color="auto"/>
        <w:bottom w:val="none" w:sz="0" w:space="0" w:color="auto"/>
        <w:right w:val="none" w:sz="0" w:space="0" w:color="auto"/>
      </w:divBdr>
    </w:div>
    <w:div w:id="1837575440">
      <w:bodyDiv w:val="1"/>
      <w:marLeft w:val="0"/>
      <w:marRight w:val="0"/>
      <w:marTop w:val="0"/>
      <w:marBottom w:val="0"/>
      <w:divBdr>
        <w:top w:val="none" w:sz="0" w:space="0" w:color="auto"/>
        <w:left w:val="none" w:sz="0" w:space="0" w:color="auto"/>
        <w:bottom w:val="none" w:sz="0" w:space="0" w:color="auto"/>
        <w:right w:val="none" w:sz="0" w:space="0" w:color="auto"/>
      </w:divBdr>
    </w:div>
    <w:div w:id="1838033613">
      <w:bodyDiv w:val="1"/>
      <w:marLeft w:val="0"/>
      <w:marRight w:val="0"/>
      <w:marTop w:val="0"/>
      <w:marBottom w:val="0"/>
      <w:divBdr>
        <w:top w:val="none" w:sz="0" w:space="0" w:color="auto"/>
        <w:left w:val="none" w:sz="0" w:space="0" w:color="auto"/>
        <w:bottom w:val="none" w:sz="0" w:space="0" w:color="auto"/>
        <w:right w:val="none" w:sz="0" w:space="0" w:color="auto"/>
      </w:divBdr>
    </w:div>
    <w:div w:id="1838760651">
      <w:bodyDiv w:val="1"/>
      <w:marLeft w:val="0"/>
      <w:marRight w:val="0"/>
      <w:marTop w:val="0"/>
      <w:marBottom w:val="0"/>
      <w:divBdr>
        <w:top w:val="none" w:sz="0" w:space="0" w:color="auto"/>
        <w:left w:val="none" w:sz="0" w:space="0" w:color="auto"/>
        <w:bottom w:val="none" w:sz="0" w:space="0" w:color="auto"/>
        <w:right w:val="none" w:sz="0" w:space="0" w:color="auto"/>
      </w:divBdr>
    </w:div>
    <w:div w:id="1840387634">
      <w:bodyDiv w:val="1"/>
      <w:marLeft w:val="0"/>
      <w:marRight w:val="0"/>
      <w:marTop w:val="0"/>
      <w:marBottom w:val="0"/>
      <w:divBdr>
        <w:top w:val="none" w:sz="0" w:space="0" w:color="auto"/>
        <w:left w:val="none" w:sz="0" w:space="0" w:color="auto"/>
        <w:bottom w:val="none" w:sz="0" w:space="0" w:color="auto"/>
        <w:right w:val="none" w:sz="0" w:space="0" w:color="auto"/>
      </w:divBdr>
    </w:div>
    <w:div w:id="1841774872">
      <w:bodyDiv w:val="1"/>
      <w:marLeft w:val="0"/>
      <w:marRight w:val="0"/>
      <w:marTop w:val="0"/>
      <w:marBottom w:val="0"/>
      <w:divBdr>
        <w:top w:val="none" w:sz="0" w:space="0" w:color="auto"/>
        <w:left w:val="none" w:sz="0" w:space="0" w:color="auto"/>
        <w:bottom w:val="none" w:sz="0" w:space="0" w:color="auto"/>
        <w:right w:val="none" w:sz="0" w:space="0" w:color="auto"/>
      </w:divBdr>
    </w:div>
    <w:div w:id="1842234513">
      <w:bodyDiv w:val="1"/>
      <w:marLeft w:val="0"/>
      <w:marRight w:val="0"/>
      <w:marTop w:val="0"/>
      <w:marBottom w:val="0"/>
      <w:divBdr>
        <w:top w:val="none" w:sz="0" w:space="0" w:color="auto"/>
        <w:left w:val="none" w:sz="0" w:space="0" w:color="auto"/>
        <w:bottom w:val="none" w:sz="0" w:space="0" w:color="auto"/>
        <w:right w:val="none" w:sz="0" w:space="0" w:color="auto"/>
      </w:divBdr>
    </w:div>
    <w:div w:id="1842310705">
      <w:bodyDiv w:val="1"/>
      <w:marLeft w:val="0"/>
      <w:marRight w:val="0"/>
      <w:marTop w:val="0"/>
      <w:marBottom w:val="0"/>
      <w:divBdr>
        <w:top w:val="none" w:sz="0" w:space="0" w:color="auto"/>
        <w:left w:val="none" w:sz="0" w:space="0" w:color="auto"/>
        <w:bottom w:val="none" w:sz="0" w:space="0" w:color="auto"/>
        <w:right w:val="none" w:sz="0" w:space="0" w:color="auto"/>
      </w:divBdr>
    </w:div>
    <w:div w:id="1842500546">
      <w:bodyDiv w:val="1"/>
      <w:marLeft w:val="0"/>
      <w:marRight w:val="0"/>
      <w:marTop w:val="0"/>
      <w:marBottom w:val="0"/>
      <w:divBdr>
        <w:top w:val="none" w:sz="0" w:space="0" w:color="auto"/>
        <w:left w:val="none" w:sz="0" w:space="0" w:color="auto"/>
        <w:bottom w:val="none" w:sz="0" w:space="0" w:color="auto"/>
        <w:right w:val="none" w:sz="0" w:space="0" w:color="auto"/>
      </w:divBdr>
    </w:div>
    <w:div w:id="1845822943">
      <w:bodyDiv w:val="1"/>
      <w:marLeft w:val="0"/>
      <w:marRight w:val="0"/>
      <w:marTop w:val="0"/>
      <w:marBottom w:val="0"/>
      <w:divBdr>
        <w:top w:val="none" w:sz="0" w:space="0" w:color="auto"/>
        <w:left w:val="none" w:sz="0" w:space="0" w:color="auto"/>
        <w:bottom w:val="none" w:sz="0" w:space="0" w:color="auto"/>
        <w:right w:val="none" w:sz="0" w:space="0" w:color="auto"/>
      </w:divBdr>
    </w:div>
    <w:div w:id="1846092512">
      <w:bodyDiv w:val="1"/>
      <w:marLeft w:val="0"/>
      <w:marRight w:val="0"/>
      <w:marTop w:val="0"/>
      <w:marBottom w:val="0"/>
      <w:divBdr>
        <w:top w:val="none" w:sz="0" w:space="0" w:color="auto"/>
        <w:left w:val="none" w:sz="0" w:space="0" w:color="auto"/>
        <w:bottom w:val="none" w:sz="0" w:space="0" w:color="auto"/>
        <w:right w:val="none" w:sz="0" w:space="0" w:color="auto"/>
      </w:divBdr>
    </w:div>
    <w:div w:id="1846359260">
      <w:bodyDiv w:val="1"/>
      <w:marLeft w:val="0"/>
      <w:marRight w:val="0"/>
      <w:marTop w:val="0"/>
      <w:marBottom w:val="0"/>
      <w:divBdr>
        <w:top w:val="none" w:sz="0" w:space="0" w:color="auto"/>
        <w:left w:val="none" w:sz="0" w:space="0" w:color="auto"/>
        <w:bottom w:val="none" w:sz="0" w:space="0" w:color="auto"/>
        <w:right w:val="none" w:sz="0" w:space="0" w:color="auto"/>
      </w:divBdr>
    </w:div>
    <w:div w:id="1847210273">
      <w:bodyDiv w:val="1"/>
      <w:marLeft w:val="0"/>
      <w:marRight w:val="0"/>
      <w:marTop w:val="0"/>
      <w:marBottom w:val="0"/>
      <w:divBdr>
        <w:top w:val="none" w:sz="0" w:space="0" w:color="auto"/>
        <w:left w:val="none" w:sz="0" w:space="0" w:color="auto"/>
        <w:bottom w:val="none" w:sz="0" w:space="0" w:color="auto"/>
        <w:right w:val="none" w:sz="0" w:space="0" w:color="auto"/>
      </w:divBdr>
    </w:div>
    <w:div w:id="1847668538">
      <w:bodyDiv w:val="1"/>
      <w:marLeft w:val="0"/>
      <w:marRight w:val="0"/>
      <w:marTop w:val="0"/>
      <w:marBottom w:val="0"/>
      <w:divBdr>
        <w:top w:val="none" w:sz="0" w:space="0" w:color="auto"/>
        <w:left w:val="none" w:sz="0" w:space="0" w:color="auto"/>
        <w:bottom w:val="none" w:sz="0" w:space="0" w:color="auto"/>
        <w:right w:val="none" w:sz="0" w:space="0" w:color="auto"/>
      </w:divBdr>
    </w:div>
    <w:div w:id="1855074300">
      <w:bodyDiv w:val="1"/>
      <w:marLeft w:val="0"/>
      <w:marRight w:val="0"/>
      <w:marTop w:val="0"/>
      <w:marBottom w:val="0"/>
      <w:divBdr>
        <w:top w:val="none" w:sz="0" w:space="0" w:color="auto"/>
        <w:left w:val="none" w:sz="0" w:space="0" w:color="auto"/>
        <w:bottom w:val="none" w:sz="0" w:space="0" w:color="auto"/>
        <w:right w:val="none" w:sz="0" w:space="0" w:color="auto"/>
      </w:divBdr>
    </w:div>
    <w:div w:id="1855916985">
      <w:bodyDiv w:val="1"/>
      <w:marLeft w:val="0"/>
      <w:marRight w:val="0"/>
      <w:marTop w:val="0"/>
      <w:marBottom w:val="0"/>
      <w:divBdr>
        <w:top w:val="none" w:sz="0" w:space="0" w:color="auto"/>
        <w:left w:val="none" w:sz="0" w:space="0" w:color="auto"/>
        <w:bottom w:val="none" w:sz="0" w:space="0" w:color="auto"/>
        <w:right w:val="none" w:sz="0" w:space="0" w:color="auto"/>
      </w:divBdr>
    </w:div>
    <w:div w:id="1857622141">
      <w:bodyDiv w:val="1"/>
      <w:marLeft w:val="0"/>
      <w:marRight w:val="0"/>
      <w:marTop w:val="0"/>
      <w:marBottom w:val="0"/>
      <w:divBdr>
        <w:top w:val="none" w:sz="0" w:space="0" w:color="auto"/>
        <w:left w:val="none" w:sz="0" w:space="0" w:color="auto"/>
        <w:bottom w:val="none" w:sz="0" w:space="0" w:color="auto"/>
        <w:right w:val="none" w:sz="0" w:space="0" w:color="auto"/>
      </w:divBdr>
    </w:div>
    <w:div w:id="1857770199">
      <w:bodyDiv w:val="1"/>
      <w:marLeft w:val="0"/>
      <w:marRight w:val="0"/>
      <w:marTop w:val="0"/>
      <w:marBottom w:val="0"/>
      <w:divBdr>
        <w:top w:val="none" w:sz="0" w:space="0" w:color="auto"/>
        <w:left w:val="none" w:sz="0" w:space="0" w:color="auto"/>
        <w:bottom w:val="none" w:sz="0" w:space="0" w:color="auto"/>
        <w:right w:val="none" w:sz="0" w:space="0" w:color="auto"/>
      </w:divBdr>
    </w:div>
    <w:div w:id="1858274525">
      <w:bodyDiv w:val="1"/>
      <w:marLeft w:val="0"/>
      <w:marRight w:val="0"/>
      <w:marTop w:val="0"/>
      <w:marBottom w:val="0"/>
      <w:divBdr>
        <w:top w:val="none" w:sz="0" w:space="0" w:color="auto"/>
        <w:left w:val="none" w:sz="0" w:space="0" w:color="auto"/>
        <w:bottom w:val="none" w:sz="0" w:space="0" w:color="auto"/>
        <w:right w:val="none" w:sz="0" w:space="0" w:color="auto"/>
      </w:divBdr>
    </w:div>
    <w:div w:id="1858499390">
      <w:bodyDiv w:val="1"/>
      <w:marLeft w:val="0"/>
      <w:marRight w:val="0"/>
      <w:marTop w:val="0"/>
      <w:marBottom w:val="0"/>
      <w:divBdr>
        <w:top w:val="none" w:sz="0" w:space="0" w:color="auto"/>
        <w:left w:val="none" w:sz="0" w:space="0" w:color="auto"/>
        <w:bottom w:val="none" w:sz="0" w:space="0" w:color="auto"/>
        <w:right w:val="none" w:sz="0" w:space="0" w:color="auto"/>
      </w:divBdr>
    </w:div>
    <w:div w:id="1858932539">
      <w:bodyDiv w:val="1"/>
      <w:marLeft w:val="0"/>
      <w:marRight w:val="0"/>
      <w:marTop w:val="0"/>
      <w:marBottom w:val="0"/>
      <w:divBdr>
        <w:top w:val="none" w:sz="0" w:space="0" w:color="auto"/>
        <w:left w:val="none" w:sz="0" w:space="0" w:color="auto"/>
        <w:bottom w:val="none" w:sz="0" w:space="0" w:color="auto"/>
        <w:right w:val="none" w:sz="0" w:space="0" w:color="auto"/>
      </w:divBdr>
    </w:div>
    <w:div w:id="1860923196">
      <w:bodyDiv w:val="1"/>
      <w:marLeft w:val="0"/>
      <w:marRight w:val="0"/>
      <w:marTop w:val="0"/>
      <w:marBottom w:val="0"/>
      <w:divBdr>
        <w:top w:val="none" w:sz="0" w:space="0" w:color="auto"/>
        <w:left w:val="none" w:sz="0" w:space="0" w:color="auto"/>
        <w:bottom w:val="none" w:sz="0" w:space="0" w:color="auto"/>
        <w:right w:val="none" w:sz="0" w:space="0" w:color="auto"/>
      </w:divBdr>
    </w:div>
    <w:div w:id="1864047659">
      <w:bodyDiv w:val="1"/>
      <w:marLeft w:val="0"/>
      <w:marRight w:val="0"/>
      <w:marTop w:val="0"/>
      <w:marBottom w:val="0"/>
      <w:divBdr>
        <w:top w:val="none" w:sz="0" w:space="0" w:color="auto"/>
        <w:left w:val="none" w:sz="0" w:space="0" w:color="auto"/>
        <w:bottom w:val="none" w:sz="0" w:space="0" w:color="auto"/>
        <w:right w:val="none" w:sz="0" w:space="0" w:color="auto"/>
      </w:divBdr>
    </w:div>
    <w:div w:id="1865943412">
      <w:bodyDiv w:val="1"/>
      <w:marLeft w:val="0"/>
      <w:marRight w:val="0"/>
      <w:marTop w:val="0"/>
      <w:marBottom w:val="0"/>
      <w:divBdr>
        <w:top w:val="none" w:sz="0" w:space="0" w:color="auto"/>
        <w:left w:val="none" w:sz="0" w:space="0" w:color="auto"/>
        <w:bottom w:val="none" w:sz="0" w:space="0" w:color="auto"/>
        <w:right w:val="none" w:sz="0" w:space="0" w:color="auto"/>
      </w:divBdr>
      <w:divsChild>
        <w:div w:id="463348518">
          <w:marLeft w:val="0"/>
          <w:marRight w:val="0"/>
          <w:marTop w:val="0"/>
          <w:marBottom w:val="0"/>
          <w:divBdr>
            <w:top w:val="none" w:sz="0" w:space="0" w:color="auto"/>
            <w:left w:val="none" w:sz="0" w:space="0" w:color="auto"/>
            <w:bottom w:val="none" w:sz="0" w:space="0" w:color="auto"/>
            <w:right w:val="none" w:sz="0" w:space="0" w:color="auto"/>
          </w:divBdr>
          <w:divsChild>
            <w:div w:id="55082380">
              <w:marLeft w:val="0"/>
              <w:marRight w:val="0"/>
              <w:marTop w:val="0"/>
              <w:marBottom w:val="0"/>
              <w:divBdr>
                <w:top w:val="none" w:sz="0" w:space="0" w:color="auto"/>
                <w:left w:val="none" w:sz="0" w:space="0" w:color="auto"/>
                <w:bottom w:val="none" w:sz="0" w:space="0" w:color="auto"/>
                <w:right w:val="none" w:sz="0" w:space="0" w:color="auto"/>
              </w:divBdr>
              <w:divsChild>
                <w:div w:id="2048293897">
                  <w:marLeft w:val="0"/>
                  <w:marRight w:val="0"/>
                  <w:marTop w:val="0"/>
                  <w:marBottom w:val="0"/>
                  <w:divBdr>
                    <w:top w:val="none" w:sz="0" w:space="0" w:color="auto"/>
                    <w:left w:val="none" w:sz="0" w:space="0" w:color="auto"/>
                    <w:bottom w:val="none" w:sz="0" w:space="0" w:color="auto"/>
                    <w:right w:val="none" w:sz="0" w:space="0" w:color="auto"/>
                  </w:divBdr>
                  <w:divsChild>
                    <w:div w:id="191970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32185">
      <w:bodyDiv w:val="1"/>
      <w:marLeft w:val="0"/>
      <w:marRight w:val="0"/>
      <w:marTop w:val="0"/>
      <w:marBottom w:val="0"/>
      <w:divBdr>
        <w:top w:val="none" w:sz="0" w:space="0" w:color="auto"/>
        <w:left w:val="none" w:sz="0" w:space="0" w:color="auto"/>
        <w:bottom w:val="none" w:sz="0" w:space="0" w:color="auto"/>
        <w:right w:val="none" w:sz="0" w:space="0" w:color="auto"/>
      </w:divBdr>
    </w:div>
    <w:div w:id="1869247303">
      <w:bodyDiv w:val="1"/>
      <w:marLeft w:val="0"/>
      <w:marRight w:val="0"/>
      <w:marTop w:val="0"/>
      <w:marBottom w:val="0"/>
      <w:divBdr>
        <w:top w:val="none" w:sz="0" w:space="0" w:color="auto"/>
        <w:left w:val="none" w:sz="0" w:space="0" w:color="auto"/>
        <w:bottom w:val="none" w:sz="0" w:space="0" w:color="auto"/>
        <w:right w:val="none" w:sz="0" w:space="0" w:color="auto"/>
      </w:divBdr>
    </w:div>
    <w:div w:id="1870095970">
      <w:bodyDiv w:val="1"/>
      <w:marLeft w:val="0"/>
      <w:marRight w:val="0"/>
      <w:marTop w:val="0"/>
      <w:marBottom w:val="0"/>
      <w:divBdr>
        <w:top w:val="none" w:sz="0" w:space="0" w:color="auto"/>
        <w:left w:val="none" w:sz="0" w:space="0" w:color="auto"/>
        <w:bottom w:val="none" w:sz="0" w:space="0" w:color="auto"/>
        <w:right w:val="none" w:sz="0" w:space="0" w:color="auto"/>
      </w:divBdr>
    </w:div>
    <w:div w:id="1871062153">
      <w:bodyDiv w:val="1"/>
      <w:marLeft w:val="0"/>
      <w:marRight w:val="0"/>
      <w:marTop w:val="0"/>
      <w:marBottom w:val="0"/>
      <w:divBdr>
        <w:top w:val="none" w:sz="0" w:space="0" w:color="auto"/>
        <w:left w:val="none" w:sz="0" w:space="0" w:color="auto"/>
        <w:bottom w:val="none" w:sz="0" w:space="0" w:color="auto"/>
        <w:right w:val="none" w:sz="0" w:space="0" w:color="auto"/>
      </w:divBdr>
    </w:div>
    <w:div w:id="1871792942">
      <w:bodyDiv w:val="1"/>
      <w:marLeft w:val="0"/>
      <w:marRight w:val="0"/>
      <w:marTop w:val="0"/>
      <w:marBottom w:val="0"/>
      <w:divBdr>
        <w:top w:val="none" w:sz="0" w:space="0" w:color="auto"/>
        <w:left w:val="none" w:sz="0" w:space="0" w:color="auto"/>
        <w:bottom w:val="none" w:sz="0" w:space="0" w:color="auto"/>
        <w:right w:val="none" w:sz="0" w:space="0" w:color="auto"/>
      </w:divBdr>
    </w:div>
    <w:div w:id="1872254785">
      <w:bodyDiv w:val="1"/>
      <w:marLeft w:val="0"/>
      <w:marRight w:val="0"/>
      <w:marTop w:val="0"/>
      <w:marBottom w:val="0"/>
      <w:divBdr>
        <w:top w:val="none" w:sz="0" w:space="0" w:color="auto"/>
        <w:left w:val="none" w:sz="0" w:space="0" w:color="auto"/>
        <w:bottom w:val="none" w:sz="0" w:space="0" w:color="auto"/>
        <w:right w:val="none" w:sz="0" w:space="0" w:color="auto"/>
      </w:divBdr>
    </w:div>
    <w:div w:id="1872256730">
      <w:bodyDiv w:val="1"/>
      <w:marLeft w:val="0"/>
      <w:marRight w:val="0"/>
      <w:marTop w:val="0"/>
      <w:marBottom w:val="0"/>
      <w:divBdr>
        <w:top w:val="none" w:sz="0" w:space="0" w:color="auto"/>
        <w:left w:val="none" w:sz="0" w:space="0" w:color="auto"/>
        <w:bottom w:val="none" w:sz="0" w:space="0" w:color="auto"/>
        <w:right w:val="none" w:sz="0" w:space="0" w:color="auto"/>
      </w:divBdr>
    </w:div>
    <w:div w:id="1873610360">
      <w:bodyDiv w:val="1"/>
      <w:marLeft w:val="0"/>
      <w:marRight w:val="0"/>
      <w:marTop w:val="0"/>
      <w:marBottom w:val="0"/>
      <w:divBdr>
        <w:top w:val="none" w:sz="0" w:space="0" w:color="auto"/>
        <w:left w:val="none" w:sz="0" w:space="0" w:color="auto"/>
        <w:bottom w:val="none" w:sz="0" w:space="0" w:color="auto"/>
        <w:right w:val="none" w:sz="0" w:space="0" w:color="auto"/>
      </w:divBdr>
    </w:div>
    <w:div w:id="1874808044">
      <w:bodyDiv w:val="1"/>
      <w:marLeft w:val="0"/>
      <w:marRight w:val="0"/>
      <w:marTop w:val="0"/>
      <w:marBottom w:val="0"/>
      <w:divBdr>
        <w:top w:val="none" w:sz="0" w:space="0" w:color="auto"/>
        <w:left w:val="none" w:sz="0" w:space="0" w:color="auto"/>
        <w:bottom w:val="none" w:sz="0" w:space="0" w:color="auto"/>
        <w:right w:val="none" w:sz="0" w:space="0" w:color="auto"/>
      </w:divBdr>
    </w:div>
    <w:div w:id="1875534798">
      <w:bodyDiv w:val="1"/>
      <w:marLeft w:val="0"/>
      <w:marRight w:val="0"/>
      <w:marTop w:val="0"/>
      <w:marBottom w:val="0"/>
      <w:divBdr>
        <w:top w:val="none" w:sz="0" w:space="0" w:color="auto"/>
        <w:left w:val="none" w:sz="0" w:space="0" w:color="auto"/>
        <w:bottom w:val="none" w:sz="0" w:space="0" w:color="auto"/>
        <w:right w:val="none" w:sz="0" w:space="0" w:color="auto"/>
      </w:divBdr>
    </w:div>
    <w:div w:id="1876771501">
      <w:bodyDiv w:val="1"/>
      <w:marLeft w:val="0"/>
      <w:marRight w:val="0"/>
      <w:marTop w:val="0"/>
      <w:marBottom w:val="0"/>
      <w:divBdr>
        <w:top w:val="none" w:sz="0" w:space="0" w:color="auto"/>
        <w:left w:val="none" w:sz="0" w:space="0" w:color="auto"/>
        <w:bottom w:val="none" w:sz="0" w:space="0" w:color="auto"/>
        <w:right w:val="none" w:sz="0" w:space="0" w:color="auto"/>
      </w:divBdr>
    </w:div>
    <w:div w:id="1877547794">
      <w:bodyDiv w:val="1"/>
      <w:marLeft w:val="0"/>
      <w:marRight w:val="0"/>
      <w:marTop w:val="0"/>
      <w:marBottom w:val="0"/>
      <w:divBdr>
        <w:top w:val="none" w:sz="0" w:space="0" w:color="auto"/>
        <w:left w:val="none" w:sz="0" w:space="0" w:color="auto"/>
        <w:bottom w:val="none" w:sz="0" w:space="0" w:color="auto"/>
        <w:right w:val="none" w:sz="0" w:space="0" w:color="auto"/>
      </w:divBdr>
    </w:div>
    <w:div w:id="1877691005">
      <w:bodyDiv w:val="1"/>
      <w:marLeft w:val="0"/>
      <w:marRight w:val="0"/>
      <w:marTop w:val="0"/>
      <w:marBottom w:val="0"/>
      <w:divBdr>
        <w:top w:val="none" w:sz="0" w:space="0" w:color="auto"/>
        <w:left w:val="none" w:sz="0" w:space="0" w:color="auto"/>
        <w:bottom w:val="none" w:sz="0" w:space="0" w:color="auto"/>
        <w:right w:val="none" w:sz="0" w:space="0" w:color="auto"/>
      </w:divBdr>
    </w:div>
    <w:div w:id="1878853446">
      <w:bodyDiv w:val="1"/>
      <w:marLeft w:val="0"/>
      <w:marRight w:val="0"/>
      <w:marTop w:val="0"/>
      <w:marBottom w:val="0"/>
      <w:divBdr>
        <w:top w:val="none" w:sz="0" w:space="0" w:color="auto"/>
        <w:left w:val="none" w:sz="0" w:space="0" w:color="auto"/>
        <w:bottom w:val="none" w:sz="0" w:space="0" w:color="auto"/>
        <w:right w:val="none" w:sz="0" w:space="0" w:color="auto"/>
      </w:divBdr>
    </w:div>
    <w:div w:id="1878857408">
      <w:bodyDiv w:val="1"/>
      <w:marLeft w:val="0"/>
      <w:marRight w:val="0"/>
      <w:marTop w:val="0"/>
      <w:marBottom w:val="0"/>
      <w:divBdr>
        <w:top w:val="none" w:sz="0" w:space="0" w:color="auto"/>
        <w:left w:val="none" w:sz="0" w:space="0" w:color="auto"/>
        <w:bottom w:val="none" w:sz="0" w:space="0" w:color="auto"/>
        <w:right w:val="none" w:sz="0" w:space="0" w:color="auto"/>
      </w:divBdr>
    </w:div>
    <w:div w:id="1881088743">
      <w:bodyDiv w:val="1"/>
      <w:marLeft w:val="0"/>
      <w:marRight w:val="0"/>
      <w:marTop w:val="0"/>
      <w:marBottom w:val="0"/>
      <w:divBdr>
        <w:top w:val="none" w:sz="0" w:space="0" w:color="auto"/>
        <w:left w:val="none" w:sz="0" w:space="0" w:color="auto"/>
        <w:bottom w:val="none" w:sz="0" w:space="0" w:color="auto"/>
        <w:right w:val="none" w:sz="0" w:space="0" w:color="auto"/>
      </w:divBdr>
    </w:div>
    <w:div w:id="1881623558">
      <w:bodyDiv w:val="1"/>
      <w:marLeft w:val="0"/>
      <w:marRight w:val="0"/>
      <w:marTop w:val="0"/>
      <w:marBottom w:val="0"/>
      <w:divBdr>
        <w:top w:val="none" w:sz="0" w:space="0" w:color="auto"/>
        <w:left w:val="none" w:sz="0" w:space="0" w:color="auto"/>
        <w:bottom w:val="none" w:sz="0" w:space="0" w:color="auto"/>
        <w:right w:val="none" w:sz="0" w:space="0" w:color="auto"/>
      </w:divBdr>
    </w:div>
    <w:div w:id="1883784314">
      <w:bodyDiv w:val="1"/>
      <w:marLeft w:val="0"/>
      <w:marRight w:val="0"/>
      <w:marTop w:val="0"/>
      <w:marBottom w:val="0"/>
      <w:divBdr>
        <w:top w:val="none" w:sz="0" w:space="0" w:color="auto"/>
        <w:left w:val="none" w:sz="0" w:space="0" w:color="auto"/>
        <w:bottom w:val="none" w:sz="0" w:space="0" w:color="auto"/>
        <w:right w:val="none" w:sz="0" w:space="0" w:color="auto"/>
      </w:divBdr>
      <w:divsChild>
        <w:div w:id="331683554">
          <w:marLeft w:val="0"/>
          <w:marRight w:val="0"/>
          <w:marTop w:val="0"/>
          <w:marBottom w:val="0"/>
          <w:divBdr>
            <w:top w:val="none" w:sz="0" w:space="0" w:color="auto"/>
            <w:left w:val="none" w:sz="0" w:space="0" w:color="auto"/>
            <w:bottom w:val="none" w:sz="0" w:space="0" w:color="auto"/>
            <w:right w:val="none" w:sz="0" w:space="0" w:color="auto"/>
          </w:divBdr>
          <w:divsChild>
            <w:div w:id="1687058494">
              <w:marLeft w:val="0"/>
              <w:marRight w:val="0"/>
              <w:marTop w:val="0"/>
              <w:marBottom w:val="0"/>
              <w:divBdr>
                <w:top w:val="none" w:sz="0" w:space="0" w:color="auto"/>
                <w:left w:val="none" w:sz="0" w:space="0" w:color="auto"/>
                <w:bottom w:val="none" w:sz="0" w:space="0" w:color="auto"/>
                <w:right w:val="none" w:sz="0" w:space="0" w:color="auto"/>
              </w:divBdr>
              <w:divsChild>
                <w:div w:id="267006185">
                  <w:marLeft w:val="0"/>
                  <w:marRight w:val="0"/>
                  <w:marTop w:val="0"/>
                  <w:marBottom w:val="0"/>
                  <w:divBdr>
                    <w:top w:val="none" w:sz="0" w:space="0" w:color="auto"/>
                    <w:left w:val="none" w:sz="0" w:space="0" w:color="auto"/>
                    <w:bottom w:val="none" w:sz="0" w:space="0" w:color="auto"/>
                    <w:right w:val="none" w:sz="0" w:space="0" w:color="auto"/>
                  </w:divBdr>
                  <w:divsChild>
                    <w:div w:id="1795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1453">
      <w:bodyDiv w:val="1"/>
      <w:marLeft w:val="0"/>
      <w:marRight w:val="0"/>
      <w:marTop w:val="0"/>
      <w:marBottom w:val="0"/>
      <w:divBdr>
        <w:top w:val="none" w:sz="0" w:space="0" w:color="auto"/>
        <w:left w:val="none" w:sz="0" w:space="0" w:color="auto"/>
        <w:bottom w:val="none" w:sz="0" w:space="0" w:color="auto"/>
        <w:right w:val="none" w:sz="0" w:space="0" w:color="auto"/>
      </w:divBdr>
    </w:div>
    <w:div w:id="1886018163">
      <w:bodyDiv w:val="1"/>
      <w:marLeft w:val="0"/>
      <w:marRight w:val="0"/>
      <w:marTop w:val="0"/>
      <w:marBottom w:val="0"/>
      <w:divBdr>
        <w:top w:val="none" w:sz="0" w:space="0" w:color="auto"/>
        <w:left w:val="none" w:sz="0" w:space="0" w:color="auto"/>
        <w:bottom w:val="none" w:sz="0" w:space="0" w:color="auto"/>
        <w:right w:val="none" w:sz="0" w:space="0" w:color="auto"/>
      </w:divBdr>
    </w:div>
    <w:div w:id="1886718572">
      <w:bodyDiv w:val="1"/>
      <w:marLeft w:val="0"/>
      <w:marRight w:val="0"/>
      <w:marTop w:val="0"/>
      <w:marBottom w:val="0"/>
      <w:divBdr>
        <w:top w:val="none" w:sz="0" w:space="0" w:color="auto"/>
        <w:left w:val="none" w:sz="0" w:space="0" w:color="auto"/>
        <w:bottom w:val="none" w:sz="0" w:space="0" w:color="auto"/>
        <w:right w:val="none" w:sz="0" w:space="0" w:color="auto"/>
      </w:divBdr>
    </w:div>
    <w:div w:id="1892230908">
      <w:bodyDiv w:val="1"/>
      <w:marLeft w:val="0"/>
      <w:marRight w:val="0"/>
      <w:marTop w:val="0"/>
      <w:marBottom w:val="0"/>
      <w:divBdr>
        <w:top w:val="none" w:sz="0" w:space="0" w:color="auto"/>
        <w:left w:val="none" w:sz="0" w:space="0" w:color="auto"/>
        <w:bottom w:val="none" w:sz="0" w:space="0" w:color="auto"/>
        <w:right w:val="none" w:sz="0" w:space="0" w:color="auto"/>
      </w:divBdr>
    </w:div>
    <w:div w:id="1893034060">
      <w:bodyDiv w:val="1"/>
      <w:marLeft w:val="0"/>
      <w:marRight w:val="0"/>
      <w:marTop w:val="0"/>
      <w:marBottom w:val="0"/>
      <w:divBdr>
        <w:top w:val="none" w:sz="0" w:space="0" w:color="auto"/>
        <w:left w:val="none" w:sz="0" w:space="0" w:color="auto"/>
        <w:bottom w:val="none" w:sz="0" w:space="0" w:color="auto"/>
        <w:right w:val="none" w:sz="0" w:space="0" w:color="auto"/>
      </w:divBdr>
    </w:div>
    <w:div w:id="1894467776">
      <w:bodyDiv w:val="1"/>
      <w:marLeft w:val="0"/>
      <w:marRight w:val="0"/>
      <w:marTop w:val="0"/>
      <w:marBottom w:val="0"/>
      <w:divBdr>
        <w:top w:val="none" w:sz="0" w:space="0" w:color="auto"/>
        <w:left w:val="none" w:sz="0" w:space="0" w:color="auto"/>
        <w:bottom w:val="none" w:sz="0" w:space="0" w:color="auto"/>
        <w:right w:val="none" w:sz="0" w:space="0" w:color="auto"/>
      </w:divBdr>
    </w:div>
    <w:div w:id="1895121291">
      <w:bodyDiv w:val="1"/>
      <w:marLeft w:val="0"/>
      <w:marRight w:val="0"/>
      <w:marTop w:val="0"/>
      <w:marBottom w:val="0"/>
      <w:divBdr>
        <w:top w:val="none" w:sz="0" w:space="0" w:color="auto"/>
        <w:left w:val="none" w:sz="0" w:space="0" w:color="auto"/>
        <w:bottom w:val="none" w:sz="0" w:space="0" w:color="auto"/>
        <w:right w:val="none" w:sz="0" w:space="0" w:color="auto"/>
      </w:divBdr>
    </w:div>
    <w:div w:id="1895962335">
      <w:bodyDiv w:val="1"/>
      <w:marLeft w:val="0"/>
      <w:marRight w:val="0"/>
      <w:marTop w:val="0"/>
      <w:marBottom w:val="0"/>
      <w:divBdr>
        <w:top w:val="none" w:sz="0" w:space="0" w:color="auto"/>
        <w:left w:val="none" w:sz="0" w:space="0" w:color="auto"/>
        <w:bottom w:val="none" w:sz="0" w:space="0" w:color="auto"/>
        <w:right w:val="none" w:sz="0" w:space="0" w:color="auto"/>
      </w:divBdr>
    </w:div>
    <w:div w:id="1896310554">
      <w:bodyDiv w:val="1"/>
      <w:marLeft w:val="0"/>
      <w:marRight w:val="0"/>
      <w:marTop w:val="0"/>
      <w:marBottom w:val="0"/>
      <w:divBdr>
        <w:top w:val="none" w:sz="0" w:space="0" w:color="auto"/>
        <w:left w:val="none" w:sz="0" w:space="0" w:color="auto"/>
        <w:bottom w:val="none" w:sz="0" w:space="0" w:color="auto"/>
        <w:right w:val="none" w:sz="0" w:space="0" w:color="auto"/>
      </w:divBdr>
    </w:div>
    <w:div w:id="1898010678">
      <w:bodyDiv w:val="1"/>
      <w:marLeft w:val="0"/>
      <w:marRight w:val="0"/>
      <w:marTop w:val="0"/>
      <w:marBottom w:val="0"/>
      <w:divBdr>
        <w:top w:val="none" w:sz="0" w:space="0" w:color="auto"/>
        <w:left w:val="none" w:sz="0" w:space="0" w:color="auto"/>
        <w:bottom w:val="none" w:sz="0" w:space="0" w:color="auto"/>
        <w:right w:val="none" w:sz="0" w:space="0" w:color="auto"/>
      </w:divBdr>
    </w:div>
    <w:div w:id="1898588733">
      <w:bodyDiv w:val="1"/>
      <w:marLeft w:val="0"/>
      <w:marRight w:val="0"/>
      <w:marTop w:val="0"/>
      <w:marBottom w:val="0"/>
      <w:divBdr>
        <w:top w:val="none" w:sz="0" w:space="0" w:color="auto"/>
        <w:left w:val="none" w:sz="0" w:space="0" w:color="auto"/>
        <w:bottom w:val="none" w:sz="0" w:space="0" w:color="auto"/>
        <w:right w:val="none" w:sz="0" w:space="0" w:color="auto"/>
      </w:divBdr>
    </w:div>
    <w:div w:id="1898734525">
      <w:bodyDiv w:val="1"/>
      <w:marLeft w:val="0"/>
      <w:marRight w:val="0"/>
      <w:marTop w:val="0"/>
      <w:marBottom w:val="0"/>
      <w:divBdr>
        <w:top w:val="none" w:sz="0" w:space="0" w:color="auto"/>
        <w:left w:val="none" w:sz="0" w:space="0" w:color="auto"/>
        <w:bottom w:val="none" w:sz="0" w:space="0" w:color="auto"/>
        <w:right w:val="none" w:sz="0" w:space="0" w:color="auto"/>
      </w:divBdr>
      <w:divsChild>
        <w:div w:id="134297940">
          <w:marLeft w:val="0"/>
          <w:marRight w:val="0"/>
          <w:marTop w:val="0"/>
          <w:marBottom w:val="0"/>
          <w:divBdr>
            <w:top w:val="none" w:sz="0" w:space="0" w:color="auto"/>
            <w:left w:val="none" w:sz="0" w:space="0" w:color="auto"/>
            <w:bottom w:val="none" w:sz="0" w:space="0" w:color="auto"/>
            <w:right w:val="none" w:sz="0" w:space="0" w:color="auto"/>
          </w:divBdr>
          <w:divsChild>
            <w:div w:id="1685860966">
              <w:marLeft w:val="0"/>
              <w:marRight w:val="0"/>
              <w:marTop w:val="0"/>
              <w:marBottom w:val="0"/>
              <w:divBdr>
                <w:top w:val="none" w:sz="0" w:space="0" w:color="auto"/>
                <w:left w:val="none" w:sz="0" w:space="0" w:color="auto"/>
                <w:bottom w:val="none" w:sz="0" w:space="0" w:color="auto"/>
                <w:right w:val="none" w:sz="0" w:space="0" w:color="auto"/>
              </w:divBdr>
              <w:divsChild>
                <w:div w:id="1091505329">
                  <w:marLeft w:val="0"/>
                  <w:marRight w:val="0"/>
                  <w:marTop w:val="0"/>
                  <w:marBottom w:val="0"/>
                  <w:divBdr>
                    <w:top w:val="none" w:sz="0" w:space="0" w:color="auto"/>
                    <w:left w:val="none" w:sz="0" w:space="0" w:color="auto"/>
                    <w:bottom w:val="none" w:sz="0" w:space="0" w:color="auto"/>
                    <w:right w:val="none" w:sz="0" w:space="0" w:color="auto"/>
                  </w:divBdr>
                  <w:divsChild>
                    <w:div w:id="7639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629924">
      <w:bodyDiv w:val="1"/>
      <w:marLeft w:val="0"/>
      <w:marRight w:val="0"/>
      <w:marTop w:val="0"/>
      <w:marBottom w:val="0"/>
      <w:divBdr>
        <w:top w:val="none" w:sz="0" w:space="0" w:color="auto"/>
        <w:left w:val="none" w:sz="0" w:space="0" w:color="auto"/>
        <w:bottom w:val="none" w:sz="0" w:space="0" w:color="auto"/>
        <w:right w:val="none" w:sz="0" w:space="0" w:color="auto"/>
      </w:divBdr>
    </w:div>
    <w:div w:id="1901595815">
      <w:bodyDiv w:val="1"/>
      <w:marLeft w:val="0"/>
      <w:marRight w:val="0"/>
      <w:marTop w:val="0"/>
      <w:marBottom w:val="0"/>
      <w:divBdr>
        <w:top w:val="none" w:sz="0" w:space="0" w:color="auto"/>
        <w:left w:val="none" w:sz="0" w:space="0" w:color="auto"/>
        <w:bottom w:val="none" w:sz="0" w:space="0" w:color="auto"/>
        <w:right w:val="none" w:sz="0" w:space="0" w:color="auto"/>
      </w:divBdr>
    </w:div>
    <w:div w:id="1901943889">
      <w:bodyDiv w:val="1"/>
      <w:marLeft w:val="0"/>
      <w:marRight w:val="0"/>
      <w:marTop w:val="0"/>
      <w:marBottom w:val="0"/>
      <w:divBdr>
        <w:top w:val="none" w:sz="0" w:space="0" w:color="auto"/>
        <w:left w:val="none" w:sz="0" w:space="0" w:color="auto"/>
        <w:bottom w:val="none" w:sz="0" w:space="0" w:color="auto"/>
        <w:right w:val="none" w:sz="0" w:space="0" w:color="auto"/>
      </w:divBdr>
    </w:div>
    <w:div w:id="1902134471">
      <w:bodyDiv w:val="1"/>
      <w:marLeft w:val="0"/>
      <w:marRight w:val="0"/>
      <w:marTop w:val="0"/>
      <w:marBottom w:val="0"/>
      <w:divBdr>
        <w:top w:val="none" w:sz="0" w:space="0" w:color="auto"/>
        <w:left w:val="none" w:sz="0" w:space="0" w:color="auto"/>
        <w:bottom w:val="none" w:sz="0" w:space="0" w:color="auto"/>
        <w:right w:val="none" w:sz="0" w:space="0" w:color="auto"/>
      </w:divBdr>
    </w:div>
    <w:div w:id="1904177336">
      <w:bodyDiv w:val="1"/>
      <w:marLeft w:val="0"/>
      <w:marRight w:val="0"/>
      <w:marTop w:val="0"/>
      <w:marBottom w:val="0"/>
      <w:divBdr>
        <w:top w:val="none" w:sz="0" w:space="0" w:color="auto"/>
        <w:left w:val="none" w:sz="0" w:space="0" w:color="auto"/>
        <w:bottom w:val="none" w:sz="0" w:space="0" w:color="auto"/>
        <w:right w:val="none" w:sz="0" w:space="0" w:color="auto"/>
      </w:divBdr>
    </w:div>
    <w:div w:id="1905026114">
      <w:bodyDiv w:val="1"/>
      <w:marLeft w:val="0"/>
      <w:marRight w:val="0"/>
      <w:marTop w:val="0"/>
      <w:marBottom w:val="0"/>
      <w:divBdr>
        <w:top w:val="none" w:sz="0" w:space="0" w:color="auto"/>
        <w:left w:val="none" w:sz="0" w:space="0" w:color="auto"/>
        <w:bottom w:val="none" w:sz="0" w:space="0" w:color="auto"/>
        <w:right w:val="none" w:sz="0" w:space="0" w:color="auto"/>
      </w:divBdr>
    </w:div>
    <w:div w:id="1906261594">
      <w:bodyDiv w:val="1"/>
      <w:marLeft w:val="0"/>
      <w:marRight w:val="0"/>
      <w:marTop w:val="0"/>
      <w:marBottom w:val="0"/>
      <w:divBdr>
        <w:top w:val="none" w:sz="0" w:space="0" w:color="auto"/>
        <w:left w:val="none" w:sz="0" w:space="0" w:color="auto"/>
        <w:bottom w:val="none" w:sz="0" w:space="0" w:color="auto"/>
        <w:right w:val="none" w:sz="0" w:space="0" w:color="auto"/>
      </w:divBdr>
    </w:div>
    <w:div w:id="1907376564">
      <w:bodyDiv w:val="1"/>
      <w:marLeft w:val="0"/>
      <w:marRight w:val="0"/>
      <w:marTop w:val="0"/>
      <w:marBottom w:val="0"/>
      <w:divBdr>
        <w:top w:val="none" w:sz="0" w:space="0" w:color="auto"/>
        <w:left w:val="none" w:sz="0" w:space="0" w:color="auto"/>
        <w:bottom w:val="none" w:sz="0" w:space="0" w:color="auto"/>
        <w:right w:val="none" w:sz="0" w:space="0" w:color="auto"/>
      </w:divBdr>
    </w:div>
    <w:div w:id="1908150827">
      <w:bodyDiv w:val="1"/>
      <w:marLeft w:val="0"/>
      <w:marRight w:val="0"/>
      <w:marTop w:val="0"/>
      <w:marBottom w:val="0"/>
      <w:divBdr>
        <w:top w:val="none" w:sz="0" w:space="0" w:color="auto"/>
        <w:left w:val="none" w:sz="0" w:space="0" w:color="auto"/>
        <w:bottom w:val="none" w:sz="0" w:space="0" w:color="auto"/>
        <w:right w:val="none" w:sz="0" w:space="0" w:color="auto"/>
      </w:divBdr>
    </w:div>
    <w:div w:id="1908226455">
      <w:bodyDiv w:val="1"/>
      <w:marLeft w:val="0"/>
      <w:marRight w:val="0"/>
      <w:marTop w:val="0"/>
      <w:marBottom w:val="0"/>
      <w:divBdr>
        <w:top w:val="none" w:sz="0" w:space="0" w:color="auto"/>
        <w:left w:val="none" w:sz="0" w:space="0" w:color="auto"/>
        <w:bottom w:val="none" w:sz="0" w:space="0" w:color="auto"/>
        <w:right w:val="none" w:sz="0" w:space="0" w:color="auto"/>
      </w:divBdr>
    </w:div>
    <w:div w:id="1910268764">
      <w:bodyDiv w:val="1"/>
      <w:marLeft w:val="0"/>
      <w:marRight w:val="0"/>
      <w:marTop w:val="0"/>
      <w:marBottom w:val="0"/>
      <w:divBdr>
        <w:top w:val="none" w:sz="0" w:space="0" w:color="auto"/>
        <w:left w:val="none" w:sz="0" w:space="0" w:color="auto"/>
        <w:bottom w:val="none" w:sz="0" w:space="0" w:color="auto"/>
        <w:right w:val="none" w:sz="0" w:space="0" w:color="auto"/>
      </w:divBdr>
    </w:div>
    <w:div w:id="1911426896">
      <w:bodyDiv w:val="1"/>
      <w:marLeft w:val="0"/>
      <w:marRight w:val="0"/>
      <w:marTop w:val="0"/>
      <w:marBottom w:val="0"/>
      <w:divBdr>
        <w:top w:val="none" w:sz="0" w:space="0" w:color="auto"/>
        <w:left w:val="none" w:sz="0" w:space="0" w:color="auto"/>
        <w:bottom w:val="none" w:sz="0" w:space="0" w:color="auto"/>
        <w:right w:val="none" w:sz="0" w:space="0" w:color="auto"/>
      </w:divBdr>
    </w:div>
    <w:div w:id="1912543900">
      <w:bodyDiv w:val="1"/>
      <w:marLeft w:val="0"/>
      <w:marRight w:val="0"/>
      <w:marTop w:val="0"/>
      <w:marBottom w:val="0"/>
      <w:divBdr>
        <w:top w:val="none" w:sz="0" w:space="0" w:color="auto"/>
        <w:left w:val="none" w:sz="0" w:space="0" w:color="auto"/>
        <w:bottom w:val="none" w:sz="0" w:space="0" w:color="auto"/>
        <w:right w:val="none" w:sz="0" w:space="0" w:color="auto"/>
      </w:divBdr>
    </w:div>
    <w:div w:id="1912960251">
      <w:bodyDiv w:val="1"/>
      <w:marLeft w:val="0"/>
      <w:marRight w:val="0"/>
      <w:marTop w:val="0"/>
      <w:marBottom w:val="0"/>
      <w:divBdr>
        <w:top w:val="none" w:sz="0" w:space="0" w:color="auto"/>
        <w:left w:val="none" w:sz="0" w:space="0" w:color="auto"/>
        <w:bottom w:val="none" w:sz="0" w:space="0" w:color="auto"/>
        <w:right w:val="none" w:sz="0" w:space="0" w:color="auto"/>
      </w:divBdr>
    </w:div>
    <w:div w:id="1914851982">
      <w:bodyDiv w:val="1"/>
      <w:marLeft w:val="0"/>
      <w:marRight w:val="0"/>
      <w:marTop w:val="0"/>
      <w:marBottom w:val="0"/>
      <w:divBdr>
        <w:top w:val="none" w:sz="0" w:space="0" w:color="auto"/>
        <w:left w:val="none" w:sz="0" w:space="0" w:color="auto"/>
        <w:bottom w:val="none" w:sz="0" w:space="0" w:color="auto"/>
        <w:right w:val="none" w:sz="0" w:space="0" w:color="auto"/>
      </w:divBdr>
    </w:div>
    <w:div w:id="1915506053">
      <w:bodyDiv w:val="1"/>
      <w:marLeft w:val="0"/>
      <w:marRight w:val="0"/>
      <w:marTop w:val="0"/>
      <w:marBottom w:val="0"/>
      <w:divBdr>
        <w:top w:val="none" w:sz="0" w:space="0" w:color="auto"/>
        <w:left w:val="none" w:sz="0" w:space="0" w:color="auto"/>
        <w:bottom w:val="none" w:sz="0" w:space="0" w:color="auto"/>
        <w:right w:val="none" w:sz="0" w:space="0" w:color="auto"/>
      </w:divBdr>
    </w:div>
    <w:div w:id="1916738828">
      <w:bodyDiv w:val="1"/>
      <w:marLeft w:val="0"/>
      <w:marRight w:val="0"/>
      <w:marTop w:val="0"/>
      <w:marBottom w:val="0"/>
      <w:divBdr>
        <w:top w:val="none" w:sz="0" w:space="0" w:color="auto"/>
        <w:left w:val="none" w:sz="0" w:space="0" w:color="auto"/>
        <w:bottom w:val="none" w:sz="0" w:space="0" w:color="auto"/>
        <w:right w:val="none" w:sz="0" w:space="0" w:color="auto"/>
      </w:divBdr>
    </w:div>
    <w:div w:id="1918436694">
      <w:bodyDiv w:val="1"/>
      <w:marLeft w:val="0"/>
      <w:marRight w:val="0"/>
      <w:marTop w:val="0"/>
      <w:marBottom w:val="0"/>
      <w:divBdr>
        <w:top w:val="none" w:sz="0" w:space="0" w:color="auto"/>
        <w:left w:val="none" w:sz="0" w:space="0" w:color="auto"/>
        <w:bottom w:val="none" w:sz="0" w:space="0" w:color="auto"/>
        <w:right w:val="none" w:sz="0" w:space="0" w:color="auto"/>
      </w:divBdr>
    </w:div>
    <w:div w:id="1920745462">
      <w:bodyDiv w:val="1"/>
      <w:marLeft w:val="0"/>
      <w:marRight w:val="0"/>
      <w:marTop w:val="0"/>
      <w:marBottom w:val="0"/>
      <w:divBdr>
        <w:top w:val="none" w:sz="0" w:space="0" w:color="auto"/>
        <w:left w:val="none" w:sz="0" w:space="0" w:color="auto"/>
        <w:bottom w:val="none" w:sz="0" w:space="0" w:color="auto"/>
        <w:right w:val="none" w:sz="0" w:space="0" w:color="auto"/>
      </w:divBdr>
    </w:div>
    <w:div w:id="1920863072">
      <w:bodyDiv w:val="1"/>
      <w:marLeft w:val="0"/>
      <w:marRight w:val="0"/>
      <w:marTop w:val="0"/>
      <w:marBottom w:val="0"/>
      <w:divBdr>
        <w:top w:val="none" w:sz="0" w:space="0" w:color="auto"/>
        <w:left w:val="none" w:sz="0" w:space="0" w:color="auto"/>
        <w:bottom w:val="none" w:sz="0" w:space="0" w:color="auto"/>
        <w:right w:val="none" w:sz="0" w:space="0" w:color="auto"/>
      </w:divBdr>
    </w:div>
    <w:div w:id="1920866220">
      <w:bodyDiv w:val="1"/>
      <w:marLeft w:val="0"/>
      <w:marRight w:val="0"/>
      <w:marTop w:val="0"/>
      <w:marBottom w:val="0"/>
      <w:divBdr>
        <w:top w:val="none" w:sz="0" w:space="0" w:color="auto"/>
        <w:left w:val="none" w:sz="0" w:space="0" w:color="auto"/>
        <w:bottom w:val="none" w:sz="0" w:space="0" w:color="auto"/>
        <w:right w:val="none" w:sz="0" w:space="0" w:color="auto"/>
      </w:divBdr>
    </w:div>
    <w:div w:id="1921409092">
      <w:bodyDiv w:val="1"/>
      <w:marLeft w:val="0"/>
      <w:marRight w:val="0"/>
      <w:marTop w:val="0"/>
      <w:marBottom w:val="0"/>
      <w:divBdr>
        <w:top w:val="none" w:sz="0" w:space="0" w:color="auto"/>
        <w:left w:val="none" w:sz="0" w:space="0" w:color="auto"/>
        <w:bottom w:val="none" w:sz="0" w:space="0" w:color="auto"/>
        <w:right w:val="none" w:sz="0" w:space="0" w:color="auto"/>
      </w:divBdr>
    </w:div>
    <w:div w:id="1921787846">
      <w:bodyDiv w:val="1"/>
      <w:marLeft w:val="0"/>
      <w:marRight w:val="0"/>
      <w:marTop w:val="0"/>
      <w:marBottom w:val="0"/>
      <w:divBdr>
        <w:top w:val="none" w:sz="0" w:space="0" w:color="auto"/>
        <w:left w:val="none" w:sz="0" w:space="0" w:color="auto"/>
        <w:bottom w:val="none" w:sz="0" w:space="0" w:color="auto"/>
        <w:right w:val="none" w:sz="0" w:space="0" w:color="auto"/>
      </w:divBdr>
    </w:div>
    <w:div w:id="1922135585">
      <w:bodyDiv w:val="1"/>
      <w:marLeft w:val="0"/>
      <w:marRight w:val="0"/>
      <w:marTop w:val="0"/>
      <w:marBottom w:val="0"/>
      <w:divBdr>
        <w:top w:val="none" w:sz="0" w:space="0" w:color="auto"/>
        <w:left w:val="none" w:sz="0" w:space="0" w:color="auto"/>
        <w:bottom w:val="none" w:sz="0" w:space="0" w:color="auto"/>
        <w:right w:val="none" w:sz="0" w:space="0" w:color="auto"/>
      </w:divBdr>
    </w:div>
    <w:div w:id="1922792170">
      <w:bodyDiv w:val="1"/>
      <w:marLeft w:val="0"/>
      <w:marRight w:val="0"/>
      <w:marTop w:val="0"/>
      <w:marBottom w:val="0"/>
      <w:divBdr>
        <w:top w:val="none" w:sz="0" w:space="0" w:color="auto"/>
        <w:left w:val="none" w:sz="0" w:space="0" w:color="auto"/>
        <w:bottom w:val="none" w:sz="0" w:space="0" w:color="auto"/>
        <w:right w:val="none" w:sz="0" w:space="0" w:color="auto"/>
      </w:divBdr>
    </w:div>
    <w:div w:id="1923567751">
      <w:bodyDiv w:val="1"/>
      <w:marLeft w:val="0"/>
      <w:marRight w:val="0"/>
      <w:marTop w:val="0"/>
      <w:marBottom w:val="0"/>
      <w:divBdr>
        <w:top w:val="none" w:sz="0" w:space="0" w:color="auto"/>
        <w:left w:val="none" w:sz="0" w:space="0" w:color="auto"/>
        <w:bottom w:val="none" w:sz="0" w:space="0" w:color="auto"/>
        <w:right w:val="none" w:sz="0" w:space="0" w:color="auto"/>
      </w:divBdr>
    </w:div>
    <w:div w:id="1924413738">
      <w:bodyDiv w:val="1"/>
      <w:marLeft w:val="0"/>
      <w:marRight w:val="0"/>
      <w:marTop w:val="0"/>
      <w:marBottom w:val="0"/>
      <w:divBdr>
        <w:top w:val="none" w:sz="0" w:space="0" w:color="auto"/>
        <w:left w:val="none" w:sz="0" w:space="0" w:color="auto"/>
        <w:bottom w:val="none" w:sz="0" w:space="0" w:color="auto"/>
        <w:right w:val="none" w:sz="0" w:space="0" w:color="auto"/>
      </w:divBdr>
    </w:div>
    <w:div w:id="1924753949">
      <w:bodyDiv w:val="1"/>
      <w:marLeft w:val="0"/>
      <w:marRight w:val="0"/>
      <w:marTop w:val="0"/>
      <w:marBottom w:val="0"/>
      <w:divBdr>
        <w:top w:val="none" w:sz="0" w:space="0" w:color="auto"/>
        <w:left w:val="none" w:sz="0" w:space="0" w:color="auto"/>
        <w:bottom w:val="none" w:sz="0" w:space="0" w:color="auto"/>
        <w:right w:val="none" w:sz="0" w:space="0" w:color="auto"/>
      </w:divBdr>
    </w:div>
    <w:div w:id="1925987890">
      <w:bodyDiv w:val="1"/>
      <w:marLeft w:val="0"/>
      <w:marRight w:val="0"/>
      <w:marTop w:val="0"/>
      <w:marBottom w:val="0"/>
      <w:divBdr>
        <w:top w:val="none" w:sz="0" w:space="0" w:color="auto"/>
        <w:left w:val="none" w:sz="0" w:space="0" w:color="auto"/>
        <w:bottom w:val="none" w:sz="0" w:space="0" w:color="auto"/>
        <w:right w:val="none" w:sz="0" w:space="0" w:color="auto"/>
      </w:divBdr>
    </w:div>
    <w:div w:id="1927878374">
      <w:bodyDiv w:val="1"/>
      <w:marLeft w:val="0"/>
      <w:marRight w:val="0"/>
      <w:marTop w:val="0"/>
      <w:marBottom w:val="0"/>
      <w:divBdr>
        <w:top w:val="none" w:sz="0" w:space="0" w:color="auto"/>
        <w:left w:val="none" w:sz="0" w:space="0" w:color="auto"/>
        <w:bottom w:val="none" w:sz="0" w:space="0" w:color="auto"/>
        <w:right w:val="none" w:sz="0" w:space="0" w:color="auto"/>
      </w:divBdr>
    </w:div>
    <w:div w:id="1928492547">
      <w:bodyDiv w:val="1"/>
      <w:marLeft w:val="0"/>
      <w:marRight w:val="0"/>
      <w:marTop w:val="0"/>
      <w:marBottom w:val="0"/>
      <w:divBdr>
        <w:top w:val="none" w:sz="0" w:space="0" w:color="auto"/>
        <w:left w:val="none" w:sz="0" w:space="0" w:color="auto"/>
        <w:bottom w:val="none" w:sz="0" w:space="0" w:color="auto"/>
        <w:right w:val="none" w:sz="0" w:space="0" w:color="auto"/>
      </w:divBdr>
    </w:div>
    <w:div w:id="1928922662">
      <w:bodyDiv w:val="1"/>
      <w:marLeft w:val="0"/>
      <w:marRight w:val="0"/>
      <w:marTop w:val="0"/>
      <w:marBottom w:val="0"/>
      <w:divBdr>
        <w:top w:val="none" w:sz="0" w:space="0" w:color="auto"/>
        <w:left w:val="none" w:sz="0" w:space="0" w:color="auto"/>
        <w:bottom w:val="none" w:sz="0" w:space="0" w:color="auto"/>
        <w:right w:val="none" w:sz="0" w:space="0" w:color="auto"/>
      </w:divBdr>
    </w:div>
    <w:div w:id="1929267500">
      <w:bodyDiv w:val="1"/>
      <w:marLeft w:val="0"/>
      <w:marRight w:val="0"/>
      <w:marTop w:val="0"/>
      <w:marBottom w:val="0"/>
      <w:divBdr>
        <w:top w:val="none" w:sz="0" w:space="0" w:color="auto"/>
        <w:left w:val="none" w:sz="0" w:space="0" w:color="auto"/>
        <w:bottom w:val="none" w:sz="0" w:space="0" w:color="auto"/>
        <w:right w:val="none" w:sz="0" w:space="0" w:color="auto"/>
      </w:divBdr>
    </w:div>
    <w:div w:id="1931425140">
      <w:bodyDiv w:val="1"/>
      <w:marLeft w:val="0"/>
      <w:marRight w:val="0"/>
      <w:marTop w:val="0"/>
      <w:marBottom w:val="0"/>
      <w:divBdr>
        <w:top w:val="none" w:sz="0" w:space="0" w:color="auto"/>
        <w:left w:val="none" w:sz="0" w:space="0" w:color="auto"/>
        <w:bottom w:val="none" w:sz="0" w:space="0" w:color="auto"/>
        <w:right w:val="none" w:sz="0" w:space="0" w:color="auto"/>
      </w:divBdr>
    </w:div>
    <w:div w:id="1931891120">
      <w:bodyDiv w:val="1"/>
      <w:marLeft w:val="0"/>
      <w:marRight w:val="0"/>
      <w:marTop w:val="0"/>
      <w:marBottom w:val="0"/>
      <w:divBdr>
        <w:top w:val="none" w:sz="0" w:space="0" w:color="auto"/>
        <w:left w:val="none" w:sz="0" w:space="0" w:color="auto"/>
        <w:bottom w:val="none" w:sz="0" w:space="0" w:color="auto"/>
        <w:right w:val="none" w:sz="0" w:space="0" w:color="auto"/>
      </w:divBdr>
    </w:div>
    <w:div w:id="1932664387">
      <w:bodyDiv w:val="1"/>
      <w:marLeft w:val="0"/>
      <w:marRight w:val="0"/>
      <w:marTop w:val="0"/>
      <w:marBottom w:val="0"/>
      <w:divBdr>
        <w:top w:val="none" w:sz="0" w:space="0" w:color="auto"/>
        <w:left w:val="none" w:sz="0" w:space="0" w:color="auto"/>
        <w:bottom w:val="none" w:sz="0" w:space="0" w:color="auto"/>
        <w:right w:val="none" w:sz="0" w:space="0" w:color="auto"/>
      </w:divBdr>
    </w:div>
    <w:div w:id="1933278936">
      <w:bodyDiv w:val="1"/>
      <w:marLeft w:val="0"/>
      <w:marRight w:val="0"/>
      <w:marTop w:val="0"/>
      <w:marBottom w:val="0"/>
      <w:divBdr>
        <w:top w:val="none" w:sz="0" w:space="0" w:color="auto"/>
        <w:left w:val="none" w:sz="0" w:space="0" w:color="auto"/>
        <w:bottom w:val="none" w:sz="0" w:space="0" w:color="auto"/>
        <w:right w:val="none" w:sz="0" w:space="0" w:color="auto"/>
      </w:divBdr>
    </w:div>
    <w:div w:id="1935087050">
      <w:bodyDiv w:val="1"/>
      <w:marLeft w:val="0"/>
      <w:marRight w:val="0"/>
      <w:marTop w:val="0"/>
      <w:marBottom w:val="0"/>
      <w:divBdr>
        <w:top w:val="none" w:sz="0" w:space="0" w:color="auto"/>
        <w:left w:val="none" w:sz="0" w:space="0" w:color="auto"/>
        <w:bottom w:val="none" w:sz="0" w:space="0" w:color="auto"/>
        <w:right w:val="none" w:sz="0" w:space="0" w:color="auto"/>
      </w:divBdr>
    </w:div>
    <w:div w:id="1935547103">
      <w:bodyDiv w:val="1"/>
      <w:marLeft w:val="0"/>
      <w:marRight w:val="0"/>
      <w:marTop w:val="0"/>
      <w:marBottom w:val="0"/>
      <w:divBdr>
        <w:top w:val="none" w:sz="0" w:space="0" w:color="auto"/>
        <w:left w:val="none" w:sz="0" w:space="0" w:color="auto"/>
        <w:bottom w:val="none" w:sz="0" w:space="0" w:color="auto"/>
        <w:right w:val="none" w:sz="0" w:space="0" w:color="auto"/>
      </w:divBdr>
    </w:div>
    <w:div w:id="1937471627">
      <w:bodyDiv w:val="1"/>
      <w:marLeft w:val="0"/>
      <w:marRight w:val="0"/>
      <w:marTop w:val="0"/>
      <w:marBottom w:val="0"/>
      <w:divBdr>
        <w:top w:val="none" w:sz="0" w:space="0" w:color="auto"/>
        <w:left w:val="none" w:sz="0" w:space="0" w:color="auto"/>
        <w:bottom w:val="none" w:sz="0" w:space="0" w:color="auto"/>
        <w:right w:val="none" w:sz="0" w:space="0" w:color="auto"/>
      </w:divBdr>
    </w:div>
    <w:div w:id="1940141847">
      <w:bodyDiv w:val="1"/>
      <w:marLeft w:val="0"/>
      <w:marRight w:val="0"/>
      <w:marTop w:val="0"/>
      <w:marBottom w:val="0"/>
      <w:divBdr>
        <w:top w:val="none" w:sz="0" w:space="0" w:color="auto"/>
        <w:left w:val="none" w:sz="0" w:space="0" w:color="auto"/>
        <w:bottom w:val="none" w:sz="0" w:space="0" w:color="auto"/>
        <w:right w:val="none" w:sz="0" w:space="0" w:color="auto"/>
      </w:divBdr>
    </w:div>
    <w:div w:id="1940286295">
      <w:bodyDiv w:val="1"/>
      <w:marLeft w:val="0"/>
      <w:marRight w:val="0"/>
      <w:marTop w:val="0"/>
      <w:marBottom w:val="0"/>
      <w:divBdr>
        <w:top w:val="none" w:sz="0" w:space="0" w:color="auto"/>
        <w:left w:val="none" w:sz="0" w:space="0" w:color="auto"/>
        <w:bottom w:val="none" w:sz="0" w:space="0" w:color="auto"/>
        <w:right w:val="none" w:sz="0" w:space="0" w:color="auto"/>
      </w:divBdr>
    </w:div>
    <w:div w:id="1941832635">
      <w:bodyDiv w:val="1"/>
      <w:marLeft w:val="0"/>
      <w:marRight w:val="0"/>
      <w:marTop w:val="0"/>
      <w:marBottom w:val="0"/>
      <w:divBdr>
        <w:top w:val="none" w:sz="0" w:space="0" w:color="auto"/>
        <w:left w:val="none" w:sz="0" w:space="0" w:color="auto"/>
        <w:bottom w:val="none" w:sz="0" w:space="0" w:color="auto"/>
        <w:right w:val="none" w:sz="0" w:space="0" w:color="auto"/>
      </w:divBdr>
    </w:div>
    <w:div w:id="1944218867">
      <w:bodyDiv w:val="1"/>
      <w:marLeft w:val="0"/>
      <w:marRight w:val="0"/>
      <w:marTop w:val="0"/>
      <w:marBottom w:val="0"/>
      <w:divBdr>
        <w:top w:val="none" w:sz="0" w:space="0" w:color="auto"/>
        <w:left w:val="none" w:sz="0" w:space="0" w:color="auto"/>
        <w:bottom w:val="none" w:sz="0" w:space="0" w:color="auto"/>
        <w:right w:val="none" w:sz="0" w:space="0" w:color="auto"/>
      </w:divBdr>
    </w:div>
    <w:div w:id="1944259392">
      <w:bodyDiv w:val="1"/>
      <w:marLeft w:val="0"/>
      <w:marRight w:val="0"/>
      <w:marTop w:val="0"/>
      <w:marBottom w:val="0"/>
      <w:divBdr>
        <w:top w:val="none" w:sz="0" w:space="0" w:color="auto"/>
        <w:left w:val="none" w:sz="0" w:space="0" w:color="auto"/>
        <w:bottom w:val="none" w:sz="0" w:space="0" w:color="auto"/>
        <w:right w:val="none" w:sz="0" w:space="0" w:color="auto"/>
      </w:divBdr>
    </w:div>
    <w:div w:id="1944611685">
      <w:bodyDiv w:val="1"/>
      <w:marLeft w:val="0"/>
      <w:marRight w:val="0"/>
      <w:marTop w:val="0"/>
      <w:marBottom w:val="0"/>
      <w:divBdr>
        <w:top w:val="none" w:sz="0" w:space="0" w:color="auto"/>
        <w:left w:val="none" w:sz="0" w:space="0" w:color="auto"/>
        <w:bottom w:val="none" w:sz="0" w:space="0" w:color="auto"/>
        <w:right w:val="none" w:sz="0" w:space="0" w:color="auto"/>
      </w:divBdr>
    </w:div>
    <w:div w:id="1944993082">
      <w:bodyDiv w:val="1"/>
      <w:marLeft w:val="0"/>
      <w:marRight w:val="0"/>
      <w:marTop w:val="0"/>
      <w:marBottom w:val="0"/>
      <w:divBdr>
        <w:top w:val="none" w:sz="0" w:space="0" w:color="auto"/>
        <w:left w:val="none" w:sz="0" w:space="0" w:color="auto"/>
        <w:bottom w:val="none" w:sz="0" w:space="0" w:color="auto"/>
        <w:right w:val="none" w:sz="0" w:space="0" w:color="auto"/>
      </w:divBdr>
    </w:div>
    <w:div w:id="1945454601">
      <w:bodyDiv w:val="1"/>
      <w:marLeft w:val="0"/>
      <w:marRight w:val="0"/>
      <w:marTop w:val="0"/>
      <w:marBottom w:val="0"/>
      <w:divBdr>
        <w:top w:val="none" w:sz="0" w:space="0" w:color="auto"/>
        <w:left w:val="none" w:sz="0" w:space="0" w:color="auto"/>
        <w:bottom w:val="none" w:sz="0" w:space="0" w:color="auto"/>
        <w:right w:val="none" w:sz="0" w:space="0" w:color="auto"/>
      </w:divBdr>
    </w:div>
    <w:div w:id="1946158502">
      <w:bodyDiv w:val="1"/>
      <w:marLeft w:val="0"/>
      <w:marRight w:val="0"/>
      <w:marTop w:val="0"/>
      <w:marBottom w:val="0"/>
      <w:divBdr>
        <w:top w:val="none" w:sz="0" w:space="0" w:color="auto"/>
        <w:left w:val="none" w:sz="0" w:space="0" w:color="auto"/>
        <w:bottom w:val="none" w:sz="0" w:space="0" w:color="auto"/>
        <w:right w:val="none" w:sz="0" w:space="0" w:color="auto"/>
      </w:divBdr>
    </w:div>
    <w:div w:id="1947272492">
      <w:bodyDiv w:val="1"/>
      <w:marLeft w:val="0"/>
      <w:marRight w:val="0"/>
      <w:marTop w:val="0"/>
      <w:marBottom w:val="0"/>
      <w:divBdr>
        <w:top w:val="none" w:sz="0" w:space="0" w:color="auto"/>
        <w:left w:val="none" w:sz="0" w:space="0" w:color="auto"/>
        <w:bottom w:val="none" w:sz="0" w:space="0" w:color="auto"/>
        <w:right w:val="none" w:sz="0" w:space="0" w:color="auto"/>
      </w:divBdr>
    </w:div>
    <w:div w:id="1948274585">
      <w:bodyDiv w:val="1"/>
      <w:marLeft w:val="0"/>
      <w:marRight w:val="0"/>
      <w:marTop w:val="0"/>
      <w:marBottom w:val="0"/>
      <w:divBdr>
        <w:top w:val="none" w:sz="0" w:space="0" w:color="auto"/>
        <w:left w:val="none" w:sz="0" w:space="0" w:color="auto"/>
        <w:bottom w:val="none" w:sz="0" w:space="0" w:color="auto"/>
        <w:right w:val="none" w:sz="0" w:space="0" w:color="auto"/>
      </w:divBdr>
    </w:div>
    <w:div w:id="1948611235">
      <w:bodyDiv w:val="1"/>
      <w:marLeft w:val="0"/>
      <w:marRight w:val="0"/>
      <w:marTop w:val="0"/>
      <w:marBottom w:val="0"/>
      <w:divBdr>
        <w:top w:val="none" w:sz="0" w:space="0" w:color="auto"/>
        <w:left w:val="none" w:sz="0" w:space="0" w:color="auto"/>
        <w:bottom w:val="none" w:sz="0" w:space="0" w:color="auto"/>
        <w:right w:val="none" w:sz="0" w:space="0" w:color="auto"/>
      </w:divBdr>
    </w:div>
    <w:div w:id="1950429314">
      <w:bodyDiv w:val="1"/>
      <w:marLeft w:val="0"/>
      <w:marRight w:val="0"/>
      <w:marTop w:val="0"/>
      <w:marBottom w:val="0"/>
      <w:divBdr>
        <w:top w:val="none" w:sz="0" w:space="0" w:color="auto"/>
        <w:left w:val="none" w:sz="0" w:space="0" w:color="auto"/>
        <w:bottom w:val="none" w:sz="0" w:space="0" w:color="auto"/>
        <w:right w:val="none" w:sz="0" w:space="0" w:color="auto"/>
      </w:divBdr>
    </w:div>
    <w:div w:id="1950890142">
      <w:bodyDiv w:val="1"/>
      <w:marLeft w:val="0"/>
      <w:marRight w:val="0"/>
      <w:marTop w:val="0"/>
      <w:marBottom w:val="0"/>
      <w:divBdr>
        <w:top w:val="none" w:sz="0" w:space="0" w:color="auto"/>
        <w:left w:val="none" w:sz="0" w:space="0" w:color="auto"/>
        <w:bottom w:val="none" w:sz="0" w:space="0" w:color="auto"/>
        <w:right w:val="none" w:sz="0" w:space="0" w:color="auto"/>
      </w:divBdr>
    </w:div>
    <w:div w:id="1952739861">
      <w:bodyDiv w:val="1"/>
      <w:marLeft w:val="0"/>
      <w:marRight w:val="0"/>
      <w:marTop w:val="0"/>
      <w:marBottom w:val="0"/>
      <w:divBdr>
        <w:top w:val="none" w:sz="0" w:space="0" w:color="auto"/>
        <w:left w:val="none" w:sz="0" w:space="0" w:color="auto"/>
        <w:bottom w:val="none" w:sz="0" w:space="0" w:color="auto"/>
        <w:right w:val="none" w:sz="0" w:space="0" w:color="auto"/>
      </w:divBdr>
    </w:div>
    <w:div w:id="1952934052">
      <w:bodyDiv w:val="1"/>
      <w:marLeft w:val="0"/>
      <w:marRight w:val="0"/>
      <w:marTop w:val="0"/>
      <w:marBottom w:val="0"/>
      <w:divBdr>
        <w:top w:val="none" w:sz="0" w:space="0" w:color="auto"/>
        <w:left w:val="none" w:sz="0" w:space="0" w:color="auto"/>
        <w:bottom w:val="none" w:sz="0" w:space="0" w:color="auto"/>
        <w:right w:val="none" w:sz="0" w:space="0" w:color="auto"/>
      </w:divBdr>
    </w:div>
    <w:div w:id="1953705865">
      <w:bodyDiv w:val="1"/>
      <w:marLeft w:val="0"/>
      <w:marRight w:val="0"/>
      <w:marTop w:val="0"/>
      <w:marBottom w:val="0"/>
      <w:divBdr>
        <w:top w:val="none" w:sz="0" w:space="0" w:color="auto"/>
        <w:left w:val="none" w:sz="0" w:space="0" w:color="auto"/>
        <w:bottom w:val="none" w:sz="0" w:space="0" w:color="auto"/>
        <w:right w:val="none" w:sz="0" w:space="0" w:color="auto"/>
      </w:divBdr>
    </w:div>
    <w:div w:id="1955282704">
      <w:bodyDiv w:val="1"/>
      <w:marLeft w:val="0"/>
      <w:marRight w:val="0"/>
      <w:marTop w:val="0"/>
      <w:marBottom w:val="0"/>
      <w:divBdr>
        <w:top w:val="none" w:sz="0" w:space="0" w:color="auto"/>
        <w:left w:val="none" w:sz="0" w:space="0" w:color="auto"/>
        <w:bottom w:val="none" w:sz="0" w:space="0" w:color="auto"/>
        <w:right w:val="none" w:sz="0" w:space="0" w:color="auto"/>
      </w:divBdr>
    </w:div>
    <w:div w:id="1955553973">
      <w:bodyDiv w:val="1"/>
      <w:marLeft w:val="0"/>
      <w:marRight w:val="0"/>
      <w:marTop w:val="0"/>
      <w:marBottom w:val="0"/>
      <w:divBdr>
        <w:top w:val="none" w:sz="0" w:space="0" w:color="auto"/>
        <w:left w:val="none" w:sz="0" w:space="0" w:color="auto"/>
        <w:bottom w:val="none" w:sz="0" w:space="0" w:color="auto"/>
        <w:right w:val="none" w:sz="0" w:space="0" w:color="auto"/>
      </w:divBdr>
    </w:div>
    <w:div w:id="1955939558">
      <w:bodyDiv w:val="1"/>
      <w:marLeft w:val="0"/>
      <w:marRight w:val="0"/>
      <w:marTop w:val="0"/>
      <w:marBottom w:val="0"/>
      <w:divBdr>
        <w:top w:val="none" w:sz="0" w:space="0" w:color="auto"/>
        <w:left w:val="none" w:sz="0" w:space="0" w:color="auto"/>
        <w:bottom w:val="none" w:sz="0" w:space="0" w:color="auto"/>
        <w:right w:val="none" w:sz="0" w:space="0" w:color="auto"/>
      </w:divBdr>
    </w:div>
    <w:div w:id="1956060276">
      <w:bodyDiv w:val="1"/>
      <w:marLeft w:val="0"/>
      <w:marRight w:val="0"/>
      <w:marTop w:val="0"/>
      <w:marBottom w:val="0"/>
      <w:divBdr>
        <w:top w:val="none" w:sz="0" w:space="0" w:color="auto"/>
        <w:left w:val="none" w:sz="0" w:space="0" w:color="auto"/>
        <w:bottom w:val="none" w:sz="0" w:space="0" w:color="auto"/>
        <w:right w:val="none" w:sz="0" w:space="0" w:color="auto"/>
      </w:divBdr>
    </w:div>
    <w:div w:id="1957247482">
      <w:bodyDiv w:val="1"/>
      <w:marLeft w:val="0"/>
      <w:marRight w:val="0"/>
      <w:marTop w:val="0"/>
      <w:marBottom w:val="0"/>
      <w:divBdr>
        <w:top w:val="none" w:sz="0" w:space="0" w:color="auto"/>
        <w:left w:val="none" w:sz="0" w:space="0" w:color="auto"/>
        <w:bottom w:val="none" w:sz="0" w:space="0" w:color="auto"/>
        <w:right w:val="none" w:sz="0" w:space="0" w:color="auto"/>
      </w:divBdr>
    </w:div>
    <w:div w:id="1957372742">
      <w:bodyDiv w:val="1"/>
      <w:marLeft w:val="0"/>
      <w:marRight w:val="0"/>
      <w:marTop w:val="0"/>
      <w:marBottom w:val="0"/>
      <w:divBdr>
        <w:top w:val="none" w:sz="0" w:space="0" w:color="auto"/>
        <w:left w:val="none" w:sz="0" w:space="0" w:color="auto"/>
        <w:bottom w:val="none" w:sz="0" w:space="0" w:color="auto"/>
        <w:right w:val="none" w:sz="0" w:space="0" w:color="auto"/>
      </w:divBdr>
    </w:div>
    <w:div w:id="1957563249">
      <w:bodyDiv w:val="1"/>
      <w:marLeft w:val="0"/>
      <w:marRight w:val="0"/>
      <w:marTop w:val="0"/>
      <w:marBottom w:val="0"/>
      <w:divBdr>
        <w:top w:val="none" w:sz="0" w:space="0" w:color="auto"/>
        <w:left w:val="none" w:sz="0" w:space="0" w:color="auto"/>
        <w:bottom w:val="none" w:sz="0" w:space="0" w:color="auto"/>
        <w:right w:val="none" w:sz="0" w:space="0" w:color="auto"/>
      </w:divBdr>
    </w:div>
    <w:div w:id="1961720007">
      <w:bodyDiv w:val="1"/>
      <w:marLeft w:val="0"/>
      <w:marRight w:val="0"/>
      <w:marTop w:val="0"/>
      <w:marBottom w:val="0"/>
      <w:divBdr>
        <w:top w:val="none" w:sz="0" w:space="0" w:color="auto"/>
        <w:left w:val="none" w:sz="0" w:space="0" w:color="auto"/>
        <w:bottom w:val="none" w:sz="0" w:space="0" w:color="auto"/>
        <w:right w:val="none" w:sz="0" w:space="0" w:color="auto"/>
      </w:divBdr>
    </w:div>
    <w:div w:id="1962493464">
      <w:bodyDiv w:val="1"/>
      <w:marLeft w:val="0"/>
      <w:marRight w:val="0"/>
      <w:marTop w:val="0"/>
      <w:marBottom w:val="0"/>
      <w:divBdr>
        <w:top w:val="none" w:sz="0" w:space="0" w:color="auto"/>
        <w:left w:val="none" w:sz="0" w:space="0" w:color="auto"/>
        <w:bottom w:val="none" w:sz="0" w:space="0" w:color="auto"/>
        <w:right w:val="none" w:sz="0" w:space="0" w:color="auto"/>
      </w:divBdr>
    </w:div>
    <w:div w:id="1963148820">
      <w:bodyDiv w:val="1"/>
      <w:marLeft w:val="0"/>
      <w:marRight w:val="0"/>
      <w:marTop w:val="0"/>
      <w:marBottom w:val="0"/>
      <w:divBdr>
        <w:top w:val="none" w:sz="0" w:space="0" w:color="auto"/>
        <w:left w:val="none" w:sz="0" w:space="0" w:color="auto"/>
        <w:bottom w:val="none" w:sz="0" w:space="0" w:color="auto"/>
        <w:right w:val="none" w:sz="0" w:space="0" w:color="auto"/>
      </w:divBdr>
    </w:div>
    <w:div w:id="1963685370">
      <w:bodyDiv w:val="1"/>
      <w:marLeft w:val="0"/>
      <w:marRight w:val="0"/>
      <w:marTop w:val="0"/>
      <w:marBottom w:val="0"/>
      <w:divBdr>
        <w:top w:val="none" w:sz="0" w:space="0" w:color="auto"/>
        <w:left w:val="none" w:sz="0" w:space="0" w:color="auto"/>
        <w:bottom w:val="none" w:sz="0" w:space="0" w:color="auto"/>
        <w:right w:val="none" w:sz="0" w:space="0" w:color="auto"/>
      </w:divBdr>
    </w:div>
    <w:div w:id="1964380076">
      <w:bodyDiv w:val="1"/>
      <w:marLeft w:val="0"/>
      <w:marRight w:val="0"/>
      <w:marTop w:val="0"/>
      <w:marBottom w:val="0"/>
      <w:divBdr>
        <w:top w:val="none" w:sz="0" w:space="0" w:color="auto"/>
        <w:left w:val="none" w:sz="0" w:space="0" w:color="auto"/>
        <w:bottom w:val="none" w:sz="0" w:space="0" w:color="auto"/>
        <w:right w:val="none" w:sz="0" w:space="0" w:color="auto"/>
      </w:divBdr>
    </w:div>
    <w:div w:id="1965229613">
      <w:bodyDiv w:val="1"/>
      <w:marLeft w:val="0"/>
      <w:marRight w:val="0"/>
      <w:marTop w:val="0"/>
      <w:marBottom w:val="0"/>
      <w:divBdr>
        <w:top w:val="none" w:sz="0" w:space="0" w:color="auto"/>
        <w:left w:val="none" w:sz="0" w:space="0" w:color="auto"/>
        <w:bottom w:val="none" w:sz="0" w:space="0" w:color="auto"/>
        <w:right w:val="none" w:sz="0" w:space="0" w:color="auto"/>
      </w:divBdr>
    </w:div>
    <w:div w:id="1966308751">
      <w:bodyDiv w:val="1"/>
      <w:marLeft w:val="0"/>
      <w:marRight w:val="0"/>
      <w:marTop w:val="0"/>
      <w:marBottom w:val="0"/>
      <w:divBdr>
        <w:top w:val="none" w:sz="0" w:space="0" w:color="auto"/>
        <w:left w:val="none" w:sz="0" w:space="0" w:color="auto"/>
        <w:bottom w:val="none" w:sz="0" w:space="0" w:color="auto"/>
        <w:right w:val="none" w:sz="0" w:space="0" w:color="auto"/>
      </w:divBdr>
    </w:div>
    <w:div w:id="1966807970">
      <w:bodyDiv w:val="1"/>
      <w:marLeft w:val="0"/>
      <w:marRight w:val="0"/>
      <w:marTop w:val="0"/>
      <w:marBottom w:val="0"/>
      <w:divBdr>
        <w:top w:val="none" w:sz="0" w:space="0" w:color="auto"/>
        <w:left w:val="none" w:sz="0" w:space="0" w:color="auto"/>
        <w:bottom w:val="none" w:sz="0" w:space="0" w:color="auto"/>
        <w:right w:val="none" w:sz="0" w:space="0" w:color="auto"/>
      </w:divBdr>
    </w:div>
    <w:div w:id="1967078844">
      <w:bodyDiv w:val="1"/>
      <w:marLeft w:val="0"/>
      <w:marRight w:val="0"/>
      <w:marTop w:val="0"/>
      <w:marBottom w:val="0"/>
      <w:divBdr>
        <w:top w:val="none" w:sz="0" w:space="0" w:color="auto"/>
        <w:left w:val="none" w:sz="0" w:space="0" w:color="auto"/>
        <w:bottom w:val="none" w:sz="0" w:space="0" w:color="auto"/>
        <w:right w:val="none" w:sz="0" w:space="0" w:color="auto"/>
      </w:divBdr>
    </w:div>
    <w:div w:id="1970090742">
      <w:bodyDiv w:val="1"/>
      <w:marLeft w:val="0"/>
      <w:marRight w:val="0"/>
      <w:marTop w:val="0"/>
      <w:marBottom w:val="0"/>
      <w:divBdr>
        <w:top w:val="none" w:sz="0" w:space="0" w:color="auto"/>
        <w:left w:val="none" w:sz="0" w:space="0" w:color="auto"/>
        <w:bottom w:val="none" w:sz="0" w:space="0" w:color="auto"/>
        <w:right w:val="none" w:sz="0" w:space="0" w:color="auto"/>
      </w:divBdr>
    </w:div>
    <w:div w:id="1970478318">
      <w:bodyDiv w:val="1"/>
      <w:marLeft w:val="0"/>
      <w:marRight w:val="0"/>
      <w:marTop w:val="0"/>
      <w:marBottom w:val="0"/>
      <w:divBdr>
        <w:top w:val="none" w:sz="0" w:space="0" w:color="auto"/>
        <w:left w:val="none" w:sz="0" w:space="0" w:color="auto"/>
        <w:bottom w:val="none" w:sz="0" w:space="0" w:color="auto"/>
        <w:right w:val="none" w:sz="0" w:space="0" w:color="auto"/>
      </w:divBdr>
    </w:div>
    <w:div w:id="1971520796">
      <w:bodyDiv w:val="1"/>
      <w:marLeft w:val="0"/>
      <w:marRight w:val="0"/>
      <w:marTop w:val="0"/>
      <w:marBottom w:val="0"/>
      <w:divBdr>
        <w:top w:val="none" w:sz="0" w:space="0" w:color="auto"/>
        <w:left w:val="none" w:sz="0" w:space="0" w:color="auto"/>
        <w:bottom w:val="none" w:sz="0" w:space="0" w:color="auto"/>
        <w:right w:val="none" w:sz="0" w:space="0" w:color="auto"/>
      </w:divBdr>
    </w:div>
    <w:div w:id="1971744380">
      <w:bodyDiv w:val="1"/>
      <w:marLeft w:val="0"/>
      <w:marRight w:val="0"/>
      <w:marTop w:val="0"/>
      <w:marBottom w:val="0"/>
      <w:divBdr>
        <w:top w:val="none" w:sz="0" w:space="0" w:color="auto"/>
        <w:left w:val="none" w:sz="0" w:space="0" w:color="auto"/>
        <w:bottom w:val="none" w:sz="0" w:space="0" w:color="auto"/>
        <w:right w:val="none" w:sz="0" w:space="0" w:color="auto"/>
      </w:divBdr>
    </w:div>
    <w:div w:id="1972054699">
      <w:bodyDiv w:val="1"/>
      <w:marLeft w:val="0"/>
      <w:marRight w:val="0"/>
      <w:marTop w:val="0"/>
      <w:marBottom w:val="0"/>
      <w:divBdr>
        <w:top w:val="none" w:sz="0" w:space="0" w:color="auto"/>
        <w:left w:val="none" w:sz="0" w:space="0" w:color="auto"/>
        <w:bottom w:val="none" w:sz="0" w:space="0" w:color="auto"/>
        <w:right w:val="none" w:sz="0" w:space="0" w:color="auto"/>
      </w:divBdr>
    </w:div>
    <w:div w:id="1972399321">
      <w:bodyDiv w:val="1"/>
      <w:marLeft w:val="0"/>
      <w:marRight w:val="0"/>
      <w:marTop w:val="0"/>
      <w:marBottom w:val="0"/>
      <w:divBdr>
        <w:top w:val="none" w:sz="0" w:space="0" w:color="auto"/>
        <w:left w:val="none" w:sz="0" w:space="0" w:color="auto"/>
        <w:bottom w:val="none" w:sz="0" w:space="0" w:color="auto"/>
        <w:right w:val="none" w:sz="0" w:space="0" w:color="auto"/>
      </w:divBdr>
    </w:div>
    <w:div w:id="1973291419">
      <w:bodyDiv w:val="1"/>
      <w:marLeft w:val="0"/>
      <w:marRight w:val="0"/>
      <w:marTop w:val="0"/>
      <w:marBottom w:val="0"/>
      <w:divBdr>
        <w:top w:val="none" w:sz="0" w:space="0" w:color="auto"/>
        <w:left w:val="none" w:sz="0" w:space="0" w:color="auto"/>
        <w:bottom w:val="none" w:sz="0" w:space="0" w:color="auto"/>
        <w:right w:val="none" w:sz="0" w:space="0" w:color="auto"/>
      </w:divBdr>
    </w:div>
    <w:div w:id="1974095544">
      <w:bodyDiv w:val="1"/>
      <w:marLeft w:val="0"/>
      <w:marRight w:val="0"/>
      <w:marTop w:val="0"/>
      <w:marBottom w:val="0"/>
      <w:divBdr>
        <w:top w:val="none" w:sz="0" w:space="0" w:color="auto"/>
        <w:left w:val="none" w:sz="0" w:space="0" w:color="auto"/>
        <w:bottom w:val="none" w:sz="0" w:space="0" w:color="auto"/>
        <w:right w:val="none" w:sz="0" w:space="0" w:color="auto"/>
      </w:divBdr>
    </w:div>
    <w:div w:id="1975258649">
      <w:bodyDiv w:val="1"/>
      <w:marLeft w:val="0"/>
      <w:marRight w:val="0"/>
      <w:marTop w:val="0"/>
      <w:marBottom w:val="0"/>
      <w:divBdr>
        <w:top w:val="none" w:sz="0" w:space="0" w:color="auto"/>
        <w:left w:val="none" w:sz="0" w:space="0" w:color="auto"/>
        <w:bottom w:val="none" w:sz="0" w:space="0" w:color="auto"/>
        <w:right w:val="none" w:sz="0" w:space="0" w:color="auto"/>
      </w:divBdr>
    </w:div>
    <w:div w:id="1976982930">
      <w:bodyDiv w:val="1"/>
      <w:marLeft w:val="0"/>
      <w:marRight w:val="0"/>
      <w:marTop w:val="0"/>
      <w:marBottom w:val="0"/>
      <w:divBdr>
        <w:top w:val="none" w:sz="0" w:space="0" w:color="auto"/>
        <w:left w:val="none" w:sz="0" w:space="0" w:color="auto"/>
        <w:bottom w:val="none" w:sz="0" w:space="0" w:color="auto"/>
        <w:right w:val="none" w:sz="0" w:space="0" w:color="auto"/>
      </w:divBdr>
    </w:div>
    <w:div w:id="1977105361">
      <w:bodyDiv w:val="1"/>
      <w:marLeft w:val="0"/>
      <w:marRight w:val="0"/>
      <w:marTop w:val="0"/>
      <w:marBottom w:val="0"/>
      <w:divBdr>
        <w:top w:val="none" w:sz="0" w:space="0" w:color="auto"/>
        <w:left w:val="none" w:sz="0" w:space="0" w:color="auto"/>
        <w:bottom w:val="none" w:sz="0" w:space="0" w:color="auto"/>
        <w:right w:val="none" w:sz="0" w:space="0" w:color="auto"/>
      </w:divBdr>
    </w:div>
    <w:div w:id="1977375165">
      <w:bodyDiv w:val="1"/>
      <w:marLeft w:val="0"/>
      <w:marRight w:val="0"/>
      <w:marTop w:val="0"/>
      <w:marBottom w:val="0"/>
      <w:divBdr>
        <w:top w:val="none" w:sz="0" w:space="0" w:color="auto"/>
        <w:left w:val="none" w:sz="0" w:space="0" w:color="auto"/>
        <w:bottom w:val="none" w:sz="0" w:space="0" w:color="auto"/>
        <w:right w:val="none" w:sz="0" w:space="0" w:color="auto"/>
      </w:divBdr>
      <w:divsChild>
        <w:div w:id="10572218">
          <w:marLeft w:val="0"/>
          <w:marRight w:val="0"/>
          <w:marTop w:val="0"/>
          <w:marBottom w:val="0"/>
          <w:divBdr>
            <w:top w:val="none" w:sz="0" w:space="0" w:color="auto"/>
            <w:left w:val="none" w:sz="0" w:space="0" w:color="auto"/>
            <w:bottom w:val="none" w:sz="0" w:space="0" w:color="auto"/>
            <w:right w:val="none" w:sz="0" w:space="0" w:color="auto"/>
          </w:divBdr>
          <w:divsChild>
            <w:div w:id="1193037806">
              <w:marLeft w:val="0"/>
              <w:marRight w:val="0"/>
              <w:marTop w:val="0"/>
              <w:marBottom w:val="0"/>
              <w:divBdr>
                <w:top w:val="none" w:sz="0" w:space="0" w:color="auto"/>
                <w:left w:val="none" w:sz="0" w:space="0" w:color="auto"/>
                <w:bottom w:val="none" w:sz="0" w:space="0" w:color="auto"/>
                <w:right w:val="none" w:sz="0" w:space="0" w:color="auto"/>
              </w:divBdr>
              <w:divsChild>
                <w:div w:id="20309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6062">
      <w:bodyDiv w:val="1"/>
      <w:marLeft w:val="0"/>
      <w:marRight w:val="0"/>
      <w:marTop w:val="0"/>
      <w:marBottom w:val="0"/>
      <w:divBdr>
        <w:top w:val="none" w:sz="0" w:space="0" w:color="auto"/>
        <w:left w:val="none" w:sz="0" w:space="0" w:color="auto"/>
        <w:bottom w:val="none" w:sz="0" w:space="0" w:color="auto"/>
        <w:right w:val="none" w:sz="0" w:space="0" w:color="auto"/>
      </w:divBdr>
    </w:div>
    <w:div w:id="1978797501">
      <w:bodyDiv w:val="1"/>
      <w:marLeft w:val="0"/>
      <w:marRight w:val="0"/>
      <w:marTop w:val="0"/>
      <w:marBottom w:val="0"/>
      <w:divBdr>
        <w:top w:val="none" w:sz="0" w:space="0" w:color="auto"/>
        <w:left w:val="none" w:sz="0" w:space="0" w:color="auto"/>
        <w:bottom w:val="none" w:sz="0" w:space="0" w:color="auto"/>
        <w:right w:val="none" w:sz="0" w:space="0" w:color="auto"/>
      </w:divBdr>
    </w:div>
    <w:div w:id="1979800240">
      <w:bodyDiv w:val="1"/>
      <w:marLeft w:val="0"/>
      <w:marRight w:val="0"/>
      <w:marTop w:val="0"/>
      <w:marBottom w:val="0"/>
      <w:divBdr>
        <w:top w:val="none" w:sz="0" w:space="0" w:color="auto"/>
        <w:left w:val="none" w:sz="0" w:space="0" w:color="auto"/>
        <w:bottom w:val="none" w:sz="0" w:space="0" w:color="auto"/>
        <w:right w:val="none" w:sz="0" w:space="0" w:color="auto"/>
      </w:divBdr>
    </w:div>
    <w:div w:id="1983919533">
      <w:bodyDiv w:val="1"/>
      <w:marLeft w:val="0"/>
      <w:marRight w:val="0"/>
      <w:marTop w:val="0"/>
      <w:marBottom w:val="0"/>
      <w:divBdr>
        <w:top w:val="none" w:sz="0" w:space="0" w:color="auto"/>
        <w:left w:val="none" w:sz="0" w:space="0" w:color="auto"/>
        <w:bottom w:val="none" w:sz="0" w:space="0" w:color="auto"/>
        <w:right w:val="none" w:sz="0" w:space="0" w:color="auto"/>
      </w:divBdr>
    </w:div>
    <w:div w:id="1984386176">
      <w:bodyDiv w:val="1"/>
      <w:marLeft w:val="0"/>
      <w:marRight w:val="0"/>
      <w:marTop w:val="0"/>
      <w:marBottom w:val="0"/>
      <w:divBdr>
        <w:top w:val="none" w:sz="0" w:space="0" w:color="auto"/>
        <w:left w:val="none" w:sz="0" w:space="0" w:color="auto"/>
        <w:bottom w:val="none" w:sz="0" w:space="0" w:color="auto"/>
        <w:right w:val="none" w:sz="0" w:space="0" w:color="auto"/>
      </w:divBdr>
    </w:div>
    <w:div w:id="1984774620">
      <w:bodyDiv w:val="1"/>
      <w:marLeft w:val="0"/>
      <w:marRight w:val="0"/>
      <w:marTop w:val="0"/>
      <w:marBottom w:val="0"/>
      <w:divBdr>
        <w:top w:val="none" w:sz="0" w:space="0" w:color="auto"/>
        <w:left w:val="none" w:sz="0" w:space="0" w:color="auto"/>
        <w:bottom w:val="none" w:sz="0" w:space="0" w:color="auto"/>
        <w:right w:val="none" w:sz="0" w:space="0" w:color="auto"/>
      </w:divBdr>
    </w:div>
    <w:div w:id="1985037815">
      <w:bodyDiv w:val="1"/>
      <w:marLeft w:val="0"/>
      <w:marRight w:val="0"/>
      <w:marTop w:val="0"/>
      <w:marBottom w:val="0"/>
      <w:divBdr>
        <w:top w:val="none" w:sz="0" w:space="0" w:color="auto"/>
        <w:left w:val="none" w:sz="0" w:space="0" w:color="auto"/>
        <w:bottom w:val="none" w:sz="0" w:space="0" w:color="auto"/>
        <w:right w:val="none" w:sz="0" w:space="0" w:color="auto"/>
      </w:divBdr>
    </w:div>
    <w:div w:id="1985230862">
      <w:bodyDiv w:val="1"/>
      <w:marLeft w:val="0"/>
      <w:marRight w:val="0"/>
      <w:marTop w:val="0"/>
      <w:marBottom w:val="0"/>
      <w:divBdr>
        <w:top w:val="none" w:sz="0" w:space="0" w:color="auto"/>
        <w:left w:val="none" w:sz="0" w:space="0" w:color="auto"/>
        <w:bottom w:val="none" w:sz="0" w:space="0" w:color="auto"/>
        <w:right w:val="none" w:sz="0" w:space="0" w:color="auto"/>
      </w:divBdr>
    </w:div>
    <w:div w:id="1985818120">
      <w:bodyDiv w:val="1"/>
      <w:marLeft w:val="0"/>
      <w:marRight w:val="0"/>
      <w:marTop w:val="0"/>
      <w:marBottom w:val="0"/>
      <w:divBdr>
        <w:top w:val="none" w:sz="0" w:space="0" w:color="auto"/>
        <w:left w:val="none" w:sz="0" w:space="0" w:color="auto"/>
        <w:bottom w:val="none" w:sz="0" w:space="0" w:color="auto"/>
        <w:right w:val="none" w:sz="0" w:space="0" w:color="auto"/>
      </w:divBdr>
    </w:div>
    <w:div w:id="1986810384">
      <w:bodyDiv w:val="1"/>
      <w:marLeft w:val="0"/>
      <w:marRight w:val="0"/>
      <w:marTop w:val="0"/>
      <w:marBottom w:val="0"/>
      <w:divBdr>
        <w:top w:val="none" w:sz="0" w:space="0" w:color="auto"/>
        <w:left w:val="none" w:sz="0" w:space="0" w:color="auto"/>
        <w:bottom w:val="none" w:sz="0" w:space="0" w:color="auto"/>
        <w:right w:val="none" w:sz="0" w:space="0" w:color="auto"/>
      </w:divBdr>
    </w:div>
    <w:div w:id="1987736646">
      <w:bodyDiv w:val="1"/>
      <w:marLeft w:val="0"/>
      <w:marRight w:val="0"/>
      <w:marTop w:val="0"/>
      <w:marBottom w:val="0"/>
      <w:divBdr>
        <w:top w:val="none" w:sz="0" w:space="0" w:color="auto"/>
        <w:left w:val="none" w:sz="0" w:space="0" w:color="auto"/>
        <w:bottom w:val="none" w:sz="0" w:space="0" w:color="auto"/>
        <w:right w:val="none" w:sz="0" w:space="0" w:color="auto"/>
      </w:divBdr>
    </w:div>
    <w:div w:id="1988246706">
      <w:bodyDiv w:val="1"/>
      <w:marLeft w:val="0"/>
      <w:marRight w:val="0"/>
      <w:marTop w:val="0"/>
      <w:marBottom w:val="0"/>
      <w:divBdr>
        <w:top w:val="none" w:sz="0" w:space="0" w:color="auto"/>
        <w:left w:val="none" w:sz="0" w:space="0" w:color="auto"/>
        <w:bottom w:val="none" w:sz="0" w:space="0" w:color="auto"/>
        <w:right w:val="none" w:sz="0" w:space="0" w:color="auto"/>
      </w:divBdr>
    </w:div>
    <w:div w:id="1988824171">
      <w:bodyDiv w:val="1"/>
      <w:marLeft w:val="0"/>
      <w:marRight w:val="0"/>
      <w:marTop w:val="0"/>
      <w:marBottom w:val="0"/>
      <w:divBdr>
        <w:top w:val="none" w:sz="0" w:space="0" w:color="auto"/>
        <w:left w:val="none" w:sz="0" w:space="0" w:color="auto"/>
        <w:bottom w:val="none" w:sz="0" w:space="0" w:color="auto"/>
        <w:right w:val="none" w:sz="0" w:space="0" w:color="auto"/>
      </w:divBdr>
    </w:div>
    <w:div w:id="1989092258">
      <w:bodyDiv w:val="1"/>
      <w:marLeft w:val="0"/>
      <w:marRight w:val="0"/>
      <w:marTop w:val="0"/>
      <w:marBottom w:val="0"/>
      <w:divBdr>
        <w:top w:val="none" w:sz="0" w:space="0" w:color="auto"/>
        <w:left w:val="none" w:sz="0" w:space="0" w:color="auto"/>
        <w:bottom w:val="none" w:sz="0" w:space="0" w:color="auto"/>
        <w:right w:val="none" w:sz="0" w:space="0" w:color="auto"/>
      </w:divBdr>
    </w:div>
    <w:div w:id="1989355561">
      <w:bodyDiv w:val="1"/>
      <w:marLeft w:val="0"/>
      <w:marRight w:val="0"/>
      <w:marTop w:val="0"/>
      <w:marBottom w:val="0"/>
      <w:divBdr>
        <w:top w:val="none" w:sz="0" w:space="0" w:color="auto"/>
        <w:left w:val="none" w:sz="0" w:space="0" w:color="auto"/>
        <w:bottom w:val="none" w:sz="0" w:space="0" w:color="auto"/>
        <w:right w:val="none" w:sz="0" w:space="0" w:color="auto"/>
      </w:divBdr>
    </w:div>
    <w:div w:id="1989750064">
      <w:bodyDiv w:val="1"/>
      <w:marLeft w:val="0"/>
      <w:marRight w:val="0"/>
      <w:marTop w:val="0"/>
      <w:marBottom w:val="0"/>
      <w:divBdr>
        <w:top w:val="none" w:sz="0" w:space="0" w:color="auto"/>
        <w:left w:val="none" w:sz="0" w:space="0" w:color="auto"/>
        <w:bottom w:val="none" w:sz="0" w:space="0" w:color="auto"/>
        <w:right w:val="none" w:sz="0" w:space="0" w:color="auto"/>
      </w:divBdr>
    </w:div>
    <w:div w:id="1991785258">
      <w:bodyDiv w:val="1"/>
      <w:marLeft w:val="0"/>
      <w:marRight w:val="0"/>
      <w:marTop w:val="0"/>
      <w:marBottom w:val="0"/>
      <w:divBdr>
        <w:top w:val="none" w:sz="0" w:space="0" w:color="auto"/>
        <w:left w:val="none" w:sz="0" w:space="0" w:color="auto"/>
        <w:bottom w:val="none" w:sz="0" w:space="0" w:color="auto"/>
        <w:right w:val="none" w:sz="0" w:space="0" w:color="auto"/>
      </w:divBdr>
    </w:div>
    <w:div w:id="1991905198">
      <w:bodyDiv w:val="1"/>
      <w:marLeft w:val="0"/>
      <w:marRight w:val="0"/>
      <w:marTop w:val="0"/>
      <w:marBottom w:val="0"/>
      <w:divBdr>
        <w:top w:val="none" w:sz="0" w:space="0" w:color="auto"/>
        <w:left w:val="none" w:sz="0" w:space="0" w:color="auto"/>
        <w:bottom w:val="none" w:sz="0" w:space="0" w:color="auto"/>
        <w:right w:val="none" w:sz="0" w:space="0" w:color="auto"/>
      </w:divBdr>
    </w:div>
    <w:div w:id="1992755911">
      <w:bodyDiv w:val="1"/>
      <w:marLeft w:val="0"/>
      <w:marRight w:val="0"/>
      <w:marTop w:val="0"/>
      <w:marBottom w:val="0"/>
      <w:divBdr>
        <w:top w:val="none" w:sz="0" w:space="0" w:color="auto"/>
        <w:left w:val="none" w:sz="0" w:space="0" w:color="auto"/>
        <w:bottom w:val="none" w:sz="0" w:space="0" w:color="auto"/>
        <w:right w:val="none" w:sz="0" w:space="0" w:color="auto"/>
      </w:divBdr>
    </w:div>
    <w:div w:id="1994943243">
      <w:bodyDiv w:val="1"/>
      <w:marLeft w:val="0"/>
      <w:marRight w:val="0"/>
      <w:marTop w:val="0"/>
      <w:marBottom w:val="0"/>
      <w:divBdr>
        <w:top w:val="none" w:sz="0" w:space="0" w:color="auto"/>
        <w:left w:val="none" w:sz="0" w:space="0" w:color="auto"/>
        <w:bottom w:val="none" w:sz="0" w:space="0" w:color="auto"/>
        <w:right w:val="none" w:sz="0" w:space="0" w:color="auto"/>
      </w:divBdr>
    </w:div>
    <w:div w:id="1994991745">
      <w:bodyDiv w:val="1"/>
      <w:marLeft w:val="0"/>
      <w:marRight w:val="0"/>
      <w:marTop w:val="0"/>
      <w:marBottom w:val="0"/>
      <w:divBdr>
        <w:top w:val="none" w:sz="0" w:space="0" w:color="auto"/>
        <w:left w:val="none" w:sz="0" w:space="0" w:color="auto"/>
        <w:bottom w:val="none" w:sz="0" w:space="0" w:color="auto"/>
        <w:right w:val="none" w:sz="0" w:space="0" w:color="auto"/>
      </w:divBdr>
    </w:div>
    <w:div w:id="1995255793">
      <w:bodyDiv w:val="1"/>
      <w:marLeft w:val="0"/>
      <w:marRight w:val="0"/>
      <w:marTop w:val="0"/>
      <w:marBottom w:val="0"/>
      <w:divBdr>
        <w:top w:val="none" w:sz="0" w:space="0" w:color="auto"/>
        <w:left w:val="none" w:sz="0" w:space="0" w:color="auto"/>
        <w:bottom w:val="none" w:sz="0" w:space="0" w:color="auto"/>
        <w:right w:val="none" w:sz="0" w:space="0" w:color="auto"/>
      </w:divBdr>
    </w:div>
    <w:div w:id="1996492396">
      <w:bodyDiv w:val="1"/>
      <w:marLeft w:val="0"/>
      <w:marRight w:val="0"/>
      <w:marTop w:val="0"/>
      <w:marBottom w:val="0"/>
      <w:divBdr>
        <w:top w:val="none" w:sz="0" w:space="0" w:color="auto"/>
        <w:left w:val="none" w:sz="0" w:space="0" w:color="auto"/>
        <w:bottom w:val="none" w:sz="0" w:space="0" w:color="auto"/>
        <w:right w:val="none" w:sz="0" w:space="0" w:color="auto"/>
      </w:divBdr>
    </w:div>
    <w:div w:id="1997412579">
      <w:bodyDiv w:val="1"/>
      <w:marLeft w:val="0"/>
      <w:marRight w:val="0"/>
      <w:marTop w:val="0"/>
      <w:marBottom w:val="0"/>
      <w:divBdr>
        <w:top w:val="none" w:sz="0" w:space="0" w:color="auto"/>
        <w:left w:val="none" w:sz="0" w:space="0" w:color="auto"/>
        <w:bottom w:val="none" w:sz="0" w:space="0" w:color="auto"/>
        <w:right w:val="none" w:sz="0" w:space="0" w:color="auto"/>
      </w:divBdr>
    </w:div>
    <w:div w:id="1998072490">
      <w:bodyDiv w:val="1"/>
      <w:marLeft w:val="0"/>
      <w:marRight w:val="0"/>
      <w:marTop w:val="0"/>
      <w:marBottom w:val="0"/>
      <w:divBdr>
        <w:top w:val="none" w:sz="0" w:space="0" w:color="auto"/>
        <w:left w:val="none" w:sz="0" w:space="0" w:color="auto"/>
        <w:bottom w:val="none" w:sz="0" w:space="0" w:color="auto"/>
        <w:right w:val="none" w:sz="0" w:space="0" w:color="auto"/>
      </w:divBdr>
    </w:div>
    <w:div w:id="2000040525">
      <w:bodyDiv w:val="1"/>
      <w:marLeft w:val="0"/>
      <w:marRight w:val="0"/>
      <w:marTop w:val="0"/>
      <w:marBottom w:val="0"/>
      <w:divBdr>
        <w:top w:val="none" w:sz="0" w:space="0" w:color="auto"/>
        <w:left w:val="none" w:sz="0" w:space="0" w:color="auto"/>
        <w:bottom w:val="none" w:sz="0" w:space="0" w:color="auto"/>
        <w:right w:val="none" w:sz="0" w:space="0" w:color="auto"/>
      </w:divBdr>
    </w:div>
    <w:div w:id="2001154978">
      <w:bodyDiv w:val="1"/>
      <w:marLeft w:val="0"/>
      <w:marRight w:val="0"/>
      <w:marTop w:val="0"/>
      <w:marBottom w:val="0"/>
      <w:divBdr>
        <w:top w:val="none" w:sz="0" w:space="0" w:color="auto"/>
        <w:left w:val="none" w:sz="0" w:space="0" w:color="auto"/>
        <w:bottom w:val="none" w:sz="0" w:space="0" w:color="auto"/>
        <w:right w:val="none" w:sz="0" w:space="0" w:color="auto"/>
      </w:divBdr>
    </w:div>
    <w:div w:id="2001233786">
      <w:bodyDiv w:val="1"/>
      <w:marLeft w:val="0"/>
      <w:marRight w:val="0"/>
      <w:marTop w:val="0"/>
      <w:marBottom w:val="0"/>
      <w:divBdr>
        <w:top w:val="none" w:sz="0" w:space="0" w:color="auto"/>
        <w:left w:val="none" w:sz="0" w:space="0" w:color="auto"/>
        <w:bottom w:val="none" w:sz="0" w:space="0" w:color="auto"/>
        <w:right w:val="none" w:sz="0" w:space="0" w:color="auto"/>
      </w:divBdr>
    </w:div>
    <w:div w:id="2001300672">
      <w:bodyDiv w:val="1"/>
      <w:marLeft w:val="0"/>
      <w:marRight w:val="0"/>
      <w:marTop w:val="0"/>
      <w:marBottom w:val="0"/>
      <w:divBdr>
        <w:top w:val="none" w:sz="0" w:space="0" w:color="auto"/>
        <w:left w:val="none" w:sz="0" w:space="0" w:color="auto"/>
        <w:bottom w:val="none" w:sz="0" w:space="0" w:color="auto"/>
        <w:right w:val="none" w:sz="0" w:space="0" w:color="auto"/>
      </w:divBdr>
    </w:div>
    <w:div w:id="2001690180">
      <w:bodyDiv w:val="1"/>
      <w:marLeft w:val="0"/>
      <w:marRight w:val="0"/>
      <w:marTop w:val="0"/>
      <w:marBottom w:val="0"/>
      <w:divBdr>
        <w:top w:val="none" w:sz="0" w:space="0" w:color="auto"/>
        <w:left w:val="none" w:sz="0" w:space="0" w:color="auto"/>
        <w:bottom w:val="none" w:sz="0" w:space="0" w:color="auto"/>
        <w:right w:val="none" w:sz="0" w:space="0" w:color="auto"/>
      </w:divBdr>
    </w:div>
    <w:div w:id="2002536061">
      <w:bodyDiv w:val="1"/>
      <w:marLeft w:val="0"/>
      <w:marRight w:val="0"/>
      <w:marTop w:val="0"/>
      <w:marBottom w:val="0"/>
      <w:divBdr>
        <w:top w:val="none" w:sz="0" w:space="0" w:color="auto"/>
        <w:left w:val="none" w:sz="0" w:space="0" w:color="auto"/>
        <w:bottom w:val="none" w:sz="0" w:space="0" w:color="auto"/>
        <w:right w:val="none" w:sz="0" w:space="0" w:color="auto"/>
      </w:divBdr>
    </w:div>
    <w:div w:id="2002584264">
      <w:bodyDiv w:val="1"/>
      <w:marLeft w:val="0"/>
      <w:marRight w:val="0"/>
      <w:marTop w:val="0"/>
      <w:marBottom w:val="0"/>
      <w:divBdr>
        <w:top w:val="none" w:sz="0" w:space="0" w:color="auto"/>
        <w:left w:val="none" w:sz="0" w:space="0" w:color="auto"/>
        <w:bottom w:val="none" w:sz="0" w:space="0" w:color="auto"/>
        <w:right w:val="none" w:sz="0" w:space="0" w:color="auto"/>
      </w:divBdr>
    </w:div>
    <w:div w:id="2004164926">
      <w:bodyDiv w:val="1"/>
      <w:marLeft w:val="0"/>
      <w:marRight w:val="0"/>
      <w:marTop w:val="0"/>
      <w:marBottom w:val="0"/>
      <w:divBdr>
        <w:top w:val="none" w:sz="0" w:space="0" w:color="auto"/>
        <w:left w:val="none" w:sz="0" w:space="0" w:color="auto"/>
        <w:bottom w:val="none" w:sz="0" w:space="0" w:color="auto"/>
        <w:right w:val="none" w:sz="0" w:space="0" w:color="auto"/>
      </w:divBdr>
    </w:div>
    <w:div w:id="2005429535">
      <w:bodyDiv w:val="1"/>
      <w:marLeft w:val="0"/>
      <w:marRight w:val="0"/>
      <w:marTop w:val="0"/>
      <w:marBottom w:val="0"/>
      <w:divBdr>
        <w:top w:val="none" w:sz="0" w:space="0" w:color="auto"/>
        <w:left w:val="none" w:sz="0" w:space="0" w:color="auto"/>
        <w:bottom w:val="none" w:sz="0" w:space="0" w:color="auto"/>
        <w:right w:val="none" w:sz="0" w:space="0" w:color="auto"/>
      </w:divBdr>
    </w:div>
    <w:div w:id="2006013717">
      <w:bodyDiv w:val="1"/>
      <w:marLeft w:val="0"/>
      <w:marRight w:val="0"/>
      <w:marTop w:val="0"/>
      <w:marBottom w:val="0"/>
      <w:divBdr>
        <w:top w:val="none" w:sz="0" w:space="0" w:color="auto"/>
        <w:left w:val="none" w:sz="0" w:space="0" w:color="auto"/>
        <w:bottom w:val="none" w:sz="0" w:space="0" w:color="auto"/>
        <w:right w:val="none" w:sz="0" w:space="0" w:color="auto"/>
      </w:divBdr>
    </w:div>
    <w:div w:id="2006205622">
      <w:bodyDiv w:val="1"/>
      <w:marLeft w:val="0"/>
      <w:marRight w:val="0"/>
      <w:marTop w:val="0"/>
      <w:marBottom w:val="0"/>
      <w:divBdr>
        <w:top w:val="none" w:sz="0" w:space="0" w:color="auto"/>
        <w:left w:val="none" w:sz="0" w:space="0" w:color="auto"/>
        <w:bottom w:val="none" w:sz="0" w:space="0" w:color="auto"/>
        <w:right w:val="none" w:sz="0" w:space="0" w:color="auto"/>
      </w:divBdr>
    </w:div>
    <w:div w:id="2009670477">
      <w:bodyDiv w:val="1"/>
      <w:marLeft w:val="0"/>
      <w:marRight w:val="0"/>
      <w:marTop w:val="0"/>
      <w:marBottom w:val="0"/>
      <w:divBdr>
        <w:top w:val="none" w:sz="0" w:space="0" w:color="auto"/>
        <w:left w:val="none" w:sz="0" w:space="0" w:color="auto"/>
        <w:bottom w:val="none" w:sz="0" w:space="0" w:color="auto"/>
        <w:right w:val="none" w:sz="0" w:space="0" w:color="auto"/>
      </w:divBdr>
    </w:div>
    <w:div w:id="2010063912">
      <w:bodyDiv w:val="1"/>
      <w:marLeft w:val="0"/>
      <w:marRight w:val="0"/>
      <w:marTop w:val="0"/>
      <w:marBottom w:val="0"/>
      <w:divBdr>
        <w:top w:val="none" w:sz="0" w:space="0" w:color="auto"/>
        <w:left w:val="none" w:sz="0" w:space="0" w:color="auto"/>
        <w:bottom w:val="none" w:sz="0" w:space="0" w:color="auto"/>
        <w:right w:val="none" w:sz="0" w:space="0" w:color="auto"/>
      </w:divBdr>
    </w:div>
    <w:div w:id="2010405565">
      <w:bodyDiv w:val="1"/>
      <w:marLeft w:val="0"/>
      <w:marRight w:val="0"/>
      <w:marTop w:val="0"/>
      <w:marBottom w:val="0"/>
      <w:divBdr>
        <w:top w:val="none" w:sz="0" w:space="0" w:color="auto"/>
        <w:left w:val="none" w:sz="0" w:space="0" w:color="auto"/>
        <w:bottom w:val="none" w:sz="0" w:space="0" w:color="auto"/>
        <w:right w:val="none" w:sz="0" w:space="0" w:color="auto"/>
      </w:divBdr>
    </w:div>
    <w:div w:id="2011443503">
      <w:bodyDiv w:val="1"/>
      <w:marLeft w:val="0"/>
      <w:marRight w:val="0"/>
      <w:marTop w:val="0"/>
      <w:marBottom w:val="0"/>
      <w:divBdr>
        <w:top w:val="none" w:sz="0" w:space="0" w:color="auto"/>
        <w:left w:val="none" w:sz="0" w:space="0" w:color="auto"/>
        <w:bottom w:val="none" w:sz="0" w:space="0" w:color="auto"/>
        <w:right w:val="none" w:sz="0" w:space="0" w:color="auto"/>
      </w:divBdr>
    </w:div>
    <w:div w:id="2011716354">
      <w:bodyDiv w:val="1"/>
      <w:marLeft w:val="0"/>
      <w:marRight w:val="0"/>
      <w:marTop w:val="0"/>
      <w:marBottom w:val="0"/>
      <w:divBdr>
        <w:top w:val="none" w:sz="0" w:space="0" w:color="auto"/>
        <w:left w:val="none" w:sz="0" w:space="0" w:color="auto"/>
        <w:bottom w:val="none" w:sz="0" w:space="0" w:color="auto"/>
        <w:right w:val="none" w:sz="0" w:space="0" w:color="auto"/>
      </w:divBdr>
    </w:div>
    <w:div w:id="2011986665">
      <w:bodyDiv w:val="1"/>
      <w:marLeft w:val="0"/>
      <w:marRight w:val="0"/>
      <w:marTop w:val="0"/>
      <w:marBottom w:val="0"/>
      <w:divBdr>
        <w:top w:val="none" w:sz="0" w:space="0" w:color="auto"/>
        <w:left w:val="none" w:sz="0" w:space="0" w:color="auto"/>
        <w:bottom w:val="none" w:sz="0" w:space="0" w:color="auto"/>
        <w:right w:val="none" w:sz="0" w:space="0" w:color="auto"/>
      </w:divBdr>
    </w:div>
    <w:div w:id="2013795547">
      <w:bodyDiv w:val="1"/>
      <w:marLeft w:val="0"/>
      <w:marRight w:val="0"/>
      <w:marTop w:val="0"/>
      <w:marBottom w:val="0"/>
      <w:divBdr>
        <w:top w:val="none" w:sz="0" w:space="0" w:color="auto"/>
        <w:left w:val="none" w:sz="0" w:space="0" w:color="auto"/>
        <w:bottom w:val="none" w:sz="0" w:space="0" w:color="auto"/>
        <w:right w:val="none" w:sz="0" w:space="0" w:color="auto"/>
      </w:divBdr>
    </w:div>
    <w:div w:id="2014914060">
      <w:bodyDiv w:val="1"/>
      <w:marLeft w:val="0"/>
      <w:marRight w:val="0"/>
      <w:marTop w:val="0"/>
      <w:marBottom w:val="0"/>
      <w:divBdr>
        <w:top w:val="none" w:sz="0" w:space="0" w:color="auto"/>
        <w:left w:val="none" w:sz="0" w:space="0" w:color="auto"/>
        <w:bottom w:val="none" w:sz="0" w:space="0" w:color="auto"/>
        <w:right w:val="none" w:sz="0" w:space="0" w:color="auto"/>
      </w:divBdr>
    </w:div>
    <w:div w:id="2015644617">
      <w:bodyDiv w:val="1"/>
      <w:marLeft w:val="0"/>
      <w:marRight w:val="0"/>
      <w:marTop w:val="0"/>
      <w:marBottom w:val="0"/>
      <w:divBdr>
        <w:top w:val="none" w:sz="0" w:space="0" w:color="auto"/>
        <w:left w:val="none" w:sz="0" w:space="0" w:color="auto"/>
        <w:bottom w:val="none" w:sz="0" w:space="0" w:color="auto"/>
        <w:right w:val="none" w:sz="0" w:space="0" w:color="auto"/>
      </w:divBdr>
    </w:div>
    <w:div w:id="2016182238">
      <w:bodyDiv w:val="1"/>
      <w:marLeft w:val="0"/>
      <w:marRight w:val="0"/>
      <w:marTop w:val="0"/>
      <w:marBottom w:val="0"/>
      <w:divBdr>
        <w:top w:val="none" w:sz="0" w:space="0" w:color="auto"/>
        <w:left w:val="none" w:sz="0" w:space="0" w:color="auto"/>
        <w:bottom w:val="none" w:sz="0" w:space="0" w:color="auto"/>
        <w:right w:val="none" w:sz="0" w:space="0" w:color="auto"/>
      </w:divBdr>
    </w:div>
    <w:div w:id="2018656970">
      <w:bodyDiv w:val="1"/>
      <w:marLeft w:val="0"/>
      <w:marRight w:val="0"/>
      <w:marTop w:val="0"/>
      <w:marBottom w:val="0"/>
      <w:divBdr>
        <w:top w:val="none" w:sz="0" w:space="0" w:color="auto"/>
        <w:left w:val="none" w:sz="0" w:space="0" w:color="auto"/>
        <w:bottom w:val="none" w:sz="0" w:space="0" w:color="auto"/>
        <w:right w:val="none" w:sz="0" w:space="0" w:color="auto"/>
      </w:divBdr>
    </w:div>
    <w:div w:id="2018773555">
      <w:bodyDiv w:val="1"/>
      <w:marLeft w:val="0"/>
      <w:marRight w:val="0"/>
      <w:marTop w:val="0"/>
      <w:marBottom w:val="0"/>
      <w:divBdr>
        <w:top w:val="none" w:sz="0" w:space="0" w:color="auto"/>
        <w:left w:val="none" w:sz="0" w:space="0" w:color="auto"/>
        <w:bottom w:val="none" w:sz="0" w:space="0" w:color="auto"/>
        <w:right w:val="none" w:sz="0" w:space="0" w:color="auto"/>
      </w:divBdr>
    </w:div>
    <w:div w:id="2019768583">
      <w:bodyDiv w:val="1"/>
      <w:marLeft w:val="0"/>
      <w:marRight w:val="0"/>
      <w:marTop w:val="0"/>
      <w:marBottom w:val="0"/>
      <w:divBdr>
        <w:top w:val="none" w:sz="0" w:space="0" w:color="auto"/>
        <w:left w:val="none" w:sz="0" w:space="0" w:color="auto"/>
        <w:bottom w:val="none" w:sz="0" w:space="0" w:color="auto"/>
        <w:right w:val="none" w:sz="0" w:space="0" w:color="auto"/>
      </w:divBdr>
    </w:div>
    <w:div w:id="2019965820">
      <w:bodyDiv w:val="1"/>
      <w:marLeft w:val="0"/>
      <w:marRight w:val="0"/>
      <w:marTop w:val="0"/>
      <w:marBottom w:val="0"/>
      <w:divBdr>
        <w:top w:val="none" w:sz="0" w:space="0" w:color="auto"/>
        <w:left w:val="none" w:sz="0" w:space="0" w:color="auto"/>
        <w:bottom w:val="none" w:sz="0" w:space="0" w:color="auto"/>
        <w:right w:val="none" w:sz="0" w:space="0" w:color="auto"/>
      </w:divBdr>
    </w:div>
    <w:div w:id="2021619985">
      <w:bodyDiv w:val="1"/>
      <w:marLeft w:val="0"/>
      <w:marRight w:val="0"/>
      <w:marTop w:val="0"/>
      <w:marBottom w:val="0"/>
      <w:divBdr>
        <w:top w:val="none" w:sz="0" w:space="0" w:color="auto"/>
        <w:left w:val="none" w:sz="0" w:space="0" w:color="auto"/>
        <w:bottom w:val="none" w:sz="0" w:space="0" w:color="auto"/>
        <w:right w:val="none" w:sz="0" w:space="0" w:color="auto"/>
      </w:divBdr>
    </w:div>
    <w:div w:id="2021621191">
      <w:bodyDiv w:val="1"/>
      <w:marLeft w:val="0"/>
      <w:marRight w:val="0"/>
      <w:marTop w:val="0"/>
      <w:marBottom w:val="0"/>
      <w:divBdr>
        <w:top w:val="none" w:sz="0" w:space="0" w:color="auto"/>
        <w:left w:val="none" w:sz="0" w:space="0" w:color="auto"/>
        <w:bottom w:val="none" w:sz="0" w:space="0" w:color="auto"/>
        <w:right w:val="none" w:sz="0" w:space="0" w:color="auto"/>
      </w:divBdr>
    </w:div>
    <w:div w:id="2021882617">
      <w:bodyDiv w:val="1"/>
      <w:marLeft w:val="0"/>
      <w:marRight w:val="0"/>
      <w:marTop w:val="0"/>
      <w:marBottom w:val="0"/>
      <w:divBdr>
        <w:top w:val="none" w:sz="0" w:space="0" w:color="auto"/>
        <w:left w:val="none" w:sz="0" w:space="0" w:color="auto"/>
        <w:bottom w:val="none" w:sz="0" w:space="0" w:color="auto"/>
        <w:right w:val="none" w:sz="0" w:space="0" w:color="auto"/>
      </w:divBdr>
    </w:div>
    <w:div w:id="2024089732">
      <w:bodyDiv w:val="1"/>
      <w:marLeft w:val="0"/>
      <w:marRight w:val="0"/>
      <w:marTop w:val="0"/>
      <w:marBottom w:val="0"/>
      <w:divBdr>
        <w:top w:val="none" w:sz="0" w:space="0" w:color="auto"/>
        <w:left w:val="none" w:sz="0" w:space="0" w:color="auto"/>
        <w:bottom w:val="none" w:sz="0" w:space="0" w:color="auto"/>
        <w:right w:val="none" w:sz="0" w:space="0" w:color="auto"/>
      </w:divBdr>
    </w:div>
    <w:div w:id="2024743221">
      <w:bodyDiv w:val="1"/>
      <w:marLeft w:val="0"/>
      <w:marRight w:val="0"/>
      <w:marTop w:val="0"/>
      <w:marBottom w:val="0"/>
      <w:divBdr>
        <w:top w:val="none" w:sz="0" w:space="0" w:color="auto"/>
        <w:left w:val="none" w:sz="0" w:space="0" w:color="auto"/>
        <w:bottom w:val="none" w:sz="0" w:space="0" w:color="auto"/>
        <w:right w:val="none" w:sz="0" w:space="0" w:color="auto"/>
      </w:divBdr>
    </w:div>
    <w:div w:id="2025549820">
      <w:bodyDiv w:val="1"/>
      <w:marLeft w:val="0"/>
      <w:marRight w:val="0"/>
      <w:marTop w:val="0"/>
      <w:marBottom w:val="0"/>
      <w:divBdr>
        <w:top w:val="none" w:sz="0" w:space="0" w:color="auto"/>
        <w:left w:val="none" w:sz="0" w:space="0" w:color="auto"/>
        <w:bottom w:val="none" w:sz="0" w:space="0" w:color="auto"/>
        <w:right w:val="none" w:sz="0" w:space="0" w:color="auto"/>
      </w:divBdr>
    </w:div>
    <w:div w:id="2025669535">
      <w:bodyDiv w:val="1"/>
      <w:marLeft w:val="0"/>
      <w:marRight w:val="0"/>
      <w:marTop w:val="0"/>
      <w:marBottom w:val="0"/>
      <w:divBdr>
        <w:top w:val="none" w:sz="0" w:space="0" w:color="auto"/>
        <w:left w:val="none" w:sz="0" w:space="0" w:color="auto"/>
        <w:bottom w:val="none" w:sz="0" w:space="0" w:color="auto"/>
        <w:right w:val="none" w:sz="0" w:space="0" w:color="auto"/>
      </w:divBdr>
    </w:div>
    <w:div w:id="2025858874">
      <w:bodyDiv w:val="1"/>
      <w:marLeft w:val="0"/>
      <w:marRight w:val="0"/>
      <w:marTop w:val="0"/>
      <w:marBottom w:val="0"/>
      <w:divBdr>
        <w:top w:val="none" w:sz="0" w:space="0" w:color="auto"/>
        <w:left w:val="none" w:sz="0" w:space="0" w:color="auto"/>
        <w:bottom w:val="none" w:sz="0" w:space="0" w:color="auto"/>
        <w:right w:val="none" w:sz="0" w:space="0" w:color="auto"/>
      </w:divBdr>
    </w:div>
    <w:div w:id="2026010880">
      <w:bodyDiv w:val="1"/>
      <w:marLeft w:val="0"/>
      <w:marRight w:val="0"/>
      <w:marTop w:val="0"/>
      <w:marBottom w:val="0"/>
      <w:divBdr>
        <w:top w:val="none" w:sz="0" w:space="0" w:color="auto"/>
        <w:left w:val="none" w:sz="0" w:space="0" w:color="auto"/>
        <w:bottom w:val="none" w:sz="0" w:space="0" w:color="auto"/>
        <w:right w:val="none" w:sz="0" w:space="0" w:color="auto"/>
      </w:divBdr>
    </w:div>
    <w:div w:id="2029332780">
      <w:bodyDiv w:val="1"/>
      <w:marLeft w:val="0"/>
      <w:marRight w:val="0"/>
      <w:marTop w:val="0"/>
      <w:marBottom w:val="0"/>
      <w:divBdr>
        <w:top w:val="none" w:sz="0" w:space="0" w:color="auto"/>
        <w:left w:val="none" w:sz="0" w:space="0" w:color="auto"/>
        <w:bottom w:val="none" w:sz="0" w:space="0" w:color="auto"/>
        <w:right w:val="none" w:sz="0" w:space="0" w:color="auto"/>
      </w:divBdr>
    </w:div>
    <w:div w:id="2029679195">
      <w:bodyDiv w:val="1"/>
      <w:marLeft w:val="0"/>
      <w:marRight w:val="0"/>
      <w:marTop w:val="0"/>
      <w:marBottom w:val="0"/>
      <w:divBdr>
        <w:top w:val="none" w:sz="0" w:space="0" w:color="auto"/>
        <w:left w:val="none" w:sz="0" w:space="0" w:color="auto"/>
        <w:bottom w:val="none" w:sz="0" w:space="0" w:color="auto"/>
        <w:right w:val="none" w:sz="0" w:space="0" w:color="auto"/>
      </w:divBdr>
    </w:div>
    <w:div w:id="2032871763">
      <w:bodyDiv w:val="1"/>
      <w:marLeft w:val="0"/>
      <w:marRight w:val="0"/>
      <w:marTop w:val="0"/>
      <w:marBottom w:val="0"/>
      <w:divBdr>
        <w:top w:val="none" w:sz="0" w:space="0" w:color="auto"/>
        <w:left w:val="none" w:sz="0" w:space="0" w:color="auto"/>
        <w:bottom w:val="none" w:sz="0" w:space="0" w:color="auto"/>
        <w:right w:val="none" w:sz="0" w:space="0" w:color="auto"/>
      </w:divBdr>
    </w:div>
    <w:div w:id="2033336194">
      <w:bodyDiv w:val="1"/>
      <w:marLeft w:val="0"/>
      <w:marRight w:val="0"/>
      <w:marTop w:val="0"/>
      <w:marBottom w:val="0"/>
      <w:divBdr>
        <w:top w:val="none" w:sz="0" w:space="0" w:color="auto"/>
        <w:left w:val="none" w:sz="0" w:space="0" w:color="auto"/>
        <w:bottom w:val="none" w:sz="0" w:space="0" w:color="auto"/>
        <w:right w:val="none" w:sz="0" w:space="0" w:color="auto"/>
      </w:divBdr>
    </w:div>
    <w:div w:id="2033410638">
      <w:bodyDiv w:val="1"/>
      <w:marLeft w:val="0"/>
      <w:marRight w:val="0"/>
      <w:marTop w:val="0"/>
      <w:marBottom w:val="0"/>
      <w:divBdr>
        <w:top w:val="none" w:sz="0" w:space="0" w:color="auto"/>
        <w:left w:val="none" w:sz="0" w:space="0" w:color="auto"/>
        <w:bottom w:val="none" w:sz="0" w:space="0" w:color="auto"/>
        <w:right w:val="none" w:sz="0" w:space="0" w:color="auto"/>
      </w:divBdr>
    </w:div>
    <w:div w:id="2035227266">
      <w:bodyDiv w:val="1"/>
      <w:marLeft w:val="0"/>
      <w:marRight w:val="0"/>
      <w:marTop w:val="0"/>
      <w:marBottom w:val="0"/>
      <w:divBdr>
        <w:top w:val="none" w:sz="0" w:space="0" w:color="auto"/>
        <w:left w:val="none" w:sz="0" w:space="0" w:color="auto"/>
        <w:bottom w:val="none" w:sz="0" w:space="0" w:color="auto"/>
        <w:right w:val="none" w:sz="0" w:space="0" w:color="auto"/>
      </w:divBdr>
    </w:div>
    <w:div w:id="2035576694">
      <w:bodyDiv w:val="1"/>
      <w:marLeft w:val="0"/>
      <w:marRight w:val="0"/>
      <w:marTop w:val="0"/>
      <w:marBottom w:val="0"/>
      <w:divBdr>
        <w:top w:val="none" w:sz="0" w:space="0" w:color="auto"/>
        <w:left w:val="none" w:sz="0" w:space="0" w:color="auto"/>
        <w:bottom w:val="none" w:sz="0" w:space="0" w:color="auto"/>
        <w:right w:val="none" w:sz="0" w:space="0" w:color="auto"/>
      </w:divBdr>
    </w:div>
    <w:div w:id="2035686202">
      <w:bodyDiv w:val="1"/>
      <w:marLeft w:val="0"/>
      <w:marRight w:val="0"/>
      <w:marTop w:val="0"/>
      <w:marBottom w:val="0"/>
      <w:divBdr>
        <w:top w:val="none" w:sz="0" w:space="0" w:color="auto"/>
        <w:left w:val="none" w:sz="0" w:space="0" w:color="auto"/>
        <w:bottom w:val="none" w:sz="0" w:space="0" w:color="auto"/>
        <w:right w:val="none" w:sz="0" w:space="0" w:color="auto"/>
      </w:divBdr>
    </w:div>
    <w:div w:id="2036344833">
      <w:bodyDiv w:val="1"/>
      <w:marLeft w:val="0"/>
      <w:marRight w:val="0"/>
      <w:marTop w:val="0"/>
      <w:marBottom w:val="0"/>
      <w:divBdr>
        <w:top w:val="none" w:sz="0" w:space="0" w:color="auto"/>
        <w:left w:val="none" w:sz="0" w:space="0" w:color="auto"/>
        <w:bottom w:val="none" w:sz="0" w:space="0" w:color="auto"/>
        <w:right w:val="none" w:sz="0" w:space="0" w:color="auto"/>
      </w:divBdr>
    </w:div>
    <w:div w:id="2038041399">
      <w:bodyDiv w:val="1"/>
      <w:marLeft w:val="0"/>
      <w:marRight w:val="0"/>
      <w:marTop w:val="0"/>
      <w:marBottom w:val="0"/>
      <w:divBdr>
        <w:top w:val="none" w:sz="0" w:space="0" w:color="auto"/>
        <w:left w:val="none" w:sz="0" w:space="0" w:color="auto"/>
        <w:bottom w:val="none" w:sz="0" w:space="0" w:color="auto"/>
        <w:right w:val="none" w:sz="0" w:space="0" w:color="auto"/>
      </w:divBdr>
    </w:div>
    <w:div w:id="2038698334">
      <w:bodyDiv w:val="1"/>
      <w:marLeft w:val="0"/>
      <w:marRight w:val="0"/>
      <w:marTop w:val="0"/>
      <w:marBottom w:val="0"/>
      <w:divBdr>
        <w:top w:val="none" w:sz="0" w:space="0" w:color="auto"/>
        <w:left w:val="none" w:sz="0" w:space="0" w:color="auto"/>
        <w:bottom w:val="none" w:sz="0" w:space="0" w:color="auto"/>
        <w:right w:val="none" w:sz="0" w:space="0" w:color="auto"/>
      </w:divBdr>
    </w:div>
    <w:div w:id="2039578021">
      <w:bodyDiv w:val="1"/>
      <w:marLeft w:val="0"/>
      <w:marRight w:val="0"/>
      <w:marTop w:val="0"/>
      <w:marBottom w:val="0"/>
      <w:divBdr>
        <w:top w:val="none" w:sz="0" w:space="0" w:color="auto"/>
        <w:left w:val="none" w:sz="0" w:space="0" w:color="auto"/>
        <w:bottom w:val="none" w:sz="0" w:space="0" w:color="auto"/>
        <w:right w:val="none" w:sz="0" w:space="0" w:color="auto"/>
      </w:divBdr>
    </w:div>
    <w:div w:id="2040083513">
      <w:bodyDiv w:val="1"/>
      <w:marLeft w:val="0"/>
      <w:marRight w:val="0"/>
      <w:marTop w:val="0"/>
      <w:marBottom w:val="0"/>
      <w:divBdr>
        <w:top w:val="none" w:sz="0" w:space="0" w:color="auto"/>
        <w:left w:val="none" w:sz="0" w:space="0" w:color="auto"/>
        <w:bottom w:val="none" w:sz="0" w:space="0" w:color="auto"/>
        <w:right w:val="none" w:sz="0" w:space="0" w:color="auto"/>
      </w:divBdr>
    </w:div>
    <w:div w:id="2040399925">
      <w:bodyDiv w:val="1"/>
      <w:marLeft w:val="0"/>
      <w:marRight w:val="0"/>
      <w:marTop w:val="0"/>
      <w:marBottom w:val="0"/>
      <w:divBdr>
        <w:top w:val="none" w:sz="0" w:space="0" w:color="auto"/>
        <w:left w:val="none" w:sz="0" w:space="0" w:color="auto"/>
        <w:bottom w:val="none" w:sz="0" w:space="0" w:color="auto"/>
        <w:right w:val="none" w:sz="0" w:space="0" w:color="auto"/>
      </w:divBdr>
    </w:div>
    <w:div w:id="2040467793">
      <w:bodyDiv w:val="1"/>
      <w:marLeft w:val="0"/>
      <w:marRight w:val="0"/>
      <w:marTop w:val="0"/>
      <w:marBottom w:val="0"/>
      <w:divBdr>
        <w:top w:val="none" w:sz="0" w:space="0" w:color="auto"/>
        <w:left w:val="none" w:sz="0" w:space="0" w:color="auto"/>
        <w:bottom w:val="none" w:sz="0" w:space="0" w:color="auto"/>
        <w:right w:val="none" w:sz="0" w:space="0" w:color="auto"/>
      </w:divBdr>
    </w:div>
    <w:div w:id="2042826337">
      <w:bodyDiv w:val="1"/>
      <w:marLeft w:val="0"/>
      <w:marRight w:val="0"/>
      <w:marTop w:val="0"/>
      <w:marBottom w:val="0"/>
      <w:divBdr>
        <w:top w:val="none" w:sz="0" w:space="0" w:color="auto"/>
        <w:left w:val="none" w:sz="0" w:space="0" w:color="auto"/>
        <w:bottom w:val="none" w:sz="0" w:space="0" w:color="auto"/>
        <w:right w:val="none" w:sz="0" w:space="0" w:color="auto"/>
      </w:divBdr>
    </w:div>
    <w:div w:id="2050522956">
      <w:bodyDiv w:val="1"/>
      <w:marLeft w:val="0"/>
      <w:marRight w:val="0"/>
      <w:marTop w:val="0"/>
      <w:marBottom w:val="0"/>
      <w:divBdr>
        <w:top w:val="none" w:sz="0" w:space="0" w:color="auto"/>
        <w:left w:val="none" w:sz="0" w:space="0" w:color="auto"/>
        <w:bottom w:val="none" w:sz="0" w:space="0" w:color="auto"/>
        <w:right w:val="none" w:sz="0" w:space="0" w:color="auto"/>
      </w:divBdr>
    </w:div>
    <w:div w:id="2050569840">
      <w:bodyDiv w:val="1"/>
      <w:marLeft w:val="0"/>
      <w:marRight w:val="0"/>
      <w:marTop w:val="0"/>
      <w:marBottom w:val="0"/>
      <w:divBdr>
        <w:top w:val="none" w:sz="0" w:space="0" w:color="auto"/>
        <w:left w:val="none" w:sz="0" w:space="0" w:color="auto"/>
        <w:bottom w:val="none" w:sz="0" w:space="0" w:color="auto"/>
        <w:right w:val="none" w:sz="0" w:space="0" w:color="auto"/>
      </w:divBdr>
    </w:div>
    <w:div w:id="2051608565">
      <w:bodyDiv w:val="1"/>
      <w:marLeft w:val="0"/>
      <w:marRight w:val="0"/>
      <w:marTop w:val="0"/>
      <w:marBottom w:val="0"/>
      <w:divBdr>
        <w:top w:val="none" w:sz="0" w:space="0" w:color="auto"/>
        <w:left w:val="none" w:sz="0" w:space="0" w:color="auto"/>
        <w:bottom w:val="none" w:sz="0" w:space="0" w:color="auto"/>
        <w:right w:val="none" w:sz="0" w:space="0" w:color="auto"/>
      </w:divBdr>
    </w:div>
    <w:div w:id="2052224148">
      <w:bodyDiv w:val="1"/>
      <w:marLeft w:val="0"/>
      <w:marRight w:val="0"/>
      <w:marTop w:val="0"/>
      <w:marBottom w:val="0"/>
      <w:divBdr>
        <w:top w:val="none" w:sz="0" w:space="0" w:color="auto"/>
        <w:left w:val="none" w:sz="0" w:space="0" w:color="auto"/>
        <w:bottom w:val="none" w:sz="0" w:space="0" w:color="auto"/>
        <w:right w:val="none" w:sz="0" w:space="0" w:color="auto"/>
      </w:divBdr>
    </w:div>
    <w:div w:id="2054231439">
      <w:bodyDiv w:val="1"/>
      <w:marLeft w:val="0"/>
      <w:marRight w:val="0"/>
      <w:marTop w:val="0"/>
      <w:marBottom w:val="0"/>
      <w:divBdr>
        <w:top w:val="none" w:sz="0" w:space="0" w:color="auto"/>
        <w:left w:val="none" w:sz="0" w:space="0" w:color="auto"/>
        <w:bottom w:val="none" w:sz="0" w:space="0" w:color="auto"/>
        <w:right w:val="none" w:sz="0" w:space="0" w:color="auto"/>
      </w:divBdr>
    </w:div>
    <w:div w:id="2054847071">
      <w:bodyDiv w:val="1"/>
      <w:marLeft w:val="0"/>
      <w:marRight w:val="0"/>
      <w:marTop w:val="0"/>
      <w:marBottom w:val="0"/>
      <w:divBdr>
        <w:top w:val="none" w:sz="0" w:space="0" w:color="auto"/>
        <w:left w:val="none" w:sz="0" w:space="0" w:color="auto"/>
        <w:bottom w:val="none" w:sz="0" w:space="0" w:color="auto"/>
        <w:right w:val="none" w:sz="0" w:space="0" w:color="auto"/>
      </w:divBdr>
    </w:div>
    <w:div w:id="2055151264">
      <w:bodyDiv w:val="1"/>
      <w:marLeft w:val="0"/>
      <w:marRight w:val="0"/>
      <w:marTop w:val="0"/>
      <w:marBottom w:val="0"/>
      <w:divBdr>
        <w:top w:val="none" w:sz="0" w:space="0" w:color="auto"/>
        <w:left w:val="none" w:sz="0" w:space="0" w:color="auto"/>
        <w:bottom w:val="none" w:sz="0" w:space="0" w:color="auto"/>
        <w:right w:val="none" w:sz="0" w:space="0" w:color="auto"/>
      </w:divBdr>
    </w:div>
    <w:div w:id="2056468859">
      <w:bodyDiv w:val="1"/>
      <w:marLeft w:val="0"/>
      <w:marRight w:val="0"/>
      <w:marTop w:val="0"/>
      <w:marBottom w:val="0"/>
      <w:divBdr>
        <w:top w:val="none" w:sz="0" w:space="0" w:color="auto"/>
        <w:left w:val="none" w:sz="0" w:space="0" w:color="auto"/>
        <w:bottom w:val="none" w:sz="0" w:space="0" w:color="auto"/>
        <w:right w:val="none" w:sz="0" w:space="0" w:color="auto"/>
      </w:divBdr>
    </w:div>
    <w:div w:id="2058120663">
      <w:bodyDiv w:val="1"/>
      <w:marLeft w:val="0"/>
      <w:marRight w:val="0"/>
      <w:marTop w:val="0"/>
      <w:marBottom w:val="0"/>
      <w:divBdr>
        <w:top w:val="none" w:sz="0" w:space="0" w:color="auto"/>
        <w:left w:val="none" w:sz="0" w:space="0" w:color="auto"/>
        <w:bottom w:val="none" w:sz="0" w:space="0" w:color="auto"/>
        <w:right w:val="none" w:sz="0" w:space="0" w:color="auto"/>
      </w:divBdr>
    </w:div>
    <w:div w:id="2058432992">
      <w:bodyDiv w:val="1"/>
      <w:marLeft w:val="0"/>
      <w:marRight w:val="0"/>
      <w:marTop w:val="0"/>
      <w:marBottom w:val="0"/>
      <w:divBdr>
        <w:top w:val="none" w:sz="0" w:space="0" w:color="auto"/>
        <w:left w:val="none" w:sz="0" w:space="0" w:color="auto"/>
        <w:bottom w:val="none" w:sz="0" w:space="0" w:color="auto"/>
        <w:right w:val="none" w:sz="0" w:space="0" w:color="auto"/>
      </w:divBdr>
      <w:divsChild>
        <w:div w:id="2133286118">
          <w:marLeft w:val="0"/>
          <w:marRight w:val="0"/>
          <w:marTop w:val="0"/>
          <w:marBottom w:val="0"/>
          <w:divBdr>
            <w:top w:val="none" w:sz="0" w:space="0" w:color="auto"/>
            <w:left w:val="none" w:sz="0" w:space="0" w:color="auto"/>
            <w:bottom w:val="none" w:sz="0" w:space="0" w:color="auto"/>
            <w:right w:val="none" w:sz="0" w:space="0" w:color="auto"/>
          </w:divBdr>
          <w:divsChild>
            <w:div w:id="1531143779">
              <w:marLeft w:val="0"/>
              <w:marRight w:val="0"/>
              <w:marTop w:val="0"/>
              <w:marBottom w:val="0"/>
              <w:divBdr>
                <w:top w:val="none" w:sz="0" w:space="0" w:color="auto"/>
                <w:left w:val="none" w:sz="0" w:space="0" w:color="auto"/>
                <w:bottom w:val="none" w:sz="0" w:space="0" w:color="auto"/>
                <w:right w:val="none" w:sz="0" w:space="0" w:color="auto"/>
              </w:divBdr>
              <w:divsChild>
                <w:div w:id="885484564">
                  <w:marLeft w:val="0"/>
                  <w:marRight w:val="0"/>
                  <w:marTop w:val="0"/>
                  <w:marBottom w:val="0"/>
                  <w:divBdr>
                    <w:top w:val="none" w:sz="0" w:space="0" w:color="auto"/>
                    <w:left w:val="none" w:sz="0" w:space="0" w:color="auto"/>
                    <w:bottom w:val="none" w:sz="0" w:space="0" w:color="auto"/>
                    <w:right w:val="none" w:sz="0" w:space="0" w:color="auto"/>
                  </w:divBdr>
                  <w:divsChild>
                    <w:div w:id="4569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19745">
      <w:bodyDiv w:val="1"/>
      <w:marLeft w:val="0"/>
      <w:marRight w:val="0"/>
      <w:marTop w:val="0"/>
      <w:marBottom w:val="0"/>
      <w:divBdr>
        <w:top w:val="none" w:sz="0" w:space="0" w:color="auto"/>
        <w:left w:val="none" w:sz="0" w:space="0" w:color="auto"/>
        <w:bottom w:val="none" w:sz="0" w:space="0" w:color="auto"/>
        <w:right w:val="none" w:sz="0" w:space="0" w:color="auto"/>
      </w:divBdr>
    </w:div>
    <w:div w:id="2061399386">
      <w:bodyDiv w:val="1"/>
      <w:marLeft w:val="0"/>
      <w:marRight w:val="0"/>
      <w:marTop w:val="0"/>
      <w:marBottom w:val="0"/>
      <w:divBdr>
        <w:top w:val="none" w:sz="0" w:space="0" w:color="auto"/>
        <w:left w:val="none" w:sz="0" w:space="0" w:color="auto"/>
        <w:bottom w:val="none" w:sz="0" w:space="0" w:color="auto"/>
        <w:right w:val="none" w:sz="0" w:space="0" w:color="auto"/>
      </w:divBdr>
    </w:div>
    <w:div w:id="2061631628">
      <w:bodyDiv w:val="1"/>
      <w:marLeft w:val="0"/>
      <w:marRight w:val="0"/>
      <w:marTop w:val="0"/>
      <w:marBottom w:val="0"/>
      <w:divBdr>
        <w:top w:val="none" w:sz="0" w:space="0" w:color="auto"/>
        <w:left w:val="none" w:sz="0" w:space="0" w:color="auto"/>
        <w:bottom w:val="none" w:sz="0" w:space="0" w:color="auto"/>
        <w:right w:val="none" w:sz="0" w:space="0" w:color="auto"/>
      </w:divBdr>
    </w:div>
    <w:div w:id="2062287960">
      <w:bodyDiv w:val="1"/>
      <w:marLeft w:val="0"/>
      <w:marRight w:val="0"/>
      <w:marTop w:val="0"/>
      <w:marBottom w:val="0"/>
      <w:divBdr>
        <w:top w:val="none" w:sz="0" w:space="0" w:color="auto"/>
        <w:left w:val="none" w:sz="0" w:space="0" w:color="auto"/>
        <w:bottom w:val="none" w:sz="0" w:space="0" w:color="auto"/>
        <w:right w:val="none" w:sz="0" w:space="0" w:color="auto"/>
      </w:divBdr>
    </w:div>
    <w:div w:id="2062745816">
      <w:bodyDiv w:val="1"/>
      <w:marLeft w:val="0"/>
      <w:marRight w:val="0"/>
      <w:marTop w:val="0"/>
      <w:marBottom w:val="0"/>
      <w:divBdr>
        <w:top w:val="none" w:sz="0" w:space="0" w:color="auto"/>
        <w:left w:val="none" w:sz="0" w:space="0" w:color="auto"/>
        <w:bottom w:val="none" w:sz="0" w:space="0" w:color="auto"/>
        <w:right w:val="none" w:sz="0" w:space="0" w:color="auto"/>
      </w:divBdr>
    </w:div>
    <w:div w:id="2063360017">
      <w:bodyDiv w:val="1"/>
      <w:marLeft w:val="0"/>
      <w:marRight w:val="0"/>
      <w:marTop w:val="0"/>
      <w:marBottom w:val="0"/>
      <w:divBdr>
        <w:top w:val="none" w:sz="0" w:space="0" w:color="auto"/>
        <w:left w:val="none" w:sz="0" w:space="0" w:color="auto"/>
        <w:bottom w:val="none" w:sz="0" w:space="0" w:color="auto"/>
        <w:right w:val="none" w:sz="0" w:space="0" w:color="auto"/>
      </w:divBdr>
    </w:div>
    <w:div w:id="2063673968">
      <w:bodyDiv w:val="1"/>
      <w:marLeft w:val="0"/>
      <w:marRight w:val="0"/>
      <w:marTop w:val="0"/>
      <w:marBottom w:val="0"/>
      <w:divBdr>
        <w:top w:val="none" w:sz="0" w:space="0" w:color="auto"/>
        <w:left w:val="none" w:sz="0" w:space="0" w:color="auto"/>
        <w:bottom w:val="none" w:sz="0" w:space="0" w:color="auto"/>
        <w:right w:val="none" w:sz="0" w:space="0" w:color="auto"/>
      </w:divBdr>
    </w:div>
    <w:div w:id="2064213147">
      <w:bodyDiv w:val="1"/>
      <w:marLeft w:val="0"/>
      <w:marRight w:val="0"/>
      <w:marTop w:val="0"/>
      <w:marBottom w:val="0"/>
      <w:divBdr>
        <w:top w:val="none" w:sz="0" w:space="0" w:color="auto"/>
        <w:left w:val="none" w:sz="0" w:space="0" w:color="auto"/>
        <w:bottom w:val="none" w:sz="0" w:space="0" w:color="auto"/>
        <w:right w:val="none" w:sz="0" w:space="0" w:color="auto"/>
      </w:divBdr>
      <w:divsChild>
        <w:div w:id="646280870">
          <w:marLeft w:val="0"/>
          <w:marRight w:val="0"/>
          <w:marTop w:val="0"/>
          <w:marBottom w:val="0"/>
          <w:divBdr>
            <w:top w:val="none" w:sz="0" w:space="0" w:color="auto"/>
            <w:left w:val="none" w:sz="0" w:space="0" w:color="auto"/>
            <w:bottom w:val="none" w:sz="0" w:space="0" w:color="auto"/>
            <w:right w:val="none" w:sz="0" w:space="0" w:color="auto"/>
          </w:divBdr>
          <w:divsChild>
            <w:div w:id="655575303">
              <w:marLeft w:val="0"/>
              <w:marRight w:val="0"/>
              <w:marTop w:val="0"/>
              <w:marBottom w:val="0"/>
              <w:divBdr>
                <w:top w:val="none" w:sz="0" w:space="0" w:color="auto"/>
                <w:left w:val="none" w:sz="0" w:space="0" w:color="auto"/>
                <w:bottom w:val="none" w:sz="0" w:space="0" w:color="auto"/>
                <w:right w:val="none" w:sz="0" w:space="0" w:color="auto"/>
              </w:divBdr>
              <w:divsChild>
                <w:div w:id="886180749">
                  <w:marLeft w:val="0"/>
                  <w:marRight w:val="0"/>
                  <w:marTop w:val="0"/>
                  <w:marBottom w:val="0"/>
                  <w:divBdr>
                    <w:top w:val="none" w:sz="0" w:space="0" w:color="auto"/>
                    <w:left w:val="none" w:sz="0" w:space="0" w:color="auto"/>
                    <w:bottom w:val="none" w:sz="0" w:space="0" w:color="auto"/>
                    <w:right w:val="none" w:sz="0" w:space="0" w:color="auto"/>
                  </w:divBdr>
                  <w:divsChild>
                    <w:div w:id="20815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58049">
      <w:bodyDiv w:val="1"/>
      <w:marLeft w:val="0"/>
      <w:marRight w:val="0"/>
      <w:marTop w:val="0"/>
      <w:marBottom w:val="0"/>
      <w:divBdr>
        <w:top w:val="none" w:sz="0" w:space="0" w:color="auto"/>
        <w:left w:val="none" w:sz="0" w:space="0" w:color="auto"/>
        <w:bottom w:val="none" w:sz="0" w:space="0" w:color="auto"/>
        <w:right w:val="none" w:sz="0" w:space="0" w:color="auto"/>
      </w:divBdr>
    </w:div>
    <w:div w:id="2067560167">
      <w:bodyDiv w:val="1"/>
      <w:marLeft w:val="0"/>
      <w:marRight w:val="0"/>
      <w:marTop w:val="0"/>
      <w:marBottom w:val="0"/>
      <w:divBdr>
        <w:top w:val="none" w:sz="0" w:space="0" w:color="auto"/>
        <w:left w:val="none" w:sz="0" w:space="0" w:color="auto"/>
        <w:bottom w:val="none" w:sz="0" w:space="0" w:color="auto"/>
        <w:right w:val="none" w:sz="0" w:space="0" w:color="auto"/>
      </w:divBdr>
    </w:div>
    <w:div w:id="2067990417">
      <w:bodyDiv w:val="1"/>
      <w:marLeft w:val="0"/>
      <w:marRight w:val="0"/>
      <w:marTop w:val="0"/>
      <w:marBottom w:val="0"/>
      <w:divBdr>
        <w:top w:val="none" w:sz="0" w:space="0" w:color="auto"/>
        <w:left w:val="none" w:sz="0" w:space="0" w:color="auto"/>
        <w:bottom w:val="none" w:sz="0" w:space="0" w:color="auto"/>
        <w:right w:val="none" w:sz="0" w:space="0" w:color="auto"/>
      </w:divBdr>
    </w:div>
    <w:div w:id="2069456755">
      <w:bodyDiv w:val="1"/>
      <w:marLeft w:val="0"/>
      <w:marRight w:val="0"/>
      <w:marTop w:val="0"/>
      <w:marBottom w:val="0"/>
      <w:divBdr>
        <w:top w:val="none" w:sz="0" w:space="0" w:color="auto"/>
        <w:left w:val="none" w:sz="0" w:space="0" w:color="auto"/>
        <w:bottom w:val="none" w:sz="0" w:space="0" w:color="auto"/>
        <w:right w:val="none" w:sz="0" w:space="0" w:color="auto"/>
      </w:divBdr>
    </w:div>
    <w:div w:id="2069839899">
      <w:bodyDiv w:val="1"/>
      <w:marLeft w:val="0"/>
      <w:marRight w:val="0"/>
      <w:marTop w:val="0"/>
      <w:marBottom w:val="0"/>
      <w:divBdr>
        <w:top w:val="none" w:sz="0" w:space="0" w:color="auto"/>
        <w:left w:val="none" w:sz="0" w:space="0" w:color="auto"/>
        <w:bottom w:val="none" w:sz="0" w:space="0" w:color="auto"/>
        <w:right w:val="none" w:sz="0" w:space="0" w:color="auto"/>
      </w:divBdr>
    </w:div>
    <w:div w:id="2070376576">
      <w:bodyDiv w:val="1"/>
      <w:marLeft w:val="0"/>
      <w:marRight w:val="0"/>
      <w:marTop w:val="0"/>
      <w:marBottom w:val="0"/>
      <w:divBdr>
        <w:top w:val="none" w:sz="0" w:space="0" w:color="auto"/>
        <w:left w:val="none" w:sz="0" w:space="0" w:color="auto"/>
        <w:bottom w:val="none" w:sz="0" w:space="0" w:color="auto"/>
        <w:right w:val="none" w:sz="0" w:space="0" w:color="auto"/>
      </w:divBdr>
    </w:div>
    <w:div w:id="2072653654">
      <w:bodyDiv w:val="1"/>
      <w:marLeft w:val="0"/>
      <w:marRight w:val="0"/>
      <w:marTop w:val="0"/>
      <w:marBottom w:val="0"/>
      <w:divBdr>
        <w:top w:val="none" w:sz="0" w:space="0" w:color="auto"/>
        <w:left w:val="none" w:sz="0" w:space="0" w:color="auto"/>
        <w:bottom w:val="none" w:sz="0" w:space="0" w:color="auto"/>
        <w:right w:val="none" w:sz="0" w:space="0" w:color="auto"/>
      </w:divBdr>
    </w:div>
    <w:div w:id="2073460671">
      <w:bodyDiv w:val="1"/>
      <w:marLeft w:val="0"/>
      <w:marRight w:val="0"/>
      <w:marTop w:val="0"/>
      <w:marBottom w:val="0"/>
      <w:divBdr>
        <w:top w:val="none" w:sz="0" w:space="0" w:color="auto"/>
        <w:left w:val="none" w:sz="0" w:space="0" w:color="auto"/>
        <w:bottom w:val="none" w:sz="0" w:space="0" w:color="auto"/>
        <w:right w:val="none" w:sz="0" w:space="0" w:color="auto"/>
      </w:divBdr>
    </w:div>
    <w:div w:id="2075741067">
      <w:bodyDiv w:val="1"/>
      <w:marLeft w:val="0"/>
      <w:marRight w:val="0"/>
      <w:marTop w:val="0"/>
      <w:marBottom w:val="0"/>
      <w:divBdr>
        <w:top w:val="none" w:sz="0" w:space="0" w:color="auto"/>
        <w:left w:val="none" w:sz="0" w:space="0" w:color="auto"/>
        <w:bottom w:val="none" w:sz="0" w:space="0" w:color="auto"/>
        <w:right w:val="none" w:sz="0" w:space="0" w:color="auto"/>
      </w:divBdr>
    </w:div>
    <w:div w:id="2077776633">
      <w:bodyDiv w:val="1"/>
      <w:marLeft w:val="0"/>
      <w:marRight w:val="0"/>
      <w:marTop w:val="0"/>
      <w:marBottom w:val="0"/>
      <w:divBdr>
        <w:top w:val="none" w:sz="0" w:space="0" w:color="auto"/>
        <w:left w:val="none" w:sz="0" w:space="0" w:color="auto"/>
        <w:bottom w:val="none" w:sz="0" w:space="0" w:color="auto"/>
        <w:right w:val="none" w:sz="0" w:space="0" w:color="auto"/>
      </w:divBdr>
    </w:div>
    <w:div w:id="2079130891">
      <w:bodyDiv w:val="1"/>
      <w:marLeft w:val="0"/>
      <w:marRight w:val="0"/>
      <w:marTop w:val="0"/>
      <w:marBottom w:val="0"/>
      <w:divBdr>
        <w:top w:val="none" w:sz="0" w:space="0" w:color="auto"/>
        <w:left w:val="none" w:sz="0" w:space="0" w:color="auto"/>
        <w:bottom w:val="none" w:sz="0" w:space="0" w:color="auto"/>
        <w:right w:val="none" w:sz="0" w:space="0" w:color="auto"/>
      </w:divBdr>
    </w:div>
    <w:div w:id="2080471824">
      <w:bodyDiv w:val="1"/>
      <w:marLeft w:val="0"/>
      <w:marRight w:val="0"/>
      <w:marTop w:val="0"/>
      <w:marBottom w:val="0"/>
      <w:divBdr>
        <w:top w:val="none" w:sz="0" w:space="0" w:color="auto"/>
        <w:left w:val="none" w:sz="0" w:space="0" w:color="auto"/>
        <w:bottom w:val="none" w:sz="0" w:space="0" w:color="auto"/>
        <w:right w:val="none" w:sz="0" w:space="0" w:color="auto"/>
      </w:divBdr>
    </w:div>
    <w:div w:id="2081437937">
      <w:bodyDiv w:val="1"/>
      <w:marLeft w:val="0"/>
      <w:marRight w:val="0"/>
      <w:marTop w:val="0"/>
      <w:marBottom w:val="0"/>
      <w:divBdr>
        <w:top w:val="none" w:sz="0" w:space="0" w:color="auto"/>
        <w:left w:val="none" w:sz="0" w:space="0" w:color="auto"/>
        <w:bottom w:val="none" w:sz="0" w:space="0" w:color="auto"/>
        <w:right w:val="none" w:sz="0" w:space="0" w:color="auto"/>
      </w:divBdr>
    </w:div>
    <w:div w:id="2081633448">
      <w:bodyDiv w:val="1"/>
      <w:marLeft w:val="0"/>
      <w:marRight w:val="0"/>
      <w:marTop w:val="0"/>
      <w:marBottom w:val="0"/>
      <w:divBdr>
        <w:top w:val="none" w:sz="0" w:space="0" w:color="auto"/>
        <w:left w:val="none" w:sz="0" w:space="0" w:color="auto"/>
        <w:bottom w:val="none" w:sz="0" w:space="0" w:color="auto"/>
        <w:right w:val="none" w:sz="0" w:space="0" w:color="auto"/>
      </w:divBdr>
    </w:div>
    <w:div w:id="2082830770">
      <w:bodyDiv w:val="1"/>
      <w:marLeft w:val="0"/>
      <w:marRight w:val="0"/>
      <w:marTop w:val="0"/>
      <w:marBottom w:val="0"/>
      <w:divBdr>
        <w:top w:val="none" w:sz="0" w:space="0" w:color="auto"/>
        <w:left w:val="none" w:sz="0" w:space="0" w:color="auto"/>
        <w:bottom w:val="none" w:sz="0" w:space="0" w:color="auto"/>
        <w:right w:val="none" w:sz="0" w:space="0" w:color="auto"/>
      </w:divBdr>
    </w:div>
    <w:div w:id="2086873829">
      <w:bodyDiv w:val="1"/>
      <w:marLeft w:val="0"/>
      <w:marRight w:val="0"/>
      <w:marTop w:val="0"/>
      <w:marBottom w:val="0"/>
      <w:divBdr>
        <w:top w:val="none" w:sz="0" w:space="0" w:color="auto"/>
        <w:left w:val="none" w:sz="0" w:space="0" w:color="auto"/>
        <w:bottom w:val="none" w:sz="0" w:space="0" w:color="auto"/>
        <w:right w:val="none" w:sz="0" w:space="0" w:color="auto"/>
      </w:divBdr>
    </w:div>
    <w:div w:id="2087915281">
      <w:bodyDiv w:val="1"/>
      <w:marLeft w:val="0"/>
      <w:marRight w:val="0"/>
      <w:marTop w:val="0"/>
      <w:marBottom w:val="0"/>
      <w:divBdr>
        <w:top w:val="none" w:sz="0" w:space="0" w:color="auto"/>
        <w:left w:val="none" w:sz="0" w:space="0" w:color="auto"/>
        <w:bottom w:val="none" w:sz="0" w:space="0" w:color="auto"/>
        <w:right w:val="none" w:sz="0" w:space="0" w:color="auto"/>
      </w:divBdr>
    </w:div>
    <w:div w:id="2088067358">
      <w:bodyDiv w:val="1"/>
      <w:marLeft w:val="0"/>
      <w:marRight w:val="0"/>
      <w:marTop w:val="0"/>
      <w:marBottom w:val="0"/>
      <w:divBdr>
        <w:top w:val="none" w:sz="0" w:space="0" w:color="auto"/>
        <w:left w:val="none" w:sz="0" w:space="0" w:color="auto"/>
        <w:bottom w:val="none" w:sz="0" w:space="0" w:color="auto"/>
        <w:right w:val="none" w:sz="0" w:space="0" w:color="auto"/>
      </w:divBdr>
    </w:div>
    <w:div w:id="2088913012">
      <w:bodyDiv w:val="1"/>
      <w:marLeft w:val="0"/>
      <w:marRight w:val="0"/>
      <w:marTop w:val="0"/>
      <w:marBottom w:val="0"/>
      <w:divBdr>
        <w:top w:val="none" w:sz="0" w:space="0" w:color="auto"/>
        <w:left w:val="none" w:sz="0" w:space="0" w:color="auto"/>
        <w:bottom w:val="none" w:sz="0" w:space="0" w:color="auto"/>
        <w:right w:val="none" w:sz="0" w:space="0" w:color="auto"/>
      </w:divBdr>
    </w:div>
    <w:div w:id="2090886541">
      <w:bodyDiv w:val="1"/>
      <w:marLeft w:val="0"/>
      <w:marRight w:val="0"/>
      <w:marTop w:val="0"/>
      <w:marBottom w:val="0"/>
      <w:divBdr>
        <w:top w:val="none" w:sz="0" w:space="0" w:color="auto"/>
        <w:left w:val="none" w:sz="0" w:space="0" w:color="auto"/>
        <w:bottom w:val="none" w:sz="0" w:space="0" w:color="auto"/>
        <w:right w:val="none" w:sz="0" w:space="0" w:color="auto"/>
      </w:divBdr>
    </w:div>
    <w:div w:id="2092238787">
      <w:bodyDiv w:val="1"/>
      <w:marLeft w:val="0"/>
      <w:marRight w:val="0"/>
      <w:marTop w:val="0"/>
      <w:marBottom w:val="0"/>
      <w:divBdr>
        <w:top w:val="none" w:sz="0" w:space="0" w:color="auto"/>
        <w:left w:val="none" w:sz="0" w:space="0" w:color="auto"/>
        <w:bottom w:val="none" w:sz="0" w:space="0" w:color="auto"/>
        <w:right w:val="none" w:sz="0" w:space="0" w:color="auto"/>
      </w:divBdr>
    </w:div>
    <w:div w:id="2093624733">
      <w:bodyDiv w:val="1"/>
      <w:marLeft w:val="0"/>
      <w:marRight w:val="0"/>
      <w:marTop w:val="0"/>
      <w:marBottom w:val="0"/>
      <w:divBdr>
        <w:top w:val="none" w:sz="0" w:space="0" w:color="auto"/>
        <w:left w:val="none" w:sz="0" w:space="0" w:color="auto"/>
        <w:bottom w:val="none" w:sz="0" w:space="0" w:color="auto"/>
        <w:right w:val="none" w:sz="0" w:space="0" w:color="auto"/>
      </w:divBdr>
    </w:div>
    <w:div w:id="2094622006">
      <w:bodyDiv w:val="1"/>
      <w:marLeft w:val="0"/>
      <w:marRight w:val="0"/>
      <w:marTop w:val="0"/>
      <w:marBottom w:val="0"/>
      <w:divBdr>
        <w:top w:val="none" w:sz="0" w:space="0" w:color="auto"/>
        <w:left w:val="none" w:sz="0" w:space="0" w:color="auto"/>
        <w:bottom w:val="none" w:sz="0" w:space="0" w:color="auto"/>
        <w:right w:val="none" w:sz="0" w:space="0" w:color="auto"/>
      </w:divBdr>
    </w:div>
    <w:div w:id="2095347801">
      <w:bodyDiv w:val="1"/>
      <w:marLeft w:val="0"/>
      <w:marRight w:val="0"/>
      <w:marTop w:val="0"/>
      <w:marBottom w:val="0"/>
      <w:divBdr>
        <w:top w:val="none" w:sz="0" w:space="0" w:color="auto"/>
        <w:left w:val="none" w:sz="0" w:space="0" w:color="auto"/>
        <w:bottom w:val="none" w:sz="0" w:space="0" w:color="auto"/>
        <w:right w:val="none" w:sz="0" w:space="0" w:color="auto"/>
      </w:divBdr>
    </w:div>
    <w:div w:id="2095586593">
      <w:bodyDiv w:val="1"/>
      <w:marLeft w:val="0"/>
      <w:marRight w:val="0"/>
      <w:marTop w:val="0"/>
      <w:marBottom w:val="0"/>
      <w:divBdr>
        <w:top w:val="none" w:sz="0" w:space="0" w:color="auto"/>
        <w:left w:val="none" w:sz="0" w:space="0" w:color="auto"/>
        <w:bottom w:val="none" w:sz="0" w:space="0" w:color="auto"/>
        <w:right w:val="none" w:sz="0" w:space="0" w:color="auto"/>
      </w:divBdr>
    </w:div>
    <w:div w:id="2098017040">
      <w:bodyDiv w:val="1"/>
      <w:marLeft w:val="0"/>
      <w:marRight w:val="0"/>
      <w:marTop w:val="0"/>
      <w:marBottom w:val="0"/>
      <w:divBdr>
        <w:top w:val="none" w:sz="0" w:space="0" w:color="auto"/>
        <w:left w:val="none" w:sz="0" w:space="0" w:color="auto"/>
        <w:bottom w:val="none" w:sz="0" w:space="0" w:color="auto"/>
        <w:right w:val="none" w:sz="0" w:space="0" w:color="auto"/>
      </w:divBdr>
    </w:div>
    <w:div w:id="2098822941">
      <w:bodyDiv w:val="1"/>
      <w:marLeft w:val="0"/>
      <w:marRight w:val="0"/>
      <w:marTop w:val="0"/>
      <w:marBottom w:val="0"/>
      <w:divBdr>
        <w:top w:val="none" w:sz="0" w:space="0" w:color="auto"/>
        <w:left w:val="none" w:sz="0" w:space="0" w:color="auto"/>
        <w:bottom w:val="none" w:sz="0" w:space="0" w:color="auto"/>
        <w:right w:val="none" w:sz="0" w:space="0" w:color="auto"/>
      </w:divBdr>
    </w:div>
    <w:div w:id="2104766266">
      <w:bodyDiv w:val="1"/>
      <w:marLeft w:val="0"/>
      <w:marRight w:val="0"/>
      <w:marTop w:val="0"/>
      <w:marBottom w:val="0"/>
      <w:divBdr>
        <w:top w:val="none" w:sz="0" w:space="0" w:color="auto"/>
        <w:left w:val="none" w:sz="0" w:space="0" w:color="auto"/>
        <w:bottom w:val="none" w:sz="0" w:space="0" w:color="auto"/>
        <w:right w:val="none" w:sz="0" w:space="0" w:color="auto"/>
      </w:divBdr>
    </w:div>
    <w:div w:id="2104955551">
      <w:bodyDiv w:val="1"/>
      <w:marLeft w:val="0"/>
      <w:marRight w:val="0"/>
      <w:marTop w:val="0"/>
      <w:marBottom w:val="0"/>
      <w:divBdr>
        <w:top w:val="none" w:sz="0" w:space="0" w:color="auto"/>
        <w:left w:val="none" w:sz="0" w:space="0" w:color="auto"/>
        <w:bottom w:val="none" w:sz="0" w:space="0" w:color="auto"/>
        <w:right w:val="none" w:sz="0" w:space="0" w:color="auto"/>
      </w:divBdr>
    </w:div>
    <w:div w:id="2105608209">
      <w:bodyDiv w:val="1"/>
      <w:marLeft w:val="0"/>
      <w:marRight w:val="0"/>
      <w:marTop w:val="0"/>
      <w:marBottom w:val="0"/>
      <w:divBdr>
        <w:top w:val="none" w:sz="0" w:space="0" w:color="auto"/>
        <w:left w:val="none" w:sz="0" w:space="0" w:color="auto"/>
        <w:bottom w:val="none" w:sz="0" w:space="0" w:color="auto"/>
        <w:right w:val="none" w:sz="0" w:space="0" w:color="auto"/>
      </w:divBdr>
    </w:div>
    <w:div w:id="2108116677">
      <w:bodyDiv w:val="1"/>
      <w:marLeft w:val="0"/>
      <w:marRight w:val="0"/>
      <w:marTop w:val="0"/>
      <w:marBottom w:val="0"/>
      <w:divBdr>
        <w:top w:val="none" w:sz="0" w:space="0" w:color="auto"/>
        <w:left w:val="none" w:sz="0" w:space="0" w:color="auto"/>
        <w:bottom w:val="none" w:sz="0" w:space="0" w:color="auto"/>
        <w:right w:val="none" w:sz="0" w:space="0" w:color="auto"/>
      </w:divBdr>
    </w:div>
    <w:div w:id="2109616368">
      <w:bodyDiv w:val="1"/>
      <w:marLeft w:val="0"/>
      <w:marRight w:val="0"/>
      <w:marTop w:val="0"/>
      <w:marBottom w:val="0"/>
      <w:divBdr>
        <w:top w:val="none" w:sz="0" w:space="0" w:color="auto"/>
        <w:left w:val="none" w:sz="0" w:space="0" w:color="auto"/>
        <w:bottom w:val="none" w:sz="0" w:space="0" w:color="auto"/>
        <w:right w:val="none" w:sz="0" w:space="0" w:color="auto"/>
      </w:divBdr>
    </w:div>
    <w:div w:id="2110002881">
      <w:bodyDiv w:val="1"/>
      <w:marLeft w:val="0"/>
      <w:marRight w:val="0"/>
      <w:marTop w:val="0"/>
      <w:marBottom w:val="0"/>
      <w:divBdr>
        <w:top w:val="none" w:sz="0" w:space="0" w:color="auto"/>
        <w:left w:val="none" w:sz="0" w:space="0" w:color="auto"/>
        <w:bottom w:val="none" w:sz="0" w:space="0" w:color="auto"/>
        <w:right w:val="none" w:sz="0" w:space="0" w:color="auto"/>
      </w:divBdr>
    </w:div>
    <w:div w:id="2110075273">
      <w:bodyDiv w:val="1"/>
      <w:marLeft w:val="0"/>
      <w:marRight w:val="0"/>
      <w:marTop w:val="0"/>
      <w:marBottom w:val="0"/>
      <w:divBdr>
        <w:top w:val="none" w:sz="0" w:space="0" w:color="auto"/>
        <w:left w:val="none" w:sz="0" w:space="0" w:color="auto"/>
        <w:bottom w:val="none" w:sz="0" w:space="0" w:color="auto"/>
        <w:right w:val="none" w:sz="0" w:space="0" w:color="auto"/>
      </w:divBdr>
    </w:div>
    <w:div w:id="2111509856">
      <w:bodyDiv w:val="1"/>
      <w:marLeft w:val="0"/>
      <w:marRight w:val="0"/>
      <w:marTop w:val="0"/>
      <w:marBottom w:val="0"/>
      <w:divBdr>
        <w:top w:val="none" w:sz="0" w:space="0" w:color="auto"/>
        <w:left w:val="none" w:sz="0" w:space="0" w:color="auto"/>
        <w:bottom w:val="none" w:sz="0" w:space="0" w:color="auto"/>
        <w:right w:val="none" w:sz="0" w:space="0" w:color="auto"/>
      </w:divBdr>
    </w:div>
    <w:div w:id="2112505873">
      <w:bodyDiv w:val="1"/>
      <w:marLeft w:val="0"/>
      <w:marRight w:val="0"/>
      <w:marTop w:val="0"/>
      <w:marBottom w:val="0"/>
      <w:divBdr>
        <w:top w:val="none" w:sz="0" w:space="0" w:color="auto"/>
        <w:left w:val="none" w:sz="0" w:space="0" w:color="auto"/>
        <w:bottom w:val="none" w:sz="0" w:space="0" w:color="auto"/>
        <w:right w:val="none" w:sz="0" w:space="0" w:color="auto"/>
      </w:divBdr>
    </w:div>
    <w:div w:id="2113629434">
      <w:bodyDiv w:val="1"/>
      <w:marLeft w:val="0"/>
      <w:marRight w:val="0"/>
      <w:marTop w:val="0"/>
      <w:marBottom w:val="0"/>
      <w:divBdr>
        <w:top w:val="none" w:sz="0" w:space="0" w:color="auto"/>
        <w:left w:val="none" w:sz="0" w:space="0" w:color="auto"/>
        <w:bottom w:val="none" w:sz="0" w:space="0" w:color="auto"/>
        <w:right w:val="none" w:sz="0" w:space="0" w:color="auto"/>
      </w:divBdr>
    </w:div>
    <w:div w:id="2113818190">
      <w:bodyDiv w:val="1"/>
      <w:marLeft w:val="0"/>
      <w:marRight w:val="0"/>
      <w:marTop w:val="0"/>
      <w:marBottom w:val="0"/>
      <w:divBdr>
        <w:top w:val="none" w:sz="0" w:space="0" w:color="auto"/>
        <w:left w:val="none" w:sz="0" w:space="0" w:color="auto"/>
        <w:bottom w:val="none" w:sz="0" w:space="0" w:color="auto"/>
        <w:right w:val="none" w:sz="0" w:space="0" w:color="auto"/>
      </w:divBdr>
    </w:div>
    <w:div w:id="2114396616">
      <w:bodyDiv w:val="1"/>
      <w:marLeft w:val="0"/>
      <w:marRight w:val="0"/>
      <w:marTop w:val="0"/>
      <w:marBottom w:val="0"/>
      <w:divBdr>
        <w:top w:val="none" w:sz="0" w:space="0" w:color="auto"/>
        <w:left w:val="none" w:sz="0" w:space="0" w:color="auto"/>
        <w:bottom w:val="none" w:sz="0" w:space="0" w:color="auto"/>
        <w:right w:val="none" w:sz="0" w:space="0" w:color="auto"/>
      </w:divBdr>
    </w:div>
    <w:div w:id="2114863740">
      <w:bodyDiv w:val="1"/>
      <w:marLeft w:val="0"/>
      <w:marRight w:val="0"/>
      <w:marTop w:val="0"/>
      <w:marBottom w:val="0"/>
      <w:divBdr>
        <w:top w:val="none" w:sz="0" w:space="0" w:color="auto"/>
        <w:left w:val="none" w:sz="0" w:space="0" w:color="auto"/>
        <w:bottom w:val="none" w:sz="0" w:space="0" w:color="auto"/>
        <w:right w:val="none" w:sz="0" w:space="0" w:color="auto"/>
      </w:divBdr>
    </w:div>
    <w:div w:id="2115249859">
      <w:bodyDiv w:val="1"/>
      <w:marLeft w:val="0"/>
      <w:marRight w:val="0"/>
      <w:marTop w:val="0"/>
      <w:marBottom w:val="0"/>
      <w:divBdr>
        <w:top w:val="none" w:sz="0" w:space="0" w:color="auto"/>
        <w:left w:val="none" w:sz="0" w:space="0" w:color="auto"/>
        <w:bottom w:val="none" w:sz="0" w:space="0" w:color="auto"/>
        <w:right w:val="none" w:sz="0" w:space="0" w:color="auto"/>
      </w:divBdr>
    </w:div>
    <w:div w:id="2115710809">
      <w:bodyDiv w:val="1"/>
      <w:marLeft w:val="0"/>
      <w:marRight w:val="0"/>
      <w:marTop w:val="0"/>
      <w:marBottom w:val="0"/>
      <w:divBdr>
        <w:top w:val="none" w:sz="0" w:space="0" w:color="auto"/>
        <w:left w:val="none" w:sz="0" w:space="0" w:color="auto"/>
        <w:bottom w:val="none" w:sz="0" w:space="0" w:color="auto"/>
        <w:right w:val="none" w:sz="0" w:space="0" w:color="auto"/>
      </w:divBdr>
    </w:div>
    <w:div w:id="2116050415">
      <w:bodyDiv w:val="1"/>
      <w:marLeft w:val="0"/>
      <w:marRight w:val="0"/>
      <w:marTop w:val="0"/>
      <w:marBottom w:val="0"/>
      <w:divBdr>
        <w:top w:val="none" w:sz="0" w:space="0" w:color="auto"/>
        <w:left w:val="none" w:sz="0" w:space="0" w:color="auto"/>
        <w:bottom w:val="none" w:sz="0" w:space="0" w:color="auto"/>
        <w:right w:val="none" w:sz="0" w:space="0" w:color="auto"/>
      </w:divBdr>
    </w:div>
    <w:div w:id="2118016194">
      <w:bodyDiv w:val="1"/>
      <w:marLeft w:val="0"/>
      <w:marRight w:val="0"/>
      <w:marTop w:val="0"/>
      <w:marBottom w:val="0"/>
      <w:divBdr>
        <w:top w:val="none" w:sz="0" w:space="0" w:color="auto"/>
        <w:left w:val="none" w:sz="0" w:space="0" w:color="auto"/>
        <w:bottom w:val="none" w:sz="0" w:space="0" w:color="auto"/>
        <w:right w:val="none" w:sz="0" w:space="0" w:color="auto"/>
      </w:divBdr>
    </w:div>
    <w:div w:id="2118593770">
      <w:bodyDiv w:val="1"/>
      <w:marLeft w:val="0"/>
      <w:marRight w:val="0"/>
      <w:marTop w:val="0"/>
      <w:marBottom w:val="0"/>
      <w:divBdr>
        <w:top w:val="none" w:sz="0" w:space="0" w:color="auto"/>
        <w:left w:val="none" w:sz="0" w:space="0" w:color="auto"/>
        <w:bottom w:val="none" w:sz="0" w:space="0" w:color="auto"/>
        <w:right w:val="none" w:sz="0" w:space="0" w:color="auto"/>
      </w:divBdr>
    </w:div>
    <w:div w:id="2119058190">
      <w:bodyDiv w:val="1"/>
      <w:marLeft w:val="0"/>
      <w:marRight w:val="0"/>
      <w:marTop w:val="0"/>
      <w:marBottom w:val="0"/>
      <w:divBdr>
        <w:top w:val="none" w:sz="0" w:space="0" w:color="auto"/>
        <w:left w:val="none" w:sz="0" w:space="0" w:color="auto"/>
        <w:bottom w:val="none" w:sz="0" w:space="0" w:color="auto"/>
        <w:right w:val="none" w:sz="0" w:space="0" w:color="auto"/>
      </w:divBdr>
    </w:div>
    <w:div w:id="2119176646">
      <w:bodyDiv w:val="1"/>
      <w:marLeft w:val="0"/>
      <w:marRight w:val="0"/>
      <w:marTop w:val="0"/>
      <w:marBottom w:val="0"/>
      <w:divBdr>
        <w:top w:val="none" w:sz="0" w:space="0" w:color="auto"/>
        <w:left w:val="none" w:sz="0" w:space="0" w:color="auto"/>
        <w:bottom w:val="none" w:sz="0" w:space="0" w:color="auto"/>
        <w:right w:val="none" w:sz="0" w:space="0" w:color="auto"/>
      </w:divBdr>
    </w:div>
    <w:div w:id="2121682599">
      <w:bodyDiv w:val="1"/>
      <w:marLeft w:val="0"/>
      <w:marRight w:val="0"/>
      <w:marTop w:val="0"/>
      <w:marBottom w:val="0"/>
      <w:divBdr>
        <w:top w:val="none" w:sz="0" w:space="0" w:color="auto"/>
        <w:left w:val="none" w:sz="0" w:space="0" w:color="auto"/>
        <w:bottom w:val="none" w:sz="0" w:space="0" w:color="auto"/>
        <w:right w:val="none" w:sz="0" w:space="0" w:color="auto"/>
      </w:divBdr>
    </w:div>
    <w:div w:id="2121992900">
      <w:bodyDiv w:val="1"/>
      <w:marLeft w:val="0"/>
      <w:marRight w:val="0"/>
      <w:marTop w:val="0"/>
      <w:marBottom w:val="0"/>
      <w:divBdr>
        <w:top w:val="none" w:sz="0" w:space="0" w:color="auto"/>
        <w:left w:val="none" w:sz="0" w:space="0" w:color="auto"/>
        <w:bottom w:val="none" w:sz="0" w:space="0" w:color="auto"/>
        <w:right w:val="none" w:sz="0" w:space="0" w:color="auto"/>
      </w:divBdr>
    </w:div>
    <w:div w:id="2122021518">
      <w:bodyDiv w:val="1"/>
      <w:marLeft w:val="0"/>
      <w:marRight w:val="0"/>
      <w:marTop w:val="0"/>
      <w:marBottom w:val="0"/>
      <w:divBdr>
        <w:top w:val="none" w:sz="0" w:space="0" w:color="auto"/>
        <w:left w:val="none" w:sz="0" w:space="0" w:color="auto"/>
        <w:bottom w:val="none" w:sz="0" w:space="0" w:color="auto"/>
        <w:right w:val="none" w:sz="0" w:space="0" w:color="auto"/>
      </w:divBdr>
    </w:div>
    <w:div w:id="2122913791">
      <w:bodyDiv w:val="1"/>
      <w:marLeft w:val="0"/>
      <w:marRight w:val="0"/>
      <w:marTop w:val="0"/>
      <w:marBottom w:val="0"/>
      <w:divBdr>
        <w:top w:val="none" w:sz="0" w:space="0" w:color="auto"/>
        <w:left w:val="none" w:sz="0" w:space="0" w:color="auto"/>
        <w:bottom w:val="none" w:sz="0" w:space="0" w:color="auto"/>
        <w:right w:val="none" w:sz="0" w:space="0" w:color="auto"/>
      </w:divBdr>
    </w:div>
    <w:div w:id="2124613233">
      <w:bodyDiv w:val="1"/>
      <w:marLeft w:val="0"/>
      <w:marRight w:val="0"/>
      <w:marTop w:val="0"/>
      <w:marBottom w:val="0"/>
      <w:divBdr>
        <w:top w:val="none" w:sz="0" w:space="0" w:color="auto"/>
        <w:left w:val="none" w:sz="0" w:space="0" w:color="auto"/>
        <w:bottom w:val="none" w:sz="0" w:space="0" w:color="auto"/>
        <w:right w:val="none" w:sz="0" w:space="0" w:color="auto"/>
      </w:divBdr>
    </w:div>
    <w:div w:id="2125541284">
      <w:bodyDiv w:val="1"/>
      <w:marLeft w:val="0"/>
      <w:marRight w:val="0"/>
      <w:marTop w:val="0"/>
      <w:marBottom w:val="0"/>
      <w:divBdr>
        <w:top w:val="none" w:sz="0" w:space="0" w:color="auto"/>
        <w:left w:val="none" w:sz="0" w:space="0" w:color="auto"/>
        <w:bottom w:val="none" w:sz="0" w:space="0" w:color="auto"/>
        <w:right w:val="none" w:sz="0" w:space="0" w:color="auto"/>
      </w:divBdr>
    </w:div>
    <w:div w:id="2126076253">
      <w:bodyDiv w:val="1"/>
      <w:marLeft w:val="0"/>
      <w:marRight w:val="0"/>
      <w:marTop w:val="0"/>
      <w:marBottom w:val="0"/>
      <w:divBdr>
        <w:top w:val="none" w:sz="0" w:space="0" w:color="auto"/>
        <w:left w:val="none" w:sz="0" w:space="0" w:color="auto"/>
        <w:bottom w:val="none" w:sz="0" w:space="0" w:color="auto"/>
        <w:right w:val="none" w:sz="0" w:space="0" w:color="auto"/>
      </w:divBdr>
    </w:div>
    <w:div w:id="2128501062">
      <w:bodyDiv w:val="1"/>
      <w:marLeft w:val="0"/>
      <w:marRight w:val="0"/>
      <w:marTop w:val="0"/>
      <w:marBottom w:val="0"/>
      <w:divBdr>
        <w:top w:val="none" w:sz="0" w:space="0" w:color="auto"/>
        <w:left w:val="none" w:sz="0" w:space="0" w:color="auto"/>
        <w:bottom w:val="none" w:sz="0" w:space="0" w:color="auto"/>
        <w:right w:val="none" w:sz="0" w:space="0" w:color="auto"/>
      </w:divBdr>
    </w:div>
    <w:div w:id="2129087045">
      <w:bodyDiv w:val="1"/>
      <w:marLeft w:val="0"/>
      <w:marRight w:val="0"/>
      <w:marTop w:val="0"/>
      <w:marBottom w:val="0"/>
      <w:divBdr>
        <w:top w:val="none" w:sz="0" w:space="0" w:color="auto"/>
        <w:left w:val="none" w:sz="0" w:space="0" w:color="auto"/>
        <w:bottom w:val="none" w:sz="0" w:space="0" w:color="auto"/>
        <w:right w:val="none" w:sz="0" w:space="0" w:color="auto"/>
      </w:divBdr>
    </w:div>
    <w:div w:id="2129808825">
      <w:bodyDiv w:val="1"/>
      <w:marLeft w:val="0"/>
      <w:marRight w:val="0"/>
      <w:marTop w:val="0"/>
      <w:marBottom w:val="0"/>
      <w:divBdr>
        <w:top w:val="none" w:sz="0" w:space="0" w:color="auto"/>
        <w:left w:val="none" w:sz="0" w:space="0" w:color="auto"/>
        <w:bottom w:val="none" w:sz="0" w:space="0" w:color="auto"/>
        <w:right w:val="none" w:sz="0" w:space="0" w:color="auto"/>
      </w:divBdr>
    </w:div>
    <w:div w:id="2131822824">
      <w:bodyDiv w:val="1"/>
      <w:marLeft w:val="0"/>
      <w:marRight w:val="0"/>
      <w:marTop w:val="0"/>
      <w:marBottom w:val="0"/>
      <w:divBdr>
        <w:top w:val="none" w:sz="0" w:space="0" w:color="auto"/>
        <w:left w:val="none" w:sz="0" w:space="0" w:color="auto"/>
        <w:bottom w:val="none" w:sz="0" w:space="0" w:color="auto"/>
        <w:right w:val="none" w:sz="0" w:space="0" w:color="auto"/>
      </w:divBdr>
    </w:div>
    <w:div w:id="2132354968">
      <w:bodyDiv w:val="1"/>
      <w:marLeft w:val="0"/>
      <w:marRight w:val="0"/>
      <w:marTop w:val="0"/>
      <w:marBottom w:val="0"/>
      <w:divBdr>
        <w:top w:val="none" w:sz="0" w:space="0" w:color="auto"/>
        <w:left w:val="none" w:sz="0" w:space="0" w:color="auto"/>
        <w:bottom w:val="none" w:sz="0" w:space="0" w:color="auto"/>
        <w:right w:val="none" w:sz="0" w:space="0" w:color="auto"/>
      </w:divBdr>
    </w:div>
    <w:div w:id="2132363344">
      <w:bodyDiv w:val="1"/>
      <w:marLeft w:val="0"/>
      <w:marRight w:val="0"/>
      <w:marTop w:val="0"/>
      <w:marBottom w:val="0"/>
      <w:divBdr>
        <w:top w:val="none" w:sz="0" w:space="0" w:color="auto"/>
        <w:left w:val="none" w:sz="0" w:space="0" w:color="auto"/>
        <w:bottom w:val="none" w:sz="0" w:space="0" w:color="auto"/>
        <w:right w:val="none" w:sz="0" w:space="0" w:color="auto"/>
      </w:divBdr>
      <w:divsChild>
        <w:div w:id="956910651">
          <w:marLeft w:val="0"/>
          <w:marRight w:val="0"/>
          <w:marTop w:val="0"/>
          <w:marBottom w:val="0"/>
          <w:divBdr>
            <w:top w:val="none" w:sz="0" w:space="0" w:color="auto"/>
            <w:left w:val="none" w:sz="0" w:space="0" w:color="auto"/>
            <w:bottom w:val="none" w:sz="0" w:space="0" w:color="auto"/>
            <w:right w:val="none" w:sz="0" w:space="0" w:color="auto"/>
          </w:divBdr>
          <w:divsChild>
            <w:div w:id="1428311474">
              <w:marLeft w:val="0"/>
              <w:marRight w:val="0"/>
              <w:marTop w:val="0"/>
              <w:marBottom w:val="0"/>
              <w:divBdr>
                <w:top w:val="none" w:sz="0" w:space="0" w:color="auto"/>
                <w:left w:val="none" w:sz="0" w:space="0" w:color="auto"/>
                <w:bottom w:val="none" w:sz="0" w:space="0" w:color="auto"/>
                <w:right w:val="none" w:sz="0" w:space="0" w:color="auto"/>
              </w:divBdr>
              <w:divsChild>
                <w:div w:id="755444621">
                  <w:marLeft w:val="0"/>
                  <w:marRight w:val="0"/>
                  <w:marTop w:val="0"/>
                  <w:marBottom w:val="0"/>
                  <w:divBdr>
                    <w:top w:val="none" w:sz="0" w:space="0" w:color="auto"/>
                    <w:left w:val="none" w:sz="0" w:space="0" w:color="auto"/>
                    <w:bottom w:val="none" w:sz="0" w:space="0" w:color="auto"/>
                    <w:right w:val="none" w:sz="0" w:space="0" w:color="auto"/>
                  </w:divBdr>
                  <w:divsChild>
                    <w:div w:id="32193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71949">
      <w:bodyDiv w:val="1"/>
      <w:marLeft w:val="0"/>
      <w:marRight w:val="0"/>
      <w:marTop w:val="0"/>
      <w:marBottom w:val="0"/>
      <w:divBdr>
        <w:top w:val="none" w:sz="0" w:space="0" w:color="auto"/>
        <w:left w:val="none" w:sz="0" w:space="0" w:color="auto"/>
        <w:bottom w:val="none" w:sz="0" w:space="0" w:color="auto"/>
        <w:right w:val="none" w:sz="0" w:space="0" w:color="auto"/>
      </w:divBdr>
    </w:div>
    <w:div w:id="2135831045">
      <w:bodyDiv w:val="1"/>
      <w:marLeft w:val="0"/>
      <w:marRight w:val="0"/>
      <w:marTop w:val="0"/>
      <w:marBottom w:val="0"/>
      <w:divBdr>
        <w:top w:val="none" w:sz="0" w:space="0" w:color="auto"/>
        <w:left w:val="none" w:sz="0" w:space="0" w:color="auto"/>
        <w:bottom w:val="none" w:sz="0" w:space="0" w:color="auto"/>
        <w:right w:val="none" w:sz="0" w:space="0" w:color="auto"/>
      </w:divBdr>
    </w:div>
    <w:div w:id="2136098926">
      <w:bodyDiv w:val="1"/>
      <w:marLeft w:val="0"/>
      <w:marRight w:val="0"/>
      <w:marTop w:val="0"/>
      <w:marBottom w:val="0"/>
      <w:divBdr>
        <w:top w:val="none" w:sz="0" w:space="0" w:color="auto"/>
        <w:left w:val="none" w:sz="0" w:space="0" w:color="auto"/>
        <w:bottom w:val="none" w:sz="0" w:space="0" w:color="auto"/>
        <w:right w:val="none" w:sz="0" w:space="0" w:color="auto"/>
      </w:divBdr>
    </w:div>
    <w:div w:id="2136175888">
      <w:bodyDiv w:val="1"/>
      <w:marLeft w:val="0"/>
      <w:marRight w:val="0"/>
      <w:marTop w:val="0"/>
      <w:marBottom w:val="0"/>
      <w:divBdr>
        <w:top w:val="none" w:sz="0" w:space="0" w:color="auto"/>
        <w:left w:val="none" w:sz="0" w:space="0" w:color="auto"/>
        <w:bottom w:val="none" w:sz="0" w:space="0" w:color="auto"/>
        <w:right w:val="none" w:sz="0" w:space="0" w:color="auto"/>
      </w:divBdr>
    </w:div>
    <w:div w:id="2138377485">
      <w:bodyDiv w:val="1"/>
      <w:marLeft w:val="0"/>
      <w:marRight w:val="0"/>
      <w:marTop w:val="0"/>
      <w:marBottom w:val="0"/>
      <w:divBdr>
        <w:top w:val="none" w:sz="0" w:space="0" w:color="auto"/>
        <w:left w:val="none" w:sz="0" w:space="0" w:color="auto"/>
        <w:bottom w:val="none" w:sz="0" w:space="0" w:color="auto"/>
        <w:right w:val="none" w:sz="0" w:space="0" w:color="auto"/>
      </w:divBdr>
    </w:div>
    <w:div w:id="2138839536">
      <w:bodyDiv w:val="1"/>
      <w:marLeft w:val="0"/>
      <w:marRight w:val="0"/>
      <w:marTop w:val="0"/>
      <w:marBottom w:val="0"/>
      <w:divBdr>
        <w:top w:val="none" w:sz="0" w:space="0" w:color="auto"/>
        <w:left w:val="none" w:sz="0" w:space="0" w:color="auto"/>
        <w:bottom w:val="none" w:sz="0" w:space="0" w:color="auto"/>
        <w:right w:val="none" w:sz="0" w:space="0" w:color="auto"/>
      </w:divBdr>
    </w:div>
    <w:div w:id="2142258826">
      <w:bodyDiv w:val="1"/>
      <w:marLeft w:val="0"/>
      <w:marRight w:val="0"/>
      <w:marTop w:val="0"/>
      <w:marBottom w:val="0"/>
      <w:divBdr>
        <w:top w:val="none" w:sz="0" w:space="0" w:color="auto"/>
        <w:left w:val="none" w:sz="0" w:space="0" w:color="auto"/>
        <w:bottom w:val="none" w:sz="0" w:space="0" w:color="auto"/>
        <w:right w:val="none" w:sz="0" w:space="0" w:color="auto"/>
      </w:divBdr>
    </w:div>
    <w:div w:id="2142385051">
      <w:bodyDiv w:val="1"/>
      <w:marLeft w:val="0"/>
      <w:marRight w:val="0"/>
      <w:marTop w:val="0"/>
      <w:marBottom w:val="0"/>
      <w:divBdr>
        <w:top w:val="none" w:sz="0" w:space="0" w:color="auto"/>
        <w:left w:val="none" w:sz="0" w:space="0" w:color="auto"/>
        <w:bottom w:val="none" w:sz="0" w:space="0" w:color="auto"/>
        <w:right w:val="none" w:sz="0" w:space="0" w:color="auto"/>
      </w:divBdr>
    </w:div>
    <w:div w:id="2142578322">
      <w:bodyDiv w:val="1"/>
      <w:marLeft w:val="0"/>
      <w:marRight w:val="0"/>
      <w:marTop w:val="0"/>
      <w:marBottom w:val="0"/>
      <w:divBdr>
        <w:top w:val="none" w:sz="0" w:space="0" w:color="auto"/>
        <w:left w:val="none" w:sz="0" w:space="0" w:color="auto"/>
        <w:bottom w:val="none" w:sz="0" w:space="0" w:color="auto"/>
        <w:right w:val="none" w:sz="0" w:space="0" w:color="auto"/>
      </w:divBdr>
    </w:div>
    <w:div w:id="2142653642">
      <w:bodyDiv w:val="1"/>
      <w:marLeft w:val="0"/>
      <w:marRight w:val="0"/>
      <w:marTop w:val="0"/>
      <w:marBottom w:val="0"/>
      <w:divBdr>
        <w:top w:val="none" w:sz="0" w:space="0" w:color="auto"/>
        <w:left w:val="none" w:sz="0" w:space="0" w:color="auto"/>
        <w:bottom w:val="none" w:sz="0" w:space="0" w:color="auto"/>
        <w:right w:val="none" w:sz="0" w:space="0" w:color="auto"/>
      </w:divBdr>
    </w:div>
    <w:div w:id="2144539700">
      <w:bodyDiv w:val="1"/>
      <w:marLeft w:val="0"/>
      <w:marRight w:val="0"/>
      <w:marTop w:val="0"/>
      <w:marBottom w:val="0"/>
      <w:divBdr>
        <w:top w:val="none" w:sz="0" w:space="0" w:color="auto"/>
        <w:left w:val="none" w:sz="0" w:space="0" w:color="auto"/>
        <w:bottom w:val="none" w:sz="0" w:space="0" w:color="auto"/>
        <w:right w:val="none" w:sz="0" w:space="0" w:color="auto"/>
      </w:divBdr>
    </w:div>
    <w:div w:id="2145583359">
      <w:bodyDiv w:val="1"/>
      <w:marLeft w:val="0"/>
      <w:marRight w:val="0"/>
      <w:marTop w:val="0"/>
      <w:marBottom w:val="0"/>
      <w:divBdr>
        <w:top w:val="none" w:sz="0" w:space="0" w:color="auto"/>
        <w:left w:val="none" w:sz="0" w:space="0" w:color="auto"/>
        <w:bottom w:val="none" w:sz="0" w:space="0" w:color="auto"/>
        <w:right w:val="none" w:sz="0" w:space="0" w:color="auto"/>
      </w:divBdr>
    </w:div>
    <w:div w:id="2145780278">
      <w:bodyDiv w:val="1"/>
      <w:marLeft w:val="0"/>
      <w:marRight w:val="0"/>
      <w:marTop w:val="0"/>
      <w:marBottom w:val="0"/>
      <w:divBdr>
        <w:top w:val="none" w:sz="0" w:space="0" w:color="auto"/>
        <w:left w:val="none" w:sz="0" w:space="0" w:color="auto"/>
        <w:bottom w:val="none" w:sz="0" w:space="0" w:color="auto"/>
        <w:right w:val="none" w:sz="0" w:space="0" w:color="auto"/>
      </w:divBdr>
    </w:div>
    <w:div w:id="2146579287">
      <w:bodyDiv w:val="1"/>
      <w:marLeft w:val="0"/>
      <w:marRight w:val="0"/>
      <w:marTop w:val="0"/>
      <w:marBottom w:val="0"/>
      <w:divBdr>
        <w:top w:val="none" w:sz="0" w:space="0" w:color="auto"/>
        <w:left w:val="none" w:sz="0" w:space="0" w:color="auto"/>
        <w:bottom w:val="none" w:sz="0" w:space="0" w:color="auto"/>
        <w:right w:val="none" w:sz="0" w:space="0" w:color="auto"/>
      </w:divBdr>
    </w:div>
    <w:div w:id="2146774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8" Type="http://schemas.openxmlformats.org/officeDocument/2006/relationships/image" Target="media/image1.jp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DD151DC-AB8B-4BA0-9C03-743E3013A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527</Pages>
  <Words>294260</Words>
  <Characters>1677285</Characters>
  <Application>Microsoft Office Word</Application>
  <DocSecurity>0</DocSecurity>
  <Lines>13977</Lines>
  <Paragraphs>3935</Paragraphs>
  <ScaleCrop>false</ScaleCrop>
  <HeadingPairs>
    <vt:vector size="2" baseType="variant">
      <vt:variant>
        <vt:lpstr>Title</vt:lpstr>
      </vt:variant>
      <vt:variant>
        <vt:i4>1</vt:i4>
      </vt:variant>
    </vt:vector>
  </HeadingPairs>
  <TitlesOfParts>
    <vt:vector size="1" baseType="lpstr">
      <vt:lpstr/>
    </vt:vector>
  </TitlesOfParts>
  <Company>Ampersand Health Science Writing</Company>
  <LinksUpToDate>false</LinksUpToDate>
  <CharactersWithSpaces>1967610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Ramson</dc:creator>
  <cp:keywords/>
  <dc:description/>
  <cp:lastModifiedBy>Soar, Anita</cp:lastModifiedBy>
  <cp:revision>3</cp:revision>
  <cp:lastPrinted>2020-02-24T03:46:00Z</cp:lastPrinted>
  <dcterms:created xsi:type="dcterms:W3CDTF">2020-06-01T06:02:00Z</dcterms:created>
  <dcterms:modified xsi:type="dcterms:W3CDTF">2020-06-02T02:35:00Z</dcterms:modified>
</cp:coreProperties>
</file>